
<file path=[Content_Types].xml><?xml version="1.0" encoding="utf-8"?>
<Types xmlns="http://schemas.openxmlformats.org/package/2006/content-types">
  <Default Extension="xml" ContentType="application/xml"/>
  <Default Extension="xls" ContentType="application/vnd.ms-excel"/>
  <Default Extension="xlsx" ContentType="application/vnd.openxmlformats-officedocument.spreadsheetml.sheet"/>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colors5.xml" ContentType="application/vnd.ms-office.chartcolorstyle+xml"/>
  <Override PartName="/word/charts/colors6.xml" ContentType="application/vnd.ms-office.chartcolorstyle+xml"/>
  <Override PartName="/word/charts/colors7.xml" ContentType="application/vnd.ms-office.chartcolorstyle+xml"/>
  <Override PartName="/word/charts/colors8.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charts/style5.xml" ContentType="application/vnd.ms-office.chartstyle+xml"/>
  <Override PartName="/word/charts/style6.xml" ContentType="application/vnd.ms-office.chartstyle+xml"/>
  <Override PartName="/word/charts/style7.xml" ContentType="application/vnd.ms-office.chartstyle+xml"/>
  <Override PartName="/word/charts/style8.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eastAsia="黑体"/>
          <w:b/>
          <w:bCs/>
          <w:sz w:val="36"/>
          <w:szCs w:val="36"/>
        </w:rPr>
      </w:pPr>
    </w:p>
    <w:p>
      <w:pPr>
        <w:jc w:val="center"/>
        <w:rPr>
          <w:rFonts w:eastAsia="黑体"/>
          <w:b/>
          <w:bCs/>
          <w:sz w:val="36"/>
          <w:szCs w:val="36"/>
        </w:rPr>
      </w:pPr>
    </w:p>
    <w:p>
      <w:pPr>
        <w:jc w:val="center"/>
        <w:rPr>
          <w:rFonts w:eastAsia="黑体"/>
          <w:b/>
          <w:bCs/>
          <w:sz w:val="36"/>
          <w:szCs w:val="36"/>
        </w:rPr>
      </w:pPr>
    </w:p>
    <w:p>
      <w:pPr>
        <w:spacing w:after="156" w:afterLines="50" w:line="240" w:lineRule="auto"/>
        <w:jc w:val="center"/>
        <w:rPr>
          <w:rFonts w:eastAsia="黑体"/>
          <w:b/>
          <w:bCs/>
          <w:sz w:val="36"/>
          <w:szCs w:val="36"/>
        </w:rPr>
      </w:pPr>
    </w:p>
    <w:p>
      <w:pPr>
        <w:spacing w:line="240" w:lineRule="auto"/>
        <w:jc w:val="center"/>
        <w:rPr>
          <w:rFonts w:eastAsia="方正小标宋_GBK"/>
          <w:spacing w:val="6"/>
          <w:sz w:val="42"/>
          <w:szCs w:val="42"/>
        </w:rPr>
      </w:pPr>
      <w:r>
        <w:rPr>
          <w:rFonts w:eastAsia="方正小标宋_GBK"/>
          <w:spacing w:val="6"/>
          <w:sz w:val="42"/>
          <w:szCs w:val="42"/>
        </w:rPr>
        <w:drawing>
          <wp:inline distT="0" distB="0" distL="114300" distR="114300">
            <wp:extent cx="3954780" cy="1010920"/>
            <wp:effectExtent l="0" t="0" r="7620" b="17780"/>
            <wp:docPr id="126" name="图片 126" descr="新农大校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新农大校徽"/>
                    <pic:cNvPicPr>
                      <a:picLocks noChangeAspect="1"/>
                    </pic:cNvPicPr>
                  </pic:nvPicPr>
                  <pic:blipFill>
                    <a:blip r:embed="rId11"/>
                    <a:stretch>
                      <a:fillRect/>
                    </a:stretch>
                  </pic:blipFill>
                  <pic:spPr>
                    <a:xfrm>
                      <a:off x="0" y="0"/>
                      <a:ext cx="3954780" cy="1010920"/>
                    </a:xfrm>
                    <a:prstGeom prst="rect">
                      <a:avLst/>
                    </a:prstGeom>
                  </pic:spPr>
                </pic:pic>
              </a:graphicData>
            </a:graphic>
          </wp:inline>
        </w:drawing>
      </w:r>
    </w:p>
    <w:p>
      <w:pPr>
        <w:spacing w:line="240" w:lineRule="auto"/>
        <w:jc w:val="center"/>
        <w:rPr>
          <w:rFonts w:eastAsia="方正小标宋_GBK"/>
          <w:spacing w:val="6"/>
          <w:w w:val="95"/>
          <w:sz w:val="50"/>
          <w:szCs w:val="50"/>
        </w:rPr>
      </w:pPr>
      <w:r>
        <w:rPr>
          <w:rFonts w:eastAsia="方正小标宋_GBK"/>
          <w:spacing w:val="6"/>
          <w:w w:val="95"/>
          <w:sz w:val="50"/>
          <w:szCs w:val="50"/>
        </w:rPr>
        <w:t>2021-2022学年专业人才培养状况报告</w:t>
      </w:r>
    </w:p>
    <w:p>
      <w:pPr>
        <w:jc w:val="center"/>
        <w:rPr>
          <w:rFonts w:eastAsia="黑体"/>
          <w:b/>
          <w:bCs/>
          <w:sz w:val="36"/>
          <w:szCs w:val="36"/>
        </w:rPr>
      </w:pPr>
    </w:p>
    <w:p>
      <w:pPr>
        <w:jc w:val="center"/>
        <w:rPr>
          <w:rFonts w:eastAsia="黑体"/>
          <w:b/>
          <w:bCs/>
          <w:sz w:val="36"/>
          <w:szCs w:val="36"/>
        </w:rPr>
      </w:pPr>
    </w:p>
    <w:p>
      <w:pPr>
        <w:jc w:val="center"/>
        <w:rPr>
          <w:rFonts w:eastAsia="黑体"/>
          <w:b/>
          <w:bCs/>
          <w:sz w:val="36"/>
          <w:szCs w:val="36"/>
        </w:rPr>
      </w:pPr>
    </w:p>
    <w:p>
      <w:pPr>
        <w:jc w:val="center"/>
        <w:rPr>
          <w:rFonts w:eastAsia="黑体"/>
          <w:b/>
          <w:bCs/>
          <w:sz w:val="36"/>
          <w:szCs w:val="36"/>
        </w:rPr>
      </w:pPr>
    </w:p>
    <w:p>
      <w:pPr>
        <w:jc w:val="center"/>
        <w:rPr>
          <w:rFonts w:eastAsia="黑体"/>
          <w:b/>
          <w:bCs/>
          <w:sz w:val="36"/>
          <w:szCs w:val="36"/>
        </w:rPr>
      </w:pPr>
    </w:p>
    <w:p>
      <w:pPr>
        <w:jc w:val="center"/>
        <w:rPr>
          <w:rFonts w:eastAsia="黑体"/>
          <w:b/>
          <w:bCs/>
          <w:sz w:val="36"/>
          <w:szCs w:val="36"/>
        </w:rPr>
      </w:pPr>
    </w:p>
    <w:p>
      <w:pPr>
        <w:jc w:val="center"/>
        <w:rPr>
          <w:rFonts w:eastAsia="黑体"/>
          <w:b/>
          <w:bCs/>
          <w:sz w:val="36"/>
          <w:szCs w:val="36"/>
        </w:rPr>
      </w:pPr>
    </w:p>
    <w:p>
      <w:pPr>
        <w:jc w:val="center"/>
        <w:rPr>
          <w:rFonts w:eastAsia="黑体"/>
          <w:b/>
          <w:bCs/>
          <w:sz w:val="36"/>
          <w:szCs w:val="36"/>
        </w:rPr>
      </w:pPr>
    </w:p>
    <w:p>
      <w:pPr>
        <w:jc w:val="center"/>
        <w:rPr>
          <w:rFonts w:eastAsia="黑体"/>
          <w:b/>
          <w:bCs/>
          <w:sz w:val="36"/>
          <w:szCs w:val="36"/>
        </w:rPr>
      </w:pPr>
    </w:p>
    <w:p>
      <w:pPr>
        <w:jc w:val="center"/>
        <w:rPr>
          <w:rFonts w:eastAsia="黑体"/>
          <w:b/>
          <w:bCs/>
          <w:sz w:val="36"/>
          <w:szCs w:val="36"/>
        </w:rPr>
      </w:pPr>
    </w:p>
    <w:p>
      <w:pPr>
        <w:jc w:val="center"/>
        <w:rPr>
          <w:rFonts w:eastAsia="黑体"/>
          <w:b/>
          <w:bCs/>
          <w:sz w:val="36"/>
          <w:szCs w:val="36"/>
        </w:rPr>
      </w:pPr>
    </w:p>
    <w:p>
      <w:pPr>
        <w:jc w:val="center"/>
        <w:rPr>
          <w:rFonts w:eastAsia="黑体"/>
          <w:b/>
          <w:bCs/>
          <w:sz w:val="36"/>
          <w:szCs w:val="36"/>
        </w:rPr>
      </w:pPr>
    </w:p>
    <w:p>
      <w:pPr>
        <w:jc w:val="center"/>
        <w:rPr>
          <w:rFonts w:eastAsia="黑体"/>
          <w:b/>
          <w:bCs/>
          <w:sz w:val="36"/>
          <w:szCs w:val="36"/>
        </w:rPr>
      </w:pPr>
    </w:p>
    <w:p>
      <w:pPr>
        <w:jc w:val="center"/>
        <w:rPr>
          <w:rFonts w:eastAsia="黑体"/>
          <w:b/>
          <w:bCs/>
          <w:sz w:val="36"/>
          <w:szCs w:val="36"/>
        </w:rPr>
      </w:pPr>
    </w:p>
    <w:p>
      <w:pPr>
        <w:jc w:val="center"/>
        <w:rPr>
          <w:rFonts w:eastAsia="黑体"/>
          <w:b/>
          <w:bCs/>
          <w:sz w:val="36"/>
          <w:szCs w:val="36"/>
        </w:rPr>
      </w:pPr>
    </w:p>
    <w:p>
      <w:pPr>
        <w:jc w:val="center"/>
        <w:rPr>
          <w:rFonts w:eastAsia="黑体"/>
          <w:b/>
          <w:bCs/>
          <w:sz w:val="36"/>
          <w:szCs w:val="36"/>
        </w:rPr>
      </w:pPr>
    </w:p>
    <w:p>
      <w:pPr>
        <w:jc w:val="center"/>
        <w:rPr>
          <w:rFonts w:eastAsia="黑体"/>
          <w:b/>
          <w:bCs/>
          <w:sz w:val="36"/>
          <w:szCs w:val="36"/>
        </w:rPr>
      </w:pPr>
    </w:p>
    <w:p>
      <w:pPr>
        <w:jc w:val="center"/>
        <w:rPr>
          <w:rFonts w:eastAsia="黑体"/>
          <w:b/>
          <w:bCs/>
          <w:sz w:val="36"/>
          <w:szCs w:val="36"/>
        </w:rPr>
      </w:pPr>
    </w:p>
    <w:p>
      <w:pPr>
        <w:jc w:val="center"/>
        <w:rPr>
          <w:rFonts w:eastAsia="黑体"/>
          <w:sz w:val="32"/>
          <w:szCs w:val="32"/>
        </w:rPr>
      </w:pPr>
      <w:r>
        <w:rPr>
          <w:rFonts w:eastAsia="黑体"/>
          <w:sz w:val="32"/>
          <w:szCs w:val="32"/>
        </w:rPr>
        <w:t>山东农业大学</w:t>
      </w:r>
    </w:p>
    <w:p>
      <w:pPr>
        <w:jc w:val="center"/>
        <w:rPr>
          <w:rFonts w:eastAsia="黑体"/>
          <w:sz w:val="32"/>
          <w:szCs w:val="32"/>
        </w:rPr>
      </w:pPr>
      <w:r>
        <w:rPr>
          <w:rFonts w:eastAsia="黑体"/>
          <w:sz w:val="32"/>
          <w:szCs w:val="32"/>
        </w:rPr>
        <w:t>二〇二二年十一月</w:t>
      </w:r>
    </w:p>
    <w:p>
      <w:pPr>
        <w:sectPr>
          <w:pgSz w:w="11906" w:h="16838"/>
          <w:pgMar w:top="1440" w:right="1474" w:bottom="1440" w:left="1587" w:header="851" w:footer="992" w:gutter="0"/>
          <w:cols w:space="425" w:num="1"/>
          <w:docGrid w:type="lines" w:linePitch="312" w:charSpace="0"/>
        </w:sectPr>
      </w:pPr>
    </w:p>
    <w:p>
      <w:pPr>
        <w:jc w:val="center"/>
        <w:rPr>
          <w:rFonts w:eastAsia="黑体"/>
          <w:sz w:val="36"/>
          <w:szCs w:val="36"/>
        </w:rPr>
      </w:pPr>
    </w:p>
    <w:p>
      <w:pPr>
        <w:spacing w:after="312" w:afterLines="100" w:line="240" w:lineRule="auto"/>
        <w:jc w:val="center"/>
        <w:rPr>
          <w:rFonts w:eastAsia="黑体"/>
          <w:sz w:val="36"/>
          <w:szCs w:val="36"/>
        </w:rPr>
      </w:pPr>
      <w:r>
        <w:rPr>
          <w:rFonts w:eastAsia="黑体"/>
          <w:sz w:val="36"/>
          <w:szCs w:val="36"/>
        </w:rPr>
        <w:t>目  录</w:t>
      </w:r>
    </w:p>
    <w:p>
      <w:pPr>
        <w:pStyle w:val="14"/>
        <w:tabs>
          <w:tab w:val="right" w:leader="dot" w:pos="8845"/>
        </w:tabs>
      </w:pPr>
      <w:r>
        <w:fldChar w:fldCharType="begin"/>
      </w:r>
      <w:r>
        <w:instrText xml:space="preserve">TOC \o "1-1" \h \u </w:instrText>
      </w:r>
      <w:r>
        <w:fldChar w:fldCharType="separate"/>
      </w:r>
      <w:r>
        <w:fldChar w:fldCharType="begin"/>
      </w:r>
      <w:r>
        <w:instrText xml:space="preserve"> HYPERLINK \l _Toc594 </w:instrText>
      </w:r>
      <w:r>
        <w:fldChar w:fldCharType="separate"/>
      </w:r>
      <w:r>
        <w:rPr>
          <w:rFonts w:ascii="Times New Roman" w:hAnsi="Times New Roman"/>
        </w:rPr>
        <w:t>引  言</w:t>
      </w:r>
      <w:r>
        <w:tab/>
      </w:r>
      <w:r>
        <w:fldChar w:fldCharType="begin"/>
      </w:r>
      <w:r>
        <w:instrText xml:space="preserve"> PAGEREF _Toc594 \h </w:instrText>
      </w:r>
      <w:r>
        <w:fldChar w:fldCharType="separate"/>
      </w:r>
      <w:r>
        <w:t>1</w:t>
      </w:r>
      <w:r>
        <w:fldChar w:fldCharType="end"/>
      </w:r>
      <w:r>
        <w:fldChar w:fldCharType="end"/>
      </w:r>
    </w:p>
    <w:p>
      <w:pPr>
        <w:pStyle w:val="14"/>
        <w:tabs>
          <w:tab w:val="right" w:leader="dot" w:pos="8845"/>
        </w:tabs>
      </w:pPr>
      <w:r>
        <w:fldChar w:fldCharType="begin"/>
      </w:r>
      <w:r>
        <w:instrText xml:space="preserve"> HYPERLINK \l _Toc17007 </w:instrText>
      </w:r>
      <w:r>
        <w:fldChar w:fldCharType="separate"/>
      </w:r>
      <w:r>
        <w:rPr>
          <w:rFonts w:ascii="Times New Roman" w:hAnsi="Times New Roman" w:cs="Times New Roman"/>
        </w:rPr>
        <w:t>专业一：农学</w:t>
      </w:r>
      <w:r>
        <w:tab/>
      </w:r>
      <w:r>
        <w:fldChar w:fldCharType="begin"/>
      </w:r>
      <w:r>
        <w:instrText xml:space="preserve"> PAGEREF _Toc17007 \h </w:instrText>
      </w:r>
      <w:r>
        <w:fldChar w:fldCharType="separate"/>
      </w:r>
      <w:r>
        <w:t>2</w:t>
      </w:r>
      <w:r>
        <w:fldChar w:fldCharType="end"/>
      </w:r>
      <w:r>
        <w:fldChar w:fldCharType="end"/>
      </w:r>
    </w:p>
    <w:p>
      <w:pPr>
        <w:pStyle w:val="14"/>
        <w:tabs>
          <w:tab w:val="right" w:leader="dot" w:pos="8845"/>
        </w:tabs>
      </w:pPr>
      <w:r>
        <w:fldChar w:fldCharType="begin"/>
      </w:r>
      <w:r>
        <w:instrText xml:space="preserve"> HYPERLINK \l _Toc15567 </w:instrText>
      </w:r>
      <w:r>
        <w:fldChar w:fldCharType="separate"/>
      </w:r>
      <w:r>
        <w:rPr>
          <w:rFonts w:ascii="Times New Roman" w:hAnsi="Times New Roman" w:cs="Times New Roman"/>
        </w:rPr>
        <w:t>专业二：植物科学与技术</w:t>
      </w:r>
      <w:r>
        <w:tab/>
      </w:r>
      <w:r>
        <w:fldChar w:fldCharType="begin"/>
      </w:r>
      <w:r>
        <w:instrText xml:space="preserve"> PAGEREF _Toc15567 \h </w:instrText>
      </w:r>
      <w:r>
        <w:fldChar w:fldCharType="separate"/>
      </w:r>
      <w:r>
        <w:t>12</w:t>
      </w:r>
      <w:r>
        <w:fldChar w:fldCharType="end"/>
      </w:r>
      <w:r>
        <w:fldChar w:fldCharType="end"/>
      </w:r>
    </w:p>
    <w:p>
      <w:pPr>
        <w:pStyle w:val="14"/>
        <w:tabs>
          <w:tab w:val="right" w:leader="dot" w:pos="8845"/>
        </w:tabs>
      </w:pPr>
      <w:r>
        <w:fldChar w:fldCharType="begin"/>
      </w:r>
      <w:r>
        <w:instrText xml:space="preserve"> HYPERLINK \l _Toc697 </w:instrText>
      </w:r>
      <w:r>
        <w:fldChar w:fldCharType="separate"/>
      </w:r>
      <w:r>
        <w:rPr>
          <w:rFonts w:ascii="Times New Roman" w:hAnsi="Times New Roman" w:cs="Times New Roman"/>
        </w:rPr>
        <w:t>专业三：种子科学与工程</w:t>
      </w:r>
      <w:r>
        <w:tab/>
      </w:r>
      <w:r>
        <w:fldChar w:fldCharType="begin"/>
      </w:r>
      <w:r>
        <w:instrText xml:space="preserve"> PAGEREF _Toc697 \h </w:instrText>
      </w:r>
      <w:r>
        <w:fldChar w:fldCharType="separate"/>
      </w:r>
      <w:r>
        <w:t>17</w:t>
      </w:r>
      <w:r>
        <w:fldChar w:fldCharType="end"/>
      </w:r>
      <w:r>
        <w:fldChar w:fldCharType="end"/>
      </w:r>
    </w:p>
    <w:p>
      <w:pPr>
        <w:pStyle w:val="14"/>
        <w:tabs>
          <w:tab w:val="right" w:leader="dot" w:pos="8845"/>
        </w:tabs>
      </w:pPr>
      <w:r>
        <w:fldChar w:fldCharType="begin"/>
      </w:r>
      <w:r>
        <w:instrText xml:space="preserve"> HYPERLINK \l _Toc8781 </w:instrText>
      </w:r>
      <w:r>
        <w:fldChar w:fldCharType="separate"/>
      </w:r>
      <w:r>
        <w:rPr>
          <w:rFonts w:ascii="Times New Roman" w:hAnsi="Times New Roman" w:cs="Times New Roman"/>
        </w:rPr>
        <w:t>专业</w:t>
      </w:r>
      <w:r>
        <w:rPr>
          <w:rFonts w:hint="eastAsia" w:ascii="Times New Roman" w:hAnsi="Times New Roman" w:cs="Times New Roman"/>
          <w:lang w:val="en-US"/>
        </w:rPr>
        <w:t>四</w:t>
      </w:r>
      <w:r>
        <w:rPr>
          <w:rFonts w:ascii="Times New Roman" w:hAnsi="Times New Roman" w:cs="Times New Roman"/>
        </w:rPr>
        <w:t>：中药资源与开发</w:t>
      </w:r>
      <w:r>
        <w:tab/>
      </w:r>
      <w:r>
        <w:fldChar w:fldCharType="begin"/>
      </w:r>
      <w:r>
        <w:instrText xml:space="preserve"> PAGEREF _Toc8781 \h </w:instrText>
      </w:r>
      <w:r>
        <w:fldChar w:fldCharType="separate"/>
      </w:r>
      <w:r>
        <w:t>24</w:t>
      </w:r>
      <w:r>
        <w:fldChar w:fldCharType="end"/>
      </w:r>
      <w:r>
        <w:fldChar w:fldCharType="end"/>
      </w:r>
    </w:p>
    <w:p>
      <w:pPr>
        <w:pStyle w:val="14"/>
        <w:tabs>
          <w:tab w:val="right" w:leader="dot" w:pos="8845"/>
        </w:tabs>
      </w:pPr>
      <w:r>
        <w:fldChar w:fldCharType="begin"/>
      </w:r>
      <w:r>
        <w:instrText xml:space="preserve"> HYPERLINK \l _Toc32325 </w:instrText>
      </w:r>
      <w:r>
        <w:fldChar w:fldCharType="separate"/>
      </w:r>
      <w:r>
        <w:t>专业</w:t>
      </w:r>
      <w:r>
        <w:rPr>
          <w:lang w:val="en-US"/>
        </w:rPr>
        <w:t>五</w:t>
      </w:r>
      <w:r>
        <w:t>：制药工程（农药方向）</w:t>
      </w:r>
      <w:r>
        <w:tab/>
      </w:r>
      <w:r>
        <w:fldChar w:fldCharType="begin"/>
      </w:r>
      <w:r>
        <w:instrText xml:space="preserve"> PAGEREF _Toc32325 \h </w:instrText>
      </w:r>
      <w:r>
        <w:fldChar w:fldCharType="separate"/>
      </w:r>
      <w:r>
        <w:t>32</w:t>
      </w:r>
      <w:r>
        <w:fldChar w:fldCharType="end"/>
      </w:r>
      <w:r>
        <w:fldChar w:fldCharType="end"/>
      </w:r>
    </w:p>
    <w:p>
      <w:pPr>
        <w:pStyle w:val="14"/>
        <w:tabs>
          <w:tab w:val="right" w:leader="dot" w:pos="8845"/>
        </w:tabs>
      </w:pPr>
      <w:r>
        <w:fldChar w:fldCharType="begin"/>
      </w:r>
      <w:r>
        <w:instrText xml:space="preserve"> HYPERLINK \l _Toc20018 </w:instrText>
      </w:r>
      <w:r>
        <w:fldChar w:fldCharType="separate"/>
      </w:r>
      <w:r>
        <w:rPr>
          <w:rFonts w:hint="eastAsia" w:cs="Times New Roman"/>
          <w:lang w:val="en-US" w:eastAsia="zh-CN"/>
        </w:rPr>
        <w:t xml:space="preserve">        </w:t>
      </w:r>
      <w:bookmarkStart w:id="853" w:name="_GoBack"/>
      <w:bookmarkEnd w:id="853"/>
      <w:r>
        <w:rPr>
          <w:rFonts w:ascii="Times New Roman" w:hAnsi="Times New Roman" w:cs="Times New Roman"/>
        </w:rPr>
        <w:t>制药工程（兽药方向）</w:t>
      </w:r>
      <w:r>
        <w:tab/>
      </w:r>
      <w:r>
        <w:fldChar w:fldCharType="begin"/>
      </w:r>
      <w:r>
        <w:instrText xml:space="preserve"> PAGEREF _Toc20018 \h </w:instrText>
      </w:r>
      <w:r>
        <w:fldChar w:fldCharType="separate"/>
      </w:r>
      <w:r>
        <w:t>43</w:t>
      </w:r>
      <w:r>
        <w:fldChar w:fldCharType="end"/>
      </w:r>
      <w:r>
        <w:fldChar w:fldCharType="end"/>
      </w:r>
    </w:p>
    <w:p>
      <w:pPr>
        <w:pStyle w:val="14"/>
        <w:tabs>
          <w:tab w:val="right" w:leader="dot" w:pos="8845"/>
        </w:tabs>
      </w:pPr>
      <w:r>
        <w:fldChar w:fldCharType="begin"/>
      </w:r>
      <w:r>
        <w:instrText xml:space="preserve"> HYPERLINK \l _Toc14113 </w:instrText>
      </w:r>
      <w:r>
        <w:fldChar w:fldCharType="separate"/>
      </w:r>
      <w:r>
        <w:rPr>
          <w:rFonts w:ascii="Times New Roman" w:hAnsi="Times New Roman" w:cs="Times New Roman"/>
        </w:rPr>
        <w:t>专业</w:t>
      </w:r>
      <w:r>
        <w:rPr>
          <w:rFonts w:ascii="Times New Roman" w:hAnsi="Times New Roman" w:cs="Times New Roman"/>
          <w:lang w:val="en-US"/>
        </w:rPr>
        <w:t>六</w:t>
      </w:r>
      <w:r>
        <w:rPr>
          <w:rFonts w:ascii="Times New Roman" w:hAnsi="Times New Roman" w:cs="Times New Roman"/>
        </w:rPr>
        <w:t>：植物保护</w:t>
      </w:r>
      <w:r>
        <w:tab/>
      </w:r>
      <w:r>
        <w:fldChar w:fldCharType="begin"/>
      </w:r>
      <w:r>
        <w:instrText xml:space="preserve"> PAGEREF _Toc14113 \h </w:instrText>
      </w:r>
      <w:r>
        <w:fldChar w:fldCharType="separate"/>
      </w:r>
      <w:r>
        <w:t>51</w:t>
      </w:r>
      <w:r>
        <w:fldChar w:fldCharType="end"/>
      </w:r>
      <w:r>
        <w:fldChar w:fldCharType="end"/>
      </w:r>
    </w:p>
    <w:p>
      <w:pPr>
        <w:pStyle w:val="14"/>
        <w:tabs>
          <w:tab w:val="right" w:leader="dot" w:pos="8845"/>
        </w:tabs>
      </w:pPr>
      <w:r>
        <w:fldChar w:fldCharType="begin"/>
      </w:r>
      <w:r>
        <w:instrText xml:space="preserve"> HYPERLINK \l _Toc9634 </w:instrText>
      </w:r>
      <w:r>
        <w:fldChar w:fldCharType="separate"/>
      </w:r>
      <w:r>
        <w:rPr>
          <w:rFonts w:ascii="Times New Roman" w:hAnsi="Times New Roman" w:cs="Times New Roman"/>
        </w:rPr>
        <w:t>专业</w:t>
      </w:r>
      <w:r>
        <w:rPr>
          <w:rFonts w:ascii="Times New Roman" w:hAnsi="Times New Roman" w:cs="Times New Roman"/>
          <w:lang w:val="en-US"/>
        </w:rPr>
        <w:t>七</w:t>
      </w:r>
      <w:r>
        <w:rPr>
          <w:rFonts w:ascii="Times New Roman" w:hAnsi="Times New Roman" w:cs="Times New Roman"/>
        </w:rPr>
        <w:t>：烟草</w:t>
      </w:r>
      <w:r>
        <w:tab/>
      </w:r>
      <w:r>
        <w:fldChar w:fldCharType="begin"/>
      </w:r>
      <w:r>
        <w:instrText xml:space="preserve"> PAGEREF _Toc9634 \h </w:instrText>
      </w:r>
      <w:r>
        <w:fldChar w:fldCharType="separate"/>
      </w:r>
      <w:r>
        <w:t>62</w:t>
      </w:r>
      <w:r>
        <w:fldChar w:fldCharType="end"/>
      </w:r>
      <w:r>
        <w:fldChar w:fldCharType="end"/>
      </w:r>
    </w:p>
    <w:p>
      <w:pPr>
        <w:pStyle w:val="14"/>
        <w:tabs>
          <w:tab w:val="right" w:leader="dot" w:pos="8845"/>
        </w:tabs>
      </w:pPr>
      <w:r>
        <w:fldChar w:fldCharType="begin"/>
      </w:r>
      <w:r>
        <w:instrText xml:space="preserve"> HYPERLINK \l _Toc997 </w:instrText>
      </w:r>
      <w:r>
        <w:fldChar w:fldCharType="separate"/>
      </w:r>
      <w:r>
        <w:t>专业</w:t>
      </w:r>
      <w:r>
        <w:rPr>
          <w:rFonts w:hint="eastAsia"/>
          <w:lang w:val="en-US"/>
        </w:rPr>
        <w:t>八</w:t>
      </w:r>
      <w:r>
        <w:t>：动植物检疫（植物检疫方向）</w:t>
      </w:r>
      <w:r>
        <w:tab/>
      </w:r>
      <w:r>
        <w:fldChar w:fldCharType="begin"/>
      </w:r>
      <w:r>
        <w:instrText xml:space="preserve"> PAGEREF _Toc997 \h </w:instrText>
      </w:r>
      <w:r>
        <w:fldChar w:fldCharType="separate"/>
      </w:r>
      <w:r>
        <w:t>72</w:t>
      </w:r>
      <w:r>
        <w:fldChar w:fldCharType="end"/>
      </w:r>
      <w:r>
        <w:fldChar w:fldCharType="end"/>
      </w:r>
    </w:p>
    <w:p>
      <w:pPr>
        <w:pStyle w:val="14"/>
        <w:tabs>
          <w:tab w:val="right" w:leader="dot" w:pos="8845"/>
        </w:tabs>
      </w:pPr>
      <w:r>
        <w:fldChar w:fldCharType="begin"/>
      </w:r>
      <w:r>
        <w:instrText xml:space="preserve"> HYPERLINK \l _Toc15032 </w:instrText>
      </w:r>
      <w:r>
        <w:fldChar w:fldCharType="separate"/>
      </w:r>
      <w:r>
        <w:rPr>
          <w:rFonts w:hint="eastAsia"/>
          <w:lang w:val="en-US" w:eastAsia="zh-CN"/>
        </w:rPr>
        <w:t xml:space="preserve">        </w:t>
      </w:r>
      <w:r>
        <w:t>动植物检疫（动物检疫方向）</w:t>
      </w:r>
      <w:r>
        <w:tab/>
      </w:r>
      <w:r>
        <w:fldChar w:fldCharType="begin"/>
      </w:r>
      <w:r>
        <w:instrText xml:space="preserve"> PAGEREF _Toc15032 \h </w:instrText>
      </w:r>
      <w:r>
        <w:fldChar w:fldCharType="separate"/>
      </w:r>
      <w:r>
        <w:t>81</w:t>
      </w:r>
      <w:r>
        <w:fldChar w:fldCharType="end"/>
      </w:r>
      <w:r>
        <w:fldChar w:fldCharType="end"/>
      </w:r>
    </w:p>
    <w:p>
      <w:pPr>
        <w:pStyle w:val="14"/>
        <w:tabs>
          <w:tab w:val="right" w:leader="dot" w:pos="8845"/>
        </w:tabs>
      </w:pPr>
      <w:r>
        <w:fldChar w:fldCharType="begin"/>
      </w:r>
      <w:r>
        <w:instrText xml:space="preserve"> HYPERLINK \l _Toc29854 </w:instrText>
      </w:r>
      <w:r>
        <w:fldChar w:fldCharType="separate"/>
      </w:r>
      <w:r>
        <w:t>专业九：森林保护（有害生物防控方向）</w:t>
      </w:r>
      <w:r>
        <w:tab/>
      </w:r>
      <w:r>
        <w:fldChar w:fldCharType="begin"/>
      </w:r>
      <w:r>
        <w:instrText xml:space="preserve"> PAGEREF _Toc29854 \h </w:instrText>
      </w:r>
      <w:r>
        <w:fldChar w:fldCharType="separate"/>
      </w:r>
      <w:r>
        <w:t>86</w:t>
      </w:r>
      <w:r>
        <w:fldChar w:fldCharType="end"/>
      </w:r>
      <w:r>
        <w:fldChar w:fldCharType="end"/>
      </w:r>
    </w:p>
    <w:p>
      <w:pPr>
        <w:pStyle w:val="14"/>
        <w:tabs>
          <w:tab w:val="right" w:leader="dot" w:pos="8845"/>
        </w:tabs>
      </w:pPr>
      <w:r>
        <w:fldChar w:fldCharType="begin"/>
      </w:r>
      <w:r>
        <w:instrText xml:space="preserve"> HYPERLINK \l _Toc29247 </w:instrText>
      </w:r>
      <w:r>
        <w:fldChar w:fldCharType="separate"/>
      </w:r>
      <w:r>
        <w:rPr>
          <w:rFonts w:hint="eastAsia"/>
          <w:lang w:val="en-US" w:eastAsia="zh-CN"/>
        </w:rPr>
        <w:t xml:space="preserve">        </w:t>
      </w:r>
      <w:r>
        <w:t>森林保护（菌物资源与利用方向）</w:t>
      </w:r>
      <w:r>
        <w:tab/>
      </w:r>
      <w:r>
        <w:fldChar w:fldCharType="begin"/>
      </w:r>
      <w:r>
        <w:instrText xml:space="preserve"> PAGEREF _Toc29247 \h </w:instrText>
      </w:r>
      <w:r>
        <w:fldChar w:fldCharType="separate"/>
      </w:r>
      <w:r>
        <w:t>97</w:t>
      </w:r>
      <w:r>
        <w:fldChar w:fldCharType="end"/>
      </w:r>
      <w:r>
        <w:fldChar w:fldCharType="end"/>
      </w:r>
    </w:p>
    <w:p>
      <w:pPr>
        <w:pStyle w:val="14"/>
        <w:tabs>
          <w:tab w:val="right" w:leader="dot" w:pos="8845"/>
        </w:tabs>
      </w:pPr>
      <w:r>
        <w:fldChar w:fldCharType="begin"/>
      </w:r>
      <w:r>
        <w:instrText xml:space="preserve"> HYPERLINK \l _Toc25617 </w:instrText>
      </w:r>
      <w:r>
        <w:fldChar w:fldCharType="separate"/>
      </w:r>
      <w:r>
        <w:rPr>
          <w:rFonts w:hint="eastAsia"/>
          <w:lang w:val="en-US"/>
        </w:rPr>
        <w:t>专业十：</w:t>
      </w:r>
      <w:r>
        <w:t>地理信息科学</w:t>
      </w:r>
      <w:r>
        <w:tab/>
      </w:r>
      <w:r>
        <w:fldChar w:fldCharType="begin"/>
      </w:r>
      <w:r>
        <w:instrText xml:space="preserve"> PAGEREF _Toc25617 \h </w:instrText>
      </w:r>
      <w:r>
        <w:fldChar w:fldCharType="separate"/>
      </w:r>
      <w:r>
        <w:t>110</w:t>
      </w:r>
      <w:r>
        <w:fldChar w:fldCharType="end"/>
      </w:r>
      <w:r>
        <w:fldChar w:fldCharType="end"/>
      </w:r>
    </w:p>
    <w:p>
      <w:pPr>
        <w:pStyle w:val="14"/>
        <w:tabs>
          <w:tab w:val="right" w:leader="dot" w:pos="8845"/>
        </w:tabs>
      </w:pPr>
      <w:r>
        <w:fldChar w:fldCharType="begin"/>
      </w:r>
      <w:r>
        <w:instrText xml:space="preserve"> HYPERLINK \l _Toc18539 </w:instrText>
      </w:r>
      <w:r>
        <w:fldChar w:fldCharType="separate"/>
      </w:r>
      <w:r>
        <w:rPr>
          <w:rFonts w:hint="eastAsia"/>
          <w:lang w:val="en-US"/>
        </w:rPr>
        <w:t>专业十一：</w:t>
      </w:r>
      <w:r>
        <w:t>环境工程</w:t>
      </w:r>
      <w:r>
        <w:tab/>
      </w:r>
      <w:r>
        <w:fldChar w:fldCharType="begin"/>
      </w:r>
      <w:r>
        <w:instrText xml:space="preserve"> PAGEREF _Toc18539 \h </w:instrText>
      </w:r>
      <w:r>
        <w:fldChar w:fldCharType="separate"/>
      </w:r>
      <w:r>
        <w:t>117</w:t>
      </w:r>
      <w:r>
        <w:fldChar w:fldCharType="end"/>
      </w:r>
      <w:r>
        <w:fldChar w:fldCharType="end"/>
      </w:r>
    </w:p>
    <w:p>
      <w:pPr>
        <w:pStyle w:val="14"/>
        <w:tabs>
          <w:tab w:val="right" w:leader="dot" w:pos="8845"/>
        </w:tabs>
      </w:pPr>
      <w:r>
        <w:fldChar w:fldCharType="begin"/>
      </w:r>
      <w:r>
        <w:instrText xml:space="preserve"> HYPERLINK \l _Toc16417 </w:instrText>
      </w:r>
      <w:r>
        <w:fldChar w:fldCharType="separate"/>
      </w:r>
      <w:r>
        <w:rPr>
          <w:rFonts w:hint="eastAsia"/>
          <w:lang w:val="en-US"/>
        </w:rPr>
        <w:t>专业十二：</w:t>
      </w:r>
      <w:r>
        <w:t>环境科学</w:t>
      </w:r>
      <w:r>
        <w:tab/>
      </w:r>
      <w:r>
        <w:fldChar w:fldCharType="begin"/>
      </w:r>
      <w:r>
        <w:instrText xml:space="preserve"> PAGEREF _Toc16417 \h </w:instrText>
      </w:r>
      <w:r>
        <w:fldChar w:fldCharType="separate"/>
      </w:r>
      <w:r>
        <w:t>125</w:t>
      </w:r>
      <w:r>
        <w:fldChar w:fldCharType="end"/>
      </w:r>
      <w:r>
        <w:fldChar w:fldCharType="end"/>
      </w:r>
    </w:p>
    <w:p>
      <w:pPr>
        <w:pStyle w:val="14"/>
        <w:tabs>
          <w:tab w:val="right" w:leader="dot" w:pos="8845"/>
        </w:tabs>
      </w:pPr>
      <w:r>
        <w:fldChar w:fldCharType="begin"/>
      </w:r>
      <w:r>
        <w:instrText xml:space="preserve"> HYPERLINK \l _Toc13347 </w:instrText>
      </w:r>
      <w:r>
        <w:fldChar w:fldCharType="separate"/>
      </w:r>
      <w:r>
        <w:rPr>
          <w:rFonts w:hint="eastAsia"/>
          <w:lang w:val="en-US"/>
        </w:rPr>
        <w:t>专业十三：</w:t>
      </w:r>
      <w:r>
        <w:t>环境生态工程</w:t>
      </w:r>
      <w:r>
        <w:tab/>
      </w:r>
      <w:r>
        <w:fldChar w:fldCharType="begin"/>
      </w:r>
      <w:r>
        <w:instrText xml:space="preserve"> PAGEREF _Toc13347 \h </w:instrText>
      </w:r>
      <w:r>
        <w:fldChar w:fldCharType="separate"/>
      </w:r>
      <w:r>
        <w:t>135</w:t>
      </w:r>
      <w:r>
        <w:fldChar w:fldCharType="end"/>
      </w:r>
      <w:r>
        <w:fldChar w:fldCharType="end"/>
      </w:r>
    </w:p>
    <w:p>
      <w:pPr>
        <w:pStyle w:val="14"/>
        <w:tabs>
          <w:tab w:val="right" w:leader="dot" w:pos="8845"/>
        </w:tabs>
      </w:pPr>
      <w:r>
        <w:fldChar w:fldCharType="begin"/>
      </w:r>
      <w:r>
        <w:instrText xml:space="preserve"> HYPERLINK \l _Toc10845 </w:instrText>
      </w:r>
      <w:r>
        <w:fldChar w:fldCharType="separate"/>
      </w:r>
      <w:r>
        <w:t>专业十</w:t>
      </w:r>
      <w:r>
        <w:rPr>
          <w:rFonts w:hint="eastAsia"/>
          <w:lang w:val="en-US"/>
        </w:rPr>
        <w:t>四</w:t>
      </w:r>
      <w:r>
        <w:t>：农业资源与环境</w:t>
      </w:r>
      <w:r>
        <w:tab/>
      </w:r>
      <w:r>
        <w:fldChar w:fldCharType="begin"/>
      </w:r>
      <w:r>
        <w:instrText xml:space="preserve"> PAGEREF _Toc10845 \h </w:instrText>
      </w:r>
      <w:r>
        <w:fldChar w:fldCharType="separate"/>
      </w:r>
      <w:r>
        <w:t>143</w:t>
      </w:r>
      <w:r>
        <w:fldChar w:fldCharType="end"/>
      </w:r>
      <w:r>
        <w:fldChar w:fldCharType="end"/>
      </w:r>
    </w:p>
    <w:p>
      <w:pPr>
        <w:pStyle w:val="14"/>
        <w:tabs>
          <w:tab w:val="right" w:leader="dot" w:pos="8845"/>
        </w:tabs>
      </w:pPr>
      <w:r>
        <w:fldChar w:fldCharType="begin"/>
      </w:r>
      <w:r>
        <w:instrText xml:space="preserve"> HYPERLINK \l _Toc26078 </w:instrText>
      </w:r>
      <w:r>
        <w:fldChar w:fldCharType="separate"/>
      </w:r>
      <w:r>
        <w:t>专业</w:t>
      </w:r>
      <w:r>
        <w:rPr>
          <w:rFonts w:hint="eastAsia"/>
          <w:lang w:val="en-US"/>
        </w:rPr>
        <w:t>十五</w:t>
      </w:r>
      <w:r>
        <w:t>：土地资源管理</w:t>
      </w:r>
      <w:r>
        <w:tab/>
      </w:r>
      <w:r>
        <w:fldChar w:fldCharType="begin"/>
      </w:r>
      <w:r>
        <w:instrText xml:space="preserve"> PAGEREF _Toc26078 \h </w:instrText>
      </w:r>
      <w:r>
        <w:fldChar w:fldCharType="separate"/>
      </w:r>
      <w:r>
        <w:t>158</w:t>
      </w:r>
      <w:r>
        <w:fldChar w:fldCharType="end"/>
      </w:r>
      <w:r>
        <w:fldChar w:fldCharType="end"/>
      </w:r>
    </w:p>
    <w:p>
      <w:pPr>
        <w:pStyle w:val="14"/>
        <w:tabs>
          <w:tab w:val="right" w:leader="dot" w:pos="8845"/>
        </w:tabs>
      </w:pPr>
      <w:r>
        <w:fldChar w:fldCharType="begin"/>
      </w:r>
      <w:r>
        <w:instrText xml:space="preserve"> HYPERLINK \l _Toc23039 </w:instrText>
      </w:r>
      <w:r>
        <w:fldChar w:fldCharType="separate"/>
      </w:r>
      <w:r>
        <w:rPr>
          <w:rFonts w:hint="eastAsia"/>
          <w:lang w:val="en-US" w:eastAsia="zh-CN"/>
        </w:rPr>
        <w:t xml:space="preserve">          </w:t>
      </w:r>
      <w:r>
        <w:t>土地资源管理（中英合作）</w:t>
      </w:r>
      <w:r>
        <w:tab/>
      </w:r>
      <w:r>
        <w:fldChar w:fldCharType="begin"/>
      </w:r>
      <w:r>
        <w:instrText xml:space="preserve"> PAGEREF _Toc23039 \h </w:instrText>
      </w:r>
      <w:r>
        <w:fldChar w:fldCharType="separate"/>
      </w:r>
      <w:r>
        <w:t>166</w:t>
      </w:r>
      <w:r>
        <w:fldChar w:fldCharType="end"/>
      </w:r>
      <w:r>
        <w:fldChar w:fldCharType="end"/>
      </w:r>
    </w:p>
    <w:p>
      <w:pPr>
        <w:pStyle w:val="14"/>
        <w:tabs>
          <w:tab w:val="right" w:leader="dot" w:pos="8845"/>
        </w:tabs>
      </w:pPr>
      <w:r>
        <w:fldChar w:fldCharType="begin"/>
      </w:r>
      <w:r>
        <w:instrText xml:space="preserve"> HYPERLINK \l _Toc17952 </w:instrText>
      </w:r>
      <w:r>
        <w:fldChar w:fldCharType="separate"/>
      </w:r>
      <w:r>
        <w:rPr>
          <w:rFonts w:hint="eastAsia"/>
          <w:lang w:val="en-US"/>
        </w:rPr>
        <w:t>专业十六：</w:t>
      </w:r>
      <w:r>
        <w:t>生态学</w:t>
      </w:r>
      <w:r>
        <w:tab/>
      </w:r>
      <w:r>
        <w:fldChar w:fldCharType="begin"/>
      </w:r>
      <w:r>
        <w:instrText xml:space="preserve"> PAGEREF _Toc17952 \h </w:instrText>
      </w:r>
      <w:r>
        <w:fldChar w:fldCharType="separate"/>
      </w:r>
      <w:r>
        <w:t>174</w:t>
      </w:r>
      <w:r>
        <w:fldChar w:fldCharType="end"/>
      </w:r>
      <w:r>
        <w:fldChar w:fldCharType="end"/>
      </w:r>
    </w:p>
    <w:p>
      <w:pPr>
        <w:pStyle w:val="14"/>
        <w:tabs>
          <w:tab w:val="right" w:leader="dot" w:pos="8845"/>
        </w:tabs>
      </w:pPr>
      <w:r>
        <w:fldChar w:fldCharType="begin"/>
      </w:r>
      <w:r>
        <w:instrText xml:space="preserve"> HYPERLINK \l _Toc13027 </w:instrText>
      </w:r>
      <w:r>
        <w:fldChar w:fldCharType="separate"/>
      </w:r>
      <w:r>
        <w:t>专业</w:t>
      </w:r>
      <w:r>
        <w:rPr>
          <w:rFonts w:hint="eastAsia"/>
          <w:lang w:val="en-US"/>
        </w:rPr>
        <w:t>十七</w:t>
      </w:r>
      <w:r>
        <w:t>：木材科学与工程</w:t>
      </w:r>
      <w:r>
        <w:tab/>
      </w:r>
      <w:r>
        <w:fldChar w:fldCharType="begin"/>
      </w:r>
      <w:r>
        <w:instrText xml:space="preserve"> PAGEREF _Toc13027 \h </w:instrText>
      </w:r>
      <w:r>
        <w:fldChar w:fldCharType="separate"/>
      </w:r>
      <w:r>
        <w:t>182</w:t>
      </w:r>
      <w:r>
        <w:fldChar w:fldCharType="end"/>
      </w:r>
      <w:r>
        <w:fldChar w:fldCharType="end"/>
      </w:r>
    </w:p>
    <w:p>
      <w:pPr>
        <w:pStyle w:val="14"/>
        <w:tabs>
          <w:tab w:val="right" w:leader="dot" w:pos="8845"/>
        </w:tabs>
      </w:pPr>
      <w:r>
        <w:fldChar w:fldCharType="begin"/>
      </w:r>
      <w:r>
        <w:instrText xml:space="preserve"> HYPERLINK \l _Toc30995 </w:instrText>
      </w:r>
      <w:r>
        <w:fldChar w:fldCharType="separate"/>
      </w:r>
      <w:r>
        <w:rPr>
          <w:rFonts w:hint="eastAsia"/>
          <w:lang w:val="en-US"/>
        </w:rPr>
        <w:t>专业十八：</w:t>
      </w:r>
      <w:r>
        <w:t>风景园林</w:t>
      </w:r>
      <w:r>
        <w:tab/>
      </w:r>
      <w:r>
        <w:fldChar w:fldCharType="begin"/>
      </w:r>
      <w:r>
        <w:instrText xml:space="preserve"> PAGEREF _Toc30995 \h </w:instrText>
      </w:r>
      <w:r>
        <w:fldChar w:fldCharType="separate"/>
      </w:r>
      <w:r>
        <w:t>187</w:t>
      </w:r>
      <w:r>
        <w:fldChar w:fldCharType="end"/>
      </w:r>
      <w:r>
        <w:fldChar w:fldCharType="end"/>
      </w:r>
    </w:p>
    <w:p>
      <w:pPr>
        <w:pStyle w:val="14"/>
        <w:tabs>
          <w:tab w:val="right" w:leader="dot" w:pos="8845"/>
        </w:tabs>
      </w:pPr>
      <w:r>
        <w:fldChar w:fldCharType="begin"/>
      </w:r>
      <w:r>
        <w:instrText xml:space="preserve"> HYPERLINK \l _Toc24900 </w:instrText>
      </w:r>
      <w:r>
        <w:fldChar w:fldCharType="separate"/>
      </w:r>
      <w:r>
        <w:t>专业</w:t>
      </w:r>
      <w:r>
        <w:rPr>
          <w:rFonts w:hint="eastAsia"/>
          <w:lang w:val="en-US"/>
        </w:rPr>
        <w:t>十九</w:t>
      </w:r>
      <w:r>
        <w:t>：水土保持与荒漠化防治</w:t>
      </w:r>
      <w:r>
        <w:tab/>
      </w:r>
      <w:r>
        <w:fldChar w:fldCharType="begin"/>
      </w:r>
      <w:r>
        <w:instrText xml:space="preserve"> PAGEREF _Toc24900 \h </w:instrText>
      </w:r>
      <w:r>
        <w:fldChar w:fldCharType="separate"/>
      </w:r>
      <w:r>
        <w:t>195</w:t>
      </w:r>
      <w:r>
        <w:fldChar w:fldCharType="end"/>
      </w:r>
      <w:r>
        <w:fldChar w:fldCharType="end"/>
      </w:r>
    </w:p>
    <w:p>
      <w:pPr>
        <w:pStyle w:val="14"/>
        <w:tabs>
          <w:tab w:val="right" w:leader="dot" w:pos="8845"/>
        </w:tabs>
      </w:pPr>
      <w:r>
        <w:fldChar w:fldCharType="begin"/>
      </w:r>
      <w:r>
        <w:instrText xml:space="preserve"> HYPERLINK \l _Toc6111 </w:instrText>
      </w:r>
      <w:r>
        <w:fldChar w:fldCharType="separate"/>
      </w:r>
      <w:r>
        <w:rPr>
          <w:rFonts w:hint="eastAsia"/>
          <w:lang w:val="en-US"/>
        </w:rPr>
        <w:t>专业二十：</w:t>
      </w:r>
      <w:r>
        <w:rPr>
          <w:lang w:val="en-US"/>
        </w:rPr>
        <w:t>蚕学</w:t>
      </w:r>
      <w:r>
        <w:tab/>
      </w:r>
      <w:r>
        <w:fldChar w:fldCharType="begin"/>
      </w:r>
      <w:r>
        <w:instrText xml:space="preserve"> PAGEREF _Toc6111 \h </w:instrText>
      </w:r>
      <w:r>
        <w:fldChar w:fldCharType="separate"/>
      </w:r>
      <w:r>
        <w:t>202</w:t>
      </w:r>
      <w:r>
        <w:fldChar w:fldCharType="end"/>
      </w:r>
      <w:r>
        <w:fldChar w:fldCharType="end"/>
      </w:r>
    </w:p>
    <w:p>
      <w:pPr>
        <w:pStyle w:val="14"/>
        <w:tabs>
          <w:tab w:val="right" w:leader="dot" w:pos="8845"/>
        </w:tabs>
      </w:pPr>
      <w:r>
        <w:fldChar w:fldCharType="begin"/>
      </w:r>
      <w:r>
        <w:instrText xml:space="preserve"> HYPERLINK \l _Toc2105 </w:instrText>
      </w:r>
      <w:r>
        <w:fldChar w:fldCharType="separate"/>
      </w:r>
      <w:r>
        <w:rPr>
          <w:rFonts w:hint="eastAsia"/>
        </w:rPr>
        <w:t>专业</w:t>
      </w:r>
      <w:r>
        <w:rPr>
          <w:rFonts w:hint="eastAsia"/>
          <w:lang w:val="en-US"/>
        </w:rPr>
        <w:t>二十一</w:t>
      </w:r>
      <w:r>
        <w:rPr>
          <w:rFonts w:hint="eastAsia"/>
        </w:rPr>
        <w:t>：林学</w:t>
      </w:r>
      <w:r>
        <w:tab/>
      </w:r>
      <w:r>
        <w:fldChar w:fldCharType="begin"/>
      </w:r>
      <w:r>
        <w:instrText xml:space="preserve"> PAGEREF _Toc2105 \h </w:instrText>
      </w:r>
      <w:r>
        <w:fldChar w:fldCharType="separate"/>
      </w:r>
      <w:r>
        <w:t>208</w:t>
      </w:r>
      <w:r>
        <w:fldChar w:fldCharType="end"/>
      </w:r>
      <w:r>
        <w:fldChar w:fldCharType="end"/>
      </w:r>
    </w:p>
    <w:p>
      <w:pPr>
        <w:pStyle w:val="14"/>
        <w:tabs>
          <w:tab w:val="right" w:leader="dot" w:pos="8845"/>
        </w:tabs>
      </w:pPr>
      <w:r>
        <w:fldChar w:fldCharType="begin"/>
      </w:r>
      <w:r>
        <w:instrText xml:space="preserve"> HYPERLINK \l _Toc5533 </w:instrText>
      </w:r>
      <w:r>
        <w:fldChar w:fldCharType="separate"/>
      </w:r>
      <w:r>
        <w:rPr>
          <w:rFonts w:hint="eastAsia"/>
          <w:lang w:val="en-US"/>
        </w:rPr>
        <w:t>专业二十二：</w:t>
      </w:r>
      <w:r>
        <w:t>园林</w:t>
      </w:r>
      <w:r>
        <w:tab/>
      </w:r>
      <w:r>
        <w:fldChar w:fldCharType="begin"/>
      </w:r>
      <w:r>
        <w:instrText xml:space="preserve"> PAGEREF _Toc5533 \h </w:instrText>
      </w:r>
      <w:r>
        <w:fldChar w:fldCharType="separate"/>
      </w:r>
      <w:r>
        <w:t>216</w:t>
      </w:r>
      <w:r>
        <w:fldChar w:fldCharType="end"/>
      </w:r>
      <w:r>
        <w:fldChar w:fldCharType="end"/>
      </w:r>
    </w:p>
    <w:p>
      <w:pPr>
        <w:pStyle w:val="14"/>
        <w:tabs>
          <w:tab w:val="right" w:leader="dot" w:pos="8845"/>
        </w:tabs>
      </w:pPr>
      <w:r>
        <w:fldChar w:fldCharType="begin"/>
      </w:r>
      <w:r>
        <w:instrText xml:space="preserve"> HYPERLINK \l _Toc16715 </w:instrText>
      </w:r>
      <w:r>
        <w:fldChar w:fldCharType="separate"/>
      </w:r>
      <w:r>
        <w:t>专业二十</w:t>
      </w:r>
      <w:r>
        <w:rPr>
          <w:rFonts w:hint="eastAsia"/>
          <w:lang w:val="en-US"/>
        </w:rPr>
        <w:t>三</w:t>
      </w:r>
      <w:r>
        <w:t>：园艺</w:t>
      </w:r>
      <w:r>
        <w:tab/>
      </w:r>
      <w:r>
        <w:fldChar w:fldCharType="begin"/>
      </w:r>
      <w:r>
        <w:instrText xml:space="preserve"> PAGEREF _Toc16715 \h </w:instrText>
      </w:r>
      <w:r>
        <w:fldChar w:fldCharType="separate"/>
      </w:r>
      <w:r>
        <w:t>222</w:t>
      </w:r>
      <w:r>
        <w:fldChar w:fldCharType="end"/>
      </w:r>
      <w:r>
        <w:fldChar w:fldCharType="end"/>
      </w:r>
    </w:p>
    <w:p>
      <w:pPr>
        <w:pStyle w:val="14"/>
        <w:tabs>
          <w:tab w:val="right" w:leader="dot" w:pos="8845"/>
        </w:tabs>
      </w:pPr>
      <w:r>
        <w:fldChar w:fldCharType="begin"/>
      </w:r>
      <w:r>
        <w:instrText xml:space="preserve"> HYPERLINK \l _Toc13604 </w:instrText>
      </w:r>
      <w:r>
        <w:fldChar w:fldCharType="separate"/>
      </w:r>
      <w:r>
        <w:t>专业二十</w:t>
      </w:r>
      <w:r>
        <w:rPr>
          <w:rFonts w:hint="eastAsia"/>
          <w:lang w:val="en-US"/>
        </w:rPr>
        <w:t>四</w:t>
      </w:r>
      <w:r>
        <w:t>：设施农业科学与工程</w:t>
      </w:r>
      <w:r>
        <w:tab/>
      </w:r>
      <w:r>
        <w:fldChar w:fldCharType="begin"/>
      </w:r>
      <w:r>
        <w:instrText xml:space="preserve"> PAGEREF _Toc13604 \h </w:instrText>
      </w:r>
      <w:r>
        <w:fldChar w:fldCharType="separate"/>
      </w:r>
      <w:r>
        <w:t>226</w:t>
      </w:r>
      <w:r>
        <w:fldChar w:fldCharType="end"/>
      </w:r>
      <w:r>
        <w:fldChar w:fldCharType="end"/>
      </w:r>
    </w:p>
    <w:p>
      <w:pPr>
        <w:pStyle w:val="14"/>
        <w:tabs>
          <w:tab w:val="right" w:leader="dot" w:pos="8845"/>
        </w:tabs>
      </w:pPr>
      <w:r>
        <w:fldChar w:fldCharType="begin"/>
      </w:r>
      <w:r>
        <w:instrText xml:space="preserve"> HYPERLINK \l _Toc23968 </w:instrText>
      </w:r>
      <w:r>
        <w:fldChar w:fldCharType="separate"/>
      </w:r>
      <w:r>
        <w:rPr>
          <w:lang w:val="en-US"/>
        </w:rPr>
        <w:t>专业二十</w:t>
      </w:r>
      <w:r>
        <w:rPr>
          <w:rFonts w:hint="eastAsia"/>
          <w:lang w:val="en-US"/>
        </w:rPr>
        <w:t>五</w:t>
      </w:r>
      <w:r>
        <w:rPr>
          <w:lang w:val="en-US"/>
        </w:rPr>
        <w:t>：</w:t>
      </w:r>
      <w:r>
        <w:t>茶学</w:t>
      </w:r>
      <w:r>
        <w:tab/>
      </w:r>
      <w:r>
        <w:fldChar w:fldCharType="begin"/>
      </w:r>
      <w:r>
        <w:instrText xml:space="preserve"> PAGEREF _Toc23968 \h </w:instrText>
      </w:r>
      <w:r>
        <w:fldChar w:fldCharType="separate"/>
      </w:r>
      <w:r>
        <w:t>232</w:t>
      </w:r>
      <w:r>
        <w:fldChar w:fldCharType="end"/>
      </w:r>
      <w:r>
        <w:fldChar w:fldCharType="end"/>
      </w:r>
    </w:p>
    <w:p>
      <w:pPr>
        <w:pStyle w:val="14"/>
        <w:tabs>
          <w:tab w:val="right" w:leader="dot" w:pos="8845"/>
        </w:tabs>
      </w:pPr>
      <w:r>
        <w:fldChar w:fldCharType="begin"/>
      </w:r>
      <w:r>
        <w:instrText xml:space="preserve"> HYPERLINK \l _Toc24066 </w:instrText>
      </w:r>
      <w:r>
        <w:fldChar w:fldCharType="separate"/>
      </w:r>
      <w:r>
        <w:rPr>
          <w:rFonts w:hint="eastAsia"/>
          <w:lang w:val="en-US"/>
        </w:rPr>
        <w:t>专业二十六：</w:t>
      </w:r>
      <w:r>
        <w:t>动物科学</w:t>
      </w:r>
      <w:r>
        <w:tab/>
      </w:r>
      <w:r>
        <w:fldChar w:fldCharType="begin"/>
      </w:r>
      <w:r>
        <w:instrText xml:space="preserve"> PAGEREF _Toc24066 \h </w:instrText>
      </w:r>
      <w:r>
        <w:fldChar w:fldCharType="separate"/>
      </w:r>
      <w:r>
        <w:t>243</w:t>
      </w:r>
      <w:r>
        <w:fldChar w:fldCharType="end"/>
      </w:r>
      <w:r>
        <w:fldChar w:fldCharType="end"/>
      </w:r>
    </w:p>
    <w:p>
      <w:pPr>
        <w:pStyle w:val="14"/>
        <w:tabs>
          <w:tab w:val="right" w:leader="dot" w:pos="8845"/>
        </w:tabs>
      </w:pPr>
      <w:r>
        <w:fldChar w:fldCharType="begin"/>
      </w:r>
      <w:r>
        <w:instrText xml:space="preserve"> HYPERLINK \l _Toc7563 </w:instrText>
      </w:r>
      <w:r>
        <w:fldChar w:fldCharType="separate"/>
      </w:r>
      <w:r>
        <w:rPr>
          <w:rFonts w:hint="eastAsia"/>
          <w:lang w:val="en-US"/>
        </w:rPr>
        <w:t>专业二十七：</w:t>
      </w:r>
      <w:r>
        <w:t>动物医学</w:t>
      </w:r>
      <w:r>
        <w:tab/>
      </w:r>
      <w:r>
        <w:fldChar w:fldCharType="begin"/>
      </w:r>
      <w:r>
        <w:instrText xml:space="preserve"> PAGEREF _Toc7563 \h </w:instrText>
      </w:r>
      <w:r>
        <w:fldChar w:fldCharType="separate"/>
      </w:r>
      <w:r>
        <w:t>249</w:t>
      </w:r>
      <w:r>
        <w:fldChar w:fldCharType="end"/>
      </w:r>
      <w:r>
        <w:fldChar w:fldCharType="end"/>
      </w:r>
    </w:p>
    <w:p>
      <w:pPr>
        <w:pStyle w:val="14"/>
        <w:tabs>
          <w:tab w:val="right" w:leader="dot" w:pos="8845"/>
        </w:tabs>
      </w:pPr>
      <w:r>
        <w:fldChar w:fldCharType="begin"/>
      </w:r>
      <w:r>
        <w:instrText xml:space="preserve"> HYPERLINK \l _Toc21075 </w:instrText>
      </w:r>
      <w:r>
        <w:fldChar w:fldCharType="separate"/>
      </w:r>
      <w:r>
        <w:t>专业二十</w:t>
      </w:r>
      <w:r>
        <w:rPr>
          <w:rFonts w:hint="eastAsia"/>
          <w:lang w:val="en-US"/>
        </w:rPr>
        <w:t>八</w:t>
      </w:r>
      <w:r>
        <w:t>：水产养殖学</w:t>
      </w:r>
      <w:r>
        <w:tab/>
      </w:r>
      <w:r>
        <w:fldChar w:fldCharType="begin"/>
      </w:r>
      <w:r>
        <w:instrText xml:space="preserve"> PAGEREF _Toc21075 \h </w:instrText>
      </w:r>
      <w:r>
        <w:fldChar w:fldCharType="separate"/>
      </w:r>
      <w:r>
        <w:t>254</w:t>
      </w:r>
      <w:r>
        <w:fldChar w:fldCharType="end"/>
      </w:r>
      <w:r>
        <w:fldChar w:fldCharType="end"/>
      </w:r>
    </w:p>
    <w:p>
      <w:pPr>
        <w:pStyle w:val="14"/>
        <w:tabs>
          <w:tab w:val="right" w:leader="dot" w:pos="8845"/>
        </w:tabs>
      </w:pPr>
      <w:r>
        <w:fldChar w:fldCharType="begin"/>
      </w:r>
      <w:r>
        <w:instrText xml:space="preserve"> HYPERLINK \l _Toc31102 </w:instrText>
      </w:r>
      <w:r>
        <w:fldChar w:fldCharType="separate"/>
      </w:r>
      <w:r>
        <w:rPr>
          <w:rFonts w:hint="eastAsia"/>
          <w:lang w:val="en-US"/>
        </w:rPr>
        <w:t>专业二十九：</w:t>
      </w:r>
      <w:r>
        <w:t>机械设计制造及其自动化</w:t>
      </w:r>
      <w:r>
        <w:tab/>
      </w:r>
      <w:r>
        <w:fldChar w:fldCharType="begin"/>
      </w:r>
      <w:r>
        <w:instrText xml:space="preserve"> PAGEREF _Toc31102 \h </w:instrText>
      </w:r>
      <w:r>
        <w:fldChar w:fldCharType="separate"/>
      </w:r>
      <w:r>
        <w:t>262</w:t>
      </w:r>
      <w:r>
        <w:fldChar w:fldCharType="end"/>
      </w:r>
      <w:r>
        <w:fldChar w:fldCharType="end"/>
      </w:r>
    </w:p>
    <w:p>
      <w:pPr>
        <w:pStyle w:val="14"/>
        <w:tabs>
          <w:tab w:val="right" w:leader="dot" w:pos="8845"/>
        </w:tabs>
      </w:pPr>
      <w:r>
        <w:fldChar w:fldCharType="begin"/>
      </w:r>
      <w:r>
        <w:instrText xml:space="preserve"> HYPERLINK \l _Toc5219 </w:instrText>
      </w:r>
      <w:r>
        <w:fldChar w:fldCharType="separate"/>
      </w:r>
      <w:r>
        <w:rPr>
          <w:rFonts w:hint="eastAsia"/>
          <w:lang w:val="en-US"/>
        </w:rPr>
        <w:t>专业三十：</w:t>
      </w:r>
      <w:r>
        <w:t>机械电子工程</w:t>
      </w:r>
      <w:r>
        <w:tab/>
      </w:r>
      <w:r>
        <w:fldChar w:fldCharType="begin"/>
      </w:r>
      <w:r>
        <w:instrText xml:space="preserve"> PAGEREF _Toc5219 \h </w:instrText>
      </w:r>
      <w:r>
        <w:fldChar w:fldCharType="separate"/>
      </w:r>
      <w:r>
        <w:t>273</w:t>
      </w:r>
      <w:r>
        <w:fldChar w:fldCharType="end"/>
      </w:r>
      <w:r>
        <w:fldChar w:fldCharType="end"/>
      </w:r>
    </w:p>
    <w:p>
      <w:pPr>
        <w:pStyle w:val="14"/>
        <w:tabs>
          <w:tab w:val="right" w:leader="dot" w:pos="8845"/>
        </w:tabs>
      </w:pPr>
      <w:r>
        <w:fldChar w:fldCharType="begin"/>
      </w:r>
      <w:r>
        <w:instrText xml:space="preserve"> HYPERLINK \l _Toc12212 </w:instrText>
      </w:r>
      <w:r>
        <w:fldChar w:fldCharType="separate"/>
      </w:r>
      <w:r>
        <w:t>专业三十</w:t>
      </w:r>
      <w:r>
        <w:rPr>
          <w:rFonts w:hint="eastAsia"/>
          <w:lang w:val="en-US"/>
        </w:rPr>
        <w:t>一</w:t>
      </w:r>
      <w:r>
        <w:t>：车辆工程</w:t>
      </w:r>
      <w:r>
        <w:tab/>
      </w:r>
      <w:r>
        <w:fldChar w:fldCharType="begin"/>
      </w:r>
      <w:r>
        <w:instrText xml:space="preserve"> PAGEREF _Toc12212 \h </w:instrText>
      </w:r>
      <w:r>
        <w:fldChar w:fldCharType="separate"/>
      </w:r>
      <w:r>
        <w:t>287</w:t>
      </w:r>
      <w:r>
        <w:fldChar w:fldCharType="end"/>
      </w:r>
      <w:r>
        <w:fldChar w:fldCharType="end"/>
      </w:r>
    </w:p>
    <w:p>
      <w:pPr>
        <w:pStyle w:val="14"/>
        <w:tabs>
          <w:tab w:val="right" w:leader="dot" w:pos="8845"/>
        </w:tabs>
      </w:pPr>
      <w:r>
        <w:fldChar w:fldCharType="begin"/>
      </w:r>
      <w:r>
        <w:instrText xml:space="preserve"> HYPERLINK \l _Toc564 </w:instrText>
      </w:r>
      <w:r>
        <w:fldChar w:fldCharType="separate"/>
      </w:r>
      <w:r>
        <w:t>专业三十</w:t>
      </w:r>
      <w:r>
        <w:rPr>
          <w:rFonts w:hint="eastAsia"/>
          <w:lang w:val="en-US"/>
        </w:rPr>
        <w:t>二</w:t>
      </w:r>
      <w:r>
        <w:t>：电气工程及其自动化</w:t>
      </w:r>
      <w:r>
        <w:tab/>
      </w:r>
      <w:r>
        <w:fldChar w:fldCharType="begin"/>
      </w:r>
      <w:r>
        <w:instrText xml:space="preserve"> PAGEREF _Toc564 \h </w:instrText>
      </w:r>
      <w:r>
        <w:fldChar w:fldCharType="separate"/>
      </w:r>
      <w:r>
        <w:t>298</w:t>
      </w:r>
      <w:r>
        <w:fldChar w:fldCharType="end"/>
      </w:r>
      <w:r>
        <w:fldChar w:fldCharType="end"/>
      </w:r>
    </w:p>
    <w:p>
      <w:pPr>
        <w:pStyle w:val="14"/>
        <w:tabs>
          <w:tab w:val="right" w:leader="dot" w:pos="8845"/>
        </w:tabs>
      </w:pPr>
      <w:r>
        <w:fldChar w:fldCharType="begin"/>
      </w:r>
      <w:r>
        <w:instrText xml:space="preserve"> HYPERLINK \l _Toc9231 </w:instrText>
      </w:r>
      <w:r>
        <w:fldChar w:fldCharType="separate"/>
      </w:r>
      <w:r>
        <w:rPr>
          <w:rFonts w:hint="eastAsia"/>
          <w:lang w:val="en-US"/>
        </w:rPr>
        <w:t>专业三十三：</w:t>
      </w:r>
      <w:r>
        <w:t>自动化</w:t>
      </w:r>
      <w:r>
        <w:tab/>
      </w:r>
      <w:r>
        <w:fldChar w:fldCharType="begin"/>
      </w:r>
      <w:r>
        <w:instrText xml:space="preserve"> PAGEREF _Toc9231 \h </w:instrText>
      </w:r>
      <w:r>
        <w:fldChar w:fldCharType="separate"/>
      </w:r>
      <w:r>
        <w:t>321</w:t>
      </w:r>
      <w:r>
        <w:fldChar w:fldCharType="end"/>
      </w:r>
      <w:r>
        <w:fldChar w:fldCharType="end"/>
      </w:r>
    </w:p>
    <w:p>
      <w:pPr>
        <w:pStyle w:val="14"/>
        <w:tabs>
          <w:tab w:val="right" w:leader="dot" w:pos="8845"/>
        </w:tabs>
      </w:pPr>
      <w:r>
        <w:fldChar w:fldCharType="begin"/>
      </w:r>
      <w:r>
        <w:instrText xml:space="preserve"> HYPERLINK \l _Toc7775 </w:instrText>
      </w:r>
      <w:r>
        <w:fldChar w:fldCharType="separate"/>
      </w:r>
      <w:r>
        <w:t>专业</w:t>
      </w:r>
      <w:r>
        <w:rPr>
          <w:rFonts w:hint="eastAsia"/>
          <w:lang w:val="en-US"/>
        </w:rPr>
        <w:t>三十四</w:t>
      </w:r>
      <w:r>
        <w:t>：农业机械化及其自动化</w:t>
      </w:r>
      <w:r>
        <w:tab/>
      </w:r>
      <w:r>
        <w:fldChar w:fldCharType="begin"/>
      </w:r>
      <w:r>
        <w:instrText xml:space="preserve"> PAGEREF _Toc7775 \h </w:instrText>
      </w:r>
      <w:r>
        <w:fldChar w:fldCharType="separate"/>
      </w:r>
      <w:r>
        <w:t>329</w:t>
      </w:r>
      <w:r>
        <w:fldChar w:fldCharType="end"/>
      </w:r>
      <w:r>
        <w:fldChar w:fldCharType="end"/>
      </w:r>
    </w:p>
    <w:p>
      <w:pPr>
        <w:pStyle w:val="14"/>
        <w:tabs>
          <w:tab w:val="right" w:leader="dot" w:pos="8845"/>
        </w:tabs>
      </w:pPr>
      <w:r>
        <w:fldChar w:fldCharType="begin"/>
      </w:r>
      <w:r>
        <w:instrText xml:space="preserve"> HYPERLINK \l _Toc19451 </w:instrText>
      </w:r>
      <w:r>
        <w:fldChar w:fldCharType="separate"/>
      </w:r>
      <w:r>
        <w:t>专业三十</w:t>
      </w:r>
      <w:r>
        <w:rPr>
          <w:rFonts w:hint="eastAsia"/>
          <w:lang w:val="en-US"/>
        </w:rPr>
        <w:t>五</w:t>
      </w:r>
      <w:r>
        <w:t>：经济学</w:t>
      </w:r>
      <w:r>
        <w:tab/>
      </w:r>
      <w:r>
        <w:fldChar w:fldCharType="begin"/>
      </w:r>
      <w:r>
        <w:instrText xml:space="preserve"> PAGEREF _Toc19451 \h </w:instrText>
      </w:r>
      <w:r>
        <w:fldChar w:fldCharType="separate"/>
      </w:r>
      <w:r>
        <w:t>338</w:t>
      </w:r>
      <w:r>
        <w:fldChar w:fldCharType="end"/>
      </w:r>
      <w:r>
        <w:fldChar w:fldCharType="end"/>
      </w:r>
    </w:p>
    <w:p>
      <w:pPr>
        <w:pStyle w:val="14"/>
        <w:tabs>
          <w:tab w:val="right" w:leader="dot" w:pos="8845"/>
        </w:tabs>
      </w:pPr>
      <w:r>
        <w:fldChar w:fldCharType="begin"/>
      </w:r>
      <w:r>
        <w:instrText xml:space="preserve"> HYPERLINK \l _Toc30963 </w:instrText>
      </w:r>
      <w:r>
        <w:fldChar w:fldCharType="separate"/>
      </w:r>
      <w:r>
        <w:t>专业三十</w:t>
      </w:r>
      <w:r>
        <w:rPr>
          <w:rFonts w:hint="eastAsia"/>
          <w:lang w:val="en-US"/>
        </w:rPr>
        <w:t>六</w:t>
      </w:r>
      <w:r>
        <w:t>：金融学</w:t>
      </w:r>
      <w:r>
        <w:tab/>
      </w:r>
      <w:r>
        <w:fldChar w:fldCharType="begin"/>
      </w:r>
      <w:r>
        <w:instrText xml:space="preserve"> PAGEREF _Toc30963 \h </w:instrText>
      </w:r>
      <w:r>
        <w:fldChar w:fldCharType="separate"/>
      </w:r>
      <w:r>
        <w:t>344</w:t>
      </w:r>
      <w:r>
        <w:fldChar w:fldCharType="end"/>
      </w:r>
      <w:r>
        <w:fldChar w:fldCharType="end"/>
      </w:r>
    </w:p>
    <w:p>
      <w:pPr>
        <w:pStyle w:val="14"/>
        <w:tabs>
          <w:tab w:val="right" w:leader="dot" w:pos="8845"/>
        </w:tabs>
      </w:pPr>
      <w:r>
        <w:fldChar w:fldCharType="begin"/>
      </w:r>
      <w:r>
        <w:instrText xml:space="preserve"> HYPERLINK \l _Toc28247 </w:instrText>
      </w:r>
      <w:r>
        <w:fldChar w:fldCharType="separate"/>
      </w:r>
      <w:r>
        <w:t>专业</w:t>
      </w:r>
      <w:r>
        <w:rPr>
          <w:lang w:val="en-US"/>
        </w:rPr>
        <w:t>三十</w:t>
      </w:r>
      <w:r>
        <w:rPr>
          <w:rFonts w:hint="eastAsia"/>
          <w:lang w:val="en-US"/>
        </w:rPr>
        <w:t>七</w:t>
      </w:r>
      <w:r>
        <w:t>：国际经济与贸易</w:t>
      </w:r>
      <w:r>
        <w:tab/>
      </w:r>
      <w:r>
        <w:fldChar w:fldCharType="begin"/>
      </w:r>
      <w:r>
        <w:instrText xml:space="preserve"> PAGEREF _Toc28247 \h </w:instrText>
      </w:r>
      <w:r>
        <w:fldChar w:fldCharType="separate"/>
      </w:r>
      <w:r>
        <w:t>353</w:t>
      </w:r>
      <w:r>
        <w:fldChar w:fldCharType="end"/>
      </w:r>
      <w:r>
        <w:fldChar w:fldCharType="end"/>
      </w:r>
    </w:p>
    <w:p>
      <w:pPr>
        <w:pStyle w:val="14"/>
        <w:tabs>
          <w:tab w:val="right" w:leader="dot" w:pos="8845"/>
        </w:tabs>
      </w:pPr>
      <w:r>
        <w:fldChar w:fldCharType="begin"/>
      </w:r>
      <w:r>
        <w:instrText xml:space="preserve"> HYPERLINK \l _Toc52 </w:instrText>
      </w:r>
      <w:r>
        <w:fldChar w:fldCharType="separate"/>
      </w:r>
      <w:r>
        <w:rPr>
          <w:rFonts w:hint="eastAsia"/>
          <w:lang w:val="en-US" w:eastAsia="zh-CN"/>
        </w:rPr>
        <w:t xml:space="preserve">            </w:t>
      </w:r>
      <w:r>
        <w:t>国际经济与贸易（中德合作）</w:t>
      </w:r>
      <w:r>
        <w:tab/>
      </w:r>
      <w:r>
        <w:fldChar w:fldCharType="begin"/>
      </w:r>
      <w:r>
        <w:instrText xml:space="preserve"> PAGEREF _Toc52 \h </w:instrText>
      </w:r>
      <w:r>
        <w:fldChar w:fldCharType="separate"/>
      </w:r>
      <w:r>
        <w:t>358</w:t>
      </w:r>
      <w:r>
        <w:fldChar w:fldCharType="end"/>
      </w:r>
      <w:r>
        <w:fldChar w:fldCharType="end"/>
      </w:r>
    </w:p>
    <w:p>
      <w:pPr>
        <w:pStyle w:val="14"/>
        <w:tabs>
          <w:tab w:val="right" w:leader="dot" w:pos="8845"/>
        </w:tabs>
      </w:pPr>
      <w:r>
        <w:fldChar w:fldCharType="begin"/>
      </w:r>
      <w:r>
        <w:instrText xml:space="preserve"> HYPERLINK \l _Toc32689 </w:instrText>
      </w:r>
      <w:r>
        <w:fldChar w:fldCharType="separate"/>
      </w:r>
      <w:r>
        <w:t>专业</w:t>
      </w:r>
      <w:r>
        <w:rPr>
          <w:rFonts w:hint="eastAsia"/>
          <w:lang w:val="en-US"/>
        </w:rPr>
        <w:t>三十八</w:t>
      </w:r>
      <w:r>
        <w:t>：工商管理</w:t>
      </w:r>
      <w:r>
        <w:tab/>
      </w:r>
      <w:r>
        <w:fldChar w:fldCharType="begin"/>
      </w:r>
      <w:r>
        <w:instrText xml:space="preserve"> PAGEREF _Toc32689 \h </w:instrText>
      </w:r>
      <w:r>
        <w:fldChar w:fldCharType="separate"/>
      </w:r>
      <w:r>
        <w:t>362</w:t>
      </w:r>
      <w:r>
        <w:fldChar w:fldCharType="end"/>
      </w:r>
      <w:r>
        <w:fldChar w:fldCharType="end"/>
      </w:r>
    </w:p>
    <w:p>
      <w:pPr>
        <w:pStyle w:val="14"/>
        <w:tabs>
          <w:tab w:val="right" w:leader="dot" w:pos="8845"/>
        </w:tabs>
      </w:pPr>
      <w:r>
        <w:fldChar w:fldCharType="begin"/>
      </w:r>
      <w:r>
        <w:instrText xml:space="preserve"> HYPERLINK \l _Toc107 </w:instrText>
      </w:r>
      <w:r>
        <w:fldChar w:fldCharType="separate"/>
      </w:r>
      <w:r>
        <w:rPr>
          <w:rFonts w:hint="eastAsia"/>
          <w:lang w:val="en-US" w:eastAsia="zh-CN"/>
        </w:rPr>
        <w:t xml:space="preserve">            </w:t>
      </w:r>
      <w:r>
        <w:t>工商管理（中德合作）</w:t>
      </w:r>
      <w:r>
        <w:tab/>
      </w:r>
      <w:r>
        <w:fldChar w:fldCharType="begin"/>
      </w:r>
      <w:r>
        <w:instrText xml:space="preserve"> PAGEREF _Toc107 \h </w:instrText>
      </w:r>
      <w:r>
        <w:fldChar w:fldCharType="separate"/>
      </w:r>
      <w:r>
        <w:t>371</w:t>
      </w:r>
      <w:r>
        <w:fldChar w:fldCharType="end"/>
      </w:r>
      <w:r>
        <w:fldChar w:fldCharType="end"/>
      </w:r>
    </w:p>
    <w:p>
      <w:pPr>
        <w:pStyle w:val="14"/>
        <w:tabs>
          <w:tab w:val="right" w:leader="dot" w:pos="8845"/>
        </w:tabs>
      </w:pPr>
      <w:r>
        <w:fldChar w:fldCharType="begin"/>
      </w:r>
      <w:r>
        <w:instrText xml:space="preserve"> HYPERLINK \l _Toc25947 </w:instrText>
      </w:r>
      <w:r>
        <w:fldChar w:fldCharType="separate"/>
      </w:r>
      <w:r>
        <w:t>专业</w:t>
      </w:r>
      <w:r>
        <w:rPr>
          <w:rFonts w:hint="eastAsia"/>
          <w:lang w:val="en-US"/>
        </w:rPr>
        <w:t>三十九：</w:t>
      </w:r>
      <w:r>
        <w:t>会计学</w:t>
      </w:r>
      <w:r>
        <w:tab/>
      </w:r>
      <w:r>
        <w:fldChar w:fldCharType="begin"/>
      </w:r>
      <w:r>
        <w:instrText xml:space="preserve"> PAGEREF _Toc25947 \h </w:instrText>
      </w:r>
      <w:r>
        <w:fldChar w:fldCharType="separate"/>
      </w:r>
      <w:r>
        <w:t>375</w:t>
      </w:r>
      <w:r>
        <w:fldChar w:fldCharType="end"/>
      </w:r>
      <w:r>
        <w:fldChar w:fldCharType="end"/>
      </w:r>
    </w:p>
    <w:p>
      <w:pPr>
        <w:pStyle w:val="14"/>
        <w:tabs>
          <w:tab w:val="right" w:leader="dot" w:pos="8845"/>
        </w:tabs>
      </w:pPr>
      <w:r>
        <w:fldChar w:fldCharType="begin"/>
      </w:r>
      <w:r>
        <w:instrText xml:space="preserve"> HYPERLINK \l _Toc4903 </w:instrText>
      </w:r>
      <w:r>
        <w:fldChar w:fldCharType="separate"/>
      </w:r>
      <w:r>
        <w:rPr>
          <w:rFonts w:hint="eastAsia"/>
          <w:lang w:val="en-US" w:eastAsia="zh-CN"/>
        </w:rPr>
        <w:t xml:space="preserve">            </w:t>
      </w:r>
      <w:r>
        <w:t>会计学（中德合作）</w:t>
      </w:r>
      <w:r>
        <w:tab/>
      </w:r>
      <w:r>
        <w:fldChar w:fldCharType="begin"/>
      </w:r>
      <w:r>
        <w:instrText xml:space="preserve"> PAGEREF _Toc4903 \h </w:instrText>
      </w:r>
      <w:r>
        <w:fldChar w:fldCharType="separate"/>
      </w:r>
      <w:r>
        <w:t>381</w:t>
      </w:r>
      <w:r>
        <w:fldChar w:fldCharType="end"/>
      </w:r>
      <w:r>
        <w:fldChar w:fldCharType="end"/>
      </w:r>
    </w:p>
    <w:p>
      <w:pPr>
        <w:pStyle w:val="14"/>
        <w:tabs>
          <w:tab w:val="right" w:leader="dot" w:pos="8845"/>
        </w:tabs>
      </w:pPr>
      <w:r>
        <w:fldChar w:fldCharType="begin"/>
      </w:r>
      <w:r>
        <w:instrText xml:space="preserve"> HYPERLINK \l _Toc32283 </w:instrText>
      </w:r>
      <w:r>
        <w:fldChar w:fldCharType="separate"/>
      </w:r>
      <w:r>
        <w:t>专业四十：财务管理</w:t>
      </w:r>
      <w:r>
        <w:tab/>
      </w:r>
      <w:r>
        <w:fldChar w:fldCharType="begin"/>
      </w:r>
      <w:r>
        <w:instrText xml:space="preserve"> PAGEREF _Toc32283 \h </w:instrText>
      </w:r>
      <w:r>
        <w:fldChar w:fldCharType="separate"/>
      </w:r>
      <w:r>
        <w:t>385</w:t>
      </w:r>
      <w:r>
        <w:fldChar w:fldCharType="end"/>
      </w:r>
      <w:r>
        <w:fldChar w:fldCharType="end"/>
      </w:r>
    </w:p>
    <w:p>
      <w:pPr>
        <w:pStyle w:val="14"/>
        <w:tabs>
          <w:tab w:val="right" w:leader="dot" w:pos="8845"/>
        </w:tabs>
      </w:pPr>
      <w:r>
        <w:fldChar w:fldCharType="begin"/>
      </w:r>
      <w:r>
        <w:instrText xml:space="preserve"> HYPERLINK \l _Toc419 </w:instrText>
      </w:r>
      <w:r>
        <w:fldChar w:fldCharType="separate"/>
      </w:r>
      <w:r>
        <w:t>专业</w:t>
      </w:r>
      <w:r>
        <w:rPr>
          <w:rFonts w:hint="eastAsia"/>
          <w:lang w:val="en-US"/>
        </w:rPr>
        <w:t>四十一：</w:t>
      </w:r>
      <w:r>
        <w:t>资产评估</w:t>
      </w:r>
      <w:r>
        <w:tab/>
      </w:r>
      <w:r>
        <w:fldChar w:fldCharType="begin"/>
      </w:r>
      <w:r>
        <w:instrText xml:space="preserve"> PAGEREF _Toc419 \h </w:instrText>
      </w:r>
      <w:r>
        <w:fldChar w:fldCharType="separate"/>
      </w:r>
      <w:r>
        <w:t>391</w:t>
      </w:r>
      <w:r>
        <w:fldChar w:fldCharType="end"/>
      </w:r>
      <w:r>
        <w:fldChar w:fldCharType="end"/>
      </w:r>
    </w:p>
    <w:p>
      <w:pPr>
        <w:pStyle w:val="14"/>
        <w:tabs>
          <w:tab w:val="right" w:leader="dot" w:pos="8845"/>
        </w:tabs>
      </w:pPr>
      <w:r>
        <w:fldChar w:fldCharType="begin"/>
      </w:r>
      <w:r>
        <w:instrText xml:space="preserve"> HYPERLINK \l _Toc1424 </w:instrText>
      </w:r>
      <w:r>
        <w:fldChar w:fldCharType="separate"/>
      </w:r>
      <w:r>
        <w:rPr>
          <w:rFonts w:hint="eastAsia"/>
          <w:lang w:val="en-US"/>
        </w:rPr>
        <w:t>专业四十二：</w:t>
      </w:r>
      <w:r>
        <w:t>农林经济管理</w:t>
      </w:r>
      <w:r>
        <w:tab/>
      </w:r>
      <w:r>
        <w:fldChar w:fldCharType="begin"/>
      </w:r>
      <w:r>
        <w:instrText xml:space="preserve"> PAGEREF _Toc1424 \h </w:instrText>
      </w:r>
      <w:r>
        <w:fldChar w:fldCharType="separate"/>
      </w:r>
      <w:r>
        <w:t>398</w:t>
      </w:r>
      <w:r>
        <w:fldChar w:fldCharType="end"/>
      </w:r>
      <w:r>
        <w:fldChar w:fldCharType="end"/>
      </w:r>
    </w:p>
    <w:p>
      <w:pPr>
        <w:pStyle w:val="14"/>
        <w:tabs>
          <w:tab w:val="right" w:leader="dot" w:pos="8845"/>
        </w:tabs>
      </w:pPr>
      <w:r>
        <w:fldChar w:fldCharType="begin"/>
      </w:r>
      <w:r>
        <w:instrText xml:space="preserve"> HYPERLINK \l _Toc31527 </w:instrText>
      </w:r>
      <w:r>
        <w:fldChar w:fldCharType="separate"/>
      </w:r>
      <w:r>
        <w:rPr>
          <w:rFonts w:hint="eastAsia"/>
          <w:lang w:val="en-US"/>
        </w:rPr>
        <w:t>专业四十三：</w:t>
      </w:r>
      <w:r>
        <w:t>旅游管理</w:t>
      </w:r>
      <w:r>
        <w:tab/>
      </w:r>
      <w:r>
        <w:fldChar w:fldCharType="begin"/>
      </w:r>
      <w:r>
        <w:instrText xml:space="preserve"> PAGEREF _Toc31527 \h </w:instrText>
      </w:r>
      <w:r>
        <w:fldChar w:fldCharType="separate"/>
      </w:r>
      <w:r>
        <w:t>408</w:t>
      </w:r>
      <w:r>
        <w:fldChar w:fldCharType="end"/>
      </w:r>
      <w:r>
        <w:fldChar w:fldCharType="end"/>
      </w:r>
    </w:p>
    <w:p>
      <w:pPr>
        <w:pStyle w:val="14"/>
        <w:tabs>
          <w:tab w:val="right" w:leader="dot" w:pos="8845"/>
        </w:tabs>
      </w:pPr>
      <w:r>
        <w:fldChar w:fldCharType="begin"/>
      </w:r>
      <w:r>
        <w:instrText xml:space="preserve"> HYPERLINK \l _Toc20350 </w:instrText>
      </w:r>
      <w:r>
        <w:fldChar w:fldCharType="separate"/>
      </w:r>
      <w:r>
        <w:rPr>
          <w:lang w:val="en-US"/>
        </w:rPr>
        <w:t>专业四十</w:t>
      </w:r>
      <w:r>
        <w:rPr>
          <w:rFonts w:hint="eastAsia"/>
          <w:lang w:val="en-US"/>
        </w:rPr>
        <w:t>四</w:t>
      </w:r>
      <w:r>
        <w:rPr>
          <w:lang w:val="en-US"/>
        </w:rPr>
        <w:t>：</w:t>
      </w:r>
      <w:r>
        <w:t>食品科学与工程</w:t>
      </w:r>
      <w:r>
        <w:tab/>
      </w:r>
      <w:r>
        <w:fldChar w:fldCharType="begin"/>
      </w:r>
      <w:r>
        <w:instrText xml:space="preserve"> PAGEREF _Toc20350 \h </w:instrText>
      </w:r>
      <w:r>
        <w:fldChar w:fldCharType="separate"/>
      </w:r>
      <w:r>
        <w:t>413</w:t>
      </w:r>
      <w:r>
        <w:fldChar w:fldCharType="end"/>
      </w:r>
      <w:r>
        <w:fldChar w:fldCharType="end"/>
      </w:r>
    </w:p>
    <w:p>
      <w:pPr>
        <w:pStyle w:val="14"/>
        <w:tabs>
          <w:tab w:val="right" w:leader="dot" w:pos="8845"/>
        </w:tabs>
      </w:pPr>
      <w:r>
        <w:fldChar w:fldCharType="begin"/>
      </w:r>
      <w:r>
        <w:instrText xml:space="preserve"> HYPERLINK \l _Toc18329 </w:instrText>
      </w:r>
      <w:r>
        <w:fldChar w:fldCharType="separate"/>
      </w:r>
      <w:r>
        <w:rPr>
          <w:rFonts w:hint="eastAsia"/>
          <w:lang w:val="en-US"/>
        </w:rPr>
        <w:t>专业四十五：</w:t>
      </w:r>
      <w:r>
        <w:t>食品质量与安全</w:t>
      </w:r>
      <w:r>
        <w:tab/>
      </w:r>
      <w:r>
        <w:fldChar w:fldCharType="begin"/>
      </w:r>
      <w:r>
        <w:instrText xml:space="preserve"> PAGEREF _Toc18329 \h </w:instrText>
      </w:r>
      <w:r>
        <w:fldChar w:fldCharType="separate"/>
      </w:r>
      <w:r>
        <w:t>424</w:t>
      </w:r>
      <w:r>
        <w:fldChar w:fldCharType="end"/>
      </w:r>
      <w:r>
        <w:fldChar w:fldCharType="end"/>
      </w:r>
    </w:p>
    <w:p>
      <w:pPr>
        <w:pStyle w:val="14"/>
        <w:tabs>
          <w:tab w:val="right" w:leader="dot" w:pos="8845"/>
        </w:tabs>
      </w:pPr>
      <w:r>
        <w:fldChar w:fldCharType="begin"/>
      </w:r>
      <w:r>
        <w:instrText xml:space="preserve"> HYPERLINK \l _Toc660 </w:instrText>
      </w:r>
      <w:r>
        <w:fldChar w:fldCharType="separate"/>
      </w:r>
      <w:r>
        <w:rPr>
          <w:rFonts w:hint="eastAsia"/>
          <w:lang w:val="en-US" w:eastAsia="zh-CN"/>
        </w:rPr>
        <w:t xml:space="preserve">            </w:t>
      </w:r>
      <w:r>
        <w:t>食品质量与安全（中英合作）</w:t>
      </w:r>
      <w:r>
        <w:tab/>
      </w:r>
      <w:r>
        <w:fldChar w:fldCharType="begin"/>
      </w:r>
      <w:r>
        <w:instrText xml:space="preserve"> PAGEREF _Toc660 \h </w:instrText>
      </w:r>
      <w:r>
        <w:fldChar w:fldCharType="separate"/>
      </w:r>
      <w:r>
        <w:t>433</w:t>
      </w:r>
      <w:r>
        <w:fldChar w:fldCharType="end"/>
      </w:r>
      <w:r>
        <w:fldChar w:fldCharType="end"/>
      </w:r>
    </w:p>
    <w:p>
      <w:pPr>
        <w:pStyle w:val="14"/>
        <w:tabs>
          <w:tab w:val="right" w:leader="dot" w:pos="8845"/>
        </w:tabs>
      </w:pPr>
      <w:r>
        <w:fldChar w:fldCharType="begin"/>
      </w:r>
      <w:r>
        <w:instrText xml:space="preserve"> HYPERLINK \l _Toc8109 </w:instrText>
      </w:r>
      <w:r>
        <w:fldChar w:fldCharType="separate"/>
      </w:r>
      <w:r>
        <w:t>专业四十</w:t>
      </w:r>
      <w:r>
        <w:rPr>
          <w:rFonts w:hint="eastAsia"/>
          <w:lang w:val="en-US"/>
        </w:rPr>
        <w:t>六</w:t>
      </w:r>
      <w:r>
        <w:t>：葡萄与葡萄酒工程</w:t>
      </w:r>
      <w:r>
        <w:tab/>
      </w:r>
      <w:r>
        <w:fldChar w:fldCharType="begin"/>
      </w:r>
      <w:r>
        <w:instrText xml:space="preserve"> PAGEREF _Toc8109 \h </w:instrText>
      </w:r>
      <w:r>
        <w:fldChar w:fldCharType="separate"/>
      </w:r>
      <w:r>
        <w:t>442</w:t>
      </w:r>
      <w:r>
        <w:fldChar w:fldCharType="end"/>
      </w:r>
      <w:r>
        <w:fldChar w:fldCharType="end"/>
      </w:r>
    </w:p>
    <w:p>
      <w:pPr>
        <w:pStyle w:val="14"/>
        <w:tabs>
          <w:tab w:val="right" w:leader="dot" w:pos="8845"/>
        </w:tabs>
      </w:pPr>
      <w:r>
        <w:fldChar w:fldCharType="begin"/>
      </w:r>
      <w:r>
        <w:instrText xml:space="preserve"> HYPERLINK \l _Toc30329 </w:instrText>
      </w:r>
      <w:r>
        <w:fldChar w:fldCharType="separate"/>
      </w:r>
      <w:r>
        <w:t>专业</w:t>
      </w:r>
      <w:r>
        <w:rPr>
          <w:rFonts w:hint="eastAsia"/>
          <w:lang w:val="en-US"/>
        </w:rPr>
        <w:t>四十七</w:t>
      </w:r>
      <w:r>
        <w:t>：生物科学</w:t>
      </w:r>
      <w:r>
        <w:tab/>
      </w:r>
      <w:r>
        <w:fldChar w:fldCharType="begin"/>
      </w:r>
      <w:r>
        <w:instrText xml:space="preserve"> PAGEREF _Toc30329 \h </w:instrText>
      </w:r>
      <w:r>
        <w:fldChar w:fldCharType="separate"/>
      </w:r>
      <w:r>
        <w:t>448</w:t>
      </w:r>
      <w:r>
        <w:fldChar w:fldCharType="end"/>
      </w:r>
      <w:r>
        <w:fldChar w:fldCharType="end"/>
      </w:r>
    </w:p>
    <w:p>
      <w:pPr>
        <w:pStyle w:val="14"/>
        <w:tabs>
          <w:tab w:val="right" w:leader="dot" w:pos="8845"/>
        </w:tabs>
      </w:pPr>
      <w:r>
        <w:fldChar w:fldCharType="begin"/>
      </w:r>
      <w:r>
        <w:instrText xml:space="preserve"> HYPERLINK \l _Toc24383 </w:instrText>
      </w:r>
      <w:r>
        <w:fldChar w:fldCharType="separate"/>
      </w:r>
      <w:r>
        <w:t>专业</w:t>
      </w:r>
      <w:r>
        <w:rPr>
          <w:rFonts w:hint="eastAsia"/>
          <w:lang w:val="en-US"/>
        </w:rPr>
        <w:t>四十八</w:t>
      </w:r>
      <w:r>
        <w:t>：生物技术</w:t>
      </w:r>
      <w:r>
        <w:tab/>
      </w:r>
      <w:r>
        <w:fldChar w:fldCharType="begin"/>
      </w:r>
      <w:r>
        <w:instrText xml:space="preserve"> PAGEREF _Toc24383 \h </w:instrText>
      </w:r>
      <w:r>
        <w:fldChar w:fldCharType="separate"/>
      </w:r>
      <w:r>
        <w:t>463</w:t>
      </w:r>
      <w:r>
        <w:fldChar w:fldCharType="end"/>
      </w:r>
      <w:r>
        <w:fldChar w:fldCharType="end"/>
      </w:r>
    </w:p>
    <w:p>
      <w:pPr>
        <w:pStyle w:val="14"/>
        <w:tabs>
          <w:tab w:val="right" w:leader="dot" w:pos="8845"/>
        </w:tabs>
      </w:pPr>
      <w:r>
        <w:fldChar w:fldCharType="begin"/>
      </w:r>
      <w:r>
        <w:instrText xml:space="preserve"> HYPERLINK \l _Toc14108 </w:instrText>
      </w:r>
      <w:r>
        <w:fldChar w:fldCharType="separate"/>
      </w:r>
      <w:r>
        <w:t>专业</w:t>
      </w:r>
      <w:r>
        <w:rPr>
          <w:rFonts w:hint="eastAsia"/>
          <w:lang w:val="en-US"/>
        </w:rPr>
        <w:t>四十九</w:t>
      </w:r>
      <w:r>
        <w:t>：生物</w:t>
      </w:r>
      <w:r>
        <w:rPr>
          <w:lang w:val="en-US"/>
        </w:rPr>
        <w:t>工程</w:t>
      </w:r>
      <w:r>
        <w:tab/>
      </w:r>
      <w:r>
        <w:fldChar w:fldCharType="begin"/>
      </w:r>
      <w:r>
        <w:instrText xml:space="preserve"> PAGEREF _Toc14108 \h </w:instrText>
      </w:r>
      <w:r>
        <w:fldChar w:fldCharType="separate"/>
      </w:r>
      <w:r>
        <w:t>478</w:t>
      </w:r>
      <w:r>
        <w:fldChar w:fldCharType="end"/>
      </w:r>
      <w:r>
        <w:fldChar w:fldCharType="end"/>
      </w:r>
    </w:p>
    <w:p>
      <w:pPr>
        <w:pStyle w:val="14"/>
        <w:tabs>
          <w:tab w:val="right" w:leader="dot" w:pos="8845"/>
        </w:tabs>
      </w:pPr>
      <w:r>
        <w:fldChar w:fldCharType="begin"/>
      </w:r>
      <w:r>
        <w:instrText xml:space="preserve"> HYPERLINK \l _Toc11238 </w:instrText>
      </w:r>
      <w:r>
        <w:fldChar w:fldCharType="separate"/>
      </w:r>
      <w:r>
        <w:t>专业五十：英语</w:t>
      </w:r>
      <w:r>
        <w:tab/>
      </w:r>
      <w:r>
        <w:fldChar w:fldCharType="begin"/>
      </w:r>
      <w:r>
        <w:instrText xml:space="preserve"> PAGEREF _Toc11238 \h </w:instrText>
      </w:r>
      <w:r>
        <w:fldChar w:fldCharType="separate"/>
      </w:r>
      <w:r>
        <w:t>491</w:t>
      </w:r>
      <w:r>
        <w:fldChar w:fldCharType="end"/>
      </w:r>
      <w:r>
        <w:fldChar w:fldCharType="end"/>
      </w:r>
    </w:p>
    <w:p>
      <w:pPr>
        <w:pStyle w:val="14"/>
        <w:tabs>
          <w:tab w:val="right" w:leader="dot" w:pos="8845"/>
        </w:tabs>
      </w:pPr>
      <w:r>
        <w:fldChar w:fldCharType="begin"/>
      </w:r>
      <w:r>
        <w:instrText xml:space="preserve"> HYPERLINK \l _Toc32663 </w:instrText>
      </w:r>
      <w:r>
        <w:fldChar w:fldCharType="separate"/>
      </w:r>
      <w:r>
        <w:t>专业五十</w:t>
      </w:r>
      <w:r>
        <w:rPr>
          <w:rFonts w:hint="eastAsia"/>
          <w:lang w:val="en-US"/>
        </w:rPr>
        <w:t>一</w:t>
      </w:r>
      <w:r>
        <w:t>：俄语</w:t>
      </w:r>
      <w:r>
        <w:tab/>
      </w:r>
      <w:r>
        <w:fldChar w:fldCharType="begin"/>
      </w:r>
      <w:r>
        <w:instrText xml:space="preserve"> PAGEREF _Toc32663 \h </w:instrText>
      </w:r>
      <w:r>
        <w:fldChar w:fldCharType="separate"/>
      </w:r>
      <w:r>
        <w:t>500</w:t>
      </w:r>
      <w:r>
        <w:fldChar w:fldCharType="end"/>
      </w:r>
      <w:r>
        <w:fldChar w:fldCharType="end"/>
      </w:r>
    </w:p>
    <w:p>
      <w:pPr>
        <w:pStyle w:val="14"/>
        <w:tabs>
          <w:tab w:val="right" w:leader="dot" w:pos="8845"/>
        </w:tabs>
      </w:pPr>
      <w:r>
        <w:fldChar w:fldCharType="begin"/>
      </w:r>
      <w:r>
        <w:instrText xml:space="preserve"> HYPERLINK \l _Toc14532 </w:instrText>
      </w:r>
      <w:r>
        <w:fldChar w:fldCharType="separate"/>
      </w:r>
      <w:r>
        <w:t>专业五十</w:t>
      </w:r>
      <w:r>
        <w:rPr>
          <w:rFonts w:hint="eastAsia"/>
          <w:lang w:val="en-US"/>
        </w:rPr>
        <w:t>二</w:t>
      </w:r>
      <w:r>
        <w:t>：日语</w:t>
      </w:r>
      <w:r>
        <w:tab/>
      </w:r>
      <w:r>
        <w:fldChar w:fldCharType="begin"/>
      </w:r>
      <w:r>
        <w:instrText xml:space="preserve"> PAGEREF _Toc14532 \h </w:instrText>
      </w:r>
      <w:r>
        <w:fldChar w:fldCharType="separate"/>
      </w:r>
      <w:r>
        <w:t>507</w:t>
      </w:r>
      <w:r>
        <w:fldChar w:fldCharType="end"/>
      </w:r>
      <w:r>
        <w:fldChar w:fldCharType="end"/>
      </w:r>
    </w:p>
    <w:p>
      <w:pPr>
        <w:pStyle w:val="14"/>
        <w:tabs>
          <w:tab w:val="right" w:leader="dot" w:pos="8845"/>
        </w:tabs>
      </w:pPr>
      <w:r>
        <w:fldChar w:fldCharType="begin"/>
      </w:r>
      <w:r>
        <w:instrText xml:space="preserve"> HYPERLINK \l _Toc20782 </w:instrText>
      </w:r>
      <w:r>
        <w:fldChar w:fldCharType="separate"/>
      </w:r>
      <w:r>
        <w:t>专业</w:t>
      </w:r>
      <w:r>
        <w:rPr>
          <w:rFonts w:hint="eastAsia"/>
          <w:lang w:val="en-US"/>
        </w:rPr>
        <w:t>五十三</w:t>
      </w:r>
      <w:r>
        <w:t>：商务英语</w:t>
      </w:r>
      <w:r>
        <w:tab/>
      </w:r>
      <w:r>
        <w:fldChar w:fldCharType="begin"/>
      </w:r>
      <w:r>
        <w:instrText xml:space="preserve"> PAGEREF _Toc20782 \h </w:instrText>
      </w:r>
      <w:r>
        <w:fldChar w:fldCharType="separate"/>
      </w:r>
      <w:r>
        <w:t>518</w:t>
      </w:r>
      <w:r>
        <w:fldChar w:fldCharType="end"/>
      </w:r>
      <w:r>
        <w:fldChar w:fldCharType="end"/>
      </w:r>
    </w:p>
    <w:p>
      <w:pPr>
        <w:pStyle w:val="14"/>
        <w:tabs>
          <w:tab w:val="right" w:leader="dot" w:pos="8845"/>
        </w:tabs>
      </w:pPr>
      <w:r>
        <w:fldChar w:fldCharType="begin"/>
      </w:r>
      <w:r>
        <w:instrText xml:space="preserve"> HYPERLINK \l _Toc23060 </w:instrText>
      </w:r>
      <w:r>
        <w:fldChar w:fldCharType="separate"/>
      </w:r>
      <w:r>
        <w:rPr>
          <w:rFonts w:hint="eastAsia"/>
          <w:lang w:val="en-US"/>
        </w:rPr>
        <w:t>专业五十四：</w:t>
      </w:r>
      <w:r>
        <w:rPr>
          <w:lang w:val="en-US"/>
        </w:rPr>
        <w:t>法学</w:t>
      </w:r>
      <w:r>
        <w:tab/>
      </w:r>
      <w:r>
        <w:fldChar w:fldCharType="begin"/>
      </w:r>
      <w:r>
        <w:instrText xml:space="preserve"> PAGEREF _Toc23060 \h </w:instrText>
      </w:r>
      <w:r>
        <w:fldChar w:fldCharType="separate"/>
      </w:r>
      <w:r>
        <w:t>534</w:t>
      </w:r>
      <w:r>
        <w:fldChar w:fldCharType="end"/>
      </w:r>
      <w:r>
        <w:fldChar w:fldCharType="end"/>
      </w:r>
    </w:p>
    <w:p>
      <w:pPr>
        <w:pStyle w:val="14"/>
        <w:tabs>
          <w:tab w:val="right" w:leader="dot" w:pos="8845"/>
        </w:tabs>
      </w:pPr>
      <w:r>
        <w:fldChar w:fldCharType="begin"/>
      </w:r>
      <w:r>
        <w:instrText xml:space="preserve"> HYPERLINK \l _Toc12069 </w:instrText>
      </w:r>
      <w:r>
        <w:fldChar w:fldCharType="separate"/>
      </w:r>
      <w:r>
        <w:rPr>
          <w:rFonts w:hint="eastAsia"/>
          <w:lang w:val="en-US"/>
        </w:rPr>
        <w:t>专业五十五：</w:t>
      </w:r>
      <w:r>
        <w:t>秘书学</w:t>
      </w:r>
      <w:r>
        <w:tab/>
      </w:r>
      <w:r>
        <w:fldChar w:fldCharType="begin"/>
      </w:r>
      <w:r>
        <w:instrText xml:space="preserve"> PAGEREF _Toc12069 \h </w:instrText>
      </w:r>
      <w:r>
        <w:fldChar w:fldCharType="separate"/>
      </w:r>
      <w:r>
        <w:t>546</w:t>
      </w:r>
      <w:r>
        <w:fldChar w:fldCharType="end"/>
      </w:r>
      <w:r>
        <w:fldChar w:fldCharType="end"/>
      </w:r>
    </w:p>
    <w:p>
      <w:pPr>
        <w:pStyle w:val="14"/>
        <w:tabs>
          <w:tab w:val="right" w:leader="dot" w:pos="8845"/>
        </w:tabs>
      </w:pPr>
      <w:r>
        <w:fldChar w:fldCharType="begin"/>
      </w:r>
      <w:r>
        <w:instrText xml:space="preserve"> HYPERLINK \l _Toc28180 </w:instrText>
      </w:r>
      <w:r>
        <w:fldChar w:fldCharType="separate"/>
      </w:r>
      <w:r>
        <w:t>专业</w:t>
      </w:r>
      <w:r>
        <w:rPr>
          <w:rFonts w:hint="eastAsia"/>
          <w:lang w:val="en-US"/>
        </w:rPr>
        <w:t>五十六</w:t>
      </w:r>
      <w:r>
        <w:t>：文化产业管理</w:t>
      </w:r>
      <w:r>
        <w:tab/>
      </w:r>
      <w:r>
        <w:fldChar w:fldCharType="begin"/>
      </w:r>
      <w:r>
        <w:instrText xml:space="preserve"> PAGEREF _Toc28180 \h </w:instrText>
      </w:r>
      <w:r>
        <w:fldChar w:fldCharType="separate"/>
      </w:r>
      <w:r>
        <w:t>553</w:t>
      </w:r>
      <w:r>
        <w:fldChar w:fldCharType="end"/>
      </w:r>
      <w:r>
        <w:fldChar w:fldCharType="end"/>
      </w:r>
    </w:p>
    <w:p>
      <w:pPr>
        <w:pStyle w:val="14"/>
        <w:tabs>
          <w:tab w:val="right" w:leader="dot" w:pos="8845"/>
        </w:tabs>
      </w:pPr>
      <w:r>
        <w:fldChar w:fldCharType="begin"/>
      </w:r>
      <w:r>
        <w:instrText xml:space="preserve"> HYPERLINK \l _Toc3728 </w:instrText>
      </w:r>
      <w:r>
        <w:fldChar w:fldCharType="separate"/>
      </w:r>
      <w:r>
        <w:rPr>
          <w:rFonts w:hint="eastAsia"/>
          <w:lang w:val="en-US"/>
        </w:rPr>
        <w:t>专业五十七：</w:t>
      </w:r>
      <w:r>
        <w:t>行政管理</w:t>
      </w:r>
      <w:r>
        <w:tab/>
      </w:r>
      <w:r>
        <w:fldChar w:fldCharType="begin"/>
      </w:r>
      <w:r>
        <w:instrText xml:space="preserve"> PAGEREF _Toc3728 \h </w:instrText>
      </w:r>
      <w:r>
        <w:fldChar w:fldCharType="separate"/>
      </w:r>
      <w:r>
        <w:t>564</w:t>
      </w:r>
      <w:r>
        <w:fldChar w:fldCharType="end"/>
      </w:r>
      <w:r>
        <w:fldChar w:fldCharType="end"/>
      </w:r>
    </w:p>
    <w:p>
      <w:pPr>
        <w:pStyle w:val="14"/>
        <w:tabs>
          <w:tab w:val="right" w:leader="dot" w:pos="8845"/>
        </w:tabs>
      </w:pPr>
      <w:r>
        <w:fldChar w:fldCharType="begin"/>
      </w:r>
      <w:r>
        <w:instrText xml:space="preserve"> HYPERLINK \l _Toc16705 </w:instrText>
      </w:r>
      <w:r>
        <w:fldChar w:fldCharType="separate"/>
      </w:r>
      <w:r>
        <w:rPr>
          <w:rFonts w:hint="eastAsia"/>
          <w:lang w:val="en-US"/>
        </w:rPr>
        <w:t>专业五十八：</w:t>
      </w:r>
      <w:r>
        <w:t>城市管理</w:t>
      </w:r>
      <w:r>
        <w:tab/>
      </w:r>
      <w:r>
        <w:fldChar w:fldCharType="begin"/>
      </w:r>
      <w:r>
        <w:instrText xml:space="preserve"> PAGEREF _Toc16705 \h </w:instrText>
      </w:r>
      <w:r>
        <w:fldChar w:fldCharType="separate"/>
      </w:r>
      <w:r>
        <w:t>570</w:t>
      </w:r>
      <w:r>
        <w:fldChar w:fldCharType="end"/>
      </w:r>
      <w:r>
        <w:fldChar w:fldCharType="end"/>
      </w:r>
    </w:p>
    <w:p>
      <w:pPr>
        <w:pStyle w:val="14"/>
        <w:tabs>
          <w:tab w:val="right" w:leader="dot" w:pos="8845"/>
        </w:tabs>
      </w:pPr>
      <w:r>
        <w:fldChar w:fldCharType="begin"/>
      </w:r>
      <w:r>
        <w:instrText xml:space="preserve"> HYPERLINK \l _Toc7552 </w:instrText>
      </w:r>
      <w:r>
        <w:fldChar w:fldCharType="separate"/>
      </w:r>
      <w:r>
        <w:rPr>
          <w:rFonts w:hint="eastAsia"/>
          <w:lang w:val="en-US"/>
        </w:rPr>
        <w:t>专业五十九：</w:t>
      </w:r>
      <w:r>
        <w:rPr>
          <w:lang w:val="en-US"/>
        </w:rPr>
        <w:t>土木工程</w:t>
      </w:r>
      <w:r>
        <w:t>专业</w:t>
      </w:r>
      <w:r>
        <w:tab/>
      </w:r>
      <w:r>
        <w:fldChar w:fldCharType="begin"/>
      </w:r>
      <w:r>
        <w:instrText xml:space="preserve"> PAGEREF _Toc7552 \h </w:instrText>
      </w:r>
      <w:r>
        <w:fldChar w:fldCharType="separate"/>
      </w:r>
      <w:r>
        <w:t>578</w:t>
      </w:r>
      <w:r>
        <w:fldChar w:fldCharType="end"/>
      </w:r>
      <w:r>
        <w:fldChar w:fldCharType="end"/>
      </w:r>
    </w:p>
    <w:p>
      <w:pPr>
        <w:pStyle w:val="14"/>
        <w:tabs>
          <w:tab w:val="right" w:leader="dot" w:pos="8845"/>
        </w:tabs>
      </w:pPr>
      <w:r>
        <w:fldChar w:fldCharType="begin"/>
      </w:r>
      <w:r>
        <w:instrText xml:space="preserve"> HYPERLINK \l _Toc982 </w:instrText>
      </w:r>
      <w:r>
        <w:fldChar w:fldCharType="separate"/>
      </w:r>
      <w:r>
        <w:rPr>
          <w:lang w:val="en-US"/>
        </w:rPr>
        <w:t>专业六十：</w:t>
      </w:r>
      <w:r>
        <w:t>建筑环境与能源应用工程</w:t>
      </w:r>
      <w:r>
        <w:tab/>
      </w:r>
      <w:r>
        <w:fldChar w:fldCharType="begin"/>
      </w:r>
      <w:r>
        <w:instrText xml:space="preserve"> PAGEREF _Toc982 \h </w:instrText>
      </w:r>
      <w:r>
        <w:fldChar w:fldCharType="separate"/>
      </w:r>
      <w:r>
        <w:t>584</w:t>
      </w:r>
      <w:r>
        <w:fldChar w:fldCharType="end"/>
      </w:r>
      <w:r>
        <w:fldChar w:fldCharType="end"/>
      </w:r>
    </w:p>
    <w:p>
      <w:pPr>
        <w:pStyle w:val="14"/>
        <w:tabs>
          <w:tab w:val="right" w:leader="dot" w:pos="8845"/>
        </w:tabs>
      </w:pPr>
      <w:r>
        <w:fldChar w:fldCharType="begin"/>
      </w:r>
      <w:r>
        <w:instrText xml:space="preserve"> HYPERLINK \l _Toc28724 </w:instrText>
      </w:r>
      <w:r>
        <w:fldChar w:fldCharType="separate"/>
      </w:r>
      <w:r>
        <w:rPr>
          <w:rFonts w:hint="eastAsia"/>
          <w:lang w:val="en-US"/>
        </w:rPr>
        <w:t>专业六十一：</w:t>
      </w:r>
      <w:r>
        <w:t>给排水科学与工程</w:t>
      </w:r>
      <w:r>
        <w:tab/>
      </w:r>
      <w:r>
        <w:fldChar w:fldCharType="begin"/>
      </w:r>
      <w:r>
        <w:instrText xml:space="preserve"> PAGEREF _Toc28724 \h </w:instrText>
      </w:r>
      <w:r>
        <w:fldChar w:fldCharType="separate"/>
      </w:r>
      <w:r>
        <w:t>592</w:t>
      </w:r>
      <w:r>
        <w:fldChar w:fldCharType="end"/>
      </w:r>
      <w:r>
        <w:fldChar w:fldCharType="end"/>
      </w:r>
    </w:p>
    <w:p>
      <w:pPr>
        <w:pStyle w:val="14"/>
        <w:tabs>
          <w:tab w:val="right" w:leader="dot" w:pos="8845"/>
        </w:tabs>
      </w:pPr>
      <w:r>
        <w:fldChar w:fldCharType="begin"/>
      </w:r>
      <w:r>
        <w:instrText xml:space="preserve"> HYPERLINK \l _Toc12389 </w:instrText>
      </w:r>
      <w:r>
        <w:fldChar w:fldCharType="separate"/>
      </w:r>
      <w:r>
        <w:t>专业</w:t>
      </w:r>
      <w:r>
        <w:rPr>
          <w:lang w:val="en-US"/>
        </w:rPr>
        <w:t>六十</w:t>
      </w:r>
      <w:r>
        <w:rPr>
          <w:rFonts w:hint="eastAsia"/>
          <w:lang w:val="en-US"/>
        </w:rPr>
        <w:t>二</w:t>
      </w:r>
      <w:r>
        <w:t>：道路桥梁与渡河工程</w:t>
      </w:r>
      <w:r>
        <w:tab/>
      </w:r>
      <w:r>
        <w:fldChar w:fldCharType="begin"/>
      </w:r>
      <w:r>
        <w:instrText xml:space="preserve"> PAGEREF _Toc12389 \h </w:instrText>
      </w:r>
      <w:r>
        <w:fldChar w:fldCharType="separate"/>
      </w:r>
      <w:r>
        <w:t>598</w:t>
      </w:r>
      <w:r>
        <w:fldChar w:fldCharType="end"/>
      </w:r>
      <w:r>
        <w:fldChar w:fldCharType="end"/>
      </w:r>
    </w:p>
    <w:p>
      <w:pPr>
        <w:pStyle w:val="14"/>
        <w:tabs>
          <w:tab w:val="right" w:leader="dot" w:pos="8845"/>
        </w:tabs>
      </w:pPr>
      <w:r>
        <w:fldChar w:fldCharType="begin"/>
      </w:r>
      <w:r>
        <w:instrText xml:space="preserve"> HYPERLINK \l _Toc30117 </w:instrText>
      </w:r>
      <w:r>
        <w:fldChar w:fldCharType="separate"/>
      </w:r>
      <w:r>
        <w:t>专业</w:t>
      </w:r>
      <w:r>
        <w:rPr>
          <w:rFonts w:hint="eastAsia"/>
          <w:lang w:val="en-US"/>
        </w:rPr>
        <w:t>六十三</w:t>
      </w:r>
      <w:r>
        <w:t>：水利水电工程</w:t>
      </w:r>
      <w:r>
        <w:tab/>
      </w:r>
      <w:r>
        <w:fldChar w:fldCharType="begin"/>
      </w:r>
      <w:r>
        <w:instrText xml:space="preserve"> PAGEREF _Toc30117 \h </w:instrText>
      </w:r>
      <w:r>
        <w:fldChar w:fldCharType="separate"/>
      </w:r>
      <w:r>
        <w:t>605</w:t>
      </w:r>
      <w:r>
        <w:fldChar w:fldCharType="end"/>
      </w:r>
      <w:r>
        <w:fldChar w:fldCharType="end"/>
      </w:r>
    </w:p>
    <w:p>
      <w:pPr>
        <w:pStyle w:val="14"/>
        <w:tabs>
          <w:tab w:val="right" w:leader="dot" w:pos="8845"/>
        </w:tabs>
      </w:pPr>
      <w:r>
        <w:fldChar w:fldCharType="begin"/>
      </w:r>
      <w:r>
        <w:instrText xml:space="preserve"> HYPERLINK \l _Toc4956 </w:instrText>
      </w:r>
      <w:r>
        <w:fldChar w:fldCharType="separate"/>
      </w:r>
      <w:r>
        <w:t>专业</w:t>
      </w:r>
      <w:r>
        <w:rPr>
          <w:lang w:val="en-US"/>
        </w:rPr>
        <w:t>六十</w:t>
      </w:r>
      <w:r>
        <w:rPr>
          <w:rFonts w:hint="eastAsia"/>
          <w:lang w:val="en-US"/>
        </w:rPr>
        <w:t>四</w:t>
      </w:r>
      <w:r>
        <w:t>：水文与水资源工程</w:t>
      </w:r>
      <w:r>
        <w:tab/>
      </w:r>
      <w:r>
        <w:fldChar w:fldCharType="begin"/>
      </w:r>
      <w:r>
        <w:instrText xml:space="preserve"> PAGEREF _Toc4956 \h </w:instrText>
      </w:r>
      <w:r>
        <w:fldChar w:fldCharType="separate"/>
      </w:r>
      <w:r>
        <w:t>613</w:t>
      </w:r>
      <w:r>
        <w:fldChar w:fldCharType="end"/>
      </w:r>
      <w:r>
        <w:fldChar w:fldCharType="end"/>
      </w:r>
    </w:p>
    <w:p>
      <w:pPr>
        <w:pStyle w:val="14"/>
        <w:tabs>
          <w:tab w:val="right" w:leader="dot" w:pos="8845"/>
        </w:tabs>
      </w:pPr>
      <w:r>
        <w:fldChar w:fldCharType="begin"/>
      </w:r>
      <w:r>
        <w:instrText xml:space="preserve"> HYPERLINK \l _Toc13570 </w:instrText>
      </w:r>
      <w:r>
        <w:fldChar w:fldCharType="separate"/>
      </w:r>
      <w:r>
        <w:t>专业六十</w:t>
      </w:r>
      <w:r>
        <w:rPr>
          <w:rFonts w:hint="eastAsia"/>
          <w:lang w:val="en-US"/>
        </w:rPr>
        <w:t>五</w:t>
      </w:r>
      <w:r>
        <w:t>：建筑学</w:t>
      </w:r>
      <w:r>
        <w:tab/>
      </w:r>
      <w:r>
        <w:fldChar w:fldCharType="begin"/>
      </w:r>
      <w:r>
        <w:instrText xml:space="preserve"> PAGEREF _Toc13570 \h </w:instrText>
      </w:r>
      <w:r>
        <w:fldChar w:fldCharType="separate"/>
      </w:r>
      <w:r>
        <w:t>619</w:t>
      </w:r>
      <w:r>
        <w:fldChar w:fldCharType="end"/>
      </w:r>
      <w:r>
        <w:fldChar w:fldCharType="end"/>
      </w:r>
    </w:p>
    <w:p>
      <w:pPr>
        <w:pStyle w:val="14"/>
        <w:tabs>
          <w:tab w:val="right" w:leader="dot" w:pos="8845"/>
        </w:tabs>
      </w:pPr>
      <w:r>
        <w:fldChar w:fldCharType="begin"/>
      </w:r>
      <w:r>
        <w:instrText xml:space="preserve"> HYPERLINK \l _Toc22048 </w:instrText>
      </w:r>
      <w:r>
        <w:fldChar w:fldCharType="separate"/>
      </w:r>
      <w:r>
        <w:t>专业</w:t>
      </w:r>
      <w:r>
        <w:rPr>
          <w:rFonts w:hint="eastAsia"/>
          <w:lang w:val="en-US"/>
        </w:rPr>
        <w:t>六十六</w:t>
      </w:r>
      <w:r>
        <w:t>：数学与应用数学</w:t>
      </w:r>
      <w:r>
        <w:tab/>
      </w:r>
      <w:r>
        <w:fldChar w:fldCharType="begin"/>
      </w:r>
      <w:r>
        <w:instrText xml:space="preserve"> PAGEREF _Toc22048 \h </w:instrText>
      </w:r>
      <w:r>
        <w:fldChar w:fldCharType="separate"/>
      </w:r>
      <w:r>
        <w:t>627</w:t>
      </w:r>
      <w:r>
        <w:fldChar w:fldCharType="end"/>
      </w:r>
      <w:r>
        <w:fldChar w:fldCharType="end"/>
      </w:r>
    </w:p>
    <w:p>
      <w:pPr>
        <w:pStyle w:val="14"/>
        <w:tabs>
          <w:tab w:val="right" w:leader="dot" w:pos="8845"/>
        </w:tabs>
      </w:pPr>
      <w:r>
        <w:fldChar w:fldCharType="begin"/>
      </w:r>
      <w:r>
        <w:instrText xml:space="preserve"> HYPERLINK \l _Toc15686 </w:instrText>
      </w:r>
      <w:r>
        <w:fldChar w:fldCharType="separate"/>
      </w:r>
      <w:r>
        <w:t>专业</w:t>
      </w:r>
      <w:r>
        <w:rPr>
          <w:rFonts w:hint="eastAsia"/>
          <w:lang w:val="en-US"/>
        </w:rPr>
        <w:t>六十七</w:t>
      </w:r>
      <w:r>
        <w:t>：信息与计算科学</w:t>
      </w:r>
      <w:r>
        <w:tab/>
      </w:r>
      <w:r>
        <w:fldChar w:fldCharType="begin"/>
      </w:r>
      <w:r>
        <w:instrText xml:space="preserve"> PAGEREF _Toc15686 \h </w:instrText>
      </w:r>
      <w:r>
        <w:fldChar w:fldCharType="separate"/>
      </w:r>
      <w:r>
        <w:t>637</w:t>
      </w:r>
      <w:r>
        <w:fldChar w:fldCharType="end"/>
      </w:r>
      <w:r>
        <w:fldChar w:fldCharType="end"/>
      </w:r>
    </w:p>
    <w:p>
      <w:pPr>
        <w:pStyle w:val="14"/>
        <w:tabs>
          <w:tab w:val="right" w:leader="dot" w:pos="8845"/>
        </w:tabs>
      </w:pPr>
      <w:r>
        <w:fldChar w:fldCharType="begin"/>
      </w:r>
      <w:r>
        <w:instrText xml:space="preserve"> HYPERLINK \l _Toc21057 </w:instrText>
      </w:r>
      <w:r>
        <w:fldChar w:fldCharType="separate"/>
      </w:r>
      <w:r>
        <w:t>专业</w:t>
      </w:r>
      <w:r>
        <w:rPr>
          <w:rFonts w:hint="eastAsia"/>
          <w:lang w:val="en-US"/>
        </w:rPr>
        <w:t>六十八</w:t>
      </w:r>
      <w:r>
        <w:t>：通信工程</w:t>
      </w:r>
      <w:r>
        <w:tab/>
      </w:r>
      <w:r>
        <w:fldChar w:fldCharType="begin"/>
      </w:r>
      <w:r>
        <w:instrText xml:space="preserve"> PAGEREF _Toc21057 \h </w:instrText>
      </w:r>
      <w:r>
        <w:fldChar w:fldCharType="separate"/>
      </w:r>
      <w:r>
        <w:t>647</w:t>
      </w:r>
      <w:r>
        <w:fldChar w:fldCharType="end"/>
      </w:r>
      <w:r>
        <w:fldChar w:fldCharType="end"/>
      </w:r>
    </w:p>
    <w:p>
      <w:pPr>
        <w:pStyle w:val="14"/>
        <w:tabs>
          <w:tab w:val="right" w:leader="dot" w:pos="8845"/>
        </w:tabs>
      </w:pPr>
      <w:r>
        <w:fldChar w:fldCharType="begin"/>
      </w:r>
      <w:r>
        <w:instrText xml:space="preserve"> HYPERLINK \l _Toc30271 </w:instrText>
      </w:r>
      <w:r>
        <w:fldChar w:fldCharType="separate"/>
      </w:r>
      <w:r>
        <w:t>专业</w:t>
      </w:r>
      <w:r>
        <w:rPr>
          <w:rFonts w:hint="eastAsia"/>
          <w:lang w:val="en-US"/>
        </w:rPr>
        <w:t>六十九</w:t>
      </w:r>
      <w:r>
        <w:t>：电子信息科学与技术</w:t>
      </w:r>
      <w:r>
        <w:tab/>
      </w:r>
      <w:r>
        <w:fldChar w:fldCharType="begin"/>
      </w:r>
      <w:r>
        <w:instrText xml:space="preserve"> PAGEREF _Toc30271 \h </w:instrText>
      </w:r>
      <w:r>
        <w:fldChar w:fldCharType="separate"/>
      </w:r>
      <w:r>
        <w:t>654</w:t>
      </w:r>
      <w:r>
        <w:fldChar w:fldCharType="end"/>
      </w:r>
      <w:r>
        <w:fldChar w:fldCharType="end"/>
      </w:r>
    </w:p>
    <w:p>
      <w:pPr>
        <w:pStyle w:val="14"/>
        <w:tabs>
          <w:tab w:val="right" w:leader="dot" w:pos="8845"/>
        </w:tabs>
      </w:pPr>
      <w:r>
        <w:fldChar w:fldCharType="begin"/>
      </w:r>
      <w:r>
        <w:instrText xml:space="preserve"> HYPERLINK \l _Toc23271 </w:instrText>
      </w:r>
      <w:r>
        <w:fldChar w:fldCharType="separate"/>
      </w:r>
      <w:r>
        <w:rPr>
          <w:rFonts w:hint="eastAsia"/>
        </w:rPr>
        <w:t>专业</w:t>
      </w:r>
      <w:r>
        <w:rPr>
          <w:rFonts w:hint="eastAsia"/>
          <w:lang w:val="en-US"/>
        </w:rPr>
        <w:t>七十：</w:t>
      </w:r>
      <w:r>
        <w:rPr>
          <w:rFonts w:hint="eastAsia"/>
        </w:rPr>
        <w:t>计算机科学与技术</w:t>
      </w:r>
      <w:r>
        <w:tab/>
      </w:r>
      <w:r>
        <w:fldChar w:fldCharType="begin"/>
      </w:r>
      <w:r>
        <w:instrText xml:space="preserve"> PAGEREF _Toc23271 \h </w:instrText>
      </w:r>
      <w:r>
        <w:fldChar w:fldCharType="separate"/>
      </w:r>
      <w:r>
        <w:t>661</w:t>
      </w:r>
      <w:r>
        <w:fldChar w:fldCharType="end"/>
      </w:r>
      <w:r>
        <w:fldChar w:fldCharType="end"/>
      </w:r>
    </w:p>
    <w:p>
      <w:pPr>
        <w:pStyle w:val="14"/>
        <w:tabs>
          <w:tab w:val="right" w:leader="dot" w:pos="8845"/>
        </w:tabs>
      </w:pPr>
      <w:r>
        <w:fldChar w:fldCharType="begin"/>
      </w:r>
      <w:r>
        <w:instrText xml:space="preserve"> HYPERLINK \l _Toc3770 </w:instrText>
      </w:r>
      <w:r>
        <w:fldChar w:fldCharType="separate"/>
      </w:r>
      <w:r>
        <w:rPr>
          <w:rFonts w:ascii="Times New Roman" w:hAnsi="Times New Roman" w:cs="Times New Roman"/>
        </w:rPr>
        <w:t>专业</w:t>
      </w:r>
      <w:r>
        <w:rPr>
          <w:rFonts w:ascii="Times New Roman" w:hAnsi="Times New Roman" w:cs="Times New Roman"/>
          <w:lang w:val="en-US"/>
        </w:rPr>
        <w:t>七十</w:t>
      </w:r>
      <w:r>
        <w:rPr>
          <w:rFonts w:hint="eastAsia" w:ascii="Times New Roman" w:hAnsi="Times New Roman" w:cs="Times New Roman"/>
          <w:lang w:val="en-US"/>
        </w:rPr>
        <w:t>一</w:t>
      </w:r>
      <w:r>
        <w:rPr>
          <w:rFonts w:ascii="Times New Roman" w:hAnsi="Times New Roman" w:cs="Times New Roman"/>
          <w:lang w:val="en-US"/>
        </w:rPr>
        <w:t>：</w:t>
      </w:r>
      <w:r>
        <w:rPr>
          <w:rFonts w:ascii="Times New Roman" w:hAnsi="Times New Roman" w:cs="Times New Roman"/>
        </w:rPr>
        <w:t>网络工程</w:t>
      </w:r>
      <w:r>
        <w:tab/>
      </w:r>
      <w:r>
        <w:fldChar w:fldCharType="begin"/>
      </w:r>
      <w:r>
        <w:instrText xml:space="preserve"> PAGEREF _Toc3770 \h </w:instrText>
      </w:r>
      <w:r>
        <w:fldChar w:fldCharType="separate"/>
      </w:r>
      <w:r>
        <w:t>671</w:t>
      </w:r>
      <w:r>
        <w:fldChar w:fldCharType="end"/>
      </w:r>
      <w:r>
        <w:fldChar w:fldCharType="end"/>
      </w:r>
    </w:p>
    <w:p>
      <w:pPr>
        <w:pStyle w:val="14"/>
        <w:tabs>
          <w:tab w:val="right" w:leader="dot" w:pos="8845"/>
        </w:tabs>
      </w:pPr>
      <w:r>
        <w:fldChar w:fldCharType="begin"/>
      </w:r>
      <w:r>
        <w:instrText xml:space="preserve"> HYPERLINK \l _Toc4813 </w:instrText>
      </w:r>
      <w:r>
        <w:fldChar w:fldCharType="separate"/>
      </w:r>
      <w:r>
        <w:t>专业</w:t>
      </w:r>
      <w:r>
        <w:rPr>
          <w:rFonts w:hint="eastAsia"/>
          <w:lang w:val="en-US"/>
        </w:rPr>
        <w:t>七</w:t>
      </w:r>
      <w:r>
        <w:t>十</w:t>
      </w:r>
      <w:r>
        <w:rPr>
          <w:rFonts w:hint="eastAsia"/>
          <w:lang w:val="en-US"/>
        </w:rPr>
        <w:t>二</w:t>
      </w:r>
      <w:r>
        <w:t>：物联网工程</w:t>
      </w:r>
      <w:r>
        <w:tab/>
      </w:r>
      <w:r>
        <w:fldChar w:fldCharType="begin"/>
      </w:r>
      <w:r>
        <w:instrText xml:space="preserve"> PAGEREF _Toc4813 \h </w:instrText>
      </w:r>
      <w:r>
        <w:fldChar w:fldCharType="separate"/>
      </w:r>
      <w:r>
        <w:t>678</w:t>
      </w:r>
      <w:r>
        <w:fldChar w:fldCharType="end"/>
      </w:r>
      <w:r>
        <w:fldChar w:fldCharType="end"/>
      </w:r>
    </w:p>
    <w:p>
      <w:pPr>
        <w:pStyle w:val="14"/>
        <w:tabs>
          <w:tab w:val="right" w:leader="dot" w:pos="8845"/>
        </w:tabs>
      </w:pPr>
      <w:r>
        <w:fldChar w:fldCharType="begin"/>
      </w:r>
      <w:r>
        <w:instrText xml:space="preserve"> HYPERLINK \l _Toc6435 </w:instrText>
      </w:r>
      <w:r>
        <w:fldChar w:fldCharType="separate"/>
      </w:r>
      <w:r>
        <w:t>专业</w:t>
      </w:r>
      <w:r>
        <w:rPr>
          <w:rFonts w:hint="eastAsia"/>
          <w:lang w:val="en-US"/>
        </w:rPr>
        <w:t>七十三：</w:t>
      </w:r>
      <w:r>
        <w:t>测绘工程</w:t>
      </w:r>
      <w:r>
        <w:tab/>
      </w:r>
      <w:r>
        <w:fldChar w:fldCharType="begin"/>
      </w:r>
      <w:r>
        <w:instrText xml:space="preserve"> PAGEREF _Toc6435 \h </w:instrText>
      </w:r>
      <w:r>
        <w:fldChar w:fldCharType="separate"/>
      </w:r>
      <w:r>
        <w:t>686</w:t>
      </w:r>
      <w:r>
        <w:fldChar w:fldCharType="end"/>
      </w:r>
      <w:r>
        <w:fldChar w:fldCharType="end"/>
      </w:r>
    </w:p>
    <w:p>
      <w:pPr>
        <w:pStyle w:val="14"/>
        <w:tabs>
          <w:tab w:val="right" w:leader="dot" w:pos="8845"/>
        </w:tabs>
      </w:pPr>
      <w:r>
        <w:fldChar w:fldCharType="begin"/>
      </w:r>
      <w:r>
        <w:instrText xml:space="preserve"> HYPERLINK \l _Toc15071 </w:instrText>
      </w:r>
      <w:r>
        <w:fldChar w:fldCharType="separate"/>
      </w:r>
      <w:r>
        <w:t>专业</w:t>
      </w:r>
      <w:r>
        <w:rPr>
          <w:rFonts w:hint="eastAsia"/>
          <w:lang w:val="en-US"/>
        </w:rPr>
        <w:t>七十四：</w:t>
      </w:r>
      <w:r>
        <w:t>遥感科学与技术</w:t>
      </w:r>
      <w:r>
        <w:tab/>
      </w:r>
      <w:r>
        <w:fldChar w:fldCharType="begin"/>
      </w:r>
      <w:r>
        <w:instrText xml:space="preserve"> PAGEREF _Toc15071 \h </w:instrText>
      </w:r>
      <w:r>
        <w:fldChar w:fldCharType="separate"/>
      </w:r>
      <w:r>
        <w:t>703</w:t>
      </w:r>
      <w:r>
        <w:fldChar w:fldCharType="end"/>
      </w:r>
      <w:r>
        <w:fldChar w:fldCharType="end"/>
      </w:r>
    </w:p>
    <w:p>
      <w:pPr>
        <w:pStyle w:val="14"/>
        <w:tabs>
          <w:tab w:val="right" w:leader="dot" w:pos="8845"/>
        </w:tabs>
      </w:pPr>
      <w:r>
        <w:fldChar w:fldCharType="begin"/>
      </w:r>
      <w:r>
        <w:instrText xml:space="preserve"> HYPERLINK \l _Toc12831 </w:instrText>
      </w:r>
      <w:r>
        <w:fldChar w:fldCharType="separate"/>
      </w:r>
      <w:r>
        <w:t>专业</w:t>
      </w:r>
      <w:r>
        <w:rPr>
          <w:rFonts w:hint="eastAsia"/>
          <w:lang w:val="en-US"/>
        </w:rPr>
        <w:t>七十五</w:t>
      </w:r>
      <w:r>
        <w:t>：数据科学与大数据技术</w:t>
      </w:r>
      <w:r>
        <w:tab/>
      </w:r>
      <w:r>
        <w:fldChar w:fldCharType="begin"/>
      </w:r>
      <w:r>
        <w:instrText xml:space="preserve"> PAGEREF _Toc12831 \h </w:instrText>
      </w:r>
      <w:r>
        <w:fldChar w:fldCharType="separate"/>
      </w:r>
      <w:r>
        <w:t>713</w:t>
      </w:r>
      <w:r>
        <w:fldChar w:fldCharType="end"/>
      </w:r>
      <w:r>
        <w:fldChar w:fldCharType="end"/>
      </w:r>
    </w:p>
    <w:p>
      <w:pPr>
        <w:pStyle w:val="14"/>
        <w:tabs>
          <w:tab w:val="right" w:leader="dot" w:pos="8845"/>
        </w:tabs>
      </w:pPr>
      <w:r>
        <w:fldChar w:fldCharType="begin"/>
      </w:r>
      <w:r>
        <w:instrText xml:space="preserve"> HYPERLINK \l _Toc1781 </w:instrText>
      </w:r>
      <w:r>
        <w:fldChar w:fldCharType="separate"/>
      </w:r>
      <w:r>
        <w:t>专业七十</w:t>
      </w:r>
      <w:r>
        <w:rPr>
          <w:rFonts w:hint="eastAsia"/>
          <w:lang w:val="en-US"/>
        </w:rPr>
        <w:t>六</w:t>
      </w:r>
      <w:r>
        <w:t>：应用化学</w:t>
      </w:r>
      <w:r>
        <w:tab/>
      </w:r>
      <w:r>
        <w:fldChar w:fldCharType="begin"/>
      </w:r>
      <w:r>
        <w:instrText xml:space="preserve"> PAGEREF _Toc1781 \h </w:instrText>
      </w:r>
      <w:r>
        <w:fldChar w:fldCharType="separate"/>
      </w:r>
      <w:r>
        <w:t>719</w:t>
      </w:r>
      <w:r>
        <w:fldChar w:fldCharType="end"/>
      </w:r>
      <w:r>
        <w:fldChar w:fldCharType="end"/>
      </w:r>
    </w:p>
    <w:p>
      <w:pPr>
        <w:pStyle w:val="14"/>
        <w:tabs>
          <w:tab w:val="right" w:leader="dot" w:pos="8845"/>
        </w:tabs>
      </w:pPr>
      <w:r>
        <w:fldChar w:fldCharType="begin"/>
      </w:r>
      <w:r>
        <w:instrText xml:space="preserve"> HYPERLINK \l _Toc10465 </w:instrText>
      </w:r>
      <w:r>
        <w:fldChar w:fldCharType="separate"/>
      </w:r>
      <w:r>
        <w:rPr>
          <w:rFonts w:hint="eastAsia"/>
          <w:lang w:val="en-US"/>
        </w:rPr>
        <w:t>专业七十七：</w:t>
      </w:r>
      <w:r>
        <w:t>材料化学</w:t>
      </w:r>
      <w:r>
        <w:tab/>
      </w:r>
      <w:r>
        <w:fldChar w:fldCharType="begin"/>
      </w:r>
      <w:r>
        <w:instrText xml:space="preserve"> PAGEREF _Toc10465 \h </w:instrText>
      </w:r>
      <w:r>
        <w:fldChar w:fldCharType="separate"/>
      </w:r>
      <w:r>
        <w:t>729</w:t>
      </w:r>
      <w:r>
        <w:fldChar w:fldCharType="end"/>
      </w:r>
      <w:r>
        <w:fldChar w:fldCharType="end"/>
      </w:r>
    </w:p>
    <w:p>
      <w:pPr>
        <w:pStyle w:val="14"/>
        <w:keepNext w:val="0"/>
        <w:keepLines w:val="0"/>
        <w:pageBreakBefore w:val="0"/>
        <w:widowControl w:val="0"/>
        <w:tabs>
          <w:tab w:val="right" w:leader="dot" w:pos="8845"/>
        </w:tabs>
        <w:kinsoku/>
        <w:wordWrap/>
        <w:overflowPunct/>
        <w:topLinePunct w:val="0"/>
        <w:autoSpaceDE/>
        <w:autoSpaceDN/>
        <w:bidi w:val="0"/>
        <w:adjustRightInd/>
        <w:snapToGrid/>
        <w:textAlignment w:val="auto"/>
      </w:pPr>
      <w:r>
        <w:fldChar w:fldCharType="begin"/>
      </w:r>
      <w:r>
        <w:instrText xml:space="preserve"> HYPERLINK \l _Toc12613 </w:instrText>
      </w:r>
      <w:r>
        <w:fldChar w:fldCharType="separate"/>
      </w:r>
      <w:r>
        <w:rPr>
          <w:rFonts w:hint="eastAsia"/>
          <w:lang w:val="en-US"/>
        </w:rPr>
        <w:t>专业七十八：</w:t>
      </w:r>
      <w:r>
        <w:t>资源循环科学与工程</w:t>
      </w:r>
      <w:r>
        <w:tab/>
      </w:r>
      <w:r>
        <w:fldChar w:fldCharType="begin"/>
      </w:r>
      <w:r>
        <w:instrText xml:space="preserve"> PAGEREF _Toc12613 \h </w:instrText>
      </w:r>
      <w:r>
        <w:fldChar w:fldCharType="separate"/>
      </w:r>
      <w:r>
        <w:t>737</w:t>
      </w:r>
      <w:r>
        <w:fldChar w:fldCharType="end"/>
      </w:r>
      <w:r>
        <w:fldChar w:fldCharType="end"/>
      </w:r>
    </w:p>
    <w:p>
      <w:pPr>
        <w:pStyle w:val="14"/>
        <w:keepNext w:val="0"/>
        <w:keepLines w:val="0"/>
        <w:pageBreakBefore w:val="0"/>
        <w:widowControl w:val="0"/>
        <w:tabs>
          <w:tab w:val="right" w:leader="dot" w:pos="8845"/>
        </w:tabs>
        <w:kinsoku/>
        <w:wordWrap/>
        <w:overflowPunct/>
        <w:topLinePunct w:val="0"/>
        <w:autoSpaceDE/>
        <w:autoSpaceDN/>
        <w:bidi w:val="0"/>
        <w:adjustRightInd/>
        <w:snapToGrid/>
        <w:textAlignment w:val="auto"/>
      </w:pPr>
      <w:r>
        <w:fldChar w:fldCharType="begin"/>
      </w:r>
      <w:r>
        <w:instrText xml:space="preserve"> HYPERLINK \l _Toc8015 </w:instrText>
      </w:r>
      <w:r>
        <w:fldChar w:fldCharType="separate"/>
      </w:r>
      <w:r>
        <w:rPr>
          <w:lang w:val="en-US"/>
        </w:rPr>
        <w:t>专业</w:t>
      </w:r>
      <w:r>
        <w:rPr>
          <w:rFonts w:hint="eastAsia"/>
          <w:lang w:val="en-US"/>
        </w:rPr>
        <w:t>七十九</w:t>
      </w:r>
      <w:r>
        <w:rPr>
          <w:lang w:val="en-US"/>
        </w:rPr>
        <w:t>：</w:t>
      </w:r>
      <w:r>
        <w:t>社会体育指导与管理</w:t>
      </w:r>
      <w:r>
        <w:tab/>
      </w:r>
      <w:r>
        <w:fldChar w:fldCharType="begin"/>
      </w:r>
      <w:r>
        <w:instrText xml:space="preserve"> PAGEREF _Toc8015 \h </w:instrText>
      </w:r>
      <w:r>
        <w:fldChar w:fldCharType="separate"/>
      </w:r>
      <w:r>
        <w:t>746</w:t>
      </w:r>
      <w:r>
        <w:fldChar w:fldCharType="end"/>
      </w:r>
      <w:r>
        <w:fldChar w:fldCharType="end"/>
      </w:r>
    </w:p>
    <w:p>
      <w:pPr>
        <w:pStyle w:val="14"/>
        <w:keepNext w:val="0"/>
        <w:keepLines w:val="0"/>
        <w:pageBreakBefore w:val="0"/>
        <w:widowControl w:val="0"/>
        <w:tabs>
          <w:tab w:val="right" w:leader="dot" w:pos="8845"/>
        </w:tabs>
        <w:kinsoku/>
        <w:wordWrap/>
        <w:overflowPunct/>
        <w:topLinePunct w:val="0"/>
        <w:autoSpaceDE/>
        <w:autoSpaceDN/>
        <w:bidi w:val="0"/>
        <w:adjustRightInd/>
        <w:snapToGrid/>
        <w:textAlignment w:val="auto"/>
      </w:pPr>
      <w:r>
        <w:fldChar w:fldCharType="begin"/>
      </w:r>
      <w:r>
        <w:instrText xml:space="preserve"> HYPERLINK \l _Toc2687 </w:instrText>
      </w:r>
      <w:r>
        <w:fldChar w:fldCharType="separate"/>
      </w:r>
      <w:r>
        <w:rPr>
          <w:rFonts w:hint="eastAsia"/>
          <w:lang w:val="en-US"/>
        </w:rPr>
        <w:t>专业八十：</w:t>
      </w:r>
      <w:r>
        <w:rPr>
          <w:lang w:val="en-US"/>
        </w:rPr>
        <w:t>音乐学</w:t>
      </w:r>
      <w:r>
        <w:tab/>
      </w:r>
      <w:r>
        <w:fldChar w:fldCharType="begin"/>
      </w:r>
      <w:r>
        <w:instrText xml:space="preserve"> PAGEREF _Toc2687 \h </w:instrText>
      </w:r>
      <w:r>
        <w:fldChar w:fldCharType="separate"/>
      </w:r>
      <w:r>
        <w:t>753</w:t>
      </w:r>
      <w:r>
        <w:fldChar w:fldCharType="end"/>
      </w:r>
      <w:r>
        <w:fldChar w:fldCharType="end"/>
      </w:r>
    </w:p>
    <w:p>
      <w:pPr>
        <w:pStyle w:val="14"/>
        <w:keepNext w:val="0"/>
        <w:keepLines w:val="0"/>
        <w:pageBreakBefore w:val="0"/>
        <w:widowControl w:val="0"/>
        <w:tabs>
          <w:tab w:val="right" w:leader="dot" w:pos="8845"/>
        </w:tabs>
        <w:kinsoku/>
        <w:wordWrap/>
        <w:overflowPunct/>
        <w:topLinePunct w:val="0"/>
        <w:autoSpaceDE/>
        <w:autoSpaceDN/>
        <w:bidi w:val="0"/>
        <w:adjustRightInd/>
        <w:snapToGrid/>
        <w:textAlignment w:val="auto"/>
      </w:pPr>
      <w:r>
        <w:fldChar w:fldCharType="begin"/>
      </w:r>
      <w:r>
        <w:instrText xml:space="preserve"> HYPERLINK \l _Toc2101 </w:instrText>
      </w:r>
      <w:r>
        <w:fldChar w:fldCharType="separate"/>
      </w:r>
      <w:r>
        <w:rPr>
          <w:rFonts w:hint="eastAsia"/>
          <w:lang w:val="en-US"/>
        </w:rPr>
        <w:t>专业八十一：</w:t>
      </w:r>
      <w:r>
        <w:t>录音艺术</w:t>
      </w:r>
      <w:r>
        <w:tab/>
      </w:r>
      <w:r>
        <w:fldChar w:fldCharType="begin"/>
      </w:r>
      <w:r>
        <w:instrText xml:space="preserve"> PAGEREF _Toc2101 \h </w:instrText>
      </w:r>
      <w:r>
        <w:fldChar w:fldCharType="separate"/>
      </w:r>
      <w:r>
        <w:t>762</w:t>
      </w:r>
      <w:r>
        <w:fldChar w:fldCharType="end"/>
      </w:r>
      <w:r>
        <w:fldChar w:fldCharType="end"/>
      </w:r>
    </w:p>
    <w:p>
      <w:pPr>
        <w:pStyle w:val="14"/>
        <w:keepNext w:val="0"/>
        <w:keepLines w:val="0"/>
        <w:pageBreakBefore w:val="0"/>
        <w:widowControl w:val="0"/>
        <w:tabs>
          <w:tab w:val="right" w:leader="dot" w:pos="8845"/>
        </w:tabs>
        <w:kinsoku/>
        <w:wordWrap/>
        <w:overflowPunct/>
        <w:topLinePunct w:val="0"/>
        <w:autoSpaceDE/>
        <w:autoSpaceDN/>
        <w:bidi w:val="0"/>
        <w:adjustRightInd/>
        <w:snapToGrid/>
        <w:textAlignment w:val="auto"/>
      </w:pPr>
      <w:r>
        <w:fldChar w:fldCharType="begin"/>
      </w:r>
      <w:r>
        <w:instrText xml:space="preserve"> HYPERLINK \l _Toc29618 </w:instrText>
      </w:r>
      <w:r>
        <w:fldChar w:fldCharType="separate"/>
      </w:r>
      <w:r>
        <w:rPr>
          <w:rFonts w:hint="eastAsia"/>
          <w:lang w:val="en-US"/>
        </w:rPr>
        <w:t>专业八十二：</w:t>
      </w:r>
      <w:r>
        <w:t>视觉传达设计</w:t>
      </w:r>
      <w:r>
        <w:tab/>
      </w:r>
      <w:r>
        <w:fldChar w:fldCharType="begin"/>
      </w:r>
      <w:r>
        <w:instrText xml:space="preserve"> PAGEREF _Toc29618 \h </w:instrText>
      </w:r>
      <w:r>
        <w:fldChar w:fldCharType="separate"/>
      </w:r>
      <w:r>
        <w:t>767</w:t>
      </w:r>
      <w:r>
        <w:fldChar w:fldCharType="end"/>
      </w:r>
      <w:r>
        <w:fldChar w:fldCharType="end"/>
      </w:r>
    </w:p>
    <w:p>
      <w:pPr>
        <w:pStyle w:val="14"/>
        <w:keepNext w:val="0"/>
        <w:keepLines w:val="0"/>
        <w:pageBreakBefore w:val="0"/>
        <w:widowControl w:val="0"/>
        <w:tabs>
          <w:tab w:val="right" w:leader="dot" w:pos="8845"/>
        </w:tabs>
        <w:kinsoku/>
        <w:wordWrap/>
        <w:overflowPunct/>
        <w:topLinePunct w:val="0"/>
        <w:autoSpaceDE/>
        <w:autoSpaceDN/>
        <w:bidi w:val="0"/>
        <w:adjustRightInd/>
        <w:snapToGrid/>
        <w:textAlignment w:val="auto"/>
      </w:pPr>
      <w:r>
        <w:fldChar w:fldCharType="begin"/>
      </w:r>
      <w:r>
        <w:instrText xml:space="preserve"> HYPERLINK \l _Toc22631 </w:instrText>
      </w:r>
      <w:r>
        <w:fldChar w:fldCharType="separate"/>
      </w:r>
      <w:r>
        <w:rPr>
          <w:rFonts w:hint="eastAsia"/>
          <w:lang w:val="en-US"/>
        </w:rPr>
        <w:t>专业八十三：</w:t>
      </w:r>
      <w:r>
        <w:t>环境设计</w:t>
      </w:r>
      <w:r>
        <w:rPr>
          <w:rFonts w:hint="eastAsia"/>
        </w:rPr>
        <w:t>（</w:t>
      </w:r>
      <w:r>
        <w:rPr>
          <w:rFonts w:hint="eastAsia"/>
          <w:lang w:val="en-US"/>
        </w:rPr>
        <w:t>景观设计方向</w:t>
      </w:r>
      <w:r>
        <w:rPr>
          <w:rFonts w:hint="eastAsia"/>
        </w:rPr>
        <w:t>）</w:t>
      </w:r>
      <w:r>
        <w:tab/>
      </w:r>
      <w:r>
        <w:fldChar w:fldCharType="begin"/>
      </w:r>
      <w:r>
        <w:instrText xml:space="preserve"> PAGEREF _Toc22631 \h </w:instrText>
      </w:r>
      <w:r>
        <w:fldChar w:fldCharType="separate"/>
      </w:r>
      <w:r>
        <w:t>773</w:t>
      </w:r>
      <w:r>
        <w:fldChar w:fldCharType="end"/>
      </w:r>
      <w:r>
        <w:fldChar w:fldCharType="end"/>
      </w:r>
    </w:p>
    <w:p>
      <w:pPr>
        <w:pStyle w:val="14"/>
        <w:keepNext w:val="0"/>
        <w:keepLines w:val="0"/>
        <w:pageBreakBefore w:val="0"/>
        <w:widowControl w:val="0"/>
        <w:tabs>
          <w:tab w:val="right" w:leader="dot" w:pos="8845"/>
        </w:tabs>
        <w:kinsoku/>
        <w:wordWrap/>
        <w:overflowPunct/>
        <w:topLinePunct w:val="0"/>
        <w:autoSpaceDE/>
        <w:autoSpaceDN/>
        <w:bidi w:val="0"/>
        <w:adjustRightInd/>
        <w:snapToGrid/>
        <w:textAlignment w:val="auto"/>
      </w:pPr>
      <w:r>
        <w:fldChar w:fldCharType="begin"/>
      </w:r>
      <w:r>
        <w:instrText xml:space="preserve"> HYPERLINK \l _Toc24892 </w:instrText>
      </w:r>
      <w:r>
        <w:fldChar w:fldCharType="separate"/>
      </w:r>
      <w:r>
        <w:rPr>
          <w:rFonts w:hint="eastAsia"/>
          <w:lang w:val="en-US" w:eastAsia="zh-CN"/>
        </w:rPr>
        <w:t xml:space="preserve">            </w:t>
      </w:r>
      <w:r>
        <w:rPr>
          <w:rFonts w:hint="eastAsia"/>
        </w:rPr>
        <w:t>环境设计（室内设计方向）</w:t>
      </w:r>
      <w:r>
        <w:tab/>
      </w:r>
      <w:r>
        <w:fldChar w:fldCharType="begin"/>
      </w:r>
      <w:r>
        <w:instrText xml:space="preserve"> PAGEREF _Toc24892 \h </w:instrText>
      </w:r>
      <w:r>
        <w:fldChar w:fldCharType="separate"/>
      </w:r>
      <w:r>
        <w:t>779</w:t>
      </w:r>
      <w:r>
        <w:fldChar w:fldCharType="end"/>
      </w:r>
      <w:r>
        <w:fldChar w:fldCharType="end"/>
      </w:r>
    </w:p>
    <w:p>
      <w:r>
        <w:fldChar w:fldCharType="end"/>
      </w:r>
    </w:p>
    <w:p/>
    <w:p>
      <w:pPr>
        <w:sectPr>
          <w:footerReference r:id="rId5" w:type="default"/>
          <w:pgSz w:w="11906" w:h="16838"/>
          <w:pgMar w:top="1440" w:right="1474" w:bottom="1440" w:left="1587" w:header="851" w:footer="992" w:gutter="0"/>
          <w:pgNumType w:fmt="upperRoman" w:start="1"/>
          <w:cols w:space="425" w:num="1"/>
          <w:docGrid w:type="lines" w:linePitch="312" w:charSpace="0"/>
        </w:sectPr>
      </w:pPr>
    </w:p>
    <w:p>
      <w:pPr>
        <w:pStyle w:val="16"/>
        <w:spacing w:after="240"/>
        <w:rPr>
          <w:rFonts w:ascii="Times New Roman" w:hAnsi="Times New Roman"/>
        </w:rPr>
      </w:pPr>
      <w:bookmarkStart w:id="0" w:name="_Toc2588"/>
      <w:bookmarkStart w:id="1" w:name="_Toc27912"/>
      <w:bookmarkStart w:id="2" w:name="_Toc3660"/>
      <w:bookmarkStart w:id="3" w:name="_Toc26028"/>
      <w:bookmarkStart w:id="4" w:name="_Toc21707"/>
      <w:bookmarkStart w:id="5" w:name="_Toc5019"/>
      <w:bookmarkStart w:id="6" w:name="_Toc13996"/>
      <w:bookmarkStart w:id="7" w:name="_Toc29807"/>
      <w:bookmarkStart w:id="8" w:name="_Toc695"/>
      <w:bookmarkStart w:id="9" w:name="_Toc30826"/>
      <w:bookmarkStart w:id="10" w:name="_Toc6478"/>
      <w:bookmarkStart w:id="11" w:name="_Toc16981"/>
    </w:p>
    <w:p>
      <w:pPr>
        <w:pStyle w:val="16"/>
        <w:spacing w:after="240"/>
        <w:rPr>
          <w:rFonts w:ascii="Times New Roman" w:hAnsi="Times New Roman"/>
        </w:rPr>
      </w:pPr>
      <w:bookmarkStart w:id="12" w:name="_Toc594"/>
      <w:r>
        <w:rPr>
          <w:rFonts w:ascii="Times New Roman" w:hAnsi="Times New Roman"/>
        </w:rPr>
        <w:t>引  言</w:t>
      </w:r>
      <w:bookmarkEnd w:id="0"/>
      <w:bookmarkEnd w:id="1"/>
      <w:bookmarkEnd w:id="2"/>
      <w:bookmarkEnd w:id="3"/>
      <w:bookmarkEnd w:id="4"/>
      <w:bookmarkEnd w:id="5"/>
      <w:bookmarkEnd w:id="6"/>
      <w:bookmarkEnd w:id="12"/>
    </w:p>
    <w:p>
      <w:pPr>
        <w:ind w:firstLine="480"/>
      </w:pPr>
      <w:r>
        <w:t>山东农业大学坐落在雄伟壮丽的泰山脚下，前身是1906年创办于济南的山东高等农业学堂。后几经变迁，1952年经全国院系调整，成立山东农学院。1958年由济南迁至泰安，1983年更名为山东农业大学。1999年7月，原山东农业大学、山东水利专科学校合并，同时山东省林业学校并入，组建新的山东农业大学。目前，学校已经发展成为一所以农业科学为优势，生命科学为特色，融农、理、工、管、经、文、法、艺术学等于一体的多科性大学。</w:t>
      </w:r>
    </w:p>
    <w:p>
      <w:pPr>
        <w:ind w:firstLine="480"/>
      </w:pPr>
      <w:r>
        <w:t>学校是农业农村部与山东省人民政府共建高校，国家林业和草原局与山东省人民政府共建高校，是教育部、农业农村部、国家林业和草原局首批卓越农林人才教育培养计划改革试点高校，是山东省首批五所应用基础型特色名校之一，是山东省高水平大</w:t>
      </w:r>
      <w:r>
        <w:rPr>
          <w:rFonts w:ascii="宋体" w:hAnsi="宋体" w:cs="宋体"/>
        </w:rPr>
        <w:t>学“冲一流”建</w:t>
      </w:r>
      <w:r>
        <w:t>设高校，是首届全国文明校园。近年来，学校毕业生就业质量位居省属高校前列，深造率平均在38%以上，荣获全国毕业生就业典型经验高校50强、全国创新创业典型经验高校50强。</w:t>
      </w:r>
    </w:p>
    <w:p>
      <w:pPr>
        <w:ind w:firstLine="480"/>
      </w:pPr>
      <w:r>
        <w:t>学校深入学习贯彻习近平总书记给全国涉农高校书记校长和专家代表的回信精神，深刻认识新农科建设的重大意义和农林高校的使命，持续提升专业人才培养工作水平。2022年，学校共有83个本科专业7333名学生毕业，在《2022年中国大学本科毕业生质量排行榜》中位列全国第87位，连续4年位居省属高校第1位，实现</w:t>
      </w:r>
      <w:r>
        <w:rPr>
          <w:rFonts w:ascii="宋体" w:hAnsi="宋体" w:cs="宋体"/>
        </w:rPr>
        <w:t>了“</w:t>
      </w:r>
      <w:r>
        <w:t>新生质量D+</w:t>
      </w:r>
      <w:r>
        <w:rPr>
          <w:rFonts w:hint="eastAsia" w:ascii="宋体" w:hAnsi="宋体" w:cs="宋体"/>
        </w:rPr>
        <w:t>”向“</w:t>
      </w:r>
      <w:r>
        <w:t>毕业生质量B+</w:t>
      </w:r>
      <w:r>
        <w:rPr>
          <w:rFonts w:ascii="宋体" w:hAnsi="宋体" w:cs="宋体"/>
        </w:rPr>
        <w:t>”</w:t>
      </w:r>
      <w:r>
        <w:t>的飞跃。</w:t>
      </w:r>
    </w:p>
    <w:p>
      <w:pPr>
        <w:ind w:firstLine="480"/>
      </w:pPr>
    </w:p>
    <w:p>
      <w:pPr>
        <w:ind w:firstLine="480"/>
      </w:pPr>
    </w:p>
    <w:p>
      <w:pPr>
        <w:ind w:firstLine="480"/>
      </w:pPr>
    </w:p>
    <w:p>
      <w:pPr>
        <w:ind w:firstLine="480"/>
      </w:pPr>
    </w:p>
    <w:p>
      <w:pPr>
        <w:ind w:firstLine="480"/>
        <w:sectPr>
          <w:headerReference r:id="rId6" w:type="default"/>
          <w:footerReference r:id="rId7" w:type="default"/>
          <w:pgSz w:w="11906" w:h="16838"/>
          <w:pgMar w:top="1417" w:right="1474" w:bottom="1417" w:left="1474" w:header="850" w:footer="992" w:gutter="0"/>
          <w:pgNumType w:start="1"/>
          <w:cols w:space="720" w:num="1"/>
          <w:docGrid w:linePitch="349" w:charSpace="0"/>
        </w:sectPr>
      </w:pPr>
    </w:p>
    <w:p>
      <w:pPr>
        <w:pStyle w:val="4"/>
        <w:ind w:firstLine="600"/>
        <w:rPr>
          <w:rFonts w:ascii="Times New Roman" w:hAnsi="Times New Roman" w:cs="Times New Roman"/>
        </w:rPr>
      </w:pPr>
      <w:bookmarkStart w:id="13" w:name="_Toc17007"/>
      <w:r>
        <w:rPr>
          <w:rFonts w:ascii="Times New Roman" w:hAnsi="Times New Roman" w:cs="Times New Roman"/>
        </w:rPr>
        <w:t>专业一：农学</w:t>
      </w:r>
      <w:bookmarkEnd w:id="7"/>
      <w:bookmarkEnd w:id="8"/>
      <w:bookmarkEnd w:id="9"/>
      <w:bookmarkEnd w:id="10"/>
      <w:bookmarkEnd w:id="11"/>
      <w:bookmarkEnd w:id="13"/>
    </w:p>
    <w:p>
      <w:pPr>
        <w:spacing w:line="420" w:lineRule="exact"/>
        <w:ind w:firstLine="480" w:firstLineChars="200"/>
      </w:pPr>
      <w:r>
        <w:t>农学专业是山东农业大学设置最早的传统优势骨干专业之一，至今已经有百余年的历史。作为国家一流本科专业建设点、国家级特色专业、教育部卓越农林人才教育培养计划专业、山东省首批品牌专业、山东省高水平应用型立项建设专业，已经为国家培养了以李振声、山仑、李培武等院士为代表的一大批农业专门人才。</w:t>
      </w:r>
    </w:p>
    <w:p>
      <w:pPr>
        <w:pStyle w:val="5"/>
        <w:spacing w:before="93" w:after="93" w:line="420" w:lineRule="exact"/>
        <w:ind w:firstLine="560"/>
      </w:pPr>
      <w:r>
        <w:t>一、人才培养目标</w:t>
      </w:r>
    </w:p>
    <w:p>
      <w:pPr>
        <w:spacing w:line="420" w:lineRule="exact"/>
        <w:ind w:firstLine="480" w:firstLineChars="200"/>
      </w:pPr>
      <w:r>
        <w:t>以区域乃至全国农业和作物学科发展对人才的需求为导向，以学生综合素质培养为中心，实现学生自主学习能力提升和实践创新能力突破，培养德智体美劳全面发展，具有深厚的人文底蕴与自然科学基础、扎实的农学专业知识和实践能力，能够将现代生物技术、信息技术与传统农业科学相结合，满足农业现代化需求，成为现代农业及相关领域富有创新精神和国际视野的创新型和复合型人才。</w:t>
      </w:r>
    </w:p>
    <w:p>
      <w:pPr>
        <w:pStyle w:val="6"/>
        <w:numPr>
          <w:ilvl w:val="0"/>
          <w:numId w:val="1"/>
        </w:numPr>
        <w:spacing w:line="420" w:lineRule="exact"/>
        <w:ind w:firstLine="480"/>
      </w:pPr>
      <w:r>
        <w:t>专业定位</w:t>
      </w:r>
    </w:p>
    <w:p>
      <w:pPr>
        <w:spacing w:line="420" w:lineRule="exact"/>
        <w:ind w:firstLine="480" w:firstLineChars="200"/>
      </w:pPr>
      <w:r>
        <w:t>本专业培养具有</w:t>
      </w:r>
      <w:r>
        <w:rPr>
          <w:rFonts w:hint="eastAsia"/>
        </w:rPr>
        <w:t>“</w:t>
      </w:r>
      <w:r>
        <w:t>知农、爱农、为农</w:t>
      </w:r>
      <w:r>
        <w:rPr>
          <w:rFonts w:hint="eastAsia"/>
        </w:rPr>
        <w:t>”</w:t>
      </w:r>
      <w:r>
        <w:t>素养，具备良好的科学文化素养，具有创新、创业意识，具备扎实的生物学基础知识，掌握生物技术、信息技术、现代管理技术在农业生产中的应用原理；具备作物生产、作物遗传育种以及种子生产与经营管理方面的基本理论、基本知识和基本技能；熟悉国际、国家农业有关政策和法规，具有较强的自主学习能力、信息处理能力、创新创业能力和宏观决策能力；能胜任与农学专业有关的教学、科研、技术开发与推广、经营管理工作，有创新、创造和敬业精神的应用型、复合型高素质专门人才。</w:t>
      </w:r>
    </w:p>
    <w:p>
      <w:pPr>
        <w:pStyle w:val="6"/>
        <w:numPr>
          <w:ilvl w:val="0"/>
          <w:numId w:val="1"/>
        </w:numPr>
        <w:spacing w:line="420" w:lineRule="exact"/>
        <w:ind w:firstLine="480"/>
      </w:pPr>
      <w:r>
        <w:t>发展预期</w:t>
      </w:r>
    </w:p>
    <w:p>
      <w:pPr>
        <w:spacing w:line="420" w:lineRule="exact"/>
        <w:ind w:firstLine="480" w:firstLineChars="200"/>
      </w:pPr>
      <w:r>
        <w:t>（1）具有创新、创业意识和能力，能从事现代农业及其相关领域的教学、科研与技术研发工作；具有较强的自主学习能力，通过不断学习、持续发展，能够成为农业行业领军人才或骨干人才；</w:t>
      </w:r>
    </w:p>
    <w:p>
      <w:pPr>
        <w:spacing w:line="420" w:lineRule="exact"/>
        <w:ind w:firstLine="480" w:firstLineChars="200"/>
      </w:pPr>
      <w:r>
        <w:t>（2）具备坚实的生物学基础和农业科学基础理论知识，具备农作物生产、作物遗传育种、种子生产、农业信息化、农业经营管理的基本知识和基本技能；</w:t>
      </w:r>
    </w:p>
    <w:p>
      <w:pPr>
        <w:spacing w:line="420" w:lineRule="exact"/>
        <w:ind w:firstLine="480" w:firstLineChars="200"/>
      </w:pPr>
      <w:r>
        <w:t>（3）熟悉国际、国家农业有关政策和法规，具有较强的信息处理和宏观决策能力；能够胜任涉农企业、政府机构及相关单位的经营、管理和技术推广等工作。</w:t>
      </w:r>
    </w:p>
    <w:p>
      <w:pPr>
        <w:pStyle w:val="5"/>
        <w:spacing w:before="93" w:after="93" w:line="420" w:lineRule="exact"/>
        <w:ind w:firstLine="560"/>
      </w:pPr>
      <w:r>
        <w:t>二、培养能力</w:t>
      </w:r>
    </w:p>
    <w:p>
      <w:pPr>
        <w:pStyle w:val="6"/>
        <w:spacing w:line="420" w:lineRule="exact"/>
        <w:ind w:firstLine="480"/>
      </w:pPr>
      <w:r>
        <w:t>1. 专业设置</w:t>
      </w:r>
    </w:p>
    <w:p>
      <w:pPr>
        <w:spacing w:line="420" w:lineRule="exact"/>
        <w:ind w:firstLine="480" w:firstLineChars="200"/>
      </w:pPr>
      <w:r>
        <w:t>基本学制为4年，弹性学制为3-8年；按要求完成学业，修满170学分且符合学位授予条件者授予农学学士学位。</w:t>
      </w:r>
    </w:p>
    <w:p>
      <w:pPr>
        <w:pStyle w:val="6"/>
        <w:ind w:firstLine="480"/>
      </w:pPr>
    </w:p>
    <w:p>
      <w:pPr>
        <w:pStyle w:val="6"/>
        <w:ind w:firstLine="480"/>
      </w:pPr>
      <w:r>
        <w:t>2. 在校生规模</w:t>
      </w:r>
    </w:p>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表1 农学专业在校生数量</w:t>
      </w:r>
    </w:p>
    <w:tbl>
      <w:tblPr>
        <w:tblStyle w:val="17"/>
        <w:tblW w:w="5000" w:type="pct"/>
        <w:tblInd w:w="0" w:type="dxa"/>
        <w:tblLayout w:type="autofit"/>
        <w:tblCellMar>
          <w:top w:w="0" w:type="dxa"/>
          <w:left w:w="108" w:type="dxa"/>
          <w:bottom w:w="0" w:type="dxa"/>
          <w:right w:w="108" w:type="dxa"/>
        </w:tblCellMar>
      </w:tblPr>
      <w:tblGrid>
        <w:gridCol w:w="1517"/>
        <w:gridCol w:w="1095"/>
        <w:gridCol w:w="2781"/>
        <w:gridCol w:w="2571"/>
        <w:gridCol w:w="1097"/>
      </w:tblGrid>
      <w:tr>
        <w:tblPrEx>
          <w:tblCellMar>
            <w:top w:w="0" w:type="dxa"/>
            <w:left w:w="108" w:type="dxa"/>
            <w:bottom w:w="0" w:type="dxa"/>
            <w:right w:w="108" w:type="dxa"/>
          </w:tblCellMar>
        </w:tblPrEx>
        <w:trPr>
          <w:trHeight w:val="285" w:hRule="atLeast"/>
        </w:trPr>
        <w:tc>
          <w:tcPr>
            <w:tcW w:w="83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
                <w:bCs/>
                <w:color w:val="000000"/>
                <w:kern w:val="0"/>
                <w:sz w:val="21"/>
                <w:szCs w:val="21"/>
              </w:rPr>
            </w:pPr>
            <w:r>
              <w:rPr>
                <w:b/>
                <w:bCs/>
                <w:color w:val="000000"/>
                <w:kern w:val="0"/>
                <w:sz w:val="21"/>
                <w:szCs w:val="21"/>
              </w:rPr>
              <w:t>项目</w:t>
            </w:r>
          </w:p>
        </w:tc>
        <w:tc>
          <w:tcPr>
            <w:tcW w:w="604"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b/>
                <w:bCs/>
                <w:color w:val="000000"/>
                <w:kern w:val="0"/>
                <w:sz w:val="21"/>
                <w:szCs w:val="21"/>
              </w:rPr>
            </w:pPr>
            <w:r>
              <w:rPr>
                <w:b/>
                <w:bCs/>
                <w:color w:val="000000"/>
                <w:kern w:val="0"/>
                <w:sz w:val="21"/>
                <w:szCs w:val="21"/>
              </w:rPr>
              <w:t>农学</w:t>
            </w:r>
          </w:p>
        </w:tc>
        <w:tc>
          <w:tcPr>
            <w:tcW w:w="1534"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b/>
                <w:bCs/>
                <w:color w:val="000000"/>
                <w:kern w:val="0"/>
                <w:sz w:val="21"/>
                <w:szCs w:val="21"/>
              </w:rPr>
            </w:pPr>
            <w:r>
              <w:rPr>
                <w:b/>
                <w:bCs/>
                <w:color w:val="000000"/>
                <w:kern w:val="0"/>
                <w:sz w:val="21"/>
                <w:szCs w:val="21"/>
              </w:rPr>
              <w:t>农学（新农科实验班）</w:t>
            </w:r>
          </w:p>
        </w:tc>
        <w:tc>
          <w:tcPr>
            <w:tcW w:w="1418"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b/>
                <w:bCs/>
                <w:color w:val="000000"/>
                <w:kern w:val="0"/>
                <w:sz w:val="21"/>
                <w:szCs w:val="21"/>
              </w:rPr>
            </w:pPr>
            <w:r>
              <w:rPr>
                <w:b/>
                <w:bCs/>
                <w:color w:val="000000"/>
                <w:kern w:val="0"/>
                <w:sz w:val="21"/>
                <w:szCs w:val="21"/>
              </w:rPr>
              <w:t>农学（公费农科生）</w:t>
            </w:r>
          </w:p>
        </w:tc>
        <w:tc>
          <w:tcPr>
            <w:tcW w:w="605"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b/>
                <w:bCs/>
                <w:color w:val="000000"/>
                <w:kern w:val="0"/>
                <w:sz w:val="21"/>
                <w:szCs w:val="21"/>
              </w:rPr>
            </w:pPr>
            <w:r>
              <w:rPr>
                <w:b/>
                <w:bCs/>
                <w:color w:val="000000"/>
                <w:kern w:val="0"/>
                <w:sz w:val="21"/>
                <w:szCs w:val="21"/>
              </w:rPr>
              <w:t>总数</w:t>
            </w:r>
          </w:p>
        </w:tc>
      </w:tr>
      <w:tr>
        <w:tblPrEx>
          <w:tblCellMar>
            <w:top w:w="0" w:type="dxa"/>
            <w:left w:w="108" w:type="dxa"/>
            <w:bottom w:w="0" w:type="dxa"/>
            <w:right w:w="108" w:type="dxa"/>
          </w:tblCellMar>
        </w:tblPrEx>
        <w:trPr>
          <w:trHeight w:val="285" w:hRule="atLeast"/>
        </w:trPr>
        <w:tc>
          <w:tcPr>
            <w:tcW w:w="83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人数</w:t>
            </w:r>
          </w:p>
        </w:tc>
        <w:tc>
          <w:tcPr>
            <w:tcW w:w="604"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378</w:t>
            </w:r>
          </w:p>
        </w:tc>
        <w:tc>
          <w:tcPr>
            <w:tcW w:w="1534"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196</w:t>
            </w:r>
          </w:p>
        </w:tc>
        <w:tc>
          <w:tcPr>
            <w:tcW w:w="1418"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154</w:t>
            </w:r>
          </w:p>
        </w:tc>
        <w:tc>
          <w:tcPr>
            <w:tcW w:w="60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728</w:t>
            </w:r>
          </w:p>
        </w:tc>
      </w:tr>
      <w:tr>
        <w:tblPrEx>
          <w:tblCellMar>
            <w:top w:w="0" w:type="dxa"/>
            <w:left w:w="108" w:type="dxa"/>
            <w:bottom w:w="0" w:type="dxa"/>
            <w:right w:w="108" w:type="dxa"/>
          </w:tblCellMar>
        </w:tblPrEx>
        <w:trPr>
          <w:trHeight w:val="285" w:hRule="atLeast"/>
        </w:trPr>
        <w:tc>
          <w:tcPr>
            <w:tcW w:w="83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省内生源</w:t>
            </w:r>
          </w:p>
        </w:tc>
        <w:tc>
          <w:tcPr>
            <w:tcW w:w="604"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292</w:t>
            </w:r>
          </w:p>
        </w:tc>
        <w:tc>
          <w:tcPr>
            <w:tcW w:w="1534"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194</w:t>
            </w:r>
          </w:p>
        </w:tc>
        <w:tc>
          <w:tcPr>
            <w:tcW w:w="1418"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154</w:t>
            </w:r>
          </w:p>
        </w:tc>
        <w:tc>
          <w:tcPr>
            <w:tcW w:w="60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640</w:t>
            </w:r>
          </w:p>
        </w:tc>
      </w:tr>
      <w:tr>
        <w:tblPrEx>
          <w:tblCellMar>
            <w:top w:w="0" w:type="dxa"/>
            <w:left w:w="108" w:type="dxa"/>
            <w:bottom w:w="0" w:type="dxa"/>
            <w:right w:w="108" w:type="dxa"/>
          </w:tblCellMar>
        </w:tblPrEx>
        <w:trPr>
          <w:trHeight w:val="285" w:hRule="atLeast"/>
        </w:trPr>
        <w:tc>
          <w:tcPr>
            <w:tcW w:w="83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省外生源</w:t>
            </w:r>
          </w:p>
        </w:tc>
        <w:tc>
          <w:tcPr>
            <w:tcW w:w="604"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86</w:t>
            </w:r>
          </w:p>
        </w:tc>
        <w:tc>
          <w:tcPr>
            <w:tcW w:w="1534"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w:t>
            </w:r>
          </w:p>
        </w:tc>
        <w:tc>
          <w:tcPr>
            <w:tcW w:w="1418"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0</w:t>
            </w:r>
          </w:p>
        </w:tc>
        <w:tc>
          <w:tcPr>
            <w:tcW w:w="60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88</w:t>
            </w:r>
          </w:p>
        </w:tc>
      </w:tr>
      <w:tr>
        <w:tblPrEx>
          <w:tblCellMar>
            <w:top w:w="0" w:type="dxa"/>
            <w:left w:w="108" w:type="dxa"/>
            <w:bottom w:w="0" w:type="dxa"/>
            <w:right w:w="108" w:type="dxa"/>
          </w:tblCellMar>
        </w:tblPrEx>
        <w:trPr>
          <w:trHeight w:val="285" w:hRule="atLeast"/>
        </w:trPr>
        <w:tc>
          <w:tcPr>
            <w:tcW w:w="83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男生</w:t>
            </w:r>
          </w:p>
        </w:tc>
        <w:tc>
          <w:tcPr>
            <w:tcW w:w="604"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197</w:t>
            </w:r>
          </w:p>
        </w:tc>
        <w:tc>
          <w:tcPr>
            <w:tcW w:w="1534"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93</w:t>
            </w:r>
          </w:p>
        </w:tc>
        <w:tc>
          <w:tcPr>
            <w:tcW w:w="1418"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92</w:t>
            </w:r>
          </w:p>
        </w:tc>
        <w:tc>
          <w:tcPr>
            <w:tcW w:w="60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382</w:t>
            </w:r>
          </w:p>
        </w:tc>
      </w:tr>
      <w:tr>
        <w:tblPrEx>
          <w:tblCellMar>
            <w:top w:w="0" w:type="dxa"/>
            <w:left w:w="108" w:type="dxa"/>
            <w:bottom w:w="0" w:type="dxa"/>
            <w:right w:w="108" w:type="dxa"/>
          </w:tblCellMar>
        </w:tblPrEx>
        <w:trPr>
          <w:trHeight w:val="285" w:hRule="atLeast"/>
        </w:trPr>
        <w:tc>
          <w:tcPr>
            <w:tcW w:w="83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女生</w:t>
            </w:r>
          </w:p>
        </w:tc>
        <w:tc>
          <w:tcPr>
            <w:tcW w:w="604"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181</w:t>
            </w:r>
          </w:p>
        </w:tc>
        <w:tc>
          <w:tcPr>
            <w:tcW w:w="1534"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103</w:t>
            </w:r>
          </w:p>
        </w:tc>
        <w:tc>
          <w:tcPr>
            <w:tcW w:w="1418"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62</w:t>
            </w:r>
          </w:p>
        </w:tc>
        <w:tc>
          <w:tcPr>
            <w:tcW w:w="60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346</w:t>
            </w:r>
          </w:p>
        </w:tc>
      </w:tr>
    </w:tbl>
    <w:p>
      <w:pPr>
        <w:ind w:firstLine="480" w:firstLineChars="200"/>
      </w:pPr>
      <w:r>
        <w:t>现有在校生总数728人，分布于三个方向，其中普通农学专业378人（2018级至2020级）中省内生源和省外生源分别占77.2%和22.8%，男生和女生分别占52.1%和47.7%；农学（新农科实验班）194人（2020级和2021级）中省内生源和省外生源分别占99.0和1.0%，男生和女生分别占47.4和52.6%；农学（公费农科生）154人，仅面向山东省内招生，男生和女生分别占59.7和40.3%。</w:t>
      </w:r>
    </w:p>
    <w:p>
      <w:pPr>
        <w:pStyle w:val="6"/>
        <w:ind w:firstLine="480"/>
      </w:pPr>
      <w:r>
        <w:t>3. 课程设置</w:t>
      </w:r>
    </w:p>
    <w:p>
      <w:pPr>
        <w:ind w:firstLine="480" w:firstLineChars="200"/>
      </w:pPr>
      <w:r>
        <w:t>本专业的主干学科为作物学，课程类型包括通识必修课、通识选修课、学科基础课、核心专业课、专业方向课和拓展教育课6个层次。要求学生毕业时总学分不少于170.0学分，其中必修课总学分138.5、选修课31.5学分、实验和实践环节51学分。</w:t>
      </w:r>
    </w:p>
    <w:p>
      <w:pPr>
        <w:ind w:firstLine="480" w:firstLineChars="200"/>
      </w:pPr>
      <w:r>
        <w:t>专业的核心课程有：植物学、植物生理学、生物化学、普通遗传学、微生物学、分子生物学、农业信息技术、植物营养与肥料学、农业生态学、耕作学、作物栽培学、作物育种学、作物种子学、作物生产学实验、作物育种学实验、作物种子学实验。</w:t>
      </w:r>
    </w:p>
    <w:p>
      <w:pPr>
        <w:ind w:firstLine="480" w:firstLineChars="200"/>
      </w:pPr>
      <w:r>
        <w:t>专业主要的实践性教学环节（包含实验）有：植物学实验、植物生理学实验、生物化学实验、遗传学实验、微生物学实验、专业认知与教育、专业认知实践、专业综合实践、土壤与肥料学教学实习、作物种子学教学实习、作物栽培学教学实习、作物育种学教学实习、作物学课程论文、创新创业实践、毕业实习、毕业论文等。</w:t>
      </w:r>
    </w:p>
    <w:p>
      <w:pPr>
        <w:pStyle w:val="6"/>
        <w:ind w:firstLine="480"/>
      </w:pPr>
      <w:r>
        <w:t>4. 创新创业教育</w:t>
      </w:r>
    </w:p>
    <w:p>
      <w:pPr>
        <w:ind w:firstLine="480" w:firstLineChars="200"/>
      </w:pPr>
      <w:r>
        <w:t>专业历来重视创新创业教育，面对新冠疫情专业主动出击，做好</w:t>
      </w:r>
      <w:r>
        <w:rPr>
          <w:rFonts w:hint="eastAsia"/>
        </w:rPr>
        <w:t>“</w:t>
      </w:r>
      <w:r>
        <w:t>线上与线下、课上与课下、自主学习与教师辅导</w:t>
      </w:r>
      <w:r>
        <w:rPr>
          <w:rFonts w:hint="eastAsia"/>
        </w:rPr>
        <w:t>”</w:t>
      </w:r>
      <w:r>
        <w:t>三个结合，创建了</w:t>
      </w:r>
      <w:r>
        <w:rPr>
          <w:rFonts w:hint="eastAsia"/>
        </w:rPr>
        <w:t>“</w:t>
      </w:r>
      <w:r>
        <w:t>岱下学宫-民之天论坛</w:t>
      </w:r>
      <w:r>
        <w:rPr>
          <w:rFonts w:hint="eastAsia"/>
        </w:rPr>
        <w:t>”</w:t>
      </w:r>
      <w:r>
        <w:t xml:space="preserve"> </w:t>
      </w:r>
      <w:r>
        <w:rPr>
          <w:rFonts w:hint="eastAsia"/>
        </w:rPr>
        <w:t>“</w:t>
      </w:r>
      <w:r>
        <w:t>齐鲁农技论坛</w:t>
      </w:r>
      <w:r>
        <w:rPr>
          <w:rFonts w:hint="eastAsia"/>
        </w:rPr>
        <w:t>”</w:t>
      </w:r>
      <w:r>
        <w:t xml:space="preserve"> </w:t>
      </w:r>
      <w:r>
        <w:rPr>
          <w:rFonts w:hint="eastAsia"/>
        </w:rPr>
        <w:t>“</w:t>
      </w:r>
      <w:r>
        <w:t>稼穑强农</w:t>
      </w:r>
      <w:r>
        <w:rPr>
          <w:rFonts w:hint="eastAsia"/>
        </w:rPr>
        <w:t>”</w:t>
      </w:r>
      <w:r>
        <w:t>等特色课程，邀请专家来校授课，通过聘任专职、兼职教师等方式构建校内导师、校外专家为一体的创新创业指导导师体系；不断完善</w:t>
      </w:r>
      <w:r>
        <w:rPr>
          <w:rFonts w:hint="eastAsia"/>
        </w:rPr>
        <w:t>“</w:t>
      </w:r>
      <w:r>
        <w:t>以赛引学、以学促赛</w:t>
      </w:r>
      <w:r>
        <w:rPr>
          <w:rFonts w:hint="eastAsia"/>
        </w:rPr>
        <w:t>”</w:t>
      </w:r>
      <w:r>
        <w:t>的双引双促机制，鼓励学生积极参加</w:t>
      </w:r>
      <w:r>
        <w:rPr>
          <w:rFonts w:hint="eastAsia"/>
        </w:rPr>
        <w:t>“</w:t>
      </w:r>
      <w:r>
        <w:t>挑战杯</w:t>
      </w:r>
      <w:r>
        <w:rPr>
          <w:rFonts w:hint="eastAsia"/>
        </w:rPr>
        <w:t>”</w:t>
      </w:r>
      <w:r>
        <w:t>全国大学生课外学术科技作品竞赛、</w:t>
      </w:r>
      <w:r>
        <w:rPr>
          <w:rFonts w:hint="eastAsia"/>
        </w:rPr>
        <w:t>“</w:t>
      </w:r>
      <w:r>
        <w:t>挑战杯</w:t>
      </w:r>
      <w:r>
        <w:rPr>
          <w:rFonts w:hint="eastAsia"/>
        </w:rPr>
        <w:t>”</w:t>
      </w:r>
      <w:r>
        <w:t>全国大学生创业计划大赛、中国国际</w:t>
      </w:r>
      <w:r>
        <w:rPr>
          <w:rFonts w:hint="eastAsia"/>
        </w:rPr>
        <w:t>“</w:t>
      </w:r>
      <w:r>
        <w:t>互联网+</w:t>
      </w:r>
      <w:r>
        <w:rPr>
          <w:rFonts w:hint="eastAsia"/>
        </w:rPr>
        <w:t>”</w:t>
      </w:r>
      <w:r>
        <w:t>大学生创新创业大赛、齐鲁青年乡村振兴创新创业大赛、</w:t>
      </w:r>
      <w:r>
        <w:rPr>
          <w:rFonts w:hint="eastAsia"/>
        </w:rPr>
        <w:t>“</w:t>
      </w:r>
      <w:r>
        <w:t>创青春</w:t>
      </w:r>
      <w:r>
        <w:rPr>
          <w:rFonts w:hint="eastAsia"/>
        </w:rPr>
        <w:t>”</w:t>
      </w:r>
      <w:r>
        <w:t>中国青年创新创业大赛等各类赛事。</w:t>
      </w:r>
    </w:p>
    <w:p>
      <w:pP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br w:type="page"/>
      </w:r>
    </w:p>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表2  开展的创新创业教育活动</w:t>
      </w:r>
    </w:p>
    <w:tbl>
      <w:tblPr>
        <w:tblStyle w:val="17"/>
        <w:tblW w:w="5000" w:type="pct"/>
        <w:tblInd w:w="0" w:type="dxa"/>
        <w:tblLayout w:type="fixed"/>
        <w:tblCellMar>
          <w:top w:w="0" w:type="dxa"/>
          <w:left w:w="108" w:type="dxa"/>
          <w:bottom w:w="0" w:type="dxa"/>
          <w:right w:w="108" w:type="dxa"/>
        </w:tblCellMar>
      </w:tblPr>
      <w:tblGrid>
        <w:gridCol w:w="769"/>
        <w:gridCol w:w="1549"/>
        <w:gridCol w:w="6743"/>
      </w:tblGrid>
      <w:tr>
        <w:tblPrEx>
          <w:tblCellMar>
            <w:top w:w="0" w:type="dxa"/>
            <w:left w:w="108" w:type="dxa"/>
            <w:bottom w:w="0" w:type="dxa"/>
            <w:right w:w="108" w:type="dxa"/>
          </w:tblCellMar>
        </w:tblPrEx>
        <w:trPr>
          <w:trHeight w:val="270" w:hRule="atLeast"/>
        </w:trPr>
        <w:tc>
          <w:tcPr>
            <w:tcW w:w="42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
                <w:bCs/>
                <w:color w:val="000000"/>
                <w:kern w:val="0"/>
                <w:sz w:val="21"/>
                <w:szCs w:val="21"/>
              </w:rPr>
            </w:pPr>
            <w:r>
              <w:rPr>
                <w:b/>
                <w:bCs/>
                <w:color w:val="000000"/>
                <w:kern w:val="0"/>
                <w:sz w:val="21"/>
                <w:szCs w:val="21"/>
              </w:rPr>
              <w:t>序号</w:t>
            </w:r>
          </w:p>
        </w:tc>
        <w:tc>
          <w:tcPr>
            <w:tcW w:w="855"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b/>
                <w:bCs/>
                <w:color w:val="000000"/>
                <w:kern w:val="0"/>
                <w:sz w:val="21"/>
                <w:szCs w:val="21"/>
              </w:rPr>
            </w:pPr>
            <w:r>
              <w:rPr>
                <w:b/>
                <w:bCs/>
                <w:color w:val="000000"/>
                <w:kern w:val="0"/>
                <w:sz w:val="21"/>
                <w:szCs w:val="21"/>
              </w:rPr>
              <w:t>日期</w:t>
            </w:r>
          </w:p>
        </w:tc>
        <w:tc>
          <w:tcPr>
            <w:tcW w:w="3721"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b/>
                <w:bCs/>
                <w:color w:val="000000"/>
                <w:kern w:val="0"/>
                <w:sz w:val="21"/>
                <w:szCs w:val="21"/>
              </w:rPr>
            </w:pPr>
            <w:r>
              <w:rPr>
                <w:b/>
                <w:bCs/>
                <w:color w:val="000000"/>
                <w:kern w:val="0"/>
                <w:sz w:val="21"/>
                <w:szCs w:val="21"/>
              </w:rPr>
              <w:t>活动</w:t>
            </w:r>
          </w:p>
        </w:tc>
      </w:tr>
      <w:tr>
        <w:tblPrEx>
          <w:tblCellMar>
            <w:top w:w="0" w:type="dxa"/>
            <w:left w:w="108" w:type="dxa"/>
            <w:bottom w:w="0" w:type="dxa"/>
            <w:right w:w="108" w:type="dxa"/>
          </w:tblCellMar>
        </w:tblPrEx>
        <w:trPr>
          <w:trHeight w:val="270" w:hRule="atLeast"/>
        </w:trPr>
        <w:tc>
          <w:tcPr>
            <w:tcW w:w="42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1</w:t>
            </w:r>
          </w:p>
        </w:tc>
        <w:tc>
          <w:tcPr>
            <w:tcW w:w="855"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2021.10.8</w:t>
            </w:r>
          </w:p>
        </w:tc>
        <w:tc>
          <w:tcPr>
            <w:tcW w:w="3721" w:type="pct"/>
            <w:tcBorders>
              <w:top w:val="single" w:color="auto" w:sz="4" w:space="0"/>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第八届科创大赛院赛</w:t>
            </w:r>
          </w:p>
        </w:tc>
      </w:tr>
      <w:tr>
        <w:tblPrEx>
          <w:tblCellMar>
            <w:top w:w="0" w:type="dxa"/>
            <w:left w:w="108" w:type="dxa"/>
            <w:bottom w:w="0" w:type="dxa"/>
            <w:right w:w="108" w:type="dxa"/>
          </w:tblCellMar>
        </w:tblPrEx>
        <w:trPr>
          <w:trHeight w:val="270"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w:t>
            </w:r>
          </w:p>
        </w:tc>
        <w:tc>
          <w:tcPr>
            <w:tcW w:w="85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2021.10.13</w:t>
            </w:r>
          </w:p>
        </w:tc>
        <w:tc>
          <w:tcPr>
            <w:tcW w:w="3721" w:type="pct"/>
            <w:tcBorders>
              <w:top w:val="nil"/>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第七届互联网＋国赛观摩</w:t>
            </w:r>
          </w:p>
        </w:tc>
      </w:tr>
      <w:tr>
        <w:tblPrEx>
          <w:tblCellMar>
            <w:top w:w="0" w:type="dxa"/>
            <w:left w:w="108" w:type="dxa"/>
            <w:bottom w:w="0" w:type="dxa"/>
            <w:right w:w="108" w:type="dxa"/>
          </w:tblCellMar>
        </w:tblPrEx>
        <w:trPr>
          <w:trHeight w:val="270"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3</w:t>
            </w:r>
          </w:p>
        </w:tc>
        <w:tc>
          <w:tcPr>
            <w:tcW w:w="85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2021.11.2</w:t>
            </w:r>
          </w:p>
        </w:tc>
        <w:tc>
          <w:tcPr>
            <w:tcW w:w="3721" w:type="pct"/>
            <w:tcBorders>
              <w:top w:val="nil"/>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第八届科创大赛网评培训会</w:t>
            </w:r>
          </w:p>
        </w:tc>
      </w:tr>
      <w:tr>
        <w:tblPrEx>
          <w:tblCellMar>
            <w:top w:w="0" w:type="dxa"/>
            <w:left w:w="108" w:type="dxa"/>
            <w:bottom w:w="0" w:type="dxa"/>
            <w:right w:w="108" w:type="dxa"/>
          </w:tblCellMar>
        </w:tblPrEx>
        <w:trPr>
          <w:trHeight w:val="270"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4</w:t>
            </w:r>
          </w:p>
        </w:tc>
        <w:tc>
          <w:tcPr>
            <w:tcW w:w="85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2021.11.11</w:t>
            </w:r>
          </w:p>
        </w:tc>
        <w:tc>
          <w:tcPr>
            <w:tcW w:w="3721" w:type="pct"/>
            <w:tcBorders>
              <w:top w:val="nil"/>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岱下学宫-民之天论坛：张军研究员-棉纤维品质改良</w:t>
            </w:r>
          </w:p>
        </w:tc>
      </w:tr>
      <w:tr>
        <w:tblPrEx>
          <w:tblCellMar>
            <w:top w:w="0" w:type="dxa"/>
            <w:left w:w="108" w:type="dxa"/>
            <w:bottom w:w="0" w:type="dxa"/>
            <w:right w:w="108" w:type="dxa"/>
          </w:tblCellMar>
        </w:tblPrEx>
        <w:trPr>
          <w:trHeight w:val="540"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5</w:t>
            </w:r>
          </w:p>
        </w:tc>
        <w:tc>
          <w:tcPr>
            <w:tcW w:w="85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2021.11.13</w:t>
            </w:r>
          </w:p>
        </w:tc>
        <w:tc>
          <w:tcPr>
            <w:tcW w:w="3721" w:type="pct"/>
            <w:tcBorders>
              <w:top w:val="nil"/>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齐鲁站长论坛：刘国利-如何做好基层农业技术推广工作</w:t>
            </w:r>
          </w:p>
        </w:tc>
      </w:tr>
      <w:tr>
        <w:tblPrEx>
          <w:tblCellMar>
            <w:top w:w="0" w:type="dxa"/>
            <w:left w:w="108" w:type="dxa"/>
            <w:bottom w:w="0" w:type="dxa"/>
            <w:right w:w="108" w:type="dxa"/>
          </w:tblCellMar>
        </w:tblPrEx>
        <w:trPr>
          <w:trHeight w:val="270"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6</w:t>
            </w:r>
          </w:p>
        </w:tc>
        <w:tc>
          <w:tcPr>
            <w:tcW w:w="85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2021.11.18</w:t>
            </w:r>
          </w:p>
        </w:tc>
        <w:tc>
          <w:tcPr>
            <w:tcW w:w="3721" w:type="pct"/>
            <w:tcBorders>
              <w:top w:val="nil"/>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岱下学宫-民之天论坛：陈阜—中国气候智慧型农业：从理论到实践</w:t>
            </w:r>
          </w:p>
        </w:tc>
      </w:tr>
      <w:tr>
        <w:tblPrEx>
          <w:tblCellMar>
            <w:top w:w="0" w:type="dxa"/>
            <w:left w:w="108" w:type="dxa"/>
            <w:bottom w:w="0" w:type="dxa"/>
            <w:right w:w="108" w:type="dxa"/>
          </w:tblCellMar>
        </w:tblPrEx>
        <w:trPr>
          <w:trHeight w:val="270"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7</w:t>
            </w:r>
          </w:p>
        </w:tc>
        <w:tc>
          <w:tcPr>
            <w:tcW w:w="85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2021.12.25</w:t>
            </w:r>
          </w:p>
        </w:tc>
        <w:tc>
          <w:tcPr>
            <w:tcW w:w="3721" w:type="pct"/>
            <w:tcBorders>
              <w:top w:val="nil"/>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新农科种植科学与工程专业师生座谈会</w:t>
            </w:r>
          </w:p>
        </w:tc>
      </w:tr>
      <w:tr>
        <w:tblPrEx>
          <w:tblCellMar>
            <w:top w:w="0" w:type="dxa"/>
            <w:left w:w="108" w:type="dxa"/>
            <w:bottom w:w="0" w:type="dxa"/>
            <w:right w:w="108" w:type="dxa"/>
          </w:tblCellMar>
        </w:tblPrEx>
        <w:trPr>
          <w:trHeight w:val="270"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8</w:t>
            </w:r>
          </w:p>
        </w:tc>
        <w:tc>
          <w:tcPr>
            <w:tcW w:w="85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2021.12.27</w:t>
            </w:r>
          </w:p>
        </w:tc>
        <w:tc>
          <w:tcPr>
            <w:tcW w:w="3721" w:type="pct"/>
            <w:tcBorders>
              <w:top w:val="nil"/>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毕业生全体大会（企业宣讲与就业）</w:t>
            </w:r>
          </w:p>
        </w:tc>
      </w:tr>
      <w:tr>
        <w:tblPrEx>
          <w:tblCellMar>
            <w:top w:w="0" w:type="dxa"/>
            <w:left w:w="108" w:type="dxa"/>
            <w:bottom w:w="0" w:type="dxa"/>
            <w:right w:w="108" w:type="dxa"/>
          </w:tblCellMar>
        </w:tblPrEx>
        <w:trPr>
          <w:trHeight w:val="270"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9</w:t>
            </w:r>
          </w:p>
        </w:tc>
        <w:tc>
          <w:tcPr>
            <w:tcW w:w="85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2022.1.12</w:t>
            </w:r>
          </w:p>
        </w:tc>
        <w:tc>
          <w:tcPr>
            <w:tcW w:w="3721" w:type="pct"/>
            <w:tcBorders>
              <w:top w:val="nil"/>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稼穑强农训练营第1期培训会</w:t>
            </w:r>
          </w:p>
        </w:tc>
      </w:tr>
      <w:tr>
        <w:tblPrEx>
          <w:tblCellMar>
            <w:top w:w="0" w:type="dxa"/>
            <w:left w:w="108" w:type="dxa"/>
            <w:bottom w:w="0" w:type="dxa"/>
            <w:right w:w="108" w:type="dxa"/>
          </w:tblCellMar>
        </w:tblPrEx>
        <w:trPr>
          <w:trHeight w:val="270"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10</w:t>
            </w:r>
          </w:p>
        </w:tc>
        <w:tc>
          <w:tcPr>
            <w:tcW w:w="85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2022.3.4</w:t>
            </w:r>
          </w:p>
        </w:tc>
        <w:tc>
          <w:tcPr>
            <w:tcW w:w="3721" w:type="pct"/>
            <w:tcBorders>
              <w:top w:val="nil"/>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第八届互联网＋院赛</w:t>
            </w:r>
          </w:p>
        </w:tc>
      </w:tr>
      <w:tr>
        <w:tblPrEx>
          <w:tblCellMar>
            <w:top w:w="0" w:type="dxa"/>
            <w:left w:w="108" w:type="dxa"/>
            <w:bottom w:w="0" w:type="dxa"/>
            <w:right w:w="108" w:type="dxa"/>
          </w:tblCellMar>
        </w:tblPrEx>
        <w:trPr>
          <w:trHeight w:val="270"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11</w:t>
            </w:r>
          </w:p>
        </w:tc>
        <w:tc>
          <w:tcPr>
            <w:tcW w:w="85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2022.4.2</w:t>
            </w:r>
          </w:p>
        </w:tc>
        <w:tc>
          <w:tcPr>
            <w:tcW w:w="3721" w:type="pct"/>
            <w:tcBorders>
              <w:top w:val="nil"/>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稼穑强农训练营第2期培训会</w:t>
            </w:r>
          </w:p>
        </w:tc>
      </w:tr>
      <w:tr>
        <w:tblPrEx>
          <w:tblCellMar>
            <w:top w:w="0" w:type="dxa"/>
            <w:left w:w="108" w:type="dxa"/>
            <w:bottom w:w="0" w:type="dxa"/>
            <w:right w:w="108" w:type="dxa"/>
          </w:tblCellMar>
        </w:tblPrEx>
        <w:trPr>
          <w:trHeight w:val="270"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12</w:t>
            </w:r>
          </w:p>
        </w:tc>
        <w:tc>
          <w:tcPr>
            <w:tcW w:w="85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2022.4.3</w:t>
            </w:r>
          </w:p>
        </w:tc>
        <w:tc>
          <w:tcPr>
            <w:tcW w:w="3721" w:type="pct"/>
            <w:tcBorders>
              <w:top w:val="nil"/>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2023届毕业生考研指导讲座</w:t>
            </w:r>
          </w:p>
        </w:tc>
      </w:tr>
      <w:tr>
        <w:tblPrEx>
          <w:tblCellMar>
            <w:top w:w="0" w:type="dxa"/>
            <w:left w:w="108" w:type="dxa"/>
            <w:bottom w:w="0" w:type="dxa"/>
            <w:right w:w="108" w:type="dxa"/>
          </w:tblCellMar>
        </w:tblPrEx>
        <w:trPr>
          <w:trHeight w:val="403"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13</w:t>
            </w:r>
          </w:p>
        </w:tc>
        <w:tc>
          <w:tcPr>
            <w:tcW w:w="85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2022.4.16</w:t>
            </w:r>
          </w:p>
        </w:tc>
        <w:tc>
          <w:tcPr>
            <w:tcW w:w="3721" w:type="pct"/>
            <w:tcBorders>
              <w:top w:val="nil"/>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大学生就业指导公益性讲座</w:t>
            </w:r>
          </w:p>
        </w:tc>
      </w:tr>
      <w:tr>
        <w:tblPrEx>
          <w:tblCellMar>
            <w:top w:w="0" w:type="dxa"/>
            <w:left w:w="108" w:type="dxa"/>
            <w:bottom w:w="0" w:type="dxa"/>
            <w:right w:w="108" w:type="dxa"/>
          </w:tblCellMar>
        </w:tblPrEx>
        <w:trPr>
          <w:trHeight w:val="270"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14</w:t>
            </w:r>
          </w:p>
        </w:tc>
        <w:tc>
          <w:tcPr>
            <w:tcW w:w="85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2022.5.2</w:t>
            </w:r>
          </w:p>
        </w:tc>
        <w:tc>
          <w:tcPr>
            <w:tcW w:w="3721" w:type="pct"/>
            <w:tcBorders>
              <w:top w:val="nil"/>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稼穑强农训练营第3期培训会</w:t>
            </w:r>
          </w:p>
        </w:tc>
      </w:tr>
      <w:tr>
        <w:tblPrEx>
          <w:tblCellMar>
            <w:top w:w="0" w:type="dxa"/>
            <w:left w:w="108" w:type="dxa"/>
            <w:bottom w:w="0" w:type="dxa"/>
            <w:right w:w="108" w:type="dxa"/>
          </w:tblCellMar>
        </w:tblPrEx>
        <w:trPr>
          <w:trHeight w:val="270"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15</w:t>
            </w:r>
          </w:p>
        </w:tc>
        <w:tc>
          <w:tcPr>
            <w:tcW w:w="85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2022.5.10</w:t>
            </w:r>
          </w:p>
        </w:tc>
        <w:tc>
          <w:tcPr>
            <w:tcW w:w="3721" w:type="pct"/>
            <w:tcBorders>
              <w:top w:val="nil"/>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第十二期学识大讲堂</w:t>
            </w:r>
          </w:p>
        </w:tc>
      </w:tr>
      <w:tr>
        <w:tblPrEx>
          <w:tblCellMar>
            <w:top w:w="0" w:type="dxa"/>
            <w:left w:w="108" w:type="dxa"/>
            <w:bottom w:w="0" w:type="dxa"/>
            <w:right w:w="108" w:type="dxa"/>
          </w:tblCellMar>
        </w:tblPrEx>
        <w:trPr>
          <w:trHeight w:val="270"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16</w:t>
            </w:r>
          </w:p>
        </w:tc>
        <w:tc>
          <w:tcPr>
            <w:tcW w:w="85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2022.5.17</w:t>
            </w:r>
          </w:p>
        </w:tc>
        <w:tc>
          <w:tcPr>
            <w:tcW w:w="3721" w:type="pct"/>
            <w:tcBorders>
              <w:top w:val="nil"/>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第十三期学识大讲堂</w:t>
            </w:r>
          </w:p>
        </w:tc>
      </w:tr>
      <w:tr>
        <w:tblPrEx>
          <w:tblCellMar>
            <w:top w:w="0" w:type="dxa"/>
            <w:left w:w="108" w:type="dxa"/>
            <w:bottom w:w="0" w:type="dxa"/>
            <w:right w:w="108" w:type="dxa"/>
          </w:tblCellMar>
        </w:tblPrEx>
        <w:trPr>
          <w:trHeight w:val="270"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17</w:t>
            </w:r>
          </w:p>
        </w:tc>
        <w:tc>
          <w:tcPr>
            <w:tcW w:w="855" w:type="pct"/>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2022.5.19</w:t>
            </w:r>
          </w:p>
        </w:tc>
        <w:tc>
          <w:tcPr>
            <w:tcW w:w="3721" w:type="pct"/>
            <w:tcBorders>
              <w:top w:val="nil"/>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2022届毕业生论文撰写辅导会</w:t>
            </w:r>
          </w:p>
        </w:tc>
      </w:tr>
      <w:tr>
        <w:tblPrEx>
          <w:tblCellMar>
            <w:top w:w="0" w:type="dxa"/>
            <w:left w:w="108" w:type="dxa"/>
            <w:bottom w:w="0" w:type="dxa"/>
            <w:right w:w="108" w:type="dxa"/>
          </w:tblCellMar>
        </w:tblPrEx>
        <w:trPr>
          <w:trHeight w:val="270" w:hRule="atLeast"/>
        </w:trPr>
        <w:tc>
          <w:tcPr>
            <w:tcW w:w="42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18</w:t>
            </w:r>
          </w:p>
        </w:tc>
        <w:tc>
          <w:tcPr>
            <w:tcW w:w="855"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2022.5.25</w:t>
            </w:r>
          </w:p>
        </w:tc>
        <w:tc>
          <w:tcPr>
            <w:tcW w:w="3721" w:type="pct"/>
            <w:tcBorders>
              <w:top w:val="single" w:color="auto" w:sz="4" w:space="0"/>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rFonts w:hint="eastAsia"/>
                <w:color w:val="000000"/>
                <w:kern w:val="0"/>
                <w:sz w:val="21"/>
                <w:szCs w:val="21"/>
              </w:rPr>
              <w:t>“</w:t>
            </w:r>
            <w:r>
              <w:rPr>
                <w:color w:val="000000"/>
                <w:kern w:val="0"/>
                <w:sz w:val="21"/>
                <w:szCs w:val="21"/>
              </w:rPr>
              <w:t>博弈犹贤，勇往职前</w:t>
            </w:r>
            <w:r>
              <w:rPr>
                <w:rFonts w:hint="eastAsia"/>
                <w:color w:val="000000"/>
                <w:kern w:val="0"/>
                <w:sz w:val="21"/>
                <w:szCs w:val="21"/>
              </w:rPr>
              <w:t>”</w:t>
            </w:r>
            <w:r>
              <w:rPr>
                <w:color w:val="000000"/>
                <w:kern w:val="0"/>
                <w:sz w:val="21"/>
                <w:szCs w:val="21"/>
              </w:rPr>
              <w:t>毕业生经验分享会</w:t>
            </w:r>
          </w:p>
        </w:tc>
      </w:tr>
      <w:tr>
        <w:tblPrEx>
          <w:tblCellMar>
            <w:top w:w="0" w:type="dxa"/>
            <w:left w:w="108" w:type="dxa"/>
            <w:bottom w:w="0" w:type="dxa"/>
            <w:right w:w="108" w:type="dxa"/>
          </w:tblCellMar>
        </w:tblPrEx>
        <w:trPr>
          <w:trHeight w:val="270" w:hRule="atLeast"/>
        </w:trPr>
        <w:tc>
          <w:tcPr>
            <w:tcW w:w="42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19</w:t>
            </w:r>
          </w:p>
        </w:tc>
        <w:tc>
          <w:tcPr>
            <w:tcW w:w="855"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2022.5.31</w:t>
            </w:r>
          </w:p>
        </w:tc>
        <w:tc>
          <w:tcPr>
            <w:tcW w:w="3721" w:type="pct"/>
            <w:tcBorders>
              <w:top w:val="single" w:color="auto" w:sz="4" w:space="0"/>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创新训练项目申报指导会</w:t>
            </w:r>
          </w:p>
        </w:tc>
      </w:tr>
      <w:tr>
        <w:tblPrEx>
          <w:tblCellMar>
            <w:top w:w="0" w:type="dxa"/>
            <w:left w:w="108" w:type="dxa"/>
            <w:bottom w:w="0" w:type="dxa"/>
            <w:right w:w="108" w:type="dxa"/>
          </w:tblCellMar>
        </w:tblPrEx>
        <w:trPr>
          <w:trHeight w:val="270" w:hRule="atLeast"/>
        </w:trPr>
        <w:tc>
          <w:tcPr>
            <w:tcW w:w="42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w:t>
            </w:r>
          </w:p>
        </w:tc>
        <w:tc>
          <w:tcPr>
            <w:tcW w:w="855"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2022.6.2</w:t>
            </w:r>
          </w:p>
        </w:tc>
        <w:tc>
          <w:tcPr>
            <w:tcW w:w="3721" w:type="pct"/>
            <w:tcBorders>
              <w:top w:val="single" w:color="auto" w:sz="4" w:space="0"/>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稼穑强农训练营第4期培训会</w:t>
            </w:r>
          </w:p>
        </w:tc>
      </w:tr>
      <w:tr>
        <w:tblPrEx>
          <w:tblCellMar>
            <w:top w:w="0" w:type="dxa"/>
            <w:left w:w="108" w:type="dxa"/>
            <w:bottom w:w="0" w:type="dxa"/>
            <w:right w:w="108" w:type="dxa"/>
          </w:tblCellMar>
        </w:tblPrEx>
        <w:trPr>
          <w:trHeight w:val="270" w:hRule="atLeast"/>
        </w:trPr>
        <w:tc>
          <w:tcPr>
            <w:tcW w:w="42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21</w:t>
            </w:r>
          </w:p>
        </w:tc>
        <w:tc>
          <w:tcPr>
            <w:tcW w:w="855"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2022.6.14</w:t>
            </w:r>
          </w:p>
        </w:tc>
        <w:tc>
          <w:tcPr>
            <w:tcW w:w="3721" w:type="pct"/>
            <w:tcBorders>
              <w:top w:val="single" w:color="auto" w:sz="4" w:space="0"/>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第十四期学识大讲堂</w:t>
            </w:r>
          </w:p>
        </w:tc>
      </w:tr>
      <w:tr>
        <w:tblPrEx>
          <w:tblCellMar>
            <w:top w:w="0" w:type="dxa"/>
            <w:left w:w="108" w:type="dxa"/>
            <w:bottom w:w="0" w:type="dxa"/>
            <w:right w:w="108" w:type="dxa"/>
          </w:tblCellMar>
        </w:tblPrEx>
        <w:trPr>
          <w:trHeight w:val="270" w:hRule="atLeast"/>
        </w:trPr>
        <w:tc>
          <w:tcPr>
            <w:tcW w:w="42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22</w:t>
            </w:r>
          </w:p>
        </w:tc>
        <w:tc>
          <w:tcPr>
            <w:tcW w:w="855"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2022.6.15</w:t>
            </w:r>
          </w:p>
        </w:tc>
        <w:tc>
          <w:tcPr>
            <w:tcW w:w="3721" w:type="pct"/>
            <w:tcBorders>
              <w:top w:val="single" w:color="auto" w:sz="4" w:space="0"/>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互联网+国赛评委专家的线上辅导会</w:t>
            </w:r>
          </w:p>
        </w:tc>
      </w:tr>
      <w:tr>
        <w:tblPrEx>
          <w:tblCellMar>
            <w:top w:w="0" w:type="dxa"/>
            <w:left w:w="108" w:type="dxa"/>
            <w:bottom w:w="0" w:type="dxa"/>
            <w:right w:w="108" w:type="dxa"/>
          </w:tblCellMar>
        </w:tblPrEx>
        <w:trPr>
          <w:trHeight w:val="270" w:hRule="atLeast"/>
        </w:trPr>
        <w:tc>
          <w:tcPr>
            <w:tcW w:w="42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23</w:t>
            </w:r>
          </w:p>
        </w:tc>
        <w:tc>
          <w:tcPr>
            <w:tcW w:w="855"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2022.6.17</w:t>
            </w:r>
          </w:p>
        </w:tc>
        <w:tc>
          <w:tcPr>
            <w:tcW w:w="3721" w:type="pct"/>
            <w:tcBorders>
              <w:top w:val="single" w:color="auto" w:sz="4" w:space="0"/>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稼穑强农训练营第5期培训会</w:t>
            </w:r>
          </w:p>
        </w:tc>
      </w:tr>
      <w:tr>
        <w:tblPrEx>
          <w:tblCellMar>
            <w:top w:w="0" w:type="dxa"/>
            <w:left w:w="108" w:type="dxa"/>
            <w:bottom w:w="0" w:type="dxa"/>
            <w:right w:w="108" w:type="dxa"/>
          </w:tblCellMar>
        </w:tblPrEx>
        <w:trPr>
          <w:trHeight w:val="270" w:hRule="atLeast"/>
        </w:trPr>
        <w:tc>
          <w:tcPr>
            <w:tcW w:w="42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24</w:t>
            </w:r>
          </w:p>
        </w:tc>
        <w:tc>
          <w:tcPr>
            <w:tcW w:w="855"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2022.7.13</w:t>
            </w:r>
          </w:p>
        </w:tc>
        <w:tc>
          <w:tcPr>
            <w:tcW w:w="3721" w:type="pct"/>
            <w:tcBorders>
              <w:top w:val="single" w:color="auto" w:sz="4" w:space="0"/>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稼穑强农训练营第6期培训会</w:t>
            </w:r>
          </w:p>
        </w:tc>
      </w:tr>
      <w:tr>
        <w:tblPrEx>
          <w:tblCellMar>
            <w:top w:w="0" w:type="dxa"/>
            <w:left w:w="108" w:type="dxa"/>
            <w:bottom w:w="0" w:type="dxa"/>
            <w:right w:w="108" w:type="dxa"/>
          </w:tblCellMar>
        </w:tblPrEx>
        <w:trPr>
          <w:trHeight w:val="270" w:hRule="atLeast"/>
        </w:trPr>
        <w:tc>
          <w:tcPr>
            <w:tcW w:w="42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25</w:t>
            </w:r>
          </w:p>
        </w:tc>
        <w:tc>
          <w:tcPr>
            <w:tcW w:w="855"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2022.09.17</w:t>
            </w:r>
          </w:p>
        </w:tc>
        <w:tc>
          <w:tcPr>
            <w:tcW w:w="3721" w:type="pct"/>
            <w:tcBorders>
              <w:top w:val="single" w:color="auto" w:sz="4" w:space="0"/>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2021年度大创项目结题答辩报告会</w:t>
            </w:r>
          </w:p>
        </w:tc>
      </w:tr>
      <w:tr>
        <w:tblPrEx>
          <w:tblCellMar>
            <w:top w:w="0" w:type="dxa"/>
            <w:left w:w="108" w:type="dxa"/>
            <w:bottom w:w="0" w:type="dxa"/>
            <w:right w:w="108" w:type="dxa"/>
          </w:tblCellMar>
        </w:tblPrEx>
        <w:trPr>
          <w:trHeight w:val="270" w:hRule="atLeast"/>
        </w:trPr>
        <w:tc>
          <w:tcPr>
            <w:tcW w:w="42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26</w:t>
            </w:r>
          </w:p>
        </w:tc>
        <w:tc>
          <w:tcPr>
            <w:tcW w:w="855"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1"/>
                <w:szCs w:val="21"/>
              </w:rPr>
            </w:pPr>
            <w:r>
              <w:rPr>
                <w:color w:val="000000"/>
                <w:kern w:val="0"/>
                <w:sz w:val="21"/>
                <w:szCs w:val="21"/>
              </w:rPr>
              <w:t>2022.09.23</w:t>
            </w:r>
          </w:p>
        </w:tc>
        <w:tc>
          <w:tcPr>
            <w:tcW w:w="3721" w:type="pct"/>
            <w:tcBorders>
              <w:top w:val="single" w:color="auto" w:sz="4" w:space="0"/>
              <w:left w:val="nil"/>
              <w:bottom w:val="single" w:color="auto" w:sz="4" w:space="0"/>
              <w:right w:val="single" w:color="auto" w:sz="4" w:space="0"/>
            </w:tcBorders>
            <w:shd w:val="clear" w:color="auto" w:fill="auto"/>
            <w:noWrap/>
            <w:vAlign w:val="center"/>
          </w:tcPr>
          <w:p>
            <w:pPr>
              <w:widowControl/>
              <w:jc w:val="left"/>
              <w:rPr>
                <w:color w:val="000000"/>
                <w:kern w:val="0"/>
                <w:sz w:val="21"/>
                <w:szCs w:val="21"/>
              </w:rPr>
            </w:pPr>
            <w:r>
              <w:rPr>
                <w:color w:val="000000"/>
                <w:kern w:val="0"/>
                <w:sz w:val="21"/>
                <w:szCs w:val="21"/>
              </w:rPr>
              <w:t>稼穑强农训练营第7期培训会</w:t>
            </w:r>
          </w:p>
        </w:tc>
      </w:tr>
    </w:tbl>
    <w:p>
      <w:pPr>
        <w:jc w:val="center"/>
        <w:rPr>
          <w:rFonts w:eastAsia="仿宋"/>
          <w:color w:val="000000" w:themeColor="text1"/>
          <w:sz w:val="28"/>
          <w:szCs w:val="28"/>
          <w14:textFill>
            <w14:solidFill>
              <w14:schemeClr w14:val="tx1"/>
            </w14:solidFill>
          </w14:textFill>
        </w:rPr>
      </w:pPr>
    </w:p>
    <w:p>
      <w:pPr>
        <w:rPr>
          <w:rFonts w:eastAsia="仿宋"/>
          <w:color w:val="000000" w:themeColor="text1"/>
          <w:sz w:val="28"/>
          <w:szCs w:val="28"/>
          <w14:textFill>
            <w14:solidFill>
              <w14:schemeClr w14:val="tx1"/>
            </w14:solidFill>
          </w14:textFill>
        </w:rPr>
      </w:pPr>
      <w:r>
        <w:rPr>
          <w:rFonts w:eastAsia="仿宋"/>
          <w:color w:val="000000" w:themeColor="text1"/>
          <w:sz w:val="28"/>
          <w:szCs w:val="28"/>
          <w14:textFill>
            <w14:solidFill>
              <w14:schemeClr w14:val="tx1"/>
            </w14:solidFill>
          </w14:textFill>
        </w:rPr>
        <w:br w:type="page"/>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表3 学生创新创业大赛获奖情况</w:t>
      </w:r>
    </w:p>
    <w:tbl>
      <w:tblPr>
        <w:tblStyle w:val="17"/>
        <w:tblW w:w="5000" w:type="pct"/>
        <w:jc w:val="right"/>
        <w:tblLayout w:type="fixed"/>
        <w:tblCellMar>
          <w:top w:w="0" w:type="dxa"/>
          <w:left w:w="108" w:type="dxa"/>
          <w:bottom w:w="0" w:type="dxa"/>
          <w:right w:w="108" w:type="dxa"/>
        </w:tblCellMar>
      </w:tblPr>
      <w:tblGrid>
        <w:gridCol w:w="770"/>
        <w:gridCol w:w="2166"/>
        <w:gridCol w:w="2323"/>
        <w:gridCol w:w="3802"/>
      </w:tblGrid>
      <w:tr>
        <w:tblPrEx>
          <w:tblCellMar>
            <w:top w:w="0" w:type="dxa"/>
            <w:left w:w="108" w:type="dxa"/>
            <w:bottom w:w="0" w:type="dxa"/>
            <w:right w:w="108" w:type="dxa"/>
          </w:tblCellMar>
        </w:tblPrEx>
        <w:trPr>
          <w:trHeight w:val="530" w:hRule="atLeast"/>
          <w:jc w:val="right"/>
        </w:trPr>
        <w:tc>
          <w:tcPr>
            <w:tcW w:w="425"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b/>
                <w:bCs/>
                <w:color w:val="000000"/>
                <w:kern w:val="0"/>
                <w:sz w:val="21"/>
                <w:szCs w:val="21"/>
              </w:rPr>
            </w:pPr>
            <w:r>
              <w:rPr>
                <w:b/>
                <w:bCs/>
                <w:color w:val="000000"/>
                <w:kern w:val="0"/>
                <w:sz w:val="21"/>
                <w:szCs w:val="21"/>
              </w:rPr>
              <w:t>序号</w:t>
            </w:r>
          </w:p>
        </w:tc>
        <w:tc>
          <w:tcPr>
            <w:tcW w:w="119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jc w:val="center"/>
              <w:rPr>
                <w:b/>
                <w:bCs/>
                <w:color w:val="000000"/>
                <w:kern w:val="0"/>
                <w:sz w:val="21"/>
                <w:szCs w:val="21"/>
              </w:rPr>
            </w:pPr>
            <w:r>
              <w:rPr>
                <w:b/>
                <w:bCs/>
                <w:color w:val="000000"/>
                <w:kern w:val="0"/>
                <w:sz w:val="21"/>
                <w:szCs w:val="21"/>
              </w:rPr>
              <w:t>获奖团队名称</w:t>
            </w:r>
          </w:p>
        </w:tc>
        <w:tc>
          <w:tcPr>
            <w:tcW w:w="1282"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jc w:val="center"/>
              <w:rPr>
                <w:b/>
                <w:bCs/>
                <w:color w:val="000000"/>
                <w:kern w:val="0"/>
                <w:sz w:val="21"/>
                <w:szCs w:val="21"/>
              </w:rPr>
            </w:pPr>
            <w:r>
              <w:rPr>
                <w:b/>
                <w:bCs/>
                <w:color w:val="000000"/>
                <w:kern w:val="0"/>
                <w:sz w:val="21"/>
                <w:szCs w:val="21"/>
              </w:rPr>
              <w:t>团队成员</w:t>
            </w:r>
          </w:p>
        </w:tc>
        <w:tc>
          <w:tcPr>
            <w:tcW w:w="209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jc w:val="center"/>
              <w:rPr>
                <w:b/>
                <w:bCs/>
                <w:color w:val="000000"/>
                <w:kern w:val="0"/>
                <w:sz w:val="21"/>
                <w:szCs w:val="21"/>
              </w:rPr>
            </w:pPr>
            <w:r>
              <w:rPr>
                <w:b/>
                <w:bCs/>
                <w:color w:val="000000"/>
                <w:kern w:val="0"/>
                <w:sz w:val="21"/>
                <w:szCs w:val="21"/>
              </w:rPr>
              <w:t>获奖名称</w:t>
            </w:r>
          </w:p>
        </w:tc>
      </w:tr>
      <w:tr>
        <w:tblPrEx>
          <w:tblCellMar>
            <w:top w:w="0" w:type="dxa"/>
            <w:left w:w="108" w:type="dxa"/>
            <w:bottom w:w="0" w:type="dxa"/>
            <w:right w:w="108" w:type="dxa"/>
          </w:tblCellMar>
        </w:tblPrEx>
        <w:trPr>
          <w:trHeight w:val="744" w:hRule="atLeast"/>
          <w:jc w:val="right"/>
        </w:trPr>
        <w:tc>
          <w:tcPr>
            <w:tcW w:w="42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color w:val="000000"/>
                <w:kern w:val="0"/>
                <w:sz w:val="21"/>
                <w:szCs w:val="21"/>
              </w:rPr>
            </w:pPr>
            <w:r>
              <w:rPr>
                <w:color w:val="000000"/>
                <w:kern w:val="0"/>
                <w:sz w:val="21"/>
                <w:szCs w:val="21"/>
              </w:rPr>
              <w:t>1</w:t>
            </w:r>
          </w:p>
        </w:tc>
        <w:tc>
          <w:tcPr>
            <w:tcW w:w="1195"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麦麦相传-抗赤霉病小麦助力乡村振兴</w:t>
            </w:r>
          </w:p>
        </w:tc>
        <w:tc>
          <w:tcPr>
            <w:tcW w:w="1282"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张保月，秦宇茜，孟洋</w:t>
            </w:r>
          </w:p>
        </w:tc>
        <w:tc>
          <w:tcPr>
            <w:tcW w:w="2098"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第八届</w:t>
            </w:r>
            <w:r>
              <w:rPr>
                <w:rFonts w:hint="eastAsia"/>
                <w:color w:val="000000"/>
                <w:kern w:val="0"/>
                <w:sz w:val="21"/>
                <w:szCs w:val="21"/>
              </w:rPr>
              <w:t>“</w:t>
            </w:r>
            <w:r>
              <w:rPr>
                <w:color w:val="000000"/>
                <w:kern w:val="0"/>
                <w:sz w:val="21"/>
                <w:szCs w:val="21"/>
              </w:rPr>
              <w:t>创青春</w:t>
            </w:r>
            <w:r>
              <w:rPr>
                <w:rFonts w:hint="eastAsia"/>
                <w:color w:val="000000"/>
                <w:kern w:val="0"/>
                <w:sz w:val="21"/>
                <w:szCs w:val="21"/>
              </w:rPr>
              <w:t>”</w:t>
            </w:r>
            <w:r>
              <w:rPr>
                <w:color w:val="000000"/>
                <w:kern w:val="0"/>
                <w:sz w:val="21"/>
                <w:szCs w:val="21"/>
              </w:rPr>
              <w:t>中国青年创新创业大赛国赛金奖</w:t>
            </w:r>
          </w:p>
        </w:tc>
      </w:tr>
      <w:tr>
        <w:tblPrEx>
          <w:tblCellMar>
            <w:top w:w="0" w:type="dxa"/>
            <w:left w:w="108" w:type="dxa"/>
            <w:bottom w:w="0" w:type="dxa"/>
            <w:right w:w="108" w:type="dxa"/>
          </w:tblCellMar>
        </w:tblPrEx>
        <w:trPr>
          <w:trHeight w:val="714" w:hRule="atLeast"/>
          <w:jc w:val="right"/>
        </w:trPr>
        <w:tc>
          <w:tcPr>
            <w:tcW w:w="42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color w:val="000000"/>
                <w:kern w:val="0"/>
                <w:sz w:val="21"/>
                <w:szCs w:val="21"/>
              </w:rPr>
            </w:pPr>
            <w:r>
              <w:rPr>
                <w:color w:val="000000"/>
                <w:kern w:val="0"/>
                <w:sz w:val="21"/>
                <w:szCs w:val="21"/>
              </w:rPr>
              <w:t>2</w:t>
            </w:r>
          </w:p>
        </w:tc>
        <w:tc>
          <w:tcPr>
            <w:tcW w:w="1195"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麦麦相承-小麦健康的守护神</w:t>
            </w:r>
          </w:p>
        </w:tc>
        <w:tc>
          <w:tcPr>
            <w:tcW w:w="1282"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任桂宽，刘凤欣，李彦，王淑婷，申峻泊</w:t>
            </w:r>
          </w:p>
        </w:tc>
        <w:tc>
          <w:tcPr>
            <w:tcW w:w="2098"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第十三届</w:t>
            </w:r>
            <w:r>
              <w:rPr>
                <w:rFonts w:hint="eastAsia"/>
                <w:color w:val="000000"/>
                <w:kern w:val="0"/>
                <w:sz w:val="21"/>
                <w:szCs w:val="21"/>
              </w:rPr>
              <w:t>“</w:t>
            </w:r>
            <w:r>
              <w:rPr>
                <w:color w:val="000000"/>
                <w:kern w:val="0"/>
                <w:sz w:val="21"/>
                <w:szCs w:val="21"/>
              </w:rPr>
              <w:t>挑战杯</w:t>
            </w:r>
            <w:r>
              <w:rPr>
                <w:rFonts w:hint="eastAsia"/>
                <w:color w:val="000000"/>
                <w:kern w:val="0"/>
                <w:sz w:val="21"/>
                <w:szCs w:val="21"/>
              </w:rPr>
              <w:t>”</w:t>
            </w:r>
            <w:r>
              <w:rPr>
                <w:color w:val="000000"/>
                <w:kern w:val="0"/>
                <w:sz w:val="21"/>
                <w:szCs w:val="21"/>
              </w:rPr>
              <w:t>·建设银行山东省大学生创业计划竞赛 铜奖</w:t>
            </w:r>
          </w:p>
        </w:tc>
      </w:tr>
      <w:tr>
        <w:tblPrEx>
          <w:tblCellMar>
            <w:top w:w="0" w:type="dxa"/>
            <w:left w:w="108" w:type="dxa"/>
            <w:bottom w:w="0" w:type="dxa"/>
            <w:right w:w="108" w:type="dxa"/>
          </w:tblCellMar>
        </w:tblPrEx>
        <w:trPr>
          <w:trHeight w:val="405" w:hRule="atLeast"/>
          <w:jc w:val="right"/>
        </w:trPr>
        <w:tc>
          <w:tcPr>
            <w:tcW w:w="42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color w:val="000000"/>
                <w:kern w:val="0"/>
                <w:sz w:val="21"/>
                <w:szCs w:val="21"/>
              </w:rPr>
            </w:pPr>
            <w:r>
              <w:rPr>
                <w:color w:val="000000"/>
                <w:kern w:val="0"/>
                <w:sz w:val="21"/>
                <w:szCs w:val="21"/>
              </w:rPr>
              <w:t>3</w:t>
            </w:r>
          </w:p>
        </w:tc>
        <w:tc>
          <w:tcPr>
            <w:tcW w:w="1195"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抗赤霉病小麦助力乡村振兴</w:t>
            </w:r>
          </w:p>
        </w:tc>
        <w:tc>
          <w:tcPr>
            <w:tcW w:w="1282"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张保月，秦宇茜，孟洋，李佳，赵新展，葛文扬，吕忠璠</w:t>
            </w:r>
          </w:p>
        </w:tc>
        <w:tc>
          <w:tcPr>
            <w:tcW w:w="2098"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rFonts w:hint="eastAsia"/>
                <w:color w:val="000000"/>
                <w:kern w:val="0"/>
                <w:sz w:val="21"/>
                <w:szCs w:val="21"/>
              </w:rPr>
              <w:t>“</w:t>
            </w:r>
            <w:r>
              <w:rPr>
                <w:color w:val="000000"/>
                <w:kern w:val="0"/>
                <w:sz w:val="21"/>
                <w:szCs w:val="21"/>
              </w:rPr>
              <w:t>山东农担杯</w:t>
            </w:r>
            <w:r>
              <w:rPr>
                <w:rFonts w:hint="eastAsia"/>
                <w:color w:val="000000"/>
                <w:kern w:val="0"/>
                <w:sz w:val="21"/>
                <w:szCs w:val="21"/>
              </w:rPr>
              <w:t>”</w:t>
            </w:r>
            <w:r>
              <w:rPr>
                <w:color w:val="000000"/>
                <w:kern w:val="0"/>
                <w:sz w:val="21"/>
                <w:szCs w:val="21"/>
              </w:rPr>
              <w:t>齐鲁青年乡村振兴创新创业大赛</w:t>
            </w:r>
          </w:p>
        </w:tc>
      </w:tr>
      <w:tr>
        <w:tblPrEx>
          <w:tblCellMar>
            <w:top w:w="0" w:type="dxa"/>
            <w:left w:w="108" w:type="dxa"/>
            <w:bottom w:w="0" w:type="dxa"/>
            <w:right w:w="108" w:type="dxa"/>
          </w:tblCellMar>
        </w:tblPrEx>
        <w:trPr>
          <w:trHeight w:val="405" w:hRule="atLeast"/>
          <w:jc w:val="right"/>
        </w:trPr>
        <w:tc>
          <w:tcPr>
            <w:tcW w:w="42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color w:val="000000"/>
                <w:kern w:val="0"/>
                <w:sz w:val="21"/>
                <w:szCs w:val="21"/>
              </w:rPr>
            </w:pPr>
            <w:r>
              <w:rPr>
                <w:color w:val="000000"/>
                <w:kern w:val="0"/>
                <w:sz w:val="21"/>
                <w:szCs w:val="21"/>
              </w:rPr>
              <w:t>4</w:t>
            </w:r>
          </w:p>
        </w:tc>
        <w:tc>
          <w:tcPr>
            <w:tcW w:w="1195"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丰穗佳康——Fhb7小麦赤霉病抗性品种助力乡村振兴</w:t>
            </w:r>
          </w:p>
        </w:tc>
        <w:tc>
          <w:tcPr>
            <w:tcW w:w="1282"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张保月，秦宇茜，孟洋，于天琦</w:t>
            </w:r>
          </w:p>
        </w:tc>
        <w:tc>
          <w:tcPr>
            <w:tcW w:w="2098"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第七届山东农业大学新业态</w:t>
            </w:r>
            <w:r>
              <w:rPr>
                <w:rFonts w:hint="eastAsia"/>
                <w:color w:val="000000"/>
                <w:kern w:val="0"/>
                <w:sz w:val="21"/>
                <w:szCs w:val="21"/>
              </w:rPr>
              <w:t>“</w:t>
            </w:r>
            <w:r>
              <w:rPr>
                <w:color w:val="000000"/>
                <w:kern w:val="0"/>
                <w:sz w:val="21"/>
                <w:szCs w:val="21"/>
              </w:rPr>
              <w:t>互联网+</w:t>
            </w:r>
            <w:r>
              <w:rPr>
                <w:rFonts w:hint="eastAsia"/>
                <w:color w:val="000000"/>
                <w:kern w:val="0"/>
                <w:sz w:val="21"/>
                <w:szCs w:val="21"/>
              </w:rPr>
              <w:t>”</w:t>
            </w:r>
            <w:r>
              <w:rPr>
                <w:color w:val="000000"/>
                <w:kern w:val="0"/>
                <w:sz w:val="21"/>
                <w:szCs w:val="21"/>
              </w:rPr>
              <w:t>大学生创新创业大赛校级一等奖</w:t>
            </w:r>
          </w:p>
        </w:tc>
      </w:tr>
      <w:tr>
        <w:tblPrEx>
          <w:tblCellMar>
            <w:top w:w="0" w:type="dxa"/>
            <w:left w:w="108" w:type="dxa"/>
            <w:bottom w:w="0" w:type="dxa"/>
            <w:right w:w="108" w:type="dxa"/>
          </w:tblCellMar>
        </w:tblPrEx>
        <w:trPr>
          <w:trHeight w:val="729" w:hRule="atLeast"/>
          <w:jc w:val="right"/>
        </w:trPr>
        <w:tc>
          <w:tcPr>
            <w:tcW w:w="42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color w:val="000000"/>
                <w:kern w:val="0"/>
                <w:sz w:val="21"/>
                <w:szCs w:val="21"/>
              </w:rPr>
            </w:pPr>
            <w:r>
              <w:rPr>
                <w:color w:val="000000"/>
                <w:kern w:val="0"/>
                <w:sz w:val="21"/>
                <w:szCs w:val="21"/>
              </w:rPr>
              <w:t>5</w:t>
            </w:r>
          </w:p>
        </w:tc>
        <w:tc>
          <w:tcPr>
            <w:tcW w:w="1195"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种创万物——种子画艺术品的创作者</w:t>
            </w:r>
          </w:p>
        </w:tc>
        <w:tc>
          <w:tcPr>
            <w:tcW w:w="1282"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秦怡晓，刘景阳，黄浩哲，郭晗，刘道璐</w:t>
            </w:r>
          </w:p>
        </w:tc>
        <w:tc>
          <w:tcPr>
            <w:tcW w:w="2098"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第七届山东农业大学新业态</w:t>
            </w:r>
            <w:r>
              <w:rPr>
                <w:rFonts w:hint="eastAsia"/>
                <w:color w:val="000000"/>
                <w:kern w:val="0"/>
                <w:sz w:val="21"/>
                <w:szCs w:val="21"/>
              </w:rPr>
              <w:t>“</w:t>
            </w:r>
            <w:r>
              <w:rPr>
                <w:color w:val="000000"/>
                <w:kern w:val="0"/>
                <w:sz w:val="21"/>
                <w:szCs w:val="21"/>
              </w:rPr>
              <w:t>互联网+</w:t>
            </w:r>
            <w:r>
              <w:rPr>
                <w:rFonts w:hint="eastAsia"/>
                <w:color w:val="000000"/>
                <w:kern w:val="0"/>
                <w:sz w:val="21"/>
                <w:szCs w:val="21"/>
              </w:rPr>
              <w:t>”</w:t>
            </w:r>
            <w:r>
              <w:rPr>
                <w:color w:val="000000"/>
                <w:kern w:val="0"/>
                <w:sz w:val="21"/>
                <w:szCs w:val="21"/>
              </w:rPr>
              <w:t>大学生创新创业大赛校级二等奖</w:t>
            </w:r>
          </w:p>
        </w:tc>
      </w:tr>
      <w:tr>
        <w:tblPrEx>
          <w:tblCellMar>
            <w:top w:w="0" w:type="dxa"/>
            <w:left w:w="108" w:type="dxa"/>
            <w:bottom w:w="0" w:type="dxa"/>
            <w:right w:w="108" w:type="dxa"/>
          </w:tblCellMar>
        </w:tblPrEx>
        <w:trPr>
          <w:trHeight w:val="669" w:hRule="atLeast"/>
          <w:jc w:val="right"/>
        </w:trPr>
        <w:tc>
          <w:tcPr>
            <w:tcW w:w="42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color w:val="000000"/>
                <w:kern w:val="0"/>
                <w:sz w:val="21"/>
                <w:szCs w:val="21"/>
              </w:rPr>
            </w:pPr>
            <w:r>
              <w:rPr>
                <w:color w:val="000000"/>
                <w:kern w:val="0"/>
                <w:sz w:val="21"/>
                <w:szCs w:val="21"/>
              </w:rPr>
              <w:t>6</w:t>
            </w:r>
          </w:p>
        </w:tc>
        <w:tc>
          <w:tcPr>
            <w:tcW w:w="1195"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挽香阁——中草药香水调制者</w:t>
            </w:r>
          </w:p>
        </w:tc>
        <w:tc>
          <w:tcPr>
            <w:tcW w:w="1282"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尹咏琪，杨光，李健豪</w:t>
            </w:r>
          </w:p>
        </w:tc>
        <w:tc>
          <w:tcPr>
            <w:tcW w:w="2098"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第七届山东农业大学新业态</w:t>
            </w:r>
            <w:r>
              <w:rPr>
                <w:rFonts w:hint="eastAsia"/>
                <w:color w:val="000000"/>
                <w:kern w:val="0"/>
                <w:sz w:val="21"/>
                <w:szCs w:val="21"/>
              </w:rPr>
              <w:t>“</w:t>
            </w:r>
            <w:r>
              <w:rPr>
                <w:color w:val="000000"/>
                <w:kern w:val="0"/>
                <w:sz w:val="21"/>
                <w:szCs w:val="21"/>
              </w:rPr>
              <w:t>互联网+</w:t>
            </w:r>
            <w:r>
              <w:rPr>
                <w:rFonts w:hint="eastAsia"/>
                <w:color w:val="000000"/>
                <w:kern w:val="0"/>
                <w:sz w:val="21"/>
                <w:szCs w:val="21"/>
              </w:rPr>
              <w:t>”</w:t>
            </w:r>
            <w:r>
              <w:rPr>
                <w:color w:val="000000"/>
                <w:kern w:val="0"/>
                <w:sz w:val="21"/>
                <w:szCs w:val="21"/>
              </w:rPr>
              <w:t>大学生创新创业大赛校级三等奖</w:t>
            </w:r>
          </w:p>
        </w:tc>
      </w:tr>
      <w:tr>
        <w:tblPrEx>
          <w:tblCellMar>
            <w:top w:w="0" w:type="dxa"/>
            <w:left w:w="108" w:type="dxa"/>
            <w:bottom w:w="0" w:type="dxa"/>
            <w:right w:w="108" w:type="dxa"/>
          </w:tblCellMar>
        </w:tblPrEx>
        <w:trPr>
          <w:trHeight w:val="774" w:hRule="atLeast"/>
          <w:jc w:val="right"/>
        </w:trPr>
        <w:tc>
          <w:tcPr>
            <w:tcW w:w="42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color w:val="000000"/>
                <w:kern w:val="0"/>
                <w:sz w:val="21"/>
                <w:szCs w:val="21"/>
              </w:rPr>
            </w:pPr>
            <w:r>
              <w:rPr>
                <w:color w:val="000000"/>
                <w:kern w:val="0"/>
                <w:sz w:val="21"/>
                <w:szCs w:val="21"/>
              </w:rPr>
              <w:t>7</w:t>
            </w:r>
          </w:p>
        </w:tc>
        <w:tc>
          <w:tcPr>
            <w:tcW w:w="1195"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年丰时稔——玉米种业发展的金钥匙</w:t>
            </w:r>
          </w:p>
        </w:tc>
        <w:tc>
          <w:tcPr>
            <w:tcW w:w="1282"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尹咏琪，刘明德，辛晓珂，张颖，李芳汀</w:t>
            </w:r>
          </w:p>
        </w:tc>
        <w:tc>
          <w:tcPr>
            <w:tcW w:w="2098"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第七届山东农业大学新业态</w:t>
            </w:r>
            <w:r>
              <w:rPr>
                <w:rFonts w:hint="eastAsia"/>
                <w:color w:val="000000"/>
                <w:kern w:val="0"/>
                <w:sz w:val="21"/>
                <w:szCs w:val="21"/>
              </w:rPr>
              <w:t>“</w:t>
            </w:r>
            <w:r>
              <w:rPr>
                <w:color w:val="000000"/>
                <w:kern w:val="0"/>
                <w:sz w:val="21"/>
                <w:szCs w:val="21"/>
              </w:rPr>
              <w:t>互联网+</w:t>
            </w:r>
            <w:r>
              <w:rPr>
                <w:rFonts w:hint="eastAsia"/>
                <w:color w:val="000000"/>
                <w:kern w:val="0"/>
                <w:sz w:val="21"/>
                <w:szCs w:val="21"/>
              </w:rPr>
              <w:t>”</w:t>
            </w:r>
            <w:r>
              <w:rPr>
                <w:color w:val="000000"/>
                <w:kern w:val="0"/>
                <w:sz w:val="21"/>
                <w:szCs w:val="21"/>
              </w:rPr>
              <w:t>大学生创新创业大赛校级三等奖</w:t>
            </w:r>
          </w:p>
        </w:tc>
      </w:tr>
      <w:tr>
        <w:tblPrEx>
          <w:tblCellMar>
            <w:top w:w="0" w:type="dxa"/>
            <w:left w:w="108" w:type="dxa"/>
            <w:bottom w:w="0" w:type="dxa"/>
            <w:right w:w="108" w:type="dxa"/>
          </w:tblCellMar>
        </w:tblPrEx>
        <w:trPr>
          <w:trHeight w:val="714" w:hRule="atLeast"/>
          <w:jc w:val="right"/>
        </w:trPr>
        <w:tc>
          <w:tcPr>
            <w:tcW w:w="42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color w:val="000000"/>
                <w:kern w:val="0"/>
                <w:sz w:val="21"/>
                <w:szCs w:val="21"/>
              </w:rPr>
            </w:pPr>
            <w:r>
              <w:rPr>
                <w:color w:val="000000"/>
                <w:kern w:val="0"/>
                <w:sz w:val="21"/>
                <w:szCs w:val="21"/>
              </w:rPr>
              <w:t>8</w:t>
            </w:r>
          </w:p>
        </w:tc>
        <w:tc>
          <w:tcPr>
            <w:tcW w:w="1195"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脱水先锋——玉米籽粒脱水领航者</w:t>
            </w:r>
          </w:p>
        </w:tc>
        <w:tc>
          <w:tcPr>
            <w:tcW w:w="1282"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尹咏琪，刘明德，辛晓珂，张颖，李芳汀</w:t>
            </w:r>
          </w:p>
        </w:tc>
        <w:tc>
          <w:tcPr>
            <w:tcW w:w="2098"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rFonts w:hint="eastAsia"/>
                <w:color w:val="000000"/>
                <w:kern w:val="0"/>
                <w:sz w:val="21"/>
                <w:szCs w:val="21"/>
              </w:rPr>
              <w:t>“</w:t>
            </w:r>
            <w:r>
              <w:rPr>
                <w:color w:val="000000"/>
                <w:kern w:val="0"/>
                <w:sz w:val="21"/>
                <w:szCs w:val="21"/>
              </w:rPr>
              <w:t>建行杯</w:t>
            </w:r>
            <w:r>
              <w:rPr>
                <w:rFonts w:hint="eastAsia"/>
                <w:color w:val="000000"/>
                <w:kern w:val="0"/>
                <w:sz w:val="21"/>
                <w:szCs w:val="21"/>
              </w:rPr>
              <w:t>”</w:t>
            </w:r>
            <w:r>
              <w:rPr>
                <w:color w:val="000000"/>
                <w:kern w:val="0"/>
                <w:sz w:val="21"/>
                <w:szCs w:val="21"/>
              </w:rPr>
              <w:t>第七届山东省</w:t>
            </w:r>
            <w:r>
              <w:rPr>
                <w:rFonts w:hint="eastAsia"/>
                <w:color w:val="000000"/>
                <w:kern w:val="0"/>
                <w:sz w:val="21"/>
                <w:szCs w:val="21"/>
              </w:rPr>
              <w:t>“</w:t>
            </w:r>
            <w:r>
              <w:rPr>
                <w:color w:val="000000"/>
                <w:kern w:val="0"/>
                <w:sz w:val="21"/>
                <w:szCs w:val="21"/>
              </w:rPr>
              <w:t>互联网+</w:t>
            </w:r>
            <w:r>
              <w:rPr>
                <w:rFonts w:hint="eastAsia"/>
                <w:color w:val="000000"/>
                <w:kern w:val="0"/>
                <w:sz w:val="21"/>
                <w:szCs w:val="21"/>
              </w:rPr>
              <w:t>”</w:t>
            </w:r>
            <w:r>
              <w:rPr>
                <w:color w:val="000000"/>
                <w:kern w:val="0"/>
                <w:sz w:val="21"/>
                <w:szCs w:val="21"/>
              </w:rPr>
              <w:t>大学生创新创业大赛省级铜奖</w:t>
            </w:r>
          </w:p>
        </w:tc>
      </w:tr>
      <w:tr>
        <w:tblPrEx>
          <w:tblCellMar>
            <w:top w:w="0" w:type="dxa"/>
            <w:left w:w="108" w:type="dxa"/>
            <w:bottom w:w="0" w:type="dxa"/>
            <w:right w:w="108" w:type="dxa"/>
          </w:tblCellMar>
        </w:tblPrEx>
        <w:trPr>
          <w:trHeight w:val="759" w:hRule="atLeast"/>
          <w:jc w:val="right"/>
        </w:trPr>
        <w:tc>
          <w:tcPr>
            <w:tcW w:w="42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color w:val="000000"/>
                <w:kern w:val="0"/>
                <w:sz w:val="21"/>
                <w:szCs w:val="21"/>
              </w:rPr>
            </w:pPr>
            <w:r>
              <w:rPr>
                <w:color w:val="000000"/>
                <w:kern w:val="0"/>
                <w:sz w:val="21"/>
                <w:szCs w:val="21"/>
              </w:rPr>
              <w:t>9</w:t>
            </w:r>
          </w:p>
        </w:tc>
        <w:tc>
          <w:tcPr>
            <w:tcW w:w="1195"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创新山药产业，助力精准扶贫</w:t>
            </w:r>
          </w:p>
        </w:tc>
        <w:tc>
          <w:tcPr>
            <w:tcW w:w="1282"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齐有辉，孙瑞琪，王芃，张朝阳，孙小茹</w:t>
            </w:r>
          </w:p>
        </w:tc>
        <w:tc>
          <w:tcPr>
            <w:tcW w:w="2098"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第七届山东农业大学</w:t>
            </w:r>
            <w:r>
              <w:rPr>
                <w:rFonts w:hint="eastAsia"/>
                <w:color w:val="000000"/>
                <w:kern w:val="0"/>
                <w:sz w:val="21"/>
                <w:szCs w:val="21"/>
              </w:rPr>
              <w:t>“</w:t>
            </w:r>
            <w:r>
              <w:rPr>
                <w:color w:val="000000"/>
                <w:kern w:val="0"/>
                <w:sz w:val="21"/>
                <w:szCs w:val="21"/>
              </w:rPr>
              <w:t>互联网+</w:t>
            </w:r>
            <w:r>
              <w:rPr>
                <w:rFonts w:hint="eastAsia"/>
                <w:color w:val="000000"/>
                <w:kern w:val="0"/>
                <w:sz w:val="21"/>
                <w:szCs w:val="21"/>
              </w:rPr>
              <w:t>”</w:t>
            </w:r>
            <w:r>
              <w:rPr>
                <w:color w:val="000000"/>
                <w:kern w:val="0"/>
                <w:sz w:val="21"/>
                <w:szCs w:val="21"/>
              </w:rPr>
              <w:t>农学院院赛三等奖</w:t>
            </w:r>
          </w:p>
        </w:tc>
      </w:tr>
      <w:tr>
        <w:tblPrEx>
          <w:tblCellMar>
            <w:top w:w="0" w:type="dxa"/>
            <w:left w:w="108" w:type="dxa"/>
            <w:bottom w:w="0" w:type="dxa"/>
            <w:right w:w="108" w:type="dxa"/>
          </w:tblCellMar>
        </w:tblPrEx>
        <w:trPr>
          <w:trHeight w:val="729" w:hRule="atLeast"/>
          <w:jc w:val="right"/>
        </w:trPr>
        <w:tc>
          <w:tcPr>
            <w:tcW w:w="42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color w:val="000000"/>
                <w:kern w:val="0"/>
                <w:sz w:val="21"/>
                <w:szCs w:val="21"/>
              </w:rPr>
            </w:pPr>
            <w:r>
              <w:rPr>
                <w:color w:val="000000"/>
                <w:kern w:val="0"/>
                <w:sz w:val="21"/>
                <w:szCs w:val="21"/>
              </w:rPr>
              <w:t>10</w:t>
            </w:r>
          </w:p>
        </w:tc>
        <w:tc>
          <w:tcPr>
            <w:tcW w:w="1195"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丰收智图</w:t>
            </w:r>
          </w:p>
        </w:tc>
        <w:tc>
          <w:tcPr>
            <w:tcW w:w="1282"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王欣雨，孙梦佳，刘昕萌，李心月</w:t>
            </w:r>
          </w:p>
        </w:tc>
        <w:tc>
          <w:tcPr>
            <w:tcW w:w="2098"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第七届山东农业大学</w:t>
            </w:r>
            <w:r>
              <w:rPr>
                <w:rFonts w:hint="eastAsia"/>
                <w:color w:val="000000"/>
                <w:kern w:val="0"/>
                <w:sz w:val="21"/>
                <w:szCs w:val="21"/>
              </w:rPr>
              <w:t>“</w:t>
            </w:r>
            <w:r>
              <w:rPr>
                <w:color w:val="000000"/>
                <w:kern w:val="0"/>
                <w:sz w:val="21"/>
                <w:szCs w:val="21"/>
              </w:rPr>
              <w:t>互联网+</w:t>
            </w:r>
            <w:r>
              <w:rPr>
                <w:rFonts w:hint="eastAsia"/>
                <w:color w:val="000000"/>
                <w:kern w:val="0"/>
                <w:sz w:val="21"/>
                <w:szCs w:val="21"/>
              </w:rPr>
              <w:t>”</w:t>
            </w:r>
            <w:r>
              <w:rPr>
                <w:color w:val="000000"/>
                <w:kern w:val="0"/>
                <w:sz w:val="21"/>
                <w:szCs w:val="21"/>
              </w:rPr>
              <w:t>农学院院赛三等奖</w:t>
            </w:r>
          </w:p>
        </w:tc>
      </w:tr>
      <w:tr>
        <w:tblPrEx>
          <w:tblCellMar>
            <w:top w:w="0" w:type="dxa"/>
            <w:left w:w="108" w:type="dxa"/>
            <w:bottom w:w="0" w:type="dxa"/>
            <w:right w:w="108" w:type="dxa"/>
          </w:tblCellMar>
        </w:tblPrEx>
        <w:trPr>
          <w:trHeight w:val="405" w:hRule="atLeast"/>
          <w:jc w:val="right"/>
        </w:trPr>
        <w:tc>
          <w:tcPr>
            <w:tcW w:w="425"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color w:val="000000"/>
                <w:kern w:val="0"/>
                <w:sz w:val="21"/>
                <w:szCs w:val="21"/>
              </w:rPr>
            </w:pPr>
            <w:r>
              <w:rPr>
                <w:color w:val="000000"/>
                <w:kern w:val="0"/>
                <w:sz w:val="21"/>
                <w:szCs w:val="21"/>
              </w:rPr>
              <w:t>11</w:t>
            </w:r>
          </w:p>
        </w:tc>
        <w:tc>
          <w:tcPr>
            <w:tcW w:w="1195"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宽幅播种</w:t>
            </w:r>
          </w:p>
        </w:tc>
        <w:tc>
          <w:tcPr>
            <w:tcW w:w="1282"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冯天宇，王涵，潘玉昕</w:t>
            </w:r>
          </w:p>
        </w:tc>
        <w:tc>
          <w:tcPr>
            <w:tcW w:w="2098" w:type="pct"/>
            <w:tcBorders>
              <w:top w:val="nil"/>
              <w:left w:val="nil"/>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第七届山东农业大学</w:t>
            </w:r>
            <w:r>
              <w:rPr>
                <w:rFonts w:hint="eastAsia"/>
                <w:color w:val="000000"/>
                <w:kern w:val="0"/>
                <w:sz w:val="21"/>
                <w:szCs w:val="21"/>
              </w:rPr>
              <w:t>“</w:t>
            </w:r>
            <w:r>
              <w:rPr>
                <w:color w:val="000000"/>
                <w:kern w:val="0"/>
                <w:sz w:val="21"/>
                <w:szCs w:val="21"/>
              </w:rPr>
              <w:t>互联网+</w:t>
            </w:r>
            <w:r>
              <w:rPr>
                <w:rFonts w:hint="eastAsia"/>
                <w:color w:val="000000"/>
                <w:kern w:val="0"/>
                <w:sz w:val="21"/>
                <w:szCs w:val="21"/>
              </w:rPr>
              <w:t>”</w:t>
            </w:r>
            <w:r>
              <w:rPr>
                <w:color w:val="000000"/>
                <w:kern w:val="0"/>
                <w:sz w:val="21"/>
                <w:szCs w:val="21"/>
              </w:rPr>
              <w:t>农学院院赛三等奖</w:t>
            </w:r>
          </w:p>
        </w:tc>
      </w:tr>
      <w:tr>
        <w:tblPrEx>
          <w:tblCellMar>
            <w:top w:w="0" w:type="dxa"/>
            <w:left w:w="108" w:type="dxa"/>
            <w:bottom w:w="0" w:type="dxa"/>
            <w:right w:w="108" w:type="dxa"/>
          </w:tblCellMar>
        </w:tblPrEx>
        <w:trPr>
          <w:trHeight w:val="405" w:hRule="atLeast"/>
          <w:jc w:val="right"/>
        </w:trPr>
        <w:tc>
          <w:tcPr>
            <w:tcW w:w="425"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color w:val="000000"/>
                <w:kern w:val="0"/>
                <w:sz w:val="21"/>
                <w:szCs w:val="21"/>
              </w:rPr>
            </w:pPr>
            <w:r>
              <w:rPr>
                <w:color w:val="000000"/>
                <w:kern w:val="0"/>
                <w:sz w:val="21"/>
                <w:szCs w:val="21"/>
              </w:rPr>
              <w:t>12</w:t>
            </w:r>
          </w:p>
        </w:tc>
        <w:tc>
          <w:tcPr>
            <w:tcW w:w="1195"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基于小麦穗叶部的快速高效赤霉病抗性鉴定技术</w:t>
            </w:r>
          </w:p>
        </w:tc>
        <w:tc>
          <w:tcPr>
            <w:tcW w:w="128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孟洋，刘凤欣，秦宇茜</w:t>
            </w:r>
          </w:p>
        </w:tc>
        <w:tc>
          <w:tcPr>
            <w:tcW w:w="209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第八届山东农业大学</w:t>
            </w:r>
            <w:r>
              <w:rPr>
                <w:rFonts w:hint="eastAsia"/>
                <w:color w:val="000000"/>
                <w:kern w:val="0"/>
                <w:sz w:val="21"/>
                <w:szCs w:val="21"/>
              </w:rPr>
              <w:t>“</w:t>
            </w:r>
            <w:r>
              <w:rPr>
                <w:color w:val="000000"/>
                <w:kern w:val="0"/>
                <w:sz w:val="21"/>
                <w:szCs w:val="21"/>
              </w:rPr>
              <w:t>新生力</w:t>
            </w:r>
            <w:r>
              <w:rPr>
                <w:rFonts w:hint="eastAsia"/>
                <w:color w:val="000000"/>
                <w:kern w:val="0"/>
                <w:sz w:val="21"/>
                <w:szCs w:val="21"/>
              </w:rPr>
              <w:t>”</w:t>
            </w:r>
            <w:r>
              <w:rPr>
                <w:color w:val="000000"/>
                <w:kern w:val="0"/>
                <w:sz w:val="21"/>
                <w:szCs w:val="21"/>
              </w:rPr>
              <w:t>大学生科技创新大赛省赛二等奖</w:t>
            </w:r>
          </w:p>
        </w:tc>
      </w:tr>
      <w:tr>
        <w:tblPrEx>
          <w:tblCellMar>
            <w:top w:w="0" w:type="dxa"/>
            <w:left w:w="108" w:type="dxa"/>
            <w:bottom w:w="0" w:type="dxa"/>
            <w:right w:w="108" w:type="dxa"/>
          </w:tblCellMar>
        </w:tblPrEx>
        <w:trPr>
          <w:trHeight w:val="405" w:hRule="atLeast"/>
          <w:jc w:val="right"/>
        </w:trPr>
        <w:tc>
          <w:tcPr>
            <w:tcW w:w="425"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color w:val="000000"/>
                <w:kern w:val="0"/>
                <w:sz w:val="21"/>
                <w:szCs w:val="21"/>
              </w:rPr>
            </w:pPr>
            <w:r>
              <w:rPr>
                <w:color w:val="000000"/>
                <w:kern w:val="0"/>
                <w:sz w:val="21"/>
                <w:szCs w:val="21"/>
              </w:rPr>
              <w:t>13</w:t>
            </w:r>
          </w:p>
        </w:tc>
        <w:tc>
          <w:tcPr>
            <w:tcW w:w="1195"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基于螺旋机制的土壤耕作层电动取样装置</w:t>
            </w:r>
          </w:p>
        </w:tc>
        <w:tc>
          <w:tcPr>
            <w:tcW w:w="128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汪顺源，柳俊臣，赵童鑫，王凯</w:t>
            </w:r>
          </w:p>
        </w:tc>
        <w:tc>
          <w:tcPr>
            <w:tcW w:w="209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第八届山东农业大学</w:t>
            </w:r>
            <w:r>
              <w:rPr>
                <w:rFonts w:hint="eastAsia"/>
                <w:color w:val="000000"/>
                <w:kern w:val="0"/>
                <w:sz w:val="21"/>
                <w:szCs w:val="21"/>
              </w:rPr>
              <w:t>“</w:t>
            </w:r>
            <w:r>
              <w:rPr>
                <w:color w:val="000000"/>
                <w:kern w:val="0"/>
                <w:sz w:val="21"/>
                <w:szCs w:val="21"/>
              </w:rPr>
              <w:t>新生力</w:t>
            </w:r>
            <w:r>
              <w:rPr>
                <w:rFonts w:hint="eastAsia"/>
                <w:color w:val="000000"/>
                <w:kern w:val="0"/>
                <w:sz w:val="21"/>
                <w:szCs w:val="21"/>
              </w:rPr>
              <w:t>”</w:t>
            </w:r>
            <w:r>
              <w:rPr>
                <w:color w:val="000000"/>
                <w:kern w:val="0"/>
                <w:sz w:val="21"/>
                <w:szCs w:val="21"/>
              </w:rPr>
              <w:t>大学生科技创新大赛省赛三等奖</w:t>
            </w:r>
          </w:p>
        </w:tc>
      </w:tr>
      <w:tr>
        <w:tblPrEx>
          <w:tblCellMar>
            <w:top w:w="0" w:type="dxa"/>
            <w:left w:w="108" w:type="dxa"/>
            <w:bottom w:w="0" w:type="dxa"/>
            <w:right w:w="108" w:type="dxa"/>
          </w:tblCellMar>
        </w:tblPrEx>
        <w:trPr>
          <w:trHeight w:val="405" w:hRule="atLeast"/>
          <w:jc w:val="right"/>
        </w:trPr>
        <w:tc>
          <w:tcPr>
            <w:tcW w:w="425"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color w:val="000000"/>
                <w:kern w:val="0"/>
                <w:sz w:val="21"/>
                <w:szCs w:val="21"/>
              </w:rPr>
            </w:pPr>
            <w:r>
              <w:rPr>
                <w:color w:val="000000"/>
                <w:kern w:val="0"/>
                <w:sz w:val="21"/>
                <w:szCs w:val="21"/>
              </w:rPr>
              <w:t>14</w:t>
            </w:r>
          </w:p>
        </w:tc>
        <w:tc>
          <w:tcPr>
            <w:tcW w:w="1195"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一种致力于玉米籽粒减水高效的内吸式脱水剂</w:t>
            </w:r>
          </w:p>
        </w:tc>
        <w:tc>
          <w:tcPr>
            <w:tcW w:w="128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尹咏琪，张颖，李芳汀，窦吉浩，李健豪</w:t>
            </w:r>
          </w:p>
        </w:tc>
        <w:tc>
          <w:tcPr>
            <w:tcW w:w="209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山东农业大学农学院</w:t>
            </w:r>
            <w:r>
              <w:rPr>
                <w:rFonts w:hint="eastAsia"/>
                <w:color w:val="000000"/>
                <w:kern w:val="0"/>
                <w:sz w:val="21"/>
                <w:szCs w:val="21"/>
              </w:rPr>
              <w:t>“</w:t>
            </w:r>
            <w:r>
              <w:rPr>
                <w:color w:val="000000"/>
                <w:kern w:val="0"/>
                <w:sz w:val="21"/>
                <w:szCs w:val="21"/>
              </w:rPr>
              <w:t>新生力</w:t>
            </w:r>
            <w:r>
              <w:rPr>
                <w:rFonts w:hint="eastAsia"/>
                <w:color w:val="000000"/>
                <w:kern w:val="0"/>
                <w:sz w:val="21"/>
                <w:szCs w:val="21"/>
              </w:rPr>
              <w:t>”</w:t>
            </w:r>
            <w:r>
              <w:rPr>
                <w:color w:val="000000"/>
                <w:kern w:val="0"/>
                <w:sz w:val="21"/>
                <w:szCs w:val="21"/>
              </w:rPr>
              <w:t>大学生科技创新大赛院赛一等奖</w:t>
            </w:r>
          </w:p>
        </w:tc>
      </w:tr>
      <w:tr>
        <w:tblPrEx>
          <w:tblCellMar>
            <w:top w:w="0" w:type="dxa"/>
            <w:left w:w="108" w:type="dxa"/>
            <w:bottom w:w="0" w:type="dxa"/>
            <w:right w:w="108" w:type="dxa"/>
          </w:tblCellMar>
        </w:tblPrEx>
        <w:trPr>
          <w:trHeight w:val="405" w:hRule="atLeast"/>
          <w:jc w:val="right"/>
        </w:trPr>
        <w:tc>
          <w:tcPr>
            <w:tcW w:w="425"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color w:val="000000"/>
                <w:kern w:val="0"/>
                <w:sz w:val="21"/>
                <w:szCs w:val="21"/>
              </w:rPr>
            </w:pPr>
            <w:r>
              <w:rPr>
                <w:color w:val="000000"/>
                <w:kern w:val="0"/>
                <w:sz w:val="21"/>
                <w:szCs w:val="21"/>
              </w:rPr>
              <w:t>15</w:t>
            </w:r>
          </w:p>
        </w:tc>
        <w:tc>
          <w:tcPr>
            <w:tcW w:w="1195"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基于科研试验用玉米辅助脱粒装置</w:t>
            </w:r>
          </w:p>
        </w:tc>
        <w:tc>
          <w:tcPr>
            <w:tcW w:w="128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王耀晨，刘婧雅，曹雨欣，兰垚</w:t>
            </w:r>
          </w:p>
        </w:tc>
        <w:tc>
          <w:tcPr>
            <w:tcW w:w="209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山东农业大学农学院</w:t>
            </w:r>
            <w:r>
              <w:rPr>
                <w:rFonts w:hint="eastAsia"/>
                <w:color w:val="000000"/>
                <w:kern w:val="0"/>
                <w:sz w:val="21"/>
                <w:szCs w:val="21"/>
              </w:rPr>
              <w:t>“</w:t>
            </w:r>
            <w:r>
              <w:rPr>
                <w:color w:val="000000"/>
                <w:kern w:val="0"/>
                <w:sz w:val="21"/>
                <w:szCs w:val="21"/>
              </w:rPr>
              <w:t>新生力</w:t>
            </w:r>
            <w:r>
              <w:rPr>
                <w:rFonts w:hint="eastAsia"/>
                <w:color w:val="000000"/>
                <w:kern w:val="0"/>
                <w:sz w:val="21"/>
                <w:szCs w:val="21"/>
              </w:rPr>
              <w:t>”</w:t>
            </w:r>
            <w:r>
              <w:rPr>
                <w:color w:val="000000"/>
                <w:kern w:val="0"/>
                <w:sz w:val="21"/>
                <w:szCs w:val="21"/>
              </w:rPr>
              <w:t>大学生科技创新大赛院赛二等奖</w:t>
            </w:r>
          </w:p>
        </w:tc>
      </w:tr>
      <w:tr>
        <w:tblPrEx>
          <w:tblCellMar>
            <w:top w:w="0" w:type="dxa"/>
            <w:left w:w="108" w:type="dxa"/>
            <w:bottom w:w="0" w:type="dxa"/>
            <w:right w:w="108" w:type="dxa"/>
          </w:tblCellMar>
        </w:tblPrEx>
        <w:trPr>
          <w:trHeight w:val="405" w:hRule="atLeast"/>
          <w:jc w:val="right"/>
        </w:trPr>
        <w:tc>
          <w:tcPr>
            <w:tcW w:w="425"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color w:val="000000"/>
                <w:kern w:val="0"/>
                <w:sz w:val="21"/>
                <w:szCs w:val="21"/>
              </w:rPr>
            </w:pPr>
            <w:r>
              <w:rPr>
                <w:color w:val="000000"/>
                <w:kern w:val="0"/>
                <w:sz w:val="21"/>
                <w:szCs w:val="21"/>
              </w:rPr>
              <w:t>16</w:t>
            </w:r>
          </w:p>
        </w:tc>
        <w:tc>
          <w:tcPr>
            <w:tcW w:w="1195"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山东省大型农场实施玉米大豆间作的本地化设计</w:t>
            </w:r>
          </w:p>
        </w:tc>
        <w:tc>
          <w:tcPr>
            <w:tcW w:w="1282"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秦宇茜，董颖超，马鸣钰，王晨，刘春景</w:t>
            </w:r>
          </w:p>
        </w:tc>
        <w:tc>
          <w:tcPr>
            <w:tcW w:w="209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left"/>
              <w:rPr>
                <w:color w:val="000000"/>
                <w:kern w:val="0"/>
                <w:sz w:val="21"/>
                <w:szCs w:val="21"/>
              </w:rPr>
            </w:pPr>
            <w:r>
              <w:rPr>
                <w:color w:val="000000"/>
                <w:kern w:val="0"/>
                <w:sz w:val="21"/>
                <w:szCs w:val="21"/>
              </w:rPr>
              <w:t>山东农业大学农学院</w:t>
            </w:r>
            <w:r>
              <w:rPr>
                <w:rFonts w:hint="eastAsia"/>
                <w:color w:val="000000"/>
                <w:kern w:val="0"/>
                <w:sz w:val="21"/>
                <w:szCs w:val="21"/>
              </w:rPr>
              <w:t>“</w:t>
            </w:r>
            <w:r>
              <w:rPr>
                <w:color w:val="000000"/>
                <w:kern w:val="0"/>
                <w:sz w:val="21"/>
                <w:szCs w:val="21"/>
              </w:rPr>
              <w:t>新生力</w:t>
            </w:r>
            <w:r>
              <w:rPr>
                <w:rFonts w:hint="eastAsia"/>
                <w:color w:val="000000"/>
                <w:kern w:val="0"/>
                <w:sz w:val="21"/>
                <w:szCs w:val="21"/>
              </w:rPr>
              <w:t>”</w:t>
            </w:r>
            <w:r>
              <w:rPr>
                <w:color w:val="000000"/>
                <w:kern w:val="0"/>
                <w:sz w:val="21"/>
                <w:szCs w:val="21"/>
              </w:rPr>
              <w:t>大学生科技创新大赛院赛三等奖</w:t>
            </w:r>
          </w:p>
        </w:tc>
      </w:tr>
    </w:tbl>
    <w:p>
      <w:pPr>
        <w:ind w:firstLine="618" w:firstLineChars="221"/>
        <w:rPr>
          <w:rFonts w:eastAsia="仿宋"/>
          <w:color w:val="000000" w:themeColor="text1"/>
          <w:sz w:val="28"/>
          <w:szCs w:val="28"/>
          <w14:textFill>
            <w14:solidFill>
              <w14:schemeClr w14:val="tx1"/>
            </w14:solidFill>
          </w14:textFill>
        </w:rPr>
      </w:pP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继续实施大学生创新创业训练计划（SRT），形成国家、省、校、院四级大学生创新创业训练体系，本科生参与率达70%。共立项大学生SRT计划项目110项，其中校级89项、省级20项、国家级1项，参与学生达到341人次。本年度SRT项目实施成果丰硕，共发表学术论文4篇，其中SCI收录1篇；授权发明专利1项、实用新型专利3项，新申请实用新型专利1项。</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表4 学生发表的论文及申请的专利</w:t>
      </w:r>
    </w:p>
    <w:tbl>
      <w:tblPr>
        <w:tblStyle w:val="1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8"/>
        <w:gridCol w:w="1546"/>
        <w:gridCol w:w="3715"/>
        <w:gridCol w:w="27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595" w:type="pct"/>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序号</w:t>
            </w:r>
          </w:p>
        </w:tc>
        <w:tc>
          <w:tcPr>
            <w:tcW w:w="853" w:type="pct"/>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姓名</w:t>
            </w:r>
          </w:p>
        </w:tc>
        <w:tc>
          <w:tcPr>
            <w:tcW w:w="2050" w:type="pct"/>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论文/专利名称</w:t>
            </w:r>
          </w:p>
        </w:tc>
        <w:tc>
          <w:tcPr>
            <w:tcW w:w="1500" w:type="pct"/>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刊物/类型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6" w:hRule="atLeast"/>
        </w:trPr>
        <w:tc>
          <w:tcPr>
            <w:tcW w:w="595"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853" w:type="pct"/>
            <w:vAlign w:val="center"/>
          </w:tcPr>
          <w:p>
            <w:pPr>
              <w:widowControl/>
              <w:spacing w:line="240" w:lineRule="auto"/>
              <w:jc w:val="center"/>
              <w:rPr>
                <w:color w:val="000000"/>
                <w:kern w:val="0"/>
                <w:sz w:val="21"/>
                <w:szCs w:val="21"/>
              </w:rPr>
            </w:pPr>
            <w:r>
              <w:rPr>
                <w:color w:val="000000"/>
                <w:kern w:val="0"/>
                <w:sz w:val="21"/>
                <w:szCs w:val="21"/>
              </w:rPr>
              <w:t>刘佳俊</w:t>
            </w:r>
          </w:p>
        </w:tc>
        <w:tc>
          <w:tcPr>
            <w:tcW w:w="2050" w:type="pct"/>
            <w:vAlign w:val="center"/>
          </w:tcPr>
          <w:p>
            <w:pPr>
              <w:widowControl/>
              <w:spacing w:line="240" w:lineRule="auto"/>
              <w:jc w:val="left"/>
              <w:rPr>
                <w:color w:val="000000"/>
                <w:kern w:val="0"/>
                <w:sz w:val="21"/>
                <w:szCs w:val="21"/>
              </w:rPr>
            </w:pPr>
            <w:r>
              <w:rPr>
                <w:color w:val="000000"/>
                <w:kern w:val="0"/>
                <w:sz w:val="21"/>
                <w:szCs w:val="21"/>
              </w:rPr>
              <w:t>Domestication of newly evolved hexaploid wheat- wild grass to cultivated wheat</w:t>
            </w:r>
          </w:p>
        </w:tc>
        <w:tc>
          <w:tcPr>
            <w:tcW w:w="1500" w:type="pct"/>
            <w:vAlign w:val="center"/>
          </w:tcPr>
          <w:p>
            <w:pPr>
              <w:widowControl/>
              <w:spacing w:line="240" w:lineRule="auto"/>
              <w:jc w:val="left"/>
              <w:rPr>
                <w:color w:val="000000"/>
                <w:kern w:val="0"/>
                <w:sz w:val="21"/>
                <w:szCs w:val="21"/>
              </w:rPr>
            </w:pPr>
            <w:r>
              <w:rPr>
                <w:color w:val="000000"/>
                <w:kern w:val="0"/>
                <w:sz w:val="21"/>
                <w:szCs w:val="21"/>
              </w:rPr>
              <w:t>Front. Genet.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trPr>
        <w:tc>
          <w:tcPr>
            <w:tcW w:w="595"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853" w:type="pct"/>
            <w:vAlign w:val="center"/>
          </w:tcPr>
          <w:p>
            <w:pPr>
              <w:widowControl/>
              <w:spacing w:line="240" w:lineRule="auto"/>
              <w:jc w:val="center"/>
              <w:rPr>
                <w:color w:val="000000"/>
                <w:kern w:val="0"/>
                <w:sz w:val="21"/>
                <w:szCs w:val="21"/>
              </w:rPr>
            </w:pPr>
            <w:r>
              <w:rPr>
                <w:color w:val="000000"/>
                <w:kern w:val="0"/>
                <w:sz w:val="21"/>
                <w:szCs w:val="21"/>
              </w:rPr>
              <w:t>刘昕萌</w:t>
            </w:r>
          </w:p>
        </w:tc>
        <w:tc>
          <w:tcPr>
            <w:tcW w:w="2050" w:type="pct"/>
            <w:vAlign w:val="center"/>
          </w:tcPr>
          <w:p>
            <w:pPr>
              <w:widowControl/>
              <w:spacing w:line="240" w:lineRule="auto"/>
              <w:jc w:val="left"/>
              <w:rPr>
                <w:color w:val="000000"/>
                <w:kern w:val="0"/>
                <w:sz w:val="21"/>
                <w:szCs w:val="21"/>
              </w:rPr>
            </w:pPr>
            <w:r>
              <w:rPr>
                <w:color w:val="000000"/>
                <w:kern w:val="0"/>
                <w:sz w:val="21"/>
                <w:szCs w:val="21"/>
              </w:rPr>
              <w:t>黄淮海区域现代夏玉米品种产量与资源利用效率的差异分析</w:t>
            </w:r>
          </w:p>
        </w:tc>
        <w:tc>
          <w:tcPr>
            <w:tcW w:w="1500" w:type="pct"/>
            <w:vAlign w:val="center"/>
          </w:tcPr>
          <w:p>
            <w:pPr>
              <w:widowControl/>
              <w:spacing w:line="240" w:lineRule="auto"/>
              <w:jc w:val="left"/>
              <w:rPr>
                <w:color w:val="000000"/>
                <w:kern w:val="0"/>
                <w:sz w:val="21"/>
                <w:szCs w:val="21"/>
              </w:rPr>
            </w:pPr>
            <w:r>
              <w:rPr>
                <w:color w:val="000000"/>
                <w:kern w:val="0"/>
                <w:sz w:val="21"/>
                <w:szCs w:val="21"/>
              </w:rPr>
              <w:t>作物学报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595"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853" w:type="pct"/>
            <w:vAlign w:val="center"/>
          </w:tcPr>
          <w:p>
            <w:pPr>
              <w:widowControl/>
              <w:spacing w:line="240" w:lineRule="auto"/>
              <w:jc w:val="center"/>
              <w:rPr>
                <w:color w:val="000000"/>
                <w:kern w:val="0"/>
                <w:sz w:val="21"/>
                <w:szCs w:val="21"/>
              </w:rPr>
            </w:pPr>
            <w:r>
              <w:rPr>
                <w:color w:val="000000"/>
                <w:kern w:val="0"/>
                <w:sz w:val="21"/>
                <w:szCs w:val="21"/>
              </w:rPr>
              <w:t>屈馨月</w:t>
            </w:r>
          </w:p>
        </w:tc>
        <w:tc>
          <w:tcPr>
            <w:tcW w:w="2050" w:type="pct"/>
            <w:vAlign w:val="center"/>
          </w:tcPr>
          <w:p>
            <w:pPr>
              <w:widowControl/>
              <w:spacing w:line="240" w:lineRule="auto"/>
              <w:jc w:val="left"/>
              <w:rPr>
                <w:color w:val="000000"/>
                <w:kern w:val="0"/>
                <w:sz w:val="21"/>
                <w:szCs w:val="21"/>
              </w:rPr>
            </w:pPr>
            <w:r>
              <w:rPr>
                <w:color w:val="000000"/>
                <w:kern w:val="0"/>
                <w:sz w:val="21"/>
                <w:szCs w:val="21"/>
              </w:rPr>
              <w:t>施氮量对夏玉米籽粒灌浆特性和内源激素作用的影响</w:t>
            </w:r>
          </w:p>
        </w:tc>
        <w:tc>
          <w:tcPr>
            <w:tcW w:w="1500" w:type="pct"/>
            <w:vAlign w:val="center"/>
          </w:tcPr>
          <w:p>
            <w:pPr>
              <w:widowControl/>
              <w:spacing w:line="240" w:lineRule="auto"/>
              <w:jc w:val="left"/>
              <w:rPr>
                <w:color w:val="000000"/>
                <w:kern w:val="0"/>
                <w:sz w:val="21"/>
                <w:szCs w:val="21"/>
              </w:rPr>
            </w:pPr>
            <w:r>
              <w:rPr>
                <w:color w:val="000000"/>
                <w:kern w:val="0"/>
                <w:sz w:val="21"/>
                <w:szCs w:val="21"/>
              </w:rPr>
              <w:t>作物学报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595"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853" w:type="pct"/>
            <w:vAlign w:val="center"/>
          </w:tcPr>
          <w:p>
            <w:pPr>
              <w:widowControl/>
              <w:spacing w:line="240" w:lineRule="auto"/>
              <w:jc w:val="center"/>
              <w:rPr>
                <w:color w:val="000000"/>
                <w:kern w:val="0"/>
                <w:sz w:val="21"/>
                <w:szCs w:val="21"/>
              </w:rPr>
            </w:pPr>
            <w:r>
              <w:rPr>
                <w:color w:val="000000"/>
                <w:kern w:val="0"/>
                <w:sz w:val="21"/>
                <w:szCs w:val="21"/>
              </w:rPr>
              <w:t>王浩宇</w:t>
            </w:r>
          </w:p>
        </w:tc>
        <w:tc>
          <w:tcPr>
            <w:tcW w:w="2050" w:type="pct"/>
            <w:vAlign w:val="center"/>
          </w:tcPr>
          <w:p>
            <w:pPr>
              <w:widowControl/>
              <w:spacing w:line="240" w:lineRule="auto"/>
              <w:jc w:val="left"/>
              <w:rPr>
                <w:color w:val="000000"/>
                <w:kern w:val="0"/>
                <w:sz w:val="21"/>
                <w:szCs w:val="21"/>
              </w:rPr>
            </w:pPr>
            <w:r>
              <w:rPr>
                <w:color w:val="000000"/>
                <w:kern w:val="0"/>
                <w:sz w:val="21"/>
                <w:szCs w:val="21"/>
              </w:rPr>
              <w:t>玉米抗烟嘧磺隆基因研究进展</w:t>
            </w:r>
          </w:p>
        </w:tc>
        <w:tc>
          <w:tcPr>
            <w:tcW w:w="1500" w:type="pct"/>
            <w:vAlign w:val="center"/>
          </w:tcPr>
          <w:p>
            <w:pPr>
              <w:widowControl/>
              <w:spacing w:line="240" w:lineRule="auto"/>
              <w:jc w:val="left"/>
              <w:rPr>
                <w:color w:val="000000"/>
                <w:kern w:val="0"/>
                <w:sz w:val="21"/>
                <w:szCs w:val="21"/>
              </w:rPr>
            </w:pPr>
            <w:r>
              <w:rPr>
                <w:color w:val="000000"/>
                <w:kern w:val="0"/>
                <w:sz w:val="21"/>
                <w:szCs w:val="21"/>
              </w:rPr>
              <w:t>玉米科学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595"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853" w:type="pct"/>
            <w:vAlign w:val="center"/>
          </w:tcPr>
          <w:p>
            <w:pPr>
              <w:widowControl/>
              <w:spacing w:line="240" w:lineRule="auto"/>
              <w:jc w:val="center"/>
              <w:rPr>
                <w:color w:val="000000"/>
                <w:kern w:val="0"/>
                <w:sz w:val="21"/>
                <w:szCs w:val="21"/>
              </w:rPr>
            </w:pPr>
            <w:r>
              <w:rPr>
                <w:color w:val="000000"/>
                <w:kern w:val="0"/>
                <w:sz w:val="21"/>
                <w:szCs w:val="21"/>
              </w:rPr>
              <w:t>屈馨月</w:t>
            </w:r>
          </w:p>
        </w:tc>
        <w:tc>
          <w:tcPr>
            <w:tcW w:w="2050" w:type="pct"/>
            <w:vAlign w:val="center"/>
          </w:tcPr>
          <w:p>
            <w:pPr>
              <w:widowControl/>
              <w:spacing w:line="240" w:lineRule="auto"/>
              <w:jc w:val="left"/>
              <w:rPr>
                <w:color w:val="000000"/>
                <w:kern w:val="0"/>
                <w:sz w:val="21"/>
                <w:szCs w:val="21"/>
              </w:rPr>
            </w:pPr>
            <w:r>
              <w:rPr>
                <w:color w:val="000000"/>
                <w:kern w:val="0"/>
                <w:sz w:val="21"/>
                <w:szCs w:val="21"/>
              </w:rPr>
              <w:t>根茎类作物球形加工装置及方法</w:t>
            </w:r>
          </w:p>
        </w:tc>
        <w:tc>
          <w:tcPr>
            <w:tcW w:w="1500" w:type="pct"/>
            <w:vAlign w:val="center"/>
          </w:tcPr>
          <w:p>
            <w:pPr>
              <w:widowControl/>
              <w:spacing w:line="240" w:lineRule="auto"/>
              <w:jc w:val="left"/>
              <w:rPr>
                <w:color w:val="000000"/>
                <w:kern w:val="0"/>
                <w:sz w:val="21"/>
                <w:szCs w:val="21"/>
              </w:rPr>
            </w:pPr>
            <w:r>
              <w:rPr>
                <w:color w:val="000000"/>
                <w:kern w:val="0"/>
                <w:sz w:val="21"/>
                <w:szCs w:val="21"/>
              </w:rPr>
              <w:t>发明专利（授权）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595"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w:t>
            </w:r>
          </w:p>
        </w:tc>
        <w:tc>
          <w:tcPr>
            <w:tcW w:w="853" w:type="pct"/>
            <w:vAlign w:val="center"/>
          </w:tcPr>
          <w:p>
            <w:pPr>
              <w:widowControl/>
              <w:spacing w:line="240" w:lineRule="auto"/>
              <w:jc w:val="center"/>
              <w:rPr>
                <w:color w:val="000000"/>
                <w:kern w:val="0"/>
                <w:sz w:val="21"/>
                <w:szCs w:val="21"/>
              </w:rPr>
            </w:pPr>
            <w:r>
              <w:rPr>
                <w:color w:val="000000"/>
                <w:kern w:val="0"/>
                <w:sz w:val="21"/>
                <w:szCs w:val="21"/>
              </w:rPr>
              <w:t>刘培泰</w:t>
            </w:r>
          </w:p>
        </w:tc>
        <w:tc>
          <w:tcPr>
            <w:tcW w:w="2050" w:type="pct"/>
            <w:vAlign w:val="center"/>
          </w:tcPr>
          <w:p>
            <w:pPr>
              <w:widowControl/>
              <w:spacing w:line="240" w:lineRule="auto"/>
              <w:jc w:val="left"/>
              <w:rPr>
                <w:color w:val="000000"/>
                <w:kern w:val="0"/>
                <w:sz w:val="21"/>
                <w:szCs w:val="21"/>
              </w:rPr>
            </w:pPr>
            <w:r>
              <w:rPr>
                <w:color w:val="000000"/>
                <w:kern w:val="0"/>
                <w:sz w:val="21"/>
                <w:szCs w:val="21"/>
              </w:rPr>
              <w:t>一种前茬作物秸秆分离和后茬小麦播种一体机</w:t>
            </w:r>
          </w:p>
        </w:tc>
        <w:tc>
          <w:tcPr>
            <w:tcW w:w="1500" w:type="pct"/>
            <w:vAlign w:val="center"/>
          </w:tcPr>
          <w:p>
            <w:pPr>
              <w:widowControl/>
              <w:spacing w:line="240" w:lineRule="auto"/>
              <w:jc w:val="left"/>
              <w:rPr>
                <w:color w:val="000000"/>
                <w:kern w:val="0"/>
                <w:sz w:val="21"/>
                <w:szCs w:val="21"/>
              </w:rPr>
            </w:pPr>
            <w:r>
              <w:rPr>
                <w:color w:val="000000"/>
                <w:kern w:val="0"/>
                <w:sz w:val="21"/>
                <w:szCs w:val="21"/>
              </w:rPr>
              <w:t>实用新型专利（授权）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595"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w:t>
            </w:r>
          </w:p>
        </w:tc>
        <w:tc>
          <w:tcPr>
            <w:tcW w:w="853" w:type="pct"/>
            <w:vAlign w:val="center"/>
          </w:tcPr>
          <w:p>
            <w:pPr>
              <w:widowControl/>
              <w:spacing w:line="240" w:lineRule="auto"/>
              <w:jc w:val="center"/>
              <w:rPr>
                <w:color w:val="000000"/>
                <w:kern w:val="0"/>
                <w:sz w:val="21"/>
                <w:szCs w:val="21"/>
              </w:rPr>
            </w:pPr>
            <w:r>
              <w:rPr>
                <w:color w:val="000000"/>
                <w:kern w:val="0"/>
                <w:sz w:val="21"/>
                <w:szCs w:val="21"/>
              </w:rPr>
              <w:t>屈馨月</w:t>
            </w:r>
          </w:p>
        </w:tc>
        <w:tc>
          <w:tcPr>
            <w:tcW w:w="2050" w:type="pct"/>
            <w:vAlign w:val="center"/>
          </w:tcPr>
          <w:p>
            <w:pPr>
              <w:widowControl/>
              <w:spacing w:line="240" w:lineRule="auto"/>
              <w:jc w:val="left"/>
              <w:rPr>
                <w:color w:val="000000"/>
                <w:kern w:val="0"/>
                <w:sz w:val="21"/>
                <w:szCs w:val="21"/>
              </w:rPr>
            </w:pPr>
            <w:r>
              <w:rPr>
                <w:color w:val="000000"/>
                <w:kern w:val="0"/>
                <w:sz w:val="21"/>
                <w:szCs w:val="21"/>
              </w:rPr>
              <w:t>一种芋头加工用自动清洗装置</w:t>
            </w:r>
          </w:p>
        </w:tc>
        <w:tc>
          <w:tcPr>
            <w:tcW w:w="1500" w:type="pct"/>
            <w:vAlign w:val="center"/>
          </w:tcPr>
          <w:p>
            <w:pPr>
              <w:widowControl/>
              <w:spacing w:line="240" w:lineRule="auto"/>
              <w:jc w:val="left"/>
              <w:rPr>
                <w:color w:val="000000"/>
                <w:kern w:val="0"/>
                <w:sz w:val="21"/>
                <w:szCs w:val="21"/>
              </w:rPr>
            </w:pPr>
            <w:r>
              <w:rPr>
                <w:color w:val="000000"/>
                <w:kern w:val="0"/>
                <w:sz w:val="21"/>
                <w:szCs w:val="21"/>
              </w:rPr>
              <w:t>实用新型专利（授权）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trPr>
        <w:tc>
          <w:tcPr>
            <w:tcW w:w="595"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w:t>
            </w:r>
          </w:p>
        </w:tc>
        <w:tc>
          <w:tcPr>
            <w:tcW w:w="853" w:type="pct"/>
            <w:vAlign w:val="center"/>
          </w:tcPr>
          <w:p>
            <w:pPr>
              <w:widowControl/>
              <w:spacing w:line="240" w:lineRule="auto"/>
              <w:jc w:val="center"/>
              <w:rPr>
                <w:color w:val="000000"/>
                <w:kern w:val="0"/>
                <w:sz w:val="21"/>
                <w:szCs w:val="21"/>
              </w:rPr>
            </w:pPr>
            <w:r>
              <w:rPr>
                <w:color w:val="000000"/>
                <w:kern w:val="0"/>
                <w:sz w:val="21"/>
                <w:szCs w:val="21"/>
              </w:rPr>
              <w:t>孙艺凝</w:t>
            </w:r>
          </w:p>
        </w:tc>
        <w:tc>
          <w:tcPr>
            <w:tcW w:w="2050" w:type="pct"/>
            <w:vAlign w:val="center"/>
          </w:tcPr>
          <w:p>
            <w:pPr>
              <w:widowControl/>
              <w:spacing w:line="240" w:lineRule="auto"/>
              <w:jc w:val="left"/>
              <w:rPr>
                <w:color w:val="000000"/>
                <w:kern w:val="0"/>
                <w:sz w:val="21"/>
                <w:szCs w:val="21"/>
              </w:rPr>
            </w:pPr>
            <w:r>
              <w:rPr>
                <w:color w:val="000000"/>
                <w:kern w:val="0"/>
                <w:sz w:val="21"/>
                <w:szCs w:val="21"/>
              </w:rPr>
              <w:t>一种可循环使用口罩用消毒清洗烘干装置</w:t>
            </w:r>
          </w:p>
        </w:tc>
        <w:tc>
          <w:tcPr>
            <w:tcW w:w="1500" w:type="pct"/>
            <w:vAlign w:val="center"/>
          </w:tcPr>
          <w:p>
            <w:pPr>
              <w:widowControl/>
              <w:spacing w:line="240" w:lineRule="auto"/>
              <w:jc w:val="left"/>
              <w:rPr>
                <w:color w:val="000000"/>
                <w:kern w:val="0"/>
                <w:sz w:val="21"/>
                <w:szCs w:val="21"/>
              </w:rPr>
            </w:pPr>
            <w:r>
              <w:rPr>
                <w:color w:val="000000"/>
                <w:kern w:val="0"/>
                <w:sz w:val="21"/>
                <w:szCs w:val="21"/>
              </w:rPr>
              <w:t>实用新型专利（授权）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595"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w:t>
            </w:r>
          </w:p>
        </w:tc>
        <w:tc>
          <w:tcPr>
            <w:tcW w:w="853" w:type="pct"/>
            <w:vAlign w:val="center"/>
          </w:tcPr>
          <w:p>
            <w:pPr>
              <w:widowControl/>
              <w:spacing w:line="240" w:lineRule="auto"/>
              <w:jc w:val="center"/>
              <w:rPr>
                <w:color w:val="000000"/>
                <w:kern w:val="0"/>
                <w:sz w:val="21"/>
                <w:szCs w:val="21"/>
              </w:rPr>
            </w:pPr>
            <w:r>
              <w:rPr>
                <w:color w:val="000000"/>
                <w:kern w:val="0"/>
                <w:sz w:val="21"/>
                <w:szCs w:val="21"/>
              </w:rPr>
              <w:t>刘佳俊</w:t>
            </w:r>
          </w:p>
        </w:tc>
        <w:tc>
          <w:tcPr>
            <w:tcW w:w="2050" w:type="pct"/>
            <w:vAlign w:val="center"/>
          </w:tcPr>
          <w:p>
            <w:pPr>
              <w:widowControl/>
              <w:spacing w:line="240" w:lineRule="auto"/>
              <w:jc w:val="left"/>
              <w:rPr>
                <w:color w:val="000000"/>
                <w:kern w:val="0"/>
                <w:sz w:val="21"/>
                <w:szCs w:val="21"/>
              </w:rPr>
            </w:pPr>
            <w:r>
              <w:rPr>
                <w:color w:val="000000"/>
                <w:kern w:val="0"/>
                <w:sz w:val="21"/>
                <w:szCs w:val="21"/>
              </w:rPr>
              <w:t>一种可移动式便携育苗穴盘</w:t>
            </w:r>
          </w:p>
        </w:tc>
        <w:tc>
          <w:tcPr>
            <w:tcW w:w="1500" w:type="pct"/>
            <w:vAlign w:val="center"/>
          </w:tcPr>
          <w:p>
            <w:pPr>
              <w:widowControl/>
              <w:spacing w:line="240" w:lineRule="auto"/>
              <w:jc w:val="left"/>
              <w:rPr>
                <w:color w:val="000000"/>
                <w:kern w:val="0"/>
                <w:sz w:val="21"/>
                <w:szCs w:val="21"/>
              </w:rPr>
            </w:pPr>
            <w:r>
              <w:rPr>
                <w:color w:val="000000"/>
                <w:kern w:val="0"/>
                <w:sz w:val="21"/>
                <w:szCs w:val="21"/>
              </w:rPr>
              <w:t>实用新型专利（申请）</w:t>
            </w:r>
          </w:p>
        </w:tc>
      </w:tr>
    </w:tbl>
    <w:p>
      <w:pPr>
        <w:pStyle w:val="6"/>
        <w:spacing w:line="240" w:lineRule="auto"/>
        <w:ind w:firstLine="0" w:firstLineChars="0"/>
        <w:jc w:val="center"/>
        <w:rPr>
          <w:sz w:val="32"/>
        </w:rPr>
      </w:pPr>
      <w:r>
        <mc:AlternateContent>
          <mc:Choice Requires="wpg">
            <w:drawing>
              <wp:inline distT="0" distB="0" distL="114300" distR="114300">
                <wp:extent cx="5054600" cy="1777365"/>
                <wp:effectExtent l="0" t="0" r="12700" b="13335"/>
                <wp:docPr id="234" name="组合 234"/>
                <wp:cNvGraphicFramePr/>
                <a:graphic xmlns:a="http://schemas.openxmlformats.org/drawingml/2006/main">
                  <a:graphicData uri="http://schemas.microsoft.com/office/word/2010/wordprocessingGroup">
                    <wpg:wgp>
                      <wpg:cNvGrpSpPr/>
                      <wpg:grpSpPr>
                        <a:xfrm>
                          <a:off x="0" y="0"/>
                          <a:ext cx="5054600" cy="1777365"/>
                          <a:chOff x="5291" y="164905"/>
                          <a:chExt cx="7960" cy="2799"/>
                        </a:xfrm>
                      </wpg:grpSpPr>
                      <pic:pic xmlns:pic="http://schemas.openxmlformats.org/drawingml/2006/picture">
                        <pic:nvPicPr>
                          <pic:cNvPr id="7" name="图片 7" descr="戴帽子的人在草地上&#10;&#10;中度可信度描述已自动生成"/>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5291" y="164906"/>
                            <a:ext cx="4008" cy="2799"/>
                          </a:xfrm>
                          <a:prstGeom prst="rect">
                            <a:avLst/>
                          </a:prstGeom>
                          <a:noFill/>
                          <a:ln>
                            <a:noFill/>
                          </a:ln>
                        </pic:spPr>
                      </pic:pic>
                      <pic:pic xmlns:pic="http://schemas.openxmlformats.org/drawingml/2006/picture">
                        <pic:nvPicPr>
                          <pic:cNvPr id="5" name="图片 5" descr="图片包含 男人, 女人, 站, 绿色&#10;&#10;描述已自动生成"/>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9519" y="164905"/>
                            <a:ext cx="3732" cy="2799"/>
                          </a:xfrm>
                          <a:prstGeom prst="rect">
                            <a:avLst/>
                          </a:prstGeom>
                          <a:noFill/>
                          <a:ln>
                            <a:noFill/>
                          </a:ln>
                        </pic:spPr>
                      </pic:pic>
                    </wpg:wgp>
                  </a:graphicData>
                </a:graphic>
              </wp:inline>
            </w:drawing>
          </mc:Choice>
          <mc:Fallback>
            <w:pict>
              <v:group id="_x0000_s1026" o:spid="_x0000_s1026" o:spt="203" style="height:139.95pt;width:398pt;" coordorigin="5291,164905" coordsize="7960,2799" o:gfxdata="UEsDBAoAAAAAAIdO4kAAAAAAAAAAAAAAAAAEAAAAZHJzL1BLAwQUAAAACACHTuJAXEkavtYAAAAF&#10;AQAADwAAAGRycy9kb3ducmV2LnhtbE2PQUvDQBCF74L/YRnBm92kYmvSbIoU9VSEtoL0Nk2mSWh2&#10;NmS3SfvvHb3o5cHjDe99ky0vtlUD9b5xbCCeRKCIC1c2XBn43L09PIPyAbnE1jEZuJKHZX57k2Fa&#10;upE3NGxDpaSEfYoG6hC6VGtf1GTRT1xHLNnR9RaD2L7SZY+jlNtWT6Nopi02LAs1drSqqThtz9bA&#10;+4jjy2P8OqxPx9V1v3v6+FrHZMz9XRwtQAW6hL9j+MEXdMiF6eDOXHrVGpBHwq9KNk9mYg8GpvMk&#10;AZ1n+j99/g1QSwMEFAAAAAgAh07iQGbCiyyJAwAAygkAAA4AAABkcnMvZTJvRG9jLnhtbO1W3Wrc&#10;RhS+L+QdBgV6lbWktXZlKV4Hd+2YQmhNfx5gPBqtRCWNmJnddSi9S4kdWuyL3LQNlF60hISQkARi&#10;HFK/jOX1Y/SckXYd7xYaSksv0gtJZ87MnPnON+eb0eqN3TwjIy5VKoqe5S45FuEFE1FaDHrWl1/c&#10;bK1YRGlaRDQTBe9Zt7mybqxd+WB1XIa8LRKRRVwSCFKocFz2rETrMrRtxRKeU7UkSl5AZyxkTjU0&#10;5cCOJB1D9Dyz247TtcdCRqUUjCsF3o2602oiyncJKOI4ZXxDsGHOC11HlTyjGlJSSVoqa82gjWPO&#10;9KdxrLgmWc+CTLV5wyJg7+DbXlul4UDSMklZA4G+C4S5nHKaFrDoLNQG1ZQMZboQKk+ZFErEeomJ&#10;3K4TMYxAFq4zx82WFMPS5DIIx4NyRjps1Bzrfzss+2S0LUka9az2smeRguaw5ZPXd6rDPYIe4Gdc&#10;DkIYtiXLz8tt2TgGdQtT3o1ljl9IhuwaZm/PmOW7mjBwdpyO13WAdAZ9ru/7y91OzT1LYINwXqcd&#10;uBbB7q4XOLPezSaCH3Sb6W0/CHCuPV3aRoQzQGXKQngassBaIOuvSxRm6aHkQD1GK0bbKduWdeOC&#10;MH9KV/XT75P9uwTaEVcMiuts72V19KZ6cjj58c7p8XH14OH59/vVg2enR/c+vOo6183r9OhJdfxb&#10;dfD09OQXMM4ODs5PnlWvnp/ffVTdezi5//PZ3iGmiQhw0RoCxdxuCfaVIoXoJ7QY8HVVQpkDb4Bn&#10;6pJSjBNOI4Vu5OpyFNO8lNZOlpY30yzDjUT7n5UjkSHPdzhUmfw4co1QoDJuKY3LYY0YqXzdXll3&#10;nKD9Uavfcfotz/E3W+uB57d8Z9P3HG/F7bv9b3C264VDxYEGmm2U6VS3rrew1X+qi0a7teKMcsmI&#10;mvOhrioAZKprChEKDSlBrEqyz4BsGAe2llyzBM0YmGv8MHjWYWi+YBb3QIGEcMacaC4Xf7eWBhKD&#10;4vEcB85kVM5C6UM5SKW3uMgJGsAvoDP80hHQW+czHYLrFgJ32eDPiksOAI4eg7lGaUwAXdcgGP++&#10;pjpzmoJ2o6laZNV331aHj8nk/ivQ1TVS/frCfCePf7hGJq9PzvefXwjs/VFUG6oDrmwNR3cp06Iu&#10;gGn1/i8wvF2Cjhss3C5TgS37y0jhfygwc4XBFW/OneZ3BP8h3m6D/fYv2NofUEsDBAoAAAAAAIdO&#10;4kAAAAAAAAAAAAAAAAAKAAAAZHJzL21lZGlhL1BLAwQUAAAACACHTuJAmSH+mgqhAAAAoQAAFQAA&#10;AGRycy9tZWRpYS9pbWFnZTEuanBlZwAAgP9//9j/4AAQSkZJRgABAQAAAQABAAD/2wBDAAgGBgcG&#10;BQgHBwcJCQgKDBQNDAsLDBkSEw8UHRofHh0aHBwgJC4nICIsIxwcKDcpLDAxNDQ0Hyc5PTgyPC4z&#10;NDL/2wBDAQkJCQwLDBgNDRgyIRwhMjIyMjIyMjIyMjIyMjIyMjIyMjIyMjIyMjIyMjIyMjIyMjIy&#10;MjIyMjIyMjIyMjIyMjL/wAARCAFuAo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gkg0ZPr+lB60lXYkXJ9f0pcn1/Sm0tFgHAnHWjJ9aQU4&#10;UmMMmjnFLiikAnNLz60UUAFGaKKAFzRmkooAXNHWkpRQAUUUUAFFFFABRRRmgBaKQUtIYUUUUAFF&#10;FFABRRRQAUUUUAFFFFAAKWkpaACiiigAooooAKKKKACiiigAooooAKKKKACiiigAooooAKKKKACi&#10;iigAooooAKKKKACiiigAooooAKKKKACiiigAooooAKKKKACiiigAooooAKKKKACiiigCA9aTNKet&#10;HvWhIAUtFFIAHWnDrSAZNKARSGLRRRSAKKKKACiiigAooooAKM0Ud6AFooooAKKKKACgUtFIYUUU&#10;UAFFFFABRRRQAUUUUAFFFFABiloooAKKKKACiiigAooooAKKKKACiiigAooooAKKKKACiiigAooo&#10;oAKKKKACiiigAooooAKKKKACiiigAooooAKKKKACiiigAooooAKKKKACiiigAooooAKKKKACiiig&#10;CA9aO1KetJViFooooEFKOaWgdaQxaKKKQBRRTXZUUszBVAySTgAetACk45NMaaNASzquO5PFeH/E&#10;P4sq91Jpmg3J2xnD3CNgMe4FeTX3ibWdS/4+tSupFAwFaQ4/nVKK6iufY8NzFcKWhmjkAOCUYHH5&#10;VN/k18W6dreo6bKJLO+uLdwcgxSEfyr1bwf8ZtRt5I4Ne/0y24BnUDzUHrx96k1YZ75R3qCzvLfU&#10;LSO6tZUlgkG5HU5BFT96QC0UUUAFBoPSk7UAOooopDCiiigAooooAKKKKACiiigApaSloAKKKKAC&#10;iiigAooooAKKKKACiiigAooooAKKKKACiiigAooooAKKKKACiiigAooooAKKKKACiiigAooooAKK&#10;KKACiiigAooooAKKKKACiiigAooooAKKKKACiiigAooooAiPWkpT1pKpCDFKKBS5oAKB1pB1p1AB&#10;RRRSAK434p6lLpXw91OaA7ZJFWFT/vHH+NdlXE/Fm1N38OtSUDJQxv8AkwoE9j5QIO7JozWtLYbR&#10;x24qW30eOePczEH0oc0ikrmJVi0k2ygdjwa1m0BCcK/FT2fhoy3USebtDMBu9KSmiuRnsvwdurmD&#10;7TYO5ezkUSw5P3T3FetiuK8IaE+mW+mZlWXFu++RRgN6V2ooQpbi0UUUyRKUdKAMUtIYUUUUAFFF&#10;FABRRRQAUUUUAFAooFAC0UUUAFFFFABRRRQAUUUUAFFFFABRRRQAUUUUAFFFFABRRRQAUUUUAFFF&#10;FABRRRQAUUUUAFFFFABRRRQAUUUUAFFFFABRRRQAUUUUAFFFFABRRRQAUUUUAFFFFABRRRQAUUUU&#10;ARnrSYoPWl6iqQgA4zS4HpQOlFIBMc0tFFABRRRQAV5f8WfEl9pqppSQQmxu7djLJICSTuwAvoR1&#10;r1CuS+IPhdPEvh91VT9rtgZYSBkn1X8aTv0Gtz5wCtE+64QNGR99R0qwskKR70YFfbmrgRoSYZEK&#10;snDKwwfxBrNubAC4V4SyBs7lU8VjZN6mvoSxX9szbS4U5xhuK1Enitissr7VU5+v09awTb7lEZCs&#10;2ePlrUtNFCCCaaeQxNznrgg8gCrsNM928J+Kba50jTFEE6o/7h3ddqxtztz/AL3QV2o6Vwvha3j1&#10;nRoIxZRRWUcqncDgkoQRj15HNdyMgVa2MpbjgKXFIDS0CCiiigAooooAKKKKACiiigAooooAKBRQ&#10;KAFooooAKKKKACiiigAooooAKKKKACiiigAooooAKKKKACiiigAooooAKKKKACiiigAooooAKTdS&#10;MwAJPAHU1xWs6/LPcmO3JWFDwf71OKuB29Jn2rzhtXu87jcyD/gVLHrN0jb0mkJz1LZFX7PzHZno&#10;270pQc1xNn4ivSwM8pyp6FPlYV1lnew3kQeJgeOQO1Q4tCLVFAopAFFFFABRRRQAUUUUAFFFFABR&#10;RRQAUUUUAFFFFABRRRQBGRmlAwKWkpiCiiigAoopGdVHzMAKAFoppljEixs6h25VT1NK7qiFmIA9&#10;ScUALUU8sUEZlmcIijJJ7Vk3XiazhlaKINMyHDbeAK5+51iXVYyJcCPkbFHY8c/hW0KE5b7EuaR5&#10;j401GLVfE17dQlTGZCqFejAcZ/Sudxxmrmr2r6dqc1q/Aj5Rv7ydqoiQ42uMH1rkkrNpnRHVEErr&#10;54K4J6YNdX4ctZtdNnpcaqZPOMjMOqqeG/DiuW8mNnKsCT64r234Y6TaWukHU1O+d0CkkYKDuKEr&#10;jbsjvrK1hs7VLaFAsUahVAHGKs4qFJ4yyruAZxuUHuKmFaGIUUUUAFFFFABRRRQAUUUUAFFFFABR&#10;SMwAySAOpJrlNZ8YpbSGDT1Esg6yMPkHtQB1lLXnNl401LLvO9vIp6KBjFdbpOv22pgLuVZgOVDZ&#10;z9KANmikB96WgAooooAKKKKACiiigAooooAKKKKACiiigAooooAKKKKACiiigAooooAKKKrT31tb&#10;cTTop9C3NAFmkrEuNfUcQR7v9pzWXNql1N96cgHsvFWqbYGnr18yRG3hydw+dl7D0rjJkc5+8Meq&#10;9q0pJfxzVdmzmt1TSQJ2ZlSg4JVl3d1xilV2x80TJ6EcitBkVhhlz9aj+yoTxuX6Glyl866kaZK9&#10;c10nhh5WuyiZESp8/wDSue+ySxndGcj26mul8PyC2spJiuWb5V7ZIPQ1lPRajdpLQ6kUtZOmak95&#10;JNFNEI5Y+cA8EVrdqyTvsQ007MKKKKYgooooAKKKKACiiigAooooAKKKKACiiigAooooAbSUuaQn&#10;ApiCisLXPEcGkyRJ5imQyAOncKe9W7PWILuZ1UgR4BjkJ4fNAuZXNM9DXBeL/EM8WoW9hYSOHZyk&#10;mE3YbqPxrvCwAJPA65Nedax9mPiK7vII181lVTIvRsf561pSpuo7Imb0Kif2g17b3l7qczTQHKqM&#10;c/U1cvtXubtiZJWIPRRwBVJmzx2qANu59K74UoQ2RldgjEPIevBoF01uFIiZlxzs5pQMPnsetIOD&#10;g1o3cDM1nTLXxJbgw747uMExuyY+oPtXDG1kt5mhuE8uaNtrKe1epWBRZ5I2wCQCuf1rP8U6Al/Z&#10;G9hTFzAPnwOWT/61clbDqevU1hUcUcYJ44rctuXO3uK9X8FI2n+H44Xz++iDfQk5/rXkUVks08MQ&#10;yTI6rj6mvaYD5MKLHxtGFH0rKGHUdzR1XJFy8LBUYsweMZRge3pVuz1kxxRJcEsxUkt/Ssy7kLDJ&#10;6nr9ahuPlWP12Vr7NNWZFzs4pVliWRejDNPrIsbkQkREkqo2n61qo4dQynIPeuSUbMpMdRRSMwVd&#10;xOB61IxaKQMGAI5B5paACijtTHlSJC0jBVHGWOBQASzRwxNJIwVF6k9qyNX8Sado5jF3JtDgkEDN&#10;Nu76LUIbqyhZHkMWVVum7uD78dK8g8b+Kn1KzSDyliuLY+W5IwxGOo9qdtDOUux0MXi3UdTtblZp&#10;SELlXX7uPp7YxWW4DPg7cjoMmsvwhK02iTSSuA5uCMkZOAo/xrb8wEfe5PTK8VlJtDiiBI2aQbgu&#10;SMDArXs0kibd5vzADG3giqqgZ4bc2OOOlWoH2DGeCcetZ8zua2PS9Nm8+xictk7eau1znhu+EluI&#10;S2TnH/166MHNbrVEhRRRTAKKKKACiiigAooooAKKKKACiikJoAWiq9xeW9ooa4mSMHoWOKWG7t7g&#10;AxSq+RkYPagV0T0VFJPHEpaRwoHrWbqXiKy0y1eeYsUUlc4wM46ZNAXSNfIpMiuNtPiLpN1dJCT5&#10;a7SXYnhfStqbxDZwzpCVmLuu5BtxuHqM0k09hcyNjIpaw7DW21C5xHbOLY8LOORn0PpW2DxTGncC&#10;ODXP654WtdaPnFmgugMCVO49CK6GkxQNOx5VfeGtY0wklHkiH/LSJsj8uoqlGl85ASeQH3r2IjNU&#10;7jT7WUMWt4t5Bw20cGk79GaxqLaSPGINe1GGaWK68mR4iQdvGatxeLbYELcI0ZPp8wqjrsEMeo3M&#10;8ahZZnPA6YHesJtMST97vO7pwaPazXUpxR31tq1jdHMVzGT6E4q6HUgEEEV5hJaqo4/OqyapqmmT&#10;EQ3kgXspO4VrGv3IdM9gifkVYimMEyxfwOcof7jV5lZeO7m3j3XturjOMxnB/Kuw03xBY61Z742Z&#10;Qc43DBBFOUoTjZhFSi7o7OzSeLWY2ZXIZWVmK8Y7V0Q6Cub0TWA6pbTyBsj5JCevsa6QcKM1io8q&#10;sFSTlK7QtFFFMzCiiigAooooAKKKKACiiigAooooAKKKKACiiigCCKaOdQ0bqw6ZU5p7cqRnBx1r&#10;z3wrrMcWr3VrIPLae53o4PBHTGK6/wAQXsOn6NPeTTSRpCNxeMZP5UJ32ITujx34nte2WsK0jsN6&#10;nCE5BGeuf6Vm+F9YK3Ufm3s5Mbq+0DcAoPNdJ4jvdD1u0l1dra7aVMRy8fw9iFPTJqj4T0+0i1jT&#10;bwtEiTFpCTwpI/hI7Up3voZnsAu49T0+UQFk3REjcMYyOK4C7VkbzQc/LhsfzrrbnVrdYblbVGDb&#10;cbguFOetcqzc813YZWuwm7lITZwM00NsuNp4DVWu8wuHXlD6dqfOxaKKXHUV1MkvjAppXvSI29Ff&#10;1FSZyKAEQA4J5xVyB3gJVjvT1PJHt7iqcf3iKvsMorHqeKTA5RdIW08cWscaZtX3XEftjqPwNd1C&#10;53Dn5VGfqazba3D3pk4yqHGR0J6/nV3lYfSpaKTH7jKwXPep7ld91GnYECoLIf6QpPbmrsbRPcMx&#10;Uk9jUvQYLOftChT/AB7zWzp18s000IACIRt9hWBO0cExZTnjvSaLuvJLpASDIhwwPcdKyqQTjcpP&#10;U7PPGawPE2ryadBFDFGC1zmNWYZUNjofrV/SJ7mfS4WvE2XAG2VfcVi+NLNJbKKd9xjEgRwM8Z6N&#10;x6fyrjW5UtjG8LeMtkRt9QcyRRyFPtAU4Vv7p/OvQVcMoKnOeR7183Q30um63cWgjYwmQho5Gxle&#10;x9Poa9Lj8YQ20+nJAXRhCDKhOUMY4Iz6jNZqWrTIjK256SORXnPxW8RzaZpEem2u0TXed5I5CDuO&#10;2c16BDcJNbpMpGx1DD6V5L4/05vFVzDLbytbyW8zQSRTdAOu4eua0Vi5Mh8K63N/Z0cR1DyWnDnz&#10;Xwdr4GP+BH+VcnqOlanr2oedFAVU486WT7pbuR7e1dDpek6do1tIkCtPKQN8koHbso6davTzSNgA&#10;yFccfL0/LpQrkJFDTbOPSrCKzjuPMCEs7iMjcx61YMmJMhpCR228Uu/IILFee+cmq7AF+Dn3O6s5&#10;K5aLIn3DcN3HHT9Kely/dPpk4xUEcZ2jg/lx+tTqHRdowG79Kz5Uyk2dFoeoRW0geVE3j/VkfwZr&#10;sLXVVlUBip45Occ/SvLl8xSTzluMir1pqF1BIpiO4L13c4rRMD0ltTiSVY2R8su4Ec8U9NQtnlEY&#10;lUMfug8Z+lcla6pcXx2LavKHGMxjkfj/APXrb0/Tbk3a3F4QBGMRxYHH1qtQNwGlpBS0wCiikzQA&#10;tFJmloAKKKTNACmoJ5RFGXJUBeTk9qmNcn49kuIvDUzW0siyudilGCgZ9Se1Am9DzvxvqN5fX0Mj&#10;XPnQksYQpwAuew9a0vDOs3Wi6dNctcJIsYQJEyEl1J5APtXC21tdm/gEiFw/T5iQB361cv72SMNC&#10;LlhjO0Rdq5pTbnaLMfM9P8S+MbIaYz6bdBLwAFW25Iz/AA4PeuS/tO2v9Ee91Wyu7m4LgA7sLKw7&#10;+34V5/DcMLtZpJWyHGWbk13N14isJoreO409UjjmBco7BSmOy5xzW1+71GzYstG0bU77TWsrJfPi&#10;cvPyXAPYHPat2CaM6qJYTFOqgiWMDcYB3wT0HtWZ4N8U6NJfuPs6WssrMqyK2FKjpnnk1r+IprKK&#10;0+2wXUZjkfMccS8PIB6rySffijdAX9EvbB0YadG8e+X5pVj+Qn354NdQv3RXGeFrrUTLN9otJUtx&#10;gbGQDa/c/SutW6iLFPNj3DkgMMiqTui4vQsUUxJBIoKkEe1PplhVHV5Gh0m6kT7yxMR9cVeqvewf&#10;aLSWHj94hXn3oGtzx/xZZLGI7hpFRcbBnocCuftwotygYMc5Nel3+jRajo01tccQSAKzhctDIvr7&#10;GvNP7N/s2V42UoynHPesb33OqSW62I3TI6VkaiwVSB9a0p7jqiAlu/HSsm8jbymLc5FVYlmO0jyI&#10;WJ6EV6t4a01bfR7CF1zlAzZ7k815Z5f+gFj1aXH6V69o14l5odlcxEAbArg/wkcEVUtgpfEbMfDk&#10;KcAdBjpXX6LqBu7by5G/fRjBPqPWuShjmuQ7wwO+Ou0Zq1YXMllfROySJyFYMpAweuapa6oKsfvO&#10;5FFNBz06UpNBzC0UxpAoySB9aasoYEhlK+oNAEtFNDEjtS5oAWkY4FLVO+u1tIg8mRHzucfwe9AE&#10;E2tWkKk+arFZAjKDyOeuKvxzJLnY6tj0Oa8T17Wzfa1PPC6SxMPKLqNgPoxqTwd4gm03VpQ9yZPM&#10;KokTtlWycHntQI9sopqklRxj2p1AwopAaWgAooooA8Vt4nt9b82IMMyghU5yOvFd5NfyJDfS38EM&#10;2myorRq7BcnHzKc9K890qS5uhCuq3TW9mbjchRfn47DHQV6BptkmoPdW98I5beTpE4BLIOAaUFYx&#10;9DiPFOhullJqXh6WY2lwm24XzfMAB7Be2K53w99rtWMaIjncJSyNuYoOvsPxr0y7g0vwmswtJcxX&#10;jeXJF5mRHxjj0FeT2mqNpepajp6MhjdmSR4D/CTzzTm7ahY9Gi1YazH9pRiI1Ai2EYIx3b1NQvw2&#10;ar6TFFBpcRiDeW/zjJyfans5Le9ejQVqaIILqMSKyMMK/II7GqNq7PYvHJw8bFSD6VpyKZImBGM/&#10;zrHsbgPcTRPjd3HvWwGjZyZiK+lWkI3YJrNt2MVyVJq9kgZB5pAT42yCtBRvtgR1Ws1X8xFrSszl&#10;WWhgJBIBM2e6A/rU7nIIzkZzVTYy6ht7FDj3qV87PSkUWbNsyMfQVYgO3e3pxWej+VFuPdsVcEyL&#10;aDBHzNnP0GaTQzMvblri6a3iyWHB/rW7o4FmsaKc4PJ9awdNj2q0zHMspLE+x7VrwSFduelKS92w&#10;7nST3kGnJLLM6pHjzCxPT1PvXLQ+LbfV7XUzK0kGn+XjzONy54J+nT866I21vexRSXCo6RjB39Me&#10;v864DXNBuLC8u47OCzk06+/1Nmc/veBnaw5Brz7Weo2zy26VrvV2tbVppXZiig4ORnqD6Vs6VbXs&#10;WnRmeOSGIymKSSToR6Y6irHh/QZLjxVazXFo9pa7mSKOSbawcdBu6muj1jT59E1hYJ54DLMm/wA5&#10;uWcdAAPUVz1pcsbkM6/TpY5fCV5bwyMvkx5USydCBk5Yds+lcCtx5OnIzXSzHnzYWbBQHvk9R2Bq&#10;/Jo/iJ7CO3sdKLIyH5xN3Jzk+xFcteW2o6ZcyN5QjukIDArwQf4dtYSnOydgubenXb30aGGFog/T&#10;zcfMPVc9RRcvDaziO6uYopcfckO00txpT3WnaZcWmLm5A2SxrINytnOB2VQMVLqOlWF3as+thb26&#10;hA2+UcBRk8Fv4v8A61bw9pKW2nctNtjEO9QQyvGeAysSM08eSP8AlpHuz3kqgl25ikkACxRrhUHC&#10;jsABXHazYNFcmWPhX6n0Jq5xaVzWMb7noBlijOWmhCngfPkU3+07CNiPtaFh2TmvNLSa6DBFTc/Q&#10;ZPyj8K04ke23mWXqozI3GPWudylc3jSieiWdxBeyWW1nxeTNEpx93aMk/TtXXzQ6BoVv+9jE93gH&#10;y3bJz/SvLvDZlkjGo4aO2jylmGOMAHLOfqcY+lbRaW4YvIXcvyxzgfn1raNkve3MZ2Tsjq/+E5kt&#10;V2C2gUk4WMcfhxUtr47keUCa2REJwMnFcaUTeH3b9vACj+tSI4jkyqhW7k0+ck9dsL+K/txNE2Vz&#10;j6Vdrzvw9qDw3ibZTtbqD0xXfwTLNCsikEH3qk7gSN0rg/FHjG70nUGt44HQQuGZscMpruZn2Qs+&#10;M7RnGcV4p4quRq3im1j3yeU8bHdMvBGc44+lPYmTPY9MvV1DT4bpBgSKDgjoauVyujarbWWjQy72&#10;ktl2Q71BwG710omj3BBIpJ7Z5oGnckJwOazrnVI4BMFBkaOIyEIQenarsksUYAkkVd3A3HGfpXN+&#10;JYIoI5r5JTDKITGzkfIFI/i70CbJPD+sXWsx3D3EfkbWzGpHOCOpPT8K4DxXrtkts9vFdvcyIxi/&#10;eKcnnlgOmB0rS8I+IpovKimJt9OhjZnmuHwjkd19qwdctdM1xb/VbC6lupEk3SwW8BAKnvn8Kzk+&#10;aNkQ3dHKDWZXVhkh+gX+fNUCDcSsqfKO+eauWVv9suwrv5NpI+zz2QkL6VsQ6DLdWcsFjBE5jBZ7&#10;gkjCrnkfWsVZbIRgC3Q2YVPmkEnzlgAMe3vV+0095FLTbYkJAAJyGOOKr6XZS31+qBV3AEskjbQO&#10;OprvfBcejs0YuTG9yrsUR1LeUAO471WrlYE7mbd6ZJpflvJapNFKqmZrQA7BwOT/AAn6V61odrZx&#10;6ZClsFaLaCMkNg49fWrMlla3tk8LKvkzLh9gC7venWFhaaZDHbWqqiBeF7t71ukkWoklxAWtJIoS&#10;UZlIUj1rzW4stQ8O39owgWf5m88hclkz1Prwe1epAg5AIyOo9KY0ULSb2RS4GMkdqGrjcTL0G4e5&#10;sBIWZkLHyywA+UHjitkVDHBDExaNFUt12ipaFsNKwtIwB6ilpKYylPp6SStLE7QyMMMV5DfUVkXt&#10;lZ248y8FvvGcMEB469D0rR1TUWtj5MQ/eFSxb0rhvFlxLB4b1K+3MXEIjjI65bqa0jQ51dlRm4vQ&#10;4KfV4tc1K/lCIu2Q+XtGMp0B+vFZeqlYrZie/AqjaN9kEcqH5sEEevNSSGTW9TgtkXCjqKKmHlGS&#10;7FKdyXTNGn1CyhAXbGHZiT/Fmuw05P7Ptns5od9vKcsFPIPrWxp2mJb2qRrjgAYFStZK7nB6cZrf&#10;6unHUUavK7nReGtUsLSExm4ADDgluR9a3bq6glt3eGRZcAAhTnPPAxXE22nW6sDt5HUmui0kxQzK&#10;WTAyAGH171i8Jyx0KlWjKfMR+IPFkHhbTI45ds9865WEHgd+fQV5xe/EvxDPkfakt+d2IgvHsCa5&#10;rxNqjajr17cEySZnfBOeACQB+lYm5yOEOKSikjJ7nX/8J9rSxbTefXdhif8ACsy58QahfECbUZ3X&#10;+EGQ8flWHukPVR+dOBc87R+dXzIaZ12geONZ0Jgq3RnhB5imbcCP5ivU/CHj228SO1rMsdveAZVA&#10;xIce2e/tXgSmQn7o/Otvw1NPb61azoBuSZCPm561EkmLQ+lT0rl/F+p21jbxQXX3JjgkrkAe9dNk&#10;bTzXF+NtKi8R2E8VrIft1iC4j6bxjkVmBw+r+GBDdwLZTpdbj5ggQ5LR9dxP9K5rVbi3OoFraDyU&#10;GNygEbT/APrrqLbX5YNDTS7+3V5pYvLgcptKjOByOtcfdQvbXjReaHKt2OelNCPRPDPi+7n05tNn&#10;LlEAxOuS6p/nvXoLXZ8hkgZ1jiUZl6grjrXnPgPSU1G5lvbrhIQC6bsZBHHTtxXTy6xa3Gh3wu5G&#10;RCGSJVGBj2pAWj4tj/s0Pb/vLhpfKRWP3jnr9KuwHXEtJvOktvtDEGNc528859a43wdptleJdK0c&#10;zlTlLlhhUA/rVnWtYDX5TTbjYFBCYP3+P8aBHa6Rd3FzbsLsIlwjlWRT0HY/jWhuG7GRn0ryqO4v&#10;9LsZrq7u5Ld55V2r13jPJz261Z1TxOx1axksLiRY1jCyvx8x/GgdziRZalBrE0lxHatKjFDGSTtP&#10;8JxmvafDtv8AZtKhWRVFxsBl288nnGa8wudZ0+SJYWbZfK4c3jBfnGc7T69q6rwTq098xVRiFiWd&#10;pGO7cOwHpisoy94yQzWvCnh7xNqVxLbXbW2o25+cK5CEjnJX+teVanpWo2OvXFptinvGPmGaHBDq&#10;eOg4r2LxpbR2cI1L7SiOoKukoG1lPpgferzR9NTUdVt9X0aLNvvV57ZEKsgB5J9q2a5rDZv3F3Hb&#10;QR28Q3eWoQkeoHNUvt8wb5bdj+BqxNqNpbkqsRY5NV1v2lkxGkr56LgCvTVuhAk081wA6llYcshH&#10;H4VjQzf8VKSGA/dZOPUmujMUtzFtGQwODtbAT6+tZB8N3S6m10k6HdgYIxgD3rTlYjQl4ZJB1q6C&#10;CoPrVZbS5S3YSxgleQFOaWzlMkGGBDjqCKHEC7Ceo9KvQOUc1nJuBBUgeuR1q0j/ADipsBob1kuU&#10;PAaNsZ9QRS3B9e/SuR8T+J4ND+ZWBujgovXHua5jSviJfLqXmTSidX6RSRAqD7elY1K6g7bm0Icy&#10;PUJiFijU9Sx4+lUtXuJLezEcSlmKhQB7nk0G9F69kbcBg8fmHHRc1ZksYZbgyvukPUc9OPSt1Zq5&#10;BRsROGD4ZlH8KDP51rxXEpUnyiB6EVbiiheEeSmwoPm2/wCeas2QLS+Uzgqw4yKiUlYCewkN7Zy2&#10;rkpvGNw7c1yPjmWHw9qseoRwTgAbQrA+UrHuo6ciusa6g0i1ur2YbEt0Z2P0rA+J+rI3gKKSO2Se&#10;G927XY8xnG4Ee/UV59a19CraHnUvia3j12z1NIy1spLiHf8AdbHH05raj16DxbqcN1JZoL+SYKpL&#10;ny0UDj+RrzJlDRn97vdvmKgYxWnp6XcSiG1MjSSLwI+Dx6fWuKb0sSz3W21K7e4gs9Nghe1lQAzQ&#10;TbhEeQcfzrnde8M3a6tGHlPk5EjXDSHc5HUD3rI0XUW0Tw5MsBltLglXXC5IPoCenfNaWma1c+J9&#10;S+2G6YJEjRyQdRyuM+gyQeKcVGtKMRWLgtbbT7WOGzjKRNlmycsxPcnvWVexl4mwcEjkeuK2Ap2x&#10;o/Xbt/GqE8YFxDH2beMfhXruKS5Y7FRZhSW223iXH+slAI9hT9T0z7Ro0k6rhhGx6Z6dK0p4R9qi&#10;jx/q0LH6mtOGImwjXaCpXBBrN01bUq55BJKtph48SMoHmLn7mfWpG0+91Hyrq9Zo7E84A6qOoA+l&#10;d1c+DrR3d4CI1cFZIyOCD6e9Iunj7HFGrmVnQRxA9geM4rJYaPNc1VbSxdlSFBCtuAIFjURADPy4&#10;7CopRtY7hs9DIevtVrV4006e3tYw22OBFCoMngfpWQrkkkR7mPPzck57Vy1fjZBdaVQUUuxZh8qj&#10;gCkUhBknGeQByaheKc5Z3I788YqldeING0uQCWYXEoHMcQ34+vp+dSkM3dNuHvLgrFbztt48xxhO&#10;Oetd7pmqtBZBXmRyvQsQAB/hXhN58QtTndorWBbeBs434Yn6DpWDf6jqWrqRPfzsB23YUfgKpOxX&#10;Kz6K1LxfpYt5Yb29tVjZSror7jg+4rgrjxJ4H08j7Jpc1wwGC6uw/UmvPfC9zY6bNLFq0M00UpDK&#10;YsE5Hbmr2qa7DcO8en6XHBF2e4G9x+AwBTu27ILI69fiLp01odIsvDkz2znKxLcMDn8Oldl4Z1i6&#10;i3S32nyWgwNvmyeYxHoO44rwq1t2jkEzFsZzwTXYWGrTrGq+c7p2yx4rpoUVJ+8Zzdtj1hVt9R1N&#10;7mZri5CMDFGSFWLHesbxfpGq6ukgGpRLGoHk27YG4d9zVzlvqjtHgO3vya1YNbuxHtFwSF7FQwFd&#10;EsJF7GPP3ONv9C120WCXU9OuRpkfJSJt8Yz15Hc0/Q9U/sxpRayTxCQfKpGQ/qp9a9D07xB5LEPF&#10;GyPw6xnaG98VXk8N+EtY1B7iSO6tZX52pLtTd6j3riqYWad0VuecSWggbzY5vMLAs5xhVbsAKZHq&#10;V7pcQKn5btCMLJ1B7e1dF408FQaTZJrGkzTT2AOJkc7jGezfSuJtIlurvFwwK4wgbpkdq43TcdwL&#10;lqAqvOYGUnglsnPqB616l4Tl0HT9SEdozRSGECQTEcseqg9q83ec/Y3t2dIwGyuX/wA4zUCXSQW6&#10;71dSx3Ljn2pRqO9wPd9S8XaVpcQ33EbMMfuw2Gx7etZOp+JFvXiXS0gu3cjYgmKyo/X6YxXlmm3F&#10;ubG/nukW4kaAhQ5I8v0x71d8G3mni4ht70s4JzkSYwT1wetbc73Y3JnsGmwxQhrsRy+ZIN7ospkX&#10;PsKrXEWt3kslzAwgUAbY84LEHqfwp/huztY2lns7x5Y9xjKjlR6AfSl8V6tdaZaQ/ZYmZpGPzJyw&#10;9gO9aJ3WpS1RtWsbJCpdpCzAEhzkg1LNcRW8RkmkWNB1ZjgCqekSXcmnQPelDM6Akpx+H1rz7x/r&#10;Ek2qwWFnN5yBQXhXpuz39apFHpyTRyEhXUkdcGmfarffs8+Pf/d3DNYWmS2tppr3f2gyzeQPMJbk&#10;7R0x7dK43QdC+2Xb6nNeFWhk8wRZ5IJyOc00ruwrnVagWa5uHLZ4IB9qxPE6rN4J1AL0+zFsH2rY&#10;lPmqwHU/1qrrduH8PajCo62zj/x016CVkkK+p4XbjfDGMZ4ruPBPh9TbSalIuWkbbHn0HeuJ02CS&#10;8a2toc+ZKyouB3Ne5WtnHZWUNrGMJCgUD6f/AF60qJOzC7KYKIDtyxXg7e2KjmdYIWk7KMjPcmpL&#10;sJC0qRgBnbJA7ZqK4VWkggPI3BiPXHQUySe3BiiQEZkYZIParhl2bFzyME4+tUt+1iCck9ajuLuG&#10;1hkurl9kMa7mb+Q+poewHk/iaCay8Q6hBK+0pOxGBgEE5H8xWIzqf42b8a2db1KTXNVn1GeNU81u&#10;FXnAHAA/CsdjliAcAdlGa4Wlc2VkRlhn+KnAqB0b86XnuT+JFPCk88/kaXKO6BWXPRvzqzBII3BC&#10;tkHI61GAT0B/I1Iq4PUhvrinZiv5H0l4X1mDW9BtrmFtzKgSRSckMB3rH8aWF4to2o2k8xeEEtGj&#10;DOP6j2ryPw74kvvDd+Lm3cOh4kjccOPw7+9etnVbbU9Gi1PTogzTPmUOd2wjqCO4rConFXFueV6l&#10;HeTebc3aGNwRtVlK4J/u+1Y7YOd2S565Ndd4skme/N0P3UMvBhDghT/QVyt0gID9M9cCs4yuK1js&#10;/D9++iWnmWimV7iFldBkgehP0qS/vTqNzZxW8NxOyoi3CIchyOTtx7VkaSZPsckkU0iAx7HAHX8a&#10;S21NtFcSWcpScc5BqVNJtEncarrUOhRG1s4WjguISWRRgxt2571zmnapaQ6TfZKrPIwSNdu5gByT&#10;ntVCfWRd2wLMZpQxLbxkc+9Z/mCO3kUxEOcEMBjArRO6GTXF3JeyEl2Iz8qk5FRvNtcRqd2BjNQL&#10;dNHG6pgKw54qqrneDnB9c1oogOkAndt7I8kkm/IGNnPpXofgzUrPRreWSa6Adz8wl9M8DNeZyTmQ&#10;ylA26KUqCR9elaM0zuI594B2YcE45+leW5um9CLWOv8AiD41ZnFjZCOe2xuZgu4H2NeW6Vrd5ot6&#10;11ZXjxxzNtkQdGBPII9K2tQ1C3Nl5YBVn/iBrj1klspnTghzzx0Fb06zlqLc9Vg05p5fOk+4x3L9&#10;K0oBCnyxj8a5fRpr+bSW3XLRoDhFbrWnZ3OxNrP8w7GvUoYqE9iTcDemOeuO9SqygYYVRt5kkHDc&#10;1ayMZPFdqnfYROCDQYkb7wH1AqA3UMQ+aQE+gNMF4rnjJ/3RVcyES/ZfmykmB6MOK5fVfF1nAHjs&#10;3M06koMD5QfXNO8Y66dM00WkLFbi7yM5wUQdT+PSvOgQOMgD0rjxGK5HyxN6dO6uy7fTzzkrPbi4&#10;ZzukO7OTUVtJZwzbn0dXIxjKN/MGoCyPkoHUjgsr9afFu3ffufwUVwOVzoSSPXfBevx6lbyae2mx&#10;2qW6Blm3ErycbWz3J6V1AWWGfAKnP3TjqPSvD4tZfR9NvHWSUeZ5Y+bgZVw39DXsNtqLMscpIMEq&#10;rIM9gwz/AFrrw8242ZjVWt0bNqqfaIztaBweq/d9+O1at3pkTMJIXEbHnaTgH6VhogmG+ObcAMgj&#10;tXPeIfFktpbS6fZTq94V/wBa5ysY9vU+9TWqKGrZC0JPiJqUb2EWipcAXM2DcbSDtA6A/WuY1Qmf&#10;w4mkfa5bkKQ4lU4C8YK7a4uH7Wb4mSQGSRizM5LZPua1L+0urWOCdJ0ERTllOMnuK8ypVlz6PcRj&#10;GyaIF1TMaNjcVwTWppc6S3bzzARKq48w5A47DHesN5pZZAgck5yAW/WuosIYItI3Tx/uHbCvjOT6&#10;1FV2VxGfdeI7yC+eG1ZplcBVJ5BHuDXf+D7WO20VnVl8y4lZpdvqOAK4OO2t/tXlWySSbSFz2LHs&#10;f6V6dpOn/wBmWC221VbcXdV6Bj2/SuvL7yqXtokK5LcLkbh65qhc86hZY7l8/lWsD2Ycd6y5R/pt&#10;spxlHfB9sV68kNEBw93c49QK1rJN9knsMVkW5/ezH1cmtmwIWADOOcCpsMjliKHPY8Vj2Bgj1Z5p&#10;clLQbFHdm7fpW3qN1Dbwnc4yOf8APrWdHZXFxmeYLbQsSRgfvH98dqylOytHcqxR1PUIzK13dSIi&#10;ggsG4G36d646+8cWcIdbG3e4ckje/wAq8evc13V7pFndadeQGNQphYNI/JBxxzXiE1tJDK8Loyyp&#10;wynqK46kJR1ZcbNmhfa/qGrIUuJysP8Azyj+Uf8A16rwW6rhtuMdBUVuF2bwN+BkA96topCgk8nr&#10;istjRIWSIbA3deTSQKN7An5s8fSp1AcEZ60kQXyw2Pn+6TS3K2I54j5OVPK8g1ppGs9hBfKOQAJM&#10;DtVSQfuD9K1PC+2Wxe2k5GSPwrpw+srGNTYdHbqY22kcdhyRRbsYJhjlW7H1p0atayOrDmM7WHqv&#10;Y1NLDgBlxgcqR06112szG5JFK0MiyK25DwfStOC8DRkBRn+HJ5Hsay3RkHmxgFWHzJ70zzfKPmK3&#10;yPjP1q4ysJo6Ow1AXjtA6lJU/An/AOtWxbzkrg43DggVyV1A7xRXtn/r1+YYPX2Naun6guo2ouIm&#10;2zJw4rVNk2O00m6tC8lvcyARyjZIjjKup6/jXnPibwlJ4e1h4IopZbeXMlpIp42DqD7iumguYrnE&#10;Un7ubHB7GtwSQarpL6PqheKRDuin/uEdD9K48XQclzR3KT0seQQWk19dhVjyeflZscj61Ytmlktv&#10;liMiLuQZ5wQa17/RbrT9SNveToMqdknZvQr7GqulwSLp0btPGseSSNpyCT+tePKTs+4xY7S9u4TC&#10;ECk4PK7SR6Vcs9HexlF5BEshtWwVc8MTxz/ntT4ta82QbpFZ04Dtx0qymrlIccNGxJY7cjNY+0nF&#10;6ks3/D13qel36yXMW2MkEQxH5Tnj6V2Wr3UD2c10t4E2RYRCu7Yx78d68dbWZ7qeNXkcAkbVz93m&#10;to6g9s8jXkjxoq7ztJ+bFbKtKGliovoerWNzBFplnHNIqNLGAoZsFiR1ryieWa21i7LbcpKxDHBI&#10;AJGM1Bf3t9cOgtzNNMIw2Yl3BAeh9jUVgsjxSm6gKsNqAODlj6HPrWk6knC9im7lu2ZY45ZBcXDX&#10;qkSRoPuHB7+3Nb3heWe5u764mt1iZtqMyrhXbOS2K5q/ujbzAQoDsOJOec+ldJZakbDSoTcW4hS6&#10;UywujFizf3SOx9K3wk5ymrrQEmbcjkW7E/eUfyNWrmMzWM0Z6vEy4+qmuO1HU9Tn1rSorVDDbTDz&#10;Zd3UKOoIrqI79ZDtGDgZGO1et8Qrnm3wy0szXk2pSKdlrmKPI6uTz+Qr0qacQKMYLk4Qep/wrO0u&#10;xg0bTzbxfd8xpGI4yzEnFT7gf3p5kYYz6D0q7XBspSHdcdcnOSfU0bGk1IynhIUOR6sRUrLGCTsG&#10;R0pkZHlsWP3nP5CqsIUlcmR3CjqSe1cR4t1N9QvhYWhMtrHgjygSZHPrj07V2hkZuAeKtadEouYs&#10;KFLPngVnON0NM8eu9G1OBVe5sLiJXzs3ptzgc4Ht61kGVenzH2r27xpod9cOdat7h5LeG3MNzZ5x&#10;uiLZbafXpn6V4xqVnDDeyeSZFjJ3IHzkA9q4ZSsbxVys0uwfdx9aabgg8EVYSwPkJMCXJGSMU+OL&#10;zAVCgD37Vm6kirBDFM67un4UTST2654x9K0kZQm30GKz9SYeSeaSnJvcbRAuozueSuPYVr+G/EF7&#10;omrQagjtIiHayMc5XuB6VziHC49a0tPlTzDE/RulXdy0I2Pcodd0PxDaib7NazB+fLmiBYe2RTl0&#10;bw27iT+w7feDkEMw/TNeQ2F22j6phW2wykEEdjXpVtqTbYnLZST1rop0oONmjOTdzUm8OaFdqURb&#10;iyLdfKfK/iK568+HF3bq8tpIuoRHoFO1x+HeuhScEZzV22vZLd8o3HcHvSnhI7wJv3PLml/suKaJ&#10;oNrs2PLdfu4qu2ps8LrMpbcMDHGK9X1vRtK8UWytOFgvV4WVRz+PqK8t1Hw9fabdPazxt5qnjA+V&#10;l9Qa45UeX4h6GYGTYd2Q/wDDjpUe7kdyau2tizyFpIzhTgr0ovbC4ik8yOFlj/2e1X7WN+W47mP5&#10;x81mXIGSwz25pxvY76Vd45U43Dqaijs2khlMzBQgbpz0qvZoiRb8qrr0zzn6V5s0myWW5HV4d+AR&#10;GCAMc1gJ5sl2Lg8AHqw4rowCLbzFj3CM4OT0J9ahnlhIMT/eIyCRxzSpu10Ba025eNT5jhldcAqe&#10;3riul8PQwXsNxyxAXPXofauMmKRbWQ4QqFKgdfpXWeBfmi1JgDwUUE/jW+Fp3rJksu+SUmZUYqR3&#10;6g1KRNIwDXBRfbkVfSEGZ8nuABTrmwjJ4XaQOor2bNC3Iobayj5MokP1q2s0SABFCj1x2rDlt7qI&#10;lkYMB03CmNdXLWUsckWCy7Sy01U8hHC6mJ9e8Q3N48jBC22MeiDgVYn0COCCMgNvYZPPSujsdK2k&#10;N5W1RySRyas3UAc4I5qJUoy1KU2tjzLWLeSxSMq33ye3pT/D8dxe3MqmVyETIwcc5rS8bReWtmvq&#10;WNWfhvafadTvc/dWFSR/wKuZ00p8pqpO1yHV/Dd7PKqCViuM4bpmvavBmkz3PhTTY7uNBsh2ec3B&#10;PoQO9clqFtnVIyvABAr1Tw/i50CFTjfGSq+1W48i0C9zznxwt5omorZ207pZyRK64bmQ5w34VxWt&#10;XEdk6OckOvysT+hFd/8AFCJ5b7Sp1UCUxuhyP7rdq4W8srC4aMXiOzp0Ge3rXlV2va+9qS0c/eO5&#10;C3MRba+COeh9K3Xv1XQYYDMgeRtgiPUjviqhtINNKwsHngDq3znhfyqrq9rBcao19ZXcQj3ZCsSC&#10;tPkU7CsJ9hSeJSjPwfusQCBnnNbFlcW4hhtSXeENjOOB1wfpms15oZZ02MG34UsOxq9ZwQPqCR/P&#10;Om0jb0xjpUVE+TUdjovClnHda2ZVuN9vbfO8W0DDjp9ea7aSZRlick9RWJ4Vsray02S42iI3EnQn&#10;09Pqa2maFT91ifZa9rA0vZ0r9WRYhM6yfLyM9c8Vh28gF7sDFhb+auT17VuS3EeCRGwwM/drnYrq&#10;OfULySIEIFwMjBPrW73Gi3D0J9ea04xJ9lZYnCN1DEZx+FZdr8yge1akZ+UD2qntYQR2kW9erzHl&#10;pHGT/wDWqxcO653D5jwtQwOxlfYCcDbkVKAWkBkJYjuahRsO5FdabHf6bLZPK8YYDLoeeufxrkPF&#10;fhSefT2vkEJntsszRrgyr7j1ArufMGGII609JEMZDqGBGCCM5FZzjdNDTaPnyVBGFIIIPOB71IjK&#10;Rgjmuu8b6Hp1tfRyaVGkcjITLGG+UfQdq4gCQy/vWCt/dWvPlTa3OhSTLyHHSiPAeRfR8/nVQy7M&#10;7m6d6Ip5GBaONjuOcgdqSTBs0JCAmM03Sb57EuyoHPmYAJwOaqGSQ/eO32NXbWMGxWQDkTgn3rWj&#10;fmIm9DZe7F7L57RCOT7rrngipIHMEjRtymeh7UKi+aW2gZ7DoKk2gnPp1+ld931MC1FGvIUgo3I9&#10;qrTWo+Zemefakjla3cdxmrqiO4XMbqWHODVKzRJmRahc6aNnlrIuc4J6/Sni+iguItXtQVgm+W5i&#10;/uH1qzcWiGFhK6rjkGuYe4uNPjdSI5Y5CQ/0NQ5OJVrnoUM8NyMA44znvW/pmsJaSpDqkHnxKR5c&#10;y/eQfXuPrXmOlagTCq7s7ehz0HrXUWWorLF5UhDY9O9aKUZqwrWZ6J4m8PWHibw9I9iY3njUyQuv&#10;c91I968X8i5SGBCRFHkEsQQQehrt7S6urBzNY3EigcsitV+/0q28SadJqGmR7NQhPmT24OBLxyVH&#10;Y1wYnDyiuZalXTOJuvDgkhVra5JHJYScflio4Eigtt5vGBjGDGejewPrWhFckPyg+7ucE9Se3+fS&#10;su7gheR0ilDBsEKg4Bz0NeWm27SELqBw8FzEyM3G0rxz2zVm4vJri3kjndN2fm5zkj3qBbeAxeTI&#10;FPlnOWbkms65nLAhcr1/LNWkpadhm1pOuPpNvKtqR58oUeawzwOwrQuPEerTWZgmlRtwz5gjGR6Y&#10;rnLAkIIWHDHIJHIrWTZOko+6UwU464rZV3H3ehcWk9ShfN5dwhcFll+8ffvmt618TLY2kcIUKkYx&#10;GQMkD3J6GudupbhZmZsMjHp6VDGwYkAZDcYNdEKji/dNJLmOpbXpbmXc5IyOvUkfWtSx1Eht2cE8&#10;Yrg4jLZSY2l7c9CBytdHpkq3KFlf5fUHmu2lNyZjJWOwjuEuVPzYYHg0pdkAUnIHQ1mQDaOo/Ori&#10;szLswGrsjruSSNJ8pPemhWcBV+pqndma2jLMMp2OaX+0ZREoURRZA+aRsfpVtAae1Yk56+9WNLYy&#10;Xu4t0GFxWGLyQph3Epz1GcfrWpo0oacDGDuBIrKb0Y0dZcRrNo90kn3WhYH8q8E8dT/ZtStBHzGb&#10;fJyPevebmUxaXMRjcylRnpzxXg/xN2xarawcF44RuYe5/wDrV4dV/wC0RR00/hZgxXSvEoVmAUdA&#10;elP85ZAQsbZ65JrCjkaJw6HkVpwX0cny7MP6DpWjiNSLolEaZwRWddTGV+OlWryOX7OrqwP+zWaH&#10;yucYz2qlFrcTY8feAqRXMbq4/hOagVvmyakPPI5qkSzobiIXdikiH5gMiuu0S5NxokRY8qv8q4bT&#10;bhyqwk5Uj5T6V1+hlYRJbBwyYBU+9dNN6kSOstrlZFC/xAZNXYpSQBnnNYCyeU8bHgEbSPerlvNi&#10;QqP4R0rfmM2b8Ewdjx7damvbNdXsPszvtlH+qk7g+h+tYltMfNJZuTxWzE5Cgjr61NSEakbMDhr5&#10;2srsROoRUP7wEY596aZIAZE2tLGcBsNz+Fdjrlja3tnJfG3ElxGoEo3YBUfxY9RXEi7tRO32YOcf&#10;OzEcZ9APevDnQcJWYyb7JpdqZLOI7iGMbtJ3B71UuNDsdQlQ2cW2MHHAwH9as3vhOfUrkeXM8Ers&#10;TK56Edq3NM0BtLtYre4IkZckEHgZ5zXBz2V7l2fU5O80a8t4XhtLPZC23Ixuy3qD61V1Dw5fXkQV&#10;rfcu3cFQ55r0XyD5ZVS4jQZXH8XrUsNra2kCuwDoHO5SecdqaqtByo8zPhrWEsonGnMRxk7eg+ld&#10;J4dsLixsZjPD5Rdxhcc4FbV94sgsjALcZR+oPQCq0Orx6sskqFAUOGA7GvQwEnKsrkSSS0HwgBgQ&#10;PmJ61M/3Pf8AnTbdCW3E4AXj3p8mNoGa95oyKbxGU5xgUNaqqgY6nmrBY/dQA++ahmDxqMDcx6nN&#10;OyAguSqR7V4qg0QKbjyatSglhvxx6VUuZflwKQHn3xAI+0WSg9FY/qK0PhYMXuovj/lmo/U1j+OT&#10;nULVf+mRP610PwnRWbUwe4jx+tce9U2WkTr7yPN0rYGM13HhWY7JLcnG4Bl+orlLqDAPHKnNb2hP&#10;5N3A/YkCtakfdFEPH+kT6rNpot3VGTexJHriuJi8Jagl3uvbbzbQKCxjPzf/AKu9eqayoW6tznhI&#10;2IBPDH0rKsNTt9Rt7cHdDdyxlioBIAHvXz9eTVRmlkzzm88IX1zqqWrRtLZ8OJEOAQeg9qxtQ8Ea&#10;t9pxDp7OpJVGU8EDpXq9zKLdJ90W2OM44ONwPf8AOrYMy6WZBt9QvoKiNaUdtg5UeXaX4A1SFIrp&#10;02T8BISM9a7TTPDUEMEO+0ijlQE4B+bO4itax+3iaNrht8RcHcBggH/Cq980k/iW+Nu42xW6Ifzq&#10;6Uva1VGYNWRBJapHcmVgGZRhfao5J5CcbSqnpg5o3yySfu2AVRjcaR5dxKwupcdR619PFWVjC+pk&#10;X8uoqvl2gZ5N44IzuXvWNpzkpcyNwWbp+JrpPtDyQzOQEeJSrYPIyCK5i1fFvIem6QnFZfaLNu0P&#10;Aqe5u/stu0nVuij1Y9KpWsmFH0pkDf2jrAjGGS2BOM/eaqbEdJZRfZ7CJT9/blie5PWmtJ8xwaQm&#10;QZ4aqjySRNnypCf92s3NAWDJ8vUZ7e9ULvUHiRm3AIOBjufSmfa/McRDcrtx8y4IqhrkiFlt1QAR&#10;cg55z3qPiegjnNS3zlmzl2OSawZLQOSvKP6jvW9I7qxyMgjqOtRPEkqAjgg9fSidNSGpWOWWzYpI&#10;twB8vpViwSWCPCEMCPuMOlad7anyzMo5C4Ydj71AkLeTGV7L36io9ny7D5m0J5izKyyQAnviprK2&#10;UwSCMhQr7sNUYbeSrfLJjr61Jb3H2a4+cfI42txTjo9RPaxoRCQjOVcZx8tSHrg1Vntyh863Ypnk&#10;Fehoj1HnZcoEf+8Bwa0ukSWcqDyMj1p6GJyfKTc/YdKYZF270YMncCmEAkMqkHrnpn2poZKIfMJa&#10;T5sdMnoaz9WtRLENnA71qxsCgJPPaqt1ukBUD5atpNCvqcxbSNZThDnb0BroLa+WIRySApHISFcg&#10;7SR1wazLi1BYnrxV3/R38PW1rHIxnhmaR0PI5HUfp+Vc6vFlnS2l6VYNHKPw5rd0+/a0uRd2vyOR&#10;hlzwR/nmvNraaaDG3n1rdsNTYt5bqybv4u1bxqJ6Mix12u6XFq1u2o6bCYLknNxAp+V29R6ZxXIm&#10;1KHzJE2qp52+nf8AGtuy1O7sLrfFMQSPqCPQg9q6W2S3vYjNNawiSQ/vcLtU5749eK83G4blTqQ2&#10;KW9jj98Mxju1hTzRhDvAH0NZM+jzT6ixUkqTl2P3T9MV6C9jY3cbwWUaxj7u9lyBz/8ArotdCtra&#10;aVfPE0sZDnH3Qpry4z5XdF8hwZ0+ZLgCFd/OOO1Wns7m3ZRNC4VhlsnOPfFdfdeHxbXHn2V3iUNu&#10;VD91gaJtL+0W0kskaqwxuG7PTvVOd3cOU4K4t5oCRKPl6qw6EVnupDZHymvRtsEiJb3FtAZByr9V&#10;A7ZrnPEOhG1ka4t0zGSdyqOAfUe1dNGfPoUmYkc1wMME3jocV2vhq5t4tHQvHseRiTlevNcLGzRS&#10;bkPvx3rftNaT7PHHtAKjGM16GHkou4p67HcCS3dPlKHPpTGIU7Vxk+lczBepJKAvB9a0FuDx83Pr&#10;XoRqJmTVjSuNp2rIMqRjB7Gqxg8y2eGYbgB1qEzo6lck57tTxJIYThzgfeGK0UwM+ODyZdqkqR09&#10;DW3oTn+0FLcEKePpWEswkB3Hv1rofDojuLlJQ4wgKk56mspyTWhSNXxHdywx2NrHIsaztlt38QHY&#10;V4J4wvzf+JryTOUDbF/CvdfGgza2FzEVbyXYEdhxmvnS/jliuWEwKyNlufQ15Fr1m2dEfhK/aprR&#10;wk4J7cn6VCxUOQpyO1WbAFL+3ZkykjFBnofWtxHQPtELHGQASPeud3kseMVt3MUlnFtBLxnIx3U/&#10;4Vg4KtihiJRyDUw+6KiFSpzSEbmjWolYSNxxhRXT6fH5UiKRwwKn2PasXS1xaw5+tb0bsqgsOmCD&#10;610wWhLZppIZYHQ/fQ8n196W2m2nLdSADTXPlzJMB8rjDD2qSW22gvH8ysO1aEF5jvQNn3GK0tNv&#10;A0eyXkd656CZvKK7uQcGrdtIUk+ppoR1W4wuGGGDD8D7VwuvaCmk35vYZMWd2cxK3RW7qf8APeux&#10;tLkFAjnK+vpUt1ZQXdq9vON9tL1x1B7MPQisq1PnWm4IwdQ/ti3ukWOSIs7fMFOQFPSnWdvesG+0&#10;XQe4jIIRW4NUrfU3tYnlulMc+zylBGccbqtDVrO4sA9shEkjLHvX7wPc18q9OhuEr6jNdtFbszNG&#10;DuXpgZ61W1Wy1PUNFX7EVeZfmxnG4irLfaZmkNsJIh9zew+9/wDrNSNO02mq0KyKSxh+U/dAPLfz&#10;pp6phY5Wbwpq13Y+a6rauiARxt3P8RJqfQvD17oFxepOV8icq8fOSTiumtfLS0jZbmQmX/V7+che&#10;o/Gm3lu/FzLuLFdobPFduCrNVop9SJR0uMV/vEH25qN3mfgkAe1NHyKQTuJ6mmy3cdpD5kvA7Dua&#10;+kXmc44CQ5yQAO5qMtjLZ6Vkz6reXQJgt9sXqetUnnvT95W207gbEknmPnIqlMcuR2FVo7ggjOQf&#10;erPmKVOakZ5z42bOtQj+7CP5mt34bu0FvezKR/rEX9K5zxk+/XuOgjUfzrq/hxF/xJbxiAc3A5+g&#10;rljrVZr9k9GEi3cJIwH281fs/liiYfw1jWi7ZepxitWxfda8dq3nqiUdLqt3aM9vDclQ0sWU3epr&#10;lBeQ6Nb2odGKq5XzB0A6/lWf46u3W40iVG5Cg4zyQu7NZ17rVjf6J5cTDzVRfoRivm8TB+0Zrc6H&#10;UtQhu9kEPzQyzLHI59eoH5irsepQzXkNtFJuDxvub0KnJH864vSr1r+ygt5Iiryyeekg7gEimW90&#10;dG8/dnzpIyIw3QNyawUeg7noLaoYpwSI/J4CsO9ZMVzbtql8lrJuJAEhHb2NcXPrLS6fauJcM6cr&#10;/dZWOD+taPhG8lu5L9iAGkcE+4FdWBpc1aPMTOWh07Rhl2YIX271F9mQHCrg+op8zyouEXLGqMsl&#10;3kEZDDsO4r6gwQzUYvJt5pejSLhh64rkUfbbxj1Oa6C+nlkhn80nATAB7GucyN6J6AVg37xaLs92&#10;La0Yg/Njiq1jJJp99aT8nCky47gnmqd1P513HF/CvzEetTtcEfIqjLKRQ7NagelKwdFZTlWGQRSM&#10;vFY/hS9N3pXkyEebAdp9xW221ULMcADJPpXM0Bn3kY8ppMgPGMgnsa4ue4aQZmPzEnnsa3dY1FLo&#10;CGMt5QOW/wBs1hTOMYA4H8OOtdNKm4q7IbM+Ygksx2HtnoapNcAcE7SeoNXJi4U4QfQ1iXbowbf5&#10;m/sQoxRPQaLsk4W3kViSpWnxwgQIw+Zdv6Vz0d7IyvCeSeAa1rW8MOAxBTpwegrGNRN2ZUkWJbZZ&#10;F4Pv7iqrBox5cwyp6GtMbZ13wtz6VEwDEq42sfXvVuKYiC1uTARFI2YW6N6VPdQAjOzKn0NV5bQp&#10;hkXK91z1qS0uQp8l847E9valrswKpSSIloiSg6gdqdHePjgZNW5rUqQ6Eq2eo7+1ViELAyYif++v&#10;Kmpaaeg7oUajJEw3R8detXItQtpVwcqfQ1GioQFmT6MBkGnnToW+Yj8RVx51sw0LNkNEa5LajNOY&#10;R/Bb43H8TVLWJ9IWVhpUU8MfTM0m4n8hxTns4hgBcfWqN+IrazlmbsNq5/vHpSk3e7BC2blUDtzH&#10;9M1bF+jAJEj/AF2nmuTt9Vmgd5FZtpIXaK6GwupbjEnL9+T/AEqefm2G1Y6KymJeMy/Io5Bbgmtl&#10;r6VdOnWJicbXZRz37VzPlyMBI/Mnb2rrfBdszzSyXEYMQUKxIzyTx/WniJtUZehK3Gf2wunxG3QE&#10;7wJCD7iq0erFICFfa0rqeD1BPSun1bwqmoQwz2bRtsmO4sCPlHas2fwvDviFthd5+Yn7qt2FeBeF&#10;zTlfQgS8kadlD7V8sFNpyAQakmuGitUjWUgsSjkt95vSqkGk3SPLmFhKjbVXd2B5/Oquoo0Hlvcy&#10;SMG6+WM/h9aXut2QrMa+qR20cgwGYfIoPQ+pqkdUugkOC/7xz5aHkAHjqai0jS7rWrs+XGDFFguC&#10;cZB/+tXbW3hzRb6K2snZnkjUyoB/dBwefqK3vGDS6jSZxU+nTTxT3YjEflymN0xgk+tQw6Pc3JxH&#10;GTgdSMCvVNThgjkEEcY8qMAAOOenU1nKgxhQPwr1YYe8U5MOaxxdppF3YqxmdXyMKAelTFvJ6mRG&#10;9vmBrpbmAMwBxms65tNzdK6FCysiL3Mpr0BcbmPvjFRPfzMNiu208EZrQOmLITkYxRHoilg3mEYO&#10;cZocZDRnB2CDzT5afzrudF2fYR5IC+Wf6Vh6np6XlsqIFEq/dJ6V0HhyN4kVLpOGTkjkEik42Vyt&#10;CfxNcW0Hh25a6UmJgCNvd/avnO/uJLi/kmlDbyeh/u4wK9+8U2Wr67bPFpqRRLGuN0soKgH0UDOf&#10;5V5fe+E20iC7ExN1cRxhriUfdiY9Ez3/AAry5VbTcpKx1Rj7qSOHzyBW94WtG1DW4FbBhtQ0pB9a&#10;zRYXaTIv2dtzMEAI6MegrvNG8JaloyW1wyos7uPM5ztB7YrR1oRtdmctB+p6ahdmBABjJYEV583y&#10;zMvYV6xq1kb2GZy7IoBztPTHUCvL7uzljnQLBKon+aIP94r61s9roRCpyeKuxWsvmBCOTitvTtDS&#10;3hLTfNI45x0X6VNa2vl3rRyqCwXKkjrSs7kl2xtykaR+ldAsaTW4QD6VlxcEdv6VL9rkikKllB+n&#10;WuqOiM2akWPI8ucHK8CmfMib92NvQ/3qovezYyyqwPfFPFyJU56jtV3QhY7wrc7nGexxxWojCVNy&#10;jGK56UFiePwFaejpdZIkjl8sj5WI4p2A3tPnP+rJ5FbEFwYyOuPSsFEKOOCCD1qzJdtnC9aokguo&#10;7YzMWfz3mCvsPPXI/DIqeCCzsYGljiC7M5Xb0wP1qhaSxrCtzcwEySMIJCvG0rnn9B+da8Ulvcn9&#10;4xMZAOR1GRXx8onQjJstauL2wlfHlSi5aNBH1AUZ/Gp9Ogn+xJcSRYYQ4MYPqTz+INUmI0OGWMOk&#10;iyzzTRyf3Bn/AAq4uovDYJEX/eyMQzKc4wMjHv7UmmnoCa6jbu9ggiiMbqs8EYK2ueRngH69PzqW&#10;51ZbkfZDgMYklx6Z4NcnYmTU/E91qBeMylFcKv8AAB2/Cr87n/hKERUPkLD+7Y9CP/11th4pV469&#10;SXK6NWSZLeEuecevesLE2o3HmyMdnYdqs6g5lkWEcKv3sVZtUjijCpgnvX1a1OYcmUUDjA4GKHII&#10;+tJK2emBUW/nFWBFLbI3PQ1TdGj3g1da7gRiGbmqd3dx+S5BJzUsZ5j4ofdrsnPRVH6V3Xw6GPDk&#10;+0ZBuWP6VxOt2U1xqMs6D5d4TOec+ldj8PZTFo2wgFTOw+vSuKnJe0Zs9ju4Mhhx2q/pzfu2HvVT&#10;IWQYXbx0qxYHDMO2a6G01dGZB4zFuPB4umVftVvIywsR/eHIPsa81QtEnmBcxRKgfnHLV6T4tTzv&#10;CN1jBWG5hkI9Rkqf515ZqM0SX82WPlhy2A2AASdoryMTD96y+hvnWBa2NuECpJCvlR47DOaydY1m&#10;S9fnAcHt0OBWXN5jzMw+4FJ256VBO7PCsqA5wKwjBJ3GatgxfcHZgqoGA9zXT+B3Mb6jdSkLHtCo&#10;Ccc5rltNnSOzyZB5i5XaR/D/AFqf+1ZNPu4xFhrd05UdeB1+tb4dqNZNiex6P/aiHLsxOMYEfNNl&#10;v8KT5Mhx3yK86fxlqaSSRW1rbQImCCylmOe5pIvG+oRn/TLWGWL+IxAqw9+9e19YpbNkqnK1zrWu&#10;1uLOYZywY5PX9axpcJNLIf4Biopdb+z2kKNCot5Gysi/xEnPPoaZdTCSIlDkSOSPes7p6odrFe35&#10;kaQjrV2DLSFjUUMfAUdTUskgiwo69hTQi/oWorpmsI0sipBMNjknAHoa6PUtbka3aK1CndwZOoxX&#10;ORaZF5SyXXLHkJ6VJLKqKxKue3FVClrzMlshMAzukfc31qKZljHLAduTSSXEbcR7sj14rOuZGGSS&#10;rH3FbNkkN3dW6ZBkBPoDWXNO8mBGFb6ZrU07S7vXdRhsrWFGllbC5AH1P4Vp65oMWg3V7YNJ500W&#10;0NIBjqueB6c1w4ityLU0S0MzQ9FtZLqGS8RJPNONjHge/ua63VvDWlz2KGF47e6VvKDRrlHI6Ajs&#10;SD1rmraRI5pISOSiOCxAK98/QYrXbUk+xyhpwpDLMHx3HIwPevHqTnzcyZV9Dk3S502Yo3ykduoI&#10;9qtw3cN2ux/kf3rTtvKu2vmuo42WWNnX0HPY/wCe9c7PaTKjTrG3lBvvZ5Hpmu2hir6MVrmpveD7&#10;3zJ60yWGOcF4yCR3B5FZ8F/JGAsmHSpw4ZvMt3wT1U13KaaFYtWtxnMM5PmdiehqVwvdAR6jvVLz&#10;4LgbZgY5R0arURziOZ/mH8Sj7w9aq6aENWIBiYHK+qH/AAqRZin34yD6x9PyqOSEocAgD3PWk3Mv&#10;U8fXP60tgJ2kDHhifqMVyvia+8ydLKM/KnzufU1uXN2ltA00p4H3cfxH0riJJHmuJJX++7Ems5z6&#10;FqIdFCDuc10miahJD/oyqpLH5S38P+Nc6gJfPpXS+F9Lk1K582IEmGQbwOTg9P5VipqDu2W1dHVp&#10;BGQHZsv3Oa7vwvPHcaUIYmEU0EjEsR6jCn8OfzribeJigIB4JByvOemBWz4fltxqwgnu1t2nHlqG&#10;OQ5PQHHPXFdGJgqlFxuYq6Z3Gj6rCLmaxkAWQZYNu4bLY/nV6OWC8U+Uoxlk4HQg8ivLtPubuG+U&#10;OjCRZfKYA5ztcluPwFdZb6o/9oLBaSYiiZ5p2QZ3E8hAf1NfPOJpzWNxniaKSVI1Zoz5bMwx0rn2&#10;L2V3PPdWaSW8UQZfQ5I5/I1UOpvPb3SAkpPJKBk427jwatahrUNpAkV8xCBVCELnnGKhq2xfNcW9&#10;lW2jm/sxVhkKo5I/iAOSPyrm7fxOsetSsMpCxdEU+jNuxmmPeR/2w8aT+cj/ACAluMcZx+Oaqz6J&#10;dTapIqqFjxuAY4PBB61rCK+0S3c9Hup/tEryt99hyT34rMif5zzgVJdmWPAJ/wA4qvAyFyM84zX0&#10;8UrIyY5vmlGKglXL4q58oTIHPqKrsMZNaJCZEIt0Z9aSIAPyMip1X5c1E42t9aGguK4X0xWvpcvl&#10;2yrngk4rGNTWt0Y3MZ5Gcj61EkUjctLg+fwSD3ANcrq+q2Cazd200Eex59xdhyrgcEe/vW9BJumJ&#10;Xoc1xHifw3qmoa9fTwL5cLSER+5wMmvMx0IuKbdjSEpLYkSa1MCWqIGlZhlyASd5yT9cCtxddt4l&#10;uSziZYZAIXUZAU4AzXKWOiX9mtul1Gy3A/eZY5xgHrVyLQL5dPNyeku2byweGA5/rXkyjHuN3e51&#10;C6fdTXVxLMI2t5gCqKOAR1/PinXmi2IeG6ngUzRJtXjse1UbfU9SazkeGMhYoVIU8/MDzmtGXUbi&#10;S+sXks1bzRnaP4Tjjj2rvwldJckx3OSurVYJG2cAH7vcD0qoYkd1ZeSv5itzW5IXvHlvJAsityq8&#10;KD7+prBv54bdfMA57DoTXoONlckaXIYkHvimvPGVw7KPwrJa4lkY42qD6U3GxWYkk4796n2q6Byn&#10;R6Zpk2p2xurK5Ty8lSpzwR1rTTw3dH79xGD7IazvAF6EM1ozcyZkAHqOv6Gu1ZsHJbH0rqp8so3s&#10;Zu6ZQstJhtEAyryd3I5q/uSM4JqlMEVsrIVPXJp0UpcYc5PY1d+gi63lSJlucfnWekCvKzLK+Oy7&#10;eRT3YxnOfl7/AEpo1Rbdtkgx6EdxQ/MDJ8TXtvorSrM+BNGkgX+IsCc4rn5NYeSy80b45YpYWx0D&#10;qeMVk3+pt4j8RhZSZLaDdsOOcAdPpkCi8s3KPMXbpvRem0DgV8pGCjuaN32NcX6S+XBJL5byRsi7&#10;gSWOe3pmrelTJcwTKEKM0xYRluSQMdfWqul6crzw3Dhnfcixlu3GSa0YY7K0VJYz++QmQN2JNRzL&#10;bqCXcxNZtLrT9VkvrJ/LcJkLjGSOSPpirdlqr3qvOFA3FVZM8xkEEfng1Pq93FeSR3UnzJtKlRxw&#10;cjNcxZ6udOnSVIlAaflcfeQjkf1rajHmab3RLOydgZ2A5wetWY2zz07AelZaSqzbs96vl1ihMhOF&#10;Hc96+niZMkdz1J5qnPOecHioTeea2c8dqrMXllKqO2eKcpWQIjkfLdTUEzqF7n2rU1OGFVhMJ3b4&#10;sn696xr+NoFCsOXUMOex6VzxqRmrovlaZWvbYDRLi5VOEmyTjI6cVreAbMSeH3Xbulgl3sD1A7/r&#10;WO9y8umXSIWEbKu4Z43A9D+VXvCd9JpSPKmXyisVPQ5JzmvMg2nJmz2O9s0eW2WRgdwG0mrFuxWQ&#10;r71UuNZhSK5EChQsKSKnY5xn8hUqTIslyd3ES7z7Dn+lPDYq0PeJa1NCe1/tHRtXsMZMtm+303D5&#10;h+orwzVBcTXES4zhsnPpxivdtCuUk1JCGDRupG49CCP/AK9edat4cmtNVlkMZ2BwqLnqQSP5UYic&#10;eZMaiyhJpaQ6HLcABpXcK4Ycqo7j61jxRE2ZkZQqq/Q9fbFd19iF2kDnBjkVYd2ONyCqqaVpq+XY&#10;O+67IeZGU5AX+En8K4fa7jscZFH5axws/wA8nzuM8gntVWaRzeIQqt5Z6H+Va76bFFcNcb2OJN+O&#10;3I4zVAq9xPJDCi7wdztkAD8a6YWdmK2o6/8ALBLLtBY8he1Z7MF3bhgd6jkvIpG8kMeW4bHpUzGI&#10;wSNIH46KjYz7Guhmq0VjqGt7fVdAt7qUEMmEcKcBivQ4oKAOqgDaAMY7VT0KGWXQ2czvHElwf3CD&#10;g+5J5rRVvNuSzN8o7D+VdtNXRzyZZhgZlyi5/Sp7SxSO486c7nA+VR0FXFZY4ggYIgGWPcmq8mpQ&#10;rkBJHPYKnNdcaajuZtk80o3Z5PXmqclwAfuscYqF9Uib5fIkQnoXXAqCW8kUgNGDnoy9KpyQhZbu&#10;MDBU+ufWs9mNzIqRISepOelSvLJO/liBOeMhuBWvaafEIPLRsHuQetc86nSJcUbngRo9P1aGQhSZ&#10;G2O2OcVR+I2bfxxdpISY7iCORQP7wGKXSopLclxyRIMHPoat/EQxanq1lLEP3n2RWcngkbiOPoa8&#10;/E6xuaWODuW83zGTajRbd2Tg4x2qTU51jkgXYGDKp65Bqhsa3uLyFwWABOT2OetNlvPtF5Ex2/JE&#10;F3dhXIokvQ3Gt9xVC4jint8AY4Az0/SsLxPqc1sv9nxko+0LMw/iUcr9Dit2RGm0608tsSxrIX2+&#10;mBgfia4/WYy2oOwUhOF9OQORjtU0VeWoLUq22plABON3+2Ov4+tacc2cPE4we61zzJz+opYTMsgW&#10;JsFuOtd12XY6czFsJMnPY9DUiTyRD93JuA6Ke30qvYPLcQh51Ba3AlYsMF4s4b8VPX2qrfzPa3Uq&#10;BOEfB54pxrWdhOJuLfLNFzw46rWfeaglszBvmcDO1TVOWK5aMsFIZU8zYDgug6n3xWpNoKzWlvc2&#10;0e6OTYxIHYnn9MUTxOiQ4wOWvLye8lVpMog5VR/OoiSc+p4rpdf0T7BplpcbNokGQfqelYUFs8wZ&#10;1GQDtz71Eaimua5TVtDR0DT/ALfqCQndgAkhR1xzW94UvZtB1SO4QlTcStEo9cdM1N8OrMNPfzvw&#10;sUYOSehII6/nVHU7MxeJbbTU3eXATsyeTk5GT6kkVzzqKc3AtKyud/rmjTy2bzWkjN50pkCoxyoI&#10;6EfXNczd6NcWt4VhDCeJBMhUZzjGf8fwr0bTY50sJ3ib96ELRyHBBweR9KbqAgtpJL3zFEjRoQAe&#10;VXpux6dq4Y4mafL0LsihqFuRaxapCh8+RSZGA2j5hkn6UzSvMsVW2jC/vcyznqQO2Pck/kKn1WZj&#10;aWMBkYhpfIkQH7+f/wBdX/7Olk1KBgpidVIz/eCjCg/nQp9WYuN3oc5Z+dZ6m+nORtkn2s7cf7oF&#10;Lr2jXWoXksaTfcX5c8hiOeKvXMDStpLzAtObrbIO+VUjJPX0rpYo4buOO3KKs7QlomPHIAz/ADpc&#10;9tUJI840nw7c+dbSXDNh2yhPy9exrrW0+6zFJGpkKyGIq3OVzzWpd3DJpk8IgKtbKdj47qAQaSa/&#10;itdPDSOUkng85/8AZ+Xkim6kpNDtYqXxkubnbHwi0+0s9hLMctj8hVW0upZ40ljOxGUYDrzjtUrX&#10;zRbue1fVU2nFMwZYn+TCKMAVWbJPFZN1qE0jkLKUJ9KW2imncNJM2M+vWtExWNhuEUVC/NOlcKMM&#10;wAA71SuL2K3A3SAZOBTlJRV2JK5Osis20EEjtSldrBuxrnNPu2F3cSM/ys+0HPWulhu42tP3uEjj&#10;XzS/c84x/n1rgq4pKKk+5rGJdsizZJGPSoNc1KSzuWQSKxcZjC9UGB1/Grun7Z5lCZCEAjPasnW7&#10;SN52dV3SxyMvTOc1w4+XNTi+5STLT6pbX88UUj7LvaYzxx0HNItxLFp4ORIkLybgO6joPzrL1eMW&#10;U1pIF+cqzEgc4wBUVrdS2101iH/cLFh2bktkZP8AOvMjHmskXtqaWlhWu5pgcfaEQKvOMtkmtaKG&#10;3in8/wAwGVNwxn7oP+TXJwajJDqsUEMoZV5DY78YBp+o3NwYTeeYoMjgSKp9P85q3GUJpoTehbur&#10;RZpJjKqyoW6EZB7/AI1wGvJONaZG+5jdH6bR2r0fS7tb3S3VU2yxbUYjksMVhXawbzHK8eRn5W6/&#10;/Wr3otVKaZKZxMU4ccHHtUhJdGBbAIrd/wCEas7iF3i3QlWz+7OQeKzRozxyYklYx5xwMEisnTkm&#10;VzJkOgXUtprludreXvIZh6EV3cuoxPzHcD6ZrlmiIuYPIgdMAqznkdMD+dEiMOoA9hW8JOKsQ1dn&#10;Tw38cjnzMMB3xmpZNSgjxsDn6DFcnapcFiUJA9+hrQW7aAASwxSjucYNWqjJsa7a8FGDbsw9NwqB&#10;tWt522yW7KvYGo4ru0lxthwT2I6VahWORwCgA9hTvJiOC0iCC31aVZm8tbmMxhiP4iCevbpVq1mW&#10;6SUlNzSwMUH93Bwo/SsZbo3KPBc71/ehhjgFRkCpNMnez2E8HzVQlumM5NeC4dWUmdHZa2LDTNLu&#10;rsFjcEyfJwVIyo/Cor+fOkQ4ESlcnC8cn2rBv0FteLbRSiaKN2x6KDzgfSpLmeXYQ2Sq4XHsBUKk&#10;ua4NlnTbkzWLGZztC4Gayrx9nl5OQnQ4znjrTGn8uyeNM4KkAH61AsPmG2gQlsJgk/3jW6VndE9D&#10;rrbVbcmwLjZ5qE9P7vXNF5qzXz7Y/wDVr0+lYlxDjyC/PlwlUBPem6XqXylXAXLbenTP9K9SnWur&#10;C5TptPtTLfQRYzvIOc9s4rZMMFk6XJjJUzFceoXOar6JqNpbGBbgnzEU7jgMVCn27/8A1q1LiW2v&#10;LK2Cs2S5kTjkkgk5/A15dfGT52lsbRiluQ31vFJbxSQLuiC/L2I3ZPNUdVt1YWG+NSWtkByOhH9a&#10;k1PUJINKvobU7JYljYNt6bTjj9Kgs786gIJXxI0d1mRc/MQQOn41NCtKLTeyCVmV7vTrebT7mwiB&#10;WaR2I4wMjkD8aLPT1tYoWU7fNAC4PQDOf503R5ri61Azl2PlXGH3n/VgnvVDXbt01W8U/djcqMnI&#10;UY7f571jGUm2im7G5aQrMBjCSzxzRMAM7Tn1/Dt6067vhZXN2HY+XPa7PmPVscH9ayrHVVW+spld&#10;VJYGRARwcY6enT86l8RtBPc26IHBVudx9uQfxpJWdiTrdMlmtbazkgVT5iqCT6Ac/wBKn1i8D3ey&#10;XBLRiQ+oGQDWDpmolYJ0WVBMP9XGPTHUVii/mufFrzSTAJgIoY8YA6UpXqb9BqVjTuLxtLs4YQ77&#10;o7syyjoCrdRmm+FhDJDe3bx5klJ8v1VB0XPvWLrF9HdCVQSGdjvY8jgf1qLSNYksiZsbiyD5B0ZR&#10;1/lT9neAr6mpeQK9xesDgOSETHGQeB+FctqNm0cm/wCUqyK3y/1rtvJgvBbXEMiqtwxljUkEkFSD&#10;09DXK6oM6qsSE42BSP5Ctqbswb1MCS3lVVfy8DJI46VLbWwldInkK+acMxX7hx0reltEjjvJm5aN&#10;VAJ57ZIpNOsBLpF3KQ3mqVaP6dDW3tE9UU2bFlplxa6FJbsiearHJQ8N71b03SEXZLO3yryF/vGs&#10;aC6uXto4p5cKgwEHc+/rVeTWdXgmG28Lr/cZBt/+tXpU60IpNmUotnVXccbZZVVWB7Vlm9QcPlGH&#10;BB6VUi1oXUBaRPLf7pA6Z9RVe4mjlwQ+4HqDXU68HHmTMuVovzOQh4Ug9AeRVewtL3UZjFaQAgH5&#10;yAdoHrUui6FLqYlMkskcaZ+UZz0J5rr/AA5eQ6dpVkkwBaRvLXAwc56n8K83EY+KVomqp9zHTww9&#10;rpvnGPqdxb0xRaacVZV2uwb7xB/ziuyhlt9Qt7m3UMpDlV3EfN64+lV7C2VpVdME7sOp74rlpYtO&#10;LbNOXsQ6Zp9jbWwWSU5aTarOMfN2qTxNoym70u5DeZOilCB/Eh7fUHmm6rcWtvIrNIixRksWZSwX&#10;HTJ/CtC71SHVLL7ZbkSxp8xHTPGRisMRX0aXUFE868R6HsuZrmN0Vmm8qSMds9D+Vcu1qsO3C4co&#10;p9jXcrK93rd3K2CksW8dCGYDB+n/ANaqeq6YkVv5wQhchFY9AP8AJrOFRx0YOHU5vzJDGygssmwF&#10;Npxn5gT/ACqs6JO0y3DMRuLSH+IkDnHvT2iluNWgXJCyT7VI9CKtf2dcy63cQLErMZmUlOQAR/Pm&#10;tXdMztqcpqtitpeyKjt5ROUDddpGRVDYScAZrqPGVpJZ6z5DAFhFHwP92otC0lb+9tYiGHnZ2jHU&#10;9x/P8q61NcikaWZY8I3TyX8UFyUxG+BKy7toIwVYfxBgcfXFXfHWnLa3pv4IlS2uUUoEGFBGAR/O&#10;l0/TP7L8SfYJ0eNmARLhDhkI6fXOOh+tdR4605pfCFxFtMjRXSNGQ+dobg/rXJOovaxae5dnY5G0&#10;mQT6bcR44UoTjpkYya9B8O6dZvpBsVdAbiNpoVUH92T/AA+4zz7V5zpgMWmwkrhuMA/59q9G8H+Z&#10;CrMY4lWKRcbyf4hlgPbJBNZ4l6WQoFLxvozT6LbQrCEeykKyKOS3yjB9O+axvDHhdbiykVoxvETE&#10;DH8fXP5CvRLZEvLjV7VgXj887Np+QEjt9aqaLZxW2nXTRuySr95RwRg5/DPNc1Ou4Q5TTlu7s47w&#10;lYyaXc30EhI5DshXOVxnOO/WoNYiGo6/9ohQfutjSODngH5V/WtjUL6CDVTLExKtCwAHQEjPNVLQ&#10;ebcQROQcjew6Bn6gn8q0Tbbm+pN+h0drqU1jHGFYG2FpKQrKAGK44qDTz/a+sRPcpgyQCMKnQAfN&#10;g1Sn1E3DQM8Sqyo6mNMEDI9D0PHWm6ZdNGhugSGg8wseOcrwKzceoXINa1JLjV4HgLiOJlUcf8tP&#10;8ius0jVRJosDTOzSkMS+c/xcCvNrppEEizDlnSUZ6KTnP6Vo6bqm29XLlbdCJCo9h3rWdK8bIhS1&#10;Ox1C8gn1qynjOxfMcsCcHO3B960J7iTS0S8eUyrHuY4/usMAfhXC3Gqxy+Ig8St5DR7goGST3q7D&#10;rM9zo19PKAYY9sUa9RjkHn1rP2bVh3O2g1u1vZGifasDoVct1yRxXGeNtQgPk28MocCLYdvZQf61&#10;kW95utLmVn2OXR1X+8AKxrqeR5C5ZjJndj/Zz0/M1tSpe9cls7uzlW1t7eCSYNK6g59TjoKjnLSn&#10;bnGTXLrcSRaJYXbYMsVw+fcGtW1v2ubJZyCu4AgGvfwtT3FGRi0XTHFFPDHuXc+cd61URIkyxx6V&#10;z8kgOtWIaQrHhjgD2qze6jiUqG+VWx1reNRa3EW5m+0MS2GUetc7rixII9uSd54z6CtFrsfZXYcE&#10;d6wL+Yy28WSGG87j9awxNaLjyrqVFFq1tnOll0yGX5+nUA8/pWmtwi3mn2uTKszkFCcHaRn+dT6Y&#10;kAtI5M5hEOCg6FhjPTpx/jWVqcQj1mJlP7tMbCRkexNeTUqKScTZKx3dgWjvtrjaR1A7VLeoLuOV&#10;7TIXpvbkYz1+tYl3rAhsZLpF/egFOeCWAwelR+GjcJfyW8k58qWySZlIJBOcHnt2rPF1OaMUug1o&#10;xdQu4v7SmgnAx5sZiUHkB1xj2zjOKzb6fyJLx4YBvjk2b2bJGF5yPwqDxZKIPETL8qhmiOVOcEDA&#10;q9p8K3K6u3mfJuA3DBBbbWCSjaQblHw5m+12ZWTfmM8KMHNWr+0lggkhkWRJJJMozDg5x+WMYqvp&#10;Fuln4kjClv8AUh8qx5OPauk1LUbfWLO+lmZY3soyzqeN3oQa6U41PdM7GHaXFxocGok4NxJEvlZP&#10;8Xf8s1xChyZ2kZpJXyS5OST3rT1XXi7x29ssAG395IgJZieuSen0FZ28GElOD0Nbx5lFRbHZJHRe&#10;Gp2exMGfnJyB6ir9tLFcyPGOSrFTx0NcrYTtE8eG2kjGR2NSR3U0Vw5SQgk5au32vKkmSdSbY4O5&#10;+O9ULh4IrpI35DAnPvWc99N9nO1yc9OarrI004DNkr603Wu7IDo4VinjxFIoHp3qRtN+Xls/WsDc&#10;VPyBt3qtaFtql3AAJU8xPfrWyt1JuTS2rxDehOBWlYuJkBU4YUQTxXkYaPo3BHpVYRtY3a/3GP5V&#10;aS3RJh65oA0+PzuS7ythh6ZGBXPGCRbyMTE5Ygn0X0r1DxOkc7W8aMGCkAgNyCTXJanBvKeTGQVc&#10;guBk7QM8jvXy9Gs2tTecV0OZtZje6ocj5nfG48ZPetzWbIwNfMFJ2hRkcYHrVDS7E2/iKxilAY43&#10;EA+vOTXYz2sF9ZGeTO66yGPoUz19KudTlmn0FHVNHnflhn24yDHkV1Fhoywz2wVDuEeSfc4IrEeN&#10;LeVTk/IoBx3rom1eFrN5QxA3ou0HkEdaurKTVokx0MHxHAqX0EEeTtPzY7Cq8+kiLT7n5Szx7Tu6&#10;def5Vc3fa70XjMMjgD15qe61C2ku7jJJRhgqeMYHA/Oq5pJIomts20DM8oxs8sOD97itg30sd1Zo&#10;ibV8ktn/AGsf5/OuTvpS0sEUbYjQDPue9bmoXAgktyGOFtWUEcADjP8AOonG7V+pJbtXa9a7V0b5&#10;o/LYHt6/0rDskeyvlcHPltuIz2Brf0C4jR5jPl5JeGYH+f4EVhao4k1MW1uc4OWOevrSju49CjoY&#10;ohanV540+S4Kso6jaw4I+hz1rEdWvr+beRncoPHbGM1orr8f2eeyaL/VIqb+zrnPT+tZNtKsOqB3&#10;OF3Zznt1H8qIpq4N6l9tOhtdSjliIIC+a6jselZV7K73jYPBOOtdFFZ+f+/adHEqL8ynhVBJ/rWX&#10;rdtHp6qEO4lyqnPZQMn8zRGd3qIqNeEAhSS0iBVwemKjtTm5jcHa4yf9402ygJljOMhMFj34P/66&#10;s3qpbXNxE6/J1zjkZ6YrXRaBbQhlguI7SUMjCQAhgR6cg/zqnbM0bW5Y5B3dunOK6bwxp6Xjs5dn&#10;RgQ+T04wPyrCu4PszwRADcgIb2PenGV3ygbFuYNOmsbg4xG58xgMkgj5axzcebrUdwFJXzDuA4wP&#10;X61LJcC4sUtwu7Y+dzdceg9qqBliKyLx82MVSitSepv6hcWhst1qHAnfOJOOnBrMe4kjhVEbEROT&#10;VO+uWWCKJQfkz0780yGWZrZgFBOe9VGKjGyKb0JI7pi7Adzx7ioZpMYLHqaZITFmQDjGAaVCJot5&#10;XjPH1rRvQL6FmJkkOFBBzzT5xFbREqSXDH5j39KjiwkfmrnhsMT2/wAitC/0Utdu/AjkTKFztHTr&#10;WLnbRgtTR07ULuPSXngmdZ4p1LxL3UjqfrTtU1BrOBViQbvNJXk/IfX9al0iyZ0eFVRS0YR2znOM&#10;f40anZiLDkZ8mSIkHqB938elcrceYqzJtJvHbVYGdyGCNLnd93ON3FdR4fvHXVri0ZCySRGQ+qMT&#10;/I1waLLZC5lYsZPuIce/P6Gtvw7eudbmuBuEskQVM+o6g+1E4+7L0KjubfiuO2tdFu0x1UIjerZz&#10;WEmryWFgqWqq7yxAMGP+zxXT6tbrfaHcF3RiZVdlfjEZPJ/nXOtpLtqdvEoJ81MIvTnDVlGacVfo&#10;Xy6lrwzZM1tP5i7dk6MrNxuDjJAPpzV/WbGRNLkbZ5kfnRiPI7YI/nWrpNo1vavbTZUoCc8EdfTt&#10;gcZqe5ia70hdyYSB1wd2c7SePzwawlN81yraHlmo262usPASoS3UHK9Aepx+dQx2010qXccpxuXI&#10;Ax/FU+uhnZ7hSQ02VznnGa3dC01i0OnMV+eA/MnQnqMH613SlaNzJR1Oc8VWn2rUNNuTGVLRqrAc&#10;n5WIJ/L+ddLZ+GJLG3024hQAQ3Qbd1JUnOfpgitOfQDcWFpJIrKY2cH19/610E5X7MVICx2+1A5G&#10;TuxnIHaueVd8iijVKxg+L9Fgj1PT9RhXyl3HcwGQD0x+INa9/ZQXdmsAKyRCLnK5z0OfbpTprhZ9&#10;MuDJhgkbTR7xuz347DpVfSNSgYW9ry8sseGI6fdzXK6knbyKODPhi7h8R/ZhGrQSJGYnUHbyx6fQ&#10;da6uwMEN9dWMMrBdu3y5Bwe5IrauYEgvEnYsFizjnjJPX8q468kxcy3MZ4k8wg5/D/P1rp5/aE8v&#10;K7nS2twJLu/uDKhOI1DBduAOPxqKaWWyh1KeHYd7xou7AP8Ank1mRSCPQrdUG5pSC24cnHUZou4W&#10;ttItizxtI9zgRsCfMB5x+FZKOor6GUbcXiu6beSVHHT1+tUGnK6pCyEgLwcenpV+1nQSSREbgxI4&#10;45z09qzI4gb9pCc4BPOeMfSuyF2zJ7F1oOdqs24ZDbvU/wD66qpO1oZraNdoeUDH88imtcLIki7t&#10;pMmcg4/AUl7NHAY3YEPzyfX0q1G+hNylqMz3NyWYksGxx6ZqvLJsllwwJU444qC3uwLiQsDtZSDz&#10;jirc8Imnd1AClcgDpWiVnYQlpeNb3odFA/dsOmcZHNbNzdLD4c8tF2m4OVRT29/fNYAQAbm+8zbP&#10;XirjoHtkcvhAS3I59BRJaoAeZHZFXI8uFUOD1Yk5NRJDmVSwIZwSBnt2qFZNiO7L1PGewpLd2imd&#10;nYkeYAD+taJAal8wXRkgT+BtxH14qwboQ28KE9UzWbJIZg4GDx19aS4uA/klcZVSOa2o1GosGWl1&#10;Mi6jlk6hcKfSntN587OcMJHUYrNnkCh8YIMaYq7pJLG3kYH5ZQSPxqZ1Go7gtzqZtIaHRGmdSMRt&#10;j3YdcVyf2Zp4GVG3MzAjHX6V6LLdLdW7WgYHzYnZB0P0rA0+xW2EzzgArF5ig/eyW5AHcVwU6zaf&#10;NubSiZNrPLawPbqmAB856896kFwZrmCNSSsiKNzEk4HerWtwpHpiXAdBJcN8yq2CoPsOapLdxNq9&#10;rt+ZYoQFVeOR/nNVF31JNW7xOZ0ifMRYttxxkDBJPrntSi7is9W0wl0ELW7xSMRkgdev14rPtpxF&#10;NLGXDKT5idGyG4P41HcDzLWV3KnYxCHHPJpSW1wuY+sXQmu2dADuHGe2TWtBcXmnaPdxn5E3xu+O&#10;uD2z2rJuYUERXYCRgFj6cGrE159p06/jVm+ZUyOx21pKN0kJGlJeiK4WdWAVoTj69e3f3qtqt29z&#10;aC7WUYc7JADy3Hf2rLt5GksIpWHSTyzkdM0yaaQYiYkxkrvCnAIzVKKWqFdmaSZWZ0XOzgkdev8A&#10;KrlvGzSFM8EZqX7JHNqH2aynCxu+Fkl6BfRsVOsItZZA8g/dnZnqD9K3Urq6FJ6CeUphXYRuVxxm&#10;o5kKTM3zYNTWjAByOSG4B71NMizRlh1GDVTndk2KsbjgFcjH60+zHmyOx4Y+lRvGY8O2cZI49jir&#10;mmR8SSBjg8Ae1aUXeSEy6F2wkgEHocVB9qPnCNcOe/HSrJSYaezYAMjEp9PWs9F+yg43Due5Oa29&#10;upaIGrFq0klExeLjHVR3rfiuIr2MRP8AJIB8u7vXN6fMqSOpJDjpmtQzxzXgjfagCbi4POa3pTXL&#10;qQy7NMkIupZEy5mJDemBgVz1xfNGbgrIflUqQPXpWp4h1K2ksUuIOkspbYOoJNYl9CGsp5YVPztk&#10;n+dfOU4pu5rcqPfs/iKyl2omY8qrN04xya6RtZittMVYMYRCu4sCCTkHH51yNvYx3ardXX7xEjOU&#10;DYJAqtJKX0wRBlwrM3HoTW0qabQk7Fm7kE80u3jIBxn0pl3EIdMtdvDyElj61VV2aRCrZBABp1zc&#10;rLcpEOkYAwPrWttSSSF5PtAjB/dr29OKiki2q+e+OKszBYbx0Q8YFQXy4CkZwe9Umrg9CWCMm1WY&#10;5LBwCSe3b+tdJrUMTwRyAbdyIFIOPvAA1zVtOqW7xOBtYgiteWd9QsrePzQChAB7gZ6VjUTumOLR&#10;DPcBRIkLAKuF+oHHPvwKZC3mQNcLsV2YKF6nHrVO+ZLeSe1wRKjY/wB7mtWe1gt7WFYeWKIeoJGe&#10;tU7IDLmmY3cpJ4KjOO9CzmQFT3XGau3mnm1gO8Hzgu5x6c9Ki0+2z5Ybljl2x/dxkCnzRauFncnt&#10;pbp7IQknysHdwScdePyqtqt+7XsUDnPkRAfQnk/0rTZHtTHDGBlot7Hd07k/lXMNN595PKSfmAIJ&#10;pQs3cdjY0ws9+N7Dy2XL56Z7U7XLoTave7WVgSoUgcHiqcEwCbRwWFRlsPJgnsePWny68wr6F1Jp&#10;YbARI7BiQxIOKhSRpYS0nMgzg9zUMtyG8zgqQBj34qC2BCsc4ye1NKwdC7DNjaBkADnim7gzHj7u&#10;ePU1CrlDjJPuaWOSPcJC2cdatoSYl3KCUIHJbaDUsIcoWK884561XyJ8nGMNkfStFI3/ALOMm0sU&#10;wxA6Af0qU7FbozbhikIPIJIGParFiUURRTEorkkSYzs+vqKsQWf2+xO1SWikXf8A7pPWn39ubS22&#10;MMMhZCfy/pVOSvYLaDJY5bOeSzvUCxyqclfuFf76n0rsoYZLvwSssnM1sywu45J54yPyNcrpkq6l&#10;bPpFydzKN1s/Qg/3R9e1dj4MZ00i7sbxXntT+73R/wAQ7Y9x6HmubEO0b9i4EXh5HTWL62Jw7EvE&#10;mB95eCPxreuNLtvOPmAJ9piMe4jOHzuBP61Rv7L+zNWacKyM8jIN3ocVJaakZLKKNgjskmdzqTyD&#10;0rinK75l1NUtB1vpi3mmGSVAWKSGQkfxAcn9KxYngttZZE3Kkknlrg425A5/M12ujXtvJZTW1x5K&#10;q4YoVbgBjjbmub1+2g07W4ynypuVwCMk/KFNOFR3cWNpE0TNMmoxSODklRv9uuPSrdyV/svTbwIS&#10;0MgikUnHIPQn3qEWZla9KPtM8nBPRgV/Q8VreXHPpsaMqJvcOSexx+tQ3poNItWUsaqxmYZlbywg&#10;5IbqBn9KggLuksPzCTy2aRGGFUnpis7TldbCBZFPmNNucA45Bx19qtSuRqN4zJJKqRHBXP7on+dR&#10;bWwM4zWYjJdwRqgA3j5R3zXTaRZmDVIJFB2ovlocdSQKqS2fnXthIy5zJk+22tCW6T7fIIotvkH5&#10;ZA2eSPStak+ZJIEjYikW+MjsxaJZSiAED65A96zNRdYZrrY7LJJb7iHHIZT1HY8CrPhmbzdFUgje&#10;S/OzG7nvVGZ4rkSRNPJvkt2+UjhcHtWC3K6FC3ubhtFYvtAuYXzIB7E8jt9Kg0ieG2voLq43AxxP&#10;K4Xq2AABjtxWxb3NvHo8bNjyi3CmPb0449q5i5/fPfSeWHeOFgEQ4655+lXvdEnT6lrMUkxVWJQ2&#10;3mgD+HuPyzXHTz+XaxxzyYMsm8ZHOz1GKsRTLJNcXG6QhrVYyQOny9x6VkXd4kk9uiHyVjjG7Hzb&#10;G9R7VvSp2InI6qNIrnT4YG3boXBznB56H9Kb4iuYGezWKTdGGZmLg7QcdPzFV9Gk+1OWG5SybXP0&#10;rJ1h2azijz+9WNyCD90EgUKN5C5vdJ7CdvKklZWVYwSQw43HnNUGcRlhvA3tjI7DGelaepTJFpBW&#10;PrJjJbqeMVzD3TswCbt4BJOPwrpir6ohsuWTRmMl1QhFDEMe+e1ZeqSiVol3Fstuzn/PrVqWdYbJ&#10;VQLkfPkLzn0qtBZyXk7yMSSqjBPua2jZbk2IbZA3zHnB5rbswqyzOHBVfkJz171RaxktpHhcFGOc&#10;/jSxXiqGXd8jSMduM8jrTYCTBDdELlsDCgHHfrUySx7HdlzGgx8p/nVdnCz78ZRvlzjpVaSdxHLG&#10;CvGVJAxTSuBY+WWynfByP4s062US6csnVmJIqlZFngEbjqD+OauFzBp8ESnABBpO6GSWznzGALEr&#10;jPPbvUTIPmCZOw9cc4zU+kW4n1kSbQYxGzMCfb/61XZLIKjAMpkZckZ6M3b+VOE0nYditLaL9hE2&#10;4gJt6jrngVZtn8i4jEbA4GCD2rX1a3EGiQxN5eeGypz0AGK5+B4fO8x2ZZOmO1Q3zJhax1+gR/8A&#10;E+tTLKdp37S3QcZ4/Tir1wyedPGWyzjCjgfL1JP41zdtmC5sJAxUCNyTuypJPAA9cU57x7zxFeEE&#10;rGoCgdMD0rjULzNW9CpNbfbL/BAXdGMqB0xUVhGY9Xd5Gx8rDOM/LjpW3ZIiapMrRgsVPzelZ7HZ&#10;q8MWDtZ+cHHFdClpYhi+Ux8vcQ21SEPqB24qM7Y4CGbLMylc8kmr12I/NkMShQsgYKvTB6iqN0Ps&#10;+lvIT0uSAjdwBSvfQTKWoRN1+VWlck4PQ59KoRzRjTrsA/vGbYM87jnt+VSXU5lj+YtvHLHPU9/8&#10;Kybdi97ChwqNMD9MVul7upPU6jw5p0t7oZlAJiFwSSFyQRg/1qjrESx6iYIyG/dFztHRueK6/Rbe&#10;fSdIgiSR1SSRpJIRwHz0J9fpXH68so1OZy+08qzZ4LHsPoKxpVOabRUlZFK3dCsoxtkZ02nso71Z&#10;mm86ZlB+Vf7vOay7SYLbzDL53bc44/Or9vtVmAcfKAv1rr2RmOgbe+EBx3z61r6dCjy7XI8tzhs9&#10;iazba3KyyhgWKj7ucYz3re0yIfYhMwBIJj2E480D+vpWU5lpD7vRiNPaYqzL5bDIXjPXr68VlaSH&#10;uUiiC4BJJI9BXXJPFIkVusjtBcxMPKVuVceoPAyO1Yvhny4Z33NCgjIj/e9JM8lf6VlSruKkNrVG&#10;zd29sbCBhIjRoMSbe1c/c2bteqM/65ti57YrW1K4WSBVj2Ksj5KoPuj0P0q5Z28ZBmuiN1uPNAI5&#10;ZsY/LoamFRwjcHqzkdXt/sUsIBwGHAzz1qgJGSRpNx3HjrxW74szPfwskOzESjp6/wD16oyaef7O&#10;88gswIBA9c4x+tddOr7qdyHHU1tW0gJItugBRJAcA8jvSSWG/SZBgjdIVxW5LAk+q3bxA7RgDPrS&#10;yQhLcFgR85b9K8tVGOxwxtPLH2VBnJK4x6VUbTAts7svztJt+XjIropYClykm3/WOxU+gxmohbtK&#10;LY4xhWkJNb+0EchFbHfJhSNpOfwpYLBkl3Nks2BWrp1oW1C8imztCjg+5rUntIPtcuePJG5segHF&#10;aOrZhY5iUtc61HAABwcgdelNVGj02JZHzkGRvz4qxDbeXq0dwx42OxP4VXuGWUiKMllOEA9K0g9S&#10;WZ/nBskEDngegqSC6eKdHJPysMD15rQm0URKI1+/gDPuazLyIKzMORuKqfUCtLqWwrWNG/uIbzVE&#10;nUncWB2qOT6103hyAXNybm4XEayYGR19jXARM32kBCRjmutg1WOGySCGVlZTls92Nc+IpycOWJUX&#10;ZlnWLw/8JNLFkNGAd4Pr1qLQLaS8llmUAADaD/dyf8Ky5rjzbqa4Em5m+UEjqO9avhe8eK3WMMG3&#10;uxYY68cCplFxp2RSetw1e4WOS72cg/ulPTA7/wAq5ZB+5y/3m2/zrT1RyPkIIPm5ZTWbIT827qWz&#10;+tbU42iJkwbbIFyeMDPpTpnIViCcYwOP85qPP79Tyc84BpszZgD45B49q0SJK7MwPB5Pp2rQgZfL&#10;RiTkrzWdu3SLjpuFaEDqImOchVOPrmmwEyFO71OailxFbgY5PP1p0bKQNxIGearXEwaVU5PYUWuI&#10;mtriRJGIYtkAY9q0LLUZrG6SaMB16NEejr3BqpaqiRgcBsZbPU1AZg0hAyAGHI7UNXGeh6Fpka3M&#10;V5ZZksJlOEbqqt1Q+4PIPoKq+N9Ma2ktmYEeaTuwP4h/9YVY0K+udL+zi1kiRyhcQnlST3A9Ceor&#10;bn87xLos0MjI95CVuVyOT2ZR9DXDJtT5maux5Ja3Ug1LfGPmEmUzXomgatbTp/asguUWSULMkfI8&#10;4dWYDpkdDXnqwC01XdNyqFn4P5V23g+d7NpLdHZFncqT02nPBH8q3rpOAR0Op128jEFk1vPLKsiM&#10;m+ddp3jBU/Tmq8Iki/0uWNkhk5Zgh2qCOfxzmo9cP/FPzh5vuSoYw2MqcdQR+dS6RqLatoIs5Ji8&#10;qAuEHAx1/wAa89L3LmietikEBt5YwsbRLbeYCTtYYbORV7xLcmbTdPvo4zuUKzt19u9ZsV2YJ2BW&#10;BlWF4SsoyZPYHtUvh2RdQik0+dkwwKbZG4z2xntRGNnzBfU3fD175ry2skABVRLg9Qex/HNW4bm3&#10;l1FIEmQx7mEhk6B+4x3x6iubaWXRdRvEBDRxEReZz8gxkirVhLFJqK3cYPkxsdgb+LPWs3F7ofNr&#10;Y1ZR5Nyqbd2HLbCeCM9q1baI+fdS7uJUA9fwrMu5UAjuJI2ZArLgHpnkU3QNbjhaSGU5ySAT1NEd&#10;iZSsyYokNtHIxA8qQtg9SKyb2IQ2rXEavskyFGOTn09629QQToCgO2qN1GXW2tdxKNIcqaiD1KWw&#10;23lm0Z7S3ZpfJihLMGAzlu386bdIkVnG0jH5kLbx/cx60l9E0FsGIZmJxuNZ2qzONESJQQ8qiMqD&#10;zg+laKN3oO9kU59RVzbCMMqKnRj2IrKtrh57HUnWNWCAMwY84zjKiqUkpa5mIz5argBm56YFR6Lf&#10;QRazFAwElu48t+doYHjrXWqel0YBACH/3lzaki30gZrVC5SThi5wwz61my3azGR0VU8tjHtHPQf/&#10;AK6vX1kbW5mZRmKNiFG7PTtWdHYkWUjAnD/vNvUitoJWuQ2dJ4XuWjur6FHYEQb1P1FOeF7jUWRv&#10;vxxqMjqc9aoeDT5mpRsxO2SBlYD1BrtIjp9zdOLdMXIGGJPBPrWVT3ZiXY5bWJNsiQEA4U5z61m2&#10;cBYzFlCs0fGOla+sQFtUY9lABB5yc9qlgs2wrKnB+U/Sri0olWOPuXO2OLkhRyR3rsPC9irTKHTK&#10;sy7s9DjnArnbtPsl842gvvCgN0613GnYtNK84gAiNnP1ApVptRVuoLc5vxNd276pcfZwSFbburnH&#10;je3iR2LLnPI6+9SytJdXBJPMpJYfWjWnV443h7HaM+veto3VkJkhDTRRx4OWB684I5FVbpGDSBcF&#10;vvbWOcfQVatNj2qtnEp4UA9ao3R23coGQSgI/PBrSOjsIs6eQWALHBTHBwOtPuFfzjHtOyKPJbHo&#10;abohWe5EZAxtIyT3ra1G1aFNVVyQGRZIxjseo/SolK0ikro1fA0MM0nm3HIRHjKEfePYZ7DBqrfq&#10;TfOFwMOSQB/Fn+VVfBV62zeJFJmAQxlfvYbB57etbOpwiPVX8tcA7t2D0rnd1UbKT0sQanl9HtyG&#10;XckjblVcYB6ZPeuasxJdXMykZdDkewrp5t86LFnKgY29uKz/AA/aMfEV1HglRb7j9a0jJKLESM5i&#10;vdOkdhGFRlBI6HFPtwYbxJJUO2Yjbx98Cty+tRKlisaqGQbjkZrNvLcrBDIgYbZcKB05NZOaZZpW&#10;0a/2nKwUjKnrWBOry6oWB+5n8PSuxS0ZZlkYfKVxn14qHRtKL22t3EsYaNxHAme7mQcD8KmleUmk&#10;JnIvfiCZjJGJFkXBAPcVo2+h3WtWLXDTx2Fi0vEtwDhm/uovVj9KreINGWx1qJoZHa3lvJrZI8ZY&#10;FGAwPUkGu8jtmtLdb3RvtVzpyLskhQZvLMAcogb7oJ64G4V1wpq+pmcvJ4D06O2Jm1a+twy/6+fS&#10;5EiB9S3b8a5bXfCepeHp7ATGOazmkJiu4DuR89Oex9q7XQ/Htjf6uLJra6055GKR3QunkKvnA8xW&#10;4I9f6VJ4wsb2PQ7tbVUt47e8R9Rsx9wNnKzReivkZHr9DW7imtBEcBha+KIw3eWsSDf/AMtAO3pm&#10;uP1qI6hczWSria1ByE/jJ+9+NbnhCx03WLiH7Vqq2955pVIJItwcY4y2eOpGPau1k8PaFo12pvxD&#10;JPI3lmR7d8kkY4wcVxU6bi+ZstvmR4CkEkh8lVf525U9vfFbFomZNwbq30zivRdc+HOjaaqX91rk&#10;lr5gIQLBlm/DOfaqfgXwbHrN/wDariaJrC2bDxZ+aTjjjsp9a62r6EpEPhm3iu7u4uJI/NwsZbLA&#10;ZHNQ6zLAdYaO1jWNIAAse7CtnkjNegR+FtEvrhjp9vFFBGAN1pej5QM4YrtPPXvWJ4p8G2l3azTe&#10;HY4Znt0LXEjXZLZAzgL0z3zxXOqEnNyuW5e7Yx7LVFuLFwEt43imV2jYfvWb19xTtUgS3hf7FE8c&#10;UuHZmXcxzycH1H9a0fhtY2er6XqF3qFsLi6tDsjfkNgqTjI6nitqzu9LnaONNEvR5SZ273LRk9iP&#10;f1qJUnGSbe4kzhRJLqYYlSqADAP3jjjBrodLkSfSpA5YyrGVIC8t6c1v+HbDR9XuriIaLNaNDlS5&#10;mY855H1rKhtfsuoMgDbCjLgdwD1rOv7sd9GWjHv4FnTfIWJIVI89+OSPp/StbTdJiOhol1tJDmTA&#10;6sRyD+gNVNZjR7S3jszKY4nJJc5xjsK1dMcpbum5SYxxg561lKo/ZqzGlqVJpUEjzxMjFjyBTL64&#10;SSw7bQvBz3rndMuXeCcnG4zEbfQZq1q91ts4SE2IjckDqfSs+WzsYXHW9ubuERRHLRsR+Yqpd20l&#10;rbSbjgIqr9CT0rP0zxGLC/wVBLHaW9zXS3Ua3VpISuWb5yfpWkk4vULnKWSodQvc8s0qqKuTpmyl&#10;kCkNPmPPrzxRpMJMjTMMs8p6jjgdK2IbNGtRGwO5AHXPqKbdncSOOmgkNudq8pGwP4CsXRLR7jVY&#10;95IUvuI+ldpNZrGklqDljuJJ9SKztF0kpeljn90OR61uqlosdg1NTBFNdH77HbGP9o8VymqxrbRK&#10;p5YEIvv6mu71G1ZniZyMRAyke/avPbtxearCVZtgJ5PqD/jVYZtgyONAJ1JyFUYOOeav6ZbyXl1P&#10;ECPkTzOTio54VF0qIpVBySe9JYSldSZZFCi4UpjPIHrXTLVOxJC0zQ3LpzkHkGtnSL5EmeYbVYIc&#10;Z7HvWBqcg/tEeR8uVye/PenRSGNznKik43iBfu2MrSfMH/eZVh3FUpZS0qgj61OHJj3R5JJ5FZck&#10;hefOTknFOKuVcuSSjcpHbikvJCLYBTjioMp5uDkDHGadcsXjZDwBtHStEgIoCQce/NXEcIGUE4NZ&#10;8LZck8YqeI/KzH16UmhMsh22Hk+uapNJmZWB6nFSyuMAYzx1zVSMF7hNmD83NUkJI2nZQu3Jy7AA&#10;4qvbkR3W+Qb40bkA4z9KXyzLKw+6EbGfrTAcSeXnOP5+tZjWh2EWY/s8loXe0fLRyry0LDsfwzxX&#10;R+H3+yTmaYTeTHIXLjhWU9RuPqDn61xXhq9Ek7aW7hEn6FugPf8ASup0y5SLT54o7iGaWLKojZ+Z&#10;ehP5DjvXJVTWhSKviPwwsE0sscbGJ8iM9WKbsq3uOcGtbQoEi0d75ioa1VhJGRyw6hs+xpb2+jks&#10;rW4hlnWSAgeXjIAPJ57eh9RWpHb2b2yRxX6JJdHCwnHIIOfwrGcpOCRV9TnNfvHgiuY7YApLE4IP&#10;KnuWPvz+lL4FuZfsUcKTbxHICIAg3up6nf6Dpg1V1pQ0dt5mR8hD7OjdR/LFYvhS4Z9RuLORBtZS&#10;5A4b5eeD2q4wvSaBPW5sauGtdWzKu1scKec7uef0rR0zyjeRTQkH5QynH3X6YP8AKqXiNftd2siS&#10;MI3VIx5n3t3bnvwK19FChUtpvvCJjhExuHcfXj+VZz0gPdkfivB1CBoWDxXbgtIDwSOCCPqKh0+4&#10;LyrFGxwhP/16rapfRx3BiSR5reznEkfmptfBIzmrmm2N3Hrct4Cj2kzEKyOPkOM4YdqaVoC6nbZh&#10;nspAWG7ZwvrWLodrDczyMDkBzVyWaOLT8uT8wJA9DWV4YkZtSk2EqGYnFYte6J6s7V7RViAAGAOt&#10;ZsG6TUFV0z5bbt31razuAUk++KzbVSuoSwOTgNuz6CudmiZQ1WNpGhXewQks0Z6e1chr0yi72MWC&#10;wsFyPWu31qZbSLzmxtRSc/jXIajpZvEt5EHNzJvO49CBmtqEtbscldGXPbC10yZSi/OmC56+vFZO&#10;maWZnVnGz5FdcLkE5z/Kux8Q2zjS7e2hC5Z1DnGce9LY6XFHqltHkqiQFyw6YIwM/wA66VW0siOU&#10;xryESs2N26bKgEYBx2x2rJMLRSXFsvJXDAdTs9K6a8tWDwYYuUkKlu56c1JHZK1zctJCMkFd2MEc&#10;U4zSRLVjmrWCTTZYZLfcA0Wfzrf8MwyNPcygnGPm96pPC6WiswOI4ADkcjrXQ+F7fGk3EpOM4AJ7&#10;1FaZK1djPks/Nuw5Xjd+Vaa2vl2i4H8VXruy8q1aVB8wxUkMavp6nrkZJrB1bm2x5xrsBPieODBw&#10;zAnFdR4hljtPDbSKSAItv5modV0+CTVorlQxmRB9CKoeIb4X+lXdntPyL8uPWuq/NymTepy8Ixlz&#10;/CBjjrmrE1gbqERhT8jbs+vrVj7KYordTjcUHy++Kt2sLF4hk4XPPqa3cragkY2lW5d/IYAAsTuP&#10;Ydf6VYltI3lmc8eWhAA9frW5a6asEhG3BLDd7AinNZoI7ohMK7nA9OKlVlzF8hw2ksTeZUBmD9Ce&#10;nvXaZN/MwkMYJQuCT8zjHAx+NYGnaaLS9hkkUKplxuPofWu11dNEispvJcpc2eI844l/H8aK0/eS&#10;QRRxXhmQ29rcRllCmQMARgt6gHtXVmc3UvmOcAnbg9TXK2IjbzoArSlWLHHAAI7V0NhKWtIxtGUb&#10;oTk9aVRa3IT1Lktu0NyybeSB26VPoNts1Sdg3zSIQR7UsJknkDOM+9bOlWCJMZmyFaNsH3rllUaT&#10;NdwMY+3rFnO2LNZ9tEJnIJwEJI/CtmNRDdyNKOCoUNUE1mYDcuCASM1ClcHoWLe+j1W9ttMjG2Ut&#10;t/Lqa6O6a2st4RALDS8PtHWa4P3R+GR+JFefeEL9IPGdvcTCQgLIv7tC5yV9BXcTzhbO3jNpeSt/&#10;aIuZVjt3JZQxIPP/AAH8q78LFKN+plds8+8dTNpz6XpTFZby0WS7u5F7SSsGOPoK6/T7qPxGkUtp&#10;PIZzB+9vtpilgTHO8r8r5Gcd+9ZOqeBtR8Q+KL3V7uRdP0x5PMZ5yFk2BQOmeO/WuosmsdJ0WCDT&#10;IZBYK6xwLj95euemO+3OSSe2e1dElK9wPPvHOk2lskeoWVvHblygMRG0qmMR8d3IG4+2KteOruG/&#10;8J6BqImAubiARTR7sM6L0JHsc/nVX4kX8s2s/YgQyWwzI4/jmb72P90YUVxus4Fuisz4ULsBY8D0&#10;qeboDOn8H6bpWr2SxXmptb3DzNDHDbxEuwOMHd0+npXqL69Bo8i6Zd21zO9rEsvn3bJkjJAORnni&#10;vKvh/Fpllff2tqF8kEFo4ZYGGXlZum0e1bXiPWJ9Unm1RUEcb4VUc5+QHjI9+fzrOU3COm7HFanS&#10;+LtG025kTVr/AFS6tjKNkXmoHTpkYA6Cq3gTydOW8u1mifzowoiDEMACfmxg4BrQ8WT2WpeF7SOC&#10;4jl2BSdjZxhRWX4Cvbaxu7iW6uI4Y/L2BnbAJz0oU0qtiraHY2l1cQwOx2MWXjdcO2B7fu+Kpi/+&#10;zWF6tzKiLIhAkkuHdUyCMnMYwOazdV1jTLeHL6lZoJWO0s0+G59jUMPiTRIfDOqQHV7IyyxuERJZ&#10;AWJTAA8w5rojK/UlmX8Po2sPDfitbeeOR4N3lzQsdpKxsQwP1rqLvUb1NL0nVYbXy7i88k3agfOT&#10;t4X9TXK/De702w0DV4ZrmFGkCsI5mALZQ5GD1rB0Txj4gt9avrKe6jPm3DT4eEH5z6Z6dBgVFSaV&#10;MFuezxJ5WrkIuyKWMykD+JyQCT9BiuTu1Rpdyn5g5BK963dHuJIIY5Lq+tPs4iyo3jdnr1/OuYWa&#10;N2Yo2VLEgnvzXBjJqUIteZpHcrfZ1QSMVBGclc8getQ6fLE32i3lkjCoQpVRzg/1q3cFTBMwGfl5&#10;x1rEggki+1SmMuCFZmU84HQ1yQ1RZz2kXEcWrXMbbjuYsD2HNT6rcJJbkeZmOPLMvYGn+F1jkju5&#10;iiuT0PfrVLWHRba5IQL5g9etdW0rHKziJ53MTTbsSM+SPT0r0u11URaHBczNkMg/OvMYFeZnjCqy&#10;tLwTXQRTudDubaSZd0Z+RT2rarFOyJO5EltNbI1qpj8wBwvX61ctpyzBmVcKCoOK5fwpdg6VIsm5&#10;poyQOP0FbDXEsaRnhT0II6muOS95lJi2tibnU7l3XIA3L9RUmnWpgnmVj8xJZs02O8aC7hVSS8if&#10;N/WrtxGVt5ZCMFsDP1pSkx3MrxO8Z0v9wuJJyFJHpXGxaFHIPOQ8KDxjqcnFdD4suvs9nAVPfYvs&#10;a5XTbi7issB9wV8sSM9a68PdU7jE1OM2bwx9ZZOGJ7H0FQGECO1cnMvzB/bmrmpKJtSsxywZsn8q&#10;Wa3wjyqCQhCA4/iPat+fQRz+pweXOsgbg8KKgZ/m255xV3VsTlEBx5S4I9+/NYqSFpyex4FdENYp&#10;kGjBOwZBkg55qCbi9Ixxu7VHEwKnDfMD0qWUhpI3xjcvWqtZjInP+kE87R1qy++RZJByhwBUKxly&#10;EH3iM89609I2zKYpB8gbkY6U5aIpGTCQIXPfPNW4Iglru3feBNXL7TPsmrPZlfkf5oyepFTWtoF0&#10;0E4yQw5qOdWG0YdwwyccYGDn1qK0LRzqRyQd1E+SxA5BIGKntYigy47YBxWjegi5eObbJBBJXcuT&#10;3qrZliHZsnNTXMb3drHOgyo+Q5pkUZSN+Gwgx8vaoW1wLunyQeenm4CmQFWPGCO2e2a6AXCWV/Hd&#10;Wjp5UqfKWTGOxH4etcpZW7XNxGin/WNtIzgGuhtYr8TKtxDkRNiMPjHH8P0rKqkNGvBcqskksiSt&#10;p9wmyRUOOverkkXlR2zW0gfySDBOx+bAP3MetULi1njl8uSPYTmWNVbg9+B+daWiql1dYkb5yPuM&#10;Pl+o965NLFWOg1bTxNDFM0aruIO0c8nrXK6doyQeIonK5idXUlTyDivSEsIm0gAgFlctiuZt7M/8&#10;JPZkrxzmsY1eW6LSMfWLcyXlla7xGjgY3Duhp97qLW02lXO/y2mY79o+7u6V0niAJDqVnI8CvDHu&#10;Rtw65PUelc5rlgJdRjt440hcR5AL8Ar1zVKXNYGrFW+jnmXUtsiz+ftl8xlwcg4IFaHhdJIlv0bI&#10;kdxtOeDgY6VXtpvtVnp6JGRtV4CGPJI561uaZZrbuhwRLOSQf6U5ytGxKQ6+kDWJRycr2pnhRG+0&#10;s4FT6zDhJHXgdKi8LS7XbHrWEn7hH2js42Y3PXA74FTiGP7Q04+8wwazbm4aBd6nmk066+0Ejdli&#10;fWuebsXFh4htRcWZUn5COR+RqK3sUEMO8fd+7ntxzWtqkW6JYyCQQM4qAFjIUGclcgURk7WNLmTe&#10;2P2mJ1BC+aMA9hg9az5wHuGijkxtjCMwHetfWZ0sLaAOD8zhSceoqobFIZ5Sj7t+wgkd60jKyuK+&#10;ov2IfZoHZAWXg1LdWIjsZG/ilQnjtV5ArGSJuDtyKvTwq1sg6ZWo53cGjgLmHGhNcxn7yeWwPJ47&#10;1q+GoEOixqjMUZ85b+lUb0IdOVGBWMOwI6bhW/oiIbCIqAkYGAvpV1p6IygtS7qUOLTCjnjJpgtt&#10;loqDoUAq1cMsgMe4EnGamVNyJtPAxWMb2NL3OF1iIw3ZZW2hYmBBPXmuYjhkktZNjFtzjNdP4v3w&#10;SzB0GGOUcfyrP0OVotNuN9s0qk8MR0Nd0ZWSMmrsyL4FJ4QrL9/gHr0xV6yRllggAyQSD78Ul5Yy&#10;XD28m1VRDlj6Vo6WBJrKIoyFXdW05aFxWpswQ28o2iFVkOAz55b0/KmT6aos5mwPmJCnFbEFqIZz&#10;Iw6GrDWolgQAHl81ye0s7mtji5tI8u0Lyhf3ZDKcd6ovPPDomoNLFHLFK/DFR+4JHBPtXa6xAPIY&#10;gAjOW+leaaoJ7t57m3kHlxOVZOzD3FaUZe0epE9NjM0wtA7lyR5gGNvet2xVnncYK5Uc9yawbRUE&#10;cTnq2CT+NdZZj5FlVcLknNdNR2M0rmzocLGd4m6bsrkdq6O8VLO3+TgE8CsGHUIrUQSAgsDg5rXv&#10;ZftsaYPycHpXDPexSZKYGvIYpWUDkbmNRalDmC4hYgErwwqyYJINNKoScjIFUNS3i2c4OPLzn3xU&#10;J+9Yb2OCs76fRtaguIH/AH0MuQT0I9D7V7JFqt/qNlFcWuo6VDG4+cyKxYH0xuABrw9Yne9DMcjO&#10;f1ramkuIL23uLaQxSouAygc/nXp0qvJoYxPRb17S6uI43N14jvI2BW3hULbI3958fIPxLH2rL1rx&#10;JFo82ya9hvPEExEawwN+7s0PBCZ747nk153ceKvE2qXf2L+1rsW6kh0jYICPTgZqhGrSS+TIMwq5&#10;YyKMuD65710VKnu6FGzq+nK2qhFmkZfNJ3SnLEn1Pes+6tlm1Se1IB2xjr0rqNK02AQAJI8scR+V&#10;5BgtXOxfufEF9OzMNrBS3XiuKnUu7dipLQfZaYlz4bjkyhJu5IgPLG8AKmfm9Pm6V11/4ctmsLyI&#10;3FxNdWdvl1KgIzAj8evrXF+G5riLUGtpZibSO4Z1U9MuME/iAPyr1G8lkj0ua1e5M8UsIjyDgqeC&#10;Pr0p1KkFPlY4rS5k6FYRS+EbExgBbkO7Bhzndz/ntVq98NqP7WG0JGjCSNFXjjH5Vn6bNNp+gRRP&#10;KQIWZowf4cnmrFn4qea5kkdz5m0jI71zc+r00/4A3KxzvjC0AvtLtY2yRCshyOgIzWBpekWt+8l/&#10;fyz/AGWOZbdEtlBcuRncSeAAMcd67C5uzcTtqkdxi7iBXJ5I7dPpWLoK3WmtcTwXDwmV2LAEbWC9&#10;MgiuqlKMUT8RVTT4LzxLfW5mkW3tozK7hP3hVMYCqe5JH61p3NhFNqWjX1i77rwmMCbAcYOMtjr9&#10;RXI3Nzfw6qNRtrmUXQJLSg/Nz/MfWt7T72+1G/hury5d7mLYY5DgbcHPAHFaPl5FcOp6JaWun3Vm&#10;As8rIbkxD92PvjqcZ6frWRfz/Yi6kj5Ttz9Kz9OvbixuViNzuiaRpkOQcOepNUfEd4ZIid5LE8+5&#10;rgnCLlZIfNY6WyuEmQMrjOKh1eWO20t2UEDIGBxuB65NcppGpSRMEZsZ4z6VtaveKmlCE7mY4OD0&#10;PvUqHLKwcxgeEbiM2l3GCVIY5NZGrz77mZEPAjzjNV9GuZLKeQE5HmEkDvTYY/Pu5rqViRJnC+ld&#10;yilNsxMC2jZbeZ2yBuO0g962LIhrCTIVt69O+RWn4kt7Kz06MWkJRmALE9CaztMiL6JPdMQGSTgA&#10;dqpvm1Edj4Xsnl0cMu3ljnnkVJqW+3miiDAszAcnn3NYfh+9mhuI4Q3yucmtC4nWbWpHmBKpEcAe&#10;pFctrybGiwspldnBB2HC+1bD3W3TnlkbcFGcVyGizNLJKFJCqxxnr1rd1BwmmgAHbuAIqZLWwzB8&#10;TZuJbGA4ChdzZ7k1naQ2JZ7UIdhcrg9iBwau6qokvoGJO0kDHoK59Ll4rhwhI+ckknk810wXu2BH&#10;UppRvb6CSGMs6RkgD1xSrayxaTPFIn7wDzWBHRs8fjUnhzXZmv7YsgGFKjb/ADroLaBbq+kVujjc&#10;ahtqWpcVdnk96jrGsXdmO8nu1ZN7am1ZSBx1rq/GEItNdSFQNiSj/wAerO1+13QRuCBgZI9a76c9&#10;F5isYNkC98mejdqu3ShHKoM7Tj6Vc8O2C3s82SBtbPT2pNVt/KeRuNu/GBV8y57CatqTaHDHqIbp&#10;58B4H95e9WvKXSNa8wj9xOMH0rnNKvJLPUI5YyclipHqK7HV4VudGlmPDRYIqZu0vUa2NbVbMXK6&#10;dfELuhJicn+6ehqLSNNhudHnGNzQ3J59ia0PD0b6l4WhknYEOQMY6YqXwpAsfiDUdNPKSEHPpxXD&#10;Kpa67GljjLrQmRywj4Qt0HX0p2o6TI2hxTQLhxy3516RqempGk+COP8ACs+2sUlmNq2PLMXTHrWk&#10;a90NxRw+l6c0unujZYv0A7GqVzaPCJowMsByR64rr9HtfL1aWxDfIH61NrOipHdTTIVHyk49wKtV&#10;PeJaOD0Yb1IHDpyD7118Fv8A8TOKUq32O+UOgBPySDr/APqrl/DcDG+feQQTkgd69K0GBZYryxfl&#10;bZvPjPpuGCKMRLlBK5BqNtIZEUJtlg24wOo74/Crem2EiXULIgYHOGI64Oc1r6pDsWyu1wCWWNx/&#10;eB4rTtokiOwDPluQP5Vwup2NLF4RMLddn8TZwKyo7YtrULhcGPqce5rehk+QR4GMUy2t8XkrE5BN&#10;cPNu0C3M/WLCO5TbswS3Pv3rCmsLa5JvYwdpZ1KvyQ3SuyvYQ9pI2eQpP6VhaZbK9mF6bjvP171r&#10;SqOwM5nTbAWq2MLYI81znHf1ro5LUW1zHN/DGCfzqyunq/zZX9yxK8VY1G336W53YbaOa0nVu7Ca&#10;0Klxaw39u3AHGeKx9Ps/sEzj0rKtdUni1B4wTtXjrWzp9wbqVywFQ272MQvb5pgyspAHHNaPhqz8&#10;uFpzySaztRhAYAcZra0BytgUHQGorfCVHc19Ql2wI28KM4JNc3Lqdwdc+zx7VVAuSD1zW5fR/adL&#10;cNjGRWRJaIuoQT8ZG1SMdcVNPVXLkO12CW5a3iJG1ZFbPqaS8i8yS227t/mbyfYVqTRCW4Td/ezR&#10;dqLeJZcZwaq5RTWRYrpd3ILYz9a1JyVmVDypGABVG7tstAVICsQxz1q7KhkuIiDg5qG9bCOV1u18&#10;uH5FACgnFN8O3DSxoASF28g+tSeILhoY3iIz8xGazPDkpxMwztXoK2krwMupu6jcrDKMNg1p6bcG&#10;WIc1w97dPPKWPZsV0ug3JEK5Gc1k3ZAnqYvjKKZr2LvEcmpdHgZtGkQXIRSd2zHJPpVjxLb77iIl&#10;jypNTaTBCtjbZUlzJjNaqeiKS1KGpWnlwLAq4cpk59aNLtha67DgYzFyTW/f2gkuZWbGUQ7fasKM&#10;5e2l/iDbM01VcomtrHVzkDaCpOfSphMqKjdumPSoYlzhs8ii6XIjA45rLm0DpczNeuoobKZg+Syk&#10;YHqa870+NIzLp23M0pLPn3rv9WtlEIZuQpzj1rhLIhPFiysMtKxU/SuvD6QZL3KtnYmBmhbCiN8c&#10;jrXWabbNJDIuBxnHFGt2KW8k0q4ydrVfseLQP3ODU1KrkrjSscprTtDcKqt6ZFddosrSWUbNySK5&#10;bxPEv2mOYZy3UV0HhTc9soJz9aqprFGC+I69nxaj2FZ91DE8SkMCCDuGelW7htkbY7CubsJXlv54&#10;mY7T2rlir6Gkjj7uJbW+dQfl3cVthra40xnA+dFIrG1yFodVMe/ILZrobazhXRzwcsME+td19jOx&#10;yHhKFZ5725kODtPJ9Kk0e2TyTJtZpJ5Cw9VGasafB9nN5HGQFkbyx7AVvaHZI2pRoekMWcDvRVqW&#10;bKRqLHttkAPQ8kd65DUMW8s+0rvnbOD9a7m4eOCGJShO7PT61yOuWcb6hG5AwMtiuejKz1NJLQoF&#10;JLPypVTMk0yduuD/AIV6BGVmtPMVQpfqvUisbUbaMW9szKCqIJBjrWpa3bwIkSqpQjCkjnHvTqtS&#10;sxR0MHxRcJDp/lchwMD3rE0KVp4XcqcjjNa/jiNDFFKMgn5cVkeGw5tplVsYBOa1ir0zF6sv2EEl&#10;zdyMrAJg7hmjVs2kpijTMTLxzx9KZo8riSbBGCcH86s6su+2Lcb7Y7s/3h6UN6pGkNjBuYfs+s25&#10;ba0DqIztHHPX9a37XTvLmiG0Zj+U+/pWbNCt5prt91lAdfbvXT2Kmb7PMx5eIZpVJtIaMWBQZ7i1&#10;NirSg7t+7BA9AKydZJVNzNgE8KeorU1UGDWIpEYrJ5uCR3FZeuKcMS2STnmqhZ2ZnIo2d0kcmWHX&#10;iuhu5ft9pDGGBIHT6VxiZ8zGe9ddotsfsbysQST3qnFXuCP/2VBLAwQUAAAACACHTuJA2p+sZBHh&#10;AQD94AEAFQAAAGRycy9tZWRpYS9pbWFnZTIuanBlZwAAgP9//9j/4AAQSkZJRgABAQEA3ADcAAD/&#10;2wBDAAIBAQEBAQIBAQECAgICAgQDAgICAgUEBAMEBgUGBgYFBgYGBwkIBgcJBwYGCAsICQoKCgoK&#10;BggLDAsKDAkKCgr/2wBDAQICAgICAgUDAwUKBwYHCgoKCgoKCgoKCgoKCgoKCgoKCgoKCgoKCgoK&#10;CgoKCgoKCgoKCgoKCgoKCgoKCgoKCgr/wAARCAGsAj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a8VeGpdRsZM646+XdAQySzLmRtrKx+X5&#10;s5Pbv7ZqCx03TtK8HXS22otJcbSJjIqvu9ASM5BAb26YGRXz74i/b78MeJrQwn4IXELF8bl8UKw9&#10;1INrgjqR6H6Uy7/b5sLPw5daXYfB8LLIuFmk8SbwufVPI+b8x9eK/G44HFPTl/L/ADPYljKF/i/M&#10;9h0a00ZJ1HjWPaGhPktJjaNzZ5ZgBn/aJ49q9E8P2Pha407T5NN1KREa4RWabA34XOwgnG3jqeOn&#10;XHHxp4Z/bFvLaOZfEHg9tSyqiEHVY4/KbOef3B3D0B6etdLqH7dPhaSxht7v4OXbCOZZMQ+MCvzg&#10;/e4tv8c8+tXHLMbLaP4r/Mn6/husvzPqi30jQrC1RpvElv5k/nlpDMoKLubb8hxxknjOCOxpTDoF&#10;rFDdt4lkmuo7dtzSOd3PI6ZGePujOMnPBzXyHdftseALuQTzfBC+ZvL2ybvGjDAJzji14Bqrc/tv&#10;eC7N/tNl8Br5WXPlJD44faofPQG26AZ9vXnmt4ZPmH8n4r/MzlmWF25vwZ9bRxzpdrcad4nunbyi&#10;iut0Y2kXAHJzzxyw5PAwRWXqH/CWX1za2ui6/cWkkskcLRxyKqmM/LvBB5XJOB2z69fkLxF+39fR&#10;hodE+Ff2aM2arum155JVbADNu2DPy8cAAcnk4xiL+3Zrvjy4c6Z4fubF2uA7SQa4zLhMYUZjyDkf&#10;eJ/AYrb+y8atHH8UEcZh5ap/gfbGt6B4hutSm1D/AITC7klWTzJFurzDPtGXUgnZtO0gEE4BHA7Z&#10;q6BZ2cmNU8YTRrNaO7vHMhjKq2RGNhIBIJyTznHOeK+Trb9p/XvLY6npMtws1wJdzauyk44xkoTg&#10;46cc9SRV22/aS0xdS+3jwNJI3l7W8zX3Kt8wPQRgjpg89zzya0WU45fZ/IPrtDv+B9BatrV1o6Rt&#10;4evb7UFkWQzw+csKiTYAnfnPHJzjn6V5T478F+IPE9h5N94W0GyVrHfd3kkUKl3V8by6gMN3XOD3&#10;zjOByMf7Q9zdahJd3mhS/Z2wVs7fUPL2vzkqfLPtj/69O0/446jcw/aZ9E+1RldjLcXm5iDz97Zx&#10;z7Yx2zW0Mrxi6fiv8yfrNJ9fwMnX/DunaM/2G3vFkkSaNXty3mDBUkAbBt45z8xHK+uKdomn6n4l&#10;tZtCl8Z2dukcqv5N4rCGQ4wDgo2D15ICgdSOTXaad8Z/gnp9hNHN+zaks9xYJDNcN4qby9y9ZEXy&#10;MqS2D97PXn14XxP4w8L21zDL4V8JSQxyfNMt9qguNzbQMArEmAMdOc5Naf2djP5fyK+sUu/4G9bf&#10;Bjxtptr9osLa6ks1Z2+1abMrqrdjIYyccnau8rnOR8pBMd58Kb2aS6u9W1TyZG3SrDcLI7P84DJv&#10;AKtjqckEgZANY/hz43a34RgMWhi4tct5jLDeFV3euAvTODjuB716Ro37ffi9Y2g8U+C9L1ONmby/&#10;NXy9qbdu0ZDf5JoeBxe3L+KD6xS7nI6ZZW/hmGT+2vC8jRzQiOSZW2occh8qc7drDjgHPfFegeFP&#10;Gvh++tU8RW3h4RtarNdz3V1IsmJojlcsyZUsRkZwWycYIyc64/bj0FYMX3wA0eaBoSskC6kyCRym&#10;wFsR88Advpiq0/7VXwg16CGa5/Z0+z3EC7I1s/FjLEOCP9XLbyep4J98il/Z2L/l/FC+sUe52+kX&#10;GoeJ7OSDRpbW8aHTVdVE7N5TSyFTLmR9235AoAOSZOB3rT0/4ceN/DerWI0yLTmgfTG+zyKrkxyK&#10;A7KQv3BufruBXPqSD83ah8fofDMzQ+F/A0ems0BgEsOtTKzLnI3BQoYjjrx7VZsf2zfi7psaw2uq&#10;yMn3pY5rwyFm4yR8o2ggD5ecY681Sy3GL7P4oX1qj3/A+pD4Y8RRaBDd3/iK6j8tm859P0hZG81p&#10;COF27jtyMtg7cAnkiqUHw48B/a7VtYS/vIbe4UeTNIYI3QNnPKhAQJJGKlsgM2ewr56f9vz4or/x&#10;+eEfDN8XujcTfaoZzvPZfllAwDz069+Kx9c/4KXeK/DsVnpkvw18OxtN5hk2+aqyy7cB8AnoDzz6&#10;DPOQ3luM/l/IPrVHv+B9fLqfwpjW0l0xla7+xxGSO30+SaSIqH81pVXOSZMqAe2CBhsVH4k+Jdxp&#10;LXseheEVvvJ8o2/2qNbeKSHywGTszrEoYgFdvBOeBn5Hm/be+JGoXX2ix8PaDbsAjRlraaVuDuJO&#10;6XByeOQcAD3J0NJ/bC+IV/Ey3mn6PGrbswW9o8UbKV27Bhvu47cE+tL+y8b/ACr8CfrVA9z8QTfF&#10;PU7GR5/FOm2i2Eklwun2o83zlKBVEnmH5OA2WOOGwcAhTzHi/wCG3w20qGRNV1P7NIv2eVIxDCuw&#10;SRIVyFVVK5P3lLE89DwPPZ/2pdXuVzd+CfD99MsbRwT6gl3M0WW3MRidQctz7frVKP8Aaw+IMMP2&#10;U+A/BnPCt/ZM5JAUAA5nOcADA/xqo5XjP5fxRP1zD9zovHv/AAr218QNDo/huTUp2jdGklBjQfMj&#10;LOuzCsvBAGMEdO1Uda8ceObSBoPDGlnQ7eS6STy4LcKYX2FVcNgA7+pwACV6VkD9qX4pXLG00nQP&#10;DlhJLgPPZ6ZIjhRg7cmVuD3GAfcDNV7T48eK7N5h4m0nQ9XVrpZ1h1RbhlVsjnCToQDgqR0IH4jR&#10;ZVjO34k/XKHc63wl8OvjV8YrOe5PiI3CSM0EsNxqBaT5TtOV52gnk4wGBwM5ArqdF/Yc8ewalbw+&#10;L/CGpXFu0xWNFhKpJmLKgNsOCuDnPAHQ5+U89Y/8FAviPpmlLpWmfD/wHaTbd0t7b6PPFM7YGWZ1&#10;uQckD6elS2v/AAUc+MdlcyXUfhnwmzSSMQskV7gb+CR/pXXGM8DOB6Uf2TjuiX3j+uYfv+B798Nv&#10;gF4q8H37Wvhr4cvpC3VuouNSmjtm86RYxgfPg5yeGYrzkYHf0m6+DnxS1W7k8/xxa2FsfLlW3Uwv&#10;JA+RuLCPPJbIJBIGWOTjn5Gj/wCCl/xxbUJNQfwR4MZj8uGs7vA9+brriq91/wAFWvjdazNaQeAf&#10;BZVlb939iuyqMX3lvmuSSS3JHTrx6L+x8wlo0vvE8dhlufctl8IrTw7BdWniTxbc3jS3CybpmWJY&#10;gJERioVQMMfXPfGcE0viHxX46uIWtfBupx2u29kt5LiaJS5UAcp8h7Hqe/GO9fnX4h/4KKftC+Jb&#10;57q+/s3dNMcBVnRVjLlzGFEuMFsHuflAzWp4W/bp+NmlrC91YaPJ5WofbFhuEuGyxx8p/ffd+UcD&#10;B9amWR462y+8j+0MPtqfbnh7wN8WfH0kFxeeKozG0rGSVoSqqmfvsroDndnuD6Y6Vf1v9nLxyied&#10;pHxD8/8A0faEaMxMuO6kKc56ZbB5PPSvk+L/AIKjfHaC1Wwt/BXhS3jDMUWO1udoB5OP3/AJyf61&#10;Vl/4Ka/tBSQySDRPDagxkHFnPkDPvN/n37R/YeP8vvL+vUHsfYsGl/FDwzoiaFqZuFt7dSpvYpmJ&#10;IZclwyggAMcBT3HPGK8u+Nlhp2nyyfEHW9WkutJh1KykvdNlVcShQv8Az02hiGXIYkc4xzgV8leD&#10;f+Cr/wC0xc+KPFWg69rGhn7JqwW0tf7NXdbwm3jXy9vmZI8wSnL5IJPOMAZ+pftYfGnxtrc2va1d&#10;2RSWaNmtBp6eU3lgBRsbOV+UZz156ZqqeQY6eun3/wDAKljKMdz7c+G6eBvi94Uudb8OTxR/Yrhb&#10;XUo9UsyZIpfLHy89QQ/3h17GvQtL+GaaLawWWm6lbwwxwkbB90ZHzDr0yc49a/N3xB+1X8adasJN&#10;Ii1LT7O1luI55o7HRYIQzxkbWyF6gcc9q3LH9vT9o1IVtR4xs02rtwuh2xLYGMElPSt/9Xcdvdfe&#10;/wDIhY6h5n6A3nw3cwCJdeXyY9ohibnA255GOg6BSSOBWBYfDHcZm/ttUA1AmR1kOXXdznn8dvt7&#10;V8L3H7en7TsifZm8ZW7Luyzf2Ha+nT/V1V079uv9otIJWt/GlmyyZZmOhWu4478x/WhcP46/T72V&#10;9bpn3heeAkudj3XidQ0Eb7cTruRS/A5GWBPQnoSazdY+FzsrLZ+JFVWmmZfMuzuLYxuHX5/9rrn8&#10;6+JX/bh/aJkEdsfFdi6qm1Q+h2uNpPT7nTuR0qvqn7bH7QF8n+keIdPyGBRv7CtRt5zgfu+n8yPx&#10;q45Dju6+/wD4AnjKSPtKf4UTyzTWyeMo/LkuF+0Ca5dtzBWG3DZHIbnrnPOMDPC61+zD4X1+4Eep&#10;6nap9okKeZHJysadBFggKODxgYHfjNfLd3+2X+0JewtHJ4j09tpPK6HbDuDk/J6jv2rNm/a/+Om7&#10;zH8QWrSLn5jpMHy8HP8AD71rHIcdf4l+P+Ri8wo9Uz3fxV+yPcwqk+i+I9LvGumPk29xM0ZJC9eV&#10;OSCM4yCAOM9K8X8c/B3UtBuTFrvh6a1VWmhjlRdqzeXjcykgeZjcMEdvWsK4/ax+Nl7n/ieWccmx&#10;kaSPS4UbB6gYXuax5f2k/jGAFXxUvGQrfY49wyMNzt79/XFaRyPHLeUfx/yIePw8tkQ3/huWyKyx&#10;XTHj5d3XHTdkf/rx2FVYbKfT9Qjnt5tjRyAwzNxjurDoR2+h69Ky9d+LHjvV5o5bm/iXEexTDZxq&#10;CPX5VHOcnr1rnb3xL46kzK2uXGAoyqsAB+Qp/wBh4r+ZCWNpHpVr4t13RZY7xNWFxGzMZIZJCwY5&#10;6P39PWug0L4r+DktLhL7Rp1863KtLaKJDKzcSKQ5AUBsshA3IR6dPmD4ofGbUfBfhxtb1/xfPaxt&#10;Iq75JtuWPAA9M9KpeB/G/ibXvDVjrdr4tuZlvLdLgTLIdrlxuLDk4Uk5AycDihZHinopL8SnmFKO&#10;rPqjXvir4Ygs59O8E6Rqx+1NEpWeRbdGRMsWdITywPAOSTuJPIrk7nTvG/iN2uIVeCNpXnhs2ujH&#10;8+3GVUnJJAxnv684ryeHxX4vhw9v4lvF2t/DJjjBHX8avaX8RviJpN5Hfad4x1KKaOZZI5FmJYMD&#10;kEZHGKiWRYlbyX4gsyoy6M9H0X4B/EzW1Way8IXSwyKsguLgpHCyn+ISMwUj1IzyDnpXbeHv2WPC&#10;4aRvHXxBa2uI5IVks7O3TchdST82WVwAOqjGMZI6V5Fon7TP7QvhtDFonxa1q3VmY/u7rH3hyOh6&#10;jtUh/aS+PVw8rf8AC0tWxJ/rFMwJbj7uducZ5HTpWbyjE3+JfiaLF0ex3Xjz9nG/8I+GG8Y6f4jt&#10;rix86ZBHMXimOxgCvzKEZvUIzZxxnBxxfh3wt4i8WXMll4f0Se+kjjEksUMJb92uBliOQMdT9Se9&#10;ZOsfGr4ya9p8mi6z8RNUutPlUbreWYbDjOOMcEf59+d0v4i/ErwDfyXnh/xbeWbSx+W01vNtLIf4&#10;fp+NCyrEdZL8RyxVG97Hda34Zn8PXsujeKfB3k3VvJMt15chy7EDaNwJUgdsHkdzWa9h4RRWNxpl&#10;3D+5jC+VMCok3/vGOedpXoOcHPXPGXefH34xapZmK7+IGo3A3Kw89wcMp+Vhle1crqniHxNqryTX&#10;GuXDSTSF3dmx856/nTjldbrJfiQ8ZDt+J6Rp1r4Gi1O4aDWNQt4Va5ELLMI28oJuU5yMszDbsyM9&#10;s8V02nfE+z8J3EV4PG2u30f9oW161uZQ5fy42UEkk4dWIXnHy9ulfOl1qfiHzt/9sShW5OGPX/Pu&#10;KpTX+qBsvqdx93GfMb/GtP7Ll1kvuJ+uxj0Pou5/aB1JLm1k0/R5mijz9qjkuMNJmYyMAR2JI98g&#10;49Kt237S/iSxSJ7PQbXzo2n/AH9yQxYykcnAHKqNo57mvmE6hqauQdTuDz8uJjn35/z1qAXermYj&#10;+0Zm4yMStx+tP+yf7xX1y/Q9l8R+Jdc11Zrc2VrGtxIGeO3sI9/H3R5gXccDPJOTWMlrKG3BCvTb&#10;8vTFecDWvEFmFnttUu4/L5zHcMOuR6jr9e9cX47+NMXhTWbbQTq159qvZIhAkchKqHbbz8wxz35+&#10;lNZdLZSK9vfVo96FrPOPmLdeECgDPQ8dq63wL4P+Huv3cdpqniqa0bY7TrcRnaEVdxwVB3E84XOe&#10;O+QK+dLDV9YGZ7vW7psj+GZ+PbrVyy17UoHBj1e6DYwrLMfy6+lYywb/AJvwHGqux9ufDy88H6Wv&#10;9oeD7jw3arcTWCrE0yrKkzK0YVxIcyBQNzc8s3XHNaXiDRvhjDcXWs/FGy0ie4t5pJroLf5eGMXB&#10;jkiXa2Cx3ZHcdBXwu2r6m0Izfyblf5SJDnb+J96WW5v2Pmtey4YfM28knjPPrWP1F/zfgafWPI+1&#10;x8YPgJ4eNxovhOW8WzkikfzrfTwVJDAwRqWZXRgNxZufm28kdOyX43/Au8UXdx8TBHJKN8kc3h+R&#10;nVjyQxC4JHcjgmvz7hvNViiy9/Ntk+6vmnj9fb/PY/tDWTz/AGjN/wB/m/wrhqZf73xD+tS7H0uJ&#10;irEeaxbd83c5H86kuLxriJVdMFSBJxz/APWrmovil8N3csvj3R+G5/4mUXP/AI9U0XxL8BXcv2bT&#10;fGOm3dxJKkcUNtfJI5duFUKpJ5OcYBzg12x5TzZqXLsb0txbWyeWOGP5k9MVXutTRgqySseT8uMM&#10;Me3qK4m8+MfwvuLtk/4WboKfMV/f6xChXk4BVmBBHoRnPaq9z8WvhYkm5vip4bjDH5f+J5b/AJ8P&#10;x9a9bD0Y7s82pOp0TO4fUYblDtPG7Gf8+tI8lvMNyv8AeGTXFRfFv4V52t8UfDvy/dY69bH/ANn9&#10;qlT4vfCuI8/FXw0eei65Bx/49XYoxMoyqS3T+46TV5LWx06a8ulWSOGNpSvqFGfz4r5w/Yl8eeId&#10;X8eeJra2vJH0u6hkvfKmjVgknmqEAJGU4dsgEBsDcDtXb7JrnxY+Fl/pF1p0XxK8PyPJauFSDWYG&#10;YsVPAAfJJ9BXi/7GOseGfA1nrkvijXdM0+a+a1WzS71KESbV8/eCocleducgdvWplGJ10eb2ctGf&#10;UUN3bFvMnsY/m4bao/nWlBPaSnzZI1YddrYrh7f4n/DNbMag/wAQ9D+ytL5Quf7Wh8rzMZ2l923d&#10;jnGc4q9ZfFv4Mgs0nxd8Nxx4x/yGoG+vAbniloaR5jvrC2a52mCNWXO37owPatiD7DBD9neKNFWM&#10;+Z8vUDrj19OOprgIv2h/gJp0SwD4weHWBXB2apG+Ae52k4/Q06T9qP8AZvtTJLcfF3R/lYH5Wdx+&#10;GFOfwqJXR1QO7uPscUil0jYyPksyrxjt6/4VS1IQTw+aI1DLGCrRZ4Psf8/lXDX/AO1/+zOqtEfi&#10;zYy/LhVFvcbWPHfy8Gsm4/bP/ZyFtdW+meN1vp7a1lkhs4dJvQJnSIvgOIGAGF5YZA98EVa940PT&#10;NNllvojLNCAPM2P8o+bkYP8AnvxU3iFNOkWO0jTaoT5gy4yfoa8l8Lftg/DjSvCel6t8T4LzwrqO&#10;oabFqENuNJ1C4jvLVwu26jZLb5Y5H+4pJbBXPLYqpf8A7dX7J9yd8XxUmbZyW/4RjUxxnrg23vU8&#10;juB6bLp9sB81sNqfxZx83+RUNlFYCZont41G479ylsjPqe/05rzMftt/szuyxj4lTMrN0HhvUeOA&#10;O9vx268VDH+2h+znJbiOHx9dfdyit4e1AZ47ZgquSRMj0LxJbaNeTQxWkO0qMK3TPr9Pc/hWO1jb&#10;RyBQp+XnqcmuLl/a2/Z4kiNy/j64jb5lVm8P36ZI69YPftWbcftbfs8Wi+VN49mQryB/YN8o6kZ/&#10;1HtVcrOdqR6UotwnkujD5fm+YjPvya+df27RdSeIvAOk6dcMn2q4vhujkIYMHs1U5BHHzt/9avQo&#10;P2t/2eeBJ8QptzLlFOg3270wQYeD7da81/ad+I/gb4leIvAOpeA7tdQk0nWLxLtLi2ms1D7rVxH5&#10;lwiKGPlNxk4x7jLitRR5uY+grFv7Ps7e1b5tkaruYkkgDGSSa0dL8R7F8qSJfL6rgDKn+nWvOh8b&#10;NDvtb1Dwb/YupL4i0exvrrxJoH2fbNpK2cUkt2HaXYrmJY5CVUliFOBu+Wq+m/tFfAae48w/Efaq&#10;qGDLo96QTnIHEJ/WqXvaCame1aVrVzdzNHp4WRto/dsnzAc/5/wre0y1jJ+13y4VGyqr1Huc9vrk&#10;V4/4a/ak/Z+0efE/xEVpH53nR77IbGTgCDgY/E1tD9tP9mkqwm+Jw2rnc39g6hz78247fT2pcskR&#10;aXY9PluoDgW4WP5iflUc+vHSs+7WKaWNpYVbO4bDDuw3BBz6Yz+fbnPmmsftn/Aeyjt5T4hvJrab&#10;eIbr+yplWTaPvAMoYqSSoOMZB965/WP2xvBepFL/AOHkVxrOnaZGbvxRcGzuIZNPtRJEgkUMoEi5&#10;faRnqynpmtFJbhyy7HsrSI7/ACFV28ndjj1Pr0/+vT0uraAMJDkBcFmH3VA6dK8Tn/by+Bc+5rGL&#10;XrhY03t5eknKrjr8zAYGaxZv23vhRqjsTpPiBU25VZNPQYP/AH8681fNEh+06I9y1LWI51aKzK5b&#10;7si/5+lZJsppZsrGWZv48Z4/lj9K8pi/bT+FMX7n/hHPEkgVtu6Oxg5H97mYY71fX9v/AODcEP2O&#10;Dwh4sJRAJG+wWvJ7/wDLx6+uMfSj2kdiXTqPoew2WnW2nRqLk+ZIv94dD6CrlpqZdtl2ijBwu2vB&#10;pP8AgoF8FwWI8K+LDswGC6fbcf8AkzzwKrH/AIKAfBobs+GPFbeZyo+w23pjqbiri4y3J5anRH0O&#10;t9AytG747BW4rG1jxU88r2dsv7teJJBxn2BrwjxF+3f8OpbOF9I8N+J5IpF3XCR2UStCMYUMxm2Z&#10;YggLu52n2zSi/a10Twa9rp/xK8Nas99eWcF5AdNtYHja3nTzIsnz8BghXK5OD3zWsVFOxpGnU5dj&#10;e/ZssV1X41/GCcuPOtPE9uY2C5LZe7yPzUZHf3r3TTtdkzHDdoFkGBljjnpj/P0r5H+E37UngL4W&#10;/Efx54n8UeHPEklr4x1aO+04WdlC3lRRtPneHnXHL4G3cMg+ldxcf8FBfghcqUk8LeMVdFzzpNvx&#10;j/t54ranyxikOpz82mp9GSywzqQxBXIPPUf5/rWXeXa2beey7k6syj+fPFeCwf8ABQr4NG48g+Gv&#10;F0ipja66Zbfl/wAfHv8Ap9Km/wCG9vhJfyfZrfwZ4wbzHwo/su3AP/kxnt7VXui9/se0za2qo0hK&#10;4VTkt1X6/wCe1I2rFjiSTzH2/fzjPHp2r5/vP20fhxFL5dr4O8TS+YxEiNY25Vh/EP8AXc8Z/wA9&#10;UX9tn4bSx74fCPiQMvUSWkIwM98SmspaGsfadj6Bg1qb5Vkxnd/CvI9qlbVN+5nU43EAN/Kvnyx/&#10;ab1LxLo95460TQbyw0HQp0j1qC/hT7RP5m4RiP58KTjnJJwDkAYJWX9uDwLDCrR+BvEKr0Uvbwrn&#10;/wAfP9RWUalOUmr7BUjVtse+/bkRflwyt/nI/Oq0twgVmy3Xr1x+f9a8GH7d3gZmFnb/AA88QNu7&#10;t5C8+nMn/wBaoZf26PBQjCp8PfEDKzbW+WIkNjthufr2rqjKn3OaVOtb4T3iWdWUyRYXJ6f4Zqpc&#10;SRgYJX0Uk9vfvXhB/bt8KXDeTafDjxG4HBCpHz7jLDj8PfoKryft0aO3721+Fev/ALxsI25VD8Z9&#10;OD7U5Sj0FGlV7HuU11HGNicrj5T6en8qz7nWimY2Zlz90DvXht9+2zZS5EPwp1zaynydzDg++FOA&#10;c9f0rLuv20LO7tmeT4Y3yNuwokvgp6gcfu+uSPrzjPfO/cuUJ9EdL+1nZpq3wS1eaUb3t5IZI16b&#10;T5g5/Imtz4SQCw+FHhe1j28eG7Hd26wJXivxZ/aNi8e+CLnwVdeCLqzlvFQxzJeCXyyGDYOEUZx+&#10;Wefabwd+1RqXhfwrpNnfeD2vLOxtVsGWO4KyF4Y0VTuwRyM8beMDmrjUjGWplUp1JU7I+hRO6xiM&#10;j72Pl3d6UXW4cn7v6V4PfftW6h4e1zVNDvvBM+p/Z7xltLq3lMOY+oBBVucEcj0/Gmt+2UXXL/Cq&#10;825A+bUh/WL9KipKMldDhTqR0Z77HfCVGHm5weOTn9Kc142FGfrz7V4PJ+2PbKI2Pwzvh5keV26g&#10;Pk56NmMYyBu79ab/AMNmwIMXHwrulb723+2o+f8AyH9eK5Jx6nZGMme8i6cxMRJ93gKp5H+PSqlx&#10;qEN3B9kuHKt/Cw9e3SvE3/bNsZWkP/CuriMxxlix1VTjAyX/ANWOB+B7cEgU3xR+1j4dsNQuLTSP&#10;D/8AaSxKoju4bxo45iVBIUGMngnbk8Z56c1jyyZo4ysetPf+XN5UjfKW7Y+U01tTiRf9cRg14K/7&#10;X11cW32pfh2whVstJ9u3enOQnX8cVC37WerXDbYvA2f7qtcNwc4x93nv6dKr2cieVnt15fPMN+z5&#10;duOuKpGXzRuQ7m4/D614k37U3iKWQsfBEDLsDeWJJC45HHIxnv6f0rz/ALUfjBB5a+CIA0nKRqsn&#10;C993PqRVezl2DlPbRdRgMY2XluR6f/XpYLwRv5qvgDG9Sv5GvEV/ai8QWcnlXXgy1RjIqDcsoxnH&#10;Gc8nB6Y7Vdu/2lfE0mn2uoab4etJPNtNske2Y7JecjPGQDjDDg5xmplTktCoo9fvNUebzrOObc3r&#10;Gv8Aq1PXP/1+ma8J+Nk32P4r6LfqqyLZw20jNz82J5Cd319atW/7SfjO2tvl8Jacsa5cSbbjc+CS&#10;R93HPvgce3HDeNPHGq/E7V1uDpMMM3+q/wBFWRs8lgCOcMN3T/69EKcottmkpXjY+iYyLljE0jDY&#10;dq/7Xr/KrVjHI5Ylv9X/AA46ZzWPpt3cGFJr6JY5pI1M0I5WNyBlfwOR+FdFpqLNtYLsXIDNGByt&#10;cMqZpHoWI0DoXcnPT5j1/CtLTZbK8h8knc2csM5/L0qm0cMcbCPeo/ut14PX+tQxXbxzYjQht23c&#10;O/1/zzWbgdCibN7ahCsUkbKNmQxzk+3+fSrMaWCRqrMhIXBPmCq8tylxaCRhtZCxaQrnHTj+dUzq&#10;F3n5b+HH1H+FebVXNLQzfunYf8M3eA04XV9WJYfMomh5+n7qvPtR1X4f+FNFe48PeJ9WXXNPvvNt&#10;fLjxl1YqQh2pkEqPmydpBx1Ib2TVtbW2je6SUqqR7uMY6deteXeHP2W/j/8AEzwjL8Yh8G/Ec3hm&#10;AOLnXorOOQQRnH7xolXzQg8wMXK7B8pLYrfC4dSXM0YyvJ7nGr4EtPFhl1mWxvNJ0VVee51a6lNy&#10;nmk5kk3CBMpjZlSFIKk7znA9Ck/ZN+F0L7W1bWBs+VleW35/8g/5968x1PTdZ8DeOpfhlofiGb+z&#10;dWvIbOaGRiTB++QeYo+6Dvz04w2Mc19HteRyHBPUfd5/OvbpyUY6I8/Fxk5KzPOh+yV8MZBl7/Vm&#10;+XDL5kHTt/yxp1v+yT8Lgd4vdW+997zYOv8A36ru0uGRNiMW2+vDD/63+easpfmTkS/lWymcbjUX&#10;VnBwfsmfC+Iq0d/qyNGBsKywgrz1B8rrXG694A8HeC7u3XQPBWsTQ6grRWuoQ61Zw3A4bdIIPs7O&#10;qgLnccc8ECvckuMxfJuJPtXC/G/SPiT4m8VeGPAnwp8P6tq+p6jb6gzWeg6PJeXBVY4lJVIgzHAl&#10;Y8A4qakm46G+F5vaWZk+Hfhj8NtRsr34Zz67qUbxMLzw9JDbrc297eGNFLyQiJXUEb8xgoQuFBB5&#10;ruvBv7OHwk1KwjsteW6j1WGzgfU7aO0jijWR1OWiEsO7yy6uFLc4HPPXyP4gfA34xfCTQvt/xQ+D&#10;Xizwgt5I50r/AISDwrdaaZggCl4vOijZ8MMnAYhm5Nem/smeKtf8e2WreNte1GSa5VbfTHM0hcny&#10;EJ3knG4kSDJxnOSc5rnjOpHc9GpHlV0dWf2LvgnLtEcN993DbWgX3/hhHrVyH9ir4EiRZJbfUN23&#10;C4uov/jVdrbalPbKZDfLg9VaPhF/MVdsYLqS6IW/TaedwXpz6ZOampiKy6hTjzHh/jH9nj4aQeKL&#10;jwz4E+FE3iS40u1jl1SS51yO0jt/N/1Sg+WfMYhWYgY2jb1zw3w7+zh4ch1D+0ZvgTcWcjOVEtv4&#10;wiBEbKI5FUCIBvk3fezncRuXgj9Iov2NfhbY65p+keN/gB438Haj4ikVfOX4neHvO1O6ijiiLRwy&#10;zuWYjaSkfAyOORXqE3/BKz4C6BoUniHV/BfxwDwKf9Ht/sF5K+BnCpaox56Dvn2rGOOrv3OV9+n+&#10;Z0exSV7/AJn5keNvgN8GvE2t6bo8fwOvNXk0nwxpNlbRnxRHHJZWMUItyrHK+bNvilm8tVCASqvm&#10;nGR5h8Mvgn8FbiXWvDvjT9nPX9R1TTNcuIbzUod3lRRs3mQoVS44YQumSAQTggnk1+nWr/sdfs/S&#10;67Hrnhr4MftSQXtnYTIouvhpetbTLlXIZBCA7jYQhGDliBnNfKH7ccmg/sVfFfwb4n8Q+CvHtjY+&#10;OLvUrW/Hi7wlLpbQLAmnL58O8AXAGYwQuSAWOVygYpYqtKNlF26FezjHdnmFj+zD+zhqOmxanpXg&#10;CGS2uoVkhkj1C4wyEZB5eqF1+zX8FbaQwR+C49oYci8m4A9Pnre+FPinw9qvw20X+xNet7qNdNig&#10;kazuFcQyqikxyYJ2sAV+VsEd+c5sahruXEnmnn+Hp35/lU/WsQnZtkyUOhxzfs7fBN9wfwMuTwP+&#10;JhOM+p4eiX9mf4EF/Pm8GrjaB/yELjPc4A3/AKV0cuuw/e3NhWz8tWhq1reKBNBGzbezEY/X8Kr6&#10;zX/mZm4x6nMWn7LXwLe0kuH8ELuWNmjk+3TnBA4PD5OPTrXhsfxBufBGnDzfA2gRwSahb3F1Kxup&#10;UupbWVmjc5nJGG3j+9h2B+8a+u9HuLS10tpJNItZpGG+Hc8w2cdtrjtzyD1r5E+MXhSy8XeKdQ1T&#10;xNYzaYJLhpZNNs9SlESM2ARhHAYngdM1vRqVal+bUnRbGj4W/a78A2Gu+OviL4l0zw7J4g8dW2q2&#10;l9HCXghtkvw3n7FbzTsBf7pbd9071wd1DwL4r+CvirxHpfhttJsbhby6kjubyzvpl8nKoIhgEjly&#10;QcnjdknC4rItvCFkngRPBDaZD/ZC6o10ovNIid1mZApVrllMu3Ax5RcpnnAJJrJn+HWhaFqsc9xb&#10;SWq3F1DEx02MRybDKpYx4G3djJBYc4Aziuh+6+17dewS94+ltN/Z6+D08oWfw1IWU8L9tl6kdfve&#10;1a8P7MnwmlcGHww25h/y0vJWx/49XWeHtG0+yjt7BhJLHHbhfOuZy8r4AGWYn5mPUn1Na0qaPpiL&#10;LPK0bfdLee2GbGe57Vh7Wp3ZxyXvXRxs/wAD/hZ4U0S6On/Dyx1SaS1Wzgt9RunMVvvOwTgsGx5X&#10;mM+F2swDorx7945rwLbeGPCUms+ErHwd4MvF1jQbiyvZIv7QPnL51tOgXhljG6A7pD5o2nAQH5q6&#10;r4s+M18K/DTxFr+g2VxPcRaXIlvGswDRNIQnnfMeibt5H+zgZPByvgD+yP4l+IXwjtfiWvxw+D9r&#10;pbeG5buPQdV+JVlBrCfu3ZovIOZvOI3J5eeTgDBNZ1K1SOiZth6fMrtnP/DbwH4c1C/1ZdR+Fml2&#10;dudWmtrUvePOTHHBDFiINCu+F2V5NxK/fI2967Kx+FHwwglYX/gXS449vyhbQcj3/wA5rkP2bNam&#10;1a0aCZdQl/s3U7nM14GZf3iq+xXP91s8EnCsvbFekahdKx+dQ/PC88c/X+dCxE5JamdSLjUaKDfC&#10;D4QzjnwFpIbblV+yrjHr/Koz8G/hDnEvw30jIbO5bMdK1tH1FHOyIqW5LK6jPpxnt3q1dapbW8bJ&#10;cLGq7uS6Yx/wIV2UZNxOWo5HOz/BT4LuG/4t1ou3GWzYgY46Vh6h8I/g4X8qH4a6NsXgP9jAJ9MV&#10;0l5eWt64jtHmWNlO35ztP/1qjt9OFoQb/d94dJOB79etdsJcpz3n3PJvEmg/C1bnVvDtr8JLVbjb&#10;cWsOrXqwR2MFwlql0vmHf5m3DJtUJl3CoMbsiaa80j4oXem2sHhDwjJeWPh/T9Na5uGuI3nNtaxx&#10;u6W7RjK5XtIB7DpXnnxI8L+KvjX+1FffAHwpf22nTanfTySXWt332Sw8r+yIZHklmwQiJHby7mIA&#10;XsQeRU+L3wv8d/slQeF/Fd98Vfh54ivb6+cwr4B8aW+rNbiJo95uFjOI9wYBd/DEN/dJGUpy9tdH&#10;pUof7P6nuWifC/4eX2jWtxrPw+02O6lj33EKwfKrng456HH/AOvGatv8G/hDIPMPgTTGfGB/oo+X&#10;361qWXiPTvEWnR6ppt3DcW9witHJDKrryAduUJBI9ie3rySTqnKT477d3Fd8anu3ONuSMv8A4VN8&#10;I1Vj/wAIDpe5uTtt+aqP8MvhbZSi5tPBVgjbs7lt+RWrcX93lna4Iwv8KryfyrPu9RcKwkfLdgAP&#10;lp+0IjzLqc74q8J+E7C2g0/wx4S0qO8vLkQW011ZtJFCcGRmZFZSfkRwACBu254zWfJ+zx8T2jbM&#10;trD6eT4BkAXH+9OT/OpviJrV7oOgTeI4bctDpcJmeSF2+0BndYEMShWBK+c0hJxhYm5JwD7i3/BW&#10;D4I6L4C0fSPDvw4+N99fQNCuoTar+0RrsMckZi/esotrhSTuUFVOFUFsYzg+bi61aLvBfed+Ghzx&#10;uzxPSvg78XbXwBr2mw3NzqkN5C0xj0/wYkYfy4JQIxkuGJdwcnpgjHPGVo/wH+Mc9usI8Stb+XGr&#10;xtP8M4lEsbH5W5kODgjIOGHcDmvrjQf+Cvv7Lfh7SJ7HTv2efilcwzKdp1L48+IHKqUKnZ/puYzz&#10;1Ug55zkA15z8Vv8Agp/8KvEdpHZeBf2c/EVnOsw8yTWvjl4uvkeE5DrsGqJtfoQ2TjB4yePN+sVo&#10;z5kkrnV7O0eW7PMfDnw38QeDJJ9H+Jem218XgilsNTk0NLPzSWkDxhFJB2ARnPX95zWlJ4f8LK20&#10;eHrRvf7OB+FNk+MUP7RPjCbXPhl8Ex4ZsNJRl1oL4o1TVbi6Z1JhKreXEojVNjlmQDO4ZzgFWtdh&#10;o23N05zwc17WFrudJN7nkYiFSNaykyOXQPDbSeYNGtf977Ov59Kq32laAvzHSbXOc58leKdNdbAT&#10;jd6Z7f55qneX0ZXldpXs3b8K6JT5iKan1ZBdWmh7B5mlWqnd8v7gcfpWc2naEjCM6RZt82f+PdPv&#10;dQenqKku58RKIzuDcr8uaz3uZFkLyAr82AuOlcrk0dPMlHU87+PPjXR5btPBWlWFqsZaZNVK2qb8&#10;7BtwQd20M3zYXJIAyMHPA+G/iF4lk1RX03XGlmRP3cN1brsLH0R1wx5545r0DXfhBb3Gt3uu6LMI&#10;47lBJc2rSENMyg4AYhgB6ZBwS3qc8HrPhjVPDviu30eXTLje00lxDDGolYQhsByVAH3VJycALgnH&#10;IE4mEVRdRPVGtCXNU5LEHir4t+KrqW6tTdxp5d0SzW9nGkhO0LsygCkDbngDkseeK9d/Z/mXWPhy&#10;knibwvDJOl3KDd3ltE3nAtvXBxn5UKryOoI7GuK8IfDXRviJ4uvLa5137O1veBtSslJMjoR8u1sb&#10;QpIOSCT8oPQV7rpOjaLoWgQ+H9HsFgtbWPZDEkhYKM88nJz35JJ61FLl9nGS6ompJ+0asU7nQvDR&#10;dbmLQ9Pbaq/N9jTnCgAdOg4H0qne+H/C9nA+oXXhyx8uBDJuFlHnaAT6VbZnhcxDPl/wqpPzds/j&#10;zRq87jQb1IkG57WTbG6Z3fKT+OPSokddNOyOK8UeGbHxjoKxweBLGw+1IH01lkU3VwoClvkiUqI8&#10;Pg7nzk/drJ8NeH9A+Imuw/CjTtVmuNXmu47O10+1062ia45+WNSVZ2lZQejDcx4HOK9M/Yh+DHhL&#10;47eOLjX/AIp/tK+EfANnb2VvBBb6lHNe6ksKySR5Ntaq7QqTHN1wRsDOEWaF5PNPjRaaB8Nv2yv7&#10;I/ZX+P6aha+H7wX+g+LruF9L86aCIyv5LbS4lyjRxnG4yMuOSDWaUlO1zV25bmronhPw9oGgW+gL&#10;p8UsMUezdPChZuep4AP5cVJLpluYVt7O4ktF3Z3RpG4C/wB0B0YAewxVprm337QdoXOwHGKZdNcC&#10;TKquG53L/EvXr+lVqToQf2ZbrdLOuoSJtU741hiAf6sEB75GCKtaTp2nxfvYozuUbfMkYsxwAMbj&#10;9Bn1IHpVcCZFD3YEa/3ScgDH86k/tzTrSzMdoqycZZe+D60vmCMP4/6fpk3gzDQof32ZJtwDRNs+&#10;WQHBJI47dOOlUNV8QeE/DEFulmzW+npDawWTXkyOwWOKMM58tY/MLSB2yAu0MFwxXLUvilcxazqu&#10;k6Vcx6gtreTzJOsVmPLfKooCv0dgHJKZG3KE/fWrXjyw8Da3otjb+OvE98VWNFtdQ8I28V3DLjJa&#10;Vg7xP5Yx8pUEMBlSVKk0o6alXS1RyXi/4ma94tlbwZ4VtMQ3UvlRm2kbDqQrHaCFwcjqRwN2Qc8a&#10;/hv4b2ng1V1G+k+0Xwiws2z5Yh6L6n1bqewHe58LvC2h+HtKe60+4jvJJLhxBqBgMcjxk5CkHlCO&#10;MjuV78VuazEJFE+Bxn/HH+ehrCUve5UCjzasorJGsbNIy/Jx06c9Ov61teH9WeQ/ZJ5csjZRf4QP&#10;61w9zr1xI8lopX5hiRk/hI46+vtVrRb2Z7+Noptzbc/dOOtZVLGkY6npl4zW8Xnsc7lB3beec1nC&#10;Zy+N2Ocrg+/86hXWTNar5krfLw0a9CPakiuopD9lFyu5vuL3+tccqrUTq5Ub08ofwvqgGqtBcx2J&#10;l02KOz883U4ZcRH5l8sYyd3OMYxzx5c+sfF1XZRp8vB/55r/AI16lYrAAuGDt0wO4I/H0NcVd6jo&#10;n2uX/ioLf/WN0LHv7V5Mq0ubYxqRXc9S8Q3mpato1xa2epG3mZAIZlUnZ8wJHUdQCOveuD+Ev7Tf&#10;jf4fXN34d13x34si0u6tntNR02z1mdftMf3fLlheXa6jA6jHTHArq/EN0vh3SrvV5pRJDbwmSZRy&#10;VUDJPQ07wQ3gfxzoC66dHt7lbgujNdWq/NtOO/PXv7e1fSUaf2Ueb7b3ebzOU8HxTfEz46CTw3p8&#10;uoRSL9oXdaN5sSwSb/MUA8H5ACORgnAr14y3UDOs4O5ZNrIy/dI7VzPhX4eeEfBXieLxn4KsZNN1&#10;G3k3293a3ku6NvbLECuma6V7h3lfc7SM7SMxO8+v51vGnKMvI5K1dVbNbk0HmSDlOCuc0PCPLUQj&#10;LY5HocVD5gLDC+/HUZ7U6O5WMq2/blgeKpwMoyZpxGSygW2CYYcn2OOn5VwvxG8YeNPhZ4t0/wCJ&#10;2l+ONT023Ewtll0u8ltbi2Zl+YCSM52OVUnkYZF6g/L2O5rtfOZmZuB97NS3Gj2epWzWGrWkc0Ei&#10;4khkUMrA9eDU8vc3py5ZXOM+I37St38YfhtdaJ4w8YeMdav4Yf8AQbjxVqD3o8uUBzHC8krmP5mU&#10;MuACeBnGRv8A7OMsWkfC+1NsqxxzTSSbY3JDcgbsZOCepB6HpxSX3wj+Gl6gWTwpZhm6skQUgduf&#10;p/L2rW8OeHdH8P2Uek6Tbx21raqfKiVmOBycZznvWMo0+hvUrOUbI6USyu7S79vQ/ezj/PFX4vFz&#10;WMqRQxswUANjG1ff6f56VhRLbP8A8vBAbgfN+NK9tG8LKk4U4yOenNZtLYSlJdT6c8O/Cfwa3h6z&#10;u4PBWmI15Z2800tvZIhmbCsN5GN/PPOea9C8Ha/8RprtPD3h7VbqzWY/NNJ4ji06FcdfnkmjAH0z&#10;3618G+PP2o/iz8G00vRdI+JGpBtTm8jS/tE3nJFtCgR7XBXbg4XI4OOoBFeieHf2p/2gNU0KSS+v&#10;PJ1CS+8uGObSYFCRrnknyNpV8qQxcFSjAqQwaueceXod6qJxufQnxx8IwfGLSYvCvxUe616OxvGu&#10;LSHVdWe9jimQFS0bMzrj/aUkEY6jBr4b/wCCpmmeN/E3xM0G38Q+M9b1S30/w8Xhtb7WpphBNLcS&#10;BplErEJvWJFONufLGegx7N4f/aX/AGj9W+S5mjt1E3lbLrTbRW/66BymNvvgHPQV57+0v4m1TxjL&#10;FeeOblry8+xm2gNnGJVEe8sAyxRqMktkHPH55UKqhLRDclIrfBXSfF6fB/QbPxsF+3Wlq8SxrJGV&#10;SBZn8gKYyVx5WzGPXnnitB7O5IJlzvGMt2PHb/CtnwotxaeFdNtLm2jWdbGMzqW27G288DsKmvYr&#10;J4N86Ku1c7fM/IdKbXNqTc5drROC5/hxu6U2LT380EP/ABZ9z/h/SrkhLJu+yfxY+9+tQPMAVdof&#10;f736UezYnKNjWt9VNhItul56dExxj9O3FeXeAtckn+NFzoPheHQbW61J7hftGveLrbRxbxmRQWim&#10;u9tv5uGkbEjoSEKruZwr919tDtl7ZlIb75xtxXk/xy/Z9ufFurN458Pa5PdXA2rNpcyg4jBJbyG3&#10;BQ3zHIZWyMYII52pUt03a5l7WMXqSaj8YbT4ceGvF3w012zs7i6lv5LVr2+8YRavGpVirMvlNnBc&#10;uwmjEig4OSFWuY8F63D4l1vw5bwR7rL+1rGzuDMpZpQhViflBAJMYyRxlyTjJI5C/wDgvdNbRaJZ&#10;+EtcXVI5JFu7o3HmW8inds2xC3Vk/hyTIwIDYA7eufs1/BGbRTH4w8XmT+0Le5kNmrP+6KshBfae&#10;QfmPXuAe2K6I0/ZxvcKleNj2dfEEX21oYwyrszu9fb+dWnu1u33z7mPv2/z/ADrj9E8SW83xR1Xw&#10;ZNE3nWOnxXXmBAUKMVHBzkn51PTuRngZ7Nn0tYt0F1uH95VG481ynHO9zA+KGh2mofDHXLRrSa7z&#10;p0rx21v8zySKpZAq9zuC8dDjBrxTwn8Zk8P6O+mR+H4y08PkuZLeWNvuemduRz27/Qn3y61PZLtQ&#10;fKCeq/4VRkmtQvlPbR5DZXtg+vTr/nmnGjKpK44V/YxscL+zfpiW/hWbxQLi6ghn1qSextUkMMIU&#10;IIydpXcwJGNpJUFMj1r0S41SJ3z5pHqG7+9Zb3CQxMkCRqvIVUbgcdPu8fkaqm4Z13TRLuOMruJw&#10;f0rrpYeMUctTESnK5ptrCxHdBcjevCg9uuTSXniCXUEEKszRgfMM9cCsm7MO35F2r6huelQrqMlv&#10;zt6tk4PauqMVEy9pKR0mkTW8SLdi7HmY4jZvmSnXXiOCNnFxIGTGdqjv/wDrrno57a5k8woFY89e&#10;KnWdJWYNDuXoGPX61okmK54v+1Jro0Txzo3i2Sw+0RTW5hgW4B8pHB+6TjHIYkjOeMjpXlfiLX38&#10;ZWlloZ0OKNbi+jC/2eju8gLdF5OSOeV54yRjJH1jrVhYX1mbTU7KG4j6mGSNX6+xHpkVQg0HQNMt&#10;2h0TSLe12nfH5MIUBsYzjHUjIJHr277eyj2OqniuWPKyfwbp3hLwxp01pocHlLcT+dcTM5ZppAiR&#10;F2P8TERrk9zyec1qyvCZAYmDe+3vXnPwi8W6h4t8I/2rrkcEb/bLiCMW+cYSQpkk9+Onau7guY7b&#10;aYSsinGSzdMda0hT9zU5ZSlzMna5ZVyfvfTp/nioWkSZ97r/ABd+9WBqlqYv30GMfdX05qG41FVR&#10;n2RkL/dU8/5/nVcpN5dznfEOlaLrOg3una1rUmn2lxvWS6kjZzHjPO1fm2kr1UEhfmCsRtO/4+/4&#10;Je/tA+E9VVodGsb61uNrWtxG8m94cY3uoT5DxjbSTxadqUMem61evHZyfurqaO3WWQRuNjSAEjLB&#10;SxA3KDkgkZBH27pf/BTD9nfR7g6ha+B/iJHNJHtkeNtPKqvXaoaXIHT+Lj3rrw+Dy7EQksRLlfQ2&#10;o4qtRatG66/8A+INO/Yv/am+FGoWup6bo8Fpc3UMq2dwumee7LIvluql4WI+Xp0IzkYPNdx4Q/4J&#10;HftEfFu4s9Z8QfEnQbNdWtxNJLdfa571f3W/DRmIA8AjIkyMYxivqS6/4Ka/s3axpv8AZeofDnx8&#10;sa3AuGkX7C7s4I9ZeBgAHrzk56AdB4L/AOCq/wCzN4R1VdY/4V746maOIpFCunaeojPAyD9rP8OR&#10;jjrWVXLcjp0ZtVG5W0VmtfuOWvmOcSxNONKmlC65m2m7f5nxn+xD8EPCPhnXPEkN38UrePVprpbX&#10;+zbrTzCzRwNcgyoXf5gyvkrgNGVbII2s3H/EbxNp+u+NtU1rw/oq6dp8l2wtbNYVj2RrhRlUZlDE&#10;Dc20kbi2KvfELxLY+J/HeteLdPWWOHVNYur2FZFVZEWWVnAbaSAcMM4J57nrWGZrYLuCrnbhePau&#10;eEqcMNGlGNmndvqzP2WIePniJ1Lp6JW0Xf7zLudWDZOfmJ/u1l6pq8awGR4nG1sg7fatzULiFPmK&#10;r95RnrXB/HLxbeeFPhvqOvaMkX2m22+WXGVHzgHIwcj9fej2fu3OuEpORqG93xqIzk9cfhVeSV52&#10;b902M/eYdfeofhxqL674F0nxBqLRtPeabDLK0YwuWQMcfnXQedAq4UADHRq0jRja7MpVKnNuYKwX&#10;U7KiI25mCrtTqai+Jv7Hf7Uur/CpP2utN+B2oX/w/t3kht/FFnf2gX9zL5chcPOrhTLuAIUjA9ci&#10;trXb6W30K6ubCVY5o7Z2jby92CAegwc/karftS/tBfGDwn8HPCn7MfgDUtQg8H32iW01xDY33mQa&#10;lKU8xiRGWGQ7E7Dhh3ANZ16PPGx2YOUYycpPU8N+EC6p4q+PWnXllaNb/wBnl570W9wsgjVUKNkg&#10;gHdvCHAJG/Bxg4+kprgE4Xd/s84/z2/xrgfgH8PIfhn4ba/1KNV1TUgrXCsozBH/AAw5xnIHLf7R&#10;9BXbTa9APlfaOWP0PFY/V1Tp2RpKrzVB1xE11atGyLtZQOOoOayru3W4tJNNnkkh3Ku2ZIwdp3Aj&#10;hgQRx3GPWrp8S2pCxja2ONuD83r34qGTWrS7XY21SOUVe1ckqcjtp1Ejwm51fxb8MviNf2OieELm&#10;aS6uGa1ur3SBcrcKSTvVgCMdRjgjoAOadonhjx5L8SrbxHrukLbrbpJJdXPnx7CSjKAqIx7sTzjH&#10;PTjPsd9qSMvlSH5c/wCe9YdxfxBzHhR/snpVxuKUvMyJ5XXmNfurn7p5/Gmvr7wwLHJF8q9W+v8A&#10;P/Pepry9ijU/dO4nseODXB/FP4gar4WvtJg02K3KXlx5czzKWIXco+XaRz83X26c5A6YRkdxPrLX&#10;tu1uXCt3xzn6f54rDudVXSi19eXPlwqpKySHAA4wfqPT/GsfWNYt9L0K51O2u2+0RwERyOwbc4Xs&#10;DgZP0xk9CK43Qo/FPxKh3anqkjWbMpm2vsUdCVVcEAnpuHAweh4MKndXZpzLZDdZ8cx6rrd1rqQX&#10;DWou1+y2b5kVmMaqZNvRMrGM4Gcbc9BW7qWt/E74paPbpqF3F9jt0P2axZ47fvniPO7k4G7GOazP&#10;HGo6Ro9tbaJ4Pu1WFYNkjW6twcl2ySqk5LBWx18rIY5rltJ8SaloV/G0JMW75nVeHki55Oe3ftW1&#10;+WndIhR5ppXPWPhrd2lvow0syvutWw21cISTuO09xn9M1a8bXYi1bTZnuWWH7PO0iC4Kj7ydR0P9&#10;Pwrmvh5ZajYeIbca3pieTqGjvf29v52WK+YQrE8YB2kjjJB96tftD6xHqFpo91b23k+Szw7E6PE2&#10;5sE4GSGHX0xxxz5UqspYpQaO32aitGZ+peLfDtgXaK8jz97Kn73HX15xx2z+dN0r4i6RLeRxW1xi&#10;RlJ+6ygEY45FcS+vpDpwtJoVaQKdzs2c9xwBxx/ntRpGnagLj7TJZyeVGzYkWIqvI78ev/6u1dPs&#10;1y+9oHX3dT1qHxRBLELmS6Vt/Mqu3+Prx7VuWt5dKtvqjCTyZvmhkA6+2a4PwxN4OuNGXRH0C4F6&#10;bjcL5rsMAmfuiMAYyeCc8bfXNeteFvh58VfFXh3TNO0zw7rS6XCdmnySEQxvnIO3cPmzn1x9ea8n&#10;GThRg7nRTjKa0NLS7TVNa0yYQ2UslutuWLP8oAK56njn61mWmk2ZtYz9hVf3a8bV44+tdbpf7JX7&#10;QyXKafp/hy4UXCHcsl0u0qAMjH4j+VecyT3tpI1rJbfNG2xvqOPWvAjVhKTs0wrU5RteLO6+I7xP&#10;4B1oyMvzadIpVm9Rj8ODVb4EWxj+GtnsLf66bC+n7w/l/WuWttC8S+I9Naz8QfECZPOXbNZ/I2Rn&#10;+8Pw/lWxo/w41vTrFNM0n4i3lrCrFlWOFQoJ69K+whLl1PDcfccT0QKy/db5vvDa3P5CrEe5o/nc&#10;gtzjNea3Pwv1ySdb+T4p6oJo49nnRxAOVBztznkelZb6T4h8M6j9r1/4jaiqyQ3Vtb72Mq7pYpI0&#10;mCrjlC6MeM54HHzV0Komt0Y+yZ7PFDLITvkb5Mdc9f8AP86Y0gWVgjAEZHXvXi+ueEPHukCx8I6R&#10;46vJ7hp5Wa+j1aJYZRIAylpIpn5xE+ECs4+YsqAqWuD4VeLEOI/jJq49cMzdBjqXqlJNbj9jY9mt&#10;lnRmCTAL1/LvV63mmaPcsjZ6Zz7V4anwg8UvIjT/ABq1ws2FbaWUNxz0f2/P8qveGPhs4vJRB8ct&#10;SvnkgkVIxft+4yud+RJ/DjOD6dqiXLyvVFwh71j2dnuoztMjbdv8Q4H6cUx594yZN3fO7+deJ614&#10;LubDwzfapZfG7VtQuLGxnuNlveOzSGJCSm0Sn+IY9ea0ND+Hfi690e11A/F/WI/tFrHI8bR7iu5A&#10;dud/JGawdrbo2VPuevi5CnPnYPs3+FWrQMr7/MH3vmw2K8kg+HXjC3faPjLq5bpzbBs/m1WbfwD4&#10;9+VW+Neq7R97/RF/xrP3V9pGns5Fb9qDbL4r8DqzNj+0ZXO5c52vbjOf+BfjXtbtHDOzLcsqlju2&#10;yEY+Y4/SvEvFnwfk12exm8Y/GC8le3LmzkuLZFKkhdxBB9VWn6v4cv4NUt9O8N/F/XpbG5Uv8sUj&#10;mKNFw7btrF/3mcLwAD1PfOUo9zSMZWse6xzxyqytNuQncvzY/IfSmtNBGzSG53DoOa8fk+EGuo29&#10;vjB4gOWyf3m05x7Gq918GNbuFZx8YvEGD/08N/8AFVnzU+5XJI9mS4iSLas/PJ/eN/n9Kju1iZI5&#10;HnVmk9X7/jXjemfBrVo7+P7f8W/EE0KurSw/bpELoDyNysCuR3Hr61T1X4O6cdbude034raubm5Y&#10;h5LVpZJFPAKFl64wB9MdaIyp33HyM9auLl4ZmZJMZbDYbqP84qnPcuz/ACs3cnaa8t134TWdr4E+&#10;22/xW1q11SbUna71CO3u/tb26QgIrnZgxqS5HzZB6jGDXO+H/ht4i1TQoNTvvjN4nieTdIsdvNNI&#10;Gi3ERsNpOSybWOCcFiBnv0R9ny3v+BDiz3FruQv5Mi/xdPfFSwu8ihgjL82Py/8A115To3wf1ZmW&#10;6i+MniGdZAGGdQYq6noQd3TnIx1retvhFfwqs0vxS8Q7V+aRm1Bvuj8fSs5VqUepk6Mmegm9g0uD&#10;7ZqF+kEa8mSeYKv5n6frVyx1LSLq4t4F1O1zeIXtisoYzLjO5MdRj5uOwz0Bx5d4VuvhVpnijT9R&#10;8YfF3VNS0iw1m3/trT1vg7XNusqNNHtchXVkyuSdhJI3DBqv4D8ffCPwv8GNU8KP8TtSutQ1SbTU&#10;s9T2ytPZQ2oleVUBXfGrt5IzjYQm3PQHGVaUnaKD2HmdhpyR2/7QWvXy3DLjw7CiN5fDH9wSP0rp&#10;Lm/UQ+aJvm6DaDgfj0ryrwvY6h4ivNQ8XyeI76NdShWKO4kgjinlj4Jyqgqq8LtxtPXjHJZN8MdM&#10;mZln8V6zJIeMm6HP1roowcV7xlUieoJf2sL+W98Szf3o2+Wm3F3FOu6S6yFH8KkZ/wDrfp+teQn4&#10;LeH5HUf8JNqzKn8M1wpAGPp6etNuvgr4Y1GVVvdS1BdsSlgrqynORwdvJ4547iuqEqcVuYcqPWTJ&#10;Cyf8fLK3QfN1X/GqxltLYSme8SGMSAbnBXOT0+pJryqT4CeDm2ltUvAWXG7cpI4/3fSotG+C3gOS&#10;Gee/0vULizk0+8mF01zaxlpPsk5iYFpEJy5QhM5JAAVmIU6e2jFXRCo8z3PYDFbqGIlZunAVv6f5&#10;5qNosr5RcscY/wBWfx5rwHQ/gj4Pu9R1bQ3uLpr21Eb2sM2xVMLg7CXG8MdwcHHp9av2/wCzT4eh&#10;0/7Rd6zcG7IyYYMLE3tllJ6+1ae0iHsVfc9pRY3By+0rxhVJJ/KrUFwwhAeRWUDHmeXnFeD23wA0&#10;+4lAu9P/AHa4KmbWcZx2+W3ODRP+znpWo2UqTXB0+4U/upLe9N0pHHLBoo/0JNNVoph7HzPdG1aW&#10;V8QqrHy8jaoyR/e47fn/AEqvZ6zpF7fz6Vb6lbvdW6o11brIC0AbO3cOqk4PXn+deB/8M4eGNDs1&#10;uL7UtQvrppMRpZhI94z0G5uMYPJYVe8T+A/hvL4U8P8AhfS/DVxHfQ6tc3GqPPcWqu8cjQYQESnP&#10;y78ZxhlGAFYsOmNeN90T9X33/r5nYfAaSNfh7PbiePamuXofco+XMpbv06j867GPX9H035ZtdtUG&#10;SVV5lX8smvKNI+CXwt1Gy+3PoF5GfMkRo7q4G4MrFD91iOdvGD0xVyH4GfCs4jk8PvtXA2/aH+7+&#10;dbe0VrGfIpSvZ/18z0SX4leBFR4pfHOiow+9v1KIEe/LVSn+Knw9tlx/wnOiheuW1KE9+v3vrXH2&#10;3wA+D0K+evh1mY4GPtT5xUDfAX4UmQqNCkHOW/0t+fYUe0iP2cfP8DvoPjD8MCuyX4iaDt24+bWI&#10;Mcf8Cqab4rfCu2tPtb+OdHkjZlR5LW6SdU3E4DeXu25weuOh9DjyvU/gp8LllkFj4U8xLfarPNqh&#10;iUucbY165Y7gOQBlhz1xPZfBDwbNa+U3gv7K89q5aRtWLmI4GEOEY5bsVyPlOSOAZlUVt0VGmlum&#10;ei3/AMWPhHbQPfN8RNEZY2HmNbahHMw+qxksOnpx3qwfiV8NwWVPiD4f+U4Zv7YtyM/999a8p0v9&#10;njwpp8skmqWhvvM+752obABjkfJCMj/CtTTPgv8AC6UyRP4YkjaGZkZZLgsrHAbcDwSMN3AOe1c1&#10;Sp7vQuUYyl1O8uvid8OZFx/wn+i+u5dRiOPrhvU1Rb4l/DZef+Fg6CzN91/7Ygwf/HqwU+BnwyjU&#10;j+wWCjlds7YBrPuPgn8Ko3OPDcYZm+Ztx4H9P/r1EK+ujX4ilRXLszeu/ip8NWdSvxI8PsrD+HWI&#10;MY9c7/auH+NnjbwHrHwz1azsPF+k3M01viOG31KJncZB4AY1pSfBz4ZvCFXwxGWKj7zHt3zWB4y+&#10;D3w/fw7c2+m6bFBdPHstZSGbbIT8pwMluSeME8/U11QraWuJU0pXSZq/DT4h+BtO+HPh+wu/GWjx&#10;zR6NbrLE+oRLIrCMAqVznIIwQec8dc1rRfFf4ZQOq2/jXTf32Dt+0Llc8jdj7nQ8Nj868d8TeJ/h&#10;L4H8RLpVv8PDfT6bIEa8WZUXz0IJCjBJCtnnAJPQEHNZw+Jfwrii+z2/wmmMchV5VMmAzgNgnIyA&#10;Czc4JxnjtW3tLWRH1dyu7HuUvxV+HUfMvjzScbgMNeRkfz5/lUV18afhJo873b+JtPmuLeLd/o+J&#10;G/4CV4BwfUe/SvMPhZqXw2+ImqTaefhnaWqx27SxzCbeRyF2kELxz1HrjHBNdzJ8N/h2ifuvCdqG&#10;7fKeP1odWOwKm49CzP8AtI/Cu4jSWXxRHH533N0LSZ4z96MMB9Cc+1Mm+OvwqIDt4tVtzcMtpOQe&#10;PXZ1+nY1maZ8P/At3YQtqHhaw86S3QzNEvy7yoztz+PU/Wq2qfDjwHqOlSaQmlCFGXHmQyFWDdN3&#10;pn3xWcqiaNYx11Nk/H34RLIyjxvakYLbvs8uBjg5+Xg9euKe/wAffhXZJHNP4xgjWZD5LNBJhlDb&#10;c8L6+uK4u68FaMkNv4bg8MWN5eNbuy30EOzC9cMCrkNyeQCM89OabZeCPDlhHDby+HrOaSG1W4ur&#10;W8jMc1pIS4aFsxfPjHUYBxx0rmbOyMfM6bVv2gfhZeox/wCEzjZY2/htpQPYDKdP0zXPyfHH4fzQ&#10;tejUZuGA3fZz07c9Bntk1eh8G+BrmFblfCVgPMjDFjbjODzj/wDV1rB8Q+DfBdrdO48MafFD9kMk&#10;l1IrcEEdgQenpyfxxRGUUynFblhfi14UvY7eVri6jW63PB59uRuAbHQZJGc89ODzWD48l0HxzbQ2&#10;MPiW3s7i3YyJ9utbhQVC5IGIzyRtI6DHJIHNV9a0rw/ZaFp3iC506O2shbvBbLJauFkJbJIZZchS&#10;3GMHAJ9gMkeH9F08/wBvanbG2sfKUJY8EytjJyASMFuQuemM4Oad+4KKLk2l3Xiy+/tfxPqJtdGQ&#10;Et5mY/MXttz0z/e4NVfEfj77UW0PQIls9LiARlRdrSKOx7ge3GT161meIvF2reLYPtixtHYw3QUb&#10;c7Vl4wpPTOM9MjHSspmkXB8lio46dCfbPvRa6KXu7HXofCXiG2uNRt765huHXFuI/LYfKOchunHY&#10;DGex5zhS6Fqmq3lxqn2aGNPtDqbjyvL28liF2/KBz0XAA6cVb8C3l9b38enwXCvDPIROtxGr7flP&#10;QsPl9tvvk84rZ1tpZLxrT7UyrGdqLuO1eO2Pu+mO1c+IrOD5Ed2FwntP3jJvhZoajxvbrda+pl8m&#10;SKKYyNgcfdJJP+6Pr9K7v4teGNHHw5k1q/sJrr5oWtbiZio4KiQYHDAFmXjoR74ryv4bTXGo/Ei0&#10;00RMys8iiOPn1O4jrnjHH44FenfGiS6t/h3JbXCuVjZo/Lzt+YtH298dTx78V5tZS+tw5vIqTjd8&#10;p5Lpmq2QRYWtgvl7fljQZZl6Z7k5711P2qwn0CRJrPCxzLJIGk3Fl3A4znPIB7/jXFeUIl/cDa8f&#10;8W089uv/AOrP611NtBdtpU5aeRv9B3OxQfNnHJ/OujFQsrnRg6r95H6faX4L+GPwu8DnxV4P+E3h&#10;3Trw6ZCss2n6PBDJKpVPvyBdz8nd8xJJHNaXi200yPRLf+3fECw2dqd0arEWkeUAgBTnLDk9MHoc&#10;4zU+ghNb+E1ism1ftnhyLczdFJtxk/TPNeSQ6nqGvSxy6hcMywxqkceDgALjj14A5r4OrGVSLbdz&#10;6ByjGCsjp9K/aF0yw8Rarovja8mlmjs4RpryKYo3gY7C0hU9dzc7s+xr42v9P1CS+mkjsJdrTMV2&#10;zSYxnt83SvUPj2+m3/jHT9L05991b23l3DK2T8z/ACpj1HJ5/vVzH9pWdv8A6O0EeY/lOWx0qcNR&#10;jG7R4+LrTlK3Y6D4s+FG+Co05/Fvi3Rb5tTDmOPQdWivCiBQQ7hDkKwI2nHOOOlc74Y1621O1kks&#10;b7zlF05/dnkKWbbn0HBx/wDWOez+NXjT4j/G3S9N0D4l/ErWPEMOi7lsPt14JXtmKorEuw3MxVRu&#10;LEknkknmuO0zwF4y0jVIfF2qeT9mkt1tIVhtEjMkaJ8vEYCkjglj8x3AnIYGvsOePJe55HsveNd7&#10;guVjVW3+vp3qnfPHFbSKjth/k288Z/yfxqS/8y0SS53yLIvIU9uRWDqU1+HWKVZG+fdypOc85/mK&#10;zjiC/qxJLoWlmws9Mi05Ut9PkV7NVncmArwCGLFuhI5PPIq0usNIdyphdwHy/wB7061nXmpTLD9m&#10;D7WZTu29cCqUl89qkZMbiONSxbHAJ/zmuqFdMzeH7nRLq9zbFbi6YrGuDx1OM5rnfgd4y1HVLnUo&#10;ZdQ1AMsiraQLHthW1G8liQ4IcEIoBVgyysfkKLv5bWPH+rR+L7KxheJ7adlEyMvPzNgH8u3P61s+&#10;CNX1zw7De366Tp7p5JRv9Kit9ysxG4AFWlPsdxPGc9a7KcVLSRny8mqL2seIrn4kvJb2RlhuI7po&#10;dQntsL5kbyx7mAxxJ5YOc5z16njurPXtQdWkuVRV5I9AP89K8r8FzpYS3Goxx6hC0t4/mW8kzeXI&#10;ucjEee2T17g11F7ryT20doQxLP8AvCDnqP8AP51jW5VeJpGMmjr016WW2W6+zqucleeo9etaOleI&#10;4JEPyqx7lu3t9a8/uvELptj2eXtUKoK46+laVlcytFFDYtmR+3Hp1rhqG8Ysr/tDfELWtEt9O03R&#10;blY21CK6iuGVjuC7rdvlxjrtK89mPfGMPwP8SNQ0bxFY6m80klvcYhurfbuHlk9iMnjIPOfu9s5r&#10;b8feGdQ17R47T7C1y1vdLNtVFLOMFTjOOpbP4dOOMTXvDbR21nZS+GZFZrxCWjV9xhyM7m3lVwBg&#10;9OnvitKPsnT1aFOMua6R7NoWoT6h4es724lVVms43+bI3FkB6de9V73xLaaddMiurqrZ+91Pp9P5&#10;9K4xvFRsbaOzsgyRqMKuScepySSSTzk5Jzkk81nXHiCRwC91Iu7nJABrj9DS2h614Lji8ZeN9D8I&#10;C78u41rWLWwSSG3MrRCaVY9wjBG/G77uRuPGR1r6A1z/AIJ+6d8KdLb4e3nxK1XWNY0vSYGOlwaF&#10;FZzyQrtTz8S3JZFJON2MA+/NfDfgzxF4k1/x1eeH7OzmumTyfsVvbws800jhdsaquSzFmGNoJJOB&#10;npXsut/C34ieF9Jh1j4lfC3xPoSmGPbJ4i0C6s1kVujKZ0Xcp7EcEdK0jGPUxm3a6Omv/wBm74he&#10;JLaTSn0W30u0aORL+41bWrFQY+5AWbjgHr17VS+L/wAIfD/wk+Dtp8VvD/xG0nXYP7QgtW0/T5bU&#10;EoXMblQLxpMoVI5iAOOSoINZujfDvRdaiW8j0xpWbJzD1U9+npnv7VfPwt8PWccui6l4Xmlsby18&#10;uTy1HyA8b1IQhmHUAkDI5JGRSlWtdRiybPds4jwVeWuh+DdIsrqP/SV0yCIReXhvlQDp1981e1zV&#10;7TUrKTRvtckLTrmSaEj5Fz2yCPbkGs/xVZweC5ptK069F5bi33WN8FO2SAtlX5GQegIPIYFT0Irk&#10;Trhlj86FpJFZstJvyZPqfSuWnz1JXNuTQ83+I/hC+8IQyakLk3azSv8AK7JG/wB9tvALZyMHqMcD&#10;0rj9IfUfFF0mn2UscMrKXRJrt/mwc4HynPGT+Fd98X9K8Z+KJo9J8O+Hbi7nW0WVYYMBmDsRgMSO&#10;TtAAzk9qPBnwu1X4by2MPi69sbzVY45J5IbG4SdYomhLIu9VKlsE5wx6+mK+hwtKPs0zllpKx0Xw&#10;Nh8S2F3I1xq7Np7JhYZFOwMoxuQn+LIAxwNpOckLj0qTULSN/PN0Nu3JyuMn0rzW38V21oiWmn29&#10;xb+YxdLeZhujz8208eh/E59Kmj8S6jfXSRjd5m792q4zx3NTWupkezjLU9AsJ7W/QzTTmONm+VVX&#10;lvyx2/z2qS1n0uNZDbTyMd+JI5GDGNgqrj8gD75zXnngPxB4kvf7Sju0km+x6tNBvK4+63Q/r+Nb&#10;N9rF1aMu2yZZrhjJIyznc3RACOxG0++CM8YrGUuV2b2K9jpsdJLexI5cyLwv3lGMfnXncdx4w1Tw&#10;3rkNtpzLBNGNOkjlunUeWjRuDhCpxvjSQbsqeM5HFaF/rl1HJulSXcq52bhn6n2qjpHi7x5dJJ4d&#10;06LTVspbxplkm0+OSU4QLwTGWHfpgdzkgVVJxlL3mL2fLrYp/By7uBok8l6Y/tFvPLZtcKp/eRqU&#10;kUEk9QZZMcDII9K7q21ZljDzPjdjGehrhdF8Dal4PhuNW1a3meZ7tpPtKu20FhtwB05weo7DPQVc&#10;hnvrwt9nDbQRwznHT8qzqVVzNIqNG+rR3UTXU0iqI2/3lxgcd6sSIkZ2yf8AAtrf/Wrk7HVNQiCr&#10;AsixKeGZuM46ZPP4VrRza3PEk8dlI0cnKtuzurKVe3UfsfIb47vriy8G6hqGi2NxPdQ2ztCluTuT&#10;jBlHBwEUlz/soeleG/FXwd4s8NeH9P8AFtkZCt1CJ96yF2T5lPzDJx90fgK9v17T9SvdNns2tHRp&#10;4HQhlyvIIzjHPH4Vy3iWx+K3iDwo2j+Or8eTZ2DixRWDrnG7jAVhjnkk9ema6MLiqX2pIUqM0tEX&#10;vAviWXVfBtpfzo6zSKxuASGIkz8wyOCc5NXn1mZPneN1HTce/wD9euV8Mvqtv4Q0+c237uSxjZVi&#10;4VMqMD+VVbTxTFdwyQPcYkXIxv68Z5XPat/rDlJ2Zn9Wjpod7DryBMtFI27ndu/xpLfVbSednZZh&#10;t4Viw59e1cjb6mzxKY5m2yYC75gyls44JPPJ/wA9KuWO+eWSzVcTK5EkckmGH1GeM0vrDtuP6vHs&#10;fSf7KXxE/ZM8I2euaH8dX8KzTTTW91p6+Jfhde67N5nlcbHt9Us1hVJUGVYMXADBkByPQJvHn7Dv&#10;i7RYdWvdV8CaS13Csn9nWfwT1WGa2kPG1mXxJKrAYbhTjkc8Yr4mj0LxRP4tW3i0y6bdEQ3lqcR4&#10;cqFcPjDcDOcfpmvp74CfsPTfEzwRfeJ/EHjKbSWtY828jrEsKuAWIZmI65GMeh+lKpGPKp3HGPK+&#10;WxzHxW8N/s+T6imteGPjhJ5N3MqTQ6D8Kbm3iswE/wBb/pOtvlMjJCksSxxjtxfj3UPC1h4skbwH&#10;r76pos0KNaahJ4dbTGmfkN+5a4n+VcKN+/LEHgd7Pjvw3ovg6xutPTxrBNfQtIkVoL6BEncH5cHP&#10;AOOuRjk9OapR/Eb4Oxfssro+teHWg8b2+pQxQPdXLoyW7O0rTKvCsAoaJlYEgsrdhQoOUWnJKybV&#10;+vl6mNer7CULQcrtLTpfq/IqQa1duxOd/crkfSsrV9buYgxkGPpgZrnYvGFtnctxCmf7snI5Hp/+&#10;usP4ieMlPhy4+xz7riPa0LR/eB3D9K8+nVnzHdKidnN4hMckaBd7MwXb6/lWD4pnOo6r5NykJ+xq&#10;4twsgbdKcAtuHy7QMdSSdxGQowciXxAkWlpqptpZLFJFVLiQNjJ6Kffg/Xmtm38KazqM0IisJIIZ&#10;VEiz3KsI0XGcliB8uO/ofy76dWd7dzH2Mex574l+GFqmgW92ptfMMTzXHk/etvmJIckYOCWPU4HU&#10;AnFY9h8FvGtjFY+LdQ8Mzw6Te3TRWc08hfzDhSFGSTkBl98GvqTxh+xR8b7D4XW/inxZ8GL6z0vV&#10;7ZP+JlYtK0MscsKTodzFgN0M0bY44b64yfjt4tg8Lfs86L8NBp6SXmh3aax5z3AZjutYFETY5HKt&#10;nJ5J6Zr1ViJStaK07HGsL7NS5pN3/C55t4B8LWvhK1kmh06KGWfhnWMfKgxx9SeT68eldDc36yQN&#10;guJAuAAwOfpWR8N9Qu/HsRtNG05pLyGMNPa4O5QcHIHUjp9OnFb2p+DvGEEP2tvD08e8ZZfLbt+v&#10;+RXDWxUvavmdn2OqjhOWmklfzMC3vGsrKGxZmKwRrEzsw3cLtycdz1qvfawkTxwKwK7cKzd6z9R1&#10;o6e0yXSfKud8ZXoc4/z6fzp6rdG10M+IBazR2LMNs0mWA5IAyKFUbK9iuxc1fxHrWlajZ3ulvsmm&#10;h+yyBOZGBZQAoHLZ3YwMEgYzzirnxf07wt4XtriXQfHOuTX3lE2v9paHbW4lj2E7Cq3cjKpwuGHO&#10;3nvXF6p4yuZrVksL5opG/wBXMyttXsTgdfl3Adevviue8QyWEXh2aS+iZp7hoba3mjRi0iGYyO8j&#10;EcuxVPXABA+8a6afvIhqx6Jpur7tPh+0J5bCFf3ZJ4O3vmsjxnrFhqKDToT52WVbi2DYLKTwCSrK&#10;vzAHkZ9KraPqWlaoLyxXXY4ZrWBQu3LkuxwucZwB8xJPTGDyQDmaZHN4b8Svp1+kgnt5N032hmxI&#10;UZjynBO5sL075zgbqinFylqOp7sdDof2iZdI0PwjpPgiz0eIXCrbypMlyQYE8phIn9073kRt2AV8&#10;oAE72ryrxPrN3cXcYu7xZx5EeyOJvki+QcA9CfX3Hetr4ueK9f8AEmpw3ninU2uLxofuttUqM8Lt&#10;QKoGP9kc++AeRktrl5w5ik3SY/U8Dn6flXZGPcx5ifRbi4up5LKe5k8kMJWgViI946kDPXtnr2q/&#10;ewIhZk/iXp6A4/z6+9V9G0+S2GXjk3S7k8zsGUHj8COneuitNG+xSYvUbzIyDHCvXI5/QH6dPWs6&#10;klF6HRRhzIueCNAMNza313Oi+ad0cPUn+HJGeD7/AKVt6rpcjSzXaWjSP8xjRWGCe3v/AJ71Ssnu&#10;J7638x1/1ylYhgfLn1yM/njjPrnpJIHtWI3x8D5W4/p1rxcXUl7RSPocDRh7Fo534MaRf2fxNsZL&#10;yzmXzPtAbdGME+U3scdeOevf198+JHwI8ReL/hVezaGnmTQrJdXlquZJHSLczsEUZwqqSfTDHIAr&#10;i/hTDHN8QNBgmEGZNRRA10VVOehJbgAe/t3xX1h4ifxL4k8J+JrTTNPutXktPCd/5i2MEs5SBRcO&#10;0gG3KxgMSTgBQCTgcnw8wzCpDFQa0/4c53g4Uqig9Uz4FXwJY28OHuLiZtow25UVj3429APfvWpc&#10;2dpb6VNDb2qKWtyFZm3YGOnXmtiS2jjdS8salsFtzjgenSqF7blYZlhUKFU8ISeo6e3/ANevUdSp&#10;UlaR6HsKVGL5Ufo/8N7Sf4g/s4+GRpuom3k1DwvYyLNIuesCZBx0/D9a5+2+EfjLQ5j5ujSXEanA&#10;ktWDAjsfb8q6P9ka4N9+zL4Fmm3b18M2qc/7Kbf/AGX8816lYJsQgr35z+tfH4n20eZQjfXsbxlH&#10;2a5nbQ8c8Gfss+GtT1m4+JWrWM1pqUjYhjkUMjEdZWQ85x8o5A4JweK+QdS8Pac+o3DNdxZMzHlj&#10;6n2r9HfFUskPhTUpoXXzhp05hUt1fy2xx7nAr89pfh/4seVml8GeJNxYlsaXcdf+/depkmQ5/mEZ&#10;1KeFqSWmqhJr8j53OM2yfBVIwnXhF+cor82dD4m/aK+GBj0uy0D4PLp+o6bp8NrfXVvqG6O/mhQK&#10;1xsMA2l2G7Hvz0rK8aftP2fiTRbPR7Pw+trNa3Ekz3l4rTCdmUDG3yhjGFwc8DisvRfCVpqnjC3t&#10;NLu7rDrIYZoZFBXg4HI49PUkiu80T4DaxrELT3PijVooxJtOy4TjHvj3qpYynThaotGaUaNSc7xP&#10;LdQ+MSXlusMmnWDMsgbMVgwOQRjqPpWTdfEK6hddQm01l+0hpYZFtjjZkjcBjscD2r1H4kfBXwx4&#10;Wto0uvHOpLLdzMjSXCxspfAIOFUHuPw9Otcl45+F2r6ZZWL2Wrw30dinkwrLHsmZXLOFYCRl/vYZ&#10;eeufUdeHlhasOaK0Kr+3pys2cU/jHR7qaO5lhjRtpEjSWLsXJ6k4FOv/ABXaSWszOJHtYmUbYrLa&#10;WySO+P59B+epqWlXukaK99f3L2txdQ7ra3xtQ/McDpzjHt2rBk17V9Kdb661yO6YCN1hiky0Z4ON&#10;wHyEZ7k9D+HXTpxqao56kp09GYWtrp1n4ztLuDbMlu0bvGtu+AoKvtOQMnHB+p56mrGo+KfNgy2j&#10;al5aHDotkqKHxgjOep684x/JlprXiLULiS4gmlaa4P8ApKqAplU44yBwfYDvXrl/8MIb3wb/AG3N&#10;q2sQvK/2ie1nvEkVnJAycIvzY6nnkV0VMRTo8vOiaFOVS9jxy28TWNsgF5oupbd+FHkDn6En/PtV&#10;+L4nQWzqW0m8yq/KGsYztwR1+bnP61s+JtFvrS+trOC6uLj7QqrDHNKGYsWAAHAGDx+tZN/YXFre&#10;tFrk72q7cD99t+YHknBB5B9a6IqFaN7EylOGjY268dR+IorjV7rw9dbo/LZWSwXDNuOFADYHGemf&#10;u9K0tD+J++aC9t9CvpJPLVY2/shW3g89n57n3rOj0m4nZTpviC6uP4sRXx2gjOM5f0J9Kn8B3ljd&#10;+JdK8GJcapDJfXcdss9vqyhY2dtkfylG+UBkB+YcZxiipRg6d7BTqSctzuLb41yxFZX8JXKeWpK7&#10;fC6FlPHzHMmSa2viH4lEeiWt5qeki4mmtLWeOGPTIEZUlgjuFY7ZywG2TbyAcqdyrkCrnjH4WaD4&#10;bn05Lfxb4muGu9cXT5rc6hGJG3W8sgEf7sfMSgGc9yMZ5EfjnQvDum+GNJtE1vxY2pA21tLa31xC&#10;xWIy7FjykYLMI9oXdkgEAkjaB48Y0qnvRj+Z3VOanpKX5Hnt140tLtVey8O3KjarN5Nj97HJxzyP&#10;/r1l3Ws6XdABtJufNzlvMhA/r+tdxaaJ4fjs4btNd1LzJreGTatxhAzQMZFA29BIAo9FbByQSa91&#10;pNjNerE91NJut1OPMIIYk5Jxj6e9ZyxNODtYwcXa9yh4Mnl0XxDcRxWMqiWSOPy40AxtIzn0H8+9&#10;fRMf7X3jDxD4Xj0D4h6Zq3i+OCxhtNNl1i3Yy6fbpIXMUUkcoLISxGHzgDAA6V43oNxZtrEVrA0k&#10;lxJdAqGm+/357dc+le2aV8EdA1XwJZ6rp2s3TaglrJJqEf2gpHGwXOEHB6+pwe2K8fEY6pGpzLQ3&#10;pUZVY6a2PP8AxH+0XrMWoDU9L8OPYyQwtDCkcZICk8ggsc9efr7CsmT9qHx4DJbXvh6F2jXe7SWS&#10;MdmMZHHuKzfGNt4b8Iag1l4y8T3mn3n3lt/7LaZZIztIfcHUZ7YPT1J6ZkOgeDtegurzQtY1C7aO&#10;TZtj8PvGrYxlSd56AjsR1r1MPCtKKb2Zz1I007dRLj4n+MbiWaPTNB1WSz1KzCFY7THmLhT2JyCA&#10;vfJxz1rCT4h/ErR4V0+DwZqHkwfLGv2Hov17moL+KTw5PHa6ha3iK0rJZSXSSQlsDoueh24H5da9&#10;A0j4R3up+Fj40vRcf2ddKJbVY71t0QLEbSSeeemeeM9zXUnTw6vJLUKfNUbS6Fj4BfHZdH+J1r4h&#10;+KvhhtS021t1K2d9HIix7GyAcZwuc9iOOg61sftmfHLR/jD8Wo/HXwm8AW+l/akhaSHTrZolPlfe&#10;bbl9pIPJLHj0xmuF1D4YaZpHjebw34zvtUt/9HtmtYbG8MoXzDIN8oUkMMoflHOCMDrS6b4S8P8A&#10;iD4iReEtMv7xpINPuJpo44zEqEyxhSnzt6suOexzzx7NPFU40uaMenyOWpRnKpZs4jxRqOoP4juP&#10;E/iDUby5up7ovceTCZJQ/Us7BsE5zxn39au+GfH97feOLBtIj1BbriK1k+xqJN5PA+90OcdcE49c&#10;12mvfCXUvDuu3Npq0lxHazQ7rZVu1MztkZJHPAweSOuK8q8RaT8RfD+s/wDCU6BJfQQxyrLZ30Nw&#10;4aHYF5+XlcMpPb8acK1PGSV0gdOWHVjtPhl8e/EOj6Lf6va2XiV7fUteu7hf7P0eORDIzCR1Zt/D&#10;jcCQAcEir2r/AB91K51D+0NviwSRqDvuNLiyBnI43e3XJ/x8i8Kaj8Tmuo9L8N6tqENv5zTxW1tJ&#10;J5csxA3EJj5iwUZyOQOeAa9n8G/CmG88FJrvxM1DxBDqS2zyNFbX0YVVXfgNvVj93aeo5LZ9KzxV&#10;KjRlzSS1NMPKpUjZM5vxH+0Lqet3bXt0dQaWQNDI0loiSMuSnIDf3evPWjw38ZNU0SfT9eSHWLeL&#10;7aws5ooEklMm08bWccnJHU1Z8eeA28L3SX9gJorC4CG3/tK9iM77uO2By2cf41FYaNaaprWhad4g&#10;nvLex/tQx/avN8va0sLiPbksAvmbckgYyc1Ps6M6fMo7BepGdmze139rnxhc6VJol1Lr01m8kjyL&#10;fWqKMls8Lkg8f7XXt683pH7Qf9mW8lklnqTQyKI8rZx7wMcYYkZb3Pt+Gv8AFbwHf+C7y6t4dUjn&#10;trScRKtxqSPOzED5gigHbgrg4HGa5rRtJ1XxTq1vo0EdmqyQu7+fcbVO0Dufc55/pmsYUqDjoipS&#10;mpas6ux+PN1qskNlodrr1xNI2zypLeNYWyRuyuWBbgdR97uASw2bz9q7XTp1tDpWoeINlu+2Ff7K&#10;hQxlflx8spx0qn4e+EOl27M1/wCKbC3njZXAS4UqvXnGeuSO5Gam0j4M+FGikhvvG9uD50jKyzI+&#10;0biQeXUcZA6/n2ylQw73iT7Soupd1L9qz4ralCl80etLbx5Zpf7LjQL2z94g8nuRWNN8fvi344c2&#10;+lWmuahJFYTW/lWdiH/dvtByQOnygdPyp198PGTw211pWsTTs+qXkVrK06RwXMMEsykrGCSCfJLd&#10;SOcehN74P+B/D3ifRNW1XVr7ULWWx0a6uZJLW92bRG0WGwFORycg/wB3jHfllHD04uSjsbc1SWjk&#10;crrfjn4l+FvDmleHL/QtVjW1s4VjtWgMbxFNwVWHljblFLA5YkdelcXpuu+MtJ0WSTRdAuVtxIxZ&#10;u3p1we5ruvH+veBr97oeHfCmrNZqhjs9YuryRmMqsx8zaxO5NpXuCoPQ5rn4rJoH+wap50cDAefC&#10;oKsuCD90kAHjHPQE8Zxjtov2cbuO/wDXcxlLWyZlaD4z+KWpW/2DStA1JorVfOHlTuwVVOS+NvAz&#10;39q2PCXxU+KeneGr7XdEsr6f7Hd+Y2Zgq+XJJJuPIzkOwHGevQdR6H8FfDXwy8SW2tWdz4QaaaOO&#10;EW0txq8yOsZLBzshZM5O3JJYAleBk55Pwl4MA8N31loHhOW+fUIZre4EMxLfLKxT5QAygfuwWJbP&#10;zcDjPRGpRqya5NgkpxipKW42H44/tH3lorWHg3Vmj3eZHGtsfmbBByNh45z7Hmql/wDEf47ahGr+&#10;I/AOpI0eNzs23apBI3fJnHynsc7eO2ej1JfhDffDjQ9R8LeJRHqzXaxar9oupmumR5yPMALlVXZy&#10;QOenQAg6vjH4f+DtU+F1x4x8MaPeSG21iOG6VLuYssPlXIb5WfqJUi+i7s+lZSrUYuzgt7bGkYym&#10;r8x5Rqfjq/1O+ls7613XSzwhrdt7SOzKpAGIwuR905IyemQc1seI7HxL4d8SWsJ8K3VxHeWdlOXb&#10;aqb57WKVo/4slGkMZbIyVzhc4HZWvgv9lvW9Ct9Z1fXtU066mhjZrOx1SJvs74AKlZLd2POcknkd&#10;MDFa2neGv2RoraE3Go6jc3Ee1HubzUJW+UYAyIoY8gLxxjgAdeauq4pWUDFXb1kef6TaeLrnM9n4&#10;SddxAzJcRjLAnrwOh9R1NQ+K/DXxF1u3Wyk8NxbZGwjfaIvvf7wHXj8P0r2DTtP/AGZ9elGj6N44&#10;8O6baw+bKqaot9cxJI21TtCTxsrEBc7iR8gwBznvvg38HP2aPGviC88Pz69oN/JHZrLb3lmzJG+d&#10;24eXMzNldoJ+ZgQQeMkDxa+N+qz96D08jto4f20dJb+Z8t6B8L/FWtxw6d4jsbezsLmR0gvIdQgZ&#10;jdlmWPenmgpGZiFZtrbVYsAcc5V1p3jaLwbbXmraRbXKtC6TRjxNHDJasGHln5nZcMuegOPmBC4G&#10;Yv2mPh74o+G3jm4gvb7TmhuLiWawWzPlBLcyuE/d5JQY4G4lvVm6nyuTVL+WJrCeRf38i/6nG0dQ&#10;Cc/7x74P5V9Hg4+1pxqJrU8/EPkqOm09PM+pvAn7R/7RfgjwvLo+mfHHxFa28kcf2nSL7WIryOVM&#10;E4DebJk5xgbBuDdulcF8Q/FWla6l94i1zRdNa4vJ8zXEdgARI+Tv+XKnkZ3DJziuY8P+IY9F0+30&#10;0eHtNuxb2i27fbLYN5jY5k+UrzngdwoAO45Y+k+Fta8N6h4JbUbb4a+H5HOTMy2QAHz8qpIb12nP&#10;bOBk7h2rETi9YL1RzOjp7svlueU2uq+JPDuqLLoFr5jXEOJJRcbSg3fd5YHPCnp6D1rdvB8U9TgB&#10;bU9JOR0vNbSMBvUb5OP06fnseHdQ+HNxGz61odjps6+KN0itpLPC8OyPMeScgAHcR0O8+ox7V49+&#10;DfwrktZNGstD8NRrc2JfTdQ8pbWOd2UEbjksBljnax45AGMV5tbEc2IjDks5eXY9CjRfsW+a9j5n&#10;uIfFd1pOoJLqWk+ZZ3MKyumoxyRyRkNubernIB2DgYy2M5BFcxr974qi0doLufTlt2kDtFb3G48H&#10;gkdjz0P4Zxx7Drvh/wCHPhhXt7nUNJXzI2TybVllDIrdCuMZyFJYjPYACvL/ABxcWEWj/YYms2jZ&#10;TMrWsZVg3KhSdx4+XPQHJ9MZ9CNKWj5fwOaTW1/xKeqzeLBJHZXuo6ZJ9qX5XilEm3AwMlR+g6gV&#10;V1KLVtYv7jTrS4s2t4ZiIQG2hVH3SO/Su0+Hvwvu/HPi2z8K6J4hsW1C5QyRQuTvJVN2xQxXe3ba&#10;Dk84J4rN1fwzLozXKW1ysn2eXZcs0bK0JBCEOp5TBwME8NwaqNuiMrdDS+HPw/vvEWkSRrf2f2fR&#10;hPeXEl4qjcGEK+Xu5bLnaqhlK5DbSPnNclqWrajofjFdaubySdxIyvbu27Mbr/qyc8jaQByCMDGC&#10;OPQ/h3qtt4bvf7QW3R2mhkR7hUkMsTAxPG8arIqbg6Yy6vw7YAOCNz48eA7fWPFNv4sPgX+yZ7yC&#10;SS48mUtFcTthmm8shnVy7yE7pXB3DaEUBQU69OnLV6sqVGpLZaHj/jfXdH1DWIdTW13TRRnzIVUq&#10;N2evB479OOn4YsYlMDSPGWkESldrBe3+H5V9hfsj/wDBO/4a/Hj4bf8ACyfiX4y16Jri8mto9N0v&#10;yoTF5TbcmSRJN2eeNo+te5+Gf+CYX7Inh21lg1bwvrGutLJ/r9W1yVXQccD7N5S4+oNfcYHgnOsy&#10;w8K8VFRkrq76fJM/F8+8cuB+G8fWwNZ1J1KcuWUYw6rfVuKf3+h+dfh/Q9Wi0qPxNBAjww3Lw7pJ&#10;wcMyeZ9zqRt78enXOJ7eNRMs29ZGDZVyp+fOePqPTn+h/UrQv2Rf2ZvDekpoWm/BbQ5LePlWvrc3&#10;Lk+7ylmP511Fl8Pfh5o1vHYaX4G0iGGH/Uxx6bEFTjt8tetHw0xlV81SvGPkk3/kfFYj6UOSUY2w&#10;uBqT1+1KMfy5vu/E/Lvw58OfGGo63Y26eEdWmaaZVRYtOkbeCQfl+U/5/OvVtF/ZU+NOo6jHpUXw&#10;v1mO4ZsmS9tvs8XHU+ZJhFP1bmv0EeT7qBQqr91R0GB6VHIwZNin8+9dS8KcvqWdbESfokv8zwq3&#10;0rOIIxtg8vpxv1lKUvutZHxv8MP2NfjvY+NbDVb7RbTR49Mv45zcX+qRSCRQ2SqC3LtnH97aMnrX&#10;vPi74Ex+MvCd7oOq619lnkglgt2hUzRpGyADrtPD7m2jj5sZ6mvSmBHzCobhgR8q+xr0sL4T8Hyr&#10;RlWhKdu8v0R8jmH0j/EjMKl4VKdNf3YK/wB7bPmyx/4J++ErHTvK1v4hahNdN/y3tLSKJB6Ha4c/&#10;+PGtRf2LfgtaWS21yuqXEgXEs51AoXP+6uAM+wr2zUWRo8OKyb7b5gJH/wBav2LIfD3guioyWCg3&#10;5q9/vZ4Vbxb8R8y/jZjUt2Vor8Eij4euZ/Bfh208H+FZXs9N0+3WGztYzxGg6AE5P6059X1eRG8z&#10;Vrpw3JV52xzUNzJsbpTdmY9zjK/rX6zlvDfDuDipUMHSg/7sIr8keRiOI+IMZG2IxdSfrOT/ADZv&#10;eGfhj4g8T6DP4isvIhtITIPMkm+ZzGELhQAeQHQ/Nt4PBNOi8NeA/LXz/HmtLJtG9U8NwsAe4BN4&#10;Mj3wPoK90+AzeAPiX8BNL+GGm3eg/wBvafrE0txZ63cNCXDHIkQKVMuQVUrk9OQQBXSXH7P3guCe&#10;SG5+I3gSGRHKyQtZ2mUYHlTl88dOea/hzxS8fvF/hvjrG5XluE9nQpT5YL2PM5R0tLmtZ33Vj/SL&#10;wT8Cfo45/wCHOCzTiOtKti60bztiXBRd/hUVdq3W5+SZ0vURqMK6TZ3Ds8mYzZvtIJ989698+CVn&#10;4yHh2ez8Xm+kmWZWhe6uDNsUjb5W7JwRtDFeg39iDXaPrvhW02tpv7P/AIwAHT7P4cgDL9P3w/nV&#10;Ob4nR2nmRH4K/ECPauVX/hHIOfp/pHNfzgsPnmOo8n1ad/8AC/8AI7KedcN4KXNLGU1/2/H/ADPG&#10;/wBpi11i58caXpalbe13Ru1zJGCobJBILDBwDgjOCODwcVxn/CY2msRWdrc2+mwfabiJbOGO08vL&#10;+Yo3nCjy2ALgu6gDYyoTvwfa/iBJ4a+KM9u/iH4SfE6AQsoaSy0C3LlfZWnwf09M1i+CdC0HwVP/&#10;AGnD8FfiVdXkkIjX7R4bt2WIdTtxOMc/jivocDgc2o4P2bws7/4X/kebiOIOHKmK5/r1JL/HH/Mz&#10;fi/4F8NN8Pf7R1Hw5DNcaXaYhmkkcMvy4xlGUnPB+oBrwHwZoHhjWdVsdLaeS3Wa5ca1Pfh/It4s&#10;sTKPIV5CiRjzHwrP8p2q3Ar6V+I3iPxD4q8K3/h6w+C/jwTXUJWF7jQYlUH3xMSK+frX4JfGBbx5&#10;R8NNXj8xtvlyWLA+vPHSvQynKc4hBqpRmu3uv/I5cw4q4ZlNOGMpO3/TyP8AmbXwm+FXhjxR8UrX&#10;w21rJJDJpN3dzWtvfpIq7LGS4ixKj4LEouVBJUkqeQ2PfLbwH4butOTQpdBvNrYJP2o7u3fefTn+&#10;deRfBrwt4/8AhX4wuvFmq/CHxfe3BtWhtfsenjY5k+WUtvIIymQMepzXq8fxY8VQoZ0/Z68ZNj+E&#10;aegP4fN0/wA471z5lk2dVsR+7oTaX91nRlvFvCscP7+MpJv/AKeR/wAzxf8Aae8EaL4X1e10mw0O&#10;6hUws3mGbcHyR0IOBg/lj614Vo1nNbeLbU3OhSalD52J7Fd/7xO5wpB4+926elfXvxI8Q638V/Cl&#10;x4cu/wBnjxZDIv8Ax7XU1rGrRtj7w+bkdiMjI9OteKr8KPjV4b1Zr/R/hRrDO0IVpl0syY5+nHuc&#10;9q9TK8Dm1Oj7OrQnf/C/8jjx3EvDMqvNTxtJr/r5D/MkGneEX0WbVLP4ex28cd06fao9P+aCTCsE&#10;dTcZjBDZVnVQ+GwW2tjz3WLK7t/Gd5pl1oskF1aTMJ7VjhkkweVcM4YbvmBDFTnjjFdxfaL+1Ki+&#10;XH8Ldab5t37nQyOcbc9PvYGM46VofB7wn8W/Cnj628bePf2dfEmttp6kWEDW7wor7tyO2ImztPzB&#10;emT3r1KmBzCFFy9jJ/8Abr/yOGPEvDsppPGU1588f8zL+JPxC8UeJvFVvpks1sv2NoZbqx1HT4pr&#10;Z79IPLfzFddpGS/JGFJ9Bkb3wo8KeNvjZ4gtrjVZbywsbfUAJ2tgwjVvlKCJiTk7txHUKANpxtA7&#10;zXtIt/iX4pHiDW/2TvFGm3U7L9qvLa7dVlx/eU25HTjd1r06P43+MfBGkWPhfwn+y7qn2XT3SS3a&#10;C8faNueMfZ85Oep4+tfN4ijnkaHsqGEnf/C/8j0qfEnCbrc1TMKX/gyP+Z4v8RvDuneHvFtxbrZJ&#10;CILiaNY+cKquQOpJ6478n865ueaK6uEX7vlwvy3y7uMhcnjPp2NfQl9+0V4w8QTvcav+xJNNIct5&#10;t1OGZs9cE2n8zmuA1PT49S1b+27b9jnWIGkkMrww+KHjTd6BTb/KPYYrgw/D/EFSzqYaf3Mdbi3h&#10;FPTH0v8AwOP+Z5poB+1eL7S/hkuvKjCtsgtW8xVDfMNrA9MA8ZyD15rvviJ418caF4HuNO0aKaxt&#10;fMSK+ubdWy6tkr8w+6Pl2k8duuefTtM+O3xKSFEsv2PWRUXbuk1yGM4/G3yeay/GXiz4n+PdF1jR&#10;NR/ZoltodYtY4n8rxDExgZAQGU+SM/e9BXV/q5nkqibwkrJ9hR414Np03bMKWv8AfX+Z8oeIjfar&#10;LaPp9uzSQtlVFv5jHucAZz/nNfTPiv8A4KF2qeHpdMtvg74finEaQGRfAdnCIflHGQgJJHf7xDZB&#10;rzE/s6fHS1dbyy8GyK0edrJexhsEFSMbqy739mP9oK+YvN4GmmZtp8x7yBSeOOrjOP6V7dPJs0UV&#10;H2El8meTU404U5r/AF6l/wCBr/My/jV8cY/jLZ2KzaFZ28+n3DSW81rp0dvtjbkghcbxlV+8Cfl/&#10;A9w/xT1DQvgRa+HbtpzLfWqfYbhU/wBSyspIPHXuB14PpXM+H/2WPjrpeqLqN/8AClruJVYG3/ti&#10;CME9jnJ6HnoK9i0bwv46/wCESh8KeIP2UY75Ut1iluJ/F1spZsAFlHl/J68c8n1Nc+LyPNp8vLh5&#10;Oz7M1w/HHCMOZvH0ldfzr/M8F8Epc6p8QU1rVvGNxZ3Hll7WVdH+3PJcAfKjKAzsknCkBW6jKsAR&#10;Xu3wj/Zo8f8Ag/UNY8a62j2kd8yJpVrG03mwKkySNIVkCuquI8BXAdVfDDJYHU+Gvg7xF8KtabxB&#10;of7LzSTdI2m8aQSNGvouYzj3PWvRk+O3xvcrDd/sot5Gdsjx+NrUsEPUhfKGT7ZGTU1sr4ilT9lT&#10;w0rejNaPGnBaqc7zCk3/AI1/mcF458HXF/4Xv/EMkkPmaLb/AGqF3hDHlghTOMgMGGfXb7V5RP4G&#10;8R+K9G0LwpY6dc2ttqN8z65dmEYs7FfmnlY5IRRHu5PcAfeYA+weK9X+JniDTZtHm/ZPnW1umzNC&#10;3jqBt4GWUcQjgPsbr/DjvmsfRfE37SHhSVrvQPghd28kmFkMHiaEZIOVJ+TBw2GBx8rAMMMARtg8&#10;izylbmw0vuYYjjjg+tflx9L/AMDj/meJfCy28AeE/Hx8V6clrDo+oebpNmX1KO6miuEeMjOCrYKy&#10;H5tmDuwM7Wx6zr1vZpplxcXTSPEIJA8Xln7u05HXuK42T9nv42/C/wCLS+JvBXwikv7axcTWa2ni&#10;yDEc21ioDPEQpjLhG2h1+VvLlYFZD0k9r+0bNZKLv9mxt0mQ0LeJIH46dk54z2HFd2O4fzepUU4U&#10;JO/kznwnHPCkabjLHUv/AAOP+Z88eJ9R1Lxq9wXjmupLgtHbxNbeYZCVwsaAg98YwOuMcgGtn4Yf&#10;sz/GL4rfEs+DvDfw/wBXsre8lgefVJtDkS3srdUAAID/f4b3nklChwqEgLvYk7Qu9iDX0x8EPEfx&#10;U+EGiXGgRfspajfW8l890tr/AMJbFFGhIAZQPJbA49ccfUV6g/7Zvx+s7dVtf2KJZN/YeOYgQ3A5&#10;za/rz+lYVMv4jp3jSwkvuNI8XcFTfNPMKf8A4Gv8z4a+JngfW/h/4ll0rXbt7mRpGLT7DyVdgRyT&#10;lsYJ56Ee1ct4r1FrjwtNY2mn2/m/aVkW4Zf3o+XAQHsCcE+vfivqH472fxM+M9osA/ZSvdNn85pU&#10;uY/FkMjRsfUfZwGX/ZBBx0PPHjmqfsn/ALRN1YyxxfDiTzNpK7r6Hluo/iHtXTh8mzipGPtMPJPr&#10;ozGtxlwlzNQx1J/9vx/zN74R/Fr4SxeE7O18TfBC8v4dNhtrW6ureOMgzsr7SzP03bGIHqD6U79o&#10;TU/AXi3wh/wjXw9+AureHdZbybtLi/WGPfA+NpBG0hSFJDA859q5a3/Zm/bG0t8aH4SuoYY2byN2&#10;oWw2AjBwdx6jrzzWzoXwB/bIScrqXgy6nhZmaSEa5axeYxAG7du68DJ9hXRPIc0WqoS+5/5HD/rp&#10;wrs8bT/8Dj/mcTYWWvJoFveT6d+5jt18loWUAK3I4Bzk55I6nmut+A3jbxf4L+MGg6j4WtGv1/tC&#10;GK+0trFLxNRtTKhlgaCT5JgyqRtbqceldlo/7O/x7j0q306f4VQxxpCIvKl8Q2zlVA2gH5vSvRf2&#10;Zvh/8QvgB42n+IV7+zyuuagts8Nisnja0to4CxQlxlHO7CkZ7Bj+Pm1shzxRco4aTe6VnqdceOOD&#10;+ZKWPprv76/zJ/2jPgPo/wAbtG0zRfgp8OtSsb7wf4h8RjxTqF1pdxYre6LJcx3enBkeIxpcIktx&#10;AEUGRVjXcPLSMj5cvptc1PVJNX1CE3FxfTSTTSTSL88ruWZsY45Pp1PSv0Sf9qr4230UltqP7IEP&#10;lyIVb/i5VmwcHqDiDvXit58J/C954xbxPcfseah5LSeY2lx/FC0EBbdu/wCffcFz/DnGOK5aOT8T&#10;Tb9rhJrtZGk+NuBKaSjmNN+skVv2Zv2TvijqHhNvFMHgnTbdr5QN19qASdI8A7doRmUEjdzjOR1G&#10;K8u+Jv7In7UGgeKrjw54B8Ba1eaPeXjvaXGkxu0LusrwFZpY0VUIZW5YopU72OWNfYGnftRfF3QI&#10;RaaR+yEIYVUBI0+IloVGBgD/AFPoB09Kr2f7VHx00W1awsf2VxcRfariZLibxzaqxWWd5cFBGcY3&#10;Y+8elceHyLjShiZVFhJNPo0b1OPPDupSUXmNNNdpH5y+M/hT8RPhH4v1DwX8QtCntdWjuvMukmui&#10;yksSwZDyCDn7wPzHnOa+lv2T9J1f4qfs5eJvAum6HFZ/2XDcTTagZG2zuf3g+6oJfHUZzxmu4+Nv&#10;iH4gfHHUrDVvG37FdleXGmti3kXx9DHuXOdj7Qu9eOlamh/Hv9qLwJoMXhz4c/sgeF9Ms7bJgtIf&#10;EEIQH32yDJ9SeTXqYjh/irFUI/7HLnum+2hnR4+4Do1H/wAKNO1rfErnwZ8LtX8bWHjzWNO0XRLy&#10;/wBzefqMdnFGfs0MXymR3kUpCgLhS7EAEgHBIr3X/hJ9Ul0u1urr4Mrbw3nnRWst9eSwm6ZF/eEf&#10;IpYJn5ivAbAOCQK4/wAf/sg/tIeJ/Ek3iLwd8H7Xw2JlYz29r4rSQSSs7s0hZpS3O4Db0G33NU7D&#10;9i39shHAmWKMlcYbxIMZPvk19B/q3nlSmn9Xkn2seLPj7gynJ3x9L150cOnhrVfCWrzadqs8P2pV&#10;DTGE9SxzzwDnGeOnPSuu8Ep4p1HxHYxeD/tEmpyXCrZLCcM7Z4x2A45JwMA54BrttA/Ye+P0v77W&#10;rjSxMy4ka41JmP5hWNeq/s7/AAQ+N/wC8STeK9I0TwPql40Oy3k1i6vGFuO5QRxjk+pzxXmYzhLi&#10;aUXyYWUnbQuh4ncA05e9mNNL1f8Akef/ABW/Zh8Tal8RdL1P9pOeLRbf/hH4xa2NndIsmozhzsij&#10;XcSwBYliATwoIySa+dfjLpvg3RPiJdaB4U8JRQmzfypo76SVmSRG2s3zEFDz93jBTkev3D8d/h/+&#10;0Z8ffE2l+JfF9r4Ftn0XT5rO0t9Ou75UmjkJ3Bi8bbThjhgM/TqPA73/AIJ5fGqe/kuodZ8OQtNI&#10;WK/2hdNjn+8beuvK+EeKKeFXtcPJPstjDFeKnh9OvLkzCm13u9fwPBo5POj2EbTkbm3Z4xwRn27+&#10;1e/fC79kH9pXxPoVvqP/AAi/2rTbqOG4jWfVokjCbVwpCuHiIyrb49r8FT1OH2f/AATv+MNq6yy+&#10;I/C8jqcj/TrrBHocW9e/abqn7cei6XBpGk3vw0hhtoVjg/eXrEKB1yYSc10YnhPjCMU8NhW31v8A&#10;pqFHxQ8N5aVsxhbpZv8AyPhvxr4P1PwR4m1TwndWkkZs9RmX5mbk5wWBPPzYHOefevo79mT4Oa78&#10;avhdGvxBvpU0WN5orRra8eOaWMpJDLGxUD5djFODyBhsjIPV+I/hx+1X4o1Y61rmkfB+S8EjP9qk&#10;0uZ3JOBg7rfDDjjIPU1dh0v9va3Rbew8efDq2hjULHBBp8gVB6AeRgD6VjW4M43rwTpYVxkut1p6&#10;HVQ8VPDWhJ82YQa7a/5Hg37Wv7HvinwT4sHiLwHo73Wk3S7YLKzti7WqgbRH1ZmAG0biWYgZZmOW&#10;rwXxD4J8T6Lol1qGoafND5akqZoWUZ4GOR14r7n1/wAHftx+JYfs2s/FLwTtRiY3XTnyM9RnyuQf&#10;6V4z+0R8DfjD8PvhZqPi34h+OdE1HTkZI5LPT9Pw7NI21fmYDaBnkjt612R4Z42wuE5sbRfLHVu/&#10;RE0/Efw+zLHQw+Cxac5u0Y2erey2PKPAN9rfh/Uvt7WEV9a3ccayWs0YKsVOVJONwU9wjLuHBLDI&#10;NDxSPEninxXfa/qhuppplUK11eyTukagbYw0hLkADA3c4UdcV9CfCf8AZY8T/FT4T6D468L6Sbca&#10;tp6zKsd4JFUhmQ7i+3OWXHUH2r0LwD+xD4xtdQkuPFVhprwyR+XErSqzKCclyMFQ2Bxhj16+vx9X&#10;N8NRum1ofoFLLqlRJpb2OR/Yq+H/AIph0WPUdesrNtPvGc2qzRv5qsO56AjOcHk8Gu3/AGrNCsrO&#10;z0TUJbRYpJZJo2ZoypbCqSckcjH4fhkV7nofw4k0V4Yp1j8u3AWOOFeAo6egH4Zryn9tSzlSbwrC&#10;IMLLcXe5vu4OxP8AP8snivm44x4jMFP+tj3vqsaOFcTvv2KrAab8CLeEDrqVy+7r1fpmvVnkycDN&#10;eX/shXNpJ8DLO0t2zJDqFys/ygZJfI6e2P6V6YzEZA/u4r+yOF6ntOHcK/7iP8oPFCi6PiHmcX/z&#10;9l+NmBkX+4f971pvmFVye3NNZgB96o5WJPD9K9zmPhlEJTk5U/X2pjttOWx9KQvyGDYzUckig5Zj&#10;UcxtGIO425ziq9zIFXIanyEk53cVBcOMZPFdGHl+9RvCOpRv3DR55+9WXeNkdDWlduuxow1ZV1Jx&#10;gV+i5PV91I9fDooXPzS/KMUMBs4yKLhsy8cmnFMLgH6rX32GrrkR6W0UUb0KkoZk+6vDDtVf7PIe&#10;fs8n/fw1a1DyVkU4bOOlQ7oe7/yr1vZ0ayUpRT9UehSr1o00ot/ie3Ivmny2wMD+8ea5TxVo7W9x&#10;9ohRTHjDANyDnrXTMmT5qQruHb/Iqrq1gl5bmRLSLLLhtw6/pX8R4ecaNROx6mPpSxGHavqtjhmR&#10;w/8AD9PT2oZmPGFX+lTajZm2umjaFBtOOKrsFBysa19JH2ctkj4+TlezHbHY8haryFlc4256fSpw&#10;277yLTJIkZs+WvTpW8Yx7BHzIY3YuUYKfzqQM5O5Snodvaok8oHIiWlbcDkItXyw7Gj30QplYNtC&#10;r/stT0ViBuC0QwGZ8tEv5VqaZoE94m8CPapHzMOtY1Z0acdbBbmfLFFGGxeT51Zfap1i8gY8yP1+&#10;tarfZdLjLWgh3LgMTmsm7vFlXd8mQuP0rljUVXZWRNSjKNk3q+g2a6RF2q0f51TuLpANolWus+G/&#10;7P8A8a/jHNu8AeA7qe13bX1O4HkWyc8/vZMKxHdV3N7V7t4D/wCCYGpPsvfif8SLePIUtZ6LAWJO&#10;eR5j4zx329fWvls8484N4busbiY838sfel6WW3zsfpHCfhHx5xclPLsFNwf25Llh98rX+Vz5Ua7O&#10;MfaFAYdf8mpdJtdU8R339l+HdOuNQutu77PZ27SybfXC5NfoV4L/AGJv2b/A6K0fw9tdWm2n99r0&#10;jXe4HsY2/dH8UzXo+k6bpvh7TY9I8PaXY2NpCm2G1s7dYo419AqgAfhX5Vmn0hcpo3hl+DlPzk1F&#10;fcrs/f8AIfoj55Xip5rjYUv7sIuT+92R+cXh/wDZo/aC8RW8d7pvww1JYZG2iS5jWHb7lXYMMfSu&#10;stv2E/2j7iNXfTdHiVsZ83VkyBkdQCf0r71a7lQhmmhOOzVXuriUruaWPNfE4rx84pry/c0KUF5p&#10;y/VH6Hhfoq8DYaP+04mtUfk4x/RnxfY/8E9Piy9usl5488O28jH5o2klbH4qtSP/AME9fieq8fE3&#10;wyf+/wD/APEV9e3N1MgG64iOf9qq7XDyDmeH/vrk15//ABGTjipK/PBekEddb6Ovhlh4/wAGb83N&#10;/wCR8jSfsA/FGAsx8f8Ah1/91pRg/wDfFY+rfsS/GjTiTY6ho90Ony3wX/0IV9lXdy5XcZYcjpzV&#10;C5uZVODLD6t81ephPF/jO95OD9Y/5NHzGYeAXh7ytU4VI+k/80z4n1f9mT43aQRG/hlbjccf6LdR&#10;tjH/AAIVzeq+EfG3h8SNr/hq/tVjbDTSWb+WP+Bfd/U190X905RmSSP8OlZMtzKA0eY/u4zivrMv&#10;8Zc4jpiMNCXpdf5n59m3gDw9yt4bFTh2uoy/yPhszCTgz9uCahWYo/Mw59uv619jeKvBPg/xWWHi&#10;LwxptzI2B57Wq+bx6SDDY9gRXmni79mPwZqJefQ9QnsHydqnDx9OgB5/Wv0DKfFzIsVaGKpypvvp&#10;JfetT8qzXwczzAtvCVI1V0+y/uen4nhEZO7zBNu/z9adls7vOX8c8V2XiL4FeN/D7mWxji1KPqfs&#10;rYYe+1iM/QZrj7mGa0na3vIJIZFbDRyKVYH8a/SsuzbKc2p8+Fqxn6PX7t0fmWZZNmeU1eTF0pQf&#10;mtPk9mNRnYk+eKHdy3zv0/2aFBY53CnS5xkCvWUYW2PK6kRmcDcJaUzSMM+ap/nTS2G206MjqxWi&#10;MYvoV8ginYMR5u76dqdvuC2Ecd6EZRnZ+NSKQR95R9TV+ziyX6DczyptMqr/ALVOW3mOCZxj/epP&#10;O2tkOo/GpI5E2/6xaPY03uS3KwotLjBKzKfbmm/Y75j8txGP61YiuYwgVpFJajzYgQ5kHr1pOjTX&#10;Qz5qi6FdrK+RP9crc+/NNa2vUQCRc59Kvi4jPG9ee4qTYsnzG4Tpmp9lDoT7aS3RkXEc8a7zDIOO&#10;yGs95S33mb2ytdVvkRVYSDbUc1pbXCZkjjZsYyydKPZ9UXTxSjujlw6hsiTd83pUpOR96tO58N2r&#10;NvhnMZyNu3tVe50HUIhvhkWZfrg/lQqbWp1xrUalrMg3lBjzN27qKkif5lLFsVU3TW5IuUZcH+IY&#10;NSJNuG6Jv0rGRUotliUrH8/mN9KrSyKeAWNTz/6onc3tVOVuwdvyohLoFONwuHOzBY80eYNoX5sY&#10;qGdty4Ltuz0NG5h8xdun+e1dlOR0cuiKc0r+cULn3w1QoZVPDs3ei5cfaSE/vf3aYJvm27m5/irr&#10;hbl1O6MfdJWGSGZ5M59TXkf7bkXnfs66tbqrszXVttX1Pmg16wZTnfvNeU/tneY3wHvjEu5vt9qf&#10;qPNXjmvI4if/AAg4nT7EvyPquB4/8ZfgP+vsP/SkehfsOaP9q/ZK8HZjZVaxlTO3qPtEn9COteoD&#10;Sbl5FZEKscDqR/8Ar7V55/wT7u0vP2U/D81tFJGiSXhVdoxk3Dt2+vUV7DLborK4DKpYbf3PT8x0&#10;r+E8wk1jai83+Z/pxgnfCwfkjEm8MyeV5pRmJBz83p1H8q8i/aq8I2SeHNJ1aS1bNvfsqncQdzr0&#10;5OMZGCMA+hzivemCF9+/euduFXP447/hXkv7ZTT23w1sZp87W1qFDuXhv3UpIOfp0P59KjBy/wBq&#10;ibV1+5ZW/YrDW3grW4ldVj/tgeWuDjHkp0Hbn9fyr2CS43Pw7fd5+XrXkX7GkbJ8OdSujMPMbXGR&#10;t3X5YY8fXr9eOa9Wmb51bf068da/szguo5cL4V/3f1Z/lT4yUVT8T8zVv+Xl/vjFkkjZzgH8ahkl&#10;AALjHbdmhmdhnLNUDspba6fma+l5j83hAV7lgMFlXn61HLNuwBLxn0NJnYTwo5yM0x2GR++X8BWc&#10;qltzdRQ4vuAA3etQ3LSKmCv/AI9QzKo3CZic/wAPeo3c7T+7ZuxzVUa1po1jEp3JdF6L+JrLvGIP&#10;Eq/4VpXYXy8mPrz81Zc395Qi9xX3+T4j3F3PTw5Ufc8ufMIx0qVlLEgI+3+9TUO+Ty/NjHttqcIx&#10;Djz2Vv7u3ivusLiJaHbJmVeeY1wqRrk/7R6VY/svUG+b7LHz/tUSQRzzj7RFKcf3R71e/siM8jT3&#10;/wC/g/xr2/rcYxX9fqelh6UatPU7yyvZobjy7iBVXHH7zr+laKjbu2wq6sP+ehx9Olc9azRXa+Xc&#10;Wu1ivy/N81XtKuSsjWlxb8cbRkV/HOIp+7dHo4etzaMq+JPDzwSmWG2T5huPzdf0rnAVB4T/AMer&#10;vVW21ANZ3Flnb/eI5Fcf4h0X+ytRbZCVjb7vzDiuzA4r7Ejys2y9Un7aGzKWN3Kr0pgAdtuxQfrS&#10;IRkgQ1YstOutQl8u3s92P7teo60Yx5jx4xlJ2iik9uGbd5aeh5/+tVizs5blwqwKc+n/AOqum0H4&#10;fyXcfmalAq7myvzVc1DRrDRImaysFDf7WMiuKWbUubkg7s9SOVYuVHnmrL8TK07SIrALNdmF2I+W&#10;P1/SpL/XYbUGHyYQm07fmyOn+7/U1U8L+HvFXxH8Sw+E/BGhTXuoXBIjt4R0HdmP8KjuTjFfYX7P&#10;f7CnhPwEsXi74swW/iDWGUPDYyf8edmTznaR+9fry3yjsuQDXyXE3FmV8N4f2mLlzVHtBbv/ACXm&#10;z7zgLw44k48xXsctp8tJP3qstIr/ADfkj53+DP7Jnxm+Ockepabo8el6PI+W1jU1McZX1jXG6Q8d&#10;sDpkjOa+sPg7+w58F/hYsd7q2lw+ItSTBa+1bBjB/wBiHBVRnsSx9zXrFuGhRY4tPhREXCKp+UDs&#10;MYpxmITLWMOfds/0r+aeK/EribiK9KnP2NJ/Zho2vOW7/I/uPw/8CeBuD4wr16axOI0vOok0n/dj&#10;svndjhBbW0C29paWcMUahY0QAKijoAAMACoTAozj7OO3NPa4KphLKAZ6/wCcUxpJNmRDFnGB8x/w&#10;r8plTqSld6n9AU5U4U1GCsl20/IhlTgktbYXP8NVJniRdyfZ8/7vWp7l5mTJt4+nPzf/AFqoTO6j&#10;5raL5enzf/WranhZSIqYmMUL53P37Yf8A/8Ar1Vupm2Fi1uduTyv/wBeie6kA4ghxu/v/wD1qzr2&#10;8mIZVt48DuW/+xrto4ByZ4eLzCMbtj7uZGUBp7XJGf8AV9P1qpJdFDtWa3z7R/8A16rT3jqpU28W&#10;cfL83/1qozX8iHPkx/L/ALfT9K9ijlrfQ+RxuaR7lq8vi52tNb8H+71/WqF3ftInMkG5fSPv69ao&#10;6heyCMqsMeP9pv8A61Z02pzqAnlR7fXef8K9ellvZHx+NzOOty5c3chO1p4m/wCA9f1rPu7mOYsm&#10;6H1Ukf8A16r3V+8qBTHD83X5jx+lVXnZSXkjhPy+vb8q9GngeXc+OxuYSqS5UTTzJJjcYcj/AD61&#10;l30ySFgfJ+X7uV6U6+uHm+Z1j9uf/rVRmuGMpV4413d8/wD1q7aeF7Hz2JxFipeiQM3lvGH6YArn&#10;PEeh6J4hgNvrNlb3DjgMw+YfQg5FdFOJCGXy0/3i3T9Kx9RSSOZI0tl+ZWZmxwOR/jXs4GtXws1O&#10;lJxa2adj5PMcPSxEXCpFST3TV0ea+IvgvJGz3Xha+D/Lzb3BAI+jfpz+Zrh7+3u9Nu3sdRhaOZPv&#10;K3avdGlmdyGUZ6Y3cfSsPxV4d0zxJEYdR0+Mts/dzIcOh9jj9Olfq/D/AB9jsM1Sxy54/wA32l/m&#10;fk+fcBYHERdXBe5Lt9l/5HjryqxzvXP0oQswJH61q+KfBWp+GJ90iedb5x5yr09j6E1kBz9/G1et&#10;fsGAzDC5hRVahJST/r7z8oxeAxOBrOlWi00TIxVuXX8atWNhqmoxSS6dZTXEcIzM0MLMEGOpx06G&#10;vZ/gH4S8L+E4bbUPiB4l03TkuJIGv9K1LUo5ReRu6mJTAQvlEKrOXLsAMAqN4ro/iX8UPCfhn4f6&#10;toPg7WdJn1fXNTmt2vrGOG3WZ5mAkn/dSbUjWIJCN6AsSzBiCxq/rj9pyxVz6vBcG0a2VvG4rExh&#10;o3y6cz00SV73b02Pn3TvDPizXfLOkeHry6WZ/Lha3s3cO2cYBAx14q9rXw88feGbWS78ReFbyxjt&#10;5PLma6gKeWxOMHPvXvHg34ufBP4Xyv4W0/xBH/xT8dra6ff6fbxCS8uA/wDpE+94HxG7s+cPxGBt&#10;wTmuJ+N/x10zxBrui2/h4WOtWekyTXdxDfWpa3mnkYkRlRt3xxptUDoTuzuyc608RWqVbKOnc0x3&#10;DPDmByV15YzmraLljZpO6Tv101+7zOE8D/D3xn8QJLg+GdL8+Ozt3murjpHEqqTy3qegHUngV2Vj&#10;+yp8UZLKTUddudJ0W3hsVurmXV7iVBbqwZgsmyN9jbV3HjADKCcnFa3wi/aU8I/C7wlHpkHgeOS6&#10;1LVWn8QSWzbfOhXlFC8LjLFRGAFAQE7iTWd8R/2q/EPjnwxL4b/s9Fl1CGT+1r6eRi53zeY0US7i&#10;qxqFiRSQWCp2JzRKWOlUtGNl3DCZbwDh8oVbFYiVSu1fkjdK/RXtf1+euxnfDz9nrx/8RNNvtc02&#10;1lWzs7B57OZLUv8Ab5NxVIogSp+ba53EYVUYkdq1/G/7OuqfDHw9qXiTxXrqtbQ2dsNNkhjUC7vJ&#10;Dh4AA7HEe2QMTtOVXgBgaw4v2ifEOn6hoq+HrFLfTvD/AO9sLC8vJJt9xsKieZ12GRhkALgIoG0L&#10;gtubaax8RvjbFonwx8PaSbyWzmuJ9tvktPNM+555jnaMDCg4AVRjvUyWL9pzSklHqctOjwlVwf1b&#10;C0KlXEtWju1KTttFK9ruy66X6nKxzO67ifrzTkdAc7xmvpDw7/wTg8U3dpDceJPilptq7RjzIrW1&#10;abaT2yWUGuV+NX7N/wAJvgTZ7Nf+NU2pasyZt9GsNKRJDnozsZWCL9QT6A1Mcww0p8sHd9kmGYeE&#10;vHGU5a8fj8OqNJK7c5wjbys5Xb8kr+R42xMjD94KbIqqMBvxxTUaPzQouVX9f61dCq8v2YSKZP7q&#10;jrXZ7W27PzmNGtJ/u4uXom/0KElraXibbsKwHYqP51QvvCjgbtMudo/55vj+ddXZ+CPGOoru0zwl&#10;qlyrfxW+nySf+gg1Jq3gnxx4as11LxH4P1PT4HcJHNfWMkKlvQbwMmpn7GfVfedv1TNsPS9r7Kai&#10;t24u1vVqx5/cRz2im3uFZWH9761Sncr1c13t3YW2pJ5VxDnuvByDXH+IvDl1pEpuEdpYT6DkfWsP&#10;Zyg79DTB4qnWlaWjMuaTIB5/2aDJlFyW9KhuJ96bAxHP3f8AIoDnCgOa6qcr3PV5PdKl5zcsV3da&#10;iDlW3FWPai+aQTtiTv8A3RUJlO7G8/pXXGVondCPuom3KRlt3TjHavPP2pbAaj8EdYQjcIfLlI5/&#10;hcHFd75oPV/pxXG/tC3aQfBTxJOzbtmlseR7ivLzz95k+Ij/AHJfkfQ8KydPiXBy7VIf+lI9A/4J&#10;+y6dL+zxDb6dDGttDrV1HFCuBsGEbHfu3+Fe1SQ+anCrtC7tuME/57188/8ABMu6ab9nGZLuQtIn&#10;iC63JnC4Kx8ep7+tfQ0G1yzTBPQZXp0/Kv4TzKPLjqi82f6a4CfNhYeiIWhaMMzQ43HKtuyAP68j&#10;2rxv9tVJpPhjps0S8Q+JIizL6eRPz3OM98f4V7WzqXKj6bvT2/z615t+1XYW158GL+6l2tJa3FvN&#10;G3YHzQgOR0wG6+3esMI7YmL80dVb+Ezjf2NdYjn8La1oIP7yHUluDux914wo6E/88/8APf2FiBHh&#10;3LH/AGRXhX7GyJFq3iaRMbWtbEbd3Tm4x27/AJfSvcpDu4P6V/YvAk+bhfD+j/M/y98cqPs/E/He&#10;bi//ACVDHdVBHzY6ZqNkDNyvX+9Ss2AyoenUV1fwQ+C/i/49+OIfB3hZPKVV8zUdQkX93Zw93b37&#10;BepPTuR9JjMZh8DhZYivJRhFXb8v66H5tleW43NsdTwmEg51JtKKW7bMTwl4G8V+Pdbj8N+C/Ddx&#10;qN7L0htYyxC8ZJ9Bz1PFfQfw9/4Jr+NNQtI9R+Kvji00dSwZtN0qMXM23urSEqkbe6iUY/Kvqn4Q&#10;/Bn4ffBDwlB4X8C6Oi7Ix9s1CRR9ovJOpeRgOSTngcKMAAACtXWtQgt13SsqqOOWxX8q8W+MnE2O&#10;xjw+SU/ZUk9JNXlLz10j6H908D/Rq4UynLYYziWp7es0nyJ8sI+WmsvPZHzc/wCwP8DfDkchvdX1&#10;rUP7rXF8q46/880WvPfHX7IvwwtWkOha9q1qPLPlL5iSIp9wRk/99Cvobx14zjiDRxzwqOmQ3X36&#10;145438dW4D7dSXk8bcHFeTlPEniFKoq1TF1G/O1vyObjLhPw1wVKVKhgqcUu17/fe585eO/gV4p8&#10;LK8mmyDVrfruhXZJ+MZLevZj0Jrz6SBY5Wjlg+ZfvKwOVr6r034feOviR4d1fxZ4Rj8+10aNpNQf&#10;zgpXapfCjqxwOg69K8/1z9mj4q+M7Vtf0T4Z6xDeQqsjT3lmbeGZevLTbVP1z2r+kuA/EXMqc6eH&#10;ziGktFNK2vn5eZ/NuecIVsPUVTA0Z8ktY3Taa62fU8x8O/Dbx1rMrSaZ4H1KZYYGnZlsH+WMYJfO&#10;PugEc9K9A8Mfs1fFbVrDTNZ1LT7PS9P1a2a4s77Vb5IkMWBhmAyy7tyhcjBLDtzSeAfih8UfiD4m&#10;m8D+NPi1eaZFd2SadJDp+lwnzUQsFhVYtiKPmbLFgMdSa+hPgh+yT4S8d20OpeI/FHiW8sbNfLmu&#10;JNas/LWONQEiEcPnnGFXgOuAOxxX7JmnEtfLopVJJXV1aLldW6N2W/qejwtwNh+KcUo4anOolo7z&#10;hCzv1S5pWt6HzVZ/DzU7a9uTqFks9rbzGGS4WBmiZgcfK5GMZ/PtV/8A4V5ox5+yL+H/AOuvt3V9&#10;KvfFRXwv4Z+F2mt4d01dmlWN34duGZ2A++UmlhjbA6ZVsZPJyayz+zx45Y7k8D2oU8qP+EV0gY/Q&#10;/wA68P8A1+lL448r/wAVv0Z+jU/Bn6vJwwlVzj3SvZ9Vr0Wy7n5520rW1wrpE23OFZZD/j71qWk6&#10;Xp8vyJFkXniQ8+9c/p97C52NHJtbhcMK1NOBhmLLBLjd03DkfnXw+Ijoz8FwUp+0S+83rUXErZij&#10;2svP3yM07WtOj1izYx2TNN/dMnQ/nVrS9OudQYXFrZyHbxt3D/Guu0DwbEQLqSzba3L7mHX86+bx&#10;WYU8K+ZvU+1w2T1swpuFtGeT6f4G1me88uay+VWwf3nWu68O+GdO0SEvJaKHznburpPENna6TbMY&#10;7JhjJVs//Xrz3VfHmmxyNDsmLA5LKw/LrVwx+KzaFoKyOWWV5fw/U5qsve6XN7Ub+NB8luvyn5fn&#10;FUfCfgLxX8a/E6eDfCmnDdnfcXTf6uCPoXf8+B1J4rmvDy6/8QvEdt4V0OzZ5rqbCYb7q92PPQDn&#10;mvs34R+BPDfwm8KR6DoNkzTyKDfXpwHuZMcsTnpycDoAfc152dYyWSYa1PWq9vLzZ9ZwbkMeMse3&#10;VfLh4tcz/m/ur9X0Rv8AwQ+BngP4G+HBpnhrSobi+mQf2hqswUzTsOcZx8qA9FHA9zzXapLEmV/s&#10;2Fu/+eK5eHWN43SWsik9SJKG1mGFdwhm/wC+h/jX4nj8uxWZV5VsQ3KUt29T+wskx2W5HgYYTBQU&#10;KcFZJaf16nWJNbON39nQsB24/wAKcJVMfy6dCO33h/hXG/8ACSQpHsEMn/ff/wBenDxREg2vbt7N&#10;5vSvFrcMyvdI+no8UU+sjsGuYoY+NPh+u4f4VDNd/ut7WcePr/8AWrlm8VbvlSzx1OWnPYZ9KpXH&#10;il5OttEvr++P+FcP+rNS+qO7/WqnbSR1txc22ze1lDz7j/Cs7U76NY8rYwgf7JHP6Vy914oxCVWC&#10;Nuc/6z/61Zt34rJDAwR4/wCun/1q6KPDNTm2OHE8VU11OiudTjBLG0i68jjj9KzdQ1i22MotYfXl&#10;f/rVyuoeJSw/d2sPB/57cn/x2se+8STMD+4jVehzJ/8AWr28PwzLsfK4/iqPLrI6+91m0hA3W8Ib&#10;sVArMvddyrBbWL/ZPHP6Vx914iSPbvhjbnnbJ2/Kqdxr6O2+O1jH/Av/AK1exS4blH7J8hjOKIy+&#10;FnVzapHKx/cR/UH/AOtVebVLffiWOOuSbXJJHO63VQOB+87flTf7QaSUIlumT0UHP9P8/hXbHJJR&#10;6HzeIzuVb7R0lzrCKxAgix/vfz4qqmo+dIzmFPl42+tY8+m+IrlAbfw1cyZbO6O3cg/kKvaV4H+I&#10;mpN/xLfAeoS7ugFq/wDhWn9iz/kf3HA6+Mqy92En6JlqS7QnCwKxPT5hVaeZM/6hd34c1tWfwW+M&#10;+oOI0+G+oR7ujSRlR+orat/2YvjjdjePCEceR/y01KEY/Nq55ZNjFtTf3M3p5fmmIXu0ZfczkNHs&#10;NT8Qaiuk6PpEt1dTcR29tGZHfAJOFAycAE/hXQN+z98ZNUVfI+H90px8q3GyL/0NhXsX7NXwD8S/&#10;D7Wb3xR43tLVbp7cRWUUc3mNECfnOQMZPA6+vrXrWrXcWm2Uk8zWsChflmuJNqK3+0cetfQZbwpG&#10;phva4luL7aLTzufY5TwLDGYH2+OlKDd7R027v1PgfxX4a8Q+EdbuNA1+yjt721cLcQLMkmwkA4yh&#10;Kk4I6Hg8HkGsG5dA3zKrFenTn1r6C8T/ALOXhW/1G61nxX+0Jo8c15cNNcSfZFfczHcefOHc+lYc&#10;nwK/ZtsE/wCJz8eVmZQf+PVo4/02ua8+nlmI5mlyrteSv+Z8FiuE8f7WXJyqN3bmnFO3S+p4ZeiC&#10;6iaOeGNlZcNvxgj05rgPF/gx9HB1PTV3WxbLJ1aP/wCtX08PCP7Gmk3XlX3xD1i7Yfw+XIVP4x24&#10;/nSXl1+xDp8WxfD2tal2ZY5pRuGPRyor6fI8RjcjxCqRqx5eq5tH935nzGdeHtHNMPy4jEUoSWz5&#10;rtP5bnyEZWxsLrnqeadG/bC/71elftGah8Mbi7tLH4S/DKPRdKX5pLu4YtdTyf3W+ZgqjsAeTyeg&#10;A8xyeuwcGv2/LcdQzDCqvSaafb8j+c89yl5LmU8I6iny/ajez9LpM9E+FH7NPxl+NdjLrHgXwuJL&#10;COTYb6+uUgiLegLnLkDrtBx3xXfWv/BO/wCOQKrqGv8AhW2H8Syaq7MvvgRYJ/GvE7Tx9440+xj0&#10;7TvGGqQWsK7YreHUpVRB6BQcDrXpvw5+E3wa8V+HB4q+N37RFvZXU/zrp1ncfaJ0TsXZlbDH+6Bx&#10;39KvEPFR95ysulots+x4XwPCua8uGWDnUqpXk514UofjHTyV2zr7j9g9NFt1l8XftD+EdLYfeWaZ&#10;cD8WkX+VQr+y1+z3pkJm8RfteeHX5wf7NuIJT+SyMf0qra+Av2BNOuEjufi34o1Dt5Mdo+1j6ZS2&#10;H869q8C/sUfsyeJtIh8RReBNZSCTDQx6pfzRM69iYyQQD7gVwVMZKnG86kv/AAFL8z9Vyfw5wWa1&#10;fZ4HLMO5Ja82IqVLevLZHD/Cj9jv9nL4nPPJ4V+Kuta5Ba4FxPDpklvEG/uiV4wrH/ZBJxzX0X8J&#10;Pg94D+B2hNo/gfS47fzG3Xd7O26ecgdWc9h2AwBknHJJvS/8Ib8MvCGbXT7bTdN02HK29rCcKo7B&#10;VBJJ9sk14Zr37aHibX7280XQv2W9a1PTmZo4Zrm4eM3Efq0fkHaD6bjx+VebKeKx10m3Hza/4B+0&#10;YHI+B/DulSr1cNThimnZ04Slr5fHJLpd6naeOv27fgj4R8QTeFFurzVpoPlmn0e3WSBW/u+YXAJH&#10;+zkD1yOPK9S/aA/ZwudXn1mP9mSTVrq4YtNdaowkeRj3Pmb8/nVqP4mfGl5En8KfsU6LaBsBWuNJ&#10;LkD6gJXSaf47/bNu4FGk/CLQdJ3ff2QpFt/CSXrWqoU6OqXz5rfkfGZpnWf8RVWqlduKleMVgpTS&#10;+dTR+py+l/HLwveyA+Bv2MNH3/wtHoMb5/FIq3dY/al+OXhLSDfv8A4dBs42x9ouNNmiiB7DLKq1&#10;q2kn7d+oMTc3ei2iluHdrZgP++cms3x18Afj78QXhuPiZ8UfD/lR8xRzXsionHOB5eM+9ZOdHnXN&#10;b72zzMVlXF/1GUsG67nbR+wo0Y37t7pI4u8/bm+Od3zFJo0Ib/V4sDn9XNeS/FT4sfEP4p69Hqnj&#10;zxCbxoV2WsaqFihX/ZUcAnuepwOeBj3SL9kPSIEzq3x50GBu/lW4mH6zJTT+zh8D7E51v9oazm2j&#10;O21sUXPsP3rHr7V3UcVl9GV4xX3O5+Z51wj4nZ5g3h8fi7werjOrBR07rmW2589afHHMyj7cpbb9&#10;1cc4/GoNXsm835Z12lSPmP3v856d69F8Q+HvD1prVwvhG4unsFkKwyX6r5sg6ZIQgDJ7c4rM1HQ5&#10;5reNQyZBxkrwf1r0aeNhKSZ+R4jhueG5qLtddVqtOzPF/FvhKS0jbUtPdfLHzSRgj5c9x7VgpcEx&#10;qfNG7gV7de6BO8nzSxkZz/q//r15l8UPAl14SvF1qyQNZXEmG2/dib+716HnFdblT+KPUxw9DERj&#10;yVE9Nmcbeyt9pZd2f6VD5hJyslLfvm5YZ6dSO9Qh9vBYferaMvdPSjH3UTM7DgtXD/tGzY+B/ibc&#10;+f8AiVsMfitdo8oK5B+lc38W9Ji8Q/DPX9HlBZZNHuCyjvtjZ/6Vx5n72X1Y94v8j2eH5KnneGm+&#10;k4v/AMmRJ/wTS1jxBc/Aa7fSpbVo112cbJFb5ThfQ/71fR9lqmtJeRSaxbQyW6y5mWHcrSJ1wCSR&#10;n3Ir5e/4JG3ay/A3xBEPvQeID8hXgbkznrz0/LHHavqjzUYYKMflzx3/AM5r+GM5jy5lVXmf6YZX&#10;aWBp+hVTUfELFYjBZ8fd+VunpXB/tS6vrEXwM1c3dvGu+axRmVWJG69gH1+v9K9IidI0w+FfdkMx&#10;Ofp9K4P9pywfWPgbrUCRNuUW8/QHAjuI5DwfZa4MPpiI+qO+p/DZwP7GUSPaeKp2+/5liEwvb/Sd&#10;39B6/j19kklwcHGPWvB/2SNYWLxnrGgrJIVn0sXLLk7S0cyIOv8A11/nzzXuzksMqR+XWv668Pav&#10;PwvS8nJfif5p/SCoey8TsR5wg/wGmQ8g8D+dfWH7I2saD8J/hmt3K/l6hrDC4vpPL2ttGRGhOOgB&#10;yBnqzY6mvkmSQsp5742jvX0h+yt8INf8SaYvxa8fx3knh+xB/sjR7dC1xrMqKTsjT+JAFP1x2ANf&#10;V5lleFzXLakcTO0FbTrJ9EfPeFjzSnxRCWAo89Sz97pTX2pP5fN7LU+nNL8W+Mtf09L/AEbw1cSw&#10;zL+7mkkSLzPdQ5BYY7jNeKfFb9qXTPDeoXeh6q4S8tJ5IpoWmG5HUkEfn+dc3YfE/wDai8W/HOL4&#10;r23h7T4dL8P2c07+G5PElvBHZWIRlbztpdlPdm2EnGAMCuC0aD4oftNfG2yfXvgT4d8Kx/EDztSt&#10;/Euo6bNfNFbx2+8TrBJOiMrnyxuwgLSZ614GD8Mcjw9R1K8YuMY8ztKN09Xy2eraSvon5XP6RzLi&#10;7O82y6NDLHUjVlPkTnCXLKOiUlZe6nJ2tJ+oP8evGfxF1CbTPA3g3UNWmjhMrw6bZvO6rkDcVjBI&#10;HIGfUj1r0rwhcWdpolnrvjf4YaT4fv7iMxw2/ia6sYdxyQXYaheKScfNgW+QeADjNfLvizxX4z8V&#10;/HD/AIUdonipbixg1r+w45NE0lNNW7UShHLRRE7uQcb2bpx3z9YftAaNo3gbxPb6B8OvCHi7Txoe&#10;kxW8lx4U0mwsre5nYAiR72YM2dpQECMgcncSSB7OacH5bl0qNOnTjH2keZLdqPS703vtb5nw2Rxz&#10;aUcZjsbWlP2MlB7JOTe0VZ7JNttpWPQPDvxe8FQ/DhvCvg/Vby8vIpgs1x4W0K8lgQ9TGlzp9tDE&#10;OnUMowzDJrzn41eIvC3hDwRB4l8W+Aruez8QXbQNeTJaG8LAEkRSTXFzMgwpy4VcHjIJAPmGsWmp&#10;axqWleDta0TTFuLm4jSRfGnxZm1E3MjtgAQ2rRYJzjaI2qt/wUk8e6doPj3w78I9Hhtraz8J+HY0&#10;8i3jKqk02GbHJ+Xy0hwCSRzzXHheDZZljKeHh1TdvJf8P5Ht55xTmVfhXEYhKMfZKFOFlo3J7OLu&#10;nZXbsaX7PnhjxD8Z/H9x4X+GXgHw/pPh21umu9U8S6xoMF9eWcJbgGadWUyEdAqqOCxHUn6i/aR8&#10;a+JvC3w88KwfDDwlrXi+3vB8p0NriFTD5S7JJmtAp2tuyFyqHrjgY/P74bftSeOrnw5b/BCfxKmj&#10;+Dr2+iXXm0mxRLia3aQeazSKPMc7e2TkAAccV7v+1B+0h+zl8etfivri68efZbGwFtp+j6Tb2tnb&#10;lweZGkkklPpgeTkAfl6OaZLmGDxVHD1o3UFZWTeiVk5arV+uiR7XhviMDh+D6ijUft5pXk7Rs7/D&#10;BWaUUtG+rPev2Y/CeoaDPqnjP4g/DbR9DOm2pmtY7a4S4ufOPJLOZZXiwBj5tpJkB7V7FY/FnwBe&#10;2UN43iNoTNErmJ2TcmRnafcV8kfBD412em/C2f4VfDbwVdafY6hIZtQu9Q1T7ZO4IRScrFGqjCAd&#10;MfnXfwp+5XbcRY2jrGP8a+XxlOP1iTq6dltp6a/mfuHD9PEVMrprDyv/ADNt7+qtf7j84rW5ML7U&#10;Eh/4F/8AXr0D4e+H7nXIFaWGZo2b5G3Hgfn60ukfB2W3uWm1JpVVWzypHGf511Onatp3hCLybVJE&#10;hXlhtozTMqdenyYXWT6n8I5Rk06GIVbGrlj2e/zOp8P6DZ6IqrJFIT/vH/Gr9zf29uuUDeW33gua&#10;5OL4kabfxq1rNIy87W2jioLfxNc3TmGVJmXOBhetfFyy7FVanPWufoVLNMDCnyULP0NPxHfDUrOS&#10;xjjkYspKHdXhXiGyvdHv3guRIvzZXcf1r262tPLyjM7K3Ku3asXxj8PYfE8sUpWRVXDTc9QOvGfw&#10;/GvoMjxNPBV1R6S0Pl+Istq5lT9vHePTyN79lzSrDwloL+I76Fv7Q1JflYt80UPYdeN3U/8AAfav&#10;ZLPxkAVBWTb/AL//ANevmmPx3Nocpska4TyW27Vf7oHGPvVtaJ8XYgdt1eXKtuxzLx/6FX0WZcI1&#10;sZUdVq9z1uHeNMtynBU8Iny8u/r1+dz6Mg8Vwvblm3d/+Wn/ANeo38UxlcmJv9n95/8AXrx63+IQ&#10;aLzI7mZlxztuMZ/8eFej/CD4SePfjCf7Ssraex0nP7zVLhiu4+iLnLn/AMdHrnAPyeI4XjR1nofp&#10;+T8RYnO68aGCi6kn0WvzfRL1Jr/xVb2iea8TNj/pqP8AGqkPi+6vQ0dhpNxM3RVjyxP5V9L+BPhL&#10;4W+Gdj5ej6bLJcMo8/UJrgNK/HqW4HsOK8l/aS/bT8DfCZ5/D3hONtY1heJGjuN1vbN/tOG+Zh/d&#10;HQ9cdK0wfD1HFS5IK7P0LMsthw9lv1zOMbGiu27v2Wur9Di4bjx3IubX4d6zIrLgN/Z8p/XFVNfn&#10;8WeH9OTVPEXg69s7eSTYstzHsBb05r6H+Fvj2w+Jnw60nx1pttI66lZxyMFuOEk/jX73Zgwrn/2n&#10;/C8/iv4K69ZabZXDXdrZG8tVWYk74huwPm6kAgVt/q3g/aeza12PXrZDbJJZhhsS6nuc8dNGrXXX&#10;qfPF147hRNwiwvpuqhJ49sGGFtuf94c187n4x3oG6Q3Dc5z5xHf/AHqf/wALbS52gPMrE/L85/xr&#10;1v8AiH9SP2T+f5eI0az+Jo96uvGsONotePqKpaj4ojljLmM/8Cwc14/D8R55V8uSSbDdfmx/XpVx&#10;PEU8n74vMR/yz/efp1rP/U32O6IfFNfFR91NndXXidc7BF7/AHvao18UwIMbG6eoHPpXJrPLqK7f&#10;myOTtb/69dd8Lf2d/jF8YftVx4D0Dzba1YLPeXV0sUSsf4ck5J7kAHHfGRnT+w8PSj72hNGtm2Mr&#10;KnRg5SeySux0XiQSvtSLJ2/dz+ld58L/ANoa6+FunSW/h/wBpN5e3MgM1/qMbyuV7KArDavsDyfw&#10;p2n/APBP/wCPVvceffa14atwVw3mas+V/KP+tdJov7EHirQpo9X1P4v6Hp80Dh43V/M2MDnILMvQ&#10;1zSy+hTl7jTPoMvyrjLD4hVoUnB7JvlX3czPQLHxx+2b4h0+G40j4YaJpsdyoeKT7IqMFPI4klbH&#10;HqM+1SW/h39u2/fMviPS4Q3O3yrTj6fuc/rXM3vw91NZlXX/APgoD5fXzIY/FBj/AAwbn+lY+t/D&#10;X4AfNceLv2vr7UscsIrr7Xn6bWc/jWEsFzdX8j7x18bG3tXUT869OP4Rud7qXwq/acmia48SfHO3&#10;05ScN/xMmhA/74CgVSsfhJruvX8Wla3+1LYXVxJII47WHWPPkdieFCmTJOewribDw7+w9p9uXuPi&#10;nruoSZz+7sbhD+sIH61d8F/E39jr4b+KrfxPoGl+Lru6tSWglmRGUEjGQDIueK82rl6m/eTfrJ/o&#10;OniMH7WPt5wtfW+IlJ266RPqrwD4XtPBnhez8NQ77hbOBY2uJGy0rfxMevU5PXiuI/aC134P6taL&#10;4A+I3i26sNskdzLa6aw8x+DtDZRhjPOPXFca37fPw62MND8Ga3dHp++2J+HDPWDeftO/Drxdqs2p&#10;Sfs1tqV7MR5k14BMzYAA6xnoOO1Y5k4xwvsaVrbaptW+R9pmHFfDtTA/VMLXi9k04zat8lr95Xhj&#10;/Y00jKTjxFf7Tn98xAHtlAhqG58YfsgxyfZrH4O6lfEdGN7Kc/g0v9K3LX4t+LLdftXhr9kSCJNv&#10;yyLoLjHuWWLH+RV7TvjX+0v4hsI77wn8HreG0Zd0c00flx7R1bMjKMcda+X9mqWvu6dqTf5s+epz&#10;wlSahTUZN7KNBt9urPD/AIw/t1fsVfBS7uPD+pfAiG71e1txcTaHbaWt5eRxYUh5I40kaNSHUhn2&#10;hgeM1xnhL436R+20lxqv7Pfgyz/s3SZxBeaPotgI5bKTH/LwCqsGPYkBeCBkhq9X/Zw8C+DvgR4Z&#10;vr/4heDNV1TxZ468RT6p4g1dbFJMySSsN887OFZUxnajO6h87cHNeb/tFeJPh58PvjjovxY/Zh1W&#10;w0zWJMwaxrGj2J8jV7OSGQ7PMaPyrja6wYILFNhAxzXw2B44lmWdLAVKT9k5cqlFJX6Xtbb5n3XE&#10;nhvh8PwnPHYvEOPJHnlCMIx0SvbZO683uM8YfAP4maR4am1Lxn4WbS7DcFa7vLiJVUnpgbixPsAT&#10;weOtN8P+Gv2GvC+nw2nj7xr4n1bU1X/S/wCz4fKt93oo2hse5PPXjoOW8c/GX4gfEpIf+E68RzX3&#10;2cnyo5WRFRj1YKgC5464zXn/AIlkD3QukUHzE+bJ7/lX7/wnTlh8Q8LzSUJa/P8A4J/GmcZxktPH&#10;+3wGFjW0S/fLmfrZNLfvc98uvGn/AATq0iJZLP4R65qTr3l1C6jzx/12ArW8CfFz9lXxJrtr4U+H&#10;H7INxq1/csRDbzsk/A6kmR3wo6kngDvXjPwF/Zo+JX7QmueV4f0/7JpELbbzWrjPlR88ovGXf0A/&#10;Eivvb4Hfs7fD74B+HTpXhLQ4WuZFX7fqlxgz3JHcnHC9cKOB9Tz9hjqmHwq5eaUpdrvT1P1DgHIe&#10;JOJZxrywmHw9DrJUIJtdo3Tv67epe8EfBf4e6da2urTfBrw1pd8oDlLSxiJhbthwgyR6jvT/AIvf&#10;FiT4V6G2qWXg3VNcvJNy2un6NYyzu7f7RRSEHqT+Ga6tYVcbvsUO3ru4/wAK+ff2+v2ltT+A3hPS&#10;9G8DT2tvr2rXDGOUxpIYLdB8zbWXHLED868bCxqYrERglzX6XP6BzeWB4ZyCrWptUuWK96MY3b2V&#10;lom39xyaftIft8eJpZDov7P1vZx7sx+dos6yIO2TLKAT/wABH0FOh8U/8FJtcOE0aPTVLfeWysgB&#10;/wB9hzXzbJ+3R+05dT4f4pTqpXb+70+1XPsCIsimL+0z8edbnM2ofFXxAu5R8sGqPCpB/wCuZUV9&#10;N/ZdaP2IL8T+davF+DxFT38XipvylGH5H1B/wg3/AAUG15B/aXjSOH1Md5BCw/79Rj/JrR+Evw//&#10;AGnz4zj129+K0OpWum3hi1C1uNWlnhk/voMgqSPUdD718wWfjj4j+MJ4dMuPGGtajLNIscMVxqU0&#10;pJJwBhmOefzr9Avg94Et/h78PdL8Iw2kPmWtsv2h1UfPKeWb8zXl46EsKrPl17Kx9rwZgcLxLmHP&#10;CWIUaVm3Kq3d9FZJL1Orga62bXgj4+9/nFYXxc+Htl8S/BlxoF3EscwBezm3Y2SgcDp0PQ+x9cVF&#10;q/jrw1o/jOx8D3YjW81CBpYuBjAPAP1w2PXaa6BBAxGxE47qorxOVpqR+34ijg80wtXCztJW5ZLt&#10;dfmfGtz4WvdNvZtLvbPyZ4JisikdGHFTw+GpFOfLUDPpXtX7QHw1jkul8daRAPmwl9Gn6Scfkfwr&#10;gLPSNx3NIDlvzrSWIlyn8t53wLXyvMJ4eSbitn3i9vmZNj4filXEoXn/ADmk1LwjaxQhY1XnnqOK&#10;6uz0YY+QKGz8vy9a2Lfw8biHEqx7m9a4qmMlTle5wR4RjUjZwPHr/QRjD7FHrtrM1zwfpPiXRrjQ&#10;7+RWhuI9jdPlJ6MPcHH0PNeq634PurabfbeWBuHQdKyW8NyDDEoCP9o17uHx8ZU1KLPOqcGO7jyb&#10;+R8LeL9AvPCXiW80HUGAltZmTPHzDs3XuMGst23Nt85a96/bX+HMulXGl+PrYAi6c2d1t/vAbkP1&#10;I3jPoorwNhOOcjNfRYar7anzH5RnGV1MpzCeGqLbb0eqHFm2YaZayPHly0PgXXJhIP8AkC3f6wuP&#10;Wtd1lbkjNYvxGVv+Fda9hOf7Gusf9+WqcX72FmvJ/kY5Y+XMKL/vx/NHO/8ABIXzR8L/ABZZuGXG&#10;tRsrcZBMRz+tfXbI/wApL/J/tZPGPbvXyN/wShgVPCfipIZY2Y3Vo8i855hBzj1yenvX1tcyKoWW&#10;WVWbb83Wv4dz2P8Awp1PU/0wyd82Bh6CKAWwkY25wpBPHTqM1z3xlRYfhH4onnC5h8PXkwyx/ggZ&#10;gfpkV0ghIHmD5j346/X/AD/OuU+Oz3A+CXjGaJm+XwnqJVRn732aQ49B/KvKpq1RPzX5nqT+Bnh/&#10;7Ils1x8S9QnjG7y/Dcvfpm5thnp+tfQbysDlU214b+xu8MXxC1aN5BGZ/Dkipub7zC5tyB+Sn8uR&#10;Xul5bGKbyZCo3HKrk+vSv6v8N6nNw6o9pSP85/pH4V0/ESVT+anT/Uk8L6poek+JbPVPE3h7+1rG&#10;1uBJcaat4bcXODkIZArFVJxnAyRkAqSCPo74RfHTxZ46n+JH7R/ii1TS9E8DeDXsfC2g2aj7NaPK&#10;NxMZIGZQIlBbAyJQMAYFfMMcLZYjHrXQWXxq+JfhL4Vaj8MPBzaStjqV8Lq+jvtHhuzcOAowROGQ&#10;gbVxlTgiv0bCRhVrezkl7/LG8nZJcycrb2bWl7Xsz4nw/wCKo8O5hyYio40Wm7Rim3Plahd6NxTd&#10;7Xsn0Nb9n344eAPBfwd8WfDvTta1rVfF3xCkgt71tN0V5Bp1sSRMRwWkbbLNnAwcLjvX0P4P/aJ+&#10;HHja+8eftL+Btv8AwjPw9+Hw0rw/HeW5t2a4YPI0IXnhykEY7g8V8PeJP2nP2iNatzot18XtesrR&#10;YWgbTtJujYW+wjBQxW+xCCOMYIxUMnx7+LV58Nbr4RRa3bWPhe7WH7Vo2m6TbQJO0RRld3SMSO+6&#10;NCWZizEck1+jZtwZUxsniLxTnJN+/wAyUXyp29xK/LFRja2l73ufrWT+IdHKcOqK1jCL5fdSblq0&#10;78z05nd99LbHYfsI3nguz/aTsPH3xW8W2en2GjQ3GrXF3qMp/e3A4QKeS7+ZIrY5JCMe1QfGb4n6&#10;v8TfiP4g8cSXtw1vqOqTXFvCZWZEhLfKqj0C47V51ocUH2pftIfaWHmeWoztyMkZ74rtNJm8B6f4&#10;pujc2mqapoqq32MNItrOxK/KXxvAwc5AJyPSuTOIwp5wsZu0kktLJLW3zufl+YZ9iq2Uxy+NoxVR&#10;zk7u8pSVtfJL8y94J+PV9p4g0rwV4Z8A+HNQ01VvY/FmoaY1zeLPCVKyIbt5kEhbBAjjABJKgYrz&#10;X4hfEjUPijDqXxQ8f/EK4vvGF9qgVrFtOUfaIgi/vNybVTGSAgXHy9sjLvFuhWlp4cvFsfDqXEs0&#10;ySC8WZt9uin5lCDhlPfjIx6cVxd/408RX9lo2mS3Efk6DJI2m7bdQUdpBIzMcfOcqv3s8KB6195k&#10;eDyutTeLwkUpPRttc1rXabd3Zuytpbdefr5fi/r2DjRlO9NfZ6J7XsrK6XU9c+GXgaC8vtF8OeH9&#10;B16bWrmNZdYtdQtPJ2sQGCxKyhgoUn5mODgMNoOB6p4b0a+1HxbqXjbwn4H0ePT9Ai3T6fqc7XUC&#10;5/dj7zfvGzyBnb0OD38t+FXi/wAZ+KdZbx3r2uzy6tNkm/jk8uTCgKuCmAoAGAFwAAK7zwrp0t5q&#10;jS+UrKoJbPU1+bcTSlHFTc3qlr116/Lsfr/D1GjHCwVPY9m+EHizXtJjvbbTJoLaDVuNQijt02so&#10;JIRSQSi5J4UjtnOBXoi+KrQDH/s4ryvwfss7SSacBVVMqcVFN4/hWVlW+bG4/wAX/wBevymvgpYu&#10;tJpbH9DcM4inh8Aou3QyPi9r9t4Zf7S5fDZCqo714brvi691mZnM0m1m+7npXsn7QejXet6H9vg8&#10;xtn7z5U9uR0rwPmNtgZueuVryeD6GHqZfGe8tj+C+Mq2J/tSVJ6R0a8+5YsdUurGbzYZ5R6jcea9&#10;C8EeI7XVLRbeWaRpB/E3evNGYYyX4/3as6Vqt1pc4mt55B/ur1r6bHZbTxVLRanzuBxlTB1lOOq6&#10;o940e63qbe4En+yxzWtDIIA6ymRWaPbnB6GuL8BeLbbXrOOKW6ZZgv8AdHBH4V1n2+Ke4FpPOyyq&#10;mV+Wvj8BgJxziMJLa7+4/UsvrU8xwt6bvf8AqzPLfiro7aNqn2u3E3kzZYMc1zvhrT/EPjDWYdA8&#10;KaVe6hfXDYhtbSNndvwHavq/4f8A7I/jH9obTd00T6bo7E51Sa3J3evlrj5z+IFe/wDwi/Zv+F/7&#10;OujyaR4L0xobnbm+1a6jD3NyQOrOV4XrhRhRzjqc/ptPinA4XC+wS56q6dPm/wBD0+H/AAPzXiHM&#10;HXrS9jhXq5Pd91FP83ovM8d/Zh/YYj8Lxw+K/jfM93eN+8h0GJi0Fv6CVh/rH/2R8oPduCPoDx78&#10;Xvhf8EvDK6l4y1+PTLWNdtrbpGd8mBwscY6/gMfSvM/jb+0D8VbHSxZ/s5fCjU/F15NGTBrPkqun&#10;xgg7XRjt88ZwRtIUjo1fHHiz9m7/AIKBfFbxO/inx94D1q/vpj81zfXlqqoPRVV8IvsoAHpXFh8n&#10;/tyt9Yx9eNKPZtJ+iXT1Z+yYnMsv8Ocs/s3hTASr1bWc+VtX7ylb3n5LQ9X+PP7dPjH4sCbQfBMt&#10;xoejHcoijc+fcr6u4xgf7K8eu7rXgetm7u4mW5nZifuMc/4V6t4a/YB/anu9PR9Q0TS7Z/8AptrA&#10;DDj2U1reD/2IviJ4z8Tah4FTxdoa3ukqram1vM80dszZxGzKuBJ3K5yB1xXsRWQ5XFxo1I2W7Wv3&#10;s/IMz4d434sxir5pCpKc9EmrL0UeljuP+CanxUiXwfr3wu8T6u0TaPcreWPnyhF+zy5DKMnna6kn&#10;03ivobUfih8JoNwu/iPo4CqRIsmrQ/ljfXzPqX/BLLxwLG4l1T4q6XawrETNNDDL90cnPAHAGfw9&#10;q+E/iN4cHhPxJeadZ30l1bx3LpbXjrtMyBsBsZOM4z1rlweT5RxFjKlTD4m2zenX1dtz9Po8VcVe&#10;H+QYbLMXgedWcYuUndromlrotD6b8SfsmfsiR+ML681b9t3S7TT576aW30u3s4xJBGXJWPzTOwYq&#10;CBu2DOOg6VBqHwa/4Jp+Gyh1H9qDxReOv8Wm+VIp/BLZv518v+H/AIefEHxWN3hnwJrWpf7Vjpk0&#10;w/8AHVNV5fD+tW2t/wDCMXmj3VvqP2hYGsbqFo5VkJxsKMAQ2TjBGa+1jkN4WeMk0l05dEvRH5w8&#10;dgvac/8AZFNczv7ym9X6tI+y9F1X/glxpWniOLUfFmtN2LC5jZjj6Rj/AD7Vt6D8Wv8Agnroy/8A&#10;Eo+B3iu+O75ftjxup/76uv6V6b8Ev+Cdv7POgfDjQx8RPhm2pa+tlHJql9NqtyFMzDcwEYlCALna&#10;AFGQOcnJrjP28NB+AvwR8Cab4F+Hnwx0nT9Z1acObyKzVp7e1jOWKucsCzYXOc43DpX59KeX47GK&#10;hQdSbvu2ktOunSx+svh/NMqyf69Xo4enHlT5VBuWuy1W/wAys/7SP7MNluHhH9kmzaTYfLnvtQCY&#10;OOCVWN8/99D615pL4/8AGFzcTyWviDULKO4maT7Jp908MMeTyFRCFH5Vw3h7Ura6Plb23fzrqNMt&#10;43HlM7YPIKjpRWy2jhZNO/zdz5DFY7E43lvaNr/ClHf0EvZvEup3JGo6vqF3uwNs107k+3JP+fzr&#10;6q+GP7A3gC78HabrvjbUNa/tG4tY3urWG5jSONmG7A+Tdn1yetec/skfB5PiT8VbaTU7eSTTdJYX&#10;l583ysQf3cZ57vjI9Aa+3dQslt7RnzIsanMn7w8AD69OtfN5ljJU6ipU9D7rgPhXC4ynUxmPjzx2&#10;ipO6838j5g+MXwi/ZA+BNvZxeM/D+tXU18rG3gtb+RpHC4yf9Yqgc9yOfxrjdM+Jf7Eml/LafBTx&#10;DdY+79sEZycepuD/ACrqvjZP+yZ8VvGT+J/G3xn1iSSC1W3t7HT4yEhVc5UF4mySxZjz1PoBXHWe&#10;mfsJ6RcYk1nxpfKo5WQrhv8AvlFNaUaKlSTmpN9bI8/Nq8KWYTWF+rQpp2XNyt9r9SST9ov9nbS5&#10;2Og/sr2cij7rXGpLG35CN/50tx+2N4Yii8jw5+zj4bt9o/5eysw/REP60+78YfsJ6an+h/CDW77A&#10;+9Jqlyv6eeB+lMt/j1+ydpMe3SP2aFkbH/L8yyD83Zjir+pqXw05fOx4dTM61PfH4aH+GN3+ECvD&#10;+3P460sMmk/DbwjZ/wB1rbTXXH/kX+lZmqft1/Hm4l3WGq6fb5b/AFcWmxt/6Fk1qp+1h8K9KmM2&#10;h/sxeHYW/hfdGjfXiH+VVdT/AG+/EdofL0P4TeHbZeitMruP/HSlP+yqs9qf4o4a2fU4q085t5Qp&#10;y/yiWPBPxh+Pv7Q/iGy+HOvalfLp2o3SpqE1lZrCog6yEkAD7oPBOCcDvX1B8Tvjb+z/APs++FLd&#10;fi98RND8M6WIY7e3TVtSjjzHjaqqpbcw4IyBjivmnUv+CkMXwc+DTfE/4q+F9Nn1DVrua28J+H/D&#10;8ZhluzCP3s0hkkYrErFV3qpwQRycCvzh/bL/AGjF/a2+OTfHbxd8PV09Y9FjspNLh1BrpVijHzbS&#10;VTlumQMjPUjNfKZnCGGqTjGKctmr/qfrvBPs8DlyxzxEq0qtmpTTTUdbaXdl13P2E8CeKPhx4/8A&#10;AsfiXwVcrfeHbi4e4026FsWVLYqxjkMfDNGw2/d5I6etfN/xvvbDWbGXR/l+1XF1LLJC0Cq0EXmY&#10;i43uUDbC4yQ21sMAQapfCL/gpR+wZ4o/Z1sbfxv4u/4QTXtD0tYbfwzp8939pktUTEREsSRqVO1s&#10;BmBG0855r83P2kviZonxp+O+qfF74OX3i3w+2oC2VbxddkFwjwQhVkRn3hCR8uQeQAzDezMf524N&#10;yDHf60SxGJoOEacpS1Wl76JPra/Q/WOPcypZtwjPAYerHmrRUW/J/E7b6n1xe6Xc2Fz5bwzMxbau&#10;D97t+dfQH7OH7BeteNTD4y+MtpPY6WrB7TSN2J7odcydDGnt94+wxny39kX9pTwbf+F4PGFp4T03&#10;xB4u0uGGK9bVJmxaTbOXEIUcsQSJOnBC4INdx4s/4KTftBwrNZ2uh+HbNlOFlj0+Uuv/AH1MR+lf&#10;1dl9GtjIqWHsn3ufx7w/w1wvkWY+1znmnKL92Ci7adW3a/kvvPsy6uPh58H/AAYbuT7Hoeh6XD1Y&#10;rFFFGOfXqfzJ9c184ad+1D4m/a3/AGgNO+E3wpS60zwfZub3Wr8ny7i8t4iM5OcxozbECj5jvyem&#10;B8bftNftOftO/F2ysRILrxFcLcSbbCO3WK2s7dY5JJbl44gu7YE3HqzKpUEEivtP/glr8KLzwz8E&#10;m+K2tW9vJqXiuOF90LfJHCi/dUnJwXZ+/bHOAa75YOOBoznUd5rTyTf5s/c6WY4zPq+Ho4KHssM7&#10;3tZNqFrrTZbI9a/ay/aI+Hv7LXwI1b4n+PPEa6bbwwmCx2zKJ57hwQiQKysHl/iVSpU7fmwuSPzP&#10;+EX7RX7Of7UnxovrL4//ABi+JGk6LHpcR8N6x4xSFppTgNJG8qxsi4ZiF4w2AATX2H+158OLT43/&#10;ALZPw78FfETw81x4K0PQ7q/1QQRyO+5pF358s7lUrFEoI+YhpQM4OHf8FA/2Q/hB4++D+n23wg+G&#10;UlrNZWclxp99Yw+XDFFJkmObkMFYEkA556YPNfgvEHiJiMh4up0qV0oaOzsnfe6P0jF8MQz7K5xr&#10;JSh/K76tbPSx5LH8Of8AgmpoVxjUPjn4vvwOqJAWX84rYH9a1otV/wCCZWlIps7LxXqjD+JZLlC3&#10;/fboK+Y/ht8FPjb468HaXq3h74WeJtSjuLKM/b7bS55Y5GwM/vtu1uepz1znmu+8P/sW/tWzFWh+&#10;CuqbT/FJcQx4/BpAfzr+l8LLC4zBwryxDtJJ7pbpM/mTG08Zg8ZKnh8sptp2v7OT2fnc+wP2XLb9&#10;lf4j+IZrr4U/BzVLWbRWjuF1PWNrKkhPy7T5zndxn7vb1xX0dJOLKEzyLHHHGpZmZiNoxyeleN/s&#10;W/A/Vvgz8IIbLxZo0dvrmoXDXGoJuVmj7IhIzkhR+ZNan7Vvj2PwN8LJrW1Ty73Vn+x2uxgCueXY&#10;ewXP4kV8vinGti3GDbSel3f8T9t4fjPK+H418RTjCo1zNRio69E0up4n488f3/jj4kX3jCGUptut&#10;tkySEeXHGcIRx7Z+pNeyaD+0vZjQreLWPDlxNfLGFuGhZRG7DuO/PXpxmvmvw9AsjJ/oSn5fau80&#10;u0EgWRrRf04qsRThT07Hh5P/AGlHEzr05W53dnqvib9prw5YaOx8VaBp9jZzsIPO1LWkhRmYHC/M&#10;mNxA6Zzwa5rQrrTdbto9W0b7Jc2lx80E1rdCRGXJ6MBg182/s9fspeGf+CiPi/xn8V/2jG1A+GdP&#10;1270TwT4bXVp4LeGK3cwy3TKuCkzyQkLhwG2uSp427eg/svad+xR+0v4d0P4D6hqh8G+J5m03W9B&#10;utSlurZJPLkeO4j84sVdWUo20ng4IHOfyGp4n5L/AKxPK3CS15ebpfb89D7fE8KZlmGCjjK7TXRd&#10;Un5H01p+mM7K62kYxztL9f8Ax2t/TNLMiqTbxZ/3v/rVn2th5YKpZL7dK6DRIEkRVaDt7V9jitIX&#10;PMXC3s/slLVPDiS/K9nH/n8K5rUfCpgUzLZx/X0H5V6Vf6XDJAGNuvT5iMVmS6TbyKYnhG08fdFY&#10;YTH+z2Ma3DEb35T5w/a88HRap8CdYlNuqtYrHdRbRyCjj244JH418PFNp+5xn86/Sf8Aad8PQW3w&#10;N8UTG2yi6RLuwfYc1+bDkhsbelfoWRYqOIwra7n8seNmURyviCg0vih+THZDHd5fbtVbVdOXW9Mu&#10;dFaP5bq3eHG7+8Cv9asEZOQnH1oglW3uY5mGNsind9DXrVveoyXkz8gwfu4qm/7y/NHl/wDwSt8S&#10;WWhp400e7uVgzcQNHlW+bC4zxntivr7/AIS3QWVUj1VSf4T5ZH4dK+Nf+CV8kk3j/wAeadJN8kcd&#10;uV8tyvQ7T+RHOP64r7SNpC78M3zN8zZ4Bween+RX8ScRRtm9X1P9LMhlzZXSfdEmo39rpmoSaZea&#10;hB5kbbZFjfeFPXGRwfwzWF4+uNF8R+B9a8NJebvt2j3Vtt8s5+eJl/PmtVLa2UMVcntu3d8UJDGk&#10;hDK21QevUjB6e9eHH4ke0/hPmT9l/VDL8dNHthJ/rorkTLz8yi2lfnn1UH8K+o9aEUquViVty/e3&#10;Y2nFfMX7J8H9ofGbw9KylEFndSLGrelnL9ex6Aj3r6fvoIAWninfH8S8YXjOelf1D4aTvkzXab/Q&#10;/gn6SGHl/rhTlbenH8GzDDf8tHbd/ezUMhwPkz+NWX8kyfu23dzu6nnpUAiLy7VUD5gu1mwM/U9K&#10;/Tj+ZVH3rGNrXhjS9aG+4XbIF/1kajd+PrWHP4I1CCQG2kWaPd8uPlP+FevWvwH+Id3PbxfY7ONb&#10;yaGO1ma+TbKZRGY2XGcq3nRKG6ZcDscU/DHwl8SeKvEem+GrPUNNjk1bSZdQt5ri8CRLFGJd+8nk&#10;EGFs4BwAWPygkexg+Jsfgqfs4VbxXR6pH1FHL+IaPLD2MtWkk1u3sl6nl1ro19bud9u1attYyIhY&#10;qB8ua9g0/wDZA+K+ty6ra6TdaTeyaTcNbTf2bcyXitOpi3RboY2CkCYE7sfdbsGI0/Ef7F3iXw7o&#10;UWtr8RNFug+sR6XNb2schkhuWkMWxgeh34HTkEEcHnnxXEksTJXa/E9T/VXirExcvqslbe+mzt1f&#10;fQ8LjUeXjaetc/rvgjw/rUrSyWvlSMf9ZAdpP6Yr6Sg/Yf8AiEPGFx4NudftxMlvDJDJaabc3G8S&#10;PsBYIh2AEHLdsZPAJGfYfsd6rqUdibvx9Z2c11qzWUdreafNBMx3MoKpMqtkGNiy8FQyZ+8K9DL8&#10;9hhZOUKrT62v/TOrDcJ8VYet7tFxd2t100fXzOB+DngCODR/9CvlZo4wrLNGR3z1BP8AKvSPBng6&#10;9gDXU7wjdxlS3+Ar03wh+ynD4T06HTb7xvCY7i4dFukhUqVW380nhju+YSLnO0bDyORXoPhD9lOS&#10;8ujplj4ik1DyJIFkaxsWIZmuIYmwcHhVkdjnkbORjOPl824gp4irUlOV7vex+28O4LirD4aFOslz&#10;Lf4f0Pn/AOIms3HgbwvM8WoKrNH8uYwPqOtfOU3xV8bNMzLr5wWJH7sV9a/tC/Bjw/deGJrHV28T&#10;rqkbS7bW20fa8gj4dY4W/eTKchi6qREEfeuWWvDZv2R7xpmaK18SbSx27dJkkGM9mCgN9QAD1r77&#10;g2pkMMucq8feb3cd/Q8biTFcWVMZGnTxLhFLRKfLv3S9D6A8T+GmvNPuNOLru2l4/l7HqK+UPF2i&#10;zeHtfutMlkU+VIQpH909K+4bjThcQrNGykryv+0PSvm/9qvwIdF1iHxBbIPLmXa21eMZOD1r+WfD&#10;3iCn9feDnL4tvU87xEyOX1KOLgtYvX0Z42ZVIwSKash2ja9WlgKxlvlb+VFrDpZv4V1i5uIbTcBc&#10;NZwK8mzvtDMqk9hkgDrz0P7ifjFPlnJRNL4dWHjLxB4st9C8B6VPqGoXL7YbW1j3M317KO5YkADk&#10;kV+gv7Pn7Gmj2FrZ+LPjJcW99qUaqzaRCwe3jPXDn/lofUAbe3zDk/O3wr/bY+E3wJ0p9D+Fn7N7&#10;BHH77Ur7xGFurj3kIt2/75B2jtVrx7/wVh+KthpkkvgH4baLprP8plvLqW6dAf4lwEXI6jII9Qa8&#10;qtleY5piowwq5ZS91O6W5/Qnh7ivDThSKxOZ4t167taEYycIv7ld+ex96eNvil4B+FGiLe+Itbht&#10;UWPba6fBGPMlwOFRB2H4Ad8Cvkn4/wDij4sftieJ9N+GXhTVJtF8P6heqNStbFiskluDlzK/BI25&#10;+UfLnrmvF/Bnx81D40XbeJfEOuyXWqSfNcC4k3MP9kDsPQDivtb9h34bRQ+Hbr4pamNr6kxtrGN4&#10;/uRqfnf/AIE3A9lPrXnYzLZcESeIrK9ZaK+132Xlvc/bKOfVvEStDB4a8MM91F2fKt7tbdrHRaBo&#10;en+GNHtPDei262tpY2sdvaWsMYVYo0UKqjsAABX5x/tvftifEnxJ8eNU0P4ZfFTXNJ0XQ2+wQro+&#10;py2qzyISJJG8sru+fIBPZa+5v+ChPxXu/wBm74F6z4q0a92ajqMP2HQ2C5KTSjHmdMAou5hnjIUH&#10;rX5CWtrrviHUGttMtbq+upMsyW8LSSOe5wASfev0nwwyfD5lTqZriUnDaN7b7yevbb7z57xo4gq4&#10;GNDIsBJxaXNLlbTstIq6++3odBrPxn+K/iGM2/iT4o+ItQBOdt9rU8ob/vpjX6h/sFfC69+DX7Pm&#10;l2HiTzl1rV1GoapuiO6NpBlIm46qmAf9otX5/wD7GX7M/jT4oftBaHY+MfCGrWOi6fN9v1Ga+02S&#10;KORYiCI8uoB3NtGOcjPvX6oJMscWDeMu3/YHT8qPEzHYGp7PL8Ly2+KTil6JaC8GOHscq1XN8dza&#10;LlgpN7/aevloec/tzfGlPh98G38M2WozLqXiZmtLfy8q0cAGZX6ehC9uXzniuP8A+CenwIi0zwpe&#10;/GjVYpFudX3WulbYSdlujfM2cH77jH0T3r5X+N/xq8QftS/trw+AfCV5JNpq6kujaYy/MBGjfvph&#10;x04ds+i+lfpn8PrTRfDHhex8KaRdbbbTbVLeFNq8Kqgent+tfB55g8Rw1k1HDJ2nWXPLul0X9eZ9&#10;9k9bD8WcTVcZJXpUHyxvs33X5nmn7UXxasf2evgvrnxJupJnms7fy9PhYH9/dOdkS9Om45P+ypPa&#10;vgP/AIJy/B29+Ov7Rs3xC8Wwy3en+H2Op6pcSQ71nvJHJiRhg/ebe/piM+or6R/4KYeIrT4lava/&#10;B+yvGaDS08+8KkbTcOo2g+6p6/3q9H/Yj/Z6T9nT4JWeg6gu3VNWkN/qjeWASzj5FJx/CgUfWvSy&#10;vNaWV8Lz1/f1tPPl/r8zmzDLpcQ8Y04cq+r0NX2bX/B/BHsLTwRWLXE15MqJGS7NGQqjqSTt/Wvz&#10;A/ag+Mkvxx+NereNLS9kfTVmNro6ydrZOFbHbccvjqN2O1fZf7fHxq/4Vh8E7jQNN1aSPU/EzNY2&#10;uxRuWLH75vYbTjP+1X53zXMdoqbC25v4eMfyr1uDcvUac8ZNb6L9WeZ4lZxTdSGXwdlHWVu72X3f&#10;mdB4cuZRK26Riqqv8Peuw0HXCjoskp/usxj6HPsK4zwlPFOJFmmdR8oymCO+c/4frXrP7Nnw4T4s&#10;fFjS/CzQyPp8b/atUdsf8e6EEr0/iOF9ea9TNvZxjOUlotT8swlOpjMRClRXvSdkfbf7F/w4h8D/&#10;AAjtdamjlj1DXMXdwJEYMkZH7tSMf3SD+NehfEpxe+CtQ0WDxbDosl7bNEt7eAYjzwxGSMnBI49a&#10;fpV7FbwCK2l2qoAVFUbVHoBj0r5A/aj+NK+OvivPpEF6zWWi5tINuNpcH9449y3H0UV+RTo1cTiJ&#10;VY+p+/5rjMJwjw7ToON21y2va917zv0Ne8/ZG+EhnaS9/aW0Nc8v5UkYP0+aQnv6Vlaj8Df2UtFG&#10;3W/2jLhmH3lt7PzM/wDfCNXG2VzDKqmGTdkc5Uc1T1jw9b6tCxjbbMBwQo5/SvWy/EVqnuzqNW7W&#10;PxHHYrK43qUcDTk/7zm/1R3H/CKfsK2Fuxv/AIm+INRZe1vYXMZ/8ehA/Wq0Gs/sJ6S2IfDPi++2&#10;t8rSBdp/8iKRXkkWi6td67beG7Mt9qup1hhyo5Zjgdq9Tf8AYo8ZWxxr/wAV/B9mCeRJqThx+BjA&#10;z+Ne7OjQp2dWtLXz/wAkefgsRmWY831LLKHu2u+Ta+13KQt78Xf2OtL3HTf2eby9XPP2y+ZM/Ub2&#10;FNuv2r/2aNFh+0y/szaBYWcOGmvtUMMqQp3Y5jLHHoMk9ACTgmv/ALIPw+8OaHJrPjH9qbQNNtod&#10;pmuzaLJEhJwPnM6jGeK+L/29/HPwf8I+I9J+Ffwu+L1r4ytyq3esapZxhIfNYyIlsoDsNy7fMJ3H&#10;O9MYwd3n4rMMlpYebhUcprZXe59Jgcp40eLh7alSpU3Zu1One3lo3qcb+2D+04fjt8eD4hsNHh0z&#10;Qrh/sHhXR7ZVhjs7SMOVURgDDORJI3fc5A4AA881jR45FluJU2/KTJ82M1xetah4i8V+LNMj8G6d&#10;HN/Y9wdQ1CW5k2LFbqPLZu/J835VBOT1wASPQJ5jf2fmSeSyyxsCrBsDOBzgjPXsQfQ18HKcqspO&#10;XX8T9UhKPKkmvT/gHH3mj28+mSXUOmlpxYt5MHylR5rbpPbJIT8q0NP05YLVbaBU+VQM5AOT/Efx&#10;JJz7mtYaToy3E1pLCzQfZ4VjxKV2MHbjgZx0JHB9+a43xL450Sw8ZxWFtqwX7K5F1FnGVK4XPtuy&#10;vfpmueUYQuytT0j9ku68c3X7Tmm6d4F024vpri5lsrjT7e6CfabdYTJNncypiNVaf5yqj7PnOQAf&#10;rHx34Rh1+0a9soZPPVcrhuT+tYv/AAS9/Zl8MfEv9lP4yfHy98TL/aPiKO/0fR7y1tg0uj28MJMx&#10;Rs43zcKSMEKpGSGYE/Zn+LEPxw+Flr4qj0f+z5LWc2E9um7y2aNEIZdxLYKsud3IbcOQATvwfxNH&#10;EZnicLSf8FpfPr8v+CebxZwxGODw+MmtZp9ttLfNf5HD3EVzavsle4t5egkibY6E5U4zweCeCCGG&#10;QQwJB+rPDvx4+Pv7F3wP0Xw3P4O0TW9DtUhGj6otxeRq9vcK0ipGGhhV0TGGZAyKZIwWywrx/wCI&#10;vw6i1eyOqaXA4uI2HmD+8ufT1xXG/t2/8FOfF2kfDfw74Dj8a6Knh2KPQbDXPCf/AAi0ErSrJa3b&#10;HUIrxZWmV43tdnk+UqnecOCMH6PjDiirgamBq06alTnO1ZNe8kktY21vq/Iz4PwtSOExdD2rhJR5&#10;qbW13prvvpf0PcPDP/BQHXPFvx00Dx54i+H9razQn7G1xpm+SRIXyG+8fmHIJB4+XI719JftKfEP&#10;WPBXw88SeLUuri5hbTx5ekrOXZ284MryxbVaEAsd2Scg5HAxX4d/BH9sTx0v7WXgfXNZ8cRw+FdO&#10;8dWEmoRraJDG9i1yizJMG5aPySwwzHgsCRiv6NP23tb+FP7NH7Ifiz9onxxqdvrHh/RdBa68O6Lf&#10;o4bVbyWPFlZysuSyGVkBIGdhLMcKzN+D+I2HweccS4bG5Vhrxuue7s3qnt000P0rhLOcfg8or4fM&#10;a15te697aW/roflXB+3B+014d09dB8P/ABCm021tWZUtbewhHl88r86E8Hjk54qKT9s39qPW1/4m&#10;Xxn1xeM7oJI4v/RYBr4otP2qvilc+JL/AFrxJJHrc2p6hNf6m14dsryyyPLKVkT7gZ3/AIlbHGFA&#10;6+6fDfxVY+PfCNl4v0yyuIYLxZAkUxG4GORomHBP8SHHPI9Og/qPhXOuHs4w8aOGgozjFXi1qraa&#10;PZo/Ac/o8SYCu6lWtJ029GpP8r6Huui/HH40aohGo/F7xXMrLkrJ4guSCPoXxW1puvavq86Taxqd&#10;9eSf89Li6aRsfiTXH/DHwjqfi6Sez0i5jjFta+dI9w7hFAIGPkViOT6Y/SvVv+FQjw54WXxRqHim&#10;L/Ux7Y4oSVkmYE+UGYjJAGScevHHPqYyWFpy5FZP0PYyGjjsTTU5ybj5u5r+GkG4GNZOMHduOP51&#10;32glXCjbJt3dN3/16858Ozqn7whmHHO6vaPhn4Cs9T0n+0/FWqSaeZlX+zFmm8sSuThd3yM2wkqN&#10;yqSM5wRXwnEWcZdkuFeIxlRQje1/PyXU/XshwPNbkV2b/wAHdZ8FXei6xpnhvSWTUvD/AIhX+1YL&#10;XzIzFcSosgujFwswYSZDru/5aKozuWsy+tvDN7q2m3V5p6zaw2sGBriS3m8ydoYflnZXB8oiLCjJ&#10;Hy/KAAAK6v4efB7wB4a8f6x4mfw5qdhrWqW62+ryXGYpHW2jV4Ar8bsJcSEBSTnduC7TjM8VfD8e&#10;EtafxV4DuJ723mE37u4uPPNxdbgvk7mfML7wi8g4A+7jmv43r1cD/r9GvCTeH9op81um/wD6V+B+&#10;sYbFYZZco1Gk1o/RHVpDB1IbI/2z/jVvTisUjbd3/ff/ANeoz4J8W2umQ6xNZp5dxcSxKi3IJDJn&#10;jnGTtXPHHuazYtQBXcfM49Gr+mMFmuBzWk5YaoprrbobU8Lg8VFypWZ2QuQ1ptkjPHvUJNs5+YVn&#10;WV+k9sBh/u+vSs+TUpLeTOG2/wC9XPRp81SUUcdXKlfY5z9q3ULHTvgbrENzI2LxUt1QHqWYcfkD&#10;X53+N/h7NpZOoadbyNCTllHOzn+VfV37bfxr0v8AtHR/hZZzDzo1N9qCM3KlhtiH5eYSPda8bjjt&#10;L208uaIsr/eXPbFfR5TisRlcVJ7Pp3P4d8cKmCzvi+phaUlehFQbXSW7v6XSfoeGsCCFePbz/eqM&#10;DB/1f0+au2+Ivw8k0/dq+h2TeSeZI93K+9cKHY9Ijx23V97hsZRxmHc4Pdbdj+e3ha2DxcYVFs16&#10;PU8r/wCCXalPiF4m+Rt9xpSSMqtxkXU3Pvx+Vfa1xAqztt25Zcjdx3/wr4W/4JiXtzbfHXxVpOoS&#10;sjQ6e0Sxqfm+WY84+rdK+5ppjFzI42lu/P8An/Cv4z4p93Oqi8z/AEh4bfNk9FrsvyFW3O35T7bt&#10;306dahuLloEkEZx8hB+bH/6vWnyvDGFKtncxOV/z9KiWRDH+83biCNuDz7frXz8dT3z5h/Y81P7B&#10;8U/Ct1dsy+dYSR4/2ntHUcZP8Td+a+tL/Ydy4k3NH/Dk/gK+O/hLZvonxw0HSbdWH2TxDFBuHHAl&#10;CnqcnjPWvsbUofvPFKykY9hjnP8An/Gv6U8Nan/CXUX979EfxL9Iyj/xkmHl3pf+3Mp+DfBLeOPH&#10;tp4KXVI7Nr1nSK5uk+XcEZgOByWwAAOSWUd69Guf2QLuPXpNO0v4j2V5Na2sN1M6WDlYlYOQreYQ&#10;MnyzgHr82duBu8xttZvvDXiO113SNWa3voJi8M0K/NE20jIJB5Gc9uvGOosax8XfiVd3X9oS+PNQ&#10;a4kh8mSSOUKzR8/IdoHHzN+f0r9OnOtpys/n3K8Rwvg6clmOHlUlzaOMmtLbbrrqekaCPjdquv26&#10;H4n2lvNf3iSX8MegQSG1jmSeMzSRCPBVktYj6MJYz1p3jj4XeLfh18RPDPhy1+Pc1vqOrWcdroGo&#10;aBozWC7JbhM27GAqTu37gD8pcruKAlh4rJ4m8SLevqyeI75bmSMJNNHcMrugG0KTnkAADFQ3niPx&#10;Fe3Vvf32u3801qwNrJNduzQngjYc5UjAxjpgVEacl2+5f5Hf/rNlcsK4SpVJS5lyt1JWST7JrVr7&#10;mfQFr+zJ4i8d+PL63+IPx+kaa80l5L2a8t5mmZPMgJiIbcqbXlgDLuBBICggEi2PgFdRfDfUviVq&#10;/wC0fdSppN9M7w2N8UANpPwMOo2zYEZVSB8zL2IY+LeDrG78b202p+IPHWqrNFrmn2rD7Q8jJbzm&#10;Zpbjls4R4IB6bpEPUAHvte+HPwh0mfWNGtPi3eapYvHby29nDq0kM0lxLcEMskRidQwQICSWOV3M&#10;U3BVh8/V9tLH1mX47A47CudDC2TuryrtO8tU2m9UrO/qZFj8HPDXi/QYfiBa/HWSCG0bzdPXUNUt&#10;PtVg4Nw8cbL9pEqSu8CldsYwZV279rEd3efszReCF0fw7ZfHHxBaaTdeIobNIU1TZBH5sF4ZiY1K&#10;qh2xBS2DlZmHOMVT1v4Gfs76do3iB7bUWzHqGqQabv14y/6iWWO3favl9cLt/wBbu3D5skiub0b4&#10;TfAWw1+zN74mtL5Y/Elta6gtvqlxI0EflSEscxwlg7soZ1OEMPyht5VfQo1H7PmU3/4Ctkd+Fo0s&#10;NRhGvQpylK3ve2ffVtX69kfRfhP9n/wFbJNosvxLvLqTYtxZ3S6laoZvkeQv+9lBk4wNwAAOc98d&#10;LafB7wHD4fs9R1nUr4xrp97JNLJIjRIsSSENvjLqAHC5wcNkYzuFUfhx4A+EGleJDpPiFLW9tYLe&#10;JrVbK9uEjZWjJ/1jZ5GV68HoOenH/tV3vhDwb4F1RtCuAN2q3cVo3mZ3Wob92xJ7/wA8d6+Bo1qm&#10;ZZtHDQk/ekunc/WYvB5Tl8sS6cUop6KT6a/Pt6HkH7Qvwn/Zm1Pxnbvf/E0/Zlm/06S3uhNIPMju&#10;mjTG4FSPswyu3cWdcdQK4aw+CH7GBsYTqHjfxD9o8lfP8q3uJF345wyQFWGe6kg9QSK8N8TXL6lq&#10;Ul6w3FmJ3SCskxZOT5f+fwr+oMr4ZxWHwMIRxUlZLTT/ACPxytxdhcRXnVWChq76uX+Z+lHw48Q6&#10;d4w0aHWLB42jmjBHzdCR0rD/AGg/hu3if4f3cVraxmWBGePA5C//AK68B/Zm+Nk3w98QxaPq53ab&#10;dSBW3NxExOM/Svtq002x8S6Es8Rjminh+VlOcqa/zv4pweL4A4ip4iN/ZOScX5X2P0LIMwwnHnD9&#10;WhKyqKPLJddtz82bhPLLRuqgoSG+uaozRTM28uuQ2R83SvSP2kPh5cfDn4m6jpv2RY45n86H5ezd&#10;cfjn8689dcoVC9DX9SZTj6ObZdSxVJ3jOKa+Z/NuMwlXLcdUw9RWlCTT+QbyvA289ah1C1jvbGS2&#10;kK7XXDGnN5m04x+fWmhio2HHI5r2KcpUpKcdGrP7jni3F8yMf4L6F4y1j426H4C8JzNHfahqSW6s&#10;uduzOWZh3UKCx9ACexr9tvhk+laT4XsPDGl3UCx2NqsKx7R8yqMZ69Sea+B/+CcXwm8PWmq6l8ff&#10;EM9kl0sZ0vR/tEiqUHBllGTwcYQHrjcO9fU3if4z+CvCmmTMvxc8NaPeGBlguL7UIgsTkYDFS4yA&#10;ecZGa83j7GS4uqUqVODTpxSbSveT3enQ/uHwOwOHynhl5niZJTraqLa0itt3pzM8/wD+CgOh2n7Q&#10;yXXw+s75JLfRY2W3eMnabrGZPxBwv/ATX55fCz45/E79jfx7rT+FvDfh+bVpovsU0+safJM0MYfc&#10;RHtkTAZguc5ztXpX6Q/Byz/Z/wDEVq6ah+1PoOr6kx3XK6VeQuxfqWwJHOcn3rhv2sf2N/2KbpH+&#10;Lvjr4ga0IYVC3x0+ynZW4Pz4ihY4461z8F8WYPh6s8gzSnKVGey5XrLy23FxRw7jM8xSznCVYRrR&#10;b1c46L1u7WPjzxD/AMFSf2xNVJax8baTpfzcDT/D9uw+n74SVzWv/wDBQ79sXxDZTabqnxtuRDNG&#10;ySfZtNtLdipBBw0USsPwIIr0u81b/glN4QvPMt9F8c+IgOP3cbBD+EskJqtqv7Q//BNbSUEnhv8A&#10;ZC1i+mAwv9pXRhB+uLmT+VfsUJZOpL6tlMn5uEY/i2fHyjnXK1ic5il2VScvwirHmn7Hn7RnhP8A&#10;Zj8b6n8Rdb8Eza5qTad9k0nZMsa225syuc5O4gKoI6AuOc19AL/wWm8W2cn/ABL/AIF2CqzZDTa0&#10;+7p6CP8ArXjPx5/ay+CfxF+F0vw9+Fn7Keg+E7i4uYzJrQWGe4SFDuKI3lBkLHaC27pkd8jP8E/8&#10;E9f2uvHWg2PiLSfhnHb6fqFus9rcX2sWkW6NhkMUMvmLkdmUH1ArHMMuyHHzeNzej7OT0SnPdJdE&#10;nb5FZZm3EWVxeByPEe1ivebhDZvfVxv8z3z9h7xRN+1b8ev7Q8XvGzRXTavrnnHcsx8zcIxn+85A&#10;x/dBx0r9JLrTLTVLNgLi3Vv4cL0/WvkH9gz9nG6/ZV+HdxF461TSYfEWrXnmXzQ3IYRRLxHEHOM4&#10;5Jxxk98Zr1b48/tVeHPg78Mrq/u/ENpJdXzLZWK29wHfe+fmwpPAALZ9QB3r8K4qwssZnTeWxbhF&#10;2ile3m0ft3Csv7H4deJzCSVSS5pXtddl6nxJ+3z8RNZ+IPx5vI55WXStFjFhpIXOx1BJklAzjLvn&#10;/gKpnpXikOl3Wq36WVjay3E7g+TDaxmR3IBJwoyTwCfoM9q+rvEPgLwz8XvC/nWc0b3DJujuOuGN&#10;eM+BfAus+BfjZZafrEJjkgNwVY8Bx5EgyPbmvu+Fc8wmOpRwVuWpDRxf5n47nWBxWMzT205XjVlv&#10;va/+Rk+Cfh742LSJL4ZvoVbHE1qUz1P8WP8AJr64/Yl0XwN8I/CmoeI/HHiGxtNa1SbZHDJ8zwW6&#10;dFO3PLNlvpt964WKd2ON33uetQ3d5bWuZpn+XqeK+ozDIaeY03TlNpPsfTZDlOGyTHRxUfflG9r7&#10;JvqfSXxN/aB8LaL4E1SXwV4ii1HVmt2j0+3hUg+Y3yhiWwMLncef4a+OIvCPi6SZp72xkd2O5naZ&#10;SSxOSSc9TXRv4ugR8pbN9W9K8x/bP+LviLwN8BbqfwJNcR6xrF1Hp1hLax7miaQMztwQQdiOAR/E&#10;VrwcXw1lmR5XVxNScnGCcnt06Hq55g6nFGMpuq2raJLbXd+v+RNr/wAefhl8M9dXw/4r+Iuj2t4Z&#10;JFa0k1CFmiZMbkcKx2Plh8rYY5HFdVq/xj8C+Dpbe28W+Io7FryPzLTzFZ1lj3Y3BkBXGe+a+c/2&#10;ff8AgiV8UvjF8I4/iV8VfGeoeEvt0jSWGi3mm+ddCHJy06sVHzHO3coO0g8jBPmfxZ/Z0+IH7Kfx&#10;K0fwXL8Sr7XvDdxb3Edt9rZmW12Bn8pBuZVbILcEAjdnJ5r+f8n8TuHMyzieDpwanJ2TTdvndWfy&#10;Z6WK8JcTluBWKm5clr62/LdfM+27nUvDPxA0/wC2eGPEdnexxzeW15p9ysoSTAOxihO1gpBx1GRk&#10;VyuqaZrOkyzRX00jLuyjyZbI/GvKP2L/AIhW3h7wRq1hdf6mTxFK+e4zDB/hX0rpf/CPeMdFKLcx&#10;ybsd+Ur9gy3GYijgqeIqQ9yev42Py3HZTS+v1KFGXvRdu19Op6nd2fw30L/gnPdfGnxoGkSW+XRL&#10;LSfs6ss10dqh9zD5QoVpgFwrMmG3ZxXzFqn7PfwV+J+nr4h1f4aaZfrdWvlyXC2CyHZhuEcqSAOe&#10;BhlOehr6i/bZu/B3w8/4JZ/DfwA9qVvdW8Vm9tkVCPM8r7T5sjY/2JEH1I9K+J/BHjjxJ4JuQmg6&#10;t5llIdz224kff9D3x/nmv5G4ijGnn+Kq4OTSdSTWr7nXxlxBmEsZhqNWetOlGN1o1p5WuaDfscfA&#10;KDwWfBXhaPUtBtX1CO5vpLHUHe4uGRs7JJLjzSUOR8vGO2CSa5y+/Yi8Ovc3L6J8RLn7L5n+h28l&#10;qjtGvcOwZQT7hR9K9Mu/GmrazfW7Wli07XUihZLX7x57r6jvjPSu48JfAf4meJnvItRm0/RTpenz&#10;Xt8NQuvMubS3jIDSy2tsJbqJOV+Z4lXleeRnmpcR59RiksRJpKyT1t99zx8vzzOuZrDyk76vr97d&#10;z5bX9jHxrHezLdeN9PWHd/o8zRynKADqRx1B78eorwb42f8ABOL46eK/Ea6t8P8AWNHkkZfLkmkv&#10;iiTR7s4J2nGPz/HNfoXdfCzxde28mo/D7xXpfie1jYBpPD+pZlLdx9mnWO5bA53CIrjuecef61dz&#10;JdpYX0/2qRT++WRfmRuco2RkHg5GPyrujxRnFVWqST+R31uMs8wceaVvnHRnzh8JvCv7en7HXwWt&#10;/hh8Ftakksdfjnu/EVnZ6bZXP2a6kUxSASXMQcKY1XABAAY9Tmtz9iVPi58F7XXdM8b+HLyz0+9u&#10;LWWG1uWRsSKsiu6hWOzI2Bv721Mk7Bj1uHWIrqyjuItQmjLbSY1mkXBYZwAMqAPcg+1Z+qXZid5H&#10;u5mdeu6Ruee9eplfFVbLcY68KMLvfS19La23OPHeJGdYrDxo1Eny7b6LeyV9C7+058X/ABDafBO+&#10;j+B7G48TagBaRrGdkllG4bzJ03YG5VB288MynBAIPwcn7JPx68TSx38/h+O1MS7LaPUNSGI4w3C8&#10;bgAOTjoCfevs25uLu6lVmkk2ycHfITu4+vNTnRYrZGuNUl+zovy+XnDtjuR2GMn14qMz4ox2ZVlK&#10;cUrbJGeE8Q84o0+WnCK7uz/zPM/2Fv8AgnV4O8XeKtS8ZftO67pq6TocUa2+h6ffxx3OsXk3mtHE&#10;ZHZPKgHlAPICNpkXJXdkfSn/AAWC+O/xc/a7+EHw7+HXwcjlvfD/AIJj+x32j+fL52oOsUUcd4Jb&#10;lvMkUKrKPObzW+84DM1eVaF4xt7q6u4tPhEVrGQkbg/fbHzEnr6exz7HG/Y6lA0jXFwN21SYcNx1&#10;AJb8D+NfOSzDMKeL9vz9GuXpZ/r5nv8A/EWMxWXww8cPT5vtT1u/lfRHx74u/ZO+N0Wt36eEPCGo&#10;3elx26raXF0beCaZSyljsEjYIC4xk9vU16x+y74X+JOm/D2Tw14o8HalbyaZqs1vaxyWLgtCQsu7&#10;IHzZkkk+YEg+vBr3MaqsiM8d2cgZCpMPUVPb3hkXHmL33M8Pfp1NfVcNcdZhw7jvrMKano1Zu2/X&#10;Q8XMuOsZm2H9jVpx3vdXHeC7rxp4Z0+8sdO06+t47+KOO4mW3cMFVg4QNgYG4AnHJwPx7IeOfF3i&#10;OwsdF8RaldT21irfZoZEC+XnAJJAyxwByxJHbvXGyXlu9ojfaLWNZFXhTtzzzjB9s1X3lxs+0Rsp&#10;yCvmZBPpyK+6l4xVa2s8HG/lL/gF5fxxXwEVH2d15M9g8E3dh/alnFqhkWzaZBcNC3zCLd82PfGa&#10;961H4y/B7wVo/irxb4zu5P7Jgsc3l1tkEcMLHCAMOjF/LRcHdkKqjOK+LLe9vNNiENraw+UvzKfs&#10;qNjnr0PHuKe/izxLagwRyruVSGU24GfXp2xX5rx5nVHjSNLnhKHJe1ndO9j9ByfxqWVu8cLf5n0X&#10;8Jf2wfiP4xhtNV+Dviq61ZNVui7Wd1ZpNdWsMTPl32xhmPzhfLZiuG3pzvzjaN8Qfjv4N+JXjDRN&#10;W8HWtv4Z1zzJtyabNDLZXt2JDNJCWJyREYVBHCGJW2Mxdn8W0X9oP4s+ErX7J4a+ImrWMKt/qdP1&#10;Ka3XPqArAZ61V1H9oL4q6pd/btQ8da1cyNIG33WoPISQAMncTyBjn0Ar4H6jUhpG36nqQ8bMDON5&#10;4eV/Jq35H3BrPxY1DXvDuoXPiCNray0OzuLmyQLLG8WpXQaMMokA82EC5ZFYZGAehAxbtdSka2Uy&#10;tMW2KSysRzjnvXwLq/x4+IV5ZR2eqeIbi68uYTQw3EzSKJQjJ5iryA2x2Xd1wzDoTTZvjl8ZJrJb&#10;248e6pZW6MqhYtUnVuegCq4H+HevquE80fDtarOpByUkkkna1vU93KvHTK8HNuWFm7/3l39D9GvD&#10;+tQsfIdZDnO3LEZ9e/uPzrH+JvjHQfh94d1DxZ4gmkhtNPtzNK3mHp2Uc8kkhR6kgV88/s3ftPeN&#10;PiR8UpvCGqaFY29vpOkQzSahaq3nTglkKzs25nZfkKkno3PNYf8AwUB+Kt94stNN8P6HeM2jpIXn&#10;kXO25nUYzyOVGTj1PPoa/UeGMd/bmMhUdN04zbVu9vPuz73izxXyfKeA557hnzSmmqcXu5bartF7&#10;s+f/AIh/EDWPiJ461L4garJL9o1C5Z1Usf3aZwqD2UcVseBPimmn4sNXZ2j28SMxyP1rgZrwoPJX&#10;c3+16U2K6UEo8jD8K/bKuX4bE0PZyW23kf5v1swx+Ix08bOTdScnKT7tu7ufS2kT6brVj5tq/nRy&#10;D5l3ZzXnvxE+D9xDNJr/AIbtpGj6zQKx+X3HNcT4U+IWu+D7hZLG5Zoh/rIW6EV7x8NPH3h/x3pY&#10;SF9tyF/e279f/r18Li6OY8N1nXp+9T6/8E+kwtTA59TVGt7s1t/wP8j4N/ZG1CbwR+2Z4z03yMGb&#10;UNQgRHXO4LcPgdeOF/zxX29ZeJtO1FFiZTHPgbo24z6/WvGPEv7NMF58eL7x54YRobqTVrx54Vx8&#10;2ZGJOcnHOT/9euxuU1Cxb96m2RMKy7u4/n29TX8tY7O8Dn2YVa1GW0pJrqmmz+7OG6dTC5PRhLpG&#10;P5I7LxBrbaL5bC2MnmMQzbj8vA78/h9KjsfFWj3m1hfxq23LRlhuB9h3+tcfqfiK51S1hMszbViI&#10;ZWblm7/T8q4XxBrdzJrPmwPIqwttRg3QjuP8faop0VLQ9qVZnL/DfU7O8/aY01UulHm+NmEbHPP+&#10;lMMYPHSvrjUJyA0UdxjOR8i5POO3avz5+FHiWTSvjzpPiC8nYND4ueR5N4UA/am5xX6CTmQSMWVG&#10;x/Fjk1/RPhnaOBrL+8vyP43+kdGTznBy705L/wAmOeuv9GnYJdIrc/JjqPT+X41WupN0rHzc7um1&#10;cc1c1K+UXGwyfLnIOAcjJ469O/rVKQo8hKTRt+Y/z+Nfqji+VM/kvEcvM0ipIdrAE59qaGPaUj26&#10;ipJWbdjI/Co3XPzE5+oqtkZxI/NZQQsmC3DYXqKGKudsjbh6baGcluCOn92pIUGwEsrem7HFR1NO&#10;ZxRVb7u4nv8Awit74YaUmr+P9NtGkk5m/hbr7Vk3GD8gYcivQf2WNG/tX4r26AI3lRs/zdjkdP1r&#10;px+Kjg8prVu0Wz18kpyxma0KS6yS/E+t/A/h9IYmumdvkjCBvXFfPv7dnikwWUWgRSKWb7xDZxjn&#10;pX1Xb2S6T4e86Vgo27snjjFfAX7VnjFPE3xGvI1P7uGRgrBgc88d/SvzXwh5s84qlim7xp6/M/oP&#10;jyvHK+HI0FpKdl/meN3hRx9xh6c9arFIu8bf981aulV8Hz8AD/IqoUjz/rj+v+Ff21h5J0kfilP4&#10;TtrW4QbQIPmr6z/Yh/aKi+1J8LvGNyu1lA02d26/7JJr5It1bdkL0rT0nULvTbuG/sZHSWKQNG6s&#10;QVI5zX8kcZcJ4Li7I6mCrrVr3ZdYy6NC4Z4jxnCucQxuHeidpR6Sj1X+R9m/8FD/AIOre+DLX4lW&#10;Fhuks3WOZl/uNxz7V8U3Ue351jFfot+zZ8TdA/ax+BV98MvFzx/2tHY+TKvXeuMLIPocV8J/F34d&#10;av8AD/xdfeG9Tsnja1uniYPxyCRX5L4H8RYzCSxnCGau2KwUtE/tU5fDJd1oz7zxWynC16mG4jy/&#10;Whioq7XSa3T7M42QsqlTED/ntUbpmPCW/O773rU13FcBcKNp9TzVcRz4PC/gtf0apdGfksbctxLj&#10;c0XkMm6MNlVZuAfXpXHeNfBjRltZ0i3GOs0Sjp7iuwcOxx5a1DdJvj2FF+bivUyrNMRk+K9tT+a6&#10;NHpYHMMTg6qlCT81fdHF/D74geI/h74ht/EPAACA/3+GrtoJ4WBG1vvDuCMV+k37Jfx+8E/tQfD6&#10;bwh4lhgW+ktzDfWMjZ3A8ZHt/Kvzn8QeCROz32loiTdTD0Vvp6Govht8TPFXwg8Z2fibwzeSWl9a&#10;zBtu774HVT6g16/GXDuV+I2Tupg5ezxUFeL2aa1SfdX6n7dwRxxTy+tyy96lLSUW/wAUd3+2X+zX&#10;rv7PHxYvtCuLA/2XdyNPpNwqkq0ZJ+Xp1HSvFbhGQ7WRTzX6hWmqfDf/AIKifsxXHh2xSG28eaDD&#10;5tvbswEnmBegyPutjHH9K/NH4gaPqHgnxBdeG9a0uSG8s7hobiCb5WRwcEEHoay8MONsVn2FqZPm&#10;kfZ4/CNRqxe7X2ZrvGS1v3PY4uyelgK0cbhHzYetrGS2XeL7NGFNuR1PlD67c+lbt38W/ildBUk+&#10;IeuAIgWNE1aZQqgYA4OMY9q5a41uPcC1sqkfd4BzSf2xaHB+zt0ycY5r9LxWHpT/AIkE/VXPlqOK&#10;q0It05NX7Ox003ibxLq+1tY168u8r964u3k/9CNOt7t4F44+hwDXPx6/GVGLQjHTkVKmtPcNtS3Z&#10;ePUV5VTCxd2kkc1bG4ipvJ/ee5/BH9obxD8Py0s0jTW8X+sj8wnA9uK+lrXxl8O/i94at/G+jNC+&#10;qaeQeGG9Nw2EH1GCa+BHu5oLPyi7ZmT7qtivW/2Kp7kfFC6sPtBWE6PLI0fYkSRgH/x6vhcdwfg6&#10;+b0sxotwnCSbts1fVP1Pq+F+KMUsZSwNVc8JNJX3T6NH09b/AHcn+Hp+lfRH7Nv7Ingbx98N2+K3&#10;xUNxdWl1JImn6ba3DRqFVihkkKfMWLggKCOBkg7hj57Cgcivdvhj+1N/ZXw9sfhnf6dpkK6fpdxB&#10;DcXkaIUkckrNE/G11+VtxyxYHBwePM8S8v4gzjhuWEymvOjKTXNOm0pqCu2ot3td2Wmp+20a0cHL&#10;2k0nburm74p/Yj+FuqRR+LfDGh3Fvp7PtMMeouVkBcDdtclhgkAYYDnkHtR+PX/BOzwxZeBI/Ffh&#10;TSHuLzR9Qt76XTWu98UbQSRyM7Fk+fCgsqqoBIKknGTz3xu/amvb7RLHwTpPie1ezghRbMabIrSW&#10;oiTbFG0i8NjoTkMevUKKz4v+CofwC/Zw/Z817SviD8ZdNm8UfvLVdK/tY3d5G8yMxaSPzGkT75I4&#10;UZKk9S1fj+HyPjfLeFfY4jHyqU5pw/eP3lGWmrfRavyO7h2VDGZl9Zk2uW0kndJ2e3z2R6MdLk8E&#10;aDr2t2GrXWoWmsCM6daxxqfJhKgNymCzHe3UgBUABFfIf/BTfTPg/wCGvh5N/wAJDpMVzqP9n/ad&#10;DVJBbs145jiabCjDMsc0jNncGAKgrkFfavBHiDVPir+z/od98Vfh/bXUd34es9XtYF1RSIoLpC8U&#10;ZkAw5eMA8EEFsZyK+K/+CpF947sdO0LxvrmgyWPhFnXSbe78kC0sLiSMtDbmTA5MMJ9htGQNwJ/m&#10;ThfC04cWKhOokqcpe8vtcl7W9Wutj+huJMRCPD/towu5Jb9FKy+eh5b+yvaNqfw71SEzrDJHrreW&#10;W7/uIete1fCfVtfsvESaZAkzt52ZEEm3KDrhsMBx3wcZ6HpXkP7KkMU/gK4v9PuIZre51KQxzQuH&#10;VyqIhAIzkgqa+lv2R/BI+JP7SvgfwbcaVDd+Z4otJbmGdv3ctvFIJpVYfxAxo4wevSv7OyXPfqXD&#10;Vq3vQUG/TRn8G5hmFanxzWwzWkppL52PYv8AgtDqGs+EPDXwn+CF5FZtbaV4fadpY1/eecAsLHP9&#10;07Aegya+FYZmlQRJhcY8tl69Tke/3v8Ax0V9Sf8ABYzx1ZeLv209V0geZGND0u1sdxk37n8vzCcZ&#10;+UfOOOPWvB/gXof9pfFbRTFOgNlc/bhuX+KFGmVSD1BMYBA7H6V/Jteftakpv7Tb+/Ujimp9c4kq&#10;xT0UlFfK0T274OeA/iP8L/EOkN4E8Iw+JNSsdfs7Xxcq6ikQWeQ7/wCykZgWh4R0mmCk7w6rlYw0&#10;v2n8Ev2BfB/wv8S618XRr17o/wDb8NwNQ0OSKKdLbT5lLzWS/KAFEmwhsbtsSLhTuLeKf8En/h7r&#10;nh7UvE3xt+Kd3/Z9hJZ2t5pdveMxEv2ppPLuUw+MtsMYyCzEjvXvkut/Hi2HiBPh34H1rX5tc1Y3&#10;txrHjGQ6bp1gqqBHFBFL+9aJQoPCruIJPBIPH7OEY8zR99w3l+Dhlsa9em223yxfS2n4nnnj7/gm&#10;Pb3XwM1DQf2cfiHqVqus6wurrY6xHseWNYl8q2LcMu2Rd4Zuhbkcbq+TPjH4W0Fkufhxdapql740&#10;8KeGk1S61S+hijkmZLJbi709wpLSvB85WVmLOUZB0VpPv/4f/E7XfDOoeE/D/wAUf2jfCsupWeqX&#10;J1DTdDuHuG1BrgskMJCt8qx7yBuDAlUPG2vDP2s/iLr3w7/byt/CXw58B+HBceIL3Qxf3E+mN5t6&#10;73ESgOzMY2wV2iQIGX+8GVSpJRcFKKMOJsry3+z44iC5FpFq11rtyq+mvX1PhHSYpL25ZLELtDY3&#10;Kp24z/8AWqtrNxaQySKCsjbSGVfXmrWo6pDJO+keEYnkt1YhZGXazDPU+nHWqkuiWllAtzqUvmPJ&#10;IoWFepY8j6/yPbNVDe7PxepTtJxXTqU4Jrg/6bGhhC8I7NllXqMccfX9D0rJ1QX/AIlglV2ZbJnx&#10;JclSGlb+6nXP+c8CrysNS1S5kvJN0NszJJDuysb4wUJB+dvVc8Hhj1q9ZRvql0LmWJlWP/Ux7eI1&#10;4OenXA/L0rp+HVlR/dxu+vT/ADOXS2j8PwNpNjCvyyb+WOScAbWJBzj1A6H8tDT7y8gtJJRCWiba&#10;rzq3RgPu9enP8qy7+d2vJHO4LvPB74J5qxa2Dx2nnwai0nnSMrWuOEIIGST3Pr6YrKWu5Jcj12RY&#10;wbixk+bIwqgkH14Pt61rWVzNcWzSwyzw842spXJ/WsUWy28qzG3YsvKqqltv1HarEut3htcG5+zq&#10;rKfLXOSB3xSjC5PKa82pXUMuI9TWbceP4R0HA68A+4/CqUl5fPIxkjDM2cMv+Bqi8jy3bC1T5dzh&#10;JFwSBu6cdD29RVzT9IvmCl55Omd2T37fSr5bFklpd6gibDE33cZ2nPX8amu7q4u7ZQZ41KrhWbcO&#10;No44981JLc6foy/NJuk2jCt+p/8A1mqk9zq2oIGsoGjjbduaRcbRnH+cVm9TohF6WKVxcWttxPdx&#10;sxbG3dyTn0pI3ub4LHAi29uAS0jNhj3+VcHP506CO3jnZrS1Nw4kx9ouU+Rf90Y5/D0HPSq2v67Z&#10;+H4fOvG8y4dflQY3N+H8I/D86zcV0PRpwjGN2ST3miaBbtqN9MsMar/y0b5myPX19hnpz3xn6Ndv&#10;4p1AeI9Rl8u1XcdPtFU4PI/eN+XHH8ucKXw9qnjfWodf8QCRdPVd1raknDHIK8Htjkn+L8a61Y44&#10;VUIm1VCgKoIwPSlypHWuWUU2Nfxvq/hHXbu28Maq1r/bmlbL5k4kdFdPl/2c7Rn8q9K8UTt41/Zy&#10;t9cjPmzaZMgm+X5hxtzXgPiud4fjFplqjY87R5/MXcedrL2zivfv2YmTxX4V8VfDa4kDfaNNkmt4&#10;2A6gc4/T86/aeHF9X4Qw+MhvSqXfo3Z/cmeJmFXFV8yWCq1G4TptRTeibu9F5tHgfiTWIdH02bVb&#10;iY7YUZmXbXgeh+JP2xvjjrk8Xw5jh0uw+0Q28cjWY582eKGNiWBIJMqnjtk9q9+8aeFJfEGn3PhP&#10;7ZDayzt5STTNhI3zwWPYZ7ngd6+7P2av2Jfhf8IvgppOo6lr66w+pQ2d1c3d9P8Avmuo9k6lJS2x&#10;YQ6sQChbB5c4rbxQ4uxuQxoww8nFTTenX5n6x4C8D5RxRDEVsXTjN05JWlZ2Vuz7s/N+8sPj9+zn&#10;8RP+FV/Ha9ttThnuSLHWIYzE0qlsA7ewzt65IJA+npWkeJL7w/dpfadfSRyK2VZGxXs3/BUv9nfR&#10;NY8MeH/jhbanDb6peeKoG03iUM28gSQyF2YDG1/uBFPTHAz4HHufCFs4r2PC7PsVxNktRYt8zi7X&#10;fW62PB8cuD8s4T4ipfUYqCnG7S01T3t0ud5+yn+1hofjH4z6x4F8arHb6ja6hdLHJ91ZV8xsde5U&#10;g/U19A+Ofh9YavG3iHSYh8uGkXON4+tflh4l8YHwB+1prOoWMzIqiGViufvNDE/TIyMnn2r65/Z6&#10;/wCChFjp+pWvh/4gTL/Zsww8rxnKdgfp/Wv448RuC854b4kxGY5Bdrnk5U/5ldt28/I/pPgvNI4n&#10;h7DKu9eSOvyW52fjLWfDv9pMbdtk0ak3MZUjPA5A/Pp/SvPZ7rTbi7Vmlmhh3Zldl3d+enb+nr3+&#10;jvHvwr8AfGXw7H4++HOrW9xuQnzIRnII5DfT9K+X/Fsun+GtUn0TWNVtbe6t5WTyZJkU8em7sR09&#10;qvhLi3AcR4dqHu1Y6Sg9JJ+nY+nrw9nrfQ8b1uLSrH4reVp1wvGuhmEY3DmYN1PP8X6V+gWrTfPs&#10;SPb8x3Y5r87dQ1PRB8alhj1GFs65AqhJl+b509+fwr9EdSuImkkaLJXzPlYf3ufev6s8Mn/s9WPn&#10;H8j+OfpISSxODk3up/mjnrlUhmxED1z9QeajaWMTZ+XpxkVLIQJMBNvzcdOKZNEo5A+hr9g3hY/k&#10;WUryIZnUjhF+7UZb92Bhfu/lUsgVxtwc9smk2R5x/d+8K55KxSdkV/Lb7qL+tTRLtHzJx9acoUHP&#10;PJqQIAckcVnzW1CUivPGuQPLGK93/YQ8LtqPji61H7Mr7VVN3PBNeHPC25fl69OK+xP+Cb3gkHRb&#10;3xAYz81wQWbvivjPE3Ov7H4HxVZvdJL5s+/8McC8y4ww9P8Albk/kj0r9obXofBPw8vryY7dluw+&#10;hx1r81fFt++u6vdapM26SaRmbn3r7e/4KL+N00bw3H4chmUyXhIZd38P/wCrFfDN4AJGyrMuO3ev&#10;Z+jrlcsLwpHGVPiqu/yPs/FvMo1+Io4OD0pLVebOfvDJty8CZ6ZWqv7wcEr/AN81ev4UKhRavxx3&#10;5qp9nTvZf+hf41/WWD1or/gH5/TqLlOuRSo3cmpbWeTzAo3Ch1IKoucfSnxYR87yK/n6ceh83J3R&#10;6j+zj8WNf+Fnjyz8RaNcsrxTA+W33WXup9iOK+jP2z/hRpfxU8P6d8dPBFuzWusQL9s8vrDcKMEH&#10;0zjHPXFfH/ha9S11KGaZvlV/m5x+FfpT/wAEydN8E/HD4c6xoesa5Hf6XHIFjsCuCDgZk5OcE9Pp&#10;X8qeN0qnCPGGUcR5Tb65Kp7BwbUVWpS1lGT2XK0pRb2enU/fvB3K63GmS4/IMTrQSU03r7OXRr11&#10;X/DH5meIdE1DS7lrW9s3iZWI+YHmscwEZwOc19cf8FXPhj4D/Zx+Itv/AGBO0ul6lApuLVW854ZS&#10;5GUx8wwApK85yeny4+S47u21K1h1OxkMlvcwrLC5BG5WUEHB6cEcV+weGfiNgfETK54ilTdKrTlK&#10;E4SabjKLs7NNpq63TPgeP/DvN/D3Hxo4hqdKavCavZ+WuqaK7qGOQrfL7/8A16gu0JYbY2x0+9/9&#10;erbKd27GBn1qGZWLjCMe/wB7rX6hqz4WEtSpPAwhZtrctjrWZqvh7T9ajzeWp3KPlkVsMtbVzCxU&#10;ABh83QHioPIc8AN9K2pVK2HqKpSk011R1Ua06dpRdmRfB34g/Ev9m34k6f8AEv4d38nnWcgMiIeJ&#10;Y93MbDPzA4r6i/bI+Cng39ur4LR/tr/ADR2j123gWPx14ct1AmSYKMzYGMkZyTzleezY+X5IArIT&#10;uyOe9e9f8E8PjnH8Lf2lvD3ga/8AF1vpemeMrxtP1T7Yf3bp5bsO4AcuFUE/36/NfFbPMXw7g1xr&#10;gko4zAq7a0Velf3qM0t7rWL+y9drn7T4b8RYjPMdDhnGxdSliHZNb05pNqa8tPeXVHw/rPhy90yd&#10;o7m1kjwf4h/9es3ysD/Vtiv1+/4LbfsZfs6fD39nM/GjwNJa6FrFpdoY4IZPlvVcMCCnfnBzxjn2&#10;I/HXwl4u0/x9FeSaVZTbrF0W6VVyqlgSCCOxwevPFfoXhb45ZL4mVq2DnRlh8TSaThKUZKSa5uaE&#10;o3TVnto0fT8XcA5pwnSjXlNVKUvtK6trZJp9++xoRod43RN+f/16tRKYkI2Pu7Ybp+tQx7y4XEg2&#10;no1WI49vLFufWv2qp72zPz6pImtmdnBkV2+rdK9r/YjC/wDC175vKb5fD8w3Z6fvoK8UVBnjdXtP&#10;7Gl1b2nxRu1XPzaDN17/AL2CvPxEeWOh6PDf/JQYZL+dH194U8FeJvGIurzw5oq38OmmN9QVtSt7&#10;Zgrk4C+a6lidrfdDYPXqM9jZ+DPDvi77PHo3wUktVurdrqFtU8cQRfuQ5TIyAAd3HIyeCBg5rxe5&#10;DTyF5fmrJ8UfFLS/gjo83xQ1W8SGPSV81VkjjkMzkECJUk+V2Y/KAeCTzgV8rnGGxns511XUVFNp&#10;e8raX1amk9etlbY/qKj7JWjy3bPjb/gqX8Z/F2mftE+Mvgz4aM2maH4ctVhj03TdfF3b3TNEssgm&#10;lj4l++I9uCoZOgO6vQP+Cav/AAST8bftVeHvDnx0+Ndja6T4DuGM0WnG6LX2pGNgFZAo/cwuC4JZ&#10;hJ8uNmGDj5g12TVfif4z1b4rfEeaO61bV9Qkvb50hSEGWRt7Dy0+RBuOAi7VQAKBjivpy8/4Ko+L&#10;/wBm39nPwb8K/wBn34lXEF9bWqvfW8ljb3JtpC4DBi8eyOE4cIgDudyMWUAh/wCL+Nsw4gzrn+q1&#10;m5SlvJt2j5Xbt+J91kP9mYXEc2LjeKV0l38z9PfjH4v074G+DLXwP4U0HT7TR7LT5JhbiNYUt7eC&#10;BUWINsxHCFQegXk+x+RP+C0zafq/7Hdha61p1rpupeEbzRrLXLfQdYS4srrxBqEElxcFnGDMkVrb&#10;r5Z2gp9sxyCTXzRaf8FPvjP8ZvDdn4a+KGr23iC+1zxJ9mXUDCsDWVpbpbu8bxwmNWjcyux3KSxj&#10;VVI+bPe/8FU9T8GfAv8A4Jw/sv8A7NXhC+urpte8Mw+ONcurwfvLqWe0iEGT/wBM0d4VH91E9K8b&#10;h/hHEcO4d4vGyjOpOyi1rulJ9tk7PzPW4g4ho5olRwqagtWn32PgPw34u1jwF4khbwTq1xpt8tuf&#10;39rMEyhYbUOeGUkAlWBGQpPav2O/4N/NQsfjDfal+0n44msbePwbpN3DrFz5f7m1uAxUuztxG32d&#10;fO4JwJDjAr8Obm+ln8SxmSZHa6mjV9q42r1x+Y9ulfsP/wAE2bnV/wBnD/gh34t+Ib6g1rffFrxZ&#10;fvpclr8ssVmzJYKjo+MhhaXLZXOUuFYeg+jrZviMDl9WhFu1RWt0V7fpoflWe5TltaUMyqxSlh25&#10;3tvZOyfzs/keTfH/AOKL/F34yeKPihe/LJrmtXN6qrMzqis52oGbkgLgc4xj8Kyfh549t/BvjPTf&#10;EDW8ksdndJLcW8b7RNFnDxZ7bl3LnB6+wrBXw5cTMHjuo/T58/L/ADq5p/huW1lMkrLIWb5mX0H/&#10;AOuvgZSifz1VxNGWIlWcvevf53ufc3wU+KXhfwFfWd/4k1fULrTbfSE065h0e6u7FpdFyRYanaeS&#10;4WQbXIktyRMsskm/aQyr7BqH7Pfiq+0y8m+HX7TV74vs76+WSC9utObWZLCNRu2qjySgA7SAfLAO&#10;4HJ4r4N+FPxm1P4eWltp+pWv2/TrS4ae3UXDQXNjI3Ba1nAJhcj5huDxbmy8cnSvUtG/ak+H9xqk&#10;3iO8n1LfJM0n2O+8IwXSwkxeXhp7a/svtBAy2WhQFjkqSAa4ZSkpH22W8RYD2KhPpa2rTXz6o+0v&#10;Gvx88Mfs/eAobjUP2gLrVL6S1k+xeF9G8O2q3t5IgIMeI490I3DDMyjZjmvjn43/ABKvvEXiHUfi&#10;34l1e6k8VLdTR6cG3qkM/l+WPs3mHzFFqCzK/wAhErIxCNuiTidZ+LXhfStak8Q+CbC8m1SSNkjv&#10;ns4tMgMLfMU+xQPI0kgf5hLJcshDFTEQOfJvF/xa1PxJrklskV1rmqZ2NbxTf6sekkmMRrnPAHXk&#10;Ba0jGrVskcuecRPGU/ZQ2W2ra9W31/IvyXOj6BYM7vCrRndJNI2I489yx69/qcYB61hzS3WtO1/e&#10;xzWunqf3ck/yz3v+4vWNOPvHlh0q5oXhHUr+ddQ8Rzw6pfLIWt7WPizs+vAH8bDj5jknHUd9C501&#10;ba5e81a6We5Ztq/u/u49B/npXRGVKn5s+EqS5I2X9efmZUOk3OoJGL6BbWziXFrbxjaAo9AOn1qP&#10;XNemg0+SDTmPlrGV8zJxzxgf3jVjXL+zh/4/L75WyIYYTn2wScZ5Fc1q93cXkH2gR+XCGxDCAfXr&#10;jv0qrSk7s4OZc176mfHPdku0k2Rxt2r93pkdvf8AyKtPdRS28aaen2OSOMC5+0Y8yQgcPnGcEYPX&#10;piqZtbqSLKRs+9vmXPHsO1aM+lzyT5vbpmZVEbSbcM+wBQevGcDgVXyNot9SOPV9e+WK3vIXXZiR&#10;WUbyPTO3noO9bekWFzM8TXVmp+b+8cDJwBVW3bSNOYl2DMR93v1q5ZXl1qEnkQxIsYYbpGbbxn61&#10;nJy5W0jSnyymkx2pW0elLDDeIrCJctuPLc85yfWqbeI7y6t3Gm6P5gH3DG+N3vz2rqviTb+E57i3&#10;ntb5ry4kh3SQw52r6DoM+vQde/WuZj0y6fl5vs8K8eRCMluemazwtT21FTkreR2YrDfV6zgmmV7N&#10;Wmk33uhsZhwuZN6x8dzgd/rVrUYJLuTypZvO2sNsMI2xrjrn19fb8KtLapZ2+15FgjT5yi/eI3de&#10;ev41jX9xe6vL/Z+kReTb8qzAn5hz3x+lbORnCXK7EOoa7ZadII44hdSltm2FwBGce4I/oCKraJ4X&#10;uLq4k1/XEOxm3RW0+GMnA+8SOnH0rb0PwfYaVIL+ciWVs7dy9PpWobaS5PKkKuf8/wAq5Z1Fsjrh&#10;zGasDXH7l8bV7j65zj1PWoLm1kgbjkMAd3581teXgsVxt3H5l+tRyQdwP92pjI2jOUTxn4ja3Jpf&#10;xz8K2pt1ZbqyuIVb0Ygsf/QAK9q/Zp8T/wDCIfF/R72aZRBcT/ZrgeqycfzwfoK8L/aJkfSfi/4F&#10;1O1iUM115Sr/ALLuEz+TGmeK/i54M0z43+C/hh4t1260bT7jxBY3Gsava3GwR2vmlWDd9oyrkjsp&#10;r9iyHNMLgfDnG1K8XJQU7RWrd46Jed0OWSYzOeJsup4XRySbb2SjJtt+Vme0/tH+B9Q8M/F7XvCt&#10;pp8kjNdPJbwxRlmZHG4EBc549P0r7C/Y68MfFjw3+zr4b8K/EjVtYbWVtXvrfTfKNneWVk9xPHbR&#10;Sb2USLiFyp4wmwc45+/vgt8DfgLoHhuw8c/DnS9H1Y6pawz2/iZI4p5ryMR/JIJeTjaSBtOMcdqk&#10;+KfwZg8d6xY65pcccd5HGYJnKsN0OSwBKg/dYsQCMfOwyO/wuecS43jLgjCQeHUKqhCTu7u9ldLR&#10;fM/o/wANeDY8A8SVsb9abjUuuVKySvdN738j8zf2sf2aPjp+0N4WudH8MaLqC2/hDRrnxBZwyRLc&#10;S311Fc20CW8nlljueK4uPLVclmjyRhSR8Y6p4f8AEHhvUH0fxPod1pt7FlZrO+t2hkQg4IKsAeoI&#10;6dq/oKuPCfgP4a+ALiwGuR6f9pt2I1OSRVmnmxgOOvClhhcELnnPJrxP4s+Ff2av2rdH0fwh8aPD&#10;unXF4tuYr++aHyrmCTaFjmWUYO1mYjhgATyBX0Hh9xdT4Owyy/FxT5m5Oz1T/Uw8VPD+v4gYp5ph&#10;KjjKC5VzLR9d+h/Mz+0Hdtb/ALUeuJt3fubcEqD8o+zRdvyquuszRhFWRuOfoa+gv+Cx37AnxA/Y&#10;X/bPu21aVr7wn4qt/tPhLV2T52ijjjja3mwNvnJtGdpw4IYBclV+a0uFK4EfzN+mK5c8qYfHZlUr&#10;U9Yyba+bPVyHC1suyihhqytKEYxfqkkfQH7Ln7Z3j74BeIo5bPVJbrS2bFxpszZSRfbqAetfZnjX&#10;4SfAP/go18Lf+Ex+G+owWHiSG1YSW7H95C3PyuvUqSetflrb6hHby5yU7YY9vWvQvgV8fvHfwT8V&#10;W/i3wB4kmsbqGQEsh+V1z91l6MDX4fxh4eyxWIWa5PP2GMjqpLaXlNdn3PqsLj/Zx9nV1i/w9DJ+&#10;K/wZ8c/AX4ryaR4z0WWzurHUFf8AeLtWRQ4IdT0YHGR7V+lmkarNqPhu1uidrPbpMrDqA6g/1qv4&#10;K8Y/s2/8FPvhtJ4N8a2Nvpfja1td5jj2rMH4zLbt/EueSnNeiePf2d/F/wAJdPt9Nv4lms4NPjSO&#10;8yFDBFAJOenb8TX6n4E+JOFxdTFZbnaWGxdJR5lNpRluuaLbs0+h/Mn0kuG8yxeHwOJwNOVWCc0+&#10;VXavy2ukrnmsokUMqbi22q8DzEsHb7q/3s1N/aOlXl1Pp1nq1tNLb8Txw3Ku0R9GCk479abbQqIG&#10;ZRlv6V/VlCtRr01OnJST2aaaP5AqUa2Gk6daDjJdGrP8R1tLIZQn/j2KmMjtIIWBI9abYwHzC7fw&#10;1NFCJJWHpUT3OapKKkR5kVQPy9qsw/vDkNj3xUUsSoOD+dWLNQpCsoG7rWZjKS5RYrZpZPlj/i6D&#10;Ar9GP2J/BP8AwifwMs7qWHy3uozJggdPwr4I8D+FrvxX4ktdMs4zummVF2x5zk4/z7V+mVnbw/Dn&#10;4OCNyFj0/ST7YIWv5s+kVn1N5bgckoz/AHlerFWT1smlt6s/oTwCyubx2KzarH3KcLJv739yR+f/&#10;AO3d42fxV8YLnTYXVrexwiqrZIY9f0xXz9fBTuDHbjoMf/Wrsfidr1z4l8X6nrkz83F47buoxnjm&#10;uPu97xs/mBsHv3r+zeAMpp5Lw7hcHH7EIr52Vz8ozjMpZtnmIxjd+ecmvS+n4GLeqqBkW6OGb+6O&#10;KokRZ/4+W/WtG7jDZxGvA5DdqqiKHH3V/T/Gv2LDRjGiv6/Q1py907EI2cCTpT1hQf8ALWvCD8Vf&#10;2sCc/wDCntJwB1XVo+P/ACYpq/Ff9rZiIY/grpMkjNhV/tiMbvzuK/kz/iIXCv8Az9/Bn33/ABA3&#10;xA/58x/8CR7xqOpW2k6fJfSyZjhiLvux0Xk9T7V5/wDAT9oz9oHwdctq3wF+LC2OqRTbr3RFmEM3&#10;kBVG9QwO9ScLkALlsE9q8W8aftc/F3REfw14s+Hmm21xcW7Hy1umbC8qRlJWHUf15BFcl4S1C88W&#10;6npPh3+zNNvri6kkP2ebUxbGNUQu+ZJ4giEopxy3JHXpX5t4hT4R40jQhiqCr0oqV09LN21TenQ/&#10;XPCzgfjHg+ji06qoVZuDTVppqPNdSWmnveTPoL9oX4tftJfGPxDb+Pvj14kW3mgWQWtvcagrT3Ko&#10;FJ2Rx5UL8y5PbOTjOT3XgG4WXwFobl9qto9rtAXp+6XivkHw54vsdcupoPCfhJY42uHENhJqsRkZ&#10;ME5OFjLYB+Z1UDgnjGK9aj+Lv7TOpRQXXgL4S6PrGl/Z/wDj8bVPs5jKyGJlKzSqxwwzlQwIPBPN&#10;T4e1OEeCadSnh6aoUrJKK163b0SR1+KXB/GnGmFw9GElWnCUpOVlBJNWSSbd33Z7tM4DcP2oJQt9&#10;/wDQ14hafEr9ruZ5I734D6Sp8rELLr0fytvTJb98cjZvxjndt6DNS6j8SP2p9PLTv8JtBitd4WNr&#10;nWhvbjn5VkPf3/Huf0r/AIiJwu9Pav7j8e/4gZ4gKN/Yx/8AAkeyT7VYYY9ehU1CCGfl/wBK8Vk+&#10;Mf7QzlXf4aaLFhcNu1ItubJ5A8zAGMdSe/PYV9Z+N3xu0ez+3XngnQFXgAf2hKS5J7YJHY98VX/E&#10;QuGnLSo/uKj4IceRWtKP/gSPbLuSMSBfMbgeleBftWa/FpXxJ8KW914ml0m1uI5PO1FQ+YFDr8w2&#10;9x145rE8U/tT/GTSLBtTbwRpHkgjcFuJGPOO2envXmfjz4m6r+0Rruk6PrGhQ2eoeZ5FrOtzshTe&#10;w5kyGO0cElRkD16V4nE3E2QZ1k88PF8/M1eLTs1fVNn2nAnhjxXw7xFTxeJSgkpLmjJNxbVk0vJn&#10;unxf1f8Aa9+Inw+XRvFHxzh1jwpp1v5lncX2tP8AZ1iC53jIIAx3yf6VzP7FMVtHN4wis9S+1Qx3&#10;Vmkd1HG22XCzZI3AEDp19a8N8WfDqXwxp17NP4n0dpNP1RbK5t7bVA8kxaMussURRW8pcYaQ8Bio&#10;60nw4/aO8U/B/SrjQPCHh+xmaa4864urhXZpjtx2PAGOB7mvi+D6fDPDuZqvgsOqMFdtRd7tq2is&#10;j9P4xybizPOHauBr4hVpyceV8qhZRabu7u70Pt250bTLqQvcWgYn+Lyx/hVG48IaNI2ITLH3+U/4&#10;ivlVf22fjLKDIfDGmouf4LWRv5kfzqxZ/tg/GvUnaODRtNUdmktWUfzJr9jo+ImX0VaFSa+X/BPx&#10;in4UcaQ+Fx/8D/4B9NS+DbZD+7vJPX5o69J/ZS0VtN+J88ouPMU6JMu3aevmRV8KXH7XvxuMuz+y&#10;7JOx2WO7B5x1NfRP/BMD42/Er4pftG3mgeMLWFbNfCd1Orw2vlneJ7YLzz2Y172T+IOHzPMaWFVS&#10;TcnbWP6nvZD4ecVZXm1HFYlw5IO7tLW3lofdTxyPuYpt2tg183f8FENO8YHwNp3ijTrA3Gi6TLJL&#10;qRjXcYJW2rHIwx9zllJ6AsvtX05qD+VDIFTjd2rFlY7SpOc8HPevus+yiOeZTUwTm4+0Vrry1/4f&#10;yP2/D4iVOopWvY/L3wBp3xP+Iem+Kta8Bao2m2+heGdS1HUtauI28uGJLdz5QdR8ryKNm3ILKZM5&#10;UMD4r4Tk1o311ba+8krPu8/7Rktv4zkn8/Tp6V+t37TOpabpvwC8ZS6zem3hm8OXNmsnlNJiWdDB&#10;CuFB4aSRF5+UbskgAkfC/wAKbS3k+J/h26is1mn/ALcskT5V3/69Oh/Ov5n4z4VwvC9ehhqdRzlN&#10;NydrdbKy7bnvYXETxClN7Id8A/gtqXhzwj4T/ak8Rz6fJ4dn+Ky6Ba2f9qRrM90tlFODNEVDLG37&#10;vEm4L8knB2mtP/gol8V9S+Inxl8PeD7+5t5Lb4d/DPQPC8fk3Pmok9pp0CXBOCQHE5lQgd0+tf0O&#10;6p8OPA0/w81LxDp/g7TTJY6LLe/aPscZYTR2+d2Sv3htABxxjHSv5Y/Gf9omzujfrPDNESl5DcIy&#10;S+YpwyuG+YEc5B5yDmvms2pSpypRlO/KrWta3r5snC4uniFLkWzD4afAb4k/tE65a6b8Oo1kuJvF&#10;mk6KRtZ2Rr53jjlIUZKB0G7bkgODjHI/c3/gqX4V8H/s4/Cz4SfsTfD6JksfCHha1aTz90jlIYlt&#10;YcTE/MQsT7gRk7ge9fLH/Bsj+zx4j+JPxn/4Wx4huLePwP4GW58RX0vVRqat9ntUkb5fL4jluFxu&#10;B+yMDjNdn+2F8an/AGgP2mPFXxEktDPHfag8dirDY0cMYEUSHYxVisaIu8fewD1Jx8RxBiKEpQhS&#10;b0XvX018vwPhOPc0xWByOdCpZSqztFLfkVtXpu3oeWWtpFDFuA+Zvf3/AM/lViLzZS0NohY8ZPYf&#10;/WrWs/CouEje4E3mMmfJXBA6YyePXHfr25NOuJLDTI/stlazX1wv3bPTwC2f9tjhVHrk8fjXzfNz&#10;H4GsPUqS5pEUGkpJLtmTezcLt4B9s9+w49ulU9d8XeH/AAtdppjSSXWoSR/6Pp9nCZJ2OD/APuD3&#10;bkdexqzdLqt/pwGuasunoyf8eOlvlx7SXB/iA4IQYGO9e+/sWfsk+Gvix8NvEnj7QfhtqXia+s9S&#10;jsLXwxpGrQab5rOnmNdT3c7hvLAG0KoJZjjGCWSoxjKVr38v+Cepl+BnjcQqFC17Pfy/E5T9iL4A&#10;eD/2pfG+v+BPjZr91oUkugXFzoek6fdMpmlRCS91cLyqovzeUpVT8+Seh850rwhpWhsdIsrOOG1S&#10;UjybTgSMDjcz9TnrX3N4b/YI8afB7Tb7VvhK9pH4o8VaW9hHp/iHWraNPDEUyBbhXkiZjdytuMaF&#10;EKhdxY527vFv2rfhbZ/s2fDLwr8FPEr+G9Q8dQ6hd315eaCm7ybGRUMUUsjIkjNv3su9ehwDgVVT&#10;2nLZKyPoM0yjE4XLIe2gouF3J9Hdqyv3td/meVaDod54g1+w8IaNpck0+oXkdra2tlD5kjs7BQEQ&#10;febnp+or7Q8F/sPeAvB/wY8aeHdL8DeOvGF7rOpWtlcpJpVro90BColJtnvQQYt0gUyAEM0eEztL&#10;V8p/sa3Him1/aJ0i78Li+j1A2d9Da31nbGdrSSazmgS4ZACSkbyK7HBwqk4JAFfbX7VXxFsvgl+z&#10;voWrINe8YQteRahfa3odwWgubyIxtG08zTs1vBIyHKxqynaRlM5M4eMbO+p6PCuDy+pl1fGV4p8t&#10;1rrZW6Lre76H5i/FTwXD4U+J/iDwxPo+paamma1c266Zqdwk1zbrHKwEcjxgI7DGCyfK3VeCK7L9&#10;lL9nKb9qf4k3ngmPxDHpNpp2jzajc30ls8zAK0cSIkaDdI7SyxrtXkgtgE4B5D4j+O9V+JHjLWvi&#10;V4idf7Q1rUJr66wDt3SOXIXGcAZwB2AxXuv/AAS++FXiX4j/ABB8Q+JfCPj59Nk03SWg1zT7jQWm&#10;tr6wlZW8o3AuITBIzxKU24bMe4NhWx2R97Y+KyXB0My4ijS5HKm5PTRXWr8um59PeKf+CX37OPhz&#10;4WXWh6hqi6XJqlrpGnjXBYy3N1HeiQiS6Te4aNpmmRDGpESrECUJJx+bPxM8LT+AfiJrngG/8Q29&#10;+2i6zdWU15aN8ly0UzRecnX5WKhh/vV+qn7YvjDXdP8AgVeajo2leIoPEVhoztbjRdPWSazV08sy&#10;mfdLFEFAGZVkMoUEKfmNfky+kai8rNc6PtYne8k1xH6dfvev+cc0VpU9Ej7HjjD5Zha1KlhqKg7a&#10;taX/AE+ZtfDXwv4g8feJI/DXg/wyt9dtDLKjTOqBVijaWRizdMIjMfZfpXWeJPgz8UvCvgDSPif4&#10;j0uz/sDXrcSafdWd5AyuWeWMw/eyZV8pi6KCYwy79pO2vqL/AIJteJofG1rc/CHR/Bvhyw0i3YXF&#10;8Zre41Ga81CW2lgVmHzW4TYsoMcrRqQ42hypxof8FIfi18T/AIFeJtD+G3wngvtMjPhl7LVLy18N&#10;2kUN9auxEaRvGGZEA81TERGF25RSGzWfvOnzIyo8O4Knw/8A2hUqN27LrfbzXdnxPc25ig3uotoc&#10;/K208DsOf61vfA34WeM/2hfiD/wr34aLbx3CWc15e6pqG5beztolDPLIQp2oMhcngs6Dqwrk30Lx&#10;Df7Z7y1uE3Nn95GyhR6HI/zivuL4BfAj9nj9lr4R+LPjX40+Odx4h0/xFov/AAjW7wvpktuzSSlZ&#10;porZpGBnf5Ew42KAr7sHIWKdO+p4eSZXUzbFu9lThrJtpWX9dj4dPhVz9qgvNQE0hZ4mmWTKNggZ&#10;Geo75H+NdF8P/AV74y8VaZ8P/DMMX27Vr2KzsRNIEUyuQigsegyQPfPc1sfG6X4VX3jNrj4DeHvE&#10;ll4fkWARw+ItpnDjiRv3eQFPBwWJyTzggDuv2P8AwZpUni+P9oXxz4ztfDvhnwHrVldXVxeWMtzJ&#10;eT+YNkEUUXz7uMl/4evIBIyvKbIweXxq5kqCaa5tWnpy9Xd9l1Ojm/4J/eJ7JXlvfHELR2+qWWnX&#10;0ljod3cNFcTZLqsSIZpBGphIcR7XNzGFJyTXB/tP/BD/AIZy8fxeCrPxE2qQXmkw6haXMunyWsix&#10;y5wskTgMrfLypAIzggHOPtu01hPFdrY+IrLxpBZ+INQ+z3un2+rrFbXn9nxuskUqsovZ47bMYYrJ&#10;sXOXYBjmvkP9sD4ofA/x/c2cngfQ9Yt/ElmyWmpPNeSTWKWsUSxxRQb1RyQFG4mJBu3Y3g72zqU+&#10;U+7z7I8py/LXUou0tLNvVrrbo7po8Wto3w25hnPzKpBAOakeP95tZR1BGMfj3qJpiJG/0eXDcr5c&#10;bHP6VYgUSfNKk3HA/d4x/nP6VlsfnvMeCftW2esWfiDQdZtIhJ9heRrdcHAkSRX5PuSPy968g/aa&#10;8O+A9W+OTaX8Q9bm0mK80WL+zdSjXcsNwsmMuP7pBcH0JB7V9QfETwnY+JfEHh1tQifbDqc0DeYP&#10;lkwj8E9Blo+D3FfCn7Rvi/xfrnitrLxVPb39xZTstnqFvAqboSSdp2seBwMkDv7Cv0bhPNMPQyuv&#10;hqivdxkk9na6af3qx9rwrl+MzLHU6tGXKoRlFtfEuZ+61dNOzjr6n9LP/BErx1L4i/4JzfDTTLjx&#10;Bp2rLo+n3mjrf6ZdLLG5tLiSNPmHVmjwxH8OB1zX15Y2t87zRwRAt5JGT/Me+a/JD/g2Wj+O3wn/&#10;AGedU8H/ABH0LT7Hwr4x8QR634VaTel61w1usU8kgIx5TpBbqgznKO3RlLfrnb6gIo1uIkUpNGrL&#10;IGwV4+n+civOqV8Hiq8/YNWTasns97X62P6FwuHxeFw0I123Ky1atfzt5nj/AO0HbfDLUlt/D2u/&#10;EDw3pXibT7Pz9Ps9S1a3t5JkZtpUrId+xiQAQOGK+4PlPxA+DviKysLLWdWsdNuLGHybmO6spI5w&#10;kzbvLcEr0BUMrr1JHbNfVXipNM8QaY2iaxYRzRzRkFWwQO3evNLhtCsf7YtNaiSLTZPMhmXcAI44&#10;o0bC87VVVMjdsAcd68HMsho46p7S1p20knbVbaH0OX51iMHTVJ6wvrFrofnD/wAFCfh3qv7Snw21&#10;b9nD40eJriPyNHSf4U7dQiX7XrMUcx+46iSYu3lwmFHJUS7lVyFx+Jni3wt4q+H/AIs1LwD4z0eb&#10;T9Y0PUJ7HVbC4+/bXELsksRIJGVZSOCRx3Ff0rfEjSbOx1260zStaja70W4Hk3kEgLRh40ljzx1a&#10;N42ZTxk8cYNfhN/wVy8AeLPBf7aHiLxh4z1Zb688XBNUeYRbMvjyiAuAB/q84GcZ9+OPIcxq1Kks&#10;JiLqpH7nbrcyzfKfY3xlGV6crNLt/wAA+bJ7mPghNrAbmPPFOttUEAAPy4UY2tjj1xj/APVVF7xQ&#10;jTJ1UYz6/T/Jqul2F3Bj90Y74P8An/Pt9NKnKW587zJHffDH4s+JPh146tfEvhvXJrW9s5klguIZ&#10;G3K34dsfgfxr+nL/AIJBfG34W/tV/A4/Ei+nsb7V5pGsr1bmNRIgQABSpzjjnjqeua/k/v8AWng1&#10;aR8FdyqVzz2HNfQX7NHx6/an8EeI18L/ALMXjrWtJ1C800XU0el6s9o1xsQkgFWUM2BwD15AOeK/&#10;P+LOAavEGMwmLwcIyq0pqXLJXjUjZpxlbX7V1vaSWhTzLC4GlKpiZKMEneTekVo23fbbXyP0A/4O&#10;U9E+HvwP/bE0Hxd8DNQj0jxMdDZvEjaLgK0hlzD5yqNu9oy+7cMldueMV8+/sv8A7Z/hr4tJa+C/&#10;Fd0th4mdtiqqnyrzgneuOFJxjb64xnOK+R/2gfit8d/GXiK6f4xvqj6nJcO95JqauZpJckFnL5Zj&#10;nuT2+lZf7N2vS6b8dvCupSxnzI9Why2eoLDH6Gv0rwuoZpwTgaOW3fIm1ytt8qcnor/yp2Xkkfl3&#10;iVwxw3xllVXFqKdSEHKM42vdK+rW6fZn6mW1/IDghs9c7u/8qtwTuBym3pWUoYHOD14q7bTNJFtd&#10;GyOOlf0e3c/gmtTXRGgFEp8srzjisjxh8QfCXw8torrxXq0dr9pZltVkbHnSKhbYD0BIGBnAJ461&#10;pQSB1wx5+hryf9p+1n8S3mh+DdO02K6vL2G7FjHdAeX55CIhyenL9ewJrxs+xlbL8pq16SvJLS/d&#10;6H0PAmQYXiPizDZdiW1Tm3zNdkm+vofoj/wRG+C3hD9o28174vfFDT49TjsbhI9M0tnP2e1Ujcsg&#10;UHDMePnOTkHnHFfXv7fnwNm0b9mvxRe/DLU20yZdMkdYxkp8q52kZ6EDH41+D/8AwT+/4K5/FH9j&#10;CVv7GsGkjZVj8uK4CLIm4nEqspEgyePukdjg19N/tC/8HIXjP43fC+8+Gs3gu10/7dbmOaa3zmQE&#10;fU4HTPAr/P8A4q4cxGOeJq4nC1KuZOsqtHEJr3GpRtHm5lJRSTXLZp3bP9K8oy/JcHlsMJhlCGG5&#10;OVwS0aas9Etb9zyjR/Flvr8MaNqlrJeCONr62gmVmgkI+6RnK85+9z+VSXqlhIZUIA4LY3Y/E5H6&#10;14V+zx4vh1Px9falqsTx3WsLK0I8vGYgsbg8+vUeua91Mgni3JcDJXnd1r/T/wAKs6xufcL0MVi4&#10;ctVe7JLvGyv89z/PrxC4Zw3CXFVXB4aXNTdpRbVtJa207bGTexRlN3lsVXuAf/1Cq4WDHCL/AN/E&#10;q5es5jzLdx5/WqIm/wCn6P8AM/4V+74dS9ktz5qk24mVb+Grtx5gnZVkYZYMcD88/wBalXwfO837&#10;3UbgtnPDAcfkf6V0UWkbkyjN8y42tITn8KvQaarNkT/dUhguFwc+p69K/wA3ZS7H+hsacupxt78H&#10;9D1XbLqWmiUkcmbZkDPQfLyO/wCNWj8CfB//AAjGoeFLiCZtN1K6+0X1rH5e2Sb5/n+5kH526Y6m&#10;uusF0yKcxXcckkayAzGNix29TggYzj1qwmqmaExQwPH1IfBUDn6D/PFc1T2ktEbQXJsc5rfg61vf&#10;CkHgy7xJpFvawW8NibO32okXEY4i5xxz1J5JNZc3hOytox5DzKhwqln456DNdjM8ccT3d7fKAf8A&#10;lo5wCuOuSR/9aqUX2Z7sL9jkuImXzPMT/VjPQE55PtzjvW1HRak1Iyl1OTk8PhLkql5INo+75rHn&#10;p6f5+lF34Ua5h2zXUxx97zJsjPoOP6dq6e409PLaaIxx/P8ALtwSPYVXa3BZbcIZgzKMRqBnr6fj&#10;XXH2fb8DL2cjjLj4aWb/ADQXNxEzYP7xtw+9/n2qpP8ADOOWHyhcbmz8zbRt/XPp0r0aPQZLiCMr&#10;YyrvYFlYDbg8c9sf0pw8PXMLN5CRtu+8Fm+mehrTnj5EewPGdd+COnZ8+9smZXUrJ5LEKy56Yzx+&#10;IrmfEX7NHhjWomaKzlmwQRGyqCPxA5+nFfR0HhrUryNWjtjNiP8A4944t7P6DOcfz6e1SWXw00jU&#10;riGObVLW18xlT7SZsxxqejtsDFgB82RliOxPFTKorf8ADGkaXLqfHeo/s/8Ah7TbySb+yFZgvzSE&#10;YKe5GDnt3qonwy0+Am4itcMTgrt5wOw4+lfWOt/DS3uIWN7bfKv/AC1DYK5OCTk8j69PY1xer/DK&#10;zsHa9jH7ry1PmCMLn68mtKNWMXqRUpSlueBw+CYQqrEit8u0/u2I+vbk1JH8MpmP7u2Ujghgu3HP&#10;Uc88V61c2HhSzjZbq+2hR/q2kVF9cEmqcniHwPp8uE1Sw3ccLMZMfr1Gew716EcXE5fqt9jzc/Do&#10;+YoZBHubAduQzfgPQV9Bf8E5/B7eHPj5d6iQTu8L3SN8vH+utz1rh4/F3h1U8+1uIfLZTzDGDnr3&#10;HPQV6t+xh4mtr744SW9tcSMn/CN3Uib8qAPNt+3GDz9a+o4MxXPxRhY95GVXC8tNux9Wa1NC/wC7&#10;UnO7P61QcIwwfWlkdndpc/8A1+aa53jjOfSv6vklFXOOK5UfIf8AwU0+Lk9rLovwY0i72h1/tLVv&#10;JkO89VijZdv3fvN94544BUGvmn4RfFiP4XfEXRfiLqGlw38Gh6rBfXFjNcLCk/lOGCF8HaSQBnBN&#10;Xvj/APEJ/jb8avEHxAj1T7Rpc2oOmkyNI+PsUZKQ7Fc5TKAOVwBuZuATXj/iXRZtX1For67YW8Z+&#10;WCM/ux746E+9fx9xlnEs44jrV09E7R8lHRf5n0mHp+xopfP7z9ffCf8AwczaprOm3HhHW/2SdDur&#10;HUrWa0Zbbxo9tGwkRkKySfZ38tckbnwcDtnkfml+338cPh/8YP2o/HXxN+F3w+1bR9O8QX82qTWe&#10;oSRzA3srF7ny5oyRJG0rMysQuQ/AAAB4j4Y32mss+kRQrtZcIBk+ameG9T/hjtUHjXWRouow26kS&#10;szBfmZslc/5//VXylRyqVHJ6vuXTw9HDxfIrXd9D9g/+CR2oaD+yL/wQ0/4Sfw7rsLeNvjL4lvpN&#10;k0yNNBApMAVTE6sI0ijaQbjlZLpsjDV5jDYeGtBRnvtZtZrlvmkP2gHDEc8jsGJ4HYDmvBP2cviL&#10;8XNR/Zg0LTviLBbp4N0jxDfweDdY+yrHtJ8hZ4mPUIsmwGQALllDMSvydR4q1Kbw3draKkN5J5ay&#10;MsMm7YM9T3/HpXwmOjWqYqXN3Z+RceU5Y/OHG75YJJfg3+J6de6xHdKUjRpFGdqM22Lr/dU5YfVv&#10;wqnPeRiLybm8ihj/AIYosKBgYzgYH6dq4PRfiVdx2KDUEjiZVJ3SZUDnOPauv8L+Hx43RLldUtVZ&#10;+UXduz37fyrhVOUfQ/MquEquTitbCtLpn+shlDtuI3SOTj+n/wCqtm1m+K/h6zGseGG1qxtbq3km&#10;+0aeZUWWOIEs3yEfKoDHPQDJqX/hUy2oU3OvW8e3hl2MM8n09vWvX9D+Of8Awr/4dW3hiDwbY6ob&#10;fR7jSobzULpJGhhnlhkdFEsLZjLQsBExYATy4xuqor3i8HgKcqjdWpKnbZrfzPHtOvviJ4n1gxQ/&#10;8JHd6nBdRxj/AF7TpK24qn94OQjMB1IViBxVzWYvHOp7vG/inT9VuPt77m1a/hkInbO3PmNwcYC9&#10;eMY9q9Wt/iX4g8XQ6lbaX4QtLG3utaXWI/s+rytNBqQeQi6jbhVYRMIsBVG1EySQCOwX4wrPaabe&#10;3Xw1k+3aWrsdPiVX0+7mkS5ErSIeiSPdSO0Q+UA+WMJgCamhtLB0ZOzxDa807evqfP6fFjxP4f8A&#10;CE/gnwTcnSYb7aus3FtJ/pN8wJOxpQAyxDtEMLxltxwRq6x+3Z8VvBXinwzdfDe9ksbHw34JsdAv&#10;dMvgLm01QQs8jmaIjaQxkKj+LaoO4HGPYLD40x6L/bFhefDKfULTXPPL6XfzrHHarLc2MnkwbOUW&#10;GO1dYWXDRtIpGMc+efFlrH4j6bcaQ51qzOoQ2f2zTJYVmRrtbktNqDuW/ezPHwWwJOBHv8pVSrpy&#10;5ZG2HcsLTcqWJ6LSzW3b+tep5H8SvGOq/FfxReeNdX0vStPbUJPOktdF01LW3iyd3CL6erEse5PW&#10;vpz9kf8AaA+Dfwc0/WPgv4T1v+y7XXvD8lv/AMJprVmCk+sMeJJYlUlbZFJVd24gKzEAyMBRiX4B&#10;6BpvneHPhyrahp9lHptnJqGjQXEdxBHOpN1LHP5iLczxtICxSQRYVUwoGOq1vQv2PPHUllLdaHpO&#10;k2tncXdxJD/Z8lrPNDJDcCOIfZYgrP5piJ3khFCBGADg6+1O/KKeIwOMeJpVoOV9b9b7+m+tix8R&#10;P2lv2ONZuPEXwt8S2fiSGO6sbW11Txd8O7/ybbWWjiLv/otxvWJfOYqpw+/hiQOK+OvGS+FU8S6k&#10;ngCXU30U3sx0ttVVFuhb7zsWURkoXA+UsMBiN21c7R9A6j8MfgDa+I9Ug0rR9Hk02bU4W0mbztVM&#10;0dqJ7XeswLBciHzzxnLGQDkR4sN8L/gvq9la6neeHvCem29x4ButQkaw8WbZItWSO4eOARy3Mjhm&#10;b7KvlsASSwUE7tse01tYM2ljs4s6jhps1vbs/LqUf2e/jx8JPhv8LrPwBp3xO8XeGdav1luta8QW&#10;Ph2wmjgmSTdFGhCC6YlS6iQTKELL8hUtjL/aU/bE8U/tG6M2iazp+oD7L4iN1pt5JrkzRJZiARRw&#10;m2wYxLkF2lUgsXI2jknZ8A/A39nvWviKuieJtbaHQ7+FZbe+j8SQM1sEsGmkEwWNmB88xxrvCk5Y&#10;AEqSNX4d/sNReLprOS21PUpLi41tvtOk2sLSSW+j+ZPFDds4QrvaWJsYJBTaw4bNLn0KqVc8q5es&#10;JBx5H7tk90rbr8bngHhBLXXNTji8T+Io7DTrbbJqEpBaZoweUiUY3yHoASoycllUFh67c/tbw33j&#10;jSbO5+GdjefDfSbF9LsfBl02dlk5XfN5oxi8ZkV/OXBBG37vBx/hz+yj418Va7N4d8RaJqmn3en6&#10;/pdjeWraa/nWsFy8ivPIjAMmxVRstgEOCSAQa7jT/wBj7wpf+FLjxh/wmOqPa2sMf7hbKNZlkFhc&#10;3UkTBm4AMKBW+6wl9UYA5uXY4suo5zTpWw6Su1e9tUnonfppqvvMHxt4R/Yz13SZPFnwk+LvizQr&#10;v7PNIvhPXND+14nySkIuInVY1xhQW809CWJzXjsE2pQRxW32qQwqVLRGQ4fHY89eTz15/GvpjSf2&#10;MvBUctxH4i8X6okD2cOo6TcQWsbrPps7xRwSyDOY5CzSlkIG0Rrz82aL39hjwpGNINn47uGXVNCW&#10;/jhmhRXeVobd44vNB8uMk3AUeYUBZVGQZFzF5N3sdlTK80xUlVhRjF9eVpK/pcvfCb9rD4rppba5&#10;pmieDfBPg7S9PurW6axsVae9ZIU8uAGeR5pJMvEQVwv8TdK+aPF/ivxv8QPE114v8Vak17e3sytd&#10;XDKN0pCKoyBx0UDjnAr3nUf2VvBGg+HNU1vX/EeqQppdtp8t3DcWyq8f2ptuMA5DKVbIz2xXnPxt&#10;8C+D/gj4kTQ/Ohvr+OFLgNbyllVX+eBt2drB4jFJx0EgU4YGonzS3Ns0qZrUwcI4l+7HfVbvTZdN&#10;NDgLbw9qEtv5xJEajHmZCj6VRuNRs7Rw012G+bb8mcZ+vSk8SeKxJZnVfEd19lsVfy41XJLEjiNA&#10;OXY+gPHUkDmmeOPAWpnS9H13Tra4Zv3YvbFRueEs4ZTgDOQmQQPqeBkSo9WfN7jNQ+G+j+J9Gvtf&#10;1X4oaP4asdNvorvUNS1GZ2eyjjwZXSBfmlLRK6qqYy/3iMkj0T4Q/wDBIH9j/wCDOir8evjT8YF8&#10;W6Ra2sd1ay6tZDTdNlyFeOR0MrNKTxhGbadxBVjgjxG9sbnxf4u1DwrfwqbO22SLtmGzyyRv3c4L&#10;ZLL7YHoa8F+M/wAWviH4x16bwd4i8Z6heaVoF9c2Wh6bNeOYLSBJmVQiZC7sAZYgu2AWJNejgMFj&#10;sbKVKnWcItLmtvbyP3TwvzfJMHRq0p4bmqpKSk3e79OiXl1Z+23/AATU+JukftPeLvEXxL8BeGWX&#10;wL4Pmi0vSdXkXZHf6ky7pEhTHCQRbMk4OZ49oIBNfV2pavqeiavJL4enRis5VoriQYRW2tx0yMsT&#10;gnPbIGMfgr/wSq/4LWN/wTv8T6x8FviZ4POtfDjVr1r+6Gn26/b7K/eOGJp1yQJIykSK0ZA5VWVl&#10;OQf0yh/4LZf8EovirpVjqFt+05Y6Xc3VmVvbHWdF1Kzmt2A3BC5iMQO7OPnYDPXFY59lNbA5f7PA&#10;xfutO6vdva911P2PL8yjjcZz4rqvkvKx9jWOvnVdN+3T26w3EbGO8hVuIpB1xz93PI9uvINcbeW9&#10;nrkuo6Xqsauy6lMl1bsflaGaIoM/VHPPTgjqOPl3xP8A8F2v+CYngNdSstE/aXt/FEsKhodO8P8A&#10;h68mkZcLuAlaGONgv94vyTwTnB+V/wBoH/g5Q+Bmn60f+FE/DPxFd3XmRr9s17y7e3vI9wJV1Uuy&#10;bfmIbOQc9mYH6XA08VLCw9v8Vlf+vz0POxEqEajcXpc+Vdd/bX+O37I/7bvxav8ARL59a0m7+Ims&#10;Q6h4d1S8cwtHFfSonltkmJ0RQisAQFGCpAAHD/8ABRv9rzwR+2l4l8M6x4U+G13oq6Pp8iXk2oNH&#10;588zsuVyjsDGoUbeAcluxAHlfxU8dX/xT+JPiL4m6xaJb33ijxBfaxfQ2f8Aq1lurmS4kCcn5d0j&#10;Yzk49a5uYNv/AHkMiqx/jTGf8816EsswMsZHF8i9ola66+vc8v8AtTGLCywql7je3Y5+bw/bSHYi&#10;LuGOGPT/ADx+tVX0KA5Tyfvc8A//AFv6detdM8UMgZed24dGxx1qnJZFhhFbcv8Ae5z9a7JRXY89&#10;S1Odn8NWLnFxagnkbWIOPb9fWo/7S8WfC3XbfxRZ3VxpN1YwxTacyybTJCeUK+qnPvg7geQRXUXf&#10;hrWDbt86WpaE+W0hUlTnrt74447elZcfhqS+sGk8V6nfRx2dqWe3uryRYIwOs2FOAjMCcgYySOo4&#10;lNUveV01tYmtS+tR9lNKUWmmn1X9eR61Zf8ABRHTPGXg5bD4u/AHR9fn8tY5biS7CLLtPDFDC23n&#10;JO3Az0A6V5H8H9ak8fftM+H9ZHhbT7JtQ16Erp+nQGO3iXIwqrkkDjuSTSSfDL4M+K/E+k6H4O+N&#10;Xk6Zfa5FBrGoTaTI8el2jyqrXDLHH5syxqxYooZiFwOTzr6d4z8N/sr/ABbnb4T+JV8VQ6XeP/Zn&#10;iD+zUhW8iORkq8YmQFSQQWHU+1ejTzirjsTSeJlpFp3sr6W37nydTg7L8nyzFRymkozqQkkuaXLd&#10;rom2o69kj9LIII5tzypMo3fw1JaWG+YHzZlG7GRXjngz9uj4Fal4K07XfEfxA020v7iyjlvtLF4m&#10;61kO3KkuVBwzY656norEd/4M+Nfhz4jRyD4X6hpesSQTFLmGPXLZmUD+MeS8gZDng5H9K/YYZlga&#10;yXJNO+u+p/D2N4V4owcp+2w0opNpyaajp/eeluz2eh1qJJGcrOTlvlP+RXmn7Tl5Job+HfEMF0q3&#10;FveSJCzdjtEg9O8Y7ivQ4te1+yiuLnVNBhjtoipV7e8SRiP4iVIUAAc8EnA4BNeUfGD4/fD/AOIM&#10;sPw18A6housnUNPN02qrcJNFZYcjbsVg6zKBkqQCoZQwwwB8vPsRhZZXUjOaWml++60Pe8OcqzqP&#10;GmEq08M6kVL3rNWs1Z3lsnZvS+ux5frXhz9nP4hXv9sePNI1jw7qBybr/hHwpt5mJyWAaN8dc4wC&#10;Mnlsbjc0vwL+xn4LuE8SQ+J9Z8QzRj9zpNxHvLNjPRYkHb+I49u4pSfCD4u+IUmg8BaDbeItUMZu&#10;F0u3uFtT5XmIhIaVgvBdeM5P51Lq/wCz/wDtG674s1jwf8K/gVq2p6loGijVNa0drhLq7s7VfLEl&#10;w32VXTylaRfm3dGXPJxX5th8+p4eoqssNTlPpJp792r2/A/rmv4eKtD2VLMMRTo/8+1NWt2Tackv&#10;mXvhf4pj8XfHtdftfDkOmrdW0jQWcc29YUWFECk4GThecDHOBwOffFim+zkiyR2PHDD+X/1xXzL8&#10;HLrS/hh4kuPHXxblgt447YRLcQ3jPFbbyFJZSi4GSBnsT064+krK80S+sEmsLiTybiJZIZUk3rKh&#10;5DKckEEdCOOlf0f4R4iOJyScpTUqkqkpSStdc1t0np3P518Y8sll3EVKFKlKNKNOEItp2fLe9ne7&#10;smincxTBfm0tGbcfm3dB2FQfZL88jSI/+/g/wqXUZ9NWXyHvrjdwWG07RkkAZxjJIOB1ODjoag/4&#10;l6/L597x/tN/hX75h3GVPQ/M6fNyq6/B/wCZ0/2DUpNU89bKPySpDSeY4YNkcBdvIP1q9HpUsiLE&#10;IPMZT3yoH+etdvD4V0gXAkiuWk8tgFVYwv5Uk9lolhcmRbKNWOfvXWSTnGT1/wABX+a7kj/Rr2Zy&#10;f9kTMwMdi6+WvI64/D/P41NbaLcyyQsySCRjhgIw2Bn2zzge3eukbUNHRCi3drH5eF87flgRj/aG&#10;f5/yqvL4qAcwWkU25Wy0ceCCc9iBn09O9TcnlMlfA93ITM9rI3zYVVt8Hv1y2MUyXwRcpK00oZtv&#10;3pJJF7dMDse1aMuuamhaSB2LSHf5d1jaOMKAVx75zntWfe6j4gLNJPrMaeYo3P8AZw2M/wAOAB+f&#10;p9KuNwUUyy3gazgiC3TwhlYfMqlsgjv05H9MUo0nRrbLmNnXysSMuBnptXnPbH6c1nvdW00jKur3&#10;k0m7cwVcKcA9cH+Xem2Wg6hqLSSwWM7q64VXkGCSf/19e/rjiw5bbBf6j4dtI1htrSFVZixSaUsx&#10;9SdvQ9cnHWq02qaJCI3SCHcScr5DcKRx1GP/ANQxntfi8D+I4hHdHwumNvl7guW3Z44ycHJAxn/C&#10;pLfwHrF9KRcXRtTHtjZ1iO5frnHb/wDVQHLoYr6/HLB5EVlcMzcKI4to9ccdfy/PFV5dcvp2MUeg&#10;xw7uXe4mBGSMkce4Pr+FdYfhJpd3Ct/ca3qUm0YLbQu4kY9emRVa78B+G7OJQBLKY2OTNIW24xg4&#10;yB+mc9MCjyDkOU1PUtQaDMl1axR7edqq34ZzjpnpWBqHhv7bE0OnazdScbpI2UKp9BwCQD9TXqNt&#10;o3h/AbT9OiZlXrHbDaeR3ySTk9c4rSs7W0ECzEeSskhLQraqx4AxzuBxj/Pq0TynzhrfwFt9S+eH&#10;w1N5h3FvMi+Uc8n8eemcmucHwNurOczJ4Xgj8v5PNbBAOPbJHHtX1Zq+nx3ViwvPMgjkyu2HgxDo&#10;O/qR3+nFct4m8MWt5atC8ckfljHnbdob0Vsc/qfrW8PMnkZ8/wBt8Jki/fzQwxbUJJVdxPr/AF7V&#10;6f8AsueBdN8JfFKfXtxWZNDuo2Zl6gyRZP0+UfXNU9Q8PSabO6qkm37yxrGdpzx0yc89+K6H4RxT&#10;R+ILrMzZksXypRRtJZMjI9Pavr+B1ycVYWX979Gc2Iv7Jo9c1HxZdk409Qi/3iOTUVj4j8V3MjQ6&#10;JZWl3f8AlyNY291MsKSzBSUQu3CZYAZPAzzWWwYKq964X9pL4gS/DD4HeJPGVrdiG8h05otPcXAj&#10;ZbiTEaMhIOWUtvC452dutf1DmWKlQy+rUlLlSi9e2nbqeIlKVRJH5339vqeh3tx4Y1xGt7zTbmSz&#10;u44rhJo1kiYowV42ZZFyOGUsrDlSRzXF/FDxRcW1i2m6Am67IIknXPy4XJC98kE+nT8a6WQTw2C3&#10;MsrPN8zSSTNuZn7knrye/Jyea4jW7u0tkmuli/ebTHDljkscZI/z/PJ/jOpadaUvM+pjpFXKfwp8&#10;W/2VBa3C3LboZGjvPMblx1B9emB/wHFb3jvVbnUNUhuzI/ky7Qi/xdcVR+B/wQHxG8FeNPiDqHih&#10;tJs/DttAI4pLMyJf3Us6qtvvDgxN5fmSA4bIjYY54NKs9QuNbs4bhGkaFQxVm+7zweOv17mtqmFq&#10;UYQnNWU1deidvzIlPfyP1q1r4WaLZ/8ABKf4DfEfxAGWG70uWzmsPs6rDcf2hD5jSsCQfMU2SsG6&#10;4d889PlrwbaeJ/CnjWLwJ4xu5ptHtZPO0PVCxEsKqwIj3jJHbBz069DX1v8AH6/8Qa5/wRP+D0nh&#10;cobbwxHYzapI0YYhlguocf8AfyVB7e+ePl/4J3E/jrSp4tcv3mZbIz2jyNnHPO32HevjcVTtUm/N&#10;n5jxdSlDGTlH7UVp52PStel8La/Y/wBmeLNMEc0i5tta0yMK3sXTgNxwehrib/wj8RPh7eLr3h2/&#10;kuLQMGi1CxZiOD0YdV+hFTWNlq9jcyWUhaTapPlhiQV67l9R/nitbRNd8SaddLHpN1JypV13Zwvc&#10;Ht0/nXnxi4Kx+a+9Tm09zr/C/wC0bqd7psL+KtOS63RAMzP5bBhx16HkfjWFrPxT0DxX4kt/Dvh7&#10;XWs5pLxfMsrs4wmDyH+62fzrQfxB8KfEqppPjLSIdLkjX5ZtNUR7sN1KvuH4DH14rx/4p/Cu4l8Z&#10;nV/Aev29/DGqlZIyI+e+QT/I4opQjzO6Jw9FV6zhVdlZ29T6g0ODU9D09PLeabZ8yXEeW35zzn68&#10;fhXbeBfiHqtrItjc3EkqMgLZYZHHbOK+bfA/xP8AiZ4D0S30rE1tGG2jzYflnj6ZDd+e4NekeCPj&#10;Tod5Jv1Utp9wIyzzNH50THHOAQSn5n8K5K1GWp5s4Tpybi3ue8x+N9JvLU3EscirHnczqMZA+vXN&#10;YkN5Bd3UUrOyiaQdV7l26fh/nrjyfxF8QNS1O2+1adrsJsxI0kslrEjAN23DGVHrkVH4S8ZeIH1W&#10;aaz11JI7WNZSs9tvABLBWAVlzzuxyOnPbERpyjEzhjZR0qI+hp7DT3k2SWylm/iA+Y+oqO70mwj3&#10;xlIvM37SMcjkdD/+rPvXiM3xo+JNnLI0eqaTJ5bb1aezcMy4z0D8ccjqD+tdVpfxouNT0tbrUNP0&#10;17nzA0ki6l5YJ64VSpOfxNZulURp9cw/9I9EgttOMLSz2sf+jxTDO0ZB3RfmOT/hVG7vdEdOLSGe&#10;TPI2AkZ4/WuUb4uWV9Z3RuWGntHIwS5wLhFUqrNuwV4yvpzz0xzyz/E3w7abryLxnps7XEgaRljM&#10;beWTyQpbB2g46g8dzRGEup0U8Vh5bM9MlXT/ACFcaRZ42ZAaMA1c0trRrZnS0SJlYfKuMHn/AD71&#10;5za/FjQLu8xZahBN8oKFbqFRz6lnwcelai/E/SWWHTPs67ZJMySx3cDMx3AY+VicnB/XFVyM0+sU&#10;Yu6djuHutyCaCIFi23Jxnk9OtRteanZlVguPLyAGYSFefQY9s9cVh6P4/wBCdrhVivDB5gK3MdsX&#10;SMlsEZXgNnHX3ok8f6ZqG6K3t9Q8yNlJkbT2CtnPByO3r/jUtPsH1iP2ZG9pHiPxZ4Z1BtS0Txde&#10;acsq7ZlsLpoXZdvdg2Tzz+WOlV9S+OPjnTWa4tfiPrTNMoEkn9qz7mAHyg/Nzx0z69ua4vxl4t0j&#10;TdOkvdY8TJZw5Xc14oVlyMDA5P3v0xXDeJPjr8IfDeoXEGpXVxq11asR9mtgYogw4Kktz14OBxzz&#10;xilGnUlsmZ1Mwr0/dUrL1Op1z4jfEbxdJNoln4h1a7iuEjjmhe+kZJEj5jUqSQVU5Kg8LnjFcF8Y&#10;/iLp/g4/2n8QvEkms68sUaWultdmaQKq4TzXydiAADbnPGBgc1wHj79q/wAda3DJpvgqzj0Kzk/d&#10;hbFv3hH++fmJPv8Ahitz4F/swarrh/4WL8SbY3EaNvh0uS4XzJDjIMhOcD2PP4V1LD+xjzVXby6n&#10;PTcqzvOTf6ml8GPAmv8AxC1S1+LfxKRPLWNn8P6Xt2wwr185l7KOo6knk0ar8Uh4n+Kl9pWjXsn2&#10;PSLF0tWX5fMl82ItKffIwPatr9oP4r/8I3oQ0DwlLHb3V1CsEaW8iusSdMkgjgDgDA557AHxf4Qa&#10;Rf3nja68l1RodPZphJJ80hJHpx1x16VcI+0i6ktuiM61Tm92PzPSrLT72X4if8JHpVw7/wBoKY9U&#10;0+Nc4kIU+coP8LHJYdnOejYX5b+KujT6L8TfEGmRqpxqkzszcY3vv9Pf9K+mJ2udNu1vN8kMy4aN&#10;kboemfbmvnf4p2d7eePdW1S8vRcahdao5kjKMG2thkbO3ByCFwDXtZHH/aZPy/U/QvDaTljq1/5V&#10;+Z80+MLeR9WvNRUqrSXLMy7vmbn3HFcpfa2bNGM/+r5A3MDn+XPNd74/0m68P+Mr7RNctJbe4hmc&#10;3EEkJV1YkZ4YZHb0rhfGmjLHCHtlxuzgMudufp/Svovtan7euhsPq83hPw6yzy7rm8+c7ecMOce2&#10;FJ5rIvtaaeye585mZlxu3DjjnqeKhuX8T3fha3vtU0C6jWGON/tT2j+UyEhVbd93ngdc5rMZZZ7E&#10;SeQ0nmSiKNUXLSMT0AHfJGMfStIxjuPU9l+C8+oat4AtRJAyrHNJHaySZYyRhsZye2cqOwC+1daN&#10;Je4ALK+T7fe45rY+Hfw8sfAfgPTtC16eOS5ht285hghZHJdkBXsGYgH0681curj7LCtrDAMbs7Co&#10;5/2T8p5x9PxqX5HDJvmMX/hDkAJEivn76w/ez2yemPxz+VLF4dto5DMUCHniNgCOO7nqeo+UHmrj&#10;SS3175qpLCYX/cmObai9eGAGD6jJ7/SrEFhqM0iq91Hv8sHcuQcduW7d6xfMHMZJ0bTIsyGXy3bl&#10;ZN2N7Y4AJB5P4dug5Fe58LXclpd2tvrE8MWoQ+XqENrK6G5TBUpIcjeMHpyMVvnTrm4ljgitlnjV&#10;h/FwrduoOP0PFdBa+C7i8Co6ybizDcy7flz1IGcfh+dYzqTi7DV76HjMPwH0O1vY7+204GZTvWQz&#10;MZFxnng8dh3qe0+AkLR2qtpqeVaqUt/3agqCxbjjcTuJ6+uK+govAOm29sBM6orSKy3EbAGXcuNp&#10;BPTJHQBsr1xmrtr4Qs7LcYoVby1KhnJ45HU/5xWlKq5RTSM6ntOWzZ4zpHwfto5PPm0cXUyr8r3E&#10;A4HYfNzjrx7iumsPg7ptoVI8P2Y+VS32e3jCkEf3lHbv6V6Za2VrFebW0Zo9q8yq38Xocng4xxUs&#10;i2MEvlyxsxOFjbazA8eo4/xr0I4iR5UsDTqddDz4fCzwxcW7adeeGreSHafLjVdvfk5GD26CtDSf&#10;Cdj4asBZeFLG90+3aYO9vb6hMsLt0yybtrfiDj2rtGtEjcJIhzu+VWj57ehHHX/6/aORbO3WSQRp&#10;tjTczcDy+gyef8/pU1KnNozehhadGV4GZcfFL44eHJ9PvPhTr9j4fuLeOWK8uhpYuJLmNpN2xtzh&#10;UCqAo2g5K5OcZro/B/7Snx98E3Hijx3o/wAUPFtj4w1DR5rLRdW0PVrKxt0jmWNZY7qM2kjXCMsM&#10;OQrxkeWpzuVStVYYzbsLdYmQNwxXkg8+vP8AOpJdKtkh5jVe7+WeQDyOvviuP2dPY9eOIrI8r+If&#10;hfVPFmgXnhNNSuHt9QiVLjU5bcR3BUYLkL5joGY57nGc854teD7b4h+DLSPTtP8Ai5rsdvHZw21v&#10;DtQiOOIALjcCM4GM4BOeT6ejLBpt63l2NtG7xybZD5mWBB6EZ61TGiWX2oWc4kVWjLbfKDMT0PAw&#10;AOvvzxXu5TmFbLXehNxb/ldvxR5OaYXD5mlHEQjNLpJJ/mZl74++MsUEqWHjyE70zG19psbs7cfe&#10;ZVGB+J+lYDfED9qcMQPGPh/r/wA+n/2qusbRLKSUQxoqtGc/MX5J7c8H+lM/suJflMB/75FfZ0eO&#10;OJKMbRxdRf8AbzPmJcG8MvV4Kl/4Av8AI+rbbUdSvY4zawajdeYpIAjAU/h0I9/XHep4/C3iAv5i&#10;aBGjPiN2upV5GehG48j+R+lbKeJ7uELY2GhJ5v3VKxE5bsQQPX3/APr7lxY/ElGBHhS5/fR7lb7C&#10;xIHTOSOMfX+Rr8k5kfppzieBPEDuqtFbQr1VljAUYOPr1/8ArVLpXw9vbye4kuPESzRxybPLjjAK&#10;9TtxncQBnkADI+grWtNK8b6mJGswyhVyzzR4CkdW/UfWpYvCWv3I3ajqE26bOZBa7159fmyR+nA6&#10;0ubzFyplCXwN4c0Qs8uqqx4KfapsMF9VHOATxn268Gq1vbeBG1FrQWyzKF3yTZ3RpyBs6g598beO&#10;oNb6/DWO3iWa5tppB0VlJG76DYMY/EHn8LK+BtPa6ZX0mT5slhMu9eO5ORjsfxIrSMxcpzker6PY&#10;s0n9jxtl8lZn29uMdcY69vxps+uajqKLBpuhlvMUtHLJu9jw2MZHfHr+fUNo2m6U6yTiRZmYr50N&#10;luHqOm444PcD9BUMN7qywvbJbTTcfu55IOi+w44xwOvHXnAqozQcpzf2PxlI8qXEttaQR4Ys0Z5H&#10;UYyD644+vFTQ6F4hmTYmsogVQZJo1K4Y4AGRg59vbPauga/1S1vNh0K6xjLSeWGVT6rxj1z9T1qq&#10;0/idBu03QJEjaNl8zySzDPoMDjI7kH29L5kHKYf9g2oLPeXT3VxtY/u7hcDH94n8yO27tmnWPhW0&#10;gZTHpMJa4ulZp0k5LZ3H7p+vtg471qx6B4gvEmtb3QvO8xdrI+nlkbOOGDcHt685zxg1La+DvEGl&#10;vvuUWMTbm229iVQEjcxJUk5+Y9hnrT0uKxRazNwDDaaWu5T8m75G+vPIwfoetR3djdQA2891GfMc&#10;nCvtI6AZ6AjOfz/PSh8KyJdra3mtyTXBZ2ZmsXEeMrkF2YAE9uD1buMVDdx2Ol6h5Es9vcRxjG9T&#10;Izd8fwEY6nhuAeQCcVtGxHLIy7y1toLcXsTCOXzPLi2QiLLdcfdXkg9h1HByKy55VHzCBpNvzNIy&#10;sqbemNwHXJHOce4rYttUgZRYQ6I7eXvn3MV2SY+8Nz4OSTwMZ54HGKrvq2ryXMLWGjNDtbDeRGd3&#10;IwPunp+PatIok4/xB4dTVI3jtOi4KxLnHp1Tntjnr09K8+17wV4z8ManJrFhqtxaIPlWaC4ZcZPK&#10;sEONuRx2IHXAJHtt+vj+9MkyafcRRsp2stuwGDjJPysAB05P41h6p4K1i8PlaxbRCPdtaS4kAOP7&#10;+Oo5Hp6dc12YXETwtRThKzWzW6JlTjLc8ludT8TahCtz4g+IuoWsfeSO8lgOc9AUwO/r+WK8R/bV&#10;8RWVv8PNP8OQ+JNW1RtQ1aJZPtWrXE0CFVZ8hZGZSewPUDpxwPpLxR+zppeqbNRs4Zg6sWHk2xCP&#10;kYyWbkDJ6ha+ev2s/hjrN74d0+50/wAM3Svp2oGe8Q5k3xkONyk9l4JGAcdq9XEZ5j61CVOdaTTW&#10;qcn/AJkRoRjJOyPnbWWENhtRxmNWxtboce3415pItrqdy93MQ0Ma7sc/eLAjp7DH1xXo/iq6ttQt&#10;30y3lzNcBkhKjDbiDx1/nj8Otd58D/gva6ANl74Jj1PXdQWRVaSPzY41dMbQjKVLAAtuxwTgEnBP&#10;z0V1NZXex4z8Ntburj4MfETwra6xcWsMeoWOsiLztiXTQzPEEA43N+/JGM4Aau6+Cf8AwjUPxakv&#10;tZux5K6LiL92GIb5CrZ/3QRk/wB6tbxR+xx8X9AsdRtfAfwlmlj1FAsztI3nIN4KkDICjcFI28+w&#10;FbXhv9lH4/8Aw4utP8P33gy31V7yzWeOTSbhlVWeMFo5QUBZ13bWJAGVbDEc1tKvFuN3srESjJxe&#10;h+knhnQz45/4ImxT2LSNDd+IjBCrzZMhGsY2D247cYPuK+EPB02s/DfXZNMv7aaOC3kPlv5Z8yNS&#10;eo9fpg5FfXfwN8RWut/8E6L39kDxlLN4b1nQbz+0oZNWt42s9Qja9kufLhlilL+aPlVkaMHLgpvC&#10;tt+ePE8nxi+C/iVfBo+y+JtNktopYb61sheCJWH+rbzNrIQeMEYxggkGvlsVze3k4q6ufF8UZXjs&#10;VWVSlHmi4pfPyN+x1631i2t9TsrFbhY5Q91BZvmVAf8AlpGBycD7wxx345HpGi/D/TrrRT4msvEe&#10;mszRqLVWuFjctgkh1P3TjHX1rxXw7rHxY0q5XXbH4Rw25WRWj3Qqgl6kfKrnn1zgjPGahvfGXxuu&#10;b6R1+H11aNMzERw2MgjwWJPUY4JPOe9edVw9edrI+CxXDObVLXpsxfiTJ4j1DxbeDUJLXbFIyLGl&#10;0mFA64IPP6mneG/DXjeW3bWdKv4lSNvlX+0EDP8ARd2T+XJ4qj4w+GXxw8Qlru18GNN3Y+cgZifq&#10;3XpWbo/we/aie9jNr8Prm6it4zi0NwqRudp2rL83TPXnn9a7IxqciVj0o8O5l9XjGMLPzVz2rwR8&#10;YPiH4YsrXR/F3gKa80l2wiTWGYpep6MCHIIPr+ma9Ci0zwD4k01tRi8CalYs3DTWMbSBcf3gScH6&#10;EfSvEdK+Cv7R+m/Y5dK8NzaHc28QFxJa3W5pcBDjCZxxnDEnJHOO3tngC1/aP8P6QLG/vLi+3KTH&#10;JeXsJ3ZAI3HcQOvceo615+Iw9Ve9CLufO4zhPOI+9Tpv5JnmvxX8K+DLS1upfCXjy9sNRRg0IubO&#10;SPPsxHAOenXGKwfBfxQ+I/hi/wD7P8TRaZ4itpLcmS4h1PyJQuc4LSFN5yM4YMfSvbvFuoftBQaN&#10;HHP4cjZWb5mhWyn2Lu5wc9fY44ya811O0+Ni3815P4A0qW28zYvnadaqzLxk4Huegz+ecumq/LaU&#10;GZ0eHs8dFwqUOZejv99joIfiL4J1/TJNUeXU9J8uPe0l/p03l7chOHiVl2gkDLFRyo5rW0HRI7xn&#10;vtG8S6PeRbcLJb63Awc57fNnI/SuMtf+F3aff/b/AAr4I0WFbi0kt2kazhh3RyHDxkeaAenXvj7v&#10;aszWPh38SvEOrK+lfB+bTJG/1l1pN9EC/UtnBVQM89T+NL6vUbsk0Y1ODMbVpv8Acyjftdr8bHsk&#10;vhTXYfCOoXKaZ9oury4jeExuHGACrYIJz91enpXCXnwg+JOt3r3h8L3pWQiJYRbsq+X/ALXTB3dQ&#10;eDwOeBWRefs6/tV3UUMPg/Vbm8hXYs1tdalaxNGhBBG4yYcg+oXj8cYcnwa/ap8PzLC/h3W925lW&#10;Sz/eo4HcMm4fr6n6qNCvEj/UnMI007P7nf7rHcQfCf4iArC3g64hhz8sdwojReeuWx2/lWjH8HPG&#10;Anms002DybryWuLWC6R23K0hxhST5RLE84yVxg9a4zTfgf8AtZ3lp9usdIuI029J9Utkbr/cd1YH&#10;/Gq2t/Cn9rXT0+3z2ckbBvmZNWtndl6fdDse3bPrVewr21X4Gf8AqXm32Yv7n+R3WseCPi1dX7I/&#10;hzUPKaQkhdOfB5/hIGMd+P61hX3gr46iaKKPQNaUKuNtpZzKoPUFjjr+PbjvXK6N8O/2mfFUsjQW&#10;uoIsK4aS+aK3Uj23yLu69B71NL8FP2qVmWGHT1mDj/llrVtluDwAzjOB74961jSrR6fgVHgnOKmi&#10;i/uf+Rpah8L/AI2X/wC8vPDOs3EqkiHzraUrn1JIwCOOSfTFZ8H7P3xK1O9js10CWD5my11+67Hn&#10;L44qvafA79q2SZbRPD90srk7UfV7UBT6H99gce9XbP8AZ5/aplkV5bWa3+0hmVm1a0kUbc8kCYHp&#10;7+nU1py11svwN1wTm1PVxf3P/I9E+EH7OD+HNUbxX42sft/2HH2e1t5VkCn+82CenXn0zXW+MfiR&#10;4x16f7L4b8OTx2SblaRg6JsCjccDBbGQN3b2r531n4c/tT+DpHvptLvrpY4VeG90+8SXzGL48pVQ&#10;s24D5j/Dgfez8tW7K0/a41W2+1ra60nlrlY55BG3B2/KrHLcg9B6+lcdXC4ipPmlqV/qbnEVpG3y&#10;d/yOivfh/wCMPEmpTXT6VM0L3HmXl99nO7hMKuNvXH8IHJzwB0wLnSfFXgDxA2uaZp8y+cu3y2jO&#10;X+XkEdeP09elc9qNt+0i7S2V1pPiBo4z+88yJwjADIAPTtjrgn34rP1DRvj/AKjbyQy6N4j8plBK&#10;rYS4I9emP071pGlWjo1oVDg3Mtmmvk/8j0PRNYvZNcvtS1wTW8uoSKscc0bARqq4CnI+Ucn615j4&#10;08e+IvBfxP1TUfB3iu/0nUAyQtdWFzJDJ5exODIhB25A4zjIHpWXd+CP2grANqq6Zr8aqATLJZyI&#10;VHruxwfwqx4B+H/jbV9ebVfiR4A1K+iuF/4/poZBHFhDjcqgliTtHYAHOeMV6WXfucQ2+qPtOFMj&#10;xWV5g6k72lG2z7o8C+LbanrnxG1DUrnVWvbmaRZ766klMkk0jqGYlmyxJJyeT1z3yeI1s77b7DKu&#10;7y1+9xwo9ewGP8ivov8AbL8G2fg7X9M8Tafpy2thNb/YbiKG1ChJw0jxtvDfNvUleVG3yhydwx81&#10;+JdVt4LR2jf5kz8qsMv1PH/6q+kjKLifqUV7quet6vqPhVP2QW00StNqLWlsklx5f3GW+jwBxhuF&#10;9+teU+ENS0fR9Z0bU9ZjhaFdSjFwJo1yDvO1sNwMZ/LrXsHwH8KeMfFkPhvwXq3gW7XSLzUYYdWl&#10;EDssdu8vLOUBYYyucDIGfevqL9oj/g34+J/iX4hW9p/wT88WaJ8UfC11E0txCfEtjaX2iTbv9TMZ&#10;5Y1mjKspSVCWyJFkRNqPNnKtCnPlkx06c5RdjwO/tri/Z5xewyN5mV81PujOcj8KkltnkXbDZQw7&#10;YwmYXbDNn72Dnnp0AHsK+0/2y/8Agjx8VP2Rf2dtP+Nutahp2sXkMFp/wm2m6bdiRNOuniSJprWT&#10;CGSEzEERFMxmTALqoNfLHgv4feI/EV5JZ6h4R1DabzYbxyyxou1xKjps3F87QGDDbg5UkgiY1KNT&#10;WLOaVGtDSSsc3o2g61q8621hDuYPnOTwAeW/lz7c9BXVaX8KL6aGO6v7sLucExtuOPm67fc+3IPr&#10;Xqnhb4XSaPYxw6bpvkR4CkSuM7umSSdx9enfr1q7H4Wv7eZXluIFEZLKslxHk8ZyNzAY/M8dKmco&#10;rcmNOxxumeCNKtR++EkkiqvO0/Lz25447Dmun8M+FDq1td3dibWE2sKO9vcX8MDXC5bcU8wqXYDY&#10;oRQ7NlsDAwb8umQ3azXl++ZFmjihh8tt0md3zhgpQKCoXBIYmRdoI3Mq3vh3XrLUGtbnSplaFl/d&#10;3LIhXPIUgsCCBjIx07k8VjJRcdHY05Jb2K1l4Nk8Yafq134Rv9NsvsMc0/2XxDrlpbbIwD5axC4e&#10;KS5bcNrCJWbBztHSsC0fVjCE1O2jWbAM8Ua/LGpGR94cZHP4j2roNR0x0trfUbiw+0RXh2Rx2c6X&#10;G3nb8+3/AFeT8wDD7rA5IIJLPwW8HmS2Wl26gxqqxsFjLAduCT06Zx/Spw6jzOXNdduxMqcrmNHY&#10;rZtLq95Z3sJaHZazqZFjGCeewyCMcc8HPam3qyajMuv6jqLSeWyxHzpuHkb5VyoILtycZB4yScVr&#10;SeFb17pZBatGzRn95OqMFUgfJ8pLfofz4pjeHtUSJYTafN0HGVA7HJPv2Jr0IyiccsLduVlf8inp&#10;E6z2P+heIF2wsJNttqKM5baQG2I457ZA6e1Vby2ubiBry71CO4kKhx53ynOc7jnPbv3IzWpbeFtX&#10;aVXt7S1hm8xn86eVEy3YbieenFEOiuJGM6yLe3FwDGjKj+exAGclxgcE9Md880na5dOPJJ3epVs4&#10;Zvt0ayNbrHgBlmQLt9enOD7DPpzUmozwajcTX8lhFbrNJuhtbVdqwZJ+UEknA6DcSfc5qa6sZrGZ&#10;YY7mK4nMY2wrMJNy7ioJ2k4JI4GCTweAQabpFh4j1u5uNOj8I3UVxErP5GUZwq9WwH47cE5rCU6U&#10;ZKTfQ6I+8tNSjdNpWmie51mfyNqp9zZ83IBXcTwMZbPI/OmWdtfzSRxIkhvZQJGgRg0qqVDAlCcg&#10;FWVhxyDwSK09TS+uRb6HIyeXpsbG2MdvGitvVD/rEGHPC9WO0huhyKffX/jS20qTREybW62mZYTG&#10;u7ZkKScg8An655z1rbD1Iq7bMK9Otdchzkj6bBqlxYapEzNmNJGhhXdADgmTBI3Ec45xwe/NQ3U7&#10;xXUkVpFI8KyMIn88DcueDjdxxW8dI1OwnRLK/ae61CHZDDYho2iXOWSQkfPx/cYgHB5xitCDRLm2&#10;gS3fwJCzRqFZmupcnA+tepCpK3uq55soRUnzyt5bH3INf0y3uVms4BsjchlWPdnHXuf1J6+1Sv4s&#10;EsvmQaKrFgdrbgSOeOOe3pXHaz4lfRIryzuf7P8AtlnfJBJBHqSXIuM8tLHJBvheMcZPmZJ6A9av&#10;6Z4w0S21O4tzdzXFqtiG0+8tbVYW844z5gZiNv0OTjtXx0a0Zaxu/Q+0dNx3NiS91S5/fMu1g25v&#10;nOW77c/p7Uktlc2b7km8wbsbYXKqG+gOP0HTvXI3uv8Aiia6Fw2qQldoOxHP1wVQHn0z0/OrWnoi&#10;2qyXnjlhMS3Fs7LuXGRyDgA8DnHGQa35SDrzDcQqY7zbCFUMkczfM+echSPbr7/jVLSrrSkTyppY&#10;SB1EM2COOd3XPOfTArnYrfwu8zfbL2SaVsgz3F4CufxOAPb/AAOLM+tEAWaJJtiULGbJWdApG4Nl&#10;RtU89feqEbbajoduVN1d7nhz5apGOWzjBGBkYz+ODxV1NU0N7lftd15YK/uoUiXJXuO3f8elcTC8&#10;1xcrHFaCOL5V2ScHBwCSOSPToOpzWjHY6XbStFe6xuldc/OzDr94ZPBODjk9McVSsB0UnizQYD/o&#10;nhsybY1G/AUjp2xjGc9wOlUJvibI8Mtx/wAI/DHcTORB5s2Y4sdMpgF8nPRl4P1zRtoNEB+w6fbL&#10;IeAqzHauA3XH8PtwCMdjV+yu7SJELCPd5bGHdZ8DABzyAMnHHOSemQTTsgKcPiTxtrMm7TLeUsW3&#10;bre22rgg5wxI9D3/ADqtcaVeSfu7/VuZVCsrXSnHbsDzgYGScehrSm1JddXempNMdvy7ozxyQflx&#10;16898e1QR29rbRLqF2Wj3TKeGKyHCgHuMZ6fn65q4k2If+EYsQzNfamzMZAFkBLE547kdMZqOTTd&#10;Hs7iMKk78jcVVQOAueAc9f8A6/qbWr+JNPt7b+z7nVpAy7hHDdHkDnHH3sfKegwDxWVdeMvCPlnz&#10;rxbmZm3+Utq2VbA77QEOTzznj861CRbu7Xw+xjuBFDHLImbeGP5hMNq8kH5sAsDkEdaLthaw3Ecd&#10;y29doDKx3dc8D/PfpwKxbr4iWV9Gkdr4ZMcPlsFVtpXqwOcc5Oe+f0yKkfjK+i3fYrBYWD4Uw2+8&#10;nAOM9M8ZznNUmybHQywakv7ySzbbHCxw020yJ055559u3TrRJbrNAsyaesf3WcPuXHGdpGccZ6cH&#10;Pf05ie+8ZavZrHc3UiiSb5pFk+zq+CPmwNucdPUfjVK30O2kuntdXvmkePbu84ZUH1Ut1ye+cH1q&#10;ubzA3Lu40HTZI/OvIS+4hlaVV9xjg8A59Pvde1YfiF/A+vQx289u07NuRo4/uleg6c4HI6jjrzVq&#10;2stJ02B2tbdW+0SKOVOFbGcdACOM/TOOpqnd6lHpkWxIoWcfMI2j5LEZ7DsSM/XilzFcvc8/1T4d&#10;eDbCeS+0v4VWty7x723QhDwpGeOOnzdAM+2QakyX0MaxaTodppoWEBlYu7nBB4xwMdOhr0Wz1LxJ&#10;qolFrbKi7gx3ZZmVG554GOOcg5xzzWbq/h+5192RPLUltrMhwzDnOdvJwfXjoODiocn1YtFscINN&#10;vr7/AI/tZuAFfbHtZY1c78nOeemP8BQE0aBIyLxTtbduWUlunfuDuxnp0Ndfa/s7eIr93WO3kc7i&#10;yyNti3jvgHk/Mf4cj171rQfCHR/DscbahPYxSsw8yGSYHbxknkhcgdR6kcZxUSkhHn66/PdJDZyx&#10;x3IaTG3BDZJ4Oe3Qfn2qje/D3xLdLJqdto6xrMvmLGUO/G3JOP8AJ7c16pp2i/Crwzq661qPi1pZ&#10;raNjbxwXUrQAnBwVRjHjAHUYzzxya3I/i5oGmJGbKJlVXYyfZ7cDG7qCeWJAyM4yBxUa9hSjzHjn&#10;hv4beLBeyWok8uJTtk8xCMsfYsMk+oHcV1+m/DfytQhbXjZrCVdsw3DFsAjACcKMHrknnHXoNzXv&#10;i7NrVp/Z0MNnb7f3a7JADGvpgHA4HQ8ccdq4PWNV1bUUcX2r/a/3uVWNsnIHUbcgdvTOcc4qXfqZ&#10;+zR61Drnwi8OIqPa6e00K4YLGdzsAMs2WPORn5dmDwSOTWZq3xV8DXMMltbaUjSSKoa4hwykhhzn&#10;HPPr1+nFeRwtBdyYLtFNI2x18sqTkBuOmeD19+ozUlj4V1rV2ea3tWkhkZfmbEfr0YkDHGeDz+NL&#10;lJ5InXa54/1OGz8nSbWNoQnzLcHaehJAC8L97p+Vc5qfinWtTslEU6xo7A+WuFZRwFwep9cnr+lX&#10;rP4UwXRhv5/FMK25m/fR2j7mXGTjPfO7noCQeTg46bXdI8DeEo4Y7HS0Zo49s1xeyFwTgcAfQ5GO&#10;BnGeKOVE+z1OL0vV9Vu7mHStYsJZVk5WVsl2z29/r+Hc13ui/CbxHeaempXcccMO8hjI33tw68gk&#10;Yyff86yh8R2u7svpEarFIpSNfs46BiQQxyV6Hk89Ko6r401q5fLSqrsrfu48MH+Y8E7fvHrgjOCC&#10;OMEzyilTtqdVF4O8LWTxxX2o20MELYYLnJHYHdnnPYAA8dOpvJqfgPRNIMFhZ/a5oSD9oZc4IPLD&#10;cMAdsd8/TPD6Z4rs7++8rxDcN5nK+dGgkV8A8AdRnnnkeprct/CtvcB4Iwtn5iAsqpjaFGeCDnOf&#10;z59eWoozUY9jQ/4Tua5svsmg2sLRsyn5F/fLtI79AcjPA4BAGKowa9rWoB2SCRI/m2D+JTwMMDwO&#10;c9j+POeh8JaPpdvEt5DpV5I1qqxzTQiRlYknbtU+5+gyM44FXbO/0+1mXSdW07z/ADAqrJHGzNy3&#10;VeMqevcAAHoBkPlRSpxlqzDs7q8sJ/Ke4jk/dtJt3Dc647knHYD6kelPj8Uf2iv9l3vhh42yVRml&#10;GVbLcjaxwcc+hz0ArpToHhO90yaHR9I+zXEY+aa5hxNn+6VJ6Mc+4IPQZzyWrWflQxyXWk4WRVTy&#10;myfmxnqeDwRyfT2p2BUtS1f6hpel3lnFOxjWYeU/k5Mci7dgyeCBj5s5U59elR3C29hCl3a2jTlp&#10;PmbcQCo6kY9M5xnnJz2rKvLTS75YbOVGRoYlaFpHyq9cAEe3GQO/HWqDwS3OntBeWdrIsMytG19t&#10;YNlWGTu+76DgdW6YNZg6fLodVb6wJbRrwXeZ45sMH6cDO0YxyC2B3GOT3NDWr7VLoqsKLHFyP9H+&#10;YlQuQec9cYz9OO9c1ovia6s9LHlw2s7TLtjFtHnzFx8uCMgD9cY7AV0Gm3EdzASPtVl5jKis4w5Y&#10;jBBK8DJHrg5HXNFg5WYkXi7UYtQFpeOLeNYhsheHODz84bcBtxwVKnkqcjpWp/amnm1hu4p2ihku&#10;GiSSGQKysoVyG5JVcHOTgfMec5rWhNjFa/a42i+1wrIY4ZpgsgVsgsCPukruGMjOSO/GHqfj3S/D&#10;Fo2n6fa2qRxqsUUe4j7q9AI1JwTgcYGcjsAM6knTTb2/q4nHlJtbt/sg+23GoovmLhlVCzJzkt8u&#10;f4tvYdeKq2NtHdSLIumvtaLzPtDNnn/dJ3AZ/vY/oNfQfEOi6nPp+tzwW/2eZlH+qlgIYrkDy5AG&#10;kUD2xgHPORUWsap4SWeTUrrRNNvIJJAFWG18wk4OS5VScdsE8EL7YpS05r6D3jcwb9dHuXksJNOt&#10;2mSD95HO53gHgNtY4IB+U46EEAjHEEUn2CNrcwxwsvDbMDJx/EPu+uF9+vpvjVPBF2HspvC0YtX2&#10;iG5WxECQhBztPD/eB6D0I4yRE2leALshrrT7u1e4jMW9L+bZEp48whH4KYBGAc+jcU4+8ro0pxjz&#10;dzjPEPg7wd4pikhutI0+R5sG5t78Kyuw6FcYxnPP0/GuMi/Z0+DfheeS5t/hJZ6e83F5JDaLslU/&#10;TH97r0HoOa9D8R/DfwtrMC+Bb74h3EUd07GO4h1B2uQmFzPBubcGxjj5XXdyBTdE0vVNCs47HUkv&#10;Vs1kZbW6kmaeWaJSdkjHLEuyYYqWJBJ5P3jcakuayZ1NRORHhvRrdWg08Rzyxp+7hEqrwRnHXOeM&#10;dqj+HHjL4ueE9Zl1SweTQYFx9jkj1Mm5XkE79i7MZ5Hzk9flFbfizwvqBsZLK01eSJZGx9qt3UyL&#10;84OQWV1HQgE5GGbGOoqW01lp1ymmatdzPcRW4/eTsCzjH98YBHf1yfpVSl3Er9De+Jnx++KHxu02&#10;Pwd8TvHOseIreFPNjs9Snd13L0HPBPQ8/wA+a5M3NlAks76jJbuF3z+dIYQC2CX3difXPfrV670S&#10;3upJNQ0v7VHjcvkfa5V2g4AIGcHBA69OR61m6pp+pQxNYW+mlpSv7qTj7ynkEr6ZJ4z6dTVRtGOw&#10;m5S3IrXxXBYxyR2GuWUYhbdJNfXBu1CscAktIMDIYDnGRgZxik1WXWLoNJ4fj093eHMc0k+6QL/e&#10;2bSCDyNu4cc7sjFR2+oXNrp//E/LTo0xjRZIWYuRnpkckjB2nn5fbjFuvFYsdZTb4V1SSO3fbFJe&#10;eG7mQQNwS4dYyNvGRjjjkjFY1JS5XbX0vcrlidDfapeWdrZ3N/BG0zSLHKshVsSAcsdrKEUBWbdz&#10;25zgHSDav4okt4tR0e+tdSuvLDWd5GWuGZ9vlhlOWJZWRl55Dr1yK5i/17TNQK3x8N3LTQTM1vH/&#10;AGDKJHcD+DzlUZx/EG7DOOBXQadq/h61gvr681lI4JtKJDS+H5mE7lgpgmS6jjELKm51lUMM4KnP&#10;zVzqtWp1Lvrsrfdr+YShGS0JNT0yfR5W094khkjfyjDb4ikEiMVeN1IJVwyEFfvLtPTOahu5Y/tk&#10;mmXJZLhNrNFdW7RlgVyME46qcjr6jGDTvFHjTxBaQaSnirV9amul0O3jsV1CK5b7JpsbEW8UQkX5&#10;4jFkps/dqrLgn5gsmpalYafY6brWpRWsmnaiJGjjs9WgkuI1Dp5hkjVi0DMCSBKqF9o25AJHVRqy&#10;jTXPa77bP0OWpK2q1t95jJ/bl3qLL/ZrRWeYTDMZkdZlYfOuEOQATu45PGDg8ypIqbIry4mjKR5U&#10;Sf8ALQe+B8ueuB0/OrHh2x0UW0kmh6XZ+UZv3e6COJpMknLAcAnPPbPfmrEOo2EKTLfwziaO1Z7O&#10;4t2HkxvvXajl8Dhd33N2SABycV03OWdSnTkpSb102vb1I/8AhJdJitI9Ha2WSeaXZ5ir5apxjcdj&#10;AsQdoy64AJIIPWGS3h1C9uJojDbtZxBvtEauQMscHnPzHoMEDt35nkYzy70ZZmAztZwfYZz6Y7ep&#10;96Y1t4J063a71jTNHujMHjvLbVdNaYogYHeg+YMSegB3NtOQMgFSfLG5nVVPDrmWm+/cy9It7q8m&#10;SbT2aQySIlusanez4+7hc56gjB424wScjX1vV/Ek2iQ+ENR0vSmjtrxpjcPpdtHfl/myslxsE7jD&#10;Z8t3KjCkD5VxRi0GPVbW4t7T4YyWdvCVdp49HmZFUqJM71LKmUYMc44PBHFM/sfwyL7+0fD3hiHT&#10;ozaqk9tHMzBcFiSu77owOmSeMkntyy9jUfPJp8ut77M3wtTmjeJc1zT/AAgfD9vrdhLLY3DcNp09&#10;x9qkuMHY04ZIkSBAwKhJCWPBBI61pvBF/wD2hdFdTs5LW1laGS8tdTzFK6r1VGZSwyThsfiTVt9C&#10;8G6np0MOraZdLfQ3W/TXumjjtImIXYztMVQD7xYMV3AqF71m+M18PWQlsdXgmjt7aDzNQh0+8a6g&#10;ibOzzHe3yiAFgpfp8w55FdGHlGpK6lzK/wDWqMK9SVNOKe2t30+8xNT1NQm65hudPWCT93hU/fd8&#10;FmBwOOMdec1bhu7+aJZo9Ts9rKCu4W2ce/y0eItcu7C5s4ptIkTT5rTdHcSW6shCiMkACMORtYNy&#10;TkMpx8+T2mk+Arm50q1uToPmeZbo3mM0aFsqDkqyZUn0PI717VGnF3X9fieXVxns/ebTv+npp9x9&#10;BaePCulSLHeWCtJnCqqq2xc9QDyf0/Cta21y0WOSzh0Safzv+WcMAVTwMdSDnrzjt1rav5/hZ4bd&#10;rf8AsTToJMFSTCG+bI9cnH0wM/rTm8d/DOKMXkSrtaRz5MMZ+cYXk4Ax+JwMdK+fv5H2RR0iPUJN&#10;QZE05bSIqDM0sgbGMgDGRg9uv+FaS+HtPklI1HV3mj2h/LjkVVY5GeAf68+maz9Q8ceGXRo/D/h8&#10;QSyNhZfM/wBZnHVcdOo4I65NU9X8VTvYxxQ6nH5zszvtt02KQQV2n5j0AznABzR70gOy0tdHsz5V&#10;kLWL7qsnlfMfoOc/XP5cVn65qOlWUsk41CxhibCtGz5JHHIPqOw7Hua42XxIBcfY9Yu75ZPs4ltT&#10;HtKTHJyOSGwBg5GR8x9BWD41ha809Yr+KS2t2GWkhuZY5Mhf+eitlcY7HjA9OBRJudpqPxC8HGFb&#10;OKRryZo8KNPUO0ikY55+Ujvnoe3FZsniGwH9YAKflp1t7HTobTG7y5Lxg+4Hb649PXnA461ydjqC&#10;ncsSSmZo8O0khDcYJBJyfx64Hpmo47vy0UwiJZG48uNiQOvVv8/zrTQiPNbU6CfXbMMt14n1GS4+&#10;QHyrNhEq8deg69epz9aJfFthHLFDb6JJtM0nlzXVwzn5VPO0D5fl+o7ZrIW70qctbXILbvundhRl&#10;fQ55GeueCOlQ3Wq29/FHcLe7XZcbbeHjIzx06c+v8xh80RnQN4x1i/WO9t9Tks43Z9m3hWYADaG/&#10;I57bqh1KDUvJmafW5XDsGx9qJxJ6dsj8BXOTy6RdEu9zIkvnfN5a7GBIz+XA9+Op7adsi3cDQLZ3&#10;DLu2mYxspAxynAHXoO/NPmAZef2bY6U97ewXDMs+2aHzoBM0e8ZKq06q3X7pdScAcHmtG/8ACtpo&#10;Sx3E2o7bW8AlskF1A0pjYcb44pH8o8f3iAeM1PocdxYWlx/ZepXVpHPtEg8yTEn8OML1GOuTz25I&#10;Bvaf4P8ADUkRgt7S686MKVmuFC9RklkCjAwDzgHn6Gp/ec976diuany2tr3Of1G18P20rfZr68kj&#10;RgRJNhSwx3BOQMn3PpnipGttViuVl0pfLVlZfMaLJXOMnvx78Dp612GkfD3QbmJftl/Au2QnLAMJ&#10;Bgg53Zzyc57YxVmLw74M0lZhrXizcsZIZfOBVAWAAwG56ck+nrzVuZJy1h4d1S5tf7SvvF1vt8we&#10;arZVzgcEBV5557cHvyKjg8BvfXskX2m4kbZtWFM7WyfYADGff8D066+8afDnQFjj0V5Lr5lWJpLP&#10;ap2lenTJPzc7iQMDgACq9/8AHS4mkmk0rw9arNHGgdFjbnnOQVY7sYznkYOCec0uZgU7X4I+IJJG&#10;tbWwSORMl7i4mJKqNwxweT+QGDntTtI8E+DLgzNc+O9Olks7owX1vCu3DxqrOuCc5AI7YyODWdP4&#10;48Z69BcWuo+IJreRo/lt7UFd6lhnOAOfYk4B6Dk1lWvh/ULuWa4laRpt3kCWWMsXBA/vZPXsP1PI&#10;OaWwHaPefDDT59l5Ha3EC/LJ5G53jk4G4SHaGbjjHGaafiVpltusPDHhCSONmU+dP0cKOvHXByee&#10;v+yeuLpHg7W5J2sm0e+kUKZWlkiKxrGD8z7iOhGV6k8+pok0W5uAul31hcN5as6TwzsqYBQMDzgY&#10;3rgZ5OeuDgkiZE194s1G6glk1B5pmk3ShI2CDHbA6cjjnn+tW++xSkz6ppUbKGYO+5DtXH3gcE84&#10;4GM+uKWPR/CdrdiV9fvA1vDkL9jLKQAOCzcjOcEjHfHTmhaatp0N/Daan4euvOjkkZre4yhIwFz/&#10;ALQH4YOOnQhJz91pGowXDLaeH471nk+Ty4xv5wRx06dyemeBzhkLa3PcSG405ol3hbuSRVGAwGBn&#10;A4xyOhP5Z9CQabYzxx6h4jZbhnPm2tjeIpK7TjO5GIAyxOOMVLqOheC3tPMhsjvaNZVUXG5ScfLl&#10;iw5xnkkDntxQBwumaRH5pluxNHJ5jbpVPOeeNxHzZOBgcnsO9dFFo/gTw/byHU9KjvdrItx9pkKq&#10;rsepxnBByPw9qk1yLwX4eg1C5vy19Ckqm6a3Z2wx5GMMAQMgnGCcdDg1zOr+K9Ge1EFjqE0Zt4ft&#10;F4s8iDzADtLbXG4sN33V+8COPlzUzlGEbydkBsXdvoMtvefabLTWsbq4k8tbJZBLBgbVDKy/dPJD&#10;BzxgkKcgcb4jlg0h5zpWmSQh1C26y3RA24zyMEqSOOmcn8atS6ibpGvdM1NVbZ5qp8pO0knnA+UE&#10;55J4wx7mrVpolvr+ofar5I2muhvs2mRQ10iEgnP8XTqpGGU9sisY2itZXv6fd8iLLucba6rqd5dx&#10;41IKvRUELK2OBycYIHze4Jx3qO8W6vm/frHJKyswaRywxzxhRkYH5HGPUeqWHwM0COaG41JzDcLu&#10;VVMjOqDd83BJwM8dR68Zqlr3gzS/DmmzRwXFxdXSL8rW9rtCtjbgjIyucjtgDPA66NxvYq3c868P&#10;6MupX+/7Mbe4CkrcRyEqcEZO3uMAe+T6A10lrZeGEuZCdN85o1MUm5Tt8xVG4beufnX6+np0cdlp&#10;vhi3i8SWGpWljdMoLW8dwTegPJH8vGOQ+1m6YUN1wK5y7uLB1n0WLyZo2bMjMrZywOSfclcE96zh&#10;U55O23zvciMWwtYPh7qF8slzpyqI4wv+iybeRgOc7SBnnkgkZHGcqHR6d4Pj05IZrFl8gBQ0TF8y&#10;YK/eZt20gE7u20ZPIzlyaV4V/wBB1adYYZNNj2wx2sflx7s7syIOHwwyzMC2MkkZq5d23hEWjRtN&#10;9oVpAdqsVbbwhZQCCCCQeO361Hmt7yCMZdjotBuPD080mmXktxHcNCdq/bmImYMedrtwMbB16g4z&#10;WxpnhjwHYGW5vnvnaFjsezkZAwPGSWOGH+1hee3WuRtvDmgXMbSWbNJNbuu65hmeRtu3eFYZIDbS&#10;AWxkDqCRmtqHwxvScXM91Msceya33kM5wcchvvYz8xGc5OSaKjtG6Bx6s3J/Dfhi/wBNSe01R4bR&#10;SPJulvizyMMjeOmMbSrDJ5IIzjitc+ENHvTIp1WZmgIXd9oycHDAHBJB6jI6heg61keG4PAfiJJk&#10;tPEVyITMxUPeoyyPtJaNBgdCFb+IYAA7kbGkeGLFblnS3ijN4hLsw+YqQc7mBBBAAyc4PyjoMVnT&#10;qOpDmjZ/eEdUrGJd+D9XstRkWHVbvyrffIJdu5pewAHGB656+pJALLLRdQijQaleLJNHNzHNJtRs&#10;bTkbc8/r+tdjoel+FdXnmfWLyWGTPmtGJmjZpgMiNTxhd4yQOewweTQvND0u2uZHtNVBa5jx+8Vj&#10;5YAGCV3YBbc34qMVt7t9SuVPUz72y0bVLU3U6XcbRvlY92zG3HGevYEc4xju1YsEQhupJZ5w0QiR&#10;yI7pmVxx90sMkkc8/TkVbtvAaS3V1f61rOqXE0QYwSR3QWJozyYyicN0C/OC3JGcirt4+iWd+lqw&#10;RYZGaNytqVjTKlxuGcAZx6AAjBBrOMnrzKwo6XuYeoTw6XYbtS0cNEVOMMN44x944z8uTjg9vrjX&#10;Ws+DI7WTS5dNWebqkV4CVKk9SM7tocHORkZ7V0sGt+Gb3SWnvfLaPaPLWRT8pz/EDzlunIGMgcbu&#10;cMWPge23Q6Z4as7SaSPzZZlg+ZzkoCw43E4Pr096txk+1h8r3KT61oN7GI7nTo2CRl2mzhTz12Yz&#10;0468DBwMYpIH0E2qw6rawtCrFtizthup25GMduh/i6DFJqWh2uoW9zb3VlJDDMgXzLG4kSZQ3AIY&#10;EAcZGccBuNxwRlahpHhbStCbSPPuXWFCGvyqTSwr6/PkHtksCT1JwOVLe1g+RreEtG8F+G7aSw1a&#10;B7/98ZYftFvEyqc/d6DHOWycnDZ56Vp2d34S1CC4uL/T4bctMqW8du6uskZ3sZHaQqYypCAKA+Sx&#10;OVwA3H23jzTrO0ay8TQQzTsskkEtjZJaoqMcK5iaRgyqSSSDyF9OK6HTNFtPGeh61rXhrQG1O20m&#10;EXVwLXbJIImIGGRQzpg7W3lQpSKQ7lKhTzyqUadNNu1mkKm47RR0M3hLRYLa4gtE02SGG1ima5Gt&#10;W+5kbeQqxiXecY+ZSoIyOemaltpmgW91Ho+hzhbjyW8xWlbMiN8wZI+owhYdTnG75cEHBuvD+laB&#10;qh0jXIp9K1Ca1Ev2O43QyLEwDI4Q7W2nJ56jtmq2uaT4Q086Jd61qel/arwTSabPNdMZiAxZgZJV&#10;VmlG9htBYqqlNwVQKzlUjTcYzndyenTXtc6bc2yE+JXw0t/E9i3h2e+vreaFFaazRV2yMkkfySpK&#10;uxwu0ycgZ8ohcuURpNU8K+CbPPgW78T6ZNrF95YjuWtI4zfrC5YiEOiOke6TJTYMEj5V61Y8ceJv&#10;Btsfsfgqy1jVr6eCF49V1LUBZRwSLN+/t5ECTefuhGFkSQKpYMVfbtNDw34fsrC+XxpHBHcaldWc&#10;9vNHcTG+txvwc7J1aMyLsjKyLGjLtBGCARMajrVLxi+m+iG48sbXMC5hsrzxU2hWuiLLeW9os0cj&#10;W9xawS9/9YQqHo2Mk9eccihtb8WajoV1Jpfg+4/tKKPzfs4ji2W0Yx+9nfzflHphWycg7O3XXUN/&#10;9klv0u4/sNvJGt5dTws0UXygKGbKhS7AYBK5D4A55y9MsdMt9fvLr+0LeyPkmXVHS38y3aJlZR5q&#10;lS+xg3OWAJA9DU161a7UHtu0193UUaaum39/5nMw6z4ptY2h1KxtXV2x51ix8tywXMh34OBkjHBy&#10;DxjBaN9YtkP2nVjDZPM5BbzNvmAY+bHcnPTtx15qFtV8S+I/GP8AY6+HLRNNkMbrq1javCZsF/8A&#10;WB2ZI8jGApOSGJIDBV3Ljw/JpylbS3tD8ilIrtejZPzDoBnPbaMc1rhqsqnvXlZd+/oKpHlZnS+L&#10;VW6bT4ZGPyqWkONqRkfKc4PoePbk0zwreaL4u8Qf2He+JNK0tDbtPNq2qTSpAdqnbHiON3Ltt2j5&#10;QgP3mXNWNSnu7G7WKTwtJxceTbzSR5EgdsBiQTjAO48+o561Wh1XQvFGsppHgieHWbx12x6XZoBc&#10;tJ5xjEaQ4L3ByRlY92N31FY4jGU6kXThV5Zd7bfJkP3I3adit46stM+F3iDUNL8azXkMltGssdrp&#10;8KXdrfBgqrNHJ5oWQsjDayM3DZO0KWGDo58O6hceToC300cata2M15IYhL852y7ZWDDk4Bk/h68V&#10;0V/cWc9tdPrAksprJfNg09LZmWWTdgxKuB5RznKtgZGDg8Vm2yaRIbf+0tNj8yVNyR3RGImIBwx7&#10;cZ6fxcc541wsK0aaVWSk12Vte69f6Zy1aMbympOz6dvPTW/zNTxD4J1HwbPp39vTWtnZ3MIvvKt9&#10;Ys5CiuWQlooLo7pFCruyY2O5flHSobjWIbqOGOzLeQy7lmmszBIcnOShkk24GOC2c5yBnFQ3OkaL&#10;FFDdWFzarPsAaFZmZ0/eFcHtjPOM4x1xWXa2Wg3bedda7JYwwx77uRIzcGMFc4Cq+GPzckMdpB7j&#10;Fd0ZSS1Z5uFw/sqjnKo5WWyVl5u3Vm6XhfT7O70t7y3vI5pWeRTDNHcIwXBfiJkKlX5/e8SKBgqS&#10;16y159UvbpL2w0+Oe2UyPfahcpC00fl527JpSrE9FUDnjHJwIm0htF8O3M9vo1/4gm1jSd+kyaNp&#10;srtbRecoa4aZo3jtiAfmjaKV2EfyuueYbLxP4fPnaH4ln1Q6XBdKuqRyaX5MkqBQQ6KxYgn5WUOq&#10;5XHIo5oy2ONVKNaT9mm7PS+unWy38tTb0rx/N8ONHsfEdjqGqSWt5M8UNnpZhkCyyQyFGVTuj5+c&#10;kFVKbiwIK5PpP7GvhrxlqGga34y8O/tDeF/B+oJH5s+l2rLc6pO8hmUxQXN0Le3jlOeiTOVE3IU8&#10;HweTUPD8c15FZzTLDp225ghubSaNYbRn+V/NZRCWyWG5SAcEj+6NZPBN3qOm+Xe21zpVs/l3Onm5&#10;3JDfMFDRLFknzXZJi0YAJfnHSvHzXB/WsK405qDunrFNO2uqfRnZhJRppylU3e2zS6L1NaTxX4ss&#10;fETWHiOO41S6h1Web7N4ouJ70vLJHHGrMlw7AOI4Y1DKqrhV28BQLmuaRaeGZWPjbRFurTUtJRsa&#10;DfRsYYWjxuDW+5d4UndHJls5B2kkib4t+OPHy6laz/F7xdoN1q1jYpLNfeJLK7mu7m1aCL7OZIJF&#10;EauEUbWiQO+/ezyEhh5z4T1zQ/7I1LUdM0rUr+8ula60hdNtZGHJ3MhQguF2kICTuXcpIdh83fls&#10;f3S5kou2vL38gxUY1ISi17vn1/yNXXmstXvHk1I6w2mWtqLbS9Y1uwZobiFFQrB5jn53UPtZRnBX&#10;AGMZwZPDvxWuJGn0340Lb28jbre3XRWxEh+6vEoHAwOg+grZ1PSdN0XXbXRPGPgz98wN/FZ3nmTr&#10;IjYHmMI5MvzH0PTkkDPOdqHhj4b31/PfJoXheNZpmdY4/Ek0apk5wF+0/KB6dq9eWNoqK56nK/Xf&#10;z3OenlvZRqR6Lt9y/M97NvGrrdhoIo9x3DzdoJyQT15GfzqG5NvY3OJURoYzu4mPJ/QY/HjP0NU1&#10;lbeALCRVVvMTyzuAXB5x19Pbmhbe+QmX+z418wZkGQe5+bP6dv6Vwn1Rsab4nt7WUZihdWyHVoxJ&#10;nn15Xpn/AOtW5pPiC2kJnxBEvRflB3N1wARtx/kdMjh1GoR3Ejum+MrhY4/mIGT1+UdMZ+vp1qxp&#10;l9dWE3lq3yMSdjLwpHfOTzkZxx+NLmJe53N+Ynke9RYpZNzZeTBYMcZGR6en5ZqLVrl7mNjIjqV+&#10;eSQg/K3HQ479eTnmq9rrVlBpnmqW8xctH5Y3ZIUdgPXPoeelGl+KdDv7mKC5Kboo4ZMtw6LJEkqM&#10;wIOAVkDZySQ30yuZXEVYpLRWktDAzNvBkQLnccdT257Z9aSRY/LUi2zIIwIxL8uV55Cn0x26n9WX&#10;2t6XFqs1ha3sMd5HJ5fkJnlsbgP0OOe3rQWv41iupFzuyVQAqo2hepJOM856c4OO1UndEpxezG2G&#10;15I7mZ1Ai3I0cWAASMcL1HXoBmtTTPDOseJGSDw/o+6aORSrNNsUknGCxPoM5J9evajC9/dK+L5V&#10;H32fIwGKgkfLzn6evbGa0NAkv7NVt7C+uIVWMvO6sEO47QSCSc9sAE56DnFAzrPD3ge08PWYn8R6&#10;nb28kc7SF1jDmJsDKZYcAYz3OW44256fT9Z+G2mIbt9RsbtljYs1xd+YvEZAypwOq8ADjOfQnyC/&#10;ke58yQMXXcB9ombh2zlcfNz05yBj5cjmqWn6Jc3Uq28VorKkuxoY281sEdM4A7g8gCgD2W8+PPgE&#10;c2OjvPJayRiGby1VeuGwT8uOgJ6c596x9S+PniLWLl30cww8fNDgGWQLj5mGAO+fpjPpXM6D8OtU&#10;1O6WG8H7vO+Q/wBwEjDBcD2xyPvZPArqNA+Dmm208kt9qzBYY2EhikXg9yCeR97HTGfrgHuoDkr/&#10;AMS67qNz5L6jJLGflkhe4wAoBwmEwMD6be+Ko2z29vcsdOtZrtpmEG1YmkOM7eD1ySTx0I+oz6in&#10;w48F6DaW8iH7RcXQX7M9wuDLyDuGWw2McjHIGOM4Ge/ivQfDNz5K6egW3/e3EdvhFcDksvPzcEdg&#10;OmM807gc/L8P/E+rot5c6c9vbyRhWa8uOBtYjDA4YdD94AEn0xlr+CLe20xL3V/FEcMfylo9+MKU&#10;OCyjB47/AC/qapeOfiz4i1BFsLLSTHaSIs1qz5kdPmO4Ajk44Y/XAHFZMFpqnjA7Li7uxi3LSTCN&#10;Vj5GWYDP3RyQM5IAHHZAa14PD+iXjLaywyQwnzP3eNoTgYKhm55OeeMe5xpaV8VdLiuZAmkJC0cQ&#10;cSQ2gKuQODkgkKMnDHj8K5Twv4e8GeHPFFjdfEvU9Qj0eGbderotok1w8XdB5jIoYnC5JO3O4bsb&#10;TS1X4saLp13q10tlEmnrqtxcaVaR53Q2oYGNC25yxCYzgtk5xgdFze9y6+vQD0GX4ka/dv8AarzS&#10;VuInyka7UffCSB1TIJI+hOfQknkrr4giW8uFR7hIIU/dzSRnapYgBQOPl644wAWwATzwGsfG3UJJ&#10;DdmNY43k/d7m+58vK8fL177cgc9gKp3fi6W+k8uHzFZo8xmPaq7RjjHB5z2xjrg0wPTtO+LGiWjR&#10;RpqMLfKdwe3VXK844Vdzt+B28Z6AVaX4ru8wfStVS4ji2y2+xkVRGHJLdiWYg5xkkM3qa8R/tuK2&#10;g2nTp1/0dpVjsbPc6DlizZYcA855HrgVraS+sarHDf2Frdw28wJWGZBGzRhOi5JyOQOQuAc8YwXG&#10;cXJx7E8p7E/xf0fxFcxym3kjmkdgFulVW8sgbkTdjbyASehDcgYzTY/FGmfa7b7dunZYxul2o3mK&#10;ZCSRgHco3EAA8YwMVgeFNGtLTTYdXbSvJuJEZo4ZpgvnRrwSrOMD5mU7SRuA6+nf+DbjwxotpdDx&#10;Pp8Nw1xbslvI0gCxgxkj5SuSTuA7cYPOcLWpJRaw8OXdnNawalBZpPIPOtuqy/O37shcgLzkcDpx&#10;jFUdU+FXhOOFY57O1RJHYPnZJjgHOADgYZegIGTnHOdLV/Evw2a/hVNN+0Ktx5UMMCiM7ySSxxxg&#10;HDbeu09utEeseFreecWOm+RJMkR3XTYjZgzY9Pl+Vu+fpUt30Aoz+GfB2jtLNp2ii4kjIlkYQ4gd&#10;dxQk4ypyenOARkdwMSxsNLW5W3i8H2EFwzH/AE6O3VZNzHaUDgZLMAMryMA/3Qa6mDTvD8l3cTM4&#10;aNkJZlz87RIAM5IOOO/Hy9+pL+3ggvZri4uI23RgO6QE+Xtw2VGOWOcEZyoPfAInlT6AZLeVFft9&#10;rEkzTRNty53JgnOMDpk84yRxxWWlxYS2lmyK32f5i0jNnYyk7dxx8oBBHoQOnWtS40ie/wBf2aOM&#10;tG2LONXdD5vByMAc4OQTg5UgZ7QWPge3ku57q8upLdtxDeYztK0zEg7vkHIcdQWBbqSCSF+85+lv&#10;xv8A5B73MZWq6nHqtpBp1zql5eWFlcCaztbi6kCRyN+78wLnbnaxyxGcZzxyGiyF+kulRaX5wZlV&#10;P9I5IxkkbjwM9ccemcnHRD4LXMDNbX8LTI/CzTMwOFUsZECgBsAYI4xnvmqTeGp5La6h8Namsw3b&#10;JUSY27CHbkqQNxbIOcZ/ujIwcEYxjsgOWT4fywR5+0mGOKFo41kRnWEgkkDaCM56EnGOT2qzqPw9&#10;tdKm+y30EbtNNmO/jB8s7exZTjDKed3fAPBat9vC+r293ClpqcwWRt0c0kG4SqoI6knps2hW5xtz&#10;yTVqTw1qdxa7raW6biRVhkJ3JGAcSBTGARlemckDGBzVAc9puh26atJbjTrAPFMwhuYZIIiQQC8b&#10;BX3cY4HCkdutMn8S2kl9bJpmgWbQ3i4dpo2kKZ+QbQueuFbqDtLDBxkazfDTUxZw61qmv2qxTfPI&#10;tupdo2Uru6EHG0pxj+I4AABOPrPhHxXo+q+RaWeqTRRyT+XHb+SixgfcJ3S/edjtwuRzyQMkY1pR&#10;ja7e/T9RbyLl34i8D+H4Jraw8ISRxxy2585fLGMkjeqltzHD/wAKk439QGI2IdB8OtYwSNooRVYS&#10;RrbyK38Rz5YyMHkFsA8gj0rjPE0WpaJcTGbULiL94yy+dtJXAXK8rwoOeQWxkc1zWp/Eee2006dB&#10;qs0ki722+XkJkkbVkbAJxggLkcgEhsgEbw+N31002FqldnoWpJp2lXGoaxY2LNI0LedbJvVpYmwD&#10;gH7wALN9BnpjMPhrxjp91psd7b2aw8CFobmELggnBAOARhflbjGDgjJz4+nxTvLa6zqGo3TWjbof&#10;s6sMRknJbjBLZB4yoPI4AAq/pfxSMlvf3UWqtcedtig/0SQvbEDlljjdfMyzIT1ACY9amTrU/wB4&#10;727WX330IlKUXzPbsexp400/zY7a60+RvK+WG8QPgcfdz/EFbd8oJADE+9VdZ8YeFdZMt9dRRTTX&#10;V0zbbeP7wwWwTnAB/P8AM15TaeI7/UZ42v797iRlCzI8LLnafvbcqRxjqeuc5qlJLqts8L2l6szI&#10;qvbNF8pSTcMI3Q88jjcARzkZrpteOpqdPqVne3ciyQyRk2jSRQxySBi5yrZCn5cnPXHcevPP38Wo&#10;zalGlo+oMsKlo7aExvukcAOd4QuUIUAISUUhsKCTluo+M/FWqakdR14rNJHCxkl+ypGqtuGM7UHq&#10;Tk5IOeOhrR/4TW3uIlNxdzxRq2FVbUKzqDg8hhjnjjB/TM+z9pG04r8w9TK1uHXdQRtnxSksPPjW&#10;OaG1t0PmgZ+Viq7WBzwccnGSeTVe81Sxt7r7Bph3TdZJpGHmBR1yPTJPTPOO3WTXF+0Nb6tolpZw&#10;tJuH2eaPzUbK4O4OhDkAHH+1k+xr6vf/ABD03xJP8QYb9La73lnk0w+RtXaBtjWMDYvy9BgZrP2M&#10;ov3F00u3v6dieXXY4+SxWyuLo6PpkWJJ3mumWNVVBuI80tkcED36DPHJL7WPFtxpSeG7y7v44p5Y&#10;mWzmvZXjeWMOEKoCRvVWdAwGcOV6Eirb2GntaS+fGs0MzSSTSfYVwoZhhSvAznJzyDkk9sJcTQ2m&#10;jWtjerceRayyNaWf2gsIS33sbgQCQMnA/h9hlwo1HG1RJ9fR+RnTjUjr/SN+3b9otdG1O81q+8US&#10;aX4fit7670vxF4huNlsXLrHNDaXMwyxBcBokJCv23gHu/AHjb4QfFiDRdP8AGevWXgVp9U+xS61q&#10;HiC0+xyKYy+W+1z25gG1XJk3MpJVACzIG8r8I6f4bl1WOXUPDFveQ9WgvGkWIkjCktEyNnrwCM8V&#10;vzXOtad4Tt9M0G+mNnb3DXdxYx3U0kDzbUAkktfmj3hI+HVQQpIJIAx5+OwmIlh+WjJQ1vdaJLr6&#10;99VY7sPOEZ/vFddu52vxL0HwjoHiu+tvCvxM8K+INLs9c+y6beaXr1m1xf25kQGaGASmUptZl84R&#10;+UWXIYjBrG8KeHJ/FXjC+8NS6rJbySys3h/5YSs+S22Cd5JoljYrj5lDAlgApJArI8MeEpooobos&#10;sitcJcWokTd5y/KACpH3dr5IPbbx3roJdL1WDUmntdXWKT7R53k22mKUQNj90FwVC8DGeMg8DrWk&#10;aGI+rWdTmlbfa/n136jcoe00Vl27Gv8AEjxl8brFrXw7rfjeOPVPB948elaLGrWk2n3G4MBH9khI&#10;hYF25LoVKv0J2tz9npPjA+GofEfirwBNHo0cPmzXA05/syxjjKOV2AAjr2A7dKg8YQfEfxJ4rh13&#10;V9TtWzaxQNO1pHG6rCoSNGWMbWVFUJyeFwB0AHL6japfLHqo1FGmi8weVa3jAnPzEYBIyQvTB4zj&#10;PSuXD4Orh6dlypt3aSsl3t5+o6lSMu9uh0z+KP7PjaYWUzM2dyxjcu4uduz5v7uM/L19c1nt480O&#10;/aPSHgmW4uZmisxPZySxeYi7nSVwgQMGwAvzElSQCFBPO6L421bxUZV0/QLiG3guFjmN5ZvGXjJ+&#10;dkWTZuJXaVyRngnbVi+1Us8loulp/o2oKumtPpwVvs5HzI8JZuckZdWHKtwQMFV1ib8tOUrPW9l9&#10;39IzlUgo8zSv2/r/ADHXAXVLj+07B44JpPMWV7+1xbXLFk3KC43EHO4HG1udvO41vR3Wr6UWtdV1&#10;iWO+t7MIslnMyzli5+U7WBjGQDzgYIPGK5i00bxWNbvLaNo28NrGi2cskcUs0DucmN3jjjjP3cjC&#10;AnGeNpza+HPw68YWVveaLeJpepWduxdJNPjaG4uFaMFvMAJVQnlOBs3FuWbZgKV8Ls9OZWbfl5bH&#10;PKpT5HKe3Xyv5i6hZMYF8U63cX39oXiia4a5nM5kY5y0kzHaMKCpLHqAM+ubHcalqKLrVmLiGEDy&#10;ZIfsJXzOPvHdznPOVwp56d9SLW/BmsWtrOuuLb/a7VJLXzrhYmlXPysFfDcjsdpz6CtTxF8Prnw9&#10;etpur+JLyxmt2iuWt7wyJFKvX5gMMyEuo+Vhy45PFejFxTWuhnKrS5bXu15nI/bmi3RrFGxOQinC&#10;4AG7kdxzjuBj1rdk8JWvxEk0E6B4Yt0uLvd9uX7C/wBltJYi7CUTSbsEnaqqvc5G1gQJ7fwI2q6Y&#10;uuNr1vdCaR8SWkvy2yluIz87sCAoxvI+8OcEE5uvfCzxX4ogi0nw94n1nTTYws15qFnYvcCFRcBy&#10;d5ykXzKSCAOnc4Iv2kVG9/0PPxlPEVqcamGkk1vfVfOzJdf8IeKfB/jeTxDrght9cjgm1JtSk1yI&#10;TTQxIAXSTfuDNGxCLkSOG2qhPFMvINT8MNo2rXdnb6bb3GnvNZW2sapayRiGQgeY6yYWBBtAVm2r&#10;wMn5ar/Ez4Zar5dvf6d8UNat7t7V5NVTWNTKIHGHGZVkjMqyK2ArqpX1fIQ8smla9pUUcd1fCZlj&#10;HnMsttcWTScFUSXzGMykENmWGErwArDDVHNK/S5z0fbTlyVrKVtEla/z2+49n+FWt3vg7WL34W6p&#10;b6Br2vXulSpJ/b3iIrfWIETtC1lf2c8v2eaMqJNpVGQAE4TIGfp/x61D4YWTaDd+FPEdjrXkzWer&#10;nUvEL3Q+yT3SzTNBJKhkgMjxkmW1kiVmXLb9gA89tvEPiDxPpH9mzeCbHXobOa4Edy1jJF5EzghT&#10;vtXiV9jcgNlcn5lPAGX448O+KF1NvGuq6HdacuoR7xNIkphucc797lhJwVXKnBPbOa8/6hh5YidR&#10;xbcrX95tabNK9l8krlUv4sY1Uk3ftf71v6PY9Vj+LXwM8P67Y+PPg1p3izw9q2o3Yk8QaXBryx2E&#10;6iRAouZBHK93GfLWQq0R5+QhwBnB8XfEY6v4ouktviVpEzXWy78nS5LXSJkupNoiuZ2t4Y4XYAYK&#10;SslwCctEvzGuet/ht8YfDdnqA03SGk0vUYYLq9vtPSK4tXXaNuJMFflJAO1wQwO7BGKm+GPxL8GW&#10;Hg668G+PPBWuagJt0umap4b177HJDcONiyXKkMLiKMOX2qFc7SBycjtwuHp4eUqiTlOVt3qvK+ll&#10;5BiKcasfcnpHtZ39Vvcj+Ik+meE/BzD4geOfCuvQ/Y4TNpeoeKdOkt7eTI24gtNQLzSgNuV5IGJ2&#10;nBXisPTtI+HN5p9vd2fhzw75MsKvF58Nlv2kZG7dDuzjrnnPWuq8D+JbzU1uLJo77UYbOzbztU1L&#10;QUvt64YJIGWYzxRM28qGUcq33sfNgf2jrk375NRUK3KiHTYwg/3Qyg49MgHHUV688vfJF10p9tnZ&#10;eWpw4XHSpznGjF6PVrTX0sj3i2vbHF9Hqd3NAzWchs5o7PegmyAiMDIhCkbuQSR/dIqtpOo3Vnbf&#10;ZtX1aG5mkkJaeO3KdAMDAY5IGcn37DOXra6UGaO3eWRduVEZwgPXsRxn9fTrVK6u1s7ZLDMfl7i5&#10;RsbSc/xZ/Tnj2zXBzdT7LzL66ikB86KZ2Xb+7VuOemPQd8j885NSNa6rqDmLysfuS6Lu+Y4OQCDz&#10;27Y5NZkGpH7O08qS3AZsySYJwh755yPx4/Or764rSGJGZm/5abmLKsYyenbnB45HUYxU86exL2N3&#10;T7mTRBay6dYyRx7QrPcXwZpRtABACDyuQ3ykv/Cc9RWr9uvrpPtVroMVw0jIp2zdtoG0txgAemMY&#10;6dq4Zb7Ur1VtLO3knYMShjZm25I4469Ce5Ndh4UPiSdhFsEa7SXzOo8znJJzyBjt7HrSJjvoZ9va&#10;+M9H8QXGn32n+da28rmG7WSLypNx+ZUBRWXGQxfL7tmCBuBGobi8ltGuA/yxp/q8BgWxnALY4/HA&#10;xx3rotF8I2up69DfeJ9Gt9atrdX3WNwZ1Ub8KpLRuvKsuRuIHHQ1d/sjwH4Q1GbUZtTbz7d/3enr&#10;MWWP/ZAwSuOxZuT37VzUK1aGJlTcZcu/M2rX7JXvp3aN5U6apJxsnfZL8exzFlo3izUmaztNCkkV&#10;lLNK27dt253DJ/ujPfOK1V8Ga3dZSQR2rMytbwLccu24fNgnnlvqDj1rqrrxBBrFrqX2HxIukra2&#10;7Sx2dzp9zcPqTGPIQCNguSABiVgDvx93c1ZGrfEDxL9s/wCEu17VGn1aa2jjutQa+kkd42b/AFAy&#10;ciMOA21BtB5PPNdkasqlTlS07/5GAr+AtOsJpJ9blWZY87pJpNi9hxhuPfpxVvUNV0Pw6kkGiaNb&#10;SJ5iiGVY1zKCFHQZ9T/dxjrjisW88Zi6vVFk4lO4G5t5WA+XaMvvbrnAyOcfNkdzXuPGGuXj4t0j&#10;gjhkUxtNISqdlXBxuwBjH4Vp6gdPL8Rb4XkbHSTDHkIZIbjy1HT5SMe2MHqfTmop/FOpvIb2KNbd&#10;d25JUc5DDHQsSRgng8fyrmbzWImadp9UjkaRQ5aNRGPMVT2OD0fgY7Z6jjFvNT1pZDvmhRG3BT8q&#10;smQBuY+uec46HjrmqA677JbyTSX82owxu25pbjlyzE/O2SfmJyOe+c9euX4w8QafEE1NdRuLu5h2&#10;7rbYFjZcNk/d5PAJ68dMc1mwX9pdXCtdXb3ELW7bVfcyqu3leRxgY5wAPrmnCXTpoGhsofPjZljW&#10;Hjy1Uk8DA46HjOPUCgDU0T4r+E/G2h6lceBJJL6602OG4uVktZRHZu52bzIANyblACkkHdkAE4GH&#10;qniTxZPpMdnr+qNbGGEBbwhYxcBQMFs4UnH3uOR2xwSWK8gntvFejRR29xbWsdlGn2VcRQhOEVQA&#10;FwdxOSBvYsxLOS2Z8RrTUfGdpZyQHesf7xvLzwdqnvgjJI56Et1rno/WEn7VrfS39a/cipHGeONU&#10;8T6nNuj1aMws6t5cUhy3LdcHg9Ow/hNYb6BqV4uxFZY2Ys7MxcLgZIORwO/XPQmu00TwVeXGreRe&#10;ybVZsLJMwzhUJJwxGOM7SOp4961vsPg3w1bW8cviXe1xGJGaFlUH5zsVn52knOCMfWugk4/RPhlr&#10;Zla5gg3syt5TzTYEbe5xgcnntjPTgjetvhr4vVfsl34GuGXfuE1u6H+JTg7edv6LnpzmtQ+MBpWp&#10;rbaS1ram0XZiOQLIeBnLNxwR0J+UBjwQCJp/iXqNvDcNDqreYqq9usK7WViSSAQSTkAZIJzuHvU3&#10;i9ALvi/wx4S0fRYdL0HTtS0zVmhXdPqN1HfRgYyw8tLeHaxwu1ixHy8qc8U57qy0Oyt9G06x+0PH&#10;Hi4aaNofNYFjgOM9W+XaMdBkjFYtx42uLyOS5FpulSNWkd2V5E2gkDaT8zHkjAIxuHeqn9uO2lPE&#10;ZDJ5kO141tWkD8r8pbGGHQ557etZYelGjHlUm/V3f3l1J+0d9F6KyNvUvHl+0C3VxFHFHG2V2sGZ&#10;f4twyCOrEbTn7vGDyMzVNendpNavw03zqv2iRj8u0Dlf75BUHnIzwOKh0Qw6hfNbm2ezjMKus1wz&#10;RAbsAdcAcZAB4OB71e1DwrYXssMUepK0cciyS3EhYMdu4EFg2AnIYjbknknBNXUnKNuWLev3EEMe&#10;o+IdQPl6TF80AeRY1iVvL3BeenBwqjkY7cZrUWPxVYStaXYeT5VlNu0o+dDwflB6jjJ4x6E9Kt54&#10;18GaPbW+gXWp6fb3N0TElq8iiWRMEMUUZLrhO2eR0PbNt/A/7UX7TGga1r37Mfgy+1TRvDEjLrF5&#10;o+qRRSQOqeYE+d0YuFwdiAtjHBzzt9lyeiJlLlje1ztbLxPqFn5lxeWzWsiruh8hSxiIGMfNjOVA&#10;9fxHTt9FvdLtLi3upVjkmkjSF3uJWSOTAIUuFOPQYXacnHoK+N/Afxt8Q/C3VBonxv8AEd1DbSXy&#10;x6lBravDfaaxbaG2yDfJEQRlR8yYcBRwX9w0n41fDF7Pyk+J3h2dZFG6CPX7aVU5DHd5UpPJXkHG&#10;CRkHmpMqdSM436nt1xDfpAt3LbaS0tvtkdZiWWMsWww3/Q/K6kkLkZ6iSW/1byJpLtN1/czeXbJD&#10;eJtRgcKxH3gOu3GODnFee+Efi/4Kktv7SHiS1MjuF8xtQifzVUjgEsAFPmA5bGTwPutXi3/BRT4z&#10;RXngrRvhN4Wur7/iZXMlzq0O7zA8UDZRM5Y8M4bqVyAQSBmtKceeSQ+Y+lm+JXgZb06RZ/FXw/Dc&#10;2pl8xrjXLcG3kPVGJk+VuvAAyc5wOuQfif4KnuWutW+IXh2SZvkVYNetxsAH3id4yck9sAYHPOPy&#10;W+JnxA174WxqmkW7xz3UOWUztDlMZ7YJHQ89dvsccRc/tR/Hd5dp1eFY2jAWNbYfN6NuyDn3Brp+&#10;qx7k+0fY/ZmOTxD4oF5Z+B/EFrJDZWypJeWOowyCJ/LUgqx81CSpV/mViQ3/AAKqSar8UrBI7jV7&#10;zUZI7WQpJb3VzbEyQ8blytupDeY4bIkACrtC5O4/n7+xl8dta8TfHjwz4wl1CTS83ljZawlneuEn&#10;tY44VZJSCcxvsXcjAjP8PAFffnij4yW2sTbLTUFDrNjz7iTzGkbO0Ly2RjBHOQCemTXBiMJH2ifM&#10;/k7IOXm1/UsXnxK8R2Go3X2nwS7WNnGFt70v8spdeUCHk9xl/mbnB4BrB1/9oH+wdStL/T9Pnjjg&#10;DSfYRp6yKMZxHIJtwkTaMYKjjkEHDDj/ABPqB1NY2j8YwWsrSNF5b3CguwICpsODjjAGMEnjPbD8&#10;RaZ4k0NIL3xLoGoRpqFsk8UlxasiXMbEYJU52kqRkHB59DWdSnTnT9lJ7+epSlbZ6mn44+JEfiFm&#10;vZ9Uurr7YwmeG4byxbuygsixkBY8FV+RAq9lABIHFTQ32pvcSjUJJFO0bHO1B8rY4HYYI9ffOSS6&#10;ub6/0C10q1mmt4Le6YrdJCqyCQhQQ8mN7gBVChiVGWI53ExiJV8P3SpYzXV5MYhZ/vgkcY3Sea7/&#10;ACnf8uxVHHfOMDKhP6vRUbPTRW1+Yc0t5Iy7rTXtEV7y0mVWPzTbtyjaCWYkYHQE/LgDOBjpUH7w&#10;Qrd2MSeSWVpJN207eobODtzg9OeozWreTtNBJZuY5o/LDRls8NjqByeDzkei46VDH4egSJrW2ubi&#10;GTzjuhzxwMfLt+bHI6cHd+fT6FEek+NtZsGWX7Q00cm5v3bKC53DBHHK4xjjA5yCea2LHxfLdWMk&#10;k+ovazXUxWHzI0/dLzgbgoHTgkjOSe5zXH6rp93a32+eE+XNGFjjXLbM9sA47j0xjb2FBvpmmjis&#10;p18y8hJjhVdzhcfwrnPAHbOB0qJVOWN2wPQND13UIvDzr4m0iG8m+0BdPu7HUDbRwABg2+FoXMr/&#10;AHeRKg5Pyk1JplvPqmpRWGnwSXF5eTCJYSDudnPykbiSchvQjOBwTXA3dtrXhCR21qzv7GFl2yTS&#10;WzBVcfMV243E4ZSUAYgOD0YZtjxfdR39veWniOO8VrffDJbQXNsqloyNkiXMULB0PzfcwB0JJJry&#10;sRiKtOi1hmnN7Xej+f8AwTKpKXI/Z2v57HZs02hm4slu/wDSLUrFcR/KQvPzcL0IHA5498VNZa67&#10;Wirc6fGsm5OjFl2ABfX72eSTnjtzXLWGtWN9plpplrr955VnGq6fY32rTvDbwlQTFEGkYCNVTAX7&#10;o2gcEgU95LX+CVpPmdGYKSq/KOgHr/8AX9c+jRnVlTTqWT8tV/X3mqu9zeXTtPu9NmgstyzRli00&#10;isz7sHbxkA4yuO3pjFZM2h6kNNF3BbtJJJbs0kcMO4DDtym3aXJUjIOCGPQgcxQT52C2SRp1Zf3i&#10;rygxj7sec59uOue9bNjuv5dkkMs0jNmSbyioWUAnJ3Zzz2PVhznkVpK/RgQ+FX0LUtEtY9F0nWrG&#10;++YXE2paf5FncLkktE7bGcoQEIAkGRkshKg914BuJ/DV9F4hsobpNQtZ/OW6hWRWgK8kqykY4Ud8&#10;9TjmqmlabpdxMXuAv9oMu6zg+zgA+ql0BHA3Hk9TwCeK6XxN4W8Kad4Ntbvwn4u1iTXJC51OzutN&#10;SO3iYorFIp0mZmx2DIGbduwvIrjp1JUYxp1by5n2uvR+RpCPbS3d6lHT10GS8ku9cdtPs57dhu0+&#10;wSd1kxhV2GSMDsThlOF4HosHhfUdQ1tdG0jXY7SxWTba6prm22Uqse7fIRJKEG7zAMs3AyTk4rMa&#10;TU0nW0t4Jt0OFeRnXYcrwAM+23PPpzUdvf3895JNLb+c3kKWjQbVkViRt3AgHGMnkEZA6Yzv7F81&#10;4Sa0sl0XnYrmvvrqUS503Uro6Vf6bfTafPNBbapJBHe20Th/lniLqYpRj5lLq8bfxow3JUehw+HN&#10;Kur671mS61DVNSkWZtQt9HsYmR0LYVoIUgiVQJWAMSqVBb5W3EjUstB0XVTeNrPii0sIYpMtJJay&#10;3G9iD9wQRtlkyC2dp443N8tY+t6do+ha/q99aeJbyePTrwtobXWjTMdTUDakkcfziMZZziU4VVBb&#10;azqK8nGLD0ZNqL9o7XaUvlrql9xvTU6kdXor9v8AgGfqPjWPVvEEnhrwj4T1a6tYbeNbq8vlgt1S&#10;X51kVAruNinBDEhiW4A2gnL0O21yTSNS8L6t4PnVVk32ety69czTBc52giUAhlyGWRGIH3dhxVqb&#10;UdNtNam1jSdJsbX7dbywahb2+jxpHeB1XLtCVEatznIVc5O4HcK1NP1DStsVkiM2CHCxsvyyA9Bk&#10;7VAPHsFGa6sNSqya9vuul7/l0MpS6R2K7Q2/2SHTrS3mWTatuzNK2za/yYbBwoGWXJKjL+prP13T&#10;zreq/ZtYvvMkNtHbeWsMIjCFVIQbVCuf7zHc2TyxJOan/CX6uPE7+GNW8E31qtxcMtrPd7JUlT+L&#10;5oGdYnwUwsjLkehAFJqvxN8GeF2k0m81u1+1XEnzrEzMTnB5VM4AwOT0yOeVztGrhakm7r3dNdNT&#10;mqUXza7NbW3HjRr3xBp8OkXnhu1b7PbraWstjYwyNLOpPDLFEkilyWycgKeUHaruseLp/hk99oel&#10;a/a6sbzT4olkurK5FwnlBswRpDIksqqApMYaWMBEZlBXNF1Y2NzarLDFMNy7o7iF/LkXq4x5Z359&#10;dvv1OTVY2/h2G5+33Wi2t5dRWksNrNqWmiVrSZ2A3qzAgt1JDb+mWAIrGphJS1Ur9tDzZ4GpBydl&#10;KNtIrTrfW/8AmUNY8CQeEbC2u7D9zcahHE98i2U1vdxY/eKlzFPEpdQwPBVkYnBGOvZf2R4rH9me&#10;J/EfwnvpNC1KNnsf+EbuWkW+SJiHCrI8rn5vlcKyqgAG1SSa5XXTa3SQ308ekRTQ2MULXWn2v2d7&#10;psYeV9hEZkPALKisAgByAKrXnhfW9D8caLdXltptvfapqkP9m22pXlqd02wSo8kRcyJsGGHAff5Y&#10;ALsqt0RpckVzNJ/mZYhyjhOZ2jNrbb5XX5l2aPwN4k1PUPCHh3wHD4Wu5XkubzXta8RXcciRrE5F&#10;vHEtwkfniV4wiPlWAJkJrNuLLwl4mux4b8DXfiDxRdS/6bbta2P2ee2ttqRSNMqG4QBJF/dExAFi&#10;xcPGUDXPHGp+PNE8SWtv8VjZxXU1rcC71rWhLqzNCWDI8UEDsItpTaFQZxIS6sduOP1yDwp4j8R6&#10;lf6QP7WsZJgLWa60lbJJlESoAIFii8oAgZzGCTkszsSzY/V5Sqb6djjy9Va0FG7Ttfe631s+vzPQ&#10;P2efEXxA+FMeqeFdc1iK4uLjTLnTwurx+Xb2YkuIfMnjaKeGW1m+Vh+7JBPO0uFZeqn1/wAA63rE&#10;fhD40aBf+JRDdFdHtV8bQx6aFJkUNvg+zgAqdxaZg655YBm3ecxeGvDviXSrCfwf8VrTSL2VZZta&#10;s/G921tEhDKxZLplaJsuzbQcswDbgmKL7wtr3h6XVF8Q+KPC2n/2Sscyi48TwxvqUToWSa1Yny7h&#10;SM5CtvT+JV3IGr2NNTlKPX+v6RfscJWqc1RuL7ap373O20lfFQ8fy+FfFHwk0G1uFsTdbfE3j/UE&#10;sn0m7JjUtKmoKswmQuizZ8plYlU+4RN/wtC7+Cnji81iDUPD83h+80J7LT9H8E3Wk67YxzcK8zX8&#10;KpIrMFA8lt6/xHzCa8jbWfBurW8UdzFa3USyCSET26yKrno3cA9efx5ya0PC/jT4U6d4skGtxaLq&#10;skULwS2rRQXDRSuoMYKurhfmMeVwrY6Z4BFRqynzv3kt1bsdP9n06UXyWXppd9er18zovBPjXS/F&#10;UeoT3h8SafY2jPcWq6d4stI51m+byNs98pkCRbmwq7pMM6iVBjFe1/aD+O8drHG03hqQrGo8z+wb&#10;F93HXc8Ls31ZmJ7knk+3+Hv2IvifeXMOv/Enwb4f0eOZd6vb5e4KHyv9escceZAA6jLkIG6cnH2L&#10;ovw6/wCCe1jo9pZTfALSZHhtY0aSbTo5HYhQCWZmyx9SeSeTXVUzCnTlZy5vna3yIpZRLERvGLh3&#10;v/n1PgO007W7ueQafp89xux5mc4HTrjj044xn14rR0PwubuaWHVLTUI1a3JglsLBJgZN4Gx98se1&#10;du45G45QDAzuGnp9zrNu8l9JftFmT939sukUJ1woUDgYLY5yMYycGr1r4wsku5hqWsLMPLYKqrxI&#10;xPUYHONxwTnGfeuWMXI+hkuaNr2MvTPBV1bTRjVLSSEPGAsMfLhui7sHA6dmI54PpYi0wWMvm2Og&#10;y7toVRMq7m453ZOOvA7/AF5xR1v4laxZltI8MeFZZv3jLa3txcoqs2Dhi3bB4JwTnPUc1G/iHX9c&#10;sIYPEF4puI1/eR2amOMzE5GN3zY9Mk+lXHllKyJXa+3c3E1LWU1OYy6Npe1oDHtut6bGIOHHlOhJ&#10;BZepx8uMHdxmeH9W1TS7Pdf62s18rb2kiRkhLgkYx85xn1Y/pVQ309xbG7YZ2qf3391gTgEHOSSO&#10;cAcEdM02ws4haytazOsYIHEwI+9kttIAHP8APPXJq+RLUfJ71zum+IF9PaRweHp9QupPJZ5H1Czj&#10;t1tpAy4VUSWXzgfn+YtGRx8vWqGqeJPFMtyzExRuybZNsI+uCTnnj149DWFaNYxT+fK24J+8WQyd&#10;WPXIJ79ffFdK92bwLqaxQ+RMsZbzEXyupGcDrx68H35oURFDVNa8bFoTqdwsIkXzdybixUjGV+YA&#10;nGOvf25psUHiyeCB7izZVYurruO7cBzjI4OevB9OnNXlvJZLaS2m3NGm+JWkRuCMkHr7Z6YIPSpt&#10;Jd7jy0tmkmaFlLmR/wDZ6HOeOOcHoKpRAzWbV4IbhnLw/LzGuCxc9RxjPbrjAx74sXMbLuEjlWky&#10;Fwvl8lcgEkenA4647CrWZ7a+YovkOfmjt3cLuZs/NnA3kH64AGOpqaGTT7R4cQLMdwEjBzzjGWbG&#10;c++MdDggYxQGfbNdw2/lX4DMYfMfy280KcYPOBycZ6dj7Ve0vw5eX8Nvqdrp1yNn7t2Z8qAw5zgD&#10;JHGM9BjjnAtadcRwzS3XkrsXaI1mkICbhg4/vL16DOVHqc62psbO1WC61aO1t5IQ6gJ8ryErggyA&#10;EjheAfX8K5gK8XhaSQM8N7JHskASLePkZsbgOBuHJ75POQM4q1aaV9mheWGKZZE2y7GiKsAxbafl&#10;A75Gexx1BrY8K/bfEeozeE/COm3V1qLEB1jh3hVDAGUk/KiYbJ3E5xjBPXL1fxosOtf2PfXKILCR&#10;YJIY5llR1zjzEKko45ILr6e3y5yqdALkOm6jdmVZ7fzpNvn3rpAFKrjdvPYKEPXJAGTgH5a4q6vl&#10;8KxyTpcW9xDtZbpre6yizbfm5P8ACNpO7PY/jv6nqukSwXWn393M0F7bpBe28cmI5SjyFN6vkAhp&#10;Xw45xnB6Yu6ZL8N7jw/Jpd54X03UNHazNvJY3G5rcx+WFBwjr84AEiuDlMll29RySxGITlaC0tbX&#10;f17FxVPS79Tyy7XUrSVtY0mC4a2kRWZ5Id2FxtAyDggc4wc/LzgGubuF1jUk+zR6ZIPMk3FUwDJ3&#10;yPw29ABx0xyfSn0GTwtpHlaKjR6THvFtHPfv+4Xg7HBYswVcdW7EnnmsWfwpHHftrCSStaqymGOO&#10;4I8jduZRxyFyx+Y9evJzWntJSjtYg5zSdB+0+XCtjcNuJIUseIyDkscHjZj1yT24qe48AeJfENyL&#10;C08Tw2fkyiS+X7GXmIz03CTb0KjhVA78multfGMGl2kkLaakbMwXd8/PU7W2nlgdq4zznBJxikk1&#10;f5pJY2klmuLXzIVs2jUhlB/55phVJXDY/uEAjk1N9AOTvfAy262+n2eqXX2qfy3mmuJElB+XcVwD&#10;ywXB9cEZAOa3IvDMH9i29rb3TrDuHnMqhVBUkZBYEgc5wR1AX3NXRNd8YxXpm8QXXh29s7yxjeGP&#10;S5/9Itp1J+VllQEZOPmUFflHJyM7Gp6/Y6fLBJAWc3T7I90vy+Z99RjnOW2rgkkAgdaVGv7WPMvx&#10;0KlFxdmcb8VtY8K/Dbw43jTxJq8k9rGyLbrK/wDrpBlWjXGccYbccY2ng9R534Z0f4peJltfHfiK&#10;ObT/AA/sea8uPEWp3MMMtkWYJ5VtZlJiSiL8z3CEl/lBAybn7X+mX+pSeF9Rsrb/AETTbuSXVPN3&#10;oskZuLBEMnJGQWOM9drEZGap/tU/FltC0bR/h1pVpPNJ4lvI4jJbyJtgWJE+XH90EszLkgkcAYCj&#10;vpt2Wm5nLuY3wm8AeM/EHw0+IH7XHhb4YaTN4B0PVLPQ7e51yS7+1aleTTRpNb2cMlxcZNu8pHmt&#10;KQ6IOjsVHnXiH9o/4sfAXW28TfBvxbdeEVEcyXzaJEbNdqgAfaI1lb7Uy732rIzKgkbjLFa9a+GP&#10;7T/j/wACfBHVvgL4p8Jad4s8HapaTfZbHVLNlWwlLhzdW/lbczq4DLIAWVhnOQMeD+MvhD4m8R+G&#10;7T4k3PhfWfF2j2GoXR1LRoLG5t7W1tR5TRxLcGSWTYf3iOzYPPBDHdRH20ozdSOnTqmgUoaOO57F&#10;8efE0v7UvhbS/iT8QZL3WNP1jw7bPZS6gwa5t4Wh3LE3UYG/cFJIBPevLvhfpf7PVj4Xg1Txr41i&#10;vvMs9htbrVBEu4My7+P3gJABw7HjAxnJO547+PeveMNCh8IxeGtK0nT71f3ukWsfmG2izsEedgwN&#10;uV7kdDjoPMLT9nL4deI5LnXraO/ssSbZF0+RFj3EZyFdGweegwoHQVGRUZSoynXel9FvoZVlRqVL&#10;pXPVLH4ifscaJbJpcL6BJ9kkAjdWaRh9WOdwA+g/WvMfjr8XvD/i34xafdfCu4hFuNNWOZrJTFGC&#10;C+4DCr1BGTx+OKhX9mHwCdzv4l15VONrLdW3rz/yx6ZrS8Ifs++CPDszXg1jV7pvL+VruaJgq90+&#10;WMdf69q9/kwsdvyIt2Ob8beCPFXxD8DJq3ga2kmuY9sbCS086CJw2NpYLwNmWx2z3xXnekfAb4pC&#10;3W58YaVbJaTAm3uI7ElWyQRtbaMj7x44wRyeg/Tj9lfwH4r+Cvw88d+Hrbxl4Z07bpb6rJcalarc&#10;xRQ/2dbSDzJFliMalr6whjVI5ZDcXYBG1GI8Z1T4wa1Hq+kx2Vho81n4euGbTY47GWKGfMm8b4zI&#10;eAeBjB2gAk4zXPhcNFSn7eVlf3Xa7t+hjjqleEIvDQUm97u1vTQ+f/hXq3w7+DXxut5/GOntBpLW&#10;EsV1AbYSAeZFuCSIsa7iNwAwByuRjPy+v3nxU/Yq8YXUcLyLa4t1jj2rLaxkAHrlRyOOvX+fJfGP&#10;w9B8ZfFS+KvG13N9qaSaSUWKRxrI8j7mJ3I54OcDPGeB3rjY/wBnn4dyzRzyXWrll5U/aosNx3/d&#10;f5xWrp0I6J3tsyqUqk6adWNn2vf8T0DT/hj8O/HOpt4P+Fni6LUtQuSZI4ZL+FllCISQBheij7xJ&#10;4ToK+gvDT3GleGLWCHS/s7NDGPLbClw0eGj2rlQuMDnHUZ6ba+MtO8G6D4V8VSTaJ5/mW9062tzd&#10;T7iqdNvybVORkZxnHevrfw14imGk6faJBH8tjEjtLGCURo+COnCg9W3dFx2I8vG0+SpGXT8UXTiv&#10;aXibV4s+q3dvDdeHY4VuroLJcNcEm0jJAY/IpJCsynhSxHA61X1PRrrTtUaHRNS/taMYSG8hgePL&#10;eyuoOckcsB27YJ1dLS3vIJLu2WYsy7pY3X+Lq23BwTjOOOpyOgxLezW9u32nS9VbdJMpLDIIXJ3D&#10;dyc5DAnOOB0IzXD73Ne5ucyftttcHYs7bpWXewI3nAB5GM49P/rVXhhuf+Eggub24k+w7S7xwxq0&#10;hYHj5C6qwO5hzImMdeeO4fVLG4eOx07T18lbcPLJNEZOUGcYcYLE47DJH1FZt5pllrcNvdzPNbSK&#10;Ny7IkaJ8nowCgk9Dxg4J/Gpx9pTs216OxMlzKxyc9xAFacw3vnpMvmSSQJGqjYWYAJK5PJAGO3XB&#10;4FfW9B03XpoXksrcq6/u4pYwDtBHO0qQRj6dMjFbuo6Tf2bMf7PdoAzJJMpK/vOoPy4PP60l34lj&#10;XwpJo+paDoepf64R6lNYslzDvRgMG0aFG8sfOvmK6Ar8ysMg5ShWpwUYrn9WkTyyirL8Th7nwZc6&#10;PB9ssfDscdt53lGa1hMYd+oySMZI5xj+Ec8EU601O802VLK6urqNVud+IysiglPLyVclcBMfLjbg&#10;+oroNK8P6Lp+y6sLBVkljO2W3hUZBwck5GRye/THtSXGgaTrBkaQwq0lwGtZo1+bdjBUt1JJ4z+X&#10;arlh41IWml6dCuXmjaSRyfiDU11fWpZo9Ljs/MbbBbW0KqqAZxySWLcnJJJ/IVf8NXGpWzhLu/kk&#10;RjmOOTBw5/8AsR/9cV1A+GUYXzreGNoZJJNrLMrPGu18PjseMdM9M5NQaf4d1jw3rOl6vZyjT7jT&#10;Q0EdxZ24U3IfqbhZfMimwQpA2BcgkhiFK5yjUoxjGlHReeiC1klFG1oLRxFb7VNLe3UssbWfyg8c&#10;8jHAJPTPQ8+ldfZfYoLyK1tlikKxkRFWHUJwWbHQEDkcfN0JxjhrW61XS7qO0azg+zyNGZLy+sIb&#10;prfD7vM+zTRmCUAkkRlQhxtZTnNMs9W1LRdJiluZVuJlVotqyYZAgBJ5GFIYpgcZB4zg1NHFVJVH&#10;GpBx7dmCnraStroei2SQzrDFBBmHztrMzbW5UD5cqcHGBxzliTwRlbsanaGaK0uZBdH92lxcYkTf&#10;t+WRs4ztOMrxkKemRjjdA+ILqipeaf8AaFjjVZVydwYgtnJ7H5T1PK545zseHvFdldR3F5b3yxyT&#10;lmEM2dxbqQDnBz90ZHseDiu3lubXR1194y0TxStvDaeDbWzhtbWMl0mmmeeXageRw7EIC2WCoMLk&#10;jcc8Ont9Fv7aCbSpVjkX95JE7ZjjPPoowON3U8jpzk6nifxP4G1D4Ip4LtvhzDovjC3uoZm8WaHq&#10;07LdxHIliubaeRkj3KwYSRFfnVThVyGzLP4jaTpXwwtfAmnfDjQbOaCRZm8SSWk95qFx87t80t1L&#10;LGy56KECgYUZHFcFOrXjHkhRbs7atbd7u9zX2cHvJL7zN1rTZdPMs9pJHC8keJPOHytJzltwPHys&#10;CPp1Pat56RXMlo0tvcJu2LFNMi7QBzyeSOB09RjFUtdfRNYvLe11Sz+2SRur2MsMxDH+6CoPzLnO&#10;d245zk5HEutfD3xH4a8L6fr0/wAMdatNPsriaybUrzw7LbwOzs26N5WjRHbKEKOoKfLjBFdFTEey&#10;l7609f03fyIjHmjdf18zkV8bf8Jbez6DL8Otc0+RW2Le3jrDECqONwfaxC52kFQGO7AwcsI9curC&#10;XV7qwbUZM2scKm3F491dSGQhBj5VbDM24LhmGWGTjjqPFmpaB4d0GPxHBq8V5IWEc0FsryvEM/eb&#10;5T1HQsw6ccAmsWJ7PxBpTT6jBcWsOrW6+dDqGnp5jpxhirp8pA24I+bp3FefH/aJe3w7cpK6966V&#10;r66WWq6aGn8O8JGVDcPe2MNzpGpXUEc8JdNqtGzEHacN1GMdMZwy9MgVkyeCtG0rzLjSdNhtWumj&#10;84W8YUTKNxA28KB+8YYyMnJPNdH491V9TurfV9F06xsRp+npZ3CbfKglSNRidlVQGk4C5LA7RlmJ&#10;BDZNlrovrSSea3WGSSPKNbn91jgHacYI/wBnkgj6iuqlGnUTVSFn103OaHPyrnI9N1S40zTYdIRN&#10;tvDEI4wzEtGMEEZbdxzjkkncc4qPV9ch8tVu41jkZWMYaN1cZBGDggHBIPTH1zxHq1xPBataM0cs&#10;kjBlkUcljwMHpjksB2PNUdJ1bRbLUrh/E/hCPWN0JTbJfTW72zEjlSjbe+3Dq2DjGDndvzNIic5R&#10;jdK5Y1b4g6jJafZfBfw1s4NZuIRb3F62r7oZXkOAVs5LSXHTkRyKWOSP7owNG1fxTHosmkeMfGC3&#10;l+pMd1feQHuHXduEZd1D7QeNvygdBxgVY10ad4e0/T/EF9Z3eiwSYkF5qOoAC4bPyGN/KiAwv8XP&#10;YjFQaj4k1PxkJrjUfF+oapayTl51l1OaeCRgRmQo7lc5CnPfis1CPtOZq7+f4HHQpU+Xmgviet3d&#10;/Lf7jqbGy8eadpkt1oOiTGO+uI4rq4trGOd5CT8uSqswyOh9TWJ4u8X61qtrDosMEl8+iqZ7htNs&#10;IFuI1ySGmZcM2McZHAwMdQGz+GILXRbjWNG8ZaTdWreStxay6gLa688hmyIJWUsFH8S7lB468VZT&#10;wdN4W0Kx8d+Nvhouq+H7zb9la41j7M1w7LkDcpd9p+9wpGe+CQbk+a2iv0MYywjjdct76K1m3vaz&#10;tqXvBPxK8JQeFl0rxh8NlvGT97Y6paakbG7hZlIDl9knnIN+V3L/AAg5xwIv+FkfGLxDDZ2MPjXX&#10;L6OzZpVhsJJJE3cgkou7I+bGWzxgfXtvh1q2kyeDLnXfGGjtcaOtwlvo2h+JNN+3IYzlQmm3kFir&#10;JIu6RAjl+SDuTBNeV+MPEWmWGu3sK+BrjQdTXUDc25TUJbWS2iKkrHLBlo8g4YGPy+F70qdT2knd&#10;ar7jONanUxDpyp+9vq9Puv8AfYueG5fC0Hij7B468Oah/Z9tdEaraac6wXUUYG9ynmIVDKG3bWXG&#10;OMrncvxrod/qdpLHfQ6n9nupJi7StMAGk9S5wMZ6scY68c19+fBP42fGTxE+rfDjQdXtbrVta0m5&#10;XS9W1O4kGpW1x5e1GguiSRs3GQIw25U8gdfim+1zxF8G/H/iTwYLaxvrSHV5rDXtH1CFZrO+S2uw&#10;xjYoVZRvhAEsTpIATtddxr0cJze0k7WVkdsKnNLlkkmlex9qfsnf8Frfif8ACy8h+FP7WvhiLxXo&#10;8Mywrr9hdp9ttouArZAKXK8MQSwJyPmA5r7W0/8Abo/4J8azYQavbfG6xjjuoVmjjmtJldVYbgGG&#10;3ggHketfif8AFO8XUrnTtYV7KNZtPhENnp9886W0awxlYv3ksrKVB27CwxgcA5rkTe22f+PhW9yi&#10;81nXy/DYiXNJHSq1SOiZ+mx8+5i2z3Cpxuj87DZUYOcZ9R16e/IqaKEoudrH5QcbQuD834+vr255&#10;qTRre0awj1NrSPzpI8s2OvzYq9ORsyVG64YRs3TC4J4xj0rlOozY5LmV2ERm2yqPtE0kwbPAwO/H&#10;bJ6HnpzVo28E0283P2h8bo13EE5xkEtjtz+NSyW6o0gDNtELuqk8Ltzx9DjmmaDDFqyQy3kan5ZJ&#10;1ULwGC9PXH4596pAWHFnbxSO9qWVmzsYbuNq8YHrlvTp9MpbRyySLBJDGyxlSsO4ZC/TJ2nb/k95&#10;ri0jtbXehzuulh2sBwuwdOPf9B6VagAtrySKAbVZHdlHf73y/Q47VQm7FKO3uri5ZJ12vjZ83ygE&#10;N94E4z15K/Sug8IW62e60bUZBP8A6ry+FVFHH3lyWyM8j2HpWXq0406O4migjZg4+ZwepJycAgA5&#10;9AKl8Kwx6rqFqbpfmuBlmU8rtzwvpnPPfgYIoIOpuzpFq5jspJDvbLNtZcqWUgYJycqSM8DAx04p&#10;sekaprgUWbfY3hk2TXEjLmQY3FeT0IGOOM4wfXS0tIltY3WL5ktWZTuPH7x+OvOOnOeK1HVobC11&#10;BZWMtxpayszc7W8xV4/4Ccc5IoAyT4a07elhrMLXsck/+jquFic7VG3JIXBJxz1OTz3u26TW2rSR&#10;iOO1j3HzPJfKuc4QdeV24yORz3BzTPBkA1+Rn1KR2WHaixq21cHknjuc1TkcWEcskCL8u/arfd+X&#10;bjigpdjWkTTrB1njl3W80RQQR2+E344kO/G7gkYOOoyCSKiiTQ7RXI0i1MkEmDNHarGA+xdzbwCp&#10;O3Zxk8DBPIpZJ5TbyJE3l7biRU8sfdCoeMHjBOCcjnA9Kj0u2ZdMt7l7uWSS5t2lZ5CDtLK4IHGM&#10;fLxnOMnFBRTjfQb+4trmPQo55o281Zhbo6LIg+XuSDk7gRjPXuakuIbS+nOnaVp7R3F1HJFtCqDj&#10;g/dGCPr+Z4rQ0ixt1gkkMamSS62vKVG4rnoTjnoOtO063W40Rg7YaRViZ1RQ20LuAzj1/A1i0RuQ&#10;+G9GVjHa6hcq6IGktm8hVZOBkfMdqhiDy3JJPy8ZF5NLtooptMg0u3uI7ixa4t22jywuw4xkADIH&#10;rnGDtJ+Ws3Tmmn8Qal4Z89lt9N01prcqqlstFI5ByCCCR6Z9+BiPWdcutEifQ7KGPy51RfMk3MyA&#10;uowATt6Mw5B4J6nms5KzEauu6VNf6ckWq6ZiRpW3W7KsimLlc4jYrg5Ud9obHPNch4o8Mr4btJrm&#10;C4mkh8n/AEeBmImRvLTPl7PlC4H3QQyg5xkkDsPhpqc17raaZNEnlTaZ9obaWXDbOQMHAB2Ln1x7&#10;DF7VhANOsG+yR77yP7TJLtO4MCuFBzyvyj72Tx1qQPn3VVlnmbUbOUCPds8m0njeVHYFdy4PzAgE&#10;Hjgg5GDU2h6m97LIkErLb3rwpCu5NwkUP35DbQxGAxC7h3YGu+8deF/Dr+GrPxJDo0MNxfauLG58&#10;sHa0ewNu5JIclcEg9GbjmvMfFt0vg/UtS0SwtIpreZWLCfcGAGRtDIVIGPfvnqARhia/1ei6lr2L&#10;px9pLlLDWSRarDd3oeJrd2ZrdgCwwoU5IJXA287v7p6gA03UtZ0/VbdtNtYZFkhmCfMjM6AEDKY6&#10;jkfMDwM9O3M26Q+P/F02r6nALWG5vHij0zTXaG2t1TcAUUHcSdoJLsxJqumuT2X9n29hZ21uu5/9&#10;TDtPHmdx9B71rGftIp2sKWkmg+LNrNrngXVZLtUe8tdLuUtZrq3SRRK6NCH8uZWTzAszBTjcuMqc&#10;lSfGfGOrTeK9TWKw1S+FvpNgtvpK6pskmkBWMSLM8WxRnYT8qY6DHU16Z8SvE2pw+EGltmWPciqo&#10;Xd8hKs24ZJ+bI615GGeSFrlnbeclj612Uakox9DGfvWudp8PPi/afD+ya1+0apY31xGiXzafb6ZI&#10;joowoH2i0dupY8seTx2rovFXx2svEPhu60eZdejmmhVHkEmlKsi5A5VbM46dAere1eQpKTB9pZFZ&#10;lmZeV4xU9yMF/bJ5+grtjjMT7PkU3y9r6E8seW1ie98Z+Pjp+oadpl9tjvLe4hktPs8MsIjkQptA&#10;dTgKPu45Tau3BANc3our6/oFguj3mgS3UkuJJJ45NgDYwQSc5AHOe+enGauS3Mtrd/Z4cKrRqT8v&#10;XPWo4p5pb7DyHH93t2FZUXGh8CSFGnGOwDXtQiOX8KXEm487JycL7fJ0zSv4nngXJ0G5j+bBYb2x&#10;74C1Zlvp4UmlXH7v7obp0FORmaC3n3nc4Utz1zW31qoPliemWv7Y8y/APUvhVceBrq/mvtSkuZYb&#10;qzguLff/AGRFp8E482FnhuIVjZkkjdGBlIYlQQ3lNp4osLgn7RpesQssgC7tP3Z+Xrw3tj/IqZyx&#10;LRhsLuxtH0PP6VViup5FlDSf8tsfqR/Sq+tVJbhyRJp9a0qZgkNpqTMqbiz6eFI9cfN/9ahm0RoU&#10;ESXpk6SCa3VQnPQHzOR05OOp9Kymvrppmk80/KFG3scjPNXTcSPcqrAfMqt9OnSq9tJsOWJl6n4R&#10;u7zUxqcV7a/Z5tUuBNCs372ONI42SVs/JiRn2jDsw8l9wUbC30Z4OlQ2ljFJY3MK2OnxRTRvGMtt&#10;QZTqcZAIyAQOuRya8Ju/31uhk/2gffIxXsGh+JdX8L+Of7d0eSFZbG/tmhjuLWOaIh25VkkVlYfM&#10;cZGR65rmx1WXsXO17ISSjK3c7JtcubqJZILXy1IEaxKcdeignGR16kEjnGM06d7a3hW2e7nhm3bm&#10;2qxjBLfeU8DkAYxz3wK0PGPjgtpHhv4szeEtEd/ENrcW17oIsPL0+PbNGgliVGWRJP3hOfMxkKMb&#10;RtrW8eeA9A8G+K73SdMWWS3t7xYreO4k3eUrbiQMAZ5A656fXPgYPNKOKqRhytN/cOc1Cv7M5Z72&#10;ys9Km0uWO4hKyKVt2VfmGFydgbJY/dwQSRkAc1t6Bp2pXHiq48PaPA15fQ2Xm3Eejsbn7Mu0soZo&#10;t21gobcpO9ApyAAa5LStSutQstP1Od/mu7ZpZEViFXa4AQc529OpJ4HNLLMbC0t9W01fs01xtgma&#10;3YrvjdRuU88g56Hg8ZzivSqRrXTptI0i49TcsZnvka5s765XdC322e9uN4baChx14yB2A9+uaOt2&#10;Vjc6g39lWV1DCLVmk8mLcxl2MBvCkjG9wPUdvUWotRkfwvDqzQx+dFeLaRtz8sewN69csfwNbXw3&#10;8u88RSWdxbxtH50zOu3/AFgCPIEb1UMi8egxW3NyoNDl/Dfw+1e02xXVi14sbKWZpP3UQOc9jxtD&#10;Y4zlD2xXZCx03Rb+3khSB7lmU/akXcImZcYXHC5yeOgPXGK0rHW7pDeWkUUccK3IRoY1IV87SCRn&#10;krk4PYE9ai8Q2VvBpF9q0SYkt0YxrtBUbA2OvrsGfXJ9sSpcyHylq70467aT2VsIZIVt3SaeKTbt&#10;cZ5A65DZ54yffFcxpGjaroVl/YsWoNNqFnCZEku5mmM2Dhd7M2Rg8c885wetXH8V6nYSDyEh2ukD&#10;MhU4O6IO3Qjqc/n9KuW2oy3WpNp0sMe1bGSbdt+ZjnGCe446etL2MZSTIlThKSb3Wxw3hbxl8Qov&#10;Ei+GfiF8Mbu3hSQCK8tbXzrO3jKqzSOxJG0LnIBLAcbe1T6Br/hjxt4sh0rxHb61pWh3EMjPrUOh&#10;CdGVFzHiFpIm3OQO/wApZTzmuyN4st/BDJZwss0uJVIO1sMMcZx39P61zPjvxpfaV4/0fwRDp1m1&#10;nqRm+0O6uJPlfjBVh6dSCaw+r1o/8vHb0X5l35pEnijw/wCGDb3GhaN4cs9RtbW4cw67Fc3Ec053&#10;YiLKzAeUAM7DGGDlsseBXI3S3ayRSSWO3aykLLCwUsMnn5ed3bgZOPTjuL+wt49JV1DZkuOufu7m&#10;A4/XGc4ye3FcvZzM/iG3tZPmjvHYzKWPZQQBzwMk/wCcV3YelGnG336sZePxW1//AIQ+z8KeHPAH&#10;heG6hmCzeIJPtH2po2nhcp5W9oWcBZFDKo+Rm4yAw2r3xXaaZpouNZ0uG6X94NsVvuyyhiGC4Yse&#10;WGB14A6YDW+FegD9mnxT8ZJdQ1CTUNH8QfYLOzkuB9mMf2R5dzALvLZIGd4ACjAzknivC3iO8k8L&#10;6evkRhZFl+Xc52gN0BLEng45JOO9ebg8Th6mLrUKaleLV7u61101ZpVTSi31X62Onf4i/DhRZWWo&#10;WviAT6tp8N5a/wBl+F57ySNJbfcGeCe4tj5iMY/kBIcHerMjKW0fBuiaD8VtPm8QyeCbrSZre6KQ&#10;/aIVglmHB87liUVwejMyhioyw5rzm0tLCK6uvEMOm263nmeV56wjdt2qR+WTV3xZ8TPGPgPwVqXi&#10;bQdU/wBIs7OSNVmXcki71jww4PCsSMEEMARyBW/satHmr1Jc1ltbT5E/Fou56g3wv+ybbvS5rj7T&#10;Mof7RGysxTJ+UkHIAwRn6dsGo7/TLqKwWfzrS4jiDO0du26WLjcxI24GCMDByAOwBx5z8HvjV488&#10;b+FF8Ra3fx+dNerGyxxnaoVVUYySenPXGea7Xw34iv7gSb0j+exXzAqn94CFyG55+8ff8K6sPKNe&#10;gp2tdXFJcsrdipe/D7QhNHdXk9nax2o86QSTKnmBEPy4JHy7iTtwc4HXFc5cHw54ghmi8O6jb3ax&#10;xu95NAyTBf3m07ucqvGB8uCBxkDjobm/k112g1mGG5V7f98JIhiQjZgsBxnk9h1weKr3tja+HNKu&#10;7/RII7eSOGbb5cK42x4RFxjGAowPTtWVOjHDz5Ka93fdt3Y5Ny1Z5n4ks/F11byHw5rUGnhpgJ5m&#10;tTcSLGONyYdecYHXByQME8dfbafqE/hnTPG3iPQbPXLeSJ/tdzplmtrHARKoVZGtZXWOVmO0blGV&#10;wFJIIj9D8bfDbw2nwq0fxlIs0l5deD4dTm3MoVrgwxuThQOCzHjP0xXkPgTXJdE1rQ9JsrVVHiLU&#10;UtdRmS4mjcwmJzsHlyKMZB6g/fb2xjiKfW58zjcwjCk8VC/7t2afXo9mKNU8Yw6SukWPjDWLW1WN&#10;itgmqTJBtLHOEDYx8xB9Tk85NYmjaRpXhz7Jo2m6Fawaat1CZLGGNAk+0n5fM+9EDuHKn0DZHynv&#10;fif4O0rwLHp76RLcSfb5J3ZbqQN5QSQKFTABAx6kk+tecaRq8Nl8afDXhG80a1vrHWtV0y0uorp5&#10;QUWe7gjZ0MbqVcAkqegJ5B4AJWt6np06lCrhfa0425tfM9Mk1u9+AXjRv+Ev+F9rdeG/EEN5NpD+&#10;INFgmk3QiOMx2t1HHOXBZtytNFDgNz8rDPI6z8U7PVNBt9EtPh1b6TD/AGp9pvodFunsYdQJd/30&#10;9rCqwvcKhQeaE3tsG4kbVXpP2rdC07wF8bpfB2hC4awWxRoY768luDFuuGibaZGJAIRSfUj0wB5D&#10;r2p3Ol2uj3lsR/xNYbia4ibJVWjnaNdvOfuqOpPOelZQh+7XM9yMPg6dueV23ru+h6Hp8/xd+HNp&#10;qnj7wPH4k8NeHfEipAJrnTxNBeWv+sSKaSSIwszKuTkLuGewyHt8QvjN/Zn27xLcXF34curyO5tb&#10;LUdBgk0y0MaGNRao8LW9uoXgCIBfmbIOTXD+Dfjr8Tfh9bMvhLxFJawXCbZrPl7dwyKWBiYlTnJz&#10;kc980a38efizD4buvCEvjK4m06+kUTW0qJhV8yRyqEAFAS7ZAIyMA8AAKnGPM4NfM1rUo1m04r9f&#10;vOkh8NeJfi74pvNWkg8O+H4IVkk05JreKxt3TYhPnTpEiyyDbndIwUAYUDkH5B+K2kavpnxQ8Qab&#10;PCsl0usXW1lmEqS/viA6yLlZFb+F1LBgQQSCDX1N4H+Nnxo1+SHwjF8WvEGnadZb4rW103UDEsax&#10;k7QOv90HHQntXz7+0p8SviD8T1uPG/xA8YX2rarp9vHa219eOGkWGLhEJxyACf6Y4rswtapTxCpp&#10;LldyKNPlm1okloZr6joXiHxn4dtLhZLeGOxgt7xbqE9VgRS20NkKCDjlSwx0r6Ysv+CTv7UHiWzh&#10;8R+GNY+Dmn6bqEa3On2Go6tqDXFtA43RxSn7McyKpCscnJB5NfGsHiTXbyW312bVJPtkbKY7jjcM&#10;cA57njqc575r2Lw//wAFPP2qfDGg2Phq0vvC9xFp9nHbR3F/4Psp55VjUKGkkeMtI5AyzEksck8m&#10;vW5WzY//2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AZlLvJvQAAAKcBAAAZAAAAZHJzL19yZWxzL2Uyb0RvYy54bWwucmVsc72QywrCMBBF94L/&#10;EGZv03YhIqZuRHAr+gFDMk2jzYMkiv69AUEUBHcuZ4Z77mFW65sd2ZViMt4JaKoaGDnplXFawPGw&#10;nS2ApYxO4egdCbhTgnU3naz2NGIuoTSYkFihuCRgyDksOU9yIIup8oFcufQ+WsxljJoHlGfUxNu6&#10;nvP4zoDug8l2SkDcqRbY4R5K82+273sjaePlxZLLXyq4saW7ADFqygIsKYPPZVudAmng3yWa/0g0&#10;Lwn+8d7uAVBLAwQUAAAACACHTuJA2Tk3hxMBAABIAgAAEwAAAFtDb250ZW50X1R5cGVzXS54bWyV&#10;kk1OwzAQhfdI3MHyFsUOXSCEmnRBChILqFA5gGVPEpf4Rx4T2tvjpK0EVVqJpT3zvXlv7PliazrS&#10;Q0DtbEFvWU4JWOmUtk1BP9ZP2T0lGIVVonMWCroDpIvy+mq+3nlAkmiLBW1j9A+co2zBCGTOg02V&#10;2gUjYjqGhnshP0UDfJbnd1w6G8HGLA4atJxXUIuvLpLlNl3vnWw8NJQ87huHWQXVZhAYC3ySeVk9&#10;TyJs4xs6jQTo8IQR3ndaipgWwnurTsJkhyAskWMPttrjTUp7ZsJQ+Zvj94AD95ZeIGgFZCVCfBUm&#10;peUqIFfu2wbo2WWRwaXBzNW1lsCqgFXC3qE/ujqnDjNXOflf8eVIHbX5+A/KH1BLAQIUABQAAAAI&#10;AIdO4kDZOTeHEwEAAEgCAAATAAAAAAAAAAEAIAAAAL2JAgBbQ29udGVudF9UeXBlc10ueG1sUEsB&#10;AhQACgAAAAAAh07iQAAAAAAAAAAAAAAAAAYAAAAAAAAAAAAQAAAAg4cCAF9yZWxzL1BLAQIUABQA&#10;AAAIAIdO4kCKFGY80QAAAJQBAAALAAAAAAAAAAEAIAAAAKeHAgBfcmVscy8ucmVsc1BLAQIUAAoA&#10;AAAAAIdO4kAAAAAAAAAAAAAAAAAEAAAAAAAAAAAAEAAAAAAAAABkcnMvUEsBAhQACgAAAAAAh07i&#10;QAAAAAAAAAAAAAAAAAoAAAAAAAAAAAAQAAAAoYgCAGRycy9fcmVscy9QSwECFAAUAAAACACHTuJA&#10;GZS7yb0AAACnAQAAGQAAAAAAAAABACAAAADJiAIAZHJzL19yZWxzL2Uyb0RvYy54bWwucmVsc1BL&#10;AQIUABQAAAAIAIdO4kBcSRq+1gAAAAUBAAAPAAAAAAAAAAEAIAAAACIAAABkcnMvZG93bnJldi54&#10;bWxQSwECFAAUAAAACACHTuJAZsKLLIkDAADKCQAADgAAAAAAAAABACAAAAAlAQAAZHJzL2Uyb0Rv&#10;Yy54bWxQSwECFAAKAAAAAACHTuJAAAAAAAAAAAAAAAAACgAAAAAAAAAAABAAAADaBAAAZHJzL21l&#10;ZGlhL1BLAQIUABQAAAAIAIdO4kCZIf6aCqEAAAChAAAVAAAAAAAAAAEAIAAAAAIFAABkcnMvbWVk&#10;aWEvaW1hZ2UxLmpwZWdQSwECFAAUAAAACACHTuJA2p+sZBHhAQD94AEAFQAAAAAAAAABACAAAAA/&#10;pgAAZHJzL21lZGlhL2ltYWdlMi5qcGVnUEsFBgAAAAALAAsAlgIAAAGLAgAAAA==&#10;">
                <o:lock v:ext="edit" aspectratio="f"/>
                <v:shape id="_x0000_s1026" o:spid="_x0000_s1026" o:spt="75" alt="戴帽子的人在草地上&#10;&#10;中度可信度描述已自动生成" type="#_x0000_t75" style="position:absolute;left:5291;top:164906;height:2799;width:4008;" filled="f" o:preferrelative="t" stroked="f" coordsize="21600,21600" o:gfxdata="UEsDBAoAAAAAAIdO4kAAAAAAAAAAAAAAAAAEAAAAZHJzL1BLAwQUAAAACACHTuJAwTKEx7wAAADa&#10;AAAADwAAAGRycy9kb3ducmV2LnhtbEWPQWvCQBSE7wX/w/KE3urGHtoSXQMJCHoRTCt4fGafSUj2&#10;bdjdavLvXaHQ4zAz3zDrbDS9uJHzrWUFy0UCgriyuuVawc/39u0LhA/IGnvLpGAiD9lm9rLGVNs7&#10;H+lWhlpECPsUFTQhDKmUvmrIoF/YgTh6V+sMhihdLbXDe4SbXr4nyYc02HJcaHCgoqGqK3+Nglwf&#10;T4f6Uo7OXne8P2PR5dOk1Ot8maxABBrDf/ivvdMKPuF5Jd4AuXk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EyhMe8AAAA&#10;2gAAAA8AAAAAAAAAAQAgAAAAIgAAAGRycy9kb3ducmV2LnhtbFBLAQIUABQAAAAIAIdO4kAzLwWe&#10;OwAAADkAAAAQAAAAAAAAAAEAIAAAAAsBAABkcnMvc2hhcGV4bWwueG1sUEsFBgAAAAAGAAYAWwEA&#10;ALUDAAAAAA==&#10;">
                  <v:fill on="f" focussize="0,0"/>
                  <v:stroke on="f"/>
                  <v:imagedata r:id="rId12" o:title=""/>
                  <o:lock v:ext="edit" aspectratio="t"/>
                </v:shape>
                <v:shape id="_x0000_s1026" o:spid="_x0000_s1026" o:spt="75" alt="图片包含 男人, 女人, 站, 绿色&#10;&#10;描述已自动生成" type="#_x0000_t75" style="position:absolute;left:9519;top:164905;height:2799;width:3732;" filled="f" o:preferrelative="t" stroked="f" coordsize="21600,21600" o:gfxdata="UEsDBAoAAAAAAIdO4kAAAAAAAAAAAAAAAAAEAAAAZHJzL1BLAwQUAAAACACHTuJAmJTEKb4AAADa&#10;AAAADwAAAGRycy9kb3ducmV2LnhtbEWPzWsCMRTE74L/Q3hCb5pYsMjWKG2htJS9aPdgb4/N249u&#10;8rJsUr/++kYQPA4z8xtmtTk5Kw40hNazhvlMgSAuvWm51lB8v0+XIEJENmg9k4YzBdisx6MVZsYf&#10;eUuHXaxFgnDIUEMTY59JGcqGHIaZ74mTV/nBYUxyqKUZ8JjgzspHpZ6kw5bTQoM9vTVUdrs/p4Hz&#10;j5fLYv/6k+dd9bvvrKrsV6H1w2SunkFEOsV7+Nb+NBoWcL2SboBc/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JTEKb4A&#10;AADaAAAADwAAAAAAAAABACAAAAAiAAAAZHJzL2Rvd25yZXYueG1sUEsBAhQAFAAAAAgAh07iQDMv&#10;BZ47AAAAOQAAABAAAAAAAAAAAQAgAAAADQEAAGRycy9zaGFwZXhtbC54bWxQSwUGAAAAAAYABgBb&#10;AQAAtwMAAAAA&#10;">
                  <v:fill on="f" focussize="0,0"/>
                  <v:stroke on="f"/>
                  <v:imagedata r:id="rId13" o:title=""/>
                  <o:lock v:ext="edit" aspectratio="t"/>
                </v:shape>
                <w10:wrap type="none"/>
                <w10:anchorlock/>
              </v:group>
            </w:pict>
          </mc:Fallback>
        </mc:AlternateContent>
      </w:r>
    </w:p>
    <w:p>
      <w:pPr>
        <w:pStyle w:val="5"/>
        <w:spacing w:before="93" w:after="93"/>
        <w:ind w:firstLine="560"/>
      </w:pPr>
      <w:r>
        <w:t>三、培养条件</w:t>
      </w:r>
    </w:p>
    <w:p>
      <w:pPr>
        <w:pStyle w:val="6"/>
        <w:ind w:firstLine="480"/>
      </w:pPr>
      <w:r>
        <w:t>1. 教学经费投入</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在前期高水平重点建设专业及新旧动能转换学科群建设基础上，农学专业办学条件不断改善。为保证学生培养质量多渠道筹措经费投入到教学中来，共投入包含大学生创新创业训练、实验材料费、学生活动费、师资培训费、本科教学督导评估费、仪器设备购置与维修费等达到116.16万元，生均经费1595.96元。其中，生均实验费为703.33元，实习费为174.41元。</w:t>
      </w:r>
    </w:p>
    <w:p>
      <w:pPr>
        <w:pStyle w:val="6"/>
        <w:ind w:firstLine="480"/>
      </w:pPr>
      <w:r>
        <w:t>2. 教学设备</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近年来，学院强化了教学实验中心、农学实验站、农作物标本园和黄淮海玉米区域技术创新中心等校内教学实践基地的软硬件条件建设。其中农作物四情监测系统、农田高光谱监测系统、土壤与环境生态监测系统、作物光合生理生态监测系统、智能化课程录播系统、互动式多媒体教室等设备、设施的购置与建设提高了农学专业实验和实践教学过程中的信息化程度。目前，实验中心拥有实验室54间、面积达1562.4m</w:t>
      </w:r>
      <w:r>
        <w:rPr>
          <w:color w:val="000000" w:themeColor="text1"/>
          <w:szCs w:val="24"/>
          <w:vertAlign w:val="superscript"/>
          <w14:textFill>
            <w14:solidFill>
              <w14:schemeClr w14:val="tx1"/>
            </w14:solidFill>
          </w14:textFill>
        </w:rPr>
        <w:t>2</w:t>
      </w:r>
      <w:r>
        <w:rPr>
          <w:color w:val="000000" w:themeColor="text1"/>
          <w:szCs w:val="24"/>
          <w14:textFill>
            <w14:solidFill>
              <w14:schemeClr w14:val="tx1"/>
            </w14:solidFill>
          </w14:textFill>
        </w:rPr>
        <w:t>，设有植物生产与生态学实验室、遗传学实验室、植物育种学实验室、种子科学实验室、农业生物技术实验室、中药实验室等6个功能实验室，现有3个数码互动实验室，仪器设备达到336台套，总值达到1600余万元。</w:t>
      </w:r>
    </w:p>
    <w:p>
      <w:pPr>
        <w:pStyle w:val="6"/>
        <w:ind w:firstLine="480"/>
      </w:pPr>
      <w:r>
        <w:t>3. 教师队伍建设</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专业形成了以于振文院士领衔的教学团队，现有教师58人，其中专职教师46人、实验人员9人、教学管理人员3人。专任教师中，教授23人、副教授19人、讲师4人。教学团队中，中国工程院院士1人、国家中青年科技创新领军人才1名、泰山学者优势特色学科人才团队领军人才1人、泰山学者攀登计划专家1人、泰山产业领军人才3名、泰山学者特聘专家3人、泰山学者种业计划专家1人、泰山学者青年人才4名、山东省有突出贡献的中青年专家4人；国家现代农业产业技术体系岗位科学家3人、实验站长1人，山东省现代农业产业技术体系首席专家4人、岗位科学家9人。</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学院始终重视教师思想政治工作，强化全员、全过程、全方位师德养成，提升教师育人意识与育人能力，建设一支能胜任培养学农知农爱农，心系</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国之大者</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、具有</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三农</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情怀、堪当民族复兴大任时代新人要求的新时代高素质教师队伍。专业以教师培训为抓手，全面加强教师教学能力建设，遴选优质权威教学资源，通过集中观摩与自主学习相结合的方式，组织骨干教师参加了第二届高校教师教学创新大赛专题培训、青年教师教学能力提升省级培训、一流课程建设专题研修班、新入职青年教师综合能力提升等各类培训。2022年，教育部首批高校</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双带头人</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教师党支部书记工作室农学院植物科学与信息党支部顺利通过验收，1人获得山东省高校教师教学比赛优秀奖、1人获得山东农业大学第八届学生心目中的十大优秀教师称号，1人获得山东农业大学最美教师称号。</w:t>
      </w:r>
    </w:p>
    <w:p>
      <w:pPr>
        <w:pStyle w:val="6"/>
        <w:ind w:firstLine="480"/>
      </w:pPr>
      <w:r>
        <w:t>4. 实习实践基地</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在原有19处校外教学实习实践基地的基础上，在滨州中裕食品公司、潍坊市农业科学院、潍坊丰瑞农业科技有限公司、济南鑫瑞种业科技有限公司等4家企事业单位新建了本科生思想政治教育实践基地和教学实习实践基地。</w:t>
      </w:r>
    </w:p>
    <w:p>
      <w:pPr>
        <w:spacing w:line="240" w:lineRule="auto"/>
        <w:ind w:firstLine="480" w:firstLineChars="200"/>
        <w:rPr>
          <w:color w:val="000000" w:themeColor="text1"/>
          <w:szCs w:val="24"/>
          <w14:textFill>
            <w14:solidFill>
              <w14:schemeClr w14:val="tx1"/>
            </w14:solidFill>
          </w14:textFill>
        </w:rPr>
      </w:pPr>
      <w:r>
        <mc:AlternateContent>
          <mc:Choice Requires="wpg">
            <w:drawing>
              <wp:inline distT="0" distB="0" distL="114300" distR="114300">
                <wp:extent cx="5024120" cy="1638300"/>
                <wp:effectExtent l="0" t="0" r="5080" b="0"/>
                <wp:docPr id="236" name="组合 236"/>
                <wp:cNvGraphicFramePr/>
                <a:graphic xmlns:a="http://schemas.openxmlformats.org/drawingml/2006/main">
                  <a:graphicData uri="http://schemas.microsoft.com/office/word/2010/wordprocessingGroup">
                    <wpg:wgp>
                      <wpg:cNvGrpSpPr/>
                      <wpg:grpSpPr>
                        <a:xfrm>
                          <a:off x="0" y="0"/>
                          <a:ext cx="5024120" cy="1638300"/>
                          <a:chOff x="5418" y="185751"/>
                          <a:chExt cx="7912" cy="2580"/>
                        </a:xfrm>
                      </wpg:grpSpPr>
                      <pic:pic xmlns:pic="http://schemas.openxmlformats.org/drawingml/2006/picture">
                        <pic:nvPicPr>
                          <pic:cNvPr id="4" name="图片 4" descr="一些人站在台上&#10;&#10;低可信度描述已自动生成"/>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9842" y="185751"/>
                            <a:ext cx="3488" cy="2580"/>
                          </a:xfrm>
                          <a:prstGeom prst="rect">
                            <a:avLst/>
                          </a:prstGeom>
                          <a:noFill/>
                          <a:ln>
                            <a:noFill/>
                          </a:ln>
                        </pic:spPr>
                      </pic:pic>
                      <pic:pic xmlns:pic="http://schemas.openxmlformats.org/drawingml/2006/picture">
                        <pic:nvPicPr>
                          <pic:cNvPr id="6" name="图片 6" descr="一群人站在桌子前摆拍&#10;&#10;描述已自动生成"/>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5418" y="185751"/>
                            <a:ext cx="3870" cy="2580"/>
                          </a:xfrm>
                          <a:prstGeom prst="rect">
                            <a:avLst/>
                          </a:prstGeom>
                          <a:noFill/>
                          <a:ln>
                            <a:noFill/>
                          </a:ln>
                        </pic:spPr>
                      </pic:pic>
                    </wpg:wgp>
                  </a:graphicData>
                </a:graphic>
              </wp:inline>
            </w:drawing>
          </mc:Choice>
          <mc:Fallback>
            <w:pict>
              <v:group id="_x0000_s1026" o:spid="_x0000_s1026" o:spt="203" style="height:129pt;width:395.6pt;" coordorigin="5418,185751" coordsize="7912,2580" o:gfxdata="UEsDBAoAAAAAAIdO4kAAAAAAAAAAAAAAAAAEAAAAZHJzL1BLAwQUAAAACACHTuJAPR33ENYAAAAF&#10;AQAADwAAAGRycy9kb3ducmV2LnhtbE2PQUvDQBCF74L/YRnBm93dSLXGbIoU9VQEW0G8TbPTJDQ7&#10;G7LbpP33rl70MvB4j/e+KZYn14mRhtB6NqBnCgRx5W3LtYGP7cvNAkSIyBY7z2TgTAGW5eVFgbn1&#10;E7/TuIm1SCUccjTQxNjnUoaqIYdh5nvi5O394DAmOdTSDjilctfJTKk76bDltNBgT6uGqsPm6Ay8&#10;Tjg93erncX3Yr85f2/nb51qTMddXWj2CiHSKf2H4wU/oUCamnT+yDaIzkB6Jvzd59w86A7EzkM0X&#10;CmRZyP/05TdQSwMEFAAAAAgAh07iQL4qjvlvAwAAxgkAAA4AAABkcnMvZTJvRG9jLnhtbO1W3WrU&#10;QBS+F3yHEMG7bX6a7aaxW6nbWgTR4s8DTCeTTTDJDDOzuxURvBBt/WsFb0RBBBFRRPHGUrG+zGbX&#10;x/DMJLu1W0URxQu92OyZMzPnfOeb800yd3wtS40u4SKhedN0pmzTIDmmYZK3m+bFCydrvmkIifIQ&#10;pTQnTfMyEebx+cOH5nosIC6NaRoSbkCQXAQ91jRjKVlgWQLHJENiijKSw2REeYYkDHnbCjnqQfQs&#10;tVzbnrF6lIeMU0yEAO9iOWlWEfnPBKRRlGCySHEnI7kso3KSIgkliThhwpzXaKOIYHk2igSRRto0&#10;oVKpn5AE7FX1tObnUNDmiMUJriCgn4EwUVOGkhySjkMtIomMDk8OhMoSzKmgkZzCNLPKQjQjUIVj&#10;T3CzzGmH6VraQa/NxqTDQU2w/sth8ZnuCjeSsGm60zOmkaMMjnz44XqxtW4oD/DTY+0Ali1zdp6t&#10;8MrRLkeq5LWIZ+ofijHWNLOXx8ySNWlgcNZt13NcIB3DnDMz7U/bFfc4hgNS++qeA52npv16o+6U&#10;J4PjpSpCY9Zxy+1u3dd7rVFqSyEcA2IJDuBXkQXWAbJ+3KKwS3Y4AepVtLy7kuAVXg72CPNGdBWP&#10;docbNw0Yh0RgaK7+9rX+zqP+zs7w1cPi8Yti821/+9bRI459TD/6H+8Vm2/6n54WO88Hm5ufP70t&#10;3r/7fPNlcevF8MGTwfqWql0lVrnKzEiVdJriS8LIaStGeZssCAbdDXQBjJGLc9qLCQqFckMQa38U&#10;PdxXzWqasJNJmqrzU/bvVaHBA5KtEmgufioEnBjuFQn9xXiSSy0X6I/TQqrsqlO0YK64/oJtz7on&#10;aq263ap5dmOptjDrNWoNe6nh2Z7vtJzWVbXb8YKOIMAKShdZMlKv4x048G+qo1JwqTutX6OL9C2h&#10;iNOARv8aIrgUQwqr4PgccA/rwJacSBwrMwIiKz8sHk9o1veIVkciQEhqx4R0Zn0PenxCAiMJTXs+&#10;6EPp54AAoDu4kMuEZoYygG5Ap/lFXcBe1jNaovLmVB26xp/m+xwAXHk05hKlNgF02ZJg/HlljS+i&#10;Slkw3lPWcPfZWFmDp3eK11vFxt3B/RuD23f3JPbvyEpdiv9lVTbnd2T1zTfLWFZ+o3ot/S1Z6dcX&#10;vN71bVN9iqjvh6/HYH/9+TX/BVBLAwQKAAAAAACHTuJAAAAAAAAAAAAAAAAACgAAAGRycy9tZWRp&#10;YS9QSwMEFAAAAAgAh07iQLRGBoV7SwEAbEsBABUAAABkcnMvbWVkaWEvaW1hZ2UxLmpwZWcAAID/&#10;f//Y/+AAEEpGSUYAAQEBANwA3AAA/9sAQwACAQEBAQECAQEBAgICAgIEAwICAgIFBAQDBAYFBgYG&#10;BQYGBgcJCAYHCQcGBggLCAkKCgoKCgYICwwLCgwJCgoK/9sAQwECAgICAgIFAwMFCgcGBwoKCgoK&#10;CgoKCgoKCgoKCgoKCgoKCgoKCgoKCgoKCgoKCgoKCgoKCgoKCgoKCgoKCgoK/8AAEQgBigIV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I9L&#10;V1cEDjoRz/nvXZ+EyEuYt2PxHBrkNJ2nAXov6V2Xhi7t7a5jkChvm796mO5tI+/P2Ff+CbzftieD&#10;Ljxn4d8RWNlHpsyxXi3bHcsjDIGFBPIHXAHHXI4sftff8E3PHf7OOgLr+q2STWLOY47y3fchOPXs&#10;evBwfasb9gT/AIKBeKv2YoZdL0VoW026ZWubGZcpLjvjjB9xg8n8foL9pf8A4KmeCf2gvg5qXwo1&#10;zwDaJ/aCri6WRmaCQHIeP+43bOejMOhNdUpRUdNfzRg5S5rH5u6noq2c7I3PzYx60yKDGcLnsTWt&#10;4hs4E1CT7LKWj3Eq3rVKKBSRtWuOWp1RkPtoSgzj8quLAo6rgcU22hkUbgDjsTVyOMheRzjrWMkb&#10;RkRrHg4z/PmneWVOdpx0NTeTk4Y547dqNnCjNS4m8ahWIcBQDSHI/hPLY6VYeNWXn65qNgpG1VHf&#10;vWMoHVTqIjRWLYJ9eh6V0ngnRv7X1SK0XOZHA+ma56F138jp0FdF4M8RnQ9SjuoiAUYEHbTpxXMr&#10;m0p+7offvwu/4JKeIvF/w1svFl9rFlaz39mlxb2kzHcVYZXOBgZB9a+T/wBqT9nPxB8CfGd14T8T&#10;WnkzW7Y2buq8EEeoI79xX1V8Av8Agq94g+H/AIDtfCvibS7XUks4FitWmJDIoHC5BGQPfOAK+Zv2&#10;0v2lrv8AaK+It1461BI4XmVUWGL7qKqhVA59B+NdeIdOULJHDhJYr6x72x4DexwwsTjOarCUHjPz&#10;bvrinX94GcsvH+ziqLXS7cIOK8WUT6Wmy8HQdPm//XR5oH3eD6YqmLzcchqYb0n5ckZ5+tY8rOiL&#10;RoiRV+b3oEyHcQw69az0vABtJzzjrQ15zjd9B60uUvQ0DcIw3A9eetIZ1HTp2rOF8PmxzjjvzTft&#10;mX+97ZHelyhoaHmgEHH0206KRCy7e3FZqXYCkKamhvIwQWZflFaRiZyZ6Z8FfBs3jfxZZeH7W38x&#10;7u4WNFUE/MSBX6IXX/BIKd/A+6PX7M6t9n3G3ycb8fd3Yxn8ce9fm98JviVceCvEFrrmnSCOWCVX&#10;VgcbSDX39of/AAWP8UQeCFsrzRrGbUFg2LfSKdxbH3iM7Sfw+texhpU407NHz2Y/WvaL2Z8NfGr4&#10;eT/DzxdeeHr/AGrLazNG646EHB+lefySqpwoX2967L42/Eu4+IPi+98TXs26a6naSRh3JOSa88mv&#10;lzn39elebiIrn0PZwvN7Nc25fW4Vm4IqRbgE7h29utZP29TJlqkW+AGFauRxO1WNQTrxx+PrS/ah&#10;3x0rLF8QNyt+eaX7cxG4tx9KnlHoan2kMNoPPQc/5/yaYblCOQPT8qzhqCr94gc80fbl3YZ/u8Zp&#10;cozQEjOuEPPapIIrh5MpEzN/u5zWTHe7X+Vj7c4zWhputXcEymK628962hHXUwqbHoXwx+F+s+N9&#10;Vh0rTdPkmlkbCKEPJr2L4i/sFfGDwF4N/wCEs1rwZew2oXc0j27YH44xVf8AYN/aZ0v4O/FrS/EX&#10;ijToryzhlxKCvzKCMbl9xnI9xX3p8df+Ck3wGt/hlqFt4Zjk1S6vrN4ktryNVjXcuMtyc4/nivcw&#10;9Oh7O7Pm8ZisVTxHLGOh+RWvaLc6fcNDLEU2nDDGKymJU7SvNeqfET4zeDvEGrTT3fgS1Uux+aHA&#10;7n6Vw19r3gi+bMWmyQ/TkV5uIhGMvddz2MPUnKK5otGJ5u0hcj5uuad5xH3W6c9en41NctokuHt7&#10;gj/Z9apytErfJIu3+dcm+h2ItLKhGUwcU9HA2+w4qgk5JAOeemKUXGf4xxSC2hf85JCynP8AwGgy&#10;kg5bvlappcEPg9h+tTJMAwwf4fu9cVSJcSXduHHWlUeY+C1RKyu+Gb8fSrNsikh2/wCA1pHcxmT2&#10;Vi1wcKp//XWuvha7MXm+Q20jPStz4VeFY/E3iK10n5d00yqOOpJ/nX6UeDv+CU3g8+CYV8S+ITFq&#10;klrlo47fcsbFfuk5HQ8HA/OvUoYZTjds8XF4yNGXKflVfaZJbHayc+/aqvl/Nj9a9g/aX+Gdt8K/&#10;iJqng2SWOaXT7ySF3jYFSVYjqO2RXlEu0nP8P4VM6fJKwRqqUblcDHG786VRxyc9qfsB5U05Yjt5&#10;b+HH3aIxMZzIShP3fTPrTZST2qxjg+zdPWmGJs7OvrxWiOeUioRnIPHNQXEXmZXtmrroF4ZfmqIw&#10;EhdyDHpWiRjKRmy2Ybd747VUn0yTbjbz049K6zStAk1KXyoUO4n5eK663+AXi2/0/wC3W+kTMu3I&#10;KxmtowcjGUkeKXNgd2GTp2qpc2gQYQZxXoHirwNd+HGZdSg8uTcflYc1xmpgRlmC/wD16GrCTMC7&#10;QrgKPas2+jJyUP8An3rZuhgMuevHFZV183J+v1qRmNOgSTGaKffRbpANvbP3v8KKq5J5zaXCeZnz&#10;K6DS7xYmWQNj0+avB7P9p7w6SpfQtQ9P4P8A4qtK0/al8LrIqroepLt9Fj6+n3qz5omnJLsfSuh+&#10;K5LMKI7n733Tu6Cuhh8bXEiKHnPXK/N1r5Xi/a28JxPs/wCEe1L32qn/AMVV5P2vPCqABdF1Rf7v&#10;yx//ABdV7RdyfZy7H1Pba+LjAlmHpya0LO4hY4Vuv3ea+TLb9s/w1H8y6Fq3/fuLp/33V7Tv27NB&#10;tJd48N6px/0zj/8Ai6z9pHuV7OfY+t4CjDKn3zjr7VZXYPujPzcivnXwF+3d4H8S6rHod/oupWUk&#10;q5gkkhDiRhyw+Ukg45/PkHGfTLL44+HZ03xC65+7/ocv/wATU80Q5Zdj0PCty69KRyijO/rXFp8Y&#10;tAJ6XR+X/nzk/wDiaR/i7obfMsd1xyB9jk/wpc0e5Xv9jsXKY6jP86hkYnoePZq5MfFfSJ+Y45un&#10;8Vu/+FN/4Wbp5bmK4z/17tS5o9zSLqLodNKx3bi3GOtOt9QMJ2Ddg/pXISfEKxc4WO425+75ZqH/&#10;AIT+zALCKbj/AKZ0rx7msatSPQ74eJbhF8tJmFUr/wAQyzjLSfka4/8A4TeKQ/NFMvHcdKhbxjak&#10;kmObIxwF6Uny9zSNea6HQXOpbgd53fhVOW+28Z6dvWsiTxVA670hk9vlqnN4kt3xsglPPQJ0/Wsn&#10;GHc6I4youhv/ANpOF2E85FI+qndgmudk8RwN1hkXccH5R6/WmL4gt2YHZJms/Z0+5qsdV7HSDUyf&#10;myc9fxpP7UAAO6uaXX4h91JOnUYoHiKM9IpPlOG+XpxUezp9zT69V7HTf2p8xTeP9oChb9cYBPTp&#10;XNjXIg2Sj9fSga+iLtAdvoP/AK9HJT7i+vVOx0p1DkFWz60sN+CwZc/1rmR4hhVcCCTBP+e9SR+I&#10;odmWgm4+6u2qUKa6i+vVOx11nrLRsCGx9DWlD4umjXa0rY/u5rgx4nh2bRBN6dBx+tOXxPDnAt5R&#10;/wABrVcq6mLxdR7o66+1xpm3GRvrVCTUmzuA+vP+cVzzeKLUMAUk9M7f/r00+I7ZzzFIvruXiolG&#10;m+ppHHVI9DoP7RZW2jmnf2kSN2e2a53+37RnwXPrnacUf27aY5lYd/un8qy9nDubLMJ9jo/7SbtI&#10;3y0qanhdkkvY9ea5j/hIbLI/fMc5H3Dx+lSDWrbaSZm+Y9lNL2MO5X9oy7HSnVsj5n79Tn86P7VJ&#10;IAI9a5pdZsuS0xH/AAE81KNWtANz3AGfU0exj3D+0ZdjpItTVhgncfY1Yt9VDtuzxmuXj1WzIDrd&#10;x/TcKmj1KyL8XUf/AH0OKtUYkPMPI7zRfEYtJBKkxVv4a19Q8fX1xE0Ru2ZccAtXnEWrW6rzdR/9&#10;9jrT01eDbmK6VsejA1vGNlozB4yLldo6W+1iR2YE/rVM6hk5P1rHN8M53r6Ypv2wYxuzx61nKnzG&#10;8cfFGwL4h9u79elSJfDGMjH6Vgm9wuS//fOKP7QZ1HzcZxgVn7A2jmFM6FL/AGkkduRThfMZBk/X&#10;rxXOpqThsKx/DtT11NhhmqfYSL/tCmdLHer90EHPap1uwfmX0rmYdS3f/XqxHqhxln7dqX1eRX16&#10;k+p0kV0M8cfjV21uEX5i309a5iHUCQRvP8qvW1+4PyleKuNGRjPGU+56d8PvFk3h7UYby2lKNEyl&#10;WFfXQ/4Kk/GceCl8NDX/AJlt/L+1CNfO4H98Ddn3r4N0/WHQ/fx689a17fWZJFU5+UdK7qcpRjY8&#10;jEexrSuzrviN4vu/F+sTazqFyZJJ3ZmkLZ3Enk1yUigjtihrvzfnJz2PFODnnLD6VUo82rMvaRWi&#10;GiNc/ez/AJ4p4XqpH/16VBg7X/XmnblXgHjp+FCiZSqXI/KJ4I6cdaaUCptJT7v51Mx2ggNwvSoZ&#10;pYwMF/8A64/yKdiOYhk+7uzuz3PemxhWZQ3rUc91EnzButVTq8COxD/L3PrTRLZ69+zh4e0fXviF&#10;p+n6rIsdrJdIs0kjYVVyMn8OtfrjFqf7I3wk8DRrHceG2sYbX5eIriaUBe/BOT74GfSvxE0T4gTa&#10;LMJbScpzwwbH+f0rfvvj34hntGt5dXkMe3+KSumNTS1zmlCXNc6P9sjxT4X8T/FjWtZ8JWot9NuL&#10;+RrK1Vv9VEWO1R9BgZ714DqciliyOfvdd3StrxL4sbUpWkmn3E9y1creXiyHBdevce9ROXNI2iiv&#10;eSIeDt4rLvCoJx1qxc3Actgc/wB4fWs+8kVmZj/wEVmMqv8AM2UYev3qKY8y78IzAf7KZoo0Cx8I&#10;Jog2KwjX7tOh0hjdqgGMjI/KvQrvwTJaSoxt8Lt6Ae1Uk8MumpLmD+DP6da4KkpxPWp04yOSGkt9&#10;tWIqvb8ea1Lfw+Z2jCRdOufrW5HoZOqplP4VH05rpdA8PKy5K/djDAMvUZFcVTESsd1PDROCj8KE&#10;xeY0Jzt+761qaZ8NLm+ZkWPGGHzV6Ho3hKF7JrgKrKF+cY9On867fwf4Rt5pmleFRm4Pzbffr+P1&#10;qIVpSla5pPDxjG9jzv4LfCZr39oDwv4b+y5+0TXZYY6qsBNfcGnfs8iC1Qrp/wDDjO2vKP2XvBlv&#10;q/7d3g3TljDLHpWoXDIoyP8AUSjNfo9/wqq2WAEW3/jtezh6anS17s8HF1JU6iXkfHknwO8uMH7J&#10;t+i1RufhIY8qLfOP0r681H4YeWzM0C7eyhMf/r/SuV1v4cxoWZoF/HtVuijnVaR8v/8ACsNjNsh/&#10;i5/IU3/hW+Dt8n+L0/SvoC68BRqxYW+PmzjHtVN/Ai78GEYxx8tZ+zNPanh6fDIMc/Z//HamHwnE&#10;kDZtd3yn+Gvco/AwIwYvvL/drm/iJcT/AAzOkCHwv4g16bX9QNrp2m6HDbvLvEUsrMTO8aqgSJyS&#10;W4+mMRU9nRpuU3ZLdm1GNbE1o0qUXKUmkkldtvZJLVt9kcHF8F0lIUWv1ytXIfgSkvzGyz06LXQw&#10;fFjxVAEeb9mj4mbXGV/d6OMjOO976itmP4jfEIXTadD+yp8UJJo5dkkMf9ibgcE9Pt3opP0Ga8/+&#10;1snW9eH/AIEv8z3JcJ8XR1eX11/3CqdN/snGj4DqV3pZj/vk81UuPgSA4j+x4wCTle2f/r16Rpvx&#10;A+Jmty+TpH7K3xKkbHG/UvDyZ54+9qFdzpX7P37cfiy3abw5+wR8SJ9gKyeb4u8JRlD/AHSH1MHP&#10;TPH1rsoYjC4r+DNS9Hf8jixmTZ5lsb4vDVKf+OEo/mkfNF/8GPIOfsp6cfJWVd/C1YTg255GenWv&#10;fvHvwZ/bT8LSTL4h/YW+IULRctH/AMJb4XkbaFZiwEeoscBVYk4IAHOM15frFp+0Z9la7T9jzx35&#10;KZ3TN4g0PbxweReEd+a58RjMBhZWrVIxfm0vzOvB5DxFjoqeHwlSa7xhJr70jgbj4dtC3EH6VRXw&#10;M4lb5P4vp2FdlrmkftJaVLCmsfsgeNLRri2juLdbvX9GjMsLruSRd13yrDkMOCOlY6p8dZVMkf7K&#10;/ijBZl3N4l0XqDg8fa/X864XnOSr/mIh/wCBL/M9KnwbxjUinHL67T7Up/8AyJjjwOQceT+GMYqx&#10;H4E3DiHOe1dJofgP9p/xBZ3Gr6N+yD4qnt7WTZcTL4m0MKjCGWbHN4M/u4ZW4/u46kAxXGn/ALQe&#10;kX8lhqf7J3iy3mh+/HJ4k0QMPbm7pf21ktr/AFiH/gS/zJjwjxbKo6ccBWcluvZzuvVWuZlv8NjL&#10;y8H1IWtDT/hWssS4hPQdq0dPvvjXnY/7Lfi35ef+Rj0IDgZ6m8H+eBzXZ+EtC/aQ8QfZDon7GXxC&#10;mjvdSisLWdNW0ERtcSYMcZdr0KpYHK7iAeSOhI0hnOTStbEQd/7y/wAzPEcJ8W4ePNVwFaK7ulNL&#10;8YnH2vwZ8/kWzfgtWF+BrFVZbNj04C9a7Lw7rHxn1y//ALN0f9kr4jXV0OfItdU8PPI2OTgfb8nA&#10;5wOcAnoCa9G8EfCX9rLxyVHhr9iT4l3BZVba/iDwrCcNnBAk1NcjIPToRg88V14fMMtxUuWjVjJ+&#10;TT/I8/GZDxDl8XLE4SrTS/mpyjv6pHgdz8DcbYzbdW/u9Kz774MtF1tjx/s/1r6h8dfs7/tjeAbG&#10;G/8AGX7E/wARrGGaQxJI3iXwnJlxG8mP3eqMfuxuenbHcCvNPFum/Gbw9ObbxJ+zD8RbCTzJE8q5&#10;k0XcGRijDAvc/KwKn3BHUVWJxeBwmleah6tL8zHL8rzrMtcHh6lTp7kJS8+ifqeJ3nwt8obxAB/w&#10;Gs2f4fyJnEWPwr1O+b4hXEqRj4E+O1ebHl5j0xgcnHa6PcYrA8SWnxK0Wxt9U1b9n74mW9vdx77a&#10;aTwxGyzIdwDKVc7gSrDI4JU88EVw/wBqZTNXjXg/+3l/mepLhniii0qmBrK+16U1+cTz8eCHV2CI&#10;egPPenDwPIEykZz3NbjeLdYhZmn+DXxL+XhmHgO4f9UUiok8dXIb998KfiRFuH/LT4a6kR/47Eap&#10;Y/L2rqrH70RLIc+j8WEqL1hL/IzoPAUjnYYqtRfDWeX5SjfN/s9a6DTPFNzcm3MPw7+IB+0y+VbL&#10;/wAKt1n96+QNq4t/mbJAwOefcVdT4l6DYTGG/wBK8T27o21kuPhzq6EEdchrcVpHGYF6+0j96OeW&#10;V5xt9Xn/AOAS/wAjmtO+Eks+SIv4mHT0bFaNv8E55Gy1uW78iuh0n9oH4TW0eT4kuI1Vm3ed4R1F&#10;ADnnrDxzWrF+1f8As9aYN+q/FXRbZf4vtmn3MOP++o66qc8PP4ZJ/NHBVw+NpfHTkvVNfocdJ8EZ&#10;U4Fsx+bpjrVaX4O3Kc+S33gOR716Jb/tf/sn3n7tfj54J3Nx+81by+f+BLVmT9on9ma/TdafHb4f&#10;vnsfFluvH0JBrX933Obmn1R5XcfCmWLcBF71Rn+G8sYwYc7f7y16rd/GT4I3RYWPxU8EzY/55+K7&#10;Y/1qhL45+Hd6cWfjDw3Lu6CHXoGz9PmrNyp9y4yl2PMZvBVzGh8tSMdl9Krnw1fk7fMk2r6Me9em&#10;TXei37f6C1vcf9cL6Js/k1VmsEEjH+zpDuxjay/40vd6Mq/c84PhvUlG2OaYYbnbIaI9A1lThZ34&#10;78mvRlsYmHzaRMP+Ag/yq5aaXYOBnT7jPQqLc/l0qkvMG49jy+bR/EoG6K4b/v2M1Jbab4qdEdJN&#10;wYA8r/8AWr2Cz0LRTy1pcL2/49n/AMK2NA8G+HBYwpPcKrLGq/vIyp6DPUVooy7mUpxXQ8PjsfGC&#10;jcIA2OMbetSLP4uiUbrFW/4Cf8a+iIfAPhqSL5dQtf8Av4Pw707/AIVhoNyNlvc27f7sg/pWnLLu&#10;ZupHsfPI17xRbnDaYPX73/1qsReNPEsXEmkrjp/rj/hXuF58HrUSgpEhXBG7A9ayb74SRqWWO3/l&#10;xR+8XUXuM8th+ImqI373S2Xb3V8/zFTH4oyxoytpVz77Sv8AU13F18K0TpbfmtZ9x8Lzhh9lyf4V&#10;9amUqgctM52P4qR5xLp10OeflB/qam/4Wtpv3jHcf9+GP8hW4nwqLjLW/fuOtWrf4MtMuBaNu7fL&#10;RGVUXLTORvvjP4ct4jLcvcLtH3jauP5ivOfGf7c3wr8OazLoPm31xLGuZpLe13RpnnByc5xg9D2r&#10;3DWP2fmvbKQCx+8p/hH+FfC/iT4L32tfGPxzpcFsduk6rBAc9t0cmB/5CNVeoOFOnLqexr+298KL&#10;772vSQlhwstnLx+SkUsH7XHwnuXwnjKFf9+CVSPzUV89+IfhHdaVL5f2c/dBxt96wx4EZbzyoYSw&#10;ZsL8vvXPLF8mjOuOX8+qZ9XWn7SXwtvGV08e6WPTzLtY8f8AfWK0B8c/AV2G8rx3pDDb21KI4/8A&#10;Hq+J9U0BrUjan/LQ4qGXSZMHcvzZHzVtHFJxMpYGUZWufcI+I3h7UHxbeIbOb+75d0rZ/WkfxBFK&#10;37meNvm42tXwtLp8oGxP880t3pNzG8ixs5ZVPRj0yar6wuxP1OXc+4JtVBPUeh+bpVW51AhAVYr7&#10;V8V6fZ+Ij/x63l0vtHKw71o6dp/xGlDNb69qS4HylLuT19jWiqX6Gf1d9z66bUFU9P8Avk0V8iTD&#10;4tQqoPi7Wkzn7t9Lz+TUVXN5E+xke7a/otkPLICtxj9P8a5+/wBAT+1t0MYO2MAk+uK7DVrPJTZu&#10;5cZ/w/z2qnaWdtJqkjXLKqsqhTxwfxrjrSUmejRi4/ecfDoBN+WRekZLHb3wTWv4e06SO5kV+nlH&#10;HXjp/hW0NGtvPdngx/o8h3Lxn5TVmy0sqJJSpO1gob65J/lXk4iPKexhpcxX0SxA0NpyrMvzc++8&#10;V0Hhi+ayg3jad0pwPT1/nVOysRZaG+nId3l4+Y9yWFGnOyaQbpOWWRhhe/KV5/PKMrruehyRlGz7&#10;Hu//AAT1sh4i/b40GZ1b/RfBeoSNu9fMZM/+P1+oMmmQpGq+V1HSvzP/AOCTNs+rftsX2oupzZ+A&#10;7sA/71zbf/FGv0+vABH0/CvsMF/u8T4jM/8AereX6s57V9GtjFvRBXH69oMbAFIxXe6i+7Oa57Vo&#10;CeRz3robOFHn0/h5HhyE4+YHj/arPk0CIS79mPrXbGyxH5RORvY/MB/eNVH075vmXr1qbIu5y1t4&#10;eSX5yjDqPm7iuU+Imp6j4U8SfD/UdNn8mf7FqBk+UMrI9i9vIpB6gpcuvrz2PNerJp/UFce3pXmn&#10;xi0dtY+JXw/8Pql2UOiatPdfYLP7RNHBGbHzZFj3Lv2RlmIyowpyQOa8HiTm/sOuo7uNvv0PtfDu&#10;NCpxtgFWScPaJu6urJNu667FryP+E4s5NUt7zzrhmlvdW1i8W4/dPI0aKlzKf3ShpQ4SQAfNNiRg&#10;OU1Ph14o0+bwfeQan4/03SdSh1AX2g3VxDNJNDMmx5irxZMJcRRbW2sS0YVSgaRq838P2mt65b3G&#10;h2TXj26bZmWOQLbwSPIkKyyliEjTdIiGRiAC689jTS1mtbG1uZbiNmuo2kWOORG2IGKDdtYlHLK/&#10;ysFO3awyHBr8Pw9adOPNFbLu12Sdk1dp7et3ex/c2IwccRF4WVVq0k42SbVryS1TVnazVrci5etz&#10;2j4YazO0c+uTaTHqFxJ9pe8W5ukEihBGWlRA4kLATFz8pGELcrHJt+rv2f8A9oLVNO0aK2SaS4km&#10;5gh2M73DM4TC4ByxbscZ7ZJwfh/wv8UtfvbkL4z8RX93bwsrfNqUy3MkJjS3lt4Xw6JvhWMFnQjb&#10;bIAeNrdZp3jNLPQW1Lwzrn2aOO6jRtOuJwbsMwkIdXVFDxqI1z02s68HrX1eS5t/Z9nTl8uvz/r8&#10;z8/4n4dnnUXRxdNatWau4q/RdV0V+VLpdaH0n8c/jNpvjhnfVprqCwmZ0tbmO3EhiOYy5UblBbaF&#10;zhh1GeDXzl41+I2qSeG4/Dulaj9mXy3t7uOzjMSzx5HLbSA2/wCQONo3G3iZizDNP/tHXNduYtBu&#10;b8qvmI7SCUywwLIEy58vd2KZxlsjbjOBXOeIbLWY57e0160ntwlvG0atb7XEMg81XAONwZX3KSeQ&#10;w5xjGec4qeYTc772X9dv8vmdnDeT5flcYUI2aj7yWnZ2a013V9d7P1ju/GunyRWUVtoEO+13owuE&#10;SfzI2tooW5dS4OUZ1GSsbP8AuwhGTz2l3K6TqFpq9va28xhuFnjivIFkikIbdh0bIdT3U8EcHrUl&#10;zp6x6hJHaSSSQiQiOSSPYzLnglQTg47ZOPU9areF7Jr7wV4X1m+1CK2j1jQY7uO4mJZV4ZcMI9zA&#10;lk6EA8gkbSGPxlejWba7P5LZei6eWx+iUJYOlTUY7ST0d23o3bu927b7ksHiHXNO1yDxBpeotZ3l&#10;q0bW1xZgRNEyKFVhsAwcDr1JyTkkmvRdXsNE1jwz/wAJj4w8OaVHdto6C5h8NaTLutN88KJd3USy&#10;RQwOYjujEfySM67wGZifK/PdW5/GtbW/HusazJdQW5XT9Purya4Gj6ezx2sJlaMuqIWOF/cxcEn/&#10;AFSf3RXnxqcsZJ9SsdltTEVqMqPucu8lo+VW9z0ertsmk9LWeta+MPB9r4d/4R1PBc1xsDTQXc2o&#10;ZZbspGofbsKGIFJD5eAWEuGZtiEXG+I/jiy8P654L8TXl5jUbK1tprf92u1oJEeEOjKSAiiUDZsY&#10;NJ8xI3K3GJdgLwv6Vf0nWbizv11r+z47ryZQZPtUPmxMWB+Vs+uD78EjpWcJSc7rz6dLa/he4Vcr&#10;w3K24c2ql7zbfMmpRabbt7yT06pPoelfB3W/GHgrxVH4SfQ5kaPUYZL7S2t5FnkuYy6RfdIkR8zl&#10;AEI6qSrMoNfTXwL+Oc027xPqWqRzXc0pUaU0ss08kuIy025zuCtyeGY7lI2gHcPkeD4n+Jdbu/tX&#10;iO5t765l2q9/fWMcs52iBVJkKlmwtuijJPBkH/LR93b6v8VIfE+otf6X4J0jQ1klaSSDSI5FRmLM&#10;eBI7bANxAVNq4C8cDH2vD+YfUanNB+mmv9fPrex+b8VcMyziX7+klKa96UXdJq173s3zbJpXSild&#10;LU95/a//AGh/+Egk8K6LBKyxnxVMI8ZUhf7Mvux5wRjg88ivmnxvrF1ctCs98zpErm3CTDMWWP1I&#10;+bLbeOuf4s0vjXV9S1K48L3MN/Gr2/iRpWVsBkAsLtQwJ5OS/wB1cnjJGAK5zXbmUmSP5W+bh+a6&#10;eIcylmc1Kfb/ADI4N4awuR03QpLZ/p+G5V8Va0moPa29nJdC1srFILeO6mV2j6vKAVVflMzysoIy&#10;AwBJIyavivxrr/iy6hvNevvOktrGC0t1SNUWOGGMRoiqoCjAHOBySSckk1Q1PKHMU5bcoJ+X7p7g&#10;1Tv57ZvLFlayR7YVWbfIHDv3YcDaDxxz9e1fA4jm5pNv5d/S2mn/AAx+n4fB0Y8jUVdXs7aq9m9X&#10;rq1r3erOz+HuoeLLPT9Qi0LWIbe31i3msr+3vkIt54FiaaVyWGwtCFR1AzIHZCilsCqfiLxNqNj4&#10;p1SNG0ttmpHH2ONbi3URF0RYXk3EwhThRkhlCZyVBHLtq2rS6dHo51CY2kczzRWrSHy0kdVVnC5w&#10;GIRATjJCrnpUCySHdgn61j7aUoKF3pt/X3kxyyP1iVWaj726tvqrNvrolunbo7WOng1fUrcJq8es&#10;pG3nlFjhYb4x94uqAYUAkEHj5uV5UkXvB8EviHxDDa6tqF0tvcTGTULqGA3EsUS/PLMUyC+1Aznk&#10;ZwckcmuTsBdXd1HawuqyTOEVpHVFBJxyxwAPUk4A61pafFdRyOCN3k/f2sCOu3qOOprpw8ZbtX1+&#10;ROIwsY05KLSk1o7K67fc+/U9Y8Paost5G9np00enT3omE1zHGzSXKxospEqxpldx3CP+EMOpJY/b&#10;XwO+JPgTQfB0dnc3lrLJ9n3tIDncxAO3pkHBwe2QRmvgrRfG2tWPhex0dtVVrazvLmWHT5Yw3lvK&#10;qK8gyvAZUQdThkJAHU9HpvxUv9Js1CXDxgrlWyecHHH41+n8N5tHLItxjfRb+nl07H47xhwlLiGi&#10;qMnyqLdrN62dk3dLW1m99e9rnqH7VPiLw54k1e8uNOito1MbMsckefMONuBweecj6fSvmXxJrPh2&#10;40SDw7H8NfD/ANqi1RbhtUktcyzIu7ED7mK7MuScAFsLuJCiuw8T+MruaD+35oL5oVj/AOPmFvLW&#10;OVvMEXz4bjdGTjgsEcDGNw4V1e301fGFzY2lxYtdNa+VcXKgyP5eWwgcSYUEfOBtUlQTkgHwuIcy&#10;ljq0pxW9/uPruFsoo5bgYUJu/JZL3rXkk9N1d+T018jiNd8C+DrueTTNc8EaFdrDPJlJNPgmj3HA&#10;Yg4KkHaOQSDgVg6x8BP2f/EGozarqX7PngNnlmaVo/8AhELPy1JbdgKY8Bf9npjiuxuTFNM80UW1&#10;epVcnYM4/wABzUY2YzXyP1rERfuTa9Gz7+WAwNaKdWlFvziuu/c5mL4DfstPpWpWN/8Asl/Dee6v&#10;plkt9QXwlbwyWLb9z+UsSrGQw+Xa6sFH3Apyaq6B+y5+y5DrCXl5+z54VkUQTr9n/ssRIWaJlUny&#10;mQ5ViGBB4IzhvunsgncdfYU6WWK21DTY45A/2i6Kbgv/AE7yvjkdiuP/AK1dNPH5g5JqrLT+8zys&#10;Rw/w+qM4/VYWlv7q62Wmmnytrd7ts4XV/wBhj9leCPUvK8PM01rqC29qdG13UbeG7jPmbp1InjZV&#10;GxMKUBIk52ldp2NP/Yf/AGaL2xuNa8M3nibSTbxiSbTf+E511ijPclAkbC6YMixFGLuUJO5QCcE9&#10;tLbsk8qSxRyMWxuXGAd2cjbx2x6Y/CtLSHvbaOS1F5NHDc7ftUascSgHIDDPzYPOD3xXo4fMc1bV&#10;q00vKcv8+n/Dnj4zhPhqtBSeEpNprV0qbutLr4Gneze103o0jI+H37Cfwd8RGO0/4WJ8Qraa4hUq&#10;1j48v28qTeMhvtDOPuBugIyV56ivpvwV/wAEP/hRrOh/8JDB+2x8dtNbYzNb/wDCSaRMqNkkLmbT&#10;GJwMDk5Jz9K838Ja1pehTW02mXFx5hj3XKzwhRG244CkMd4245IXntXr1l+0zrWl6EdPjvG2+XtX&#10;D4wa/SeH82pUKb+tzc35tv8AM/GeNuAaWYVI/wBl0IUtdbQjHr2SSt2+88L+OH7BniX4RXM1p4c/&#10;bG+I00Nu4wusaXos7NHuZDJldNQFQy7SSw+YgDPOPKfFPwb+NUXiHUtF+Hn7WdvqUNndNFptzrHw&#10;7tpJNUPnbIhHFCUZWdSG2sRgA8gkKfdPFfxo8TjXV8R6Prk1veQtmG4VuUPtmvJ5tUntdVjvbC5k&#10;WSGRZIpomKMrA5BBByCD0INeFnHE2OjXk8NUcY301Xn0d/y+euv1OQ+FXD9XCpY7DQlJR3V1d6Xv&#10;azVraNS15npomed3qfHjwlb6TqviP4o+Cdat7nxZpOm32nf8IFLaXBtru+gtnkSUXrxqyiVj8yHk&#10;LxgnHuk/gC3t1e3htwqqxCjb2ry3436qdT0mTxDq73019J4k0K+luLiTLvONYs5ZHPHKld+PqDz0&#10;r6cu9EUu3yH5uufpX1vBmZYvNMtqTxNTnkp2vZLTli7aJdbn4b4xcNZTwvxBQo5dR9lCdJSa5nJc&#10;3NJOzk27WSXTvY8guvAynO6JT/T/AD/WqEngRCP+Pf8ASvXLjQFJyy/jVM+H9vzIgzX1/Kj8l5jz&#10;mz+H8Jlz5QGT/drotD+Gtu5x9l75yy9a7TTfDyfK7J/Dn9K6TRNCjHVOB0rRRIlJnD/8KotpYGxA&#10;Mnp8vWvz30nwjpOj/tQfGTSr5wvneKrJ44WUYKhdVBbOM8FU9jnntX6vRaTGYdpXj6da/Kj9ojzP&#10;CH/BQH4i20fyrPawz7fcyyf/ABw1FeUacVJ9DqwkXUbj6fmcd8RvCWiS+I44YolC+TIzDGOQtecn&#10;wPZ22oKyoqxrdFd3HI8z2z6/yr0HxPqTt4qt5vMOHjx9c1gS2Mp+1s6szD96FUDqMf1GK+XxWK55&#10;6f1qfYYXDuFPX+tDx7X/AAujQMrxDKzP8zDnsDWLfeGR8ypHu27dpC9eP8/5Net6h4c3SXTMPu+Y&#10;w3Dr8yAAf5xWeng4fZpCiN8yqcemfp9KqjKUrE1oxjc8vt/Bks8+Fi+Yu3X64/pXRWPwslvrlo1i&#10;3Foiw+Uc16ZofgO3ULDLF8zszKQOoJH+fxr0XwT8PtOS+T7RArNsYltuMfMcfpXtYenzSVzxsRU5&#10;Iux5t8LP2YLrxA0aiybqNx29On/6/wDIr6A8JfsO2Nhoj6tqWngrHDukRlwRz/PPH416L8GtJ0XR&#10;0jDov+sADDjbx1+v+eK9b1jxrocfhiSC1Cp5iPHMsv8AGoJA7/Rs8dvevdp06cYnhTq1JSPhn4q/&#10;s7aX4XeyE1kv74y7WZQc42ev1or0r9oPxNHqU2mxwsszRSXHmPtxkkRc498GivOq14RqNHpUcPUq&#10;U1I+cLZld3juDkbmCn88UyK0bzWuAjMiwjgKepNV4btRPJ0PzsfbritDTyGgYM+F8lRt3d8V5bmn&#10;HU9BQaloTLAMKbiPrHhfQ5/+tVi2tQltNGy4P2zOOmAFfAqITq+rW9uVOAFX9BzVsMTEz5Bwztx2&#10;61yYjWyOzD6XZDcBY4JpISPv5bI5HI/wqjaPu8NrtA/1rE9sgYH9KsXUrLpsjMdu/cdzL1ANZyuE&#10;8M/e/hc/Xqa86UfzPRjK/wBx9O/8Eal839p7xRqZPyx+CtmfXNzb/wDxNfpffXXy49fevzW/4I0p&#10;j41+NbrtH4btEVuP4pjx/wCOV+i17csWC7etfWYXTDx/rqfFZhrimNvrnaSD+dZF2+T938qt3k2T&#10;kv29az5mLnBPWug4yq8eeCp7nNRmEbtvH41IzbowBxx1p27Jwvvz6UgIZYliiaTZ91STXhP7R0zL&#10;8ffB9krfu4fBOtMw92utLAz+Rr3bVmddKufKOG+zvt/75NeG/HyD+0fjzpsyr/x6+D5hyP8AnrdR&#10;/wA/J/SvmeLpcvD9b0X4tI/RvCWn7bxCwC7Sb+6En+hz0N5c6ZNHf6beSQzQyCSGaGQq6ODkMCDk&#10;EEAg9RimW7AjLHczfMT61paG1tomv6frOo6HDqVrZ3sU1xp1wzLHdRq4ZomI5CsBtOOcHineKr2D&#10;xFrdze6Z4ctdNgmu5pLWws1+WCOSVnWEE8uF3bQTlsADoBj8MjGPs782t9tb/wCX6+R/d1SVT61y&#10;qm7W1ldW9LXvfrtbzuVYJWjm/eDlsHDdSCK6bwp4jg0a5mmm0SyvlmtJIFS9jZliLDAkXay4deqk&#10;5HqDXJ29rMH3Mvb0rRgjkUKu3kZy35cVtRqLm0Zz4qhGtRcJrffp/wAE9CsfE2sa1C1nearM0Mlx&#10;JM1ujbY98hVnIQYUZKqcAY+UegrZHhy2uYGkEm4D7retcHotzLG6kH8667TvELiDy89ugr6LC1KU&#10;o++z5fFUJUZWoxsuyVijq2i6bawiRbiT7R9ox5PkjZ5e372/dnOeNu3GOc9q87+HuneR8NPDdvIp&#10;3R6BZq2fUQIK9G1OZrpmnGdq8u3p6VyumR29poGn2wH+qsYUX2wgGK8vM4Q3St+u562Vyq8y5m3v&#10;+hQnswTkdqry22TnP5VoyEyPgJUZs5WO4rtGMV87Up3PpY1HFashtLm6s7a4s7acrHdRrHcLtHzq&#10;HVwOf9pQePT3NXNJvLe30++0+7a8K3EKm3S3ugkYmWRcNKpU+YoTzQANpDMpzgFWatiCoDManiso&#10;gQMdKqnzxkn2Vvk/+HZlUlSlFprdpu3dWs/wXy02LFlLLc+VH+8KxRhI1Y7tvJJA9Bkk4966vw3Z&#10;yzhVA+tYGmxxowwneut8O3UcG1iRXuZfy82p4OZVHyPlRc1jQ57a+0nU7GVlks9Q86OT7rI/2eUZ&#10;HuC3Fc7rOnsQ2WBY/dx25rstU1uGS3iQyKPn/vf7LVyeu3looYiYc16GYeylG8e36ni5W63tG5LW&#10;/wChzwW50PUJZlitZm8qe3aO4hSZMPG0ZYZBXcAxKsOVYKwIIBrCm08nnzO351p6hqVs7HYW/wC+&#10;TxWZJexu/wDq3/75NfIYhdOh9nh1P4utl+H/AA7CbR5beQJcRvGzKriN1KkqQCD9CCCD3B96I9MD&#10;Nx0pUvoGGLhZsbSR5ce45A4B56dPp6Glgv0HSCT/AL5rm9nC91t+P9fI6b1i3Z6euxoWVXUphN2R&#10;sOQd3HU4BHOeD64rX0nRVPCoDu4G7tzWTa6jbh+RIM/7BrpvD+p2TModmHb5kPFexgafNJHk42rV&#10;pxZq2Pg28uY2MMjLu4YeoyD/ADAqtrfha7tE2O529667SNe0uyiCTTqCclTuHrWX4n12wumYx3Ef&#10;/fQr63lhTwysfIRq1q2KtJaHK+M/Ei6lojaZH4Ws7ebzbnymtYfLWGN5YZYxkHfKUKSoPNZwFkGP&#10;mG6vPbpdYgsH0sJD5b3Cy7mhXzMqGGA+NwX5jlc4JwTyBjuNUeKVztZTz61jzwKxbIH5V8xjMRUn&#10;Nts+ry/C4fD0+WK0vfdvVu/U5fVPEXjW+jmi1C8kl+1TLLcSSKGeRlG0ZcjdgDHy528A4yAarw3e&#10;oJw8X3eDjvXSSWaE4KCoxp8RP+rry5ylUleWp7NFU6MbQ09Pu/IxYtUuM/PGT6cdaL7UjJ4j8KxR&#10;pt83XpEb/wAF1439K3E0qBm+aOodQ0VG8U+EZIkwE8QSlvp/Zt6P5murC04uW3f8jkxtW1HV9V+a&#10;Os0fw5f6tFPcWdpNLHaxiW6eOMsIYy6oHYj7ql3RcnjLKOpFdBpnhm1LR/2nNNHCZEEs0MQdkjz8&#10;xCkruOOg3KOMZGc0uj6alrO0azLIh4LR5AcZ9+3euguZYo7HamK+owuFoxjd9PuPlsXjq8qnKtnt&#10;bdf1/SOTS31KW8+zWsck8pUlVjBZtqqT+QA/ACqmqeKdSFqNLkvpDBDI7xxCQmNXYKGYDpkhVye4&#10;VfQVPrlwfMYhPxzXOajcrI/AA+XGPwrjxFd09Ez0cNh/bSUpJfd1/wCG/rUbeX1zNHufcyknB7dB&#10;n9MVkXE0T7QA3mZO9t3y44wAPz79+2Dm24YrkJ8q/wAW0dT2z+FaV/4n0m+8EL4YPgrTY9QXUkuF&#10;16EMs/krAIvs5UHYVJUSFsby+SScmvKqShUu27dr9fu8/wDhz2I+0o8qhDmu7OzSsu7u1dJbpa9k&#10;zgviasH/AAgV5OJGPkm3uJNy/dMdwjjHPPCg547+lfYphWUscf5wK+NfjKjWfwd8VXcY5h0G6l5/&#10;2Yy39K+zLVt5kz83A/PaK/TvDr/ca6/vL8j+V/pFx/4XMFL/AKdy/wDSv+CVJ7IHAz19artZIpwB&#10;7/StRxkZAqFowrcmv0ZH86jdOtECLx/CK2dNRQ2R9Kz7YqFGV7VoWJwcY/L61ZNjWtigUivyb/b9&#10;tzp//BRLxkqceZ4f09xjvkxt/jX6wW0mYq/Kn/gpLAbX9v7X7sn/AI+fD9gF/wB5Uizz+Irjx+uH&#10;Z6WU/wC9fL9UeZ6+Vk1jTv4lZcZAz/nrUz2q/bXhUjDWgZmK+zZH6VXvm8zUNNmB4Vm/ocVoTW0g&#10;aZwm1vI7cZOH5/UV8ly3t/XU+25rX+X5GTJpgMswxnzN4P55/pUcWmlLB12fwrtK10EWnhlj8vaN&#10;0Jds45+Vj+FTWmmRy6HJIQ3CZLZ9G6flXo0dPwPPra/iV9MtIttm5jwrLjLdeAP8K3tL12K1vnVc&#10;blUjjt3/AK/57488IWxtTuG5U3Z+pPIrJ1C8uLG/uJC64k3H3+6On4g16VGrytfM8yrR5036HqWn&#10;fEk6YPs6MBtkBLK2P8/5/Cvq/wAYry58y3S6+UBif0P868vvNWd9SuEU/Lv/ACGetZcmoSywXz/a&#10;CGj4znpkf/Wroq46UY6HPSwMZSVze8X+LJtXaH/WSFHckrnuF/worl1uRKu/73zHHzYxRXjVMRKU&#10;2z2qdGMYJHKadLnzJpD0ZsZ/OtKwuVwzE9FG7HbgVg6PJ9ptZ5gT8rPuI/3SKu6Vcv5Tspx82Ovb&#10;HWrlOxnGndI2kuVGrxsSf4h09F4q405NoYlkbcVk/h9D/wDXrCsr0HVE9Vz+owKti5BjXLbtolHB&#10;HdutY1JczRrSjyoW6uw+kypnckW/j0y3f86oS3DL4ZVQRlo3/nThcGPQtQaX5TtIX/v4prOur4rp&#10;ogfptYfdFZON/vNeb8j7H/4I224Hjv4haiD8q2GkxLn63B/pX39c3GWBzxXwZ/wRztlhXx9qIP3r&#10;+wh4/wBmOQ/+zV9zSTDzVDE7s5/WvpcN/u8fQ+RzD/epf10JbqYl+f51Slk4yfxp9xJk42/Tiqsk&#10;hBYZx+NbHENtSRBGpb+GnCUMc+ntUMBOwc00yqCST0oANVlX+zphn70bfL+FeGfGFLzUvj1NHba/&#10;cWa2vhKx8zyYY3B8y6u+SHRsY8vt1z3r2nU5glowPfj8zXhHi2/ef9pHxRbuGZbfwjom3/gVxqmf&#10;5V8txnPk4fqvzj/6Uj9S8GaftPEbBr/r4/8AylMzpNM1thz471VP+udraD+cFdZr/wCz18QfDPwe&#10;8O/HDUPi/cLpfibUZrTS7S3+xm8EkLzKzMhtMbQYW+ZWIG5M4LAVseCfhPceN/hv4y+Jh8Tabptr&#10;4Nhs5LuLUBJm5Nw0qRxxFFbMjPGEUHAJkXLKMmu4+M/gPxdd/s0fAe2sfCeoXN59l8TNDbW9jI7t&#10;9o1G2eHAC5/eKQV/vAjGa/FI605TkrWV1t/Ml+p/V2e8SUcLm2EwWErpN4hU63Nf3Y/V6la120k2&#10;lBppu19ex4DH4d1hpNw+JuvfL/072H5/8etdN8K/hF4q+JvxB0f4e6V8SNea51jUI7ZGSwspPLUn&#10;55Sq2wJVE3O3IwqE5HWui+P3wnHwE+LurfCSDxda65NpsNt595BZmEqZYY5tjxsW8t8MD8rtlGU5&#10;BYqPsL9gD/hcw/Zx/wBKOg6Xo82orb+F713Ed1Ksl4y3crkh1Lqd6wKyfNIu1xs2sdsPTnKv7KS2&#10;veyV1b+u543HXHmHyPgiOfZbarGtyqm5TlD40+WSjJNya+Jwsm4pttWZ8u/HX4A+I/hj4w1fWdLt&#10;fHGl+Dz4gn07Qb7WrK1UztEo3MD9mHyO3mNEzD95EMgsUcjkLTT7uQbE8Z6v14zHaDH/AJAr2n9u&#10;aeKH4pSaVb/tGah40jk1S9ubvQTdMbTw7MkhSODajmHzQsk0fCrIgjbfy9eZ/Due7Xxvow07wvb6&#10;1cf2nD9n0e5hMkd6+8bYWUEblY4BXoQcHiuqpXjRqOCS09P0v/Wg+B8ZmGZ8E4fH4yXPPkbvecXJ&#10;RVrydTlfM7O8vhfxJ8rO6+F37Kfib4mfBjxR48t9Y8QfbLeWxi8MTXF1p9pZ3Ze4ZLomSeFVfYqY&#10;GGHznbyeB5R4q+GfjP4bazL4K8Y32r2OpabiG6t7qG33KQBggiLDKRghgSrAhgSCCf0M8f6fc2ur&#10;eGZNZ8X+HbyTwzJfeMfEnhu7Fxql9bo7sIrixtYB5syQ77iCMmMKXKvsMigD4o/ak+P+jfHj4nt4&#10;y8K6TqiWUemw2dvcaxe+ZNd7C588xr+7t1bcP3UfyghmwGdgKx0fZ0VzaPTotev4XS+TPj/DPjTP&#10;eKeIqylTTw805uzk/YtcsIQ52+WSnySmrRTblzLS6XndpoGvatqUGlaPrOqXF1dTLFb21tbwPJNI&#10;xAVFUQksxJAAHJJrprz4IeKND+E2v/FHxn441TRP7H1610e30vUNPgWa+vJVLyQgGLMbxRhZSGXl&#10;ScEEYPYfse+BfCXi/wCLWm6/4w+LFp4cn0HXNMvdN02exMj6xILpf9HjIdcPu8pcYYkSlgpCNj6Z&#10;+K3gpbLTPFHi34lfBbWPGl03xXm17wj4bsdHkuYb0xaPDpkTXf7t1jgUGVucFtiFQ4yp48Ph1Wpu&#10;pJpW8l579Vrtpqexx34j1eHc/pZThKblL3JSdmm/3kG6cHNKEuem2pTUv3d2201p+fYmvMbYPFup&#10;ye4htv8A4zXof7LHwkPxs+O+g/DbxZ4216103UvtP2iSxWzWUeXayyrgtbMBlkUHg8E4x1rL8XeF&#10;/EnhzxFdWni3wY+gXs0huG0l9Pltlt1clgkccpLrGAcLuLHaBlieT9af8E6fhp8AL+bT/H2n6vq1&#10;7460+zuJNQtJIZRZ6bvlkgQhxEqb5IWGEaRycuVX5GKxgaLxGMjTdt1e9lpfVevkfSeIHE1HIeB8&#10;RmFNT5pwlGEqfvck5wfJJyTsoxla872vZK7aT+K7bS9V1YnUNN8f67BaXBMtrDMli0qRHlFdhbAM&#10;wXAJCgE54FbWm+H9YjVVf4la42D08iy/L/j2r0f9qjxfPr/xTk8OD4R2nge28M240ux8O29vHG1v&#10;CsjygsIv3eX80uPLym1wVZwQ7ZHwql+EEUeuat8VdYu45NP0WW48PabDbyNDqV+vMdtM8QLpG5wp&#10;27OGJ82MqN2lOfs6rgmt7Xtb89vmduBx1TEcM0cwr0ZpyhF8kZe1lrZJ3g7SbTUm1oru7smz0S2/&#10;YU8aRakvhbxZ8cda07XLfXhFcWsWk2MsUWliFpH1Rp2jRVttquoYqf3oSIlGZgvi/jjwnbab4o1C&#10;y8G/GTXtU0mO7ddPvrrTrGNriEH5XK/ZgRkeoGeuB0H3Z8BrzU/F/wALfs/gfQfEGm2v/COw3GpJ&#10;4X0GPQ7e6mnt32fYJb5XkvLqPyoY3me5WFgyvvYHYPmX9sPWX0rxDo/hXxn8Kda0TxVa6Mktzqmt&#10;eKLXULvVbNpJI4XuBbpsMi+U6CTeHKptbeAjL6OKi/q8aiVlbe109ejWnXfS/ZPR/k3AfGOcZpxh&#10;Uy7HNyesVBOMHFpXc3BpScfdSSUpuHNduaacfJ/AXgLWPGnjvRfBkHja8WTWNVt7KOaa1tiqtLKs&#10;YYhYlJA3diOldR4i+BGu+E7n4hPqeuXKWHgC4W3kvbzSAgvZJNQSzt12rzGJdzSK3zLhOSAdw9Y/&#10;YD8I+CW8eWvxd1L4s2tjeeHbS+v9W0ebQphDaaeInhM09/LsggOX37VLnYM9BII/or4xWnwluNE+&#10;JHiXxV8P9R8U2Wk6S9z4uSLWneLzNISLU7Ow8uSRNjuLtpFESmI+WwlfcwVuGjlv1rDuo2lq7dej&#10;7X676aJM6eNPFmvw3xbHLcJTlOEYxU7R15/ax5re0jG/7pSjFqThKU42elz83zdXZX91JD/wKA//&#10;ABQrvPCXwC+Iuu+FrX4jeKfFfh3wp4UurG7u4/EmuQu0EkdqxE8aLFIzmYKkrrEwUyLDIVyFJrir&#10;XTZ/HXjn7f4r1ix8O2uta4816dNsS1tpEM05ZlijXDNHCjYVRyVQDrX0/wDssz/C7RLmPwLp2rW+&#10;vXWi+N5odBtLyxvdWn1QiWdoNRtLdpI7LTJFjx/pbLIVAk3MqyoG8vDwpyqWdvw/J6u+y8/uf3vH&#10;/FGZZDkMa+Coy9q1zSSg58kLWb5k+RSjNxv8el3y8vvx8H+KPws8XfCm60fRdU+I/hubWr7Rob7V&#10;tDTQ7j7RorS/PHDcBplCyGIoxXIcEnKhdjyZ3hfQfizrmpQ6P4e1rR7u7uJAlva2/hW4lklb0VVu&#10;8k/QV9F/tP2PgqyPjSz+L2i/ELxJdTTQw+E/GN14AsdLjsb2KOXdCb6NLdr2B3yPmhYeWu6LecS1&#10;xP7E2geBr74jXL+MfDMl1Dp9ib99bk8SXGnRaLbwkGe5kkiYHb5ZIweC21SVVmdfW9mqOJVONld2&#10;V+mttbX330v+h4eT8X4nGcB1c4xcJSqUotuySjJtKS5FJw0hzKDUrS9125m05c34z+Dnxh+HskNt&#10;4u8XeEbq8a8eDUtN0m1a4m0uQFQiXXl3TrC0mcopYlgrcAqcV/jv8J3+E/xL1b4b3fiKx1ZtNaFW&#10;vodOe13l4I5fuebJjG/H3j0z7V9neJfh7PoHx08SXXhzwvdaPoeuW2nW11feHbKxsre6uAbuW5jv&#10;Rdv/AKQHE8J+0W0Xm8um/dG4r4//AGw/hpqui/FLxB8RNX+JfhvWP7a8VX0Ys9D19ZrnTwjnyoZ4&#10;SAyOsSqrbQyqykEjK7u/E1JUeeEujS+66fa/3Hx/AfiLU4i4ioYLFSjHmpTdl9qo5U3FW95w5I86&#10;Sc/eTTa5rX8t1DRRuzbbY8ddtww/H7po0L4b/GPxbHcS/D7wbf6ytqB9o+wwzzrFkZ+by4W29+tf&#10;Wn7Ifw9/aA8Jfsy6vc/DvVNJ0fXfG2qRjwjceJNPP+jxiFmkvAyxyNJviRjDHKoiDRiT51l2v2ll&#10;4o8BWXwKuPgv48/aa1LxNBp/wZ1i817UtDsYzJfaQzeRHqMdzsYNLDHFLFGQ584s0rhztYee8Kqy&#10;TlK19dvNabrvfroejn3jRLKswxGCy7CxrOlUULxnKTaUeacuSNJpKLThrU1knb3Ytr88LvVfiVbv&#10;tt/Dmj3C/wC1rUiHH/gOa6X4Y+HviX8Rm14QeGtHtF8P+GbvW7rzdakZp4LcKXjhAt/nlKtuCnAI&#10;VueMHM8bRaTaeLdRi+HOt3l5oqXbf2TNrFqsVw0PVRII2ZcjpuGN2N21M7F+3f2P9M8Eajr6+Ivg&#10;bZz6b4Tj1+XRZprzw352paun9jxTvJLfJIzWai4UsVCxRM6xBMM5D+fRpxqVFGy1duv37n2/iFxx&#10;X4V4ajjqFOfPUjzRcoWjFqz5aml4yknZRte6ldxUWz4ptfF+kyEiW1mVs/dyvB/EirEuuQzavoTW&#10;mh3UxXVHZSkkPB+yXA7yDsTXafGT9ozwh8evBPhRJvAGu/2xpdo4uPE2uatBd3N5bykyiKUxwKzh&#10;HY+XyoRSw2sXLD0b/gnj4N+D/jDxfq2ia5p1rdeILqGO30myvtXuLNZbGWKeHUdnlA75RbyMyoRk&#10;leGjG6Re/B06cq8YN76X338rrrp5lZhxbjMBwbUznMMJOEqfxU4tSdudRUk3b3WmpNtJxje6015H&#10;RPDPxO1jwvD4w8PfCnXNSsbjWG0uFrGazkke7EPnGIRef5h/dgtkKRgHmsqPxRqd5F+/8Lajbjr+&#10;+kt2/wDQJmr690n4WeGLL4O+INR/Z61bW5JPD/ja51nwzo9rNBay2WoRQyac1vcz3+5fJ3K8zq4W&#10;VYWX5WJUSfE+reJtelv7i81fyZ57i4klnmsvK8pnZixKCECPZk8BAFxjbxivSlUVKmtd1387aHgc&#10;F8Xf64ZhioQjyxpNWTXLNc12lKDvstHJO3Mna6szVmsNY1HS7zXbPw/qU1lp/ljULqDTpZI7bzCV&#10;TzGVSE3NwMkZPAzWL8StMvvhj4pvvBnjbRr611LT2CXlvFYSz7GKBh80SsrfKQeCa+lf2H/E0Osf&#10;Av4p6Pb+BdJ1i80u1h1SztL7SWumvrhYpnhikjVWaVUlt0ZERS4aRioLECvPP294/iMv7ROr6t4u&#10;0Wazs222mhXKWJhhu7dEVyyvtAmceeFdsnHyqcbcV59eMPZqd3/TZ25VxxjcR4iVuG5UowjTi3zO&#10;XvS92lKPKr/35XW9rPTlkn4TB4n0W6fZFHqSnOP3mi3SD82jFWhPYkB3vo1B/wCeh2/zrqvgZoVn&#10;4p+IA0jU/Cs+uxrourXMOj27SiS7nh065mhjXyiHLGWNMKpyTgYIOK9L8Ffs2/ETX/2db+x0f4SL&#10;N4yvfH0OnyR6w6WV5Y2kWntdExrcPHy5ZQVGSyNv2kRhl8/2LqSXKn/XyPrs841ynh3EOhjJqLTo&#10;3bcYxSrTlBSvKW0ORym2kkrWbb0+Xvj1q+gwfAzxkP7ds/ObwvfiOP7Sm5m+zvgAZ5JPavr3w7qC&#10;31ot0D/roY36+qA/1r5J+OHn3/wM8aQQvu83wnqIj2nrm2kxX098M7sTeD9LncgtJpdsxP8A2xWv&#10;1Lw95Y4evFd4/kz8D+kNTl/aWBm+sJr7nH/M6g8nGOlRlTnKjNCyhu5/CnblPTt2r9GP5zCFuwHf&#10;FXrR2BxWfaEsGPH3j9361ctjhuO/FAGhBKVyCa/MP/gqbbCz/bGt75SQbzR/mOOuyO2H86/TaOTH&#10;9K/NP/grnCtv+1B4VuwozNo8zc98NCB/KufF60Gd+Wu2J+R4lcNnSrBwx+Uudx/3E6/nW0JSXdXX&#10;/WQqd31JrAubhZdPhRcDy5Cdo91QVeuLhpEsZRL/AKxo1YBuoCcD6c5/Cvmox2+Z9c5Oz+Ru6WQL&#10;ePP8NsAW9f3INP06bzvD91Cz4wsgU/XkVSt7wQWE1u5+dY2AGeCApXFR6LcmS1uoWYZKOV/I+1b0&#10;5e6/kYzj7y+ZLPdq2hxpJ97C7en96uf1ibdeNHGuQY1y2evy/wD66uLe+ZpKAN911Bx+H9axbm6f&#10;7XMm7bu2LjuuM8Vtz+8zLk91A7ebqsgQ4O7P5ms9ZisWpQgMxMi8fganhcNqxx/zz49/mqkW36te&#10;W6t/y0H6/wD66xqTb08ka04Wd/MrsjmygJJY7Tny/wAPaipLYSND5e5VKsRx9B70Vzt6m6jocfpM&#10;scEEkUZxuQscL1JFWtMuM29wyN91sHv/AAtWfp829JAT2B+vFSaQWls7pd+d0vr7Vo5e62ZpapIv&#10;adeH7UXYfdT7yjntzVyK6eW1Z2H3F27vXJP+ArH0R1vZZFk+6+5NufXPNXnnQWbkBdvnKPpw3+FE&#10;n71givduLcXx/si4gYbd0j9e4BHP6VSvnD2vl548vnnpwf6ik1C7SSHYvG2Nlbj3qpeu1xhEbCrD&#10;8/0NVFGbZ91f8EelaLwl4xuW+83iKFdx74gU/wDs1fbAuMSqGbuK+LP+CRcXkfDHxNcrkeZ4sYKf&#10;922hr7GEqiZXLV9Fh/4MfRHyuO/3qRflnIGM1VmfI+YY449qSSc7hnuOtVrqQ+UzIf4TtzWxxkwk&#10;44P4VE8gWQ4+lME3GMj/ACKrzTDO3+lIoh1qdvsoXLf66MfhuFeI+LFx8bfFmpL1fS9Lgz/ufaX/&#10;AB/1v617FrE42KN3/LRce3zCvL0j874m+LNWhf8AeQ6paRKy9VK2cEg/9GZr47jiX/CE0+sor8bn&#10;694Hw5uPqUv5YVH/AOS2/U6T4DftL+O/2fbjWJ/B/h3R9UGrW8Iaz16z863S5hkLQ3BClXLR75QF&#10;V0B80k8qpHqB/wCCkn7WerzRtFqXh2y+YD7Pp2gna3P3R5skjfrmvDxaiGZZ0hXKtu27AR+XTHtT&#10;o7do/mQMP7rV+NxrVaekZNLydnb+vkf1VmXh9wXnWYzx+PwUKtWdryld3skldXteySva7SXZHY/t&#10;AJo178TLjxlpnxBh8RXXiaGPV9Ymht3jSxu7jLtZLvZiywrsjU54UBTypr1DwL8Zv2ds/DvwW0ep&#10;eE9L8M3tlr+vaw2mrdDUdZgHziRELTeWQGWORWO3ziGhxhk+ebm4jtvvFizeneoli1G/kxsVU6H3&#10;96mVbmrOailfprb5NtvXrr5bFY/gvL8wyXDZdVqzSoK0HFxjZ8rhFuKjyPkT91OLSetmz3nxv+13&#10;8PrnQ/iJ8PNc8AWfie11DXtYufh9rX2VVm05rq9eRpNz4dYjnzhtAYsCjBlf93598Ifj14k+Exvt&#10;Y8CeD9L/AOEjuIzFp/iTVQ0x0qJlIkNvBwvnMDjzHLAD5QuGcNytnoNtCeQz7fulucVcS02DCrtr&#10;R1qkpKXVbP53/XS+xjhuCsgwuX1sC4ydKtyuceaSjJxST0TVlO15xVozbfMmmz0z41fGL4a/Db4F&#10;Q+J/g74o16++I0Pwt0/TJfEVw/lxeFYrKwCTQ2RaNXM8zo4aTL4WaUrIu/a2t8Vf2q/h18W/DDWP&#10;jT9mfS5/FD6aI5fGVvrf2a4nvfIEf2qSKC2QSfMAwiZ2UAADArwv4haWbz4c+ILRQcy6Hdp78wsK&#10;0p4l8xsrV1sVWlT6a7qyt66318910PKyvw54Zy+tGaU5VKb5o1PaShNJv4L03D92klaHwt3bTlKT&#10;foHh79qjxv4J0XS9P+Hfgvwd4fv9Ms1h/wCEksfC8EmpTHkF3lmDrllwDhck7jnBwLsn7cf7Vt1c&#10;LcXPxkvCykf6vT7SNTj/AGUhC/pz3ryiWWKPIHWs+81qGEffB/3TXEsRW5eSMnbsmz6GXBHCNetK&#10;tWwFKpKTbcqkI1Hq7uzmpNK70S0XRI9F8f8Axs8R/GjxzpPiv436tNfrZ28NleS6bBDBNJarPJI2&#10;0BRGJMSuASu3hcjgk3Pi58dPh5/whafBr4BeEdT0XwvPNDeeJL7xE0L6lrl1G2YUkMTsiQRELIqq&#10;RmTnamGMnlCzX+oPttl4K/6zrjjp/SrUPhhpyr3O5mx83zdefT/PStIzq+85O7fV6vz18+pdbhbJ&#10;Z/VoqHLSoO8KUXy0rp3i3BaPlesU9E7NK6VvfND/AGtv2ffih8NLfwt+1p4C8Ta74m0+Oaz03xh4&#10;dhh+1rZ7cxGWWSdDLKjvJgOkifdZgzM5Pj+heNNU8CfE2Tx78GNa1TTY7K+mbw/da5Y2z3kMLBlX&#10;zY/3sLSBGIJ5Un5gq/dWlBocFsuBDt+gqzf6Zd6ReTadqVlNb3FvI0U1vNGUeORThlZTyCCCCDyM&#10;VVXFSmldK669X6vqcmWcJ5TlNevGjObpVlK9CUk6K5n73JTa91O7Tiny67bH094K+Nh0H9lL4heK&#10;PEX7Tl94u8UeKNNs7GHw7qmoSQXWmySMYJ2tomfaQq3JkLwIo2wAtgjCfOOravreuSwz65rF5fSW&#10;1utvbNe3jzGGEMzCNd5O1dzs20YGWJ7msy01BILxYTJ963kO3b6FP8aZcasvY0q2KqVowUuit66t&#10;/wBdNDn4d4My3h7GYivh4pyqzUl7kI8iUVBQioRikklukm7u93dv3P4G/tM3HhaxsPhnqkHhPw/o&#10;cWJm1i48HyalIt6komhvpkE6vNLGy/uyOIztYI2xQN3xb+3XpNx8XNW1rwT8NLG00LW/EBi8aXFz&#10;O97J4r0u3RrOFfJuI0S0R7clygBYsUDNgOsnzTJfO5YQAsN2OeKd4hs9S0rUZdPNrdQqFjkjW+tz&#10;FI0UiLJE5XJwGjdXHJBVgQSCDVQxeKjR5YvS69Vo1p5Wvey667nDivDXhPGZ1PG14PnqxkpR5moy&#10;blGTm7WlKSai0pNxi4xlGKkkztvjVqf7P8+tQ6n8C08T2tpdGVrrSvEFtBiyYOSqpLHMxZSrBVVg&#10;zARktISwA9N/ZH+OXxV1/wAbaP4G0j46eE/Bnh3S77TZLzQby1tLH+2IkljSYRyi2Z5rh0UBg0qs&#10;5cYyAxX5olsLm4+Z5WoTw8ko/eQ7u31qKVaVHEe1Wnkrpf8ADHqZtwbhM24deWV6jqNJ8lStGNWU&#10;W+tmkpNLRN+915r6nonxh/aV8Z+NfFvjLTrD4w65rPhXVvFl9Pp1vJrU09nNZi+kktfKR2KrEEEZ&#10;UKAMBeOBXIwfErWv7AuPCVnqN1Bpt9c29xf2MMrLHeSW5ZoTKB98Izlgp+UMEbG5FIpxeG41s2nS&#10;JQsciow3DIyDjjr/AAnnGBxnqKdb6HjbKIztDYz69OP1oqV5VKjqNvW/4/p0/A9PLeH8qyzLYYKl&#10;ShyR5b2jFc0oqNptJWcvdi77ppNPRG1+1r8b7X41/H3xL8U9I0q8tLO+uYf7Jj1Nkaa3jjtYIc7U&#10;ZlTc0W/Ck9Rkk8079tLSx4B/ay8f+HdGlV4TrxvmZccSXkMd5IvTqHnYH3rlvEGkebdyb0VQMH7v&#10;sKy4vDRtrYTx2bLDJLIqyCPCtIMMw9C3zqT3+YZ6iup4n2nM5LWWv+Z42D4Xw+V4zCTwsuWnQpTo&#10;xjbVqTpNNy01Spa6O/Ne6tr0OkftNfG2w8Ka58P9R8b6vc+H/F0yp4sha4SW5vrUwNbzQxy3KSiA&#10;yQFYzIFLAQxAHam09j4O+Omt/GL4o+JNO1KLSfBPh/VPhDq3hDRbe61Qvb6Pp0Wlz/Z1lupgplIk&#10;G8u+D82OwJ82j0RTGMp9KH0SArteEf7Qxn8KxliJRsu1vzuY5h4e5HmFOtOjTVKrUhKPPFWs5RUe&#10;ZxVoyaUUk3qldJq7vm+BfG0Gj+IbHWfF3g+PXdNgdZLzRpL2W2+2R45j82L54zg5DDOCBkMMg/WV&#10;t+25onwK+F2j+ItG8FfDOz8QeKtTtBH4b8BIJtQ0LRdiyXVzeS8o12y+XHFDKIwHYO3nCOWJfl86&#10;VbZy8eSTxUw0eyCsxirKniI05XUdfyDi7w8wPGUqH12rLkg/eipStNLVJx5uRa2blyuTSUbpHtH7&#10;bH7QfxLvtO8P/DrWfif4b8beHdWjh8S6Dr2m6d9lvnhxPbhJoUkAiwxlUhkOWjI+V0dE2P2PfjZ8&#10;Avgf4DX4rfEHxfJfeIo/EguPD/hDRoX+1maKwvbXdMzAIImj1CU7mIQGNSGaTMY+exoWmGYzfZk3&#10;su1m2/MQOg+gJP51paHolityrGEfKxwf+AmumlivZ1I1Fuu+v59vM8f/AIhnhY8If6vuu40nPmm4&#10;RjBzSlezSTUW0oqTgo3abSSk0fYXhL9pzwE2pTeCp/jWvibxJrcM0Gj/ANqTXc/hzwxcwubjTd8t&#10;5Csl5KLkxf6XtZx5YLlfLUnwf4nfC3x94HTSbv4lSalb+JfEmu6tFdR68Uj8427Wm648w7VZXkun&#10;zID5ZCZU7ea4SbSLJySseOe1WfFmt+K/Glto9l4q8XanqEPh+3mg0aG9u2l+yRS+VvRN2SFPkxAL&#10;nACAACqlifaQtL5f1/X5WnI/D+twvm0MTldWLhUa9tzRSk1GM1FQ5IxileUeaLV5cik5c3Nzfcn7&#10;JHiHVdY0W3+E/wDwnk91JoFwlzqV54R0OAaLEptjjS1volCSzo8kF3My5LPKI90iCYV5V+098N5v&#10;jZqt9rXiHxm3gvxdpTs7eEPHXiaKKPVLQxfuLy1Ane2imZIjFIsLGIyRliYjuDfMP2zxHDo7eHrT&#10;xPfJYtcee9h9qdYGkK7d5jB2lsYG4jOKrzC/IzcKJm2gZZuSo6Dn0qamK5qahbT1fb/PX5vTU+fy&#10;vwfzLLOKqudUMbCE5O6apJ2bd5e6pRjyy1Ti7yWjU+ZXPq39iL4jeF/Bnh+81fwXd/ZdB0/wxNrH&#10;xT1rU4fOms/IS5MRsFiBaTIKyEMkg2xsAN7gN0fjX43/ABC8UfAXSdb8FfCTxZ4iuvEXh2e68G6p&#10;oUkt+3g7UDpcOntBPOVM1zLHLNqEhnmXMmVA3E5i+LVRJQbV7Y7ZNv7sj5SQwYZ+jBT7EA1t6D8T&#10;PiZ4SsW0Lwf8S/EWj2jXBlktdH164tEaTABYiF1y2ABn0ArSnjKnIo2sl29F8tbXfd6lcT+C+Hzn&#10;PKmbwqqdWUovlnzKLilLmUpRbbd3FRaSSpxUGm25PT/ap+Buu/C34b6Touq+E7nT/wC3vhvLcXTX&#10;CsrPeO90HhKNzG8cBtAyYGC/Izmu6+Dt603w18NzFvmk8P2bZ+sC15R4s17xp42tmk8a+Ndd1qRb&#10;OSK3k1zWbi8aNGByFMzsVBPXGOntXffs+3/2r4M+DboHIk8Jac+T72yGv0Tw+lH/AGlR29zf0kfn&#10;vjZg80weW5VHMqkZ1v8AaOaUb8us4SSXNraMWoq/Y9IilI/i/LtUhnUjjFZ8M/y5U1P5275SPcV+&#10;kcx/PpdtCMct1Y1cgcZyGrNtpcDg1aglLNmqAveZhmUV+b//AAWAYRfHrwTdkfL/AGLcBjn0lX8u&#10;n+e36KtLg4Jr89/+Cw1kG8beEdXAbfHbvCp/3hM2P/HBXNi/4DO7Lf8Ael8z5utr5GdVYj5Zl3cf&#10;7Q/wq1HdKtnaPuywdTuH+6ef5Vz8VwkEyrv+7cIGGT/eqawnmkto3lyoCn8egr5vzPr/ACOlubox&#10;TXTMcYjkKkjgdeP8+lR6TeuvmhfveS+encnjFVNXnmivLyNSoVbeTt3AbiqOm3sixI/fp9eR/n8K&#10;UZe4XKHvovR3YOnsFO7a4G3PX5v/AK1U4ZEu7pjnO5vvevX/ABqGwu02TRsu4Fe3blh/hVOwZotL&#10;hMB+ZmwvHT0FVKV7kxjaw4TvFrSgP/yzHGfocfrUKyhddunPyhtp/Hioru6Mus5hI+ZgPpyP8KZJ&#10;ceVrrFejRKVx/uf41MpP8BxivxJI5THI4dlxu+Xd9TRVWWWH/lpuU7mHy49aKnmHZHK6cD5Msm75&#10;QwHHbipNA2vZTE8Zm/pVXTztaSNfuq2cY6/LmjRJli0+aSM9ZvyFay1i/kZr4l8yxpFw0Np5hlwf&#10;NHQ9PvVYmn8vS9zn/lqh/HDf41m6fJt01mUqpMn97tg1YkdzBFtPDTY+X6KKf2ifsjXuJJfmz/yx&#10;x9csuRT55QoZ0T7yqrbV9+P6UydRCwQD+FduD1+fP9KdPkeZlODjhu/PStOhmfoD/wAEprdIPgXP&#10;eN/y9+IbqT64Cr/7LX1bA4NwoI6N0r5h/wCCXtusX7N+nuvWTU7xjz1PmsP6V9NwOBMGA4x8v5V9&#10;FR/gx9F+R8njH/tMvUsu6l/u/lUNy4aJsDt1/ClZ1BzsqKdkK4J+92x1rQ5RpfaCSO/eoZn43bj+&#10;dOeT5Oe55qrM20Egd6BlHWZWKKEPWRev1Fea+B5pNV8afEHHzfZ/F0MWPT/iUac3/s1ehazKDLCA&#10;cfvMfXg/4V5j8KbS2fxb8RLy8tIm87xsGRmhUtgaTpyYz6ZQ/Tr7V8dxooPKLN7yR+xeB8ZS40Ul&#10;0pz/AER0moLtfzbl/mbJYs2SeOaqzRapeQLbWsrLDks0Z6Z6Z69cVcvtL0+MLcrFC7N9792Mqf8A&#10;J6+ueuKYLZY1z9nQDthRjp0r8eq0ZRk9fX5n9n05e6iDTtD8k7pMFm+981aC2iqAgZduem7vxmmw&#10;xqDkxr/3yKsRIq8eUv8A3yKUaWhFSpJvcntbJP4mXn3qyunQEbvNX3+aoYXSMbmRf++aju9etrdd&#10;p29K2jFWOGXtJS0ZT8Zy6dp/hbVHuryGNP7Om3NJIAANh5rn9S8aeH/Mbbrlm3+19qQj+dWvFGsL&#10;qugaharEWY2soHTBG3AHt3rjxYXd1M0kgG3+7tFRKhGcfef9aGtKVSnLTW5ebxBBqcuyPV7Xb/18&#10;L/jWhp+k2QkWW4vomLLlf3o5B79elU9Ns2gBJXPfbtrQk1FLNEf7QrMy5O1fu9sHI9Oe/X8K5/Zd&#10;IncqkuW8jf062tIV8tZIfm5+8M1qx26gYTBPtXBz+LTEn7sD/Z+WoV13Ur1SVTCrwzbfX/Jrso4V&#10;yjqebiMRHm0dz274H/A7Vfj/AOMJvB2leLdJ0doLZbm6udVmZQITPFATGApDvvmQKhKhiQNwzX2r&#10;pnhzwz4k8f8AxYuvh40Y8aLr0FvbeNrrwe8n/CP3FxptvaJFbySRt9qa3MS3MkalYgtwu90DOR8i&#10;fsDav8K9P8XW9pqXwsj8SeOr3xBZJpU2s3llDp+l2IuIPMuYRO6s94h3yKsaPI3loI9gMrH22H9o&#10;7wZ4c8B+OPg/8NvC+reO/GUOveNG1Dwo3gu5vYZvP1m72pcgSLFJb5liiLBnbyiBsjyYx62Dp0MP&#10;Sbet9/xStfS6vfv5n8seK+Z8Q5pxJLCUKdT2dOCikopJKcqcpzk1zOVJuEY3nyrm01SafzN+2vPr&#10;l9+2z4mluvB15oVnd/bv7LsrzTVtXuYoWtLd7xQB+9jmnSeZZeS6yLk5yBwsOmNKiboiWVjlvUdu&#10;Pz57/hXZftbx6hpHx9+E/wALNbu1a68Gfs/2+laxpbbSLDVEewedCFym8xPaklSQRtwTjjH8F+E9&#10;A8WeKbPQNa13TdEs5pGN5rGoRr5VpCql3kKkr5hCqdsYILttReWFeHj6f+1yt1bfTq27fI/feAcf&#10;7PgXDVaq5Y06dr3crxgrKXd80VzWV97K+h9r3/7Gnw1sfCdj+zfqvja6g0f/AIWNHq6zW90Zr8wT&#10;aO8Ea3DrbeTZtJeKyxiQbJFiRVdpnCDK/wCCgfwc8A6Z4F1H4keJLTUJPE3naTZaJrt5r08ralcM&#10;0v2mzFuy+TDHHbrJc5hWJGkLgBSriTB+Ln7cfws+JCQHxn8N9U1rwe3irU5vC1raP9hOoy6Zb6Q0&#10;H21WbLW73F/cTDIDKILctCXVgOX+On7Vvwr+IvhSHTdX/ZB8INrHifwTdXVrrV9JDeXGkzT3+p2g&#10;eOSS0DPtkgecYKcylRjG4/QVJZfGNSn7u3ntbTSzWjd07p+Vj+cclwniTWz7AY6rGs2qslJc0INt&#10;2nUjdyjdyjTaqRkrLlS1bSXgLaM6j7v6V7X8PPhw/hn9me61geBtK1rxN8TvEdv4f8C2+oWMEklm&#10;iGQXF6jtKrxgktCCNuyVYS+5H48Gk8E/Dud1kvvAejy/N8w/syHP5lDj9a+mrm5+Efx8+Bfh+M6F&#10;8P8A4Ur4f+IvkeG5/LYS2um22mxCXy5xGGluN93u6xBgqgncC7eLhadK853V0na+m+l+qvrpe2rT&#10;6H7t4hZpm2Dw+EpwjalOrH2k7u0VD34xtH94+eajfkXwRkm1dGd8QvgZ8AtF8LfFj4keDLDxLqGk&#10;6FBptt4cjmtZLP8As/Vrq7khmsn+1IHn+zEW7uSMiG4K5eVfMHg0GlyjkR/71fR3jax+C/7b9ldf&#10;Bn4U+G9P0vVtB1yXVLGTVND0+2tvGk0Nuls99J5UQkhuipmaJQNjQjMiqSotvCfGfwl8Q/BvxLJ4&#10;R8Z+CRouoJCr+Q0SDfGxO10ZCVdchhuUkZVhnIIqcdhoe7KnFJdXH4W73fXS2ittZXWjRzeHeb46&#10;tRq4XM68liW4yjSqyvUjSUIRjJXjByUmnKUlH4naaU+ZFfwr8M/FvxQ8a2/grwNojX2qXhcWtr50&#10;ce/ZG0jfNIyqMKjHkjOMdxX0lP8AsfL8Pf2c9H8X/tDXNq03gXxFJq/9kHUmkU6Xci1E+mjHyCaW&#10;aEFAu5Xk+QOvnNIvnX7I/hPxTqfxq0vUvBngyHWrmygmvbi0bX/sC+Ucwb5Zl3OI1aRN6BHZ48jy&#10;3DEH1nxt41/Zu8S/F7Vvgr4N8T+FV8J+M9GGnXl14Z8Pi2tNL1CExT6fcy3UDD+0WFxJNkI8cMYI&#10;STkSM3dgcFR9hKdTr7qu7LVKzs1rZ2u+bTqranzXiJn+e4jiLDZTgn+6pRVebhFyqR5XNTXMpPkv&#10;Sb5LwTlJ8sZNuy+RfEGmaQdZvv8AhG7e+j003s39mJqAT7QLbzG8rzdhK+Zs27tpxnOMdKybnT3z&#10;92vcPi3+zfqvwi+E9x4k+Iui3VnqsnjmHRrLbeSCOSH7FcXDypgjerFIwGHTaw4IYDxW98N6NcsR&#10;LLqA/wCuesXK/wApBXl4jDypy99Wvra3yP2Lh/PMHmeC5sFU9rCDUOe6fM1GLvzK97pq76u5ny2L&#10;L1BpptnC5y3HtUV38N/Ct02+S915eSf3fi3UEH/js4pbf4eeEraPYl1re7dnfJ4r1Fj9MNORj8O9&#10;cvs6ff8AD/gnvfWa/wDIvv8A+AOS3l3YC1ctmktPLkfK5uoU/wC+nVf61YsND0q0wkEt023p5l/L&#10;J/6GxqDxssNnotrcW91NHjXNMT5WX+O/gTnI/wBquqhBOSV+pz4mtKNGTt0f5GrcQMC2RVSRCOoq&#10;/qNp5o+TXLqPHHyLFz+aGsO+8NapOf3HxA1iL/rnDZHH/fVuamUI9H+YqdaX8rLHlnPIoaI4wo57&#10;mqEPhfV4W3v8RNakx2kt7Hn8rYVpQWtxbx7X1OSZv700ac/98qKz5ez/AK+43jVk901936Mjjg3H&#10;AHepP7MSQ5MfPuKkVLpxiC4hU/w7rcnH5MKSaHxLnFrrmmrzj5tJkb+U4zW1OjzbsipiJx2THLYF&#10;YmCnsR830roP2YL37T8APAcwbO7wXpnzZ6/6Mlcu1t8Q0lzbeLdD2ryn/FOzK2fX/j8NaH7IN48/&#10;7Nfw/lZh/wAifp4/KFa/SeA4xpVMTG9/g28uY/mv6QUqlajl05JqzqrXzVP/ACPYoJ8JtD9qsRzD&#10;O0nn+VZttPld4NWElx0bnp16V+jn80GlA2Sdpq3BIQ2QKzLWfLMob+Lpj2q5Cw3daq5JYebJ59K+&#10;D/8AgsDGp/4RS4P8eobF/wC/N0f6191SP8/DV8O/8Fgtq6J4PmDMN/iIp+HkT/41hitcPL0O7L/9&#10;6ifF9tdsA0kgZWadCR+NXoFX7LHJvLF8/L6YNYMl4xj80nq4/StIStCYG3fftg2NvqQa+aloj7CB&#10;ua/cn+0rpVkO1lm8v3GKz9Ov/OgjUn7rAZ9+KTWbzM0citxJZynP/AmH9KzNKdIIgzjP+kbfxx/j&#10;WdP+Gaz+M1La5EXmTyN/B/Cf+mjf5+lGnFX0k+cdoSZRlm+nH61lLKJ41i3YHlvk+nzf/Xq/CVOi&#10;Mj/Kv2o47EEbD/KiQo7lNpR/ajB+20rt7HCn/P1onmB1iF2l++sY5HbaBVdpVfVppWbkKp3evy9P&#10;0ouJ83cbA/d2EfL3BUf41X+RPf1I72e4hvpIf4QqnoOpyTRUV5IYLxsyfwKNwbGcE0VUeWxEr8zO&#10;c0oAPeSn/nixUf8AAKgsJmisfkPytJkqV9qdaTGNJgqKPMULn6g/41FbSr9nQAfeya07/IjoOgnA&#10;sVRTtVmbOW9v/r1P9rCQW0LHg3Odx6N6VQaT/Qoxuxt8w89vu1eKIq/Oo3LCrK3907V5/X9aezJ3&#10;Rb1ZylwkakN8oPb1NRarLtDxg8+YO/8AtEVDqcpdo+R0Ufzo8SzGOWSMtt2uPx/eE5pxWyFPqz9I&#10;v+CZMZT9mTRHQ/fur44Pr9plH9K+kIGIudpb3+teA/8ABPaw/s79mnwyijas1rNNg/7czt/7NXvF&#10;s7GfJbb+FfSU9KcV5I+SxX+8T9X+ZYaQhuGqOWTEefcGmyu+QuO9V55NsWd38Q3Z+tXc5yZpcKVF&#10;VbiYYPP8X97rTpJNy/e6+1VJJU2//roCxnarKGubYMf+Wn5/K1cP8O7WSS68TXFujSfaPE1zI2xT&#10;0SKJCfwEf5Cuw1ec/aoWzn5if/HTXJ/DJlk0HUbt0LGXxJqw4OOVvJYwen+zXxPHEo/2ZTT2c1+T&#10;P2/wFjfi6s+1GT/8npr9T0T4U/B3xV8Y5dVtfC0tsraPpkl/dfargRr5aYBwT35rlx5MVwySxqQq&#10;7SI343YxnPPfn0PtVjT/ABHrOh2t3DpeoTQfb4fs90Y5CPMhyrFD7Eqv5Vnrgct1r8k9pyy0/R/h&#10;b9Wf1nQp4763WlVmnSfLyRSaa095t31u9tFZLrfSxGRnINSSXEcALuwq5qvhPxD4e0nT9c1fSZbe&#10;11aFptOmkA23CKxViv0YEVzeoXmGw2488tVRlzbG1OpSrx54STV2tHfVOzWnVNNPs1YtX2t4Uqje&#10;2M1h3D3l7N8jN65q3DbPO+6RSB9etXFto7eMMqN93J9q3jKMUTKnKe+iILSzEFlMr4+aPYd3cHj+&#10;tUbsWlnuYvUXjPxJb6X4e89SP+QhZR/i91EmP1rlNZ166vLlgjNjNR7OdR3CVanR09P1NTUfEEaM&#10;UjYVTluL6WNY5iwWT95GdwwRkjP6Vnx6ZfQrDdXdrKiXCl4ZHjIWRQxUsD3AYEZ9RitK0snOE8s/&#10;litPZxgzm9pOoWLGxWQqdjdvvHOOK17LT0DYI6NimWNpgKqJ2rYsNOIwSverdSwRoX6EsOn28sXl&#10;PCGUjDKw6itPQ5rrwzdwal4fvbiwurWQy291ZTtDLDJnO9HQhlbJPIIPNRiPCbV7U0KQOmK5pScj&#10;o+r0ZRcZxTTVndJ3T3T8n2Of8a65rOufHzRdc1/V73UtQvvCusPdahqV5JPPKyzaQilnclmwiqoy&#10;TgKAOBWp5jfxNk1k6pbmX41eHWdeB4T1ofnc6VXRtYx56Cs613yt9v1ZOChRw8ZUqcVGMWkklZJK&#10;Ksklokuy0KSEPIJfLXeBjft5A9Ku6rrF1rEukmZFjXStBXS4gmf3ii+vbwuffdesuPRAe5pBbKrY&#10;J/8ArUnkLuzmudSlG6XU3rUMNiKlOc43cG5RfZuLi3/4DJrXv3sPR2boauXmu6zqGkWGg3eqStY6&#10;bJcS2NrwEjknEfmvwMsxEMYyxO0Lxjcc1I1AGF6U/aAhIH5VcSa1GhVlF1Ip8rurpOzta67Ozauu&#10;ja6j9P1nUdHvo9U0q/uLW6gkElvc20rRyRMDkMrKQVYEZBByKs6/438T+LtTXVvGPi/VtYu1hES3&#10;WsapNdyJGCWCK0rMVUFmOBxkn1rJvEm+6vQ85FUfKdnxzy1bxj7tr7nPVw+GliI1pU05rRSsrpPo&#10;nukdDcarGNPaylbMcyeXPHuO2Rdwbaw7jIBx06VVfXcL5VtCeOBtHSoJSscSny+d3zD0oTUbeEAu&#10;mK1en9eQRpx5m0ld/wCZ1XjX49fGD4ifDvS/hf4u8QSajpWj6pHf6abtA08DrDPCE837zptuH4fc&#10;RsQKVVSp4eRdZbkFV9c1pHVLJ+A2KaXtpeVk/Csa1SU7czvbTXsTluXYHK6cqeEpKnGUnJqKSTk9&#10;3ZaXfXuY81prGCPtC4qP7Jqxix9qbzN3Xdxj/GtqW3VuQc80wWy9q5Lnrc8bamYlnqjH5rnp/CO9&#10;ZXxHjvofDFqZLhmz4m0Ubf8AuKWtdW1vCEV43Yt/GrLgD0wc8/pWJ8QbXzfDtqijLf8ACR6Ox/DU&#10;rY1vSk1UXyOXEcroSt2Zo3CakZGPmnr61FG2oRklnzWvPGJJNvyp/tN2qvsXPHpijm90qNnqUWuN&#10;RU4CCpFvJ0T97D/49U8iZ4zTWhLKQTUaGwltqTbSuz73DfLnv2qdppkhWZ43UMPlYrgf56/lUCwD&#10;d3rsviX8T1+IPhbwxo0mgWdpJ4f082LSWsO0zrncrv6scnPuM1oqj0R5+KqYqniKUKdPmjJtSle3&#10;KlFtO3W7Sjpa17nNQuSNw5+pqL9kuN7b9nbwPay43Q+HbWNvqqY/pUlpsYqqdz0qb9n2EWPwp0Gw&#10;27fs8LR7f92Rlx+lfoXAc/8Aaa0f7q/N/wCZ+B/SCh/wm4GXac198V/kemW0uV5NXIm+bj6Vn2sh&#10;C4HIq5EzcDHev04/lsuWr5dznq39KuROQ43Hkenes21O1254zz79KuRviQAGgmxYmkw+Cecda+K/&#10;+CwcRbwH4SugceT4myePWGQf1r7Ollxxj+HNfIX/AAVksGvvhDptzt/49tYjP0y6L/7NWdf+DL0O&#10;rA/7zE/P543+wyTY+VVyfritC/uHF1YJHLuUW8YbnrmMHH8qpakFTRpVzyCO3TDUt9dfLBcwr91U&#10;UHPP+rP+FfMyd7fM+yirfgWtaup1itgq/ds5t3/f6QVViDLcCFjhUm3FR+HNRateMWQlt3+iONv1&#10;eQ/5+tOeQJrEyBs7ZT+hqY+7EqXxFmyljLSedJ8qCQ8nv2q5POBpbRjAKyu3zdvlAFVLWGGW11Bp&#10;jnayr8o9QT/SkvLn/iUSyMf4N3XtuUVMo6lRZVmneTWZFC/eT5vf5KW7njhBcgcR/KVX/bWq0s4i&#10;1KS5I/vAn/gNMkdvs8cbNndCOe33hWltjO+5O0rvKzSydht3d6KbMzxnZJCHYMd3ze9FMRzpuGNv&#10;HbEcGUHOc54qvFI7rDEhZV5bcMcY5xVeOd5BHMTgbjx27ipLeUi0Rs8rGevOetavQyWoRSs1q4Rf&#10;lVfm5x1ar9xJIJ5B0zHGBz/0zSszT8zW0mC3zSqMirt4ymZXZuW2dT93hf8A61KXxDj8NyXUJALm&#10;3Qtj94v86d4rIkZSF/1jD+eKq6nIF1CGIn7suOvcNS6zOJbu1jBA3OBj6dadP4kRUXuv5H6p/sRI&#10;Iv2dfCC/dzoMDZ+qg17BbykPuXuPyrx/9jLKfs8eDfM7+GbMj8YlOK9btmPmMDzx6da+kj8KPka2&#10;taT82TtJluR05NQ3Dgrj/aHb3p0jkcfnzUNyRs69s0zEJXUKTu9qozyDZz168VYmdWXAx6GqUrK0&#10;eAw+gpDMnVWAukx23H6cGub+CMRvvhxdX5Eh/wCKu15F+XK7Rq94p/8AQa6HUnU3eDniFz7dK+hP&#10;2Vv2efAsn7BOn/Em90iaS+t/GXi6ebYrZuUHiXU1QHrgBQOg6H8a+E8QKeIeTxqU4tqEuaT7KzX6&#10;7ddbH6X4V8UYHhfifnxKb9tH2cbW3lKLV/L3bfNdD50vMpP5YO7bxn1pIhuO4njGf8+9aPiK3isb&#10;ySzJby1kYoPKbjPpxnsOtY9ze2QzA0suf+uD9fyr8jUubVH9wUp+0ppov634r1zX47Wyu9Qlmjto&#10;hBYwySblhj7IoJ+UZP8AWsdrJ5bvzNiru6KM/wBa1LJNOu7pfKhO9QoaNIpPnIABPPOT1OOMk4x0&#10;q54g0htAna31S1uLeQLlVktXBIPII46EdD704y5dETGWHotUoxtfW356fPX1MfzfsyNkcbcVQvta&#10;vYdwtHZWZSjbGxlSOQcdiPzqzNcWs58vzZE7bmhYZ/SqqS6WT5e+Tg8/6O/P6V0U5SjqbzipROT+&#10;I9vNdeFxJsKhtf0rYi87c6lb8evFOGhyKxLc/wCeta3xCm0uPw3HGol+bWtMb5bd+SL6AjoPatC3&#10;trVm3F5PX/j3Yf0rb20uTbr/AJHJ7GEqz16L82YtlooKqkq/d3fN6eg/Oti20MfKoTj+daFva20m&#10;3hl+XH+pbn3q9b26qBtR8Bsf6s1jKpKTOhU6cEV7HS4YVDMCauKFU5/KpktpCo2I3r90077LKzbT&#10;FJ/37NTzSM+eOw3cB0PNClccf/rokglj5aCf/gMLH+QqMyiMfPbXfzeljKf5LVrmM+en3Mq/tWf4&#10;n6LdqPlTw7qiE+hafTyP/Qa22V1TLVi3GvaVB4ysWurbUFZdKvFTGj3J6y22eiewq5P4x0CJPMeH&#10;VCP9nQbwn9IqdSM3GOnT9WctOrCNSevX9EWZFOOvsOKiKsTgVmzfEjwrF/rLXXv+A+E9Qb+UFQ/8&#10;LU8Go2TZeJOP7vgvVD/7b1h7Ko/sv7jo+tUY7yX3m5HA56CpFiYcEVhr8WfBg4+xeJvp/wAITqv/&#10;AMjVYh+JfhS4JWO08QLjrv8ACOpL/wChW4q406i6P7jP61SfVGpLGzIozxuzj0qMWeCCY/fpTbbx&#10;doF2P3Ueojn/AJaaHdJ/6FEKuR3unz/cd15/jt3X+a1VpLoVGtF7Cy2e63jYjJwf5mqU1r5ZbYMZ&#10;BHI/OtRbi1nh2QM3ysQW8pgCfqRg9e39KjntmYcmiUpL8PyClU/X8zn7ixkVSUUGqaxXkf3C30rp&#10;WtFJwSM1GtrCBkutYylJ9DqjUpo543eqwH7uVzUya7fRL++tCf8AdrRu7vQrEeZf6rZwrnGZplUf&#10;Tk1m3njv4aWK5v8Ax9oMI6nztWhX+bVCjLsVLEUVu7Eq6/8AIGks5FUtj8fSqPinVrabSbdVD5/t&#10;rTWPy+l9AaD8Tfg/5fnyfE/w1sH8ba5b49Ou+qOufET4R3dhElt8SvDkmdSsj+71q3bgXUZzw/tW&#10;8adRST5WctTE4WVNpTW3df5nVTazZOxQHHNRrqFs7YjkWo4NU8Iai+7TvEunXG5sKYL2Nvw4NTrp&#10;1pIPNhKMCeGUjB7VlqdEJUWtGMecMu7dmtfwX4stvCuoz3l74ftdSiuLGa2aG8j3bBIhXzE/uuuc&#10;q3Yis4WBPARak/s9VmCXLsseQJGVclfXjIyfxH4VEtrMmvTw+IoypVNU1Z77fLX7im7qkhKDK5wD&#10;Tow1xKsKDLOcKucc/U1J5DuMYqxpuly3VwscZ5LYo51E0qSjGDuyx4Sv5dE12w1z7HDP9lull8me&#10;MPHJtIbaynqp9CMGtjQfEkXiW8vfENtY29rHeeINSkjt7SMLFGDeTfKqgAADoAOBXtHwz/Yi8Q+L&#10;/DzeJoJ42s1ctCQ4BmTuQeQOn698V4B4CsZdItLrS7oFXtPEurwspU8FNQuF/pX3fh/WjLH1XZq8&#10;Fa6dmr9O5/K3jRn2R57RoxwlRTq0ZyjOz2ur2fzXyenkd7aSvtyx6YPFXI5MDr+FZNjLuG4H/wCv&#10;WhE/YD2GK/WuY/nwvwOoO0E8tVmN8lTVG3dc7Bz7VaRznrTuBYlba3LfnXyv/wAFSY/N+Assx48v&#10;ULVlP/bzDX1DK3IJPavmD/gqAyn9nXUJCTxeWnzfW4iqKmtKXozown+8Q9UfnnIxn0S8bJILMevX&#10;5xVN1kFhDgcFsj5uuARUlg+dBuQ/8SD5fqRn+VOs2xZQ+b/z0G7PbnNfMy0uvM+yj71vQz7l3nlW&#10;bzDhY8EexJP9a0gkb6/cL1/fN83vuNQG3SS4bbHjd6t/sipdP3vrjs74JXt3O6k5aFqOpNYzeba6&#10;lHzua7jXleuA/wCNNvFMWk7JF3D7Pjb6/On9c0WCi31q6s1cbGus5x06/wCNV7q4Z9PCqGdlXbjH&#10;3sbT/Shb/cJ6fiUw26VJmyfmbhvpTjl7yG3U9Y8Zz15pkibYUYljumP/AKCvFLDuOq2mSVzIoHA9&#10;a0Mx1xvMrJLIdySFe+cds/hRTZrv/S5gD/y0zyMdfp1opIHucvKyizjJ77j1zg7OlSHy1hUMcDaw&#10;PHuetV75wLKMquOW3EjvtxUkjLHaKc/wjkt/n1p3vYLBpu4RSbANpuFCgd+R/jUt5Oin7/3ZsdPR&#10;hxUWmqGtDjqtxngd/lpNTTAk/wBqYlWx/tCj7YfZG6kW+2WrtJ/rGBH/AH1/+upLyQtqMKN91WkP&#10;6ZqLVkkS4s4iP+WPt/famF9+pAyLnCsB7/KRWlPoZz6n6zfsextF+z34MjI+74XsRz/1wSvVbV2V&#10;tme39a87/Zrsf7P+D/h20PSLQbRCPTES16Fb5Bbj+HOd1fT2Pjav8R+pK3HWorgYXl//AK9SHpzx&#10;UVzn93x1bH6GkZkUqFhtz/WqM64jzv8AyrQmVtu7n/GqFyVC7CetAXMTUWIv8buBbv3+lemfCz9q&#10;fXLn9l+x+Fmm2qQ2Md9qjzM0Q3SGXUbmVzyT/HIxz16HjmvKdWvrCLXIrG5v4lmngk8mJ3AaTG3O&#10;ATzgelY/wh137P4B03yWGGEso7/flcnP4Ma/NPEq/wDZ9FJtXk72e6ts+6vbQ/afBPh/L88z6tUx&#10;VJTdGClG/SXMtfXTTsdbr9zcajMtxHLM23cI0Zt21Rzx9Mk4xxXPPayZ3t97nmvTvB3wn8dfEzwf&#10;qXiXwroTXVrpMgN15eC0aEE7j6j1+meK4ie1uvtctibbP2fcJWTkADOT9P5ivyGNTl0P65y/MMLO&#10;pUw9KcXKm0pJNXjdXSa6XTTV99x3hOePR9Wt9XvbfzY4Jg5iZciTHIXr37+g9eld3+0N8d9e/aH8&#10;R23irW9EsrJ7ezS3+z2aFVKqSeTncep78DGK4GS9A2/6MyxrHhFx+v14qT/hILK38s+QvyqR8w+9&#10;knn68/hWsa0tr6aael/82Z4jLcNicxpY+dLmq01JRf8AKpW5kumtlf0MqfQZro/64LjtUUHhWSKY&#10;SfactnowBBrZGvaPsUiHnHze1eG/tIf8FBvCHwK8YL8MPAfwi1Xx94sjt1ur/R9IlKJYWxG7fPIs&#10;chRiuGC7D8rAkqCu70MDh8ZmFb2OHi5SfTTbu29EvNsjOM6wmR4N4vHyVOCsrvu9kkrtt9Ek2es6&#10;14Tku9NjiaXdt1C0cf8AAbmNv6VeHhx0ckS15l+zN+3Rovx41ibwF4/+BmseA/FEcKahY6TqzNJD&#10;f2ayxgywT+WgZlLpujKqQHUjcN233JfE+lsf3Wkr+dTjKGKwNX2NePLJdNPwabT9U7GGV59RznCr&#10;GYF88JaXWm3Rp2aa7NJmJBo5QffNWUsGUfKGP4VsHxNZlEEOkKrbf3hZgQTk4I444x68/lQfE5Xl&#10;bKNf+A1ye0l2OqWIxUt4fiiglrcOvyRtUqWV2DkRPVseJrph8kar9Frxf9rX9sDxN8ELzwv8Ovh5&#10;4estV8ZeN7ya30OHU7gw2drHCgaW4nKgsVUMuEXBb5sHK4PXhKOJxmIVGjG8n+mrfolq/I8zMs0p&#10;5Tgp4vFtQpw3er3aSVkrtttJJatux7ELG7I5ikruvhN8GPD/AMUmsfDn/CwLiw8RatfXNtpum/2I&#10;01uDHAskck86yhokkcmPKxSFdhYjHNfGer/tWfH/AOA0L+Nv2hNT8M654VW4hj1G68K2E8NxpUbN&#10;5ZuBG8j+fGGKsw+VlUsy7iBGfur4M+Lvgj4e+F93qD/Fy/0PxlqyyRNq0Hhtr42FiQQ0VmwlUJNM&#10;pANwTlELonlsfNPoVcvxWBrxWJS5X1vo7Wuk7rXW2vf5nxuM4tp5tktSrlFSftVJK0KbnKLlfllO&#10;PJUfs9G5OMW7JxT5tDm9E/ZxsPFV/wCGbC/8cvY+KvEmg6heeHdFk0s+RLEJUSJZrqSRFikneCQR&#10;qqyDCqWKeYgOfonwb8K+LPAWra54V+JrX+u6H4fXV9S0ePRWhtkh89UkjW6mkTfJHG6OwWMoxbZG&#10;8jA47hPi58MJbLwT8aPFXiu6m8UeAfD39m6b4Jh0V1TUp4Z3a0nN4JNkcS+ZC0gK7yIZdquWQHkd&#10;Zl+BOh/s8/8ACM+C/iTeHWL60sZfEOlSeGXkmv7mN0dbdbl5UihtoZCJThDI7QBtz4jjHPJUUls/&#10;d7+S89733OaGZ8VRxUoc1ZXrQStQ5qcffmpxbVJylS9kqbU1q5yVqsVz8nO/Fb4Z2Xw91PQbDQ/F&#10;i69Hrfh231NLy1sJIYw0k88JiQSYdwGgOGZULBh8o773xQ/Zf8b/AAv+Hml/EWbXNP1e1upJbfV4&#10;9DaS6XSLmOV4pIp54laBSjhImzIG85mRVcIz1n+O/iH8PPEGseBLp9B1DVNN0DwVaWGsaet4LN5r&#10;qO5u5HjEuyTCEyI24KSUYgFG5Xr/AIgftF+NfGvwQsdX8a+A/CeoXWsatrWl2t9qFjd3k2mxx6fp&#10;cSTWjXt1OYJvnZmZSFaRFkKF2kaSY/V3GbfaNt93a/3X2PRxmYcd0cRllPDU+aMqlRVnNQi5RTm4&#10;xS0s+SDk2opfDZu7RxVh8NfCa6V4X1/W/itY2ljrl1qCapeLpd3IulR2cNrNIuPLD3ExAACA/39b&#10;kKscSsrOFUSHcSkPxR8EaL4D1mxTwr44j8QaPq2lpfaXqkdjJavJH5ssDrJDJ80bLNBMvVgVVWB+&#10;YgbHhS7+D/inw/4B8DePfG13o1lZ6xrdx4nvorF5Hto5Y7LyfLCq+7zPs5QEKxRgWZduN0vxkX4S&#10;+Kvjbp+meGfizp8fhGPSba1h1i38L3kMOjWyST/6KsB8y4uXGfNaRjiWW7YlkG4octP2d1bp11vp&#10;fRvb5b9bHbRzLOKWd06dd1uRe3c70W6bhGdRU7ThTv7VpQcVzJSgvhlOpBvN8ffAj4l/DLwvY+L/&#10;ABto0dla6lceTbr/AGhC8m7yllBKI5OCrDn+EjDbSVB0bX9njxFdyeBNnjPw95PxBaRNFnFxclbe&#10;RGWMxzgQZRjM3lDYHXeCSQo3V2fx3+OVj8dP2Z9P8UeINR0Gw16Px1IbXwrpl2zTadYPakBJPMCt&#10;MVaNR5yjyyHVQI/9UnOaB8S/AmnXHwV1G58Y8+F9SJ8R2X2KY/2dGurvciXOzEm+KTOI9xHl8jJA&#10;pxjRjUab001v5pPt5+aPOwuccZ4vJadatS5K/tK0JxhTbUVGjVlB6821SMIp35ZNqKvzK/F+CtK1&#10;jxxFY2Hg7SLzUrq+haS1s7G2aWaUbS5wiAk4UEnHQAnoKs+KvCnjDwPfJpPjPwxqOkXUkQmjttSs&#10;pLeRoySA4VwCVJVhnGMgjtW7+yp468FfB7xHpeofEnRpNW0uDRbnT7yGwto5vMEkLQkiOcqjqQzA&#10;q/BUnIPStz9q34ieAvHniTwqfh9rhv7PR/A9hpcs7aatoRLE0pK+UqKiYDj5YxsGcLwBScKX1dzc&#10;veulbyste/8Awx6sc0zj/WSngXhn7CVPmdSz+O8rx7LZaOzd9NmeYvPJnGaBNKRnJpgZT1NKo39B&#10;7n2rjPqrJDhJIf46+Gf2qfjZ+0b+2H8Ttf8A2X/2WLuPT/C+gTNa+LPE0d08f2qQBo5bZmwP3e4s&#10;nlru3hCzNtYAfdAwy8V+fH7LXi6H9lX4d3ngLXfC97rGsReJL86tpPhmNZbsyJcy25lcEj5CbYoG&#10;PBCjHQ4+v4PwmHrYqpVnFSlC3Kntd3975W9NT8l8Ws2zDAZXRoUJuEKrlzyWjskrRv8A3r621tG2&#10;zZzXh/8A4JM/tSeELmPxV4Q+LGkf2hafvLVjGU2N/eDM52sDgqwG5SFIIIBr6A/Yj+OX7Rb/ABX8&#10;Qfsp/tO6bK+s6XpEet6XqNzMJJDbefFG0fmf8t03OCjklwVkVmbACQr+3V4PeK1s/C+hXV9rEz7Z&#10;PDOqa3HbXNmoXO6ZvnCDGMb8BiQN2SMnhXxsvxH/AGq/hh4r1LSbnRdehl1eyvNPjk+1Qz2LWM0q&#10;5uoh5TYkhiYR53fMSFwM19nn1GrjMsq/WIp8sW07K6a1062drdtT8i4DzL+yeJ8NHCzkoznGMopv&#10;lkpNR1T0urprqraH1RNkOSPXpUJkH8Q/SprriQ81D8rcenvX43zNH9fx+E6j4Naj8O9L+Iunal8U&#10;dEbUNEim3XtvHwzDHH15xxkZHpVX4ur4I1Px3qWo+B9PVdHuLp5NPhmhXdHGTkIevIzjqfWsFXX7&#10;hOMZzn1pNhb5T0/lScne5xLL4rM/rvPK/Lyct3yWve/LtzdL720M6TRtAl5m0KzfPHzWqH+lXNB8&#10;EeA5r5Z7zwJosqAgfv7GP5T68AHj8qGtW8zytnzHoK1P7E1Wx00X01pIkTyBFlKYXPp9etTKtK1r&#10;/idOKjQlDllbXQ+uv2cPib+zppHw6HhS8+Fvh2O8s9Pml2/2JbKJfLjMjYOzqQp9/rXxv4Q1zSte&#10;u9c1XQrGO1s5PHXiH7LaxRqqwxf2vd7EAUAAKuAAAAMcCtTRvEl9o17BfQTLvgkBWORN24c54Ixj&#10;1B9a+a/GX7Y3gD9mHwZfWmoWc+u+IL7xt4gOm+G9PcedLGNVuwZnIDeXHkFQ20lmB2qQrlfvfD+r&#10;Wnjpwm7qMLR0Wmut3u/mfyn4ocA5Xw2nmGFT5sRUu9etpN28no/vPrCzfjCnj/ZrSt2bGFbn+dfL&#10;f7PX/BRTw/8AEnxbp/gb4q/CfXPAGpa5OE8PvrCu9rqLHHyJK0cfz5IABXB3DnJAr6itc/KcH86/&#10;XIy5tj8RnGUJWktS3A5343YyB+FWUY7gKrxIDIfoKsrHtcEVRmK7seMdFx1r5n/4KexNL+zTqm3q&#10;L6zPT/p5ir6YcMu0k183/wDBSuFpP2adaPHy3FqevT98lKp/DfodGF/3iPqj82rAp9gkhZj86du3&#10;H+fzqWBkGltOGP7ld209T8nT9ar2km2JTvHzKcfrRbyuLCddpO1AWz/uZr5qW7Psqfwou6aBdvFP&#10;J95o2P4kdvxNQaeQut7SdrNGw/Uf/Wp0RZbK3wNpb5V29u/9DVeGRZNW3rLtxcFT83GN/wDhms+5&#10;p0RZWULr14cH5ix/lVdpjFsaM7lLfK2OmM8fpTIZwdWeVR/rNvt/Cf6ikkmEsJIONoY8euG/xqo3&#10;BiXoK2UDMcf6R/8AEilu5Wi1Kw5z+8J4Poai1eTFvFCT83mbhx04WjWG3T2Lkfdf735f1qo62+Zm&#10;9n8hJh5dyx253IpHT3opl4zvdkHoI127eeMmiqWwpXucndOTpcZHqWOKlucNaRr5pB2549No/wAT&#10;Ve9Yf2XHLhV4A+vFS6mT/Z0bkYO1du36LU9vUO5JBHixUk8tNlfbGM4qbUMSAqkeW2j8eaLBozYK&#10;JY2JXds57sGA+vOPemy3KxOrlc4RDt/I/wBaV/eHb3SO/n8+9hG7opHT3qDO65icNu4c5/Cn7t1x&#10;5hXnc5H6VHZqSVlcffjY7W7cY/nW9PdGM7n7JfBiI2ngbTbfaP3enwr/AOODn9K7C1wzMCc1yvw0&#10;HleF7RP7trGOv+zXT2pb5ufvdzX1D3PiqmsmTnIc7U/SoZsyCNDxhufyNOGSdhH/ANahuHUg8bvl&#10;zQQRypuj6Z9P8a4/41eKtR8A/CXxN450a1imvNH0G8vLKGY/LLPHCzRoenDOFHHPPFdpImU2hefw&#10;rj/jP4Wm8a/DDW/DNpaLcXFzp0n2OFnCh51G+MEngZdV+nqOtZ1JNQbXY0pqLqJSdldXPjG2i/Zx&#10;0nRr7SPjj8OYtV8QfZY7jVPFviPTYpry7mJUtN57yeaigsCOFVFwEACqB65+yX4u1bUPh9d6CL26&#10;uIvD+sTaXp+oTyP5l1aGKOeLdu+clI7gW7FyXcwlmO5iB87ax8XNSF1Z30njS0j0+KHGoaRcmNXl&#10;UHjO4FsDqFQLu6M2MCv0Z/ZO/YU+NviX9n3w78ULXwTqEq+KrGLWrMLEChhuEV4XQD7qNFskx1zJ&#10;z3Ffl3F1GtisvjGnFylzJ6Xdt9dP+G19D+ifCjNsvyHPpVMVWjTpum46tRT1Vlq9e/fR9GzqvhL+&#10;1j4w+EvgS68BaK0bQ6gxN7uHzcrjapydvHBIHfsRXIeEdQsNb8VWtvdv+6mnAvHiwhYHr2IwM+hz&#10;1OeldLrX7Gn7QOkTtHD8IfEVw275mt9HlZfzxg/hVex/Zs/aH8NTJq4+DviWOaNs2+dDmO1v733e&#10;MdvfBr8yqZbmEY2lTl5aPS+unbXX72fu1HEcE0pV8Rgq9GNSvrKSnFOUrWTet9OnY95/a4/Zt+Dv&#10;w0+EGn+IfDt2YtSby4yskgJm4JJx25/z1r5AurbzT5AkXarEqvlgHt369q7rxZpnxrmhNv4z0vWf&#10;l4Zb6CT/ANmHWuRlsrq3fE9vIv8AvLjFZSi+dvk5dtNXayS3eur1+ZXA+W47Jco9hi8d9am5Slz7&#10;6PZLV6Lpr6WWhRi0z0H1618X/G201Twd+1d8QPEGi6zHpt3qH9myFrpUw8cVjEufmjkGwEcnAYhm&#10;GVIzX1n8UP2gPgt8DLBtQ+LXxH0rQwIPOjtbq6H2maPdt3RQLmWX5uPkU9D6GvhX9rD9qf4cftDe&#10;Lh8Q/hVp015p+j3UmlahAYntri6hVVlhvPMPEQkZrhY0ZQ+20ZnPzeXH9rwfg8csVLEKnL2bi05W&#10;tHdPd6PVbL12PivGPNsrqZHDB1MRBVlUjJQveb92S2V2tJN3aS6Xu0j2n9m86t8Vfj34b8Wav4ot&#10;9Vj026u7mzbTY42jjjazlhYsyxpiMmQDO5z5iqvHIX6+WwSHJQfnX5j/ALLH7cvw9/Zk+Isviz4i&#10;+GPEElnqNiLRoE8ue4EbFpGugWKIdskMUXlqFG2V3DZjKSevfte/tseIf2jdW0f9n79hzxg2oLrG&#10;nPf65rWnxvBIsAlaNYC0myS25RncMisyvDhtjkN6WecP5nmObU+WHLTaspv4Uldu76Py3Z81wLxt&#10;kPD/AAfWlUqqVSE23TT99t8sUop2utrtXUdb7WPrZfjJ8Gf+El/4Q4fFvwx/bH2j7P8A2T/b9t9p&#10;84Hb5flb927PG3Gc11a25cfKh61+FHj+x1v4feNb7wj480oRahazKLyRdrPuIDZ3fxZyGznocnrx&#10;93/8Eev2x/HviTxhdfsweMvFCX9lHorX3hO61a8BngEBRHsYw4zInlHzEUHMaQOACp+Sc84FqZbl&#10;31vC1faJJNpq2ndO7+7t1Zvwn4yQ4gzlZdisN7KU21BqTav0jLTRva60vpZbn3bFp13Jwlu7f8BN&#10;fOP7fHwNttY8ceA/id4is7rT00m11WxXUoY2Vobi4Fs0GShDjCxXONpBG8kEHmvrWDxxr+kbk0e+&#10;Xf8AxXX2dMj/AHcjj69fpXyx/wAFGP2l7vXtA0n9nDwrr+n+IPFmuatJLcaOJo5p9LtrWymu5Lh4&#10;1cGNtoQAMMvE8uwEivmeG446WdUlQhzO7TtrZNWb+Sf6H1nH1ZVOFcUsW4wp2TTcndyjJSikrbuS&#10;St89LHzf4k+GGvfG7QZPhV4e+LGtapealo76Xb6XqkN0Bd6lIzLAsbyTbDHloiZHEjHYMSEM2P08&#10;/Zu/Yx8Y6/Z6b8HfCVpJpcOjeH47fSJtYWQpKtuiIsbyKpIYxgndggsuOM5H5Q+Evj18cfgNfx/G&#10;/T/CvhczeEWjmaEWH2cGGWaK0csyyBtw+0jYRuIkKMwKq1ft5+w58RfhL42/av0V/gD+0Ra/Ebwz&#10;N4f+0f2zY3odTJLY+d5ckQYtbyLuGYZQJEPyuAwNfZZ9luYYrFYRyj/s7mot31vJpPbyWj2vofj/&#10;AAbxBRyfKsylgqkVi40pVEpRb92mr6P4dXLVN3tZpdTyP4k/szfGf4e3iaV4v8IPYyfN5ckk6GOU&#10;AryjgkMOecE46HBrkn+GGvwnFzeWMf8AvXi/0NfS/wDwVd1bUoviz4b06K8m8mPw20iw+adm57hw&#10;TtzjJCKCe4A9BXyrDq0kRxJAH/3q+AzrCf2fmdTDU5XjF2V9/n0/A/euCc3zriDhjDZlWcIyqptq&#10;MXZataXk+1zUT4fxxt/pPinTY/pIzY/IV0l1+zvqujaCnirxDqzafYytAsE11p8sfnCVJHjdN4G9&#10;CsTncMj35rkYvEcEZBOmRtjqCtff3xz/AGmPgL8JPhl4k8P6tqHhuz1PTvAdxep4d1TUltPtOnRR&#10;XcUKRM2EkLTQSQiNX3KXGSu5d2uT5X/acarnV5OVJrS927/ql954PHnGWe8J1sHTw9F1XXlJO3Kr&#10;KLhfo91LS+lz89vjHr/wY+A2o2Wg/Eb4jSWmqanYw3um2U2mSRCe3lLiOYSP8uxijgMM5x+Nbvgj&#10;/hnrxfYszfFmSO8gjV7uzWzJ8oMWCfOcK+QhPy5xX55fHD43/tKftKaz/wAJ38YNc1i10eztxFZ6&#10;bMtylrp9nGF2wWkMhwI9ibgu7cxRmYkksc+2/au8Y+EPiZJPqWoW97ot/bRLI9vKC06qFRbpVBJR&#10;8HleQR8uWCoy9EcoU6fLKTT095Wv6W1X6n0UquZyoQlPESU7O6jy2vfSzcE9vx+8/Q/XvGv7I/h7&#10;xRD4Lvfi3eS6jJcGDybezLrFMCf3cjqpWJ+GJDlSApJwBXSSeD/hdDxHJq0jf7Wwf1r8s/FHji40&#10;C+t/Hfiy+trc+IJpU0mxWQbtm9jJcs23bHx5ajDFm89ySo3LX0/+wX408Yaj4W1a01DxrdanYw/Z&#10;v7OttQVhLZZEjNGNzEMuxoWDDgiQdsVx4rKamHoc6qPTe9u9uh1UZVqtZU44ib9Wt7XeyR9ir4Z+&#10;Hcek2/2fTbtm2tnzLsD+I+gNU59K8MRnEGgKf968J/8AZa5+11fU30m3LT4O1v8A0I1H9uunJEly&#10;/T5fevIlTqc3xduvkgp4PERk+aq3q+r7+puPptjK2bPQ7dT/AHGkY/lyK/Kb4l+BLv8AaB/aK8fe&#10;Nv2ofGmvabDa+Mr3R/DXh3z/ACfIs4J5YoUULG42ggjgLucO5Zmcsf1I1PQ/EelfDPWfjJqWkX0f&#10;hXw7BLNrmvfZna2so408yRpHUHG1CGPoCPUV+WGu/Gv4TXXim9tvgx4zWbw3p+vXn/CN6utuLdpo&#10;YLuRIriE30OQJERWCSRowVuRGw2j73gqjicPUq1eV6pJStte+zfe3Q/JPFavQqYXD4b26laUnKHN&#10;fWKjbmV+nNfW1m0fZH/BP668U2Xw91jwBqvjKbxFo2i6kh8JaveXgnnXT5YwVtXbYrN5UiyBWbko&#10;yAYVQB4T48+Dlj4p+Ini6x1PRUk1CbxJcfbo9stnp1x+8kZ7lYvm3lzJhixZSUU9VzXsH/BNTxT4&#10;F8aeCfFF1oHiDTrzV9P1iKw1S3tJEM1vbpFvtmk243hzLOyygYdhIASUcLD+3zHd/DvV9G+JlrbO&#10;LPUA1pqU0cR+SZF/dktzy6ZAGOkJ6547MvxEcLxRWppW59umtk/LfV+bsc2eYPEZp4a4TEOXN7LV&#10;63vG7j56x0WuyvfY8Ji8I/szy+EbzwPb3dofF0niaaOTTZPDs93bwWTwWylAqqq7MWkEnmZ2rKXX&#10;ILmOvWPAvwYi0Xxr4BsPBd1Dus/EENzqF9oNubWOSGNJ5WPlbiRv37JOW3KxzkcV5bpugfGHX9bh&#10;1aT4wWlvpN5G1w2pWcNtG8a42lArxSP7Y3DpkdMV7P8AsUTXvjD4lX10b5rqz0GyJ+1KwVWuHPlq&#10;cHqCnmscDAOOmRn6rOsR9Xy2pO9/df32svxPzfhbCxxvEOFoxVrzi/knd/gmfSNzASzZ/wD1V8d/&#10;t9+JfiL47+OGi/s06T45n8N+FZPC/wDbPiK+s5vKa7ElxLbrA7kj5AIydpO1t53BiqbftC7aVtqS&#10;KgWJdq7YwCeSeSANxyepycYHQCvmn9vTRtD0GDTfibrkf2i2aFtKlt7iTMIZt0iBUBB3Ph9x6ERq&#10;Djivy/h2pRjnFPnV73tfvbt5dPPXc/pTjypi/wDVOu6MnG3Lez3jzK6vuk1vbpdbXPLvhh4O0j9m&#10;3xv4N1H9nvxFcXFjqniOz0nxpZzaobmG9huHESTMpwqyxNIrAx9A/OQSp/Un9mH9lGT456JqGtPr&#10;UNrHZ/KqkBmdypwODwPc/wBK/LD4Aahb698Z/DOlS6Zp/wDa19LaOlxZ2qRSGCyAcq/7yTbhYiTj&#10;aGOAMjp+j3wl+M/xI+E0Ey+CdSlt1uAPOXbuD+nBr0OLo045hTc1fT3raNrpr/WisfnnCP8ArLju&#10;CcTSymuqdVVEoOWsY6JySuna68nq721uZHjLQYvCHimTw9LJHI2mzFUkh+Xc4JOMkdifT6dc16D8&#10;aPj34L+IfwW0XwRpPhT7DeaSV8yRXwJsLgtwfvHOSTk5Jx3rzTxYdW8WanN4hubciS4bfcBV4Dnq&#10;QOwJ/LpVWy8F6zqPNrbNJt67R0r4ynRrOmr+V/vT/NdLfcfqNXKcDjvqmJx0v3tB8yak0udqzuk0&#10;mnd79znUcGQY618V6x4e1Lwn+0D4o+JttaaXcM19dCKfXLgRw2itqupK5UkjlSkTFeM+Ye9foVo/&#10;wU8W61qtrptjYESXkqxw+Z8qhicYJPA57njHNfBn7eXiX4e/AbxJeeBvFfiJV8UWvjbWrXUdM0u4&#10;Vri2hS8lYOWRw0LFpfkJxvBJDALz9zwXTqyx1WEVry/hzI+D8Xs1yueV4an7ROXPe11dLlkr+l+v&#10;cqfGyeT4lz6Lrcnjaz1Kbw/4ys7vRX0uNUVrVJlMjgovyEhQcsWwwOSoBFfolaArwSGw3BWvzT/Y&#10;/wDit4E1n4waDe+MornT/D1m8n2y+8R3EcyvcFHWLznZlEMfmlcHBAk2KR8xYfpdZAYyp+lfrWAp&#10;1adNqW19P1P5bzqrRq4iPJvbV/kXIQPMJ9hjFWEHPU59jUMSHzenSrLALzj34r0Dxzyv9sDxn4r8&#10;FfChNS8J30trJPqKw3kluxSYweVK5SNwQY3ZkUbhyAWwVOGHzV8QLmH4ufCz/hHbPwQml2usafLJ&#10;JqFnGtuBNCmVEqmON5MMQcPyd3QEg19Bft26Q83wQuvGg8Rrp0fhl2v7rzroRRzxeW8bLlmC78uG&#10;XOSSu1eXr8+7f49eA7/Vrm6tNU1W71y5gWL7GLGNEZgxB3zH52XBHAOMhfQAeTjnW9vdXtbT9T6n&#10;KY4V4PW3Nd379LHl72rWNzNaXI/eQySRsFIIyGIOOcEVWeTy4GSMffVM8f7IH9at6lrCavqc2pQJ&#10;DGl1JNN5cJOxN7lsLkk4weMk8dzVWFlZlLqx+SPJ/D/9VcEvM9FcvQtM6rZWKMflbnn/AHmxVKGT&#10;/TJGfqtxyxP3fmzWhKEWwtNyhisY+8ev71/8/hWYmBd3Sk/MJ2K47/NWUXqzSWlh6bBqihDw20bv&#10;qrVGJJk1GePf+7jVQo44GKGO29jL5+V4z19jTIg019dIv/PNT+i/41f+RIaxcC8ihCrzyGz7MOfy&#10;xSazNmwtZi/zBm/kKg1KT5LZCemejdfu4/Skv5GNjbrK24qx5HTt/wDXqo9CZbsnmlT7QxVD0H3c&#10;+9FVblsmN2DDdEvQ9aKLA9zm9WBg0qPn+CM/L05FTa0T/Z0WwZG1OKgul36LvHJ3Rr0PTB/Wl1AB&#10;rGMDtt/Cnbb1Jvv6CPHrst5avp0qLax5e9ST7zDcAuOD3Oeo/pVu9maK4jQgcxx9G/2FNVxP9nLK&#10;q4DRL17/AHT/ADqeWQtqgBHH2ePg84wqirltHTo/zIje8teq/JEUT7RGST1kJ5+lFp82prD8237P&#10;J9Dmo43/AHvK9VkP8/8ACiwf/iaRoo58l+AevOadOPNOwpfCftD8P1K6FCFP/LFAW9sVv2pJLBRm&#10;sPwQjR6LHyP9Wp4+lb1uV+bKjsK+m6nxb3Je5yfpSuudoP8ALrQgVmzxUmzb2xmkQeU/tiftS+Gf&#10;2QfhGvxQ8SeHbrVWudTi0/T9PtZVj824dJJAHc52LsicltrHOBg54+GdB/4Kp/tL/tBftJ+BPh94&#10;I8P6Romj6p470u3GiW8TzSX8b3kOLa5uCQxjbG12iWIlGYY7Vsf8F6PitdJ4o8AfBmyv5Eht7SfW&#10;tQt1c7JWlk8i3ZhjGV8q4CkEn942QMgnxb/gkJodj4o/4KU/CTS72PzF/wCEgknA4+/FaTyofwZA&#10;fwrtwtGFRrm6siUtT67/AGxf2SdN/Yv+BOtftLfEHwnpmoaokH2Pw9b6nKfLGoTYSCYQ/wCrnkik&#10;3ymJw8bxRPuQ9B4f/wAEuv8Agvd+2J/wTgtLH4ay30fj74W2s1xJ/wAIHrk/km0aZ1kkeyvQrS2z&#10;F1Y+WRJBmaZvJ8xzIPeP+DpH9o97z4n+BP2QtAvWWz8PaT/b2uxRyjZLeT74bcOnVXjjS4YZ6rdi&#10;vyLl1WQSsiZ2rgL7e9SsJhqMXThHQKuIrY73qzuf1ZfsKf8ABaTX/wDgoB8Ibr4wfB39kw2lnp+t&#10;PpGoWureOJPMjvI4IZnVTHYOHj2zphvlJ7qvSvcrX9qr9pS5b9z+ybpJ9P8Aivp//lZX5nf8Gdnx&#10;s0LXfgJ8YP2eL3Qrf7ZoPiqx8R2t0t0vn3sd9bG2kTyiOEhOnxneCcm7AOMLu/X/AF3XPF9gAvhz&#10;4dR3XvNqKx4/8dNfJY14/C4iVsRyxvolT5nb5R/MFi8ApKjHCRclvKVSUU/PWUUvvON0r48ftPak&#10;MyfsraNGP9r4gS/100Vcvrjxp4xga6+Jf7LXgloIkLyzal4mS5WNQMliXsAAAOSa5nxl8ZP2udHh&#10;a48P/sywzLGCXRdYimZh6rsYEn2xk9q+Pv8Agpl/wVC/aT+C/wCxV8TNR1f4O3Xh29uvC82l2t5N&#10;b3FrLZS3pWyS4RnH3o2uBIvqUHTOa4lm0alaNGrOc3JpJOlFK70W6PqMJwnxJisHUx2AjQiqcZSb&#10;hiIylFRTbdo1ZPZdj+e79r7416T+0P8AtU/Eb40eHdPmsNJ8VeNtV1TRNNmYN9gsp7qR7e2GAAFj&#10;iZIwAAFCAAADFUP2Yfif4f8Agv8AEifU/GmmXOoaDrGm3FlrENvGkk/K74ZEDsFJWdYiQeCm4DDb&#10;WXzo3UaakoxjcuNzHr6HtXpnwO+Bl98Xb281K+8TQaHpGmxgzajK8PnXE7H5Le1ilmhE8ufmYB1C&#10;IrMTnar/AH1T6vRwv7yyilbyt6foj52jHFYrEJRblNu976t92/xbZw/ijWdT8b+Lrzxlqu2OS7mJ&#10;FvDxHFGPuRKOyqAAPpX11/wTgv8ATPhD4Q8X/GjXIIrhry+j0+2t3Wcs/lwRy/L5EE0h4n3ELGx/&#10;d5OMZHyZ4l0K/wDCfiC+8O6g8bSafdSQNJCxMcjKxG9DxuU4yD3FfaX7DXxz0X4e/svaj4Z1fwjp&#10;N1aXHiGSCd9Uw1tI4igfzJy+Qqr5gyVAACA43ZJ8vO3GOW2grptbdj08lp82PtJ2aT+883/bi8CX&#10;PxQ1HR/jj4Z0n+z/AO34fIksZpGUFlchWDMitn5sEsq/KASF2nOL/wAE1bPxD8Mf27PhvqfjHTZb&#10;W3utWuLS2uJMNHcrcWstuGifcElGZRyrEZI+90P2H4n/AGp/CX2GwsG+Hvw/FnpLeUq2njO2u2v4&#10;sn/VQRoGWTBVsEAKAU5yHHvX/BOT4e/syfte/treC5vi5ZXOnX1vo+sP4Rs9N0vMYnhhg+aRxGyQ&#10;qqPIys20mSONVYk4PytTGVpZfPByjpKMkm3tdO2vZd2fW4PD4PLc1pZo6jXspwm7K/wyTdl1b6Lq&#10;zwH/AIK6/tieLPhp450H4D/CfxhqGmxvpbX3iC60m8WOaSSRysNuxT95GQsZcruAcTrkYUE/Bfwo&#10;sdP8afHnwfomuuz2Gr+JbbT9QLNhha3Eqwzc9iYnavXP+Cx2reCn/wCCjfxU07wFqF9JY6B4q/sR&#10;ZL8KGebT1jspmG3jaZYHYeqlTXgNhrGsaJqth4nsIgLqxvobi1uIznbJHIGU8HI5HtX6RwfleHyv&#10;IKFCMEpOMZSaSu29dWt7Xsr9NtD5TjziatxNxJXxaqSlS5mqabdlBaK0Xbl5rXasndu+p9tf8FGP&#10;gJ4R+HH7NtvrPiHxHd6trA1G307RzcSqzWjPM7BmYAZZobdwXI3N8pJY18yfAT9p34w/sq+P9O+K&#10;/wABfijq3hfxDpuPs+oaRdeUWVWVzFIvKzQsUG+KQNG4GGVgSK+4P+CzMIj/AGdfD7yaUq7fHFsN&#10;sMeGl/0fUzuOMbu/JyeOuAK/MzxBqF4i29udsKiYYiVhkcH0464r6nF06GHlKEYJRslayt39N2fF&#10;UalWsk3Jt66312t+R/SZ4F/aB1n/AIKPfs8fB348Q+B7/VvEurfDVP8AhJFtbNWZr22vbizu5RFB&#10;ny42uIZJFXACrKg4PFe5/sW/s1eHYPE+s6x8V/h1H/o9nHbW+ja14eMuTK+RORIp2AeUVDFcHc3I&#10;wQfyq/4Nx/iNpsvg3xd4Ba4hWfS9Ra+muNS0030Hl3cUMaIqJ828NZyZJAADDqScfsf4Evpf7Ja/&#10;tdI0y8L6Po0NtcS6NGlrbSzalqESSGCWWNwAzKdqHc5XjGRX80Zhk8aPGVerON+WUpKL1TXLdXS1&#10;2afbuj+knm+aU/DXC4PCVeWFSnGPMuZNSdXlkk37u6a0s+x83ftL+BPBXhf44+INB8N6Zp+n2Nrc&#10;Rx29pDEqrGBEnGPr+JPvXwR/wWK/aOPxb/bL+JPgv4feJ7jUo/Cv/EotZLqBN1mLQQreWcZ4ZALp&#10;7vkAhw7rk7mx+rP7W3h/9mb4f/s9al8U/jp4yjbVLBZ49J1Lw7or20lzcTN+4tYrZpT5u0r8qvKF&#10;RfMctGgdh+Bv7bPxdu/Ff7R/jLx/punX2n6h4s1q41q2tbOUyn/SZnmeDKbd4jbeNxVd4ZWKAfe8&#10;yhlNTB4is5WtUaklFp2XvOztorXXkfbcOZxTzejhMS+dvDQnSlKcWlKT9l70XK0nzKDbuk1e0t03&#10;zPxi8SS23jy+8J6d4whstA43aX9sm8tpNgL4VAwK7iQVOAD2wOOT8PXXg/Tr241rxba39xLayRvZ&#10;WqsqWtxamNHRWDJvVWPzEgncjADYSHrF0rwx4l+IurxRav4UuI7WFWa6vmba8UIByx9B6A5+Y4AJ&#10;ODR8O6hPr2samuhWBT7XrBsdA0+OTcTlhEqLuPzDJCDPYEmu2OH/AHVlZfd3PtqmYXrKTvrte/Ra&#10;uz7d+7R6Mng/xL+0RFdeNdcvZFaK6W10+NI9qxjacqF4CqCUHbA4r0/9gW/m+HvxztbfVf7QuPP0&#10;z7LHptndIHuJJGARNrOq9cN8xAUKW7Cr/g/w5Y/CDwDZ6Dqt6qxWrL9vvlyVeRjulYDGWAzgcZwo&#10;4zVD9lbWPFWpfEpdS8IaZYzaHp3iq7u9J0q4tQJNXldysTSS4KoQ5/dZBaMhSQdimscRR9rh5R8n&#10;+JpRrqliYttpu23yP0BHj+6tNPitJvg54k3x5ztutM5yxP8Az+e9V7r4k29lOzat8PNX0+xhYm61&#10;jUNT0m3s7WEfenlllvlEUSjLM7YCqCTgCvpz9qH4R+EPCf7Nnwnk8DeD44dR8QWsNzqElvG0lxeX&#10;MtnbsQScs3zM21Bwu47QMmvkv/gtVY+F/wBmH/glrrCeI/CV7onjjxZcaboFndW6zCZJbh/tU8cx&#10;+2hY0exguY2HkEkuEKjcXHz9Hh+tWzSOFdteS7XNZcyT/L8meXi+OspwvDss05p3cqsYx9zmbpyl&#10;Fyav8PMlte10t2fn7/wVV/4KleDP2n/gn4a/Zi+CT+IrHw/o/ifUNa1q81C6a3h1e4lgtoLdBbpI&#10;UZYlglYSSjeDcEII8P5i/wDBPj4E+AP2n/2d7PSPB/hCU634Jjuv+E3uVuY5d8clzcTxzmJ2Bi/d&#10;NHGpB2SlHAVXjdn+GCseoxeYVVtv8O6vov8A4J8/th+MP2MLL4pRaTHfS6f8Rvhze+HLePT9a+xy&#10;WOoScW2pofKfc9qHuNg+XJnIDDHH73hMlweHwEMFBPkjtrr63/D0P5DzDPMfmGbVcxqW9pUbbsrL&#10;VW2+77jgX/aK8faR+0PefF74DazN4LvJorKx0z/hH5GjS5gs4YI1MsbKBKkxtkmkjlQozE7lr9PP&#10;G3xC8F/t7+D9S0b9njxR4i1fQfhf8PdE1Px3Nr3hmG1utW1i6kkhuLuGG3acQxWqiPevmCMCS8fc&#10;8ccLH8nFvrPTIRb6ZEtvCz/vpON0gUfedu/U8dB2AHFfXH/BEf4zfEO8/aO+IHhT4XapdaNfeIPh&#10;hcabDdKytmM6np5kcoykBjAJkBHzJ5rFWVgGrXF5Hl2IqRq1ILnimou2quvxt0vsaYPiXOsvwc8N&#10;RryVKbTlG/uuzu9Ol+tt+t1obkH7O3jX/hJP7H+0XBt/MGxVkIjIJ67e3vivpLWPgzq3wa/4J2fF&#10;L9p7wtJcafqHw71Dw+vhvVPuhtVn1ayjncgH5ilnJNC0TgoyagwKk4I+ntH/AGYriw0K3v4/Ddw3&#10;ltDDdQ2sTXN5aKeGaNZREJlO2R0wxCqFSR1fOflf/gsXpvij9nP9lTxTPHreqLo/jBbHwxoujahd&#10;O4CQ6hHqYkaIyOsbF7eaRgh2rJcyKuAxz5eDy2vUxD+sxvCN009n0+a/4Y7MVm9GjSjLCTtUbTTT&#10;s42d91s7r+tDvv2Wv+Cjf7A/xI+FE/ib9pn4u+IvBPizS7Fpb7wvp/gyS+j1eUeadmn3McrDLBI+&#10;LlYQjzKoeRVaWvkL9s7/AIKZ+Dfjh8X9L8I/DP4b65oXwp07VNutaX4k1FLnUtdg82RDNOLdIVgx&#10;CUdLZGk8udd5mk2xlPiPRPiHdanZRS3cHkXVvMMtHna6e3XH45+vatuXxXa61GINXt93l7o4pkPz&#10;x45H1H+yeOTjBOa68u4R4ZwOIVenQXMndNtuz9G2tDuzDxC4zzTDyoYnGScJKzSUYprz5Ypv5tn3&#10;P4y+Hvjr/gnt8PZP2hfh3aJZanqerW+n6auuWkN61jG832kKcoscrNHayROShDKWG1d2V+mf2Tf+&#10;Dk3wTY6nBoX7WH7DvgGaylvI0fXfAeni1ltIcYZja3RmFw+cHiaEAZ46V+e/jT9rj4tftHfszeC/&#10;2NbDwZda/qHhXV5L23vtL0lpLm50+2szFZxhIScmOOW78w7OVSJixbzC3z/qtxquiau3h3VrKe1u&#10;o7pobu3njMckTIfmRlOCrAjBBwQa97HZTktSSlGlG9uyb1169Lv0Pk6WOzb6tyTrTSu9pNK9kr2T&#10;teyW6P7D7b4qfs020C3NpolpFHJGCskPho4dccYKx8jHTtU5+NH7PFmVeO7tYf7rDQJB/wC06+e/&#10;+CMnxs8N/tH/APBM/wCE3iPWtCjW+0rw0vh+/wDs8RkUNpztZIzkch3ihilYH/nrkcEGvpi9+FHg&#10;TWEIOnWzbv4Su01+dVYZnzuFJUpWbVrWd10te/3FLMsnlK2JhXXe1WL/ADh+p+Z//BwT/wAFXfFX&#10;7Nfgzwv8Ff2TfGFrpuqeLrC/m8R65a6G0d7Y2YCQxLbTSLtidy1wTJGPOiMMbI0ZIJ/A3xx4m8Se&#10;NvEF94y17W59S1PU7l7m+1C+uGlmupnYu8sjsSWdmJYsSSSTk81+ln/B014N0/wJ+3B4P0XRx5ME&#10;vwps5/J27l3HU9SXJ9OFH5V+XNs96120ItnaNjneFOB+P+c19Nk2HlTwynVilN72Xnt3CtPCc3+y&#10;c3s+nM1zed7WW/Y6M+Itd1r4eRx3WrTfbNM1OKJHzyY3RivPfHlbcdMBfSvd/gD+0l+0N+ydq/hX&#10;xFL4h1WDw7cXa3TeHJdSzbXdu2zzP9HLkRlo3Uo7KCflZSQM15p+zD8P/B3jf4mrb+O9ahh0nT7N&#10;r+6s2m2/a9joqw57Bi43EfNsDYweR7B+2t+01pni7Q4/hj4H1OD+z7y8+06hdWnywXqfI4ieKW2W&#10;QSI+DvVypAxhgQ1enWxE/rMKKhe6u35a6+v9dS6GEpywdSvOdrOyXnpp6fl8tf2D0q7ttRt47yzl&#10;WSKaMPFJG25WUjIIPcEfnWF8Z/iXpfwa+FHiH4ra3B5tv4f0e4vWt/OEfnmNCyxBjwGdsIOvLDAN&#10;eF/8Erv2ho/jb+zFp+garf28mueDQmk38Mcg3/Z1XFrKVAGA0Q2BudzQuc5yBq/8FU5Hj/YK8fmO&#10;P5vJ0/8Aixj/AImVrzXJy2qcr7nND3rH5n/tlft+/Gj9ri+n0/XNWfSfDMd40mneFrGTbDEMgL5z&#10;AA3LgAfM/AYsUWMMVryH4afEzxH4e1H/AIRqS2SS0uv3EfnSMGgLggSIwJxtYg8hgMdBmuR1GaeJ&#10;2lyy7eT37jFGl6ncpfW9/bFhLbzBwyLuIG7OcV6kqFGrT5JR0CFarRnzQdmdlH4i8X+DfFepaBqU&#10;yxzQzSGSyji/cwKzbgke4l9u1ujfMvQ85rv/AAj4itta0Zb+MfM8iRSDOdjAj+f8jXQjwd8E/Gfh&#10;rUPH2k3TalqWqXElvrCOuTbhRuU2ikRGLAMXLbyfKXohkifmbyx8I/D/AFRLfw5c3Uem69dSS2dv&#10;PFIY7VkKjy4pnA8wZJB3YcZjDA/fbwsweFxMZU4RftI+W9t/1evbzPoMvp4jDRjVlNOnJbX2vt+i&#10;fr5G3enFmj4+5tGfT5iayllb+1LhlOVO4j8+tX7m6H9nhXXpNFyffd+vFZQmRJJ3I/1isv1ycZr5&#10;2nsz3KnQkuZZInc7j8vl/MfoRmn6Nv8APuHkOcxntz99QP6VEzObnaOo8vvmrFjG0Iut+A32Ur97&#10;+IOv+FOWkRx1kZ9+7lLWKU/N824ev3abcu3lBCf+WwH0+ao9ZnKGGUno8n55FJdNkkDoZFI9wWql&#10;flRL+JiGUywQ7l/5ZjH5CiqxuwIoxhuF67v/ANVFVysXNE59/E+jR6WmnRySSSearNtQ44+uM1BN&#10;4ospgE8qRdq5+ZRwM/WsWON0P3if9rABqXClcMxHvzmvS+rUyeU3/wC2dJmuY2F52ULwRj5AOePW&#10;rVndQ3WrMsbK6qqjcpyOv+fyrk5HlUrsbPy/WozPNETIjsGb9KUsJGUbJkxtGVzsIWYzyAL/AMs5&#10;Mf8Aj1WfDlodQ8Z2VivRrgR9PWRR/Wt/9mLwpofxHg8QQ+Ko5JGtfsws7iOYq8Xmebv9Q2do+8Gx&#10;jjGa1o/h3B4J+PeheHodRa8iur21kjeSMK0avdhQpwfmwByeM56Cso0ZU6yv5GdSUbWP1s8Hoq6N&#10;Gu3adq/yragXO7K1jeGP+QZGNv8ACPvD2rXtiFB2OPrXvHxZahO1id1WGZQFAHLdKqRPvOf++fep&#10;1k/eoG/unr+HNIk/FD/grd8YbT4o/tueJBp920lt4ekh0G1DIVYG24nyD2Fw04B7jB711X/BEPQ4&#10;PEP/AAVM+EenXhHlpq95cHKg/wCp0+6m/mlfL3xU8V6l8RPiPq3j7V3DX2va1cajfSN1aSWZpG6+&#10;7Gvpv/gjr41034V/tnR/GbUrVJv+EK8D+ItZt1dsAyRaZOBn2Icr/wACzXp4dcjV+mv3amMn7rZy&#10;P/BVf46t+0P/AMFDPi58SrWeGSxPjC507TZbWQtHNa2eLOGUE/34oEc+7tXzP5hj1JWZlA/i3dD7&#10;Vq30sjlpXdnaRizOxyWJOSfrWfb2zS6iucEDl1YdqzHFcsUj9Sv+Dbr4xfFf4X3nxisPhVbahLJq&#10;UWgPeLY20sjBYzqG3Pl9B+8PXr2r9PL39rf9ozTir6/ea5ae9xDPH/6FivyF/wCCFereMPBWsfEr&#10;xf4T8Ralo5a302yWexupIBKGa4kdMqRnGyMkdtw9a/QiX40fGGY7Zfilr8g/2tWmYH/x6vwPjfPM&#10;fhOJq1KjL3Vy6Xa+zFs/r/wr4Nw+acE4XE18HQnzc/vST52lUkrt8rWlrLySPoTw5+3J8TI2VZvF&#10;kzHrta4c/wDs1fP/APwWt+J37Tf7Xn/BPfXfg58J7ufUJl1mx1PWtDsY91xrVhbu0jWqL/y0ZZhB&#10;cBB8zG12qGZgpxb7W/EOuP5uratcXTd3mkLH8zT9PvtSs5B9nv54++FYivFwfGGMwtaFSSb5Wna9&#10;07O9ntofbZt4R8KZlhZw9hCEmmrxirxfRp2Wq329T8HPFem/EH4a6z/wjnj3wlquh6l5SyNY61p8&#10;ltNsYfK2yVVbBHQ45rpl/aSvbHRdJ0nQdIntf7J07yQVuPlMxZ2eXufnZySAVHAGDgEeqf8ABXvx&#10;NrXi79uHX7bxBevcDR9L02ysPMOfLhNrHcbR7eZPIfqxr5z8OeEdZ8RzPa6DprTMmC/zKqr1xlmI&#10;AJwcDPOOK/oTA1o53ldHEVY2U4qVr7XV1+DP4uzzBf6s8QYrA0J83spyhzNWb5XZ/ijcfxbqviKe&#10;98XaxcNJLPLhPMb+LHH4ADjnoPbNeufsT+Ota8J/EW+065sHv9Jm04XF5axrlmmjbIKDPUIZTgDk&#10;R9PlxXlo8FahbW66BYX9tcMsxea9jVhHEOmQWAJyMdQpyfxHonwL8ZXPw18YNq2jSaSrQrCbe31K&#10;F1UNH5gLJIiu0bbZGU/KdyyHkYFdOIwzr4eVJJbWXbyPIw+K9hiY1b9bv9T6o1349/B9bO10Tw9q&#10;usatdWMYh0PQZNL2rYfIEVIwFwoC4UYA+UYHGBXl37I/7UHiH4Rf8FG/D/xO8TeL59DtdPvP7FvL&#10;y0uWjSzt5kZD5jd4klkDvgZIjOATgG7e/GfWftj6roej+F9Na4XZJfLPNcfZ22bgYkMEIJ424eQ4&#10;zXzfftf32syavJqnmTzTuZ7iZP8AX55IPpx0GTjpXh4bI6slUWJ2lFx3u9d35HvVOJPZV6VXDWvC&#10;SlqvdbTuk11T6rawftJ+KfiB8Q/ir4o8b/EW9W68Ra1r17fa3PHtYNeSzPJKQUypzIzfdJX0OMGs&#10;vStJudRlh0vR7iSS7ubhIYbUKD5kjOFUA8Y5x1zWlpFvJdRXGja3qbR3G5fLvGCuSpAIGDz04wCM&#10;Zz3rpPhZBa+F/jj4JutcmhmsY/E+nztfWsMjfuluVLDaF37gByqg8njJr77LKsZS5JWSSSXyPj8d&#10;7z51q2238z9Bv+C0Gmat/wAMwaDNJAIlTxtbSvdKp+79n1Ac9ASPMUcEnGM9MD8qfELWyS26pc+Y&#10;3nfNvYAEbT+Q+vNfph/wVM+Ovwc8Xfs2x+AdI8a6pdatHqkE9tp114fltRKokGWYSYK/K7cbeSBw&#10;ucD80fEAleO3WdI44/P/ANUCOPlPOAMDvXq5jOMpSt5foebg4uMVc/Tr/g1913xTqH7Y3ir4U2Gv&#10;3VrYa58PZ7yRbO4SOSS6tbmARbZGUnaI57gFVzklCcBCV/Yjxv8AtofD/wCBFxeaJ418FePJbqzX&#10;R4bhWitXk/0W/muJGdzOA6tHKoQgYOMHaPmr8kv+DUDWTN+39ceHZdQjktbzQLiWW1mjVjNNFbXC&#10;q6tjhVSVwyjgmRSRwK/Vv/gp14K0G18Rae1raRq82i3qzHbyUQqU/Lc1fifGTrYfMqmLp2Wqj6+5&#10;HXbs7ddvu/RMPjsRh8pwuG5+aLjz2svdarT0ve9rxUunxNW6v89f+Cp/7afxf/aW1vQdB+Cr6ppP&#10;hHw5AZzpd9cKs13fljmeRIyUYBMJGpDFQZecSlR+b/xWh+JXiXxTJqfxUljnzayiWQo26DYryJgD&#10;ByH6c5Ac4Iya+z/ivrWj+HryFtWnZfPfZCscLyNI+xn2BUUljtR8ADJxgckA+MfHnwZDf6bcavDP&#10;cK0lu6stpkyn5P4PUlRjHfPvXxuExUo1U5rfr+HofbZTxVmVOnSwlZ/ub9ElfW71trd73PnfQP2k&#10;fENj4W1Dwlf+IJZJm/drDJGJPNUf8tFkbMjbe6sxyM9zx3vwrn+FP7PXjO28R+JJrzWI7P7Xb28c&#10;dnshMTxMitvL580q4DoUAGWIP8NeNa78K73WGk1S0DeZHMsXnK4LF9m4dAMEYxwOo6k5rLTw74xv&#10;NWs/CeqX13eRqqxQQySKGKk42AsQSABjbnAAA4FfR1MHhq38OfLfWS/y/rqfX4bi/HYPmVajz8vw&#10;Nva/fX022sj1j44ftYW/xNmfwv4I0JbHT5E2pHFdF3XnJC8AsSPoF9zmvVv+CZviL4yfDH9pTwh8&#10;W/hr8Kbe78RaPqkU+hJ4p0kzWMkjHy2kYOys+1HLB0O9CA0ZEgQ0v7NH7KemXmy3m0+Fbi+u47eM&#10;LF91VG5z9cZ556V95f8ABN34VeEviX+2j4Rt/DoE2j2siyWjLGVjkhhQyh145VioIYZDKQQSCCfO&#10;rYrD0Jexw8bu61fc+YzXi/MqiqPEWd4tctvds1az2319T9PvDHjf47eI9f8ABp+J+i+Gb7x8r3M+&#10;l6XoFvPa2NrDJCI5p7h5pJn2quSNuCSdoDcmvyo/4PAvjLrmkeHPhD+zfquvaF/a2qX1/wCKPF+k&#10;6XHvaLyIo7PTZw7xrIsbrLqK7dzBmjbP3Fr9hv2fxba9+0J8SPFDvv8A7J+xaRZtxtSMIXkX/v4M&#10;1/N9/wAHNfjq48f/APBQ201bUtcknuofAFnBdea3CuL2+O1fRQCMDoOg4GB9FkkHKrSnWk5TqSnJ&#10;bWtBKN/Vu3yVj8prVqkouKdlGPKl5OTlZdldt+p+d2izlbto5ASu7G4NwK6B5nWZbFX27f8Aa445&#10;P61j+H40EaySJu8yXcRjt/8AqFXLqaR5sgY3A5/Gv0ClpqeazTtZUuosyNlQhSNT9f69fxr6v/4I&#10;TFdG/wCClPhOxN5LbwappupWtx5EJcyL9kklVcDnG+NDntjJ4r5LtXARQF4HHWvs7/ggXpd5qH/B&#10;T7wNeWNq0ws7PU55VjyCF+xSp27EuFOezV0dmY1f4b9D+kTwvoumxaXmLTi0xtQI/MX5izLy2M/L&#10;09K/KP8A4OlNPt7f9mfwrb2yfu7Px7YxR8dS9jqLMf8Axxf0r9ZvBsGubtSl1uS0jZbdHZIZC7xp&#10;iXC+g7YxnA9OK/KD/g6SVH/Za8G3bHPmfES2bb6g2N9j/PvUS1uctD40fiLpsOy2cBfTmpUuA5mX&#10;zANs4H4cg0WUqiRlb7pjqgtzi8kx/wA9ufyNLoegmfTX7LP7R/wR+AHw41i88V+A7bUvFWo3HlW9&#10;1f28UkL2gVSISZD+7xIC2QrBiVLA+Uqt5N8cfiH4R+KXxm1rx/oWhxaPa6heedb2ljIrRx5RVJOE&#10;CtlgWJA5LMctnJ8/8UBbu2sx1/1nzf8AfOK6j9mn4TaF8afjb4f+E/ifxxJoNpr1w9nHqi2X2gw3&#10;DROLddm5dweby0I3Dh+o6159SNPAyq4yd2lFt7uySu7Ld7dPkethfrGaSoYCkleUlFbK8pOyu3ot&#10;Xu9O5+tH/Bu1+3h8Qfg98EPiH8DNJWGTSdN8T2us2txJgyPLeW7QyJ8wb5VFjER7yMe4r9F7b/gp&#10;34ss3xf+FrW4HfOB/JRXxl+w74U1b9gX4Kf8KX+EHiQXFveag2o63falpdvM9/evFHG8mJEby02x&#10;IqxgkKByWYs7emat+0J4r1hGTW/CPhG7Lfekk8J2iuf+BJGrA/jX8/Z5xliq+bVquDbVNv3VfyWt&#10;ntd3fzP6i4d8IsDRyejQzbLqNWok+aaqNSd23qlTSuk0tJtO17nzN/wcVeNf+Gwfh74J+Ofg34eL&#10;bav4FF5Z+JJLOxDTXGmzeXJE7ybixit5Y5SFwQv2yR/lAcn8eJvE1zHLlZWz0r9tv2r9ajv/ANnf&#10;4gXkPhyzttngrVnMdmrgHFnKcYZmx+Ffh64iMrEAfer9H4AzzGZxgair2vBpJ97q+vp/Wx+XeLnB&#10;eScI43DLLYOEasW3Bu6TTWqd3vfbpbz0sWutakk3m27lSykFvXPWuq+DHwu+KPx8+JGm/CT4b2C6&#10;hrV7DcnTbKS4WISeTBLcMgZyFBKxtjJAzjJGc1ycGMcDr2r1b9i3VNQ0b9rz4X3ulXMkczePtJiz&#10;DJtZkku4kdM+jKzKR3DEGv0B3UT8aufo5/wRa/Zv+NvwQ8DeLvG3xi8JXWg/8JRcWUek6Vqkbw3q&#10;pam48yWWFgDErNNhA4DkIzYCMjP9W/tIfC2L45fAbxZ8JpYrZpte0K4trJrwnyorrYTbytt5wkyx&#10;vwD93v0rp1kUSqqnkDP61I0hPBP0rzpTlKfMaR90/nP8SHWPC3iG+0HxFpslnfWN1Jb3VneW5jkg&#10;mQ7WRkYAqykEEEAg9azZvE8rKY0fauSfQHnrX0D/AMFbdA0rTP2+vH0ekWMVqktzZTyR264UySWF&#10;tI7n/aZ2Zye5ck9a+cbeyhUglM/73NerTlKUUzOfuyN/Q/F/jTwbZnUtOiuI7OZkaYsCqyKCRx+O&#10;RnnvUOpePdf8XarJqGoXMlzNcSAeWWLn0CrnJ44A78evNey66/hm78K6to1strIksf2CxtVbYZJV&#10;MaiRUC8N8+Dktkxk53Ak8R8B00B4L2KfTLZrqNGkt7jyV8xcja2H6gdOB/ePrXHWqRw9OWIjG7O3&#10;DxqYiUcO52TZ6QRPDoEENzIzTLFAJGYZyyq2c+tU0+aYEvndG3X/AHqsX0sghjUAtgAnJ+o/rVWQ&#10;shhUHqrEc9eT/hXyF+bU+xtZJFhT5uorCrfe2jjrVjTJmIdpm3Fh8303VVtJGGso5bH7tz8vbCGj&#10;TLwiXc42hbgDhe26olEqP6lTUWV0i5/iYscdMt0pbmZGlYRtwLlcH1qs7KICpC5Xj9TT5JgkQVQ3&#10;/Hwvzf0rblMebUZaxxeWFZB90csvWipXkCRR2nlndGv6E+/40UczKtE8VXxp4oD5GmQ7un+rb/4q&#10;nf8ACc+KuT/Zttye6N/8VV46nZdI9MuP+/a//FUz+0LYnB0u569do/8Aiq+g5af8p5vPW/5+fgVE&#10;8beLiMx6Rb/9+T/8VVvw9cfEPxdrMPh3QvDdvcXdwG8mHOzdhSx5ZwBgAnk9qeNSgjOBp11x16cf&#10;+PV6F+zdp1xrPxCTW7RPLj0uFnlS4fDOHR0G3Ge55zjj8qJRjFX5Soyqy09oz0HwBaL+zxojLqrt&#10;darrVurTC3UC3V4t3Clju2jzepBz1+XpVL4d+K9c8Z/H3w/qmvSrJINc0+OPbGEVU+1IQvH1Pqaq&#10;/GHxPJqvjcaHPaqv9mwkCRWzv8xY26Y4x+Oaq/AqQP8AHTw3GQD/AMVLp3/pTFXlOpKpjFHomjRR&#10;5cPzN3ep+xXhp1GnR8Z9fm56VrW7qVOc/jWL4cJ/stAwyezevArWgyw3NxXvnyEizAyjjI/Glvbg&#10;xxtsdV/cPhnbjp1Pt+dVw4XgjGeeOareJNI/4SPQb7w+b6W1a+sJ7f7VbkeZDvXbvXII3DORkYzU&#10;S+ER/PtZ2vhq4tdYfX5rhbyHS1fRPJnVVN19qt1bfuBLr5DT/KMEMFOcKQdD4cfGPXvgzquo6t4c&#10;t45LjXPD9/oUzSOy+XBdwmGVhj+IKxx2yefSvfv2vfgR8IPhP8ErTT9N8N2en+JdH1ZbK5un1Avd&#10;3U6O6zhlJwQoKHCg4PYDFfJeuXJa9hQf8s13Z9yf/rfrXXh8RHEU3KKa1sViMPLD1OSTT0vp5li7&#10;md160aREdsl5MfYVHcTIybk9M19geIfBXwI8efATwf4LgTR9Db/R7SHxY9qsUscbyCP7TKGWN3Ry&#10;ftGHIG2UZ2nJGeIxUcM43Td3Y2wuDliozaaXKrn1J/wSo+HGneCP2OtI1m8WRLzxRqd3q11HcYGz&#10;MnkR7f8AYaKCNxnP3yehr6MMenZwsqj/AIFXl/gf4TfGX4Z+BNG+Hui/tP8AwVex0DSbewtZJtDB&#10;keOGMRqXP9uqCxCgkgDJJOBWsdG+LcBP2j9pr4Obl/uaCuOPr4gr8JzbgviTMs0rYq0ffk2veWze&#10;i+Ssj+wOGvF7w9yLh/C5eqtReypwi/3bs2kuZ/N3fzPRoDZogIuV/SpoprVX+W6T6bK83ih+K0Hz&#10;N+0z8I/fy/DcTY/8uIVo2MXxOlZS37SXww3bgNq+FYTn/wAuQV5j8PuJN+WP/gSPYfjd4fy/5fVP&#10;/Bcv8mflx/wVakE/7d3jXYxZVj0sZ2/9Qy1P5c15J4FP2Dw/Jf72WS4utmDj7qrgHPuZD+Venf8A&#10;BT221a1/bX8ZDXPEWnatcGPTWfUtHtFt7ab/AIl1sPkRbm5A242HEz5ZSflJKL5vaA6f4a0uGZ1y&#10;savuCnkM5kAPrjNf0BkOHqYPJsPQqfFCEU+uqST/ABP474szDD5txJjMZQd4VKs5RdrXi5Nx0eq0&#10;saQgN5O0MzRyFPLk2tksSRzye/Tp/jXa/AiPRJ/HSWniCHfDLAyoqxlv3mQcZ7cBu9cWmy1lN2zl&#10;vlUSbcjqeT3GRz09Peum+G/2Y+MbOKUhYvOyx3BcjBHJAyB15B4/Ek+zFLmR83LY9l+Jfwz8O+Ef&#10;C2oanbStEsczeQWhPlvI0eUXJ43EMOOeuPavKvh/q/wd0bwz42g+JHgnUta1G+8OxweCbzT9UNrH&#10;pF+t3BK106AESp5Ec8ZVgwIkYBUdkuIPZP2rdft7H4aw6ZG8bNc6jGu55w7Sr9nHOMZ6gZyf4gOK&#10;+b9R3SL9ngVsy/PM2O2TxkepAx36g9eSp8RNPYrwvNbyJdTRIDNlmVo1O7J7+vB//VVHxybrU/AP&#10;9pB5d1tsw29PlRiqnKj5hglMduW9adq2trZwt5lzIVE2Wj8zgt3/ADJ/T8aZZrZat4WutPmslmkl&#10;tH8oDdveQDKYx/tBeOhrPm5djW3MziNMMsmrWxMuG+b5myf4TWzeGxlmjVS00nncySNwDjp6D+f1&#10;rA029gtb9LqeNnVN2VVQf4SB146/X6HpXTfDnQbj4oeP9N8HW1y1qbx3WNpcOqbUZuihey9Bk+gP&#10;ArooYijQw8ud9b/LQiVKpWqpRP1a/wCDT/wxbXn7fV54yurSTztP0OWyt5mmCqPtFrdORsI3OxFu&#10;MMCAoVwQ28Ff0/8A+CmHj6Sz+M9z4S8T6L9ltrfwjLc6Rf20j3D3wYN5qeQke9ZEKZ2Lv3odw+64&#10;X4A/4Njv2d/iX8HP2rv+Em1LS9Ov9F1TU5rM6xYaoT9nlttLvmKlHiDOGF0mMNheT7V93f8ABR39&#10;lrxXrn7RE3jzx58Yr7VPButLPqNn4NS2khNq0WmW9i1qbnz2LWZxPcG3jjiVpbuQuXBcP+b8WSji&#10;I1q0/wCG6l01rp7OmtF/iTWtv1Pro/U408JRlK0oUmpqzup+2qySWlm+Rxd9Vra6a0/J79q/QbrX&#10;Bp994dhsdUkhja8hsZP3iXEcYWQv8mWljZV8ooPlc3MZJBVa5bxF4c1FvBseiahpdrZQ2sf2SOC1&#10;vpLkC32Ko+d0Rt2AR3xwcnpXuPxLt7WwvY7Owt44YoYlSOGGMKka9lUDgADoBwAK881uzjvY2gdf&#10;lY88fjX56sRLljFbI9JY6bw1OikrQbafXX8PzPAbrwknht/sgZZF+1Byh3NtO4k4LEnac52nJGSC&#10;zda6bwj8I4tV8Qr4gu2hIiYG33QH90mF3AEMOThsnHRgOgO6TxLo01xr6rH86eYD06Y7V6l4I8OM&#10;2mRwonzSbUUe7EAV3VcZWjG6erOyObYjW73Om8PfAu2+JXhO78K6ncQW+l2+lre3zGOR2lbzDMkX&#10;ySRlFLxxh2V9zR+YimNnWZPtD/ghP4K07wxrXiT4uat4Ybw1p/gfwjcLdQ+JtUbyNLfCuM3shdWt&#10;0iR8TKWVY+CFKtGviXgnw8mk/DjxHrSqwNxeQ6fD8p+6ijI/8eav0B/4Jn+HbXwb+w/498dXFu3m&#10;XRvtzxyvGzRw2owA6EOvLNhlIIzkEHms8vqSq4jleyvL7lc8PG4upUpOE9U2nv8AJ/106Ef7AHxu&#10;+IHifxv8Ubbxbo2pDT/EWv6/qcs11oxtLLTdJtWMMMsMwaSSS4mld9sU4h86GGWeMRLCI7j8D/8A&#10;g4GVh+3teFZ5HVvD43NycYv70Y69hjt+Pav6Rf2Rvhl4d+B/7DMl34etpGuvEvnX+uTXEx/0m7uH&#10;EEtyUXEcbuAJH8tEVpCzFcsTX4ff8Fb/ANkO3/aX+KOm+LvDOuTx+JG1TxIl5Z28CMslha/Y7jzC&#10;7yLt8tZ7qTaAxcIwUZwD9dg8RDCZpgoSejpyltspara/b8TzqlP61KoqK6ry239NPM/KnS4o4W8p&#10;LhJDHuHmRtlW7ZHHI/pT3PmX/l542Zx+IqW78M3PhbxFqXh29uoZpdNupbOaa2lEkTskhUsjKSGU&#10;7cggkEGq8eDqWSRt8vluvev0ql8KPGl8WhetiVDIa+/f+DcJ2P8AwUBvpjIY1h+Ht+3mZOVzd2Q7&#10;fWvgCA/M2a/Tb/g2Q0vw7F+0z418Wa34O1a+e00Ozs7fUNNQlLUTySu0cg6fvDbrtz/zzP4bROfE&#10;fwWfu94P08/Yb6O0WOGOaGNJGjufMZ/9YcnPQkc8eor8n/8Ag6G1b7b+z/4b0XO0J8QLeSFfUJYX&#10;a/zav2C0/wAQ6fcQXNra6NLYqtmix288RSRT+8yGHr+YwQemK/Gn/g6B+KPgy48AeE/hJpNg02rL&#10;4lj1PUL5SNtuvkXSLB9W3lvolHc56PxI/GXT5G343YbpVGRv3rNu4M39DVyzAMuT93dxWeWCxK3c&#10;yHp9DSex3GnO6toysw+YTALx7HP8qi0bVNS0XV7XWtHvpbW6s5kmt7iGQq8UiNuVlI5BBAIPY04T&#10;qnh64kaPdtCH6fOoJ/LNVmKRRbw33l+X8q1jCM4NM1pVJU5qUXZrY/e/wfrXhfx74N0nx54fd20/&#10;WtNg1Cxab5WMM0ayISM8Haw47VeFppMTZe3WT/elPNfO/wDwTw1r4mfE/wDY68F6zb+MtJzY2Mum&#10;skmk2szQJbTSQRRuW1WBt3lJEfmjTgjqCGPsU3g34sncD8RfDkZGPv8Ah20wP/K6K/mXFeH/ABDD&#10;FTjTppxTaT5o6q+nXqj+18H4zcD1MJTlXxUlNxTklTqaO2quo20fZsr/ALUGsabbfsufEiK20GxV&#10;m8BawPM+ZmH+hTcjLcGvwxkO19wXj/dr9kv2qNF+JFj+zX8Qpb74r+FJI18D6s01vDodqksqizly&#10;iEa27KxGQCEcgkEI2Np/F55ZMbRKx/4F1r9J8PsjzDJMNXhiopOTTVmnsvI/C/F/ivIOKMZhamV1&#10;HNQjJSbjKOrat8WuxpRyMowo4616z+w/Jar+2J8L31CDcv8Awnel7fZ/tMew/g+DXh8lzKnJmkHb&#10;7x/Kvb/+Cd2i6j4r/bR+GthY2kl1JF4pt7xoi3RLcm4d+f7ixM//AAHiv0KT90/G2fvKLjfOF4I2&#10;k/rU0tyC+A/tWXBdkS8vk+W34dKsvcE9T9SvNeYjQ/C7/goX4/v/AIh/tpfEjXtQijWSHxVc6cvk&#10;g4MVo32SP8SkKk++a8dQAKDnHPal8S6reaprt3rN5eSTXN1cPLNNK2WkdiSSfUkkn8ar2919o+QN&#10;838S+tevT0jYzqfEzRl8RXp+0GJLdldZFbdCpYl0ZC2SM5+Yt14bB6gGt7wG+l+EPilqHhrQdfk1&#10;HTY76e0stSezNu17BuZY5TEWYx7wI32ljtzjJxmuH3vHcNCDkZIre0zVNNvvHlrrOm6Imm2ZNrEs&#10;cIk8tZkijEhDSO5yzqzn5jy/AUYUYVYqVN02t01/X9dC6M5QrKa6NM9yun23GxQRtj+XHXrUDBxe&#10;WwIbndhcdOWNSbYproCPPzKuB6DK8Ul8XhvLUMcHkfqeP0r4hH3j7j3cQ60A2Cv2U53d8jFMjDRt&#10;cKR8yyK2057YouAG1+ML/wA+7D7vXrTLqZjNcSM33mUfL/wHvTjrYT6+pQG37Myhj+PPOeaLuRxa&#10;bmYZ8zO0njpT7iApHIrqx3Lnn0NJqEY/s1ZdvO5Tz3OOlbdTLoGr3JSZDGOsfO0/lRUWrQR3bRuX&#10;QYUD5voPY0URty6hK/NoeZE7Wy3bnmpdxQoD7dahX55OfTjik85zt3D+KvauZO1ia5mf7rHg9ea9&#10;L/ZjuXTxnfJk/Nphbg9cSJ/jXl85ZhlvWu9/Z0ujB8QZI96/vNPkX5v95D/SnvoRJ8sGzofihpt9&#10;J8Sry/hspmjnt4ysgQspIRRgH8OlL8CzNY/HTwzc6kjQoviLT3kkl+VVUXMZLEngADv0qP43/uvG&#10;EcjH/mGx9/8AppLTP2eCx+NvhXLgFfEem4P/AG8pXmK0cX8/1Iu5YT5M/W/Rfid8OrfS4fN+IGir&#10;uGV3atFg8D/a5qZfjj8HLZMy/FzwzH3w+vW49v79aHh5lGnx+WD0zitKP5UGTtNe+fJu5zsPx5+C&#10;kz7I/jD4WfvhPEFs3/s9a1n8S/h7chbi38c6NKuw/NHqkLDnnqGq4rx52gbakyouFZfm4Pp6iolz&#10;Djy9T5X/AOCnHws+DPib9j34j+NPB+n6Lea9NHZaglxBNHM0MsV3F51xCMnypWg81XePaXXIbOTX&#10;443cXkfO8jMzDqzZNf0HftJeGtX8d/s7+PPA/h23M19rPgzVLCxjUfemmtZY0X8WYV/PjqhfcVNb&#10;4e3K0iKjvK7DbI8W6OZtp7Bq98/YHg1H4z/teeA/h78QpYda0vN4P7P1a3SeBki0+Z1DIykPjylI&#10;yDggHrzXjGteCvEHhHRND1XWIo1g8QaOdR0xlYNugFzPbZPofMt5Bj29693/AOCT1ot9+3f4ME0Q&#10;ZVi1NmVgDx/ZtyP61rOMZK7W1x05SjJpP1P1G1H4KeGBw3hHSZGA5b7GnP1+WqEvwM8Dz/6/wNo/&#10;PGGtUH/stejX3h3SJXzJpNq3y45gX/Csy78GeE7g7bjwrp0vOWEljGfr/DXBt1NDgbj9nT4fGQMP&#10;AWj5Y4Z1tl/wqXT/ANmz4dbVL+AtF+YD79opyPTpXU3nwq+HFzGBP8PtEkU8kPpcJH/oNV7T4CfB&#10;O6w158HPC0zAdZPD9sxP5pUdSj8y/wDgr38OvDXw1/aa0nTvC2h2unxah4Jtbu6is12o0v2q7iLY&#10;4wdsSD8M14j41EekwnSYz8toqxK6EnbgYBBPp0r66/4LKfA/4b+BvG/wy8YeE/B9lpMOsLeWOrRa&#10;XZR28DLBJbtGSqADeRPMCT1CKP4a+LvFl/JcQzyyt80khPTFelh/4Ksc0/iNrQZp7zSbe41K5/eS&#10;w5YIOvBx+JwKveHPEreH9ftJbW6k32k6SQvnbvVTnbxx2xt7jrXP6fqbPoNodu3bCFXjrjvUF3qU&#10;LruY7ZFOVkRfr3rovYz5T1v4/wDxct/GGo6fBbSo0Wm2xOTH8zyyeWCpxhfuxr268k5PHFQahLDp&#10;zphSJJA7NJEdxbbzjJ6Yx17Y61zYmXVbmG4mlVViOLhVyQTjAfrnkduxB9RU0l6Zj8qtt3fLgdPf&#10;/PpScnuCikV/GFrKsMcpnbCTKdp4x1GK1PB17JHPbGGR9w6Mg689PTGPrWL4jluDpWXPyqynODVr&#10;QLkxrA8ke5dvTPU8flUFHOXmlX+kX81hqFu0bRyMqkqdr7WZCVJ6jcrDI7g+lep/sQ/D/V/il+1b&#10;4L8F6HqUVrNdao0kk067k8mGGSaZSMjO6KN1xkE7uCDXSftvfDPwH4X0r4U/Ej4YeHxaaR4u+G9v&#10;JqV0s7MtzrdvcTRai2HYsuHMecYUk5XuB6F/wRd8PaRqv7XWoalqWnRzXGk+Cbu70yZly1vOZ7aA&#10;yL6ExTSp9HI71nJp03fzLjpNWP13/wCCPv7Ptn8Hv2vPh5ajWH1K7t/7Ta+1KSR0+0zNpd0pfygS&#10;qjGFC84AGSTlj9t/8FR/GHhzwh4XXxPrmrw2lvoPhnUrzUJpvuxRPsVHJ9Mxv+Rr5n/4J2TMv7af&#10;gvzpFAP9pEdv+YdcV6B/wWG1Xw18RPBOv+CdUuStrqVsumLPayBZdkId3kUsCA6TyAKcEBkB5r4H&#10;ieth6OWqhJ25px23tpdr7j0aLqVcRzvV2Py88dfFrwRrN7Dr0OpyyabfWLXdvdNp8yRraqB+9kdk&#10;AgUg7gZNuVBIyASOc8SavZ6Npt9qt083l2tvJJIY4Wdgi5zhVBYtgHAAJOOM1ZtfhjpXhnT7XQbH&#10;WLyaysdSe8jt547fYWO9vL2rEAsayt5yKoXY6qEKoqoMrx4dL0/S5o54GeSOZpvmhyY5DGOY+M52&#10;seQerNz2HwcVg3Usua2vbvp0XTc9ePtFHocL4W8aeFfF2uzRaS9xeyQ6x/Z9ysNqwWCfzYUZXd8I&#10;NvnI33ssA2wOQRXu/gPV/CVl8T/Dfw1mud+oapNdvDEs0PH2W3ilcFS4bdtmjYIFLYbdgL81eRfC&#10;b4N+AtUe6i1O03RarrUerSK0xjaK6CRoksbptaNiY1O5TuLMxz8xFfR3wi+Afwx0Lxlp/j218C3H&#10;2zwzp95e2c1nNKFtPOtY7ZkSHeEKGCCONYVUqhVSqIfmrorywMZNLm2dtt7aX1XXf9SL1uXobmj/&#10;AB4+GGufs2J4xW+k03QdL8TrbalrWqNFDbm5uWDQofnLp+4ntJizqiql3GGIkSeOH9C/2Z/jD4Q0&#10;j9iHxF8FrCzvpdY07wUms6lJb2hkijg1GfV4IMlMsDnSJwcgD54gCS2K+KPB3wV+F/hv9kvw7f8A&#10;hLwdLHp954tgv3U3Ek0bTRW0FpazMruxISG3tsHBCtAJT843n7y/Za/Zz+GGp/8ABO+4gHwy0X7V&#10;Z6XqH9izyaTEz2iRm2kVICVzEu+wtDtTA3WsJ6xqR0ZXGnUr1VRT+Ge/bl/NO/39DjxDfLFy7r8y&#10;5+w/+2j8Jv2uv2RtV0f4c6NrmmN4WXTYzDr2n+RJe2V04a21CLBZDBK8dyqDcX/0cl1Tcor88/2y&#10;v2e9F17413lnrsJ8zS9aa8sbhZmjaPcyuV44KsFCkEe4wQGH6x/BnTfC9n+xRomi+ENK0/TNM0XQ&#10;4Y4dP021SCC0itnB8pIkAVAEThQBXxt/wUS+E+k2V9onxf0W/Yf2hNJaXUSrgMSquj+oICMPx9q9&#10;uMo/21gpt3TppL0fNZfLRPzMablGlO2mv+R/Nj8ZvCOmeCfjT468E6DF9n0vR/GGoWGm26yM4hhg&#10;uZI0XcxLMAoXliScckmuTtY3ivWUr1Tj5s5r0j9qnSbvRv2mPiNZ30I3P461SZVPdJLl5FP/AHyw&#10;rzCJ3TVW3QLHiP5dpznkV+rU/wCGjy5fEaatgnniv1O/4NkdY+JPgn4r+OPHfga6aayjtbOHXtDk&#10;VGhv4dzlWwRlZYyzFGH99l6NX5YxLuAUZ9+a/Zr/AINl/hrNafDHxB8X4LmSNdR8VX2g33ltgxgW&#10;dlPbTD3WTzl/4H9a3ja5zYh/uj9iNJ1Kw1pdU1HRrmV/Pt4riSW6kCqNySHKjHOcAeo79q/FL/g4&#10;V8JQ3fwh/wCFqvuM198Urezjdv4o0sLsfllMiv1s8OXviKC31iMXTSTSW6xfZxGBtZTLnGP4TkH2&#10;B4r8iv8Ag5K8bNoHhb4f/s/WmpBjZahJq2tK3We8kjYIB/1xR2B6Y+0qKq3Lc56Os0j8l7Rwr/Rv&#10;yrKuZjFdwRdVLSZz7YrXKeTJuz36Vj6tiPUogi7huk4/75qZHebWmyq+lXSsOtpLx77Dj9a6T9kH&#10;wEPiZ+074B8B3lkt9Z3nimz+22My745rdZBJMjL3Qxq2Rjpmud8PCJ5IoSm1ZDtcexr1z/glzomj&#10;+IP26fAula/pNve2sjamZLe6hWSNyumXTLlSCDhgD04IFFTSi35MF2P1PtP2UPg3pWnCwsvhhocM&#10;Ma7Y4Y7UBUGOwA4pX/Zh+FAIaTwBoan2sxz+Yrrr/wCFHwsjhJh+HOgLuPVdJgH/ALJVc/Df4bpF&#10;hfh7oeR/1CYR/wCy189e71OtN20PPfjD+yR8PvE3wd8VeG/C/gvRbfU7/wAN31tp9wmnqrRzvbuq&#10;NkDIwxznrX4lmQ52n8K/fy08G+FbeFks/DWn26lcfubKNfbstfgHf2Go6PqdxpGrWUtrdWkzQ3Vr&#10;cJteKRTtZGB6MGBBHYiuvC9SKjdlcgnk3S7T65r63/4Iw+CtS8V/tyaLrVhIoj8N6LqOpXg7mNoD&#10;aAD/AIHdJ+ANfMvjfwBq3gay8N6lrCyRt4k0AatBBLbmNo4WubiBDz94MIBIGwMrIMZ6n7m/4IH+&#10;A7PU/iT8QfiXJfOtxpOh2emRW2z5ZEu5nldyfVTZIAO+8+nO9R/u2zLqj9P3vYLW723Eqp+7LfMw&#10;XHTnntUNx438IWJ233ivTYf+u19Gv8zUaFBeiTau4xkbm78ir1tMrNgjaf4fQ1wGx+N3/BWb4S/B&#10;L4R/tH6Vof7P+k6fp+i33hC3u7qLS71p4TefarpHOS7BT5aRZUEAcHHOT8vLLPbNlSp2/wB6MV+m&#10;P/BfPwhq1/4W+G3j+2tY/sGm6hqWnXlxuAZZrhIJYVx1IK2059Bj3r82msZb14oLWNmeZgiRquSW&#10;JwAB6mvQoycqabMp/EZlpMZrvc4+836Zr2j4BWBl8LahbSWnmRtcFXDJlW4QY/KvGbaGSCbyLhCs&#10;kb4dWHQjgj68V658EbiSO31AFvlby2+Ud8//AFq4s0/3GT9PzPQyn/kYRXr+R32l6Tq1pD59xptx&#10;8rSE5hYZ5yD/AJ9aj1qOb7dHOls+F+bDLkj7xxUMt07aRBCJejsQVHX+LH1+Y1FPJsNsWzkhv/Q2&#10;r5blvK59bzS5bFqeKf8AtaFhE2fL2lsdPm6VFdRzTIxhhZh5oK4UnuP6iltJA2qQozYXyXz+Ck/0&#10;ptnLH9qwinAm24x6tn+tHwi3ILiM+QxA/vZ+bnvxTr23mfQFjiT94u07M4ORVDUXDQrub5vOerDz&#10;MiEknO5f5Ctoq6TM5N3aLIsZZLdMld3vIB2Hv9aKzZI7m4/1S8KzDPODzRRZCuzzdCPMbj5sdail&#10;GAgyev8AdqVVBYMP7w7/AOfSmzqqkADoxr2o7mctYjsAxbdx6113wJmKfEm0Ct9+KZD8v/TNj/Su&#10;RAADD0/w610nwbkWD4jae7HrI69e5jYD9acfiJqfw36P8jvPjdahdcs78HPmWZT/AL5cn/2aof2e&#10;Vjk+NXhP5clvFGm9F/6eU/xrQ+NJMyaSFHzbZh/49FVH9nBPN+OHhNM52+JbBvpidD/Q15ko/wC3&#10;W81+hnT/ANx17M/Xzw+4XTo13H1/lWlDkrjPU8/LWPokiiwjIPG3NadnMrDcRz0/SvfPlmSlucel&#10;TK7CZWWT+HDf571ChJbLKM9qD8sqn5cAH+lRLYC8zIIRvk+X+dfzn+L9Ev8Aw/r19oGqQNDdWN5L&#10;b3ELHlJEYqyn6EV/RPPOFh2sf4q/BT9sqNE/av8AiiqDH/FxNax2A/06b8q1w795ozqdDvP2wPhD&#10;B8N/gb8AtYt7yS4GrfDVnaWRNuGkvJb9k/4CdQK57hQe9d3/AMEUdEstU/a51C+uYVaXTfBV5c2r&#10;FeUkNxaw5HodsrD6Gk/4KF6xb6h+yj+zFbB8zQ+AZt/rt+z6ci/+i2qT/giTeR2n7WurQySf8fPg&#10;W8jUcdftVm38lNa6+zfz/NhHSofqpLN/AwbPTI7VUupkDbc7sD72KnuSOmflHtUJhxiT9a4TYIAZ&#10;k3NnpVrToFKbBJnAxiiKExwLvPb24qfTlAUlsMx/vf596iwXPkb/AILO3mhw/s++E9NuLm0XUG8a&#10;ie2hkI84262F5HKyjqUDywBiOAWjzyRX5Y+JbhA7WwjfCj7zJt/rX6m/8Fo7bwmfgb4Ve8s431tv&#10;EjJp8hHzC0MDG4XngKZFtSfdVr8u7mzm1DUYbeKPKSSBfL37m2555+ma9HDfwfmc9T4zX/sI29tD&#10;YKzfcCr8wOff6U2fQJLdd103/fTDPHt26Vr/AGiGO3ZruzeNVk+YNGwAx3AHbkc/4UxAHfePKjjC&#10;/Kxzz7Z9fr0rqtEz1MuPRYbbdKo2q2RI3QHJXAGB2IPfnPbBzLNa2Sjy0nXczDcfT/61Wru8RvMP&#10;mqGYqGDZP8anofpSJPNKuyGykmkVVfasfHI6cjA6HrijQDP1vT4zpE8EM6SN5Z27STz6j8qz9ClW&#10;4WPy0ZmIUbV5J6Dj8a6IC/MYtpbeNVePAjbAYMeen0rndIiFirW10nzws0bFR0wdpqbDPZf2qfiJ&#10;4Z139kb4A+ANK120uNS8PWviWXVrOOT9/aG41FGj8xcYAZI8qQxJw2QMZPpv/BEdUk/am1yXnd/w&#10;r27G7PT/AE6xr5B8XRLcahGYj/q4dvHc7m/Wvrz/AIIfu6/tR6/G6/8ANP7onn/p+sawqK1Nmkfi&#10;R+qGifEdfgx4psfia9pdXEelybpIbPTZruR1ceUQsUCPI2fM52qdoyxwFLDnf2iv2l9C+OGqCTxX&#10;8TvD/hCFo82Ok+KbiTTp/IycMIZUD7Cwb5iAWZT02itm5Aa4jcnqp/pXyd/wVOj83SvBlsy/cOpv&#10;19rX+or4DiTJ8PioPFyk1KKS0ta1/S99e59Xwvg1mmb08DJ2U+bW2qtFv9Ds7yx+Fm/zZv2jfh7t&#10;yPmHiIdP++Oa5Lxj4E8HeK9Xji0j9oT4drHK23MniTbxj2jPaug+KX7PHw1+Ff8AwS+0fxnfW9rN&#10;r+saTpU2m6ntCyTNcTx3Ij+q225Tjshr5rt/GWvfD7TrHxb4fnhW+sLXfC1xbpMhPlYYFHBU5BPU&#10;cZyMHBr4JUqdOpaLfb+tD9Iyrgejm2DxFWnUadOcoR00lypWbfRNvzsfUngbQfgr8OZGHiv49+FZ&#10;tsQEZ0U3N516jKwgD8M16Z4Z/aW/ZR0BNTtL74r3H+mWMdtE9p4YvZPKUbskjy1z26H0rz/4SftD&#10;Xvj/AFv4a+Frj9nfR7Ob4krfJpt22tFxF9kTfI7xGwUKH2ZQLK5CtywzzD+098YfHnwA+INp4Xg+&#10;FvgeaSbR47uG8msZJHjWR2Vk4K5+aHk59PSta2BdOoo1U02r7r5fefI4XKK2MxTw1KHNNNq1+zs9&#10;dtGn1se/a7/wUp/YVtfhTB8KNN8VXtrJbtDJHNJ4dv23FcbnwtscFiGzgnGTzXqHwa/4OCv2Tvgh&#10;8LbH4aRWC6smlxy+ZcrHqVtlSxc7kOnvz8zZ56D8a/HTxr8TPFvxR+Id54w8aSR/a5Jtq29rEI4r&#10;aFWO2KNOyLuPqSSSxLEk/Sv7F3wU0P41fsw/EbwyLazXX5Li8S1uLiLLW4nsljibI7b1f6YNdGCq&#10;PLa3tqDcXa3R777xaPqM24HweAyeGIr3crxUlfRXdtHo9PuPsT4Wf8HDXwM+B3hjWdJ8NfDy48V2&#10;95vuNJ0ttSubRVk2n92ZJLEjD/KC23jBOD0rzE/8FUE/bn8Ut8LtL/Z7m8F6fpsUmrWvmeMP7TWP&#10;YyQmFQbOBgp8/cp3HaFIw2QV/OW20EWtvbxBeWhX+H1Fewfso3DeB/jB4Z1abV/sdrqU0mnXw8vf&#10;54mVhDEcAkbpxb84GCBkgZr0sDONPGYenLWMJaXtdXffR2u722PQzDgHKsPkuJrUot1VByTu/sq+&#10;2zulbY+YP+ClWn2emftq+NbW2TYrSWEjIo4LSafbux/76YmvniQEarj/AKZkL+Yr6K/4KaXlpd/t&#10;u+Opbbcyq+nxgbf4l062Vv1Br53mY/2rCQOGViT+VfstFfuo+iPwGXxM1LPaT/tDmv18/wCDf79s&#10;34KfCL4Jap8IfEPjDQ7XVbjWGvLqxvbpkmJ3fu5FGOu0DnoQBntX49uXAEcf/AvpWfqWnPY67Itz&#10;Ed3lxyD5Q2dyKw4PbBrWUuWxlUpxqRsz+unRvjh8Fb+yu9f0DX2upvsqy7w21YJVWT5exHBOdwII&#10;IwTjA/CT/guU8PiH4geHfFk3xHsdavZ7rUXvrG11KGZ7AStC8QIRifmVW3HoCmM9M/JPw8/aV+Pn&#10;wr+H9q/gL443SWDX8sF34X1qa2vLNo44omj32V2ZUljO5wA0WwMg2kscL5Xomo3N1cOJb2SSOCPZ&#10;GrSMQu5ixxn1PP60ue8iKdLl1uaJj+bMhPoPaszWx5erW7Hdtb269OlajzZYDP41R1IpNe20RHKy&#10;N8x9Mf41ckbGnppRJ1VN2VPGe9fSf/BGjwPF4t/bUtdd+0Mn/CLeGdQ1JVC/6wsEs9p9P+Pst+Ff&#10;N8GkqiC6luPdWV+TX1f/AMENRn9rjxMzJ/zTu8A/8GFhU4j3cPL0CPxI/Uu8QTjDdOmKzr7fBKOe&#10;P51qyxlF5PC81n6smG4Xk18+dg22dWTAWv58dZ1a91nWrvWNUuHmuby6knuJpDlpJHYszE+pJJr+&#10;hC08sdAenNfzyON828N/F0rswvUzqfCfSH/BS3w1feD/ABj8JtB1JDHcWvwJ8OwzRMCGRohPEwI7&#10;Hch4r6T/AOCAtvcwaf8AFLUvLYRTTaLFG+3hmUXxI/AOv518lf8ABQ/xtqHxA/aTfX7u9a4X/hEP&#10;DrQuVAJWXSLS4PTHVpmP4192/wDBC2BLf9k/xJepCgaT4hXCeYq/OwWxsiAT3A3HA7ZPrWlT/dzN&#10;fEvl+R9wRmN51z/CD96ppm2gkDoMcL0qrAXMilAeV9OvIpbi9tIoyJLpF7fNIPyrjNrS7Hx5/wAF&#10;znH/AAyJ4ecn/molnjH/AF4X9fmn8Bgb742+DrGWHzFbxTYeZGUzuUXCE8HgjH4V+jn/AAXG1TT5&#10;v2TvDunR30Jlb4hWp8tZBu2/YL7Jx1xkjn396/Of9mXUrPSPjv4T1PVZ444Y9cgWWSZgFjUtjcSe&#10;ABnOe2K7KX8H7zOa99JnM+PYIrPxnepDFsXMbFf95FJP4kk/jXb/AAf1Uvpt5CF5iCHPt83+Fc18&#10;VLe2PiZLi3X/AI+LGNpGXoWHGfyArc+CayCG8DZIXy8e3X9K48TLnytvyX5o9LDR9nnFvN/imeiX&#10;HGjROhCuLh88dflSo7iUu1qd33kbHH+09JM7HSVBO3bcOcccDCVWu5h5lpEXK4bA5/2m4r5qJ9VL&#10;YvW1wLfWEXf0tXPyj1Q8UzT2AmYCVsi4Q7vXlegqvdO0eqxu5+9a45+hpTMIbzKHgMpz/wB81XYn&#10;v6le4uEkXaDkKWO4dOtEl0ZVkkLEDK/d9hVWR8o209I2PB91oa5JtmOS3AOT2rVR0MObU0F3LCsi&#10;hjuZht2jjB/+vRWbfmaBYWS4K7o8/wCfzoo5b6i5rHDh13Z7dKSfO0Zx170ruFdVYZ3e386bcEuF&#10;x+Jr2PtBL4QkdvM6fKf1rV8I3v8AZHimxv8AOFW4UsfaskMSdpH3c81ZtHzdQrn+ID6c0bMm/us9&#10;W1fVJvHrLBpMTSyWis23eB8pZfX6VzeoeDfHOi26Xlhox3o33Q0bHlWycZ7fpx7VufAe0lHii6SU&#10;RlWsG+aZSw++nOMHmvYtM8P2c95CkiwN5h/1f2XGP0/zmuSdOn7bm6/15HH7SpGlyK1vT/gnjNl4&#10;0+NtjBHBbTanaqqgKLdgn/oJqWX4o/tEwj9x8QfGUKnk/Z/EF0gH/fMn1r6d0/4eaZIvmRxQgH/p&#10;moq1F8ONLVtzJAcY58tavl7N/ezn9vLql9x8t23xy/aeg+VPi78RF/7m/UfxHEtXI/2hP2qguE+M&#10;HxCPcbvGWp//AB+vpp/hnoZ+UJbj5v8AnknPFMPwq08/uo7K1Ybc5baP5Cnyvu/vJ9sv5V9x85W/&#10;7Tv7U4/cv8SfG7bccy+LNVP/ALX6182/Fe61u78f6xqPiZrqTULy+ku7yS6d3kd5SZCzs5LMTuyW&#10;YknOSe9fo0fhZGFymn2vr8tfHX7eXgKPwt8ZIZLK1SNL3QoLi6fJZTJ5ksQ56D5IlGB/dNduBtGp&#10;bujjx0vaU07bM848feN/F/izwp4Sttav7q6sdL0d7HS/tN08iRKkh3KgYnYBuThcDgVrfs0/EXxl&#10;8LPiXF408AX91Z6lb2cyLJbM24o6hT93qOR14rlBourx+C7PUxebtPvNYureG3WRtouIorZnfHTl&#10;Z0Gevy89q9//AGDPhBa6xa6/4+1HR4bgLMlhaSMW4YDzJV2/8Ch5PPBx3rsre5Ql8/xOWj72ITt2&#10;/I7Bv26/2t2b/RfH2rLz8v8AoJbv7jn8qgm/bv8A2xbdcS/F3ULf13aRD/7NGa9dHwz06Nsx+HIU&#10;b2Vhn26jrTpPh7pcXXQ42bOf4v8AGvGfN3f3o9bmXZfj/mePt/wUW/a9s4vLf4+XCnbjbJounE9f&#10;9q3JH86mh/4KUftdH5U+Pci85/5AOlf/ACLXrEnw6tJOB4c3AY79Ofc0+3+FNrMRv8NR52/xEHt9&#10;aiXN3f3lKpDrFfcfNn7QH7UXxj/aA0mxi+Kvjca+ulNMdPaSws4Gt/M2eZg28Ue7dsT7+cbeMc15&#10;DpLhNayLS4aRYWYeUqnZkgdyMZBP+TXv/wC2Z4TtfDGraHbLpKwrJazuwhXl/mXgfQD9a8E8JCd9&#10;WvdQnZnX5AuVPHJx6cdK97A/7vH5/meHi5c2Ik7W/wCGRsC801rny77UpLfvIZIn2jnoWxt/WqOn&#10;mxuYWuGZnaZmkWNnIxlj1wOOo/KtC6ZpPlll3I38Il+XOev61UjW6C7Yz8uCCFk9MHpXYzlKV/p6&#10;JLJdtKzAsi+WG6Hd9BViPUW0+Y7NPmaKSMf8e7clgeM7j05/z2k1i2njsWSSLG6VOTJuwd9Fg6LG&#10;qNA27H3VTrg//WqSrkbX2py27RaZpphGcC4mkJZs9yB0/Bv/AK+TbrcTX9xJdJGrpLtCxn5T/d6k&#10;9Rz9a6JbRbpTshWFNuVWSTLHrg4+h/T8Kx7fems3LRoA0knzSP8ANj92MY47Dn65pDM3xTpzpb28&#10;4YDO5cD2AP8AWvQP2PvjZ4x/Z/8AiBfeN/B2tXVhcXGiyWElxaLbFijTRSFf9IgmXGYgeFDcdQMg&#10;8T4ovpJrSz0yFN5SWZ2LOFVtwjHHHX5Ofw96+l/2H/hMLv4VXnjHW9Gnt5tT1JhasuxlltolCqwB&#10;bj94Zh0GcfSuLGS5cPLu9DrwsVLER8tdTq2/4KW/HaRVMfxK1vcq4DGHR+P/ACm8/jWd4r/aI+I3&#10;7ROg2194+8TXmpJplxJDareQ2amMyCMyYNtbQ5BCpwwbGOMZOfSx8M9JdcjTtw5PzwRZ/wDQq5LU&#10;fAl1rfxK034e+GbRZLy7vLe3trfaF86aQqI0445LoOTXxGeVJU8vau9Wlv8AP9D9U8PadGvxJGfI&#10;lyRlK9kraW/U+1f+Ckfgi6+Hn/BOv4ceAtZuYzqPh/XtG0qdY5BiSSDSrmKR19V3L+TD1r4P8c3D&#10;rozW3drfHPYba+4v+CyvmyeGfhWsrFme71ov83DNusOo9eePTNfD/jgHbJuGVWDB+X14r86jK7TP&#10;2Dgmm/8AV2NR7zlOX/kzX6Hsn/BLf4vfEb4z/t3/AAz+EvizxFDeaboEOoRaSq6PYxT2sUOnXCiM&#10;TRQrMV2jBV3YMcM25gGHq3/BXfS4fCn7W2n+HbUhVk+HtjfbWA3F31DUUPA4wFiQVgf8EvPDsOif&#10;tVfDfxLBAY2a2ugrKydZNKuRk4+bPPeu7/4K/wCmvqnx+0fxNDuaW18C2qSMzqvyfbLxjnJzwGJ4&#10;7ivqcyovEYzkWrVO6+Vn+R+Q5DmEcDxRSrz0jKcov/t5yjd+jab9D4W8Rwyab4kE8P3ZcP2z9Pzr&#10;7w/4I7jTL3UPiJpGpTZmntdNlt4d3VB9rDsPYFkB+or4k8Z2Cm2hvUC+qtjj1NfVv/BJbUYbH9pK&#10;+jlu9guvAt4scbNxJILmzbj1IUOfpmvnKl5QZ+wcXUVU4crx8k//AAGSf6Hz5488Hap4D8cSeAtb&#10;milutHvZdPvJrYnY8kMzRuVJ6jI46cYq9cXmp6fpI1vRLxre7sXjubCZVDGKaN1ZHAII4YAjII9c&#10;12H7WPgbWPCP7RXiLTdXkieSbXZL4NByPLuQLqP8QkqA+hzXO6VHb3ljcQxgbWtGChvQcfzrplOX&#10;MpLyZ62XezxeBpzlqpRTfmml+dz4i+LPibxZ44+JureKvHeqzX2sXM6m9upkCtIwRV5UAAcADgVy&#10;GqhVu4JURV3MR+n/ANavVPiB4L8TfE/9o7UPAXw+8N3F/q8y26wabZLvdttvCpc8YUFueSB82Kg+&#10;L/7I37Qnwm0LUPEnxB+G82n2ujS241ORr63k+zGZ1SPIjkYncWwMZ756Gv3HBYuhUwdJuSvKMXa+&#10;uqXQ/j7NsvrYPMsRRUXanOUW7aLlbW555BEcfKO3U1lyXk99qUs9w25htjByfuqAq/kABWhAXdAu&#10;Pl/3axXlaC/lU9pWH612VOh5RavQpgZlx8q8e3NO8KRI5uVP3h5f4/eqrdXcXlbQfxq14QQzvdSK&#10;2D8mFx25qafxoOhpSWhzw9U50WfVYTj7sZ3D16VcmnLt5bxfX3qHStN1C8mvdYis5Gs9NjjN5crG&#10;SkKuxClj2yeB+NbSlGO4KMnojVjQWyrhl+Y4VNvSuo/Zv8VePvBOuar4k+HGra9a3z2qWzXeh6hd&#10;W8gidt5QtbMrbS0anaTtJUHGQCMnWfC/iDwxcLYeItEu9PmbG2G+tXiZ8jIIDAZ454zX0X+wx8J0&#10;j+HeoeNLl902pXggmt5FCpGYGf5k5yQwkGc9CMCubMKkfqUrPe1vvOjCRlHEq627+hy9z8fv2s3P&#10;7r4qfExcjGE8Sas2O3eQ+tVG+Nv7XE8m1/jL8Tdp/wCWb61qRA/NvpX07J4Pj3qjPbjPZmH8yaa/&#10;gu1jcyh7bPX5Y0Ofbhq+a5fM9r2uuy+4+a7b4r/tZ3LbX+JPja4G75ftWoTnP/fZr5cvbG906+l0&#10;u7gZJreVklifhgwOCPqDX6Zr4Mt42+0p5JGR/CD/AOzV8R/tV+AdB0P42+IpNO1KGGF7hJlt4suW&#10;leFHc/eOMys5I6DtjpXoZfLlm4vqcOOvUpp9v1PPfF+pHXr+xvridTI2kW0TYZeBDGIFBC9DsiXr&#10;gn7x65PrPwQ0T4i23w6WTwn4OttQsry6kkM02n2szFh+7IBkBYDCj5enJOOa8y+JHhew8J+PYvDl&#10;xHcWW3StMe+jm374Z5bKCSfcrYIIld8r/D93tX2l+xje/DS7+EOneD9I1mGa8sri4i/0jMclxukk&#10;lDov8X7sjIGSuwg8AMdsZG+FsldXMcLUlDE83Wx5BceBfipqC7bj4Xxr2DLpNsAD+C/0qtH8JfHz&#10;ud/g2OHHcwhcD14H619oJ4Y04nL26t/dG84/UU2bQdMg4FpBx/EYwf5ivJjTj2PUliqj3f4H58/H&#10;3w54l8I6VptprNr5cd1PJJCq9DsABP4bx+dcr8OPD1/4y8WWej6NOv2qZ2KqzBR8ilySfopr7I/b&#10;M+Cdv8Rvhp/buk3kNvqXh0TXUMPlqq3EG0eamc8HCBgSDyuON2R8z/s6+GPE2n/GDRbzRnt42iuH&#10;+1SXsSunkbG80dPvFNwXn7xGcDJr18M1HBu2+p5eJbliFJ+Rn/HLSrrwdr+meHdRETTxWHmu8Um7&#10;h2ICkY4I2Z6n71dL+z14T1fxFZapqWnxbYVaOPzHjIQnDHaDjkgYz6ZHqKg/bCa1/wCFo2V7YSLJ&#10;52kRiXy1HDCWQA8e38q6b9lnxF4e0G3uLG41eVRqXl7od21YJVLA5w38QZPnIx8pzjAznKHNlvKl&#10;8vndmvtZQzFTbt5/Kx2C/Ct5dMkiu9Z8qZW3QL9lZlLZX7zA5HAPQE9OPTmtb8G+JbW6Rk09po45&#10;MLJFyCNx5A+9j8K9yh0uO5hDuLrkfLtl6j8/wpj+GbaWVT+/bn+KQenuDXhezp9Ee4q9XqzwPV0u&#10;7bUreO8t5I/kxtZSv8R/+tVe6cwuzKf4u/fgV9AXng7RmCxXNsWz/DKAQf8Axz+tZOq/DjwTeNuv&#10;vDjN1DGFjH7D7oFT7PlsarEXvdHhIA8p3LcrH/Uc1E5P2HJJwFyDjr/9avWbj4JeDHuGeO51CFGy&#10;PLW6jyOR3Kew9aJPgn4BNv8AZ21PVm4wxW4hOP8AxyteXzM/bR7M8r1Fw3khId2IV/hz/CKK9Om+&#10;C/g2STHnathQAv72L0x/c9qKapsl14vv+B89mIvMHAPA9qc8K7VJ28ZNbTH4fABY5tXkbp8trGg+&#10;vMrU37Z4Jj+X+ytUkP8ADuuohz+Mbf5+tehr3OqyZjvCgHyyfoeP0qS18uOaOQleo9QO1bVp4g8I&#10;wrtfwvdPzht15b8/+S1SXXiXwTIGK+DZw3bzNQiwP++YFo5fMnfQ7Lwbfrpl9DfwgLbwtukz1dfu&#10;l29FGTgdzhRk5I9i8NRQPq8Tx7WXzPmeNEPfvg15P4I0S/8AiEI53sWsdNDbpUXGZn784A46DgBR&#10;wBnJPtng3S4or6NZtXb5Wyq7VbPrzWMo+8mefOUVdI9M0u3sDbqSn1wp/wAf/wBdWhpzzPmF9v0z&#10;x+INR6KLB4Ajagy7em2Ff8a1YjZ4Df2s/wB3HzWq8frmrOORU/smWNFPnbiD833uaYLHB4VvU/e6&#10;/pWvAsIAVNQ3c/8APmD0NXYLa1kmH2u63D/rwXjn6f5xSchHJ3mnzsjYk3bRkJ5ZzxXwl8WvBH7R&#10;fxo8Vyaz4v8ABv8AZvmQxiTznGyFQPuqFZyqZ3EDvuJOSST+jV3b6GyhfPC+6aeQMV5f8TNJ8Mza&#10;t5UTK21eF+zsAPw/z1qaeIlTlotfQUqPtbXeh8f6r8FfGPhz4O+HfD2jpDfTW3iO9vLwRxqm3MUA&#10;jO6TGT8pyuCOBz2Hu/7H2keJPDvwzbS/ElrFE39pSSQxecrEKyp94qME5yfbPtXS3ugeHItNt9sU&#10;cf75n5t88kc/jx+VdH8Mk0GGWS0S4iO47v3aFecD0PXFEsVVlTcX67G8cPT9o5xsvJf8G7/E24Ra&#10;SjDwru/z/s1P9kt8fJG/T5trdP0rakXQIUEzzBt3aFWz9aYv/CPE5hu2T2KvzXPzSkb+zsZ8FhbP&#10;HkybWzxuyMfpzTH0dXHCRs3X5pDWyBp8g2prKrz0+YEfpTjHpsb7p9UjZtv/AD0b+oqeaQezifB/&#10;7SEnju68Si98co8fmySpYhmjKhVP3UCE/KMgjcAeedxyx8x0T92Z1UjLMOo9vf8AGv0L+Jnhj4dX&#10;d9p+qeLdP0u+ht5GVo76xW4PlOAJNiuuA2ACCOcgV8lftf6D8J/DPxD0/SPhCbc21voNrHqQtbE2&#10;uL1N6S7lwNxOFbfjDhgwJBBPr4DH+0qRoOLvbfoebjMvdOjLEKStdK3XU8sncHcplYEjjdIDjke1&#10;QQIN3nPcHI6AyAY6/pxUkVzeMj75S2OB8wx/DVyxt55m3E/LsBPzr6mvYPHKPiOTfFbQRtu3TFv9&#10;YDlR/wDrFWLbEi73CqoztLA88Zx+v/6qyp9b0/xD4mm0xJ1DWsO2P5v9a2csFx3/AMOK0Y7BLSX5&#10;9o259T7fzH61O5WxJc3hRJpS425PzBeD9P06elM8PaFruu6jNBoOgX95M0XnSJa2bSMsYGwuVUMQ&#10;BlcnHGe2RVO7mlubrzLmb5Y8n5Vxj2r2f9knxfBarrujxabb3V3cWvl2aXEnzOJGAkUcHGFQZOQA&#10;N2SQeOTGYieHw8qkFdrodmAw9PFYqNKcrJ9flc4FPhF4k8WeHre9gsI7W4sbuY+VfW5heZWVOjMB&#10;kAoeD0JPTNfR37HFt480zwpdaL4q02Rba2eMWcN3dRyqrHcZNhjfhT8vynGDzjkk9lqXgbSIPC2m&#10;wyNMt15R+0LG0e3exLHaSnTLHGa6L4WWOnWFo1g7XEeZs/NNFz+QrxamYSrU2pflt6M9ZYKNGreH&#10;TT182jcTyIgrDSLfp93zG/8Ai65z4UaZPrH7a/he0tNLkkkXxhospht1LYjV4Xdup4CruJzwBmu9&#10;+waR95dQfJHGLhMj9Oayf2Frqa5/4KD6XI8jzLHfarEZMbsRrYXSAk9McKM+pFfI8SVo/U4r+9f8&#10;Gfo3AcZUK2Nrv7NCf33T/Q6r/grnq+oXHx58J6Cb2U2Nv4XS4t7Rm+SOR726WRgOxYQxg+uwelfK&#10;njZdsM3Xlhge3Fe5/wDBRrxXrHiL9sDVtK1SdWg0WG3srAcfJCYROR07yTyt/wAC+leGeNWyX5PL&#10;c+/I5r4ensvkftnDdH6vkGGh/cv/AOBa/qfVv7Bd/Lpn7QfwmiF0si3Frct5ccZ+QppM20nt1fH5&#10;9K9b/wCCj1hcWvxx02KOeFI4/C9tGFkUkkCacbj9SD3zwfavnv8AYV8Qzr8XfhTeedumM2owR/MP&#10;lwGhC8+qkfUCvpP/AIKGi4v/AIwaU5u3Xb4aiRV3noLu659z15NfYYepzZ5B3+wvyR/PeeYf2dec&#10;bfbmvuqS1/A+C/iP4fGmm+0WJARCxa2Kq20xsMqAW5OAdueclTXqH/BOPVlsf2uPArXF/wCVHNFq&#10;EMmWxvLWM2xT9X2Y98Vl/HDw+sdra615qtuY2k5GSdrAshJ9AQ34vWD+yrfR6R+0Z4AuJp/KSHxV&#10;ZCZ923an2hA2fbGQfavFx2H+r42dNbPVej/qx+1ZfjHn3BbqSd5uEoS/xJNX9XpL5gFsS5O0ey/8&#10;FBfDGo6T+0ZqOr3nleXrVja3tjFEcskMcf2PD8cMWtnYY/hZfU15F4Qij8pVQnmB9+4dDuOf6V9G&#10;f8FMPCmtwfE/RfFcoj+w3WlPYW6K2XMkErSOT7YukA+jV4T4M0v7JZGaWMr5r7kHtnG76HH41y0/&#10;fpxfkd3C9b2mR0HfaNvu0/Q8l0Lw94y8E/tTWvxR8M6p9isY7QW+oPaxjzny+8AnqqqywvuHJ8or&#10;0zW9+3t44ttDX4w6Z4p8Zaw2i/E7QPC2reA7q40m4msXurSRVudOE6ApFL+7aYADZgMGKs3zbGq+&#10;GrPUvE11a3gVZSq7S0zpwDhuVB55FUf2tPBt1L+xprtnYSPefYLOIxW8aPK8Uf261kkIbGdiKkjc&#10;5ChnOcdP0HI6/tKNFz6e790tNfu+R+I8dYf6nn2LhH7T512fNBX/ABb+Z8H2v2hVztYjbztNZOqT&#10;20+o3NzZLJ5Mlw7Q+YQHCknGcHGcdaZbve23+ruWHHdqglYqfu197KXMflGxHLITJsHTaa1PB7LH&#10;fSs//Pu38xVS2026n0W61pdLunht7uGGS+RT5ETSJKyxucYDuI2KjPIjk64OGW8s9p80DbWII6Zy&#10;KmMrSuI6a+KOvmKqq3++Bn9a7z9m+38beLzrnwP8P6Ha/wBm+NLjToda1ya1d206OCR5Fw+4IisS&#10;SwIJZY8DHNePvLeytukuGJJ6bsV9x/8ABPnwRp+kfA1Ne1O0t2m1fWLi4hmaAyEQgCDa2SB9+OT1&#10;4b3rDH4j2dBux2YGPNiF/WnVfPY0/wBvXQNN/aCbTbrRLeKxNndSvbyS2X/HxGirHFgjkIcMehPP&#10;T1wf2OfDXxA8Ga/daVql/bPps1i5eOKaR90oePaxBjXBA3DO7v0PUfRHi3SfC/2WyFxpVuUWJs/6&#10;AV59D83PXuf5Vo+A/D+hWdvI1hY2C5P8NhGMc9MsfavAp4j2eHdNPR9z2cRTliMQqjSTXb9SvZG3&#10;c/vUJ2g/egGO3PLHvUGo6dp04IhLZ7cBfy5rrpLG2UMoNnz02xQLg8UJpdvGp+eP8PK/+JNYe07G&#10;vsu5w8mnwRQAGJ2Vs/MpGRXyv8Uv2bdG1r4g6ndXOoahJDcag91JGturOoYltocjheemDkfhX29J&#10;9jgikzqnlNj5Ssidf++a83vLDTm1eS8lu1uMvmP/AEh1Of8AgCgfnW9PESpu6bMKmHjUjZng/wAS&#10;fhF8LfGOq32q6r8NFlvNSSF3vvtV0ssLCNF+Xa+1vun7wbGT7Yq+BP2INFvJbfX9G1HWY41mDJF9&#10;q+5tbOBhA2Pxr6K1PeXUWjxwx+SoZ5Gk59ske9egfDp4JtIVZhaM6sRuVNw/Uc0UsRKn8Levdt/n&#10;t8iK1NVElJLTskvxSMi1029mjBXTLhtw4xbNj+VX7PQ5p42Dacy9P9bx/M12UTW6KxF3DGT93baL&#10;ipGuXIwLzjjhYQKPaPsR7PzPHfjD4bt5PDdxpFzokMq3kbRMsk4AIIwe/oa8B8L/AAC8G6H4ghud&#10;P01bdo5t+z+0GcdMc/Mc19ZfEn7PJpq4kCqrEkbE3Nx1G4cGvP7WXRo75W+03Stu7SJx69OtXCtU&#10;s7DlTpu10eS+JvhfpOpR/wBn3Flp7QbSWWazEg55JPynngduw9sZdl+zJ8Pbmf7VLZKjS8PJYXc0&#10;K+nCqigfhXsmrWsjSMkeoXmG5+WQcfkvH+fWl0i01K1wiNdy7ckg7yP1Uf56VEKjpXcUk/LQ2qc1&#10;aym20u+pzUfhWcxqkMseF4HynP6R9acvhvWLaf5bJn99rn8spXUXdvduRnT5F/2tzD/D8ag+z3cM&#10;nOlXMh6qyyyc/wBKx9oa8umhzr6JrHLPZyqFPJ+zyDH5gCnjR71Vx5M+R2jV+p+hrYnttWkkHk28&#10;23Gfmjc4/l3qncadr+391LL97JVYWB/U1fNF9Sfe7Ge2mStFiN7pmDDO9pAMfnxUcuiS3A3KJN39&#10;0TN19fvVoHTPF2cRqz9iJLctg56feFV7nR/GbtsNpGD/ALKgAdP9uqvT7k+92Mq40a8RgBb3Dcfw&#10;lv8A4qirsnhjxlG+FulU/wAWI1H/ALNRT5qPdCtPszzm0+D/AIAsVWODQ4ZOxMtiHP65rUg+Dvg5&#10;YFZdE03PIKvosX09P6VzNn8QfEyySODpqsFwrCxO7j/gVXrb4jeM2mEa3MB+XhltyMc9fvGuiUoX&#10;+IxjUk+h1Fp8KvC8C5Tw7ocfy5XdpsabhjrgAf5NaFr8OLJUx9h05Pm6RxBR6envXDp8WvFhjWV5&#10;sLt+UKwGP0NWLb4w+KbPa0Nxd7Wbcqrd4UA9eNuP0o5or7QX7I7yPwtGg3RxWseVwq72Gf0xWp4e&#10;8F2j3sP+j26tuy22QjH5evNed6B8c/Ft9cGMSsRt3f6Q0MuMDrhoiP8AP59do37X3xJ8IRRx6ToW&#10;hyeZgA3Xh3TJsnPrJZtisXUpqVnIq146I9g0XwXEbclLW2kVVXhZH/wq8PCsPbS4yR93mT/CvE1/&#10;bX+MviK7kjk0nSV2q2BDZ2sHc9PKtV/wrLuf2wvi5C5WSxt15P3bhT+HMIrTn10kvxM+VbtH0Rb6&#10;RbxDa9hHwxG1VdatJaW6KE+xrhc5/fGvm+1/ar+KmqymJdWaAqu7C20DZH4p+lTQ/tYfEe1lzc6p&#10;cyfPhlksbf19sVPNra6HaNrn0Jc3FvEhDW+1tvaY5z+deceKbpW1eQMbjrykN2ox+hrntC/bT1jy&#10;XS58A2eoNHgPJdW8isSf+ud2o/SsnxF+1bYa1dzW5+FlrasvzSPapJ6448y6f+VL3eaza+8elr6n&#10;X39xH/Z6rHbzeX0x9oUkcey1Z8DGNdUEphmdtuCPNBx79M15fH+0PcX9q0lnol8qx8YEdr+B+dj6&#10;Ve0j9pe+0CZm/wCEddpNwHmXVvEzD6bCP8is6ib0TX3mlOcN3f8AA99WcsPl067bqcRsn9SKerW8&#10;74fS9QjwPmLLFx7cMa8ctf2vb66t5JZ9HsdscmGLabJ17Dqf0Bq7p/7avhOKf7JqOgQOdpGIYZY2&#10;PHb9y2PzrD2VRvS33nXGvQ6/kettbWUhUiO8+Xn7qj9M1L9nso1z9nuAOc+Zbhq4jTP2xfgrDEo1&#10;b4aatIvT/R9WIHX3sG+v+Naaftvfso2rNa3XwZ8R+YF+9/wkA4/2iP7K+p9aSo1H2+9FfWMOv+GJ&#10;fHVlbajaIIYpI2Q5408tn8lr56/aI/Zw8Na94Z8RfFC71PUbfUNK8Pz3cCW9r+6mkggZgrgpnado&#10;XORgAAdK9i8cftU/s4+MdPDab8OdZt9u4q91qDTICO+FsYz3HQ15/wD8Lu+FVgGFnolskEqt+7/s&#10;e5549hz+XNa0Y1qNRTjv6o58RKjWpuL2fkfBa/EO8h3GXRbdjgc7iOn4GqWr+O9f1CFreIx2sbcF&#10;YVw2PTd1/lVfULR7K7ktpk2tHIyOrLjBBwR+dVJIxjIH/wBevqruSPmCnCrLNuQ7WXkbeoNbVv4x&#10;8WwQLarrMhVfu+Yqt+pGasQeCgPh43xCbVEX/ief2ctlsO5v3PmmTPQAfKuOpz2xzlqijp/KpjLm&#10;2Kd+o+TUNXutqzahKR2CHb/Kv1F8C/CnUfhn4D0HwYug2fmaPpkNrNcQ2ca+fIsaiSTGRy7AscnL&#10;FiTknNfmj4Bs9HvPHei2fiC3aawk1W3W+hjk8svCZFDqGwdpK55wcdea+7Lj9pXwW1y7WmmWe92y&#10;qNqbKeeew5ryc1jUmoxgr7nqZX7OPNKXkeweJIdeksIYk07cwxn/AEYD/wBmPGKXwlaa5bzLPcaf&#10;weFRoQM/TjmvINR/ah8P3VmtuvhK23KM7v7XbB+o29fxFZfhb9sLQbBVmX4fRx+Yobyf7YKsuRyG&#10;AQ8j64zmvHWHxD6L8P8AM9f29CLWv5n2r8Mv2a/j38adAvPFvww+GkWqWWn3n2S6aO+s0kWYqjbR&#10;FJMsjfLIhyFIwevBxkfsA/DDxv8ACj/goX8Q/h98U/C8mk65p/h29kurC6VS8HmXdnIjAqSMNFKp&#10;BBwVk4JBryf4b/8ABWj4zfC7wvb+FvAvxA8WeHdIgkdotN0vxteQwRlySxVEKqpLHJwOTk+9fQH/&#10;AATW+Kl7+0T8Zvi58fvFeqXmqa1qEGgxf2rqt7JdXBjEEsbKZZDuYH7NEOegjUdBXy/EVGpTwXNN&#10;q17dOz63f5I+p4bxso0cals6XnfWcF19WfKf7YHiS48Vftc+ONXukVGi1+e0QK+75bdhbKfqRED7&#10;c15b4ym23y24bn7/AE9/8/lXQfELxfZePPi54h8bQRyJBrevXd7Csn3kjmneRQfcBgDXK+JJPOv5&#10;JdrfIMfy/wD118lDQ/o7A0vY4GlT/lhFfckj6A/YsF1/ws34LiG63K3iS6Pl8ZVPOZW79yw/zzX1&#10;B+3dBqN38WNPnh1V4dug7fJWYLuxe3fOCR/kV8j/ALC/jTT734+fDfw0tq0cmj+JI45pPMP7zz7j&#10;eONoAxgdC34dK9m/4KpftE+GfhD8ffD3hzWNIkvJrrwXb3Kyi4dMh7u84wsTgnKk9c88+tfT4JSl&#10;nNPl35F/6TE/nnihRhjqvNp79T8akzkfGHg/UPEXhq80OXWVka6h/c+ddKi+YDuQsQ2QAwB6duh6&#10;V4boVxJaa7p+qWMnlzRSM6t6OMEH861rP9szwBdR708GXTdzGJp2z14z9nrB8PeOfD3j/wAd3Ws6&#10;HYyQWk91IWguCxKMwDMu5kjz8x4wOAcZ4zXXnmFqc1OvbZ2fz1X4/mfVeGuaUoyr5e3dSXPHXqrK&#10;X3pr7j74/wCClHhvUdW0rwz4q0+aH+zrWeWCR1kBZpLiMOhGOq7bZ+fp618wl4ihlE2MRhQoPXaT&#10;xx7Gvpb9oyLWPFn7G3hfW7S5hlj0bS9EutQkkbLPvtmtzg9M+ZMuc9t3pivmPQxLd3ccDxqzcCPk&#10;dup/zxXzGHXLQ5ezaPruD7xyv2TfwSlH8b/qYXiex0xPFijVjKsMin5opgpJJzznqOK6a+0Xwj4r&#10;+GeoeB73+0I7XUtJms5biG8hV1jkjKMQTkZwx6gj2PSsj4rumjzDXWtFm8mN2aJt2OB/s8/ka8/u&#10;P2ltL0eFLa40TTUVlAUfY7hmIx2O8ewr7Lh+UpYWUE9VL9F/wT898UKMaOdUqrWk6a+9Nr8rHwvr&#10;ekX2i6ncaPqts0N1aTPDcQsQTHIp2suRxwRjjisu5Q7cYrsfjHKlz8Tdev1C7bzVJrpVVSoVZXMg&#10;GDzwGA/CuRuScddtfo0Jc0E+5+H1I8tRo+gPhX8PNHvf+CbnxK8fG9uLe/h8baarLbXe1bmOEwIs&#10;cqc74wb6RwBj50Q5+XB+f41UHpzX0f8ABf4r6Bpf/BOb4h/B+/8Ah5bahd6n4m+2Q6xJHJ5lrgWB&#10;AVlnUfKYS3MbA5wSQcD5zHygY5NYYeV51F/e/RGlb+HC3b9WEK75VBNfox+y7o+leCv2ePB2j3tp&#10;bXMk2kretN825vtDGcKQUx8olC5BOdtfn14Is9Pv/GWk6fq1s01rNqMMd1CshUyRtIoZQw+7kEjP&#10;avuu4/ak8TKYpT4EtpIwAY4/7UMIHp8qRleP8+/JmkvdjD5nVl/uzcvkeueJ5Gu7K2Wy0fT/AJRg&#10;7YXbH/fIq94Elu4Zmim06GNug/0N19Tnlea4XQf+ChXxL8P2i21j8LvCci7fl+3aPp94R+NzYyHt&#10;1zWP4w/bf+JHiRla+8KaTZlzhm0fTrCyI9v9HtI8fnXj+zi1bmPWWItK9j6LX+y5Ylf7PfZ/iMdu&#10;mAfxx/KgHTo4mKWt/wAf3ok/oPWvkqT9oX4k3EimzvpN24HZdXkko6emRyMflVjTP2tPj3oV6smk&#10;6xp9tKyhvNgt542xx/EswxipVGL05i5Yrqo/j/wD6i1aaMQMsOn33PQbVFef315c/bXE/h68A/iY&#10;3AX+hx+deaa9+2F+0Tr+muuufEW9urZIyTDJqF469Dxhrgj9K46T4n+MtQ1KNf7R8vzhuaSOMhjk&#10;+rFv/wBdEacLN834EyxHN9mx9FDQr7XZFt9F8M3k8iRjcsd8X/8AQQa7Lwh4O8X6NYm41XwXdW8K&#10;5PnSSSbcY9duK+Sb/wCIPxNtzsTxzfKgfo0cTbhn3Tr/AIVnxfEHxzdap5V34iaRfm+/bxKemQch&#10;AfT60RqUt0393/BMpSls0fbjapp3lqLP7HI/f/SurD3yen+e9aAt43tfNabSY1K/8vOqQR/+jHFf&#10;B934u8UwmTyfFV5C0bFVW3uWjxznouP8modL8ceNbmS4huPF+rSRrGdiyapMRnI6fN9apVKcoN6k&#10;a8yR9dfEjxbollD9kOs6Oz7sMtvcQyY/FCa4Cw8R6cb5rp9as/vAtJFCFz6Z78V89avresTlYZNT&#10;vH+Xc/mXbsOvoTzRaaVp0mjtPe2dvJI0h3MYRn86rmpRp8ziLmk5WTPpXUvFHh9V88fEqxj4B8t4&#10;Lskd8cQEZ/Hv7Vz2pfGjw5pEjtP4jaZh0aHcvPr+8C1893Vvp8MjPFYxrggr8g5wOP1/StqfyotP&#10;t90Q/wCPWMuVA7j2+tZzqUYxT5S4ylfc9eT9pT4fbjBPqcjs0g/eSXkWf++f/r1cX9on4O4WK/8A&#10;EupQ7+q29tbP+W6de/tXz/DbCbUY54xw7ZXHTrnHT0rM8WQM+sQ7W+6M/d9v161rGVNyUeXcXNU5&#10;W7n0Prfx/wDhdIn/ABTd3r1268HzbOFB+aTP/KuXuP2m9Ctn8m48PXDycY/fNyM9/wB2ffvXnPhy&#10;NTZzSRkt8rFc9ucVzuqmU6ih2FiuNpFRGpCVRx5dirz9ne57Uf2iNN4nl8KzLD0IjvpE+vOw+vpU&#10;0n7S/wAPZS1vaeCr6R9u7e+uMRn05thz75rye7l2aZbluvPB79OlZOk4fU5FU/Kw9K0hKMotpbGc&#10;5SUlqesX/wC0N4fR1U+DDjbxu1GRv1Cjv7UV5frUgtLhQ6pyo+82M4FFaRcZRvYG7DbVyitIcncv&#10;8LHn3rQSYeYpZ8/L7Gks/h/8QlhVX8H6p1+b/iXyHjnj7v04qzN4G8ZxXi3KeHNQXdHht1m/5dKH&#10;RrOWzMY1qaW6M/S282dYuNrN06/59eO9XmjVsSyfwx/dPQHr/X8Kbovg3xe94gGg3nGfmW1f+YH+&#10;cV0kvwr+Ih01po/B98VblWWzc54xxxn8O+KmVGrzaJh7Wmo7ow/CUYeZjGvzeW3GfpzUuowtFc29&#10;vKpz5mCB043H8qt+FPBvjvTJGlvvCmpQryFaTT5FBPpyOtM1/RfEf9shDoV78rMHP2RvlOMenB5r&#10;nqUa0sRdJmka1P2e6KugXESXFwibd20Hqc+tRXklutwTI6lvMyvHT/DnFN8O+HPEdtqU013o15HG&#10;UYBmt5Fz0OPu1Df2d/FepdSWFwVckF/KPfv0qpUairbMFUpunuWNHkgW6likUfLH8x4JGTx+Ipt3&#10;cr5XHUyZb9eKj0qG4S4kuLm3kRZE+Vmjxn8T16VHc285cSqrNuw33Txx/P8Az9Z9nL2mqFzx5dy5&#10;4Z810uF3bfulWXHvTbqDy5pjjDNw5Y/p9Kb4aZ18wmGVl2qWYjjv+dMgW6aB2miZTIuSrLz1z/n6&#10;1M+b2zfoXGS9mh/h4COzuBE5IO37p9jxRqbiO4RgzbmUfwdR1z9fwp3h8sbK4jA6N8zbe2T39aq6&#10;w4WZ7vPZl3EHjGO341UY3rNf1sS5JQRd0u4dtIuvtA6sCFA6dawJZG/thZh91uB7E4/wrU8OmUaH&#10;dRTPu3YB+XoefwrKkWBNQzCzEMcAt14p0YuNaVypSTpxO1024VdPYbNwLcjjisPVbyK4up7mOFVZ&#10;UC/KvTk4/nV6zuzHpyBt23awyV65B4/rWCS5+2Fxt3MoXb3/AMmow695tlVZe6kX9Cllm0hvN/hk&#10;Y54z0B5/z/KmSTRqdgi2hVfdtGcgZFV9KYx2GI5Ojc/l7UNLI00kUknfC/Mcc/8A160kv3rM7+4j&#10;5v8AHMJj8aatEScrqVwNx7/vGrDnKpyDXVfFmyj0/wCIOpwRjhrgS8nPLqHP6tXKzYb7v86+opO9&#10;OL8keHLSTR3jQLH+y1DN5mTJ48Ztu3j/AI88fnkVxKRgpvNek+I7GO0/ZM8NvGfmufEjzyL6f8fK&#10;fyQV5wH4ArHCyUue38zNa6s4+iNz4YacNS8d6bbMwX980np9xGf/ANlr2DT1zdPIzj5fl3fQdf5V&#10;5X8GLO4vfH1rcQRsy28cryY7L5bLn/vphXqFrmG6ZHH/AC0x24x/XFcmOadW3l+p2YT+Hfz/AMjo&#10;Lri3UI38JJ3fhXMxeadTWN027pCCq1vX0+yAKE3L396xbZ4Rqqr97OCvA45/xryqOnMd1ToaV9Ar&#10;aU0cLjuPm7H/AD/nrX6V/wDBGa38JeBv2QfG3xkv5Ps7rrk8OpXjyEqLWztY5Y+O203E5OOTn2Ff&#10;mtenbp+0uFy3Xpj/AD/nFfpF+xL4d0vwj/wSF8S6lLqAZfFGleJL9xJ8vlyLFNbIgzx8xtU/F/wH&#10;zXE0v+EtL++vyZ9BkHv4uVK/xxUf/J4P9D4jtXAdZF+8sgKn6c1S1PeYpNz7mZyW/SrtkEn8uLGP&#10;vfz6Vn35MNo6kj73ftXxkUf1XzHffsUX9lpv7UngvzpcST+LNOUL6/vlA/8AQj+X4V6H/wAFwrWx&#10;vf2qPCcjxndD8NbEx7j0/wBMvvz78V5B+y2XT9qDwHcxdYvFemnC57XSc165/wAFt49n7Vmh5b5h&#10;8OLH5Tjot1dkfTljX0WVyl/bFG38r/JH858cqP12r/if/pTf6nyjopgWxmQJjHzcemK7z4RyrHc+&#10;ao/5fD83vhBn8q890AuljL5xO1tv3s9MV2nw4c2920zS4VbhQ3TjK8H9K93OFbDyfmjPw6nbiKmu&#10;8ZL8L/ofpH4Q8Nax4t/4JwalPH5UsgsZLhdzfdgs78yMp9CI4WwO/HrXzR4LAN69wY9wWMAJ6k/j&#10;/nNfT37D9nqvjT9jvxt4KtWjkurm41G2s0klCgedZxqobHQFyxz9fSvmvRIbS1O1EVVY5LKec544&#10;618VR+OovO/3n6xw3+6x2NoX2quX/gX/AAxT+Jelm60eS3nRv9WN+08kHIP86+QvibqCh4Gjiyys&#10;Oenfp/nNfZesiK+0y4Vt2WhYrnv+dfG/xA0/Piu+01SxjtdRkRQRjIViBX1fDMv9okn5P80fIeLl&#10;G+GwtX/Evv5WvyZ5P8brKFPFMd/CfmvLNJZF7KwymB7YQfjXCXYKjLiu5+M1z/xUEMXmqfJsVWRS&#10;3IO5j/IiuHkMDgzPKuf4Vz0r9Hw/8GK8j8Cr/wAVs9u+EWnW1n+zTr0ksqyfbrS+n27eUZYio/8A&#10;RYP414qmQNhHK/rX0Z8EEu9A+CcGqyWrLJb2dxdeWy8yL5rOpHpkEfUGvnOWeIANtZe27HBrjwMn&#10;9ZrrzX9fgaYhL2FN+T/T/M1fBMLt4s0+ePrHexyNj/Zbdn9K+n5bl/LieUMrFWGfX/P+cV8x/Dvx&#10;LD4V8U2+uX+kyXMEbNvjVcnBVlz743Z7Z9R1r6juvDPi25jhaPQbwhd7Flt34B/CsczjKVSGnc0w&#10;coxjK7IZLlfKZ1VSwTHf/OKqaixeWHYy/MuWUHpz0+laVh4B+IOoN5Gl+DdWuA3VYbGQnOOnA9Kt&#10;n4M/GG42tD8L9d29Bt0mbgDn+7156VwxpyvezOp1qfLuvvM6DKvbeu1R8v8An/OapTP5uoRoZmy0&#10;YZmHUdK7JPg/8TEEKzeB9TVymMSWLqAeeuRTD8BPizqGpoYfAt8flyS0OwA9erGs6dGrzO8X9xUq&#10;1Hl+JGFqxMOnsgbkrjBpNEKz6pBOxj2qqhtpOBg+/NdzqP7Mnxy1C0b/AIoCT59qs32iLA5/3vSn&#10;6R+yz8cIdQDt4HuGjV13bZI2C/N7N/npVRw2IjTfusmWJo8y95HI313JLdLB5y/Km9l3dM57Zzjg&#10;/r71lWe2LXWy+RtYKzduP8+mK9Uf9k/4w3M7SSWdtDjjzLi6CnHPsT3z7Usf7HnxJF2Ly51zQQu0&#10;/KdQYMDjGOUx+RNZwwOJ5dYsJ4vD30keT3x3OxEm4M33u55P+FLosrq90ZCAuw89zz/n/PFesN+y&#10;J4wZFWTxf4fjRlO4f2orN9CMD+lT6d+ydeWbSM/jmxYyrhvLXcqDHru55+lafUMU6bio/kQ8XQ5r&#10;8x4r4huXCssbbVeIoSMZGe+f8n8hWhowlXQWaM42zMO/PHX3r2P/AIYwt78/vPiVFtxn5dPLfN/3&#10;3/n86vR/sdW1taC1PxDWRS5O4aTJyOOOvoP1rSWAxUqKjy6+qIjjKEal7/gfPFxqVxLf3GnyKQsc&#10;gbcV2qcjp9eBXUXNuIrCOaWX5fsqoVxnHSvXpv2R9MwzXHiCZmyNzR2LKOmO4Pb35rUf9lvwvfwr&#10;aXOq6isariTyVwT7/MmP8/kVMrxVRRskrb6jjjqMW73+4+bzePp89nFOg3bVDEcDp1H1z61S8R3y&#10;LeJMiZG3tnjoP8/hX1Ha/sc/CN9r3+p+JGeNVACvBtyOh5jHt3qvqP7HXwnmujKNW1qfqqiSOIZH&#10;bo46/T866I5bW503Yj6/T5XufPPh93Fq4RMLtJA6ZyTXP3E8c2qRxof4u4/D9P6/WvrK2/Zp+HGn&#10;o0JsLmToGH2ogNj1w/H4VJpX7LfwVilEreCZGkzy39tOjLz33Eg//WohldaNRybWv9dglmFPlSSf&#10;4f5ny14gMy6dEtqnzLz7Dnkn8KyNJ8+3vS0qttwd1fbEv7NnwHuNPEP/AAh91HOvKtLrG6M8g7SA&#10;nb6isub9m/4aWzj7P4IsvvAjbeS5PHvn/IrSOW1I03G6JeYRcr2PkvW7YTtGxgB+X39qK+qLj4Kf&#10;Djf+88HQ59Ptjcf+O0VMctrxjZSQf2hD+U1bPwrdtJ9oj1O4Lfxfv2yePdq0rXQ9ShkVhrd7G38U&#10;kV46kZ57HrTtNsxejybh2j3MCdrZxW9ZaJZwfvHLM4fCruyw68H8R+te0ebqVtH0rxKsu638a6uP&#10;myzLqUw469mroovGetaNZ/ZYvGmtTYACq2uXPlkDPX95g46DHAB6iqas0WB5Eihh/Djnp29yO/8A&#10;9ao49EmvFZ2LyZOcKxJAz0x2+tICG78QeJr25+0DxdqCyMq7mju5FJ2qBnhgMkDk45PJySTVeSzu&#10;tQ2yXviC8l7jzLljg/jn3qc2Btn3rCeMdVJI7c8cVZgkkWJS7KoH3mZsZ65z+FPUmy7GVJ4fsWG4&#10;mFucmSSGN2z/AN88/Wq1x4WsbrEJa1eM7SdumW271+95O79ee+a3mutMi/dFNwY8Nw2OevFSCWOU&#10;b7WNtucLiEDJ/A884oCxz9j4M0+ycNb2djxghpdJtnzjnndER/jVq00a2s5GMNjpTZ3D99oNlJgH&#10;2aHGfQ9RWsGjkb/VqVz8xbPzf40txaBo9yRhSV/h9f0qRlDVY/7RsBZvomiRouctZ+GNOgZ8kHlo&#10;4ATyoxk8c4xk5y30izEqzLbLbt5ez/Q7eOHI4H/LJV59+v1roIdMhClrlGk9TuPXvReactyF8uH/&#10;AHcLTFynNf8ACOWTAkyTM67trS3jsRn6mmS+C9GvuL7S7OSP+9IZHPPqC+P0rpYtFmBwo3Hr07fl&#10;xSy+H2DSMEfy9x2sygEj9cfT370BY5BvhN4GeNo08MW+3+MLcXKh/r+/5pJfgx8M7pQzfD7TUbou&#10;37UzL7DNwa663sxG2U3fex9fz/wpsnkyu1tDGWIbLOrE5HOQOPf8f5r3Slc5K5+D/wALY7eSzTwj&#10;pcu7aPN8u5+Ujn5QZ9vTgkg9OPU1pfgj8LHDKvhDSVZufls26445MnP/AOrqK60xzBii2u30O481&#10;LDYMAsjA+n3iePy/rU8tPsg97ucePgb8OkQInh/T2xwFXT4lyfwHJzn14py/ATwNcRgR+G7Vdy4y&#10;LWA/Q5MZP413kdi0URKWzsq8M3YE9vSnJFLv81HZR/dUH8utHLT7IPe7n5h/t6+EtK8G/tLa5o2k&#10;X8TR/ZrORoVHNuTbR/u2woGcANwMYcd8geJLIZJGCrxXun/BRqSVv2ufFkUceTt08Ng9f+Jfbf41&#10;4ZFDIE3uu1cdMdaqPwlI+sL/AOHUL/8ABLTTfH1hpEEsy3TC+uGk+aKL+2JIwwBX727YvB+67e4r&#10;5R8zJ+U7cdd1fTmoeOn1j/glVpOgW00kC6R8RG0u4UNhbjd516AfUfvlPPeOvmeS23yCSKYL35FK&#10;MYxvyrqF5Pc98/4Jz+BNB+JHxn1bRvENuzQx+FZ5k2ylNri5tlBztbPDHj9fX7FT9j34XTOZU0p2&#10;ffnaJ3YZ9/lFfL3/AASgAn/aD11WY5/4Qm4Csq8g/bLPkf5/+v8Af06RxQfOWDH8jn2H/wBalKMH&#10;q0HNLozyO8/ZX+GMErWzaFDIquf9dNMM47HDcf5xWe37JvwqMyzjwxArbusd9cdP++z/ACr1e+Mq&#10;JsE5PzfkfzzUMNpPLlTM2PUZP5n096j2dP8AlX3D5qn8zPOLv9lj4UXdp5FvpFszFTuSS4uVKnju&#10;snP5fhX0Z8VPh2vwt/4JTN4GsrZYYLfSbe4jWGYsFS41q3mHLc8rNz9T0rz228PXQmW4jjikAYP+&#10;8aQBuehxg4PcjBr3z9pX4b+KvFf7MHhf4cafp1/JJC2jrrWn6fatO9xFFBKzRME5VPNiiJbnlRjk&#10;g18bxdQjWjhsNTSTnPyWy/4J9Vwnio4PMPrVeTcKfLJ7vRST27u1kfnj4D+HPirxHaNrWl6Q0lsq&#10;v5btIqiRwcYXJGccjPtjqMVz3jTwvrXhx/set6VPauzMqiZCoYq2CVPRlz/EMg9QTkGvr8/Cfxva&#10;OkVp4D1mNY1Ahii0eZFjAwMAbO3Arn/ib+z78SPGelw+HJvh9rhE15u8z+x5ybfCsPM+7xj0JAOc&#10;Z5rKpwpgY4f93V99d7Wb/Nfez7zD+LmYSzB/WKCVFvpfmiu99pd7WXqeFfspWlvP+0T4Me2h8uRf&#10;EWneazHIfF0GJ9htwPw98V9g/wDBRL4H/Df4k/HSz8Q+L7SSS8h8L21rDsuSuIxJMwGNp7ue4zgd&#10;K8I/Zh/Zt+OXgb9pHw7J4i+EXiOOzsNeiefUv7Dn+y+WOknmlAu3pySMdDg8V9W/tj+EvF3if4ma&#10;frnhzwnquqRyaDCsjafYPMiSK8m5CVU4IBXIyMZHqK8nJ+SnxBS9pbSMk720sjxuNMRTxUqs6Mrp&#10;tSTXXm1Pk4/svfCm2jZrXQ5gu4s2673L7dUPoK434mfDbw74HvLCDw7p7QRXkUm/MgbLLt5+6v8A&#10;e79a+ij8OPiW0nkn4W+IIzn5d2i3B/8AZPpXCfGT4HfG7XNQ0gaV8F/FNwsK3Blkt/Dd0wGfLwCR&#10;H6g19XxDUwcspqcrjf3dmv5keb4cyqUeLqEqjajad29F8Ev1se+f8Et9Rurjwz40tJZl+zQtYvEn&#10;Hys63AOfY7F/KvC77w9J4c1G50HUCUurO5kgnwwO10YqQD35r1r/AIJv+DPin4F+JPiDR/GPgPWt&#10;Jsbzw20mdU0ua3WSaOeEJjzFAJ2ySHjJxXmPxt/tbRfjZ4w0XU7dY5f+EhuZY8MD+5mkMkZ9so6n&#10;2zX5hTa+tTXdL/I/dctqQjxNi4waanGEtPJJP8WYWsRwpb+dE/ysF+XrxzzV/wAPeCvAetWMepS/&#10;DjQmlK/vpm075pHGQzsxcEsSCTjHJ4HaptT0S3udKNkZFjmEY2zA5XjBwf15rW+G11a/8IwtvFNu&#10;ntbqaObB/i8wn/0Er+dfYcJS5cwlF9Yv701/wT5vxepe04cpVEvhqr7nGS/Ox+b/AO3Vomn6f+1L&#10;4osbTSbe1hX7CY4bWHaiA2MBOBk8ZPvzXjtxHbRHbErMw/Ja92/4KFbT+1t4oYJt3Q2BYe/2KAf0&#10;FeF3KlUINfo62P50kfrH/wAE/wASeOf2R/A3ibWEs47hdNazXy7Yf6u2nktozhhydkK7uxOfWvyf&#10;jjdH+RQy/wB09DX6d/sW+LR4F/4Jm2fxCiVZH8P6Brl4kHnKHLxXN7KCFJyQRGeRkKcZxuXP5khi&#10;UyrY9aI7kJWNj4e2uj3PxA0ODXCq6e+sWyX0ax7v3JlXfx3+XP1r9k5dKfK+Vr6nDfK5hQZ/8cP+&#10;TX42fDjTRrXxA0LR9ufter20O1f9qVV4/Ov2e/sw3C8Jt4OGHtQ2Jq7M4adqe/edeVcelwUzj6KM&#10;f59agvbvXdNRra08WX/ksPupqEu1gTnBOQDjirlzp1w42xQfIvO7yun51Vl0+5dlTyZOFOV8snNK&#10;4cpk3NveXpZn1a6k3Nk7rp2zzknlqqSaQYfmEsm3+99ob/4rmt1tHDuBsaPcc/vBnHT06U5NGnk+&#10;RbCRvl5+U8+/WjmDlMOAmH5TIvoVfJGB071NiZU3O0O3P908/pWyNAunj3PpDN/2z255x+PSmP4R&#10;1ZQCbGRduA25hhc9OvNFxWKP2BZzvAh3HrtQZH6VcttAS6TbPe7VJzs8kFT2/r161YtvC943yeYm&#10;OvzTZP6Cr8Og3cQ8ppmyF42ycGjmDlKT/C2Oa08+01RW+UfKB/F/X6dveqMnhC50xDLI0mOn7twQ&#10;efrXRWU8mnnEs3y99zE//W//AFVoB7G/gAnaNY2yC4XgknPPBB5zz1574Ao5mPlRxi2cUb7p73y+&#10;22RqvW9hBLGEguYJeMnDHitXVPDmiyTyF7pFUHGVVgp547dMfpWZL4a8NQ7vMvsc/djb/Gi4WIJ9&#10;OgtU2SbNy/wKwb88d/5VVae1VNxl9dv+1VqTSNG2hINQZR/e4/D9f5U618M2s4LtdySBWzkYPHvT&#10;EVZJrcnAmX/vk/h0qm7AHfvjx7MfX0rc/sfRrd9r7tu3GWzgVXn0/wAPSuscrRhTnLbju/8Ar0uY&#10;LGHKife8yPc39zNR7XUYQtzjnA/rXR/2L4VtosrfeY3eNpNpxjnB24z7+9UJ9S0Oxk8r7E43LlFk&#10;m3dzk9BkZGKq4WMeffv3iWPK/wAOQP8APNQ/2jPbHzIZyfda0rzXLHbkWmUOflb5s+/+eazLnXNN&#10;eZpI9KVcFjtXcP6mgQy61Z7x/Nltct1yowP5UU2XXNK4AtGX1Xcf8DRQBkW2rbGyBI/cNJIW2+n4&#10;Vo2WttCNkskm09tx/wATWHZxwyHbBGxJwSdvHFXBZyhQE6beRt/yelVYLnQR6o8keG+9u6mT+lWL&#10;dZ5Ad8OMnLSd+o/OsewtLiM8KxIbA3Lxjv8AyrSS3u3TCWv8OfmBGcj/AD/k0rASeRbtJi6kbqfl&#10;Vjx/n+lSJpehM5ZYJWZc8q5/P2pkcF1gbFXdn5mQ96v6Wrxpuuh5avu2MMZZv7uPc9+gAPUjFIpE&#10;cPhnRmha4htbpVC/NILo8D3I+o/lRY6LaWdzhNUl8vAxC8hPPHU5J659KtXUryqrLIoVVAyw6f8A&#10;1/17dOKrz3e1PKhHB+83rx0FTylFof2dCQjQbV/iYzf4g1NYvZiZY0ij27vuyTA/0rAEsjyKJBuU&#10;HG3PHvV1LhPI/dhfRthAH0ycf/XxRygdEL61A8uS3hYdMecBj3wf/wBX601bnTkO/wCwCPk9HwD+&#10;vtXNqk8ykrJs+X/noPp1oZL5gCGbjhvmP58f54osB1kOt6VE+JNOXj+6Sec5qSbXtEllRplQLt+Z&#10;fX6+lcTK9yrBhenr8zLIc/nUcsVxckRRXIJPJ3MTmjlA7R9X8M3D7vJYBl+VY5OF6+uf6dKIbDwb&#10;doPs0LKBncssnr34xziuHht7zBSQ+Y3pHxn/AD/jV2Fb2FhFGjLuUMu5gSeP8/5xRYDoJtL0qKRp&#10;FaFk/hLMOP1FIg0OOEbLP98pJZ2O5Tz+n65P6YIF2JN9wr7Vxt3c+uPp/n8XfapGBVbORVx+7+Xo&#10;fapA6q106wkQpLcwqu4MqrC3p/eBP9P1q0mm6B5flQzxtkjH7hwSc9eSf/rVzkUl/HBvZJFyMK2e&#10;nfP0qzp4vYolladmkY/LuJBGfQY/nQB+af8AwU+8OXPhv9sLXLmUKI9S0+wubbYDzGLaOHPP+1C1&#10;fPt0wMWc19Vf8Fdgkn7RWgsJNznwLa+Yx7t9svB/LFfKZiMpwOg71UfhA9ws5LX/AIdqNGJG+0f8&#10;Lyy0fby/7G4P55/KvEZ22jAP+cV6Ro3iZp/2S9d8HPMu21+I2l3sUJY5JlsNQRiB6DyUGfceteZy&#10;bpG2gVWz/rsgPqD/AIJMBT+0TrTykBR4LuOWXIH+mWfWvv8AurnT4oj5MCs7KRkZ69u1fBn/AASn&#10;8O3X/CzfE3jkXMS2+naAljJCT87vcTLIpA/ugWr5+q19tT6vDdFYRKc7vlVf589P/r1EgNh5dMt4&#10;N8kManALHzOc9+wxz7dqqprGisds1p/DzmbGB2IGOaxbxo5pDG8pdR/Erk98e2aoy7Ixt2sV/wCu&#10;dIo7S08R2UG1NItd0kjBFRlL5yeOBjnp+PYjIP1P8bPi/pfwom0+TUzcq995kcf2VkDfuhGed6kf&#10;8tfavkb4Q+RdfF7wvb3cStG3iKyXy9ow2Z0456/j+tetft26ray+I9D8PO7LJaw3F20nYxymOML7&#10;Ya3b8xXxufYWjmOd4PC1U3G027Py0/FHtZbWqYXA1q0N/dS+/wD4JuX37ZeiKVitLrVt237rLDx+&#10;Plf1qO5/a8heyUPFeMpG12W8iRmB9/L64+h+lfNLIZJN+8cLkrtHbv8A59KnDC3iXdMGyPlXcOM+&#10;ma6v9UMj/kf3sn+3Mw7r7j2q4/b28GweN18DR+AtZkvJOPOGsKkJ/dGQ9FOPl/2evpWlf/tm3RCr&#10;p/hq4XaeFOsL/W3NfIb36SfHCJ8BVXLHa2eDa4/Hk13IlMp8xG+8D8/YjH9a8/L+GspxHtfaQfuz&#10;lFavZWt1O7GZtjKPs+R7xi3p1Z9AJ+3P4mtH2p8PbWVtpVPM1k8Ef3h5Qz9OKwfFH/BVDV/BOvw6&#10;HP8AAmzvpJLNZ/tS695YXLMpAH2dj/Dnr3ryN9Xuo1aJgrArhtwDE8+uP8815v8AEfwh4g1zxVFq&#10;2kWayQx6eIywmRcNvbsWBxgj8+1TmnC+W0cG5Yak3K66yf4XPW4VzDD4zOo08znFUmpXbairpaa6&#10;fmfZv7PX/BQ0/Hn4yaT8OJ/gxb6U2ofaAmpR680zRBLeSUjYYF3BvLAxkY684xXjX7Y+k3mi/tRa&#10;9NeWZaPUobS5ttrffQQJEW/77icfhmuN/ZU8KeMPBXx/8B+K3ayhF1rUCLGt9HJJ5MkzW0m5Yy2x&#10;iC+FfDEbWxtZWb1L/goH4M17V/jjY+IYb2GCzk0NbdXZjv8ANSaZmAAHTEidx19q+QjleKo5hCjG&#10;m05J2T621e5+lYXNOG8nzr22FrR9jyWk03JKTd99d7LY8stNYgitI7Z22tH/ABM3p0xzXS/Du902&#10;wt7uWMo3nXjSMu7bhiqf/Xri4PBDlF3eJPMfkPm3PHPTluf8a6Lwpo9loDzCK5kk86QbjJhhuA6D&#10;gdcnr7V9hkOU5lhMwVWrC0bPqu3ZPuebx5xhw3nHD88Jha3PU5otWjJLRq920ltfa58Of8FL9Ai0&#10;j9qG419LoMdd0SzvXjX/AJZFVa22/wDkuG/4FXzxdKyLuYjk8YNfTP8AwU8WOT48aOfI3E+EIPlY&#10;Y/5err1+tfNrRPG++azXA4UM2f6V97H4T8LkfoT+y5480XUv+CVHiTRLFEa40fwr4m0++eZR8s0i&#10;XMwAzx/q7mPHfPTkV+esW1co/wD+uvur4KeCLdv+CWHiD+ydZewudV0/VdTvHiYnf5EzI0fB4EkV&#10;r5Z9nPB7/DM1rtOUfGfSiK3JOy/ZlZj+0r4BkjhZvL8baUcbN3S8i6juPav2Kl1+6veJQF29AtrG&#10;uOBjlRn/APXX5T/sC2Vvfftc+DbHVtk0azXlwiyR5CyR2U8kbH6Oqke4r9Ln1phKzkd/l28Ac+lT&#10;IDp59au7V2YoGUj77LyeefeqkviW9aQB52XPA54/rWO+qJdJ5jOvX7vp/jUUdzHjzElbPPbPOKkD&#10;fh1hwu6WAsWz8wfHPbj/AD0qxb+I7yOARSY2bt24Lg55rBglZsGMlt33uMVZHmxpkDLOAPmbpQBr&#10;6pcXF7pi6np97FL5f+sgbOU9+v3T7dDwexPPT6rcjc2514+8sm4H/CrtrcC2feUfj+7x/XpU2oaX&#10;p9+jXVmzK23MsO0c/wC0P6j8RxnABkx6jPLkvdSlumd3tj+lObUHC7BNt45wvt7mqrwSRyuDGAd3&#10;JZcY/wDr0Ryup2sCwH3W30ASPNJKfnuhnPVvl/H9amxGqccljktu9u1QvEt0fNVNv+4TTTby2b8S&#10;NtbjANAhbi+lhXynuZ1Yj+Jzz2zg/SqjXcAH7xi27oynp/L0q/MhvIxvRV92Xr1qCSxKviZVYFcA&#10;g9f/ANX+fd3AzbuWAKTA6/ryOx61WTUpoTsTdhTn/P41oy6RHnKjacZ7H/P60kFhb790ijb/ALI9&#10;Oc9KYiGG/wBQJ/fwlVb7q7z6df8A61T/AG2xkBe8ikYsM/6wrjj1x69eKsS2c1xu8uNm68Ln69P5&#10;0R6KqWu64jIKnK7l5GfbBzSAaltAAsxffg/d8wZH+f8ACo2soH3ISyhm5XrjH1980+OzMQxGzKOv&#10;zZyTTZdOuGdYvOZV4+bfx+n+FMCJPDk92fswuo4SQxjkmUheBkDK55JAA7AnkgZNZet+GNU02do9&#10;oDLuDNvDKeSPlIJBGc8jity00/xDNC32CG6lQD5vLhZgvfnA4rPfVJoB5El5lGblWxjPrgnrz1oC&#10;xy1zHqQf5RHjPB25z+lFbr21gz731EDPaPB/w/z3oqhFewtrO3U26Q87ssqYH9auW9vZzNtjdRt6&#10;fMCRz9f8/SudtNVVCcXONy5x+XUVsadqjtBg/LnkdP8ADJp+8PQ3bDRbYOyQXq/MpH3h+XPetFNO&#10;t1By3y8gjscj171z1rrZt5Pkmxj73B556e9W7fWncrunXoflLAdumfpS1DQ3FNpp0XmCxZm3fKWQ&#10;7Tj/ANC/+t3FZt3CJWUzzhAx+6xbv9aa3iCSMbDKr9SMZPNK9/dzLvkdlwflXGD0x/LNHvBoJGLP&#10;5lF425T8u1dvNWI7TTZH8ua4bLcD5uvP6/8A16q223cryR5xwxZy35Yx/kVpWNy2QkDzKp4AViOv&#10;4+/86n3h2Q3+xGiXNukjLxtYty3/ANb396WPwxchGIt2Zif4X/Xn/P5VZnnLXMkrJLJ8p+VpCMsf&#10;Uj3x9f1ptrqWpm4Li0t/lX5VRcEkg+555/Xmj3hki+B9dJ3yxPH8wChVJyeePWpJfC2sPbYkEzKv&#10;3V8s8DOOg5H6flzVpFuyPLnfqwA2n2Jz046VpRXWl21vklpMYJBVTvOcYPt7Hg4+gJdgcndaXKg2&#10;KyMfu4DZ98ex9uoqOLRNQiBdnVVbAbam7Ga6G68VwiPyTaM396Rjwf8A6/vVaTxavl+YE6cLnsT3&#10;/l9e3SlqBjvozq+5Ekkbrkxhf1HX0qWC21Er5i2OezSFTx/nrVs+LboQyJFb20ZYDJEOCBjpnp/W&#10;nDx14hSPyUvmVPL2tDnII4P9BSAWXw/Hwbptny5Kop+uOn+eamg0JfmMdwPRVjhPPPX/ACP61Suf&#10;F91dMI7qWTsRuIP48Yx0qZry4xvj1PllG5mlIJH14/x60ncrQsX1lqUTNC5k2oMcR9O3/wBb/PLr&#10;a0uZIhJd3ZyqYX5SMYHHvjFZ83iTU3iMUd06rwVbzXPOMZ+9kdOf8Kz73xHfpA0v224yzAM3mEH6&#10;9aWpR8O/8FdfDHiBvjJ4Z8Y3KKtjeeGPsdnJwDI8NzM0gxwcATpz3JI6g4+Rha38L7/K/wDHq/Qz&#10;/gop4A1z4kfBeHxBpGkteah4b1Jbkfumln+yyBklSPaCcbmjkYcDbEST8or4EuJ/Kj8xh/DmtI7G&#10;ZnxXE0f2iBnZVby2ePdwWAbBx3Iyfz96S3R5m+7+JrVtvBOsL4Oi+JFzEj6XeazNpqsu7dHPHFHK&#10;N/G0BllO3kk+W+QMDMYiuJJI7HT7ZpZppAkMcalmZicAADkknGKoD7J/4JfeG9Psfhr4o8YfbJPt&#10;F/rcdlNEVBVI7eESKw9ybpwfZV96+mfM06VmUW7bj95tuM+3WvCf2HPh14v+FXwQbTfG+mrZ3mqa&#10;rJqMNs0mJoY3ihRRKP4HPlk7eqhgDhgVX2j+1dVkO+KO2BY/MWt069Bgbcfl/Os5blovC4t4QrNE&#10;wB6hf51BqAtJ5DKkwU7cbQ3T34rHvjrUbMsl5Gvyt8vkqdy8849ffr179KkNtcb/AD7u5Vifv7V2&#10;jPpj/PtUlHq37L9pZz/HzQf7RthcRxySzpCP+ekcEjo34Oqn6iuz/bfe3f4p2Fh5/mPb+H4UmVen&#10;mGWZj9CQwP0IrG/YW0vTNc+M63M0Mkdxpem3F5C3mErJ0gxjtxOxz/sjp35z9sHWmH7RfiQSsWUt&#10;a7FVhwBaRcD0z1/+vXytSXtOLopfYpN/Nyt+qPXjHlyd+c/0OKurlbVmk8iTPqrfex3rMF/qFyJH&#10;jWTaTu3N1P04rF1LxVawXR8iOZVKgf8AH02T9eehP6fnTH8WAvgW0kajk7cfKMY9uf519PzHmKmQ&#10;jwZqlh4rbxs19cNJMuzZLt2pkKMdP9le5rpTrMlvGq3Ufupjb/P9KypdVfXbVraPUZ923GAvX8c/&#10;5/Cs+31CfR1FleSzMvVSwzxnHr65/wDrVlGMad+VWvq/Xuae9L4ne35HSW9091KZfMK54X/EZP8A&#10;9aporE3ibnul56/P6e1czLraohnZZNuQBtUDjPWrEXiu1SAGP7xX+JR6YySOtaIlxOz8IS3fh25t&#10;da0plW80fUI9QhkRR5nytGMse4VljwOxZuuePb/25tP1G/u9I1tB/o1vcTQztn/lpIiMox7iN/yr&#10;5jHxHjtgI47icq2Cyp0IyDg9j0HH86+mv2iNW1PxF+zTpPxAhgmkWV9Mv75gcNFHLbOu4/8AA5Y1&#10;+rCvmc4/dZ3gay/mlF/9vJJfqetgVz4DEQ8k/udzweGM7dqpjcOnYfp/nNX9NZAABCfX5vr1rC0v&#10;xzM0nlRhtoU9VA5455q9b+J3nLTIrbl5Vd/TH+elfUHjOJ8f/wDBUTR9T074ueHvEHlL5N54bEMZ&#10;9WjnlLf+Oyp+dfNa3NmGEt1bMj/w4yRX3N+37r3w01j4Tw3vi3SBdeJFkNp4Y33Ei/ZXlKNPKUSR&#10;Q4CRdWDAMUyMFq+NvEejQaN4Ps5grG4vZWbdInzKFYrgZUZHHUEgkkcEVtD4TKppY/SP9kr4TWU/&#10;7Gnh74d+LnW4s/EPhuZ51hl8sG3v98xTceQQk4UkdwSO1fmLHNK8Wy1hWSRf4S36+9fox+xb8Q9a&#10;u/2YvCMGoXz3E1vYSW6z3Tlz5Uc8kcaDP8KoiqF5ACgDGK+Hfi9pi6n+0l4y0yyaODzPE2oSR7mC&#10;ov792x2Cgfy9aI/FYT+E9I/4Jm/DrXPFn7V+k6tEF/4k+n3t9ebpFXERhNvxk/3504GfyyR+l1/4&#10;PbyiWFrux1W6Xj8N1fCn/BK660Xw/wCPPEWu6jEp1iTS4Vs42UlltvNPnj0wW+zZBAOPbNfap1v7&#10;xt5pvLUfLGJCN69+3UDg/wD6skviJJJtGso7iO3e5YNnjacr9Aep4/nQNBgO9pNShjYbiEYM272H&#10;H9R1rKfVJBceY8UhBz/EDip49SQyK4RgPoM/pUgdBBpml2TbW1q3kUN/yzhkz9RkD09v61aa50by&#10;s3W3IAOdp+v+elc22owy/wAWxuzMvB7YPFQXN7IwZlmbH8Kbt2B7e1AHTm/8PyhpoInUZw27txUv&#10;2/w7M220uJFkC8fuf4v++hxXIRTzebuVty/3Qw54/wA/n3qaKSX5ZEiVdjDd8wVj0xgZzQB0V4+m&#10;38sct1CokHDMq/M65746keoHPuQSXvb+FjF5iMu5XG5VUnr1wd3Hbn/9dc9DqAcfNKvnL/CrY5Hp&#10;+lFtLcQPsLk5bO1f8+nFAFy/ktUctbltv8PGP6nI/GjTdStYpRJJG1wv/PNuM8+3I/Oobm38795B&#10;N0X5yVPX8/8AIqo8UlqzPDOvyjOPLOe/HX/OaANmSXSZxIJNKMXykgxru6dMjI69yP1xikhu9PZS&#10;j6cDnsGPr0FYf9pTs4W5n+ZV+XcOev8ALNJG8z/vE3bmI3KpyB7/AK0wOgbWbK2Xy49Ihxnq0IyP&#10;xP8A+vim/wBoaVcsoNrGGKj5GYbTXPzSXqR7J5yyqeu0cjPTp/nFSWf2NzvlkKlhldzHrjr+f8uK&#10;QHQF1s38y2jKR7gGV8Mc5xwewwehPYnPIqjqXifWcNbGaXajbWh5wMcYwT1H+cVXS6kgAEUzEcZB&#10;k60RXWmSKwvo8ny2VexVj/MZHQjHJ6E5oAzdQ8SXl2/2i4bDbuJC2f1JP+fWqsut3Uaki48zruX1&#10;/DHNa2p2OjxyubG4S4j+UpOsRXII+6ynow5yASMg4LDDHndWtRHIfIik2tz0/n6VXKK4TeIroPlz&#10;977351VvtUtZU/eXBG3I+YnH6daozTSp92NvxB/rVG/uJ2DSt5anGNqjr+n86om4671R45dnmoy/&#10;wtu/+uKKyppLlpOYs/QdKKAJbS5WPCySFjj5QPpWlbXUi8sflAxjPXtiqOmAbyMVcjY7Qc/xVoI1&#10;4nl2K7hfl75xn61ZhlQKvl7vZRx6Z9+ao2pPkMuePLBx+dW9IJaXDc//AK6ANG2mdTuETBdvB3VY&#10;iEs0qvtb0+X5f85qK1JLHP8AtfzFbaqscMHlrt3L823vy1TIaK8FpPCN2F7Bm3fdpGju5/3EUiqv&#10;+036+verF87hVUOeV556/KKtQALBwPb8NtSPlKMVnN8sZmZQGPzbuNwNdDonhZ2WMtlVbBWRox83&#10;I59/rUemwwmcExL8rjb8vTgf4muoDvAbXyWKbmjDbeMg9am5RmajDbtbtb23mMNvG5gu84OSc/wg&#10;E49ifXNZ13b3pXdeXCxf7Cxk5X8AMDI/StSwUT6dvmXe3l5y3P8AGB/KsvWgFiuJFHzeU53d8hlx&#10;UgZeoxQtEyq6sFbJ3Rkcf/q/nWeJFgfEQ52fMi/Ln8KsGNDO8hRdwOA2OQM9KgtZJHDI7sV3EYJ9&#10;6oCCWWbzfObLf7p7fjmlSWFjkMyt1Zh1IH+farEBJKqTxhqqXQGOn8X+NOwDb6xtJ5Y5LZ2xGuSr&#10;rjAJ+vNN8mNpSFmk4A2/Mc/h/nimsP3QOP8AORWl5UQYMIlz5jc7aQFTT9KucTSoG8rrny9wX2z+&#10;P61WuGjgYy72UbcsFbr17VJeMywl1YhvMHzD61XZEkWQSIG+994e/wD9c/nQB4l+1/8AG+Xwh4Uf&#10;wL4cM39qarayPcS28e5oLMAh3HcMRlQew3NkEAn4T8daha6zFHpuhwM0YbMafQHsTX0v+17d3UHx&#10;pgeC5kRm0EKzK5BI8yXj6V86+DI45/iFaxzxq6teLuVlyDlxTjsBDpGhaxpXgZdJ1qNltrzXYbmO&#10;3kzhfLikUn6sH9Oijn0veG5dN03xXp/ifSLeOGbTbuOeNmHylo2DAHH0+uK9N/aBtra08G6a1rbx&#10;xnzF/wBWoX+OT0rmvjEALLw7GB8rW4Zl7Ekgk/ievrT+yxwfNJH1l8PvFd74mt472a3Malcrkngf&#10;1/zjvXeWdrcsu9LoMx/MdP6fjXG/A6CH/hAdGl8ld0ljCzttGWJXkn1Nd9AoSFgi7cNxisyyhewX&#10;zADzm2BehHSqawSNEw+2Lu77l963dZ/dxKE+X5mHy1Qto0ZGVkUjzMdPYUAe2/8ABP7wxrf/AAsH&#10;XdeFyq21lo62tyu35t00quuBxgEQv9K8T/aS1DXdW+MfiqQairOuvXcal1H+rjmZFHHooA/Cvor9&#10;gOGGG68ZzQwqryWukmRlXBYiKbBPrXz58WP3vxY8VvL8x/4Sa75bn/lu9fJ4V8/FWJv0hFL52Z7V&#10;T3cppebb/M8qfRvED3jltVVt3zMHH145H6VNpujaxNdbr/UCFX7qlenbkgVr3pP248/wn+taujoj&#10;2yhkU53ZyOtfTWPNuYc+pf2LFGttqEmW/wBYEX5VH17/AOfwj1C6m1KPy5rtmHVZMHB9Tn1qXXpH&#10;aCMs7HKc5NPMkn2GM72/1Y7+xpAZ9npF/dv5Ud8W3cKFPPB6EVsaZ8PZpd15dXE0nmfd25OOPT/A&#10;1qeHo4/LU+WvC5+77NXTaWTuhj/h3fd7dRTiS5M8+udCuTOYAsrbGwQinaPfFfVXiVdV8S/sCqth&#10;FKZE0e3t5F/iCWt4gJ/BYSa+dPFwFv4nuFtx5f8ApC/c4719YfDlVf8AYd3MuT/ZepnJ/wCus9fM&#10;8Tv2dPDVVvGrG34/5HrZPeVSrB7OD/Q+NLVLi2hWIzOFIyu5ql1XUmtNNaa785o41LvIuRtUDPPv&#10;71t3aILlQEH3fT/af/CuV+NIC/DTVnUfN/ZN383/AAE19R5ni812fI3xO+IepfFTxXb+JdatGNnb&#10;cWcMbEx265GVLcfMSBubgk4AwAqjlfEvh/V/GXiyLw94cshLLHGhkSMhVVmAy3bGBgHjNWLXUtRH&#10;w6urYX83lrqQVY/NO0LycYz0zz9a779jRVuvFWrXNyokkNqhMkgyx+f1NdCXLGxnVk5SbPavgBpP&#10;ir4XfCmz8JXd950kPmSLtU7AXYtsHtz3x+HSvln4p6B4o8MfGHUfEHiAtF/aOrXEy3kD8MJWZiM/&#10;wnDYPcZ49a+5lghXQkCwqMICPlHtXy3+2aiRpbtGgU/bF5Uf9M2qPtCjtYb8FviHZ/Db4laV8S/D&#10;8vltCvka5p6/8vcBG1/lDLlgMMufl3KpYHFffvhnWtK1vS7PXdIvDNa6hbR3VrcLGU3I65R8EZ6M&#10;OCAeo4Nfmh8LY45PBWrXEkatJ9nk/eMvzcPDjn2yfzr7t/ZfnmuPgroLzys7LYhQzMThQxAH0AAA&#10;9AKqQvI9ZKb5ZIr2La24hmjf5APUEEgj6HFFzDYBAjXjrjr5ijI7f3v6VrTxxpY5SNV/cjov+2Ko&#10;rHGsi7Y1Hyv0X2qAIYbLzk2oobjO8Dv9P89KqzaQ0l2mflYf3s49ieOvX16VevyYpwkZ2r5S8Lx2&#10;qqZZWvWDSMf3S9/pQA6XTJFJB1ONNvJVc7Wb06evrx9KsWc2nHTjGbkNNuyPMR8r+IOP0NQlRtRt&#10;vPBz+BqzcIkcbbEC8j7o9xQBnTWUUT7iq7h/EGx/+urFp5qOuUbGMEseMfj9K0BHHJG3mRq3T7y+&#10;1KQAsagcbRx/wE0wFFs90N0U0YZenv8A5xUM+lvEqhyy7l4PPHqP9r9KuL+7vECDb0+7/vLVm6VR&#10;bBQox5anp3+SkBz82mxuQqfN9QeP8KiS0uIA7xbcbcYfgg4x6YrSiVTCcr/F/jRESZYUJ+XcePxq&#10;hGWsEkUOJpJG7NGUyOuMg1ct9LkjRpG8ssfuSeZ275BH+T+rrwBYWKj7u7b7VR86VfNZZWB8z+97&#10;CjcZe/smVFyXO7r1zj2/z+lR3VtMjfupPm7bsHA9CKYruRExY52nnPvSRu5dVLHBbkevWjlJKpNx&#10;Gfki7H5o2/mPT/GpmtLOaAxpeYm2DKykKpPIPJb0xwffkcAkLMXYFj2/kaJQPMbjv/WqRJi3vh+/&#10;SZnlJZR9/wAxcEf/AFuD/wDWrAvtNMDlWnWPOfvDNeh6z+70OzdPlYXDpuX+7tQ4+mSePc1lX1tb&#10;ytIktujKF4DKDigDziUTQyEm6K7v7oHP6UVozs3nyDcfv0VQH//ZUEsDBBQAAAAIAIdO4kAxQiuV&#10;5SABANYgAQAVAAAAZHJzL21lZGlhL2ltYWdlMi5qcGVnAACA/3//2P/gABBKRklGAAEBAQDcANwA&#10;AP/bAEMAAgEBAQEBAgEBAQICAgICBAMCAgICBQQEAwQGBQYGBgUGBgYHCQgGBwkHBgYICwgJCgoK&#10;CgoGCAsMCwoMCQoKCv/bAEMBAgICAgICBQMDBQoHBgcKCgoKCgoKCgoKCgoKCgoKCgoKCgoKCgoK&#10;CgoKCgoKCgoKCgoKCgoKCgoKCgoKCgoKCv/AABEIAYoCT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vvDku3iP8hWHqvh6RV37a9RvbKNg&#10;wCiue1eyVztZO1elUjLlMYfEeV6hox+b5eaym00KMBa9C1nR0xlVrCvdGU5IHPqK4ah3UakY3ucn&#10;LZvwAtRm1cjGBW3PpjoclarvZkDJWuWVOTdzpjKLMr7C3+c1DLpzM5+X+dbH2ZfU0fZh/eqBSjGa&#10;sYraUzcbM0f2G3/PJfy/+tW0luA2Sc1YitFk/h/nWkZJLUz9jA5o6bcIdqxf+Omli06Znw8f/jtd&#10;P9ijR9nk7vepTpKOoITBraO6MZU5R1ObTS2IzipFtJFbAQ10S6Muc4qzF4fYruEGa3JOctYHjbO0&#10;1egWQ87T+VbQ8OydfLAqRNGlT/lnVKMpbC9rKOiMcQk8kfpVXVbKSaDCxFsV0w0iU8hfl7n39Kva&#10;V4H1fWiwsLF5gv3vKUtt9jisZ4Pmi0EcXKMrnkdxYuJmAjk/BahbR7uX5VtpG9thr2K88E3mjyeX&#10;qGltE3/TSEj+dVJdNlDZKj/gK1ksLOK3Nvri3SPMIPC+tvgQ6dIM/wB4Yq9B4C16Rd0oWP6tXffZ&#10;LjojUhsZf4np/V49WL615HFQ/D6Zsfab9R/urVyH4f6cpy07t/erpltE78VHJa4f93J8tUqdNdCf&#10;rVR7GTB4P0iLj7FuH8W6rcfh7RYh8unxr+FWSkiLnDfnRvOMt/KqvTj0Jcqkt2EWm2EY/dQj8FxU&#10;pihUfu4sUwXMaryc0hvkH8NP2kbExj/MyTax7VZi/wBWv0ql9sHpThq9vGm16n2kXsDj2NGDqakr&#10;JXxHZRN88q/99UP4u05Osq/99Uucfs5djehch1Kde3H+NemfD7xj4L8P6QNO1HRwJ+slxt3+YfXn&#10;pXi6eNNKG0+dzUj/ABGsbblGkkz129qPb0+rF7Odtj1z4keI/BfiO0jj0zSf36yBmuNgX5f7tcXs&#10;YNgN9K5N/ifbN8q283029ahHjy9kfFtp8jf7zYo9vTCNKR11zFMw3J/Oq0lxPEcEVzU3inxLKMQW&#10;vl/V6qveeK7qTJuNufSsZVuZ3SNo4eUtTqmu5upfH41DJfsoyLiPHfLVzdxo2usMy30n4HFRp4Zl&#10;lG6aR8/7x5rH20+xpHDLqzcudeto1YPOrfRqrf2/Yf8APT/x6s7+wBGcLDn60f2Kv/Pv/wCO1nUq&#10;VP6RrHD0+5efxHbK2EOf+BU3/hJIT90c/wC9UMOkIE5tf0p66RGzbRagfhWXtKhuqdGMQl1ySbp/&#10;6FTBfXx5SPj/AHqtR6PHH/yw/wDHak+yMvAg/wDHaixPNEzri4v5o9jR02G2nJy1aiWbO20xY/Cp&#10;00xeuTRaQc8TL/s1SNxjNC6SHbiP8K2o7Uj5cdKs2+m/PlY+tUqM2L2kTGt9Hb+GL9Kv2/hx5gMr&#10;1rds9HEg5jrcsPD5ODXRDCye5lUr8pydn4SYNnyq1bXwrISP3NdfY+Hlzl62LPw7FnO2uiGHfXQ5&#10;5Yhepxdr4MPGYv0q7/whjFFCoK7mLRkZcIoHvinr4eCdX3ZrojShHoc8qs5dTgv+EMlHO1fyqOfw&#10;pP12L+VehNoaqN2P1qrPpseP9VT9nDsT7Sfc89k8NvGPnjqrPo5HybK9AvNLi8vOyse80qMNnFZT&#10;pxNoVGcTeaSVyNtUZNMbqY8/8BrsL6xXaQFrJmgVPl2VyeyknsdFOeupz8mnkKQYx/3zVdrID+Gt&#10;6eIMCoQVTktW7rS5DqVmjEltirkbfxxUUkGVxitaa3GOoqB7RehFccoa6AZn2U9hSfZX9BWn9kT0&#10;pPsi+lTysepnJbPu6Cn/AGZ/QVfFqoOQv60eQP8Ann+taRso6isyoLSTH3P0p8VnIc/KKvCLj7tO&#10;ihLZ+WuiMeV3DSOpSFlJnovWrIsz/dWrAtjnpV5bCLb1P51qncOaL2PH7D/gq18G7LT0vfiL4D1z&#10;R0aQIZbOSO9jTP8AEx/dt+SGuy8Kft5fsZ/Essvh79oHw/DIoz5OsTtp7H2Aulj3H6Zr89/2ovDE&#10;Xh/wEggT5WkUfKK+a2hErE9iByDXt1KvQ8enT5o3ufuw0umazZR6lo9/DdW86B4bi3kEiSKRkMpB&#10;III7ism/09VzkCvxZ8EeMPG/gS++2+BvGGr6PcdPtGl6lLbufxjYV7Z4G/b9/a08Ixw2s/xNbVrW&#10;FcC31mxhnZ/dpdolb/vuuf3amiNHCS1P0kubAZzWfd2HyH5cGvkPwh/wVb8T28ccPxA+EVlekyDz&#10;LnSdQa3IXuRHIsgY/wDA1H0r0nwz/wAFMv2Y9eH2fX73WNBdm2/8TLS2dPrmAyYHuQKmVPlVioTP&#10;aPsbf3aPsjDkisDwl8fvgd4/Cp4M+LOg38jfdt4dSjEv/ftiG/SuuSON07fnWDp2Nou+5RFm/ZKs&#10;W9nIBgR1bhiUnYF/Srtvb4GBRGnzdQehTgsCzcpV630zdxs/8dq1bWTyPuFa1ppxcgYraMNUjGVW&#10;VjJTSWI4hqxHo9wBwtdVpehtIMhf0rYg8LsygmOt/ZeZn7Q4FLGW1G+ZWx9KdmL0P516J/wix8vm&#10;NfyrN1DwZbSklrUZ9VFXH3VYhu+pxy6roS7YZ7lR/PNdH4T+LFp4St/sdpeKsTHLDysg+/auU8Qe&#10;BxFrEO0Hqa1tH+H0WpSKJE+4aI80naS0FywWtzd8U/GLTfFFidOnst654ZLbcfz7VyF/qEM2ZE0m&#10;4VQOWaEACvUfDHwrtRGrSRhV+nWtT4g+FtJs/AOoRWliissS/Mo5OHWs6lSnT0SJjKUnoeDXN3Er&#10;btmwf7VRHUbXYW3qf+BCrGt6H9qh8pF74qOx+Hl21tuVPvcYrD20tuU35IdWZdzrVmB8pH51m3ni&#10;W0ikxtLcZ4roJ/h5LEOY2qheeDWj58uhRl2HBU+bRmJJ4q4zFGRVeTxTfN9yFfzrSufD2z5Nv6VT&#10;m0VojkL+VZ1OZGnKijJr2qyn5ML9KhkvdUf5nuW/76q8dOcHp+lH9nueo/8AHax5pM6FypbGf9r1&#10;D/n6b86X7PeXA3PeNz23Gr/9nN6D/vmrFtpjNjK1nyMrmj2MmPSZC2Wdj/wI1KujgnlWroLbScdV&#10;rUsvD4m6pQqMn1F7aMehzFp4aicZ2frWpY+EEmODH29K6zTfDMaEM6V0Gm+G/OO2ODp7Vr7C5lUx&#10;XuuyOLsvh4sq58r6cV0GnfDQqwBC13uj+FAiq0tb9n4fjiX5Ih+Na06EY7nH9al2PPLf4cRMMsgw&#10;Panj4e2qNgRHP0r0xNLBH972AoOjtj7oFbcsF0J9rUkeYT+CIYlyIxVK48LsPuR4+gr0q80rJ6fp&#10;WddaVmPLJSlR0sEKkm7s8zudAZGJYVX/ALHT1FdxqOleq/jWbNpbDkCuaVDm6nRGZy0mlqjbePyN&#10;INPQHgj9a35tPOcgfhVf7Lhulc8qcomkZdTK+wj++KQ2YH8X6Gtj7OKabVWPNZ+zkaRqc2ljLis1&#10;3/e/SphZs33cflWhDYh5Nqiraacw/hqo0eZD5rFC109Nqkjn6Vo2em/ONyduKsW2nLxwa1bOwY7Q&#10;a6KdP3kZOrYgs9NAX5U/St6xsAFUBKfp9mcAba0rWHa3NdkafKrnPUqcwthYru2hfzrVtrSNR0pt&#10;pwMe9XIaDMRYsdqHjGfu1PRQBX8sHjbVe4tIz2rQPSq0/Q0AZF7b4+XbWTd2pHauhuhlRWddR5Bz&#10;UuNyonM3tmxz8tZdxYhjkrXTXEY/u1l30AEnTtWdTQ2izn57Eg9Kqy2Yx92tyeLAJIqjNEoGQtYH&#10;VGRkzWIbtULWPPPFazw/KDj9Kryw7jwKxlFXsbIzXsj6ZqP7L71pG3YVC1sxYnd3rLlKt2Kf2X3o&#10;NqDxmrf2Vv71H2Vv71HIFmRCxz0apreyAByanRABU8CCtuhNSXu2Kws8H7tWDAOy1OicjNWPsrf3&#10;6NTFHkvir4Pfsr/FrTm0j4tfA6WRd2Y/s8htVi9Aq2RhB6k/MST3JHFeF/FH/gk5+zT4hs59Q+DX&#10;xC1/R7xmzDY6pNDNH1+6EKKwHpulJ9a+251dVJu9Is7z1ZFCn+QqKHTPDupN5Vz4X8vj+JQy/rXz&#10;f1usrckpK3Z/5nLT20Py38S/8Ezvjp4UEkmnNa36xtgHy3Vn9/lDr/49iuD1v9mr4xeF/wDkNeAr&#10;xe2YNsv6ISR+NfsAPhf4cvCTp8l5aN/D5EhXH4Dj9Kgv/gx9siZJ/ED3BxlRqFnHMp9jwD+Rr0Ke&#10;Y4ynq2n8v8hOd9LH4vX/AIU1HSpDDqVjPA6nlZomUj86w9T0sxy4Ofm+62a/bDV/2dfhxrWnra69&#10;oVrKxQCTyY1RGb6Y6fXNcO/7BH7KGp6m154u+F1nqETRbfscbG22uer77co5P41ss+UZWqU38mZ8&#10;vY/HWfTpF6iui8KfHf41/DkRQeDvijrljDD/AKu3i1KQwj28skoR9Riv1D8Z/wDBI39jHxxP9r8N&#10;3PirwviMqtrpuoLLbgnox+0RyyEj2cCvC/iN/wAERtbhvriH4cfHe3uP4rddc8OywxleoHm27zEk&#10;dDmNc9hivQpZthJP3nYfLLozwjwR/wAFPP2m/DAS31250fxAgb5m1HTvLkIx0BhZB+JUmvZvh/8A&#10;8FcPC96UtfiF8Ib61kY4abR79Zh9dkgQ/huNeTfEf/glL+1v8N47rUY/C+k67aWyhvtmh65CTIPR&#10;IJzFOxzxgR59M9a8r1f4A/GnwJOG8ffCPxNoqrIoE2q6DcW6nPTl0A5xx611RxmElNWktfMXNUju&#10;fqv8APjR4L/aG8PSeJPhqby4t7eTy51uLNo2R8dMd/wyK9G0q60xr7+zZbuP7R/zwL4b64614d+w&#10;x4ZtvgB+z5b3GqssN1cxtdTMwxtZhkA/QY618VftVfHXXPif8YdQ8SWGrTxxQzGGzaGZlIRT1yD+&#10;P416kcNH2PtLnMqtSpJpo/XTRbVFwMLjFdLBbQqq5UV+M3w2/a8/ag+HbLF4R+MetpEv3be8uBdx&#10;49kmDKPwFfX37NH/AAUD+PHiu0+x+NLDRb/yY8tP9ieGaTHUHY+0fgv4Gjkurope6fcX2SIcAfpU&#10;c+lo65CCvF/DP7cng6fUI7Dxb4VvNP3naZ7dxPGD6kYVvyBr1jQPiJ4I8VIs+jeI7ebdyIxIFbnp&#10;8p5rFqp2F7S5l+INAtZbxJTHylaXhzRbWBvMMVWtXigklDI6t34arWmRoi/eH0rZy/dg4m1YwokK&#10;t61m+PkD+EL/AD/zx6fiK1bb5oFwO1Znjv8A5FG+H/TNf/QhXmy6nTGMYw0PGY9KEsqhRuDY612+&#10;neHI49OVvL7Vh2UYEkYCdhmvQdPTOmRjy/4a3p25Vcwlc4+/0GI5IjWud1rQYwSBGPyr0u705JgW&#10;27TWBrGlxnOQua6/dM4vlZ5VqejrG24xisq40pHBJSvQNZ0cZO0Vhz6WRuBT9K46kTdVNrHGyaKp&#10;fhKT+xB/dH611Y0lDyw5o/siKufkNvay7nKf2IP7o/WrdnpOAAFroP7IiqxaaYijAH/fNHIHtGY8&#10;GjOwHy1s6dorqvSr9rYlG5h/StC3s5G4WM1oomfMLpmjw5DMm73NdBp9h5f+rSo9MsGwuY63bSzw&#10;o4qid9xbCCTC5FbKwLjlRUFnbbVBCVdETelBPLFDrdECkBBTnjU84oiXaMU6gozby3QjISs66tlC&#10;EFOPWtq4jzVG4hGMFa3jJEctjmb20UvgL3qhc2ER/hrfvLRidwFZ09u3dP0qH5GsTn7myQNgrVKb&#10;T0LgiuiltAx+ZarPYkHtXPONy1JmL/Z4/u/zo/s4f3f1NbH2M+q0fYz6rWfIUpWMmG08mQOFq5FF&#10;v+8PyqxLZtt7de1SW9lLnBjP5VUY2H7QLSxVjg1p2doiEEfSore0lzxEw/4DV6GGRNpKEVS0ZOjL&#10;VrGq9RWhFBEBuB5qjECOgq9HuIGBXTGRjKOpYtkXNXIUFVbVHzkrVyIgdaiXxASbBSMMHApfMT+9&#10;TXZSeDUgB6VWn6GrBYY61Xmyw4oAqXB4FUp888VduBtGG61Vnxt4NAIzbiENzis+7tkJ5Faz465q&#10;jdKofg1MldG0THubX0FVHtF71rzouOtUZUAG4N1rncTeLMuaLadmOF6VBJFtG4HP4VfuI8scVVkh&#10;fHAzWcopjjKV7Ffb6r+lM8iP+7Vho5FOChpPLP8Azz/8drG2p0QloQeRH/do8iP+7U/ln/nn+lHl&#10;n/nn/wCO0amnMQpCmcEVNHDGvIWl8t+yU+BGG7K07HLLms2KkK5DZNWti+lQgHPSp6scL9TQ1fQb&#10;7woyabq2tQ3EknO5FxtHoajs3tyNy3i4/wB6tLXbXXpX/tLVm8OP57YRpLp4mcnoAZCBnFUE8Lax&#10;GhvNR8DXiqzfKdPuo5sj2AJrxamFq+1bUdEebGXKjR0x496r9oX86tXmqafZv5d1qFuv+z5oJ/Ku&#10;flsNHMbRX13qmnKwwyX2nNz/AN85qK30nQ9Jjxp3iXS5sdEuMqf/AB4f1qJQqLeLRfPE17rUbOeT&#10;ME25SP7p4/Ss2R2jnWRreY9/udqdFrbQODJo1pMF6Pb3RX/Gq8U3h2C4jvzperQva8R7ds0ZB6g5&#10;xkfjXNUhfUpMvx65FErRpY3B4x/q+KnbxZbWvlQtEpkb+F5NpH6Go7H4h6Ulz5Elva+WyjKtC0Tj&#10;35LLWnJqPgnVJY5ha27svQ4Ga5fkXcyNe1ZLq0kgOlJIhUs0gyQMDPdfasCXxI4uJG0rQ1t5mA3P&#10;Zs8JJ9yjLn8a7+eOya0ljttPLZibjbx0oGh2s0eU0dlKqMdAaXLGWvXoDvseU614X1fx5pMmkeLN&#10;FjuraYEPDJDENw95FAlz/wADzXgfjL/glf4F8S3U954e0650xpHLJBZ6i2xPb9/5rH/vqvtKDQs8&#10;fYJOrYy3PtVqDT7heE075vWu2ni8RTVlNr0ehNj83NY/4JT/ABY0Sb7T4e1KS6RWyqzRrx7fK+T+&#10;C11fwy/ZX+MPwxDNqmjQlPLy0izGFfp++CZPsM19/JY3XR4VWq1/BfKrRxwow7DBrvpZpmFPRTv6&#10;pP8AKwuXmPg3xt4T8YaJbR6nrnh+8s7WWTbDcywssbt1wrfdJwD3rkNe8Q+LdJP9o6L5kky46sfl&#10;UDjuK+h/+ChGjRf8Kp0+4l0eGJ/7eiHnRxbWP7uU4z+FfEnhLS/+EK0SRrSe4X7Y0jNDJdyOgy5b&#10;5VZiE/ACvpcpzOpiI2qx18jgxFOKqH23+wN8YfiH8R9C8UQeMdbe6XSbqzjs1fJMe9Zy/JJJ+6vH&#10;QY4xX05oN47x5kP618Xf8EwdTeXQ/Hm4/d1DT/8A0C4r7E0G6+TGK9Kp8TEqi5UjttPlDWy81Q8d&#10;/wDIp3n+6v8A6GtO0y9Xy1QelReOWJ8KXXzfwr/6EK8qpGzZ1xkoxt3PPdP/AOPhf+A/yr0LTv8A&#10;kHx/hXn+mxgzKzD+7/Ku+sGIsIwD6VtT/hkSC46Vi6hD5jtx/Ea2rjpWZOgYsT/erUyOd1HTy3IF&#10;Y15p+DjFdVcr82GHFZ9xaRucMlTuXFnLtpZdtwpP7Jat82UQOAtI9pGBworG6K5jB/slqs29gIwu&#10;FrT+yr6CnxWinqO/pRdBzFeC038EVp2dmFGAKLW1QN0rRt4wnNBoSW0Pl9q0LZuRVWFVPWrcCJkA&#10;UAaVo3QVY3N61SicqODVkOx5zQBKhJ606oo2b1p25vWgBk1VZelTzM3rVdySDmgDOuuhrPnjDf0r&#10;QuaqyDg8UAZsyDfjFQsnbFaEsKOCdvNQPEoXIFAFNkx1phT0NWXjPpSeUvcVLiVFkKopO0irSRiP&#10;pUYjUHIFWI0B+8TRyhInt/4fpVhhlB9ahjULjFT/AMAzUkjojir1tyMmqKKvQ1bikI6GtItoOWzL&#10;8bYXGadv/wBqq8Mu5cMelP3L60AS7/8Aao3/AO1UW5fWjcvrQBKX4+9Ue/8A2qazrt61W+0N/f8A&#10;0oAW9OXzmqkv3WqS5mcnO6q0kr4PNAEMnRqoz/eP0qxJI/zDNVpiT+VTJ2RtEqz9DVRv9W1Wrhjk&#10;iqrf6tq5ajubR+FlWX71QkEHFWZIwec1G6LiszeOxCyg80ypigqPYKC47jaKdsFGwUFDadHTadHQ&#10;TIdUlR1JQSYer/A2wlsPsUul3kdvkMIQ0mwH1CE4FJpFh4s8IRf2d4b8R3cVvHyscwB/Inmvf1hU&#10;/dyf+A1T1+3EVk0pt45OmVkjB714NTD4jD0XWvdLXqcPs6bZ5Ha+PPidbHcurLIB18xic/0q4fiL&#10;rEx/4n/hfTb7P3nktEJ/lWt4w1ey0iVbc+D7GZW/u/uzn8jXMp458IuzLqfg68tucZt7vzP0IGK8&#10;mnxFT5uVzf3P9Tqjl9bpYuT+I/hvOjS6r8PJo2VfvWZeMf8Ajjf0pdN8T/BkbZrbxxqekSKfmhuJ&#10;G8sH0PmJz+dT6ZP4B1aPNvqd5Bj+Ga3/AMKuHwNpmq7ktb8SehktduR+J/pXXHOqNTRpS+Rm8JUj&#10;K0iaDwx4c8R3oubHxfpmpSABl86xUDHbLxn9OtaF74H1SUceGNIulX5d1rcvG35MK5nw/wCC9Xzd&#10;2sfh424F5ujLMuJFVF+cYPTJIwcHisPVtZ8XeENUvENzqgRbhhCLSUy/+OxsxH0IH0rrw1TA4qTj&#10;OCj53sjGVPk2OvfwnqFjl18OatbNtYAwTiRfun0YnH4Uh1TWLHCHxLqUAK4C31q39RXimoftffEX&#10;Rb66gXxFAsVvJh01K1Cdu+QrV2/wh/aS+JHjs3Ud3p+nMltGhVo42+cEn/aruqYDBxp8/Np5ak++&#10;dRd+IfFAu4/sfiSCZdx3fvgpH4Zp8mr+MNyg6mzK3OI2JqyvjPUdUvEt9R+HmmXDTNjzJFG7r64r&#10;pbP4e+HruP7Vf+Hlsz3+yXTr/WuOODp1pWp1L/IT5jipPiFe6WTHeM0hX7wL1G3xggiU3B8PanIo&#10;5ZoYw4+vBqx408JfDPQNVXU59U1W4m3Y8izUTFB6k4GB+NXPDN78ONdeS0s/EV9Gy5Ux39qBn2BN&#10;UsHUpytzL7xe8fPf7bfxOs/HHwxtdDsNLvIZotYjnH2mEqCBHID+PzV8b+NILnSvDVpdXUTL5zEK&#10;c/jX6G/tieBfDun/AAjj1WG585k1aFUQRKM5V/T6V8IfHkLD8KdGmgiX5btk8xT97CtX0OWU5Qpp&#10;PzOOrze112Pa/wDglo27wf4+nU/K2pafg57hJ8j9RX2X4YnX7P8AM1fFf/BLK7YfDvxxJs/5jFku&#10;P+2clfYHhq8BhGR3r2ZyerFzctkjuLG5+7g1H4tunl8OXUQ3fdX/ANCFU7C55yDS61N5uk3CH+Ja&#10;5L3kbRqe9Y56xniLx4P8K13FjPH9gi5+8BiuBsl2leO1dpaECwtzj+CncuXxFydgRwazp5Ik3b26&#10;sale4fGRVG9O4ZocjLl94hmki3ZDVVlZGGA1STVXPWs3J3HykbRZOcU14wRxVjYdm8VGygDIqJRH&#10;foQ+QT0BqaKNQmCRSoCBzUkY2/MfwqbASxRqH5NWlUnkVVgy0lW4zxxVlx+EljVgM4qzAxU5NQRn&#10;K1IjdqrlDmLySJng1aDLjrWaj45FXPMH9/8AWqUYsOYsI6jvTvNT1qr5g/v/AK0hkGPv/rT9mg5i&#10;WWRW6Gq8kqJlWNR+Yf7/AOtRztubOaXLEOYhnG7pVZxg1af7tVn61LVhojZSOahnjyu4VO/3ajdd&#10;y7c1Iyo0ZNHlNt2kVNJHs702gCJY2ByRUiDAxS0UAWI+i1JUcfRakoKsORj0qwrLjrVdDzUw6UDs&#10;WbeZADuNSefH/eqpHTqA5S5uHrTWkRfvNVXz/amvPz0oDlLTTRbT8/aq+4etRmfjpUfn+1Aco+dw&#10;KrSyKASakd94ziq8/wB1qBcpBJIMtVeWVc49qlfvVWb79Zz7GkSGY7ixFV2BClT3q1L9wmsLxv41&#10;8J/D3w7c+LfG3iSx0nTbOMvdX2pXSwwxr7sxAFc8l0Nol5xxUT8jFfk3+33/AMHKmm/D+9u/AH7H&#10;fgy11G+t7jy28Ua6RJasFPzeXChy4PZiy+uGBr89fHP/AAXT/wCCoXja7+16j+03qFmny7YdGsbe&#10;zUY/65Rr17561Kh5milbQ/pqeWOP7zds1GsiOcK1fy2+Df8AgrR/wUK8Jaw2tad+1P4wmfcd0d9r&#10;Ek8b5xnKSEqfujtxX11+y1/wcffHfwJAuh/Hrb4gUNPPb3lxAsczgW8xjt2dcDBnMQEhUkLnOQBR&#10;ys0jJH7tbl3bM8+lFeP/ALI/7aHwU/bE+H1l4++GOuQtJdLibT5plE0EgB3ptzk4KuMjg7T6V7Bm&#10;pNAzRmiigyVR81gqSo6koKZ7VtCY2/SodStkuLOSNl/hqXzVJwAabcFnTavcd6qtCMqMo90zgSdz&#10;hPGktxZSYWR1UcAKxGM1yg1K+tNkkN0wLMA22QjPNd74y0+Ga1aWfPUdPpXHnS8Rq0So+2TnzI89&#10;6/MK0KlOs1fqelHllG7JdD1/Vp7W6Wa8mbbI21ZJtwHIxjNei6XJJILc7F2tDlsKOeK4PSLeaKK6&#10;82yhXc38Ee3rXoWjSLLY28oVf9WB+le3kXtKmIkpTb20+aOeso9EWntYX3ZT71eM+IP2U7jVvHmp&#10;eL49dtWXULyS48l7ZspuOcEg8/X9K9qIxRX1VfB08RHlkvuOWMnHVHzt8Wf2b/G//Ctdag0rXtJk&#10;8m0M6Ws8L7H2EPjIBxkLXU/s2/AnxP8AC241a48aSadM16kIgWxkZgm3cW+8i4HzDH0r0zxvELjw&#10;dqtvnHmabMvA6ZQitAJ6VhRwMaM/Zx+H7+4OTbuzF1DTtLtV+2nT8/Mo+XjGT1rN1vVbNZpNPvI7&#10;oJGf4Zs549K6HVoTPbSRZ5Kj9DXKeIoGN5JOV+bgn34rzMdL6rWlTT6J/i0aRV7MpT2nheWQD7TN&#10;DuXkMvX8qmg8B6dfxeZYzo6lcqGBo0OKFtUt5ZrcMu4jaceldVperW9xarJBbQxryqrvAIx2rlwM&#10;VjG+aok09jSVP3bqJ4T+1J4JTRfhp9plVsNqEa/Kx2/dft+FfC37TEVta/AHw7JbR/N/bDIx9tsv&#10;+Ffo1+1gsmq/CxtLiWNjJeRkkMDsADc/59a/Pf8Aay0a4tf2XtD1ST5Y/wDhI2iH+9/pAP8AKvrM&#10;vaofu07u/wCZ5uIjKNRXR2H/AASxvW/4V544Tzf+Y5Yj/wAckr690K6YLhWr4i/4JP3wl0Xx9Dk+&#10;Wt5pbL/vFbnP6CvtPQpNw+Rq+gfvRRly3Ox0y+ZcfPVi9vHNhL8/+cVjWMjgqc1fuHH2GQZ/hrjq&#10;R7Dp8vNqUrOVdgL9c/LXU2t27WUS7v4cVx8auyKq+tdNp0hFqseelTG+x1S5Zalwtjq1VL6Uq+xW&#10;7VLcfOowKqzI2/pVy+EzVhrOzdTTNq+lO2N6UbG9KyE9BUA2YxTNi+lSqCBg01kyciqIt7wzYvpT&#10;0UY5FGw04AgYqShy/Iu5aliZimc1xnxU+PvwS+BmnJqfxl+LHh7wvbyf6mTXNXhtvN5/gEjAv/wE&#10;GpPhR8ffgn8dNIk1v4L/ABU0DxRaQMq3EuhatFc+SxGQrhGJQkEHDYODVcst7FI7mE/Lz6U8EjpV&#10;eO4jZeD2qSOdW4wasknSTHepfM/2qrBs9BT/ADB6GkFmTeZ/tUb/APaqINnoKUnHajUdmSbh61HM&#10;3PBppkA7U1pFJ4oCzBmbHWoXHGakLgjFRueMVMiojSM8GmsoAyBTqR/u1IyNlVvvCk8qP+7TqKAG&#10;+VH/AHaPKj/u06igAXggCpKjHWpCccmg0CpA5x96od4pwPegCbew6NR5j/3qj3ijeKAHUFQeopu8&#10;UbxQAFFx0pmxfSntIApNV/taf3GoAkb5VwKryMxcjNTCZZRwKglOGJoAifvVWb79WHcc1XkYM+QK&#10;yk0VEjl/1Zr8T/8Ag4y+MHx/+I/7QXh79mLwKf7Q0eGNZdN0bSbFzdTXjjDGRyoPpgKdgHJORX7Y&#10;TH92a/Or9oXxz+zv4R/4KLeKta+I/iGzh8Ttptjp+i26aXJLJFCLdZJHLqrBWYyKuSQcIB0Nc9WX&#10;LFs7MLR9vWUO7PzF8F/8ESfjp4isbPU/iT4ph0maZPMuLK3tfOaJccLv3AZ9cAj69apeLv8AgjD8&#10;QtJ1X7LpXiuN7deTJPEc/lmv1U+Kvx1+GXw78Nf8JBq1ze3SsuYINOsZJ5ZvoAP5kCvIvCn7UHgf&#10;4r+I/wCyNM8L+JLFm/5aatpJhTpxySev1r5rMsfjKVJzpSXpofZYDKctqVOSpH8Xqflv8XP+Cc/x&#10;P+FEDXLqblVUmRl4UDHWvFpPhprFm2y4syrBv4ua/bL47/BfVviV4Tax0XaJ1U+WG6OCORX55/HP&#10;4T6f4eFxZXMbQ3Nqzi4G08OoI2/nXn5VxJWxD9nUabDOOHMPQXtKSaRpf8EYf2gPHXww/bl8EfC2&#10;88WatBoOpauwurHT43mMrNGuFwASEYxRb8FQRGpYkIoH9Idq4ngWYrjcM49K/lm/Y48P+NL39u74&#10;b6J4BsZrjVLvxZYi1EMSMwQyjey+YQvChvmyMdc1/U5FkJivslLmimj5Ll5XYbRRRQEgpQxBpKKC&#10;D2oLtalZd3OaYJV6hqzb/wAd+C9KumsNU8WabbXEeC8FxfIjrkZGQTnpWFHERrrlucruT6toq6nb&#10;Nbl9u7nPpWNB4AjgTZ9tP3v+ef8A9eumWVNocMCOuR3oFxCT939a86tgsFKrdx/EOea2MVvCKQxS&#10;RefkNz0xWpplsljZR25fO3pT5p1L4DcGjzUI2gf8Bq6NDDYeq501bT9SW5S3JxKCMrRv4qDLfwoB&#10;So4Aw4/lXX9cJ5Sv4iG/QryM/wAdtIv5qas285njjfGPMjD9fWqXiCRf7GuQo6wsP0qfTdw0+Hcf&#10;m+zp/KojiZSrN+QiW4gZw3Nc7quk6jdTuqQ7jt+XbXSK2V+c18jf8FG/+Crngv8AYh1fT/hH8Pvh&#10;vqPxE+KWuWTXOk+EdJbalvDnaJ7qXny0JzhQCTtOdgIauXGYWGMqJvfb5Fwcr6H0PFoWv2m2ddNY&#10;sJAcZrf0jw1pMdkhmscSclw3qa/HSw/4Lo/8Fc7C/uJfEP7JPgr7NDIx8kaFfvIi9QpeO8wSBwTt&#10;59B0r079lr/g6F+AvivxbH8OP2vvhNqHw/vnmSBtf0uRr2wRz1aeIqs0C9MbRN3ztAybwOS0cNN1&#10;L83ldOxvUliIpJ3X3o/Rv40+GrKfwDcvZWcayJJG24dducf1r4C/bn0mW0/Ys0K9Kt/yOTocdB89&#10;6D+ORX3p8W/F/h3xb8Abvxt4M8R2epaXqWlxXWl6ppt0s0N1C+1o5Y5EJV1ZSCGBIIORX5o/tga3&#10;fzfs82mnNqczRr4umZYWlJUHzLrnH4mvQoqP1mKj36HnVpSlUXNuaH/BJ2crZ/EG3/uy6Wf/AErr&#10;7V0KQw87q+Hv+CUMp+0fEFQ3/LPSf53Wf1r7X0iXKbC9fSR+FGMTr7OYHvVu5uxHbqc1gWl04ZRv&#10;rSVvMXDHP1rnlHmkSviJAjb9yfdbmtqwkdIhuNZNvJg7cdq0o5hHHvPQVKhY6G/dL32nPVh+dMkl&#10;LHIqgtwrx+YPlot7pXQkS9/WlOyje5lrutS9vNG81XWU7h81SbyayLj7xJvNG81HvNG80B1JN5r5&#10;X/4KU/tOfG3wNF4V/Ze/ZKnt4fih8RLiRoNVuoQ8OgaRBj7VfyZBCn5lRCQcsTjLBQ31JvNfO/7R&#10;kfww8IftD2XxF8Va5HbazqnhBdIsBNGxCwR3Uk0gDAYQuzx9SN3le1ZV6ro0ZTXQ68LR+sYiNPuf&#10;D9n/AMEPbvxr4mbx5+0f8ar7xVeTXDXF/NJeSPJdOTks7udzsepYnJryn9t39mCz/wCCdeqaP8ev&#10;2Y5tQ8OXErfZrjUNL1WaGSIMuOqODg45UkgkjI4r9AvGXxx+H/hm0Rde8ffZ3kO2CCG1lmZuPRAc&#10;D3PAr5n/AOCkPhvV/jT+zXqljoO25+zgXsMecl1jG7g+pxXzzzeVDFQlUm3FvXU+x/sGnPBz5Y+8&#10;ldC/8EuP+C5vxH+Jnxp0X9nD9rG8s7//AISK6Sw0HxVDZiCZLxjiKGdYxsZZGwgdVUhmG4kEsv6x&#10;wuAd3rX8kvhrW/EHgz4iaXrGnvLb3ljq0NxZtDlW3o4cbe+4EcEV/WhYXRubOG5f5d8Snbt74r67&#10;2lOtHmjsfFVKbpS5WrGgrY5FO3mqol44ejzD/f8A1qeUguRuaVnOOlVBM69JKDPIRjzKOUCTzEzj&#10;dTsj1qH936j86/Mj/gtL/wAFnPE/7M3i++/ZF/Zh1CO08Yw6fHL4o8UNhpNHSaMSRwQKw2+c0TpI&#10;ZDkRrIm3LMSlRp88rIVz9APiz+1N+zb8CJ/sXxm+PHhHwvdNCZorPXPEFvbTyp/eSN3DuP8AdBry&#10;rwj/AMFdP+CcvjrxivgXQf2qvD/25n2LJfQ3NralvT7VNEkHPb5+e2a/m+mtvjF8cfEF3qi6frHi&#10;jUtTnkutQ1C4LTyTSMSzyySvkkkkkkmua8V+APij4UQ6xrHhu+sY7dtvnNvCpjpyf/1VM/q9OXLK&#10;Sv6mqo15K6i7eh/XlDPDcRLPbyq6MuVZTkEetK/3a/Ab/glp/wAF9viD+znZ6J8CP2gZJtf8FWIN&#10;tp97Ed95ZIzgqMs3zRRjhVByFOAG+UD94/BHjbw18RvBum+O/B2rxX2l6vYxXen3kOds0Mih0cfU&#10;EHnkVk1YzNOiioXZg5AY0gJqKg3v/eNG9/7xoAnHWnP0qsHcc7jSmWQ8F6CuYmqQdKqb3/vGlE0o&#10;430BzFqiqrXEq8+Z+dZOtePdK0S9+x3SSMyqC20DvWVStToq83ZeZrTpzrStFXN6Ryi7gKiN0/ZR&#10;Rb3lve2q3ET5V1BXNMmKA/KRWu6uQONzIRjC1F8/tS7h60bh60ACvIvTFRPM7E5olY7+DUUh+Q0A&#10;ObkVX/iP1o3H1orn5epUTM8T3+s2doqaDZW9xcSSKu26umiVVzyQRG/OM4yMZr8z/wBvHSfj7qv7&#10;Supx/DLS/DdxZ3LDzo5rIT6hc3KRBCEl2xoqllC7Tg/LnPIx+nV1DFImZB+Nfn78cviZqfhj4va3&#10;p+l+GDezafNO9yyRp5gbzdoOWIPQseDkn8j5uZVOSmo9z3MloqriG+x4r8RNJ8Zf2zH4a08tazab&#10;psaR6xDawzRySqq7mWIuSWLFiOoGB34OV4E0T40JZCXxR46s/EVxGwaaS80JbV1G4/dCHCkfLwMD&#10;G7rkCrGqfEbxj4v1OSSy8B6lpF3b3MbW93cXUbRTryGDxkZHQYADZ9R37Dw147e4t/suoQRx3e79&#10;7HFEFGcdeAK+MxGI5qMlKNj9Gp4OnGSnCdzsPBWi+M7+zie/8TW0UbMFX/iWHzN2PUuR+hx74yfm&#10;HVv2PtQ+Nnxg1mPWPEN/An2x59Qv5I4PJjj3YGEMeM8dDnPOa+y/hzcQ6lpYcw/Mr7t22sjVfC9z&#10;oeia62m3FrDca9qqnzLhTiOFdq5OOoGWOOM18A8wr0cVJUtNbaHsVMLHEKFOWqv1PLf+Cf8A+xV8&#10;Dvh7+3X4Z+K6jVdQvxoWof2DdSvamycqOJhHFCmx9hbawYq2Sdor9RIySuTXzn+w7+zo/gOxXx/r&#10;tk0e63kj8PW8sW0w28pDPJjJ279qgc525PG7A+jVAAwtfsHD8cYsti8S7t7enT+vQ/OeJY5fHNHD&#10;CKyirO2zlrf8LL1GUUU1yR0r3D5uXwjqKj3H1o3H1oM+Y77/AITexU5a4XH+8K+ffj5qQn+JmoXC&#10;3HyNbwnd9Ixk14ra/tQ399qn2FZ5OJPl5r5U/wCCrGgftRftUeMtB+F3wh8Zro/hu08PtqPia8+2&#10;NF5oMgijSRVbfIueAo+Vyx6lOPH+rfVabnKWhw4Ws8RPkW5+1fh/UvtWgWV1v3CS0jbd6/KKsfb8&#10;9BmuN+EF5cf8Kk8M75/MP/CP2eXI+9+5Xmt9Z89TXn/WWpXNpPl3NP7WG6ipI7jHFY8lzsbmpEvC&#10;D1qXiJSkK8TXF0Bz/Wmvdc5rM+2+1Ne9+XpR7aQ/dHeJ9USDQbyQjlbaRlx6hTzU3h/UpLjRLK4d&#10;9zNaRsze5UVgeKLjfoV0m7but5Axb3Uivzw/4Kgf8F6fCX7EGmR/Az4A6Fb+KPiHDp0P9oSXjMLH&#10;R9yAr5m0hpZCOdikYBBJHQ9GHjWxE+SJnLyP0r1DXfs7fLMvOeK/Kz4nWGgfD79rn4j+Ofid4ghb&#10;xN4u8TSf2bqF7E7NFpcfy29urkbUAXA2gjcAODgV+b/if/gv9/wU58V6rLdXn7QAsI3m3ra6boFo&#10;kcY/uDKFsfUk+pr7K8IfHKf9sf8AZy8C/tI/F/x9JpOs6naXMGuNp9z9ngd4Lma2DMpO37kSuecZ&#10;OcdBXZiMLiMNTfNaz00Z6uR041cwin6nuS/FbwVpUg8P3/j3T9LvJCBFHNdoshJ/u5PXtXwX/wAF&#10;Lf2Ul17xpb/EXwXBDtkTZcXSnInfnknucfyr60vPBvw38Y+OtMvPA3xZvLaGazdGTTLuCSK6KBFO&#10;4ENskXOcYGcnpitT4m/Db4eah4ITwBFfXEy3MoV5b5g0itn72VUAc+2K54V6mH5WtOh97Xy+jiaL&#10;hLrsO/4IKfHTxTqX7C3xT/ZY8WSXU3/CuNQt73SrieYtHHaX5lIt0B5ULLbTSY6EzHHeqv7V2qQ3&#10;PwQiaP8Ah8VTf+jLmvUf+Cf/AMMpvhR+zz8WNTfwRb6T/aFvp9vJNFbhXkeB7khWcAGT5Zt4LDI8&#10;09sCvD/2jNShufgyLZif+RmmP/kSevRy2tHEVXUSt7x+Y5tg5YHMHRbTt2+T/A7f/gk7eKbvx8ux&#10;vmh0s/8Aj1z/AI19qadcJFJt7/8A16+If+CU9yp1jx5HAPlNrp3X1Dz/APxQr7W0tjJJzX1cfhR5&#10;9rbHRWl0CcVs29xvXOKwbJfmzWvbNjio+0Y/aNKEMTvUir8Tjytrc5rMt5WC8NVTxp8RvBHwz8Pf&#10;8JJ4+8UWel2e7as13MF3vjOxR1dv9kAmolKMbuTslvc9Cjh62KqRpUouUpaJJNtvsktWbN46x2bR&#10;pwdpP1wK5Hw9dT6h4xJWZvLjs2LruOMlgBx/31XD2v7dP7NHivW4/B+hfEqH+0rq18yGG6tZYQMs&#10;V2szqArcZwccEHuK7nwHCUu766B3bnSPd7Bc4/8AHq+fxGJoY7MKMaE1JLezutNeh7eKyHNsgw0v&#10;r+HnSctueLjdPS6uldHZxSfdAB4qbzm/vNVNJmBUZ+9UyEnrXuezpvY+bcpEvm+5o833NMoquSI0&#10;P833NfNn7dHwyh+KevaLp7eJZtN8mNVZoZNvmguxxj+LnscjPavpCvnf9vjwxcjw7pPxGt9Lur6P&#10;Tbhra6tbWYxsfNI8tsggjBB5yOWHSvPzKnfBysj2MkqRjmMOZ918zwb4n/s96ZeeMoU0D4i3WiNH&#10;GsU1vDLF/pPygH/WI2MZDYXBzjnFS3fh7wp4I8NN4ZvPEFxrQkjKzS3ipubIwR8oA6E9q8Z0xNei&#10;uLv7H4d16/maYvJcarrXmtZDP/LMGZwvrgAZrctPG3h6zttl3q8k8+3b83OGr80x1eMYuCifrWFo&#10;y5ld3ML4Ffsk+Cm/aB8O+DPBfgmxvNNvb62k1j7RYrK0qfaVcq+8FSiojttz1AOMgEfrmzoiLCi/&#10;dr5d/wCCcml6TfaJrXiR7RTeLNEkMzfeSNlJYL6AkDP0r6dzmRq+24Xo1KeXe0lK/O7+nQ/POLsZ&#10;SxGYqjTgoqmraLdvW5Kj8dKdvFRq2ODTq+kufKDt4o3im0U+ZgOMgAr8Q/2rP2MvAXxO/wCCh3xo&#10;+Jvxa0HxZqXh2+8ZWM9jPo1jtjmtRp8BZvMmKgw+eXiym7cbVgvAzX7cttYiJxw3H6V8Df8ABRX4&#10;S/BV/iDpI8TfbNNsfDtnD9lsdKRhCd0jyMwhjUgn95nKoWB3FQSxzx46bjh272PQymg62OjFK/W3&#10;oef+E9f/AGdvhjpWm+Gvhx8Nlvo7qEC2K3lvbiIYHO6QAE89ACa85/a18J/Db4mfA/xB4Vuf7K8M&#10;3V1YSra/2xqECKZOqkS/KGB4HT6V1V542/Zb+Id3a+CfCuiapqFnpdrBbLcX2jykQokeN/mzRGMk&#10;8BsHIyOBiuni0b4e6eqw+F/COn2kMUPkg29uBvTczc/UsTjgDPAFfn+cVsPGkp/aT07n6lluFxEm&#10;4tLlatZn8/fi6x1jwlqTDY0a2twU3YIwwOM1/Tj/AMED9Y8Tat/wSo+Fuq+LJZJJprfURbtMTu+z&#10;rqV0kY+m1Rj2xXxf4q+BPgDwf4wS/wDBXgHT7KPU4NQuNVvrGAJMsrquwMQPusd5AzyV9jn9VP2Y&#10;fhHpvwF/Z28E/BnSNPjtYfDfhmzsPIhHyq6RKHx9X3H8a+l4fziWaRqLlso2633PjOJshjk8KU+d&#10;Sc76JbWt/meg/al/u1G8uWyBTKK+hPkBwfJxinVGCR0pdzetAD6KZub1o3N60APopqv2NV9S1fTt&#10;FsZdV1jUIbW1t0Lz3FxIESNR1JJ4AoNI05TkoxV29kt2WSyqwyufSvMPGdybzxDdunecRqPXov8A&#10;Su48J+PPCPj/AEBfE/gzXYdQsW3KLi3JwGXqpBwVI9CAa8/sQ2oeI7OJ+fOvlLfgdxr53PpqdOlC&#10;L+J/8D9T3stw9TD16iqxcZRVmmmmn5p7M9QsiLW0jtwv3EAqRpQxzio6K96LtFLseO4xbuO3ijeK&#10;bRVczDkiJLMFbGKjknGz7tE/3/wqKT7tLmYcsQ3inA5GajpjzOjbVpGIT/6vBr4Q/b58P+LfBnxc&#10;vNW8Lzw2Mes2jXklw1iJi4VQrBQSAWDckEjhu3Br7qkkcrgmvPf2jfhPF8W/hteaLZaZazatbxtN&#10;o7XTbVEwGNpbsGHynsMg9hXFjMP7ejbqtT1crxSwuKUpbPRn5Jp4v+KfiHU5n0PxfZyR72WSbUND&#10;EIQ57Kkzbv8Ax3Fd14CuLvTI421+aOe653XEcOxX+gJOPzrG+IN749+G/j668HfEL4V3WjahbSgS&#10;28kaqCp5V1Kkq6kchgSCO5rd0zWItYggP2QL5fO3FfmGb1MTSqysj9dwdTD4imnC3yPX/BXjuLTN&#10;N2L95vau38PeEJPi9rvhnwzdwMbO8162m1IxyFS1vCTcmMkfwyNCkbjujsOM5rx/w5cR3VxGkcHy&#10;r96vZJfjJo/7LfwxX4zeIo4Gm+0W9vo2n3TbGvGkkXzAvIIxB5hDYIB5OQCD83k+Fq4jO6blDRST&#10;l6I0zavHD5bUknZ2svV7WPseCFYIliQDj0XFPrlvhD8XfBHxt8D2Xj/4f60l7YXkedykboZP4o3H&#10;8Lqeo/oQT1I6V+5Qs43R+PRpyhKzIwc801yCeKGbA2im1RlOXRBRRRQZn5c+CPGxutbWcPlS2Q1a&#10;d58T9Asf2ifFXgvU71VvNV+DeiSWwdeBHHqurmQg/wAJyYR+PtXkXw98TrHfRQs33m656cda+cf+&#10;CnPxq8Z/BL9rXwL8VfA9yss0fw7jtrm1fOy5iN9fbo3A6ghvwOCORWOPwjrYOUI7nl5TUjRxkZy2&#10;TP6Evgx44WX4M+Eri2fcsnhux+ZTn/lgldMviaaQfeI/GvnX9i34gr42/ZA+GPjGSP7P/avgbS7r&#10;yd2fLMlrG23PfGcZ9q9Vg1sooKvur5O2lmd1SMHVk4vqduNeYEAyt/31VyDWMrnd+tcKmt73BORx&#10;V621sBeJG/GpJUTr/wC1/wDpo3/fVEmtBYcF/wDx6uUbxAq9v1qC58RDytwZh9KlXexTjKO5t6tr&#10;6fY7hJJQAYWHzN04r8Ef+C4X7K143xwv/wBozwJZn+zdSgjj15WmGY7hEAWRQccMgAx6iv2y1/xC&#10;ktlLCzN8ykV8H/8ABR6b4SeBfhH9q+Il3Zx2eqRKoW6iUszMn/LNQPmIx1HI617mT0asqj5N1qFG&#10;ph/rCp1eul+z6H4ValpM1ldrE4+WRgFYjqa+3/8AgnV421HUfhpffAmLU7caxpd9NfaTFqEZkh8m&#10;dFztTcu7DqxIBH+tFfJPxCt/DVpCYrS+Nwsd4zW5j4YrnjJ+lbujfGTX/Bp0bxTpkUm7S9Ugubq2&#10;tG8lrqNTtaEv2yhYbu2c4r362W4zGUeWS5eqv36HdhcbRyvGKpHXp8mfpn4O8PfE7T9LkuvFj6Da&#10;20e1/LstB+ySbufn3/aXBx6bfWtiD4r6essdsomvpCcLtXdz+FeB3tn4xS5j1zw5rU3iPwRqiwz6&#10;Hr8FxMQUmhS4SG4jf5o5lSRcqcgnODwwX174b6B4F+Hmh6h8Vvjr4mTTNH0PQZtYXRY4287WvIwR&#10;bKcEIrsQCWwSuQvOSvzk8tx2Ixywqg+b9O/ofoEs0wVPLniVL3bfO5+i1j8evgx8WP2LNem+Eslv&#10;azaL5ml+KNG2otzpupwP5M8U6rxvDo2HBKuMEHHT89/jf4givPh19gEmT/bkp/8AIktfn74T/ap+&#10;OXgrxJrXxT8D/EW6sdR8Sz3U+tPauGhvDPI0kgkjOUcbyTyDgjIwRmu88C/t1eJPF2gzaF8VLW1k&#10;YXRkjvLKMozdTllyRnJPTFfXUOHauFb9k7xvfzPyPEVHXqKb9Wfot/wSclb+3PHuT/y42BH/AH9l&#10;r7j0aWMSAKfvcV+ff/BG/wAa6D4x1vxzPoeppKP7Nst0ecMv72Tt+Nfe+mSkS4B+7zXoezlTXK1s&#10;Z6nTwS7ZODXn/wAe/wBrDwX+z+YtE1GyuL3Wr2xNzY2aLsiKBtpZ5DwoyDwAT7Ac13MMiuN2e3Nf&#10;nF/wUd+MXhz43/EWzXwJrzR2um6V9n86TG2dlmlzLHjOUO8dQM49DXzfE2ZyyvLXUptKb0j+v3H6&#10;l4P8E0eNuLo4fF05Sw0E5VGrpLR8qb/vNbKzauaPiH/goj8aNL+IN94mtfinefZ7mY+VpdjCslva&#10;Lz8uJMrgdBx39a4z46/Gf4s/tKWMPjzxdr0N3Hpdr9ngkZRbrCoYsXAVQM/N83U4XHJAFeHSL8RL&#10;XRFtVhg1CEY2stnLC0memH2bDngZyBzVvxGvxTufCUHh6TT4tNtJXAt7WXUI2EjjPHysd3PPJ5Nf&#10;jNbNMyxEZRr1JOM3e19D+/8ABcGcM5XiqNfB4alCpBKKkoxvy2s0mkne3/BJ7nxDqWs6vDDaNH5k&#10;7ILi8+0MU4+Vwu5VIJXAzjuenf8AX79kfxX4Y1v4N6Dpmk+J7W/vbPSYI76OO4DOrrGqHIznt1r8&#10;V/CeqWUHhaz1Ga0+0XESzeXdXUIKvKrEO6bv9tSucA8ZHWvZvgf+0X4l0vTE1PRtRls5rRgI7y1m&#10;8tkYYPGBjH867uH84hk+NdSUbpq3ofMeLnhvPxCyOlh6NX2cqUnKOiabatZ7O3oz9mEYFwDVhHjX&#10;vXxz8EP+CpPhHxl4v0H4d+MdMtba81CSG2uNQXUcqshwu9gI8Dcx6ZGM19gCT1r9jy/NMDmMPaYe&#10;fMlo/J2P8/eLOCuIeDMbHDZrRcJSTcdU1JJ2ummyZnUnOaTcvrUXme1AfJrvcaj1SPmyXcvrVXWd&#10;H0jxJpVx4e1uyjuLS8jMc0Mg4YH+R9D1B5rxb9qH/goB+z9+y15uieJ9ebVPEaxho/DulYaZcjKm&#10;Vj8sIPB+Y7sHIU1+fP7S3/BXX9p/4wWUvhn4dT2ng3SJpNs0mjs32x4/7v2hvmB94xGf1z3YfKsZ&#10;io35bRfVk+1jTle565+1l4f+InwL8c3HhnSrzRdWs5sSQ3emzKLiFWzhJ48fu34J4JBGDxnA8g8A&#10;+HvEvirX2u9UjaNWk3NlePrWF+x/qmra58Nv7Y+yfaNGvvFmpaFeS78yLrFvBbXKN6kS20zqSejW&#10;fua+ovDXgbwZ8N/Ab/Ezx1qlrNax2L3q2dvMskSRICd80ikjjB/djJJ4bHK1+d5pwjiq2dSw+Gi+&#10;VW1eyuj9My3iWjRy2NStK87P70ea/Fz9rHXf2IPGvw48V+E/9MvJ5LhtU0N52QXWkNtVt69AZJF3&#10;RSYJVrcnBRiG/Qr9n79qz4HftOeG4/Evwk8d2d65gWS80l5gl7ZE9VmhJ3Lg8bsFT/CSCK/BP9pT&#10;9oKT4zfETWPjV47v47G1uZBDYxzy7VtLVPljiXPfHO0DlixA5qr8FfHPibSdcsfHXgbxLqWl3Vvm&#10;WzvrOaW3nj5OGBG1lJH061+m5fw/QwuWww8X70Vv37/j+B+f5hj/AK5jJ15faf8Awx/R4jds1MOl&#10;fmb+yz/wWE8deEYrfwp+0fYyeI9PXCDxBZxql/CvbevCTjpydjdSWY8V+iHwy+KngP4weC7Xx98N&#10;vEttq2lXi5hurZuhxyjA8o47qwDA9QK5sZl2IwWs9V3WxzRqQlszoqCcDNRrKW7U7ea4VFlhK5Kb&#10;19818S/8FNfA3i+5+JOm+JPBF1Hb6lqGhrBp895C0sEbRPJ5spjBHmMkbIQmRuzjIzkfbGf7wr5l&#10;/wCCqn7Rnwm/Z6/Zlu9e8Xrb3/ii6uI4vAWhw3ix3t1qDukKyQAgkrGJt0nG0qdhIMi1z4zDyxVF&#10;whvuvlqd2W4r6liY1H6fefGekfC349XSW/iaf4qW1xHBcBry3vfCK2aXCd1VluHYZHc7vcDttN8R&#10;vClknk225fmKFB0X1/WvnXUv2o/jxrmqfZ9WuJGssh9unxlVmjK5DjeehBHT16V1ngrUl1bR7zxh&#10;4iI03SdPtzdajqF9kR20YIBdyAeMsqgAFmZlVQWZQfyfOJYrHYiOHo0223ZJav5H7TldXDUqMq1W&#10;do2u2z6s/ZB8K/8AC0/2j/Dlre+INHj0TStOutbv9JmuE+3anNBJbx2oSMncbeKS4Msjr0kS3Rjt&#10;mIb9AhwMCv5t/Gn7fXxB039qHRfjl+z7f3Ghr4OZofDc10imS5jLfvWnj+7smGFaHLKEAUkncx/c&#10;D9hP/gpF8Cv23PhzpOp6R4n0nSfGkluRrngmbUVF1bzpkSNCjENNCcbldc4UgNhgQP1DJOH8Xk+U&#10;wp1I+9vK2rTfR+mx+TcQZtTzfMp1acm4LSN+3p5n0RRQrbhkUV2crPCsFFDHAzim+Z7VIrDsj1rP&#10;1vxX4X8NNAniLxJp+ntdMVtxe3iReawGSF3EZIHpVxmABY1+fP8AwVP/AGhL3TfjTo/w/iv9KWx0&#10;vT98LQ3MElwLiZwJBJtYvEoCR4RwpJDEZBzXm5pmVLK8G689dkl3bPuOAeD8RxxxDDLKc+ROMpSl&#10;a9lFPZddbL0PtTx/+0V8GPhx4dvPEev/ABF0dlsoS7WtvqUUk0h7IqBslieP58ZNfnT+0X/wUa8a&#10;fG7xNb+FJNOt7XR7W5lnt7Kz3RrMP4BKzsd7KB94BR1wvOK8R8a/8LP8TahJc2UW62Xj9/fRhVI6&#10;/wAWM59M14l8Zde8dfD3xdY+Jtd0T/Q7cLLN9luUYmPuxAOevcgD3r8tzjizNMytTox9nDr1bP7K&#10;8OvBHhnhWo8ViqixFfeLaS5NOkU3rru/kfav7P8A+3RqHwW8PeKtM0vUtOuJPEVisUHlzuPsE4Dg&#10;TJuUCRgHOV2jJAO44xWN8Mf24Pjb4K+JGnalD4xZrBtXU3Nvcw+ejRnPmfLI2Q+DnKkZ9R2+VtMl&#10;0/x34k0O78HiKex1yQxtuYgxS7WYg4yV4BP4V6Bonw48ZaBKrXni63gj+5cR2sTSOVB6pIwGDjjO&#10;OK+deaZny01z2jTei263+Z+iYrgXg2TxFSrSjKpiEufmjdu0VFNaOzS8t9d9T9drD9t39m/U/Fdj&#10;4QsvHbSXOoMqwT/2bOsCs3QNIUCp6ZJxk4yK9YWSNhlWr8MfEnx38Pad4lg+H+hXqosM6fbpvOLM&#10;WyDtZs5Lep7dK/S39mr/AIKZfCP4w6vpvgjWtFuvD9zeSx2Wn3V7dCWKecADYzkKVLN90kEHPJBx&#10;n9MyHi+jmUnTxTjCV0o7q9+mvVfK9z+SvEbwNx3DOCpYzJqdStTtJ1L8rcUrNSsrPVN3STta9z6i&#10;3L602Vht4NJzTXPbFfbH89EchJPNRu6hSN1LNLsfG2oWbc2cUDSAO/8AeNISScmiigXs4jXPFRyF&#10;VG9u1cn8Z/j78IPgF4fHiH4s+ObPSYZN32aGQlp7kgZIjiUFn6jJAwMjJGa+D/j5/wAFkvGviDUJ&#10;9H+AuhW+g6erbI9W1SNZryTn7wQ5jjUjsQ575B6Fmxctnoehf8FIfFHww8W/FXS/h3axRP4q0/Rn&#10;u7qTcCTamRQEPfILbvYSV8p6vrK+FosqVX/gXvXWftY/Df4heKv259N8e/DTxFY6/YNpzWvjC+h1&#10;aJ20sPaeasV0qMWidnjiZEK5cfdBCuV7L4Nf8KY8GWt94hnSTVPGVhMpjutTtf3VlGQxSa2UFlyQ&#10;pPmMcrtGFXdz8vmWTvFYpzb06n1+VZtTweDUZb9LEfgbwmnhLQJPib8d5X0XTbO1+1f2TcMY5XjH&#10;zF5/4okxwI8b2z/CMZ+Mv2q/2xvE37S/xCl103MtroOnb4fDulH5UhizzIV6b2IBPZRhRnBLS/ts&#10;ftb+IPjb4uuPh34Z1S4/sHT7h11BmVlN/cBiCWzyUUjgHqckg8E+DXM0Wn2Utzettjt4nkmPoijJ&#10;P5CuzL8jpYeneMbX/rU5cXm1XFVOab22XRHsv7Of7fvxp/Zn8TyP8M/FUlv5rKuoW80YmguF4bay&#10;MCAcfxDDAHAIya+6Pgj/AMFw7jW2gs/i98K7c+ZKPM1DQbhoisf/AFxlLBm/7aKK/J3wPZfbLFNV&#10;uH3SXA85vYtzj+n0ArtdM1j+zwPLY5T7uK9WODlFaHnVMRGTu1c/eD4Tfttfsx/GNo4/C3xUsbe8&#10;bBOn6u32WYE/wjzAFc/7jNXq7yxThZImDKwyrL0Nfzv6b8QZrOVXEzK4bKsrV9Afs7ftz/HH4LeW&#10;3gfx7MdP83dJpdz+9t5OmdyPnk/3l2t6EYGMq/Lh/jHToxxHw7n7OPxyDRk+teQ/sk/tdeB/2qPB&#10;zahpURsNas41Oq6S77imePMjP8UZPGeqng9ifXhWMZRlG6dzlr05U58slZn4x/BXwVrPjTwvceNt&#10;P1W3jjtJLlGt5i28+TFHI5GFx92QY565r43/AOCrfikah8T/AAdKJGZl8I+W59cXUxB/8er9D/2c&#10;vgz/AGR4Th+H2h/GnwJql5qL6rcSLY+IR5kaz2MKIDFjeSGiOdqkCvzO/wCCmJkh8TeGI7meKSa3&#10;sby3kaGTcvyTDoe4yTj2r0Ivm5l2PBw9NRjGS63Oh/Y9/wCCzX7Zf7Jc+l+FrLx6/ibwdp/lxf8A&#10;CK+IlE0SW6gL5cEvEkGFGFAYoCBlT0r94/hv+1Z4S8f+EPCvjDSLOb7L4s0S21Kw8xvmWOaMOoIx&#10;1ANfyti42uuOzcCv2O/4JS/tla98YPgn4L8J+JfCWyXwfGuhW+oWbELPDCgEe4EnDBGGfXGeK8nM&#10;MJTbVSKtbc6ZSlE/VrTvFP2r5hJWtZ61lseZXl/hjxBbXNusoRlOOfmro7PWF6B+/rXzdaPLI66W&#10;yude+tjoJKr3OtfuuH9a519W681Tu9bKJjd+tRRjzSsXU+E0NW1htjH73B3e9fhb/wAFjv2qYPjf&#10;+1FN4c8L3N9Fp/g/Tl0GS3urjK/a4JZBPKiAkLuYhc9Ssak4JwP2g1zxH5FvJMxb5VPC8mv5tPj3&#10;40f4ifGvxT49VVX+1tdur07T/wA9ZXfJHY89DzX2fDFNRrym+iPMrwk6l+lv1E8G6Jc+O/G2ieCY&#10;L+G3k1fVrayW6us+XAZZVjEjYBJVd24gckDitv8AaT/Yo/av+Gvhi/8AiT4u0ZT4VsdcfT7bUbG4&#10;CLNGP9VdCEkSiCXPyyMMbvkJDEA8Bp+qXlk8erWE7R3FrMssMiH5lZTkEfQ1+03wb0v4S/tU/DOQ&#10;eLbKS68P65okTSfaZXZZbO5jXbEEOPKKhA6kAMr89QMe3nWPq4SpSdvck7M+gyXLqOa0qkJytKK9&#10;37nufN//AAQH1xf2jdP8SfsyfEBxealoqRanpwuZGZrmxLhZEPGP3cgi5Jz++HZK9Y/4Lz/s9fHV&#10;Phjpfhv4OeHFulure8vPEqaZdQxSx2FsIsRpEzo8oLyglYlZsR8jB58C/wCCfFtf/wDBOb/gtFpv&#10;wvF2t5peoXFzoC30y/NdWV3CJrV+w3mRbcNwQG3gdAa/Uv8Abju7fXPiDZ+LbWaGKbS7FraSO4hD&#10;4WUozIARxkKPmGCK7sVi6eFymWIitWkr9WrrS/pc5MtwlTFZksHVbS1v2TS/zsfzWeD7Xxb4OhW7&#10;8P6rKkUy5eCQbo298H+mDXe+GtRuYLLz7uT99IxdtvQf/Wr1D9uv4Y6X8Jv2ide0XQLS3t9Mvtmo&#10;6ba26kLDHNklAO2HDj044rxj+0xFbEE/rWmDmpUIzg7ppNfM4sRSdKtKnLdNr7j6S/4J2/tZ337O&#10;v7WnhvxlDp0V3a3d1/ZV4lxc+THHFclYnkL4OCuQ/II+Xt1r+gvSZiyLKWzuUHNfy1+EluIL2G8+&#10;Zm8wHAYgdfbn8sV/SJ+xZ8V5PjR+y34F+JV1cma61Dw9bjUJCwJNzGvlzE46HzEbjtUVnKUrs5Xe&#10;2p7ZbXO1c+3fvX5X/tGeHvg34X+O/i7QruSHT4rfWbwK8tx5sVp++dhE0QbYqBSFXAGFXHav1EtJ&#10;dw2k18Of8FPfgx+y78Ore2+IieGdN0/xVr+oTS3zCxaVLiNyPMuJADwRIwOFHz7nJHy5HwfG+Bli&#10;MsVWLS9m7u/VbWR+9fR54ioZPxhPBVIybxUVCPKrqMoty5peSV9baddD5cOrT6zaWVhpfiq1urTw&#10;7Iy3sNmoTzWiO9QoB6FSvB6AV5v8QfHniXxDrH2vT5rm6t4JFzbrC21EBGfuj/6/NU/F/gq71bXo&#10;T4Z+Imlwwwxl0udN1JIWJCk7EijAOTjHJJOe5qn8G/ivqnw205/DV7ZWusL51zdyLNIDcSZbJO7O&#10;44GThhyF4xX5Dyc1m2f3tTqSpVOVJet7HoHh6DUtft10W7ia3kgaWTTZt++3u7dn3Agg8OC20qQC&#10;cDjnjz7WX8eeHPFOsf8ACMW27So7lbe6uIX3JbMyqSuPq2O/vXo+i/CTSbHWb7xfe6/d3en/AGb7&#10;RNprTFIFmJJJ2qQMY4HUnPPaszSrzwfpusR69oeom60i4yLi3jlMqpnqB/sjPHQVm+WMrHZTl725&#10;7V+yY3inwDZ2uufC7w9Y3vjTVLuL+wby+tYppYGj3F9onBjBI6NgMCMA4JFfqp+zx4g+JGt/CvR7&#10;34sx+X4ikslOrLtQAS5OfufL0x0r8vf2OtD8RfGH9qvwRpXg9WOiaTcLer9lG5JYYZMzOzZwFzx7&#10;lkA5Ir9YfDei22gq8cERVW6/MWz+Zr9S4JUpYCdlopWWm+iP4M+kpRow42o1IzbnOknKLk3y2k1H&#10;Ru0bpXsrLqbXny/36yfiB470z4beA9a+IniKRhp+g6Tc6jfbBlvKhiaR8e+FNaXnLnABr4t/4Ljf&#10;tS3PwB/ZWt/AulCeOf4gai+mXl3FGSIbFE3T5I+7uLRpk8bWccEg1+kYaKq1IwP54PzL8f8Axb8R&#10;/FfxtrXxN8YX/n6l4i1ae+umJ4Uu/Cr6KqgKB0AAHaqcUhkt1kddyqN2PSuJs9Ut5Le1KPuXKlWH&#10;Q5rqvF+qLoPgTUtWhwGt9NmkbccdEJr7SUoxpadEcM/eq6H1F/wRE0Lwd8afgt48+I3jPxHZ2cPh&#10;/wATXNnqu5khEWmiSW9W6eQn93ucurvwGjtVDZ2Zryz9q/8AbpsP2ivHurfBD9nXUJ1+F+gzAXWp&#10;qWRtfuz2XIBW2QgkDgudrEAECvzo8D+NPH2j+EL/AMG+HvFGo2em69HCuuWNvqEkcF6I28xPORSF&#10;lCsSw3A4PIxX0h8FdBsPBXw5txcOITJC13eSStgLkbsnPTCBc/Q15OHqxqS0+Z0cslK9yx4zutL0&#10;mzs7SXQLbVL6S5CaVayQqzLL1LhiCVCj5mI7cdSK7Hw1crpNr+/2mZl3TKvRW7j6CvNLjxGunTye&#10;PdQjX+0NRj8vRLUg5trMn5XIPIeT75zggEA9Kbq/iuTTY7TQpJ9s16xluJGfG2JRljz6/d/GuqNS&#10;nFmMlzPlR6F8QPjPofgHw9/a+qXO0yf8esa8+YfX6ele6f8ABEX9vTx94U/a70vwRrWu3EXgvxtd&#10;HTLmxuWbyxdyD/RplXOA/mhI92MlZGHpXw9q3ir4Q+IfE6ah4p8Q3l9PH8tvptrHuUN0AXB6V6F+&#10;yj8S7ST9tz4T+F/BmmrbQ2vxG0Vpv7xAvoeCO3Irz8VWnWupSXLtY2pw5baH9OpLBsKMV5D+17+2&#10;x8Fv2MPBMfin4qatK13ell0jRbMA3F6w+8VzhVVRyzMQBlRyWUH1mKRmLFx71+Cv/BcD9s/RP2hv&#10;21ZPCPw41XUrrQvAen3GhXEd4gW2/tOOab7RLBtY5RiIV3kAv5WR8uwny8rwf1zFeznpFbs1qycY&#10;3R+h9n/wUX8d/HqyuNN+E3ibRNGYWrRy63aTQXlpBJLGfLbfMNjOjDPlkHcN2a+B/wBo3xTZ/sH2&#10;Q+Of7Sk+pfGzxx4m1Swit9Y8SSPPZW6+Y1xHbWEkwlaBF2yMbjBYsAFRFYq21+z/APDbSLv9jzwL&#10;oHiPSvFarbx3M+pabpM/kQags1xKUeZlXzQCuxgyOnAXJI4PqOpXPhL46fBS/wDgR8U/AWjab4d1&#10;a1az02HULeO4msT5bItwhBYI6MQysDuBAOQRXw+KzPEYPMqmEjUbp8+u12ou1r9F3P0/A5bg8TgY&#10;1o0oqooO3a7W77vt2OSsbX4MeP8A4ZXn7Sfws8U2uueA7yaS60Ca1kja8t43HmvYTRAn7PNExZNr&#10;nYqqDuI+Y/nj8Yv+Ck3ib44Xsnwx1Arofgq11V5NEs7L5Y5GxtWW6bAaZ/vbXcnYJGCqgZhWf4A/&#10;aw8Xfspfs8fGD9j7QtJ0vUv+Eh1WTTbXxbYTNvgVJ2huAm5T5kEkQm2Y2MrSlsnJWvBdF8EwXVk1&#10;5fb9hJSOP+82P5CvtcDk+EwNeOJwkPfkrtvWyaTsu17+p8DjM0xmKpfV6svdjpZdWurPZLqWWxEJ&#10;ilVmuJAIGBGCOuR68c10fhHUtR028hmt72aFoZlkSSGQqysDkEMOQc45FeafC3wbqmn3K3moX0k0&#10;VvD5dnDI3+rB64/z0r0R72z8P6PNrGqSrHDDGWb3+lfaYOnzw55K3l5Hkv3dD9F/2Nf+C53xt+BF&#10;vB4O+PTzePfD4VVt7jUbzGqWq56i4OfPXrxKGY8AOoGK/Vb9lX9q/wCEH7YXwvT4p/B3W5ri1WZr&#10;e/sryHy7mwuAAxhlTJAIDAgqWUg8E81/KdD8QfEusTza5Fpc11JMT9li3GO3t0HTLdZDjsufev0w&#10;/wCDaD49+PvD/wC09r/wc1TWYbjTfGPh95ri1jjTMVzZsZIXz1UCOS5UjPJdcjgEfPZtTwVZOdKN&#10;peXY2pSktGfuRvc9TSbm9aY/3abXy0tzoK/iLWItB8P32uXME00dnZyTyQ26kyOqKWKqB/EQOPev&#10;wb/aR+Ilj4q+KmpeJvAevXl1cancYtV1GNHuUYnAZpMKGPGWcqvfIGM1+4nxqutZsvg74tvNA064&#10;vL6HwzfvZWdrGXlnlFu5REVQWZmbAAAJJIxX4bSeHLefxpcXU3hlrfVZpzHdLJCVNvGjbnwh5R2I&#10;+bPYdsmvznj2p/ApvZtvbqrH9Z/Rgw0IyzLFfaShHfo+ZvT5LU8w+NXjL4vfBNtI8d3Pja4vNNmv&#10;AmpPbx7UbDZcDJJIxnGcZHpVjQtK8SfFDxzN408dWzXWnrJHPapcSBVWPA2+aenljI4+8fTuaPx4&#10;+OKeOdWX4MeDvCVvqGj3aBr6G7YhgThl2uPubRzkZzn0q1pV1e6vo2t+HPCuu2q6hqE6W1xiZIzB&#10;bxjaGAHOGYuRgdAvpXwlRRjRVlZ9X+R/VuHxE5Yqbe1krefXXba3zOq8Z/Cn4k22l3Gp/BGzsYZZ&#10;J1kDW9w0bSk/8tF8yZlwB6YJ6cdK1L7xF+0NoXgBPDLafJqWqSQ7f7YuJIkFv2LEbtxI7DB964U+&#10;FvjT4K0lr7SvGMmq/Y7ceVYyQqUfaPuAj52745yePpVHwD+1d4jvbhtOTwbqlvdeZh4Zohtds9AX&#10;Ct9eK4ZRq1KXupSSevf9DaVSn9YjGb1asl6b6q6v6kOp+A/Evh3RV1y6tLpWtHX7XcSQsvmZP3yT&#10;1ye+eteo/DvXpobe00i8u7h4VmjlRY8Bg/GPwrE8VfE/4ieNdOuNCh+H0cdpI0QmuVut7YyCylP4&#10;TjIwMnHOe9dL8GfC0B+Kuh6Tf6nbGG81S0tgYpg4izIqkMOqkc5zWfLKtKMGrXaR2Yqvy4OVWpH4&#10;U3b0R+1f7JNj480z9nbwrF8SNUuLzVpNNWaWa6cmRY5GZ40fcASyxsinPcfjXo7kZzmoYWRU2rEA&#10;BwFVeAKbcSBgABX9EYej9WoRpXb5Uld7ux/lFmWOeZ5lWxTgo+0nKVlolzNuyXZXsJcn95+FR0UV&#10;scwE4GTXzd/wUE/b30b9j7w9a+HdCsotR8X65ayS6ZaSyAR2cI+X7TKM5Yb/AJVUYDFWyRtwfo+V&#10;mVcLX4jf8FaPiPqfin/goh420u9vpJLbQ9L07T7CMnIhXyFd0HoPMd2+rGtKcPaTUSWzzz4s/HX4&#10;h/GzxhceMPiB4tvNU1C4kJlubiU9M8Io6Ig7KoAA6AVyfibXhpXhu8v2b/VWztn6Cs2CdY5gzJz/&#10;ABVj/FTVY4vAWpbSAzweXHu7sxxXfUpK2iJPvT9kP4BalpHw90P9ozW9djv5PiB4H0i51qzkUpGb&#10;1/35kK85bYxBPGS78KDis39sf4geH/g54F1LWdKuPsGtaxG9tosdlGFw/mjzJSPRUDYODhmTtmvf&#10;PhV4TsdN+BfgPwrcaolnZ6T4Zt4pJGTiKKKFFZ+T/CA3evzY/be+Ptn8ZvjNer4Xnk/sHSJGstDW&#10;RvmaFWJ808DBdiXI7ZA5xmlWw9OLTt0RNOs2eUWEy2tz5sjNtkkJaRvmOSeWPr71534rtfH3xB8W&#10;3Xh/xVeLpWl2twVWxtW5u0B+V3fqysMEKMAZ5rspzf2kr3t7fQpYm3aRmkUL9m29ST3Ujn1FcB4T&#10;8TeIvif49bxJZx+ToWnqYbWRoyDOB/FyM8np6CsnHlNY1L6HpunmHSbGOxt/9WqKFzVLWPEEtluY&#10;DryPqeMUy9vUt4WkyMAZPNcdda42ta7JcQyfu9OiGAveQ8A/gMmpbsNyszqpNZJb7M7tu3fNhvvV&#10;6B8NdcgtY/8ASrn92uM55xXjdjc3EsgYs23PXNdz4OuJLZcM+d7DgjNfPZpz1E7HqYCShJH3h/wT&#10;d+JmpeAf2k/Da6fcM1vql0NOuYxkb4bghefo2xvqtfrLE7M/LV+HXwg8R6t4c1vTdZ0m4aG4tZIp&#10;YZEO3a6kEH8DX7f6XeWuo28V9YzrLDNEskUqNlXVhkEHuCK83J5P2c4PozpzmC5oT7o/E/8AYvsZ&#10;dYa58QJqEkVxpV1rDp5ZIZv9BhA5zn5Tlh718Nft9eZc6d4PuGbLOdQXJ64H2f8Axr7s/YSu5mTV&#10;WmVdl3PqvlhfQ2a9f++a+Sf+CjH7Nvxn8BfDjwt8QPFPhVYNHtr25tri5W9hcxSzCIxqVVy3Iibn&#10;BAxyRkZ+s5YxcrHxlH4Y/M+PCu1t5P3STX6Jf8EJ/iLZyajrnwsm+Wf+04dSg+b7ysnlv+qJ+dfn&#10;NPI/msu84r6y/wCCLbeIov209HudKjlNmtrMupsM7fLZTtDfVwMe4rixkb4aT7G1Q/ezwrkWiMvd&#10;c810lm7ZHNcz4TJFgjONuePmro4D8uQa+Mr1G5HZTLNxNJGMg1l6hdvhjjtVi4d/7xrI1OVg5zJ0&#10;qaLs7lT7HmH7VHxx0D4HfAzxJ8R/EMkSrYabIYY5JNolnI2xR57bnKr7Zr8APGUtpNdyzRXKMzfw&#10;LIrH8h0r9Hf+DgjxV4q07wZ4J8LWmsXEei6hf3El9aQyFVmmjCmMsR1AyxAPGcHqAa/MKzl8P2EL&#10;ONFhefO5JHz8p9fc/XNfoGQ0408Nz9ZHBU+I0fDuiajcJJLqEf2O1Vv+PiUj5v8AdXqT+lfrV+zX&#10;oD/s2fD7wToZ1W61ZF8I6bezXF9sTzPttnHeGJNo/wBXCLjyFJyT5JOecD8g7nxPeX7/AOkS5C8D&#10;5elfder/APBTf9nCT9kLwPo3iGw1+5+Ing3wva6Pb22m3Bt472GD90kMspjkTZgby3DhWYIwYkDq&#10;zjDyx2E9nFpNNNXPVyXGQwOM9pO9rPb8DO+NHxH8PeK/+Cu3gvxhpd8JLOw+IXheIKzA+Ssc9r5s&#10;ZIJ6OZM+mSO1fp5+2P4y0tPiXrUNrdRyQ3scMttt6BdgUj/vpD+dfiP+yh4ll+MP7ePgDV9VgtbO&#10;bxB8TtPubi3sYysEG++SQpGpJKoo4AJJwBknrX6ef8Fp/wBorTP2PPif8K/Esvh+TWNE8S6bqVrr&#10;dvbTLFPELd7UpJFxtYgTy/I3DHHzL1rbFYCWIyH2FN3cbfNmmDzSnhs5liZLR326JvT8T4o/4KG/&#10;DXxB4k1CP456X4mt7+zmvDolxprwtDPps0SeYqtuJDrIhMiuODkjqDXyVrVjqdhGqXVlIpYjkcgf&#10;jX1B+3Z+2n8Ffi38KPC/gL4Fz3DRyag2s69NeJtmM/lGKKNgCdoVWYbOx5yc5PzBY+N5raVop5d8&#10;Mn3o2bNa4GSw+Ep0pdElpscWOqxxGMnUjs3fU3PDEsieWHibK9o+pr9wf+CJnxisPFf7FVp4e1a/&#10;+zyeH/EF5YxreMq5VitxhTn5sGY57jPoRX4WjxRpqQtC8Rx/BJGxVv0PBr9FP+CPmoa5c/A/WHu/&#10;EM0unt4mf+zrWYD5WEEIkcED5i3yqScn9314GPN4ozynkOTyxjjztNJK9r3aW+vTUvLcveZYpUL2&#10;0bb9D9ktNvrOUAx3kb/7kgNcR8cP2R/gP+1BcWsvxb8P3Uk1lavFb6jYag8MsEZO49DtbB5G5Tg5&#10;9TXgWgzRSny0uF3D+FX5FdxomsX8I2Lqs43LjH2hufbrX5XW8TMLjaLo18JdPpdP80fVYLJMwyXG&#10;RxeBxUqc47SjdS10dmn1R86a1/wSv8A/Fj4h6x4L+E32zSr7SfDdxrmkyT3RmEt0JoktLaZ3PyrI&#10;En5GMctg4218E/Fq8+I/hbxJeaF4us7XTX0e4WK+W40eOK4t5PO2SRthcllxICAAc/hX7J6Xqur6&#10;JeTalouo3FpcTIiTzWszRtIqElQxB5ALNgHpuPrXm/xt/ZU+C37RviA+LPix4Lg1XVPLCSahO8gm&#10;cAYG5lYFiBwCcnAA7Cvlq2bZbVorlptSu77Ws/8AI/cOEfFTOcnqVKeZTlWpNR5Xf3lJbu73Uu19&#10;LebPzh8S+MvF/jHw1bWnhrxLd6dYXscsluqwbBdqhKbgxGSBtI9OD0xVX4c/Br4gfD/4m6h8HvGu&#10;qSaTqWn3LW11Z3YDZK9CGH3kZcOjqSrKyspKsCf0Sb9hr9n9hYwr4R2x2NibS0SO8n2xwnOVA3j+&#10;8eevNb3xc/ZT+GHxz8a2XxB8b2k0etWenw2X9paXstpLiKIbY/NCrtkdVwocjdtCgkhVA4o47C+x&#10;nB35tLadNb3ffY/RaPjXlX1yi6tOSjaam0ldO65Le9rpdO9tWrdTkf8Agkp4s0H4TfFVvg5qGnqZ&#10;9X0fyNN1ARgsWg3SugPZXXcx6fNGmR0NfoT4m8YaF4Q0W613X9Qjt7ezt2nmZm+7GoJZsd8AV8mf&#10;Bv8AZk8CfCv4l6L8UtA1DUpdQ0fzTDHeTI0cheF4SW2oDnbIeQR+NM/4KGa3N4w+G+mtLYXFvfQ3&#10;zRxzafcSr5kLxsJIiAQMsMbSe/GQGJH6FwvxDhsHk7ozfvJvlVt7+fqfgXiZLJeNuO4Y3L3JU6kI&#10;qblo1KN1or7cqj16s9R+D/7dfgb4lfGTUvhZdw21nEPLfQdSS63Leq4DKrDHyOVYcZ4YMvUYr4v/&#10;AOC7H7QGgeKdDsfCtr4ZguF8Ka9dWmoTXF+iEiVFHAbA5MfTOc4qj8NfCtt4W06x1VBJNfXFugW6&#10;vIVjm8sEsobHRsHnpyTwvQc9+2fpGgeNv2fvGupXNkt1fNpct9b207Z8y4jJm5OCSXYEHudx9a+j&#10;yfiXEQxVP2i+1q/J6W+R4eacE5fTo1atG+kHZX2ktb/NKzXd3PhLSryK5jtRbxNDG214492dq9hn&#10;p+Vbfx28RSWPwM1+7YfL/ZbIrZ6l/kA/WsT4JeGfGfxUsNJsPA3gTVNSup7ZVgstL06WeRio5VUR&#10;STj6cVY/bL8HfEXwf8G5PCGteBNas9S+0wJfafcaXNHPAm7zMyIV3KNoU8gffHrX65VxFOWHly6u&#10;3Q/IfZ8lS7Pnr4XWn/CUeJLHw/s+S8u0WXaf+WI+aT/x0GvpHxtq2mazdw+FoWZbODbNqgHAlxyk&#10;OfQkbmH90AfxGvE/2cNMg8NDUvHPiO1khi0uxYqZIyGDMT0z/sLj/gddRomuXN94Rm8SangTX7SX&#10;DKW+6GOQvPouB+FcuDlKlRu1qwlJ82haHiK317x9JfapLvhhjKwqoyBgY4HtXH6hF4q+NnxLvtI0&#10;fU4dPs7ULbSXU0ygrGOSFXO7JPXjt1o07xBFbWNxrVuvmLDC77lXcAVGayfh3peoa7pFzF4auPDN&#10;nqErNc32rahfO1xIHOQq7VKouCB1HJ5xmueUpVLRs9Xr5lctO11udRefDvxr4Ukk0X4S+CZIfLAS&#10;58S6kq7nPdo93Cj35PpXvP8AwSM+B2l+IP8Agob8L/hjLq/2rU18Tx6zql2q7lCWCve7Mnn5zCq/&#10;8Cr5o0KXxLomvto+q/Fe10treTbNb3bzqyjPo6AEfQ1+kX/Bt18LtN8fftqeMvjfbI15Z+EPCL2s&#10;V80W0C8upkVHX0zDFcjnsffjKtyqN0rfcVF8z1P2a+NXxm+Hn7PPwn134zfFjxPDovh7Q7Mz6lqd&#10;xE8iwgsEUbEBaRmdkRUUFmZlUZLAV/MPr2oS6l471r4r6/q0l/qevapcX8nm2scO55pHdm8uMbVU&#10;lyQg+VeAuBX6Gf8ABfT9v3RviP4zs/2Zfh344t9Q8M+HZPN8SR6e58u61dHYeTI4O2VYFVeF4ErO&#10;DlkXb+XOreL83El5dXXXktu/SvZynDPB4f2tTeVtOy6X9TGtJ1Jcseh+jfgD9pHwhF+zd4L8Y+NP&#10;7Ms4Z9Ci06Zbq8aPZLZL9mbnj5nRI5eMN+8YAnaTXW+EtUt9GvrV4fDEO2aZXhtZpZrtpSw4Qb2Z&#10;iSTgAE89zX5q6B+2vqXgz4XzfC9fCel6xp0zSGS11izSeNt4xna4IB960PhZ/wAFLvHWifD+++Hf&#10;jn4f2uuTQ2s0Gi6o900It0eJo4g6BTvMOQUYMrfKNxY5J/L+IOH5VsynXwzspSu/K71t+J99kvEv&#10;1XCqFZapWXnba5zX7Qfwbt9F+M3ibS/BDxzaZb+JLxY7OO4WSW2UzMQjYJDbQduQSQQc4OazLGzh&#10;F5DosUA226DzD6setcXpniW6im82O6ZZP4W3cmvQvAE9h4htj/Z21L7yyG8z+JvX61+k5bVo8sYJ&#10;3slfzsrHxNeMpVnN9W395sRTx2IWGNcYFcz491LU/GVzH4T0XDxW5Et8zNgf7K9R169e1R+LdZ1f&#10;w2SNSsZos8+bJGQrewPQ1j+FrzZDJeC6sJpr5zJI0moGHYT0G1hzgexr06mJhK9JaLr6dkYy1sin&#10;qHhzXoZvNnmMyoMY+0CONR6bR/jX3x/wbm6lqif8FFvDOnWV/p9rbtpOrfao41ZmuEFjMdgPI3bg&#10;rfRD9K+HNV8ORPF9t1MXV87crDa3W5F+pCgfkK+6/wDg3K8H61cf8FH9F1K18OyR2umeGtVu7iQv&#10;/qlNuYQx9fmmVfqwr5fFe5OXKraPc6I9D+hZj8uajLnPFDMxOCabXhy3NjJ+IPiy08EeBtY8Y6iV&#10;EGlaXcXc27+7HGzn9Fr8I/2j/HtxoGm6hc6ZqJu9c8QLI1xerJuK7+vI6Ek8/rX7rfEnwHpHxQ8B&#10;ax8O9dubiGz1rT5rO4ms5FWWNZFKlkLBhuGcjIIz1BHFfnT+25+yD8DfgF4fvdU+HfgH7RNo+nxi&#10;TUNQvZLia4mzkytuOxD8wyEVFG3gCvhONcDisRGnUi1yQvfXW77L0R/QvgXxhkfC9ath60Zyr4ic&#10;IrlSsoq9uaTenvS2SZ+aGmaHrfw/0W6utbsv+JsYUcxvGBJGu1wuc98Y49ME9aPG+kaLaeKbOHw+&#10;POaG+eSdDJ80O9VQbh6DBOcAc8VP438IXfxEe51vxnqF4t1NcSGK1Zxt8kMdvAGenvVDxD4f0v4l&#10;6jcSWF9Zx3Fkqo4ZWFyi7e+ccHrxkelfm8Vd318z+y5V5cjUUvLUsaP8UJbXUpLWDxbcaZFFG32i&#10;HVIjJGrADOHOTgnJ69PSp9T+MN5pky6hf+DNJ1a1uYi/9pWdwy7mGAQMpwQMY59/WvI9N0XU9f8A&#10;DIieeRbxZpN3q6gbxn8Mj8K9o0n4Z+MfiPeR/D3wl4VutSmi0Nnt4bOFpJJLgIXwFUEnIQ8jp9M1&#10;tVwtGnJJa3/roceGzPFVqEqk/citnpb53LXhX4oeHvF95eX3iG1a38+ERt5kbNGuzBUlh0YHv+HI&#10;Jr7u/wCCaFh+zlp/jO88cfFrTvC1xpUmmxLp6ahp4vJWvNyOssSLG5Tb+8UsQu7Ixuxx+cXwjfXd&#10;C1tVg0aIlf8AXW11IW87H8J6dRxXrv7P/i/X9L8ZrHp9m2nafJeZWw3NiFc8Kcnt6/8A6qWDlTy/&#10;MYVlFS5Xs9ieIsDW4i4Yq4OVSVP2kbOUdHbfR9HpvY/oUiKsgZD8rcrTZxzmotHvLfUNJtr60lWS&#10;OaBHjdTwykAg/iKlnr91jrqf5j1I+zrOPZtEdeZ/tEftI6L8BdEh1iazi1BvtSRXVqt0FkjVujY5&#10;OCeM4xkgdxXplfD/APwU8+EF/f8AiGz+J+h6xuguIRY6ivmbltLpctC5XI4cAgg94x6iuTMa9TD4&#10;WVSHQ9bJcNh8ZmMKVb4X+Plfpc9o+CP7e/wm+NfiZvCMSyaZcyTeVaNcyDbJNnHktx8sh7DJDcAH&#10;JAP48/tYQ+I/ij/wUG+JVlosbahqF942vbe1SE53LHM8cYznGAqjknjFeySXqeFtRXxskclpeQSR&#10;wa5Z2+WbGQFmGOpXIO4DmNsn7qgee698LfE/wg/aS0/4x+GdMmm0PXt+26RWYWF1IpXbJ/dVmbKk&#10;8fNt7c+Jk/EVSTcMQveV2n3trZ+dtV3PqM44UoU6kKuFuoNpSW9r6Xv279jybxR4Z8ReCPElx4U8&#10;V6TJZ6hZuFureXG5CVDDocEFSCCOxrivimwurPS9CwD/AGhrdrDg98yqMfrXvH7Wljrj+ItG8V6r&#10;Cqm/sWgkkX+KSJu57nDj/Ir5v+KOop/wmnhPS5JQqvrcLMS3T5uv519ngcZ9ewMa70v/AJnxuaYK&#10;WX4yeHvfl697pP8AU/RD9vX9oo/CL4Fab8N/DmoCPVtf8KwQyMsnzRWsgDycA8eZzHz1Xf36fnP9&#10;oEs/n3EgUctJJI3T1Jr0z9rb4wwfEXx7qXj7xLdR2umw4g0/z5AFgt0UIidv4V/Mnua+RfF3xP1L&#10;4p6uPDPhRpLfS2l2TXAYq0/PQAYwv860xFaTqaHlwp8kTtvEOp3vx018+BfDM0kfh6zkA1O/jbH2&#10;xgfuKf7mR+J9uvZ38Oj+DtHj0bS0jSKKPCqoqn4ZttH8AeGEsrZF/dx/dj+neuG8V+PbrUb4hvNZ&#10;S2PlTp+lY1KnKjSK1NnXvE2zTptxIUL1rE8GTrZaJ9tnky91M0h9xnA/lmsHxbrjjRJHQkMw2qrd&#10;ya6fw3oIksbdZsKkcKrg8dBWXNLlu2UaVprLB+U47Cuu8BazHPrUNtcYWMupLE1xxktYX8sR/NVr&#10;Tb9EffGOV9DXBiYqVNrqd1Kfs5Jn1To128E0Ihfjau1o368V+1P7Mepfb/2d/A180m4t4TsAzHuR&#10;boD+or+ev4dfFLxfBq1vYwyLNbmQIysoJxX79fsbz/bP2V/Ac6v18OW/6LjH5ivHy/DTw2IkpdUe&#10;hmGIjiMPFro/0PyP/wCCe1zNNdJBO2A0moIwPvZn/Co/+CrF34q1b9hLWtT8U6da2+7xlYT6fDak&#10;nybUrCixncSdwk84kknIbrj5VqfsFi6i+Ld3pSSlVjurpVUdv9DuD/IV8eftyapr2peEvD41TWry&#10;5VdWuWZbi6eQZKpg/MTX08Y3lZnx9C0YXPnLR9LbX9etNJjmWP7ZdxwrI3RdzBc/hmv2t/Zr/YM+&#10;Hn7Ck/hnw/4W1ebWNW1W4jn1rXLmERtctkAKqgnZGuW2rk9SSSSa/FLTbiXTdQt7+3I8yCZJI92c&#10;ZUgjOP6V/Qtr/iKDxtF8O/Fds0eLyztbhlVwdm5VbacE4rwM5q1acoRi7J3OiUlY968MOXtVySce&#10;tdHb/drnfC0JSDY3bH410VuPlIr5Wp8XzOmD6iXH9KwtZPzMc1uXQOOtYGvAIWk71tSkthykpbH5&#10;Zf8ABw34rukn+HXhOKMCKSS8uWbvlQq4/wDHv0r8z3ct8wNfpd/wcM6t4KbTfAdlNef8VAt3cyW8&#10;Cj/l124Zj6fPtA9efSvzBGoyDpivt8oqKng4rtc5Jx95k11cSRtsFUXned/JZeK0IYvtdrHO45dm&#10;HHtT4tMiSbcB0r0405yld7FrY+gv+CVnhgeI/wBvr4U6YVzt8TRz/jFG8v8A7JX6K/8ABzh8JoIv&#10;gD8N/iKhkkl0vxTLYSM3IVbi2d+PQZthXwx/wRns4J/+CjPw7d48+VdX0nHbFhcDP61+q/8AwX/8&#10;HDxl/wAE3fEGtSBGk0XVtMvoeQSubmOJiP8AgErV7mHjH6rKCOWWlZH89sjvCMqtN+1z/wDPNqvT&#10;26Fciovsy/3f0rx5U6qludHMaNlDd6hb4t7OV+gO1Cea/YT/AIJx/A7W/hv+yp4Z0jVbB7XUbi1k&#10;vb63uYzHJHJNI8gVlIBDBCikHkEHNecf8G8NzZ/afiZJPCpWHQLGRsqPlbznyfyAr7b8PI1zeyah&#10;O+5p5WeUnuxJNfmPiZivYZdQoN/FNtr/AAr/AIJ9ZwlT5sVUqdo2+9/8A4n4cfDD4mW+tahev4ku&#10;IVuNyRyTK0irls7lj3FQVGQMAZ75r0iDwf4tt5rjyvFEyrJa2sNuvksnlMjZlfocFxx3x710Oizx&#10;RL5YXvxzWzDNEzbig9d2Olflsa8a0lKyfTZH0E6Uo3jrvcw7Sz8Vwy3U8mpwzJJqStBHIo/d2wC5&#10;HbLk7jk5GPfmtfw3Za4ILo61PHNuuW+z+XxiPPHT2rXtNX0XTriGLUL+GFp3CxRyMMufQDvz6VpX&#10;Op6Ct42lx6hD9oDbWjVskNt34477cN9CPUZ7Pq8KkdF9yOdRqKXVmXDbtGeTUsY2HdUtxJA+DCQV&#10;PRgajrhnDldjSHxF6z1ExFcdaPE+laR410SbQPENos9tcLhh/Ep6hgexB6GqIXJ61YikbGG+6vP4&#10;1VHFToy5VsypRfMpLdHyP8T/AIsfCT4Q/F6++Cvirx1pLa5ZwwyW9jNdCK4lilXMZVHI3kjghN2D&#10;weoz4T+0p4O/bT/aG1X/AIVN+z1+z/4m03T7qJTqHirxNp76TpyxMw3bZrvy1kAXk+WWZhkKrHiv&#10;oL4ofsx/tg6P8avF37bH7M/h618ZQ+Iiuh6p4Zt2gtdUs47JQsV1bzyDLxEeYrwoQzMyHY+3dH4v&#10;44/aHOnXEehfFLxVrHh3Wfs6zalo3jD7Rps1s5UFkP2hY8lTxlcg4OMiv13BYSpSwtLEqDneKfz/&#10;AOHOinnH9oUJ4apXUJJ2dtG16t218j6J8KfF343eFdP0lPj18aNAvNW0u18m/wBP8DWcgs5BGAka&#10;IZQDjao3EIgJOABt3N8Nfti/tY6R4w/ag8SXcw/0eF7WNeOcpaxKc89sU74g/tzfB/w/psmjeHPG&#10;zandxK2I9H3TKxI4PmY2Nn1DGvjXxB47u/FuqXfizUw8c1/O0zpN94bj0P06V9Dw3LHUMwliJxcU&#10;09Gn3W1zx+KMTl0sFChQkpST1tZ6W626n0NpvxRsZZLy9uoF1C3kiiSK3lUFf4t24Hg9qfc6p4D8&#10;WaNcWOp+G7e1t22puiVUc+uMYx+dfOvh/wCIFzpVz5hk3J91o+xHrVnxX8TX1ExrYu0cCsGkVWwW&#10;Ir9Ajm1PlXNqfn6w/U9c0DxX4Y8B+CZtUTTma33SJBprAMixE7Ej6/N8oGSeSST3rPsfEfhLxDYx&#10;R6NafYbm0heMLazeXiF87o2A+8MHqc15PrXxE/tXw+mkC2ZSJVYyFuoBrnLjUr6GU3FretG5b/lm&#10;3b0+lRUzN6KC07NA6fKmavjDVLDVLGTRru3MklnMfst1uB8temE4yqkY/d52gjIxkg/qF/wTk0v4&#10;i/Az/ggV8cv2g/hxqM2heJdf14paa5a4WY6bA9nbyNG3VWAmv1DLgq3KkEA1+av7OfwC+Jv7VHxk&#10;0D4B/CfSHvtd8S6gtvbrsJSBOsk8hH3Yo0DSO3ZVJ56V/SxqP7B3grw5/wAE4tV/YB+FrQ2tjN8P&#10;bzQNPvr9TtN5NC+b2UKDy1w5nbaOrHaOgrk9tzTUpLqgS7H8xvibxbcagfNurlmVOI1z0rldW8RS&#10;N81xubjAWuh+NXwp+JHwH+KWt/B34s+FrnRvEXh3UJLLVNPuo8GORT95T0eNhh0dSVdGVlJVgTwG&#10;vXjK/lhgCfu5FdOKxtSVR2kc9OLWrK95qcctztUNy1aFmQ0e4g81kQWBkkWV2O7NacUtxEyxIuQa&#10;4ox5pWZ1R3LQIU5ANbWhazfWNytzZztG3G7a2M1z89xNERhetOS9kGMjFbJqj7yKPSrTx611ZyW2&#10;t3AlVv4ZVDD8jWNqo0GdRNa6XZruXP8Ax4QNk++5CfyIrlo7p2APFTSakGg2B/mFbRzGXK4yJ5UX&#10;tNvNW8MXTarpM5+zRtm607cSuPVfT8OnuK/aX/g2E+Ciapc/ED9qhLeWO2axtvD+jzMwwzSOLm7Q&#10;j1Ty7Xn/AGz71+L3w60HxV418Z6f4J8IaLcapqms3SWWn6Xawl5LqaVgiRIo5LMxAAr+o7/glx+y&#10;Q/7Bv7C3hP4HeJRD/blrDNqPiea1j3K19cSmRwCuS/lqUhBxkrEvArgrYiLo6uxUfeZ9IUVnfCnx&#10;Z4Z+L1gZvDGtxreRx7rrS7xTFPAc4wQeGGe4JHTOCcV1M/gHxLAu5Io5t38Mb9PzxXmxr0Ze9F3N&#10;DBuJPJieZm2heSa+Xvit4cPxM1zTdAntkmHiXxFb291byLu3Wry77gD6W6y/gK+n/GWh6/DoWpQR&#10;aPdNJDbM0n+juFxjBKtjDYHOFJOB0ryfwl4Ilv8A4q6N4ojlt5NP0Wzurppbe+iZ1nZPIRXj3b1G&#10;ySU7sAAquSMjPzWdJ4jEUaNnyt3b6Wv/AMOe5k9aGGlOu5JSS011ulf87H5nf8FeP2GYvgx8WrXx&#10;f8FfE0klvriNfXWhXV03nWJMjAkSOT5kbMGwCdw6YYcj410v4B+PrrUp/GFhbWy3DFJLyNb5FU7U&#10;MQIDHc5O4khAcZJwAvH7Jft7eHE8S+N9N1PwfaLq3naft1IRiG7RGVgqKsZVmU4HOODkHAOSfniy&#10;+D3xGn8R2Wm6B8BbGVL64jikvbzwHHsi3yKm4lYlOACxJzxt96+CzinRw+Z1IUouzfRXWtmf0Zwz&#10;xRxZjuHcNUli6bdON/enBStG695Pd2XXVqx+fXhD4S/Ee318fZPDdhcNnbBG10Y8Pnjk/L3wc9jX&#10;3F/wTg/aS8J/sg+IX0Tx3+znDdaxq1x9m1jxxY+Klnks7bdjyoLb7MAEAG5tsxMhGc42qvR/GT4D&#10;a58GtGHi/WPBugzD7XFB5dnpVxC6tIQMkJLjAz6DpXrXwU/YgsPjH8PofH9hrmjtNJcywyafcW93&#10;H5LoRxvWds5BDfd4zjmoymWLWOTw9O9RJuzS22e/r6nBxBxTm2dcNynj63+yTnyOzUbySvZ8vvW6&#10;6+62fOv/AAU3/YX8LfCfxxb/ALUnwCsbO4+HviW8Vr4aM6vBpV47E7VC8LBIfu4+VG3R4QeWD5N4&#10;a07Rb+3jsJbNdzKTDJF8rA9QVb+hyK/VLwP+zn4B/Z9/ZD8R/Dr4qxQeINNuLO+vvEkLZWO5aRf9&#10;XHwrLhUjVGzuDKpBBxj8ovjj4C+I37O+uWthrWmPc6DqVqt1pN/CTvAIDbc9CyblBGR2PRhU8UZZ&#10;HD4iNeCtzq7j2fW3k3sfqPgz4gSzzKZZTj53lRfJTm96kUrpb6yit+6s97n6/wD7CPxf0D4rfs4e&#10;H0sNXSbUdD0+PTtYtWk/fQSRAou8ejIoYHocnuDj16WdXHAr80P+CQvxotpPjg2gPqv/ACMGjywS&#10;RjgSzR4kRiP7wUSL/wACPrX6VA1+h8O5g8wyuFR/EvdfquvzVmfzL4tcLx4T42r0Kbbp1P3sb9pt&#10;trztK6XlYd5ntXyf+3Z8JNa0PU5vi5orTXei6vGLLxLpZ5WInHlzLkEL8wQhsfJIiNznA+qZZyj7&#10;RXi3/BQz9pv4b/si/sb+O/jv8UtL/tDTdM0doY9K8wob+6nYQQW4ZVYpvlkQF8HYCW/hr08ZRWIw&#10;7g/l6nweW5hUy/FqqtVs10af9admfnvpeiajPP8A23q2mRrfGJrNpo2O2REc7WI/En/gRruPBxSy&#10;sptJ1oLMl1CY2V+RtIxgV5r+zZ+0t8O/2jPhZpvxP8GlmtbiMJeW6tulsLkAeZbyjsyk9f4lKsMh&#10;gT6hb+Gtd8Q2aappMUPkn5oZJ7yGHf8AQO4P6V+b1AAAgP9/wtShUakrNH7LHGUcVhVOg99TyX9v&#10;aw8I6J8HITabd9nqUMysx5DNuQj8m/QV43c/sOfD343+EdK+OPwD+LD32sabo7ynwzrixGO+vvL+&#10;5HOm3yRksAjo2CPmkAOR6n+09+xt+1l+0LND4Y0KXw1oekxXAkuL7Wdd3GXAGNqWyy8cnhtpyOww&#10;T2fwa/Yc+G/7PHw/0zw1pnxWu11yO8a81bVrdUC3crKqlBE5bbGFVQoByOT1Jr26ea/2bk3LTrJV&#10;FK6W+nZrofMSy+OZ5vP6xRfI4pc21mu3fsfjX8YtX+JPinxdd6X8UYbmzvtPuHgm0eaJohZupwUM&#10;Z6MOhJ5rrvgPo+m+HtPl17UbGHPSGNkBx+dfRX/BXH4X6pc/tIaf450XSZ7q21jQ40ur6G3O2SaB&#10;jGSSMjcIzEPoB6V81ah4itdCt107+6vHNfW5Rjo5hg44l9V+Ox8Lm2EeBx8qF9Ivt0Lus/EbXdW1&#10;m4tr+xSOFWxG0bH5h6msGe/Hms+eazbzxH9qdtky/Wqc19IkJkkauup+8nc4+aJH4x1Z5NPdUPKk&#10;Nj6V6VoXiKe58P29xeRASeX8wQd8V4rruq+bCxj67u/eu08MfFnQIo4obi1laHbiTYPuH61a/htE&#10;vWVjq7rVS0u6KMszHOPSug8J+HNc8QtvsICq9GkkGFX/ABrlofHUC6pb3mkw2drZK2XluriOSacf&#10;7KKW2/ia98+EtxpXjnQ/t1r5TMjYaGM4YV5uMqQw9Pnau0dmBpfWJctyTwToNl4aEeQrTJy0mOp9&#10;a/aj/glt4tuPE/7HehLdys7abfXlmpY/wiUyD8AJMV+SeleFdMAMItlGR970r9Wv+CUnh658P/sk&#10;2rSbtt1r17LDuP8ADuVP5oa8bLcVPFY6Tl2f6HqYyhGjhkl3Pza/ZY0jxN8L/jy0virwvqFnDqfi&#10;D7NZtcWjR+aZYbiEFS2AVDOuSOn1wD8YftsQuPA2l+fGyyQ61LFIrKQQ2w5H5rX3t+z78fPi3Z/F&#10;S106PxbqMlto/iKzsIoZNQlZZIJxIGLBmIz8g+7gZ5INfGP/AAUk8YXXxH0W4+Jmo2MdrNqnjJ5Z&#10;reJsqjSRTHg98lSSeOT0r62nL3nc+Ipv3F6nyK7r5eSA3yjj1r9rv2aPg/daN8I/hL4x/wCE71m6&#10;l8QeG7CS7tbqdTHCdkZ+TCAj7x65PSvxY8LaJqnjHxFYeE/DlhJeX+pXkVrZ2sP3pZJGCqg9ySBX&#10;9HXwY+DmmaB8HfAvhPxJppjvvDeg2luY1k/1ciRIGXg4PK/pXz2dVvZypr1v+B1uN0er+F2WG38p&#10;n+6oFdFbMrAkGuY0lPK+VW+XtW3aXJSMrntXy/LHZG0dEWrojbnNcz4s1CKygkupmCwxoWkkY8AA&#10;cmt6affblc1yfxD0m01jwlqOj327ybqzljkKN82GQg49OKunH3kB+AP/AAU9/aSH7Sf7WPiLxNp9&#10;952j6RKdK0Xa2VMUJIZx/vPuOe4xXzn53vXqX7V37NPi/wDZ78f3um6jCsukyX0y6XeRzbg0e9ti&#10;tkAhgvXPpxmvKa+8w/s1RSg7pE1KNSnLlmrM6fQ4xJo9u+OkkhNWvLABkXoT+dQeHP8AkAx/70lW&#10;j/x6p/vV7EPhRJ9bf8ESNM067/bx0fUtTvY7WOx0W9lW4kcLtLKsXGe+JDX7Cf8ABRm10v4m/sA/&#10;ETwJZ2sd9M3hC6Nq24ZMsce+Nl9fmQV/O/8ADb47fFD9n/xZF41+EniBdN1QxmA3D2scwMbEZXbI&#10;pHVR716R8Q/+CjH7avjjw0uj+I/jjrkKKVEkK29rEOnI/dQI2D7k8cc9a6KeOjQ91oiUbniyorRZ&#10;IHWmmFCOi023lklgDu2ct/dA/lT6zjLmVxH6Kf8ABBTX7vTfEnxN0iFtqXXhG2fIHUi6VCPylz+F&#10;fohYWrQsscXpX5s/8EKrLVZfiL421K0k22EHh2GG8XaPmkkuEaPnr0hk/r0r9H9Y1618PWTajdqz&#10;BWUbVBLYJxwByTyOnJJAHJr8Q8RMRTxGdRoXvyRX3vV/hY+84YoyjheZLWT/AOB/mbL6suk2ksv+&#10;skSJ5BErDcwUDOB+I/OqOs6vq/ifwxbpZpNDOb/ypVtmOVCl45M4I3Lnd7HArP8ADuiavc+JP+Ej&#10;tNat3srqNW3GFW3BgudpHXhEXnPUn0rtLC0t7WXbbQLGMlmVV755P1r4KCjCWh9cuSnaSV2rP/gE&#10;mi6BqOsaTpcOs2214bNV1IXJWRndU4GMspDMc8cYGCO1SHwj4is3u9WsrhZLq6F00jM46u6iMLkc&#10;YjX88DmtKwvRGME9+c1pW97uOxSPSvSoSlUPOlXq05tr+vI4m1n8TeFNEkvry4El1PdCG3hePauw&#10;AjGN2F553qMEAE7QSy9fY6vZzMljdzpHeN1g3g564P4gbsdQKu3emabqES29/b+YqyK67ThgysGX&#10;n0yBx0PQ5GRXHxeFj4X16bW9VnlntbdQ9uyxNJNczuzZORtA4wuzG0cEFctkqYdS2KjUp4qT9pZS&#10;6W636HXANu6UX16mm6fcanOP3dtC0sn0UE/yBqLw5qEfiTSl1OAbR92RVOQGHUA/xYPccHqMisr4&#10;rNdW/ge8s7T5pr7y7ONf7zTSLFge+GNcscHUqVlC27SOKpLlupaWPa/2btIk0D4F+HbSR2aW4sft&#10;cjMeSZmMvPqcMOe9bvjDwT4J+JGiN4X+IPgrS9c02R1eTT9a02O5gdgcglJFZScj061e0DS7XQ9E&#10;tNFsV2w2dukEK+iKoUfoBR4i17TvCugX3ijWJNtnptnLdXTHPyxxoXY/ktf0xgcPHD4WnTjskl+B&#10;+Z15e0qynfdv8z8CP+C0/iQePP8Agpp4u0nT3h/s/wAL6fpuh6XDboFSGKK0ileMAcDbNLMOnHSv&#10;gLxN44vdT8T3sNm8f2ZLhljZR/CDXvHx6+LWv/GP4s+M/jdrCpHqOva1f6lcxx/dSSSR3KL/ALK5&#10;2j2FfL+lQSGPzvN+Y5PuTmuufLomZw+I9Lbw1ciP7QkrfdH3mzmsa+g1GGf5H+Tv716FHp88+nwt&#10;j79rHJntyoP9a5/VdHbcxIqKlPk2NuY5SS+1NISvnj24NFrrV28mHt1bt92r9xp7BsbaitbILKxI&#10;xXDzS5iuW5+mf/BsJ4Xh1X9uPxB4kntVZdN+Gt6yNs+5I95ZIOf90vX7yoyHbuNfiL/wa061ptr+&#10;0F8QtEnVPtF14ND25b7wWK7gDAfXzQf+A+1ftuBxXXZuyRzv3ZM8f/aD/wCCeX7D/wC1T4utfH/x&#10;9/Zx8NeItcs9oTVri1aK4lVRhUmeJladFHASQso7AV+X/wDwc56V8FvgD8BvhJ+yL8Cfhl4Y8J6T&#10;qviTUPE2oab4b0mGzXzLa3S1ikaOJVDFxd3GXbJJj744/aAgDmv56/8Ag5a+KMPxB/4KRSeC7TzN&#10;ngfwXpmlTqzfKZpRJfFl+qXkan3T2Fa0oyctWFz86bbTnHPl1MLY+d8q1fEYjhOar2X76TIb+Kuy&#10;EeVhHcgurc5wRVG+8yNcAdu1bl3bjcGxWbfW+QfaprLS5Rlw6nLH+7cY5q9astyQ6tVGez3NxV7T&#10;LVwihOPfFefK/MB94f8ABul8MdS+Iv8AwU+8I61b6Gt5YeFtM1LV9UlaMMLZBavBE/1+0TQY79+x&#10;r+ib4v6/rfhrwLe6z4asvtN5CYzHBtLFvnXPA7bc1+GP/BrTrOoeHv26PGHhqKb/AEHV/hjcySR7&#10;f+W0N9ZFGz7LJKP+BV+7HizUfB4ubHRvGPiKbS4ry4YQ3kSjajqMjeT0X36fTrXHmE3HDSt2ZVJf&#10;vEeA2nibTvEGrf8ACV+Dtcbwr4kVv9Js5JmhjmY9SrcbSfTv+Jrqde/aB/amaFbW9F1tVcrNa28e&#10;CfXMY6V3vi79m1PFFj9tu9KtNajcZt9X0G6VJiv+0pwGP0JrzjXfgRrnhZY7PSvijfaOs03lxx6x&#10;ZzwqnBPJwVPTtXwbhjKL5dfk9D1PaUV7ys7dyCH9q79pHwxeRy6jNcTnbnyZrUNvXrg7gP55rfs/&#10;2ufhn8RJIYfi58PrrTb+NQYdX0NzDcQZ6E5IOPxIyOlfN134F+JXxI0y513xD8UdPtbcwzrp9rJq&#10;otkSbeQkx2YJY/fJYMw39Bt4774J/D74ueItFkfXPFXhy7istQktIb3V7gSSXUPlhlfOz5lwANx6&#10;lc+tdXtMRSp3vfyep5VDHRxNdQqU+W97P+tj3qz1PTvGaJD4Q+LnhbxfGoxDpfjexWO5jGPurIQG&#10;Lds8VTuPh94U0OQXPjn9kjUVZlObrw7fyXcRHqAJCFrxL4ieCLnwx4lsbDVD4Xt1jklkumt9ajha&#10;5jFuzhIwW+8XeMAEAt0XI5qp4iv/ANpX4R/GPS/hd4X1DWtMXVIfOt47Odrh5kBTcyeXIFZQGY5O&#10;CNjZHAzPNHl5pwtf5/gzrliKVO9pt2aVvX0PYLpf2cYrjzNO+Cfjb7Qp+4peIj6lWJp1t8SJfCUZ&#10;/wCFb/s56vHJzsudYvLy7jXJBJ8tuM5HWvJ779qH9rnwx8SY/htZeNmmkdFkkN9uEoUqCC29AEyQ&#10;4GTkleOop2sft7/tLeD/ABvZ+EbyaW8nlUvItxDAn7v5vnUFfmX5TzkD35GYjUoR97Z/4V+ZtKtG&#10;MbN9bbvf0sbHxT+KXxL8eO+meL9FisbZlAksItOEUUuCCN6sCJMEAjOcEA1jXPifwprfhm38J/Ej&#10;4MeDPFtjayB4YPEHh6GXYwGBtwABgHAOMj1r0/wT+338NPiV4ii+FPxm8KWM7XUDC6voULrA2UCB&#10;lKnZuyTkEY215d8ern4VeCvGV7a/DvxvZ6xYwzKJVgvoWNoWZRsLb/mCsxB/iXY24cZPNiKLrfvI&#10;y5jswuPlh2kpOLT0abVn6rZl74P/ALPvg7V/H9n8RvgL+yN4b0nVLGYSLe2U09ta2785ZUjkQZIY&#10;5DFx04Hf3v4h+Mtd+EHh9F8ZWdnqGu3zFrWw0oSLDbrjgvI+S+T2Cr9e58n+D/7Tvi34E27+Hbzw&#10;s01q0nzW1ypjda9Cf9rH46/FC0dPhb8Lbe08tT5mq3R3LbDud74Qcc9z6A12YOrh8LRaUmpb6LT8&#10;Lam2Y4zMcyqKeIqSqcuicpOTS7K7enkXvD3jDxRq3h3T9a1/wRd6ZJfX626tdIY0kzHI5aNTliuE&#10;+8xA543c4+A/+Dm+/l1v9iXQfhFbzNFN4i8VpcxybsKxtIywjPsWkU/8Bz2r7K8B3Gk638SVuJvH&#10;tz4k1yPzTrF5MvyRlVACxEj7mXI4Izt6DivFv+C2v7LXjD9qX9ie8Hw20qS+8QeDNSXxBY6fBGWl&#10;vYooZY54EABLMYpGcKASzRqo5NfQ4CtLEYdyffT8DyZxdOdmfkZ/wS1/ag+G3wE+AbfA1/Htrofj&#10;DxB4uuri6hvbciJcRIiJLMdqQsRHhcsckgYyRX1hceMJNWt1k1iaaa8Z/wB20WtyxrG2eyFti8+3&#10;1r8h/FXhvU7vHizRJJIdQt2Md4FBxdRdmP8AtjBHPUBfwNP+Nfxl+GsSv4H8f6np6rJv+xx3LNBv&#10;xy3lNlCT6la8vN8mp46XtKcnGT3XQ+pyniOeBw6oSheK7b7n6/DxRqSgQT+JdWt58fxXUUsbD2IS&#10;tK2+JVjp1tnUrRW28NcPdZLe+MDFfmL8MP8AgoV8eU0sp4z03RtW8tdv2kwmGWQ9dzbcp+CotL4l&#10;/b6+IeuwXmn6j4Ws/s80Dxxw2VxJE6lgRnd8wOPoK+Wq8J5hUlZtW73Po48XZb7O+t/Q+gf2rP2o&#10;vDfxL+Jf/CO+Fr6G4svDIMJnt5VZDcPhpACOuMKp9CDXHWXjjQ9Sj2XptZj/ABLKFb9DXgHw80m/&#10;8K6ZI2t2k1r9vkFzbrMvzGMgYb8euT16966f+1VjH+v3D6V9xgcHTy/Cxw9PaK+99X958TicdUzD&#10;ESrVErs77xbo/gK7t/tdv4V02SRuVke1VgPwrn7Pw94OaArqeg6fMz/eje1QLj8qh0PxJBcQGwmu&#10;FAPQHvVTUbiSC72/w9q6oVJe0sc1XlUdEYXin9nX4f8AiDUYrrTJvsH7wGaBNzRSDPQDOUPuDgel&#10;cJ4T8Ljwp4juvD9poX2y1+0NFdN9oY3Fu+cZxxuXpyB0r1i419YY2yoZtvy+x9a5vWrKDVdXXxXp&#10;cZ80MPtHlvhtwGPyNdiqKOrOJxTOV1zw1oi6xJpWoeFNk8WcSWr7J3TGd0fTzP8AdbJPYmtLwFqn&#10;xH8DQN41+FmtNrWl2rqbqFlPmxL6SJ1A984HtU3ju1k1ZllkmeO4hw9rMrHKNj+Wa6T9nXxQ1n4u&#10;uC2lQ295cWri4kgyonIXqydCTXLWqU6lKTavY0ow5aqcW0e/fs3/AB78KfGnTpbF7U2utW6gz2Tf&#10;xj+8PUfy/Wv3U/Z4+H8Xwr+CnhfwHFGFaz0mM3WO8zjfIf8Avtmr+fP9mHwbp3iz9q3wL4l8CaMg&#10;uJ/F1laa1oithLqGS4RH2+ikE5XoMeh4/pACAEEDjsPSvOy7C0aVadSns7adu56mIxFWrTUZLr95&#10;/Pz4B+NGqeA/GM/iU6VHe/aNUt7xoxIV+aLzNo6H++a8X/bS08Tfs6rqlxFtLeMLcqA33Qbe8Y/0&#10;/Ku2l1zSoWUvIvXtXC/th+JtM1b9nE6XabvMj8TWcp+Xjb5F0P5mvoeRKTSe58bSUuZJnkX7DfxG&#10;0z4JfHXTfjbqfgi38QL4cZpbTT7uYpH9oKkRtnB5Xk+xwfSv19/YX/4Kc3n7WfiLWfDOqfC+DQ59&#10;LsUuI5IdXM/ngvtK7DGu3GV53HOegr8b/Btht+FukXlqnlvcazqCXEi9XCpbFQfpuOPqa/Tr/gkl&#10;8AbPwH8JpfjNeXPn6h4sUpCoXi3topWXbnuzOpY9sBfevn8yo0Ze/LfZHZz62P0A0/xs05DLbbeO&#10;ldFpWui7wgH3uK840oYZSSeldl4XTzJY2jBPNeP7GGmgc0uY6ktKV25GKzNW06a+DwN/q2QqR65r&#10;RZnVtjdayfiF400X4a/D/WviJ4oulg0/Q9LnvbySRgoEcaFj/KtFh4ydkiovU/Dn/gtlrdz4P/aO&#10;uPgLpGuW9xpenmPVJIYQGlgnnQny5G9gdwHo4z0r4q3N612Hx1+LHiL45/FrxJ8X/FNw0t94i1ia&#10;9m3MT5asxKoPZV2qPYVx1fUYejGhRUF0NKlWpWlzTd2dR4alf+zFiwdoyR+NXEd2HlkHavSsnw7q&#10;Tx2bIE4jqZPEFuk3l3B25GVr1oSjyrUkr+LWZZYYlPynrVHzpymxp3b5s/M5NT+Ib631CaN7Z9wX&#10;71VDINuVOT6Vy1dal0BuadKTAoY1aHPQ1c+IXhWD4e6V4Vnj1E3UniDwzHqs8YXAt2eeaMID/F8s&#10;St7bsHkVzi69MPlhX866oVFTjZktH6v/APBEDwOuh/s/eIviDJbSR3Wu+Jvs6u33ZLe2hTaR/wAD&#10;mmB/3a+zNb8NxeKIo4JbhozHJncndf4lPsR+oHBGQfFf+CcXgOf4d/sW/D7R7mJTcXmiDVJ5AvLN&#10;du1yAfosqr+HtXq48T3tvrklsCzW8Cu7NHHltqq278cr7V/LfEWOqY7iLEV4PRzaXotF+CP1jI8L&#10;Wp4WmqS1ST+87exgt7KBYbOMKqknA9c5P681qWUpZuTzivOPD/xEv57LzL6xZZvMS3SNkx++zg5I&#10;JG3LxfnXRaZ48sbvUbeztoWbzreF8r/yzMg3c+mFKn8fXAPm06lRSPYqYXERk+ZHXrMyHG6rFtqM&#10;kci5xXLab420HVo7iW1vh/o8/lssmAxBOEcDrtY52nviri+ItO8u1kF8qreNttmPRjtZv/QVJ9MV&#10;bxFenK6bRy1MLf4onaxaordXWo/EOnWXiPRXsLtSV+8hUjKsO43cZ9M9Dg9q5u2121ebyEv4Wb+J&#10;VkBKnBODzweD+R9DWpY6oWj2uflPBX1B6iu6hmTk1zHl1KEqdRTitg8EeOv7cvZNKisvLgjhT7Oi&#10;DdsXGPmfPLZ7AY7gsCCTxRLb6x8X/hv4DWdlmvfFJ1EovRobKB5nz7bvLqxoGnaboNr9n02FVPAa&#10;TaNz4HcjrxXJ+HPEcmrf8FAPBPhqJw8ek+E9QupO+x51kjP0O2JPzr6XJeTFZpRS6yX5nJmcfaRn&#10;KktFFv7ottn1+sjhQBx7VneM9Y0jRPCGq6x4mhil02102ebUI5kDIYFjZpNwPBG0HIPGKvoVKDH8&#10;q8s/blvbrTv2Lvize2VyYZY/hxrRjkU4Kn7FLX9CQtokfmUWfza+L7GOz0DVHhjVAtjdMgXoPkY1&#10;4JpCRyWauV68j2r3f4kXa2vgPWLjdtU6bIit7v8ALj/x6vC9NYC3SMf3SKMRpNGh7poUNvN4b06+&#10;Tdvl0u253H/nmP61V1K1ifORUPw51FdQ8BabPv3GONoW9trnA/LFW75C/wB0VUpcyuHU567srUEn&#10;yvyrPmgiDcLiuiuLSIjlqoyWlqhO9utYypxaNIyPqn/gh18WbX4Nf8FDfAWo399JDa67qzaJcKrH&#10;bKbuF7eJWHcedJEfqoPav6P0dioy3NfyufszeLB8OPjN4N8fQuA2heLNP1Fccf6m4STP5LX9TcMq&#10;uFmU5Vhke4olFxincyqfEWHlZCCa/l3/AOCrvj2/+Kf/AAUh+MniPUbjzZLfx5faZG46eVZP9jjH&#10;/fFuor+oOSRGG705+b2r+ST4t+Jj42+K3ibxrJK8jax4gvL5pJDln82d5Mn1J3c+9dmD96+pByF/&#10;NHb27mUfKsf61n+HZWmXexz81L42uBBYC3Rv3kjZUeoqPwqT5OCOjV0z5ef3RxNS6+8tUrvpnFXb&#10;vqtUrv7tc9ZllCYfJU+nyMiBs96gm+5U2nKHXaRXBID9V/8Ag2C8PRX37YviLxJHnbbfDO8GRnlm&#10;vrFcflur9c/2r9F8Ta8uj/2JYNLBbLM0zRtypO0D9Aa/L3/g1Q0kXPjb4ra8Ew9jotjbK57Cad3w&#10;P+/H6V+3vhfRNL1O0kGo2YkLNhTwc4rz80p+2w/L3NadT2VTmPi3w144+Jnw9vPO0PWtS0+T+IRz&#10;MoP+Neg6b+218YrGw+x6ndWN9tx/x+Wobdz35GfT1weor6I8f/DD4cab4Z1LxTrWkRCDT7Ga6mk2&#10;JlURC7HnA6A9TXmOifs6R6n8INMluvBslx4nu/DtsYby6RYbW61BrMyM0hhbNvD5iFWZkUAsqqGJ&#10;UH5X+zsZR/hVHY7/AGlHER5pRW9jy1P2jYZLzUJLnwNYwx6vL515b/2fFc7JCuC0DSIwjUkBtrB1&#10;yDgKDivQfDf7WHwn0i0jsl+AunQpGu1CPLZj7sfKyT6/jWdF+zDHZR+JLnxJpkM/9kWMl3ZpoUM8&#10;yypHvyjTEbBMcKPIGWGN2SHAWv4V/Zgl8XWV5fRWzWEdrfXVvtdmkx5D+XIWYKFDCQOu0E52ZBPI&#10;BGnmVPRPfyJlhaMZc6jtbZ9zrG/ay+DmoFvt/wAGNP2lQuRbxM2PT7g71a0Lx9+yl4suHuYtNn8N&#10;6hcfL9rtw0e0kpzlSQRmOMn5f+Wa/wB0V4Tpfw81rxJrVn4e0Xw9qsd3dw+ZIk8ce22As7W6bcRI&#10;TgLeRJnH38gAgFq4+fxCmnS3UVxa3kLWeqPYsslu2TIL2SyRhjPyvLGdp7ggnAzjOpVx0dKiT+R3&#10;Qyv2jtGLvvpr6H114n+GXiyVYfFFxonhr4laNZjdaLqFsrXVuOcvG3K78EjcPnAYjoTXnmt/s1fD&#10;/wCLGuw/EX4W6FbrrNgjRto2pXG5rXIO5Ii/Kj2zj5mPBPPlPhb9pLxD8GvEcdnY+LmtbppIkfTd&#10;zSb97AIGjGSAfUgDAJzhSR7Qf2nv2bvGUE2r/FHVB4I1ywt0nuNc064EcaKSQsj88KSrDLDsfmrO&#10;nLD4i8X7r7Pb7zGWX4qLU4wbvqtHr/XkeA/EH4FzaJrjRX/h/VtG1aGdnaR7gDzBz8gPQoQANv3e&#10;ARyM1meHtO+Jvg/xxaeM9Ak1qG4tZFeFLe7n8reAwAZVk2FcO427cHec9TX2dH4h17WYbTT7bx54&#10;F8dWN822yg1SaKK4mbYX2hSSGYKrNxzhSTwDVO98DWM7NLd/slrIWJ3S6Tr6BG/3QjCs5YOUfglb&#10;+vK5i+SWs4/geJzftaftFXa+VeeHLO4ZRjzbnSUZj75IrC17x7+0Z8WpRo2pX94YZRtWxt/3av7b&#10;I+v0r6Aj8IabbYbTv2SLqZev+la6wz9ckita38Q/FfRLQw+EPhl4R8J5GFkuryJnA99mM/jWf1dr&#10;46n4M2VaG0YnlfwE+EfiL4U+IJoPFMOy5vNJS6WFlIeNHkZArBhkN+7J+mPcV6v5joMeh7dqwtC1&#10;DxdqvivVtR8baxb6hepHbwefatuiChC+F4HHz547k1tMSVya+syulGlgYqOzvY5cRKU6l3ufDH7Y&#10;f/BBf9kP9p7xPefEXwFJefDnxJqFw02pXGhwiaxu5HOXle0ZlCuTyTG6AnJIJJNfnh+3h/wb3/tD&#10;/s46FdeOfhPrFl8QPCun2Mt3rGqeZDpt1YRxqXkeSCaYqUVATmOR2ODlVwM/vngelfF3/Bd34s3H&#10;w+/YVvvBtjKyzeM9btdKOyTaRCpa4k79CIFQ+z12SjHcyjI/nnvdJtNC0vyo4VUIud2O9Y72gFyy&#10;vDnbKy/d9K7f4vWn9n6Fb+YFVry/jjUccr1rLGlf6bcf3VnbqvvV8vcZc8HJBZaA8ZVmWadpdn8O&#10;PWq1x4ytlnkiYMFVvkbNPuZL62t1jtn4VcBQOlc3qT6mzBWhi3biW3RispJGin7tkjorbxjatOvl&#10;3Y3L0ya6zTPFun6tb7LqdfMTjdkc147NHqUcu4JF+v8AjTodW8RpOoTyFVT15yaz90XNLqz1i4vo&#10;8sEk/HNZ1pc3VlfiaxlMZZsHFcjb+KNfLbWgjK/3lU1r6Xq15PMiSRfM3TFTUlHl1Y1rsdZr+lTa&#10;xYf2lp7eZIv+sUL0NS/CHT/tPj21vxG0MqqwmU9MYOau+A9O1LVZGhify1VfnWvsX/gmH+wd8Ov2&#10;lvjleaF8RNW1KPTrHQXv7mPS5EikmImijEZdlbap8w5wA2BwR1rz44qOtKPU7qdCSfO9keo/8EOf&#10;2KbzxP8AFjUv2pfFmmbdD8N3EkHh/wAxRtub4rgsPaNG6/3nXBJUgfrWkhbGWrA8AeA/Bfwq8F6d&#10;8Ovh54fg0vRdJg8nT7C1U7Y1z6nJZieSxJJJySa2UkAPIruw9P2cEZSrKpU026H8uy/Frw8w/wBJ&#10;86P/AIDmsf40+JtH8U/BjUotJmDvDqlk7Z64xOP6mo774cW0g+W7asjxh4ZXw/8ADLXJZZmkVmte&#10;vbEhH/sxr0ItrY8TlsdD8BPgj4w+I3wb0RvD2oaSzTeItTK28+qRRzBfLs1+4xz1Xp6FT0YV+wvw&#10;G0XT/BXwp8O+FmaxVrHSYY5v7NiCQeYEG8oF4ALEn3PNfmB8I/2ZPFnjr9n3wP4u+GF9PDNDeXt3&#10;51rIHYSEwITkFWQgxMMc9OtfXP7Efg/9pPSdb1DSvipr1/JpK2wNjBeTCVjJuHIbJKgAdDXz+OqR&#10;nfXZ7dSrXeh9jxeI7C1kVUcN+VdR4b8bwW0fnbfuivO7PQH+TIbp+ddf4f0iKOH5468/n5ooDo0+&#10;J0Ms3+rfrXxn/wAF2/2rrj4f/sgL8LNElaO+8d6gtlI275ltI8STcehwifRjX17Fpdqh3Jar+Vfl&#10;N/wcO+K/tXxb8BeCkOBp+hXF1In/AF1kAB/JK7MvUpYhXA/Ot3JTkVHgn5VXJ7ADrT2GVwK/QP8A&#10;4Inf8E0Iv2gfFdv+1F8YrIP4R0HUCND092/5CV7Gfvv/ANMo27cbmGDwCG9ydSNGPPI2ufBOi+bA&#10;11aTxskkbbZEcYKnuCOxHp2pt/B+8WQL/DXsv7e3hK18Dft0/Fzw1ZQrFDH4vu5oI1XAVZX80AD0&#10;Afj2ryK+Hyj6V1RlzRTXUqyKOz/Z/Sms6L25+lLOzDoa9t/Yi+BFj+0DZfF7Q7+wlmn0X4O6nrWk&#10;+WoLLeW11Zyx9u4V145wcdzU1Kns48z8vxdgseHxuGOMVo+GtDu/EviOx8O6eV+0aheR20PmMFUO&#10;7BQST0GTWXabiWDfwnFWEJDZBq6kXOLSYre8f0ZeGdG03w94a0vw7oG1bGxsIrazWH7gijQIoXHY&#10;ADH0q/DZ6dlpBbR7jkbtvJz1/OvwD+A3xt+JfwK8d6N4/wDh14muLS803UI7mOFpWaCZlbO2SPOJ&#10;FPdT1r9av+CdP/BQL9pT9rrxhrWkfEX4eeC5NH0LTYpbrUNO0uWGYzyMfLUlpXXBWOU8IPuV+GZt&#10;4d47ARlXjXUo7u6s9X6n3OX8QU5NU1G0nofTUOkaa3DWy7XuPOZV43OAAD+G1f8AvkUN4R08aqdb&#10;gby7jf5gO0MvmeWYwSCOgBGBnqAa+bfG3/BYH4EeBPiRrfw/8Y/AvVYo9HmSNdS0XVY5DcMVywEb&#10;7Nu0nHU57V9UQ6v4Ze1W6uLLVbXcV2ieIOMEZHKjGefU/Wvma/DecYFRnJK0tVr0+Z9FRzqlKTpq&#10;TTjo/UwR4I1GLRpNN0nX2hk+0xzedgqSEjVAhwfu8ZxjuPTJsXnh/XGvrB1meSOBESTypgqgGVZH&#10;wMDjEYj7nDY6Zrat9S8NO2yDxPbR7j927/dZ59z61oxaHe30Rn09obqMNgvBMGXPPf8AOuKWGzKP&#10;xQb/AB/I7I5lGX2kzz3StM1zTNYvtT1PSbhWa3eWKS2t1ffI3zHG0k7wZpFBxyC3Yc6un6jreg+G&#10;4i6fuVmKeZJC0PkRpiNmIYkn58sM/wAHJJwc9WfDut7d8mkTFf7yIW/UVFHAgRraSLHZoyvXI7j6&#10;Vh+9i/ejb5G0sdCt8UU9tvIm8H6lqL6BYtqc7NM1qj3G5skOy5Iz7E4rx/8AZ18cSeIf+Col3dWN&#10;xth23mnuGbIAgstjL/3+jY17ITDa25uZTtUDMjeg9a+Of2DPGuo+If2ytJ8dam2y41bUriWfb90S&#10;XIkZv1kxX0XCtWUc2pSb+1Ffe0dmR5T/AGlRzCSWkMPVl8+XlX5n62RzoqYP/jtfNP8AwWA+Jc3w&#10;4/4J5/EC6spGjuNZtLfR4f8AaF1PHHKP+/Rlr3bTtQuH3It1kDp7V8y/8Fmfh58QPir+wdrVn4P0&#10;641CTQ9asdWvbe1jLubWPzFkYADkJv8AMbsFVj2r+lKUlGSP55UZLc/n0/aA12Wz8NWuhBtrX10N&#10;y/7EYz+WSPyrzLT8LtrpPjpqc+sfEN9O24TSw1ttK4xIGO/Pvnj8KwIYhHGBiitPmqM0juei/Bi+&#10;B0e90jP+quFmVfZhtP5bR+ddVP0/z615z8Jb/wCy+LFs2PF1btGPqPm/oa9LuIlxt21pGXNFMozL&#10;ms++GecVpXaqDxVC4Ut0XNUUtjT8A3IW5kt5T8w+ZCa/q08DazD4i8E6Pr9scx32lW9xH/uvErD9&#10;DX8oXheO5k1i3Swt5JZZZlSOOFCzOxOAoA6knt1Nf1Lfsu2fiDTf2aPh7p3i3T5rPVLfwPpUepWt&#10;0u2SGdbOIOjg8hgwIIPIIwamp8KJlsdF8RfEuneDfh9r3i/WL9LW00rRrq8urqQ4WGOKJnZz7AKT&#10;+FfyRTEtcOWX+M1/UZ/wUa19PDf7Bnxj1KRJWVvhprUAEK5IaWyljB+gLAk9gDX8udwyqjzsOBkk&#10;13YFfupepmcX4zuzea35cR+WNcVo+Fyph4/vc1zl3cG51aa5WU7Wb9K6Lw4FWBmj/vUU9btAjUu+&#10;q1Su/u1ZlLHkkniqs+WGM1NZXNEUZvuVNYkhOD3qC4DA7RTrQksF3fxVwSA/bf8A4NTvDksfhL4w&#10;+KZLX/W32i2sc2/rtF47cfRl/wA5r9NJ/wBqfV/h5401Hw+bG1vrGGfEcbxjcnAyAwwfzJ/pX5/f&#10;8Gt+jQ2X7IvjzxYsbLJdeOktHZl4ZYbOKQf+lB/Svtu8+CWleKJpfFE3jvS4Vu5WlaT+04TjJzjl&#10;uK+c4hxlTDU4Rg7Nv8jsw1KFST5ldHpy/tZfBvx1ozaD41sby2gmZftVvsEkc6BgTG/95GA2sp4Z&#10;SQQQSDrfDn4n+BNH8N6xo2m/GaHVmnvrq50GPWFFv9gjk+aKzMiLloo2yqtgsEwp3bcnxH/hQfgB&#10;pPLk+NeixP8A3Pt0TfybFUfFX7NeutoUk/wy+JXhvULtJI2kSbUA22AODKypFvd32BtigfM20HAy&#10;a+fp5tio25kmd1PDUZS5Iytd9dv+AfWfgOPwZD4fsdOtvElrqEsNjbwzP/ajSq7xDO8KxIVi2W3A&#10;Bjxk/KMM0XwvrOieGrzRYbOO8lvLyeSbbebYzHcXskr7fRhHK3OAWKqM8Aj4E+EXg79oj4haxrVx&#10;4EjibT9M1Sy+33V1feZGEmsYrjZbPEFwDDLbTguW/wCPhgQvQdL8T/G/7S3wP0OLWdEXWrzddNbq&#10;LW4lkUSGGVolOzPLypHEox8zyoo+ZlB6453fWUPuO6eR1o4pYaNSLlKzsntdJ6/efXngyy1OyVfE&#10;eteAbtbyz0+aK/3WvlyNvht96wqsjCYs9si5wONoDAKd3I+EvgH8K4fEk9hZ6NeW8f2qxfULL7LL&#10;IkslpdXDLIdx+QvLLHK33skM/JaSQ+CfDL9rv9rPUNc1DS9UsrhoLPVJLC3kmsy7NMltbzNH8y/M&#10;cyyfd5AjyRzXda7+378Tfhj4Yu/EPjjwHBdQ6fA0kgWB4XbH8IzxknA9K7Y5vgamsluZ1stzTB4j&#10;2FtZW0TT32GeMf2MvAvjO4vPEmq6vrFn/bXiRTaXGpI0EllbyGQGTLjzIiguLmCLdhAZIsDABrmf&#10;iz+wS1/491Gbwnr8sen2t28rwXFlA2YrW0imSLfyWjEsoZN24rI75wMGvSfBX/BSr4beJtevPCmt&#10;+BtQt7qwjtprtlAkjHmBmTqBgjbnn2wT1rt0/at/Zn1QPLr1ytl9qDwzNdWbKJPN2qykpnO7ag98&#10;AelJLKMQlsafX88y6tFS5k0lZNJ6NK2mvS1j4v8AiP8AsYfFzUrfwn8LdS8QJqWvLZi91O0Wfy7n&#10;a8EylZVRXEaYLRNKx2MQVH3yyXvAfwl/bK8EfAuPxB4DuryYXmqQ2/h+3vb17NWt57oQR3DhVLbp&#10;S/2hgVH+sx8uMD7t0/4sfAXx1diS28Y6bdzLC8HkyXWCUcqWRoyQCDtXIIORx0Jzu6X4e8HxaNDo&#10;mhyxrZw3Qnhtkk3ID5hkCgEnCKx4UYCgADAGKqOW4GXwzd35ly4kxn1ZYedOLipc1nHzba6aO58H&#10;fCf4QftoS6rqXhjVb7XjZ+HWS0kLeIHm865lRZ5AztGhcqHRhs2oolMYUbBXX3P7L3x9kjbULjRb&#10;iRzwzSXBZ279/evtLwx4bg0W3u5BdmZ76+kupJHjVSMgKq4UAfKiquepxk1pMqsAqjuBWU8hoylf&#10;mbPMxGaVMTW53CK9F9/3s+V/gdpGoaR4TuLTVVInXUJI5Oe6BUx+BU12TcLis/wtLBPpkl5AoVbr&#10;ULq4Ue0kzOP51oMRt617GFp+yw0YdkcdSXNUbG1+X/8AwcXeM5Q3wy+Hwz5ZXUtQmU9GOYY0/L5/&#10;zr9QCfWvx3/4OC/Hmn+JP2lvD/hCwm3N4e8OJFc4/hmmkaXb/wB8FD+NdG+5MT8q/wBqbVWtjoOn&#10;Q7lLXwl49iBW5e2kQ1W4RRgbs/oK81/aE8QXOt+NrK0mt2jFnGow33gfMP8APg16lqMWqSapMNM0&#10;Ca6VsHzI5EGP++mFVJjjLmKkttGExD96sq/0nzD5vlc+y5roo4HWPNzaNDJ/FGzKSOf9kkfkajlU&#10;MMEVnL4S0cnLpjhseSfwUU2Cxi3f6ps59v8ACthre4lZtp/iI6GnR6eQ4V1FY8qLUebRlWz02OQY&#10;C/8AfTVsadpA+2wnYev8Wan0zSoZ32bK6HS9At/NR/JGVrzcVU6I6YU1FGn8LryzTxLNohkj8zO3&#10;hxz9Oa/TL/gh7bonxk8ZEp8y+F41U+g+0x5/kK/OjS7T+zbmC4thsVipcJxnnk1+h3/BE3U2i/aE&#10;8TWKP8svg2R2X123Vvg/+PGvKw9vr8fmely/7LI/TQjadtFMWQMGduxp+4etfTngyVj+Zj+zrduC&#10;tc58b9Khg+D2tugGVFs3H/Xwg/rXtX7PvwYl+MfxEg8HmZo42t3eeZf+WeBhT9NxH4A15b+0VoNx&#10;oHw38W6PfptmsjFDIvoy3kSn9RXRGS5rHCemf8EU/iyLnxD4j+AniG78yB7UatosLN911KpOB9QU&#10;OP8AZNfqd4K0DTl0eK5sbZF8xcttFfgb+xl8Wo/gj+074P8AiFdzbbW21ZLfUDn/AJdpgYZD+CyF&#10;vwr98Ph1q1qbf+yYnLbRlWr53MqHLiefo9fn1NDoLfTFDDditizs8L8tV7WLec1sW0ASLc/TvXCZ&#10;Sk72I7eFk3AAdj19K/CP/gsV8Ul+J/7dfihLW+Fxb6DDb6TGVbKgxJl1H0dmH1Ffsn+2D+0b4V/Z&#10;g+Aev/FbW7lVezsXWxiyMzTkYRB75xX87Hi/xZrXjjxVqXjPxDP5t9q19Ld3ch7ySMWb9TXrZXD3&#10;nP5FU1zbmb7fhX7T/wDBKz44fDX9mb/gm3pF98TfFFvY3y3upzx6Y0ga4lbz5GVRGDnJBHXFfkZ+&#10;zX8LNX+OPx68K/CnSrNppNa1qCCQRrnZDvBkc+wQMa/YTwN+wX4Q8RRa3dal4bW6tdM8QXdlDE0L&#10;uuI2/wB4Z5J4IPWurGeynFQn0d/0HUnyySS3PyX/AGpPirefG79qbxp8WLy3MTa/qTXMcJIPloQq&#10;ohIABKqAucDJGa4HUW2MsR67a9+/4KU/CbSPg1+2HdeGPD+mJZWtxoVrNHbwwiNUO0rjaPdD718/&#10;6sQb0D0WvSp2dNNbG0fhKNx1r7j/AOCIPhu5v9V+N3iUI3k2vwnurNm7Bp2LKPygb8q+HLjrX3N/&#10;wSp/aP8A2a/2Z/2cPi1qPxf+J2maTrXi4Jp2mabNJcNcSrFay7GEcNvIdpe5K7iQMoeRg1x5hKSw&#10;zsm9Vt6oD4XgEkU00T/89P5VPFDI/wAyjvSPJDMzTw9HkJGQR/OpLFi83k9q7qesQNTRj5dzbxv1&#10;81R+tfsb/wAEvfBVj8Av+Ca/ib9pHxGkccniK8vL6ObHzfY7ZHtkH1DrcMPY+9fj54Z0m91jxDY6&#10;Rplq09xdXUcNvBGPmkdmAVR7knFfs9/wVL1S0/ZN/wCCaHhf9nTQL2OO4bT7LQd0K7fM2RKJpcf9&#10;NFW4Yn1Y9zXzfE0vaUqeFjvOSXyuexksYxxTrT2gm/u1/Q/K/wAVfErV/Get6lr+uMsk+pag11cS&#10;eWpYuc9yMgc9OlfpN/wRK/ac+KXxy8VXP7OnxF1Wz1Hw34X8K+do7zadH9pthCQI083AZkVRgA5I&#10;AAB4Ar8q5L5V3IGr7u/4N9dXh/4aq8RaWuoxxz3XhN1hhaQBpB5yBsDvgHnHSvRx2HwawL9pBNRi&#10;7XW1l07Hn062Ini+ZSacnrr3Z+jHxu+J1h8I9Z0+HXvBdrqjXFsWjkhuniMWTyNrbgfu9fwr5K/a&#10;s8dzeKnsvFWiWraRKbwRxrYzMjBVRiMsMc89sV7D+3h44soPi7LpUkp/0OFEVV6Dp/XNfPvxY1Wz&#10;13Q7SK3f/V3W9jjttIr8Hx2M5pSpXtqf214Y8GZZRy7CZlUo3qTTd221Z3S0emq8j0r9gfxP8Wvi&#10;b8Ur7wzcfE7XJbOx0Rrry7rUHlRW8+CMDDkj/loa7r9rrWdU0HwNqHiLTPF+oW/iaw8UWmmSX1tf&#10;vG5tTbzTFcKQMbhGRgdzyQao/wDBJTw0svj3xZqzRnNvZWsBb2eVpMflF+lcL+034vfVvH/jLQrh&#10;y0UniKCUDsrQweUf1b9K0p1FHL+eet7rXXpv+p5uZZThcw8YnQp04qnRVNuKikns3dW13/A49P2k&#10;fj1/YtzoVz8R7y5tLy1kt7hblI5GMbqVYByu4HBPIORWl+xndf2H+0D4WuwiqkevWW75ui+coP6V&#10;580Q27Qa6v4HTnSviBY6osjK1tdRSA/7rg1zZbV9njac+0k/xR+v5xkWT4fKcV9VoQhKpTlFuMUm&#10;01s7I/YqCxjdjLDGqq3oMVY03TbOykJjhCluCwY9PzqGCQLGNtSxyZcA1/Ssfesf5lSgtj+Vf9uK&#10;K5H7bHxcnv4fLnb4ma8Zk/uv/aM+R+B4/CvLJp1Q9K92/wCCmOjro/8AwUF+M9qBjd8TNalx/wBd&#10;LySQfowNeCXQw9Pl/eNGcSfTdUa11KG9tHKzW8geNvcV61pvjfQ9Xt1u1vo4nZR5kMjBSrenNeM2&#10;IDXOD6Vau4cgAH/vqqjU5dCj1LVPFvhyzVmudZt12/wrIGP6Vz9z8U/Dabksma4b0VSP1rz9o0DY&#10;K/nRENrqsMY5P8K1TqvoVc/c7/g1s8H6J4q+HPxJ+MOt/DrTDcWXiK107Qdelske6hP2dpLmFJSC&#10;yqRJASAQDuHXFfrNwDgV8S/8G9nw2j+H/wDwS68E6o+lra3Pie/1LV7n92VaXddyQxSHPXMMEeD0&#10;27a+0/PP96s/bSKGa7oej+J9Fu/DfiLSre+0/ULd7e+sbyESRXETqVaN1bIZSCQQRgg4r+df/gvV&#10;+yX8Gv2If2qbPwJ8BtBvNN0PxN4Pg1n+z7i8aeO0uHu7qGSOEvlxHthjYK7MQzNghdqr/RYs2epr&#10;8Pv+Dqrw1dL+0h8MvFbf6m98Dz2kberw3jsw+uJ1/OtqFapdpO1yZH5JCCRSfl712HhTRUfwTqHi&#10;aXUFR7DULW3+y7eZBMszbs54x5XTHO7qMc4U9mqtyNtWbTVb+x0640iC4K2920bXEWBhymdh+o3N&#10;+ZrOniKlMz5UXpNb0/bgzfdFVJ9csR0fNZE9rG0hcA81E9mRyFqquKn0K5VHY0ZdVtJG3KKbDqkA&#10;lU4bg1nwxlRsP61KIirbiF/KsPbykwP6Ef8Ag2z1XSLf/gmN4s1vRmuftMXxA1Z7xZFGBMun2W3Z&#10;jkgp5Z5wdxIAwAT9F+CvgV4+8S+X9o3WcUi7lV45JJnT+8IkBYr74xXyN/wa6fEDQLb9gv4i6BeT&#10;Zk0n4oPd3kRydkNxp9kqMcdFJt5OePunkV+ilh8UfC3iXV7fR59Ji1a1kkDM1vqQuIt3TJjUBUb1&#10;OAT3NfHcUU44mtTjJ2sunmelgans4y5V1OQ1T9mfStMt/O1TxlfWKt96e+8P3EcWfXftwPxxWP4t&#10;/Ze+IkOivqHg3W7HUrfb8t5Zt5yL743Dn6n8+le76p4ENqJNU+Hksmk30a7o/sshCv7MnQj1GK5W&#10;013T11JjqMq+DPEUfMl3awkWN83q6LwpPqAc14ksBGEbnTTxE3LTdd0fMPgzwt8Rfgh41ttU0PxF&#10;dQxW8k15LHe2qtcHUn+Q3iSYG1jCzQlQNuwKoCgEHpfiv8ZvjB8Vb/w/Frup6HeWGi6lDf3NvqWj&#10;iRrmWC4t54l3Ky7QTCUYkN8kjjBzx9IXN3beLbby/HPw8sNZ+XnUvDd3FKxHqYvvA+2M1zF58If2&#10;c9bvPKXxTJo9wWwbfVrZ7cg+nzg/zrNUq0fdiz01mnNiFXqpOSTV7Lqrff2e607HgXwm+MnxI+Hn&#10;7RXiDx/rPgDR7iz8QWpnsIrOQnT9IkZLdLiAQ4jZ3la3jk85s427VEe99/dfHX9qC/8Aib8P7jwR&#10;f+B7O3tri4glvnsFlM00MUyStBEpEiK0gTbuZXCg/cJ6eq2H7HPw+1WP/iVeKbW7zyrRXsbZ/Sod&#10;c/YgSDcdPuZl+XO/aHA/I0/Z4yO23oaYjNsPXxVOu4pOKila6+HZ+Ttb567tni3wK+M/g9vFd54o&#10;+KvwImt7jxFp9nf6zNaXUMkP20WlvA8KxXFuZY1RoZHUCZsecQ+4hTXWfF/X/wBk3x1p+j6VB4e1&#10;7S92sxXVxeWlumLaO3Pm+YQG/eDd5aFVAOJN/IRgdU/sfeKPtBjXV1Mef4oWB/lWpp37E2u3Me5t&#10;YkXd1CW5YVVN1YpJwT+QVMbh62LWIi3G1rJSfRWWru9Dy74Z/AnwFefEjTbLTvjXcWenzaXMdYh1&#10;KGK1WG7S3shFAvzSI/ztdsWil2DYq73wHf12b4A/GXwXarrvw2+Ji3Vt1jZbgojDt8wZ4/zYVzuv&#10;/wDBPjUhrz+N7GG3k1jaf9MmsyjvkYLM2OWK8bj8xHBOKwT4J/aJ+Ct5/bGltqVpHE2DLp8xZP8A&#10;gSqTx9RWsqzjK8oOK7oyxtWOLqRnCV3ZLVJfit/J28jtrX9qD47fC3UI9K+IGkO+ejTQlC49Vbow&#10;9xmvWvBf7YPgPxNos73uo/ZLyOzlljhmX5mKIWwMdeleR+BP2l/D/wAQV/4QD416NYxi4Oxb97cL&#10;A7f9NUH+rP8A00j2kHkhqo/FP9mW48Du3jDwTdmTR1kCSW8jAy2bSHaqk/xodwww6g12YfMMVFpR&#10;nzJ9zyqlGntONn5HpHhS3+w+GdPtm+8thDu+uwVobxUNvsWNUjxtVQq7ewHA/SpK+0jHljY5OVBM&#10;wK81+B//AAVA8f8A/C0P2xfG2vNKWSHxBNZw7m/gtgLcf+iq/eDxVrll4a8PX2v6jMI7eys5J55G&#10;/hRFLE/kK/mz+P8A49k1PVPEXxB1SY+ZJ9ou5j/00YtIf/H2NMcabd7Hxz8XdXTW/iXq2oQkFFvD&#10;HG3smB/SvoLTLmJ7KO73/wCtjVh+IBr5nW2a7naQuS8jFmLdya9+8Im4vvB2n3aEfNbKPyGP6U5P&#10;mZlTL15cJJKxWqdxt2ZdcipDnOCO9R3X+pNRL4S+pTtpI45PufxGrqIjkMgrOj/1341oWzVjeyNI&#10;tmnpMZhm3NjFdBYTYGRXOWUu1uTWtZ3JXFePX5uc6oyudpbvFd6X8y5Plsv0r7o/4IlX8r/tMXyb&#10;vlm8F3CsPYXFqf5ivhXw6FurLaPevtv/AIIlyNB+1NdRf3vB92D+E1vXHh4r61GXW56kny0ZJdj9&#10;W3O37/406myqC3I9acOlfTR2Pn5H4o/sDeFBp19qviu5jMd1tSBFfhtnc/TJr5+/4KNeHx4f134i&#10;24jwlxBa3i+3m3duf55r6dvtG1Ky1iSe3hkWRuRJHlTWvon7NHwy+P2sx6D8X/CK6pb6lJb219JL&#10;dTRySQiVGCl4nR8AgEfMMdsZNcdHEOVZuS300Od4bljoz8aEXABU4brur97v2UPiPZ/ED4X+FPG9&#10;teq41bw7azswbP7wxDcPqGyD6EUftKf8G2n/AATau9R/tT4L/EL4h6BNdw5/su31a3ubO1YKB8vn&#10;wvMcnJIMp9iK7D9nX9gHWP2ZvhXofwu0X4hWOvQaI0qw311pklrJJG0ruAyiWUbgG2kjAJGcDOBj&#10;mU6dSKSeqJtI9C0u4YWwDSNuJyK1I7yaODMm7bt710Xwx+E+n3+vraePfEcOnWKrnzoA0hc/3cbR&#10;t+tfRngz4T/A20gVNCj03UHVfvys0zD+ePyrwauIjRezYo0qlTofzh/8Ftf2wLv4u/FiP4FeG76Q&#10;aL4dkEl6qkhZbgj5QR7A5/EelfC44Xk1/Tl/wWP/AGB/+Cb/AMVPgFq3xU/aQGi+DtW0eyY6f4u0&#10;cpbXyMASI9hC/aASeI2Dcn5eTX8zXiWw0qw169tfDV9cX2mx3Ui2N1cWwhkmhDEK7IGbYSMEruOO&#10;mTX0GW4qliKHuRatvf8AzNeXk0Z9wf8ABGnwZ4e8EeFfiV+2vNZw6tq3w7SwtdN0WZWUOt1MEkfz&#10;ADsOCMHB6N65r6p0H/grXpngzVNc8Dax8L7mzTWtRk1BbrS75ZbiGW4RX2gybVUA/wAW1jz0r5B/&#10;4JofHvSvh/8AAPxz8H9d1qG00/xJeLPeWU5jRbtoxGYxvK7hhkHRgOPrmn8X/hn8RfF3xUtdd+EP&#10;wu1jWNPlt4WlvNKsZZ4Q4GCNyggYAA60Swvtqk5VX10s+hhKPNU5jyv9vv4qa18XP2lU8b6483mf&#10;2LHFGJ5WkfaGlxlj1+99OOK8Yv1DRFiPm9a+lfj9+wz+0xe+GtQ+N+reA5rHT9F0vzLxbyRFm8tW&#10;JLhN27ADEnjoDXzDJdyITFIp5FetT5Y00kbp6FaMEzfMc02+0LVby7jNlp0s27BXyoyxNSoW8zeo&#10;GPdq/bj/AIJ+fBnw5rH7JHgXXL34dWNjfTaDFFdSNp0azTFMx+YzAbssF3ZPPNTKViZH4mz6Fr2k&#10;Rr/bWk3Fqx5CXMLRk++CKW1zHKGIxkV+rf8AwWm/Zz8NeHf2TbPx5oXhy3hu9P8AFVstxdRphhC8&#10;NwpBPu5j/IV+T8Mj4Vn/AIa2py5o3QJn1l/wSG+B4+N/7f3w+06eEzWOgag3iDU8LkLHZIZ0z7GZ&#10;YU/4HXvH/BwV8d9V8U/tB+H/AIG+GtNmvE0DSftVwYWLfvpnKqpUd1COfpLXVf8ABuN8K0sbX4kf&#10;tN6pZsIbW3j0HTbnPVsC4uV/9J/1FfcsP7Hvws8R+LZvif4n8E211rmqKk17dXUe9920ADnpgADi&#10;vl60/r3EFltSX4v/AIf8D2aMo4fKZyfxVHZem7/y+Z+FHwd/Zr/aE+M1/fWth4G1S3aGxaaxjOiz&#10;lLuXOBGJMbVJznJOMZPav0W/4IOfsC/Hv9nr4++LPjN8fvB39ln/AIRZdP0hvtySiQyzrLLwpONo&#10;gjHOPv8AHev0G8O/C3RNARbbTNBt4VAx+7iAroLLT38O6NqUtsmHFq21h/ePyr+proz6u45XNLrZ&#10;fic2W0/aYyK7anwz+0s8njj4x61fbWZVvPKB/wB0cj86888Z+GVtdGMv3QrD2r2D4p+GH0j40eI9&#10;HuE8v7Lq0qsre53A/kQfxrhviRYhvDcojXlZK/A8VTqLFTUlqm/wZ/opw3ioUcnwNKkvd9nTt6OK&#10;Z9Af8EoPD7WngXxv4ykjb5r5LcMB/chY5+uJD+dfM/xZ8M+PPDfxK8QL8QtFnsrjUdevr6yE0qv5&#10;1pJdSmGQFSeCmBg4IxjFfZ//AAT70pfCX7Hd5rcybf7U1a+uRjuqrHbj/wAeU15h/wAFM/CqaF4v&#10;8KsY8TTafcIz7f8Almsilf1LV9NLAw/1XlUW8OV/e7fqvuPxrKc7lU8eMRTWqqSnD/wXBfrE+VTC&#10;dx2pWt8Onlt9Xkb+LZhfrmqbA7WGccVb8FlrbWkd0Dbvr618nRk41Y+p/SuLipYWUZdj0jw//wAF&#10;xfj54X1WbSfFPw+8L6rFazvE3krcW0zhWxktvZc8dl/CvTfB/wDwXi8DXZVPHPwF1azzgGbStaiu&#10;fx2yJF/Ot5f+CXH7KHj7w3a+JLnwVeWV9qNrHcTXWn6tOuXdQzNtdmXkk9q4HxT/AMETvhzebm8H&#10;/FzXrNuqLqVvDcqPb5FjOPxr+lsPWk6MX5L8j/LjMqdGnmFaEbq0pL8WflH/AMFHviV4Z+Mv7a/x&#10;C+K3g2wu7bTNe1v7Zaw30arMu+KMtuCsw+9u6GvBLk5c/Wvof/gpJ+zjrH7Ln7U+q/CvWdch1Jls&#10;bS7hvobcxCWOSFcHYSdpBUjqelfPF0MSMP8Aarupy5nc8y1iraswuhhq1X/1ANZNudtyDWo0v+jA&#10;4qgKLAZ6VJZW0tzdxxQR7mZsKq9/aoycnNei/slaNpuvftI+C7HW9H/tCxXxFaz39h5uz7TbxyrJ&#10;LHuwduUVhnBqpNRjdgf1N/shfCuT4E/srfDn4NzFVm8M+CdM0658voZorZEkb8XDH8a9D3L618me&#10;F/8AgrL8J7wJF4p+Gmu6e38X2OaG5UfmY/5V33h3/gon+yzr+1J/HE+myN1j1LTZk2/VlVl/Wufn&#10;jLZmh7ruX1r8kv8Ag6m8FPdeDPg38RooP3dlqGs6dcS/7UyWksY/KCSv000H9o74D+Jgv9i/F/w3&#10;Mz/dj/tqBXPttLBv0r4d/wCDmDRofE3/AAT20TXdOfzP7L+JWnz+dD8yrG9nexE59N0ifjitqMv3&#10;hErNWPwPuSSvNUpSc9au3KlU5NZ91MsXLClU2FGMr6lmFFKZK1FdgBAQKls2EsTEdqbcQs8QbNZM&#10;1lYzpf8AWGp0Khuagm4kIqdOWpWEfs//AMGkN7MsPx60xpW8sN4YlVd3yhiNUBI+oUfkK/Yq/sU1&#10;DKENnd8rKMY57Gvxs/4NLYpobr47TOv7tk8Mjd7htVr9l1uwE27P1p1FGonFo0ptx2POfjh488Q/&#10;CLw9a6x4YuLrULqe92GC8vmCqoUszjgjIwB93+Ksj4J/ELxB+0Lo2o6x4j8K29q2l362qrd3f2jz&#10;GMUcpwyRxYwJF4OevWpfj68epagtm0mRZ2Ds3HRpD/gorc/Zn0C10P4RWNxBEqtqtxcaizKPvrLK&#10;xiz9IREv0UV8fTo/Wc9nQ/5dxjdrz0/U+glShQydVpx96T09Nf0X4l5/A8dvcIz+ErGYKP8AlhO8&#10;ZHvknivPbD9qT4N+I9RuNFtfixND9jbZJaa3+9hwPl2gXCKpHH3lYnvnvXtUt0hDRMntXzV4q/4J&#10;8eBz4sv/ABP4CtoYlvpN62dzcMvkEj5gr4JIz0yeM4zwK3zPLK1OKlhI37q/5HNgauCqSaxOnay0&#10;+Z6FpPiD4WeJNYhvPCXj2ztpI8/aINHnSQTehWNZXKe/OPRRXYj4vfEfwrq6W3hTWkurB1Bgj1bM&#10;b9OQSQBjP+0Pwr4t8T/sreKPCWozDX7fxEsZbKrb3Jkh29hgeYD+mOMgdTgS+B9Y095dP0H9o/VP&#10;DGoQso+zw6/bWzIjDPzKhV8+nT3r5j69Wo1HCouVruz24ZPg8RrRk38m/wArn6Fp+1J8TLJNsngf&#10;TLplP7z7DeCZh+Ck/wBa7z4cfGx/GukzXGsWq6Pe+b5UNpfN5RncjKiPfjcSAeBzX5g6e37R3hXx&#10;Fofg6T9qlb5dW1CGK0tdU01LuW5DsOPNZmxkZ+Y5FfTn7WXiQfAD4aQ+M/B9vF9sk1eO0jhmY+Vt&#10;ZJHJGwq2cJ/er1MPip1sPUrJ+7DfXYxfDtWrjqGFpazrO0dGrv5pfee2eP8A9pT4h+FbD+04NMSO&#10;CS5a2ja4gYZkUnI575B47Y9q5nRP2t/ibrV19hXwfpWoFhl43j28eucivjbwZ/wUC8aeIvEf/CJ6&#10;x4IW48yONmmt9SKr94hQVljkz3/iHWvTLv8Aay0nwPoN/wCItc+Hstra21s73c1rp8EjNGoyRkeW&#10;x+nQ968pZ5Rq3ftGku562acA8QZFWp0MXRSlU+FJp32Wln3PbPGem/Cf4zW3l674Wbwnr7DFtqtq&#10;fPs3b0lZB8g/2m6eoHFYOk+LvH/h+2tPgf4+05pmXVLN9L1NZtyyWgmV9quOJYzgFTnjn14+Qviv&#10;/wAFQfDGg6npmtfBHSNJ1SHY/wDaml6ppN1EzNuXaFcsFTA3dA2fUd+8/Zc/4KIp+0p8VfC/wjvv&#10;hXLocn9pTXVvPFrYuoAVt5WYbHhV03YzneRkDIJ+YLD5nluIxlOmprmbS0vrd+ljvreGXHFHKamP&#10;qYOSpU023JpNKKu3ytqVrdlqfbLn5sY6e9ITgZNNRsnBpks3y7Qtfp8dj8yPGv8Agob8R4vhl+xf&#10;8Q/Ey3HlySeH3sIJN2CJLpltlx7/AL3I+lfzn/tM6utj8MdSJfDX1wkX0y+4/oDX7hf8FzvFNpof&#10;7H1nor3kiT6r4stkjhjPEqRxTSNu9VBVD9dtfgn+1rrgfQ9M0WJuZLhppF+gwP5mmdEfdpXPEdPL&#10;CdVB/hx+le5/DGUz+BbSONm/c71IB98/1rw6wjcXKvj7vNevfBq6LWd5pbN911kRf9krg/yqZHHT&#10;3OkbkZxUF0paPFXmtGZcp0qCaAqu4mn9k0Mm1ibziprQtwM8jvUSKsUjSMKlifLEhTWVTYqPxF+y&#10;UM+NtbNogwBtWsfTnKSb2Hat2zQMN+K8msd1Fx5dTofAs52yKTn0r7k/4Im2Mkv7VepXGSVi8H3j&#10;fTM9uv8ANhXwj4Sk8qXJ781+hf8AwRB0ppPjn4j1NQP3Xg6VPxa7tf8AA/lXJRj/ALXA9Hmi8PI/&#10;TcF3j3SHsKPOT1ppdi5HrUY4GK+gZ4UtWfmz4h8CXiXe8wL+VdZ8GfC0sfii2e5i4DDn0Ga7zV/A&#10;0N/J+8i3Vc8IeCk0LU1vlk+VV+6a+fjio30Cx66k5kVU85m+TIZmphLEffb86xNN1tJLr95Jwq1f&#10;Gp23Zq5sViLy9Q5OxcZzt2Fu+TzThMyncjBe429qz21CBjkN/P8AwprX0IXIP8/8K89uMtWUqbXU&#10;xfjT8E/hL+0Z4Z/4Q/46eANL8Vacmfs9vrFqJTbsRgtE/wB6JscbkIOO9fLPxV/4IR/8E9vHltDH&#10;4a8G+IvB8sUjNJceG/EkshnBGNrre/aFAHUbAp9SRxX122qY5xVa61It34rSniq1KNoSaQRp80tT&#10;5V+AP/BLn4MfseWOqXPg29l8Ufam3wyeJLWE3EKgD5d6KFODkjCL1/Gm61+1z8E/A17N4c8Z311o&#10;bWrbGWXTXlTr2+ziQ/mBX0treoxmykWV8Ky4zmvzb/bo8NCP4o31/bLuWZg5OK7KOYV5Ss3c6cPg&#10;YVpOLG/tw/A3wz+1bFe/FL4e/tvabBZaf4amuIfAsOpKTdGGJ5CotzMjiR8bSGjJ56V+XOsWgtbh&#10;gQ3ysR8x7V9WaxpxJbcn8X933rc0v4a/DzXPB8UeteF7O5upJG3tJbglR25NepTzjljaUD0/9W3N&#10;r2dTfo0fFOWzuTafTPav6oP+CZ/wJ+C1t/wTv+F/j7xVNFfalqnw+sb55Li8BXzJYN+VUHjk8Zya&#10;/Au+/Zf+Es93sl8OSRrK2N1teSIc+wzt/Sv0u+CX7Y+o/smfAHwj8ILb4eHX9N0HRorGxuLjWPs9&#10;wI06byInVyAccBelbyxaxFFThpbc4a+Q4+nUVNK78iz/AMFzdCSP/gnZ4mvLFUH2fWNLeTK4+X7V&#10;GpxjvlvyzX4ROQOh+Wv1/wD+Co/7bng79q79kXUPgl8PfBWvWetXmrWc8v29bdbdooyzMFdZSxO4&#10;J95Fr8yPhT+zl4w8bfGfwn8OPFenXGk6frPiGzs9R1eTb5NnbyTKskzPkqAqFm59Pwrvo4rD+w5r&#10;rQ4KmXY6jK06bXyP2c/4J9eDPDv7Hf8AwTa+GeleME+y3fjTWNOvNU42lptVvYVhDD1WOWBD7Cvt&#10;mys1jY5VcLwBxxXwB/wVc8SfFL+zvg7ofwo+HOt6l4etvHWm3+qapoulzTWdna2k0TKsksalIxuM&#10;RXcQP3Rx0NfoVBECiqg27VGa+dyGLqRqYmW85P7l/wAG505o/ZOnRXSP4t/5JDTFHndis+O2N5f2&#10;emqqn7VrEKt7ojeYw/JTWvkRrnHbnK1H4ItBc+PrCE/8sYJ7lvbI2D/0I1WdN1alCgvtST+4Mtly&#10;KpVt8MT5H/bV0CTw7+05r9xs2pqSWl3CPY26Ix/77jevHPGEHn6JdJ/sZr6r/wCClnhays/HPhPx&#10;qrr52oabc2Mi+qwOJE/Lzn5+g7V8xanam9gktQPmkhYbfwNflfE2H+r55Wj3d/v1/U/uDw3zL+0e&#10;DcvxMt1BRfrBuP8A7afWXwA02bRf2MvCegqhV72Bnx6i4uZpVH5FDXn3/BV+ET+PNBiUDdbaKsi+&#10;2+aUH/0GvX7Anw98KfhloMyAPHe6DbOvTnFohH6tXkn/AAUyV774tJas+4x+GYPl9P3k7V71aKjw&#10;xWp/4F+p+QcD1njPFlY1/aniZX+aX6nxtNGokYY+7Vnw6RHfCUD7oz9KifldoHfv3qfQkZbpSf73&#10;9a/Nqcv3iP7CrLmps/WH4BaZpXiH4G+ENWMbFp/DdkZGH98QqG/8eBrqn8FaZJ90yKfXiuP/AGGr&#10;xdT/AGWvCdyRnbazx8/7FxKn9K9W+zkkDZ3+av6TwM/aYGlLvFfkf5hcTUFheI8ZRX2atRfdJo/n&#10;9/4OUvCVr4W/b40iS3m3NffDHTrmQbcEMLy+i5/CMV+dM5JYk/3q/VL/AIOovAF5o37U/wAO/iXI&#10;P9H1r4fNp0Py9ZLS+nkfn6Xsf0/Gvypm6n/er2aNvZJngyK8P+vrUb/j1FZJ+/WouY7dAfSjmsSV&#10;a+iP+CUnw60/4t/t7eAvhzqmrSWMOqT30f2qFQzIw0+5ZcA8H5lAr53PWvoD/glf4sbwX/wUR+Du&#10;si48oS/EDTbF22hvluphbN19piM9s5p1P4bA/ZLXf+CX/j+zZn8K/FbTrr+5Hfae8P5srP8AyrjP&#10;EH7Cn7T+hHbb+FdP1RR/Fp2qJ/KbZX6Vv4PUx/I+TVV/C16DuFt+WK83TsaRifkt4s+CPx68MTMm&#10;u/BzX49v3nh055kH/Ao9y/rXz1+3Zea1/wAM7ano99Fe2qw3dtK1rKrRjcJlAJU+mfSv3kufC1z9&#10;77E3udtfK/8AwWR+Htlq/wDwTf8AilJLpsbTWuj29zHJ5I3J5V7by9cZ5CY+lVBx5kHJrc/nJum/&#10;d8ntWNq0hV8A1p6vw+BWTqA3Ng/3a75+8gLmjTZiK1bl/wCPes7w6wS48vPGO/YCtq4jVoenSoCX&#10;vGDP/rWqwgy2Kbc2zC43LQN2eKAP3a/4NYPhlbaF+y58Rvi+JP3/AIh8bQ6WV9IrG0SVT+LX8g9O&#10;PY1+pXml1ypr+dv9hX4v/Ef4S/AbRl+GnxI13Q1upJri6XSNYlt0kmMjKWYRsATtVRz2FfY37O37&#10;eP7YviT4kaB8OtP+M15fR6lqUUFwupWUF0yw7gZG3SIW4QMfvdq46mMpU05S6HoQwdSUVZo+4PiV&#10;4jufEMXiCbSnb7RcajHY2f8A10dlhT8MkV7xoNhaaJpdvo+moFt7S3jghQfwoqhQPwAr48/aZ+O4&#10;/Zq8G2vjOz0u31CZfEFtLFZXUrIsxRd3JXnhsH6iuW8M/wDBbbwrKI08VfA7ULdekkul6xHMPqFk&#10;RP8A0Kvm+G5e2nXxMnrKVvktf1PYzinUjRo0lslf8l+h93uSWJNIWwDg9q+XfCH/AAVj/ZR8TlU1&#10;fVdc0ZnwG/tLR2YDPfMLSfyr0jwl+2j+yr4yk8vRvjv4bVz0jvtRW1Y/hMEr6rmVj5y0o7o7Lx0R&#10;OqxuAw2H734V+Un7fOrNqv7RviKS3by1s5I7ZTHx9xK/U/XdZ03WI49R0nUIbq2mj3wz28yyRyKA&#10;TkMpIIxX5B/tC6zc+Kvit4h1Rvma81yUr83UByK/EeN6zeMcU/tfkrH9R/Rvy2nieIquIqK6hT69&#10;5SX6JnUfsjT3Vl8SPCep3crSND4lt0kaTr/rwMV93/8ABTjVpY/AXhzRhJ8k2qTSsvrsh2j/ANGG&#10;vh79n22Oi+OdJ0+/QQzNqVnfRo45MbmKVHHsVYH8a+tv+CnOvyXGs+FtBLYWKxuLhlz/AH3QD/0A&#10;10ZPiHR4cxie/u/izszbARxHixgOVXipVZeVkm1+Z8xfBBZL74xJGxDK2p2UIVfZwT/Ovpb9qvw7&#10;a6d+zx4ilji+ZtPcrxyAR/8AXr5v/ZcX7Z8W9NdiP9I8TWx3DqB5qj+lfTv7WWtaZqX7PXjbTrG5&#10;8yXSVS0vFXny5DHBMB/3xMh/GvHwPvZfWb8/yPR8Tly8aZTTv1j/AOlxPzTW3RH+9+tfRn/BMSzR&#10;/wBsLwiVDZRbw/gLOavnxkYyY296+kv+CY8Ug/a98KgJ0hvix9B9imrhyFXzrDN/zx/NH7nx82uB&#10;cwtpajU/9JZ+p8cki9T2FB+YYNMiJJbNPJx1r+kGlY/zPPzT/wCDhTxDrSw/DfwyYJF0+RNSnMwX&#10;5XmBgXbn1VTn/gf1r88/2tv2Xbbwv/wS48LftRaxoFr/AGt4q+LklrpuoLFmZdJhs7mJUJIyoe6i&#10;uW2g4ZVib0r98P2oP2X/AIS/tbfDOT4XfFzTJ5LMzrPZ31hIsd1ZTDI8yF2VgrYJU5UggkEGvkX/&#10;AILxfA3wXoP/AASa1Dwv4P0KOy0nwBqGiyaLZR8iCFJkslUFsniOc8k5PU5NYqTRpKadHlR/PLCi&#10;LLuxXcfC/VTZ69FuOI7iMwye3cVx3kyA7ttXtHuDZ3HnO5Xbynsw6Grauc63Pc8pj92PlqrcIGDJ&#10;71T8P+J7XXdJhurOZTLsXz41PINXp545CwMTUr9DQoyQ5yMVGt0kT4K/dq2xBO4Lj6VHIoXkD/69&#10;TU+EcdxY76Jkw52+5rb0/UAIMRxySfL2zjpWVZgBwwKr9VrYtFRo0DMB838OK8mtGXNojqpml4V1&#10;CSecp5DckDmv02/4IX6RK/iLxxrix/6nTLW3ZvTfI7f+06/MfSligvkKSfxZZV4zX6yf8EQvhv4v&#10;8LfDbxb438Q+H72xs9bvLKLTZLy3aL7QsSzl3TcBuX98o3DgkEZyDjGjB/WoyOt1Ixw8j7qPAIzS&#10;FcDOad5iHp/KmMSxr2Dy03I+c9sfdKr310LaM4WjzsdTVHV5/wBycGvhEzqUF2K763Kr7kG3/gVH&#10;/CTXvY/+PVkSzsHPp9Kj+1R/3hWsuWVjSNOPY3V8XSxDbLuz7NTh4zIOcN/31XM3F7bo/wA5/nUM&#10;mo2gQ8/zrmluV7Fs6pvGJPIT/wAeNOXxUkkGXGDn1rizq9uDgH9Kgutc2j5elI0jhrbHV6n4mhNs&#10;4Yj7vSvjj9rvRTreuyapGnbGPWvom/15njYBu1eV/EXQ4fEbvFdfdboR1FEfdnzHbhYeznc+O9e8&#10;LCNSxXOP9mpNC00CHIiC9uK9q1/4LhYZGV9y87TmuLu/B7aPuBThWzW3tlJNH1eBlGTRya6LHd+J&#10;bG1Mm1Y7hXfjqM9P0r2L4g6vBqGmQwqfuQ/Lz0ry2NWi1T+0MfN6VvXOpT3cKhuflxXpYepJYdwT&#10;3N6i/wBoU+xxfiuMvNs2H61naXpvmXAlSHG3/ZrsZtAOoOWeM+vSp9M8LIsm0CpjHoZYis+Zo6j9&#10;nuXxHoHiWG58J6vdabcTSKkk+n3Dwuy56EoQSPavuPwJ8X/ilYWsdmfGd1cKo63mJmP1ZwW/WvlP&#10;4BeGIo9ZW5CY8lPl+pr6Z8N2cSwrhPm217FGnGVPVHzOOjTdTY9X0345+KIY1GqWFrcKfvNGrIx/&#10;Uj9KuaJ+1j8Ofhzrp8QeNLLULdLm2WI+TCsiwgMxJ6gkc9hnjpXD28CNaqSnNeSftFSf6CsQX+E8&#10;D61hjKEYctePxR2JwGDo4mq6L0Ut7Hov7Zv7Qfwh/aMuPCsvwn+IGnXjaPJdG+gvLhbKRPM8oABb&#10;koZM7T9wN0ryP/hHdbt9Vt/tek3Ecc0ixRzNC2xyTgYbGD17V87eKII1nc+XyPWqXh7xZ4o8Iaj/&#10;AGr4U8T6hpd1/wA99PvHhY/ihGa+CzfL6eYYx4mcrSdr9tFY/ofhnO8bw7kdPLqUIypw5uW91L3m&#10;27vVPVvofqN8XNUitfG3w58N221Vk8d2Uaru/hjkU/8AtPFeT/t83gvPj9qFo5B8nTbeLDdfuFv5&#10;NXzHoX7VnxsW40PVtX8cSapceH75LvSZdRjSV4plYsHZiN0nJP3y3HHpWn8Rf2sfHXxV8c3Xjnxp&#10;oeny3VzHEkhsVaFTsjVAcMWwSFyecZzgAcDoxEOfK6lFatyi/klqeNwjhP7Cz3D4mvtGnVUmtfen&#10;KLVutrLU5DUVW3ma32fcJGQetN0hv3wB/vVp2+j3HjzVpBolv5ckhLxxzMBljztDf44qwfhp480Z&#10;w+peHpAoH3o5UfP/AHyc/pX57LKswoyv7N28tT+lMDxdwziYqn9bgp9Yykov7nY/S/8A4J43fnfs&#10;keHZZW2+XJfD8Ptcx/rXqk/xD8J200MU2swj7QubcBsmQYzlcfeGO4ryD/gnWVP7Kuj2kjLujurx&#10;HTd939+/B/P9a9lPgzwrLGi/2PAqouFWNdoA9MDt7dK/f8n/AORTQvvyx/JH8A8ZQwr4yzFyvZ1q&#10;jTi11k31ufFv/BwB+zv8Pf2if+CdviT4hzWscviX4Z+VrPh++j2+bAjyxJcwtkbhHJAxYrxl4om5&#10;24P84c4ZWYMP4q/qP/4KvaZYaN/wTU+M1ro9hDbq3g24LLDEFByyAk4HUjjPWv5crsu0rOwP3q92&#10;g/3fzPjKyjGTUdim2N/zGvb/ANpP4eeAPB3wS+BvjfwXYrBdeLPhzeXfiL99uM99Dr+qWvm4/hzD&#10;FAuOn7v1zXh7KrPhhV+bVNU1SytbDUdRnuLfT4WhsYZZSy28ZdpCiA/dUu7tgd2J71pa5kR5zzXr&#10;v7BF1Bp/7afwn1K5j3R23xL0CWT2VdSt2P8AKvIhgDArvP2ZNeHhj4++D/EDNtWx8TafcFvTZcxt&#10;/Sql8IH9dyhSqkqOacKVFGxcn7y5+maSvNNo/CFfP/8AwVM0q01H/gnb8aEuEB2/DzUpRkdCkDOD&#10;+YFfQFeGf8FNYDP/AME8vjaVb7vwv1k/+Sr04/EUfyra5IYyWx/nism4LT5cHB6YrU8Qd/8APpWH&#10;c+cHYof92u2XwmZ69+wN4Y0nxj+2v8JvB/iDTo7zT9U+I2i2d9azrlJoZb2JHRh3BUkH2NQ/H74S&#10;a38BPjR4w+B/iKdZr7wj4kvdHuZ0XaszW87xeYo/utt3D2Irov8AgmJf6Fo3/BQT4Maj4onSOyj+&#10;J2iGSSQ4VX+3Q7ST2AbGfbNfUH/Bxl8GrX4Vf8FL9b16xVEh8ceGdN14QxxhVR9j2cn1LPZs5PUs&#10;5J61KA+AJ0y/Wo/Jw24NU9wCspFMjAeRU9TigEfvd/wRL/Z8+Cvxg/4JneBdV+Inwm8P6xfR3WrW&#10;/wBuvtJikmKLqNxt+cruGAfXivonS/2H/wBm34TeNLX4l+BfAX9m6vb+YlvJDfTmNd6FG/ds5UfK&#10;xGQOM1yf/BAbwtBpv/BLP4eXE8HzXl3rMy8/w/2rdKP0UV9A/FvXdN0/xlaeGYV/e/Y2uJF3dOf8&#10;BXzOeTeFwVSffT7z2cDTdbERUb/8MfPn7Rf7J7ftfE6K/jWXRbfQZVMckdp56yzSISQy716Ls6Hv&#10;+fz/AOL/APgj58aNMAPgz4o6Hqa4+7eW81qf08yv0N+CHgzzfAy+IF5n1W8num3d0LlYz/37RPzr&#10;qbjwddMeP/1Vnk2G+r5dC61er+epeYY6q8ZKKekdF8v+CfkH4i/4J5ftm+D9xi+F66tCn/LfSdTg&#10;kBHrtkZH/wDHc15r4q+FPxv8GSSSeLvhF4ksVibDyXWjzLGPo2zafqDiv28l8OzqrRtC/wDte9Zd&#10;1oewkPAGX+INHmvZcpRiccavM9keW/Byxi+HP7IfhuOeLyWsfAcMsysu3bM1rvY/Xcx/Gvy38Z38&#10;k2vrfL8zTXjTc/726v1O/as15fDPwD8UXIYLjTSiqvGM8YHpX5X3tsL7xNDbyD5IbWSRvwUkf0r8&#10;E4qrOpjtfN/ez+xPo4YP2eExmLkt3GP3Rbf5o6j4LeMtY1r4l6PrWv3HnSW5s7EPsChYYlSKMYHc&#10;IiDPU4yea7r48ftc+Pfjb4kn1/xhoWnW8ujtNpdvHZbwHjhnkG5t5b5j3xgcDiuXuvBGlfDDxPpC&#10;6c8zJeaVpupsbhxnfJGrSAf7O/dj2qf9of4TN8OvGetaJZas11HLq09ysjxBTmdzMVwD/D5m3Pfb&#10;mqqVq1HA16ae8oX89Gz3MowWDx/HtCva0I06tvJ88I/qzc/ZC8WI3xl8L2kkPzTeILY/e/6bKa+o&#10;/wBpvwOfA/wD+KGtGVnbxFra37Kx+4RBaW2B+Fup+pNfJP7KGh3mnfHHwne3EKqsGvWzSMT9394K&#10;+xP2zPG/hTxF8GNY8B6P4osZNVutiraLIWIwwLA7QcEY6da6slw+JxWXVo04uT1SsvLyPl/F+tg8&#10;Hx5lVSclGMXFybdkkqibb+R+cyfPIGz1r6g/4Jcxqf2qNLuWTd5OkXzbv7v7kjP64/GvAL34aapo&#10;0SyX3ibQlfOFt5tTEUrfRZAufzrC8RePvF/w00/+3vB/ijUNH1CGeNI77SdQaGVA2dwEkZBwRwcH&#10;kZHSlk2W4/BZ5hniKUornjumuvmfpXG3FXD2ccA5n/Z2Kp1ZKjPSMk3Zq2yP3QjvE6B1/PFKbxTk&#10;ZH/Aa/D3wf8A8FOf21PAzLFpvx31S7jXpHq0UN5n8ZkZv1r2T4Yf8Fpf2moplt/GOieF9XGRuaSw&#10;eCRvxjdVz/wGv3vm5pWTP89eWUVqfq490Nmfevl3/gs5oq+Jf+CZ3xW0/wAsSbdGtrn/AL9XtvJn&#10;/wAcrzbwT/wWN0u/KweMfg9JEf4pNN1UN+SyRj/0Kq37YP8AwUL/AGe/jf8AsefEr4b/AGTW7LUN&#10;W8E6jFZw3mnqyPP9ncxrujkY8uFGcACq9nInmR/Pm4KuwI702ptQiMV7Im3+M1DgjqKCSbT7690y&#10;drnTrl4m2/MVY81taf4+8Vtaq/28Z/vbAc/nXMxz4uHRiBleK1tMgJ0xWXn5uaLGcZS5jTbx34rJ&#10;wdTX/vyv+FVn+I3iwNgXsf8A37FVnjI6iqzW43dKmRo5M04viR4xB+S+jH/bBTj8wav2vjHxjexC&#10;J9dkX/rmqj+QrDs7TceFPWtbTYkj+v1rGUYm0KklHc/Ub/g28vvB+t+PPH2j+KvD9rfeIrWxs7/R&#10;dVvLVZJraFXkjmEbsCY8tJFnBGfwr9dDGCxc9Tyfevy1/wCDdD4OzWF/46+M9xblI30+10u1YHht&#10;ztLIPQ48uP8A7696/UzcPWppxUos15pctmCjaMUUZo3D1rTlIPlW41cY4NUrjVEkUgPXFaV8VvCm&#10;v26zW2p+SzDLR3i+Xt9s52/rVyXxCi4aEqytypDcGvjamDlGOqfzR3Qa5jZuLjeDzWdc3KIuM1Vk&#10;8RLsIKjPtVCfVDIxBP5c1xyizqptFu4v5M8NVG4v3UEmnLcqy/KytVW/nxG2Av0rMpx1uKNQ3c4q&#10;veXyD+KqaXsZ4YYqlq1+iMSpoNoRk2STX2GJzXLa5ceZPtrTa886NjisPVZNr7x81KWx3UacuUiv&#10;bW0l0/53+bbXBeLNIs1hkdK6TU9UuMlMVy/iG5mEDHANZRpy5j1sK+TQ8/m0yNLzCp/FVqO2jB4Q&#10;9KtPak3PmFauQ2KuASvavWpc0Y6ns0/ehqR6fZCQEbP4fSprCxIm+5xVzTbfy2bPda0tP0zz3yAa&#10;7sPGUpXPLxp2nwU0/Gricj7y4r6G8N2+5Y/92vGfhHpYt7iE88R5bNe6+F7QbI85+7XvUY/u0j5f&#10;GS6mzBb8LgV5P8brRbi4cEV7bHp6MnLH7teZfFzw9tkadjlajFU3KnY2yepCOLTufKfjLRA93IVT&#10;muHv7R7SXcF+XP5V7N4z0QLdPsX9K888SaK+47U69a+MxmH5ZPsfs+BxUalNJs57T7iUNitmySS4&#10;DZHtVSPTprWRVWPO6uq0HwtdXDqEjJVgM158YNy1O3FVo0abdzuPgtamLWVkccbefyr0bxnrdvp1&#10;iS38S4+tcj8P9Hu9JulkaM7duOe1WPijcNcQIg425/GvWo01Gi0z88zKSxGMUrnkeo3us2Pit/FX&#10;hjWbrTb9XOy8sLhoZV57OpBH512XhT9tn9sv4a28kXh39oPXp0kbdIuuSJqf4A3SyMo9lIrn00Jr&#10;24dwT+FU9Q8Kyi2kkfdtUZrnc69OX7uTXzNpUcvrQSq04v1R33xz/wCCnn7Q3xx/Z/8AF37PfxI8&#10;K+Frux8U+GbjSptWtLGeC6ieRConIErRsVba20IoOMZHWvyz8WfskeNNOuJI9N16xulVvlV1eNj+&#10;HzD9a+3NX0wJ5gVMhuhrg/EeiNLK0nk9a7qeaZjRSSlf1Sf/AATzMRw/keI1VO3o2v8AgHxLrXwH&#10;+LmiAy3fgi6lizjzbNluP0jJP6V2Xx7+Aa/BLwP8LvEguJ5JfHHgFta1FJMf6NdLquoWhhAwCuIr&#10;aBirc5cnoQB9JDQWKYZdo/3aJfCllqNs1tqFpHcRnrHNGGX8jxXq0c+rL+JBP00/zPCqcI4aa/dV&#10;GvXX8rHwyzAtwR/30K7j9mjw3e+M/wBoHwX4P02JpJtW8VafZQxp1ZpbmNAB+LV9G6z+zn8LPEjY&#10;ufBNpbufuyWamAg+vyEZ/Gtj9nj9nz4dfAn9oLwX8c7Wz1LUP+ER8UWWsrpMl8qJdNbTLKsZkMbF&#10;AWUfNhsehrvjn2FmrSTX4nk1uFcdT1hJS/D8/wDM/pOgdni3MO1RX8txb2E09naG4mjhZobcOF81&#10;gMhMngZPGe2a+P8A4Yf8FnPgL4os4rb4gfD7xF4fvWbEgtRFfWyL2PmBo3J9R5X517p4O/bQ/Zg8&#10;eWYvtE+M2jxxrjLapI1jt46ZuFQf0rWnisPV1jI8upluPw87Tpv8/wAjoLvxf4/tr20jt/C/nLNk&#10;3m63eOO0XHQtljI+eBtXaeSWXjPI/tk6Dr/xO/Yn+MPhCHSDDdal8Ntcs7FZG2+dI+nTBCA2Cvzk&#10;D5gPXpXqmkaxpOtWceq6Fqttd206h47i1mWRHBGQQy5ByCMY9alvrC11GzmsbuPfDcRNHNGy8OrD&#10;BB/A1uuV7CrVKbjZUlF99f1P46vESYXNY7cmvSP2mPhbe/A743eM/gvqVx503hPxRqGjtMB/rfs1&#10;xJDv+jbN3415rI5VsYrs+ycBvfDLW7zw1410vxDYStHcafqlvcwsp5V0kVgfzFfsp/wdbeBFlsfg&#10;j8WLKwXlda0y+ulj6grZzQIW/C4IHfJx3r8WfD0kn9sW6R/xTKP1r+gH/g520ddR/wCCdfg3U1t/&#10;3mm/ErT8v6K+m36sPoTt/IVP2lfYqR+B1xnzGyarrvEylPvbuKnm43H2qlHdMt2vHSShkn9QH/BD&#10;97O4/wCCWXwimslAjbR75WH/AE0GpXQf/wAeDVr/ABG1m51f4r65qlgN03lNb2I7MxKwov4sf1rj&#10;v+CHGpyaZ/wSM+Hd/KV/0e11po/b/ia3hH413XgDSZPEHxa0+1ePcqXyXE/+7CrTf+jDF+dfF8Tz&#10;lVrUcNH7UtT6bI/3ftaz6L/gn0DoGj23h7Q7PQrQYjs7WKCP/dVdo/lVuhycg460V9FGKjFJHiJy&#10;k231ZE8bElsVS1oxxaZNJP8Ad2VpHnisHx/ObXw1cEfeYbV+tY4qp7PCzn2T/IunFSqRT7nyz/wU&#10;K14aV+zneiCTa2oajDC3PUZ5FfnikJk8S3m88fZ44s+7uBX2x/wU31xIfh54d8NxzH/SdUeRl9gB&#10;j+tfFumxPe6ndpCjO0t9Ci4XP3VJP64r+fs4c62ZWXkrH93eBuHjgeA3iKjSUpzk29NFZb/I9N/a&#10;qsf+EZ8efDHaP3WofDPS5ZO/LrInT6rXR/ETw/H8QvGt74i1i9ZbWW9aVUT70i5+X6cYrb+LuqeD&#10;viFrHhHVrXSW8zwz4JsNGDT4IMsSsXcD2ZyB7DPGa5q81QR/KHr9by3gmGIrvE4x3i7NQ+XX/L7z&#10;+dc68WMXgafsMo0qrni6m9k5t+4tVtb3n8l1JT9k0mH+ztIt47eMf88+p+p6msLxFryWEDN9oYue&#10;nzVU8Q+JtsTJGw6/erkr+8ub2YbX3HP3a+7jToYSmoU4qKS6Kx+O4zGYzMsQ6+KqSqTbu3JtvXzZ&#10;W10x+J90OrxLMuf9W65GK6f4DfCf4b+NPjNpvwe+Omi3PiCy163H9gs15MJrURZDQb0ZW2IGjdCS&#10;cAyA8Yqn4e0eKB/tl8m30FfR3/BOD4aeH/if8c9S8d6p/rvCWlBdPAUErJckoXyenyRsMY53dRiv&#10;nsVjPrWIhCm9Ezsw3tMPCTT3TT8090yPxj/wRo/Zo1qRz4X1rxLoTf3LfUEnjB/7bIzH/vqvPNR/&#10;4Is63oV4194M+OEF4qjMdrqmjtCSfeSOVs/98Cv0sn8GIxwkpb/aKiqUnhSSKXC7Tg91P+Nd0a2u&#10;55/NGW6PzB1T/gm3+1D4auFmt9H0fVkXP/IJ1T5vymWP9M1wPxS/ZV+Pem2t1p2r/CXxGqTW8kcj&#10;WumvcKNykdYgw7+tfrw3h2aBmZbfd6/N/jVe40OaT78Mn+7tBrqjivQmVGMtmfyn67p0lpqNxBdr&#10;iWC4ZWU9iDg1l3PFezft2+Gbfwh+2F8UvDllarDDZ+PNVSOFRgIv2uTaB7bcV4zdda6DHYxr1N8+&#10;8D7rV0vg1vOspx6OK52XdvkGON1bngJsC5tx1xvoJaL97EA547VWMfPWta8tQzDg/Nms9lUEgpUy&#10;2Gh2nJ+9Yeq1aW2aNvMxUNgoE+cVuX2msumR3UfzcE4/GuWT94uOx+6n/BC+XQh/wT18PX+m2CwT&#10;XGsagdSkVTmaZZtgY/SNY1+g+tfYSXsGN5ev5x/gr8T/AB/8O/CWnX/gfxjrWizN5kn2jS9Slt2X&#10;5iAQY2HpXsng/wD4KX/txeCJv+JT+0NrV4o4xrnl6jkf9vSyU4y5FY25ubU/diO8icfI1Rx3aM+1&#10;Qa/H/wAHf8Fwv2vfD6LF4l0HwhrwB+aW50qS3kb/AL8Sog/74r1fwx/wX98uNYfGX7MW5gvzXWl+&#10;KvlJ9o3t8/8Aj5rT2kQPz38D/t//ALSvgHZZ+JfDmm+IIIm+Zlj8uUj6p3/4DXuXwr/4Ks/AnXZE&#10;0v4reDNa8N3jHD3UC+bGg7ksm1//AB01+g/xb/4IJ/steONNL+GfE+oaVfZz50lnHKh9tsZiOfck&#10;49K+Pfj1/wAECfj94LimuvAJ0/xJZKzGOGC4VnC9iUlCc+y7vrXK45hQWsb/AInqU6uW4j4ZpPz0&#10;/M9G+HXxo+DPxetVf4QftDaTdXLjMdjeXCNIo9DGxSX9a6+60b4jWchP9gw3yr/y0srgBn+iOBj/&#10;AL6NfmJ8Vf2Evit8J777N43+G2raPIGyjSW0sOeeqhxz9QMVX8G/Gn9rn4HMsPgX4165bwwsNljq&#10;MzTQAf3dj71/QVzSqYOf8WlZ+Wh2RwMuS8JX/I/S2/8AHZ0QsNejudP28SfbrdlRD6b8FPyOKSbx&#10;XHeIt1b3CyRMMo8TAqwx1Br418If8Fcvj/pUC2fxj+Euj+JbWNQJbrT3MMgH94gbl/MCuy0j9vn9&#10;jD4myNdXtvqXgnVLjb51xNbOisR0XzbckkZz94YrjlluEra06tvJr9RRVWn8cfuPo5vFKA9Oap33&#10;iCO5ywrzfStfbxTbtqvwy+J+meILfr5bTJPtX0zEVZT/AL4JqA/FHUtDYR+LvClxE27DTadILiNV&#10;9TkI/wCAVq5a2S4ymrwXMvLU1ozo82rselw6lB5TDzlB96zdSuUc53j865ew+KPgnX5FtNC8RW9x&#10;PJJshtmJimkb0WKQLIf++atT6l5rFHjbcvBXvXlTo1I6SVj0IcvRjL+RDK2HrG1tEe3wW71oTOH+&#10;cD8KztQWSePKx9O1XSpczR1UZWZjGzLMcfhzUkcbRjASjzzHJnbViPEhB/OvRp04s9CpUcYrlZJp&#10;iM0pymeK6jw5YKW+YVn6NpwJX5Otdl4e8PmRVYLXo4WklK1zycVUlLU6rwFaCGXco/hUCvbfCdur&#10;JGB/dFeZ+C/DrKVJSvYPB+ltHt47V71CmpRufN4qtKRuw22Y8BTytc74/wDCy6lpzgj5ttdxBp7F&#10;OR2rN8UaeRbPxVVoLlOejiJU6ia7ny14v8HzR3LAwbtvFcF4h8JTbWc2zcc7sV714tsIxfSCUY5P&#10;865HWdHt54mTH3q+bxlGMj9Hy3M6kYq54m3hxmlUiNq7/wAG6PHDbqXh/i9KtyeF4IHyF/StDTY4&#10;7VdiHpXg+xftLHo4nMKlaDVzWtIliXCxdvyrD8Z2Ru1wFrbhuvk+/wAVQ1I+c3Supx5Y2PB5pSq3&#10;Zyui+F8FpHO0e9N1nRlFnLEmD24PNb0ahF2gVVu4hIzCufl942VaXNZo8j8RaBdQzNB9nbbuyrYr&#10;i/EeliNyoTpXtviLTS4ZtlcB4l8PFv3oi6805KzOqnN2PNZdOdl5hOP92poNJkI5jNdLLpIYeWqd&#10;DT49JCr8q1UY3NouyMOz0PcwPlNWtbaAp4KHn2roNE0QBw0kf6V1ul6LYypta07Zztr04UYuxw1s&#10;Q6UrWOR0HwvKi+f5TD617P8AB/w1HqOizxzJlduY91c9o3huJpfvHn+GvW/hlokdhpPyx4rojQjT&#10;PNxOJlNp2PG/iDpvi7wTri+I/C2q3+l3lvk29/YXDwyxH1V1IKn3BFc/pf8AwUO/bq+EVw1t4X+P&#10;usXVqzbpI9eSLUt2Owa6SRlHrtZa94+J/hiPU7CRHiz8vpXyr8WPCr2N1LCIvu8rx2rHEKpCLcHY&#10;0wkcLWjatFP1PmX9qXwpf/tJfGTxF8cfFV3FYa14l1A3mpR6bahbZpioDSKhOQXILt8xyzMRgcDx&#10;fW/2ZfFkMudH1WzuV/usrRt/UfrX09rmkmJ2Rkrl722khkKKK8+Gc4+D+K/qdkuHMorv+Hb0dv8A&#10;gHzjZ/B/4h6FrcU954ekMcbZZoWWQH8j/Sv3/wD+C683h/42f8Ebr74keG9es7+30268P6zHPZzp&#10;MriWeO3PKnHAuiT9DX4/SwztJyKtKt1PbPZSSbo5U2TRno65B2n1GQDXdS4irJ2qQT9NP8zy8RwX&#10;h2r0arXk1f8AyPl2Zty9Kz2VjcAAfx5r6gvPg78OtcbF54TgVj96W3Zo2/8AHSKx779kjwfdtv0v&#10;xHqFqzdFYLIq/gcH9a9SnnmFkrzTX4/19x4dfhPMqL9xxl96/P8AzP21/wCCR3ie30H/AII9/Cu3&#10;juV8zVrjU4oV3df+JpeMwH0Cmvov9mi0fUfGGs+JHi3R2sIt42K/xSOGb8lii/Ovzc/YW/a68C/B&#10;r9lv4b/sv+Ll1SSbwTd6m7atb2CeROt1cSzL8okLgr5pU8H264r9Ff2PfjB8I9X8AQ6fpvxC05tU&#10;v7ySaazupvJmJOFQBZApb5VX7ufzrw5P6/xCq32ILR93b/gnQ8NVwOTzhJe9LT+vke0eK9S1fTdF&#10;mvfD2mi+ukZAlvuAypZQ7YyNxC7m25BbbgEZripvit4iTxL/AGDLpEKrEqNNfXVu1rHJuGcIGkLZ&#10;A4O8Lz0zXejaw5pCD2Y19KeFh61GjdVKal82vyKPhrxDNriTmezaHyJ/LWUNujnGAdyNxkc4zjqC&#10;OcZrK+L10IPDUe1/vXS/lXRbSBwufauD+PHiDTdFsYbvVryO3s7WB5riaVwFQf3j7cV5mcT5cvqL&#10;urfeOhyyxCaVle9j4W/4KV6lNqHjfw34btju8mzeR1/uktwfyrxrwR4ZGlmSVo13STeazY7nHT8h&#10;XZfHf4kaf8bvi1deLdJik/s+3jW3sWkXaZEA5fHYE8j2NZdsVgi444rm4X4Mp4Os8wxivVl8Kf2V&#10;0f8Aia+4++z7xOx1bhLD8N5c3Toxi/avrUk23bTaKvt1e+mhYecwxkB65vXNWeNiqNVjWtZ8hGVG&#10;56VzN5dvK+4tX3VaUaMdT8tpxciK+lkuH4brV3w9pys5uJR92qNrDNLONo+XvWpf6lZ6Pp5CuAzC&#10;vks2xji+SD9T2sPh4wfPcr+KPEC2/wAiELtHSvq//gi5A17qPxE1l3JX/iWxrn/t5P8ASvhTxFr8&#10;19dHY2Rmv0E/4IsaOYPhl4x1rbg3Gs20W499kRP/ALUrgwdONKUbvV3/ACuduHpSxFGvU2UI3++U&#10;Yr8z7UVfLYqenUU2aNNjOFqbaTzUcv3DXpuDWp5fIt0VWRG6ofyqvPEqE4SrlRyDJINKxPs49D+b&#10;L/gsl4Vbwd/wUg+K2miBY1n1yO9CqMZ+0WsE+fqfMr5UuXXOM1+mX/BzT8JdO8IftWeE/ilpdk0L&#10;eLvCITUHCfLNcWkzRl8928p4FI7BV9a/Mm5/1letT1pr0OSStJoqyqmGIPOateDLs2evxxzHbHM2&#10;xmPQZqmetSWrbbuFvSVf51ZJ3+oWgTo3ReBWDMVWRgWrpdZXy7OG6/vxt/KsF4CWzUy1ElYbprr9&#10;oX+7uG7Fd01st74ajuIFUruKNt7HGTXFWqeW+TXofwyh/tLw5eaWI9xS6im/3VOUP5/L+Vcdb92k&#10;zWFup+in7E//AATV+Dvxw/Y98K+PPHia5Y6pqEdwftGl6gEzClxIifJIjr0XOcZOee1afjX/AIIj&#10;6Dcz/afAnx6vrOHy/lttX0VLhi3/AF0jkiGMY/g4r7h/Zj+DMvw3/Zn8C+CpwY5tP8K2Ud3C38Mx&#10;iDSD/vtmrrpvCsyr8qq1YyqyjpY2jFOVj8l/Fn/BHT9qHRDcT+H/ABJ4T1aKNv8ARo49QmhnmXHU&#10;rJEEU+28/WvL/FH7AX7YXg0h9X+AmsTK3CjSZIr4/Ui3d9v4/pX7XTeHLuMf8eLEeqkVnTaIIuDC&#10;c+6URqc26saOme7yjam5TVK9leXaj84r4o8OfGL/AIK7fCqCS8s4vhX+0R4diZS154d1FdJ1aOMd&#10;5Bu8kMey7WPvyK6Xwl/wV0+EL+JtP8A/tEfA74kfCrxFqEnl2tn4g8My3VtO+QMRz26sXGWAzsA5&#10;HPNfR+h8/wAx9K694a0LX7OTTNc0q3vLeQYkt7qISRuPdTwa8J+LP/BNX9jz4tq76t8I7fTrpsj7&#10;XoL/AGVl9wijy/zSvoHSJx4ltIr/AEO3muI7iMSRD7NIjFSMglXUMv4gGtnT/Aup36yO42xxJumk&#10;iXcsQxnLvkIgHfcy/hS9hTlH37MKeKxVKX7ubXoz8u/jL/wQR8K6r5t58JPieIZOTFZa9a9PrPFy&#10;Pwjr5R+NX/BGz9q/wEJrxfhy3iC1iBIuNJZb4lR12qv74D6qv4V+1HxF/ae/ZZ+EqtD4l8fR61fR&#10;N/yDfDOL19wHQzArAvPo7kehr5z+L/8AwUu8WarbXWkfBb4eaX4ZgmjZP7UvFF/frkYyrSKIYyf9&#10;iIEdmzzXiY6hldLq032/4Oh9Vl2OziVvaRUk+stD8Rdd+A/ijwXqzrDBq2i31rIylrV3R4XBwQVO&#10;GUj0LcVoaV8Yf2nfCWIrP4if21AnHka4vmMcdsyc/k1fbnirw/b+JLm4vvERbULi4laW4uL5zNJL&#10;IxyzMzZLEnuSTXA+I/gT4K1Uts0lYSx+/DxzXz31ipRl+7m2fTKlRqa2sz55H7V968XkfFT4VSR4&#10;4a809sr/AN8tn9GrpfBv7SnhkLbxeCfi/daasLM1vpeoSMtujHA4ilzESfoa6HxN+y3b7mOk6syb&#10;uzLgfSvNvFf7LeoxbzeeHYLpf+ekK4Y/iMH9K2WO9ppUiEaLh8DR7Pon7R/jizCnWLDT9Wh6tNb/&#10;ALpm9wUyn5Liuy8O/tL/AA+v41g8Q6ZfWcjcM6qJFX8sH9K+OU+EGs+GW3aFrWr6Sytltsm5D7bf&#10;lP6mrlv4g+NegHa8el69CPVvKmA9ADs5/BqhfU5P3dDTlqx+KOh9tWmq+CvEj+ZoXiW1mZ+Vj8wK&#10;5/4CcH9K39H8IXMzrlQfT2r4Y034/WOjOqeMvCuraK7HAkmgLIffIAJH4GvWvhR8etd8T3cek/DD&#10;xncXlztytnbSGRsevlnnA9ccVvTw8VqpFe2tofXOheGY4ZFjuPmP+zXb+HtNtYAqhK4T4UN42l0p&#10;JfG9zCZGUbIY4MOnuxHGfYCvRNMdQBgGuimnGWmpzYiXMjtfC0aK64WvT/CEQkfBzwteXeFrmHKt&#10;v716x4CiMpMgHylf617+Di7HzGO93Y6u3tl28L2rM8VRqlpJgV0cNoyx/c7Cuc8YusVrIJDiumtF&#10;cuxy4V81Rep4b4vG/UZN/wDnmuWvPKU4aul8YTxi+kO/r0/OuM1S8QSYV+vavnsRA+ywsuWKIL54&#10;XPFUkMaHj1zS3Ewz979az55HWTG8V5E6ajK56kIB1iAp36XNNbxVGA4qtd3zLwtZ8l6qLl3FQSal&#10;Aw5lBrOUUxXSlqaIulMe9zzVd7sbjis+TUYuiyVXa8d3+U5rmZpvqW9QeKeLawzXNeIrSDy9gSth&#10;rgY/eNWTrskUhOGrKpfQ6aPxanF3sRScCNBzVzTtJW6GXX8qLuEGcbeea6Dw1YqQA4rbD/Dqdc1+&#10;6ujQ8J+FkkZQ8Oa7iw8JR4URwbfXirXgnQ7d0Uhf4Qa7zTtCiXDeVXuU47Ox8ziqnv7nO6R4Kt4g&#10;HaDHvtrrtGto7S0FuqfdqZLLHyrGtWUg2LgJWkkcUpcxma/ZR3UGZF4xg186fHLwqI7mScRDaucV&#10;9LaquLY8V5N8Y9DWfRpJyBnbzXHXvqjbByftrM+NfFWnAXhDpjPBrl9T0mHdkKTXovjewQXL7Gzh&#10;q4/UIEBKycV8rU5o1Gj76jGMqKdjjry18knatFjbySS/dbFal/aB8g1Jo+nO0iqBVU2pE1Iuxb0r&#10;TIplAaM/hWvb+HnJGxfwra8JeFZLpVkEed3613Wj+CoWQE2x4NetRjTlFXR5NSrKLZj/AAv8Iz3O&#10;oqZUOFKkL+NfTWgXdtomhrPfzpDHBDmSSRgqoo7knoK850DT9C8IWS6vqE3lqWWNVSMs8jHoiKOX&#10;Y9lFeQ/tJ/tTpbxSeGNNljmdZMJZxsJIYmHQy44mk7hOUTvuPTeD5Njya3NVkkfbH7Pv/BWa08G+&#10;MLf4Z+J/EHnaTNMkWkNqufNnjx96Ek7guflQP97bhQAQa+29K/aS8KXNsl3cXtvJDIgeOSN2UlSO&#10;uCPSv5zr/RLu/wBTt9a8YySSX2o3ka2to8hLs7uB5jn8c474x71/RX8OPhV4Mf4U+G7RNNyq+H7N&#10;N20EtiBATyKv2mOkv3UrW6M8LHU8vp1Nvu7nW6Z8VvBup6Y2rrqax26qWaSaQAKB1zzX59/ty/th&#10;QftCePW8B/De7YeFtJKxSXisf+JlKpOW/wCuYzx6kZ6YrQ/4KHftD6b4d1Gb9m34O6vjbkeJby3b&#10;btJ4Ntkf+PY6g7fWvnfwppmm6dFGbu6SPgbVZhk19Zk+X1a9JVcWk2rNL06/5HymOxVOM3Gj6NnS&#10;6XZrbW6qq4LfoKlvL0WsLb2A9KqXmuaRYRedPfqE/vdq5XWfHOl3sv2W01ONmbjbur3q3MtWcFHl&#10;e5Z1fVvtMpWNulU4ElkZU27mY8VDaRO773X5n+7zWt5cWjWjTzY8zrur5HNsb7Fau76I9fC0eaz6&#10;Eslxp+h2bCRvmxXB+KfEM11IyrJ8vYCl8X+I574/u5f1rmzNJOy+Y1fP06U6r55u7Z3VKsYvlRZ0&#10;1Xmnx1X+Liv0/wD+CQOnC3/Zz1i/C4W48WTqOP7tvb/41+ZNrG9um/GMsBX6lf8ABLHT30/9k+2u&#10;nyv2zxBeTr78Rpn/AMcNctLFKrn8cNF/BBt+rtb8D9Dw+RzwPhficzqRs69anCL7xheT+Tk//JT6&#10;cUj1qG6nht7d5p5FVFXczMwAAqJHOOpqh4l8P6X4p0a40LWBIbe4jAbY2GBDBlYH1BAP86+okvd3&#10;PzSMtLEcPjLwtcvst/Etg7f3Uu0P9atJe288jLHdI237yowJHHGa848ZfBLU/EviTTfEsvj7VA+k&#10;wyJY2tjcC0jdnCgyyhUcSOADjAVRuOF5zWt4G8A6j4Z8Q3XiG5vs+fZx2/2dZNwO1mPmNhFy5J64&#10;7n1NYy+FHfUw+CVPmp1bvs00fGX/AAcS/sleKv2gf2SNL+Kvw58LXmsa98PdWNzJY6batNPJps6h&#10;LkqiAs2xkgkOOAiSE8DI/A2SxnkQTY4YZHNf10ySELu2DOe9fzQf8FQ/Bsfgj9vr4safbLiGbxxf&#10;3KrjGPOlMp/9GV3YWpdcp41aNnc+a3tPLPzD9aidDG6Mhx+8X+dX7qSORiBVT7O91PHDGTuaRQPz&#10;rqMT03XIY/7Ot7SZ8+XF823v/kVz8sYQkVoatK6SCF5chThufSs+XJG4CpluBXaV1ORXpH7KPjPw&#10;94c+OvhdfHBiXQ5tfsxrDTKSi24mQuzAckAAk/SvNijucBafbrc20yzxjlWrnqRjNWGrn9V8YtJY&#10;FltZo5YZF3RyxnKuvZh7Ec0nlR9Ci18ff8ERP2tb/wDaV/ZDg8J+LdRN14g+H9wmkXU0jbpJrPZu&#10;tZG9woaLPfyckkk19jupbotcMqblLU6/d3RD9mgbkxLTW0+ybrap/wB81MVwaPrWLUom0ZKR+V2l&#10;+INY8O6muoaBqVxY3C/dms52jYfipFeoeC/21/jt4RkiW81+HWYYmDLHrFusrAjvv4fPvmvHi7+d&#10;uLqAq8lugrB8TfFXwR4XT/iZa4jSfwww/Mx+gr7P2Mup83yn26n/AAVW8X2vhldP0b4UaQupSLia&#10;/wBSuJbmJeOCkGVUEf7e+vHfin+1J8YPjXL5PxL+KN9fW5bMdi83kWsfoEgTEaj6Ln3r40+In7YM&#10;Wi2zrpIt7GPtc38i7iPZc4/U187/ABK/betJrsrZateavdbiEKyGONfp/wDWFcWMw1KVN887adGe&#10;hg69ajJJQT+R+i1xbjfn+Ht7isy54Lqo47V4X/wT6+MHxI+K3gjVb/x7fRyRw3MQ023G7fBGVOQx&#10;brntya93uyuG5718jiKeu9/M+1wvLWp8zVjDvIckjFZlwoDbGWtu7GXwayL0EzYA5PQetccoxR6E&#10;I+7dGZdWys2Nn51UuNOQj/j3z64rdXSirCaY7l78VMiWEZ+UD8651Vj2OyFCPL7xyb+AdG1lRHfa&#10;TG+44yyiqGqfsq+B9cVhYB7WRu+cqPwNd2JYV4Q4+lSxXzBvlkP50lLmlaxrGMo9Tz/wv+x98PdL&#10;laXxDqd1qX/TqpEcJHoV5J/MV6t4E8CeB/Ath/ZvhLwvY6bCxyY7K1SNSf7xCgcnvnNVIL0Y3M/6&#10;1attTmjON3yk10wjIzqJSWx2GnzRqwVfTqK27C6wRzXDWWtMGGDW/peptJtDE16WFdtDz8RT5lqe&#10;m+D0E20Z/ir3v4VaI935cQGd2M189eANQBkRW+tfX37LGhW3irVYbQJzgd+tfTYepGNO7Pkcw10N&#10;vVPBM9jpouCmNy5rxz4m3IiMkG7sTX2t8TfhrbaZ4MkvAi/uY+fyzXwz8X7hRqM3ljpxWsaka1Ny&#10;icOGvGojxXxdP/pLZ964rVJ9pJDGuj8W3TteN83c1yWpS5bBNeFipe+z7bCK9ONypPqO45LVUl1A&#10;MWNJfNGqnArPecfMorx6p6USS5v96lRnmq/nVDcygjk1BuX1rDQpez6ostN81AuNh3Zqi0+1iBQb&#10;gmsJPU2j0SJrq/IOAaz7668zktTp5AKzZZJGkZQ3y1O50U48upGIzLcqMV1fh20LKq4rntOt91z0&#10;6/rXa+HLX7vyV3YWnF6Biq3LHc9K8BWBFujFf4QBXd2NoTHuI74rl/hxZSvbIZDxt4rvrfT9kIAS&#10;vo40bRPjcRVjKTKcVpjPFMeEqMhqusnljkVm3V0yg4asKlPlIhUtsV9YBW35rzX4sDdoDr6rXfaj&#10;fk27LIfpXn/xBkN5ZtATxivOrfEz08Hze05pHy74x0fFzJkfxGuL1nSSr5A/hr1rxzo5gmlz1ye1&#10;eeatG2/L/wAulfKYq/tGfeYWrH2Njjr3TODxirGhaYZbyOGMdT19BWjdwCQcgdfSr/hiwkl1GO3s&#10;rNpZZDtVUHNYUrqRpUceU9E8BaPC1lHiL2UV1V/qOneFrGRruWHfHF5sguJxFHDH/wA9JHIOxM+x&#10;LdFBPFYuteJ/Dfwg8M/aNb1OOObG1pEUS/vMcwwrnEso787I/wCM5+SvBfEXirx78dtYXw7pdu9r&#10;piSmWO1aTcqdAZ7iU48x8dzgDooUYFexThO1z5nEYiMpPk27mp8VPj7q3i2+k8P/AA/FxcPMrQ/b&#10;44TG8yE8xwp/yxiPGWPzv/EQCEHO6F8MoPDjf214iRbrUtv7tW5jt/Yep967rw14J0LwRYtbaSnn&#10;XEq4uNScENJ7ID91fryevHQV9dssxERit/ebtc8mpiJVE4w+88pWCXWfi94ftruQs02vWasc9jMl&#10;fu5+2T+1Bpf7Hv7KdnqFpeRjxBqenw6d4ehb7wl8kBpceiLlvrivz5/4Jmf8EuvE37RHxJ0n9oz4&#10;uWdxpfgTQ9Sju9MgZSsviCeJ9yqmRxbBl+eX+LBROdzpR/4KyftO6F8Qv2kNdvfEfiBYfCHgGP8A&#10;snS7e3kG67ul5l8tf7xf5c9hHXrYf2dP95U2/PyPnMVGpiLU4fF+R5LY+IfHPxD8QS6d4ZRrzUr6&#10;fMlxNLgyyuc4LH+I+nU16FbfBz4SaZD/AGP8Wf2kltdYkmhVYNP1NYoLck/MkxwGJB64cDHrXwP8&#10;QP2pPHXiiVdJ8M3c2h6VayM9na2lw3mKx/jaTqW+mMfhXnN1eXl9cNc3t1JNIzbmklcsWPqSetd8&#10;s6rTuo7etvyOmhkuGoxTer7n6jfFXwT+wz4F0tdEtNeuPEGs298PtFxo+tzG3u48LnbJ5pYHryM+&#10;lcNq/wAF/N8C/wDCyfhVrdzp9r5/l6fofiDUC1xqAyebZmUFwpUqWJIzween54RXF1bzC4trqSNl&#10;OVaOQrj8q9o+Bn7UXi6w8T6XZ/EHV59QXSdq6TPcylhEo58sg9if1rwsVi8yp1HVoS0S+G719W7/&#10;AKHqYXBZXUpewxCtd/Fb8trfifTXwT+Ok13rVz4Y8dK0N5bsVVJ4tjqRwVYHoR+oOa3vF/jh9SuW&#10;SzkPl9FUV59+0l4t8M/EHxv4T+LfhXTVsbjUbJrfVvJwBNNHgh+B1wcc0mm3z3T4V2op82OUcRJW&#10;b3XZnz+Kj9VrypJ3S2OkhnkvpuuatWtsJHBxwpzUel2htoFZhy1XrYBMYGPmrWc40abk9km/uIwW&#10;FrY7GU6FNXlOSivVtJEkr4mQAZCjmv1i/wCCddg2l/seeEfMT5rhbqdv+BXMuD+WK/JxtquW9K/Y&#10;j9kbTk0r9l/wFZFRuHhe0dsd98Yb+tfDcJ4qWOzqviX2/Nr9Ef1J4zZdh+HPD/Lspo/DGaXq4wd3&#10;827/ADPSRcnHAoadmTZtpiBcc0r7QpINfocpSloz+VlHoNoLAVHlv7xoyT1qUUkI+CvNfz0f8F0v&#10;Do0P/goX43aGHat3cWtxnH3jJZwPn/x6v6FpBla/CX/g4U0VLX9t26v/AC8fbtFsbj64gWL/ANp/&#10;pXbg3++MMQvdR+ectsCm9aj0iL7TrNvbltu+ZR+tXrlQoKKPasyHdb30c6n5lkBU+hzXpbHIb+rz&#10;XLHIbmqMEuqxvuEvy9ua3LmGGQZ298fpWde2EkLb4Dt/Gs6keYlIkt7+9Eg82E7V/u4Ga6HQ4Irz&#10;a9xG3HOGrndOlmt2zczyKrcFk6r+ldLYxXsF1FdwarHcQNj/AI+If0JX/CueS5TRM/Wf/g3SsbWx&#10;0X4qNBJuWZtEbCjG04vv8/hX6XV+b3/BvFr9peeCviJpFro8cDpcaZLNNGQxYkXK7c4zt4yB2Jb1&#10;NfpDgjqK5/eu7m3QNu7imvGUGc04daJmBXg96zl1NI/Cfzj/ABQ/bXaKR7W/8TFtww1vYyEZ9jjp&#10;XjmsftB/ErxtM1p4F8PyWsbkhZmj3t/30eDXsPwd/wCCc5bybnxvfrGu4M0YzJIeenpX1P8AC79m&#10;X4WfD6KE6J4Qt3mX/l4vF8xvqAeB+Wa9Spj8RiJe77q/robU8po05J1HfyR8M/Dj9ij9oT453S6h&#10;r4vlgZvmurxzGuO+C3JH0FfS/wAL/wDgmN8N/B0cN94o1Fr68jwfLt4wqj2LHJP6V9WaVoHlwKgj&#10;2qowsfTFaEWiwKNzoE/WuWUYy+N3PTj7OnpCNvzOH8J+AvCfgXRxpXh/w9HpqL1WzHytx1I5Ofxq&#10;W6s5XOYLlJFX738JH4Gur1DTT2hzHj723FY2oWNvH1XbXNUjGV0jppylLVnO3YIk59az0vrO3uWS&#10;8t5nUj70bL8vvg9fzFbGpxqqggfxVz15/rD9a8avHdHtYdKpT1C/vVYEQ3RcHtsK/pyP1qn58lD9&#10;abXG6cY7HdEkW6AGGcU4XYzw+azbm0eSZnEn60kFu8Em8yfrVRjqijYj1AKOd1Wre/zgqxrE873/&#10;AFqxaXJ4Q/zrojIiUUdHY3bNJhm4NdDpNyRt56Vx1rcc53Vu6TfHA+bmuqlPU5a0LnqngO/KXEZ3&#10;fxV9Yfsx+N5/DWtQXcU2OlfHfgm52yIT7Gvon4SaubUQzB/SvpsHadOzPjs0p8t7H1/8SfjNe6h4&#10;VmsVnJEqY/kK+N/inqCS3M8hb+I16p4o8ZNJpqxmTtjrXg/xJ1XcJPn+9mu6NOnRoNR6nl4WMpVt&#10;Ty/xPcf6QeeuTXK6lcqu45rX8TXhFw3PtXLaleghhu/WvncU+aTPucPHlppMr3l2HORWfJexrkMD&#10;/jUN1dk8CqM1z3PpXlVNj0IRUnYsXN9Ht4Bqv9uT/aqlcTlutRedWRr7OJoNdITnBpDdLjgVQ86j&#10;zq55S94rlsWpJd2cA81DGAZsFKj86p7IbjvxSjrI2hJ7GnpEBluQirnvXfeEdHuZmVFjyfrXG+Go&#10;v9I349q9Y+HdgZpFO2vcy+neVzysyq8t/I9E+Hmgyx2sYMX8P5V2yaayx4Mf3Vqx4B8NhrWP5Oq1&#10;1Vz4dENq0mw/NX1f1em4nwssRGUzzPWSLY8iuZv7uNc5euv8ZW/kOwFeba9LNEGYN3NeVjKfJax3&#10;4eXMRavqUe3ash/CuS8QTJOjfNRqmrTKTuc1zmqa2+SC1eJUPoqOkUeffE2URux9RzivK7uQzb93&#10;Zvlr0zx5J9plYVw76K89x5SqMtk9vxPPAHqTwK8LEQ56lkfQUaipwvJmDbaNeapci2t1Vc8s7ttV&#10;V9SfT9a6bUfH3hj4CaVJpdjF9t8Q3kADwsxWVUOSQ7r81vEwxmMETOOGKI21sHV/F9xpFrJB4JdV&#10;lXhtZZflhOOfJB6v/wBND0/hx1rjdN0vwto94mqePdbCzXS+ba2fnA3F4SfvnOSiZ/jI+boueSHR&#10;oRh7zWpy47He0g4t2j+LLFj4a8a/F3VJPFPjPUmjt4cRtdtGFjiUciCCMYHfhFwB1JA+au80zSrL&#10;SbWPSNEs/ItY8Hacb5mx96Rv4j6DoM8Dk5h0/Vl1iGGOFY1hhTbDHGu1Y1/uqO3ueSTySTW3pWmX&#10;WpXsFhZW009xPKEht4IyzyMTgKAOSSew5rqp0+ZtM8OeJ9pHTRLoUriBsZK/lX2B+xF/wTIvPG4s&#10;/i9+0PpMkOkttm0nwvMpV7zuslwOCsfQiPq/8QC/K/oX7Cv/AAT50jwrc2/xY+OlnHc6vHtl0vQJ&#10;VDRWLcESy9nl9F+6nJOWAK/ZoK7dsR46V7GDy3ac/uPHxWZKPu01r3PIv2r/ANoLw/8Asi/s4eIP&#10;ihqckMNvo2mGDS7RFWNXmI2wxKBwBnHA6AV/NH8V/iX4h+J3iu71zWtTmmSa7knVJHJHmO253PPV&#10;jzX6t/8ABy3+0ReeH9C8Gfs5aPdf8hhJNU1SMdkVtkf6hq/HxFKjk5rnx0713Dojsy6nGNLne7/I&#10;d07UokC/eprNtXNR+ZuHB3e9c8T0JzS07k/nJVzTEkl1GCO3UtI0i7Qo5PNZtexfsueGdKt9V1L4&#10;weK7JZdM8KWn2hIpFytxdE7YYvQ5cg49BV6vRdTGU404uT6HpHimWbQG8PeBLls3Ok2Alv16+Xcz&#10;AMyZ/wBldo+ua7rwBby3Uay7ep5rxnQr3VfEXiOTVtUumnu7y4aa6lP8cjHLH6ZP5V9A+BdJls7G&#10;OQrwq/ma9CNGFGCS6Hy1Sq8RUc31OhXAhUDHArrvCfwzttc+E+vfErUY5PLtr2HT9PJxjzGYtK47&#10;5AVAD7muKZXuJUsYD80kmC3931P4V9PeJ/CUPg39inR9Oii2tdXUN3Jkc5lZ2H6EV8xxPX+rZVUS&#10;er0/zPuvDfDqtxpgXJXSqw/NHzQtsbZvIL7tpxu9fev2g+BenP4e+CXhDQblNkln4asYpV/ulbaM&#10;EfmK/G62sGvtat7HvcXSR4+rYr9sNNhitbCGzUDZHCqD2wMV87wPec69V+X6n7h9IapCnhMvwsb7&#10;1Hr5KK/UupIo70NKhGKru4RtoNAkPY1+g30ufzFb3SbePSjeKi3v6j8qN7+35Vnzsn2Y+V/k4r8M&#10;/wDg4puv+M3LWLPC+DbH/wBDnr9x5Xfb261+Fn/BxYx/4bstQDw/guxyPQiS4/oRXbganNXscuKj&#10;ywR+fl3IvzOOlZlxIksqxQn5mdVH1JrRvRtRgP8APNZduu7Urcf9PEY/8fFewefzHaCKSEtBMvzK&#10;w3c1X1F3zkCrs4MtxJKTyzH+dUr/AIyKATIvssk8eHHStfwvLqlhOq2t23lyfLJBnKH8DVCMnaB6&#10;mtTS4hA+4NWNRcsdCj9dP+DeGW3OjfEkJYCOTdpQZk6FQbvH9a/SuYEivzZ/4N07h7jwh8TGaLA+&#10;06SN2Ovy3fFfpJcOUK4FefzLkbR225rIbtK/Me1V0+9yKlaZipFRJndUxfNdMcoqK0Pyi0bSvIcM&#10;yDPTpXWaJpTEq+39KxIOn/Aq7Lw0AZrcY6sM1tCP7xHrmxomgzTfM8bbfpW/beFrVRlYW6fxVe0U&#10;AZAHatDHtXoUKMa0+VmGJqOnTujj9e0VAhCpjtXD6/ZrEGxH0616b4h6n6f0rzzxL1f/AD2rkq01&#10;GTRph5ylFHC64SI1wf4qwLkktzW/rv8Aq1/3q5+4614OI2Z9JhChdzCNeG5qt9sk/vCjUv8Aj4FV&#10;x0rjZ3ImNwxOd605HWUYNV6ltvvURMZRcU3cniiUzqO3pVyKO037JYmx/wBM+DVWP74qdPvj61rG&#10;XLImNSUVY0bPTIbqbZZX/lt2WZOvtkcfyrSt9P1zTFE97pshjP8Ay2Rdy/mpI/DrVPTP+Phfxrf0&#10;G4uIZleGd1bnlWIrupQVWoo7HPOtKMbm54O8RwgoVkU7eDzXs/gnxwIYI1Sb8jXjvxlsLGy0HSdQ&#10;srKGG4m3GaeKMK8nA+8RyfxqT4X3Vy8MZe4kbgdWNe7h5ezfIjzcVRhXp87PpC98aSXFuuJN3y/3&#10;q8x8deJWuJWIbjOBzWgJZDb4Mjfd9a4vxExN3gnsa661SSieZh6EVL+u5zXiO8DEFX3euDXN6jMp&#10;QgNWnq3+u/4Ea5+4J+1yCvn60tz6WmtircPzVG4YiTAParUp+eqtz/rPwrzajOuPxFFpHJwWpu4+&#10;tB60VjW/hs6Ihk+tG4+tFFcHMxihiDya0dP5hH1rNrQ00/uq3oP3i6fxHU+FlDugAr2n4TWCtcR7&#10;14214v4P/wBePpXu3wgALjI/h/pX1OXfCj57NpOMJH0t8KPC/wDaEEKqm7cvHFdh4l8EXFpp5b7O&#10;wx/s1D+z8AUs8j+Ff5V6h4sRG0lwUH5e1fV0/hR8H9o+Q/idpj2ly2M8rmvD/FeoSQyshz1NfRvx&#10;oVV1HCrj93/Wvmv4nEi+bH/PM/1rzMwXLBs9rLfelys4vWL9nJauc1G6jKlpJAvuTitXVicf8Crh&#10;PircXFr4Fvri2neORY8rJGxVhz2Ir5SvUdODkfXYaK1Zz/inxHaM0my9jWNJNs033ghxnaB/E3+y&#10;Pxri/EGvrcL9ju5GhtXYeXZRjM1ye3mH6/wjj60urcahawD/AFa2sRVOwJUEnHuea8++L2o6hp/g&#10;zxrqlhfTQXVr4cne1uIZCskLYxuVhypx3FcNFpyUmutiataUos5r49/tW+H/AIbK3h7Q4LfUPEC/&#10;ItiuHttMP96btJKP+efQH7/Tafml/iR4n1bxBJ4l1vX7i8v55PMmuLiYszN6/SuTlZmkLscszZYn&#10;ufWnWx/fivThGMVa2587WxFSpU1ex9M/s/ftA/EXWfFGm+A9F8OXWuXl9MsNlp9jHullY9gOg4yS&#10;TgAAkkAE1+w3/BPP9m238Ia/B4w8bWdvN4gh09pZFVhLHZMxC+WjYwzAE5cYyeBwMn8BPDesavoN&#10;9a6xoeqXFldwTBoLq0maOSNvVWUgg/Q1+6n/AAQK8b+NPiD+zprGs+PfF2qa5eLdRot1rGoSXMgX&#10;dJxukYnHtmuWFOSzClFOyb1VtzaVT/ZZu3Q++9IhggdkVQo21eMrKmxH7VmwnD8VciJ8rPtX1sj5&#10;w/Af/g4J+I03jH/goXqmgrcM0fh3QLOxVd3CEr5xH5vXw8Hf+9X1T/wWrYt/wUj+IhY/8vVr/wCk&#10;618q18biZSeIk/Nn2OHio0IpdkWrF4knikuU8yMSAujdxnpXoXjfxLofiXwksQ0Kxt5LVF8ma3hV&#10;W6dCR1rzqL7q1PdM3kOM16VKKdOxjd8xCgWV9kZ61794j0+fwJ8FPBfgiOLZLrTXGtasuOWCHyoF&#10;+gy5+teD6MAb+EEf8tE/nX0D8Y3dtW8JxsxKr4KtdqnoM3EmazpxX1hI58yb+quxt/BLwjLq9xHd&#10;CBjhuu2vfFhi0uxS1X5Qq1zfwCggXQrcrCo/ddlHrXReJx/pUK4/5bf+ytXZiHY8GivdLHhXS7nW&#10;dbs9Kspdt3qF3Da2564klkWNP/HmFfav7Tej6fH8GLfw5AnlwRT20cIX+FUTAH5cV8j/AABVZPjd&#10;4NjkUMv/AAkUZ2sOOIpWH5MAR6EA19hftRAf8K8Ax/y/Rf8As1fB8ZVZfV4w6NNn6R4cq3E2Fa/5&#10;+R/M+Yvhz4Pim+N3hLTJo/MtbrxLYxSD/ZadAa/XGPU4zENo9/mr8uvg3z8cPBvH/M3af/6UJX6a&#10;23T8P6Vz8DxSw9Z+a/I/UPHivOtmmCpy2UJP72v8jR8/zjuwB9KmjZiV5qjB0q7b/TvX3R+A1Iof&#10;OSAMGkRmx1pZ/wCGmp0rOxmEpbZwa/CH/g4JvoLz9vrUoEfc1r4b0+Jsn7pMO/8Akwr94K/A3/gv&#10;j/ykJ8S/9grTP/SOKurB/wC8I4sb/DR8KalLIoZQ/pVS2P8ApkJJ/wCW8fP/AAIVZ1PqapEkFSP+&#10;ei/zFe0eQd2ufmz/AHqiljR87lzUx6n/AHj/ADqN+9BUSE8MoH96tqwEYi3uKxW++v8AvVrw/wDH&#10;p/wKsapR+z3/AAbw+Dmsv2XfE/xBkiZTrHij7MpYH5o7e2jIYfVp3/EH0r7+lVWxuFfLH/BEi3t4&#10;f+CZvw/khgRWlbUnlZVALt/aFwMn1OABn0A9K+qJK4eXlpnZCWxTl4kYD1oTrRN/rWoTrWNP4maT&#10;2R//2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AZlLvJvQAAAKcBAAAZAAAAZHJzL19yZWxzL2Uyb0RvYy54bWwucmVsc72QywrCMBBF94L/EGZv&#10;03YhIqZuRHAr+gFDMk2jzYMkiv69AUEUBHcuZ4Z77mFW65sd2ZViMt4JaKoaGDnplXFawPGwnS2A&#10;pYxO4egdCbhTgnU3naz2NGIuoTSYkFihuCRgyDksOU9yIIup8oFcufQ+WsxljJoHlGfUxNu6nvP4&#10;zoDug8l2SkDcqRbY4R5K82+273sjaePlxZLLXyq4saW7ADFqygIsKYPPZVudAmng3yWa/0g0Lwn+&#10;8d7uAVBLAwQUAAAACACHTuJA2Tk3hxMBAABIAgAAEwAAAFtDb250ZW50X1R5cGVzXS54bWyVkk1O&#10;wzAQhfdI3MHyFsUOXSCEmnRBChILqFA5gGVPEpf4Rx4T2tvjpK0EVVqJpT3zvXlv7PliazrSQ0Dt&#10;bEFvWU4JWOmUtk1BP9ZP2T0lGIVVonMWCroDpIvy+mq+3nlAkmiLBW1j9A+co2zBCGTOg02V2gUj&#10;YjqGhnshP0UDfJbnd1w6G8HGLA4atJxXUIuvLpLlNl3vnWw8NJQ87huHWQXVZhAYC3ySeVk9TyJs&#10;4xs6jQTo8IQR3ndaipgWwnurTsJkhyAskWMPttrjTUp7ZsJQ+Zvj94AD95ZeIGgFZCVCfBUmpeUq&#10;IFfu2wbo2WWRwaXBzNW1lsCqgFXC3qE/ujqnDjNXOflf8eVIHbX5+A/KH1BLAQIUABQAAAAIAIdO&#10;4kDZOTeHEwEAAEgCAAATAAAAAAAAAAEAIAAAAOhzAgBbQ29udGVudF9UeXBlc10ueG1sUEsBAhQA&#10;CgAAAAAAh07iQAAAAAAAAAAAAAAAAAYAAAAAAAAAAAAQAAAArnECAF9yZWxzL1BLAQIUABQAAAAI&#10;AIdO4kCKFGY80QAAAJQBAAALAAAAAAAAAAEAIAAAANJxAgBfcmVscy8ucmVsc1BLAQIUAAoAAAAA&#10;AIdO4kAAAAAAAAAAAAAAAAAEAAAAAAAAAAAAEAAAAAAAAABkcnMvUEsBAhQACgAAAAAAh07iQAAA&#10;AAAAAAAAAAAAAAoAAAAAAAAAAAAQAAAAzHICAGRycy9fcmVscy9QSwECFAAUAAAACACHTuJAGZS7&#10;yb0AAACnAQAAGQAAAAAAAAABACAAAAD0cgIAZHJzL19yZWxzL2Uyb0RvYy54bWwucmVsc1BLAQIU&#10;ABQAAAAIAIdO4kA9HfcQ1gAAAAUBAAAPAAAAAAAAAAEAIAAAACIAAABkcnMvZG93bnJldi54bWxQ&#10;SwECFAAUAAAACACHTuJAviqO+W8DAADGCQAADgAAAAAAAAABACAAAAAlAQAAZHJzL2Uyb0RvYy54&#10;bWxQSwECFAAKAAAAAACHTuJAAAAAAAAAAAAAAAAACgAAAAAAAAAAABAAAADABAAAZHJzL21lZGlh&#10;L1BLAQIUABQAAAAIAIdO4kC0RgaFe0sBAGxLAQAVAAAAAAAAAAEAIAAAAOgEAABkcnMvbWVkaWEv&#10;aW1hZ2UxLmpwZWdQSwECFAAUAAAACACHTuJAMUIrleUgAQDWIAEAFQAAAAAAAAABACAAAACWUAEA&#10;ZHJzL21lZGlhL2ltYWdlMi5qcGVnUEsFBgAAAAALAAsAlgIAACx1AgAAAA==&#10;">
                <o:lock v:ext="edit" aspectratio="f"/>
                <v:shape id="_x0000_s1026" o:spid="_x0000_s1026" o:spt="75" alt="一些人站在台上&#10;&#10;低可信度描述已自动生成" type="#_x0000_t75" style="position:absolute;left:9842;top:185751;height:2580;width:3488;" filled="f" o:preferrelative="t" stroked="f" coordsize="21600,21600" o:gfxdata="UEsDBAoAAAAAAIdO4kAAAAAAAAAAAAAAAAAEAAAAZHJzL1BLAwQUAAAACACHTuJAiFXi7b0AAADa&#10;AAAADwAAAGRycy9kb3ducmV2LnhtbEWPQWvCQBSE74L/YXlCb2YTa4umrkJbChWFYvTS2yP7TILZ&#10;t2F3q/Hfu0LB4zAz3zCLVW9acSbnG8sKsiQFQVxa3XCl4LD/Gs9A+ICssbVMCq7kYbUcDhaYa3vh&#10;HZ2LUIkIYZ+jgjqELpfSlzUZ9IntiKN3tM5giNJVUju8RLhp5SRNX6XBhuNCjR191FSeij+jYP75&#10;m21RHt37abuZTX78i+mf10o9jbL0DUSgPjzC/+1vrWAK9yvxBsj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VeLtvQAA&#10;ANoAAAAPAAAAAAAAAAEAIAAAACIAAABkcnMvZG93bnJldi54bWxQSwECFAAUAAAACACHTuJAMy8F&#10;njsAAAA5AAAAEAAAAAAAAAABACAAAAAMAQAAZHJzL3NoYXBleG1sLnhtbFBLBQYAAAAABgAGAFsB&#10;AAC2AwAAAAA=&#10;">
                  <v:fill on="f" focussize="0,0"/>
                  <v:stroke on="f"/>
                  <v:imagedata r:id="rId14" o:title=""/>
                  <o:lock v:ext="edit" aspectratio="t"/>
                </v:shape>
                <v:shape id="_x0000_s1026" o:spid="_x0000_s1026" o:spt="75" alt="一群人站在桌子前摆拍&#10;&#10;描述已自动生成" type="#_x0000_t75" style="position:absolute;left:5418;top:185751;height:2580;width:3870;" filled="f" o:preferrelative="t" stroked="f" coordsize="21600,21600" o:gfxdata="UEsDBAoAAAAAAIdO4kAAAAAAAAAAAAAAAAAEAAAAZHJzL1BLAwQUAAAACACHTuJAnkOhfrwAAADa&#10;AAAADwAAAGRycy9kb3ducmV2LnhtbEWPT2uEMBTE74V+h/AKvXWjHkTsZmXZP1APpaz20OPDvKqs&#10;eRGTVfvtm0Jhj8PM/IbZFqsZxEyT6y0riDcRCOLG6p5bBZ/1+SUD4TyyxsEyKfghB8Xu8WGLubYL&#10;X2iufCsChF2OCjrvx1xK13Rk0G3sSBy8bzsZ9EFOrdQTLgFuBplEUSoN9hwWOhzp0FFzrW5Gwb48&#10;3rL3L1P700AfSVktSSoXpZ6f4ugVhKfV38P/7TetIIW/K+EGyN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5DoX68AAAA&#10;2gAAAA8AAAAAAAAAAQAgAAAAIgAAAGRycy9kb3ducmV2LnhtbFBLAQIUABQAAAAIAIdO4kAzLwWe&#10;OwAAADkAAAAQAAAAAAAAAAEAIAAAAAsBAABkcnMvc2hhcGV4bWwueG1sUEsFBgAAAAAGAAYAWwEA&#10;ALUDAAAAAA==&#10;">
                  <v:fill on="f" focussize="0,0"/>
                  <v:stroke on="f"/>
                  <v:imagedata r:id="rId15" o:title=""/>
                  <o:lock v:ext="edit" aspectratio="t"/>
                </v:shape>
                <w10:wrap type="none"/>
                <w10:anchorlock/>
              </v:group>
            </w:pict>
          </mc:Fallback>
        </mc:AlternateContent>
      </w:r>
    </w:p>
    <w:p>
      <w:pPr>
        <w:pStyle w:val="6"/>
        <w:ind w:firstLine="480"/>
      </w:pPr>
      <w:r>
        <w:t>5.现代教学技术应用</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自新冠疫情爆发以来，农学专业教学团队将线下教学与线上教学紧密结合，充分借助在线课程、雨课堂、腾讯会议、慕课、微课、翻转课堂、VR/AR等技术保证教学效果。同时，授课教师广泛收集、整理网络资源，提供给学生，供给学生课下学习，充分拓展学生学习的纬度和方向，激发学生学习的主动性和自觉性。</w:t>
      </w:r>
    </w:p>
    <w:p>
      <w:pPr>
        <w:pStyle w:val="5"/>
        <w:spacing w:before="93" w:after="93"/>
        <w:ind w:firstLine="560"/>
      </w:pPr>
      <w:r>
        <w:t>四、培养机制与特色</w:t>
      </w:r>
    </w:p>
    <w:p>
      <w:pPr>
        <w:pStyle w:val="6"/>
        <w:ind w:firstLine="480"/>
      </w:pPr>
      <w:r>
        <w:t>1.思政专业双强化，优化课程体系</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教学团队强化思政教育，在每门理论课程按照每学分四个思政案例的要求，在新一轮的课程教学大纲修订过程中予以添加。专业教师坚持用好用足</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社会大课堂</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教育资源，上好田间地头思政课，从讲好乡村振兴故事入手，使理论课思政内容从抽象理论走向丰富实践，不断增强课程亲和力和针对性。同时，引领学生从教室到乡间地头，培养学生爱农业、爱农村的情感，提升学生实践能力。通过农村社会实践，把火热的一线变成现实课堂，提高学生运用现代科学理论和马克思主义立场、观点和方法分析以及解决问题的能力，为将来的工作奠定基础，使其在参与推进乡村振兴事业中找到自我价值，做到学农爱农、学农事农、学农兴农、学农强农。</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专业注重课程体系与课程内容的持续优化，2022年启动了新培养方案与教学大纲的修订工作。经过充分调研、讨论、论证等在新的培养方案中强化了耕读教育，通过劳动课、专业认知与教育等课程构建从课堂到田间的耕读教育体系，推动耕读教育落地落实。同时，增加了农业专业英语、信息检索与利用、科技论文写作、生物信息学、管理学基础、市场营销、物联网、农业大数据、智慧农业导论等课程。</w:t>
      </w:r>
    </w:p>
    <w:p>
      <w:pPr>
        <w:pStyle w:val="6"/>
        <w:ind w:firstLine="480"/>
      </w:pPr>
      <w:r>
        <w:t>2.加强教学研究与管理，提升教学效果</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作为一流本科专业建设点，农学专业坚持以一流本科教育的目标导向，立足一流人才培养需求，重内涵、求务实、广覆盖，以教研促教改，以教改保质量。共立项教研课题4项，其中省级1项、校级3项。同时，强化教学管理，优化工作流程，提高管理能力和服务效率。建立了学校、学院、专业、课程四个层次的教学质量监控体系，每学期由学校教务处将学校和学院领导听课、督导组听课、学生评课等结果统一发送到学院，由学院向专业和任课教师推送，任课教师根据教师及学生的意见对课程内容、授课方式等进一步优化。</w:t>
      </w:r>
    </w:p>
    <w:p>
      <w:pPr>
        <w:spacing w:line="240" w:lineRule="auto"/>
        <w:jc w:val="center"/>
        <w:rPr>
          <w:color w:val="000000" w:themeColor="text1"/>
          <w:szCs w:val="24"/>
          <w14:textFill>
            <w14:solidFill>
              <w14:schemeClr w14:val="tx1"/>
            </w14:solidFill>
          </w14:textFill>
        </w:rPr>
      </w:pPr>
      <w:r>
        <mc:AlternateContent>
          <mc:Choice Requires="wpg">
            <w:drawing>
              <wp:inline distT="0" distB="0" distL="114300" distR="114300">
                <wp:extent cx="5262245" cy="1845310"/>
                <wp:effectExtent l="0" t="0" r="14605" b="2540"/>
                <wp:docPr id="238" name="组合 238"/>
                <wp:cNvGraphicFramePr/>
                <a:graphic xmlns:a="http://schemas.openxmlformats.org/drawingml/2006/main">
                  <a:graphicData uri="http://schemas.microsoft.com/office/word/2010/wordprocessingGroup">
                    <wpg:wgp>
                      <wpg:cNvGrpSpPr/>
                      <wpg:grpSpPr>
                        <a:xfrm>
                          <a:off x="0" y="0"/>
                          <a:ext cx="5262245" cy="1845310"/>
                          <a:chOff x="5129" y="202127"/>
                          <a:chExt cx="8287" cy="2906"/>
                        </a:xfrm>
                      </wpg:grpSpPr>
                      <pic:pic xmlns:pic="http://schemas.openxmlformats.org/drawingml/2006/picture">
                        <pic:nvPicPr>
                          <pic:cNvPr id="232" name="图片 23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5129" y="202127"/>
                            <a:ext cx="4306" cy="2906"/>
                          </a:xfrm>
                          <a:prstGeom prst="rect">
                            <a:avLst/>
                          </a:prstGeom>
                          <a:noFill/>
                          <a:ln>
                            <a:noFill/>
                          </a:ln>
                        </pic:spPr>
                      </pic:pic>
                      <pic:pic xmlns:pic="http://schemas.openxmlformats.org/drawingml/2006/picture">
                        <pic:nvPicPr>
                          <pic:cNvPr id="2" name="图片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9526" y="202153"/>
                            <a:ext cx="3890" cy="2880"/>
                          </a:xfrm>
                          <a:prstGeom prst="rect">
                            <a:avLst/>
                          </a:prstGeom>
                          <a:noFill/>
                          <a:ln>
                            <a:noFill/>
                          </a:ln>
                        </pic:spPr>
                      </pic:pic>
                    </wpg:wgp>
                  </a:graphicData>
                </a:graphic>
              </wp:inline>
            </w:drawing>
          </mc:Choice>
          <mc:Fallback>
            <w:pict>
              <v:group id="_x0000_s1026" o:spid="_x0000_s1026" o:spt="203" style="height:145.3pt;width:414.35pt;" coordorigin="5129,202127" coordsize="8287,2906" o:gfxdata="UEsDBAoAAAAAAIdO4kAAAAAAAAAAAAAAAAAEAAAAZHJzL1BLAwQUAAAACACHTuJAGD8dztYAAAAF&#10;AQAADwAAAGRycy9kb3ducmV2LnhtbE2PQUvDQBCF74L/YRnBm91NxJqm2RQp6qkItoJ4m2anSWh2&#10;NmS3SfvvXb3oZeDxHu99U6zOthMjDb51rCGZKRDElTMt1xo+di93GQgfkA12jknDhTysyuurAnPj&#10;Jn6ncRtqEUvY56ihCaHPpfRVQxb9zPXE0Tu4wWKIcqilGXCK5baTqVJzabHluNBgT+uGquP2ZDW8&#10;Tjg93SfP4+Z4WF++dg9vn5uEtL69SdQSRKBz+AvDD35EhzIy7d2JjRedhvhI+L3Ry9LsEcReQ7pQ&#10;c5BlIf/Tl99QSwMEFAAAAAgAh07iQD2SAgYIAwAAOwkAAA4AAABkcnMvZTJvRG9jLnhtbO1WzW4T&#10;MRC+I/EOq72nu+tsms2qSVWStkJCEPHzAK7X+yN2bct2firEDQm4cedRkHibqq/BjHcT2qSCCqEe&#10;EIck47E9/uabb+wcHa+b2ltybSopxn50EPoeF0xmlSjG/pvXZ73E94ylIqO1FHzsX3LjH08ePzpa&#10;qZQTWco649qDIMKkKzX2S2tVGgSGlbyh5kAqLmAyl7qhFoa6CDJNVxC9qQMShofBSupMacm4MeCd&#10;tZN+F1HfJ6DM84rxmWSLhgvbRtW8phZSMmWljD9xaPOcM/sizw23Xj32IVPrvuEQsC/wO5gc0bTQ&#10;VJUV6yDQ+0DYyamhlYBDt6Fm1FJvoau9UE3FtDQytwdMNkGbiGMEsojCHW7OtVwol0uRrgq1JR0K&#10;tcP6H4dlz5dz7VXZ2Cd9KLygDZT8+tuHqy+fPPQAPytVpLDsXKtXaq47R9GOMOV1rhv8hWS8tWP2&#10;csssX1uPgXNADgmJB77HYC5K4kE/6rhnJRQI9w0iMvI9mCYhiciwrQwrT7sICUmG7XYyCg9xNtgc&#10;HSDCLSBVsRQ+HVlg7ZH1e4nCLrvQHKjHaGI5r9hct4ObhJENYVdfv19//giEEQSGe3BZu4kimmeS&#10;vTWekNOSioKfGAXCBCJg/8altVyVnGYG3Zjd7ShueAvIRV2ps6qukXq0/24DeTrlzQUHXeinGeBk&#10;cCVYkIbSlbBO6VDaZ8bi6Vhkp/V3JDkJwxF50psOwmkvDoenvZNRPOwNw9NhHMZJNI2m73F3FKcL&#10;w4EVWs9UtWm8KN6r1Z3C7pqvbRnXet6SugZvZQGAnDw2EEEpyBBiNZq9BO5hHdhWc8tKNHMgsvPD&#10;4u2EY/0n0VgSAz2AO3ZUf6d6kRhUf9wHxTrp72kX1KGNPeey8dAAugGd45cugd42n80SPFdILLrD&#10;X4tbDgCOHoe5RelMAN1KEowHaIrdlvgnGwIa/39DwM3zi4YYwZW/vc4HfZRBe1NgQ/STETzA+BaQ&#10;JHEPwfYyf6CGcG8GvKnunujef3y0b47BvvmfZ/IDUEsDBAoAAAAAAIdO4kAAAAAAAAAAAAAAAAAK&#10;AAAAZHJzL21lZGlhL1BLAwQUAAAACACHTuJAEB5YWVEbAgA4GwIAFQAAAGRycy9tZWRpYS9pbWFn&#10;ZTEuanBlZwAAgP9//9j/4AAQSkZJRgABAQEA3ADcAAD/2wBDAAIBAQEBAQIBAQECAgICAgQDAgIC&#10;AgUEBAMEBgUGBgYFBgYGBwkIBgcJBwYGCAsICQoKCgoKBggLDAsKDAkKCgr/2wBDAQICAgICAgUD&#10;AwUKBwYHCgoKCgoKCgoKCgoKCgoKCgoKCgoKCgoKCgoKCgoKCgoKCgoKCgoKCgoKCgoKCgoKCgr/&#10;wAARCAG8Ap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oYfh5rUcCXKWJKygsp/Cnx+A71rqYSW7bYrfMnHsP6175p2kQW9lb2nl/LFb7enbg&#10;UsuiabJJcTXNv8v2fDsvHGc/0r6T2h4clFo+eE8I6i6lmt2b52A+X0OKbN4PuI3mMsDDy4S3zL34&#10;A/UivftJ0WG3tbZZbdfMS0Xf8vcgZ/UVn+LvD9re6V5McW2SVsKwHYEP/wCy01UM/ZxkeDp4WumX&#10;cIH2n7uFPNNbw7cwytHLCVPllvm9MZr6CHhyyiitbUWsfy25H3B7Vl+MPC+mQeHtQ1JLFPMS0ZFb&#10;0yNo/pWsampnKm4ng6aNI8KyrFnPSkfSZopFjaBlZxleK9p0HwVpMuhack9irSeSu9sdTik1v4d6&#10;KsRvFtWVrePK4bjCjOP0rT2hPJI8MSxkl3OsR+91qSWzk3KjxH5uhr03wt4B0zU/CVrcXEX7xpGD&#10;HJ/56EfyqzqHwotkkhkimPySA429fmp+0RPJdnks+meXdHcnzDjbT00w/wCsVPr+NeiXfw4mvNb1&#10;AriPyZWZVKnlSzf4VPcfDRorVp0k+7ub7p6YquaJp7OR5zJYusvfoP5U9LNtnQ8V2X/CDXGoX959&#10;hxst/LXnudvP6irJ+GmoGD5G+bspHsf/AK1Mho4U2ZSXZ/sg00WTBfuV1yeCLm91O6trb/l1hhLZ&#10;7l49xFE3gfV4bcSC1k7D7vtmgRyhtGR1OOqdqUQN3TFdHD4T1C4upo4YG3QwxM2B13ruH6V69+zL&#10;+yre/EnWo9a1/Tt9mshFnazJ8lwy43SSd/JTIyOC7FUB5YrM5KEbsDzr4X/s9+Mfia0NzBbzWtnL&#10;nypPs/mSTqDgmNMrlQQQZGKxgjG7PFe0eF/2UvAXh+DyNTe31PUFU+dp9i1vfXXTnIl/dfL6LESP&#10;7zda9+k8Jw6Z4qj+Hen6vbpHN/yEPsunpdySqif8tfMG0AKMLGq7UGFAAq7pvwLn8Sw3c+vaZY6R&#10;Ddzjy7Sx0+JJYrcE/ui6AYLcFupO3tkivFrY6pUlyw0PVo5ekk6mp4lZ6B4Z0LTIrDw/4F1aOK3b&#10;yLbT9T1mayd2JziKMExtz2GDlgMZIqWax02R4Yv+EK1p2fP2qxs9dn+2WjA4O6JX5HcHIwCMgZ5+&#10;j7T4N+DLS8hv/wCxvMmtYFhtZJpS/kIvQICcKcknOM5JOc05fg14FW2ks4PDkcMcyFJvs8jRGRT1&#10;VihBYZAOCcZFc/8AtH8x1/VqP8qPk/Vf2f8A4X+IryTw/a2n2G4cPLBDf2o/0jOTlZotrk89HLEE&#10;EFcgivNfiB+zD4y8KQrqHhNHvYZMG3iWQStP/wBcZEAWY/7OEk9ENfceofAKztoo4fBeptpKQyGW&#10;OOOFZCJCACRI3z8gAcsR7Y4rlm8DalocesaTZ+EryNbgLP8AZbpo5La5ZT+8VUAwNwPAXkFVxjAx&#10;0UsVXofHqjGtgadT4dD4Aiu7mF873R+jY4IPpV+PVNVBBXUbgf8Abdv8a+jP2kv2Zotds5fF/g7T&#10;pY9UhtVnms5FIluE2bjG4P3pQAxSTrKqMDlwN3znFZ3KLuaBh6ZHWvWw+IjiIcyPHqQlTlyyCLVN&#10;Qgna4gunR5PvMrdfr61dt/EGvryNRkqstpNIU2L95Qwz3Bz/AIVMbO6Vc7MAKOua25lsTaRNZ67r&#10;FpNJOl226T724kj9auReM9dVxvmVlx/zyX/Cs37JceasZXrGG79DUn2KRQrEN61MrW1DXqX7LxNr&#10;VrK0iXQbc25vMXP5Vow+OdWQfMkLe+xv/iqwY4ZScAZ+VTx7ipCk0a5ZOKy5QNrT/G+p2Surxxzb&#10;myPMX7vsOelXoviDdTRNG9kgyPlbca5lYJmJQDlfvcVIkMqLhl/Wi0epSOo0rx9JbWn2a8sDIwbK&#10;ssmKtv47glgbGnMrYHLPxXLCIhyMH5ad+8Azt4FRKMehR1+l+OLKG2VLu1k39SY8Y/XFWZ/HOnyW&#10;rfZ4pt3A+Zf/AK9ceBj5B2461MqyFVUAfMwFTyRZSk0dpYeOtKWBBczSK6jG1YyR+hqzeeMtM+ye&#10;ZDKxLH7u0g1wyiRmwBxuqYqYwGB+b2NL2cQ55HfReLdJMKkX4Hy8hm6U2/8AFWnIsfl3i/e7NXCg&#10;l0yzf+PU/c2APM6f7VQ6KKjKVz0KLxHYlVC3yt/wIUk3iK2LeV56jce7V5/5z7tv3ielbniPwP4v&#10;8K6Yuq6tZbY9qlyjhjHn+9zx+orGVOMXZs6KcK1RNxi2lu10Oyi1yMEASKRt602XxDF9oWBZccZ+&#10;XNcz4f0WPUdHiuhu3vnnd71j389zZ6tLYJIwdJNqgMe/T86yUoyk4rod+IwOKwuFhVmvdla33XX4&#10;HpS60xA/emkTWC1yP3y/Lz1FefS6jq9pMbe7eSN1x8smQR+Bra8P6bqGp2a6kNSKszNtXGeh60pR&#10;UY3bMsPh6+KqclON2doNcZU+Wbvmm/209xc5SQ/uzXGX954h0lz5pMkY+9IseQKgs/FF5bgskinc&#10;2fmWpjFVNYk1adTDz5akWn6HoyeJL5DkahMvP8MhqW78deJdW8iLVPEd9NHZn/RY5bp2EPf5QTx+&#10;FcAPFV00R3xx7unGeKltPFS28Gwwbm7/ADf/AFqHTkZ856rD8ePixAwMXxP17av8H9qS4/8AQqLr&#10;49fFbVtU0/VLvxzfySaXL5lm0k2drnqT/e445zwSOhIPlsni+IwZ+zkM3+1Vyz8S6a0SK0rKf92s&#10;/Yp/ZNVWly2ue9ab+1/8Z7dka68Rw3A6tHLYxDd7ZVQf1rWs/wBsb4hv4kg1i4isVtYYiklhDEVj&#10;nzn5m+YtuHGOcDHTk18+DxDbEIiTjHQk1fj8QWca7UvYz/wMVMsLTe8SlWl3Ppy3/bouI3BvPAtv&#10;In/TK+ZT+qmqiftxam3iOa7n8FwvpjQqtvaLeYljcHly+35s/wB3Axxz1z80Sa9FcT+St0vT+9Uq&#10;6oI0wJARUfVYeY/rEj6w079uDwJK+7V/CGqW/HS1kjm/9CKVLoH7aPgDUb+6h13R7zT7dZP9CnVf&#10;NaRP9tR90/QsPfjn5Riuftb7w5I/2atG8iiXJkH45pfVY9yvrEux9jQ/tR/A6YlG8aiFgM4mspx+&#10;uzFN8G/tP/B/xfYNenxPHp7LcPGIdS/dOQDw/UjBGD1yOhAINfGMl+Lk5835fbvSreJH8wfpWbws&#10;ejK9u+x97wfEn4cTadNrEXjrS5ba1jMlxJDfo+xQM5IUk/1NbGl+IdH1/SLfWdDvkuLW7hWS3lTO&#10;GUjPQ8g+xwR3r8811Ryw3TfKPSo7jUwF3Ek81Lw8l1NI1Obc/QbUtTsdOh+1alew28PmKnmzSBF3&#10;MwVVyT1JIAHc8Cn/ADnkLX56TeJNcvtPXSLvWbqSyjk8yO0e4cxhh32525684zWrJ8cfitYqpT4o&#10;+IjtI2xvrMzfoWPFT7GSByife9BBBwRXwdcftB/GXVtV0/XtQ+IF802myNJY42qsbEYJKhQH44+Y&#10;HIJByCQejtv21fjdYTi5v9es77b/AMsrjTIlDf8AfoIf1qvZyJ5kfZxOBmm7xXxvp/7aHxmh8TTe&#10;I7yTTZIZLVYV0p7Z/s8WDneoDht5Ocksc7umAuOj0r/goH4mszjxD8PdPu89PsV49vj67hJU8rKP&#10;qsX7BAgXoMVFJO7tu5/Ovlzwn/wUA1G1iuR4z8CrO0t08lo1ld+WIYT92JgyncQc/NkZz0452rv/&#10;AIKG+BYtLnMXgfVP7QEbfZYfMiaFnx8u99wYLnrhScdAelQ42HZn0NljySaK8J8Nft8/Ci80O1m8&#10;T6ZqlpqDRD7ZDb2qyRK/fa2/JH1ANWvEX7enwS0zSo7rQG1DVLx5lVrKO1aIopPzMWcbeB2BJJwO&#10;ASwY+VntlNRSDyK81sv2wv2dr1VA+Iaxsy5aOXTblSvsT5eMj2JHuaLj9rr4DQ+JrHw1F43hl+3b&#10;t2oRr/o1qQOBK7EbS3QYBweuOKBWPTKK5m0+NXwev5fs9n8U/DsknaNdYh3H6DdzU3hv4q/Drxfr&#10;moeHPDPi6zvLzSigvooXJEe4ZGGxtboQdpO08HB4rQR0FKpwwJ9aY00SRec8qqgXcXY4AXGc59Md&#10;6h0vVdL1vT4dW0XUYLy1uIw9vc2swkjkU9GVlJBHuKALskyt0Bpm8U0kA4NNLkHFZsuOxJvFFR7z&#10;RQM/NMIQzE9go+vrUOqoW0nUkDbWktjFGV/vFdo/U1NuDN16yE9aq6wx/spVWTa81/b4LNjhZVY/&#10;oDXvnhEjlQ7E8fu1FV7mDzby1CIG8tnZvptI/qKmu85Y/wC0O/XiiMZkZyPuxk5+poLj3IpTm9G4&#10;/wDLM4/E1Fd6bDqmlT2d2PlmTDL+INSTSD7WRt6IvzfnU1ooKNk8d6ZRj2sCW3k26fdVdq/gAKsy&#10;2gvEa1fo8bD65UimLjzlYD1I/Mf4VbsFWS7UH+6aqMpESRzej6Qmn6fDZxhQI3GR+Oa0Z7Pz49i8&#10;/vY+/bcM0Rx4aVQMbWx+vWrCKXwFP/LRf51pzC0uUtZtIob64by1DbQre4/y1QXMO6zkTb/yzIx+&#10;FXtWikk1a+3p8pnXbn08tP65qtOQsJUjqMU1IclYoaRoUdjb310j/wDHwzMc+zvj9KuywKIVDvtx&#10;xVzag0mHCf6y2Vj+IzVacB4hHnsRTuQc34dtt+sa3Ov/AD3WJffamK22toxaIrjpgGotP0h9Nubx&#10;2GPtN00q+wJ6VauEZrVo16sCAfT3oJ5EZ3w18FX/AIp+IcvhXSVzcX8tjZwccBtgQE+wzk+1ffPw&#10;4+G4+HXh19ItI7a3vmjNtp6yEMqxxbhF06liTK+OrStXy1+y7ZfDHWfGGoG9v9Zj1S5vpdE+16XJ&#10;sbTGnt1jS4xkMcmSZPMG5YztLD5kI9p8c6tca9N4e8Ky2H9s2tjr1tp+m+INc1iKUC7dXMNy8Fiw&#10;ldiinHmNGBuBdQdzVy4iTqLludeGow5uZnqHhH4baL4Rt2FmjzXU2TcXtwwaSYk5JJ7AnsPxyea2&#10;P7OQDbj8qtaVaX8Wl266xfw3F2sYE81vbmKN27lUZ3Kj2LGvCvjB+0/4m8PWOuJoMljoV1ourz6f&#10;bpfWb3bapIhQ5jKgJCBG6ufMDcsoGcEnz6dOXMkem5x3Z6/qGnX1msmo6bDLeSLytm1wIwVwflTj&#10;G4nGN3HbKjkT2OmXwh3am0TSHkiBTtX2yTlseuBn0FebeCviJ4xk+JHhXw9b6zq1/ba9pd1d6xp/&#10;iTTI7a60xYvlRl8tEBDSZXkMCBkHmuy+O/xDvvhV8NL7xpplp51xbsiRhrUzRhm6bwJIyqnGNwbj&#10;IOD0rocZR3Dmjy8xu/YEK5xwPXtVLXfBmh+JtOOm63p6zw9VVuCjeoI5Brw34d/HPxP4K+FOkX1r&#10;Y2Wufbn1O8vrGGaGFbCLcJQoZXYhQZdx3oSBLt+XYBXsX7OWo6fqvwU8OpDqen3klnpUFtdPp9yJ&#10;kjdI1+Rj/C4UruX+EnA4wamWi1IVaMtjk9D+H6t4qHhfUotQs5IdLeG3ud/mJcYk3pKj7Rs2NtYD&#10;nlAOMc/Nfx4+F+kaJ4ykEukxwx30RnMMS4SCdZHjnjX5QAokjdlUdEZO+QPsr42eNv8AhXvw7v8A&#10;xDY2dtNMI2RYpNRFqzZUjMZwSzg4wowx7HOAfm/4v+I/EHi34E/8JJ430eTULjwrorS2viKG1ulF&#10;35ssCuQzgRyLHEreYxy7OMxjYHdzC/uZWiceKjGpaXU+c/Bfh2w1LVo7e5gWRY9DtJFz2JXP9a6r&#10;/hDtHubILLYJlo13Y7dKz/AlgYb2G6Utt/sW0iYehESH+tdTMUgs3b+FYz/KvS5n1OG3u6HAeDvD&#10;ml63cXb3MG5rfS9PeP23w5NdDcfDvw/FYyXH2f7sbMBuPYVB8NbbypNSJTlrHT4/pttVz+prpPEC&#10;+T4avphJtKWMpH4IaOZijE43wj4T02/TURc2gLR29skfsfsyEn8Sa0Ne+HeiW+iX+oKjK0Nm7ryM&#10;ZCk1peBIo0OrfNz9tWJh6bYIxV7xs6p4P1I4/wCXGUf+OEUc5SVtDlfD/gfT9XXVJDF80WpyRR7e&#10;MKFTj9TT/FHw6sdL8OXWpxzsphjz8yg45FdF8P49i6sW3fNrlyVHtuC/0qf4gqH8I3kfZti49cuo&#10;/rUOcrgqcWczp3gOx1M38h3J5WpyRKF6bQwqPXPAEWj6LLqJm4jZMrt65YD+tdZ4Rj/dX0pH39Wu&#10;T0/28f0qTx3Gv/CMOoXJee3X850FNVO5XsonN6f8P7fVVnulZY/9PmRfZRIwH8qddfD37BLbNNKG&#10;je/hjYf70ijH611Hg0RnSfNxuDXlw31/etVjxVGiW9g4HXVbb9JAf6UnUfQnl5TitH8CT6hpVpeq&#10;y/v49x9utR6v4Mn0xo5Jz+7bzM/hE7/+y13Xg63j/wCEV0vr/wAeqn9KpeP4lENvGuRnz+f+3aWl&#10;7SQ1E5NvAmpvaRXMUW5ZI1YbfcVVvvDtxYSf6XGVBs5ZV99oH+Ir07SYI10u1BGdtun48VzvxCt4&#10;kvI1VeP7Juh+Xl1TmXynKX/hzVNDgGrBf+PfbLnrjBr1mx8VeEPit4bks4byJpry1ZZrVmzJGxHJ&#10;x6A9Gx6d+Kbp3he11/TGg1Abrd4/LaMZy3+H1rHn/Zv8Cw6iuqWF7qluVkVhbwzKU6+65/U15uKr&#10;UpSSvrE+wyDBZhToSnGCcJ9G7P1ND4OeGNNvfANm+pWK+fHJNHNliDuEzjH5Vz9l4Si1L473UaWq&#10;izsbmF5lHTb5Jxn6sor0bwrolv4W0f8Asq0uJJQZpJWkk67nYtj8M4rk/Fvwt8R6l4lvPEXhvx7N&#10;pjX23zYobYn7qkfeDjsT27muSNb95J33PcxWW4iWAoQ5b8jTaT7L/OwfEvwV/wAJl4gtvD/hhoft&#10;FrC8t7PJIdsakrtUkA898ehrl/7P8feApDpU3h2a8t1y4mtY2kQD6gcfiK6z4V6XdeDfFFx4Eu9T&#10;S6ZdL+1yXC5yzNMQc56Hp3PWrXxF1b4raNrEB+H/AIVt9StWhzcPJyVfd0wWHGMfrRKq42p7r/M5&#10;aOE5pSxj5ozu00tdtNjirP4j6BBcN/wkOkXSfKf3K4zn8cUzVPGPhTWdNa20zw3smYjbcNGqsOfb&#10;Ofxren+KX7QEEW2b4Wg/7MNrIR09pateC/HfxJ1rxPa6d4i+Gc1lDM2JLtrKRFi4POWJFJSVP3rf&#10;iTX9tio+zlPfTWDucPd2d5ZAfbbSSHcuV82MrkeozTYzlcHjgfyr1T4tWFrd+EJknTLxbpI3/u4j&#10;c1ynh7wzZaparcyfxRw8DvmGNv616GHre0hex8hmODjgcS6SlfRPa25y0gycY9quWi7E24ra1jwY&#10;thMLuKU+Wt7EjRkdQzAf1qa18F3c9p9rR9u7lVrbnicKMUkjkUbtvfrVq90W6sL63t7gj99DK67f&#10;9lc1NdeFdVh2gRb84zt7ZxUylfYcjL+0IXKL16VJE0qnHb60Lot//aE1oI/3kc0a7f8AeRm/ktXH&#10;0i9tRsliO7PYVFiQt764gT5Jdo9iajv9dvMbDdNtz601FkkX5FZuCcY9CR/Q1n3qSIrP128lcdBS&#10;kXFl9PEF/GNi3Pyj+HaKSbxPqO9X81eP4QvBqpNE8MjRNnKnFVpHYTLGVJypP5ZJ/Ss7mhtP4zuh&#10;jFtHwOflqNPF87SF7mFdoGQqt/8AWrCLSMc/N1x9eagM0qmQc9cUcqGdKfGiFTi3YVFF4qs3+e4V&#10;gfpmuZuLhwnLVGLiTydy89qnkiaRk2dVL40s4wXQFmbj7mMe9Ft4k0psTSXODnkFgMVx890Y8kn9&#10;arPNLLcCGJfmZgqqO5rNqxotdEd5N4us2k+ywzqWbo7N0pF16whBka43N3Zm61yR8J+KLiEz2+ly&#10;TKv3mgUsVPpxWRqFpqli3+k6fcR9sPC39ax/d9zonh8VTlaUGvkzuLzxQsz7YDxnDPuHH0ofUrWF&#10;POeQ/wC0zd65vSbMy6contirF+dzYNY3iRbmwuFgEhMbDK7mOR7VzxqRnKx6WIyvFYfBxrvZpfK5&#10;2ras18f3D7Y6U6hHaxZD7T39686TxFfofLW9k46Y7VHL4hvzdidruQsi8M3OKuyPLXMz0Y6ndXAy&#10;cRp2PrThfwWoADkndxt6mvPh451tDg3isv8AeaMVBZeMNStNzCVZWZss03zH9MUuUd0elC6luF3O&#10;fLT+Fe5obUooDsVjv6bV6155d+P9auYvLDxrz95V5/U1LbfEO6twubGMtjDyBuWpcshXPQoNU1GN&#10;mAupI1kjKyLHIVLqRyGx1GO1buifGn4g+HNMj0Xwn481yztYsiG0sdYmjhiyckhVcAZJJOO5ryD/&#10;AIWLdT3m2aD9z2WNjk/U1pRfEi0gRlj0iRW2/wB4c/jRyyKPao/2g/jfeyWMmqfE7VJhp9wtxbK9&#10;0cBx0Lf3+OPmz1Pqa9B0b/goF8X7A+XdaXompf3mms5Fx+KOo/Svliw+JGmXEe/UY5o93/LNU3D8&#10;81of8LG0K3kjgt5C27ncYyFX86dpAfRl1+3P8d7i5knhutNhV5GZYY9PUqgJ+6M5OB05JNFeAjx5&#10;o5GTqtrRT5WB0juVdTu/h5qnriSSx6Wqj/mJM78dQIZP6kUssjfaMhfl6fTmotVnkGrabZqDt+y3&#10;MjezbogP5mvdueGWrmQMVK9PrUkbYt5mz/dAP41XPOF+lOBZLFznrMoouaBJhmZqktCfLk5/5Zmq&#10;0jlckDPNT25K2s0jDH7ulL4SuhVRfutjgJU+jAibcx/h71Ch/dsn91cVZ01dsp/2Y2P6U4skzQN3&#10;mbf4pf8AGrdpEXdUB58wc/jVa24XcR1YmtDTY83cPy9ZMmjmAq37rKbiXjmZhwe6nbj9Kz5IxJIq&#10;lv4h/OrLpIttOxJO69mZeOxlJFQeW5lYKfm4C+9aRlGxLL13CIreOHH+rtkH3eny1ngqXUEf/XrT&#10;1iTE0wC/7PX3FZQBN0qY/iFHNHuK1ybUv+P0xquNsX9DzVfPEYz1NW9VUrrE4J+4oX/x3/69UlH+&#10;kxxH+8vP41UWKW56H+xJf6ZqfxG8S+AElgsrjXPECfapZ4JG+0WcEDvcQKwOEaQKFJIAMbSYYMVD&#10;fSvxK+B/inxRrEPxIvvilY6frWixk+Hbiz0VLe3ibcBicyPI8ikYXAYKueFOSrfFvhfVovA3xBj8&#10;UizaZLfUvPuLdZNv2hMBZIyewdMof96vv34a674c8RfD+1udUu7W4j0eNTJdT4VDGsYMVyd3AV4m&#10;V8npuIOCDjjxE+WzXU6MLUjKXJIPhv4m8TXuhovxKbQ7bUCFZZNJ1HzIJo2A2uob5kz6EtnggnPH&#10;O+OvgD4M8f6rqovviVrFlY6xcxXOoaRp99AsM1xEqIJDvjZukSZXOMrng1L4p+OvwX8HfZ20uBdR&#10;mkhKqunYxCmQQGLEBRuRfl9B0xjPFeCv2itE1TXrl/ib4etI7eeb7Tb3mmrKskUqYIDAN82Qo5wC&#10;WA3diuKqSjsFbMsvo1Y0qk9Tuvhh8MZ/DfjDWPiD4q+IcWv3k8Mdhpt7IsaNb2MeW8tymFLlslmx&#10;ztB4yQGftC/C5PiZ4Pmm8Px2UusWdvN9lNxai43KYn/dRozBEkZtoEhBK5YjnFO8I/ET9n3WrW0S&#10;w1eOxkt41njj1KaSKSFhIW2s7uVLb/mI3Nu4PIAxveKNO0m00C28RaDpNxrjSNby2Xk3wClU3NG5&#10;mckBAHPJzkYHSnzt6pnZGtRqR9ySfozg/iD8CfDvhvwXqnidNPjuV0n4e6hbx/b2e4l+0+QuyZd5&#10;KxFFi2jywuA2OgGPV/DGmjSfDllpOMfZrRIm7fdUL/SvLn/aV1PxHBDp1v8AD+x06OW3mXWF8Was&#10;lvHGxcosQRQ7yK2OWCbQrAnABx3HgbxVDqj3U+o+NtMuhcSb7S0hvIGa1Tn92xjJDMOBwWHHU5py&#10;qczWhpR9jK9pLRfeeffE34eTx+ELiL4f+Fpoof7RtYb7VL6G4vL7UozcRq4DgtcrbKpbOwhm2/Io&#10;TLP84ftp+ILu5+AVn8PhrF+lufHt9JZrI11GTb2mmxpKiLcO0qxefI3yMzYPBJINfdt/4i0zTdKu&#10;tUiuUm+xqC0VvIGZnJwicfxM3ygdzX55ftf/ABL1P4u/E/VrObU1vLHwb4fudMW4hwY5tRlZ2umQ&#10;gAFUfEI46RZJJJrSml7RHPipU7Xi7kmm2UOn7YwFVpLeIkcZ4jVf/Zf0qbVNzaZcKM/6h/8A0E0a&#10;gjR6+iYO3+zICpxwTl//AK1SX0Z+xSnP/LMj9K6uY86y6GX4Eh8uTVADyt5HFj/chjFaninf/wAI&#10;rqX/AGD5v/RZrL8DpIJtW3n5v7YlH4BVFa+uIZtGuoG48yBk+uRipbXcajIoeARzrRx/zHJuSPRU&#10;X+lXfGsQk8L3UZ/5aR7PzOKreAk2wanIDw+tXJ/8fI/pVvxcC2jMmeGuIB+cyUXKUbDPBkW2G+ny&#10;NsmrXZUe3nuP6VY8aIr+HpEK8NcW69PWZKi8FoDoryA53X9yR/4ESVP4nUS6UkLjIbULQfh9ojpF&#10;B4bCLZzhV631wx9j5rVJ4rRZdIhiP8V9aj/yOlN0C4+1WlxPt2/6XKOO/wA55p3ithFYWjlc/wDE&#10;wthj/tslACeDAF8NwkD780x/8isal8ZN/oWnrv2/8TOH+dV/A7l/Ddrx/eP5s3+NS+MwTBpqf3tQ&#10;jP5KxoK+yWfCjg+GtPx8v+iphfT5RWb8Rm2fZTntOT/4DS1oeFio8P6dx/y5x9+vyCsv4mSExwgD&#10;/l3uj+VrJQGljotPQpp8CHtCn/oIrkvinJKjb4nIZdJvCOf+uVdfbyDyYlUf8sl7+wFYPifQLvxN&#10;rUWm2bRru026RpJWwqljEBn/AOtSlKMVds0p0auIqKnTV5PZLc4P4geLvitpPiqeHwtfXkdk0MQj&#10;jt5GxnYMngHBzmofA1n8fPiRrTaRP4r1mytVVXubia8lEapuAIHOCx5wMc47dR7VaeGLa1fdcndk&#10;fMq8CqPxL+JmjfCfwhJrDWayTkFbGyXrK3qcdFHGTx1wOSK82tiKMtIRu2fcZblOaUKPPjKrp04q&#10;7V9dPQ6yzt0srSGzilkZYYVRWmkLsQBjljyTx1Nc38TNH13xVoJPgfxRcWmo23mfZ1tbsos7AgNG&#10;23uCMA/wnOeppvwU8Waz4u+Gul+KPEjLJeXXnNOyxhBxM6gADpwBXjmh/FvXfg18Tteh1q3mk0i6&#10;1qVp7dW+5vdysi543cH2IHPQEcNKnOU3bpqfQYzHYSnh6XM2oVNns1dXTO1+E0Wu6P8AEq1h8RX0&#10;1xfXOizfa3uJCzFxIpwSSScDj8K6r4m+FPif4k1K1n8C+M10+FYDHPbtcSxZfdnfmMHdkHHPTb71&#10;zvhbxjpvxC+LGm+KPD9ncR2smjzndcIFZzvClsAkAZx354PernxmbQL3xX4X0Txl4qfTdHmN291G&#10;JjGlxIvk7EZh0HJOT7gEE5rapeVRNdkcOX04Ry2cZT5vfaUr2vquvzKsfgX9puy/1PxC0+THKh76&#10;Vm/8eiIrS8MWP7Rttr1o/irxFZzaeswF5HmLmPvj92CT+I5rJ8UfAO21S1GrfCHxY1k23dFGL5pL&#10;eYez5LKffJHsK1Pgj4I+Jvh1J9Y+I3iS6kYqUt9M+3tMi8/6xuSM8fLjoCc4PFZ83utu33amkcLO&#10;OJUHGdt7814/N2Oi+KB87wneupK7baYfnG1Y/gYA6FG57w2v4f6NEKb4i1HVdU0vXra5vY5rWFZl&#10;s3jQZZfLzkkdSGJXjHC570eBCf8AhGrJ16SWdu3/AJBQf0ruoRlGgj4jPq1Gvm03T6WT9VuXvFYC&#10;6Eznr9stzu/7arWlpygadCMfwflWP46mZfDTBe0kWeeuJAa1rNytsisf7w/nW6funi21Ob8bYTX9&#10;LQd7e7H0/dV0NwodsKn8S/zFc94yie48TaWFPG26X84q6ZFzLgr6VFpF+6YFlaH/AITa6LfdFxbt&#10;nH/TGUV0Jt0lbJUdD/D9Kz2gCa7JOOrGPP4Aj+taSTKDk1d9ibHMeEoVMFwGI+WSVeR6Sv8A40/x&#10;bpttbaBfXkUKZWzBX5R2NL4YheK3vA4/5iF0P/H6ueJYjL4cvogPmazcD/vk0dSuhRt/Ddjfwf2h&#10;MNzTZY9OPmrG8Sabb6bdaasEf+shulP/AH5PNdN4fO/QLBi33raP8MjNY/ji2Y3ulyRr924dM/7y&#10;Y/wpS1GkOvPAmm7CFdxtZT+bCsuLwtbr4gudLkhzH5sO1ivPMLk/+PYrsbnHzLuB+UfzrOkgVdee&#10;XcNxZG/8dI/rUxC6Obv/AIdQy3S+TKyoSRisvQ/Bkmr6RFdW8vJjYyLnq29x/JR+degxq2/B5K5/&#10;wrK8KWf9naQYgOVdh/48T/WhlwkrnCeI/CN3pFhNf3RHlwzIr8/3iP8AEfnWFpk6H4hSaO82yOG/&#10;CFsdAJcH9P5V6b45057/AMManbgfM88ZVm46CP8AwrxXxPqDaB8S9SurhXSOS+m8t9pw/wC8yMev&#10;SsK1/ZtI9LLZWxtNy7nv/iR7b4UeAbrW9SWS4COqjyG2nLNjrg469cVxNv8AtHeA3t/s2q+HLp93&#10;3m3I+fzwa6bUPix8O/ib4Xt/B7NdG51iP/USWxTYEO5jubAP3cfLn3xXnfxG+D2l/wCiaX4H0y6m&#10;v7qdV28sqJjlmPRRnv8AWvMo0U6d5H1GZZpiI4pQpWloul9T0b4e6j4A+KOm3l3pnhya2WKZY2ab&#10;AzxkFSCR+FYvirWvgx4O16bw14ltZhNEFO6aHeCGUNkbT0wfSu1+H3gm18A+D7bw7blWdR5lxIv8&#10;ch6n8gB+FebfGf4Sf8Jf4iu/Fjas8LCKNBEId25VGODn8fxqacYzqWTOvHYytg8DF1Fdu110LGn+&#10;Iv2f5rnyEvtO8s8L52myZz7ts/qMV3mneGPBD6ap0rQtOmtZl3RNHDG8bj14zXyz8UfCM/gzWZjZ&#10;iRbcbJYfmP3GKj9Ca9u/Zi8RJqfgy40lrlW+x3O+KPd9yORc4+m4MfqaqtGVO2phleLp46/uJNdj&#10;y/xxpVjpnjDVNN0iIraw3jrFH2QA9OewPH0rKhs7j7Ms4T5WmeNcf3l25H/jwr3fVvBHhyfU3vn0&#10;5Gaa9cyNIN2SQxzzXLeHfh/p2rG8t5WkjWz1SaSNVHXcF/qtd0Y+6j5DFS/2iVu7PMHjkR+S30qR&#10;4JI2y6EdO3qK9W1L4ZaBplheS2tswxGi7W54BXmr0Pw38OavEsr221riJXYq2MHb/gaOWPcw5keK&#10;eWRc/LH2/u1KUBXBj/8AHa9Mt/hXpllqmn2c00ki3VtI7H0+XIxV+7+B9jcTLDBeMF80JyvOAnJ6&#10;9eBSSuWjyOBT5Kll+993jrSybg6qcjdwtehW/wALb27tFg06DzPJvrgSN02rtXbn6HdU1/8ACRvD&#10;xj1G9k84x3UZMfoMZOfyrZKJVzzfy3/vtRXozfBPxIzbobdSp+6c9RRVezQzpSV2Oz53bflwuefz&#10;H9foapXVy8vjH7IG+WDSYWHA5Mkkmf8A0WK5KT9on4dwDdKupRzdY7ZtPYSSf7vbp71JbfGP4a3m&#10;pzeI5daktI3t44tt5Zyo2FLH+6R1Y96641I73PFitTt9wDqe1Okb/RoxjAef5l/Cuaj+LXw3aL7U&#10;PGNiEX5vmmCkjrnB5NSWPxW+GmuWlvcWHjzS8bmPlzXSxOOwykm1h+IFHN5l2ZukAuEPduKmBA0u&#10;ZiOw/DmqNr4g8P6jMkOn6zazt3WG5Vv5GprDWtE1q2uINI1a1unguvKuI7e4V2iYZyrAE7SD2PNP&#10;m0sGoQrgzbv4WH8qtWewCcpKjNHCd21wduR0OOh9qjRSIm/2nqeJFis7oqoH7vJwPenGVg6FC3jQ&#10;W0ZK88/0q5pU0T3iLG3zLuJUdRwahxgKD/dNW9HEcU3nsvyxxszfl/8AXpN3EYlvcNPo8Fzz++jV&#10;+fdc1LaW8jXkMrRttebarbeMjBNLFb/ZtHtLY/8ALONE/JRVjRreMalA7L83mdfzP+Nax+ECLVJP&#10;PnnZT8vnD+f/ANaqljGZdQjyh2mRRmrNyfMMhH8U2f0al0W2i/tKOR4QzbvlbuKBFbVH3axfH/bx&#10;/wCgiqkQ3arEpOVaRRVzUBnUbo/9PDfz/wDrUafaeZqkeN3+syP0FXzcsUKSKmvRr/a11Dt6f4Cv&#10;W/2TvjdN4d1Bfhj4ny1rdIYbN/OEfmxs242+4kBXVsyRPkYdnVsh12+V6yhbxBeLx/rCOv0qOOxj&#10;mnXLvyVDYA5Hpz698EVjUhGtT5WRyxlK1z608TweL9G2vZ+Jb+80u4Zhb3HnSBSR1jkQn5JF6MjA&#10;c8jisa1lsPta3GseENNvFVdrN9jjjcDqTkKVZuOsiPXgPwG/af8Ai18DUvfBnxImvPFukWd2bRZm&#10;CPfC1VUMYdHwl4qq2ArMkijAWUKoSve/AXxo/Z9+NsSt4C8b28OoZAuNJt2Ms0bY5U2kuy6jIPXC&#10;SL6MRivnK2X4zDy56UnY8utg6kZXv/l/Xkbt2bXSoIdT0e0lXS5JCq3GlXclvIsmP9XIjM6Kw5IC&#10;gBgOG60pm8U6vB52m642v28ILzWGsWSzyxDu3lSbxjH8UZJA67RWlotrD4f1U2V54g0aexulEeoW&#10;s139mkMWfvbZghDr95eODx0JqrD4aMGqNPp3jjRR5MxNpNbah5khweG2xBmB9gK4pRx3Ns7i5atk&#10;1p6GStp4W1eyYaDpNh4e1iSQt9uWLzbebjAQeaXNqf8AbTv12jkc/D4E+I/jLxJNomuNceZYjN9d&#10;avckx2if33kYn5ccjGdw5Ga7T4pfE34G/Dy2i8S/FbxRp+n3GzbeNd3I0+C4kwSH8lwLg57+XGQS&#10;e1fMvxe/4KbX3j3U9P8AAn7PPhq6Nj9ot7dvEd1YmG2so3dY1NvbtuLSAk4lmJIO0qi816eFhjYq&#10;0yZ5bKvNSk3by0v69n5noX7UX7SOg/A3wvD8Fvg/cCbxXqeF07zMCSJpBtbULgD/AFbY4hiPK/fY&#10;ZwB8+2/hc+Evh5F4f+0tNMzIk00jEtI8kwLE565Ln8K6m78CaUvjXUvGt3E0+rahOrXF9cMXkKgD&#10;byfoCT3pviS0W706OFVJP2qCTH0mQk/kK96kuWCb3PZp04048qWxtX5f+3FVjwunwL+PzZ/mKW+d&#10;vsMnPVcfnTJ/m8X31uzZ+zzxxEemYY3/APZqm1T5bNtq53TIn5kCtL3KiupV0C3W2vb1l/5bXjP+&#10;YH+FX9bQHTmC9Tj+YqOxjVRFIEwZFDN9cU/V32WYRULNJNGuFA6Fhk8nt/L8ii4lLwIANIuJwf8A&#10;W6hdOP8Av89XNdi+1WHkn/nvEfykU1T8BJs8LWsjfeZpS3H/AE1c1oao21I2wfnmRQNp/vA/0pXH&#10;oU/ATSf8IxAxb70kzfnK5q14pcrp0O08/wBo2mfwnQ1V8BDHhOxH96Pd+ZJqz4jDObCGP7z6nD+G&#10;DnP0GP1qZMUdy/baQmgm40pZPM23DNuxjO75v/ZqqeLJF/s61RwSf7StcY/67JV9luluZvtkbLI0&#10;zErJ1A7fpiqevxiSOzUleb6H7zAZO7PTr2NKTdzOWkiLwIyHwzZsP4lz+eTT/GEhLablvlW+z/5D&#10;ejwnC0Xh+xgPUW65HvtNR+LkHl2YYj/j4Yjn0ic0+YroXPDoI8P6aV/584//AEEVj/EyQRLGzH/l&#10;heY/8BnFbXh+Qf8ACPWKEc/Yoh/44K574sxSrBbgo2Gt77accN/o79PzojIZ1NvIUtI2HVY8frXE&#10;fFPx7q/gHVdP8X6dD5kdnDO91b/wyx7ogQfzBz2wD2ruUbfEpA7d/wDeri/iRpkGqyNp11HvSTQ7&#10;7cv/AH7NZzXNdM2w+Iq4WvGrTdnF3IT+2V8NtQtVGiaff3GoSgLDY7UVS56DeCcDPfHPoO3Aa/d+&#10;NfEfjO48S+OUWOW702OW1s8ZW2j+2wLsAPTjr7k55rv/AAl8A/AfhjWv7YtdLaWTcGiEzZEZ9QBi&#10;qfxes1g8ULdCPhtHiXI7H+0LesaOHp05Jrc9nHZ9jM0gqdSyS6Lr6nqvw0tFs/BlpbKgVd0zKoHQ&#10;NK7f1ryb4h+G9M8SfEjUtJv4sxz3FiJNp563NexeBiD4UsCDndADx7kmvLPETL/wti4lU5VrjT8H&#10;6vc1y4OXNiZ/P8z3uKI8mT4Zen5I634beGINJ8RSSWYCwWOnpbwhRwAxGR9f3Y/M1zv7UngfW/HM&#10;ugWmhRlp4nuCOoHRD1/4DXffD+4t73TLi4tgHP22SORl7MpwV/D+tbDxv5qts79656mK9jinLe2h&#10;7WW5PTxXDtOg5W5rS0Xnf8rI8U/Z+8JfHTwlr4ju7T7PpDP/AKVHqEuA/uiglg/o2ADjknt7LrWk&#10;6X4n06bRdZgS4t24lVWPytjPUcggHNcz8R/ilb+Gy3hvwwqX3iCVP3Nmo3LBnjfLg/KB6ZBPHQHN&#10;eC+DPi34/wDhH4rk1vxPeNfR6lqVwmpIzfJNIj4YjP3WGflPQDAxjgEac8VeoopB9ewGT1IYGc3N&#10;9b20PpDVPCoj0efTtOf5Xt2jjjbjqpGM1R8KaPqujeGdPsb+3KTQ2cUcyZBwyqARke4rb8IeLvD3&#10;jzRE17w7fLNC3DR9Gib+6w9f0PUcVelkSxia4vZFVVXO6nTxlVLlkr/mc+K4Xyqv++ptwW+juvx2&#10;OO+IlzHD4QuC4bcGj/8AQxWwLghI1Q/3v51z/wAUrkSeDdQuG+XgNn0/eA1uE5jUjtXqx+FH5vVj&#10;GNRqLuk3Z913KevxK2s2EuPuzOPzjNbikefnPp/M1k6hzJbyH/nsv+H9a0TJslA9dtQ5c2hKiUrq&#10;Yi7aTdyAM/8AfVTQ3JYbs/w+lUZjvvZMeg/9CWrdjkKUPvTKK1ivlecFPD3Ejt9TzVi9cNpsm85z&#10;Hj8xUMY2yyY9W/pTpj/oLKf+ef8ASgCDRVlh0azgLfNHDGp+oT/GofFCqzWr8f8AH3D/AOhrVuyk&#10;3adEy/3h/OoNfXzUhY/wyR/0qeYnmLyhTIpPU4De9Zk8q/2xI4/591P/AI8K0I3IaPP9zNZdyAur&#10;tgf8u5H/AI9WepNryuaERxvckfeb+dUNOfFlPz92WT+VW0O5mx/ef+lYOqy3y6PexaXHuuA021c/&#10;e+4aouK94ueGvEGjeNNfutDtHWaC2bzJ5P4WYYG335Iz26++Ok1e90bR4Wv/ABFeafa20YGyW+mV&#10;Bu53ffwOmMY5OT+Py/4e8J/tB+EI7/xj4Suv7P8ALSQx+ZGC8uewRsg5PPI611EP7PN347Fp4l+I&#10;HjnUry4ubWN5Ipn3MjFFLLkk8bs4GMAV5tbD161S7dkfX4HNcDl+DtThzTe/r/keha9+078E9Ed4&#10;JfF8c00YPy2drI2PYNt2/rWx8J/jN4V+MNrdap4Wsb9YLORIzNfQqqyE5PyYZicY5yB1HWvDfFn7&#10;P3hzw3Hb3+jW7yL/AGTfNci4wwZzBhCOBggtn2P4Vf8A2J/in4bs9PPw9uriKCS4YNa7uAZgAGT6&#10;nAx68j0rGth40Kd022etlOcVsxxXJNJLy3PW/it8f/ht8M9Vt/D3iS+vFvrmAT+XaW6vsj3EZbcw&#10;6kHpnpn0rc8L+IPDvj3w/F4h8P3Md1Y3GdjSRkYI4KsGHBHp/TFea/tX/Aa9+K/hlda8J6bFJr1j&#10;tESmQI00I3HYCSBkFsjPXmux/Z08Jap4A+FtnoXiG2C3UkrTywuQWizxtPvgA/jiuWXLGnGS3Pap&#10;+2niZwnC0Vt5jNY8MfCP4h3M2jX8Olahc27NBc2kVyFljZW5RgjBhgr0qnonwD+Hnh7VbbWNC0y6&#10;s5rWTdGseoSMhHPDBycjv9RXzl8ffAXjNviNrXjrwxDJPpt5qV1cRzLHlUKyuCOOeqmsf4d/tHfH&#10;zwhqTafp15eXsdrGZZrW8/0iJY165DHcgH+yRXUqVb2fNc8eOaZV7aUJQS1s9Nz7Gm0+zlcgOx2y&#10;Z4YcNjBqlbeGrDRDd31rLKzXLFpPMxgH2wK8v+GH7c3gzx1cxaB4g8J3kWpTHCtpK/aFkPchM71/&#10;8e4712+j/FfSPGPjjWvAemabdQto1rBJcSXW0b2lXcAoBPAXGTnqcY4yVTlipVEm9DLMKfD9PByn&#10;FLmadrb3exY8Rf8AIKvHz/yx3N9Ov9Km8Lug06ymJyPsqBf+/YFM1eIzaJeAfxWfr/smofCFwraD&#10;Yt9V4/3mFejynwxJr2bbVtCZAOP3X45UV0Fuco067fllXH4gD+tc/wCNYxayaLIv8N8pP5qa3LKQ&#10;Krxn+Boy3/fX/wBanGPKVGRl+FNp1HWov+eczOBj13f0FSeOrbOlTuMEi4UkkewH+NR+HX2eMtWt&#10;h96Qbuf8+9aHiKIXPhaadhn92G/LmqKLNrcyNbRsoXBjB/Sisaw1i5WxhCov+qXv7UVXMaHybOrX&#10;UbW8Tx6lCv8ArLe6QJPEPyGfbIU+5qvELqFms9LvtzbcnTdUzuI9FY54+u4dOarTeLdHu/nn1C3u&#10;VjbKtI/kzJ7qeMn6bR71E3i/Qbv/AEP7fBdKvIs7xkVx7qwyCR9Dn+91Ncj5nucvKuxNBPbxTYhe&#10;TSLlvuwzR5t5D7c4/wC+WHuD0qLUIIY7jz9Usmsbhv8AmIWuGjf/AHuAD/wID2PeojrulzJsivw6&#10;ycG01L5lb/dcbsn8Wx7U2LUYbP8A5B95LZsx+a0usvC/sGz8v5/8Bo5pIlwj2Jp7Np4wNY01Zo1O&#10;UvbHI2e5X7y/hvBzzgcU2G2NtG11bwW+p2pH+utFVZlHphcB/wACD7GiG8trR9+ZNJmb/lomHtX/&#10;AKD/AMcJ9TUjTwRE39+DZzNz9us23RsPVxj/ANCHH96q55E+yYadqPiPT0a48I67NeQqx3WdxctH&#10;NCfQPwQfZxn35rM1O31vW9RuNY8M+Pta07WpI1juo31KaKfaOg3ht2ByQDuX6CtWY2dw63Woqjsq&#10;/udTsSc49wMnHt84+gpl8lvqECtqSRalbrzHdWjATRe+0HP1KHP+zVRqSTuKVM8y8QfEP9qLwJcs&#10;8fxU8RzKjZVbi8MhVfo2Qw9xn3rL/wCGt/2kFuVu0+Kt+rLGY9nkw+WynOQybNrdcZIyB0Ir1iVf&#10;tdgYmaHWrIcFHYefF646ZYf8Bb61xPij4MeH/EyTap4Vuv3yf6y3k+SWP2Ocbvx2njjPFdlPELRS&#10;Rm6ZY0D9uv4yTbbXxb4wVG24W4TTbcRHnjcFjBX6jiuts/2vPi/b3lvqMes2ccUXPmQ2KNHNnsxO&#10;cfgR16ivnTxH4T1fw3PJBqNudqnDMFPy+zA/dP1pvhvxXq3hqUHTpRJDnLWs3Mf5fw/hXS5aKxm4&#10;tH1bZftbfES8GPsGj564NpLz/wCRa2LH9qXxu0kcttp2mo6NuK/Z3If2/wBZ096+dfDPizSfEG1d&#10;MnW1uTy2nXTcH/cf39B9MHvvWGsMsmyUeW68tG3BX/PqPxxWcnPoI+gtP/aM1S8uGa/0C1Ejtubb&#10;KyqST2zmrMn7Rus2dzG1n4WtIZFkVvOnu2eN/wDZ4VdpPqSR7GvE9N8QRSjy7r5lPdiAR/jW7FeN&#10;HbAyuLm3ZfmP3io9x3+tR7SpazNI8r0PU7/4+3AuWurnwgoE0mXeO/3KueenlgirkXx7gs7P+0NO&#10;8ISXkysCsK3iqrrnn5tuentXlFreLaRK9u32iFx8se4EqP8AZOfmHt/hirMJa2T7bpMiyws37yIc&#10;YPt6H2xUPESi7F+zproenJ8cdE1i8udXl0K+WS7lEnlwvE4QhFXacsDkbe4H0rD1zxr8ONcu11OT&#10;wFNe3ls2VS6t4V59zuJxz1wa5Hak5+3aTKqzEfvEb+L/AGW9D705VTUvmibyruI4xwSD6H1BpfWJ&#10;icTY8M+OPFfhVfsXhr48fFLRXbLG10/X3ECrk4CqZj0HvV3U/iv8Sr68s7jxL+0j8TNYtIbqN5tN&#10;vNUlEcq7huB2y4Jxnr1rnUaO6P2W5Xy5V5Vec/7y+1G5JibG+VdzY2sM/vPp7ip+syctiY01HRG/&#10;eaB+zxqPiubxfNpOtSedIHFvqkcsu35MH+J885PJPX8K6yf4lfDCHRrODS4bpobaaGWO1tdNkUnY&#10;4YBcgL29RXmkE8tpItnI3yN9yTP6UrSHTJPMC4t25Zf+eVV9YkNx7HuM3x8+GepzNeQ6zNHvwfKe&#10;wm3Jx0ICkZ+hIqjqnxr+GMEQlbxE7eWwYxpZyhiNw6ZUf5FePTL9m/4mdvH8rf66OP8AiGPvD3FN&#10;vLeO4jTULSQFkXcreo9Kf1l2sTys90t/jD8LL3xBqWrx+L7eO3uriOSPzQ0ZwIIlPyuARypq5qvx&#10;k+GFvZG+PjixKI8Zby5NzBdw52gFjx6CvA4BFqdp8jbWHbujen9KlsXF3E9tMVM0fyyIe/v9DTWJ&#10;aDlPoOw+KPw1vLO3nt/G+kL/AKNFlJL1EZfkXOQSCDnPXmm6r8Uvhvb2RuJPHWksqSqW8rUI3bhu&#10;flUkn8BmvnnTLeK2nbTJoN235oWbGWX0/CnNaxWmpeTLbqIbo/LuUZVx2/EVEsUx2PffAXjbwXD4&#10;TsYpfGOlhljJdTqEYK5YnBGevNaet+NvB9vaw3k3inTo41nBMkl7Gqjg9ya+bdRtLa3mh1D7NHsX&#10;5JsxjG0nrUup6bp8ls80dnH8vK/uxyKX1p6XQrH0p4JvdPbwnp8cV/C3+ir8yygg8e1W9Yu7Oyms&#10;b3ULqKGGO+RmmmkCqmAeSSeK+abfSdJvbVZfsFv80fB8sdaj0jRtJu7Jkm06JvLYq25Tzil9a8hq&#10;Nj601G4i1DUZrmCVXVpW2sh4Izx+mD9DWbrZZGtVZ8KLhCQfbNfM+l2Nvb3U+nqjLHGAYlWRgAv5&#10;0/UbWO5vIdOuZZnt5FO6F7hypIGfWn9av0D2fNqfSvhmHboViwz/AMe6Z/74qDxsk8drC8ZHytI3&#10;Pr5ElfOl/d6lp1tCmm+IdSt448KqQ6lKoVR2GG4FXNcudSvtOeK78TavcJHl0jn1SVlDDocbuoqo&#10;4mL3D2cj6K8Pxf8AEhsST/y5x/8AoArH+Itt9pvbOED70d4OnrAa8Z0zxd4yGnwgeOtYw0a4Bvmb&#10;HHuart4t8Y+IrWOfUPGWpboZmELRTBSMgZ5ABPXGDxTjiafMLkkj6Sl/dMin+6f/AEKuZ8ZwpHq6&#10;uvVtDvwf/IdeQQfGP4pLqEkMXjGYrGAMtZ25P/ouqniP4q/EPUdWghfxRJvW3kjZhaQfcfG4H5Oh&#10;C0/bRuP2cj6QtQd4OP4a4j4xaa99fm3tkJkawiIx7X9sc15vdftLfEbR4Fk/4l0hZtqiW1PPGezA&#10;1xuqftQfFHxL4/0qzji0eEyMsMyrbNteMyK3zEuSoyuSRg4WtFUjug5Zx1PTfhxF+0VbeMP+EUvt&#10;RMPhqzuGDBok3PFuzsV8bsH2OOTmug8U2k0fxGWFU+9/ZZbb6+bciueg/aP8YXEUs+maDpflrcMk&#10;SyK+4qPXbIQD9CfwPAoL8b/FuteIzrcnh3S2jt2hjnWN5FMhjYuNrEnoWI+6axhKjCXMkdWIxGKx&#10;UYxrSvyqyXZFXxN4m+Pnwm8XXy+BVma0upnkYG1EiEl2wcFWUHGOcZ9aueHPiD+0v8V7e50q88TN&#10;pOy4SFljhWJyWRnPKKGxtX16mq9p+2hf6he30UXwekuFs7p4ZJIdYzhgSP8Anj7Vc8K/Hqa51+bx&#10;NcfD+SCG9vEMduL4NIGWLy8/cHHfpRKjQl7zR1Us4zKjSVKFVqPY9C+G/wAMtN8G2BFw32q+kZjc&#10;X0hJd/m4/SuSs/h1pnj+7uNN1Usu3V9Y8pv7p8+3PSt8fHnw/FH5974U1eHb94pDEwH4+YP5Vk+D&#10;fiVoel61c3V5omoQwyXl5PBM0IJKztG2GUE4I8sdCa3UoONkcMnL2nM3dnEHwf8AGP4UeIGm8HyX&#10;iq28RSWm5ldecA89PY5Fet/DweOPE+i6d4p8c+I5ruaS3Lra7VWKNiSAwVAATjuckZODgmrE/wAY&#10;/hvJZsJNYZd2MK1hMe/qEx+tUfAfxV8BW3hiz0y819YJreEI8c0Lrj8SuKjlp819Lmyx2NVN0vaP&#10;l7Gt8Xg0vw41Xb18j/2cGuotMm0jJ7rXG+OvGngrWfA+o2Vp4s06SSS1YJH9sQFj6AE9a6LRvFXh&#10;nUtOt5LDXrWTcuNvnqGH1BwR+Iqkzl6lrXGMUcLr3uoAfxdatTS7HVWP8Ix+dZviC5tfs8UjXCBV&#10;uI2ZtwwAHBzn8KtXTB51kTn5f61JRXIK3TlvvFf6irlorMjZ68mqakvcgj+6f8auWjFUY4/zigCF&#10;SRLMB1D4/OkbizYeiDH5GmAl7icAfxKf50PxZsv8OQP0NDBiaWWGmqp/vY/Wm6zuNornsR/Wlsw0&#10;emhiP+Wn/s1N1IodKVc/Nt/k1ZmZcbHmKzZ5X/Cs27VRq7cn5oiP61oSM3lRtj/lif6Vn3kitrI5&#10;5KsP0NA0WrPqx7sT/IGqNjGPtNwn/TQ/r/8Aqq9bLznH1/75qjajF3dk/wDPVP5H/wCvQVre4upR&#10;CTQ5vMXI8on9BS2BBsrfaP4QP0qTUDDJo8kTP8xgfI/CvDv2iP2g/Enw0gh8JeGtMG6azV5b1WPm&#10;RoTg7MdwAf6YNZyOqmuZpN28z1HxVYvdWItgn+sV4iMdiCPT2NfH978JPi3pGu58NeE9RuJzNsa1&#10;htXckgjn5Rx1HNfRfwQ/be+E+veGbfTfiPrI03ULVVj+1SQO8d0MY3korFG45DAcnj0HbXf7VXwC&#10;sF+b4l2kzyNiGG1s53ZvQYVDz+VedUxUpKzh/X3H2OD4fw9NxqrFba6W/O4/9naP41p4IA+M0UEU&#10;+1PsMTzeZdhOc+ewO0npjkt13YPFd7IXaMqkzRll+V0IDL7j3rxLxD+1trGv6xqXgr4QeBLgapa6&#10;aLmG88RQmKNiZVjXbEDuOd4ILMpBHI5r5d8b/FX9pTwZ8Sv+Ex8W+JNUOrRkBZY3CeSp58pUACbP&#10;9nG0nqCa5vq9afvWsj2Kme5bhXGipOfRvp63/wAj7a0L4bx+B/DVv4asLm4vLe1LiN7jBkYNK7/M&#10;QACQGIzgA+grmPEHwy8J6HqK+KLfR4Ybi6kaG42jCvGxzyvTPHpXF/Cz9vSyuEtdF+O3h260+dlR&#10;o9WtbV41dTn55YDhtvHVNwJ6KB09wjh8F/F3w0ureFfEtvdWzMGhurKZZFBx0OOh56HBFbU8XOn7&#10;lVfM8bFZHRxl62Bne/2X+hx3gr4NeBPh39obwloUcEs21nuNoMjfOzdccDkcDA4FReFvDNrpXxg1&#10;vX1b95qVpEG/4BGgH9a7U20ljrUUEx5ZeG9cEVhlWs/iN1BMlmfl/wA/SvQhZrmXU+SrUZUajhNW&#10;a3NC5G7R5Isf8u+0/gDWL4BkU+G7M9ds7D/yLn+tbsrFrZlbjO8f+Pc1znw/Yf2Jtlf5Y7t9xx0A&#10;2mtDM1PikzjR7WdFGVuhjj2//VW5EiJNcmP7u35fwzWD8SUA8K/N/wAs7gHj8B/WtiwuBOGYNnzL&#10;QuvvnH+NA4lHRXMfxKulbHz2+f8A0GtjVR5mhzWpB+a0I/JawJZvs/xSt1B/1kBUZ78MR/IV0UiC&#10;W0aNT8375f8Ax8/4Ui7nAR3LCNR9pYfL03UVR+1RL8pH60UzQ+Wri20gSeaE8ndyscr7o8f7LL0/&#10;HP0qO7srB0QmOSDnH7whkPuGAO36kH6VjDx3bFf+PeVVbncFVT+WSDQnizSoh5haaL/ripz9fQ/n&#10;XLqcfOalzo2lGHJurmHH3mkRZIz77gBgehOPpUR8P2MUDLcTmMMM7njWSE/iuCF92ArMTxbowJli&#10;u7hWZuXhiZGY+4I2tUkPiLSRua3vAuDksqiM/irfKx985NPVagpIvQ6Vb2YjWXZAu3CvHAGj9jkH&#10;j8cfjViy0yLT/l+2NDA5z51qT5RPr8uMfUj8ay08S6MBvhv4V+b5mhkCHPqyE4P1qe31zSZN89tq&#10;katnlrdtrZ/2kOf6n0pe8VdFltLntbh547iWCORstc290zRv9dpyD9Rj3p0ujX8Ei6hb3bbmH/H1&#10;HcyOrf7yqDu+pBwO4qGLVbKVvNhu4/MHLTWkgV/+BITz+p+lSx6jAAZbadflb5pLTAbP+3Ge/wBO&#10;aqPoAy70vWknXUI75ZN3/L1ayO2PY8ZI9sEe1NvdP1e7iW/a8870urFl3J78AMR6gce3FSS6oryG&#10;5jaNvmzNNZsN2f8AbTqT/wB9H6UrvCzf2hEqnt9ps2x+Dqf5c/h20VToK1yhqWkz6vZb9RMl8u3H&#10;mRRxlsY6fKAxH+zj61wviD4MXV1HJq3h6FfLB+YRsrA+xUHII9APyr0R911KZ8bm/iu7Lrkf3l7/&#10;APj34ULPu23xd2bb+7vrNctgdnXndj0OQPaqjVlF2REongM9jJaXD2l1gSRthgrdDWpb+M9VjWOK&#10;9vJJvL+5N1kT8e/8/eu/8a/DjTvEccmq2CwxXUhLNeWceI5mzyXQZwT/AHhkeuK80k8O6rb37aVd&#10;7Fm6xqzACT6N0P513U5xqepzuLR2nh/xhczKtzG/mRgjcyxEEe5x0NdZpXjOdJFls5fvDLKzY3jv&#10;jPQ/mPavGPtep6Bf/u2kgnT7yspBP59a6HRvHVvO4juQtvI3ds+VIf8A2U/l+FEo82iCOjPXx4jl&#10;LrNbxxozNl45JDtYfgOvuPxq3/wkEyBrrTlS3l/iXzsrJ/vYAz9RXnmneIXhKrE/zdfJZs7v909/&#10;bofr1ro7DxSl9+7m3NjkKG+b/I/D6dTXPKPRm1+p0n/CSPOftNsjW9woyy7Rg/7J9R+RqU+Kftig&#10;3Dm3uo14kjVTtPtyNwPpWUl+JEHmNujX7rZ5H/1v8mrKahL8sU8m5T92TcOPes7R7CuXF8YSXyeX&#10;f2gjmU/LLGw4/wBoHP6H8c1Nb+Lor1ZLXUrUGSM5R1P3sdGHPBHp2qs11HKnkzrHJ/t7Rz/9ejzr&#10;cDbcxRbT/Ht5+hx/P+VTJxj0GX4fFUTf6FrCZLAlZlX76+4HRv0NSWviWG3f7LMGljfJim2n/vhu&#10;OvvWX5toieVd20bI3Cs6gEfX/GnwvaRH7Pc28bR4xHKw6exP9anmh2A0LfxKmn3K27RO1q7fuGCt&#10;mI+h4+76enSnT+IrGyufMiVvssn+tHP7pj/F06ev51nhtNRDa3NtHtbhZMdfY/40zdYWg+zmIbWP&#10;ySD+D2NHNDsBqS6/b2M32+3U7N2LqPbyR/eHvT7zxDY25XVbWdQy/e2sMOp6/wD1qx4RaQssMsQE&#10;bcdSNnpmpPs2nQyiGVMRMQF/eEFD6Gjmh2A2LnxVplzbLPazqJo23wFpAPwPPepj4s0XWdPwl2wY&#10;rlPmHyOCff1/SsE6dpkFwfOaVYZOPlkPyt/gajudJ0y0uVmbzFiY7WO7B3etT7nYDpLLxTpOr6eE&#10;u2+c5iuBxjcOv51JpPiTT2smtZ5iJLdvL+bByvY/lXLy6PpsU6SCWYKWw3Tj36U6fw/YQOJTeSfe&#10;Ab5V79+lHuAdZo+uack1xp7z8RtuhPqDU1jrWnw61JBHMqpcQ7+n8QOPT3rkrjQbODE6XsnJAY7F&#10;4H4Cn3OgW1mi3SX5GxhyYh9096dqPcDrpNb06PXLeZJ9yyxtGzZ44GR2p2ra1YJdWlws6lRcBDg9&#10;Ae9cjf6JAsH2iLUCWj+ZP3PTnr973pNS0OaKzaT+1920blBjPP60v3fRmkYy3sdZ4h1S2S0JE8bb&#10;GHQ1d1DVbZdMnkSVTiFjjcOeM1xFxo1y1qznVBIu0Eje/PT/AGvekn0PVhYGQa2rqIcsvmv0x0rO&#10;xZ3Wl39u2kW8nmrnyVO3cPSoNBu4X0uMpMq7mc43D1NcVFo3iH7Cs0WsR7PKyqlm6Y6VHaaR4hSx&#10;jmt763WMRlgu8jjr/doWhnM7DSL1HnnuA3ytcMF5646VVW9E+qXUonX923lqc/Qf41x8Fp4itrBZ&#10;476LaymT5ZP1+7VGOLxJFD9ot5wVk+dirAE+/StYx5upB0XjHWit99nSVNsMYwc/xN3/ACH61g/C&#10;6OXVvEGpa0RGxWFoLN5JQuxmO3d1GcJu6f3h65rlfEms6ja2s07yMzTsAvzgkHoP0rpPBFpcJoK2&#10;eholzdRgGaPcPlY465PGBgc+ldNuWFhrVq56ld7PD2jJa2R8xvLEVuGGGkkOB6nvV2OK38O6Ito1&#10;wN0a5aU9z1LfzP8A+uvOo9X8d3GoR3M2nSTGxZvlV922Qjr1PIH86sP4j8VapcRreaJMyW8itIoy&#10;2e4B46Z/lWfs3y6M15dWz2f9hjwxpniDTfGlxqGncr4kKqsg5XhuK2/i34Us/Dnj7zrSFVX+z4zD&#10;H/dYs24/U4H4Ve/YBt55tE8XXFxFtkuNajnZSvQujGsf9s7xZceH/iLZ6DbI6NcaPHJJNGg+VTLK&#10;p59flrSovcOeMTnoCdYvN55tYD128SSD+g/X8Kt3Nyb2f+zbYt93/SHPYdlHv/KuPHxKgttOWy02&#10;HyjjZGzKCE9W68/40o+I1jY6eLPTwJHb7ztnLN3Jrh1OiyZ1N3d+bOuk6ecsMA4/hGOR/LP/ANfh&#10;4NrpdsIYod8hbCx7ctI3+eT6VzNh480LTLJnY+ZM/MjDO529uOmT/M1csPGejQl7+/u0kmI5C4+Q&#10;dlUd/r39q0tMzlC2p0dlZWVjA1zqKRtJIf3jNGuB/sqP85p8djbENeXkKxqq4WMYAVfVsf5FZVt4&#10;k0x1/tLWLuNfLXckO8fuh6n1b/IqO58TaXeo17qV0sdqo3rErZZvRnwf/HaXLUKgl1LM1lZaiN8s&#10;HlWqk43tgyH168Cn2eo6vcEQ+HtXvLW3j+QzR3LoPoBu5rJXUz4gxe3Mhjslb5Y+jSD1PoKuWerx&#10;6gv2fSp1hto+PtCr1X/Z/wDivyz1qLyRXKjXl1rxB9tWDTvFOrXFwrZ2yahJtT3PX/vnmrsvjrxh&#10;pIRLfxjeSXMi/LCqpJn8GBGPc1jaff2rA2ejeWiqT5lyzfLnPJ/2j+nvSjUrSGVrTSZFuLrd/pE8&#10;knCH1Zh/6CP0o55Byo1pPiD4+0qX+1L/AMYfvGXa1u1qjKT6ABRlqtN8ZvHtlYNdX/8AZMaZ+X7V&#10;C249eu1xg/TNcr9ujt74xadAdS1PaRIeFS3Hv2UdwOp79aYLOzgvI73Wpf7S1CT/AFUEfKx98Ivp&#10;n+JsfnU+2lHqHKjtfDfxn8XT2Ej32j2bQg7oW+eLP0+8cfUVK/x21C/tWtbDwWsrx8NKNS/dk56A&#10;7OT9M1xmpsjENrt18rNiHT7X5t59Djlz9AFFOkd2tBPqjrZWuMR2sP8ArJD/AHcgnH+6vPvS+syK&#10;9mj0aw+POkXKLb6joN0t1FH+8isykqj/AIESuOnQjP1qDUfjt4STVYXj0nVWkZifKS1VmAPU4D9K&#10;84e7+w2nlO40mxXozAeY2e2McH829hUEUl1cQMukwDTrPrJd3i/vn/2gCfbqx6du9P6zLqilRjY9&#10;jtPjT8OLeTy7/WZreSRfkWewmBPGD/DUcPxY+HqalOJPEkcavsO6SF1XjI6kY715Hp0dvAWm0G0a&#10;ZsfPqV8SVPuCeT+GAfWo1WGRxPGv9oS7srdSfLDG3+zxj8gze9UsVLqh+xjax7evj74f3di7QeMN&#10;ML+Sww18inkccE/SuV8Q+A/hb8UrLztYvLW4nh3weda3S70VgRg4z2Jx+Pqc+ZXNxa3L/vpPt0i5&#10;/dxALDGffnn8Sx9BWZfa1a3U/k7BcyIfmt7VcIv+8/8A9ce4oeJb6DjTUTp7j9i/4SaJdJrswurq&#10;LeG8m4k/dnPQnGPxr0bwp8EPhl4JkfUfC3hezhkkVX+0eWHfOScgt0HPavC7rFwyx3rwwqF+W1s4&#10;xkcjknGf5Dmpj4z1iwi8iy1i4sY1XC7JW38fQ8frSjW1HKL5bHsz+C9MX4o3Hi8K32ibSY7b5Txt&#10;WYPnr1JUZ+laXjL4VeE/iFawLrumsZIbjetxCQsiEK2MN9cce1fPd58RPEgZbhfEN95sfMdxNdOz&#10;j35PH4VVn/aR8d6Mm6Px5e/Of+Wsu7d7AHP5VftovoRZnY/HL9lpfilb6fqfh+eO2vdLZ7WRmcqz&#10;wjbtAI7qd5989a4X4efs/ftT/DW2vvG2g+KV0m4s9v2SJbj95cHeoxIPuFMFj827JAGOciK3+Pfx&#10;u0uGTXm8bR6PZT5dr3XZIY43A6lI3Ql256KMt74FZPib9vLxNY6FcaNpfje78RXDnb9qOk29pbJ6&#10;FQYjI4HowX2qZctTdHVRxWIw/wAEmj7U0u91e80iw1DXLgTXjWKtNLtVcvhS2AoAAz6AVl3jM3jn&#10;T5pOskW1sfj/AI18P6J/wUQ/aH0jS7exmuNEvvJUqJrzTSGZc9D5bouB0HGcdc1o2X7ev7SXivVr&#10;K40TwVok01pMp3WenTlWGR8jlpiqg8jPHXgjitKa5VZGNSUqknKTu31PuU2zuHKlhtaT04zXN+CU&#10;22OqW23/AFV7IPzX/wCtXjfgf9rr4zXczp4u+H+jxySfMLOyuJmlUkDqqhsDvkbh/Ouu8K/FzUbC&#10;W81DX/DcNhb3829Ybi8AYNz0Pfr0wCap1Ix3MuU9P+IMZk8J3DMvRlY/mtT6FJ5llYyKv3rNQ3/f&#10;tTXA618dLXWNDubJvC00cWzm7muAkYPuHVWAyOuCKXw38bLS10yztLrRmaSGPY0kEjGNlAKqQzIN&#10;3y4PGQD+dHtIAoy7HV6o23xzpF1j5pVHP1//AF11cD+WbgBf9WxKj1zg/wBa8g8QfGbSr+/0u/0L&#10;SprprOVTIN+1doIyN4DDPGMHH4VqP+0x4NluxBY6Jq9w00mWEEcD7cADnbKccjvU+2p9x+zkivf2&#10;vl38ybPuzMP1+tFY978RLO5vZriPwrrW2SVmX9xD0J/660U/a0+5p7x8ozQfeYW6so/55p/jUH2O&#10;zlVpDaQnb38tawBrmmrteO1vY2PPyx/rnH+fekbxBYkArf30IX7yMGLE9zkEZ/EVBz8qN1bKxz8u&#10;nr8y8FcYFEmkaYy7jaf99M36c/1rHj8R6TuWQeJLoKPvxmF93Htux/n8Kmk8VWUI8yHWv3ec5aPp&#10;ntg5/Sglw7F46DpRXzDDt4/56Fs/hnNPTRtOU58plUcKd+f/ANVUV8RQylRJrlosfQlmBC59Rs4P&#10;0/Gr9tq9lFOtvNrVnJtGFPmAg/Q7cj86C/Zoc2jWLOQ8km0rjbuGB+OKQ+HtMyZmdvlX70gUH8Dj&#10;FSW+tW1wGgNxb+YD+7VlXJ9wQRn8alt5ri63SwLallGThVRz9Rvwfb2ouJQsyofD9r52+3lYMP7w&#10;C/y61LFpIil+0JOyyAYb5Ar49OvP0zUyfapLdpp4YzGDz5LDgehTeefwFTFQlitzNaqvmdXjbch5&#10;443HaPoRQD2KZs7h7lpxdMGIwzKpV/p15FEWl3YuDdx30nzfeaNjuPpnnn9atzSxQhd+n+WGYKFO&#10;4oT9cHGfrUuzc6W32EKzKdsMk0nJ6/K2zP50GfvFOLR7hbh7mC8dSo/eNGzbj9Rnn9TWfrPg+x1i&#10;MtfoJVkPM0ec57HA7iuk+x4k2tGjFV37GusSKP7wIXke3606GCJ523H5g2GaO4xIn1+XB/HGPeq5&#10;pJ3J5Ty7xBos2kSLp3ipftOnni31RELGMdt2Oce/PvWF4g8C6zpkK32nr9rt5OYZYWDBl+o4P8/a&#10;varzQtMvIpbe/jhkjYHdItwhy3o6HjPuDn6VwWqaNr/gO4k1Xw/Ml5orN+/sWkEmE7lR2PXgHFbw&#10;xEuY09jbc84tdf1PTv8ARxKRGD80L5wD7eldRo3jeS8j82O52yquGjYjdj17Z/pU3ivTPDHi2wst&#10;Y8PstvNdX8dtMrbfldjjBO7K4PZh9DjrzXiLwZrvhi6YXEP+qbPmRt933yP5gn610qpTloZSpcus&#10;T03SPFk0QjuGm3K2M7RnB9+Rz/nmui07xAobz4MSRsMFZFH5j5q8N0fxhd2zgXTswbhpo1GSP9pe&#10;hH+ea6rQvF1vIu+BpG+b7i8jr15wfw/KonDTQS8z1S11uGGUlVDQtyysv3T6ggnj26elObWokmKJ&#10;J5kP93yiWX2znke1cjpusx3ADmSRdzEZZGOPwrUtxG86wLcSrkfK/wBmfBPp0/z2rnlHubRjfdG4&#10;mr2VpJteRZLdl+VGhfcp9Pf6U6HWrKGZkk3SwuMrujZSnqORyPTuPeqEGk3UrmMTt5irnbJC4Dj1&#10;B28/zqzZ+HtVuEmitosyR/6yFkZSfcYHP1GRS5YlcsSxDrFlG7xXHlvAwzFI+5WUeh45p8Wo2iu9&#10;vfPD5TcwyeYRx6HI6/0qlDomqNam8t4m2LnzIWUhhjrwe/8APtnjMNxplxDbrePJE1uyg/eOVB74&#10;647dOD1xRyxDliakd7ZAvZzX0DRqf3LiTkr7+/8AhTodSsljktbq7ST5tsUkbg716d+4rIkhFkVj&#10;u7m3XzCFj2zL19M9qstBOGWzu2XfKpNuVkHzY5znPUfr71lLRhyxL0WsROhsrkeYVbEcgdcMO340&#10;621gvFJa39k27dtVlwdy44Oc1RFvJNObJhtuFw/ygBiv97k9PWiO1a5LbIVaSE/OrLyD/wDXFIOW&#10;JoW2rtPG1te28gIYopEZ+Zexqa01Rbizktbrd5isYyPLJyOx/EVkiFJhHex2S7kbbtC5yO4+oqaW&#10;C3DreRWyFdvzfKPunv8AWloHLE0bbWre7tDDOzqysyPuiYZx36fSn2esW95ZeVcTMjfMjLICvAz6&#10;9sVmywtbzpI9mqxt8rblx1xg05ESK6xJnbIvy/Mww35+lHKgiuXY0rLV7S401Ve5UHaUYN7cGnWm&#10;r21xp6edcRrvjIw3X09fas2C3gNyyyI5VlDL+8bjsR1pqfZzO8JikO1gy/vG6YHHX1o5UVeRpW2u&#10;2U2krOb2Ifu+fX34/CpIdRtJNIEqXKNut88H/Z71lw29u0cigsGWRhz6etRxwwLp7Fx82xlw2Pf1&#10;FHKgNqPUbcaN5pukX/Rs/eHpTJ7+OHRfMMw/49gV2t7Vg3Nja/2d5jqQfLAx5a7c/lUV5p9qkEcZ&#10;B+aRVb5Rz+nFHKieVM1tW1MW+j4V/wDlmqKc9M1m6trAttPaNZV+VRHGV9Tx/M1m6tZWPmi33Ntb&#10;JZdo4xzWDrL29tuYOy7F3tnHXPFbRiugcsSpr+otcautjb/N5Xzldp57L+n869J+HcNp4U8MtqCQ&#10;Ks1wN8hXrI3RQfr/AFrynwHDJq91JqdyxaW7utsa7eig4FekW/hWWW9+yx6xJ5duqyswXhT/AAjG&#10;fTn8qqpLSwuU7KK+Gh6EsDNumbLSMBku7HJ/HJx+VaNhejw5pbGQs0jfM6oM7pDgYH6AD0/GuK0/&#10;QdWurw3I1pnjtZBtkkXPz9f73Yc/iKtQaZ4k1OQXkerLttnJhZl+83Qt07cjPrWHUfQ+uP2FoJF0&#10;bxI1wF8yS6tnk29mMbZ/Wsj9sPUbfSPiHauYAzSaHEP9p/30wAFdF+wnbyf2BrbXB3s0enszL0JM&#10;LHNcF+3ib/TPjLp2q2TxhY/DMYAlbhX+0XHOM9cY/Kuyr/CMraXPPRfR6VaNPfpHLdXDfMu3I3Y4&#10;UD0HT3p0Udhp1o15qlrDNJKvMbRq3OeFA9fpXJy6n4mguf7d1K3RhtHkx8AID7Zzk/nUkOsa7Dd/&#10;2jf6YsjN8ttF/wA889h1yx9f5c1xamkfhOktNN0ZYmv9W0y2DS48uGOMYX0UDu38/pWhBovhy0Rt&#10;Q1XTo42YfubeLPy+y45ZzXN6drer21yLrVtFZ5WbEMasQE46Dg8+/P4VcTxPdWzme/0t5LplPkx8&#10;7Yx7A8/U96Vn3HY0LrSPD8MRu9TsSrM37i3SQ/L9Tnr+gqmPCOhyQfbtYZ4o2I2RrKcj0HfJqiPE&#10;0cDNfXWnyT3h/hU/Kp7KPQe/WnS+LbS3ze3NrNPebf3ca4CR59Of1PJ/SnYLIuS+CNPmtmuLu4mt&#10;4W+7G7Lux6Hjv6DrRB4Pga1aaTVZrePjyk2jLD3A6fTrVOTxZZIVuXMlxcFsIm3asfv/APX6mrK+&#10;K7KMiVZGubhjjdIu2OL8+f5k+1R74y3/AMI9Lbacxm8RTWtvjEatu3MPop6+w5+lVYtF16XSmEGs&#10;/YbUfKvnrtJHr3wTTpvEmjRSLJNd/arplyzSRkJH+n6AEmmv4i0iacK+oLcTjH7yRSsUQ/Hv9Mn6&#10;Uc1SP9ICK10XxVaWbiz1K3tYVXAkmQIxH97kE/iaSxsvHVlZvNYXNvGrf6y6uGw7f7fzckemQPYY&#10;q1Dr2nXNwWi1WG4kiOfOkcLHE3+znv8ATJ9xTW1dNTm82wuYLpl5a6mYLFEw/ujufp+fap5pFqKK&#10;32zx1YQPdWyQ7mXbJeXUmHYf8CYH+npUdvrfj6OJtQttMWSZl/4/5kOQO+0EjA9AMCrltHFcP/aJ&#10;m+1tGM/abhdsMf8Aujp+I69zUsly1wPtUksd1GozvnwsK+4APP15+oo5vJFFG28Q+IIE+3Hw811c&#10;9ftlwzMo+gC4H4Y+tST+NNVSL7Xe+Hri6k6o0ynyUPqFC4/mfcVYubrEIurgeYO0s67Y1/3R3P51&#10;Tur24uTvZMr/AM/F0NsY9MJ3P1xj1qdH0HcbffEtJY1GpaZPdP1EcuEgT3wCc/iCfTFRXnxMtL9F&#10;hMF1cOekXlqkKe5wxLD8/oKSe6t42+13H+kbekt18sa/ROM/55rM1fxNp7runKybfu/ugFA/Ln8a&#10;m0b2sF2SzeNNEdfL1S6mnXGDZxRmOEf73qPqT9Kiu/iR4Wt41ii1RY9v3YbWFkx9WIH6AVzGuePt&#10;Itk86Xy938AWP+XTNcv4l8URWi+frC2WmQsu5GveJHHtGoLt9cCnyrsF2dzf/FHw9ap5KarHH5h/&#10;gRufxI/nXPan8XNHiuvsOnT/AGiY8/u+w9Sc4A/GvMdX+Jvhi33R6PosmoTbcG4v2MUSn/ZjQ5Ye&#10;7P8AhXF3OpTXl281ww8yTkqnAA9MelaxppILnsniD4l+H7Xc3iDxOXl6/YNHRZpPxkY+Wp+hYiuV&#10;1D48aralo/BOhW+mbjj7dcKLm6Yf77jA/wCAgEetcPpNhq3iDUI9K0TT5LmZjhIoY92OcZ9h79BX&#10;sXw//ZlvpkW88daalu29gsd3eCOPoMcLliQc8dDQ4qOojy15/FHjPU5Li6e+1W7kGWZ98zkD8zj+&#10;Vdh4a+AXjDWHiXVHisFkwVhb95My/wCyi9fpnPtXu1l8LPD+k6P9gtZJIVDbAYY1toS3pggsT9Bz&#10;Vq0+GEOkREaP4ju7XzGG6VWESF/QnhmJ/vYqecDj/B37MGjaU0d7quneZ84X7Rq8gRN3oIwcEH0f&#10;Br0rTfCWjaVaqv2ORo0OEz/oltFxjGPvYP0ZaxYvCN3pX+mweP7qF2bY1xMu0E/7zsGYfQGrVjpX&#10;iSzj+02Hi28kCrhry4t1XaPZ5Tlh9ARUylLuVFHUQJ9ng8qxtVggX/Wm1txCnTqztyR6MoBxUdxd&#10;W9qpuVURYjBkmtzuO33mlOHH69a5nUrDx1GjS6f4oiL/AHhdSRqTH9GkHH4A/SqMlh8TfMF19t02&#10;6ZWytxcZk2e4Z/lX8Py5rPmkUonVRarazShtMj+1SZO2a3QzMPdZXwg/3Rmo5f7Qvj/pEtv94BlZ&#10;jdSBvXAwiH6giuXutX+JcEbTahDpcsIwGlkkPlk9uNwTP0FDeL/iROjIvhmGZI/kZpG/duPUAEIR&#10;780czNDq1sbeWbGqyNdMGG5bybzOf7xijG38RirgvEgj+x7/AC14/cqQg+oSPLEfU1w6+MfiE9v5&#10;CeE12Lw0hmO3HoAoA/PNMHi3Xgn+l+CryZSeR9oOw+xREAYfXNIHrudwbuzHBntv+BRn+rUVwv8A&#10;wnOijh/h6d3f/iXn/CigXKjy6x8U294PsgYq38S7iVP4HpWna36sRbzQ7o/+ecjc59j/AC6/hXgc&#10;HxY0ozkK7KvT963K/TGf89hXTaJ8WtMjCrPq0Zjbqsg5rrlTkYHroSwudqTWjTKvO3ywJY/T/fH5&#10;59+lOm0bQbpN0+lWvy/8vMVqmB7SJg8e/GPbrXD6d8UvDDJhtZhHcM0mGH0Jra074j+F3mW4Osw8&#10;femhcbh7MP4h/n3qeVx6gbcnhHwhIR9o8PWtvK2NreXmGbPuPu59Ov8AvU648B+GWuMx+HYYZNuX&#10;tJGZQQOpRgf/AK3rtqvF418KSFha6va7n5wcGGX6j+E/55qWLxRpTJ9mivYdv8VtJMNyH1jfj/Ee&#10;o6VF5AI3gLwlJK8y6I8kajL2/mOJYvwz8w/mBwSKhHgDwguJp7EtCW/d3UM7Ex+zKTxg9+nqB1q5&#10;Hq+nzL5x1KOZU+7JGw86L2PHI6fX0PBqRdRtpJfPS/jQyD5bqNgY5ew3jse2c/j2pczW4FD/AIVv&#10;4eSTzJlmgkkUCG5jkJjl9OOcZ44JwexqWHwPpkO60t57mK4Zt7QtKNkvHVSAPz7dCKuRSLDI1vEk&#10;abuWtZGBWRe5X/DH4d6k+2QvAYkn3wq3zQtnzYD1BHc/ic+hIp8zEzOHg7TWj2WF7fbV5mtWYb1H&#10;sOFI7+/UGkl8GRG3SSHXr2a22/NKHLNFg9T7DPOBkfTkaJu4ngS5uLveFT9zfxjqM9H9s/h9DTxc&#10;TR3uUdY7hl+Ubv3dx7g9mA/Ee4p80kMy7rwpdi4je48TTbSwNvdZyOegPzDB+vB+vFIPCOpm82S+&#10;IpYrpP8AVsUO2VM+5568qeR14zk6KSxoZRZRMR/y8WUi/d9SP84PsadJdxNZhbmZ5Lb7yzLkSQsO&#10;Oc88dPUdDRzSIcSjaeGNZKyT2mvyLeLxLbPGBn39/Zqr/wDCP6yltLLaeIGYbybiFrXLRnGG+Xr9&#10;VGPX66zTkvGlzOqydLW6VQFkH904Pf079vaP7VLJMZInWG7XHmRsfklX/PRux61pzMqSucH4p+EF&#10;ysker6Dq9uJPPEyEkrGzA/Lux29G49M1otperavJJ4W1LxFH58eBtkjBLHHXd64/PkjIrpYr2OJJ&#10;JbP5o3Yi6s9p+Qnqce/cd+2e9HUrG3vEjilnbyWIFrej7yEn5UJznb0xz6DPQkUrBbSxwPiT4MXN&#10;08g0+eFbpfn2Lx5ynow7H07c9e2fPNU03XvDV3Jb3lo8bBvmPQP36f4/yr2XUPHJste/4RvxYWtZ&#10;lYf2Xqsijy5c9VbHAyTgjgH0BxVPx34Yg8a6a00doq6laqFZD/GP7vI+YYyVb+RyBtGvJWRlOnd8&#10;yOB8J6nqN4nnRXUZXG3b3U+nTr/Pp6V2uhvrs8KmCe1ZWP3mz+Hb8q8iSe48K6v50qSLFvxJHzkY&#10;P8xXoHhvxHG4W6hkzGVG9Q3GD0Yex/n9RW03cUXc7SM+K0Ty0jh8zaDG6ydx6ZI/+vVyLVfGkgLl&#10;GWSFuqzYyPX73Q1T07WftsKlbk+YvMb+o9f6GtJb3zgt3t56TL6D/wCtXNKUoysWNn8QeLIR9qjj&#10;ulUDEireMCf/AB7rUMviLxBby7pLDUdsg4/0h+vrx61eSdYpf3g/dyDK/NkE0sSqfMspX46xn/Z/&#10;+saXtbFcpiQeO9Vi1tdCltr5mkhaSNPmb5AQOQR6/wCea2k8Zay9l9nuLG8Mi8Rs9uWwOx5rJn0Q&#10;v4ttvEEKbZrezkiuGVfvnK7R+I3YroxdwtJHfwt+7Zhzzwv0qZVCpU1ZNGVe+Lbie2Ex0a786Mfv&#10;F+zrz03LyvTr+VQJ4iubzVMaXpVxIqqC3+hKcLyB0XtiuhjnWG9aPzv3dwNyL6t3H5U3TYIYIJ7B&#10;CysrMVdTggHn8gc1PtOwoxj1M0a9e6Y++bRZIVb52kax2gt056c8+9VrLx7CkclmlrCsTJmONrcr&#10;8jAk5G4Yzz9a3TeXH9npcpLIGx+8+c9QcEfmDSXcn2iW3aZ2kjkHltvYt8rDjr7jH40e0fYv930R&#10;jW3jTTdVsmjvryOOLdsVG80fd5U/f+lWD4q0u8to7p9QZmjxKoWZ8hv++verceiaPHqc0A023P2h&#10;RKSYFJLDg9vTFMXRdHxNAdItx5cx/wCWK9Dgj+f6Uc4b7D5fE2lJNb3Bv8yLIVU+eQFBHJ75pE8R&#10;6XFrC+XrUcbTQYMjXIICqemCh9ajuNF8OHSo7k6Pb7lRWYhOu08/yNZviDQPDlv8TtDtoLGMR3Fv&#10;cCaEfdOFyp+uR69vrVKVyqdPmdjas9ctReXAi8SW5DMrHMgKnIwQPk4PH5mjTtWsJtMkKazuUsx+&#10;aRCw6kn7vT0pq+EPCw1KaH+yk2+QpVQzcHnnrUNt4V8NyaXcTfYBvXdtIkbj5c+vrS50Tyk9xq0T&#10;aMoTUsL5KYk2ruxke3X19qZqeoXInhLTwq3nkqqgYbAP+0Kgk8F+GP7FgkGnnfIsY3ec3fHvUF94&#10;G8LQ3cEQt3G5WJ3Tn+v1p8yFylHW9X1FtQyktsrRQDfGsY5yep+f2riPHHiKcxSWzNukupVgTy+A&#10;OSG6MexP4iun1LwZ4beefEMnyyBP9eew/wAa871TTrW38XWvkGR444XmWPfu6kBT+praMkZyid78&#10;Llit0W5Q7o7VJNyOyheCe/XPSvQ9M1LVLHTWiuNORrqeTIk3OFLn7oI29AMD6CuP0D4fW+o6VFJd&#10;ahcRtcXnlR/Z2CiRT95jx0wD+FdVbfDaP+0Vs7bxdqgEYM2+SYNtKnHp7g/hUylrZlzjqdCk9/bW&#10;MOlW+m7ZHbMkmSvpvcDZ15/Xmrkk6TKmkWFhNFDGuLjEyl1XsADjrz+GcZrnLXwFqVzfzTW3j68V&#10;oW8oSPGCeRuYfhxUlr4V8UWely61ZeN5N8/zbTYglx91OfcYx9frS07i+yfbH7DUit4e1kpHtG2x&#10;KrxwPKbjjpXn/wC3XbWsvxt0681BZWWHw3CYUjjDZY3Fxyefpiu4/YHhltPDOsadeXHmy28OnpJJ&#10;k/OwhYE/iRXlv/BQ218Z6j8edMtvDepWsUEPhi1mkjuM4LC5usZx29vauuq2qJhBczseWzzpCP7S&#10;1SO48wf6ix+zsWB7Z4wW/HA5qzHIYJ/tLb5rtm2pELdwsAwT/Eo445bv2zXJQx/FK5v5Nbll0mRb&#10;YMm5lIBbPzHnrjp+dXrJ/iNp0Tanc6Jpcz3eDGuBwOwAI/GuC+pry22OsiM8N19nspvOuHj3TXUk&#10;b+XAucY5H5L1PWpLZEgmktbHUIi/We9nYgfhn730HA7nPFc2t18TbXT20z/hHbVribcTKtwN3ufY&#10;AcD3xQNd8fRRjTLbwb+6t5FNwI77k9MDI6Z7nqafMHKzcj1C1e3mmtdWtVjXc015JcLufHXALfqf&#10;l9M0NciKyWeJ47e3c/LIz5lnY9gOpJ9+fauffxl4pNx9vvfAtx9mjXEa/ayctnk546cAYHrmnQeL&#10;vFVtuur3wLetM7kWqBNyqMcKDgnnvS5tQ5WdAum3qIiXNgtvHIx8u2Vt0snvxn8eOO5FWv7OkQLa&#10;3GmhW25W3towzf8AAj2H6e9cunijWDHtk8E6k90yjzpPsKEKpPJxjt0A4ycc1JJ4stUkEcXgvVob&#10;frcTNp6bmbptzj9fwx6DYcrNy4tCZVhfSlZlIHkwxnC8Z+dsenr+tU/s1rcKzW2lrIFzuZFKxL6g&#10;t1Y1l2njrSkhktb3w1fQ2Sn93b/YflfuSwXA6847nJp8vxJ0qTT9t3bXGdwEVnJHKI4x2B5xkdeB&#10;9BU6sOUu/wBh25g85oHkRv4mysa/Q55qKbRLIqPMg3YUbXZiFHoAO/6VXPxT8J2+oR3C6zdPMq5a&#10;aWKcpDgdVBJG7P6dW7VWm+L3he/muLhPEM8alyRcSRuzOcc7cqdq/Tv270yy7d6dpBGJY5MryN8Y&#10;OenIULk1BNpscsguPNmj2nKl2DFfcAdD71h3fxI02Gz32niSCISHJWRVMz+hZjHn688etYXiD4t2&#10;duu5PFGnOi8+WGA3fX5Qc/jUOMgOvvYg0v2mTWrhWVdscjzNuH0+bj8Kw9U1K9tpVum8WXQk6LJN&#10;8xOPTr6c4615b4k+PnlJKlrdwSMWwixZDN7AjI4HPOK5TUfjbq09uYbbTLcyMAWubtjK2fZT8mPq&#10;GPvT5WB6nrHjHxU0MtzbeJ5mhUkSXVxsSMH0LvhR9M59q4Xxd8V9QtY/slr4oj1Byf3htV+Ue24q&#10;M/UZHvXN6foHxL+K18jQ6dqWpSdEeTcUjH+yOw/3R+FdVon7MvieSNptXWSRo2xJb2nRfYuA3P4V&#10;XLyuzA5yf4s+LPJe20ho7DI+aSzXEx9zISWH4ED2qvpHgnxp4luvMi06dpJpOZrnILMRnPPLfhmv&#10;T/7P+DvwlS2fxBpt5JfzL+5s44QXmzkYGSXIzkZ+UcdqtQ6n4/8AGDeRa26eD9Ff/n3QtfTL2y3V&#10;CR6c89TVcwHn8vw+03wrcQ23iK9lvL6Y4TRdPjJmY4zhgOUzx1wfTNdZo3wV8RX8Svq2g/2TZv8A&#10;8w+1YfaJlz0eUg4+ig/QV23gyx+F/gOzWPQYWSf7s1xLasZpW+oznr/eFdAnjnRifLgv/J3cf8es&#10;u4fUYAX8WNZupYCHwnDongO0XSPDvw8ubfcB5nkxHfIfV3ILMfTpW3B46trZmxoWoKVGHYwhd3+y&#10;zEs5/T8KoJ4l8PBWSTxNCw6kSzeWn1OCqn67jUkXjTwpbrmDxDYqu35lW4QZ+gyu78m/Gs3JyKTL&#10;q/FXSrWcxta3lsduN8kZUMPqC8hx6fLS2vxG8KTbpLnxBcKwHWO3eIMvqWw0mfxFQ2/i7SLwKmm3&#10;lrIzrlV+0Km4H26/+OGrC3Md0277VCzL/DGoJX65z+qVBRZs/GXg61JurbVFibq032dleQdssQ0m&#10;f++asL488MQyK8et2245VT5hLMvufmYH67azI7LTFDXdzZxyFz+8aX5l46c4Kj/vkfSok07w6XZx&#10;oULNt3Kq24Cn6Hlf/Qad7ga48YaddFTDrViueNzXSFvrwXb9VpkGpw3/AMz62kjKdrNDMufzy7g/&#10;8CH4VgXGj6HIkY/seCMSZ65zn0wuQfzFV18G+Frr57q0b0ES7lA9hyT/AOPUjRHWQtp8UnnNLCzD&#10;jzggdyB6ud5/lTZNVjM2UbzioOON+R/vHcP1FcfceCvBKFgIWZo2w0QuGZl99uSf1xUN14H8L+YZ&#10;oJJ2OP3cnm7QCewBGf50AdlHfajNunWBUXb/AKyQ5Zfy3f8AoY+lK4uJPkvLqTBH8OVx7g8kf99V&#10;wn9gWMEh2a3eR7VyfLuDu/kP5U0ww2u1m8W30bbsL/ppBJ9PegD0BYl2jF1N0/57yf8AxdFedmxt&#10;HO9tZvmLclirHP6UUAfM/j39n/xH4edr/wAPhrqEjcI3xuPPYjg8duCK5PTfFkmizfYfEGiLMqHD&#10;B4gksf4kfN+PPoRXtH9rfHfw9ctbTeH01WM/NLb3FmI5CvoPL+U89yo+tcr488TeFNfiEPjj4X3G&#10;lXTMVSSVsKSODtlPvjPPYDpXbGtJ7o5yPwxqXhTWbFJbGK3mVVzIm0CSP2ZSOnv93/arqtMTw2WW&#10;K70mFl/vBcf/AKq8ju/hn4stbaPxJ4RhvZLVhuhbaVlXHUh1OHP+6c+xqTRPitqWnN9j12yZpI2/&#10;1iLtYexXgfyPrmqtF7Ae8WHgz4e36Yl0KFd38SyNtb68/wAq0oPhB8OyF3aNIqs3yxpdSbSfRTnr&#10;7YryPw58ZtKI86Tz0ZGG7EeR+I/yfbvXceHfjz4eA8u5eTDLgr9mZlP1H+fxrGpCS6gdV/wpjwYC&#10;Xt11CNlXLJFdHfH7cg7h9KjT4PaCsTTQ65qUW7nzEvMoT/tDbkHtzn+lNs/jb4NeIA3VwdvZ4XUr&#10;/utjj6HirMfxf8DK28au25uGm8khv+BrjB+o59Mdaw5pFRRWk+ElntRLfxLq0bI2Vha6HPup6Z9u&#10;PwqRfhlcyOJ4/G2pfKcM20Foz/tDrj8Pw71di+JHgyRTCusQqvB8tpsqe+Ub+E+3/wCurKfEHwbM&#10;Vlj8QQvtwPMEg8yHnuP41/zyeafPIfKZa/DzXLeUsvj27VpF+WXywY5fxz1/Wo18CeLVtpLUeN5d&#10;ytu+yyW68D1TnkDrx09jXRJ4s8LXCt5WvWQEjfeEmYJvw5Kt/n5uzTr+j3SbItRWZeu3zR5sHup/&#10;iX8/x5FHPIXKc+3hfxrGkc6eOGaMY/0hrcKYyP73f65/H1qT/hHPiBHd4bxfBHJIuF/0f5ZR6fX9&#10;a2oNY0+SZZm1SFd3yrOGGyT/AGXHY57/AKjpUy3OltFJbwzRso5ltfMUFeeGjbj8uB/ungnPIOU5&#10;lPD3xB+zTRHXrdh/y0szGcr7gZ6fTj0pH0f4ghIzL4mtJE3Zhu/n3R9sMf0yevQ810zXmn+Wsk2p&#10;LhDiG98wbkP91x6euePXBwaEnjEjBZYVmkX97AZB5dwv94e/+W4waOeQ+U5ptL+JSXfmrqlikyjD&#10;8N+9XsMd+fxH48wDTPHwimkF9ZSR8i4tdrfK3c7fQ85HRuo9+rmfTzbg/az5Kt98v+8tWHY552j1&#10;7D1HIrzyqZlEl0i3IX9zMGGydfTr+nUdRkUc8g5Ti9W0Dxnq+kx6RrM2n3VrMu2GSTc2M9Bu/lXP&#10;38Xjv4fxxg3LXFrb8FgSzwR8fKe7J6Z5XscV6ZM0bLIfLzGf+Py0bnZ/tL7Hg8dc5HPWrexQXEcc&#10;U12sini1umbIJIxsbsSfrhh7ijnl1IPL9e8NX3jTTG8UWqW80LRs8j233gR3wO47+1cDY6zqXhnU&#10;TpxP7st8vpgnkDnp/I17ZB4Wm0G+uL/wcFhmPzX2ktIfLlPZk67SR0I/I9K8t8ceG7TXLu813Rbf&#10;yYFkEbW7MN9vJnkMg5VSeB29MiumnW5nYn2fY6fw94n1YRQsIwp5C7pBjjqPy6/ga6uw1vxC8nnR&#10;WTSRspEm1h+H5V4z4Q8TyW9x/Y2qHaysAjN1XHGfcjOCO49+R6v4O15JN0U0qsFwGKtxjsffj8xT&#10;rfCmTE2bfV9egje2uNKbbuxDj+Edcfh/npUreIPEHlxk6LcGSLnhTz2x+P8AOrMLiYfZxMvrA3p7&#10;fUfyqwksqf6VEVVo+JFUf5+tcrlI2iUU8V6gLhZl0mcJtxPujYYPY/UdKdD4rurYyWU+lXHlv8y7&#10;oz6cjp6/zq8JUWbYZfluB+ben4/zqdGdrbyNu6a3OY+eWA6fpTiwsZj+OJGsEVtPnE0Thgdp5x/j&#10;U3/CwLNbiO7EUnzDy5vlP3TyD+fFanmDzY7nC7JVAZj/AAn/APXRFbqnnaa67fMXdE3op6/kf5ir&#10;90fKZ8fjzSo5pbZmkEci71/dnqeCP5GmDxzpZ0iRBLJ5sbfu/wB03VWyD0rSkaFrZb6aPc0LYkUr&#10;3+6w/rS/ZbSPVBG1pGY5Uz8yjqP8Qf0o90OUpy+PNCMltdx3bbg+GXYeAw6fgf5U618baH9vlV9R&#10;XbNbrkn+8pI/kf0p40TS5rG6t/7PhLRs20+UOR94Hp+FOk0TRmnt7saTbssvDZtx3XOfzwKPdCw2&#10;Dxb4elsLi2bVIwyl1Usw5/zmp38VeGLyTTdW/tCJpoZFKN533d64Y9fQ96IPDHh77dcQPolrjAdM&#10;Rjjk5/pVceEvDb6Ssz6LD5kZAkYL6PijQZojxTon9qjGpRgNasR8w5+fpxUGh+INNl0S7Q3sbbZp&#10;R98f3abJ4E8KrqkUX9kLsMLkKrsOcrj+L3qrp3gjwrLaX0sli2Y7iRV/eMAcDjjNHugan9tab/Ze&#10;nxG4Xc0kI/1g44zUd7rlk2uKDex/LakqAw7tiqM3gDwu9vYj+zjumK7x5zcfIT0zVG9+G3hN764V&#10;LJgsMa7dsh9CaLoDO1bxBawafd332tdxaRvvdxXn1vd/bfGVw0Pzrb+Vbp+W7/2YVu+I/B+hw6Ss&#10;gicMVUL835/pXPfB/Qv7e1Z7SeWTy2vJi8it820cDn6AVrGXUlnvHhNLW1vLHT4rlcWto00n++2F&#10;B/8AQ63tLvreMXmsNLtj3bQ+OCqDJP5kj8K4HR/htZQ2t1qjeIdSj8uTylb7Z1jVRlunQMXH4fjW&#10;oPhfcRW9rpCeLr9fP+V7dn3Bcgu/4Z/M1FRxlK9x7nZpJL/YsNkZP394457qX5P/AHyN35VovPZy&#10;ahb2cRUQ2y+bIvHAHCLj65P/AAGuNtvAOttqDvB47uj9lX5ZJLcHl+vcdABn0DfWom8J+L4Lf7fD&#10;42fzL+QDyTZqGIxtXnPAxg+24+pqdNLC5T7k/YSuBc6d4inDlt4sG5/65PXBft83ht/i5p8Vtt8+&#10;bw/DFH7nz7g/oMmuy/4J/rNY+F9Y06afzpbe305JJG/iYQsM/pXlv/BRO18TD442WvaXqFskUfhG&#10;GIQ3Csfm+0XGWAHc5Ufh7mu7FfwfuMKb6HncS2sjxaGkm2GNVe5Ld1HY+5PX2BqxaX0V3dvqtzIv&#10;2e33CBT7dT/T/wDVXCpY/EuHzNMg1TTftF4zOzHeWQEflhQAB/XnNqP/AIWTOVsIY9L+z2ZzIu9g&#10;pIGVQnvj7x55OM9a82Pc1O7TUpbZP7ReL/Srr5LeMr9xTyBx04BY0jO3l/2RBMwO0y3lxnBxnn8S&#10;Sceg/CuPg1T4pRTjUX0exkeZVjtVFwVwDyTz3bv6AduTTP7Q+KE0EulJ4ZtWZmV72ZbwFmz2HTHH&#10;AHOBStIDsRd2N5Kby4Hl2VrxHG3RiP48e3P5/WnPfP566jLCzTP8tjbngqCeT7E9SewGPWuOk1/x&#10;7iK5k8DQ/YYyBHHHqC4ZwcA+4HYdyc81L/wk3j8Ts9z4DIvJf9Sq3gZI03enX6nuR2HFNxYHcabL&#10;cQRyWlvc7p5Pmubpjgxj+X0Htk96bLcWd6n3imm2/wB1Wzmds9T3Iz+JNcf/AMJf4mnthaW/gu8F&#10;orF7yZYAAID/f0BaRh1GemPX2AA6k05vHfiDzhNdfD3UGUf8edrGgxx/Effr2wBzyehGIHYG6lZ0&#10;vbi2/fMcWtqrY28csfQ+p7Djuaa9z5UskZuV80ruurztEvXA9Mdh26muNPxQ1a2jaWfwXq6yN/x+&#10;XLWgxEoGcAbuAO2cddxzwDVk+JZnbyrrwdrEVnCQ0MbWpLXDd2Y555x9e/FHvAdY7W9zEs9zH5Vh&#10;G37uNs77k5zk98E9B1PXvVbVr2wGJ72zg+YYhthGMIPVsf57DmuV1L4y6akaT6jpN9HN0WNrc7IR&#10;9R1OOMj6DA5rhfGf7Qvhi0SYm4mZsFmMluwP4cf/AKu3FHvAdX4w8S6Dp0Mjz2dr5u35i0Cc/p/j&#10;+fNeD/Er4h6VJcyaXpWk2slwSV+WFCIvY8cn27d6yvFXxb1fxhe/2boEU3mTHbux8wz/AArzwfft&#10;2x1rr/gn8D9LuZf+Eh8cazDaxQnMzTMBjjOEB6n/AGunp77RXLG8gMn4Vfs9+JPiPdp5m61h+9LI&#10;f4Bnuccd/wDPFe6eHv2bvhV4Xs2lhtftcsfE2oXlx8sTd9mDy3tyP5Vsan49+Gvw88NLNcapb2Om&#10;x/LFbxyD7RdNjuF5H0xnB6DpXJW/jb4mfFi8ZPA9jDoenQjD6tq0IZolx1ig+6p2kHc/Y52rxjOV&#10;SXNZFcpq+JdP+EngO1bUvEGqXWj28vMUC3j/AGu8bGMrGMn9OnoMmuTtfDHxT+Jc8eneEE1LwzoD&#10;DEf9p3jNcSr1B8sfLGp/2sgnoTzXdeF/hV4H8KXK+I555tV1SXaZde1hvOupm9Igchc9sDp0z1HU&#10;SXsSYs7e38x3+Y2qSD/vqV88f7uST05zU80ilFHD+Gf2f9D8IXja5pPjG4F4f+PvWLyNZGZu+HfJ&#10;ZuP6HGTW4ngjx/dJMLP4j3EJuBiOS401Gnn9lH3lA5wBjjnAHNdJZQ2rzjU7y+ikZOFlb/Uw89IU&#10;/i7DIP454ra02Ca4n+zW8MkbTLlgrBrqcf7XAEUY7ggAHsp+YrmkDiji4vht8UkjhsrfxpaSty81&#10;qtiAMHp5rhunf72WIwN2CKkk8AfFufzNUOteE57WHIjuL2zkW3V+m1cgl269iAcjjpXo1hpsCQtb&#10;W9rbzxW+TcBpiun256s00nW4f1UZByQ3HzVqR2ItJo9UuJZZbtl2W95dW53dMFbW2GdoAP3yMgbS&#10;fMXOCPxC5TyiP4Y/GJbJJrzS/BfmXbHIm01muJMdRHGYCY8ZyeAQOT/epj/Dr4ixyrpC/DrwzcLA&#10;uZlt7keYPaSXy/lyOxIJHqOK9Uv9YsdMjmvL4yLKRm5/0gecRgkGef7sQBYnYhyAMocZWuevfFM2&#10;qW6iDy7KwDfJ5kJWJupwkX3pjk5y2FJXcozmqlKQcp5lfaN4gtI5LjU/gboMrPJ5cPk63tjJ9VAb&#10;MjH2J5GOOao6j4T1K3khsr34GfZlfLErqgaR+eQqBsAfUE+uOp9Mj1OLT5XbRLaU3WP3l9eMJLkj&#10;2z8sK/p7ZrNudXhZjNeXPnNJ97dIWD+nzfek9lUYxwayk+ozzuPw/pKTyXl38H9UXySVj+z3wbr1&#10;y249u2PzpjRaJDIrP4K8VQyNyjwS/dHtzk/hgfyrvp9SvJWaHHlKq5VPJBYemE+6v1bJP4VBLfxQ&#10;L5kpK7vvYbLH/eY/0qVKTL5Tz6Sa3SRoo7HxtBH1x1Zj+H3f1qldatooKrcX/i1Qf4ZslV/En+Qr&#10;utR8XQxL5EaeYP5f596ybvXrq7+UOfRURTz/AJ/CqDlORn8XaNApii8T69Gq/wDPSHd/Xiq03xCs&#10;0Vf+KzvsfwhrDnH+frXR6/4q0PwvbG/8U6/b6eu0lY5ZN0j47Kgyc15l4v8A2q0s5GT4daIFkZsH&#10;UL1QzkDoQvQdT17AcVQzoz8TdJt1Y33itmVvuieHaD+HSs27+Pnheyhmhga7mmRf9H8m3RUZu4JO&#10;CB7jP0rye+1Hxb41vf7S1q5urydv+WkmcD6dhWlpng/zmjS4mb5lJYYHB5q+Tl3A6F/2gPFRdjHB&#10;GFz8oOOB+VFLF8OPD7RKzCXJUH/WUUv3YHr0mrRzosKmPC/MBtwI/opPBA4yhxntVG/Gl6lE32zZ&#10;IrR+WwkfIK9lZsYYD+7IvPfPWuJf4SeEPIYIbxTuym2/kwPpk88/Smr8LNDhkV4Nb1eJv4mS+YMw&#10;z+P9aOVIzNe5+FHhiW4Mvh24u9Eu2ZWaTSZPLV8HK77fJjcKf7o5rhPHXwT8VXyNc6lp+n66F+Vd&#10;QsXFrcj/AHgf3Zwc/KSpJPfpXUyfC/T3HkReL9aRSMrt1DP44xg/ofan/wDCt1B/eeNtcYqu1ma+&#10;6+3Kgj6EEURk09yeU+edY0vxJ4A1kxtBfWMn8K3VuYmZc8ZB4YfmD710fhX4viGVYtch8tmb5p4/&#10;mViepZeoyfTI54AFex3PwpstSs30++8WaxNC65aCaVHQ/wDACpz9R+Vc7q37MfhK709o7S/kikLf&#10;u5toyD6AgD8iBW0akOouVl7w148spkSWGeKSOQfLlgyMP8PzArttH1PQdRjVJ9MtG9A0K8ewOOfo&#10;fzr5t8V/DD4l/DOSSWwmlltdwLS26nBx0JXp9Dzik8L/ABU19fLjvPFEkG1htY2qsMemW7/lRUpx&#10;lqgWh9V/2X4cuPnXRdPcY+d/sKMB9Vx/48P5Ug8K+FymBoNn+9/uKuD7q2MH/dOPwAxXlXhrxP4x&#10;1FFe1+IKvlQR5lioK+45rqNPm+I0w3J4wspO7B7PAf6jP+BrH2ZV0daPBng9lzLpFrgcMyx8fR1H&#10;T6jjvVa78D+Ebd/3ehrGzD/V+cePdGzz9OtYq3HxcQeams6Qf7rNHIG69M9xnsc800z/ABRygY6G&#10;w/iVfM6+vt+FToHMjYg+H/hCePzptPjHOPNaV9ufRhn5fc/ifQzf8Ku8HtIsi6I25V+aD7S28dty&#10;HPzD6/8A1qx4b/4ppyLbSZGHRlkYcehyOf8APfmpk8RfEiILbt4XsWU/dRL7bhhx8hP3fp/LnM+9&#10;0YzQf4aeHNjERy/vOBOsx2tz91wfunt3x+lA+GugmRfmvv3eDJDHN88X+2gx8w9x/wDWrP8A+Eq+&#10;JmWaXwbZ7tu192oIA4PZx/Xj8sinS+LPiJu8uTwLGQuTH5epI0if7vqPbkduRxRFyuBc/wCFc6Qq&#10;+ZDq14Hkx5N0txhZOeFbHQ+n6c8VDN8OdIMSpFe6kqx8SwLcYaLnIZQByufT8ORiq58ceNMZb4f7&#10;vMZvM/0tCjgn0JOGxwfWo5PG/i7zMP4HmHlriORbqMun+yeOV6cH09eQScr6ATf8ILA828atdLLI&#10;v+i3IuDtlXqFyPf0+o9Khm8AWa2jeZqF95ayYurXztxjJOdw9R3yOvUc5FRyeONdC/vvh9N+8b/S&#10;IVkGGOeWXv15+vPXmmn4ga+6iR/BV8rK2yCdcFm/2XxgHn39+tT+87gQ3ngCB7hSfEN40jL/AKHc&#10;faiVcHnBx/Lv1Fc74g+E0M8Emo6XqVxFeKNk27JK55Ibn5l7n8xXQt43v2Gxvh9qaRsu6aL5cI39&#10;5OAR+nPPGCDBN461MbJ/+EJ1RrjGI5FjX96vXDYOM/Tp19RVR509WB4j468PX2kXHlajafZ7qNdy&#10;yRtlZVz95G7irvgbXLq62o+qyRzphRGoGW9Mf098j0r0PxRdad4it5NM1X4f6q1k2WXEKhreT1U9&#10;gfy+uQB5Lq3hLXPClzJf28MyrC2YhcxlXdD6j09cGuqnLmVmZ8tpXPZvDtje6vaRrb+J5BtAK/L0&#10;9uv/AOsZrVi0rxIVa5XxOzMvyTK0Q4Hr7/4Zrzf4d/E2C4KvLHLub/XrGwzuGPp79u2e/Hotn4/0&#10;0qlybS43fckXy+q5+9/X8x3rOUWaIdHo/ix1bTU1yHa3zRvtxt5zxx27Vct4fGm77Y2pW7FF2OgX&#10;Hv6c9jVe28XaLFMYzcMNvMLmNuD+X+RVyHx1oDyRyG7k/enZND9nfA569P8AIPtUc3QdmOa08bo8&#10;tn9ptXEzFk+U/JxyP5n8TUj3njfbHdf6Oz27FZGA+/8ALgjr9D+Apw8U6DzaJqO1o8NE+1uR6Zxz&#10;6fSrEPi3w6jq51WNY7rCsrN9044J9+MfhRzBysp/a/GsMzxtp0MgulDLGGAGcfN37jHT0qNdW8ax&#10;WEZOhxmSzbDyGbrj/EfzrSi8TaE1u0MWsQs9pIDHmQcqecf988VP/bnh9rskarbst1D8uJhyVBP/&#10;AKCfzWjmDlZmLr3jC3vzPH4XV/Mi2+WJs7ipJ7D0zUZ8TeIoNMa2bwrcLJDISOGOPm3AdPQitj+1&#10;dMNisw1KJvscw3fvBkKCPf8AumrUFxZPfzW5mV1uId6/NuyVO1v0K0ua4WMeXxhqv9owzv4Xvtkk&#10;bJtER+Y/KRjj0zSS+MNYGk3kA8K3nMj7fl6ZGea2LW6UwWMhmjDRz7DluhBKYq/BJFLdXlv58ZDR&#10;RttVv4sMCf0pCOduPiRJPe2zy+G75VXduPl+3GOarw/EG1gstQEmk3S+ZNIV/c5zwMDj3rpbXyWG&#10;k3DujbkwrKvGTEaS2CC21QYC4aQ7g2Oq/T6UAc+fijovnWKy2F4NgzI32c8YjP8AXFUNY+KOgeVf&#10;Pb210XkUpF+4b+5gfqa7uaJVu7NUUbljc/Nn0A9PesHxCypotyYwu6a+2Rcf9NAv9DTja+wHlvjn&#10;x1o6aWiwNLtRS7bkK4wjDuPWpP2ftX0fwtozanr9zteRSFCqTuwfmP1+Xj61V+ONzFBpckKf3FXC&#10;9RvbH9K7/wCFPh+3tPhxpun3NtE016y+YzRglgT1/wC+QTXRf3SZG5Y+N/Cs+nafpzapGGuJFkut&#10;/wAuwt87qf8Ax4fWugsfHPhWXULi+fxFahbeEBS0gGd3JPvgBelMtNK0ibV7q4n0i0MNtDtRWhG0&#10;knn8eP1q1H4b0I2lvD/wj9kZbiTzHP2dflXO7H4DC1hpzFBbeJdDuNPjtE1q3El9MzyKJRlQ3JB9&#10;wgx9SKsLrmiy6xNfTalbpDp6YRmkGFymSfbCk5+o/CvPoPhmM3OoLolt5cP7pMRdW6sR6+n4Gmv4&#10;H8PXUdrpd5pcRkYeZeSKeFUdh9WwB7Z9Kq62A+xv+CfdzFc+HPEF2q7fNaxbDehhYiuD/wCCgFxE&#10;3xj01rqRVt7Pw3FK4b+M/aLjaPwOW+u33ruv2BbW3svCmtJZbRFusljVegUQHAH4V5b/AMFCvC2j&#10;eJ/jnp/9rwMyxeGYRI3mEAjz7ghf616GIVsOjni/3jR5TaztBB/aZCm7viFt437KeefYD5j9AOtT&#10;J9lkH9lpKxt7X5ryRmHzN1wT2JJ3N6DjvXO/8INo2PtcSTrJMSLNVmIwh/iPsQMn2C1YbwN4ft4p&#10;UmurpreNT9q/f/6yQ/wj8eTn1HqceZobROia/lJF1Gn76bMdjGeiLjlz9f0AA7k1NarCsLaXbOSi&#10;5k1KbJBJIyRnsT69hnuQa52PwhbyPHM+pagbyZdse68Y+VFnPJ6j3x1OBUkngzSvs8irq+pNar8r&#10;f6YxMz7geAODz7ck4qVJMo6JJlkMd2wb5W2WMPTcf72O3A4/ujk8mothuJ5LSO4H/T/dAH5QP+WY&#10;z0wPyHPUnOAfCV1LqIEHiHUlutv76RrosLeM8gZ9T+GcegqZPC00dmsdt4ivTbmTdEj3BLTN1JPP&#10;I9+nfgDlgzpWe38qMtGohyFs7bvIRzk+3fnj+I9qZ58imVprxI5FXFxcEfLCvXaM9/55yc8A8/ea&#10;Nq6zyXj+NLhZEjAuZtoby1/urnufpznJzwDAvhrWWjhR/EtwoRt1vamNSXH9+TJOTnnnPPXJpcyR&#10;KRvKFmjjku4mjtQ2bWz/AIpm5O9u59efqara3rAsYnu55l+0bfmP8MY9B7+//wCquf13+3LNZrs+&#10;PW8x0KNL9mT5fULkce/v6mvIvil8SfEGgQyNL40XZEpXYbNRk9hx1b9ec1UY8xR1fj/4k2Wk2s0r&#10;Xa/KpJZm4x6k/wCf6V4Prvi3xH8U9UbQ9BMjQs+HbkeYM/8Ajq+3U9+uBjwTeI/iNqJOs6sIbNZd&#10;0k0zBUTJ6nJxn9B/P2r4PeEPFGlSm6+GWjaabOGP5vEOuW7pAjYwWiU4aRueCQB6cYNbaQ0YrGx8&#10;MfgX4J+E2gp44+MGoQ26lQY7e5YI0rddpBOR2+Ucnvziuph17xP8T5pF+Gvgex0vTV4XxBrViEii&#10;UY5ig25kOOQz4Xj7uOTSsfg/47uNaj8VeLZbLXtQkk/c3GqXD7lX+7FGFVIk6chQR68knsk1L4jW&#10;yssnhzTGW2I8uOO52xwnPYFRuf8ALB7A8nGU0xmb4V+AvgzR7hdd1tLnWNUdj/xML5N00ntFECqw&#10;p6YHHqBzWxceBPCEccguNJjRd3zR/apFhi/3m3ct/sj29jUTeJvHSXTQQ+CvMkaPMnl6kPOk9iQB&#10;sXHbg+mCOaMfjvxjGiXt/wDDK+k3Nth8lkeGP/rmoI3n/a/LHSp5o9wLsfw30O5liuUt7iFWyqNu&#10;/fXH+6p/1a9Dk846gDmpn+FukQWU1nbX96kW8mZRdBI0bv5jbTuPqvX6jmqLfFPWLU3Ek/w58QII&#10;9ouWaELI4zn5pAflXrgD8D2KXHxcmk/0SXwRrdqI0zFI2jsyr6eVGBgsP7zevHBIpcyuBo2vw+iu&#10;7q3V/Fmubl+WGPzizyMP7kf8I6DexGAPTmtS2+DF8LOa3j8eahHJvLXEa3CtHEMZ/fSkcnsVGcAg&#10;crjHO6J8ZfDWmJiXRNbjjkxub7HLufHH7yTBbsQAvHUdOBrJ+0j4EsEjmjOoRyLxCsmlMuw4xmNC&#10;NseBn52LNguCCCBTSsBvH4VeLYpYTa/GDVY4Y4x9ljn09OCMYMUP8IGcFm27QR1BzWLc6J8Q7OaT&#10;7H8Z7qWQkLf3P2dRGqj7oefzBkgkjYmQpyMjPOfJ+0F8Nb9mj1XxVu3NloHhlEfHZ2wZJz6A4THG&#10;BgUTfHL4YzXZEfiuz3KuY/MCrsXnAUY2Rgcjjc5GOcimA+50T4ioNn/CdrcbGzax3OmYVDn70cQb&#10;j/eYde+OubO3xKsplnn8U6XI+dskk0Llj32hgfX+FD1FRXnxg8F3W6O18X6fDGeNz3HzP74J3Mfd&#10;yBwOMcVUPxF8DgmWHxXYtIQVkk+3IzHgcZP3R7KMelAEtxe/FV0Yedo/L5jja3cY5+9tz365eoTq&#10;3xLgk8xodIZivzyCSQtn2bPH0FVbr4jeHUjYWesWsw6sqzqVH1+bk/Un6Vh6p46tbps/bI5D2SNh&#10;j+f+fSmBsXHjbxwv+iDTbFmz8yxuwUH8TyfrmqFx4q8Y6g6wjw75sjNhY4SpP5bq4vXPjX4H8Oxe&#10;ZPqS3UnO2zsVBZfQE52rz+PfFcD4m/aS8f6/G+meF3/sW1lyrLYSHz3X0MvXp2XaPaq9nIu56v8A&#10;ELx2vgGHy/FqrbXxXdHYwyRyTH/eRZCyf8CArzXVv2kfGEiSWXheKO0DsQLzy/32PbkgfqfeuN0z&#10;wdq2pMbrUz5SsdzyTZyc8k5PWuh0XTfBei+Xsl+2XCsPkjj8zn6U+WMRmHZ6F4q8Xag+o31zNcSS&#10;cy3F0xYt+JrqdA+F1lbsLjVB5h689K2LW48WXalNE8NeQm3Iku5BHgf7vWpV8IeIdTiU634kdV7x&#10;2q7cfjS5gHtN4e0WJo2ljh+XBBYCudl8R2tq6XFmVkO4jburYv8AwLo2nQXPl2vmyfZy0bXB3nI9&#10;zXnOTFPHPyx8wdfrU/EB3UfibXnRXTRlIK5H76io7dgLeMeX/AP5UUgOqH/CeD5o77TOvzCSN2/9&#10;moQ/ETo95osm3u0MvP61y8Xi7xp+7LWcXzfdxN0qaDxl4rVSX03PbcZ//rVqQtTpxefEISh8aS2V&#10;x8plz/X9c/WpTffEI4xZaaxzhmEr4H0//X+Fc1F4y14yeW2jBtq5/wBeP8KsxeONcVuNEYZ5XE6/&#10;4f41m9B8puR6t41RWWfw9YNjv9uwP/Qf8DU7654ujXH/AAi0MjbeSmoLn9V6fXNYCeONbaL5tEkI&#10;LYVhIP6U5PHmppy2iTrt+90PP5f4fjUhymxNq/iOe3ME/gRZP9n+0Ux0/wB3+RxXB+NfgxH4sb7f&#10;p/hD+zZ2HzzRXiSKWyeoAAJ59jgcetdX/wAJ5d7TEdGuOeThF5pI/HO5EU2F4u7t5WePx/rn8KqM&#10;nHYk8R1Lw/8AEX4UXAkmtZRbq3yyKpKDv07fy+tdR4P/AGimQrZajZSM54XbIMn8x/n0rur7xxpl&#10;9HJbXmnTTRn5JI5LUYz6Y3evpx7V5z40+HHhDWTJe+HLe4tLoD5o2hzH+PP9PwraNSMtGTynqmh/&#10;E+PVbdXi0C9ePHzNGqtj9a2IvGMcuCNE1P5ei/ZQPyO6vmu08RePvh7dbJ2maPdmPn5cex9Pz9sV&#10;3vhD4+W98Nk8TCRcZVY+R/SqlQ8ifU9et/GFq7sj6Pqny8/NZ9fybj+VTx+L7IMA+n30eeWElmce&#10;2Rz+Y/SuY074raVMA1wsi9l3x4z9K0V+I+hOVDz7e7fJ0/TIrFw5dDQ2B400lk5e4RgehtWJ+nT5&#10;h04601vHHhzfse+deP8An3kAHspx19vf61nn4haAhx9rUd2xG359P1oXx7oMinbetyeyvj+XI9xz&#10;UDWpoHxl4bZVL6oPm+9G0EmG9mBHB9//ANVNHjDw3t87+0tpDbeI2yvsflOV+n68kQL430eQnben&#10;p0ZSePy5H60v/CVaO64zD1yoDDj3B/oaB8pOPEXh6MMkmoR7V528/KfVTjk+38u718QaHMzEanCf&#10;MXnc+BIMdDwNp/z9KZ1/w5ccu9tzyPlUZ/wPt0pw1nwm7eW1xZ5b5drBAGPofQ+/egOUsHVNIZvM&#10;XWIBhtscjSDIOfut7Z9v8aSXUdHdG3anbbY2zMqTj5OvzKc8j/PsYxd+EyN6pZ7lbap+U4/2SO/1&#10;pd3hR0HmWtqq7stiOMlP/il/p+gHKMubrSDcqkmsWbSsudv2hNsq/nw1YfiLT/D+tWH9nzatatEz&#10;4t5GmUtC/oeeR9evT0NdC58KkNB9jsQerrGiZHoy/h1H9esc9v4e8zcLWzZm5bYqYkUjr14PX8/p&#10;U+0cdjT2asfPerade/DvxK17p+JLcSYmWNgy9eox1HXH5GvTvAvjDTdUt42S+jYOPl+YZHtWt4y8&#10;G+FPE+ltYQQwxt5ZNrcIoG44+42P89D1zXiunvL8OfEz2eqWmLZpdsqPyUbPDA/h/nmuqD9pHUxl&#10;GUdT6EhgM6AW7YVmwJARhWzjH51ej02QSMJYPl5Eke0ccda5Hwnc+FNVt1lyjFlyuxm/TmugtvD3&#10;h2Qbv7P3ddzbn+b9ayqR5WXHU0f7DXO1bKPdGMrujBLL+Xpx+VH9haW7YOmQ7Zsnd5K/ex/gP0NQ&#10;DQtHjXfb25VgTtIY8r6ZzxQfDdnMvljUriNPvRiJsbW6+nqf51Bryom/snTnVZG0mDb92TdDj8eK&#10;SXwxp7RSIdPjZkO6PGVyDz/iKii8MxyswHiHUv3vEn+lYBIGOeKlTRGjeOVvEWpM6sULSXmeMj9O&#10;lAcqIE8I6D9o+bSVKzKP+Wjf488fypU8DeHWiR5NLUMrbWbzHHGduevrg1bj0ye1ixHqs/7lg67p&#10;CeD1PX0z+VSPpOrs8sKa8yrIu7/VA54x6+w4oJcSv/wgujRxTwwwSK0biRf3h7nPvznNWE8IaSbx&#10;WSSRd0OcpKQW5B/qaI9N8Tyy+aPFhVpI8fLYx44//X+lPg03xBClu58TM2wlM/ZYx2I9KBcrKkfg&#10;+yht7cpfXaiOcBVS4AC4yvHHHWnf8IfbeXfBtT1Lv8qXmONvOcD04+gq0NP1uKEn+2vMWO7DENEo&#10;z86tgnHTt+lOeHWDHeA3a7mUZ+XvtPTAoERv4QVruDyvEmrDbC3/AC+HjlRgcd/6Vhav4SQW9qI9&#10;e1Ft9wXVTeH5W+c7vrn+ddPdHxHHcNMslrlbY4WRTg8j261g6q3iqKS1jD6e3l2rH5lchhhRz7/S&#10;rgm+oHlfjTR7yfxBHZxy3l8iTsZoyd2VVTgng8byK9R0nwnr0AtI7Px5ewraQ71xErBAoCBQPozd&#10;e4rkvAXipNO8f6hBq6xyXl7YvBYxwxnywsj72JPtsHuRmvQLJvEskE3l21iHnZY42Vn+Uj8sjcT/&#10;AJzVyJ5VuSWfhvxhcWUcf/Cxbhftk53I2no3H97Of7q9PetKDTvHVvLLqg+IAnMK+UkbacgU55xg&#10;N64py6hq8MzXA0aHy4YdiqtxjH/18BR+PvT4ta1i1RUvPD7bbdTJcNHfR/Ox7jjjnce54FIoijt/&#10;HEU0OnReJ7WVbJhLNJNbYVm5PzYPXPzf5xTln+J5iaZL/SxJfNje0Lq0cYXt1AGOeh+Zvwp1tf6q&#10;bRbefQm3XEhe4LXS4Ceg9+g56ZPTpUkmvXbwtcR6FcebJtjt9sgKhP73Tr1PvgD6ID7U/wCCfvmx&#10;+BtWS52eYslmJPLztDeRzjPOK8r/AOCis3ik/GzT7XRRYtajw7by3QuNwZl865G3g9CQPwU9M16h&#10;+wA0X/CE6w0aMqmSz2iQ8/8AHuOvvXl//BQ3W4bH43afBNpt3NH/AMIvbszW0IcFvtF0Ah5GOgP5&#10;e9eliP8AdzkivebPDf7b+IjSvcNo2n/aJ4yLPNy2IVx1I+uSen8Iostf8Vv5Zk8KxyW9vxGo1ADz&#10;ZP72cc9fT6moYfEaX4MdzYahD5nN5IbcfulH8HDd89eO/tV+31qKQq8enXkbH5Y0NvjyV/vnnqf0&#10;/OvK1RpcVPEHjqNZmk8LQ+YxBupl1JRtTn5V44wPr1J64psnirx1JL9mtvAkYk8v/QY/7QTEIwAW&#10;YYHP1xxwOpqWTxDZg4toLg7GBjXYMzNn/Wn5ug6+p64+7TItW0yKNkWeeTcd0jeX81w3ZR6AdPT3&#10;AJqoxLJLLW/FEcaoPAsjQbvm26lGWuJCe/AyD+vToDl91408Qx/vbzwdJG27ZKyXiMIhn7iD+8eD&#10;z9ccBSp8T6WjANqCx5TG5VJC/wDTNRj734f4VTl1vSpmjmn1WJCFJjjcHbCO5JwcuefX/F8oAPF+&#10;smYPceCLj9z81pbiYFR/00c926+3bqSRU1X4o3mmo8l34S1D5ly8qsm5j6feGAPbP9TV1f4heHNK&#10;tju1VVUt90QuSfc4HTj19K8Y+KHx1OpTNpXha4a4kaTZ9w8f1/D88UvZ8wGl8UP2jpYSunro9xHI&#10;27apKj5R2Xk/TPPTv0rhdG+HHxG+K9wviOe0mW1ZsGRbd2W3Q9wo5Ofc5PUnGK6P4UfBi01jUP8A&#10;hMPiTq5X95uaKQZaQ9scEe2fujtnHHvtlrPh/TLVdL0u4s7aGFQPLMiiNAe5/wCejn0Bxkc9q25o&#10;wjaK1J2OF+HXw1+Evw+gjur7RNb1K+jUOtzfaefmOOscfKoM/wATZbrjHWvSbb4keEI5YzdzMPL+&#10;aNWs5PKh+gxmRvf+XdItd0SIyeXrlqzMuZDJeRhmXuzMD8o9hzUn/CR2SqsFtqMMzbfk2MuAvqAc&#10;7V/2jzXPOMpasOYmX4o+CpVZRqr5k+88ilWZR3kbA2rnsOf1BaPiL4WumXZ4kt4Y422rIGww68Ro&#10;eE4z87e/bGGx3dnIADLHKzDKMigoP90dWP8AtHj35qvcPYNj7VZwydQCUVt//wAV16DjscVh7GmU&#10;aH/CZeB47Zok8R6ftLZeN5gVZj3Y5zKfYcep71IPG+giUeRr1o0u3DObpFIU9mf7sa4P3V5P1yTz&#10;503SLkFrrR7RVU/d8lOfYsBgfQZPHU1HLo/hX703h6z6YBNmihf6D6n5j70vYUwOustY0a+ZRJqs&#10;Mki5aNd67Yx/eRCfT/lo5/MHFPl1awhTAuomZzhcNu80+pwd0n0GF659uCl8J+DbwHy/C9rGrKPm&#10;EPzAeoBPA9249qhl8DeAtwKeH4QQuPlZwD78EEj8QvvR7GPcDuE1AS3G2e5VY1JCosgDqOgUsAQn&#10;YfLlj6nmrn9p2S2zW6LGkMZ3lSgVR/tbT36fNIScg4XmvLJ/CXg+Pa1rosg2k7f9OmX8QA4/QAe9&#10;MHhjwpbW67muvkkLhhqU3DdeBvwOvbLe9bR92NgPSr3WmvIzGqKAwz5kgYtIPYfeYf8AfCj37ZF/&#10;cWbvuuo1kz0kmjU7h6jA2r9EBPvXmmrx6DA8jWeq6rGzNljHq0uz8cscn3yfz6Yd05Ae4PinVBCv&#10;+smutUKxx+gZmOP1pgeg61q3h1U8uLSLSTb/AAtbgJ+oOfxya5q8n0S4ZvM0ez+X+IW6qqj6kf1/&#10;KvNvF3xh8GaBaSWWkahfa7fMuFn+0GO1hbPXLAtJ9AFHua88F34+8bStHcX9xJCzf6tSVj656d+T&#10;1PPSnyu1wPTvF3xV+G+hSPb2Gmw6pdDjy7VVWFT/ALT45H+6G/CvPfEfxD8TeKpFidI7G3zlLOxj&#10;ZVz785P+elb3hj4QpFtl1mdpM/wLXcaR4P0XTgq2emxqP72Af51pzRUSuU8n0bwP4i1Rlkh0Oby+&#10;7Mu3P4mu00D4T64n+vuLe14+YRx73/M8fpXoCWsSKFVelaEMG2Vs+n92sZVpPRBynL6d8LdDiYNq&#10;Pn3Xy/8ALxISM59BgVvaZ4e03TYFis7GOMK3G1Rx+laATdtwOg6fhTtm1Mkfxf1FZ+9IoiigSNyu&#10;3Hy46UyZPlUqMBTz71a8vMuP9n06VE6AxEH61Ub9QMjVLdpJZAf4oGA/HNeK3cLxqxDk7WJ6+9e6&#10;agqi8RQP4enr0rxXULWTfIu3oSK2p/EJnS/2pEnyCD7vHWiq0CJJAkhI+ZQefpRWnKLmLzIUlwB/&#10;DmpoJGWJAAcNJ2+tSf2Nr5l8xtBuMLGd2FB7+xpY9L1lI4V/sO6+/n7q+/8AtVjdlEiyfupnZeke&#10;M/hU8aIJYwsX3Y+cfWoRa6gLaRG0e55bb9wH09DVqNLxZ5GOlXX+rH/LEmlcAhUNHCu35S2f607Y&#10;BHKBxukx/L/69NtTcFbdDp11hVJb9wf7uKPMneIsLG4+a44/0dvX6UATqmyaR27J/jSRx/NboeNq&#10;HPPXio5rmTFwVsrnp8v+jt6fSpIp5BcR77G4+WMk5gb2/wAKAMNgrKzgbibr+rU27B8q5+XczYHT&#10;r0p0UdykcatZXHzSZ/1Le/tRP5vlTP8AZZlbzgMvCwH3l7kexpoixj+L4LVrK8ikgRlWxOPlHvXn&#10;/wAObBG124dIV25AUAcfxV3Hi+WafTrySK2mZBHgy+WdvX1/GuS+HLJFqVwzHjzB0GfX/EV005e6&#10;RI9N06JRGu9erdD2xV4KDHKp4zJg1lw6tYwRxtLdKg3kszAjAzVga9pb7lSfduuP4e3NYS5uYrQ1&#10;HwVuMjpCF/z+lDNsuFXoq2+cHp1/+tVL+3LEpcyNLtBKgA9+KSfXdMZpmF4pxBgfXk1JoWIIo2Nq&#10;DCvKk/d68UqQ2jNHm3T5pzn5frVOHWLEzoY7hcLb/wB4dcili1O0324Mo+8x/SkBM1nZssxFpGN1&#10;wB90e3/16sLpQuvPWw01ZSygKkMO4n8hVS01ezGyXcrf6YTtbGDhj1z2rc1H9tD9tXwlCIPCfxSs&#10;2sbf5Ibe18P2K+WmOAF8k8AehNZVJV0v3cU/V2/RmdSVSNuVX/As2fw18bX14x074f6pMq2w2+Tp&#10;cjA59MLV61+Dnxb3wp/wqvxJtW35Y6HcAdB/s1xuof8ABSn9s6zWBpPi5eWoL4mWPRbLPA6gCDpm&#10;rCf8FMv2w5AJLP45SMv91tFsTj84Kzvj/wCWP3v/AOROeWIrR+yvvOx0/wCBvxnukgCfDTXx87Z3&#10;WEq54PXIGOasR/s1fHe9dY4fhnrS/wClFj5gZAEz0yT0wPx964yT/gqR+2TZzCaf4wW/ln7qTeH7&#10;A5/8gA102g/8Fg/2krKJVvJvCuouB87X2huM/wDfmRKwqrMt4xj97/yM3jMV0ivvLVz+yj8fLtLk&#10;xfDfVG3yBogboccAdN/1rmfHn7FH7RGtwMbP4WX0jrGoXdOhzyfVvpXYR/8ABZb4/QBhH4R8CSHd&#10;wv8AZN/wPwuBUy/8FjfjxjK+B/CHXkrpN8f/AG5rFVM6VrU4/eZ/XMY9OVfecJ4D/YW/ak0izSHV&#10;vhfdxgfMP+JtbAc4I/5bdu47EVFrvg/xT4A1x/C3iyxuLHUYG2zRySbjgjIIIyGBHOQSD613l3/w&#10;WO/aAnga2m8B+EnVlwVTRb7/AOSqwb/9sfw78XjA/wAdPhj9ja5Xdb61oshaSFdzKNsTAsFHzEru&#10;c+isa6adfNJSvWpq3916/cXRxFaM/fireRi21zqCwLt1WdWEqqu3A43AY6elTPqOsCC4I1+7/dzY&#10;X9904H+NaGu+FLXStIs/E3h7xHa6xpF7dYtb6zzwQ2drjHyNx0yeQQcHisYlHhuv9qbA574SuyMl&#10;JXR60ZRkrpl/7bqqzTK+u3TqqghWkzzzSxa3rZZYv7Tba9vlvMj9Me/uarSspluNit/qwev+9/8A&#10;Wp1vFF9shjYf8up3fN7pTKLun6/4iIhmXVIS0keGPk9sZ9ant9c8TBYYl1eNf3jRlvsuSACfU+1U&#10;dPjUQWbY+9Ep/wDHf/r1atFZ2gRAvzXMh+b/AIHQBYh13xKzKralGojutq/6OOhx/wDFfpTpte1+&#10;2ikf7VF+7kHWMck4Pp70lvEC+9G/5fFx+a069if7LcDGcTKRx7L/AI0AWW1bWJhcxM0Z2xozdju5&#10;9F9RT59a1SGW4ie1jb90G3CcgcAjHSoh8s947f8APuvTtw1WL63H2i4B/wCfX/2Y0Ctcry6/r0y+&#10;b9jhDSWu75pmO39Pf9K5/XNb8SiOOVbW3/fWvBjkf5cEcfrXQmGR22RjH+hlsn6rWZqVmfLtzKOl&#10;ixH/AI5WlMy5WeV+CNa1e68e/wBqQ28JuCvlxK7HaqhD/QtXrWi+I/FG23nW1hP+kSY8mbGX+fJy&#10;R0+U/pXmvw6sI28Ysyx/dUEkdsxmvVPD9gYIrOE8t9sm4/7+1tLRIRNB4s8SQlS2hGUSXDbsXAG5&#10;gTx9OP0pJPGniGdFSXwzIsbXYEjfa1OcDhfpnHP+NW0t/Ljt9y/8v0nT6yU2e1UWUbIn/LypPPfI&#10;/wAKzuAReNNZlWQS6NNuklWJ5FmQ4HGF+p3dff2q1J4yunjmZNOnXbIsX7tQTHyARgd+R9OPSqaR&#10;bAxC4/06I4/74P8ASpIrd4o7h2Zfn1BSMH3Q0gPuj/gn7Pv8BarcBTHvksztf73/AB7r1/wFeR/8&#10;FGPFD6T8cLJFsZ5WXwxbPG0cO5A32i5HzH2HP4/jXrX7BbsngLU8DrNa/wDpOteQf8FGDn4yQuf+&#10;hXtv/R9xXo1v4Jy0/em0eHL4/js0ZJtKvNsKB5MwgMzf3jzwMjPpx+cz/ES3Z5FfT7vCjdIWtwN3&#10;XAPPC/z/ADqhqUGftzbR/wAeg3f+P1LJaSI18rJ/y6r29A9eZL3ndGnKaNp4wijEgngm3Fd0zNH2&#10;7KMEbR1/n1JIm/4Te0UbZUkXbHu+WPGweg+vr/8AqFKW2R5rklPl+zgf+hVIIE87MMWN1mDReXYo&#10;lPjnS4v9ImXGI9yhYyyxL7ep/wBque8U/FzQdPtC7SSf6st9xsj3NbAsZCFTavzWfb3x/jXI+P8A&#10;R0m0hhJ8u6zP3TjHFVG7A8y8a/F/WPG839ieFVkWOT700ff2HH6/kM4rq/g78NfCXh3brfieaO+v&#10;XXfHDKx8tB6ucc/QE57+gzP2b9GtDqdxc/Z0D/ZWKnb334z+XH0Jr2DRbds2hVMbrMfj92rk+UCe&#10;PxRpl3Gvm3cflzLjajBWYex/5Zp7dTVlNf8AD8pVZZbPGz5WwgKr7Doo9zz6VSt9NiaSzE1srbrV&#10;g3y9en+FR6doemfabNm0+H/jzy48oHLfLzWUpAWTeeGbiNYlWxVXXIJWNmYcHK5+o+ZvwFPWLwdL&#10;GzCzsTlfk2qrbh+PLfXpVODQ9PkFq0ljDzZtu2wrz9wVCmiadO9vH9hh+bTw2BHjOMdam5FmWm0/&#10;wrdAGLTrcB1yXVc5A7jBBb9FHvVdvDnhBzn7AGZV+VvMb7v4EenQYHvWbdeG9KkiDtYLlrDOVYj5&#10;sCs2+8LaO8lxiy62iuv708cmkNXN1tG8PRbVtIJEWLO2Tz5AB+v8v++qrS6TpPlxldRuoyM7WW+c&#10;bee3PH4ZPqawb3wtpUcc0scbLsgU7lkOT1/wqnqHh+wha62yS5WSMf6xumaCjojpsSrttde1back&#10;N/aTgZ9Ryefpu+oqvLYJCBK3ijVPl+bJvvlJ9SCCM+/JFc3c6Op3qmo3ir5iji6bpge9ZOo6adoY&#10;6tfN+9IANwcYweKv3QOi1LW309mMXii/b+881xGyt9fl5/X8K53XfHl9ZWv2zUvE3kwdfMuFQA/T&#10;ABb6VxPxA8R63ouiz3GnXUnmLna82JCBn3GM15/oenar421PzNQ1CRmC5Zn+baM9AOg+gqlFMDvv&#10;EXx9nmR9O0K1W93LtN5cRvHz6qqvk/jj6Vhx6d8QvHksc2r6hM0K/cWVtqL/ALq9B/Wt7w54H0bS&#10;41lW18yTqZJOa6y1t4kjAVQO1HNEdmYPhv4T6ZaFZL5muJAQfm6Dmuy0zRbO0jISNUx91VFFoyZG&#10;3jsa0rWEMgkx3rOU+g0SWsCqgYJ05X86txRFt2OMVFGCBjFWBeWkKuXlVe9ZX7FFmCMDcpX7v+Jq&#10;zGhZ8hf1qmmoxSuy2ttNJu6bI+vXj9aswx69cMFh03y933fNI5/Imo6gWBHGNpEgyeKWYIqsCNu1&#10;u9bXgr4K/F74jXK2Pgzwhq2qzb8Nb6Ppctw+foik17V4E/4JQ/tleOIhdRfBLU7WNmy0mt30FkQP&#10;+uczq/8A47R7zd0aJLlPnubULSNsvKvK1Ra8LoywWckhDY4Xivvz4e/8ELvjBeXcLfEH4geGdHtn&#10;T94tiJ7y4ibHdfLjQ49pDXsngX/giB8C9ISRfHvxJ8QaxI3LTaWtvp6L7bHScn/voc1XvLcnlZ+S&#10;eo22tXc0MkVl5TZIG7nORXm+o6Pdpqd9bSRbvJuHVtq9OTX9BXg//gmD+xJ4HW1lPwTfV7mCRXS8&#10;1bVZJtxGPvRmRYz7jZjnpX5s/tyfBHwj4Y/as+Kvhvwn4Zs9Ps4YFubCxsbVYo4A67wFVQAv316C&#10;uij717dFciR8VWHw+1e5sYbmPUPlkhVl+Q9CM0V9C+EP2gNN0PwnpeirZsws9OggDDUpFzsjC5xt&#10;46UVl9Zl2IP0q8M/tAfsFazo0eo+Mf2NfDdnvjBlls/COm3UQjxncD5cbEY54XPpX0DF+xX+xtrt&#10;jFc/8My+CTGyho2XwzBGSpGR0QHv0PSvjb4AeL/+Cf8A4d8V6HqMn7een6smlX1vNDb3nhC50xXE&#10;bKwR5JgFC8bc46da9f8A2gP+Cw3wz+Gvjj/hBPgv4As/iM0NjFdXerWPxC0iyssSMyrHFI8ztJKN&#10;h3IVUruXswNRGoras2fK37p63df8E9/2K7zcrfs2+F03Nn9zYmMf+OkYqvJ/wTk/YoLM3/DOnh3d&#10;IMMfLkH/ALPW5+yl+01pX7Vfw5/4WDo/gPWNBWOcwTW+rT2km6QdfLa3nk3J6FghPXGK77XvEkGi&#10;appGjzRNJNq989tAqOoK7YJZi5BOSoEW3jnLDtWpG54rP/wTJ/Yedst+ztpHy5+7eXS4/KWql1/w&#10;S9/YNuY1jm/Z10/AbcPL1e+TB/CYV9ChspvzUUsgbAH/AI8uaZOp87P/AMEqP2ApQ4f9nuEeZ9/b&#10;4i1MZ/K5pH/4JTf8E/5Pvfs+x9Mf8jHqf/yTX0PcvDa2sl7dzpHDDGzySOwVUUDJJPQACvDr74xf&#10;Ev8AaVv7jwr+yxcLpfheGZ4NY+LF9aiWGXHytHo8TfLePncv2pv9HQqSomPy0ai1PEPjD+wR/wAE&#10;4vBviC2+F3w//Zfm8WePLyMy2fhXTvFmox/ZYMf8fd7O1wyWdt2DvlnPEaSEEDU+Fn/BE39kXS/D&#10;DN8XvCLatrl9N9pu/wCy9VvLezsWYZNvbKZWkaJTwHlZ3bGSV+7X1B8Ivgd8OvghoMuh+A9MlWS8&#10;uGudW1S+mM99qly33ri5nfLzSsckknAzhQqgAdUwJGBSC5+Zv/BU3/gnH+wR+zX+xp4u8feBvDNx&#10;pfi1be2OgwzeILiVpf8ATrWKVxC7nzFVZcE4IUsmcErn4X+HHwv+H9v8KdQ0L4X/ALDXxO8feNLr&#10;X9S+x+IrdbyPS7SzSZY4P3EEDTXDjZKrqWgKsAMk5C/fH/Bwt8btA8BfC3S/h3DfWs2sa74eulNm&#10;Jg0kEI1XR50kkTOVjc2sqhuNzRkAnY2Pfv8AgjTef2t/wTu8F+K2t/Jk13UNZ1GSPduCtJqt18ue&#10;+MYraEnGNyal9D8g779hX45f8Kct5fjJ+wL8WH1fUrW6Gnano2j3ZS2fMgjkltw+YirY+WVVLKoY&#10;BlILeBeGvgFrfgP4hn4f/tE+PLj4dM1rK6XRs5NQeGcMm2GWC2k3QsVLn58HgDHPH9Tasepr80/+&#10;CtX7Lvw0/a1/4KZfAH4H/EVbyz0vXvCmuS6tc6HMltdS/Z7eaaIeYUbo8SA5B+UsBjORPtJRSt1K&#10;XL9r8D8YZPEnj628WXnh/Q9cuNRs7e8kjg1WeKRIbiNWIWXbIqsAwwQpGRnFdl4W8L/FHxZpd1qt&#10;h4s8L2/2cZmgvJrhJGHQbQqncTzwMn26V9Lf8FL/APglJ+z/APsda5o9p8KviZ4o1B9UtJrmbTfE&#10;FxHI0MYYKjCaJEBBO8YKZGzryK+GtR8MaXp/ipfDcs94JGcqnk3ucnGRxs9aUantJaM7Kc8PCldx&#10;bv1b/wCAepy/D/45HVn0aKbw/NIlukpkjvJPLO48LuK43cjj3HrVHxB4f+L/AIM06z1vWtL0trO8&#10;wbS6huyyyZQMMZTPQ56VY+G3wR0XVbJpPEdvrkIVh5cj3qfMMdMMhOMhjz6irHxI+Bnh7SfDs17o&#10;V3rnmKPl23isf0jHaj7Vrr7jaOKwdtYP5M87174k/ELSBvh06z8hTkTLGZFHueOPxrqPi34P+KHw&#10;sj0SXUviz4R1Ua7C0kMfhO4hvXgICko4ADA88EBlJVgDxXJ+GdBnivZZ5tZvpVWFgVuZ9wHB5x3w&#10;cfnVLQtDu9Lvn8QSeIJpI7UeZFGysQ0hwEUnPOCc4zyFNaxj3OPEewnU5qd0u3/DG7pNnJ4v8U3X&#10;h/XviNp+jmz0/Ml7rFsGjuGVhuVSFxu+ZiORkL1JwDkSS+GNE8ZNoPiDxKsmmrcBJtW0W185thGf&#10;MSJ3XeecbS6c8Z4rm9S0jxHNFNP/AGyl00KEvH5ADKo7Aj8q9t+Fv7O+qWH7PWk/tofDTxFb6gdJ&#10;199O17Sr7RN/9nXq+W0Koz7kl8xJUZTgEMDxleXKKicsoxsdT+zJ+zp+yR8btbubb4j/ALaFn8P5&#10;Fmhj0n/hLPCNxsuN0KtIWlt5JYrcLIXTMjqCqBzt3FV+7dE/4NqfEfirw1Z+LPh9+1j4R1zT9QhW&#10;exvrW1ka2uYSMrJHLG0iup4wRkEd6+JPCH7d/wAKPhv8IrX4c+Of2CfAOpa7YxJHH4uuNMjuvteM&#10;hmlQqsgkb7xdZyM5AUDGPQfAX/Bb/wCI/gTwpp/grS/2SPgPq1jpdrHBpK658PpZpbOFECrCH+0h&#10;mUAA5Ys2SfmxgDOT1skbRwcXT5rn02//AAbNfHeJD9k+Nnglj28x7tf5W5rzf9qX/ghH8Y/2T/gP&#10;r/7QHjT4meE77SfDqW73VrpNxctcyebcRwKEElsin5pATlhwD3xX2X/wR4/4KseOf2oPA3ivw18W&#10;Ph3bQXHhO+triOfRJJVVbS/M8scaR3Msh2RGN41HmALGI1A+U133/BW341/Dz4r/APBLTxt4u+Gv&#10;ii11XTb2/wBLtVu7aTcm/wC220hUEcEhcHg4waxlHl0u/vM/q0Yysz4B+GX/AAQC/aV+K3ws8N/F&#10;7wn4s8HtY+KNBtdW0+1udYnjnjhuIVmjVwbXaH2uMgMwz0JHNZ/iT/ght+0/ofjbwj8D/EV54VtN&#10;U8Tz6jP4dm/toslx5EEb3COwiJBVQjKMYO5/Sv1x+APxL+Hvwd/ZO+C/h/xjrctvdap8P9Fs9Jsb&#10;XTbi6uLySLTIWcRw28byNtRcsQuACM9a+dv+Cln/AAUW+A/w38Q/DWD4f30+tePPCfjyHUrjRYYJ&#10;bO8s7cRGOazuUmi8y2F1FOACyDIUMAwGDSjbVth7CmfDNt/wRl/bi+Bnxd034TWl14Uurjxtpl5N&#10;ZaX/AMJAvk6itoYvPx5iriZFmR0IAbAY8qrCt6f/AIIg/t/W6OY/hpYzEzbtsPiey9ufmlHpXtvx&#10;j/4LheEfiL8RvBerWv7NuqaPrnw58Zw6lcXh1iG63afPC9tcWy4jBHnxXMeD2IUkfKRXvej/APBd&#10;D9nC/u9R0nVfhr4uhn0q8W1vltbVJVjlZiqqGJVW3MpAIOM4GckCiThTRpCKpqyPg24/4Is/8FCY&#10;mlEfwZ3b0AVl8TaYeef+nn3qE/8ABG3/AIKEQyC4X4JSNtj2jGvacT27faOelfoPpH/Bc79jnWLF&#10;tSHhnx/FbeXvFzJ4bjCbcZzkzjtVDWv+C8P7G1l4fvLvwrpHiTUNRig3WdjdW1tbRzvnhWlEz7M+&#10;u1sehqVUp7Nm3LU8z4Di/wCCRf8AwUFhjt1l+A+ofu4VC7dSsT29p+aqp/wS4/buspYlb4AeIDJE&#10;7sdtuh659Dz1rqP2if29fjb+0n8Q9S8ff8Jv4l8K6TeSRNYeHtD8aSPaWscaBFIwYVLEgsWCZLMe&#10;TWfpX7W37Q3gTwjHpL/tdeNNP03VFAtvtfi+TIUKCPIkeYtGCGB/dsM7gfSs/bq+iKVKpLqc/D/w&#10;Tk/bgTckv7Oni5Stzu40GVgcHPVVNRSfsAftsxxTQy/s3eNPnkXBHhe5P93kHb6CvZf2Qf2yvFPw&#10;4+P3hvWPib+3J4juNBXUNmrafrnjabUo5I2X7phkkkJJO0fKpYAkjB5r9UPhR+1H8Avj28kPwk+J&#10;+n6xNChaW0j3xTqoOCxilVXwCQCdvBIz1q41YyRMozifiHL+wh+2gZbqI/s5eNdzxqrbvCd2F4B7&#10;7Ks3P7FH7X6TzK/7O3jT5rcKGXwrd46k/wByv3tznnNBLjhT9abKifgPqH7I37UOmzFbj4FeKoT9&#10;jKhZvDd0rYyPVKzNV/ZO/aVtoYf7Q+CfiqNfsZMbHwzdKGXjDcr3Az1Ir+glyQuKrsZwvznn+HbV&#10;RkTOXQ/mh8BfCD4n2PxB1LR5fBOoR3djCn223k0+QSQqy/IXUjK7hnr6V3q+AvHunyW0kmgzKI7i&#10;TOYWXqG/vD3NfsT+zTO5/wCCmP7TbH739n+Cx/5S5K+mETB+T+VbSnzGZ/O/a+G/FZSGOTRZPlup&#10;H6dAd/t70NoXiJLFD/Z4P+mbm688/wD1q/ojJklO5yGx/eUH+dVL3QfD+p7vt2g2c5Y5bz7RHyfX&#10;kdakD+eQaTrCwu0lhhvtUeBt/wB32pJ7TUBZyj7E4b7emflP/TP2r+gi6+Fnwzuzi/8AhxoE/OcT&#10;aLA3PryvWqs3wJ+BuqMkF98FfCU4352zeG7Vh+sZoA/Nf9hS4EXw/wBRikBDC4t93t/o6cV5H/wU&#10;NkvJ/jHbpa2jOp8LWx3YGM/aLmvpzTbDS/DHxt+Kmh6Dp1vZ2Vr4+vIbWztY1jjgjVsKiKMBVAGA&#10;BwBX01+zJ8GPgz8S/hvN4j+IHwl8N67fLqkkC32saHb3MywqqMsYeRCwUM7nGcZY+pr0K0v9nTOe&#10;l/Eeh+Lt7HetJqCtpcg3Wa7cMvH3+vNWLqG6Z7w/2W5ElmNoyvXDf7VfuxN+yf8AstyIwP7Ofgf5&#10;uGK+FbQE/lHVd/2Q/wBlSRNrfs6+DRkYO3w9brx6cLXmcxtyn4Zyi4Mlw32CT5rVR95f9r3qaBZD&#10;cIWs2XdZnG5h6fWv24vv2Iv2Q9QmM9x+zx4Z3Ngfu7HYMemFI4qrN+wd+xs5O79nnQRuXH7uORf1&#10;DijnDlPxP3P5kZW24+xhR065X3rlvGiOdJw0Tf8AHj3/AAr9yrn/AIJ4fsT3S7Zf2f8ATcbSPlvL&#10;pf1Euazbr/gmH+wdqKNbXn7P1s0bKV2rreoLgHtxcCnGokw5T8D/AIFNPYqbu3tmbdGVmYIThfMJ&#10;7Z9ua9Y0S7VEtEkgk+S1VGaOIn5ht4r7H/4JO/sUfsx/F3x78dPD/wAQ/hut/B4U8ZR2Wgwrql1F&#10;9mt/tF6NmY5VL8QxjLEn5evJz9NfFP8A4JN/s2jTrHXfgr8OI7fUtLZmbQdQ168Fnq8RHzQPMXeS&#10;3f8AiSVcqrAb0dSQNJe9Ek/Km3lVXtFe2mXZbkOTEflzUdqYVmtUO/P2Uj7p46Yr9TPh7/wTk/Yf&#10;+KenzXHhzRvFek6hpsgt9b8O6hqyx3uk3BUHyZ0Kvg4wysrMkilXRnVgx1Zf+CPf7J8zKFvvFkfl&#10;qQvl6xCc/wDfUBrED8m4Li12Wqu+0/Z2GGyMfdqvBeWqy2x89flsCB+lfrKv/BGj9k4j5/E3jVTz&#10;8q6ra4H/AJLVRv8A/gil+y5cSo9n418ZRbVwS13atn8Ps4/nSA/KAT2Txwr56/NZY5ceq1mfbbOa&#10;b5ZlPmaap6/59a/VzUf+CIXwDcCSy+K3iKCNEYMbiG3kOPXIVR+leCfHn/gmX8G/AniOy8PfDX42&#10;6jqVw1reDULefRo5Ps0kQXyxlXThj5g6NwhI4BNZVa1OjDnm9APhS9vLYxTKZVINipwPof8AGqup&#10;zQObssy5MMTLnjua/SzSP+CD3hfxJ4Ns/FNz+0g1lJc6PHcTx3fgxP3O6PcQT9rGAPfH4V8e+I/2&#10;RPDen+Krfw1p/wASYbv7VMbWYrohVosY2smJSkpbdwA4AxlmUHNKWIp04pydrgeEXkaO8/ln7s0X&#10;67ayL+0PzY523OK9y+IP7NFh4Piury/1+Hat4tuGbSVCPg4Einf90kbSezA4J6DP8P8A7Kk/jez1&#10;C8024txb2ZR45JNPKrOx24iTaWySATyBgK2QNrYX1mjy3TA+WfifbmbS57QbQCjbmZsKo7knsBXH&#10;/C+SCPVHCvhWj+QtxnBPP9a/VW4/4IHP8RfgrZeLtB/aL8L6ba6tYyXUv26xlRiyITIThuVXBIGO&#10;FwSOSa+Jv2df2G5vGWgw+NtY8bWtra3CD7DCtjJM069+nAI4Hvu9jjb6xShh/aN6foBw1lqdkkSh&#10;JQ3yjhWBrRi1BpwVt7SVu/ypX0/o/wCxT8K9CMem6vLrH2z5jIzYW3++EQ5SM5Vm4yG6MOh4NDWv&#10;hH4S8JeLre30vR9Nt9NmjZ4b663XSmSM9CH3KwfsP4c/Nt6t5n9rYeUrQ1K5jwGwh1y6mWK1s1Us&#10;2F8w9a9Y+FH7JH7S3xfnjs/h98I/E2qKyhmmsdDmMShjgEyFdoBIPOccH0r1D4W/FXQ9G+LmgXej&#10;6Bp9oy+IrdY20uAR+Wpl8toii/KSSUbdgkAYHVmH6SfD/wCI/iz4YaleeN9L0uzutLg0e5OttcTM&#10;rxJFG0sZjRfvsXUKc4AUt1JxWscVKpd8trFQ5amx8I/D3/gib+2T4t2v4n8KaX4diYAibXPEEWOf&#10;9m381h9CBXtvw8/4IC6lHEsnxA+Omm2kgIDw6Job3QIzz+8leIg9P4DX2/8As7ftHeGP2jPBn9s+&#10;G9UH9oWKxprVo1i8PkytuwQCzYDbCwAZio4JzXfvFPj571/+At3/ACH862pVPaRv0NNInyt4D/4I&#10;v/sfeFZo5vE7eJPETKP3keoaoscR+gt0jYf99mvYvAn7F37IXwzSNPCvwD8LxyQ4Mc19p63sykd/&#10;MuPMcH8a9IW0i25lYFvXJJ/XNJdXmm6TZyX19MkEEK7pJppgiqPUngCtNb3QJxH2z6VpVrHp+k2a&#10;Qwx8RxWsO1FHoAAAKcdSuJFzHaFf95hn9Mn9K4nxB+01+zz4Sfydd+Lvh6JycBV1KOXnGcZQkAkc&#10;4J6da4XxD/wUR/Z10K3aRfELSsshTJb5TjPOU34HB5IAPUZBGdY0cRU2T+4xeJox0bParmbWZLT9&#10;1JGknmchYS3y++SvP4ULa3L3Ct9ukkDDlWZQPyUZ/WvlvxB/wU68Jyss3hzTJprV5GTdYWJupExn&#10;nO9Qe38PQ5ODlRxfiH9vvx/rMEknhzwvrFwGn/cq1wtm5jBHJG1ecZ4z6cmumOBrSj736HPLHUub&#10;Rs+3J1t7BPNubiGMZ+8zYx+LGvyf/wCChV3YXH7fvj2ysruOVbrwxbOzQvuGRa2fcd8tXtOo/tI/&#10;GvWxNPpnhLTY2l+4uoXEjyIMDOXXcGOc44wOBz1PyF8efEnjHU/2yrzUPG1tbQ3eq+FFAW1LFcBU&#10;QHLAE8Q+n511U8L7GLba2toTTxXtZWcWvU+TZr57aVrcRwny2K5YHJx60Vl6/HJFrt7FvYbbyQYx&#10;0+Y0Vw+yj2Og+jrj4MfGbw5rD6Brn7PQ1a8jktU8vR3hvTK9y2yFY/sMzeaWbauE3FWZQcFgDxfx&#10;A8VfCv4a+NLr4a/GXwLeeEtdsQhvtD1NZ7G8gDqHQtHcgsoZGVlJGCrAjIINfZnw/wBZ8GfEO21P&#10;WviDqHibwH/wiotda0++h+xtePeW9zDPFHbov2nzJCFZgPLIyFBzu2t+af8AwUZ8B/tB/FL9tPx9&#10;8VPtHin4naffX0Zt/iA3w7u9Nj1G3W1ijhLQm3iEbxxqkL4RVLxMVyCGPn0Y06yTcrHoVJSjsrnv&#10;ng/xl8J4HivPAPxD1vRWkUFbix1v5vYgoqenrXqGmftFeNrCKLXtT/bU8aXFvpOm3cVlcXN+P9D8&#10;5AjsrtMxxsBBwM45BBArqv8Agjt8RP2APhP+zwvws+LX7S+n6T8SPGWh6lo+o+HdY8Orbx2NrM8u&#10;yGS/msgyfNI0uFulizKoKllNfnf4u/Ze+OHxT8H+Lvj74I0a51TT/C9umoeNlS8aWWBZZmRrg7iW&#10;k+cFpMZKgsxwqsV0lh5RrKCnoyUoypuXLt8j7s/Y9/4Kxaf+zDo0fhjwR8SrG80fUrpLu503xBpN&#10;5IsMjDDKrRjbGxGCShIJAyTjFfrRqv7UHwq8N/A3QPjv4t1v7Hp3iTTbO50azhhkmutQluYlkitr&#10;aFV8yeVgwwirnGWICgkfy4/CvTvGuv6tb6N4d8O6hqkk0gSKzsLN5pGJIHCqCT+Ar+j7/gnL+z5b&#10;+H/gJ4D+LvxW0XXrjx0vhSDT4x4vhdZ/D9tEogFpawOi/ZUKRKzELvl37nZsqB2exVGOr+84r6nR&#10;WXwq+Kv7U7rr37StlP4a8E+b5mm/Cu3uVM18owUl1ieJiJOfmFlGTEpwJXlIwvuNjY2WmWUOm6bZ&#10;xW9vbxLFb28EYRIkAwFVRwqgcAAAAcCnnZ1BoVZAcqcVEmIkRAwyT+tRvHsHNO2v3fNDKSvSpA/G&#10;v/g4f+G3iL4m/tVeFbrTvAOoR2dr4as9Gj8TzWEyWsl9PcXEqQGYjyzhWBAB3YMhIO3j7a/4IfeD&#10;PFXgv/gmt4DtfFqSRyX0l/e2NvJ1itZLyUx8dg3Mg9pAe9ed/wDBezX1g+Hnwv8ACjK37/xZeanu&#10;Vhx9jsXOfw82vqL9grR/7G/Ym+EdjsKt/wAK50V3VuzNZRMf51cLxotPuVXkqnLaNrL7/M9YCdgD&#10;zXwL+034y8G+Mv8Agtl+zzZeF/EdrqDab4S8TW981lMJFgmFjeBomYZXev8AEucqeoGRX1t+0t4p&#10;8GeE9F8Nr8T/ABFpuk+E9R8Tpa+KLzWNQjtLUWYtLmUJLK7KqxvPHArKTtkVmjYMrsD8P/teftDf&#10;AbQ/+Ctn7L/ivwx4n0+bwfD4T1e10zXvD8P2zTLhrmG6tIre3ktA6uyylFYKCI/MTdgHIl9DJ/Ce&#10;Tf8ABdTUwvx10PTY5f8AVeEYdy5HU3Fya/K7XdIm/wCFo7jbN58Lxi4ZckM5YH+WBX6Q/wDBaX4p&#10;fDvxF+0mPsnibT7qODw/axNtulLxkiRyChIYHleoz81fA3w/Oj6t8Tpp76/a3sb29d/OkDyrEFOF&#10;dgoZiowCdoJ25IBrPDR95s76n+6RR9FaZp9leadbjCwqFG5VFUfFXhsNpd4liWaTyQY4xjkZ5P5V&#10;j+LfiT4Y+HWjwXWi/ELQPEki7vtC6bHewqmDx/x9W8RweowG98Y50tL+Ivh/WvBFr431a9s7G3uI&#10;tzGS6BWP5sbdxxzkelXruca0PKfHnh7RNK8OXMuky2rzeQh8tZFDBWL9QMnIKr+fbpXP+EPhb4P8&#10;Y2NxZa343s9Litbe3nvFuLxFeS4lYhFQEgMqopJJ7yjrXefHXXPCF14Rt9W0nVLe4hLss09pIJNm&#10;MNjg9ePUVy/ga10XWfBV1qN/NYtLeRiZlcAFG++qjd0CqVUdsLXTFgcLrnws0XRvHK6Lot/HqFq8&#10;bMLqNRhxlRwwOMjnPPGK+4v+CFvh6/8Ai7dWvwK1fRY5PCXgjxZfeNNaeeNWiu9QktoLHT4W4/5Z&#10;stzOpyRmEjAxz8P/APCUat4pu5JrDSIF0+wkK2sMduobezZJyoyWJPTuBjIr0v8AY4/aWu/g/f8A&#10;iTRNBu7yJPE0litnq2h65LZ3Gk3drO0kcvlFhDcx7nZnEittyrq6Y5ctYgtyp+2F8K7f4VePfGng&#10;aYs0nhnxBdWZdU2CVIpXUOB6MFDD615DeaRa2Og6bq1sv+vEgmc9MgBl/MZr379uX4yw/Hjxh4h8&#10;eyxr/a2oeGdPfxA0NiLeM6hDZxQXLonpJLG8gAyAJAK85+GtppupfD6OO/so7pIWWWS3kRSJAIkA&#10;U7hxyDWHNyRvI9bBUfrMnBH3N/wQdn1vwlpPjHXNLFizal4aj1CRtcVjZSNatcKscx6mINIGfBB2&#10;ufWvrj9piw8X/tc/BSH9nzWvH3wx8H+GRcR3E+l+B5II4JZY3Vo2Xex2YKnhSAQ3IyAR8v8A7CPj&#10;v4jfDD4B33jHwL+x7pfjTRnvLfw5q1pofiaezu9l3b2twzyRSq8XlFbmGNmjMewJkqoDOa/xy+C/&#10;7WfxZ+JCeAvgF+z54V8F6Rq3h6TXP+Ekg1iQvobRi4U2dxJHql1EpMsLRqZIUkZ45BtVYZWTzuat&#10;K7Vuu/Y7MRTw0a3vXskl06JJ/ifTnjT/AIKw+E/gj+1j8G/2SR8IbXxRJY+GbbwrfXNh4gVkDahN&#10;YQRvs8hg5CWqOYs8i4A3Dad3qn/BV/8AYS+Dnjj4CXniX4W+A/Dfg/xQt4biXX9L8Pwxy3MMFndz&#10;mF/L2ZLFB+8O5hgYzgY+IP8Agmp/wRw/bXX9vLwj8dv2uLOztdP8K30eu3l5JrkVzc3t1a7fssSL&#10;BuxiVYWO7aPLQ8lsKf1F/wCCh1zCf2cdWMUsLNHa6mDIrD5HGjagw+n+B9665Sbpqzu/I8Wpy82i&#10;sfzl/EfxZ4/8OeK7yPTvF9wG1K3hubpY4IpHtWDFFt95BYCNI1QDIwB9MVb/AOJXxUg8Rx2Xhm/n&#10;YTXUU2mosWZpWkxJHl0w7SfOPmzu3ZOc5r2z9sX4U6NpPirRfFHhy5tZ7XVPB+lzTNZspghmNuvm&#10;xmQEq0v2kXLOM5XzFBx0rw37NrVrbWeq6NcQpeaXcZh8uRdyqH8xJC2cclmUenl1soxmk2jM+ivC&#10;Pw0/4KNeIfB8Wi6X8HbC603UIhHGZLSIAqR935bhccewI9jVzUv2Cf8AgpZZQJG/7F91NGq42w6X&#10;fsvBzwsd16jsK808FftFfHzSfLil+Jmufuo9q2765KUTJzgBWwPwwK9oT9vz9omx0pI7X4z+LIfK&#10;AMjR69e4PHbLH9DXNKPvWsaxqSW5w3xN+AH/AAU10/wZpfgLU/2V/Emg6bDeRx2o0nwzqkLTNLIt&#10;ukbPvJYNNcRr15dkHfBfdfAH/gpfarp/9t/syeMbmHSbiG6sYbjwjfNHE8KqsbEPG2/aqhcNkYGC&#10;OTm7r3/BQj9qDVPFFrc33x48bzR2agWpm1a7cI4niuFIyf4XtEYf7QU8441m/wCCp/7YMzm2tf2k&#10;PFsTfxeZqk24Z9i1LklvYr2x5BdfHH4o+DvGtnpnjH4WWcGtaYrBbO4hFqqARsrK8PkqOUkPON2S&#10;CCCAR738AvG+mX1xe/Gr4g/Ea7+FOm3kSW+reJtFu2kkmVvMljgjWFUcSyPb7FOyQIu5mBC7W+b/&#10;ABZ4r8c/Gn4w/wDCXeOfF91qFx/ZM7rJdTFtiK0aBFHRclycDjJYnqa7r4tzjVP2KbjRtPUSXln8&#10;QNNdbGFlM0sItNSDOqD5mVWlQHaDjcucZFdP1eMrXFGpPa5+7Wv/APBRL9mTwp+zt4Z+PWk+OX8R&#10;ab4mj8rw7b6XEzXWpSROIrjCS7GURMDvZ9oBwOWZFb27w14k0Pxj4esfFfhnUo7zT9StUubK6hPy&#10;yxuu5WGcHoehAI7gGvwR/Zo+E/jBfgJ8O9W1TxvrkazaHeXtlo14oaKyVtTu42RIWG5A/kh+NrFm&#10;znFft1+yj4c0/wAKfs2+C9H02wa3H/CO2086uzHdPKgllcbmYgNI7sBnA3cY6Vl70ajitUh26noR&#10;IHWo5AGOc0EEckUjDdwRx3qiJbHzF+zKhP8AwUt/afJB+W18Ep9M6VKa+nvs0fXn86+RvhN42t/B&#10;H7e/7WGtTSIsnn+BIITJwqs+lzDLHoAFy2TxxW34o/ao8f2Xi+Uafr1sdNa4mazWNFYNHubapOMn&#10;AK84GQB1zTnLlirmZ9PsMHApMqBudtqgZZj2FeG/B79qax1rUI9K8Y6s264fyo2aPJDmfZEMKo/g&#10;PPXlevTOl+0F8dW8MrJ4P0Ka0JvtJMjXcjEqSZNhjG05+6Gz068HPSPbR5b3C56B4i+Jngfw7eCy&#10;1LXY1k2SM235lTywSwY5wrAAnaeTjp0rcspo5WjuIZFZWwysrZBHrXwjqXxR1vW9YutWim8lpmP2&#10;prRiobBznOTznJ3ZJJJJzk19O/sq+O9W8Y+Ck0jUEab+yx5X2xgy5XjYgzkNgbuQQAAo206daMtB&#10;XR8bSSv/AMNFfGSPdwvxGvsf99mvsD9iC4kb4O3SHHy67P8A+i46+ObYE/tCfGbAz/xcm/H/AI8a&#10;+wv2Hx/xaG7BH/Mem/8ARcdepiv910MKN/bM9jLE8GkpzLkcCk2N6V5p0CUhi385NSYH92kZtpwB&#10;QXGPcj+z+7fnQbdxynzHPC5qQyYGSP0OKaDub5Dk0rjlH3T4E/4I0wyQfHb9qHT5D/qviNErEe15&#10;qi/0r77VVzljXwT/AMEeNkf7SH7Vke773xIX9L/VhX3iMZ5P/j1VzSGorscZ8Uvg0nizXrT4neAt&#10;Y/sDxtpVsYLDXI4t8V3b7t32O9iyoubYsSdpIeMkvEyNklfhf8X4/Gl3ceBvGuhHw74y0mESat4d&#10;muPMDxk7RdWsu1ftNqx+7KACCdkio4KDt0EZTAauX+Jvwo8P/E+ytTf3N1p2raXMZ9D8RaXIsd5p&#10;0vQtGxBBVhw8bho5F+V1YYAL3IlTOlMjA4IX86VHDcE81574D+KXiGy8TL8KfjTY2um+JGRm0vUL&#10;Tcmn+IIlyTJalySkqqMyWzEvHyVaSMeZVP8Aaw+K0/wZ+Dt9rOn6j5GqX0htdNmWZFaJmRj5nz/K&#10;ApAyTwNw6kgHOUlTi5PoYnmPxi/ak1T/AIT7x18M9LvZLiyh8M3FrY2qQbWF6AqsVdeWLbmUIH3Z&#10;BAAbmvj618YP4Pt/7Z1LWbiOaRWt7XTmkEYjt33HcwblvlYjORwejYIPPeKfiY2ufEm41tdWvF+3&#10;tHf62lwzfPeTBfNU/LwFYsuCW4z1xmuHEp1zVtZD+J9tut4kWi/aJT+9bAbY4XOP3brwGA3E8g18&#10;7UhUxb95mNWpyq6P0k+B/wC0J4Z1T9lD/hL9c1mXUo43/su/tWIihjEoZVP7qMNtwy5CFnA6ZOCf&#10;z78VWPh7RPiGo1C6WaK4uFhkslleBUXYz/eKM2EdUzwS2F+ZcnGB4h/bo8LfBnRP+Fb6f8P/ABFC&#10;zWkE10vl+Wk067ts4Mp+ZSS5DAYOTjAIFeC+Nv2urbXL29k0vwPMvnXnnQyT6oVMPphVTsMr16H2&#10;rqw2W5piFH93aMVZNta/c2ZyxlPbY+h7XwHH4yu9c8b/ABClEOg6TIPtU1wodXaQktBbRupDTMhT&#10;bhcoMlmBwDRu/Ellb339m3GqeVZ6TNi3t7WRA0OUzIWO7DsCy7pAT0HUfKPm/wAfftwfHHxlbrp8&#10;93Z29rHC0McNrDIqiMtuKkeZhstyxIJYgFixAI8j8d/GH4javYPJqHi64+8oVY9qbR0xkDOMcdel&#10;ex/YOIlT5VK34kvFU+jP2Y+BXxS+E3i34PaLoemX87R+FfD+uqklzZ/aLe/kuLbyo2IdSABIpG0A&#10;r8xB+cGvjX9nvQNY1D4FfD+48P3EcP2OWOW8/wBJMbCBJpN2PlIwGVRyck4AByWX4N0b42/FPw7N&#10;5+hfETWLRtu0G3vHTA/Aitbwx8b/AIxaREIdL+JGrW1msTItvBdFIwGJJUKOgOTn1yaccjxEMPOl&#10;KaalZLTb/MI4qMtLM+/PiTren+KPHFwsGuzRlrXyrW8n2BUhMmwhk37nYbmUkZIADYypFcz4yPhq&#10;0jkv7RGuNPZRawQx26HyVKeZKxl3YEm8/dw6sSBkBsV8o6F8ZPifI8VxB471SGdXDxyR3G11YHII&#10;IwRzzXUaT8U/i0ls2nQeMtQ8mWZZpLdZfkeRfusQOMjt6VyR4TxEbONRaepP1yKWqPTrK70LRPH1&#10;uvgXWxCunbZo9Qnui019KGDlQE3K2CP4MjBxvIBNfqU/g2w1HwJ42s49Mt/tV94duIVlEKhmJgmC&#10;ZwMnBbjPTJx1r8kfCPiL4tW8sN9b31vbrDA0WZbVdxjl6queme564JFfcX7Humf8FA/jHr4uPFnx&#10;Wbwroe1ZLm61DRonurmEsB+6icA85+85UYORu6HtWVVKMHzTXb5m1PFKMlaL1/Hp+a/A7b/gkT8V&#10;G0Dx9qnw3vjbzX3iiT7Vd3QuPNaNYoZGVGYuSJSXBK4KgMo5z+7/AEQr8gP2AvC3xD1T9rDR7Dwl&#10;4es4rqzuo3vZP7RaO3jhIlwkhDHcyiJmMI2lwpUfKxz+wKxEnad2R/e4rzsv/c89NyvZ7nU5SlqN&#10;puraHp/iDS7nQ9Zt45rO8t3guoJBlZY3UqyH2IJFTeQf8mpFj2nPmCvSv2FdnBaJ+y1+ztoO3+zv&#10;gn4XV4zmO4n0WGaUf8DkVm/WuL/bG+FOh+JfBWi2Vlpdtbw2moMFht4VRRuj9ABj7te5yGNB14x6&#10;1yXxlsEu/CltkZ23yn/xxxWkalS+rZk6dPokfH/hj4C6TFC0H2MH9/IcN/vmumsfgxpMB2mxVdte&#10;k6dpECCRgDxIx+nJNfM91+1z+0DaeKtV8OtofhHybG4RI5ksbgOFYEjOZzlsDPC4rT2kxcseiPZ7&#10;P4X6VFjZajj/AGa+Kv8AgoX4bg8N/tl+CZbeLat34QdG2jGW33v+C17ReftLfG6+3GDxRbWJ/u22&#10;nRMv/kRWr5d/a8+IHjjxP8fvh7q3jTxGNQm2zWsMgsY4cLuPy4QAH/XHrVU6muo+U+dPE/gu1k8S&#10;ag4h+9fTHp/tmiu/1vQmfWbx0RcG6kI/76NFae6aH0pdaYzXN0kb/dCt9f8AOKd4c1BrWYwzVhx/&#10;E3Spr6aG0jWVm+XyWuFEnHqqgmo7nxfLJeLDbaJMjEfxWM238WKgD86+JdXoe17GTPSLRNM1KLyb&#10;q2jkjPG2SMMPyrc8GXT/AAq1RbzwAf7DXXL63tNaOk/6M17HM3k4kMe0tjzcgk5U8gg15fY6742T&#10;abWxRU/vB4Sv/oZP6Va1PxT43Gt+G9Dv9ftohq2uJFG21f3TwxSXSljsPBaALwc5YVVOvLmVmN4a&#10;qo3tofoZ+x74H+Cvww+HcPgv4SfDfRfDccCjzI9JsRG11z9+WQ5eV88lnYnnr0r2AlieTXxl8APE&#10;fxc0TxBaT3Xi2zns4bpDeRR24Z/LyC2MRqSdnYcn3r6vPjVVVkTTLxpFZU2tpdyuJG52nMecKmGJ&#10;AOe3pXuYevKtocNelKC1RvZQdWpwbJ+bFc6PG9q4aea3ljj8ueRd9vIrGOLjOGUfMzEEdtvUg4FQ&#10;yfEjwzb3TWl14i05JFuEgfffKq7/ACvNYjcPuiPoepYEEL1rodziOsjaRRhGUc0PLIUwXX6V5u/x&#10;1+Ekd/DfP8XdAjhaxEqQv4it0VvNk2W5JLYy/JJ/hA5Heuf+JP7Ynw28OeAtQ1v4c+KNJ8XavHKY&#10;bHSfD18dRkLb9hlljtld44VPViFBICghnXM1KkadNzl0E3bVnx3/AMHBmsTW+qfCfT4z/wAwfxhM&#10;w3fdb7DbKjfgT+tfc3wn13wV8G/gR4G8M+MPGmj6UuneEdNtV/tLUY4STFaRpgb2HpXxj430eP8A&#10;aS1OD4n/ALRHjexvH0VZodJsVsYkmtg5AkiiiK74wSoV2dS2U2nODXN6pqvhHRXVPDPwx/tCPy2P&#10;mXGpFW3hkADZdRyGds9Pkx3zXyuJ4sjSfs40nfdXaX3rX8bHnSzKnGnzu0VsrvV/JXsvWx6N/wAF&#10;ZfGPgH48+A/C+j/BnxFYa54o0PxJ8yxtIsUNlNE3myrOE2NiSKD5A3zZ5BAIr4L/AGUP2QfGXgj9&#10;sHwz+0V8XLS60nw/p3iLXtQv/DnhvxtdR3NnFdWTRWy2rweQVl80r5zrKgkjVVxgbD9LD4j/ABfm&#10;nSDwl8HfCtlbrJCr3F9Ikz7GiJbjbwUfCk5ORlgDjB6Gw8U+LNS0W1tvGFvpNvqAhR7uHTLONYfM&#10;x8xQ7FYrnpkA+teRU4qzBSbhyrpbf9f0PPq5xLl92S+SueKftg/stW/7Tfxe1Lxp4M8Ya9pel3C2&#10;wsxr+qXl/dL5cKIwZpLhy3zBiMucAjGMV47ov/BKGLQ2Zbz4pz3Ssqo0cnh8BW4GR882MZGcY4r6&#10;21X4zfD3w/K1prnxQ0WxkXrHc65DCy/gXFcXrfxG+B8l8dbm+NuleY6yJuXXLaRQWffuA2nlWC4P&#10;PChTkcUsPn2cV3rK3pG/+Zj/AGtj6llfT0PlHU/D2jeJPi/Yfstan8FfAkem2dxcRSeItM0EQaq8&#10;dnZFt8jRbVYuQpffvyxPU8n1DxB+wh8NfEXhiDwa+saxp9rHxD9maGMxgArgAxYHUj/9VeXfDTx5&#10;8NdB/ai1jxx8Q9bbT7RU1QaXfSRs6O32mBCuEQncY+hAAA3d8Y+jdI/ax/ZmmMWiw/FvTY1hjVYU&#10;nEqOVAwB+8UFvrzXt51jc2w/KsPzPSN7Rur216P7joxmMxlOUeR9NdD5l/aW/Yz+FH7PngDT7eHx&#10;H4k1C61a8kW3tEkiGURAZJMJGR8oKDGBktnpmm/Dn9haWGHTtS1fxVNFpciq19osth9pMqckIZnP&#10;yjGFIVRwCAVzmvbP2sHufG/iLwP4k0rS57jwtdaHff2ZrH2V1t7u4a7hjaOKRlAkYCPoM8Ke1eta&#10;FM6W3kx2IaPy8L5kgUHj3xXr5XWxTy2EsQ3zu7d+mun4HqYGVaVBOruz5w+NX7LngzVvANhZfA6G&#10;DTZ9DifztNtZHtXZCwJmQRK291wxI2sTkEZI2t4F45uvBPhD4RWvwq8O/DXRYPFkeqLJcaxAsbfb&#10;EcybfNbaSSQ8aqq7Y0WL/Vqx3n6m/aj8ZL4RvdNutNt47V7q58ia6ebZFD8pKs7fdVSwC5PHze1f&#10;NHi61vNZ1STxVJBZ3skEwmf7QiRNGNyoW852RUGSvzOwGSK9SNSbitTs06Hi3xZ0W98K+GrDX7zU&#10;7Ga8v2kW+soo3CoyzPGAzGRmbKhW7Ab8AYGTmfDzxALcta6fbXVq0kDfaI5Hyh5yCvQ4I9c11P7R&#10;+h+FdB05YbDRrZb7WLEajd/ZJDNGXln4w2fmykYJYYBLHG0YAXxZBFb/ABU17R9WibztElTRYRaz&#10;B4wbNBas28Z3KzRMwI67s0VJ+6kz2skpznirrsfrp/wTf+F37R/ws+Bvh7QfC3hbwb4itviHJp+t&#10;W0l14nuLKSyW406ygSOQfY5VYKkKsxUn7xABwM/efj74W+Gfhd8L9J8JeC/Dmm6dcXmrLPqklvCP&#10;9LuWUefO7BQZJGUuAzAADaMBQFH5T/Bj9sPxT8DL34H+BPg7rsc3i7U/sAbS9Wsf7QieH7GYlt/J&#10;EkbJvdcK29CCOp4Zf0El/bIl+IsHh5tf0bxDHqkniyfQZfCDfDyex1GG4xEftzk31xCLFIi8huVd&#10;oyuMMWIRuJ8u6FmD5azv52OB/wCCr/7UOofs6/s9x+C/BV59n1rxzJPb3E0cpDxafCFM+NvI3s0S&#10;ejL5o5r8o/2UZfGHxS+L/iDxZda3f2ug6D4V1jUPEX2GQ2xmh+xywx2ryKA2x3nB2EkFUfjIr2D/&#10;AILuftFReLfj3eeHdGuWW30jR7LSrNyCok81DcyyDOCOZmTPfy+OlWP2OfBcHwu/4I5+PPi/d6fd&#10;R6x8RvGiwpeeYGjk0u0t7i3hwByjfaZrxWz1AT2zvpTocze/66HmVppSdyP45fs1/tL+IPiXo8/7&#10;OnhGaz8Nr8O9Btb4WepW9va3Uwt0eRZYZHUXGdsBZmRwxUZyVwLHgb/gnx8W/E091D8WPAXhmxju&#10;4902pafcNb3vnA/Iyrb5ttoUupXylyHJJztZfsj4WaLaeHvCGm+H9Kt47W3s7OOKOCCMIqgKOAo4&#10;FddMtx5H7mdt2c8V8TLifFSlL2cVa+m9z4epxPiPaNU4K1+tz4Jvv+CT3iyG6eXSPizabd2Y45dL&#10;k49shz/KoJ/+CXnxdMDq3xE0eTPEbZnjZV46r5ZGevRq+/2juOCLhs8bqkImklVRMSuOV2jn68Vj&#10;/rFmXPe6+4hcQ47dW+4/LDxH/wAEvP2ndO1y6uotA03WrZlmFr9j1pI2Zju2MyzGPHXJ5OOetcl4&#10;3/Yc/aY8J6gpf4ValPH9nQvNpMa3AZlzlSIt3YD654zX6/C1h80mWJThf7o4rmfGDwIkkdpAqsvt&#10;iuuPFWMpx96Cf3mseJsRGPvQT+dj8YdGLReLJ7fO2S10+4hu42yGR1niVlZSBghiOtehXOq2On+A&#10;LG1ubSOZn1S4MfmRK44igJ4YH1/zzX0D/wAFIPh1oD+GNN+Kuk+Hfs+rW+of2ZqN5FgNcQyRJIPM&#10;x97DxcE9AcdMV8neLdcWHQ9P0iRstDfXUu4D+F0twv8A6A1fa5Xi45hQhVStfp6H1WFxMMVh1Uj1&#10;Ptz9ivXNb+LvhXRfh9bWFkjaPex6RpNxDCI2dLhYrrbJxglLi6mAYDG3b6ZP7c6NpsWjaRa6RDLJ&#10;IlrbRwrJMwLsFUAFiABnjnAAz2r8R/8AglzqdlaeLfC/i/T/AA5qK2E/iK2XUrf7V54hlsIofMmy&#10;VURrKIpTgk7SYkG4ZNfrfD+1p8NjOlveWmoQl42ZWEasGYbcIMNnJJI5AAxyRmlUlTp1ZK/U7uaP&#10;KmepN06Vz3i/xSdG0q+uNOkjkuLGMO0LOF5I+UEk4GTgc4rI1D9oT4W2fh+HXYfEcM4uMBbWKRfP&#10;j7ZePO4Y74BPoDXkv7Q/7RXw48ReELfTvDviq4sdQvdWtbS4aTTwQbdpV8zLSqVEYxu6ZJUcYzUc&#10;8ZbML30Pnq28SeJbr9qz9qjxNbzSxi6v/A8ckdnM214n0e4Mb7hxjOwgnA54OcVheKPGOo6k41KW&#10;5nVZItvlyzZZWABc7eCoZyW6AZJrrv2avEXh3xN+0n+1fdXarY298fB5h0+6uE852j0uYhArghgS&#10;DmMcgHCnIBrj/idrmnahJcS6DokNlZMzLa+VIFjlZQcsM9BkYGepGcAsVrS3M9TGekWWPDfitrG+&#10;huWu8SecrLIoz1PUZ74P51oXfi2a98SyeZrEtyYrUpDvz8qqQMEDPTjpweccV574d1RLV1nW8VEX&#10;aY5pF3LtHtg5BPHQ8VpQmySwk1WOe3knePa/lzMSjZ6/LwBx3z6ZrOdLmOfmlY6C81iGG8mVbbyt&#10;pZkijJK9eBjFfXH7GPj2LxJol5otlJ5celWdsGh27PMlcEvgZyQpAGT1LEjHQ/FNn4kjs7lb+8mi&#10;Dxx7VAUv5r4wAx6DP+RX0P8A8E8by71f4m61fRLJ9mj0lhJuJKgmRMDIA5yDjOeA3HcTGn7OxVOT&#10;5jxjRnaT49fGedm/5qdqS4+khFfZH7EQx8I7zn/mPzf+ioq+MPC07T/Hf42Lz8vxW1QfT981fTv7&#10;NPxq0D4feAJvDF3ZzT3k+pS3KBDwq7UXJ9sivXxH+66hTdqh9BeMPGnhvwLo7a34m1OO3hU4UMw3&#10;SN6KvVj9K5XwT+0h8M/HvidPCOj6lJHfTIWt4bhQDLjqFwTzjnBwcV8c/tEftBeJPFfxNuLO4vVl&#10;01dRzYRiU7VjwM89MHYoJ7evc8d8NfGc3gr446P4oi1WOO1XVN2/zd7RxiUAsVGDtwwOB1GQDjkf&#10;N1MZVjiOVL3V+JpKoon6Z7zTSSeTXOeCvih4S8fpPceGLuW5hhuhb+esLKkj7Nx257cEZ9RXKfEf&#10;9oXWPh/8QB4FX4d/2hut4p1vINWChY5H8tNyGPduMiuCF3BVCsWGSF9WhGWI/h6m0q1OnHmk7I7n&#10;QrWxj1PVmjs4lka+UOyxgM37iE8nvWmiCJ96HHevLfhJ+0NZfELXtYtofAWsWO3VIFea7RI0AeLY&#10;GHmFWIBgbOFyM8jrXoV94u8LadosviG+8QWsenwnE155ymNDnbgsDjO4gY9TinPD1KE+SasxU6lP&#10;EU+aDuj4Z/4JEI0H7Vf7Vtrt+VfiW4P4anrAz+lfafxE+JvhP4X6VHrHi3UvJhknEa4Ukn5WdmwA&#10;eFjR2P8Au46kV8Xf8El54f8Ahr/9qy3jkVvN+I104/h4XWdXGefb1xipv27PjfYfEPxjaWPhnWFu&#10;tK0+MrCrxmON5iw3DkfMx4xnBxxtBBJ5MViI4elzdehcpRgtT7W+HfjGy+IHgTSfG9gnlw6pYRXI&#10;j8wN5e9QxQnuVJwfcdq2PMT+9Xzb+w78c9Di8C2nwz19bbTpNOtbq6luJCscflb1dByQAQrSZXss&#10;Y6EGvWr79oH4bad8S5PhZf6pJb6pHIsbLLHtTcYvNxk/7PqByy4znIzoYyhUoqbkv+D2CMlJXN/x&#10;/wDD7wl8UPDE3hTxfpv2i1kZZIpI5GjmtplOY54ZFIaKVG+ZZEIZSMgivz//AGp/2lNV1zxFa/B7&#10;x/4x/wCEk8G2nlyaf4psrPZcXUjRv5ckyLgRzp52xmXCSNASI13Mi/aPx9/aCsvgbqHh61vrW3a3&#10;1u+MUtxI7lolRoiwVFU7mMbuRkgAqOucV8Tft+fD3wFpfi+z8RfDTVFj0vxBoa37WdzaxyQwP/pC&#10;uwbAfcGiQBHDtu3AEcIccZXhK9NPVWuRUnaOh81+O54YPEtn5WhxXl1Hd+ZcRsyruB2FywQ8fu9v&#10;GCMx8ADK1gm60+y8Rfarz5tLvNYjKrbzBWskEkbyIysGCoB5gGBtbLZxjaec8X6n4htXe6uYJFuI&#10;lbdDLkfZY/ulHQHeAASnJ9c5JzXX/Cfw9rNjaNPqnh23uNc1KFkt/Ds1puaGGRMidomcBQ6ZdE2h&#10;ipLsVRohPySp8tPc82V5SN74k6F4W1O2vZPiLosOrXF1bMNDsbiUBiqOUa4L7lYR4VfnjIMjEpGW&#10;Hmyx/JHjT4Ja1pGpXMnh+dby1VuF+7JGfmyjA/xAqRg4PTjJxX1l8SrP/hG7+6ubksuqzaeIpotQ&#10;tiJJgkSOSMllz935QRtCjGAAo8V0fxL4cnt7tr7w5I1xqluqRK1yoXzVO5pOBhRuUhRnOF6nBzWV&#10;46tg7xp3a8+v+RnVoxlHzPnnULaSAmCYFXXhlYcr9R2rjfG1ysFl5ZT5jcAL8x6bT7+tfS154cj+&#10;Jxi0HxCbW1urVRHaySwhZDEXYsxkU7iV3BsPkEH25+e/jl4G0/wt441T4fMNWmn0y82R6hJMiRXA&#10;2Z+VfL4IzgjcRlW5r63D5th6nx6PsKnl2IqRdSCulocGt7Gxx/WuiizZ+ELXV3YBLrUpoI+eQYo4&#10;ifz84flWJJoHhw+Wun6hfSySSyRqZCuxmRNx2kKQ3PHXj0I5r2K4+AuleK/CGk23w98SzNpq313c&#10;x/2oUE0ZkEKMrMilWwYcbhgEhuBjmq2ZYWLXNKyOzD5Xi60nGnBt22RzvgGUXcytuVuedrZxXsnw&#10;68OX2v38elaLYNcXEn3EVfmc4J2gdWY7ThRknHANcz4G+A/jHwh4qs9Hv4bW+F9GTY/a9Vit4fNj&#10;KkrI8pjVQVOBkjJ4ByMV7j8HPAHxA8cQTXVtp81r9l0fNjb2NnMj3UyO6oUFvbPvcLO+Wfgr5gyC&#10;3ONbOIct6HvX2fQ56mX1qNT2dZOL8zC0ifTfCuLvXXhuJmuFEdjLGyi1ZCRufP3hz23dmC5Ar9W/&#10;ghrq32s2bsWU33h9JlXHC8Rv+Hevhnwt8NtC8E/FpNS+IPwFuvFWi/Y2fxJp+k6DqEaWtxNHlVjZ&#10;hGUkRTG28r5a4dBHgKB9e/Bvxt8PLHxPoFkvjjSVNvoKpcQtqCLJEn2fjej7XTkAYdVIPBAPFeTT&#10;licRUlOabb8j0asKVFQSa0il+Lf6nmHwq8FeO/gv4r8WfGXV/C1xb6XP4g1vQdFkKwKoXc6yNGsx&#10;JJYERiYIdm9xhl3rX0x+zl+3Daa1o/gPwBrVn9o1HVnezvJZP3Ulvid4YQqJHtdAQqGQlQdjgbmV&#10;q+T/ANrfV9Yu/G1xffDrUF12y1LWHezurG8Z4Y5pHJkGYwyoQVKNlWyBg5DAjP8A2UPEevfAX4mQ&#10;/ELxz4Jk146SpnuP7Pe6gjgDI/l72kU4ZPQ/KwOc7WAHhyp5lRxblTjK19dL9fJGXtqb05l95+sB&#10;lYHBFU/E/iKy8JeG9Q8U6mszW2m2ct1cJbx75GSNC7BF/iOBwPX0rj/Cv7Rvwh1/R9N1LUviL4d0&#10;+61C0WaTTptchaS3JXJVgSrZB+U5Uc14T+1X8fdP8K+OtJ+KXwy+K+jeKND1K1bR9U8M6P4nhuJr&#10;oOJfMENvG65k2p8sm/KOOVZQRX0X72Mebkf3Bz0/5l95n/H/APbXs/F/jTwLovwx11oEj8SWp8Q6&#10;Xd3Eloxk89F8p5QdhRTnPJAO0sF4r6KuviF4O+JvhPUl8J6t9p/sfWGs74+Uy+XMjFSMng+owTww&#10;6Zr8k7/Sdd03xtfeMtO8H+Ire10u3muP9Nh8trCYDzUW5cIPKbb5cjMXXC/MMg7a+1v2H/GPhzwf&#10;4E1Twr8QNbktfFOtLHf+TdM0MEdrG6qqASKnz5kJOFICkAkMCtebha2OjjuWrB2l1s7K233k+0pt&#10;bo9wtNOe3Wcttw0uVA+gr4d8a6Ytr8WvHVgJObe+03y2HXm2kzX2xY+MvDGpadaajZeJdPlt9QAN&#10;jcRXiMlxlN4KEHD5UFuM8AnpXyH8V9Huofjd461DTLeS6t5riwEk0SFkR1V12Erwpw6cHn5l9RX0&#10;Eoz2swjOHc4u5t5BgNLIw/3q8L/axtyPGnw6voV2m38QMrNn+89ucfkDXtnxL8a+FvhLZ/bPibrF&#10;noEZiaRRqlwsDyKM/cVyGc8EAKCSeBk18t/tJftO+B/iMulwfDbRdQvpNJ1RbpNQvLU2tvIAOg34&#10;l67c/J2rNaPUqUo9zrL/AENpL6aQKvzTMf1orx+b9pz4pSStJ/wjnhsbmJx5d0cfjvH8hRT5qfcX&#10;tKfc98h+Kh1fULq20XRYLeKMIqszbiuS/bt0FWZL/UL+L/StUk9NqkKD+WK8B0L436Fbak9z/Zeq&#10;W7TBRJ59vsXOTjLZwOp5PFJ8Rf2ltatfCX9v+EXghjtbpI7wvbs0jQk7vMTcxXeCuw5AAD/dLMrD&#10;5anhEnblPt1jMDTWjTt21PojRdRt9PH7w7sHqTkmud/aQ+LL+FPBel/8Irdj/hJJtatjoELJlfOV&#10;wSWzj5duVP8AvjsTXzZrP/BQ+wukaLwx4PuF67pLhWkYD6DaBiuG8YfHvxL8QvEtnqGo6ZrWoSpB&#10;HLYwW+n8wjzFLHag4J2BckZxzyGFdUMHLmvKOiKqYzBTp8sZb6Xs3bu9uh+o37GX7YPh34u/DLR/&#10;GWp30FjqiqdO1uymmWNoL+L7ylWI25B3AHOFcDqCB9CTeItQ+2Wd093dGO4vjPCq6tcqjRfZdny7&#10;HwRvU8r3yO1fhfoHx/8AFPwt+Id7460nwzrlnY6kyf2lZSW0gVroE4kyRguc8qck7mPbFe6eIP8A&#10;gqz+0VYfD++8I6X4Mk0JZbXyv7Sg0mdbi3k3DEwZ5NiS7R5e5VUFduQdi4p08cm/YKyfmefj55f7&#10;CK525pu/utXXR6rr+dz9Rxr+o3kFnZS31+lw1rprTRR+ItST/XTMjY2SDkBfTnkdqXUF0q8jhu57&#10;7XJJBcyzzm38VaspzF+6JBE4O4Ky8Y+uK/PH4U/8FMPjP4Y0PbrXgY+IZL6RNQt7zVLxll2CUyLD&#10;EwHyxK4O1cEcMAV+7W9qX/BVP4lva3EulfBnTbWCRboyNNrbFo/OwzMOOxXPQ8dc4yeOVTiBTaUF&#10;Jf4kePyYSSvex9/WHwz+Huj6Wv2rxT498yFrWzWCPxVq7OGhDygD/S+FySAOMEjgZOfN/H37UvwK&#10;/Z919vhl4z+InibS2vrVtQ/4qS7v7wLbtdzMvltPI+xW2glVxlgvXAI+BZ/+C3/xrbWWn0XwB4cv&#10;FjvHuEkvJp2O/wAtkKgo6/J1bnJ3MTnoB4r8cf23fG37QHj2H4g/FH4faa92umx2lrDb3U32eHYj&#10;hJCm4MzK7+aPm2blG5GUlD2YOObVa1sTTUY26O5jUeHpx/du7P0G+Iv7e37JviLx1fnw58UY2hnm&#10;EkUc1ncRyP8AKu5ipTP3s9sZrFj/AG2/2VLW2l1DWfi3aw28aAov2O4IdiSFA/d85IP5V5p+w1pv&#10;7M3i/wDY6+I3xX+KcPhHUPiDpN5q0vhT/hILiBbhZE02G4txDC7AhPtUkjKEGA5O3Bzj5k+MX7W6&#10;6lr1n4TuPg54bvLfQYWgefUlmvmluiczyf6U8qkF+AHDkbfvGvPnwnhMVipTnzK77p39NND57EZJ&#10;hqkudyd3r/wD1H4z/wDBUvWPFHi248H/AAZ8/R9FhzG2sLCrXVzgFSUDA+Wp7EfOCMgjIryjW/i0&#10;/wAQ71b7xR431K+vM7Y5dSu5Gk57Av2z2Bryu+/aH0JvHSeLLz4A+D/OkkjRreyjurdThQGkEaTf&#10;Z0Yj5sCHyt3/ACy2kqc3xN8WvDPxC8Qwza38INE0+yilnuHNlfX4kZCxZISGuTFtThAVjViB8xds&#10;k/RYHJcBl1NRp0l62Tbfe5thsFRw8bRS9Weuaxq2ipbf8TjVoRGR966ugOnuTXT3/jf9g9f2ZrLw&#10;9a6mjfFKTXc3eptrBEEdlukwoHm+Wxx5f8GeTznmvlKdvBOvaZdX8vwwaNVuyYLiz1ZoiFK48so6&#10;OGAOGyNrH5gTyCv1p+xt+xR+zf8AET4Xaf8AFXXdB1Fr5dYMtmLm8jkVliYfI6GMxyIWU5BByOCS&#10;K7qkI14qLT0aejt+T19HodqjGn1Wp4tr/j3wYnjifU/EOsQxhoGa3jGWLu8ztxgHtj9K5qD4r+D4&#10;PGX9s6pqi+XEsgGVbI+Y47E96+x/2sf2bf2fPG2tx/E3VfCp0ptLsfls/Db2Wm2snl/NuaOK1xk7&#10;TkjHGa+NfA3hv4Y+P/F+vPLM8KQwu1jYtqFslzeSENiONZUG4grkqvO0EjnAOnLJHPrHY/an9mv4&#10;wfB/wt+wn8JL/wAe6H4fvPDeoeG5rq4uNe1Wzt3tdrvIzxRXUkZl/wCWuGQlwQh28kr5n8PPiL4R&#10;8aXV3qfhTxLHcaU1xLJpy3Ej28i27yHyY2WcIWkCY3bdwz3PWvhf40fFfx1ovwd+D2i+IvHV/Npn&#10;hXwa0sOlzW8M8amTVb23j4Ygs3lQqv8Aux7jhmbPE3X7Wfxel0TzvB/jDX7WNZHSRU8H2MnQDkDe&#10;CoHOWyRx2wa4av7yV7HZGL5d9j700bw14E+M3xH12y8ZeKY7PSrPwnPf2d4dQjhgWXzoYo5JJGBU&#10;R5kbLcYwcEYr5D+I+haekWvJb3serab4d1Cztn1KPAtrkyahHGCzn7iOgkIbk5C+5HO/DCy1z4ja&#10;JL418X/Ey8uB5kjXUMOkWkH74HA8wRt97O04P9av/tE+Fvgt8JvGlvomh/Gix1yBbVJjcZjljecu&#10;21NhiO7AA4245rkrctKV9bvTQ9XAYOeP/dKUVa71aXr+X+RkWWlyah8VPCurX+n2t34ahazmaWVg&#10;IrqDTLf7TdRylTiMkK4IOCAyHowNeceEru5ur5Zp28yS5uNzqucyMWzngc5JJ6d69otv2ivg5fax&#10;Pe+HdM03RbGbTjb+ItD8treO6aeN4pGs8QttZY5XMbsMoGaM71LiSv4P8F6b8J/iN4Z+JcfxG01N&#10;Fm1JbrTdV+wndLEjZeNkmHlpKuQskRdtm8EF1ZGde1bkoyR7eVUaVGNVKavFfj5M9X/YL+HOofEP&#10;9rDSrHXbbVbebQ7Z7u6v11GXfEIoBaxxpL5SbSFePBiYEBR3RSv6deDvBcfgK7stR0GXVjPYTyT2&#10;0l/qkt1iV4TCXPmudx8tmQZJAB4APNfO/wCy18Uvh98XPiFrXjjw23h9ri1tIoZm0W+EzIHkc/OV&#10;AA3eWrABVAORzjNfQJ8Sqpz591j/AGWBx/48K+B4izepQzT2VObiopaJ2311PyHiTNMdTzJwVV6J&#10;LR/P9Twb4o/8Eo/2Zvi7rE3iDxS/i5bqZt0j2+uKQDjHAkVsccD0HSqP7UfwX8Pfs7/8E+9e+FHw&#10;/utWk0nThZparqd15mzffwZxtAVSSxJIUZJJr6Ot/FsHl5Ek/r82P/iq8R/4KJ+LrC//AGVNe0nz&#10;/La81DS0/eOF4GoW7E8n0U1zYTOK+KxFOlOq37y0b31PHw+aYnEVoQnUbu1pfzPYPC9tcW8AAtJG&#10;XbhWVc966iBwke3ypOVGflrB8N+LNKttGtxJf/8ALJSdqMR0+lX38e+H4yA2oyEn+7Axx/47XnU6&#10;lGOnMjhiuXc0VaNBgK3P+zTl4JkPp1I5rLbx74dHD3sn/ArN/wCi1XufiD4dHyi5kYf7NnN/8RXR&#10;7ajH7S+8rTua01wibmA6jvXIeIpvPv3g+9mZQMfUVZuviJ4YAZJb24DLjhNPuGPOem2M5HHJHTjP&#10;UVj6x4p8O/8AHxAtw0/mCTfJZzIvHA+8g71y1J87913ZjKNSpH3dT5N/4KDeJA/7PWp2EO4zx+Ir&#10;BVz673H/AKCa+Fb2+e9SzFwxG2Nm2sOmWI/9lFfdX7V3h6Xx/wCH1+D/AJGnWOsazdRanouqaleS&#10;xRyxpIXO8eUdqCJnIkGVY4AyUOPkz9oP4NXHw61/SdK8M6hb+IFfw3DJeX3h9murZbnzZg0Yfb1C&#10;qpIPI3Z4BFfqfDUalPLYqe+5+i5TTqUsBBS3Ps//AIJ9+D/Huqfs72lx8O0mguLrxBfJZ6kx8uJX&#10;/tJkO6YwyqgCK2fkbjjjINfQGofBj9si11AJJ4vsGmZW+z+R4mtvnJcE7d2ljgDvx1GK8z/4JQfF&#10;nwD8Nv2ZPC/hP4heMNPsdYk1LVLm40u3kaa5YzXMroPKQFwcEcAdAD3r6y1P9pD4S6BF9rvrDxLG&#10;pX5ZAACA/3+k8C6rHHj/AK6PbKv616saMZTlKS6s9mVoxSR4vp3wX/a5ikdZ7yRJN8rFY/EthJ5x&#10;3goDmwU425HUZPQjmsvxL8Fv21b+5+yxpqDpDEJbaRtb0shZgqbCP9HDD5t3GSQOrE5Y/SfhP4rf&#10;Dbx3qGoReDdZs9Sk01olkltZkkLeZEsgwoJdcA4O5VOQcAjmrb/ETR4r7+z5dH13eBkyv4dukjHG&#10;fvmML+Oeav6vHoiPQ+KfAvwS/aK8C/Gv4iXfiawv7E+JG01rC4OqWCi7S3tZYycmPadrMqjGz8eC&#10;NCew8epFaiyg1CS3v9UXTbVbi9siHm8jzfLJG3HzhiCdowuMjrXvfiv4+eDtR/aSX9nrXfh9NJrk&#10;WmQ3+ki4ltQ19bOsrS7FldceX5LblySwzx8pryXR/wBt/wDYcstSj+z/ABPWOzj1+S+tfP0u9bGb&#10;YKG/1PQOWUKCQBjtXmZhia+FsqcW/RXO/C0sPUh77scFNf8AxE8K6w+n6z4buV1BvJ8y38m0lERZ&#10;Q3OJ8MCCT+VRWnxN+Mlrpc0Oj/DvVZGura3aO4tdEimjkZ5GVsSC7yCcH7pH3T0619E/AHx98Df2&#10;kL6/vPhIbzWLy1hjl1i4+zTwwxP5KxrHvmRY92ExsByQHPQsa+ffjH+0B4M+EXjzVfAEPwb1bVrj&#10;w9NHbztYeIZJJDIlw0hjLR2LW5CmZ1wJWK+XsYhlYVpgMVWxWkqE76Xsv8zlxVOhR1dSKXS7sY/h&#10;XXfjTqGoTaJJ4ausJcQvNnSbbenmPsPDaiDyMY/HOOtepfBX41ftZ/C/RNX8f+B/CV1bJ9huotSu&#10;pvDds6wrDJvOD/aLbSAvLeW2DnAY15Z4T/b1+GWk641zrn7MHji0+1SIRcpdC7+VDvOBJHDhjyMH&#10;IAX73U16HpP7Y/7NXiT4V+INJtvEHiTwzcahBqSppfiDTZoWlklDFVLQeZHtJZfl34BPIBIY6YiW&#10;Jp1taM0u9jlhWwstqkX8y9+yrr+teLte+JfifxHP51/fePLq4vpmjEe6ViWY7RwuSTwDxXX+KfFf&#10;xK8N+L7i88ArhbHw3cXN439mtIAoDcNILqHAPPG0/czk/MB5R+zZ4rsrmLxzN4W1OdYta8dzy2d3&#10;bxlWELMmw4fBGRIhwRnB5Ga9j1D4m+C/B1hLofj34gR6VdzabN5ytN5bXETDYu7aOcsJQM8devUd&#10;ecVIRy9OSfTYKNPnq7nlHxS1TxzcJJrutahZzNHaS+ZAmm/6uRsOuT9qbvxkfrWN8Otc8QwWEFxc&#10;aPDfXDXSLbrJY4/dshcsN0gwwIRQQQTgdMDPql18Zv2JLu1vbS/+M3g3zrmOZfs95r8MbbnX7q7y&#10;ADlmxgcHBwMVBb/F/wDZA0/XFEX7Qnga1jhvgIIG160xFD5JOBuY8bzjuAeg9fk/r1NQcXTl/wCA&#10;v/I7fqnNq2vvRR8E/tF/Ebw091beFUlmlkWWGT7HDcMxmMTuEO2M4Py8DtluoBNR+Jv2jPid4j1r&#10;SfEXiHw5qDx/ZUGoFrHUJVBI5DCOyYbeh4z9SeDpr8dP2U9U1e3i/wCGnfBsSrqf2hprXxDZIp/0&#10;UqjuQw3HopJPLD35TSviX+ydplmdBvP2kPCOy7tYwzf8JbanYyDcQMS/KQwA5zncR6msniKcY8qU&#10;kvJSH9U0tdfgcnof7WfxQ8M22pNN8O2sba7sbeTTLqbT9RizIZhskjZrFFDKVJGWTO48nO0zaJ+1&#10;x+0bbfCTUfhnbeEZ447zUIXVIodRMissjqPvWI+YOiYw4PyAcjIF34gfGv8AZs1L4aXmn6d8d/B1&#10;1drp+nC2sJvFlq8kcgmVpWRjK23G3HHG0ds8ddp3xu/Zbtr2afSvjt8NUSDyMtceKrLzp2+0TFnL&#10;CQhsJsOMDGdowMglXGS9nBqM3q7vXpbuaUsDzRfvpW1PmP8AZI+K3xK8O/Ev4pJ4W07/AEzxBq1y&#10;l9btcXMapI+rXibWCQ5PMrDDKhzxjJIrpfHfxB1/QrD+yPGXg5rW8uNQhuYLr7XMJlH2n5gp8kbE&#10;KgL3zkHGVyMH9ljxr4Ut/wBpn4leIoviN4b0/T77xVcTWt1dX1q0NxA2vSyB4mfKMvlMJNw42Nnn&#10;ivorxTqfwq8ZxKLj4jeFb7yZrRXEOoWhadllIZsqTgYbcOgXtgCvSxX1X2ydS6aS0s3bTc5YUak1&#10;bseUeHvjN4ltNUbxfoem+dbOskUdtHqhVpXd1TyTlBjJcqRwNrkZ6112o/FbxZr3xNj13VFujJf6&#10;tEL3UpNUhG0NKPmPmOqk8A5ZgAcEY4I7GPTPh5a2tjD4e+Inh2OC31S2ldFvISzfvHEoB3YY7sSE&#10;9CSe3TY1e88FxQRtqWt2GoXMOtQTQRw3KrD8swOflIXbhsnJIOOcgGvCqSwdOWienTXUqNGUUzjP&#10;2tP2iPh34z1ybxP4M8Yf25/ZP2S3uJLrWLK3eWdW8jzh/pBJLCFCT8p5zg5zXATfHmLxzpun+ANb&#10;lhi09oYUu5pNct3iGyTy0EbxyyANl2IDgE5IGcA19F6ZrDx6idPSLw7Mt5q0fmC2wXkzesE43Hcd&#10;pyCc5A4HIrkfGWraZ4o+Ielw2ttp0PnQ6rGuu2dyBDMn2mOTZGyNk7jyJgVJ/eGMjKyV10qmDrSc&#10;+Rq2u5PsnI+fPi74C8LfCe31bxbbrouq6xa6w8dxDc6/ZyPZSSDerPbmXdJKNzI/lh4Uf5W3Muwe&#10;O/B74gaH4GjvZ7+P7RH5gt7RkukMqru3KB8zMwITDYwSAFDnOK/QXxHc+ArLR45dE0Tw7dQ2q2kV&#10;rp819utjtndB+73sNgRm5CnbtGBxis7wx8Gv2Z4dfvNQ0f4ceFL52aHZJ9oDRw3JEqSgA7tpClMg&#10;cqMYAwBU/wBrUa1Nx5HbYpYVX1Z8Y+JfEdjq99Z3Ws6PJINQjP8AZe64gTyZOSN/lSDy1YjDKMFf&#10;vgk5xxHi/RLWG8j/ALTtJryEMsiyW8xby/kySCy4G9TG2SCAQSOtfbvjHStI+HNwJtL0HT9R8M+Y&#10;Z9c8G3UsRj3SOd72YkIEb4zuhACtt3Da5HmblxP+zPq/w60fRNMj8N2dnewwyy+XeJbZbyH8tZcg&#10;MoLBTtfHU8AtzjUx1PDx5opvyNPqsOrPkHwV4e0PVPC15YDwtaWNzplmpk1H+2fLkTfGDuYyT4Vs&#10;7JA4KhW5GBtqp8Rfg78OBoVw3ifwlNfS2liWKmaSeR9iNjYdxLtwwUjJJPHJr6wtvhd4Q0D4b6n8&#10;O/7Jt7e6u7xUvNXGrkzMn2VZfMiY4DfvoyDswfnwDkg1+eH7U/hD9pL4V/EzxZ4H8AWfjK5061u0&#10;/srULG1lvEuV8mArKtyqEy7yZcxlj5IjRBxkV25bSnmUpWly27nq4HHYfLIPnhzKWn3EPh67+HGj&#10;2LeHbnRdRsZJ5GW2+0aHcxG0lkVCsZ5Zm27/ALxBONpxzx4/8cfi34rh8bWsXwn8b6ouj/Y44obj&#10;akaGYOS4BmUMMbs/MeOeQOnbfDf4g/HhNXuF8fm/t9QW3zt1qwELXcKZYLtli5ySwDDGM45HFYHx&#10;X+Ifh+L4ialp3iK1Nu2ofZ5mWSENGGe0hBRsAZOc87dv0rv5fY1rSXNY93mp4jCe7P2d9U9v1OL8&#10;OftW/tG6HFP/AMI98etfsVm2pNHZzRRrOuflBwAG5ccE9/QE1PeftU/tJz6PDcXHxavplbiJWW18&#10;7gLkkKPMC/MMFgAcnGfmxauPgt4M8S3drYWF4unpdXSIXW4byI2cjDsu7gDIbAxkAV6f/wAO0NM1&#10;O5k0zwj8fvB+qapGskjWthrBeUKFORtVyV6eh9a9KhjsPHWF4/Kx87isvx3Pao1O/ndP7z33/gmx&#10;onhT9rD4U6p/wsbUru68TaDfxx6nG80sRe3mUtBMCpCkNslXA5HlnIAIz9jfCP8AZN+G/g+fUT4e&#10;0eVTdRxtMjXkrAlSeeT1569a/K39iHWPi7+x9+3V4Z8G3DFRrGrR6JqULsfLu7S4lVSeRkgNskHT&#10;5ox2yK/bT4W3NpqOtXVuifN9lLkfRh/jQsRX5r05tX13fU5cRSpuPvwV1ZWsuhxF3+zD4PuZPOks&#10;7nd/DtvpgF/J65T4p/CvwV8M9MttVufC/iTUkubsQCHR5p5pE+Vm3EeaOPl/PFd1+0/+21+zP+yD&#10;pYm+M3xCtrbUpo99j4dscXGo3Q5wVhByikqwEkhSPII3A4FfF/xA/wCC+/wQ8TWP9nab+z14v3w3&#10;m+JpNagt96YIBJj3FSQc45Huetbxr46WvtJf+BP/ADOKWDw/LdU4/cj2Rrv4cugST4UfELaOitYy&#10;8f8AkeqGp/En4E6Z50WqeAvHSyW0kaXFvHG5kjMgdkJRLrcAQjfNjHHuM/PR/wCC4Pgq7lW10P8A&#10;Ze8RXkhbBX/hOWDH8FgbJ61l6T/wUT03WfiXear4j+A2uafca9Ywsmm2/ixpJx5PmhW3mKMFSXbc&#10;GYFducNnFOVbGxV/az/8Cf8AmclSOHpxd6cb+iPo7/hbX7PCRDy/BPxIVV5+aG5yADnjN1WPY/tT&#10;fsajXL3RtXk8XaSNJtftOoXesNPEltECozg3BeQnI2qisW7Zr5/8aftU/GLxlcSW/hq8h8JWat/q&#10;bHUpb66K/wC3NNiIH6RjHrXjXivx/wCEI72TVPEN/da1rokw19qF8buQj+6MjCnpwGxx93pifreO&#10;29tP/wACf+ZyqpSl/wAuY/cj7P8AiP8Ati/sv6IskHwi8OeJPGl4/CXC6ldafYnJx/rZj5h/4BEw&#10;OOtfPvxA/aa+LfijUHgg1ZfDNkMqtroc80suPRprhnOR6oqfhXio+NMmqSLa6fH5cKru84xGY542&#10;jy1OBk4/Ounl/ZS/bU8ceFpvH03we8X2+kwwtcG+v9Dltohbqu5pSX2/IF5yoYH14ranjsYv+Xsv&#10;vf8AmH1WFb3nTS+RS1vXvDlpqTa1qOqT3t5K26a6uJWuLhz3Jkckk/WufvvHySyhdNspNi9WuG/o&#10;Kbp3hXw1oOrra/Ebxe0MMnzyJZWryMq5/vBSM/Vea7J9U+EWm6Fq9t4R8LPBJK1qNKvNasZ7i8kY&#10;El1jjRTEA33tzOpC8Y5OM5S5nd7nZSwt47HFjxVrLjesMmDyMKaK9FstU+OMNlDDZfE7xxawrEoh&#10;ttt1+6XHCfLNt4HHHHHFFZ8sTb6n5HiS/EPxX9pE1xqXnR7cfZ9iIi/TYq/rmtfSviTozyw2erWO&#10;+G4m8jULPcG3KyttcYZclZAjjkZKYPGa+3/hh/wTu+CnwO8N6h4m+IHg/VtWWdVlhjby7r7PgYIA&#10;VyzZPbBr5C/bMs/hBp3jK1m+GHgq80iOQsy6heR+XHejLZwn8JRyUbjBKnGQNx4Y4jCYrEclKL06&#10;n1kY47B4WTqSVnumrv5MpeKNTitIG02xdWabiOSEna0Z6sp+mevQgggdKr3d59jj0GbxDFNJp141&#10;4i6H4d1SK21BBDHHtmaaSGYRoN5csY1GI2IYYyOR1G88RprEmjafra29rply8dxJJaLcQmXdlhG8&#10;cg5JGP3LZKKMEgA1a03wvY61r2ma7b/E7UG1CzlWTTYbe6ijureffnzEMZ8yPBQEYDMNoPWuqnhO&#10;XpcnFZ8q0ZuF4ydkrW0S6XvdX8jqNUf4Oy2jWSS+Mbq1mhZNTGu+PINUV3C/KYNlpF5fzcgkyDGB&#10;z1PZ2v7R/wAC/Ef7Gt98KdX+A1nceNtNtPs114pa+uIWEQlRre5RBKUkcqZI2UoFIRGy24AcBdeA&#10;/B+ttNqZ8PTzC8mkZbjSbuAI5BJZkhWIBFGCDtjUA8YGCKdr0XhTUfD+lmw0mCRdNsWsyy2bwXF3&#10;A0oZVlaIBZSrH5X27sEBmIC4v2bjonbVHDTxlPFSTrQcuVNd91u3/deqPQtPTwafh3Zz21zfQ6hN&#10;HbfZYJGSSPaYiXfflSjbguF2sDk5Ixzg+KjNr2h6hoV47C8mgaPKht02eCcEk7j3wT7epd4Y1/U7&#10;fSLiyjvU0Mta/ZbeO4tYL+NFUKAcTo5Rht/g2N33DJztfsffD34h+Of2itCtLj4reEbaKz1JHa/8&#10;TaxFZ6ekQPzFt213Yg7VjVcl2BPyA5dOjWpxlKTu9bf5HPmVbLcVjE8FTdOnaKs9der+fY4X4Mfs&#10;e/E/4jeMF8MeEbKOHcwE7XDNGLYd2fg449q+orL/AIIw6zFpZ1HxL8WYI/k3sYbbzMevzsy8fgOc&#10;9q+uvD+g/D7wpP8A2hoGjKv9oWaubqS6zczx8+WS+cn5CuOT0HJ61574r+GXg64fUPE+vSaxfSXE&#10;M6SmNyoiiYNgu8aDeiZXJZ/MAXqFLZ+YrZ9jK07U/d6fM9yhkmDpx5qnvfgj80Pib8NtJ8DfFnWP&#10;AsPiWO6j0W4e3g1K3jH78I+N4w2OVdecn2rEt/COgJP/AKV4hugvLNKLcSSE/iw6/Wuo+NXjLRPH&#10;nxQ1Hxto+gQ2Wmfamt7GG1jMPnW6qwVzu3NvbCMd2cD5eAAByF94x8MWbpCNCvZC33gt6owMf9c6&#10;+yw6qSox5t7K58jiPZqq+Ta7sctceCv7Uvta8QaH4t0sRaD5KTWt/MI7i68zf80Sc7gpRQ2CCC69&#10;QSRzGpxRaVJJpkeqW80khy7mQoEHUr8wGDmu18BfD3/hcniZ/BXw/wDhr4m17WLgySLpuiqtzdSK&#10;o3MQqWzMVA6kdutd/P8A8E+v2hDqVnZ6z+zl440+9uo3+y2fiBRZG7WJdzkLNFG0m1OTtyQvPvXQ&#10;ubqYJ3PDotd1uHS4rHQLkzKzfItvbtneevO3LdccE+3Ffe37LXxLTwF+yh4Zm8R2GyzihlVppLiL&#10;Lym4lJXYCckMGA7kLk45x4Dr37Cn7QOjRy6Zr/wi8WafaWblHjk0K9FuSGJ5kjtdj8k/MWJ962dN&#10;/Z68TfFS6HhTxZeyR2+lyQxLfXV88sNghjObaKIIpyV8s7ScoqKuR0rJVIU05NlwpyqSUUei/FP9&#10;oXwfr+k3zaHplzeSWdtM7CeNVQI0TxuwKXEbEBXPQ5zivkseJLuw1+513SdBsWudRkkMiHdtiMvG&#10;xSG39T3YkjaG3ZIr70/Zz/4JK/Aj4xxXOlz/ABEvvPgT94FaNcqe4yrZ+nXpWx4s/wCCDnw90HxJ&#10;Lr9/+0zqWl6TBCyxR/8ACLw3jqW3DLzPdQKmN3Hy4z1xXnxznByr+zk7PzVjtllOLjRdTlul2Z8W&#10;eIdMt/G3w6+HWg2OswpeafDNoF1HqM6W8UQTULm6hmaWVtnlsl+q7mwQUYY+6Tz3jXw/HYQQ+GdS&#10;8Q2dst5bBvMhv/PjG7c2xjFnbIMbSvBU4yK+/Jf2Nv8Agnf8GJo5fGv7U3xCsre1cur2HiTTIQsh&#10;wWZRB5zJkqrEAZJHJOBXH6rpX/BD7wnJ9ruvjN4r8TG3UrHa6t4gvyqL3Ci10pQB2AV+AetdsY8u&#10;xxXR8N+A/glpl7eXFle+KLjzpIC1jNbqxiRlOQs6Y3MjYxuU5XurA/L2Xgn9mHxB47+Ivh3wz4s1&#10;XTWs5NQW3llsVkXEe3dxuVSTgEZyfXtX2FYftdf8ENvCytBpf7Pl9PPuAN4t5rN0pOMfdlu4OPba&#10;B7V1X7PHxu+BS+JZvBviH4O6T4c0nWCuv+E/F3/CGNFPFpN9dNb2cpkaSRkiYzRrsYtuJO5mVSaw&#10;xPNCjKaV2lodWDh7Ssk3ZXV30R2P7Mv/AATO/Zk1S21Ox8a+Htv2eVfsl5ZxxwnYyfMrO4c55PIw&#10;cZORmue/bB/4Jqfs46T8PYtb+DVvqGkx6XqW7WI9Ju5byN4WyHl8tiwVxjOQVGFbd0BHqGu/tx/D&#10;n4babJpPhL4UeJfEOj2d59mXXtPvEs7Zp8dIyZUlI29wgGBxWDqH7c/wd1Dwrc62mk23h3WtJWW6&#10;0e68RQ3FzIJC2I3b7MC21QcHY/mHMhJUEkfK06uYSxEJq9rrT/gH1lanl8cPOm2r2dvXocz/AME1&#10;f2VX8HavrmpeFfh74+uG1C1tzcrrnhofZ49pYqYpoXdZGO9sjgjaOOcn7Bsvhj4k17Sotb8P+H5/&#10;s80ay290sxhikQ8hw+4KVI5znpXwBrX/AAVX+Mmi60upa18RvC/iLS7xZIZLPR7jVYyEzjeft87B&#10;gRn5CRkEdK53wb+334Z+FVte+BvDc9t4w0XTZMaXqviSGwtbhbby1xEiSzSOFVg+BuJIPb7o5c+4&#10;bw+PxksVJzbdlaKXRd36H4/nGR0cViJYmUpPbSKj+r8tT9HdZ+FHizTbT7T4kvdItIRw1xdePhCi&#10;/wDkTNeUfHX9myD9pX4dw+E/h78afAUkiata3UzJ43vL8GKKYM4At4JcscYHvXyna/8ABXa5s4Db&#10;2PgtraNk2NHZ6pFChX0wrAfpXgN3+0x4a0fWLI/Du78SaTplnfC6bw2utRtp8cCuZHRY1TOCcdWP&#10;Vietefl3DuFw+KU1h6qktU242v8AJM48DlGX0q3O6dRNapuzT9bLQ/V7xCng/wCEPgfVNf8AFnjT&#10;VmbSdKnufs2l+HdQuPOMUTPsR7i3jXJ24BJ/rUdn8U/2cdV8Paf4mtfjbqlxFeRwsLeVdJ0+SIyk&#10;qiut1cBlJZHUZUZKHGcV+eeof8FB/hXrHiqz8TeNPh/Pe3FnaNbxRx6s81s9u8iu8UsCSGKVHKJv&#10;SRWDhFDAgADUi/bj/ZYn0+90xvhDcWNnqEs8s9jp9m9vbK80DQOY44wqQ/u3dQECgF2YYZixy/sn&#10;D0Yc39nzbvtzNr10a/I544HCwp3+pycr7OTtY/QK0+IP7L2rRSTaZ8WL6SSGSCKaObxdpQVJJpPL&#10;hUm3tZwDJJhVBPzMQFyeKz9B/aj/AGS7a9k8PXviXwHqlws3lrJP8Rk3Fi2wJybVS2442jnPcdK/&#10;Jz9tT9pb4f8AxJ02x8KfCTw7f6VHdXaXWpXk15OxnlCPEDsZtoba7bpMF33cngZ5D4L/ALK3xW+O&#10;GvyeEvB+kNJNJZySxO0YX7RgZK/NnJxk/UYyK93CZDh62D9rKlCi9bc0HJrzd5f5HvZXk9HEOMp4&#10;eMb7R5by+93/ACP2W+N974v8W/CzUNE/Z68JaPaa/fwxLZwtZtFJjzkMirdTajiJmiDruVkI3fKw&#10;bBHhfjjwb8apPhHp/wDbPijTdD1K31CMzWrSarfoBM6xlJPO1STcVL5HzunUADOa4T9nn4d/HL/g&#10;mf8AC2S1/aC1uK88J39xGNPs7G6e5OlXTBnIJxtjUhWBC5QuqnILHdmfHP8A4KHfCPV/BFxbeG4r&#10;zUrz7Tbzx29nayNvMcySbd2MDO3vXjYipmlDEewwlOMkmvfhBWa7Ws0td9WefmNHOcsxX1enQSld&#10;vmUEtHa3T1uzyf8AbF/aP+M37Pjr4bfxd4V1VpLS3eOJfhvo0cg80Ftoklt5pOg3fe6cH1rxnTf2&#10;5f2rtI06YeHfi1rXhvEOz7PociafgDnB+zRxcZ5xiuX+Jtt8Q/itq1r8RfE3h2HQNN1zV/K0/wDt&#10;S6WPdIScuylgURe7ttX5s5OSa4xTGkV9a2UTSbM7QsO3cdo6KCcfnX6Hl9OtTwsVW+K2p9Vg5YhY&#10;WKray6n17+zB8UrL9o+XTPDX7SPxR8Yaz4hmze6TqlxrBupFXaomixdeZHgxl23Khb90ykgE4+8t&#10;B/Zy+B2j24MPwx0e63KP3l5p8c5f8XBz+Oetfjd8KbPx/o9xo3xE0GD7NJpF9HMt5cTNxhlKo0ZP&#10;3BypAHIkINfrT+yZ+1D4P+NfhBtJS4a3vNIt4WeOX7zQSKdvsSjLJEwH3Wj5xkV1PdHZKWlzpdF/&#10;au/Zs8JXslloH7QHg/R7iRY0mt4PElvayFY1CxqVDqcKuFUY+UcDA4r0fQvi94i1/SbXX/DXxDur&#10;6xvIVmtby21Jp4Zo2GQ6MGKupHIIJBHIyK/Jn9p79nzTZf21/ENhpXiyKx0zVvGFrcjUvtwWayhu&#10;Vaed0iILP5ZD4YEKojVTy64+69U+L9rq3w4WP4UySeHfBGl2K2Vv4klhMUl0iKqrHYJJ0RVXBuXG&#10;zjEYf743b5Y3Ba7HmXxq+E/7TP8AwUA/aG8VTaX4tX/hF/CM8Ohw6XcawbAXQTf5jTNGMyqsplCq&#10;x2qH4A3Nu5P4of8ABLP4kfALwuvxJ8M+L9FuYxga14XsdUed4AZMCSIuvJUkFlGAVyRkgZ5fxj+0&#10;Vqfw90i68LfBdbixtZmd5mtb6SSSbI6s7s0jAkk4LHknNeH6hq/7R3i2/uNTTxDeQgfP50lw77sA&#10;HdwTn+nH1rypRxFSt7RySXa2rR6UZYb2KXK3K29z2b4aeNvir8O/HN6fAl9rWk3kOgyXN5c6bqAt&#10;JljSRRuDNgHacErwSCdpyBXsSeHvDGnXFpa+PbOa+1XXLVdY1TxA15M0jTTsGmZtnmvO29yzsuc8&#10;lS5ya+QdA+Nfx18F6dcaz4q0hta01rdrK8unUsvkyE5HY7SN3IOMj2xXqXjD9puTVvge3xX8GtDH&#10;qGm6D/ZbW7MN9sXdIopUXPzEHYxORtCHhs8e/l9enTo1FFrmtpc+Lz7L62JxGHlJN01L37dmnbbX&#10;dna/E74i/sr3X2XS/Avit9UaETNqXneLBCJJo5f3MMcQuUkUMMM5YZQ8KpIDA+E/w/8Ah58ZfF1z&#10;oWjeAtPtbq6t5Lj+1L3xFqKxhtwLFG89wxJbgEkkhmzXxb4Y/Zti8beCdF8U6frM8dxrEFzM26MM&#10;gKTvGMfMp52jPua+kP8AgkDB4b8P/ETxVpfjHRLXVm+xxw2v263E0cGyabzZTuVgoCQu3bcdq5yR&#10;Tw8a2IxEYTe5njpYHKstqToK3Jrbd7rvc+0f2QvCI8M6L4m0Sa9juDpHjr7IbiKUyLIEjhG4MeWB&#10;MY5PUc1vfH74MXnxZ+JGkXdv4o0fTI30eGGabVL4RbcTTOWA6gfOOeRkEY71T/ZGistWj8fXmiIb&#10;ewPj6S4tYfKVNse0bF2jhcccDgYqT9sf44fB39new03xl8S/hDceIrZtN2Ne2dlZzNaxpIAob7RP&#10;ESC0vCru53ZxkZ0dODk1LZG2KxWIp4CNSk3zO2yu9rs8xf8AYZ8I+KvFrS+I9L8K31zGkiSX1xr0&#10;iNIi5K48plXJycEqTzj3rivEX/BMaLxJBqGseE/F1vp8lqUMOmyazFcs4LYIQbVJx7txjv0rX+H/&#10;APwUc/Y78f8AjDSPC/hz4Aapb3WtXiW1ldTeGbAIrM4TcxF0SFB5OAeAcAniuo1H9uD4JeFPiHcf&#10;DtvgdrzXkevTaRG2m+HbIRXFypb7pN3kghCRlQemccihYXCS1TS1tueE84zanLVSva/w9FufCvjL&#10;wF4n+HHjW8+H3jPT/st7p9wYJFkhKq+BkOGPUFSpBx0YGobvSbxxLcaVdPM1igMkO1hsXPQcc/pX&#10;un7bfhi5+OHjOx+M/gu/vm0URw6fcaPqGVk0uZhI6vjeVKSqjYZT96FgwBUZ4Pwh8OGu7lbjWpY7&#10;ext4G8yOPP8ApHPVj/dBrz8RTlRrOHY+ty3GxzDBQrLd7raz6o4XTB4j1WOOK1lt3kVcSNIQzovp&#10;xzj2rVtIdN8G31x/wlOnrFBZWIeS6kk2hT2IRjyScgAAnjgHoey0/wDaZ/Z40TWYfB0UEiBcR/bI&#10;9L/dlvXcDnHvirnxT8e6Ba3EyWVlDI1n5bWt065zvLAbz7DsB0c44BJ5T0IRlLZnHfAn4u+E08XP&#10;4Z1n7bBNqDs1ktxZFY5N2NvIGOexxt969ZayuIjJc2VsI0kf5nVjhvpg9fwrlPhHP8L/ABZpcOoa&#10;lalvsJ2Q7nCRSo2CTsTBzvHHQcdCDx11x49uJJYL6XT5Bo80ggSS1kQvBMWUBHBXH8XXPRT1xkkp&#10;GjpyRk+MNa0/wZpR13xRczxW8bfvFUEyP/squeTjP4DJwATVPwb+1R+ype6ilhqnhL4hzXDRgO0k&#10;NukbyDsoWTcAewLHrjPSvcv2R7H4WfF74x6bD4n1+00G6ksbu30i61bTmlV5HUxMDG0qxktt2bj0&#10;3spBMgrnvjx/wTi1E/HDxh4K/Z78Q2d1a6DZ2jLppBicahNbpN5QYs37tQ8Tli2W80gn5STx1J04&#10;351ZaWd+ppHDyqJcmr7DvDf7SH7JWhR/8JYPhtdW8lruZZdTsWuJEwPvKPNfnBzkDg9O1Y3hv9t3&#10;9gfX/iJHpPi/4LeI7Gxn2xyakmnxwJA2fvGHzmPlgHcSBuwMBCcV5j8A/Hut/DP4k2Pw9+LV9psN&#10;5H4khtrybXPDMK3mkXAmClvMCrLhWzlSSMcqAQDX2B+3Z8I/gjr37MXiT4l+PtL0aTWtHt/M0XW7&#10;XTxFNcKZNkEbPnc27eqgZ2hjkgAYrlrVfqtaMJ3fNtqzanhfbUZThpbdM9q8D/sL/szXFiviLRfh&#10;X4Z1Cz1S0jnttTXN1HMrfOkicKu1lIIIJB6gnNaN3+wX8HVsGXS/Anh1ZriTzbqaHSI4mkY7QT86&#10;y9h04Ge1fm3+yj8U/wDgot4v0rzf2fviNrk+meE4kt7SzuL6FrMeWoK2winBU/IQBxgZXJAxj7v/&#10;AGbP2sf2nfjz4NuL7UbXwpouuaLrMmk+ItH1Lw7eLNbXCxiTdj7SMqyOrAjg54yPmO1T6vCThfmf&#10;ZPUxp4epU391d3ojm/jp+xfN8K9Fu/iHoes2Nto+mq9xfW83h2wuBDEDuPzu9uMY+XaBnHqcV86/&#10;GfxT+xz41sbfwTf/ABr8N6TdCfbNcjwbdlGcShso8bmNU+QLuJfILYYbjX1x8dvBniX46aVb/D74&#10;6XWn69otjN/as+maBYXVhiSIbU8yTzZd8eJW+XrvCcEqceNftaf8EzPhZ4m8Kaf8UfhbbRaHZ2th&#10;HFc6GliztMSSwkVnG4scgHcOgHTgDllWwsZ8kk162OqWX1PY80ZJ+l/+AelfCL9mHSLX4dafqcPh&#10;jwxr7Tw/aV1y0gt1tbuFyXjkUKjrgIyqGDMGC7sjNfKXxJ/4KR/sw6B4j1TQPCf7Onh/xJNp989o&#10;uoX2josdzsYrvjcEkIcErkAsDn5cmuD+HPxB/aJ+EWteM/2H/h34yksNF8YR2+lql5JLttfPdC8s&#10;KAgo7xPKhUDDCXpuCsv1T+yx+yt4G+HnwGtv2efir8Klmm1dZn1a/mhZ1vrln/1iAoDhF2ANxs2q&#10;c7iM7VqtPD01K3Nft+ZzYXC1MRUcHK1u/c+DP2l/jfqvxe8VWfjPwr4I0vwPJbae1pDB4f0nCOhZ&#10;izNksSSGwSMAgDjjNclf/Cr9qHXvAF78cYfC82oeHNH8qC78SaftVIGTy4URgrBg/MfyhQQDk461&#10;6X+1J8Afi7+zl8Xm8AS6XHrFjcKbjQrq3YMZLcs4VW5yJFC8j0we9d5/wS71LV/j7468ZfBTxRaa&#10;pb+Fda8KyWuuf2fMsUUdxLPFBHJMXOPkSSZlIBbKcZxW9WdKWH9rTSN6Ea0cQqU27Pc8h+Bnwv8A&#10;Ffx18Hahrfxd+Nc+h6HZyCP7Zq2omUSy5GURGkDNhTztGSzxjBzx0Xjrwv8AsceBPBMPh34c+KPE&#10;mv8AiG1uEZ9Zl01LaxlXPzBCZFmU8AjKH9cj6K/ZN+A3g74D6BefAr9qLT7RdWbXLxLnTb23leF2&#10;jkxnjdHKDHJG6soB2t8wBjBq/wDt7/sGfAbw/wDB9fH3wS8Jz6bffbI3ur7T9Qea18khgf3bMyjL&#10;FcbQNuD+Hnf2hThi1SqX122t8z0pYWpUoc9Ozt9/yPji8/aX8cw6rpupeLNX/ti60S/iuNBupLWJ&#10;7y0MbB0YzsvmNhgD8zHOOcjivoX4b/8ABV/43anpl54bPi+80i91C1aEa9HocXnwAkfLGUWRFJOP&#10;maEkdiDzXx5r3w21jQ9UgintpruUzKf3ij5+RgfjX6efGL/gkP8ACLxR4Lg8S/BaebwbfXGmmW7t&#10;5pri7t0mwu1FDOXVCWIJy20DIHUV3V5Yag487tfY8uFKviL21t3Pzn+IfgD4h+JvHd3rWsfEp/EG&#10;oX15I+oSXDXM2pGb+/P5oZt7ED5pGGfoK9T/AGXv2S/hN4n8YWY/aC+PGk6BZ3DbYtNu/FFvDfTn&#10;cAG8gyDYucjcHbn+AjJHl8nx6+zaNeWegaBDDZ2MaxtcSFDEH3YAWMAA9D1z+HAPYfD34Z+ErH4M&#10;+MvjTr8Cz+Lo447q307ULbzP3NwY/Luo/wCALiR22lWOYiMqOmuIclR9yVtlfc4qEcRWre8rLXS/&#10;Y93/AGy/hD8Ff2ZtNsbf4D/tA+H7zVJFWRtDGkrd3Do3SUSx74d2NvyyqGYfMGPC18ra9428T6l4&#10;mtfFWuXcd1ehpTCskKwtlvvDbGFHYHGMCuNsvEOp6pfm1htPMY/e2pzn1wOa6Ww8J+KvFHl6B/Zd&#10;1DMpytnNblWGf4snnFXRpyo0lGpNyfcUsPGpLmSPRPh/8MfiT+0Hem00/XfLt4I0+1/bdSUKDjoE&#10;RN3tkoQfX078fBD4Y/BOytP+F0fES6vrJbjcuklZo7WY53FXWLLkf7a7D9Ca8zHw8+Lvws8LWnxG&#10;sv7fsbRnFpeaxpLOh8vJ3DcmGJXkYBByGAIOa+oP2S/+CdfjD9oi7h1f4Y/E9vE2lQ3Ed1qFjcbE&#10;sxMDg+fumIaXh1w2TjJAI5rlqVOWo0noehTwdGNCM0vJ37+XyOh+GX/BTv4BfAqwkj+B/wCzZ4N0&#10;S8itmgtPE0emXZvCrDGVnlSeeQg4IWQhenbNcn40/ba/4KC/Hj4fy6R4u+LCWei3luUks9N023s3&#10;nRtwYSyRR7yCDtKAqpGMqec+xfH79kfw5+zLbR6j8XdE8D6Stxj7Oj6hp7XMyk43pAG84p7hMA9c&#10;GvCde+PfwO0MLpGmSTeTCx3Np2jzeWmevRAOvpk1fvlSo0e55b4a8C6pomtjXPFjW2obXLLa28KQ&#10;RrnrlUUBiTzyDzXe6j8Tfhivh/XNLj+EdhbTanpVra294scObaaKUO0w/djbvX5SBjI6ntXQxWvg&#10;7xnYrqWi6ssqModflK/gQwBB9iBXC/EzwymkRfaoQNrKcrs9jTjKV9TOWFp8yke+eBfi78LbDwRo&#10;9jf2Fq08OlW8czNpsLEuIlBOTyee5or5EFxdgYFw350VpzRL07n1D+0X/wAFIri4um8K/BPXI7Ys&#10;rLea1fW4YIRjBhRuHzyPmU5HQYIavlHx78XPEnxN02GLx/rgvv7NaRrXzNFtreNWkbdIURIcszth&#10;j8pOf4sV5ho/xE0fO1rLbMucXMkhdj+Lt+PFVtd8bz2rNqEMv2jPKyGQlkOMZHAx+FaYbL8LhI2g&#10;vm9zmxWY4zGSbnLTstjY8TXuoWojgutGtFhjt38lDbCOeNSck4QnaMY7D1610XwI+CNv8aPEC+FP&#10;BvjHQfD7Xyqrf8JneXccAY524NvFuJ4bGVI4OelO/ZAttB+MPxWtPBXjiPyrBm864kE3yGNeWH90&#10;sRnAIJzx3r7u/ar+DPwv8UfCKxsfhFoU0d74VKWunXEOmTwyLC4aV13S7TNG2A25c4zuUMThssVm&#10;NPC4iFKS3/ArD5fUxGHlVi9unVny78bP2H779mbwrY2/xT/aX8J3F3bt/oXh/wAI6LO11erKxJYz&#10;zRR/KCPvEMFHAHSuAj+IV5Fus7eymWGRVI+0N5jDaDjLPlsDJwOgJbAGTXO+MPFhXUZJdI84tMqi&#10;PzLgvsUA8jd93qOn04p/w28Ga98Sdejtbd5ZmDYZmy3H93pXZJxWr0OFcz0R0X9p2OuxrFcWi+cz&#10;fuwgcSE9wCGOT+GTWdrOgXUEwt7CORbg8JDcKdzN22nHJ9K+ov2f/wBj7wzq+uWM3iTxFHYeXdQy&#10;zXV1MsaW7K+8FyTgfdPv9c4r7P8AinpH7Peg/D1ms/A+h6tcWvl3NhM2ksttJcJwsnnxxOi8jGRn&#10;AJyMZryMXnEcPKMYR5r6HqYXK6mIu5vlSPGf2RP2Q/2s739mu1/4WDcw3tosaTeG5LG+k+3WSMpW&#10;W3kXbkIjjC4yAQ3P8K/Sn7FvwZ8Y+DfHeoaR8TNO1S+/s21gewu9Sz5MVxudiqAsC7qoRt5TCnGG&#10;ycVh/sxaf471jX9DvNc+KOpr4b8aeChe6HpcumtHp9yftE7TskfmIVmeKRH2nzsRoGZsNGqexeC9&#10;LX4c3Z8Q6dYSNb32qQxaiXuGhWOHeqFgkjyybR50smN6jALEt8tXTyvDyrLE2s3q420uVWx9eNP2&#10;EXdLr1Px5/bdEPxc/b/+JFpZWtvZwWviy+sHS1tVVIxbSmBpdqj5ndozIxwWZnYnJJruvgx+yp8K&#10;PAUcfiPxpaR63qEyxzR299CDDZgocoY+kh+Y535XhcKCuTzXjz4Tn4Y/Ge68c/EDV7vVYvE0P9p2&#10;95aXyy6hqFxdblnOcsUkS4FwCXyxARsfvFrr3+IfgKLTbXTNL8fQJcQ4ia2vrgLcTDACsA2DJnDZ&#10;cfKccdDW+KrVObliz7rw6yvJ6+IniMZGMpRtyqW3rbq+x6NY6B8MNL8QR+JPDXg7SbHUoYWig1Cz&#10;09Y5o1ZChAdQCAVJUjOCGIPBrH/aD8Oz/GbTrG6h8SW9r4i0W2nj0m/ubOLEvmhQ6XEgTzXVtgG7&#10;cSh5AOMHn01nUI/lJkZezH/6xxUj6vHdIIr0MzA/KY88fpXF7SpB3TP2jGZZk+aYZ08RQhJf4Un6&#10;p2un5n52+N9Y8dw+LNSh8cWMkmqQ6hMmoi4ZMJIpO8cDAOQ3RcV6X8K/H90ml2FjaRyQxSLG32eN&#10;vmkY8Z4A6/SsT9raHS739ovxQbRHEcs0G4Qrn94bWPdx67yc13v7FXwr8W+IvE2m/Ee3t7a30Xwz&#10;r1sbrWNaZYLdmX96B+8OGK7eVGSu6M4+YV6lSpFYTmb6fj2P5dxGF+q5xVw1N3UZyjfyUrXPt39l&#10;3XtZ+H3xE8N6X4r0+80lb2YJepdYhlZyeihjng7kYYJBGMgjj60+OPgDSfino03hXxZqm3QNVs5r&#10;S4kbUnghiEqFP3oQqZFJOMZBUlWVgVwfm/xn+2f+yss9jpHibxJ4fmvIdQ88XkV5HKv2hF2b8DLR&#10;NjIJJ28E98n1b4XfF+4+Nmn/AGL4Mxahqbbdq32nRvJDDnOAZRhEzyMl14PBHWvhK0sRia0ZODT9&#10;H3PqIxw1GDjzpr1XY/Jj9rbwrc+D/wBpXx74W0rQpbO103xZf29vbpblI4o1uHCqqj7q4xheCBwQ&#10;CCB5Xrh1GfTZYHVtu3BVmOB7191ftxXnizUP2mPiB4F8NXnh2HTm1SSLz9T0s7pxE3lqrSIVLOqK&#10;NpAAG35QDyd39h2ez8X6zYRfFbxJp1lonwtmXUPEviO/vJIrW/YxhLaHfMUiQCQCTkFsBgSCwLfo&#10;lNONNJ9j4CdpVG7Hh/7Ff/BHX44/tH20Pj74l58C+EbgLJBd6hal73UEIyDBbkrhG4/eSFVwwKiQ&#10;ZFfR37Svwd+Bv7E3w+h/Zn+A+jXh1DxVNa33ijXNWuPtFzcW1vJL5CSMQERd5LBY1UDyskZc5+uP&#10;h/8AtSfCT4x67daT8PfiRp+qT2cgNxDHMVlVMgF9jhWKZIAcAqScA18Ef8FBPHeqav8AtU+LBJFc&#10;tbwx21rEDk7Fjt40bbnou8O3pk1VaUadHXqa0Yv2iSOp8IfHvwDrvwth+GOteHJLiOydmhvoXGWf&#10;hiMEcA4x8uMDAHHTyDR/Afib4gfFW18A+FbLcmsXDRab58gMZ69flGDzyTn6etn4Ffs+/EX4jabe&#10;eJdLMOn2FuiLZNqF1iTUZnYqlvAibj5h2ucuEQBclhxn6Y/ZL+Gdh4XvIfHHj3Q9fgvNLlZtO01/&#10;D87ASKMM7yorRIB2y/bPpXzGIxVLDuUoNOXbzPoaWFrVuVTTt+h5V+09/wAEkPDPhL9nS/8AiZ4F&#10;iWHxZo2mC61bSo5Wktp1j+ab7Nll8tyuSVberAbUVDivle3/AGXBrGkae97Nb2N1HZBb4mYyB5N7&#10;Nn3IVlTAKqNnG7JNfb/7dX7UHiG+sf8AhRltfjzoroz6/cWu1Unyd8UA2k4Ee4AgnJ2qSckivmG5&#10;1kJC3lN/EA3X73Svp8PL2lGLfZHzuIhGNaSieX2P7OGjaL4nWPxLpkupaZuCs2mal9lm59GeKVfz&#10;Xv7Yrivi7oXjz4W3RtvDuuX8OlTTySW/2e6wyqwVdsjKqgnYiDIAySTjmvb5daCXLLvbcGO75van&#10;eJ/gp4j+Pfwv8UWfhLQW1CTw3oc2uajIrbfstrb8PLkkcZkQY75xzVSSirmG+x836L8P/G3xQ1e5&#10;1qGW8uriW3l1C8uEmLEgNhyxZgcg4GM9TWHPeX8LLDFqGsmNV3Y8x12tnHK7uK+lP2XjBp3ww8UX&#10;Vne6Wq2Pg+5e6WQKrjcqkEkqCQyx59wp698P4CeB/iF8TZpIfBvg7S1ht7hxJr03h+zkht0bIwA8&#10;RTPORgFgW3DGAalR5paAcr+xl8P9C+L37RHhXwj401K8h0y51FjcTSSbpPlRiuN3Ay4VTnOASe1f&#10;sV8IPhp4G+Fmpwy/8IyLO4SJUj8xUaS146fKACQeN3ccjGa+Df2UP2bNE+FP7S/hjxfr2uy6ht1x&#10;tP1SN4zHbpJc2+1HSMfKqIZRkk8kjsMD7E+J1l8R/AmsJc+EdMe+tElIS2hgBwv1B4/Kvj+JpYqn&#10;iYQTtFq/k9T77hKlhamFm5RTkpb9Voeef8FetK0u9/ZY1a/1vx3qDamPEGn3OlrHayfZrgeY0TW5&#10;ZiYoHWOR335DMqKvIZjX5XaXa6/dXyWEWoRyFpB8rX8eML8x5L9gCf8A9Yr7w/bv8V+Lf2lvBt18&#10;Ebbwd/Z3iDw/rEd3eTahc7UvoAk0flxlVJwHz1IGY/Qg1+evibw9qnhTVJfDmtaYtjeWd0yXEDTD&#10;KOpHqcfiOCOle5keFxWFwnLVVru+p4uf18LisVz0XeySv9/+Z2Gl+BfFk2u6fpmv3EQtbh/ND2+q&#10;W86lcZOBE7bfocHg19G+BPhTpllpkOkeGoJJL6aTMMNuV89mbjOflXJOBk8/mK+f/h9LPBdWVyqq&#10;sx2zySKwG5mYsxz9Tj6Yr2rwH8XIvCWpzeJhb+ZdmFoLXkr5ZIwGyOnB/LjoSD6zcvZs8GPLzano&#10;njnQPD/w28GrZfFXw6bfULhV82PyFV4xuwG3Rkr1HUAgEYFcNpHj7xp8DPtHib4PnR421F3DalrH&#10;iJLeCKOZg7RIreVtAcb8GQnc2QOuI9B+Lln4h0u88G+NduoabcW7n7JO5YRuBwy85DjYpOMZ5HQk&#10;HzjwZ4XZ/EjeHtWvZptBuLrbeWbXQiSWE/ej3+XKYWHTeI3YZyFP3ThrFe8dXLGUuWK32R2/gvxL&#10;4mk+LyePPFmseHLqO4/5CM1v4w0nbKpUnGHumGN4U4J6djwK+iPjvqf7QNj+zWvjjx/qli2g6hry&#10;afpN5FJHI1yuxnAVoFEJAKYbackrzxmuA/Ym/Z9/Zq+PXxuh+FOheFbi10K1El7r8sHxCivpkjjK&#10;LsaNLS3maF28uN8bQA+SRjn6R/4Ku+IxrHwi8E+ArXQbDTY7S7nvWe1kXYgbzBDDGFJAVUYZAPHy&#10;8nqVUlTtB1Jbu0V3dr/kgp0qsnNQj8Ku/JXS++58N+HvEaS3Ygufm/ur9335xn9fw7iui1n9oPwz&#10;ojWvhnTtGt0WMD7Y0MzFiw3ZGS3dSwOMZ3EdyT5zq1hqWngvtKtn5uvp9K5G/wBMmtZWf7P87PuZ&#10;m5545+tTUoqtK9yqdeVGNrH298F/ib8JdR+Hd5FPpFmZJtNMUltcKpRsIdoIYYBAAA4+bHOcV88/&#10;DxPDlp8Qrjw6xgk0vU5HikglUFSpPXnjjr04Irzez8Ra34dkSxk8zbdRqysG4PGP0OQfauq8HJNB&#10;rCa5dONyjerNGMJ9fSqoYeNGTs9x1qzr01fQ6T4MW1z8NLW18Napq7XCWsmqLAtwufKC3KJhQCAF&#10;Y/N/vMx711X/AAS11cQ/FzxVcvKqwv4SvpnY8AA3E+G9uHNfLXiL4l/Fa28bapfaJrE8kVxeXEkE&#10;W0OYo5Jd5VSOVHyrxnjFfQf/AASa8QNZ/FvVodTsZHu7zQTBZp/ekMwYI+7KkPkrgjJJVV5YEeph&#10;ayw9ZVJ7I+SzTLamMwtanTtzTVlfv0P0L/YUeS38OePlu90fk+LF8zep4+XBB/GvEP8Agt/41k0H&#10;wj4L8IRrFs1XzZLqN1y5SFlOB3A3FM49BXun7DNjbW7/ABJ8OtBuhtfGDIEkZiflLAZJZicbe5J9&#10;z1rZ/aP07wDrPjmyPjFtHWS10pXtW1TR7e64eWQME85W2/cGduM5GegrqjD28mo9f+AzHGVvqWCg&#10;6n2Wk/W1j8ufhPc6TD8bfhlDY39r5kN1btP9nmHDbslW56sxI49enr7aktz40/bf0jw54XkW+v1+&#10;LzXD2trIHdI1SYyMQDxtGcscAY5r074yWPww07U9Fn8N3Ph8XA161ZTZ+FbGFuZR/wAtEhDrzxwc&#10;4PSvoD4W/sr/ABo8bWknjT4Z+DNc8vWrNkvrzTvB9pbJcox/eRm8ESyFWK/MwkDHnJ5NaxwPs+Xn&#10;mlaSZ4dTNY4io5Uqcpe646K+586tfW7+EPFGntEvkrcaVLDleu+Gbk/p+ZrynxxpVx4t0OTwB4c1&#10;aGx1LVmgsre4kY7ULzIDnHYjI+hrvPjBfa/4RX4gadJYLb6hb+JNOsp7OZ1iaKSMXSumGIwVIxj1&#10;B9DXgfxPtPip4N8Oz/FHXhpNvp1jexW8L/2hBeLd3DgsIU+zO+XCqWbJXZgZIZkB8/NYyliG4bW0&#10;f3o9zhGVOGDlCbs+ZXT32j0NT9tf9n7xV8AvFfhTxpc6BYyeDdShtrNNStYeI5wcsjbgCGK52seG&#10;2+oYDhPGPjW41G6vkhRpLS5by44VVcAgKqAYxx8o6c4ORyOfp79p9vEuk/sOQa/8erzTLq58S20M&#10;Gi6LpMiJai8mUuLkbWLSGKIFg3KkquR8wrxT4r/sza98HPgV4G+MupPbaho/i/SY7gXUK4aC5lR5&#10;UhcZPIjwAR1KNwDxXz2ArSqUv3j1TsvM+9x1GFLEctK9mr2tscL4AtfF/hXSZ7yUslvLJve38w71&#10;z1Zeo98Eehz1z3ugfEixkZ9B1O6XZqcOX2vtXzlUKXTsGYZyD0OCPby/VvE+q6S8McsdxZrJGHt2&#10;uFIyOmPcE8enOK5jWPGU9vdMiFljZtxjyfkf/D/HHYV6Wko6Hnylynv1x4lnjvbfU01AWupWkj3F&#10;vdwyY/ekDzB83y4faGweNxCngnd96f8ABOvVvgP+0F8L/ESfEnWri41/Urxm1m6bVWW5ZvLt9kpL&#10;uQoCxbQSn3U287cV+Rdn8QNbe8Ly3snlv95QxGWHGf8AP+Fewfskwv4u/aL8I+F08RX2mLqmrNav&#10;dafK6sVaMjaQvLIzBVZfR89QK5a0qGHpSq1o3jFNtemv4Ciq1SShSm4ybSTRN/wUR1Lwfp/7dnjV&#10;fAeozXNjZahbiKZp2kZpUtolfLEDJEisPqK9K/ar/aw8CeMv2WZfh/qfxLvPEXjDXLeyni07TbWO&#10;Kz01VmilfzjEFDSMoxtO4qeqr1rzZP2YPih8av24fEH7Pvwn8Lx6r4gk16+js9Pa8htwyxB5D80r&#10;KgxGhPLDIHGcjP1j8Lf+CCP7a3iyXQPC3xy1nw34f8I6TrTXmo29vfxz3zwMF8xV8lWV3AXCb3wu&#10;9sccHnxCweKjSrPRK0kvJrQ6KNavh+enLW+jffoevf8ABJf4N+H/AIp/sl+Ez4XvtVtr5ZJJdah0&#10;OZQjTefLjzgAHBwepkUEbQTtwKyv2jf2Ov8Agpj8IPGPjq9+APw91670HxDDp93fa9DqVpJqDtaW&#10;pRxD5cxlBZieiiR9iKoxkN+hXwq8K+CPgd4J074afCvQLPTdD0uMR29naqOGHBdmABdmxks2GJzn&#10;37ew8fGyIInZGH3vl6/SuH29CFT2lOmubXXXUIRxEoclSo3FbLT/AIc/n18NfH7xr4e1iX7R4n1C&#10;zu/MxcSy3Eiyq6nkcng5znIP519afsqftyXPjZ7P4f8AjfxD590GWGx1K7uHYks52rLnOeTgP2+U&#10;HgZr2/8A4Lf/ALGPwo+JXwG1n9sjwTo8Ok+N/DMMLa1NYIqrrlo0qxt5wGP30e8MJj8xRDG2R5Zj&#10;/Gzw74q1/TdQD+G9SlgulVpcMmCgHUlT1Ax15Fel7GjmeH2s/wAjGFatgZ80Xp+DPYv+Ckfim98D&#10;/tnaldtfb7W3eztbW8t5iyosFtCrxK7MSzKeCWYndnOOQP1o8DfHf4T+K/h1pPiPwdrVlfWH9kxx&#10;+H/3b3EMkYUbIwcFVY7VXgK3HzdK/KGD9l/4p/Hf4VwePNf+HgutLvbhpdD+36k0JfJYNKrsxbaS&#10;pAXoQOMjms/w5q/jz9nPPwutFvtNs7e982+0GHWLjyXbo6ugc+ZG2PmX7rEA4zgj0MDWwuEwzoSS&#10;m+W3Tc4Myy/GZhiYV4zdNc1+uu3mux+gfiHxDH8U9Smljso75bJYwsizCNG8t9w3uEOQCPmUHc3K&#10;syjg/BXjb4keIf2Rl1LwZ8PtWlb4m674yl17xXq1no8K2MFhIHMVrF50ReQnzBJlCqpuZAX5I960&#10;j9vfwJdeGLHwZrmh3Hh2a6PltJNABb3AXBCo33hnvle2Mmuk1D4e+FPixaXGq3/hWObVrrS0tdK1&#10;rcgSAF3cxqxbIZ1T5cAnAkwcB6+cw+EeFoTr127X0jfz6+R9TXxf1ytChSts9fkeTn/gqXdfEfV7&#10;zXPjZ8KtHuNXvrIWE9/Z2rxqIuCwEU3mYLEbm5I3MSuzNe9fB39o79lX4z6Wfh7d+GtD0m0MACaf&#10;rGmRr9qIHKxyH5C59OGPJxwTXxp4o/Zg/am+IWvzeGvAfwm8Q+MZrO6aOS10bQbi8kiGepaJW2Dn&#10;qePqOa7vw9/wTi/4KA+B9K+2+Jv2OvGlxpV0uLqC30x5pFjIxysG5kI68jiujEZdgsZC7dn0aZx0&#10;cfisH7ltOzX6ntP7QnwA+GUHx9+GOq+KINB8G+DbO9ubrWLvUTb2cdyw8ua3sThlDAmN0Cbydvmt&#10;1yT7n4z/AOCgH7L+gag3hLxT4/0vUNMntSLybT7pbiGRSMFQYy2e4OcV8m/tI/sea/8As4/s1aHr&#10;3jLxF4kubyS/jmj0nXwVXTIZtxiQIUUNIFGxnwAW3gBRwfnO11u2iCqVXajdOMdMHj3A/WufD5XT&#10;xGGUZyb5G9TerjK1HEe0iklJJ2/4Yh+NnwO8E694u1JvhZrKWvhu+1Sa5003Nu2yXcchmMIZFPH+&#10;rUBVxgAYAra+FXjL4rfs06bNet8NtD8aQ6gkNtetr0UtxDa6fArFRbsWDQkmSQMDGyABWHOa1NE8&#10;U6RYaXJYtHGsMynz1GAC3duO+cGuM1j4ka94Z8QT2Wi3W6HdkYHy49/X+Y7V7MafJJeR51SSqb/g&#10;dv4Z+J3gvwZ4ntvHOp/BC4s5NcllurXT7KFJDGCS3lYIXbtGeMA4GeAQK918BeOfhf8AtGeILe21&#10;T4cXmkSWsfl3WpakEtZooj/yzjAfLZP8RBC845II+SvEf7WXxq1SwsfDEfjW9t7PS7w3em6ZHjyY&#10;JvLZC6pjGShYEnOcnvV74Y/GDx/qc/8AbNoDa30zD7VJMq7LphxuLSSFsngAAY7CvLx2XSlerBvX&#10;zZ6GDzCP8KolZeX9M/Qj4zfAfwV8Qf2ZvEHw7+EOpW2k6s+j2sVi8lw6wTy286zDciNtUyYZS+CV&#10;3ZHcG5/wSR/bL8BfAD4Ka9+zn+0rpR8A61o+pXEtvrmk2k1w2oM6g/vigmIlChQrgbDFt+6y5f4n&#10;8RftPfHXwrDbG4sI9qyEyLNvUjB/iVWBx/jXBJ8bfih8UPH8lzp2lRXGq31wWjht7fd5kgPbOeFA&#10;AA7BRzxW2T5fiKdGf1hpx387meaYvD1px9jfmWnlY/QG/wBV/Zx8DeA9R8c/tOeNrGLxp40sbm61&#10;vxPrFs9zdfa5kwyQrhpRFFuRUSJdu2NTg5BPwNafF2PVNYbRLHQ7r7O07MLqOMGM+4BOcZHGefXm&#10;uW17QtXtNZli8WrctfRt+9W6BXb2wF4AHoAAMcVc0y+NrGCp2qvIVTjb6ke5/WurC0XTvNyvzGOK&#10;rKpZKKVj2rw2fEdjCL3S9Rt7huCbdnAk/I4/nWt4qkttd0X7RJAY2VWaS2mRgwk249a8n0fxfBBd&#10;RiVmEkgzbuGOxj2GexP8+K+nP2VP2ZfjX+13a2k/gnwRqkGlTTeTN4j1LT5FtIMZVsvt+cgjA2bs&#10;Z5wMmqqaSJpSXKfOcPhzxbNCs1p4P1SaJlBjmj0mdldezAhcEEdx1or9OvDng39uT4X+HrH4aaN8&#10;L/GOo2fh2zi0y11Cz8HsYbqOBBEsqEeII8qwQMP3acEfIv3QVHLHua80e5+OP7IP7KPiT9rz4sSf&#10;DfTNettLWx019Qupp1yxiV0XagyNxLSL1KgKGOc4B+jtD/4JdS6X4ws9b1XWo7zw7eXEdtdx2lq1&#10;vdWSGPDs0Mob5gcjOWG75gD0Ff8AZz/4Je/tm23izwX8VfE/hfUPA+k3luNQs9ZbUY47wwkM0brE&#10;jGRC+QMOFOxsnrg/emvaT4v0fRbbU9U1mfUrmGHynSbGHwc5wBwT6815GcZlicJiFCnNJNbdUdeV&#10;4GhiMPzzhrfc5P4G/si/sefAvTI08G+F7qO9VVE2rXFw7XczDv5gIKZ77Ag9hXp2k6n4O+G2jX0n&#10;hvQtJmh1C6upvL1q7leW6lmyXYxojtMgzjGQQqgblGWHmOn+IviL418WWXhHw94Sha8vZMRo15Gg&#10;AAySS5A4A9ck4ABJAOp4nub7wsLy3+IElnazaa2+++3WhWS32DeCQ5AQKPmyVJwMjtXz8VisRJVH&#10;d67nsTlhMLDl0Xkflr+1h8GPFv7PvxWvPhvfRSeR5m7S9U+ztHHeWzYKlC3UgEK2CQGyuWxk/Sv/&#10;AATG8N6B4fv4fHvizR7G60qzuQupTXSmQxblO1lj2kE525LZUAcgjNYv7Q58Z/tw+LdJjtFvP7Bh&#10;1Jbbw/eJCzRwK06xTSysgIUsVO/P3dqjJCZP2v8Astfs2aB+z54Tj8HrbxyrcbXkZssGO0d8DP5V&#10;72cZhHD4OMG/el26f8E8/KsmxSxCr1aTUN02mk77W01Oy+GPw48Ex/ZfGllpOgya5BJJu1jSTbst&#10;7CW3RuTCq9sZBGQwIywAdu68Wao2uaNdeHdStbeW3u7V4Z+M5VlIIIOR0PfNeP8Axo+IOqfA4pde&#10;B/AsmoRXHDQ6eY0KuM84YjPFeM/BT9u74gfHj9oi3/Z38LeAbC11q9mkiRtY1do4QyRNIQzxxvjI&#10;U4wDk4FfJ4eljsZL9ynK3Y+hxFTB4bWbSPrnTZNK0f4f/DDxUdYuo7bwrrlxoNnHbWkwW0hkt44x&#10;HGu9pCgEAO8kbQzEDbhjxX7Yv7XHgr4D+H9X8FjTU1jxbqttLbaf9nbEIjkjxvY7gwK7iwxnkdRk&#10;ka37ROtXXwV+Afh2f4i3egza7pPjNdV0/SLGV5o2kFtNHCqO6KzYZg5cooBJwCAGP59fF3xvrOqa&#10;zqPxE8baq95rWqSktcSDIiGPuIBnCgYGB+XBx+gU69Sjhowa9+33HxUqMa2InNfBfTzOYv8AWtV1&#10;zxLLfarem5v5sm4YHhFOcgdgPbgce5rF1u40a416G51S2CwrMEtoW6ysT9/HZQB+g61y+rfFXT/D&#10;li0U2m6tA08vmTSfZwfN6YJIYkZ9+w4z0HQ/skfDS7/a5/ax8H/B/TtVlhh1a+YahdKgD21vHC9z&#10;cOM8B9kRCg8blUHvXOoyjdyRtKtDaNtD2n9iD9i/9pD9uLWv+En+FFivh3wfDe7NQ8WX0rwW21cH&#10;y4QmGmlwfurgc/OyZBr9RP2f/wDglV+z78Erdb7xJ4k1Tx3rSkH7b4qWKW0ibbhhFaKoRkJJIE5m&#10;ZTjDcCvUvAnh3wL8NvBOk/DL4YaLa6XoGi2a2um6fYDEUEa9BzySeSWOWYkkkkk10C+IJ7Bo1VPO&#10;U5LP5m3Zgeh684rycRjpVJNR0SO7D5hmlGm4wrSSfRN2DwT8H/hp8MBNL8Pfh14W0ee4k8y6uNN8&#10;O21m1xIert5KL8x7nHNcD+0V+zl8CPjrYNpvxm+E1lDcbSlv4k0RVS4gPOCzqgY4ycBldRnpzmu2&#10;udXm1xfLaUqxPyhH6/lU0GrTeUttfq0kkalfm7j39a8/61Uk9JHOqcZScpbs/IX/AIKCf8Ew7j4G&#10;Rf8ACY2umweIPBVxL/ofiG1jVZLbcciO4Cnh+cb/ALrEZGCSg+V9H8Maj8PxcW/wz8YaxosVxIft&#10;Mem6pLD53A5Oxhz1wexAr97/AIy+AdH+IXwy8RfDTTzbp/wk2j3Nl5c8bSQpM8bLHKVAONjlWyOQ&#10;V45r82PF/wDwRg/bV8NWTXOjaT4e1xkbf5ema4iswAPA88R5z9c/pn3cvzT2i5au66nBWwfL8PU/&#10;NvxZ4y/bR8JeLYdC0/4teMtl/G1xZ30OvXKQ3NtvZBKzLIBjIKsDyGBGM8He+Mfxr8V654jj0S98&#10;S3t1HfTxXl/Z3F08kDS29sIIn8tiVyATkkEsWbOckV7D+1V+zN8ZfhJ8K7Xxr4x0bVrf+xNQlstY&#10;0G5mkhn0sNL8kqqTt2uWCn5QclDyGyPkK/8AFGnS+JDrMdnc3BijCRR3cgKr6k7QN5+v45r6KjKN&#10;WN0zzakZU5WZ6l4K8S6d4b+IWj/FwzalYXel6lHc/atJ1A2r3KqTvi3bWwHQshwvRznOcV9MeMP+&#10;Cl/wj+KPjiHUvF37Jpe1kbbLdNryyTY9QhgUOTjoWGc9fX4x8PXnjHx7qUNvpHh6bULiaQrbxRr8&#10;ufQD2r6a+D3wD8cW/h1r3xCbPR5oSxlW100vduCOPnkLKpBH8O4EdNuaeIwOHxlvarbbVo3w2Nr4&#10;W7p2+659NeBv2lPgr4U0Rtf8AazaLp+sRxCPTb2ApLYzRk8BNw8uTGVO7II5GQQT2XxJ+L/xJ1H9&#10;nXWviX8L9d03RJLGSFVvtUt/NjYNKgfZHgq8hVjgOCmcbuDkfIPiXwR+0L8C9d0/4w/AD4r6fJqk&#10;ce+Gz1CGORpw331GwBSD3jcMN3OV2hR7B+0P+0n42+Lfwx0H4beIPFun3E2m6WuqeLNV0u1eK3ur&#10;wwxoI1jkw+InkdMkJuMhJjTG0eP/AKu4ejV9o5XV72f+Z7Tz+tXo+z5Unbdf1ofOHjrx1qPjDxpe&#10;69qt4s19qF689y3TdIz5bjsMnoO3sKwbrXI0mmgZvla4Ujn2Jz+orEvdTtLfxGkVteC4WORpPNRu&#10;DtO3j65H5VhprX2uWRi7DdcPn/dIAH617j0irHg63dzoF1lZZTK5+8pyf++f8a+9v+CEXiP4N2/x&#10;28U6d8X/ABJ4Zt7TXPDbaXDpviq8hji1OOaVd8CLMfLmY7VzEQS4PA4Nfm9rF/NbadNOkrfu7R3X&#10;Hryf6D8q6v4ea6J/Cqasl3DG8fltvm6dCCM9ucflWc4+0g4vqC913R+un7cX/BGLw98K9Km+MX7G&#10;unW9n4dtVmuPFXgGaN51+zY3PJaOW3FRyWifcQpbYw2hK+R9E8a6Ho2mafpWiaHY2Np9sEEmm2MA&#10;gjQM4XzEQHGQXyfXPvWP+yn+378dfg3Kj/DbxFqCwMjR33nMbjTLvYoPlTw8bSytgOu0gNhWUmvL&#10;fiJ48sLKBfEem3irJDIx8mOYZjPBD++0gD8M54xXVhKU6KcZO66HPOo57qx7VrWseANGvLh9V+Ku&#10;haFdXF7562upatDbyExrGoOHIP8AChyOckc9K+svAH7WHwy8aeDJrvxfd2supWVmzQ6hpyCa11KR&#10;UyeYdyxNuKqQxUElQMF0Wvze0/xBY/FvQ/CsfiNft15rHhy8TUGuYQN0ubd1YYAGQPTjOfSur/YQ&#10;0fTfB/xc1jwgkLRwyaOrSWqqNly0MpVJW9SBnGc48w13ZfkODz7NKeFx75oSdlZJOL8n17NNWs+j&#10;szTiHiqHD/C9bF5bhuSvTipczqOUZWupXg1pdPmVpJppbptP1D9pDTrPw7o9v4z1m2WbUrjTJx53&#10;llmZhdIqgH7xyJNzDPO3jFfCP7Ynw+1DXfibFr2ny2/mXGmxSXbSSEF2GYsgBTu4iB+hHrX6NftM&#10;6HNqfw+/tq1iXdpU0crM3RI2YIW+gLgn0HPavzQ/ak1rUrW48JajazxtdQ6GbO5jmTcAyeWwJH0f&#10;HPPBr3OM8DHA59VUNpKMku3upfmmfMcC51/bPBOAqTXv01OnJ21k4zclzPZtRnFeiOn+KfwI1n4A&#10;eHfCc+sapHqi6x4W07VPOtYSqEXVvHceSNzHd5fmqhbgMRkAcCuXs/HcO9LdrORYtyFomYYbHGT+&#10;X5Cvcvhd4luf2vP2JLjwlqJgPi74U280tuqswknsmdDCw4xtEYaHaM7TbwnjeQfnCXTdWuRve1lZ&#10;lBK4iPPXNfC4PFSqc0Kmkotp9L9n9x9zisLGnyVKWsJRTXk9mn5pnS3viu1kjZtOt5IpGYSjy5Pm&#10;3ZGee2RnP+HB7H4W/CPxX8VPA/jDxVpGtSaXJ4b0a2u/OjjLNMJL+3thGuAfm/fs2SCMRkHGSw8c&#10;sdP1i+vUsIknmmmkCII4SSSen/6q+gbz4/6t+zN8MYfgl4D8b2+leLpNXa68VXkVw8MtoqIFjsd+&#10;Vz825nA4V0VQ33qrEzckoU9W7L5dX9xOFpxjzVJy5VFXWtnzfZS+evomfV//AASn+DOi/CT4ueOP&#10;FE2sR295DpdpZQyXFmxjeOYXcsquNp43WsR3DAyO1R/8FCvEkfifUNDs9Kjt/wCyLjz00m4hkLRl&#10;I3CMRxwRtC/8B9qyv+CY/wAcPGHjr4WeOta1nxRa3+oW2qRLIEt/tapC9vLGs0m53bAkl5VQxIDE&#10;KzYB7f8Aaj+Fni7xD8NNBSXS1gudJuL63lG3Gz9+3IC8dMdu3bmjMqdGnQoVpOzi7eWqd/y0KyvE&#10;VZ1a9FK6mk79dGtn531PjXxPp+meHWW3nKTF1xlh79RXOjwRP4khur6G5jj8iLfsZhk89vzrrfid&#10;4J1jQZJLfXIGS6Rc/vFPy571wH9rGEsr3xjYHB+Y9MVnSqqezHWpcsrWGjw3JqslpYyyhfsVuctx&#10;1wD/AI0fE/QvFXh74Nz+M7PS7hdLutWi0mTUlXEaTPG8gUnsWjikx+PpU2hJqvj7X7Xwr4Timubq&#10;4cDbEpPA6kgduma+rv2wPhl8Pvgd+zh8OfhRea5cTWurXl1rN1ax2Buft97FBFB5oG0nCGWZQBgf&#10;Me44JYmNOvCktW9fRLr+iBYWUsNOrLRLRebeyX6n54eE9b8V+AdaHiXQ9UktZz8reWodZEzuwQfl&#10;YE9VPXFes/s5ax4dHxkt/GHxQtL+C0tNTurq4uvDFiqtDdRxu0DhEKhI0nKsdgyqJlVO3Fef+L7v&#10;Q7zUZb3wwohjVs+SqhQ5/v7QfkHTjp6eld9qHxLbxvbaV4JXw3p2m22hWssDzWNrHFLeb5pJS8zo&#10;qtK+6WRQzE4Tao+7z6lOUbXPArUZVIuF7en6H3V+x9+1v8G/gfoXiqbxZ4q1K8tr3WEkt9S+xz3D&#10;yqqsN8r7c7zkZ3YO4nODxWb+2L+0t4+8XfFix8Tfs/f2R4g8Pt4Qitrixv4XSS2unuJnNyjq0e4+&#10;W0eAWkQYJMZ5NfINtr+nDSrfTwu23t9qW9vHwiKMjOM9ec/Un1rV034m3aajcabdygL9qkltbhlB&#10;MeSCM+wP6Z4ySar21SPw6FywOGq0+SouZef9bnoKfEfWNc1qxm+IMfiTTW02+iuruby7W/tYVh+Z&#10;hK1vCjxk8cEZA6nvX6LTf8F6PGHi34InQvAHwf0zwrqj2gttL1y3v/Pgt4AAqSRWjRhYn2/dUySo&#10;mBnzACK/Nf4e/HTxBqN/BDFqY0meNnM8xvDGqRsoUzq4IDBWCNyCw28BTuL6Om/GhPHXgC2+Hmje&#10;BLq4Xw/4p1KOfxLpbL5M8czJJsVIy8zKp3SBiSdsqrgBQK6KNani6zhVV+VJrr67HlY/KcRk+WQx&#10;GCfxylGWyta1rXfVPfunoei/B3xL8PNe/aw8P3XxQ1bUNdub66a8iuJkDK2orIJlnuC7ksoCysWI&#10;J3YPIzXIf8FW9D+JvxM+Kmi3/hTQhc+EdI8Py6gLzS4z5RMty/nTuuAV4WDOAxC7CSSxrn/Bf2Tw&#10;R8btN1LxOJmsZYprOSaQyoqmaOSANlxlVBcMScYXPK9R7TqPhz4W/BjQNb8XTeILLXtb8TWEb6X4&#10;UurS7uILbfFI1/KTABuEhhUAZRFAgLBymTpWoxqXl1tY48qlKnS5b3u7v1seb/BT9g3wJD8RPhrp&#10;fiLwjqniG38TabK+tTR3wh0+3uI5PNk3MhZtpgyqqfKLN5bqT80Y+4E+A3w68U/CDw38Ktd8NyW2&#10;neGb2O6sdDvWZvsy7ZNsL7jk7Ul2888cljyfk/w1+2P4m1T4Qaf8L/CGlaBDrlnoN1DaaStx5dsP&#10;IJCQujIUiUorFPnX95EBjZIWr2z9mXxH8UvHXhFtOFpHDZzPmG6u7wu0U3R40PzM67s5wQqlThRn&#10;FfH55U/cxp01s73P07hnBzq1KlWSvpbf5nC/8FK/g14bk+AWoWvhvwj5EOl3x1OLUpivyTNCkJhg&#10;xkpD5aAspxlkBGScn8zrmKe8VBEF8zaEZh3A7/l/Kv3d1n9lPxF8evgPdfDfxTplxC99GV+1TKql&#10;T2dd5G4dO9fKet/8G+nxZJuLzQPHumzNvZooZgsZPoM78fzrnyjEVKVFxqxe972Y8+9lUxEXCUdr&#10;PVH5t6RYR3jxW00ioenzdzjP/wBavvz/AII+/sm6f4k+LOg/HTxpHdSWNnDdS+F3tdN+02cl9GWR&#10;kunVv9HZMCVFcYfHXja3IfF3/ghv+3f4b8Jrq3gnwJDrVxbyTTX1rp2qW3mxxxlfLKBpQZmbe+Ej&#10;yw8vBGWUV7T/AMEQ/iP4m8C6X4+/Zt1lUg1C11WLULXTmkeC7t2mxDcox28ZSGHGcqHIX5WkUnbP&#10;KyWVTqJ2it9NeXrbz6/eeZl9OMsZGL1+Z8oftqfFy1+D37fvirxH8AdX1TQ9R8O+KGeLUorhluo7&#10;9S32lw+csonaQIWzuiCZzzX0X+zd/wAFdP8AgrD+0iJvA3hLxXol5cWawi78Rf8ACL2yzRNI4Cls&#10;ARZ272xs5EbcE8H5l/4KZ6Ro+j/tw/Eb+yLbZHdatHctuXDM8ttFI5zjnLsxz369677/AIIzfH7w&#10;P8J/i74q8C+MrpbWbxRb2i6XJeX5htZZIGc+UwIKGQh8oWx0ZQQWAPrZLRwmYU6Dt7soxte17NK1&#10;zx87xWJwdKrUpayT232ep7BP+3v/AMFHdE8R6h4p8Q/FQahfaBqy2etW/iCHS7exxub91KqQxIp3&#10;RMPMDhyMgH1+jvhX/wAFd9K0vwZpmp/tU/DO48OWt1cGzk17QbiPULIXAQN+9hDNNbbhyqlZN43F&#10;W+VgPB/iB8PdG1H9qfV/Eniy5a60vWppLuzghhUxsNw8iJgdp3bhNlsdiec14P8A8FLfE9vqU1r4&#10;T8E2enaba6Xc+fdWulyNIZ7sgrl2KrnALbVI+UO/Jzx5uOo8mYPDOFtd9nbXX8D1MAo4nLVilNPR&#10;PTa7s7an6Oftqf8ABQf4SR/sFeNfHHwX8T+EPGy3NiulzWdxfwyQRJcMIt0sEh8xnUPlI/vbghPy&#10;hiPxd+FGq6rr+py2Lad9ovW3G3UdXk6benfjtXO6L4S1271u30jXLGazbVMJbm6UojZPUEjkBgM4&#10;9K94+Hng7RvhYzQDRVm1VpMyNcRhmikLf6tR685P5dq7sPh44WLV73M5OVaK0PtvVPF8Pg39nbRf&#10;hL8U7pPD+u2/h3TbeKzvrdoZYJ4raMeWynIBByPlJwDg4NfFXjv4WeOvEfjq5vrXxDcaxazzBjef&#10;aDIR6DABII/L3rD+OHiXxF408e+R4jv7q6urYeTM11LuVcckDuMHd06mu8+GH/CJeFrCG4t0WKbC&#10;/wCkWtwynd7YPX/6+a46ODWFk5wd+Y7a2L9tGNNr4Ta8Wfsj/HXxT4Wb4Vt8KPGd1bSeReWWrWOh&#10;3FxD5gUEN8sXykdCrEHHQkYNfY//AATb/Yy/aCn8NW+mfFTw3N4f0zSrpov7W1vSZIL6eJoeViil&#10;+8QQuGcMo81uW2+XXW/sG/8ABXfXvDWt2Pwf/aG8VtqWl3kyw6d4ivZv31lngCaT/lpHk/ebDKDk&#10;naDj7fvf2qv2ZvE+iSaiP2iPBElrHw92vi2z2xNjoT5uAcHoelOrLmjaST9djCDnH4XZ+W5seBdR&#10;0LwJ4etfCOg2jR2tnEEVd/zEdyx7knJJ7kmuhtvGYMnn7mt485SOORizfX2r5q+KX7b37KHwxvtN&#10;g8XftD+GVt9UlZLG+hneaF2HUNNCrxKBxks6jkdMjPpHgzxn4a8Z6Bb+K/h/4osda0+6Xfb6hpN6&#10;lzBKOxV0JUj6GuP3n/X+QT572ZpftSfs0/Ab9tP4V3Xwy+LekTww3Ow2up2Mix3VnIjbleNiCDzn&#10;5XDKQTx3H4af8FFv+Cd/xt/YF8f28HiJRrXg/VpvL0DxZp8LCC4kByIZQc+TNsz+7JOSAyswU4/c&#10;K68U+IywdZEVQ3zRyrgj6VzP7RfxM/Z/n/Z78U6X+1bHpsvgNtJl/wCEgj1RgF8rH/LP+Lzs48vY&#10;fM37dnzYrWhVlSemxneUj+dPU9Xv2tlhE7fvd30Lben5rn8qzdF1GbUHbS55dzvzDID34G38Tkfg&#10;DVHxl4p8P6v4iv5/Bcd9HpLaw39mR30itOkO4+X5hQBWfy9u4gAFuQBWaLm/0vxJbwxbkbGNw7EM&#10;e1eg+bc1Ue56Ra+LG8I6TqXgu8+HHmaV4st4re4166iJm8u3kzILRiNoxKF3MATmNRxlgftE/Df9&#10;kP4dfsOv8bvAng1hrEMIgS+u7pp5ILzIUN94qDuYODgZXaccivj34vav4g+LnhXw7rGl26wr4d0p&#10;rS00fTtwQuz7pbjDMR5krEMzcbiB6V6f8AfBni742fA3xV+zvp/jL7PrH9ni706wuPL8u8e1KyNb&#10;5LKRIdsWOcbQ5IJUA8uKjKtGLTas1dK+prRjGLd1ueV3nxThvBczXmszSTTSbnMkm5mYtznnrnnN&#10;T/s0/Fnwl8OvjxpPi/WJtlnDcMksix7tizK0ZOBzxuycc+nNeEeIpLqw1u5tfPHyyY+WTdg/Wrvg&#10;DXb/AEzxVa61a+WzW8yvtmt0mRxnoyOCrA9wQR7HpXqcylTlB7NW+883mlTqKXZ3P1x8XfBT4Eft&#10;S6BNbXuh/ZbwLst9YjhRJY2AzlJVzuXv82VIOQDXyD4o/YP/AGgdC+Pmk/Afwn4fm1y98RTZ0K/t&#10;IyIpI8nc8jHiIRqCzknCqM5xX6C/sNfFD9kbxf8ADjw34+8UfsGRzaS9pLFpPiDw75+owgLcSI0d&#10;xYyTOytG4cM437jyqhcGvt+2/aM/Yt8JaVb+I7nxZ4X8Lw3EbCG61bSxpO9V2hh+/jjPGVGO2V9q&#10;8HB4HMMBJxu3Ds0z1sRmGX46OllPya39Nzwf9kD/AIJb/s3/ALL/AIR0n/hIvAemeKPGFqol1LxF&#10;rVr9rUXJIYtbQSZjgVGzsYKJMcsxPT6ss4WnC/a9Ukn6fL9rWNfbIznP415V4o/bS/4J9R2kl7qP&#10;7Tvg2FY4yTLZ62r9uBhCwJOR2ya8y8Q/t7fsKWVwtnpf7UdrNIGziLS9RxjPGHS2I/HNdElUlrY5&#10;Yxiup9VGw0JTte1bcOD++eivkA/t3/skKdsvj/xsWH3jD4UvnQn/AGW+y/MPQ96KyvW7AfYnjPwZ&#10;oWraNPol9YRTWskeGjVenuMcqR2I5HavlD47/s9+LPCaLqljqkd1o8kvl/aJOHg3fdEgAwc427hx&#10;kfw5Ar6c1PxDbxXq/LLG0jfLvPU+gIOP8fcVzvjfVDLctaXtotxYyQbpU8s5VSPmDL0bPOcDt0rp&#10;xmX4fGxtVjr36ozwuNxGFlem/l0PheD4GeIdZ1htb0Pxd/Z+qWV1tsZPJEkMa5BBZMr5iMOGBYEq&#10;zAFT8w+U/wDgo3/wUT8YfEZZf2OPhRrUOo6NYamsd7r1xCDcmSJstax3DHItY3QfNtUuVKjKKC/T&#10;f8FV/wDgoCnwQ+IGtfs4/sqeNJGeTMfiLWo8btJkOd9jbSdXcYAMo5j3FAWkBaP41/ZY+Beq/Gzx&#10;ZcX86S2ek27D7bfKoaR5CMiGPjBcgdfuovzN1AOeDwv9k0Z+0qXp3uvL/gnrUMNi+Kcxo4TB0nKt&#10;LSy6/wCSW7fRHbeDfGPinwdbQ6T4d8f6hDNJwpifzIg3dzGwZSSegKnvmvePg5+2h8Wvh9MmifGj&#10;w7qFvpscgEOvf2fMli+SABIjAmEnrvjJUnqqgEV2fgL4a+FvAyWvh7wRoUcVxMfLtY7WPzbq4faS&#10;yljlnJwzbVxt5xwK4P46/wBo3XhqbVtF8SpLa3FjJFNpNxbiZb1GQkvFIDvLBQSBvGR05wD4eYYn&#10;D41crp6d/wDJn9NZH4f5hkeBcMbjFVsryopc0FH0nNNW6Tgoyvtc9B/bL/ahtbf4W7vA1t5moXlr&#10;Ibf5t2wkfeYqcEDcCOeeOor4E/Zu8U+KPCHxj03x3oN1cDWtN1aO9tW3nd50b7huz/t4z2x168+r&#10;/Dn4n/Dj4vaZD8KNauvsd/Jp40u3tbqErMYxGELRyrw33QRnBJAIUdSfAz4S6T4J8Tf2R+8uL6O6&#10;WL7S8W0yOrYwBzgZHTPIWujLeTLcPOCVne9+66H4vxlw/hY16WJwVZToyunrrGV/hel72aWtn5H0&#10;R8W/ip4t+OHjG78V+IgsUYuNmm6eVCJZI3T6ttwSR15Jz0rzfx/F4Z1LVf7Miuty6fsF5KzADJcF&#10;kGOCQuWbsv3edua0P2gNZ1Xwjp9to+jq1vcyxySzO38CnHf3JPXoFFeIabqt75hBlEi7fug7gDnO&#10;f9o5wSeh9adOtKo+c+VqYeMI8pu3+iLqlu13Pb7YAMQrtG6RjyM57Drgc8c+le5f8Emovgz+z98b&#10;/iB+0R8WdXaz0Xwf4Ek+23kdnJcSRyXF1ApljjiVncgK0XyjgSknC5I8Om8VWumWP9o6nffvFUiF&#10;Vb5hnuuBwfcDjt7dz/wTw/aK8IeGf2rF8DeIDZroPiPw1qGl6h9uuFitzmMTIju2QAzwom495fTi&#10;umpXlUoyi+x5rwsYSvFn6LfBj/grD+wP8T/Eo8L+Dvjvb6XPJ86t4ms59OhZc9POuEWJTz0LDPQZ&#10;NfS0/iOOaVYxLneMoQR8w9cg4x7jrX5R+HP+CIngH40xp40+Gf7Vxs/D+oTySJY/8Iwtzc2g3EeQ&#10;0guo1LpkrkgcqeK+xf2KP2cvHv7N3wjtfhf8Qvj9deObKxOfDNxdaS1jNZWe0f6OxM8nmKDyvOVB&#10;K5KhAvhYqlhqdO9KT9H+h0R9tGXLJH0bcX89pIJbeRlbPG1fumpofEDu257pmmZcMRzivH/jB+1n&#10;8BvgNaxv8ZvivpOiTtGGXTpJHlumjJ4kW3iV5WU4xuCkZ4zXzD8VP+C1/g5S3hj9mb4T33iDVJne&#10;O01XXs29ru42skCN5kyknkO0DDp3rjw9CtWfuR/yNPaRjoz7q8d/Fbwd8L/Cd98QfH3iSx0XSbCP&#10;dPqF5Jt8r2A6sxJwFALMSAASQDm/Bn9u34D/ABa8CWfjbw/4g1iLTbgf6Pdaloc0TSguyBtgDEZZ&#10;TgEZwQSBmvyl/at8UftDeKviRp2m/Hn4oR65rbzeafDumSOtpo67AywCLYqbyXCs6mTPlgGRyDj7&#10;W+Enh+y+Ffwm03Tb6+mlVdJW/ksfKV/swEQkkI2qG2gLuJJwOegrrlR9jGMoyvzdjspUIz5ufSxy&#10;v/BZz9pX4Gx/D+68N+B59P1Xxx4i0dtG1KOZZUePTXnifzWjYrvKtkKSpIEjsCVV1r8w4v2b/hxe&#10;a94m1nwZpc81vb3wjsbPVJ22xpIzFdmcE7E2kliTzyBkEfVn7Xnws1Txv+0Rr2rPLZgGSzKzT3QC&#10;5S3i/d/KCwwVPHGOvNeJeOfDHjPwtr0yXNo8b6pMzRzRzLJHMoUYQMhIGAOAcNjtjJH1GW80KCi2&#10;fP14xrVHJdPyOOv/AIcav4f8SWuifDstb3WqTPDZ3du2ILC3Rf3srkbWYl2CqM5xk5yRjW8WfCvx&#10;B4D8Mvqs/wARNQtPOT99c3WpfvJ2OOCchRnI4HpgAYJNvTdSvvC8ccmpyeSwwehJAzwB368n1P0r&#10;oV1X4f6teL4i+I16zNGoFhbxr80PTDem49yR04GCM16HNbqc/KktDwXQfHPjT4farJd2d3HHa+cV&#10;unuJjsbdz0fDfngfXnPU+I/iDDqfhLUF0B47iK+WNDcQyDKHe7duxyM59B6V0/xFh8PeJdMun8He&#10;DbGONeEurlVkxx0CgbM+p5ZurFjiq/hf4AX3h/4fp8RdW819P1aRl8uWJUYKrlGdQGPcHHQnj1ol&#10;W5UuZijTk5aHj9mkkLNNtO6O1/i9euPzFV1tpLa1juSPvwqV9/nIz+n6V03xJ0MeEtZnsVuFlSbD&#10;ROoxvRsFcD6DP41gXrtALXR2mVsbUVvTA3t+TZrSMuZClHlK2sW7z2Nxp6ZP/EvZQVXqdtdN+wLf&#10;/CjWvjnp3ws+Onh+/wBU0LU71bVrGxvvs8hklI8pvM7L5hycclc1gy3iXVxLehgqZ4UHGRnbj8iK&#10;5PWvBPieyv7fxh4Vg3PCvzCOTDHByo/UDPb2okuaLSM+ax9sQ+Kf2WNY8Y3t/wDszfDm48OeHUh8&#10;h7PUNWF3cT3KSyLJK+ZJGiQqqbVJ5wTtBJrwv9s7UdGsdGlOmWUmnSXcscMbeTsSWN2Cvg/dORk5&#10;yGzycjFcn4E8SeFfG+mppOr3U2nXtvu8pZJ2g8l3OZJTtBYMST0GD1ypOK89+KOneIX+IsGi+I/E&#10;uuahCu0xjVrgnI6KVO9xggcHP4DkV3YeUfZqPWxm4+9c99+HGu3zaz4ZvHZ9lrHfKsUjcxoIocYH&#10;Yc/5JJr3v9nLTgPjLDrsdzHiWzu7aVNo3DBGzHPQqAfc/QV82/DM3KeItJDMPLTS71ozt4bcbcED&#10;1xjrgdfavdP2VbzxHqXxr0+Cxga4hl0ya4ZVj6uIgvJxwMj8+K97IZxjnWHk3b346/M+d4spyrcN&#10;YunFXbpySS3bs7WPqT4h+HZfF3w21HSbcqrGJRP5i8GDzF8wf98bvzr8q/2nbTUrrTZdav7G1VV8&#10;QhYZI4280qYjnLZxtIVQFx2BOa/W7WvAWut4U1C11rX4dMN5azQW8kcfmypvVlV/LyAeobBP1wa8&#10;RP7Hn7Jz3lnpnxv+DXi7VtDhm83UtQ0fXhDd3MmV2scxlPLUAjYioxB5fPzV7nHNOjmeaQr4Wala&#10;HK7d1JtW+9nzvhd/aGVcHSy3MKLpy9tKrG9tp06cWu61h1PmT/gkl4L1+x/a38J6npjTyaH4msdT&#10;0/WLViJoL2AWMsxgdkHyuskcMhjcK2EBGQRn9F5f+CbvwinmaePQYVZi4X5cbQ30HYcV9Efsyab/&#10;AMEZfhb4Za8/Z58P2vg06jGi6m62moG63qmBHM0pkZmAOTgsuWJySc17YfDf7M+o6Xb654Y8c6re&#10;W91H5lutrDlnUj72HjXAI6ZPNfiueZbmksV7aHuqyW9tvkftWT5jl9HCqlVTbu3sfAOlf8E9v2cP&#10;g0V+I0/g5LgaLFJf3DXTbifLUv0GMfd/Cvxv8S+EPFPi3WrvxBNe315e3t081xNeabCu92YszM5l&#10;OSSSc45yTX9MHxA+GHw68baHe+FLaPXGtdUsZraaS4jjiKpIhUnILc4PHAr5R8Gf8ETP2KPhlpc+&#10;s/FXxd4q8QSWtvLO4N5HaW7qq7ifLijMpKjkYl5J5BHFcuT1sTgJz9rK8pWtrcM6lhMbyKitFe/T&#10;tY/Nb/gmj4ouf2fPjHPZ+OtZ1SPw/wCLLFdP1OHRrlbfyZt48q6ZmCrIEVpRsfahLgscLX656T4G&#10;tdQ8GWNvqxleT7Kpla6yZCx5bdnnOSew+g6DG/Zm/Ya/4J96HfW/iX4S+E5NT1qxPmwnxLqDz3ET&#10;A8SiEt5JIPIZUIU9CCMD3HVvCEDKyvbdOhzXPn2a4jFU1Q5WuV31Vulv1PQyHLKeFm6rkndWPk39&#10;oT9jr4d/FrShYLH9juFyVurdfmPTjmvlPxB/wTAgu/EH9m2mrT+WjZkl29R1x/Sv001TwFFK/mpv&#10;H0rj/HOl6R8P/DeoeL9f1CG303T7WS51C8mwFt4o0LM7HsAAc14GDzLMKMlCEnr+p72IwOBqR5pR&#10;1R4F+zt+yJ4J/Zs+GF94zsvDTG+kuo7dbxLcSztG2+N5MZ+ZFY4OVPzBCOmD8j/tjftpeNfjf8dL&#10;mP8AZ38R6Wvh/wAP6bD4fsfEmvo7QssRd5ru2iIIUTSPjcVlLrGrFkyoPu37Rn/BXP8AZMl+C/ib&#10;QPhf8L/GXiazvLdtJvNSuoVsbeM3O1lUPktlVhuXAZRuZVwcZdPmaH47/wDBODxvo+k3H/CE+L9L&#10;1azBjvbH7DGlveLgkFPKkOGHTqC2Sdwxiv02o5YHBwpcnNNq7kfB4OnQzLNmqs/ZwvZdbdvT1PnH&#10;xx4V8aJbtfaz4m8Ma5Laxl5jpGnyQzhASN5xAibQCARk5yDgY5yZNbXTtTmubcj/AI+MnHcZz/Wv&#10;bvir8a/D/i/Rdd8F/s7/AAHvLHTbnTYxqWpNGsssUGVJDbS5UnHRm43E46Y8C+Kvhe68I+L5tKmu&#10;kk8mGISNG+Ru2AsOOoySM98VWDxHtKfvaPsGcZbTwWKksO3OEbXl0u76fgyfSPGN4uuz6dc3LNGd&#10;yr6DB/8Ar/pXQXGutPqEbrMuWj6bhya85SRYrj7Wlwu5mB6Vdl8SFriNDMF2Hcx3da7TyT1H4eX0&#10;GszX2lagsmYbeRCwzja6nj8WJ/PNfTHwR/Z7+Hvw68D3HneJXvr64mS9ud1w0MDNtC+WmGDumwHB&#10;IBJOSAdu35L+HfiGSMyNFEWmulHzj+Mb1CqPcn/PNe4eBfil8WfiPrlj8Mfhr4Xur66HmW7Na2Qu&#10;OIyA0p2rlVGeWJAGOT0rx83WaSpJYKXK76+nqfdcCVuDaOPqS4jpe0p8vurV2knf4V8V1olr6HJ/&#10;Gn4a+GL7WZtOtdV2t5zf8tp5PU/xSAHr6/nWtafDzWfDH7Nun65a+NPEF7fTa09joNrp8k8n9lqp&#10;d5HMYLARhYxwCu0zb8jayvtfEj9k79qvTZG8Uat4L1aZmbcLiPTCyPjv+7QjHbivbv2c/DfxM8N/&#10;A+78CWfgq8u9S8SWtzFc266aYpN01o3yg7flZpY4wJMggSHLDGR7+HcZYWEZzvJJXd+qSufnOKjh&#10;1mGIqYem405Tk4Jq1oOTsvut6HQfCz4f/tF/EX4h6l8Dfh3pmhaDoFtpemyan481ayR7u1We3Rmd&#10;W2xRyNv85UYqxb5SWCZkX9Mf2c/2V/B/wb8Fadb6Zeya5NFACurajLHM7ysWMkylFABdmY8ZwDgH&#10;HFZf7G/wMX4DfCqy0rWb5L7WrlmuNSvmgCMzMchcAsNyrhGYMdxUt/FivStXupvC4bxR4Ws8x7s6&#10;lp8XC3C93UdFlHY/xcg8kEcmIVOtJXW2x1UalTD05Rpya5t7O1xNUhtNNtH+3aeJPLZk3QyfMvGV&#10;PI4GTj0H51FB4g8OalZOk2p4mh/1LOvzEYBwcZz3qzFqtl4vhivdFdLqG+VUjwMl8nGMevbFU9a/&#10;Z/8AilZN9q0rwYJ7dvm2iaHevuBvz+FOEktzn63L2g+KdJEPnf21aqynC7pgMHv97jpnt3rwfwb/&#10;AME3fBfxD/ak1T9oHwd8Nk8NXkd1OR4k0a+S3tNTjni/eJNBGNkrrKXYMFVtwRndiq49a0r4JeM9&#10;W8TWuka34avNNt5pM3V7cRsmxMfMVJ4diOABnk5PAOPe9Av7Xw/psPhDwVp0O21QRL12RgDoT3Pr&#10;zyeawxNOniqcqdRXjJWa7p6G9GpKnJSi7NO5+b37Zf8AwbreKv2mPiRrXxo8PftHaZZ63qccP/Et&#10;v9BkW3Z44hH80qOzAEKOkZxx1618D/tH/wDBCP8A4KBfs6aLqnjDUPhhZ65oujjzrjVvDWrRXCmL&#10;nM3lMVmVFAyzGMBBljhQTX9GEOlT3KiXVtUlmk7orbE/JetXorCzhj8gWisrcMJBu/nUYWlDD0IU&#10;obRSS9EaznKtJzlu/wBT8GPgLYabpfwDtbLxNq+2/sJUh0vWNTeWbypAqqWcEs7piWWTyxlisTKm&#10;WIDT6V8ZtP8AAUtr4Z+HH7Mfw7vtG01le31z4g+HUv8AWLifkyzNJAyFDJId5O9pFOPLeJQI1/Tz&#10;9rf/AIJT/BT436NeeJPhDp1v4P8AFflu9s1kuzTbmQ/wywKNseSPvxgEZJKueK/IfxZquveEPEGt&#10;+CdU06Sz1fw9qlxp2saXcY8yC4hco6kgkEZHDAkGvsMjwOW4285u9Tqutl+e55eMxGIoxUI6Qv8A&#10;id94w1bxN+2DBqy/tBarZNa+GdDutQ8P/wBj3F3JNp14qqsBWbVr25mMRbAeBJow4wcEoi18v6za&#10;614W8ULd3dsyyW0jyYfvzwcd+/NfSn7FHhsftBfGy28AC3WTTdUtmHiJGmVGgtY3SRmXIO5soEHH&#10;HmZ6ZI6T9ur4DeCNP8Zya14M8KyxW894Y7OF7ovAEOQFwoDAdCPmyAMZOSa8XiaNHLsZG3wtfM9j&#10;I1PG05KOrW58R+MPFkWs63ceIIUaOS4ffMqt/F3P86on4ilHhfcsbJgNIrYI7DIzgj/PWvqX4tfs&#10;U/DKf4UX1r4SsBpPjTTWtb1byGa6ksbqGZ/JNq/mPJskBAlUjBwwBBDrt+JfGNhrPhXxFdaJq0Pk&#10;3ljI0VzbNnkjgj6cde4rw8LjKGMi+R7HoYvA4jBtSqqyex3c/wAS7iN/7MvWaGZfmt5VY4k75H+e&#10;nrya+zv2RfDHhfX/AA5ax6b4Xkhk1a4t7/XtVjujtvifOz8hI2jIXIA2nI7hq/N0PrGqNHFaSMu1&#10;v3QkVjsOeFBA6Dtxwenofsz9i/xjr/g/Sp9V1G0WC9t9LSC3k8ovv2SNtQDAZBtkk64H61w5tTk8&#10;P7ppl1Sj7X3z7o+Onwf8G/FX4SXXw31fQbdrbyN0MYQDynHIZf7rZ7/h3rwX4G/skeLf2XPE1l4s&#10;+GXjHWrOG6bfrd9aa09vGkS4xHJEmFlzktkkfdwMbsjxj4vf8FJvi5aeI5fDmhztZxxyFWu4bf5p&#10;fm+7udCFGAM4GfeqWj/tf+JfE3h251HW/Fsmuasd0OnaQYSyQMVJE0r+SdwU4IQAbjw2AOfLwuX5&#10;lKlZSsj062Ky9STlG7PRNb/4Lh/tKfAT4o694P8AHei6H8RNF0rVriC3uJU/s++mi3kRN58CmMrt&#10;AOTCSectnIHkv7cv/BTDxb/wUb+Eun/CTwp+znqGitp/iSPVHul1576N9tvNCEIFtEFH74ncSfTH&#10;Jrl7TTPB/jTxrbXfxW8N/brrVkkj86G5CyPKAGA2BVDLw3GM5wARUdj8MvDvi/x0fDXhPX9chaHd&#10;Jb+HZtPnj2KvJw0K49sMFHTJJ5P0FPCqMVfdHgVKlNTfLseU6T+zt8SNIktxe+FZXVWDTNHKny5/&#10;4Fnj6VH8R/C1/wCDZLXxF4nsVsljkKtHLIPMddxx8oyemcEjHvzX1V4Xh0PwbrS+BvFHgVtMn8nz&#10;ZGk0+Rv3ZA+Z59pjXll5LAAsM9cV5J+0p+zrpvjLWpNR0X4j7VSOQrpc1ou0YP3Ufg5x/eHUg56i&#10;ulUb9Sfbdit+zR4Pl+N2sLonw88TabZywSblk1mSVFVW+8rLFHI5UnHzBTj9K9Y1D9jr4/fCSTWv&#10;HGiazo/2zRrW5fVNF+2TJcXsMsb+ZJbFE2OjRK/y+YkjBGAXd8teEfCK18OfDbxh/aHw61TUNtjP&#10;sxqUYWZTjlZAoCkZ4OAOMjnv91fBD9q6exv9LuPEF/dXmm+WkMcn25lazRtpKEMGV0BC/K6PgKpT&#10;aTXm4yOIo+9T1O7C1MPUfLU0Pyg8RFzrl07yFmaZi3tz0rtP2WQH+L9gWRM2485Fkbb8wwAR7gkH&#10;8K/Rb9v/AP4JD+G/jxo0v7Q37Hul2ul60tq1xrfge3VFgvurGWz2EpHIck+UDsfPybWAV/kH9kn9&#10;jnxp8aLy5sfBXw+8Q3HiTSL5V+2aLGZptJuN2Nt7athvsxYYMqgPGR92TO0dmBxlHExU4dN12OHF&#10;YapQnZ9dmfc37F/jL4qfDfw1/wAI1qPwh0yDwjcXEx03/hH5547i1YnO8xO5Eis2d3zKR1Gcba85&#10;/wCCxHifxzcfDjwf/Zvh7WLPQdSmuS2uTaHNbW0zMYysAllXJZvKLEZ5AGOC4r6K+I/jOz/ZB+C0&#10;Ou+JPJt9R0mKNpIysU3lTFAY7ddpeKSUtjJ+eMDcSeCw/Pf9rL9tb9qz9qTSl0/44eO7ybw/Ncre&#10;6T4bPliO3ZA6LISFDM2GYZYkcnAHQfQRzD2lN06eser6LyPA/snDRx0MW1aa/H1PC7jxdrN1af2d&#10;qGtXHl+a8jLGSnms2AWODzwowPujnAGTnstP8JeK/in4FsdK8N+DNc16TTrOa5ZdJ06W5kjt1kKs&#10;7bAcRqWAJOAMjkZxXm8trcQFvs8rqp5wp4/LFdR4Q+OHxn+HeinSPBHxL1zSbUsWa307VJbeNzzy&#10;yxMgPU9a4JUVzaHq82phJoNk6Bv7FmGRnBb/AOvRVCXVdSmkaWSZWZmJZjJJyf8Avuiq5I9g5vM/&#10;ok8Y/Fv4veGIk1e410apumZ/7O1K2V45Ywzgr5kSiRDlVZQoyhfrKFAPmf7aX7d/jT4Ufs3XnxI+&#10;Gnh6HUvE91t0zR9NmZZlt52586ULjKxoScYALIBgKwI+Ofjd+338cviJcXGkaBrq+HrOGF1jg0vd&#10;JMIwxOx5QuXbqc5z82MgCvHf+FyeNbLxVDosGuazrN08m26/tGJY0XGQzY3OzNwedw4GcVNWVOXw&#10;oxpRqR+JnjPh74A/FjxtqP8Aa3iFkWe6uC15eapdeZKWZss55yxySck5NfXnw8m+Gvwh8J2fhPwx&#10;G1wLVWRvJkVi7YBeRiON7Hk+gCjtXmvh4+M9O8X3VlraeXBeTP8A2a0i7lY7fMUe/A/Ou8Hg9Ly6&#10;Gq2krG1vlUx2zSMBCxI+dDngc9PWvMxGDhiUlPbsfX8NcVY/harOtgVFVJK3M0m0vK+13a/oaX/C&#10;/dN0XxzovimLwxcu2h6xDqMRuLxf3pjDjYwX5ghDMpK8gHgg4rkdS8S+ChZLoj3ElvaTTSXGmXCy&#10;Gb7Ood5ApYqpyq4XGAcDt3l0TwtpC67Hb6rJ5yAtJDDIfvIPlPPru/nW18Q/CPhm18PyWMUUTBrN&#10;ERVIy7uoQfjyaj6hh/Yqk1onc2rcecTVs0nmEq79rOKhJpLWKaaW2yt6+Z55N8C/DmsapZ6pZaMZ&#10;JLf57W7tWI85cfKSME56YYEHIrvNP+G3iLw5rMnxDvdUtzqNvOZrXTbncx3bcKGWNeCeTknqwJGO&#10;DueFr3T/AAcDYSop+yaLEPm6jkYA46E4+uaani1NcibUtQmTZ5u4qrbQP1A78ZPHcmpeDpK1unzP&#10;MxGfY/GScqsr37afl1PN/i0vifx1qMniLxTCI7cLlrdLrCqw6naeQQc9fwryPWLm0tk8o6jHGrH9&#10;2gAAgP9/yttU9snB5H419CeILLS9cvtyeHG1RSAqwsp8nj+Huo4Hcc1wPi7wT44kmZT4K8HaLZtn&#10;yvtk3mfh8sfX2zS+o0eisee8wxHV3OV+HHwj8e+N/tR8LeE9G15rqxmEfmNdtFaoCFafEEijcGIC&#10;h2K9dyEcjN/ZV+CPj/UvGuvWtxos95dWttPG3lr9xIyC7nPAGcDOe+OpFVPEGneN/Aupf234bm0K&#10;G6jXP2rw/G0Eir7bcN+veun+B37ZOmfCxdW0P4wfB+LXLPWtPazbUPLL3Gn+Y6M1xEpZcygINpDo&#10;eWG4BiDm8LWjdJppm8MVh6nxppnlPxf8Qa78P/iJeT+GdeutNv7a4V4b6xunhmhJQZZWUhlJzt68&#10;5NdB8Mv+CmH7ZnwXm2+Ef2kfEU9vtC/Ytcvf7UhAHYJd+YEH+5is3xT8Pbv4++NZ9a8L+N/D+zUF&#10;mmkb99HJbiKMukbo6Z3vsVBgsNz5Jxk1xdt+zZ8XrC8ksdW8F6nHIvzJI0BVWHqCQMiqhSoxjy1U&#10;vnYyqVK1T36d9z6e+Mn/AAVu+I/7TP7OOtfAH4zfCzR7jVPtVpL4c8SaLI9v9muopk80y27F1dni&#10;8xd8bRhSQCjA5Gt+yp8KW8EeGNJ+M/itpGu4Nas7m1hhG5oo4pt5bPc/IeOB7c15r+yv+xfq3jHx&#10;JDrXjuJ7WztZgsdqqlpXbruIXOBn26iv0U+Dvwn0a10XZfW8R0+0WSRf7oVPl649FP5mvEzDE4aj&#10;F0qGnft8j2srw9T2irVd1sebfs3eCvDv7UH7Rnin443X2htHt9clh02G4/5aLAqxhj6fKFbA7ynO&#10;eDX27e+CNOi+F2vXMXhmbUZtX8OT2TW9uqtNLA0bARx7yFBYEcZGflz0Ar5U/wCCXfgDxd4i+DGl&#10;JNokml6P9qv5bvWJSFkupPtjgiEcFztVU3/dAUjJIK19C/t4/EzUvgr+yN428Z6Fr3kfZdEW0sU8&#10;vZKGmdLcEOp+UgyZyACO2Dg1WFws5VHUnskkkejKmpYd83XVn41/tJfGT4veGppvEEPi24Mt1q1x&#10;NPM14sjje2RkrhSQc4K8EHjiuh+C/wC0Tp3xA0BfC/jq+EyPgEJw2/8A56Z5+YdR715J8WL6fxz4&#10;DutXNo0axcszOWJ6Zxnsu4A9skAYwRXD/DW91XQLqO7S5VNpw7KobI7H2NfQ4aP7s+UqVeWp7p9k&#10;fECbSb2xlsrazEmuW9qtwrR7VFxHgrvb0ICEkDAJBHevOtO8WaDa3Bl1W+hm2jloZQ/6Dn8M1yHg&#10;b4qajrvxWl1eMSTLDo4sTIZCRvLMxPvw3J6Dmucs/HPh4RyW8+qMkbSFVnWAyrgduCCvH4c59a15&#10;WZ1JR6HqN74y+Hlu7XniW4j1O38klNPad7dJG7b2SMkj6MSOmasfC/8AaD0XU9RvPh3b6BeW9rqS&#10;EWcEKyyRWk6kGOdN5zuVc5AHPfIxt+f9Y8b3YMljpV9+53FYZorhQB9RyB+f511nwN8YfEDTvGNr&#10;pvhrWYUk1BPssirMjPLvbGFVTnJBI/Ek9BRUpRlT1M4SlzLU0f2mPE8Wi+NoIim1bKEDZ6PjPfsA&#10;UA/3SK8ouvHNxNqRvJ7jarQlUX0yBn9K+gPjn+zH4n+LPhSx+I3w3uptS1hLh7HUvDpixNIwNuI3&#10;iP8AGz+fnZwQIpW6I2PIdM/ZO+OOoxaqbbwnHdNo+tXWj6wi3HFjPCAdzsPlCOdwRs4Yxv0wM3R5&#10;eVJBV3JPAWk+OfH2nX0nhHwzqGpW+h2v9oa5NY2rSLZWoYBpZCB8qA4GTwK+lP2Krv4H654B8TeG&#10;fHfhrw3qni83VrN4dtPEV7qVubmzihuHu4bZ7T91577IVT7QVXc3BY/KfMfhx8Mv2iPhV8KfEvgv&#10;whr95FZ+L2tX8Tabo99EktzDbLMEifLhpIj57lkAZSQueldB8GviL8K/hf8ADfxN4X8VaT4sXXdS&#10;vrdbP/hH57OymNsIp45YJLuWOWVIpBKVaONCsgb5yAmx7jKMtjJo9i+MXw9+B/x0+Fsuo/Bj9nU6&#10;De6f4Nj8VafNcXyPOun2V3eWWpDzolG8sUinHnBXH2aba6iSKOX5B+JfhG0e/sde0uWSQSRqsskz&#10;ZZXXcRz3BB785B9Ofqz4sfEj4Bf8M2eIfF3wM8eal4b1rVPCNvoB8DX2sTag9navrE95e2qSeTGA&#10;jbbOWNslNi3SyfvXj3fJegeIUvvD1xYX0m7zIQ0LFeVboD+eK2o/GQd/8PLtn1fSdRSHbJ/ZDqUV&#10;cgFiufxO0V9q/sg+AZfhN8NbP4gX9q39qeJLpSZJFx9hsVkYxqM85lPzHHBBjyBtJr4n8CyW0Wm6&#10;Rc29z5jLaFZhj7mAOPrkV99fAPxPZeMvAHh2yu72L95p62yyXTcfaMFRn+9u2yqT0wCSQDXu5fCM&#10;qvM+hw4r4VE9O/4SexjvWvborJxlzIuePWodT8c213ab7e5aGNlI8yGz81x+efyxXnuqeJdT8C38&#10;lj4g0aWSG2ZhI0abplX+LI6PjOGwM8qwwHUV337Pfwa/4XD4ztvEXhr4hXcfhZG83UIdPuCv2grz&#10;9nJyGjJyA2MHHHBYGvVxFenhqLqT2RhSp+0kox6nqH7Nv7OcHjG7tviH44064urMsHsLO/tY4/PJ&#10;OfNeMADaMABSMsck8AA/VUKWuiWrQyT7uPmVRwPxrlNO1dNBto0SxWFVj22/lqcBVGBgVzHxH+Ie&#10;saA7PZxPIyxszqx8vODg4z1PtX5fnGZYjMMRa/fTsj6XC0YYenZHpZ1u1mKyxyLt2kKuR+dc7478&#10;Q+HYkWC8cFFVSszN9xsdR6HjrkV5XY/tN2ui3a6FqMf2a92hpjdKzDk4yNvbkfnWZ8TfjRHqV4os&#10;7WFkkhUs0bfLyOoyOSOK58Fl8tJSOhyuzlPiVZ+G7bWJtS8H+dZzqzSK2ntg7sn59hKrnuWVl6/d&#10;Y81L4V/aV+M1m7Wel+O7HW4duyG216MNN5ncAt5cso6YwxzjgVzcOoaf4lu5rSyuvKvLfLqi5JYd&#10;SfpXTfC/wr4N8Sa6t/eLJo+pR5U3FkxVZD6leM57jkV7GKp4R037RJ+upUa1Wm/ck0dRY/tJ/G+0&#10;tfM8V/s6sxX7zW/2mEMPX5onA/M8VDr/AMWviJ4606Tw7Z/s9W7WOoRyQXcOr28s0M8TKVZHDKql&#10;SCQQwwR1B6V6NbRT6OFtNQ0LTb63k4TUYLdFYD3OM/rUfj278KaX4Ymu2sLWO42f6PJHEN4b1BHN&#10;fLUVl9TFKEaC33u/8zqeYY1xs5nw38aP+CY3gvX/AIL614X+D3g/w/4X1vULy1vY7Ga8uGsL2SGf&#10;fsbLv5Y2NKi+Xxl8HYATXyr+yXpPgTwf+0Q3ws/aw/Z00bSbyyjnhutN1rS1khj4Yw3cXnIymJmU&#10;jP7xSp3Atk1+rlr47uPEKx6brVxDeNGoC3Sxr53HGG4zJ/MetdIPhT8LPippcGlePvBGnaskLM1t&#10;Pd2YMtvuHzNDKMPE2P4kZT05r6TMa0oUrW0Wh5cMPG/MlZnxD8R/GPgbw94O1Tw/4B0NLizutKkg&#10;sbPTdL32+GjYAAKoUqCfTjPua/PH9pb4XeIrzVbrxNHe/bnnnL+bs2nbtyFAHG3aABjoeDzX6+ft&#10;4fsh+Ofhp8LtQ+MX7N2njVrPT7SebUtDvMmSzhWMsZINv+tRSoJjOGVQSCf4fzB8aeKE8W+Eruy0&#10;C0M2sW93FZNaxQsxYyLlCFGSFJ3AH1VumQR5OX1o05qcdb6Nvddj6eOHo4/J69OM/fg1NLZSSTuv&#10;NpXa9GfJvzRzeVcL7HnpVe70K9imW4hIljb/AGskfhX1N8XP2HtX8Z+EfD3jf4YWUkepahpNvLrG&#10;jupCi4ZAXKdw2/KlD6ZGK4m6/YP/AGsfhtpUvjnxf8KtStdD0+MT3l5qVnJDGqdAQZAAwJwB65GM&#10;5r3sLjsPiL8sttD5TEYLEYezktGrmf8ACLR9O0OysfFett8sJzBB3mkCcL9ATmvuP9k34x6L+zt+&#10;zzF4etPDXh1W8RFb3VL+NpodQvJDIXVJJAZMlEKxjaqqAMhc5LfJ0ujaB4p0FY9YS3hmtfLDC1h2&#10;KsDElxyTliyoAQFGMkgVpQeJPJhjtrNPLhh2pbqZC2xQBx+AA/GnjsLLFSjGM2knrbr5a+Zvl2Nw&#10;+BvVlTUpfZveyd99Gj64+OP7Xvx2+KwvrrwR46utBtfs5FlpNjMisrBeS85Tdzk/d25BA54FePfC&#10;P49/tdWOqRt4u8Y3Uk1q2+KW8t0Z4yDgHcVUsfqTnj1FcvofjaezsV2y7mwFJLH0BH6ityy8db4W&#10;NwqszRswG7ncX3fj3/yK2jhqMdkcMq0qjbZ9TfDH/gp9+0b8P3hs/iRpOm+JLRUJZo2NvJIo6bH+&#10;6rdMqy5J6cDFfYf7Of7Wfw8+Pkclx4J1pplu7Im9066IWaznVuhUEghgT8yll4IyDkD8nxrkGsIb&#10;GOV9275OeknUA+zfripvht8W/GnwZ8cWvxM8A3/2TVNOm/0qA8pcxEfMGUY3AgYOMfUZBFSizO0W&#10;j9kPg14wsfhb8b9OutdvfJ0HVZpImZuI7O7dSEcnoEdsKfRyD0LEfWxu8Dap4r86fhl8b/B37Rvw&#10;usfFelxQyWep2u28s5MN5MvSWFhjsenAyCD0NXl+PPx6/Z5todE0j4gXs3h2SRY9MutQjS5W0YnC&#10;W8hkDEKOiNwOik7tu6TC3Kz7K+Ll7q9tdW9/YSM0fliNgpPy5bGR781D4Z8XW8Vr9kttL+yeWuJF&#10;aTJz6nHX618I/Gv/AIKMftmaZ8MT4y8PjwRJbwaW1xqX23wzOz28oLKYG/0tQHyB/CwIbOCDXpf7&#10;CH/BQr4d/tifDDS4tRtpPDPjQR/ZbrS7+Jo4b6eONGleylb5Z0AIZowTJECN4wVd841Kc5NJ7aM1&#10;lh6sacZ9HqfWt5491Ww2Tyaez25x++Vc5rXsfFkN1YLerKuG56V5xa+PdS0G1+wyW/2lPutCRmo7&#10;DxnG1/umj8hWb5YWYKE/GujkRUT07TfE2mXFybZZZN27J8xid2fqa/FX/gvL4F1L9nT9uxvjPb6C&#10;ZtH+JOjWs0Swt5aPdwottOmdpG8BIJW9fPHQ1+i37cf7dPw3/YN+Bd98cvGdv/aV55i2vh/QluBH&#10;JqN84YpHuw2xAFZ3fadqqeCxVW/Eb9tL9v79p39ubRvDviX4+XMa2V14kurvw9a2mmiGztooo0DR&#10;WucsY1bcGYszudu9j5agd2V1pUcYnFmeIhGpRaZ6r/wTL+JNp4M/av08zIytqFnc28NwFDCFyu8M&#10;d3HzBCgyPvSDFfb/AO0L8PNI1fwlJcXDrBbzMr2dupLSiT73lgkAbRnBY4wMcEkA/mF8Ir3WNG0f&#10;T9bttbk0+61DxBb3WhWbW++PVby0f9xbH5wApLyB2YEKz24OFl3L9CeA/wDgoFq/ji50Hwn8T7K4&#10;gsY9XurbS9euQc30UixunmAfKXjVQsjISMyxZAySdeLcN9ewbqxjzSirr+v0Dh+pLB5hFKVlLR3/&#10;AA/E941jwLd674XsRq/iCU2tuI5FsxCmPMXB5YKGb5uSCSMgYAwAPzh/4KEfD238MfGibXrVG8nU&#10;o1k+7xu7/wCNfqufDb+JrJdNiMsCtwu0YP1NeMftPfsQQ/Eq0iVrRbry8/vHHzr+PpX5PluYxweL&#10;cqmz0Z+i5th5Y/CqEd1sfmr8IvDMWsi5jgulhYLtkuFXmNM5Y57duf8AGvpnXbjRPBcWjvpFrbab&#10;M2jwLeR29v5asRH/AKxyOXYqFyxHJwOo59B8Ffsd+Cf2cdC8R/EzxP4fk1meyhgOm6O0mIZG3Nua&#10;TByUHykgc8jp94eX/tX+CfGOrfD2Tx/qN1AtxfMsl0m0xoVlUS7QFY7eJQABwAqgcAV9PPFUcU4z&#10;i9GfN08HWw8ZKaPA/jx8Yr/xl41/sfT9ajuLOFfLCsXWN8DqwGM5Gewx7kCsKz8v7PI1z4V0u4DJ&#10;hfsepGMqfdWDY+uK4zVbi6sZvLWezQRk48uEZ6nucmrun6yby1XfLEG7mNcH869SMVGNkeTKUpak&#10;vi5pNO1DT9YvdB1DS7G1vYnuLjTNVE0wiDqWaMFVXeAMrnjOM5FfcXw8/aM8E+JfBFnqXgzW7q7j&#10;W32+ZfHEqtjkEZbn6sT6k18H6xBY3abJ4Def7M7EgH14xWb8KvivrXwz8QSaVPM0djdTYaNshY2z&#10;ww9K1g/e1Mpa7n3T8S/iVpOpeDLzUrH7Np/izUFTTNH8SW9un2y0G4ybhJjcEGCCAed/4jxb4Q6/&#10;4l+N2iXGteJdWuLm7W6dJtdazEKMm1VAkVWI3g5ywHI69Ca5/wAU/EWzh8I3GuXtwJpP9ZCzN1JX&#10;AUfXIrrP2XbT/hFPhPI8syrNcuk160agA72IQDGOgb8DxSrSlCN4m1CMZyszbuP2f/Gulo+spqFn&#10;emazw81vn94QuNxzn278njrUngbxPf2ctxpJ3RsvzLGcqyjI4I9Qu0n/AHDXQ/DL4m3Wia9ceD7i&#10;/HlySE2ySMcRyf8APP0x29MfQVifFqZmv4vFdjCfOgm3Sow+b5f9ZG3IyQBjvxx0xjk9pKWkzv8A&#10;Z04O8T7f/YD+PfizxDaWfgexsry6lhm+zILdTIQTz5bKOQAN2CQBtQ88V95eHP2dvEeheDddufCF&#10;1b6feeIr3+0NY0Wzxsu7oxJG8pbokrKihgvysV3ZyzE/kH+wP8f0+Bf7Tel351QDSPEccdtN5kny&#10;oZFwkgz0+bg56bnHU5r9qvhx45jmtxPJqG9erbosMvtj868z+z4068ppv3vMdXHVKlNQSWh+e/7Q&#10;upfB/wAV/E9vhj8QfhHeeKNQsLsWlnYm6kWCG4kbZK0qeWxM/JC7RIwG3Z5cjPj4D/4KO23hrRP2&#10;p/Engnwbbww6b4dki0uGOGBYhvijUTHaGbB84y9WLEAZ5zX79ePPAXwU1PVNQ+NWraZaafrOm6Pc&#10;SSa7DZKZo40ibdL8yjEgjBXeDkr8pJAUD+bP4q65q/iPx1rHiLWrx7i+vtSnuLueT70kryFmJ+pN&#10;fQYKlSjTSpKSSWt3dN+nQ8ianKo5z67ehyMoQBjheOtYOrXqyXKxRyfL1rS1q6W2hYu23Nc3aO11&#10;e7z2BrrlsZv4i1v/ANqin7F9KKz5pdw5j9BfB/wV0nwtql1fSXKtDJC0nlyKeOMnP1qrrfhTwfo/&#10;iZbnapuBJFubJyzvtJP+eMV0l74ms5vEcyJLuDBRNHu+4vAAP4Zrj/GWrW0+uwzWz7lmvI1Xdzk5&#10;Xj8AKwKN74kx2kHiLSLCRQ0Nm08xyfmbYqon5A1jaX43WCzVvtixrYs7tub7yhSqj/vopXMfGL4k&#10;248fSPaEyDTbERTqG+8znd+m4VyMmvXl34fddERfM84yz7sZViQFx9PSgDudK8dPNrsuouo2GQxw&#10;/wC6CTj26ZpmpeNJry/h8+8C+WqfeycMqjJz7En34ridN0jUI7SI3esGHnErFTlvU/X8K0ZtZ+H2&#10;khYl1+RpmJLTGEkLz+n5UOXkBfstY8U+JtTP9kJNLJcXatcSTxsI4oV+4gLYyOpbj+6B0rshpfgv&#10;w+rR+I/HsNzOu0LJbwmWNWz0RSQRjPUjBx0riW8f+ExDEk3jq6VQ2PltXVceny9aTT/HXgC7upLK&#10;1+IcNim7/ltYmPzfX5sqw/M1mVzHoLax4BdvL+1+JLx9hVmtLNo0P0G0KPwIrB1PVvBcGyS48N6x&#10;8jb1+3aTBOwXHRfNPT6kViyRvrMJbw98RFvZB8saw6kZQPb5icfiTWFqOgfGGFMN4ehuoTwzrqKN&#10;/wB9COLI/AgUElD4hfFjw9Z+daabaX8BVeHa2gCA+uxXIH0xXhPi/X7HV9V+3w3aGZZNzcBQ3P8A&#10;dzgV614l8D+L7i2Z5NCijOcF4LyaPB+vUj8CK8m8b+H7izDDULGTcrfNMrrL/JVP8qAM7RbmO3uv&#10;7R0u4a3vFbck0MhTaQc+/wDSup8VfFX4paxBHL/wsfXpfl2yQx6zN+64/hUNjb7D8uK89SzMZCRy&#10;Qy/Nlf4GUfQ9f1rqdJ8OQawiwfa/Jlj+6ZVzv46DGMYqfZxk9UUpzjsznZvE+qX87Nfahqd00edy&#10;ywlvx+Zq7r4LftU+PPgN4kh8Q+AdX1TTLhHVpo1UNb3Sj+CaI5jlT1V1I/Hmt3wl8OrW8tyktz9o&#10;B+Vt8fC+/Oa9z+BH/BPv4MftF+ENQ0HR/jJBovxN87b4b8K65ZmOx14YztW+LrFaycEBZRhiYwpY&#10;sVXscYyhySimvRGca1SMr3f3n15/wTI/b9+HPx68Ot8Ob57bRfFFveXl1Do/nny7yO4na4ka3387&#10;lleTMWWKoQQWAYrH/wAFv/iPL4f/AGR7XwtaXTebr3ia2ilKRs++OLMu3jgAMEPOeRwM8j88/iB+&#10;z/8AFv8AZA8aW+kfGr4U+IvBOtR3B/s24mhY296VP+ttrlMxzoOoeNmXvmvuD9oj4keINQ/4JUQ+&#10;M/iS91e+INV0Fre1vLqEid43umQEkjPzWpDl/wDloMHJzk+fXo06dml8j6bBZhUxlCVOe6T1Pzpb&#10;WLbUPC95YKY13WS2kUBJ+Vt6ux59SgJPqK86vo9PR1V96S7QGaN9uccdCMHI+lVv+Ezmgv5HC/Lt&#10;xHH0yDiqGpa352sR3q7ucYRu3vW1Gny6Hg1qkXLQ37fxPqWmaSYLK/kt7SRtv2aN8B/UsB1z0qje&#10;3YnC3EU/8PHze1YI1GdpW3ndydq+ldd8JfAmufEfxbZ+G9AvYRcXFyiqk6Ej7w4rWUY04uT6Gcea&#10;o7I0Phh8DfiF8YNRg0nwrAt5fXl1Ha6fZw25aWaZ3WNQTwqqCwJZiMD8j9NH/gm98Vf2W/2iPDXh&#10;XW/Gek3UmoahFAutaWskkdqQivPJtlReYzuXp1jPTPH2l+xr8Fvhl8K9UsPh34SsoZ9U0O0gudV1&#10;NoB5lxcuXOTjgAcbVH3RnOWyT57+3r8R7jxN8WrUeD/GFqY9Lt5bfUBGziaCSTKynoAAytgnIA3c&#10;Zbivkqec4rGYx06K93X/AIc+orZRh8HhIzqSvJnyjr/hG88TfEKDVvDXie80PS9FhRb/AMQWkzrJ&#10;PNjcREVK5IGEDKSuQWztar2nXelJdsmkaBdNbxyk/u7gFn9XfALMx5yxJ6/l1kPxL0WSaHTbXwvH&#10;JbR/JHNJGNoA4yAx4A6ZCitSbS/h/wCJV+1aVrkdreKAY1WTckbZ6A4BH5Yr6SK5Y2PDlG71G+Dv&#10;Eug6zNHp0CCzmDYVbjB3H0zgfzFaHjn4aeF9eS28RaRC1vrkDBILm3XEkUwO5GzjOVccHtkYxXK3&#10;mq6ZpzjVJrfy761lHn+Wo2vkj5ge4bIPHQg1NF8VdQHiSO90TXprZt3mfabWTa0TAjlSOd3Q5qox&#10;5dTOXKrKwfH+P4h/ttfEu1+JWq/DnSPCsceh2+nawuh28irqE8ceGupXldvMkPB6jC7Qd7BnbzaX&#10;9jOfSY2j0rW1mVVZTHuUSHkHgBjnnpgGvd9J8Sa1r1zNJKk6C4k8z7S0wXzM9T0znPoQa4/4xeOp&#10;vhLLDfNfW8lrdt+8trvLMvTnOWJBIx2IJpe1qRldFRpU5bng83h7UvhdqsdrqllKttMzAXDKVUMO&#10;ozggEcfn2OcfQnwO+JlnY6BY6VJfiSLTIZLo2ayEPe30rJFGoHURKrw5P9+fgEZxw/i3VLD42+Er&#10;i30YS2Wr20bXttJayEFWSIlQDnJDDHByDjuBiuU/ZkvrvXPGFobm++0TFIXmkZBh3RMcgEAfON4w&#10;OqgHAJNe7lOI55We55+Noxjqfc+gfETwt4x1az+G3xBsLibULhY4tL1C2jLPdA5CH1ZwM9MncrqA&#10;43AfVHwZ+ENn8LfB7aJ4a1Ly1mmPmTKpUyuGOZSF4JJz24VUHQCvEf2Dvgfpni3xBdfFrxxZrJa6&#10;As0nhv7VHu8u5ckSSryMhIsY7b2DfejBH0bqPjCO1102BjmMNnb+bbrBHu3RDjBHrkEfjXLxBmEv&#10;aKhDZav1Ky+jyS531O6vtY0Z3Swgu1mMcaiQ7h8u1Rk/if1rgfHwfx5en+xdSSGazgb7FKZDsml4&#10;3RsO+R6c8VF8NvClj8W/iZHZaTrF/aR6ld7LqS1mKNHGqtLJjcGAO2MgZUjJrqPGv7HGk6J4e8aa&#10;nH8R9YsdI8O6auo6DJ+6kmnmjtvOl3YCAjOxVx3Yg8gZ+RpYeriK3tmz1nUhHc+ZvFWsv4gK6dfM&#10;q3ljcbPMib5lU9AG53YII9+/TNYWm+IPE0VzJot+jSQxtlJM9ePvY7EHrzivT/id+x38Q7T43eE/&#10;hfoPj2zu/F3jPQV1PUY7q2eG3018PIweRTI0gUxzDcFBOOF5FZfgj9jz9qHxFf6pBoXg8a5a6Lql&#10;5p11rFnfRLDcTQOUcReaY3mAcbMhOox6170eWNNWFGcXqedW+tav4d8bWeuqFWLdtkUE/NGRj9K+&#10;gvCl1oF/HFeWipDcKoZ+RnOPWvGfG/gu9utHt72LRG1BVQRzi3jY4Oe7KwAAO7JJ7VJ4AvPE+n6r&#10;HpVtqypbyx7UguIjI20DrnOduMcE9a8PH1FU8jU+gNS8WPY2LXFtqccTR8ywzSAbx9P8Oa5HV/FW&#10;k+MdGm3SxxyRMUWGaYDPGcjqMfU1n6houuaxokN5Pf8AmSeXgwpb/MWz7nn64FcXbaPqF5fXFrLE&#10;zRrzO0h4Htx0P45rny+jTpvmT1A1PA12LjxP/Z8t4NpY7WEgYA88V9HfD67TToI1n+bcv3lzur5Q&#10;1HxPY+Hdbj2WbKY+VZsKT0AIwevB969b+CHxfTW/EP8AYuryeXDNH/oUjNjc/v712ZlDESouUXol&#10;qXA+gtM8UrBeNaNJuhdG3LswAvfIPXjNfl34w/4JTeOvD/8AwU4vvDPwr3af8O9YtW8Sz3z2LmGx&#10;0zcm63R/uNJHOpWKLO4J5ZbCsTX6HW3iuX+3o4rlM+WzJt9ckcfkD+degWd499of9jspK39u8Sqp&#10;+78h4/L+leDleIl7RwezHKVSm1ODs1/X6s/On9uD9pjwt+xF4E0P4Z/Bi1/s3xHrNm05toVBXS7J&#10;ixSSeZT5kt1IQx/1ioi8MhCoZfzv+In7X/xq+Mel/wBj/EL4r65qlnJMJprG61SSSElG+8y52sQ3&#10;AJGQckdOf0H/AOCpP/BMr9rn9o3xbe+Lfg5feHtWs5LdhZ6DfXwtby1lY2/mCN59sRQrax7T5ike&#10;Y67cDe/51fEr/gnN+3x8CdQez8c/s0+LPsyxK1xqWi6edTs4lyThrizMsS8Z6tX12HjRpxvojz6r&#10;nKNr3MW415nVjGf4QW2nhuTgfTkflWhp15JLqEKB93lxGST6nJI/T9awho2oaLe6Zo+r2E0FyW86&#10;aG4jKsgA3BWB6E+h5rS8OvuuL6csNy+Yi+x2KP5k13Rloccux1MeqRQJlZOCo24Pqa0LDxCkUjKs&#10;xz5ka/Rc8/zriNU1ySzgjmf/AJ5qqDPTO01UtPFLRgNHLgmTru/2M/zqoyuZnsWi68JVmAZmIjG4&#10;54yGxge/er2t3X2m5hvWK/vMrKwOPlPf8/8A0KvN9B8StNGwjb5mZx9duCP510R14XlnGu/5PM3R&#10;spzhWBG38DzTlLlNEfUf/BMr4o3Hhr4lap8HtWu5PsuqWj3em/N0uYsbgB6NGSx90Gfb79Om6d4p&#10;8Pz6Fr1nHdWtzCY54J03K6kYwQa/Iz4I+NZvBPxy8H+IkZo2h8QQhpFk+8rMI5Y/91lfP4n0NfrP&#10;4N1SKcoyMdsmCOeOlRK3QzqPY8D/AGm/h7qXg/8AZ/1zwNbapcSWt1eRQ2jTMWkSKS4jTYT1bBY8&#10;kk8DJzXyb4p0TV/CH7K3i7wDJMy2+l+IrO+0m7Fw6tZaiFj2SIARgtHLIpbr8q+gx+gH7a2h6rq3&#10;wYvptHsp3j+xzfaJbOMtJCcBlcAc8Fc57d8V+Zv7WPxFRvA2qXkLNHJqGr2OI45mCs4CBjjPOBGc&#10;Z9RXztZVKeYOEVo5J/lc+kwkqdTALm+zFo3/ANlb/guL+1N+z9LB4X+JrJ8StBiZi8evXrx6lGNv&#10;AS8AYnnk+akh5IDAYx9x/Dr/AIL5/wDBP/4h6Yp8a3/iTwVf+Womtte0eS4heQ4yI5LTzsqCcbpB&#10;H0JxX4WNqrx6rMEbGCe/0pVvVmdEc8NkfmK+h8j5/wAj9av2pvjb/wAEyv23PHFrrn7SX7RmqaT4&#10;b8PSXCeELbw7qzyreDegkke2js53V5GQ/eMTBFiyDuJX55/4KNeKPAEvxX8O/s2fs++CPsnhf4Y6&#10;ZLaafLZTSXDTz3flzzlt25sqEizlmO9peQAFHxDpBaDVI4MH5ZFHXGeea/UDQG8b+JNE8H/sw/sL&#10;XOreFfFWvaLB4n+Ivjq4XYY7WWJ1k8y5+aUyNcZKIihQChUhmfbFLE/Upq6cm27dPvZ6VaOHx0nO&#10;EVShFRTSu9Ukm9esnq+i6Hlvhr44+G/iLc6RofiTwVY3slv9kOtLe+H7BtyybVuZ7Tz1WOLZEoCq&#10;zxAOtpEm2GExn6BtP+Can7RX7X/hpV8I+B9I0tL3SzBJ418RQ3CKzb5E3rJM9xfyfInCsxUKUDJE&#10;QyV9ufsgfsCfs/fCnwBDY3HgCPxBql5dfbtT8ZeNLS2v76+vPmPnqs0TLb7SzEYLE7izMzEsfqOz&#10;8VatoMMdvp2pNfQwqF8m8jjXco7IY1Xbx0zuHsK9KWYYitF6WueLGmoz5jxjwf8AsVarpIs0l+KN&#10;rN5cSi6t10KQSO+OdrtKMgn/AGK6m/8A2Y/CCRyK3iO8jkx/q7q2B3cduBx+Neu2PiDQ/FFmbu2R&#10;Y5I8CWFuJI2Pbj+Y4PaqOq2M9w7EJ50ar/q2J8xf9pf/AK1fOf2Plsnd01+J7H9sZhb4/wAv8j5i&#10;1X9nXwj4V8bSXnjD7HrWharYmzkRVIe2nO7ZKUVyWXa0sfAyPODY+XI/Nf8Aa/8ABWm6P4KsfAa6&#10;rNbwzSRRyTSbpZ3SOCONgI8jc52kgsVXI5cZr9hPiZEYdEuHWHdIiMYWZQd59/Q/lX5j/tVaLH4w&#10;8R311ZzpJb6g1xcrcRtuxLscbgeflICD/wCtXNjMPRwNKEqask9jty/FVsbVnGq23bc8v0D/AIJW&#10;/B34ufs5WKwWU+keMtP1dnOrQ3TNJqVlImRHJGd0cb5+7tUhSNrOQTJXyT+0v+xt4u/Z0xqtq13q&#10;WktJsF8in902MlHXAKkD1Az1GQQT+qfgPx9a+H/Ca3VxcIv+irtz3wOTx1HsOvQda898eP4e+Lfw&#10;w1xvFltHp82sPdqisuSsTs+yNhjDYXaGHTj0r53D51jKOKftHeNz6GtkuFr4W8VaSW/ofkEdZtYp&#10;A4nkZs/d2n/CqOv2Frr8ZC6csJ5bzGY7jXSfFnwpceAPiFfeFLmFMwzHyn/vL2PNYLzGOQyTP1GK&#10;+6g1OKkup8POLhJxfQj8P2HiLWr+08L3upO1nayK47Antn1x0/GvoHQvEEOi6RJp63DLHFaRtIzA&#10;HGSxHHbAUV434KuR/aD3BlXaiZ+rZH9M10dvq91ewyby4Fy53Z/u44P86KvNJJFUfdlc7rxDrErv&#10;H4hsJw2ZEkDJ3OQ3J+jitzxN49XWPs7CUeXeRK4l/wCm8Zw4/wCBLgn/AHm9K890vVJobP8Asxxl&#10;BEp256fL0/WmG/urGzW0t3YK14xCtHnAKLz/ACrncbnfCWjud3o95p+pWn9kXd2YZYT5ul3CyEGJ&#10;s8g/7ORnjoRwD0P6rf8ABNf9rKD4u/B220bVtRnuPE3h9fJ1q3uZl8x1BI3BQF+XG3AAAH3Rnbz+&#10;Qd9c21p4NlvLqRVuLWZijrxjLREj6A8j/eNe+/srfEbUPBXj/QviF4b1x9NivmjgvmhH3G4GGH8S&#10;kY3Ke6k9c0VF7tzBx5j9o9dGifFD4c618NtY1i6h0/xFpNxp981jMIp1hnjaNzGxDbW2scEggHqD&#10;0r8yf2wv+CIFh4BW21f4A/tCWt0up3y29jovi60KvDncSXurYMOFTp5K4yOTmvr/AMI/tD/2XqMc&#10;Hi6A27sq7biMYimUn7w9P8896wP26/F11oPgqz8Z6Hfx6hp+oaPcw2NtBMpMl1xlsdioMbckD5WB&#10;xmuzK5yrV40r6P8AyMpQ5nY/EX4n/BT4keEYb/U9Zl024sdPmdJbzTdWhmQ7SBnAbeucjAZVPPSu&#10;W8KaVdarapqGkWE06MpPyry2DjH51237UXxK07xI8Pw78OwWfl2czyapd21qI2knJP7tmBJfb3Pr&#10;gH7px9l/8EgPBHwZ8X+ELfU7b4d3mqeILK6ktLvUJreO4ttIkAV47qRN4bYwLBfkJ3rgNleemt8S&#10;jFre2ug5UcP7RRV3p6nxvD8DPjjcwrc2nwU8TzRSKGjmh0G4ZXU8hgQmCCOhHBor9sbrxB8KJLmS&#10;Rrdpi0hJm/tK8XzOfvYWAgZ64BI9CaK1+p1P+fsPvK+r4fzPzsl1trHxjql8zsqtEpbd6jA/rXN3&#10;3ixX1jS7Vn8xo9Q8yWQfdXaGYn9BWX4v8Q+ZcalqVpcHy2VlVvfZtx/31iuK1zxXYaZHJIl7sPkE&#10;Mw5YllA/xrgujz0yXXfEf9peJ9Q1KaZ2+1TNI8ceNzDoBn2AFXPD2u3F7bzGS7isY51ISPGSPTnr&#10;nNednxQoYz25YeY21RjqKuab4wgkmwk2dikeWoP4d6dyrnbaXZ6RBqcOoahfS37wSBxDcxmSPcDk&#10;ZTow9iCPWui1rxS3jHWrjW7+y8u5uJvMmj0vQYLaEcAfJDboqIMAcKorz+x8Q6rcSsbO1WMcfPdN&#10;wPz/AMK2rDxhdWbltU8brbtj5Y7eEN/TP6UtwudFDFqcbRppt7DtY7tt1aOpX/vpMfrWj/xVsjrG&#10;sis6jOyzjt+f/Zqw7X4o2lvAz2/jPVGkWPCvHaxHn/gQBq/pnxOstRlEOrXEl3xxJPpGxh9HHH5E&#10;VAEOq2mqyOy6iscEzcfvlCk+nKng/UYrPXxb498LxG5mt7u4tfuyeVcRzAfiMkV1Unj6aCBnS2/t&#10;Sx24khaPzGgX6j5l/wAaTS7P4aeOlc6Aw06/dgrRyyn5z3G7ufqD0oA5yH43fD7WoJNK8Ry3UN1t&#10;4Vo9ze5K55A4yQc47Vh+KfD+m64skvh3UIby02/MtvIN8fvhufwre+IfwRsL5/LCpDdQ4KyLj5j2&#10;IJ4P6V4/4g0vxR8PdRe9htLj/ReLjypMMVJOHXHUZHIycfyAKev6Q2hSva3MKsrcRyCMKP8A6x9q&#10;k8Hanc6BqUN0Z28mSbG6TBVfw7jNdV4a+I2j+JdJuLXV7G3ml24dpIwrgH9D/wDW61WuvAdteRqN&#10;K1Nfsq/cWU7iM+4zgfQULcD0uDTZJCt5523jny+Fb3wPWtnTtZm05v3iblX+IHmuOtNfOl6XFYvc&#10;NM0cWDJn0rPu/HE6ZiUO3sa9KnaUUYyjZn1D8FP23Piv8IreHw74d8VQaloqTCU+GPEljDqGn7gx&#10;JIgnVljJy2Wj2N8x+bmvqiz/AGh/2UP+CjvhKf4O/F7wHb+EPFUmnXQtRp0zCy1GdvLZRbowYRsT&#10;Gf3LA5+TaznIX8of+EkuNQuSkX3lb73Qiuw8G+INSW+s7DzZ5tQmmVLH7IrGZpCeAoAyWz6c56Vj&#10;iFTUdTahKrBtQb13sL+21/wTa8Zfs7fEqbQPB6XWpWfkmbbLasHtcscROwBVjjB3A45xwQQPl7Wf&#10;DWt6bqAgu7J45I2KsGGMEV+6mgeAviH8SvC9trHxsu4dQ1w6FbWeoTSRpuyoyRIyj55Ms29+dxA5&#10;wRXiHxk/YM8B+LNUku4fD0cLMxL7UGGJ6tzjgHtxnFfIy4ip08VKFrxTtc97+w5VKSlezPyVsNC1&#10;O9vVgt4GeaQgKqr1NfZ//BNz9k/xe3jWx8c+KNMkgS4vo4bdWj+6Hbb5nP1498ete3/B3/gn74U0&#10;P4iQak3hD7RHarvZbhAybifkGDweOp9R7161+274m0n9mv4V6f4N8IvDH4g8QxtFDIJNrQWqjDyc&#10;fdJyEB9C5GCoInEZy8fbC0N56X7I2w+Vxwd69b7OvzPI/j54/wDE3h74x3nh74OfGOG2t28qPWJN&#10;JjUHfnlPtJkIZgMjCKcHAzknHjvx0+INj4YsPJ02BrqaeEeVbxrv82QgEbiR83yncSecmvJvEvxU&#10;1ea6isvDzxi6s4pI7GaRlPmTsuDKTnHcgY4ArZsoNQj0ywk8XRvcXxtES6mkbAfb3/2VGcE9ThQO&#10;levhMDTwsFFfPzOHF4ypiJOUn+JgpefEi4K38R3XUyeZKCrzbSc4HygrwAPXBPANR6h401SO3nEe&#10;sMuoWsfmSWqsGyq9QMfdOQem0j0HUem6j4je6077JoFjCwmiEatI4VeoUKAoLMeAcnHHrjjP8CfA&#10;a317V/O1iOBZWbF7cQxqu1ScFUxjLbc/Oeg9yRXa+U8/mfU5L4aQfE7x1d376nZzJZWWmtdzSScB&#10;FRtu444UZKKewLqB1wLOj621peTWFncXHmRsRJcW8eAxAOSN2P59q9W+J/ie18D/AArRPDFpHHd6&#10;paIkkuwKscC5ZUj53OrE5JIGMKQcivnvwrqN0NbWDUNOmaQSYZhN8zEnupwST6BsntU05Slc0do2&#10;uz2H4f8AxJ8U6bInl69b3kbNtkhvEeFipOMdGUn8DnHWq3xx8GJ8RbO3dJmjjki/0OT5Gi3k8qSv&#10;AIPXnp2wc1zf9v6LouuNo/mw2dzNte2huz+7lB6MjjAIJPTGfy5u2XjaW7W48Mxr9luhcJKik71k&#10;ONpK98gENjGSAQCDghyiCku5L8KbBvDWjT6JcTpHrVrbyRQ2srbZGRhgEZxkHt3B654J4T9lHUdX&#10;0341x6HqmmzW8+n3d008bxlcII5gBzjjzGUdvvDGa9F1vXbHWfCf2rxp4cE1xpqkNcwyATRrg7gD&#10;/GvBY56gj2J9B/4J8/Drwj8QP2mfDVrrlxLdGGZ7uOaaxEhuLKAJctbyu3AjYwKB1OeBjkjpwVb6&#10;vVuZV4+0hZs/UHwt4b0j4UfDXwz8M5Ti8s/Cf2W8t1YgrezgPK4P/ApB7duvC+PLHVPCPgGXW/DM&#10;L/boY44FuAu4uMZP4ZNeffGD4h3XiD4waWmiXCs0beYFPG7AwoOOuWH4ivWPjhd2fh/RI/Buns22&#10;Jcs/8a5AGfzGeOtePmE3GXPL7TNaPwo8u+AHx71PwVb6p4h8T6Gzalew3lvabbgJskkj8pZP4shQ&#10;zkL3Ixx1re+In/BQiw8deFta8Ja74DuvJMem2draQ3SlXiguhLdiRsKQZo1VOAdoAznrXiPxx8Yy&#10;eGtMOm6HZxsYbfeJFU78sw5G4e35968U0b4i6rfxXNvrVs32qSYMZWUq7Ltxg4OCOOvp69a6sLR5&#10;Ipr7gqPmR+h4/bI/ZN0j4o65+1hpnxA1jVPFF54VjsdH8H3WiyL9hkCqP9ZjysEj5iHOA0hG8sFG&#10;br2qeBfhF+xvq2m65+034b1CbS9YGr+BtU8NeJA1+l7PM0kkTonzAmWWXJBYr5jMSPLUD4Xtb+yk&#10;kt5I7r5fuTJ5fG09entUGrSadb6YPDR1DzLWSZZFbb95sYAPqOfzrs9kmgjzH6a/tHeN/jB+zP4J&#10;8N+Hv2bNDuB4MsvDcdxda9pOjpdR3M5Y5aeRkdUDDy3D5Xd5p+YgADjvj9YaX8M/hn4N8Ja74dsf&#10;+E01hZdb8S6mbGNLmJ5nZxAWHO0O7qACB+5HFfIlj+0t4+8MfCSy8M2Hj7U10mzuYWXS1una0Vo5&#10;BKmYWJUgSKrbduMjkV6fp3/BRX4ifEHS7XSviRDoviaMXMMz3eoeH4lnCxzLIY1aNV2q+3axxkqx&#10;wQea48ThI1qTjt52LhzKWh9Xn4BeBfC3wz0fVvHOl+KZru503z9SutBjjaO1GPMzKr/MMK2CFzgo&#10;xOBg1578NPgVY+OYvED6V4lhs9I0os/9panHsVkZz5ZfB4JUEnrgjFTa9+1LoHxk8LXl2nhO8sdY&#10;vLeOF7yz8QTPbvGGyVaLCqRjdxyM8nJroPCHjD4Tx/A9fAWoeOZ9Furu++061MdLlm87B+WIbewA&#10;Xnnp05NfP1I06OKVOFlFJ9bXfQ2j7TlbZ4L+0N+yr8R/C3iPQ4/D8Fv4ik8R7/7Hk0GQ3Al2DLYy&#10;BgBWVi33cHrwccX4t+F/xh/ZysYfEXxA8G3EcN9OItJvLe6imjjugSQhkiZlByp+UnPy9OK+vtL+&#10;NHgfxqkmg+CPEtxoLeF7SJfD8k08VtLqagt5ybpQVAkdIQVZWB2qzIRuVed8JfEn4cfE7Xj8E7zx&#10;RpHibULPR21nVvBumXMd7Hb3MEitt+0KSu8yOiGH7u0NnjDP7sIQxGG5ea99DD6xVjLVHm3hz4m3&#10;XiPT9M8SXAhTzkU3RWRSfMyAenua9j0zVY9Q0TL3PlooDJ5bckl0Xg9jzXhP7Q/xF+KSfBHwz4x+&#10;IOoaLpMXiTxD5UHhuPw5JZXWmmNbg+WpkIZ0UIm4kD5iuMgg11Hw88RarafDGPUZ7jzmZU29PmLy&#10;fKfqNo/Svlo4T6nmCgtTs9p7Slc9cvr3U9JujY3t7dKqsPLkkkBDLnv/AIg/hWXrSWz2jT2PjfYx&#10;X/jx1Ybd3+6/Sq0H7RAudbvPDev3ljeTafIsd1G0cbPA7IJFV+hVjGyMM9VYHvW1q0PivVLRfEOk&#10;y6Db6fNCssMk1jHJhT3yTzXtPzMuVH4Gf8FH9euvDf7enj2wvpYpGt9UJhaO481SjIh+934OPr9K&#10;8f8ADPifLatIZNvzSOue48zP65/SvX/+CvuopN+3/wCNj/a1hfy2y2sV1cadbLFF5nkozKAAMkFs&#10;FuuR7Zr5mtb28himdZ2XzI9jY+pP+frXsUZc1NM4Ki95nS+I/F39oSRxR/d8tT8vbGD/AErKs9bu&#10;X4dsKuN3uOOPyBrJszKjNJLlvlwPbirEcR+yMkX3yDmtDOx6F4T1u6upI3TJ2rk7e+VH/wBeun0H&#10;WZ7fwptJJmjVnj9VKkn+X864z4PSR3F/BDOnyyxsgz67Wx/IVvanPPYyW7xKuJVKlfXPWgD0wFJx&#10;Z6okvlbjHPbyL/BInQ/k2Pofxr9TvgF8QI/FHg/T9Uaf95JbLvj/ALrHr+Ffk9oN3HcfDLT7uOTe&#10;tm3lzbh1XJRvyO0/hX33+wR42l8SfC2waCZWktQ1vKXwcY+ZM/8AAGA/CgipG8bn2TcFdV8HvtO7&#10;C/N75Ffj5/wWf1uHTfjzb6Jo0EUSTWcd3NHENoZ8GMMRjr8p561+vHgzULe90W4tJJAitBnDHAG3&#10;nrX4r/8ABXO7u9U/acuZJpH3C1URR/xJFk7Vx9d31/GuerUp+1hTlu9V8jfDqoqcpR2tZ/M+TGkP&#10;2qV/4jzTxdTI0ZBAKjcK0rLw0sp8+bcWk+RY15Jbjt+Iq/41+EXjXwIlhN4j0ia3/tCzFzZtIDiS&#10;E9GXjke4raVSKlYhRly3tsP8DWjeLfF+l6NFKY5bq+jiVhHvxlgM4I5x6V/Rt8Cvhj4O0mdtT0jw&#10;xY2uoR2FnpGoTafCI45obN5pIsJj5BuupSB1wwz0r+b7wfqOoeDfE2m+IYiY5rG8juY225wyMGB5&#10;+lf0P/si/GTTfi14J0XxP4b1m2uDeaKstxcWrfu55cIWkHQgjcFMZAKH/Z2kklGUk30FKUlGx9Ia&#10;frEujNvgQ4kGy5hY/fUfyPvWhLr8DQ/aLK6DL/db7yex9/51xUWuzS/u9R2FuivGD+p71Lb3sdre&#10;+VP/AKuZdpZezZ4b/PrXYlG2hg73OoPiidLhNR0668maMfu5lPX1VvVT6V02jfEEara/b4NqzQNi&#10;7tWb5k/2h/snnH0rye51N2PlxNsCnkn+VNTWtQsr2PUtMx50WQVYcSr3U+xx+FTKnFrQuMujPVNc&#10;vrDxTHcaPrUYg+2QsIbqHoysCOf9oZx7fpXwF4w+HXhRvin4v+G2n3s1xJpN3L8smIt/mF3ECn5i&#10;B1AYKcKoGCea+z9L8VaZrtiqvI0cMjE9MtbS9xjv2z6jHtXnPxR/Z40Hxh4ok8Z290NL12a3jVNZ&#10;tYgy3ITOwSgEbxg4zncBxyBiuOrh6GIp8lZenkbU6+Iw8ueg9fzPlX4e6jp3iTRbW3Elr9nW3Uww&#10;wIAqnaATzlmPuxJHIGBxVf4h+HLKDS5LK2hG4HcOSM569uK89+Kfwz+Nf7F/xAbV/GFjcXng6+uh&#10;9h1bTYWkijZv+XfOOGB3bQ2CVGcHBxV+Jvxn1XUtImfVZV0+3ijD3V011Ept85ALO7LGFyGU5YLk&#10;Y3bgVH5/jMvxGHxSjJejR99hcwo1sPeL6anxt/wUG+Es914rTxt4bt1fy4VjvFhy2ZAf6Lj8jXyp&#10;ff2lZytFeOV/3q+m/i38f4tc1m4sfBkrXC79smoTLIA3XoHdsj8B7ZHNeIfEOCC5/wBN1C3+0SSK&#10;fmDFQG/DFfa5bDExw6jNbHyOPqYepWcoPVsh8GyE27ESk/ui7N+mP0Nddp7C6itBFzujAZvfA/xN&#10;cH4Svljs5bBIwrbeOp711HgLUJpLyKCTLeRlm9DxgD9K7J7HLTOovLeKxvZHBzuYovPoP/1VauFa&#10;fYsa7ZEbI45PyKcfjsIrI8QzS/2da3Bl+ZpiWb65/pit/QtWh0q7ttTuIY5lW6t2kilBw4G4bcgg&#10;jPqD3rJnVHsc289xbzX1hq8jbb5WKt22kr8v4f0Hrx2vwx8ZzaEsPha8mP8ApTD7OxfmK5VhjnsS&#10;RgN2Jz3xX6K6X/wTd/ZB/aF+Fmm+LPDHwsudJ1e+01ZvOs/Ek/lQuy53+XMJA6nJxjHB+hHxt+0p&#10;+wF8c/AXxe1Pwt8IPgz4u1bQlukbR5FtftUqxsB8jNEoDYJIztGRgleDnb2UpU0mcixNL2jsz9G/&#10;2YDpH7Rn7NeheI9Xg26hDG1pcMmFYSRMU3EfwkgBsYHDD2r5X/4K26Z8Uvgt8Gbez0SKWTT9Qvm8&#10;+5VWK23Cru4OFJ3Y9D36Cvdv2NvgV+1d+zT+zCvxN8ZWiw+Tq0s3iHwrNiSa2s/KiUXjMGK5VkPm&#10;LnIjIfdhWB1f2/fBmn/tW/sY6tqOi6JeX0ml/wClm309hLIFUYb5VyTglZB0yE4PUVz4RVcLiop6&#10;J3Sfqmj2Y4GpWy6WNo+9CLtK28W1dXXZ9Hte63TR+Rn7Gv7JHxA/bP8AjRZ/CnweWgt8efr+tyxl&#10;49PtQQGlb+856KucsxAyBuYfux8BvgR8DP2O/hDZfDjwBocel6TbE+dMT5lzqM+P3k8r4DSyNjk9&#10;FUBVCqqqPnn/AIJI/CLwv+z3+yfZ6pJBbprniK8mu9avw3+uPmyLbgtjKRpCF+U8K7yHALGvcPEn&#10;iR3mXUdXvLyza5b/AI+LKUzQhNu7DIwGFCkH/aP94Yrup4KpjKtp6QT+/wBDzYx3a3Ny7+KMMd1J&#10;HF4PVlWRgrNfRqSM9cE5FFeJzeNPCV5K13NH4KDSsXb7VdS+bk8/P+7HzevA5or6JZHh/wCRf+Bf&#10;8Ey9t5v7pf5H5Z+INflTw9cWajzI2nUIR165rznxJcanqkrI0Mg2rknbwFAr6M1L4J6xrT3ka+HT&#10;CvmedHDwu1SoZcfmB/8AqrK8L/BC10uKaLxK0btuUyW7Enc2Pu5FfF063M9DB0ZRV2fOdtFNfnbC&#10;siJuwCV5Ire0S0h0plaK1k34+dmGWb8695u/gR4T1OJbmKFYGm3bfn/1ft16jrXP658HV8MSkzs7&#10;Qr80c+75x7MPT+lbxk5GclY8pfXNdvZGk09mjiU/vByzj6+lWtOmfUbgW01+VVjjzlXcQff1Fdra&#10;3WkpNHHK8O5pCMcKr/4/jWmvhvwT/aD/ANqaB5YcZWS37Z7ggkfpWlyTl9J8G3RuyIvGVpZlfvfa&#10;I2Xd/wACAYD2zXR3n7PfjCeH7ZB48muIyodZFkeZSPqrVry/DjQtTfzvCfiRXYxrugulDKfYkY/U&#10;Grmnap4h+GwjDWEpsz8l1Arbo0/20I7VYHDyeF/EfhaXffa/dRzR8xtIuFbtwSTn86rt4hmkkLah&#10;ZL50bfNcQ5R2/EcZ/SvZtWsdE8eaMWu4LWaKSPesqx4yT/IjuO/WvH/FHw8sI7tjFa3FrIp2BYWV&#10;hjuOcc9OhOR09gJSsbWg/F26VP7P1fUY7yOJf3bTLtfn1GcE+4xmrWteO/AfiaOPT9esI7R2Yi3n&#10;hXjJGMn2Pp1/nXkPiTwVrmlf8TPRdT+2RqcurZWRffnr+v0qrpXjONU+x6+jIzScSMv3WHQ47g9/&#10;SoY4yOy8S/Da10yaa8s7bbsXdJJCxZJEx1BHcA8g9qw/BEvifRtbS2eRZrO4k2rk712kdPUYPP0z&#10;XSWvilVsk0zWdW+zyeSGgmRiVlGeDx7cdeKxbLTLXVtftNE0fVYCt9cosMqk4hct15/HI7Z78VMn&#10;ZXNErnpnxa+D/jP4VabpGu+IbFPsOtW/mWd5DcCSNzwSoOBxgghvuuDlSwBxk/DT4Q/E/wCO3jWz&#10;+Hnwd8GX2va1fn9zY2MeSFyAZHYkLHGv8UjlVUdSK/QDR/2Wvh74r1T4bfBD9onwbqZ8L6JqVrE2&#10;sNM1pBqsM2l3UxInjwdiXaBXZSCAX5BOa+6vgN+zV+z/APs0aFdaf8Cvh7pmk2+pSK91NatJI1yq&#10;8KGldnkkUZO0MxHJ7kk9uXy+s4fntbWxOJp+xqWPy70H/gh9+1MuowjU/FvhGzkjaNtQja8u2a2V&#10;8E4xb+XMwB6I5Gf4hyR9cfs1f8Ezvg7+zbdR+Lp5pfEnidf+Y1fxqqQMeD5EQyI+v3iWf0YAkV9b&#10;axMfOz5UZY/LtHcf5/nWXPcaPKrQSrJDswD6N9Ca8fMsBmmKbVKa5e2z+fc68FjMBQj76dzmYPBG&#10;m2cLQx2se3cclUAz+VYurfDjT727YmzBDf3xnGPrXfPHpsTb4b9W8xc4f7o/GiO3tZZN6TxSHGQu&#10;7oK+YrZDmUdPZ/cfQUc3wUtp29TiNF+G+kaOr3rqsKLGzzzMoVVVRnk+gGa/LT9v74z2vxt+LNxq&#10;+mbo9OsbFY/tTY8w2+WcRgDlOpG3gkqzEKzsi/p9+1r4hj8L/s1eLL//AErbdWK2UrWXEqwzyLDM&#10;0ef41id2HbK1+FviL46W/iTxnd2txAqi/wBUMcmzPKGUsT1OM+mTXfk+VVsPWdStBprb5nPmOY06&#10;1FQpyTMS6+GOp2HiiG22hBJMzudpbb8obaM9v5ksa6fV9I1fUbiHw/f3LQrDJ5V06Pyyx4GwHPQs&#10;c577varGn6hLrcv+u8ybYrROVB+YdAM9inH1A9TXQaZqVhqOq/ap0WSSYQyM20cPgBse2Vz9K+oP&#10;Bcrk+iXUCamNH0fYptIdjq3BjJJyuewGMnueeoAFdD4Z8UwafHeX1y261X91FGOPMZhtJb2ye3bm&#10;vLvh1ri6dLe3WoT/AL67u2MzFujcKT788fQ+1asOrLfabFbrP+5kupJD24wgA/X+dTKPMBW+Lniv&#10;VNX8UW51vWnaOZWWBUUhYcLwuRxnJ2jHTGO1Z+peF7XUbNb8ny7iNhCyqMZU9vbnkf8A6sP8bxWm&#10;sWUMk8EYkjmUwsVGWGG3c/l/kViaV4xWPwbMLsjzI5mh3M33vLYqD+WPy+taU6ajEJS5maerRQeP&#10;PBkdpdzf8TLT55FVsndJ/FzjgAg9P70Z67q4HTr3WdK8QW9lcvIu26VYZi3zI2fl/wAOfY+tdB4Y&#10;8RtLfie3P7y6mR0V+MEYAHtkE/nWb4z86TXYJI4sx3HySMq/cdXI4/AZ/GqdPQlbnpXibXtui3Mk&#10;sixvJDHFHDsO0ySIwJ479O/Svoz9hr4j6B4Q+KGi2VppcDQtZtp0lxF96JjGSCTxy3lsOcjj1r5D&#10;8Sa0+teMLHw3JOyRWqs1wy/xylVOR9P55r6K/wCCdHhZNd8a6148vL1hovhmxiFva5O65uyZwPrt&#10;3lj6YHqaz5NTTSR95/BXw5L8QPjw2vbP9E0eNJ7y4x8oIbckY+rAfgG9K9f1iK68U61d6lqds32d&#10;R88zEc5z+fOK8I/Z0/aS+HuhavcfBLxDe2+j61qc6XVnPdTbft++NPkDHA3BgVCdsgjO447H4+a9&#10;N4b8BRabpfiKC2u9QmCRiWbDHLAYA+8c88cketfO47nxGZKnLRJr5lRlyxueJftPBdN1K/0P7Osz&#10;Wql1aTH3XII79Mc+xxxXhXhC4a/1CT7FasjO21ov7jYH6HrXo3xz1EW9/Jd3eqQ3kjCNJpoY3RSw&#10;OCo3AZxjGeenOTyeF+H+s6daeMbWJD/rpgZoyB+OTgdB6V7lWUsPG61Jpu523hrw7HEJJJZolm81&#10;VkhY4PIzmoPGXh3Urd4LHT5cLHuKybdu7AJB9xn9a9P0Twx4d8a6jD/wjUDeTHxcN95if8/zra8U&#10;+EdHkaOxgk/dqwj+bG5W9M1w1M2pximdEaZ4V4U8G+ItT8OXmjSySM3ErMV4XMgBYn055qp4Wu7m&#10;GabTtPu4WkjmCbv4R82Op9zXvw8L6fpnhHVG0m2VpLnTpF3ADKnIPt3HFfNNnp2s6FfrdX0Co1xd&#10;bmXbtVcfw+33Sc+9bUMwp4hNXNFHlPoT4V65LpumNJqV6Y1trjZtyQDxnJx1r1O78YW+qWcI028h&#10;dZAGVgNwyP6183aRrD2c80eozKyMys9v3UNn/AflXRH4l6H4Gt4I5hJ5OQdxc/Kc54z7GvBzSm6l&#10;TmgaR+HU7b4yzWi6TfJe3SsyR/abFZJvlDY+ZSM8g18c+DPH/iXQPi9J4g8J+JLjTNQXzBDcWFw8&#10;UqSEbflYEMD15Br2b9oT4z+HNVs1sIZmWSMr5bbfvK6bvy5r5Z0zVgPGPm3A6yFVm64YcYr0Mmp1&#10;adJ863ObE+R9PeHvjR8UvjfrGhaf8WfHN7r1xptyxtZdTm3+TEoxjOMsTu+8cnGOcAV9Faf8Vri4&#10;UaBodgv9j2kkatqCyfflBLNtH9wbSM8nd04HPw34a8fx/DVb7xdrzTsbO1MVolvjzZHndUG3JxkA&#10;FvYLXrHgf49Hx3qfkaGn2PSbexMFrp7Nlok8vBLHozHGSRwMgdQSxi8PUrYpzj0sOnNRp6s9M/4K&#10;A+CZtN+M2m/EP4U+L7zQ9a1HwtazSalpshHnMryIFkHKzAbAdrgjvjpXC6T+2d+1D4P0J7LxX4P0&#10;3XoIUKrLY6hJZluvJRllXJ742jOTXrX7Tbp4g/Z/+H/jmCNVn063+x3UijLTRygyIx9lKkf8DFeC&#10;67rVqnh28kYDdDAZPmFfXYDA4XGZfFyWsbr7jwcRi8RRxUkno9T86vjr4t1b4m/E3xJ8S/EcZjut&#10;c1q4upI+oiXeSEHTIHAB74rjI7SSayiBG37Qx/Id/wBK6j4q3to+qTafZj78xRWH15P1rFvpoYNN&#10;WMct8yo3oD/9YH8686UVB8qPQ1erM24kEe4IPv8Ayp7LWpoKxGdW25X+H3rBknZpF2chuK6TRovs&#10;8dnft03Yb8T/APXFIDe8NW50OWOWNiv2e+MbD/ZYf4GtDxVrKz2dvJEfnjkyxHbJ2k/p+VV7ma3R&#10;bh4xljMkm08c5P8Aj+lY+qFobHaJG/1gX68n+ooHY774U69nwnqnh3UJW3BneEH3Gce//wBYV9cf&#10;8EnvG+t+IPiPr3wlsYvOkbTVu4ofMVBmJlRvvEd5O3Ye1fEIN1pM811aMdyhZNvQMOA39K9M/Ym+&#10;OFj8D/2svBPxO1O+aHT7fVlg1SYMcrZzgwyscfewr7sd9uKXMNr3bH7R6l8NPir/AMIrJbeA/E+k&#10;6XqjgFW1LT3u4ygHzINske1zwNx3Ac/K1flB/wAFI/2PP2uPCnxXv/ip8WvC9tcaPfJFBZeINEuH&#10;ns1cLja2UVomPJCuqgndt3bSR+yc+pJbXX2d72MRyYeGVWG1kYZVh2xyPx+lVPEEWja5otx4f8T2&#10;UGoWN9A0N1p95brNHcxkfOhRhtcY6qRgis5UacqqqtapNL57/kEZSjBwWzP59/hpBd/D7xba+Lpd&#10;F0/VFs5t7WN5lVlz94EqQeR8vfA9+a6/42fH/wAOfGfSrafxZpsmg6h4fhg0vw5occe+1XTI4pPn&#10;NwQDLPu8pSCqDam4AksB9j/ti/8ABMC0bU7vxj+y1pZmxE1zfeDFn3yeV186yLndInBzCT5ikHb5&#10;mdqfn38QvDFyi3GlXVhIs0MjRzWtwhV4mU4K4P3WBzwehqamHp1KiqPdbM0jiK0Kbp3919DYi8A6&#10;T44sV1DSLXzEhtVa4mjG77PgDMjY/gBIyegByeAa98/4Jn/tWfED9kv4tw+A9c06eTSNcuIYZrWT&#10;KpKCxVJI3Pyh13cDOGBI718ieB/F/i74c6x9t8FeLLrTrhcq3PH0IPBr6z/ZE/Zf+Nfxb8JWn7QW&#10;ofFObw1b/wDCTrb6PHcaM32PVLhAki+bsYCOFyGQP5b5MZ6kqCmq0ZdLfiHNRlTtZ3P2sTUEntkv&#10;Au1ZE3Abumao3PiY2zeW53d174rE8OeLY9X8I2t22lXFq0cao6zKRuYDllzzt3ZxkA+1ZGr69FGf&#10;J87LN/FngDuc16NP4EcMviOofX3vb2ZppVVN5I3cDnn+tSaf4o1LWLptL8KaY0kf3Zr5+hPcL7Ad&#10;+lcj4T0TUvEdpN4l8SXX2DQ1ctJeT5UPHnhEHV2PHTJqTxD8ZYWC+Efh9ZeTDt2KbfHmhf70j9B0&#10;4jUEgjJJBKGyorqa2seNrjwjfy39u/nRRNsvI4P4wO4/2l5+o49K7Xwr8ToL2yju9K1e3aGWMPH5&#10;zBopgeh9s+2D9K8d1fVIU0+O0hSMJHncu7OW75J685ryfwpe/tE2vinWvCXwv8OW17o00bXVrqOq&#10;3LxWuiXDSKrbmVGLqwLSCFRuZo324y5Gcqd9jSN27I9u/bj/AGsPg9+z3+zvretfHG/s7G88RaPd&#10;WOi6bZ3CPc3DFACsSSZ+XDrvfO0BwCfuCvws+P37Sd38Z/E95rc03kaf9okl0nRYJGa3slPQYB+d&#10;9u0NIfmYDsAAP121L/glz8Nf2ofiH/wn37Rvxx8Waxr01rFBax2NrBo9jbQLkJCqzRzbiCSxIdSz&#10;uzFF3bR5b+2P/wAEXPg78HtAuv8AhUXxN1qfXbe0eePR9ca2uorpvl2xRyxxwNGcsCzYkCg5I6bq&#10;WC5rOSTfQ6I+2jJwjddz8nbb4h3NrLuGhW8kf/Pa0O7H1Gcj8add6vY+LYGHnr8zfKu3GDXoGpeF&#10;NGuLqW3utD+zXVrI0d1b3FqI54XBwVcEZyDxXJ+I/h7piz/arZZLeUHKvD8v6cisdYOzRn8LOPtV&#10;XT7prfyV8w8BQefrXb+CdHMdvNcxH95NEfLUf3tpNcxcaTcQXC3N5jzkbb5gXHmD19q9O8AaUYra&#10;O5xuKKc/L04z/IH8cVjUOinEztZ0xj4Xs25Yrbo5+pJz+i0kLu2l6hGz/wCpjWT0+4UP+JresLZL&#10;jwnAGO4LIyTZ6hQ5H9arx6HCJrhvK8yN0/eRt/GNpVl/EEelYmx+n3/BMv4w3viv9mbRZzpWlzSa&#10;LbNbXH2nUJkmSOOQBJNiwv8AJ5bLyueQ2cY4+ndJ1DS7rUzdyeJdDt43UbYVkeR+DjAc7cf9818Q&#10;f8ESvFugW2ja18CfEGp7b1dSa50OYW+fLwgO/djDF42YFDnKw8Z5r7u8W/C6PS3bW7XRoV3J+8VD&#10;lQdrcr6DNexg+WdJfceDjKcqdd3TV9fU7vwn498OWnl+GZIzeR3ibZZmVTGQVxgjupGfzr5g074c&#10;6f4C/aC1r4PXd3eW6QXDvoN5b3DRzLFLGJolEgIJ+U7D6svQ164bi4s9XjmtvLVbfajKsg4w23H+&#10;f6V5Z+29FPN408L+ONM1C4sbjVNAks5JrWYwzRyW8mfMDjlWxPw3baPSsMyoxdG/Zn6D4W2x2d1M&#10;ql8OJpTh/wBvJOcX6pofpfgfQ/hR4Uh8M6YzW2m29w8bOkhuLMyeYSYZQQWifeygx4DLhchSQKxf&#10;iFrdt4V0SaUatDpMfkNJ9sXM1r9of5S+V5U8xn5dxBzzmvln4u+JPjj8D/iY3j34afEC1jvNagj/&#10;AOEisLjUvPt9WaNjHIbmObEEzEAZYDIDEqRR4a/ag1r4r6hdeH/HOgJ4d1CaN7i5l0e+Etve+Uu5&#10;18ksQ3G4/wCswpAGBj5vpcK6Ps4pR0svNbf13PEqYWpSrShN7N36arft28t9zUvNc8JzXcsxu7G7&#10;3SMftUkcUjTc/fLSTb2J65b5jnJ5zRXEi1W5H2i4vPDLSSfM7XGk2okZj1LfuD83ryee5ors0/59&#10;/g/8jPl/vP71/wDJGj8XfG003iIw+BdFhso7XYk0lw24Bgij5ecDGDjqfX0rjrqXT9enktLm9P2r&#10;aGVyAd8n1/jP61pfFTxkdc097F9PWK+dZPMWNTsGMlWBIwSRn868dh8StZag1pfHaI23GOZSCPQ+&#10;3t3r8zwlPlSucdeXNJ2O0a3uILhre7Jt7hmKK+f3b+jZ/n0xV638vW7VtE8QzN9ojb/RZ52+ZWHR&#10;c9wTxzVfTtaTXbH7HqF3vmYZhlbqT6H396o6hIGvbeS6cxzwMF3erDpn8K7jkZwHxX8GvoF62rQ2&#10;6i0lZTcRlgPLbOCQPTNZFtapPDF9tif938qXVncgH/OPwr2LxNaaf400WSK6VfMkVlEhXPbpz2zX&#10;gRn8XaJr114XaBBCv3fMj+RsDscYpoTOpiaWNRLpGpR+YrfdkYRu3ftxW7o3xHtb4f2F4ugMLsux&#10;vMwQ49T/AI15lYXd9qb7rS6WGeNvmikUgnHoc46VpW/i0GL+zPE9srRhsLMv+sjPt7e1VbsZ8x2E&#10;Gpar8P8AUpFtZVm0+4fc0DNkY9U/z2rcuX8PeKEkc3fk3TRq0cmeHXqpx6jp+Nea6h4jgsGjtL5x&#10;NZzL/o88bfcb/wDV1FWbLWIbaz+W7J+z5K/7Uec0rsvcg8U266VqEtnI3zN86ow4x7VwPi20sdUT&#10;yyirIrZjO3vXX+ONcWRTFqJUMVL28ijkA9vce9cFqt4GDXDklWI+b1o3ElZk1vf+RaQpfXACI+wM&#10;cnb6g+nrUd1rE/hzU7bUNIuPuzB45Iy2UYHII/KoftMWpaRcWTKrSSYOR2PZv5U74ceFNd8beMbH&#10;wRodsbi81G8jtrWFeryOwVQPxNUo6mnMfuV8BdQ0v9tf4R+E9Y1rStFvnk0WIeF4/EGgpfQWt5+6&#10;a81PyCSqCKLMETNhTNMV9M/VCSLpKnSLSTyobP8AdxqybQqjp0GPyryD9hH4FH9m74N+H/DOqXbT&#10;ao2mxw6hMzZyVG4RJ/diTL7V68knljXp+vysurXCmMOssYdS7cDtzn3r6GFGMcIrK2py1nJyuOu7&#10;+a2i86Gz85g38Mqk4/MHNZF14gi83y7mNo9q/O11A4X8MjGKZqkl7awyfvdm1htVc9P5VVsdZuxJ&#10;mO8+ZvlIC4JOf5/hWCikZ+ZZivdMuWYWiRFW4YQuOMdwCeOas2NzBK+Y5fu8r8vyofr3/LFQte3E&#10;pVruVG+XHMYO4+vT6/pTrYWVuGkbTrVMk/M1ogJJ/wCAjP1qXFdAPJf+Clek6hqf7DHj+40Nybyz&#10;8P3N1H5edyoImWRuOmImkOfQV/PTdXd5Z67NqVw5Em9iq/3WPU/zr+nTWvDvhvx74N1j4e67Kkmm&#10;67pNxYX0KwhQ8M0ZjdenIKsR6V/Nx+0b4Vu/AHxk8UeE7rTvJfSvEV7ZtCyqpVo53QghQFGMdhj0&#10;wK5K8U7Nm1OVhPDvjyaPS7pHuWXZDGIiOq7FI4981peD/is0vidcS5+1QEspBCxzDpj2OTXm80pt&#10;tPcOPLaQ+vUVTsbqe3uI7pZNrRsNu368Vhyo35j0zS/Eklzq+oWSMpaO7lYJ6Dfu/pWppfjCJIkD&#10;vlVVxjd0Y8V5j4e1qe18Ryagx+aSXLD1BJz+ldNqsVtLZtqGhEtt+Zo/r/8AXoSSKTbOs8T+Mbe4&#10;+xIJxiINNJ6Dnr+Wa5WJpdWRUDMiyyPM4Pfc2R+mPzrnxcTapPJbufl2j7Q5b5RgYC5rotM1fTYW&#10;jtrd1mk+XgdM9OfbrxTFc6YWK6Hcx3rhNsFuku31HljYD9Tj860PEGlx2+lQanLtWO3ZZXZ37s4b&#10;P5Gsu71Gwlt1F9drmHy2umbso+6PfJwMdsD1rB+K3jk6npC6ZZn92jo0hXvg8fzX8qCosdDq9pb3&#10;N9rMtwWkhhkw391iQI8e+Tmvp79nHxM/wn8J6UlnG72s1jvvo2b5pN7hy+P7w7E9gRxnI+Tvhb4Z&#10;1r4keLbHwpoMMk1xqF/CkcCx7tzFsDg9evQ9a+1f2gpvDtv8ZNR0LwmgWwsYYtPXj70kFusUh/F0&#10;Y12Zb7OpinSkr+7f8UTiFOOH9str2+dmzJ/bl+JvhTxjrGhyfDrTry7uoNIiWa6htSn2ebezDD4+&#10;9jHT07V9SfCP4i/8Ls/Zw0341eO7kXGoad5Vtq0MkilorqNlEi+WvChgFYZ5Kuv4fBvxE8+GBdQR&#10;2UNFskkjcjbInBB/DB/GsP4G/H7x78LPFt3YaZrNxNpWrR7dX0+aVmSRIiZVcZPyupU4P+0V6NXP&#10;mGUt1YzTXuu/yM6eKjKyaPsj416lpmq6ki6ZbtG1xIDMvOA2Nx78D/PFc/efDt7D7D4u0W++S5kY&#10;bNxIRh1H4jnqeK1PAmmWPxck0m5gMyf2igmVXU7gDjnnp6YNer3/AIMsPDbR6GbAmOGZXl3KPmJG&#10;Ca8TNsYqNod/yO6jFy1L/wACr7VNJkaz3r5hh81Z9vDDPIIzXfa/ogMLeJEIXzn3+Vv3Bcdx+HOK&#10;4BrUeG5N2h/vpmyQm3BKZ3MvHtU+ofGjw7p/hoaZqEf2Hyhu8t+NvXufc/rXyNeMq1W8Fc7NkddD&#10;r1rb2C2ziMfaDJHhgOuzivBNWuINc8UW3h2+DebdSl5EDDKsx+QfqPzpbX9oHQtV8b6bo0t2v2GO&#10;4ZjcDIBBQ8H34/8A11xOr/E3wt4W+Kp1sXKzK5aW3dl+9lcL+OPyr0sLhMRT1s7kSmkb3i6/uYNY&#10;1S70o+c/kRIyquNv38H65Fed3vxE8QyWWoeHtaje4t5JS8MgcEDrwc9OD1GOvfjGx4P+I2nhtS1W&#10;9sRJL9kMm2OTOSMtz9BmvKb/AMeSaprLNLtjWaY4Uj72T3/P/Oa9CnQqc95xFKeh03jjXrvUYdFj&#10;S5ke3k00+Wrc7HXKFQTzjAB/GsvQvCtwRJdW5jfecx5bjfnjNW/ENle2/grT9SsopNtnqEjP5PzM&#10;A6qc4PX7vTis7wj8TtM0XUVstSEM0N0cxzQ/KIz/ALankD6V0TxDpq0SJWerM34yePft2vaFoK25&#10;t/stv9o1GKaMgeYpdF+vVzn3HTkD1X9nPw54o8Y+I4IPB2ky6heXkZjjs7FTKzDB5CgcDH4DvXlv&#10;xcvdI134iQy6XOny6JGkisc5/eyn+RFfoN/wSK+FvhPwh8DtU+J+kavNLqXiuafTdQiGAlmIg3lo&#10;p65YPuJ/3R/Dk3WxkcLl/tmtX+YsPQeIxHs1sdd8Ufg18TNM/Znh+HN3aWt14ins7aax8N6ezz3h&#10;iWRS6qqoQzrhSQpOFVvQ18oftVfCPxr8I/2XNN+N11rNr5XiCQWTadHv8+3DmZQz5QL1gkyAxI3J&#10;n7xx+vXwLGhT+K4dXuHNnrFxpK2K3Kn76q/mKhycdWY9sn14x8/f8FS/iH+zvbXVj4b+MeiafrWh&#10;6LA/9rJqkJk+YgSOxO0BJFQ/IQyndMgBxkHTJ82xEcHJP7Um/wCtScyy2j9aXL0SP51/EdxPda7N&#10;dOeI2ZivcZ5AxWZf3LTQIhk5/uj6fzrovHkvhvUPF+r6v4ZSW30m41OaXTYJvvrCXJjB68hcDr26&#10;1gWvhnXfEV+sNnaSKrD7z/xDua6+a+pyvcj0GCO5n7FUDcnsQOldQ9uP+EShuoyVw6hfpuXn/PpX&#10;X/8ADPMfhn4fN4n1bxbpdnd+ekUei3Ezm9mLYJYRop2KARzIVyGG3dWP4stYYtBs9PtI9q7o1zn+&#10;EHJP6iqATUSWFwIgP9Wr4+hFJa20eoRpbygYaRd3t83P/oX6VUbUBdXG9OjW/wA35j+uK0NDRXmU&#10;LwyyMp/L/wCxpNlROhtdCn1bS47mGJmlVgNueCpGCP1z+Fc/rvhWQ6Zs8tVkikaNtuCR/EPxwT+V&#10;ejfCbTL3xB4ltPDunRGaS8WFbeGM7WL+YRj+Vdx+1d+zjr3wZ8T2emapZfZotesvtFmyqxRJVbEk&#10;TFuroQN+OhfjAxWXMuaxpyvlufcP/BPr9qC++OP7H2jnWrv7V4h8FwrZakvDSyQRMEBwTk7UZJOm&#10;AHava/D/AMT5dQmt7O8uFuLO7DCNzJ80cigMMflyK/Kn9gL436t8EvjsulGaH7HrMi2d7a3efLS8&#10;BPlk88I4zGTgg+Zzmv0Fv7tvDGoabqujtM+jalqjy27Fv+PSTYA0DH1ySQf4lIPYgaoyZ2vxNl1D&#10;SNQt9Y0bUNsMMu9dow0bEfOoOfutjOMcEZHcVwvjD9lr9mv9q/xFPqnx08AXC61cRLF/wlHhu+a3&#10;vHUfd81CDFMw4G90Z9qgZIAA9Ektx4l8NyWQGY5l3bj833snuOxP61xegXeo+E/FX9g6jt3ROBFI&#10;kn3lPRunYcelMRzngD/gh1+xp4Z8dw+MPE3jHxB4j0yH5rfQ9Y8kRs3bzngVDIP9nCg8ghhxX0z4&#10;q8H+AtR8DzfDvQNBtY9Js41SO0tIVjjEar8oVQBtCgnAHTHGKgttf1G80tGlmaSFwwUQd2H8ORzm&#10;ui8OaJHD9quLkqq3CBUaR8dV5GSR70EXZzV1ZXHgTwWbJ/EN5eQqVMC3MnmeT7BiSe/QkgY4r5r1&#10;n9rnwR4x+O91+zn4N8TLNrWn2wudVZGG1F3YMKtnBdfkZxg7Q6jkhwv0N+0DdTxeHGtLFJHdjHFH&#10;t+6pLLzn8Rmvzp/4Kmfs2+Jv2Xfij4a/bs+C8K2/2e+ih12OJPlS4IwkzgfwSpuhc5APyjq5NdEZ&#10;e6Q46n6BJBqXjKOH/hJ/FOoTJbqBDbyTbkUdsYx29O3HSprzWbfwzYtAt07Qr8i7+D+fXHtXl37J&#10;n7Svhj9o/wCEen/EbwsvkyTKVng8wFkdSQyHHRgeMd+COGBPa+NtJbW9Fk8SWniDfcfaYLSGyNvu&#10;f7TPMkMMewEE7pZEUH/a60oz1syiv8RviN8NfgP8Oo/jZ+0H4gudP0rUGkTwx4b00J/aPiCRQN4i&#10;3/LDEmU3zsGA3DarkhT8f/E7/gqJ8U/F3iC1u/hH4W03wHZ6bcO+lpp0kt5KFZSpE32lnhmYjBLe&#10;UoJAO0ECvOv+Cpv7T9t+0D+1prUHhXUFl8M+D1Hh7wxHDPvhNvbEh5lI4YSzGWTd1KuoyQBj530z&#10;xETdLZyTHzCMp71qVGUo7H6R/BL/AILvftefDxPs3xHsdF8eWLQuu2+hj026QlcApNbIsa46kGFi&#10;egZete8fs1ftl/A/9t3UU8PWni630nxfbzveQ+FtV2JeRkdfIlUn7RCAGJETqQoBdRgAfj/Y+IWw&#10;Ipjux681afxnp1heW99Fe3FhfW0qTWmoWMjRTW8iNuR0kUho2DAEMpBBGe1bU6vs5uVjahiHRk21&#10;e5+lf7c//BMXUv2jNL1b4xfs9abJ/wALE0uHzNU0E2Zto9WhUhSAjomJUyuHBGdwUqQA6/mF498O&#10;+OPAPiO88F/EPwrdaVq9hJsvNP1CFoJIW9CGAIyCCM9QQehBr9NP+CcX/BenWNHuNP8Agl+3Lr8M&#10;9q7CHR/iNuVVU9Fj1HHygfdX7QAoGAZP45K92/4K/wD7IPwd/aY+BFz8VdC8PWv/AAm1nFEPD2sW&#10;rBGuVzv8pyFPmxsu7apHDupBXLk89SpKtWty6sqUvrFT3Vr2Pwf1XypTulb7PhuVkA3Ee2Ovr9K7&#10;TS7mW20uBLCM+XJGCW3DjJAAz+bfhWL8XPh74m8CeL28F+OtNa11GJYikYYNuR1DowIPQqQcHkdC&#10;AQRXSeHxamzbTblgvlyIVk+mM/oG/OuWt7rNqPN1K/gi8GqvqGmx7doty0Lburea6Z/E81pWdzEt&#10;w0Egyske6M+uODXM/DlJdJF0Wf54YWVs8/dkLkf+PL+db07RQ2bXC/8ALG6kiz6KwH/165zaNup6&#10;h8AviHqXw4+I+n/2ffG3uLpo/sNwjbPLvI2325z23fPEfQPX69fsr/tH6L+0F4JWDUJYVvvsYTUL&#10;cKVy2eJUB6Kw/h42sCOhBP4V6xrk8umx3u8ho/KkgZTg5UcgfrX6Gfs2/GAeCLjwn8fPDEJ/szxV&#10;Y/bLqxWMxr5iy+TqFuvXAW4QyJnO1Zoc5IOcYYieDxKn9l7/AOZ9dlOU0eLMDLK7WxEVKVGXd2u4&#10;PyetvPU+1df0HVfCfiNoHbfasrOk/wAvqpwehxznpXjn7a2ozrqPgu2chRH/AGqx5B5zajHt3r07&#10;9oT4p+FtG8DaL8QF1OG4ScLLZRxzsguY2wwUYIJOCcg8j064+D/2oP2zvGU/xY0yf4jeB9Ei0v7H&#10;IumTaHLIbhLdpODNvJ3uPLJx8o+Y4JwK9bNMVR+q2vuvw7nX4U5DmGH4ow+ZV48lKnOUG5aXlyST&#10;il1a3fZfcbX7RlvZWfh/T73UX0mNbqHzrT7ZowleZThS+SvRXjZAQSd2M8c14xbaJZtqNr4w0LWN&#10;L0+S11Rp/t2kXZhmgUB3C7JeAzBMDAHJFe7/ABt1c61+zD4b8Z6BrEzL9ruLeGSxtxI0luohuFC5&#10;7Zu3faeoDdxz4ve+L7BfDi6VPrto11dxp5jatoy+cm63cDDgnIVmAyWGBzgYzXuZdKVfLYVF2890&#10;cPFmHWF4qxeGVrKpLstG218rNdDjZP2kLp5Gf/hYU0eWz5c3hO2kdfZmIyx9Sepor0nTfjx4z0LT&#10;7fRPDniO8tNPs4VgsLWPSoisMKDaiA7TkBQB17UV2c0/6/4c+Y93scH4l1IzvHczOskf7yOQ56gH&#10;+e015R8ZvDV3Y6vDq9vOyssKhZlJz0GM16jZyWpjnEuJILhejHgA8Ej/AD61meK9LTVPDscM8Akl&#10;t4Gik+Xkr93d+HBr4vSx4nMebeCvHN800OmXNxtmiP7olf4hXZ6jrTapC10zY8zjaP4JB2/H+tea&#10;a74eu9MupJ3DRtEoMckeefetHRfGkNxBtuNvmFcMuev+1igiR3/hrxVJcWVzHIczWTb3jz95NvWu&#10;S8c3ps9Vg12FSscsilWIyvXOD+FRjU4lnGo2/wAvnIYpAO9NvL5dS8Ox2VzH81u23PtjrQhFT7bo&#10;Oqwme5hS1kWR1FxCnB56msLX7MMWjmChW4S4Xo4qG8LWN3J9l5jbcWQdMH2rOutamt4fJLF4nBBR&#10;uQoq7gULbXLazuZNH1xH+zSthv8ApmezitSHUDZRCyJ3GFg8LdpIz1wR1Fcp4hZLiFSJASrfK3cC&#10;oNL1q9FgtrdTlvsp+Vtw+6e30pi5tTptd1c32ksk6ebJasyxsp6riuLv9R2OtxaAgH7wbn8xW6J9&#10;8izRS7o50K9funFYGpPBHO0aQ7dwHXt7UGkWS2lxYzOoty0MjdmPytX23/wRQ+DGleLP2l5/iJ4r&#10;0eG6s/D+jzyWyyR+YPtDFYw6443qHzz0BJ64r4j0XRLm9l/dQOxjXduHQZ4zX6h/8ES/A8/gfwnr&#10;2u6jobJf6lfJFYyTMfniULv4x0yUbcD1XB6Vvh4qVZXJqfAz9H9Lnkijju5Iwmwh1UNjZGD3H0Jr&#10;S8YySWMEeoRqTsG1xu6qencdwPzrNguLMwAWsJkjxtb16YOcjsf5/jVrVJZNa8HMWDb/ACvLY7eQ&#10;y9/rkZr6DD/vIuJlTd42RR1B3voRKZNwkG5WXBxxntx781hvNHLcq29tnUc53c/TmofCmvRaxp01&#10;pewKhhyjxRx4AcZXGenX61HZSvDfyKq/u9uNu8E9OnQYP4fTNc0o2ehhLRnUWyxLEAytIdu1W5DK&#10;emCKtC1+1Wyx5X7uW75GOn/6qyoZnhZb0SSHA2vuG7jse/P4VYg1Agea9wzL3/hC/wAv5VPLIXMV&#10;Gv49J1SFI4vlbG5dxPOelfjJ/wAFa/gl4o8HftW+JvFOvaHHDYeJtXuNW0u6jjI86JyEcMenEiM2&#10;MZxJk9RX7K69LDMizWzKCvMnyjr+P+NfM/8AwVh+At18cv2RbrXfD8MUmqeD5m1fc0YMklosbC4j&#10;UjkfLtk9/JA6kVjiIvlNaUtbH4f+JNAntfOuJt20IMDHQk4qA+H2XR/tKk52j+QP9a7XxFpE1/A1&#10;pJFtzuRiR0+bcG+nT8KydABuYm0SZNt1G2FhZgPMGO2e9csToOVsLS4iuJJ2HzffUeorcsdWuLO0&#10;YxbSrKdyt3UjPFWDostpI8TRNtHAY9sHp7U3RtF86aQuMxsCuSfu/wCc0PTcLNHMteymORIztUtn&#10;P96rOl6ldWStdQfeKnBPap9Q0L7BFLCfmZemByD3FV7XTruax8+FNyr8r7e1Vy+6CBtQ1C6mUyTs&#10;x3bm+brV6z0y61i6HG5T0OeKm8K6D9tu5JmhMihcSL/d969H+HXw8HiDWdJ8HaOnnXOpalHbeXGA&#10;zJuZRub0AznnAAGaztaOpp6Huv7BXwotPgto0n7Y/jLQ5JNL0vUBpvh+GSEn7dfPDI2M9AoCPlz9&#10;3GQCcCsHXPFF7qOuTazqE7SXFxdtNM7H7zMcsc/Umvtv/go58LdG+Av7JHw3+GnhiDybPSbyW3mi&#10;X+OTyMmU+vz7snsZAOMgV8BXc0jyY9Oa7Mlp0+SWJjvJ2+S2/VkZhiKkqcMOto6+re/5Fb4heZMs&#10;wFzIIWy3k9i3rWN8BvDFr4r8YzW+r6cLi1muLSxm3j7nnXKEn/v3HKv0JrU1+RrzS5fLbLKu76jH&#10;SrvwJvrfw54Y0m+Hlx3GpfEK2jkZ/wCKKER4J5xtzO9dWYSfsn3ObD+9UT7H6G/szfBGHQhBr2sX&#10;B/0W1Xy1ZiOvJz+JrpPiDpryagxVmX97jMTYK+5+lcH8P/jf48jtbSXUrWxjSZpITakkTKU6ZAIA&#10;Bzx15Feha/cx6toyXscrZkwW28epr8vzdYhVuaZ71H+GiPTrIWpF1cx/PyVLYOeCK8f/AGu/DUdx&#10;4bh1jQ42KwMxmbjKIq5ZuT0GPzI4r1eG7khtBJFKJDINrRs3KcHkH15rzD9o6+jvvBcmkT6TLKs3&#10;O6CbAx0JfjPH5GufL9cRFmz2Pk/RJ5r/AFxY5bqSRpG2sob5up5/Dkfj+FdF8U9Au7c2OqIGb/iX&#10;qVPl5ABUn8wDXEaHqU2keLLdry02pHModR12g9P1r6R1Pw1ovizwj9shZdqR/K3y9CMjofQ/j7mv&#10;tKj9nJXOOGp4b4K1oC8ZJUVVmhaIgN/s1zPiPRpba83TfLGsrDPoa6PWvB174R8R74rtZYZMSABu&#10;i+mOOf5V2vjL4V6rq/gi18RabZRSK8ZMrSSBNjZxx9eRU1a1OOrZpZnK6RqF5qHwf1O2N4/naTdw&#10;zxnd1U/Lj6Zry3xh4i8P61D9ln02RNQQMVuI0VcMPy4/A17T8MPAHij7Lrml3lqwgk0mRY4Xj4lm&#10;4ZQPxC4NecN8I/D2pGWPUtWl+1+YWjkfIEZz0/OvJqVKKxTk32CSm42Rw3h/UII5Zv7VvzJdK3yR&#10;7SGC4yDn8TX6o/8ABJHxF4dv/wBl6C20LzFu18RXi62Wkc+bdDymRsHgfuHjU7QAdnc5Nfln4l03&#10;+xtZXRBL5sMJx5rdSOuf1r9Ef+CMOg6z4T+E3ibxX43ubbS9Bm16N9L1C/ukhinkMe2QKWbthBnp&#10;k45IOOrOMNVr5enSXM9HZFZTiaNHG+/2Z9t/Frx7b/C3wDe+NppTCtlC1yxjk+YsucKuf4mOABxk&#10;kV+Yvxz+J37Z/wDwU58O3ngD4V6JdW/w90XUH1Hxj4u1yaGzsGmwzBp7uYDyYUG7EZkO7AITgZ+8&#10;/jBaeF/2rfjT4N/Y+0+5uLnT9bebU/F0tjMF8rSLVNxO8fdE0rRxKwPXJ6jj5R/4KGfHPxF+0h8a&#10;rT/gm5+wf4KeH4f+ArxrT+xfDFuVTWNSjP76WRhjfDEQUDOSpKPKWYOpHm5PhK1KL9pod+Z4ilU+&#10;DXzPiXWPhL8IfhndzWem6tF4yvLZ1D65cWUsenoxyNttC4ElweAVMqoPmO5CMGl8HeB9Z1iWN9P0&#10;V2upXEdna28ZdkyPvNj+IAZUDAXqoya/S79mf/ghPodvo1l4s/ae8czyalLJGYvDWhyARxHOW86Z&#10;gd3HylUAxgFZD0r6/wDgx+zb8D/hH4i1Kw+E/wANNM0eCFhbrcW8JaZ1VcEtM5aRuSerY4GMYFe1&#10;UrQivc1PIhRlI/G7Q/8Aglj+2f8AEljr1j8I7rR9D8vfb33iORLFGJ+YyBXxI67cnKqcnpgAAeOf&#10;F34QXPgbVjol9dW8rxxgxvasSm0sMsCRyPlI6dq/ev8Abl+O/wAMfgv8D9UtPFvjrSdM1WTRZP7L&#10;026vkW4umK+WPLizvfBbJ2g4ANfhX8RvFtn4r12ea3kZ4nZ4ocg/Ko8xu59W9BU4epOW5pUpxjE8&#10;ck0l7VVeJf73y98fKas6HcGO/ilIwNzn/gWCBV/WSkZickL8zr9c5/wrlodSaOJJc/cmY/htWuw5&#10;4nr37Pfi608H/Fnwz4i1C52Q6bqlvPdOrcqiy/Mfw4NfpN/wU08EeFfij+xAf2jbO5+1WumtY6to&#10;2pHLSTRy3Edi8XKjyoizI+TtdpIwDv5K/kl4L1iaDVoLpYGkHnESKD1Uivvr4neNvif40/4JZ+G/&#10;gh8MfB+r65ceINRf7dDpmm3F0RZ215JdR5EYIRhK6HkZ4fHeuDE/FFrudmHfuyTPijxAsaSWfxE0&#10;dm8uORYdQWP7y9CrfUfeB9iO1foR+yb+0RonjT4eWemeK7AXy3kMdtqCqyxrM4AKyBhyr5wQex9R&#10;kH88vD8l9oZuvD+vW8kUVwvlzQ3CFWhOSOQeQVJz6/LivX/2MPipaeBfHS/DzxZtOn6pMIWjlfCx&#10;ygkAhs8c554/Kuu7iYyhHU/Sbwtrlv4Y1G30rUbxrvR9QXbY6osihNzfN5cu0sI5AM8cBgMrkdJP&#10;jF4H1abQU8UaNfJItku5QqHiPoQexxwQcD8Oa8R0Hx3qfhDXLjw7qkbT2MjGO906VVbfDjC5HGRk&#10;KVYYIOMEECvRvh94p8eeEbmbUNBnm17whcR4/se+YnUtOGOVUgkXUXXBH71QQGVtpc6I57WOs+B/&#10;xttdOuE0nxIsZsrg7ZVK5ZOT3OcGvetW8ffDq00dT/wkltJbtGSixsHIIGcgjJzx/wDrr5L8YeF/&#10;hn4qtTrXw515fLuPnWG3kx5bc8H865HUPE998OvD95ca3rCtb2cLTNLdcKiouSSQemB9fTsKA5bn&#10;0xa+NdM+Jmt6la6VJapb20MP+ixQnduM/wAr5OcD9y4xjv8AmfH/AOE9v8Z/gf4u+Gtzp1tcf214&#10;durG1S9UGNZ3iYROcg4KvtYN1UgEciuc/YkstK1LwndeMfiBY6/op1hkSCG6syv2RUH7tzCQGCPu&#10;djznd1IGSPX7yFdM1afT4tXs7y3SHclxayBkfI478Hnp2NVGpG/KTJWPxJ/ZD+N3j79kT44L8IvH&#10;1rDoYl1mOK8jby4TC7DYHkIXayMDH80h+VcH5Rlh9qft9/tNzfCr4DTRWdwsOueIG+yWMe8FoGAD&#10;POrL3j+XBByrvG3auz/4KD/sRfCr4r6W/wAeZfhJP4k8ReF9LfzdH0y+a1k1OAZkjw6/eZG3ADax&#10;Ifjpg/nL+1x+0Kfjpqvh+UeC7nw+dP0tzdabdXzXUguJpnlaRpWCly0ZhB+UEFMHJ5rRxu7knm1v&#10;dPNmUv8AMxzxTby7e0EN2GO6OYHj+VVbKXa2FHWjVsz2bAD34qh2OoF+RdRyIflPP1q3eXNo8IW8&#10;hLJnOR1rnNN1AXOn29weDtwfY1pQypexeYDn5cDmkWR30dnJbslnLgN+dfUn/BP/AP4KMXvw/k0v&#10;9lr9pvxXcXXw/uFNp4f1e6uG3eHnbIVNxYKtuSQu5s+WPSPco+VZMCQr6dKxdbtEniKyKGBU1UJy&#10;pyUl0NqNSdGopx6H3F+3p+yzofgu71r4gWtv+/MluLZJOJLOVnQiZ9o2tDIH2ncVIYo4U8kfHuoa&#10;/L/ZDM0ckVzHOyyRHho3VWJz9COlfWX/AATv/bC8FfGDwZH+wv8AtS3SvcXVi+nfD3xRcYZ9rghd&#10;KuHY8x7m3QkkbH/djIZVPx/4t0LV/BnxO1/wBrdtJBc6fqlxFLHKBuBjkKEcEjsehI4OCRWWJq+2&#10;qc1rHrVZUa1NVYb9V5ljwFqF4raxfyScsyvDu6A4OQPqOvrxWv4qup7bQTZ25x9ovAd23p8uf6j8&#10;6xPAhfVDrblNqpMpXnoBkY/StzxDIl7obGIhWt4WdV9SAv8AhXGcYzT7Q3NnFp7s3yyKp/3iCB/P&#10;FfY37BXxL8K+Iv2Pdf8Agn4sl8nxJ4L8afbfDn7vJNrdxkXEPHON0Bc9gQuTyBXx54CMeuaN9sBJ&#10;YfI6qclWU5BP4EV7p+xf8WfCnwK/ap0bxZ48iifwn4iePT/FEcw+WK1mASSUehjJLg5zx71nUh7S&#10;Nj1ckzCplOaUcXDeEk/uev3o+jvG/jvVx4P0nw3rF4zW+mXEy2S7+I/NAZl/NNw7/Me2APEfGtvc&#10;+MNf/tnTdCbUFs5Y4rqPdwUy2Yzz3DNn0DV618RtIGsLrHgmG4i/tDS9XlsZhayblS4hl27Qcnhi&#10;MA85DA571Y8dJdfDjwzYWGgMLSRIY3ja3UAMwGHz65POTzzXg1JVee0ntp8j+36OHyvH5fTnRhHk&#10;m/aJpLeWra83d39WbvhXxVaeB/2Z7T4RDVZ4rtdThuI/scIdpY0tpI7gYLDhiydcgHb0IFch+zx8&#10;I9P8TeLdYFnaT6GNFmjn0ueaNzb3LSqTCZo2JYDdE7NhsdTgjg5Op+KYfijpFncLLdWPiTSWZ4W0&#10;t/KbUYmG2W3IAILOArAYG540GQCwPsXwm/4R3wRod9o8uq3M0NxLNdabq15vaO/VtoFtK7AEEpHG&#10;Y2wB87YzkGvv+HcVCpl6pResW7o/l/xYyWpgeKJYlR/d1UnF+cUotfhf5kS/Df8AahgHkaPBq62a&#10;fLarZ6LK0IjH3dhVcFcYwRxjGKK6ST41+GlkZf8AhLviUuGxttNPhaIeyExklfQ5ORRX0fLX/kZ+&#10;X8tM+CdC126sbiTSboKzL82SwOVPRh9a6mW8M9m2oQENzl/oVw39K5rxXY2409NZ0iMedArBWDff&#10;TOcf59KTw94rtZ7QSCVvLk+8voa+DPCMvxxphWRoZBnKh0Yf3fT615TqDvpWqeTHz5b5Xb6GvXvi&#10;DdPb6fHqEaiRoNq7R/EhPX9a8n8ZRw20y3sKll6A9wMZoFLY6K0uINU8MSeTOVkVuv8AdYf5/So9&#10;JNzJbyQS/MyFQ3+P0rD8DajILyXTCd32qMtGp6bgM/yzW5YMIpGuPm8tf3cnr7UBF8yuYup3YR2h&#10;eTa3YmuZu9QmhRkEm6um8f6L5Fl/aMPysxJcbupx1H1rzW41C7W7ZHclGyKa1JlLlJtR1OJ42GPr&#10;WetwYHjbHyvx9aa6qd6hu+aZLgxQt2qzNSvK5uaPcbNOmikYnkGE/wB0+tTy6XJqql0Tc/pVPSFa&#10;K38lxuDSZI/2fSvoL9kf9nXUvip4paZjGlmssaySMf4Se3HXH5fhzFSpGnByZ30aMqk0oo7D/gnT&#10;+yNe/GD4hW8OsaY/lxzRGRZB8u3eGO72+UHHGfpX6weF/h3ovgZYNB8I6TFbskYVW4G7g56e2OmO&#10;grif2afgzonwk0i8vNJg8t7oFFlGN2O/P8Xp9K7sagtm3+oaa7Zj8uQcnH3vXj8q78vi5U/a9/yM&#10;sd7tT2a6fmdrPqFlo0KrdLunC4WMnOc9znp7U74XeKra+vdQ8IXEreaV+1QLIMZOcOB9MpgD3rl5&#10;b+VoPOvJi0jJnbI3K/7ftn61y7a7qug+JLfx1oymSTT7nzJI8FWmj2kOnToULD9e1e1hpRp1Fc44&#10;O0rnSCWTw/8AEzVtAgbbHeQpcxqpPODtfHB6fL/31WqhhLt9ncqTyxAztHuAOtYPxQksbvx94Y+I&#10;mhSNLpeqw3FvFcQ8Aq8fmhT1wcxFSOxBHtWzNcIqmVZG2r8rfuxxwOn41tjKfJUTWzFWXvs1LG4n&#10;gg+S9Lq/8JXd3HrkValmN4skPz7o1y20Z3fgRXPLq4tkEJlaRxynzDjH4Zz9aqW/iyZNVW6tZHC9&#10;JA23Dc545x/OuMyJtbubx5vssatHFw3O3gfQE1saD5F9bTaLf2Uc9s1tIJllUFHQqdwYdwRnjHNU&#10;/HbRXmlx3gf/AFY3/MoY9+ODx+VZ2ma1cQaRdtFOsbLpNxIuG6sIyQD6dPX8KUtVYqMrH59ft2/8&#10;E4vDx03/AISr9mjSY7O4sWk87R1umdZ4V/555yd45wP4gwB5GT+eOraOLiZ557hVmiYqyleTg881&#10;+2WsXdn4turXw3HN5bXG/wA548FgrDGVOOvXrx+Vflf+3L+yjrX7LvxcuvDNjFff2XI3m6XPdktJ&#10;LDnALMFCsc5+7kfjkVyVKKjaxtTrc0rM8ans9YvIPPmuM4j4n3ffUdj7j1qDRtWlZmhW12yKTudB&#10;97Pf9Kp/25PFHHC8TNtfPy9Dz0waauspD5ixQKpZc/d5HNTynQ3cm1Z7nWiDBYssxXEgHcdjVnw1&#10;o81pILIy+XO6gsH/AIvY+tUrXxDfQ3O+1ZlbbsX5asR2erXF4txeGTdu2sxz1pNWEa0l3ZabcyWO&#10;mws0rqFlMPQ89P8A61fZn/BHj9mHXPiL8bG+KGvae0Wj6AqzNNtUq1wHVo4vmHfGTjkAV4f+yx+y&#10;f4j+PHjS10/S7cw2vmKt9qTf8sRuA6fxMf7vev2h/Zs+Bngv4GfDiz8CeCNPWG3hQG4mbmS4lx80&#10;jHuT+g4rxcwzCjTl7CLvJ9uh6OHwdZ0nWa0R8cf8FsPip4b0b4ufCfwXqmq4iuNH1yPXFK82tvdS&#10;2It7j6edaMx9VhYd6+HNZjn0XU5tLvgqzQtjcrhlYdmBHBUjkEdRVv8A4KSfF/xf8Yv2w/Hl/wCJ&#10;3Cx6Rr1zo2nwoxKw2tpK8KAemQpdsdWdj3ry3Q/iYjaRF4Z8YSSNDbLt0/UIxultxjiNv70foOq9&#10;uMAe7lc/q+HVOXr955OJvOtdGprGvMk81sbuRDHKxhYfdI9DW94k0X+yvCvh3Q4mIkWxN3IytyHl&#10;Yuv0IRkH4Vz/AId8F6l4u8W6XoWmzrcR6rfJDFeW/wC8TDMAW/4COSOwBz0r1X4maZFdeN7yKG3R&#10;U8zEEfQKo4AHsBW2MnzRRVCOrufSvwfMni600vxhE6wtJaxSLHtPDYDN9Bnj8K9b0zx3anRmXVGk&#10;3o2DHHHnvjP0ryH9jPURP4DbTL9gtxp8zxRKvJKt84J/FiPoteh6nZXlrqpfS5YljKZnWTI3Nx90&#10;jgd+v5V8BmlT21Zwktj2sOly8x22napa3thttpFkjEmGaKPPfn8fauJ/aO1zQrX4f2ulQ3zNcTW8&#10;0N5H3jJAfG4Dv1xx6dKfqfxU/wCFb3MGj+IbJoLeSRirIwKlieMen4Hqfwrw74i/GbW/F95f6IbW&#10;L7FezeZDLIpWRXKony7cAABSO/Wsstws5VObojSdRrQ8T1yeGfU2ihgZl8zbkfeJz1+te6fB3RMB&#10;OBvH5MTLpNnf2moSRw/ZfJm3ruBU9sdCM9O/frXh/iWxOkyNCD87SNk5PrXr37JnxE1eC4OjSCWS&#10;LI8tmbJQjHOPw4r6LHS5aPMc9KN2d7e/s+3njq8bUbaOFpbfh5Jl4A7fj+leo+GfBWmat8ODoniL&#10;T482bPBIq4xuHQ8e+fzrU8K+OvCF9PJEm+RfmaWRnAjVjwFxxnv/AFxVrT7vT7ae9givhNHdL5ka&#10;9V3Ak4yf8a+NzDHVJytHQ7IxjY8Xs54dH8QS6fcQr+7kIh8uPtnqQeor5f8AiJoet6H8WNQ8P2wd&#10;UN8xtZC3DLkEfoa+nPiJb3EHjqTUtPP3VGVk6MQMnBryf9rX4bXfivwz4c+IGi3/ANjkm1dbe7kS&#10;QKxBiZ/08s960y+9Ssk3uRUSjG54j4l8N6ve+Mbr+ztMluEjlZTIqE/dYjJ/LNZ+oSeJ/FN9Y+D4&#10;pLy62zfZ9N01XZ8O7ciNOxZj2xk4r9aB+3L+xP8A8E5fgVovwR8AfGTwrdatDp6f27c+EWh1W/1S&#10;8Ybpncw7hyxYJ5zooXaoOBXnv7EEfgf9uH/gpPpvxbs/gJZ6DafDvTZNY17UrryDNqFxIP8AQhPF&#10;BGkUdwskhkIYSSK1uymTChR9tHFyVPl5NEjyI4f95zNn1h8MvhpqH7IH7Gmi6J8JfhTHB8UNf8M2&#10;3hzwvZzRr9os5XSSXzLqUFgqxyy3F5KM7VOIxkhWNr9i/wDYb+GX7BvwpmsdDK6p4s1VFHibxVMv&#10;7y4kJyY488pEGJIXqTyxJwF+htQtoZ9TOrlVeZITEkrDJVCQSB9SFz6lR6Cvhv8A4Kof8FR/C37M&#10;mlXHwF+EWp2998RLq1Mk86hZIdATbuV5QeGnbA2xHoCHbjar+XCVatpE6JS91RPVf2wv+Ckv7Mv7&#10;F2hLJ4/1+TV/FstmzWPg3RWV7vawyjSsfltk+VAWc7iOUR+lflh+0H/wWS/a++K1rqGh+BfGJ8Ca&#10;dNM2618LuYrp0L7huu/9du5wTGYwwzlcHFfKMni7xZ8SvE2oa74i1S71jVdVvmuLy4uZWkluZmOS&#10;zMSSx9zk19nfsuf8ERP2gvjYlp43+Lut23gHTNQtkeG1vrVp9QlO0Hm33IIgTkfvHVhwdpHXt9jh&#10;6Eb1GP2krWR8maBreueKNc1DxBruqXN1dShnnuLqZpJJpGI+ZmYksTySSe1M07WC17HE/wB1W+Zs&#10;+p3f0/Wv0A/an/YF/Zi/ZL8OaT4W8F6fqt/rN3Izahqmt3nmPIgVuESMLGq7iP4Sfm5Y4zX5++Jb&#10;i2fxnevHHHHHJfSGONV6D+EYHpkilGtGpL3UN86VmY3iu+tnvI4VP+sZ/LH0Az/OuGikNxLLBF8x&#10;F1tx+f8AjXRa7OINXtbdju2sy5/75/mK53w/AX1K6YHB85XX2+ZhW2sST2L9grR73xX8ZbTStKE3&#10;2y53abZm1tvOlX7SnlSMqfxERGTnjBIOQcV+9H7J/wAJbX4F/CbTfB9rbyR7Y2lvSE2s9y5O92GT&#10;z91Tk/wj3r8jv+CaK+H/ANn/APZ1+JH7WqJeNr2m3FxZaHcWlpIyWOyJQPNkVkCebNd2yrhifkIK&#10;spIPg/8Aw07+0nqWpSR638bPGF7HMhSRr3xBcyKQTnB3Pg571xyoSxFZtO1jqjUjTppdT23/AIKi&#10;fB//AIVp+2D4pgtLULbardfb7fC44l+Zxj2fP5182Xtxdafq1rOl0u6ZFm0+4jYjDBiCG78Efl9a&#10;w/C+t6rB8Qro6hdySLdtk7m/i/H3FJ4kS8sdWWFrqTyYmBtw0hIjycqQO3LYNdHLyxUb3sZ3Uj78&#10;+D3xY8D/ALSfw50l38VQ6H400+3EKy32EhvNq4VGbONxAwQRgnpmr8XxH8RfDHWT4e8bNceH9Vnk&#10;VoVupCtreY6PBKAFOfQZ5NfJf7JklvrXifUPBhleGa6ha4sZY2HyuuN6HqCpGcg8cA+9e76x4u8a&#10;/D3SZPDfiUxX2kSKBJp2oW32myk/7ZS7ih+h49a0izFnuXijxh8GfinLb33inVNf8D619lYXOvaL&#10;DG9tdORw80YX96c/xbo2YH5m+6Fo+GPAH7PN2/2b4p/tAXnxCj8yNNN8L6VpH2P7fJkEJPmSUspb&#10;ACh1HrnOB5b4ClHjjTrfT/Cfga1sI7i88i3aO+uYYGfaTwu9goG3+EADsOa+iv2ev2ZW8BavH4+8&#10;ZapazalDu+y2unqzRRkgrvZ5BvZsE47AnPPGIqVo0wUdT6Q8H6xc6foUWn2mlw2uy1C29haMFjt1&#10;VcLGmBjA9QPmOTwSa0ZLnbo02oyL5e5xhR0GewrmvDVw8V3HuPHOGHYen0q1488UaPo1h52t63aa&#10;fYW6+beXl5crDDCCeGd2+VR05PFLCxlUvORnV0kkfPP/AAUX/b7uf2WPh5Dofg/UIJPGmvWzQ6Za&#10;socWNodyvdupznkFUBGCwJ5CFT+Rup63qOu6pNq+s3slxcXUzS3FxKxZpHY5LEnkknqTya6/9rP4&#10;5X37Q/7QXiT4ozyN9nvL4xaZA0hIhtYh5cKjPQ7FBbplmY4GcVwSMXGK7SEaVnKjOpDU6S7ZomCt&#10;uw1VYXEfccU28YpLtBwOvHegst6BqRW3a3Y/6uRsCtPRvEdqJ/7Nmh2lj8rE9a5HTrto9TaDfjdz&#10;UlxdMkq3CNtZWzmgDtLtikjAj5ayrtyzEfw1Ytb5dSsEnU5bbhqqXLEZ3f3uKConO6xbXA1GH7L5&#10;izCTMW0859ePStafxRrGqeJm17xjqct1e/ZmXz5m+ZsIcZPc8dTTdP8As9z4qt0nbjaQD6VD8QrS&#10;HTrxZoJQZJVVfLBztLDrWFSRtGUro7LwrbroPw/l1ObP2nVJiqsT95c4yPb71W9cuDpyRybtysVy&#10;f7yEc/pisZ7qbWpNK8PwTcWdkgY+mTn9AG/OtnxEY5vD91qjj5IVURqvZfkBrnOgxfC+r3XgXxPJ&#10;cwStJaXAWTbu4Zcn/Afp16V2Piu9tttpqUE4+z3SBYW3HCSAfd9iRyPXBFca1rbz6ZY7wDmRo48/&#10;3Tggfofzqxodyb3QZvDeoxttiDbvdTg8ehzg57Ffc1MjSnLofSX7IXxV8X+Lvi1HLqF3G1jNGp1V&#10;bmQtJ50exVlGc4YuecfKct0wBX0p8Z9POs+Frj7E+6bT83EceDzHgCQD8MN9ENfEv7Jbyadf3Frc&#10;OzT3B8iG4DMrR/OrjGDxnafxxX2N8PvHV34u8I6X4quLjF4jNb6ljtcRPtY/j1/GvHxUf3zP6s8H&#10;MwWL4fWElJtxlLrts7fdqeK2N9PZavHMGKkSAq3pg17Ne/Ez4j+K9P02b+2UXTbNVGqRzW6vH8gA&#10;jdwBuUcY3ryGIz1Fef8Axz8I6d4K8VQ6lGuzSday1oy4xDP1eLjAA6so9Djnaa3fhHKYo2srnUPM&#10;tbiNklZJCrCMjBGO/GarLMZUwGMU47bPzR9RxVwxQ4kyurg5r94tYPtJar5PZ+p0MFzoV5Cl2fgv&#10;b3HmqH8//hJtMHmZGd2HXdz1559eaKv6n49+AumalcabL8Q/A8LW87xNC1nCpQqSNpB24xjGMDHo&#10;OlFfqEcyhyr95H7v/tj+TZZPjoycXhZ6f3Jf/InyfY659lWbSbtNyuu6Fwf4f89q5zUb1NHvWZQf&#10;Klf7tVZJ5rjS47mSVvMhk/dstQeIcyWXmOzZVcjmvhz87j8Rq3fiqKeMafNcM+FwpPYHtXE+LJxH&#10;D5KKdoBz74NC7g8cvmNuJH8VUfFs8uGXd91f5iqiwqFfRNds7S/iuoyyvCQ6sF6Gu6vNZ0nw5cQe&#10;I7IJcWdyx8yKTcVwQDjI6dK810W3ikvrcuv+syGrpBl/B5idiVW78sKf7ucVRVP4TQ8V6vpviK7G&#10;k6a8i28ymS38zBKf7Bx1I6Z7jFeVa9bS2V20RY/6z5TtrrfD+YnQqfuycZ7cVzvi12bV5I+zTNVR&#10;lZhUj7tzLt41YGRuucGpjYq0ICD7jYxSW6gZGK3/AA9ZQ3N7GkucMoZvriqM49j039nH9kvx98bn&#10;a80qzZbO3mjjmuGQ7VZ+gHqcAnsPUiv0j/Za/ZktPg1aNZadIJGkeJP3kYydqYY57ck/5NN/Y68A&#10;+G/BnwC0W30O0KC8jW5uGfBZ5CM5zjtnA9q988EW8SLLcKg3KURcqCMEk9PWvJi547HRoN2T/JH1&#10;ioxwGCdbeVjfj2aPpcdrYlWXy9pbYOG7nkEZz7jishGnvJmYLM4+794nb7nBA/I1e1ZfssZvw7SN&#10;5irtkYlQD7VS1+7u9KsYbu0uWDMfunG1foMV9pCEacVGOyPkqkpTm5Pdlm7u9QMWIYS37vC5jKqv&#10;uc9RxnFRaVZSSG4vtXmYKsZZLVMZkY9izcVjR31xc2q3M53M0cjfNk4ICkdf941P4Y1W61rxDHba&#10;gI2jhhysfljaSe5H+ffNVexjc4zW/iDqngqK5+HVzFM+nyXUeraV5KlntbuJxI0Sc/dnQNF2AdlP&#10;ALGvVvDuvaXr+k/bV1GP5xlU2g4H0rh/jDpOnHxOp+yLmKNdrevH5d/0rA+GGv6k+tnTxLtjYOW2&#10;5BbawHPPcNz64z1yT6FpV8Pq/hNJa6HpUmoqW+zaddNI27998vAHPfselY2v3pSya5jfyxHL/rWL&#10;bc+ntn8SKtTz+Y7RmCMbJWi+VPvKBnn1pt5Cn2ebS1+WGOP92ox8vy/0xXGYfDsdT4Q16HxZ4SeK&#10;SVmhYBJPLkz+qgn8DVTwULS51hbB1XDB4JFHG8FcEY+hrnfgRdzza5qFiW2x7mJC8ZyufyroTjRP&#10;iNYx2A2i8mZZcseBnHHpwKC943Plz9iLxTqPxD8d3F7deZLb6HH5cy4zhzwAPyNZ/wDwWL+At14z&#10;8C6R8TfCthcXF5D8l4qysVSBRjJTdjOW6hc+p6V6t+zJ8OPC/wALl8Yab4St5Y1HxC16BpJpS7tH&#10;DqM8Eak98JGo+uT3ra/aCeTWfD89reyZjjt/KVABjaQCevu1ePnGLlg8Jzx3ukejlOFjisZyS7M/&#10;E6fwXeQv5TaPIH++vmKQB2qC28G3tyS1po80ibCXdIW69u1fosnwa8BTRLd3GleYykkBmAHUccAV&#10;3nh74WeAYtO3J4ZtR8oP+rHNfNviF00vcufTR4f5vt/gfmX4Q+C3izxW0Y0HwjcSNt2NNLGVRWyO&#10;Sx49a9++Fn7FereILiGDxRbFVXY8nQo5BwVU56++MfWvtaHwb4bt4/sdrpcUMePuxxgY/Sul8G/D&#10;LwvaXMdykdwzecE2vOSBx1+vNcGK4ixFS8YKx3Yfh/C09ZvmZY/Y+/Zy8NfDmFZdN0mOBdqnYueu&#10;Pfn9f519KsslqxtoOrfd28c1h+BNKsrLTVFvHjy22r78Ve+I19ceH/h5r/ibTW23djo91c27N0WR&#10;IGZT+YrwsBVqYjMOabu7HXmUI08DyxWh+AX7UWv6X4s/aD8c+J9HufPs9S8Yand2s2PvxSXcrq34&#10;qQa8uu0U5Oec9K6TxNAsFywVmbJOSxzWJPEjLkiv1SK5Ul5I/Nqkuao2e5/8E8/h7qHiHx1rnjgR&#10;v9j8P6eke2Ofb/pVwWRCV/iAjSf6HbXrmv8AwU8R6j42kks3iuJmdZYrZiS0ikdMjp36nsa0P+CX&#10;el6a/wAKdUBsY/Mvte1COeYD5yIrGF48H/ZYsR/vGvS/EDv4eEniPT5G+1XEkFtK0nIMZkAI9vqO&#10;a8/G1qlOWjO2nGLVzlvgF9s+GPxLvtC8U2rpHcWolZdxXDZwqg/R8/hXrPjnXJLeKTyreSZvLG2C&#10;FVyc9OvH58Vk/EOO3lsY9TktYzNDZwmJtv3d4myff7gxnOKs+CI1u9H+2XGWkklIZmPtXz2KlCtL&#10;2qVn1OzD80fdOJ8Tv4g8UaVJpuvaFHcQxqT5bAAjGDxgACvP9b+G+u+FwtxDpMu5lUyCZQNkZPHz&#10;E8A8ng9B7V7yvh6wvfFUFlKZAjzZba/Jy+P5VzX7SQ+yanDocZP2X7P5jQFjtcqMjcBwcVrg6zhJ&#10;RXU0lJyPCfGGk2Xiu7hj0yKGH7OzR3E0Mu5ZWBzlT1Ixx74711nwg0m00cyRR3AUyLtLYzuzxiuT&#10;+1vp0VwLSNVP70q3OV6jiud8LeI9ZS6aUX8mQx6mvUxFP2lHcUVys+pIfEFnY6euh2Vm0aY+YmPg&#10;/wCea1tE8S29m6r5skcwk2/Lzn3xXB+Hb6e98NWt9dHfK1uGZjn+9tx+X410T2MTaTFcb28w2+S3&#10;GSfrivh61G1R3OqOxreONIi1F45IY/MlUBmb+8pYZ/IE14/+1xOun/szT2NkzSSRajHPajaCQxie&#10;MjjrkSE/8Br1LxdcTad4H863c7mijQs3Jw7hT+OK7j9ka0tdT/az+F+h3dtG0H9rX1xjaM74dE1C&#10;WP8AJ1B/CvRy2latCS7v8jCvL3XFHyT8Hv2FNL/ZS/Zpt/29f2sdGZtQ1q6SL4V/Du4h51K4KGSK&#10;9vgfuWqgGTycbpQEBKK43foB/wAEEvB2pW37MXiz43+KobiTXfHfjaWW61K5bLX1vbxpiQnHJNxL&#10;d5OTk5ryH9jX42+OP23v26fi1+y3+0/Pb+KvA+tLrMKaLfRsF0w6ZfeRay2ZVgbeULLLuccsZCT0&#10;UD6Uklu/2HP+CaPjKw+CF4+/4e2niVPD91q6rPJvTWtRjSWXAVXYBFb7oXPVccV9PiJSdOxyKHLU&#10;SOb/AOCrH/BWXRP2RvD9x8Evg1fwah8SNStB50q4ki8PROOJZB3nK8pGeACrtkbVf8YdDvvG/wAV&#10;/ieYpmv9c13X7xizMWnuLy6mbr3ZnZ29ySe5rD8UeLfEvj3X7rxr4w1u51DVdUma41C/u5jJLPIx&#10;3MzM2SSSTX6lf8EAv2a/hJqPwX8T/tTav4e+2+MLTxJNoumXl0wdLC3W3gkLQrj5JXMpDPknaNo2&#10;gturlWGw/MiL81S3c9W/4JNf8ErvC37LNgnxc+O3h2z1H4gX8YltbOdRNH4eXAIRDna0+cFpACF2&#10;hUONxb6E/aV/ai+AP7Nq/wBqfGr4taP4cZm82ztbu5JuZlz1jt4w0so7EqpAzzXonhe4le83Mf8A&#10;ls6fUA4/pX84f7b/AMavHnx7/aq8V/En4g38cuoXmpshW3QpFFHH+5jjRSThVjjRRkknGSSSSeSj&#10;TljKnvM6ZcuHg5LU+2f+Ci3/AAU5+Bv7TOo2+g/ArR9Vun06bE2uajCLeOQZUjyUJMjDrneEx6Hr&#10;XwV4u1Wd9b+0b8u26XzNo/jUtnjpyf1rmfA91cS6ortKw/e4wOn3W/wrtF0Sy1PW9Ltbve0c8scc&#10;qhsblz0rpjTjT0RnCp7ZHGrdnU72Cdm3FVVvm9gP8Ke9qNN1uU267Ypisir7df55rvP2lfAfhf4f&#10;fERdG8Jab9ltTCpWEOWC8KepyT949ST0rmNbjRdK0m+A/ePiJj6rvA/kxrTm5kmSfUH/AAT+8J/s&#10;9fF+LS/2ZfjH4r1LT4/Fmptez3+h3AhuLe8iMkUdozSRPGIpE2yMApJdIzu7D9FND/4IzfsC2lnp&#10;2n618KtU1NoiBNqF54nulmmwMhmETonJ7Ki9a/G34IeKta8F/FGy8V6Fc+XeafqEd1btz8siSAg8&#10;EH9a/Tz9tr/gp78f/wBmP4l+F/A3gHwt4RurfUPCGn6ldXGr6fdSSmaWEswHl3KKFBHHy59Sa4Kk&#10;ajqWi9zeK2TO4/aE/wCCUv7Fek+A9eufh18DrTTNZh0t3sb6PULyZ45FTO7E0zgkn1r8m/EPgSx1&#10;Z4ry7091JhksV+cqRchNyhuT14B443D2r6m/a/8A+Cw37ZNrrkfh/wAJaj4b0GObT4nmm07QxJI5&#10;dY85+0vKP4j0A/Pmvi6T4m+MdIum1SLVPNeWRbqVJl3K8pXJbHGDn0weB6DGqpVqMbyluNx5djof&#10;2VtTu9M+MmkttLmPUo1Yx/MCDuU/o2PrX2Z4y+Gg+Jci3BvW2ttHlL2bPJPFfNf7GHh/SrrxTqXi&#10;OW3/ANIis7eSPDHarPJuPH1QY9s+tfXHhCeS3vv3Z+8A+D610R1M5mpp2haN4E1rw7oOnxrHHaXc&#10;TXAz0L/Jn82H5V9GaZdB4YFhIYd818haBr2paxPrN5fzbpIZP3Tf3dj5XH4ivq3QWY224nnbmufF&#10;R95ER3On0WeUTzSpIzfZ9qsV+6D3/TFfnz/wV8/a68/WZv2V/BGtCSCCVLnxZcxsG3ycSRWmfRfl&#10;d/8AaKrwUYV+hngs40lFCj/SI5p5Pd1dlH4YUV+GH7UUksv7SfxCeaVpG/4TbVSzsckn7XLyfeu/&#10;D0+SijKr/EOPiaMYCcLVmJxjIqhZ5IPNW0yF61sTEtNMfK4JpmoTGe0W8ifG3h6Y5O3GaTRhvkuL&#10;RjmMjODQUZtrNnXFfP8ADTriZWmYnpnpVePjXFA9/wCdJKzfaGG41hcDo/DuomOAxDd1q3e3EZBH&#10;mc+lYmgMwkAz3/pWxJCrIXbn5c07sL6mHeXD290t5Gx3Rtlat3ULeKXttZtireXIqXS94+eCfbB6&#10;1XvokdsEflTPCmr3mi6yGsypWb5Jo5BlZFyBg/56gUqiujSOp2Xhi0eO71W7H3mYQ7v9k8ZH4Zq7&#10;4luptT0mbR9MtP3ZjBxu6+lWEsoIrvUo41wPL39f4sH/AArb+HGgWGq3V5YXfmbV03zgyt827z41&#10;649HNc52HCaTp19N4YmCttks5g6q33k2c9PXj9K29GvYNRkF+qKrSKFkXd93J/XkmtG50qzg1CcR&#10;IV8xJ1kwfvYjLg/XIFcr4HtUfxA9oXby5mcld33duCMUAfTv7DXwF1f4x/EqbRbFpofs2nrJDeRw&#10;7oYbxZ0EKzekcrfudwxsMqu3yIwPpPwKl1TSNb8Y/DbW7S4tbyx1Iymzuo2jkilVtrqysAVYEFSC&#10;MgjmvVf+CJKQal4C+IlhdWsbNcXFrZzXG3MjRNp+oS98qCHiRgQAcqM54q9+234V0bwn+2bo3jLw&#10;/bm3u/GXgO01PW1jb929wbq8tmZR23JaxsckkuXYn5q83FR9/mP2jwizipg87jhVHSbv+DRkrpPh&#10;T4i+FrjwX4309buzuF2tGw+ZGA4dD1Vx2Ycj3BIr53sU8ffA34xXfw1v9bi1C1tJh9laddu+FhuR&#10;lbOQdrKCDuCnI5xk+7aZLJBqjxROQPMJrzL9q7TbQ+MPDPiAR4uryymimkB7ROCpHv8APg9iFXjj&#10;niqwSXMf05nlFU4rFQdpRa+afRnoVt8TNaW3jH9j6z9wf6m8t9vTtmcHHpkA+w6UV43Y+MNd+xQ/&#10;6X/yyX19KKy9rI4VjJf0kf/ZUEsDBBQAAAAIAIdO4kDrK0YV1gQCAL0EAgAVAAAAZHJzL21lZGlh&#10;L2ltYWdlMi5qcGVnAACA/3//2P/gABBKRklGAAEBAQDcANwAAP/bAEMAAgEBAQEBAgEBAQICAgIC&#10;BAMCAgICBQQEAwQGBQYGBgUGBgYHCQgGBwkHBgYICwgJCgoKCgoGCAsMCwoMCQoKCv/bAEMBAgIC&#10;AgICBQMDBQoHBgcKCgoKCgoKCgoKCgoKCgoKCgoKCgoKCgoKCgoKCgoKCgoKCgoKCgoKCgoKCgoK&#10;CgoKCv/AABEIAbgCU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ehU7unStG2VtvNQQwqxzVuIAdK+3kz4mKJohgVYj9agTjtViMEc1lI1iS&#10;qOMVMhG7FRR9OamjFZyLiSJnGcVLHg4qJBgYzU0YANQzSJMnXOKkTpUadDUq9KgtD0NSIRjio1He&#10;pEHGamRZIlPU4NMTrTh1qRokHHapB06VHUnakyx6ninp71GM7eakj6YNQVEeuc08dKjHWpKChyU9&#10;DzTENOXrms2BJUi5xzUdPXgVMjQeh4p6nmmJTlznipAkpyntTR0pVJzxWZoPqQHPSo6clTIB6nFO&#10;4IpgqQdKkBFxjpS01eD0p1TLc0FU4NPU4NR1IOlSBID3FSAg1Chx1p6n5uBWbAeQOppytnimkZFA&#10;OD1oKiSUqtikByKKzKJKKah4wTTqDQKKKKCosKKKKCgBIpyt602jNA0ySihc45orMsKKKKACiiig&#10;AooooAKKKKACiiigAooooAKKaXwcYpwORmgAooooAKKKKAGuT0ptOfrTatbEPcDyMVDIO+KmqORe&#10;1NGEiueOKKkorQk+eoAcYxVmP6VDEMCpo+mK+sbPl0Tx9qnjOBUMdTx4xiszREq5A4qWPOaiRRjF&#10;TJwM1maEnRelTR8HpUa4NSLxUtlomQ81ImcVGnWpIzxipLiSJnFSJ0qNPpUidOKzKJEzT169KYlO&#10;B96CkiSnqABwKYvJ5FSYGMCouUOXO2pE61GvC8GnqeelItD6cuQMGm/WpFORUuQxyHmnDrTUxnmn&#10;VJUSSnr04pgIxxTkPGKmRQ9c54p+ajB5qTtUgSA5GaMntTU+tOrM0JAcilU4NNXpxSjrmgCT605S&#10;CMGmjpxQM5rMBeeopd/HNITSUGg9Wz1pwJFMVcc5p1QwJAcVIDkZqJWzT061EgJVII60d6YCRzip&#10;DUgOVscE06o6chJqZLqaDqcrZ4ptAODUjRJRQDkUUFhRRRQUpBRRRQUOVsU4HNR0A4OTU2KTJKKa&#10;GzTs1JQUUUUAFFFFABRRRQAUUUUAFFFFADWUk5FOAwMUUUAFFFFABRRQxwKAI260UUVoZhTX606m&#10;ue1BmRlTngUU6iq5jM+eY+nFTx8ioI/rViOvrGz5mJNHwasJ0xVeL1qdTxjNZtmkSdOtSJkLzUSc&#10;GpUPFZtmiJkOalXGagTOM1MpyKkolQc5qWPmoVbmpUPOKmRUSVOtSL6VEvWnr96pKJUODT6jHWpB&#10;0qZGhIOlP6jmmA5FOQ5GMVI0Pj9MU/PNMQ89afSbLJOtOQ+9RpinA4NQBJz2qQdKj6inIeKCokiH&#10;ipEwDUaHFOU4NTIokqRelR05GzxipGh6nmn1GOucVIvSpkWOQnNOqPvUgORmpAcp44NO6c01T7Ut&#10;QwQuc0Uc4opGg5DkU6owcGpAcipkAqnB5p4Peo6epzUgSqeM05WHTNRAkc08MOxqGgH9DSg4pq4x&#10;Ts0i4kgOaKjBIOaepz3qGhigkU8NmmUA0h3JKKRWBpaCwooooK5gooooKDNODHHWm0UASBgaKjpw&#10;YZzU8pXMOooyKM1JQUUUUAFFFFABRRRQAUUUUAFFFIWAoAUnFMJzSEk0VSRLYUUUVRnJhTX604nA&#10;yajzmgkKKOfWigk+e4hgYqaL3qCMjFSxPzjFfVs+aRZj4PBqVKhQ+3vUyGoLJUPQ1MnXioVOBwal&#10;VjjNTIpEyEdM1KnTioF5AJqWM+tSUTqfapFPfNQpUkZyOKzNETCpBnFQqSR1qSMnoaTKiTKcjIp6&#10;9KiQ9qeCQOKgokEg6Gnpj1qqCc4qxGSFoKiTCpAQaiU8c0qnnrWZRIvB61IDmo6ch7YoAlU8U9Dz&#10;jNRIecU8HBzSZaJB1qSo6epyKgY9KenWo04NP75oKiSU5ODTFORSg1LZRJT1zjOaYDkUqnB61ID6&#10;cGBGDTc5oQnsaTKiSc0UZoqCgpytim0UASA5GaO9NVqdnuKhgSA5oBwajBx2qRSSM0gJFbjpT1OR&#10;UAJHINSKTU2KiSUAkHNIpyM0tSUSA5oqMU5WzxUuIDuacG7U2ipAkopofnmlDA96DQWiiigAoooo&#10;K5gooooKDNGaKKAHbs04MMZqOjNTylcw/cPWgsBTKM0cocxJuHrTd4zim0Zo5Q5hxcdjRvOKbRTs&#10;hXYpJNJRRTFcKKKKCeYKKKaznoKCQc803NHNNY44oACw/u0U2itLGZ8+pkrwKmjBwBioYj6VPGTm&#10;vpD52JOvtUin0qFTgURuwOQ1BRcj4PFSrjFQJ2NTIexNZmhMhFSK2OahTpUinPapkNFiPrUiDjg1&#10;ChHUVKjgVDNESqMCnrwajVsU8cHNQWSA4PFSA1ErZHBp6HtQBIgTqKkRgeBUKsKkGetJlxJQxFPB&#10;BFRK2R0p6HB5qBkqninKcVECRUgOeRQBJUgqFGzT1JHSszQkQ4PNSKcGogcHNSA5GaAJB61IpyKh&#10;Q44p2cUmaIlDGlVscGmBs9qVetQBMjdqdmowfSnB+1AD1bHGaeMjtUY5FKrEd6CkSBiKeDkZqMHP&#10;ShWKmpaKJKKAQelFSAU5W7U2jNAElAJFNVsdadkdaiwEiEHo1OU9qhBwc1Kj4GDUsqI8H0pwf1pt&#10;BqCiTNFMVscU4MCcUAPV8DmnAg9KjoDMOlS4gSUc+tNDdjTqkBwf1p2RUdGTQUmSUVHuOMZpwego&#10;dRQCCM0UAFFFFA7sKKKKB8zCiiigOYKKKKA5mFFFFBN2FFIXA70hc9qAHE4ppf0pvvRQApYnvSde&#10;tBOOtNZ1A60AOY4HNRM3PWkZ80KMHmrSsJht9qKTd/siimK58/RnnrViM98VXQ9DUyMOmK+kPnSd&#10;T2NPji5zmokNSoe+ai5SJ0Y1KrZGahQ81Ijds0iiZTipUbHWoFY9+1Sq3esyok8Z561IrVCjHGae&#10;rHHBpMonRs8GpEOe9Qqx6ipEbPNQaIlDEU8EHkVCrDHJp6sR1oAlUknmpEOOKhB71IpGOKhlRJAc&#10;c1IrdxUKtmngkUiiVDkVIrY4qEHnIp4ORSY0Sqe4qQHvUKN2NPVsGoLJUbPFPVsVED3FPVsjmgCU&#10;HvTlYdDUIJHSpAeOKllokBwc1IrZ6VCrjoadn0qRkwbFOByMioQ/rTgSDQBMrY7U4HPSogwNLnHN&#10;A0SBiKcHBqMPninA1LLJAeaeGBqIPjginA+lSBJRTQ5HanA56UAFAJHSiigBytxgmpB03YqHNORy&#10;OM1LiNEysQODTg4PFRhwRyKcCO1S0WSZzRUYJHSnBwetTygSB8DmnA5qMHPSgE1IElAJHSmh8daU&#10;MDQA/fx0oD5602ilyoCTIoqMEjpTt570uUdx1GSDnNN8z2pdw9aVmPmHbzS7+aYGB70uaRQ7eKN9&#10;NooAdvFBfFN4oyKAHbz6Ub+aaSB1oDA9DQA7ec03JNGaaXC9aAHUZx1qNpc00u3Y1XKBIXFNaXjg&#10;1HRVcoDjJ6UnJPNJnFGTTsADA60ZJNITjk00sSeKZNx+R60VHRRykngKHvmpYz61AjcZNTIfevoG&#10;z58mQ89KmQ4OKgRs8U8MAtSUiwjdqlU8ZzVaOQMeKmR/Q0mUTq2e9SoRnOarq+04NSow6VBSJ1bB&#10;qRWxyDUKN2p6HnrUyKJ1bHNSA1XBxUqtUlomDZp6sQahBz0pyHPFIZYDY4NOVsc1CHp6tjrUFRJ1&#10;bIzTlYdKiVvenq3oaCiZW5wacr+9RBs09GAqZDRMDnkGnKx6GoVPepAwPSpLJQ22ng5GRUIf1p6s&#10;R3oAlVs8U4MRyKiDA04OwrMqJOGB704MR1qBWzTw/HIoKJg3oadv9ahVu4p2896AJlOadvI61Cre&#10;hpwbnmgCQMKcpwaj7fLTlfsamRSJgwPSgEiowe4NKHYVJRLvHenAntUStupVODmgCYOe9OyDxUIc&#10;HrTs+lAElGcVHmnK3rQA8H3p4b0FR/SgMc9aTKRMr+opdwPIqIP7U4EHmoKJM+9ODHuahHtTg5A5&#10;oAlDgnFLnvUQYHvS57Cp5QJASO9O3mogzCl8z2o5QJN/tS7waj3D1o3L61IEuR60VHkdKAT1oAko&#10;OaZub1o3mgB5cjnJpN560m80bvUUDuHmH1oMpo3n0pC2TzQO4pO7mk5Wk3c9KC3YCgBdzdM0mT3N&#10;APHSk5xVcpQpIozzSEgc5pC4zRYm4oIIpc8ZzUZY0ZJGKYXHbh60m/ngUmRTSyimK44kng00uAcU&#10;hYnvTSwFAh+72/Wio94ooA+fdN1Gz1Syh1HTrhZobiMSQyL0ZSMg1cjJ71yfwd1HUNU+Hmm3mqJd&#10;+fsdZHvGlLybXZd/71Efa2MjKgYIwWXDHqk9DXtRlzRTZ8/HUmU45pzE8EVyvxb8dX/w58Fz+KrC&#10;20+U2rK0keoah9nUpuG7DFSM7cnnHTv0Pzn+0P8Atgjw54luJ9F0Z7bTbixSfR9dle8WS72uqtLC&#10;jCNUjUgoSrESCQEbg21uPF46jg4uU3sVc+uoeW3VOrEDmvOfB/7RHg3X/Dui69qiS6fFrbqlhJeM&#10;iCc+R5rsqlt5VT+7zt+8VxkEGvRU9a2hWp1vhd7frqUSK3FSo3rUS5Jrwv8Abd+KPjX4e6ToqfDv&#10;4iwaTqUl6C+nfummuozkB1QhnIUg5GxlYkLwcETiK8cPSdSXT+uugSlyRue/Ixzisn4h+M4/AXg2&#10;+8VvbrMbOAusDyFPMboFyASOSOcHFfENj/wUk8V6f470kaz4h028jtbMJqzR3UbWpmclSEkg3LKv&#10;yAgqgZSzr8wUM8nx8/bt8G+OpLGW5a4hk068t77RZtBvpWkQtabmhaSCWNsPIUidWV9gdg21lBTx&#10;f7ewdSErNxeyv3/Fb6W7kSrx5bo+8tNv49T06DUYR8k8KyL9GAIpdT1jTtD06TVdZ1C3tbeFf3k9&#10;zMsca5OBlmOBkkD8a8U/ZD/aCu/iZ4btNC1W9sZVtbcW8N9caxE15cyIAMNF5js7Mv7zerMuDjcx&#10;BavnP/gpv+2Z4b8cfDG1+H/wo1Jp5F1ueLVtt0sUkE1vKBGNjOobcUkO0ncoAJC9R2f2hSlhFWju&#10;1onpdlyrRjTuj6E/aT/aO1DwvpPgvxf4A8WQ2djfao0uoLJdQFprNJUjb5CpyhLFfNEiiPcCQxwU&#10;918OeIdK8VaJa+ItDuhNa3cKyQyDuD/IjoR2II6ivys139o6+1f4ANbR6KusateX1y7axa6laYsY&#10;3W3nnaRoE8wtLLt3K8oA2RgDC4P2R+yH+2T4V8V6V4a+FepeGbjT7670xJ7aZr+0+zxwu22FGdrl&#10;neZ8M3lhfMAxlApDHmw+YU6mKdNvon5XenyCnUvUafX/ACPppXzwakRsdTUKuGXcjZHqKcrZHNeq&#10;dKJ1bFPVzjIrNude0yxv7PS7m5/fX0jLaoqlt5Cs56DgYU8njoOpAN5W7g0rosnVs09XyeagVs08&#10;P6ioAmViOakVueKrhm7Vx1n8WPtfxf8A+Fdx2sMlo1lKy3Skq8dxEyh42DYyCGyNoONpJOGGB6FO&#10;UY2TO7D+pp4YioA+O1V9Y1zSvDumTazrV/Ha2tuu6aaVsKuTgfqQKTdijQ3jqacr+9V4bhZ4lnQN&#10;tdQy7kKnkdwcEH2PNY/xB8d6f8OvCk/i/VYy1rayRC42hiVVpFQthVYnG7OACTjAySBUSkkrsOZR&#10;V2dIG9DTg571m2viLR7q8k0+DUIzNFHE8kecYWTdsP47W/Kryv60FRaexMrc5FPDA1AG9DTg9BRM&#10;Dg8GnBx3NQg85FOD+tAEwOehpd+KiVs9DTt9ZgTKx6g0bjnrUIfng05XPcUFkwYEc08Mc5zUHmDu&#10;Kcr9waBkwcHrTg3oahEnqKcGFAEnXrTg/Y1GHIoD9iKAJs04Oe9QhgeQaXecYoAl3r1NLnnIqHf6&#10;ilDCpZVyZWK8U4SH0qHcexp281JRJuBHNOB7iod4704MOxoAkLkDk0CT3qPJPeigCbeKN69zUe/1&#10;FAcd6AJg3cGjJ9ai3D1pd56bqAJdxpd7VCX9WpdzetAEu9qN7elRbm9aN59aLAS72o3n0qMORRvN&#10;KyAk3nPSkDnrTN7etG49qYDt7UZNM3N60hY9CaAJCeeaaXx0phcetIXHpQBJv9qbk+tNLntTSxPU&#10;0ASZx3pCwFMLDuaaX9BQA8uaazD1phYnqabvAoAk3n0oqLc3rRQB8UfsofGH4a674J0fwPoGotHd&#10;R6HFetBeXyzSJuG54mlODK6fxNtUAYA+6QPaYsMAQffPrX5IfCj9or4k+ERqel6YGluFPkSXiJGW&#10;srFgEZYvMO1gx24IO0ngEbhn9TPCWry+GfhDp/iDxrNDbNaaHHPqDQ8xxYiDMF4GQOgGOanJ8fLE&#10;UXCStyJbKy8lp2R4Mex8q/tf/tMxeHPin4g+EPxI1e+i0LULGO3sIbO4hV7RmAdboeTJvMoc5VSw&#10;/dMC8TnAf4j8ZeJLXxL431Sx8O6zcXKxNJdW1nK6K5GWZWcgDnGSwyDgck4BHI/HPx54g1j4p6l8&#10;SJrqzmha6e78y10mOwF1JvAP7tT1JXLL0+Zt25iScXwN8VViufstw/8AZFzd3AaO6j1AQhmI8v7+&#10;7C42oAuQAQxDANx8/iJyxl5t+7e676vbX5/f6Ec1z2fw38c9antdH8LNrUo0+11L7RcPC25QSIzy&#10;pZQxC5x8wIDMcgk1+wXw38QWnizwJo/iKyv47hLvTYZTNHIrZYoCfukjOc55OD3NfgV4P1R9J8VR&#10;z32tyTxxrubzFYLLvG5spjLB1KnHtkkrxX6uf8EwPijpnxs0zWdYuvCNnDe6ZHaLJqFvJuadijLu&#10;m3PlnIXIYRgD5wG52juyNLC4iVNfaS6dr/oVGVz64RDjmvm3/gpLFp7/AA0gvU8V6Va31nHI39n6&#10;hfwxyTW7cymKMp5srFYmXaksYK78iTGw/R7alp8Opw6NNcBbq4iklhi2n5lQqGPpxvX86+S/+CmE&#10;lh8OvGHg342Q+Gb7VLrTHYSWsWsSW8bFcmEnym81cMz8qmHLqm4FgG93HfvMPKNrp6PyXf5bjraU&#10;z86Lu/0Twl8bdJ8e6zYrfWt1cLc3Wj2dxJbraXRdJNpeWKVAhMy7olQArkKQskcj9J8OrPS/Ffiy&#10;+8S3er/8I+LaeO4H2NTM0IE4Bg3vIotso7MMRSrIVkClQ2w5PirXNe13wFqfiHRbO40/Tp/Ext1n&#10;1bSVee/aW0mW5LXc6ZDBZUSOHzXIE7MBuV5S7wN4Q8OaHFriWNlaiO48O2hm1Bme4aNPKxJGWLB4&#10;ZHlaNGViw/eYX92AB4FaNGnFRcb6XX/D/wBXOe1z6q/4Js/FvTvh/wDGWz0fXtcgh0zWoYdM07YV&#10;YyyHGx8KFSJWLRow+dg+F3V43/wUY0bwX4ltfHkfw9vbuwmtfGFxb3WiXmnx+Z9qFxNADDJGjGSO&#10;Xy5iqgJuMTbmdwWFbw1LpXw50zVviBoup6bfXflXcPhuHzpP3BSU/P5SSLIpdVQDduf7rMW43+O/&#10;G3RPGd38E/8Ahc9lquqatpt54ke2k1maJoTZSCGApFunkeR5Gd5wVXIxGXztlXNZfLmpyoWXuS6d&#10;L9r76mbfupdv1sHw0s/EJ+GVv4Vv1tLHUjdS3bWMNlaR3F0W+WJI5pnAeAjzvliP+sLDy8DfXsX7&#10;O/jabwqkun3+hatJqMemx6fYtcReXG8pQqMu7bkG7zGwMqSwL4IAb5e+FHii+h8V293/AGnfXUcK&#10;757W0vFj3TYKKVdN/GcAuqltrNtAOBXsHgbQta1TSLf456548gh8N6lrMo17RP7QNpetLumniRPt&#10;RYOHMYQMd4BR/kkwBJpicJGtLnVk1Z/dtv2Hbqfst+yn4i8J+Ivgfo7+D7iVre2WWCaC5niknglW&#10;V96SGLA3bs8kBmBDEZJqH4mftIeFfhH44k0T4gapb6bpMmnxm11CTczfaj5jFCm35gVEewIWZj5m&#10;VURlq85/Yd+IHw78Jfs7W/xK8Ua5FoVp4g1KQrb3k7iC1dYnmwzMqqJGRXd5OjEAAnCivMf+Cqni&#10;z4a6n4csfGOjWKX2q+GdU/0nULCRfORI4kmCBYx5k6AOz4JCKY3O+Plq9RVv9nTjJXsvn/w6O+VR&#10;xpqXoeZfDL9v/wAS6X4/8DS+LxJcJ4ZmuYbxdxZbiC8Jf7QGUM0pKq+DyMKDlydx/S2xuftdpDdg&#10;YEkavgHOMjNfiT4NS6+HfxF0zw14hs7fTV1XxBb6jBdXOmmLKMYnXzI5lbyw5MbHa3liRGykoC7f&#10;2c+GviH/AISLwnb3EsiNcW5a3u/KtxEglQ4IVVd1A+jH04OQOXL6cqM6kW77d9NLdfJIMNL3bM2t&#10;S1Sw0fTptW1S6WC3t42knmk+7GoGSx9gK5XxF8adF8KeOl8GaxapGktrazW1419EvmGWZoyvlsQ+&#10;EClywBG3OcYr4k/by/bvuF8d+Mv2VbzxdNptvb38Mi6lZ2slrdQw/ZyXtiGZSyFwrGT5t8bOArLI&#10;mzxv4PePE8WftN+DfEVn4/ufESw61Z2sOn6lYiNbVvMASRiCscmUOYtitJyxKRuFLTWzBqTjSV7P&#10;X79bd/kVKt71kfq38Q5tTj8F6hDpGn3FzNNbtCI7W8a3kVW4d1kUgoyruYEFSSAAykgj5L1bxxYR&#10;ftQ+GbNotT1C+sdPmeS3mWXzNrFF8udFiZfMQqxeeNyzBX3tIYkUe2/tFfEWIWuu/DKUvo93F4Su&#10;NX0jXrpY3tZXiBSaFkkV1Y7JFG10cESEhSUxXwhN8UPAGrftBy6Fr3iK3u5NUjM+oXF5Z2UMIvJj&#10;HGbxW2TKgba0jGAuhLEoQHZh04qoowXqRVlzVLI/TD4YeMW8SeCdL1nVL3Ml+gMDXDp5kgI3AOEV&#10;VEgHDKowGBHXIHnv7Yvxn0HwT4HvPBN5PGJNXsJE89b4w/Z3Ub9rMhDBmjV2UdT5Zwr8rXj3wk+O&#10;egReEIdFj1jSbFfAeqXqj7NETNbWKs8JVQ8jEFpAod8qyedGATuRZPij9pj40X3xK+ImpQ6tfw2+&#10;qXDKk19DcSIYceYHbZ8iyrLyuSEiQMxVMSZXmxGNjGirNXtd+i3069ia2Il7PlXU/Qv4V/tE6t40&#10;/ZU8UvpUhu9Q8LeG2+z6hHMPJnMcOcxzohQlQFK9HOQCFILnxT47/tOal4i8fX1lqXiubVND1f4U&#10;215Bo8Wsotnc3onVJNxMUOFWWKbMaMJJRE6o67/KX5r+C/xL+JfjP4Zaz4D+F93FJp/iK4KahHc6&#10;jFb7NpaQtJK0KySxAMW2KcuVJVDscDGtNM1k+I7UeO7e/wD7O8K2YtNaezZ4R9jIuFMQl8s70lIm&#10;BYsVXe4bC5C8dKWJqctKSdrb+j0fpbTXcwlWqSiovt/mfWvizx5deIf2bLX4m6pfRiVrbQ4Ywjzq&#10;lu1qxhleJIgiTAboThiyB2mbGIVK/cnwt8a6J8Qfh9pPjDw5rbala3lmrJeuFDSsPlYsE+UNuByB&#10;wD0r8Q/DXxP1LS/CFx4fl8b2mr2uoaWZprEWkbQQxm7SYGFZIT5cgdJHL84QMpCfdr9Vv+Ce3iz4&#10;lar4E1jwf8StQLS+H7qG2sLGQM0lnB5ZxE0j4eQoytESUADxOFLDGOvDOUaii10Sb81rf8+h0YSp&#10;apbv/wAOfQwcd6q2/iLTrjXrjw2kx+1WtrHcSIy4+R2dVI9eUOfTiq3irxDB4Z0S41R4/NmSGRrW&#10;18xUa4kWNnEaluASFPXgYyeBXyp8RP24/C934XvvjB8I9Nvb++0iz00a87QNHCttOM+agEqGbEoM&#10;OODu/vKoFddatToxcpPa7+7c7ateNO1z1L9qD9uT4f8A7O32zw9DbNqviKG13x6bC65jkIRkWRSw&#10;bDIzMpUHd5bAZIOMn4I/t0/DbxRoDeNPG9/daMmueIo7LT7O+mWZoiYUUNiNmVIzIuwlcoJGbJHz&#10;kflf8VfE3ibx1qs3jbRLjV9ZufD9mdQuLx5pWkeBr4QohV23Asbm3VlVmyzSOWIwF5f4S/E291fx&#10;l4d0XxPqosvJMSXDWtwzM4WeRtzByYySrquDuX5VJ5Z8+bKvjJRdaDXK7NJp6bXv369jz3iq0pqS&#10;+4/fnUdb07SdHn16/uRHa29u08020tiNV3E4AJPHoCfSvBj+3JoU2rXDadFJeWFvoNjcSXVvZyxI&#10;Jrm7jgjwJY92WSRZFGTgMNwx8w8r+J37cGjfGDwR4e0r4e+ILbRbQ+ILK31W6vdQEjwx+c4zKrxr&#10;E6hI0kL+cFBOCDjn4q8P6h4u1PW9Q8O/DrT2gk1DULpLO80G9upLe5topI3kt4pJBII/LxBMXILe&#10;XgMTvwdp15VIxlSenf8ArbXe5rWxUnJKmfrP+zR8XJvi34Ql1htWj1KK18uBdSiwouJFBWQmParI&#10;xZd/3dm2RApYq5r0oMexr4z/AGd/jt4S+AsvhT4feINXjlaWxYa21tcWTQWk1w7vu+SUbAkcUbPt&#10;XYyHzMCQkP8AX+mapaatYx6lYuWhmXdGxUrkfQ8iumlUjJWT1W51YWrzU0m9UX9+OcUKwI61Crj1&#10;p2/2rU6uYnDnvS7xVcTKMKZOvT3p4c+tBROH/wBqnBzVcOO4oEq9N1AFgOBS7/4VaoA/+1QJM9Kl&#10;gWNx7GnBx3quHFOWT/aqQJtwHenBj2NQiTNKJBQBOJPWgODUIk9DS72oLuTh/RqXefWoN/qKUMOu&#10;aBk4c96N/qKh8z/ao3n+9QBNvHpS7xUIc+tL5ntQBMGA5BpN49ai8yjf7UATbvQ0b/8AaqHzPWje&#10;PSgCYMfWl3N61AXHpS7x60ATb2pNx7mot4pN4oAmLerUbx61CXHajzD6UASbx2FHmH0qLeaN59aA&#10;JC5pC3qai3joTSeZ3xQBKXFNLk0zzDTfM/2qAJC3qaaXPaoy4rnviB8T/C3wzsYdT8XXUsFtM7r9&#10;oWEmNCqM/wA7dEzt2jJALEDvQJyUVdnSbm9aKwrHx/4K1Gyh1Cy8UWMkM8SyQyLdJhlYZBHPpRU+&#10;0p9w5on4G/syeG9E8J/HbQ/FHjTRIpdD0WSHUri8mhCsysQ8bo8kib0DYDNuCqC2ZAAWr9VfBHxY&#10;8bfFn9nXVPiFpOiSW+o3EtzDo0enqkhdRJsidfNBVvctxwx+XoPzA+MPiv4jeKW074PvrGlzabpU&#10;0N9q13aXAeOd1aTbFvj/ANZ5Yfy04HCjkDKD7b1L9rb9na7/AGNrnwUY9Q8PSDSxYWOn6GwWe3mV&#10;C8U0Z+X5FMasTyB907u/PRxmFo1Zx9pZJP3drvTW/layXzPE5ZI/Pz9pv9nXU/g3q91pepafqEdx&#10;dqG0uHX7cRqFiSOSRllDRqGxJxGA64kIUtJwvz/4k8Kx6bqMlrrN6ytbSAtGzYV23hdisAwOOOcg&#10;MoznPX7A0H9rH4g/ty67Y/s9/F3VfDkeuyzPeeFfF3iLTVP2G4jRGS2MkSARxSeS+9vLdmE2TtCq&#10;6+B+MPhfLZ+Jbqy03WJPEV9DqwWSS4t5I555OVZXjcF924Iudx5DcEgFc5UaMbSpqyexnFXlYd4Z&#10;8I6LP4eh1210/ULq4a/WyutStwz20MflsIoiBg5kZVHVsKowMqAf1Q/4JBaJ4K0j4R6pD4bv7r7Z&#10;58QvrOa882OMBSVZBjKdWGCzE4HI6D8y/DsN7pzaboOkiaTSJI1m1uEzMkck6mVkABQqVzsJDcMe&#10;wGSf0M/Z1/a8+AHwL/Z5uW0vRYY/FdrYzwWV3b2bTtfNl5gu85bG8/dYnjbyQvGdGrTpY6MpTto9&#10;H1+fR/nqUnGMmejftM/tNaD4S8feGfEuk6vHDdaNqGpC40m609v9PW3yCqXBGwBgwx1KFgcjBzzt&#10;zrui/wDBQHXLfw1e6dZ6XqVnb6rLo+ow4jutKlEbR2VxuLJLL5bln8kAo+f3ibfu/Ff7WH7Wlt8e&#10;PEF9qV0Vh8zyp7FdJtVVYJ0RBcqN21m3yLv6E/vMZ4Odb9lj9qXxp8K9ft7TSL77HZ6p5IkuLVQZ&#10;RGvmb13jCl8uhDtncyK23CrVyxj9rzyfuX22btbV6+X/AADP4tHsUPiZ8A/F/wCztoniDwV4o8M3&#10;TafY6jaQS31xJ9gvLjS2uTNGY1d0aRJnjUbB5hjaCUttG0r5L4W1TwhqWuPpnhXVLm1X+zQJjdsU&#10;Vm84ErtJ/eRhQMKcFscg9T9G/t//ALUF/wDGX+wvFYsWS1k0ibS/GNnBCfKu4vNM0EmN/BQgFOSU&#10;Zm+YjIPy/o+vNpN9f6RZmO4XUbGGO4W4sYi0Zby3zGsYG0ExxdAG42jg8vFRp4im3Slt/X/Dk9Gf&#10;SnwOXTor/UvFXxU0SyZ9UsbiBLqHV4YXuI0YtIDGm5kmkEckSqoQt5y8rhjXh/7UvhT4i+BdevvC&#10;PiDRtQj8N6t4gOq6bp1vGVh0uQJM4BVQVBW1eKRQhZWiZSHAyK6Lwl4/a38YQ3etHTdYtdNjiFhH&#10;JC4QNJId8aKCCSc43OQyBVK8oFr0L9pLx9p3xN1Lw/pH9okWcyx3F1b3GnuRawxzCK1s5n3P56gf&#10;vS7R7h5iAksGauPCVaGHcoSdrW/FK/rqZtdj5E8L6JbTX2pWGl/NcvqCyWKWkbiFJCGChMngZIxv&#10;IbHXDcD2/wAIeGPi1+0B4S+H/wAG9R8JtfTL4ueXWLwxLMiLKsTJdTeTh38u1iuw6h1OxVDkMoU5&#10;vir4ceBLvxt9h8KQ3itNqk0NxJHIn2e4+fCMIcIY8KAQpO3gEBQMj3T9mLx34a+FfhfV72613XLf&#10;T9at7bTvL0XUJILt43k3yiBQA0m5UjfzFZcSQBTvWZ43I4+jUqc8Je7dp/L9GbR5JQvf+tD2L9qX&#10;4jeF/AfwpvP2WNAN5Dq/w1Rpo5LeZpbLU7e6inRpBtUYmUssY5YhppCdxDEcL4i8M6Hb+PLj4Xze&#10;FIU1PX/hpYNqs0djbiOzku0be8e87M7hAyfdQeYys0agEeb+P/2gIPiB8TNU8W+PNHOu6XqVotvq&#10;d5bh1E0kcUiRzMhO3cQsblXbDMh+YZJrY/YC+Oth8PP2pbbVfGHib/imts0M19fSyyhbdVm8tgOQ&#10;cPJ/d5ba3HzGuqGIwuM+H7LVn5bp+nTvoTF+0lv/AFt/kcj8CPFcPiz4yaLb694nbwrYafYyWepe&#10;KNNtZ2to/IjRYZIl+zwTI2XCuNrKpuFcqFZY6/Tj9iXx5b+LfAEnh651VZNdjhafxH/pBe5S7ZvL&#10;LN+6jCjCBVURqFEe0Bgpc/F/iP8AZ8+AXgX9q3xvf/D29sdUstF08C10fWNblkudSmuLL7O8aFz+&#10;/kE6mXyy2WGBGjZKt2X7F37QPgs/FpvhxBJq3mazZ31la6pcSNP9omnYlRIV8t0kKrB5jqVy0WQA&#10;DvHZGp7KtrbV282bUpOLVz5N/bK8FeP9R/ae8dat4nttRul8N6k0H9oa1fpJMFEgMEW5CwY5YAE5&#10;JRlOwEiuv/Yg+Gnjvxb8XdB8aaNoMVxq14bm905dPsfN857WMTGKXMsaDKjyt0nyossQ2O0gMXP/&#10;ALT3jKb4v/tOXl/FfNp+j3WtR2cmv3unGYWqmFYT5m7YrBFieXbhcnzGI5Jr7D/4JQ6TaeI/ihqH&#10;ivw34cvtL0HQfD8enRzSXAkhvrzagkk3E5BZArbF+QeWNu0ZSsXR/wBo0XW272/r/hyaK50v6+Z7&#10;b+09pjeA08H/ABi8eXWs6xJ4bjW5u4dLvja7JI0HnTtllTZIwgjK7V2hmOQrMK/LL4tfFO08cfGa&#10;41IyWbLLeGSPTdOWSOycHaRGu5QzLxtKrkMeFJB3N+3PxF8HeHfi98NNQ8NXlwstlqVk22RZmWM5&#10;U43gEb0/vRtlWGVYEEivxy/aJ+A2qfCzx/4g8EzX8M2t2erBrOwubpZ7qezjL7XZ1SMOTHH8wULt&#10;wuS2cLvjKPtKSSNKsXGpfoy38P8AxZ4q0aZr3+1LWzsPEEQstW024kUtJFI5VjNKG8wIny5Ltu4U&#10;AnapHz98YrWTw58Rrzwp411Zra4tbprLzIYmdYoFYkcMuVycAhSAAQRkHn2zXPCdx/whGn6TaCS1&#10;uleXTpG1hlSR5PNmld/JKsyryqr945jc7l3FV8g8U+Db7xj4x1CSfSvJ1L5FaPzU2mVVVTjbgDPG&#10;Ou4nqRk15lHDyhiHzJaK976/d5/oc1TVi/s/fEHx14HudZ0C9j8t9a0uOCaTUEH7iEMkpkyyuyg7&#10;SGCg7gxG1vuV9JfC7Qr3R/2ab258feML/wAK3tvdefofmaYZ4r5IbcXT2zNGAhdopXkRJJCjGIho&#10;0JTf89R+DdB8PXyeLNf1GG4mhnjX7CkUizOJIZBxlQFWMxBeRgGZdocLXu/hLWvh18VvDml/DDxX&#10;4j1jTdNutQkvLZvtkaCKWR0jIJkG1nESlVZ8EknGCwJ6JR5K0atvw8mhRjys5j4Q6N4Vm+I93408&#10;Q+Mb61eZri/0240qOKGIskG1AzB1RZdx3KyqGyHJRt+B9j/ss/tPeLfDfj9fif47XVr6PXNFlnvN&#10;Lj1Syldbi5vw0NsGfZwiSs2BtO/fkKqSV8n2Xw6XRdU1zTtCuby40u21phoitdQyMIlLFJJREHjZ&#10;h8zfu2AA34ODxseJLe4+GPiKZrfVJ5FmuLT+0vLtGSK2huopyJSzMSXKlWUxpj/WIc7XArlqus3L&#10;eOq/rY0UvZyTWh+oX7T8uh+K/wBn+48caf471rRRYQx6jpmoaJem0uPMkjKRKyuVLZEw/c8SMcKo&#10;LkKfxr+Inx1tfBXxE17wb4F1PUYtHuLh7K5tLtURXtRdeZsZFQFDujhyuSf3YG8g4Hq3xO/a++Lf&#10;jfx3NLq9/JfaV9vtbm48Nm4YWsyqQMSxqfnJGELYyVYAHGAPlTxrDaa34mlvbO9kmjtyJUxJnyIw&#10;o2x5KjGwfKFJzkADI6kq1LGRcXFrzJr1fbS0Vj1Kz8Yal8JNMm1Sy1O1kgvNJlhsvMZG2yz2syrI&#10;EQqySR/OFZiQrHAXcGVvPvEPjlvEemu6z3Fstu0l9cGabeJZpVjV5ctgnzHSHfuJY+WGyx5G9eeG&#10;Ly406zW1t7WbSY5gwXziQ3ysqBySG43DOwg9OAc1RtfBKanpCzyCS3hkmX7XJJB8yQABRjucD1xg&#10;DJweKxw8508Pyyd0v6+8mPMo3O18La83gz4R3EGnSNHd3Wl7riSSeQb2kJIUjeBtMZRAozywI6Am&#10;v4m/aFtvFHxRl+JWi2Nn4dXUFkeax0OZlMTEqCwWU8SEuX3AhXO5mG4nOfplsmseD9Wj1FZpdsUZ&#10;tbfzhwN+QM9xwpwOgwRgCvPNb8MSafqC6XoaqzFpCnlsPMYgscM2B1GQexGM9AQYOnKUakZd+3o/&#10;1Ik9ke4WnxF0vUfGHibxS0aM0c8IFlIoWF41CqY9vcHHGSWxECc/NX218Cf+Cntp8Pvhzo/hi/0u&#10;XVFsbu3tIrZEji8q2SxRWjJQNgCb5lbaSwVgTubC/m74X0W6aePRbi7jb7ZJvmFxhnRfLYAc84G4&#10;Ej65HNbGlz+IfDfiaXSF1MX1v5gmVlZz5ES7mAQttz905wcEAgZxXL7PE4epJ0pXb119EvTfUcal&#10;SnrFn7afssftjfDH9q/S7+fwTBeWV/pKwHUtN1BNskXmIGyP7yhtyZ9V6AEZvfFP9rL4R/B/xrY+&#10;BPF95e/a72QI0lnbiVLY4Vv3gDbwAjByQrYX3wD+bv8AwT5+MPif4T/GRvGAtpJLVrGa3v7GOEvJ&#10;cKz5AVUBO4yLEA33VActkkCtT9ob4ueKfjF4lk8fTaZbaZe3GpSLJp9lqkEmwfZ/3ciMm13R4w4k&#10;l2FFO3cynaF9enWqVKPMklLsd31yfslf4rn6hQfELwTdpqTWniixm/sfedSWGYM1vsUM24DngEf/&#10;AK6x/HPx18D+B7G1uri+WaW6vIYYbddys6tdx2zlcryVLltvVgjEcAkfmz8Jv25byLS7PS/GFnZT&#10;6fZadqFikMcxWSYXMCwkShUBlRZUEw4Mqq7IPlGBtaz4g1zXp9I0f4g/GjQf7L8P6OP7Nmg8QW5t&#10;JobdlR44FuAfMuQkkDrJtZJDESAzKRRGtUqK0Vr+RX16XLofpN4Q8eeH/GvhxPFGiapBNa7T5k0c&#10;wZEIALDcODj1r4t/aR/a+8bfAvx1rmjz+JrO7Da7HqPhmSO5YHyTc3UJXYignH79X35DCFCoO7NZ&#10;MH7YnwP0r9iK5+C/h34uLbeKX0zDWdvpN8rGNmDS2qySRCJJRGGiGGMY4wz9T8Ra38QPE3jaM2Wv&#10;amt+nlL+/vJ2c5TYRtLfNkbRGQM5y+MAk1eIjWjZOLV/lo+qM8RiueKUXr+vY/Xn9lH9rfTP2htP&#10;Szv7a3t9Uaye9MMAcKIfMEePnA53ErnvtPcED2C11rSru5aytNRgkmRSzRxzBmUbipPH+0rD6giv&#10;xV+Cv7Qvjn4f313oPgrxdJo7X2mWsL31q2Wiw8crANu3IxdQvDDJ4PY16H4B/bp+L3gDUbHUbHxq&#10;s9wri4nWW3WWFo3ZJjE5XLDD5Rtrcg9mzjk+tygrSi9N/wBCqeYckUpK/mfriJeMZpwkzX5czf8A&#10;BSj9pBPD0nhbVdWs4bmzvGEsxs1WSRml3h2/ulT8yldoOecjGPpb9h/9uVPiL4PuLD4xX1vps2nl&#10;5LnWL68Co8stxJtiyflzjOADwE7DFawxEZy5bNHTTx1GpU5dj6xElOEnvXHQ/Gb4ez+MG8FReJbZ&#10;rpdJ/tHzFmXyjb+YY9wfOD8wIPp+IrS1n4geC/DccEuveK9PtFuZmit2uLpV8xwMlRzyR39K6Dr9&#10;pDudAH9qN/Fc/wCMPHnh3wR4bv8AxLrmqW8MOn28ksm+ZVJ2xmTaMnliqkgdTXnn7N/7V/h7446H&#10;NdX8+n2F1Z2drLfQref6lpmZEVt4XBdkyoBONwU8jLHkS60IyUW9WeyiQ4+9QJSehFcH8Qf2gvhl&#10;8MdctfDni/xALW8vJI0to5InAfecZ3YxwATknHbNee/tj/tk+G/2cvD2lyRXC3V1qd4sJtYZtknl&#10;SQyFZVPPyhgpLAHsO5IUpcquE8RTpxbb23Pf/M5pfMz2ry/4F/tN+AvjT8Lbj4p2epwWljZyFL5p&#10;5QvkYRWbd6Dkjqc4rqtH+Kvw58Qy2MGi+OtJupNTjaTT4YdQjZ7lVzuaNc5cDa2cf3T6U4+9G6NI&#10;1qcopprU3dS17R9Ft/tesarb2kXmLH5lxOqLvYgKuSRySRgd81ZEg7V+ef7ffjjxVqnxxuNM0N7y&#10;a2W7t7JbdYTJaqzrATI0jMRFuV4tsiJw2VDeZ0+qvhN8RPEvw2/Zx/4Wp+0VrcNv/o/9pXEVvaSZ&#10;sLeQKywsMszOCxJ9N20cKDVuDjFM56eK560oW0XU9j3+9J5lfLn7FX7aOr/tHfFfxR4bGnkaRbxz&#10;XOm3EgAl2rcFF34JHKMgxngrwME49p+Knx68AfB17KDxpqbQSairmxVY2YzFHjVkUKCS37wEKAc4&#10;PpUS93c2p4inUpuaeh3Zk9KUSf7VeX/F74+6R4P+B+qfFLQLvzI47MLb3SoXEM0v7uJyu0lgJGTI&#10;x0z6Yr4o8Gf8FM/i3fWuqaH4rV/M1q4tU0tI2ZRYLuJmbzGkRj8kbAAuMswI4BBpRbM62LpUbX1u&#10;fpOJc/xUvmfSvJtF/aj8F6X4X0K9+J2ow6XqmrWyvPaxq7pbyEKWjY4+UqroTnghsqSME+lXmr2G&#10;nQG6vryOKMZO529s/wAgTU7bm8KkKiumXxIaPMPrWVofinw94ltVvvD+tWt7CyhlltZ1dSp6HIPQ&#10;joe9eI/tg/tR698BPEPh2y0rUrO30/UGuE1W6ms2meJlj3RogBG6RiVCrkAjduZB84N9hTqRpw5n&#10;se4+KvFejeDtBuvE3iK+S3srKFpbiaQ8IgGSfwFUvAPxK8H/ABL0ca74M1lLy1ZI3EkfHEkayJkd&#10;RlHRsHnDCvnP9tT9oa1vP2X9N1S38JWd6+vR/aprTUHKLbvassrKQ20/6xNvJBI4Aycj5L/YP+OP&#10;ifSfjt4b8M+FdTuLiG/1ULfaXbXDm2gV3WPhQGJ2xxE8Z4wSSBmq5ZcvMjlq4yNOpFLVP9T9VtR1&#10;XTtIs21DVL2K3gjwZJppAqrzjkngV4P8SP8AgoV8FvhnrMNhq2rtcr9oKzx2sR8wozhY2VWAz1Jz&#10;kZ28dcCH/gpb4jvdC/ZT1pbCSZZp5ItnlQ7/ALjeYN390FlUbsHGenevyN+IPxIu9V1Y/brkiXck&#10;dxtx8+CDknjI464BOBUyjPlXL1JxmKlQdkfq58bv+CjHg7w18JLjxr8KkTUtRt7qFZIWgkkjRWa4&#10;IGVAyXW2baCV/wBYpz1Fef8A7M3/AAUdi8VeN7jw/rN3t0uXUI4bP+0rgRiKHIUFXbnhXjJB4Gxi&#10;XbcCPzF1L4teIbaObTI5pIIridXa1t3by12fMh5wSQcn72B83rWgfifq+i+ErL/hHri5j+0eYqxr&#10;I2VYBQEXk+q9ME8cdDXPUjiPZxcV7zfyW5wyx1WUlK+x+9Hgj4heDviTof8AwkngbX4NSsvtEkDT&#10;W5PyyI21lIOCCD6jkYI4INbBkxX5i/8ABK39r/xXodtY/DXxNqcMOkq0gaS8bbi4kuYRtVBzI5QM&#10;OSFQAnGdwf8ARP4jfETTfAPgPUPG2yO8+xxfuLdbgJ58xOEj3YO3LEAnBx1xxW0HKWj3Wh6uHxEa&#10;1Pmenc6VpPevmv8A4KSfEnwd4M+GlnaeIrlftQkN7a2sjL5cyRyRpID86sCBIANvJ3EAjJrivi3/&#10;AMFHtXbxJH4f+FNnp7brpYLaRrtZ1vGM8cZ2FODtbcDzzu91J5z9vX4bfEP4ufsf+GfjTrOoXUOo&#10;abpbS6tocF9shvLecBo1dydzshELcn5wrZw7KRtSXNUt3MsRWjUoyjDU+OYv242sI1sbGztooYVC&#10;QxbLZtijgDLQknA9ST60V4rb6lMbeM3mt+HfO2Dzd1nGx3Y5yfLOTnvk5orn/szCvueJzVO5V1jx&#10;VD4ftJLmxvpCY5XSSFhyg6AjBycgnqAPUYrPu/FM0+kyafa3crGa4t+k37wjy/n2rznAJ7569Sa3&#10;PCcvga+1GWDVbCe9s1uXmkX7YFaJUYqHMj/eTLdxklSDznHoGg/DT4V6jqM0UmipdWazbmurfUHV&#10;Y3+YKQ4O0q4+XH3z8oU/OpPxNHNMHGMVWT5r728xzxHNKzR5DofhrTdbt7ue1vI1u7Rozp91NlcO&#10;M9CpDA59MjkZxmr3w48Oap4k8cWWp6npu6a2vIxK0duSQzShGXJGTgnp7r04r2DSfhn8OtKtfsEe&#10;g3UNvIytK0k0jJKdrDBfaVVd23BLEk/3t3y9F4e8P+D9Gl07UvDmnQx3DzQSPOhXdksoJ5IznC4I&#10;+ZSobcSAK7Keb0faaXd2rX6bfmOhVk6qsnvqfOlxfJPp15pWmWatGJGeSZYyrSLzlu+CcevQ1t6L&#10;rl3Z6fHZ2aESSEFJJVywfGDz1C4OPqDXtB8PWtpe3F3oGiTLbtumurWO8YLJk8jYNq5XnnDbgqgk&#10;5wCLwD8OfFN59p8XlLdHjBhmSd1EcYy5AUbvVsbQOwG3mpjnGHqS9m4Pvpr69jLmqO7cWfOmhiym&#10;8VXtpeWItv7UjlhdZNwaCSSN498bA5BUPkA5UnqGziuvi0m6+HGtW7a0WG20WWVpMsiyMp4Gw7Qw&#10;Ei7sEkFiGw2RXsWp/BbwpB4it9a0nQIJWjtoruG4bcu5RtDOF/iUN5n8WcoAT8pzY8R+DvBms3Eu&#10;qXHhqF4bi1WK9X5wSq7ASQpGCXTdldvUDBBIFSzTD9YvlWj/AOAHNLl2Z5P4Y1KLxPqN9oV35fkt&#10;GVy0ygMuw5XDZyW6KuOT64wfMfG/hHVLjxzc2+h2Ul1Euqbd0Ufl+WS3QkHCgbeCccAdq+ooPhj4&#10;J8Kbli8MQ27yW/mwzSsGMkaLt3dTgBgwLHJzznoKsXGgeHIlhhj0y4kW8kjxH8kXmnaMSkLj5jhQ&#10;VBJUBssSPmmnnmFp1XGlF3aT1/F/8Avml7O9uv8AmeHaL4Y8ceGoVm8QaHHJadIZNPnIiEjMWB5V&#10;yMgE7FA+6SBySdP4k674ili+3tN50ckLbp4ImUI21Q3JG4LhFwWK4AwBgCvYNOsLDRL62lsbCOOa&#10;x+cqspkjBWPcMhuSSCygMDn5RkncThePdE8MfZbpdO0++hmbyVa3ineZTBtjVjhuPulmyAcNvORk&#10;446mMwtSalyvm626kKorapnmXgKK1k1qw+0anttZtQtLndcbQThk/u54wchfoTxgjH1u3e502Gy/&#10;tmRoY5NoX7H5gtolRGB2kELG7soUnj5TnGVyR3sc2uRxaHpLxrG3mtI25RCscZZ9wXp8pGB1+XHJ&#10;NdT468S20Wra14Xnn+yx6c0ljZoqx7I5oHfLtJjb0idY2YsQV7ZON6cpYenenH4vw0XT5G0v4d4r&#10;Rv8ARGB4dtriaxEOu2F3BGZLp1uJ9uZ/3efJCthQVUkcYbDgBcbVO58NLZdOGn6u+lnzPPV23MzG&#10;BlGWYlv4+Affjr0D/hjD4c1B7afxFJNcXmqXqOtpJArstv5ZZUJXJXzCdzbVwFYk7tpx6jc3/gT4&#10;f+HtQ18+E/MtbGGW5upXt+JYo03sGBJyVwevZT1A45KeKlh8RLku76WXkmlbbZvfUhaSaiYnxD0e&#10;78W+JtS8Sar4lP2q61KWNNQt1Ew3qqtmX5gA+5BuJwNy9sbTwnwau/FPh7Wr+90d5IrnT8TRi6jz&#10;GJMrg9evAI5JyB1xXnPhiy8efG65m8a+JbXbpV9IZLfw/HeyQ26Ko2h/LRgGZjyWIyx/DHsPwU/Z&#10;P+NVprEnjP4S+H3hjtUH9qaLPeF4ruLg7EVycOFJ2smCCODg4P0dSnKlSaqVE5aPXZPTr/SPoafD&#10;+YVsP7Smm3a9rPt3PPtcbX/GuvalcyWkslxDfK19DZ2oETSu2BLsVdq454HBGcV6/wDAP40/FHwD&#10;Euk2/iXV4f7S0uSOeztZmjV5HeaM/ukwMfgPmHTGK6PRJvDV62n6vpNxDI+t/Z5oZHtlztUIQHYK&#10;MlSygqDnuCCBnU1/U20iybVdVtYVuraeRJIYmjCxjcCjB2P8fmEk4+6pPA5rilmVSrRk1Bxt1vsz&#10;wowxXs2uSx0PhD9s/wDaC1H4K6t8NpdXaBVvLjzt9kYriZnzLJDuIZuJGIGCCQADgHnmfi38Tde+&#10;K+oaT458eaDHDqVnoL2CX0nEjBIpA8jgZYtL5rbz91iQcdasjxBYarbx+TFb2y/ZxGyRrhnbaflc&#10;n75KhiMgdBjOCajvLZYZZL5tUgtlW+YLHGS5Rc5WUNk5DcEHGBuBO3CkccM2xs6ibvy81tG9v8uv&#10;yI/2mFRaXVzzfx/4x1f4n6vovhq30yzabRdIgt7eO1tVjEapBFC7koFy5EaAyPnk8EZrEu9J1rw9&#10;4yjurW1vP7dVV2fZFKyQrnAJbGR2G7OAMdc16frHxP0ext4bzSdb+dY1g4xh4kzs49AMYXIA5GG4&#10;xr+FvGmn61Zwlbia4ZoyI2aBPXOffDsAMnnkdOnR/bFeMuaMOZJa3eu+97fgNRrSu1v6nhXxA8Ca&#10;t42v4tXfTZFkltV4a3b5wZHGOOvPy8YxnvTl8MapoFzbQR26yGN2km22hVJFVMxhht2nO3HTGfXm&#10;voCWOWe3hGiW1q+6+bzmkZYWVSVHHGOCmRz0zxk4rITUtTn8QSWU+pGP7C+Y9/zHKj1PGWOORgdD&#10;04HRLOakbP2d16+muxlWjiI7xtfqcnPfeMY9Wg1ix1q8jSS1kMNqyt8skoLSQuQGJRgZNofKk5BB&#10;DNlnxB0bU/iD4qbxHLLM7Xmkwhmxue2w8zbQX3bOy7TnAO0YXCjo/wDhIrX7TNLLeqpMk6tg85JJ&#10;AH+z6+3GOeFmknaKG+sNZUXWA84VRt2gtgY9Sc9c4645555Z5Wpy+H8fu/r/ADJlUqc234nmmvfB&#10;7xwk9xYx3cbR6lMoMsjDzi6gDdnGdpJzgfKffaMcRefAzWdM1m+vtKuI7j523MHUlxvwSBnBBAJP&#10;t0xmvobVfENuyJBLcLlbdmjwq/MAACM45zxz17ZwBivHd2OoTZMqtv2llhVArrtk4O7PALA/KTxt&#10;/wBrPZRztydpQHz809vxPnvxNfXnh+4XRZ7VbXZHG0MKyFlRSg4PX+E855z6dK6bw3a2aRzabqab&#10;VaGMR/LuAEyArwCM/I49vmwRiu48X/CHwT421DD37abfT+XHtjkVwHHLSHjkkFsn34wOK77RfAPg&#10;3w5praDa3fmNttWuJHjRvmEMJBBCD5jjGR0JHB6V0YjOsvhh00nfS6/U6IRqODaseLDwrc2N/eeH&#10;GsrWJY4vObzGDKFGWX5uoGccAgHuetGkeG9Rm16fx5d6VBNdRt9otrNxtjffIrfcJHyEFuh6A/U+&#10;uW/hy2g1I3Fn4pjb7Q3kxyXVgm2NgzEKWfAwCQOhOMduaXSfBvhjV1vbK+vvNa6jPkj7OFK4VTgf&#10;dwqgbei4K5BwRQ8/wMdLata/ddu1v1Il7srXT/4Y8F0vw9qMXiO6e+gt45LiZWjthIdvmSbio3Ek&#10;887eTnjk5534/DviPS7WCxFzb2c10Wl8lQsjMVHyxvlsqUDO2CP+WuT1Bru/H2keDfAltb3+sSy7&#10;LUssKzRebJJMgQKhRRlgEIP0xk9zztj+0F4FuJ7hbTwpJef6tvLyryKwU4+TIJySFK54Kmt6WKrY&#10;yKq0oXj30S0uuptRwtaray0Z6h+y34Lj8MeLLvxfq/iXQo9eWzaLT11oSNawzojbRviPDeYi/MRj&#10;JHK444/xQPFvinSdHu5NUsEuGshbXGm6XbiOVxG7GGSVI1/eOdx2sckKFAOABVPTv2j5U8JXXiLS&#10;9OtZpBqaWkFv5J8+NpAUQbUHBBwPmwQzLjIJA0n+JVpe6fD4j/s+OG5uJvKaK4AdonO4gM4+bkY7&#10;47dwDEcTU525pK11/wAA0+rx5uWTSt/XcwfG2h3M/hvSfGuieG2tvtkZD3MIEay8ycMECoH2KQdo&#10;HHGMjnqdU+J+saH8BL74caz4KsLyNrV7qHUp4l8y3ZN2xRgZ4+fDZAUOR0OKt6Hro1Wze48TWzWu&#10;xwVnkfKhQ+VOADk9SMf3sEc0eM00+98NTeHbGWKOPUrV7SK/kgMkSFhh16ZDEBsAnGc8kA44Z51R&#10;pyUbL1v+PqjhrR7O5ynxBtPh34V8MNqviCfyJF0g3U0q/u0Koo3AHu+44CgbmI98Hxj9nXx/rXx8&#10;8b3HhXwx4GvJLd45pLO6hs3uIFkUZ2ztncoIG0lDldwILYweg/buj1fxN4F8M+CtLv0M+seJLHTL&#10;iNWztDqxyMglRuVen5DkH0D4TfEm0+E2mjwn4T0u80+DSoP3YtZYVVo1HP3HYj1JfB5ya7KGYTrY&#10;FVJPmb0V3tY+l4by2jirzqLS/a5x9rqeiS+P1aO9kt8Q7prK4bfJFIiY2EPypUAgbjnA/CtaPTra&#10;+u3MDMzedsUwsAxwQrFR90gkjK4GeuRlgdn9pHSvD3x70Twf+0d8NNAE2oQ+KrbRvGC2s0MskvmO&#10;FiM32d2BPysmeHBZVyMkV0vh7wld+HFYaTbXkdu0rmbzmYlGZmJUELhRz7855OcVz18dToxU5Oze&#10;lvR/8H7jk4gwFPAYtcnwy1Xb+u5gr4auPFkV1YaberDd6Pp8KybbcI08zTSsxLADJKsmGbJAwB0y&#10;Nbwc+oeDdPuJpbqRZIbYRyRWc7gSjIbc2ADndx3ycdNtbGkfD24j8QX3iSwjuEmu0gQKxCoGSJkU&#10;AgD2J78enS18TPHmlfCDwIfGviq6t4bZbry47qz2y+ZOV3eUpDYZgCSVyCMc45Fccc3p1sRGjB8z&#10;k1ZLe+mnfc8GMlzHI6D8a/FWl6+0Fjr19Zx3MaLeJDcOiygMRubBwQATg9sn1NWPiT8RdbvdD0Gz&#10;0/W7yaFZZLq3t2kbYJvkyUXoN+EPvgZxjA4jTP2g9Z1+7vfFd/8ADcWsNjdfZ5tQaHc9vKGdPJnd&#10;D+5kLRsRG4ViAGClSpr0Hw74j/4XBoxk8M2ls15p90kgW4kLLEzA7X6dCQ3TuOh4r3cdHE5dGNWp&#10;C0Va/vKyvor/ADtqbVKNSMebp3MPxL8QvGfiSzZ11W7tY0KsWkuHiZm8sxnbyM5B256Y9elXvhl4&#10;zu9D0aO1dbtJNSuo0uIRKUV8ISGI4HylsgnoS/OOle8+CfxT8U30s+taxYr/ABbY5XdWUdR93I79&#10;u31FdlF4C8QWPh9bLStUj84xbWkYE7CQOmDnjg8+grzq2dYKnTUVUjd9pbfM5Y1HfUw/Gt34j1Tx&#10;w9yYFuEjlEkEizEkKCOuCCSCQffP54/xn1zXvitqEOu3d/qWo3Fvb/Z7qa4md9qo2FALEkAEueuM&#10;njvXpVt4Z1eOyVLh4/OiXaoWQ7VHXBx7Dp7e1Z8/g/xPLdJNHPAtv5iljFMcuuQdhU/w8Y68Dj3r&#10;lpZ5h4OLc1ePnZP8ypVFylT4NeI9X8J+HF0231K9himUpIsNwUBDZ3K/OOjY5zkE+ua29I+L0vhv&#10;VrW/8JancQ3MczJBdW8mxkbBIZWU5wckZGMgmub1bwp8Qr7UXntdWjVdqGNEbC4DZ6kgOcfw8nIH&#10;rWfFoPxn0dLZY/sshUss001wu8bmyH5HXJ9+nHJONFmVOpr7aK625rb/ACF7Tl1RsfE34qak6jxL&#10;p4vbjUtOjWeJZJiys28nLjoVBy2Dk5HBGax/C3xo+IfxG8EaxpvibX7yax1LUT5lv9pynm/32X7r&#10;sPM4YjJrQceNbqdbe5t7eGMxqsiLLuYsfTjOMDj0/ngW/hj4leFYlsfDmhWnkxlljh+0JtfcFxkO&#10;TzkHORnP4V2UcwjUo8k2ubdNy6eoRqT5uaxU+G/xM8Rfs06hHqNl4k1S3TUmYM2nuyuyJKuMhSPr&#10;1OOxJPG/+0Z8ZviL8SvB2m+K7/4gapq2kvdiSGLUr6U/ZpDnEiB2Ozpjt/CPSsvVvCHjPW7u11e+&#10;8Mqb6ziKpGtxG0YJyehPOD/j3xWQvhj4s6np58P6p4NEtvGQViWRRGF7AbSTxj8q6P7QpynGo5q6&#10;fvJyVmtdl321uHtJLTZGl4u+NfxSm8K6b4JXXb5obe1/d232qTyQrhmljCsec72DYGDuPqa4fwFd&#10;6t401uHRH06QrCxkkkhiJVcfOcj+LO3GPQ57EHsNQ0L496laNpWr6LC1qzEtDJsG35cdchjz3Gex&#10;+ljwX4R8c+G7pr+W3t4F3M3kxr/q2AABPcAYA6cfWq/tCjSw8mpRb6Wlf+v61H7Ry3JvFPjjxu/i&#10;xdUm8Q6k1xLtVrhbqQNwm0nqTjZle3y8Gui1n48+LvGmi3Wk3vjbVLyOFVeG3udQk8sgK20nJI4D&#10;OMYzhuM5IGbd6h4jluZBrOmwzLDGz2rQMWEzMp+XkZz15wOfUZNUrC68XCO4ku/CEEk13ZOtvtHM&#10;TAMRnggZOOuMcjIJyPPqY6NSmttO0lb+rFKpLmujofgZ8ZfFttY3GtW2u6pp88Mxs7O+tb54mEYG&#10;zaCMEDHG0YHJ4qLxgvj3W/EhGrfEWeae1miurNb64dpXjZUUkZJKkKwPB6Y4zyvKaNL4g8NeFpDd&#10;aDJcXkchdEWMM8rOwJwMHkNycCsvRbj4mXfii18TeJPD8nkPGVkd5EyF24GRnIHAHP8A9aiOJrRr&#10;SdOajFbJtO76Wv31v66FKs/tI7Lx98S9SvvD7eCdT8UavqF9byee017eOYzNkOZR83DZ5zyS3qc1&#10;z/wR8Ta78LZrzxR4b1C4srzzFW1vrd9kyE5yyuPnA2khgpGeCc4xWxLdXc18v2Dwpbq/l7jeXkSq&#10;fMxhTuHOf896ueH7W30DQ7fS5RDdLbqkUjLapubCheu3uM/n3o/tVQouL1btpdX/AA2D2vvbbHQf&#10;EP8AaL+LPjz4fXun+KvihrWp6VfRrHdabealKVlcEH7m7HBww6cgegI+dtR+Gup3+iWd3ot0txdT&#10;7mmg3BcLxtK569+vce1es+I/EAs4oU8OaQGEmVkha1VlfnqzHo3HbA6H2qnp/iO90qH7Ymhw2s6q&#10;dqwxndtPGOv3SD06c10YfHVo07q291d+Wz7ept8bXM/xPGZPAvifxjNcy6ZFHL9ljYTFFG0lRtxx&#10;+eR9eK6K70COa90nwrqloqyWyFmYSNt25zyST82QB9Ao4AAHa6Nf2eiXmoTT2EjNfPJLcAZkbLnc&#10;SCAOeuATke/epY65p+sfESM3emyx2NnZyFZJsMJpHYevQYH61pWzV3slpFX09F9+4pNR2IZNci8J&#10;S2finRp447qGUqrWqlWg2ll65yTtyODjtjAAHY/Fv9pH43+J/h3pPge88dalcaXG8081jIx2yO4X&#10;a0nRnIC8KxYDJxjk1Q1zRtDvdCGmGwtbeSSMsZI0+cN2PqMfl/OuX1bWo45TZ2sK7Nvlxttz6DP+&#10;P+c8/wDaEajTgm3d380LmqLREnws+JvxF8E2M2o6BqMlr5dxDPbKkattcSq/y7gcYxkYwdwU9VUj&#10;tPib+0f8Rfj98P8A/hBviN8SL+6jgu5ri1i2qP3s3zZJABYAHGDnAyBiuB0fVI5byOFbIt8r7pRH&#10;wOOc4962PDiaTPbG8urC3327O8O6NVCj+6BnH8We/Sq/tCMbuUWuwe0qctkcjb/A+zS3jSTVDuCA&#10;NmCTrj60V2n9t+Dl+WSKTd/FtY9aKz/tap3f3GftPI838E+Fr621DfrFrdW15cWMCXkkuC0O1VBW&#10;N12k5VyrHBBJLKTt2j1vTHuLSyisb618pJ5EWCKFGZZdrJlgTjldq574OM85ryqx8Wfa9QjmjC/Z&#10;vKMjeUwKjCseh4Bznp1JJ9RW9pviW5vXjvUuWaaZX+aOMsny/wC7wc5HTgA9ua/NJ4qtUqqVRWj0&#10;8vmaRn71z0GeUT2H/Eo09ZFXyofs90m4JCo5+8T829VI/wB3nPWnnx7oGn29xc7V82wTfHarEqNE&#10;6sXZsJ2C44OeVJJy3Hmeu/Ft7e3sZdWt5I7eS7xIscxYIpJO3YCu3jaMb/4O/Gee8YeJtfuL63Gq&#10;idhf3UOybaZllV8qQ75BDHai7AAr53jaOv1+XwwtOKkpc1+/lu7flue1h5UaautbnuMHxF0PUbhN&#10;Hk0S8aON8G5Zy+1lLsw2sgAGCzAkclCB0Yvm6v8AEuyiuJlt7OZFu2f7KsytGPKjkAO3H+sOBjcS&#10;ADuweQD5ve2mmabreoeIBfXC3HztcfZdSQKhY4YbHQs3JBPzYyWXAzmqOgeOi9rDdTTW8wS8khVb&#10;jYYY5C8bNlNuAOIuhA/4Ca6Y18LWi1FLS1rLbQ2q1qNSjqkux6B/wt6G+tIUadzbxlYf9FuZI15U&#10;NHJufPy7SeNuRs4K8Cu1h+JX9s3Im1eOBFkWR5mjsXPnKc5miEZX7zDdvHU5J9a8EsJbDxT4fuLq&#10;2GmiPTUm08WdxdFWeaONsTbB5TNjcw3kcY27WUCpPC1zLd6+uk+JNRW4tw+fLIl8p1MjlZFjGzP7&#10;oAhSVz5Z5ODhYqrGMVTe11da2/4Jn7SnGmoNXR7dfa9o+o62wsbxG2WsjmSRSRcQ+WylR82ANyrk&#10;nJ+RePmY1TTx/o0Hg/TbLX/ELf2jYw5mjmI3Zwygjbu5IG0j5uWTOed3lGjeONU13xCItNsZNY1K&#10;ax3MmoKImugQyiRzk/JhdxcPjCsd3O6qXim98q4/t291fy7TUpprS+trGEyTcFCWVCQTkRxDcMHO&#10;eBjnhjhacqybjpfT8dFv0OWP73S1lr8z1vUvGmgT6LM/26a1P2fzjcxtxtILKScklSrAd8HJxxxn&#10;af4tt1uP7auY7W6a4LG5nDZZSAuzA2gAkhiSc5A68sa5kwaRdRQtZ3cNxaWwhtZoZZoopplVmjJH&#10;qgIjUFj9wZB5+XU1HwxFZmOPQkjvdJt7xkhumPk3DRLLIfMCsSduOemBuIPLbq83G4jC0aii7q7f&#10;pp0vtfXRN6626nJKMlJ7JL+tt/680R61olpemTUIWj3Otw8bfaXRY3ZEGcDKqSV4OCRs4IDNVHUd&#10;O0fx54j1RNS+yw29xqF9PLqEijeG+0OysGDKWIQooQ5DBfuttGcu+utSttRfSI5vMSGVXdvMHzc7&#10;SAMnpkZ546HqKk1HTZWMsEGt2trcfancyzRvsw2SwwB8zkfLyCPm5x94ehh8RKnRUoy7P5eZFLEc&#10;iZ22m+IPh14P0GPVbPw1JbW1n5UczSbvMRUjdyoZSwYFc4UkZLY46Dlfin8Wf+E3+GTa/oeqrp8X&#10;kTadf2kc21pBLAVKOmQCpBI3N0BY5xhRT8U6Rez2iw61bwWsU15bmRY5FO1lWFWRVCjOAAw53L5m&#10;4HAIFHXvhNrkjuugbrqaaUS3gv7ooWYAAIpYZXLCNiWPBkbIPBbHC16NGcZynre93tY6MBXwqxUf&#10;rD926vbtdX/zK/hHX9U8AG1ttCeS3EcP7udtP+1ROykHy9m0qAT0yQf1r6S+C/7TPxX8KePvD/hu&#10;8+H+7T/FFutxY2tn4flaS7ZpTEBDJGrFBvDdQwBX5iQDXzt4d1ebSFuorqRjB5bb1dd3lnpuA/vA&#10;mvZfhL+0P4sufBGhrd6tFdSeH9Qks9Js18L3Vq0Fq+6Rk+2SZXcu1diA7uZSc71Ue1iqka0XLc/b&#10;8upqEUou2ifU534t6t/wqf8AarbwddCZfDtvq15m6mUiOzV0MvljPyNK6TRnacYKLyQgIXxvqNpa&#10;+DLzxFdzSf2azPKt1Cqs1vEwVkcLlS2FwGPBxtwMZxd/aV8Hap8XPG1/rWh+NbGa4aaESQmd5BiO&#10;KATGRjF8p3I+4qGUM7I5C4LZOn+AfFcEU0d1p26PVrVo5LVleMW4CIEyzKAGOQwU5wMdOQPncTmm&#10;Fp2s7tXTV7K9769+u3bc/HM4xOFp5lVjQXuKTVr9na/TR9uhn3vjLXvD8NvJpAMk0qqWkkj/ANao&#10;+Vm2AkYAB5ODyTzg43NB8QePNUaG30fVbR7EzR/bVk+QBg5LMhch8kjB5IIOeyk2tX+AWleKNLOm&#10;Xl/N5c9vahR5AkkhzjfKjxK+1gPmxg7QuGz8wp3hX4feHIY00vSvE019cWdtGLu8Nx53yoETYdxR&#10;lkOH643fK6rtwT58s6p+xjOm9Y+V1a1k3a23XY8ueOlJXe9zwv4rQePvDFj5800UFvCuFaSTIY+W&#10;XIBUYC4STG7GApHPyk3PgZ8UdYaKR22tJpdkJnWT59zNj5SF7k9QPm6++foC/wDDV3FeJJa+HLjW&#10;YZl3yW8d3BG1qVQL88juqSAs4DFCQoYsc/dXO1v4S/DPwH4I8UfEf4cwafaSJbxK1vexq0kMzvHB&#10;5Ti3k8szorNKEXCkLkjaWA9zJ8wlm1Sngo0/3k5JRd1ZPrfqktb6N+RzTxkKdJzcdVd/cc1pPxh1&#10;7UJI7uIbW+fdAybjbknBGG6kH3zxz2y5vEepWlleavfJL5RyVfBXaBn5WY4Kk7RjPOD+FdF4C+IH&#10;iQ3Frcato3hHXrm2tm+y3GoeGbCxaSPfvOLm1gaQs33f3jOSOowNq91eeBtE8T+FbPxvdfDS5s49&#10;Qt2861N5Ctsk4YxySpOwkjkjLJJGcjAkifkrgD6riThnMMhy363eM4Ra5krppN20TWq2v2XSyueV&#10;RzqONqeyaa6r9fQ+bdR8a6hJ4ktbcGZYzG0ky+Yu48bQw56ZKn6ZPQZrTi8bazFo11eI7II2ZZGV&#10;ziNQHUE/jj3/ACr3HUPDvhfSLy111LCBJp2CNJ5MckjxqRhjhgGCiNSuAQCv3UJqy2iadKW0rw/4&#10;ct4bWSciGKOxeDaoVnYRsqIHUB3UvkumQCcgs3wtTibB8ifs9vn+R3HkVtZeL9X8N29oNDvGuNz2&#10;t0ogbMMpBOwjGRwoYZ6AZrW8C+G/G+jm3s9Z0q5jke6WK3kmXcssm0ApkcZ+cD05r7C/Y3+AHwm+&#10;L/xSutL8YeFZpPDGi2eyfSYd0CXNxISLdxLHIXCFUMki+YG80x/w71P3Un7Jn7Meo+Ev+EPn+APh&#10;eOx+yx2/y6RGs4RB8h88AS71ySJN+/cSc5JNe1g8HmOY4H28EoQk3y33dnZ7dLpr9D0MHl9TFxco&#10;ySt6n43t8MtZv9UXzUulnt55GeGNsEBEbLc9dq/MwBOAuegNXNN8P+JrG0J1GF4bf+G7lkVDFtwD&#10;vVjkLk855HIxwc/Q/wC2l8G/Bv7PHx/g0Pw5q103h3WNLt9Q0W1kunaL99PKvkea48uQKUZssxPl&#10;mPfk/OfJIINWu2XR/DkF84iIazWRjNP8iBH8zYqq6klsk4PzjjJ3D43MswxWBxEsPXdmnbbTurde&#10;v4nHVjUoVHCT1Tscf4h+HWoeI7BDq2sta3kMiyRyW8jtLI2DuPl7SJGXYGxkEeYOD0GuvhbU5NLu&#10;Gm1YM9qN6zTW+ApHIZRuYs2GA65JUkYOa6Xw9FdXelvBpbW7XEk5RvKhm+ZSEzjcWYK2x+cBhsKh&#10;PmAkIPEgvYbqefV7eOVIx5LR273P2m2VUVl2xooVgxKncxyCXKu2QeV5xUaUbJ9tvnZ+nT7jPnZ8&#10;7fFNrbxR8XtcTxdIJLXRNLsYIQJCkKmSPz5Jjztz8yruzjCZ7mu3/ZQ8Cfs76H47W5kg0E6ncIra&#10;bDeTiRrtjj5YgTgDGCMcZHbOay/2tfA9/reutp2r3un6TGrJNayW0cF2pjQGMMxYMrMGjdQ+AzLt&#10;bjdk8Zonhj4dnSvD2q2HxOWPUrO48q+SNRJJEhZgpdAQV5BTI4DfKQDX6Zgq31jK6SjK3uq9n2X+&#10;Z+scPYeMcBSqOClorfqeyeIvhVp2iftJ65pWj2F3ocOoWKXos47cbZUBQM2CCAqsZskYwMjIK5Gv&#10;P8O7O8tWfSraZTNC4dY5o3TdImdxVgdjBTuHBAODgcCtTxlqGkaxB4f1PRmaO30+3uNPfU3USTOr&#10;EGKLzFTITBkIwAB1I7i9cxrG+651y/uHuo5o2uLhna2i2xrudPlGJN25cHk/Jgtls/C57mU6eIfL&#10;K3upPu2tP8vI+P4ww1PCZ1KMWtUnZdL30fn6aWa9Fn2GiaXb2VqbjwhNGzTJDF5dwsxdNqluMfMc&#10;bWI34AIBB6h1l4ahubi8vbPU4ZLA/MLOGRdqEFcYYKwY4bjg5wPmA4OlYjUZv7RTQf7O1KSKSaO3&#10;tY7Ty5ZU8rdvaVSQoVCrMrEuQWUkh805Ydavvs+m6lcxTPeQtNb3d7qTAGaXdtYBwDuEkbISpYOV&#10;ChcAGvnXjazi0m3+Nndetnc+Xvoee/tA+G9D1TwbovijxJZW+mrZeINPuNLaSRTmZLhI1JCkkpiR&#10;1HO0b955V65fw94z8KeAfFObjT9DA1C3kt7iTWNTW2SNW4aTlWLBQcheAxGCVzuHqmoxLq2gXFpq&#10;1k0ccxSNluN4WZllj8ohPkVdoKSDeMgO2SdyrXkfinw6NG8cPp2saYpurS7AZfN3bGHO3ch7Hjgk&#10;ZHU9a+x4YzKpKjOhK9l7132aWn6/M++4JxFOpz4aS295fk1+R7L8NfEnhy/+CN34CnspptFuNUhu&#10;449NZJEkukIlgcM3HkNLHH5h7x7sc4qzHZlJIbfUYJppZk8yOJY3G/hWUkL0Pzp3x17cmh4Z8M3t&#10;j4OsvHem+Gb7UNPgurmW+W185lQoqbS6xAsqsZSofIC5JJOdp3JfDmr6H4estR8Q2MNrBeW0slra&#10;rbxqGbCZMsSnejMjROvmKEMcqsoA2lvP4gxFatinyptRV3ZPrpe/rZX76bnm8ZYt1MxjQeigtPO+&#10;r/ryZl2N5KjNb6vFMtrdeclrLazOoVsYHzfcI5Qk5BwOCMgn4+/4KO67YL4o8PeGb3V5LcS/adT1&#10;RIW88ymUxomxVOGf91KAvyquR8wVga+v7SfVLq7h1Zb23tJ/tKySwzTSNKx3kbNsSkDOyQclMAkl&#10;gFDL87ftX/D4/ETx7deJ5bNftC6Bp6MlxnPmNJcvL8hO5Dym7bg7jk4LBRrwXjI0c9hOS6N2v1s0&#10;r323uvPU8HKsL9cx0aW17/keA+DtZ0uPVJJ9a8beJtNh1aFbe+mvtKWG2e33xtHC4imbZErRxFV2&#10;eWnlJ90KuPZv2Xbi/wDhr8X7Ow1XXIWsPE0LxacrTI63EixCQeUdw3AsVUNhTwflww3eZaR8E4dR&#10;t2trjUryRrfCm3bzNqxjr8x4I5Hfp78V9V+Fvhx4Ftfgd4R0LTtPsrS807xd/aH25GWKW4drSZXX&#10;eQQoIAJPBYIF5yAf1TNs2jVyytCvrzRav2ut9e259jW4fh9XnJS5YxTbvr0+R6eDCVEl3BHHCsZ8&#10;mQSFxIuT8ygDBzjBAP8AD7VDeTyWFi11okP2hVYpMYnQM7BiQVUkYUrjvyVyDzxn22oQwWEdxJJF&#10;Gba4822sCrSmV8ZclFZDyWBLEhiTgYIAKprUlrqk1vNqbPJE5CPPI0kJO0M7iLedrDHc5ABByxOf&#10;w1U8RumrdnfX7t/k+h8Byk5u9cEW/VLRraTZmOFpBICuWAbIwRx7YyMYHWksG1O3tDBdXEYWNU8m&#10;PbtDqcncN3PrkjdzgdMVTutYe21W4Ft5VwvnCf7UzELGvG1iudwbpkKCMsF6rxcspJN81tJpE62b&#10;BzDdXiq8dyUbOBuY8livChQoRhliMNtzyhzRsujtf/O/3FKKuR6vcTxSqbi4VdpClo8NkYyGHGOM&#10;4yMgk8noBm6hqIsytlc3RWVYY2lZlKZ+chvlPowIPPBHNWmvbe3tFMoWObyUfyWVbjZ8wKow3EDk&#10;DOOg4KgLWHpninw5PcXdrFEIbiaT/TLWSMrtkyFCbTyvD4HAA3cjOCfXwNSM6d3Fu3kv+HKilYkh&#10;ttQuohfqWk/ceZGW+85wcevGPT/GrVlPd3F5HtvYwzx7W+dhtGRjIK8E89u9WDZpbXcYfTZJLOSM&#10;+XBGqxOEUbmUHoCow3fAwTwcVi6hbXlwvmC4ztka3lUcttOCvyswxzgc5yT2PFdv111NKj5Vql6W&#10;K8jYstQt4bxopysTz25k38ckHBAPOR1/L35ZHMUnaKVI0WTMibV4blgSduT1P45rE068NvCDfadD&#10;b3VvGXuLl9Qkj8pVUe4BGW5yCMp0B5Z9l400/wAWag1lo/jLTJY/NJaL7VlAwPJ6kncVOCRgbsHj&#10;Fcd1Vb5W2rK7t+P4B7Ny2RrX2u3g1iOGMne8fyrDIGXd1UAqTycDg/p1q25mtpYbyNRuYfNuJB3Z&#10;Hr1x8x6g4U98Cue0/wAK6kmoLdPfxs0kflC3W3EjLg9cnJXnnIVSAR7itnUYZLGIXC2qyMM+X0VG&#10;HIcFnAYuuQMDnoQSCCOevicJDljSmtV52+e23qZuKJNUuhdzeWLpYoY4wjTbg2GIbpyRxjPPb8Ky&#10;5Yr6KDfFJGqiTEjyBhsXnjcMjqPbmm6A2rahdS3s+mrHHcBtse4yMFRlVh9znkqcsq4VhnbWoFZx&#10;J9ont5reGPfcR2s4USIeNob5A5XOMY+ZiRkUoYyWFapzt037d/TzC/KZtlpd9IUTzN0i/NO6qWVV&#10;Bxu3c4Gc8nI4/Gh55I4plglEnlqxZVkBwOOeQM9eefStTxG1uvhuTV7a0jthIPljVl2K64YggBRg&#10;bzwCOMdea5y71i4msmuZ76xjhkKpOGmSHeG43KPbtjnBOAcnO/1qpX9+97Nr8vvNNd7iwxatE7yz&#10;SY8x9yxtCfk9vw9c803S7qF99s88cny/LtPDdD264/pSxahqsuof2VHFJDmPbJDNkNjcPvA+wY4A&#10;/pnXh0NLa6W01GyjjW4OF+zsGkePP+sGVUYCgvnOCFPPIzGIzCvTiuaKbe1tOvX9B+plah9lMSxr&#10;tjY8YZAc4GCPz/HiqEUVpPetbOIJBHGrTQ+cgZeTjKk5H3faumn0eyuZJtP09mmHkmS6jkGBHtGc&#10;5MZUtwMt098ZJhljmYCa4s42t0laH9yGhwAAFcliu4fMMnAAHPzZFc8c+rUYuCjZ6PfT+vmPnRln&#10;R9IWz85rH584XBGSfXv3+nT1qnc6LG945k0Z5JF24mERZhjAOc/dxn8q1W0i7kiUSaWojYBm2xvL&#10;GG3HlZAFVx8hHQEnpgVFqNpplncLiYiZpf3NvBqjRhmJ27tgZcDK5xtOeckZNZUc8n7SXvPXXfpp&#10;5/18wWpgS6RqDg+To1xGN2W3Lt8xSDwMmub1bw5rGnuq2fh2SZid0n7xeORnrjP07/y7nTri+nuY&#10;Td2bNakqGjaaIydMYypIzt56nnOfZLm6CR4nvY43dim5iWHmZxwgOcD5R1BZt2M5xXZDijE0ZWjy&#10;y+b01stb/wDDFRbRxzWt3cafILOz8lgu5o2XaQem336+vb14OQ+i3xU2sE2JJIyGBOEB4684OT9e&#10;tejaQ2nXl89wfD15JdsXLSTKJIzGjYJQM7DBK/KPxAwwzPqsTPLsRbfiQbo1Ulk5OMjdkHA5GDjg&#10;ng5PVT4qlGo4Sp67/wBf8Gwc3c8ul8B69PK0/kaf87FvmkGefworvJ/AOkSTvIdTj+ZieIZT39QM&#10;H8OKK7o8UUbL93L7v+CHNHsfJGleJdS0G5+wa5pm23hheGWNYyyl2C7Sx4yDvLDcMgbT0YE+leDP&#10;Ec95J8twqmO3VpljQbo2bDHcAQcjbkZ+6PXGK7aw+Cvwm8Vxzmy024jt9Ts/MZluGdVKx/dEhZjl&#10;9pGOOVX5lBUDqPBnw38JeFrg33h/wrY+TLPKsEj38rt5flgbSS6k5yWC4J4w25uB4WIx+DrUrWtL&#10;bXb89Ovn3J0seTeIPBPijxLC9pY2S28UErCGJl8vzMBmV8/NtCyKvZRw2McA69h8OvEl3omm6t4l&#10;kMP2DbGbYRoylwuMrj7p27iuSQ2Od2c164PCkEz3l1Nr942/cdOnsYxE0MJc/u9qsquAiqArfw91&#10;OTWda+A9Zv7mS51vxneFFChoYJshlDbl3dyVwSMMNoJznOKylmkqFHkhOOm2j/Pz+f8AlUcROnaz&#10;2OJu9F1O31KG3ttIuUhmlH2iK6h2JO7bsMpPXOe+RywJycr0t94D07VtIg0w6LZrLcQpJa27SLkF&#10;gG3g4OJFCIrAHeBgAcEL0Om+HNMtdIhsHmtghuma3iZiJGDAKV+YkkqCMMQMYYZwtQWnwy0OW1t1&#10;e9xNDJcPZN5gdoG2ZC4Kl5FJAb5jwzNkjcRXDLGVKlZThO1ttX+fzM5Vm3ucKnwM1Lw0q3+n6Vav&#10;JdyQzQ2MdwsjPvwXUqMgAHarBj90kZ3Agamp/BzX/EWv3CWWk/2VeJdLGLi+ZIQ/lI0nlAnAJIck&#10;IDnacgY69noPwvs7a6j1H+2pDdzFQWiX7MinaMgBQcAMjHpk8DJINaeleCtR0+1eW+8RteRyw73t&#10;47VA8kzmMngMcbyqlmIJbueM13Sxladfnc79vlb5PpuDqS3bPOPB/wCzlc6TrR0xfF0N9JqF0IJQ&#10;zfavJjXJkZntyBtJUBcsqkhwCCoQ7OufATw3rVzDY3Pie4W4sZmeMSW4MM4CRtGpWO6G/wDdqR91&#10;hmQqRuyp9A1VbS005oNGvLCRp1X/AIlm11VGCM2wbWOEQtjaBt6kKd7AppFvENc32TSWodmWC3+2&#10;Oow5CBgok+Zvu/eDdNu7GSZr5tiNJKpt10/ReQe2kndSOa0/4UJqLXV1ba2ljYLHPBdFbFvK3tua&#10;Nd3GX3DDLkYDK3YBaeg/B7VLTxJCNVv4r3Sbe38wztHLZSJG2xjsT5hjbnY0nBIGQQcns9cB0r7P&#10;B8QrqezmmtLa2WOaFY2hmA2pEiMC+GTnfuOQvO0kYnbWZfGUUOnJqdxaveSIjXqQwwvKd4eNmnij&#10;iCoJGcAHcOwwcA8f1y37upPvb9X02vrr1+RHtLtJs45fhX4fvPEU2lW2ks93d3RuI55PKhVvldiJ&#10;SH3oyyQqCWTaApYsoJd+hsPhB4ZhttMl1Lwpue5tvkt45Gl+2seFkVwMggkfKVXbjBUsN53fECa7&#10;4d1GGTVfEN1dxPHtt/7SDmSYACLd50g/ePhdvEYBKnbtwDS6bPoraVDb6l4svPPjjSWz063ga7e9&#10;3uu2U7nO11BVRuOX3/wqwK88sXJWjGe3m2nbq10vf+tiJS1KOqfDbwaTs8ReFLe1aZZ0juL6RV3+&#10;VKjxvE6nyixQt8iou0hgV+bai6LbXNn5ka2MlrZ2ckccEChJreGYmUJEC8XzK7Ky71OGCYZeorwz&#10;44/tXfs/Q6rZjTra71q602CSO3ksZILaL5opVBZ3ikZtrsG+VtrLxvYHI+c/jf8Atk/GD4h+K4fF&#10;w8Y3MFxZ3kd3Zx2jARQzRhArBTu3AbBhXLKAWAADEH9EyTw5z7PKMK1W9Ck1vNWk9Hbli7u3a6St&#10;36qM4yml+R7b8c59U0f4v61P4b8tI5rtZ5o1j+WOdlDSjb0AEhbhcAdBwAK9D/Z0tvi/8XEl8Aww&#10;Qx6TLJ9onaw0wS3UzIm5Yowg3M7FdoGGwXyAT8p+X9C/bT8Ia5dHVPiX4N1C2vi2Z5NDRJo5z3Oy&#10;V1KduNzeue1e+/A//gpR4F+F+jXEvwi+HuonxFPGU0fxB4huI0TSpc4MqWse9Z2wSV3yBVdQWSRc&#10;qfoP9Uc7jbC0oN6KPM2vTmb79Xp8uh+z4DP8lw+VqNStrGNlZPmdlp8/XS+7PdZ7q3h1HT7S60S6&#10;uo4rdP38d5G0MUZBMhDSSBpSF3HhWCtnofkW1/Zem6fcLbss9zdjTbe2kW81NLea3lK7nCbTJkDI&#10;U+Yq7ipUAZJr5x8D/GLWvDxjl0PWriN45o5Uh+xSTI7RtuQkbQr4bJGdw5Nd58PPjtcR+ILe38T3&#10;9xDZzt5Ulw+n28flyMw2uzzLwobhjkZUndkcHlzzwmzzB05V8DVVaEU3Z3jU6uyjdxk/mrvaPQ/G&#10;ZVJc3vfeemWGhyatbalaRWdvdrHJshuJDI7p8sartRUMaglmDMZGXaOQCCWr33hjULK6tdQMcNvG&#10;w2G6W2SMXpLRjyZPvAJkED7ys0cYG75ataqniDw+i+JtO1Wye3t74tNdG3jje2lDEhRFIVk8tVlL&#10;KRt64bqM0dQ8ZeBbqGRV1/S3ezuJXkk1aPyZSI0zNFty4JAWNkCOA4c5I+SvxOj9cpVOZxtZ+X6t&#10;2132666kxlqXNI8NxPof2y58StFOdSmhv7e3z5YUY2AnzIwj5JRfvHekauyAkr8//Gb9un4E2+vN&#10;4N8CeGtU+J0nhvVZfttqtz/ZulRyN5iAojJJNeOvl7XZoWiO84c/Iz+2WusSap4cuvE+jOtrZwQz&#10;W8NnMbdldQsgWYBXLcs00XmSAqMBCQVZz4v43/Zf0zwv4rvv2g7HTJrOHxVaonnWMMYtZZUVd8iZ&#10;XIlDHDh9xaQuWLMpkk+84NzLD5fm/wBYq/xFG0Ho7N6NtLq07JtJK/Vu535dg8LmWKjhsRtLTe13&#10;0Wncu+FP29PgM81ovj39mf8A4Ru1uAPKm8PalFcSwuCAxlEf2RkjHB24bjOIyM5+vfiT8Vfhl+0v&#10;+zR4F8Tfs+fE3TfFFxoOpJp/ipre5zfpBEWhsrWW0zFPbxeXBuj/AHaxu8sjgeZIWf4b8C6BoniC&#10;C3gm1Blnsbpoo7iPS385/NdmcyySh0UZCgAqoHIHUKu98Mv2SfE9v+2RD8aNKs00vwnZzR7re1km&#10;We9SWOCK4YqFCiDbLIhbdknIHJVh+lZ1xJ9cyyphsZNK6aTaS1aaS00abtpY9/MOC8vyig69KXJz&#10;WXK22m9JaX1vpvfZvTU9es7PWfEGnL/wk89i8DEG18i6kZZj5zNK4jk+4R+8X93kAvtKj5leSzud&#10;Yt9Kt5n1u4h1D+y5I7h7e6eQyqROu4lTI0QKsY1RgAVRAckOS2Hwl481u4u9Tt5vOsbfTZLy5vxa&#10;XEzwKm8eVFEZ4Wi3Fd7kM6pGY1X5gEWxZ3PjC90r+17TWJtLu4DcSWOlxTRRXSWqrsTEsjAxExbB&#10;mZolfceCqqp/CZVo1EpQabeqtrZW1vZuy7bu+m1z5F9z2r9jT9vn4JfslzeOvCnx0tNabyLGz1bw&#10;/YaZaS3M+rSXEs6XSMuI7ffGq2jZldQRKSgBD5hn/wCDjHU7nWJtPtv2KY7jQ9zWjac3i4eeyk4E&#10;jMbXywpQ8w7SefvEV8p/FOw8eeIfHUniXxD4UurXQF8OrbWczaeRAzJIuNjbRtEkT7tpLA/Z967P&#10;MKLwPhLwVey+IWvneCS0WbzVXzGz97+EeaMNgkZ2kHqRX6xkOZU/7JpUk0+SKW79f60Wp+ncOZfg&#10;8Vlqkr3Wj8n/AMH5n6Mftw/tofAv9oSy8A+MPDFxrVulnpeoXeoaPq2goLi2WUxBVGQyPIRExxHM&#10;cfuwGUuCPm/woINYnvNX027s7gWHn3chhtZIZriPhUj8rDOqyPIhIwrA7Qzrhld1x4s1KIWdrqsG&#10;mweF7O3Fqn2W4VZI/OiXzJWa3cSyuyQqojRlwCqlMnczfE6mxu20GW00uKO0t1eay1ayEdxaxsfL&#10;BkLh5EbdjcsrMSAC4YOjn83z7FYbGZrOu0mpWSaT3SUddPLfpvft8Pnjw39pTdCV46a+aST+V1oT&#10;+J9VkuJJNRtfDer6bPNaSNcWotjITGj/AGXy0j3NlWzEhATO6TALM2Ksad4pXW7rT5bLTYUkmW22&#10;jUYxYyW2FOUL3CBiSXfcAAvzbl4I3XtEuxovhXVtP8MeENPeOXTWiktLqxtEtpLlZVKmM/Mp8qZ9&#10;4ZdqHCsRGCVHV+GvB/wz8HeLjf8Aiq8hutUuNM2yWWnR7bOFfuGQy8SOWBVgf3eBnKkYVTK8nxGc&#10;VvZYWm3ZNuXNaK7Xtrr2im+62OHD4WriZqMP8keI/tGeGL3XPA66/wCGoPtdhortJey2cDMsMU5i&#10;Cys4QIsZcgD5mBaQ4wSc+B+G7aa0F3JP4lVvMZT5CsoMmM8EBQMc/Xgc4JFfSH7ZnxVu/EEMGg+H&#10;Fjt9NhkDyWdnGlvDcOqBFdkRQDhMgZGSeTgsTXz1oPhmw1bW44bBbdpp5VSNBOvLE8Dmv03C5Pjc&#10;kwMMPJud1ulovLv/AMP5H6hw3Wo0su9hUmrwbt6PX87n1f8As9/BL4veP/gfH428GeFptasZNUWy&#10;nXTYmmurRMxkts3DEZHzFgGb93tzGCfMl8OeH59d8VpomnXA+3LcBZJ2iK2tsQdwjdZ2CO7SLt2f&#10;MoFxGCVDkHtf2EvGHizwP4dk8O2vilhYmRXmjsWKKx252DIGSCcHkDcOpC4b2T4ka58F/G0+/wCL&#10;FnHDcS7In8QabGseqwr5kTn/AEgKSSwiVP3gfCFlUAE14WO4OrYvnxMH+8l9lt2a6LTa/wA99eh8&#10;/wARZbRx+YSxGHqXbte+10knZ9tND5TG+/0KDVNSk1GR7i4YTrprBMssX2eP5IyjSM8SBeAUURkD&#10;buVa0PDOmalq+qr4dnms1njtWQLEwtrAW6yrG0Hn75H+UNMQ24mRUVySWTDfjP8ACfXvh745jRfF&#10;HiLUtP1IRQ6H4gS3UwXwaMwlUEcckoeORIo2hZ9wHluu/eC3hvxl8WeL/Bnxi1Twdb65JY3M0VnL&#10;a3MlxtC2m1EWOMhm+6zSLuDEZUsuMgn57LeGJY3Fuji1bk1krbNqySf321tto9GZ8GcP4DOM6nh8&#10;e3aEXLlWjm04rlv0XvXbV3ZWVr8y+pPgF8QPh7pM3iLQfDGm2S+IrERSR6x/aiTGa0Yje8dvlPLK&#10;yoSCVDKs0QGePM4NP2XVXWMWfjO3gto2ARJLM4gUAcEp8oXHI9Acds1z/wCyBDqPirxx4k8TXmrT&#10;zRx6bblJLOTyfMYzMNzIVZWYNFIDnerE5OXBc+sfF/VtM8F/D/UPFPiI77eytvMaxjRYxNKc+VGc&#10;KwBdzHyUKAuPlwOP2XC5TglksacIqMYXd+6vq35snNpx4Z48rYTLqTtWVOMaabdpyS5YpybbV293&#10;d332NH4A/tcp8BNZv/hB8M7yHUbia8mh1LVL5fKsUWHb/q5VDNl43d12Zw0cZlaBSQe5/aB1HRf2&#10;h9atfEEGp6XpvibR7FvtFsrPEur2hTcglfHyzY3lmDR/K2ASUC18FeEPiJJp+q2MOrv5smpXy3l1&#10;LFCq5uJHbfuxgbfmfGBwGIxzx1/iX9oPxFpvijUtG0CwuRruq6otjbzSXCssXnSHKgdSpChQpAAD&#10;E4yAK+RzCWFx2H+pK3I1tbd33v3v8j+jsv8AB7L1hHXzejKtO/vyc2kkop+7GMo8sN7fatvK92el&#10;aJrFrpeqXBfQbX7Pb3csXl2dvMypIslxhRK8ZbbG0TyAu7MqiP5w2Aed+Ifh2LxpLa6jBYWNtNPb&#10;JBCtrcOS3y7slGkLAEo7BhGvMpG1VKkfSP7Yfwp0XxNeeEfj7ovhPzLzxn4cNt4hNrKiw211DLGv&#10;2uUSybWaZQ6+WqAt5EhLF5AR8yeMPE8/hww6B4U+Jui295q+qRBrTT9GVhZ3btIkvmFZ9qoMgldy&#10;y5yv7sF3Pw1fJ8dl+ZTp0E+ans9bd1d62urX366H895fwvnubZhLF5JhZxoc14Sl8MVuk5ytGXKt&#10;HbV/y3djxk6Fo+heJJob5GmlWR0O1BJ84Y/dY5JGemDgDpxXv3wptdMsPBun65rKTZlvpZY4fkUC&#10;OFY96szcKGWVlIJGR9MV53qfh27h8RTG60eZZI7th8yZzzwc4H8ueor6k/Z28OS6X8GNb8O/FT4c&#10;63/ZuvW5/wCETvbeJ4W/tARtGjxSZGCFkfJzyobGTivq8whWxOWtOW6Xp0e/W/Q+4xGW4jOqDy6i&#10;rVZ2j1tdNb6aLR300R5Lb69p1rq32Cyt/IubpZI4zPIzOC8Kxs4kIyqBd3KqzLt4O8YGbbass2kR&#10;pp0lx51rcL9ouLTBhZhvQEqSSMnb0YYIzg546T4pfAn9oHwP4pg8RfD/AFXSLvT474yXS2knmXER&#10;C5f7QixkttYZ2hRIQzYjDEY53w/8MJPD/id/GGoQSaydRs2VNMa9QQuWWYsbpQ5kZkwJGgPQxsH3&#10;DCn5VUqWCprnn000b3+Vurt02PzDOOHM5yGv7LG0nHs7Xi/NSV0/ky7eXcF0qpHcN9lVvLurOESF&#10;edrfOqFhGx3Zx/DsxjctMtfFRstLvJNOTy5rUb4lCwx28rkOfmBd234YbgQwwU+bLZWhqWneGfCl&#10;vBqumeJtQupmt1fy7a1kuGkhzJF5fC7IyI1yw2suGBHXA6OPRYYPGUPibxPZ3EPh6GO6glhvrN0u&#10;3n2eYYnjezneN1d8/KxKKCivtZCeH/Z3KLgnJPZq1un+TTW9n6HhLlHale6ReKlvO0H2yPUjHtvN&#10;8txEgRQ+5jsOXOHAA2hhwFJ2vh654gvLizS+tb1bEtcMq3d65keVS4UIrEAZAYMR2PPVgK2L+6sL&#10;fwTb313eWFqs99JuiOnx2zSWzb84DRquQwbJUMYxwoQDAo3914aga5tRax2cawtD9qt7VY7dlTzG&#10;fcJNzSuGIDKDliHUEAIKKWLjSkpNPXZPS2l7bO3Xr6LoCvcqabYRGDyNNs7XUmnjNzcQyXIUngSg&#10;HywXI3BeRt5A++VxS2eka9ZaZcPcaLYafcTYlfSId00VwWk2mTzuQEMQX51XcWH3cjdWvqGjaJaa&#10;PeSW0ep6dGsmLfSFVoR9mVz8+1o/nQuxUsOMYIXbJkULG/8AFfjq4mury21iG5t7xZV1CTyHiuIw&#10;mdpwNu5toZmJD/IgONoJmtinGThJxWl0pPzt016roTI4Xxs+ieM7hbbxfcx6dFDcSKLBVzHNMrHz&#10;GkG0MUViVCsDnZkZG3Hr/wAAvDX7Nvi/wDe+Avilc2d9NOFi0uGNUj+yEFy1xuZcg8KAuBwW6cZ+&#10;QPit8Q4rTxtJd6be6bc295dTSxs6zCSZZJCQIozyox8xLcjPIGObPw7+LupeHfF1v4c1Dw7Fc28z&#10;Ky7dHuZp5AyjCCSNtiDHO4qxBbJOOD+rYWhHD4GnSo6JJfPTdvuz9WyzDYbB4WMJQ1Vr37vufRem&#10;/DG4+HGr6p8N/EOtw6npyyLNoeqXCtMJrX5h5TbASx2nG5ui7QOnMw1TSprK8NhLuhjulaZ7eSQ+&#10;UCGUgI6FQcgEYcDG3t8tTReKNL0DxZo/hW48M3l03iCxuHtLma8aB9PkjgDSEhCGf93Pt8vcoDup&#10;3Yj2PDd+EvBfhH7VGnhqdtYhYm6ig8mIs2SZPJXe7MvyoBKGORzkqy1+dcQwo/Xnzrez20/LR81/&#10;LfbdfE8S5f8AUcwfLFKM/eXpt8tb2C6ub6xs1ne4FpCXkKwPaEMoQABsrlY0wXz1kBbJPpkpPA7X&#10;mlS3r20m9ZPPZMM/B2neCzRgK7MOC5cHGckDZ0zX7HxHo66hHpt1axtGC0kccTLcMwO6R2MqFJBv&#10;B2vkhkwR8uS24u7HXtSlsJPB1vdRXkkkfnt92CX5GLnaVVYcliDyAFAO4/MPl4ypUa3s6dTayav5&#10;apNN6t6O2t7W0PneXzMu9kg8iOVVbasaC3sLy2N1JMSh2yqy5XaynjJBAz0PA5mTwvYeJIls7/Vv&#10;s8Kx4aeJHBW4RnYpIGHPRMKHxwBhNvHR63dnRJV8P6vb2nywvPPPHcNtc7kyWcsygncGHQv1y2CV&#10;w7y20nTZ/tFxq9rawytHcLJBMse1nOSp3bWAXBP8RyRyTwPVwuI9nR9pCei1TV9Xfy63drdOvc2j&#10;GMY3ua+mppVvPGftl9LDDCqrBMpWSJdoJIyhA5yenO/HqxnvNa0hDDHBcrDefaMWqG73ck/u8Fup&#10;J424B44JrjfF/jNtE01LWyuCs0jMfOSbds7LgdCCdrYBB+lcf4c+Kl7bXU2nwiS5nLCW385jtJdj&#10;uUhm5zkqByMbQQSRXPOlmOPvV5rpdL9PyMZy97Q9o1Aajqtwtzaa1DFDKolhgnZdqqojYSfK6hRy&#10;O2NrAjpkU47vxqqnStUnjmlVn86G0hkHnEvgRjj5QSNvljIJXAA6Dn7HXpLy0jvW0GO4b5mhs45E&#10;DNtYsvLsFLEgYAAAgP9/Hgd+uKvj+w/tcl8NCkjjuvOKxXGoxsI5V7YRUVVzvXK5KsyKd3zGvJ9t&#10;ONqcnrtbRaLonp+N7va4480tkMkm8S395FcXVxeafJZgvbrNkxlGDsJHwMMD8pTJKlXAGBwS71LV&#10;U1m3Z11G3Yswka6uGEKlykZO1jIWbndhstkdT1rSv9CGmSN9qeSbzMrLarI1xGhKl13b2aMD5ZOv&#10;ICPtOGOactjrkOoK9z4l0uaGGIRL52miOPaYyDHIqtsdlcjayqoJjGQ/Oeipi2oOFSdkmrJ/5q+y&#10;XdLu9kaWewuo+JZbqXZq2oKkazSI2IXRlYH7qrhcDAOQB0HGBjGB4dtWs7aS/v7AXEsm6VY4dRkm&#10;RFOQzj5cMMHhfu/MRgEBq3ofBfiW7it9D8K6jYxvHHK4ur2Z1VguWDSs8j/fk3LtfhcJyQ37uCbQ&#10;9at9Jinv9MW4s7eECaCykBuLaRD826MKoMeGKqvPJGcZ4jD4iTpt0mrN2V3duyvt2+f+YwWWWw1V&#10;LSGUm4lt1klja1kCou0/dZgVIzjhT6djxDaavqN3rc02paNfeYZpE/eYMZXoHyGZsjljnbgYJGSK&#10;j8y9u7GzuZLC7MMWY2trWZJpIxtyA3lSOOvUgttB7AVd0u90zxLYW+oiwaD7RvkZb68MiiHaMKij&#10;GcqTtwScN0WtViKkottKL0Wtt15LbS/6u6RXKYkvjC2ErD+yde+8f9TfWYT/AICCmcemaK0U8H+L&#10;QoFvosckeP3cjXkOXXseYj1+poo+tSi7fV190DM6D+yprTT7fTra5xHJCzW6KvKZIw2FwqjIHynn&#10;PX5s1Zs7RtUcaVaQqb2a6SFfLlxw6HH3ioC9cnOMBs4AaudhurC61KDwxa/EBNP1C3huPt1nNprS&#10;W7AAthZ4WkjOzywmM5yTnjJGBYa83hDx7JovijUbfTLyG8htpFe+gu4rOVgwiLSRzEHKtsJDfeKq&#10;eWAXzakswlJpxb2XX/hr77XMZX0O7k0LV7S+jDqrKGe3VoQCoJ3HAUA8AcD1LDHIqeO0twWk1YtE&#10;Wj3QorKqyALlm29wGKqB/vcjIqm3xBtdNtG03WJ4bXToZIfOZbqGeWOJ5fLEgQSY2M+1cscjO4Aj&#10;JrL8S+LZNaisZ4tYN1BBGskdnp8wlVd+NqxLuHzH5MnHVGHIAeo9ljo01UnB30VtdtNWulrb/wDD&#10;hynSXmlRvb2zm0/cxReXbzMMN5mAHPXuTkgdc7j1zTjdQ6ZcI91dSMssixqqIdwy+7j5h1K/QcV5&#10;3p1t4quPEHiOLxLd6nZ2um+XFp8F9cfaJmZ0AwRbncEbfgF1wNhYD5WYdBFqvhjRFmgh8U3l1baV&#10;+/uLWSzWNY96gJ5kxJe3Ul/Lx5bHLZ5BXd2/VsQpKDstuqejf3peqQuWxpaT4w0a71pLW3u0W4bf&#10;Hbjzm3QpgbmOO4Ckjjgj1qbUNU8RahdRyGCOXT5odohllUsJYkfA3bd5RmIJKnIwARjBqr4K8BW2&#10;v6K/i3VNHhuYfNmgXVWmnSCxmIExClDukJDcKwIzISFbhSeGfAFroWo6T4u8UanfyQ258/UbW4sW&#10;ktTbxyB1YPIvltEzKqlyAD5o3qQAGnDQxVa/s23tv69H1TXVe7uns0RFS2uZ/iSXV38SWWk2uh29&#10;vDO6xPHpscjXk0jLJgKskbjJyoG5sNuU5Uni1ND4P1WfxBbweMBol0ZjbvZ6tYqs8Em2OULJbxTN&#10;OsYErMksaEElgdgOK39a+JXwl1oz6VJoVtbzXlq1rapb6IZlVl2nY26SDyJAqmVdkasDnccqM6Y/&#10;snUNG1h47DQzrEunWs7R2okhWVIVaHerRllBiSX5nZ9wcbg4Urj0cHhalKU+eLvq00tNO9tG29k7&#10;J32vvpyqzMOLxVBN8Nm0PW5prcaf8lxd3Glm6upXLeWQ/lwxzSJjduZuQExhspWTJcartTSpvh7q&#10;Gmmzkmgt9Wt5mtlMWBIIdyMCwygLqzMyvMUwxYAWviB4R8NaL8KfD8vxQ1/WrL+0o966w00ZsdrS&#10;l4wqNuMTnzN5WYhmG9grgNjmbHxVrPh3w1qGmJ4R8Vape30qzMy+IbbUrqS5CAtFN5bF/kicxrHg&#10;EoxcIoIkXOEZVKXtZJ819dGtN7LVR1tZNbPfSxMu7O68M6BqXiDTY9JgvZr64thJHplnD5V1exoI&#10;sqIwHSZgyhWMiKVVRuBl2jdw/wC1v8WPD3w5/Zg1X4jaR4mjfVmt20PS2W4aG4E0zpuAVDuQxr58&#10;n3mVgNpVc4PceAvFPwMm0zTZtX8M+Xq1nYwjVNLWZ/Mhad4xFdHyZY2RUkTacK5R5GGcToR88/8A&#10;BYL4twa58JPAfw6j0N1uptWuL/VL57qAN+4Q7AYYixXe17KxdihLRtlAc49jhHKaWYcVYenUgpcz&#10;5rXb91Wk3o7cvu97N9O7UU5WbPiPSdSlvLf7Tfv8obG6RuG9Px/Ork88Eq7Ffj6V5/e6vNFepIGb&#10;ap2x+3/161tI1iWdlQsW7Zr+u6eMjK8Op0yw8o2ZvfYBcXKp5Uv3vmaNQce/LD9K39A1vUDKulxW&#10;0cCx48qSUZHB9qzNMa2W33zS/O4/vdB6VPJfGCNdhX92cr7VS0lcpH0n8HfCXxZ8RfCLXPjBZ+Hv&#10;O0Hwzcw2+sX0N0ki27yECMOmQ43Zyr7VDBJOMo1cv8R/Gfg+aK1v4rVLa+eZYPNW6Kqc9tgYAueO&#10;dp43Zxhc8J4R/aC8baL4Xuvh9pnjnUrHS9QZjeadBevHBcMwUHegIDZCJ1z90elcZ40tPHGsazYD&#10;RtI1DVFjn+0TWunlmeSKLDY4VsAc4YhuXwBwAeqOL+r0ZVKjVl+C03IdB16ihBav+tD9FvhN8a9X&#10;vvBOk+Jb7QTFobaXDbavftb+dEs1tPsyqkFfMP7tisjxLJv2g43Z7bQdY0OTxlcfDbQLJTquoXTW&#10;+nrp+li1vrYNFG0M8MkYnhVjIjEgu+5QFXcMOnhf7FHjey8R/AHxVqmlXtrJD4e1qO9O3UJopIp7&#10;qMosZELLK4VoJPlK4KsxJXNevX3x20jRfEOueN7HxVbSWl9NHBN9j8qyj85LP5oUhjk86JRtd2cM&#10;zhpldZC/zn+ReOsro4PijF06dN8vNzd1yztL3FdrRSWlkr76nJyzj7stCSHwxdatNeeGNf13UoNY&#10;0ma1lkjjmFtNZMsjN/pBeUlZPujDptVhLwCSK8L/AGmfil4xufiN4c+Bfw+0KfT9Ctbmzu/FGtTA&#10;u185lEixJJhFkU45kVQf3jIeFYN7r4s8VafpvjC91nVNRYwx+HdHmt2uGEs01rLZloLd3VE81Qqg&#10;BpFDZUs3z7mriLe70HRPFek3ninQ5WtdH8UQtexxyBreOy88+amAD5jvBINxPJPXPOfe4f4TqYOq&#10;sbiprZtRavyvbmeis7X0St5Xu3+3cMeGnNhqeOqVedzhGcYRVtZRUopyl1Tai0o2vtLRXb8KtEvL&#10;26e1ndfs24NJtUBpORwcD+tfQniH4ReP/h54Dg1eaTbpHia0kn0nxFYmISWKvcOksTyFhJAEJgDO&#10;VEXlyI29tjhfdPBn7G3wAk1S3urLwnqUJkcmazhum2Pk5PO7IA5+7twK6DwB8WvCPij4y3Xg7wF4&#10;fs7Hw1a2E+i+FI/tLTrIquTdz5Z2V/MljEeT96KGNeR19vPOG6kaap1J2cn7rWrXnZ+XfS9rnZlO&#10;Dw3HVGrRlCShRg5Nqys7WjZ6pu+rT3jGVtdvgSHQfG1r4LuXtfFupWdxbTzR3UkuWnlh+YgOJmVp&#10;N/ORGdwIAyc5rop49Ni8Hf8ACB60dDv5rO1bbqlrpUlxLbtMsHmfu3lKxXDLIo8xTLFJ52FePy2r&#10;33422PwjsPAHijxDpnhh9O8VaZJFFcaNoiySQ6zi4TZAICxHml9qptBABZQo4I8H8Z/ERfh78V4b&#10;fVdMt2Nx4ct9R02S7h89oLdo3iwpKhVYGI7Om1GwpwK+LwHDOYzxn1R8qjq+daJJvta7lfpzRV9U&#10;fOS8Ks0w+afV69WMYNSlGVm3OMXBNKK2dpxer5bKVpNxaOH8Z/FTRtXSHSNOvZo5d8ttFaxwsV8s&#10;oxMskhOJS+WVWyxAXAATaWh+FemaNaeJ4tavbdJFUruU9OoycdM9ea3/ABZ4Q8N+CNG0jxL4/wBK&#10;bU479rHWI47e6IuLeGK4H2tFXOCXhbHOOe/yivun9nT9hP8AZwguLXx3/Yt7rVvdQ7re3vLxGtZE&#10;bDLL+6Cls9sHaQenTH6DheFZYOnKnQnz2s25PV3vb7vLpY+hxOW5dwhh6MaKny1Oa7dneUWr7WSV&#10;mklZbPfc8J8Q/sxfFS8ln8R2WnaXrGn6Xq5n09fDOhqrRQNbJ9nUSRSCdJViZpGWOPaZFKq0jAF/&#10;L7DUBpOm2vh3SfBGu22pXyGexsf7duUaC4j2+TNMWDRiPIRkG5V5VkmIYBPqmL4wXzeLvE+t+FL3&#10;TNP8Oy61cjSdM0L5bW8htPJt98RTOZTtE+AcNubGc15l8YP2jPBHxE8QaeYvAFvceJftzpql9cXS&#10;W9vqNvDGTHcyNJIqicRRzr85GAFXcA3HxWY8OexoSxFCfva3WuqT3Vvv1Tdm9b2N+JvCdQwc8ywb&#10;VJRp+0nB3aTjT55q7d07pp/EuZ2Vk/d8v8Wza3pngiTxZ4o8MaHo0VtpqXEPh/StcV3W5G0JII0b&#10;aIS7u2wNJLFna7Asa8x8DfE68udR1Cea48uOGOOCONWLF0CsqgnsNgUY7jHvXQ/FbxPr0nw5vLu/&#10;1csLnVDDPH50heYG4Evmu3zLL8yOp3MDiOJgGzlPEvh/qAvNTuba0l+aRi8ke3rs8tVP/jx/SvqP&#10;DunR/s2pjY6+1m9fKLsl5WfNdb3vfU/Jsrw/tMK593+C/wCDc9I8XXL+Im+2zDMatyPw/wDrVm+D&#10;fDmlalq628UEZuHBwNmQvsPfHc/4YWTUQbdoRJyrLx+fFJo96NJlF85KsrDG1ulfos5c2x1xjyn0&#10;l8MdRtvBFhHp92uyPywPl65pvxJ8Y6akcck2pR+Qz5hijb73PPHUtXjt38Sr66sBc2d+21Ids6+c&#10;+OSCG2qwXdkY3EHgsBgE58p8bfE/XILy3d715rdbh38tpPlDKmen4jB6jPHeuX2PvXZtKr7tkfW3&#10;wr+JuufG/wCGnizwJZazd2eraP8AYdW8Nx2/kukbJcXAuC4cfOnkyKzAEZWAfeChG+Z/2urZT8RN&#10;G8YSXsjahdG6s7iRWwAIHXlT1yTM2eey+hrp/wBkTx7e22uahe2uq+TcXVmLY4/ij8qTzV+jK2K5&#10;j9ridEubXUGmVUS8eWFNgGd8R349SDErH/roOteTjcBRp08RiI6OSjf/ALdvr62dvRI9ngTF/VvE&#10;TAN/a5oy7NSjJK/zt80j07/gl7cvqmgeNtTbmS6msSrdSVaS7x+m38q3v28b7UtK8AQ21lqTfY9S&#10;8UeS8a42yQpGzqPplY2+qj6U3/glDbWN38ILwx2yqy6tAsk235mRYF2gnuASfpk1zf7eGt37/C/w&#10;1aSJmQ69K7SM2B8sKLjJ4ydwPPHBruipU+GWlu0/xf8ASNMZiKGO+kTCTSUIVYdrL2dKN398XI8u&#10;0fQ/hxqtnDqWu/EKe3vJdK1J1sLbTpM21xDEDaI0mCGEzkg4HybeSA25bdrfeFfE/wC0R4ZPhbWb&#10;q50/+39Pdbq/H+kO0EG4iX92i7tyEHaCvfc3JPG+FdK1LULlX86BYlhcSPJLt2SHhIycbQWO0Bs7&#10;Ruzng11XwV0KST49fD+CSCJ4tT12UKvTKfYbr5iD0O5c7Tzjkgblz8XRwtaWKpR9kkk469d9evXf&#10;Y/qziDiPLaXD+OrU8a5TdKtaNvdu4tx1UUrx2Tvte927nXftCfHT4ofDf4s+JvhtFrkjxxQxiOZf&#10;lZVmtrWTBwQPlBZRyBg85yAfAbx9QvL7fDBI0Z+6sUI2qduOCMKnGeRk/XpXsn7den2Vj+1le6ha&#10;lv8AiaaPazTb+m4IYRj22xJ+Oa81srtra1khjba0Mm3p0Gc104qf1DGVqcY68zd/V3MuEcDTzjhX&#10;A1JzdlShG1la0YpW9NPuO68F/tC+PtGjsrTXdHt9ahh8sS/arpoXZRnPmHaWfIIwVKNxkkk5roNe&#10;+Pnj/wCJXji11uwt10mwtbVksY7jxFOkMLchpgXLMSQBkAgdvU1wcHgTxZN4KufiTa6X5mkrdNby&#10;30cyfJIDGD8mdygCaIbiu0swGSc1lwyxadpc9nYzbWusG6ZCR5meAD68YPNRmtPKI06U6MLSnG8o&#10;qUuRN2+xflWt3ZJdO543h/w7meHzzHyxE06eHm6dKTjHna3u52Um1Fxjdye8l0R6pF+0pqngea3m&#10;8RapqWpNHIzw2+irHDaugyBu3BckktnvkL1PzH6C+CXjTQ/2vfgd42+MvhnTVtvEXh+HMOkr9l8q&#10;e3VY4rmWeWSMEskDFlKMCMSHDHDD4L+JM1rokBa4ghaYR5VWjBUcDnb0z+HNfdn/AASG8FWEn7KW&#10;vveXs1uvi7ULi21C4t0USwWtxFPYybNwI6MjDIxk1xxyuhnlB0Yq1lzX72WiT6ata9OhPjBjKmE4&#10;dq0MRyy9paEVa3LJtO6erWkX9550vxE8O6HbhPGfjCzDvGxtrOGZkUHnBMflMozInKucKIsEbUBr&#10;WtNYh1bwnZyTeO2mkuphNZ3ivsSctE3zRyMOBiNVwQV2sudmAUst4b8b+FbhtD8beGtJutSN5c23&#10;9jxyM80flFopJFVJmjmeCZCoKF2B+bynUEVh/EGw+HfimWbVfC7a5YWun3FqLr7Y1tN9glYkshlW&#10;2eUqHViF8wYAYCNiqlfyivRjSjzYj3Hve7lqrrdxj211STs7H8TyTjHUseGdLuL7V11nXtKuJrpt&#10;Rkgs7jVdZi+zDy4wVkF2H2yTITgY2bAUb5g4Kni+08SfaF/0rT54bO6Xyxq11MsyhxvVYzGzgKVK&#10;hGmUEZ4KkKqr4H+Bdz4Dn07V7/SNW8QPqV/J/aUOtWcN5bSo8E3lTWuwIMCMyFRG8TtKANxYAJr6&#10;bpHiDwrZ393Y+H47exurr7LNqim6ubmTbtZoHjfzYfvhflnlchonUgSKkg3jQw8Zc/Po43s27N2V&#10;tHbfyj0t2JjHlic1e+D7BZ/tun+EdIaaG1X93b2oMM7tKGLKZMpvbLAyZYFkwMCtmz1TSrD93LYX&#10;kcc11Jd6reQXs8scFqA7SrsSBhEQ8TOPvKIyqsBhjTY9O+JWo+L4PAWt+G9HaRSqWtrLN9m1B93l&#10;zeY6I6pGCxmjVJE5JZUXcUIW0u7q38Q3WnIl1Zw6fqbSaItzcSXkjyFPKBia1kLKVBB8x+ixEkOw&#10;2NwYhSli4yrNS2VnzJq6UratK9tXo3rdoh6zPm74/mbS/iFqVlLb3aQ/2g8kX2mAwvNE7+YJtrcg&#10;OreYoOMq69jWNJ4nh8R6ppusWmgzaXJDD9nm2ybWcKf3bgA9hlTnPQEd69n/AG4vgFrXhHwjp/xE&#10;10R2ci6gNPmsLiV0vZkKmXzmj2AoY3LRSb5GcPtABC7q+afD6+H9KWT+zbxfOEgkjIXkHpgkkn8O&#10;lfsWT1q1TKKUq1OVOTivdlutLa9fO/VH7DlGIeIyyjU62Sd073Wj++1z7E+EHirw5qekWll4/W41&#10;RtPidHms13XUMLhg8iuzKNqiNSy5DMNoBABB1tT8XaMNem02w17X5NJt2SO21ayutiyW8TbsN9oh&#10;AderBX2n5hHuY7SNf/gnP4P8DfFjSta0LxhoFpcfaFjkt7mWGN2t3jRwSBKjxsG8w5DKQOGwCFI9&#10;Z+NX7EPiPwP4fm+Jdjrdx4y0vT4JJbp9Ms0t2g/dh2NzFG+6CIfMw2blVTlyAQtfG5zleaVMRUxU&#10;U3TVtVZqKtrdO91u2rWtZ3R8nxdhMZLHKs9YuKtbdJaO69W31PB/EMthbaz/AGbBFfTXWrRxSaa2&#10;qXgt/wDR1k2+fmPy+NmWO4kZDncDs3TaDqGmWFjN5Oh/2jDZzNdGaymeYKR80TKJDIhZiSxUKANh&#10;ClWOKd4T8PaPYxTTXeqSxXH2wuun6bBHezTNsIdUcoZYlAUriJlWVWcEMWEYg1jR/EnivWJtau7K&#10;/wBNt723Wa61BdrkFAz+UY4ojMGLSAeWsRLKWUOAAD8hGOFcY+yl7132te+z966a+JJatNOzaaPj&#10;99VuJceHvAEsl14jt2m+12+mxXgS01eWJZJlxJ5M0hhxLKpPzRB/NkYAqW4J4f4i6ndSavJp+reH&#10;JJL7y1u3ufsJVrOOMpMj5aQ42KkTbiFAYYwdnHXT6frVp4xhn1K/axvNNxJHqF1pJsdQZpJYmltv&#10;Jk2l7eRyCsxxMDHMrLg5rMXwpa+LtDXSvG3gJbePS5Ela4h1yN47os4BWZUicx8yAsFfJIOJ1YCR&#10;/SlHCYapyzq2tZ6tqV72Vv5ndW5b81k76tsdn3PBPitrV34h0WXxFaafdJb3G82a2tvM6lQfmVW2&#10;kYXlSSeMck4weR8HfEu6v74alfytbaTaw5+2GJ1QPGoVf9WrfMDIABwCWXJGcD6Y0n4DeBrOwvtB&#10;1tdW0rT13M99Zw5sHt/OIA+yrI5nZpCFDqrqrqXYpGvljhP+GYvBGteFbLTLrwVdWfmqzM1veNG2&#10;+ObaGMKtLCkj4Zij4BV1KqA67fao5tleEwrjK8ld2cUrqLa1abTSSaba3102uoxitx/we1/QNavb&#10;eK8S4eC+lH2JLiQA3K4wSAM+/I5G7qc8974H1zwDoSa1pmleG7iGPRtYZIrWa4k3Sv8AuwwRZADw&#10;GDNyGx0DndUHgP4YT/DDw+2m3Xgy4utImuYYl1v7QbeaXy2AiTAMiwl0lUrgKHZSTv2tsq2Fk3i6&#10;Szs9M8YSLdWdirX1jou0/vAfNdJRIpG0sjOT+7YF9uQAAfCxUsBHET9o7Rkk1e+tm0mkrra1tfWN&#10;7pEYyjqdhJZSeIrSS8tbDWNHuoNQa2vkvbdi9ntTYctNGoyhCKVIU/xHHG7F0zw94ku9TJvYJorO&#10;H7Rb3kWqW62ki4cEKPLjIlVs4WUAnCEglXJXCtdO1OeB7jS/Ea3ljb7oPst0wnPMwdyVj2Ex4ljT&#10;azvJuEhMmEG7d0y+0HxLoc3h+S1uJNHeJIftEd20W9lZTxgLkZ25Kuc7sHAOD8/UlHD1vfi3Fu7s&#10;mrLu+aN272jZOKu2k3s6jKpLcqX/AII+IPhHUceIdDhs4dTjN3ar5sswlCMgzmYqZM+Z/rAoGSMn&#10;PzVk6lHp2vaUtheQTNp7WwWT7FeTW7LIkYG/eJCWYrlmIfaccHAwNfVbqzs7K6jtvip4oVbee1aF&#10;1kgvFbHDLc/uvMdxHiFQH+QPu+9v8xNM8DaFfCHUTrt0t5bw3UTNY6bIuzYzFtu2dsjMI24RwwII&#10;5AWlUwsK2IcaTsrrd2aklotUndu1rPbdbFSvzcrJY7C00Dw1HDH4hub+1uIwLkXDhw21jg/ukjCq&#10;OPvM7NtBLDGap3HiK101bieOOWS1t2U3Ek2of6luclssyqu1gOFJIUAban0SzEOm/b/EGk6rNJNJ&#10;LBY29heNLHaAlGVnRnA+c4yAu+Mrk54UPl1Hw1o89xY/brWxWzVfL0/U91tNNu2iRQgZkLAvyxK5&#10;zuwu4LXn1qmKlBtR1krO/KtWru+lovz0fN71t2adLrYkn8X+CFncTeJrMNuO4NeYIOe48viiux8P&#10;/tJfErSNBsdJstL8ErDa2ccMKzeB9OuHCqgADSm3zIcDlzyx570UR9tyq7n+H+Rpaj3/AA/4J5vr&#10;+ja34muFtdS1HwvJpepyRrJq8tjBd6gIFmdY12+WXQlTIdhAd1ODujQkXLHwr4K+F0t7ffD3xz4Z&#10;jvoTNHefbtSjt72IMCvkmzIDyTEE8BVVtjbgMk1FZ+IvGek6FcaJP438T6bfLGt1q2l3EyWkwaTE&#10;hHk3MKMWjAjiRgJHTyyQCFIpt54CuvjH4kh0BtN1i9XTbe3u777Tp7WV1JPte32PPOC85dWZg/yH&#10;JJULtAX6aODnTiqtRN3d09bwv1VnK9u1u+rscPK73Kui2XhrxVr93FF4x0+41TX5oo1tbWZoGeRF&#10;VI43AKkRsWAUBmjzHwB8ldxN8LdLs7eaa91vRbbVNPmR7prrVE8lLrDOBtidFEYyVPnhckFioAVn&#10;8w8OaX4Q0zw82k2Wq/ZbSO+n8v8AsbRbRXmjmRVgV1jEpwWYA7Mxt+83EyEuvc6rpXimfwFrHifx&#10;Fbafqc1npIEi2vhCG0upYxJsaeaUgvEQsUhDht28k7CANjw8qLm4wrSk1tKSlo1F9Xo9Vra+raa6&#10;gtrlzQ9D8Q3Rbxv8P5r3XreCSOOO607VlMcj703KAsccU3zA5VpJGdJQBk7geO1OTxb4x1C4vfCz&#10;reWtrDJamCa4+y3FrIXdSsL4WNN28Oyb1ypzk5bG94a8D+Fl8u4utQhGi3mmNMviGTWmihtiYwHj&#10;mt33M8bHMbF2OA4jUsrR7cr4I31rpnj/AFLRUsdP0vR5os31vHcHUDrE6yOInWRVKxL+9TOGUnMp&#10;GM4RU6NPGwTc+Zpvld7Jvu17v6rt2J5VUlYh1qD4geCPDMLeG9Z8Qro95LcPqdrYan8plaJHZEb7&#10;ssqmPcJY1LyKCjE7mAm1Lx34vvtW0+0+C2qWOnx6fJv1Kx8RWMvl7QjW9wshKLO0bgsSwQSRht0Y&#10;jEiA9TB8TPDmv21zocniDQbq60u18vwzqFpo/l273qsGEcjK5ng2fKm+4MiBXUjPRua074o+K9Ai&#10;vtLs9T019eku8XOn2+uzwvfw4YmfYiK7Iu75ZMHespIJxiu+pjMZFxh7GMtNZ3TUVpZ8qSk099/R&#10;3slV+VkWiweNNd1tbe3uryLULS6aPw/Nc3UtlHcXzKXmjR5VVnEjNK6ymVFYBnbiRtu/8RdM1MWC&#10;zP4X0XxLJp1iYvsul6jcSJZR4VSDFJHGygSKWyp2uy/vBtO2tr4i6J4x0aLSoJ9L0aTTdQEZ01hp&#10;J+0yW5jIWaSUPveVEaNX3nYCsrbsxo4xfC/w7+Ihtv7T0iW0hulV5pFt7Wxlt7ncrLEDFb3MEks2&#10;IHb5Hk3BiSM5LrEVMRhansFBLmVk481l1395p6XtZ9NlqEt+WxNAx8YeGdM8R3Vppej2cccVzaxx&#10;2VjYzOwj2Rokgi+4JgfkVoyXyW3bS9M0HWr3WvifefDWD4aRRx211dyf2xfao8/7yAr5krF8RI0x&#10;dy28eW3Cr8wJrb+G3gsy+OrPXdSv10dJrqaAw+H9Qt7eaVN7sHwQVKIZCjRgooDMBsyyU/x14d1+&#10;HWPFOi/Cf4pQ6NfJHiC4XRbBQ9xG5cJNbmNym99x7NMNp3NG6AedhlGnRkqrnyTkkp2basrp7O1n&#10;tJprRaXsTGPNr3OeX4aazZ2Vt4b1bxdr1uutW91JG0M1s9vdW0cyw+ZDcrNHHIDgSPkOobduO4hq&#10;+e/jJ+yzY/E3xbZ2/wASvi7q+p3FpZ+RCLVkjjSHzXZYwG8zAyWY4Od0jHqcn6ig8c/EIeF49Dut&#10;J8N3tm5S9bUNDsJ47XaQ5VAm9BtXIYDcVDMSN5BeTyn4hw2F947kvPD2txaha2tuireWsKRwsoJK&#10;FArvjKlSwZiwcuG5FfT8N4ieDzSLwz1UZXkrX1381e6vbrY+i4WwVHHZzGnOClFJt/16s+Rv2tf2&#10;Yvhf8C/h/HeaJe315fXF1EIZryZSUG4ZGECjp6gmvnyC7kRcRfKNvJxX11+28tj4x8Batd3N/Gr6&#10;LpcV3bq8JYzOb+ztyqkcIds7Nk8YUjqRXyDkGPZnlmUV+9cN4uticK5zk27219E7HpcRUcPRzB0q&#10;UUlFLZaG54dvJXn+d92AMZ9a6csZUwRXIaLIY2DIO/zV0DX1zCgkEg+6DtI4r7KjL3NT5ma94r6v&#10;ZtKPk+8Oc+2M165+xNrgi+LGnteS+YZLEPtY9FZun/jleX+es54IHXcPw6V6B+z1paaNovhvx1bW&#10;zLcXeualp0s4bIKwR2jxKR25lmI9cH+7x4vE1ZUcplFv49P1/Q9jh+UY5rS5u/6H6XeBPh/8IvhT&#10;fTfGTwRf2/h7VPExhXxAYrNHXU5Y3ykSrkbXZJZzkbgzKpYYUuux4Il0zRviXp+naT49+2XWsWck&#10;CWN0IbO8urWdJBLKy+ZKrpG7rmHnzDGwaLdG71wfw88a+I9E/Z0v/GEenNcX2lyrdWsG5fMKLkSF&#10;AwYbwm/AdWU5wUcEqcv9kDxj4Z+KHxWsNO1rwRq1nFFdSXNjZeK9KgjuNOvkEU4eF41QxYaGXKqq&#10;g+ZMdihsV/OlfAVsdncI1XOTc4RvHmbim0k7p6R0s1bZXeiaO7jjA06PEEJUo2jVjCSt3+Fv5uLb&#10;9bjf+ChPiO68KftK30ujW9qG1LwvbSfv4QxUC4uVXocA7VXoSOa8d8N+MtX1Pwo14TDI0115l9Gy&#10;4V3CLHu68HZGo49M9c59T/4Kk2Oq+HvF3hrx1dWaoskU1jdSBR6h4wD3XImIxxz74rwT4Za/pKtN&#10;ZXtzstZLpXLdcIep/ImvveIq2Kw+ZVYqTSvdLyaP7K8KY5VmHCODbhFyUXCTfeLaT+5L5WP1c+GX&#10;xpu9B/4JzW/xfNyi61/Zcmh6fIsxaRLhWMEc5JJJfytsxBxnnkAg184+GvjJ4z8I+GtHk06Oxjvd&#10;BjYWtzEsnmRg/dyS5yeTknkkk152/wC1r4d8O/sj6T8FdP1a31K+g8eX1wsaTMrwwrZwR28ksZTo&#10;RvxzhisgzlOdT4F/tB/CjQvDsNl4s+Htr4i1G31z7ddyXGoNGt7D5IC2xXY2Asg8zPIP3WVh08PN&#10;MyxmKlQvPl5YRTer1vvom1pa/ofUcGcI5RkVLMJU8P7V1cTUkopxXuWso+9JJpPnS7c3a7NfT/i1&#10;rnjf9ofw/dXVtcyXX/CXWFxcWujgNLcxxus/SR1XgorHJAAGR0xXJf8ABS3xLpMvxZ8KfEfwxZ6h&#10;aCb+0dE1D7ZD/qjBMCkbdULDzJeRuBwQCdpr0r9lbR/DnxG/bF0PXfAenS6Xa+GfDZuNVhnjN0Zb&#10;oRNbEBnlClpPNMgIEarsKhTs8x+d/wCCongMXeleKvFklpeQNp2saUtlYw3SSxSOokWW4wrMQNl5&#10;KGzgkwhvu4J+wyHC4qtwzXqSldyd0/8ACk9Ho97o/J/EDOMvwfizl9GlT5YU4KMoPo6kpK0ldrRc&#10;stG1s0eH+H/GPjbxdqGnwXPiSWSSFGhgZoY2Ea8Z4IwRjrnriv0G/ZA/aSv/AAd/wTv8U3WueIGG&#10;reAIbjSNLvrciSULKiCwlKvwFV51jGQQFt+jYOfy18AeI9Ysp/KsZDuaNvLz345X6kV6N4K/aKuv&#10;A/wT8c/Da51JluvE97pJWGMEZjt5JZCx7ZB8tfU8Zr53A5hjKeMblUbXJNatvXlbX4pH6ZxVwzkm&#10;cZHRp+wSar0ZOyS91VIxn019yU2e4XvxF8TW3gpNOfVC9vJCkS2/kouXQKsbkqA24KACc845J4xu&#10;fsXeHbP4t/GPUNN8V6Ba65dah4X1yGxt761t9jahcbY7abDxmNXWRwVJXahywXNeJ/AD9o/4l6JN&#10;Hofh3TdMuXj1i01IHUrVp1jktluPLVVLbORK4OQWyAVKsua9y/Yi+JHijxl8Tm8UahOu/wAL+H9P&#10;0bS7i3eRkVI5JXKkszZYHYxAwACuAqkCuPJcLUxeZU6E6jd3qtbWs+t+2ux1eJmMw9HgfMJLDxjC&#10;cHFTTSk3NxT93l7uz11V2eK/GTxl8OfEvhGO+8EGS1/tBkWaxvMI9s8UflrmJPliyd0xxyxlZi0h&#10;O4/OHgjxPqtl8SL7S5UaGa8t1Efl52gGRY25ycnLKcg4OCfp9Z+PfgdpeifEDxJ4ekn+2adZ3TS6&#10;VDNNNN9jt3B2xFpmZt+4yOzAgEyEjgivlWb4XL4a+L+o+L9NuI47Gyube1e3aQs5eZZ5lYZPIH2R&#10;s+7LX1uVVqGHwkcK1Zw92/ne33t/ifw7hsFUwuX0qsrJNber0+/c9b8EJ9qtWDy4+bc3I4Fa96YI&#10;IJFkfOR8gz/9auR0XVJdORfszf8ALNQ2O/8Ak1qzeIWuIczsPbmvoo1Pdsc1SlJyuYeuXsunynVI&#10;c/6OyO67jho84YfqD+FecfEXXrnRNdfTTds9uzOkbMowd2CJCew2x46c7+2K77xBeW15KYU+7NDJ&#10;Gy7upxkfqK8/1jwXqvxPvdDsbW2ll+13UWm3EiLu8uQSqEzxjlemeuDUufKrsfsXJpHr37JfiJNQ&#10;tbPVbO6tZL+E3K2VjeyPCoPloVLMwVJBslm4DlgyMdqjBO1+2H8P/iha/DmHxV8QbTT7e3MjGNYf&#10;NSePeuBnf0Bzgx8HOOmCK0/Av7MOneDviL4X+Gmh2kn2rUfGMN7aSaxdQw3At45fOaSWQgIrrDFk&#10;7Q33MAOeD9P/APBUv4I6t4V/4J+65f3HhmNb7SW04xrp9qkUdvEb6CN3x50pdVVslgwADZYjBAeF&#10;qUcdgasrPS6V+uh5Vb22TcY5fLn1c6bdt43mlr6/5nmX/BL63v8ASP2XPF14+5Z1uJ5bWYv9yOOw&#10;jPHphwxx65Ncn+2xPdab8LfBuo3kYkX+2rhJdw3KwkSEqx9eAePqPevQ/wDgnbG/h79jfWr7Whkm&#10;x1Ry0jdVdZlj/DBT8K4v9tV77/hQHhAW9tJNcQ6vbvtj+8pZJSv042j6mlVjy5Mo9op/kzpwNaWK&#10;8ap1ejr1I38tYX+a/FnitjcX0Fv5uqsLKZdORNJsVnwrI+ZBzglo9vmOh/hbaD0xXY/s9+MG8Z/t&#10;IeDdG0vR9qeHVvtT1O8tQN8UccUqoTkYSJri4QYXnMxyTldnr/7FH/BLfxf+1LY6b8T/AIkfFrQ/&#10;DWkpbtdXWmteL/a4sngkSK6W1KfuIpGSdQ0rLvNtJIodCpb3bxtof7K/wL061+FHwY8N6Jb3lrJb&#10;xeIbqO1WG8nO2V0FzM0zyXbBAW8yMeXH9qjBIEkYPl5fh69bMoydlBW9b323sum5+ncWcWcP4Dh2&#10;WBXPPE1OdNJpQjGyV3peTd3ZRfTW1tfif/goc1np3xX0XxJ5jx3DaX5c5kYBNgO9Me5Mkn5e1eHy&#10;+OdFiupCmtWi+dH95rlAA46Dr9R+H5/odJ4y+Ddt4/U6Bplrda1axSTzanfS7phEYjAyIxP7uLbN&#10;IHVRhg4JB2rjxz4lfshfA/xpot547+CGj3mlTWc32u40W3vJI7Oe28xlvHt16QywF42ePcsSwbnG&#10;wIA/NxHgcNHMpuM7vS/ZOy2fX7kfV+FniBiKOQ4fA1qPKldRk3q7ybV1pbR2Wr26HztZeP8ATrvw&#10;Jf6AVkkkvNWtbiLyZv3cMSRTA8j5T5juo4OR5PIGRVrw18WLXwj4X8QeGZNLs7v+2bZIpriaNvNt&#10;9pJGx1IIGfmK52syJuDKpVu+/Z+/Y88W/tA3Mei+ErOSzsrhZE0Bri7SzjnuiJNoiZ0Pn58t0Y/d&#10;RzHvePqdD4g/8EW/2+LKxhl8OfC24kubif5LG68WWKybEDFzuFyYiSvzBd5YBW+QgMU+cp4etXnF&#10;0n5Lv2/HU/W8ZxLkeSqrh8bKPNKTnP30kndSWt1ayUb3aSe58/8Axw+Mei+MtBuFh8BWen3by2e6&#10;8hZc+XBZpCUVFRVUO6vKx6ksASduT+of/BNrwzdWXwg8M+BbxTa3F94TtvtMSwHeLjYkqJsxu3l0&#10;SM8dTX5eePf2Iv20fDXjI+EvEH7LXxEvLWG9t47ybS/Ct1NC8G8CXZcRqYWJUHkPgEjnHNfrB8Ir&#10;P4o6zo+k65ZeCb7wzLHbyXDabdGJrj91ks7BWJIAA9wzKn33VT93kGV4rDxq1sQnd6bNeb3SR/Ov&#10;ilxVlOaRw2Ey6aaTcn7ylqrRWqcuiOK+Pnws+H3hb9ozxF4m1b4L+FbmZVs9VhF5JNcXht7i2k86&#10;/S2QxYU3VvJkiU7XWSQg7lRfAvHB+KGnw3Gt6rFY2ehzaqiSX2mxn7Pp7OAzwyM0ig3SqFmYGVhI&#10;xUyNuVmH0t/wUl+IFtrHiPwhd6bZ6hazan4NtLi11PTXeGMzC+vEuIowLuPzDHjasexgySDdIg6/&#10;OOna78H21ibTfE2keJRp8l0hh0nVPDsGpWss5mRvOW2lfaX8lSBIVRwiNHsKFHH4PxdKnRzurSlD&#10;RSk1tZO6v9qO6aSV01e99bH4fiL+0ab31v6mpo3iZpLmz0q3lvG8oNcaaNIVry1nU8pcz2bCWIu3&#10;K/upMHezAHaXqRfHmvP4A03xvp5v9ItrGS6mtZFZVlIZY0kdZmZnnTO0dPl8p+pXcOT0LSPEel+J&#10;YtJ8KfDK++weIGms9Pj0u1+xTPG8DRrNchJz9jeBk3HedpiYBtyFJF9B+wXXw10iRX8S2/hNvDd1&#10;bW2qQ3WpNq1tfQlfOw0ax3CxjyJcFkWPeZowSxJLeDh6lenRXtqdS7s5OMYxWlrJt21SV9JPRau7&#10;sso27EHwr0b4q+K7/S7T4keEVstJ1OE3H/CY3CfbYYLGN3P2gEENCDJGyqJDmV5l2upIL/Qtp8Sf&#10;gT8ONKm0z4CPtuLgk3+rSTSSXDSEMCybiVhJVyuUAYqkYZmKKw+YNS+KOoR+HLvwqhW3XXNcLx+V&#10;eSODshKiMI5xColMnyJgEglhlRVjwPq+myXF1/YjvdBlEOnx2cLO93JjcNqgEsW5xx0Ar9s4DyPK&#10;K2U0syo0eWdRO19ZWvbXfV2v36M6cPKNJKVt+5xP7cPxPsPEOv29nrM8y2dvaSR2ywjKq2VBLKOv&#10;AA6dvSvl/TrXQ59YTy9VVlZs+XHCcj2O0HH6V758ffDdzq0s9trNpNZ6nZsfOsr6FoZgHVXGUYA/&#10;dKt9GB7iuI+FPw5X7eurX1pGI42yu7o//wBb1r7bFZJh8RVUqiaf9eR7eC4ixmBw/s6dmvPp+J9l&#10;/sD2Og+FPC1va6No1xbyXO2S8vL6b95MxAOAoOFUdAPmLbQxYZKD6hn+KFz4FulvNJ1aLRmddr3l&#10;qu67uMHcdzk9O59e+c18VfDv4oNoCwyNqSlWwevzDPQn64Nd14o+L9lr1jFbQ3nnTSFYmbPT5gNv&#10;POe/+NTHAxopQpxsjmqZnUxMnUrSvL+tEfQfxB+GfwE/a80aHTbfTEtvFNrJ9qhktZVtYtRITDR7&#10;QpS3cpuYGNVUsWZwTkr8peIvD6av4xsfDGlfFnVtNt2tYbi4t/Gml/Z9TbDPG0U7+WhQqCCpmVWB&#10;UK+VWNWvWnxb8R/Dbx34j1ixv7iNdDtfM8y35dGYpEGHcnc6/iOetdJ+2R4w8L+K5fBv7Qd3o9/c&#10;X3jDQjEbHzhNaw+TEjuEG5fLZdwdQD85WUgjDlvzHxAyFYbA/XsLBaNc6Ub3Te6Vt+j7pvZ6nDX5&#10;a0XJK0l+K/z/ADPPNB0vW7+81i+v4Lezg1CSCzj1CaS4jvbMqvmpkNJI7mQGI7mR0U7gVQPtNDWd&#10;BupPiHHqtj4xs7XR7C6EHlnwusNz9phUHzGuYtkbSKXDmWPezDZlThCnm/jvwz8fb/wdD8TP2dfi&#10;Za6vo15HcWkfg9b91mghBllk3xmVvNiYYm3DKjc25oWwDN8PvFnxw/4V1J4P+J/w68QXE9w3k/Zr&#10;eEyXLwql1PPgsjMhi2BoiQ0hEhRHILIn51TwFarl3tKdZJVUnZ8iadlol7rTd/Jre7drccVzxt3P&#10;Zrzw6k/h61Oj2+rXV8L1bdo4LgMb1GPyiOMKC2wrGoZhg4KjlDXO/EPWnmu7KDxHptpDDawrDKtj&#10;dv8ANNGoSRCAzM7llJO7AXeFAIGTm6a/xK/4Rm9+Hlmmr3Ed3dQDUNU0/VmhtXgjADK+5xsTf8m2&#10;aJRuO/H+rJztctvG/itZIfD/AIs09tNi1T7RdRa1I81vYXDhyzWwjiLzyBVhbciIM7UaRygz41TB&#10;0VGEPbqMnFJvTVpuzi4qy1d21J3uk07XCXw2LOoP4O1lv7VWwm0rV1vPs2oabf3RuIhIS0exm83y&#10;4nBRiEIcNt+QFSSsNxo2gy+IEvfF+lQ3ErQCPyb3S47qQQM2WlzF5rQ4eHAbAc4G3IDhd7xJf6X4&#10;/wDCFp418feKW1a11NoLe509llvZXjePEk8UMnnOFi8xQ29iqFkCspxjk/COm/Djxn4J1qxa18Sf&#10;Zr7bZR6wum/a7uJXmI3QqVzlogMHCqGHXcaMVhcY8TTcKUnGTfvcs9Fu/eVmrq1+aLitlJq9tla1&#10;tO/n+BJe2vhqe4n0zQkuPt4b/ibXIsEGId4AQOVZi0hSJWYKq7gu455rH8Wah4osvEEP9katoEdn&#10;FYwmyjur+aFbUK7sYnEp3OZCrbSAFZkcALgY6RvhFruhQ6bZ3+nXdxo03njT5ZtYtxJN5A3OQjsi&#10;yE4CsAWxsbptCHzvxP8ADy/+IF+ng74keCr620vULiG3W6Cqs1qvGJ28tTuXcsbqAXBVuFYcCKMY&#10;05QlXilDRe8kpcvNpe/LZW8/nbQqnF8qOvvvEj+KtLXxJpuuw6lNqCxxTGQi7hXbDExLAsZH+dUY&#10;KSgG9hwWCnO1rwbFrGvprWlXF5bX0Kqjf2feIY2QHgFZNm5uRujABVcEngsOI8PDwJ4K+Imk+EvD&#10;HiTVJobN/sZtzHIttAxG2ZWK5WTPO5ZRH/qyVz8gXs7y80DRNI/4ST7F4juZmdra4Gk6Kt5smLIZ&#10;N8gkjESIDEil0AxKikqWBN1MDUjiHGE3teLbSV7NNSWzSsru2qvq7JsUeb4jcv8ATdX1DybRDNPc&#10;Q2W9YUV4MIoJSXYSQItrA5B+bqMkjFG30zW717ZfG66brf2iLP8AZWxbiK2iUbS212coyvkbQwIZ&#10;stu8xiMrVPE0fjGyk8Y6Zq+pWuhraxteR3FqfOmSICNodscUbCTfC4CohZDIcsuQVzPBXiK9spV0&#10;OCe1m0u8muLb+17+xFwbcDGYjHMJD5q9SQBjPOBv3cjwVaNSfJK+rvKN2rdVFyjG1m7OKfd68oab&#10;vY7yew8J3c73U1z4djaRi7R3F9crIpJzhla3JDeoJJB60VvWnir4WraRL/wuC8t8Rr+4/wCEXnfy&#10;+Pu7lk2nHTI4PaisllfEVtMZL/wKP+Z08+H7L8Tkta/ag8KfDDxFJ4n06GFWVop2ijW4It7aSISI&#10;csAlvCfNdW2/MGVsocsBu+EPinr/AO0x4otvHcFtqFvDZWoksbuzNxdW9yi7VkgXdkGQhgVRULts&#10;AQc4bkNMj+FPxxnXxDr16ui6Lq0Vxc3ml/D/AEWNP7duz5sUCXDoksZQmOUglt2dm1g2duz40uNX&#10;8EWU2v8AgzQLv4b3Xh+4hutHguZILjy7Zz5SNNDuYwMsjqnliN3Xaw2fMlfVLB4epTiqdWTle8ot&#10;21TunotLWuldJ79Tzl8N2zpvD/jDVvBvjO68VfDX4o213aa5G1tc+F13Q3X2vylkRQDEke9k8w5c&#10;IzYVQSV58z+IPgT4zWmsat8QPGfg6z8SWutXlu9j4p1LxFBbvYtGzxz2/lWkpZ98UTRqzBAPKU5f&#10;Ym3uNE+I2s+LvC9rPcfEcahqVham4m1Cy02G0tL24lkmcqkySYilaR3ByNkZDZKAjdo6Ui/Cbwbe&#10;T+EdStbeHUNThvtZ8MeIIZbiSKFoCxC3a7drSqqq0bI4ZMyoSWCnp9t/t2IjFbRSadnG7vry25k0&#10;r772WgXWp43pfjnxxpd3H4F+F+j65bma8+06hdafqitb2dk7MikRK0GxFP7tgGhjO5WIJKoPZ9a8&#10;DeJo/Amkvq+l2N4yaitwzafawPHraLJKZY1WC4naKYZI3OpiZtqghc7MP4g/H/4G3b3WleHb++0y&#10;3t1e1aSa0EscVgwESlAkZMZkMZj8tcspJRAr7CvH+C/j14Xt9atNK8Y/EHS73Sde8yJW0HEq28it&#10;gGRZkNyu5gyhFUMGA3SMHLCP9pqYX2kIwSlFp31vro0rtaroknq7pvQnXZHoXiTw/rHxKuZLjxvq&#10;erxaRpG59CD25eWzjMwVI7i1klMccioyfdQBtuW3gKht6p4W0WDwULrQLrUPEGp3hP8AZmmtHqMM&#10;yRBoY/IMdqzwERsZPmwBgqWbarGvMviJ4o+FPjyyRtE+Dl9oMmjxrbT22tahdWsny26vbGGJnVh5&#10;sKLkIM8YLHndm+HvjJ4Is7Pw74SX4dXWgw/YY7a8169DWy3NzIse6QG4dYYklxLkNIF24+dVQNWG&#10;Hp1KHPJxvpeN04pq+11dKy0TaV9LaMHbt/wT05/Guqa/Ppp8Y6E1hFpX2j7RpfkrbraR3FxEqhku&#10;Jf3h3AEqWbdkks/IGP458afED4a6zovgub4x6t4mt9RbzdI0PQdBkm1OwZ/mh823l2qq4KEFNhyp&#10;dVBXdXVeMdO8A3WpTWeleMNc17wjDpS31rHfarDeW5lW4iVYVV5duFK5Y4jBdQG3jG2p+0DNoHxv&#10;0bSPD+qav4ltNa1H7PL4Ov7OGAXC+U3ziEKJmiDiMksQPmhP3cMF66sMPKLrSXzbd9v7t3r5XvoO&#10;pG1rfj936Gn8J3XxPe6x4bufhvdX8n2pk1CS+8OW9rJZXCN++TdFIkqyMiwbl2gtKjNuUyAVy/ww&#10;8HaisEx1aL+1NatmaCzuNWgazW9aLf5S3b72SfIMu7fEjZZtgdeBY1K2/aC06K8+H2qfEHULfUvE&#10;Vx9q0vUj4WaO8nSMbt32uynEZlKOqu2Iy6q2VTjGXdfFebwNY6X4bT4ea5401HUdTmtdZjt9Qmsf&#10;3m9GjEMlkiHIGwssqSICzKVb5Svl4jH4zBzo4alJdG+ZNuzd1aTSi+t09dbWbTYuZxO08QfB/wCP&#10;HhS88Pqlh8OdNTWLhvtWpabZveWisBkrJEYUSNRIZeFVNzNIyjcPn82NrNY+PfEngvxLBpy3VrfS&#10;W99/Y+5bZLlPll8rIU+X5gbGQOMcDpUviT4ueDrnTvFnhDw9oTQeOLpYriPSoZDMWeBtttumuE2q&#10;+4IdsPzytMI8BsKOF0O/8Qaf8QNUXxJYTWt817K1/a3CuHilLEsrB/myD/e59ea+jyOVb686818U&#10;NFrZa69k72Tva++tnY+54BpxrZhWl/c/VbfccP8AtDfD/W9T+EPxSutL8fLY2+k6XpUl1or2+W1S&#10;E328jfj5RG0SSbeAzbckFVDfFCHeUz/tNk/kK+1/2oJfHyfBPx94w8PpbvorfY7DUX+1SLJE/nRr&#10;u2KhSRSt1tw7AAtvX5kFfE9qWnk5br8v0A5P+fav2HgvERxFPE8k1JRqKNl9lqEG0/vT+Z52cy5s&#10;3ru+zt9ySZoafuQjaf8AaNa0V27JsJ/hrLWbYmeMn9KsWrNkup6c81+hU5cuh48o3Ok0S0M4Ygj7&#10;y16h8D/FN0/wb1T4d3EtjGmh/Eiy1S2h+xr9qljuLW5hlfzQu7y0ZbUbSwUNPkDJrzHwdqVoZdkj&#10;9V+b64zXtn7L2hSeJY/iR8PLPwpJqGoa74Og1TSfKvmjkW4sbpCiRxqR5zt5sY2EN8oY4GCw8vjC&#10;NP8A1edd29yUG32XOrv5K/6lYOt9XxkJPo0/kmr/AIXPo7wl4vv7vwOfBUEsedTIt2a4h8+Mq3GG&#10;j/jU5GV/iGR3r6A/Yz+E3ibw5pCav458NQw3UelxDTbyz1lZEay8w/6PtaJLgNGf3Y8xZGwAS5JL&#10;t8tfAnWpbt/DurLAbnbq1oyw+U0hk/eqdu1SC2emAQT6ivsD9nj4hXXxC8KXPii0+GOi6LcaPqFw&#10;jJHeQWt0Y2mk2h4YMEbDFhWb52YSYCfMtfi2X4WnU4yw0501L4ne2qcU2rP0cunzXX7jjK0swwT/&#10;ALj+5O6/M4r/AIKI6dod58PRf6lZSQ2kV1Bta+zJsPnBck7SR8rEcDv3NfLGkeGtGvLWFdL07T7e&#10;S3hM1xM9uo2oXeMxnfzzK8LKV7ttAwOPW/8AgpdqHifWbd9X1LxXqDWHk2cdtazK8UcshKuBsLEM&#10;doY5yT8pPGK+W/hcttcXl5LHJNcTWdg92ttazMcmJldcgE8bsEjHIz619tnmISzJU+Tdb/Nn7J4b&#10;5bUq8Nzr+1ceSb01/li+67nfeE4fDcvijVo9SEP7tiyq6lRCFbCv8pGTnOB6/Wtrx5oelRtp+qeB&#10;fN0u8WCB7BiwZGuGRlBlRFb5TIoIUKdq7iSMHPP/AAl1TS9a8V6lba19kjkuLGWRryRc7G3ocr6k&#10;cge5qpqNlqelfEK4gtPFGoWdxprLLZOJNrbXhwSMcqWVyMg/dfHSvnVWo0cPKdSN1zNbI/XvqGOx&#10;2YUqGFqOMlTjL4na+jb33uz7R/4Jr3MOhePPGeowNdRrbzWaPdXpFwzMyyPiTGCqZlVC3IDYJOGB&#10;Hp//AAUG+FPxR8a+Ctcvvh14cPiGZ4Vf+y9J2yXBhMLIWQLlZTjOI0JOGCqGwM+Cf8ErviHoGgeP&#10;PFFpr2via7utQdNX+2SfLIGt4MLuHKBQMg46o+MbTnq/28v299L/AGVviHpOk6LdatqWn6lpgFv9&#10;iWJpICpBxvMgDoQwAPHCjG4HI/Q8nxWEo5LGU9INPRbq/wDw5/MvGmFzSt4gVo0vfqxktW203BJP&#10;Xfp+nQ4T4OfsUfG7xLY2suv/AAj1Xwy1u6SRr4ksTp00rytIY3iiuNk1wpWKQFYVcgiPA3MAef8A&#10;2tP2bb39nnxZoHjkzaPqGj6lDay6dq3he6aaCKYzmQLuaNH3FY3KkrhgjoGLwyrH5t4w/wCCj3xU&#10;+IPimPxN/Z1xCEjMJtb6/W4W8iLbl8xGjxnIVsfNgquCpXJ9x0TRvHnj34E+IPjB4ou1vtH1HypG&#10;kuJM3F0yX0cfzn5QXS5UShujNkHh3B+Jxb9tOpPDRvCCcm7a8sdX/X/Dn7BlePz/AA+KwtPMYRjG&#10;tJQUbvWU2kur2dntqk00eI+KLFIdMs72ys447fdLDosLNtd0di7PIR1Kuw4PZ6+gP+CZd/PJ8P7y&#10;ytYpGvLXXJ49SkYAr5yoq9R/DsCde4NeJ+M/BnhfX7K3sjf3MX7xj5koEiDk5C8DZk4yMDBUDAwc&#10;3Phdcr8AEkvLbVtQvNJe+E95p8d5sSdSqq8bIuA25FxznGc4PQ8eX8XZbTxqlOLiraXWr27Jr8z6&#10;bi7w3zrGZBKlhZxqS5k2lKyWr6ycejvqlr6H0n8UbcW1n4i8aTFZUvtVEcE1u2/eqwgADGc/MHA9&#10;eMdRXzx8Z/hhqHgb4Zi71dY5ri81tb6Z2+xmS1mCT2stsGikd2RSsbB87H3g4QkbptL+Oza6NMk0&#10;TxPryzabby7Yp7e3SNLpppGS4j2A4KoybcjcrhmUghGWfxH4f1T4iTPc+INYuLe1njXGl2Zle3Ql&#10;hIZVM0kjb3bLO7FmYs2T6eLmWeUKWZ06nNaCnzyte7d76d99U9G3vofkr8IOOs6lQo4SnCNONm3K&#10;aWzt0v2v5nkDanPE/l27D5RxWle3b2ujGRjukYcV6JcfCD4dRRfLFcoyr95bo7m9znI/ICraeC/B&#10;NvZtDc6SlxGygg3GCy8dARj6+vP4V6FTxAymK/d05v5Jf+3M+vw30cuKZtfWMVQiutnOTXy5Ir8T&#10;w+91iSOOG6j+8kgP4g17T8HvjX4I+G2iN4X0WS63Rx7ry3tZIUjvLrLrgl5BtaaQbS75VViC/IPm&#10;rM8ZzeH9N8Otoui6TbRq+MYjBKfQnJzivMr7wxBfX32mfaxb5lEcKRjOAOigds8dOT6msZcVRzOj&#10;/CcUnor3v+Ct+JriPBWpkWIjGOLjUck+Z8jjy9kvefNfrflt5nsWtftBabpXxkb4teFNCj1ubwnY&#10;xDwfNqGpPHai4kZkuZXt1w0xMTFEJmXZsbKuZI5I/ZNa/aai/aZ+CN58PfiD8WfEGjrrWlXGmXWr&#10;+H/D1nezxxiXLJNbSXFqjRypI6cOzKoGAC28fJcNgy2K2xXCquMVseDYhpcGILlvmkLGNZDhSRjO&#10;M9eOvXFccuIs0pYVwpySV9FrbpvZq/z/ACPQy3wZ4Ur5rDE4tzqSvdyfLdKzsoe67WlZ63vr5W9o&#10;j8fa/wDBr4cSfBf4N6/J4k0W700Wd9qXiLwnHptwoXoY1g1OcZJGSxI+lZPxp+Jt/wDFP4XvoHiL&#10;RLbT76OS3mM9rMfLdowcgR5JQHPA3nG7rxiuYttTmMQ3uT83c9KzPFd+7Wfkq3Lt+g/+viuFcUcQ&#10;VpezlUST00S2+d7H2lPwb8Nctrxx9LCuVaEudSc5JuV73fK4p69GreRb8bftIfEK+s7Hwr4N8X6l&#10;a2di6/ZopLyeSK18hDBbGNGYAGLb50ZIO1yrjBxjK1X4l+PPGPimTxl4z1x9QuvLuEt8NsW3MkJi&#10;VlGCBsG1sYwSD0zxm/2P9rt2ljA3xtn61XijKcMeld0M6zDD3VKfKnrZJb/dueFU8MuDsZCP1zCq&#10;pON7ScpqVm7/AGZLQyri48X6N4lt/GsXiGS4vLU4SNk/dyKRhkdc4dWHUHpwRggGr+v/ALSXjLUr&#10;iPTF8Mx/2fDMJJLWa9mYTAIyGJ2DBihUqpwwJ27uGwRDdxvOzSI3y5/Ks0aeWlYfez6LVfXsVWi3&#10;Um3c7KvBeQUJUvY0Ix5NrX/HXX53seseBv27I9Hii8Ov4kh8P2WhvDarGt19kknRY43RpJi24xhv&#10;lWME4ZVIKrkV7Z8Yv+C6PglLTSE+GkGv39xY6pb399eWEKLukimWUxoGKq0bEbCQ5yhYEt/F8D65&#10;rPgTRfFusaH430Nrq3uLmB1ZbwIBiBOCgQu2Dg8MMe+eNzwL4G8M6+v2jRXhhgdmeG1kyxETHcqg&#10;kBjgHHPPFepHEfVadKut9GtOu58RDw/o57mmJwk5SUPeTs1d30/HX7j7U0X/AILn+D/EYf8AtTXd&#10;OsWXaJo9RY2o3EdF84KG/AkCrmgf8FJLXxp4stNa8Ez295HZ3SXL3Wnxi6FrcLzHK2zOR8jZBByB&#10;6Ag/nx8dv2eNSl0u41G0sbP7H+6MYW3YTbi4yd28gjofu9D7V7b+xhpPg/4T/D3VfD3ijxiukwzW&#10;9qLmG8s0NvOpluN3zpC8hceZ8qgrncck7QF+gxXGeaVssfJZtu1rf5W/r7j8a4x8HcHwNKpjaN3y&#10;JNJ9eaXLb9T7K/av8XeGfHXxJ8NeO7Dwf9m1C68JxasltY3hvLeLbc3SSgxyBcwPIFkaFxIjg7XZ&#10;4zKp8/8AD+r674s1i+g1jw54Xj8PtIRfSL4a0yBdNtXdX3wwACUACFWP2fcw2ckbsnx+f9qr4WeJ&#10;nf4f2finydMuLotZtDZBWt5GXcXLvJEzKEUYZ3KEOo2q3zH1TR/Enw/Xwrr8lpLa/bGUvo91NdCS&#10;28oTKDLIYHnS1Z2diI45GQMx+UZy34bxbk/EGMzCpjm5RjUfM4uT5U+WyakkmtNdt77WPyTFYXER&#10;nztNLfT8v6Rsa18Gp18UNqWleKoWtdHuPJks47OwvrfTpFlkXy4oJUMM6kkyEOFI+7uVkLVV8P8A&#10;w20H4reKLGw8GfEnwtJpc9hG90l5o0+nhJPNERHkrCWbLBCJVCxFi3CYDHsPg9beEPGF5oOpeEvH&#10;tjot5feXM1tb6lbx6jtuGMBl3CY+bI7PNHuiSQMXIHzA7eK1b4LfCLWvHupXh8beIrHUL69juLrR&#10;76/kvJtUu4d0kcV0jErLtDyZlK74SWkVkUCIeHhcBT9mvrEU6UpRVKLvFpqKV5SU5avR9GrXUXLU&#10;5Jwjy7dV1/r5nmXx+8W+Hvg9qEeo6R4faW28O2eUsWuEcyOqTqrh43lUg7lZSrOpUDBPFdZ+xp8W&#10;dL8A6Cs3iILC19oFnb4kzgho1kdWB4OQ0ecjBxXz3+05rltEt5oUcsjWqollCznrCqlBzyDx6dcZ&#10;q/8ACPxvd694D0/xDd6m99dXVijXU7/890wj5994fPHYdsY/q3Iqf9lYWlhYP+HGK+aSTd99T2am&#10;DX1WLa6H3Gvxx+C/i/WPtWraToN1dLtaSRrGDcSokCnO3O4CWXv0kb1Na178cfhDa6fd6dqsi3Ed&#10;5Y3FpIs2pTsRBOymRE/efJkqpBGCCAc/KMfFvg7Ug13I91wsn3mPY8nP9K6DUr9LWxW8tVV8nC59&#10;a+pWYYrl+I8iVOKlax9YeJf2i/2cviVNDH4q8H6RetdEp58mll5EZ5WZmVyTsyxYsxB3buTXxbq3&#10;jfWvDej3lytyWls4rm7VXboyRswBP4CtvRNf+0OsUUSoxkyy9vrXFePI4dcfUNGFzHa/2haXViJs&#10;fKjSRNGHPtlgTXHisXVrWUnsFOnE77SL3zdC1Ce21CRrfy4I1/e5Vt5EysfUbY1HtgHrmvop0tPE&#10;P7AdlqGrSQyHwvNBeWsN5bpJFJKZpLRY3Dq21dl1Jkr83p3B+Df2aviBd6p8IIbWC8882t5Hbibj&#10;EojjZC6k/fBJbkjv2xivvr9lhI/G/wAAde+FQRrqaXwfdT2dnHdJH++iLOqb5DtQlhn5sABskBeR&#10;83n1P65ktenG6bhKzWrT5XZrzT2N4U5QlyvrdfefOul/G/wh441GyvVtNVn8TaPIonsbeZYv7X+d&#10;UEEYihm3rGA+doMrRKFUARotddpPjPwl4wuoPCsX/CQafrmsSxyrZz3kVvFJC4Rp3uyN+8hEjdAN&#10;7s8ABwCqt5vq9n4d17T9U8MeLPgh4guP7F1iOLUotQs5LqawaRiq72jEkpgmRAwIAVwuVDblJ7D4&#10;u2+n/F3wLcapb/EiS38mOe7udN07wjYaVIU8yRBmO1mb7RuUPgk52wsMhUBP8yZhhXUpKUqM4tKS&#10;k2pO/MlBpOMm5JKzTs9NfdaZyvzWvobWn6BolzdX3iv4Z6JeQW1vcRvcXB1ITwlsFGdVZFQ5ZfLD&#10;RxsRvVmcEpsq+IPGnirQ9Ch0618J6hq19qUUEV/pcelPOssTSjHmLueR5FnUnhQAqA4ySi+Px/Gn&#10;4ZeLrbTtF8K69uma/Iha48PCG/kk+zGOP/SmSN5CskXmOjth/MJBDhZK9O8HaDr+taDDr0HirQZJ&#10;ri8ezubGztmmu4b6AxJIixlm80yLJHN5fLIJWILbBt3nk/s5Oom7Ukm9JJp6O6ioqVmv5b3acVo7&#10;GkY8sdES/EjTfBUdpJpOneA7mz0a4muN02oWkMnkrMp3tHImMRySSumWZss0Yk2/KoytK+DfgfSv&#10;DOoeIvCtxq2g61byRX1lcQa4RbeXHIruhiYupXd8xYlYzGWXcjYVmaZ43n8PeI9Q0T4gXsmgaDY2&#10;Jub66vtNW0+1Wn2YRJc24licBj5lvNExG6MlfmEgFVoPjH8OLG81PRvDmk6pNpeiW8kVlpd/Cbtp&#10;JWlkYzBVUtjLAEMHCqquCQ3zdSjm1BfXFUs7pOOq3sk0r3irX92TkubZu4TlK97+R6R42guNWn07&#10;4dab40k05tPhVdQt2nk1BBeTHEr25M21mLs8gRPLBaRCzZLE5uu/2vof9oNcXV1p+h2/mCa102O7&#10;kvGhVGXbMxQpJ+9aIh/mBAJBTcCOB8OfFf4U+EPCEmq6VFJ4Wmi1CSPUJ7XT2u1uLgny9pEzKsbe&#10;WkcazBMbZI9xPC13etfGPU59OtY9E8KaheS30MMunal4s00T3V8ZZFlWMxpnMex3XzLUwuoXPmAb&#10;0fgxmHo8sa9VxjzS2lFN25WrXgnd2eqtbVvdpqoyk43Kuo+ANRbwbbyeIdN1Cz03zpdP8yCG5YG4&#10;RysQLnCopQAABRu3R7GHy54a9mvtLi1E2v8AaEwhjtPtGmWcqWl3PMysJEFqcqA+Q67FUssqvhkw&#10;47b4g/FP4xXfwuj8Larpun+HdN1IK+oQR69HaTassBAaCSwCKxyMOpkxHxgZyzHA8OaPbanpGm6r&#10;qt74a0uxSNYpdcuNXgjaaNRNtiis/uTZDoUOEKiEKDyyPzYHJ6eIozhJuU3aSg7JXT1Sbu1eKS97&#10;SVtdbtW3+8stP6/ryMXxbbfD6HwhY6H4t+Hi/YdSmg1LT7rUPDtnZzeTuBziKIMFy3+qbKOyjcGG&#10;XNLxEvwQTQ7G0u9K8O3Fh9pL29xZXMbBVZsrJKgHmKcNxIybiDgHHloLvjq4u/Htrp7/AA7udMjm&#10;0mbdcTrJdGUxAuyiHMj20Q/djCIUDY5fDHOR8Pvh5oXwxtLrxBoLXa2NmqGGHWZQt0ZhkSqAoGQ2&#10;DkszIByofHy9tWtg6mHlerP2nM+WEpW97+RytaNrX2u9bOzacONSFS2/Ykm8O/CS+la90r4dfE64&#10;tZmL21xpup3kdtLGeVaJTbkrGRgqCSQMDJororD4x+Jr2xhvba3s5Y5oVeOS1+In7t1IyCn/ABME&#10;+U9vlXj+EdAV9JGGN5VfDy+6P/yD/Nm/LL+Vfgeh+FPiJ8Mvjl4q/tLTJF0m21bTZZktfD9mk/l5&#10;DS/vgUkUuVBbhS2fl6vg4Ojan8UPFNpqPiLwP4gZWgktbDRZL1IF+02IaWTJEUQEYTqUMQKnA/hD&#10;Hj7bwTH4G8d6x4k+EfiTS9L8R6pHv/tTXNVWS31O380AJIswkjJNu/ljEbE7kPG4MOt0yy1bQdbv&#10;/FN/8NkjvbzTLF9Sk0/SrUWFneohVreJ4BtZo/McnIDFSWBA5bzKro06ixOtldSerk7JrSz0tr07&#10;6JnKoR6s4nxT4m1+O0vP+EhFmmhWVquny69D5cVvb+Xv8zMZJmWQtGGkxtiYBwF+RRVj4l6B8Sfj&#10;jeyardFW0yx0u3ttQZtPVt728ATYMykhSE8zaVY524DH5q1JPFOn638PrPwVNqGkzyXktxcSS2+m&#10;yxwWU48wOxVWyVIdh8rzEKQu4KoA6jSZ/hf4gnsbU6XGn2zUJluLye4+zRzxAR21tGnmsGY5gDvu&#10;TkHcSynI1zCdHFYOcaGjaXvb7pWbvdrR9Umk7rVMiUYSVkcF8N/2evBXg34V3WueI9Z0Cz0uW8Z7&#10;6bSVuBdXkvmq9vbEXIjZ8KszN5ZUGPzAoBPmt0fgjwr+z7qOu2OmX/h/w7c6obGIWGvR2lzp16Lh&#10;ic28XkXP+lu5j/1W0IkcjAnYAr1fFPx48G/CjXrjW9a00SRtDNpktsuird2o2h8SxPcStHECwYIo&#10;wrNuYIASVk8I6lonjrxhp/i/SdatLXR5rW3a3/tCzj03y7f7SMybY5F27maNV2FiQcBlG0NFetjc&#10;PGnHeMtL63d7LSSd1fWy7a33sKUlJcpreIfgx4N0HQpPFVhqk2otHHBfSXU3iR3ntrq2V4rYSyQR&#10;q3nlZ3BMmw+aNrFdq54u/wDGnh7W7aLwxf8AwfuLm8tNaS6h0e6t5bhba52EQ3MEzzrGA2JWKSeb&#10;GFLMRtBruvE/xJ8Cf8LJjTTm0LQfCeoC5bWJrrVo5J9mxZhMsG5WV2h3qFyqoWkGGMciHzPx9e/D&#10;jX55PDfwz06STw3eXUNlcTTaHNZ2urYwF+zolizTeUylk8l4XOAQ/KBujkxUJJSb9nazs1zK/V3a&#10;0Wmt36dC5SlUtrt/mdbF8bvEEXiVvB3irVNPtbWytVlk8P3zqtvIjbZ1M1pCRHvJLAqgC+W+BI5+&#10;c3dfn0fwR40j8ZS6Bo9vol3qdtrC6x4HU3CaXP5MeFaxN0CttNCF81UVJi8j8FtpPEfDz9kPxN8O&#10;L+88Tw63pWoaPHctpkGqafp0t5G6SGCVT5Msi58sLhXMinzDGVKkHHX/ABHn+CXjay0n4J6FqWj2&#10;evrbtFY3ken3VrqNvILcNFG4nWQEKUKhXlmYmSNfMGSW5sRluGoy5pVHUj8Sum1FJ2TfxPv077ES&#10;+HRnZeJvDP8AxIYfE/i74maT4i0W31m3kuPF9usVxHd2MqwsGMUUkmJ43ut5WRsMAgO1TuGt8Qvh&#10;bF8XNeh+IfgTxfp7QaPH52uTNN5uoX2lxgt5YEKSfvGDybYxt2+YgUOzSbeNs/CWsav4v1a1t/EG&#10;n6pY2caQ6xpXiDXJXhNsCq+fEpYgIxitgfvsoVCFAK55Xwf8LtB8LKvifwz8JTpY1C3uoY5rbxvu&#10;h1G3EiASyWzBnIJdMxlQgEakmTBNeRTo4f69Bwi4xSdrarmUpd25JrZ6W7va+cbSi0je1r4SWdp4&#10;4k+G3xl8KDRfC+tNcf8ACJ+IWSS3vRKu9VKQEn7VGI2cLAySkbtqozutcd8SPANv4R+NWo2Wl3N1&#10;LaXkMd3BNfyRmaVnT96ziMlVPnCX5c8DHArq/ij8JvFPxc1xfDPin4m2+pQ+H7qF9A1W7hWbyUuA&#10;IJNjsPtMcTJ5QKBwu+OTaIl2Bc34jeGtS0rxr4Zs38R3mtKugrb+ddW80M0W2ebMbLMA2AGDK2MO&#10;rKwyrKzfS5XXjHMIYdNRXK/d63bvo+ys7pNej3Ps+BaksLnfsr25oyWv3/p9x4r+194g8IWf7FkQ&#10;0v4lxXWo33iaTTtW8MQRorQMZpLiOaU+XvYbbcbfn6r3UgV8W2lpHbW4eTjI+4euPT/H1NfWn7d/&#10;wt1Hwt8HbbxnN4rVop/FFlbf2TdBUmZxZ3WZVCgbok2eXltxDFcMocg/Jgdc7mr9s8P4UP7IqVYO&#10;7lUne/dO1notrW0Sv1u7s8bFylLHVpPdzlf7x6K1w26QctV2AAZVU6rge1VIblYzhtv+FWLYO375&#10;R1HBzxX3tO3MYM1PD2nzi5UwlQz8xs3QSqdy59iNwr6J/ZL1HwdY/HDw3f8AizVL6ysY/t8V9DZT&#10;JHM6vZzGNTvZVcrcJCfLJwxjC8kgV84aR4ga0ufLf5ecrt7d+PcHkV13hL4iJpHj7Q/EUiCRdLvo&#10;ZZFDBdyiQMVJweMAYODgcdqrMcPHHZLiMLHecJRXq00vx1MakZXufW/wc06PwnYT6ObKa4j0nxI1&#10;tDDJpwuZZUiuCqgwYfzGZQP3eG3E7cNmvrD9nrXPB99obP4OPhy11LS7a302+Ogxr5ccULStCzg5&#10;Qy/vZd7IdxwPNSOYSxJ4T4S8MeH/AB54BvfEHhHxBLpd9rk0l1a3lxcs0tl5pOyVnwWLJuDF8E5G&#10;cZr6A/ZU+Gdu1lcapqHg3wr4as7NW02TWfCtmkj635TNtlnjTaiyhHJ28Eq6kZVwqfhmVxrR4jwr&#10;k/fad1e32fefTRXu9Hstmfb8Re1p1sDKotfZ2fXXr+Z4D/wVR1y7bTNPjfULe4QLGYpbdTErSqka&#10;yOigYbblEyQmdzEBgCV8K/Yw8Nwa/wCJte1K/wBTW2jg0nyyNpLNukTCp7/Kee1e9f8ABWHwAz2+&#10;j+ILK8s2tptThsLd1EatJN9mncAbf4dsb++epbI2+Dfs2aJ468B22raq+mx4vLULHN5gIXkjdweC&#10;O2ccfQ19PnSnLOOZ7K2vkfv/AIcey/1QdNS1lJ6efur77HS/CvwhpmmyzQanYLLfR2jxSTFSiwSA&#10;plmBGR0PB718k/tJfFXxX41+IFzrFj4gv0sYbhRp80A5fYqoJSwwRuVcgEkrnAA5r6U1HXfEnhvw&#10;B4+nv7nasui3m6Qr+8eTyWZSp7fPgnHpWt8Hv2aP2ctf0Gw8Ja/HpJ1aLTVS8hm1FftJYjcWK7t3&#10;U9cdMY4rz8rrUKND2lWN/elbTbXcXi5iMfHGUcDhZ+zThFys7c1lGy0+ba66M+Vf2Z/ir44+E3xL&#10;t/HfgvXDa6hYqGka8zJBcwM3zwzrnLo2AOMMDgqVYKw+nv2wfHOlfGqTwP40NvHbXVzos811pbKu&#10;+zf9zE0ZwB8olhl2nkMuGBIIJ+gdN/4Jp/s32/w3vtek8NXlvYtp5j+2afdNIrlVyBnJGQRxnPJG&#10;QRkV8t6l8IZbr4LeF/ilo3iXzL/UtQu9LsdIuLIxJNbwNOWuUlLDOJEMZUKRuZRuB+WvQnmMcxwt&#10;Wnh1rG1+nXofB8F4GWVcTYapjpe5Pms9XrbrppvuctplplliUbmUgDbX6UeD4jf/APBK6HU4dOFr&#10;KzNPbLtPzL/bjdPfjP5ivzh0Hw/450m6jv7i1t2h4kLLNjK5GMZ65/Xn0OP1Ts/D02kf8Eo9HtZd&#10;InjW40WxvYWY/cNxqEdxtPA4/eZH5VOR06lLA491I/8ALmf5H6pxpisPVzbJFRkn/tVL/wBKR8cT&#10;2lxPPBd6VD5sF9MkbQNIFCSHAxknC8nqSB610/iPwB8JImvNCsvGeoXkccn2aS/VIltTdNHdeVGu&#10;C+4PJBHhshVVnDtGyYOHol5b6RrCwX9qk1ubhXaCXIVsNnacc4PTg5r1efwdDqpudU0/xTC3h3Wf&#10;tV1qE13qS7tPllJkuAym0C7wZnKhWUHzAMrwW+V4bweX4pVFXinJWsn0Wt2tfS/Y6PGTiDi/JVg5&#10;ZROUISclKUVe8tOWMtHur2W0tb3sjwW18Ay/DnWrqx1SNlWG6+ztNa7ZozM6sYlDK20htpOQSdoZ&#10;gG24Pf3njLwtp3hKzlOsu010qRww2qLIseBsJlO4NHk7NmFYNk5K7TW5rcnw6+J3xB8QePtW8atZ&#10;xnUIngt309nXU4vNDOWVWiKDMSSbdwb+HLHJqpr+l/DGwvLjVNN+LFubyO4aOxb/AIR25KqpUEnc&#10;ZHLxlQIWEokLK8gZW3MzefWybKcRJ1HPmSc7e9FO12ouzkn0T6Xv6HdS4146wUo4elT9nNxoN3pV&#10;Zq7UZVVeNOSXxON7tx5Vom21ghLjVYZNRsbjZZwLbrc3GoMsW2SUXBAUKzhkH2aXBLB2O0CPJxTd&#10;a02bWPEH9h+DoLm3eSFYtPfXJkiF9clhDhAdrKHucxqrgMoGZCmH2XPEkPgDWZbQTfF/zLayVXt7&#10;G10O4gRWf5GUscmQpHHEoaTediqByuD0HiTWvgHc60NUl8Ta9PDcQrHdL4bhW2kfO3zDMZo1Nyzs&#10;HdmkYku4znbk1/ZOU0Y3aj9j7cXt8W0nZPvZ+mlzenxRx1jqij7ap/zEbYepHSVlRvzUYJuCu7KU&#10;btK83zWXEta+F4fDF1qt9pQvvst9auI9TvRau1o9zbr5piid5FGxyrlRIF89DHv2MRzfgjwTfeNb&#10;/wDsjT76CF44N+Zt5L/OqBVWNWZmJccBTgAk4AJHbXfjP4DWltG1n4U1q/uIbcwxLqE/llVJ+cJJ&#10;DMojVw0wYCJixkJJ+ZgeH8Ma3qeg3bXGi3nkXEkJRJI1HmJghso33o2yo+ZSGxkZwSCYqOX0I0ac&#10;OVpc1+W93d3V20vTdnVkv+sWKxWOxeJnUTqezUI1bckXGLUnBJuyb95+5C7tvq1uXHwxsNM0S4vd&#10;Z8RyR3HkNPptrHpr/wCnQ7W2zKZGjYRsdmGK/MsgK72V0S3/AMKyii1/w54a0Mm1vNYeCzvI9S1C&#10;FvIvjIEcMkX7yGNS6giRAwZZB8201iy+KPGDaQ+iSeItQ+xyb99mb6TyTuYM2Uzt5ZVY8ckA9QKp&#10;oJLZY0UlSpx+fUfSuOtWwfIowp7269nr1e+3Q+jy3DZtGs51K60UrK2mqsnoo7PVp362aPQ/BHhP&#10;wbdeJdY03WtZkitbbSZbuwN9atbz3UfliQSRKWKh/LPmIrnbIMLlC4kTCbwUutfCzVvHqwzSNZ63&#10;a2QaONvLto2jcvLIQD8pYxp0ByVwecHnrfU73TBJcWd5JEzRsjmGQqWRhhl46ggkEdweaz4Z4nkB&#10;kgm5YfMU6VnTqYda+zX2v/Jtv/Aen+ep6dejjvh9u9XTeqW0PiVla3P1ts+60PWNE0D4b2/xT8G6&#10;V4g1WztdOu9Jtm1K88ny7SR/LOHLZG8GQbJOE5VgTu3NXOeO/A+gad4n1az8PCxuLJdPhh0/UJb4&#10;RQtcMsZ8wySTIiO4WVtjMQvzAIdvHHyQrJbt8+0qcqfSryyw+KfDs2nzsv2m3+nboa6fr1Oq+WVN&#10;b3032Stft1POp5TiMPaUcRJ2jy2e1+Zy5rJrWz5d9rFbWY/B1n8LdL17TNKnivb7WLi3uJri4M28&#10;RQQFtpBRY03TAhCjt/00AG1j4kReG4PFv2Lwzpc9rHb2cMVxDOyswmCcj5VXkDCnKq+5WLgMWrmb&#10;S12yzaRexYP8OatabZXEUvkhANvHJrWeKi6TiopXt07L9b6m1HLaqxUKkpt2cnq3a0mnbVvSKVl2&#10;6W2PKvionneNdUtU0u6/dtG3nWyqd2Yk9U/DrXT+AzY6fa2awT3EUi2se77RDtwdoyfl6ZPbA/Cs&#10;/wCL/wAIfG+q+L5PE3h3S2vre9jQeTCsrEOqBSCACOij6bhnGayWtPjBaX3l+K9IWGFDtkjhhXzN&#10;vTGFYHHTtXsPD1sVgKXJ2/Q8DD5lhMoz3EvEXTctNFtdve6+W52v7QXxSuPBvwpuJrOOGSS8nSC2&#10;llXKopyXYZwOAO5xlucgEHwDxl8dPFOveDpfCWpaxNHB58DxsyqrLhMgsyg5+YkjqcjqNoFdN+0n&#10;aa+fAFusBma0tbpZ5IZXVnhLKV3Lg5I9V6jbXiFrpfiC4keCwjaeCbyY/Mkj4VyQVUZyQR0OD3Ar&#10;3sjwkMLhWp2vd/ofh3jJneKzfiaMYt+yjCKiujerb89Xa/kddLdLD4dM2n+IWika8VrhbiQKrw5x&#10;5L4B4JVWyTtAZhjrn6A/Zl+LXhrwVqz/AGW+037JcWPkXlrdN9oixsViFj3BklxLw4yMqoYkiQt8&#10;2TNquiXl38MfEenMq3UcciRw7N7SL9zLtwi/6wN7M3+8M/4eeLbnwr4lu9Oe0WGaaF7aSO+jG5ZG&#10;QoT0wCAe4PqMHGPUr0cPiKLpyV01t5H4+4yleM1psz9aPhH4Y+D3i/Q10bUvB2lxxz3S3kMZtf8A&#10;Q7yMoqK0SLuNmql3mBMqBXaVFJWSMLJrPwPHh7xrB4/8OzNLbeFJr+8it7rW3me1his/MEMc3nxu&#10;77I3ZXAbYJMAMQm7zP8AYE8O+IvCXwV0fTPiJoUltql1a3XyX+I3tbX7SpiDZ5Vg7R5HDfPs4JO3&#10;1D49eJbXQvgf4lvvD4wsi20e5fmzbEeXsIIx8jlRkE4G0BR94/zljMdGOdOnhpfu/auCd9LqajdX&#10;Tu338mfI06ar5pHDrZzUV83Y+KfjL4002/1iafxXZ3Ezzb3ZtNuFti0pdm3sNjpwG2gIiDAHfJPX&#10;fsx+Gbmw+F0d/dQ3Qt726uZ9N+0SFlWEy7dp4A+8HOVAGS3euF8f/Ytcjgur6LzPmCt7819TarpG&#10;i+G/AXhXwj4YVfs1j4VsxHmMA/OzzscgnccykZ4+gr99yzHVHjKVOcr8ylv5K/8AXzP0biKjRoJU&#10;qdNRbfT0ZzsWhtbW67W+9k5rShs4JNMW2uHZWMxKr7dqzZ9YkVfKzuXt7VHBqN2Gxbvtx6Hivtfa&#10;R5T8/rUZKTNzSNNiXWLe1ij2qXCu3Gdvc15X8Z/DWt3F3rmm6RZyLMzSJJc8qkSHkvu7YBzkeo7k&#10;A+qada6vfCG+03U1tbqF96NJGHViOzK3BFWPFet+IL61ltPGtzYXkRj+SS1jWIBh0yoHOKwnyz+I&#10;xjzQleJ8h/Ar4oaf4M+0eCNYjPn2sj+Tb3E5jXyQ2FkVNuS2CBw2cjpnBr9F/wBhz49+DNHtrDUL&#10;3Qp9Y8m0u5YNF03QfntpFjyu6S8kGzzSAhaFiQpOV5IPxr4W8A/C7VvCHxV8W69pUc2qf2hoVh4Z&#10;v2hB8qdrqSa4WM/w/uLcg45xx0Jz7f8Asl+Nl8O+NtPS2iC+TIhjIXIJHY56/jXyuaZpXwKlCFmr&#10;Pdf1+J91kuQ4TNoKpVumnbR6dD0Tw/8AEWbw78NrO88c+C9WsdZtdUuofBvi1tbsmN3bz7S6Iygy&#10;Kshl3PFIyBs7huOUObJ4Pi+JOtXfhqfU4fDtxDbRRXWqaasd0XbYZYWnjKtIjuGEe/7gJIAYx7Bg&#10;fE74I/2x9mubT4m6fJp1rrbWFxqniDw7ZatcG8ZxmGNpgqu5jHyghnDs7B1DoE891TxX+178APCe&#10;ofEXw74b/tDTbi3WDxFqDa+ksF7MJDFGQLVoJ4UV5UxC6qyg70Y5DD+dcLTwedYilSpu0+WLlC04&#10;Pli03H31aSbd5WttFX1uvgasJU6zpPo7f5/15Hpfjf4Tx+KbO617VvEfh7fY3CPb3d5cQRMsNxJk&#10;+S8W5G/5Z7l3bNrSE7FWuT8VfCvxRo80PiTUYbdY2jmaxuo7iO6t5EWVV3ZhaRViOWRhwN6MwALg&#10;nF/Zn+Nni7XtGuPA/wAT/iLp+j32oXltb2tvqmnNbySx+ZIi3MbySiMfMrKfPKEMisHILIe2jufD&#10;+gePW8CeN9Vm1WbxAxt7GG60o4a4UBUiikDndG4XBZC4UkbXY8Dsll2ZZPh63soKdO3SybfMtJRX&#10;u/De1lGOmqV7nO01exw/gqSCW2v/AA9FKupaXqrXQhTa80Fs0jpKSInO0ebtiDDAzIrs/DDb5abL&#10;4seEvsfjfwVeaXpd5ZXAvNQsZVlnWaFpChgAAnkWFn87I+UIVfOSxx7F8QvBvwd8OeELzTLT48R6&#10;XrdtdFtP0C/h2ag06gxmB0R5YY5ImCM6FkdigZGbBIi8YeD9Sk8Nx6NaSWug3tuPPu9au4fMU8Dc&#10;T9lAZhh8+UWSIvzkMgCRlOIzH2iq0ZSl7TRqaaS5bpO7SsrJ3kk0lFPdq+kaUkruS/T/AIB554p8&#10;Wx+GNUtota0K0Fmt2+oR+Ils3aMFm3K7XV4fvzPhNu4+VtxuYBCcnTf2z/FPgqO9s/HHg3WZNBmm&#10;lnt1utONuxu3klLyTOqtvcmSXDBid2TkZyJvj54K/aR0LW9J8M+CtH1Se1u9UuIraxg0S2a3NlG7&#10;LJC0cgVgdpjkVCcYYqSHVicHxz4z/bf8NaZY+Fde8CaXfatLYoialY6fB57x7zFGlw0eIxJwsa7S&#10;6nMaMWbmvUw+Q4fFYX6njFCpWm3JR9o4ybTs535bxsnZyirNSa6nRHm5bnrl98af2Z5fD2g3nhmC&#10;88VXkTNqes6LrpS9iSOQBraZmdmlAjO6Nk+bInUhD0bpNNk+H0Hwun1DSPhDpPiK6sfDNzdaJLpf&#10;i69a4WaWSS4jUNuGcIdn71JAAqnzF8slvM/gFo/7Oul2kPjb4heMb+TxlJDazSPpviCLSJI7zYUn&#10;hVrYn7Qqhjw25ZFXcpQSmNu2u/Enwy0bU4dY0/X83Nw11pDXKzS+ZeW01v5ZldGkJ2u0hRQ5EgaN&#10;i6ldu/mrYXD5fRpUKVZ07TtJSjGbtF2fuyvL3lFrnhFvVNpK7KS5tG0cVoHxE+JL+Eprzx74F8WW&#10;7Wwa81a3vNPePTY0WISPlwTHGRnMjPFnocHyywnt/ij45g8MSaz4LPhWOC6haQW82sFxbRgrvdvt&#10;EkTsQ7oN3ABkHXHPXeHfDtt4VgSwsPFuoM1rZwm3s7W+DLCjFMbFwgj3OGiSLe7MM4bLEL12lfG/&#10;VvHOial4S3afqkFnJFCunzW8EdxbHc7SIkDQBomJlZlliPyMAg4KleXGYjK8Vh3RxEWoRklHl5nB&#10;O1+azUbRTs171n0dk7zKnF2lfV7dTzmKy8FTRLNqXwN0H7Qyhrj7RpsTSbz97cWt2YtnOSWYk9Se&#10;tFbFn/wT8/Zi1C0ivx8ePFln50ayfY/7LkbyMjPl5LITt6ZKL0+6vQFe1GtkSikq0v8AwOf/AMuK&#10;5an9Mk1HxL4R8OmfUdSsV1S4urxYbq3VGihKKiiNI/4VZVQK4V9vyYRTuZao6R488UeHvtereF9I&#10;ktbe48O+RDDr1wsVrNFcMzJCXuGCSyoV/wBV8xZjkkFcP4144+JsWk2q6JLql7JcWLhpNVubP7K1&#10;3bRgKsvmRh/OBKkrJu+cEZAI+Z6+C5vH3xo0DUfFnxATTdE1rSVE2vt4f+2Rq8KCP7NGAGK3BZo9&#10;4l2eWZo5Q+148+tTwE40XKdoqzd7a/lfVavre9jlUJSk2z17xB8S/E7+CvD/AI/8NS315b2urR2c&#10;iwaeiTW8hlENwomLPtZ5Ul5JJdAckDckdvxv8dtI8BaTouua74Bu9PsZGt7fT9Pv7Jri7h1DzyXg&#10;CyHcuYmjdpEOG3hWB3Ihj+Jnwl8W/D74gw6LaalfeKvDtjpMkGpaNarcKqwyXDSXKEF9sDmMSQxu&#10;rkmV0YkRliuN4p8DfEj4GfDPVvHvh+DQrrw3q2rJJoHhXS47qaC7tzcP5bxvLLKIneCVJmJ3Bdrj&#10;G0kCMJy1ot/Em3o9G9bJf5d0aU4e63fYNFf4u2ei3es3njPxVD4Zh0OXT7+yFvDNfTyDypJJorVc&#10;RRJh0mUkmYISpjYyndd+FfhXWv2iPFknh/xHc2sviTw1b3lpeR6HIlxCjIjJK0sMZEgCqdm9OY38&#10;tAP9WH2fgp8FtT+Nfj208SaT4p1a40W+0e6lXT1FzbLeIXQw3BLzSbI/KeH92sYMjbnK+XJg9hYf&#10;DW7+CnjKTWvAesw2TaWS72ep3Vy1wyeUqGAbUaQ7lCyEsDHI/mMyyAla5qmOp0rU6sEnF+7a/mrO&#10;/W33em+cpqOjE1r9jy++IPi7SfjFpWpRw6hNodl9qVsXUt7NBI8tzay74wkkjxtGm5HDrIpfcyMU&#10;pb74Z6Bfabf6d4d+IVrHYeH9Qji0mbWb6RrqG5WdYYpYUIlR51PlMSFR1yxDIoyL2qa98LfE+qya&#10;jqckk95d2MsmmHStQa2NlOXysizFSHKqisAzZ4O4HYWbl28V2Yhmu/DL3E3lNHLdx65fRTSXksk6&#10;iNQzovmBfliyCqnY+1d7tu8WONrVMQvY1paK1mr36LWys07O12vLcxlUk3ubmrfDq0m8J/YvEHiP&#10;bpylcQQo8cd229WhTmRsKVKHghmRzkK8r7dIaxpl1qEV3p2kaWzWi28NpHaaTALizmiwzfv0HyqJ&#10;FjI6MUIJYE4GHpfxY8UeOf7ZtL5riF9N2SNpN1fOy4CBkby3f5leP92CDwiAkjfk4Pim7/4R/SYf&#10;EP2G6jsJYVuJI7MJJNAd0cXlhN0Xmy7/AJW2ZU7QTtUEDhjVrYOTlrfmbtezbton3uk+/fe5k5St&#10;c2LDxX8KfAXiO3vrXwV4pt/EDzrHcyaLax3K3dgGWWaVoUWJkMalGxE4z+8Z9wCxrteJdY8b+H7Y&#10;Qxf21Zx2+uXE8GufZ3mnDxzgSRfZ2dZzu2lfkBZWbLtj5T5D4a1+G60x9K0Dw15VndWsbLfyTSRS&#10;XUc+3zWCsdyTKsjbvl2/IA247jXdfDjwB4OtfjVp/iTwJ8Qmi8WavbbIYNViaFrYQxkTRWQW6iSS&#10;R4sHLbtsYHyZJButRweMhzVItXXT3ra9ttb2btd9Xoraxs0rf15Ho0PiHwNf6fpGmTaHHfXluskV&#10;xcWviy2E0hmMty0NykBkAkWPzfNwMrI2U/dh3Xkde+JkGrWXhhNV0BYZNFt5Ea8j0l7eS8BSEruf&#10;kT4i8o7lAAMhAAG2n31xonwE1qw1+9+CMVtHHfRSar/ZNqLB73VJGWaJBFbTAnh3IIkYkS4UjcSa&#10;r3Xir492ega0dAv9NkW926Na6vpP2N7uaaZFQvFgsEdVVcj5AV4B2kn0KNT+z89hXlS9x6KSWytb&#10;3t+reqflrdX97h3HYXA51SrVm1G7Tfa6tf01/U+Zv+Cjvxf0/wAT/DfSYtDuWjsda1qC4a0kjAaW&#10;a1iuYzJ93PyLcBTlhjf91skr8ixahbD5Wk2+4V/8K+xv+CkHwL8I/s//ALPWh+CZLq5sdfm8ZLdW&#10;/hm6sbjNjYmO8BKzyQiN1DlFGyRt2cYPl7j8VRuvQ9q/e+G8cqeBaparme6a7eh7GbwweKzGrWw8&#10;rxbTutr2V+mut9TTW+sOCb1c/wDXN/8ACtLStY0YRtHd3LbVOdywuw/ID+tc7GwO4k9BTYr3ypFX&#10;+9u4+g/xxX0kMyqQley/r5nmvCRl1Z0U+t6Ez/6NDdSMPuk2yIp/EuxH5VA+rXjs0kSrHvBDbjux&#10;6HoBx9DWU1xtkIDe6/Q1o+G9H1jxVrVj4b8OabNeX2o3UdrY2duu6SaZ3CpGoHVixAHqSKcsxxEu&#10;tvQqOFprpc+uPgL478Rp4N8P+I4Jkhjm8FJbwhZtz3V6JGjwqA4y2GUjjBT2FfV/7P8A+1brPwy0&#10;uO40ZLe3023t45f7JksbeDasaxhCbcBljLbsZQkLkoCu1lHmX7L/AOyv8Evh58Ebey+IFz4R/wCE&#10;y0HUb3dPd6zO1pqEkclw0EgCb3MTrOqsEhBISFtodi59I0/xB450l9W8QfAX4iW7eEdYmkudd0W/&#10;bT1aSPAjAWyW3uHgikRYl2yFkYeUsyhEaFvwjNs2lDOlVwzlCVCUnzK13rZqz6SXe10nbWzNM6z+&#10;pmFShFQsqSa3vfa/RaWW2tujPGP+CiH7Tdr8YbTwje2Nhb2UNtrLah9hkuB5wZYpY5AkaAoVUOAT&#10;uU5Kjaeq0/hf8TPDEfh1tKtrGSS9kfFvZlw0ksjHCBYgSzndxjAwTz1482/aY+Fui+E/F9p4o8Te&#10;J5LXw/Zgw6lJ9inkewUyrkMyqS7SSSFPlyVWPklsA/YP7G/xX/Y/+IttdW37PsN/4t8S6fo8x1a1&#10;0HwXdwt5WxiokvLqGG1t92zapnnjRmwM5OK/QsPW/tzA0cRCdpNe/daq+0XbaS6rzR+rcD8Y4XK6&#10;tWjToupCTThFPW/KuZNWe+m17NPRnDH4AeLfHHw+1zxbpnhW2vvsTeT4hshbhja2twNvnooP3Yyh&#10;D4yNjMTwuRjaN+zb4D+JHjfRdKuvHi6PY6pqFubi6mmW1W2j81TJI1wm11BGcsGJO7oeBX0R8Nvj&#10;142/Yum8WfEP4sfD7RbDT5JEisYE1yW8mmWK7aOZJU8mONZlQbtsc0qZcsruE+b5p1rxh4w+KMre&#10;JfFqaVdXl5cvfatDqen/AGhGmly+9BGYhwzkcADuFXpXPmFCjlcYRhJpvdP8JdN7a/efRZviM14g&#10;qqvmEFpKXK72bTfM421souVlqrJpJWWnrX7Pv7MPhD4YeJdYvNY+IXN1cmKez0lzYnzI5AzCR4US&#10;V1LIoKmVlkHB+VnB+b/2uPHVz+zz8UfDv7P+n+G4riHw3pInt4be9S1kDtMYw7RRgrvaODzGYEky&#10;XEjkksc/Tnwos9I8YmbS/iD4mtPD+k2els0l14f0WQLDGqKkUcUab9paQqoZiQN3G9tsb/HP/BU7&#10;9gn40/DWW1/aC0aWbxX4Hh0+O3uPEFrGWezVplKzXKKuII3lu40B3yKkkscbOWePd5uVqrisd7Rz&#10;snou17aO1/l8zavQx2QZbDGUcJ7SCbcndJqPk2nfVatJ2s72MWH4y67cReRZfBy7by4TGrNIzjDc&#10;l8eXjI6deQOMda/WnxZrDQ/8EvvB8+o30Mf9ueCfDca/ZpxsaQx2025Npxj92Tx/I5r+dhXnIWAy&#10;ttU/KpbgV/Q5+1F8MP8AhTv7EPw7+EAu2mi8PJpOlI23G9bfTZoc/X5M+9fY+xrYTJsdOck702tF&#10;bfTueXg+JMNxPxZlVGnRdPkrRm25qV+XWyXLG22936I+P9Zt5XCys/zq3zYPfNWrfytVtPKuB+9C&#10;g7g3DU2UF8K397Dc/rUNv5lpcEj5V3Lsz9BX45KJ/VEql0V3s4YJGEczJx2bpVPWVkRdyBW/3l/W&#10;tm+RZd8inhv0rL1KNxF1/iP8hShE4+b3jFMjLJlvTtHUi3TJHvQ5+X/PpTLiErKTiiKBvLwF/h4q&#10;3A2jWlHYhynykWq/d6lRUltF5o2p/dbjHsaBFtwSvb0qxYp8+AD/AKuTP/fDUMlyuiqLEZUh2LZ/&#10;xq1eBiw8wg/N271JAn7xWY9Gz/Oi5QZB9HrGS95aFYabjfXczb25uLUKIpWbLfxdhS2epXDnbNls&#10;kfNSyW9xdPNPBayPHCoeV1QkRpuC7j6DcwXJ7kDuKSJFHU98itl8O4c8ZVHYswlVDll/hrI1PVz4&#10;W1uPV0GbeRglwo/uk9a1d3kruYdsc1m+KrKG702aNhuRo8fSinHmkTWxEqWo7xrDFE8eu2D5hmww&#10;fqB/+updOu4LhRcxuN23B96yPhxq8V7BcfD/AF5+qk2TN/IVLbWFzomoTadcZUxnH1rqqU046BQx&#10;lSMrPXsdXeaf4q0jRm8aWVhf32iyL5F7Dp7DfbyqThyv3ipV+cZICc8cjE0x/BmjXkbeH9C0q7bU&#10;SHt5LzT/ADpgucj5pW+U+vTjg+lfIH/BQF2Hxn0042/8UzB/6UXFcn8LP2pPjl8JJGl8I+NY5F+y&#10;Lax2+vaTaatDDCv3Viivopkix0BQKQOM4r7jKcFVlgaU6UlqtU7/AIM/BOKfEDD4PPsVgcdQcuSf&#10;uyi0mlZNJxas/vX33Z+iGPDvjLTX07XreCbVo5XFimnrFJIHWNsKqRgRgqSrbQSAAxZssoPmugfs&#10;eafqPjGxvNGs7ZYnjaS1t47ZMEqu5WL43HpjcWI3Mv0rvP8AgmT/AMFD7D4v6p4o+CfxX/ZT+Hkg&#10;m+H2ojRfEHhrQGj1GLVPK2w3NyZ7za0BY7XESAqXUqqqGIh+J9h4mg1BW8NWcMgVflW31CRRHbkE&#10;psMasZARtX14z1Fefj8dHC50sHzJylBSsn5ta319D4rHcTZTxRWpYSjCUZU1J3lyq6bWiSva2rbc&#10;ndO1lY5LwT+yTDYfEEeMLzRNNkaSaN1WXTT5sTEZDH5uDyGOV5A98jR8U/suaFovxfn+I/h/Sre8&#10;mmvLGRrhowkmn7FdJJ43ChYip8ohic5XI+YE12nw2l1rRxcah4k0y30hZPmVlvJJvNTHLM0qKwfO&#10;cjnsc5JA9G+GHhPRvG+tS+MPFN/cLo2mfPLp8LFV1FSjoYScMEOJGkVsErJHEQCwArjx2ZVKcZpO&#10;1lbf7vkdWT8PVMdjKdKgk6kpWjdac3Ru19O7V7LU218Q+I4LaS10m0sdat7qKR0S1uI1gjlhxJLO&#10;W5w23bsiwrvtjYgqGI5H4+Xjt+z3fQabPJLA1rFHmGFfLIW4jZskNncrP90jOHyx5XOVpuq3On6V&#10;q2nalHqGnQx3MGp26uxXzXAYJE21VRGdiu0YwyxMAhMbAQfE/QpfDXgqW8fUFuNL1bSCLcqqhJWS&#10;N4lfJG4ndGCH5yCVyOAPxGlCpQzKF4v3KkdP5ndNNdkl+Wnl+I4vK804d4s+qZjT5K9KqlKOmj5k&#10;7q2jTWqa0aaa0PljxcZ4bKGBE3eZIAu3rX0t8RrG8+HPh/QYbSVZLmbQYRqUO0fu7hWeMruBwx2I&#10;jfRx6Zry74T+CLPx/wDGTw3pN/FHNawyG6vIWUHfHENxQjIHzY28kDnkgc17z+05qNl4l1+1l8hD&#10;Zx2Qt7WYyLKLmGF2g80SDiXmPlx1NftGDxtWXFmEwMHZezqTb+6MV+b+R9txNiof2xTo+TbXysv1&#10;PEZPHmpySf8AHqy5P0pzePddt8M+mT7Q33ooSeP61X1tFgv/ACYMsoT7rcNj1z71PpVveXY2afew&#10;t6rJceW6n0xkZ/DNfpUJVZe7zM8HGU6Mfe5UdL4X1vxD4kG7w34gsJjt/eQyXoimTp1jYBj1/hDV&#10;c1/w9qOo6ex1b4gW9z8vFnYTEMckLy0gUIMkZzz6AnAOPafDq/1N1vLkaZC68revdiGWPA7EMhP5&#10;/jW5ZXfi61DTf8JI/iMRr5a7fDv2t1X+6LqQx7l4/wCejdK7KdG/xr+vS/8AmfN1aiUvcdvl+tv8&#10;jgNYt7rw14Vt/B1vq1lNBc+Ilv7u3tl+aOYQSRoNxJLKFLYxjksTnIx3vwMeGDxLbtLIygMAG6Ac&#10;dT+leS3beJ9f+Oa2mqaDbaXAtrI0djDOWcncv7xh0Hp369a9is9AtdK0W4aSa4h85fJ8yzt/OmTf&#10;8uUj3pvYA5C7lzjqOo+A4uqRo1aklpaP6H6VwziFhcjdeb+Hmk/lqe2XnxK+D95NMNI8EaPp2n3T&#10;XVvrV5pesCwAAID/f6SWSeOfeUm6tEBMheBmlXHROAjcv4G8O/DXxzruqXOneFLjU79tL/shvs6t&#10;qTyaWcuIpopZGjkzLGMPsEhG5tzfKKwPiP4L/ZT0+Cx+IPhD4oXniDXrHS9tzYaRpbPYru4aK4Z1&#10;Lh3LvGCq4Y5UoHddup8AviF4K+MUM2nDxh4d0PVNblaPQ7fWvs8Uj3jxghPNBMjCRsRgo3TnDY8u&#10;v5/rRzzL6FN+97WUbczaXK20lH3HypyUUr6pJt/Fe/5S51JS97q73O18B/CL4T/AjWLPSvi/8MfG&#10;XhfU7FDc+D1s9LMKXEzo2Y45XxG6qZI1CsMRnAODjbi6x4W0H4n/ABR1L4hata6le62LyOwtJL77&#10;NbW9rPDFMtsYPk/dSPHBIcbm3OCDvZiHqeJtOuG8KX+qWfjDw/rEMcL3Wlt5yXEbO8Mke+MmF2jZ&#10;fkBw6bNrEIzHIt+E/HfxBvdFntb7xzYyW91PJ9oXTbo3V1cyI24F3iXJkAQKQrEsQQecJXNisZWy&#10;zB06tZVIwV1ytqTnKV9GnJKavtJKMrP71C+qb0/r+vQ5fw78JPCfiNbzQ/FXwy0218WLcIdD1fS/&#10;MheeRccXcMkwj2sN4lTy1IJVVZVRQp8OP2Y/HPgm9urv4jXKS+Db+RoLyxu9UEmpxrIASbVJiGba&#10;3lk5J2rk7SFbO9p8XxM8B6hpPxV+G3gr+1fBXijR7yJvF41SFhGsSOHs0to5Mea2yQqJoxIY438o&#10;kxMxz/Bfx28beNtH0m90DXbOFdL1aMNZf2OF8yKF7uO88yMN86zIbdjuYjOWbjKn3KOaZpSwftMV&#10;Fr4Wr01ZXkkm20pKaSbavFOLso2D4bRl8ibxZo2k6Fqen3sGi6jeWdpcPYPskYxyWwHyvuz5cO7D&#10;SmNiVVwG3EEInN6/4X8Tx+HbjTfAmrDTLq3tXTToNXtGRJlY/wCtd98rK2IwEkB3qY0+bGWrvLf4&#10;a/EjwtZ6p4q8OWdnFoIkS3a0hkxIqyh1ilxj/UOJPkJCkquQMM4GHDqt7488P2eif25HdSabp1xH&#10;dQ+YvzyieUHAx97cWU9SqoccDI8XHZtmGXYqMqifvSTaS91xTs1aL0XuK292rta6RKTi7W/4Jh23&#10;gD436F4bsrvWvHvha+8Tx2scy6hDNdG2srVzvlsnbbGyEiWWF2gwWDMQ27L1xXxA1zxBounQ+MvG&#10;fw8F1oupRMl9Jc64bu8sppF2CGAFFYIXLN5iqN23bklAW9b+GUNp/aEOj6Bpt5fW7WculrGmtSwX&#10;dwjqoZ3llBUIGmGB0UxyABAFIy7vxDoHhG3h1PUPD++G8k2aj5yeX9mZWcLJ5gYfuyqhyVwWyBjI&#10;weqOdSoezjJRtFvlSvH2bVnDlk3KVrNJxSbi/ecXF8p0RkuVPa9/6/r9D5xh134PeN/7W8Z6R4t+&#10;z3djc20t5a6fo8qtdeeVijVd0YhR1Lgks4ZSBxnOMLwD8YPjJZaRfWmk2mm+IrHQr5bmzj10b7vT&#10;YY/McFHYNCFlkPzGPd8wOQA5z9KzfCX4GXemX1xY/A+HV7XzJDJpthqV3ZQRs8ciiQCK4YbjL5bE&#10;5wMuFA3ZqvofwZ8JeAPC9hrF74ROrabbXXn2fwzvL25a5JKqDNG8cLGRhOVZVfzQWLEBQqk+9HH4&#10;SpKNKmnVlVaUnOz93q7xSve/uqLTaf8AN7sqjy8t4v8Az/T8Di/D/wAQvFuuaDY63NpkUj3lnHO0&#10;kHwlvZkYuobKyKCrjnhgSCOR1orNl+IP7PlxI0+ifDjTfscjFrPcJQfKP3fuoB0x0AHoBRXtSzDD&#10;xk4/Vamn94LR/m/P/I838aeLfjhLo2oaHr99Jrd1pgl0+61KGYyWt1JblnkVGnz56BfLBJUMfOwx&#10;PmgP0Hg39pa+8d6Pp/hX4z+G7TXNY1y8GmyXEtpDa2NofkSOR4IYWLz4edUkHkqElnQkxu2a/wAL&#10;/wBmHw34d1m08R3K66/2i4jex1SfSHWCwmAlkYS7HAdQAisWIbegyoHmKvrl9+zxq1nquqahrN3p&#10;uuWOi38s2kpb2IiedZUTYxEPmO8aTARmNwhZY2zIAwx6dbFZfiKzg38Ot9m7pp6dnruku17XBey5&#10;ne5zvhho/COpWum3fgm/8ZeHZL5rR7jwuy3NzEspeMQyxWhkaMHDKpYRgsYoxw8kyegeMPE2t6r4&#10;c0nw54P06DVdCvreU2dj4g0u8NzCpjkEUcqjE6x+XwWfLyKxO7IKt5T8IvBuu+G/Fv8Awlvh/wAY&#10;f29qMcUsmoNPqTMbdY2KsYIyUlUhZo5WVnYSbiux1c16h8VPF3jHwnY32k+EtVsbRbhladb63SZk&#10;ZlZhgE7zGGl3P5e5BwAQoYjixMaMZRpUWlfVtaK/mtum6+4mapxj+O4trefD34e+JrjXvA+k2ll5&#10;lvHax2NvbpDHbqrl1QoG+TyxOMqSNwlTaMn5sTxN4ggt/EEWla3d2GpyrCjTXun+dJbRlbgsU4O7&#10;HDSKm3lZhuZiXUY9l8RrvwwsOravaaf9reY/bm+3RQyWsjRsPtDKXzt2NtEZBJba7ZTaHo+F10rx&#10;nfWfjLRXvY9Q1e6+xXmsWd1NJOu9QEkRY3dd4yewI2k5CNurk+rydRyqO6ez3s0tb97rfq7fdy8v&#10;NK7PQ/HHxIbT3uvE11rGnst5rjWtjY21xBcXFrC4Z4GaRkzHJuIjVHRtqHc4CHbXIeGL7xf8XfC3&#10;/CttUi+0LNp08aXkl1bQ3WnTYyShk2u7B/n2R/NmHOOFFcT8UdAk+H2ipq7Xd5BpNws1jNp907q6&#10;qGZ+V3ON8YLyHaxXK5DHA38Xb/FDX/idrlungHw5Y6dptneRQapr0azJP52zaHYRlyImIGVEZU7M&#10;kg4Zd4YP2kpVKSve77WenXvpoHs29TvvFng7x94b8Ualr/jzX7XTVm1CSaSzluI5JBGUEikKkm6U&#10;mVriMFAU2smGADhPSvh1a6H8SNJn13w/eWtxptihE1jHp8ccc7vGyMbcNLHEZllZY/8AWLvD9Pmw&#10;PLPjanje2tU1G/0rXtSm0vVbhYNasWnmdNOigjkZ9rgiBYfLlDMqjAmlDMAAq4/hvxTbteN4K0rw&#10;td6Xb+JtOt7zy7Jdrx2TzobWArw0ytGmAzI7SPIDubeZD5+Kw1Op7PEQ3jLbvpbV9LLXq12b0alB&#10;cyZ6dosd7dDT/FOt21rbafqlnvjs57j7PPFNL5sbwpbybSEDLKnmguC8ancMNGuzov7CHxk/aGud&#10;Q+Ip1yz0u6t47KSDWIdUNnJZ3e8Il3HGnGTFDHviBXbPHmOQK7Cq/wAB/FK6v4L1i3+MsT+ILy7s&#10;5F8P6fYeF547ua8gigllz5BYsixwW6pICMRxgsWIfNjX/wBpPXbPw1cWXgr4Z+IDeapqUdzpI1TQ&#10;rh4ZrYENiYpPDhGUkoVc7trHADqVdXD4rC4iE8Mk1Zuz2ulpryt2bdnZXWlky3G1Qj+Avh7WrO+l&#10;/Zk+IngyG81jw9paXK2/iS8ZjcyRQJdtcWgYYLsrXPl/xNbwKFbKlJPXfjRo2seGviJo2dW1bRdW&#10;vLaC+1KTR9KW88j7aVhBMM7hR5UhIcfK6FmMQkZsxeQaTqPxX1Tw9deNfE18lv4l8G31mnhzW/F3&#10;h/ybjyJJGhFwXDm2aNEndXHkyBNoYKpkBHp1j+1v8V7yz03wj8cP2fdH1B/D9zb6R4k1a+0lBNZQ&#10;y+bKJEdXijVitt5mY2QOI9rJkrnBSxWGq/WKkZR5nZpPmjG7vdPSybW7Sava3QqXu2R4f+2Re/Ez&#10;x58Ivib8P/D2p+IfFi2MLanrF3c2N4LSCO1vFuWvI/PWCOAvCsnCJLuELYdwyufzuuWCS/I3Xmv0&#10;1/4KCfF/QPGXh/R/h7oGmxaVbXN84uNKj1aBlnsElCzPMgBaJWj8x90ikoYCyupU7vzP1mx/sy4k&#10;svPSTyW8rzUbIbBxkEdjiv1rhOfJRnSt1uvmrO3bVbaHsZXK9GUfMjgkzGzbu1Z1zcsuowjdwFP6&#10;n/61XIH22uc9ea27/SLS6+CUPiBNHmW4sfFUkTahjMcsctvEfLzgYKNHnq2RL0XGX+tq1o0lHm6t&#10;L7z0JSUbX72MaWQ7IpAeoKH8K0PCfifVPDPiC21rRdSms7u2mWazvLeTbJBIv3XRhyrDqGHIIBHN&#10;ZSAz2rRA/N95PqP/AK1TeHor7UfEGn22nWvnXE95GkMPlCTfIWAC7Tw2Tjjvmtak+Wm5dkVotz9S&#10;Pgt40+LHg4eCvB/xL8H6f4g0PVdDtdN1176zL3FlO6CKOVpjKskLxuy7p0YY2sDuJjC+hftAeAPi&#10;Z4d1e51v9nLWtSHiO2hZvFPhHUbe1uLmJ0gRoJbZZ1DwxqFkZ5w5cLcq0QdGdD84fDbxz438dLqt&#10;/wDHHR/FS6lfaob3w/GZDDaatqjpNHK4CpGkdxHLNBIsbttaN1PllSr1uaJ+1rd/DjR7rxbpvjjW&#10;LjXtN0qKxsZtamZ4bvTjdyzLayLlvtEVvJcToiysS0cwVggUIf54hhamDvQjCM3JubS0TU5OTu02&#10;nu7NNa6WSPnJLX3vP/hjDh/Z98QftTeBL/w/44ht9D1zVPEF3Lv07UILm0kumtpJoRDJHIwmhjUY&#10;IUyug83G1mlK/bvwn8O/Ar9hH9lPR/g38P8AVbdreSF73X5omVrzUZpQqXbvtUrKGhWGeNd4IWDZ&#10;lQEy7/gnDo3gDxLoc/xG8BQLouk6ldQ3t54JtbQNptnfXIEhvYJJYhIrmFvLMe91QKdpCNGieX/t&#10;SafbWf7RurfCXxhHcTaHDHC3h17yVmFmLhCwRFwEIW5E4BO4j958rksD+u8M4XFYLJoZhzKUKspK&#10;MbWcXeyb1d9YyV76aWbvc/a/CmWR4jD4jCypyVdL2jndNOCdnCKaXK7uLer5tW2uVJ+O/tBeLf8A&#10;heGo2Vn4f1D+2rl7n7RNNC25fMt4pkut7nG/dDCkoDHcB6sTmnosJS5j3wSK0Y2sdpyM9q7D9nOb&#10;xP4d/at8K2V5YeZNaX19K7FW2+XHYTqQSTuzhjjdyOOFHB+kIP2Z/hTq3xMXxfb65dW+lTSLLceG&#10;4rflpN33UlGPLiPGVBLAFtjL8oW8dl2KzqXtIyXMpcrT0VrJ3W/fX8D7TiXMsHlOOo03F8jp866u&#10;7nJa7dIqx4ppHh74g/DG41Wx1+FtPfxf4Jt7zw+sinMMIlu4ZsKeshWW2lyoJVTG+RtJH0B/wTc8&#10;MaJ+1h488d/AP4naTdXXhvxP8J9T0bV7mOZQ9tDe3Mce1NyuiTIYZGjJGQYd/wDDg+Z/8FSPGV74&#10;a1Pwb4j0KT7Ifs91pv8AZ1q21TbuImSIDhQokiiOMYBQEAba6X/ggt4ons/jf4xnWVW/tQWLO5Rs&#10;NtSUZ6kAlS7c55J5qIYWngc6hl8W7pp/dHmb/wDAlsfY1MZXx/hDWzNpJezlD05qvIlp1s7p7XZ+&#10;Gvg7wbrvj3x7pPw88J2v2jVNa1aDTtNtx/y1uJpVjjX8WYCv6Hv+CnGr31l4e8F6CgZrW8uru4mb&#10;aOHiWJUP/kdx+PvX5Y+If2XPFfwv/wCDhhfgF4U8BR6eul/tEw6ro+jWe0x2uh/2guqQOu08Rppx&#10;SXbnKqpHUYr9LP8Agpfean/wnXh/wRNdRulhob3scm4/M08zIwHHb7Mv519Jn1VUeGsVb7TjFf8A&#10;gSb/AAPxbwvw/wBY4+wbtdQVST/8Akk//Amj5WuowJunvShd65Bx+8/kP/rVo2fhzV9SR7m1Xd5a&#10;4/1n3z6DNUo/IlIZDhWkLZ57n/69fjbcb2R/YEuZRTfUryoSjIf72Ko6kA0cgX/noe3sK2HghcDb&#10;MvX1FUb+2RFZArMWbI2r15A/GhHOviMCaAqzAj8q7DXfhfdWXh7Tby0to/Pk0Fb25ZbpVV8yTuSC&#10;5AZlhWP5EyeCcHk1iWUosdShvnjul8iZHzayeVIMHOUfB2t6Ng4PODXTTeLvCPiqwvLLxjp91psj&#10;NC9pJpMbTrvD3DPvWabd8xmJyHA46da5cW8RzQ9nst+v4Xu/keZmUswjUpuhflTvJpX8krJptdXY&#10;zfh98PR4le2Mem3F1dMk05tJI/3U1uFZUcFZFkz5ylSVBA4J/utD4b8G2Wp+Kbiz0/XNPurazsZb&#10;qSaZ5Y45VWLc4UbRK4XLE4UMVRmA6CrGkeOx4b0qGx0Wy8u4UATXL7GMq+b5hXOzzIxlYtux1Ksj&#10;MPmcFamo+I5db1C/vZVEkl/gfaL6QzTxxKPlQSMOuAgL4DEJjIDMGz5cZKrN3snovLXf7tvx6Wj2&#10;ebTxFVt2i1aOu2u9vR6a9NU9LWvGHhvS9Bu7XwpZ+IYZo4NUulurhoHVbdvMWPDfLubCorHaD94g&#10;Z73/AIpNYahpmk6HoVnHcXNrp7XMsljbx28alFcTh4VTJlHk5aQuQQmQMEGsW61vUri6XWTfNHqJ&#10;1Ca8lvoX2MZHIOVCqNmCCeP73GKP+E51/T9EGh2c1n5KwzW6yNpsDTLFJvEiCUpvAO9+jfxHGKxe&#10;FxHuPdxb3dtXfV2X/D9TGGDxtONKV7yg5PV2u5N6tpfhpdN31Ow8JeFPCaeEZJr7RFuox4VjfUoZ&#10;LuTzkJvd/LRgqsQKF2AUyqFK8kEV5GFQlzGm1c/KpOePyrcs/iBruiWK6fp8YhEVssEMighosXS3&#10;IdTnhvMVeemAOMgEZNzfm+uZr69aRpppGeWTJO5ickn8c1rhaFWjUnKUrpvu/wAv62OrKcDisHXq&#10;zqS5lN3Wrdvlst/XRJ33IZ0UIYzwpFZOr6j9l/0G+b5ZMBHrYvSoaQBsqelc54sWC4jWGR89x7V6&#10;ND+Ij0sU1ymVrOnXENxHqennbLDhkdeortDd2/i/RIfE0Ee24hxFfR+h/vfQ1ymn3rx7bW4Yyps4&#10;Zl5+nWt/wdFJBqwhsSPLuo9lxE/AYdR26jtXVXmox5n8/wDMWBhKo/Z9b6f5fM+Vf+CjPhu7034g&#10;eHvEkq4ivdFa3jPq0MpZv/Rwr57jf5ea/QL/AIKEfsmfHT4xfs5eE/j/APCjwH/bnhnwjY6zceJr&#10;mw1C2a6tIlktRJKbXzPtEkca/PI6RssUeXcqoZh+fkalU5r9A4dqc2U0091f83b71ZryP5N8UqMa&#10;fG+LcdYvks+l+SKl90rp9mmnqj6Z/wCCa8HimD4j61rvhbxHpultbaGDfXmr3UdtbRQfaYziSeT7&#10;gcr5YUZ3lueFzX0p4/8AjRq3grR/EH2zdeT6VdXf9jS2tz5kMrCVUmRpQ8mW3yRyEbmILOPkZyo+&#10;Xf2G31TTNN8U+K9OgsvJ0vR3m1Ka60y3umW0WG681VSdXTcd0e3K8luQwUivbPH3iHX/ABz+z3Lq&#10;T+J5m0e78RLGbe2aLbPdtbq0hbylWNnjWKFD5aqoYyAdBXwPFGHWI4kU+a3vQV02nolJpPXXlu/N&#10;XXmvzzIMFVx/GWEoQlbmqRT1tpu1fzV153Ni1+JOofETR7PW77XHvN1ujzwqxCRT7QWXHqD654xz&#10;g8yy/tLeMPDr2fhnwbq62s0N8imSO3EkjFo5Wkj+b5cMI4wO4IJHOCPlK1+Pep/CTx7daZbJNc6Z&#10;Nb5urGNwuy4LH94Mj723CkZGeM52ivZvhP4P8SeJfCkfjbUILW31bxFYtf6LaLdeZJLhm8qOOMEn&#10;eEUuxdVBCqVyHIr0MZl8sPT9pVV4OzXn1/Cx/VHANGniuN6mHwr/AICnfTa9oryu+ay879j7I8V+&#10;H734j/Duz8U2OoRXt7Noa28t0tmELs25C6xg4HzRyAJ04ZQPlXPmfijx7ra+Bbzw9YaTeySafNdx&#10;3SQ3MTXEkctqIkUK9xGCX3I4UMdwXOxwwJ9a+F3x4+FHibwxa+C9Q+KvgO31q4uI7a10/wD4Syza&#10;4mmZ8Dy0WUuWZvl2AEkhRg7nrmvjN8MLnVvA/m+EIlilt9WWeWNowrTOrOTE5J4y0kmN3Cl8fLk4&#10;+OzTASrVKTVk4zUtbpb2vdWei2s1daXXT1PFrwxw/HlP+2cklF4zDtJxTVqsVqouz0qRXw3s2vce&#10;vK14f+zLrPxKt/i/pPiCLw9bWtqWZYVkumN3cqrh0VUQFVkYqPk3NnJAycZ9H/aA8Uz6p4gs7J4n&#10;uVs7Dy75ljEEsMwnmAfjOS0flMSwBYvuO0kivAdc8d+LrO7UWGmtAulzMt99oUwzW06sw2GMkOCH&#10;Qqe6nAOCRXoHx++NPw98P+MtN0zxN4vt9Hu9S0UXumvJayRs1q0swjaRs7dx2lCGdztVQFI5P3OB&#10;wuFfF1HE6KTpzjv1i4tK2+sZt69EmfzDxLg40c+p1W7vlkn3TVn99pbdjJxYxym7OqSMxxtjvLUf&#10;L/wJQyY+hFW7XVLScbpNR06M56yMSP0HFZUfifTdRt4rmz1fQdVimj3fatP1aO2Z89trDb+QHTrV&#10;2w027k2smi6kyyHKtBJby/8Aj2+v0RU5c3unjYmrBxtJ/kbenv4Y8xZL7xxpeQ2dq2bytn15AB+v&#10;Wu+0jXLMaW0UVzqmoQSDCXEenpCWbHQb5g35L09ua43RNOaxcTz6LrW4dWZbED/x566K58Sww6VM&#10;ZRebliOVuJxgf7P7syKOcdARXoUYyjG70+/9T5rFctSSS1+79DxX4jePPEXwz+I0vi7RfhLqmoaX&#10;BE39pXlvI8iQLuA3PIsZUH6n05GRXqfwq/ar0n4o+K/Dvwv+AfwzuPFHjfVNaVbPQdT0+JdrxR/a&#10;FmLvvSMROoZpCQY/IkONg3n179ja8+Eeu2+uaH8QoI/IWaSxvPtA6u4PONwzgdhng5I2gkcf8Rv2&#10;I/gB+y58b/DHxN0PUri30rUr5ppEW9gjFpPDLFJu8q5WT7RE0ZeIwopePzjMAxiWOvzfiDH5bjPa&#10;qrTd9LO7Sdu/b+kfd47K8yynhtuM04WSmrLTmaWj3td2PWfGvhS00LwteeMPEvwamg8Qao4ufEWl&#10;+IlL+bdxrKs0lksVy1v5Myu8eEKB1RAScBq8k1CD9nD4ofFmPQdYmh8J6jHotrHJ4b0nTZdq3ex5&#10;0KXhWZbf9z5bZVWLJHJiM4Hm+0refGr9q7TPGHw/+HWoWniTWtBkWbR9N0vU51tNJeZYmMl15iI6&#10;sDNdYV0LFRC6BSkgk8P+IT/tTfsual/wif7RHwH0/XNe1vULeXSW0vXk0+xMCIZrh9pxlDvAEuNk&#10;bxPHtyu6T8dpwzPFZjXjhZ+0pTa5ebmioOKv7skmpXb15XG+qbVml+dVIyl8Gvz6/wDB/U9S8M/C&#10;7wF8HPB2l2+rfCuZtYjV30nxPfTXz2U7OE8ySG3uZXXY21FkkEaFgAAkYUMN7xtpPiJvGPh/xr4V&#10;8cf2He2u9r630KxhieKVotqzW0xYhmZ8GRXQhgZcBXJVvm2X9qT4xeFPh1pfiq28lmt9Wj1R9F1D&#10;xI8MkGxpLQParDJFOwQqihVHKKjSeYqox7r4Wft9+DPH/ji38N+KfCmpQt9o3aHJb2u+NVjCh4l2&#10;tGyEOZW8voxjKqfmKisTPiBU6lCMYyTnonBxSjG15e7KMnd+9F6uye6szOUpRjaST2djsvg74m+N&#10;V1ZyeGPB+lalo+rTLPPq9v5ZsLxysgDXVu+5DKCzrvVjl3beFQuxrH0TxHcalDJZWniGz03XE3Xv&#10;l6fOrK4b76O8YR23SDeskyfMxfB2NGy+lfEL9pHTfC+r3Hjjwt8QtG8J3F9NPbrpf2fyW1Bd6mNW&#10;haCWPDI4ymMucP8AdVmPkvhL9qGL9oHwvceJvFEXiLQ7Vrie4j0rW7EolxMEdS8amNNqHd/yyaRi&#10;Nw2jBFZ4rL69VT9nCSlBqXNGScbJuUUtYvVXi1KN7aqTsm5ltp0KB+NPxcPirT4fEelNFY2sk8bx&#10;3t3IkkdxCyOWRdjPb48xQrYjIDHhhtauhFitv5HxKtPF1rbW+oadL9oks7qeSPy0k3xRS7VY26yG&#10;LBbCBy4DHaSB4/4lv/EuoeEdV+GUOgjTteis5LnQZJNNe3uhK1zOuHaaR2naUW2fM3RW6xZk8sAJ&#10;5cN5fePPCfxCuvhxqGkyySG8uJYbZ5o8SaeIPODgktGQYVGQdxLM0ZUOGUea8HGsuW0eZKTtFyur&#10;Prr9q9r3snqtUjnlKW57RodhpevIvh74faPoMOqaTb3mo6zcNqE0c2sAQrm0iBfDzZKsdoAMaMCV&#10;G6Rb0X2HV4L63vPAhu00mH7XCq6tN8sauzgou7adq7mcgKQY2YR7cZ828O/Eb4feDLPQbfxL4Evl&#10;bUC9uY/OjuHmWSOZpmUzRFVxGkqlVDM2cZZ22DpfEOr+Pr3ULy6sdRuoLTQYVj0OztZ4bK6SWSYj&#10;yyZHXYskrs2VZAySg7on3KvPRwN8dQgknyp83MlJSjzRj8T95Oyat0ce3vG1Pmcbf10Oy+GPhz4e&#10;eBpLibRPFHg7xLpdhIRqvge/164sLy02n5IDKV3NOH27AQYZUEgWUrIjnzW5+PKa38Q7vSvhF4F1&#10;6HwzDfTWmrXGp7rhdJupX/1DHyQkOXCq0JySdh3Myha57wfqGueDr+wsb7W9L14usx07WtTlsobS&#10;8++GdHnbyHjLIwMiM6Ljfv8AkZ1yr748fEzwZ46TW08F/ZYoZrP+0tTa5gkuELmMpctFHKksce3A&#10;WQLs6rlOGHqSqxx1KrSw+FqRTc25XUUnbdNpSTvtFdd4tO6FJy0tax61N+0D8VJZmk1PVfEElyzE&#10;3EkfiT5Wk/iI/cnjOe5+porw+88NT63dy6zF8bjbreSNMtva6VE8UYY7tqMSCyjOATyRRXxLnJO3&#10;1iH/AIBWf48moe0r+X4na3Eetx63eSw3lm2mLq223hhvoxNFayuXFvIMkwx53NuU5by+BvQg0tD+&#10;Ig8OePNP0Xw7qNvbwWaqkdrcXO4lnJcOCwDIkigkrtKoWXaSMk7/AIQ0HwFqcf8Aa3hXwtMbvbv1&#10;C13RxpcxBVQTZUlljQEK7JuxuGFKnBxb/wCGPh3xRNdfEPxR4gtYG1DUBHZ308i3KWkKEIB5MqZm&#10;3HfiJ0ICoWyJMyN+uU6WDesno0rW1bemr30269PI9a2H5dr7Lt6v+v8AIv6ta6df+KLzxnbxNp9x&#10;dJIZLiO3gWS4ysysyqgiYqy+aSAQ37yXCtvcP5H4p8R3Mni6bx3H4ztZpGvlF95ccaTTjMZiIbaS&#10;g3E9WCDcynCFwd7xD4s0W1vbG10LVzO2m27Q3UhZmVyZN0pk+QhipDKW2/fVcIjMxbyvUPG2n6n4&#10;dXQ9A0WOTUI4kC30kKW4uHYKVEUYbcXABB3IwXB+dSQT1UsPUqSjNNtfo+9zz5xlKXuntHwx8afD&#10;j4u65rXwu+MdlHeXhsbi70W5XUp41WSIRsbRSpVVcx+aBuA+aHaBlyKu6Z8LfG/jXwXq3wu+Hmg2&#10;2t6FJa3smzS9aKRQSAxh7uYSfJcSrLEhVFWNwYI8llLE+P6N4l+GGveFNP8ADngnwdbaJr7xXb61&#10;NNNP9jkmhgH3fMZmJHlnauWKs7CJszGNfa/C3jD4G+GbfdoXiPVrqbR9Bg07VILLVLi8i13UpUMS&#10;q3zSKke7eNoHlKrttyDhyOFrUsU5QvydYu71WzWuib7b+Q407O1zF+OHw4+J1zov/Cv/ABUbPXNa&#10;1y6bUJNPUMlg6jfstllZRsmjDZ8xGAUQrGwIVZDX+FOmeBvgV8GtS1DS/Ctr4j8TaldNBa6Fa687&#10;NdW0rNBstXjLpcIjXMrMw3q6SeYrAYVfTNEj+PvxF8RaB4dl8CXlnDNZ3n/Ex1zQEtbONkCEnzDE&#10;REs0ZCqVDFWVyqYUCvStF8EeFfh94D1T4seNfCHhHxTqGn6pdQNqWg+HXNxPbxQIGkWUt5lxudcl&#10;kIyS6hWVBWka1So+WSW99La/JbdFf/gIqXNaz0/qx8/X2peLtB0O6tfi38KtBjt7jybjR7W3uLuE&#10;G2S2hi85+CJIJI8MBGzFzAUcIwdDB4t8d/C7w94Xsda07xPdXWoWK3lo2n2ssdw9rab0NzBIsbqI&#10;I0SFNyB87I2AVC5Y+y6/8cbX4s+Ho/hJe/DaHVtFk0mWDTfttulrbeYj/Mro6SMkoZQVLDduKn+P&#10;FfMfxa+HPjHSr+68F/DT4DM0k09vFIsbEQxEwlJVkfayiUqxj3OIyGUSY+Y7tMDh6eLjKp8C1bT0&#10;t3etn89n8jP2alK1z3n9lv8Aae+CXi3VhpvjfWIdN0i3kmjtvENrK9nb2d1Mu8xZtrhxOMqoO9co&#10;XjBPysX+gvDh+D3xCt76P4M6jf39jZur3kmg2Vo0Om3cMSCa1jlaNgXOB8kiGYeY7Btnl+X8P+O/&#10;2hPHWoHSbXWvhL8K7vSrJVn0zwr4Hsr+1fcl6EiLRxzmOINI0zBWQu2wbkVJ4XfH8M/Cn9qvSPFe&#10;o+CPhxeX3g3wrrEL67d6VuW4gS+z5n7tQ2wSRhI1jxtKLF/C2RXLiMrxNSSjCo7Rad5Wael3HRad&#10;NbdbXHGm23d+h9EfE608Kfs5fG6w+JXizRtU8YeHPiNobaBqNjrF1Go0K6GoW+X8xIi4iVDIdqpu&#10;JX5mc5avKfj94K+Gvwv8b6p4q+HHhj4xXniKSa3t/EmlWV1dS2uraaZ1a6tJ7mKLzI4nQFA4kYhU&#10;UeWdxdavif43eMfjdo9v8LPDmmeKNeuL7w/cXelx6aourh0jvpbdZdSWNIoZ4PM8ljGIxEWkK7GV&#10;kx1HxD/Ym+KH7SXhaHxv8VdQh0O+GpTTTW8djHBPMpRNquFlfDqm1PK+YoqjociroxrSxKpSXLFP&#10;V62ls9ml1um1qra2Kpx9/wB//hzpf2IvBHwD+OHwv8Q+G/F/wdNjoek6nnw3D401qSPUNehZ3OZ4&#10;7aNZIljLxQqyGRpBn5QEKt8Tf8FQvBvgP4e/tneMPBHwv0vSbDS7SSzhj0/RVkFvayrZQLMo8xVO&#10;fOErHgjJ6mvszx7+3TqMvwi1T4K+C/D3hfTbTTI2hN1o9pPJbwXCKySXg82OedZYwQxmLGVm3yuU&#10;wM/nn+014il8SfGPXvE914/1bxRPfXm2PXNcLG6uUVFXc+5iwxjaoJ4UAcYwPq+E6uMlm1elOHJT&#10;gtF3bs7pptNNNdIu99LbehgYy9v7u1v8jg3YLFsU8dB9K+3PhP4D/Z5vv+Cb998J/iw1lpPi3xBZ&#10;3mteCdShtY7iS/v1xKE3rA0kQEcUELDzAi5cYDMxPw6AQyoRz161+sT+HPgLqXj3wRe2ukapa+Jf&#10;h/pn2DRdLurSyuoLm2Ee53lijtzcS3nJKuGRhOVX5mZiPS4uzClg/q8Kl1eTkndpc0UrJ9Nb9dND&#10;qxnwpJ9T8p9T0rVPDOsXXh/WLRre80+6e3u4HxmKVGKspx6EEVr/AAwu/wCxfif4d1uHTbW7W316&#10;0uEs76zFxBKyTIxikiLKJEIHKFgGHGRnNdb+2xa6Rpn7U/jODQr2SSF9TWSQz2rwyRzPEjzRyI4D&#10;B0lZ0bjllJ715zoOrLpt+sepxnyXYbmXqp7OPcfyyK+nwVaeNy2FSas5xTavezaTtfy7m8X7Smpd&#10;0frF8QP2WPF/xf8AHt14F1D4ZWOi2WsXEKLfeB/Dc5XQCLfME90klun2Xd5TRkvtKkvkhSofn7z9&#10;jyH4W/CjVPGn7Q58L6xY6LpsS6PNpF9dW8mn3IMMZyZESKaGVI4jIzITuHyvjfvvXP7cPxs+JHhn&#10;QfE/w1+IfhW81aZbODxJZ6tqxS3gsnEoQSxmcTzeTJOWDRo+3zF3ZQspt2njGb4zXXjG6+Lvx38H&#10;6tp0ml22j6T8O/E3h5YLGO3ggZvtUDrLDmZnaaTaFV5NkcYdMRGH8WwmaYipXdLFqMXFtWTd2otJ&#10;rTX0vZPXbY8CPKpO711Pp7/gl9pdlqv7J+m+JtGt4YbHxNqdxc6Tb29w0xgjSFLNYWdootzpJbsp&#10;IRVyPlLrh28l/wCCqthqGh/GHwn4+tdakt7DxN4Yu4LxSxSFZ7V2mTngBy1zMgDHn5sEByK+q/2R&#10;vh5dfCL9lr4c+C7m1kt77TPDNk91bzSuxhumQTSoN5LBVkZlVT91QF4AxXhf/Ba/w9aaT+z/AKV4&#10;kgI8lfF6Gzx/Cs1rO7fgNij65/D+hMxwP1PhCNNLWnCMvmrN/qvmfpnhZiFT41wtJv3ardN+kk1+&#10;Ds/kfKn7K3xKmg+Pml62LFNXks9C1JIrGzmiWR2ZQFO5tqhSOOp6HAJIB9v0X/gph+y14LlvLDWf&#10;Flvb6hCsm63WG+uA0wVCipIlrtCMxYFmw6bOY9xKr8m/su6R4k17WPF+neFfDlvqWqWvw9W302G8&#10;vBbxfaZru1K5kbGxiJH24ZG3Y2uhw6y6X+zD8Z/Fvh+aDxfrVt4Lb+2Li7ns9a8XQw6YVjk3zG30&#10;iG1cNGhPQOIuQuMcV4PDeMqfU3Xm4xTlpfe9knq2lslbrv8AL7Pxkw/1fiang8LGU3CnHmaV1u2l&#10;ZLR663fVaHo/7Qn7S9p+1pour6ZZWem/bPCuk2dxq1xY3v2iAM1uZJ9jJuTh0mVdkkoKhcsDkD3T&#10;/ghH4++HOkeLvFlpdXVyNchSwaZVH7nEss22NOeAoWPcW6HcBnjd4r+zt4S+FNppnjjwj4EeGRo7&#10;yWTVlW4Rkied502+WoHkBBGYwjKh2xKxRd3Pln/BO34ueO/BP7XNn4Q+B1nYa1c605F1q0iztFZw&#10;RFZvNlQbGBUOYwcrmR+CwC7scZKjh82w+b1Pgkppuz2V1dJrzevVWs2nc68hzbFYrw/zDhybfOpU&#10;5xSatduLcZNO2jitL3T5nZWZ+lvxU/YmbxT/AMHFXhf9ojRbddNtj8G7/XNQk80NJqmoWqJo0ikZ&#10;ygW21KwYNjDeSR13Gov2z/AkWv8A7QuqtrerSXEemw2trbxHBSJRAjtH+EjyE98sRX05+yn8PPGX&#10;ir4weOvjd451dtUu7PR9L0bSNQkZF+xlkaa9tYokwIlYf2dIxwPMKrkkoa+WPifrK+NPHuueJ7N5&#10;Ftb7WLu6tVmb5lWSZmGfcBsV4fGGeRxWR0Fh7qM5J2e/uxt56O6Z7XgtkEsNxVi6tezdKmotrVJz&#10;kpK3naLX3nnep+HfD+jyQ3Gk63azRweW81tEsoZfkd34aNV+TAU4Zsk5BIJC8747+B2oeHfDqeMf&#10;7Rt441sbGVrKW2uY5X+0KxQJviVXIEbkkErhThj0rstbtILSwkVLVn3LsfI672C5/JifpR438S2e&#10;t+H5LKyhjhkvL5Jbmzt9Pjght1iWRYghQ5lJE75Z/n+VQS2N1fk0quLpVYcjbTeu22mm3a+umvU/&#10;ozHYbFS9nTpSbi5auy0V1potFbm101sr3sjxmx8Ka1qOjNrNrYSSW6XC26FYWbzZipby0wOSFG4+&#10;gx6jNP8A4R7WbjUl8PiykW8ErrJBJ+7MW0sW37sBAoBLFiAoBJIAJr2oav4W8P6RpMela5qRuNJW&#10;adVh09BGs08JBKu8pZfLdzlVAjl2rlAcs/B+HIrfw341vrQXUkkkNvJHbR3l0lql3IHX5ZnLlUAA&#10;aQHcDvRNrBtpHbRx2Iqe0fJsm1e6vrbW/lZ/O3Rny9WrmmH9tKpS0jdweqvq0rt2tolJ3/mtdcrZ&#10;w3irwze+Gr9bC7vIZmaGOVWgkP3WGRkMAyn2YDIwRlSrGu/h+/Gi/wBuCNZLd5jGxjkDNGwAxvA5&#10;TO75c43YOM4Ndf8AEuTXNe1ex8QeNtW09jKwtvs+lagl28EEYX5iRK+SxdiN7kswbOBirGv6xF4y&#10;0bCfESDT7faiT6fe2s8RmYYOB5XnB0DZKjKIjM22OMMc7RxVb2NNtXv8TV2u2lk9fw0M6WYYr6rR&#10;lJJ3+NpNrtZcqd3frtp2Zx3h/wAG3HiB/tH2uOCBLyGC5kKlmiR1ld5to6oiQuzHIwMfhlT2VzY3&#10;LWt1A8UkRKSRSKQyEdQQehr1Xwh8UPD/AIc8Jabpv9rXEMmnStMV+zFpElZycx7SElBwu7eUYRvL&#10;Grt5p2cYPDdjc6prA1XxZEz2tnJcQ3kMckyXku5MLuwCpbcfmYD5uDgmpo4qtKvNVI8sVtvrrbt6&#10;P5/MeEzDFzxVZV4OMI/Do3ezs3t10fXfTRXOZ25CjH+cV12t/DG20X4Vw+MNQjmjv7hoZIY2uwsZ&#10;gkMuGCtGN5winCSMQJMsFA+bnLL7Hb3cMt9ZNPCvMkKy7d49N2Dgfr9Otdrd+M9A1fwz/wAIvqGt&#10;NYx3cZmuP7B0sRx+YpZxFNGWRXwzuAY9oAWPcZTjypx1TFRlT9knbmXN6de7Fm08dCrR9gny8ycm&#10;rv3VutLv8NdEr3OX8FfDZPFei3niC5aUwWOqW63cdvKNwtdkr3D7QrMpVUBVmAVsMq7mwtc5d+F9&#10;Wt/FNx4Q/dvdW95JbSMJMRhkZgzbmwAgwSWOAAMnHNdv4W+KF3oNnpehSzqLLTrqSZ1upJW3b45l&#10;cR+WA0fyyYXB/wBY25m24CYdz4w/s/xj/wAJboV7dTNL5cky3kKI8OGB8iN1J+UKqx71EeVyuxVO&#10;088a2P8ArVRSj7tvd3/F/j+AYWtnH9oVozj7lvc3tvZXe2yu/VK5j+PfDH/CO6m0unXTXWl3TM2m&#10;X3lsonjB7hgpVwCMqQCMgjKsrNyvxG8E6rpvhu08SGGaHapGoW92qwvFuYeU6Kx3OjrnBA6xv2Ga&#10;9O+JPjJ7/SF0qw8X2d9FdTKLnT7S3na3to4I4khKNdIJFc/vNxViSOp5rz/xrP4P8ZXEGnapr114&#10;ft7K2b7NG0AuoZW4A4iRCr7QMyMHLAckbVB0weIxfs4Tkn56Nuy01Vk7t9lbrtoYVMVmH1SjUqRa&#10;V/edm5NLTWNlLmb/AJU1opbPlMHwR4Yu/E+iXU9leWUdxbtG0a3morCXjGfM2hhtOMoxJZcBTgNn&#10;jqvCcPhfTLfUG1nWbhbywSY201qqvBOABtYbtrYPODjJDqcDaQcnwH8R7Hwz4Ik8NWdvcC5muJma&#10;a3naPLbR5MykltrI2SdioWCoN2AwbW8bQy+IfHHiNheNdLJf3PlzSSbsxJIduCT0CKAB0AAAqq1b&#10;GTrThPSHR9dLdOz1PQyh4+vmE4zTULtxez05bdNm7/09PeP+CYPxQ8KWPxA1bwb8SjpsnhrWCskl&#10;rrEayRrPu2SMm5CNrxv5UgOFMchU8Oa/Mf8A4Kg/s5eCf2U/28PiR8D/AIZzK3hzTdYju9ChVXC2&#10;tneW0V7FaqXd2dYUuFhEjMWcRbzgsQPqzwf8WvAPwn8R2PhLxtdLpt1rasPD2psu1RNG6+ZC0gOV&#10;aTzEKjofKxncFB9M+Knhb9kv9tq40vRv2ufAviCz8RabpsWl6P8AEjwfrTLdfZI2maKC4t51kglQ&#10;PMTuCLIQFXeAK+7yXGrB04VJX5WmnbXZ6O3ltofh3ibl6x+d1adKykuVq+l24JyXldu99L28z5S/&#10;ZM+Fsw/Zuj8TLc3lvDcaxfR64P7KuLiG4sbvT0gtpNyDA8u4S6jIQFi0uzILADv/ABfpj+APBF98&#10;Iz5OmWej+MLltLkuYJYn1i3e7kCxwSqGS5RZEmkCts2rDISzMuwfSGmf8E6/HfwJ+ATWXgfUZPHn&#10;hqx8Pm3Go+E8QXl0x1Hz1Wa2Ll4maPcTtEixuyDzWUsR8s/teeFviR4f8ceE/DWgrqUS69faxqtz&#10;Z3djNbxWl3HZJbwSmGUYttsVzEj7VRpCELIMRRp8xiMVLNM9alBpOU5J6pfu78r2SfNTbWrdnol1&#10;PxrhnA5hQ48wFOrTlGXt6bWj1Smndd1ZdGfH6QWHxC+NWsahdSw/2ZFeyzysW8tXto22oo6HLAIu&#10;Bz83Fb/xM+KOpyaVbaJDP5V7fWYbVJIztEVrJ80dovAwpXaWVQBtEaAhdy11/wASbaP4f+B4/B9l&#10;cJeX8kKi7ntYAobYOihQMgLxuIyduSa8Du7qW7u5Luf700jO3bkmv0XAqOYVo1GvcppJebVtfv8A&#10;yR+s8VYrFcG5bWwUZJYrGSlOq1vGMm7RTT7O3lzzS6NdE3izUbqxXTLm586EQ+Vtz0HX9DX3x/wT&#10;V+NOt+PfhT/winjvUXuxBLdaVbSTXUjvKlvFDKpIYkBhHP5YK4+W3j4yCT+c9mQbpMjo2ea+oP8A&#10;gnh4qn06OZ/PYJbeIvOEa9i8AB/PYo/CsuLqEK2UubWsWmvy/UrwFzLEYPjpUFJqFWElJdHa0k/V&#10;NaPp82ffXxd+D2meC/Aej/Frxr4ITxBb+KNIm0hvs9lFdNItvNZyRXRjM0G+WKN3t/8AXxsFG0sq&#10;QhZfgf8A4KZeGbK01j4feJ4rnE//AAip0eezaz+zlfscp2z+Uzb4vNE5+QoFVo3CNJgkffGieN5P&#10;i3otv4M1+8MljZ6XJYaehRQ0MD3E0jZwAXO6VyC2TggdAAPlX/goz4Jvbr9jXwl44tfsepLpvix7&#10;G6uImU3WixC1/c286siuqS8skiFkkMLCRjKmT8fk+Ye0zrDza291/wDb0VH/ANKSfofTePnA+Ky1&#10;YfO6Ci6bqTVXljazqSbpzb7cqUX2ls3z6fBsxOfl7elOtNb1nT1/0PV7qL/rncMv8jUIfKZPeoZT&#10;8p+tfrTtufzY5O5vW3xG+IluMWnj/Wo+f+WeqzL/ACatr4d/ECz0/wCIWj+LfidqOr6haaXd/am8&#10;mcSzvJGC0SgynG0yKgb0XdjnFcSFeCTyy+OAefcCrIO+LBHvRy80Wu4RlyTU97NPXyPu79jH4pxX&#10;Xh618SeK7NjN408dTapiGch4VhY5RSOi7LfyycY5XPWvpj47+H/id+0d8LdLv/2cNe1XUI/D8d1P&#10;rWi+G5GbU7izmljAZYkVnnt1QeW8eyQESxt5cmxVb8+P2RPG6eIfEuj+BZtS/sm403Sm07R7hVeR&#10;ZJrvUU3zNz8jKJI8AAgiJu7Cv06+E3hD4U/AHwT4i8ZXH7UWnzaloOtRnwqyW76VLGRabFijKyJd&#10;SRt5kokGRGzMctGME/mnFCq4WcIxiryls3Z8qf2d7tab6atPse3nWdUauRfVoyTlUtzdGrayf/gS&#10;08jy74WeHfCzanD4717wr44+G/j61kS81FtUjudGvdoU2/2wHZGhEisfMkiwWZnLMTknX/4V/wDD&#10;bU/HsfhvRNY1jxJr13fQCHUvEciXDR6hNKZEt0+1SlJYw7KokcDg5/hrU+OX7UXjP4j2cHhf493f&#10;iTRbODS/tnh/XrzQpri31iHJZmDiZ32mEblkZn2tjJ648btfF2o/FDRo/C3w/tdWtbibV38zTbV2&#10;up54XjRnjBkVpPK82FJBEpwheaUmV3ElflmeZfWw93hsVUV58/K23y7S5L9Y6OyaaWi1sfm1Tb3W&#10;fW37WmvfsZ/FSx1HQ/iv+zJZ+G/EVraz2GpTWqxWN9pWoxQJskMULq93A0e1UkbAaMFoyN6Y+f8A&#10;4zfsPX/gj4fafq3/AAgWueKPB99cyS2/i8NaabdaRvt02Wd1DDcT3DyIm9XkeIyg7mW3mMhjTI+J&#10;PgP4o/DbwVpFtY/DDWm/4R/Q5ri9udUuBkxRmSU3JZ3y4Vfl+UjcIy2c5z7Z4d/aQ8UDwLeaB468&#10;OzRy+Ebee20ceH9Lnks7tpv3VzFCZYGSVJdxlIGJWBO043g98sbjKPs6068rTT5VJNWa15mo8knG&#10;UU9LJXaTWqSarOUmpbdH/meFX/we19fGemXXinWWuNHXQ5dN1jXptNVLqx1CKH9/LErxxfbVVhct&#10;FN+9E2yRd3mMK7jxJ4F8EfDX426XdfDXXrjXC62cheGMfZvJkZ5ZLyLeZCbmKN2aSIMxjiAdQrlm&#10;t/Mrn4kadpdrqV7L8Uo59ZtZN4hlQwtGXfbCZJH3olymZmZw6BI40LLCFQr7CbD4Gal8MrHxR8U/&#10;jjeeH/Feh2dvLZ6hcaLPHm4WJ2ltp1fK3UbC4i3yRkRu6KwYkbA+eni5U6sqV+a6sm1ryOSaukrO&#10;yW11dedzmXtHoeI6t8Z/Es+maj8UPHPhiTQdNtb17CO4utLjnh1nfDeXERV5lLkRyadHIFjkyzyg&#10;s20gC54c1yST45w6nfRWd5aww2kf2hdLSOWebLPdR3ILKZolVVt92W2mFPLB8u4V+m1u10bUfFGp&#10;fCHX4dD+xTTR6lpd7NZNdRu+FkS8tWaMK21NyFyYzs3I2PMKntoP2S9e0G8k+IfjHx3pdr4kv4Vm&#10;1vxTq1i1lHNHFu2ym3EiqjKsgQKFCfJEWVnBLcap80qtWleEINWV421cXdNNvlbu9X8LSStqiMOe&#10;7inp/Xc880LwHrkng/Q9L0zUte0mG8kaXTtd1izjtoVt5HmWQTjfJ5nli3ik+/vlZioVZQy1U8Q/&#10;FG8svHOo+DfHWkLarp19C1vf3c720tkgZ0dZS8ZZg0kbAK6sEyCuGkYHvvBPiC9+FXhyw0eDxPpv&#10;iy40Vri3kvLy8S3juZVZmZl85tqMD5uABJ8+TtZWLDxP4nfC/wAdWni27ufBkV1p+lww+fDNrUZV&#10;tUuIl8mHT1kMobz/AC4bqYnY2N0SsoB3jjwtbA1MVJaJtzSv8PxfDe9tbprvJtOzvbNS5pNf1/ke&#10;jvrvgv4x+IbjRdQl1TS1v476507xFo0cFzNBM7Em7jVJCryqzSO4XLI6HDiVcJ89y+FR8Gr/AMT+&#10;GdK1ez8fWf26OFr++0iaS40r7S0BlN/DcMqFllih2uFdHkUFZlA2n1H4K6t8WdC8Sap4b0nxDb3G&#10;lyafb3ut6bpGipNLpU6xyKfMuUw9uynd5cyecmCjEKWUv0Xh3wl8O/Efia+8darpmiyahHosFhDN&#10;fFYf7TsyHUTpE5VncvsEm4vHu4RAiosPsOphMHldZSU5UpWm0uZyvKV9G3dpK97PltpszohzSTXf&#10;+tGfGOt/CDxFrGtXmrzajb3T3V1JM1zZX6xwylmLF41O0qhzkDauAQMDpRX2ZB4RtoYEhsfiZoNn&#10;CqgQ2cUU22BccRjy4SmFHA2krxxxRWH+umHp+5HGU0lp8Fbp6Qt92nYnlxhn6Tetq1tBpl14jjvb&#10;lZJp7C60zcSXjdwsskWIyqKiBRIVDZZSAcsWz/i9q11F4cutXm+ICxta3TyWMGj28kN3BGkY2x4E&#10;aGLkMAxKglvlYhTibxnrmswTaxoFtoVtogi1K1OtTTakkNyyXMX7m2VmVEkVEVmkmlkSUYYuB/Fz&#10;3h/4b6p8V9Z1DU/DY8G65PY2/mzxX14zWs8zI37wC3XNwxcFpBECoEKklC+6vp8BgYyhFt30vfay&#10;3Wml338z3vqdSnT5ZKzXRrX+vxOVv/iL4t1XwnDqXirSJ/Eth5k0VveXD+ZfTlmt1iXOUMoAOzaz&#10;NIzs3yqSc8B8S9G8FWsc3h25nt57fS5FuoHsb8n5nEbyMlxtAZ9x2GWRWAwVVAsYK+jePfgPNpMu&#10;mav4n1povFHiiEw3194V06WSG0sQvlyQAQCVjI2QjsrKsqRuhmYyyl+l0X9k3xp8TLv7XaSWmn+H&#10;m1mKF7+S4v1uHtZIVJlO57qaB98jbR5h+e2ZUjk3Yr6KlHDxleCet766aNar70Zww0qklyK551o+&#10;l/DrWvD1xpvwR8HXfiK4lXY19qk8aOP3jbZWswftMkTErNujh2lMZwyFY/QtB+G3xf8Agz4g0X4r&#10;6V8H7y1nsdASNLWx0ZJ2SY7jJK8Y2tO2GKhpD+7Xk+Wdrr7R8AtA+FnwM1u78Da3qktjpN9CttHq&#10;HiCZbaTTXjZ1+0PNdtGU3LGxfYvL7AAGKx123imey+HnjaH/AIWRqmoahp2samlx4Wt9F1ENLd2f&#10;2ffHxI6ySs0kcjbAAgEiAPuwBx1MXTw8JVK8vcV907q//A62tbXzOWdH2NSz37dTym++PP7Wel+F&#10;dHl8XfHjwv4V0W40dkuLW6u7RLwLHITeNbm12SzyHaAEhUsAcZbeWbgfjLrPi/8AYy0QeL/DXxy0&#10;vx9ca1eW9zoPiKzP2uHTrKN2VxwZWg3zmWMLna7RzZO6Mqdb4qN8D/jD8XG1DS/C9j4dFpZ3kkni&#10;VVgtIbO6X5lS7LuN+0RlWdXmKvIwKqMu/juifGD4Var4e1H4efFjxbcXPhfS3vNQ0mfS9IK/21dM&#10;/lJE142ZZRGxZ49yMpyS8h8qNVjC4OhiuWtT1T3VtbX07vdExpOVnbfU9Pg/bS0pPEeow/EfQtJs&#10;7nxD4kk1m8W3e+8rTLdLVIYzHGD5brLIuJcEys0gYqwEeztYvjp8FT4hgvLPxdHqGjNPbWVv9jtb&#10;mJNPjeMyRqY7g/aovliK5D84XMRV/Jb4l+Lmk6rf3S+ETY6bHY2fkwRXxxPLbLIolSUybiAZFxyG&#10;KkqcEgLjpNF/Z+1nSdD0v4eeB/E1nqniPxJCup7dM1CFJLWKCGQr+880KqPFM2T/AA+WBkjmumrk&#10;uGUebmspK1unm/SxpPBxaV1aXY9G8Y/sjfDHwnf6f428V/tW6pfeBL6aF9U1AWLynT1Vsm0k8l2M&#10;soLQNjy0LcSFFUSbPU/F/wAc/hH4g+FK+DYvi742uvB9vazaVrEmq6HYWMNwskLeQyJbFtQihGxw&#10;8UiqspdekQdG+StG8RXHwD+JuoeDPEZVWjso/tMbW7x3dtNIYH8o7ghbBCyYHTkglsV6J8SfH/hj&#10;4ijQ/iraeDYYdMjt4NM1nVLwiRhJEwiZZIsZncxFHBQhgXVnIVUWtMRh8RLkqTk5dnZbaO1rLV2/&#10;LQmdH3rO/l0D4Z/tifEb4L6zpPh3wv8AFi4s7MW80drN4f8AC1jdXkVqGAjtW+09UAhVgwZH/etn&#10;KjFer2n7Xf7Z3i34f6jq3xX+JS22nf2sttZ2qaPZWOrTQyCRoUnkltvIih2JIyOEdjMjYYqGVYNK&#10;+DHwj8b6vaXfw+0a70jVvEVwjaRNdWNvbm0tBGfLjmW2kaKIzZQlnjlLrkNHEHMj+jeBP2Sbu2lt&#10;/Dmh6to+g32n+IJLPUZ7bT/9Kt28pjAPLKKC6KZW81chzNHgnZGlccHltKN6MUtbvTdttu3m23td&#10;t7G2Ho/WKjjGF2116d2fNeo+A/hnqnwquLrwV42ubzVIL9NOsbTTZxfwTPOkJE8146Yiz5SllMal&#10;U3AHezKvzH4hmebUZpJpVkZZWyyA7Wz3GSTj68/Wv1q1b9gT9nPwF4wvPHHjTx7ZWsNpcf2pNbaX&#10;bus14zPJiMSBfKwzSLGUVNzRDb86gJX5F69cQ20f2eA7pG4Zh2r7TIXGftKi8nrv6fgeksDWwUl7&#10;T7Xz/Hb8WVLZ0mu1cn5d35CvvTWvF/j6Dw3pfxMtvGU2m6s0Ct/aVrC63turrJ5pjCqrRBDF5LAD&#10;LLIwUheD8I+H9OfUtQtdONxDD9puEjaadgqRgsBlieg7k+gr6x8L/FH9nDx6/wDYHx/uby1vlF7B&#10;oviDR7cXFqqy74xHdxRxZkZHPmJKhYMXUMAErn4mwNPFSpVJ0+ZwUrPflb5emzva3WxjXi5Ws7Hz&#10;3+0etw/xi1ma6nupmeSFhcX1s8M06mGMrKyud2XUhskktu3HOa43Tribf9mCKxY4j3etdV8XYdak&#10;8UNda/q1pqN1JbJ5moWcjMlxtJjDZPB4QL8ny4UYz1PHuiod7D8SelfSZdHlwNJLpFL7l/XQunb2&#10;aR+hH7LOpfASw/ZPg1zUNLsZPE1/p9/A1r9jkEty0FxAfJMyY2Pt8vYC6FmuFUByVU8pF8Q/h/p0&#10;lxr/ANuhv7WbR47WT7LfSW8tvcSJbkzhWEiywo7suwsHI3btrAY+YPA3jC90nwjdFdFW+WG4kYrH&#10;dbJhvQDcByXVQrEqOMkZGCSNyP4w6r8UtUjn8WarcC+toY4LVZD5zTLEMxR5xkr0A4X5SQMkDPw2&#10;NyFyzKrWlHZuz0vaWtteiPMq4fmm5WP1L/Zz/wCCxXiuCCz8PfG3wRD4r0uG4tbf+2NGdYdQjV0u&#10;ZPMdP9VMcRIoUGEgEklzmrf/AAVq/ah+Gfxf/Yt0ax8G6Vr1vdX3im3a3stWs0ja3RYLg5YxvInf&#10;AAcn5uelfnv8NPFU/gX4ZL4oS0jaOy1aS5uJo7UbfKxC8oUrhSwj3YC8DeexFfb3hbRvCv7S3wNv&#10;fhpeanH/AMTGyWTT7yJt2xxh45VwRuGcHgjcOM817E+Is0WB+pVanOpRcW5K7189Hs1ufuWTcN4H&#10;IcTleaSi1Llp1Hq9ZLV3Wu22ltjx39nHw1431T9lT44eNfht4lvtJ1vT9W0h7Kex1gae0cNnM0cs&#10;hnMiAJ5UsuQWAyF6naK8fvk/a78beIb/AMBa1rnxJupJLO9uby3/ALRvpQ9zDayCHdl9rHzViTPJ&#10;wQBngV9xfsY/smfEDwl8P7rQ20DVL1tbmkGraZbzRBJNl9HcKs7MHWS3kFukc8QVhIkkkfAcuPUP&#10;DP7Afxe8EWkfxAv9YtdF1jT7ORUuPNkvfJkkVPtdwk8zEKJxErSMxwzl5SiysZD+g5DkUZ5Xh4VI&#10;2aWm2zbknqt9T4PxIzn+0uNMZjaNX3JNLR/ypRtZbrTfZn5kfBDWfij+yH4R8a3njrwZc6XY614c&#10;ha1TUR9nmu5lf915SvhnQxyzZkVSgJQEgsoP2P8A8EOv2P4fgj8C739qz4o6StrqXiWAnT1u4Ast&#10;vYKcx43D5fNIMh5wV8on7tea/s9fsHeG/wBqf9sGPW/EXjCa98KXeqxSXmoahrUsx1tIldhJHKS2&#10;TJtKo5k/1auyNuUrXsX/AAUk/aP8X/En9pbw7/wS6/Z2/wCKck1TxBp+gatfXW6BVmvWhjghBRS0&#10;cWJYy7KGOxhtzzj5PjWhiK+KpZRh33cuvLFvq7Lfe3p309bgfE4XLcrq4+q3a9l05n2ivLXVvvp7&#10;uv6hfBDXLrwH+wvrHx4tFgs77xZpt54itruC7+0R3XnxiLTZkxkfvLWOxwo7kbhu3V8R3jyg+fqU&#10;LQseYrVFJx7sTX29+3De+HvhD+zdoXwN+GunWmm2chtdN03R7XMaWum2ca7VTH3EjKWy9funHrXx&#10;Pcz6Zocvm6pf+ZdScs3Vj7Adh7mvzriiUY4ilhofDTil9/62SP6E8HcNU/sfEZhUj7+IqNq27jHR&#10;fJScl+XUxddtLi8hVIB5hWRTLEpAyADz1HRttc/qVjc2/wAn2QrubIWuynubzUm86OyMcar+63fe&#10;yevv2HYVTn0KJJvtVzfSfKv3QAcfTOa+YSP2mnW5Y8sv8zhL2BooWbUEaGIsA0m7O0E4/rXCaxK+&#10;o382oXMmZJmLtn3NekfE6QQ6fDpyBpFuH3N+7xhRyDx74rgjpZuZVhWPa0kgVWkkCrk8ckkAD3Ne&#10;lhYWi5M8rMq0eZR6LUyBol7LZSaiiK0MMiRs3mDO5lYj5c5PCNyBgY56jNdo3EKIVI6/zNe2S6Fa&#10;6V4Na703XNL0+Ty7S4vYYdKvJbe2zHcxJ5qSJIMzRyL8xUZ2qwDb1drHgzwhD4R8DWM/jXw3pVzD&#10;fXAeaaeFZJLKAq4ZZm3oYTvhjMeWBbzJAiucrXDPNYxpym47NJLZvvvo7b6PVfJv42Wff7PUrKm2&#10;oyUUtU3dXe6s+6s9V2Vm/Bb/AEy7sbqS0urZklV8Eev0PQg9QRwevIq6PBfi77HeXg8K6j5NoJBd&#10;TfYZCsDIfmDkLhSOc56Y5xXfyWugax8WG03UvDjz2Sq0Fjp95qP2RVaJceXvMYbZuR1XKo5JBcht&#10;wO94ttbGb4T64D9qumttzfbrmylElncSXcIntmmLMjht24Dc7HL7iCBuK2YVacqcYw1ly38r/Pps&#10;7/K+xnic8xFOVCnGnrPkv2XM7dHdWas7230b2PF9P8KeIdYEf9jaHeXayN5cf2W2d9z7S20bQcna&#10;rHHopPaqcuk3tretpk1nKt0kjRNbtGRIJOQUK9cg8Y65r2LwxrfgqDQdH0Hwu0095C7QR2uoyyKs&#10;lzdTGAtsjdTkwbmyCUiBC7meTcOZ8Ha4fEHjHWvEF5oNn5epae39pWUd59lhZS8ZOZJJk2B5FXcx&#10;c/fPyt9wx9exClUlKnaMe+jbvZfetV+fUSznGc1aU6NoQ2vo2+ay3ezWq2XS/U888QeGNf8AD3lj&#10;X/D97YtN80S3lq8W8DGSNwGR9KypbO6EEl0tq/loyq0nlnaGIYgZ7EgHHrg+letfFS9nHiLTdB0+&#10;xt4lXXLi409bFt8bwyPCkTodzZ3iLfweSx4GcVP47ttR+IOlXunaQ2qanqkdjp+otHdgKz2cNsIj&#10;+7yzJMZZpJNudrI+4M25Syjj5ezhKcbc1/l7yXZrbXc2oZ9NUqM6sElO93fRLmUVfRrbW7Z4pdKg&#10;OW468HrXJ+K7EyqrjBrsr+FJpMrLt4/1bL06d6wdX09Xiw0p/AV61OPKz2cVLmOT0mAiRcL0Y16D&#10;8ObWKfVI7aZcq6srKe4KmuOsbPypOjHEmK7n4doTrUK/d6nP/ATXPj/4UvQ9fJdcRD1X6HgH/BTT&#10;wrPoXwp0G4uYVbHiUxxTYGdpglOPbOBx7V4/+zN+1R8U/Bes6b4F8q78RWd1dQ22n6eu6S6iYnYi&#10;W5GWP8IEZyDhQu3JJ+lv+CpGg3er/s42+qw7dul+JLW5mOP4Wjlh/wDQpFrw/wD4JkT2+hfEnW/G&#10;i3/2W6s9KFnHcKo3xR3JZZWRuqMVj2blwdsjjoxr6/hutSqcNSnWSfLJrtrpbXdb9D+evGLL62H8&#10;SYUsNJx9pShLvp7yemz+F6M+zdU+Onxd8L6HZ+CvHE13p6yKLj+y71k+027jK+VMFYtHIpzmN8MM&#10;gkYKk+LfF74if23r1vql1dM9xbxPFDJcfN8rFWKjPY7c46cV6F4q+Fnw18axtdm0jEi5MF1C5SVO&#10;CMhlOQfcGvKvjb8CbHwL8CdU+L9z4/uE/sq+NvHb3EUb/aJHx5caY24J3YJO4hQWwcV6WDyjEZhR&#10;nSoST91y7bHx+X8QUcjzrD42un+7kk+umz/Bs+fP2ovjrq/xI+IGtXFtCtrb3uuXd+sYYNNG0/Do&#10;ZcBmUrwRwDjOBnFeS7fzqxeTTXl3Jf3cm6WVizHHSoTuzX0+Ew/1fDxp9t/U+Dz7NJZxmlXFa2b9&#10;1PpFbLr038xrHyoXfI+5j5vfivo/9kOGfw34DhuL2JY3vNVku48ghvKKxooYfVGYezA968Y+FOga&#10;Rrvi2ztteh3W7zfIjJlGkA+UN6jJ6d/pmvobU9f8L+BLaMu5urp1xa2tuNzOwHA2+vtXzXE2KdSK&#10;wcI3b1f+X6n7R4LcP/V608/rzSjFOEV5u15P5aJdbva2vunh74pXmhwpqNzerb2qxbfOVsMCOma8&#10;l/aR+K//AAmnwv8AFHg7QoI2bVNNW6uI54/9XDCwu1dQR8smxCQRz5cpGQC61yU/jy+067k1Hxfa&#10;xz3MeF0vw+zB4433IRLcAZ3ZRuIs9fvcDB0PDmmeKoPCWqX3iOO3vrXxZbiyv2mP+kRudzZDYzko&#10;rq2COJMditfOYPLYUKiq1Em0012Ti1JfNNI/dOJMw/1mymrlTV4VItO/TTR+Tuk11Vr6aHyaGzHg&#10;D+GmF2J6VZ1PTbnR9SudIuwvnWs7wy7TxuUlT+oqs3qDX6hF80U0fwXWpzpVJQmrNNp+TR6N8Vvh&#10;JeeFfhR8OfitBpDR6b4q0u/t2vGxibULS8fzkAyT8tvcWPOADvwMkE15/FJJbjGNynnmvqf9slbo&#10;/sTfs96ZFqEc1no2m6jtjiVT5L3q2twVZgMhyySEoxyBtYfK6k/LyKHG0A/8Brjy+tKvQbbu1Ka+&#10;Sk7fhb0OenLmp3fd/md58B7+Wy8YWOpwRskkOpW8kZjblhHKrlfyGf8AgNfcPxT+CnxM0yez8Ba5&#10;aapZ2tnJEuqzJK872yiZIt08cPnXCuouIT84eRhNEdo3qG+Kv2f9PbUfGWk6baXS2bfavMlvJ0BW&#10;BQrIZCM8gGQN2+7X7EePrb4p+INX/wCFefAPxDpviTRfEl5JDq0fwz0Oews4Wlih824uLDdJCoDR&#10;iRXUyje7bTlitfEceY6ngauGmqaqVfe5I2Td3yptXa26vWy1tseXmMo+6rHiPis/E/8AZy8OaBbf&#10;EeLWvin4Z0vVFSCS905L6x8q3Uw+VHDdFniKRDdHJCm1mfDum1kfqtMtPBX7VPiGHXvCPwRn12yh&#10;1BbzVIvD92I7a1vFBjeSb7CwZpyMBg7B3VA2RGUrE+FX/BMj4j+D/F9l4l8UeKPA/wANb7w3dNdT&#10;abf61q0k+rwxoszNBBqNpE0rkZV3inaMux2pEU2tW+PX/BOzwh4v+KviXwH4h/aH8GaaureHre70&#10;XxdDYi30/wDtGG5MIsJovMY2iSbsybZJMvslG4nyT8pWjShmipupFKa11XxJ3tyLo05Nyu1pZpaH&#10;LKiuWzlbX+vQ8T+NHw4+IVh8TZvhN8CNE17XPh34v1M/8IrZ/wDCQSyWt5ICryOpV2WVY2jnKHcW&#10;Ea7mldAS3s/gD9l/9prRtDm1v4v+E9YdtLki+3XV1NFKlvZ+ZG813MYJS0iLCZvm+fJQqDnLVBov&#10;hT4rfsx6N/wzv8S/jP4bt7jQ7preLVNP8fJNJLMzNMksMxHmwTRM6bQ8KbWiXarDdn2+/wD2iP2v&#10;fCdzb+CfAMek+LfEHiq0afQdS03xRbvqFuisI5kewuVQRvwr+aT5HzFgpjRgOWpUyWtmksHyRlVp&#10;q9nHeL5buLas17yT5XpdJ9DG0ZSs+h89ancfB34xW8/wf+OXwo1LSvFnh8La6hrW67niW6ht2Vdm&#10;+SEbJG6QRygtFzGyZIE3hnUv2dvEXw0k/Z91bxdq+rWSML2DUHmW3u1t2vBNcS2krCR2MaqZGhfO&#10;cJIRP5bMlT4tftRfsmfGCwttN+K3hX4heF9Y8F69JdTWui6xdS/ZZYZf9XLb3aGMAyTtEcAMhi8s&#10;NGoRTyXjzRPgXHcQeLfAviR/DuuQyI1vceWN1wUkDbEhk3RlHQDDx84bdIuCyNy43MMFlFRQqQqc&#10;s9YqMGvZvR6qybWq1SbV9R1JRjpf8Nj0J9V8AeIfC6/suaDZeJG0iXULS18M+JNavojPZMkpieU3&#10;Npbu4XYyxjMUPlwo4ImUuYez+HGkaLpFldW158a73WrO6t7ddPtbjxBcTLaRXAYx+UGhhkhBUbo5&#10;Y5DtEf8AAxBPlXg7TPhJ430K6+IHxD8I+KLKXRtPub/wzfLo4jhgmEnlxnzWmUeUXOWYOwG35lY4&#10;Db198TfAfhTwZH428P6nata2draR6hDZ6nbJCBHGkkKx5fJUvJtXDuSynEhVuPnp4mtiqcozg4z9&#10;6KtotJRs0r6pptpuzuny3sjCMnK0rWN/4k/C/wCKVt44uvtEcOq+H9Qu0u7O9sb2yRoWlkMapMIG&#10;ZLQiJ1yZD5rFGbDtkDUtvFWkePvhvP4HutStdPh8I/Y7CHRrS3N1ZGFkaNpZbff5cgjjjUBSQyxy&#10;MFkKksKWg+NPgdc6lqOj6Zps15ZW9wGmEMzQR2d8ltKDK8PmLsUO6lCiOJAGDxsN0g4rVPi1d+A/&#10;GkPjTwr8PNY0+9ktJIJJ726QtMqRuXdFXytpSRSzMkshUl12t5pV/Vw+BxFOpFJxS5dbNczdrNu1&#10;t1d9Fzb9CtOby6nYeIdM8dfBDxLrHxg+BniPTYdW0azvYFutLs/s8d2ouFk2xmUGOeIwRkvvCBQj&#10;OiKkoji5bxf+2ro3xu1OLwD8dtA0W+s57M3Ws+PvDyx3VjbaoiSrHqEcQWRbld4dG2srFdwwCPKL&#10;bL4g6Hqmp2tvrVo+lx+Lo5768tdMZRFpk0MkUE1lCytGyXMYZd23AMQt3ATe6pqaV4D8N+E9QvPD&#10;HgvQdPkNvpNhFHb20yzXeqRS33mywRAmaZ8xxEAwtuQT7htLDPFlWdUcDjKuFSnyu792yjrJRuo3&#10;3Tst7P3rs2hUjH4n/Vv6/I1tMufjNoem2+iaP4V0mazs4UgtZrK1LQvGgCq0Z805QgDBycjHJorS&#10;Tx9ZTqJ9H8V69BaON1rCbeT93Gfur8jKvAwPlUD0AHFFclTC1pVG1BPXvS/+SDmo/wDPxfcz0DRf&#10;+CVPhfU/GJ1CPW74WUkjRX2n6xaW7+fGR8yxFVQ4CttyySYyec5xN46/4J3eHvAWlSX/AIZvNQ1f&#10;7K39o6fHd2NgqG881SscjSFHIJkyfkPyqy5zhG3tP/aL0TxnJaeLvFK37XkdyjeZa5vPs8bSRlYo&#10;1kBjWRv3Y5JCOscgByprQ+IX7ePw10m10uy0X4R6leaskTPfXPiCTzPs0i9c+QHJKSlWcKnCqeh4&#10;P6Eq2IlZOTstLf8ADf0j9WnLJYxleMU383qeX33wb8d6T8Qo9PbQLfVrexsUlXT5tLN1PawqE2CW&#10;7lxH9oChhvCQsyIxznleo0zwte+JdBt9B1yCazvv7Ya++3WrDbA2VCyPHIxG4j5gAjbclcA4J6nS&#10;/ix4N1u2h0ay0fTLdrhmfVJ9L0lbg3E7CU7II0AlMuRkfKrABSQMEDutL+DnxD8U6xazXHig2+mQ&#10;RqscenQmRp2UjdHO5yF3jG4O23Kggg5I9COayoRSjTV+/U0jg6NbSldpdFZJff8A12Pzz/bS8EX/&#10;AMPPijJq3xO+JVm0NjcxarpmnyT+Ra3ZRiVlNvvJOzOPLG9s9wuQ/oOm/Ez4UfFHwh8P/Bfwu8b6&#10;t4Y1TR7gajPN4R0KWG3026SMi5j81ovLIZp5EfBdXW4+fcJV3/a3xj/YS+Cvxa8GX9r8WL1lVmaW&#10;S42IjpEFGfMYfLlcBtxJKleSVLRt5fY/sdfCPX/hr4k+HHw38VeLdSj8O28SrJqWuW1wrsglHlxs&#10;AzrmLdGchGCTIBnPGuJxmDxlGLknzR6dNbK73v6HiY3h6tPEOSktdl/S/E+Rfgb8HfDcXh/Tb3UP&#10;h9A3jLakniLVV1S8vPtsJV/ktmmdUBj+QggPGVhYBnyHbgfEul/AL46S61F8MvAfja7vrPVL6Frb&#10;RfDMt5aXcQuJD9piddqweZvD8sNvJI3HJ+3fCP7LX7Hz3l94o1j4V2viG+8O+KlgutWF1dahL9ue&#10;SKNJGCJENoKxKUMSqqqCoMSI5+kdM8B6L46jksdKa5sbG3/dtN/ZMlus68giNn271JGQyhlYAEEh&#10;ga86nmf1SpenF693ZL5a3VvSx1YXhqjWp2qVV391P83tbVH4e63+yh8cX8O/2bovhsTXTRyMtnqE&#10;EcF9GFIDOygneCpGBxt28biSxydK/Zz+MPhyKx1v4beAvEGh61ayLcah4k1q3Fvp2kwosRknFySI&#10;2U+cilWBYKWUpllz+7Wn/s1+Cjq80MXgRIwsKpBqElxkOMHcsW1t6ejcKCMckDI5L4v/ALF3wGsv&#10;Cs2teJ/D+iw2tnJ9o8zxCzXdvDIzA+ZslJO7ft4BBJAFd1HiHEaxnDmu9rd/nr6WO2pw3h4q8ZWS&#10;8+3yPx0+BH7BGl/Frxdc634w+N7eK7WHUI5Nbk8J+aZrjzJCWkW71NLeFm3AncjSk/MQpAJH1V8M&#10;v2cPAHh9rH4fXfw/0vxNpNjqFzJptxJottMEnkFnIjXJeWTLFPM6MjMowiqIxX05ofgDwOni+98O&#10;Lod5HAtpLZf8SnQRaKcr8sflbJMRszgMXET/AOrLsyqqrV8T/ER/h7dt4b8P2+lxa1qGm/Y4fDsc&#10;3mta6pbkk/Z5IwqTIJEUPvQSSvvCSDYqjeVPNsyxCjNcqtdRTWi7u1rfn0Z5MsqwsbTqVPcTa0ju&#10;7bJ/1Yq3XwP+Cvwp8H2urWmhTNfLcW9tBBqFm0lxKyyRBYojIwRmULsQKOr8FQtbFxo/jBLR7PWt&#10;Ot9NUafcQWNzaSvNcWsYQqGjk2szyDezAt/Eg/djzXWvLfiX8Df2gvHfhO28UeHvGlw3iTXGZJJ7&#10;qUqNNXeoSSOMA52K4KINyqXz952VpNP+Cvx3+H1la6R4n/al8VeIrT+01uL6G60OzLz+d++ZhM25&#10;4Yw7GMLlQgV8JsAalLD08DH2dGpFz2u73T2tHovOT36WV7+1hMPSUVKVJxgkrLTXTd9W32Xzu7W8&#10;2/bK+NOi+H/hd40hOq2NveSadLBbs2pRGaa6SFgqhN6HchV1yASPLxhi20/lUkM17Kbu6PH8q++P&#10;27fhvrHiHw3JLe6csb3S28ZuhqEfkWMikJny/wCMtgJ5ryYAzwTjZ8W+P9G+GOneFPDuiaXqmoN4&#10;mX7X/wAJgt4qra28gl2wCA8FlMYLsCvBYAFj936rhelh6eBlJSV3q/lp/wAH0PFz7EVauLs1otF8&#10;9b/MydAiTUNbtdOjk3Ga4UbEUsTz/dXJP5V7bYan4s1Xwivga58N30rWVnjTbO+tWmkih5bdGhXp&#10;nJ+RQCScDtXi2h2HhzV/F2ieF/BUVxYXRvoS3iSSWRbgTEjBSNGCpGGxj+Mkbty52D2q9+J5vtNj&#10;+Jnxh1Oz1TULmEFLBpfKaCKQ+aNqDLcEjDMC2AMtjr1Y2tzVk0tbbev9f8A+Zrc07JL+uh4jrk4T&#10;XJ0a88yIEIredvVSecd8c549qgn0+Pb9onu44Y/+ekh4/D1re+JGoeC/GT3XiPw7qNvD8xBtbxUi&#10;cdThVz83pkZz3AJrmfBF/pOgeKNN1rxH4ebVLS0uoZ5tLkk8pbiLcGMeSrbdw4zg8Hoa9TAVoypq&#10;LVjaPN7O6WqWx0PhLT/Dfjq9TwlYThWb54J5AQysgJYjnnKgjHod3VQK0vH9hYfDmfT7zw5cySXs&#10;mfLmbhY0UEMpTaSSxcc5GNvfII5fxv4ztfEvxYvvFnw68JL4Yt726P8AZ+kafdPiyXbs2pJ8rHjO&#10;SeTk5zWpH4v1HXPHVhbeMUS6CXAhhuBEELlnTEhVflIygOR/e4J6Vz45WqSkndf5G2Dw8sViKcHp&#10;ztK3a9l+B9B6L4HsrHwtJ4YuyZkuLQw3jBsrJlArEdvUdOmM16L/AME3fi94g8Ha3N8JvHIvJm8N&#10;3X7u8jDFvsm9VJBI4GW+Qnja6rgYGfOZvFcWj+DEu4wZriNfs8MW4bpJRkDP1xuPtmu+/Z8g8ZfD&#10;XwfN458HeJo2vtWV4tUYQJNHNtZo3RlkBEis25sFQMFBj5Aa+Y4byfGZ9iquHTst230a009b2t/k&#10;f1F4uY/IeH8kwuI5XzR9yEV1jJRbT9OW9/k7c1z9kdL+P/i/RfBmk6t8DvBOhS6fPPPH4l1q+k82&#10;Sxi+yhYEtrYJt3vK6yee8hQCJozG5lVl+fPj54e+Mfx+m+yfGf45axrPhTyWjvPCYt4rW2vY2Kui&#10;TrbrHHKVkSNwzoSAm3IDtuX/AIJgftDz+MfDkPhPXdOWPbI1hqySNuUsT8qjK5I2tnqeGAzlSD1f&#10;/BRfQNd+BP7PPjH4heH72SOO30G8uNMvYycxTrC7QqfmX+MKWyfmUMADyo+74NzhYR1Mpx6SrUtI&#10;t6uUY9E3s4paW3jZ9D+cuMMp+uezzfBa0qtnJL7Mn1flLrfZ6ddPz4+Gf7ben/EH47a54O8J6iqL&#10;CY7jQrxm8v7a0DMrAAnIyjKVUZ4SRuM7R+lf/BPNPhV+2d+0l4T/AGlviD4XWz+JHwnhvILe/wBP&#10;gjL6tBNaNbKl1kFpQgnaSMgjy3XOQCwP4vfse/s6XdjrNn8bvid4zh8I6TZeI5tG0trq6aO61DWU&#10;g8w2nlxo8qwoJIvtD7MKsyR5V5kI+tviR/wUw/aO/YE8Xv8AD3wH4t8Pal41ktPtV9rFpaQ6k8UN&#10;xLLPHDJLKp2YZ3lEWwbku0csDjHzuZVpV8+jKm3KclzNRtt8Lveytbz/AEPfyeWEWQ1KNeSgo3Sv&#10;fd+8tk3e97aH6P8A7e/jrxr8WfjI3g/wvq9rpej+G4BaSSRXC3M5um+ecgJ8sbKdkbZckNCa8d0f&#10;4d6ZoRNwu6efblry6k8x2/oPwr8//hT/AMFKf2+Pi58R7Hwh4b0/RfFniPXtRKQ291ojzSzzyNku&#10;WVwx/iZm4AG4nGCR9UeMv2m/ih8Fvi1p/wCz78atG0238Y6prNj9nDxT6dbDTJ7UP9qLyeaBKZN3&#10;7oNmNUKsSwYj4XNsmzaeKnXqQV5Po09P8ktD974c8QOE8tyuhl2HquMYRSb5JK76t2Td5O767nsU&#10;ti27dIV5b7y55HY8/hVaTTI5FYmLdurf+LT+HfBHwtv/AIk/DvxtYeM5rZVa10PRzm6u1KpkIWwh&#10;bc23AJHRiyruZPl/xf8A8FR/gZ4F8XzeE/EnhrX0it5oI5dUjt7Y2yeYiNuYmcMFUsQWAKkKWUsC&#10;M+LUy/F06ipyg7tXt5dz6ej4h8JydvrkVbupR/OK/A9H+J/h/UZbuK8hs5GhWIplFJAOcnP6VxS6&#10;LdzSrDDayMx5Cqpqj4f/AOCrn7Gmu2lxJq/jG80j7M75jvtLlczKGC+ZH9nEodTlTgYYAklRtYj0&#10;u2/aY+AM3hi08at4yhtrC+hMtrJeWssDlNhfLJIiunyqW+YDgfSuinTxlKPK6UtPJ/5HpU+JOHMd&#10;JShjKTb6KpC/3c1180UPB3wr1CPdd6tO0K3KhGtVkPzjcCPM9QGVWx6qD1FdJrPg6DU1lW5G9W7N&#10;VHS/2lP2b9RUXdv8dPCCwxxyO80nia0VUCLlicyZ4+nr6Vu6F49+HPjOON/CXjnSdUWYbkbTr+KY&#10;EcjOUY8cH8q4Ks5OXNLT8D3MJjsI3yUJRl3s0/vt5I8y8f8AgnxTA1vcXl7NfWtnbCC3eRizQxAs&#10;Qh9gWOPTpwMVypjvLbT5LKK5lSO4YedGkhCyqDkBgOoBGee9fRjWdvLGw81WBU9OeO5+gryzx14G&#10;Tw80ObxZvNJaH5eWjwBvPoC2cdeh5rrw1SEo8jSOeth6aVqUbLt+OnzPN1gu7C6W/sppIZoZA0Ms&#10;blWRhyGBHIIPQ9azruw/g2/w9PXkV2E+lhxx/e9KqzaQrFi6bui/zrs5I7nLKM1rY49jqiy2s0F7&#10;cJJZtm0ZZmBhwxf5D1X5iW4xySepqmoutMk+02dzLBJG26OWGQhkI6EEdDXXXOirGF2R/d/Ss+80&#10;ZnRm2fKzdQtHsIdjG1rq2/kclPbLI2/G48nd/erJ1KxUx/KO54/CuzvtFCySNtw386ybzS3IUsuf&#10;zpqmTUmcG9kYZWYLj5811nw7KpqjTSdFj/Ik/wD66rX2gs4kYDHze/NaHg60jhnmtHyJJMFPwz/j&#10;XFjqb9i2e1ktZfWoK/8Aw5wn/BRa3uL/APZX182qt+6mspWX1UXMeT+Gc18Q/ssfEwfDv4i+Xeyb&#10;bLVbc29wWk2qhHzK547YI7YDk9sV97/tXq17+zj4vs5IfMxoNwfLK9SFyD+BAP1Ffmt4E0zUdX8T&#10;2+n6Tp011eMT9lt4FDM8gGQAP4unQcnoMk19LwfCNTJ69CX8zf3pf5H4b4+YipheLMFj6e/srW/w&#10;zm2v/Jmj9DvB3izTLm2i0uIf6RIN0QX+MZ5/LvWz480+z1z4f3ngTWrOO8028RjeWs5yrMdvzdfl&#10;YFUwwwQVUg5ANcN8CvDOveEvA1jq3jyP/iaNCDDDMAZIF243N6OR1HX15JA7awjvvG2ox+G9Eh86&#10;6uOiY4Vehd/7qjjJ+g6kCnTjialSOHoXbb6d+h8LGeGlR+tVlZNX1Wya1umfBnxc+EOpfDfVnMbN&#10;cabJKRa3LEbh1+Rx/eAB5AwevHQcUyEN0/8Ar1+l/wAU/wBlv4d+LPh3N4QMUMepPNNGutMpDx3a&#10;58tu+I9yFWjGQUIPL4avhiw+D9nc3DWeu3E2n6hBfNHLB5XAVcAgocFW3cdeMdK/QMbCvktGm8a0&#10;+ZbrWz6p+a01W58rlvDsuJq1RZTvF6wk0tHs03prro7W7lDwVatplnDcWwbzjiVlVCzqyMsgZecK&#10;fLJOT19MdfR/AHhzxneSTf2RaKt402691RlDSx/NbfKZcfKwO4FV6g9hmuW8eaTqvh3xA0ItV+y3&#10;iq1v5atsClHj2naMkgFuPRRVnR/F3xHvtIv9I0p7pUjjMk0drbMv32XOc4CkEABj1zj6/I1JyxK9&#10;ql8X9W9Ef0Hk+DoZO45fNS/dqyUVu0rX9Wtb+Z6V8OvhhaHwy3iq4gkRp4Y0s76+jxAu4QIQhP8A&#10;rWEodDjIU8HnIrG0rW/F/iWHTfDfgWC4Gnaa0JV7hgfJafj5n4+7IWwT0AatG28B/HnxXoUd/wCI&#10;tOW10wT7/tF9q0FvuMk6TeaqTSISS3IQDnOB2ra8JeK/DeieG4YrGa2uL5dMWP7JaxsIZoGVtpk3&#10;Y3nLk52qQcg8Zzwxqd7O3Zn6BHCx9moNSo03Z3krSl6X8+up8z/HvQ9R0H4najFqlitvNceXcSLH&#10;91pGQeYw9AZA/HY8VxRb5q9F/aae9n8bWmp3uS1zpobc3c+bIx/9Crzctz1r7bL5+0wVN+X5aH8c&#10;ccYeOF4sxlOC0dRyV/73vfr9x9XftT2msaD+x14F0yfxJZ3VpqH9h38NrHebpYH/ALMmQ5V9smNu&#10;wEhSi7VUN0z8x2TjzgpHevr/AMRfsreH4/8AgnZJ8Xb3U7HV/Fl9Z6fdaXo+lSt9p0u1jXzpZZwA&#10;Q4NqGk2kLtGWDttdD8dIdozXkcNxlSw9aMrOXtZt2i4rV6aXfTd31d3ZXsfHYeP7t+rPeP2UdM0/&#10;VfilpdlfObeKaVYXkjJ3pgFiRjo2dvuMCvuDw34Z8Y/Efx1eeBf2ZIptP1uPTblZtLXxJPMsSSRC&#10;2laWMtKx2+YMhDgAcKPnL/n9+zrfwaX4u0m8urhRDJMwkUtwMhl6flXvdn8JvFPhD4p+HfFel/EO&#10;JVka21C3bTdWmt9Sto4EYEiSE77eUJHy4cMwdcNgFV8bjDKqeKx2GxlSVo01NWd7NycWtFo2lF27&#10;Jvpc4sdT5rSb0V/0P02/Zl8Q/Cy2+Alv8OP2udf8P2PiZX+xah/wl2uR6bqNpNE6oYbZ/mMlqshY&#10;xg7QDJKFUxkFub/aW/Z4+FfgzQJvjH8OvjDeava6ZYyWlvotvoP9qC+iMUF8IUSFY/tLbEgZJCNu&#10;w/OWJLj4p+It14j+JHi+Pxz4l8a3uv3V7pr2niC316GKRb5W37X+RECPGW3R7QPLZVePy2BLegfA&#10;fw7+z5qPjOGw+OGutoOktpd5aN4guNWSLynnUALJPcthQwMkYJJOZ9o+9kfmccdlGEzOnGEVzSdl&#10;KMVddle6au3olda7nFGrh7qFvL+mfPP7QPxfk8d22q+NvCM8MlrctcWei6TPbtnTldC0pjdMLG3m&#10;MZVGWUNMeQ2816X+yh8QvjH8NfAmn+DNR8fpe/2rPDF4fm1DQnulWMSxo029G8yb5XcfIWXZbxhM&#10;sWU97rPwE/Z80DQpfhl4Y/bN0b4heJb+5utQ0PUfDWoafb3OkyrH/wAvKw3sq3LnAAkEKuiqQzCN&#10;I1XCX4STeGrnQU8JaV4ij1rWrW0stJtdPiSGbT9RtrmQMEnnfKoy+S4AQAeYOAQpHs5jWweJwawF&#10;Vc9WEotKTfM7NNSTsnZpNt73TTQSj7O8bq/5nr2tfseeGbU658Xbv4k3j3/iYXt7eHQ9IQWuoTXb&#10;tcF4SyyFIn+UFEmMRXLcMzS14Rq3x3+D3gexuvBXjbwXFPe6B4dt3t5tSuXubO81SKzSJtkQLIyY&#10;SMDPLMThSGbf7H8UfjB8fPgxoWn+Jvih4OvtH0+SzaCz0e3gtJTq10ZH+ZbNFWe1kEaK3lu/kkyE&#10;gqOF3/B3xgu/jH8M/wDhHPC02k2dg0FtbXXhv+xxYS2yKVaS3nXMkhdUVflVtrKCfnTBPDmmMymp&#10;iqLx3PTtJJT1jC7s1GUlpZ6Llejem+oOfNKzXlt/wT5N8FftBXX7Q/iiwXUfDF1aeI7X4fajHqq2&#10;EhtkuSplu0ggZt5tm85I2MhyuJXQjZuB77xD438O6N+znpvh5vAlrptjq3iVUn8N2VzIY7YXMUFy&#10;siks6boFYMcqsZMGFAwd3t3i61ul1y48T6TeTWnhvVtGNppdpCsoibIDy3ZkZ2R2OByqgALHksQM&#10;8x4c+Hfwr8PaEPBF7oFs0cczvpOkXjBS9w8qyB42chZIws2FU/IvksFDgCvAzLPsDmeaJ4Vt0qTi&#10;3JabqTavK2nupppNfFaW18Ksqcp8seh5X8P/ABLJYtaf8JXo3iC70u+1bUH+3R6bJLcW1u01tLbq&#10;ISRhc3kqMS5VBG/JPA6SfxDq3xEufEGhWfh+8kW3aePSZF095HUxyobmKZkUksryZAUN5haQlf3X&#10;mHpNWtvBsF5FqPgqLTdaOjsGjW+1u1sEmkjjhilhL3CIGDhYclXUyCVjxnJ57wx421PxHYRaf4j8&#10;G6gtzdMGVJIfNniuJGuYJofLcjEsZiEYZSMjblAR8vlzx0lTji4Qbs5K7dt79Oj5dGrLdu2tzn91&#10;q/Tb1ZuxXHw+8WfDW41Pxpc6ZpV/fXTfarOG2FqtzHHJKpYLM+xh5KEsxbcDExUqgIWl4w8Caloe&#10;seE9atb6bVjf6gLiWCTQf7NMMDNlbeVPP2T5jW4QvkicROQkhwp87+ICa1b6rqni74iX+m6pCtja&#10;TQ6SpaaS0WeYFg90zKqQPE48uNUxI7yHKZbztw/EW08HjwtpvxAfVrq6TTzZyafZ2CR2lvp7vcyx&#10;+czK63G1x/DGqRmKPDB0YL6EcvrUKcKckpJwcnfVxbafLF6aRT1Wl9LdjRKT87W+Wv53O40vwPPc&#10;aZb3H/Cv9SfzIEbeviBIw2VHIUrlR7HkdKK3NQ+Il7pV/NpkWvQ7beZol85pN+FOPmxHjPHOO9Ff&#10;BynnvM+WCa6e9/wDj9vSjpyv8DI0PTfjD408R2118N/C+sXlj5MkM+t3VqLFDMpVSyZcJM3y43Nu&#10;OEGOSSfoP4X/ALNHhjR7WTV/iNHeapO16st01vAkdvnaOOOQTgHOQQwyMALj6c0zwd4UmiW3+wLb&#10;+XuVPJ2eWQAM8AkEZ+mMEcd9Rfg/4eu7jzoppfLVfkif7o9wBjPPryfwAr9y9p7TRRP3rDZVhMHL&#10;m3fd6nH/AA18N/Cbw/5WuaH8O7K3maQgTz2ZkmhcDIEbbXG3KxgfNgBRxwBXcaLq/hLS55Jftly0&#10;7OzM1xIzjd1zhjjke3/1ra+ArB7djDJGWZQCzR7gAWBPccE9/aqGq/DrTTA01nIsbR/NuZQT69Sf&#10;X1pS5lrY9C9Pa5Nrnj27t9EutS0ezi/dsGaS/m8mIqOCxYA8gDqQcYGQBX59a/4mm034q698VrXx&#10;vdah4i1q+NpNp+i2scZ1RPs/2ae05nijjid0UCVY5JVkkRwrSKcev/tT+JPi3o2nyeHHZ9Ps9Q/c&#10;iDT3Xc6MR80hjO45CkELyQcfMOvzt8Evgr4w1W31a1+Imqx2ujz3iwzu2nxx2/lO+4h5GaXL/Mf3&#10;YRsBmDEDGzro0eWi6rktdLeX5eqPn80+sVq0I0F8Ouvf7/u/K1z0v/hobxPD8XNL8deG/gZpN1Fb&#10;3SiHT9L0loYTIITHLOt0Xf8A0hcuHLwI0MSJw/zsPrDwH8Qdd8R+GtP8b6dpN01nq9pbPJpsdiZH&#10;s5CxMnzKArcHkk87CV+9tryP9nT/AIJ5eC9K8G3d7D471y1j1CYNZ3Wk6m8cYtEnMkQCuWO7IQmT&#10;J3hB91cpXtB+C+k/CX4Yw+GfBnxB1jSJF3vDcaPZWBnvpSjOA0TwMspCqxCoA+FODxXnYi89Yrb+&#10;vQ68FTxGHhJ1HvrZaWfz8uj08irrX7Tnw/8ADVv5ccM0k0jL/ZrPvhNzAULtLmXaNuUfa5wrfKVJ&#10;ByPn/wCMXj7xR8Wbi6vfEHjJtI01ZII009XkuEh34JuZDGcLIdjpHwqrgt9/cTzvx28KeJb86p/w&#10;kV/Gs00RW5hkuDFNIETZ5m9JF8vLfMsgAiDAqQcELznhX9ljxr8Z/EovdJvLC30u2kWBrpVtJr6V&#10;HjZZVaVkJKb3jxmDaRErBRuas4xlb3vx1/A8jEV8wzGToqOnbVdevl/w1up9X/BHRPgl4Q8Lx+Kv&#10;GWt6b9ruI1dJNSvoZI1HAViM7VfhgFXCAJnCNuAb8WtR/Zwsb+XV7nw/pt9qUtw7K2g2oW7eRAGI&#10;jlsgZmcNtBG8DDMDxkGPw/8AB34V+GdGGkeP/D3h+6ubS3Rre71eGK6uGOBgYYAjaV4AXADDGCpN&#10;R3Piz4V+DHji8IaNHG4RTI9tZiCJ8ABgE3AZIGM87Rg4bBB7aEcdJJU0/XX8z2YRjh6KhOUVZer9&#10;bafkSaKfFvjTRpItTs7q8VsrpNtNpLWkvlLHtXbG0jmNQwVVQqDtUFgzMTXJ6nY6tqFiYY7qOSRo&#10;2hWPyBtM3aQMjBmTcoAJIwfv7t24c78Zf21dO8M+FJIdP8Oxp5qzIt1a6rHJgkkAqMo3GDyp5wx4&#10;IAr5L8UftQ/EfToRPotxfXt5Nb+Tb5kMskCu+4rMEP7xjsDLM4OMEtuIZW6sPlOKrNxlZdddfyOf&#10;E59gcHaEbzfl/wAE94/aq+C/hi7+FV14o+I3iJ9J0qx3T3tna2sZ814s9FJJPKgkNkKEJJUbiv5L&#10;6H8LL/4+fG258PW3iDw/oB13U5VstQ1a8XTNNtoEBKEs/wBxBGgwMF24UB3bB+pvFWsfFD4meB9Y&#10;0vx1qtlp9jcahDJqS6trCWMjs5LeXI8uwKmVVG2qSplQHht1eb6d+yxP4G8U6Z4/+Ongh9F8Jw3x&#10;bUNPm1uKW51G3SVY5Fs1i2ylyG3I5QK4UtHI2Mj7fI8PTy2hLmle/kkl+uvfyPls0zL69JTjT5V1&#10;3evrp+Rx/wAU/g58NPh18T9Jg8Of2lDp+i3tolnKxtrkXY+edpRNbwQtcCRsCN2DYR8cYVF8X1O3&#10;1TXLiS/vArvKIolNujZ+SMKGwVBYlUJJGRkgk9M/U2keGNc+I/im6u5bFtDTUNQubuzhuJpZpLBX&#10;kwkW9/mZQq/xbSy4GeprsPA/7Onh+TUG8K6hA1w1rKv2W402wMgmyABG7LHIC2cLjOcFTk8Gipjo&#10;qs6jXl8jzcPTqVH7Rr5vsfEP/CLxR2UcV9EqqR90fM27GcevWtiTw34W1Pwbpn2TX1ttWtZJra50&#10;u+gm+WIzPNHOjgMu0hyhT5SGQEbg7Ffsy6/Zm8LeItXaHSo7KOXy1MlnDat5qHK5yHwRjgH5QeRn&#10;HGeV+MP7LPwd8B6TBqXjf4hf8IvqEWuSzazJfaHe3ButPeOHAgMYZTdRyRz4hkaPzBMC0iBd1d+B&#10;x1GpUSbOyph5Rp8y19D5vj8I+DG8MaXaWGmaleeJ4dWuzdwxwQraTWZhjMbLI7LJvV1myGVlKsu3&#10;B3Auj0m8vdeh1i2xDawzhYVmhdGKoy5AAjLbiDuO7aBwCcHn1Dw/d/Bmy1NbHwvZalqlxJ9stN2t&#10;eHAkLRskke5We5aOSXyydqCMrG53CV+Mw3fws+I/h2GVdes5NOjjYpb3F8oVHPPyohb9+7Y+RTlf&#10;mCtjgVOMrxqVGodUcuHrVKWIhUgtYtPy0d1+RXu9WsGlj1CzuP3lnG9yxxyzLHzgdiWUDP64r3b9&#10;lTxNpHjL4RWd0kUkVzaySwX1vdRiPDlywZATuYEN15+5jqprx2Hwjplv4cmm/s1gqTLEy3DHM6s4&#10;CgeW/DBgM8rwSSADWr8Ede8ceBPF+sWHgxbOS1ktx9osJrN7teJVRXVXmQkqHyR5irtBJwVBG/B+&#10;KlluYOc/hk+V/Lr97P0TxYzOPEVPDwpSUuWLmrdOe1ovz5Yp/PU/Rb9ijxfpfgjQdeWXR3d7drzV&#10;JEjMaiSOBLXzSSwyCodX3DBUJ1wWFe+ftJzeIfi94HuPAPjCaxh8ItZ6n4Z+I0M11teygu1gfTdU&#10;OTtEYUBmY5C/aUYjarlfz2+FXj/xRp3jeCy1ye3h/tLw/rmjX0dnZyRxtDqNtbwgmN2ZSRtcFSd3&#10;TB4Ofdfg9+1Z4n8O+JV8V3mmu02oeH20XxZbyW6E3U0ShYJmGfmLReXAcjiO3QHJPOGdZbKpxRKv&#10;KLSlPdbq+ikvSzl6pLqc/D+aU6fCsaKcXyw1T2drOUW+nMmo91dy6Hif7Qvxj8YfB34f6p4V1i+u&#10;LW18KrdW8Ok27IIBcvNtJIWMeYzSGMGR1LiNI03FIkUfCB1qHU5m1rVtRmuLq8ZX+1NlsnpjI4OO&#10;gHQYwMYr6I/a9/ak0X42/tQa/qPiDTlfRdSumNnDpcbtJcrDIEjnRdu+Rm8tJNu0soJBXaDXE/CK&#10;x+Fviz4j3HiTXvhncaLpP246QJtSkjkittw8yOR4No8mcs8UZBJ3/aJPKaNoDu76H1fAVKnIuZX0&#10;fWy0St2sfMVJTxkYc7tLqul3u7+pe+E0X7SPwi8Q6Z4p+Dlhp1ne3EJ8+61T76KWB2FGQlcgbsj5&#10;iM9Apz798f8A4max8btP0f4hfFjQ7NviZb2doieINNZzDI0D8SvDIrz3BClQZDMCPLXyxEqrGub8&#10;VPhxrvgfQ4/F/g7xNDqGn3VzcfbFgAS80+ZJgnzBSd8Q3RxiTHyMdjhWMbS4Pg/WvF13qMcX2qSR&#10;VVW3SxhlHqc4zkjAJB7j0r5zGVniqqnNbPzX9L8z6bBUfq9Plj1Xk/6f5HA6l4o/ai0bxCvinX/j&#10;tfx2qzefb2ekQmOKJhkhmWZmTCFSCOXGU5ya838SeKbvxrd3emXOh280l1MqR3EsO7yAiIB/q8NK&#10;G2BfmdgMqRx1+pvHPhKx8QWn2a7tVhkeQyvNEyxs79AduPmJVdpJ6BV4IAx5vH8FLLT9SkvNCaSM&#10;XEeXWSFWeKVcFxht2cFsAjg5UnGcDFzp+05pLXZaCqYGVeS97Tr1+48rt/hr4UuYP7b8KwyKv2ow&#10;Wum3VrG5LBA23cF8tiCrbsHuAcNzWxfeFPimlk0epeJr+Z7ra9vpKW+9o2ADBen3tu0BcZyCNuRk&#10;+vWXwN8LebG/i2CT5blvKktmMc2zKhhvDcqxUHaNpwegPX0LxZ8GvhTrEOn61pWt6rPfWrI0ceqa&#10;akUA27SSGjujubCnBIwAWOwkAry4rEVqcXKnG76L/g/roFPL6tOMuS1+jvb1ufHWga7df8JlHqep&#10;2GpXi6XKrrp8en/aYXYvFH5RjfiNiAnIByVACj5cdNe/tL+KNfun0/Q7WXTvMliNvcafHvvp7lGO&#10;0tMHdwyqzhCpGfN4GGKn6S/aA0vwB8SvB2n2vhXQ9U8Pa1otqPLvLHUrZWvJVjKs0ha035Zvm+Rg&#10;i9VXJDV8uTfDu10aJYIo7qNoFyIZtvDMm7aFI4f5VAxxyRyevLSjLEJVMRDleyV7289FZ/12PPxW&#10;WVqOkZJrvr93yPQvgL+19ffBlLXWNK0KDUIbS8h+32c3hdZYxFkMPLVXjQMFUL5e+NZVjYEkSOtX&#10;v2nf+Cgfx7+NnxJk8ReFfEGrWNlDp9rZ6Xo+n2cdpFAn2Ty5vkt+SWldpVZslDjDNtUr5JpnhG/1&#10;aO4sNKLLMSqyR3O5ozuO9VIAYBgc+pJxx3rurLQNS0DwtY6tf+H9JuL63my0kFuib4SDuViSAeq/&#10;dH8JBAJJpRwtNO7V7dP+BYrB4jNqVJU4VZRS/lbT+9amNpn7bf7SGhp9m/4WBdCOFhH5l1axz4YB&#10;QSxljdmAAPyqQdxzk4Ir3j4PftVeKbHwX/avxQ8TXmpX/nWm3S5NDhtZnEkPmswZBtKNGUIYAlQ6&#10;kqSdg+VfiR4gi/sQaD4O8PxaPpPmeZLJcTK7SnchSTLKWRhjHytznB9Km+G+k6/qNgZ9Diuri6Mc&#10;VrDHIrMbiWbchRQMEfIX4HzsSuOTx04nBUKmHvpD0sm/XsetheLeKsHUtDGVJabSnOSXom2j3zTf&#10;27/jhD4nS08SfDvQY4UmJntJFms5TCPvHzZJGSMY43FW+ZSu3PATVv8Agp1pGn3rR23wanvLdZl8&#10;ye11oA+XAACA/3+Rltph4Ybl+Un1yRjnyHWls9G0Flto7HUJLfTiqC3hnaFd85D3MYlUeWdy4G0A&#10;N84ZDv8Amq+HPgMfGt3NrH/CUWkUi3CSwrdsY454wm6a4ZnK4VcbmwCxyAAMGuaGHwvNzTulstex&#10;62B4+4ylUUIYm929JRg9vNxe/Sz1PqG5/bb+Dzx/6ZoOuw3DSsklq1rF5kRDleVMgODwwOPusD6g&#10;aniT9on4H+GNOj1DxR4nk09ZFVhHNp80jbWGQ37pXBGP4gSMc5wQT4F4v1r4NeEfC114B8FRabrB&#10;mh/5D19YCORbjaEdo2H3lCtlWcna7MULDaa8u1e6txbfbdclMp89Xdbjl1T5MkZB9Nowchc9qxp4&#10;f2kr6qPna7/y+Z7VTxTznC1HGcadT/t1qzV09VJX2Wu2p9tRfEX4V6y8Nlp3xD0OS4vF321uNSjE&#10;ki56hCd3p271dl06HzfMEg4wVw3Tng18AaNq+oRXwdrx4dNwhkC/6tWc/KxJyd5+9xknnsSa9l/Z&#10;C+DmmfED48XXjGTUr63srAXl+tvHciFbtXY4MzxtuESl92NpGepwCKqtg4wqcspaNb2/DQ7MN4wQ&#10;9pGNfCb9Yz2+Ti7/APgSPqG28N23j+6t/CuuyBbeaGT7Uw2EzgLlU2sCGzg5GDkDGOa+efjl/wAE&#10;1/BXwO8D3Hj34Pah4j1TWrGSOaOHUrqFjsU5dohHEmXxyBkn5eATgH6I8YHwf4Jni8WfDfxdY31r&#10;ost2ZLHT44i6W8CvvnnlUsx2ny/vtkxXKMVXBLeQS/tE3vxpFi3jLxLb6PY3C3v2hre3e5SExDCq&#10;HJiEjk8fuxIgyCzAI+LwtfD5PQcqerbT069V1237foeBxZxdheLq0cXWb5YLlinbmTsrtW010d3/&#10;AJlbSfF3iD44JJB8MvC2vSCHbHcK2iXP+jSGISBH+UKOGTLZx86kbga+mv2Mv+CaH7VOr+INJ+Mt&#10;zp+n6Rot1bzR3n2+8Wa5nhLMhCpGGAPmxq3LIMJ74PdfCXV/B/gTwxY+FdP0KG0s4IxHDbxrjb3L&#10;E9SxPJJ5JJJJJr7t/ZE+IOh6x8GbXTLKyMY0u+uLZ2Zhtcl/P3D2xOB9Qa+s4TwdOWZOpNuTS5kt&#10;kmmr67vfv8kfDcSYzMcNgG3JatLbRKz231v1fySPk7Xv+CbfxK1Ce8kXxfa263cgkC/Y2YwumCsw&#10;O77wKg7e+zOe1fh/8a/FHjkfGjXtR1XwgPDeqW+qTW194e2Mr2NxC+x4XDYPmBlYNwvzA8ck1/Vx&#10;rGp6WNCutZjf93bxl2kijLtDIg3D5QCSeOgB3ds1/P8Af8F4P2cvDXwo/bC/4Xn8MJLObwh8XtLi&#10;8T6bdabIklv9vkije98txK5mSQyR3fmgKh+3FEBEZNfo2bUqePwqUqdknru+y637/wCfQ+LynOcy&#10;wGK9pRqOMujWn5HxpffGLXb/AE+G21rTFmaNcRzec37pfVV6Z989q1PCvxF8YeG7Nb/TTN9nmuoW&#10;tbuxO9TJEwdI33YGRjlWxlTyMdeL1FAztcwwfK3+sVcna3fPbntgc8n2p3gvxxeeCdSmxZrfafdK&#10;sep6ZM2I7qMHj/dcdVfqrAHnJB+FxeT4eFNqjH5d/wDL8vzP1vh7xHzZZhB5jWbjoudJXj2bSXvL&#10;v9pbq9uV/Rngn4qeG/FU95pXjWyvLiSH7LHNY6hBItxpkiuqgxnA+UsSDkZHAY8hj3HiD4D+DkSz&#10;8Q/DTWYbV1nBt5PtQkgkEoVzDyeMBm/Ecg5rxfw/pvw+8f6R5ngzWLWeZQwtLG4kNvqEAwzbARIo&#10;c7iCWAKkcHkcb+gaX4h8PSXGl6RHq1pbkLJeSatqStDHsUEzGTylClfm/iOAcZ6k/E4hRo1LKTi+&#10;z3/r5ffuf1HlGZQxuCjOtThXi1eNSn3vfdXt0uuZWd3ZL3V55+14loL7R5rcRlt10jtEPlO3yent&#10;ndXjORt5r0r9pPxno3iHWtP8P+HZ1urPTbdz/aHllftErkb9oP8AANgxkZyWPQgDzQnjpX22UxqU&#10;8vgpqz13822fyT4j4zB5jxliq+FmpQbirrVNxhGLs1o1dPVaPdaWZ9U/DX4ualpHwh8V+H/AHwzj&#10;19dQ+HtpYeJo5ipfTFEVskWoxMyn7zTSQGJcNkK5IG7PzIv3GFdz8LvjV47+GXhbUdO0DUo/setQ&#10;rBNFI/zwyxHfHKndSpJ7YPuVBXhw0btL5Ybbu+UH0zWeBoyo4msrLlbund3vre/6HwdOPLJmr4Z1&#10;e50+WPy5mULJuXn7p9a+rfhV43+IXj3whIfAGl+ZfQmOLWJZ9QK2zKpeSOdx0AQSykZ4AQ/MBwPj&#10;+3l8k5DcjpzX0J+zj8LPHvjr4exxCyMdpqEtw9szHy3u7cmNZGUsQJUjlt4zt5CybCc8Yx4gdGWW&#10;uFRJ3asn1e/z0T07GOK5VTbe2h2mtxeJ4re++IegfE+2aSG8it3m+0TwWckbKCzosjKE2kqvzKuV&#10;5OSdh6j9l64n/aH8V6t8OG8X6PDqFxo8lvp9n4h1J4Zbu7huHkzZtu8m4d2aODy2KuI5S6LKINo8&#10;du/EHib4UalpHhHxRp1602nXj22sabeSALDPFeyq8e8c+aCIo9w+VdpcB+q/SNr8S/2ZvDV9D8Ev&#10;EX7KOtePNFvtDj1bxB4b0Gw+0axpINtIqyB4RGdsL4jZyy+Wsnykbvn+L/s+nOMb043Xwyja+jav&#10;qlqumpwxp8slzRvfsfOH7Q/wW+Jnwi1WTx34fmR9N+2pM02mSFb7SplMaRTMRyp3sMFXYbjjKkqT&#10;9I/svftG6j4zsvBPirWvHGtaV4jhWaC3mj/0WwuLx7kRxmYBtmXeOMum10LbE2or4ba+JvhX9mP4&#10;l/BfUNR+GltrR8I/2ja22qaTp+kP/aulwRx2kKTXccl0QtsFjtF+0HbJJPK6IzTSzlvov9kT9h3V&#10;Pg9418HeM7aXwx4w0PXNJt9a8K6CuqWdlJo91OsMkM6W16yzCVUEsZjZpZA7qzMrKS/h5hy47D0p&#10;YqN6tOcoqclGMnB6Wdk0m09NFdpNWbuZz5ZRXMtU9HboZtn+17bx+Db7wN8WP2edC1DxVpusRw6P&#10;qfh23eawZiuTPPFJK9wsgcNn53Byu9lIILdM/a9+EvxD+GS2PjH4S6bH4gtd1teaxYaZb6fJMbe5&#10;fbCzQKhWBlMqEISwLlgANwqn+2dq/wALvin+01DZ/HrwDrXw4/s2M2svj7R/EEctpfWonaON7uRI&#10;THBPGU+VXWQMkjKTuAEUfjD9n+XTvhdff8K28bWuoeH9Mj8zQ9XjvLeWbVEeW4ka9FyJNoBjkiMa&#10;KRveVYtqsVQc88Lh/r1SnWV6M48qV7wva7clZrdaNysrctru755xqc109DgbnRY9K8D674stNZij&#10;i0lY2jtYrSR/tck9zEPN8zEe0DfMXDRjLMhV25DeK/Cr4kat4j0W10nWLi60m9tVhOh2VvevFFpt&#10;rDZCz+ztJOV8lXW1DuflO992V+ZW+nvhJ8dPFPhH4m6Tpvirx94c0PUJt1uPGUwt9TtJrJHDCQvL&#10;KZg0jPGGG44eBjIBtwLnxQ/bL1LwhompW2leBvC/jNdJaKWCTXrdtSzFJGUmaKaZiZ4ElaIoTGkq&#10;fIJnmMm4+DhsJgcvpujKnapVbs4pNSUXK143dtPed9lpd9cfZ0+Vu1r9vLseKa1pmuS/D+aysbC6&#10;vp45DNpy6lpoNrL89qGSWa3KKD5duApCxx87y0ceWXVvPB3iWz8Hw6brsH2WYXN5babfvcZt5raN&#10;LFLdg5ZnWBt00a5B+ZvmOTuNX4XeJr74pa3pXxHt47yNtSt4Le40t4U8uWZb9jcXMYdl2xG3WSMc&#10;tKWiUsZHzu27y/v/ABh8Mf8AhD/Fts1na6Xq01lcyW6eZDdRrJHI91AAWdpQ6GFGxl5y8W0gPHXz&#10;OOjUpx9nUgrc3M2r3fM+R+7rrzWbV1fXS5MY3ptW7/oc78WvBfj+08Pat4lt/Dmrw6bZ6WbbTb2C&#10;zkuIX23sU9lAgfPm/unmWONpFRkhKvuTLL5z4aTxl4Pv7HWNb0LVNce9tTfqtjo81+UmkaeIb8L5&#10;iH5PmZFLnzCp4bdXd/D3xdb+Modc8K2fg2GS1tfN/srTYbxJJbVQ6DYrAr/pK+T56B1Bk8pSQV2E&#10;XfH/AMP/AAGJtFtvB+ljUtPurqS0jtbFpl3yfbfMUGdcrHHE9xIzMUyVDAOpYhvSlieXGRw9W65m&#10;3JdUlT6yva1l82n213jLlik11723N268JXmsXMmr6zoOuQ3l1IZrqEPqJ8uRjuZcxyhDgkj5QF9O&#10;KK7TTrTTI9Pt49OuXht1hUW8WYzsTHyrleDgenHpRXwv+ulKHuqK082cTnG/w/iv8j9ANI1b7JIb&#10;O6MkjLEU+zRkbyoHPUkZOe2Ohxxg1f0rxpqUWmxpo+kWcNuiqsNvHJ9zBZSoGB0K9MAD6Hj5k8O/&#10;FP4hSalHoGl/bpY4ujx2cjp97gDcRhs5UK390EEkkD2jTPDXifXtF+3a61rb7eHXy1JLKcryGVA2&#10;cfxZBJFf0pjOHMZg9eeLT21s/uf+Z+3YfPsJit4Nd+q+/wD4B36eOIbdv9OliVXx8kahmAIwBjk+&#10;oGPQd+syeL9PvgIrKBZNxHJ/i/DHoMZJwDxx0ryaTxlD4IvWtvEOk30DTRkxzx+VJ5lu2DuI3cDp&#10;xycg+9X7Hx34aktFfSL613TMDI3Ic8feKHDYPpjoevFeXWwGYYdXnTdu+6+9XR6FHFZfiHaFRX7b&#10;P7nqdnrXg/wx8T4Ps/iqxkZobjdHb3iho+GZQSEJVgRnkngNyOopum/DZ9EW4g0TT47dbfmGGGJV&#10;ikG0YYbdvTGcYzknnoa818Z/FK80by9N0G4FxdTMhRYcyLEBkMRhvlPLAY55zjBwMvw/8ZfiubLd&#10;d+JG2mRd8McUavhiP4iobCjqA2cD14pUMDWxNNSWi8ycRi6OFqOO78l+p71pfi5dMt5ItTnjhSJC&#10;Xa4bylQ45znoB3OOMGuM+Ifi3wFearHqGo2djfMkY3XVtpyyz/KwyEuHG3b2PBKjJU5GR5Vruo63&#10;4gvW1rVbu4Z7WDbGsznaAGJ3FtwLNgAddvr2AfNrAayghFtqEjKV3/Z5olCjdjA3EHHJPHTDZOcA&#10;98cpp2/eSv8A15nl1sw9rpGC+eonjC48GeINCvPD/hHwRHpNxdTMftl7eT3ExA+ZnIkJzkY4J2kg&#10;9SAy71l8QLq5sZtD8NNbaPbq2JrXS4Y4AhxuI+QZB+bJGe/PXnL1zw54su/C8134M8O6pdXSsvkx&#10;mNjnn943yjG7bvIXKhsAErnIseGfhv4k8YWdrqNhb3kyXNorQ3BkGHVsHnOAARggcZ7cYJ6o4fA0&#10;d7fN3/M5V9Yk24Rav2Vvy9WV7x42LS3dvJ8xYq7Zy2O+cYzz1OOOtYfjHww2vaO2m2morbOtwrSO&#10;sbO6gbW28MFDEkdcgjqMGu4tP2bvHmoTMi6rDZx7ciS4uN4Pb7qE49TyK0Iv2RZ5182+8WbpBuVU&#10;t7UMIh9W5GfcHv6nO0sdhaa1kvlr+RKwWIqfZfz0PmrxJ+y14T8R6l/b1xqkjvHDukP2ZfOuZMY2&#10;5AAUbeMY5IzngGsLwV+xVpdnaSQ2elbNQuo28x9P3OLSHdkIpIy+OBuI/LFfYmi/sueHdAfcl1cX&#10;kkYBEl637tdvoAoOMepbpn1rr9J8D6p4fg+y22oRLGxY+WP3cY64Xbg4HboM8nqeeOpm9GP8OLf4&#10;f1+B0UchUpc1SSXpqfn14n/YP+FfizwlZeB/GFpJqEFpISqqvkk8nacDPIHHXLY57isrwF/wTQ8K&#10;6T4lMHw/8LeZp0yq00NnG/mRSrwshdclxy3D8Lng46foTL4HGtMbspZyTRs264hjRiW6EE7T0/Dn&#10;862LO11fTtPbTlaTy9vy+Zzj2PHPt6/yiefN07KH46fkdC4epzl78lb0PmX4bfsCeHfDsUb+JvD/&#10;ANkjtZGlkS2w0zZXB3MSwdhjqwJIPU1yPx8/Zo+D3wF0y1uPAXgHWpNRW+iY+IryQS2do7ygNLIz&#10;t+5YBmBkRGCrJnaQWK/Wz6RqYm2+bt+fO2SHoD+OeQePX8q5Xxx4RvvilFp9lb3VjLoUw+0XXnQs&#10;/wBsjPCKm04K7WkbJOM+WRkE48TEY7FV53k9Oy0R6FbKcJDCuNOCctk3vr+S9Oh8jeHNU8H21/ov&#10;gbwx4bvr+8vroXF7ql7I3+lWu5AsixoittEalCVAkGCWVcEpuftG/s6fCPxVoVhrN7qd5pesRzSL&#10;caDb7jmLLFd4dn8s7cEAMCQ4IGDkev6l47+Efwj0RbTwK2l/29EvkR3N5ppimVHiE23ovm5V/lXb&#10;jIwV3IQfP55fFutO2oSmKSRrhvtE1xCyyStnBYh/m5bPJxnryCGPp5TgsRKpGtOcuVbLv/wDxasc&#10;LhaLoxtKT3elo7bNJa/07nyL4/8A2abrUEg1i7tG/wBHkYR2iwqIbKAo2TGSP3lwML+9OOS3BCqq&#10;6mtfD+3triG91rSbi6mjhQx3N0xldWK4yN5JXI7LgDd0xX0ZrGi+Kbq6jA0yNs9JHG3bnuecAVl6&#10;p4Uvbqzk+1rHmOP5nC7mHI5zjpkfy9OfrYeSPHjRp0233Pjv4q6Z/wASnUBbaMu6RSEeRiuDtIyC&#10;MckYHXGOCCDx5r4YNxbNdL4j8Nx3mm6patb6nDbuxYwuBkBjgK4ODu65XKkHmvqH4g/AjV9WW6bU&#10;NXWfdIrQ2/2cLGFBPDYBYggsOuATkCuT1r4R2IsRbNAyW4XG2KMD8znnt9K66dS2wuTmk7rQ4XVf&#10;iHZ3F7Z3/gv4mAWth5aXlrf6FM9xLjGSXRcMfcLgZOSTzXSeIv2nZbfQ7jSfBPh+aG4uImhmvpF8&#10;rywO6clvUgnGOoHpUHwx0nS1aaDTpmbeoMcKKG7DPzHAAGO/bvXaaj+z94d0GHTWuja6hNeWpe5j&#10;tbpZvs7btpjYqcHt83Q54yOTviM4xE5KM56vTzaReGyuhGLlGOi18kfONpFbHzrTxF8M9H161kX9&#10;3balDzC3cpIFLJkYzgZ+UcitrSbS0vNJuPCWjT+KNB03UNPkt7wWc0d5bCKSMoECSrIU4b/lkqE9&#10;ScncPoSw+CljdQ/ZotBdY9pA8tRtUemP89DV/TP2ddO0fda6bpbpI212UyF25IHXnp3+nTtXDLFy&#10;jqnsdv1GnJ3eh4dYfs8/DzUvDuk6J45/4KGwtDpV95tvpepxtujYKgXYGv8A924+fB25G/HTivc/&#10;AVz+zL4a0ix8L2Gp+Ntcjs4WP9qrDEs1yyylss0iINvIVWVSGUdWIyb138FIJdSj0RbNVlulZ2ub&#10;i3RdqKy/dwxIPzDHUZzXQP8AAA2Fv9qsYI2H8QC8t+eD0z+HQGubGYiWJp8j09Lf5Ho4CjTwtTnX&#10;vet/8zGvPij8KtEaYH4YzpE1uVtrq4hW7uy23lissnlphto+VCO/HIPA6tHrerXQ1tLvzprfEVvb&#10;vGihIAxPlALlUGTn5cYznuc+g6h8DRLqa3Nxm4ZY9hX7R91SOoU8deOoyM++bOnfDi2hiV7Vri9D&#10;ZkhuJELOAWPG9RhlHQMexzwDz5tPDRpy5rtvzdz1pYuVT3Wkl5aHD6Tqt9rOlx3WmwSyQ7s3DRxm&#10;JlGcbvmAPBK8Zwe2eldFDo58r7TbXWxVQExrGCzMOPbjPTnI7nvXSaP4F1bT9Sb+0YI2t34aRYVU&#10;ofQjecnnj3HQZNdJDpekraeTYmNG3bQv3mYjg9jz145/DmugzU4njF/4O1a+1f8AtOBmktlt2iUz&#10;WqN5bMUYn++pOE4xjjp0rzbxn8FNf3alf22sTbrgK9usNmm4twflCxrtPygY3d8npX09eaPp+lP5&#10;8tkyGRQska7VyfTJQj16kD3zgVzd9qq3eo3Frpfg+6idoCLeK+1VGUSqG3nMcILZ+XCjkbWPzA4C&#10;lLleiv8Ad+pnU9jKL5n+Z82fD/8AZ+8SR3BsfEWoTT2vlNG0c0uJBnB2bNuCo3eo65xhiB1viT4J&#10;X2qq0eo6vcbVkBh/0pz8uOjAnB5zk4yc+wr1jRPCHjSw1iNZfDC3C3DHzLhbxtsQJ2liG5Y46Db7&#10;Z7jsra+8TfDi1OoaBFodnNG26a91TT45ndSPul5ASiAdl29TnPFVUlU5bxV39xjSjhX7stEvU+Vr&#10;v9jjxr4pls9QtPBP+sUpaz+SYIrlEOSiSSBl3AdskDuSK4yK91/wSJdJ0nUbnSrg3kyvY6SJjbrb&#10;SCIfv5FxuiK4YFc7sDK4YbP0S1v9pnwLrvgtNZ8U6Ff6ldQ7TDaiNYbeWZVVWYsW+55gJQYIB2nB&#10;YLt+PvHlhB4v1660bRIZLGzuZYzbabb3UrRxRAOyIHcHcAofoTgsxULxjz8PLFYup+/hZLbXT/g/&#10;d8zXGLL6FGNShNOW66fh0++5wEL6V4iazI8Hf2k72ey1s/Oe3WO5MmGO2I73Uq23JZdpZAAqIq1h&#10;69opXU/slxdRzJboI4bm2by1VAqjPQbz+72lsDIBOTzn0ibwJqywxRyRSix08SedcSRvtXcg+ZDw&#10;M4VvmHb9PO/GvhbxDb6vDqtoHa3mn+ySzQQ/OuMnBQNuU4YHHfJIbAJr0KeGhTqLl6Hy2KrSdZS0&#10;3vZaX0scD4xvhGds0e2SNg7QrhlPGSm7A5xjnr07nFczDPqd2XkjYSWsarKzXTEL0AwoB3bjngKc&#10;jk8YJHsmv/CPVL63/td7VozuJ8xY9oiAGTnA4XAPQf3ePXDuPhXe3OmSSTab9lt7WPzFjkXy5AoG&#10;SwTqDjn2DL04r0KcYqNmcU6dRyd2cXpWmDVtSt7NXuGtbaP/AEaxGxftLDy9wVAQXmYucZyxUKoP&#10;AC+4fCD4uf8ACiYtU8Pz61rjXA1wXMtvcabbxrARDJtJHnzQy7ckvFID80AU7DyPO/C3wY8S67dN&#10;JpNhcRpHZJcSTR27SeU23eXZUB4GOuB0zgYLDUsbDWPhfJdTa3qVjrFvfae0lxHqkCyXlpE0ki+f&#10;CwIaO4Cr5ojEpRt6hxIGZB5OZYeniIum5dtFo73vo+5EMPVkuf8AHp07Hf8Axh+Py/ECBvDmsa5d&#10;SaTqmNTurG1mN4NKcQj/AEK13TO6mVVgR5GKPIYYd/8AqlZvItfvIdCjuNP1NrNrGO4E129rDukY&#10;pKA2wSyFfMZlKnAcbI9ykgZGX/wkdndaPI2g2zWeqea7Lsk2wrIABtXIIaPLmQZK7TgfOF5seNvD&#10;503wvpuo3miWUkLWobzI5HUuyyTIxKFlOf3aDaRlVeM8b8Vx0svlCoqcr6y9HdXaaT8/W5ny1JNT&#10;5ddPl/Wh90fDD48n4ieD9P8AFHhubzLW8XzFWXG+Ju6PgnDKcg4JHHBI5r6Z/Y5/a+8O/Da61Tw3&#10;8S/FK6fZzyQ3Nn53+o3ZMcoJHdgYeP7qMeMGvJv2W/8Agmz+yx8Ofhjql6P25NUtdQk0eLUJtPuP&#10;BjNtmCYeMR+eA5+aP/VuxKj5mUoyr4741FnpfiG60zTL+e8jhkc27NGI5/KDYBaPJAblQQpYAngn&#10;gn2MDLOMlzBYrDwclG+j1TTVrNb/ANXPtqmIyrPMD9XxTUJStfbdW1T218/Q/WzXNR03xh4Rl13w&#10;hf6d4k8M69prW90jLHeWd9ZyoQ1vPHykiMrEZwQVY+uB8tfAf4QfAz9qv4ufFn9jT40eEo/E9l4G&#10;8QabqOmaJ4g1maOK+jvrdrxWimSRbhL2N3mWScTqblSHkDTz3st18eeAP2h/iR8GtRa58A+PdT0V&#10;zJ5k1va3jxpKxXbmWFsxycf3weg44FO8D/G3xn4T/aA139p621p9S8UeJNLSx1Rr5I/s8ioIBHJ5&#10;dsYwrqtuihhjgtkZbNfZf8RCw1SK9rSlGW0lunp8n+HzPnanA9eN/ZVIyXR7P57p/efXH/BQH9kb&#10;4L/skX/g79pz9nD9nHw34ek0vzfCfiLQV8G2LyRx6gqxWN+st46W/mx3qwWxuZAZDHqDs5IjLH8a&#10;f25vBPwX8HftE+JI/gJrdm+gSaoxg0qy1D7bFpsjRRSSww3SRpFcWyyySxROvzlYDvUfK8n3n+2F&#10;+37+31+1B8ALz9nC/wDH2gw+F9QeM6hbwaEftV4kbq6wPcySyOse9EbCAE7cElSVPxN4X/YX+Onx&#10;J8Uf8Ixoekab5xhklkmaZ9kaKOWJ2EgZKqML1YdBkh1M8yvMrSpSs+z/AA/rXbdnmSyTMctv7SF1&#10;3W1jwFdyPvjco3t3rSttT1KW1Wzub+RrePlI2mbYv0XOBXqfxr/YV/aF+Bug/wDCW+J/CP2rS42x&#10;eX2nSGSO2BIAL5AYA564wMckZFeaeIdE1PwxcfYLjSrqMXVsZbGe4h2LdwnKl07MMhhwSMqR2rCS&#10;XLzNXIjiJU4uMZNX0aTtddmc/rtw1xfMWG0qBsU9QMDg/qaqMQBydprX0fwX478bNd3mgeEtT1Jb&#10;G3aa8ex0+SVYIk+9I5QEKozyx4Gea6r4c+J/CU2i3HwyuPDPh+ybVLVYr7xTrlu091HKZCFEGTtg&#10;QF484UviFm3qGKjGriHRptxXM+qT28/+BuzI5jw4uialpFxZ3gmju45Fe1uY5lEYXY+5GTYSzFtm&#10;0hlC/NkNuBWvLGlnqtxYi6WZY5XQTR52yYbG4ZAOD15APsKZpipoGpXNn4it7iGa1mMclpt+YSA7&#10;WVge4I6H3/Gve3lvJqstxahhGz5VW68/n3qqf8eTvoJG14T8HeJ/H/iey8E+B9BudT1XUpvKsbCz&#10;jLyTPjOAB7An8MmvrD4NfHzxj8D9C0/xNpLSaZc+GootC8YaPqlrJ/o9wmRbTNAykx7hGY5GQK8f&#10;2V2Yu1x5MnM/sU/Dvxr8HvGWrePviF+zguqtZ6WsTW3iSCW2vNKmeZGivLaM4dHjMS5kK8rKVUry&#10;9e7fEzxnZ674lvPFWieCtMj1DWFWd7iPT7bcqBhMY2ZUDzqkqR7N7sy+Wgz8oK/H8VYylWpOk4c0&#10;V15kvJ69LdLa36HLWcZS5X0KvjGTXvizoenfFr4X2epNbiPz/EtnfzR6kkeoW7SW3nyZLyTyofm+&#10;0o58wEHPmBseQ/s6fB7xN8S/2rpfiV4t8ReRb+EvEVnqOoXtjrEtnPclZMpDazxsssW5YyBIPmhG&#10;DjdtU+uaH8T/AIj/AA+1610/wboepeItc1iO6tbzRIdNf7ZZyiOGZDHEkY82YoBKrJtQLMFcFgWH&#10;bfsoaJ+0T8TtS1Tw78Ef2ftU1JpGY/brqOxSOWQXNxN5v79LeKPzPMxgsTtXaiPtHlfO5LOeApqC&#10;TlFq2snJq7/ml70r+etrPS1jOnTqeznJS6W189dP63PsRv28vhonwcC/GrxXDb3gv7izs7XxFuuL&#10;qG3W4NrG0FzIqvcZt0aWZl3yyBpPnTHHzne/tS6PoWpp4mvviG9/J4f1a4hXRdSmg+wmG4YmbyJI&#10;oYrpXYJG2GuAmAhETEIU8k/bc/ZW/an8LePNFv8AUPgzqi6frlzHp7aXqDXM0a6lNLs8x7qfO4O7&#10;ECUuAGYEswwx8v0D4LfE7wD4h0Hw7rmjXOqNqni6DSP7Lt9QuRHctJJiGGG/t5TZv5xyFB/e7hKd&#10;oVGY41JupU9k3yXWqupN730d7aeVttTjlGpJen4nvvwY/bzuNV8eXnhrTPhzHNrFrbMdDvks1mtU&#10;uSzoLd4mYsA0auRIrl1A2kHcXXz34+ftp/Hr4p/EK+1Dxd8K18PWtlaw2/jJvA+k3cY0VGGyzknL&#10;yss11tYS7pmUOGEKMgHy/R3wN/YOFnq0fiX4r/s+abpdxa6k1zqF/pviO5Yw6c3yJD5NyoX7a0OU&#10;MizqkeTKqpIYnbF/a4+KnjP4AfG/Qfid+wz4V0DX9Ls7CXStY8PC5SaZnhaQxwPGGW4jZTIzWvkv&#10;uDCYR8NNDXHgMmweWwdChC0Hrq7Jze71276WV7KxPJzaNb2+8+cPEXxT+LPj/wCE83xT8C+GP+JP&#10;ompW8N3rU0VlGbdQNytIrRbNkjzRAopKgxpGMAoppeAv2zJNFguPD3ifx5qGvQ3cLK23VjHZwch9&#10;sbykyKr7EEilIx8uAG4x9OfEz9pbRfj18D9E+Knxf8P3Xhe88XaLqWhaj4SGoPO1i13dbYZmWZEK&#10;CV7BljQgfPOpLkEmuU/Zh/Yu+CHjv4WQ+JI73zIdctWeX7CLYCDcCI0l8oMHZXUo0XZhJ84KlarD&#10;4fAxpVIU4qChJwaja1rJ638raq113M5U/etFMbFqvw08V+ANL+O2heDpF0Oa6+0WGh6VpoaeO681&#10;2lEKpEkMRSSFTGYwCFupFJ2uXe3438UnxF4B1Bf2fo7Nrv8AsmaKbT5vDsb2ts9vHd3bK0FxLNFv&#10;mmaLbnBLq0hVj8g52P8AZsuvh/4+h+CPg2wtvEGn+M42mtYLiFLWSwaKPbko0mWUCN0HmK/lOysD&#10;EHYSdx4F+G3h3TdWvNQ8K68z6frHhW51KCz1S08vdJA8J2RXABLn/XNHC8v3AQqsVbf83jMr9jjI&#10;ypu65ozafWPMm13vzXnbvsc/Ly1NdjzC78R+Ib3wzH4un8OaNZ3YvdMsY9Q03T1t/JildSrvEg8l&#10;VlRJI2McSMGmjYMyttXnPDPjnUfDvhzUNT1bw/Z2Nz/byPqWhyast59ivmiuB8m3CCNvJiKshAVX&#10;kjUgRq1a8Pic38i/C/wfNZ6fY3mqG20Z4bVLhrmPeht4ZLuR/u/6HDjc5KyMgXywwDVbjwfceHNK&#10;t/CmtXkeirpk0w1Sa4u7eW3jhBi/eRPMIVQoqykR/ONtwcmTG5/No4e8E6sbucoxur8zj2dr3fTv&#10;Z9PevlLllG/fS7OrtPE/i2ztIrTT9J863ijVIZvs7HegGA3HHI54oqvF+0H4as4ltF8b6wREoQGH&#10;Q7S4Tjj5ZX1ZmkHo7ElhySSc0V0/2XHrb7qf+Rk6Ou7Prq2/Y9/a0+Hmr3eufDr9qix8RBtP8vSr&#10;Xxl4RDSIUT92j3VvIMdFUyeXlcBgpIxVXX/E/wC0v8IdatfFHxJ+AV3qkk1vJ/aGpeDvESX7rKu4&#10;ny4bhY5PX92gYlc5yQDX1ZDpN/YecH/fwyTFmt2J6cc4IwMnJ7Dv1JqS+sf7TDxzSXFuowd0kysF&#10;68rkHnJJycHk5PNfo9DiDNaNm5qfT3kvzVm/mz9wrZNgKnwx5fRv8ndfgfHukf8ABSHwpqmoaX4Z&#10;1fx3YeH7yRpTLp/iPShp0wQAo7yNcxBACUKkBi2VZTXpp/aA+CXxF8PWkth4SsNSa1UIupaVeN9n&#10;uWVcggsmOcEkfLgZ5XBFdJ8W/wBj74DfHO3834ufCzTdX+yhlhuLlSsnK4zuRgQMd8jp7CvN9K/4&#10;JV/s3eHrxb/w94c1jTtNWYyw2dnrDQeXIG7Tx4uGHAwpl2d9oOSfWo8S4GUU61FxkusXZfp9z08z&#10;gqZBjE2qdRNP+bX9Hb5HQ+GvEvgXxE6PbW5ikTZ5yxYYKVyBs3NvUHAAUhuD6kCpLrSPC1qJr9tT&#10;8tTcN5VvqUQlYxZHMigDBGRxkD5gCepHD3n7Dfxn8G+OX8RfCj473FrpkNxDc2um+JQdTG1T86up&#10;SKTYen+vzkklsDAp/EG1/a30/Um0seDPBPiKSSwmurO/0+R9PmvWRB+6SPZLGWYbgPmAJBJKAfL6&#10;UM5yHE25pct+kl+tmvxPNq5bmmDjdq/mn+m/4HseiT+FoVHiCHwzod5PHMvko7SwyRxEZLbDvQZ4&#10;6soOQeBXbeGfjH4ZtL86beaGmkSLw0dxZqkalT0Bjd1bAydzbCOgBxmvz+1D9tOf4X3On6Z8WfAn&#10;jLw3fXEbS37XWkgQwhmwArpuZl7EAA44713Xw/8A20vg94x0Z9U0PXU1RUnSJp5JgnludzIgRxkE&#10;qj4wf4SeelbVslyfF0+eM9O6lf8ANtGdPOMwwkrTivO6/VWZ95aPqOh6/PJrMfiG6uoQyxr/AGbf&#10;FkRwe4XK4x1BA+vNWl0OG2LM2rTRblKrJJIwXOe4A2kZGOg4IPU5PxuvxsWyjOraXcFbm3mhSO0W&#10;48nc2Y/lPGcru3YYYJHOAK7rwN+0d44FrFbx+O5rh7dIzdskaOsyhTuKBt+1BsI655yzdTXi1eFK&#10;vM/Yzvonqrb+auerR4movScLemv52Pq2HRigSFZFRVXd8smABjpwxJGR6fxY6ZxQeXUtF+a+8mGO&#10;afbCTMPusqFCQzDli7AKOwXGc/L4/pX7SOtSwXVrqrWt7cAsLGztoSZLo89HUNE3GACcYLH053G/&#10;aN8MI9ncazc3OnyXFp5reYfMkTPVH2EuhOe6gHrkjFeXiMkzLD/8u2/TX8N/wPUw+aYGtb94l66f&#10;np+J6NA03mtLNbLvZsMskhCqMYJ4GcY5HGTjHHBLNS8c2ltdLapulkjcqDGBtbA9eRyTtAODnoMD&#10;Ncv4f1rSfFe2bSPEtpeeYu/EEhLRr2Urjg8eucCtlYI7e6W1gYpt+/K0ZUADHIOfQY74/A148o1K&#10;cuWSt6nqRjCa5k7iX/iTV9UKxww3duGlXy8fKT97LtgkAdOM844z0rW0u+nnikvb0Rww/Z1ki8kn&#10;DZJJJJ4ORgcfXNeZar+0N4YsNc1PwyNQtftWlmIQXVvdpJ51w6Tv5Mq/eRQIsk8bicDnbuuf8LW8&#10;Q6YdS1HxZZaXZaPa2c9y2qLrr3MskaQl8tbrEANqxtlUkY4BwTzUavVlKpT5Wk9js5vE1rIH08We&#10;Y+f9ImP3uoICnAPTrwPpkZgnj8A+LtETTtRsUkhZYjGt1CIy5BDKw4GNrAN0BBAOOAa85+K83xbt&#10;PD63fw4s41mmkdUtY41dpWwV2SKsbqp3gZkZo0QcFjwKr/Dm8+PMmlarbfYLWO+Mrvb2+tYja2j+&#10;4u1Y8qeFXP70g7cg5kJTJya0OeeMpe09m4Sd1vbT+mZvi/8AYx8FWNouu+BrBry8sfMa4LwL5yoo&#10;8xmVyuSOM8E9MDJFcZP4d1SziR9P0rzSCqiNdpIUsA35ck4z0r6N8A6z4/uvFFvba74SuLW0VXR7&#10;i0jVbaTCgowV5GOOW+6fmDDI+Ube2guvDlzpkd1YpFLDdR+dbyQsWjdXBbdkDHzK2TXtYXNqtOna&#10;Svb5foebPL6FeblTvHyt+J8gWvhXxDrOobbTQbx5ACu5Ld2UDI4JAwDnHpXWxfs0XOs6SyXHiOCG&#10;6bhrfyC6xnsC+4duoCkc8Z4r6C0S9/tJZXS1ktm+1TIYmUAALK6Bx0+8Fz16EdO9jVvsPkSfatLk&#10;kZVLNFwHPHRQxGCezdPcYzWdbN8ZL4Pd/E6MPleEir1Pev8AL+vvPiv4jfs9ePfDFst/eJbXNuz7&#10;GuLXLLjsecYP1+neuC1b4U3N7KfMt85wqs7ZC9sDrjjjFfed1ffD+XVbfSdUl01TqamGK12jz5GV&#10;S7ZAPKhehweT1GRujb4OfCie8+1J4ct1khXf5ax4yc8ErgqTnoQuRxjtXVQzyrGNqq18jCplVKpK&#10;9GWi016W80fEPgz9mDV/EupxrpeisYgwWa9ZcRw9PmLcAcZ+vocgD3PRP2Gfg8US8nuNajxII0j+&#10;1W4Zj93+7jrjHpXt+neFrizYWTWFvHYzXBGnLDGTxtL5baqiLGw4JJBGPmBwKz/DWlXOo+PvEEeh&#10;zBv7Nu7ezuoZCSkcnkLcgrgEElbmPIGABtJPQHlxGaYzESvB8qXbr6nVRwODw8VGfvNv7tGzzfxF&#10;+yp8LvAWktrW3UbpI8ny5LyEHPYAGLliflCjJLNXk2hfBXwb8ckVbh9Z0vR5ruLbaw6lAolWZFQx&#10;OFiOS0hfPykKJCCzshx9O+K7H4qaukUdtoWkrHBcxTxrqKiUMyHcPlz8rBwhVgcgqTySNvnv2Xxh&#10;8LdY1LxC/hu+hs9W1RX1W309WMcnmfJvXyVZhgKpLkqVQEg53CsfrmLcdZs6fquFk/hX4jvBf7G2&#10;iWFk0d6l1bwJEIoWn2vcFADhzKM+Zn5R/AVwcA8VLrH7F+gy25Sx8YyspXtDy2B1Lhj17fT646/w&#10;r8atF8TWTL4fC38NurRTmzkeVLd1+QpuIXJz0OOV2kcYxsWfiSS6i+zJZtbGRozG1wu1nYnjHPOf&#10;l69QR15o/tDGR05n+D/QtYOj8Vl+P+Z5LqH7FG9tr+I5DGvzSH7KrJISCpB+c4GT36ce9XP+GRvD&#10;+k6LJNJrPnTW9uzx2sNiu52VfuKzTDnIwGO0A88YyPVtW8erpLx6beacshupNuCVbI5ySmfm4HQd&#10;z7ZOpo2uaZfwqYI2hWNVZd8G0MOoIBBPzc889DyetEcwxT+3+C/yFLC0f5fxf+Z4nJ+zHot9pEer&#10;S+IblVmX5YZdIG+Ng2PmAlIBz7j3I6jPl/ZETUIpJluIfM6L5MZBbrzx0P49T1r6Eur+1uHdGmba&#10;0jbY5IfvEc5BP04+mexNUNY0qCOGPUYolVlUsNx68ZxkHrjHqBzT/tLGR+3+CCOFoNWa/Fnzdq/7&#10;LVrFA2mQ+JWs7xUWT7P5Ec0nl7kLNudwpAViDgc87ecE4PjD9lj4feHtHtXvNS0+O4+zBrLT59N/&#10;fL32gqz8DhcruHHXgGvpbWLXy9Pe6uQ0s8cLgDzCPLbGR82SuOOvUhs8dT8+3djqviK8j1PV7h1m&#10;eVm3SEyOAAMx/e+7jHUg4H0r0MvxGLxcneei8l/kcGYUsNhY/C235nnsPhhL+3ttPv1ihkZYZriN&#10;XGYwHB6nOTuXr24qfWvAfh/XtM2veNGqEPGtwBuYg/eC9Dngg9foa63VvCVrBbNcxXHkRxrubHpj&#10;nj646ZyOvrVPwt8G/F/iHVptQubtY9Pm4juLhShKDHygOcSEHJO3gdTg4z7NStGjG8nZHkQU6z5Y&#10;6s8b1b4L2MjW/h+/glmWRWljvEkk3bQi9WG1FOHJAPXnHWsHQ/2atA0PxVLqly032M5S1tXtyiso&#10;LAFt7PnKk/LnaMkDjAr7G0r4K6faeGrq+g1i4u71m/0e2vI/s6DD8gMT82RyMsMdxyMchefB74j/&#10;AG6XS7jwFIqrgIzXUZOT2yzY98dh69saOPwtRXUkrd9PzCtl+I5lzQb7dfyPnvVvhvZXNpcWWqbZ&#10;LHayBVtcblBwAQSwJx1CgewHJPJ6h8OJbCFm07S2WOO3LJGzKVdWwd68joeudp6YHPP1prf7J/in&#10;U9GtYrmOxhjupo4P314VSOVj+5LMo5JkCJiMucuuVAJNJqX7HfjXw74YvLgR2+traxY+zWUu9zGI&#10;+UVHVVJPQL1bI+VQdqjzDCc1udEywOJtfkZ8e+H/AIUazqmgDUJdMa3tbiPIVJNxk3bvkLZABbCq&#10;ASoIxwAa3/C37In/AAmOvQQCz2DUJltZL+S1ZlRC6r8zAZxmRBycAuvIzmvR/GV1D4Ribw+ulzWy&#10;wtH5bMypHBkgh2RTu2qOqsAG6dDmm6J4m0Xxh5Gp+HNYXyY7cTX32Y7ssygqgIB3KM5JHUhQD98V&#10;t7Tni/Zy1/rU5afs41FGSbWhj+Fv2Xl+Amt3WkavrUjWtxcfaLXXFRItkSrt2ygSB4ULPjzUjLK4&#10;VtwcAL89+OPg58G7vU7HU4pbprhrp21eExAm2gEisFiZ9u5go65AxtxwxC/Wmsar438d+G5rPW57&#10;6+hsFdWmmsXJjG+MuzORlhmNAGJIwoxjHHkfijwrpV9L5bxbX8/ZGwXllOPlxt3DnB7gjFc2DwtZ&#10;SdSrO8nvbrb/AD38uh24qth5U1ClD3VtffW39eaZ8r618NfCHiDTv7N0Pwv5Nxbttje28tA4ZnDP&#10;9xmkLYUgl/kKsACNpFnxP4It9T0Sz8LwfD6+s7d7GHTZG+1G6Nr+9SaeaLcMI7yBm6gKMpk7vl9b&#10;134D3Nisx8KXlzHPJCWlmaNGgLY6NHG8beZwMOoDAquWwAK5uys/jzo0trp3iPw9p99HG5Ml9baj&#10;5TzLjjcjoPugEnByRt4OGz6fsY6Nd77nke0lGXLJb+Rn2f7W/j/4feDm8KfE3wxqF9eWdrGLHUdK&#10;SOT7b1G+RG/1TDAYsCysc4RBha4n4i/Fr4e+P9ai+IFn4/8AEmi6hHp7LeaVb6bPa7ySrFXALcnA&#10;PyMfqa9U8ReFZNZhEF9bo3fy1YEHtjGPbr61wvifwPpFgrQW1t8jDB8uMqWPpnIGOR15zXtU8yrR&#10;jaSuc8sHTcrxZg+Ffiv8Kdw0y58a60i/dnk1RbiWGTjOVe4ww6kcqOUPGME9toPxA+Bnh/XrHW/G&#10;/iTTZtDinZ76OOZpPOhP91YZFIJBwMsu1sHBAwfK9U+EujC5WI6beXc0jHbCrbsnIJYE9COO47Do&#10;ar6R8I5ktpxq+lz2tv5ZRo5Jv3kqZ34O1uQGCnaM8j6ARVxNLEQcZwTb62CnTxOHqJ05tfM1vE/7&#10;Ro07x/qV94VjtYtCutSe407Tpbh2+x20w82C3DZd2MaN5bFmZsodxDZNfVH7Mvjv4zXsWm3Hw48A&#10;+E7XTdWkhuda8RaxrdzcTPYBcvFDbx28bRzKScKS+X45G1l+I9e+EOvDV4W0jzL2aeRI41aZR5YC&#10;hEQs5+RRhVwcBQAOAuB+oH7Nfw103xNa6DZz20N5NcW+nz6tf6SM4aG3DSqQyHbH5qGIrwSHUZBw&#10;RhlOVxjX51FO3e/6GmMzDFOjKnVqPletv0uzyP4z/tq6j8Y9N8Wfs5fCP9mjxdrmpXdrdabJHceG&#10;5EaJHBRZngUPIOCG2OqcYBIr2jwj+w3pVj/wSx8QfB39q6KxgktfCupatYtfSrN/wjN5Gs80Eqsj&#10;/K6EpKdrAMJJY2JVmDfSvivUrPwfYWfhs+K47CH+z7i+1Ca4kVFt7C3VfOmaRwVwC8SndtIV2YE7&#10;DXyV/wAFN/2ph40+Hepfs3+BfF0NhY6r5dt4j1xtQWB/shmEMlvAOW2b2CSzMPLVWdTufcq/WYrG&#10;YXL8K3NKK+9t9kfP0KFbF1LrW2r8kfky3wj13UdKupdHv5G0bzbe5uRDG3lKSuyHJ3OAAz3CDJMi&#10;qjMU5xXT2Xw51y48Fx3PjzxJp3iHTYVjg0+LUEmF1EjQqIo4LowP5ca7w6RCUJzkpk4PW6h8LfB/&#10;w8sdOkOhXsj3K+bpt1L4hjmELRs3mq6xyHajAxHDoDvLbcAEHu/BSwX2l2un3lstxpUas9rZvG2y&#10;aHYXDRBn+U7xhXTlXlJ6YFfm+KzKrVl+7hdJ3u0k15p97WV9PwOqpTqQjZ+XTv307W+88E1zRdB8&#10;XeLNYXxRqjNJJf3D6e3mG2eU/O6ws5JUjLBUbaWHRgECqvnfgbxP4x+DHxVsPGOjSzWuo6TeEkLI&#10;UZhgpLGW5wGUshPPDV9Y+O9B8AapqOhtZfCSbxJb6fDbvqUlnlRdxsm+4t22lWDCdnMciFSMsGMq&#10;sFj6+1/Y5/Zn/bA+Gt14p+DXiK+8G63ocM0sekavp95dyXSxoNxlCl2jgXcg+0AlVG4YYpgell2N&#10;gsFGtWTjGSs09102Xfd/8AulTlypNPVLfyG2/wC1b4X8USSeL5dYh1LUri0M7Otqke+ZjuG6AMod&#10;RJgmMMudpG9Sd4739nnxB468f/8AEi8f2+i/YdO0250zRdWt4kjtrm4mKyRS28arDK7YUF0kCSx+&#10;fblxGXWOvkf4Q/BZbnXJtX1OO+tYdHulh1SGGQqSOCnzAbfKc5AdWbcEOcbkavdfhJrFt4K8dWvi&#10;6zt7NYdNvotWuhGwhWdLUGX5pIyCoCow3A5XPUYr57OqNKjeFKfPfW7SsttL7tsiPK5JLdv+rnun&#10;h74Y20fxYXxFY3f/AAjdroF7JqWo32oebp8qpCw822aQRlYfMnUKkRZWKPJlV4d+N8eftg/AOy+J&#10;9nN8VNTk0m40m6Gt6ePBtuJvtTw7Daq5ljmVgTGHDMYx5ZdTgMpHB+OPin4ItdKkGjeK9W1Z9ahO&#10;ryQrqSSwQyGIzM/m284UfMk1wUnhMkZdeGdHz4/p+hPq/wAbbr4pr8PLrWvC9vfmfUGlswdsDx/u&#10;3beqxyTCN0lCZ+Y45GS1c3DuGqLm9te9tPw8vl9+jKxFGjCNr+bX5K70/rc/VL4L/tua5+1Z4X8U&#10;W3wH8bWf9ieD9e01dSm8SeM7nTUNtKZHiMcjWu6EZtpE3RzB1MTMEOVY/N/wZ0Xxh8XfF/iD4eLd&#10;eF9Nltb2SG4t/wC3ftb3QjKu8m6JGW4QhTNGyvsAKDDMXI+Y/CXwl/4aD8X2+oeB7qKx0Ea0LOG8&#10;ktwl9byFWeORki3iFN0bFcspPlHgDkb1t4Q+Net6Be/Er4M/Dq3+HeqeGFWLxFDeasbq3u518yS4&#10;ki3obecvtJMJ8xdu4cAMayzLK6GKko3TUWrqVtL+q8vkefJRkr28teh+hVnpH7amrXFv4Y8e6rpt&#10;npOm25muNa/eXdxIuXKW1xcyXMkdqF8wDcqRzMqLlyCSfiv4lfBPxt8Ide1fx14StrDWLzwXqEsv&#10;leE40u7Py/soBmdIJZXgmQyMXXyFjcZbcFRFJ4t1n/grX8X/AA/Nq2mfHC9mk8I2H2lfC+g3q2l1&#10;JkKki+RBCounGCxQlgrDCfMVVrnwD8M6T4utE8C/tkeBfiFo3xI0K4h/tu41S1vbxNX0LzN+VZUk&#10;eB0BdVn3KpMm4O3mP5fc8Hy007rpou1vW+z381uZezjKOruvI8p8FftG2/jkxa58Rvh7qk3hldWs&#10;Y/F3ivSPDons7T7Pbsy3cGyOD96JCrNayvsL7vLkXzdyP+MfwKuvh5oa/Ffw14W8QxR6x4qvWhfR&#10;UdVtbW2lDAAwnDHcDIFJiKfZXzwyOPrj49f8E6v2O9G0q2/aH+AXwyvp5NO0P+3YLrRfELWiGEEN&#10;BIyQOzhvLjIhliRFdkd5nkJaSvnbxzo1r4w8XyWHwy+J7zafFp661of2zTbDWbzU9RaS1jjWBCyi&#10;GRcsGjSYJLJbx+ZDGJNx4K1H2WKVXDLkjq5q1+bTRaNtapapbK3KRyw5rR2t/kbfwc+I/hbwNruj&#10;6v4U1e+tbjSrq1s7zVmvI0llvI1kFxLuSNWkdvlUSbs7FjyMKK69tMvNZ8daHfW2hXq6Wz2EtpZ6&#10;xHEWt40wWjZ1GRm3mLJKoIIkVCERtw8p8M+D9ev7ibwn8T727u10fUJoLmTWfCLaJfaj8kkvkuJR&#10;JGHO1jFLIR8wCjducV6f8L/APgzRNN1jxfp/jnXpvD+qLav89oRewR7FZQsKRqskxldwoiGza21S&#10;Pmx8Tm+Cp4enD2V5NtcrlzK0nu7WUldau6S02vo/PxFOXMrM8s+M3wr+I3wts9Y8W+E/DVvpmq6l&#10;DbyX95ouiXh0vTVysXko0wfa8rm2CYyRgsrANEBofELRNU+JeqLo1nqlrcWMlrY295YXl1DaqL26&#10;j3tBuIQRgFriKRn2kbULHIBr1j4keGvFPxS8Nwv4P0r7RHb3Mw0uPVFeSbzpYWgmlQwFhgJMEbL8&#10;xqpYqSMcbovxCt/7F1nwj8To7SxW4023s9anhvFZrfVlvVcXEzxgpNICgQqm1G85xgfvFOU/ruJl&#10;7RpJ81m11eija19op21S1cktdZclKKTWvf5fp+Z5Dr/gbStG1290i+8Oa951rdyQzeTqkITcrFTt&#10;2WbLjI42sy46EjmivQtY+L3hHw/q91oN74qulmsbmS3mWDwe0yBkYqdriYBxkcMAARzgUV3qVS2m&#10;H/En2lf+Q/Z12cv5dvCqgZO5ud3HTr3Pfp+QqlNqNlcXTW6ssk0U/wC8/dsQjHHGMHnByRnjjpkY&#10;878b/GrSfCBtbi81+4tI51khhivLd1kmmAGSi+WTsTfGzShX2hCTtGS1jwr45/tXdYTC61Gays0a&#10;8ubS1E0dxIcFiGGE3c7tuQR5nA4xXtezly8zP3yNWLqch0154s8N+EYIdKvdchaVo1EfmyRpLN84&#10;CooULu5c7FUhmxgZJJPjOg/ti2nh7xl4g8B6lq0Mlro2yKPVoroXCXLO/wC62uuFyYSrvygR45gA&#10;Rtrn/wBpXxj8T9e1Wxl+FPwzvLm40S/Ek1/dShI4gnlytGqb3CsXEeG2E5iI+UbXb5x8Y/AL9pDX&#10;0v72w8Tx2K3Fx5mnyTanhIrIMFSOWPafthdQGVQE2YPzMZGQXTo83vSklfTdeX9el/I83H4jEqVq&#10;XR/fp39T3T4k/tk3MmnWuiaRrUdrZXN1cLcXHkvd5hYM7xI4U+XgrGwAbCq2QY4lULxPjf8AaM8e&#10;DxLpupxfMtus1lb6rZQPsdJZUl2LIgfKghRk5/1hBJBcDyX4e+A/HHgbQZ7nV7CF7j7fDJp9/LHc&#10;T3MzBo4bkpFDIGKFIxIsbYSMuwICybhoReIrO21uHxHBcXVlq9vJg6bHIfs58uRwGiCruVmIKg5k&#10;VkfaSSoNXVwb2WqXX7vmeBy5hKm5VJ3b7eXRb/l2Pfpv2qvA3ivwTLpHxV8PWOqWNlZW6TXl80c6&#10;zzYyybIywUkFQd27aQ395QOC8bfBL9l7WPEunt4H+HbaLJr0q2d5qGi4Wa0eS7CWw+zpLuADIWbB&#10;y6oyJgyZXw3XPiH4f8L+JLfwtHqsOszXS3UcmzTyxeaaVkYTB9+6TbKEYdCzHCMpSWTr/D/iLXvC&#10;t7cfEf8A4TKOw1Kx0hbZl1KNoreT/Rwqp5jy7owscsCqrBMKULfKQxx9jWp+62481mt91+etuhyf&#10;WMdVqeyr6xVuibt/Xnc6rwl+yN4u8aeO9Zsf2Zfi3eatJOtxd3V3qFutvZ6ZIHwVWJlVUADrtjRV&#10;AXO3YY0ZaXjD4Yf8FG/g5eXc/ij9niXXNLgkSNL/AEHUUurho1Vslhj5y3BLIiDPRUztHsH7Gmi+&#10;JfBHj6TXtC+0M0cf2SdpJEaCRy5aZhFuXzg3liTKKJN5AwY0bP1enxu8N2ZuE1vxEunXksjwQwvY&#10;ybUdFXkkgZXJUKc4LOAM7gK9LA59j8C9KnNfvqvL8Ej08HlmDxWF9rUXLdu2tk/S+ux+cPh39vHw&#10;beas3hfxRe3XhTVlaSNW8SWskY3LGefl37SQAuSVG7q2AWruLf4r6P4puZo9M8W2eo2schWS707V&#10;o5VAXqEeMFCuc923Ag8cY+6vGXwB/Zy+PfhRNN+IXws8P6p9qtwZIZIVk27gDgSbdwPzKcjB784F&#10;fInx6/4Ik/s46XFcfEH4aePvEHgH7G3mItncNdW9oxYKNit8yjcT84JwCT0FfUYbjCj/AMxNO3nH&#10;Vf5mGI4eqLWlPTz0/wCB+Jjab8TNAMStY6lLGRIQjPdIdpAA5OznJBbIOOmAOlem+HfjP4/0jRjr&#10;0/xTlezW3WOGy1O0M32n5sMUwpIUYK5VwDzxkHHxFq/7Nf7Xfw/v7XxB8NtTj8X+FMLNqiyBJtQW&#10;O3KJdO3mbA37wswiV+A0KsxVld+cX9tLxp8F7lPC/wAaPBOqQZUf2w1jprtDayblbYjSljOVBMbH&#10;92m4Eq0ikOfa/tDJc0Sg7N9mk/8Ahjy6dPHYOXNTk16Nr/gM++fCPxo8C2fie68a+JPhVZ3d9NeP&#10;K1xHq88AmRcOWMZjkSRhgHY7LkhQc4qb4x/tuaLqE9roPw78EalY6Xc2s8PzWCmNZZIJlYbI3YkF&#10;jCFG9GAWQkEkGvnD4XftWfCf4kwafqngnVbG+lnniivBeRyRypKysHTfKpXKx/vGCl1yMn5QAOg1&#10;C2j8ZXFvpsupRyfZJWllaa48tnmPmgo8pdI1TGEMjEjk554PhZrgcoo35Y6pXS5nb0300WiX3BiM&#10;4zCNPklL8Eez/Af9vGws9QsdI+Jlktlp0lveDXNdltWVhOkm2NnQEsf3UaZ+aQlGjO9iHaT3TwP8&#10;YdFn8N20emeKrS8vobK1jmWzlifG9nQXDlXYRq6hJM/wLIm7HUfE/jK88NaQmpJY69YXUt8kc91e&#10;xXEksVw0p53nIUN5amJ2+YEhkKt5QKYI+I91BqS+LLK+1WPWLPbGtxb3RMjWcFsEUK8TDAjklBDI&#10;doDAbjsTPzWMwuX06kVTm9m9dVpftZ9F+PYMLxPisPBRqPmWuvX/ACurderZ94ab8TPE3hL4M6le&#10;6ZJNqmoaLIYNLV7C5jWW4usiwtw0pO4NNNDb70KoCuAECHGx8KvEv9r+Hrjxxr2vrJDcahG1jbW0&#10;Eq29lHsiAWMlf3iZeSRZ2C+dE6ykIhCp8C2nij4keEp9L/4Rlk1C1a3t7KzI1OKH7KwYv5iskiyx&#10;EBrgCT5SI8bWUCLZ614q+Kviz4sWegeIYtJa01u3023uJl0e3Vo7aKbzJrTfkK1vHHEtwsZLMSJX&#10;wFcoRxRweIlL3Vf7vJaL8fJb2PYwPE1GpFuaacUrLv8AP0/K+59HXfx68OWnjGTSZ782OnjUktEv&#10;rjeFDzQxGJOuFfiSTD42LyUJDFKXjL9pOz0rTrKaK+02TUxocNzPE1wCsrSgPGfLGWjV9rBnfCx7&#10;WUnkSD420O18VWesT+I9AupbK4stUuZ7aO7uvs811KItslq25mj8wTo65Ys5KMwOWr6Y+BkVxaS2&#10;/iux8S2EcdjrcN9d2twzSJNBHbpGVVY/s7RqhklbdI7JFKqnDKQWh0p0ZL2qf6W7/wCR6GFzSeKq&#10;8iklv5vXa3a3X+rdNB8ZvCGseGn8SNp15pfiLSbpZL7SV1F0e4uIplWS2G0hJncJtVMFkwpkUIRv&#10;9I0fxj4a1XxX/Y+ma/Jf2bEWVzfzXkUcP2yNJbhIAqANnyw3mMF2ny0TJIkUZPiTwl4a8SPoyatM&#10;NGXUXMFncWVvbxlJYAWiRIlj2shiWdlhkBVFiQbF5Svm2W0t/DQ0vUNF8QXl3rl1bTWs2v6bcQqo&#10;kt1ijuoJYZJl85l2rMpE4mY3G8KBHxhOpGMrx2OjFVp4XSy5Xbyvbprprdep9KW3xh8E+B/Gk2l6&#10;1qkcVvqOsLYw2dvvuLeK7+yJeT3SPtyICsyK742qweQ7f3z1D8IfiVNf65431mfy7FdR+J01lFCY&#10;zmdbe0s7DcCPuhpYFAY5GWVeC618V6f8Vh4d1u10SKGC4ha4n1zUrPVLeQtcpe6TceeD9+PmyuAX&#10;ZgPMERdg23A9I+B/xst9DuH0a28Qfa47jVre7v8AWry+mNw/mTXMksqiSCMA+dFKSXVcyNagIW4M&#10;RxClv5+W3/APLpZxGryzbSSk/VNafPVvY+0BrXh3SJ7ez1nWrOCW6ZYLWO4m2ySSlwmAXbJyzIAv&#10;cjgnIAm1bwroP2uHXdauBCIz9mjEtxthLTyRqo2n5XcyBQpYFgSQv3iD8z2vxl0/W/E+n/F7wyft&#10;F/NpdktmmpWnkzaYLuyPlKUeNjOWlls1LRtnLqSpWSNZPUvBHiDV73xhYaHfa404mu7jUbyC7tS4&#10;GnruktcGQ+dDN5s0OfM3jdZTBPL2kVtTqR5b2Pap49VpOz66ef8Aw53WpeB/B11HDbz6RE0cchaJ&#10;obc7Y3AKn5k6AYxzjBGCeao3vwu0E3r32k2v2SSFZIR8uRIhI6r+AwfT68weAPilpPxB8SyeItPv&#10;tSj0tZr7TNLSa1kWG+uIJ0We5DlmWSP5ESP5Iypiuyd4OV62OO40nS0S5u7i4bCp594qrI+W2gna&#10;FwSTnAUYJxjtWy5akbo6qWIjLWLObTSLq2PlX0LK0cYA/jwM8YOTx8vcCobWTSrbVRZxhUWSIyMf&#10;JxkqRuyccH5u5556Yre8T61b6BYjV9UmaJdw83yImlwSQBgBMnnqeMDJJAGRyuun7ZfabbR/vPOu&#10;Gjkns5DH9nAUuWfjJQtGBhD8xKg8ZIxnFRkdUanc1JDoNuy3Duu0lVV2mwo3FdqnnBJbAHXk4A5O&#10;a95pmn6qqiFBbyMqpcLBHyeRkZBHbI9ec8dCadfaPqQm8P3zzQ3G54cs5DndlvleM9SM/MP7pydw&#10;YCxJq2mQQwpqM1ta3stj57aeJgZoizeWRwRhdyhSwyu4Yzlanl0CNZe0tf8Arr/XqUtWtv7U8PXG&#10;naUJFuJLdwjXEZGCemfUZ6MPqDivDIPh18V9K1vU428PtdNJdFIPsrAKGECsAWLYUEdWOBkgegr2&#10;DTPEvhWe5bUbO5hjhtru6t5o1cxqFt5HjnUJ5v8AyzmjZ9xXhHCp8zGm/Cv4m+HPiJ4HbxrLcwWE&#10;LXUweO9hMMlsFlOyGUec48wJsVsHBc/LxgDow+MrYNPls79zlxFPD4yajNtNX26o8et/D3jT+1ZN&#10;H8Z/Cq/vrU3BRoLV1/fx/u+7Day7pSCB0Cn8Ovf4j+FvB11H4T8faxp8dxeXbi1jmcxobeSZ/LVc&#10;qY1VYQgOW+YLkZ5r0jV7DT/GGnNHpGtLHcm6lQXUlrHMsTwylHDK2MoXj8tsbWKsdrIcOvnWl+Iv&#10;Bniq48T+J9an8Oaxb6P4jCq2oXEDDTIRaQRTLOZxujAnS4bLAFhtYDBDUVsZLFSTqv7tgp06eFqK&#10;NO3vd+qtf8DuND8Y+C7yX7NpniCzkkjZcNb3sZO59w24Rick5+UjrjuDih4y8T6avk6Va6D9tkmn&#10;8q7tmZYU+zjYS+NwBOWRApAJLdNuc+V+G/Bvwu8T+M9S8DeIvDUOmxzXZSxt4NQa2N60Hmjf5UJL&#10;RxiKDzVnchSZcLllzWbpngjxDrVlp2v/AAN8Qa5Z6U3+j3Wltq6tNFEqlVbybiImOILg7kMm7cCo&#10;GNw56UqdR+7L79DqjXo1NvPby33seleHfh58IpNRbxxoGn3llqUbQO2ntqEsMNtIoUoj26lVUqdp&#10;2kbsYBI3EV31p4mn1fThHqbx7YlWS6mRSrYAJLlt3AOD69TjFeP2/hH4laLdXHgK68RWc2l+ILZh&#10;dXU+ivdBdqBR5he42hiCyqwUht2GB2jdg+NtZ+KHwY1KPVx4ifUo7pvKhbUtcZSZQw8uNYAqxKrK&#10;WLOUBGw5PRl25JV5qMWm3sir06MXKSaS6nrnj74D/Cfx3e2t34r8JWt7cR3y3aSXC7mjYbdwXPRH&#10;2JvB+VsDIzgitb/Cr4XWEcMXhPwta6WLW582P+ybOO1HmDIbegAWVSCOGUgcMMEKw+fNZ/aV+IEG&#10;qg67DqGnweWu24t48pIctkuIskAY5YqB152g1uQ/GHxxbOt9pPiFhHNGJEuljVtykDnJ9gvrxjr0&#10;Hd/ZONUdWl89P8jz/wC0cvUrpX87f0z2Dxzoel6t4bvPCenaIsMLaa8C7dsabNhjVfl+VV+bvwOm&#10;K+LNQ+Fer6Nqklpdx7Lu0uG86OZRvi55UMOGXlcYHzBVOSte/wAHx4+I6Fg9zaNt3Dc1qMkn+LK4&#10;BP1yOK4DxDqF3f3kup63fQyXtwN9xdSMcN7456cYGeACPSuzLMPisHOSnaz/ADOXMsRhcXCLhe6/&#10;I8k8Q+GNSNyrwu1q7Rfu2hYN3+YbRkg4PHUZPJHAPO+KvA+pzSwzXc1xtt5DIiyIHQsVaM5yv+0e&#10;N3H06+y34hlkLuryyIvCrCdo+nHUjvWT4l8Hprlu0F7qlz9nO0rDHCDhg4IYnBwQ2CG4KkZBzXuR&#10;rHiyp+73Pmi31S+1rWbuxurr7U0cjIIYFYLAqtjB45Ygj8P1y0sE8QapcWFrFL5luNhj2kMW6cgk&#10;YPYD2BzyQPcov2ffDum6u2rRaveTNcybipx5atuzwgUKOeeOSTzWlP8AD7Qo7NdMbSlkjaEq5WEY&#10;29Ap5zjBPqAPTArT2xjGE+p4Gnw3uwzhIPL7LLzuUZycEgkggdx+tN8QeAb4WbxpxuGFYqDjjoOM&#10;fnXtN18NR4f0+4XwxpM00h3NHaySnaX54GQQgPsAM5z1JrF0X4aeM72+2eLLKCG3C/8AHvDcPIW4&#10;bksNuAAR8u3jbnJ3YB9YcWW49Dgf2E/GPgE/HTVvgv438H2BaTRVuLG+up9szMsqxyW6bs/P8yup&#10;UE4STIYEBftb4Vy/D34Ha9Hqnw81D7NClukd54YWy3W8sKOEURyqFMMoD8MUKMBg4zmvnbXv2d/h&#10;74onjv8AVPBkc91C26O+hUwzQSA8NHIpDIepBUgjtV4x+OPDNhDofhjxJqCR20YEkN9cLPLImeEe&#10;4kV5mVhlSvmfMpKnIyK9Wjm/sKNoLVbXW79bq1++voebiMtlWm3fc3f2ufivB8FfAviPwVpfxH1X&#10;VtX+KV0unabDqQ2XWieH4SXWzSCMNvjdJbu3MpaORvNBwSpYfMdh8I18ZWfmXmnyLE0O1Lq8l3t8&#10;3TapGADuOcdcDPQY9bl8G3K3X2zW7q4nNyrvHrOqX1xftp9qZmj8gyzt5g2uSwC/LjkZAIPongnQ&#10;LK+0mPVvKU2s02+ztVj2qkJzsXHd8YUoeFZcAcBm8zHZxPMaqstFftp/wW/yJw2D9n7vfc+M/EH7&#10;PPiCzax+yXF1eTWt1IYXaL9yucHLruwewOePmHGBU3hPwh4pjvLXSbHwTJcahJaozWPlMxHy5AVc&#10;btpGGzznZuOcivse4sfAF1r32fxTexaZaQ6lDbma6kC+cGRcMmAduS3l55wSeCenT678H/A3w9k0&#10;e41XQvJha/iluJptJaWNAEaQkzAvtG9QoXhW3OCQCBXh47MpYe8bX09PV/8AAPXw+Xyrxcui3Mf4&#10;Xfs62OueAT4Y8S+KLbS9atobVreQaTGYLtIpEkaNUuNhnYx7VdJG3JG6Agrtz6h8QPgRdW/xO8Gf&#10;GH4B6H4XtfEGnytb3V7q1iJGawktpISVjV1LYEj7GBBVmYBlSSXda+F/wu8a+BvH1v8AES/vWkZr&#10;eYS2/wDYqKkK7olxGeZDuWN/lG85kYrgMu32KfU9bC3GrojQ2qrv8uCQEtt3uWVPl+cja2AxDYxh&#10;cZrypVK3LB819HpfTV2tbTTqj6DD4Wi6Uqc4W+/Za3v0fex+Wetfsh/GOwl1HRfDVzq0ss2oTHV7&#10;WLyzcFstIUleSOSVhtkP3jvZPLywAFV9f/Zk8YTfDC41Pwl4SsNYuBb/AGzULU6wY5oLaOWZZY7d&#10;flaSQ7YSkjfJuLLtkChn+6LXxdqc2sxeMJdSstWt7i1i0zULWztzJGI8lk3pGfLaPPyhjHwCnz4k&#10;QHy39o/4NXnjP4jaSvwV8H2NjcNAza1o8Glzq4MmWeRZU2wtAQ0fBcqjY2JwCe7MJVKFO7hfulbf&#10;zu42Wzvv67PwZYDCOLnGLfZbN32fVPW/+W58eeGvgV4m8J/EVfHz+Cbi10aHT2h0LVPNu/tl0Apt&#10;ncSRSgcOJDuj2kFcqY2Ubeu+IX7Qc3w0+Dl18OvCPwW8L2OizXc1/JHf6H+9tJriRS5LxzBBj7ir&#10;jaqLEnzKFFfQXiLU/wDhHvhJdfs9/GOOz1O18N7Y49NSZGF021mSWDzWDQtvPmlWDKrCQAsoCxfM&#10;HxA8G+Ek1S2m8KX9oYYVjh/svVoYbNEWVJDJK5EkkEJxJgEnDZYkRhBh0YxqSji1o0kmtk0tbK/r&#10;v5nk5hg40IxTs2t1fX08zyOx8a+KNJ8LtHM13ptn4m8pptP07Sw8l1sZmjAVcEjPACMqt8vUYI7b&#10;4T+Jfhv8LPH82r6f4+1K6jm01YLW41bw38kV0ZNv2kmaYSQxxoCxcxtIyPKpSMMzPu6N40HwI0OP&#10;S/irF9hXXNIOm2+lQ3hkcWrbTNdGa2YPGGIG1AMSNIzAbfnrPlv/AAd4z8V6T8LW+DHh3w/caDfo&#10;NQsbbxFLEupmG4KSRxbpFuNisFZljkeUYdwVCtjapUw+KjJuPuON7ppqW/zuvu13PDqTjO9te22i&#10;7fI9p+E/7SD6f8OL7w78G/gHrWi6l4LhvD4ma1vLWW80m5DOHktkvSAods7w6OtuG+aORQSuh4d/&#10;bC8J/HS8tfh78UR4bsb6z8IW7ahrGg2c9zqOqTeWkr2qeXMzRH7TM0myQRKcOIpJgF3fOvw1uofE&#10;vw0vvFvh7xdqGns1rNBqkeixhZNQbbbGFG8qRVUPBC/nM2GJinYq7HC+geH/ANlbw0mt3upap8Md&#10;YsfGS2+nDQdaa4urQ291HbxkMm3EcjEISjIrIxXI2mMq/HiKtOVFrnceWVkrWvK60d9X307nO1Hl&#10;00a/r9D6l/Zv+GHw88dfAnR/FHxv+B+teG77R7eaw0zxF4N1i5urqC1+1XBTTB9ib7T5SiaRVhUz&#10;o0QBeUvwMr4zfsi/CL4FzLq37NnwT0+HWtQP2uLS7zUp3vNQHDJLtuGkurUrtZtxUwgoI25kYV59&#10;40/az/bW8K+GbPw38AfCfh2HTY4bOP7c2jz/AG6Rldw8plkl8hlKwHO8CQBsDIQuvQy6F8V/B3ju&#10;z8f+JPjCuvDxdo8P2HXtSxqVtdWqSs8ggDThrLaZY1McW4sySb1kBdm5amY1MPg4YiNpcy2SfLfq&#10;nfa7XKt9TH2kuTmTX9f1oeJfGbxP8dfDc9rY+LfC1/oviKaa8v7y6kvILqdCUjZfM+zhoZo42jXz&#10;FwQGYiWOLzYy+J4l+I3/AAtLwvZw6F4aht9S1DU/I8QWGl3Ulvb21xa23mukSFXjZHjeWRBKHXy3&#10;mjXcwBH1RZ+GvDv7RXgnUvhh490po/EWi6s5tdat7mWzuLK6W7YK3mtG3k3G57lQkoVnZnUE4gFf&#10;Peq+F9W+A2ra1Z+Exr89vf294l54i+wxTRzfZ0hlkmeVV84rHGer72SST5cCRieKti/rFGMm17S1&#10;1GXl8WvVRu7LrbV2dznhGNRWXXW3p/WpgeDZfFHx2+FreAJTNaeJbiTyrnUobBbV1++oOA0TZd3W&#10;TMQI2Jncu/bXNeGPBfhbwza6ZF8QpNcjvrzUJUutUv7W0g0KVYJoXP2lJZLWaGNPNjAkdySG4QAB&#10;B0F1438QeD9P8VaT8JPG1jpk2m2cba1a65MVt7m1WS5SSdBIMTBZLiOTy/nU/MpDvtA4f4sfEHxl&#10;8ePh9px8VWPh3TrbS7OxgtdFazfTLlJCX88okzD7S7yeTJ9nDESrGSirL8wwwtH6xRcOe6k00ra+&#10;9FvS1ntZ72Vt9jWNPmkrLdL8Vf12/I7rT/jH8d9DsINF03xvq01vZwrBbzSyoGdEG1WILEgkAZyS&#10;feiuf8G/CaG68H6Tc67Lr8d9JpsDXkao7BZTGpcAliSN2eTyaK55ZJgeZ3lD7kL3lpeX3s/UPTPC&#10;2oXvi0eJ/F+laezWKMiw3DM3myRvGA5kKEygBmGcFi20dBg980eoXFpBHo2ltZ26qBF5ZaNsbWBQ&#10;JtGF5HzHgZzwQM+WaXrfxJ8Y+Hp5dcuW8O26xSyKmk2cxmhUgkqWcqNyt/GiLuyuMjIO98AvHF14&#10;ijltJrp1tdPhaBlk0s2o8wEANtYkAlvmwFBBfoxUmvUnGMZWbu/LbbuftiqKnJRUX739amlqui+J&#10;TqslnpFhY2LXl5+7uLpX/wBYQ+SAC2/aBCckqSQcAYXGb46+E994t1JfEGp2VtqM0civF5ybIbZ2&#10;QBkaPIVgEO4l9xXgKQQMejK1lbvHdyy3BkmG1Y2ny0gzyFYtx3bjk4z61aaGyubOZGsFij25mW62&#10;YU4G4H7ynA4OQRx+WfNK2ht7OG7Pmf4L+BH8cxPrt340j1WPTdQNubXT4Q0s8qgKzsyyrtjydyo2&#10;AUJxu+Wsz41/Bz4fx6zZeKrfwtdR3kEsKeTNbLEDKCQiMy8nJkwFlYLuw3Tr9D2k1r4Oxo/hvwus&#10;jXj+fJb2Vvt2uxyWYthQScjLYJxjouRxfjmS38a+IbnSdT1preExrBZ6bbq7STSFgAu9VAjA+YnP&#10;yhWiKncSppVpKonf+upwywlGnh/YpXf+fX5Hyb4o8O+GNR8V6taaJ4XuLm60/Q4rWRWt8kyLGgjt&#10;jEhJjnbc6gFVU4VQPmO7tPiFpVpeeCR458SaXc63JdNnT3utKgeSdlQJFPscMoyRuYgEsCGGFBr3&#10;B/g74Nu7n+0bV306f7dG0c0emhUBCiN3+cA+Z5Q8sMCyJkHkFs3vDHhPRfh9f2/h/wAc3FhqUat5&#10;mmzWnhedRDHGQvk7pHlQs2cAAoAv3VAAIqVRTkn2/wAv67ErLbaS9L6f1f8AU4v4C+JL/wAPeFrG&#10;x08XFveahcObe4QN5eVJVsFmwsWVAOAACdx2/NuyfGPiD9o9Pi7ZrpOlr4wtXtYYtQuNPaKHTY5S&#10;XwhIgka4CPIqrKrxspGWUICx+pLbwt4E07TlurG00yxtpow8IyYEnZg/yvwFdSGBCMGGSSBkA1vx&#10;+EvBnh8Cawj8qXy5Ni48uIEkdU2EYIzuJH59kpRcbcq0/r1HWwFGVFUW3yq2n9fqcx8JfCvjKTwK&#10;+h+Kdb/suZlYw2NvLHNNag5bZKXgVVYLJH8oDAjHzMDuPzD/AMFEP2w9Q/Z91HSfCdv4rgvoW23d&#10;6bO6QyspZ4zFLGgO1A3kyDfgOY22klCD7H4M+NfgTX/ix4o8N2fiRxHqOpedFNp9vcIZ8lYnRWKb&#10;T+8BUshywU5/hpmu/sVfsyeMtVbxNqs/lSaxqDQTXEjfPJNl1dRwPKKshDMygqV2/KVGMIU6NTSp&#10;zaaab/18iLVK2GdODtbTfov8/wAj5N/Zt/aJ/wCE98U+E7XTbOS40mSwur3w/p98I5JryKa+HnBd&#10;nlhyJLKeMh1XKujHbhRX2lpHwq+H/wASNNurz4p+H7GHU9WMyWumzQ200emQg/u0gWVGjMm35pG2&#10;sWc4YmNIlTmNC/Z5+D/gu98RW3w38AaPqmpaNeLBZRzXEe6G1Nnb3BJWQ58syvI/yjJZsjIJI8o+&#10;LHxt+JfhbXrvTNH8LWenyaVDHFJfa2skKJAyxPNGsYPPzFNuAMrtUj5kYcv7unW/d3Uel2r9vn5H&#10;HTqYfKcPetdpu2mvlb5JfJfI674w/scfsueH/wCzfG3h/wCHul3OpJfWOnLeWMkayWheYQyO0Vuq&#10;oAYZrhG+RsFo9oA3E/Nnxr+Hfw5+Fnia58G/Dzxzp8q32pSXE2kzTWhAnkZSHC28Z3Rxsdrb0TJU&#10;mIZ81Ial/wDtjaB4z8IQw3/iKPw/c6prUjrdfZZPJuBbSDy9yrtLB5fLDeU7vH5q5GGYrnDxDrHj&#10;jw7cavALnVr6W3ivbpbXZbsS8bRNLuUfv/L/AHjKinBDBQCSyr1YqniKcYyk207aXfrp3/4J83nG&#10;KwOOusPHezva213tv1/q1jnv7Wh0O11Lwj4tS1K2c15ckSQttmuPsJDOElfbMpUq2SMqc7QGcMau&#10;lalP4k1+O+1Hw99o1RlkmtZmXzmuZLk7ijbH2mbcDjcWGGIOQFrItrbU9OkjXxBpourCzu1ukuot&#10;QgmEtrJ8gLpuMqbVumRlHHyqOfkzr6l4W8OeHtO1C4stPkMcbreW00cxeO1xHMRboDuSXy8RFUyc&#10;BY8sMsi8NatLlvCWlm7+vRei02utT4yUalJNNff/AF0J9T8d6xDd6Q/hx5XOl2tytvawxbmZFVpB&#10;KJF/gYFzIu7YBCd3DZHR+B/iNpUWtraeLbqRbx9JW31WyVod/IVwCFB3REx7QX3ZeM4IIGPNbdrf&#10;VfijF4avfEOn6Hp2uJEZNQvtQjSCyt2PCOjMqyAA4UQlclpBkgJj0SfRrrRdHvrI6v4kl1ZtHit9&#10;WttNvtkLrZz7XlkEJ83zJMAna8fk/vG+R4xt3w+MdNQqyato1u97K1tnu1/w5rh6FeUfaRei/wA0&#10;v1/M7yw+INl4vhbw1rpayjuJrk/ZV8uJDObkfvJnceY7F96jaS4MUZUR73B9C0m/udX1+TxLY6aL&#10;izg0yFfsltCtyRdbWUKyqSDgmSR+N4ZU2nCOK8Q8FW99bfEZvCuveH7WaK3sbye1WOFnaZmMiHEy&#10;7XlZyWZHzwBuznAS34w8e67rMF//AMIp4Nu7LS9PlW4Gm2Ylku4pJLgMzmfYsZUTsojJ2sVeIYYg&#10;kej/AGsqM43h70bPlvul+G/yutzojWlGS6tfoj0L4ufGjUND8O6bolp8R9U1G+tZ7jULDULPVCYY&#10;BIZQs6BiptpBAbr5yvG9WVlySeR8ZfGbx94k8DW/hXxLqNrZyQ+JpNa1TeBJ9rIt3KW0b7Yj5bec&#10;IVXDMoEJTICGvLfFvjjwd4l8DalexbjNJZtDZ3OrWaRxxmNpZtx5Ox2cwA/8s2Erq4XOEx7a48UP&#10;dN4Z0/T9CuktdPhhiutS1UxWdov2OR41NxJKkfkP5sSxyvIEYXkJBB8xX5cViKmLvOaVrLpa1n1f&#10;drb5720X1vGYjmXM9dLau/8AwbHrPhX4k2ngGzXWNO0u4Xxfp+q276FrSzRBZkigFukRQgs2/wDe&#10;yMHJQBUXaBueoPhr42utau7rWvFXjllFxfpLfS/YYv8ASIWKOcHaqwRpJbRAsCrAyyhAS0mfNfHm&#10;l32pWFing1F1SS6YWQsWukeOURxqx8uSOUJIhIRgyyAEA4YqATe8Paok11/Z0+p+dJJK32y4t7NZ&#10;I/3SzJ524n5PMZW4I6BCDu+Y+VRlXWHdRu+8fO662W/boc0alblXZdNv6b77n05qHxU0/wAQ+Cfi&#10;D4ln1W+jhhj0u5jt7O1jjL6j9sa7SNZUIlRI4oY1Xljss4l3oEjiPoHjz40/8KX+Fmi+L9N8SJof&#10;iK88QN/wkXhW3aS4u7S2uYppzHGZE845nLzCRjh2uJNskqiNm+L9B8T6Ro9q1rqd/bSW1jJdPb29&#10;jdEefbXVu0axlm+fCpOCoAPOQ4BO5b2k/EOZdc8OmOe60mazto4dF+wWiwkSJPIXdJERWT5/MMjb&#10;fmclyxKHG9GNSFOMHK763vt37f8ADfd7WFzj2OFlFp8zVk10d279767dbH29+zD8QfiBrUdrazy3&#10;HhnSdFgh8Lyacyjy73WCxmuruRThlMssiKx5/eXEK9Glr2CH40at/wAJTqE/xG8PaXY2VrJNHHND&#10;c7L2VVmFrGwRtsxcSGUDYh3i9g2Ft2T8E+Avi7ofwq+HWua3qVzNqcer2rt4ZnsdJtJBp+rGGzaK&#10;4LOUWOOJ47dpGj3OZIEc+UV2yeofsz/Fb4ZaL8T7O21TWrDRNJ8P3Grw+FZoZvscNp5LNE/2oTTO&#10;22a3ksirSYy9sq/M0bSS+hRVSFO0Yu2y67bfgn/W30uWZlGdOEHLVtXbaVuitpsvysfVXw0+NNl8&#10;YdI0vUrvSB9n8RWWpSWumXDLI0dvbXaWvmNkDPmiQOeAoVlUBsbmw9YPiBZb6Pw7NG02mzS2uq6W&#10;2oHNxPI0ZhlQgKlvM0YWVVjwiyzdAxLit8Hb7QrH4X/DvxDLBCst54Ti8u6EZkxLPDDcT2yKrhst&#10;5RcBVdQISG24UNxvxb+K+geDtd1xbzT7q30fUtNgup7qM3NnbrcwyPHMlzPBtmQuJLWHd8wIQKUG&#10;2NZiNWO71PelUjLDwnN2vbXbdJ7+vy17HD/Er4o/GXUvHOj2FxGvhm21jVEsJLbQ7Uf2jeu0n+jp&#10;5s0RjDB40Yhmt2A3ZVcFhLqnxj+J3hHVNN0+XRZrrVC+olV12zkW4SUpLdNIjR/KF8wjam9vMjKl&#10;S/k5PL/HDxJ4s+Jmm2OonSLhriS8nk0mLU1NtcW8/wBpiNu7oVRfMeCMxcqPMkk+ZiFiA81+JXxs&#10;1bxZA2pXM9nbXF1a22k6lDFatalkBiY3zvtYs8jWoBZ8sqrFvPyb2z9o41Zprpp521aPlsVmksK5&#10;tTbejT2v0a06ppPc+sPgnpn9vaDYXWn3N5cXDzX+tLcRkvHdp5rSBZE2y7DIl5AzRkbzHc8LIwYr&#10;zPwg+Kfi+OwfRvCHh+1t7eLXr68hURg3Eb3GoXMka+UBkyNCjLyDsEeM8kL4L8JviXe+FLLWNdsd&#10;VuLM3WmF45rPn7P+6ii3DMhkiZ49rbt5H+iusYwdqdd4S+Kz+Aru3vrDW9L0ufVI9QeSzljuJBqO&#10;nS3FtPiCRnTyJEH2nZNJKsZJQrIzbmj05qLjZ67W6b7f1qTDOJVVScHytXT66WVn36eWr6nq3wn/&#10;AGp/FXjKHwy2i+E5XupfDd2dck+3IIpdTDWbyGRYVxbBQ8sxBAUidMHewU8F41+I9zDrM3i69Onx&#10;6brEP9pa9b7Wjjv1jkl81Y5ApaNXaO18qPehyN/LOzN5l8Jvi0+ifBrTPDEWrXFre6l4ohV1s7eS&#10;eb7LHdR3Mw+ZvKBdfkCKm5gjtLII/LVujfXtKg8ESWo8VqulwafdWNta6aoE7XUTWNobJVYO5Zlj&#10;LF22fvZQdzqwEmKlDmUfP8VfobSzRY6hGMpa8t/RtJP00TTf9O/8INN+Jnxm8UyaZqXiG4sNU2/b&#10;ZLeLTxHKpaR4/OVoAoQbo2jDHaNsbJuXZGB9jLo0mk6RpqeJr77U2nyQon2SzaPcWxCpCqeOHXLK&#10;ThUIPy7s/Of7DUV1rdvb3jRSeW11eD+1tNupUhmmiuZY0V45W/cxyJdFoo2McmbdmKMSrn6J+L3h&#10;rxBp3w21SNnub6zuoDaXZe9CyWkEpaFp0fax+RHyd38ILcMCHVOlGVT3T6PKZ0qeWutF3bV/1/4F&#10;zRttK0vT9Yl8Q2UAmvobNbSNmmCszAlmSU4+RAGjxhTgO+ByoPlvxh09/E2px31vZW+pWdjP5NpJ&#10;LaqrQyqRvYNtwRuBUkYwwYAAjadLVNU8eab4WTxX40ktxceILmzg8OwTXRWXzJtrQ27eYEUSK4L7&#10;gQGLOpHyIToXPiPwRG0Xg2PxLG11JaoiafprS3yi1dVCyzJGNqJ84JkfESjksOTXZh6ssPVVRI65&#10;+zxNNwlK19dfPZf8DpoeL65YeIdW0qbS7DVZLOSclV8y33x7SSPmO04wOBuI6YBHAqlp1hqenadH&#10;p09x9uwx8y9uj/rdzliwUcggHbwQO/Jzn6Jvvg34Hu7Jr0R3VhcNb7Y7UMu5XVeV2gsOOmF64J6c&#10;1zlj8EfDOmSRya2lxO0asbiJWVVlIJ+6BjapDKxBbr8uW4J9v+1cPKnrf0OH+y8Rz2Vjymy0OfVJ&#10;EtohNLKzEqsYK5J4A2KegB75OB6811vir4If8IJ4RS6vI43vHugZGhQkQptJxnjPXOSOMYGa9W8H&#10;ab4Q0TzJdD0tlORH5nMsmSTkE7mB4HJz9ea6CS5tJUaN7g/ZdrfuT82795ljg9QffIxjbtrhrZtJ&#10;1FyLRfezupZWoxam9X+B8py2NrC22MQtIqgmPjc2ACP5+9V2tYblmjaFGaNgrSK3I6DHHfkZFe9a&#10;98GvCXit2u/DmrTWJ85hOiw+ZGHDkMoVT8vzcEZ+UDoKz/8AhR/hvSYBd654rkkjj5kFtCFccEnG&#10;dwGBnnv/AC7o5tg3G7bXyOGWV4vmslfzueG3Phprq5ItIZJZJG2+TFbmRyxHTA7/AIHIz1zW94T/&#10;AGffGeuW63et6PJY28ij/WRlps9yIiRjr3x+XFfRGkeBfB/hXTJB4e0gSMkXmLIrBpX9tznufcD1&#10;xya0LYLBc/ZXjz8uG6LtOc+2ck5z05zXFiM4qSdqKt5vf7jsoZTTjrWd/Jf5njMHwJ+HuhWElzqE&#10;N5qEiwF2S9keCMMO/wAnKjsclsZz1AzXHwQ+Fklqkthq99D5irtDTJHyQOAGTpg9ienXvXt0mlB7&#10;Q27XckgX5ZJJCoaQ4/2RgE8emOwHBqnqXhzTtRP2W509W3KAfL47nrgjtyfbtXAsbjOa/Ozu+p4P&#10;ltyI8F1b9nm0jZv7O1mYQqCF8yFWLdeeGA7D061lx/ADwMIJJ9am1hriO6SJUWz3+YzISM7EIROW&#10;GSduAMtk17UnwU8Ef2rNeahayX0okV/9KZTj5RjoPUd/T6VtS+EdJeFbNYDHCY2UwwLGQfu4JUqe&#10;nOOgz2NaPMsXs5v8F+hH1DB7qH5v9T5p+JnhH4V+FNHtYtP8IXWoXUcwEn2SzdvOJKlk2jDZYKWG&#10;N/8Aq8YBINemW37Onwon8N2unXUE1mphB861Z4cAKB/y1dwvOSACMc8kCvQ7T4ceHIZfOtoVMatG&#10;VgkDbUwc5CknB69MA5bPUk3dS8NaNaafJcS2kPyqdr+WFYt1BzkH06Yx27Yx+sVIy5oyd/UUcFhu&#10;ZtwWtuh47pv7PPwZtdT1Dw9b6Q2t6pYNDOq6hIX8oSCXaCC2wnMZGFXICqSpyS/Rv8DPDmqeG9D0&#10;Txjb2162jr/o9o9qv2a2UxSRxwooQcRJKIw+AxCk4Xewpf2ePBGnT6FdeLV0efT5tW1H7XJp99CY&#10;mgkwVyY2chWKYG5eoVf7pz2WvSXhla0t5gkm1j5TMFM4Ukt0PbKg9lLD2zniK9ST1k35v7jShSpR&#10;jsl5HL3Pg7RhbzTm8s5J1itDcQ/aHtIo1inZ1ZzHltivznhcQ/NwSK0dD8L3ujapcahr148djDCZ&#10;I7OKRZIkV1DMGd/mJUpJtZHTIZsr92s7XfB+rajrY1J2je3ggHlqylRLuUBwNspBOFYHfGV2yk4Y&#10;jB2baC7v7S2lkt7/AMqGZnhha3abZMuIgmI9+GG1mO/5RuJ3DAI0py5o23KmnGT6Ipa54b23VvqW&#10;hPHDJHcsbi6aFXmkjVflIJIDDALEvyDwCVIA53QW1Zfh83iq/uLiOP7HHcos10phnZAgGHAYKshU&#10;AKhI3E437gTvWngG61C0aC+vLxmkxb6l9laSJpNsf8D7lZeHPIYFSzEEE4rm/GVx4ys9vhTSfDF3&#10;e6XI4/tKSRdmdskahdrFS42vu3Kdvy8Fty7tIxUtCXK2x8vfHvW5/G/iy31oeE7rTP7Vtd2sabeW&#10;rxHzEL7ZVjmC7HdZWwzjeWjBO1t4rxD46aN4sj8J3OoeGLEaHcWsMdtNJPdyNfSjarecjfekEkjY&#10;IUbY9ww2xnI+0viN4C1741eHY9JOj3F1qVvqUbRyahd24twhfzgrSQYYAqNgAZirSLuJ2/N8/wCp&#10;+APiTpER8VeK4Lq3g0+adnj1K93Sw/MUljaMF3cKkm8iQjKzRLjac0L2OHley0kpWu7O65Zbt6bN&#10;Lvr00+DzTL6tHESqtc6bvs0r2s+6Vtz57ufhVNrnwbsPFK+CZvEHiRtHMdvY3ltfRx2aZIXZ9ikT&#10;zEMZ3K33vMdSxY7nblf+FMtb6z8M/H+nx6Vp/imC5tx4n0nR7u5d5bdjFsV1aPMUgsVzIGd1dNzF&#10;97FD9AeItM0nXrSbTtN07RrVbgPJDa31vmWVGbBktwEKW5ctkyZUruG1tpOebPw88KeFNcvrjWEv&#10;ItW+0reC7vm8wyXYMrMdpdgw2k/NglllcMGEeXzp5pKjhr7Nt6brflcW77N3f46W0+X9tClSbate&#10;+mnpZ+V76Hn+gaTqa+LND8KWl4I49W0aLT9Qv7yFVW0uYI4wt3Ecv5rTDz4VDBQBN0wpZvQbL9ru&#10;w+LnifVvDHxH0rUtI1fwvrkkEdq0cjwzae7k6dJ8qllmxIWO0ov70ybhGzKm1DZeO9Q8J2934Vut&#10;PvoZtN+yQyQ/c0uKVjLsMe0bIzDPEyYJTd5W0sI2EflHwv8AiJ468SfEXUvBEfhpdNvNTvkm0u6i&#10;haNoY4r9JHkdCDz/AMfE29gXduHbG0Lz+3qYzC1YqFtmpJ2et09N/h002SWzRwy/ec8Yrt1/roej&#10;a98W/jJryano8PivULGaPX1/sRtHtLdpop1nlZIz522JWbymkMs7AYl3ZVXVV8y+Jni7wvoGgXmi&#10;WvhbxBp+qTXUi6hY+H9ZisbQ33lG4l+0lJ2X7UF8vyolDKDGAsbKF3+36VF4lsfF1z4RbS7WO8jv&#10;3EU0sb2qjynHms+Rum2SFvLXIRzIV35CbPP9H8I6/wCDtbuNU0O9bUrrRNX8280eWJre1W0KNmJZ&#10;vMDM62yMoZgXYKqfvgqCoyvGLmdFKNn7y6br3u20mtPN7t6TRlZ2Ub3LnjDQvD3iHwvcXdjrItbu&#10;6kN3DrU08yTWHmwKI2yjBthZQyklSXRmOQfl9M8OX/i+yDXXjjXXmVtMWOyt11IedFbgWkQkVlVc&#10;/JHEvzbm+V1K5UtXNAeAomu9C8N6WqyWUa2zQSRvcTS2wjCxzCTy9sp3ROCm4k53FRu4q6j8SPEy&#10;6v8Aa7zwhZ3mpT6M1teyXcJW3g2zwFkETIzswCRcYVThVYrgs3k4epiJSUKl1zxdvetZOy21dna9&#10;lqrXSTbRnQXNVslunb7n6Gd4r+HuveMxrGn63oNna2Npp6+dp5MNuFt7iKRCHeMFiphYzESPGqss&#10;bBQ2Hf55tfgUvxT8dR694ilg0S68M2sZh8J6x5k0Kx2i4S2fd5brGxj3FmcmVJWZMmOXZ9E+BIdQ&#10;1tZIjLqFn4mbT5pbXXIVtJYbkJI0iCRFVS6klZGVkRThQu9gWrkfHc+la747jsrP4dTWetXEZvLT&#10;WPEmrNCz2832ueRU8uNXmiQuqqm5VlXy93zIjj1Y5h7K8cNZRhFq9tI6Xb31i9E7NyV02lqzpjKV&#10;OVqXRaX11S+79Tgrn9sD4u3VxJdW37Ka6lHI5aPULTQCIrpSciVP9HPyt94cng9aK9AtPA/wXa1j&#10;bVfDXhezujGv2m01T4eahNdQSY+ZJpDpMheQHIZi75YE7mzkle9HOMPyr/Zpf+AL/wCSNvaQ7f19&#10;5+m/h7wRomp20GotpLSNCqy2011uJRTnnbIdyn1JAPzevTofD+lQaOP+Ed07SoYWaYyrcTZxJIRu&#10;YjOCcjB+XK8EcYwSiuH7Vj9nSS2NJdO07TrLFxtZgcqqR5HbDAZ6jAI446DcTzn3et6hp0LSrZy3&#10;kKxN5cbJFgyZwv7zdgK2CRkcFsHHAoorNvZGkVc8n8W+Hf2ifHGnXE+p+NrHwrp8zN/xL/Dq+bcR&#10;B1y4M8gVlbJ+XylixwPm6nc+FvwusfhboUV63j+41KT7P5M0+rSs4RySP3afeY5U4j35weTwKKKq&#10;LcrLzXYn2cYy5t2u56BZ6b5oM+vR26qrYSRGyY8EBUbIBYsCCeMDkcnltYSW832e6gW3+y4PmXH3&#10;iq7TyrHgDHJOe1FFZWOkpw6lp+hatay6nqcdxqEkckjKig+VajBJG5gI14TcxyzEY6BQlbxrrekx&#10;6Y2oXdiy6dp88V4sGj2avP8AMvls372YosbRyc7I1UKZGJY8gorKE5SjPybX3WOSquaE322+65kf&#10;2L8AvCdrda9Pp9jZ3n77drVpp/760nT986W+EzkFCSqbsyDY4d+Dy9v8fvh7rvwc/wCFhR6VZ6tc&#10;x6nPdWum+QFka6fzJWZo0dvKw7c/M3yFCWQthCivOxWKqUsSox7N/il+rPDxmLqUayUEl7sunax5&#10;5a/tQeK7DwROk0UkmoatrN9c3Fx/Z4dtLkMEgV4pkG4L5YTbvw3LbH2qVX5F+L/iG71vWrPxT8Tf&#10;Hq6lrur6ksdjpkzRRyTNGrE28uwXDLIziOONx8nKl2BlVVKK9XL4qVVp9D5zMqkq1qc3dL/ga+p5&#10;b+0f4++IHibxHo/jXWPCFxLbTLeada3N1HDGLRrFQjxwI0kuEKw+YrNHGWIcJlYgRL8CPEGq+Ldf&#10;1zSU8SwtPNp+PL1nWIopruKcmFhG0rqFaXzYgyMxJCKVyEC0UV7VaFOeBk2trv53OKlGNPDOcd1Y&#10;6zxAmv2s2neCNUtPFkd2wubJtUv0ilfTrqGGSUNAoVmgcr+7SYOjPGryqnK7uolOj+PrXR/COpeM&#10;oNFikhluI7iPTZJfJvI5DEX+y/NNLG/mlVUFWbdvBcR4Yor5+pShGkkvtP8AXp+C9EeLKEZ30tpf&#10;8Ujyfx541Hif4033h640qRo7XWmgsry8Oy4htfNLrDHhmQrGrgxEkERGNRkKpHsmuWXhu0vbe/Kx&#10;29xqEH2XXINavbdWs5/NuDI6xOSoyyoqKWJcGQAgqgjKK2xlGEayjHRcqfzd7s9PDxjTlGC2lb9d&#10;u3kU/ixc+Cvtc2q/DS6vNH1abXIrm4tm+zwW/wBlScHy41YxhIliVSqbGJVQW2+YoMf/AAkknhq1&#10;1M6e32/SNS0GK40e5hiiEcsSy4vBLvgVjwHyM5h2xn7pLOUVzxpRcVU6vr87f16s48dTjRxTUel1&#10;08zyfxd4a8R/Gjwpdajql1p2hxjUDLoujedKjOi+bECII433BppYskAvyDHwFVeo8C+HLPS/hpb+&#10;CfGsWoajcafcabPpH2OJkCyRuURoI3CvIvnTpCzucEykbQyhqKK7qdWdWg4vS0tLeTS/Lv1McLGM&#10;qbT7P8NUbHhPQ/DY8Nr4I1WWCS8tpZba20uaP7Ot8kkEFuZCQrNIYo5FcK+3cQdwUQvHLm/DawB+&#10;J+oDQ9YjmkfWJbZrG+mcRyr5I8tw21h85yNrAkSSg7SrMQUVw1ZSjRlJb3/Q59q1vX8CXXNK07T7&#10;NvFltdWdvNpdjcfY9Dvp7iOWQxNHABCyRsUYtuKnONpMjMvJafw5rc+kxb9P1V7yO3jS8jtbyaPh&#10;wgeRdgV03hHX5SrBExxKCVBRXn4PEVKuD556u7V/JSSX4Fypx+qxn5v8Eje8NalqGlanqUUF5cJD&#10;p6vaXX2RTZNdJj5lhhjYL8wkIMIYffLAckD0zwF418FaL4Y8Wabquh2+oR+ILFbU6jq1m0k0TpM0&#10;MM0m6T92+6WLzBEvyopKAt8ylFe1zSp1ZxjpZ30369SqFaVGaa89/Sx2nhfwvban4P8AD+i/CT4r&#10;Xmm+IL6O0tra6E3kk3As7N3Kr5iTSlVMj8IyOU+VmzzytnqHjW8sn0fxN4jsRGuhm48vV9QWVrE2&#10;95OxaRzukmBjs7oNwRlkUjbIASiun+0MR7O07SskrtJvbv8AI+owuHjUpRak1dapPTeK216NnB+K&#10;PHHi6yuLq6Wwk+1w+HvsFo322SURWcUyS5gfLEZG1yQS20sSoTcpz7jVdNvr2z127lt9Nh1a6khW&#10;3XZHGVLu6KiIzD5DO8gwUQiJShACrRRXlVpyr4e0uj0t0sz5vESnWleo2/8AgIPHk8/hH7OLfUVW&#10;HzGurwKV8xoCNkiRlckSFYnjIJJyR6oTDrvjaextZ9lhJIyxyzQ+Za744jHNCNsoCg7B5GCEZgI9&#10;owfmDFFebhak6lRN9bf5fgcUZf19x0Wl+NfD2h38WueOLBLPS7e+ktLW7tt0TNuilugqPDuZGAaJ&#10;42J2ZUB3ERJqx4U0rQb+00vwn8QL9reytT/bXiu8W93efbyyxyOpbc2JwhKLtjkLSzlJBGNzKUV2&#10;YqfJUTS1S/z7HXT+KMe/6/8ADI94/Z2+JmoxzXXwzOp+H7W80f8AsrRM6xcSSzG+hubudpIoFm/0&#10;jbdyquY5AI4/LZUOTGPZPEPxx06/+BmswXOoxtczrd6Po11ql1DbjV4YolElyzpHEqIpaaPDqiq6&#10;hDtLBaKK3pvlqK3f9T7LLcdiFlrjfaMrfe0vuG+EdAm+O/ieHX9a+K2tt4f0cSTWGl6bqF3ps97N&#10;eILifz2haLdbhbiHy1jeQDhWcOskZ9G+GyeE/Cl1qHwc8OeG7fS7PSYUuLCxKloZ7e5EmCD2PnQ3&#10;KkMNwWNTyGJoorSFSXLFef8AmfT4OnDkhVt70nq93ttr6L7h3/C4PC0d7Y6fo9mjLaeJpdJ17EDN&#10;JZkW87CQqEYsZJliVck7zKoyWYqem1KK31KSWWGaGS3+zhvspyZfNPUdcEFTyDyCPToUU6NSVSTT&#10;7/1+RrhqsqlSSfSxyHiHwTNq0Mk2n3kjWcMqpaxxZjI2Eb8t83mHKsMnhuhyRuLDpc8UXnX8Yg+z&#10;yeXFOqiMqG2Dg5ILZwuMAtnGPUoraXwnfGUolj7dNcWK3VtC7xhg8ZUKqTEncQSuAFYgt823OOeA&#10;RWHFB4m/tNZ7a3nhtm3Y/hLAuQu5HVschgGDKGDKMnqSiiMY9jXmlZJF3SNXvLeWaTVZbj7Pbs3n&#10;M2UUArnJVuQApDYyccHnaa7WMw6raiNXKnbv3MyqycZ3Y/ugcdhnI6gmiilyxJnJ8txtlaX1rugc&#10;R+YoXwG9BEL7NaNcGQhee/Hbrz9RirRspUD3LSpDDHGWiklB+Q85yCRgdPwDZ7GiilGKM3Jv8CJt&#10;Z011kgvI445I3YPHc7SxQMOQA3C4AOPcHANNE8DnYrrGwUybSQFKAjjn/ZYEnpk9aKKly1LjFWIH&#10;1jS5ljSW5WNjN5SrcOYcOH2gENjjPc8HnnByYdZgurzT7qDTUWKRkZFdpDGV6ZYFVYDvyByRjPJI&#10;KKfUTXQbo0zxaTGqQ/YllGJbeHkRkqMfeVeOOm36DGTWR4q8WwStrHhaS5m0+aPRzcfbrdYPMCtl&#10;A8TMCFdD03jGSCAwDYKKfLcmUYyjyvZ6fkUPAnj2aPQ3sPEEdvNqmnt9nuLxbEj7RIq71m+ZFXDx&#10;ujnaWCMzpuOwmtXXtck1nS5LLQvEMOm6jeRxlbliu2H5kIOw84+VvkPJy2MZzRRU0m42a6Dp04ul&#10;Z9Lrz0dvvPNtG/ac8deGrDUPDvxsjs9C1LyWfT9Y1Czk/s+7bOAzXKKIYAXIUGQocbNwUnjF039q&#10;/wAUXfiSbRfF+maLM0EYKx+H9aLrOquMusqvIkq4IBBUOmQSAHKgor7LKcNhcdFyq01r2uu22uh8&#10;1mNbEYNpU5vTvb8dNT2TRPEnw9n8Lf2vDa2sVnJbyRX2n6lcKWcICp81SW3MQwzvZjljwpL18t/E&#10;bW/CjfF1NI8IaFqOr6L4g0+aXWi04by3kuZZrW/QJE7lYr2e6d90YA/tRSxMcCbCivJxWBo0aU6s&#10;b3jJJa9L/f8AicuaYyq8PTel7Xv92no+p8z3PibR7f4l6z8G4p90enq9tYPuVJJLmOEp5hhlUNb7&#10;2TcEkbzIQzhwC6ldT4ieA/E//CV6TDqVleQ2qrFajWLizWRllZW2q2JWyzrJ5oONwXIHmBArFFeD&#10;jP3dOL83/wCSuLWnqfJVKccRRqOX2WrW23X+Ziaf4L8VeGfDrawH1I6jqElneWOpWljJcqkMsxkM&#10;kpUMjI0coZtuXjRg+07wH2dT8K2dv4ZvPEUMlrGum3Ami1GOYed5qstwHkUMokgH2VQd/wAgK7Wz&#10;ngornVOnXzCkprePM+nvWjr81p2s7Hm4ujGjiFy6Xjf8X/kVLbTbe/kh+IVrZbls1t4bGSxkPl3C&#10;mY4y6wHDOkUbLwA2HDEHKit4ts9K8S6it3o+qzafcaXYv9ohN8ptYFRoQwuFIDyu5jwuxjuV8KQ/&#10;UorhdOMsVOS05FpbS3M53+/lWm25jyxm0/K5HrHhnxH4TtTe32o6hLNbiaTUreziW3WTezLbhbY3&#10;EiBypRUOWYrG3ygKN2X4Rn/4T7QotT0Sa+sbWTUrcwGx02NoX4BjLT+cSXG1QY3QhkMfEiD5iiuq&#10;rKPsZVHFNxcWuybtsr/d2eu4404+0UrdvxualvpdtLJHH4hvrXQ7sWT/ANpQ3kitGY9yhoI+QWG5&#10;ZCD9/KL0ZAWteLvAza3qFtqMkdpdCxtIbdtSW8mVouDmJ9sgL7snerbcGPg5BBKK8vFR5sPh693e&#10;po7be9Z6el2le6ta6ZzJ8sbr+ubf8tDJ0X4aeIbXRrS2uF0lZI7WNZFTxRPGoYKAcLvO0e2TjpRR&#10;RXiyz7GuT0j9z/zOlZhW/lh/4BH/ACP/2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AZlLvJvQAAAKcBAAAZAAAAZHJzL19yZWxzL2Uyb0RvYy54&#10;bWwucmVsc72QywrCMBBF94L/EGZv03YhIqZuRHAr+gFDMk2jzYMkiv69AUEUBHcuZ4Z77mFW65sd&#10;2ZViMt4JaKoaGDnplXFawPGwnS2ApYxO4egdCbhTgnU3naz2NGIuoTSYkFihuCRgyDksOU9yIIup&#10;8oFcufQ+WsxljJoHlGfUxNu6nvP4zoDug8l2SkDcqRbY4R5K82+273sjaePlxZLLXyq4saW7ADFq&#10;ygIsKYPPZVudAmng3yWa/0g0Lwn+8d7uAVBLAwQUAAAACACHTuJA2Tk3hxMBAABIAgAAEwAAAFtD&#10;b250ZW50X1R5cGVzXS54bWyVkk1OwzAQhfdI3MHyFsUOXSCEmnRBChILqFA5gGVPEpf4Rx4T2tvj&#10;pK0EVVqJpT3zvXlv7PliazrSQ0DtbEFvWU4JWOmUtk1BP9ZP2T0lGIVVonMWCroDpIvy+mq+3nlA&#10;kmiLBW1j9A+co2zBCGTOg02V2gUjYjqGhnshP0UDfJbnd1w6G8HGLA4atJxXUIuvLpLlNl3vnWw8&#10;NJQ87huHWQXVZhAYC3ySeVk9TyJs4xs6jQTo8IQR3ndaipgWwnurTsJkhyAskWMPttrjTUp7ZsJQ&#10;+Zvj94AD95ZeIGgFZCVCfBUmpeUqIFfu2wbo2WWRwaXBzNW1lsCqgFXC3qE/ujqnDjNXOflf8eVI&#10;HbX5+A/KH1BLAQIUABQAAAAIAIdO4kDZOTeHEwEAAEgCAAATAAAAAAAAAAEAIAAAAEgnBABbQ29u&#10;dGVudF9UeXBlc10ueG1sUEsBAhQACgAAAAAAh07iQAAAAAAAAAAAAAAAAAYAAAAAAAAAAAAQAAAA&#10;DiUEAF9yZWxzL1BLAQIUABQAAAAIAIdO4kCKFGY80QAAAJQBAAALAAAAAAAAAAEAIAAAADIlBABf&#10;cmVscy8ucmVsc1BLAQIUAAoAAAAAAIdO4kAAAAAAAAAAAAAAAAAEAAAAAAAAAAAAEAAAAAAAAABk&#10;cnMvUEsBAhQACgAAAAAAh07iQAAAAAAAAAAAAAAAAAoAAAAAAAAAAAAQAAAALCYEAGRycy9fcmVs&#10;cy9QSwECFAAUAAAACACHTuJAGZS7yb0AAACnAQAAGQAAAAAAAAABACAAAABUJgQAZHJzL19yZWxz&#10;L2Uyb0RvYy54bWwucmVsc1BLAQIUABQAAAAIAIdO4kAYPx3O1gAAAAUBAAAPAAAAAAAAAAEAIAAA&#10;ACIAAABkcnMvZG93bnJldi54bWxQSwECFAAUAAAACACHTuJAPZICBggDAAA7CQAADgAAAAAAAAAB&#10;ACAAAAAlAQAAZHJzL2Uyb0RvYy54bWxQSwECFAAKAAAAAACHTuJAAAAAAAAAAAAAAAAACgAAAAAA&#10;AAAAABAAAABZBAAAZHJzL21lZGlhL1BLAQIUABQAAAAIAIdO4kAQHlhZURsCADgbAgAVAAAAAAAA&#10;AAEAIAAAAIEEAABkcnMvbWVkaWEvaW1hZ2UxLmpwZWdQSwECFAAUAAAACACHTuJA6ytGFdYEAgC9&#10;BAIAFQAAAAAAAAABACAAAAAFIAIAZHJzL21lZGlhL2ltYWdlMi5qcGVnUEsFBgAAAAALAAsAlgIA&#10;AIwoBAAAAA==&#10;">
                <o:lock v:ext="edit" aspectratio="f"/>
                <v:shape id="_x0000_s1026" o:spid="_x0000_s1026" o:spt="75" type="#_x0000_t75" style="position:absolute;left:5129;top:202127;height:2906;width:4306;" filled="f" o:preferrelative="t" stroked="f" coordsize="21600,21600" o:gfxdata="UEsDBAoAAAAAAIdO4kAAAAAAAAAAAAAAAAAEAAAAZHJzL1BLAwQUAAAACACHTuJArIvSeL4AAADc&#10;AAAADwAAAGRycy9kb3ducmV2LnhtbEWPzW7CMBCE70i8g7VI3MBOkCgKGA6gqu0J8fMAS7zEEfE6&#10;xG6gffq6UqUeRzPzjWa1ebpG9NSF2rOGbKpAEJfe1FxpOJ9eJwsQISIbbDyThi8KsFkPByssjH/w&#10;gfpjrESCcChQg42xLaQMpSWHYepb4uRdfecwJtlV0nT4SHDXyFypuXRYc1qw2NLWUnk7fjoNb6rf&#10;2pf7dX/Ae5tnfPnefVxOWo9HmVqCiPSM/+G/9rvRkM9y+D2TjoBc/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IvSeL4A&#10;AADcAAAADwAAAAAAAAABACAAAAAiAAAAZHJzL2Rvd25yZXYueG1sUEsBAhQAFAAAAAgAh07iQDMv&#10;BZ47AAAAOQAAABAAAAAAAAAAAQAgAAAADQEAAGRycy9zaGFwZXhtbC54bWxQSwUGAAAAAAYABgBb&#10;AQAAtwMAAAAA&#10;">
                  <v:fill on="f" focussize="0,0"/>
                  <v:stroke on="f"/>
                  <v:imagedata r:id="rId16" o:title=""/>
                  <o:lock v:ext="edit" aspectratio="t"/>
                </v:shape>
                <v:shape id="_x0000_s1026" o:spid="_x0000_s1026" o:spt="75" type="#_x0000_t75" style="position:absolute;left:9526;top:202153;height:2880;width:3890;" filled="f" o:preferrelative="t" stroked="f" coordsize="21600,21600" o:gfxdata="UEsDBAoAAAAAAIdO4kAAAAAAAAAAAAAAAAAEAAAAZHJzL1BLAwQUAAAACACHTuJAV1eahb0AAADa&#10;AAAADwAAAGRycy9kb3ducmV2LnhtbEWPQWvCQBSE7wX/w/KE3uomgZYaXT1IC54aG3vw+Jp9yUaz&#10;b0N2jem/dwuFHoeZ+YZZbyfbiZEG3zpWkC4SEMSV0y03Cr6O70+vIHxA1tg5JgU/5GG7mT2sMdfu&#10;xp80lqEREcI+RwUmhD6X0leGLPqF64mjV7vBYohyaKQe8BbhtpNZkrxIiy3HBYM97QxVl/JqFdTn&#10;Yv9cdN9vp+pw+pDLmpfmyko9ztNkBSLQFP7Df+29VpDB75V4A+Tm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V5qFvQAA&#10;ANoAAAAPAAAAAAAAAAEAIAAAACIAAABkcnMvZG93bnJldi54bWxQSwECFAAUAAAACACHTuJAMy8F&#10;njsAAAA5AAAAEAAAAAAAAAABACAAAAAMAQAAZHJzL3NoYXBleG1sLnhtbFBLBQYAAAAABgAGAFsB&#10;AAC2AwAAAAA=&#10;">
                  <v:fill on="f" focussize="0,0"/>
                  <v:stroke on="f"/>
                  <v:imagedata r:id="rId17" o:title=""/>
                  <o:lock v:ext="edit" aspectratio="t"/>
                </v:shape>
                <w10:wrap type="none"/>
                <w10:anchorlock/>
              </v:group>
            </w:pict>
          </mc:Fallback>
        </mc:AlternateContent>
      </w:r>
    </w:p>
    <w:p>
      <w:pPr>
        <w:pStyle w:val="6"/>
        <w:ind w:firstLine="480"/>
      </w:pPr>
      <w:r>
        <w:t>3.教学科研双促进，提高培养质量</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从上世纪90年代，</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实行教学、科研、生产三结合建立适应经济建设需要的教学体制</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获得国家级教学成果特等奖以来，农学专业始终坚持科研源于生产、服务于教学、服务于生产的优良传统。统计时间段内，新上国家自然科学基金、山东省自然科学基金、山东省重点研发计划等各类课题29项，经费达到1109.5万元。2021年，国家现代农业产业技术体系小麦、玉米、花生3个岗位和棉花综合试验站续聘，山东省现代农业产业技术体系小麦、花生、薯类首席专家和小麦、玉米、花生、水稻、棉花等7个岗位成功续聘，年度科研经费517万元。在国内外学术期刊发表学术论文206篇，其中，SCI收录154篇，影响因子IF＞5的74篇，其中IF＞10的1篇；审定国家小麦新品种3个；省级新品种审定11个，其中小麦6个、玉米3个、棉花3个；获得植物新品种权5项、授权发明专利29项、实用新型7项；申请专利15项。出版专著4部、教材3部；制定农业部和山东省农业主推技术4项、行业标准11项。</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小麦种质创新与利用团队被授予第26届</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中国青年五四奖章集体</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，获《人民日报》、央视</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新闻联播</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等权威媒体点赞。先后有400余人次通过百名党员联百村活动、小麦科技壮苗、玉米长势调查与技术指导等活动到农业生产一线指导作物生产。在疫情允许的情况下，农学公费农科生跟随各自指导教师到田间了解作物生产情况、进行苗情诊断、田间估产等，做到学习</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三农</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、热爱</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三农</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、深耕</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三农</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，《大众日报》以</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农技队伍补新人、重点技术协同推</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为题进行报道。</w:t>
      </w:r>
    </w:p>
    <w:p>
      <w:pPr>
        <w:pStyle w:val="5"/>
        <w:spacing w:before="93" w:after="93"/>
        <w:ind w:firstLine="560"/>
      </w:pPr>
      <w:r>
        <w:t>五、培养质量</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农学专业毕业生具有良好的就业口碑，社会认可度高。用人单位对毕业生普遍评价：专业知识扎实、专业能力突出、具有责任心和勇于担当精神等。毕业生的综合素质和能力素养水平与目前社会需求相契合，能够胜任目前岗位要求，毕业生在就业市场中具有较高的社会竞争力。在校生共获得包括国家奖学金、中国青年创新创业大赛国赛金奖、山东省高等学校优秀学生、优秀学生干部、省级奖学金、大学生物理竞赛等各级奖励126项，其中国家级8项、省级11项、校级51项、院级56项，获奖学生达到351人次。</w:t>
      </w:r>
    </w:p>
    <w:p>
      <w:pPr>
        <w:widowControl/>
        <w:spacing w:line="240" w:lineRule="auto"/>
        <w:jc w:val="center"/>
        <w:rPr>
          <w:rFonts w:eastAsia="仿宋"/>
          <w:color w:val="000000" w:themeColor="text1"/>
          <w:sz w:val="28"/>
          <w:szCs w:val="28"/>
          <w14:textFill>
            <w14:solidFill>
              <w14:schemeClr w14:val="tx1"/>
            </w14:solidFill>
          </w14:textFill>
        </w:rPr>
      </w:pPr>
      <w:r>
        <w:drawing>
          <wp:inline distT="0" distB="0" distL="0" distR="0">
            <wp:extent cx="4870450" cy="3419475"/>
            <wp:effectExtent l="0" t="0" r="635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8"/>
                    <a:stretch>
                      <a:fillRect/>
                    </a:stretch>
                  </pic:blipFill>
                  <pic:spPr>
                    <a:xfrm>
                      <a:off x="0" y="0"/>
                      <a:ext cx="4874002" cy="3422247"/>
                    </a:xfrm>
                    <a:prstGeom prst="rect">
                      <a:avLst/>
                    </a:prstGeom>
                  </pic:spPr>
                </pic:pic>
              </a:graphicData>
            </a:graphic>
          </wp:inline>
        </w:drawing>
      </w:r>
    </w:p>
    <w:p>
      <w:pPr>
        <w:pStyle w:val="5"/>
        <w:spacing w:before="93" w:after="93"/>
        <w:ind w:firstLine="560"/>
      </w:pPr>
      <w:r>
        <w:t>六、毕业生就业创业</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学院认真贯彻落实学校就业政策要求，推动出台学院就业工作实施细则，提升就业指导专业化。注重从学生需求出发，指导学生完善求职策略。细化学生就业需求，按就业地域、就业类型分类向毕业生推送就业信息。做好全程帮扶，指导学生合理调整就业期望、找准职业定位，制定精准有效求职方案。打造就业云展播，实时展播就业政策、就业典型、基层就业宣讲，营造浓郁的就业氛围。运用多元化就业平台，不断拓宽毕业生就业渠道。充分发挥校园招聘主渠道作用，积极开展</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一把手</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访企拓岗专项行动，开通线上线下</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就业直通车</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云相会</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等活动，推动毕业生充分就业。</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2022年农学专业毕业生共计160人，其中省内137人、省外23人；至9月30日，91人升学继续深造、1人出国留学、1人考取公务员或事业编、12人到企业就业、37人到基层农业部门就业，就业率达到88.75%。升学深造的学生中考取北京大学等在内的双一流高校37人、中国科学院1人、中国农科院5人、其他高校49人，全部考取研究生的宿舍5个。</w:t>
      </w:r>
    </w:p>
    <w:p>
      <w:pPr>
        <w:pStyle w:val="5"/>
        <w:spacing w:before="93" w:after="93"/>
        <w:ind w:firstLine="560"/>
      </w:pPr>
      <w:r>
        <w:t>七、专业发展趋势</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我国总人口达到14亿人，依然是世界级的人口大国，面对如此庞大的人群和不断减少的耕地，唯有农业科学才是促进农业发展的第一生产力，农业始终是国民经济的命脉，而致力于农业科学研究的农学人才，将会是农业发展的中坚力。粮食的安全生产维系着日益增长的人口对食品的需求，专业型人才在现代农业生产中发挥着不可代替的重要作用。农学专业需要紧扣国家乡村振兴战略及区域发展要求，以提升理论研究水平，满足规模化、信息化、标准化、机械化生产的作物新品种、新技术、新产品等研发需求，为确保国家粮食安全和乡村全面振兴提供人才与技术支撑。</w:t>
      </w:r>
    </w:p>
    <w:p>
      <w:pPr>
        <w:pStyle w:val="5"/>
        <w:spacing w:before="93" w:after="93"/>
        <w:ind w:firstLine="560"/>
      </w:pPr>
      <w:r>
        <w:t>八、存在问题与建议</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目前，与招生数量增加与人才培养质量提高的需求相比，本专业师资力量还存在着数量不足、质量亟需提高的问题，尤其是缺乏生物信息学、智慧农业、农业机械化方面的专门人才。同时，也存在着实验技术队伍人员缺乏、仪器设备管理规范化、标准化不足的问题。</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下一步，学院将积极争取学校政策支持，引进信息化、智能化、机械化方面的专门人才，补充实验技术队伍新鲜血液，扎实做好实验技术队伍能力提升。</w:t>
      </w:r>
    </w:p>
    <w:p>
      <w:pPr>
        <w:ind w:firstLine="480" w:firstLineChars="200"/>
        <w:rPr>
          <w:color w:val="000000" w:themeColor="text1"/>
          <w:szCs w:val="24"/>
          <w14:textFill>
            <w14:solidFill>
              <w14:schemeClr w14:val="tx1"/>
            </w14:solidFill>
          </w14:textFill>
        </w:rPr>
      </w:pP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rPr>
          <w:rFonts w:ascii="Times New Roman" w:hAnsi="Times New Roman" w:cs="Times New Roman"/>
        </w:rPr>
      </w:pPr>
      <w:bookmarkStart w:id="14" w:name="_Toc15567"/>
      <w:r>
        <w:rPr>
          <w:rFonts w:ascii="Times New Roman" w:hAnsi="Times New Roman" w:cs="Times New Roman"/>
        </w:rPr>
        <w:t>专业二：植物科学与技术</w:t>
      </w:r>
      <w:bookmarkEnd w:id="14"/>
    </w:p>
    <w:p>
      <w:pPr>
        <w:pStyle w:val="5"/>
        <w:spacing w:before="93" w:after="93"/>
        <w:ind w:firstLine="560"/>
      </w:pPr>
      <w:bookmarkStart w:id="15" w:name="一、人才培养目标"/>
      <w:bookmarkEnd w:id="15"/>
      <w:r>
        <w:t>一、人才培养目标</w:t>
      </w:r>
    </w:p>
    <w:p>
      <w:pPr>
        <w:pStyle w:val="10"/>
        <w:adjustRightInd w:val="0"/>
        <w:snapToGrid w:val="0"/>
        <w:ind w:left="0" w:firstLineChars="200"/>
        <w:jc w:val="both"/>
        <w:rPr>
          <w:rFonts w:cs="Times New Roman"/>
        </w:rPr>
      </w:pPr>
      <w:r>
        <w:rPr>
          <w:rFonts w:cs="Times New Roman"/>
        </w:rPr>
        <w:t>植物科学与技术专业是国家级特色专业，新入选山东省一流本科专业建设。本专业以农学和园艺2个国家重点学科，作物学、园艺学、植物保护学3个一级学科博士点，以及作物生物学国家重点实验室为依托，按照</w:t>
      </w:r>
      <w:r>
        <w:rPr>
          <w:rFonts w:hint="eastAsia" w:cs="Times New Roman"/>
        </w:rPr>
        <w:t>“</w:t>
      </w:r>
      <w:r>
        <w:rPr>
          <w:rFonts w:cs="Times New Roman"/>
        </w:rPr>
        <w:t>宽口径、厚基础、强能力、高素质、广适应</w:t>
      </w:r>
      <w:r>
        <w:rPr>
          <w:rFonts w:hint="eastAsia" w:cs="Times New Roman"/>
        </w:rPr>
        <w:t>”</w:t>
      </w:r>
      <w:r>
        <w:rPr>
          <w:rFonts w:cs="Times New Roman"/>
        </w:rPr>
        <w:t>人才培养目标总要求，融合传统农学、园艺和植物保护专业人才培养方案、教学内容，培养</w:t>
      </w:r>
      <w:r>
        <w:rPr>
          <w:rFonts w:hint="eastAsia" w:cs="Times New Roman"/>
        </w:rPr>
        <w:t>“</w:t>
      </w:r>
      <w:r>
        <w:rPr>
          <w:rFonts w:cs="Times New Roman"/>
        </w:rPr>
        <w:t>一懂两爱</w:t>
      </w:r>
      <w:r>
        <w:rPr>
          <w:rFonts w:hint="eastAsia" w:cs="Times New Roman"/>
        </w:rPr>
        <w:t>”</w:t>
      </w:r>
      <w:r>
        <w:rPr>
          <w:rFonts w:cs="Times New Roman"/>
        </w:rPr>
        <w:t>，德、智、体、美、劳全面发展，具有良好人文社科底蕴与自然科学基础，熟练掌握大田作物和园艺作物生产、植物育种和植物保护的专业理论知识和实践技能，能够将传统农业科学与现代生物技术、信息技术相融合，具有较强的自主学习能力、信息处理能力、创新创业能力和宏观决策能力；毕业后能够从事大田和园艺作物种植业有关的教学与科研、技术推广与开发、经营与管理等工作的创新型、复合型高级专门人才。</w:t>
      </w:r>
    </w:p>
    <w:p>
      <w:pPr>
        <w:pStyle w:val="5"/>
        <w:spacing w:before="93" w:after="93"/>
        <w:ind w:firstLine="560"/>
      </w:pPr>
      <w:bookmarkStart w:id="16" w:name="二、培养能力（专业设置情况、在校生规模、课程设置情况、创新创业教育等）"/>
      <w:bookmarkEnd w:id="16"/>
      <w:r>
        <w:t>二、培养能力（专业设置情况、在校生规模、课程设置情况、创新创业教育等）</w:t>
      </w:r>
    </w:p>
    <w:p>
      <w:pPr>
        <w:pStyle w:val="6"/>
        <w:ind w:firstLine="480"/>
      </w:pPr>
      <w:bookmarkStart w:id="17" w:name="1.专业设置"/>
      <w:bookmarkEnd w:id="17"/>
      <w:r>
        <w:t>1. 专业设置</w:t>
      </w:r>
    </w:p>
    <w:p>
      <w:pPr>
        <w:pStyle w:val="10"/>
        <w:adjustRightInd w:val="0"/>
        <w:snapToGrid w:val="0"/>
        <w:ind w:left="0" w:firstLineChars="200"/>
        <w:jc w:val="both"/>
        <w:rPr>
          <w:rFonts w:cs="Times New Roman"/>
        </w:rPr>
      </w:pPr>
      <w:r>
        <w:rPr>
          <w:rFonts w:cs="Times New Roman"/>
        </w:rPr>
        <w:t>本专业自2001年开始设置并开始招生（专业代码：090106W），基本学制为4年，学习年限为3-6年，按要求完成学业且符合学位授予条件者授予农学学士学位。</w:t>
      </w:r>
    </w:p>
    <w:p>
      <w:pPr>
        <w:pStyle w:val="6"/>
        <w:ind w:firstLine="480"/>
      </w:pPr>
      <w:bookmarkStart w:id="18" w:name="2.在校生规模"/>
      <w:bookmarkEnd w:id="18"/>
      <w:r>
        <w:t>2. 在校生规模</w:t>
      </w:r>
    </w:p>
    <w:p>
      <w:pPr>
        <w:pStyle w:val="10"/>
        <w:adjustRightInd w:val="0"/>
        <w:snapToGrid w:val="0"/>
        <w:ind w:left="0" w:firstLineChars="200"/>
        <w:jc w:val="both"/>
        <w:rPr>
          <w:rFonts w:cs="Times New Roman"/>
        </w:rPr>
      </w:pPr>
      <w:r>
        <w:rPr>
          <w:rFonts w:cs="Times New Roman"/>
        </w:rPr>
        <w:t>目前在校生规模为244人，其中2018级60人，2019级71人，2020级55人，2021级58人。</w:t>
      </w:r>
    </w:p>
    <w:p>
      <w:pPr>
        <w:pStyle w:val="6"/>
        <w:ind w:firstLine="480"/>
      </w:pPr>
      <w:bookmarkStart w:id="19" w:name="3.课程设置情况"/>
      <w:bookmarkEnd w:id="19"/>
      <w:r>
        <w:t>3. 课程设置情况</w:t>
      </w:r>
    </w:p>
    <w:p>
      <w:pPr>
        <w:pStyle w:val="10"/>
        <w:adjustRightInd w:val="0"/>
        <w:snapToGrid w:val="0"/>
        <w:ind w:left="0" w:firstLineChars="200"/>
        <w:jc w:val="both"/>
        <w:rPr>
          <w:rFonts w:cs="Times New Roman"/>
        </w:rPr>
      </w:pPr>
      <w:r>
        <w:rPr>
          <w:rFonts w:cs="Times New Roman"/>
        </w:rPr>
        <w:t>主要课程：植物学、生物化学、植物生理学、遗传学、微生物学、分子生物学、土壤学、植物营养与肥料学、生物统计与试验设计、农业生态学、农业生物技术实验、农业信息技术、植物病理学、农业昆虫学、生物信息学、作物种子学、植物生产学、植物育种学等。</w:t>
      </w:r>
    </w:p>
    <w:p>
      <w:pPr>
        <w:pStyle w:val="10"/>
        <w:adjustRightInd w:val="0"/>
        <w:snapToGrid w:val="0"/>
        <w:ind w:left="0" w:firstLineChars="200"/>
        <w:jc w:val="both"/>
        <w:rPr>
          <w:rFonts w:cs="Times New Roman"/>
        </w:rPr>
      </w:pPr>
      <w:r>
        <w:rPr>
          <w:rFonts w:cs="Times New Roman"/>
        </w:rPr>
        <w:t>主要实践环节：植物科学专业认知与教育、植物保护教学实习、植物生产教学实习、植物育种教学实习、课程论文、毕业（生产）实习及报告、毕业论文（设计）、创新创业实践及各种课程实验等。</w:t>
      </w:r>
    </w:p>
    <w:p>
      <w:pPr>
        <w:pStyle w:val="10"/>
        <w:adjustRightInd w:val="0"/>
        <w:snapToGrid w:val="0"/>
        <w:ind w:left="0" w:firstLineChars="200"/>
        <w:jc w:val="both"/>
        <w:rPr>
          <w:rFonts w:cs="Times New Roman"/>
        </w:rPr>
      </w:pPr>
      <w:r>
        <w:rPr>
          <w:rFonts w:cs="Times New Roman"/>
        </w:rPr>
        <w:t>学分总体安排：毕业总学分不少于170学分。其中，必修课总学分138.5、选修课学分31.5,实践教学学分52（含操作性实验课学分和实践学分，其中理论课所含的实验实训学分按所占理论课学时进行换算），占总学分30.6%。</w:t>
      </w:r>
    </w:p>
    <w:p>
      <w:pPr>
        <w:pStyle w:val="6"/>
        <w:ind w:firstLine="480"/>
      </w:pPr>
      <w:bookmarkStart w:id="20" w:name="4.创新创业教育"/>
      <w:bookmarkEnd w:id="20"/>
      <w:r>
        <w:t>4. 创新创业教育</w:t>
      </w:r>
    </w:p>
    <w:p>
      <w:pPr>
        <w:pStyle w:val="10"/>
        <w:adjustRightInd w:val="0"/>
        <w:snapToGrid w:val="0"/>
        <w:ind w:left="0" w:firstLineChars="200"/>
        <w:jc w:val="both"/>
        <w:rPr>
          <w:rFonts w:cs="Times New Roman"/>
        </w:rPr>
      </w:pPr>
      <w:r>
        <w:rPr>
          <w:rFonts w:cs="Times New Roman"/>
        </w:rPr>
        <w:t>本专业学生按照</w:t>
      </w:r>
      <w:r>
        <w:rPr>
          <w:rFonts w:hint="eastAsia" w:cs="Times New Roman"/>
        </w:rPr>
        <w:t>“</w:t>
      </w:r>
      <w:r>
        <w:rPr>
          <w:rFonts w:cs="Times New Roman"/>
        </w:rPr>
        <w:t>宽口径、厚基础、强能力、高素质、广适应</w:t>
      </w:r>
      <w:r>
        <w:rPr>
          <w:rFonts w:hint="eastAsia" w:cs="Times New Roman"/>
        </w:rPr>
        <w:t>”</w:t>
      </w:r>
      <w:r>
        <w:rPr>
          <w:rFonts w:cs="Times New Roman"/>
        </w:rPr>
        <w:t>人才培养目标总要求，融合传统农学、园艺和植物保护专业人才培养方案、教学内容，主要学习农业生物技术及植物遗传改良、农业信息技术及植物生产管理、生态环境及植物产品质量安全、植物保护和植物产品贮藏与加工等基本理论和基本知识，接受植物生产、植物育种和植物保护等专业技能的基本训练，具有组织管理种植业生产、进行植物生产技术开发和推广、经营管理农业企业等方面的基本能力。</w:t>
      </w:r>
    </w:p>
    <w:p>
      <w:pPr>
        <w:pStyle w:val="10"/>
        <w:adjustRightInd w:val="0"/>
        <w:snapToGrid w:val="0"/>
        <w:ind w:left="0" w:firstLineChars="200"/>
        <w:jc w:val="both"/>
        <w:rPr>
          <w:rFonts w:cs="Times New Roman"/>
        </w:rPr>
      </w:pPr>
      <w:r>
        <w:rPr>
          <w:rFonts w:cs="Times New Roman"/>
        </w:rPr>
        <w:t>学生应具有扎实的数学、物理、化学等基本理论知识；掌握生物学科和农业学科的基本理论、基本知识；掌握农业生产、特别是植物生产的技能和知识；具备可持续发展的意识和基本知识，了解植物生产和科学技术的科学前沿和趋势；掌握农业生产、农村工作和与植物生产相关的有关方针、政策和法规；掌握科技文献检索、资料查询的基本方法，具有一定的科学研究和实际工作能力；有较强的调查研究和决策、组织与管理、口头与文字表达能力、具有独立获取知识、信息处理和创新的基本能力。</w:t>
      </w:r>
    </w:p>
    <w:p>
      <w:pPr>
        <w:pStyle w:val="10"/>
        <w:adjustRightInd w:val="0"/>
        <w:snapToGrid w:val="0"/>
        <w:ind w:left="0" w:firstLineChars="200"/>
        <w:jc w:val="both"/>
        <w:rPr>
          <w:rFonts w:cs="Times New Roman"/>
        </w:rPr>
      </w:pPr>
      <w:r>
        <w:rPr>
          <w:rFonts w:cs="Times New Roman"/>
        </w:rPr>
        <w:t>为了培养学生的创新创业能力，我们在专业综合训练课程中融合了创新创业教育方面的内容。目前2019级植科专业学生在研SRT项目14项，其中国家级项目1项，省级项目4项，共42名同学参与各级SRT项目；2020级植科专业学生在研SRT项目12项，其中国家级1项，省级项目4项，共38名同学参加各级SRT项目。本专业现有创业团队4支，本专业学生主持和参与的</w:t>
      </w:r>
      <w:r>
        <w:rPr>
          <w:rFonts w:hint="eastAsia" w:cs="Times New Roman"/>
        </w:rPr>
        <w:t>“</w:t>
      </w:r>
      <w:r>
        <w:rPr>
          <w:rFonts w:cs="Times New Roman"/>
        </w:rPr>
        <w:t>小农石磨</w:t>
      </w:r>
      <w:r>
        <w:rPr>
          <w:rFonts w:hint="eastAsia" w:cs="Times New Roman"/>
        </w:rPr>
        <w:t>”</w:t>
      </w:r>
      <w:r>
        <w:rPr>
          <w:rFonts w:cs="Times New Roman"/>
        </w:rPr>
        <w:t>、</w:t>
      </w:r>
      <w:r>
        <w:rPr>
          <w:rFonts w:hint="eastAsia" w:cs="Times New Roman"/>
        </w:rPr>
        <w:t>“</w:t>
      </w:r>
      <w:r>
        <w:rPr>
          <w:rFonts w:cs="Times New Roman"/>
        </w:rPr>
        <w:t>益农新科</w:t>
      </w:r>
      <w:r>
        <w:rPr>
          <w:rFonts w:hint="eastAsia" w:cs="Times New Roman"/>
        </w:rPr>
        <w:t>”</w:t>
      </w:r>
      <w:r>
        <w:rPr>
          <w:rFonts w:cs="Times New Roman"/>
        </w:rPr>
        <w:t>和</w:t>
      </w:r>
      <w:r>
        <w:rPr>
          <w:rFonts w:hint="eastAsia" w:cs="Times New Roman"/>
        </w:rPr>
        <w:t>“</w:t>
      </w:r>
      <w:r>
        <w:rPr>
          <w:rFonts w:cs="Times New Roman"/>
        </w:rPr>
        <w:t>菜玲珑天然健康苗芽菜</w:t>
      </w:r>
      <w:r>
        <w:rPr>
          <w:rFonts w:hint="eastAsia" w:cs="Times New Roman"/>
        </w:rPr>
        <w:t>”</w:t>
      </w:r>
      <w:r>
        <w:rPr>
          <w:rFonts w:cs="Times New Roman"/>
        </w:rPr>
        <w:t>创业团队分别获山东农业大学新生力科创大赛优秀奖、山东农业大学第六届</w:t>
      </w:r>
      <w:r>
        <w:rPr>
          <w:rFonts w:hint="eastAsia" w:cs="Times New Roman"/>
        </w:rPr>
        <w:t>“</w:t>
      </w:r>
      <w:r>
        <w:rPr>
          <w:rFonts w:cs="Times New Roman"/>
        </w:rPr>
        <w:t>互联网+</w:t>
      </w:r>
      <w:r>
        <w:rPr>
          <w:rFonts w:hint="eastAsia" w:cs="Times New Roman"/>
        </w:rPr>
        <w:t>”</w:t>
      </w:r>
      <w:r>
        <w:rPr>
          <w:rFonts w:cs="Times New Roman"/>
        </w:rPr>
        <w:t>大学生创新创业大赛优秀奖、山东农业大学新生力科创大赛优秀奖。2019级植科专业王岳萍同学申请发明专利1项，在Agronomy期刊发表论文1篇。</w:t>
      </w:r>
    </w:p>
    <w:p>
      <w:pPr>
        <w:pStyle w:val="5"/>
        <w:spacing w:before="93" w:after="93"/>
        <w:ind w:firstLine="560"/>
      </w:pPr>
      <w:r>
        <w:t>三、培养条件（教学经费投入、教学设备、教师队伍建设、实习基地、现代教学技术应用等）</w:t>
      </w:r>
    </w:p>
    <w:p>
      <w:pPr>
        <w:pStyle w:val="10"/>
        <w:adjustRightInd w:val="0"/>
        <w:snapToGrid w:val="0"/>
        <w:ind w:left="0" w:firstLineChars="200"/>
        <w:jc w:val="both"/>
        <w:rPr>
          <w:rFonts w:cs="Times New Roman"/>
        </w:rPr>
      </w:pPr>
      <w:r>
        <w:rPr>
          <w:rFonts w:cs="Times New Roman"/>
        </w:rPr>
        <w:t>近五年农学院累计获批省级及以上教学、科研平台建设项目23项，累计到位经费8567万元，其中用于植物科学与技术专业建设总经费1653.4万元，包括用于基础设施、教学团队和软件建设893.1万元，购置仪器设备760.3万元（687台套）。优化提升8个功能实验室（含1个专业群带动建设实验室）、2个公用实验室，新建组织培养实验室、数码互动实验室、录播实验室、种子加工实验室等4个实验室，大大改善了教学设备、提升了实验教学条件。目前该专业拥有仪器设备总值 1840.5万元，生均仪器设备7.54万元。</w:t>
      </w:r>
    </w:p>
    <w:p>
      <w:pPr>
        <w:pStyle w:val="10"/>
        <w:adjustRightInd w:val="0"/>
        <w:snapToGrid w:val="0"/>
        <w:ind w:left="0" w:firstLineChars="200"/>
        <w:jc w:val="both"/>
        <w:rPr>
          <w:rFonts w:cs="Times New Roman"/>
        </w:rPr>
      </w:pPr>
      <w:r>
        <w:rPr>
          <w:rFonts w:cs="Times New Roman"/>
        </w:rPr>
        <w:t>师资队伍建设是专业建设的重要支撑，该专业历来重视师资队伍建设，积极利用多种途径加强师资队伍建设，建成了一支职称结构、年龄结构、知识结构合理，综合素质优良的高水平的专业师资队伍。目前该专业有专职教师25人，45岁以下教师17人，包括中国工程院院士1人，教授12人，副教授7人，讲师及以下6人；其中有博士学位教师19人，有海外教育经历的10人。教学队伍中拥有国家级教学名师1人，入选国家百千万人才工程项目1人，山东省泰山学者和青年泰山学者3人，国家产业技术体系岗位科学家2人，山东省现代农业产业技术体系岗位科学家3人，山东省专业技术拔尖人才1人，山东省有突出贡献的中青年专家1人。</w:t>
      </w:r>
    </w:p>
    <w:p>
      <w:pPr>
        <w:pStyle w:val="10"/>
        <w:adjustRightInd w:val="0"/>
        <w:snapToGrid w:val="0"/>
        <w:ind w:left="0" w:firstLineChars="200"/>
        <w:jc w:val="both"/>
        <w:rPr>
          <w:rFonts w:cs="Times New Roman"/>
        </w:rPr>
      </w:pPr>
      <w:r>
        <w:rPr>
          <w:rFonts w:cs="Times New Roman"/>
        </w:rPr>
        <w:t>按照</w:t>
      </w:r>
      <w:r>
        <w:rPr>
          <w:rFonts w:hint="eastAsia" w:cs="Times New Roman"/>
        </w:rPr>
        <w:t>“</w:t>
      </w:r>
      <w:r>
        <w:rPr>
          <w:rFonts w:cs="Times New Roman"/>
        </w:rPr>
        <w:t>校内综合实习基地+校外实习基地群</w:t>
      </w:r>
      <w:r>
        <w:rPr>
          <w:rFonts w:hint="eastAsia" w:cs="Times New Roman"/>
        </w:rPr>
        <w:t>”</w:t>
      </w:r>
      <w:r>
        <w:rPr>
          <w:rFonts w:cs="Times New Roman"/>
        </w:rPr>
        <w:t>的模式加强教学基地建设。首先是加强校内实验教学中心建设。优化提升作物标本园、中药实践园（专业群带动内容），建设高水平认知实训田、综合训练田、农业高新技术示范园，环绕教学区，设有农学试验站、果树试验站、蔬菜试验站和植物保护试验站，建成集教学、科研和生产示范为一体的校内专业综合实践教学基地，为同学们的实践实习创造了良好的条件。其次是加强校外实践教学基地建设。2021-2022年新增年赴潍坊丰瑞农业科技有限公司、潍坊市农业科学院、济南鑫瑞种业科技有限公司等3个教育科研实践育人基地，原有校级和院级教学实习基地14个，使校外实习基地达到17家，满足学生认知实习、课程实习、毕业实习等的需要。</w:t>
      </w:r>
    </w:p>
    <w:p>
      <w:pPr>
        <w:pStyle w:val="10"/>
        <w:adjustRightInd w:val="0"/>
        <w:snapToGrid w:val="0"/>
        <w:ind w:left="0" w:firstLineChars="200"/>
        <w:jc w:val="both"/>
        <w:rPr>
          <w:rFonts w:cs="Times New Roman"/>
        </w:rPr>
      </w:pPr>
      <w:r>
        <w:rPr>
          <w:rFonts w:cs="Times New Roman"/>
        </w:rPr>
        <w:t>植物科学专业所有核心课程均采用多媒体教学。专业核心课程包括植物学、生物化学、植物生理学、普通遗传学、农业生态学、植物保护学、植物生产学、植物育种学等都属于省级或校级精品课程，教学资源全部上网。另外农业生态学入选国家级精品资源共享课，农业生态学、作物栽培学、作物种子学入选省级一流课程。</w:t>
      </w:r>
    </w:p>
    <w:p>
      <w:pPr>
        <w:pStyle w:val="5"/>
        <w:spacing w:before="93" w:after="93"/>
        <w:ind w:firstLine="560"/>
      </w:pPr>
      <w:r>
        <w:t>四、培养机制与特色（产学研协同育人机制、合作办学、教学管理等）</w:t>
      </w:r>
    </w:p>
    <w:p>
      <w:pPr>
        <w:pStyle w:val="10"/>
        <w:adjustRightInd w:val="0"/>
        <w:snapToGrid w:val="0"/>
        <w:ind w:left="0" w:firstLineChars="200"/>
        <w:jc w:val="both"/>
        <w:rPr>
          <w:rFonts w:cs="Times New Roman"/>
        </w:rPr>
      </w:pPr>
      <w:r>
        <w:rPr>
          <w:rFonts w:cs="Times New Roman"/>
        </w:rPr>
        <w:t>植物科学与技术专业充分发挥本专业教师承担的科学研究项目和相关企业在人才培养中的作用，坚持教学、科研、生产相结合。加强科研平台和科研条件服务于教学，加强科研成果转化为教学内容。主要包括以下措施，将教师科研课题丰富的试验现场和材料直接用于专业课教学；通过大学生创新实验计划、SRT、毕业实习、毕业论文研究等方式将科研实验室优越的条件用于教学；通过开设农学专业研究进展、学术报告等方式，让大量的非专任教师服务于教学；教师丰富的科研成果及时转化为教学内容和实践内容。例如将</w:t>
      </w:r>
      <w:r>
        <w:rPr>
          <w:rFonts w:hint="eastAsia" w:cs="Times New Roman"/>
        </w:rPr>
        <w:t>“</w:t>
      </w:r>
      <w:r>
        <w:rPr>
          <w:rFonts w:cs="Times New Roman"/>
        </w:rPr>
        <w:t>小麦高产优质无公害栽培技术</w:t>
      </w:r>
      <w:r>
        <w:rPr>
          <w:rFonts w:hint="eastAsia" w:cs="Times New Roman"/>
        </w:rPr>
        <w:t>”</w:t>
      </w:r>
      <w:r>
        <w:rPr>
          <w:rFonts w:cs="Times New Roman"/>
        </w:rPr>
        <w:t>应用于学生的综合训练田的高产攻关，将</w:t>
      </w:r>
      <w:r>
        <w:rPr>
          <w:rFonts w:hint="eastAsia" w:cs="Times New Roman"/>
        </w:rPr>
        <w:t>“</w:t>
      </w:r>
      <w:r>
        <w:rPr>
          <w:rFonts w:cs="Times New Roman"/>
        </w:rPr>
        <w:t>玉米种子纯度检验技术</w:t>
      </w:r>
      <w:r>
        <w:rPr>
          <w:rFonts w:hint="eastAsia" w:cs="Times New Roman"/>
        </w:rPr>
        <w:t>”</w:t>
      </w:r>
      <w:r>
        <w:rPr>
          <w:rFonts w:cs="Times New Roman"/>
        </w:rPr>
        <w:t>转化为实验课教学内容，将玉米高产高效栽培技术成果落实到玉米栽培学教学内容中等。</w:t>
      </w:r>
    </w:p>
    <w:p>
      <w:pPr>
        <w:pStyle w:val="10"/>
        <w:adjustRightInd w:val="0"/>
        <w:snapToGrid w:val="0"/>
        <w:ind w:left="0" w:firstLineChars="200"/>
        <w:jc w:val="both"/>
        <w:rPr>
          <w:rFonts w:cs="Times New Roman"/>
        </w:rPr>
      </w:pPr>
      <w:r>
        <w:rPr>
          <w:rFonts w:cs="Times New Roman"/>
        </w:rPr>
        <w:t>采用</w:t>
      </w:r>
      <w:r>
        <w:rPr>
          <w:rFonts w:hint="eastAsia" w:cs="Times New Roman"/>
        </w:rPr>
        <w:t>“</w:t>
      </w:r>
      <w:r>
        <w:rPr>
          <w:rFonts w:cs="Times New Roman"/>
        </w:rPr>
        <w:t>走出去、引进来</w:t>
      </w:r>
      <w:r>
        <w:rPr>
          <w:rFonts w:hint="eastAsia" w:cs="Times New Roman"/>
        </w:rPr>
        <w:t>”</w:t>
      </w:r>
      <w:r>
        <w:rPr>
          <w:rFonts w:cs="Times New Roman"/>
        </w:rPr>
        <w:t>等方式拓宽学生创新创业实践渠道。首先通过专业认知实习、校内课程实习、校外教学基地参观实习等教学方式，结合暑期社会调查、毕业实习等机会，让学生到有关企业去进行实习、锻炼。其次，主动走出去，寻求与企业合作，拓展合作空间，邀请企业家来校作创业教育专题报告，提高在校生创业意识、精神和能力，同时引入企业资金，以</w:t>
      </w:r>
      <w:r>
        <w:rPr>
          <w:rFonts w:hint="eastAsia" w:cs="Times New Roman"/>
        </w:rPr>
        <w:t>“</w:t>
      </w:r>
      <w:r>
        <w:rPr>
          <w:rFonts w:cs="Times New Roman"/>
        </w:rPr>
        <w:t>创业基金项目化</w:t>
      </w:r>
      <w:r>
        <w:rPr>
          <w:rFonts w:hint="eastAsia" w:cs="Times New Roman"/>
        </w:rPr>
        <w:t>”</w:t>
      </w:r>
      <w:r>
        <w:rPr>
          <w:rFonts w:cs="Times New Roman"/>
        </w:rPr>
        <w:t>资助，让更多有创业意愿的学生，投身到创业的实践中。再次，加快校内创新创业孵化基地建设，以</w:t>
      </w:r>
      <w:r>
        <w:rPr>
          <w:rFonts w:hint="eastAsia" w:cs="Times New Roman"/>
        </w:rPr>
        <w:t>“</w:t>
      </w:r>
      <w:r>
        <w:rPr>
          <w:rFonts w:cs="Times New Roman"/>
        </w:rPr>
        <w:t>创业项目化资助</w:t>
      </w:r>
      <w:r>
        <w:rPr>
          <w:rFonts w:hint="eastAsia" w:cs="Times New Roman"/>
        </w:rPr>
        <w:t>”</w:t>
      </w:r>
      <w:r>
        <w:rPr>
          <w:rFonts w:cs="Times New Roman"/>
        </w:rPr>
        <w:t>的形式，推动更多的创业项目立项，实现在校学生成功创业。</w:t>
      </w:r>
    </w:p>
    <w:p>
      <w:pPr>
        <w:pStyle w:val="10"/>
        <w:adjustRightInd w:val="0"/>
        <w:snapToGrid w:val="0"/>
        <w:ind w:left="0" w:firstLineChars="200"/>
        <w:jc w:val="both"/>
        <w:rPr>
          <w:rFonts w:cs="Times New Roman"/>
        </w:rPr>
      </w:pPr>
      <w:r>
        <w:rPr>
          <w:rFonts w:cs="Times New Roman"/>
        </w:rPr>
        <w:t>教学管理方面，成立以农学院院长为主任委员、分管教学院长和专业主任为副主任委员的农学专业建设指导委员会，主要成员包括教授委员会主任、实验教学中心主任、相关系主任等。专业建设指导委员会在学校的统一领导与部署下，主要对农学专业的建设工作实施统一协调、指导和监督；专业建设指导委员会下设人才培养方案修订组、课程建设组、条件建设组、师资队伍建设规划组、大学生创业指导组等。</w:t>
      </w:r>
    </w:p>
    <w:p>
      <w:pPr>
        <w:pStyle w:val="10"/>
        <w:adjustRightInd w:val="0"/>
        <w:snapToGrid w:val="0"/>
        <w:ind w:left="0" w:firstLineChars="200"/>
        <w:jc w:val="both"/>
        <w:rPr>
          <w:rFonts w:cs="Times New Roman"/>
        </w:rPr>
      </w:pPr>
      <w:r>
        <w:rPr>
          <w:rFonts w:cs="Times New Roman"/>
        </w:rPr>
        <w:t>在新生入学时，积极探索推行</w:t>
      </w:r>
      <w:r>
        <w:rPr>
          <w:rFonts w:hint="eastAsia" w:cs="Times New Roman"/>
        </w:rPr>
        <w:t>“</w:t>
      </w:r>
      <w:r>
        <w:rPr>
          <w:rFonts w:cs="Times New Roman"/>
        </w:rPr>
        <w:t>班主任+</w:t>
      </w:r>
      <w:r>
        <w:rPr>
          <w:rFonts w:hint="eastAsia" w:cs="Times New Roman"/>
        </w:rPr>
        <w:t>”</w:t>
      </w:r>
      <w:r>
        <w:rPr>
          <w:rFonts w:cs="Times New Roman"/>
        </w:rPr>
        <w:t>工作模式改革，充分发挥专家教授在引导学生专业思想建成、基本科研素质培养中的作用，探索、实践、形成具有学院特色的学生管理新机制。在三、四年级开始实行导师工作制，本专业大部分教师承担的科研项目在南校区农学试验站、果树试验站、蔬菜试验站和植物保护试验站内实施，通过SRT、课程论文、毕业实习等形式，充分发挥学院国家、省部级实验室等创新平台作用，制定面向本科生开放的有效机制，提高学生创新实践能力。同时通过院士报告会、山农A+双创论坛、学实大讲堂、岱下学宫-民之天论坛等多种形式，邀请院士、杰出校友、知名专家教授给学生做专题报告，提高学生创新创业能力、培养学生基本科研素质、激发学生投身农业科技的动力。</w:t>
      </w:r>
    </w:p>
    <w:p>
      <w:pPr>
        <w:pStyle w:val="5"/>
        <w:spacing w:before="93" w:after="93"/>
        <w:ind w:firstLine="560"/>
      </w:pPr>
      <w:r>
        <w:t>五、培养质量（毕业生就业率、就业专业对口率、毕业生发展情况、就业单位满意率、社会对专业的评价、学生就读该专业的意愿等）</w:t>
      </w:r>
    </w:p>
    <w:p>
      <w:pPr>
        <w:pStyle w:val="10"/>
        <w:adjustRightInd w:val="0"/>
        <w:snapToGrid w:val="0"/>
        <w:ind w:left="0" w:firstLineChars="200"/>
        <w:jc w:val="both"/>
        <w:rPr>
          <w:rFonts w:cs="Times New Roman"/>
        </w:rPr>
      </w:pPr>
      <w:r>
        <w:rPr>
          <w:rFonts w:cs="Times New Roman"/>
        </w:rPr>
        <w:t>学院根据社会发展需求不断调整人才培养方案，加强实践创新型人才培养力度，突出理论知识学习与实践动手能力培养相结合，增强毕业生的综合素质和核心竞争力。学院人才培养质量逐年提高，毕业生综合素质、核心竞争力逐渐增强，有利于就业率和就业质量的提升。</w:t>
      </w:r>
    </w:p>
    <w:p>
      <w:pPr>
        <w:pStyle w:val="10"/>
        <w:adjustRightInd w:val="0"/>
        <w:snapToGrid w:val="0"/>
        <w:ind w:left="0" w:firstLineChars="200"/>
        <w:jc w:val="both"/>
        <w:rPr>
          <w:rFonts w:cs="Times New Roman"/>
        </w:rPr>
      </w:pPr>
      <w:r>
        <w:rPr>
          <w:rFonts w:cs="Times New Roman"/>
        </w:rPr>
        <w:t>截止2022年8月31日，2022届60名植物科学与技术专业毕业生中41人就业，就业率68.33%。就业41名学生中，36人考取不同专业研究生，升学率为60%，其中1人考取国外研究生，21人考取中国农科院及211、985院校的研究生。其余5人在不同企业从事农业科技、教育、销售管理等工作。其余同学均为准备继续报考研究生，未能统计就业数据。</w:t>
      </w:r>
    </w:p>
    <w:p>
      <w:pPr>
        <w:pStyle w:val="10"/>
        <w:adjustRightInd w:val="0"/>
        <w:snapToGrid w:val="0"/>
        <w:ind w:left="0" w:firstLineChars="200"/>
        <w:jc w:val="both"/>
        <w:rPr>
          <w:rFonts w:cs="Times New Roman"/>
        </w:rPr>
      </w:pPr>
      <w:r>
        <w:rPr>
          <w:rFonts w:cs="Times New Roman"/>
        </w:rPr>
        <w:t>本专业毕业生同学在各类工作岗位上工作踏实认真、广受好评，电话抽查调研2021届毕业生就业单位满意率93%以上。</w:t>
      </w:r>
    </w:p>
    <w:p>
      <w:pPr>
        <w:pStyle w:val="5"/>
        <w:spacing w:before="93" w:after="93"/>
        <w:ind w:firstLine="560"/>
      </w:pPr>
      <w:r>
        <w:t>六、毕业生就业创业（创业情况、采取的措施、典型案例等）</w:t>
      </w:r>
    </w:p>
    <w:p>
      <w:pPr>
        <w:pStyle w:val="10"/>
        <w:adjustRightInd w:val="0"/>
        <w:snapToGrid w:val="0"/>
        <w:ind w:left="0" w:firstLineChars="200"/>
        <w:jc w:val="both"/>
        <w:rPr>
          <w:rFonts w:cs="Times New Roman"/>
        </w:rPr>
      </w:pPr>
      <w:r>
        <w:rPr>
          <w:rFonts w:cs="Times New Roman"/>
        </w:rPr>
        <w:t>学院为营造浓郁的创新创业氛围，举办</w:t>
      </w:r>
      <w:r>
        <w:rPr>
          <w:rFonts w:hint="eastAsia" w:cs="Times New Roman"/>
        </w:rPr>
        <w:t>“</w:t>
      </w:r>
      <w:r>
        <w:rPr>
          <w:rFonts w:cs="Times New Roman"/>
        </w:rPr>
        <w:t>院士杯</w:t>
      </w:r>
      <w:r>
        <w:rPr>
          <w:rFonts w:hint="eastAsia" w:cs="Times New Roman"/>
        </w:rPr>
        <w:t>”</w:t>
      </w:r>
      <w:r>
        <w:rPr>
          <w:rFonts w:cs="Times New Roman"/>
        </w:rPr>
        <w:t>创青春大赛，组建创新创业团队，高度重视大学生创业孵化基地建设，成立</w:t>
      </w:r>
      <w:r>
        <w:rPr>
          <w:rFonts w:hint="eastAsia" w:cs="Times New Roman"/>
        </w:rPr>
        <w:t>“</w:t>
      </w:r>
      <w:r>
        <w:rPr>
          <w:rFonts w:cs="Times New Roman"/>
        </w:rPr>
        <w:t>绿色畅想工作室</w:t>
      </w:r>
      <w:r>
        <w:rPr>
          <w:rFonts w:hint="eastAsia" w:cs="Times New Roman"/>
        </w:rPr>
        <w:t>”</w:t>
      </w:r>
      <w:r>
        <w:rPr>
          <w:rFonts w:cs="Times New Roman"/>
        </w:rPr>
        <w:t>，为大学生创新创业工作打造各类工作、宣传平台。2021-2022年共举办</w:t>
      </w:r>
      <w:r>
        <w:rPr>
          <w:rFonts w:hint="eastAsia" w:cs="Times New Roman"/>
        </w:rPr>
        <w:t>“</w:t>
      </w:r>
      <w:r>
        <w:rPr>
          <w:rFonts w:cs="Times New Roman"/>
        </w:rPr>
        <w:t>第八届科创大赛院赛</w:t>
      </w:r>
      <w:r>
        <w:rPr>
          <w:rFonts w:hint="eastAsia" w:cs="Times New Roman"/>
        </w:rPr>
        <w:t>”</w:t>
      </w:r>
      <w:r>
        <w:rPr>
          <w:rFonts w:cs="Times New Roman"/>
        </w:rPr>
        <w:t>、</w:t>
      </w:r>
      <w:r>
        <w:rPr>
          <w:rFonts w:hint="eastAsia" w:cs="Times New Roman"/>
        </w:rPr>
        <w:t>“</w:t>
      </w:r>
      <w:r>
        <w:rPr>
          <w:rFonts w:cs="Times New Roman"/>
        </w:rPr>
        <w:t>第七届互联网＋国赛观摩</w:t>
      </w:r>
      <w:r>
        <w:rPr>
          <w:rFonts w:hint="eastAsia" w:cs="Times New Roman"/>
        </w:rPr>
        <w:t>”</w:t>
      </w:r>
      <w:r>
        <w:rPr>
          <w:rFonts w:cs="Times New Roman"/>
        </w:rPr>
        <w:t>、</w:t>
      </w:r>
      <w:r>
        <w:rPr>
          <w:rFonts w:hint="eastAsia" w:cs="Times New Roman"/>
        </w:rPr>
        <w:t>“</w:t>
      </w:r>
      <w:r>
        <w:rPr>
          <w:rFonts w:cs="Times New Roman"/>
        </w:rPr>
        <w:t>稼穑强农训练营培训会</w:t>
      </w:r>
      <w:r>
        <w:rPr>
          <w:rFonts w:hint="eastAsia" w:cs="Times New Roman"/>
        </w:rPr>
        <w:t>”</w:t>
      </w:r>
      <w:r>
        <w:rPr>
          <w:rFonts w:cs="Times New Roman"/>
        </w:rPr>
        <w:t>等12次创业创业教育会。</w:t>
      </w:r>
    </w:p>
    <w:p>
      <w:pPr>
        <w:pStyle w:val="10"/>
        <w:adjustRightInd w:val="0"/>
        <w:snapToGrid w:val="0"/>
        <w:ind w:left="0" w:firstLineChars="200"/>
        <w:jc w:val="both"/>
        <w:rPr>
          <w:rFonts w:cs="Times New Roman"/>
        </w:rPr>
      </w:pPr>
      <w:r>
        <w:rPr>
          <w:rFonts w:cs="Times New Roman"/>
        </w:rPr>
        <w:t>2019级植科专业尹咏琪等同学主持的</w:t>
      </w:r>
      <w:r>
        <w:rPr>
          <w:rFonts w:hint="eastAsia" w:cs="Times New Roman"/>
        </w:rPr>
        <w:t>“</w:t>
      </w:r>
      <w:r>
        <w:rPr>
          <w:rFonts w:cs="Times New Roman"/>
        </w:rPr>
        <w:t>脱水先锋——玉米籽粒脱水领航者</w:t>
      </w:r>
      <w:r>
        <w:rPr>
          <w:rFonts w:hint="eastAsia" w:cs="Times New Roman"/>
        </w:rPr>
        <w:t>”</w:t>
      </w:r>
      <w:r>
        <w:rPr>
          <w:rFonts w:cs="Times New Roman"/>
        </w:rPr>
        <w:t>获得</w:t>
      </w:r>
      <w:r>
        <w:rPr>
          <w:rFonts w:hint="eastAsia" w:cs="Times New Roman"/>
        </w:rPr>
        <w:t>“</w:t>
      </w:r>
      <w:r>
        <w:rPr>
          <w:rFonts w:cs="Times New Roman"/>
        </w:rPr>
        <w:t>建行杯</w:t>
      </w:r>
      <w:r>
        <w:rPr>
          <w:rFonts w:hint="eastAsia" w:cs="Times New Roman"/>
        </w:rPr>
        <w:t>”</w:t>
      </w:r>
      <w:r>
        <w:rPr>
          <w:rFonts w:cs="Times New Roman"/>
        </w:rPr>
        <w:t>第七届山东省</w:t>
      </w:r>
      <w:r>
        <w:rPr>
          <w:rFonts w:hint="eastAsia" w:cs="Times New Roman"/>
        </w:rPr>
        <w:t>“</w:t>
      </w:r>
      <w:r>
        <w:rPr>
          <w:rFonts w:cs="Times New Roman"/>
        </w:rPr>
        <w:t>互联网+</w:t>
      </w:r>
      <w:r>
        <w:rPr>
          <w:rFonts w:hint="eastAsia" w:cs="Times New Roman"/>
        </w:rPr>
        <w:t>”</w:t>
      </w:r>
      <w:r>
        <w:rPr>
          <w:rFonts w:cs="Times New Roman"/>
        </w:rPr>
        <w:t>大学生创新创业大赛省级铜奖，</w:t>
      </w:r>
      <w:r>
        <w:rPr>
          <w:rFonts w:hint="eastAsia" w:cs="Times New Roman"/>
        </w:rPr>
        <w:t>“</w:t>
      </w:r>
      <w:r>
        <w:rPr>
          <w:rFonts w:cs="Times New Roman"/>
        </w:rPr>
        <w:t>年丰时稔——玉米种业发展的金钥匙</w:t>
      </w:r>
      <w:r>
        <w:rPr>
          <w:rFonts w:hint="eastAsia" w:cs="Times New Roman"/>
        </w:rPr>
        <w:t>”</w:t>
      </w:r>
      <w:r>
        <w:rPr>
          <w:rFonts w:cs="Times New Roman"/>
        </w:rPr>
        <w:t>获得第七届山东农业大学新业态</w:t>
      </w:r>
      <w:r>
        <w:rPr>
          <w:rFonts w:hint="eastAsia" w:cs="Times New Roman"/>
        </w:rPr>
        <w:t>“</w:t>
      </w:r>
      <w:r>
        <w:rPr>
          <w:rFonts w:cs="Times New Roman"/>
        </w:rPr>
        <w:t>互联网+</w:t>
      </w:r>
      <w:r>
        <w:rPr>
          <w:rFonts w:hint="eastAsia" w:cs="Times New Roman"/>
        </w:rPr>
        <w:t>”</w:t>
      </w:r>
      <w:r>
        <w:rPr>
          <w:rFonts w:cs="Times New Roman"/>
        </w:rPr>
        <w:t>大学生创新创业大赛校级三等奖。此外，植科专业学生成立的</w:t>
      </w:r>
      <w:r>
        <w:rPr>
          <w:rFonts w:hint="eastAsia" w:cs="Times New Roman"/>
        </w:rPr>
        <w:t>“</w:t>
      </w:r>
      <w:r>
        <w:rPr>
          <w:rFonts w:cs="Times New Roman"/>
        </w:rPr>
        <w:t>我的菜篮子</w:t>
      </w:r>
      <w:r>
        <w:rPr>
          <w:rFonts w:hint="eastAsia" w:cs="Times New Roman"/>
        </w:rPr>
        <w:t>”</w:t>
      </w:r>
      <w:r>
        <w:rPr>
          <w:rFonts w:cs="Times New Roman"/>
        </w:rPr>
        <w:t>创业团队，通过实施科学化种养，生态化种养，产业化发展，</w:t>
      </w:r>
      <w:r>
        <w:rPr>
          <w:rFonts w:hint="eastAsia" w:cs="Times New Roman"/>
        </w:rPr>
        <w:t>“</w:t>
      </w:r>
      <w:r>
        <w:rPr>
          <w:rFonts w:cs="Times New Roman"/>
        </w:rPr>
        <w:t>互联网+</w:t>
      </w:r>
      <w:r>
        <w:rPr>
          <w:rFonts w:hint="eastAsia" w:cs="Times New Roman"/>
        </w:rPr>
        <w:t>”</w:t>
      </w:r>
      <w:r>
        <w:rPr>
          <w:rFonts w:cs="Times New Roman"/>
        </w:rPr>
        <w:t>经营的运营模式，努力构建生态时令蔬菜（尾菜、淘汰菜）通过黄粉虫、黑水虻两级过腹转化生产有机肥到生态时令蔬菜；生态时令蔬菜（合格品）、昆虫蛋白到客户，客户产生的厨余尾菜到环境昆虫（黄粉虫、黑水虻）处理的</w:t>
      </w:r>
      <w:r>
        <w:rPr>
          <w:rFonts w:hint="eastAsia" w:cs="Times New Roman"/>
        </w:rPr>
        <w:t>“</w:t>
      </w:r>
      <w:r>
        <w:rPr>
          <w:rFonts w:cs="Times New Roman"/>
        </w:rPr>
        <w:t>虫—菜</w:t>
      </w:r>
      <w:r>
        <w:rPr>
          <w:rFonts w:hint="eastAsia" w:cs="Times New Roman"/>
        </w:rPr>
        <w:t>”“</w:t>
      </w:r>
      <w:r>
        <w:rPr>
          <w:rFonts w:cs="Times New Roman"/>
        </w:rPr>
        <w:t>三全</w:t>
      </w:r>
      <w:r>
        <w:rPr>
          <w:rFonts w:hint="eastAsia" w:cs="Times New Roman"/>
        </w:rPr>
        <w:t>”</w:t>
      </w:r>
      <w:r>
        <w:rPr>
          <w:rFonts w:cs="Times New Roman"/>
        </w:rPr>
        <w:t>利用模式，致力于打造集生产、研发、加工、销售、服务为一体的</w:t>
      </w:r>
      <w:r>
        <w:rPr>
          <w:rFonts w:hint="eastAsia" w:cs="Times New Roman"/>
        </w:rPr>
        <w:t>“</w:t>
      </w:r>
      <w:r>
        <w:rPr>
          <w:rFonts w:cs="Times New Roman"/>
        </w:rPr>
        <w:t>我的菜篮子</w:t>
      </w:r>
      <w:r>
        <w:rPr>
          <w:rFonts w:hint="eastAsia" w:cs="Times New Roman"/>
        </w:rPr>
        <w:t>”</w:t>
      </w:r>
      <w:r>
        <w:rPr>
          <w:rFonts w:cs="Times New Roman"/>
        </w:rPr>
        <w:t>品牌。该创业项目先后成功入选校级大学生创新创业实践项目、国家级创业实践项目，并荣获农学院</w:t>
      </w:r>
      <w:r>
        <w:rPr>
          <w:rFonts w:hint="eastAsia" w:cs="Times New Roman"/>
        </w:rPr>
        <w:t>“</w:t>
      </w:r>
      <w:r>
        <w:rPr>
          <w:rFonts w:cs="Times New Roman"/>
        </w:rPr>
        <w:t>院士杯</w:t>
      </w:r>
      <w:r>
        <w:rPr>
          <w:rFonts w:hint="eastAsia" w:cs="Times New Roman"/>
        </w:rPr>
        <w:t>”</w:t>
      </w:r>
      <w:r>
        <w:rPr>
          <w:rFonts w:cs="Times New Roman"/>
        </w:rPr>
        <w:t>创青春创业大赛一等奖、校级</w:t>
      </w:r>
      <w:r>
        <w:rPr>
          <w:rFonts w:hint="eastAsia" w:cs="Times New Roman"/>
        </w:rPr>
        <w:t>“</w:t>
      </w:r>
      <w:r>
        <w:rPr>
          <w:rFonts w:cs="Times New Roman"/>
        </w:rPr>
        <w:t>创青春</w:t>
      </w:r>
      <w:r>
        <w:rPr>
          <w:rFonts w:hint="eastAsia" w:cs="Times New Roman"/>
        </w:rPr>
        <w:t>”</w:t>
      </w:r>
      <w:r>
        <w:rPr>
          <w:rFonts w:cs="Times New Roman"/>
        </w:rPr>
        <w:t>创业大赛三等奖。团队创始人张广杰和团队成员李丹丹两人都荣获</w:t>
      </w:r>
      <w:r>
        <w:rPr>
          <w:rFonts w:hint="eastAsia" w:cs="Times New Roman"/>
        </w:rPr>
        <w:t>“</w:t>
      </w:r>
      <w:r>
        <w:rPr>
          <w:rFonts w:cs="Times New Roman"/>
        </w:rPr>
        <w:t>2015年大学生创新创业之星</w:t>
      </w:r>
      <w:r>
        <w:rPr>
          <w:rFonts w:hint="eastAsia" w:cs="Times New Roman"/>
        </w:rPr>
        <w:t>”</w:t>
      </w:r>
      <w:r>
        <w:rPr>
          <w:rFonts w:cs="Times New Roman"/>
        </w:rPr>
        <w:t>。2013级植科1班学生柳志勇成立了</w:t>
      </w:r>
      <w:r>
        <w:rPr>
          <w:rFonts w:hint="eastAsia" w:cs="Times New Roman"/>
        </w:rPr>
        <w:t>“</w:t>
      </w:r>
      <w:r>
        <w:rPr>
          <w:rFonts w:cs="Times New Roman"/>
        </w:rPr>
        <w:t>可移动家庭绿色果蔬水培设备</w:t>
      </w:r>
      <w:r>
        <w:rPr>
          <w:rFonts w:hint="eastAsia" w:cs="Times New Roman"/>
        </w:rPr>
        <w:t>”</w:t>
      </w:r>
      <w:r>
        <w:rPr>
          <w:rFonts w:cs="Times New Roman"/>
        </w:rPr>
        <w:t>创业团队，通过孜孜不倦的探索、创新，最终建立了家庭水培的新模式，为果树新型生产模式的培育提供了新思路。</w:t>
      </w:r>
    </w:p>
    <w:p>
      <w:pPr>
        <w:pStyle w:val="5"/>
        <w:spacing w:before="93" w:after="93"/>
        <w:ind w:firstLine="560"/>
      </w:pPr>
      <w:r>
        <w:t>七、专业人才社会需求分析及专业发展趋势分析</w:t>
      </w:r>
    </w:p>
    <w:p>
      <w:pPr>
        <w:pStyle w:val="10"/>
        <w:adjustRightInd w:val="0"/>
        <w:snapToGrid w:val="0"/>
        <w:ind w:left="0" w:firstLineChars="200"/>
        <w:jc w:val="both"/>
        <w:rPr>
          <w:rFonts w:cs="Times New Roman"/>
        </w:rPr>
      </w:pPr>
      <w:r>
        <w:rPr>
          <w:rFonts w:cs="Times New Roman"/>
        </w:rPr>
        <w:t>随着我国农村土地三权（所有权、承包权、经营权）的逐步分离，土地流转现象已经不可避免的出现，通过土地流转，可以开展规模化、集约化、现代化的农业经营模式。农业规模化经营需要强有力的技术支撑，也有利于农业技术的推广。近年来已经全国出现了许多以种植业为主、规模大小不一的农业公司或者家庭农场，这些农业公司或者家庭农场在从事大田作物、园艺作物种植过程中普遍缺乏先进技术，急需要农业技术人员的加入，这就给植物科学与技术专业毕业生提供了大量的就业岗位。因此，随着农业规模化经营的快速发展，社会对植物科学与技术专业毕业生的需求将越来越多。建议进一步强化对学生进行专业知识的教育，使学生尽快适应社会对农业科技人才的需求。</w:t>
      </w:r>
    </w:p>
    <w:p>
      <w:pPr>
        <w:pStyle w:val="5"/>
        <w:spacing w:before="93" w:after="93"/>
        <w:ind w:firstLine="560"/>
      </w:pPr>
      <w:bookmarkStart w:id="21" w:name="八、存在的问题及整改措施"/>
      <w:bookmarkEnd w:id="21"/>
      <w:r>
        <w:t>八、存在的问题及整改措施</w:t>
      </w:r>
    </w:p>
    <w:p>
      <w:pPr>
        <w:pStyle w:val="10"/>
        <w:adjustRightInd w:val="0"/>
        <w:snapToGrid w:val="0"/>
        <w:ind w:left="0" w:firstLineChars="200"/>
        <w:jc w:val="both"/>
        <w:rPr>
          <w:rFonts w:cs="Times New Roman"/>
        </w:rPr>
      </w:pPr>
      <w:r>
        <w:rPr>
          <w:rFonts w:cs="Times New Roman"/>
        </w:rPr>
        <w:t>本专业经过十余年的招生和建设，已经形成了较为稳定的人才培养模式，本专业也入选国家特色专业。但是随着经济社会和现代农业的快速发展，</w:t>
      </w:r>
      <w:r>
        <w:rPr>
          <w:rFonts w:hint="eastAsia" w:cs="Times New Roman"/>
        </w:rPr>
        <w:t>“</w:t>
      </w:r>
      <w:r>
        <w:rPr>
          <w:rFonts w:cs="Times New Roman"/>
        </w:rPr>
        <w:t>新农科</w:t>
      </w:r>
      <w:r>
        <w:rPr>
          <w:rFonts w:hint="eastAsia" w:cs="Times New Roman"/>
        </w:rPr>
        <w:t>”</w:t>
      </w:r>
      <w:r>
        <w:rPr>
          <w:rFonts w:cs="Times New Roman"/>
        </w:rPr>
        <w:t>建设逐渐受到重视，对本专业的人才培养模式不断提出新要求，人才培养模式也有待进一步完善。因此我们根据</w:t>
      </w:r>
      <w:r>
        <w:rPr>
          <w:rFonts w:hint="eastAsia" w:cs="Times New Roman"/>
        </w:rPr>
        <w:t>“</w:t>
      </w:r>
      <w:r>
        <w:rPr>
          <w:rFonts w:cs="Times New Roman"/>
        </w:rPr>
        <w:t>新农科</w:t>
      </w:r>
      <w:r>
        <w:rPr>
          <w:rFonts w:hint="eastAsia" w:cs="Times New Roman"/>
        </w:rPr>
        <w:t>”</w:t>
      </w:r>
      <w:r>
        <w:rPr>
          <w:rFonts w:cs="Times New Roman"/>
        </w:rPr>
        <w:t>建设的要求需要进一步完善人才培养方案和课程设置，强化专业特色，并注重个性化培养。同时加强实践技能培训，充分发挥校内和校外教学实践基地的作用，使学生得到更多的实践锻炼，使广大毕业生能更贴近社会需求。</w:t>
      </w:r>
    </w:p>
    <w:p>
      <w:pPr>
        <w:ind w:firstLine="480" w:firstLineChars="200"/>
        <w:rPr>
          <w:color w:val="000000" w:themeColor="text1"/>
          <w:szCs w:val="24"/>
          <w14:textFill>
            <w14:solidFill>
              <w14:schemeClr w14:val="tx1"/>
            </w14:solidFill>
          </w14:textFill>
        </w:rPr>
      </w:pP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rPr>
          <w:rFonts w:ascii="Times New Roman" w:hAnsi="Times New Roman" w:cs="Times New Roman"/>
        </w:rPr>
      </w:pPr>
      <w:bookmarkStart w:id="22" w:name="_Toc2073"/>
      <w:bookmarkStart w:id="23" w:name="_Toc697"/>
      <w:r>
        <w:rPr>
          <w:rFonts w:ascii="Times New Roman" w:hAnsi="Times New Roman" w:cs="Times New Roman"/>
        </w:rPr>
        <w:t>专业三：种子科学与工程</w:t>
      </w:r>
      <w:bookmarkEnd w:id="22"/>
      <w:bookmarkEnd w:id="23"/>
    </w:p>
    <w:p>
      <w:pPr>
        <w:pStyle w:val="5"/>
        <w:spacing w:before="93" w:after="93"/>
        <w:ind w:firstLine="560"/>
      </w:pPr>
      <w:r>
        <w:t>一、培养目标与规格</w:t>
      </w:r>
    </w:p>
    <w:p>
      <w:pPr>
        <w:pStyle w:val="6"/>
        <w:ind w:firstLine="480"/>
      </w:pPr>
      <w:r>
        <w:t>1. 培养目标：</w:t>
      </w:r>
    </w:p>
    <w:p>
      <w:pPr>
        <w:spacing w:line="390" w:lineRule="exact"/>
        <w:ind w:firstLine="480" w:firstLineChars="200"/>
      </w:pPr>
      <w:r>
        <w:t>本专业以国家种业现代化需求为导向，以服务乡村振兴战略为目标，按照</w:t>
      </w:r>
      <w:r>
        <w:rPr>
          <w:rFonts w:hint="eastAsia"/>
        </w:rPr>
        <w:t>“</w:t>
      </w:r>
      <w:r>
        <w:t>宽口径、厚基础、强能力、高素质、广适应</w:t>
      </w:r>
      <w:r>
        <w:rPr>
          <w:rFonts w:hint="eastAsia"/>
        </w:rPr>
        <w:t>”</w:t>
      </w:r>
      <w:r>
        <w:t>的人才培养总要求，培养</w:t>
      </w:r>
      <w:r>
        <w:rPr>
          <w:rFonts w:hint="eastAsia"/>
        </w:rPr>
        <w:t>“</w:t>
      </w:r>
      <w:r>
        <w:t>一懂两爱</w:t>
      </w:r>
      <w:r>
        <w:rPr>
          <w:rFonts w:hint="eastAsia"/>
        </w:rPr>
        <w:t>”</w:t>
      </w:r>
      <w:r>
        <w:t>，具有良好的道德品质和身心素质；具有科学的世界观和方法论，掌握自然科学和人文社科基础知识，熟悉种子科学与技术领域国内外发展现状；具备从事品种选育、种子生产以及种子科学与技术研究的知识与技能；具有较强的自主学习能力、创新创业能力、信息处理能力和宏观决策能力；具有种子企业经营与管理等方面的基本能力；能在种子产业及相关部门从事教学科研、技术推广、生产与开发、经营与管理等方面工作的应用型、复合型高级专门人才。</w:t>
      </w:r>
    </w:p>
    <w:p>
      <w:pPr>
        <w:spacing w:line="390" w:lineRule="exact"/>
        <w:ind w:firstLine="480" w:firstLineChars="200"/>
      </w:pPr>
      <w:r>
        <w:t>分解为4个子目标：</w:t>
      </w:r>
    </w:p>
    <w:p>
      <w:pPr>
        <w:spacing w:line="390" w:lineRule="exact"/>
        <w:ind w:firstLine="480" w:firstLineChars="200"/>
      </w:pPr>
      <w:r>
        <w:t>（1）具备优良的思想品质和科学的思维方式，具有创新、创业意识和较强的自主学习能力，通过不断学习、持续发展，能够成为有一定影响力的种业领域骨干人才；</w:t>
      </w:r>
    </w:p>
    <w:p>
      <w:pPr>
        <w:spacing w:line="390" w:lineRule="exact"/>
        <w:ind w:firstLine="480" w:firstLineChars="200"/>
      </w:pPr>
      <w:r>
        <w:t>（2）具备坚实的生物学基础和农业科学基础理论知识，熟悉种子科学与技术领域的科学前沿和发展趋势，具备较强从事种子科学与技术研究的能力；</w:t>
      </w:r>
    </w:p>
    <w:p>
      <w:pPr>
        <w:spacing w:line="390" w:lineRule="exact"/>
        <w:ind w:firstLine="480" w:firstLineChars="200"/>
      </w:pPr>
      <w:r>
        <w:t>（3）具备从事品种选育和高质量种子生产的能力，具有较强的信息处理能力和宏观决策能力，掌握企业管理、市场营销和种子法律法规方面的知识，具有从事种子企业经营与管理方面的较强技能。</w:t>
      </w:r>
    </w:p>
    <w:p>
      <w:pPr>
        <w:pStyle w:val="6"/>
        <w:spacing w:line="390" w:lineRule="exact"/>
        <w:ind w:firstLine="480"/>
      </w:pPr>
      <w:r>
        <w:t>2. 培养规格</w:t>
      </w:r>
    </w:p>
    <w:p>
      <w:pPr>
        <w:spacing w:line="390" w:lineRule="exact"/>
        <w:ind w:firstLine="480" w:firstLineChars="200"/>
      </w:pPr>
      <w:r>
        <w:t>本专业主要学习与种子产业化有关的生物学、管理学基础知识；具有科学的世界观、方法论；具有良好的道德品质和心理素质；掌握现代农业和种子科学研究的基本理论和技术，具有从事种子教学科研、技术推广、经营与管理等工作能力。</w:t>
      </w:r>
    </w:p>
    <w:p>
      <w:pPr>
        <w:spacing w:line="390" w:lineRule="exact"/>
        <w:ind w:firstLine="480" w:firstLineChars="200"/>
      </w:pPr>
      <w:r>
        <w:t>（1）在理想信念方面，具有坚定正确的政治方向，具有良好的思想道德素质，遵纪守法、诚信为人，具有正确的人生观、价值观和世界观，具有健全的人格，有强烈的社会责任感。</w:t>
      </w:r>
    </w:p>
    <w:p>
      <w:pPr>
        <w:spacing w:line="390" w:lineRule="exact"/>
        <w:ind w:firstLine="480" w:firstLineChars="200"/>
      </w:pPr>
      <w:r>
        <w:t>（2）在三农情怀方面，充分理解农业文明、林业发展和乡村文化蕴含的优秀思想，具有懂农业、爱农村、爱农民的</w:t>
      </w:r>
      <w:r>
        <w:rPr>
          <w:rFonts w:hint="eastAsia"/>
        </w:rPr>
        <w:t>“</w:t>
      </w:r>
      <w:r>
        <w:t>三农</w:t>
      </w:r>
      <w:r>
        <w:rPr>
          <w:rFonts w:hint="eastAsia"/>
        </w:rPr>
        <w:t>”</w:t>
      </w:r>
      <w:r>
        <w:t>情怀和</w:t>
      </w:r>
      <w:r>
        <w:rPr>
          <w:rFonts w:hint="eastAsia"/>
        </w:rPr>
        <w:t>“</w:t>
      </w:r>
      <w:r>
        <w:t>爱农知农为农</w:t>
      </w:r>
      <w:r>
        <w:rPr>
          <w:rFonts w:hint="eastAsia"/>
        </w:rPr>
        <w:t>”</w:t>
      </w:r>
      <w:r>
        <w:t>素养，树立和践行</w:t>
      </w:r>
      <w:r>
        <w:rPr>
          <w:rFonts w:hint="eastAsia"/>
        </w:rPr>
        <w:t>“</w:t>
      </w:r>
      <w:r>
        <w:t>绿水青山就是金山银山</w:t>
      </w:r>
      <w:r>
        <w:rPr>
          <w:rFonts w:hint="eastAsia"/>
        </w:rPr>
        <w:t>”</w:t>
      </w:r>
      <w:r>
        <w:t>的生态文明与可持续发展理念。</w:t>
      </w:r>
    </w:p>
    <w:p>
      <w:pPr>
        <w:spacing w:line="390" w:lineRule="exact"/>
        <w:ind w:firstLine="480" w:firstLineChars="200"/>
      </w:pPr>
      <w:r>
        <w:t>（3）在人文素养方面，掌握一定的政治、经济、哲学、艺术等人文社科知识，继承和发扬中华民族优秀传统文化，具有深厚的人文底蕴和求真务实的科学精神。</w:t>
      </w:r>
    </w:p>
    <w:p>
      <w:pPr>
        <w:spacing w:line="390" w:lineRule="exact"/>
        <w:ind w:firstLine="480" w:firstLineChars="200"/>
      </w:pPr>
      <w:r>
        <w:t>（4）在理学素养方面，具备扎实的理学基础理论知识和科学思维能力，运用数学、物理、化学、生物学等自然科学领域的理论知识对科学、工程、技术等领域有关问题进行分析判断。</w:t>
      </w:r>
    </w:p>
    <w:p>
      <w:pPr>
        <w:ind w:firstLine="480" w:firstLineChars="200"/>
      </w:pPr>
      <w:r>
        <w:t>（5）在身心素养方面，养成良好的体育锻炼和卫生习惯，受到必要的军事和体育训练，达到国家规定的大学生体育和军事训练合格标准；具有良好的心理素质和生活习惯。</w:t>
      </w:r>
    </w:p>
    <w:p>
      <w:pPr>
        <w:ind w:firstLine="480" w:firstLineChars="200"/>
      </w:pPr>
      <w:r>
        <w:t>（6）在专业综合方面，了解种业发展状况和趋势，能够运用所学专业理论和方法、信息技术、生物技术、现代工程技术、现代经营管理技术等对种业领域的复杂问题进行系统分析和研究，提出相应的对策和建议，或形成解决方案。</w:t>
      </w:r>
    </w:p>
    <w:p>
      <w:pPr>
        <w:ind w:firstLine="480" w:firstLineChars="200"/>
      </w:pPr>
      <w:r>
        <w:t>（7）在审辩思维方面，具有求实创新的意识和精神，具有审辨思维能力，能够从多视角发现、辨析、质疑、评价本专业及相关领域的现象和问题，提出创新性的见解或应对措施。</w:t>
      </w:r>
    </w:p>
    <w:p>
      <w:pPr>
        <w:ind w:firstLine="480" w:firstLineChars="200"/>
      </w:pPr>
      <w:r>
        <w:t>（8）在创新创业方面，具有创新创业意识，能够将创新思维、创新能力和创业精神在创新创业活动中付诸实践。</w:t>
      </w:r>
    </w:p>
    <w:p>
      <w:pPr>
        <w:ind w:firstLine="480" w:firstLineChars="200"/>
      </w:pPr>
      <w:r>
        <w:t>（9）在交流协作方面，具有较强的沟通表达能力，能够通过口头和书面表达、现代化媒体技术等表达方式与同行及社会公众进行有效沟通。具有团队协作精神，并作为成员或领导者在团队活动中发挥积极作用。</w:t>
      </w:r>
    </w:p>
    <w:p>
      <w:pPr>
        <w:ind w:firstLine="480" w:firstLineChars="200"/>
      </w:pPr>
      <w:r>
        <w:t>（10）在全球视野方面，具有全球视野，关注食物安全、营养与人类健康、生态产品与环境、可持续发展等重大国际发展问题，能够理解和尊重世界不同文化的多样性和差异性，具备跨文化背景的交流与合作能力。</w:t>
      </w:r>
    </w:p>
    <w:p>
      <w:pPr>
        <w:ind w:firstLine="480" w:firstLineChars="200"/>
      </w:pPr>
      <w:r>
        <w:t>（11）在学习发展方面，具有自我管理和自主学习能力，能够通过不断学习，适应社会需要，实现个人可持续发展。</w:t>
      </w:r>
    </w:p>
    <w:p>
      <w:pPr>
        <w:pStyle w:val="5"/>
        <w:spacing w:before="93" w:after="93"/>
        <w:ind w:firstLine="560"/>
      </w:pPr>
      <w:r>
        <w:t>二、培养能力（专业基本情况、在校生规模、课程体系、创新创业教育等）</w:t>
      </w:r>
    </w:p>
    <w:p>
      <w:pPr>
        <w:pStyle w:val="6"/>
        <w:ind w:firstLine="480"/>
      </w:pPr>
      <w:r>
        <w:t>1. 专业基本情况与在校生规模</w:t>
      </w:r>
    </w:p>
    <w:p>
      <w:pPr>
        <w:ind w:firstLine="480" w:firstLineChars="200"/>
      </w:pPr>
      <w:r>
        <w:t>山东农业大学是我国最早开设种子专科人才培养的高校。1978年作为农业部种子人才三大培训基地之一，开始承担我国北方种子人才培养任务；1985年至2002年开设种子专科专业，2002年开设种子科学与工程本科专业（2003年开始生），1995年和2003年分别开始招收种子科学与技术硕士和博士研究生，在我国较早形成完整的种子人才培养体系；2020年开设种子科学与工程新农科实验班；2020年入选山东省一流专业建设点，2021年入选国家级一流专业建设点。</w:t>
      </w:r>
    </w:p>
    <w:p>
      <w:pPr>
        <w:ind w:firstLine="480" w:firstLineChars="200"/>
      </w:pPr>
      <w:r>
        <w:t>2018-2021级在校人数共计290人，其中，种子科学与工程专业（新农科实验班）两个年级共计158人，采用新的培养方案进行人才培养。</w:t>
      </w:r>
    </w:p>
    <w:p>
      <w:pPr>
        <w:pStyle w:val="6"/>
        <w:numPr>
          <w:ilvl w:val="0"/>
          <w:numId w:val="2"/>
        </w:numPr>
        <w:ind w:firstLine="480"/>
      </w:pPr>
      <w:r>
        <w:t>课程体系</w:t>
      </w:r>
    </w:p>
    <w:p>
      <w:pPr>
        <w:ind w:firstLine="480" w:firstLineChars="200"/>
      </w:pPr>
      <w:r>
        <w:t>在专业知识方面形成了以植物学、植物生理学、遗传学、种子生物学为基础，以植物育种学、种子生产学、种子加工与贮藏、种子检验学为核心的种子科学技术课程体系；以企业管理为基础，辅以种子法律法规、农业标准化和市场营销课程，形成种子经营管理的课程体系；以生物统计与试验设计、计算机理论与技术和农业学科前沿专题讲座为主，形成了提升学生专业水平、研究和适应能力的课程体系。</w:t>
      </w:r>
    </w:p>
    <w:p>
      <w:pPr>
        <w:ind w:firstLine="480" w:firstLineChars="200"/>
      </w:pPr>
      <w:r>
        <w:t>所有环节共计170学分。其中，必修课150学分、选修课20学分，主干课程包括：植物学、植物生理学、遗传学、生物化学、植物育种学、植物生产学、种子生物学、种子生产学、种子加工与贮藏、种子检验技学和种子经营管理学。实践教学52.8学分，占毕业总学分的31%，主要实践环节包括：社会实践与调查报告、专业认知与教育、专业认知实践、专业综合训练、植物育种学综合实践、植物生产学综合实践、创新创业实践、毕业（生产）实习及报告、毕业论文（设计）等。</w:t>
      </w:r>
    </w:p>
    <w:p>
      <w:pPr>
        <w:pStyle w:val="6"/>
        <w:numPr>
          <w:ilvl w:val="0"/>
          <w:numId w:val="3"/>
        </w:numPr>
        <w:ind w:firstLine="480"/>
      </w:pPr>
      <w:r>
        <w:t>创新创业教育</w:t>
      </w:r>
    </w:p>
    <w:p>
      <w:pPr>
        <w:ind w:firstLine="480" w:firstLineChars="200"/>
      </w:pPr>
      <w:r>
        <w:t>依托学院强大的科研实力，种子科学与工程专业学生在校期间得到很好的科研创新能力的培养，2022年新上大学生科研训练计划（SRT）项目29项，其中省级项目8项，国家级项目4项，经费5.5万元，参与学生99人次。学生获得校级以上学科竞赛奖励47项（60人次），其中国家级奖励7项，省级奖励13项。</w:t>
      </w:r>
    </w:p>
    <w:p>
      <w:pPr>
        <w:ind w:firstLine="480" w:firstLineChars="200"/>
      </w:pPr>
      <w:r>
        <w:t>一年来，学院举办12场创新创业活动，在学生中营造了较好的创新创业氛围，50%以上的同学现在或曾经参加体验过各类创业团队，组织学生参加各类双创比赛数十项，在各级创新创业大赛中获奖16项，其中国家级奖励2项，省级奖励5项（表1）。</w:t>
      </w:r>
    </w:p>
    <w:p/>
    <w:p>
      <w:pPr>
        <w:spacing w:line="240" w:lineRule="auto"/>
        <w:jc w:val="center"/>
        <w:rPr>
          <w:b/>
          <w:bCs/>
          <w:sz w:val="21"/>
          <w:szCs w:val="21"/>
        </w:rPr>
      </w:pPr>
      <w:r>
        <w:rPr>
          <w:b/>
          <w:bCs/>
          <w:sz w:val="21"/>
          <w:szCs w:val="21"/>
        </w:rPr>
        <w:t>表1 种子专业学生创新创业获奖情况</w:t>
      </w:r>
    </w:p>
    <w:tbl>
      <w:tblPr>
        <w:tblStyle w:val="17"/>
        <w:tblW w:w="5000" w:type="pct"/>
        <w:tblInd w:w="0" w:type="dxa"/>
        <w:tblLayout w:type="fixed"/>
        <w:tblCellMar>
          <w:top w:w="0" w:type="dxa"/>
          <w:left w:w="108" w:type="dxa"/>
          <w:bottom w:w="0" w:type="dxa"/>
          <w:right w:w="108" w:type="dxa"/>
        </w:tblCellMar>
      </w:tblPr>
      <w:tblGrid>
        <w:gridCol w:w="700"/>
        <w:gridCol w:w="2299"/>
        <w:gridCol w:w="2755"/>
        <w:gridCol w:w="3307"/>
      </w:tblGrid>
      <w:tr>
        <w:tblPrEx>
          <w:tblCellMar>
            <w:top w:w="0" w:type="dxa"/>
            <w:left w:w="108" w:type="dxa"/>
            <w:bottom w:w="0" w:type="dxa"/>
            <w:right w:w="108" w:type="dxa"/>
          </w:tblCellMar>
        </w:tblPrEx>
        <w:trPr>
          <w:trHeight w:val="468" w:hRule="atLeast"/>
          <w:tblHeader/>
        </w:trPr>
        <w:tc>
          <w:tcPr>
            <w:tcW w:w="38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b/>
                <w:bCs/>
                <w:kern w:val="0"/>
                <w:sz w:val="21"/>
                <w:szCs w:val="21"/>
              </w:rPr>
            </w:pPr>
            <w:r>
              <w:rPr>
                <w:b/>
                <w:bCs/>
                <w:kern w:val="0"/>
                <w:sz w:val="21"/>
                <w:szCs w:val="21"/>
              </w:rPr>
              <w:t>序号</w:t>
            </w:r>
          </w:p>
        </w:tc>
        <w:tc>
          <w:tcPr>
            <w:tcW w:w="1268"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jc w:val="center"/>
              <w:rPr>
                <w:b/>
                <w:bCs/>
                <w:kern w:val="0"/>
                <w:sz w:val="21"/>
                <w:szCs w:val="21"/>
              </w:rPr>
            </w:pPr>
            <w:r>
              <w:rPr>
                <w:b/>
                <w:bCs/>
                <w:kern w:val="0"/>
                <w:sz w:val="21"/>
                <w:szCs w:val="21"/>
              </w:rPr>
              <w:t>获奖团队名称</w:t>
            </w:r>
          </w:p>
        </w:tc>
        <w:tc>
          <w:tcPr>
            <w:tcW w:w="1519"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jc w:val="center"/>
              <w:rPr>
                <w:b/>
                <w:bCs/>
                <w:kern w:val="0"/>
                <w:sz w:val="21"/>
                <w:szCs w:val="21"/>
              </w:rPr>
            </w:pPr>
            <w:r>
              <w:rPr>
                <w:b/>
                <w:bCs/>
                <w:kern w:val="0"/>
                <w:sz w:val="21"/>
                <w:szCs w:val="21"/>
              </w:rPr>
              <w:t>团队成员</w:t>
            </w:r>
          </w:p>
        </w:tc>
        <w:tc>
          <w:tcPr>
            <w:tcW w:w="182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jc w:val="center"/>
              <w:rPr>
                <w:b/>
                <w:bCs/>
                <w:kern w:val="0"/>
                <w:sz w:val="21"/>
                <w:szCs w:val="21"/>
              </w:rPr>
            </w:pPr>
            <w:r>
              <w:rPr>
                <w:b/>
                <w:bCs/>
                <w:kern w:val="0"/>
                <w:sz w:val="21"/>
                <w:szCs w:val="21"/>
              </w:rPr>
              <w:t>获奖名称</w:t>
            </w:r>
          </w:p>
        </w:tc>
      </w:tr>
      <w:tr>
        <w:tblPrEx>
          <w:tblCellMar>
            <w:top w:w="0" w:type="dxa"/>
            <w:left w:w="108" w:type="dxa"/>
            <w:bottom w:w="0" w:type="dxa"/>
            <w:right w:w="108" w:type="dxa"/>
          </w:tblCellMar>
        </w:tblPrEx>
        <w:trPr>
          <w:trHeight w:val="564" w:hRule="atLeast"/>
        </w:trPr>
        <w:tc>
          <w:tcPr>
            <w:tcW w:w="3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kern w:val="0"/>
                <w:sz w:val="21"/>
                <w:szCs w:val="21"/>
              </w:rPr>
            </w:pPr>
            <w:r>
              <w:rPr>
                <w:kern w:val="0"/>
                <w:sz w:val="21"/>
                <w:szCs w:val="21"/>
              </w:rPr>
              <w:t>1</w:t>
            </w:r>
          </w:p>
        </w:tc>
        <w:tc>
          <w:tcPr>
            <w:tcW w:w="1268"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麦麦相传-抗赤霉病小麦助力乡村振兴</w:t>
            </w:r>
          </w:p>
        </w:tc>
        <w:tc>
          <w:tcPr>
            <w:tcW w:w="1519"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张保月，秦宇茜，孟洋</w:t>
            </w:r>
          </w:p>
        </w:tc>
        <w:tc>
          <w:tcPr>
            <w:tcW w:w="1824"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第八届</w:t>
            </w:r>
            <w:r>
              <w:rPr>
                <w:rFonts w:hint="eastAsia"/>
                <w:kern w:val="0"/>
                <w:sz w:val="21"/>
                <w:szCs w:val="21"/>
              </w:rPr>
              <w:t>“</w:t>
            </w:r>
            <w:r>
              <w:rPr>
                <w:kern w:val="0"/>
                <w:sz w:val="21"/>
                <w:szCs w:val="21"/>
              </w:rPr>
              <w:t>创青春</w:t>
            </w:r>
            <w:r>
              <w:rPr>
                <w:rFonts w:hint="eastAsia"/>
                <w:kern w:val="0"/>
                <w:sz w:val="21"/>
                <w:szCs w:val="21"/>
              </w:rPr>
              <w:t>”</w:t>
            </w:r>
            <w:r>
              <w:rPr>
                <w:kern w:val="0"/>
                <w:sz w:val="21"/>
                <w:szCs w:val="21"/>
              </w:rPr>
              <w:t>中国青年创新创业大赛国赛金奖</w:t>
            </w:r>
          </w:p>
        </w:tc>
      </w:tr>
      <w:tr>
        <w:tblPrEx>
          <w:tblCellMar>
            <w:top w:w="0" w:type="dxa"/>
            <w:left w:w="108" w:type="dxa"/>
            <w:bottom w:w="0" w:type="dxa"/>
            <w:right w:w="108" w:type="dxa"/>
          </w:tblCellMar>
        </w:tblPrEx>
        <w:trPr>
          <w:trHeight w:val="534" w:hRule="atLeast"/>
        </w:trPr>
        <w:tc>
          <w:tcPr>
            <w:tcW w:w="3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kern w:val="0"/>
                <w:sz w:val="21"/>
                <w:szCs w:val="21"/>
              </w:rPr>
            </w:pPr>
            <w:r>
              <w:rPr>
                <w:kern w:val="0"/>
                <w:sz w:val="21"/>
                <w:szCs w:val="21"/>
              </w:rPr>
              <w:t>2</w:t>
            </w:r>
          </w:p>
        </w:tc>
        <w:tc>
          <w:tcPr>
            <w:tcW w:w="1268"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脱水先锋——玉米籽粒脱水领航者</w:t>
            </w:r>
          </w:p>
        </w:tc>
        <w:tc>
          <w:tcPr>
            <w:tcW w:w="1519"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张颖，尹咏琪</w:t>
            </w:r>
          </w:p>
        </w:tc>
        <w:tc>
          <w:tcPr>
            <w:tcW w:w="1824"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全国大学生生命科技科学竞赛国赛铜奖</w:t>
            </w:r>
          </w:p>
        </w:tc>
      </w:tr>
      <w:tr>
        <w:tblPrEx>
          <w:tblCellMar>
            <w:top w:w="0" w:type="dxa"/>
            <w:left w:w="108" w:type="dxa"/>
            <w:bottom w:w="0" w:type="dxa"/>
            <w:right w:w="108" w:type="dxa"/>
          </w:tblCellMar>
        </w:tblPrEx>
        <w:trPr>
          <w:trHeight w:val="403" w:hRule="atLeast"/>
        </w:trPr>
        <w:tc>
          <w:tcPr>
            <w:tcW w:w="3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kern w:val="0"/>
                <w:sz w:val="21"/>
                <w:szCs w:val="21"/>
              </w:rPr>
            </w:pPr>
            <w:r>
              <w:rPr>
                <w:kern w:val="0"/>
                <w:sz w:val="21"/>
                <w:szCs w:val="21"/>
              </w:rPr>
              <w:t>3</w:t>
            </w:r>
          </w:p>
        </w:tc>
        <w:tc>
          <w:tcPr>
            <w:tcW w:w="1268"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麦麦相承-小麦健康的守护神</w:t>
            </w:r>
          </w:p>
        </w:tc>
        <w:tc>
          <w:tcPr>
            <w:tcW w:w="1519"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任桂宽，刘凤欣，李彦，王淑婷，申峻泊</w:t>
            </w:r>
          </w:p>
        </w:tc>
        <w:tc>
          <w:tcPr>
            <w:tcW w:w="1824"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第十三届</w:t>
            </w:r>
            <w:r>
              <w:rPr>
                <w:rFonts w:hint="eastAsia"/>
                <w:kern w:val="0"/>
                <w:sz w:val="21"/>
                <w:szCs w:val="21"/>
              </w:rPr>
              <w:t>“</w:t>
            </w:r>
            <w:r>
              <w:rPr>
                <w:kern w:val="0"/>
                <w:sz w:val="21"/>
                <w:szCs w:val="21"/>
              </w:rPr>
              <w:t>挑战杯</w:t>
            </w:r>
            <w:r>
              <w:rPr>
                <w:rFonts w:hint="eastAsia"/>
                <w:kern w:val="0"/>
                <w:sz w:val="21"/>
                <w:szCs w:val="21"/>
              </w:rPr>
              <w:t>”</w:t>
            </w:r>
            <w:r>
              <w:rPr>
                <w:kern w:val="0"/>
                <w:sz w:val="21"/>
                <w:szCs w:val="21"/>
              </w:rPr>
              <w:t>·建设银行山东省大学生创业计划竞赛铜奖</w:t>
            </w:r>
          </w:p>
        </w:tc>
      </w:tr>
      <w:tr>
        <w:tblPrEx>
          <w:tblCellMar>
            <w:top w:w="0" w:type="dxa"/>
            <w:left w:w="108" w:type="dxa"/>
            <w:bottom w:w="0" w:type="dxa"/>
            <w:right w:w="108" w:type="dxa"/>
          </w:tblCellMar>
        </w:tblPrEx>
        <w:trPr>
          <w:trHeight w:val="403" w:hRule="atLeast"/>
        </w:trPr>
        <w:tc>
          <w:tcPr>
            <w:tcW w:w="3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kern w:val="0"/>
                <w:sz w:val="21"/>
                <w:szCs w:val="21"/>
              </w:rPr>
            </w:pPr>
            <w:r>
              <w:rPr>
                <w:kern w:val="0"/>
                <w:sz w:val="21"/>
                <w:szCs w:val="21"/>
              </w:rPr>
              <w:t>4</w:t>
            </w:r>
          </w:p>
        </w:tc>
        <w:tc>
          <w:tcPr>
            <w:tcW w:w="1268"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脱水先锋——玉米籽粒脱水领航者</w:t>
            </w:r>
          </w:p>
        </w:tc>
        <w:tc>
          <w:tcPr>
            <w:tcW w:w="1519"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尹咏琪，刘明德，辛晓珂，张颖，李芳汀</w:t>
            </w:r>
          </w:p>
        </w:tc>
        <w:tc>
          <w:tcPr>
            <w:tcW w:w="1824"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rFonts w:hint="eastAsia"/>
                <w:kern w:val="0"/>
                <w:sz w:val="21"/>
                <w:szCs w:val="21"/>
              </w:rPr>
              <w:t>“</w:t>
            </w:r>
            <w:r>
              <w:rPr>
                <w:kern w:val="0"/>
                <w:sz w:val="21"/>
                <w:szCs w:val="21"/>
              </w:rPr>
              <w:t>建行杯</w:t>
            </w:r>
            <w:r>
              <w:rPr>
                <w:rFonts w:hint="eastAsia"/>
                <w:kern w:val="0"/>
                <w:sz w:val="21"/>
                <w:szCs w:val="21"/>
              </w:rPr>
              <w:t>”</w:t>
            </w:r>
            <w:r>
              <w:rPr>
                <w:kern w:val="0"/>
                <w:sz w:val="21"/>
                <w:szCs w:val="21"/>
              </w:rPr>
              <w:t>第七届山东省</w:t>
            </w:r>
            <w:r>
              <w:rPr>
                <w:rFonts w:hint="eastAsia"/>
                <w:kern w:val="0"/>
                <w:sz w:val="21"/>
                <w:szCs w:val="21"/>
              </w:rPr>
              <w:t>“</w:t>
            </w:r>
            <w:r>
              <w:rPr>
                <w:kern w:val="0"/>
                <w:sz w:val="21"/>
                <w:szCs w:val="21"/>
              </w:rPr>
              <w:t>互联网+</w:t>
            </w:r>
            <w:r>
              <w:rPr>
                <w:rFonts w:hint="eastAsia"/>
                <w:kern w:val="0"/>
                <w:sz w:val="21"/>
                <w:szCs w:val="21"/>
              </w:rPr>
              <w:t>”</w:t>
            </w:r>
            <w:r>
              <w:rPr>
                <w:kern w:val="0"/>
                <w:sz w:val="21"/>
                <w:szCs w:val="21"/>
              </w:rPr>
              <w:t>大学生创新创业大赛省级铜奖</w:t>
            </w:r>
          </w:p>
        </w:tc>
      </w:tr>
      <w:tr>
        <w:tblPrEx>
          <w:tblCellMar>
            <w:top w:w="0" w:type="dxa"/>
            <w:left w:w="108" w:type="dxa"/>
            <w:bottom w:w="0" w:type="dxa"/>
            <w:right w:w="108" w:type="dxa"/>
          </w:tblCellMar>
        </w:tblPrEx>
        <w:trPr>
          <w:trHeight w:val="504" w:hRule="atLeast"/>
        </w:trPr>
        <w:tc>
          <w:tcPr>
            <w:tcW w:w="3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kern w:val="0"/>
                <w:sz w:val="21"/>
                <w:szCs w:val="21"/>
              </w:rPr>
            </w:pPr>
            <w:r>
              <w:rPr>
                <w:kern w:val="0"/>
                <w:sz w:val="21"/>
                <w:szCs w:val="21"/>
              </w:rPr>
              <w:t>5</w:t>
            </w:r>
          </w:p>
        </w:tc>
        <w:tc>
          <w:tcPr>
            <w:tcW w:w="1268"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脱水先锋——玉米籽粒脱水领航者</w:t>
            </w:r>
          </w:p>
        </w:tc>
        <w:tc>
          <w:tcPr>
            <w:tcW w:w="1519"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尹咏琪，张颖，徐子崳，窦吉浩，刘明德</w:t>
            </w:r>
          </w:p>
        </w:tc>
        <w:tc>
          <w:tcPr>
            <w:tcW w:w="1824"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第十三届山东省大学生科技节省赛三等奖</w:t>
            </w:r>
          </w:p>
        </w:tc>
      </w:tr>
      <w:tr>
        <w:tblPrEx>
          <w:tblCellMar>
            <w:top w:w="0" w:type="dxa"/>
            <w:left w:w="108" w:type="dxa"/>
            <w:bottom w:w="0" w:type="dxa"/>
            <w:right w:w="108" w:type="dxa"/>
          </w:tblCellMar>
        </w:tblPrEx>
        <w:trPr>
          <w:trHeight w:val="816" w:hRule="atLeast"/>
        </w:trPr>
        <w:tc>
          <w:tcPr>
            <w:tcW w:w="3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kern w:val="0"/>
                <w:sz w:val="21"/>
                <w:szCs w:val="21"/>
              </w:rPr>
            </w:pPr>
            <w:r>
              <w:rPr>
                <w:kern w:val="0"/>
                <w:sz w:val="21"/>
                <w:szCs w:val="21"/>
              </w:rPr>
              <w:t>6</w:t>
            </w:r>
          </w:p>
        </w:tc>
        <w:tc>
          <w:tcPr>
            <w:tcW w:w="1268"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抗赤霉病小麦助力乡村振兴</w:t>
            </w:r>
          </w:p>
        </w:tc>
        <w:tc>
          <w:tcPr>
            <w:tcW w:w="1519"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张保月，孟洋，秦宇茜，李佳，赵新展，葛文扬，吕忠璠</w:t>
            </w:r>
          </w:p>
        </w:tc>
        <w:tc>
          <w:tcPr>
            <w:tcW w:w="1824"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rFonts w:hint="eastAsia"/>
                <w:kern w:val="0"/>
                <w:sz w:val="21"/>
                <w:szCs w:val="21"/>
              </w:rPr>
              <w:t>“</w:t>
            </w:r>
            <w:r>
              <w:rPr>
                <w:kern w:val="0"/>
                <w:sz w:val="21"/>
                <w:szCs w:val="21"/>
              </w:rPr>
              <w:t>山东农担杯</w:t>
            </w:r>
            <w:r>
              <w:rPr>
                <w:rFonts w:hint="eastAsia"/>
                <w:kern w:val="0"/>
                <w:sz w:val="21"/>
                <w:szCs w:val="21"/>
              </w:rPr>
              <w:t>”</w:t>
            </w:r>
            <w:r>
              <w:rPr>
                <w:kern w:val="0"/>
                <w:sz w:val="21"/>
                <w:szCs w:val="21"/>
              </w:rPr>
              <w:t>齐鲁青年乡村振兴创新创业大赛</w:t>
            </w:r>
          </w:p>
        </w:tc>
      </w:tr>
      <w:tr>
        <w:tblPrEx>
          <w:tblCellMar>
            <w:top w:w="0" w:type="dxa"/>
            <w:left w:w="108" w:type="dxa"/>
            <w:bottom w:w="0" w:type="dxa"/>
            <w:right w:w="108" w:type="dxa"/>
          </w:tblCellMar>
        </w:tblPrEx>
        <w:trPr>
          <w:trHeight w:val="861" w:hRule="atLeast"/>
        </w:trPr>
        <w:tc>
          <w:tcPr>
            <w:tcW w:w="3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kern w:val="0"/>
                <w:sz w:val="21"/>
                <w:szCs w:val="21"/>
              </w:rPr>
            </w:pPr>
            <w:r>
              <w:rPr>
                <w:kern w:val="0"/>
                <w:sz w:val="21"/>
                <w:szCs w:val="21"/>
              </w:rPr>
              <w:t>7</w:t>
            </w:r>
          </w:p>
        </w:tc>
        <w:tc>
          <w:tcPr>
            <w:tcW w:w="1268"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一种致力于玉米籽粒减水高效的内吸式脱水剂</w:t>
            </w:r>
          </w:p>
        </w:tc>
        <w:tc>
          <w:tcPr>
            <w:tcW w:w="1519"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尹咏琪，孟爱菊，李芳汀，王磊，尚立琪</w:t>
            </w:r>
          </w:p>
        </w:tc>
        <w:tc>
          <w:tcPr>
            <w:tcW w:w="1824"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第十三届山东省大学生科技节-第二届山东省大学生创新方法大赛</w:t>
            </w:r>
          </w:p>
        </w:tc>
      </w:tr>
      <w:tr>
        <w:tblPrEx>
          <w:tblCellMar>
            <w:top w:w="0" w:type="dxa"/>
            <w:left w:w="108" w:type="dxa"/>
            <w:bottom w:w="0" w:type="dxa"/>
            <w:right w:w="108" w:type="dxa"/>
          </w:tblCellMar>
        </w:tblPrEx>
        <w:trPr>
          <w:trHeight w:val="403" w:hRule="atLeast"/>
        </w:trPr>
        <w:tc>
          <w:tcPr>
            <w:tcW w:w="3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kern w:val="0"/>
                <w:sz w:val="21"/>
                <w:szCs w:val="21"/>
              </w:rPr>
            </w:pPr>
            <w:r>
              <w:rPr>
                <w:kern w:val="0"/>
                <w:sz w:val="21"/>
                <w:szCs w:val="21"/>
              </w:rPr>
              <w:t>8</w:t>
            </w:r>
          </w:p>
        </w:tc>
        <w:tc>
          <w:tcPr>
            <w:tcW w:w="1268"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丰穗佳康——Fhb7小麦赤霉病抗性品种助力乡村振兴</w:t>
            </w:r>
          </w:p>
        </w:tc>
        <w:tc>
          <w:tcPr>
            <w:tcW w:w="1519"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张保月，秦宇茜，孟洋，于天琦</w:t>
            </w:r>
          </w:p>
        </w:tc>
        <w:tc>
          <w:tcPr>
            <w:tcW w:w="1824"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第七届山东农业大学新业态</w:t>
            </w:r>
            <w:r>
              <w:rPr>
                <w:rFonts w:hint="eastAsia"/>
                <w:kern w:val="0"/>
                <w:sz w:val="21"/>
                <w:szCs w:val="21"/>
              </w:rPr>
              <w:t>“</w:t>
            </w:r>
            <w:r>
              <w:rPr>
                <w:kern w:val="0"/>
                <w:sz w:val="21"/>
                <w:szCs w:val="21"/>
              </w:rPr>
              <w:t>互联网+</w:t>
            </w:r>
            <w:r>
              <w:rPr>
                <w:rFonts w:hint="eastAsia"/>
                <w:kern w:val="0"/>
                <w:sz w:val="21"/>
                <w:szCs w:val="21"/>
              </w:rPr>
              <w:t>”</w:t>
            </w:r>
            <w:r>
              <w:rPr>
                <w:kern w:val="0"/>
                <w:sz w:val="21"/>
                <w:szCs w:val="21"/>
              </w:rPr>
              <w:t>大学生创新创业大赛校级一等奖</w:t>
            </w:r>
          </w:p>
        </w:tc>
      </w:tr>
      <w:tr>
        <w:tblPrEx>
          <w:tblCellMar>
            <w:top w:w="0" w:type="dxa"/>
            <w:left w:w="108" w:type="dxa"/>
            <w:bottom w:w="0" w:type="dxa"/>
            <w:right w:w="108" w:type="dxa"/>
          </w:tblCellMar>
        </w:tblPrEx>
        <w:trPr>
          <w:trHeight w:val="403" w:hRule="atLeast"/>
        </w:trPr>
        <w:tc>
          <w:tcPr>
            <w:tcW w:w="3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kern w:val="0"/>
                <w:sz w:val="21"/>
                <w:szCs w:val="21"/>
              </w:rPr>
            </w:pPr>
            <w:r>
              <w:rPr>
                <w:kern w:val="0"/>
                <w:sz w:val="21"/>
                <w:szCs w:val="21"/>
              </w:rPr>
              <w:t>9</w:t>
            </w:r>
          </w:p>
        </w:tc>
        <w:tc>
          <w:tcPr>
            <w:tcW w:w="1268"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挽香阁——中草药香水调制者</w:t>
            </w:r>
          </w:p>
        </w:tc>
        <w:tc>
          <w:tcPr>
            <w:tcW w:w="1519"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尹咏琪，杨光，李健豪</w:t>
            </w:r>
          </w:p>
        </w:tc>
        <w:tc>
          <w:tcPr>
            <w:tcW w:w="1824"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第七届山东农业大学新业态</w:t>
            </w:r>
            <w:r>
              <w:rPr>
                <w:rFonts w:hint="eastAsia"/>
                <w:kern w:val="0"/>
                <w:sz w:val="21"/>
                <w:szCs w:val="21"/>
              </w:rPr>
              <w:t>“</w:t>
            </w:r>
            <w:r>
              <w:rPr>
                <w:kern w:val="0"/>
                <w:sz w:val="21"/>
                <w:szCs w:val="21"/>
              </w:rPr>
              <w:t>互联网+</w:t>
            </w:r>
            <w:r>
              <w:rPr>
                <w:rFonts w:hint="eastAsia"/>
                <w:kern w:val="0"/>
                <w:sz w:val="21"/>
                <w:szCs w:val="21"/>
              </w:rPr>
              <w:t>”</w:t>
            </w:r>
            <w:r>
              <w:rPr>
                <w:kern w:val="0"/>
                <w:sz w:val="21"/>
                <w:szCs w:val="21"/>
              </w:rPr>
              <w:t>大学生创新创业大赛校级三等奖</w:t>
            </w:r>
          </w:p>
        </w:tc>
      </w:tr>
      <w:tr>
        <w:tblPrEx>
          <w:tblCellMar>
            <w:top w:w="0" w:type="dxa"/>
            <w:left w:w="108" w:type="dxa"/>
            <w:bottom w:w="0" w:type="dxa"/>
            <w:right w:w="108" w:type="dxa"/>
          </w:tblCellMar>
        </w:tblPrEx>
        <w:trPr>
          <w:trHeight w:val="403" w:hRule="atLeast"/>
        </w:trPr>
        <w:tc>
          <w:tcPr>
            <w:tcW w:w="3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kern w:val="0"/>
                <w:sz w:val="21"/>
                <w:szCs w:val="21"/>
              </w:rPr>
            </w:pPr>
            <w:r>
              <w:rPr>
                <w:kern w:val="0"/>
                <w:sz w:val="21"/>
                <w:szCs w:val="21"/>
              </w:rPr>
              <w:t>10</w:t>
            </w:r>
          </w:p>
        </w:tc>
        <w:tc>
          <w:tcPr>
            <w:tcW w:w="1268"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年丰时稔——玉米种业发展的金钥匙</w:t>
            </w:r>
          </w:p>
        </w:tc>
        <w:tc>
          <w:tcPr>
            <w:tcW w:w="1519"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尹咏琪，刘明德，辛晓珂，张颖，李芳汀</w:t>
            </w:r>
          </w:p>
        </w:tc>
        <w:tc>
          <w:tcPr>
            <w:tcW w:w="1824"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第七届山东农业大学新业态</w:t>
            </w:r>
            <w:r>
              <w:rPr>
                <w:rFonts w:hint="eastAsia"/>
                <w:kern w:val="0"/>
                <w:sz w:val="21"/>
                <w:szCs w:val="21"/>
              </w:rPr>
              <w:t>“</w:t>
            </w:r>
            <w:r>
              <w:rPr>
                <w:kern w:val="0"/>
                <w:sz w:val="21"/>
                <w:szCs w:val="21"/>
              </w:rPr>
              <w:t>互联网+</w:t>
            </w:r>
            <w:r>
              <w:rPr>
                <w:rFonts w:hint="eastAsia"/>
                <w:kern w:val="0"/>
                <w:sz w:val="21"/>
                <w:szCs w:val="21"/>
              </w:rPr>
              <w:t>”</w:t>
            </w:r>
            <w:r>
              <w:rPr>
                <w:kern w:val="0"/>
                <w:sz w:val="21"/>
                <w:szCs w:val="21"/>
              </w:rPr>
              <w:t>大学生创新创业大赛校级三等奖</w:t>
            </w:r>
          </w:p>
        </w:tc>
      </w:tr>
      <w:tr>
        <w:tblPrEx>
          <w:tblCellMar>
            <w:top w:w="0" w:type="dxa"/>
            <w:left w:w="108" w:type="dxa"/>
            <w:bottom w:w="0" w:type="dxa"/>
            <w:right w:w="108" w:type="dxa"/>
          </w:tblCellMar>
        </w:tblPrEx>
        <w:trPr>
          <w:trHeight w:val="403" w:hRule="atLeast"/>
        </w:trPr>
        <w:tc>
          <w:tcPr>
            <w:tcW w:w="3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kern w:val="0"/>
                <w:sz w:val="21"/>
                <w:szCs w:val="21"/>
              </w:rPr>
            </w:pPr>
            <w:r>
              <w:rPr>
                <w:kern w:val="0"/>
                <w:sz w:val="21"/>
                <w:szCs w:val="21"/>
              </w:rPr>
              <w:t>11</w:t>
            </w:r>
          </w:p>
        </w:tc>
        <w:tc>
          <w:tcPr>
            <w:tcW w:w="1268"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脱水先锋——玉米籽粒脱水领航者</w:t>
            </w:r>
          </w:p>
        </w:tc>
        <w:tc>
          <w:tcPr>
            <w:tcW w:w="1519"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张颖、尹咏琪、卢晨曦、窦吉浩</w:t>
            </w:r>
          </w:p>
        </w:tc>
        <w:tc>
          <w:tcPr>
            <w:tcW w:w="1824"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第八届山东农业大学</w:t>
            </w:r>
            <w:r>
              <w:rPr>
                <w:rFonts w:hint="eastAsia"/>
                <w:kern w:val="0"/>
                <w:sz w:val="21"/>
                <w:szCs w:val="21"/>
              </w:rPr>
              <w:t>“</w:t>
            </w:r>
            <w:r>
              <w:rPr>
                <w:kern w:val="0"/>
                <w:sz w:val="21"/>
                <w:szCs w:val="21"/>
              </w:rPr>
              <w:t>互联网+</w:t>
            </w:r>
            <w:r>
              <w:rPr>
                <w:rFonts w:hint="eastAsia"/>
                <w:kern w:val="0"/>
                <w:sz w:val="21"/>
                <w:szCs w:val="21"/>
              </w:rPr>
              <w:t>”</w:t>
            </w:r>
            <w:r>
              <w:rPr>
                <w:kern w:val="0"/>
                <w:sz w:val="21"/>
                <w:szCs w:val="21"/>
              </w:rPr>
              <w:t>大学生创新创业大赛</w:t>
            </w:r>
          </w:p>
        </w:tc>
      </w:tr>
      <w:tr>
        <w:tblPrEx>
          <w:tblCellMar>
            <w:top w:w="0" w:type="dxa"/>
            <w:left w:w="108" w:type="dxa"/>
            <w:bottom w:w="0" w:type="dxa"/>
            <w:right w:w="108" w:type="dxa"/>
          </w:tblCellMar>
        </w:tblPrEx>
        <w:trPr>
          <w:trHeight w:val="403" w:hRule="atLeast"/>
        </w:trPr>
        <w:tc>
          <w:tcPr>
            <w:tcW w:w="3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kern w:val="0"/>
                <w:sz w:val="21"/>
                <w:szCs w:val="21"/>
              </w:rPr>
            </w:pPr>
            <w:r>
              <w:rPr>
                <w:kern w:val="0"/>
                <w:sz w:val="21"/>
                <w:szCs w:val="21"/>
              </w:rPr>
              <w:t>12</w:t>
            </w:r>
          </w:p>
        </w:tc>
        <w:tc>
          <w:tcPr>
            <w:tcW w:w="1268"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守护健康耕层——端稳中国粮食饭碗</w:t>
            </w:r>
          </w:p>
        </w:tc>
        <w:tc>
          <w:tcPr>
            <w:tcW w:w="1519"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付海林，唐嘉琪，杨佳欣，周世龙，安闯</w:t>
            </w:r>
          </w:p>
        </w:tc>
        <w:tc>
          <w:tcPr>
            <w:tcW w:w="1824"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第八届山东农业大学</w:t>
            </w:r>
            <w:r>
              <w:rPr>
                <w:rFonts w:hint="eastAsia"/>
                <w:kern w:val="0"/>
                <w:sz w:val="21"/>
                <w:szCs w:val="21"/>
              </w:rPr>
              <w:t>“</w:t>
            </w:r>
            <w:r>
              <w:rPr>
                <w:kern w:val="0"/>
                <w:sz w:val="21"/>
                <w:szCs w:val="21"/>
              </w:rPr>
              <w:t>新生力</w:t>
            </w:r>
            <w:r>
              <w:rPr>
                <w:rFonts w:hint="eastAsia"/>
                <w:kern w:val="0"/>
                <w:sz w:val="21"/>
                <w:szCs w:val="21"/>
              </w:rPr>
              <w:t>”</w:t>
            </w:r>
            <w:r>
              <w:rPr>
                <w:kern w:val="0"/>
                <w:sz w:val="21"/>
                <w:szCs w:val="21"/>
              </w:rPr>
              <w:t>大学生科技创新大赛校赛三等奖</w:t>
            </w:r>
          </w:p>
        </w:tc>
      </w:tr>
      <w:tr>
        <w:tblPrEx>
          <w:tblCellMar>
            <w:top w:w="0" w:type="dxa"/>
            <w:left w:w="108" w:type="dxa"/>
            <w:bottom w:w="0" w:type="dxa"/>
            <w:right w:w="108" w:type="dxa"/>
          </w:tblCellMar>
        </w:tblPrEx>
        <w:trPr>
          <w:trHeight w:val="403" w:hRule="atLeast"/>
        </w:trPr>
        <w:tc>
          <w:tcPr>
            <w:tcW w:w="3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kern w:val="0"/>
                <w:sz w:val="21"/>
                <w:szCs w:val="21"/>
              </w:rPr>
            </w:pPr>
            <w:r>
              <w:rPr>
                <w:kern w:val="0"/>
                <w:sz w:val="21"/>
                <w:szCs w:val="21"/>
              </w:rPr>
              <w:t>13</w:t>
            </w:r>
          </w:p>
        </w:tc>
        <w:tc>
          <w:tcPr>
            <w:tcW w:w="1268"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基于小麦穗叶部的快速高效赤霉病抗性鉴定技术</w:t>
            </w:r>
          </w:p>
        </w:tc>
        <w:tc>
          <w:tcPr>
            <w:tcW w:w="1519"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孟洋，刘凤欣，秦宇茜</w:t>
            </w:r>
          </w:p>
        </w:tc>
        <w:tc>
          <w:tcPr>
            <w:tcW w:w="1824"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第八届山东农业大学</w:t>
            </w:r>
            <w:r>
              <w:rPr>
                <w:rFonts w:hint="eastAsia"/>
                <w:kern w:val="0"/>
                <w:sz w:val="21"/>
                <w:szCs w:val="21"/>
              </w:rPr>
              <w:t>“</w:t>
            </w:r>
            <w:r>
              <w:rPr>
                <w:kern w:val="0"/>
                <w:sz w:val="21"/>
                <w:szCs w:val="21"/>
              </w:rPr>
              <w:t>新生力</w:t>
            </w:r>
            <w:r>
              <w:rPr>
                <w:rFonts w:hint="eastAsia"/>
                <w:kern w:val="0"/>
                <w:sz w:val="21"/>
                <w:szCs w:val="21"/>
              </w:rPr>
              <w:t>”</w:t>
            </w:r>
            <w:r>
              <w:rPr>
                <w:kern w:val="0"/>
                <w:sz w:val="21"/>
                <w:szCs w:val="21"/>
              </w:rPr>
              <w:t>大学生科技创新大赛省赛二等奖</w:t>
            </w:r>
          </w:p>
        </w:tc>
      </w:tr>
      <w:tr>
        <w:tblPrEx>
          <w:tblCellMar>
            <w:top w:w="0" w:type="dxa"/>
            <w:left w:w="108" w:type="dxa"/>
            <w:bottom w:w="0" w:type="dxa"/>
            <w:right w:w="108" w:type="dxa"/>
          </w:tblCellMar>
        </w:tblPrEx>
        <w:trPr>
          <w:trHeight w:val="403" w:hRule="atLeast"/>
        </w:trPr>
        <w:tc>
          <w:tcPr>
            <w:tcW w:w="3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kern w:val="0"/>
                <w:sz w:val="21"/>
                <w:szCs w:val="21"/>
              </w:rPr>
            </w:pPr>
            <w:r>
              <w:rPr>
                <w:kern w:val="0"/>
                <w:sz w:val="21"/>
                <w:szCs w:val="21"/>
              </w:rPr>
              <w:t>14</w:t>
            </w:r>
          </w:p>
        </w:tc>
        <w:tc>
          <w:tcPr>
            <w:tcW w:w="1268"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基于螺旋机制的土壤耕作层电动取样装置</w:t>
            </w:r>
          </w:p>
        </w:tc>
        <w:tc>
          <w:tcPr>
            <w:tcW w:w="1519"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汪顺源，柳俊臣，赵童鑫，王凯</w:t>
            </w:r>
          </w:p>
        </w:tc>
        <w:tc>
          <w:tcPr>
            <w:tcW w:w="1824"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第八届山东农业大学</w:t>
            </w:r>
            <w:r>
              <w:rPr>
                <w:rFonts w:hint="eastAsia"/>
                <w:kern w:val="0"/>
                <w:sz w:val="21"/>
                <w:szCs w:val="21"/>
              </w:rPr>
              <w:t>“</w:t>
            </w:r>
            <w:r>
              <w:rPr>
                <w:kern w:val="0"/>
                <w:sz w:val="21"/>
                <w:szCs w:val="21"/>
              </w:rPr>
              <w:t>新生力</w:t>
            </w:r>
            <w:r>
              <w:rPr>
                <w:rFonts w:hint="eastAsia"/>
                <w:kern w:val="0"/>
                <w:sz w:val="21"/>
                <w:szCs w:val="21"/>
              </w:rPr>
              <w:t>”</w:t>
            </w:r>
            <w:r>
              <w:rPr>
                <w:kern w:val="0"/>
                <w:sz w:val="21"/>
                <w:szCs w:val="21"/>
              </w:rPr>
              <w:t>大学生科技创新大赛省赛三等奖</w:t>
            </w:r>
          </w:p>
        </w:tc>
      </w:tr>
      <w:tr>
        <w:tblPrEx>
          <w:tblCellMar>
            <w:top w:w="0" w:type="dxa"/>
            <w:left w:w="108" w:type="dxa"/>
            <w:bottom w:w="0" w:type="dxa"/>
            <w:right w:w="108" w:type="dxa"/>
          </w:tblCellMar>
        </w:tblPrEx>
        <w:trPr>
          <w:trHeight w:val="403" w:hRule="atLeast"/>
        </w:trPr>
        <w:tc>
          <w:tcPr>
            <w:tcW w:w="3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kern w:val="0"/>
                <w:sz w:val="21"/>
                <w:szCs w:val="21"/>
              </w:rPr>
            </w:pPr>
            <w:r>
              <w:rPr>
                <w:kern w:val="0"/>
                <w:sz w:val="21"/>
                <w:szCs w:val="21"/>
              </w:rPr>
              <w:t>15</w:t>
            </w:r>
          </w:p>
        </w:tc>
        <w:tc>
          <w:tcPr>
            <w:tcW w:w="1268"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一种致力于玉米籽粒减水高效的内吸式脱水剂</w:t>
            </w:r>
          </w:p>
        </w:tc>
        <w:tc>
          <w:tcPr>
            <w:tcW w:w="1519"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尹咏琪，张颖，李芳汀，窦吉浩，李健豪</w:t>
            </w:r>
          </w:p>
        </w:tc>
        <w:tc>
          <w:tcPr>
            <w:tcW w:w="1824" w:type="pct"/>
            <w:tcBorders>
              <w:top w:val="nil"/>
              <w:left w:val="nil"/>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山东农业大学农学院</w:t>
            </w:r>
            <w:r>
              <w:rPr>
                <w:rFonts w:hint="eastAsia"/>
                <w:kern w:val="0"/>
                <w:sz w:val="21"/>
                <w:szCs w:val="21"/>
              </w:rPr>
              <w:t>“</w:t>
            </w:r>
            <w:r>
              <w:rPr>
                <w:kern w:val="0"/>
                <w:sz w:val="21"/>
                <w:szCs w:val="21"/>
              </w:rPr>
              <w:t>新生力</w:t>
            </w:r>
            <w:r>
              <w:rPr>
                <w:rFonts w:hint="eastAsia"/>
                <w:kern w:val="0"/>
                <w:sz w:val="21"/>
                <w:szCs w:val="21"/>
              </w:rPr>
              <w:t>”</w:t>
            </w:r>
            <w:r>
              <w:rPr>
                <w:kern w:val="0"/>
                <w:sz w:val="21"/>
                <w:szCs w:val="21"/>
              </w:rPr>
              <w:t>大学生科技创新大赛院赛一等奖</w:t>
            </w:r>
          </w:p>
        </w:tc>
      </w:tr>
      <w:tr>
        <w:tblPrEx>
          <w:tblCellMar>
            <w:top w:w="0" w:type="dxa"/>
            <w:left w:w="108" w:type="dxa"/>
            <w:bottom w:w="0" w:type="dxa"/>
            <w:right w:w="108" w:type="dxa"/>
          </w:tblCellMar>
        </w:tblPrEx>
        <w:trPr>
          <w:trHeight w:val="403" w:hRule="atLeast"/>
        </w:trPr>
        <w:tc>
          <w:tcPr>
            <w:tcW w:w="38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kern w:val="0"/>
                <w:sz w:val="21"/>
                <w:szCs w:val="21"/>
              </w:rPr>
            </w:pPr>
            <w:r>
              <w:rPr>
                <w:kern w:val="0"/>
                <w:sz w:val="21"/>
                <w:szCs w:val="21"/>
              </w:rPr>
              <w:t>16</w:t>
            </w:r>
          </w:p>
        </w:tc>
        <w:tc>
          <w:tcPr>
            <w:tcW w:w="126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山东省大型农场实施玉米大豆间作的本地化设计</w:t>
            </w:r>
          </w:p>
        </w:tc>
        <w:tc>
          <w:tcPr>
            <w:tcW w:w="1519"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秦宇茜，董颖超，马鸣钰，王晨，刘春景</w:t>
            </w:r>
          </w:p>
        </w:tc>
        <w:tc>
          <w:tcPr>
            <w:tcW w:w="182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rPr>
                <w:kern w:val="0"/>
                <w:sz w:val="21"/>
                <w:szCs w:val="21"/>
              </w:rPr>
            </w:pPr>
            <w:r>
              <w:rPr>
                <w:kern w:val="0"/>
                <w:sz w:val="21"/>
                <w:szCs w:val="21"/>
              </w:rPr>
              <w:t>山东农业大学农学院</w:t>
            </w:r>
            <w:r>
              <w:rPr>
                <w:rFonts w:hint="eastAsia"/>
                <w:kern w:val="0"/>
                <w:sz w:val="21"/>
                <w:szCs w:val="21"/>
              </w:rPr>
              <w:t>“</w:t>
            </w:r>
            <w:r>
              <w:rPr>
                <w:kern w:val="0"/>
                <w:sz w:val="21"/>
                <w:szCs w:val="21"/>
              </w:rPr>
              <w:t>新生力</w:t>
            </w:r>
            <w:r>
              <w:rPr>
                <w:rFonts w:hint="eastAsia"/>
                <w:kern w:val="0"/>
                <w:sz w:val="21"/>
                <w:szCs w:val="21"/>
              </w:rPr>
              <w:t>”</w:t>
            </w:r>
            <w:r>
              <w:rPr>
                <w:kern w:val="0"/>
                <w:sz w:val="21"/>
                <w:szCs w:val="21"/>
              </w:rPr>
              <w:t>大学生科技创新大赛院赛三等奖</w:t>
            </w:r>
          </w:p>
        </w:tc>
      </w:tr>
    </w:tbl>
    <w:p>
      <w:pPr>
        <w:rPr>
          <w:b/>
          <w:bCs/>
          <w:sz w:val="21"/>
          <w:szCs w:val="21"/>
        </w:rPr>
      </w:pPr>
    </w:p>
    <w:p>
      <w:pPr>
        <w:pStyle w:val="5"/>
        <w:spacing w:before="93" w:after="93"/>
        <w:ind w:firstLine="560"/>
      </w:pPr>
      <w:r>
        <w:t>三、培养条件（教学经费投入、教学设备、教师队伍建设、实习基地、现代教学技术应用等）</w:t>
      </w:r>
    </w:p>
    <w:p>
      <w:pPr>
        <w:pStyle w:val="6"/>
        <w:ind w:firstLine="480"/>
      </w:pPr>
      <w:r>
        <w:t>1. 经费投入及仪器设备</w:t>
      </w:r>
    </w:p>
    <w:p>
      <w:pPr>
        <w:ind w:firstLine="480" w:firstLineChars="200"/>
      </w:pPr>
      <w:r>
        <w:t>2010年以来，用于种子科学与工程专业建设总经费2800万元，包括用于基础设施、教学团队和软件建设1440.7万元，购置仪器设备1359.3万元。2022~2023年，学校将投资1500多万元用于本专业教学相关仪器设备的升级改造。</w:t>
      </w:r>
    </w:p>
    <w:p>
      <w:pPr>
        <w:ind w:firstLine="480" w:firstLineChars="200"/>
      </w:pPr>
      <w:r>
        <w:t>2022年，学院教学及学生工作经费预算共计218.8万，可用于种子科学与工程专业的教学经费为46.3万元，年生均经费约1595.96元。</w:t>
      </w:r>
    </w:p>
    <w:p>
      <w:pPr>
        <w:pStyle w:val="6"/>
        <w:ind w:firstLine="480"/>
      </w:pPr>
      <w:r>
        <w:t>2. 人才培养方案与教学大纲</w:t>
      </w:r>
    </w:p>
    <w:p>
      <w:pPr>
        <w:ind w:firstLine="480" w:firstLineChars="200"/>
      </w:pPr>
      <w:r>
        <w:t>2022年对本专业人才培养方案进行了新一轮修订。进一步突出了专业认证的教育理念，细化了培养目标和培养要求，明确了培养要求对培养目标的支撑体系及课程体系对培养要求的支撑体系；强化了实践教学和创新创业教育，增加了实践教学在整个培养体系中所占的比重；针对新农科人才培养的要求，加强与生物技术、信息技术和新型机械等学科的交叉；根据2018版人才培养方案在实际运行中出现的问题，优化调整了部分课程的开设时间。</w:t>
      </w:r>
    </w:p>
    <w:p>
      <w:pPr>
        <w:spacing w:line="390" w:lineRule="exact"/>
        <w:ind w:firstLine="480" w:firstLineChars="200"/>
      </w:pPr>
      <w:r>
        <w:t>在对本专业原有课程体系进行全面梳理基础上，对课程教学内容也进行了调整、优化。按教学内容少而精的原则修订了各门课程的教学大纲，进一步明确了主讲内容、要点难点、思考题和考试考核方式，实现了教学大纲的科学性、权威性、规范性和指导性。</w:t>
      </w:r>
    </w:p>
    <w:p>
      <w:pPr>
        <w:pStyle w:val="6"/>
        <w:spacing w:line="390" w:lineRule="exact"/>
        <w:ind w:firstLine="480"/>
      </w:pPr>
      <w:r>
        <w:t>3. 教材及在线课程</w:t>
      </w:r>
    </w:p>
    <w:p>
      <w:pPr>
        <w:spacing w:line="390" w:lineRule="exact"/>
        <w:ind w:firstLine="480" w:firstLineChars="200"/>
      </w:pPr>
      <w:r>
        <w:t>2019年8月，《作物种子学》（第二版）作为普通高等教育农业农村部</w:t>
      </w:r>
      <w:r>
        <w:rPr>
          <w:rFonts w:hint="eastAsia"/>
        </w:rPr>
        <w:t>“</w:t>
      </w:r>
      <w:r>
        <w:t>十三五</w:t>
      </w:r>
      <w:r>
        <w:rPr>
          <w:rFonts w:hint="eastAsia"/>
        </w:rPr>
        <w:t>”</w:t>
      </w:r>
      <w:r>
        <w:t>规划教材和全国高等农林院校</w:t>
      </w:r>
      <w:r>
        <w:rPr>
          <w:rFonts w:hint="eastAsia"/>
        </w:rPr>
        <w:t>“</w:t>
      </w:r>
      <w:r>
        <w:t>十三五</w:t>
      </w:r>
      <w:r>
        <w:rPr>
          <w:rFonts w:hint="eastAsia"/>
        </w:rPr>
        <w:t>”</w:t>
      </w:r>
      <w:r>
        <w:t>规划教材由中国农业出版社出版发行，</w:t>
      </w:r>
      <w:r>
        <w:rPr>
          <w:kern w:val="0"/>
        </w:rPr>
        <w:t>被中华农业科教基金会评为2020年全国农业教育优秀教材，入选2020山东省普通高等教育一流教材</w:t>
      </w:r>
      <w:r>
        <w:t>；2020年1月，《种子生物学》（第二版）作为普通高等教育农业农村部</w:t>
      </w:r>
      <w:r>
        <w:rPr>
          <w:rFonts w:hint="eastAsia"/>
        </w:rPr>
        <w:t>“</w:t>
      </w:r>
      <w:r>
        <w:t>十三五</w:t>
      </w:r>
      <w:r>
        <w:rPr>
          <w:rFonts w:hint="eastAsia"/>
        </w:rPr>
        <w:t>”</w:t>
      </w:r>
      <w:r>
        <w:t>规划教材和全国高等农林院校</w:t>
      </w:r>
      <w:r>
        <w:rPr>
          <w:rFonts w:hint="eastAsia"/>
        </w:rPr>
        <w:t>“</w:t>
      </w:r>
      <w:r>
        <w:t>十三五</w:t>
      </w:r>
      <w:r>
        <w:rPr>
          <w:rFonts w:hint="eastAsia"/>
        </w:rPr>
        <w:t>”</w:t>
      </w:r>
      <w:r>
        <w:t>规划教材由中国农业出版社出版发行。2022年4月，《种子生产学（第二版）》作为</w:t>
      </w:r>
      <w:r>
        <w:rPr>
          <w:rFonts w:hint="eastAsia"/>
        </w:rPr>
        <w:t>“</w:t>
      </w:r>
      <w:r>
        <w:t>大国三农</w:t>
      </w:r>
      <w:r>
        <w:rPr>
          <w:rFonts w:hint="eastAsia"/>
        </w:rPr>
        <w:t>”</w:t>
      </w:r>
      <w:r>
        <w:t>规划教材和高等学校</w:t>
      </w:r>
      <w:r>
        <w:rPr>
          <w:rFonts w:hint="eastAsia"/>
        </w:rPr>
        <w:t>“</w:t>
      </w:r>
      <w:r>
        <w:t>十四五</w:t>
      </w:r>
      <w:r>
        <w:rPr>
          <w:rFonts w:hint="eastAsia"/>
        </w:rPr>
        <w:t>”</w:t>
      </w:r>
      <w:r>
        <w:t>农林规划新形态教材由高等教育出版社出版发行；《种子学实验技术》即将出版。</w:t>
      </w:r>
    </w:p>
    <w:p>
      <w:pPr>
        <w:spacing w:line="390" w:lineRule="exact"/>
        <w:ind w:firstLine="480" w:firstLineChars="200"/>
      </w:pPr>
      <w:r>
        <w:t>目前，已有</w:t>
      </w:r>
      <w:r>
        <w:rPr>
          <w:rFonts w:hint="eastAsia"/>
        </w:rPr>
        <w:t>“</w:t>
      </w:r>
      <w:r>
        <w:t>作物种子学</w:t>
      </w:r>
      <w:r>
        <w:rPr>
          <w:rFonts w:hint="eastAsia"/>
        </w:rPr>
        <w:t>”“</w:t>
      </w:r>
      <w:r>
        <w:t>作物栽培学</w:t>
      </w:r>
      <w:r>
        <w:rPr>
          <w:rFonts w:hint="eastAsia"/>
        </w:rPr>
        <w:t>”“</w:t>
      </w:r>
      <w:r>
        <w:t>农业生态学</w:t>
      </w:r>
      <w:r>
        <w:rPr>
          <w:rFonts w:hint="eastAsia"/>
        </w:rPr>
        <w:t>”“</w:t>
      </w:r>
      <w:r>
        <w:t>种子检验学</w:t>
      </w:r>
      <w:r>
        <w:rPr>
          <w:rFonts w:hint="eastAsia"/>
        </w:rPr>
        <w:t>”</w:t>
      </w:r>
      <w:r>
        <w:t>和</w:t>
      </w:r>
      <w:r>
        <w:rPr>
          <w:rFonts w:hint="eastAsia"/>
        </w:rPr>
        <w:t>“</w:t>
      </w:r>
      <w:r>
        <w:t>遗传学</w:t>
      </w:r>
      <w:r>
        <w:rPr>
          <w:rFonts w:hint="eastAsia"/>
        </w:rPr>
        <w:t>”</w:t>
      </w:r>
      <w:r>
        <w:t>5门课程入选山东省一流课程。</w:t>
      </w:r>
    </w:p>
    <w:p>
      <w:pPr>
        <w:pStyle w:val="6"/>
        <w:spacing w:line="390" w:lineRule="exact"/>
        <w:ind w:firstLine="480"/>
      </w:pPr>
      <w:r>
        <w:t>4. 实习基地</w:t>
      </w:r>
    </w:p>
    <w:p>
      <w:pPr>
        <w:spacing w:line="390" w:lineRule="exact"/>
        <w:ind w:firstLine="480" w:firstLineChars="200"/>
      </w:pPr>
      <w:r>
        <w:t>根据本专业实践教学环节的需要，建立了校内校外实习基地。校外实习基地8处，其中，2021-2022年新建3处，包括潍坊市农业科学院、潍坊丰瑞农业科技有限公司和济南鑫瑞种业科技有限公司，年均接纳学生实习约180人次，可以较好地满足种子科学与工程专业学生各个学习阶段的实习实践需要。</w:t>
      </w:r>
    </w:p>
    <w:p>
      <w:pPr>
        <w:pStyle w:val="6"/>
        <w:spacing w:line="390" w:lineRule="exact"/>
        <w:ind w:firstLine="480"/>
      </w:pPr>
      <w:r>
        <w:t>5. 师资队伍</w:t>
      </w:r>
    </w:p>
    <w:p>
      <w:pPr>
        <w:spacing w:line="390" w:lineRule="exact"/>
        <w:ind w:firstLine="480" w:firstLineChars="200"/>
      </w:pPr>
      <w:r>
        <w:t>师资队伍建设是专业建设的重要支撑，该专业历来重视师资队伍建设，积极利用多种途径加强师资队伍建设，建成了一支职称结构、年龄结构、知识结构合理，综合素质优良的高水平的专业师资队伍。目前该专业有专职教师22人，其中教授8人，副教授8人，讲师6人，均有博士学位，有海外教育经历的7人。教学队伍中省级教学名师1人，山东省现代农业产业技术体系岗位科学家2人。</w:t>
      </w:r>
    </w:p>
    <w:p>
      <w:pPr>
        <w:pStyle w:val="5"/>
        <w:spacing w:before="93" w:after="93"/>
        <w:ind w:firstLine="560"/>
        <w:rPr>
          <w:spacing w:val="-6"/>
        </w:rPr>
      </w:pPr>
      <w:r>
        <w:t>四</w:t>
      </w:r>
      <w:r>
        <w:rPr>
          <w:rFonts w:hint="eastAsia"/>
        </w:rPr>
        <w:t>、</w:t>
      </w:r>
      <w:r>
        <w:rPr>
          <w:spacing w:val="-6"/>
        </w:rPr>
        <w:t>培养机制与特色（产学研协同育人机制、合作办学、教学管理等）</w:t>
      </w:r>
    </w:p>
    <w:p>
      <w:pPr>
        <w:ind w:firstLine="480" w:firstLineChars="200"/>
      </w:pPr>
      <w:r>
        <w:t>建立了</w:t>
      </w:r>
      <w:r>
        <w:rPr>
          <w:rFonts w:hint="eastAsia"/>
        </w:rPr>
        <w:t>“</w:t>
      </w:r>
      <w:r>
        <w:t>三田、两地、一课堂</w:t>
      </w:r>
      <w:r>
        <w:rPr>
          <w:rFonts w:hint="eastAsia"/>
        </w:rPr>
        <w:t>”</w:t>
      </w:r>
      <w:r>
        <w:t>的实践教学培养新模式，</w:t>
      </w:r>
      <w:r>
        <w:rPr>
          <w:rFonts w:hint="eastAsia"/>
        </w:rPr>
        <w:t>“</w:t>
      </w:r>
      <w:r>
        <w:t>三田</w:t>
      </w:r>
      <w:r>
        <w:rPr>
          <w:rFonts w:hint="eastAsia"/>
        </w:rPr>
        <w:t>”</w:t>
      </w:r>
      <w:r>
        <w:t>是</w:t>
      </w:r>
      <w:r>
        <w:rPr>
          <w:rFonts w:hint="eastAsia"/>
        </w:rPr>
        <w:t>“</w:t>
      </w:r>
      <w:r>
        <w:t>学生认知田</w:t>
      </w:r>
      <w:r>
        <w:rPr>
          <w:rFonts w:hint="eastAsia"/>
        </w:rPr>
        <w:t>”</w:t>
      </w:r>
      <w:r>
        <w:t>、</w:t>
      </w:r>
      <w:r>
        <w:rPr>
          <w:rFonts w:hint="eastAsia"/>
        </w:rPr>
        <w:t>“</w:t>
      </w:r>
      <w:r>
        <w:t>科研田</w:t>
      </w:r>
      <w:r>
        <w:rPr>
          <w:rFonts w:hint="eastAsia"/>
        </w:rPr>
        <w:t>”</w:t>
      </w:r>
      <w:r>
        <w:t>、</w:t>
      </w:r>
      <w:r>
        <w:rPr>
          <w:rFonts w:hint="eastAsia"/>
        </w:rPr>
        <w:t>“</w:t>
      </w:r>
      <w:r>
        <w:t>学生高产竞赛田</w:t>
      </w:r>
      <w:r>
        <w:rPr>
          <w:rFonts w:hint="eastAsia"/>
        </w:rPr>
        <w:t>”</w:t>
      </w:r>
      <w:r>
        <w:t>，</w:t>
      </w:r>
      <w:r>
        <w:rPr>
          <w:rFonts w:hint="eastAsia"/>
        </w:rPr>
        <w:t>“</w:t>
      </w:r>
      <w:r>
        <w:t>两地</w:t>
      </w:r>
      <w:r>
        <w:rPr>
          <w:rFonts w:hint="eastAsia"/>
        </w:rPr>
        <w:t>”</w:t>
      </w:r>
      <w:r>
        <w:t>是专业认知实习基地和毕业生产实习基地（校内基地和校外基地），</w:t>
      </w:r>
      <w:r>
        <w:rPr>
          <w:rFonts w:hint="eastAsia"/>
        </w:rPr>
        <w:t>“</w:t>
      </w:r>
      <w:r>
        <w:t>一课堂</w:t>
      </w:r>
      <w:r>
        <w:rPr>
          <w:rFonts w:hint="eastAsia"/>
        </w:rPr>
        <w:t>”</w:t>
      </w:r>
      <w:r>
        <w:t>是第二课堂。为加强学生能力、素质培养，提高学生的实践和创新能力，在全面分析学生存在问题的基础上，对实践教学进行了不断研究探索。配合三种实践教学环节，在原来</w:t>
      </w:r>
      <w:r>
        <w:rPr>
          <w:rFonts w:hint="eastAsia"/>
        </w:rPr>
        <w:t>“</w:t>
      </w:r>
      <w:r>
        <w:t>认知实践—专业实践—毕业实习综合实践</w:t>
      </w:r>
      <w:r>
        <w:rPr>
          <w:rFonts w:hint="eastAsia"/>
        </w:rPr>
        <w:t>”</w:t>
      </w:r>
      <w:r>
        <w:t>的基础上，提出了</w:t>
      </w:r>
      <w:r>
        <w:rPr>
          <w:rFonts w:hint="eastAsia"/>
        </w:rPr>
        <w:t>“</w:t>
      </w:r>
      <w:r>
        <w:t>三田、两地、一课堂</w:t>
      </w:r>
      <w:r>
        <w:rPr>
          <w:rFonts w:hint="eastAsia"/>
        </w:rPr>
        <w:t>”</w:t>
      </w:r>
      <w:r>
        <w:t>实践教学培养新模式。围绕着</w:t>
      </w:r>
      <w:r>
        <w:rPr>
          <w:rFonts w:hint="eastAsia"/>
        </w:rPr>
        <w:t>“</w:t>
      </w:r>
      <w:r>
        <w:t>三田、两地、一课堂</w:t>
      </w:r>
      <w:r>
        <w:rPr>
          <w:rFonts w:hint="eastAsia"/>
        </w:rPr>
        <w:t>”</w:t>
      </w:r>
      <w:r>
        <w:t>实践教学培养模式的改革，学院对指导教师制度和毕业论文的开始时间进行了调整：一、二、三年级设班主任（班级导师），三、四年级设立业务导师，做到４年指导不间断；同时调整原来毕业论文的研究时间，从三年级开始毕业论文的科研工作。毕业实习由原来完成毕业论文和毕业生产实习两项职能，简化为以毕业生产实习为主，缓解了毕业实习和就业的矛盾。通过以上实践教学的配套改革，提高了学生的学习兴趣，锻炼了学生的吃苦耐劳能力，对学生能力素质的培养起到了良好的作用。</w:t>
      </w:r>
    </w:p>
    <w:p>
      <w:pPr>
        <w:ind w:firstLine="480" w:firstLineChars="200"/>
      </w:pPr>
      <w:r>
        <w:t>深化班主任制度改革，由大一、大二设班主任改为大一至大三设班主任，推行</w:t>
      </w:r>
      <w:r>
        <w:rPr>
          <w:rFonts w:hint="eastAsia"/>
        </w:rPr>
        <w:t>“</w:t>
      </w:r>
      <w:r>
        <w:t>班主任+</w:t>
      </w:r>
      <w:r>
        <w:rPr>
          <w:rFonts w:hint="eastAsia"/>
        </w:rPr>
        <w:t>”</w:t>
      </w:r>
      <w:r>
        <w:t>工作模式，即每个班在设立班主任的同时，建立由各学科老中青专家组成的班级导师组，共同承担起指导学生学习生活、为学生解疑释惑的责任，探索、实践、形成具有学院特色的学生管理新机制。</w:t>
      </w:r>
    </w:p>
    <w:p>
      <w:pPr>
        <w:ind w:firstLine="480" w:firstLineChars="200"/>
      </w:pPr>
      <w:r>
        <w:t>充分发挥学院国家、省部级实验室等创新平台作用，制定面向本科生开放的有效机制，提高学生创新实践能力。邀请企业家来校作创业教育专题报告，提高在校生创业意识、精神和能力。主动走出去，寻求与企业合作，拓展合作空间，引入企业资金，以</w:t>
      </w:r>
      <w:r>
        <w:rPr>
          <w:rFonts w:hint="eastAsia"/>
        </w:rPr>
        <w:t>“</w:t>
      </w:r>
      <w:r>
        <w:t>创业基金项目化</w:t>
      </w:r>
      <w:r>
        <w:rPr>
          <w:rFonts w:hint="eastAsia"/>
        </w:rPr>
        <w:t>”</w:t>
      </w:r>
      <w:r>
        <w:t>资助，让更多有创业意愿的学生，投身到创业的实践中。加快校内创新创业孵化基地建设，以</w:t>
      </w:r>
      <w:r>
        <w:rPr>
          <w:rFonts w:hint="eastAsia"/>
        </w:rPr>
        <w:t>“</w:t>
      </w:r>
      <w:r>
        <w:t>创业项目化资助</w:t>
      </w:r>
      <w:r>
        <w:rPr>
          <w:rFonts w:hint="eastAsia"/>
        </w:rPr>
        <w:t>”</w:t>
      </w:r>
      <w:r>
        <w:t>的形式，推动更多的创业项目立项，实现在校学生成功创业。</w:t>
      </w:r>
    </w:p>
    <w:p>
      <w:pPr>
        <w:pStyle w:val="5"/>
        <w:spacing w:before="93" w:after="93"/>
        <w:ind w:firstLine="560"/>
      </w:pPr>
      <w:r>
        <w:t>五、培养质量（毕业生就业率、就业专业对口率、毕业生发展情况、就业单位满意率、社会对专业的评价、学生就读该专业的意愿等）</w:t>
      </w:r>
    </w:p>
    <w:p>
      <w:pPr>
        <w:ind w:firstLine="480" w:firstLineChars="200"/>
      </w:pPr>
      <w:r>
        <w:t>学院根据社会发展需求不断调整人才培养方案，加强实践创新型人才培养力度，突出理论知识学习与实践动手能力培养相结合，增强毕业生的综合素质和核心竞争力。截止 2022年8月31日，2022届种子专业毕业74人，其中考取研究生43人、直接就业6人，整体就业率66.22%，持续三年的疫情严重影响了专业学生的直接就业。</w:t>
      </w:r>
    </w:p>
    <w:p>
      <w:pPr>
        <w:ind w:firstLine="480" w:firstLineChars="200"/>
      </w:pPr>
      <w:r>
        <w:t>2022 届种子科学与工程专业毕业生中58.1%继续深造，其中出国深造1人，国内升学42人，其中考入</w:t>
      </w:r>
      <w:r>
        <w:rPr>
          <w:rFonts w:hint="eastAsia"/>
        </w:rPr>
        <w:t>“</w:t>
      </w:r>
      <w:r>
        <w:t>双一流</w:t>
      </w:r>
      <w:r>
        <w:rPr>
          <w:rFonts w:hint="eastAsia"/>
        </w:rPr>
        <w:t>”</w:t>
      </w:r>
      <w:r>
        <w:t>大学15人，占国内升学总人数的35.71%。升学学校主要是山东农业大学、中国农业大学、西北农林科技大学等。</w:t>
      </w:r>
    </w:p>
    <w:p>
      <w:pPr>
        <w:pStyle w:val="5"/>
        <w:spacing w:before="93" w:after="93"/>
        <w:ind w:firstLine="560"/>
      </w:pPr>
      <w:r>
        <w:t>六、毕业生就业创业（创业情况、采取的措施、典型案例等）</w:t>
      </w:r>
    </w:p>
    <w:p>
      <w:pPr>
        <w:ind w:firstLine="480" w:firstLineChars="200"/>
      </w:pPr>
      <w:r>
        <w:t>截至2019年底，我国持证种子企业有6393家，企业职工13万人，各级种子管理机构有2733家，在职2.5万人，种子科学与工程专业市场需求巨大。</w:t>
      </w:r>
    </w:p>
    <w:p>
      <w:pPr>
        <w:ind w:firstLine="480" w:firstLineChars="200"/>
      </w:pPr>
      <w:r>
        <w:t>本专业在就业创业维度上积极探索假期顶岗实习和实现大学生与社会、企业的无缝隙对接的</w:t>
      </w:r>
      <w:r>
        <w:rPr>
          <w:rFonts w:hint="eastAsia"/>
        </w:rPr>
        <w:t>“</w:t>
      </w:r>
      <w:r>
        <w:t>金色农华班</w:t>
      </w:r>
      <w:r>
        <w:rPr>
          <w:rFonts w:hint="eastAsia"/>
        </w:rPr>
        <w:t>”</w:t>
      </w:r>
      <w:r>
        <w:t>校企合作实践育人模式。疫情前的2019年度本专业共有34人创业就业，占种子专业毕业生人数的38.2%。由于专业基础扎实、工作勤奋，就业学生受到社会及用人单位的好评。</w:t>
      </w:r>
    </w:p>
    <w:p>
      <w:pPr>
        <w:ind w:firstLine="480" w:firstLineChars="200"/>
      </w:pPr>
      <w:r>
        <w:t>大学生创业积极性日渐提高。学院为营造浓郁的创新创业氛围，举办</w:t>
      </w:r>
      <w:r>
        <w:rPr>
          <w:rFonts w:hint="eastAsia"/>
        </w:rPr>
        <w:t>“</w:t>
      </w:r>
      <w:r>
        <w:t>院士杯</w:t>
      </w:r>
      <w:r>
        <w:rPr>
          <w:rFonts w:hint="eastAsia"/>
        </w:rPr>
        <w:t>”</w:t>
      </w:r>
      <w:r>
        <w:t>创青春大赛，组建创新创业团队，高度重视大学生创业孵化基地建设，成立</w:t>
      </w:r>
      <w:r>
        <w:rPr>
          <w:rFonts w:hint="eastAsia"/>
        </w:rPr>
        <w:t>“</w:t>
      </w:r>
      <w:r>
        <w:t>绿色畅想工作室</w:t>
      </w:r>
      <w:r>
        <w:rPr>
          <w:rFonts w:hint="eastAsia"/>
        </w:rPr>
        <w:t>”</w:t>
      </w:r>
      <w:r>
        <w:t>，为大学生创新创业工作打造各类工作、宣传平台。</w:t>
      </w:r>
    </w:p>
    <w:p>
      <w:pPr>
        <w:pStyle w:val="5"/>
        <w:spacing w:before="93" w:after="93"/>
        <w:ind w:firstLine="560"/>
      </w:pPr>
      <w:r>
        <w:t>七、专业发展趋势及建议</w:t>
      </w:r>
    </w:p>
    <w:p>
      <w:pPr>
        <w:spacing w:line="390" w:lineRule="exact"/>
        <w:ind w:firstLine="480" w:firstLineChars="200"/>
      </w:pPr>
      <w:r>
        <w:t>种子安全是粮食安全的基础，没有我国种业的安全就没有我国粮食的安全。目前，我国种子的质量与国外相比尚有较大差距，种业的国际竞争力相对较弱。2019年，我国种子市场规模为1188亿元，孟山都、杜邦-先锋等跨国种业巨头对我国的种业市场虎视眈眈。为切实提高我国种业领域的竞争力，须在国家、地方、行业、基地等不同层面加大建设力度，其中，加速培养种业相关的应用型专业技术人才是关键之一。</w:t>
      </w:r>
    </w:p>
    <w:p>
      <w:pPr>
        <w:spacing w:line="390" w:lineRule="exact"/>
        <w:ind w:firstLine="480" w:firstLineChars="200"/>
      </w:pPr>
      <w:r>
        <w:t>我国的种子科学研究始于上世纪五十年代，比发达国家晚半个多世纪。我国的种子科学和技术、种业整体上还处于发展中国家的水准。我国种业人才的培养远远落后于发达国家，也落后于我国种业自身发展的进程。截至到2019年底，全国持有效经营许可证的种子企业6393家，从业人员13万人，市场需求巨大。</w:t>
      </w:r>
    </w:p>
    <w:p>
      <w:pPr>
        <w:spacing w:line="390" w:lineRule="exact"/>
        <w:ind w:firstLine="480" w:firstLineChars="200"/>
      </w:pPr>
      <w:r>
        <w:t>2003年开始面向全国招收种子科学与工程本科生。目前全国有45所院校开展种子科学与工程本科专业人才培养。中国农业大学、浙江大学等14个院校进行种子科学硕士、博士人才培养。上海交通大学、中国农业科学院、广西大学、贵州大学等34所院校已开展种业领域在职专业硕士研究生培养。</w:t>
      </w:r>
    </w:p>
    <w:p>
      <w:pPr>
        <w:spacing w:line="390" w:lineRule="exact"/>
        <w:ind w:firstLine="480" w:firstLineChars="200"/>
      </w:pPr>
      <w:r>
        <w:t>近年来，随着全世界种子产业发展和种子产业化进程的突飞猛进、新技术的不断涌现，种子科学与技术的研究突飞猛进，进入发展的重要时期。研究从生理水平逐渐发展到细胞水平、分子水平，随着组学技术的不断发展，转录组、蛋白组和代谢组技术在种子科学研究中也得到广泛应用。一方面其基础理论研究包含了种子形态特征、发育成熟、休眠与萌发、种子活力、种子寿命以及种子生态等方面，另一方面其应用技术部分包含了种子田间生产、种子加工（清选、干燥、处理和包衣）、种子贮藏、种子检验、种子企业管理、种子经营和贸易等范围。为适应种子学科多学科交叉的现状，应加强师资的培养和引进，以满足本专业发展的需要。</w:t>
      </w:r>
    </w:p>
    <w:p>
      <w:pPr>
        <w:pStyle w:val="5"/>
        <w:spacing w:before="93" w:after="93"/>
        <w:ind w:firstLine="560"/>
      </w:pPr>
      <w:r>
        <w:t>八、存在的问题及拟采取的对策措施</w:t>
      </w:r>
    </w:p>
    <w:p>
      <w:pPr>
        <w:spacing w:line="390" w:lineRule="exact"/>
        <w:ind w:firstLine="480" w:firstLineChars="200"/>
      </w:pPr>
      <w:r>
        <w:t>目前该专业从本科、硕士到博士，具有完整的培养层次。经过多年的办学，在硬件、软件方面都已经具备了良好基础。但目前也存在以下问题：</w:t>
      </w:r>
    </w:p>
    <w:p>
      <w:pPr>
        <w:spacing w:line="390" w:lineRule="exact"/>
        <w:ind w:firstLine="480" w:firstLineChars="200"/>
      </w:pPr>
      <w:r>
        <w:rPr>
          <w:rStyle w:val="23"/>
        </w:rPr>
        <w:t>1.师资队伍难以满足新农科人才培养的需求。</w:t>
      </w:r>
      <w:r>
        <w:rPr>
          <w:rStyle w:val="23"/>
          <w:rFonts w:eastAsia="宋体"/>
        </w:rPr>
        <w:t>在新农科专业人才培养背景下，须加强农学学科与信息技术、新型农机、生物技术等学科的交叉融合，在实践育人环节加强与种子产业的深度对接，教师现有的知识结构不能满足新形势下人才培养的要求，引育并举，加强现有师资培训力度的同时，注重根据新农科人才培养的教学需求引进专任教师，从而进一步提高人才培养质量。</w:t>
      </w:r>
    </w:p>
    <w:p>
      <w:pPr>
        <w:spacing w:line="390" w:lineRule="exact"/>
        <w:ind w:firstLine="480" w:firstLineChars="200"/>
      </w:pPr>
      <w:r>
        <w:rPr>
          <w:rStyle w:val="23"/>
        </w:rPr>
        <w:t>2.种子生产、加工专业实习基地建设困难。</w:t>
      </w:r>
      <w:r>
        <w:t>随着制种基地的转移，我国超过90%的玉米制种基地已经转移到甘肃、新疆，因此玉米种子生产加工实习难以在本省落实，自己建立制种实验地的成本较高，因此影响到人才培养的质量。</w:t>
      </w:r>
    </w:p>
    <w:p>
      <w:pPr>
        <w:spacing w:line="390" w:lineRule="exact"/>
        <w:ind w:firstLine="480" w:firstLineChars="200"/>
      </w:pPr>
      <w:r>
        <w:t>整改措施：切实加大师资的培养引进力度；加大对教学实习基地建设的投入，进一步加强实践教学。</w:t>
      </w: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rPr>
          <w:rFonts w:ascii="Times New Roman" w:hAnsi="Times New Roman" w:cs="Times New Roman"/>
        </w:rPr>
      </w:pPr>
      <w:bookmarkStart w:id="24" w:name="_Toc8781"/>
      <w:r>
        <w:rPr>
          <w:rFonts w:ascii="Times New Roman" w:hAnsi="Times New Roman" w:cs="Times New Roman"/>
        </w:rPr>
        <w:t>专业</w:t>
      </w:r>
      <w:r>
        <w:rPr>
          <w:rFonts w:hint="eastAsia" w:ascii="Times New Roman" w:hAnsi="Times New Roman" w:cs="Times New Roman"/>
          <w:lang w:val="en-US"/>
        </w:rPr>
        <w:t>四</w:t>
      </w:r>
      <w:r>
        <w:rPr>
          <w:rFonts w:ascii="Times New Roman" w:hAnsi="Times New Roman" w:cs="Times New Roman"/>
        </w:rPr>
        <w:t>：中药资源与开发</w:t>
      </w:r>
      <w:bookmarkEnd w:id="24"/>
    </w:p>
    <w:p>
      <w:pPr>
        <w:pStyle w:val="5"/>
        <w:spacing w:before="93" w:after="93"/>
        <w:ind w:firstLine="560"/>
      </w:pPr>
      <w:r>
        <w:t>一、培养目标</w:t>
      </w:r>
    </w:p>
    <w:p>
      <w:pPr>
        <w:ind w:firstLine="480" w:firstLineChars="200"/>
        <w:rPr>
          <w:szCs w:val="24"/>
        </w:rPr>
      </w:pPr>
      <w:r>
        <w:rPr>
          <w:szCs w:val="24"/>
        </w:rPr>
        <w:t>本专业培养适应中医药事业发展需要，具备中药学基础理论、基本知识和基本技能，掌握生物学、作物学学科相关的知识和技能，掌握一定的人文社会科学、自然科学知识，具有良好思想道德、职业素养、团队协作、创新创业意识和社会服务能力，具有自主学习和终身学习能力，适于在中医药产业和农业相关的政府部门、教育科研机构、企业与医疗单位等从事中药资源调查和保护、中药材生产和鉴定、中药炮制和制剂、中药提取分离、质量分析、中药资源开发利用、经营与管理等方面工作的应用型、创新型高级专门人才。</w:t>
      </w:r>
    </w:p>
    <w:p>
      <w:pPr>
        <w:ind w:firstLine="480" w:firstLineChars="200"/>
        <w:rPr>
          <w:szCs w:val="24"/>
        </w:rPr>
      </w:pPr>
      <w:r>
        <w:rPr>
          <w:szCs w:val="24"/>
        </w:rPr>
        <w:t>具体分解为4个子目标：</w:t>
      </w:r>
    </w:p>
    <w:p>
      <w:pPr>
        <w:ind w:firstLine="480" w:firstLineChars="200"/>
        <w:rPr>
          <w:szCs w:val="24"/>
        </w:rPr>
      </w:pPr>
      <w:r>
        <w:rPr>
          <w:szCs w:val="24"/>
        </w:rPr>
        <w:t>1. 思想品德和职业素质：具备正确的人生观、世界观和价值观，具有爱国主义和集体主义精神；热爱中医药事业；具有保护资源与环境的意识和能力，将中药资源的可持续利用和中药产业可持续发展作为职业责任。</w:t>
      </w:r>
    </w:p>
    <w:p>
      <w:pPr>
        <w:ind w:firstLine="480" w:firstLineChars="200"/>
        <w:rPr>
          <w:szCs w:val="24"/>
        </w:rPr>
      </w:pPr>
      <w:r>
        <w:rPr>
          <w:szCs w:val="24"/>
        </w:rPr>
        <w:t>2. 专业知识目标：具备人文科学、自然科学和生命科学基础知识；熟悉相关的法规和产业发展动态；掌握中药资源调查和引种驯化的基本理论和知识；掌握中药资源可利用物质的种类、分布规律及利用途径；掌握中药资源开发利用、资源保护和经营管理等的理论和知识。</w:t>
      </w:r>
    </w:p>
    <w:p>
      <w:pPr>
        <w:ind w:firstLine="480" w:firstLineChars="200"/>
        <w:rPr>
          <w:szCs w:val="24"/>
        </w:rPr>
      </w:pPr>
      <w:r>
        <w:rPr>
          <w:szCs w:val="24"/>
        </w:rPr>
        <w:t>3. 专业能力目标：具有运用综合知识解决中药生产与应用中实际问题的能力；具有运用现代科技开展科学研究的基本能力；具有中药资源的调查、开发、利用、保护和质量评价的能力；具有从事中药材规范化生产和基地管理的能力；具有中药材加工炮制、鉴定、提取分离、药物生产等资源综合开发利用的能力。</w:t>
      </w:r>
    </w:p>
    <w:p>
      <w:pPr>
        <w:ind w:firstLine="480" w:firstLineChars="200"/>
        <w:rPr>
          <w:szCs w:val="24"/>
        </w:rPr>
      </w:pPr>
      <w:r>
        <w:rPr>
          <w:szCs w:val="24"/>
        </w:rPr>
        <w:t>4. 个人职业可持续发展能力：具有批判性思维和创新创业能力；具有终身学习的理念和自主学习能力；具有运用现代技术获取知识和信息的能力；具有良好的沟通表达和团队协作能力。</w:t>
      </w:r>
    </w:p>
    <w:p>
      <w:pPr>
        <w:pStyle w:val="5"/>
        <w:spacing w:before="93" w:after="93"/>
        <w:ind w:firstLine="560"/>
      </w:pPr>
      <w:r>
        <w:t>二、培养能力（专业设置情况、在校生规模、课程体系、创新创业教育等）</w:t>
      </w:r>
    </w:p>
    <w:p>
      <w:pPr>
        <w:pStyle w:val="6"/>
        <w:ind w:firstLine="480"/>
      </w:pPr>
      <w:r>
        <w:t>1.</w:t>
      </w:r>
      <w:r>
        <w:rPr>
          <w:szCs w:val="24"/>
        </w:rPr>
        <w:t xml:space="preserve"> </w:t>
      </w:r>
      <w:r>
        <w:t>专业设置情况和在校生规模</w:t>
      </w:r>
    </w:p>
    <w:p>
      <w:pPr>
        <w:ind w:firstLine="480" w:firstLineChars="200"/>
        <w:rPr>
          <w:szCs w:val="24"/>
        </w:rPr>
      </w:pPr>
      <w:r>
        <w:rPr>
          <w:szCs w:val="24"/>
        </w:rPr>
        <w:t>中药资源与开发专业是 2003年经教育部批准设置的本科专业，基本学制为4年，学习年限为3-6年，总修学分不少于170学分，按要求完成学业且符合学位授予条件者，授予理学学士学位。本专业2004年招收第一届学生。本年度在校生共113人，其中2018级46人，2019级17人，2020级和2021级均为25人。在校生中中共党员5人。</w:t>
      </w:r>
    </w:p>
    <w:p>
      <w:pPr>
        <w:pStyle w:val="6"/>
        <w:ind w:firstLine="480"/>
      </w:pPr>
      <w:r>
        <w:t>2.</w:t>
      </w:r>
      <w:r>
        <w:rPr>
          <w:szCs w:val="24"/>
        </w:rPr>
        <w:t xml:space="preserve"> </w:t>
      </w:r>
      <w:r>
        <w:t>课程体系</w:t>
      </w:r>
    </w:p>
    <w:p>
      <w:pPr>
        <w:spacing w:line="390" w:lineRule="exact"/>
        <w:ind w:firstLine="480" w:firstLineChars="200"/>
        <w:rPr>
          <w:szCs w:val="24"/>
        </w:rPr>
      </w:pPr>
      <w:r>
        <w:rPr>
          <w:szCs w:val="24"/>
        </w:rPr>
        <w:t>根据教育部中药学类教学质量国家标准要求，结合学校优势和特色，2018年对专业人才培养方案进行了重新修订，更加强化实践课程，突出创新创业业教育和个性化发展，新增形式与政策教育。2018级学生执行新修订的培养方案。2019年由于实行大类招生，为适应大类招生的培养要求，培养方案进行了适当修订。2020年改革按专业招生，培养方案又进行了适当修订。根据新修订的培养方案，整个课程设置包括通识教育课程、学科基础课程、专业课程和实践课程四个模块。通识教育按学校统一的课程设置；基础类课程包括：高等数学、概率统计、药用植物学、植物生理学、有机化学、分析化学、生物化学、遗传学、分子生物学、人体解剖生理学、中医基础理论、临床中药学、中药资源学、植物保护学、土壤与肥料学等；专业类课程包括：药用植物栽培学、药用植物育种学、天然药物化学、仪器分析、中药生物技术、中药鉴定学、中药炮制学、中药药剂学、中药药理学、医药市场营销、药事管理与法规、中药资源综合利用等课程以及相应的实验课程；实践类课程包括：专业教育与认知、中药资源调查、中药材生产、中药生产与营销、社会实践与调查报告、创新创业实践、毕业实习等。毕业总学分不少于170学分，其中必修课139学分，选修课31学分，占比18.2%，实验课程14.5学分，实践环节30.5学分，实验和实践环节学分占总学分的26.5%。</w:t>
      </w:r>
    </w:p>
    <w:p>
      <w:pPr>
        <w:pStyle w:val="6"/>
        <w:spacing w:line="390" w:lineRule="exact"/>
        <w:ind w:firstLine="480"/>
      </w:pPr>
      <w:r>
        <w:t>3.</w:t>
      </w:r>
      <w:r>
        <w:rPr>
          <w:szCs w:val="24"/>
        </w:rPr>
        <w:t xml:space="preserve"> </w:t>
      </w:r>
      <w:r>
        <w:t>创新创业教育</w:t>
      </w:r>
    </w:p>
    <w:p>
      <w:pPr>
        <w:spacing w:line="390" w:lineRule="exact"/>
        <w:ind w:firstLine="480" w:firstLineChars="200"/>
        <w:rPr>
          <w:szCs w:val="24"/>
        </w:rPr>
      </w:pPr>
      <w:r>
        <w:rPr>
          <w:szCs w:val="24"/>
        </w:rPr>
        <w:t>学校、学院和专业高度重视创新创业教育工作，除积极组织学生参加国家和省有关的创新创业活动外，学校也组织和发起了形式多样的创新创业活动，如第八届互联网＋创新创业大赛、稼穑强农训练营、创新创业训练项目中药文化知识竞赛等。《创新创业实践》获评省级一流课程。现有药食同源创新创业团队1支，为学生创新创业提供了重要平台。本年度学生参加第八届</w:t>
      </w:r>
      <w:r>
        <w:rPr>
          <w:rFonts w:hint="eastAsia"/>
          <w:szCs w:val="24"/>
        </w:rPr>
        <w:t>“</w:t>
      </w:r>
      <w:r>
        <w:rPr>
          <w:szCs w:val="24"/>
        </w:rPr>
        <w:t>互联网+</w:t>
      </w:r>
      <w:r>
        <w:rPr>
          <w:rFonts w:hint="eastAsia"/>
          <w:szCs w:val="24"/>
        </w:rPr>
        <w:t>”</w:t>
      </w:r>
      <w:r>
        <w:rPr>
          <w:szCs w:val="24"/>
        </w:rPr>
        <w:t>创新创业大赛、山东省大学生生物学大赛、山东农业大学生命科学竞赛、山东农业大学中药文化知识竞赛等活动，获得省级金奖1项、银奖1项、铜奖2项，校级奖励10余项。组织学生充分利用假期开展社会实践活动，在教师的指导下，赴山东省各地开展调研、科技服务和支教等活动，锻炼和提升了学生的专业技能、社会实践能力和创新创业能力,十余名学生的社会实践调查报告获得校级及以上奖励。专业教师积极指导学生开展创新创业训练项目，219级和2020级学生共参与创新创业训练项目10余个，其中省级项目4项，学生的参与率达到80%。通过承担大学生科研训练项目和参与教师的科研工作，提升了专业水平和科研技能。本专业学生组织的药食同源创新创业团队为校级重点创新创业团队，每一级都有大量学生参与，开展中药健康产品研发和销售等方面的工作，有效锻炼和提升了学生的专业技能和创新创业能力。</w:t>
      </w:r>
    </w:p>
    <w:p>
      <w:pPr>
        <w:pStyle w:val="5"/>
        <w:spacing w:before="93" w:after="93"/>
        <w:ind w:firstLine="560"/>
      </w:pPr>
      <w:r>
        <w:t>三、培养条件（教学经费投入、教学设备、教师队伍建设、实习基地、现代教学技术应用等）</w:t>
      </w:r>
    </w:p>
    <w:p>
      <w:pPr>
        <w:pStyle w:val="6"/>
        <w:ind w:firstLine="480"/>
      </w:pPr>
      <w:r>
        <w:t>1. 教学经费投入</w:t>
      </w:r>
    </w:p>
    <w:p>
      <w:pPr>
        <w:spacing w:line="390" w:lineRule="exact"/>
        <w:ind w:firstLine="480" w:firstLineChars="200"/>
        <w:rPr>
          <w:szCs w:val="24"/>
        </w:rPr>
      </w:pPr>
      <w:r>
        <w:rPr>
          <w:szCs w:val="24"/>
        </w:rPr>
        <w:t>本专业被列入十三五山东省高水平应用型立项建设专业（群），该专业群累计投入经费 2000 余万元。学校按年度投入相应教学经费，主要用于教学日常运行、教学改革、课程建设、实验材料、学生实习、试卷印刷、仪器设备购置和维修、实验室改造、教学差旅、师资培训等，本年度生均教学经费1596元，有效保障了专业建设和教学运行。</w:t>
      </w:r>
    </w:p>
    <w:p>
      <w:pPr>
        <w:pStyle w:val="6"/>
        <w:spacing w:line="390" w:lineRule="exact"/>
        <w:ind w:firstLine="480"/>
      </w:pPr>
      <w:r>
        <w:t>2. 教学设备</w:t>
      </w:r>
    </w:p>
    <w:p>
      <w:pPr>
        <w:spacing w:line="390" w:lineRule="exact"/>
        <w:ind w:firstLine="480" w:firstLineChars="200"/>
        <w:rPr>
          <w:szCs w:val="24"/>
        </w:rPr>
      </w:pPr>
      <w:r>
        <w:rPr>
          <w:szCs w:val="24"/>
        </w:rPr>
        <w:t>在课堂教学方面，教学条件进一步完善。在实验教学方面，经过十余年的专业建设和农学类专业群辐射带动，目前用于教学的实验条件不断完善，现有中药炮制和制剂实验室、天然药物化学实验室、仪器分析实验室、中药鉴定实验室、中药栽培实验室和中药生物技术实验室以及一个中药标本室。所具备的仪器设备条件包括：显微数码互动实验室、气相色谱仪、紫外可见分光光度计、高速逆流色谱仪、喷雾干燥机、真空干燥机、电热鼓风干燥机、小型中药切片机、单冲压片机、半自动胶囊填充机、中药制丸机、溶出度仪、超临界流体萃取仪、旋转蒸发仪、超声波清洗器、微波萃取仪、小型制药提取浓缩设备、小型多冲压片机、全自动小型胶囊填充机、片剂硬度碎脆度仪、小型安瓿自动灌装机、小型安剖熔封机、小型气象站、闪式浓缩器、石蜡冷冻切片机、自动纯水机、电泳仪、基因扩增仪、体视显微镜、土壤水分测定仪等。另外还有药用植物标本园一处用于学生课程学习和专业认知需要。同时，该专业的科学研究和教学还依托作物生物学国家重点实验室、中药资源研究实验室等科研平台，具有先进的仪器设备，为学生开展高水平的科学研究和实践教学提供了优良的设备条件。</w:t>
      </w:r>
    </w:p>
    <w:p>
      <w:pPr>
        <w:pStyle w:val="6"/>
        <w:spacing w:line="390" w:lineRule="exact"/>
        <w:ind w:firstLine="480"/>
      </w:pPr>
      <w:r>
        <w:t>3. 教师队伍建设</w:t>
      </w:r>
    </w:p>
    <w:p>
      <w:pPr>
        <w:spacing w:line="390" w:lineRule="exact"/>
        <w:ind w:firstLine="480" w:firstLineChars="200"/>
        <w:rPr>
          <w:szCs w:val="24"/>
        </w:rPr>
      </w:pPr>
      <w:r>
        <w:rPr>
          <w:szCs w:val="24"/>
        </w:rPr>
        <w:t>本专业现有专业课教师8人，包括教授2人、副教授4人、讲师1人，教学辅助人员1人，多数教师的教育经历具备中药学和农学双重背景。其中6人具有博士学位，3人具有硕士学位，1人为博士生导师，4人为硕士生导师。50岁以上教师3人，40岁以上教师2人，30岁以上教师3人。教授均在一线承担教学工作，每位教授承担本科生课程2-5门。学院每周组织教学学习和交流讨论，大家相互学习，共同提高，有效促进了教师教学水平的提高。学校和学院鼓励和支持教师赴国内外高校、科研单位和基层进行访学、交流和挂职锻炼。教师积极开展教学研究改革，主持校级教研项目3项。</w:t>
      </w:r>
    </w:p>
    <w:p>
      <w:pPr>
        <w:pStyle w:val="6"/>
        <w:spacing w:line="390" w:lineRule="exact"/>
        <w:ind w:firstLine="480"/>
      </w:pPr>
      <w:r>
        <w:t>4. 实习基地</w:t>
      </w:r>
    </w:p>
    <w:p>
      <w:pPr>
        <w:spacing w:line="390" w:lineRule="exact"/>
        <w:ind w:firstLine="480" w:firstLineChars="200"/>
        <w:rPr>
          <w:szCs w:val="24"/>
        </w:rPr>
      </w:pPr>
      <w:r>
        <w:rPr>
          <w:szCs w:val="24"/>
        </w:rPr>
        <w:t>现有校内教学实习基地1处，用于药用植物的种植、观察、实验材料采集以及药材的采收和初加工。校外教学基地6处，其中本年度在山东一方制药有限公司新建教学科研实践基地一处，其它实习基地包括山东步长制药有限公司、菏泽鄄城药材市场、山东宏济堂制药集团、莱芜市钢城区艾山街道九龙药谷、徂徕山林场等。每年教师带学生到实践基地和中药材市场进行教学实习和实践。</w:t>
      </w:r>
    </w:p>
    <w:p>
      <w:pPr>
        <w:pStyle w:val="6"/>
        <w:spacing w:line="390" w:lineRule="exact"/>
        <w:ind w:firstLine="480"/>
      </w:pPr>
      <w:r>
        <w:t>5. 现代教育技术应用</w:t>
      </w:r>
    </w:p>
    <w:p>
      <w:pPr>
        <w:spacing w:line="390" w:lineRule="exact"/>
        <w:ind w:firstLine="480" w:firstLineChars="200"/>
        <w:rPr>
          <w:szCs w:val="24"/>
        </w:rPr>
      </w:pPr>
      <w:r>
        <w:rPr>
          <w:szCs w:val="24"/>
        </w:rPr>
        <w:t>所有课程全部使用多媒体教学。部分课程已建立课程网站开展网络教学。两门课程已完成课程录制作为网络信息资源，以进一步方便学生学习，提高教学效果。学院积极鼓励老师应用多媒体、网络、微信平台、QQ平台、慕课(IMOOC)等方式进行教学。教师通过建立微信群等平台，接受学生的答疑，发布产业信息或新的研究成果，是课堂教学的有益补充，有效提高了教师与学生之间的互动交流。大大提高了教学和学习效果。疫情期间教师主要通过腾讯会议、雨课堂、智慧树等网络平台开展教学工作。2021年新上省级一流课程一门。学校图书馆建有数字化文献资源，学生可以方便的查阅文献资料。</w:t>
      </w:r>
    </w:p>
    <w:p>
      <w:pPr>
        <w:pStyle w:val="5"/>
        <w:spacing w:before="93" w:after="93" w:line="390" w:lineRule="exact"/>
        <w:ind w:firstLine="560"/>
      </w:pPr>
      <w:r>
        <w:t>四、培养机制与特色（产学研协同育人机制、合作办学、教学管理等）</w:t>
      </w:r>
    </w:p>
    <w:p>
      <w:pPr>
        <w:pStyle w:val="6"/>
        <w:spacing w:line="390" w:lineRule="exact"/>
        <w:ind w:firstLine="480"/>
      </w:pPr>
      <w:r>
        <w:t>1.</w:t>
      </w:r>
      <w:r>
        <w:rPr>
          <w:szCs w:val="24"/>
        </w:rPr>
        <w:t xml:space="preserve"> </w:t>
      </w:r>
      <w:r>
        <w:t>产学研协同育人机制</w:t>
      </w:r>
    </w:p>
    <w:p>
      <w:pPr>
        <w:spacing w:line="390" w:lineRule="exact"/>
        <w:ind w:firstLine="480" w:firstLineChars="200"/>
        <w:rPr>
          <w:szCs w:val="24"/>
        </w:rPr>
      </w:pPr>
      <w:r>
        <w:rPr>
          <w:szCs w:val="24"/>
        </w:rPr>
        <w:t>根据中药资源与开发专业多学科交叉的特点，树立开放办学思想，充分利用校内外各种教学资源，将教学、科研和生产紧密结合，努力探索本专业产学研协同培养机制与特色。</w:t>
      </w:r>
    </w:p>
    <w:p>
      <w:pPr>
        <w:spacing w:line="390" w:lineRule="exact"/>
        <w:ind w:firstLine="480" w:firstLineChars="200"/>
        <w:rPr>
          <w:szCs w:val="24"/>
        </w:rPr>
      </w:pPr>
      <w:r>
        <w:rPr>
          <w:szCs w:val="24"/>
        </w:rPr>
        <w:t>（1）优化人才培养方案，着力知识、素质与能力的协调发展：2018年修订的培养方案开始已在 2018级学生实施，该培养方案围绕学生的专业素质、综合素质和实践能力进行教学课程和环节的设置，进一步优化和强化实践教学，进一步增强产学研协同育人。在实践教学中，设置了认知实践、专业实践和毕业实习三大实践教学模块。认知实践在南校区的认知田、药乡林场、泰山、徂徕山国家森林公园、山东东阿阿胶股份有限公司等基地开展。专业实践主要包括教师指导下的药材生产、药物研发、科研训练、中药资源调查以及到药材市场和企业参观学习。毕业综合实践包括学生进实验室参与科学研究、到企业等单位实习和毕业论文写作、答辩等环节。另外，假期还有各种形式的社会调查和社会实践等工作，使学生主动了解社会和产业现状，培养独立分析问题和解决问题的能力，激发学生的学习兴趣和动力。2021年根据对人才培养的要求对培养方案进行了微调，优化了人才培养机制。</w:t>
      </w:r>
    </w:p>
    <w:p>
      <w:pPr>
        <w:spacing w:line="390" w:lineRule="exact"/>
        <w:ind w:firstLine="480" w:firstLineChars="200"/>
        <w:rPr>
          <w:szCs w:val="24"/>
        </w:rPr>
      </w:pPr>
      <w:r>
        <w:rPr>
          <w:szCs w:val="24"/>
        </w:rPr>
        <w:t>（2）强化实践教学：本学年组织2018级学生到山东步长制药有限公司、菏泽鄄城中药材市场、山东宏济堂制药集团、兴华中药饮片厂、尧舜牡丹有限公司、山东省中医院等单位参观实习等参观实习，2019级学生在标本园开展药材种植、管理和调查等实习实践，2020级学生到徂徕山林场采集和制作药用植物和药材标本。2020级和 2021级同学在暑假组织了多支社会实践团队，深入到药材基地和生产一线进行调研和技术指导，既服务于社会，又锻炼了学生，培养了学生的实践技能。</w:t>
      </w:r>
    </w:p>
    <w:p>
      <w:pPr>
        <w:spacing w:line="390" w:lineRule="exact"/>
        <w:ind w:firstLine="480" w:firstLineChars="200"/>
        <w:rPr>
          <w:szCs w:val="24"/>
        </w:rPr>
      </w:pPr>
      <w:r>
        <w:rPr>
          <w:szCs w:val="24"/>
        </w:rPr>
        <w:t>（3）不断改革和创新导师培养机制：现在一、二、三年级均设班主任，且实现</w:t>
      </w:r>
      <w:r>
        <w:rPr>
          <w:rFonts w:hint="eastAsia"/>
          <w:szCs w:val="24"/>
        </w:rPr>
        <w:t>“</w:t>
      </w:r>
      <w:r>
        <w:rPr>
          <w:szCs w:val="24"/>
        </w:rPr>
        <w:t>班主任+</w:t>
      </w:r>
      <w:r>
        <w:rPr>
          <w:rFonts w:hint="eastAsia"/>
          <w:szCs w:val="24"/>
        </w:rPr>
        <w:t>“</w:t>
      </w:r>
      <w:r>
        <w:rPr>
          <w:szCs w:val="24"/>
        </w:rPr>
        <w:t>工作和培养机制，使学生能在更多老师的指导下学习知识、锻炼技能和培养品格。三、四年级设立专业导师，每个学生可以根据兴趣和发展方向选择合适的导师。目前 2019、2020级的学生已进入实验室参与导师的科研工作，在导师的指导下开展毕业论文、创新创业训练等工作。导师对学生的培养机制也在不断改革，如开题报告由导师自由组织，不再由学院统一安排，导师对学生的课题要求也充分征求学生的意见，创新毕业论文模式。2019 和 2020 级学生已通过承担 SRT项目参与到科学研究中，在科研中培养专业技能和创新创业能力。在教学过程中教师积极引导更多学生参与大学生创新创业和科研训练，培养学生对科学研究的兴趣，使学生能更多更主动的去思考和解决专业方面的科学问题，提高学生的综合实践技能。</w:t>
      </w:r>
    </w:p>
    <w:p>
      <w:pPr>
        <w:spacing w:line="390" w:lineRule="exact"/>
        <w:ind w:firstLine="480" w:firstLineChars="200"/>
        <w:rPr>
          <w:szCs w:val="24"/>
        </w:rPr>
      </w:pPr>
      <w:r>
        <w:rPr>
          <w:szCs w:val="24"/>
        </w:rPr>
        <w:t>（4）充分利用校内外各种教学资源培养和提升学生的综合素质：充分利用学院</w:t>
      </w:r>
      <w:r>
        <w:rPr>
          <w:rFonts w:hint="eastAsia"/>
          <w:szCs w:val="24"/>
        </w:rPr>
        <w:t>“</w:t>
      </w:r>
      <w:r>
        <w:rPr>
          <w:szCs w:val="24"/>
        </w:rPr>
        <w:t>岱下学宫</w:t>
      </w:r>
      <w:r>
        <w:rPr>
          <w:rFonts w:hint="eastAsia"/>
          <w:szCs w:val="24"/>
        </w:rPr>
        <w:t>”</w:t>
      </w:r>
      <w:r>
        <w:rPr>
          <w:szCs w:val="24"/>
        </w:rPr>
        <w:t>、</w:t>
      </w:r>
      <w:r>
        <w:rPr>
          <w:rFonts w:hint="eastAsia"/>
          <w:szCs w:val="24"/>
        </w:rPr>
        <w:t>“</w:t>
      </w:r>
      <w:r>
        <w:rPr>
          <w:szCs w:val="24"/>
        </w:rPr>
        <w:t>名师导航</w:t>
      </w:r>
      <w:r>
        <w:rPr>
          <w:rFonts w:hint="eastAsia"/>
          <w:szCs w:val="24"/>
        </w:rPr>
        <w:t>”</w:t>
      </w:r>
      <w:r>
        <w:rPr>
          <w:szCs w:val="24"/>
        </w:rPr>
        <w:t>、</w:t>
      </w:r>
      <w:r>
        <w:rPr>
          <w:rFonts w:hint="eastAsia"/>
          <w:szCs w:val="24"/>
        </w:rPr>
        <w:t>“</w:t>
      </w:r>
      <w:r>
        <w:rPr>
          <w:szCs w:val="24"/>
        </w:rPr>
        <w:t>院长论坛</w:t>
      </w:r>
      <w:r>
        <w:rPr>
          <w:rFonts w:hint="eastAsia"/>
          <w:szCs w:val="24"/>
        </w:rPr>
        <w:t>”</w:t>
      </w:r>
      <w:r>
        <w:rPr>
          <w:szCs w:val="24"/>
        </w:rPr>
        <w:t>等教学活动让学生与不同方面的专家面对面交流，培养兴趣、砥砺品格。聘请企业专业或管理人为作为产业教授和创新创业导师，为学生授课和指导创新创业活动，使学生更多了解生产和经营实际，增长了知识，开拓了视野，提升了专业教育与产业的结合，推动了实践教学水平的提升，有效提高了实践教学效果。学院教学实验室、专业科研实验室以及国家重点实验室等向学生免费开放，为学生开展科学研究提供了良好的设备和条件。</w:t>
      </w:r>
    </w:p>
    <w:p>
      <w:pPr>
        <w:spacing w:line="390" w:lineRule="exact"/>
        <w:ind w:firstLine="480" w:firstLineChars="200"/>
        <w:rPr>
          <w:szCs w:val="24"/>
        </w:rPr>
      </w:pPr>
      <w:r>
        <w:rPr>
          <w:szCs w:val="24"/>
        </w:rPr>
        <w:t>通过以上产学研协同育人机制，使学生在知识学习、技能锻炼、素质培养等方面协同发展，为培养创新型高素质人才提供了多方面的平台支撑和保障。下一步将进一步加强与企事业单位的合作，尝试探索校外导师协作机制，共同培养适合不同就业方向的学生，进一步探索和完善产学研协同培养育人体系和机制。</w:t>
      </w:r>
    </w:p>
    <w:p>
      <w:pPr>
        <w:pStyle w:val="6"/>
        <w:spacing w:line="390" w:lineRule="exact"/>
        <w:ind w:firstLine="480"/>
      </w:pPr>
      <w:r>
        <w:t>2. 教学管理</w:t>
      </w:r>
    </w:p>
    <w:p>
      <w:pPr>
        <w:spacing w:line="390" w:lineRule="exact"/>
        <w:ind w:firstLine="480" w:firstLineChars="200"/>
        <w:rPr>
          <w:szCs w:val="24"/>
        </w:rPr>
      </w:pPr>
      <w:r>
        <w:rPr>
          <w:szCs w:val="24"/>
        </w:rPr>
        <w:t>学校、学院和专业都非常重视教学管理工作，进一步完善了管理组织和体制建设，形成了学院领导（院长、副院长）、教授委员会、院团委、系主任和专业主任以及教学督导全方位的教学管理体制，明确各有关机构和岗位职责，既重视目标管理，又重视过程管理，从体制上保障教学运行顺畅。学校制定了教师集体备课工作制度，印发了教师教学行为规范，学院也制定了相应的规章制度以及学生行为规范，使教和学两个环节更加规范和有序运行。专业内部也建有以专业教师为主体的专业建设领导小组，加强课堂、实验、实践等教学环节的管理和专业建设。</w:t>
      </w:r>
    </w:p>
    <w:p>
      <w:pPr>
        <w:spacing w:line="390" w:lineRule="exact"/>
        <w:ind w:firstLine="480" w:firstLineChars="200"/>
        <w:rPr>
          <w:szCs w:val="24"/>
        </w:rPr>
      </w:pPr>
      <w:r>
        <w:rPr>
          <w:szCs w:val="24"/>
        </w:rPr>
        <w:t>在具体的管理过程中，认真落实学校和学院制定的教学管理制度、实验室管理制度、教师集体备课制度、教师教学行为规范和专业建设管理制度等。实行院领导、系主任、专业主任随堂听课制度、教师学生教学质量评价制度、教学质量与成果奖励办法、毕业生就业跟踪调查制度等；教授委员会对教学重点工作进行审核；教学督导组对教学各环节进行检查监督；学生的日常管理主要由院团委和辅导员负责，学生的业务管理在一、二、三年级实行班主任和</w:t>
      </w:r>
      <w:r>
        <w:rPr>
          <w:rFonts w:hint="eastAsia"/>
          <w:szCs w:val="24"/>
        </w:rPr>
        <w:t>“</w:t>
      </w:r>
      <w:r>
        <w:rPr>
          <w:szCs w:val="24"/>
        </w:rPr>
        <w:t>班主任+</w:t>
      </w:r>
      <w:r>
        <w:rPr>
          <w:rFonts w:hint="eastAsia"/>
          <w:szCs w:val="24"/>
        </w:rPr>
        <w:t>“</w:t>
      </w:r>
      <w:r>
        <w:rPr>
          <w:szCs w:val="24"/>
        </w:rPr>
        <w:t>工作机制，三、四年级实行专业导师负责制。在教学管理的组织建设和运行机制方面正在逐步完善，并建立有效的激励机制和配套政策，激发教学管理人员的积极性和创造性，形成组织到位、制度到位、人员到位、方式方法到位和奖惩分明、环环相扣的管理新局面，确保教学运行顺畅，促进教学质量稳步提升。</w:t>
      </w:r>
    </w:p>
    <w:p>
      <w:pPr>
        <w:pStyle w:val="5"/>
        <w:spacing w:before="93" w:after="93"/>
        <w:ind w:firstLine="560"/>
      </w:pPr>
      <w:r>
        <w:t>五、培养质量（毕业生就业率、就业专业对口率、毕业生发展情况、就业单位满意率、社会对专业的评价、学生就读该专业的意愿等）</w:t>
      </w:r>
    </w:p>
    <w:p>
      <w:pPr>
        <w:pStyle w:val="6"/>
        <w:ind w:firstLine="480"/>
      </w:pPr>
      <w:r>
        <w:t>1.</w:t>
      </w:r>
      <w:r>
        <w:rPr>
          <w:szCs w:val="24"/>
        </w:rPr>
        <w:t xml:space="preserve"> </w:t>
      </w:r>
      <w:r>
        <w:t>毕业生就业情况</w:t>
      </w:r>
    </w:p>
    <w:p>
      <w:pPr>
        <w:ind w:firstLine="480" w:firstLineChars="200"/>
        <w:rPr>
          <w:szCs w:val="24"/>
        </w:rPr>
      </w:pPr>
      <w:r>
        <w:rPr>
          <w:szCs w:val="24"/>
        </w:rPr>
        <w:t>本专业 2022届毕业生共计44人，其中男生11人，占比25%，女生33人，占比75%；省内生源32人，占比72.73%，省外生源12人，占比27.78%，省外生源主要集中在云南省、黑龙江省、江西省等。毕业学生体质测试全部达标。毕业生学士学位授予率100%。截止2022年8月31日，毕业生就业34人，毕业去向落实率为77.27%，其中男生就业8人，毕业去向落实率为72.7%，女生就业26人，毕业去向落实率为78.79%。毕业生留鲁就业的15人，占已就业总人数的44.12%，其中到济南城市就业人数最多，占43.7%。出省就业共19人，占55.88%，主要流向江苏省、云南省、北京市等省份。</w:t>
      </w:r>
    </w:p>
    <w:p>
      <w:pPr>
        <w:spacing w:before="87"/>
        <w:ind w:left="343" w:right="620"/>
        <w:jc w:val="center"/>
        <w:rPr>
          <w:b/>
          <w:bCs/>
          <w:sz w:val="21"/>
          <w:szCs w:val="21"/>
        </w:rPr>
      </w:pPr>
      <w:r>
        <w:rPr>
          <w:b/>
          <w:bCs/>
          <w:sz w:val="21"/>
          <w:szCs w:val="21"/>
        </w:rPr>
        <w:t>表 1 毕业生毕业去向落实情况统计表</w:t>
      </w:r>
    </w:p>
    <w:tbl>
      <w:tblPr>
        <w:tblStyle w:val="1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28"/>
        <w:gridCol w:w="1256"/>
        <w:gridCol w:w="969"/>
        <w:gridCol w:w="1233"/>
        <w:gridCol w:w="1302"/>
        <w:gridCol w:w="1309"/>
        <w:gridCol w:w="155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0" w:hRule="atLeast"/>
          <w:jc w:val="center"/>
        </w:trPr>
        <w:tc>
          <w:tcPr>
            <w:tcW w:w="693" w:type="pct"/>
            <w:vAlign w:val="center"/>
          </w:tcPr>
          <w:p>
            <w:pPr>
              <w:pStyle w:val="26"/>
              <w:spacing w:before="8"/>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专业总人数</w:t>
            </w:r>
          </w:p>
        </w:tc>
        <w:tc>
          <w:tcPr>
            <w:tcW w:w="709" w:type="pct"/>
            <w:vAlign w:val="center"/>
          </w:tcPr>
          <w:p>
            <w:pPr>
              <w:pStyle w:val="26"/>
              <w:spacing w:before="8" w:line="240" w:lineRule="auto"/>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落实就业</w:t>
            </w:r>
          </w:p>
          <w:p>
            <w:pPr>
              <w:pStyle w:val="26"/>
              <w:spacing w:before="8" w:line="240" w:lineRule="auto"/>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人数</w:t>
            </w:r>
          </w:p>
        </w:tc>
        <w:tc>
          <w:tcPr>
            <w:tcW w:w="547" w:type="pct"/>
            <w:vAlign w:val="center"/>
          </w:tcPr>
          <w:p>
            <w:pPr>
              <w:pStyle w:val="26"/>
              <w:spacing w:before="8" w:line="240" w:lineRule="auto"/>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毕业去向落实率</w:t>
            </w:r>
          </w:p>
        </w:tc>
        <w:tc>
          <w:tcPr>
            <w:tcW w:w="696" w:type="pct"/>
            <w:vAlign w:val="center"/>
          </w:tcPr>
          <w:p>
            <w:pPr>
              <w:pStyle w:val="26"/>
              <w:spacing w:before="8" w:line="240" w:lineRule="auto"/>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男生毕业去向落实率</w:t>
            </w:r>
          </w:p>
        </w:tc>
        <w:tc>
          <w:tcPr>
            <w:tcW w:w="735" w:type="pct"/>
            <w:vAlign w:val="center"/>
          </w:tcPr>
          <w:p>
            <w:pPr>
              <w:pStyle w:val="26"/>
              <w:spacing w:before="8" w:line="240" w:lineRule="auto"/>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女生毕业去向落实率</w:t>
            </w:r>
          </w:p>
        </w:tc>
        <w:tc>
          <w:tcPr>
            <w:tcW w:w="739" w:type="pct"/>
            <w:vAlign w:val="center"/>
          </w:tcPr>
          <w:p>
            <w:pPr>
              <w:pStyle w:val="26"/>
              <w:spacing w:before="8" w:line="240" w:lineRule="auto"/>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留鲁就业人数占比</w:t>
            </w:r>
          </w:p>
        </w:tc>
        <w:tc>
          <w:tcPr>
            <w:tcW w:w="877" w:type="pct"/>
            <w:vAlign w:val="center"/>
          </w:tcPr>
          <w:p>
            <w:pPr>
              <w:pStyle w:val="26"/>
              <w:spacing w:before="8" w:line="240" w:lineRule="auto"/>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省外就业人数</w:t>
            </w:r>
          </w:p>
          <w:p>
            <w:pPr>
              <w:pStyle w:val="26"/>
              <w:spacing w:before="8" w:line="240" w:lineRule="auto"/>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占比</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5" w:hRule="atLeast"/>
          <w:jc w:val="center"/>
        </w:trPr>
        <w:tc>
          <w:tcPr>
            <w:tcW w:w="693" w:type="pct"/>
            <w:vAlign w:val="center"/>
          </w:tcPr>
          <w:p>
            <w:pPr>
              <w:pStyle w:val="26"/>
              <w:spacing w:before="8"/>
              <w:jc w:val="center"/>
              <w:rPr>
                <w:rFonts w:ascii="Times New Roman" w:hAnsi="Times New Roman" w:eastAsia="宋体" w:cs="Times New Roman"/>
                <w:sz w:val="21"/>
                <w:szCs w:val="21"/>
              </w:rPr>
            </w:pPr>
            <w:r>
              <w:rPr>
                <w:rFonts w:ascii="Times New Roman" w:hAnsi="Times New Roman" w:eastAsia="宋体" w:cs="Times New Roman"/>
                <w:sz w:val="21"/>
                <w:szCs w:val="21"/>
              </w:rPr>
              <w:t>44</w:t>
            </w:r>
          </w:p>
        </w:tc>
        <w:tc>
          <w:tcPr>
            <w:tcW w:w="709" w:type="pct"/>
            <w:vAlign w:val="center"/>
          </w:tcPr>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34</w:t>
            </w:r>
          </w:p>
        </w:tc>
        <w:tc>
          <w:tcPr>
            <w:tcW w:w="547" w:type="pct"/>
            <w:vAlign w:val="center"/>
          </w:tcPr>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77.27%</w:t>
            </w:r>
          </w:p>
        </w:tc>
        <w:tc>
          <w:tcPr>
            <w:tcW w:w="696" w:type="pct"/>
            <w:vAlign w:val="center"/>
          </w:tcPr>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(72.7%)</w:t>
            </w:r>
          </w:p>
        </w:tc>
        <w:tc>
          <w:tcPr>
            <w:tcW w:w="735" w:type="pct"/>
            <w:vAlign w:val="center"/>
          </w:tcPr>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(78.79%)</w:t>
            </w:r>
          </w:p>
        </w:tc>
        <w:tc>
          <w:tcPr>
            <w:tcW w:w="739" w:type="pct"/>
            <w:vAlign w:val="center"/>
          </w:tcPr>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(44.12%)</w:t>
            </w:r>
          </w:p>
        </w:tc>
        <w:tc>
          <w:tcPr>
            <w:tcW w:w="877" w:type="pct"/>
            <w:vAlign w:val="center"/>
          </w:tcPr>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(55.88%)</w:t>
            </w:r>
          </w:p>
        </w:tc>
      </w:tr>
    </w:tbl>
    <w:p>
      <w:pPr>
        <w:ind w:firstLine="480" w:firstLineChars="200"/>
        <w:rPr>
          <w:szCs w:val="24"/>
        </w:rPr>
      </w:pPr>
      <w:r>
        <w:rPr>
          <w:szCs w:val="24"/>
        </w:rPr>
        <w:t>毕业生就业方式主要包括升学、出国（境）、协议就业、劳动合同就业、其他形式就业、自由职业多种方式，本专业毕业去向中升学方式就业人数最多，其次是其他录用形式方式。毕业生国内升学20人，升学率45.55%，其中考入中国农业大学、中国药科大学、西北农林科技大学、南京中医药大学、天津中医药大学、东北农业大学、广西大学、西南大学等</w:t>
      </w:r>
      <w:r>
        <w:rPr>
          <w:rFonts w:hint="eastAsia"/>
          <w:szCs w:val="24"/>
        </w:rPr>
        <w:t>“</w:t>
      </w:r>
      <w:r>
        <w:rPr>
          <w:szCs w:val="24"/>
        </w:rPr>
        <w:t>双一流</w:t>
      </w:r>
      <w:r>
        <w:rPr>
          <w:rFonts w:hint="eastAsia"/>
          <w:szCs w:val="24"/>
        </w:rPr>
        <w:t>”</w:t>
      </w:r>
      <w:r>
        <w:rPr>
          <w:szCs w:val="24"/>
        </w:rPr>
        <w:t>大学12人，占国内升学总人数的60%。从升学专业来看，跨专业升学的3人，占国内升学总人数的15%。毕业生国外升学2人，升学率4.55%，升学学校主要是伯明翰大学、西交利物浦大学。毕业生当前所在工作单位或者所从事工作岗位与所学专业对口率较高的有10人，占已就业总人数的76.9%。</w:t>
      </w:r>
    </w:p>
    <w:p>
      <w:pPr>
        <w:pStyle w:val="26"/>
        <w:spacing w:before="8"/>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表 2 毕业生就业方式统计表</w:t>
      </w:r>
    </w:p>
    <w:tbl>
      <w:tblPr>
        <w:tblStyle w:val="1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97"/>
        <w:gridCol w:w="1095"/>
        <w:gridCol w:w="1173"/>
        <w:gridCol w:w="1385"/>
        <w:gridCol w:w="1401"/>
        <w:gridCol w:w="1274"/>
        <w:gridCol w:w="12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63" w:hRule="atLeast"/>
          <w:jc w:val="center"/>
        </w:trPr>
        <w:tc>
          <w:tcPr>
            <w:tcW w:w="732" w:type="pct"/>
            <w:vAlign w:val="center"/>
          </w:tcPr>
          <w:p>
            <w:pPr>
              <w:pStyle w:val="26"/>
              <w:spacing w:before="8" w:line="240" w:lineRule="auto"/>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就业方式</w:t>
            </w:r>
          </w:p>
        </w:tc>
        <w:tc>
          <w:tcPr>
            <w:tcW w:w="618" w:type="pct"/>
            <w:vAlign w:val="center"/>
          </w:tcPr>
          <w:p>
            <w:pPr>
              <w:pStyle w:val="26"/>
              <w:spacing w:before="8" w:line="240" w:lineRule="auto"/>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国内升学</w:t>
            </w:r>
          </w:p>
        </w:tc>
        <w:tc>
          <w:tcPr>
            <w:tcW w:w="662" w:type="pct"/>
            <w:vAlign w:val="center"/>
          </w:tcPr>
          <w:p>
            <w:pPr>
              <w:pStyle w:val="26"/>
              <w:spacing w:before="8" w:line="240" w:lineRule="auto"/>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出国</w:t>
            </w:r>
          </w:p>
        </w:tc>
        <w:tc>
          <w:tcPr>
            <w:tcW w:w="782" w:type="pct"/>
            <w:vAlign w:val="center"/>
          </w:tcPr>
          <w:p>
            <w:pPr>
              <w:pStyle w:val="26"/>
              <w:spacing w:before="8" w:line="240" w:lineRule="auto"/>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协议就业</w:t>
            </w:r>
          </w:p>
        </w:tc>
        <w:tc>
          <w:tcPr>
            <w:tcW w:w="791" w:type="pct"/>
            <w:vAlign w:val="center"/>
          </w:tcPr>
          <w:p>
            <w:pPr>
              <w:pStyle w:val="26"/>
              <w:spacing w:before="8" w:line="240" w:lineRule="auto"/>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劳动合同</w:t>
            </w:r>
          </w:p>
        </w:tc>
        <w:tc>
          <w:tcPr>
            <w:tcW w:w="719" w:type="pct"/>
            <w:vAlign w:val="center"/>
          </w:tcPr>
          <w:p>
            <w:pPr>
              <w:pStyle w:val="26"/>
              <w:spacing w:before="8" w:line="240" w:lineRule="auto"/>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其他形式</w:t>
            </w:r>
          </w:p>
        </w:tc>
        <w:tc>
          <w:tcPr>
            <w:tcW w:w="692" w:type="pct"/>
            <w:vAlign w:val="center"/>
          </w:tcPr>
          <w:p>
            <w:pPr>
              <w:pStyle w:val="26"/>
              <w:spacing w:before="8" w:line="240" w:lineRule="auto"/>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待就业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71" w:hRule="atLeast"/>
          <w:jc w:val="center"/>
        </w:trPr>
        <w:tc>
          <w:tcPr>
            <w:tcW w:w="732" w:type="pct"/>
            <w:vAlign w:val="center"/>
          </w:tcPr>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人数</w:t>
            </w:r>
          </w:p>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（比例）</w:t>
            </w:r>
          </w:p>
        </w:tc>
        <w:tc>
          <w:tcPr>
            <w:tcW w:w="618" w:type="pct"/>
            <w:vAlign w:val="center"/>
          </w:tcPr>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20</w:t>
            </w:r>
          </w:p>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（45.45%）</w:t>
            </w:r>
          </w:p>
        </w:tc>
        <w:tc>
          <w:tcPr>
            <w:tcW w:w="662" w:type="pct"/>
            <w:vAlign w:val="center"/>
          </w:tcPr>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2</w:t>
            </w:r>
          </w:p>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（4.5%）</w:t>
            </w:r>
          </w:p>
        </w:tc>
        <w:tc>
          <w:tcPr>
            <w:tcW w:w="782" w:type="pct"/>
            <w:vAlign w:val="center"/>
          </w:tcPr>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4</w:t>
            </w:r>
          </w:p>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（9.1%）</w:t>
            </w:r>
          </w:p>
        </w:tc>
        <w:tc>
          <w:tcPr>
            <w:tcW w:w="791" w:type="pct"/>
            <w:vAlign w:val="center"/>
          </w:tcPr>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1</w:t>
            </w:r>
          </w:p>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（2.3%）</w:t>
            </w:r>
          </w:p>
        </w:tc>
        <w:tc>
          <w:tcPr>
            <w:tcW w:w="719" w:type="pct"/>
            <w:vAlign w:val="center"/>
          </w:tcPr>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7</w:t>
            </w:r>
          </w:p>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（15.91%）</w:t>
            </w:r>
          </w:p>
        </w:tc>
        <w:tc>
          <w:tcPr>
            <w:tcW w:w="692" w:type="pct"/>
            <w:vAlign w:val="center"/>
          </w:tcPr>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10</w:t>
            </w:r>
          </w:p>
          <w:p>
            <w:pPr>
              <w:pStyle w:val="26"/>
              <w:spacing w:before="8" w:line="240" w:lineRule="auto"/>
              <w:jc w:val="center"/>
              <w:rPr>
                <w:rFonts w:ascii="Times New Roman" w:hAnsi="Times New Roman" w:eastAsia="宋体" w:cs="Times New Roman"/>
                <w:sz w:val="21"/>
                <w:szCs w:val="21"/>
              </w:rPr>
            </w:pPr>
            <w:r>
              <w:rPr>
                <w:rFonts w:ascii="Times New Roman" w:hAnsi="Times New Roman" w:eastAsia="宋体" w:cs="Times New Roman"/>
                <w:sz w:val="21"/>
                <w:szCs w:val="21"/>
              </w:rPr>
              <w:t>（22.73%）</w:t>
            </w:r>
          </w:p>
        </w:tc>
      </w:tr>
    </w:tbl>
    <w:p>
      <w:pPr>
        <w:spacing w:before="156" w:beforeLines="50"/>
        <w:ind w:firstLine="480" w:firstLineChars="200"/>
        <w:rPr>
          <w:szCs w:val="24"/>
        </w:rPr>
      </w:pPr>
      <w:r>
        <w:rPr>
          <w:szCs w:val="24"/>
        </w:rPr>
        <w:t>通过对未就业毕业生的调研发现，未就业原因主要是二战考研，占未就业毕业生的40%其次是就业期望值过高，占未就业毕业生的20%，暂无就业意愿，占未就业毕业生的20%，准备公务员事业编考试，占未就业毕业生的20%。</w:t>
      </w:r>
    </w:p>
    <w:p>
      <w:pPr>
        <w:pStyle w:val="6"/>
        <w:ind w:firstLine="480"/>
      </w:pPr>
      <w:r>
        <w:t>2. 毕业生发展情况</w:t>
      </w:r>
    </w:p>
    <w:p>
      <w:pPr>
        <w:spacing w:line="390" w:lineRule="exact"/>
        <w:ind w:firstLine="480" w:firstLineChars="200"/>
        <w:rPr>
          <w:szCs w:val="24"/>
        </w:rPr>
      </w:pPr>
      <w:r>
        <w:rPr>
          <w:szCs w:val="24"/>
        </w:rPr>
        <w:t>截至2021年9月底，2022届毕业生中20人到中国农业大学、中国药科大学、西北农林科技大学、南京中医药大学、天津中医药大学、沈阳药科大学、上海师范大学、西南大学、山东农业大学等高校攻读硕士研究生。2人到伯明翰大学和西交利物浦大学继续深造深造。其余同学多在医药产业相关企业从事生产、检验、管理、销售等工作，目前发展状况良好。以往毕业的本科生通过考取硕士、博士，毕业后已进入高校、科研机构、大型制药企业等从事技术、研发、教育等工作，毕业生受到就业单位的好评。</w:t>
      </w:r>
    </w:p>
    <w:p>
      <w:pPr>
        <w:pStyle w:val="6"/>
        <w:spacing w:line="390" w:lineRule="exact"/>
        <w:ind w:firstLine="480"/>
      </w:pPr>
      <w:r>
        <w:t>3. 社会对专业的评价</w:t>
      </w:r>
    </w:p>
    <w:p>
      <w:pPr>
        <w:spacing w:line="390" w:lineRule="exact"/>
        <w:ind w:firstLine="480" w:firstLineChars="200"/>
        <w:rPr>
          <w:szCs w:val="24"/>
        </w:rPr>
      </w:pPr>
      <w:r>
        <w:rPr>
          <w:szCs w:val="24"/>
        </w:rPr>
        <w:t>中药资源是中医药发展的基础，随着医药产业的不断发展， 中药资源的战略地位更加突出，人才需求不断增长。随着越来越多的专业人才在医药行业的发展和不断做出新的贡献，该专业在社会的影响力不断增强，社会声誉不断提高。已毕业的学生受到用人单位的好评。</w:t>
      </w:r>
    </w:p>
    <w:p>
      <w:pPr>
        <w:pStyle w:val="6"/>
        <w:spacing w:line="390" w:lineRule="exact"/>
        <w:ind w:firstLine="480"/>
      </w:pPr>
      <w:r>
        <w:t>4. 学生就读该专业的意愿</w:t>
      </w:r>
    </w:p>
    <w:p>
      <w:pPr>
        <w:spacing w:line="390" w:lineRule="exact"/>
        <w:ind w:firstLine="480" w:firstLineChars="200"/>
        <w:rPr>
          <w:szCs w:val="24"/>
        </w:rPr>
      </w:pPr>
      <w:r>
        <w:rPr>
          <w:szCs w:val="24"/>
        </w:rPr>
        <w:t>2022年农学院实行专业和大类招生相结合的方式。中药资源与开发专业实行专业招生，计划招收25人，全额录满，其中大部分是一志愿报考。在山东省录取的学生高考分数均在510分以上，录取成绩位次居学校总体录取成绩位次的中上游。另外，专业分流时对本专业感兴趣的学生也可以选择本专业就读，2021级有2名其它专业学生转入本专业。</w:t>
      </w:r>
    </w:p>
    <w:p>
      <w:pPr>
        <w:pStyle w:val="5"/>
        <w:spacing w:before="93" w:after="93" w:line="390" w:lineRule="exact"/>
        <w:ind w:firstLine="560"/>
      </w:pPr>
      <w:r>
        <w:t>六、毕业生就业创业（创业情况、采取的措施、典型案例等）</w:t>
      </w:r>
    </w:p>
    <w:p>
      <w:pPr>
        <w:spacing w:line="390" w:lineRule="exact"/>
        <w:ind w:firstLine="480" w:firstLineChars="200"/>
        <w:rPr>
          <w:szCs w:val="24"/>
        </w:rPr>
      </w:pPr>
      <w:r>
        <w:rPr>
          <w:szCs w:val="24"/>
        </w:rPr>
        <w:t>2022 届毕业生目前还没有学生自主创业。在大众创业、万众创新的大背景下，为促进学生的就业创业，学校和学院高度重视大学生创业孵化基地建设，为在校生营造了良好的条件和浓郁的创新创业氛围，学生组建和参与多支创新创业团队，积极参加各级各类创业竞赛。教师加强对创业团队的指导，切实培养和提高学生的创新创业能力，为学生毕业后自主创业奠定了良好的人才培养基础。</w:t>
      </w:r>
    </w:p>
    <w:p>
      <w:pPr>
        <w:pStyle w:val="5"/>
        <w:spacing w:before="93" w:after="93" w:line="390" w:lineRule="exact"/>
        <w:ind w:firstLine="560"/>
      </w:pPr>
      <w:r>
        <w:t>七、专业人才社会需求分析及专业发展趋势分析</w:t>
      </w:r>
    </w:p>
    <w:p>
      <w:pPr>
        <w:keepNext w:val="0"/>
        <w:keepLines w:val="0"/>
        <w:pageBreakBefore w:val="0"/>
        <w:widowControl w:val="0"/>
        <w:kinsoku/>
        <w:wordWrap/>
        <w:overflowPunct/>
        <w:topLinePunct w:val="0"/>
        <w:autoSpaceDE/>
        <w:autoSpaceDN/>
        <w:bidi w:val="0"/>
        <w:adjustRightInd/>
        <w:snapToGrid/>
        <w:spacing w:line="370" w:lineRule="exact"/>
        <w:ind w:firstLine="480" w:firstLineChars="200"/>
        <w:textAlignment w:val="auto"/>
        <w:rPr>
          <w:szCs w:val="24"/>
        </w:rPr>
      </w:pPr>
      <w:r>
        <w:rPr>
          <w:szCs w:val="24"/>
        </w:rPr>
        <w:t>中药资源已成为国家战略资源，是中医药健康可持续发展的基础，同时具有独特的文化和经济价值。中药资源可持续发展是我国中医药现代化面临的重要课题，直接关系到人民健康、医药产业发展和生态安全等方面。野生资源的无序采收已导致资源的匮乏和质量下降，不能满足当前和今后国内外对中医药的巨大需求。近年来国家非常重视中药资源的保护和发展，中共中央、国务院印发《中医药发展战略规划纲要（2016-2030）》，明确了十三五及今后一段时期中医药发展的目标和任务。2021年1月，国务院办公厅印发《关于加快中医药特色发展的若干政策措施》，进一步加大对中医药发展的支持力度。在未来较长的时期内，中药资源的发展和保护、中药资源的可持续利用、中药材规模化规范化生产、中药资源质量保证和提升、中药资源的流通体系以及中药资源人才建设将是中药资源产业发展的主要任务和需要解决的主要问题。特别是在中医药现代化和国际化不断发展趋势下，在国家积极发展大健康产业的背景下，本专业人才需求将不断增长。</w:t>
      </w:r>
    </w:p>
    <w:p>
      <w:pPr>
        <w:keepNext w:val="0"/>
        <w:keepLines w:val="0"/>
        <w:pageBreakBefore w:val="0"/>
        <w:widowControl w:val="0"/>
        <w:kinsoku/>
        <w:wordWrap/>
        <w:overflowPunct/>
        <w:topLinePunct w:val="0"/>
        <w:autoSpaceDE/>
        <w:autoSpaceDN/>
        <w:bidi w:val="0"/>
        <w:adjustRightInd/>
        <w:snapToGrid/>
        <w:spacing w:line="370" w:lineRule="exact"/>
        <w:ind w:firstLine="480" w:firstLineChars="200"/>
        <w:textAlignment w:val="auto"/>
        <w:rPr>
          <w:szCs w:val="24"/>
        </w:rPr>
      </w:pPr>
      <w:r>
        <w:rPr>
          <w:szCs w:val="24"/>
        </w:rPr>
        <w:t>在教育部高校专业目录中，中药资源与开发是中药学类设置的两个专业之一，目前主要在中医药大学和农业大学开设此专业。下一步随着本专业人才需求量的不断增加，可能会有更多的学校开设此专业或相关专业，会在一定程度上增加毕业生的考研和就业竞争压力。如何突出特色，增强本专业人才的竞争力已成为当前学生培养过程中需要着力解决的重要问题。中药资源与开发专业为中药学和农学交叉学科，我校该专业依托农学院相关学科，农学基础和实力雄厚，在栽培、育种等方面师资力量强大，是该专业的优势之一，同时，作物生物学国家重点实验室等平台也为科学研究提供了良好的仪器设备条件。为充分适应社会对专业人才的需求，下一步该专业在人才培养上拟探索分类培养，通过多种方式和措施，一方面培养以栽培、育种为强项的人才，另一方面培养以医药生产、质量检验和中药资源开发利用为强项的人才，更好适应社会对不同人才的需求，增强本专业的发展实力和专业竞争力。</w:t>
      </w:r>
    </w:p>
    <w:p>
      <w:pPr>
        <w:pStyle w:val="5"/>
        <w:spacing w:before="93" w:after="93" w:line="390" w:lineRule="exact"/>
        <w:ind w:firstLine="560"/>
      </w:pPr>
      <w:r>
        <w:t>八、存在的问题及拟采取的对策措施</w:t>
      </w:r>
    </w:p>
    <w:p>
      <w:pPr>
        <w:keepNext w:val="0"/>
        <w:keepLines w:val="0"/>
        <w:pageBreakBefore w:val="0"/>
        <w:widowControl w:val="0"/>
        <w:kinsoku/>
        <w:wordWrap/>
        <w:overflowPunct/>
        <w:topLinePunct w:val="0"/>
        <w:autoSpaceDE/>
        <w:autoSpaceDN/>
        <w:bidi w:val="0"/>
        <w:adjustRightInd/>
        <w:snapToGrid/>
        <w:spacing w:line="380" w:lineRule="exact"/>
        <w:ind w:firstLine="600" w:firstLineChars="250"/>
        <w:textAlignment w:val="auto"/>
        <w:rPr>
          <w:szCs w:val="24"/>
        </w:rPr>
      </w:pPr>
      <w:r>
        <w:rPr>
          <w:szCs w:val="24"/>
        </w:rPr>
        <w:t>本专业自组建以来，各方面运行状况良好，在教学和科研条件建设方面不断发展，打下了较好的基础。然而也存在多方面的问题需要解决，从而进一步增强专业实力和竞争力。经过综合分析，以下方面的问题较为突出，同时提出了相应的对策措施：</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szCs w:val="24"/>
        </w:rPr>
      </w:pPr>
      <w:r>
        <w:rPr>
          <w:szCs w:val="24"/>
        </w:rPr>
        <w:t>（1）师资队伍规模仍然偏小，部分专业课缺乏师资，40岁以下青年教师缺乏，实验教学辅助人员不足，在一定程度上制约了本专业的教学科研工作和可持续发展。下一步应加强师资队伍建设，引进兼顾教学和科研的青年博士，或聘任国内外有影响力的专家任兼职教授或学科带头人，同时加强现有教师外出培训和学习交流，不断提升教学科研水平。</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szCs w:val="24"/>
        </w:rPr>
      </w:pPr>
      <w:r>
        <w:rPr>
          <w:szCs w:val="24"/>
        </w:rPr>
        <w:t>（2）人才培养模式有待进一步改进和完善。在人才培养上既要突出专业优势和特色，又要适应社会对人才需求的不断变化，加强教学改革，创新人才培养模式。加强主干课程精品化建设和课程网站建设，优化课程教学内容，改进教学方式方法，切实提高人才培养水平。另外，根据本专业课程多，师资缺乏的现状，需积极聘请企事业单位的高级人才和专业能手为学生上课，在传授知识的同时使学生更多了解企事业单位的生产、经营和管理，提高学生的专业技能和工作能力。积极引导和支持学生参加科研训练、创新创业等各种实践活动，增强学生的实践能力和创新创业能力。</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szCs w:val="24"/>
        </w:rPr>
      </w:pPr>
      <w:r>
        <w:rPr>
          <w:szCs w:val="24"/>
        </w:rPr>
        <w:t>（3）实验教学软硬件设施和条件还需进一步加强。要建立建立补充和更新中药材和中药饮片标本的长效机制，切实加强标本的教学功能。建立各实验室仪器设备的补充、更新和维护工作长效机制，确实保障实验教学顺利进行。</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szCs w:val="24"/>
        </w:rPr>
      </w:pPr>
      <w:r>
        <w:rPr>
          <w:szCs w:val="24"/>
        </w:rPr>
        <w:t>（4）实践教学条件和产学研联合育人有待加强。目前的教学实践基地虽然能满足实践教学需求，但实践基地的教学功能需要进一步强化，或适量增加教学实践基地数量，或聘请与本专业相关的企业专家进校交流、讲学、合作科研或兼职工作。专业研究平台的建设条件会对本科生培养和专业竞争力产生一定影响，下一步将进一步加强平台建设，为本科生的培养和深造提供更好的条件保障。</w:t>
      </w: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pPr>
      <w:bookmarkStart w:id="25" w:name="_Toc24087"/>
      <w:bookmarkStart w:id="26" w:name="_Toc10817"/>
      <w:bookmarkStart w:id="27" w:name="_Toc23831"/>
      <w:bookmarkStart w:id="28" w:name="_Toc32325"/>
      <w:r>
        <w:t>专业</w:t>
      </w:r>
      <w:r>
        <w:rPr>
          <w:lang w:val="en-US"/>
        </w:rPr>
        <w:t>五</w:t>
      </w:r>
      <w:r>
        <w:t>：制药工程</w:t>
      </w:r>
      <w:bookmarkStart w:id="29" w:name="_Toc439228910"/>
      <w:bookmarkStart w:id="30" w:name="_Toc439256171"/>
      <w:bookmarkStart w:id="31" w:name="_Toc439226695"/>
      <w:r>
        <w:t>（农药方向</w:t>
      </w:r>
      <w:bookmarkEnd w:id="29"/>
      <w:bookmarkEnd w:id="30"/>
      <w:bookmarkEnd w:id="31"/>
      <w:r>
        <w:t>）</w:t>
      </w:r>
      <w:bookmarkEnd w:id="25"/>
      <w:bookmarkEnd w:id="26"/>
      <w:bookmarkEnd w:id="27"/>
      <w:bookmarkEnd w:id="28"/>
    </w:p>
    <w:p>
      <w:pPr>
        <w:pStyle w:val="5"/>
        <w:spacing w:before="93" w:after="93"/>
        <w:ind w:firstLine="560"/>
      </w:pPr>
      <w:r>
        <w:t>一、培养目标与规格</w:t>
      </w:r>
    </w:p>
    <w:p>
      <w:pPr>
        <w:ind w:firstLine="480"/>
      </w:pPr>
      <w:r>
        <w:t>本专业培养具备崇高思想道德修养、有强烈的社会责任感和人文情怀，坚实的化学和生物科学基础知识与基本技能，掌握农药类别、应用技术、制剂加工、生产工艺、检验分析等方面的知识和实践技能，具有较强的实践能力、创新思维、国际视野和团队精神，能够从事与农药制药工程有关的宽口径、复合型高级工程技术人才。</w:t>
      </w:r>
    </w:p>
    <w:p>
      <w:pPr>
        <w:pStyle w:val="5"/>
        <w:spacing w:before="93" w:after="93"/>
        <w:ind w:firstLine="560"/>
      </w:pPr>
      <w:r>
        <w:t>二、培养能力（专业基本情况、在校生规模、课程体系、创新创业教育等）</w:t>
      </w:r>
    </w:p>
    <w:p>
      <w:pPr>
        <w:pStyle w:val="6"/>
        <w:ind w:firstLine="480"/>
      </w:pPr>
      <w:r>
        <w:t>1.专业基本情况</w:t>
      </w:r>
    </w:p>
    <w:p>
      <w:pPr>
        <w:ind w:firstLine="480"/>
      </w:pPr>
      <w:r>
        <w:t>制药工程专业2001年经教育部批准设置，2002年开始招生，2012年被评为山东省特色专业，是山东省专业分类拨款A类专业，2019年获评山东省一流本科专业建设点。专业依托植物保护一级学科博士点、硕士点、博士后科研流动站，以及</w:t>
      </w:r>
      <w:r>
        <w:rPr>
          <w:rFonts w:hint="eastAsia"/>
        </w:rPr>
        <w:t>“</w:t>
      </w:r>
      <w:r>
        <w:t>农业农村部农药环境毒理研究中心（泰安）</w:t>
      </w:r>
      <w:r>
        <w:rPr>
          <w:rFonts w:hint="eastAsia"/>
        </w:rPr>
        <w:t>”</w:t>
      </w:r>
      <w:r>
        <w:t>和</w:t>
      </w:r>
      <w:r>
        <w:rPr>
          <w:rFonts w:hint="eastAsia"/>
        </w:rPr>
        <w:t>“</w:t>
      </w:r>
      <w:r>
        <w:t>山东省高校农药毒理与应用技术重点实验室</w:t>
      </w:r>
      <w:r>
        <w:rPr>
          <w:rFonts w:hint="eastAsia"/>
        </w:rPr>
        <w:t>”</w:t>
      </w:r>
      <w:r>
        <w:t>，本专业对植物保护一级学科起到了较强的支撑作用。</w:t>
      </w:r>
    </w:p>
    <w:p>
      <w:pPr>
        <w:pStyle w:val="6"/>
        <w:ind w:firstLine="480"/>
      </w:pPr>
      <w:r>
        <w:t>2.在校生规模</w:t>
      </w:r>
    </w:p>
    <w:p>
      <w:pPr>
        <w:ind w:firstLine="480"/>
      </w:pPr>
      <w:r>
        <w:t>每年招收本科生50名左右，在校生规模180人。</w:t>
      </w:r>
    </w:p>
    <w:p>
      <w:pPr>
        <w:pStyle w:val="6"/>
        <w:ind w:firstLine="480"/>
      </w:pPr>
      <w:r>
        <w:t>3.课程体系</w:t>
      </w:r>
    </w:p>
    <w:p>
      <w:pPr>
        <w:ind w:firstLine="482"/>
      </w:pPr>
      <w:r>
        <w:rPr>
          <w:bCs/>
        </w:rPr>
        <w:t>主干学科：</w:t>
      </w:r>
      <w:r>
        <w:t>农药学、化学、化学工程与技术。</w:t>
      </w:r>
    </w:p>
    <w:p>
      <w:pPr>
        <w:ind w:firstLine="482"/>
      </w:pPr>
      <w:r>
        <w:t>农药学、农药化工原理、农药合成、农药生物测定、制药工艺学、农药制剂学、农药分析，等。。</w:t>
      </w:r>
    </w:p>
    <w:p>
      <w:pPr>
        <w:ind w:firstLine="482"/>
      </w:pPr>
      <w:r>
        <w:t>在课程建设方面，重点做了如下4方面的工作：1）采取专、兼职相结合的方式加强教师队伍建设。2）通过教材建设，完善教学条件，提高师资水平。本学科薛超彬教授参编了普通高等教育农业农村部</w:t>
      </w:r>
      <w:r>
        <w:rPr>
          <w:rFonts w:hint="eastAsia"/>
        </w:rPr>
        <w:t>“</w:t>
      </w:r>
      <w:r>
        <w:t>十四五</w:t>
      </w:r>
      <w:r>
        <w:rPr>
          <w:rFonts w:hint="eastAsia"/>
        </w:rPr>
        <w:t>”</w:t>
      </w:r>
      <w:r>
        <w:t>规划教材《农药毒理学》；王金信教授和刘峰教授参编全国高等农林院校</w:t>
      </w:r>
      <w:r>
        <w:rPr>
          <w:rFonts w:hint="eastAsia"/>
        </w:rPr>
        <w:t>“</w:t>
      </w:r>
      <w:r>
        <w:t>十三五</w:t>
      </w:r>
      <w:r>
        <w:rPr>
          <w:rFonts w:hint="eastAsia"/>
        </w:rPr>
        <w:t>”</w:t>
      </w:r>
      <w:r>
        <w:t>规划教材《植物化学保护（第五版）》。3）通过课程建设提高教学效果。制药工程必修课程其内容涉及面广、理论性强、内容更新快、教学难度大。2019年完成《植物化学保护学》慕课在线课程建设，对学生学习相关课程提供了在线学习资源；2021年《植物化学保护学》获评山东省一流本科课程；2022年9月《农药生物测定》获评山东农业大学一流本科课程。</w:t>
      </w:r>
    </w:p>
    <w:p>
      <w:pPr>
        <w:spacing w:line="380" w:lineRule="exact"/>
        <w:ind w:firstLine="480"/>
      </w:pPr>
      <w:r>
        <w:t>在创新创业教育方面，学院为深化创新创业教育的改革，完善以建立专业和社会需求的创新创业教育，本专业以抓好创新教育作为主要目标，采取如下措施：</w:t>
      </w:r>
    </w:p>
    <w:p>
      <w:pPr>
        <w:spacing w:line="380" w:lineRule="exact"/>
        <w:ind w:firstLine="480"/>
      </w:pPr>
      <w:r>
        <w:t>1）帮助同学们了解掌握自己专业的特色、专业技能、优势，市场等，提高同学们的创新创业热情，同时不定期对本专业的同学实施专业交流检查，营造良好的创新创业氛围。</w:t>
      </w:r>
    </w:p>
    <w:p>
      <w:pPr>
        <w:spacing w:line="380" w:lineRule="exact"/>
        <w:ind w:firstLine="480"/>
      </w:pPr>
      <w:r>
        <w:t>2）立足于学科和专业交叉，走进实验室，帮助学生全面了解SRT（大学生研究训练计划）的具体含义、研究过程及研究意义。在2018级制药专业53名同学中，有24人参加SRT项目，占45.28%</w:t>
      </w:r>
    </w:p>
    <w:p>
      <w:pPr>
        <w:spacing w:line="380" w:lineRule="exact"/>
        <w:ind w:firstLine="480"/>
      </w:pPr>
      <w:r>
        <w:t>3）组织学生深入农药企业、农药经营场所，了解当下社会对农药的需求情况。运用专业知识解决农药问题等痛点，真正发挥检验专业人才培养的效果。</w:t>
      </w:r>
    </w:p>
    <w:p>
      <w:pPr>
        <w:spacing w:line="380" w:lineRule="exact"/>
        <w:ind w:firstLine="480"/>
      </w:pPr>
      <w:r>
        <w:t>4）理论实践相互结合，以学好专业知识为基础，利用假期参加社会调查和实践活动，增加专业学生的实习经历与经验，提高人才培养效果。</w:t>
      </w:r>
    </w:p>
    <w:p>
      <w:pPr>
        <w:spacing w:line="380" w:lineRule="exact"/>
        <w:ind w:firstLine="480"/>
      </w:pPr>
      <w:r>
        <w:t>5）宣传引导营造良好氛围方面，树立和宣传大学生创业成功典型事例，让更多的同学加入到敢闯敢创的行业中去。</w:t>
      </w:r>
    </w:p>
    <w:p>
      <w:pPr>
        <w:pStyle w:val="5"/>
        <w:spacing w:before="93" w:after="93"/>
        <w:ind w:firstLine="560"/>
      </w:pPr>
      <w:r>
        <w:t>三、培养条件（教学经费投入、教学设备、教师队伍建设、实习基地、现代教学技术应用等）</w:t>
      </w:r>
    </w:p>
    <w:p>
      <w:pPr>
        <w:pStyle w:val="6"/>
        <w:ind w:firstLine="480"/>
      </w:pPr>
      <w:r>
        <w:t>1.教学经费投入</w:t>
      </w:r>
    </w:p>
    <w:p>
      <w:pPr>
        <w:ind w:firstLine="480"/>
      </w:pPr>
      <w:r>
        <w:t>2021-2022学年，教学基本运行经费100余万元，2016年植保专业被批复为首批高水平应用型立项专业，获批经费2000万元，2018年度投入400万元，农药专业作为专业建设群辐射专业，投入110万元，农业部认证的农药环境毒理研究中心投入320万元。2021-2022学年实验中心年度总支出约24万元，上述经费主要用于教学实验仪器购置，学科平台和大学生创新创业基地的建设，满足高层次创新创业等</w:t>
      </w:r>
      <w:r>
        <w:rPr>
          <w:rFonts w:hint="eastAsia"/>
        </w:rPr>
        <w:t>“</w:t>
      </w:r>
      <w:r>
        <w:t>四有人才</w:t>
      </w:r>
      <w:r>
        <w:rPr>
          <w:rFonts w:hint="eastAsia"/>
        </w:rPr>
        <w:t>”</w:t>
      </w:r>
      <w:r>
        <w:t>培养。</w:t>
      </w:r>
    </w:p>
    <w:p>
      <w:pPr>
        <w:pStyle w:val="6"/>
        <w:ind w:firstLine="480"/>
      </w:pPr>
      <w:r>
        <w:t>2.教学设备</w:t>
      </w:r>
    </w:p>
    <w:p>
      <w:pPr>
        <w:ind w:firstLine="480"/>
      </w:pPr>
      <w:r>
        <w:rPr>
          <w:szCs w:val="24"/>
        </w:rPr>
        <w:t>经过10多年的建设，目前</w:t>
      </w:r>
      <w:r>
        <w:t>实验室总面积3686.14平方米，</w:t>
      </w:r>
      <w:r>
        <w:rPr>
          <w:szCs w:val="24"/>
        </w:rPr>
        <w:t>用于教学的仪器设备齐全，能够完成大部分的常规试验。</w:t>
      </w:r>
      <w:r>
        <w:t>主要有紫外及荧光分光光度计、气相及液相色谱仪、普通及荧光定量PCR仪、各种型号离心机、人工降雨设备、酶标仪等仪器600余件。其中2019-2020学年新增仪器有百伦BLBIO-20SJA不锈钢发酵罐、显微体试镜以及旧仪器换新等，新增教学仪器设备值达138万元。仪器实验中心教学仪器设备总值达2077万元，可满足教学和学生创新研究的需要。</w:t>
      </w:r>
    </w:p>
    <w:p>
      <w:pPr>
        <w:ind w:firstLine="480"/>
        <w:rPr>
          <w:szCs w:val="24"/>
        </w:rPr>
      </w:pPr>
    </w:p>
    <w:p>
      <w:pPr>
        <w:spacing w:line="240" w:lineRule="auto"/>
        <w:jc w:val="center"/>
        <w:rPr>
          <w:rFonts w:eastAsia="仿宋_GB2312"/>
        </w:rPr>
      </w:pPr>
      <w:r>
        <w:rPr>
          <w:rFonts w:eastAsia="仿宋_GB2312"/>
        </w:rPr>
        <w:drawing>
          <wp:inline distT="0" distB="0" distL="0" distR="0">
            <wp:extent cx="2426335" cy="1828800"/>
            <wp:effectExtent l="0" t="0" r="12065" b="0"/>
            <wp:docPr id="77" name="图片 4" descr="C:\Users\jiang\Desktop\微信图片_2018111120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 descr="C:\Users\jiang\Desktop\微信图片_2018111120044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2426335" cy="1828800"/>
                    </a:xfrm>
                    <a:prstGeom prst="rect">
                      <a:avLst/>
                    </a:prstGeom>
                    <a:noFill/>
                    <a:ln>
                      <a:noFill/>
                    </a:ln>
                  </pic:spPr>
                </pic:pic>
              </a:graphicData>
            </a:graphic>
          </wp:inline>
        </w:drawing>
      </w:r>
      <w:r>
        <w:rPr>
          <w:rFonts w:eastAsia="仿宋_GB2312"/>
        </w:rPr>
        <w:t xml:space="preserve">  </w:t>
      </w:r>
      <w:r>
        <w:rPr>
          <w:rFonts w:eastAsia="仿宋_GB2312"/>
        </w:rPr>
        <w:drawing>
          <wp:inline distT="0" distB="0" distL="0" distR="0">
            <wp:extent cx="2442210" cy="1828800"/>
            <wp:effectExtent l="0" t="0" r="15240" b="0"/>
            <wp:docPr id="78" name="图片 3" descr="C:\Users\jiang\Desktop\微信图片_2018111120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 descr="C:\Users\jiang\Desktop\微信图片_2018111120034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2442210" cy="1828800"/>
                    </a:xfrm>
                    <a:prstGeom prst="rect">
                      <a:avLst/>
                    </a:prstGeom>
                    <a:noFill/>
                    <a:ln>
                      <a:noFill/>
                    </a:ln>
                  </pic:spPr>
                </pic:pic>
              </a:graphicData>
            </a:graphic>
          </wp:inline>
        </w:drawing>
      </w:r>
    </w:p>
    <w:p>
      <w:pPr>
        <w:spacing w:line="240" w:lineRule="auto"/>
        <w:jc w:val="center"/>
        <w:rPr>
          <w:rFonts w:eastAsia="仿宋_GB2312"/>
        </w:rPr>
      </w:pPr>
      <w:r>
        <w:rPr>
          <w:rFonts w:eastAsia="仿宋_GB2312"/>
        </w:rPr>
        <w:drawing>
          <wp:inline distT="0" distB="0" distL="0" distR="0">
            <wp:extent cx="2473325" cy="1860550"/>
            <wp:effectExtent l="0" t="0" r="3175" b="6350"/>
            <wp:docPr id="79" name="图片 2" descr="C:\Users\jiang\Desktop\微信图片_2018111120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descr="C:\Users\jiang\Desktop\微信图片_2018111120123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2473325" cy="1860550"/>
                    </a:xfrm>
                    <a:prstGeom prst="rect">
                      <a:avLst/>
                    </a:prstGeom>
                    <a:noFill/>
                    <a:ln>
                      <a:noFill/>
                    </a:ln>
                  </pic:spPr>
                </pic:pic>
              </a:graphicData>
            </a:graphic>
          </wp:inline>
        </w:drawing>
      </w:r>
      <w:r>
        <w:rPr>
          <w:rFonts w:eastAsia="仿宋_GB2312"/>
        </w:rPr>
        <w:t xml:space="preserve">  </w:t>
      </w:r>
      <w:r>
        <w:rPr>
          <w:rFonts w:eastAsia="仿宋_GB2312"/>
        </w:rPr>
        <w:drawing>
          <wp:inline distT="0" distB="0" distL="0" distR="0">
            <wp:extent cx="2473325" cy="1860550"/>
            <wp:effectExtent l="0" t="0" r="3175" b="6350"/>
            <wp:docPr id="80" name="图片 1" descr="C:\Users\jiang\Desktop\微信图片_2018111120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 descr="C:\Users\jiang\Desktop\微信图片_2018111120143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473325" cy="1860550"/>
                    </a:xfrm>
                    <a:prstGeom prst="rect">
                      <a:avLst/>
                    </a:prstGeom>
                    <a:noFill/>
                    <a:ln>
                      <a:noFill/>
                    </a:ln>
                  </pic:spPr>
                </pic:pic>
              </a:graphicData>
            </a:graphic>
          </wp:inline>
        </w:drawing>
      </w:r>
    </w:p>
    <w:p>
      <w:pPr>
        <w:jc w:val="center"/>
        <w:rPr>
          <w:b/>
          <w:bCs/>
          <w:sz w:val="21"/>
          <w:szCs w:val="21"/>
        </w:rPr>
      </w:pPr>
      <w:r>
        <w:rPr>
          <w:b/>
          <w:bCs/>
          <w:sz w:val="21"/>
          <w:szCs w:val="21"/>
        </w:rPr>
        <w:t>图1  制药工程专业教学实验室条件（部分）</w:t>
      </w:r>
    </w:p>
    <w:p>
      <w:pPr>
        <w:pStyle w:val="6"/>
        <w:ind w:firstLine="480"/>
      </w:pPr>
      <w:r>
        <w:t>3.教师队伍建设</w:t>
      </w:r>
    </w:p>
    <w:p>
      <w:pPr>
        <w:ind w:firstLine="480"/>
      </w:pPr>
      <w:r>
        <w:t>专业现有专任和兼任教师19人，专任13人，兼任6人。专任教师有教授3人、副教授9人、讲师1人，全部拥有博士学位，2人先后担任山东省现代农业产业体系岗位专家。外聘兼职教授6人，兼任教师全部为高级职称，在国内行业中有较高的知名度。外聘兼职教授6人，山东省农药协会理事长许辉教授级高工、原山东省农药检定所所长杨理健研究员、山东省植物保护总站副站长李洪刚高级农艺师、山东华阳科技股份有限公司总经理闫新华高级工程师、山东胜邦绿野化学有限公司总经理王永星高级工程师和山东鲁抗生物农药有限公司总经理彭欣高级工程师。兼任教师全部为高级职称，在国内行业中有较高的知名度。</w:t>
      </w:r>
    </w:p>
    <w:p>
      <w:pPr>
        <w:ind w:firstLine="480"/>
      </w:pPr>
      <w:r>
        <w:t>为了加强教师队伍建设，提高教学质量，农药学系老师每两个周都进行一次集体备课和教学研讨，对于年轻教师教学质量提高作用显著。</w:t>
      </w:r>
    </w:p>
    <w:p>
      <w:pPr>
        <w:spacing w:line="240" w:lineRule="auto"/>
        <w:jc w:val="center"/>
        <w:rPr>
          <w:b/>
          <w:bCs/>
          <w:sz w:val="21"/>
          <w:szCs w:val="21"/>
        </w:rPr>
      </w:pPr>
      <w:r>
        <w:rPr>
          <w:b/>
          <w:bCs/>
          <w:sz w:val="21"/>
          <w:szCs w:val="21"/>
        </w:rPr>
        <w:t xml:space="preserve">     </w:t>
      </w:r>
      <w:r>
        <w:rPr>
          <w:b/>
          <w:bCs/>
          <w:sz w:val="21"/>
          <w:szCs w:val="21"/>
        </w:rPr>
        <w:drawing>
          <wp:inline distT="0" distB="0" distL="0" distR="0">
            <wp:extent cx="4809490" cy="3521710"/>
            <wp:effectExtent l="0" t="0" r="10160" b="254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4845279" cy="3521710"/>
                    </a:xfrm>
                    <a:prstGeom prst="rect">
                      <a:avLst/>
                    </a:prstGeom>
                    <a:noFill/>
                  </pic:spPr>
                </pic:pic>
              </a:graphicData>
            </a:graphic>
          </wp:inline>
        </w:drawing>
      </w:r>
    </w:p>
    <w:p>
      <w:pPr>
        <w:spacing w:line="240" w:lineRule="auto"/>
        <w:jc w:val="center"/>
        <w:rPr>
          <w:b/>
          <w:bCs/>
          <w:sz w:val="21"/>
          <w:szCs w:val="21"/>
        </w:rPr>
      </w:pPr>
      <w:r>
        <w:rPr>
          <w:b/>
          <w:bCs/>
          <w:sz w:val="21"/>
          <w:szCs w:val="21"/>
        </w:rPr>
        <w:t>图2  农药学系教师集体备课和教学研讨</w:t>
      </w:r>
    </w:p>
    <w:p>
      <w:pPr>
        <w:pStyle w:val="7"/>
        <w:ind w:firstLine="480"/>
      </w:pPr>
      <w:r>
        <w:t>4.实习基地</w:t>
      </w:r>
    </w:p>
    <w:p>
      <w:pPr>
        <w:spacing w:line="380" w:lineRule="exact"/>
        <w:ind w:firstLine="480"/>
      </w:pPr>
      <w:r>
        <w:t>在已有青岛清源化合物有限公司、</w:t>
      </w:r>
      <w:r>
        <w:fldChar w:fldCharType="begin"/>
      </w:r>
      <w:r>
        <w:instrText xml:space="preserve"> HYPERLINK "javascript:opencompany('F37230102')" </w:instrText>
      </w:r>
      <w:r>
        <w:fldChar w:fldCharType="separate"/>
      </w:r>
      <w:r>
        <w:t>山东滨农科技有限公司</w:t>
      </w:r>
      <w:r>
        <w:fldChar w:fldCharType="end"/>
      </w:r>
      <w:r>
        <w:t>、山东省联合农药工业有限公司、</w:t>
      </w:r>
      <w:r>
        <w:fldChar w:fldCharType="begin"/>
      </w:r>
      <w:r>
        <w:instrText xml:space="preserve"> HYPERLINK "javascript:opencompany('F37081102')" </w:instrText>
      </w:r>
      <w:r>
        <w:fldChar w:fldCharType="separate"/>
      </w:r>
      <w:r>
        <w:t>京博农化科技股份有限公司</w:t>
      </w:r>
      <w:r>
        <w:fldChar w:fldCharType="end"/>
      </w:r>
      <w:r>
        <w:t>、山东省淄博新农基农药化工有限公司、山东华阳农药化工集团、山东胜邦绿野化学有限公司和</w:t>
      </w:r>
      <w:r>
        <w:fldChar w:fldCharType="begin"/>
      </w:r>
      <w:r>
        <w:instrText xml:space="preserve"> HYPERLINK "javascript:opencompany('F37242501')" </w:instrText>
      </w:r>
      <w:r>
        <w:fldChar w:fldCharType="separate"/>
      </w:r>
      <w:r>
        <w:t>山东鲁抗生物农药有限责任公司</w:t>
      </w:r>
      <w:r>
        <w:fldChar w:fldCharType="end"/>
      </w:r>
      <w:r>
        <w:t>8个大型农药企业教学实习基地建设的基础上，与山东农科院果树研究所和泰安市农科院两个科研单位建立了校外实习基地，共同建设学生实习期间的生活条件，满足学生实习需要。</w:t>
      </w:r>
    </w:p>
    <w:p>
      <w:pPr>
        <w:spacing w:line="380" w:lineRule="exact"/>
        <w:ind w:firstLine="480"/>
        <w:rPr>
          <w:szCs w:val="24"/>
        </w:rPr>
      </w:pPr>
      <w:r>
        <w:rPr>
          <w:szCs w:val="24"/>
        </w:rPr>
        <w:t>2021-2022学年建立了以下实习基地，进一步扩大和改善了教学实习条件。</w:t>
      </w:r>
    </w:p>
    <w:p>
      <w:pPr>
        <w:spacing w:line="380" w:lineRule="exact"/>
        <w:ind w:firstLine="480"/>
        <w:rPr>
          <w:szCs w:val="24"/>
          <w:highlight w:val="red"/>
        </w:rPr>
      </w:pPr>
    </w:p>
    <w:p>
      <w:pPr>
        <w:ind w:firstLine="422"/>
        <w:jc w:val="center"/>
        <w:rPr>
          <w:b/>
          <w:bCs/>
          <w:sz w:val="21"/>
          <w:szCs w:val="21"/>
        </w:rPr>
      </w:pPr>
      <w:r>
        <w:rPr>
          <w:b/>
          <w:bCs/>
          <w:sz w:val="21"/>
          <w:szCs w:val="21"/>
        </w:rPr>
        <w:t>表1  2021-2022年度新建校外教学实习基地一览表</w:t>
      </w:r>
    </w:p>
    <w:tbl>
      <w:tblPr>
        <w:tblStyle w:val="17"/>
        <w:tblW w:w="488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3168"/>
        <w:gridCol w:w="3460"/>
        <w:gridCol w:w="15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398" w:type="pct"/>
            <w:vAlign w:val="center"/>
          </w:tcPr>
          <w:p>
            <w:pPr>
              <w:spacing w:line="240" w:lineRule="auto"/>
              <w:jc w:val="center"/>
              <w:rPr>
                <w:b/>
                <w:bCs/>
                <w:sz w:val="21"/>
                <w:szCs w:val="21"/>
              </w:rPr>
            </w:pPr>
            <w:r>
              <w:rPr>
                <w:b/>
                <w:bCs/>
                <w:sz w:val="21"/>
                <w:szCs w:val="21"/>
              </w:rPr>
              <w:t>序号</w:t>
            </w:r>
          </w:p>
        </w:tc>
        <w:tc>
          <w:tcPr>
            <w:tcW w:w="1790" w:type="pct"/>
            <w:vAlign w:val="center"/>
          </w:tcPr>
          <w:p>
            <w:pPr>
              <w:spacing w:line="240" w:lineRule="auto"/>
              <w:jc w:val="center"/>
              <w:rPr>
                <w:b/>
                <w:bCs/>
                <w:sz w:val="21"/>
                <w:szCs w:val="21"/>
              </w:rPr>
            </w:pPr>
            <w:r>
              <w:rPr>
                <w:b/>
                <w:bCs/>
                <w:sz w:val="21"/>
                <w:szCs w:val="21"/>
              </w:rPr>
              <w:t>基地依托单位名称</w:t>
            </w:r>
          </w:p>
        </w:tc>
        <w:tc>
          <w:tcPr>
            <w:tcW w:w="1955" w:type="pct"/>
            <w:vAlign w:val="center"/>
          </w:tcPr>
          <w:p>
            <w:pPr>
              <w:spacing w:line="240" w:lineRule="auto"/>
              <w:jc w:val="center"/>
              <w:rPr>
                <w:b/>
                <w:bCs/>
                <w:sz w:val="21"/>
                <w:szCs w:val="21"/>
              </w:rPr>
            </w:pPr>
            <w:r>
              <w:rPr>
                <w:b/>
                <w:bCs/>
                <w:sz w:val="21"/>
                <w:szCs w:val="21"/>
              </w:rPr>
              <w:t>基地地址</w:t>
            </w:r>
          </w:p>
        </w:tc>
        <w:tc>
          <w:tcPr>
            <w:tcW w:w="857" w:type="pct"/>
            <w:vAlign w:val="center"/>
          </w:tcPr>
          <w:p>
            <w:pPr>
              <w:spacing w:line="240" w:lineRule="auto"/>
              <w:jc w:val="center"/>
              <w:rPr>
                <w:b/>
                <w:bCs/>
                <w:sz w:val="21"/>
                <w:szCs w:val="21"/>
              </w:rPr>
            </w:pPr>
            <w:r>
              <w:rPr>
                <w:b/>
                <w:bCs/>
                <w:sz w:val="21"/>
                <w:szCs w:val="21"/>
              </w:rPr>
              <w:t>单位性质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398" w:type="pct"/>
            <w:vAlign w:val="center"/>
          </w:tcPr>
          <w:p>
            <w:pPr>
              <w:spacing w:line="240" w:lineRule="auto"/>
              <w:jc w:val="center"/>
              <w:rPr>
                <w:sz w:val="21"/>
                <w:szCs w:val="21"/>
              </w:rPr>
            </w:pPr>
            <w:r>
              <w:rPr>
                <w:sz w:val="21"/>
                <w:szCs w:val="21"/>
              </w:rPr>
              <w:t>1</w:t>
            </w:r>
          </w:p>
        </w:tc>
        <w:tc>
          <w:tcPr>
            <w:tcW w:w="1790" w:type="pct"/>
            <w:vAlign w:val="center"/>
          </w:tcPr>
          <w:p>
            <w:pPr>
              <w:spacing w:line="240" w:lineRule="auto"/>
              <w:jc w:val="center"/>
              <w:rPr>
                <w:sz w:val="21"/>
                <w:szCs w:val="21"/>
              </w:rPr>
            </w:pPr>
            <w:r>
              <w:rPr>
                <w:sz w:val="21"/>
                <w:szCs w:val="21"/>
              </w:rPr>
              <w:t>青岛清原抗性杂草防治有限公司</w:t>
            </w:r>
          </w:p>
        </w:tc>
        <w:tc>
          <w:tcPr>
            <w:tcW w:w="1955" w:type="pct"/>
            <w:vAlign w:val="center"/>
          </w:tcPr>
          <w:p>
            <w:pPr>
              <w:spacing w:line="240" w:lineRule="auto"/>
              <w:jc w:val="center"/>
              <w:rPr>
                <w:sz w:val="21"/>
                <w:szCs w:val="21"/>
              </w:rPr>
            </w:pPr>
            <w:r>
              <w:rPr>
                <w:sz w:val="21"/>
                <w:szCs w:val="21"/>
              </w:rPr>
              <w:t>青岛市黄岛区青龙河路53号</w:t>
            </w:r>
          </w:p>
        </w:tc>
        <w:tc>
          <w:tcPr>
            <w:tcW w:w="857" w:type="pct"/>
            <w:vAlign w:val="center"/>
          </w:tcPr>
          <w:p>
            <w:pPr>
              <w:spacing w:line="240" w:lineRule="auto"/>
              <w:jc w:val="center"/>
              <w:rPr>
                <w:sz w:val="21"/>
                <w:szCs w:val="21"/>
              </w:rPr>
            </w:pPr>
            <w:r>
              <w:rPr>
                <w:sz w:val="21"/>
                <w:szCs w:val="21"/>
              </w:rPr>
              <w:t>股份有限公司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398" w:type="pct"/>
            <w:vAlign w:val="center"/>
          </w:tcPr>
          <w:p>
            <w:pPr>
              <w:spacing w:line="240" w:lineRule="auto"/>
              <w:jc w:val="center"/>
              <w:rPr>
                <w:sz w:val="21"/>
                <w:szCs w:val="21"/>
              </w:rPr>
            </w:pPr>
            <w:r>
              <w:rPr>
                <w:sz w:val="21"/>
                <w:szCs w:val="21"/>
              </w:rPr>
              <w:t>2</w:t>
            </w:r>
          </w:p>
        </w:tc>
        <w:tc>
          <w:tcPr>
            <w:tcW w:w="1790" w:type="pct"/>
            <w:vAlign w:val="center"/>
          </w:tcPr>
          <w:p>
            <w:pPr>
              <w:spacing w:line="240" w:lineRule="auto"/>
              <w:jc w:val="center"/>
              <w:rPr>
                <w:sz w:val="21"/>
                <w:szCs w:val="21"/>
              </w:rPr>
            </w:pPr>
            <w:r>
              <w:rPr>
                <w:sz w:val="21"/>
                <w:szCs w:val="21"/>
              </w:rPr>
              <w:t>山东滨农科技有限公司</w:t>
            </w:r>
          </w:p>
        </w:tc>
        <w:tc>
          <w:tcPr>
            <w:tcW w:w="1955" w:type="pct"/>
            <w:vAlign w:val="center"/>
          </w:tcPr>
          <w:p>
            <w:pPr>
              <w:spacing w:line="240" w:lineRule="auto"/>
              <w:ind w:left="-48" w:leftChars="-20" w:right="-48" w:rightChars="-20"/>
              <w:jc w:val="center"/>
              <w:rPr>
                <w:sz w:val="21"/>
                <w:szCs w:val="21"/>
              </w:rPr>
            </w:pPr>
            <w:r>
              <w:rPr>
                <w:sz w:val="21"/>
                <w:szCs w:val="21"/>
              </w:rPr>
              <w:t>山东滨州市滨北办事处永莘路518号</w:t>
            </w:r>
          </w:p>
        </w:tc>
        <w:tc>
          <w:tcPr>
            <w:tcW w:w="857" w:type="pct"/>
            <w:vAlign w:val="center"/>
          </w:tcPr>
          <w:p>
            <w:pPr>
              <w:spacing w:line="240" w:lineRule="auto"/>
              <w:jc w:val="center"/>
              <w:rPr>
                <w:sz w:val="21"/>
                <w:szCs w:val="21"/>
              </w:rPr>
            </w:pPr>
            <w:r>
              <w:rPr>
                <w:sz w:val="21"/>
                <w:szCs w:val="21"/>
              </w:rPr>
              <w:t>股份有限公司</w:t>
            </w:r>
          </w:p>
        </w:tc>
      </w:tr>
    </w:tbl>
    <w:p>
      <w:pPr>
        <w:tabs>
          <w:tab w:val="left" w:pos="5249"/>
        </w:tabs>
        <w:spacing w:line="240" w:lineRule="auto"/>
        <w:jc w:val="center"/>
        <w:rPr>
          <w:szCs w:val="21"/>
        </w:rPr>
      </w:pPr>
    </w:p>
    <w:p>
      <w:pPr>
        <w:tabs>
          <w:tab w:val="left" w:pos="5249"/>
        </w:tabs>
        <w:spacing w:line="240" w:lineRule="auto"/>
        <w:jc w:val="center"/>
        <w:rPr>
          <w:szCs w:val="21"/>
        </w:rPr>
      </w:pPr>
    </w:p>
    <w:p>
      <w:pPr>
        <w:tabs>
          <w:tab w:val="left" w:pos="5249"/>
        </w:tabs>
        <w:spacing w:line="240" w:lineRule="auto"/>
        <w:jc w:val="center"/>
        <w:rPr>
          <w:szCs w:val="21"/>
        </w:rPr>
      </w:pPr>
      <w:r>
        <w:rPr>
          <w:szCs w:val="21"/>
        </w:rPr>
        <w:drawing>
          <wp:inline distT="0" distB="0" distL="0" distR="0">
            <wp:extent cx="4156075" cy="3804920"/>
            <wp:effectExtent l="0" t="0" r="15875" b="508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4192550" cy="3838652"/>
                    </a:xfrm>
                    <a:prstGeom prst="rect">
                      <a:avLst/>
                    </a:prstGeom>
                    <a:noFill/>
                  </pic:spPr>
                </pic:pic>
              </a:graphicData>
            </a:graphic>
          </wp:inline>
        </w:drawing>
      </w:r>
    </w:p>
    <w:p>
      <w:pPr>
        <w:spacing w:line="240" w:lineRule="auto"/>
        <w:ind w:firstLine="422"/>
        <w:jc w:val="center"/>
        <w:rPr>
          <w:b/>
          <w:bCs/>
          <w:sz w:val="21"/>
          <w:szCs w:val="21"/>
        </w:rPr>
      </w:pPr>
      <w:r>
        <w:rPr>
          <w:b/>
          <w:bCs/>
          <w:sz w:val="21"/>
          <w:szCs w:val="21"/>
        </w:rPr>
        <w:t>图3  新建校外教学实践育人基地</w:t>
      </w:r>
    </w:p>
    <w:p>
      <w:pPr>
        <w:tabs>
          <w:tab w:val="left" w:pos="5249"/>
        </w:tabs>
        <w:spacing w:line="240" w:lineRule="auto"/>
        <w:jc w:val="center"/>
        <w:rPr>
          <w:szCs w:val="21"/>
        </w:rPr>
      </w:pPr>
      <w:r>
        <w:rPr>
          <w:szCs w:val="21"/>
        </w:rPr>
        <w:drawing>
          <wp:inline distT="0" distB="0" distL="0" distR="0">
            <wp:extent cx="4349115" cy="2959100"/>
            <wp:effectExtent l="0" t="0" r="13335" b="1270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4412368" cy="3002080"/>
                    </a:xfrm>
                    <a:prstGeom prst="rect">
                      <a:avLst/>
                    </a:prstGeom>
                    <a:noFill/>
                  </pic:spPr>
                </pic:pic>
              </a:graphicData>
            </a:graphic>
          </wp:inline>
        </w:drawing>
      </w:r>
    </w:p>
    <w:p>
      <w:pPr>
        <w:spacing w:line="240" w:lineRule="auto"/>
        <w:ind w:firstLine="422"/>
        <w:jc w:val="center"/>
        <w:rPr>
          <w:b/>
          <w:bCs/>
          <w:sz w:val="21"/>
          <w:szCs w:val="21"/>
        </w:rPr>
      </w:pPr>
      <w:r>
        <w:rPr>
          <w:b/>
          <w:bCs/>
          <w:sz w:val="21"/>
          <w:szCs w:val="21"/>
        </w:rPr>
        <w:t>图4  学生实习</w:t>
      </w:r>
    </w:p>
    <w:p>
      <w:pPr>
        <w:pStyle w:val="6"/>
        <w:ind w:firstLine="480"/>
      </w:pPr>
      <w:r>
        <w:t>5.现代教学技术应用</w:t>
      </w:r>
    </w:p>
    <w:p>
      <w:pPr>
        <w:ind w:firstLine="480"/>
      </w:pPr>
      <w:r>
        <w:t>已完成《植物化学保护学》慕课在线课程建设，对学生学习相关课程提供了在线学习资源。所有课程全部使用多媒体教学。</w:t>
      </w:r>
    </w:p>
    <w:p>
      <w:pPr>
        <w:pStyle w:val="5"/>
        <w:spacing w:before="93" w:after="93"/>
        <w:ind w:firstLine="560"/>
      </w:pPr>
      <w:r>
        <w:t>四、培养机制与特色（产学研协同育人机制、合作办学、教学管理等）</w:t>
      </w:r>
    </w:p>
    <w:p>
      <w:pPr>
        <w:ind w:firstLine="480"/>
        <w:jc w:val="left"/>
        <w:rPr>
          <w:szCs w:val="24"/>
        </w:rPr>
      </w:pPr>
      <w:r>
        <w:rPr>
          <w:szCs w:val="24"/>
        </w:rPr>
        <w:t>制药工程专业依托植保学院农药学系、农药毒理与应用技术省级重点实验室和山东农业大学农药环境毒理研究中心，现设有农药学科博士点和硕士点。农药学科为校级重点学科。师资力量强，培养层次有系统性，办学优势突出。同时，还邀请国内外著名专家学者和农药企业专家来学校进行讲学或做学生报告，拓宽了同学们的思路和视野，提高了育人质量。</w:t>
      </w:r>
    </w:p>
    <w:p>
      <w:pPr>
        <w:pStyle w:val="2"/>
        <w:ind w:left="480"/>
      </w:pPr>
    </w:p>
    <w:p>
      <w:pPr>
        <w:tabs>
          <w:tab w:val="center" w:pos="4536"/>
        </w:tabs>
        <w:spacing w:line="240" w:lineRule="auto"/>
        <w:ind w:firstLine="480"/>
        <w:jc w:val="center"/>
        <w:rPr>
          <w:rFonts w:eastAsia="仿宋_GB2312"/>
        </w:rPr>
      </w:pPr>
      <w:r>
        <w:rPr>
          <w:rFonts w:eastAsia="仿宋_GB2312"/>
        </w:rPr>
        <w:drawing>
          <wp:inline distT="0" distB="0" distL="0" distR="0">
            <wp:extent cx="5296535" cy="1980565"/>
            <wp:effectExtent l="0" t="0" r="18415" b="63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317305" cy="1988225"/>
                    </a:xfrm>
                    <a:prstGeom prst="rect">
                      <a:avLst/>
                    </a:prstGeom>
                    <a:noFill/>
                  </pic:spPr>
                </pic:pic>
              </a:graphicData>
            </a:graphic>
          </wp:inline>
        </w:drawing>
      </w:r>
    </w:p>
    <w:p>
      <w:pPr>
        <w:tabs>
          <w:tab w:val="center" w:pos="4536"/>
        </w:tabs>
        <w:ind w:firstLine="422"/>
        <w:jc w:val="center"/>
        <w:rPr>
          <w:b/>
          <w:bCs/>
          <w:sz w:val="21"/>
          <w:szCs w:val="21"/>
        </w:rPr>
      </w:pPr>
      <w:r>
        <w:rPr>
          <w:b/>
          <w:bCs/>
          <w:sz w:val="21"/>
          <w:szCs w:val="21"/>
        </w:rPr>
        <w:t>图5  专业期中教学检查座谈会</w:t>
      </w:r>
    </w:p>
    <w:p>
      <w:pPr>
        <w:spacing w:line="240" w:lineRule="auto"/>
        <w:jc w:val="center"/>
        <w:rPr>
          <w:b/>
          <w:bCs/>
          <w:sz w:val="21"/>
          <w:szCs w:val="21"/>
        </w:rPr>
      </w:pPr>
      <w:r>
        <w:rPr>
          <w:b/>
          <w:bCs/>
          <w:sz w:val="21"/>
          <w:szCs w:val="21"/>
        </w:rPr>
        <w:drawing>
          <wp:inline distT="0" distB="0" distL="0" distR="0">
            <wp:extent cx="5195570" cy="3900805"/>
            <wp:effectExtent l="0" t="0" r="5080" b="444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06607" cy="3908855"/>
                    </a:xfrm>
                    <a:prstGeom prst="rect">
                      <a:avLst/>
                    </a:prstGeom>
                    <a:noFill/>
                  </pic:spPr>
                </pic:pic>
              </a:graphicData>
            </a:graphic>
          </wp:inline>
        </w:drawing>
      </w:r>
    </w:p>
    <w:p>
      <w:pPr>
        <w:spacing w:line="240" w:lineRule="auto"/>
        <w:jc w:val="center"/>
        <w:rPr>
          <w:b/>
          <w:bCs/>
          <w:sz w:val="21"/>
          <w:szCs w:val="21"/>
        </w:rPr>
      </w:pPr>
      <w:r>
        <w:rPr>
          <w:b/>
          <w:bCs/>
          <w:sz w:val="21"/>
          <w:szCs w:val="21"/>
        </w:rPr>
        <w:t>图6  学生毕业论文答辩</w:t>
      </w:r>
    </w:p>
    <w:p>
      <w:pPr>
        <w:spacing w:line="240" w:lineRule="auto"/>
        <w:ind w:left="-1" w:leftChars="-59" w:hanging="141" w:hangingChars="67"/>
        <w:jc w:val="center"/>
        <w:rPr>
          <w:b/>
          <w:bCs/>
          <w:sz w:val="21"/>
          <w:szCs w:val="21"/>
        </w:rPr>
      </w:pPr>
      <w:r>
        <w:rPr>
          <w:b/>
          <w:bCs/>
          <w:sz w:val="21"/>
          <w:szCs w:val="21"/>
        </w:rPr>
        <w:drawing>
          <wp:inline distT="0" distB="0" distL="0" distR="0">
            <wp:extent cx="5455285" cy="1828800"/>
            <wp:effectExtent l="0" t="0" r="1206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455285" cy="1843988"/>
                    </a:xfrm>
                    <a:prstGeom prst="rect">
                      <a:avLst/>
                    </a:prstGeom>
                    <a:noFill/>
                  </pic:spPr>
                </pic:pic>
              </a:graphicData>
            </a:graphic>
          </wp:inline>
        </w:drawing>
      </w:r>
    </w:p>
    <w:p>
      <w:pPr>
        <w:spacing w:line="240" w:lineRule="auto"/>
        <w:ind w:firstLine="422"/>
        <w:jc w:val="center"/>
        <w:rPr>
          <w:b/>
          <w:bCs/>
          <w:sz w:val="21"/>
          <w:szCs w:val="21"/>
        </w:rPr>
      </w:pPr>
      <w:r>
        <w:rPr>
          <w:b/>
          <w:bCs/>
          <w:sz w:val="21"/>
          <w:szCs w:val="21"/>
        </w:rPr>
        <w:t>图7  邀请国内外专家学者为学生做学术报告</w:t>
      </w:r>
    </w:p>
    <w:p>
      <w:pPr>
        <w:pStyle w:val="5"/>
        <w:spacing w:before="93" w:after="93"/>
        <w:ind w:firstLine="560"/>
      </w:pPr>
      <w:r>
        <w:t>五、培养质量（毕业生就业率、就业专业对口率、毕业生发展情况、就业单位满意率、社会对专业的评价、学生就读该专业的意愿等）</w:t>
      </w:r>
    </w:p>
    <w:p>
      <w:pPr>
        <w:pStyle w:val="6"/>
        <w:ind w:firstLine="480"/>
      </w:pPr>
      <w:r>
        <w:t>1.毕业生就业状况</w:t>
      </w:r>
    </w:p>
    <w:p>
      <w:pPr>
        <w:ind w:firstLine="480"/>
        <w:rPr>
          <w:szCs w:val="24"/>
        </w:rPr>
      </w:pPr>
      <w:r>
        <w:rPr>
          <w:szCs w:val="24"/>
        </w:rPr>
        <w:t>制药工程专业2022届本科毕业生共53人，考研率为56.6%，专业总体就业率为88.68%。</w:t>
      </w:r>
    </w:p>
    <w:p>
      <w:pPr>
        <w:ind w:firstLine="480"/>
        <w:rPr>
          <w:szCs w:val="24"/>
        </w:rPr>
      </w:pPr>
      <w:r>
        <w:rPr>
          <w:szCs w:val="24"/>
        </w:rPr>
        <w:t>招收研究生和用人单位普遍认为本校制药工程专业的毕业生理论基础扎实、专业素质高、动手能力强，思路好、发展后劲足。近年来，本专业的学生，基本都是第一志愿者，专业思想稳定，学风端正，学习氛围好。具体情况统计如下：</w:t>
      </w:r>
    </w:p>
    <w:p>
      <w:pPr>
        <w:ind w:firstLine="480"/>
        <w:rPr>
          <w:szCs w:val="24"/>
        </w:rPr>
      </w:pPr>
    </w:p>
    <w:p>
      <w:pPr>
        <w:rPr>
          <w:sz w:val="21"/>
          <w:szCs w:val="21"/>
        </w:rPr>
      </w:pPr>
      <w:r>
        <w:rPr>
          <w:sz w:val="21"/>
          <w:szCs w:val="21"/>
        </w:rPr>
        <w:br w:type="page"/>
      </w:r>
    </w:p>
    <w:p>
      <w:pPr>
        <w:spacing w:line="240" w:lineRule="auto"/>
        <w:jc w:val="center"/>
        <w:rPr>
          <w:b/>
          <w:bCs/>
          <w:sz w:val="21"/>
          <w:szCs w:val="21"/>
        </w:rPr>
      </w:pPr>
      <w:r>
        <w:rPr>
          <w:b/>
          <w:bCs/>
          <w:sz w:val="21"/>
          <w:szCs w:val="21"/>
        </w:rPr>
        <w:t>表1  制药工程专业2022届本科毕业生就业基本情况统计表</w:t>
      </w:r>
    </w:p>
    <w:tbl>
      <w:tblPr>
        <w:tblStyle w:val="17"/>
        <w:tblW w:w="4929" w:type="pct"/>
        <w:jc w:val="center"/>
        <w:tblLayout w:type="fixed"/>
        <w:tblCellMar>
          <w:top w:w="0" w:type="dxa"/>
          <w:left w:w="0" w:type="dxa"/>
          <w:bottom w:w="0" w:type="dxa"/>
          <w:right w:w="0" w:type="dxa"/>
        </w:tblCellMar>
      </w:tblPr>
      <w:tblGrid>
        <w:gridCol w:w="885"/>
        <w:gridCol w:w="994"/>
        <w:gridCol w:w="1001"/>
        <w:gridCol w:w="1323"/>
        <w:gridCol w:w="1736"/>
        <w:gridCol w:w="1057"/>
        <w:gridCol w:w="1743"/>
      </w:tblGrid>
      <w:tr>
        <w:tblPrEx>
          <w:tblCellMar>
            <w:top w:w="0" w:type="dxa"/>
            <w:left w:w="0" w:type="dxa"/>
            <w:bottom w:w="0" w:type="dxa"/>
            <w:right w:w="0" w:type="dxa"/>
          </w:tblCellMar>
        </w:tblPrEx>
        <w:trPr>
          <w:trHeight w:val="560" w:hRule="atLeast"/>
          <w:jc w:val="center"/>
        </w:trPr>
        <w:tc>
          <w:tcPr>
            <w:tcW w:w="50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就业方式</w:t>
            </w:r>
          </w:p>
        </w:tc>
        <w:tc>
          <w:tcPr>
            <w:tcW w:w="5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国内升学</w:t>
            </w:r>
          </w:p>
        </w:tc>
        <w:tc>
          <w:tcPr>
            <w:tcW w:w="57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协议就业</w:t>
            </w:r>
          </w:p>
        </w:tc>
        <w:tc>
          <w:tcPr>
            <w:tcW w:w="75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劳动合同</w:t>
            </w:r>
          </w:p>
        </w:tc>
        <w:tc>
          <w:tcPr>
            <w:tcW w:w="99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其他利用形式就业</w:t>
            </w:r>
          </w:p>
        </w:tc>
        <w:tc>
          <w:tcPr>
            <w:tcW w:w="6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自由职业</w:t>
            </w:r>
          </w:p>
        </w:tc>
        <w:tc>
          <w:tcPr>
            <w:tcW w:w="996"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专业总体就业率</w:t>
            </w:r>
          </w:p>
        </w:tc>
      </w:tr>
      <w:tr>
        <w:tblPrEx>
          <w:tblCellMar>
            <w:top w:w="0" w:type="dxa"/>
            <w:left w:w="0" w:type="dxa"/>
            <w:bottom w:w="0" w:type="dxa"/>
            <w:right w:w="0" w:type="dxa"/>
          </w:tblCellMar>
        </w:tblPrEx>
        <w:trPr>
          <w:trHeight w:val="620" w:hRule="atLeast"/>
          <w:jc w:val="center"/>
        </w:trPr>
        <w:tc>
          <w:tcPr>
            <w:tcW w:w="50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人数</w:t>
            </w:r>
          </w:p>
          <w:p>
            <w:pPr>
              <w:widowControl/>
              <w:jc w:val="center"/>
              <w:textAlignment w:val="center"/>
              <w:rPr>
                <w:color w:val="000000"/>
                <w:kern w:val="0"/>
                <w:sz w:val="21"/>
                <w:szCs w:val="21"/>
                <w:lang w:bidi="ar"/>
              </w:rPr>
            </w:pPr>
            <w:r>
              <w:rPr>
                <w:color w:val="000000"/>
                <w:kern w:val="0"/>
                <w:sz w:val="21"/>
                <w:szCs w:val="21"/>
                <w:lang w:bidi="ar"/>
              </w:rPr>
              <w:t>（比例）</w:t>
            </w:r>
          </w:p>
        </w:tc>
        <w:tc>
          <w:tcPr>
            <w:tcW w:w="5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rPr>
                <w:color w:val="000000"/>
                <w:kern w:val="0"/>
                <w:sz w:val="21"/>
                <w:szCs w:val="21"/>
                <w:lang w:bidi="ar"/>
              </w:rPr>
            </w:pPr>
            <w:r>
              <w:rPr>
                <w:color w:val="000000"/>
                <w:kern w:val="0"/>
                <w:sz w:val="21"/>
                <w:szCs w:val="21"/>
                <w:lang w:bidi="ar"/>
              </w:rPr>
              <w:t>30</w:t>
            </w:r>
          </w:p>
          <w:p>
            <w:pPr>
              <w:widowControl/>
              <w:spacing w:line="240" w:lineRule="auto"/>
              <w:jc w:val="center"/>
              <w:rPr>
                <w:color w:val="000000"/>
                <w:kern w:val="0"/>
                <w:sz w:val="21"/>
                <w:szCs w:val="21"/>
                <w:lang w:bidi="ar"/>
              </w:rPr>
            </w:pPr>
            <w:r>
              <w:rPr>
                <w:color w:val="000000"/>
                <w:kern w:val="0"/>
                <w:sz w:val="21"/>
                <w:szCs w:val="21"/>
                <w:lang w:bidi="ar"/>
              </w:rPr>
              <w:t>（56.6%）</w:t>
            </w:r>
          </w:p>
        </w:tc>
        <w:tc>
          <w:tcPr>
            <w:tcW w:w="57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rPr>
                <w:color w:val="000000"/>
                <w:kern w:val="0"/>
                <w:sz w:val="21"/>
                <w:szCs w:val="21"/>
                <w:lang w:bidi="ar"/>
              </w:rPr>
            </w:pPr>
            <w:r>
              <w:rPr>
                <w:color w:val="000000"/>
                <w:kern w:val="0"/>
                <w:sz w:val="21"/>
                <w:szCs w:val="21"/>
                <w:lang w:bidi="ar"/>
              </w:rPr>
              <w:t>7</w:t>
            </w:r>
          </w:p>
          <w:p>
            <w:pPr>
              <w:widowControl/>
              <w:spacing w:line="240" w:lineRule="auto"/>
              <w:jc w:val="center"/>
              <w:rPr>
                <w:color w:val="000000"/>
                <w:kern w:val="0"/>
                <w:sz w:val="21"/>
                <w:szCs w:val="21"/>
                <w:lang w:bidi="ar"/>
              </w:rPr>
            </w:pPr>
            <w:r>
              <w:rPr>
                <w:color w:val="000000"/>
                <w:kern w:val="0"/>
                <w:sz w:val="21"/>
                <w:szCs w:val="21"/>
                <w:lang w:bidi="ar"/>
              </w:rPr>
              <w:t>（13.21%）</w:t>
            </w:r>
          </w:p>
        </w:tc>
        <w:tc>
          <w:tcPr>
            <w:tcW w:w="75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rPr>
                <w:color w:val="000000"/>
                <w:kern w:val="0"/>
                <w:sz w:val="21"/>
                <w:szCs w:val="21"/>
                <w:lang w:bidi="ar"/>
              </w:rPr>
            </w:pPr>
            <w:r>
              <w:rPr>
                <w:color w:val="000000"/>
                <w:kern w:val="0"/>
                <w:sz w:val="21"/>
                <w:szCs w:val="21"/>
                <w:lang w:bidi="ar"/>
              </w:rPr>
              <w:t>1</w:t>
            </w:r>
          </w:p>
          <w:p>
            <w:pPr>
              <w:widowControl/>
              <w:spacing w:line="240" w:lineRule="auto"/>
              <w:jc w:val="center"/>
              <w:rPr>
                <w:color w:val="000000"/>
                <w:kern w:val="0"/>
                <w:sz w:val="21"/>
                <w:szCs w:val="21"/>
                <w:lang w:bidi="ar"/>
              </w:rPr>
            </w:pPr>
            <w:r>
              <w:rPr>
                <w:color w:val="000000"/>
                <w:kern w:val="0"/>
                <w:sz w:val="21"/>
                <w:szCs w:val="21"/>
                <w:lang w:bidi="ar"/>
              </w:rPr>
              <w:t>（1.89%）</w:t>
            </w:r>
          </w:p>
        </w:tc>
        <w:tc>
          <w:tcPr>
            <w:tcW w:w="99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rPr>
                <w:color w:val="000000"/>
                <w:kern w:val="0"/>
                <w:sz w:val="21"/>
                <w:szCs w:val="21"/>
                <w:lang w:bidi="ar"/>
              </w:rPr>
            </w:pPr>
            <w:r>
              <w:rPr>
                <w:color w:val="000000"/>
                <w:kern w:val="0"/>
                <w:sz w:val="21"/>
                <w:szCs w:val="21"/>
                <w:lang w:bidi="ar"/>
              </w:rPr>
              <w:t>8</w:t>
            </w:r>
          </w:p>
          <w:p>
            <w:pPr>
              <w:widowControl/>
              <w:spacing w:line="240" w:lineRule="auto"/>
              <w:jc w:val="center"/>
              <w:rPr>
                <w:color w:val="000000"/>
                <w:kern w:val="0"/>
                <w:sz w:val="21"/>
                <w:szCs w:val="21"/>
                <w:lang w:bidi="ar"/>
              </w:rPr>
            </w:pPr>
            <w:r>
              <w:rPr>
                <w:color w:val="000000"/>
                <w:kern w:val="0"/>
                <w:sz w:val="21"/>
                <w:szCs w:val="21"/>
                <w:lang w:bidi="ar"/>
              </w:rPr>
              <w:t>（15.09%）</w:t>
            </w:r>
          </w:p>
        </w:tc>
        <w:tc>
          <w:tcPr>
            <w:tcW w:w="60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w:t>
            </w:r>
          </w:p>
          <w:p>
            <w:pPr>
              <w:widowControl/>
              <w:spacing w:line="240" w:lineRule="auto"/>
              <w:jc w:val="center"/>
              <w:textAlignment w:val="center"/>
              <w:rPr>
                <w:color w:val="000000"/>
                <w:kern w:val="0"/>
                <w:sz w:val="21"/>
                <w:szCs w:val="21"/>
                <w:lang w:bidi="ar"/>
              </w:rPr>
            </w:pPr>
            <w:r>
              <w:rPr>
                <w:color w:val="000000"/>
                <w:kern w:val="0"/>
                <w:sz w:val="21"/>
                <w:szCs w:val="21"/>
                <w:lang w:bidi="ar"/>
              </w:rPr>
              <w:t>（1.89%）</w:t>
            </w:r>
          </w:p>
        </w:tc>
        <w:tc>
          <w:tcPr>
            <w:tcW w:w="996" w:type="pct"/>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color w:val="000000"/>
                <w:kern w:val="0"/>
                <w:sz w:val="21"/>
                <w:szCs w:val="21"/>
                <w:lang w:bidi="ar"/>
              </w:rPr>
            </w:pPr>
            <w:r>
              <w:rPr>
                <w:color w:val="000000"/>
                <w:kern w:val="0"/>
                <w:sz w:val="21"/>
                <w:szCs w:val="21"/>
                <w:lang w:bidi="ar"/>
              </w:rPr>
              <w:t>88.68%</w:t>
            </w:r>
          </w:p>
        </w:tc>
      </w:tr>
    </w:tbl>
    <w:p>
      <w:pPr>
        <w:pStyle w:val="7"/>
        <w:ind w:firstLine="480"/>
      </w:pPr>
    </w:p>
    <w:p>
      <w:pPr>
        <w:pStyle w:val="7"/>
        <w:ind w:firstLine="480"/>
      </w:pPr>
      <w:r>
        <w:t>2.毕业生生源地结构</w:t>
      </w:r>
    </w:p>
    <w:p>
      <w:pPr>
        <w:ind w:firstLine="480"/>
      </w:pPr>
      <w:r>
        <w:t>本专业2022届毕业生共计53人，其中男生25人，占比47.17%，女生28人，占比52.83%；省内生源40人，占比75.47%，省外生源13人，占比24.53%，省外生源主要集中在湖南省、甘肃省、河南省等。从民族结构看，2022届毕业生以汉族为主，共52人，占比98.11%；少数民族共1人，占比1.81%，为土家族。</w:t>
      </w:r>
    </w:p>
    <w:p>
      <w:pPr>
        <w:widowControl/>
        <w:jc w:val="center"/>
        <w:textAlignment w:val="center"/>
        <w:rPr>
          <w:b/>
          <w:bCs/>
          <w:color w:val="000000"/>
          <w:kern w:val="0"/>
          <w:sz w:val="21"/>
          <w:szCs w:val="21"/>
          <w:lang w:bidi="ar"/>
        </w:rPr>
      </w:pPr>
      <w:r>
        <w:rPr>
          <w:b/>
          <w:bCs/>
          <w:color w:val="000000"/>
          <w:kern w:val="0"/>
          <w:sz w:val="21"/>
          <w:szCs w:val="21"/>
          <w:lang w:bidi="ar"/>
        </w:rPr>
        <w:t>表2毕业生生源结构统计表</w:t>
      </w:r>
    </w:p>
    <w:tbl>
      <w:tblPr>
        <w:tblStyle w:val="17"/>
        <w:tblW w:w="8775" w:type="dxa"/>
        <w:jc w:val="center"/>
        <w:tblLayout w:type="autofit"/>
        <w:tblCellMar>
          <w:top w:w="0" w:type="dxa"/>
          <w:left w:w="0" w:type="dxa"/>
          <w:bottom w:w="0" w:type="dxa"/>
          <w:right w:w="0" w:type="dxa"/>
        </w:tblCellMar>
      </w:tblPr>
      <w:tblGrid>
        <w:gridCol w:w="1125"/>
        <w:gridCol w:w="855"/>
        <w:gridCol w:w="1140"/>
        <w:gridCol w:w="1185"/>
        <w:gridCol w:w="1170"/>
        <w:gridCol w:w="1140"/>
        <w:gridCol w:w="1098"/>
        <w:gridCol w:w="1080"/>
      </w:tblGrid>
      <w:tr>
        <w:trPr>
          <w:trHeight w:val="663" w:hRule="atLeast"/>
          <w:jc w:val="center"/>
        </w:trPr>
        <w:tc>
          <w:tcPr>
            <w:tcW w:w="11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专业名称</w:t>
            </w:r>
          </w:p>
        </w:tc>
        <w:tc>
          <w:tcPr>
            <w:tcW w:w="8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生源</w:t>
            </w:r>
          </w:p>
          <w:p>
            <w:pPr>
              <w:widowControl/>
              <w:jc w:val="center"/>
              <w:textAlignment w:val="center"/>
              <w:rPr>
                <w:b/>
                <w:bCs/>
                <w:color w:val="000000"/>
                <w:kern w:val="0"/>
                <w:sz w:val="21"/>
                <w:szCs w:val="21"/>
                <w:lang w:bidi="ar"/>
              </w:rPr>
            </w:pPr>
            <w:r>
              <w:rPr>
                <w:b/>
                <w:bCs/>
                <w:color w:val="000000"/>
                <w:kern w:val="0"/>
                <w:sz w:val="21"/>
                <w:szCs w:val="21"/>
                <w:lang w:bidi="ar"/>
              </w:rPr>
              <w:t>人数</w:t>
            </w:r>
          </w:p>
        </w:tc>
        <w:tc>
          <w:tcPr>
            <w:tcW w:w="114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男生数量</w:t>
            </w:r>
          </w:p>
          <w:p>
            <w:pPr>
              <w:widowControl/>
              <w:jc w:val="center"/>
              <w:textAlignment w:val="center"/>
              <w:rPr>
                <w:b/>
                <w:bCs/>
                <w:color w:val="000000"/>
                <w:kern w:val="0"/>
                <w:sz w:val="21"/>
                <w:szCs w:val="21"/>
                <w:lang w:bidi="ar"/>
              </w:rPr>
            </w:pPr>
            <w:r>
              <w:rPr>
                <w:b/>
                <w:bCs/>
                <w:color w:val="000000"/>
                <w:kern w:val="0"/>
                <w:sz w:val="21"/>
                <w:szCs w:val="21"/>
                <w:lang w:bidi="ar"/>
              </w:rPr>
              <w:t>（比例）</w:t>
            </w:r>
          </w:p>
        </w:tc>
        <w:tc>
          <w:tcPr>
            <w:tcW w:w="118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女生数量</w:t>
            </w:r>
          </w:p>
          <w:p>
            <w:pPr>
              <w:widowControl/>
              <w:jc w:val="center"/>
              <w:textAlignment w:val="center"/>
              <w:rPr>
                <w:b/>
                <w:bCs/>
                <w:color w:val="000000"/>
                <w:kern w:val="0"/>
                <w:sz w:val="21"/>
                <w:szCs w:val="21"/>
                <w:lang w:bidi="ar"/>
              </w:rPr>
            </w:pPr>
            <w:r>
              <w:rPr>
                <w:b/>
                <w:bCs/>
                <w:color w:val="000000"/>
                <w:kern w:val="0"/>
                <w:sz w:val="21"/>
                <w:szCs w:val="21"/>
                <w:lang w:bidi="ar"/>
              </w:rPr>
              <w:t>（比例）</w:t>
            </w:r>
          </w:p>
        </w:tc>
        <w:tc>
          <w:tcPr>
            <w:tcW w:w="117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省内人数</w:t>
            </w:r>
          </w:p>
          <w:p>
            <w:pPr>
              <w:widowControl/>
              <w:jc w:val="center"/>
              <w:textAlignment w:val="center"/>
              <w:rPr>
                <w:b/>
                <w:bCs/>
                <w:color w:val="000000"/>
                <w:kern w:val="0"/>
                <w:sz w:val="21"/>
                <w:szCs w:val="21"/>
                <w:lang w:bidi="ar"/>
              </w:rPr>
            </w:pPr>
            <w:r>
              <w:rPr>
                <w:b/>
                <w:bCs/>
                <w:color w:val="000000"/>
                <w:kern w:val="0"/>
                <w:sz w:val="21"/>
                <w:szCs w:val="21"/>
                <w:lang w:bidi="ar"/>
              </w:rPr>
              <w:t>（比例）</w:t>
            </w:r>
          </w:p>
        </w:tc>
        <w:tc>
          <w:tcPr>
            <w:tcW w:w="114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省外人数</w:t>
            </w:r>
          </w:p>
          <w:p>
            <w:pPr>
              <w:widowControl/>
              <w:jc w:val="center"/>
              <w:textAlignment w:val="center"/>
              <w:rPr>
                <w:b/>
                <w:bCs/>
                <w:color w:val="000000"/>
                <w:kern w:val="0"/>
                <w:sz w:val="21"/>
                <w:szCs w:val="21"/>
                <w:lang w:bidi="ar"/>
              </w:rPr>
            </w:pPr>
            <w:r>
              <w:rPr>
                <w:b/>
                <w:bCs/>
                <w:color w:val="000000"/>
                <w:kern w:val="0"/>
                <w:sz w:val="21"/>
                <w:szCs w:val="21"/>
                <w:lang w:bidi="ar"/>
              </w:rPr>
              <w:t>（比例）</w:t>
            </w:r>
          </w:p>
        </w:tc>
        <w:tc>
          <w:tcPr>
            <w:tcW w:w="108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汉族人数</w:t>
            </w:r>
          </w:p>
          <w:p>
            <w:pPr>
              <w:widowControl/>
              <w:jc w:val="center"/>
              <w:textAlignment w:val="center"/>
              <w:rPr>
                <w:b/>
                <w:bCs/>
                <w:color w:val="000000"/>
                <w:kern w:val="0"/>
                <w:sz w:val="21"/>
                <w:szCs w:val="21"/>
                <w:lang w:bidi="ar"/>
              </w:rPr>
            </w:pPr>
            <w:r>
              <w:rPr>
                <w:b/>
                <w:bCs/>
                <w:color w:val="000000"/>
                <w:kern w:val="0"/>
                <w:sz w:val="21"/>
                <w:szCs w:val="21"/>
                <w:lang w:bidi="ar"/>
              </w:rPr>
              <w:t>（比例）</w:t>
            </w:r>
          </w:p>
        </w:tc>
        <w:tc>
          <w:tcPr>
            <w:tcW w:w="108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少数民族</w:t>
            </w:r>
          </w:p>
          <w:p>
            <w:pPr>
              <w:widowControl/>
              <w:jc w:val="center"/>
              <w:textAlignment w:val="center"/>
              <w:rPr>
                <w:b/>
                <w:bCs/>
                <w:color w:val="000000"/>
                <w:kern w:val="0"/>
                <w:sz w:val="21"/>
                <w:szCs w:val="21"/>
                <w:lang w:bidi="ar"/>
              </w:rPr>
            </w:pPr>
            <w:r>
              <w:rPr>
                <w:b/>
                <w:bCs/>
                <w:color w:val="000000"/>
                <w:kern w:val="0"/>
                <w:sz w:val="21"/>
                <w:szCs w:val="21"/>
                <w:lang w:bidi="ar"/>
              </w:rPr>
              <w:t>（比例）</w:t>
            </w:r>
          </w:p>
        </w:tc>
      </w:tr>
      <w:tr>
        <w:tblPrEx>
          <w:tblCellMar>
            <w:top w:w="0" w:type="dxa"/>
            <w:left w:w="0" w:type="dxa"/>
            <w:bottom w:w="0" w:type="dxa"/>
            <w:right w:w="0" w:type="dxa"/>
          </w:tblCellMar>
        </w:tblPrEx>
        <w:trPr>
          <w:trHeight w:val="828" w:hRule="atLeast"/>
          <w:jc w:val="center"/>
        </w:trPr>
        <w:tc>
          <w:tcPr>
            <w:tcW w:w="11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制药工程</w:t>
            </w:r>
          </w:p>
        </w:tc>
        <w:tc>
          <w:tcPr>
            <w:tcW w:w="8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53</w:t>
            </w:r>
          </w:p>
        </w:tc>
        <w:tc>
          <w:tcPr>
            <w:tcW w:w="114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（47.17%）</w:t>
            </w:r>
          </w:p>
        </w:tc>
        <w:tc>
          <w:tcPr>
            <w:tcW w:w="118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（52.83%）</w:t>
            </w:r>
          </w:p>
        </w:tc>
        <w:tc>
          <w:tcPr>
            <w:tcW w:w="117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（75.47%）</w:t>
            </w:r>
          </w:p>
        </w:tc>
        <w:tc>
          <w:tcPr>
            <w:tcW w:w="114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（24.53%）</w:t>
            </w:r>
          </w:p>
        </w:tc>
        <w:tc>
          <w:tcPr>
            <w:tcW w:w="10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（98.11%）</w:t>
            </w:r>
          </w:p>
        </w:tc>
        <w:tc>
          <w:tcPr>
            <w:tcW w:w="10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（1.89%）</w:t>
            </w:r>
          </w:p>
        </w:tc>
      </w:tr>
    </w:tbl>
    <w:p>
      <w:pPr>
        <w:pStyle w:val="7"/>
        <w:ind w:firstLine="480"/>
      </w:pPr>
    </w:p>
    <w:p>
      <w:pPr>
        <w:pStyle w:val="7"/>
        <w:ind w:firstLine="480"/>
      </w:pPr>
      <w:r>
        <w:t>3.毕业生考研报考院校情况</w:t>
      </w:r>
    </w:p>
    <w:p>
      <w:pPr>
        <w:ind w:firstLine="482"/>
        <w:rPr>
          <w:szCs w:val="24"/>
        </w:rPr>
      </w:pPr>
      <w:r>
        <w:rPr>
          <w:szCs w:val="24"/>
        </w:rPr>
        <w:t>毕业生国内升学30人，升学率56.6%，其中考入</w:t>
      </w:r>
      <w:r>
        <w:rPr>
          <w:rFonts w:hint="eastAsia"/>
          <w:szCs w:val="24"/>
        </w:rPr>
        <w:t>“</w:t>
      </w:r>
      <w:r>
        <w:rPr>
          <w:szCs w:val="24"/>
        </w:rPr>
        <w:t>双一流</w:t>
      </w:r>
      <w:r>
        <w:rPr>
          <w:rFonts w:hint="eastAsia"/>
          <w:szCs w:val="24"/>
        </w:rPr>
        <w:t>”</w:t>
      </w:r>
      <w:r>
        <w:rPr>
          <w:szCs w:val="24"/>
        </w:rPr>
        <w:t>大学19人，占国内升学总人数的63.33%。从升学专业来看，跨专业升学的8人，占国内升学总人数的26.67%。升学学校主要是中国农业大学、南京农业大学、山东农业大学等。</w:t>
      </w:r>
    </w:p>
    <w:p>
      <w:pPr>
        <w:widowControl/>
        <w:jc w:val="center"/>
        <w:textAlignment w:val="center"/>
        <w:rPr>
          <w:b/>
          <w:bCs/>
          <w:color w:val="000000"/>
          <w:kern w:val="0"/>
          <w:sz w:val="21"/>
          <w:szCs w:val="21"/>
          <w:lang w:bidi="ar"/>
        </w:rPr>
      </w:pPr>
      <w:r>
        <w:rPr>
          <w:b/>
          <w:bCs/>
          <w:color w:val="000000"/>
          <w:kern w:val="0"/>
          <w:sz w:val="21"/>
          <w:szCs w:val="21"/>
          <w:lang w:bidi="ar"/>
        </w:rPr>
        <w:t>表3国内升学高校前5位统计表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7"/>
        <w:gridCol w:w="3270"/>
        <w:gridCol w:w="2175"/>
        <w:gridCol w:w="2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exact"/>
        </w:trPr>
        <w:tc>
          <w:tcPr>
            <w:tcW w:w="1487"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b/>
                <w:bCs/>
                <w:color w:val="000000"/>
                <w:kern w:val="0"/>
                <w:sz w:val="21"/>
                <w:szCs w:val="21"/>
                <w:lang w:bidi="ar"/>
              </w:rPr>
            </w:pPr>
            <w:r>
              <w:rPr>
                <w:b/>
                <w:bCs/>
                <w:color w:val="000000"/>
                <w:kern w:val="0"/>
                <w:sz w:val="21"/>
                <w:szCs w:val="21"/>
                <w:lang w:bidi="ar"/>
              </w:rPr>
              <w:t>序号</w:t>
            </w:r>
          </w:p>
        </w:tc>
        <w:tc>
          <w:tcPr>
            <w:tcW w:w="327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b/>
                <w:bCs/>
                <w:color w:val="000000"/>
                <w:kern w:val="0"/>
                <w:sz w:val="21"/>
                <w:szCs w:val="21"/>
                <w:lang w:bidi="ar"/>
              </w:rPr>
            </w:pPr>
            <w:r>
              <w:rPr>
                <w:b/>
                <w:bCs/>
                <w:color w:val="000000"/>
                <w:kern w:val="0"/>
                <w:sz w:val="21"/>
                <w:szCs w:val="21"/>
                <w:lang w:bidi="ar"/>
              </w:rPr>
              <w:t>升学学校名称</w:t>
            </w:r>
          </w:p>
        </w:tc>
        <w:tc>
          <w:tcPr>
            <w:tcW w:w="217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b/>
                <w:bCs/>
                <w:color w:val="000000"/>
                <w:kern w:val="0"/>
                <w:sz w:val="21"/>
                <w:szCs w:val="21"/>
                <w:lang w:bidi="ar"/>
              </w:rPr>
            </w:pPr>
            <w:r>
              <w:rPr>
                <w:b/>
                <w:bCs/>
                <w:color w:val="000000"/>
                <w:kern w:val="0"/>
                <w:sz w:val="21"/>
                <w:szCs w:val="21"/>
                <w:lang w:bidi="ar"/>
              </w:rPr>
              <w:t>升学人数</w:t>
            </w:r>
          </w:p>
        </w:tc>
        <w:tc>
          <w:tcPr>
            <w:tcW w:w="205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b/>
                <w:bCs/>
                <w:color w:val="000000"/>
                <w:kern w:val="0"/>
                <w:sz w:val="21"/>
                <w:szCs w:val="21"/>
                <w:lang w:bidi="ar"/>
              </w:rPr>
            </w:pPr>
            <w:r>
              <w:rPr>
                <w:b/>
                <w:bCs/>
                <w:color w:val="000000"/>
                <w:kern w:val="0"/>
                <w:sz w:val="21"/>
                <w:szCs w:val="21"/>
                <w:lang w:bidi="ar"/>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487"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1</w:t>
            </w:r>
          </w:p>
        </w:tc>
        <w:tc>
          <w:tcPr>
            <w:tcW w:w="327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中国农业大学</w:t>
            </w:r>
          </w:p>
        </w:tc>
        <w:tc>
          <w:tcPr>
            <w:tcW w:w="217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5</w:t>
            </w:r>
          </w:p>
        </w:tc>
        <w:tc>
          <w:tcPr>
            <w:tcW w:w="205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16.67%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487"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2</w:t>
            </w:r>
          </w:p>
        </w:tc>
        <w:tc>
          <w:tcPr>
            <w:tcW w:w="327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南京农业大学</w:t>
            </w:r>
          </w:p>
        </w:tc>
        <w:tc>
          <w:tcPr>
            <w:tcW w:w="217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4</w:t>
            </w:r>
          </w:p>
        </w:tc>
        <w:tc>
          <w:tcPr>
            <w:tcW w:w="205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13.33%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487"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3</w:t>
            </w:r>
          </w:p>
        </w:tc>
        <w:tc>
          <w:tcPr>
            <w:tcW w:w="327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山东农业大学</w:t>
            </w:r>
          </w:p>
        </w:tc>
        <w:tc>
          <w:tcPr>
            <w:tcW w:w="217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8</w:t>
            </w:r>
          </w:p>
        </w:tc>
        <w:tc>
          <w:tcPr>
            <w:tcW w:w="205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26.67%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487"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4</w:t>
            </w:r>
          </w:p>
        </w:tc>
        <w:tc>
          <w:tcPr>
            <w:tcW w:w="327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华中农业大学</w:t>
            </w:r>
          </w:p>
        </w:tc>
        <w:tc>
          <w:tcPr>
            <w:tcW w:w="217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3</w:t>
            </w:r>
          </w:p>
        </w:tc>
        <w:tc>
          <w:tcPr>
            <w:tcW w:w="205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487"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5</w:t>
            </w:r>
          </w:p>
        </w:tc>
        <w:tc>
          <w:tcPr>
            <w:tcW w:w="327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中国农业科学院研究生院</w:t>
            </w:r>
          </w:p>
        </w:tc>
        <w:tc>
          <w:tcPr>
            <w:tcW w:w="217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3</w:t>
            </w:r>
          </w:p>
        </w:tc>
        <w:tc>
          <w:tcPr>
            <w:tcW w:w="2055"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color w:val="000000"/>
                <w:kern w:val="0"/>
                <w:sz w:val="21"/>
                <w:szCs w:val="21"/>
                <w:lang w:bidi="ar"/>
              </w:rPr>
            </w:pPr>
            <w:r>
              <w:rPr>
                <w:color w:val="000000"/>
                <w:kern w:val="0"/>
                <w:sz w:val="21"/>
                <w:szCs w:val="21"/>
                <w:lang w:bidi="ar"/>
              </w:rPr>
              <w:t>10%</w:t>
            </w:r>
          </w:p>
        </w:tc>
      </w:tr>
    </w:tbl>
    <w:p>
      <w:pPr>
        <w:pStyle w:val="7"/>
        <w:ind w:firstLine="480"/>
      </w:pPr>
    </w:p>
    <w:p>
      <w:pPr>
        <w:pStyle w:val="7"/>
        <w:ind w:firstLine="480"/>
      </w:pPr>
      <w:r>
        <w:t>4、就业总体情况</w:t>
      </w:r>
    </w:p>
    <w:p>
      <w:pPr>
        <w:ind w:firstLine="480"/>
      </w:pPr>
      <w:r>
        <w:t>截止2022年8月31日，毕业生就业47人，毕业去向落实率为88.68%，其中男生就业20人，毕业去向落实率为80%，女生就业27人，毕业去向落实率为96.43%。毕业生留鲁就业的21人，占已就业总人数的44.68%，其中到泰安就业人数最多，占23.4%。出省就业共26人，占55.32%，主要流向北京、湖北省、江苏省等省份。</w:t>
      </w:r>
    </w:p>
    <w:p>
      <w:pPr>
        <w:widowControl/>
        <w:jc w:val="center"/>
        <w:textAlignment w:val="center"/>
        <w:rPr>
          <w:b/>
          <w:bCs/>
          <w:color w:val="000000"/>
          <w:kern w:val="0"/>
          <w:sz w:val="21"/>
          <w:szCs w:val="21"/>
          <w:lang w:bidi="ar"/>
        </w:rPr>
      </w:pPr>
      <w:r>
        <w:rPr>
          <w:b/>
          <w:bCs/>
          <w:color w:val="000000"/>
          <w:kern w:val="0"/>
          <w:sz w:val="21"/>
          <w:szCs w:val="21"/>
          <w:lang w:bidi="ar"/>
        </w:rPr>
        <w:t>表4毕业生毕业去向落实情况统计表</w:t>
      </w:r>
    </w:p>
    <w:tbl>
      <w:tblPr>
        <w:tblStyle w:val="17"/>
        <w:tblW w:w="8616" w:type="dxa"/>
        <w:jc w:val="center"/>
        <w:tblLayout w:type="fixed"/>
        <w:tblCellMar>
          <w:top w:w="0" w:type="dxa"/>
          <w:left w:w="0" w:type="dxa"/>
          <w:bottom w:w="0" w:type="dxa"/>
          <w:right w:w="0" w:type="dxa"/>
        </w:tblCellMar>
      </w:tblPr>
      <w:tblGrid>
        <w:gridCol w:w="1114"/>
        <w:gridCol w:w="1023"/>
        <w:gridCol w:w="997"/>
        <w:gridCol w:w="1120"/>
        <w:gridCol w:w="1183"/>
        <w:gridCol w:w="1649"/>
        <w:gridCol w:w="1530"/>
      </w:tblGrid>
      <w:tr>
        <w:tblPrEx>
          <w:tblCellMar>
            <w:top w:w="0" w:type="dxa"/>
            <w:left w:w="0" w:type="dxa"/>
            <w:bottom w:w="0" w:type="dxa"/>
            <w:right w:w="0" w:type="dxa"/>
          </w:tblCellMar>
        </w:tblPrEx>
        <w:trPr>
          <w:trHeight w:val="411" w:hRule="atLeast"/>
          <w:jc w:val="center"/>
        </w:trPr>
        <w:tc>
          <w:tcPr>
            <w:tcW w:w="111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专业名称</w:t>
            </w:r>
          </w:p>
        </w:tc>
        <w:tc>
          <w:tcPr>
            <w:tcW w:w="102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落实就业</w:t>
            </w:r>
          </w:p>
          <w:p>
            <w:pPr>
              <w:widowControl/>
              <w:jc w:val="center"/>
              <w:textAlignment w:val="center"/>
              <w:rPr>
                <w:b/>
                <w:bCs/>
                <w:color w:val="000000"/>
                <w:kern w:val="0"/>
                <w:sz w:val="21"/>
                <w:szCs w:val="21"/>
                <w:lang w:bidi="ar"/>
              </w:rPr>
            </w:pPr>
            <w:r>
              <w:rPr>
                <w:b/>
                <w:bCs/>
                <w:color w:val="000000"/>
                <w:kern w:val="0"/>
                <w:sz w:val="21"/>
                <w:szCs w:val="21"/>
                <w:lang w:bidi="ar"/>
              </w:rPr>
              <w:t>人数</w:t>
            </w:r>
          </w:p>
        </w:tc>
        <w:tc>
          <w:tcPr>
            <w:tcW w:w="99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毕业去向</w:t>
            </w:r>
          </w:p>
          <w:p>
            <w:pPr>
              <w:widowControl/>
              <w:jc w:val="center"/>
              <w:textAlignment w:val="center"/>
              <w:rPr>
                <w:b/>
                <w:bCs/>
                <w:color w:val="000000"/>
                <w:kern w:val="0"/>
                <w:sz w:val="21"/>
                <w:szCs w:val="21"/>
                <w:lang w:bidi="ar"/>
              </w:rPr>
            </w:pPr>
            <w:r>
              <w:rPr>
                <w:b/>
                <w:bCs/>
                <w:color w:val="000000"/>
                <w:kern w:val="0"/>
                <w:sz w:val="21"/>
                <w:szCs w:val="21"/>
                <w:lang w:bidi="ar"/>
              </w:rPr>
              <w:t>落实率</w:t>
            </w:r>
          </w:p>
        </w:tc>
        <w:tc>
          <w:tcPr>
            <w:tcW w:w="112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男生毕业去向落实率</w:t>
            </w:r>
          </w:p>
        </w:tc>
        <w:tc>
          <w:tcPr>
            <w:tcW w:w="11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女生毕业去向落实率</w:t>
            </w:r>
          </w:p>
        </w:tc>
        <w:tc>
          <w:tcPr>
            <w:tcW w:w="164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留鲁就业人数</w:t>
            </w:r>
          </w:p>
          <w:p>
            <w:pPr>
              <w:widowControl/>
              <w:jc w:val="center"/>
              <w:textAlignment w:val="center"/>
              <w:rPr>
                <w:b/>
                <w:bCs/>
                <w:color w:val="000000"/>
                <w:kern w:val="0"/>
                <w:sz w:val="21"/>
                <w:szCs w:val="21"/>
                <w:lang w:bidi="ar"/>
              </w:rPr>
            </w:pPr>
            <w:r>
              <w:rPr>
                <w:b/>
                <w:bCs/>
                <w:color w:val="000000"/>
                <w:kern w:val="0"/>
                <w:sz w:val="21"/>
                <w:szCs w:val="21"/>
                <w:lang w:bidi="ar"/>
              </w:rPr>
              <w:t>（比例）</w:t>
            </w:r>
          </w:p>
        </w:tc>
        <w:tc>
          <w:tcPr>
            <w:tcW w:w="153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省外就业人数</w:t>
            </w:r>
          </w:p>
          <w:p>
            <w:pPr>
              <w:widowControl/>
              <w:jc w:val="center"/>
              <w:textAlignment w:val="center"/>
              <w:rPr>
                <w:b/>
                <w:bCs/>
                <w:color w:val="000000"/>
                <w:kern w:val="0"/>
                <w:sz w:val="21"/>
                <w:szCs w:val="21"/>
                <w:lang w:bidi="ar"/>
              </w:rPr>
            </w:pPr>
            <w:r>
              <w:rPr>
                <w:b/>
                <w:bCs/>
                <w:color w:val="000000"/>
                <w:kern w:val="0"/>
                <w:sz w:val="21"/>
                <w:szCs w:val="21"/>
                <w:lang w:bidi="ar"/>
              </w:rPr>
              <w:t>（比例）</w:t>
            </w:r>
          </w:p>
        </w:tc>
      </w:tr>
      <w:tr>
        <w:tblPrEx>
          <w:tblCellMar>
            <w:top w:w="0" w:type="dxa"/>
            <w:left w:w="0" w:type="dxa"/>
            <w:bottom w:w="0" w:type="dxa"/>
            <w:right w:w="0" w:type="dxa"/>
          </w:tblCellMar>
        </w:tblPrEx>
        <w:trPr>
          <w:trHeight w:val="562" w:hRule="atLeast"/>
          <w:jc w:val="center"/>
        </w:trPr>
        <w:tc>
          <w:tcPr>
            <w:tcW w:w="111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制药工程</w:t>
            </w:r>
          </w:p>
        </w:tc>
        <w:tc>
          <w:tcPr>
            <w:tcW w:w="102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47</w:t>
            </w:r>
          </w:p>
        </w:tc>
        <w:tc>
          <w:tcPr>
            <w:tcW w:w="99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88.68%</w:t>
            </w:r>
          </w:p>
        </w:tc>
        <w:tc>
          <w:tcPr>
            <w:tcW w:w="112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80%</w:t>
            </w:r>
          </w:p>
        </w:tc>
        <w:tc>
          <w:tcPr>
            <w:tcW w:w="118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96.43%</w:t>
            </w:r>
          </w:p>
        </w:tc>
        <w:tc>
          <w:tcPr>
            <w:tcW w:w="164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44.68%</w:t>
            </w:r>
          </w:p>
        </w:tc>
        <w:tc>
          <w:tcPr>
            <w:tcW w:w="153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55.32%</w:t>
            </w:r>
          </w:p>
        </w:tc>
      </w:tr>
    </w:tbl>
    <w:p>
      <w:pPr>
        <w:spacing w:before="58" w:line="360" w:lineRule="auto"/>
        <w:ind w:right="500" w:firstLine="480"/>
        <w:rPr>
          <w:rFonts w:eastAsia="仿宋_GB2312"/>
          <w:szCs w:val="24"/>
        </w:rPr>
      </w:pPr>
    </w:p>
    <w:p>
      <w:pPr>
        <w:tabs>
          <w:tab w:val="left" w:pos="3987"/>
        </w:tabs>
        <w:spacing w:line="240" w:lineRule="auto"/>
        <w:ind w:firstLine="480"/>
        <w:jc w:val="center"/>
        <w:rPr>
          <w:rFonts w:eastAsia="仿宋_GB2312"/>
          <w:szCs w:val="24"/>
        </w:rPr>
      </w:pPr>
      <w:r>
        <w:rPr>
          <w:rFonts w:eastAsia="仿宋_GB2312"/>
          <w:szCs w:val="24"/>
        </w:rPr>
        <w:drawing>
          <wp:inline distT="0" distB="0" distL="0" distR="0">
            <wp:extent cx="3843655" cy="2534285"/>
            <wp:effectExtent l="0" t="0" r="4445" b="18415"/>
            <wp:docPr id="8" name="图片 8"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片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3843655" cy="2534285"/>
                    </a:xfrm>
                    <a:prstGeom prst="rect">
                      <a:avLst/>
                    </a:prstGeom>
                    <a:noFill/>
                    <a:ln>
                      <a:noFill/>
                    </a:ln>
                  </pic:spPr>
                </pic:pic>
              </a:graphicData>
            </a:graphic>
          </wp:inline>
        </w:drawing>
      </w:r>
    </w:p>
    <w:p>
      <w:pPr>
        <w:widowControl/>
        <w:jc w:val="center"/>
        <w:textAlignment w:val="center"/>
        <w:rPr>
          <w:b/>
          <w:bCs/>
          <w:color w:val="000000"/>
          <w:kern w:val="0"/>
          <w:sz w:val="21"/>
          <w:szCs w:val="21"/>
          <w:lang w:bidi="ar"/>
        </w:rPr>
      </w:pPr>
      <w:r>
        <w:rPr>
          <w:b/>
          <w:bCs/>
          <w:color w:val="000000"/>
          <w:kern w:val="0"/>
          <w:sz w:val="21"/>
          <w:szCs w:val="21"/>
          <w:lang w:bidi="ar"/>
        </w:rPr>
        <w:t>图1毕业生就业地区流向图</w:t>
      </w:r>
    </w:p>
    <w:p>
      <w:pPr>
        <w:ind w:firstLine="482" w:firstLineChars="200"/>
        <w:rPr>
          <w:b/>
          <w:bCs/>
          <w:szCs w:val="24"/>
        </w:rPr>
      </w:pPr>
      <w:r>
        <w:rPr>
          <w:b/>
          <w:bCs/>
          <w:szCs w:val="24"/>
        </w:rPr>
        <w:t>（1）就业方式</w:t>
      </w:r>
    </w:p>
    <w:p>
      <w:pPr>
        <w:ind w:firstLine="480"/>
        <w:jc w:val="left"/>
        <w:rPr>
          <w:szCs w:val="24"/>
        </w:rPr>
      </w:pPr>
      <w:r>
        <w:rPr>
          <w:szCs w:val="24"/>
        </w:rPr>
        <w:t>毕业生毕业去向主要包括升学、协议就业、劳动合同就业、自主创业、其他录用形式就业、自由职业、暂不就业（不就业拟升学和其他暂不就业）、待就业等多种方式就业，本专业毕业去向中升学就业人数最多，其次是协议就业。毕业生总体就业方式如下表所示。</w:t>
      </w:r>
    </w:p>
    <w:p>
      <w:pPr>
        <w:widowControl/>
        <w:jc w:val="center"/>
        <w:textAlignment w:val="center"/>
        <w:rPr>
          <w:b/>
          <w:bCs/>
          <w:color w:val="000000"/>
          <w:kern w:val="0"/>
          <w:sz w:val="21"/>
          <w:szCs w:val="21"/>
          <w:lang w:bidi="ar"/>
        </w:rPr>
      </w:pPr>
      <w:r>
        <w:rPr>
          <w:b/>
          <w:bCs/>
          <w:color w:val="000000"/>
          <w:kern w:val="0"/>
          <w:sz w:val="21"/>
          <w:szCs w:val="21"/>
          <w:lang w:bidi="ar"/>
        </w:rPr>
        <w:t>表5 毕业生就业方式统计表</w:t>
      </w:r>
    </w:p>
    <w:tbl>
      <w:tblPr>
        <w:tblStyle w:val="17"/>
        <w:tblW w:w="8341" w:type="dxa"/>
        <w:jc w:val="center"/>
        <w:tblLayout w:type="fixed"/>
        <w:tblCellMar>
          <w:top w:w="0" w:type="dxa"/>
          <w:left w:w="0" w:type="dxa"/>
          <w:bottom w:w="0" w:type="dxa"/>
          <w:right w:w="0" w:type="dxa"/>
        </w:tblCellMar>
      </w:tblPr>
      <w:tblGrid>
        <w:gridCol w:w="1151"/>
        <w:gridCol w:w="1203"/>
        <w:gridCol w:w="1364"/>
        <w:gridCol w:w="1346"/>
        <w:gridCol w:w="1860"/>
        <w:gridCol w:w="1417"/>
      </w:tblGrid>
      <w:tr>
        <w:tblPrEx>
          <w:tblCellMar>
            <w:top w:w="0" w:type="dxa"/>
            <w:left w:w="0" w:type="dxa"/>
            <w:bottom w:w="0" w:type="dxa"/>
            <w:right w:w="0" w:type="dxa"/>
          </w:tblCellMar>
        </w:tblPrEx>
        <w:trPr>
          <w:trHeight w:val="432" w:hRule="atLeast"/>
          <w:jc w:val="center"/>
        </w:trPr>
        <w:tc>
          <w:tcPr>
            <w:tcW w:w="115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就业方式</w:t>
            </w:r>
          </w:p>
        </w:tc>
        <w:tc>
          <w:tcPr>
            <w:tcW w:w="120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国内升学</w:t>
            </w:r>
          </w:p>
        </w:tc>
        <w:tc>
          <w:tcPr>
            <w:tcW w:w="136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协议就业</w:t>
            </w:r>
          </w:p>
        </w:tc>
        <w:tc>
          <w:tcPr>
            <w:tcW w:w="134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劳动合同</w:t>
            </w:r>
          </w:p>
        </w:tc>
        <w:tc>
          <w:tcPr>
            <w:tcW w:w="18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其他录用形式就业</w:t>
            </w:r>
          </w:p>
        </w:tc>
        <w:tc>
          <w:tcPr>
            <w:tcW w:w="14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b/>
                <w:bCs/>
                <w:color w:val="000000"/>
                <w:kern w:val="0"/>
                <w:sz w:val="21"/>
                <w:szCs w:val="21"/>
                <w:lang w:bidi="ar"/>
              </w:rPr>
            </w:pPr>
            <w:r>
              <w:rPr>
                <w:b/>
                <w:bCs/>
                <w:color w:val="000000"/>
                <w:kern w:val="0"/>
                <w:sz w:val="21"/>
                <w:szCs w:val="21"/>
                <w:lang w:bidi="ar"/>
              </w:rPr>
              <w:t>自由职业</w:t>
            </w:r>
          </w:p>
        </w:tc>
      </w:tr>
      <w:tr>
        <w:tblPrEx>
          <w:tblCellMar>
            <w:top w:w="0" w:type="dxa"/>
            <w:left w:w="0" w:type="dxa"/>
            <w:bottom w:w="0" w:type="dxa"/>
            <w:right w:w="0" w:type="dxa"/>
          </w:tblCellMar>
        </w:tblPrEx>
        <w:trPr>
          <w:trHeight w:val="478" w:hRule="atLeast"/>
          <w:jc w:val="center"/>
        </w:trPr>
        <w:tc>
          <w:tcPr>
            <w:tcW w:w="115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人数</w:t>
            </w:r>
          </w:p>
          <w:p>
            <w:pPr>
              <w:widowControl/>
              <w:jc w:val="center"/>
              <w:textAlignment w:val="center"/>
              <w:rPr>
                <w:color w:val="000000"/>
                <w:kern w:val="0"/>
                <w:sz w:val="21"/>
                <w:szCs w:val="21"/>
                <w:lang w:bidi="ar"/>
              </w:rPr>
            </w:pPr>
            <w:r>
              <w:rPr>
                <w:color w:val="000000"/>
                <w:kern w:val="0"/>
                <w:sz w:val="21"/>
                <w:szCs w:val="21"/>
                <w:lang w:bidi="ar"/>
              </w:rPr>
              <w:t>（比例）</w:t>
            </w:r>
          </w:p>
        </w:tc>
        <w:tc>
          <w:tcPr>
            <w:tcW w:w="120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30</w:t>
            </w:r>
          </w:p>
          <w:p>
            <w:pPr>
              <w:widowControl/>
              <w:jc w:val="center"/>
              <w:textAlignment w:val="center"/>
              <w:rPr>
                <w:color w:val="000000"/>
                <w:kern w:val="0"/>
                <w:sz w:val="21"/>
                <w:szCs w:val="21"/>
                <w:lang w:bidi="ar"/>
              </w:rPr>
            </w:pPr>
            <w:r>
              <w:rPr>
                <w:color w:val="000000"/>
                <w:kern w:val="0"/>
                <w:sz w:val="21"/>
                <w:szCs w:val="21"/>
                <w:lang w:bidi="ar"/>
              </w:rPr>
              <w:t>（56.6%）</w:t>
            </w:r>
          </w:p>
        </w:tc>
        <w:tc>
          <w:tcPr>
            <w:tcW w:w="136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7</w:t>
            </w:r>
          </w:p>
          <w:p>
            <w:pPr>
              <w:widowControl/>
              <w:jc w:val="center"/>
              <w:textAlignment w:val="center"/>
              <w:rPr>
                <w:color w:val="000000"/>
                <w:kern w:val="0"/>
                <w:sz w:val="21"/>
                <w:szCs w:val="21"/>
                <w:lang w:bidi="ar"/>
              </w:rPr>
            </w:pPr>
            <w:r>
              <w:rPr>
                <w:color w:val="000000"/>
                <w:kern w:val="0"/>
                <w:sz w:val="21"/>
                <w:szCs w:val="21"/>
                <w:lang w:bidi="ar"/>
              </w:rPr>
              <w:t>（13.21%）</w:t>
            </w:r>
          </w:p>
        </w:tc>
        <w:tc>
          <w:tcPr>
            <w:tcW w:w="134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1</w:t>
            </w:r>
          </w:p>
          <w:p>
            <w:pPr>
              <w:widowControl/>
              <w:jc w:val="center"/>
              <w:textAlignment w:val="center"/>
              <w:rPr>
                <w:color w:val="000000"/>
                <w:kern w:val="0"/>
                <w:sz w:val="21"/>
                <w:szCs w:val="21"/>
                <w:lang w:bidi="ar"/>
              </w:rPr>
            </w:pPr>
            <w:r>
              <w:rPr>
                <w:color w:val="000000"/>
                <w:kern w:val="0"/>
                <w:sz w:val="21"/>
                <w:szCs w:val="21"/>
                <w:lang w:bidi="ar"/>
              </w:rPr>
              <w:t>（1.89%）</w:t>
            </w:r>
          </w:p>
        </w:tc>
        <w:tc>
          <w:tcPr>
            <w:tcW w:w="18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8</w:t>
            </w:r>
          </w:p>
          <w:p>
            <w:pPr>
              <w:widowControl/>
              <w:jc w:val="center"/>
              <w:textAlignment w:val="center"/>
              <w:rPr>
                <w:color w:val="000000"/>
                <w:kern w:val="0"/>
                <w:sz w:val="21"/>
                <w:szCs w:val="21"/>
                <w:lang w:bidi="ar"/>
              </w:rPr>
            </w:pPr>
            <w:r>
              <w:rPr>
                <w:color w:val="000000"/>
                <w:kern w:val="0"/>
                <w:sz w:val="21"/>
                <w:szCs w:val="21"/>
                <w:lang w:bidi="ar"/>
              </w:rPr>
              <w:t>（15.09%）</w:t>
            </w:r>
          </w:p>
        </w:tc>
        <w:tc>
          <w:tcPr>
            <w:tcW w:w="14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jc w:val="center"/>
              <w:textAlignment w:val="center"/>
              <w:rPr>
                <w:color w:val="000000"/>
                <w:kern w:val="0"/>
                <w:sz w:val="21"/>
                <w:szCs w:val="21"/>
                <w:lang w:bidi="ar"/>
              </w:rPr>
            </w:pPr>
            <w:r>
              <w:rPr>
                <w:color w:val="000000"/>
                <w:kern w:val="0"/>
                <w:sz w:val="21"/>
                <w:szCs w:val="21"/>
                <w:lang w:bidi="ar"/>
              </w:rPr>
              <w:t>1</w:t>
            </w:r>
          </w:p>
          <w:p>
            <w:pPr>
              <w:widowControl/>
              <w:jc w:val="center"/>
              <w:textAlignment w:val="center"/>
              <w:rPr>
                <w:color w:val="000000"/>
                <w:kern w:val="0"/>
                <w:sz w:val="21"/>
                <w:szCs w:val="21"/>
                <w:lang w:bidi="ar"/>
              </w:rPr>
            </w:pPr>
            <w:r>
              <w:rPr>
                <w:color w:val="000000"/>
                <w:kern w:val="0"/>
                <w:sz w:val="21"/>
                <w:szCs w:val="21"/>
                <w:lang w:bidi="ar"/>
              </w:rPr>
              <w:t>（1.89%）</w:t>
            </w:r>
          </w:p>
        </w:tc>
      </w:tr>
    </w:tbl>
    <w:p>
      <w:pPr>
        <w:ind w:firstLine="482" w:firstLineChars="200"/>
        <w:rPr>
          <w:b/>
          <w:bCs/>
          <w:szCs w:val="24"/>
        </w:rPr>
      </w:pPr>
      <w:r>
        <w:rPr>
          <w:b/>
          <w:bCs/>
          <w:szCs w:val="24"/>
        </w:rPr>
        <w:t>（2）就业流向</w:t>
      </w:r>
    </w:p>
    <w:p>
      <w:pPr>
        <w:tabs>
          <w:tab w:val="left" w:pos="1482"/>
        </w:tabs>
        <w:spacing w:before="81"/>
        <w:ind w:firstLine="480"/>
        <w:rPr>
          <w:szCs w:val="24"/>
        </w:rPr>
      </w:pPr>
      <w:r>
        <w:t>说明：本部分已就业总人数，不包括升学、出国（境）、应征入伍等。</w:t>
      </w:r>
    </w:p>
    <w:p>
      <w:pPr>
        <w:ind w:firstLine="480"/>
        <w:rPr>
          <w:szCs w:val="24"/>
        </w:rPr>
      </w:pPr>
      <w:r>
        <w:rPr>
          <w:szCs w:val="24"/>
        </w:rPr>
        <w:t>毕业生就业单位性质显示，已就业学生的就业单位性质有非国有企业，占比10.64%；国有企业占比10.64%。</w:t>
      </w:r>
    </w:p>
    <w:p>
      <w:pPr>
        <w:ind w:firstLine="482" w:firstLineChars="200"/>
        <w:rPr>
          <w:b/>
          <w:bCs/>
          <w:szCs w:val="24"/>
        </w:rPr>
      </w:pPr>
      <w:r>
        <w:rPr>
          <w:b/>
          <w:bCs/>
          <w:szCs w:val="24"/>
        </w:rPr>
        <w:t>（3）就业工作的专业对口情况</w:t>
      </w:r>
    </w:p>
    <w:p>
      <w:pPr>
        <w:ind w:firstLine="480"/>
        <w:rPr>
          <w:szCs w:val="24"/>
        </w:rPr>
      </w:pPr>
      <w:r>
        <w:rPr>
          <w:szCs w:val="24"/>
        </w:rPr>
        <w:t>说明：本部分已就业总人数，不包括升学、出国（境）、应征入伍等。</w:t>
      </w:r>
    </w:p>
    <w:p>
      <w:pPr>
        <w:ind w:firstLine="480"/>
        <w:rPr>
          <w:szCs w:val="24"/>
        </w:rPr>
      </w:pPr>
      <w:r>
        <w:rPr>
          <w:szCs w:val="24"/>
        </w:rPr>
        <w:t>毕业生当前所在工作单位或者所从事工作岗位与所学专业对口率较高的共7人，占已就业总人数的43.75%，皆为企业就业。主要集中在江西正邦作物保护股份有限公司、山东中农联合生物科技股份有限公司、山东润科国际贸易有限公司。</w:t>
      </w:r>
    </w:p>
    <w:p>
      <w:pPr>
        <w:pStyle w:val="7"/>
        <w:ind w:firstLine="480"/>
      </w:pPr>
      <w:r>
        <w:t>4.制药工程专业市场建设情况</w:t>
      </w:r>
    </w:p>
    <w:p>
      <w:pPr>
        <w:ind w:firstLine="480"/>
        <w:rPr>
          <w:szCs w:val="24"/>
        </w:rPr>
      </w:pPr>
      <w:r>
        <w:rPr>
          <w:szCs w:val="24"/>
        </w:rPr>
        <w:t>制药工程（农药）专业招聘信息网址链接：</w:t>
      </w:r>
    </w:p>
    <w:p>
      <w:pPr>
        <w:ind w:firstLine="480"/>
        <w:rPr>
          <w:szCs w:val="24"/>
        </w:rPr>
      </w:pPr>
      <w:r>
        <w:rPr>
          <w:szCs w:val="24"/>
        </w:rPr>
        <w:t>1.https://mp.weixin.qq.com/s/tFZNCCwqb6VJ-YtZ1HPhgw</w:t>
      </w:r>
    </w:p>
    <w:p>
      <w:pPr>
        <w:ind w:firstLine="480"/>
        <w:rPr>
          <w:szCs w:val="24"/>
        </w:rPr>
      </w:pPr>
      <w:r>
        <w:rPr>
          <w:szCs w:val="24"/>
        </w:rPr>
        <w:t>2. https://mp.weixin.qq.com/s/jwcsky998eQeB7bSX-_r9A</w:t>
      </w:r>
    </w:p>
    <w:p>
      <w:pPr>
        <w:ind w:firstLine="480"/>
        <w:rPr>
          <w:szCs w:val="24"/>
        </w:rPr>
      </w:pPr>
      <w:r>
        <w:rPr>
          <w:szCs w:val="24"/>
        </w:rPr>
        <w:t>3.http://zhibao.sdau.edu.cn/2022/0308/c2070a202150/page.htm</w:t>
      </w:r>
    </w:p>
    <w:p>
      <w:pPr>
        <w:spacing w:line="240" w:lineRule="auto"/>
        <w:jc w:val="center"/>
        <w:rPr>
          <w:b/>
          <w:bCs/>
          <w:sz w:val="21"/>
          <w:szCs w:val="21"/>
        </w:rPr>
      </w:pPr>
    </w:p>
    <w:p>
      <w:pPr>
        <w:widowControl/>
        <w:jc w:val="center"/>
        <w:textAlignment w:val="center"/>
        <w:rPr>
          <w:b/>
          <w:bCs/>
          <w:color w:val="000000"/>
          <w:kern w:val="0"/>
          <w:sz w:val="21"/>
          <w:szCs w:val="21"/>
          <w:lang w:bidi="ar"/>
        </w:rPr>
      </w:pPr>
      <w:r>
        <w:rPr>
          <w:b/>
          <w:bCs/>
          <w:color w:val="000000"/>
          <w:kern w:val="0"/>
          <w:sz w:val="21"/>
          <w:szCs w:val="21"/>
          <w:lang w:bidi="ar"/>
        </w:rPr>
        <w:t>表6制药工程专业创新创业大赛获奖情况</w:t>
      </w:r>
    </w:p>
    <w:tbl>
      <w:tblPr>
        <w:tblStyle w:val="17"/>
        <w:tblW w:w="88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1"/>
        <w:gridCol w:w="984"/>
        <w:gridCol w:w="3696"/>
        <w:gridCol w:w="1236"/>
        <w:gridCol w:w="12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1691" w:type="dxa"/>
            <w:shd w:val="clear" w:color="auto" w:fill="auto"/>
            <w:noWrap/>
            <w:vAlign w:val="center"/>
          </w:tcPr>
          <w:p>
            <w:pPr>
              <w:widowControl/>
              <w:jc w:val="center"/>
              <w:textAlignment w:val="center"/>
              <w:rPr>
                <w:b/>
                <w:bCs/>
                <w:color w:val="000000"/>
                <w:kern w:val="0"/>
                <w:sz w:val="21"/>
                <w:szCs w:val="21"/>
                <w:lang w:bidi="ar"/>
              </w:rPr>
            </w:pPr>
            <w:r>
              <w:rPr>
                <w:b/>
                <w:bCs/>
                <w:color w:val="000000"/>
                <w:kern w:val="0"/>
                <w:sz w:val="21"/>
                <w:szCs w:val="21"/>
                <w:lang w:bidi="ar"/>
              </w:rPr>
              <w:t>专业班级</w:t>
            </w:r>
          </w:p>
        </w:tc>
        <w:tc>
          <w:tcPr>
            <w:tcW w:w="984" w:type="dxa"/>
            <w:shd w:val="clear" w:color="auto" w:fill="auto"/>
            <w:noWrap/>
            <w:vAlign w:val="center"/>
          </w:tcPr>
          <w:p>
            <w:pPr>
              <w:widowControl/>
              <w:jc w:val="center"/>
              <w:textAlignment w:val="center"/>
              <w:rPr>
                <w:b/>
                <w:bCs/>
                <w:color w:val="000000"/>
                <w:kern w:val="0"/>
                <w:sz w:val="21"/>
                <w:szCs w:val="21"/>
                <w:lang w:bidi="ar"/>
              </w:rPr>
            </w:pPr>
            <w:r>
              <w:rPr>
                <w:b/>
                <w:bCs/>
                <w:color w:val="000000"/>
                <w:kern w:val="0"/>
                <w:sz w:val="21"/>
                <w:szCs w:val="21"/>
                <w:lang w:bidi="ar"/>
              </w:rPr>
              <w:t>姓名</w:t>
            </w:r>
          </w:p>
        </w:tc>
        <w:tc>
          <w:tcPr>
            <w:tcW w:w="3696" w:type="dxa"/>
            <w:shd w:val="clear" w:color="auto" w:fill="auto"/>
            <w:noWrap/>
            <w:vAlign w:val="center"/>
          </w:tcPr>
          <w:p>
            <w:pPr>
              <w:widowControl/>
              <w:jc w:val="center"/>
              <w:textAlignment w:val="center"/>
              <w:rPr>
                <w:b/>
                <w:bCs/>
                <w:color w:val="000000"/>
                <w:kern w:val="0"/>
                <w:sz w:val="21"/>
                <w:szCs w:val="21"/>
                <w:lang w:bidi="ar"/>
              </w:rPr>
            </w:pPr>
            <w:r>
              <w:rPr>
                <w:b/>
                <w:bCs/>
                <w:color w:val="000000"/>
                <w:kern w:val="0"/>
                <w:sz w:val="21"/>
                <w:szCs w:val="21"/>
                <w:lang w:bidi="ar"/>
              </w:rPr>
              <w:t>获奖名称</w:t>
            </w:r>
          </w:p>
        </w:tc>
        <w:tc>
          <w:tcPr>
            <w:tcW w:w="1236" w:type="dxa"/>
            <w:shd w:val="clear" w:color="auto" w:fill="auto"/>
            <w:noWrap/>
            <w:vAlign w:val="center"/>
          </w:tcPr>
          <w:p>
            <w:pPr>
              <w:widowControl/>
              <w:jc w:val="center"/>
              <w:textAlignment w:val="center"/>
              <w:rPr>
                <w:b/>
                <w:bCs/>
                <w:color w:val="000000"/>
                <w:kern w:val="0"/>
                <w:sz w:val="21"/>
                <w:szCs w:val="21"/>
                <w:lang w:bidi="ar"/>
              </w:rPr>
            </w:pPr>
            <w:r>
              <w:rPr>
                <w:b/>
                <w:bCs/>
                <w:color w:val="000000"/>
                <w:kern w:val="0"/>
                <w:sz w:val="21"/>
                <w:szCs w:val="21"/>
                <w:lang w:bidi="ar"/>
              </w:rPr>
              <w:t>获奖时间</w:t>
            </w:r>
          </w:p>
        </w:tc>
        <w:tc>
          <w:tcPr>
            <w:tcW w:w="1202" w:type="dxa"/>
            <w:shd w:val="clear" w:color="auto" w:fill="auto"/>
            <w:noWrap/>
            <w:vAlign w:val="center"/>
          </w:tcPr>
          <w:p>
            <w:pPr>
              <w:widowControl/>
              <w:jc w:val="center"/>
              <w:textAlignment w:val="center"/>
              <w:rPr>
                <w:b/>
                <w:bCs/>
                <w:color w:val="000000"/>
                <w:kern w:val="0"/>
                <w:sz w:val="21"/>
                <w:szCs w:val="21"/>
                <w:lang w:bidi="ar"/>
              </w:rPr>
            </w:pPr>
            <w:r>
              <w:rPr>
                <w:b/>
                <w:bCs/>
                <w:color w:val="000000"/>
                <w:kern w:val="0"/>
                <w:sz w:val="21"/>
                <w:szCs w:val="21"/>
                <w:lang w:bidi="ar"/>
              </w:rPr>
              <w:t>获奖级别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vMerge w:val="restart"/>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19级制药1班</w:t>
            </w:r>
          </w:p>
        </w:tc>
        <w:tc>
          <w:tcPr>
            <w:tcW w:w="984" w:type="dxa"/>
            <w:vMerge w:val="restart"/>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席淑文</w:t>
            </w: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全国大学生生命科学竞赛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2022.8</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国家级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vMerge w:val="continue"/>
            <w:shd w:val="clear" w:color="auto" w:fill="auto"/>
            <w:noWrap/>
            <w:vAlign w:val="center"/>
          </w:tcPr>
          <w:p>
            <w:pPr>
              <w:widowControl/>
              <w:jc w:val="center"/>
              <w:textAlignment w:val="center"/>
              <w:rPr>
                <w:color w:val="000000"/>
                <w:kern w:val="0"/>
                <w:sz w:val="21"/>
                <w:szCs w:val="21"/>
                <w:lang w:bidi="ar"/>
              </w:rPr>
            </w:pPr>
          </w:p>
        </w:tc>
        <w:tc>
          <w:tcPr>
            <w:tcW w:w="984" w:type="dxa"/>
            <w:vMerge w:val="continue"/>
            <w:shd w:val="clear" w:color="auto" w:fill="auto"/>
            <w:noWrap/>
            <w:vAlign w:val="center"/>
          </w:tcPr>
          <w:p>
            <w:pPr>
              <w:widowControl/>
              <w:jc w:val="center"/>
              <w:textAlignment w:val="center"/>
              <w:rPr>
                <w:color w:val="000000"/>
                <w:kern w:val="0"/>
                <w:sz w:val="21"/>
                <w:szCs w:val="21"/>
                <w:lang w:bidi="ar"/>
              </w:rPr>
            </w:pP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第八届互联网+大学生创新创业大赛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2022.10</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19级制药2班</w:t>
            </w:r>
          </w:p>
        </w:tc>
        <w:tc>
          <w:tcPr>
            <w:tcW w:w="984"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李丰宇</w:t>
            </w: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第八届互联网+大学生创新创业大赛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2022.10</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vMerge w:val="restart"/>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19级制药2班</w:t>
            </w:r>
          </w:p>
        </w:tc>
        <w:tc>
          <w:tcPr>
            <w:tcW w:w="984" w:type="dxa"/>
            <w:vMerge w:val="restart"/>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裴青辉</w:t>
            </w: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第七届互联网+大学生创新创业大赛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2021.10</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vMerge w:val="continue"/>
            <w:shd w:val="clear" w:color="auto" w:fill="auto"/>
            <w:noWrap/>
            <w:vAlign w:val="center"/>
          </w:tcPr>
          <w:p>
            <w:pPr>
              <w:widowControl/>
              <w:jc w:val="center"/>
              <w:textAlignment w:val="center"/>
              <w:rPr>
                <w:color w:val="000000"/>
                <w:kern w:val="0"/>
                <w:sz w:val="21"/>
                <w:szCs w:val="21"/>
                <w:lang w:bidi="ar"/>
              </w:rPr>
            </w:pPr>
          </w:p>
        </w:tc>
        <w:tc>
          <w:tcPr>
            <w:tcW w:w="984" w:type="dxa"/>
            <w:vMerge w:val="continue"/>
            <w:shd w:val="clear" w:color="auto" w:fill="auto"/>
            <w:noWrap/>
            <w:vAlign w:val="center"/>
          </w:tcPr>
          <w:p>
            <w:pPr>
              <w:widowControl/>
              <w:jc w:val="center"/>
              <w:textAlignment w:val="center"/>
              <w:rPr>
                <w:color w:val="000000"/>
                <w:kern w:val="0"/>
                <w:sz w:val="21"/>
                <w:szCs w:val="21"/>
                <w:lang w:bidi="ar"/>
              </w:rPr>
            </w:pP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第十三届山东省大学生科技节—第二届山东省大学生创新方法大赛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2021.11</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19级制药1班</w:t>
            </w:r>
          </w:p>
        </w:tc>
        <w:tc>
          <w:tcPr>
            <w:tcW w:w="984"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肖文飞</w:t>
            </w: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第十三届山东省大学生科技节—第四届</w:t>
            </w:r>
            <w:r>
              <w:rPr>
                <w:rFonts w:hint="eastAsia"/>
                <w:color w:val="000000"/>
                <w:kern w:val="0"/>
                <w:sz w:val="21"/>
                <w:szCs w:val="21"/>
                <w:lang w:bidi="ar"/>
              </w:rPr>
              <w:t>“</w:t>
            </w:r>
            <w:r>
              <w:rPr>
                <w:color w:val="000000"/>
                <w:kern w:val="0"/>
                <w:sz w:val="21"/>
                <w:szCs w:val="21"/>
                <w:lang w:bidi="ar"/>
              </w:rPr>
              <w:t>祥辰杯</w:t>
            </w:r>
            <w:r>
              <w:rPr>
                <w:rFonts w:hint="eastAsia"/>
                <w:color w:val="000000"/>
                <w:kern w:val="0"/>
                <w:sz w:val="21"/>
                <w:szCs w:val="21"/>
                <w:lang w:bidi="ar"/>
              </w:rPr>
              <w:t>”</w:t>
            </w:r>
            <w:r>
              <w:rPr>
                <w:color w:val="000000"/>
                <w:kern w:val="0"/>
                <w:sz w:val="21"/>
                <w:szCs w:val="21"/>
                <w:lang w:bidi="ar"/>
              </w:rPr>
              <w:t>山东省大学生昆虫创意作品设计大赛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2021.11</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vMerge w:val="restart"/>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19级制药1班</w:t>
            </w:r>
          </w:p>
        </w:tc>
        <w:tc>
          <w:tcPr>
            <w:tcW w:w="984" w:type="dxa"/>
            <w:vMerge w:val="restart"/>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张思文</w:t>
            </w: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第七届互联网+大学生创新创业大赛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2021.10</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vMerge w:val="continue"/>
            <w:shd w:val="clear" w:color="auto" w:fill="auto"/>
            <w:noWrap/>
            <w:vAlign w:val="center"/>
          </w:tcPr>
          <w:p>
            <w:pPr>
              <w:widowControl/>
              <w:jc w:val="center"/>
              <w:textAlignment w:val="center"/>
              <w:rPr>
                <w:color w:val="000000"/>
                <w:kern w:val="0"/>
                <w:sz w:val="21"/>
                <w:szCs w:val="21"/>
                <w:lang w:bidi="ar"/>
              </w:rPr>
            </w:pPr>
          </w:p>
        </w:tc>
        <w:tc>
          <w:tcPr>
            <w:tcW w:w="984" w:type="dxa"/>
            <w:vMerge w:val="continue"/>
            <w:shd w:val="clear" w:color="auto" w:fill="auto"/>
            <w:noWrap/>
            <w:vAlign w:val="center"/>
          </w:tcPr>
          <w:p>
            <w:pPr>
              <w:widowControl/>
              <w:jc w:val="center"/>
              <w:textAlignment w:val="center"/>
              <w:rPr>
                <w:color w:val="000000"/>
                <w:kern w:val="0"/>
                <w:sz w:val="21"/>
                <w:szCs w:val="21"/>
                <w:lang w:bidi="ar"/>
              </w:rPr>
            </w:pP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第八届互联网+大学生创新创业大赛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2022.10</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19级制药1班</w:t>
            </w:r>
          </w:p>
        </w:tc>
        <w:tc>
          <w:tcPr>
            <w:tcW w:w="984"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赵彦钧</w:t>
            </w: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第十七届</w:t>
            </w:r>
            <w:r>
              <w:rPr>
                <w:rFonts w:hint="eastAsia"/>
                <w:color w:val="000000"/>
                <w:kern w:val="0"/>
                <w:sz w:val="21"/>
                <w:szCs w:val="21"/>
                <w:lang w:bidi="ar"/>
              </w:rPr>
              <w:t>“</w:t>
            </w:r>
            <w:r>
              <w:rPr>
                <w:color w:val="000000"/>
                <w:kern w:val="0"/>
                <w:sz w:val="21"/>
                <w:szCs w:val="21"/>
                <w:lang w:bidi="ar"/>
              </w:rPr>
              <w:t>挑战杯</w:t>
            </w:r>
            <w:r>
              <w:rPr>
                <w:rFonts w:hint="eastAsia"/>
                <w:color w:val="000000"/>
                <w:kern w:val="0"/>
                <w:sz w:val="21"/>
                <w:szCs w:val="21"/>
                <w:lang w:bidi="ar"/>
              </w:rPr>
              <w:t>”</w:t>
            </w:r>
            <w:r>
              <w:rPr>
                <w:color w:val="000000"/>
                <w:kern w:val="0"/>
                <w:sz w:val="21"/>
                <w:szCs w:val="21"/>
                <w:lang w:bidi="ar"/>
              </w:rPr>
              <w:t>山东省大学生课外学术科技作品竞赛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2021.6</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20级制药1班</w:t>
            </w:r>
          </w:p>
        </w:tc>
        <w:tc>
          <w:tcPr>
            <w:tcW w:w="984"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张国栋</w:t>
            </w: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全国大学生生命科学竞赛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2022.8</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国家级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20级制药2班</w:t>
            </w:r>
          </w:p>
        </w:tc>
        <w:tc>
          <w:tcPr>
            <w:tcW w:w="984"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黄婷杰</w:t>
            </w: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第十三届山东省大学生科技节—山东省大学生创业计划大赛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2021.10</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20级制药2班</w:t>
            </w:r>
          </w:p>
        </w:tc>
        <w:tc>
          <w:tcPr>
            <w:tcW w:w="984"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栾凤鑫</w:t>
            </w: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第八届互联网+大学生创新创业大赛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2022.10</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vMerge w:val="restart"/>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20级制药1班</w:t>
            </w:r>
          </w:p>
        </w:tc>
        <w:tc>
          <w:tcPr>
            <w:tcW w:w="984" w:type="dxa"/>
            <w:vMerge w:val="restart"/>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马文勇</w:t>
            </w: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第十三届山东省大学生科技节—第四届</w:t>
            </w:r>
            <w:r>
              <w:rPr>
                <w:rFonts w:hint="eastAsia"/>
                <w:color w:val="000000"/>
                <w:kern w:val="0"/>
                <w:sz w:val="21"/>
                <w:szCs w:val="21"/>
                <w:lang w:bidi="ar"/>
              </w:rPr>
              <w:t>“</w:t>
            </w:r>
            <w:r>
              <w:rPr>
                <w:color w:val="000000"/>
                <w:kern w:val="0"/>
                <w:sz w:val="21"/>
                <w:szCs w:val="21"/>
                <w:lang w:bidi="ar"/>
              </w:rPr>
              <w:t>祥辰杯</w:t>
            </w:r>
            <w:r>
              <w:rPr>
                <w:rFonts w:hint="eastAsia"/>
                <w:color w:val="000000"/>
                <w:kern w:val="0"/>
                <w:sz w:val="21"/>
                <w:szCs w:val="21"/>
                <w:lang w:bidi="ar"/>
              </w:rPr>
              <w:t>”</w:t>
            </w:r>
            <w:r>
              <w:rPr>
                <w:color w:val="000000"/>
                <w:kern w:val="0"/>
                <w:sz w:val="21"/>
                <w:szCs w:val="21"/>
                <w:lang w:bidi="ar"/>
              </w:rPr>
              <w:t>山东省大学生昆虫创意作品设计大赛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2021.11</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vMerge w:val="continue"/>
            <w:shd w:val="clear" w:color="auto" w:fill="auto"/>
            <w:noWrap/>
            <w:vAlign w:val="center"/>
          </w:tcPr>
          <w:p>
            <w:pPr>
              <w:widowControl/>
              <w:jc w:val="center"/>
              <w:textAlignment w:val="center"/>
              <w:rPr>
                <w:color w:val="000000"/>
                <w:kern w:val="0"/>
                <w:sz w:val="21"/>
                <w:szCs w:val="21"/>
                <w:lang w:bidi="ar"/>
              </w:rPr>
            </w:pPr>
          </w:p>
        </w:tc>
        <w:tc>
          <w:tcPr>
            <w:tcW w:w="984" w:type="dxa"/>
            <w:vMerge w:val="continue"/>
            <w:shd w:val="clear" w:color="auto" w:fill="auto"/>
            <w:noWrap/>
            <w:vAlign w:val="center"/>
          </w:tcPr>
          <w:p>
            <w:pPr>
              <w:widowControl/>
              <w:jc w:val="center"/>
              <w:textAlignment w:val="center"/>
              <w:rPr>
                <w:color w:val="000000"/>
                <w:kern w:val="0"/>
                <w:sz w:val="21"/>
                <w:szCs w:val="21"/>
                <w:lang w:bidi="ar"/>
              </w:rPr>
            </w:pP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第八届互联网+大学生创新创业大赛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2022.10</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20级制药1班</w:t>
            </w:r>
          </w:p>
        </w:tc>
        <w:tc>
          <w:tcPr>
            <w:tcW w:w="984"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肖昱霏</w:t>
            </w: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第十三届山东省大学生科技节—第四届</w:t>
            </w:r>
            <w:r>
              <w:rPr>
                <w:rFonts w:hint="eastAsia"/>
                <w:color w:val="000000"/>
                <w:kern w:val="0"/>
                <w:sz w:val="21"/>
                <w:szCs w:val="21"/>
                <w:lang w:bidi="ar"/>
              </w:rPr>
              <w:t>“</w:t>
            </w:r>
            <w:r>
              <w:rPr>
                <w:color w:val="000000"/>
                <w:kern w:val="0"/>
                <w:sz w:val="21"/>
                <w:szCs w:val="21"/>
                <w:lang w:bidi="ar"/>
              </w:rPr>
              <w:t>祥辰杯</w:t>
            </w:r>
            <w:r>
              <w:rPr>
                <w:rFonts w:hint="eastAsia"/>
                <w:color w:val="000000"/>
                <w:kern w:val="0"/>
                <w:sz w:val="21"/>
                <w:szCs w:val="21"/>
                <w:lang w:bidi="ar"/>
              </w:rPr>
              <w:t>”</w:t>
            </w:r>
            <w:r>
              <w:rPr>
                <w:color w:val="000000"/>
                <w:kern w:val="0"/>
                <w:sz w:val="21"/>
                <w:szCs w:val="21"/>
                <w:lang w:bidi="ar"/>
              </w:rPr>
              <w:t>山东省大学生昆虫创意作品设计大赛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2021.11</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20级制药1班</w:t>
            </w:r>
          </w:p>
        </w:tc>
        <w:tc>
          <w:tcPr>
            <w:tcW w:w="984"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张颖丽</w:t>
            </w: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第十三届山东省大学生科技节—第四届</w:t>
            </w:r>
            <w:r>
              <w:rPr>
                <w:rFonts w:hint="eastAsia"/>
                <w:color w:val="000000"/>
                <w:kern w:val="0"/>
                <w:sz w:val="21"/>
                <w:szCs w:val="21"/>
                <w:lang w:bidi="ar"/>
              </w:rPr>
              <w:t>“</w:t>
            </w:r>
            <w:r>
              <w:rPr>
                <w:color w:val="000000"/>
                <w:kern w:val="0"/>
                <w:sz w:val="21"/>
                <w:szCs w:val="21"/>
                <w:lang w:bidi="ar"/>
              </w:rPr>
              <w:t>祥辰杯</w:t>
            </w:r>
            <w:r>
              <w:rPr>
                <w:rFonts w:hint="eastAsia"/>
                <w:color w:val="000000"/>
                <w:kern w:val="0"/>
                <w:sz w:val="21"/>
                <w:szCs w:val="21"/>
                <w:lang w:bidi="ar"/>
              </w:rPr>
              <w:t>”</w:t>
            </w:r>
            <w:r>
              <w:rPr>
                <w:color w:val="000000"/>
                <w:kern w:val="0"/>
                <w:sz w:val="21"/>
                <w:szCs w:val="21"/>
                <w:lang w:bidi="ar"/>
              </w:rPr>
              <w:t>山东省大学生昆虫创意作品设计大赛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2021.11</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20级制药1班</w:t>
            </w:r>
          </w:p>
        </w:tc>
        <w:tc>
          <w:tcPr>
            <w:tcW w:w="984"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王</w:t>
            </w:r>
            <w:r>
              <w:rPr>
                <w:rFonts w:hint="eastAsia"/>
                <w:color w:val="000000"/>
                <w:kern w:val="0"/>
                <w:sz w:val="21"/>
                <w:szCs w:val="21"/>
                <w:lang w:bidi="ar"/>
              </w:rPr>
              <w:t xml:space="preserve">  </w:t>
            </w:r>
            <w:r>
              <w:rPr>
                <w:color w:val="000000"/>
                <w:kern w:val="0"/>
                <w:sz w:val="21"/>
                <w:szCs w:val="21"/>
                <w:lang w:bidi="ar"/>
              </w:rPr>
              <w:t>蕊</w:t>
            </w: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第七届互联网+大学生创新创业大赛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2021.10</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20级制药1班</w:t>
            </w:r>
          </w:p>
        </w:tc>
        <w:tc>
          <w:tcPr>
            <w:tcW w:w="984"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何耀峰</w:t>
            </w: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第七届互联网+大学生创新创业大赛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2021.10</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21级制药2班</w:t>
            </w:r>
          </w:p>
        </w:tc>
        <w:tc>
          <w:tcPr>
            <w:tcW w:w="984"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袁冰洁</w:t>
            </w: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第八届互联网+大学生创新创业大赛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2022.10</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691"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21级制药1班</w:t>
            </w:r>
          </w:p>
        </w:tc>
        <w:tc>
          <w:tcPr>
            <w:tcW w:w="984"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魏孜轩</w:t>
            </w:r>
          </w:p>
        </w:tc>
        <w:tc>
          <w:tcPr>
            <w:tcW w:w="3696" w:type="dxa"/>
            <w:shd w:val="clear" w:color="auto" w:fill="auto"/>
            <w:noWrap/>
            <w:vAlign w:val="center"/>
          </w:tcPr>
          <w:p>
            <w:pPr>
              <w:widowControl/>
              <w:textAlignment w:val="center"/>
              <w:rPr>
                <w:color w:val="000000"/>
                <w:kern w:val="0"/>
                <w:sz w:val="21"/>
                <w:szCs w:val="21"/>
                <w:lang w:bidi="ar"/>
              </w:rPr>
            </w:pPr>
            <w:r>
              <w:rPr>
                <w:color w:val="000000"/>
                <w:kern w:val="0"/>
                <w:sz w:val="21"/>
                <w:szCs w:val="21"/>
                <w:lang w:bidi="ar"/>
              </w:rPr>
              <w:t>第八届互联网+大学生创新创业大赛</w:t>
            </w:r>
          </w:p>
        </w:tc>
        <w:tc>
          <w:tcPr>
            <w:tcW w:w="1236"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2022.10</w:t>
            </w:r>
          </w:p>
        </w:tc>
        <w:tc>
          <w:tcPr>
            <w:tcW w:w="1202" w:type="dxa"/>
            <w:shd w:val="clear" w:color="auto" w:fill="auto"/>
            <w:noWrap/>
            <w:vAlign w:val="center"/>
          </w:tcPr>
          <w:p>
            <w:pPr>
              <w:widowControl/>
              <w:jc w:val="center"/>
              <w:textAlignment w:val="center"/>
              <w:rPr>
                <w:color w:val="000000"/>
                <w:kern w:val="0"/>
                <w:sz w:val="21"/>
                <w:szCs w:val="21"/>
                <w:lang w:bidi="ar"/>
              </w:rPr>
            </w:pPr>
            <w:r>
              <w:rPr>
                <w:color w:val="000000"/>
                <w:kern w:val="0"/>
                <w:sz w:val="21"/>
                <w:szCs w:val="21"/>
                <w:lang w:bidi="ar"/>
              </w:rPr>
              <w:t>省级</w:t>
            </w:r>
          </w:p>
        </w:tc>
      </w:tr>
    </w:tbl>
    <w:p>
      <w:pPr>
        <w:spacing w:line="240" w:lineRule="auto"/>
        <w:jc w:val="center"/>
        <w:rPr>
          <w:b/>
          <w:bCs/>
          <w:sz w:val="21"/>
          <w:szCs w:val="21"/>
        </w:rPr>
      </w:pPr>
    </w:p>
    <w:p>
      <w:pPr>
        <w:pStyle w:val="5"/>
        <w:spacing w:before="93" w:after="93"/>
        <w:ind w:firstLine="560"/>
      </w:pPr>
      <w:r>
        <w:t>六、毕业生就业创业（创业情况、采取的措施、典型案例等）</w:t>
      </w:r>
    </w:p>
    <w:p>
      <w:pPr>
        <w:pStyle w:val="6"/>
        <w:ind w:firstLine="480"/>
      </w:pPr>
      <w:r>
        <w:t>1. 加强校企合作，实现学院与企业之间的深度合作</w:t>
      </w:r>
    </w:p>
    <w:p>
      <w:pPr>
        <w:ind w:firstLine="480"/>
        <w:jc w:val="left"/>
        <w:rPr>
          <w:szCs w:val="24"/>
        </w:rPr>
      </w:pPr>
      <w:r>
        <w:rPr>
          <w:szCs w:val="24"/>
        </w:rPr>
        <w:t>在2022届毕业生就业工作中，进一步加强校企合作力度，与用人单位紧密联系，了解就业市场需求，累计联系用人单位40余家到校举办校园招聘专场和参加校园周末招聘会，为学生提供了百余个用工岗位和招聘信息，帮助就业生顺利就业。</w:t>
      </w:r>
    </w:p>
    <w:p>
      <w:pPr>
        <w:pStyle w:val="6"/>
        <w:ind w:firstLine="480"/>
      </w:pPr>
      <w:r>
        <w:t>2. 发挥专业教师作用，形成体系，全员参与就业</w:t>
      </w:r>
    </w:p>
    <w:p>
      <w:pPr>
        <w:ind w:firstLine="480"/>
        <w:jc w:val="left"/>
        <w:rPr>
          <w:szCs w:val="24"/>
        </w:rPr>
      </w:pPr>
      <w:r>
        <w:rPr>
          <w:szCs w:val="24"/>
        </w:rPr>
        <w:t>思想引领，全员参与。将立德树人作为就业工作的出发点和落脚点，建立从教师、辅导员、管理服务人员到校友、家长、各界友人等人人关心就业、人人支持就业的全员推进的就业工作体系。专业教师通过长期跟企业联系，熟悉企业对毕业生的需求和对毕业生综合素质的要求，把这些信息传递给毕业生，指导毕业生就业工作，积极传授毕业生如何主动就业之道。专业教师也根据自己在教学科研中与企业的联系，向企业推荐毕业生，为毕业生提供就业岗位。通过实习促进就业，学院上下形成了领导、辅导员、专业教师三位一体的就业指导工作联动体系，充分发挥专业教师的就业指导作用。教师不仅讲授专业知识，而且传授职业发展素质修养，介绍本学科领域最新发展趋势及职业优势，引导毕业生合理定位自身职业，通过言传身教方式引导毕业生求职就业。</w:t>
      </w:r>
    </w:p>
    <w:p>
      <w:pPr>
        <w:pStyle w:val="6"/>
        <w:ind w:firstLine="480"/>
      </w:pPr>
      <w:r>
        <w:t>3. 全方位推进高质量就业</w:t>
      </w:r>
    </w:p>
    <w:p>
      <w:pPr>
        <w:ind w:firstLine="480"/>
        <w:jc w:val="left"/>
      </w:pPr>
      <w:r>
        <w:rPr>
          <w:szCs w:val="24"/>
          <w:shd w:val="clear" w:color="auto" w:fill="FFFFFF"/>
        </w:rPr>
        <w:t>坚持问题导向、效果导向，全面夯实就业工作支撑保障。持续关爱帮扶家庭困难、少数民族、未摘帽贫困县生源等特殊群体及未就业毕业生，开展求职补贴精准资助、优质岗位精准推荐，助力毕业生充分就业。同时</w:t>
      </w:r>
      <w:r>
        <w:rPr>
          <w:szCs w:val="24"/>
        </w:rPr>
        <w:t>要让学生增强市场观念、竞争意识和创业自立精神，克服</w:t>
      </w:r>
      <w:r>
        <w:rPr>
          <w:rFonts w:hint="eastAsia"/>
          <w:szCs w:val="24"/>
        </w:rPr>
        <w:t>“</w:t>
      </w:r>
      <w:r>
        <w:rPr>
          <w:szCs w:val="24"/>
        </w:rPr>
        <w:t>等、靠、要</w:t>
      </w:r>
      <w:r>
        <w:rPr>
          <w:rFonts w:hint="eastAsia"/>
          <w:szCs w:val="24"/>
        </w:rPr>
        <w:t>”</w:t>
      </w:r>
      <w:r>
        <w:rPr>
          <w:szCs w:val="24"/>
        </w:rPr>
        <w:t>的依赖思想。要清楚大学毕业后有了岗位才能谈发展，成就事业要从干小事起步，看准的工作就要大胆去干。大学生参与竞争需要雄厚的实力做保证，而竞争实力是通过大学生活过程中逐渐培养和主动塑造得来的。因此，大学生要珍惜学习期间的宝贵时间，积极参加学校的各项活动来锻炼自己，努力提高自己的能力水平。我院鼓励本专业学生创业，同时嘱咐给毕业生创业风险，提醒毕业生积累经验、资金，做足充足的准备后再创业。就业工作中的坚持以学生为中心、提升服务质量的必要举措。就业工作既是一对多、面对面的，也是多对一、点对点的。只有经过认真调查、深入分析，才可以准确把握每位大学生的就业需求和思想状况，从而为大学生提供有针对性的就业指导和思想引领。</w:t>
      </w:r>
    </w:p>
    <w:p>
      <w:pPr>
        <w:pStyle w:val="5"/>
        <w:spacing w:before="93" w:after="93"/>
        <w:ind w:firstLine="560"/>
      </w:pPr>
      <w:r>
        <w:t>七、专业发展趋势及建议</w:t>
      </w:r>
    </w:p>
    <w:p>
      <w:pPr>
        <w:ind w:firstLine="480"/>
        <w:jc w:val="left"/>
        <w:rPr>
          <w:szCs w:val="24"/>
        </w:rPr>
      </w:pPr>
      <w:r>
        <w:rPr>
          <w:szCs w:val="24"/>
        </w:rPr>
        <w:t>山东省是一个农业和农药生产大省，规模化农药生产企业达200余家，大型农药销售公司达500余家，县以上政府部门均设有农药管理部门，对制药工程（农药方向）人才的需求很大。国内这些行业也同样存在人才不足问题。我国农药工业发展很快，全国有2000多家规模化农药定点企业，农药原药年产量300多万吨，出口130万吨左右，农药产量和农药原药出口在国际上影响很大。我国是一个农业大国，国内农药市场稳定发展，国际农药企业与国内企业竞争激烈，国内农药生产企业、农药销售行业和农药对外贸易企业急需大量制药工程专业人才。目前应稳定招生规模，年招生60人左右为宜。</w:t>
      </w:r>
    </w:p>
    <w:p>
      <w:pPr>
        <w:pStyle w:val="5"/>
        <w:spacing w:before="93" w:after="93"/>
        <w:ind w:firstLine="560"/>
      </w:pPr>
      <w:r>
        <w:t>八、存在的问题及拟采取的对策措施</w:t>
      </w:r>
    </w:p>
    <w:p>
      <w:pPr>
        <w:ind w:firstLine="480"/>
        <w:rPr>
          <w:szCs w:val="24"/>
        </w:rPr>
      </w:pPr>
      <w:r>
        <w:rPr>
          <w:szCs w:val="24"/>
        </w:rPr>
        <w:t>2022年制药工程专业按专业进行招生，如何做好专业教育，如何教育学生选择自己感兴趣的专业等问题。建议大一学年做好各专业的宣讲工作，各专业老师开设本专业教育座谈会，积极引导学生。</w:t>
      </w:r>
    </w:p>
    <w:p>
      <w:pPr>
        <w:ind w:firstLine="480" w:firstLineChars="200"/>
        <w:rPr>
          <w:color w:val="000000" w:themeColor="text1"/>
          <w:szCs w:val="24"/>
          <w14:textFill>
            <w14:solidFill>
              <w14:schemeClr w14:val="tx1"/>
            </w14:solidFill>
          </w14:textFill>
        </w:rPr>
      </w:pPr>
      <w:r>
        <w:rPr>
          <w:szCs w:val="24"/>
        </w:rPr>
        <w:t>制药工程属于实践应用性强的学科，学生就业涉及合成、加工、分析、经营、使用及管理等多个岗位，实习实践环节比较多；此外农药又具有一定的特殊性，校内实训基地要求高，有的需要借助校外基地或平台的作用。目前各实习和实践基地位置相对还比较分散，未来需要逐步集中，并且对基地能够完成的实习项目及目标进一步梳理和规范，以充分发挥校外基地的作用和提高实习的效能。</w:t>
      </w: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rPr>
          <w:rFonts w:ascii="Times New Roman" w:hAnsi="Times New Roman" w:cs="Times New Roman"/>
        </w:rPr>
      </w:pPr>
      <w:bookmarkStart w:id="32" w:name="_Toc20018"/>
      <w:r>
        <w:rPr>
          <w:rFonts w:ascii="Times New Roman" w:hAnsi="Times New Roman" w:cs="Times New Roman"/>
          <w:lang w:val="en-US"/>
        </w:rPr>
        <w:t>专业五：</w:t>
      </w:r>
      <w:r>
        <w:rPr>
          <w:rFonts w:ascii="Times New Roman" w:hAnsi="Times New Roman" w:cs="Times New Roman"/>
        </w:rPr>
        <w:t>制药工程（兽药方向）</w:t>
      </w:r>
      <w:bookmarkEnd w:id="32"/>
    </w:p>
    <w:p>
      <w:pPr>
        <w:pStyle w:val="5"/>
        <w:spacing w:before="93" w:after="93"/>
        <w:ind w:firstLine="560"/>
      </w:pPr>
      <w:bookmarkStart w:id="33" w:name="_Toc6583"/>
      <w:bookmarkStart w:id="34" w:name="_Toc17200"/>
      <w:r>
        <w:t>一、培养目标与规格</w:t>
      </w:r>
      <w:bookmarkEnd w:id="33"/>
      <w:bookmarkEnd w:id="34"/>
    </w:p>
    <w:p>
      <w:pPr>
        <w:ind w:firstLine="480"/>
        <w:rPr>
          <w:szCs w:val="24"/>
        </w:rPr>
      </w:pPr>
      <w:r>
        <w:rPr>
          <w:szCs w:val="24"/>
        </w:rPr>
        <w:t>本专业培养具有成为高素质人才所具备的人文社科基础知识和人文修养；具有较强的专业科学基础；具有国际化视野和受到严格科学思维的训练、掌握制药工程与兽医医学的基础理论、基本知识和基本技能，受到扎实的专业理论和专业技能训练；能在高等学校和科研部门从事教学、科学研究工作，能在医药、畜牧、兽医、食品等行业的企、事业单位和行政管理部门等工作的复合型高级专门人才。</w:t>
      </w:r>
    </w:p>
    <w:p>
      <w:pPr>
        <w:pStyle w:val="5"/>
        <w:spacing w:before="93" w:after="93"/>
        <w:ind w:firstLine="560"/>
      </w:pPr>
      <w:bookmarkStart w:id="35" w:name="_Toc21257"/>
      <w:bookmarkStart w:id="36" w:name="_Toc6149"/>
      <w:r>
        <w:t>二、培养能力（专业基本情况、在校生规模、课程体系、创新创业教育等）</w:t>
      </w:r>
      <w:bookmarkEnd w:id="35"/>
      <w:bookmarkEnd w:id="36"/>
    </w:p>
    <w:p>
      <w:pPr>
        <w:ind w:firstLine="480"/>
        <w:rPr>
          <w:szCs w:val="24"/>
        </w:rPr>
      </w:pPr>
      <w:r>
        <w:rPr>
          <w:szCs w:val="24"/>
        </w:rPr>
        <w:t>专业设置以现代规模化畜牧生产发展对制药工程（兽药方向）专业人才的需求为背景，构建适应21世纪兽药高级专业人才的培养模式与课程体系，制药工程人才培养为四年制本科，建立制药工程+辅修专业的复合型人才培养模式，实现培养</w:t>
      </w:r>
      <w:r>
        <w:rPr>
          <w:rFonts w:hint="eastAsia"/>
          <w:szCs w:val="24"/>
        </w:rPr>
        <w:t>“</w:t>
      </w:r>
      <w:r>
        <w:rPr>
          <w:szCs w:val="24"/>
        </w:rPr>
        <w:t>厚基础，宽口径，强能力，高素质，重个性</w:t>
      </w:r>
      <w:r>
        <w:rPr>
          <w:rFonts w:hint="eastAsia"/>
          <w:szCs w:val="24"/>
        </w:rPr>
        <w:t>”</w:t>
      </w:r>
      <w:r>
        <w:rPr>
          <w:szCs w:val="24"/>
        </w:rPr>
        <w:t>的新型动物科学人才的目的。</w:t>
      </w:r>
    </w:p>
    <w:p>
      <w:pPr>
        <w:ind w:firstLine="560"/>
        <w:rPr>
          <w:szCs w:val="24"/>
        </w:rPr>
      </w:pPr>
      <w:r>
        <w:rPr>
          <w:rStyle w:val="24"/>
          <w:szCs w:val="24"/>
        </w:rPr>
        <w:t>1.专业设置情况：</w:t>
      </w:r>
      <w:r>
        <w:rPr>
          <w:szCs w:val="24"/>
        </w:rPr>
        <w:t>本专业2001年经教育部批准设置，2002年开始招生，2013年被评为山东省特色专业。专业基本学制为4年，学习年限为3～8年。学位：按要求完成学业且符合授予条件者授予工学学士学位。</w:t>
      </w:r>
    </w:p>
    <w:p>
      <w:pPr>
        <w:ind w:firstLine="560"/>
        <w:rPr>
          <w:szCs w:val="24"/>
        </w:rPr>
      </w:pPr>
      <w:r>
        <w:rPr>
          <w:rStyle w:val="24"/>
          <w:szCs w:val="24"/>
        </w:rPr>
        <w:t>2.在校生规模：</w:t>
      </w:r>
      <w:r>
        <w:rPr>
          <w:szCs w:val="24"/>
        </w:rPr>
        <w:t>每年我校制药工程（兽药方向）专业招收本科生30名左右，目前该专业2018级在校生共24人（2019年制药工程（兽药方向）停止招生）。</w:t>
      </w:r>
    </w:p>
    <w:p>
      <w:pPr>
        <w:ind w:firstLine="560"/>
        <w:rPr>
          <w:b/>
          <w:bCs/>
          <w:spacing w:val="-6"/>
          <w:szCs w:val="24"/>
        </w:rPr>
      </w:pPr>
      <w:r>
        <w:rPr>
          <w:rStyle w:val="24"/>
          <w:szCs w:val="24"/>
        </w:rPr>
        <w:t>3.课程设置情况：</w:t>
      </w:r>
      <w:r>
        <w:rPr>
          <w:szCs w:val="24"/>
        </w:rPr>
        <w:t>主干学科与主要课程：化学、动物生物化学、动物生理学、动物解剖学、动物组织胚胎学、动物微生物学、兽医免疫学、动物病理学、药理学、中兽医学基础。核心课程：天然药物化学、药物化学、药物分析、药剂学。主要实践性教学环节（含实验）：药理学教学实习、药物化学教学实习、天然药物化学教学实习、药物分析教学实习、药剂学教学实习、动物解剖学教学实习、兽医微生物学教学实习、动物病理教学实习、制药基础综合教学实习、兽药制药试验设计及实施、兽药制药课程论文、综合专业技</w:t>
      </w:r>
      <w:r>
        <w:rPr>
          <w:spacing w:val="-6"/>
          <w:szCs w:val="24"/>
        </w:rPr>
        <w:t>术实践、第二课堂与创新活动、创业实践、毕业实习、毕业论文等。</w:t>
      </w:r>
    </w:p>
    <w:p>
      <w:pPr>
        <w:ind w:firstLine="480"/>
        <w:rPr>
          <w:color w:val="000000"/>
          <w:kern w:val="0"/>
          <w:szCs w:val="24"/>
        </w:rPr>
      </w:pPr>
      <w:r>
        <w:rPr>
          <w:szCs w:val="24"/>
        </w:rPr>
        <w:t>学分分配：</w:t>
      </w:r>
      <w:r>
        <w:rPr>
          <w:color w:val="000000"/>
          <w:kern w:val="0"/>
          <w:szCs w:val="24"/>
        </w:rPr>
        <w:t>毕业总学分不少于170学分。其中，必修课总学分106分、选修课学分30.5学分、实践教学学分（含操作性实验课学分和实践学分，其中理论课所含的实验实训学分按所占理论课学时进行换算。）53学分，占总学分30.46%。</w:t>
      </w:r>
    </w:p>
    <w:p>
      <w:pPr>
        <w:ind w:firstLine="560"/>
        <w:rPr>
          <w:szCs w:val="24"/>
        </w:rPr>
      </w:pPr>
      <w:r>
        <w:rPr>
          <w:rStyle w:val="24"/>
          <w:szCs w:val="24"/>
        </w:rPr>
        <w:t>4.创新创业教育：</w:t>
      </w:r>
      <w:r>
        <w:rPr>
          <w:szCs w:val="24"/>
        </w:rPr>
        <w:t>专业十分重视大学生创新创业教育，将创新创业教育纳入到人才培养体系，开设了《职业发展与就业创业指导课》，聘请了10余企业家作为兼职教师。结合《药学研究进展》和《职业发展与就业创业指导课》课程的开设。在实践环节设置了2个创新创业实践学分；科研训练计划（SRT）、科技竞赛计划和创业训练计划等多个项目以第二课堂活动项目的形式滚动开设，学生可以根据个人兴趣及自身发展需要有选择地参加，以取得成果申请学分。同时，为加强对学生的学业和成长的指导，全面推行本科生导师制，本科生进研究所、教授带本科生做课题渐成风气。2016-2017年度，学生参加科技社团、SRT、创新创业等各类项目4项，参加学生人数占学生人数60%以上。</w:t>
      </w:r>
    </w:p>
    <w:p>
      <w:pPr>
        <w:pStyle w:val="5"/>
        <w:spacing w:before="93" w:after="93"/>
        <w:ind w:firstLine="560"/>
      </w:pPr>
      <w:bookmarkStart w:id="37" w:name="_Toc12582"/>
      <w:bookmarkStart w:id="38" w:name="_Toc5863"/>
      <w:r>
        <w:t>三、培养条件（教学经费投入、教学设备、教师队伍建设、实习基地、现代教学技术应用等）</w:t>
      </w:r>
      <w:bookmarkEnd w:id="37"/>
      <w:bookmarkEnd w:id="38"/>
    </w:p>
    <w:p>
      <w:pPr>
        <w:ind w:firstLine="560"/>
        <w:rPr>
          <w:szCs w:val="24"/>
        </w:rPr>
      </w:pPr>
      <w:r>
        <w:rPr>
          <w:rStyle w:val="24"/>
          <w:szCs w:val="24"/>
        </w:rPr>
        <w:t>1.教学经费投入：</w:t>
      </w:r>
      <w:r>
        <w:rPr>
          <w:szCs w:val="24"/>
        </w:rPr>
        <w:t>继续加大对本科教学的投入，进一步改善办学条件，优化教学环境。</w:t>
      </w:r>
    </w:p>
    <w:p>
      <w:pPr>
        <w:spacing w:line="380" w:lineRule="exact"/>
        <w:ind w:firstLine="561"/>
        <w:rPr>
          <w:szCs w:val="24"/>
        </w:rPr>
      </w:pPr>
      <w:r>
        <w:rPr>
          <w:rStyle w:val="24"/>
          <w:szCs w:val="24"/>
        </w:rPr>
        <w:t>2.教学设备：</w:t>
      </w:r>
      <w:r>
        <w:rPr>
          <w:szCs w:val="24"/>
        </w:rPr>
        <w:t>目前，实验室教学科研仪器设备总数843台（套），仪器设备总值达到1273万元。</w:t>
      </w:r>
    </w:p>
    <w:p>
      <w:pPr>
        <w:spacing w:line="380" w:lineRule="exact"/>
        <w:ind w:firstLine="561"/>
        <w:rPr>
          <w:szCs w:val="24"/>
        </w:rPr>
      </w:pPr>
      <w:r>
        <w:rPr>
          <w:rStyle w:val="24"/>
          <w:szCs w:val="24"/>
        </w:rPr>
        <w:t>3.教师队伍建设：</w:t>
      </w:r>
      <w:r>
        <w:rPr>
          <w:szCs w:val="24"/>
        </w:rPr>
        <w:t>高度重视师资队伍建设，不断完善人才引进和培养机制，切实优化师资队伍结构，形成了一支适应学科发展需求、素质优良、结构合理、专兼职结合的师资队伍。经多年的师资队伍建设，本专业已经基本建立了一支年龄与学历结构合理、研究实力较为雄厚、富有合作意识和团队精神的专业师资队伍。为制药工程专业开设课程的教师38人，其中45岁以下人数26人，教授11人，副教授17人，讲师以下9人，35人具有博士学位，1人博士在读。教师队伍中有16人毕业于</w:t>
      </w:r>
      <w:r>
        <w:rPr>
          <w:rFonts w:hint="eastAsia"/>
          <w:szCs w:val="24"/>
        </w:rPr>
        <w:t>“</w:t>
      </w:r>
      <w:r>
        <w:rPr>
          <w:szCs w:val="24"/>
        </w:rPr>
        <w:t>985</w:t>
      </w:r>
      <w:r>
        <w:rPr>
          <w:rFonts w:hint="eastAsia"/>
          <w:szCs w:val="24"/>
        </w:rPr>
        <w:t>”</w:t>
      </w:r>
      <w:r>
        <w:rPr>
          <w:szCs w:val="24"/>
        </w:rPr>
        <w:t>或</w:t>
      </w:r>
      <w:r>
        <w:rPr>
          <w:rFonts w:hint="eastAsia"/>
          <w:szCs w:val="24"/>
        </w:rPr>
        <w:t>“</w:t>
      </w:r>
      <w:r>
        <w:rPr>
          <w:szCs w:val="24"/>
        </w:rPr>
        <w:t>211</w:t>
      </w:r>
      <w:r>
        <w:rPr>
          <w:rFonts w:hint="eastAsia"/>
          <w:szCs w:val="24"/>
        </w:rPr>
        <w:t>”</w:t>
      </w:r>
      <w:r>
        <w:rPr>
          <w:szCs w:val="24"/>
        </w:rPr>
        <w:t>大学。</w:t>
      </w:r>
    </w:p>
    <w:p>
      <w:pPr>
        <w:spacing w:line="380" w:lineRule="exact"/>
        <w:ind w:firstLine="561"/>
        <w:rPr>
          <w:szCs w:val="24"/>
        </w:rPr>
      </w:pPr>
      <w:r>
        <w:rPr>
          <w:szCs w:val="24"/>
        </w:rPr>
        <w:t>4.</w:t>
      </w:r>
      <w:r>
        <w:rPr>
          <w:rStyle w:val="24"/>
          <w:szCs w:val="24"/>
        </w:rPr>
        <w:t>实习基地</w:t>
      </w:r>
      <w:r>
        <w:rPr>
          <w:b/>
          <w:szCs w:val="24"/>
        </w:rPr>
        <w:t>建设</w:t>
      </w:r>
      <w:r>
        <w:rPr>
          <w:szCs w:val="24"/>
        </w:rPr>
        <w:t>：实践教学基地的4个。针对目前化学制药、生物制药、疫病防治等研究热点，以项目研发、科技转让为依托，不断凝练特色，建立的5个校企共建实验室运行良好。通过共建实验室带动学生的校外实践活动，提升学生的培养质量，也使学校与企业由短期松散合作走向长期稳定合作。</w:t>
      </w:r>
    </w:p>
    <w:p>
      <w:pPr>
        <w:ind w:firstLine="480"/>
        <w:rPr>
          <w:szCs w:val="24"/>
        </w:rPr>
      </w:pPr>
    </w:p>
    <w:p>
      <w:pPr>
        <w:pStyle w:val="25"/>
        <w:spacing w:line="240" w:lineRule="auto"/>
        <w:rPr>
          <w:b/>
          <w:sz w:val="21"/>
          <w:szCs w:val="21"/>
        </w:rPr>
      </w:pPr>
      <w:r>
        <w:rPr>
          <w:b/>
          <w:sz w:val="21"/>
          <w:szCs w:val="21"/>
        </w:rPr>
        <w:t>表1 专业建设的实践教学基地</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
        <w:gridCol w:w="4048"/>
        <w:gridCol w:w="2046"/>
        <w:gridCol w:w="2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500" w:type="pct"/>
            <w:noWrap/>
            <w:vAlign w:val="center"/>
          </w:tcPr>
          <w:p>
            <w:pPr>
              <w:pStyle w:val="25"/>
              <w:spacing w:line="240" w:lineRule="auto"/>
              <w:rPr>
                <w:b/>
                <w:szCs w:val="21"/>
              </w:rPr>
            </w:pPr>
            <w:r>
              <w:rPr>
                <w:b/>
                <w:sz w:val="21"/>
                <w:szCs w:val="21"/>
              </w:rPr>
              <w:t>序号</w:t>
            </w:r>
          </w:p>
        </w:tc>
        <w:tc>
          <w:tcPr>
            <w:tcW w:w="2234" w:type="pct"/>
            <w:noWrap/>
            <w:vAlign w:val="center"/>
          </w:tcPr>
          <w:p>
            <w:pPr>
              <w:pStyle w:val="25"/>
              <w:spacing w:line="240" w:lineRule="auto"/>
              <w:rPr>
                <w:b/>
                <w:szCs w:val="21"/>
              </w:rPr>
            </w:pPr>
            <w:r>
              <w:rPr>
                <w:b/>
                <w:sz w:val="21"/>
                <w:szCs w:val="21"/>
              </w:rPr>
              <w:t>实践教学基地名称</w:t>
            </w:r>
          </w:p>
        </w:tc>
        <w:tc>
          <w:tcPr>
            <w:tcW w:w="1129" w:type="pct"/>
            <w:noWrap/>
            <w:vAlign w:val="center"/>
          </w:tcPr>
          <w:p>
            <w:pPr>
              <w:pStyle w:val="25"/>
              <w:spacing w:line="240" w:lineRule="auto"/>
              <w:rPr>
                <w:b/>
                <w:szCs w:val="21"/>
              </w:rPr>
            </w:pPr>
            <w:r>
              <w:rPr>
                <w:b/>
                <w:sz w:val="21"/>
                <w:szCs w:val="21"/>
              </w:rPr>
              <w:t>基地性质</w:t>
            </w:r>
          </w:p>
        </w:tc>
        <w:tc>
          <w:tcPr>
            <w:tcW w:w="1135" w:type="pct"/>
            <w:noWrap/>
            <w:vAlign w:val="center"/>
          </w:tcPr>
          <w:p>
            <w:pPr>
              <w:pStyle w:val="25"/>
              <w:spacing w:line="240" w:lineRule="auto"/>
              <w:rPr>
                <w:b/>
                <w:szCs w:val="21"/>
              </w:rPr>
            </w:pPr>
            <w:r>
              <w:rPr>
                <w:b/>
                <w:sz w:val="21"/>
                <w:szCs w:val="21"/>
              </w:rPr>
              <w:t>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pct"/>
            <w:noWrap/>
            <w:vAlign w:val="center"/>
          </w:tcPr>
          <w:p>
            <w:pPr>
              <w:pStyle w:val="25"/>
              <w:spacing w:line="240" w:lineRule="auto"/>
              <w:rPr>
                <w:szCs w:val="21"/>
              </w:rPr>
            </w:pPr>
            <w:r>
              <w:rPr>
                <w:sz w:val="21"/>
                <w:szCs w:val="21"/>
              </w:rPr>
              <w:t>1</w:t>
            </w:r>
          </w:p>
        </w:tc>
        <w:tc>
          <w:tcPr>
            <w:tcW w:w="2234" w:type="pct"/>
            <w:noWrap/>
            <w:vAlign w:val="center"/>
          </w:tcPr>
          <w:p>
            <w:pPr>
              <w:pStyle w:val="25"/>
              <w:spacing w:line="240" w:lineRule="auto"/>
              <w:rPr>
                <w:szCs w:val="21"/>
              </w:rPr>
            </w:pPr>
            <w:r>
              <w:rPr>
                <w:sz w:val="21"/>
                <w:szCs w:val="21"/>
              </w:rPr>
              <w:t>山东方舟生物科技有限公司</w:t>
            </w:r>
          </w:p>
        </w:tc>
        <w:tc>
          <w:tcPr>
            <w:tcW w:w="1129" w:type="pct"/>
            <w:noWrap/>
            <w:vAlign w:val="center"/>
          </w:tcPr>
          <w:p>
            <w:pPr>
              <w:pStyle w:val="25"/>
              <w:spacing w:line="240" w:lineRule="auto"/>
              <w:rPr>
                <w:szCs w:val="21"/>
              </w:rPr>
            </w:pPr>
            <w:r>
              <w:rPr>
                <w:sz w:val="21"/>
                <w:szCs w:val="21"/>
              </w:rPr>
              <w:t>学校挂牌</w:t>
            </w:r>
          </w:p>
        </w:tc>
        <w:tc>
          <w:tcPr>
            <w:tcW w:w="1135" w:type="pct"/>
            <w:noWrap/>
            <w:vAlign w:val="center"/>
          </w:tcPr>
          <w:p>
            <w:pPr>
              <w:pStyle w:val="25"/>
              <w:spacing w:line="240" w:lineRule="auto"/>
              <w:rPr>
                <w:szCs w:val="21"/>
              </w:rPr>
            </w:pPr>
            <w:r>
              <w:rPr>
                <w:sz w:val="21"/>
                <w:szCs w:val="21"/>
              </w:rPr>
              <w:t>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pct"/>
            <w:noWrap/>
            <w:vAlign w:val="center"/>
          </w:tcPr>
          <w:p>
            <w:pPr>
              <w:pStyle w:val="25"/>
              <w:spacing w:line="240" w:lineRule="auto"/>
              <w:rPr>
                <w:szCs w:val="21"/>
              </w:rPr>
            </w:pPr>
            <w:r>
              <w:rPr>
                <w:sz w:val="21"/>
                <w:szCs w:val="21"/>
              </w:rPr>
              <w:t>2</w:t>
            </w:r>
          </w:p>
        </w:tc>
        <w:tc>
          <w:tcPr>
            <w:tcW w:w="2234" w:type="pct"/>
            <w:noWrap/>
            <w:vAlign w:val="center"/>
          </w:tcPr>
          <w:p>
            <w:pPr>
              <w:pStyle w:val="25"/>
              <w:spacing w:line="240" w:lineRule="auto"/>
              <w:rPr>
                <w:szCs w:val="21"/>
              </w:rPr>
            </w:pPr>
            <w:r>
              <w:rPr>
                <w:sz w:val="21"/>
                <w:szCs w:val="21"/>
              </w:rPr>
              <w:t>潍坊中牧利德药业有限公司</w:t>
            </w:r>
          </w:p>
        </w:tc>
        <w:tc>
          <w:tcPr>
            <w:tcW w:w="1129" w:type="pct"/>
            <w:noWrap/>
            <w:vAlign w:val="center"/>
          </w:tcPr>
          <w:p>
            <w:pPr>
              <w:pStyle w:val="25"/>
              <w:spacing w:line="240" w:lineRule="auto"/>
              <w:rPr>
                <w:szCs w:val="21"/>
              </w:rPr>
            </w:pPr>
            <w:r>
              <w:rPr>
                <w:sz w:val="21"/>
                <w:szCs w:val="21"/>
              </w:rPr>
              <w:t>学校挂牌</w:t>
            </w:r>
          </w:p>
        </w:tc>
        <w:tc>
          <w:tcPr>
            <w:tcW w:w="1135" w:type="pct"/>
            <w:noWrap/>
            <w:vAlign w:val="center"/>
          </w:tcPr>
          <w:p>
            <w:pPr>
              <w:pStyle w:val="25"/>
              <w:spacing w:line="240" w:lineRule="auto"/>
              <w:rPr>
                <w:szCs w:val="21"/>
              </w:rPr>
            </w:pPr>
            <w:r>
              <w:rPr>
                <w:sz w:val="21"/>
                <w:szCs w:val="21"/>
              </w:rPr>
              <w:t>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pct"/>
            <w:noWrap/>
            <w:vAlign w:val="center"/>
          </w:tcPr>
          <w:p>
            <w:pPr>
              <w:pStyle w:val="25"/>
              <w:spacing w:line="240" w:lineRule="auto"/>
              <w:rPr>
                <w:szCs w:val="21"/>
              </w:rPr>
            </w:pPr>
            <w:r>
              <w:rPr>
                <w:sz w:val="21"/>
                <w:szCs w:val="21"/>
              </w:rPr>
              <w:t>3</w:t>
            </w:r>
          </w:p>
        </w:tc>
        <w:tc>
          <w:tcPr>
            <w:tcW w:w="2234" w:type="pct"/>
            <w:noWrap/>
            <w:vAlign w:val="center"/>
          </w:tcPr>
          <w:p>
            <w:pPr>
              <w:pStyle w:val="25"/>
              <w:spacing w:line="240" w:lineRule="auto"/>
              <w:rPr>
                <w:szCs w:val="21"/>
              </w:rPr>
            </w:pPr>
            <w:r>
              <w:rPr>
                <w:sz w:val="21"/>
                <w:szCs w:val="21"/>
              </w:rPr>
              <w:t>山东德州神牛药业有限公司</w:t>
            </w:r>
          </w:p>
        </w:tc>
        <w:tc>
          <w:tcPr>
            <w:tcW w:w="1129" w:type="pct"/>
            <w:noWrap/>
            <w:vAlign w:val="center"/>
          </w:tcPr>
          <w:p>
            <w:pPr>
              <w:pStyle w:val="25"/>
              <w:spacing w:line="240" w:lineRule="auto"/>
              <w:rPr>
                <w:szCs w:val="21"/>
              </w:rPr>
            </w:pPr>
            <w:r>
              <w:rPr>
                <w:sz w:val="21"/>
                <w:szCs w:val="21"/>
              </w:rPr>
              <w:t>学院挂牌</w:t>
            </w:r>
          </w:p>
        </w:tc>
        <w:tc>
          <w:tcPr>
            <w:tcW w:w="1135" w:type="pct"/>
            <w:noWrap/>
            <w:vAlign w:val="center"/>
          </w:tcPr>
          <w:p>
            <w:pPr>
              <w:pStyle w:val="25"/>
              <w:spacing w:line="240" w:lineRule="auto"/>
              <w:rPr>
                <w:szCs w:val="21"/>
              </w:rPr>
            </w:pPr>
            <w:r>
              <w:rPr>
                <w:sz w:val="21"/>
                <w:szCs w:val="21"/>
              </w:rPr>
              <w:t>2010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pct"/>
            <w:noWrap/>
            <w:vAlign w:val="center"/>
          </w:tcPr>
          <w:p>
            <w:pPr>
              <w:pStyle w:val="25"/>
              <w:spacing w:line="240" w:lineRule="auto"/>
              <w:rPr>
                <w:szCs w:val="21"/>
              </w:rPr>
            </w:pPr>
            <w:r>
              <w:rPr>
                <w:sz w:val="21"/>
                <w:szCs w:val="21"/>
              </w:rPr>
              <w:t>4</w:t>
            </w:r>
          </w:p>
        </w:tc>
        <w:tc>
          <w:tcPr>
            <w:tcW w:w="2234" w:type="pct"/>
            <w:noWrap/>
            <w:vAlign w:val="center"/>
          </w:tcPr>
          <w:p>
            <w:pPr>
              <w:pStyle w:val="25"/>
              <w:spacing w:line="240" w:lineRule="auto"/>
              <w:rPr>
                <w:szCs w:val="21"/>
              </w:rPr>
            </w:pPr>
            <w:r>
              <w:rPr>
                <w:sz w:val="21"/>
                <w:szCs w:val="21"/>
              </w:rPr>
              <w:t>山东恩康药业有限公司（邹平）</w:t>
            </w:r>
          </w:p>
        </w:tc>
        <w:tc>
          <w:tcPr>
            <w:tcW w:w="1129" w:type="pct"/>
            <w:noWrap/>
            <w:vAlign w:val="center"/>
          </w:tcPr>
          <w:p>
            <w:pPr>
              <w:pStyle w:val="25"/>
              <w:spacing w:line="240" w:lineRule="auto"/>
              <w:rPr>
                <w:szCs w:val="21"/>
              </w:rPr>
            </w:pPr>
            <w:r>
              <w:rPr>
                <w:sz w:val="21"/>
                <w:szCs w:val="21"/>
              </w:rPr>
              <w:t>学院挂牌</w:t>
            </w:r>
          </w:p>
        </w:tc>
        <w:tc>
          <w:tcPr>
            <w:tcW w:w="1135" w:type="pct"/>
            <w:noWrap/>
            <w:vAlign w:val="center"/>
          </w:tcPr>
          <w:p>
            <w:pPr>
              <w:pStyle w:val="25"/>
              <w:spacing w:line="240" w:lineRule="auto"/>
              <w:rPr>
                <w:szCs w:val="21"/>
              </w:rPr>
            </w:pPr>
            <w:r>
              <w:rPr>
                <w:sz w:val="21"/>
                <w:szCs w:val="21"/>
              </w:rPr>
              <w:t>2011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pct"/>
            <w:noWrap/>
            <w:vAlign w:val="center"/>
          </w:tcPr>
          <w:p>
            <w:pPr>
              <w:pStyle w:val="25"/>
              <w:spacing w:line="240" w:lineRule="auto"/>
              <w:rPr>
                <w:szCs w:val="21"/>
              </w:rPr>
            </w:pPr>
            <w:r>
              <w:rPr>
                <w:sz w:val="21"/>
                <w:szCs w:val="21"/>
              </w:rPr>
              <w:t>5</w:t>
            </w:r>
          </w:p>
        </w:tc>
        <w:tc>
          <w:tcPr>
            <w:tcW w:w="2234" w:type="pct"/>
            <w:noWrap/>
            <w:vAlign w:val="center"/>
          </w:tcPr>
          <w:p>
            <w:pPr>
              <w:pStyle w:val="25"/>
              <w:spacing w:line="240" w:lineRule="auto"/>
              <w:rPr>
                <w:szCs w:val="21"/>
              </w:rPr>
            </w:pPr>
            <w:r>
              <w:rPr>
                <w:sz w:val="21"/>
                <w:szCs w:val="21"/>
              </w:rPr>
              <w:t>济南鲁西药业有限公司（济南）</w:t>
            </w:r>
          </w:p>
        </w:tc>
        <w:tc>
          <w:tcPr>
            <w:tcW w:w="1129" w:type="pct"/>
            <w:noWrap/>
            <w:vAlign w:val="center"/>
          </w:tcPr>
          <w:p>
            <w:pPr>
              <w:pStyle w:val="25"/>
              <w:spacing w:line="240" w:lineRule="auto"/>
              <w:rPr>
                <w:szCs w:val="21"/>
              </w:rPr>
            </w:pPr>
            <w:r>
              <w:rPr>
                <w:sz w:val="21"/>
                <w:szCs w:val="21"/>
              </w:rPr>
              <w:t>学院挂牌</w:t>
            </w:r>
          </w:p>
        </w:tc>
        <w:tc>
          <w:tcPr>
            <w:tcW w:w="1135" w:type="pct"/>
            <w:noWrap/>
            <w:vAlign w:val="center"/>
          </w:tcPr>
          <w:p>
            <w:pPr>
              <w:pStyle w:val="25"/>
              <w:spacing w:line="240" w:lineRule="auto"/>
              <w:rPr>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pct"/>
            <w:noWrap/>
            <w:vAlign w:val="center"/>
          </w:tcPr>
          <w:p>
            <w:pPr>
              <w:pStyle w:val="25"/>
              <w:spacing w:line="240" w:lineRule="auto"/>
              <w:rPr>
                <w:szCs w:val="21"/>
              </w:rPr>
            </w:pPr>
            <w:r>
              <w:rPr>
                <w:sz w:val="21"/>
                <w:szCs w:val="21"/>
              </w:rPr>
              <w:t>6</w:t>
            </w:r>
          </w:p>
        </w:tc>
        <w:tc>
          <w:tcPr>
            <w:tcW w:w="2234" w:type="pct"/>
            <w:noWrap/>
            <w:vAlign w:val="center"/>
          </w:tcPr>
          <w:p>
            <w:pPr>
              <w:pStyle w:val="25"/>
              <w:spacing w:line="240" w:lineRule="auto"/>
              <w:rPr>
                <w:szCs w:val="21"/>
              </w:rPr>
            </w:pPr>
            <w:r>
              <w:rPr>
                <w:sz w:val="21"/>
                <w:szCs w:val="21"/>
              </w:rPr>
              <w:t>济南罗亚盈生物工程有限公司（济南）</w:t>
            </w:r>
          </w:p>
        </w:tc>
        <w:tc>
          <w:tcPr>
            <w:tcW w:w="1129" w:type="pct"/>
            <w:noWrap/>
            <w:vAlign w:val="center"/>
          </w:tcPr>
          <w:p>
            <w:pPr>
              <w:pStyle w:val="25"/>
              <w:spacing w:line="240" w:lineRule="auto"/>
              <w:rPr>
                <w:szCs w:val="21"/>
              </w:rPr>
            </w:pPr>
            <w:r>
              <w:rPr>
                <w:sz w:val="21"/>
                <w:szCs w:val="21"/>
              </w:rPr>
              <w:t>学院挂牌</w:t>
            </w:r>
          </w:p>
        </w:tc>
        <w:tc>
          <w:tcPr>
            <w:tcW w:w="1135" w:type="pct"/>
            <w:noWrap/>
            <w:vAlign w:val="center"/>
          </w:tcPr>
          <w:p>
            <w:pPr>
              <w:pStyle w:val="25"/>
              <w:spacing w:line="240" w:lineRule="auto"/>
              <w:rPr>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pct"/>
            <w:noWrap/>
            <w:vAlign w:val="center"/>
          </w:tcPr>
          <w:p>
            <w:pPr>
              <w:pStyle w:val="25"/>
              <w:spacing w:line="240" w:lineRule="auto"/>
              <w:rPr>
                <w:szCs w:val="21"/>
              </w:rPr>
            </w:pPr>
            <w:r>
              <w:rPr>
                <w:sz w:val="21"/>
                <w:szCs w:val="21"/>
              </w:rPr>
              <w:t>7</w:t>
            </w:r>
          </w:p>
        </w:tc>
        <w:tc>
          <w:tcPr>
            <w:tcW w:w="2234" w:type="pct"/>
            <w:noWrap/>
            <w:vAlign w:val="center"/>
          </w:tcPr>
          <w:p>
            <w:pPr>
              <w:pStyle w:val="25"/>
              <w:spacing w:line="240" w:lineRule="auto"/>
              <w:rPr>
                <w:szCs w:val="21"/>
              </w:rPr>
            </w:pPr>
            <w:r>
              <w:rPr>
                <w:sz w:val="21"/>
                <w:szCs w:val="21"/>
              </w:rPr>
              <w:t>潍坊中创生物科技有限公司</w:t>
            </w:r>
          </w:p>
        </w:tc>
        <w:tc>
          <w:tcPr>
            <w:tcW w:w="1129" w:type="pct"/>
            <w:noWrap/>
            <w:vAlign w:val="center"/>
          </w:tcPr>
          <w:p>
            <w:pPr>
              <w:pStyle w:val="25"/>
              <w:spacing w:line="240" w:lineRule="auto"/>
              <w:rPr>
                <w:szCs w:val="21"/>
              </w:rPr>
            </w:pPr>
            <w:r>
              <w:rPr>
                <w:sz w:val="21"/>
                <w:szCs w:val="21"/>
              </w:rPr>
              <w:t>学院挂牌</w:t>
            </w:r>
          </w:p>
        </w:tc>
        <w:tc>
          <w:tcPr>
            <w:tcW w:w="1135" w:type="pct"/>
            <w:noWrap/>
            <w:vAlign w:val="center"/>
          </w:tcPr>
          <w:p>
            <w:pPr>
              <w:pStyle w:val="25"/>
              <w:spacing w:line="240" w:lineRule="auto"/>
              <w:rPr>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pct"/>
            <w:noWrap/>
            <w:vAlign w:val="center"/>
          </w:tcPr>
          <w:p>
            <w:pPr>
              <w:pStyle w:val="25"/>
              <w:spacing w:line="240" w:lineRule="auto"/>
              <w:rPr>
                <w:sz w:val="21"/>
                <w:szCs w:val="21"/>
              </w:rPr>
            </w:pPr>
            <w:r>
              <w:rPr>
                <w:sz w:val="21"/>
                <w:szCs w:val="21"/>
              </w:rPr>
              <w:t>8</w:t>
            </w:r>
          </w:p>
        </w:tc>
        <w:tc>
          <w:tcPr>
            <w:tcW w:w="2234" w:type="pct"/>
            <w:noWrap/>
            <w:vAlign w:val="center"/>
          </w:tcPr>
          <w:p>
            <w:pPr>
              <w:pStyle w:val="25"/>
              <w:spacing w:line="240" w:lineRule="auto"/>
              <w:rPr>
                <w:sz w:val="21"/>
                <w:szCs w:val="21"/>
              </w:rPr>
            </w:pPr>
            <w:r>
              <w:rPr>
                <w:sz w:val="21"/>
                <w:szCs w:val="21"/>
              </w:rPr>
              <w:t>潍坊富邦药业有限公司</w:t>
            </w:r>
          </w:p>
        </w:tc>
        <w:tc>
          <w:tcPr>
            <w:tcW w:w="1129" w:type="pct"/>
            <w:noWrap/>
            <w:vAlign w:val="center"/>
          </w:tcPr>
          <w:p>
            <w:pPr>
              <w:pStyle w:val="25"/>
              <w:spacing w:line="240" w:lineRule="auto"/>
              <w:rPr>
                <w:sz w:val="21"/>
                <w:szCs w:val="21"/>
              </w:rPr>
            </w:pPr>
            <w:r>
              <w:rPr>
                <w:sz w:val="21"/>
                <w:szCs w:val="21"/>
              </w:rPr>
              <w:t>学院挂牌</w:t>
            </w:r>
          </w:p>
        </w:tc>
        <w:tc>
          <w:tcPr>
            <w:tcW w:w="1135" w:type="pct"/>
            <w:noWrap/>
            <w:vAlign w:val="center"/>
          </w:tcPr>
          <w:p>
            <w:pPr>
              <w:pStyle w:val="25"/>
              <w:spacing w:line="240" w:lineRule="auto"/>
              <w:rPr>
                <w:sz w:val="21"/>
                <w:szCs w:val="21"/>
              </w:rPr>
            </w:pPr>
            <w:r>
              <w:rPr>
                <w:sz w:val="21"/>
                <w:szCs w:val="21"/>
              </w:rPr>
              <w:t>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pct"/>
            <w:noWrap/>
            <w:vAlign w:val="center"/>
          </w:tcPr>
          <w:p>
            <w:pPr>
              <w:pStyle w:val="25"/>
              <w:spacing w:line="240" w:lineRule="auto"/>
              <w:rPr>
                <w:sz w:val="21"/>
                <w:szCs w:val="21"/>
              </w:rPr>
            </w:pPr>
            <w:r>
              <w:rPr>
                <w:sz w:val="21"/>
                <w:szCs w:val="21"/>
              </w:rPr>
              <w:t>9</w:t>
            </w:r>
          </w:p>
        </w:tc>
        <w:tc>
          <w:tcPr>
            <w:tcW w:w="2234" w:type="pct"/>
            <w:noWrap/>
            <w:vAlign w:val="center"/>
          </w:tcPr>
          <w:p>
            <w:pPr>
              <w:pStyle w:val="25"/>
              <w:spacing w:line="240" w:lineRule="auto"/>
              <w:rPr>
                <w:sz w:val="21"/>
                <w:szCs w:val="21"/>
              </w:rPr>
            </w:pPr>
            <w:r>
              <w:rPr>
                <w:sz w:val="21"/>
                <w:szCs w:val="21"/>
              </w:rPr>
              <w:t>山东华农生物制药有限公司</w:t>
            </w:r>
          </w:p>
        </w:tc>
        <w:tc>
          <w:tcPr>
            <w:tcW w:w="1129" w:type="pct"/>
            <w:noWrap/>
            <w:vAlign w:val="center"/>
          </w:tcPr>
          <w:p>
            <w:pPr>
              <w:pStyle w:val="25"/>
              <w:spacing w:line="240" w:lineRule="auto"/>
              <w:rPr>
                <w:sz w:val="21"/>
                <w:szCs w:val="21"/>
              </w:rPr>
            </w:pPr>
            <w:r>
              <w:rPr>
                <w:sz w:val="21"/>
                <w:szCs w:val="21"/>
              </w:rPr>
              <w:t>学院挂牌</w:t>
            </w:r>
          </w:p>
        </w:tc>
        <w:tc>
          <w:tcPr>
            <w:tcW w:w="1135" w:type="pct"/>
            <w:noWrap/>
            <w:vAlign w:val="center"/>
          </w:tcPr>
          <w:p>
            <w:pPr>
              <w:pStyle w:val="25"/>
              <w:spacing w:line="240" w:lineRule="auto"/>
              <w:rPr>
                <w:sz w:val="21"/>
                <w:szCs w:val="21"/>
              </w:rPr>
            </w:pPr>
            <w:r>
              <w:rPr>
                <w:sz w:val="21"/>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 w:type="pct"/>
            <w:noWrap/>
            <w:vAlign w:val="center"/>
          </w:tcPr>
          <w:p>
            <w:pPr>
              <w:pStyle w:val="25"/>
              <w:spacing w:line="240" w:lineRule="auto"/>
              <w:rPr>
                <w:sz w:val="21"/>
                <w:szCs w:val="21"/>
              </w:rPr>
            </w:pPr>
            <w:r>
              <w:rPr>
                <w:sz w:val="21"/>
                <w:szCs w:val="21"/>
              </w:rPr>
              <w:t>10</w:t>
            </w:r>
          </w:p>
        </w:tc>
        <w:tc>
          <w:tcPr>
            <w:tcW w:w="2234" w:type="pct"/>
            <w:noWrap/>
            <w:vAlign w:val="center"/>
          </w:tcPr>
          <w:p>
            <w:pPr>
              <w:pStyle w:val="25"/>
              <w:spacing w:line="240" w:lineRule="auto"/>
              <w:rPr>
                <w:sz w:val="21"/>
                <w:szCs w:val="21"/>
              </w:rPr>
            </w:pPr>
            <w:r>
              <w:rPr>
                <w:sz w:val="21"/>
                <w:szCs w:val="21"/>
              </w:rPr>
              <w:t>山东中农普宁药业有限公司</w:t>
            </w:r>
          </w:p>
        </w:tc>
        <w:tc>
          <w:tcPr>
            <w:tcW w:w="1129" w:type="pct"/>
            <w:noWrap/>
            <w:vAlign w:val="center"/>
          </w:tcPr>
          <w:p>
            <w:pPr>
              <w:pStyle w:val="25"/>
              <w:spacing w:line="240" w:lineRule="auto"/>
              <w:rPr>
                <w:sz w:val="21"/>
                <w:szCs w:val="21"/>
              </w:rPr>
            </w:pPr>
            <w:r>
              <w:rPr>
                <w:sz w:val="21"/>
                <w:szCs w:val="21"/>
              </w:rPr>
              <w:t>学院挂牌</w:t>
            </w:r>
          </w:p>
        </w:tc>
        <w:tc>
          <w:tcPr>
            <w:tcW w:w="1135" w:type="pct"/>
            <w:noWrap/>
            <w:vAlign w:val="center"/>
          </w:tcPr>
          <w:p>
            <w:pPr>
              <w:pStyle w:val="25"/>
              <w:spacing w:line="240" w:lineRule="auto"/>
              <w:rPr>
                <w:sz w:val="21"/>
                <w:szCs w:val="21"/>
              </w:rPr>
            </w:pPr>
            <w:r>
              <w:rPr>
                <w:sz w:val="21"/>
                <w:szCs w:val="21"/>
              </w:rPr>
              <w:t>2022</w:t>
            </w:r>
          </w:p>
        </w:tc>
      </w:tr>
    </w:tbl>
    <w:p>
      <w:pPr>
        <w:pStyle w:val="5"/>
        <w:spacing w:before="93" w:after="93"/>
        <w:ind w:firstLine="560"/>
      </w:pPr>
      <w:bookmarkStart w:id="39" w:name="_Toc14738"/>
      <w:bookmarkStart w:id="40" w:name="_Toc13247"/>
      <w:r>
        <w:t>四、培养机制与特色（产学研协同育人机制、合作办学、教学管理等）</w:t>
      </w:r>
      <w:bookmarkEnd w:id="39"/>
      <w:bookmarkEnd w:id="40"/>
    </w:p>
    <w:p>
      <w:pPr>
        <w:pStyle w:val="6"/>
        <w:ind w:firstLine="480"/>
      </w:pPr>
      <w:r>
        <w:t>1.适应社会和学生个性发展需求，构建了</w:t>
      </w:r>
      <w:r>
        <w:rPr>
          <w:rFonts w:hint="eastAsia"/>
        </w:rPr>
        <w:t>“</w:t>
      </w:r>
      <w:r>
        <w:t>3+1</w:t>
      </w:r>
      <w:r>
        <w:rPr>
          <w:rFonts w:hint="eastAsia"/>
        </w:rPr>
        <w:t>”</w:t>
      </w:r>
      <w:r>
        <w:t>的人才培养模式</w:t>
      </w:r>
    </w:p>
    <w:p>
      <w:pPr>
        <w:ind w:firstLine="480"/>
        <w:rPr>
          <w:szCs w:val="24"/>
        </w:rPr>
      </w:pPr>
      <w:r>
        <w:rPr>
          <w:rFonts w:hint="eastAsia"/>
          <w:szCs w:val="24"/>
        </w:rPr>
        <w:t>“</w:t>
      </w:r>
      <w:r>
        <w:rPr>
          <w:szCs w:val="24"/>
        </w:rPr>
        <w:t>3+1</w:t>
      </w:r>
      <w:r>
        <w:rPr>
          <w:rFonts w:hint="eastAsia"/>
          <w:szCs w:val="24"/>
        </w:rPr>
        <w:t>”</w:t>
      </w:r>
      <w:r>
        <w:rPr>
          <w:szCs w:val="24"/>
        </w:rPr>
        <w:t>的人才培养模式，即学生在前3个学年完成理论课程的学习，后1个学年进行毕业实习及毕业论文。该培养模式延长了毕业实习时间，符合当前社会用人单位的需求，也适应学生分类培养的需要。人才培养过程中，根据学生的个性发展需求，将进入毕业实习阶段的学生分成两大类别：一类按</w:t>
      </w:r>
      <w:r>
        <w:rPr>
          <w:rFonts w:hint="eastAsia"/>
          <w:szCs w:val="24"/>
        </w:rPr>
        <w:t>“</w:t>
      </w:r>
      <w:r>
        <w:rPr>
          <w:szCs w:val="24"/>
        </w:rPr>
        <w:t>创新型</w:t>
      </w:r>
      <w:r>
        <w:rPr>
          <w:rFonts w:hint="eastAsia"/>
          <w:szCs w:val="24"/>
        </w:rPr>
        <w:t>”</w:t>
      </w:r>
      <w:r>
        <w:rPr>
          <w:szCs w:val="24"/>
        </w:rPr>
        <w:t>人才培养，安排到科研院所、科研实验室实习，强化科技创新能力培养；另一类按</w:t>
      </w:r>
      <w:r>
        <w:rPr>
          <w:rFonts w:hint="eastAsia"/>
          <w:szCs w:val="24"/>
        </w:rPr>
        <w:t>“</w:t>
      </w:r>
      <w:r>
        <w:rPr>
          <w:szCs w:val="24"/>
        </w:rPr>
        <w:t>应用型</w:t>
      </w:r>
      <w:r>
        <w:rPr>
          <w:rFonts w:hint="eastAsia"/>
          <w:szCs w:val="24"/>
        </w:rPr>
        <w:t>”</w:t>
      </w:r>
      <w:r>
        <w:rPr>
          <w:szCs w:val="24"/>
        </w:rPr>
        <w:t>人才培养，安排到校企共建单位、实践教学基地实习，让学生尽早适应社会需求。</w:t>
      </w:r>
    </w:p>
    <w:p>
      <w:pPr>
        <w:pStyle w:val="6"/>
        <w:ind w:firstLine="480"/>
      </w:pPr>
      <w:r>
        <w:t>2.紧跟生命科学发展前沿，制定了</w:t>
      </w:r>
      <w:r>
        <w:rPr>
          <w:rFonts w:hint="eastAsia"/>
        </w:rPr>
        <w:t>“</w:t>
      </w:r>
      <w:r>
        <w:t>平台+模块</w:t>
      </w:r>
      <w:r>
        <w:rPr>
          <w:rFonts w:hint="eastAsia"/>
        </w:rPr>
        <w:t>”</w:t>
      </w:r>
      <w:r>
        <w:t>的开放性理论课程体系</w:t>
      </w:r>
    </w:p>
    <w:p>
      <w:pPr>
        <w:ind w:firstLine="480"/>
        <w:rPr>
          <w:szCs w:val="24"/>
        </w:rPr>
      </w:pPr>
      <w:r>
        <w:rPr>
          <w:rFonts w:hint="eastAsia"/>
          <w:szCs w:val="24"/>
        </w:rPr>
        <w:t>“</w:t>
      </w:r>
      <w:r>
        <w:rPr>
          <w:szCs w:val="24"/>
        </w:rPr>
        <w:t>平台课程</w:t>
      </w:r>
      <w:r>
        <w:rPr>
          <w:rFonts w:hint="eastAsia"/>
          <w:szCs w:val="24"/>
        </w:rPr>
        <w:t>”</w:t>
      </w:r>
      <w:r>
        <w:rPr>
          <w:szCs w:val="24"/>
        </w:rPr>
        <w:t>主要为制药工程（兽药方向）专业的学生提供系统宽厚的药学和医学基础知识，形成与制药工程专业发展相适应的基本技能，包括兽医分子生物学、细胞生物学、生物技术制药、动物流行病学、禽病学、猪病学、动物临床诊断、中兽医临床应用、动物卫生法学8门课程。对这8门课程进行整合，即统一制定8门平台课程的教学大纲和课程教学标准，使其在内容上既各有侧重又彼此衔接，有效地解决了课程间的重复和脱节现象。</w:t>
      </w:r>
      <w:r>
        <w:rPr>
          <w:rFonts w:hint="eastAsia"/>
          <w:szCs w:val="24"/>
        </w:rPr>
        <w:t>“</w:t>
      </w:r>
      <w:r>
        <w:rPr>
          <w:szCs w:val="24"/>
        </w:rPr>
        <w:t>模块课程</w:t>
      </w:r>
      <w:r>
        <w:rPr>
          <w:rFonts w:hint="eastAsia"/>
          <w:szCs w:val="24"/>
        </w:rPr>
        <w:t>”</w:t>
      </w:r>
      <w:r>
        <w:rPr>
          <w:szCs w:val="24"/>
        </w:rPr>
        <w:t>旨在满足不同专业需求或学生个性化发展需求，主要开设包括兽医分子生物学、细胞生物学、生物技术制药等能够反映最新研究动态的知识拓展型课程，保证了教学内容的先进性和开放性。通过选修课程的调整，使专业特色更加鲜明。</w:t>
      </w:r>
      <w:r>
        <w:rPr>
          <w:rFonts w:hint="eastAsia"/>
          <w:szCs w:val="24"/>
        </w:rPr>
        <w:t>“</w:t>
      </w:r>
      <w:r>
        <w:rPr>
          <w:szCs w:val="24"/>
        </w:rPr>
        <w:t>平台</w:t>
      </w:r>
      <w:r>
        <w:rPr>
          <w:rFonts w:hint="eastAsia"/>
          <w:szCs w:val="24"/>
        </w:rPr>
        <w:t>”</w:t>
      </w:r>
      <w:r>
        <w:rPr>
          <w:szCs w:val="24"/>
        </w:rPr>
        <w:t>能够满足学科大类人才的基本规格和全面发展的共性需求，体现</w:t>
      </w:r>
      <w:r>
        <w:rPr>
          <w:rFonts w:hint="eastAsia"/>
          <w:szCs w:val="24"/>
        </w:rPr>
        <w:t>“</w:t>
      </w:r>
      <w:r>
        <w:rPr>
          <w:szCs w:val="24"/>
        </w:rPr>
        <w:t>厚基础，宽口径</w:t>
      </w:r>
      <w:r>
        <w:rPr>
          <w:rFonts w:hint="eastAsia"/>
          <w:szCs w:val="24"/>
        </w:rPr>
        <w:t>”</w:t>
      </w:r>
      <w:r>
        <w:rPr>
          <w:szCs w:val="24"/>
        </w:rPr>
        <w:t>；</w:t>
      </w:r>
      <w:r>
        <w:rPr>
          <w:rFonts w:hint="eastAsia"/>
          <w:szCs w:val="24"/>
        </w:rPr>
        <w:t>“</w:t>
      </w:r>
      <w:r>
        <w:rPr>
          <w:szCs w:val="24"/>
        </w:rPr>
        <w:t>模块</w:t>
      </w:r>
      <w:r>
        <w:rPr>
          <w:rFonts w:hint="eastAsia"/>
          <w:szCs w:val="24"/>
        </w:rPr>
        <w:t>”</w:t>
      </w:r>
      <w:r>
        <w:rPr>
          <w:szCs w:val="24"/>
        </w:rPr>
        <w:t>主要是为实现人才分流，满足个性发展的需要。另，在专业课程中，进一步拓展课程内容，激发了学生的专业兴趣。</w:t>
      </w:r>
    </w:p>
    <w:p>
      <w:pPr>
        <w:pStyle w:val="6"/>
        <w:ind w:firstLine="480"/>
      </w:pPr>
      <w:r>
        <w:t>3.紧密结合生产实际，创建了</w:t>
      </w:r>
      <w:r>
        <w:rPr>
          <w:rFonts w:hint="eastAsia"/>
        </w:rPr>
        <w:t>“</w:t>
      </w:r>
      <w:r>
        <w:t>四层次、三类型</w:t>
      </w:r>
      <w:r>
        <w:rPr>
          <w:rFonts w:hint="eastAsia"/>
        </w:rPr>
        <w:t>”</w:t>
      </w:r>
      <w:r>
        <w:t>的实践教学体系</w:t>
      </w:r>
    </w:p>
    <w:p>
      <w:pPr>
        <w:ind w:firstLine="480"/>
        <w:rPr>
          <w:szCs w:val="24"/>
        </w:rPr>
      </w:pPr>
      <w:r>
        <w:rPr>
          <w:szCs w:val="24"/>
        </w:rPr>
        <w:t>根据制药工程技术快速发展的实际，为了适应发展现代医药和社会主义建设对高层次科技人才的需要，在进一步完善实践教学体系的基础上，以实验教学改革为重点，创建了</w:t>
      </w:r>
      <w:r>
        <w:rPr>
          <w:rFonts w:hint="eastAsia"/>
          <w:szCs w:val="24"/>
        </w:rPr>
        <w:t>“</w:t>
      </w:r>
      <w:r>
        <w:rPr>
          <w:szCs w:val="24"/>
        </w:rPr>
        <w:t>四层次、三类型</w:t>
      </w:r>
      <w:r>
        <w:rPr>
          <w:rFonts w:hint="eastAsia"/>
          <w:szCs w:val="24"/>
        </w:rPr>
        <w:t>”</w:t>
      </w:r>
      <w:r>
        <w:rPr>
          <w:szCs w:val="24"/>
        </w:rPr>
        <w:t>的实践教学体系。</w:t>
      </w:r>
      <w:r>
        <w:rPr>
          <w:rFonts w:hint="eastAsia"/>
          <w:szCs w:val="24"/>
        </w:rPr>
        <w:t>“</w:t>
      </w:r>
      <w:r>
        <w:rPr>
          <w:szCs w:val="24"/>
        </w:rPr>
        <w:t>四层次</w:t>
      </w:r>
      <w:r>
        <w:rPr>
          <w:rFonts w:hint="eastAsia"/>
          <w:szCs w:val="24"/>
        </w:rPr>
        <w:t>”</w:t>
      </w:r>
      <w:r>
        <w:rPr>
          <w:szCs w:val="24"/>
        </w:rPr>
        <w:t>即基础制药和兽医学实验→药学实验→现代制药技术实验→制药生产实践四个循序渐进的层次；</w:t>
      </w:r>
      <w:r>
        <w:rPr>
          <w:rFonts w:hint="eastAsia"/>
          <w:szCs w:val="24"/>
        </w:rPr>
        <w:t>“</w:t>
      </w:r>
      <w:r>
        <w:rPr>
          <w:szCs w:val="24"/>
        </w:rPr>
        <w:t>三类型</w:t>
      </w:r>
      <w:r>
        <w:rPr>
          <w:rFonts w:hint="eastAsia"/>
          <w:szCs w:val="24"/>
        </w:rPr>
        <w:t>”</w:t>
      </w:r>
      <w:r>
        <w:rPr>
          <w:szCs w:val="24"/>
        </w:rPr>
        <w:t>即基础型实验、综合提高型实验和研究创新型实验。四个层次循序渐进，前者是后者的基础，后者是前者的应用，相互联系，相互影响，共同完成实验教学目标。每一层次都根据其具体实验内容，构建基础型、综合提高型和研究创新型三种类型的实验，既培养学生掌握扎实的实验基本技能，又训练学生综合运用实验技术进行创新和研究的能力。</w:t>
      </w:r>
      <w:r>
        <w:rPr>
          <w:rFonts w:hint="eastAsia"/>
          <w:szCs w:val="24"/>
        </w:rPr>
        <w:t>“</w:t>
      </w:r>
      <w:r>
        <w:rPr>
          <w:szCs w:val="24"/>
        </w:rPr>
        <w:t>四层次、三类型</w:t>
      </w:r>
      <w:r>
        <w:rPr>
          <w:rFonts w:hint="eastAsia"/>
          <w:szCs w:val="24"/>
        </w:rPr>
        <w:t>”</w:t>
      </w:r>
      <w:r>
        <w:rPr>
          <w:szCs w:val="24"/>
        </w:rPr>
        <w:t>实验教学体系是一有机整体，通过这一体系的有效实施，培养了学生扎实的基础实验技术和实践技能，为从事医药科学研究、医药技术推广和创新创业，奠定能力基础。</w:t>
      </w:r>
    </w:p>
    <w:p>
      <w:pPr>
        <w:pStyle w:val="6"/>
        <w:ind w:firstLine="480"/>
      </w:pPr>
      <w:r>
        <w:t>4.</w:t>
      </w:r>
      <w:r>
        <w:rPr>
          <w:rFonts w:hint="eastAsia"/>
        </w:rPr>
        <w:t>“</w:t>
      </w:r>
      <w:r>
        <w:t>产学研</w:t>
      </w:r>
      <w:r>
        <w:rPr>
          <w:rFonts w:hint="eastAsia"/>
        </w:rPr>
        <w:t>”</w:t>
      </w:r>
      <w:r>
        <w:t>紧密结合，搭建了高水平的实践教学平台。</w:t>
      </w:r>
    </w:p>
    <w:p>
      <w:pPr>
        <w:ind w:firstLine="480"/>
        <w:rPr>
          <w:szCs w:val="24"/>
        </w:rPr>
      </w:pPr>
      <w:r>
        <w:rPr>
          <w:szCs w:val="24"/>
        </w:rPr>
        <w:t>在校内，以各学科科研实验室为依托，搭建了</w:t>
      </w:r>
      <w:r>
        <w:rPr>
          <w:rFonts w:hint="eastAsia"/>
          <w:szCs w:val="24"/>
        </w:rPr>
        <w:t>“</w:t>
      </w:r>
      <w:r>
        <w:rPr>
          <w:szCs w:val="24"/>
        </w:rPr>
        <w:t>制药工程科技创新平台</w:t>
      </w:r>
      <w:r>
        <w:rPr>
          <w:rFonts w:hint="eastAsia"/>
          <w:szCs w:val="24"/>
        </w:rPr>
        <w:t>”</w:t>
      </w:r>
      <w:r>
        <w:rPr>
          <w:szCs w:val="24"/>
        </w:rPr>
        <w:t>，开展各类科技创新活动，极大地激发了学生的创新精神和学习兴趣，促进了学生创新能力的培养。</w:t>
      </w:r>
    </w:p>
    <w:p>
      <w:pPr>
        <w:ind w:firstLine="480"/>
        <w:rPr>
          <w:szCs w:val="24"/>
        </w:rPr>
      </w:pPr>
      <w:r>
        <w:rPr>
          <w:szCs w:val="24"/>
        </w:rPr>
        <w:t>在校外，本着</w:t>
      </w:r>
      <w:r>
        <w:rPr>
          <w:rFonts w:hint="eastAsia"/>
          <w:szCs w:val="24"/>
        </w:rPr>
        <w:t>“</w:t>
      </w:r>
      <w:r>
        <w:rPr>
          <w:szCs w:val="24"/>
        </w:rPr>
        <w:t>互惠互利、共同发展</w:t>
      </w:r>
      <w:r>
        <w:rPr>
          <w:rFonts w:hint="eastAsia"/>
          <w:szCs w:val="24"/>
        </w:rPr>
        <w:t>”</w:t>
      </w:r>
      <w:r>
        <w:rPr>
          <w:szCs w:val="24"/>
        </w:rPr>
        <w:t>的原则，与4家企业联合建立实践教学基地，搭建了</w:t>
      </w:r>
      <w:r>
        <w:rPr>
          <w:rFonts w:hint="eastAsia"/>
          <w:szCs w:val="24"/>
        </w:rPr>
        <w:t>“</w:t>
      </w:r>
      <w:r>
        <w:rPr>
          <w:szCs w:val="24"/>
        </w:rPr>
        <w:t>制药工程实践应用平台</w:t>
      </w:r>
      <w:r>
        <w:rPr>
          <w:rFonts w:hint="eastAsia"/>
          <w:szCs w:val="24"/>
        </w:rPr>
        <w:t>”</w:t>
      </w:r>
      <w:r>
        <w:rPr>
          <w:szCs w:val="24"/>
        </w:rPr>
        <w:t>。每年学生分批次到企业参加实习和实践。</w:t>
      </w:r>
      <w:r>
        <w:rPr>
          <w:rFonts w:hint="eastAsia"/>
          <w:szCs w:val="24"/>
        </w:rPr>
        <w:t>“</w:t>
      </w:r>
      <w:r>
        <w:rPr>
          <w:szCs w:val="24"/>
        </w:rPr>
        <w:t>实践应用平台</w:t>
      </w:r>
      <w:r>
        <w:rPr>
          <w:rFonts w:hint="eastAsia"/>
          <w:szCs w:val="24"/>
        </w:rPr>
        <w:t>”</w:t>
      </w:r>
      <w:r>
        <w:rPr>
          <w:szCs w:val="24"/>
        </w:rPr>
        <w:t>建设实现了学校与企业的紧密联合，企业为教师提供了社会服务能力的平台，专家、教授深入生产一线，能够准确及时把握社会需求，实现社会需求与科研的同步发展；企业为学生提供了实践的平台，促进了学生创新和创业能力的提高，提高应用型人才的培养质量；同时，教师为企业提供新技术，学生为产品的研发和企业的创新注入活力，推动了企业的持续健康发展。</w:t>
      </w:r>
    </w:p>
    <w:p>
      <w:pPr>
        <w:pStyle w:val="6"/>
        <w:ind w:firstLine="480"/>
      </w:pPr>
      <w:r>
        <w:t>5.创新教学管理模式，提高人才培养质量。</w:t>
      </w:r>
    </w:p>
    <w:p>
      <w:pPr>
        <w:ind w:firstLine="480"/>
        <w:rPr>
          <w:szCs w:val="24"/>
        </w:rPr>
      </w:pPr>
      <w:r>
        <w:rPr>
          <w:szCs w:val="24"/>
        </w:rPr>
        <w:t>注重学生的知识、素质与能力的协调发展是人才培养的关键和核心。在教学的管理过程中，确立了一套科学合理的教学管理模式，来保证人才培养质量。主要措施包括：</w:t>
      </w:r>
    </w:p>
    <w:p>
      <w:pPr>
        <w:ind w:firstLine="480"/>
        <w:rPr>
          <w:szCs w:val="24"/>
        </w:rPr>
      </w:pPr>
      <w:r>
        <w:rPr>
          <w:szCs w:val="24"/>
        </w:rPr>
        <w:t>（1）构建</w:t>
      </w:r>
      <w:r>
        <w:rPr>
          <w:rFonts w:hint="eastAsia"/>
          <w:szCs w:val="24"/>
        </w:rPr>
        <w:t>“</w:t>
      </w:r>
      <w:r>
        <w:rPr>
          <w:szCs w:val="24"/>
        </w:rPr>
        <w:t>学院+系+教学团队</w:t>
      </w:r>
      <w:r>
        <w:rPr>
          <w:rFonts w:hint="eastAsia"/>
          <w:szCs w:val="24"/>
        </w:rPr>
        <w:t>”</w:t>
      </w:r>
      <w:r>
        <w:rPr>
          <w:szCs w:val="24"/>
        </w:rPr>
        <w:t>的三层次教学管理体系，切实有效地提升和保障教育教学水平及质量。</w:t>
      </w:r>
    </w:p>
    <w:p>
      <w:pPr>
        <w:ind w:firstLine="480"/>
        <w:rPr>
          <w:szCs w:val="24"/>
        </w:rPr>
      </w:pPr>
      <w:r>
        <w:rPr>
          <w:szCs w:val="24"/>
        </w:rPr>
        <w:t>（2）科研训练实行</w:t>
      </w:r>
      <w:r>
        <w:rPr>
          <w:rFonts w:hint="eastAsia"/>
          <w:szCs w:val="24"/>
        </w:rPr>
        <w:t>“</w:t>
      </w:r>
      <w:r>
        <w:rPr>
          <w:szCs w:val="24"/>
        </w:rPr>
        <w:t>创新课题+毕业论文</w:t>
      </w:r>
      <w:r>
        <w:rPr>
          <w:rFonts w:hint="eastAsia"/>
          <w:szCs w:val="24"/>
        </w:rPr>
        <w:t>”</w:t>
      </w:r>
      <w:r>
        <w:rPr>
          <w:szCs w:val="24"/>
        </w:rPr>
        <w:t>制。制定本科生科技创新实践培养和毕业论文的质量标准及其运行管理制度，依托学院科研实验室与科研平台学术带头人与科研骨干教师亲自指导本科生的科研创新与毕业论文，确保人才培养的质量与水平。</w:t>
      </w:r>
    </w:p>
    <w:p>
      <w:pPr>
        <w:ind w:firstLine="480"/>
        <w:rPr>
          <w:szCs w:val="24"/>
        </w:rPr>
      </w:pPr>
      <w:r>
        <w:rPr>
          <w:szCs w:val="24"/>
        </w:rPr>
        <w:t>（3）企业技能实训实行</w:t>
      </w:r>
      <w:r>
        <w:rPr>
          <w:rFonts w:hint="eastAsia"/>
          <w:szCs w:val="24"/>
        </w:rPr>
        <w:t>“</w:t>
      </w:r>
      <w:r>
        <w:rPr>
          <w:szCs w:val="24"/>
        </w:rPr>
        <w:t>专题讲座＋顶岗实习</w:t>
      </w:r>
      <w:r>
        <w:rPr>
          <w:rFonts w:hint="eastAsia"/>
          <w:szCs w:val="24"/>
        </w:rPr>
        <w:t>”</w:t>
      </w:r>
      <w:r>
        <w:rPr>
          <w:szCs w:val="24"/>
        </w:rPr>
        <w:t>制：依托产学研结合的实践教学平台，聘请企业家来校给学生作报告，直接面对面的交流，极大的提升了学生的创新创业能力。</w:t>
      </w:r>
    </w:p>
    <w:p>
      <w:pPr>
        <w:pStyle w:val="5"/>
        <w:spacing w:before="93" w:after="93"/>
        <w:ind w:firstLine="560"/>
      </w:pPr>
      <w:bookmarkStart w:id="41" w:name="_Toc25491"/>
      <w:bookmarkStart w:id="42" w:name="_Toc27977"/>
      <w:r>
        <w:t>五、培养质量（毕业生就业率、就业专业对口率、毕业生发展情况、就业单位满意率、社会对专业的评价、学生就读该专业的意愿等）</w:t>
      </w:r>
      <w:bookmarkEnd w:id="41"/>
      <w:bookmarkEnd w:id="42"/>
    </w:p>
    <w:p>
      <w:pPr>
        <w:pStyle w:val="6"/>
        <w:ind w:firstLine="480"/>
      </w:pPr>
      <w:r>
        <w:t>1.毕业生生源结构</w:t>
      </w:r>
    </w:p>
    <w:p>
      <w:pPr>
        <w:ind w:firstLine="480"/>
        <w:rPr>
          <w:szCs w:val="24"/>
        </w:rPr>
      </w:pPr>
      <w:r>
        <w:rPr>
          <w:szCs w:val="24"/>
        </w:rPr>
        <w:t>本专业2022届毕业生共计24人，其中男生10人，占比41.67%，女生14人，占比58.33%；省内生源16人，占比66.67%，省外生源8人，占比33.33%，省外生源主要集中在河北省、福建省、湖南省等。从民族结构看，2022届毕业生以汉族为主，共24人，占比100.00%；少数民族共0人，占比0.00%。</w:t>
      </w:r>
    </w:p>
    <w:p>
      <w:pPr>
        <w:pStyle w:val="25"/>
        <w:spacing w:line="240" w:lineRule="auto"/>
        <w:rPr>
          <w:b/>
          <w:bCs/>
          <w:sz w:val="21"/>
          <w:szCs w:val="21"/>
        </w:rPr>
      </w:pPr>
    </w:p>
    <w:p>
      <w:pPr>
        <w:pStyle w:val="25"/>
        <w:spacing w:line="240" w:lineRule="auto"/>
        <w:rPr>
          <w:b/>
          <w:bCs/>
          <w:sz w:val="21"/>
          <w:szCs w:val="21"/>
        </w:rPr>
      </w:pPr>
      <w:r>
        <w:rPr>
          <w:b/>
          <w:bCs/>
          <w:sz w:val="21"/>
          <w:szCs w:val="21"/>
        </w:rPr>
        <w:t>表2.毕业生生源结构统计表</w:t>
      </w:r>
    </w:p>
    <w:tbl>
      <w:tblPr>
        <w:tblStyle w:val="17"/>
        <w:tblW w:w="4997" w:type="pct"/>
        <w:jc w:val="center"/>
        <w:tblLayout w:type="autofit"/>
        <w:tblCellMar>
          <w:top w:w="0" w:type="dxa"/>
          <w:left w:w="0" w:type="dxa"/>
          <w:bottom w:w="0" w:type="dxa"/>
          <w:right w:w="0" w:type="dxa"/>
        </w:tblCellMar>
      </w:tblPr>
      <w:tblGrid>
        <w:gridCol w:w="1710"/>
        <w:gridCol w:w="874"/>
        <w:gridCol w:w="1046"/>
        <w:gridCol w:w="1047"/>
        <w:gridCol w:w="1047"/>
        <w:gridCol w:w="1049"/>
        <w:gridCol w:w="881"/>
        <w:gridCol w:w="1216"/>
      </w:tblGrid>
      <w:tr>
        <w:tblPrEx>
          <w:tblCellMar>
            <w:top w:w="0" w:type="dxa"/>
            <w:left w:w="0" w:type="dxa"/>
            <w:bottom w:w="0" w:type="dxa"/>
            <w:right w:w="0" w:type="dxa"/>
          </w:tblCellMar>
        </w:tblPrEx>
        <w:trPr>
          <w:trHeight w:val="799" w:hRule="atLeast"/>
          <w:jc w:val="center"/>
        </w:trPr>
        <w:tc>
          <w:tcPr>
            <w:tcW w:w="6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专业名称</w:t>
            </w:r>
          </w:p>
        </w:tc>
        <w:tc>
          <w:tcPr>
            <w:tcW w:w="37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生源人数</w:t>
            </w:r>
          </w:p>
        </w:tc>
        <w:tc>
          <w:tcPr>
            <w:tcW w:w="658"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b/>
                <w:bCs/>
                <w:sz w:val="21"/>
                <w:szCs w:val="21"/>
              </w:rPr>
            </w:pPr>
            <w:r>
              <w:rPr>
                <w:b/>
                <w:bCs/>
                <w:sz w:val="21"/>
                <w:szCs w:val="21"/>
              </w:rPr>
              <w:t>男生数量（比例）</w:t>
            </w:r>
          </w:p>
        </w:tc>
        <w:tc>
          <w:tcPr>
            <w:tcW w:w="658"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b/>
                <w:bCs/>
                <w:sz w:val="21"/>
                <w:szCs w:val="21"/>
              </w:rPr>
            </w:pPr>
            <w:r>
              <w:rPr>
                <w:b/>
                <w:bCs/>
                <w:sz w:val="21"/>
                <w:szCs w:val="21"/>
              </w:rPr>
              <w:t>女生数量（比例）</w:t>
            </w:r>
          </w:p>
        </w:tc>
        <w:tc>
          <w:tcPr>
            <w:tcW w:w="658"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b/>
                <w:bCs/>
                <w:sz w:val="21"/>
                <w:szCs w:val="21"/>
              </w:rPr>
            </w:pPr>
            <w:r>
              <w:rPr>
                <w:b/>
                <w:bCs/>
                <w:sz w:val="21"/>
                <w:szCs w:val="21"/>
              </w:rPr>
              <w:t>省内人数（比例）</w:t>
            </w:r>
          </w:p>
        </w:tc>
        <w:tc>
          <w:tcPr>
            <w:tcW w:w="65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b/>
                <w:bCs/>
                <w:sz w:val="21"/>
                <w:szCs w:val="21"/>
              </w:rPr>
            </w:pPr>
            <w:r>
              <w:rPr>
                <w:b/>
                <w:bCs/>
                <w:sz w:val="21"/>
                <w:szCs w:val="21"/>
              </w:rPr>
              <w:t>省外人数（比例）</w:t>
            </w:r>
          </w:p>
        </w:tc>
        <w:tc>
          <w:tcPr>
            <w:tcW w:w="564"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b/>
                <w:bCs/>
                <w:sz w:val="21"/>
                <w:szCs w:val="21"/>
              </w:rPr>
            </w:pPr>
            <w:r>
              <w:rPr>
                <w:b/>
                <w:bCs/>
                <w:sz w:val="21"/>
                <w:szCs w:val="21"/>
              </w:rPr>
              <w:t>汉族人数（比例）</w:t>
            </w:r>
          </w:p>
        </w:tc>
        <w:tc>
          <w:tcPr>
            <w:tcW w:w="75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b/>
                <w:bCs/>
                <w:sz w:val="21"/>
                <w:szCs w:val="21"/>
              </w:rPr>
            </w:pPr>
            <w:r>
              <w:rPr>
                <w:b/>
                <w:bCs/>
                <w:sz w:val="21"/>
                <w:szCs w:val="21"/>
              </w:rPr>
              <w:t>少数民族</w:t>
            </w:r>
          </w:p>
          <w:p>
            <w:pPr>
              <w:pStyle w:val="25"/>
              <w:spacing w:line="240" w:lineRule="auto"/>
              <w:rPr>
                <w:b/>
                <w:bCs/>
                <w:sz w:val="21"/>
                <w:szCs w:val="21"/>
              </w:rPr>
            </w:pPr>
            <w:r>
              <w:rPr>
                <w:b/>
                <w:bCs/>
                <w:sz w:val="21"/>
                <w:szCs w:val="21"/>
              </w:rPr>
              <w:t>（比例）</w:t>
            </w:r>
          </w:p>
        </w:tc>
      </w:tr>
      <w:tr>
        <w:tblPrEx>
          <w:tblCellMar>
            <w:top w:w="0" w:type="dxa"/>
            <w:left w:w="0" w:type="dxa"/>
            <w:bottom w:w="0" w:type="dxa"/>
            <w:right w:w="0" w:type="dxa"/>
          </w:tblCellMar>
        </w:tblPrEx>
        <w:trPr>
          <w:trHeight w:val="507" w:hRule="atLeast"/>
          <w:jc w:val="center"/>
        </w:trPr>
        <w:tc>
          <w:tcPr>
            <w:tcW w:w="6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制药工程（兽药）</w:t>
            </w:r>
          </w:p>
        </w:tc>
        <w:tc>
          <w:tcPr>
            <w:tcW w:w="37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24</w:t>
            </w:r>
          </w:p>
        </w:tc>
        <w:tc>
          <w:tcPr>
            <w:tcW w:w="65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10</w:t>
            </w:r>
          </w:p>
          <w:p>
            <w:pPr>
              <w:pStyle w:val="25"/>
              <w:spacing w:line="240" w:lineRule="auto"/>
              <w:rPr>
                <w:sz w:val="21"/>
                <w:szCs w:val="21"/>
              </w:rPr>
            </w:pPr>
            <w:r>
              <w:rPr>
                <w:sz w:val="21"/>
                <w:szCs w:val="21"/>
              </w:rPr>
              <w:t>41.67%</w:t>
            </w:r>
          </w:p>
        </w:tc>
        <w:tc>
          <w:tcPr>
            <w:tcW w:w="65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14</w:t>
            </w:r>
          </w:p>
          <w:p>
            <w:pPr>
              <w:pStyle w:val="25"/>
              <w:spacing w:line="240" w:lineRule="auto"/>
              <w:rPr>
                <w:sz w:val="21"/>
                <w:szCs w:val="21"/>
              </w:rPr>
            </w:pPr>
            <w:r>
              <w:rPr>
                <w:sz w:val="21"/>
                <w:szCs w:val="21"/>
              </w:rPr>
              <w:t>58.33%</w:t>
            </w:r>
          </w:p>
        </w:tc>
        <w:tc>
          <w:tcPr>
            <w:tcW w:w="65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16</w:t>
            </w:r>
          </w:p>
          <w:p>
            <w:pPr>
              <w:pStyle w:val="25"/>
              <w:spacing w:line="240" w:lineRule="auto"/>
              <w:rPr>
                <w:sz w:val="21"/>
                <w:szCs w:val="21"/>
              </w:rPr>
            </w:pPr>
            <w:r>
              <w:rPr>
                <w:sz w:val="21"/>
                <w:szCs w:val="21"/>
              </w:rPr>
              <w:t>66.67%</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8</w:t>
            </w:r>
          </w:p>
          <w:p>
            <w:pPr>
              <w:pStyle w:val="25"/>
              <w:spacing w:line="240" w:lineRule="auto"/>
              <w:rPr>
                <w:sz w:val="21"/>
                <w:szCs w:val="21"/>
              </w:rPr>
            </w:pPr>
            <w:r>
              <w:rPr>
                <w:sz w:val="21"/>
                <w:szCs w:val="21"/>
              </w:rPr>
              <w:t>33.33%</w:t>
            </w:r>
          </w:p>
        </w:tc>
        <w:tc>
          <w:tcPr>
            <w:tcW w:w="56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24</w:t>
            </w:r>
          </w:p>
          <w:p>
            <w:pPr>
              <w:pStyle w:val="25"/>
              <w:spacing w:line="240" w:lineRule="auto"/>
              <w:rPr>
                <w:sz w:val="21"/>
                <w:szCs w:val="21"/>
              </w:rPr>
            </w:pPr>
            <w:r>
              <w:rPr>
                <w:sz w:val="21"/>
                <w:szCs w:val="21"/>
              </w:rPr>
              <w:t>100.00%</w:t>
            </w:r>
          </w:p>
        </w:tc>
        <w:tc>
          <w:tcPr>
            <w:tcW w:w="75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w:t>
            </w:r>
          </w:p>
          <w:p>
            <w:pPr>
              <w:pStyle w:val="25"/>
              <w:spacing w:line="240" w:lineRule="auto"/>
              <w:rPr>
                <w:sz w:val="21"/>
                <w:szCs w:val="21"/>
              </w:rPr>
            </w:pPr>
            <w:r>
              <w:rPr>
                <w:sz w:val="21"/>
                <w:szCs w:val="21"/>
              </w:rPr>
              <w:t>0.00%</w:t>
            </w:r>
          </w:p>
        </w:tc>
      </w:tr>
    </w:tbl>
    <w:p>
      <w:pPr>
        <w:pStyle w:val="6"/>
        <w:ind w:firstLine="480"/>
      </w:pPr>
      <w:r>
        <w:t>2.毕业生就业情况</w:t>
      </w:r>
    </w:p>
    <w:p>
      <w:pPr>
        <w:ind w:firstLine="480"/>
        <w:rPr>
          <w:b/>
          <w:bCs/>
          <w:szCs w:val="24"/>
        </w:rPr>
      </w:pPr>
      <w:r>
        <w:rPr>
          <w:b/>
          <w:bCs/>
          <w:szCs w:val="24"/>
        </w:rPr>
        <w:t>（1）就业概况</w:t>
      </w:r>
    </w:p>
    <w:p>
      <w:pPr>
        <w:ind w:firstLine="480"/>
        <w:rPr>
          <w:szCs w:val="24"/>
        </w:rPr>
      </w:pPr>
      <w:r>
        <w:rPr>
          <w:szCs w:val="24"/>
        </w:rPr>
        <w:t>截止2022年8月31日，毕业生就业20人，毕业去向落实率为83.33%，其中男生就业9人，毕业去向落实率为90.00%，女生就业11人，毕业去向落实率为78.57%。毕业生留鲁就业的14人，占已就业总人数的70.00%，其中到泰安城市就业人数最多，占28.51%。出省就业共6人，占30.00%，主要流向河南省、安徽省、江苏省等省份。</w:t>
      </w:r>
    </w:p>
    <w:p>
      <w:pPr>
        <w:spacing w:line="240" w:lineRule="auto"/>
        <w:jc w:val="center"/>
        <w:rPr>
          <w:rFonts w:eastAsiaTheme="minorEastAsia"/>
        </w:rPr>
      </w:pPr>
      <w:r>
        <w:rPr>
          <w:rFonts w:eastAsiaTheme="minorEastAsia"/>
        </w:rPr>
        <w:drawing>
          <wp:inline distT="0" distB="0" distL="114300" distR="114300">
            <wp:extent cx="4047490" cy="2469515"/>
            <wp:effectExtent l="4445" t="4445" r="5715" b="21590"/>
            <wp:docPr id="10" name="图表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pPr>
        <w:pStyle w:val="25"/>
        <w:spacing w:line="240" w:lineRule="auto"/>
        <w:rPr>
          <w:b/>
          <w:bCs/>
          <w:sz w:val="21"/>
          <w:szCs w:val="21"/>
        </w:rPr>
      </w:pPr>
      <w:r>
        <w:rPr>
          <w:b/>
          <w:bCs/>
          <w:sz w:val="21"/>
          <w:szCs w:val="21"/>
        </w:rPr>
        <w:t>图1.毕业生就业地区流向图</w:t>
      </w:r>
    </w:p>
    <w:p>
      <w:pPr>
        <w:pStyle w:val="25"/>
        <w:spacing w:line="240" w:lineRule="auto"/>
        <w:rPr>
          <w:b/>
          <w:bCs/>
          <w:sz w:val="21"/>
          <w:szCs w:val="21"/>
        </w:rPr>
      </w:pPr>
    </w:p>
    <w:p>
      <w:pPr>
        <w:pStyle w:val="25"/>
        <w:spacing w:line="240" w:lineRule="auto"/>
        <w:rPr>
          <w:b/>
          <w:bCs/>
          <w:sz w:val="21"/>
          <w:szCs w:val="21"/>
        </w:rPr>
      </w:pPr>
      <w:r>
        <w:rPr>
          <w:b/>
          <w:bCs/>
          <w:sz w:val="21"/>
          <w:szCs w:val="21"/>
        </w:rPr>
        <w:t>表4.毕业生毕业去向落实情况统计表</w:t>
      </w:r>
    </w:p>
    <w:tbl>
      <w:tblPr>
        <w:tblStyle w:val="17"/>
        <w:tblW w:w="4997" w:type="pct"/>
        <w:jc w:val="center"/>
        <w:tblLayout w:type="fixed"/>
        <w:tblCellMar>
          <w:top w:w="0" w:type="dxa"/>
          <w:left w:w="0" w:type="dxa"/>
          <w:bottom w:w="0" w:type="dxa"/>
          <w:right w:w="0" w:type="dxa"/>
        </w:tblCellMar>
      </w:tblPr>
      <w:tblGrid>
        <w:gridCol w:w="1106"/>
        <w:gridCol w:w="1096"/>
        <w:gridCol w:w="1230"/>
        <w:gridCol w:w="1382"/>
        <w:gridCol w:w="1322"/>
        <w:gridCol w:w="1476"/>
        <w:gridCol w:w="1258"/>
      </w:tblGrid>
      <w:tr>
        <w:trPr>
          <w:trHeight w:val="665" w:hRule="atLeast"/>
          <w:jc w:val="center"/>
        </w:trPr>
        <w:tc>
          <w:tcPr>
            <w:tcW w:w="62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专业名称</w:t>
            </w:r>
          </w:p>
        </w:tc>
        <w:tc>
          <w:tcPr>
            <w:tcW w:w="61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落实就业</w:t>
            </w:r>
          </w:p>
          <w:p>
            <w:pPr>
              <w:pStyle w:val="25"/>
              <w:spacing w:line="240" w:lineRule="auto"/>
              <w:rPr>
                <w:b/>
                <w:bCs/>
                <w:sz w:val="21"/>
                <w:szCs w:val="21"/>
              </w:rPr>
            </w:pPr>
            <w:r>
              <w:rPr>
                <w:b/>
                <w:bCs/>
                <w:sz w:val="21"/>
                <w:szCs w:val="21"/>
              </w:rPr>
              <w:t>人数</w:t>
            </w:r>
          </w:p>
        </w:tc>
        <w:tc>
          <w:tcPr>
            <w:tcW w:w="69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毕业去向</w:t>
            </w:r>
          </w:p>
          <w:p>
            <w:pPr>
              <w:pStyle w:val="25"/>
              <w:spacing w:line="240" w:lineRule="auto"/>
              <w:rPr>
                <w:b/>
                <w:bCs/>
                <w:sz w:val="21"/>
                <w:szCs w:val="21"/>
              </w:rPr>
            </w:pPr>
            <w:r>
              <w:rPr>
                <w:b/>
                <w:bCs/>
                <w:sz w:val="21"/>
                <w:szCs w:val="21"/>
              </w:rPr>
              <w:t>落实率</w:t>
            </w:r>
          </w:p>
        </w:tc>
        <w:tc>
          <w:tcPr>
            <w:tcW w:w="77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b/>
                <w:bCs/>
                <w:sz w:val="21"/>
                <w:szCs w:val="21"/>
              </w:rPr>
            </w:pPr>
            <w:r>
              <w:rPr>
                <w:b/>
                <w:bCs/>
                <w:sz w:val="21"/>
                <w:szCs w:val="21"/>
              </w:rPr>
              <w:t>男生毕业去向</w:t>
            </w:r>
          </w:p>
          <w:p>
            <w:pPr>
              <w:pStyle w:val="25"/>
              <w:spacing w:line="240" w:lineRule="auto"/>
              <w:rPr>
                <w:b/>
                <w:bCs/>
                <w:sz w:val="21"/>
                <w:szCs w:val="21"/>
              </w:rPr>
            </w:pPr>
            <w:r>
              <w:rPr>
                <w:b/>
                <w:bCs/>
                <w:sz w:val="21"/>
                <w:szCs w:val="21"/>
              </w:rPr>
              <w:t>落实率</w:t>
            </w:r>
          </w:p>
        </w:tc>
        <w:tc>
          <w:tcPr>
            <w:tcW w:w="745"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b/>
                <w:bCs/>
                <w:sz w:val="21"/>
                <w:szCs w:val="21"/>
              </w:rPr>
            </w:pPr>
            <w:r>
              <w:rPr>
                <w:b/>
                <w:bCs/>
                <w:sz w:val="21"/>
                <w:szCs w:val="21"/>
              </w:rPr>
              <w:t>女生毕业去向</w:t>
            </w:r>
          </w:p>
          <w:p>
            <w:pPr>
              <w:pStyle w:val="25"/>
              <w:spacing w:line="240" w:lineRule="auto"/>
              <w:rPr>
                <w:b/>
                <w:bCs/>
                <w:sz w:val="21"/>
                <w:szCs w:val="21"/>
              </w:rPr>
            </w:pPr>
            <w:r>
              <w:rPr>
                <w:b/>
                <w:bCs/>
                <w:sz w:val="21"/>
                <w:szCs w:val="21"/>
              </w:rPr>
              <w:t>落实率</w:t>
            </w:r>
          </w:p>
        </w:tc>
        <w:tc>
          <w:tcPr>
            <w:tcW w:w="832"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b/>
                <w:bCs/>
                <w:sz w:val="21"/>
                <w:szCs w:val="21"/>
              </w:rPr>
            </w:pPr>
            <w:r>
              <w:rPr>
                <w:b/>
                <w:bCs/>
                <w:sz w:val="21"/>
                <w:szCs w:val="21"/>
              </w:rPr>
              <w:t>留鲁就业人数（比例）</w:t>
            </w:r>
          </w:p>
        </w:tc>
        <w:tc>
          <w:tcPr>
            <w:tcW w:w="70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b/>
                <w:bCs/>
                <w:sz w:val="21"/>
                <w:szCs w:val="21"/>
              </w:rPr>
            </w:pPr>
            <w:r>
              <w:rPr>
                <w:b/>
                <w:bCs/>
                <w:sz w:val="21"/>
                <w:szCs w:val="21"/>
              </w:rPr>
              <w:t>省外就业人数（比例）</w:t>
            </w:r>
          </w:p>
        </w:tc>
      </w:tr>
      <w:tr>
        <w:tblPrEx>
          <w:tblCellMar>
            <w:top w:w="0" w:type="dxa"/>
            <w:left w:w="0" w:type="dxa"/>
            <w:bottom w:w="0" w:type="dxa"/>
            <w:right w:w="0" w:type="dxa"/>
          </w:tblCellMar>
        </w:tblPrEx>
        <w:trPr>
          <w:trHeight w:val="600" w:hRule="atLeast"/>
          <w:jc w:val="center"/>
        </w:trPr>
        <w:tc>
          <w:tcPr>
            <w:tcW w:w="62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制药工程（兽药）</w:t>
            </w:r>
          </w:p>
        </w:tc>
        <w:tc>
          <w:tcPr>
            <w:tcW w:w="61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20</w:t>
            </w:r>
          </w:p>
        </w:tc>
        <w:tc>
          <w:tcPr>
            <w:tcW w:w="69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83.33%</w:t>
            </w:r>
          </w:p>
        </w:tc>
        <w:tc>
          <w:tcPr>
            <w:tcW w:w="77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90.00%</w:t>
            </w:r>
          </w:p>
        </w:tc>
        <w:tc>
          <w:tcPr>
            <w:tcW w:w="74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78.57%</w:t>
            </w:r>
          </w:p>
        </w:tc>
        <w:tc>
          <w:tcPr>
            <w:tcW w:w="83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15</w:t>
            </w:r>
          </w:p>
          <w:p>
            <w:pPr>
              <w:pStyle w:val="25"/>
              <w:spacing w:line="240" w:lineRule="auto"/>
              <w:rPr>
                <w:sz w:val="21"/>
                <w:szCs w:val="21"/>
              </w:rPr>
            </w:pPr>
            <w:r>
              <w:rPr>
                <w:sz w:val="21"/>
                <w:szCs w:val="21"/>
              </w:rPr>
              <w:t>75.00%</w:t>
            </w:r>
          </w:p>
        </w:tc>
        <w:tc>
          <w:tcPr>
            <w:tcW w:w="70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5</w:t>
            </w:r>
          </w:p>
          <w:p>
            <w:pPr>
              <w:pStyle w:val="25"/>
              <w:spacing w:line="240" w:lineRule="auto"/>
              <w:rPr>
                <w:sz w:val="21"/>
                <w:szCs w:val="21"/>
              </w:rPr>
            </w:pPr>
            <w:r>
              <w:rPr>
                <w:sz w:val="21"/>
                <w:szCs w:val="21"/>
              </w:rPr>
              <w:t>25.00%</w:t>
            </w:r>
          </w:p>
        </w:tc>
      </w:tr>
    </w:tbl>
    <w:p>
      <w:pPr>
        <w:ind w:firstLine="480"/>
        <w:rPr>
          <w:b/>
          <w:bCs/>
          <w:szCs w:val="24"/>
        </w:rPr>
      </w:pPr>
      <w:r>
        <w:rPr>
          <w:b/>
          <w:bCs/>
          <w:szCs w:val="24"/>
        </w:rPr>
        <w:t>（2）就业方式</w:t>
      </w:r>
    </w:p>
    <w:p>
      <w:pPr>
        <w:ind w:firstLine="480"/>
        <w:rPr>
          <w:szCs w:val="24"/>
        </w:rPr>
      </w:pPr>
      <w:r>
        <w:rPr>
          <w:szCs w:val="24"/>
        </w:rPr>
        <w:t>毕业生毕业去向主要包括升学、出国（境）、协议就业、劳动合同就业、应征义务兵、科研助理、国家基层项目、自主创业、其他录用形式就业、自由职业、暂不就业（不就业拟升学和其他暂不就业）、待就业等多种方式就业，本专业毕业去向中国内升学方式就业人数最多，其次是其他录用形式就业方式。毕业生总体就业方式如下表所示。</w:t>
      </w:r>
    </w:p>
    <w:p>
      <w:pPr>
        <w:pStyle w:val="25"/>
        <w:spacing w:line="240" w:lineRule="auto"/>
        <w:rPr>
          <w:b/>
          <w:bCs/>
          <w:sz w:val="21"/>
          <w:szCs w:val="21"/>
        </w:rPr>
      </w:pPr>
      <w:r>
        <w:rPr>
          <w:b/>
          <w:bCs/>
          <w:sz w:val="21"/>
          <w:szCs w:val="21"/>
        </w:rPr>
        <w:t>表5.毕业生就业方式统计表</w:t>
      </w:r>
    </w:p>
    <w:tbl>
      <w:tblPr>
        <w:tblStyle w:val="17"/>
        <w:tblW w:w="4997" w:type="pct"/>
        <w:jc w:val="center"/>
        <w:tblLayout w:type="autofit"/>
        <w:tblCellMar>
          <w:top w:w="0" w:type="dxa"/>
          <w:left w:w="0" w:type="dxa"/>
          <w:bottom w:w="0" w:type="dxa"/>
          <w:right w:w="0" w:type="dxa"/>
        </w:tblCellMar>
      </w:tblPr>
      <w:tblGrid>
        <w:gridCol w:w="985"/>
        <w:gridCol w:w="961"/>
        <w:gridCol w:w="749"/>
        <w:gridCol w:w="945"/>
        <w:gridCol w:w="961"/>
        <w:gridCol w:w="945"/>
        <w:gridCol w:w="1170"/>
        <w:gridCol w:w="975"/>
        <w:gridCol w:w="1179"/>
      </w:tblGrid>
      <w:tr>
        <w:tblPrEx>
          <w:tblCellMar>
            <w:top w:w="0" w:type="dxa"/>
            <w:left w:w="0" w:type="dxa"/>
            <w:bottom w:w="0" w:type="dxa"/>
            <w:right w:w="0" w:type="dxa"/>
          </w:tblCellMar>
        </w:tblPrEx>
        <w:trPr>
          <w:trHeight w:val="676" w:hRule="atLeast"/>
          <w:jc w:val="center"/>
        </w:trPr>
        <w:tc>
          <w:tcPr>
            <w:tcW w:w="55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就业</w:t>
            </w:r>
          </w:p>
          <w:p>
            <w:pPr>
              <w:pStyle w:val="25"/>
              <w:spacing w:line="240" w:lineRule="auto"/>
              <w:rPr>
                <w:b/>
                <w:bCs/>
                <w:sz w:val="21"/>
                <w:szCs w:val="21"/>
              </w:rPr>
            </w:pPr>
            <w:r>
              <w:rPr>
                <w:b/>
                <w:bCs/>
                <w:sz w:val="21"/>
                <w:szCs w:val="21"/>
              </w:rPr>
              <w:t>方式</w:t>
            </w:r>
          </w:p>
        </w:tc>
        <w:tc>
          <w:tcPr>
            <w:tcW w:w="54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国内</w:t>
            </w:r>
          </w:p>
          <w:p>
            <w:pPr>
              <w:pStyle w:val="25"/>
              <w:spacing w:line="240" w:lineRule="auto"/>
              <w:rPr>
                <w:b/>
                <w:bCs/>
                <w:sz w:val="21"/>
                <w:szCs w:val="21"/>
              </w:rPr>
            </w:pPr>
            <w:r>
              <w:rPr>
                <w:b/>
                <w:bCs/>
                <w:sz w:val="21"/>
                <w:szCs w:val="21"/>
              </w:rPr>
              <w:t>升学</w:t>
            </w:r>
          </w:p>
        </w:tc>
        <w:tc>
          <w:tcPr>
            <w:tcW w:w="42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出国</w:t>
            </w:r>
          </w:p>
        </w:tc>
        <w:tc>
          <w:tcPr>
            <w:tcW w:w="53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协议</w:t>
            </w:r>
          </w:p>
          <w:p>
            <w:pPr>
              <w:pStyle w:val="25"/>
              <w:spacing w:line="240" w:lineRule="auto"/>
              <w:rPr>
                <w:b/>
                <w:bCs/>
                <w:sz w:val="21"/>
                <w:szCs w:val="21"/>
              </w:rPr>
            </w:pPr>
            <w:r>
              <w:rPr>
                <w:b/>
                <w:bCs/>
                <w:sz w:val="21"/>
                <w:szCs w:val="21"/>
              </w:rPr>
              <w:t>就业</w:t>
            </w:r>
          </w:p>
        </w:tc>
        <w:tc>
          <w:tcPr>
            <w:tcW w:w="54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劳动</w:t>
            </w:r>
          </w:p>
          <w:p>
            <w:pPr>
              <w:pStyle w:val="25"/>
              <w:spacing w:line="240" w:lineRule="auto"/>
              <w:rPr>
                <w:b/>
                <w:bCs/>
                <w:sz w:val="21"/>
                <w:szCs w:val="21"/>
              </w:rPr>
            </w:pPr>
            <w:r>
              <w:rPr>
                <w:b/>
                <w:bCs/>
                <w:sz w:val="21"/>
                <w:szCs w:val="21"/>
              </w:rPr>
              <w:t>合同</w:t>
            </w:r>
          </w:p>
        </w:tc>
        <w:tc>
          <w:tcPr>
            <w:tcW w:w="53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自主</w:t>
            </w:r>
          </w:p>
          <w:p>
            <w:pPr>
              <w:pStyle w:val="25"/>
              <w:spacing w:line="240" w:lineRule="auto"/>
              <w:rPr>
                <w:b/>
                <w:bCs/>
                <w:sz w:val="21"/>
                <w:szCs w:val="21"/>
              </w:rPr>
            </w:pPr>
            <w:r>
              <w:rPr>
                <w:b/>
                <w:bCs/>
                <w:sz w:val="21"/>
                <w:szCs w:val="21"/>
              </w:rPr>
              <w:t>创业</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其他录用</w:t>
            </w:r>
          </w:p>
          <w:p>
            <w:pPr>
              <w:pStyle w:val="25"/>
              <w:spacing w:line="240" w:lineRule="auto"/>
              <w:rPr>
                <w:b/>
                <w:bCs/>
                <w:sz w:val="21"/>
                <w:szCs w:val="21"/>
              </w:rPr>
            </w:pPr>
            <w:r>
              <w:rPr>
                <w:b/>
                <w:bCs/>
                <w:sz w:val="21"/>
                <w:szCs w:val="21"/>
              </w:rPr>
              <w:t>形式就业</w:t>
            </w:r>
          </w:p>
        </w:tc>
        <w:tc>
          <w:tcPr>
            <w:tcW w:w="54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暂不</w:t>
            </w:r>
          </w:p>
          <w:p>
            <w:pPr>
              <w:pStyle w:val="25"/>
              <w:spacing w:line="240" w:lineRule="auto"/>
              <w:rPr>
                <w:b/>
                <w:bCs/>
                <w:sz w:val="21"/>
                <w:szCs w:val="21"/>
              </w:rPr>
            </w:pPr>
            <w:r>
              <w:rPr>
                <w:b/>
                <w:bCs/>
                <w:sz w:val="21"/>
                <w:szCs w:val="21"/>
              </w:rPr>
              <w:t>就业</w:t>
            </w:r>
          </w:p>
        </w:tc>
        <w:tc>
          <w:tcPr>
            <w:tcW w:w="66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待就业</w:t>
            </w:r>
          </w:p>
        </w:tc>
      </w:tr>
      <w:tr>
        <w:tblPrEx>
          <w:tblCellMar>
            <w:top w:w="0" w:type="dxa"/>
            <w:left w:w="0" w:type="dxa"/>
            <w:bottom w:w="0" w:type="dxa"/>
            <w:right w:w="0" w:type="dxa"/>
          </w:tblCellMar>
        </w:tblPrEx>
        <w:trPr>
          <w:trHeight w:val="657" w:hRule="atLeast"/>
          <w:jc w:val="center"/>
        </w:trPr>
        <w:tc>
          <w:tcPr>
            <w:tcW w:w="55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人数</w:t>
            </w:r>
          </w:p>
          <w:p>
            <w:pPr>
              <w:pStyle w:val="25"/>
              <w:spacing w:line="240" w:lineRule="auto"/>
              <w:rPr>
                <w:sz w:val="21"/>
                <w:szCs w:val="21"/>
              </w:rPr>
            </w:pPr>
            <w:r>
              <w:rPr>
                <w:sz w:val="21"/>
                <w:szCs w:val="21"/>
              </w:rPr>
              <w:t>（比例）</w:t>
            </w:r>
          </w:p>
        </w:tc>
        <w:tc>
          <w:tcPr>
            <w:tcW w:w="54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6</w:t>
            </w:r>
          </w:p>
          <w:p>
            <w:pPr>
              <w:pStyle w:val="25"/>
              <w:spacing w:line="240" w:lineRule="auto"/>
              <w:rPr>
                <w:sz w:val="21"/>
                <w:szCs w:val="21"/>
              </w:rPr>
            </w:pPr>
            <w:r>
              <w:rPr>
                <w:sz w:val="21"/>
                <w:szCs w:val="21"/>
              </w:rPr>
              <w:t>25.00%</w:t>
            </w:r>
          </w:p>
        </w:tc>
        <w:tc>
          <w:tcPr>
            <w:tcW w:w="42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w:t>
            </w:r>
          </w:p>
          <w:p>
            <w:pPr>
              <w:pStyle w:val="25"/>
              <w:spacing w:line="240" w:lineRule="auto"/>
              <w:rPr>
                <w:sz w:val="21"/>
                <w:szCs w:val="21"/>
              </w:rPr>
            </w:pPr>
            <w:r>
              <w:rPr>
                <w:sz w:val="21"/>
                <w:szCs w:val="21"/>
              </w:rPr>
              <w:t>0.00%</w:t>
            </w:r>
          </w:p>
        </w:tc>
        <w:tc>
          <w:tcPr>
            <w:tcW w:w="53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8</w:t>
            </w:r>
          </w:p>
          <w:p>
            <w:pPr>
              <w:pStyle w:val="25"/>
              <w:spacing w:line="240" w:lineRule="auto"/>
              <w:rPr>
                <w:sz w:val="21"/>
                <w:szCs w:val="21"/>
              </w:rPr>
            </w:pPr>
            <w:r>
              <w:rPr>
                <w:sz w:val="21"/>
                <w:szCs w:val="21"/>
              </w:rPr>
              <w:t>33.33%</w:t>
            </w:r>
          </w:p>
        </w:tc>
        <w:tc>
          <w:tcPr>
            <w:tcW w:w="54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1</w:t>
            </w:r>
          </w:p>
          <w:p>
            <w:pPr>
              <w:pStyle w:val="25"/>
              <w:spacing w:line="240" w:lineRule="auto"/>
              <w:rPr>
                <w:sz w:val="21"/>
                <w:szCs w:val="21"/>
              </w:rPr>
            </w:pPr>
            <w:r>
              <w:rPr>
                <w:sz w:val="21"/>
                <w:szCs w:val="21"/>
              </w:rPr>
              <w:t>4.16%</w:t>
            </w:r>
          </w:p>
        </w:tc>
        <w:tc>
          <w:tcPr>
            <w:tcW w:w="53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w:t>
            </w:r>
          </w:p>
          <w:p>
            <w:pPr>
              <w:pStyle w:val="25"/>
              <w:spacing w:line="240" w:lineRule="auto"/>
              <w:rPr>
                <w:sz w:val="21"/>
                <w:szCs w:val="21"/>
              </w:rPr>
            </w:pPr>
            <w:r>
              <w:rPr>
                <w:sz w:val="21"/>
                <w:szCs w:val="21"/>
              </w:rPr>
              <w:t>0.00%</w:t>
            </w:r>
          </w:p>
        </w:tc>
        <w:tc>
          <w:tcPr>
            <w:tcW w:w="65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5</w:t>
            </w:r>
          </w:p>
          <w:p>
            <w:pPr>
              <w:pStyle w:val="25"/>
              <w:spacing w:line="240" w:lineRule="auto"/>
              <w:rPr>
                <w:sz w:val="21"/>
                <w:szCs w:val="21"/>
              </w:rPr>
            </w:pPr>
            <w:r>
              <w:rPr>
                <w:sz w:val="21"/>
                <w:szCs w:val="21"/>
              </w:rPr>
              <w:t>20.83%</w:t>
            </w:r>
          </w:p>
        </w:tc>
        <w:tc>
          <w:tcPr>
            <w:tcW w:w="54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w:t>
            </w:r>
          </w:p>
          <w:p>
            <w:pPr>
              <w:pStyle w:val="25"/>
              <w:spacing w:line="240" w:lineRule="auto"/>
              <w:rPr>
                <w:sz w:val="21"/>
                <w:szCs w:val="21"/>
              </w:rPr>
            </w:pPr>
            <w:r>
              <w:rPr>
                <w:sz w:val="21"/>
                <w:szCs w:val="21"/>
              </w:rPr>
              <w:t>0.00%</w:t>
            </w:r>
          </w:p>
        </w:tc>
        <w:tc>
          <w:tcPr>
            <w:tcW w:w="66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4</w:t>
            </w:r>
          </w:p>
          <w:p>
            <w:pPr>
              <w:pStyle w:val="25"/>
              <w:spacing w:line="240" w:lineRule="auto"/>
              <w:rPr>
                <w:sz w:val="21"/>
                <w:szCs w:val="21"/>
              </w:rPr>
            </w:pPr>
            <w:r>
              <w:rPr>
                <w:sz w:val="21"/>
                <w:szCs w:val="21"/>
              </w:rPr>
              <w:t>16.66%</w:t>
            </w:r>
          </w:p>
        </w:tc>
      </w:tr>
    </w:tbl>
    <w:p>
      <w:pPr>
        <w:ind w:firstLine="480"/>
        <w:rPr>
          <w:b/>
          <w:bCs/>
          <w:szCs w:val="24"/>
        </w:rPr>
      </w:pPr>
      <w:r>
        <w:rPr>
          <w:b/>
          <w:bCs/>
          <w:szCs w:val="24"/>
        </w:rPr>
        <w:t>（3）就业流向</w:t>
      </w:r>
    </w:p>
    <w:p>
      <w:pPr>
        <w:ind w:firstLine="480"/>
        <w:rPr>
          <w:szCs w:val="24"/>
        </w:rPr>
      </w:pPr>
      <w:r>
        <w:rPr>
          <w:szCs w:val="24"/>
        </w:rPr>
        <w:t>说明：本部分已就业总人数，不包含升学、出国（境）和应征入伍。</w:t>
      </w:r>
    </w:p>
    <w:p>
      <w:pPr>
        <w:ind w:firstLine="480"/>
        <w:rPr>
          <w:szCs w:val="24"/>
        </w:rPr>
      </w:pPr>
      <w:r>
        <w:rPr>
          <w:szCs w:val="24"/>
        </w:rPr>
        <w:t>毕业生就业单位性质显示，其他企业就业人数最多，占已就业人数的71.43%，其次是三资企业就业，占比21.43%；机关单位就业，占比7.14%。</w:t>
      </w:r>
    </w:p>
    <w:p>
      <w:pPr>
        <w:pStyle w:val="25"/>
        <w:spacing w:line="240" w:lineRule="auto"/>
        <w:rPr>
          <w:b/>
          <w:bCs/>
          <w:sz w:val="21"/>
          <w:szCs w:val="21"/>
        </w:rPr>
      </w:pPr>
      <w:r>
        <w:rPr>
          <w:b/>
          <w:bCs/>
          <w:sz w:val="21"/>
          <w:szCs w:val="21"/>
        </w:rPr>
        <w:t>表6.毕业生就业单位性质统计表</w:t>
      </w:r>
    </w:p>
    <w:tbl>
      <w:tblPr>
        <w:tblStyle w:val="17"/>
        <w:tblW w:w="4997" w:type="pct"/>
        <w:tblInd w:w="0" w:type="dxa"/>
        <w:tblLayout w:type="autofit"/>
        <w:tblCellMar>
          <w:top w:w="0" w:type="dxa"/>
          <w:left w:w="0" w:type="dxa"/>
          <w:bottom w:w="0" w:type="dxa"/>
          <w:right w:w="0" w:type="dxa"/>
        </w:tblCellMar>
      </w:tblPr>
      <w:tblGrid>
        <w:gridCol w:w="774"/>
        <w:gridCol w:w="747"/>
        <w:gridCol w:w="769"/>
        <w:gridCol w:w="756"/>
        <w:gridCol w:w="749"/>
        <w:gridCol w:w="613"/>
        <w:gridCol w:w="698"/>
        <w:gridCol w:w="649"/>
        <w:gridCol w:w="777"/>
        <w:gridCol w:w="757"/>
        <w:gridCol w:w="903"/>
        <w:gridCol w:w="678"/>
      </w:tblGrid>
      <w:tr>
        <w:tblPrEx>
          <w:tblCellMar>
            <w:top w:w="0" w:type="dxa"/>
            <w:left w:w="0" w:type="dxa"/>
            <w:bottom w:w="0" w:type="dxa"/>
            <w:right w:w="0" w:type="dxa"/>
          </w:tblCellMar>
        </w:tblPrEx>
        <w:trPr>
          <w:trHeight w:val="1076" w:hRule="atLeast"/>
        </w:trPr>
        <w:tc>
          <w:tcPr>
            <w:tcW w:w="43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b/>
                <w:bCs/>
                <w:sz w:val="21"/>
                <w:szCs w:val="21"/>
              </w:rPr>
            </w:pPr>
            <w:r>
              <w:rPr>
                <w:b/>
                <w:bCs/>
                <w:sz w:val="21"/>
                <w:szCs w:val="21"/>
              </w:rPr>
              <w:t>单位</w:t>
            </w:r>
          </w:p>
          <w:p>
            <w:pPr>
              <w:pStyle w:val="25"/>
              <w:spacing w:line="240" w:lineRule="auto"/>
              <w:rPr>
                <w:b/>
                <w:bCs/>
                <w:sz w:val="21"/>
                <w:szCs w:val="21"/>
              </w:rPr>
            </w:pPr>
            <w:r>
              <w:rPr>
                <w:b/>
                <w:bCs/>
                <w:sz w:val="21"/>
                <w:szCs w:val="21"/>
              </w:rPr>
              <w:t>性质</w:t>
            </w:r>
          </w:p>
        </w:tc>
        <w:tc>
          <w:tcPr>
            <w:tcW w:w="424"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b/>
                <w:bCs/>
                <w:sz w:val="21"/>
                <w:szCs w:val="21"/>
              </w:rPr>
            </w:pPr>
            <w:r>
              <w:rPr>
                <w:b/>
                <w:bCs/>
                <w:sz w:val="21"/>
                <w:szCs w:val="21"/>
              </w:rPr>
              <w:t>国有</w:t>
            </w:r>
          </w:p>
          <w:p>
            <w:pPr>
              <w:pStyle w:val="25"/>
              <w:spacing w:line="240" w:lineRule="auto"/>
              <w:rPr>
                <w:b/>
                <w:bCs/>
                <w:sz w:val="21"/>
                <w:szCs w:val="21"/>
              </w:rPr>
            </w:pPr>
            <w:r>
              <w:rPr>
                <w:b/>
                <w:bCs/>
                <w:sz w:val="21"/>
                <w:szCs w:val="21"/>
              </w:rPr>
              <w:t>企业</w:t>
            </w:r>
          </w:p>
        </w:tc>
        <w:tc>
          <w:tcPr>
            <w:tcW w:w="43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b/>
                <w:bCs/>
                <w:sz w:val="21"/>
                <w:szCs w:val="21"/>
              </w:rPr>
            </w:pPr>
            <w:r>
              <w:rPr>
                <w:b/>
                <w:bCs/>
                <w:sz w:val="21"/>
                <w:szCs w:val="21"/>
              </w:rPr>
              <w:t>外资</w:t>
            </w:r>
          </w:p>
          <w:p>
            <w:pPr>
              <w:pStyle w:val="25"/>
              <w:spacing w:line="240" w:lineRule="auto"/>
              <w:rPr>
                <w:b/>
                <w:bCs/>
                <w:sz w:val="21"/>
                <w:szCs w:val="21"/>
              </w:rPr>
            </w:pPr>
            <w:r>
              <w:rPr>
                <w:b/>
                <w:bCs/>
                <w:sz w:val="21"/>
                <w:szCs w:val="21"/>
              </w:rPr>
              <w:t>企业</w:t>
            </w:r>
          </w:p>
        </w:tc>
        <w:tc>
          <w:tcPr>
            <w:tcW w:w="42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b/>
                <w:bCs/>
                <w:sz w:val="21"/>
                <w:szCs w:val="21"/>
              </w:rPr>
            </w:pPr>
            <w:r>
              <w:rPr>
                <w:b/>
                <w:bCs/>
                <w:sz w:val="21"/>
                <w:szCs w:val="21"/>
              </w:rPr>
              <w:t>国家</w:t>
            </w:r>
          </w:p>
          <w:p>
            <w:pPr>
              <w:pStyle w:val="25"/>
              <w:spacing w:line="240" w:lineRule="auto"/>
              <w:rPr>
                <w:b/>
                <w:bCs/>
                <w:sz w:val="21"/>
                <w:szCs w:val="21"/>
              </w:rPr>
            </w:pPr>
            <w:r>
              <w:rPr>
                <w:b/>
                <w:bCs/>
                <w:sz w:val="21"/>
                <w:szCs w:val="21"/>
              </w:rPr>
              <w:t>公务员</w:t>
            </w:r>
          </w:p>
        </w:tc>
        <w:tc>
          <w:tcPr>
            <w:tcW w:w="425"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b/>
                <w:bCs/>
                <w:sz w:val="21"/>
                <w:szCs w:val="21"/>
              </w:rPr>
            </w:pPr>
            <w:r>
              <w:rPr>
                <w:b/>
                <w:bCs/>
                <w:sz w:val="21"/>
                <w:szCs w:val="21"/>
              </w:rPr>
              <w:t>地方</w:t>
            </w:r>
          </w:p>
          <w:p>
            <w:pPr>
              <w:pStyle w:val="25"/>
              <w:spacing w:line="240" w:lineRule="auto"/>
              <w:rPr>
                <w:b/>
                <w:bCs/>
                <w:sz w:val="21"/>
                <w:szCs w:val="21"/>
              </w:rPr>
            </w:pPr>
            <w:r>
              <w:rPr>
                <w:b/>
                <w:bCs/>
                <w:sz w:val="21"/>
                <w:szCs w:val="21"/>
              </w:rPr>
              <w:t>公务员</w:t>
            </w:r>
          </w:p>
        </w:tc>
        <w:tc>
          <w:tcPr>
            <w:tcW w:w="348"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b/>
                <w:bCs/>
                <w:sz w:val="21"/>
                <w:szCs w:val="21"/>
              </w:rPr>
            </w:pPr>
            <w:r>
              <w:rPr>
                <w:b/>
                <w:bCs/>
                <w:sz w:val="21"/>
                <w:szCs w:val="21"/>
              </w:rPr>
              <w:t>事业</w:t>
            </w:r>
          </w:p>
          <w:p>
            <w:pPr>
              <w:pStyle w:val="25"/>
              <w:spacing w:line="240" w:lineRule="auto"/>
              <w:rPr>
                <w:b/>
                <w:bCs/>
                <w:sz w:val="21"/>
                <w:szCs w:val="21"/>
              </w:rPr>
            </w:pPr>
            <w:r>
              <w:rPr>
                <w:b/>
                <w:bCs/>
                <w:sz w:val="21"/>
                <w:szCs w:val="21"/>
              </w:rPr>
              <w:t>单位</w:t>
            </w:r>
          </w:p>
        </w:tc>
        <w:tc>
          <w:tcPr>
            <w:tcW w:w="39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选调生</w:t>
            </w:r>
          </w:p>
        </w:tc>
        <w:tc>
          <w:tcPr>
            <w:tcW w:w="368"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b/>
                <w:bCs/>
                <w:sz w:val="21"/>
                <w:szCs w:val="21"/>
              </w:rPr>
            </w:pPr>
            <w:r>
              <w:rPr>
                <w:b/>
                <w:bCs/>
                <w:sz w:val="21"/>
                <w:szCs w:val="21"/>
              </w:rPr>
              <w:t>三支</w:t>
            </w:r>
          </w:p>
          <w:p>
            <w:pPr>
              <w:pStyle w:val="25"/>
              <w:spacing w:line="240" w:lineRule="auto"/>
              <w:rPr>
                <w:b/>
                <w:bCs/>
                <w:sz w:val="21"/>
                <w:szCs w:val="21"/>
              </w:rPr>
            </w:pPr>
            <w:r>
              <w:rPr>
                <w:b/>
                <w:bCs/>
                <w:sz w:val="21"/>
                <w:szCs w:val="21"/>
              </w:rPr>
              <w:t>一扶</w:t>
            </w:r>
          </w:p>
        </w:tc>
        <w:tc>
          <w:tcPr>
            <w:tcW w:w="440"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b/>
                <w:bCs/>
                <w:sz w:val="21"/>
                <w:szCs w:val="21"/>
              </w:rPr>
            </w:pPr>
            <w:r>
              <w:rPr>
                <w:b/>
                <w:bCs/>
                <w:sz w:val="21"/>
                <w:szCs w:val="21"/>
              </w:rPr>
              <w:t>西部</w:t>
            </w:r>
          </w:p>
          <w:p>
            <w:pPr>
              <w:pStyle w:val="25"/>
              <w:spacing w:line="240" w:lineRule="auto"/>
              <w:rPr>
                <w:b/>
                <w:bCs/>
                <w:sz w:val="21"/>
                <w:szCs w:val="21"/>
              </w:rPr>
            </w:pPr>
            <w:r>
              <w:rPr>
                <w:b/>
                <w:bCs/>
                <w:sz w:val="21"/>
                <w:szCs w:val="21"/>
              </w:rPr>
              <w:t>志愿者</w:t>
            </w:r>
          </w:p>
        </w:tc>
        <w:tc>
          <w:tcPr>
            <w:tcW w:w="42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b/>
                <w:bCs/>
                <w:sz w:val="21"/>
                <w:szCs w:val="21"/>
              </w:rPr>
            </w:pPr>
            <w:r>
              <w:rPr>
                <w:b/>
                <w:bCs/>
                <w:sz w:val="21"/>
                <w:szCs w:val="21"/>
              </w:rPr>
              <w:t>世界500强企业</w:t>
            </w:r>
          </w:p>
        </w:tc>
        <w:tc>
          <w:tcPr>
            <w:tcW w:w="51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中国500</w:t>
            </w:r>
          </w:p>
          <w:p>
            <w:pPr>
              <w:pStyle w:val="25"/>
              <w:spacing w:line="240" w:lineRule="auto"/>
              <w:rPr>
                <w:b/>
                <w:bCs/>
                <w:sz w:val="21"/>
                <w:szCs w:val="21"/>
              </w:rPr>
            </w:pPr>
            <w:r>
              <w:rPr>
                <w:b/>
                <w:bCs/>
                <w:sz w:val="21"/>
                <w:szCs w:val="21"/>
              </w:rPr>
              <w:t>强企业</w:t>
            </w:r>
          </w:p>
        </w:tc>
        <w:tc>
          <w:tcPr>
            <w:tcW w:w="34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其他</w:t>
            </w:r>
          </w:p>
        </w:tc>
      </w:tr>
      <w:tr>
        <w:tblPrEx>
          <w:tblCellMar>
            <w:top w:w="0" w:type="dxa"/>
            <w:left w:w="0" w:type="dxa"/>
            <w:bottom w:w="0" w:type="dxa"/>
            <w:right w:w="0" w:type="dxa"/>
          </w:tblCellMar>
        </w:tblPrEx>
        <w:trPr>
          <w:trHeight w:val="716" w:hRule="atLeast"/>
        </w:trPr>
        <w:tc>
          <w:tcPr>
            <w:tcW w:w="43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sz w:val="21"/>
                <w:szCs w:val="21"/>
              </w:rPr>
            </w:pPr>
            <w:r>
              <w:rPr>
                <w:sz w:val="21"/>
                <w:szCs w:val="21"/>
              </w:rPr>
              <w:t>人数</w:t>
            </w:r>
          </w:p>
          <w:p>
            <w:pPr>
              <w:pStyle w:val="25"/>
              <w:spacing w:line="240" w:lineRule="auto"/>
              <w:rPr>
                <w:sz w:val="21"/>
                <w:szCs w:val="21"/>
              </w:rPr>
            </w:pPr>
            <w:r>
              <w:rPr>
                <w:sz w:val="21"/>
                <w:szCs w:val="21"/>
              </w:rPr>
              <w:t>（比例）</w:t>
            </w:r>
          </w:p>
        </w:tc>
        <w:tc>
          <w:tcPr>
            <w:tcW w:w="42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w:t>
            </w:r>
          </w:p>
          <w:p>
            <w:pPr>
              <w:pStyle w:val="25"/>
              <w:spacing w:line="240" w:lineRule="auto"/>
              <w:rPr>
                <w:sz w:val="21"/>
                <w:szCs w:val="21"/>
              </w:rPr>
            </w:pPr>
            <w:r>
              <w:rPr>
                <w:sz w:val="21"/>
                <w:szCs w:val="21"/>
              </w:rPr>
              <w:t>0.00%</w:t>
            </w:r>
          </w:p>
        </w:tc>
        <w:tc>
          <w:tcPr>
            <w:tcW w:w="43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3</w:t>
            </w:r>
          </w:p>
          <w:p>
            <w:pPr>
              <w:pStyle w:val="25"/>
              <w:spacing w:line="240" w:lineRule="auto"/>
              <w:rPr>
                <w:sz w:val="21"/>
                <w:szCs w:val="21"/>
              </w:rPr>
            </w:pPr>
            <w:r>
              <w:rPr>
                <w:sz w:val="21"/>
                <w:szCs w:val="21"/>
              </w:rPr>
              <w:t>21.43%</w:t>
            </w:r>
          </w:p>
        </w:tc>
        <w:tc>
          <w:tcPr>
            <w:tcW w:w="42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w:t>
            </w:r>
          </w:p>
          <w:p>
            <w:pPr>
              <w:pStyle w:val="25"/>
              <w:spacing w:line="240" w:lineRule="auto"/>
              <w:rPr>
                <w:sz w:val="21"/>
                <w:szCs w:val="21"/>
              </w:rPr>
            </w:pPr>
            <w:r>
              <w:rPr>
                <w:sz w:val="21"/>
                <w:szCs w:val="21"/>
              </w:rPr>
              <w:t>0.00%</w:t>
            </w:r>
          </w:p>
        </w:tc>
        <w:tc>
          <w:tcPr>
            <w:tcW w:w="42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1</w:t>
            </w:r>
          </w:p>
          <w:p>
            <w:pPr>
              <w:pStyle w:val="25"/>
              <w:spacing w:line="240" w:lineRule="auto"/>
              <w:rPr>
                <w:sz w:val="21"/>
                <w:szCs w:val="21"/>
              </w:rPr>
            </w:pPr>
            <w:r>
              <w:rPr>
                <w:sz w:val="21"/>
                <w:szCs w:val="21"/>
              </w:rPr>
              <w:t>0.00%</w:t>
            </w:r>
          </w:p>
        </w:tc>
        <w:tc>
          <w:tcPr>
            <w:tcW w:w="34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w:t>
            </w:r>
          </w:p>
          <w:p>
            <w:pPr>
              <w:pStyle w:val="25"/>
              <w:spacing w:line="240" w:lineRule="auto"/>
              <w:rPr>
                <w:sz w:val="21"/>
                <w:szCs w:val="21"/>
              </w:rPr>
            </w:pPr>
            <w:r>
              <w:rPr>
                <w:sz w:val="21"/>
                <w:szCs w:val="21"/>
              </w:rPr>
              <w:t>0.00%</w:t>
            </w:r>
          </w:p>
        </w:tc>
        <w:tc>
          <w:tcPr>
            <w:tcW w:w="39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w:t>
            </w:r>
          </w:p>
          <w:p>
            <w:pPr>
              <w:pStyle w:val="25"/>
              <w:spacing w:line="240" w:lineRule="auto"/>
              <w:rPr>
                <w:sz w:val="21"/>
                <w:szCs w:val="21"/>
              </w:rPr>
            </w:pPr>
            <w:r>
              <w:rPr>
                <w:sz w:val="21"/>
                <w:szCs w:val="21"/>
              </w:rPr>
              <w:t>0.00%</w:t>
            </w:r>
          </w:p>
        </w:tc>
        <w:tc>
          <w:tcPr>
            <w:tcW w:w="36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w:t>
            </w:r>
          </w:p>
          <w:p>
            <w:pPr>
              <w:pStyle w:val="25"/>
              <w:spacing w:line="240" w:lineRule="auto"/>
              <w:rPr>
                <w:sz w:val="21"/>
                <w:szCs w:val="21"/>
              </w:rPr>
            </w:pPr>
            <w:r>
              <w:rPr>
                <w:sz w:val="21"/>
                <w:szCs w:val="21"/>
              </w:rPr>
              <w:t>0.00%</w:t>
            </w:r>
          </w:p>
        </w:tc>
        <w:tc>
          <w:tcPr>
            <w:tcW w:w="44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w:t>
            </w:r>
          </w:p>
          <w:p>
            <w:pPr>
              <w:pStyle w:val="25"/>
              <w:spacing w:line="240" w:lineRule="auto"/>
              <w:rPr>
                <w:sz w:val="21"/>
                <w:szCs w:val="21"/>
              </w:rPr>
            </w:pPr>
            <w:r>
              <w:rPr>
                <w:sz w:val="21"/>
                <w:szCs w:val="21"/>
              </w:rPr>
              <w:t>0.00%</w:t>
            </w:r>
          </w:p>
        </w:tc>
        <w:tc>
          <w:tcPr>
            <w:tcW w:w="42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w:t>
            </w:r>
          </w:p>
          <w:p>
            <w:pPr>
              <w:pStyle w:val="25"/>
              <w:spacing w:line="240" w:lineRule="auto"/>
              <w:rPr>
                <w:sz w:val="21"/>
                <w:szCs w:val="21"/>
              </w:rPr>
            </w:pPr>
            <w:r>
              <w:rPr>
                <w:sz w:val="21"/>
                <w:szCs w:val="21"/>
              </w:rPr>
              <w:t>0.00%</w:t>
            </w:r>
          </w:p>
        </w:tc>
        <w:tc>
          <w:tcPr>
            <w:tcW w:w="51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w:t>
            </w:r>
          </w:p>
          <w:p>
            <w:pPr>
              <w:pStyle w:val="25"/>
              <w:spacing w:line="240" w:lineRule="auto"/>
              <w:rPr>
                <w:sz w:val="21"/>
                <w:szCs w:val="21"/>
              </w:rPr>
            </w:pPr>
            <w:r>
              <w:rPr>
                <w:sz w:val="21"/>
                <w:szCs w:val="21"/>
              </w:rPr>
              <w:t>0.00%</w:t>
            </w:r>
          </w:p>
        </w:tc>
        <w:tc>
          <w:tcPr>
            <w:tcW w:w="34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10</w:t>
            </w:r>
          </w:p>
          <w:p>
            <w:pPr>
              <w:pStyle w:val="25"/>
              <w:spacing w:line="240" w:lineRule="auto"/>
              <w:rPr>
                <w:sz w:val="21"/>
                <w:szCs w:val="21"/>
              </w:rPr>
            </w:pPr>
            <w:r>
              <w:rPr>
                <w:sz w:val="21"/>
                <w:szCs w:val="21"/>
              </w:rPr>
              <w:t>71.43%</w:t>
            </w:r>
          </w:p>
        </w:tc>
      </w:tr>
    </w:tbl>
    <w:p>
      <w:pPr>
        <w:ind w:firstLine="480"/>
        <w:rPr>
          <w:b/>
          <w:bCs/>
          <w:szCs w:val="24"/>
        </w:rPr>
      </w:pPr>
      <w:r>
        <w:rPr>
          <w:b/>
          <w:bCs/>
          <w:szCs w:val="24"/>
        </w:rPr>
        <w:t>（4）考研情况</w:t>
      </w:r>
    </w:p>
    <w:p>
      <w:pPr>
        <w:ind w:firstLine="480"/>
        <w:rPr>
          <w:szCs w:val="24"/>
        </w:rPr>
      </w:pPr>
      <w:r>
        <w:rPr>
          <w:szCs w:val="24"/>
        </w:rPr>
        <w:t>国内升学：</w:t>
      </w:r>
    </w:p>
    <w:p>
      <w:pPr>
        <w:ind w:firstLine="480"/>
        <w:rPr>
          <w:szCs w:val="24"/>
        </w:rPr>
      </w:pPr>
      <w:r>
        <w:rPr>
          <w:szCs w:val="24"/>
        </w:rPr>
        <w:t>毕业生国内升学6人，升学率25.00%，其中考入</w:t>
      </w:r>
      <w:r>
        <w:rPr>
          <w:rFonts w:hint="eastAsia"/>
          <w:szCs w:val="24"/>
        </w:rPr>
        <w:t>“</w:t>
      </w:r>
      <w:r>
        <w:rPr>
          <w:szCs w:val="24"/>
        </w:rPr>
        <w:t>双一流</w:t>
      </w:r>
      <w:r>
        <w:rPr>
          <w:rFonts w:hint="eastAsia"/>
          <w:szCs w:val="24"/>
        </w:rPr>
        <w:t>”</w:t>
      </w:r>
      <w:r>
        <w:rPr>
          <w:szCs w:val="24"/>
        </w:rPr>
        <w:t>大学1人，占国内升学总人数的16.67%。从升学专业来看，跨专业升学的0人，占国内升学总人数的0.00%。升学学校主要是山东农业大学、中国海洋大学、安徽农业大学等。</w:t>
      </w:r>
    </w:p>
    <w:p>
      <w:pPr>
        <w:pStyle w:val="25"/>
        <w:spacing w:line="240" w:lineRule="auto"/>
        <w:rPr>
          <w:b/>
          <w:bCs/>
          <w:sz w:val="21"/>
          <w:szCs w:val="21"/>
        </w:rPr>
      </w:pPr>
      <w:r>
        <w:rPr>
          <w:b/>
          <w:bCs/>
          <w:sz w:val="21"/>
          <w:szCs w:val="21"/>
        </w:rPr>
        <w:t>表7.国内升学学校前5位统计表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5"/>
        <w:gridCol w:w="3299"/>
        <w:gridCol w:w="2203"/>
        <w:gridCol w:w="2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exact"/>
        </w:trPr>
        <w:tc>
          <w:tcPr>
            <w:tcW w:w="836" w:type="pct"/>
            <w:shd w:val="clear" w:color="auto" w:fill="auto"/>
            <w:vAlign w:val="center"/>
          </w:tcPr>
          <w:p>
            <w:pPr>
              <w:pStyle w:val="25"/>
              <w:spacing w:line="240" w:lineRule="auto"/>
              <w:rPr>
                <w:b/>
                <w:bCs/>
                <w:sz w:val="21"/>
                <w:szCs w:val="21"/>
              </w:rPr>
            </w:pPr>
            <w:r>
              <w:rPr>
                <w:b/>
                <w:bCs/>
                <w:sz w:val="21"/>
                <w:szCs w:val="21"/>
              </w:rPr>
              <w:t>序号</w:t>
            </w:r>
          </w:p>
        </w:tc>
        <w:tc>
          <w:tcPr>
            <w:tcW w:w="1821" w:type="pct"/>
            <w:shd w:val="clear" w:color="auto" w:fill="auto"/>
            <w:vAlign w:val="center"/>
          </w:tcPr>
          <w:p>
            <w:pPr>
              <w:pStyle w:val="25"/>
              <w:spacing w:line="240" w:lineRule="auto"/>
              <w:rPr>
                <w:b/>
                <w:bCs/>
                <w:sz w:val="21"/>
                <w:szCs w:val="21"/>
              </w:rPr>
            </w:pPr>
            <w:r>
              <w:rPr>
                <w:b/>
                <w:bCs/>
                <w:sz w:val="21"/>
                <w:szCs w:val="21"/>
              </w:rPr>
              <w:t>升学学校名称</w:t>
            </w:r>
          </w:p>
        </w:tc>
        <w:tc>
          <w:tcPr>
            <w:tcW w:w="1216" w:type="pct"/>
            <w:shd w:val="clear" w:color="auto" w:fill="auto"/>
            <w:vAlign w:val="center"/>
          </w:tcPr>
          <w:p>
            <w:pPr>
              <w:pStyle w:val="25"/>
              <w:spacing w:line="240" w:lineRule="auto"/>
              <w:rPr>
                <w:b/>
                <w:bCs/>
                <w:sz w:val="21"/>
                <w:szCs w:val="21"/>
              </w:rPr>
            </w:pPr>
            <w:r>
              <w:rPr>
                <w:b/>
                <w:bCs/>
                <w:sz w:val="21"/>
                <w:szCs w:val="21"/>
              </w:rPr>
              <w:t>升学人数</w:t>
            </w:r>
          </w:p>
        </w:tc>
        <w:tc>
          <w:tcPr>
            <w:tcW w:w="1126" w:type="pct"/>
            <w:shd w:val="clear" w:color="auto" w:fill="auto"/>
            <w:vAlign w:val="center"/>
          </w:tcPr>
          <w:p>
            <w:pPr>
              <w:pStyle w:val="25"/>
              <w:spacing w:line="240" w:lineRule="auto"/>
              <w:rPr>
                <w:b/>
                <w:bCs/>
                <w:sz w:val="21"/>
                <w:szCs w:val="21"/>
              </w:rPr>
            </w:pPr>
            <w:r>
              <w:rPr>
                <w:b/>
                <w:bCs/>
                <w:sz w:val="21"/>
                <w:szCs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836" w:type="pct"/>
            <w:shd w:val="clear" w:color="auto" w:fill="auto"/>
            <w:vAlign w:val="center"/>
          </w:tcPr>
          <w:p>
            <w:pPr>
              <w:pStyle w:val="25"/>
              <w:spacing w:line="240" w:lineRule="auto"/>
              <w:rPr>
                <w:sz w:val="21"/>
                <w:szCs w:val="21"/>
              </w:rPr>
            </w:pPr>
            <w:r>
              <w:rPr>
                <w:sz w:val="21"/>
                <w:szCs w:val="21"/>
              </w:rPr>
              <w:t>1</w:t>
            </w:r>
          </w:p>
        </w:tc>
        <w:tc>
          <w:tcPr>
            <w:tcW w:w="1821" w:type="pct"/>
            <w:shd w:val="clear" w:color="auto" w:fill="auto"/>
            <w:vAlign w:val="center"/>
          </w:tcPr>
          <w:p>
            <w:pPr>
              <w:pStyle w:val="25"/>
              <w:spacing w:line="240" w:lineRule="auto"/>
              <w:rPr>
                <w:sz w:val="21"/>
                <w:szCs w:val="21"/>
              </w:rPr>
            </w:pPr>
            <w:r>
              <w:rPr>
                <w:sz w:val="21"/>
                <w:szCs w:val="21"/>
              </w:rPr>
              <w:t>山东农业大学</w:t>
            </w:r>
          </w:p>
        </w:tc>
        <w:tc>
          <w:tcPr>
            <w:tcW w:w="1216" w:type="pct"/>
            <w:shd w:val="clear" w:color="auto" w:fill="auto"/>
            <w:vAlign w:val="center"/>
          </w:tcPr>
          <w:p>
            <w:pPr>
              <w:pStyle w:val="25"/>
              <w:spacing w:line="240" w:lineRule="auto"/>
              <w:rPr>
                <w:sz w:val="21"/>
                <w:szCs w:val="21"/>
              </w:rPr>
            </w:pPr>
            <w:r>
              <w:rPr>
                <w:sz w:val="21"/>
                <w:szCs w:val="21"/>
              </w:rPr>
              <w:t>3</w:t>
            </w:r>
          </w:p>
        </w:tc>
        <w:tc>
          <w:tcPr>
            <w:tcW w:w="1126" w:type="pct"/>
            <w:shd w:val="clear" w:color="auto" w:fill="auto"/>
            <w:vAlign w:val="center"/>
          </w:tcPr>
          <w:p>
            <w:pPr>
              <w:pStyle w:val="25"/>
              <w:spacing w:line="240" w:lineRule="auto"/>
              <w:rPr>
                <w:sz w:val="21"/>
                <w:szCs w:val="21"/>
              </w:rPr>
            </w:pPr>
            <w:r>
              <w:rPr>
                <w:sz w:val="21"/>
                <w:szCs w:val="21"/>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836" w:type="pct"/>
            <w:shd w:val="clear" w:color="auto" w:fill="auto"/>
            <w:vAlign w:val="center"/>
          </w:tcPr>
          <w:p>
            <w:pPr>
              <w:pStyle w:val="25"/>
              <w:spacing w:line="240" w:lineRule="auto"/>
              <w:rPr>
                <w:sz w:val="21"/>
                <w:szCs w:val="21"/>
              </w:rPr>
            </w:pPr>
            <w:r>
              <w:rPr>
                <w:sz w:val="21"/>
                <w:szCs w:val="21"/>
              </w:rPr>
              <w:t>2</w:t>
            </w:r>
          </w:p>
        </w:tc>
        <w:tc>
          <w:tcPr>
            <w:tcW w:w="1821" w:type="pct"/>
            <w:shd w:val="clear" w:color="auto" w:fill="auto"/>
            <w:vAlign w:val="center"/>
          </w:tcPr>
          <w:p>
            <w:pPr>
              <w:pStyle w:val="25"/>
              <w:spacing w:line="240" w:lineRule="auto"/>
              <w:rPr>
                <w:sz w:val="21"/>
                <w:szCs w:val="21"/>
              </w:rPr>
            </w:pPr>
            <w:r>
              <w:rPr>
                <w:sz w:val="21"/>
                <w:szCs w:val="21"/>
              </w:rPr>
              <w:t>河南科技学院</w:t>
            </w:r>
          </w:p>
        </w:tc>
        <w:tc>
          <w:tcPr>
            <w:tcW w:w="1216" w:type="pct"/>
            <w:shd w:val="clear" w:color="auto" w:fill="auto"/>
            <w:vAlign w:val="center"/>
          </w:tcPr>
          <w:p>
            <w:pPr>
              <w:pStyle w:val="25"/>
              <w:spacing w:line="240" w:lineRule="auto"/>
              <w:rPr>
                <w:sz w:val="21"/>
                <w:szCs w:val="21"/>
              </w:rPr>
            </w:pPr>
            <w:r>
              <w:rPr>
                <w:sz w:val="21"/>
                <w:szCs w:val="21"/>
              </w:rPr>
              <w:t>1</w:t>
            </w:r>
          </w:p>
        </w:tc>
        <w:tc>
          <w:tcPr>
            <w:tcW w:w="1126" w:type="pct"/>
            <w:shd w:val="clear" w:color="auto" w:fill="auto"/>
            <w:vAlign w:val="center"/>
          </w:tcPr>
          <w:p>
            <w:pPr>
              <w:pStyle w:val="25"/>
              <w:spacing w:line="240" w:lineRule="auto"/>
              <w:rPr>
                <w:sz w:val="21"/>
                <w:szCs w:val="21"/>
              </w:rPr>
            </w:pPr>
            <w:r>
              <w:rPr>
                <w:sz w:val="21"/>
                <w:szCs w:val="21"/>
              </w:rPr>
              <w:t>16.67%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836" w:type="pct"/>
            <w:shd w:val="clear" w:color="auto" w:fill="auto"/>
            <w:vAlign w:val="center"/>
          </w:tcPr>
          <w:p>
            <w:pPr>
              <w:pStyle w:val="25"/>
              <w:spacing w:line="240" w:lineRule="auto"/>
              <w:rPr>
                <w:sz w:val="21"/>
                <w:szCs w:val="21"/>
              </w:rPr>
            </w:pPr>
            <w:r>
              <w:rPr>
                <w:sz w:val="21"/>
                <w:szCs w:val="21"/>
              </w:rPr>
              <w:t>3</w:t>
            </w:r>
          </w:p>
        </w:tc>
        <w:tc>
          <w:tcPr>
            <w:tcW w:w="1821" w:type="pct"/>
            <w:shd w:val="clear" w:color="auto" w:fill="auto"/>
            <w:vAlign w:val="center"/>
          </w:tcPr>
          <w:p>
            <w:pPr>
              <w:pStyle w:val="25"/>
              <w:spacing w:line="240" w:lineRule="auto"/>
              <w:rPr>
                <w:sz w:val="21"/>
                <w:szCs w:val="21"/>
              </w:rPr>
            </w:pPr>
            <w:r>
              <w:rPr>
                <w:sz w:val="21"/>
                <w:szCs w:val="21"/>
              </w:rPr>
              <w:t>中国海洋大学</w:t>
            </w:r>
          </w:p>
        </w:tc>
        <w:tc>
          <w:tcPr>
            <w:tcW w:w="1216" w:type="pct"/>
            <w:shd w:val="clear" w:color="auto" w:fill="auto"/>
            <w:vAlign w:val="center"/>
          </w:tcPr>
          <w:p>
            <w:pPr>
              <w:pStyle w:val="25"/>
              <w:spacing w:line="240" w:lineRule="auto"/>
              <w:rPr>
                <w:sz w:val="21"/>
                <w:szCs w:val="21"/>
              </w:rPr>
            </w:pPr>
            <w:r>
              <w:rPr>
                <w:sz w:val="21"/>
                <w:szCs w:val="21"/>
              </w:rPr>
              <w:t>1</w:t>
            </w:r>
          </w:p>
        </w:tc>
        <w:tc>
          <w:tcPr>
            <w:tcW w:w="1126" w:type="pct"/>
            <w:shd w:val="clear" w:color="auto" w:fill="auto"/>
            <w:vAlign w:val="center"/>
          </w:tcPr>
          <w:p>
            <w:pPr>
              <w:pStyle w:val="25"/>
              <w:spacing w:line="240" w:lineRule="auto"/>
              <w:rPr>
                <w:sz w:val="21"/>
                <w:szCs w:val="21"/>
              </w:rPr>
            </w:pPr>
            <w:r>
              <w:rPr>
                <w:sz w:val="21"/>
                <w:szCs w:val="21"/>
              </w:rPr>
              <w:t>16.67%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836" w:type="pct"/>
            <w:shd w:val="clear" w:color="auto" w:fill="auto"/>
            <w:vAlign w:val="center"/>
          </w:tcPr>
          <w:p>
            <w:pPr>
              <w:pStyle w:val="25"/>
              <w:spacing w:line="240" w:lineRule="auto"/>
              <w:rPr>
                <w:sz w:val="21"/>
                <w:szCs w:val="21"/>
              </w:rPr>
            </w:pPr>
            <w:r>
              <w:rPr>
                <w:sz w:val="21"/>
                <w:szCs w:val="21"/>
              </w:rPr>
              <w:t>4</w:t>
            </w:r>
          </w:p>
        </w:tc>
        <w:tc>
          <w:tcPr>
            <w:tcW w:w="1821" w:type="pct"/>
            <w:shd w:val="clear" w:color="auto" w:fill="auto"/>
            <w:vAlign w:val="center"/>
          </w:tcPr>
          <w:p>
            <w:pPr>
              <w:pStyle w:val="25"/>
              <w:spacing w:line="240" w:lineRule="auto"/>
              <w:rPr>
                <w:sz w:val="21"/>
                <w:szCs w:val="21"/>
              </w:rPr>
            </w:pPr>
            <w:r>
              <w:rPr>
                <w:sz w:val="21"/>
                <w:szCs w:val="21"/>
              </w:rPr>
              <w:t>安徽农业大学</w:t>
            </w:r>
          </w:p>
        </w:tc>
        <w:tc>
          <w:tcPr>
            <w:tcW w:w="1216" w:type="pct"/>
            <w:shd w:val="clear" w:color="auto" w:fill="auto"/>
            <w:vAlign w:val="center"/>
          </w:tcPr>
          <w:p>
            <w:pPr>
              <w:pStyle w:val="25"/>
              <w:spacing w:line="240" w:lineRule="auto"/>
              <w:rPr>
                <w:sz w:val="21"/>
                <w:szCs w:val="21"/>
              </w:rPr>
            </w:pPr>
            <w:r>
              <w:rPr>
                <w:sz w:val="21"/>
                <w:szCs w:val="21"/>
              </w:rPr>
              <w:t>1</w:t>
            </w:r>
          </w:p>
        </w:tc>
        <w:tc>
          <w:tcPr>
            <w:tcW w:w="1126" w:type="pct"/>
            <w:shd w:val="clear" w:color="auto" w:fill="auto"/>
            <w:vAlign w:val="center"/>
          </w:tcPr>
          <w:p>
            <w:pPr>
              <w:pStyle w:val="25"/>
              <w:spacing w:line="240" w:lineRule="auto"/>
              <w:rPr>
                <w:sz w:val="21"/>
                <w:szCs w:val="21"/>
              </w:rPr>
            </w:pPr>
            <w:r>
              <w:rPr>
                <w:sz w:val="21"/>
                <w:szCs w:val="21"/>
              </w:rPr>
              <w:t>16.67%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836" w:type="pct"/>
            <w:shd w:val="clear" w:color="auto" w:fill="auto"/>
            <w:vAlign w:val="center"/>
          </w:tcPr>
          <w:p>
            <w:pPr>
              <w:pStyle w:val="25"/>
              <w:spacing w:line="240" w:lineRule="auto"/>
              <w:rPr>
                <w:sz w:val="21"/>
                <w:szCs w:val="21"/>
              </w:rPr>
            </w:pPr>
            <w:r>
              <w:rPr>
                <w:sz w:val="21"/>
                <w:szCs w:val="21"/>
              </w:rPr>
              <w:t>5</w:t>
            </w:r>
          </w:p>
        </w:tc>
        <w:tc>
          <w:tcPr>
            <w:tcW w:w="1821" w:type="pct"/>
            <w:shd w:val="clear" w:color="auto" w:fill="auto"/>
            <w:vAlign w:val="center"/>
          </w:tcPr>
          <w:p>
            <w:pPr>
              <w:pStyle w:val="25"/>
              <w:spacing w:line="240" w:lineRule="auto"/>
              <w:rPr>
                <w:sz w:val="21"/>
                <w:szCs w:val="21"/>
              </w:rPr>
            </w:pPr>
          </w:p>
        </w:tc>
        <w:tc>
          <w:tcPr>
            <w:tcW w:w="1216" w:type="pct"/>
            <w:shd w:val="clear" w:color="auto" w:fill="auto"/>
            <w:vAlign w:val="center"/>
          </w:tcPr>
          <w:p>
            <w:pPr>
              <w:pStyle w:val="25"/>
              <w:spacing w:line="240" w:lineRule="auto"/>
              <w:rPr>
                <w:sz w:val="21"/>
                <w:szCs w:val="21"/>
              </w:rPr>
            </w:pPr>
          </w:p>
        </w:tc>
        <w:tc>
          <w:tcPr>
            <w:tcW w:w="1126" w:type="pct"/>
            <w:shd w:val="clear" w:color="auto" w:fill="auto"/>
            <w:vAlign w:val="center"/>
          </w:tcPr>
          <w:p>
            <w:pPr>
              <w:pStyle w:val="25"/>
              <w:spacing w:line="240" w:lineRule="auto"/>
              <w:rPr>
                <w:sz w:val="21"/>
                <w:szCs w:val="21"/>
              </w:rPr>
            </w:pPr>
          </w:p>
        </w:tc>
      </w:tr>
    </w:tbl>
    <w:p>
      <w:pPr>
        <w:ind w:firstLine="480"/>
        <w:rPr>
          <w:b/>
          <w:bCs/>
          <w:szCs w:val="24"/>
        </w:rPr>
      </w:pPr>
      <w:r>
        <w:rPr>
          <w:b/>
          <w:bCs/>
          <w:szCs w:val="24"/>
        </w:rPr>
        <w:t>（5）就业工作的专业对口情况</w:t>
      </w:r>
    </w:p>
    <w:p>
      <w:pPr>
        <w:ind w:firstLine="480"/>
        <w:rPr>
          <w:szCs w:val="24"/>
        </w:rPr>
      </w:pPr>
      <w:r>
        <w:rPr>
          <w:szCs w:val="24"/>
        </w:rPr>
        <w:t>说明：本部分已就业总人数，不包括升学、出国（境）、应征入伍等。</w:t>
      </w:r>
    </w:p>
    <w:p>
      <w:pPr>
        <w:ind w:firstLine="480"/>
        <w:rPr>
          <w:szCs w:val="24"/>
        </w:rPr>
      </w:pPr>
      <w:r>
        <w:rPr>
          <w:szCs w:val="24"/>
        </w:rPr>
        <w:t>毕业生当前所在工作单位或者所从事工作岗位与所学专业对口率较高的共5人，占已就业总人数的35.71%。主要集中在泰州市澳华农牧科技有限公司，山东省德麦园食品有限公司，贵定县金南街道办事处等。</w:t>
      </w:r>
    </w:p>
    <w:p>
      <w:pPr>
        <w:pStyle w:val="25"/>
        <w:spacing w:line="240" w:lineRule="auto"/>
        <w:rPr>
          <w:b/>
          <w:bCs/>
          <w:sz w:val="21"/>
          <w:szCs w:val="21"/>
        </w:rPr>
      </w:pPr>
      <w:r>
        <w:rPr>
          <w:b/>
          <w:bCs/>
          <w:sz w:val="21"/>
          <w:szCs w:val="21"/>
        </w:rPr>
        <w:t>表9.毕业生专业对口情况统计表</w:t>
      </w:r>
    </w:p>
    <w:tbl>
      <w:tblPr>
        <w:tblStyle w:val="17"/>
        <w:tblW w:w="4998" w:type="pct"/>
        <w:tblInd w:w="0" w:type="dxa"/>
        <w:tblLayout w:type="autofit"/>
        <w:tblCellMar>
          <w:top w:w="0" w:type="dxa"/>
          <w:left w:w="0" w:type="dxa"/>
          <w:bottom w:w="0" w:type="dxa"/>
          <w:right w:w="0" w:type="dxa"/>
        </w:tblCellMar>
      </w:tblPr>
      <w:tblGrid>
        <w:gridCol w:w="1644"/>
        <w:gridCol w:w="1394"/>
        <w:gridCol w:w="1335"/>
        <w:gridCol w:w="1623"/>
        <w:gridCol w:w="1225"/>
        <w:gridCol w:w="1650"/>
      </w:tblGrid>
      <w:tr>
        <w:tblPrEx>
          <w:tblCellMar>
            <w:top w:w="0" w:type="dxa"/>
            <w:left w:w="0" w:type="dxa"/>
            <w:bottom w:w="0" w:type="dxa"/>
            <w:right w:w="0" w:type="dxa"/>
          </w:tblCellMar>
        </w:tblPrEx>
        <w:trPr>
          <w:trHeight w:val="90" w:hRule="atLeast"/>
        </w:trPr>
        <w:tc>
          <w:tcPr>
            <w:tcW w:w="9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就业方式</w:t>
            </w:r>
          </w:p>
        </w:tc>
        <w:tc>
          <w:tcPr>
            <w:tcW w:w="7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企业就业</w:t>
            </w:r>
          </w:p>
        </w:tc>
        <w:tc>
          <w:tcPr>
            <w:tcW w:w="75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公务员</w:t>
            </w:r>
          </w:p>
        </w:tc>
        <w:tc>
          <w:tcPr>
            <w:tcW w:w="91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事业单位</w:t>
            </w:r>
          </w:p>
        </w:tc>
        <w:tc>
          <w:tcPr>
            <w:tcW w:w="69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其他</w:t>
            </w:r>
          </w:p>
          <w:p>
            <w:pPr>
              <w:pStyle w:val="25"/>
              <w:spacing w:line="240" w:lineRule="auto"/>
              <w:rPr>
                <w:b/>
                <w:bCs/>
                <w:sz w:val="21"/>
                <w:szCs w:val="21"/>
              </w:rPr>
            </w:pPr>
            <w:r>
              <w:rPr>
                <w:b/>
                <w:bCs/>
                <w:sz w:val="21"/>
                <w:szCs w:val="21"/>
              </w:rPr>
              <w:t>就业形式</w:t>
            </w:r>
          </w:p>
        </w:tc>
        <w:tc>
          <w:tcPr>
            <w:tcW w:w="92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合计</w:t>
            </w:r>
          </w:p>
        </w:tc>
      </w:tr>
      <w:tr>
        <w:tblPrEx>
          <w:tblCellMar>
            <w:top w:w="0" w:type="dxa"/>
            <w:left w:w="0" w:type="dxa"/>
            <w:bottom w:w="0" w:type="dxa"/>
            <w:right w:w="0" w:type="dxa"/>
          </w:tblCellMar>
        </w:tblPrEx>
        <w:trPr>
          <w:trHeight w:val="420" w:hRule="atLeast"/>
        </w:trPr>
        <w:tc>
          <w:tcPr>
            <w:tcW w:w="92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sz w:val="21"/>
                <w:szCs w:val="21"/>
              </w:rPr>
            </w:pPr>
            <w:r>
              <w:rPr>
                <w:sz w:val="21"/>
                <w:szCs w:val="21"/>
              </w:rPr>
              <w:t>对口就业人数</w:t>
            </w:r>
          </w:p>
        </w:tc>
        <w:tc>
          <w:tcPr>
            <w:tcW w:w="7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13</w:t>
            </w:r>
          </w:p>
        </w:tc>
        <w:tc>
          <w:tcPr>
            <w:tcW w:w="75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1</w:t>
            </w:r>
          </w:p>
        </w:tc>
        <w:tc>
          <w:tcPr>
            <w:tcW w:w="91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w:t>
            </w:r>
          </w:p>
        </w:tc>
        <w:tc>
          <w:tcPr>
            <w:tcW w:w="69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w:t>
            </w:r>
          </w:p>
        </w:tc>
        <w:tc>
          <w:tcPr>
            <w:tcW w:w="92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14</w:t>
            </w:r>
          </w:p>
        </w:tc>
      </w:tr>
      <w:tr>
        <w:tblPrEx>
          <w:tblCellMar>
            <w:top w:w="0" w:type="dxa"/>
            <w:left w:w="0" w:type="dxa"/>
            <w:bottom w:w="0" w:type="dxa"/>
            <w:right w:w="0" w:type="dxa"/>
          </w:tblCellMar>
        </w:tblPrEx>
        <w:trPr>
          <w:trHeight w:val="420" w:hRule="atLeast"/>
        </w:trPr>
        <w:tc>
          <w:tcPr>
            <w:tcW w:w="92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pStyle w:val="25"/>
              <w:spacing w:line="240" w:lineRule="auto"/>
              <w:rPr>
                <w:sz w:val="21"/>
                <w:szCs w:val="21"/>
              </w:rPr>
            </w:pPr>
            <w:r>
              <w:rPr>
                <w:sz w:val="21"/>
                <w:szCs w:val="21"/>
              </w:rPr>
              <w:t>占比</w:t>
            </w:r>
          </w:p>
        </w:tc>
        <w:tc>
          <w:tcPr>
            <w:tcW w:w="7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92.86%</w:t>
            </w:r>
          </w:p>
        </w:tc>
        <w:tc>
          <w:tcPr>
            <w:tcW w:w="75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7.14%</w:t>
            </w:r>
          </w:p>
        </w:tc>
        <w:tc>
          <w:tcPr>
            <w:tcW w:w="91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0.00%</w:t>
            </w:r>
          </w:p>
        </w:tc>
        <w:tc>
          <w:tcPr>
            <w:tcW w:w="69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0.00%</w:t>
            </w:r>
          </w:p>
        </w:tc>
        <w:tc>
          <w:tcPr>
            <w:tcW w:w="92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100.00%</w:t>
            </w:r>
          </w:p>
        </w:tc>
      </w:tr>
    </w:tbl>
    <w:p>
      <w:pPr>
        <w:pStyle w:val="6"/>
        <w:ind w:firstLine="480"/>
      </w:pPr>
      <w:r>
        <w:t>3.未就业毕业生情况</w:t>
      </w:r>
    </w:p>
    <w:p>
      <w:pPr>
        <w:ind w:firstLine="480"/>
        <w:rPr>
          <w:szCs w:val="24"/>
        </w:rPr>
      </w:pPr>
      <w:r>
        <w:rPr>
          <w:szCs w:val="24"/>
        </w:rPr>
        <w:t>未就业原因：</w:t>
      </w:r>
    </w:p>
    <w:p>
      <w:pPr>
        <w:ind w:firstLine="480"/>
        <w:rPr>
          <w:szCs w:val="24"/>
        </w:rPr>
      </w:pPr>
      <w:r>
        <w:rPr>
          <w:szCs w:val="24"/>
        </w:rPr>
        <w:t>未就业毕业生4人，通过调研发现，未就业原因主要是正在求职，占未就业毕业生的100.00%。</w:t>
      </w:r>
    </w:p>
    <w:p>
      <w:pPr>
        <w:pStyle w:val="25"/>
        <w:spacing w:line="240" w:lineRule="auto"/>
        <w:rPr>
          <w:b/>
          <w:bCs/>
          <w:sz w:val="21"/>
          <w:szCs w:val="21"/>
        </w:rPr>
      </w:pPr>
    </w:p>
    <w:p>
      <w:pPr>
        <w:pStyle w:val="25"/>
        <w:spacing w:line="240" w:lineRule="auto"/>
        <w:rPr>
          <w:b/>
          <w:bCs/>
          <w:sz w:val="21"/>
          <w:szCs w:val="21"/>
        </w:rPr>
      </w:pPr>
      <w:r>
        <w:rPr>
          <w:b/>
          <w:bCs/>
          <w:sz w:val="21"/>
          <w:szCs w:val="21"/>
        </w:rPr>
        <w:t>表10.毕业生未就业原因统计表</w:t>
      </w:r>
    </w:p>
    <w:tbl>
      <w:tblPr>
        <w:tblStyle w:val="17"/>
        <w:tblW w:w="4998" w:type="pct"/>
        <w:tblInd w:w="0" w:type="dxa"/>
        <w:tblLayout w:type="autofit"/>
        <w:tblCellMar>
          <w:top w:w="0" w:type="dxa"/>
          <w:left w:w="0" w:type="dxa"/>
          <w:bottom w:w="0" w:type="dxa"/>
          <w:right w:w="0" w:type="dxa"/>
        </w:tblCellMar>
      </w:tblPr>
      <w:tblGrid>
        <w:gridCol w:w="933"/>
        <w:gridCol w:w="3616"/>
        <w:gridCol w:w="1095"/>
        <w:gridCol w:w="3227"/>
      </w:tblGrid>
      <w:tr>
        <w:tblPrEx>
          <w:tblCellMar>
            <w:top w:w="0" w:type="dxa"/>
            <w:left w:w="0" w:type="dxa"/>
            <w:bottom w:w="0" w:type="dxa"/>
            <w:right w:w="0" w:type="dxa"/>
          </w:tblCellMar>
        </w:tblPrEx>
        <w:trPr>
          <w:trHeight w:val="403" w:hRule="atLeast"/>
        </w:trPr>
        <w:tc>
          <w:tcPr>
            <w:tcW w:w="5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序号</w:t>
            </w:r>
          </w:p>
        </w:tc>
        <w:tc>
          <w:tcPr>
            <w:tcW w:w="203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未就业原因</w:t>
            </w:r>
          </w:p>
        </w:tc>
        <w:tc>
          <w:tcPr>
            <w:tcW w:w="61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人数</w:t>
            </w:r>
          </w:p>
        </w:tc>
        <w:tc>
          <w:tcPr>
            <w:tcW w:w="181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b/>
                <w:bCs/>
                <w:sz w:val="21"/>
                <w:szCs w:val="21"/>
              </w:rPr>
            </w:pPr>
            <w:r>
              <w:rPr>
                <w:b/>
                <w:bCs/>
                <w:sz w:val="21"/>
                <w:szCs w:val="21"/>
              </w:rPr>
              <w:t>占未就业毕业生比例</w:t>
            </w:r>
          </w:p>
        </w:tc>
      </w:tr>
      <w:tr>
        <w:tblPrEx>
          <w:tblCellMar>
            <w:top w:w="0" w:type="dxa"/>
            <w:left w:w="0" w:type="dxa"/>
            <w:bottom w:w="0" w:type="dxa"/>
            <w:right w:w="0" w:type="dxa"/>
          </w:tblCellMar>
        </w:tblPrEx>
        <w:trPr>
          <w:trHeight w:val="403" w:hRule="atLeast"/>
        </w:trPr>
        <w:tc>
          <w:tcPr>
            <w:tcW w:w="5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1</w:t>
            </w:r>
          </w:p>
        </w:tc>
        <w:tc>
          <w:tcPr>
            <w:tcW w:w="203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二战考研</w:t>
            </w:r>
          </w:p>
        </w:tc>
        <w:tc>
          <w:tcPr>
            <w:tcW w:w="61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w:t>
            </w:r>
          </w:p>
        </w:tc>
        <w:tc>
          <w:tcPr>
            <w:tcW w:w="181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0.00%</w:t>
            </w:r>
          </w:p>
        </w:tc>
      </w:tr>
      <w:tr>
        <w:tblPrEx>
          <w:tblCellMar>
            <w:top w:w="0" w:type="dxa"/>
            <w:left w:w="0" w:type="dxa"/>
            <w:bottom w:w="0" w:type="dxa"/>
            <w:right w:w="0" w:type="dxa"/>
          </w:tblCellMar>
        </w:tblPrEx>
        <w:trPr>
          <w:trHeight w:val="403" w:hRule="atLeast"/>
        </w:trPr>
        <w:tc>
          <w:tcPr>
            <w:tcW w:w="5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2</w:t>
            </w:r>
          </w:p>
        </w:tc>
        <w:tc>
          <w:tcPr>
            <w:tcW w:w="203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准备公务员事业编考试</w:t>
            </w:r>
          </w:p>
        </w:tc>
        <w:tc>
          <w:tcPr>
            <w:tcW w:w="61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w:t>
            </w:r>
          </w:p>
        </w:tc>
        <w:tc>
          <w:tcPr>
            <w:tcW w:w="181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0.00%</w:t>
            </w:r>
          </w:p>
        </w:tc>
      </w:tr>
      <w:tr>
        <w:tblPrEx>
          <w:tblCellMar>
            <w:top w:w="0" w:type="dxa"/>
            <w:left w:w="0" w:type="dxa"/>
            <w:bottom w:w="0" w:type="dxa"/>
            <w:right w:w="0" w:type="dxa"/>
          </w:tblCellMar>
        </w:tblPrEx>
        <w:trPr>
          <w:trHeight w:val="403" w:hRule="atLeast"/>
        </w:trPr>
        <w:tc>
          <w:tcPr>
            <w:tcW w:w="5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3</w:t>
            </w:r>
          </w:p>
        </w:tc>
        <w:tc>
          <w:tcPr>
            <w:tcW w:w="203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正在求职</w:t>
            </w:r>
          </w:p>
        </w:tc>
        <w:tc>
          <w:tcPr>
            <w:tcW w:w="61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4</w:t>
            </w:r>
          </w:p>
        </w:tc>
        <w:tc>
          <w:tcPr>
            <w:tcW w:w="181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100.00%</w:t>
            </w:r>
          </w:p>
        </w:tc>
      </w:tr>
      <w:tr>
        <w:tblPrEx>
          <w:tblCellMar>
            <w:top w:w="0" w:type="dxa"/>
            <w:left w:w="0" w:type="dxa"/>
            <w:bottom w:w="0" w:type="dxa"/>
            <w:right w:w="0" w:type="dxa"/>
          </w:tblCellMar>
        </w:tblPrEx>
        <w:trPr>
          <w:trHeight w:val="403" w:hRule="atLeast"/>
        </w:trPr>
        <w:tc>
          <w:tcPr>
            <w:tcW w:w="52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4</w:t>
            </w:r>
          </w:p>
        </w:tc>
        <w:tc>
          <w:tcPr>
            <w:tcW w:w="203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暂无就业意愿</w:t>
            </w:r>
          </w:p>
        </w:tc>
        <w:tc>
          <w:tcPr>
            <w:tcW w:w="61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w:t>
            </w:r>
          </w:p>
        </w:tc>
        <w:tc>
          <w:tcPr>
            <w:tcW w:w="181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25"/>
              <w:spacing w:line="240" w:lineRule="auto"/>
              <w:rPr>
                <w:sz w:val="21"/>
                <w:szCs w:val="21"/>
              </w:rPr>
            </w:pPr>
            <w:r>
              <w:rPr>
                <w:sz w:val="21"/>
                <w:szCs w:val="21"/>
              </w:rPr>
              <w:t>0.00%</w:t>
            </w:r>
          </w:p>
        </w:tc>
      </w:tr>
    </w:tbl>
    <w:p>
      <w:pPr>
        <w:ind w:firstLine="480"/>
        <w:rPr>
          <w:szCs w:val="24"/>
        </w:rPr>
      </w:pPr>
      <w:bookmarkStart w:id="43" w:name="_Toc16879"/>
      <w:bookmarkStart w:id="44" w:name="_Toc20974"/>
    </w:p>
    <w:p>
      <w:pPr>
        <w:pStyle w:val="5"/>
        <w:spacing w:before="93" w:after="93"/>
        <w:ind w:firstLine="560"/>
      </w:pPr>
      <w:r>
        <w:t>六、毕业生就业创业（创业情况、采取的措施、典型案例等）</w:t>
      </w:r>
      <w:bookmarkEnd w:id="43"/>
      <w:bookmarkEnd w:id="44"/>
    </w:p>
    <w:p>
      <w:pPr>
        <w:ind w:firstLine="480"/>
        <w:rPr>
          <w:szCs w:val="24"/>
        </w:rPr>
      </w:pPr>
      <w:r>
        <w:rPr>
          <w:szCs w:val="24"/>
        </w:rPr>
        <w:t>学院高度重视毕业生的就业创业工作，设立了学生就业指导与服务中心，由专职人员负责就业市场开拓、就业指导与咨询，采取各种措施存进学生的就业创业。</w:t>
      </w:r>
    </w:p>
    <w:p>
      <w:pPr>
        <w:pStyle w:val="6"/>
        <w:ind w:firstLine="480"/>
      </w:pPr>
      <w:r>
        <w:t>1.加强校企合作，实现学院与企业之间的深度合作</w:t>
      </w:r>
    </w:p>
    <w:p>
      <w:pPr>
        <w:ind w:firstLine="480"/>
        <w:rPr>
          <w:szCs w:val="24"/>
        </w:rPr>
      </w:pPr>
      <w:r>
        <w:rPr>
          <w:szCs w:val="24"/>
        </w:rPr>
        <w:t>在2017届毕业生就业工作中，进一步加强校企合作力度，建立了一批与制药产业紧密相关的大学生就业创业实践基地。同时主动加强了与制药类、畜牧类省内外企业的联系，学院累计联系用人单位120余家，到校举办校园招聘专场和参加校园周末招聘会的单位累计达百余家，为制药工程专业学生提供了上百个用工岗位和招聘信息。</w:t>
      </w:r>
    </w:p>
    <w:p>
      <w:pPr>
        <w:pStyle w:val="6"/>
        <w:ind w:firstLine="480"/>
      </w:pPr>
      <w:r>
        <w:t>2.发挥专业教师作用，全员参与就业</w:t>
      </w:r>
    </w:p>
    <w:p>
      <w:pPr>
        <w:ind w:firstLine="480"/>
        <w:rPr>
          <w:szCs w:val="24"/>
        </w:rPr>
      </w:pPr>
      <w:r>
        <w:rPr>
          <w:szCs w:val="24"/>
        </w:rPr>
        <w:t>专业教师根据自己在教学科研中与企业的联系，积极为毕业生提供实习岗位，通过实习促进就业。并邀请企业到学校参加招聘会和专场招聘，为毕业生提供就业岗位。此外，专业教师通过长期跟企业联系，熟悉企业对毕业生的需求和对毕业生综合素质的要求，把这些信息传递给毕业生，指导毕业生就业工作，积极传授毕业生如何主动就业之道。学院上下形成了领导、辅导员、专业教师三位一体的就业指导工作联动体系，充分发挥专业教师的就业指导作用。教师不仅讲授专业知识，而且传授职业发展素质修养，介绍本学科领域最新发展趋势及职业优势，引导毕业生合理定位自身职业，通过言传身教方式引导毕业生求职就业。</w:t>
      </w:r>
    </w:p>
    <w:p>
      <w:pPr>
        <w:pStyle w:val="6"/>
        <w:ind w:firstLine="480"/>
      </w:pPr>
      <w:r>
        <w:t>3.加强毕业生思想教育工作，引导毕业生积极就业</w:t>
      </w:r>
    </w:p>
    <w:p>
      <w:pPr>
        <w:ind w:firstLine="480"/>
        <w:rPr>
          <w:szCs w:val="24"/>
        </w:rPr>
      </w:pPr>
      <w:r>
        <w:rPr>
          <w:szCs w:val="24"/>
        </w:rPr>
        <w:t>毕业生教育工作，既是就业工作的重要内容，也是大学生思想教育工作的重要组成部分。学院积极做好毕业生就业思想状况调研分析，掌握毕业生的思想动态，并以此为依据通过多种形式的教育活动，把解决毕业生思想问题与解决实际问题相结合，为毕业生做好事、办实事；极做好就业困难毕业生就业指导工作，加强学生思想政治教育和心理健康教育，把引导毕业生树立正确价值观和就业观，积极面向基层就业作为当前毕业生思想教育指导工作的重要内容，引导学生客观、理性、辨证地认识就业形势，合理调整就业预期，进一步转变就业观念，引导学生认清严峻的就业形势，激发学生的生存忧患意识和个体发展意识，树立</w:t>
      </w:r>
      <w:r>
        <w:rPr>
          <w:rFonts w:hint="eastAsia"/>
          <w:szCs w:val="24"/>
        </w:rPr>
        <w:t>“</w:t>
      </w:r>
      <w:r>
        <w:rPr>
          <w:szCs w:val="24"/>
        </w:rPr>
        <w:t>行行可建功、处处能立业、劳动最光荣</w:t>
      </w:r>
      <w:r>
        <w:rPr>
          <w:rFonts w:hint="eastAsia"/>
          <w:szCs w:val="24"/>
        </w:rPr>
        <w:t>”</w:t>
      </w:r>
      <w:r>
        <w:rPr>
          <w:szCs w:val="24"/>
        </w:rPr>
        <w:t xml:space="preserve">的职业观念。 </w:t>
      </w:r>
    </w:p>
    <w:p>
      <w:pPr>
        <w:pStyle w:val="6"/>
        <w:ind w:firstLine="480"/>
      </w:pPr>
      <w:r>
        <w:t>4.提前摸排，分类指导，实现最大限度的就业</w:t>
      </w:r>
    </w:p>
    <w:p>
      <w:pPr>
        <w:ind w:firstLine="480"/>
        <w:rPr>
          <w:szCs w:val="24"/>
        </w:rPr>
      </w:pPr>
      <w:r>
        <w:rPr>
          <w:szCs w:val="24"/>
        </w:rPr>
        <w:t>毕业生一进入大四，学院即安排就业辅导员对毕业生进行初步就业摸排，对考研、就业、考公务员等就业意向进行逐一摸排，并形成班级分析报告。在摸排基础上，学院按照</w:t>
      </w:r>
      <w:r>
        <w:rPr>
          <w:rFonts w:hint="eastAsia"/>
          <w:szCs w:val="24"/>
        </w:rPr>
        <w:t>“</w:t>
      </w:r>
      <w:r>
        <w:rPr>
          <w:szCs w:val="24"/>
        </w:rPr>
        <w:t>明确目标、突出重点、分步实施、分类指导</w:t>
      </w:r>
      <w:r>
        <w:rPr>
          <w:rFonts w:hint="eastAsia"/>
          <w:szCs w:val="24"/>
        </w:rPr>
        <w:t>”</w:t>
      </w:r>
      <w:r>
        <w:rPr>
          <w:szCs w:val="24"/>
        </w:rPr>
        <w:t>的原则，有针对性地开展内容丰富、形式多样且实效性强的就业指导讲座和咨询活动。学院先后邀请相关企业负责人到学校为毕业生开展以客观认识就业形势、进一步转变就业观念为目的的指导讲座（报告），重点抓好择业观、就业诚信教育和择业技巧培训。</w:t>
      </w:r>
    </w:p>
    <w:p>
      <w:pPr>
        <w:pStyle w:val="5"/>
        <w:spacing w:before="93" w:after="93"/>
        <w:ind w:firstLine="560"/>
      </w:pPr>
      <w:bookmarkStart w:id="45" w:name="_Toc24386"/>
      <w:bookmarkStart w:id="46" w:name="_Toc27607"/>
      <w:r>
        <w:t>七、专业发展趋势及建议</w:t>
      </w:r>
      <w:bookmarkEnd w:id="45"/>
      <w:bookmarkEnd w:id="46"/>
    </w:p>
    <w:p>
      <w:pPr>
        <w:ind w:firstLine="480"/>
        <w:rPr>
          <w:szCs w:val="24"/>
        </w:rPr>
      </w:pPr>
      <w:r>
        <w:rPr>
          <w:szCs w:val="24"/>
        </w:rPr>
        <w:t>制药工程（兽药方向）专业是为适应我国畜禽养殖业快速发展，保障畜禽健康养殖，降低养殖风险，合理使用药物保证食品安全而设置的新型专业。该专业主要培养适基础扎实、知识面宽、适应性强、有创新精神，德、智、体全面发展的高等兽药学人才。通过培养使学生系统地掌握兽药专业的基本理论、基本知识和基本技能，具有从事兽药工作与科学研究的能力。能在兽药研究与开发、生产、检验、流通、使用和管理等领域从事药物设计、合成、药理实验与评价、兽药制剂与剂型设计和制备、兽药分析检验、质量鉴定、兽医院调制剂以及临床合理用药等方面工作的科学技术人才。</w:t>
      </w:r>
    </w:p>
    <w:p>
      <w:pPr>
        <w:pStyle w:val="6"/>
        <w:ind w:firstLine="480"/>
        <w:rPr>
          <w:rFonts w:eastAsia="宋体"/>
          <w:kern w:val="2"/>
          <w:szCs w:val="24"/>
        </w:rPr>
      </w:pPr>
      <w:r>
        <w:t>1.畜牧业发展亟需大量的兽药专业人才。</w:t>
      </w:r>
      <w:r>
        <w:rPr>
          <w:rFonts w:eastAsia="宋体"/>
          <w:kern w:val="2"/>
          <w:szCs w:val="24"/>
        </w:rPr>
        <w:t>改革开放以来，经历了30余年的快速发展，我国畜牧业已经进入稳定发展阶段，并进入向现代畜牧业转型发展的关键时期。每年畜牧业总产值约占农业总产值的30%和全国GDP的3.3%，创造了大量的就业岗位，带动了农民增收和脱贫致富。由畜牧生产产业链条拓展产生的畜产品与食品加工、饲料工业和动物保健品产业已成为新的产业增长点。为应对当今畜牧生产方式和产业发展的新</w:t>
      </w:r>
      <w:r>
        <w:rPr>
          <w:rFonts w:eastAsia="宋体"/>
          <w:spacing w:val="-6"/>
          <w:kern w:val="2"/>
          <w:szCs w:val="24"/>
        </w:rPr>
        <w:t>特点社会急需兽药方向的人才，同时对兽药应用型人才的培养</w:t>
      </w:r>
      <w:r>
        <w:rPr>
          <w:rFonts w:eastAsia="宋体"/>
          <w:kern w:val="2"/>
          <w:szCs w:val="24"/>
        </w:rPr>
        <w:t>提出了新的要求。</w:t>
      </w:r>
    </w:p>
    <w:p>
      <w:pPr>
        <w:pStyle w:val="6"/>
        <w:ind w:firstLine="480"/>
        <w:rPr>
          <w:rFonts w:eastAsia="宋体"/>
        </w:rPr>
      </w:pPr>
      <w:r>
        <w:t>2.发展现代畜牧业亟需精通兽药知识熟悉疫病防控懂经营管理的制药工程专业复合型人才。</w:t>
      </w:r>
      <w:r>
        <w:rPr>
          <w:rFonts w:eastAsia="宋体"/>
        </w:rPr>
        <w:t>当前，我国畜牧业正处于转型升级的关键时期，不仅要保障畜产品有效供给、更要确保畜产品质量安全，面临新的要求和挑战。新形势下要加快推进现代畜牧业建设，亟需在疫病防控、兽药残留、食品安全等方面严格把控，走一条生产技术先进、经营规模适度、确保质量安全、市场竞争力强的现代畜牧业发展道路。为保障我国畜牧健康发展，对具掌握兽药专业技术的高层次兽药专业人才的需求无论是在量还是在质上都会有更进一步的提高。</w:t>
      </w:r>
    </w:p>
    <w:p>
      <w:pPr>
        <w:pStyle w:val="5"/>
        <w:spacing w:before="93" w:after="93"/>
        <w:ind w:firstLine="560"/>
      </w:pPr>
      <w:r>
        <w:t>八、存在的问题及整改措施</w:t>
      </w:r>
    </w:p>
    <w:p>
      <w:pPr>
        <w:ind w:firstLine="480"/>
        <w:rPr>
          <w:szCs w:val="24"/>
        </w:rPr>
      </w:pPr>
      <w:r>
        <w:rPr>
          <w:szCs w:val="24"/>
        </w:rPr>
        <w:t>社会对专业的评价、学生就读该专业的意愿、就业单位满意率：</w:t>
      </w:r>
    </w:p>
    <w:p>
      <w:pPr>
        <w:ind w:firstLine="480"/>
        <w:rPr>
          <w:szCs w:val="24"/>
        </w:rPr>
      </w:pPr>
      <w:r>
        <w:rPr>
          <w:szCs w:val="24"/>
        </w:rPr>
        <w:t>根据教育部发布的普通高等学校本科专业目录，为了便于动物医学类大类招生，制药工程（兽药方向）专业于2019年停止招生，2022届毕业生是我校制药工程（兽药方向）最后一届毕业生。新设立的动物药学专业同步招生。</w:t>
      </w:r>
    </w:p>
    <w:p>
      <w:pPr>
        <w:rPr>
          <w:szCs w:val="24"/>
        </w:rPr>
      </w:pPr>
      <w:r>
        <w:rPr>
          <w:szCs w:val="24"/>
        </w:rPr>
        <w:br w:type="page"/>
      </w:r>
    </w:p>
    <w:p>
      <w:pPr>
        <w:pStyle w:val="4"/>
        <w:ind w:firstLine="600"/>
        <w:rPr>
          <w:rFonts w:ascii="Times New Roman" w:hAnsi="Times New Roman" w:cs="Times New Roman"/>
        </w:rPr>
      </w:pPr>
      <w:bookmarkStart w:id="47" w:name="_Toc10709"/>
      <w:bookmarkStart w:id="48" w:name="_Toc20613"/>
      <w:bookmarkStart w:id="49" w:name="_Toc14256"/>
      <w:bookmarkStart w:id="50" w:name="_Toc14113"/>
      <w:r>
        <w:rPr>
          <w:rFonts w:ascii="Times New Roman" w:hAnsi="Times New Roman" w:cs="Times New Roman"/>
        </w:rPr>
        <w:t>专业</w:t>
      </w:r>
      <w:r>
        <w:rPr>
          <w:rFonts w:ascii="Times New Roman" w:hAnsi="Times New Roman" w:cs="Times New Roman"/>
          <w:lang w:val="en-US"/>
        </w:rPr>
        <w:t>六</w:t>
      </w:r>
      <w:r>
        <w:rPr>
          <w:rFonts w:ascii="Times New Roman" w:hAnsi="Times New Roman" w:cs="Times New Roman"/>
        </w:rPr>
        <w:t>：植物保护</w:t>
      </w:r>
      <w:bookmarkEnd w:id="47"/>
      <w:bookmarkEnd w:id="48"/>
      <w:bookmarkEnd w:id="49"/>
      <w:bookmarkEnd w:id="50"/>
    </w:p>
    <w:p>
      <w:pPr>
        <w:pStyle w:val="5"/>
        <w:spacing w:before="93" w:after="93"/>
        <w:ind w:firstLine="560"/>
      </w:pPr>
      <w:r>
        <w:t>一、培养目标与规格</w:t>
      </w:r>
    </w:p>
    <w:p>
      <w:pPr>
        <w:ind w:firstLine="480" w:firstLineChars="200"/>
        <w:rPr>
          <w:color w:val="000000"/>
        </w:rPr>
      </w:pPr>
      <w:r>
        <w:rPr>
          <w:color w:val="000000"/>
        </w:rPr>
        <w:t>植保专业的目标是培养具备良好思想道德修养、有强烈的社会责任感和人文情怀，具备扎实的自然科学基础知识和植物保护学科专业知识的人才；毕业生需要掌握植物有害生物识别、发生规律及安全防控等方面的知识和实践技能，具有较强的实践能力、创新思维、团队精神，国际视野。能够从事植物保护、植物有害生物检验检疫和相关领域的科研、教学、技术开发、推广应用、经营、管理的创新型和应用型人才。</w:t>
      </w:r>
    </w:p>
    <w:p>
      <w:pPr>
        <w:ind w:firstLine="480" w:firstLineChars="200"/>
        <w:rPr>
          <w:color w:val="000000"/>
        </w:rPr>
      </w:pPr>
      <w:r>
        <w:rPr>
          <w:color w:val="000000"/>
        </w:rPr>
        <w:t>培养规格：</w:t>
      </w:r>
    </w:p>
    <w:p>
      <w:pPr>
        <w:ind w:firstLine="480" w:firstLineChars="200"/>
        <w:rPr>
          <w:color w:val="000000"/>
        </w:rPr>
      </w:pPr>
      <w:r>
        <w:rPr>
          <w:color w:val="000000"/>
        </w:rPr>
        <w:t>学生毕业后，能掌握植物保护专业知识、相关实验技能及研究方法，具备较好的科学思维、创新精神及国际化视野，胜任本专业及相关领域的教学和科研工作。遵守法律法规和职业规范，具有较强的团队合作意识和沟通表达能力，能够胜任大中型企业、政府机关等单位的经营、管理、技术推广等工作。</w:t>
      </w:r>
    </w:p>
    <w:p>
      <w:pPr>
        <w:pStyle w:val="5"/>
        <w:spacing w:before="93" w:after="93"/>
        <w:ind w:firstLine="560"/>
      </w:pPr>
      <w:r>
        <w:t>二、培养能力（专业基本情况、在校生规模、课程体系、创新创业教育等）</w:t>
      </w:r>
    </w:p>
    <w:p>
      <w:pPr>
        <w:pStyle w:val="6"/>
        <w:ind w:firstLine="480"/>
      </w:pPr>
      <w:r>
        <w:t>1.专业基本情况</w:t>
      </w:r>
    </w:p>
    <w:p>
      <w:pPr>
        <w:ind w:firstLine="482" w:firstLineChars="200"/>
        <w:rPr>
          <w:color w:val="000000"/>
        </w:rPr>
      </w:pPr>
      <w:r>
        <w:rPr>
          <w:b/>
          <w:bCs/>
          <w:color w:val="000000"/>
        </w:rPr>
        <w:t>专业基本情况：</w:t>
      </w:r>
      <w:r>
        <w:rPr>
          <w:color w:val="000000"/>
        </w:rPr>
        <w:t>植物保护专业设立于1950年，是山东农业大学设置最早的传统优势专业</w:t>
      </w:r>
      <w:r>
        <w:rPr>
          <w:rFonts w:hint="eastAsia"/>
          <w:color w:val="000000"/>
          <w:lang w:eastAsia="zh-CN"/>
        </w:rPr>
        <w:t>，</w:t>
      </w:r>
      <w:r>
        <w:rPr>
          <w:color w:val="000000"/>
        </w:rPr>
        <w:t>自专业成立以来，已有本科毕业生66届，累计毕业人数5260余人。2005年被评为山东农业大学首批品牌建设专业，2007年被评为山东省省级品牌专业建设点，2010年被批准为国家级特色专业建设点，2013年被批准为山东省名校建设重点支持专业。2014年，植物保护专业被教育部、农业部和国家林业局评为首批卓越农林人才教育培养试点高校-拔尖创新型专业。2016年被批准为山东省首批高水平应用型建设专业。2017年，植物保护学科被批准为山东省</w:t>
      </w:r>
      <w:r>
        <w:rPr>
          <w:rFonts w:hint="eastAsia"/>
          <w:color w:val="000000"/>
        </w:rPr>
        <w:t>“</w:t>
      </w:r>
      <w:r>
        <w:rPr>
          <w:color w:val="000000"/>
        </w:rPr>
        <w:t>双一流</w:t>
      </w:r>
      <w:r>
        <w:rPr>
          <w:rFonts w:hint="eastAsia"/>
          <w:color w:val="000000"/>
        </w:rPr>
        <w:t>”</w:t>
      </w:r>
      <w:r>
        <w:rPr>
          <w:color w:val="000000"/>
        </w:rPr>
        <w:t>专业建设培育学科，</w:t>
      </w:r>
      <w:r>
        <w:rPr>
          <w:bCs/>
          <w:color w:val="000000"/>
        </w:rPr>
        <w:t>2018年为山东省教育服务新旧动能转换对接产业项目专业、山东省专业分类拨款A类专业，2019年被评为山东省一流本科专业建设点，</w:t>
      </w:r>
      <w:r>
        <w:rPr>
          <w:color w:val="000000"/>
        </w:rPr>
        <w:t xml:space="preserve">2020年获批国家一流本科专业建设点。 </w:t>
      </w:r>
    </w:p>
    <w:p>
      <w:pPr>
        <w:pStyle w:val="6"/>
        <w:ind w:firstLine="480"/>
      </w:pPr>
      <w:r>
        <w:t>2. 在校生规模：</w:t>
      </w:r>
    </w:p>
    <w:p>
      <w:pPr>
        <w:ind w:firstLine="480" w:firstLineChars="200"/>
        <w:rPr>
          <w:bCs/>
          <w:color w:val="000000"/>
        </w:rPr>
      </w:pPr>
      <w:r>
        <w:rPr>
          <w:color w:val="000000"/>
        </w:rPr>
        <w:t>植保专业每年招收本科生</w:t>
      </w:r>
      <w:r>
        <w:rPr>
          <w:bCs/>
          <w:color w:val="000000"/>
        </w:rPr>
        <w:t>4-5个班，每年学生数120-140名，在校生规模640人左右。</w:t>
      </w:r>
    </w:p>
    <w:p>
      <w:pPr>
        <w:pStyle w:val="6"/>
        <w:ind w:firstLine="480"/>
      </w:pPr>
      <w:r>
        <w:t>3.植物保护专业课程体系：</w:t>
      </w:r>
    </w:p>
    <w:p>
      <w:pPr>
        <w:ind w:firstLine="480" w:firstLineChars="200"/>
        <w:rPr>
          <w:color w:val="000000"/>
        </w:rPr>
      </w:pPr>
      <w:r>
        <w:rPr>
          <w:color w:val="000000"/>
        </w:rPr>
        <w:t>包括通识教育与专业教育、理论教学与实验教学、课堂教学与课外实践等，本专业以培养学生能力为目标，重视提高学生综合素质和解决农业生产中病虫害问题的能力。主要课程包括：微生物学、植物学、普通遗传学、生物化学、植物生理学、普通植物病理学、农业植物病理学、普通昆虫学、农业昆虫学、植物化学保护学、植物检疫学和生物防治等。其中，以</w:t>
      </w:r>
      <w:r>
        <w:t>普通植物病理学、农业植物病理学、普通昆虫学、农业昆虫学、植物化学保护学、生物防治学和植物检疫学七门课程为专业核心课程体系，其中普通昆虫学、普通植物病理学、植保专业综合实践和植物化学保护学4门课程为山东省一流课程。</w:t>
      </w:r>
    </w:p>
    <w:p>
      <w:pPr>
        <w:pStyle w:val="6"/>
        <w:ind w:firstLine="480"/>
      </w:pPr>
      <w:r>
        <w:t>4. 创新创业</w:t>
      </w:r>
    </w:p>
    <w:p>
      <w:pPr>
        <w:ind w:firstLine="480" w:firstLineChars="200"/>
      </w:pPr>
      <w:r>
        <w:t>在创新创业教育方面，根据专业特点和社会对专业人才的需求，开展创新创业教育，引导学生学会思考问题并抓住新机遇。主要采取如下措施：</w:t>
      </w:r>
    </w:p>
    <w:p>
      <w:pPr>
        <w:ind w:firstLine="480" w:firstLineChars="200"/>
      </w:pPr>
      <w:r>
        <w:t>（1）积极鼓励本专业学生参加学校</w:t>
      </w:r>
      <w:r>
        <w:rPr>
          <w:rFonts w:hint="eastAsia"/>
        </w:rPr>
        <w:t>“</w:t>
      </w:r>
      <w:r>
        <w:t>SRT</w:t>
      </w:r>
      <w:r>
        <w:rPr>
          <w:rFonts w:hint="eastAsia"/>
        </w:rPr>
        <w:t>”</w:t>
      </w:r>
      <w:r>
        <w:t>项目和全国大学生创新创业实践活动，2022年度成功立项省级SRT 3项，省级大创项目1项。</w:t>
      </w:r>
    </w:p>
    <w:p>
      <w:pPr>
        <w:ind w:firstLine="480" w:firstLineChars="200"/>
      </w:pPr>
      <w:r>
        <w:t>（2）要求学生利用假期参加社会调查和实践活动并给予相应指导；</w:t>
      </w:r>
    </w:p>
    <w:p>
      <w:pPr>
        <w:ind w:firstLine="480" w:firstLineChars="200"/>
      </w:pPr>
      <w:r>
        <w:t>（3）根据培养方案，植保专业学生3年级下学期全面进入教师的科研实验室参加科学研究，同时鼓励学生2年级开始参与。</w:t>
      </w:r>
    </w:p>
    <w:p>
      <w:pPr>
        <w:ind w:firstLine="480" w:firstLineChars="200"/>
      </w:pPr>
      <w:r>
        <w:t>（4）通过教学实践环节，组织学生深入企业和农村，从实践中学习，使理论与实践相结合。</w:t>
      </w:r>
    </w:p>
    <w:p>
      <w:pPr>
        <w:pStyle w:val="5"/>
        <w:spacing w:before="93" w:after="93"/>
        <w:ind w:firstLine="560"/>
      </w:pPr>
      <w:r>
        <w:t>三、培养条件（教学经费投入、教学设备、教师队伍建设、实习基地、现代教学技术应用等）</w:t>
      </w:r>
    </w:p>
    <w:p>
      <w:pPr>
        <w:pStyle w:val="6"/>
        <w:ind w:firstLine="480"/>
      </w:pPr>
      <w:r>
        <w:t>1．教学经费投入</w:t>
      </w:r>
    </w:p>
    <w:p>
      <w:pPr>
        <w:ind w:firstLine="480" w:firstLineChars="200"/>
      </w:pPr>
      <w:r>
        <w:rPr>
          <w:rFonts w:hint="eastAsia"/>
        </w:rPr>
        <w:t>“</w:t>
      </w:r>
      <w:r>
        <w:t>十二五</w:t>
      </w:r>
      <w:r>
        <w:rPr>
          <w:rFonts w:hint="eastAsia"/>
        </w:rPr>
        <w:t>”</w:t>
      </w:r>
      <w:r>
        <w:t>以来，山东省及学校累计投入专业建设经费2384.09万元，其中教学经费 304.09万元，实验中心建设经费280万元，山东省名校建设300万元，中央财政支持地方高校发展专项资金300万元，植保学科建设200.00万元，科研创新团队经费240万元，农业微生物实验室（平台）建设1000万元，2016年植保专业被批复为首批高水平应用型立项专业，获批经费2000万元。2017年，植物保护学科被批准为山东省</w:t>
      </w:r>
      <w:r>
        <w:rPr>
          <w:rFonts w:hint="eastAsia"/>
        </w:rPr>
        <w:t>“</w:t>
      </w:r>
      <w:r>
        <w:t>双一流</w:t>
      </w:r>
      <w:r>
        <w:rPr>
          <w:rFonts w:hint="eastAsia"/>
        </w:rPr>
        <w:t>”</w:t>
      </w:r>
      <w:r>
        <w:t xml:space="preserve">专业建设培育学科，获批建设经费800万元。作物病虫害及蔬菜病虫害协同创新中心240万元，农业微生物重点实验室建设经费120万。 </w:t>
      </w:r>
    </w:p>
    <w:p>
      <w:pPr>
        <w:ind w:firstLine="480" w:firstLineChars="200"/>
      </w:pPr>
      <w:r>
        <w:t>上述经费主要用于教学实验仪器购置，学科平台和大学生创新创业基地的建设，满足高层次创新创业等</w:t>
      </w:r>
      <w:r>
        <w:rPr>
          <w:rFonts w:hint="eastAsia"/>
        </w:rPr>
        <w:t>“</w:t>
      </w:r>
      <w:r>
        <w:t>四型</w:t>
      </w:r>
      <w:r>
        <w:rPr>
          <w:rFonts w:hint="eastAsia"/>
        </w:rPr>
        <w:t>”</w:t>
      </w:r>
      <w:r>
        <w:t>人才培养。</w:t>
      </w:r>
    </w:p>
    <w:p>
      <w:pPr>
        <w:ind w:firstLine="480" w:firstLineChars="200"/>
      </w:pPr>
      <w:r>
        <w:t>学校每年投入30-50万元主要用于教学实验室建设和实验消耗品购置。</w:t>
      </w:r>
    </w:p>
    <w:p>
      <w:pPr>
        <w:pStyle w:val="6"/>
        <w:ind w:firstLine="480"/>
      </w:pPr>
      <w:r>
        <w:t>2.教学设备及实验条件</w:t>
      </w:r>
    </w:p>
    <w:p>
      <w:pPr>
        <w:ind w:firstLine="480" w:firstLineChars="200"/>
        <w:rPr>
          <w:szCs w:val="24"/>
        </w:rPr>
      </w:pPr>
      <w:r>
        <w:rPr>
          <w:szCs w:val="24"/>
        </w:rPr>
        <w:t>经过几十年的建设，目前用于教学的仪器设备齐全，教学实验中心总面积1766平方米, 现有12个实验室，有昆虫、植病、杂草等3个标本室，中心拥有6个数码互动实验室、1个现代植物保护实验室。拥有高级冷冻离心机、PCR仪、紫外分光光度计、凝胶成像系统、高级研究显微镜、气相色谱仪、高效液相色谱仪、电子天平、电泳仪等仪器设备2800余台（件），总价值3500多万元，可满足教学和学生创新研究的需要。</w:t>
      </w:r>
    </w:p>
    <w:p>
      <w:pPr>
        <w:pStyle w:val="2"/>
        <w:ind w:left="480"/>
      </w:pPr>
    </w:p>
    <w:p>
      <w:pPr>
        <w:pStyle w:val="2"/>
        <w:ind w:left="480"/>
      </w:pPr>
    </w:p>
    <w:p>
      <w:pPr>
        <w:spacing w:line="240" w:lineRule="auto"/>
        <w:jc w:val="center"/>
        <w:rPr>
          <w:rFonts w:eastAsia="仿宋_GB2312"/>
        </w:rPr>
      </w:pPr>
      <w:r>
        <mc:AlternateContent>
          <mc:Choice Requires="wpg">
            <w:drawing>
              <wp:inline distT="0" distB="0" distL="114300" distR="114300">
                <wp:extent cx="4695825" cy="5419725"/>
                <wp:effectExtent l="0" t="0" r="0" b="0"/>
                <wp:docPr id="223" name="组合 223"/>
                <wp:cNvGraphicFramePr/>
                <a:graphic xmlns:a="http://schemas.openxmlformats.org/drawingml/2006/main">
                  <a:graphicData uri="http://schemas.microsoft.com/office/word/2010/wordprocessingGroup">
                    <wpg:wgp>
                      <wpg:cNvGrpSpPr/>
                      <wpg:grpSpPr>
                        <a:xfrm>
                          <a:off x="0" y="0"/>
                          <a:ext cx="4695825" cy="5419725"/>
                          <a:chOff x="6767" y="481722"/>
                          <a:chExt cx="7395" cy="8535"/>
                        </a:xfrm>
                      </wpg:grpSpPr>
                      <pic:pic xmlns:pic="http://schemas.openxmlformats.org/drawingml/2006/picture">
                        <pic:nvPicPr>
                          <pic:cNvPr id="34" name="图片 2" descr="液相色谱仪"/>
                          <pic:cNvPicPr>
                            <a:picLocks noChangeAspect="1" noChangeArrowheads="1"/>
                          </pic:cNvPicPr>
                        </pic:nvPicPr>
                        <pic:blipFill>
                          <a:blip r:embed="rId31" cstate="print"/>
                          <a:srcRect l="2381"/>
                          <a:stretch>
                            <a:fillRect/>
                          </a:stretch>
                        </pic:blipFill>
                        <pic:spPr>
                          <a:xfrm>
                            <a:off x="9212" y="487437"/>
                            <a:ext cx="2400" cy="2820"/>
                          </a:xfrm>
                          <a:prstGeom prst="rect">
                            <a:avLst/>
                          </a:prstGeom>
                          <a:noFill/>
                          <a:ln w="9525">
                            <a:noFill/>
                            <a:miter lim="800000"/>
                            <a:headEnd/>
                            <a:tailEnd/>
                          </a:ln>
                        </pic:spPr>
                      </pic:pic>
                      <pic:pic xmlns:pic="http://schemas.openxmlformats.org/drawingml/2006/picture">
                        <pic:nvPicPr>
                          <pic:cNvPr id="33" name="图片 1" descr="IMG_7067"/>
                          <pic:cNvPicPr>
                            <a:picLocks noChangeAspect="1" noChangeArrowheads="1"/>
                          </pic:cNvPicPr>
                        </pic:nvPicPr>
                        <pic:blipFill>
                          <a:blip r:embed="rId32" cstate="print"/>
                          <a:srcRect l="18599" r="12190"/>
                          <a:stretch>
                            <a:fillRect/>
                          </a:stretch>
                        </pic:blipFill>
                        <pic:spPr>
                          <a:xfrm>
                            <a:off x="6767" y="487437"/>
                            <a:ext cx="2385" cy="2820"/>
                          </a:xfrm>
                          <a:prstGeom prst="rect">
                            <a:avLst/>
                          </a:prstGeom>
                          <a:noFill/>
                          <a:ln w="9525">
                            <a:noFill/>
                            <a:miter lim="800000"/>
                            <a:headEnd/>
                            <a:tailEnd/>
                          </a:ln>
                        </pic:spPr>
                      </pic:pic>
                      <pic:pic xmlns:pic="http://schemas.openxmlformats.org/drawingml/2006/picture">
                        <pic:nvPicPr>
                          <pic:cNvPr id="32" name="图片 32" descr="C:\Users\joho\Desktop\新旧动能自评佐证材料\微信图片_2019112812351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6767" y="484572"/>
                            <a:ext cx="3765" cy="2820"/>
                          </a:xfrm>
                          <a:prstGeom prst="rect">
                            <a:avLst/>
                          </a:prstGeom>
                          <a:noFill/>
                          <a:ln>
                            <a:noFill/>
                          </a:ln>
                        </pic:spPr>
                      </pic:pic>
                      <pic:pic xmlns:pic="http://schemas.openxmlformats.org/drawingml/2006/picture">
                        <pic:nvPicPr>
                          <pic:cNvPr id="31" name="图片 31" descr="C:\Users\joho\Desktop\新旧动能自评佐证材料\无人机.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10592" y="481722"/>
                            <a:ext cx="3558" cy="2820"/>
                          </a:xfrm>
                          <a:prstGeom prst="rect">
                            <a:avLst/>
                          </a:prstGeom>
                          <a:noFill/>
                          <a:ln>
                            <a:noFill/>
                          </a:ln>
                        </pic:spPr>
                      </pic:pic>
                      <pic:pic xmlns:pic="http://schemas.openxmlformats.org/drawingml/2006/picture">
                        <pic:nvPicPr>
                          <pic:cNvPr id="30" name="图片 3" descr="C:\Users\joho\Desktop\新旧动能自评佐证材料\IMG_20191128_11064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6767" y="481722"/>
                            <a:ext cx="3765" cy="2820"/>
                          </a:xfrm>
                          <a:prstGeom prst="rect">
                            <a:avLst/>
                          </a:prstGeom>
                          <a:noFill/>
                          <a:ln>
                            <a:noFill/>
                          </a:ln>
                        </pic:spPr>
                      </pic:pic>
                      <pic:pic xmlns:pic="http://schemas.openxmlformats.org/drawingml/2006/picture">
                        <pic:nvPicPr>
                          <pic:cNvPr id="29" name="图片 29"/>
                          <pic:cNvPicPr>
                            <a:picLocks noChangeAspect="1" noChangeArrowheads="1"/>
                          </pic:cNvPicPr>
                        </pic:nvPicPr>
                        <pic:blipFill>
                          <a:blip r:embed="rId36" cstate="print"/>
                          <a:srcRect t="11613"/>
                          <a:stretch>
                            <a:fillRect/>
                          </a:stretch>
                        </pic:blipFill>
                        <pic:spPr>
                          <a:xfrm>
                            <a:off x="10592" y="484572"/>
                            <a:ext cx="3558" cy="2820"/>
                          </a:xfrm>
                          <a:prstGeom prst="rect">
                            <a:avLst/>
                          </a:prstGeom>
                          <a:noFill/>
                          <a:ln w="9525">
                            <a:noFill/>
                            <a:miter lim="800000"/>
                            <a:headEnd/>
                            <a:tailEnd/>
                          </a:ln>
                        </pic:spPr>
                      </pic:pic>
                      <pic:pic xmlns:pic="http://schemas.openxmlformats.org/drawingml/2006/picture">
                        <pic:nvPicPr>
                          <pic:cNvPr id="28" name="图片 3" descr="研究显微镜"/>
                          <pic:cNvPicPr>
                            <a:picLocks noChangeAspect="1" noChangeArrowheads="1"/>
                          </pic:cNvPicPr>
                        </pic:nvPicPr>
                        <pic:blipFill>
                          <a:blip r:embed="rId37" cstate="print"/>
                          <a:srcRect l="57957"/>
                          <a:stretch>
                            <a:fillRect/>
                          </a:stretch>
                        </pic:blipFill>
                        <pic:spPr>
                          <a:xfrm>
                            <a:off x="11672" y="487437"/>
                            <a:ext cx="2490" cy="2820"/>
                          </a:xfrm>
                          <a:prstGeom prst="rect">
                            <a:avLst/>
                          </a:prstGeom>
                        </pic:spPr>
                      </pic:pic>
                    </wpg:wgp>
                  </a:graphicData>
                </a:graphic>
              </wp:inline>
            </w:drawing>
          </mc:Choice>
          <mc:Fallback>
            <w:pict>
              <v:group id="_x0000_s1026" o:spid="_x0000_s1026" o:spt="203" style="height:426.75pt;width:369.75pt;" coordorigin="6767,481722" coordsize="7395,8535" o:gfxdata="UEsDBAoAAAAAAIdO4kAAAAAAAAAAAAAAAAAEAAAAZHJzL1BLAwQUAAAACACHTuJAnwp+YdcAAAAF&#10;AQAADwAAAGRycy9kb3ducmV2LnhtbE2PQWvCQBCF7wX/wzJCb3WThlSN2UiRticpVIXS25gdk2B2&#10;NmTXRP99t720l4HHe7z3Tb6+mlYM1LvGsoJ4FoEgLq1uuFJw2L8+LEA4j6yxtUwKbuRgXUzucsy0&#10;HfmDhp2vRChhl6GC2vsuk9KVNRl0M9sRB+9ke4M+yL6SuscxlJtWPkbRkzTYcFiosaNNTeV5dzEK&#10;3kYcn5P4ZdieT5vb1z59/9zGpNT9NI5WIDxd/V8YfvADOhSB6WgvrJ1oFYRH/O8N3jxZpiCOChZp&#10;koIscvmfvvgGUEsDBBQAAAAIAIdO4kAyZbeK1AQAALkXAAAOAAAAZHJzL2Uyb0RvYy54bWztWE9v&#10;2zYUvw/YdyB0dyzJkvUHcYrMSYMC3Rps6y1AwMi0rVYSBZKJUww7DC3QdacctnZDO6A7beth7Xoo&#10;hhTNvkzieN9ijxTlWE7WFYEzFF4CxKZI8+m9x99778e3eGU3TdAOYTymWcuwFkwDkSyinTjrtYyb&#10;n1+t+QbiAmcdnNCMtIw7hBtXlj78YHGQh8SmfZp0CEMgJOPhIG8ZfSHysF7nUZ+kmC/QnGSw2KUs&#10;xQIeWa/eYXgA0tOkbptmsz6grJMzGhHOYXalWDS0RPYuAmm3G0dkhUbbKclEIZWRBAswiffjnBtL&#10;Sttul0TiRrfLiUBJywBLhfqEl8B4S37WlxZx2GM478eRVgG/iwpTNqU4zuClY1ErWGC0zeJTotI4&#10;YpTTrliIaFovDFEeASssc8o3a4xu58qWXjjo5WOnw0FNef3cYqNPdtYZijstw7YbBspwCkd+/Pre&#10;0d7XSM6AfwZ5L4SfrbH8s3yd6Yle8SRN3u2yVH6DMWhXefbO2LNkV6AIJp1m4Pq2a6AI1lzHCjx4&#10;UL6P+nBAcl/Ta3oGgmXHtzzbLldXtQSvEejtvttQe+vlq+tSw7FCeRyF8K+dBaNTzvp3iMIusc0I&#10;uF5Ky3bW42idFQ8nDms4pb+OHh8cP7iPbAN1CI8AXcNXL48f/zF68HL04vfD18+kLVKQ3FtIwlLF&#10;6zS6zVFG232c9cgyzwGtEJEgtZxijA76BHe4nAYh9aoU9VjRbiuJ86txksjzkOPZRhViIUm3CICF&#10;XeuAnhHkCQF4yVmcieLAOIs+BTNkuNkNXymNQy4YEVFfKtUF5eQPpDETC8qSE+WlmRzAdga8AtsC&#10;PyuYeE7DK95awsx2TAhsiTHbt1Vwj0ECHmdcrBGaIjkAE0ALOGAc4p3rXOtT/kROZ1Q6UmE0ydCg&#10;ZQQuYHZqJY0FJMMkTluGb8q/Qh95ZqtZR20WOE6KMeiSZPoQC+uU2WBsAQ8Y/AeoHUe5Ri2co0bt&#10;tY/XNj0TohD0rgJtDuAKoHk7XC3fDQIDQfRathXog5wlcicS3BnIbfg6vV0it5LRJvItHGFRnzRy&#10;GycJtx1u3OTAaTZuAUHZWCH8tqD5xvDhi+Gjn4+++WV0983o/rPR83uHb/ZGz78a/rg3fPjDxtHB&#10;b4d//lQI24TyG1iW7Vt2w7WChVt5by7DAKK/GgYyoUH6hBSoRwVt+cL2l00zsD+qtV2zXXNMb7W2&#10;HDhezTNXPceEGt222l/KdGg54TYnUMtwspLHOoHB7KmyeyZH0TyqYD+KRaEdrLhaUSFANVUpShUh&#10;h8oyIXXVpUYl2QuKU8f1NBEpK0zDa15MnEqLxiXn/agUkokoPljG20mpOFe8DR89PdzfHz7Zn9vo&#10;AkZ4GV1APt/C3yzTDUoCd8Lzx+HlunD9vAAC9x6GFzDVaniNidi5okuyt7KIbVqW2XTmt4rJFFy5&#10;e8jjLUuEGl1WsbOu0+Mw+/9UMRs4fSXMYGIe7zfN6ZAoeJG+jsu+gtW0VD9n4to9g/v4ZD4/gy5d&#10;VD6fnwu5DQWvAlCg6PpCfvz02+NfXw2/P4Cbyl/fPZlL3ELPr5rKK7iFm4DrBa5u88yS5UM4ALf/&#10;50YSdABmwkNUi2e626M6ltDRVVcb3X2WLePJZxhPdtyX/gZQSwMECgAAAAAAh07iQAAAAAAAAAAA&#10;AAAAAAoAAABkcnMvbWVkaWEvUEsDBBQAAAAIAIdO4kAk07xcxFwAAL9cAAAVAAAAZHJzL21lZGlh&#10;L2ltYWdlNC5qcGVnAb9cQKP/2P/gABBKRklGAAEBAQDcANwAAP/bAEMACAYGBwYFCAcHBwkJCAoM&#10;FA0MCwsMGRITDxQdGh8eHRocHCAkLicgIiwjHBwoNyksMDE0NDQfJzk9ODI8LjM0Mv/bAEMBCQkJ&#10;DAsMGA0NGDIhHCEyMjIyMjIyMjIyMjIyMjIyMjIyMjIyMjIyMjIyMjIyMjIyMjIyMjIyMjIyMjIy&#10;MjIyMv/AABEIAa8CI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MTB/wAmlHAo/WlGcV9GeUGM0UAn6e9BHT+dAB9KCPSloHTtSATHFGOwFOwa&#10;TrQAgFGO9LSdKAE60cdKdRjnmgBvSigjnFFABwKMUp9KPSgAxxSU6koGGaT1xS0n1piD260Uvfik&#10;9aAGkdMU0jinmmgcYOaAGdqQ0403uT60xCU2lOM0UxDe9IQKd9aMUAJ1pcUUYz9KADGOOlKKKMeg&#10;FACEUYpTxSjkZoATpSdKcR60mCKAD0NJinCjrSATFLiil4oGGPWilwaMevWgAxzRSjI70Y9P5UAJ&#10;inqOOaQDHpTsd+tIYvvThzSCnAUgClNGKWkMTFGOaXvR1oAMCgjilHrS5z16UANoxS0hHtQAep7U&#10;ppCcdjRnp1oAMUopRwaKQCjpSj3oGAemaUUAKBTgM0i9acBSGOApwpvWnipAzuwpcevNHsaPwrUk&#10;XrSdDRR3oAMCloGKD+H4UALik+tAFLgd8UDDHHSkxyMUpoxSACMUmM0uPTFGOaYCEZNN24NPx7UY&#10;oAZRTiKTGaACk7dKXiigBMUd6KXGc0xCUmKMil9KAGkce9IeOKcaTFADT+tMJqQ5phGetMQykI5p&#10;2PSlK0wGYpcDPSilzQAn1o/rS0A9qAExR2p2OaB6UCG455pcZFLjigigYUD1pQBijjNIBuO/SjFO&#10;xSdaAE96O/FLtpcUAJjvmlxR1wOaOlADgKWkFLjikMAM9qcOKAKUfSkAtKBSU4UDFpDTsUn4UgE+&#10;lL25ox60tACUp/nR3pKAFxRigUYHWgBMUUuD3oAzQAYOAMUooxS0gHDFJRS4oGKo9DT+9Mxj8adx&#10;SAcOtKDTadUgUuOtFJjinZrUkT8KCPeloNAwx2NGPrRjNFABSjvRiikADpRS8GlxQA2ilxRj3oAO&#10;9GKUUtADMUhFPxSEUwGY5ox604UEcUAN60gBp5o7UCIwPypSKdSGmA2kp34UmKAG9+tNOfwp+DSb&#10;aYhmKMcU7BoxQAwDrSgYFOpCCOlADefWinYooEMGaMcjjmnmjtzQA2l6UpHSjp2oGJRS8Yo9qAA9&#10;aQ9OtL2ooAaOaU9eKXAxRigBuOtKAMUo69KUUAAp34UgHNL0FIYUoznrQOadikAoFOA9KQcCnfSk&#10;MUjikA9aX60UAJ2pDS0UAJRS4pcUAJjmgClA4pQOKQCUe+adzRigBMcdKKcKPwoAQUd6XFFIYAjN&#10;PzTODThQAoPP1p2c9abml60gKeecUUtHFaEh6Zox0ox7Ud/agYtHSjtS49aQB9aTnNLRQAAnNGKB&#10;TutACYpcUUtACAUpoFFABSUvSlxQA0j1pMcU/GetJigBuM9KTFPP1ptMBDmmkYFP9qTFAhp6UY9s&#10;UtGKYCY9qbt9qkowaAIse1GO9PI5pCO4oEMI5pMcdKeR1pMe1MBmPWj607FGDQAhFGKdijFADdtH&#10;anHikIoAbt70fWne9JjvQAg75oFB+tFAg6UDr0o70HpQAUvPYUA4p2c0DEAxS0DrSgUgAc05RxTR&#10;UnFIYYpehoFLj8qQwpf5UuKKQDcGlHNL9aUUANxzilxxS9KMcUAJQPalxQfagBAB2paSlNAAMZpc&#10;80lGcUhhk56UHk0ck8UUAKOTRmk7Uc0AOGO/504GmA0o/GkBXxxmk7cUuOPajpWhIUY9KX3pe1Ax&#10;MUUtGPxpAJS0p+tA70AGMUvWk60tACYpe2c0UvNACUopO9KOKACilA4pKAFpDRzQf1oATHrSUv40&#10;YoAaaKcfak9KYhKSndqXHFADcUuKO1AoAQ03FPNIRTAaRzTSMU8fWkAoEMoFPxRTATFGKXFGKAGE&#10;UYp5FJj3oAZg0GnYIpKAGEUY9qXtR70CG4xRS/WigBMc5p46U38admgApfpQcEUoGaQxQKcKQUua&#10;Qxehp/FMFOHakA7tQKTP40o4PWkMKXt0o4oPagBKX2o7UdKQB2pMUvejvzQMTvRil6d6KAEopT1o&#10;70xBjNJg0UtIA7UUnagZxQMU0BqPaj8c0AQ0CloFWSGM0YpaMcUhhijGaUYpRQAmKO9L2oHegBMc&#10;0tLR2oATrS4o6UUAJ70UtFABiij2o7UAFFHOKMUAJij+VLjjrRjigQ33oxzTqbTAKKO9HHNABR9a&#10;KXFADaCKWjsaBDcUYpTRTAbilxS0YoAbigD3p+KTHFADaSne9IRzQA3FBFLR1pgMIpCOacab2oEN&#10;xRS49aKADFKBiilxxQAU7qaQE0ozSGKKUUAU4UhhS8UcUDpSAXtS4oxxQOaBhSikNApAL2pfWjrR&#10;2pAFFA9KM0AHGKKKO9ACUUUh4oAWkpf5UCmAfjRmjvSGkMM0E+lHvS/WgRH9aAKXtSiqATnpQOKU&#10;UgFABSijpQKAFpMUtB7UgCjFHegetAC4xRRS0AJRx3oxRigA7UlLjNFMA75FHBoxRQAlL3ooxQAh&#10;pKdSYoEJQeuKCKXFMBKOaU8CjFAhKP5UtGKAExSY/KnUUANxR0p1GBQAgFGKWg9KAGY5opxpuMUw&#10;EpD7U6m0CGmm4px5opgNIpKfjNNxQAg4p2PyoApcUAHbjigZpaBSYxwFPxTRTqQwGKBxS80hpDF+&#10;po79KKXpSATGadijrRQAfjRRRSAO9Jxz6YpaKAEPPajvS0UAIetHWlPWkoAQetLik70tACD0petA&#10;o/CgAxRzRRzQA3FHOOtLilpgNxS96XFHagBuKWilFABRRxR2GKAAUdKPpS44oAKSlxRQAY/Olo75&#10;7UYoATtmil6UUAJRilxQKAEFFOpKBCYop2KMZFMBhpQM0uKB1oATFJin0daAGYox7U/FJigQmKMU&#10;7FHegBuKO3Ip2OaKAGfSinY4pMUANIppp+KQimIZimmnkUmKYDcUYpaWgBpFJinGjFMBuPypcd6X&#10;GaXGaQDQKdilxR1pDAUo6UUUDFpaSlpAHal9qQcYpffmkMX6UmPSl54o/CkAgpaWkxQAYo/CjrRQ&#10;AnTijvSn0oxQAnaj60Y4ooAKTv0oxmigAFLQKOvTpQAGk/M06koATGKXHvTselJigBKXFBFLii4D&#10;TxQKXFL2pgN70UtKR0NADelKAKWk70AFGKXrRQAfyo70pFGOKAEApaXFAFACYpPWnY96MUAN6fSg&#10;dKdijGaBCUUuKXFADcUmOadRjvQAlLjilFLg0ANpMdadRxQA3FGKdigD8KBDe1GKXFGKAGkc0Yp2&#10;KQ0wG4pCKfSEUCIyKQ08ikwaYDcUU7FJgUwG4pMdKfikxQAmKMU4UYzSATtQBTttGKBiEcUAU7FL&#10;296QxuOKUClA59qUAdKAEA5pcZpQOaXGeKkY3FLilxzS4496AGYwaMU7GKKAG9qMU7gUUDG0GnYx&#10;zSUgEwaTFO7GkNMQ2jrSkGgDFACc4oxTsGjHHWgBAKMUoHFFADsUuKdRUlDMUmOaeRSEUXFYbijo&#10;adSUwG0dadijHcUxDcUuPzoNLigBPail96MUAHfpRilxSYoAOtLjiilFACUDpS0YwaAEFFLzS0AN&#10;xS0oFGOKYhMUHmg8UtACUtGKMUAGKMUuOaKAEopcUYoENo707FJigBMUmM0vejFADaSnY4pKYhpH&#10;FGKdRigBmKQin4pNtADcUYp2KKAG4pQMU7FGKBiYoxS4oxRcBMUuKXFFIYlKBRilA70hhilApcc0&#10;4CkA3FGOP6U7HFJ6Uhjce1FOxSHpQA3rziil560lAB/Kkp1JTAb7dqSnYoxigBtLil70UAGKO1Ke&#10;tKBSATFJin0mKAHYoxxTsd6SpKE6igClopgNxxRinYoxTEMI4pMYNPIpMUCG4opcUuKYDccUvFHe&#10;lxQISjFL3oxQAlKRRS4pgJijHFOxRj0oAT6UYpcCjFACYop3FJigQnWjtThSUAJS9+lLigUAJ2pa&#10;MUtADcUd6dSGgBKSnUmOaBCY5op2KQjmi4DCKO9ONJ2ouFhO9JihmVVJYgAdycCsq71+2gmECAs5&#10;I+ZvlUDcBnJ64yOBScktxqLexqYoxTUiK/M7bnPU9vwqSquIbigD0qORJFYvG/HUq3SqVvrlrNtB&#10;3KWyQVG8cHHJHTpScktClFtXRp4pMUqsrjKsCPY0uOaLisNxS4p2KMc0XAbjtQMfjT8UmKBjcECl&#10;HWnYpcUgE60vajFFIYYo70dKBSAQikxTjSGgYmBSYp3FGM0CGAUGnd6MdqYxuMdqSn/zpKAG8Y/G&#10;lpcCjFACY4pRS4pB0oAKWiikA/pRijGaUA1JQmM0mKdRQA0CilooEJ0pKdRg9aoBmKSn4pMc07iE&#10;IopaKBCdqO/vS/hS96AExRS0YouAUUUoFFwE+lA60tLigQnailxRigBoFL1pcUYFFwExS0uOKTFF&#10;xCUEUvWjFACdqMU6igBuMUYpcZoIpgJik70uKCdqknoKAGSkLEzKCWCkgHpmuasfEVzdwl5Ld02E&#10;iVUhZivpjNauo6utjb+eLaaSMYy4XCgE4qlo15DfS3dyJGKvMrqiKcY8tRz69P0rGUveSubRjaN7&#10;D4NVtTuM9zI646PblQP0qnfaxpk+r6XA5AUSs+ZE2gfKQvXsSf0rYuZLL/j4nRvl/iKNxWZNq9jq&#10;V3tgs5b2SJSoURcE8Ecn6USfmEUr7HQRlZVDRnepGQV5FKRtUluAOpNc94Z8Vt4V1u7J8PzeSSsD&#10;ouXAPUY7DtVrxZ4wHiC+tY5vD1xBaQ7nLdyMDJYLxj6+tZ/WdbWL9hpe5HqniCytNlsk6Pcz8JtI&#10;Krk4yT2HX8qdYTaTptv5Nu+MnLsI2Jc+p4qPTpNCliXyFhJjyBuTG3OM/n/WtO2msoCRBJGuTyM1&#10;om273IdkrWKFzqUKDfa3bIdwLK0LMpHftxxmptC1OXVtOW5ktzCTwRzz9M9qo3OrLe6z/ZdjeeW7&#10;oWkk68AfdT0OMnPtWvo4/wCJLY56/Z4//QRRFty3CSSjsXMUtGMUtamQlFLRjmlcYmOKO1L9KMcU&#10;AIaBS0lAB9KAaWjqaQxuOKTvT+9N60AJS9O1LSYpgJ1GaKXiikA3GaKd/OigY3pRindaKAExwKMY&#10;NFLigBBRS9BQelAD6KXHFGM1FyrCEUUpoouIbS/WlwM0YpgNxRTqMfrRcLDcc0hGacRQRxTuIbii&#10;loxTuA3FFOxRjmncQ0UuKXFKBRcBuKXHFLSgY4pXAQD3paUUYoATFGKWlxRcQ3FGMU7FGKLgNxRi&#10;nEUYouIZijFOxRimAlFLijpQAmKTvTsUYoAbQBTsUnegBrIrLhlDD0I4qjosX2fSLZIzt/drux/e&#10;xg1oFQVI9abHGI41RcYUYFS0my07Rtcz9YOpNp0iWDjzicAE9u9JpenR6fa5CETyfNK2cktWkRVP&#10;VJvs+mXEgbawQhW9CeB+pFDir3EpPYrXERuvh/DAkn2eeS5FyxjB54AUe5wBVPwP5tsbzUdSlkKr&#10;bSp5N0MKehz78iuhiYwwpCv+rRQgXHAFQW9rFa2z28akxsSzBjnOa5Pq8nLfQ6PbRsSfa4b6Q3lv&#10;bRQxS4IVUA3DHUj1p+7/AGI8emwVj6ZNHaGWxlkAkjlwoY8sGJIP4kE49MVr4rqjFJWMJN3M5La3&#10;XX5pY7eONjbp91cc7nyf5Veij8uMJuLY6Z7ew9qUwgzCXJBHXHfrwfzqShLUbeglGKXFJ0NWQFH9&#10;aKUCkA3FL2pcUlAxKTNLSjjmgBKDwaO1FABRRilA4oGNxR1pxFJjFIBtGKdjNJjmgBKKdjijFACY&#10;o7UdaO9ACUUvvR3oAKMcUfWj60AS4oxUjoytgqw+oqEviQJsc57gcVipI15WOpKHZY1y5AGQPzoY&#10;hE3McL60+YXKFL2qKK5hnbbE+4/Q1ORjrRzBYZjiloZlQZZgo9ScUKQ65Qhh6g5p3FYQjvRilxij&#10;FO4WG4oAp5FJincVhtGKdilxTuKwylxS4pccUXFYbS45pcc0tFwG4pcUuKXFFwG4pcUuKWi4huKM&#10;c07FGKAGfhRinYpcUwGYoxTsUYouIbijFOxRigBuKMU4CjFADSKQinkUYpgMoxTsUmKBDcVUvYHu&#10;Ht4tuYvNDyHP93kD88VdxSYoAbikxTyKTFMDNi02NtXmv5IQr8KnOc4H3vr2/D3rSxS4pcVNrDvc&#10;bS4pcGjFADaKWjFACY5oApaKBjaMU6kxx70ANxRindaMUAJjNG3jFOxSj3pDGAUvenUUrjGkUhFO&#10;pKLgNIoxT+9Jii4DcUe9OxSY4ouFhv0oAp5FJii4WExzSYp9Jii4DaKWjFMD1VrWBz80SE+6ij7F&#10;bf8APvF/3wKnpa8i7O+xVk0+zlXa9tEw/wB0VXbQ9NPP2SPP0rRpTRzMLIzF0LTc5+yR02Tw7pkn&#10;/Lqq/wC7xWpTj0p877hyo5+Xwlpcy7Xjcj3alTwlpSLtWN1HorYrd4pRin7SXcXKjn5fCNg4wjSo&#10;D75qovgSxR9yTSA11dLin7WXcORHLt4LgI/4+5QfZRUEngyQ5CXSge4rsKMU/bT7i5InGDwXcLgf&#10;a0OPUGhvBlzjIuYv++TXaUdaft5i9nE4J/COpCQbTEUwc/N+VMbwlqueBH/30K9BFLin9YmL2UTz&#10;0+FtTUf6pD9HqE+H9SB5tHP0r0fFGKf1iQvYxPNBoWq7mzZttz8uBzj3pZNF1CJcm0mH1FelYpcZ&#10;p/WJB7FHlv2G5HWCT/vk1XliuojkWkrrkAkD1OOles7aAgB6UfWX2F7FHljW0y9YZMf7hqMoV6gj&#10;6ivWCgbqAfrWDr+hzaiYzZpGrIDnPFXHEXdmTKjpocJijHFbx8J6oP8AlnGf+Bioz4Y1Mf8ALDP0&#10;atvax7mXs5djFxRitZvD2pg/8ejn6Uw6FqY62Uv5VXtI9xezkZmKMVoNo+oKObSX/vmom06+XraS&#10;/lT9ou4cjKmPajFTm1uF6wSf98mo/KlxnyZf++DT50LlZHijFSGN+8T/APfNJg4JwRj1p8yFysZi&#10;kI5p4KsuQcik4o5kLlYzFGKflfWjinzIVhmKQCn4AowPancLDMUuOadjNaNpod/ew+dDENmccnBq&#10;ZTS3KjFvYzMHNGK1j4c1Uc/ZwfoaYNA1QfetH/AVPtY9yvZy7GZikxWkdF1FSd1nKPwqJtMvV62s&#10;v/fNHtI9xcj7FLFGKsmyuV6wSD/gJpv2aYH/AFT/APfJp86DlZXxRUpicNgxsOM8ikKHuDRzIOVk&#10;dLil24oB3E47cGjmDlYmKKUijFK47DTQKdiii4WG0mKfjijFFx2GClxS4pccUXCwzFGKdikpXCw2&#10;lxTsUY9qdwsNpMU7FFFxCU2nYpCKdwPWaXJrnl1m5I6KfqKcdclwPkT868i53m8DzSkisAa9JjIh&#10;DDPbNC6/I+MQADPfIoA6AUGsVddOATDkexp51wZH7hsHv6UXA1sUtYx8QxAgGM/gaUa9E2NsLkEd&#10;c0XA2aKyl1uDPzKy08a1bE4+bpnpxQBp5ozWd/bNoCcsR+FKusWhOAX/AO+aANEUtUF1W0bcBLyD&#10;g5HSnLqVqxOJQe1AF0Uuaq/brYdZlH1pP7Ssz0uE9etMC1mlzVdbu3YbhKpGM9aUXcH/AD1X86Vw&#10;J6cKhE8Z/wCWi/nSmaIf8tEH/AhQBMKWoVlRujqfoaeHT+8PzoAeelOj6P8AhUeQehz9KfGfkP1o&#10;uMD3pM4oam9aBDs0oPrTRnNLnmncBfrR+FIKUdaLisNKgnkDFNMaHqqn8KkoxzTuFiP7PCRzEn/f&#10;Ipv2K1J5t4j/AMAFWR0oNHMwsVDp1kR/x6xf98Cozpdg3W1i/wC+avHpTeM0c7CyM5tB0t85s4+a&#10;Z/wjmk4/480H51q5FJT533FyoyW8M6UR/wAewH0NQv4R0lwR5bqP9lsVu54pDT9pLuHIuxyF7olj&#10;YTAQKxIXJ3nP+elbGhqBp5/3zVPVH3ajKv8AdRR/M/1q9on/AB4n/fNJyb3BRS2NDFAFL3pQakY3&#10;FBUGlJ9qKdwsMx2xQUX+6Pyp3eg9aLhYjaCJusaH6qKYbW3P/LCP/vgVPkUhouwsVjYWh620X/fI&#10;qM6ZZHj7LH/3zVzsaTvT5n3DlKDaJp5H/HrH+VMOgaaetqlafag0c77i5UZP/CPaYOBaqKa3hvTG&#10;/wCWGPoa1sUYxT55dw5UYj+FdNfHyOMejUw+FNO/6af99VvUdqPaS7hyo55/CdiRwZB/wKoz4RtT&#10;0mkFdJRR7SXcXIjlpPB8BUgXMi57gCmf8IhGP+XqQ/8AARXWEUnan7WXcORHE6j4b+x2bSxSPIwI&#10;G3b2rENtOB/qZOP9k16f/FTsAdquNdol00eW/Z5sZMTgY7qajKkdv0r1UorDBAI9xURtbfPMEZ/4&#10;AKr6w+xPskeWkgtjPNBB7V6h9jtc5+zRf98Cmtp9pIMNbRH/AICKf1jyF7IzjorY/wBeScd6adBz&#10;gllLAdSK4Q+O/EkYJkggwO/lkUD4ia8GP+j2xAGeAa4jpO7GhOMfvBx6Uo0WRV++rH3rik+JesRD&#10;97ohl91DD+lPj+J+ou3zaC6j1O4f0oC52DaPPxgpwOgHWmvocpbIHOMcNxXM/wDCzLgY/wCJT/4/&#10;TP8AhZ8+QRpQKkZB8ygLnTrot0jZDDp0/wAmnf2TcDJIDcAAZwK5RfiyisPO04gdyr1aj+K+mOcG&#10;xu84z8pX/GgDoDpl0oIWIY+tNOl3RBBViDxgHjFY6/FHTzgfYLrpnqv+NPX4naacZtLkfgKANJ9M&#10;uVbiEOP9of8A1qcumzqDvRuT0QYxWaPidpG8K8FwnuVqyvxI8PMObiUN6eUTQBZjsrheGgZjuPPH&#10;SlNjckggFMdgoqqfiN4fyR50/HP+paj/AIWP4ezjzp/+/DUDJpbCYurtG8mARgHbn9aattOeAhiw&#10;MYPzA/rTV+Ivh48edP6f6lqli8e+HpRkXZUZx8yEUAJ9nZQVfe+3HCpil8nj5IWzuBG/I9KuDxd4&#10;fdQf7UtlH+0+KG8VeH8j/iaWn13igCnJBI4BkDEA5Hl5OD+VRIqkjakrk93Tj+VaS+KfD+cDVLX/&#10;AL7qRNf0CXpf2h/4EKAMswzph98UaKOWDEcflU6YRmHmSOwxyxyD9Kv/ANraI5CC7tTu7ZHNWkud&#10;Oc5WaA/8DFFwMh5ZgQFZk3HC89T19fQGr9vrUNvCtuxLypkN71bWSxYgh4CQePmHBqlc6SJ7tbi0&#10;ZQB9/nOT+fFFwLR1dMbnidEyBng9TipW1O0QqN7Ek44U1VexlIztAOMfeHNRLYy43FDnPbFMReGq&#10;2u7Bcrxn5lxSf2zZEErKXwSPkGeaz7jTppodojINU7bRtRt2JVIWXPc//WouB0CanayY+cqDwC4x&#10;mpDe2yfenj496yDY3Dsd0RyMH2/CnPaS/Z5FMTncpGF4PSi4Gut5buMrMh/GmnULRWwbhAfrXLXt&#10;hfSShooXx+H+Ip9na3MbjzY2X/P1ouB1qTxSLlZFI+tK0iD+Nfzrnmjc5ChvyqHynVRlSeBzjrRc&#10;Dp/MXn5h+dRmWMN/rEz/ALwrj7trxmIQPtI6Ln/CrNvbBirSjLqc/jjvQB1Ctu+6c/Sn5xXOM7Rr&#10;8hZBn6UwvtBVpJMnJ++c0AdKWppYYrkbm+ug2IZm+nH+NVYzfSOGkkck9QG/+vRcC3fXIbVrrJAw&#10;cflxVrQ9XthDLHuLbX6qMivMbu8m/t26j852VpX4JPqa7XwtY3R06eVYUIdvl3daok65tVtUGS5/&#10;Kmx6zZyNgSEH3FYLaTfytmbPfGw9vxFTQaW0Iy0GZMDJ296Vxm8b+2U4M6Z+tKb232k+auPrWI1p&#10;MxzsfGTkEdabLbzCPCwv26Gi4zcXULR/uzoc+9TCaMjO9fzrim0+7aQkoVH+fetCO1ZB8wLHORx9&#10;3jFFxHSeZGTw6/nSGaNeGdR9TXOrCVPRunOBzVS++ZQFSTJOB8p5/Q0XA65XRvusD9DSjFcVYLeL&#10;JuaSRV4+TcR3+grSzICWaRsj0Y4ouB0mRikyK5t5CVxLK4XtyRkYrLuLyeN91rdlfY8/zNFwO4pC&#10;K5Ow1PVGP76RmB6Y2gfpmr7Xk3P79s/59qAN2iuea6uJkUi5dAecrgZqtJquoWy4jlilIGSJGyf0&#10;FAHVYpK5eDxFeTY3w7fUiJsfrV4apMfQH0K0AbVJWE+oXjMfLmjGDgjy844+tRtrtxEcNCr++4DN&#10;AHQE04+tc2PEuWwbcKP9/Na8GpW8sCMZUVm/hzQBdptQG+tgDmZB+NNOo2fA+0Jn60XAtU0cVCt3&#10;bsMrKpH1p/nxf31/Oi4WPNI/EugMGzq1rJk/8tXB4/KpF1vw5ktHfWG7PQMorxFbR5JVQKBu4zRH&#10;CImIKBm6Yp8pPMe6jxBp7Z8q8hbBxzKuD/nNKNVilZgL22X1B2n+teGtC0yqqQru5FUTEVYqVOR2&#10;p8ocx788emzbt72sp29AyqM/gaeltpG5kjS3GBwNwPP514G9u8e07SAwyOa1PCsDT+KtOiIJHnKT&#10;z2qXEdz3E2NoY9pt4z8v3REMfnUB0fTduEsIsgfxbhWj5P3ssxHoMf4UMY0B3AHnHQZqRmUdBsGy&#10;PskagDGIy1A8N2ByBC2Bxgk1pGaMkgKpBOPlwKcwLA/LtyR0I/xoAzm8N6WwYS2sRHtnIqJ/C+jA&#10;kpAPohArY2SDq+MnjA/+vThF/eJ5PbPP60xmA/hrTgD+4kwSMYccUw+FrFz0Zfm4wRUnjS4nsvCt&#10;3LayNHMCoVkY5HzCvHh4q19Dxqtx/wB9UJXE2evDwfprn5955zw2KVfBmkjHyyZxnh68lTxj4jjX&#10;jVJcH1AP9KlHjbxIqhf7RYj/AHR/hT5RXPV/+EQ0ofwzH5emeKjbwhYHO0ydhgnpXl6+PPEgwPtw&#10;49UFWE8f+I84+0Qt9YhRyhc9H/4Q2zycu5Gc9en6VH/whdqxH+kTD3A6Vwh+IPiaPaWNsR/1yr12&#10;xlaaxgmk272iDNjgZIoaBM5z/hCbRQGN3L06kUv/AAhVsrNi6kBGOSBXTsc5GR0H0/nS5yeDnn1/&#10;+vUlHKL4SVGJS8lHPtz+tXNB8cHSNPaybT7icxyN86nr2/pW9zk46c/561j6XNaQWMaGWPcRuIPX&#10;k5oA0h8R4T10u8H4CpE+I9iVG6yul+qimLNayYxLGfoRTwlqTn90SQM9MUCJB8RNMx80NyP+AUv/&#10;AAsPRsgsJx/2zNRGK1PaLv6VGbexI+aOE9OcDNAFz/hYOhZ/1kw/7ZmpR4+0FsYnf/v2azPslk3A&#10;gg/ACnDS7JgAbWI9OMUAai+O9AI/4+WB/wCuZp3/AAnWgkDF2f8Avg1lf2RYf8+kR687ab/Y9hyT&#10;axjOOdvWgDaTxroLcfblGfUEVIPFugueb+H8TXONounFTmzTnPrzUf8Awj+nMf8Aj1UdOmaAOqTx&#10;PoDjIv7bHruFO/4SDQieL+1Gf9oVyY8NabtwYRn2PFNbw1pmf9R+vtQB2S61pD8C8tT/AMCFA1PS&#10;XPF1b5/3xXFDw1pvXyMD/eqJ/DOmu3+rYcdA1AXO8+16aTxPAf8AgQoM2nsOJYD/AMDFcAPCemnJ&#10;zJ9d1MfwlYEEbpl7cPQBLq6aVp+s3UoMIJwwIOevPFLpXjy202N4RazTgnOUrznVrNbPXHgVnKI+&#10;BuPaup8KKn9phSoIKGnYVzrT8TbMY3afcjp6U8fEzTe9pc/kKc1pAQXkhjKhepUE0h0yyGc20XJ5&#10;+WkUPX4maQTgw3AOM/dqVfiPoR43zDHrGazm0ewZNrWseSDxioW0jRzx9nhJz60CNofETw9ty1xI&#10;PrEanTxz4ffn7aF/3lIrmW0DR2O4xx/g9L/wjWjvyE4PQhxTsFzqP+Ez8PH/AJf4s0L4s8Ov1v7c&#10;f71cmPCukscAuOo+9zTP+ET04k8vkHj5hRYDtB4l8OscDUbPP+8KkTWNDl+7e2p/4EK4Q+DbBidr&#10;uOR3BqM+CrVj8k0iqR97aOufrSA9B/tLR+91bcf7Yp632kv925tz/wADFeef8INbZ/4+XweMbetN&#10;bwTAoyLlv++aAPRxLprdJbf8GFKW088iSHj/AGxXl58FRgEi6bIHXZSjwWgG03jANwMA80wPUClg&#10;45aE/wDAxUf2PTCeEgP5V5qvg1hjF7JjPTninr4Plwdt/L0znnH86APSRZ2X8IjH0NO+xW/YfrXm&#10;58J3EfA1acZ7Bj/jTW8O36nC6xccdP3jf40gPSW063YYOfzqFtGtGwSG4/2jXnQ0PVlJ2azOMHqZ&#10;G57+tO/snxABlNakPp85oA9D/sa2IOC4/wCBGo5NGQZaJzuxwDXADT/EyjC6xJ/33Vy0vdf0RHnu&#10;C2oFiFVC5+X34oGdZ/Z1yBgqv50w6dcnrH9eaw4/HGoMdraQd3sx/wAKnTxvdbQW0iXB9M0rjsaD&#10;aVcE52EfnTf7LuVBwD+R/wAapr46kBw+lTj6Uo8dxgndptyPpii4WPB7Zme63mMgIpIqgZG3Bhkc&#10;5zWzFcX672lKOioTtAxmoH1ZY8brOP8AIf4V0GBWiMjgvGMsOOfeoJ7VoYlkdxuP8PetB9ajCjFv&#10;HyOQFHFMGrxSH5rZD+A/xpiK92HLRKoJxGOK3PANq83i624xtDHJHsagmuLiKQvHDAQBwSvNb/gW&#10;8u5/E0QeGKNAjksox2qZWKR6gLXJy79T2J/xp4ijXPzAZP8AeP8AjSOpIH7yQc9E5z+lVvLUOv7t&#10;8sxwHj69T/drI0LTTRJ2fk/wgnNRm5YY2ROMt3U8/pTo4Dx+6Ree68/yqYwqoBZwOc4/yKAKoe5c&#10;9BHyeMn/AAqRY5SBmRxk9M//AFqTzokbC/NycgsKcssjhQkWAc9dpP8AOgDnvGieV4ckY5OXHXH+&#10;FeHMw3HgdfSvb/GCySaCFKswZwdoHOMHNeTtHo+Mnzh+f+FVFpEtFCcgWNsMDJ3H9aZHGZG4GTjp&#10;WpLDYvFEHMkQAO0N1IzQkVkqfJcbcDk8frWtiDJOEZldBx371o2dss9m+1Pm38flTpLOylYubrk+&#10;4/xq5bm1tYV/eHy9/wB8YwDjvSsAy2tWljZpCAijGO9e32UYWwtxn/livGfb614oZ7EBtlzksegx&#10;+Ve2WiO1hAAOPJXj8PpUSdy4qxPtHI5PtzSlhn15/KmtE3c/5/KmERhhlc/N2X/61Zl3GyzbY3YA&#10;nCtzg1wMDW6tHDLuaaQAKgOK7m62+SxVM/KRnbx1HtXnUNm7eJYC77gi7gBxgVLA3RpyDG22fjP/&#10;AC0H+NOFhjn7PIPU+aMfzq8snzAAZ69B/wDWpL2++xWUt0YpGVFBIC9fpUoRntZJzlJV+so/xqpq&#10;BSwsZJDK6jA6nP8AWj/hK4mI3WN6o/655/kay9Z1kahF5KWt15ZxkmI5zn61fKxXNnSV+2webHPK&#10;fxwBxWi1tMnAnuu3RuKxbDxLpumaekTQXMSxr8x8psfWr3/CXacVXK3ODg/6hqXKx3RaXzRnE19j&#10;J7Go52mSIsbq7UAZywP+FR/8JTpfy/POTn/ng/FUdW8S2Etk8UTS72GCWiYf0osxXRDDrTSvGkeo&#10;5ckg8ngVtxDUVwwuWOAOx4rlNDvNDsYhJM/+kZOSUY8flW9F4p0ZRzcgDA4CH/CizHdGk91qSMVF&#10;6yjGfmi4qGS+1EEZ1MAe6YqE+K9DYjN6o4PJBH9KrXfinSGhfZfxMSOm7/61FmF0A129VX36pF8p&#10;4+YZIqxFqmqyxK4uIyGHTdXI6XFoDu89/exElshPMx3rqk1rQIIfKt9QtIxg4G/j8aNQuW/7U1de&#10;jQEe5oOr6tjpbmpbaeC9iM9tMs0YbaHU5GcDpzSOwCksMY56jn9aVxnD6yL+fU3mFsJCSCSh4zWz&#10;4TN6dXi3xiIcqTjOOK4m6aU3MvOBvOMH3rf8ISvDr1mNx2tJzk+xq7sVj2CNGRAJH3sM84xQ/LHj&#10;A9fWkTY3z5ywzj/P5VHkyRqy5wygglf/AK1NANbIPCnGfT/61eC64s1nr9/brLIBHO6jDEdCa972&#10;hGAxgs3p3/KvD/FNtN/wlGokRsd07HOPeqiKRjefdrGrfaJsH/bNIl7eqflu7hfpIasSQSC3iG1g&#10;fmJ4qsIZVOSjflV2IuWl1DUAQY7+85HXzW4/WpTqWprydTvM/wDXZv8AGooUZpVVgyqSAeO1LPFJ&#10;5snyNt3HHFKwXPSfhnfXN1p18l1PJPJHIpzI+eucdT7V3YkL5C9ASCeOK86+F0mDqUR43FTz7ZH9&#10;TXozkgLtI5OOv/16hloNhIPJzx3HNQvCx4JGOeM//Wpx3x53E5AGWyOcdutI00LHYdu4k46fWkMj&#10;2kDhRn6f/WrJ8RzXMOgXMtnIYbgbWSTbnbyAeo9M1r+XuIwqk8ZHHHH0qC4tFktpEmXeGTa3Hp+H&#10;vQJnlEnijxPbTRKdTZ97Y5jXj9KvL4u8TJx9qhb6xf8A160vEOlWlslpMke3FwoP0PFbH/CP2JH+&#10;rPPvVEXZybeLvEqbnMts3OeYj6fWktvGXiS5iVxJaDJ/55t2/Guqfw7ZFSNj/nWX4d0W2ubSXeGz&#10;HM6Dn0NCDmZW8L+MtX1TxGun35txHlgdikHODjqfWvRQckfN06/5zXlMVomm/EiOBDhPMjbJPriv&#10;VlGScZ44yc0mi0SAjGRg9uv69aiuHxA7KeVBNO2kZ2npnjtk/jUdxuMb5B+6f89aQzzZ/HclrqBe&#10;O2ld4H53Nwea6iL4kXsoDt4eyh7rJn+leX6hGUv7sAH5ua9J8MOk2hxblUkHHT8f61XKrXJcmXf+&#10;FkojKJvD84LcDG01J/wse1z83h27/wC+V/xrN8QhEitXRFG2Zdxx0FbCRwuobykOfap0sLmZ5LLJ&#10;5NrK+O2BisOabzW3HrW9eTfZLJ2Cgu2AuexrnAN7fO1akoYx7dqIRmdF9WApSNhyCD9RUunIH1K3&#10;QruBccUAbs5bz3T+622uv+Htolzq8/mbsJBkYAPOR61yWPMmZgDgseDXbeBIZo7i7uIGAZUVDlQR&#10;gnPcj+7UyCO56CiCEKwiKjnO8AH9KRruHGXmjQA557VT8i6uG/eSjBHOFx/JqRNPjHlrIztHtJZv&#10;NcHPGP4vrUGo5bywGN9/HnJ4YnPX61JBe2zIojO/jP8ArOf50xLKwUK4EhAXIJnf/GrMSQoUZQWY&#10;DAJbPXHqaAEFxO5BhtWZCMg7lP8AWoHgv5iuY2UDPJAP8mq1HJKkaRs+8qmDIQMk8VIZAqgu2VVc&#10;k4HNAGHNZyWstoZpGc/vSS2egic56n0rypihJ+UflXrHiCfbEjx5ZkhnYcdB5Zz/ADryNjwR3qWN&#10;FHVhiWEY6p/Wo4LaSS0kCxOxYcYHXmjVJD9qRSD8qjH0qzp11bJE5meYALwEbuSK6DB7kS6fdSBi&#10;lvIwAGCFq7ZRldPdZUAPmYKkdOlM+22yxMVnuEl5AAYgZqyuxbHdGWdJHJDt1zx/UGlLYIbktlbQ&#10;zXSIsUZY5x8o9DXq1rNcy2UKokoxEvAVh2/3a8u0V0TWLUyH5S+0/iMf1r2aEiGFYlztEYTOCD6V&#10;gjoZUjsruRvnkIB7Fv8A7GrMVjFj5yrkPg7dpx9eKfLes+AiMxWRVOzOR0PPtzn6VJG8xbBX7xJy&#10;oI/OmKxSvlgiVVEY5VuVAx2/X/69ee2+19auXw2FAAwp47ehr08pst984UlEJJxwPXrXnukWQuY5&#10;rhthMsnOQv49QfWkxEsL5nXjPJ6rgf8AoNXruSIaZN5uwJhQeeMZqpPoiKPNAQhcn7q9P++Ko63C&#10;bfQJ12Yyy9Fx/EP9kUorUGdkknht0yktiR9RWXpkGh3l1qDSm3ZUuSkY3442jpg+ua86trNrraFZ&#10;QpXJY+uelPstB+030/2m7htxEQI9x+/1z/n3rpsYXPQfE2m6Evhq9MKQiXyjtKuSc/nV+y0rw6bC&#10;2DiEN5S5zJ3wPevMNTsRp7xgXEM4dScxnOMetQ2lldXocw+SFUgfvHwelKw7np1zo3h8F5VkQOoJ&#10;XEvft3rM0O20vV9HtLzUp0a8dD5nzhe57CuHvLG6sbczTCIqMfdkBJ7VTubWQ2UF55ilGcLsydwz&#10;RYVz1caDoBX5WTGe0v8A9emyeEdLlPE0yj0WQf4V5vbWvnISJo4yOMEnNW7a2uJ1BS/CkqHI3t3/&#10;AK0WC51t/wCAtJ+yTy+dcs6RswzIMZA+leXaTp0d1rFjZS5Mc0qI5HXBPNdHewX1rAXa8ZlPBCyn&#10;+Vc4Szapb20RCSOyhJN23aTxnIosUi7r2lW2ma7c2duCYomAUvyegNY9xFHuQYUc+lamoSy2WoS2&#10;9xtmljIDSByQ3HqRVJr1ZLmCHyEHmuF3seFyevSpGjtfA9wYfC4VBlvObnnH+FWr7Wn2yRKU6HkE&#10;5/nWfp8kFlaXNlBA6LDJ8zkjcSwB4PpUF5Gj6fcyq8+9Qp3SP6sB2rmlGTlozWMlY5cXLTzybsYA&#10;yMVv+GR/xOLM9CZPp2P0/nXPnT5IJ23Hblc/eH/166nwmm7xDYKOAsnQfQ+9aLYT3PSre+WJish7&#10;/wATAf8As1aStHMoCsucfeBBqrc24dW5kX5j1Yjv/vDiq0X7iXruwDyH9/djVAarW20kqv44/wDr&#10;V5N4vgni8UXqxXJRSVO3b0yoNetw3aNnAx/wIGvKPGrbvFt6QePk/wDQFpNsdjlZp7iCJcTuSWOS&#10;TVf7bOCD5meTnJPYZ9afqI/0eI+5qC1tmmtJpQRiEkkE8nIPSt0zB7k8Wo3BIGVOT3z/AI1otDeE&#10;nF1x6belYcPMiDOORXQElXIyeDWc27F09dzqPh/G0XiLULd33YgDE+vK16IqncQVJC4IJxg/TmvO&#10;PDRlg8W3nlMwLWqkkZ9vQGu8t7uVRlwzE465x/IUmXYvEnAUqTx0zyaZ9gEu5jlcHjDN6d6QTrJG&#10;wK7Tg9Bz+FWPNI+6w59hSAy7gLBlGukTGDlg2Ov+9Wfe3DT2Fxb295GZZEZEcYBBPfrW88m/5mwc&#10;jHBwOvsKpS2Vs2Ttk3YPWV/8aAZ5lf6TrFrbiW41ITRBxlSKspa66FBDswI4zLWz4iG7SnwOhU/r&#10;V2EhoI26jaKfMzJnNGHxABwB+MpqrYQ63crMLSVLcpIRIhycn1rsmHFZeiZW/wBQQg/63Io5mBxM&#10;v22PxTFFfujTK4BcDkjAP8sV7UbOI92GT2Uf4V5H4nCw+MLZ+TuXd9e39K9WGpoGyYtoOP8Alov+&#10;NN7FxJvsB42uwzwenAx9KYbVvL3eaShGeSORj6U0aug/hYLgciRcfnmk/tQEjIbkDP7wc/rUlHkv&#10;ia3totfmS3C7GhLYU55q3o17fw6dElmrONuSFAPt/SpvGUhfxJDIQRujxypFSeDSGj2k4/dn9Gq1&#10;sRIjv7/UnhWO6glCOwGSoABq/FJrpjXy9m3HHzDpVrxGAumlyfusDV3TBu06BvVBSctLiPL9ZkJt&#10;kUA5Z8/kMVhEEdjXQ3Oq/ZvLDWyOWUNy3TP4VX/t6P8A58I/++v/AK1aWQjDYE9iKu6OjNqUbY+5&#10;lvyFXjr8X/QOh/Mf4VPb6qkkUsy2cSeWOzYz+lAy3brwzkYz0FeheBoUj0y6uQ5BeXa3GcbR/wDZ&#10;V5iNYyuRaAD/AK6f/Wr1jwcSnhi1k+zlHmLOwAJzknB6egFTLYIrU6Bhnd8xHHUA5H60jME3Fg3l&#10;qoO7n3zx+VG9uuwgk46H/ClVmycocdOh/wAKyNRxIGWwfrk07k5I4JHXJ/lUWDuYgEE4GcH/AApG&#10;V/m2/KSw5I6/p6UATb25wO3XmmksOoXHqf8A9VRhWOc8ZIHPf9KUp68EnA3Y5P5UAYXiSYQQXhKg&#10;n7C6jHYs6DPT0yK8uP3q77xT4jtNE1Ca2vdP+2RTxIrDftK4O7+ePyrl5fFXhy5jaGLw88Ur/Kri&#10;bO0+uM07XYrnNasVN6SvOFA/SqyKvlLkkbpFH4Vq3OoaZHOyS2srOGwxAHJ/OmpqGlSEKLKbrkdO&#10;v51uYtEU0ax2rPgFsqRxWgJQ+lwlcKpJYqPqabPc2EUKmSyl2E4AyP8A4qrlvrGjWKCG90ma4yoZ&#10;NsoTaD271Mthw3E0m3a5vkCAkp8+MehFewp82Rt5UjIC8j/x2vNNC13R5/EFlFYaTNbySShTI84Y&#10;AHqMYr1NSg3crnPJFY2sbXHIpBJCqMnnjr+lKs+dpGCpz8wxgYqEyR4DPKMqzdGwMcjnmj7TbL0d&#10;QpXPXigZBqcrf2TeqxOVtmbeOB0PT8v1rl9IYfY41JB2ncfr1z1966LWL2H+x7pUdSXQxj5h1bj1&#10;965yJyNqhgVHo3T/AMepMk1VZHQZkUnB+bAzWR4o2JodyfKTIdVUgDkHHPHuT+VXUdAd5BOQBndn&#10;v/ve9ZPi+Tbo6Bf45QD82egJ9fanFaiexxun3ErySBS2FO1RzUxfzldpOSuScjtgCoNLDM7uHI+c&#10;n8hUBvWaK6KMQpARvfnP9B+VbmAW0mXL7eAc4qWLLXcrbeCQR7cVVtDhGJPBwa0rQb0J9GIoBkGo&#10;ZNv0xzUYkEtrbxj+H/69SauwitgABywz+VVbdsIn+0CRQhItLL+8KZ6cfpTYCdgzzwKhJ2SyOenX&#10;9KnGI7dGXjIzmkxojuNvnxYA+96exqjqkiNrUUqDajEED0G41YL7pY+c/Of5GqV4d2qwr1AKj9f/&#10;AK9HQtCTtm4c5zzVSU5vLYf7f9RVmY/v3/3jVZvm1C0H96QD9RUMo6vWnzbah6vIjY+gAqtpdv5m&#10;gatIXIKxoP1rRe0jvb24tp920n+Hg8fhWpaaRbW+l3ttGH2TGNWy3JG7txU21BM4a0Ziz55wowa6&#10;zwoCNfsiOu/39D9aoavpltpV80NuJNpVSd2Sen0q/wCGSRr1mQuf3ncH0PtSWxV9T1iJSVOd4O4/&#10;eJoeIFsknp2Jz/OkhZsYKsMseoP+FTYJ65xj8aCiELsJ2tj6nP8AWvK/GJ/4qi89fl/9BFet45Pp&#10;XmHi6fQYvE10l9c3qXA2bxHAGUZUY53Z6YotcLnE6oB9lhx13GqVsSEbnqT/AOgmtW6n0uVDiSdo&#10;FfCMY8N+Iqsk+kIBhp/xU/T+tbpGLKaHDr9RW7LIFJPes4SaSSBuuOP9ituW58Nxxobm51ASFc/J&#10;bqR+HzVnPsaU4uzkdJ4eK/8ACYT5AIayjPOPQHvXahYsAsFzgc/LzXnvhXUra98Vs9kJzEbZYlMg&#10;CsdoxkjPt611ttqV02pzWTwOBGNwk3dRn/eqWXFXNfCHgYXOeAV/wp/zDG05xjv/APWqsZmA68Z/&#10;vD/4qkFweOQBxxuH/wAVQSXtzbegxj/PakYjH3QCT6e30qt9o77gce4/+KoM45O5evqP8aAOa11c&#10;6VN6jH86s2pzaREf3RXO6trryG6tWVAoZlDYPY0lt4kEVukZjDbVAzzzT5dDI6k9aydMKx6xqCrn&#10;naeao/8ACVLjmL+dUotdWLUZ7mJQzOoDIQeKFFgU/Fw2+JbOTHHlqv45avVLUzvZW7bgcxqeG9vp&#10;XkGv6gdSureYqqGNhxzyM+/1r1nSJ45NEs33g/uVH5cU2tC4lv8AfDoq59Cxx1+lDSXBwAqD1+Y5&#10;/lS+Yg/5aA9cHjikeVBklsD3IqSzznx5katp77XBwwJIPPNVvBzbZvLPYuv9a1viGi+TZXCcgS4J&#10;9q5vQrr7DeTykFgkm7GexFXHVGcjrtdiEulyqRwMH9afozh9LhI7ZH61mXmu293ayQiJ1LqRkkUm&#10;j6ra2dj5MzkEHjCk1PK7COOvdCvbi6LJbybMALx2qs3hq/248h/f5a92x8+PNBwOV2n/ABp42lgC&#10;wHGcbf8A69Vzlcp4C3hq/B/1L4+lWP7Eu4NOeLyXLu2eB0Ar3URRnBZVyT/dp7W8JAGxefbFHOHK&#10;fPi6TqHAMEmPoa9602KOw0u0tQwbyIljzxzgYzUzW8RDAxIAeAfrVhrYbehz7StUt3GlYiE3IwoP&#10;Hquf50iTkhNqEZ5IO3P8/UikkiWPcTG44xuEjmkCEnPktgDrvfP8qRRLvfp5R9eSv+NR75GUHZ3z&#10;yF/xproE3ExOOMbg7n+lNVgCP3E5x1OZf8KAHq0wxjDAknJA/wAaN8zEEKMEk5IH+NJuXkmCUD1z&#10;J/hQThceTIcDr+8PP5UAeSePI7i+119iMwQ9QK5uw0u5+3RM8ThQ2SSK94cxFmBsz0HzeUx5/Kgr&#10;C6nFnj3MLf4U1Ilo8LfR7y4uHbyn+ZuuKadHv4Hx5L5B7Cvdz5OTixHB4/dMc/8AjtIzxnINmAM8&#10;fuW5/wDHavnVtieU8Mez1CYKkkUhAPGR0p+oafcy3blY3YABc49BXuBaNiuLQgA9PIPPt92pUMWF&#10;xZAd8eSf/iannHyHk/gG0MHiqH7VGVUoxUtxyBmvX0+zHHzdeeJTz+tQGNHnim+ylTGT92FgTkY6&#10;hanjKRqES3lAA4X95/hUt3KSsMVLdmVmlI+UhkEpwScc9fr+dTBbUAorHAxgCU8frSBQzMPKk2FQ&#10;Av7wY984/wA4qVwSP9UT9Hf/AAoGZurGNNNm8ptzkrtVpDjqPeufjuLiPIKITzz5v/166K/invLQ&#10;QwZjYSZ3SB+nIx2rP/sW/jiVRKrlFCljuyf1pCZWivp8lTEpPGD53X9a5/xhdk2MEJiCHzS/D57H&#10;P6murj0jUlIZjH1I4Zuf1rjPH8F5HFp7XeI3McjFVbdz8uRnNVHclnGQasiQOskcm85wyjFa/hrR&#10;Br32iAXBhLKHBKE8Aj/GuXRslCRweoNen+ArB40W8+QQSRuq4POdy4HqOhrS5nYxNV8OtoMYRriO&#10;ZcgZB55yeR2q9pWhzT6aLmOZMMxOCDkc1T8XXM0uu3dv5n7tJFxjn+Ef411fh5rUeH7Q/aAHaPLD&#10;I6+9N7CaucV4r0+Sw06N3kViZAOM+hrEs7tLiWGJFcbEIORXT+PZlksbYK5P7w5HXHFcfpyl522v&#10;tIHpSTBI19ZWXSt0NxA37zIR1IIP+c1Tl1C2+ygJNucADaUPP6VV1aXztSmkOcsd3JzVInnFDKSN&#10;O2vVuJ4l4yuSePaq15OsOprKwJVXUkDrjrTbRC0+A2PlPSobsn7Q2fQfyFHQZYeQSyNIuQGOcGok&#10;Yf2tZD0lGfzFNVwoHNW7QgXUTEDhwf1qRnU+aW1i4kWIt+8YYxz/ACrorCC4lsbmWS3ZFLxBcjhu&#10;fpWDZpJcatNsh3OzsQDxnj6V0Cxy2ilZLfy2llhBORz84Hp70mTHcwfFqKNdkUDHyrxt9h7U/wAM&#10;qBrln8v/AC0/u+30o8YQOmuszAKCg4ABz2Bzj2pvh9sazabRg+YOSMD88VJfU9YQhMArjcxHI5PU&#10;8cVKhJB+Ugc9Rz1+lRtDOzA5iAU5Pze3+771GA6ouGCjc2VZuT16cfj9KRZMxZQTjOcYAHP8q8S+&#10;IUUjeNL1gpIYRnp/sLXskgjICtNjIBIyOP0qvJZWk+HlhDscAlkXP48UKQNHgZgkawI2nIkz09qr&#10;C2lz9xvyr6EOlWIQ/wCjwbucfIuP5UjaZYgAC1h3ZHVF/Gr5iOU8AWCU/wALflVu8tPPtY3RWEqr&#10;nA7ivdH0+x25FlETzwEWuZu59NuNQ08W8MSI0uyUMiqQwzhT6ZOKznMuPunJ/D4PHrVmjrs3CT5j&#10;kZGOP8+9ekWcq3GpXcZ+Vohxhjlx6jn8K5W/vbAatYX1rAYJYpClwiYGCGGOnGOvPpVSfxFef8JE&#10;8VjHKY5G/dKijzCrAH6D1rN1CU7Ho/2fniXHPTLccd+aYYZAMLMp498f+hVjRXl6tpLNOFtJV8tV&#10;Erhh15BJArfbYMBWck56BcDvzWqZTsQeVLn7+efU/wDxVIUm7bu3fn/0KpQUBcF3BXGWO0KfpTjG&#10;G6SygHIz8uf5fWmBg6jp1vJHcBoY97A5JAznFZ/h+zt5dHi82GMspKElRng4rp5IrYScje2eSVQn&#10;8aaLa32ARxxqcgnCJjrz29KLk8pnnTrPH+oi/wC+RWJdWMMPiS12woIpY2U4AxmuuNta5yAhz2KJ&#10;/hSNaWxx+6hOT/cXj9KLi5ThPGWmwjR/NhiVWjcElR2rpPC0k8/h62xIBtBXlf8A7L3rTFhE0QV4&#10;bZjjDfIuD69qjtNNis42SCGNFLbtnHX8qLlJFlopsjNyo9P3Z/8AiqjNvLz/AKQOev7tv/iqjZGW&#10;T/j3hYY69QMH/dpC2zrbx9em08nr/doGc347hf8AsI8l2RlbcEIx+Zrj9DaOTWNrYaORVJB6dcV6&#10;HrM0b6NO08YMcfLRqhw3PuBWL4Y8S+G7K+kF9bxpA0eATbbsHIx0GfWhSsJq5oto9hjmGLNZOnWF&#10;umo3du0SlVbcmfT2/Ousbxd4BPRYj9LN/wD4mmv4s8BlSNkX/gK3+FFyeU0HjtyGD26DcwVWVRmn&#10;iK2y+bWNR0zhaqoIQqFIlC5yc7M805fIC/LGvLZOdlIsuLHAHGIEAA64FSjywVICgAe1UYxDuYrG&#10;oOcfw0jJBvYiBAwGA2EoAuqI8qQAQTk5qXzFOMHHPc1mqsBcZhXcB1wlP2QsUDwqzAZzhMZoAvNJ&#10;uC4fPzc5btTfMBDbZDktzknHHbr7VR8q2JGYEz7BKBb2zbd1vFkc8KlMRfL7ujZ55y1JuByY5MNu&#10;5JbPTrVHyLUABreIn2VKb9ntCRuto85zwqUAaBfqFcdccnj+dJvLBgsw645//XVAQWuAGto+p6Kl&#10;KYLXIBto85zwqUAXOecSgkkHk9PWgE9VlByaoeTbblBgXOSRgJUixQHGYlz7BKQy2A69Ju5PPP4d&#10;aj2SFlYTx465K5P86gMMGVLRjIB/uYpqRWxPzQoWxz8qYoEXI0dUB+0IcZ5IOf51IoZBzOpVV6nO&#10;f51R8m2zlYo923HRMVIIrf5iIowcAchcUDLY84MAJ12Fcd8/zqRfNXP7zPG3I6/zqoscOTtijDAd&#10;cLUiJEpYoEUkj0oAn3XBzukYAOCpTjI468+uaQTTqxyrdc8EDP600FexCjPPIpmQADuXHOd2M0AE&#10;rTSwgyO0bLk5BH/16Z5BVyVmkJOM78c/pTZ0VkQDoo6A4/limqMn5STg85J/xpAT4nLjYI8c53Nj&#10;P/jtef8AxKtp7gQs5CpFGR8pyMt+A/uGu8BbafvdDznp+tcH8QXke6W3BG2SBWPrkFh6+5q47kSP&#10;NvsjLEGLJge/NekeGLUDw9bEy7Ny54AyOc1wX9lyou6OQEjkDFWILi7tLYK0RcdPmLcfkaq1ybmv&#10;qmmPd6zdGOZmwdxPHQAVa0XxBa6bZeRut2lA2kSLnvWfaXMgj82PEbOCGGM8Hr1qqugicmZnwX54&#10;NVJXQrkfiS+juokRZ43+YthR93iszR4hPNKofaQuc4rdm0WzijT90GOOSaZDbxW0n7uMLkdRUw0Y&#10;zFu7WNL2RZLgZ46g+lRLBbYy8vT0BrdktIZZmd4gzHuRSfZIUBCwjHcYoe4GTZRxyXKxxswZsjOK&#10;r63E1pqLQyAq6qAQR0PT+lbqxBJIiiBcN2GOxrO8WhrnUorlwA80ZdsdMmR6fQOpgszFgQM8Zq9b&#10;TBtp/iFUVVl6ZFSRs0bg4qRs9NitTB4ljiLNncOgHRlB9D611EtmBayPK25gEIOBjiVDxx6VzeoM&#10;U8XWzbsBo7dv/Ia10ly5azmO7pCzcewz6+1D3ITOW8dWqR6tCNx5hB5C8nc3tWdpLrHe2wTHEikg&#10;YHcfStHxyd11bS9coVz9OeOfesTT5trxsCeCDS6F9T2zfcYLLk5xxgdD/wACqOaS4KnbtJGQPkHB&#10;x/vUsMjPAjbiRsBAz/8AWokLkENIcd+en6VLLRy9xdzmVkZnUFSBtAz785rTtbi7MYxyigdgT/6F&#10;WRq7C31SJHJPmnhsf/WrbskaOABWPIzn/IrCN+axtK3KSs91uDZ5HoBj/wBCprS3mGIQb8dCFx/6&#10;FUrGQnKse3Pr+lNDu453DJK4Pf8AStjIq3Woz2kDzyQOwQ5O2MMf0auK8R3lnqkCXtmyx3AkxKCo&#10;UkY6sMnn0Nd6ztt3OW4AbB7H8q4DxY9rHex3dm8DzK2JAgyeuQTxWdTYlmCmovC8MqxxxGKLLseD&#10;MjHI47nDduwrPtNWn07UFubVtsiHO7t/9enz3SyapGEIYLGgGeQCqgEe4qM29ulwNmC74wnIHSsd&#10;CDdbVGv3t5Lu5uJSx3Tbum3I4Vfw/SvR9N1T7RpqyiFwrAjcSik44z97jpXk6B3mgQs3QBcZOeeg&#10;rubacWOlG2hYkHcfNViycHJJB4FXTk7lo1Dr+64+yGINgiMjzFYH3Pv0rXN6u3Aj2jp99ee3HNee&#10;6TeumqytDIoeUk7EznPuOo/Wu7ilL2yMcSfIGAGcEit0xjheIsa4QgAYy0gzxx61It2gYE/kHH68&#10;01ZfMUlW3DPBGeKEcep578/407jJBeRv0K8dfnH+NAnRhjfjH+1z1rhrXRLyz8bMLe+lW0YeaULE&#10;7ufunn9a7YD5hnOfr0/WlcqSS2Jt6nBGRnI4P480BVJOcc98CvP/ABlqWuadqcbWk7R2iRhgeztn&#10;lc5OT3x6VZ8O+IbvW2aG6jRFQ43rJtJ9tpNFy/Z+7e52f2aNm2sFPOcBB09+KiaxhbqoH/AF/wDi&#10;ayD4jtF1oaUY50nPAYxkg+4OenvVDxzJcLpSy2l55M0R3lUk2sy9+AeaYlTbkkzW1LTYzpV6qBRu&#10;iyBsUE455wB6V5dLbKGPyjGeldf4Ov8AXNRtpE1KJjazRkJM4APT9RU0ng/cSftQA/3DQTNcrsjh&#10;jbqO1J9nGOc81103hiG3YLJfKrHGFKn1xU3/AAiGclboHHU7DRdE2Z2n2iHI/fjIHXeKclwpVT5i&#10;nPcOMfyrIhv51gQSz7mIwT6/pUhvpxtCu+PYUAa/nrtGZFOT1DCmtMuCGlBGeMMP8Ky1vpRkea/A&#10;6YNRHUnyf3r9fQ0XHY2vNU7gXUjGMbhTjKDkeYuMdA4/wrEGoMQQk7liM4FP+3vuP72Td+NF0Kxs&#10;mUL/AMtFwB03CgSDHEgwB03D/CsX7dNu/wBZLjHPBpwvZMkiSTPToaAsa/mjAPmLjHTcM/ypBKuF&#10;xIoHpvFZC3suNzSycf7Joa9lJUiSQHPXBoCxriZdq4kUDHQuM/ypRKMDbIoHpuH+FZH26Td9+TI/&#10;2TWbe67LFDLtdi4yBk4qZSSEdE92kcXmCVdgHTeOT+VRWuorcIQJUyB03f8A1q4JdcmkQKHduc4D&#10;fmeafBqMkSPvncbxja2ckGuf2zuTc74XamASPKqoRgKX5/lUcuoonHnxkY5G/p+lcVNrazWXlSSS&#10;eagzt5rOOo4nBJkCYJDE4qnVYXPSvtZS2aV5EIUcqH/TpUkN0J4t4dCDjC7/AP61eanVpfIGyRyn&#10;QDJwT9TWjpGrsFCtIwYt0DHk1UajY0z0PMgzyD2xu/8ArU8eYeeDz2Y8fpWIssnBDzH1IY08TuMg&#10;PKPX5jWqZRtZbcCeeeoY8fpTWY+54688fpWH9qmRRl5ff5jUnmXEihld9vP/AC0x/WmBevWPl5wS&#10;Nvf/AOuKqJcIgyxXg8D/ACKjjSeTcJJGVSMYDKf55psloDwJP/QP8Kkl36Fr7fCMZdM/Xp+lct4m&#10;tZNU1GKa32Oqx7Dk45yT/Wt77LgclT9Qv+FO8lGOP3X/AI7TTsKzZxA0e86CKH/vqpRpF+Vx5UPH&#10;uK7IxAHhowfwpBGQxIkix9RVc7FyM4o6DeHJxGD6BqnXStRjQKoiAFdeIsn78X5iniFSv+sjz7NR&#10;7Rh7NnGtpeouMMIcD2FRSaDeSMpxEMZ6f/qrtjAvTzUx1+8aaYYhyZlH/AzR7Rh7M49NCu1X7sP4&#10;5pf7DvP7sP5H/Cuu2W4P/HyoGP8AnqaPKjx8t0ntiY0c7HyHIN4fvXGMRfr/AIU+TwrHdRx/aY1d&#10;0XaDuPTJP9a7DylVebkf9/TTDGTnFwMezGlzNoORnDy+AYHBKMYz/vZ/pVQ/D1gCRdAnsNteh+SS&#10;mBP+ppggK/8ALfj6E0rhyM5VrfUxLE9xp8U0kaqglSXnCjA6gVqwtNNaXAlRkIjZBEerZUjj861H&#10;iTJzP/47TTBDI3+sJP8AuGnzMXszmvFGmXmqW9r5AG6IHcGbHp/hXN2+j6nbuFls5CB3Qbv5V6WI&#10;IlUAsxHvGamEtsnDDBxxiI0XBQd9WXLJi2nw/NhjGAT3HH1pLyf5QNy7Sev+TVCN7VVC+Yx+kLVQ&#10;dmuNVMMMiOfLJWM5VuvXB60tzQi8VTCKytZyQrxT8MPTv3rdtp1a1gbcp3rx2zx9a5/xHZs9lGGQ&#10;BWuEHPB54PFWNKkY6TBHkNJEChOfSolZNMtaqxttKAoA25x0yMfzpvnxliCV4PqP8azXJWNz8ucE&#10;9aopP5DEzDGOjHoaq5Njbea3aMiQoY+QdzL/AI1z+tf2feW5tpTDbq5xE6OofP0Hb61Le3BNmxjd&#10;Bk4yegrM1ixsjYkNDCzS9ZW4CerVMhNHEzWcVvChLDzopNpIOd+en06frVe8MiXcDuNhYfMM9Of8&#10;KmuYbaONnjuTOqHy1+U4JKnB/A4qoivl5m+d4gCyuOnasWupKRrf6Vb6gphTcdodQDu2nt06Grlv&#10;qs1o7ee8YR+DgfebpWTDNcWkvmPGLfIUvyMkZ7Aj3pmrrcySK3nKUGCQh+bB6Ejv+VKK10KsWdMu&#10;511OWWAgorYMmckA/wCeten2U4ksYiJIgRkPhh8304rzbwtpszS75mxE/wApwxBz7g9q7W+KxWBi&#10;WQbl5XZxz1roTSBI6XzYoocI6NtHTd/9auO/4SiWy1W5hmhK7n4kI4UeuO9a0F5G9oJml6jnisDx&#10;DaRTLDeRuPNU4JB79qUmrFIuP4gCS208bAKy5fJ5Iz9Paupjvop4VZXZcgHAU/X0ryl4EDRjzGlB&#10;J4I+7k9K7nTG220aF5OFxUwlqNoq+L9QgnEMBCSAZfkHIH6dx71jQXNlHfrcPEWVZN52EqScccjn&#10;8KoeLZGi1aN1ErIVwHJ+6OhXHrwT+IrItbxndAXYlmAHGKpspPQ7O78SKNaivFUNJBlGBJG1Gxxn&#10;2INVvFs0F9d27tGdskatHOrkll7jaenWofEMEUEEV2oGHjAfC4IYHOfyz+Vcxdao1xeIxdisUYWN&#10;D0UAdKE2JSad0em+H9XiexS0QsZY1G3dyP51pRagZIm37fNXcOeO/wD+qvPPDN2xu3k3HzdvA7iu&#10;hQyQ3DxvICsrcBlo5idXqaJuUlllmnWNONqkvx/KpLTUxFDI3lptQclSMk+tZuoKsUit+6jDLgMT&#10;wPzrIjNxOzxQ4MQ4LZyAPr3qJMo613kK/wAHy9RnoapXWpfZsBnGT7VCbHVgqhhnIIwJlJHucmkj&#10;0GWUFpljVuoYyHn64H9an2jHZFK61t3B2SKOOcnHH+TWW+rTCQBVJTGWZm6/hW63hWRolK3sPnHO&#10;7JOB7Diq48GXjMc6jbbc/LjefzG2i7ZasV7fVWWRGDNgrnHpVmbXWtsbV3EZ+c9DTLjwnLZwk/2g&#10;mASGcq3TGR245/nVOx0WJboWbarE7KodW2ts98H8+3btU3aC6Nqy14zRq0nAY8HbwK1IZmlDNG6t&#10;nn7tY0em2V3M0bXkTyDnBZlHHvjge1aKaVLboBFdwqiEZ8rJ3Z7H5R2Bp88hOKHwXj3OY1x6FivW&#10;p5nkVNu9Qx6HHSs6z0r5mkgvkYkkAx5IX8q0DptxKm06ixPHPlAdPoR+tHPIXKrGLfarKt0VR2GF&#10;xjGOawbi5Ny5XIJ6HIz19u9dDdeExMSW1PY7YAPkgY7dN1LD4DgUfNqLAkfN+5yD+BaofMzGUXc4&#10;0K1tMzeaMMdisSQWPqR7flxTbuW5kZI4o5N6cknp+HvXex+CrXYSmpuxzkE2+cdsA7vamv4FWX7+&#10;rSMB/D9l5/D56aTJ5GcAWuHCSBkTBzIG4Pvmkur8ugIAMoG04OR+GDjj6V6VF4F0Uk+Y1++0Y+8F&#10;B/8AHatweEdAtJHki0jdIeMySMT/ADq0hqDPH7K6aSOSMykBBw33sknitvS/tC3EMQOEc8uq85Ho&#10;P8mvUotIsokYQ6TZRk858hTz6896sxx3SEkFVBHRBimUoFO3t7gW0f8ArWbHzfJjFH2K7LErnnnk&#10;qKtNHdP3Yj3IqP7DIXDMsuRxgS4H5Cq5i1EpLNaPAPNlnDd8RnGfbimJb2Me/wDetJuYtlohn6Vr&#10;R6fEBloeevLZqcWcQ42CnzCaMJVs0bKxFvpGv+NK01uZBm2cf8BT/Gt77LFjGwYpv2OD/nin/fNP&#10;mFYzRLb42rkZ/wBkUwzWzEgNISODtA/xrW+yQf8APJfyo+yW4P8AqUz/ALtFx2MU3VsBgrN+S/40&#10;fa7UEcTL+C/41uiCIDHlp+VHkR/3F/75ouFjIW7tgMhWyfXGaia/ReVTP/A//rVuiGL/AJ5r/wB8&#10;ikMMWOYkI/3RRcLHPrqCGQqYyCBn/WdvypU1GNiPlwM9Q2f6Vu/Z4P8AnjH/AN8ilEEI6RJ/3yKL&#10;hYxxfWWSC5GB2NK95bBMqyH0Hmf/AFq2Qkf9xfypPLj/ALi/lRcLHPvqSZIMa/8Afw/4U1b5W/5d&#10;8j1Dk/0ro9q/3RSYUfwj8qLhYwhcIRu8lsfjUjSL5e4I2fTBrZBHpRuFFwsc/wDaGJx9lyPUKakS&#10;ebPFqR77D/jW5upM0XCxjGW56/ZgfT5D/jTlWdzlrdR/wA/41rgHscUvSi4rGT5Mo5ECnH+wf8aY&#10;kE8dyLhLaNJlGFfyzn+dbWRS5ouOxiXzXt1btFcRmWMkEqikE4OeDnioo4be3haOKG5jEjFiSM7c&#10;kk9vU1v8Ux41cciokr7ji7HKXgjkieJZzGWGNxjH+NQx28K2ccM11HIy9XZeuOnSuqayhfqvH1qN&#10;tMtGHzxbvqc0K9rD0OWezDxBRLCV3ZOeAR3GDS3McKokN3CrKx+SNQG3Y+hx+ddT/Z1oAF+zxkDp&#10;lQcUj6bZSMpa2TK9CBjFGoaHk2v6fNc3Y+zWcqHZ8sSwkHjJOMD6VBZxyvaXFtcWhhlh/epJLGUZ&#10;/wC8p45/GvWm0ezaRX8rDLnGCakGnxKPl3D6MamSurEqKueVQatHcRSSXemGVOIwFUgqAOMZ/H8q&#10;IbeTWJo5jYTBk3GRiu0HOOfc8GvWxCVAxI4/GneW2QfMfj3oStsU9TjoIyIFQRS+ZGpGTGefX/Iq&#10;SS3E1uxdJSyg8GMg5PpXWmMlsl3/AO+jTTaoc/e/BjQ0w0OD+0yxRJGIJkcYG3Z0OKjlgur+3eMW&#10;txMvIJC5z7V3kmnW0qbZIg4/2jmiDT7W2ZjDAqbuTtJoUWI80sNA1Ga93TWkkEQORlMflXXpayCL&#10;92hygwM9TXRNBE42vGGHowzSC1gX7sMY+i4pchSdjzzXNDv7hrd0tnJX5mA2kjJORnj2rCTwvrH2&#10;iJxaoqRvkHeAce/NewG3Td/qo8Y67RSfZo8Y8tPyxVpMVzyvUPDus3yugUsjcgPKoAP0zWUvgrXf&#10;tbS/ZYipYkL56Hg9utez/Z0HCrj3FBjVBktjtk01dCsebaL4c1bTxK0trDuYjH71DgD8a0pNL1Nl&#10;BEEBcHIzIOv513Ijx6Uuw9wuKlxGmcHLpOrTQr5yQ5ByR5gwP1qJdF1NZAxSJVB4VXX+deghB/dH&#10;5UvlL/cH5UcoXIHRgx2WikeuRzTStyefsy59cj/GrtKDiiwXKIiuW6qFPtipI4JVPzsp/Af4VazQ&#10;BTsFyMxqc/Lg+oApjWdu7h2t4mcdGKjNWMGlosFyJbeIdIlH4UjWdu5BeCNscjKg4/SpulGTjrRZ&#10;Bcjit4Yd3lQom7rtUDNP2jP3RS5xR+NFguGB6UbRR+PNLj3osIKTilx70uPenYBKBSYOfvZ9sUtF&#10;gDPtRmnACjAosFxM0UuBRxRYLjTywH4mlNCYOW9Tx9Kdj3oAbuozmncCkp2AQZNLk0h6U08DqaAH&#10;5oyaZlv8ijDHvQBC88nmYjYYHUmM4/PNTfMRySD7CnAY7mnbQeuaBFV2CygiRiwX7mDz71Tn1Z4C&#10;QbG4YA4LIMitMwR7ywQbvXHNLsYen4UwMZdXackJa3KYHVlOP0BqzbXGQoyWdhnlm5/McVfKsRgj&#10;IqFLZI2JjTGTnA6fgKAGtK+04AyOmSaRJN4+8u4dQDmrG1vSjDdzSAjwSOtLt465p200u0igBmKA&#10;M9qdhjSbGz1P50wFwAOhpQF9DQBzTh0oATAPrRj3peKMCgBOBR1paMCkAmKMetLggdc0gPsaAExS&#10;4paTrRYYnApMgdxTqCoNFgGbwO9JvX2p+wUm0CgBMr60vB6UuBRwKAG7cd6MU7ikosAnNFLQaBCf&#10;Wk4xRg0EEUAA96TIo/CkyO4pgGFJ6CjaOgJ/Ojj0paAEwc8Hilyw7DP1o/ClyBSAXNFGfSlzSGJS&#10;4paKAEpaWlpgNopTmlpAN70Yp2OaDTAbn2paO9FABnFJkGlooEFLSZozQAuKKMjrR060DF/Gms2B&#10;jueBS5pnWT/doAeMDpRzRRigBCRS7hSFaQrg80ALlTSjFN2+1KOBQIdx6Uu4UmeKKBhuHpRuozSZ&#10;5oAdvI7Ubs0maXNADSSOQKb5h9Kk3DoaQhTQIjMpxyKQOfSpNgpNgpgM8w+n60u8+lO2ik2igA3M&#10;e3H1pMtnjp9adhaML6UAC5PWnkCo94HGKN+KQx+MUZqMyqOppDcwqMluvtQBKRmkx71VbULVespH&#10;/ATSNqECjO4kH2NAi5x60nHrVRb+JmwAxP0p/wBo5x5T/XI/xoAsECgAdSarGdznEMmR7r/jTkll&#10;YAlMfXFAE/y9qKi3TdQqf99f/WozLg8KPfOaBkvHvScVCHk/jx6Ain5b1H5UCHHmjimjdjqKTn1/&#10;SgB/HSk70nPtSHPr+lMBccUnemgNjBck+uBSEf7RoAeTzzTc03HufzpNmOhP5mkA80maYV7ZP50h&#10;Xjhm/OmBJn3oB7VAUYc7jj60xkLdWb8GI/rQBcz6UhbFVAMD7zf99GmyEe9AH//ZUEsDBBQAAAAI&#10;AIdO4kBhyQQ3hEgAAH9IAAAVAAAAZHJzL21lZGlhL2ltYWdlMS5qcGVnAX9IgLf/2P/gABBKRklG&#10;AAEBAQDcANwAAP/bAEMACAYGBwYFCAcHBwkJCAoMFA0MCwsMGRITDxQdGh8eHRocHCAkLicgIiwj&#10;HBwoNyksMDE0NDQfJzk9ODI8LjM0Mv/bAEMBCQkJDAsMGA0NGDIhHCEyMjIyMjIyMjIyMjIyMjIy&#10;MjIyMjIyMjIyMjIyMjIyMjIyMjIyMjIyMjIyMjIyMjIyMv/AABEIAa8Be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NhilpKWuc0FFOFJjNL&#10;QA4daXPNNFOpDHd6WminUAA9aUUDpS0CCqdxMTIEToOtXaqoAZWz60IB8Xl464NOQMcspHXircUE&#10;TpnaCD3PFLFaSIwdcbM8UDKpEgIBOPatKNZlELNcqDjPzPgAU77DLcyhyq4x61YuLaKJjE0O5wBt&#10;O7p7+9NBYoXCyO+SQx7sGzmokXY/zDOOtWpnkCHO7H93YKhUuWwynB/2ak15UWJrWaSIugBXHFLY&#10;3LmLyZQMr0IrUgKGziIx90g1mRDCy7kBOeD6VN+hnYjkXFhk8ZlPHrVarUvNgOekpqpRECc/vIM9&#10;1qawYEuhOMioIcFinqKdbZS5UdicVYh9yuByORVerl4qqzbTxVShjRHhTMMn8K0rUfd2g4rPQL5x&#10;ye1atmoMiYBwKTEZ8sStcsG9ahdFWQhTxVp/mvX/AN6oHH75unWgBEX5qtvGi2hYSqzH+EZyKrop&#10;ZsVYkjZIG96YzEldAxyhY1ehRpY4NoAJ6YqlOrLJgHFbemxqbeFSMSAE7s/epXAWfzFuIUJyzEDm&#10;pZIiC3PyigQma7jPJwcVauwI1YY6VAXRzWstlYPQKf5msGY/NXR6lH9oWIgdErCntpEf5l4q1sDG&#10;7fkPFMCH+6aupC+F8t0U4/jGRTzDOw5ng/74P+NZ6laGfsPpS7D6H8qviK5XpNB/3yf8acEu/wDn&#10;rb/98n/GjUNDPC+1Gz2rQ2XX/PW3/wC+TShbr/nrb/kaNR6Gdt46UbPatHbdD+O3P4GjF1/etvyN&#10;GotDO2c9KK0T9qHe2/I0UahoIPpS0CitjMUdKUCkp1IBas2Eay30KMMhnAI/Gt3wr4ftdZSZrhnB&#10;QgDacV08PgjToJVkSSYOpyDu6GrjBvUG0i0mgaWVGbGHp/dp/wDwj+ln/lyh/wC+a1VtyABv6e1K&#10;IWH/AC0/St+VEXZkf8I7pf8Az5Rf980f8I5pZ/5covyrY8hs/wCt/SgW7dfOP5Ucq7BzMx/+Ec0s&#10;/wDLnH+VN/4RjSc5+xRZPtW4Ldv+ev6UotGP/Lc/lRyx7BdmKPDemKuFtEA9KcPD2nhdogAHoDW0&#10;LR/+ex/IU77C5/5bn8hRyx7BdmIug2KcLCAPrTW0CwLbjAC3rmt37CwH+vP5Ck+xN/z3P5CjlXYL&#10;swX0CwI5hP8A30axJdGszIRsYAHjDGu5NixH+vb8hVNtBiZyxkfJpOK7DuzmE0u3SHyhu29eeaau&#10;g2wUqHcZPPNdUNEiXpI9KNHj/wCer0uSPYLs5BvDFuyFfOkAJyelRnwjbnkXEn5Cu0/spR/y1ak/&#10;stf+erUezj2DmZxyeEYVYOLmTj2FNt/DSyyySiVg0fzYC9a7QadtPErVGumiJnKysC3WjkQczODu&#10;9OWW5giZwnmPtLYq83g9VGfPc/8AARXSPoVszKzM5ZTkc1ca3Ygfvm4+lJQXUfMcYPCUavuM7/TA&#10;qzHoSQsGWVsj2rpGtCesrfpTDZDvI1Pkj2FzM5c+HLfzC5lkyTk0w+H7VW3EuT9a6g2K/wDPRqYd&#10;PT++1Pkj2C7OZ/sm2jbKhsjnrV210q1mhJkjLc9zWo2nR92anJaiJdqOwo5V2FdmW2g6cx5tlNOX&#10;SLONhsiAI9K0zEf+ejU0xn/no35Cnyx7BzMo/wBnQK25UwfXNNfToJAd8e76mrpQ/wDPRvyFMKH/&#10;AJ6N+Qo5Y9guzOOk2ZHMC4FMOkWX/Pun5VpGM/8APQ0wof75o5V2C7M06PY/8+sf/fNJ/ZNkOltH&#10;/wB81olD/eP5Uwqf7xo5V2C7M86VZj/l2j/75FNOmWY/5do/++RV8hv736UxlJ/ipcq7BdmLqWn2&#10;6W+UhjU56hax/sqf3R+VdVParOMOzY9qrNpcPq351jODb0LUu5zptU/uimm3Ufwj8q0JYwkrKOg9&#10;ahIrIspG3T+6Pyoq2RRRcDEp1IKdVEBSikrX0/TYLq3Ejs4OexoA6T4et89yv0Nd4eprj/CFlFZ3&#10;cojLfMv8RrsyPm6V0U/hIluNApQKdjjilArQQgFOC04CnqKAEVc1II+9KBTwpxSAYFp2KeqUeWc9&#10;KAGbeetGM1JtxS7c4oAiK0YFTFKYYzQBBIOOKai45NWChpNuKAI/wpCvFSYANLtzQBAVphTNWttM&#10;ZB6UAU2TmoytWnTmomSmBAVphWpWFNxxQBEVppXFSkUxloAhYVEwqwy+9RMKAISKYQalIppFICIg&#10;00jipTTCKYEZFRMKmNMNICIimGpSKYRQBERTSKkIphFAEZFRv92pSKilGEP0pPYDnpTmRvrUB61N&#10;IcsaYa4m9TdEZopTRQBh0tQI0k1w6hgiIcHHU1aMe0ZBJ+taWM7iV0GinNoR71z9b2ht/o7j0akN&#10;HWeHpEivyXYKNp5JxXVfbbXd/wAfMX/fYrgKI4IzIWMalgMg45rSFTlVhON2ehC4gLY85MjtmnCe&#10;HvKn51HZpGYI5fLQyOg3NgZP41cCpkfKv5VuQQ/aIP8Ansn508XVuB/rkqcJGf4V/KlCR/3F/KmB&#10;ELy2H/LZKcL62/57JUyxxn+Bfypwjjz/AKtfrikBCNQtevnJTv7Qtc/61f1qwIlPIjX/AL5qQW6n&#10;/lkM/wC7QBT/ALQtT/y1X9aPt9v2kH5Gr4g9Ih/3zUixYH+rGP8AdoAzDf24H+sA/A1A+s2AOGuo&#10;wRW48SsjboQeP7tebXiL9vm+UD5zxQDOrOtad/z9xfnTTrenf8/cX51y6Rr6CpliT+6KYjdbW9NI&#10;/wCPuH86b/bmnr0vIv8AvqskRRnqop4gj/uiiwGn/wAJBYAY+1Qn/gVKfEOn4wbiL/vqs9baHugN&#10;TWmnWtxqKhoA6heQR1pPQaJjrumn/l5i5/2qibW9P/5+ov8AvqpdQ0q1WezKW6AbsEAds1Xu9Pt4&#10;tX3GFArL6Ukx2A6vYE/8fcX/AH1Sf2rYH/l6i/76qN7WDPEa/lUEltFg4jXd9KqxJZOq2H/P1F/3&#10;1R/adkelzH+dc84uYyS0R3Z4CJkYq8IVaNSyBWI5BAoGaJ1GzP8Ay8J+dM+12zdJlP0rNeFB/CPy&#10;rRtIkW0T5VBPtQAxriDtKKabiH/nqtWtqeg/KmFU/ur+VAFY3MP/AD1X86YbiH/nqv51aKJ6L+VQ&#10;ssZz8oFAEJuIv+ei/nTDPF/z0X86mKR/3aYUj/u0AQmaL/nov50wzRf89F/Opikf90flUZijBzsG&#10;fpSAjM0Z/jX86YZY/wC+v51MUj/uj8qaypt+4v5UAV2miByZF/OoZp4zE210PB71BqUcZZE8teOe&#10;lZrIqnhQPwrCdXWxajfUjYdfc0wipGz2phBrnNCMiilIooA47UJ5bKdZI8YkGDkdCKhXUrgv80pK&#10;k8gCr2qw+bYsQOU+YVz6MSQBknsK6Y6oxe51yEMgYdxW9oIJSUVT8N6WZfs4vFwSQAh/rXTeF9PX&#10;UbjVFQbXjXegHfB6flWV9bGgbcU+IfM3+6amW3Z5hF0Zm28+tX28NXzIQksI3DByT0/KmotiuaNn&#10;pMk1lE32+6QMucK+MVLFoEsU6yf2tfMBk7XkyD+FX7JJoLWOGRELIuMq3FWxI448of8AfVdMVZGb&#10;KK2RYH/TpeOvApnkRkYGqNz7itIEj/liP++qYIhzi2Tk+o/wqgRnW9lFb7w+pzTFuf3knT6YIqby&#10;IGH/AB+H8JT/AI1e8skj/R049/8A61L5JPH2aPH1H+FAFNLJHB2XcrfSRj/WpDZ7fvXcq/8AA2/x&#10;q2sbr0gQfRv/AK1SYl/54IT7v/8AWpXAo/Ygf+X2X/vtv8amXSZHAMd7Mcnpvb/GrqvKF5toye3z&#10;f/WqQTSrjbbRjH+3/wDWoGZ0mkTKp/0yc/8AbRv8a4+eIC5kUrkhvvFmyf1r0CSedlKrbR9O8h/w&#10;rm5vDt7LO8u+JQxzjnii4jHSMccD82/xqZY/f9T/AI1or4fvF/jjP508aLdj+KP9aLhYoLGfUfr/&#10;AI1IIm/v/wA/8au/2Tdr3j/M0n9n3Q/55/madwsQQ2zysqeZjPHQ/wCNWLbSpYr50W9lB55Hb6VJ&#10;DbXkMiuqxHHOCTU8TX0Upl8qEsc55OKTYynPpl7KsYF7KdpByTyKbc6ZOxS4a9kODjb1yK1ftN2q&#10;FfskOTj+JqpzS3cgCmKJVHIGT3pagZrQPn/Wfz/xqJoW/v8A8/8AGrrRTkn5UH4mozbTkfwfmaq5&#10;Nii0J/vn8z/jUTQ+rt+Z/wAa0DaT/wCx+ZqNrOc90/Oi4zLkgH99/wDvo/41agsC0CnzpB7Bj/jU&#10;rWE5/iSrEQljjVSqHHfJoAqnT/8ApvL/AN9n/GmnTv8ApvL/AN9n/GrxaT+4v/fVMLv/AM81/wC+&#10;qAKB00H/AJeJ/wDv4f8AGkOngDHnzf8AfZ/xq9vfug/76phdv7g/OgCidPA/5bS/99n/ABpr2OYy&#10;ommGf4g5/wAaul2/uD86YXb+4PzpAZ0enSRjH2yZvdjmo7pVsrdpri7kWNB8zVpF2/uD86jYh1wy&#10;Bh6ZoA5z+1tMuXWJNSl3sQBtB5P5VpLYsBkXc5B9Wq4I4wciFAR7CnFv9n9aQGJeRFJdpcvx1aqb&#10;JWxcW7yybsKB7mqktrJGu5tuPrXJOEtWaxaKBSmFcVZK1EwrMsrMKKlIooA4Q6ijKQbkEHr8h/wq&#10;fSLa2QNdQt5kkTDGRwM+1UtQunHyQBdpHJxzVvwvuSS6Q8BkBx9DXS9jFbnXades9xBI64wwJFdJ&#10;4CmEHiO45wHVgffIPFchESrKc9K2/DMph1x33Y4/rWezLOmuzONUSSWAxqZPlO3APNdcMFFNcxq1&#10;2ZjbAnO18j8a6aPmBT7V0QM2OxzxS8AdqQHFRTZKH37YrRCZOrqcjuOtSr2IrKjilDAEEsMFjuzk&#10;fStBC2zrk/TFNqxKdyyuKlUZrBWLWIA5WWOUsd3+71457dKvLFqOQyzRj2I9/wD9VSUamBz3pw4I&#10;4qikd6ZAXlTYGyQB1HpS+TeLKTFINrHoxJwKANEkdccUArjtWeyXuVPmICAcjsaYVvtoHmR57nFA&#10;GkWX2zTw/risoi+QfeV8Y6dakAvMDLIPWgC8WXBqJn44AqNN4j/eEFvUUufQUAITUR6Hink1Gx96&#10;AHLwOlKTTM5pC1ADi1Qucmgt3phagBjY71Ew5p7U0mgCJuKjapSajNMBhFRmpDTGoAiamkU81Gxp&#10;AMIFNIp5phpgRMKYakamGkBGRTTTzTDQA00winmmZoAYRWF4pkuIdJY2u7zSwxit41k61qUWnRI8&#10;oyGbA5qKnwsa3PNp9T1i3XdK7qDwMvVY69qAGTK+P96uh1zVNP1a08p8xsnKMGHH1rkAhDlfMUr2&#10;asYq+6KfqXR4ivM8yv8A99UVFHZWTgmS4ct/dUBf1NFVaItTqbe90vJhOjQsYwAWIHJ/Kp2vbFY3&#10;FvpkMMhGN64BH5CuZi1W3S5mYv8AK+CDip/7btc/f/8AHamzHdGmLuXzCoVRgVoaNcSrqokLHJUj&#10;Haucj1NXLOis4JwMLWnpF0z6lCGVhk+mBSsM7prl5WUMehrvreRWtk+YfdB615zTxLIP42/OrhPl&#10;E1c9HLrz8w/OgMn95fzrmvDgS4jnSYeYFYMN3OK3pYYfLOEVTjrtzj8K3i7q5DLG+Mfxr+dKJYwf&#10;9Yv51jXTPFEDbrHcNnlREE4/GpQo+zby6CTbny/Izg/UUXA2Fni/56L+dSC5h/56r+dZ1hFHPYQy&#10;TwqsrLll24wfpU5tbf8A55KfwpgXRdQj/lqn504XcOOZU/OqItLf/nkufpS/ZYP+eQ/KkBdN5b4I&#10;85Pzpv2uA/8ALVPzqp9lh/55j8qcLaAD/V0AWPtkP/PVP++hSG9g7zJ/30Krm1tz/wAsx+Vcpq1v&#10;ENRYBOOKAOyN/b9POT/voU039vj/AF8f/fQriRZwmNiIl3euKdEkLAO8EXXDYQce9HUDsje256TR&#10;/wDfQpn2u2/57R/99CuSvoLJoFVVj3HkYAHFWbKwhgsYRJFEcruUkA5FF1ewWOk+2W46TR/99Cmt&#10;eW3/AD3j/wC+hWKLa0/54Q/98ipI7ayzzBB/3yKdhGmby3/57J+YphvLf/nsn/fQqAWlht5gt/8A&#10;vlagltLLtBB/3yKLDLZu4D/y2T/vqmG6hP8Ay1T/AL6FZrWtp/zwh/75FQy2lvsO2CHd2+QUWA1j&#10;dQn/AJap/wB9CmG4i/56J/31XKyWcyMCLYF887VUDFXjaQFQTDGGx2A60AbRni/56L+dMM0Z/jX8&#10;6wntoh0QD6VqQ20QgUBeMc0ATmRD/Gv50wuh/jX86abeL+4KabaH+4tACl0/vr+dRs6/3l/OlNvD&#10;jHlr19Knm06zyuwryOTuHBoAqll/vD86YWU/xD86sjT7VQS4Dc4wrAVIdNsDg/KPrIKLAZ5Yeo/O&#10;mkj1FWGs7LJHlZA/6aCqrWUQfKRLt9GYH+tFgAkeophI9RUjWkQhDFF3bumRUDwxYzsHFIBSR61h&#10;eINKt9WSKO4Zwqkn92cVi30F21/KyalHGhc4Xzjx+FU5re7P3dUQn/rsawnUTVi1EkbwZpY/5aXH&#10;/fY/wqlfeGNNtYhh7h5WO2NNwyzfl0pxgvVyW1FMDv5tVLeC7um+0m7UYJWPMnI9ayV+47R7F+Dw&#10;dZeSvmzTGTq21h+XSiovIvf+f4f9/KKLy7haPY4Qcg0oFSH/AHUH0NIfov4V03My5aak9nGUVQwJ&#10;zzWxo+tyz6rbRMiAM4BIrmW6irekts1W1b0kH86lpDR7AOaWmp90GtG00a7vYPNhMYXp8xrNJssX&#10;RLaW71GWJLuaBdm4+UcZrebw9K3P9s6j+Eg/wqromj3+l3zzyvFIrLtKrxiuj898f6gf991tBWRD&#10;MgaI4Chtavwcf3x/hQ2jeW2H1y8BxnBkA/pWuJGOM26nHT5//rUrNvILWqEjoS3/ANatBGK2io3z&#10;f2/ege0wxS/2Gn/Qw33/AH+FbQYgY+zRDP8Atf8A1qMnP/HrF/31/wDWoAxhoIJwPEN+T6CYVI3h&#10;6SNctruogeplFaykg8WsIPX73/1qeZZiMGCMj/f/APrUAYf9iqckeIr70/1ooGhO+fL1+/YjsJQa&#10;3BKwBBtISD/tf/WpvmuMlbWJT6hv/rUAZS+HJyoP9uaj/wB/B/hWDq+heRegPqF9KWHJaXH8q7YT&#10;XCjAijP1f/61ZGpadeX9wJFMKYGMbj/hSA5uHR7fjdLdN9Z2/wAanTSLVbkblkKt0Jkbr+dao0a+&#10;QcPAT7sf8Khm0fWJFyk9srA5UksQPwobCxn3NqlsDFDuIKnAK56+/atWDS9NXT1DxIJUxtZieR6V&#10;njQfEUcplW/sQ57+U3H60jaB4jkwJdStCBnkQ81FrFGiun2g6QLUyWNrx+4WsqPSPE6BQ+o2TKOM&#10;+Qcn9al/szxEP+X+z/79H/GtLomzNpdNsmXm3T9ahm0yy7W6/rVCO08RRg/6bZNkY5gJ/rUBsfEu&#10;cm+sSPTyT/jRdBZlqTS7L/n3X8zVdtKsv+eJH0c/41C+n+JmJxeaeB2/dtn+dV/7J8VE86pYkenk&#10;H/Gi6CzLD6VaDoso+kzf41C2lwdpbgfSdv8AGpItP19f9bPYyD2Vgf51OtlqP8f2b8GP+FFwsZr6&#10;bj7t3dD/ALaZ/nV6HTLh4VP9q3QyOBhf8KlNhckdYwfY/wD1quR+dHGqlUyO+6gDPOk3P/QWuvyX&#10;/CmnSbr/AKC93+Sf4VqF5P7i/wDfVN3v3RfzoAyW0i6/6DF3+Sf4U06Rdf8AQYuv++U/wrWLv/cX&#10;86YXf+4v50AZJ0i7/wCgxdf98r/hTDpF3/0GLr/vlf8ACtcu/wDcH500u2PuD86AMo6Xd/8AQVuP&#10;++V/wqlfAacFN3rzwbvullUZ/St8yN/c/WoZo45xiW3R/wDeANIDn7WWG/m8q08QvLIBkqgXP8qu&#10;tp10FOdTmPHdVq8kUEJ3RW0aH1QAGnOxK4C8+5okByWs6pY6JHFEdPhnnYZJZR+tYbeJmcbhptku&#10;eg8oGtvWvDF3q8/nG4RGAwB1rkNU02bSblbedlbK78qa5XFrc0uS33iCa4j8hbW1XzOpWFen5Uwe&#10;I5EUIILbCjH+qUn+VZcSly8h5zwKd5Bz1oshGuniCYjIgtvxhX/CistYeMk5YelFLQDCLtnBA/Kj&#10;OTTTSiuggVugqaybbewn0cfzqF+1LEds6H0IoGtz2eP5olPtXaeHWB00D0Y1xNs262iPqgNUbjx5&#10;e+HdQNhDaQSxsofc5Of0qKe45HrVLXkNx8W9Ti27NOtMnruLf41A3xf1gf8AMPscD/e/xrexFz2W&#10;jPNeND4w6wxwLCy/J/8AGg/GDWf+fGx/Jv8AGgLns4NOBrxI/GLWv+fCx/J//iqmX4u64VB+w2AB&#10;9n/+KoC57RS5rxgfFvXf+fHT/wDvl/8A4qnr8V9fcEiw08gdflf/AOKosFz2XdSbq8b/AOFr6/nB&#10;sdOH4P8A/FVLF8T/ABBKeLLTs/7r/wDxVFguevl6N5rgbXxJ4qntPtdxbaRZ2wGfMuGdQfoM5P4U&#10;7/hOpoYVmnl05hnDIolXI9QSMfnSbsNand7qN1ecaj8S7iO2+0WlnZmL7u8zlsH3GAaxn+Kmt8bb&#10;TTiD7N/8VTWomz17dRuzXjD/ABb15Hx9i0/2+Vuf/HqZ/wALg10j5bLT8+mx/wD4qiwXPaSaYWrx&#10;Y/GDXh96x08f8Af/AOKqJvjDrv8Az5WH/fD/APxVAXPbd3FN4rxT/hb+uY/487D/AL5b/wCKoPxg&#10;1z/nzsf++G/+KoC57UWpu6vFD8Xdc/59rL/vhv8A4qnR/FnXmOBaWJz/ALDf/FUDuezk0wmvHX+K&#10;+uL96zsB9Vb/AOKqNvi1rQ4FnYn/AIA3/wAVQK57ITUZNePf8Lb1sn/jzsf++W/+Kr1HR72TUdJt&#10;rqZVV5UDELnFA7l4mmk0ppppAIaYadTTTAaaYacTTDSAaaYacaYTQAwmmnmnGmGgBjdK8y8byGTx&#10;GsK9ohn8zXppry3xWC3iS4dSCVVVwfpWc9ikZyqFUAdqWqRu255QAeuajkvJUHDpnt8prLlYXNLN&#10;FZK6hMzYO1ffFFHIw5iPCgYwPyo2hpAMLzU+0elNcYAbHQ1rcVhptmyPkJFKsGD/AKun+lLSuGh6&#10;lp53afbn1jH8q4zxgu3XoG/vRY/U11+jNv0m1P8A0zFct42XGpWb+qsP1FTT+Ic9jnLpSQpqKRR5&#10;YJ6kVPdfcX61HIwEKgjnFdDMkLb2c1wpMEZcjqB2FQsMdQM+lXtMmCeYDt5HfP8ASs6TO849aRQj&#10;EE8VaSIMg+cqQOMDNViwAGCD7YpyzsOO1Ai4isPvtmrCSbRhT14xWb9qcccUC5ckYUU7k2NTg9et&#10;dL4StobnVYY5AME8e9cfcvNZyBJApJUMMe4qxYazPav50PyyJyMUXHY6fxhqN7HrM8VwDiJ9iKR9&#10;xfYe/rWB/aT5UJIz/wCyehrbv/Hia5bJDqWj2TzBdgulLLJj3weR9a5i9nWC4K25j2dQwxkGpLJr&#10;po11KIxD7+N69qs6rpTRXqpAyLGyB8H19KrWV7YwIrvGrXAOfMLHj8Khu9RmnuC4+cHpyaaEypfo&#10;YioznjmqvUdTVm5ZpAruMdsVWbGBimJCFiegwaaTnqKcCMc0daQxvfkUuMEUox3pMY5oAQ4/GnxT&#10;GI5AU/UZpuCfpRgCgCV3E2G2hfb1qE+nalBGMUdaGAKMkc19E+HRs8P2Q9Il/lXzwnLqPUivovRh&#10;t0W0H/TJf5U0HUvE000ppppDGnrSEilJqJ+aBjXfFNDZpxUHrSEUAIaYaU000ANNMNPNMNADDXk2&#10;tkza1eNnIL4+lesScKT7V4lqeoOdTuSAMGQms5ajWxAIgC0buoYnjmkubby0D7v0qDz/AJ9/lru6&#10;55p73ryJtZFIpaiIIl8wnJxRT1mC9I1FFMR0z+HPKUNLfIgJwCy4/rSf2FakYOqxfl/9eq99qE08&#10;0qyMSoPAIxUmn28mo3LQhkRmXOZOP5VVkJakNtptrJuD6iisuRjHcfj3rYtvCcNzCssd+WU91T/6&#10;9YurW8+l3pjfy2LoDuxV7S9VvYZY1EzmFsFlPQ0WQHaabb/ZLJLbeX8v5d2MZrmfHC/vbF/dh/Ku&#10;m06QSwswzjcepzViTwzaeJJ4obp5UEZ3AxkA/rWUdJGj1R5Xdf6sY9arOSMA54Feyv8ACzSHjKG7&#10;u+vByvH6VEfhHpDdb+9/Nf8ACt2ZqJ5fpMKTzldxXKnocVSWNBPIJQcAkAnPrXr8Xwm0yBt8WpXy&#10;MOhBX/CmH4R6UzEnUb3JOTyv+FA7HlC21mxBMzgZORtoe3tMcSOOD1HWvV/+FRaV/wBBG9/Nf8KT&#10;/hUGldtRvPx2/wCFIDyYQWmCWlYEdKjMNsZAqTHBPX0r1z/hUGknrqF5+G3/AApV+D+kr/zELz/x&#10;3/CgDx2ZCj4DMw7E0nmucbiSAMDPavZG+EelOQW1C84/3f8AClHwj0gKV+3XeD7L/hQFjxtZgqMu&#10;xTnue1OJRkGGO7vkcV7GPhFow/5fbv8ANf8ACpE+EuhAjdPeN/wMD+lArHibDHTkU5JCvJUN9a9q&#10;f4T6Aekt4P8AtoP8Kjb4S6NjC3d2PxH+FAWPGiSw+7x9KQx5r2T/AIVHpQH/AB/3f/jv+FIfhHpX&#10;/P8A3X5L/hTCx40Ux1peCB8oBHv1r2I/CLSz/wAxC6/Jf8KiPwg03PGo3X5LQFjyHApMjsK9dPwh&#10;03PGo3X4qtH/AAqLTf8AoI3X5LQOx5ASe5oyO4r1/wD4VDpn/QRuv++VpD8ItO7ajdf98rSCx5Ce&#10;OlIDXrn/AAqPTgD/AMTK5/75Wk/4VJp3/QRuf++VoCx5TDgzIP8AaFfRmnDGm24/6Zr/ACri4vhR&#10;p8UqyDUJ22kHBVa7yKIRQrGpyFAAJphYcabSmmnmgBCaYacaQ0AMpppxphNACGmGnE0w0AIaYaca&#10;aetAFa6fy7WRvRSf0rwe5bfcyN6sa9w1iTy9Hun9Im/lXhTNlifU5qHuV0CikyKXcKBBRRuFFFhG&#10;tI0ckrP5irn3q5pd7DY3fnSbZF2lSocLmpikTSEXK+Xx0A6/lTBFZE4Hzfj/APWoYkQarcRahcrK&#10;hRFVQMNJuqCBViZD5sfyns1XvIsnRgWwNp68/wBKNJtmnlWAKBvOeO3rRsM67wzOJ7FyCDh+xzXX&#10;aGwS/GTjINc7okEVvHPHEDtVgOfpWluKnK8Vgpa3NLdDu8ikyK8/ubmUKo85xkjoxrtrVoXtYmIQ&#10;kqDziuiE1Ihqxbz70ZqnNAskgZLkxAD7qhSD+lVo4rg3LRvIyRZ4kyhz+GM1VxGtmjI9aoRRNFdL&#10;unEsW053ADB7Vc2weiUwH5FHBHWosQ+iUYh9FosK5LQTUOIfRaNsPotAyU0ZqLbF6LWXq8qQrHtk&#10;CAnkhsUAbJozXIjVLdeDdZPorE/yqRdTjb7kdy/+7G39aAOpNJnFc4t3K33bG5P1IH9akEt03Swk&#10;/GYf40CubxNN/GsXN6f+XEfjPTgt9/z5x/8Af80Bc2CabmsvZfY/484z/wBtz/hWa0l/Y3JE9nui&#10;lb5SbjIU+me1AN2OlzSVitNcqu5tNkx6rOD/AFqlPqEtwAlpbT9fnZDnb+OcUWHc6Q9aQ1zKzFHQ&#10;zSXaBeo8tufr1qydSsjwLnaf9osv86ANs0hrIt5o5JVCzBgfR81pGOP1/WiwDzTTmmmOP/JppRP8&#10;mgBxzTTSKkO75s9OOTVUo+e3t1/xosBYNNNKI4SoJGD3+Y0hjh/yxosFxpppqrKZRKwSHKdjuP8A&#10;jRCGZyJE2rjjDHOfzosBOaYaPLXHf8zXnnjrWr7TtTht7G6lhGzLBT1pPQa1Op8TyCPw9ekttBjK&#10;5+teMmCPP+vXn/ZNW7rXdVvYWhub2aSM/eVjWdg+hqOoX0Jvs6f890/I0v2Ze06frUGD6UoQ+ho1&#10;EWBZk9Jo/wA6Kg2N6Gilr3GdPJf2suQwf64qGP7IzAB5f++arboy2d0f/fYpyso5DRf99ijmFYnu&#10;I7fyCI2kZu2Rit/SYIrK081M7pRhdw5ArCt4/tUyxB4x3JDA8CtwXS3DbVGAnygZ6VnOV1YqKsbu&#10;gvuku0PfBrRbIJFZOgsBfTL6oDWpNvluYoohgPIFY4zgdzUJFsz7m4BuQOuOMV6Da6TZPaxs1nCS&#10;UBJ2Cs1fClkDkuxPX7orZiiliiWNbqTaowMqK6IQ5SG7kD6TYKzH7FEcDoFpp0+xWEyHTwcfwquT&#10;VzbKD/x8v/3yKXEv/Pw3/fIrQkoLaae+B/ZzjPrGRR9i07vp0g/7ZmtDEv8Az8P/AN8Cj97/AM/D&#10;f98igDNNlpZODp0mf+ubVKdE03Zu+xjpnHOf51e/e/8APw3/AHwKP3v/AD8N/wB8CgDJ/s7TDkf2&#10;bNwP7rf40qaTpUjbRYuCehKuBWr+9/5+X/74FJiT/n5f/vgUAUV0LTdv/Hqp/wCBH/GsvVNKsreW&#10;Py7ZBkd8n+ddDtfH/Hy//fsVSvNKW9IMt3Nx0woFIDIhEUYwqov0GKm+0wp96RVHucVHP4Msrg/v&#10;dQvyPQSlR+hqk/w20KQku1w/uzk/1oAutrelw/6zUbVP96ZR/Wom8W6DH97VbX8JAarf8Kz8Pjos&#10;n5f/AF6P+FbaCOgkH4f/AF6NQJT448OrwdTh/DJ/pSf8J54c/wCgkn/fDf4VH/wrnQx08z8v/r0f&#10;8K70UHrJ+X/16LsRYHjvw4R8upIT6bG/wpD4x8PXIMRv4GB4IfIH6ioT8PtGIx8/5f8A16rzfDbR&#10;5RgTToP9kCi7HYW+1Wz+yMlpqkLRnpGZASPoc/pV/TdZ0p7VIoLqJSo5UsAc9z71kf8ACsNKxgXl&#10;3j8KafhfpH/P1dZ/CgVux0xuoZBlJUb6NmoHeKUEEKfqKwk+GumxH93fXin2IFX7XwktkpWHVr0g&#10;9nO4fkaBk0WnWc1wA0CfVeD+lXf7FsP+eTf9/G/xqCPRpom3Lqlxn/cX/Cp/sV3/ANBOb/v2n+FA&#10;DTotj/zyf/v43+NMOi2Of9W//fxv8ak+x3Y/5iUv/ftf8KT7Ldf9BGT/AL9r/hQAz+xrL/nm/wD3&#10;8b/GmnR7L+4//fxv8akNtd/9BCT/AL9r/hTTbXf/AEEH/wC/S0AMOkWf9x/+/jf40n9k2g/hk/7+&#10;N/jTzb3f/QQf/v0tMNvd/wDP+3/fpadwKt7a2tnbNL5FzLj+CJmZj+Gazbe7tbm4SL+zNVj3H77q&#10;yqPrzW35F3j/AI/j/wB+hTDBd/8AP9/5CFIBP7Otx083/v63+NeUeMLCeDWZ5gJHh3YDMS2PrmvV&#10;jDeD/l+/8hCsu58Pm43ebdhg3UGIc/rUyTew0eNZNJk11fijw9Z6LcRbLhv3vJUpjH05rnjHbf8A&#10;Pb/x2ouDRVyadlqsbLb/AJ7f+O0qxWx5+0AfVaLhYr7moq15dv8A8/CflRRcLFrbFnOFx9KUrD2U&#10;flVYWxIB8w81r6bbaYID9uW4eXPy7GwCKHFoSdyHTgiahEQBycfnWqZ4rSNnfCqP1qKW48O2QSVL&#10;e4dwcgBySD7jNc5cXMupTl3Yxxg/KACQKnluVex1HhjVnuPELk4EZiIVfxrtbi6htWilkcIN4APq&#10;Sa848LwpFrKOLqNzgjZzmjVtbvJtVcbgUgkwqc4470cuugX0PoFTlQfanZrySL4raiqqh0y2JAxn&#10;ewqynxP1VlDDSrYg/wDTQ10EnqWaM15UvxW1AuFOmW3PH+saui1/xNrnh62s5p7KxdbpdyBZG44B&#10;5496AudpRmvKG+K2oqxH9k25x6Sn/ClX4r6i5wNHg/7+n/CgV0erZozXl8HxO1S4famjwE/9dj/h&#10;Uw+I2rO5UaPblh2Ezf4UWYXR6VmjNeb/APCwNcUbjoMO31844/lTW+I2qrjOjwYPQ+ecfyoswuj0&#10;nNGa86g8f6zcvtj0SAnt/pB/wrYtNZ8YX4zbeFllX1Wf/wCtRZhdHWUZri7rxL4nspPLn8NqrdMG&#10;fp+lUW8ea0GIfQY1I9Z//rUWYXR6CTSGvPn8e6umM6HEQfS5/wDrUz/hYGr5wdBQH3n/APrUWYXR&#10;6HmkNebTfEvUIImkfRIwq9f9I/8ArVTHxgfvpC/9/v8A61IZ6oaSvLP+FwN/0CB/3+/+tR/wt8/9&#10;Agf9/v8A61FwPUqSvMB8XGY4GkDP/Xb/AOtR/wALabr/AGOOP+m//wBagD040015j/wtzn/kEf8A&#10;kb/61Kfi0R10j/yN/wDWoA9LNIaz9I1L+1dKgvvL8vzV3bd2cVezQAE02lJpppgIaaaUnFNJpAIT&#10;TTSmmmgBpNNJpSaaaAGmmE04009aAPPPHkinUoIyM4TNcn+6/uVq+Pbgt4jZAfuotcv5rep/OsXG&#10;7uU3Y0v3X9yjEX9ys3zW9T+dL5xx3/OjkFc0tyZ+7RWcZiCOv50UcgXNfzXhgw8EJAOdzMc/pUIu&#10;57r93BEsS93Qn+poSGW9Ie5mCoOi1pR7YlCJOFA9M/4VoSZFvCksskZy0qnKlv4vatGO6IjOyR0V&#10;eMZ6VRm/0XUd4kLK/JIzVmYiKdZF6SdeO9HUZo6XJnVLdySW3YyfpWJfSbdVufeU/wA61bKX/TLd&#10;zjhhWHqR/wCJpc/9dDR1DoSGVaSSTgYNVNxFPZwUHrVXFYtQyFZkYcjIzXoHj/VWvIdGR3JVIc7f&#10;TgV5vBcGKQN1GeldN4m1Nb+WxYRhSsQBI+gpphbQypJbUq20TeZ+GKbFJb9JCfyqjJJ+8POKZuX1&#10;JNHMKxqRXf2dsq5H9av2eoTJvMUwTPOSQPwrnRK3c5p6upYEimp2E0dZ9sEnzzXJc9gxyK6bR9f0&#10;S2s2ivLdLjjgH1rzUXQDckYPTigzqCNrEZq1VYuVHpNv4g08XEjpbKi5+UccCu38LePLKwOJLcN6&#10;Nv6fSvAorpozy+fqavQajg8yYH1odS6sHLY+gtS8YwauXEOlWzHoGc/Mfx4rmtTfTZI99xbrHcDp&#10;GpGP0NcPo2s20QJku40/3nxVbV9fiedvKuFbjqG60Kpy6ITVzanv7HLqLNR6KznGfXiqn26Buqgb&#10;f7rf41yMuoM/O/P41WfUZACA340/aj5ToNeuYG0uSOGP5mPBJ5FcSwKkg9QfWr8t20kRUk9aoOcu&#10;eOtYyldlJWG0UuOKCDUlD4WCvkkj6VJu/dkjmoBUgb5CuOKYmC8c96Vh8pPekBp7cjHvQB714WXZ&#10;4ZsR/wBMga1yazdAGzQbIekK1oE1TGgJpCaCaaTSACaaTQaaaAAmmk0E000AIaYTTiajagAJppoJ&#10;pjH5aAPGvF0pl8TXh7B9v5cVhnPTFaWtXDy6zducY81j09zWaTk5xUIb3FGRxij5uuKbk0uT70xA&#10;Tk80UlFAG+t5GwBDxY98/wCNSC8jH8cP5f8A1654KTS+W1FxWNm8nhmtmG6IsORgc1QWYtgNzjpz&#10;VUoVGWP0p8MgSRWYblB5B6Gtacor4hNdi0JnUgqcY6VUmkaSd3Y5Ynkmn71Z264zxUUmDIcdKVSU&#10;W/dGk1uJSnIpuaDzWYxc1Zu7lpvLyfurgVVzT5DkL7CgBuTS5ptFADt1G45pvaigB2eacGOKjzRm&#10;gLDy2eppQ2OhqPNLQIeZW9TSFs03NFFwsPEjeppCxPem0lAxxY0ZyMU2igBc0ZopO9AC1IMlcVGO&#10;akB+XpxQJh/nilGWYD1IFHanQjM8Q9XH86YH0HpY2aVaj0iX+VW81VshtsbcekY/lVjNMaAmkJoz&#10;TTQAE00mg000ABNNJoJppoAQmmmlJppoAQmoLh9tvIw7KTUpqjqsvk6VdSf3Yz/Kk9ho8ZubeWW7&#10;lcg/M5xz704afJwNqFj0XcCaabwF93fOangnjW58wSDDZHPY1lqPqRS2M0K7mRfoCCR+FVywzgjB&#10;+lXSHQj5snr16VBJDbvcOzTiNPZck0LURRJyxxRV4W9jKdqXbq3q8eB/OirERiDaPnmiX8c/ypsc&#10;qRklow57c8VDipLZEknWNwxDccdaAsRyOZGLN1PpQDW4PDXmDMd4i+0ikVPH4Pvy42XNqSPc/wCF&#10;AznOhprdc11cvg28aUvPe2qFjnjj9MCs7VvD0+mtGIy1wHByyIcChBZmKKKlNrcDgwSD/gJqMqyn&#10;5lI+opiEpzDCqfWk/CpZNpt0xnIPNICGilxRTASilxRigBOaKXFGPegBKKdtoxigBtFOxSYoASil&#10;xSUAFFFFABRRRQAvSpkiZ4XcMBs7VEBk808Ng4wCB7UAMyfWrFmN17br3Mi/zqAmrOmDdqlqP+mq&#10;/wA6aEfQUAxbxeyj+VSGmRcRJ7LTjTGgpDRnim0ABppoNNJoAQ02lJppNACGmk0pNMNAAaxPFMnl&#10;+Hb05x8m38zWzniuZ8dTeX4blGfvuF/rSew1ueUlASTuX86Tyz2ZfzpuaM1Ih580DG4kegNN2N6H&#10;JpuaUMQeOtAE9vbGZuTgDrmirli37h2U5fPP0oqXJjM3mp7T5bqM553VBmpInxIp9CKsR21taBsS&#10;JPJGX5IB61fhtLtyQt7KvrlRmsy1u/LVMxvjH3gM1pQ6hbK5cswcjk4NRzI1VNtXRdlsAzbvNbLA&#10;buM5pWTykVBjAGBTJNXtwg2lm49DUcd8blsCJlx3I4pK3QclO2p0fhMJLFcK8akgggkZrzzX9Ogt&#10;NRuSE/eG4kDA8jHBGPzrvPDk8drdSCSRUVk6scDNcv40RW1SVoWEiySbxsGR90Dr+Fax2MWctsT/&#10;AJ5p+VGyP/nmn5VJ5Ev/ADyf/vk0mxycbGz9Kom4zy4/+eaflQUj/wCeaflUnlyD/lm3/fJo8qT/&#10;AJ5v+VAEflR/880/Kk8uL/nkn5VMI5P7jf8AfNKml6pcgvBp9zLH0BSMkZoC5XIh6eWn5UmIf+eU&#10;f5Vb/sTWAP8AkEXf/fo0n9jaznnSLz/v0aAuVvLiP/LJPyp3lRY/1SflVgaPrIz/AMSq8H/bI1HJ&#10;BPAxSeF43xyrqQaLARGGH/nin5Unkw/88U/KpMH0NG0+lFgI/Jh/55J+VHkQ/wDPFPyqTB9DRtPo&#10;aLARGGH/AJ4p+Vep6f4J8Pz6fbyy6epd4wxO5hk4+teYhTuX617dpmBplsOmIx/KgaMg+AvDf/QO&#10;X/vtv8ab/wAIF4c/6B4/77b/ABrpc00mgdjm/wDhAvDf/QPH/fxv8aT/AIQHw5/z4/8AkRv8a6TN&#10;IWpAc0fAXh3tYf8AkRv8adD4I0C3mSWOzxIhyp8xuP1roiRTS1AWEAAAH4Cg0E03NACmm0ZpCaAA&#10;000E00mgANNJoJppNACE0wmlphPNAC1yHj1z/ZUMYG7dLkj8K60muU8XI8otzGfufMR9aiew1uec&#10;mzdhuEeB+VRSQbBksM+nWt3ULwRptxuJHQVhvKHJJQj6VCbYWItj7d2049cU63VGlG/p6eprRsLv&#10;ZiLYzKexGauNp1tK+5UAc87N2FNU5WFYyTJcB9iIIx2wMfrRV1jFGWinjaDHT58k0UrjMj8KMUUt&#10;UIuW2r3lqAqSZUdFYZq+niq8XGYYG/Aj+tYJ60lFhptHTt4nvJY0EdvDvY4GAT/WuqsUm+zK104M&#10;55O1cAe1Yfg/w+84Gozj5AcRKQeT612n2Jh3H5H/AAosO7KWxf7zflVnTot1/CEUswYEAjFP+xv6&#10;r+R/wqzp8bW16krAMqnkLnNMR020kf6nH4iqjabbsjsltskbJ3bh1Ptmrou7Yjgt/wB80wy27EHz&#10;HGOwFVuIpW+nKsZW5iMz54YfJj/x41Zt7YW8OwQMRk4zg4z+NEjQvJuF1Og/uqBj+VKDDgf6XPkd&#10;8D/CgB+z/p2P6f40oLLwIHH0x/jUZ8vHF9OP+Aj/AAqWKWGMHdcSSZ/vKOPyFMA3N/zwk/T/ABo3&#10;P/zxk/If41G5iaTcLyVBnO0AY/lTVKA/8f0x+qr/AIUASB2Of3MnHsKoaoqPb7XhwzHguorRFxbj&#10;+M9fSsjX71EgQwxyzuD91FyaAKUVpF3Cfgoq0lpB3iU/UVyNzruuDK2ukyJ/tSDP6CsufUPFU+d/&#10;2hB6RoBSuI9KS3tk/wCWUK/8BFI0unR/6yS2X/eKivJZoNbmP72O9f8A3iTUB03Uj1tJj9VNF2Gh&#10;642o6Ih+e6sR9WWnjW9EBA/tC0x7SLXj39naiP8Alzm/74py2WoKf+POf/vg0XY9D2L+2tFPTULT&#10;/v6KUajp0pwl3bN9JAf61461rfn/AJc5/wDvg1A+n37g4spx/wAANF2F0ev3eoRqyw2yiSd+gBzj&#10;3p8VttizNI8jtyTuIx7CvGJZNUhIJFzEyjAIBFWbbXtbgIxe3RI6Lgt/OlcLo9P1V3iijhgldXmf&#10;YCWzx3qXE0cYTcXwMZ3EE153Hq+uzXMNxLb3E4RtwBQgfpXWWXiJ7h1W6067gJPXYSKaJ3Z08J/c&#10;rvjkz7qTUhK/885P++TT454ZFXY+fYDmn709T+VMorlk/wCecn/fBppZcj93J/3watbk9T+VNLJ6&#10;n8qAMt4WYlg8wyeynipkYBRuSQkd9hq4WT1P5U3Kep/Ki4FUuv8Ack/74P8AhVZ2m5xwOwMRrRJT&#10;1P5VTvoJblFFvfPakdSsYbP50XArwh0L+azvnp8hAFSPJGqliHAHJO00yztbi3dmuNTluwRwrxqo&#10;H5Cprrabd1BPzDHApNgYiPO80khkbYT8oDdqe6rIfnAftzzUy27qoAQ0GF/7hrHUo891/RpNPuTL&#10;EZDbyHIweh9DWK7NHwWOT2LZr1S7sRd2zwyx5Vh1PavMdVsptMvnt5lyQchj3FNB5jYLxoj/AAEV&#10;pRzxzYIK5/2TzWKpkcfKh+oWp47q7hGBjHuBSaEbLosibJVEi9gRyKKpQ31wWVZrbKk/eC4/lRSs&#10;wuZFFJRWghCKkhjMsyRqOWIAptanh2ET6/ZRnkGVf50DR7fo9qLDSbW1TgRxAfj3q9uPrUY4GKCa&#10;sRJuPrShqizRmgCbd70bqizShqAJOtKPw/KmAjFG6gCTP0/KjPsPyqPNLmgB2R6D8qTj0H5UmaM0&#10;ALx6D8qTCnqq/kKM0maYCFI/+eaf98immOLvEn/fIp2aTNADfJi/55J/3yKPKi/55R/98inZpM0g&#10;EMMP/PGP/vkU3yYf+eUf/fIp+abmgBpgg/54x/8AfIpPIh/54x/98ink0maYEZgg/wCeMf8A3yKT&#10;7PB/zwj/AO+BUmaQmkAzyYf+eUf/AHyKTyoh0jT/AL5FOJpCaAABR0RR+FJkeg/KgmkJoACfYflS&#10;Z9h+VJnim5oAUt7D8qaT7D8qQmmk0AKT9PyqMuPb8qRjUbNQMfv+n5Uwv9PyppPFITSAUtgfw/kK&#10;aW9l/wC+aaaaTQAMzdtufoK5PxvarLYRXW0bonwTjsa6ljxWT4iiE2h3inqELflSa0BHmr3LyoFE&#10;uxRxtqDYM5Mo/OiCISybSenaldkQkLGQR3akBdjvI7eICNnlk9+gopLWVjHvIREHUqvJoqHuIoUU&#10;lFWAora8KMF8TWJPTzBWLV3SZ/s2q2s39yRT+tIaPfs0bqjRw8auvRgCKXvWgh+4UZqMGnZ5oAdg&#10;UucUmaKAHZpc8U2lzQA7NG6m5pCaAH5ozTAaM8UAOzRmm5pM0wHZozTc0maQDs0ZpuaTNADiaQmm&#10;5pM0AOzSZpuaQ0AOzSE03NITQA4mm5pM0maAF9+9ITSE0maAFJppNITTSaAFJphNBNNJoGNY00ml&#10;NN6UCENMPFOJphNAxpNN3UGmHmkApNZ+sMBpF3n/AJ5HH5VerG8TTiHQ7jPG4BaHsCPMckHIqQTt&#10;xvUOPeo+mfeipA0o7+2iB2QMnHI3cUVndaKVkAUUUUxBSg80lLQM9s8K6kNR8PW0pOXVfLf6itvN&#10;eV+ANaWzv2sZnCxT/dJPAavThNF/z0T/AL6qkwZNS1F5yZ4dfzpfMX+8PzpiJc0ZqMOCOoo3D1oA&#10;lzRmo9w9aXd70APzSUzOaM0APzRmm5pCaAH5pM03IpM0APBxSFqbmkJoAdmgtTc0hNADs0hNNzQT&#10;xQAuaM03NJmgB1JmkzTcigB2aaT70hNNJoAcTTSaZnFBNADiaaTSZ4puaAFJpCaQmmE0AOJphakJ&#10;ppNAATTSaQmmk0DAmmk0hNNz70CAmuN8a3vyQ2gPzH52rrJplhieV2wqgk15dq182oahLOehOF9h&#10;UvsUilRRSUhBRS0UAFFFFAgooooGLzThI/8Afb86bRQIf5sn/PRvzq9pMc97qEUQkfGct8x4FZ9d&#10;74M0N2sDetHIfNJClR2H/wBehBc7DRFcWjKFBAbgk1oPCHZd8StjphsVFp8ZtISnlOcnOSMVd3ZP&#10;+qbFWBnm0l+07giGH+5nn88/0qdLfZN5iw4BUjBfNS+XHsZDHJhuuCc0iwxL2uD9XNFkFx2H/wCe&#10;I/76FJtf/nj/AOPD/Gk8mL1uf++zSpHGj7t1wfYtkUxCbX/54n8x/jRtbvCfzH+NPlEUmM+cuP7p&#10;xUflRD/lpc9P71AxdrdPKP5j/Gqt9uW2bCmM/wB7I4q6skaADEhx3PWqWqylrN1hhZ5D0GQKQjNj&#10;kYD5ppG/EgU+S+jgTMs4RR3Zq5W+tvFNwSsSwwJ2Cvk/nWJJ4W12Zy02HJ6kyUtR6Hby+KdJtzte&#10;9BJ7KS38qrx+NNPnuFht0uZpG+6qp1rkD4QvkQNs3t/d3AU+LRtetSxtUWDcMExyYJ/GjULo6q+8&#10;YxWSlJLaRJ+0bEZ/HB4rIi8YMs7T3YuGHaON8KPrWbHo+s7RHPCHizkjzAf50jeGrtmJEbqOwDD/&#10;ABosFzeg8aRRRiRo55I5Gwvzcr9farLeOtNSXy5FuEI78MP0Ncuvh69jidWRmRuq8ZB9etVD4X1M&#10;PxaSex3L/jTswuehDxLpvyLLcNAXG5RKGXI9QauxX1vOuYLhZB/svmvMn8N6wwGbNiR0+df8aI/D&#10;etxncltIGHTDqP60ahdHprSHtI4+hpIHlM3Ls6+gNcZYDxLaR7Xtppj2VpFI/wAf1rqdGuLp3P22&#10;xktz65DD9DmgDVwf7kn60hz/AHJP1qZnTHU/lSB4z/eH4UwK7Zwfkk/WoZUkcjaZVA64B5q8WT1P&#10;5U0snqfyoApRrIgIYyuPUg0pJ/uy/lVosnv+VJlPU/lQIoP5xPy78e6k0xFmViXLsD2CkYq5Kgkj&#10;KiR0LfxKOlUotOaKRXOo3j7f4XK4P/jtAyTnukn5GuL8QahqduwuLe6kSEsV2jtXelVK/ern9S0w&#10;T2EsDFcH7v1qJDRwv/CRat/z/SfpR/wkOrf8/wBL+lZ0iGORoz1U4ptILl+fWdQuImimu3dG6g4q&#10;hRRQIKKKKAEoozRQAtFFGaBhRRRQAUtJR2oAWvXPBEu/wxbrn7hYf+PE/wBa8jrT0/xBqemxeRaX&#10;TRxk52gA80IR7Xk0uT6mvHj4x10NgXx/74X/AAo/4TXXgcfbf/HF/wAKq4HsO4+p/Oje3qfzryL/&#10;AITbXlUH7Wpz/wBM1/woHjrXh/y8x/8AfpaLjPXt7f3j+dG9v7x/OvIx4810f8t4v+/QpR4+13/n&#10;rD/36FFwPW/Mf+8350vmP/fb868lHxA1wfxQH/tnSj4g61/07/8Afv8A+vRcD1nzX/vN+dJ5r/3j&#10;+deUD4haz/dtv++D/jTv+Fh6x3jtj/wA/wCNFwseq+a/94/nSea394/nXl//AAsXUtuPs0BPrzTf&#10;+Fiar/zwtv8Avk/40XA9Q8xj/EaTe3rXmH/Cw9U/597b/vk/40v/AAsTU/8An2t/yP8AjRcLHphc&#10;+tJvNea/8LE1H/n1t/1/xpP+Fhah/wA+tv8Ar/jRcLHpe80m815r/wALE1D/AJ9Lf9aX/hYl/wB7&#10;OD8zRcD0nefb8qQv9PyrzgfEK+P/AC6QfmaT/hYV6OtnB+ZouFj0bd9PypN5Hp+Vedf8LDvP+fKD&#10;/vo1u+GvEs+tzTJLAkYjUH5STRcR0/mH1pPMb1pm6mlqYEnmN600yN6/pUe496QmgB5lb1pDM3rU&#10;RNNJoAkMzetIZX9aiJpu6gCUyt/eqJ5WAJz09qaWqvcybLaVvRSf0pDPMNRcSahcN6uarU6Rt0rt&#10;6sabUgwooooEFFJS0AIaKKKAFoopKAFooooAKMUUdKAFoHDikzQPvChAOb7wpvU05+1NHWqYkPYf&#10;uxxTAKnP/HsOnBqEcCpQ2NxSkYxS5pWxkUwGUu0+lOyKM0AN2n3owR2p2aOtAhuDRtPpTs+9APvQ&#10;A3afQ0bT6GnE0ZPvQFxu0+lKEyOeKdk+9HNMLjSmOlJg+lPJ9qQmgBoOKD1pcA0EdKQXExXaeAV+&#10;e8Y+gFcaOK7bwGP3F23qw/lTQHZk0maYTSbqYx5NNLU0tTc0AOLCmFqYetBNACk0hNNLU0tQA4ms&#10;/V5fK0u6b/YIq4WrG8Ry7dDuP9rA/Wk9hnn55J+tFFFSIKKKMUAFIaWigBKKKKAFopKXFACUtFFA&#10;wooooAK6XwXBb3OqvFcQpKpjJAcZ5rmqu6Xqc+k3YuYApfBGGGQc0ID1M6FpLDnT4P8AvgU0+HdH&#10;P/MOg/75rk7Lx1dvdxpdpbpCTh2VTkD866P/AISvR8cX6f8AfDf4VfMLlJ/+Eb0cjH2CLH0ph8L6&#10;Kf8Alwj/ADP+NRP4r0ny/wB3fxGT/aVgP5U4eKdJ2D/T4d/cbWx/KlzByinwnoh/5cU/76P+NIfC&#10;WiH/AJch/wB9t/jTx4n0gj/kIQ/kacPEukn/AJiEH607hylc+D9EP/Lp/wCPt/jTT4O0X/n2b/v4&#10;3+NWx4h0k/8AMQt/++qcNf0s/wDMQtv++6LhYoHwbon/ADwcf9tDTT4L0Y9IZP8Av4a0v7b00/8A&#10;L/bf9/BUc+vafBA0gu7d9ozhZBk0XQWKB8FaP/zzlH/bQ03/AIQrR/7s3/fyqcnj+2ViqWbsP7wb&#10;FM/4WBb/APPjJ/32KVw5S/8A8IRpB7T/APfykPgjSP8Apv8A99//AFqpf8LAtv8Anxl/76FL/wAJ&#10;/af8+Uv/AH0KLhylo+B9J/vXH/fY/wAKT/hB9K/v3H/fY/wqt/wn1n/z5zfmKX/hPrL/AJ9J/wAx&#10;RdByk/8Awg2l/wDPS5/77H+FIfA2mf8APW5/76H+FQ/8J5Y/8+s/6Uv/AAndh/z7T/pRcOUefA2m&#10;f89rn/vof4Up8E6btx5k5/4EP8KRvG1iqK7QTjd0GB/jTP8AhOdPP/LGf8h/jRcLAfA+nf8APa4/&#10;76H+Fa+laTb6RC8duzMHbcd5rMi8ZabLIEKypnuw4raiu45oxIhG09DmncLFgmmk1At0kjELyB1J&#10;PFKZl9B+dAEhNJmoWuFAzj8jUf2oE/cagCwTTSaiMw9P1FRPdKnY/hzQBOTTS1QC6RjtCt+VOMq/&#10;5NADy1c/4qlxpar/AH3FWb7X7SxnMMgkLjn5Rmud17WIdSSNIAwCk53DFSxmHRRRSAKKSloEJS0U&#10;lABRRRQMWinYHr+lGwf3v0oENop+wY+9+lGwf3v0oAZRT/L/ANr9KXyv9oflQBHRT/JPqKXyue1A&#10;EQ61J5nsKeI6PJPqKAI8ijI/GpfK+lJ5OfSgBm//AGRR5gz90VJ5PFAg4oAZ5g/uijzF/uj8qk8g&#10;+1HknvQBH5i/3BTWkUjAUCpPJ56UvkUwK9FT+QaPJpAV6Kn8n1o8qmBBRU3lUeVQBDU9rEs91HGz&#10;bQx60nlHpVvS4c3qsf4QWoATVvIF3sgcsqjacjGDWfVsQPc3DbSMsc5NOZo7bIiUM46uw6H2FFhE&#10;Edu5G9yI09WqcXSwLtg3e7k8n6CoG3yHc7E/U03ZQMXzWOcyPz70vmt/ff8AM03ZRspAO80/33/O&#10;k80/33/Om7MUbaAHeYf77/nR5jf33/76pu2grTAd5r5++/50ebIOkj/99GmYoxSAGYsckkn3NFGO&#10;aKACijvRQAUUUmKAFpKWkoAKKKKAP//ZUEsDBBQAAAAIAIdO4kBqc2/KKfgAAB/4AAAVAAAAZHJz&#10;L21lZGlhL2ltYWdlMy5qcGVnAACA/3//2P/gABBKRklGAAEBAQDcANwAAP/bAEMAAgEBAQEBAgEB&#10;AQICAgICBAMCAgICBQQEAwQGBQYGBgUGBgYHCQgGBwkHBgYICwgJCgoKCgoGCAsMCwoMCQoKCv/b&#10;AEMBAgICAgICBQMDBQoHBgcKCgoKCgoKCgoKCgoKCgoKCgoKCgoKCgoKCgoKCgoKCgoKCgoKCgoK&#10;CgoKCgoKCgoKCv/AABEIAa8CP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SXYRuHSmYCrgD5fep3gUdahcL8wzX74fjvMRSgs2NucfxelRP&#10;CpbLDpVlsY+U89DxUTor/e//AF1USSs6lR8nY+lQyRE/eP3varbRgcdxUch2/erSIFFomg/dj7vd&#10;qjlU7ttWnXzDgD3zUc0bsmA3f1rRMnlKskQYAj8RUbIqptI+WrOzHzH6VAxIyuzpWkSSvMgU7Pyq&#10;GSHC53Yq08JAVj9ahcHk/wB4/lWkTMqyRsFB27j/ACqOZFdNpOPWrLKx+VjjPeoWjXbsU9D96tIg&#10;VjEGOB93HSoZEA++9WHjwcH/APXUbLhs9R61pECEjC+tQSxhRkrVpoySSPlFMmCqMFqtbilsU5Fy&#10;5lAx6VB5IzuYDrVq5GAAPWmPEDyeKsgqTJgn5/yqGeE7QS3FWyoVtuKjl5GOuOlbRkBU2IBx+NMY&#10;EHl/wxVplQ9/mxUL46BvzqlIUtisyhuNtMlUBvlIxirHsT04qOUAP5WOPWrTIKroNm8dR3qNoXxu&#10;XrV0JGF+Q/eqB1/5abjgdaYFfAZeajeNscjNWZI1OCxqFxz5Y61oBB5Ibgjb3+tQvFuOC3tirjIS&#10;u3HSq5i+clhyDkVaYERgUryOlRPFnBH8qsSBlJXyz8tJtcnJFUnYXKVRG23iopImHDY+tWmXa3FR&#10;yRn75P8ADVJkFUIgGA2ajeLirMiglVde9MA2oRnvWo+hVMWFKY/h4ao1gAXlfq1WtjZ55/4DTQvD&#10;AD6UCKcsS5yKYy5O4dcYFW5I0z8w96aMbML2qogUzDuOHPTvUTwZO0rwO9XXjO0YHeo5FMg244FU&#10;BVli2Lx071H5ZJ5Xj1NWniwOvempAR/rFx/WgCm6BnWP3prx5+XHQ469KuBDklWxUYiyTuUf7wqu&#10;YCvslb+Hj/epskK7sdDVxYsdahnUEnI+7RzAQuAFAO3dUbqzHA/OpyuVXC/Nt+WmbGOCR+FUBXMX&#10;ysu3dSgbRsVf972qxg+lLGpyxZelAFdVDNwfu0FFycCpmU5zikkVh931oArbFZ84xTltlLbjUyoC&#10;2WHWgov3hxQBC6gcYprqAu7HaplXnc459xSiDIKEdOaAKwjdzlOlSRqyDaR17+lTAKOqe1I0LZ+V&#10;dwP6UARbApyu361GUJ79f4hVqMblIBx9e9NZMLgBc49KCuUr+Srfex7Zo8kyfMR7Z9KsKihd+8Z/&#10;3aQDnG6gkhWPaCClKIhtx/SrCwKHXYaEjV2wqignlK4t02szL1brQ0cY+YD2UVY8g7tynAU/MPWn&#10;fJt+Un3qeYaViBUEoVcfxfw4p6W5k+66qw4+bvU8USAffpWjmB+SLcv8ODR8QpH2lKGK7FA3fWoz&#10;v2fIuW6VNLHjkHt96mtwNgDV+ensRISAyc1GejDbUz8dTUZAPzs3Pb6VUQkV2UHHNRywt93PvU0y&#10;jG7b17VGqMBlTxVEleTZH0Hzd/zqLOQF981akTevyj+KopEKPuI4AxVpkyKrRkLtb86ieNC2Bmrb&#10;5+8i1DKCvBPvVxJKzqEbJ+YBc1A6knkYFW2RGbrjv9ail3A9f/rVopE8pUbiXkbuKhmZV+Zhz/Kr&#10;si7T92q8sID7gK0TJKrw5PzIOaheDA+VqtSL82QueKjdX3ZIH5VrECmyY6n8KiliYjPWrbL8+NuW&#10;9cVC0bM/WtIgV5Afu4qKRSvJ9OtWWVR8wXrxUeAw+Y1cTMq53JlVqJkQDYjc9cVbaAgZzTGiCjaV&#10;q0BQaI7shaQqQOatOhB5WomjG7JNaxYpbFXyyCWNRvH2P4VaZDjg1HImdpb15qiCq+0YWozGNuQ9&#10;WjbjBbv0+tRugVeEx9KqJT+ErhCpw3zL2qNovnPFWChY/Kc49ajKsrZdKpElUHcM5+7xUc5V18v7&#10;tWnjGzaPyphjAODzVxkBUG4DazZpsqkDj6VZMeQdq9/7tNlG0Yxya0TAqPEzNuA+7+tMaIqM1YeP&#10;IxuxTCFCbSc/WqjuZlVwdvydajkRjwR/9Y1aeMIcf5FRzQqy/NnrVgQFEHKr92mSxxk4X68GrDRq&#10;vKn2qFo8NtRf96qTArugYlQOlR+XnnHSrTxKozmmPGoiyF71QEHlO6fvqjKqgwT+lWpBsHTPFR7D&#10;t+7+fancCmVIzkbhSSD+6Nwqy1t3AoEagZB6D7tWBTdABk/d9aYfl4b9PSrJj3EnAO7tTRGofA60&#10;AV9hL/Iflx0NN8sK+AOMdatOuWBFNZeME0AU5Il3K1RrGeimrTw7m3Zps1u5j4+U9jQBDICWKt+d&#10;MChjt/HNT/Z2KAMf/r0NbbW2/jigCF/7ppFTdLgngVZEap8rH36UhAH3R144p3YEBgIGAc5NN8sx&#10;j7v/ANarDQn7wNBiI4Bp8zArLFlV+f7vtSrE7Nlz1PX0qdItoxjNKISBgNj61IFd4wX+c/dpQCDy&#10;vNPkWTBJOegpxj2j5Rgd6AIfKK4+Xd3oU+YvK4+tTbCF5NIIEY7uSOlA7sh8kkjaMH2pXgV12smM&#10;+tWNm4cUPCT/AB8U7sRAkWDz39KUJ852ipBDIORwB29adsYLnbSAjEYxtSnBG6bc04RNj923SnoT&#10;1f0pXQEAUR8jH/1/SgmTOFDeuAKlMW7/AHeppHRCcu3+7TJkfaTRkDDcVG0e05HNWHRgNiruJ557&#10;UjIMYAxX53zHtR0KjRuDgrTJI371ZaMg4ZqbJH39qpMloptG2GCjmo9u1dpHNWmVMHtUbqVOFGfe&#10;tIklUoQmBxzVe6VtqkDv09auMFHLH8KiaLJO41pETVypImwdc5/So33fwjtVuRRn71ReVkdetUTy&#10;lR43J3YqGUEEDbV2SMryvaoZEYjpWiEVJOhYDvUBUFuW564q2YigKqvWonQn+GtCGVZI2zwKiZCu&#10;dx/+tVlomUgr60woCx3LWkXqIqtlT0qJ13N6VYmRs7qiaIA81oT7xAU/d7TUJQg8VbdCFJIqEqpH&#10;HNWmSVjk5Uj9aa6MGztqYxrnKrTZIwy4LVcWBVli55FQvEVOR82KtPBlqayc/eq0BVdBt5SoXjyN&#10;ucValRh0yajMYFaInYpkbCQX4qKWPC5D7umMVckh3c446VG0IHVOnStEK5WMRUcD+LtUUsRYY3d8&#10;mrvlP/E1Q+Vg4x+FNMRXdMD5Rn2qGSIhMEt9atkMr8nimPEecnjNUmBTSMqhBPFBiVThhU7x/Lj3&#10;pGVVGCMfWrTJkUnjbduWovJUDJ7+vrVpkZjnb8tR+WjHBH05rUkrmNSAUyaa0XYr/n1qx5eeFHTi&#10;mGMjr94UAVXttrbiflprxuWPHy9qsuoboOaZKrnjbWgFRosjn+dN2AjEg79M9asTRDPynpTDGepH&#10;NUmBWZdw2j/9VNeIrxnpVryUAIH1prJ1wvfrTuBUZHHyk8dqZ5Shtu05NWvLJb7vy02SLDbivzdq&#10;dwK/lxr1PNRPCGbI4NWxH5x3MOdvT0pvk7GzuquYCrtH3X/Om+SVJ2ruq2YAm7FMaMZBHcdaOYCp&#10;5YZCoGKUxhuT0Aqw4XGFwaaIgABnr/DRzAVpYiFUKvao/KJ2kfdPBNXXj+fDDGOMelIluFG41QFY&#10;xkHOzd2qN4uyDr1q2sAzwxpJIwp4FAECxAj7tCxJu3MPap/LI4VaUQtu/DpU8wFZlVSVAxnvRsQn&#10;B9KsGIv/AMs//rUiwgcD/wDXRzAVkiQNytNeEPJyateR60hhGeTj60cwEQiUbhx9KTDIMY/DFT+S&#10;T84oaLavejmArtEWGQtOER2ADtUsUZZTn/8AVS42ptHOW+9RzAQ7GXtQVI+Vj/8AWqwEQtwp4pCg&#10;dyQmfWjmAgSFXj3Btv8Ad96RIWVSrSDPqBVmOLapfbwePpR5eV2KakCBYi3Kr0Xr60ohXbtkVWIq&#10;xGjbMKNvrTXj28MmfendmZ9oSYx1qF4yTvK/w1ZMJHDn9KjkRyOFP5V+dHvcrKzRb+Wpjq2cAVYd&#10;JCOlR+W2xgarmJKrRZO7P1pjqVGBVhlGz71NaIFc7qrmJkVGijf+Hmomhdfm21bdNnNMnUsvy9z2&#10;rSMiSlJERuOzqaY1vjcWWrTAjt3prQjc27vWgFEpkcL3qGWFyNoX/wCtV4q2duKjMag7Wb5qrmMz&#10;PkjHl4C/n3qN4GC7gmBirsqo7bUqKWNhxmtFICi0B6hTUbR7zgHjHWr0oG773NQmEjmtOZk8pRkg&#10;+cgc5FRvE3IKf5xV5lDDioJICMYNbRkSUSnp97+VROgbDJ94ctVx40bgA/Soio7jmq5iJblURnd9&#10;6o5ISxO081O0X8T/AKUjK5bCKM+taJiKjhxghN1MdSEwB+Yq2YhnJGPaoZIW6E1opAVXiZeAOtRt&#10;Fz0q8FHQVCyk8Ac/w1cWTIqsmFyoqIxDGWNW/LZBsPeonhG4lW5rRSJKzK2N22mEcbxn1q1hlTaK&#10;ayAL8y80+YCk6AfN/LvUbRMVyU/CrhQEbyv4VG6uBnNaRYFTytx27MYpksWQqutWHTdhlJNDFcbA&#10;P/rVVwKpiWRflNQ/Zoxlhn/PWrvlyFtu04+tI0axrtp8zMzPljPVPw96Y0Rds1daMJ27014ucg1r&#10;zAUGhPUA+lI0TBfu1c8v5N3X5jUZiYPyKFICm0QxwnfNMaLBzu4NXHt1Z9x7dqY0aAYxWnMBTEGY&#10;+M9ailjI2jP4VoOGRdgXrUGws+/HyjjFNMCsUYjpimeUpO1mz74q8RvXaE/OoUjYSfNgAdKdwKpj&#10;dWznimmJcfex+FWpEkJwVo8pd21lNPmAo/Z5FZTg8Hk0NbkLuAarj4BYbc+lNKbhytPmE3YomBmP&#10;J/izzSmJS25vrVkrjhf0okTIUFj9MUcwynJEMljn5vShkDDA9KtSIGUIQW/Co9rg8n8KoCDy3A6f&#10;T3prAn+ED3q20eFUgHpRgheD9c0AVRDINuBkH7x9KcIFJJ5qZUAHA6804op+U/oOtTzAVNjLnKY/&#10;GnbFJweuKm+VO3t81JGhV8SdT0o5gITCXbfzxTWhDPVpYMPgPx/dxSPbkMHRKfMBW2Lny805oXK8&#10;rU+08sEpjqdpJzmmBCkIQ4K9fvUeXjjbxVjygCJGznFCgsuFX65qeYCv5OWOU7dc06OF1G3ZU8ce&#10;CSBT1jwuC/6UcwFcIzblPzZFAjAXKduKn2soyQxHsKQoT82yldgQLFxsAXd1NIqjblE3VajiMfzZ&#10;pohkmTI/rT5jM+ypVHQDr3qNo8HduqdkO7GaYwH8QxzX5yfQFcr6ioZNw5q46c5AqOWNh0GarmIZ&#10;UaLsFqMpldoFWzC3LCoxEVPIqriKpX++BULRkjAGPmxV2aFSucVBIhdVC9c1cZEyKcicY702TjjH&#10;0qw8IRtuM7jTJYwWzitOYkrPGuOTUMiLvJbpVySHHNQvEQ33c1fMBUcMHwF4xUcsbsuSvNWWT591&#10;NfeeW7VpGRmUTAWYhlPSmPFsGz7zVZmDblf9Ka8eVrTmAplME7lx1qFk3nH8Perstu27dimGHA2s&#10;RzVRkZlF4jHHhjUMsangj5u9X5IGG4ge1Qum0YK1spaCexQEWG2qOfemMkiy9OKutCiNuzzTJIju&#10;yVqlIgoyxFuhqKSMjrVwptB3L+dMaJyOR3rVSApKq7fmqKSJhyP+A1ea3AGXVahljx3xVqRDKksR&#10;zkH6VG8IznbVxoGK4z7g1C0e3knJrSLEVZI8ZjkHf5cU10+XHpVkqpGQKaYvmxjitIyArIjn5cVG&#10;8eG4/SrDW/8Ay0A601osLlRxjFVzEyK7R7Rk9KjMa5YhcVcaIFApFRvGQ2VHBo5iSqYOMZNRm3xw&#10;RmrjIqnJFNMecnHaqUgKUkYzlhTGQM3TtVpkPcD71NZVBBI5quYCr5RIyV5FNKBWwwqw6jf0NNMZ&#10;c81XMBVeEM2QtRvB5hwoxV5oWxtqF4pMY24x0OKrmAqFGBxtz/tVE0XyY29TV5o+d7CmyQj1rTmA&#10;omFh1brTDASfnWr5hOAT0zxUbrzgr3oUrgU3jLcMNoPemFNuAF6Hg1aa2ffnNMMZVsM3TviqAqiN&#10;TwBzQ0BB6cVaEYQZ3fe6U3ym3/M/4VXMTIqmIId2fwprRiNRtzg9attG3IK/pTGiUjlTmjmKK5RS&#10;VO3io3jCNVwrsHTNR+XtXoaOYCqA3Ibg+1Dwbzlcg9asJHvBx1pwjONx607gVUjI+8v+9SmJSmVX&#10;mpzH2OfypyAYwq9u4pcwFMwsSCSKcY1wXNTsgYcHvStAFwSv60cwFUqxJJGVx/DSrycY/CrDRqh3&#10;A0wofuq3Lc0cwEKxE5FGwo3Tr+VWPICjPFK0SAfd70cwFYYYYVaDGQ+Qv3etWdkf8I70skbBs44o&#10;5h8pTaJj8wepFjYYDVL5e7j+6c/WlIzwTRdiIdpK8CgjA47VZhjSNdw70hg53Z/4DijmK5SusW75&#10;ivWgxjpt3YqcxYGFVv8AZpwX5c7AGbk0cxJ9gNyfkP6U1lYHA71KSCcBaGVfyr85ue9ykDIVP36Y&#10;UXJ5+tWGhJH3qR7dlPWq5hcpWaLPSo3QKvWrMkZJ2g1E6FjtVeapMjlKsylV2fyqF4iFBCZq06YP&#10;zDmkmiynIqlIkpNEWO81G8POSKtshA5FREA9GJ/CtOYGU5YyF3Zpm0gbj1NWpFB4C4qJkHmYYVUZ&#10;GZWuIs4YioJY/WrrhWbjpUTxDOCa0jITKZjBOw9RTGh+bJNW2jG87RzUZRi2MVqpEFRxhtpWojGv&#10;GTVx4wr5K/jUZQHkDp3p8xMirJHkbVqFocplhVwxFvmWopI22dP0rWLJKjxKRkLn3qPy8nNWjA/r&#10;3pjRyk8ir5gKk1sG5P5iojCFXmrrxA4wahaDavHrWkZEtFXyd2eKia329s+lXWgdunao5EyM46Vf&#10;MSZ7oxQ/L7Gm/Z8jJq+0WOqVE0WTz9a1jIhooSQFAAKiMDn+HitB49y8LUZteAozVcwii0LbcVGY&#10;TjFaDWisDgHNRGIYAx7VXMJopGDYKPJD96tPEx+Y0ghOct93FUpE2KbR+9RTR7W49KuPBIRkjof0&#10;prQDOWXpVKQimYABwaje2J5xV140V9h/9BpGjAOMmr5gKZt8IGZajeL5N+P/AK1Xntyq8880ySH5&#10;doWmpAZxVx8qnilaMdAKufZ88GmNBtk2kVpzAUZYTjLc/hUbKfu+X1rQlg96jESyJkdqOYCjLC+c&#10;dh0qPyzu3FavMi7dwGeaY8O4dMVUZAUzESfY1EIgPlYZq8Ih6U14grZquYCq8PGVH4VHsKn7jY96&#10;ttEF+8cU1oeMAZHWnzAVpFw2R2puw9KsSR5OEz0poi5UMaakBWaEHJwfm9KRYDH/AEqy9uVGEpnk&#10;t91u5quYCuYiQxoEABwD83vVhIG25JpShAyTRzAVZF2cBfmpFRgN7L+tTmFAck9eaUxo0ZO7g0cw&#10;FZlAbGz8KaYt55+bB/hqzHFj5SeKUWyR9u9HMCKxiI7cenrTWRXfIH/1qtSQlhyOKj8khcKflo5j&#10;RkKxneQPu/xUMjEDaO9WPJ2nIWkMQVdgFHMZkC27MD8/y/3T2oeLau7aWHsaseU4XGPzoFucbH/S&#10;jmGV1iLJkAr3xTlUOfnFWUjQLwTxxSGIbvlP/wBalzD5Sv5a9COc04qF7ZqYIsgz3HtSCI5yB9aV&#10;yiN0VTjPSm+WWT5M1ZaMFvlFNNs2cN0o5jM+vGhQcqtDxAMRUxhz8+aRlUICT7V+d3PoCuyjoDTG&#10;3A4bJzViRDnIqMqxUkmi4ELLg9ajZSvSpmiVRuNNkAYYArSMiZFdogw3EUxxleF6VPj+HFNaPdwK&#10;rmJKbocsoHeozh1bCVaeIhQQ3f8AOm7Ax6bauMiWijNGMe4qNgoGXX5quzRNjDCoGhx1/PFWSVpI&#10;1wCBUTRMWzVt4f4s1EVKHJNaRkZlZlAO4UwpzuqaRJQ/K7vf0prw4bJbPFaKRL3KrxAjrUbJHH8q&#10;jr1q2IsAFh9aY9upO5TVcxJVkDDqKhdQ64UmrxjABFRuig4K1fMS0UjDt+ZhSGLdz6dKttD2PSme&#10;Segq+YkpGJe9RSxDODV4x5bJFNMG4bilVGRNpGf5TAZxTWhGOi1daA+tRGAkcir5idSm8I59TUbw&#10;nrj2q49uS3yjp/FTGhPDFua0jICo9uAOlRiMHnFXTFg4IqPyG6BeOtXzEWKjxgHOaiNtk7jV7yMr&#10;gt+lM8sRtyc5quYRSe2Zjlhx6UySFS2xR2q9JAW5X9KjeAnG70quYCm8KKNpWmmHd1X8avGHanIz&#10;TfKXZzVcwGdLagn72fwpj2rORhv0rQe3Gevb0phjcDdn5RxjbVcwFJ7dtmS1RyQkjkcfyq81v82Q&#10;M5qMqHGPLqlImRRMGeB3prwkNzVxoFB6dqY1u2dgH41XPbViWuhUeHdwVqF4lHzKMetams6DbaZa&#10;2Wp3mp+XJcKTHalm+dT0bGMdjzmqjRDdgtWdHERrXcehvVoOlFX6lJoTt+8PvUyaJx8pq+9uuPu1&#10;C8RPT+VdSloc5TaAjHHWmtb81ceJh8pX6U0xlvlC1SkBUNvkcrmo3jCLtIq95D5yKhlgJfLVXMBT&#10;8vKYAqNYfKH70+9XzAoUcVHNB6D9KOYCrKvdTTWRm+VTzVz7MSA2aa0GT+Oc1XMBTWKXBVhjn5aD&#10;GQGDj+HmrXlkN92l8nBOR09e9HMBRCOPmRc+lL5CA5KdRVh49r89O2KcyBV6UcwalU2x9c0BCRjF&#10;WMMx4HHSmmAs/K8g0cxUSu0bSDy8fWmmPjaBVry/LBZmpDCCA4o5iiqp3ZULztpFgLnjP+FWFg3M&#10;QDg96XyQSH2+31o5ieUrhQp2uppShHQ1YELH5SvFARlfBTvRzFFeJA2VFHlA846dqtJbtu3BOKQR&#10;ZGKnmAhSFcFx2oEOR9w/Wp1jZjkL9adsONoWjmArrFx83WgowGFYflVgwE9+3pQYlVAJWo5ieU+t&#10;G+VMHnnFNkXjBHHpVpodoprR7h0r89PoeVFVsLxTXAarDRZGHamGJRyVquZiaKrpuHWoiDjA+lWf&#10;K+8i/XmmSRFOtVGRJBs28imAjLVYkhJTGetRzKV4C96rmJ5Svt+WmmPI6VYdePu1EysvRfl/lVRk&#10;SQMp24IqMxnHK1YZcKrkUMoYcGtIyJlEovFlsfyqNoix5arjxsh3gd6hkUtzsqlIzcSnJDsP3mpr&#10;RHHz1bMR3bgOR90e9MaPPLnmtOYkpvGDjHamlOOF5q0UKna34GmmFBliarmAptD8+9evpTWhZhkD&#10;mrQjIbkY9KDGu7k1XMTylRkZei1GYcjlqvlQRURtwTkGqUiWmVPK2qciovL3D5au+TxtNRNEo+7n&#10;8auMiNSk8Q37SP0pojBUgKavGFWPvUZg3ZRxjPSq5hNFJ4ewphjA+YpVx7chtqjp3pr2xG4g9atS&#10;J5SmyLnlfwqGW3cvvBq+1sAM4zTHiyPu1pzk2KAhPXZSGEKc7fvdaveUCM4qNrbL9e9VzhylP7OQ&#10;cAVG8GPkHTvV5rcqefwprwkDCD71PmJ5Sj9nGcDioxGANu3pV77MSfLc4qN7covy1akDRTaLj5h1&#10;qMRFVwV6tVwjHystNlgJdW2n5fer5iSm8TheBUZicNtZPl7GrzRE/MOtRSxvuyw7VcZAU2jAbd7d&#10;Koa5fSaRpNzqkOmT3rQQs62lv9+Y/wBxc8ZNbDRKw3Fc/hVeWKTzoYrYLuklUMzMeBn6Hms60v3b&#10;9DOTcU2fPf7dn7Q/7SnwO8QeGRpPwq8PWo1azhNtZ3WoNdylTjYrqmAknXKq5AJxk9a9Y+HPifUf&#10;FnhSx1TX9JGm6pJao2oadknyJCMlQSBkVyf/AAVv0+1l+O3wp0eELlY7Hd8vOQwP9K9KuNEh1CeO&#10;+z5c8I/dyrxnPUEDrXDldPkoqd3qceDzOvjudVfstr7hsse7jb1phiO3H61eaAkrxn+8ajaBguGH&#10;fivYjLodzRSkiP3gtMMEm3gVdMQLBSM+tMaPKlQvGapSJKRjdBtxTTC2c1eMC7R/s1GEDrtANUpA&#10;UzC6sA1NFsQGBbvVtoTux5lIUTJAH/16rmAptB8uM002uct2zxV0xhvkU/pSGLYcr+NPmGiiYtuF&#10;waDEDkg4/rVx7fJ8whqYYiVJ24+tHMWVBCm0v19qaIzKu7b92rpg4428e1JHGcYKUcwFJoc/IF/G&#10;kMLsMFulWmQsN69KVY0A3nNPmApSQ/NllOMURxd2wc9qtSxkruVc0Im4YC4YUuYCp5eG2lffigxk&#10;NwOatfZgOp5pWi2tuI/ho5gKvllCMjJpxjRugz83PtU7Kp2/L70og53BPp70cwFRVIPDVJ5EZ/i9&#10;6mEPovH0pRAN3Tnt7UcwEKwbfunFBjYj7lTrErDbv/TrSmPZHlF5qeYsrG1BVmZjSSQ7414/76q4&#10;kZZOR9aaYRvyetHMQfWGzd2qN4iOQaueRg7cUGBQMsK/PeY+k5SgYGL7m+7Q8W4Yq7JFgZKmo2tx&#10;940/aC5SjJbkjgVAyPjLD2rRkjyOBUbQBT0q+YlxM9oyoyRTXQ7elXpbfPzfpUMlu56EVakRKNim&#10;QxHSmyQOwyauPDjgU0wZ4Y/hVcxNmUmi2nAphQY+arckRHGBURjyuSf0rSMyZIqugZvlHFMaLAyR&#10;+VXRDuGBjFRvFtHAquYnlKTQKfmINNliZjjAxV3ycnLCo2h2cmtFIlxKTwio3jIPy1cdSCcCmPC2&#10;7mqUjNoqBSCcrxTWjAI469KtGBxnb3oaEjG4c1XMTqUjEfvE96BAMZ/T1qw0aqPnTvQ0fr1quYCo&#10;0bk4YVEYscFKubCeq01oQBuajmJ5SmYM4CjFNdDkjFXRGWGcVE0J6g8VfMS4lUw/LyKjaPjDVe8v&#10;cMYpphAbmrUhcqKSwLjO00jW4cY2n86tPA5O1TTRH/BmqUhNWKLQqpwtN8sNyaumJeenWomQBvlF&#10;UpElV4wvIqPyWJ+YVckjx1FRugxxmtOYlxKbRZ5xULx7hjrWgVyOVqFosnmqjIkptbAn5lpJIgFz&#10;irRSTdimSLuBAFVzAVXRtvKYqGRGAq20RZc4ppiBXJFVGRPKVGjx0Gar24xqaSMu5fNQbWPHUGr1&#10;0Vt4mmb+FdxqHS9Pe7vIbJfvtIrH2JIrOrL3WvIxq6U2/Jni3/BV2Zpf2vPhzZH/AJZyWg2+3B/r&#10;XrkUDKi5Hy7c5rxz/gptH/af7dngOwGRtktR+SKa9vERCcjqBRgH/scPQ8HI9adSXeT/ADKgTK52&#10;8UyWEt/u1bNs23aPy9aPKdeiiuxSPotXqUBbgckU1rcAYXrV97dS2cdqaYcnpVcwcpniJQc96YYQ&#10;Pmxir726jjHNNktVK4AqlINjPEA3BgvNNlgYdelXjb7RwKRodhyw59KpSAoGHYBjmgxc5dauSwO7&#10;YA96T7Nxgnr1p8wFKSIkfItN+zll5Xmrjx8fLzTTE2d3TPajmK5Sp5JjGdmPrTDAxw2081beEtyR&#10;S+V8uMfSjmDlKPlMAVI96TyXb5oz8vTmrjQktsNN8sAbR+FPnDlKslu27YRTTbuo6fhVxo2C/MOR&#10;SrHuTr05pcxRSFvluRx601wqc/hVswvkkd6b9mD/ACuO2aOYCv5SFNqt/wDWo8hFG5z92rKW7KCQ&#10;MUohl2MB/FRzAVXikPI20NG6ruHOasLETkFfanLCo6N0pcwFcxHbkjbj2pDEC+5O3TPerOwltqhv&#10;yoMcJ4Awy/rT5gIljHTFMdBjKLVjy8FSD1NOa354/SlzAfWTRsW4qN4uOnT9auOoK78U1gqpyetf&#10;nPMfUcpTeMMcNUflKOBVpo8nKpTHTaeRV8xnYqzQjOdtRPHznPerU0e5QAelMaJivSq5ieUqGM5z&#10;uqMwAHcG/OrDo2doGKYYyPvGtYyJIDCRyDUbxDdx1q0Yz2aozGw6ir5ieUqsnOGqPyR3XirkkO3k&#10;imNE237tXGRLiUzHg8LTHQ5zVh4zj5h+FMMRVcMnt1quYzsVghZt9DoC3IqwsXJG3pTXQbqvmE4l&#10;OSHpsXrUcsRV1Wr3lbeKY8JPz+lWpE8pS8tsbs/hQVLcj0q2YNw6UjRbB93mq5ieUoeW5bbj9KR4&#10;Du6VbkjOckUwwEdTVRkQ4lUQALjOKa0Iz0q0YOeab5RwQKrmJ5SqITjkVGYDjBGKuGB1bcFz+NJ5&#10;G7tVcxNikIV54prxY5xV1rYIM4pjID95apSCxTYHGAKjeLjO6r3k4z8tRyRgcEVSkS4lFoWK8U02&#10;+BlqvG3BFRiIZOaOYnlKbQALyKjaLB3Zq99nLLjPFNa0GMVp7QXKURAxGT+VRPC27pWgbYjgVG8O&#10;KqMiXEovb7U+tRG3Ab5h+VaBt945NRtACcCtFMnlKMlt/F29KZJF8vCVo+RtPzD8aja2OCAO9Vzh&#10;yoybqFWeOAv8xbd8p7Vf8G2rSeI7ORznddADj3/WoPK81pLmHbu/1cbEdMHH860/DcBi16x8vqLh&#10;BlR71nUl7pzYpWoSfkz5q/4KAutz/wAFHPA9sTkJdQcf9shXvH2VQuM/SvAf265GvP8Agpn4PhH/&#10;ACzu4vxxHX0X9kBG49q2w/u4WC8jweHVzYeT82UTbcZIqNoTnbitFoewqIwEnmtOc+kS0M/7LyCR&#10;SNCXHAwavvbrn5VNMNtlshcU1UAz/s2OWNDQEHgVdeD5uUphjyMFP4qv2gcpSeAN1NMlt1IXIq89&#10;up+7Ubo23Cr81UphylQwAH/gNRvCQc4q75Jxlv5VG8QYYI2/WjnCxTjQMzIVx70GPnHl/wDAjVpY&#10;R90Lz/OlMY2lStHMVylExNyu5qQQt0Iq8kORhhUckRPzAVXMKxTNv8+7Z2puwHlR0q0itjBXrSeU&#10;sfyeWOaOYfKUmhJfnPzDvSmEhMY/KrnktuG40ggDZITpRzBylPyM/KRTfJQDCjocVc8ved2OnrTW&#10;hwuCN3zce1PmHyorLF82Cv50giYDaasMnGMcigQ5XH96nzMXKVTGUOCvenLAcfeqwYDtG7PtTTEQ&#10;wIHsaOYOXsRiJWXIFNaI/dHG3ndipkQklGXp7UqgkFhx2o5g5SBYjsBC+9O2ALljUyQ/LweF+9Uj&#10;QKyDAo5mDR9XPF/CajeJG6rVx1XGdtR+Uo4Ir835j6zlKhgRTjFNZFYZYGrTRdcrTDCueDWkZE8p&#10;TKK3y5pjREADb3q3LAd2AtMZTnG2q5iJRKhjU1DJAG5XrV148fw1FsUHpVc7IcCn9nbOCKa8IDYF&#10;XnTA4WoJovmBX1rTmIcSq0OACajZCD0yatshUsrLTWhYLkDmrjIixTeE7uY6Z5Rxz+VXdjbhuWmN&#10;EXJ4rTmDlKgQpSPDz93mrIjw20jFNMZDbd3y1SkTylR4OeKRoVU4INWmTD/dpHjy1PmJ5Sn5DZ+V&#10;eBSGNTx/SrvlbepprwoRwtVzk8pQMIH8FR+QqtnFaBiBHNRNHg4x0rRSM3EqeUpO3bTTbYOcVc8s&#10;v3pBFR7QXKUPs7qct0pphI5LGrzRseSKb5ZIw6/jV84uUplEI5pjIhHNXWtuuRUbW6gYK01InlKe&#10;3I6UhtUbnFW/JQcBaaEJ/hq1InlKbW56AcZqN7ZQuCOavCPqcfxU0xKeStP2guUo+TtXO3601ogM&#10;EVeeDcOlNMRFHOLlKPkbj1qOS3yc7aveQoOQKaYCBjFXzkuJnvCMbVXmmta9CWq8YSGwwGKDFnpV&#10;85LiZ0sKKOahuQYbd2UDd0XcO/atGWLK1Tnto55Ej+UhPmwy5z6f55q1IOUpxWuxY7QBvlUHc25j&#10;n1JPfr169eua0vDNtEfEFkGRv+PhN351Bbx7y0rL0fYvBGMda0vDsWzxBZNnj7UnP41M5e6ceOSW&#10;Fm+yZ8mftXRx61/wVH0FCcrExZfwXrX0obcqoB9a+afjPKb7/gqZp4kO7ZHN+HFfUYg3LXXJ8tGK&#10;8j5/hf3sDfzZQe1YcqnemvCQc4rQddq8j5ajMe4cCs/aH1PKUfJUnBHWmyWyD5kFXngP3itRtG4j&#10;yD3xVe0Fymf9mGcmmNCPvba0DHyUY/pTGjKny1HFWpisZ/2bH3uKabZM/dq9JbFdvHy96j+zk/eX&#10;vxT5mPlKRiDNtIG360ktrkcpVr7OpbOOaHjKnAH41SmKzKJhC/NimmENyF/KrbxNI3A+tI0D7cEV&#10;XOFmVGiAbr+lRlGORirrRnOdtJ5ZPG2jnY+UpfZywyR+OKb5C7t2M/QVeaJjyDUbxop5FVzBylUw&#10;LnO37oprQggKF+9Vvycnj+L1pViTo1HMPlM/7Pg8U3yODtb5qvGEFiFXt6U0RoO1HOHKVHgGcP8A&#10;pQIgq5X86tmJsZJ4bpxTWiVO9PnDlKjIcrzTGi3jaVx3arxh3HcmOf71JtDSbCKftA5UVPKXDMo3&#10;HGaasTEfc21cMQ3HCClaAFMj1/Kj2gcqIBCoBC/l60iIwO3FWBCVblfxpREjcip9oxcp9WSRqetN&#10;aEsMKKtPECcmo2RRxivznmPsOUqvEQv3aj8kg5xVySFv71MdNo3YrRTJ5CkUctUZVskFquGIg5Ap&#10;phAGQKrmIcSo8YU5NMaJGIOKtMgYYIpDGNvAqoyJ5SnLFxkVE6qPvLV51wwDCozCp521XMQ4lRow&#10;D93NIERhx2q39nB+YUxoA3t9KqMieUq+WBJk9O1NeEZyi1a8oAYI/Gm+VnnFX7QjlKbQYOWFMkiG&#10;doX3q7JDu+UCoxECc4/CrjUQuUpsu3oKaU56VckiJBAAqN4WZMAVopEcpX2hhvZKj8njpVpI+cU2&#10;WAryoo5xcpU8oB8Yppt/m5FXfJZl4SmujLwwq1MlxKgg2npTAh2/MKsmMgZFNEJZefWnzkcpWKAj&#10;io/L+bGKufZ8fKopDFt5x0q1IXKUzEy87aQxsRkirTQFh1700QkHBWnzByFN4GXmmmM/xrV4xF+S&#10;KjkiJGQO9UqhLgU/I7447U02+4ZK81caBgP4ab5D7e1Vzk8hUELAY2VG0Cqfu96utEG/ipr2+RgG&#10;mpk8pSeLnhf0phiYcbau/ZyF5pjxbR1p85LiUWiPdOtRlBj5av8Ak7lyVxUX2dFTOK0UhOJTe3z9&#10;78ao+UVSS5/iYnA+nAFalyGaLy1bHmHb0qGe3y8duCwzz1x0rTnFylW2tREiq25vl+8x5/H3rQ8O&#10;2huNdtIcZ2zKx/A00W4AxxnvWh4Ti2+ILfA556fSjm5tzy8093A1PRnxN8QHe+/4Ko2zIeUWYt+V&#10;fXCwnYc18iXwa4/4KqbJv4Ybgj04WvscQ7l2jFduIlypLyR4fCMf+E1PzZSeMA5YdqjMGD97ir0k&#10;JHAH6Ux4WYhTn61zc6PrfZspMg6AH8aRoVztI96u+TtOCtNkh77aOdC5Sg0BDZI/CopYucrV0w44&#10;P50kkeBkqK0UyeUoSQb1yD3pkkEZGGyO+auPGWOFWmm3x96r5g5TPdDGcnH1xTCjMcA471oSW6Hn&#10;ZTHhCDOOPYdKfOHKZ8kRSTOeooZN6Zq4I1f+ChrfeMIOlV7QOUpPAUAJbj/dphhCtwMfLmrwhLNw&#10;vGKY9omMk0e0DlKUcfG5vypoi+bp+JFXvsynLUwx5BVaOcOUoPASee9IIsNsA/GrrxqrbWHX9KFi&#10;LPt29P1qvaBylPyypYuKaYTuDfhVxoBnZimtBgcrR7QrlKrIAcdaZJEv8aVc8hQwwKSSAOmOM0c4&#10;cpRa34UA9/SlEYD5KirbRHoO1ILfnpzT5l3DlKyxB24WljhXHQe9WVgYNu9+wpwtyG2hefpRzruH&#10;KUjbqWznA9KkWJCOEqyI+WOztxTFiXbuJ60vaByn1S0JPVqbNHkAAVa2cbcfjTHjbdtP/wCuvzr2&#10;h9jyMrNFnjdUZhzwauNEE6/yqH5y3C1akRylWWEjimGPjvVtow3WmGAiq5mTyopmLanuaYynjA/S&#10;rbQYywP4U37PxyKpSJ5So8W7kimiMqc4q08AxjbTfs/OarmJcCq6FT0pHUgZVasyRHOKaY2zyPet&#10;I1CHArhdy5CU1osDaBVgo3Uimhd1VzEcpV8pR0NI0SnmrXkrnJprx8cJinzhylQxc01oQPmq2ImP&#10;H9KRrfsR+lUqhm4FEwgc0NB6Vc+zjoDTfIBGAc+9X7Ql0ymU4zmozCAct3q88RVeaaI/m24qlUJ5&#10;Ci0S7sCmrBn86vNCc7gKBAjryKr2hPsyj9mI5DUjQEhuOvrV0wbBwKjaLnlfpRzk8pT8kdqRo9px&#10;t/SrZhUjLLzRsyPu1SqByFFoSf4ab5HPWrzRZ7fnTTFyQVqlUDkKJjZf4aa0eVzircqYTIXvikMH&#10;yZAqlUJlEomIE4KU14VVc7auPAT0FDRELtNV7QnlKHlK3y4prwYGAKutCM52014cjGKrnE4lFoMD&#10;mmvB+NXmhBHJqvLH5aGUKeBVe0J5EZrQLNdMufljGfxNMjjSW5kl3qQvyLhs/X8c9qt+RJb2bSyP&#10;zjd83r6U60tCIss3LDLcdT61amJxK7QqxxjpVHVPE+reEDBqeheDrvW7xptkFnaypHg4+8zN0UfQ&#10;mtl7Yf3al0u2MmoqoB+YEH8quMpPS55ObL2eAqSteyZ+aPhr4ufEzVv+Cllvqmq/Bq6t9SNzJb3N&#10;mmoK/lo3DSA8AgDmv0WEbbBjjPO2vivwRp8I/wCCplzJAm3y7a4O3/gNfbyxELk8/WuvE80Gk30P&#10;L4XlTqZXCUIcvkiubXcMmo3twvOCTVwIzDkUGMbtpXmuX2h9Nyme1up71G8XzAitCWFepFRtaoRm&#10;n7QTiUWjBYqf/wBdRmNZBwv4VeaABs4pnklU3P1+lae0FyMpPAF+bb7VEygnIq+YmI6VHJaVUagu&#10;R9ii1sp5LVG8ILbCOK0GtzwcUySEKuT/ACqvaC5TPNsVJIHGKZjcNqD61ea3C8tUclorcou1qPaF&#10;ezK/lELyajaIKwXnmrW3y22sPmxn60GL5st/+uj2gchTNu+MbqYtsA3LVbKsNwMe2k8rcCCKftSe&#10;UoyWzj5WY01YGhG7d+FXlgAJb/0KmtEB8oWq9oHKVBFn5iKY0YY7FWrohJTJP4VGyEHacUuYOUrN&#10;bLt579TSCA46dT1q5sIXbge/NJ5b9E5o9p5lchT+y7xsbjvupFj3cAVc8l87QKa0GOo96PaeY+Rl&#10;UQSEbT0p3kFF27s1YVGZORQkeAcjpR7TzDkZWEGF3H8aQxqw5Gfwq00AIyT9PehbdkGcdaPaeYcj&#10;PqLYNnJprW/GSan2gj6e1IRkYxX5/wAx9fylcxDHOMVH5WMkGrJU4yRTCoIyoqozDlRWeHPIU014&#10;VUcVYZDnOPrSPCpOKpTJ5CqY+OKa0JxVh4cjGaa8bYzmqVQhwK8keRtC00WwxzVgx9ieabyDyK09&#10;oLkK7W6EVGYeateUcZzTTEyHrRzE8hUe2LcgcUjw4wQMVc8sbckUxo8HpxVKRLgioIfmyKTZ82Dz&#10;VlkGcHpSbAPlQVXNInkRW2Z6LSMCBhlqy0ZPBBpvl7eoqucj2aKpVQMkU3ys9Pr0q2UI4pGUgbSa&#10;rmFyIpvGM4IpGhGRxVnyweWo8pSfl5NV7Ql0yqYsKQRTRChXgYq1IjD5cf8A1qQIepWq9oT7MrNE&#10;BwKa0I/iq0YQ3ahkC/LVe0ZPs0U2iGcGmtEoG0VcMQPNNMIznFHtA9mUmhXuKaIx/dq6Ytx6UjQE&#10;HNUqhLplB4SRtIpgi3HFX2gP8VNMKg8LVe0J9mUGiAGSKQQA81eeHIGKja3x0FV7Qn2ZR8gZ27qa&#10;bcrxir3kgHnNBtziq9oHszPe3OMBaqXqMXW3RM7267T0/KtdogVyapwJ9pmaQHdGvyR/MecdT+dV&#10;7Ql00UbqPd5cCAfM3zfSpGhJXhKmW3Mt1IzpIqr8i7hjPrjvUz27DpVe0ZPsyiYyBtFTaYEjvVLf&#10;3T/KrBhK8MMGmwxFHZ1OMLW1GpzTR42fR5cprP8Aus+D/hLatf8A/BTvWLpRxDaTFh9a+3vKBGVF&#10;fG37OVn9r/4KQ+LpgufJ01z/AOPV9qvF6D6cV6GYVOWa9DyODafNksGUTCAMmozHG5yFwa0DGScb&#10;efSrmmeEfEOtbjpWkzTiMfOyRnanuT/CPrXkTxcKerZ9nDCzqbIwWjyMhaY8Kv2qe+8XfCbR/FNt&#10;4G1T4h2t5rV55ht9J0GP7bI/l/6xTKh8hCPRpBW58N9I+IvxT1rUtN+FvwEuEttNnMJ1vxhNIkM7&#10;eWSDEkQCNhtoOXPXrXmV8+wtLbU9DD5LiKnkcu8YUYP/AOuozDuGPbNeLf8ABSbxP4j+Gvxn1jRv&#10;hx8VtR0PxBZxWgbRbWzT7BGxjG9lyeRnsc18+eGf2xf2rvBsbTal4k0jX2STef7T00bcf3dse38u&#10;uf12hnFGVPnsx/2PV5rcyPuho9uGJx67qTymLb/0rxrW/jz4O/aG8W2ug+AfEOoaD4guNMt5bm+s&#10;9WzYG4WIGaOK1VcLg/32wT9K6T9mPxH4r8ReFdTHjDxJJqV3Y6xNbLNLEiMUU4GQgArowmYLEa2s&#10;c2Ky14fqd9JC/VRTXgPHy/xVeZG6hfyqPaWbDR16PtPM872ZRMQJw1RvbbW3VeeJiMBaQIqDDNT9&#10;oHsyhLAzHjge1V23RNiYfL18zmtN0B79e9RSQoozu+lP2gezRT2A9E60eX2CfjTntmhkYwn5f7vv&#10;UgVZ/nR844qubzF7MqmIkHjpQsI259qsCFt2SS3ehowDgDmn7TzH7MqtGQwOKa8Jxkirht1/iB4q&#10;JlULkij2jD2aK5jBB2oMmkEBH8PX9KtGFh0pqpk4I/3qXtA5SExH7yjgVFsJJDGrXlfNtx+lMdCS&#10;oDfhT5yuUrrGWU7RR5WFAPNWfLZU2MvJpDAeGNL2gcqK7QjGfSmmJ8YC1a2cHNAh7KaPaE+zPprg&#10;UYx0FKWJGD9aX591fCcx9fyMiYKDyaRtgHympWQkUnl7vlIqlMXKQYPZaYUJGN1WGgVTwab5eP4a&#10;rmJ5SB4yRTAhPBFWGjYcqKay5H3qfMS4ldowJNwprJuPC1YZB2FNVQOlNSZPKVysg/hprhjwVqw0&#10;Tbs00w8fequcnlK7LzyKRkyanC7vvCmhdvUdapVA9myvgE4IoZV3cGrBt2LZC0hjIbha0VQjkZUe&#10;E57+1Ai2/Ke9WigLYK0JBz1/Gj2gezKu3+EU0xvirLJhsbaVkGORTjUFyIqeS+MbaXywOi1Y2AcZ&#10;pnktmrVRE+zIHUHnaaaYsjk1Y8o96Tyec5p+0F7MrhAMqPzpojwfWrLRdsUohUdKPaC9mVDEpOab&#10;s527TVsxEfMTSPEucir9oHsiosf+zSNGwNWDHtPQ0GAtnmj2hLpFVo3YYFMMZA5XpVzyW6Mf0pDE&#10;SNuKPakumUlXj7tIwwM+WatPCV4zUYgA52tVe0J9kVmUnJ8s00xvt+5VoRqrYIb86aycblp+0Yey&#10;M6f93GwZT/wGo/IitbbC8bFq3cRLcXMcYP8Aq8s3J49KZd26ShbYsqs7dCOo71XtGT7Mq2toYoVL&#10;HlvmbB6k9/epfKJ421b+zsFwAKa0RAwaftGHsyo9vu6ioLqExwyMMDbG38q0HVhxt61U1ZAmnzSE&#10;42xt/KurC1G60fU+f4kjy5JXf91nxL+xppd3r/8AwUc8Z2dqA00mnssas2BkvxzX2H4k8WaZoWh3&#10;2q+H/B/ibxRc2VwLf7HoujyKs0xLAJHJIAH6HlQRXyl/wTvkE3/BTXxQW5/0cBT6/vBX6O/tJ+Nb&#10;r4f/AA5k/sHxppvhOFdSmtmuNNs/OuI0xL8yqoJ38bue4x3rzeLcdiMPilCm7aI38NcDSq5BCU0c&#10;Xonwk/aBv/Fdrs8C6F4d0OCxM99ealdC4uHmEjYiVWxtDIA2dvVq8v1z4c/BCL4e6H4d/aH/AGlt&#10;X+JE2q6tHJNDoDN5bRyAGKELF+7UBtgztBweeK9I0VF8a/FCSRdI8XeInNnYIbu+mMNqw82QeZt6&#10;B8Ek8A4xXnNt9r8IfDnwbPPqPhDwcklxaIG0/F5cAE4H975iuFz2Yjpg18PLFVp6ylc/TY0KcPhR&#10;6h4V8c6Pd+Ojb/Cn9lmzs5rPRVmtdf8AFUKoYN38GXHyHHPFb/wD8e/EPW7XxxF8Q/jZo91HZamg&#10;tLPQF3SabH5yfK+3qWPy9ehrwpL/AMKeJvicmozReNPiBNJ4Zja3lbfb2zsGXqvY9xxXs37Ndn4u&#10;0y08bTTeB9D8NxyXKyWslxKJJpP3iZaUE9AOBx1rGcuY1Wh+Wv8AwWLka1/bva6+26pHa3Eejus0&#10;MxUykhSBIAwyvHPXjrXzPqnjHV7H4r3WlR6vPNCs915Noc7ZP3Cnyhxj5cbhz3NfWX/BcC2n8Mft&#10;uXHiS38V2lrcDQtN3LcxDyZAVxkZGATn8K+N9egjg+M2pTXupyQxzSSM2I87P9FI3Rn+8SenXbmv&#10;qMD72Fj6Hl1l+8MPwv4+8ZWPjbX1TxtYWvlOzLpV5IFZiR1HbPav0g/4Jk63qGu/CrUHv/vi6Rjy&#10;CNxXmvzCsJL278ca9YWXh+O/SR1C3Uny3B+Qdyeh/nX6X/8ABKSaOX4V6paRK6mG6jG2T7y/L0Ne&#10;thZcux5mMjzR1PqbyuQBRJGobIqxt2nbspskY6L+dep7RnjeyKjqWO0NtqPylb7wqzLEx2sKa6Yb&#10;BFP2jF7MpyRAvhhxUbRDGAKuFDu5Hy00RsNwYU/ak+zRR8lgGO7bUf2MqPMjPzVfkRm420zyGHb8&#10;6r2weyKKOGcxMNp75pWiViWH3qnntTK2WHzD+L0qE7oJRFM2Bxtf1o9oHshAmF6ZppTkBk471YQl&#10;1ztx81LIn8YXNP2gvZlR42LbgBgdKZsGDkVY8g54ah4SiDPWj2geyICpByFphTbye3tVshSMqOlM&#10;ILjHHPtT9oX7MrnJ/wAaNmRlhU2wqnyjNGZCoBTp19qn2jDkK6hMZOKUICN3AqcRg8bac0WF4Ao9&#10;oHszN+Gv/BQLSTrN5b/Fi3+yWk99/wAS26t4c+VGWwqyAegxzX01p2p2OqWUWpafOk0E0YkhljbK&#10;upGQRX5I/FDxTaaRp2nwlZJP7QvFihaP1xnP0rQ8C/tZfHbwXpE3h/wD8S72wjh3RLDIN/ksDgja&#10;4+UgjBHboa+Io1Pabn106dtj9ZASRuCfhTfMr8gdS/4KBf8ABSnwpq8l5beLNO1qxVSY2YbGP1Xb&#10;/Wug+F//AAWn/aP8LeNbGP4z+CYrrTpGWO8t4YdrkZ+8hwOcZxnqa6+Ux5T9XgufmakKkVzXwc+K&#10;mifGf4caX8SPDtrdQWmqW/mww3kWyRfUY79+a6jqucVjzSDlISpHIpjID2qVgOmDTEfc3H40KoT7&#10;MYYeMjNNEJXnNTFW/vUMgboar2gezINmR60zymXotTsijoaRmw1P2hPsyFoj1ppjGQamJ2j7pqGW&#10;5VE8wuqr/e3DFPmdyXHuKY5d9J5Zzg0NOUG5xS+awbLAc+neqvIXsxjIT8ooCsi4p5Yt82KRgxaq&#10;UhcqI/LXHNMICfdP6VOE9ajaIZxVcwciI2jOd22gqQ2QKmbgfLSMpJ25o9oT7MhZTn7tNEXYip/L&#10;agKw4zT9oL2ZX2HGM0hXBxmrCoWGSaGj74pqbD2ZXZVNJtCjNTFCO1N5zg0c7D2ZESCOlNBIGQan&#10;wAOKbsONxNUpsXsyMqu3k1G0R+8vT61Y2Z6mmumBgfzo9oL2dyuYv4hTSrgYxU0pWJNzcADk+lNX&#10;LAGn7QXsiuyBjzTGGD0+WrLIzcdKq3oby1jU/NI20cdPX9P5VftNLk+zK9pa5MkzP80jFhjsOw/r&#10;9TTU2zXbPhv3fydcc9+Ktyny4zLjj8BUdnbSRWwLj5urfNnmn7Ql0xGhIGDQ0Z2/dqw/K52007WG&#10;BVe0D2ZVkiLDJrN8Tn7PoV1Ky/8ALFjW0yHPArG8aAReHbpyePIb8K7cDPmxMF5nzPFkeXh/EP8A&#10;us+MP+Cb7tN/wUo8Ty5+Xyccn/poK/Rb9pfULbwt4ekv7nxFouixt4ikZ7qSD7Q7BjIM7cH5ufwI&#10;r84/+Ca4En/BRfxVOzdEA/8AIor9EP2sXOk6PD9p1zwxoNrceJFH2zUIzcOzNIwyI1ViSScH0J5r&#10;yOMpL+0I+h3eGatw3A534beMdK8afGrUtJstZ8Va1/ZllYtujhNvaRyeePuj6kE+oWuD8OeD9e0f&#10;4GeC5rf4e+FPDLx3FrLs8QX6sRF55Pmckn5gdw4+8QK6Dwd4+0qDx94ynm+JOv8AiOS00+G6Gm6P&#10;pIghBjuE4BJyz7gF6Yxn1rJ8PeAm1P4N6Ouh/s3ahcGGONlj8VakQzn7aDuLMVAU/wCtUegAr4xS&#10;0P0QbJr0M3xATRfEHx2vJpp/D2w2fhPSykEoDKducDAA4z712X7KWk6NHe+MZ9B+GXiKf7VZQmTU&#10;tdnLC9Pmj5E+nU/Sm2th4g8MfF/TbW/8b+C9Btbi1NrDaWarLdTfugQihVJ46k5HGKtfCXWdCfUf&#10;G+m3fxX8Qa9NHosckljBbmOGJQQ2YsnO9vpUyZUUfn7/AMF6vD2sX37Zumx2ugw3MEnhTT3uLeSY&#10;KqN8wz6nGK+IvHU0ln8U5JoDCs0dwgMfBaJXh2Gf6AZH419uf8F+p7PT/wBqbw5qUul3rQt4LsgJ&#10;Im/eHDn5Tx1/xr4h8fwzXPxg8iXRN8J+xkXCscs5SXajf7B53fhX1GB/3WJ5db+K0cNbaDoa/FbV&#10;JtS06+vGliWYX1m+I0ync9s44r9KP+CSbJN8O9flWbzN13D857/Ka/N/Vbya1+LU2mnxA+llrGJf&#10;Jt4i0TfL0OG/Kv0C/wCCRmoXUsmuaaLwTQmwjl3KMB2343Y+lepSlqefVjzRdz7XK7hgdqa0bACp&#10;/KIOR+XpQ67fmzXaqh58qZTKbmwabIhOSRzVoqC3A5qGRJN21T+lP2t+pPsiv5bkZK4pCMtnBqV2&#10;f+FPzNUbzXNKstRg0u61CKK5u9wtYXODKyruIX1IXkgduar2vmHsbkrqH5wc0giB5GalJJP6UFeM&#10;b6ParuL2RWlh3d6ZLBHtwV69asyAO+0mmupIxjjtT9qHsTPMUsHKAsg42+lOyHTdGw29Pr7VbEBK&#10;8jd6Cqz2jEs9vhTnkdjR7Zdw9ixEUY35pWhJfrxT4gkg8vPPp60ogkc+WM7s8cdal4iC6jVCXYrt&#10;A6HPHPpSCMJkg81qWug6zeyrFbaVPJI3CrHGSW/StPTfhR8Q9SmEVp4SvmMn3N1uVHr1bArOWNpx&#10;3kaRwtSXQ5fy23Y4561I1qANpHau3079nv4rX0/ky+HBAf708yKPyBJx+Fa8P7NXiZF/4mHiKxST&#10;djybbdM2fQ7Rx+OKwlmmHjvI0jga0uh5ekZVclDThAB1Br2Pw9+ybrl5Jv1rXFt4cH5Vh+f+ZFah&#10;/Zf8A2zNHf8AjuUMvB+ZBj2rGWcYVdTaOV1nsj8dPirdW2nanoNnNFPJZ2O6WeS3QPIAi4GASMt7&#10;EjJ6mvL/AO1Lu7gutQ0r7QLwWMt20lujNJH5j5y3bvnmu8+IvjXToLkS6gkirDp0c8reWWChz0wP&#10;mJyfT2zxx57b6QZrjV9S1fXFuVuZE+yWcL7fs+0ZCn69a8HCy5o3PaqRsdh4e8Z3UV6tncTQ3sax&#10;PumhkClNke58gnk9fStqbQPDPxR09baG7jWQSKyzLt3Dg8eo/MdK8hgZfD+lR6zfr9nlupDbfZ2j&#10;MhLyvwPlHTHfoK2PD8ZsLrUrw6lNbzWkySBELAjYJZcZHygYHO4jOR15x2RkrnLKNz6c/Z8/aU/a&#10;g/ZQ1bTdPuteHijwmi+Unh0zKvlLyDIrEBgRu3Y5BxjjNfePwJ/bC+GnxpVdGGqR6brix7ptLvHE&#10;bMQATsyfmAzz+mQCa/LDTfGeuLa2Ok+IVurq5Vdsc67P3nT73zA5JzkkVt+KfDmja8NP8TTam92t&#10;nHNLbG3uGiljYsF7gdj69ce+LqVIvU0pwufsHaal9ohaZmXazkLtkByOxFUzerZ6tKsdwSJkDHe2&#10;AmBjA9z6f/Wr82v2ef21vi78DtTjh+Juval4s8Hq6gWOnwJNe2pBwpUSNGAo74Yg+54r7Hi+Pngv&#10;xnBpfjXw3rLNb3DRtHE8ILNu+VhgE/Mu4Eg4wFOCcGuSNSMjaVFpHsn9uqsRlP3Vxx3bPb69fyo0&#10;3X7HUGFvHMRJj/VyRsjHgE4DdQM4yOM964O91yA6jpOgQXMMkl9cGVXXPyBUbcuO7EM3HTCmr0fi&#10;PTrX4jyaYkEbeXawyyXW75oy4mBTn+EiFTxnnbkdxUZGLgd2CGHJpk8ioScVlt4ig/sy41GA+asO&#10;eAcZ/OqMfiix17TGimhlXzNyMrKRj8v8aPaWD2Z85/tbf8FE9Q+EXi26+GXw58BTale2ex7zWPM8&#10;yCJf+eYVQcseO/Hevkr4j/8ABST9pPx5OZp4YLexmuIrkadFv8tPLONpwc8su4g+o4xjPtvx68I3&#10;OleJroS63pv2GzeddP028un3GTcpDv12r8p5AJwenr5/oX/CIanLNBZxW0clnNumt2uFZZ43IYyK&#10;xPUHeuOM4zjBXPoYXFUuW8ooyqYfm1TKvjb/AIKJftEav8KrrVfGuoackLQLI0NlE0cgxgqSeRg9&#10;ceh96n+Af/BY343N4xstO+MvhCwn0JVWNptJjVZJOgD7mOAO/Qe1c9qHgBm8bN4g1GbRbzw+FWK3&#10;hhkjMiswCMzhhzg7gFBzkD8Ol0Lwv4Pk8NQ3U+iW7eXLJFJHDpoZpAHYDA75AHIJFaOvT1vEccO7&#10;H6L+EvHOh+NbKHVfDt7DcW81skqzRXCvjcM7SFJIIGM59a2gCeRXxT/wT5xafGDVv7NtLpY5LNnk&#10;jEqr82VUM+0lThRjjPTpX2pHIB3/AB4rknUV9Byp20JFUHnNNaP0oeZE7/WhpM8g4qOZi9mNKY6H&#10;FBTJzRI+3BLj05rz344ftP8Awv8A2f8AwtbeMfGDXupQz3D262egeVNcLKIxJskQuDFkEY3DqRkA&#10;ZIn2lna5Xsep6A4O5Y4z8zHCr6muP8U/HT4ReDZtXtfE3xH0m0m0Nd2pQzXyK0R2g7OTy5DKdo+b&#10;npXlPxg8U+IPi78DtTMs95axyaFJPrmreG7grY2EMM/nh7a5uRE1zKyxqm6ON4eW+fHT5b1b9knw&#10;j41+Felz+Gdc1yPT9SuprtbrVruJru6uM4klkVY9oBJwFyfu56njTD1qNSXLJk1aDjG6PsaP9vv9&#10;kDcsdz8dtFhZj8sckrbj+ABrf0D9qz9nrxNeiw0r4q6a0pAIWbzIdynoQZFUHPsa/Pax/Y68I/D3&#10;RtU1vW9UurhXsHiMrTRM0O4j94uY0CsPXPesC4/YTh8Z63H4uuPHt5cWrW8a2geNfMjCjg7s816P&#10;s6PNvocnLU7H6zwyrPGskTKysuVK98jinLGG7V8yfsL+OvH/AIXv4f2fvGeozaxb2mkzXmn6tPGP&#10;MiRJI18pyXJbmTjgflnH06rKOtcdSShLQ2jT7kbrtz9Kr290LmFpNmFDEc+1WZmVgSP+Ak9KxtQS&#10;40+aXXvtbeSse26tzyqjP305HPtzn68HL2pfsjSimWZN0J46cimC4Rp2t9pV1APzMvzA9xgk47cg&#10;HIPbmsaPxJaWcsc8uu2K20sgTzJJgoZmBO0MxCkgDdjIIH8PIzPN4y+GttpC+K5vFklzcTaXc6jZ&#10;2Gn2Mrz3dtA3lNsDKiS4kkU7fMBAO7kYFRUxEae5UMO5FnXru103Tnu74yeSrAssce5m5HGP61YC&#10;kHaR37/4muY8d6qfEX7Ouo+PvDfhnVbr/iVmaGG4uPJufNXBx5cakKpUNktIGDYwvp8BeLf24v2t&#10;/E/jTUPFvhQXml6bNH9mh0u1tWkit4xgEAsCdxxktnJzW+FbxT91oitT9jufpE5HykH73Sq4Ky3L&#10;MuG8vKLtzz6+3t7YOa/Pnw/+3f8AtZ2Gi6lreoavpFrHp8UIt9PvNDmkuLzJ2kRtu28dWzzzwDyR&#10;6V+yz/wU50rxhqDeF/jnp82mtNc7bPXFtXS3GcALMhUMnIJD8ghucAbj1+xlG67HMnzdD66vl8zZ&#10;AjLmRu+eQOvToanCgLVbTr6w1l/7U0q+W4t2jCxSR52P3JDYwwIIwVJGcgnIIFt2GOTge9c/tI7G&#10;ns2IUDDGKY8CDp2p6iSTmAM30WmxpJcWVzfwK80dpL5dzHbRNNKjYzjyow0jYB/hU1k8RFbspUJP&#10;oRldvOK5/wCIb+X4Su3JP+pONo6VsnU9Lt7WO41nVrHSRK22OPW9Qhs5GOSMbZnU9vTHPBPNc78U&#10;9e8PWukTeGV1/T5NRmsmuFso7qUzeWB98DyfKZfR1lIPbocd+V4mMsbTjfqfK8Z4eUOGcTJ/ynxt&#10;/wAEwy0/7fXjG6JztkVfu/8ATUV+iv7Ven6i+q+H7eG88E6XH/b3mSXXia8jIP7/ADhFbJLMOMAc&#10;MRivyo/ZC/aY8Efsz/tb+KPF/jnRNdv7a81SOBP7B08XMkf7wMWZSynbgdsn0Ffd3jH9tf4I/tHe&#10;ONH8L/B7R/Dd5rVjfefcHxpbT2ElqrTqcKLsRozspJKjcQQOKw4wp1J5heKukaeHPLT4bpp9Ub11&#10;48stD8U+NodX+Pb+R/ZMfl6b4T8PuJoVe8SJvLZljBZWOzr/ABbh05pyWnhnU/hPdW0fhLx74zVv&#10;3Ztby4MDTsuqoMAor8ArlTk/u17cgbPiTWLrSfiDrWk3vx48E+HbiawsWX+yNLNxKrm86ExxN3+Q&#10;/Njc2fUjmviJ4x8HWfwckGsfHjx5rsc2tSW8i+GdHMUtoy3pP2cee8JITZ5YcDBC5HBFfF7aH6JE&#10;9Qk8MeMIviHpviOw+BOhwbY5mm1jVr4CW2/0ZQCokcA8/KeDgCqn7OeueLNZ8U+JYdZ+IHgOzEGk&#10;yr9h8O3kE12pEIJldYgTtXt1OK5S+vfBt78Y9J0qw+D3jbXryKGaaC61DU0hhQNbxrxsV9w7csuD&#10;nrU37HHhC/8ADXxm8bRaZ+zFHocMljLjVLq6mlaSQwjEG59qhT0OO3pUyZS3Pi//AILuXVnffH7w&#10;xqMXiORYZfCxWTVo422jZMybdu3dwSecYr4V+INxZx/GKLT4by6WbyrRi3lN5ax5ZSpbHLNnA98d&#10;Oa+9P+C5mh+Ko/iP4Glu7Gxtb6TwvcbtNVlNt/x8OwO4ZXI+Xvk818L+NWki8aaTETZtfS2do81u&#10;u4sQJPmZNpwQoywOe2TX02Al/ssbnm1l+8Zw039paT8Vrm10r7HbK9jGjR6lJC0knPQMXI/HJOB0&#10;NfeP/BImNrPW/EFnNaJBJ9gU+XHIrL/rM5BUkYNfE+jfCX4g+PfjaLbwr4A1XxhJdQqlvNp1nM3l&#10;nOBxEvr8uDX6hf8ABLb/AIJy/tXfDg6p4n8f+BLfw3Z6npoFj/b+pBZ1YtuA+zxq8mOxEhiYdt3S&#10;uiWKp01e5z/V5T2R7/h+hHJpkiyDt7fSvatH/ZO+y2Kv4n8diabb8/8AZtjswfbeX469cfhW9a/A&#10;XwWNOksP7K2RSLtMhYyXCkjGQU4UjrwSOe2OcpZtTjotQjl8pbnzmFIO4K3PsaaU38gGvpjwz8CP&#10;hr4W02LTLfw6tx5K7RcatN50zfkec/XI/Gt6w8GeD1CxWvhuzYxnO0WqD8/b9aylnUV0KWV+Z8j/&#10;AGO4G7Fux2nPCk/pXHfEnwv8Yde13w/dfDj4VSaxBpN48+palGSZLbMMseRGV5/1ijht3+zgZr7t&#10;Tw5BHf7ba1tbaCNg03l268+g5GfyrQj06IybI7VpAoyGbgY9Se9ZPOnukbQyyK3Z8h+CvhT8XPF1&#10;srH4eahayLkN9sQQjj/roVP+fxrpk/Zp+Jg8tbmGxhkkP3ZLrOPrtB/TNfTKWMqHYN0jM3KxqQq/&#10;jn/AU+XTJU+eWVV9l/xI/kayqZxXlsaLLaR83x/sseK2Ki51+zjZuGMaM4U/pWzpn7IjmPzNX8WN&#10;/s+Ta7c/mTXu9rpTytutoAkaj/WMuBRcW9taM7tP5rfe+Ynavtxz+lYyzTFS6lRwNGPQ8d039lDw&#10;tHdq11e6hdRr99CVRT+IGf1rag/Zt+FlrIJJrCSTa/MbXDMPoa9KSCS5XzrhxDCoyE5HGO+en+fr&#10;TcjKw6VHukbPLDp7/wCfyrGWOxEvtGqwtJdDiY/gj8OYk2w+DrUDOfMlHT25q5Z+DvCukuqL4YtJ&#10;GH3bhbNAOvfjg/p711sWjfvGuL258yQ/eGentUE8d/cz/ZbSxjht84aaU8v/ALowQB7k/h3rF4is&#10;/tFxw9NdDNOm6faKpliit+6rGoyfoByfoASadD9rLg2NiqKrHMk3J6HoB07d60rTwrFapJPDJHNt&#10;P75dxLDj1+naprS3fVoSdGi86MMU8wxvGoIGeCV5HbjPPHUHEe0lLdmns4xMwWUaxbLmbce4Pes7&#10;xTLrHh/wtfax4P8ACP8AbF9b27Pa6XDMkL3cgHEYd/lXPTLHArtIPDuouo89Fz/eX/6+Kng0GdBt&#10;W0Zcc7iy8/kTS5pc2oe6fKeifCr9vb4/6oLv4v8AiLSfhb4Vmbd/wj/he6N1rDR/88pb0YjjPvEu&#10;SDjdXsvwt/Z7+EvwYsZrPwpoO64usHUNRvpHuLi7cD78kj5Zj+PevRWjVbwWYhjZ2ONzScL7dKne&#10;yt4m2Sm0X/eJpSlIfLCPQ/l5v782sOqW63czM0cSQ/K211EgIJJ6jAzkHGenpWXrvijS5fEN1qsE&#10;mLKwjR8sQmZBEo5B/wBonHsO/SuH8Sa/rf8AbOsaJBqUpZLic2NwFYB7VI1bjOOm489Dt4JBBKaZ&#10;Jq2k2cljrOpt5gt97q8IKzv5e7BIPTp+PFd9OXJFGUqa6nW6F4x8SC3+0Wd2zSQyL5kToW3ttJIB&#10;/wDr1sQa7purRX2k6jptxYzataDfeRyK0i79qZI6ZG7tngHvXlek+P8AWorma61Fvs6rGxW3jUFt&#10;/lg8qSOME88ke+a0vCcmv3yvq0eowrGs8e5pWcYjETvtwAQCX2YXPb3FdUatzmlTj0PXtAlsvCd1&#10;p9h/b02pLZ26TSXDrtcnliME8dxnvgGtm/8AE3n6UraVdTSRrDJJNbiQor7lwytggjGcgg9QDXzr&#10;rHxR8YWl19luoIvt0MMFvcJCxUMy2x8wn2B4x9ay9X+P3iTQ7GO4gSOO7e+t7SGBWISXcoBOPQf0&#10;qKnNJbmtOMYn1No3xEtI9b8u6nlhtfsuFdlK+Qw/hPAIJHA9x3qHWPHninwzq1jrXgHxdJC0d1mZ&#10;o7pfKK46uhOHOT3GfTPSvnaX9oLXJNYuftXgqaZmyzXMV2nzKmEJByD1ONtNm+LGgaxKoNjcWkrs&#10;DIk/KAhiTyuck4H5Vyck4x0Ojmh1P0c+B/8AwUjs7Hxb4b8L+P7a3i8wfZ115S4CzKMjKsB1V5QS&#10;CACy5OBk+9aV8XNIu/iHqVpBrDzWkmhO9vrFzP8ALL5EyknsGYfaZM9DtUDscfkfc/ErSp/7K0DX&#10;PBupQ+XaGSERJIxmaSMsk3AwMxE8ZyB19a7+b4za8dNW0vn8Sx2LWEyzXDWhUpG8SymMA+oQFuxA&#10;GCea3jKpGN2RywctD9XfDXxnsbv4erY3mvQkNCF877UsZOScA5yOg7ZzW3P4qun0P+2NI1i3MCQi&#10;KOLO3dg7s+nHT19q/LfwF8a/hxd6bpV/pvxA8XNcfZIsj7EWjBkz5agHII4YDn6V6Trn7Rdn4g+G&#10;1mlz8amn0+OXyY4zZtDLFzguSW/IY7d6yliXy2Ljh+bU7/48eKx4r8Yy6lol/DLdQs/mQeZ8u8nG&#10;wnPHA7d68OvvGbaV40uNWsXmhuI7WMzQzT5QTO2xItgJOdsZy2MEMD021MfFfw21W7bTNN+LV2sw&#10;lWQSfZQ0kmAQQWyQc4PBOOmM5ODXLTwLJ4eg1PU/G6R3zKZbXzNOCyK7D5UOSM52ngcYCkcnA544&#10;ipGmbfV4M0H1fR9a1TXdfsr5Wlja3S+t2bBjUEEsBnvg+xC+9dlo8un2cq6NoDOkMKmbzJFLoVJ3&#10;dc8nnsfWvDo/iP8AC3xN8Ov+E5+El1qM2oSTTw31nNY7UhEI+fzDk5XAypA5/Oum+EXxh0jXteuP&#10;D66xEv2yQJGqqzRW6lhGvOMgF26YralipTM5UFFaH1x/wTRvzN478X67IZNsMESLHFCzcszc8dBx&#10;wOK+ubHx3G1jYm7sbyOa8k2yR/Y5W8tupU8cYFfn3ovjD4ofsKeMNR8IaotnBea1bwTKZo97eWyl&#10;03gN8mR82D61XtP+CjXxDma402PxzbrcW893LbTRW6kDZcFGXpjIZtvPHynmvcp0XUpqV9zzZyjz&#10;WP0I8bfELR/DfhO+8R6hfNbx2uEaWaB1jEhbaBnHTPB9K5Xxv+1v8NvBehTala/adYurdTvsdPj+&#10;dWCg7WLYCHkdTzmvhe5/bA8RfGjwVb6rqfxLa602+kW5uI/sojQjEhJ4Uf3SenYVJb/F/UdB1trR&#10;/Fum3kU2nSxSW+p2vmAjIGQysuWGCMnJ96y9jiOf3bMd6XLY+0v2fPil43/bMGoaVb+CLPw/baUY&#10;bk3l7qjsUd8+WpQIisR1IL4zjhqqftrfD/4a+DfB1q9/8QE1zVBqKxyRWsZEdvG0eQy+WAvzYJ6H&#10;OOtfNfw4/bp0rwPruq+EPh54W0Ca1xbLqmnWupNDJbj5MABUbJbqNxHLV2v7YHxR0c+B9F1WaBdP&#10;W7IZoZbhS0Qjix5bf7S85+h9K4MUqlDEJyWhpR5ZRsj7EfWm0P8AY8uovDPgK2Or6f4KhtomvoDI&#10;1xNEERIjuI+U9eCeCQTnNfKnxg8UeNZfD3hGPxJa2um3i6XO8lvYW4jjCtcyFSBz1GO9e0fEvxdq&#10;kfwQ1LTvFfxNjtBaxWdnC1jIgkhTZESzrkEMGYJhuc183ftI/FHw1rXxG0vStM1tpltfB+nDbL8r&#10;cxZZvQgsTyOK5aNa+IbRtOneNjl/HPivxZa+Fby40fbd3CxYjt5LdXD8jqDgEfiKu+HfE3iA6Nbr&#10;dSwxSeUvmRpCFCnHpk4rgPH3ifQYPB18ZPFa2rSDYl0swXY+egOfar/h3xvpVxpsDy6jGo8pf3rM&#10;PmG3rXsLESUTj9inse3/ALNXjHQvDHxQ1z4j/EXxRBp+j6D4ZVby8a1kk8vz7qNE+WNWZsuFUAAk&#10;k9gCa+iNI+JOv60+tXGlfDXUGsLTT47nQ9Tu5BbQ6oXTIjzKAYTuK8sCCDg4OQPkP4F+K/h3deK/&#10;GvhvxjrVx5N54LNzDaR7Tb3Elu7Oplyw4V9hXGctgV97alrvgrw34RtdMsvD8N1DeNcWzTaldK3k&#10;+TD5vmqTktuKAYz0xzzXDisZLZG9OieU/GLx74ri1rRvCvg3xx4a0+HUZHg1C8W1ubxkXhiiGFG/&#10;fEBgCQNo6jvXB/tDeE/E3xn0rSfA2l654o0fQZLG+a10+TToo472SBC4lleOcyKoHQkKSwGQOa7X&#10;43/tC2vwY1TS9QuPC3hu1mt765urWykkF0+1YGU7tvyx5JHHPU5NeVftFf8ABQWWa+ebR/FcOqSN&#10;4N1OKGHRIIhFaXDwoUhBB+Y7jnI5PIwcVz08RiOZNI0nThY7D9nX4H6tZ/CjQNE1Hwhb6haancf2&#10;q2rXcbXl9LfAywNIwaYDKxM+3AbaSvU7Q3sGj+E9KbVbK5v/AI4aLY6NpNq0dzcafcxKj3Er5W0C&#10;IufMXBZmJ5Dp15A+Jf2E/wBtLwl418K6T4I+Iepaxb+JNB0zz5lvSUidRNE4jAOCGLKcdBkAngHH&#10;ffDH42fAw+B9JXwdo2pR33iHx5cXEP25ViZ5o585J3MATFkEErwFxngHkxFaoqj5kzajRjKOh9my&#10;QfAHw3Es/iTULjU9Y1Cznaxt5o2uFvGVGLNufKKMdiVHAPpX54674k8HNrd5O2h+WzXkhGLUf3j6&#10;Zr67/wCFiad4wSGy8ZxW41C1sLg/ZmjaMpG9pMWIOckKCvqG7YFfnX4t8d/YReTJNhfObymVeSeT&#10;XbgMZ7K77meIw/Nodl8QdW8Nav4SurKDxAui/Luk1JrcYg+Yc4bHJroPh9pfhPxdf6R4Os5mvJrx&#10;obdbgWzt5mSAZcD2+b8OteB3fjxtf8B3Zm0SHUJtyAWV0xVZD5i9cAnj73TtXpfwo1DxVYaBqXxI&#10;s9QWxbw5HFGJowP9dcFkjjQEgk7BI2ewQ98A+tLHc1NtbnLSwl6nK9D7p+IXjOx+DPwdz8GPB+ka&#10;nNbQwLp9lPftF96Rg++MlCuPlbcSQxYnjOK+c/Efxr/bM1/4x6V8D9T1jRPDMEypa3WsLbmYXHm4&#10;k3Yh8xtwU7Rsx7+texaD8Vfh7D8JL7Trb4HWsLN4dtp5b3UNSBa9ldjtKqVPXyidueAPpXkX7RPx&#10;7+z/ALcPhPw+ljZq0B0uaGKPpCfJQqpweQM84xxXkxzJ07ppM6PqfNLQ+qYvBOv6PfWulaR468QX&#10;1v8A2fDZXkaWAWMSKBulXz5IZMkdcB/aotVsPFZ8feCbfTfDHiq4vJJrgyfbtS+zwG33lSZVRJ2Y&#10;/IGGME7h0yRXZ/CX4uar4y1TXL3XNf0V5YrhUhktWURRMI88fLz78n8a88/aw+I3iC31SyudM+K7&#10;WbQ2Nvcw3LSKqDzJMfIEbcVOzpjHAOea8utjqkmdlDCq9mdHN+wT4O0jUbjVP+EAs7ie41dZbW1a&#10;efyP3rv5qbdyDai889QQflJxVX4/fCe+0HwSfEOv6Ra2d9a2ZjtoYbWLdCj5DpvjZ1I+VTgOx7nn&#10;Ndl8MPGmqt8LtH8U/Ejx4tudT8J2byfY5nmRWdn2csobc8ZQM23hlbGRgnx/x9421jxX8GNQtPhl&#10;qUOsfY0xdx6vPLbyS8MyOpZOrcrg4+6M4r3OH68pZnTl5nxfH1FvhbEwXVWPzJ+F/gvTPGnx98ZW&#10;Wq301v5N4ZIZrebYyMG4wR6V20XwafxT8SdS8S+J7rVIbmG58y21b+0H3XhIwXfDcsPXg15T8OtQ&#10;8bH9pbxEs/h+PS18x2vrdrjzCBnswOOvNeq+HbiVfEGqR/8ACS3F1ukVhayLhbf2U55r7DPKkfrj&#10;cvuPG4FounkFKN72PrD9kPUfG8Wv6reav4s8LzWccNuG1PxS8JmhVJGfanmMWZffBwfyr0H4ifE3&#10;UB8JISv7WvgnTXj1q4C3Wg2G8Qxozv5beTCd0yKAWJ53K3JJzXgP7KEtwuvag1j8NNC1q4SzZft+&#10;uXpRbbKt+7CbgHBPJ5yK77VovHR+Fk8Mvw0+GOlXJ1G6a1T7VEyFtxAdt0p27ifn5AAznFfn2MlF&#10;VnY/RacdEdn8SvjJ8Lk8V6dL4w/bV8WPaw6S002l6V4fvDDcccMHVVCcA5J4+lXP2FPjn8CvjD8X&#10;/E2oeBL/AMcagLrQ7hJp9TWP7MY449rDPmsxkI6ZGPU145+0hrf7RstnoPgvwC3hFtU16z+wLZ+H&#10;bO2uHMb53sSu4qoGDu7c17J/wTp/Yq+JPwb0i88H23j6S7luZGfWL2BR9kss87IvlDOx784rzvaS&#10;lUsjs9jGNPmbPO/+Cl/7GXin9r34j/Dvw18LNJCaDZ+GZLbUJrmQGeBmk3JGEQMzMQT91SPUr1r0&#10;L9nb/ghV8CvDUlnr3xhsn1ya2sYbeHTbpisUUcZyu4Kcbge2W6D5uoH3N8P/AIS+GvAlo0Gk27yT&#10;vgXF9cfNLN6knsPauka03rtEm1V+8V6n2rtjiK0aagmcvs6d7s4fwN8GPh58KdGi8PfDzwTpmkwx&#10;xqqrp1mkfQAckDJ6d+TW1Dpy7jEjNI3QR7uFPrWwZbebcuQq7vvAVV1XUfDnhyFrnUtUt7WMjLPJ&#10;Kq5/M1Dn0kzRRitimdJZ3/0hd+G+6g+XP9aZM8UNwloiDzCCVt4Vyw75Y4+UcVkav+0F8BfCsq2e&#10;r/ErS7eWXpuvlDHPtn+leQ/Ej/gqF+xZ8KtSkstS+Junz30D7Jba1k8yXvxhep/xqeYPI9yk8OxX&#10;Ey3V/M3yqVWJWIXk5zjuf9r8qmisUMvlWUCxqf7q8n8a+Tbn/gtF+z9r0dxF8PvBviDXpreNpcWO&#10;iysMA/3iAoznua8z8a/8Fo/iVcw27fDL9mLxFePJJskjvmjtfKH94+YRRq1og8j9DF0q2t4fOnUy&#10;N2+XIoS3d5H84Kqr/wAs+nbPPavzz8cf8FJP2xb/AOG0eveHvhFpGm6vNlYbPVdYDLt/vM0Ib9M5&#10;rynRv2yf+CmviHVjcaz4k8IaTa3C4ZbJZ7l4jjjajogP4sKcYVJbImUlE/WO6tVREZLu3i7/ADSd&#10;vyqDz9BgAkvtcg3N/fb5f51+V/i742ftqWthb2Xif9qKKK+uJN0jafoaQeTH6EF3yfp0Hr25240z&#10;4/8AjWbztZ/ao8ZrEo3KIfIRZGPXjbuH51p7Ct2J5on60ax438BWcbx3niuBfLXJUTLiuPg/aG+B&#10;Gmqf7X8fWMTpMwPnXyKfbgH09a/LHxD8LP7G0htAufil4u1LUro7rm4utelYqD0UYIA/Cua1P9lL&#10;4c6vBFc+K47zUJMZ8y61SUtz34YVp9Vqh7SJ+uV7+1/+y5ArR/8ACzdFkaNctGt9GSB68GuSv/8A&#10;gpB+xr4b87d8XdAjkVjuVr5RkD+tfm1F8B/g58J9Mew8PeH7X7dfQA3DnLtChHC/MT8xHPtXNWPw&#10;j+FWuXz3154B0mZY2wJJtPjdnbv1HOPXvTjg6rI9rE/S28/4Ky/sT6STNL8YNBmVjlWhuFbB9Opr&#10;nvGP/BZr9kPQ7FdQj8cL5bfdeOydsfTivhvw58J/gqlz51v8PtNt47YeZMyWcS5wfujC8EmrmpXu&#10;jXN4ZH023jhjXEcIHyonYACq+o1Re2ifSl9/wXd/Z18PTzTWWh+JNTiupt0c1jo7TK3ygfdUkqOO&#10;4/A1U8Hf8Ft9G1cWnhvQPgD49cxsIYb1tAkWGWEfdkLPgL8o+YHBBzjgA183afeaRcTmY2cPytuj&#10;XygMD3x64rovFHivSfBGkLpVsI476+jDXWFGYUP3U/EdfrSWBqMPrET27xj/AMFutS0a1mudD+Bf&#10;iLUBHldqxLGSR3GTj9a8/u/+C7H7RF/KING/Yw8TMsgxHPPrFjGrDsf9dn868fg8UWOoDz5bdfs8&#10;Y+dtg+c/jXH/ABX+OWi/D3QZJII4LjUbqPZZQK33WPfp2rrpZdOcrGdSvGKLXxi/4Lifto6F41ml&#10;034YJp3lndJYT6jFK0TdhuiLDJ9M5rrfhR/wVR/4KY/FPSJfFn/CsvCFlAzhLePUtSu1dx1JwsDD&#10;9e/GeceA/BX4Wy/EDV5viF8RVk+ypITDtVf303XLZI+Ue1evReJbHSV8iylYRKf3MCsV47txjvxW&#10;1bL6UIpdTKnX5pH5aaL4nsb3S7ybXtO1G5vmSe3t5rVmbCmURq54OQU6djn25p3PjLWrG6Hia01G&#10;4uI3iP2Pz9PZlDttUjGOSCGA+ldpo+oK97pk5geG8uLG33KeI4VSJnKNj+ElAMdQfeoh4oW/8Nab&#10;eNcPJApjL2sfCWyPMZHcf3iVO72zXkqsn1PTdNnIXHxG0CO5uF1GSSRpIZI47lrU+buLBcPxx61Q&#10;u/jLbw38kum6td2scCyLHtjwJZDtVTjHGNv5V0+uaja6leW2laXp/lrfaokdvcuuWZd5Zifcha0P&#10;EHhDw/pOk6vqllbeZNNbxx2DMOGnbdKX/IH8q7qEoS1bOWpFx2RxPin4h+H7u4vvFUuotHdan9tN&#10;ruVgC0jKAwGOOQw/SuX1C/074neMfD3hMzSWKtfSyPNGCriNF+UgkdeDzV74y+K7CHTo9DsL5vtW&#10;kWscflbcrJmYl5Vb6sMDuBntXIfC/VvEt/46t9Rt5PMbTdJnkaSaMMAr5HOex3U6lSMU7MUY3drH&#10;rfgrSbbUfBnk3CxzXemyRktcMNrRyMw6dXJOCfTrVbwf4HuF8UW9xqVqv2FrwJceWoY7VjZ3I54x&#10;gHilTwbrHw2eLUW1uSRRb7GbcX84NGNpAx2Jz7Vp6rbm51bToP8AhJfJa8JexZTsDq21QvtuJZf5&#10;1yrEpm7p2J/ivrUNx4nhlju1ZbWKFIobi4KMfLt/L6AcfKxGah1T4t+LNM8MXE39srNYwtMkqm43&#10;OrrGkUYbPODH5mB7c1a+IWmazquvzXusWytcSRbLi4RV5V7hI2PAwCFRBx2BrkdQ8O6nF4LuvOsl&#10;hivJrcXHmR8u3mOGAPb5MN71bxNOWjYvZzWp9cfBDxH8DbbwZo0kXxAtbfULqBBdWy3mwW/lxsYz&#10;1/hMnWiw1fwrpdhaaHpXi+W8hGtT3Ki1vtySxyMFWMhjwQdzA18w3/wh1LRL2R9G1uOST7PIob7K&#10;nO0ogwD/ALJP5VoaL8JNTMcMM2uXDsrZlhjgCjfksuMf7INcjlTcviOmKklsfVC61L4v8PXmvX+u&#10;3GkmLT4ZofLukAaTzZzMg64/dxgjvzXmHxe8QeJPEPwlk8T+GvHELp4fvnsmk1KVS0/lacLh2jCg&#10;E7WfYrdzweledax8ItesrFbwX+2GS6URQy3b4K+UuSR6ZcLnsTXM/GL4b6ppPgq4ubyaZVtNNvpG&#10;8tmCiSOaOMrjPo344pr2blpIfvvoeweFfENl4G/Zy8OQ6WkdnJrXh/dqF1b3AZpC3lDc65+Vsllz&#10;3DetU/hB45sfD2rWMfgTWtPjnt2khvLrUGJD4d2RiM9Q23ArnPCPwhsfB3gmNXla9uFtkOybLIxk&#10;cPHxnphKgtfhjo1xYpr/AIi0yOGR7SO5VbX5clixYYHuy/lU061OMtxSpylE9P8AjN+1D8Sfi1e6&#10;lr/jfW47jVNStooLvUCcKjwqkMbIFYnBQfjmub8M6TaeBry11mPx9aM/2pbwzAS+VCsjyPNG+edx&#10;J3e5FchpvwM0nUmgOoWJt2OqT252uW3qWAiP866Twx8DtMh0Ga8uYGa6m0Wa5s7N7gj/AEmOCWUg&#10;5PXGz9a7lmajHlTMPqT5m7HVx6z4t8J+FF1Xw74n017VfIhsbW4jlEcSyW6FUC5yORMTn+8KbqPi&#10;D4ia7pMO+80eBkhuGhntLllZ3LM2w7zzg9h06VzHxJ+Eer6tq76DoF7I0O6O7SOO4byjteOJx14I&#10;zt+qtWFN8FtaLLbwXV1Ikax3FtCbp9rrJuY9DjGCOK1p5kuXVmUsHK+xd+A3j3xXpviDxVpcckMu&#10;p32sQCa4mm3ZVPLLAEDsMnnivYfib8TLzxtar4d13xdbtb6hppGj263gISWSOQsWJ6FhIMe5xXgX&#10;7OPw703WjqniDWNUuLXb4gmh8/zjtRQxRyecnCjj1rorX4J6PqgX7DqskcflLFZTXW4GVWAQMeeC&#10;cjjtmscRiKeIaUnsaUsPKEbpH6FaZ+1p+zT4q+FGoeGtQjgbXtWuhcSahd65CEuLeKczFnwcbisa&#10;AA8kIOteB/FD42aJ8UfiV4f1j4YaxpNk2m+HdPsr63uLqPEuLe2MpY5+UbmfHoB2r5PvP2Y9Wu7V&#10;otOluFaHUpvtkSzHKwoZApx/wHFautfst6j4Evn/ALO1i+8nlXcT/wCrGQrD3GCKwpyw8JXTLdGp&#10;LofTfju5+Gnifw3N4e8UeOtJhtluF8y7sLxZJIWaZT54j6sF+Y4HPNe2fDr9n/8AZA8W6fDoet/t&#10;AahMbySSKS8gmEGy3+zuVlVSPmfeyArwACa/PbSv2ZNU1iWG+fWr7yL6xjmjZZDuUHB6/jmux8K/&#10;sz+LdU05dc0Lx7qlrDo+ntNcSfaipeM3FvEFAHc+YfyqqmKp3XvChhanY9k+I+jfA7wD+3Hb/BrR&#10;fjDqsfhu38O3Fpq2sahfELO51BbhSdh+4Etsj3HvX1t+3T8Xf2W9E/ZW0n4f/Az4x6tqWtw+KNIt&#10;9PjbVDuaASW3nSHJ/iRGBycHJr8rU+E2q3f7S+q6RHr+oXzWujxTqLy4LOVlSdSmSOeTt/HNXp/h&#10;h4r1f4mz+GL23us2cO61VHJwV3Hk9xlePxqY1KXNdyD2c+iPov4x6543vdd8O/25oeqQ/wBpR28L&#10;faplkE7ZiGSysevPfvWV4W8Yar4R+K7eHpdG1KOGGFS1nZNvLFiy/KA3zdvpmvMNA+G/jrxFocYs&#10;fG18I7Ofa3nsrRwsrDA+bnPy8Vja38E/iDJdLrVh8Ur0ah5wW3t40WNzGQXZtx4GD710U8dHnQpY&#10;WTge9aF4n8T+J/G99Pp/h7V4VGnyJ5k2mlpAqvPwc88qGz2whrJ/Zt8SeLZri+8P3HiC4htYta3L&#10;e6lIwjQfaDjaM5BKyDOevlp2zXjfhrwN8drDwtN46/4XpqFqp1N9LeGRwZnxEZScdxg4PruPrTWP&#10;xT0jxdBo1/46gk/tLT5JfNGngACCOaVcjpk+SB6ilia9Ou+hFKnOmj3/AMA/HX47fFH9pXWdL8Rf&#10;tELFaaDZ3Fo10sLtDIQ9nE2wLgtuV24I6A+tegfEb4B6J8O/hZa+IL39pPTtc1S+1y2tWsbO3ZFt&#10;o5XwZJN46AenORXw98IJ/ilpHxA8Ua/p/wASI9PZddu4bxntyVk+e3O4enOMemK9I8fax8TLPQdF&#10;1DWPitJqFxeamswsfL3KtqGKo455JbLe2K5qdOPRm15XvY+9z+w3+zTp/gP+2/GX7bui2Msl9Har&#10;9kjLBd3zbgPvdO+MZqD48eFPh/8ACzwzH8F/AHxNXVND023vNd1DxBeW6xNqV55FmkS7CQQiIzbc&#10;9TKxxzz8L/Cz4c+O/wBoT4raXZXXi+O10+11mCLUr2e4eIRW2wPKc5xnZkexrn/2nvjj8W/iV+0H&#10;8QPEPhLxVDa2H2i4ttPjlmd1SxS3t0UAE4LeXHGM9ciuqnUgttRSoz5buO/U+wX12fxBbRyaZr81&#10;5Ja2MpiuPOeNBLHEHHRiMYxwON31xXjXxQ+LHi678eeGn1bTmudau7iO3XUJZC0i4STvng7UUAeg&#10;rzCBvjZ4/wDAa6pY+J9NtxGqwNNDcSrkfZ2Y8AgAlVwfU/WvLNd134naT8RfD11quqWcklreKkCR&#10;zyIpzHIdxBJJPLDNTajU6E81SmfdvgT49fHnwL4yvPCnhx5xO2q2cFvBcw7og08Wd/B4b09K9M0j&#10;47ftI+LItE0b4j6Lokl/D4mm0uylZ3ZUjivJkSJl/jC4JDEgfMAelfAFz4m+L+v+ILh9I1i6t2k1&#10;Sz2x2usMWdtmFPzD8B6U25+Jf7QPgTUrdb7XtS8yx8RXLR3L6kGkaRJ5Q4Ix35z6nnvXLVw9CUrI&#10;1p1qsI81j9gvCH7XPxx0v4VaH4GtPhhomtSXHgO3v4biO+EizTxiELBt7EtLjAzj5e+a66x+JOu6&#10;X4D8UyfEe0sdHs7Gza5W8SMKCpEhYe6Iu3B9WNfkR+wX+0H8ZLv9oLwPoDa7HHa3F3ZWrQ3V58rQ&#10;meBimMY3bR7Z21+o/wC1NGz/ALOnjjy3G5vDd2u3scxmvsOEcmhKtLESesdj8N8YOKsRgo0MshFc&#10;tf4n1S8j87Ne+J+iL8ddZ8a+GNdtZtLvxsNwJAFk+bmuxHxa8MWV8ZdGsY7qabSprq4khvgMsisQ&#10;mcdyBz718nmFJnWKOJSzH5VVepo03xlq2gf21YJo9x5cOkXEa3FuwBVih459zivb4poxjT+sddj0&#10;vD3EOnRWCXwpXPqrxTa6pq2hXPj9fFVxZnRbG8laGJlYSeWZAVc56Nj0r0jTfiB4fTwOvwk0j4TX&#10;HiDxFqepXAt75bw/vJzeGMqFXs47Z7/Wvju3/aBsbiyXwN4t8MeJLe01FZ4tQng27kSWQ7tilvnO&#10;Gzzxn8a/SL/glVF4e+JHwxHx5vfhcul3nhO6uLXStQ1hS0l1csNzyhR8rKDIApPcZ9a/OsVUpyp6&#10;rVn6xTjJSSPsz4J/s6+EtKj02DSPA9poGpSWC/2xqEDNJ9mj6mJHfnPzbe3Oe2K9+1743fs9/s9+&#10;Ef8Aio/Hei6TaW0e51e8QM3qcA5Y/hXxX4v0T4zfFC7uIfFH7ROo2OkzJk6Xodutqqxg8guvzHji&#10;sO4+Anwl1W7jmvYlv5hhY/twaZsY/wBon8a46VCozepKPU+iPHf/AAVo+Cp0Nr/4W6HrnihtwAGk&#10;2J2uPZ2wMcV53qX/AAUX/aw8Z6ar/Dj4IaboccgXy7zxFqWW/wBrdHGCyj9elcfb6f4Ss0XR7G5t&#10;7O3tf3aQx22FUDvge9Xr7T7H+yTYWWtNvuIQyssJPy9eR29fyrqjg7fEznlU7I5Xx78Zf26vibGt&#10;uv7QNpoFqzkyDR9KDMeeiu7Aj64rE8U/D7xDr2i/2X8RfjL4p1y4mbLfatWZQvsAm39a7bT/AAbb&#10;ll1K81tmgtG/d2/kkZftn19aqax8NL7xHfq0PiYKu7DL5ZyffrXVHDUeplzz7Hnth+z98ItJuV8U&#10;avpxvri1YeTNfXLyEv6AkngdfwrT0j4V/DCWc67P4T0s31xNkSLZIzMT3yRmul1L4ew6rGlhDrqQ&#10;W9n8vluhJPqx9c1at/BNr4cVdavtcWXcCkCLEeOPvY9Bx+JFbeww5PNUOV8XeJPD2hY8J6ZbHdHg&#10;XTIo5Pp9B0xVfw7LYXSG9Gn+VDarvnkKD5v9n6mrEXw5sNVna/vNaaJ5JG27oGO4cY/rn8K0tb8I&#10;Wun2CeDbXxDHC3Ek0hhJZ2I6celbKnh1HQzlKpzHNar4xuNZvWvLm0XaDtVOw9FAqZ9butM0abxX&#10;NAscMI22a7f9ZJ049h/hVjT/AIZ2hvIbePxZGzeZsRWt25OeTVvxhofhvXLaPwzbeKYrf7K/lxrJ&#10;Exy2RluBTXskTzS6nn761d65qS3moHzXkwX8zn6AVvahqy6NolzrpufLt4WKQ8/6yXvj2Fa2jfCK&#10;zRhHb+LYJZOIkbyWB3k8t/nsKpeM/AmmeIpv7Cs/FNtb29i3lqsiOS7d2OBjk1opU7kWmcDpWrXF&#10;9eza9cXEjRquTv6sfQV0Phcy31lc+K9ZndobdT5aN0L9h+FXR4D0LT5bfRl8Z2hKyhWj8h8ux7dK&#10;6DxdoWjWccXg+18UWdkbJd927Rn53I5/DtVc8eiC0jxe/wBQvr/V5Ipbk7ppCW+YnC55q3pkxluR&#10;ZwI5Zm2Rx7j9AK62f4e+GtMSS/vPFtnJcXpH2XYrbdvvgcVb0HwGNDmbxJc67ZTQ2+Vjk2tgSHvy&#10;O1P2sNiXGSOX8XXn/CNxx+HtOmaaSNQ93J2Mnpn0H9K5/VLq9W3ji6zTtuyp+6td1dfDWx126/tG&#10;5+Iensu5nkiSNvy6VFb/AAq0a+uJNRbx5YszLshXa/B7dqPaR7i5ZMqfDS1htp5tZ1P97a6ZH5rK&#10;3SWTHyr7jPJ9hiuO8Rare+INXmur+5ZpppPlVxyM9q9r1f4c2PhbQLXwUfEltb3Ah829ujCx3M3t&#10;7LXJ6l8N/DSXc+tv8Q7HyV/dx/6O5wxGM1NOpG5pKErHmnibVbDRNPctcMlrYKWuJGYAM2Oa+f8A&#10;wtYap+0R8V3nuw/2C3k+UY4SMH+telftdQeGdK0K28HeGviTb3V1PIGureOJw75xx0r0P9n34B6T&#10;4H8BR2Woa5BZalcRrLdNNGxYsw+7x6V3xqRp07nLKMpSsV5lTTbWPwxpEwWOFQm3tWHrV3czXoV7&#10;r93DHsRsD5q9WHwo8KaRYTXMnj+3kkk+TzPJb5WPf8qyx8KPCAXdN8QLeQdFAtX4rk9tGTuzdUZH&#10;5LX/AIzvYLnUtO+0o8s00skfzfcVUUYPPHO760mgTjTNFbQbu/8ALuHL28KSjlCsRVmGOw47fSvH&#10;7zxdFZaaBYyPNf6jueTdnu+AAe3bjnt+NK78Y31y0ZS9aS7jZkdhIBuBPzEDt09enavk402e7Kpc&#10;9/0z4s6Do/2Ow1LQIVeFd1tM0gJZhH978+K7zS/EPgfUYRol3A26FxNHatjdtii5IPI6uBXymuva&#10;ZfzNHPDvnkkCQjewCZYZJOcYx7V3Ft4pmufCd01tqJklWFrZZjN8wMjeVkcfTHJ6d6yqRlF6GtNx&#10;e53HiX4YaNcaDZ350u2WaS6jtkaSQEiFIG3M34hee2e9YPg/TfDej/ELxRoTiJWk0mw0xVVeUkkd&#10;QT+B/U1tafoWnto1xpsOptNNayXFtJM9wfLIkdIlZT2J6A9Dkdq8utfH+lQ+Odav9Zjla+m8RB3s&#10;7aRQxEQyFyT6qP8APFZ05VJXCUYKzPqLQ4fDeuSXHhzV1a+0+OR4Iyqbfs8rShso3+4GGCMV0nxG&#10;+HfgiysfCb6ILPULW3vJUsZoY1D7TiZEkY9CpGceh4PNcB8MPFo8JaXokGv+BtSkgkuBPcK1xbfv&#10;pRGzty0mfusOvT9KteIvG405rPUZPA195N1eNPb2SzQDyvKhdeiuc8MMnA6ds5HN7SpGR1xp03Ev&#10;3S+HbC4bTbvT1naRreGUlv8AVfuZbncSM8B/k7csOtY3xUOiXuneGbCwtAsdx4is57qNVB3KLUkc&#10;f3d2Eb39Kx/HXjVdWS9e10q5hhhs5RHD5kRPmQmPLnaSeeo5PGRzwa5nxF4o1O2+Jnh/UH0y9Nrb&#10;i9ljjVP9ZPtVlBXPQDj3GMe9QlKTvcKkYxWiPetLi0NfD9jrk3hGOb7QkE0G5flHnGRpV68hMJ/+&#10;qnW/jzwDaaZJcy29vbyMoTY3MhdAQ3AzgAHA+tR6D4m8I6vZW0RsdQtbWzWZDZKwZf8AUrtB/iBI&#10;JX2I9683+J7WWg+Jf7f07TLphqVu7wYiIEc25eDkfdKjrnOaxUpSqM05VGKPZdE0Dw543gXU7SSO&#10;4sY5pI/LkwrIJZV3cHPQxDHp7815L+1BqFzqPhTVrGcMZW0/RVkiTAV5Lm/ufMHGOohT1yMetS/C&#10;Xx5/YPhe91LXbSZbiER+VCsh2XDRtLOz7ypCkjC9T06dMcz8f/iivjLSLPwtpVl5N3N4r01o4dir&#10;NJEtpFMFI6kLKXwePvHvVQlONRXFLl5LnYa38YdG0/R4bD/hBWlkbTbVWFwpV7dyHGRg/MAAMH3q&#10;x4Ek0/UNH03XV05lDM9lNDOpIjZtm3OTyuMnGO9cd8dPFC2mqT7tJghVh5EcTzlTH/ose0cZBIZ2&#10;7Dtk1q+BfFdt4R+E9gkGngEfeOCHJpLmNL+4lkkKszCUoygsOhA7DPFXze7cS5dke2af4K8N2Omy&#10;64dSma5FipEMy7o45FaR1dPrkZ54rP0jWvCGt6lPNc3axTW86tBHKdhZWghgkAHuoJ49feuW8FRa&#10;P4f0C+sbXUrzM37+83XXneS0sG6IAEjavzKCRkZ7dq4rR9d0XxB4xzYzSSXCX00a2sKjjypYo857&#10;7sE8g5Irmi5O5t0Po7wboGiQXn2WNWmjF5drHMynJWSeWTacA9NwB9cHpVbx3e+EtH0q3h077PHJ&#10;HYLFbr5ZO3bGMAn/AHcH6muS8PfE6DQNBk1SfVpvLjtE1S1uMgfamea6ebBxjgFB2xjlRkAY37RC&#10;vp/hLUNbEUmy3vpLiwuvtAG+DykXdj73BB9jniiFSUqiRUox5LtHP/s432kXfwA1qwvWjkebU9Rv&#10;VVMByFkkI98Yr1zVfDEOuWEei6fpSiWaSw1OwhhzueNHtyYyccA4PFfL37OU90nhHS59MvGjke12&#10;X9uWXEsc77C49Sd3p9a+qtIa6t7W00vUr28S6877NatuXc8JlZQCynkDA4H938K0xNSVOpZGdCMa&#10;kSTRNT0jQrC98YT2a+c3h9G1SLyyFjuFjdn9M/vAfoD68Crrer6XP8QLWMzx3Fjq1rJFFFCCNrqD&#10;k88Zyv51zvxZ8S6hefD608UXFsIU+WHUNPsQFEjSRWzhGYYHSQfMVI9c8Vk/BHw3A2qSS6pczrbW&#10;V/dO1xeL5hVXkkZmH8O7bggc9RWMavMnK5s4qLtY9aiubPwToek2Gr6X5Nv5i26s8y+ZHwFCY9tv&#10;rXL+APGzaMmtaVdtG1vc3EEcW7GPLMyE/wAqk8V6lP4+vNQ8AalexW81nK89reXK7BKoRigAB6np&#10;15PpXhXxE8f3XhEWfh3UP3TThDtjOGEyNxkkdGIHT25qKcvaSHLljG9jq9J8bXOs/Gv4ieONHtF2&#10;6b4PtZwyj/VqtleOr59n2fmK9qtPEXhO+8RR65cSQpPM0sLCMj5YVeZRzwc8ZH1r5n/ZV8Y+G7Xx&#10;r4msfE8H7jWNCfTr6FmaSVFFrGqtwD8vmTcHjv6YPWfF3xBBommt428OXjXFpJfyeZ5I+UI6y5cY&#10;GNuWyRk/pW9bm5kvIim1y3aPYvDbaKmg6ppllaW8m5o3jUyY38E8jrkd+KxvFfjSDSfhWtxqGhrb&#10;zbpEhuHUfOfJcnHft+dcz8BPG/hoXKa3r6xyRt+4hhgbAL7Czu24jOAMY7e9b/xkuPD3xJ+G954R&#10;091tLyGZrqPy3UYj2NjOeBkenWuf2koTUbmnLGUb2Mvxr4w0XxZ4K8LeH7SS3jjjvp7nzLf5ZFka&#10;ynADDHrECc/yqzLo9o3i3TdD8d6JN+8MsthqUNuY2EMdpqodCpA/1jTW5DAkYiHA4FeN+ALC307x&#10;9o9te6pb+QrqrNcsGVWbzk3MB1JGcY7lScjNfS37S+ow+KPC0PiLwXcW8knhq5iF1PHNtPkzuU8s&#10;Eccm4Dc9RGenGexVJU5KK6nO4xqRukcR8IdB8FatY/ENrvR1la7+Iku1mKKYYl8skDPQHvk9R9a9&#10;CPwZ+Fd/Y6X4wutAaJUs3a32XWAq7l2g84/Dj2rwD4Q3GtXkXjTSbO0uZJNT8XTJZXSHEJiR0NxK&#10;TuB+UtHGRtwTLnIwAfoe11fRbjSv+EbN+0i2tgkC2sBBDSMgOSOrMCPbrWeJxFWnJKLNqNCNSGxV&#10;+EPw60Pwf+zl45+Nd+s0W/UorDw/tclZbqRcyNnP8EI6c8uM14r4G8CeHfEljqTeJNAkZ7i5y1xJ&#10;IAzb7SBSuR078d+K9D/ax8cav8OPgTofwA0fQ2tbXQoZrjUWaRyWup5Q7SvuAKnBRcYAAwBkV4Z4&#10;L+LMGlWl6NZmxI0dm9vM0xWOdQqRsvqDxvBHcfiNvaS9ndMmopQl7OXQ+ovCvwi+BvhRbfSIbS4g&#10;09dNWZYpLonzZ2ifB6ndgE9ecn2ryf4/fAT4Sy/H7wHp4t7yHT9Qu4TPGLls7TBKeo6cjNa3jq9/&#10;4WTLpep+G9RW3hht9PbVPOmVVxsnQOvJ38KBxnJz+E3xw8U6RZ/G/wCGp/tX7ZcG5he5k8tR8ot5&#10;lwo6enr9e1Y08RXjU3M6lCnKOxt3XwK+F3gzxBqV/wCHZLsJFq+mmNp5yxVfL3E81mP8Lfh543kt&#10;dR8RG426h4v1YXEtrdfc2zyYJHb5T9TV7x38QNK1eXVILOJgs11ZosjMOcQsufr/AJFec/CjVbmL&#10;xFBa6jdJ5P8Ab2ojy4WZussnHuOQM+9THFYiUua5rLC0YxR6J+zJ+zl8LtN+JXw+1rSri6kuJv7M&#10;1EuLg7VucWkm3/dBdhgeg9M19/ftg3ctp+zP4ydZCv8AxJZ1zn1WvgH4N+I75viZ4DOh+ZHHa6xo&#10;Fq0LMMSRtY2Bdh/wIsTj0HvX3h+3JLHafsr+MJRxnTSo98kCv1/w+nUqYSrKbvqj+SvHmNOPEmXw&#10;j/Wp+Ru8rtWEndn5dvUe9d94R+CHh3xl8Fdb8c6jrc0cwt7zdCkuNzJEzDPHQ4/GvP7e/nsLpb22&#10;KrIvC7l3A5GDx9DXonwz1t4Ph/qGgXF3/o2oWV0Fh2/IjGCYdB+fSteOpzhlqce5994bU6UswtL+&#10;U7WD9lPw7q3j7wf4bGs6ldzSQ+Rp8MajdMxZjGo4+8zFV54GRX7G+EfhJ4L+GPw1034YaYqw2Ok2&#10;ihvJfCzy/wDLR/oXJxxwMdMV8G/sI6Nofjv9rix8Q2832u08HaRFd3Sw25nzcFJEQHspD/MDjgoO&#10;Oc1+gWq/ET4fy2otNUuryxXy8q01jIu/jAAOOa/IcPXqVJKUj9sxFGEVZDo/Ang6xsCyXALyJj55&#10;Aw/OqN18PtE0+xuNQgQPMybLdFwMZ71ct9b8BTLb2Uuqxuy/NKXjIOBz0xx+NT3PjHwbcW/nW/ie&#10;wJZiPLF4nHoMZzmvSWKqI8+VCNzj7L4W+HJm2G2YsdzSMZz2Gcf0/GpW8M2Md/JNCfL3HDfN93jo&#10;OfwrorDXtFu7bz7S9hkVjhZI5Qyn8R70WCWEzpIX+XcS2WJxz3GOat4qpYI0YoxdR8N6ZJpqW0d6&#10;ytsJ2qAck1WtvBMdpHI6a028KQpaMcE9SOa6qWDTb67jzDG23LNwBnHT8astpmmz2W6XTgMrkYIy&#10;PxFRHFVQ9jHued2HgCMzSJJ4hYeYw+cwf/Xpvi3wNNcFYbPWkbyY/LXcpAHUk/iQP8iu3Xw3pUjK&#10;8kUm/q2WJ/rVO48I6ZJcx7YtqtJ5j7d3YY9fU0fXKtxexj3OU0XwRqizrezX1vJHCpfbtJ5HUfd6&#10;Vk6v8OLq+u/t51m1jnlYsuFJz+eMV6bb+FLM2TKxkVW48tWI44+tY8vgnQv7SkulV422gR4k4PX/&#10;AGeMfrmq+uVA9hE5TS/hVqmn+bfHVbWQ+SVh/ekbXPf8BmsIfBbVYdV89tSsd+0mFRMxye7Zwfb/&#10;ADmvTb7Qo5o00p5ZFjblpFuBlePoKo2vgu7N601vr9wRH8vlsoK/+hUPHVIi+qxZztv8O9Z0q1uN&#10;RjWG4eOPy4fs8w4du/OOev5Vylv8KfF41WbNiqLyV825TBPQDg/5zXqsnhXxBEnlW+vqq7t7J9n3&#10;c4x61kDwT4hl1CVo9U8xtu5v3J289CBn2579Kn69UXQPqse5wHhv4HeJrfxPHr2p2sE0duTLt80N&#10;lh0HX1rL8S/B/wAWazfT6hJpTK1zIWmZp1wBnpnNevWPhfxTDZzQnUIWab5W/wBH+Yj09qoXOg+I&#10;4lWybU7bez4VWt2+Uen196tZlW6IPqsTxa8+C/jSCdbhtGciJuFjZWwo6fLn0A/E1peLvAfiVdFg&#10;8PWWgXn+rMkpSLgsTjHB7AD869c0zwtqiTosk/nNx5swyPx6Y/KptVtLtZpJroKNrEhlJ5XPpiq/&#10;tGt2J+qxufPun/Djx3aWLxN4Xuy0jAffUDH55Nb/AIU+G2rWeu2ceraJIYIj50xZRtfbztyPU8V6&#10;zpNrqUy/aVaONJGxGwYszD1PIx9Of6Vp+fqEdhdAFZAy7doO0hc/Wo/tSpzWsV9Tp9GeGeJbLxhq&#10;OryX8ek3DfaJGVmaMnOT0rzr4janJoHhu+1S/sLi2s9ERnupGhwrtgMSp7jnH14r6f1LUha6VNPP&#10;byQxrA7yTNhvKULy3fOOtfL37enxF1zwB8BNK8DW1vG1zqwjS4lZgWIRQWJ6ck966sPjqtSso2Mq&#10;uHjCm3c8A/Zr8KN+0B8e08R6rafabSxma+ukaM4O05RPxOBX1BpvhfXrrxBcNe6TcMu7K/umA9u1&#10;ZX/BMvw9rGlfCDU/Gt9pKrNql55dvIqg/u0H8Ix619Jvrl+9o0gsZPkUsd0Y3Hj6Vpjc0nTqcqRG&#10;HwqlG7PnvxP4M1W5CwJYttClpNq8HnrVjQfA2oR/K+mKT5f3fx6817la30McEcklrIm5fmRbMHr2&#10;PFbngxtKvb+a51C2kaNY9vl+Sow2ev5VzRzOdtjb6rFdT+cnw3+wt4x+I+orf2Xjzw/ptjDZwRzS&#10;XzSgK3kjcfkRusvyjHTcuQOcYvhb9kHwlrMmoA/FuCeXRrPzdVTyJ4AkgfDon7l2fH97byTwDWHp&#10;H7a3iLwl4Bh8FeHdMBlEOJrySNE86Rm3O0gwzOM4Aw6j5RkHoKekftReMW8PX+k317YrJqTBri8k&#10;sy8kmGL7WycYLEk4APvjiso08VK5o54eNj0v4Y/sGzeNNFg1nTPHWmsksyqRClzJKoLEMoUQHcV4&#10;yRgHtXqcP/BPfwRZ6M0U/wAXdHt5IrqEXEzX1xIxZf3jkJ5AVVC7uxIJHJ6HhfCv/BSLUfDOk2Nj&#10;onwftX1K1szbtdRak5jkyOGWHYQpzzwcdR71sRftwfE3xHHHL4n+HmjafbtsMkMK7Wl464Ck7vrx&#10;zXHLD5pUq2UdDqhWwEYfEbsn7G3ga30OTxH4F/aT0u3jUolxeagtw0bxxs0xdo/JGDhFG3J5O7PG&#10;K439nT/gnZ4s/aA8OWfxr0f4u+FbVNQuNQvJI7ppQx8idEKfu0baziUMqnqAeB0rpvhz8TrC/vLe&#10;z1f4OaDNpccRT7T4kWS43Nx+98uJ4ctgYwSV5wR3r6U/ZL+K/wCxX+yxd3viiL4lfEBdZ1Qn7ZHo&#10;uj6Za2TpkHaLaWKdQcj74YN9K2lRxVOm0ou5l7SjKadzl7//AIJteMfFEix6v+054RsZNPWVY2jt&#10;bhxIQRHvw6KAfdeo7CopP2QvFPgvVNniz49+DdUhhhVI7pL6W1kH2icWxC7Y3AwPnYE/d5OelfZF&#10;j/wVm/Y0u0WNrTxVuVfmkbT9Oy2Ouf3GOfbFXk/4Kh/sFaq+NSj1dFZcKJNJs22nPX5YefpivP8A&#10;q+Oe8GdarUErXR8Ut+xdb+Lbg39x+0N8PY41Nt5c11rTHEIuSp3r5SlxheeckDqAQK4a8/Zg8PH4&#10;2H4Ya98ffCdxb2ngF9XvNXsLplt2ujqEY8lGABWRhsYqvRQ3HAFfoyv/AAUh/wCCdE8vL6ovlrna&#10;mg2u1z/4DH+Yptz+3v8A8E2dViWZr3VbP5doSLw/Dke/Fv15+nApKnjo/YZXtqMt5I+M7/8AYj8M&#10;von2OP8Aa38IqrG4Cwpqm1YR5yZKuUyc7RgnJI7gcUeKP+Cbus+L9ChHhbxpoOr2rWivDcJqV03n&#10;O2WymxCp2n5STx7d6+p/EH/BR/8AYe05/sei+LJm+X93Jf8AhONznPfZa8/p9a8y8Zftwfs6+JNQ&#10;82b40TXEPSGzi8LzWwg57GONQefUGuOrHMIv3abOqm8LU+KaPCYP+Cc2teC7a40rxT+0b4B0+5t5&#10;FdtOvdal3JH5aZUoynBDtjoc5z8wryv9qL4IXPwe8UaB41uPEmi61fTSX9vcarpsxuJF8iUgSBVj&#10;jXG0hUJYhgjDjGT7fr37WXw7+HVzqU/hTVZr6DWpt2rNNFJJJNGEUKyEhfKbauDtOSG5JwK8u8e/&#10;tqeAL3SUTSP2fdLk0u6uhFPLNcXCtcw7TlGRpGbzCwLBvNwAQNorpp08dVteDOav9XtZTR5T4Ev/&#10;AAl8bfEcPhrxf8QtN0otMNtxcabKsqDcqgBhvG8hFIBJUAkbvT6E0H9hSHxJo58HaD8W9NvVt5CL&#10;SO0t7ibyFO4klkQliT/eGOeMVydj8fP2M2uI77TPg9H4bCKkcivatqEr7Y8b1dTEEyTyG3njg44r&#10;oPh5cfsqeKNTg1aO+vIZJoWjvINNvnjiUjJDfMDsyDyu7r0IxXRKlX+FQd+xlR5N3NHbD/gnB8ar&#10;q8tTZeJbWxs2hRdQktdP1H9+iFf4TAQuccAHGByBUXhL/glF8XdH8XL418O+LrdkaQTOlx4Z1DkM&#10;8hIyo5YDjJ4ORgDBNYFh8Tfgr4H12CXwnLJFc29yJLX7Xrd1dZbOChRmdCG68r7YxV5f2pfCvhDX&#10;rzWNN13ULObUNzX0MOtXtvG7ODu+WKSJdoBIChRweoGANI5fmb+GjL7i3icLzWdRfedBbfsM/FY+&#10;Grrwfc+OdLiutLaKBY49OvGS3H2VAWKtD0OSwzjvwRgVzf7TP7MXjn4ffB7UPEXj7xtYskekXEMe&#10;+yut7YJwI/3SD5uAcDHsO3Fy/E39njX9U+23wuIXktUivH/ty8jXIGDjMhLn7oycj5eQ3Wtl/jh+&#10;zpd2Unh3xNo9hc6ND/x42tjeSlkOcklm5JJ65zn6YAuOW5hGSl7FkyxWGcWvaI4P9nr4b/Cvwp4A&#10;099e+NfhlWvLW3W5hjur8SCNXVnQr9l2hl78444PeveLX4JaxHoLaz/wuHSb/T9JuvP0mbT7iZGu&#10;2dJTHAsqwt0by+CmSDjK9Rxk3xS/Y4tbR59N+EWhyXm5jGt5pr3W1SBjcPu59gBXWeBNT/Zg8b+J&#10;E1CHRvCWj6fJAsEekrb/AGWSGQE4mX92d75I+b5Djv3rLE4PHSvJ0ZL1HRrUY6e1Rly/BPUfiBp+&#10;p+HbX4p+HtHs7ieO5s0vrqaQybfKjBLKhOP3SnG0H5T7Z53xzLpXwf8ABK/C+7+OHhaSbVF8z7Zb&#10;rdSq2VIkbAtTx17DGAOcc+q69+x58JPFXiGxudG8O+F7RmC8WMsk0kvUlssg5Yt1+YjGB1rZ1H/g&#10;m78OVso5PDfwkt9qsWX7VeyvIExkhSmzac8ZKv8ASuX2cqcfegzpk4zek0eI6No+geJtVk1v/hdX&#10;huT7ZbSC1s1tb/aYwSATi1A+Y9OCeRyBXN+KPhn4E8SeNLfVG+J3he1v7WdUTS7j+0nE21HySRaL&#10;ycjHPHGcjIr6Mv8A9jzwrfrDbab8F9AhhhVRcW7+YtwVyONzOAPfgknsOlaX/DBXgTxTq0ljafBv&#10;QrbdKPss0viEx4XBzvwRnHsFz9RmiFRwd1TkOdPmjbnX3nxj4a+H3hLxT8YvFl/4c+MWm+H4Vm3W&#10;81vFqMjTW+233MrpajCh0ydwU5XheQ1XtF8I/D7wvoOrfC3xZ+0nov2JgpjuP7Bv8sSrcL+59xyd&#10;vI6Dg19t3v8AwS9+FulaJJLL8KNHkuvOBiuv+EklnjA4JxEsmRkA7cswB65HynLg/wCCd3wduLhb&#10;HxX4D0GOxm3GPfqsouPNVCYwv7w5zyWA2YA4zgVpLESqf8u39xnGjKOnOj5Ek+GWj6zZ2MnhP9qL&#10;wf8A2Sbh7VjHp+pF2kdGBGxrYEFgeoY7eDk17Lo37CXx0sIf7PXxhazaDHZ7Y763jv8Ay1O0HDl4&#10;GbBU4wADx+fp2qfsQ+AL60tdCsPB3hq1uIJkaWZLwqrKh+XGUOSeM5xn36Vv+Cf2Ytd+GU8mo2mp&#10;eF9Q8otPax3+64kkl/hB+YKgB/uAYAGMVjUlWlG8aT+ZpGnHZzR8j658K7Twv8QoodG8cWNlfxLL&#10;FJqF5BLPalUXJZYxGG3HcFU8kc5XJxXcfCj4QeNte+HfiO3TxXYzWt0p+1FJ7uJC+IsPn7OwALlu&#10;DxkEAKOvv3xD/Z81r4naU2qeJ7Z7G6s7xZfN02BI1RW+8seVdt+7kNnjuCPu1dN/ZJjt7+TVfFPi&#10;XXNU0qyjWGfT7vR4C8rM28Sbwi7lXYgOQfm5JOcDloV6204u/oU6EYr3ZL7z4+8Oa7b/AA9+Kmta&#10;R4Q8YWP9lf2k2nwNqUdx5TyLkyzH9yZNjOzMAqHIxkDFezfsQT6D8TP2jZJfE/jnRtQsfDti+r30&#10;ltDeLbwwwKS2PMgHG7auSV+9wDXpviz/AIJ+/CHxvrX/AAlOveHvs9pNGs1432j7Ou5flUkZ7qzZ&#10;wBzjGMc6Gg/sQ/Cb4I/DG81OHWtMs9P8cb7N3gupnlu7GNgXhJEnKl8coAcjHSvSjU9pr7OX3GNO&#10;jON06sUeLftG/DhPi949vNb8e/GS1s9P1i5kv5GjguZGhV/KZP3jRKWVl42hMLsznkV5HrPwG+EO&#10;ny6bpHh39o2OeNrhhrUEmn3c/l7HH7yPFupVfLUfLlySGIOCFH1jr37I/wABtf8ACdnpetSSQ29l&#10;CtvDNHowkZbdeUjVnUsoHruJPfPat4e/Zl+AHhZv+KZ0jTYv9JDx3s+hhbiNQMFN8hPB+XlQMEZ5&#10;zis4yxDi/wB3IqUKUZ/Gjx2w8IfDq+12TR9N+L+iWtvbaPatbtcWN7KNokn24QwjacsrYLDBfudw&#10;rifjL8GtbHxd8Fwan+0BY3Ntd6gqR6pZ+Hbk/YGEb/KULDcoJUcEZLZ7c/UVh8Bv2d5476HxF4s8&#10;P+XJdtN9jHhxVZ4t3yo0nJkYEsd5fnP3RirWo6D+zxoCXK6TrVjDCFV7GGz8PjyraTPVtg/efwna&#10;SBxyTniqcMZvGmwnKi95o84sP2D/ABFeaQ/iGb4r6hqlv58L/aLTQZY1Eag7yT0XHuSTnqK4G2+B&#10;nhD4WaxZR+Lf2lWt/M1icwxxeHnBiHmMYZCwDtKzhgSoAYBsH1r6r8EXHw90fQo2uvG015I8L+Yv&#10;2GOOPcR1VOCPXnPpxWZ4h1n4b3SR+brtrJLDNHNEz6fbGSPbjcFxjDNzyQwGelTDDZm5fw/xHUrY&#10;NR+M8b/Zq+FPguP9oXwjJqnxxuZNZ0nXLKObRP8AhGrqHypooERonDcbgdyFzgDywTnIr7w/br1C&#10;z079ljxdLe2P2gfYQqruwNxYAH3wfzryT4JfEvwTd+OLbT5vEIuNVvtWSSfUp7FGvHGFRF83fgZA&#10;AYhecnAUEAen/wDBRIvF+yT4sEcf3reLG1v+mi9a/XvD6OIp4Or7aNtT+TPHX2VTinAKDv8A8Ofk&#10;oWcsqoo/4F0r1X4FfAfxn8R7e21DwT8RrWO4uvOjuNAk065lKRbXQsXRQoBzx83BIzgZrxifxPo1&#10;vri+Hp9QVbxlBWHqSD05xX13+xx8KPBuj/Dqy+NdpqEP9sXEssN4t1qARVVJDtXYzqu04GTyeafG&#10;9TnytezTfvdD77w8o1KOYtz0926PsD9gH9ldf2cvDOteIPF3iWwebxZeWrztZ2ssCw21sHYAtKu5&#10;95K5wQPlPDdval8R6B8SoZNS0PUNP1Kw02bFvJApdQyn5XU+g45+v4eJr+1h8Rr7wpBoF5qml3Gn&#10;29uV+zttzjBASNg3v1weB3q1H+0hezaA0PhvwfDHb28jQM1pMqfNgkrtK4AGRzn5uuAeK/GfrHsp&#10;JOLXyP27l9pqme/eFNX1vWbpJBJHsQASJGvRcfdAJPb1Nct8Wvgz8MPHHidtV8VeABcC35We3u54&#10;e3dY2Uc+5rziD9p+703UbHRoPCUunSM0aTeTdBw/95mZgQDnP3QPavRL39pL4MyXVrpi6vrNlNdM&#10;i3CRxyfK2MkglTnp6gc9RXTHH0Iv3mZSwtWWx5zqP7O3wa0fxDDYaMvibQ7fYzXVxpurGMmTKGMZ&#10;ZXJHJ4/Ud9HTvglIbib+wf2lfG1hHHDs3TX5nliB+6d4aLJIVgRyPwrufBWs/DD4569qOq6b4xvr&#10;SHQ8+Ys0YUSfIV+cuDx3GMEEA89Kn17SfBuneGo18L63p+oXFyoa3hN5suZ5toCbvkK4OR8owOWP&#10;HNbRx+FluyJYPERV0czZfCP4qy2i2mlftk6xHIpHlY0WKRpOc/M7vIw9PYdKs65oX7VGnTtY6J+0&#10;ZpM0asEWO+tYfMJ/2ibXAGc9MV1Gk+Gbf4d/2fL8QdR024vbvZLBHBcLb78nIwhZ2I64PfHSi50P&#10;w74k1aQx6VdIqlpJpY7tcyenG0gnP0rb6xhJO3MZ+xxNruJyMt5+3np1u0OleLPh9qyqFUJJpcjS&#10;ODnJMguIUBGBj5O9Xrbx1+17pnmLqfwq0S+lWMCNre8C59vllPrXTyaXouk6J/Zccd9GryFm/eK0&#10;i5AHHr+FR+HvB1/La/b9I1i8t5PMyEuoSjEE9cHtRzUJaKRL9pDdHK+IPjx+1p4eih+2fswWt5Ht&#10;HzWviqXcWOTyv2YgYHuayov2v/H9mxg1L9mrxQk24FvJkVlP0Oz9cCvRPGF5fR6vcWek+LFtnVR5&#10;ayKWYdu4xnNM0eLxzo2qWtlrHiKOVWbc0ashaT1PWjlp9JE+0kt0ee3f7fegaJqq6R4q+Eni/T38&#10;wBpLhbZlXPXH7zdgf7uadon7f3wVIkiW+1uGSS5YyPLpLyg5PRTxx6cY9q7XxV4j8azPLc3OmWsk&#10;IcqjTQ5yOw645+hqjoMF1rOo2+lX/gjS2j5aR20yL93gZH3lNHs7lKoV7/8Abu/Z7s5pIdV8VXVs&#10;VfY0dxpkgYEYHOFPB/D2q5ov7YH7OmvXEg0v4raZIWYKsb702DHTkcc579653xVZ/Cm5muZtT+AX&#10;h+4k5drhbJBJI3ckhQcn9cVl6T8GP2ffEMsMWtfBGOVrph5iwzzQsWJxn5ZOlaSpsj2kb6nqF7+0&#10;j8CrWK2hb4s6BarIuQ02qLEXye25hn9atr8XfhjqEsZ03xfpN0rRl45INYR956ZHY/h0rx/4w/so&#10;/szeJNWZNa8HaxB9j2whbXVBtj2jAXDxN6V53qn7G37M9w5XTdc8VWb264twl5HP5frlfJTHPoaP&#10;q8rXD2sT6x0r4meDb+++wQeIrFpivyQpqkZb8upq1qur29hZy3j3jIn3izTIwHGOOK+P9J/4J/eC&#10;4vC954hsPitNC1zceTDdSaGqTRsORsYTHnnnGM4zxmsPXf2FvGNpdRwaP+0q00pYY/tC4vIlhJOS&#10;SEdh275HtSjTdtUP2kWfaml3Nr9hVWnm3eWCegzx3HOOa0Ddtaacq/vDvJbO0Mf5V8V2P7JH7Slj&#10;cLf6d+0VDJs/ij8Q3QXjthuP0rofEfwj/bwe5tdU8B/Gy8jihs0jurebWrSSOSQDlwJoiwz16gUe&#10;zt0C6PpLxhewX9o2lxQIxmZY5mljKgKWGRx0O3PNfCn/AAUg8WWniP4yWfgq3SJo9Ms449qqceY5&#10;zg12Otar+318N7ebVPEXiSO8hsw000k7W8m0BSSTt2rtOfzFfFWleI/2uvjN+0ZDqrxw6peXOred&#10;J9q0zesyqc5IjZOMDoMf1rvy+KjJya2OfE+9FJdT9eP2d/h5pvw9+CXhzw5FbRxSR6ajzLHkfOwy&#10;T0610XiGOZdPdLF4lkYgI7Z45/DtmvmnxH+05+1Z4W1NNKf4SW+o29vZxjz7XT54VZgi5+X5yBuy&#10;MZPSubu/25v2idN23Xi74H2KwrcqUtYZLhJHAH3izJgD8DXBUvUm5M6KfwpH1zbwJ5e2TadvTbJ0&#10;rZ0y2ii0z7UFZjJNjlh2H096+S/D/wDwUUur18a38B763XH37XUkkyf+BKv8jXV6v+3nrHh3w1pW&#10;o3nwTujaX0TS2zR6lGXPzEHcB90/KeCc1KijRpH83s2jL4sht7bQPD7tMqje3l4UDHr0rodE+FNh&#10;BMtvr980jFv+PKxwSPqx6V6Pb+HZrx1tCqwpjH2e1j2gD0OOtX9P8L3Nu32e20Nv+uwHzV9V7E+f&#10;lU7mbo3gyzhtY47Sxg0uGPA/drvmfnu5rqdL0jw3oRW5t9LMj7fmmZ9zH8+lSWPgnUGwzW8mfRq2&#10;bLwdeBlJX5ulddOjKXQylU8x0D6ZqChHik245Xd0rRh0TwzHiZ7ZWbsGbOKdY+FvLBAStG28Pqi5&#10;8r7vfFbxwsjD23Yy5bXw2XEUulcHkMh6e1Rpo3g5ZMjTZNzdfmro7fR7YIGNvlf9pakfSI2cGOJV&#10;x0+UU/q4RrGLHpXha1hYixkG44+Y5plzo3hliszS3MYX/aGD+ldGNBKgtJ064Vc1nalZaqyrDbWS&#10;vGegbH8qxqUbG0axhy23h1Z2ZEdvdYxzWlpUeg3DCBrVVHXdIB/hTYvDOsXVzhbFd2PurwK6HTPD&#10;+r2yeW2g27dvmasPY3NPaM5Xx5o1qmkyXFnbL+7jZt5bjGOvSuA8UJeaN8M9Hv7mBTDNeIYUEZzj&#10;Y/zZr1T4mR3Om+FL57oQxKYSFjUg5zjgf571538RdT0nUPgzpOkiRftNr5IVRnPIIJ9OP61hUoxj&#10;0LjOTPMNYuFmYxxXrKm7LM33vpxXeeBP7KHh5THo2sako3Ew3FwYIN3r15rhpdDuUZWWVl7ncOFr&#10;rNBi8VT2n9pa542WytljAjbcCxA9FxxXbl6jGoY4iU1Gx0mreLNX8M2bLqmqaX4agx+5t9JtfOuG&#10;PuxIz/nmsO38Y3villbT/DPjjUogcNcR3gQSHOM48s4H4n611/w68MaLcEazpPhG616+kA26hrDZ&#10;RSf7oPygfga6nXPB3i68tBL4q+KsOgW+0hrfTVVSnPTPFfTRpynqeU5qMrM89uPh14zuIcxeD/E0&#10;Jb7r3GuRsB79BTbXRta0a3jXUrfX5Lje+5odUh2/yOKteJ9O+A1nL9lv/i7rVzKsfzf8TNtrN68D&#10;j6Vw8kHwQe+Lv4ovJoQxBVdVlDN79K5JxjTmaxd9TvtKn1t5cJo2ubgfmabWIR+P3a3tMuPGkF75&#10;1tdyQ+WQ0ZfXIVYEc5zsryWG3+AomzJ4i1ONd3yiPUHOP05olvP2eQfLm1fXmHTzFvm5/DFa+7L4&#10;hbH0p4C/a5+Kvgy6W18dalrmtW44WO28URxOqg9A3lt39hXuPwx/bC8J+MZlgtdD8VrdLktBeeOy&#10;i/7oxF/Wvz1s7/4DQOsst7qMyq3R9TcEr9MVbtvF3wThfz2OowmPaITZX7q/TqxIOa8+vl+HrPTQ&#10;66WMqU99T9JdR8SDWZfth8M3lu0h4kHimV2A+rGjS7GEXSvaeDrrbJxcTXPidG8xfTqNufXBxXw9&#10;8Mf2nP2d/Dypa+PLDxLqkJ43W+vGNkH4oa908BfHr/gnXrWrQ6jH4d8aSwqy7rObxADvPcHCj8q8&#10;LFYKVF2tf0PUw+J9rG+x9JK3h3+0Uab4fxTLCFC7PHUqEMM7SNh7fQ03xFa+FXmh1HUfhva742O1&#10;JfGly/l8YyDuH0yOa831D48fsWXEkc3hL4SrYpyJI74vO34HzBWlD+0J+yBcQJBH8G9KaTbgyzQT&#10;MzN36S8Vxqi46m/tL9TV/srwJ4pmMjfDOONo5MrJ/wAJhcbTz6PNzW3ZaN8NrPSJGl+G1rJcBx5Z&#10;/wCEsmGBnviY/wBK5O5+Kv7Hl0nn/wDCrNKtmVfkVbedgT6nMnH4VLpnj/8AZdnsWubrwdo8aNIS&#10;Nulzt8vbDeZ1pqN3qrBzd9Tdl1z4f6ZI0ejfCCz8wctJH44u2Ln6GT+tdHoniHQde8Pyrb+CdP0u&#10;4jOFkn8YXG4/RfOGePfrXn9z4y/ZUjs5Y7H4d212zNx5cNwrgeow3Wsu0uP2cIlmeTwrqkLSf6sR&#10;pM6x574JHNJ4eMtylWktD2HS/D8Xi/VbXQ9J+FEestcSeVGupeMZZOWI+7lvxHWuu+MtrqOpfEC2&#10;+E/hbRNJ0nSfCulraWMjaknl7wNzhg2Wx5hbgHJr59+Ht98IPBPj6D4j+FPEXiL7VpQ863tZt7QK&#10;46MUbqfbOOlZd1o3wF1q8vdd13xn44ur+8meaaf7UygO5yeAuOtZyoyl8OhUakY6tXNTx98IP2pP&#10;FWuu+o/EfRbe1DERNBqfyKucABAcjp1OeKueE/hb4L8C6T/bHxP8Tap4gvoC32hBqRjtc8gEBTuP&#10;Tg7hn8cVy9n4X/Zamt1tr258dzzL0nj1RwXH02cCr2neBf2YJLiSf7d49t9uVhVruZgy46NhOh5q&#10;4RlTjZu/yIk4zltY5f4j/tRfs96RrDRW3wss5HjjARYZJdp7ZJLHnIPX15rkX/az+EOpKtpB8Aob&#10;q4Zui3kpEg9Co7fSvbLH4Hf8E/dTtLifxHo2v/bJm+ZvLmyecnnbxz7dK2rLVv2RvhrGyfCj4XTW&#10;NwcbZrrTvMUP08zLAtnvjpT0raNCfNDY4bwh/wAJp450i3ufD37D3hyztbhtq3+p3VxHt9zulHH4&#10;V0MHwJ8UWNvcXl38Jvhm3l/vGjj1x933c4H7zn6VyXxm+JnxHjma90Q6h4ktmXzNtqrRxRZGMbB8&#10;x+leLS+KP2hfGbSDRPA3iCVVU7Vhs3CjnGOntTcVCNk7E83N0ufYvwd8I3Gi/EPQdRn+F/w8hX7X&#10;bv5lprkjTQrlfmRfN5f0BB5ruP2tP2ifh/8AGH9jzXZ/DN3te8061nhgdxuCu6Fc46HB6HpzXxd+&#10;xj4I+O3jL9r7wF4RvvBOrQtea5DIFu1KhlUGTHP+yhP4V6rD+wH+1D8Ef2efiJ4q+MGjw6dHc29v&#10;Zadai4EzkmcfP8uQqr/WvpskzP6jSUFJavU/K+NuE6OeZksRUg+anFctu7ep82L8A/EereJb22Ok&#10;WMV9p21ZJ7mZEJygb5GPXhhyK9R+B+gaXJ8Lre91nwnoupRx3U6lZfFD28rMshBJjDAD645qn8ff&#10;h14ovjo2k6LNC1xpbLFq08cp2zqY4kyjd1BTJNedaZ4M+GGi+Fh4o+I3xYuLWSa6lih0nSLUPKNj&#10;lc5Y4wcZ+lPFY2WYUXB2vc+gybLVltanLX4dbn0N4a8WeEdNlb7P8CtFVo5Iwklx4snGcuFDD96M&#10;gZyfYGsrV/GviXXHkg0TwpfaXBIc/Z7LxcQvT7w3Z5FeKv46+AYiY6R8NPFOoN/CketP5hX12xxn&#10;/JqsfiN8NrS8iu2/Zl8ZOqtlYZtWudrn0P7oZHtxXhVMs5dZpH10cd2bPobwXJrmnalHqL+F9euZ&#10;Y8f8fHj4EZ+gUcV6kf2ifGNvbJat8KZpdki/vf8AhIrcsRn7udnIz+PvXx7o3xE/Z+W0aTW/2a/i&#10;K7ZxvtddlAA/GOobjxz8KhdF/DX7PPxIKM25Vm1KX8shK86WVYXFScZQR2fXa1FXTf4n3Nb/ALRn&#10;jW70Sf7P8E4PJmvVa8hm1yMeeV42kADK44/qOtdF4W+LV7dpDfjwfc6fcQx+XEqalCyjGcEEE4O0&#10;hecfdFfCfhb46aR4WTj9ijXNWXOWOsatdtx9AFrUj/aK0bVWwn7C2rLLJMxC2mrTgZPbBPT2rzsR&#10;w3hIxsopeaZ2UM4rSlqz7o8ZeJH1Xw/C3iPVZtQ1KH7PHp+rSXKu1sMlWUgdvmJ9BjtXI6+3xjsr&#10;mFY/FlxBD5axxm2ZpHkXuWAYAc9Dk1866V+0hosMC6a//BPXXuV/1kOtTK/6vTLT44adbXf2mD9l&#10;D4lWsi/MYk11379BjtXlS4VlD34TPQjnsZe7KJ9c+Gvi/wDG3w9dW1jb+Ibi/a3wGF1MOIyOrkr2&#10;5PqMYrrD+3B8V9Ai+yaX4dsb6STeLdrpgmThVAbjH3i/4AV8v+Df2iL640xdN/4ZZ8ZWaM+9hNua&#10;WUDr8zHOPXpW7B8bryG4+06T+zlrjvubbb3HPUAcL26D8a8+WS5nCf7udzSWPwlRe8rHvvgz9qzX&#10;ptWkufi34IGlyRv50iwkyRkBwrKvGTgEN9K9W8Nfth/ATUtYj0jXdFmht5o2KamI2AQYBA9sivka&#10;3/aL+KkdjFp8v7HGrXEMY2p5zPgrjnP1zWT4v+JnxB8qazu/2YdRt4bhIysUWpKPKAHAXPTrzzzV&#10;wwWbJ3un5E+2y+W6Z9zp8T/2VfFV9cNH8QVNvahZ1hEqFSem7lc8fpVzU9W+Fy341HwX4sWaFrVW&#10;k8zUDtIOegyMdK+I/g+LnxgZNG8QeCdQ8OtMQrXRtYivl/3cg8jiunvvgd4s0HU7nRfDeqHUreeJ&#10;GFybgrjjJXBPB7DHqayq4rMsJK06f3DVDB1PgmfSfirQhr15A+meMZLC3mgLMttsZThvVwx559Mg&#10;e3O5Zx3WnadHPpkmmzGJvkuGjyw9M4Izj8K+U5/BnxsltHt9HdrPyYY4RuvdyxkDJKjIzjPr1zSH&#10;Wfjf4L8T/wBhWevM1n9nVpbiScESTFFd2+hJxjtjFTHMsRLVwZq8DR5fjR9K+IPFCXVwunX/AINa&#10;6nmZpGuLa62h39wcgfnWf4X8OebH9hvfDNxDeTTO7+QFYIGPHXG447gc+1eHwfHDx3Ffw3VzpwWK&#10;GzJkk8wN5jhuT/ntXR6F+3be+DfEdvqOt6Rbw7vlgkZ8eYACTt9eBXVRzhbSTXyOWplr3hZntXiz&#10;+y9E8Mx6E83762kMkkZgy2XwBwOmAB+deUeLb2G68WWtrY63azNcxmWZdrMtqcYAZR9SK6yX9uPw&#10;Pr2i3HjrVPCTyR3AiijmmtwyoxX5GbH8PqPRa3fDfxv/AGcb3UGi1OHTfLOD5kkKpnd1546Hj8K6&#10;YZtSk7KSOSWCqR3Rz2ieF3NxYxRPbrayMvzLOFJXPJ55q94ut7nUdSvLq1kkkjWQjzIm+UKvA6V6&#10;dD40/Zd1KT7ZayaXlGwFWTP4YzXN+PvD/wAA/ihpflReJ10eEqylbe+8kyZPTrzXbDHc2t0zD6vd&#10;9T5M/ah8VWNx8MPENzP4ox5MMlstismGZwwHPrk9O3FeOf8ABPr4X6n8R/j1o93b6vc2trp9xHPO&#10;YW6qWHH0xnNO/bT8IeGLz4oWvgDwL40a50uC5RRb2t1uPmMRvDuOWxyfavsL9nX9k7wv+zNpEd98&#10;NR59xdRD7ZeXt00jDI7ZPA5/Wvao4qFPB3drs4alPmrcuuhe8XfEvxTp2s3j6JfsHadvLh83Py56&#10;fliszRvih4+vNRV9Rjt7mRYSGgZN20E98k11EnhWa81pb+NLW4dv+WbzKoOfbGc/jUtp4ImufE15&#10;Z3fh+1tBJHGTPZ4y2P4clq5Pb0+xt7OS6kei+MpNVVhf+BrFtjbWXyU6+v3K6T4lXPgHQ/sGlaj8&#10;NNLuX+xxylWs0OwsobuePvVJF8P9NuYWktILmNI5N0irIzMSO3T1FVvGVlFf6musXekXU0kkaptd&#10;htQAAALkdOKh1aL0sCVTufhZZadEz+ZBEo59hWh5VzADiOP2y1WrLRbFQqRJKTnkeoq4mh20a7xa&#10;SbW/vSV997GJ83Ko2ZsM2qzja8MYX2frVq2ju3mCL8vvir0dqsDbE0xpE6K3WrUVwVjMdvamM7cZ&#10;YDI960jTjElybIbO3kC75bkfTbV5HhTIkZfbiq0Fy8TrbzP5h6/MAufyFPmudPlPk3tsu7d8vP8A&#10;9arJL0EtpMvkhlZscqvFOjiXG4MpbqM9vaqpmsLaMraWUZZf9qmrrIEO6W3Uuowo8wkfypAW5UKJ&#10;892N3puFVEt8nzYZ1Y4/vf1qwl+skObi2j/n/Si1vY43jWMxou478Y+biuecb7mkSfSWtro5V2+T&#10;hlKn+eK2FMcSsXk2qFrMS8V4/wDR9ikdqi1PWL2K1IaaIMy4BW3Zse5qbRjEaucR+0TPo+teB7iO&#10;zmh+2pIhjZmO4fNyAPwrhfiNqllb/CK1t49IjS6t4oQ0+0bpDxWb8ZPGV5dajJp97rEd2d2I4oY9&#10;m05x+FO+L/hSbTfAsmqvBeL5cVuEdoUEYJI6EDn615dV809Dtp+7HU89udb1CaBYZnbH/LRgOnPH&#10;6V6x8PdP+DujaNHr99qMdxOvMk2oTbtvTgJXg7XXiYyJHDZSK0nG9pRyAa9G+C3h3wl4g1r7B4qs&#10;POZWBSMtkM3oFzz+ORXVganLUtYjEU7xvc73xb+0CboDRvh9FJdOsOyIxxbVf8BXC2fwt/aY+M90&#10;0p02a3tnzunvpDEq8dh1r3lH8KeEbcyCPS9Khto9pTfH5y47bR92vNfiV+175EL6N4KuD5Y+UyL3&#10;PQ8/5NfRJPl9+X3HmStGWiMOf9jzwr4dWCb4k/F+OGVgDcW9nGDtYjlQSefyqaP4Jfsk6TF5d94/&#10;1C4bd/rGuFUj8Frz288P/G34lXkk9r4U1a5fklpozGOvON+Kmsv2Sf2hNflUp4TMO9cr9ouFUf1r&#10;nly30jcpebO3vvBf7IGnQlILuS4dWwjSapKu78qxItA/ZqZAb6Mx4kPyw6pK3y596r6f+wl8brgN&#10;Lqlzp9ns6brgtn8hVuH9gj4nPEzXfijTY/m+UKkrZPpwtYy5v5TZcltzZtL79k/SbZYhodrP6tcW&#10;pkY/jmmS6/8AsslWS38O28bdm/s9Wz+ZrEk/Yi+IVlKYb3xFCdv/ADxsZm/9lq5D+xoqRMb7xrfr&#10;J/CqaM5U+xJIojUt9kOXzHaxrn7MNxAFttE2tt6pp6Co/BXi74M+FL/7fbTSoykGNobNFZT+Oalt&#10;P2NJWfbdeL7rb/eWxA/Pc1aNt+xHp7yxk/EiPYT8waNVYfjkiq5JTd+Unm5I7nt3wx/b9+FWkIml&#10;+ML2+mhTHltHZ2ylPxKV7Ro37Uv7M3ijTfM07XZAWX92JLGzLL6kkp0r5Jtf2LPhDbxINU8b6hJ3&#10;cQ3UIx/46as237NHwJ8POz2fxG1hWH8L3kQH/ouuetl/tNUjenjPZqzPqofFz9nq7j/4nOs38ibv&#10;m+y2ttyPTlav2/7QH7LGjxqsl1rk8a42RtZ2+Ae4IxivnzwN4I/ZnJWx8TfEPUrcnjzk1CLaPr+6&#10;NfRfgb9mD/gmt4h8Ow31/wDtFeIvtW0ecsV3Btzjt+5OR+RrwsZh6mHlzNNnp0K0a0SjB+17+zvZ&#10;TsLPwU8i7vkkuIUVvyXiob39r74S3paSLwhIqsp+aGULjmulT9lD/gm01hcCD48ah5kf/Hu9xK2X&#10;OP4sAAc+gqr4d+Cf/BPnT5X0fXtTt9SnKgxvba5eB39vl2r19s8+lYQl7RXs0aS90wP+GjPhrpuk&#10;R6jP4ev18+UMsT3RQOvJ4YDscZHowrNvf2nvhjO5lTwoy7lO9m1STrnqAOK9Ais/+CaXhlmtdb06&#10;7vJISVt7ea+nmjRSFB+8SCeBz6AelU9U1f8A4JuXmBF8Pgq7sJ5Ma5x+IolGT1D2nQ4ew/an8GaJ&#10;qR1Oz0BWhZdqwzXBkUfnzUl7+2Vol43mwaFKquvzRQXbIufYV2y+Iv8AgnpHo89nZ/CK1a43KLW6&#10;uoQcc87hjnI9CK66w+J//BL+z0SOK6/Zx02S6RR5zxs20tgZ4zn9TXOq1bmtyM15I2vc8Rj/AGx/&#10;C9oqS3fgie4fOWaTVpRkemAcV0Sft+/Dw6eba6+DOnysfuTNdSB1XsM55/rXaXXxk/4JwJOX079n&#10;HRoct0m09JMf995qKf4v/wDBPy7Yg/s8eGcNxxpUSn9BW6jrcyvJaHCaT/wUMh0QSHTfh7pMas3y&#10;NMnmEL261I//AAU78b2W6LRLPT7Xttht1Xjr/Ouh1f4h/wDBOYwj7d8ENJjbd0t41i4z6AVjTfEz&#10;/gnqkt5K3wk02RpJt0CixVViGANq7AM/Q56mocpOpyyhp3KjGPLe5y8//BSL42WOuw674fnt4bq3&#10;bfDdxwqJE65w2MjgkfQ1Jef8FQP2n/Fvhm8+H/ifVrW80u/2C4gkhwcqdwOfXNeieFf2vv2RfhxY&#10;tYeAvg7okUczfvdth973O49anvf29vh9chltPhXoaIuSv+jjnPqBWnJG1uVGC1lqzwiy8OfEH44a&#10;7d3lp+0DdeHY7o5j01rdWhTjBVW6qO/1Ndwn7C3g74e2FtqnjKC68QTahhLWa4fMchIySEH5+tdZ&#10;c/8ABQnQhKsUXgrQ41X5dq6TGRjHqRVmf/gp/p1jaR2K6LbloVIhS1tUOwjoeRwPeuHkzKNa9OyX&#10;qd/+xzo2lfmKWh63c+DH/wCJPbWNi1uvl7Y7NEZR/dzjNZPxB/bM+JHhmcRQXdijQrtWRrZSw/MV&#10;ak/4KG32p5uzaRR7udqovI9+K4Dx9+0D8NfiFdNe+L/AGi3kk42yTywAS46cMpBH4V6ac5RtI4XC&#10;MZaFW4/4KFfFhfMju9TtJPM4bbZR7SPwFQ3P/BRj43ywCCz1e1WNV+7HaovH5V514j+HXww8Q3qn&#10;wNq0mktK2Pst/P5kYyez9QB75rsvBP7JlpYzW+v68brUrFWAEkcBW1lf03jO4Z96ytSo7WRp70tB&#10;6ft3/tA+JpP7ItoGvvO+7DBa+aWx3AUZNdj4c+Mf7afix4l0zwDfytbjdCv9jqm3gjqwHYkfjXZe&#10;GtU8LfDCyMunR2drHbrxHawrGqHHRdo3Mfx5qSx/aY8QahJv0LTWErHH2m4kxuUdOnIP4mqny1o+&#10;8rhHmp7GWniv9vnUrr7Q/gW9SZsBpGtIxkVZOq/t7G6jeDw1+8XnblNy/QVL4w/a18Y+HbXz7vVP&#10;J9WaTAH9f1rzfVv+ChvjuzOLXWvNYcbkZh/M1HJyx92yDnbl756HH8Q/2+XvPs8dx5dxyqhbhd/u&#10;BgH0/SqXiGf9vZ1W81GS6Uu3zTG6K8Ht0wORnPv7V43qv/BQr4qyzCWzuYyyZ2sy/Mue+c1k3v7f&#10;Pxj1WH7DqOtSeTz+7hmZQM/jUU6Mlvb5FTqfy3PeINF/bu1FV2a/fW44IkbUGOPertv8JP2wNZgW&#10;bXPicjMTjbNJL/hXzha/tc/EC7GLjxZqi/LgIt82Bz056V1Wm+Mv2hfE9nHf6ZovjK6t5EzFNHYz&#10;yRuvqGAxj8aqdOzvG33Exnd6npWt/CH9o+0kZrn4mRLIrFdsN5Jwc06x+F37TaBbh/iXtXj5m1Jg&#10;f515iND/AGlNUOYvBXiqZW5ydPlbn8q0Zvgd+181st2/w/1qONlBVpp0TIPszj+VZydCWkmjRRqb&#10;pM9hsfg38Vbyxe51P49SwquAym+yScAkAFxkVLbfBXxTOyrD+0FIqNyrSDd7f89K8Zu/2d/2rZ7Y&#10;bvCV2qsucNeISfphuap2/wCzr+01ZW7T3dn9jjDY/wBK1DZ+lRGjTvuvuK9rK2p7jefAPWEZpW/a&#10;FVt3Dbcp/wCz1r+HfAOpabdW8upfGbS777KrLGmoWCTKqkc4LN3FfPWh/Az406zctANQj3R8Nsne&#10;X8PkBzXRj9nX4xWFs09xczRxp/rJms7hU+m4oBUVcLh6nuu34GlPEVoapn1jY/EOz8PW4Sz1LRkl&#10;MHkFLZU8ts7V37GJGdoA9hXP6v4gvPEmjro2seJ9KiVriQzStMu0qW4JA64HbpzXzknwA+PG5ZYL&#10;sbG/1bqkjbl9eATVuP4CfFPyWOpa3NGzHC50q65P12V5/wDq/lrle2ps8yxDjY9lsPAPhS4mjsNb&#10;/aImjtyzb2sI0j2AnpnBNel2g/Zy8L22krZ/Edr3+y2V5I5Jdwu2Hdyc/pXyXpv7OHxY8SXv2LTf&#10;FClt+3H2K4XDe+V/rW9ffsVfHrRIZJZ9aVlC7mxHIePXjtUzynAQkk3YmnisRukfQ2v+OPg1q3iV&#10;/F9r4p021uopN1mqWqKEYsCQf724fKc9jXaeDf2xdT0S0m0u88VaXcW+1vsciSBGOTwCCccnv9a+&#10;H/8Ahmf4jXtzi0+IOmGQkjb5jFuO2AK07j9l34/WdhFBcs00bcR3FvYz4ZTyM/LyKmWS4feM2jSO&#10;OqSklKKZ9rj9r3UZ9VuLbQ/CUF/bwrlryPAbHBDEduSV98VuD9rHVdF8V2JvfBM39kvbsZ7+K9Ac&#10;SBc4CHnrxXyn4I/ZI/aJ0+1h1C28RMqy/KscNvLuPsQQOK+gtB+HPh3w54Bht/iJpN4NSZgZdQ+1&#10;GOLg8qi9mPuMelfO46OOw0rUZNnp0I0MRH3lY9R8Oftq6RJrFu2rfbtL06/ZQlxK2Wxg87RndzXU&#10;WH7SngrWNYvdOfx9JDa2bKLe4ksMLOCM5G4ds14zd+Dfg7ewLdaZpFwGaHEcl1qyt5RxwwG5cc4/&#10;z1ns9E+F9qjDy5hNkeZJPeRyKfUjOeTx+VYxqZxy/AKVHCdGfl/K6xyrbyXrMR05OasWkLGfek8j&#10;L0IPNVZPFNjCzJa2aybfvBsc1ND4mvbgYW3ZV7bY84r925T855jWk+0eX5cckiL0+UA4/wAKhng1&#10;mMiKzV5FI+9IQSKqXGpajJGssV069vlUVSbxFcw3PkpdSNIOdzN+mKLRCMuY2ho9/dR5mZo245Vu&#10;tSDw3GBma76du+azbXW9SuRuaVUUj7yg8046pdxuzPcyf73UfgKLRF7xpQaJp0TFWDSMenzlc1a0&#10;+NvMaO40UwovPmeYrZ/WsIXU0zMtxeyFf4eQp/xqG7uJZL1bGNrxUK5Z42+Q/Unn8qzlJXHG50+p&#10;W9lLbtDpd/Cs3XcyllH6j+dV7X7Wn7m7u7eRgc5VAuPwyazdP021SSQMZlVkw264cj9TinWej6VZ&#10;Lm3h+9x5zSE9fx4paMq5dv0gTdcJPI0m0fLDKQa5Px5pmq61pbJp2u3kG5cMoxu+nb+dX9Tt100u&#10;8Ops7bQVVM7c1kWuqX+oBhe6ZIvyn5t25TXJX20NqZ4nf6HrFv4jXTTPJcFpl27drErkAnI/x4r3&#10;f9pyezs/2f76zsEkkurWO3LRtbnsy92GOPXnrXjuonVn8cQxvO0Zub+NVjQFcpv/ACwB1/CvdP2n&#10;7DVJfgjqkcc935cdqvzeXHsYbgeTjdkf1rz4K0ZXOr4rHyPJrd+9tvm02WPorMoDe3+cVpaEb576&#10;O70SOaK4yB5q3DblbtjoBWbp4WURwCKRpo85fBPfqRjHTvXafDCHR/D3jy11jxFBM9rGdzL/AAE9&#10;mIx1zWdFc1RK9jSb5Y3Ow8Dfs2eIvFF7/ani/WriKOZN7QrJl8Z5Prz+Nep+G/hN8LvhtEt3pnh6&#10;1kuUTb9qvgJJGOTzg9OPTjjpXKeIf2lvDukzyaZYlljWT5WhXbnvj5iM/XrXN+Jv2l3I26Vo7Zf/&#10;AJ6XHzemc9h/nNfU0JYGgtZXZ5MlWqSasd/4u+KepaPFJ9nuWiGSdzuIsn6cflXlmtftKeMdOlk+&#10;z69Mzbv4ZBge3FcHrXxB1Pxxqv8AZdn4Q1K4u5C2zy5vMLe+AB9O/wCNdX4U/Y2+K3i6wXW/EbRa&#10;HaSLuVbtiZWXH90e3rW/1hVf4SI9kqesmZWqftV/EyYlItbdR2rF1H9pP4mXp8p/EU2PRHIr1rRv&#10;2RfgppKtH4s8YaxeyZ+9b7IVX9G/nXWxfCL9kHTY493gGBmSML5smpXLFyO5Bk25P0FZuGIZSlSP&#10;mqb40eMrr5p9Xumbrn7Q3NRL8UfF+GZNUuVzyxMx619LXXhb9ka02znwpZW8g+7uy6n8HJB/EU3V&#10;Lj9n5LHytM03w/CvTd/YNlJz68w/1FZyo1EtWUqi6HzE/wAUfGkgYzapcMp6sZDUEvxI19gFk1G5&#10;2/3fPb/Gveby1+DsDtNP4hsEbdnda6Tbx5/BVGKry6p8MLZQ7eLbie353Q+YmMdgB0FYxjU7l82m&#10;qPBz4/8AEbn5NVu1U9MXDcfrTG8beI24l1Sdj/tMa91i8WfBu2l81I5vlPDLaxE/njBqa8+LPgC2&#10;haPTNV1SPcuGVdNtXb6jjj8cijln1kLmXY8ETxPrV0/lJLJIeyqxJNdL4a8RfFnRpEvNI0nV2QHP&#10;y2sjLj8FxXpU/wAVvhFvWS7/AOEkmH8Sv9nVX49ouPwxTLr4r/A24h/deFplw3KzMct/3xtNZyox&#10;kvedy41JR2RZ8F/FbxnrQFpqnh7US4/u2T8n8q9G8Dad4w1S9nuLXwVq0sgtmFuq2cigsSAclkxg&#10;jcOCDkg8gEHyO4+KvwkW6iXT/BcG3zAWXzmA/HOSRzzk4/Kui0/9pfwZ4C1P7Dp3ga3uo7eXd9nO&#10;oXBt92OeFcK3Prke3WuGphf5TqjW7nq1v+zN+0NqkTarB4LjCSNuY3GtWUPXnG15Rj6Y4qOX9n74&#10;3Wr7LjwpbJt/u61aPt/75lNaXgH/AIKRfC64EOna58F9BTbgf6lsD/dG7ivR9E/be+G1uft/h74Q&#10;eF3ZmyTeaNb3C/lKjfzxXmVKdSL1R2RlGXU8lPwu+JsE62radGJF4O24T+YOP1rodB/Z2+L+oeXJ&#10;Bb6cqyYx9o1aJcfr/SvSLv8AbniuEY2Xw/8ABlpkY3QeDdPRv/RXWjT/ANvDxZZRKkcOktHtwm7Q&#10;7QcdMHEft161yy9t0RvGMerOT1P9iz9otIyLYeHWjk+aPy9djYnPtjr+dc/qf7Hn7Qdj+81KHSYU&#10;D7S82qKAD+Q616hH/wAFDPGsEn2iSDT5WD7o/M06NdvAHYD0HH40Sf8ABQ7ULi+g1W+8EeHLi5tm&#10;d4JG0eMsGYfMfcn1rHmxXNayNuTDbtnkSfsc/GTUp8Z01geN0F5vX68A8Ut3+w18YNOjW41PUtPt&#10;fOOYWuDIA30O3+te5WP/AAVD+INjEsNp4e0W1hX7sNnp4hC++F+X9KrX3/BTDxrdXDXl3o+mvJ03&#10;/Y4t3X1210R9p1VjCSj0PHNM/Yo+JdzMFPjjQoWbhVNwefpxV8fsPfFu/f7DpnjrR7iVRt8m38xm&#10;HPTG0/pXpNz/AMFNPHigxwWNnGvdDp8LD/0Gs2D/AIKZfEex1P8AtPS49NtZjw0i6NAu76kKCaKn&#10;tXH3CafLzannI/YY+Kl1JcRx+KtPZrKTbeKqzfum9G+Tg+xrQ07/AIJ2/Fy+kWaXxVpce5dymZZV&#10;Vl/755r0SL/gp98WIb7+1SfD7XDcib+zIlkP1OM/hVvUf+CsPx31GxXTf+Elhiiz8ywwRYx+KmuS&#10;m8dzWklY6KkcP9lnLab/AMEyvHt4C+p/G/wfpnTm8nmjUfUlAo/Pmrlx/wAEo9cRFnn/AGsPh35n&#10;92PUHkJ+mATmq99/wUO+Il6Ga8vrdi3J/wCJbbHP5Riobb/goP42tG2w6qsZzn9zp0C4/wC+U4/C&#10;tpU6178xjePYsWv/AATj0PRUZfEH7RWlrIv+rWx02WRG/Mgn8BXtfwD/AGftd/Z8sG1Sy/aeuYtJ&#10;vsJc6dqfh3NrKoI3KEn4ycgBgO/HPTxhf+CknxkAWKx8T3CYbPMoB/LFLqH/AAUR+OV/bmG58WNJ&#10;G331kjSRfx3CsMVTxVSny02jow86MZXmj61179mf4I/EKZrzxJoNqZG3MslrbT2Rj/i3YDhTxjIZ&#10;SP5V5R8S/wBjXW49Ovl+D3xn0yC62t9hgvrcxJ93AQyK27BPfP59a8eT/gof8dIoEibxpIywr/o+&#10;2FAYfTaVAx/SsPUv26Pi5fy/aLrxvfyM2dwkl3HPf5ic/SscJga9FPmk/vNMRiKdT4V+B5V8YP2G&#10;v27G1mS51Hw1DrVupcm40HVFnjUKC2du4N0B4weePauK8Pfsy/HTVZEtx8P9X8wt5f76xkUb8Zxl&#10;gADivfB+2v8AF+1ZZLHxfcRsvOWVWP4kg103h3/gox8Y7Ly4tavdP1K3j58i8tQUPtx936jB9666&#10;31yNP900/UypRw8pfvLnhPhD9kPxPqbC48VeJ7PS4ckMiAzSfTA4B+pr0TQP2Yv2evC9tG+qxatr&#10;17HJum+0XAt7Zx2BVPn/ABDivcfAPxQ/Z5/aC1Rbr4na3faBqUkMiJDbyRxwSMTlCHKE8ZxhjyB2&#10;q/rv7GniyHUbh/B3iS01Ow3RfY7g3AU3IfkBT90ngjBI/HNefHOI0ZezxScH+H3nS8tlU96g+Zfi&#10;cL4T1vQPBNo2n+C/CWh6GpXEk1jpyec+D/z0xuPXqT3rtvDvxmmMyxi/LKn3WkJkbPc5Y7f0rm/E&#10;HwN8a+EL2HSNe8NXUTTL+6WIhgwx3ZSR+GePasrXPDkFksWkpcx+dtO2K3YHy17lyD+hP0716lOv&#10;Srx/du5w1KNSnL3otHsTftIeFo1WGc/bGjOJI1aNYW5zghAAfwOah1n9qLRtU1ZNUvvCmm3ky/u4&#10;1urk7FjP8O3dtOOxIJFfLHi7XLHw3cyafY3zSv8Adabjr65yMflXlvifxjrL3DxnU59u7+GQ4NYS&#10;y/C1KnPKOptDFVoQ5U9D7g8S/tT6hpFwzeCdF8P2ar912jjDg+gGePzrifE37X/xoui4a5tJl2/O&#10;yp0/75aviu+1vVLgFbnUpmOcKPOJ/rUdpreu2syraalOuD90SHb/ADrrhQpxic8qjlufUl7+1H4+&#10;tmaZrhd38Xkthj7ZzVK6/am8b3kex9a1CMn73+lt/ia+el8QeIZpfMuJGkz1xyKu20msXs0dtBBc&#10;SvIcKsUZbJ9Krlp72Qud2se5f8NMeOxtQeKNQZf9q6JxVLUf2g/GF0N0niC4Zs9ftBrl/B37Mn7R&#10;njpXfQPhtqQjXrLeR+QGX2MhXP4ZruLH/gnT+0NdwRy6je6Ta+YAdrXpd068HaP5GjmjEn3mYcPx&#10;w8ZxuJINfvF77luDTpf2jPiLghfHGoL2wLpq9J8N/wDBLrxVfCNtd+LyxGQf6u0tjkEdeXYZrfT/&#10;AIJcaNYxNJN8WNauIYZStw66dCyRADJZm8zgAVx18bgacl7Rq500sPiZL3U7Hhz/ALRXxBiba3jL&#10;UfbZeMCPyq2n7U/xNiQRf8LF1SRMfdmuiwHtzX0BZf8ABKvwPd3TwQ+P9eZlUN5zWsex19ueP8KD&#10;/wAEtvhtpiZvPH19IuceW08cbH35U8VpHEUamxE6dSMtdDwM/tL/ABCmVUfxjebiM8Tkf1plx+0L&#10;42uiI5/G15t/um4Yj6da+gIv+Ca3wxFw0MOo65cAgbWtdRgB/wC+iv8AStC8/wCCaHwh06wkv7i3&#10;8UPIm0fZ49dt3aTPYBYuOvcisqmIwcZe9H8C6dOtL4X+J82SfHfxnHG0dv44vOeqrMeOe1Mi+OXi&#10;5Pmfxdfkt381q+htV/4J4/Di0gCW3w/8Vb8bo2bVo2BGevERH64qto//AATk0HVYmmTR77T414U6&#10;hr0UZf6DyjVxqYeSurE8tSLs7ng8Gn2q/M9sv5VMsFshx5CBf90U1niiiLB+R95fSqM2txKxUREn&#10;+GM/xV98+WOx8pa5pT6VYyLtLsuf7jYrIvfh7pTTtdwTSBiMf6xmJ/M1EniG9eYrLblNpwuVq5aP&#10;fNI0u5drcrXNOUWaxjYzLTwXqumTM/22OOHdkb5GJHtgmnjTNSMnFxFNHjkBh8tO1YC7b7JPazSb&#10;uflkb/Gs2LwtCHEsM91HuXGFlasbyWxorGnZ2cskjpqRaNAcLIsY/wAaiN7qNjqHkadB5yrkeZxk&#10;5qQWb6bIsVzqW3+6rAsfrzVvR9HlldphJLIrN9917+1IJA+k3935UUMClHGXWRs4/wAagufD2o2z&#10;BLG4O7OGCqMD8MV0NtpJRQ8rFdv941c32NvFmMAsFyrdzWvKiTlrfw20qtHeTNJJ0CsoAFW7XSrL&#10;To8GBdq/fVxWmty0sm4xsv8AtL2o1a0t7uyYXDYXadzcDHvWVSmlqVGR5H4kvdCl+JFnpNrCguGv&#10;IyG2nnkdO1dz+0lpN1P8LtauNSMp8nTyU5O0H5eTjvXGX8NrF4x0yW2jZ5FukZAF5PJrrvj1rHiX&#10;UvhLrUc1m0MH9nvu3MMnGOo47YrzpRUYs6o72Plu1mllhje2so1G3rI+S3HtUd7eeXM0v2wwzbdq&#10;yCQqMenB61k6dLexYVLs5C4b64rUtIYbw+RdDbCo/ijLYNec9JaHZH4Sro2i674j1v8AsrSrd7i5&#10;k+WGHbv/AByece+cV738I/2LvE2pwJe+P9Ya1jVgy28J3SH6sal/ZWstB0uK41IQ2wuFk2iZmO4J&#10;gfwk9evavQfif+1B4L8DWb6LZX327U2j+VYTlU/3mHT6CvfweEo+zVSq9zzsRWqc3LFHSaN8PvhP&#10;8FdJa50bRIBMFyZpACxb/ePP649AK8g+Lvx+t3uZFuPEIWPkR2lq1eM/Ev47+PPEcbXGueIrhrdp&#10;CIbeMhVHPtyR9a85N7r3iS52afa3FxI38MUbOT+Veh9ao01y00cyoTn70j0jxH8Z7q/kzDfPGufu&#10;jrXM6j8RNbuMrDfzqP8AYkK/yNJoXwD+M3iVVlsfB91HG3Ky3C+Wp/Ot+0/ZD+KUiLNqV5Z2rsCT&#10;GZizD2+UHmuaeIrS11No0aa6o4yTxNrTZlkv9wP3t3Wqs3iHVCmTeMBngLxXoWn/ALMupLaumreJ&#10;il35rJHbx2zlXUdw1Sn9nbSY4yLzxXNb7Wx++szzXLKtPm3ZtyRPNf8AhI78jJZj77jTf+EjB+/G&#10;frmvXZv2XPDj2a3UfxAUblGFMJ5roNP/AGELKXT4tXvvHOyF13f8e+Mj2q4KrVdokylCOkjwFdZt&#10;yMNlc+lK2rxdIp2z/vV9JJ+xd8Hrd41uPGd9IzfMwVV6elOuP2Nfgux3W3ivVI88D9yprX6riDP2&#10;1E+bX1q6AXF0cfxd+KdPf3UKxkurK3KtX0Tqv7C/w/uYQPDXju+WTHzfaLYEfpXJ+Iv2Pbjws4iu&#10;NblvoQu7dHb7cVz1oVqMbyRpTlTqOyPNPCk9lfz3F5qAYfZYWliCgfM4HC57Z/kCe1Zk+qLLNJcy&#10;AM0jlmPqe5r0d/B+gaRbnSbHTJI5G+WaQxtuZsMoGTxyGNUYfgVFbvC+sNc+TtJItVG488f/AF65&#10;44rnje2h0SpqO7Rw8Wpxqdw4z6HvXQ+Gfiprvht1RLh2i/2ua9R8EfAD4R60/k6nY6lCq7cy3E3l&#10;h/pxXcR/sz/sxWar9pmvNx/vahkfoK6aeEnXipJaHPLEKnKx534a+Lmi65GPtMirI2SWYdDXUW2v&#10;RSBfKu8k/d2vxiunsv2Wv2a5ZvMtrm69tuodP0rsfCvwC+BGnlVlW/mj/wCwnz/6DUVMsqLZF08b&#10;E8vgvy6kiU8/ewetH2gq2A5Zf4g3avuH4BfAb9inWNBe08S+D431DzNqfar5yT07ggfpXqyfsNfs&#10;l3Bt7nTfh9b3kErYb7M0rGJj03ESH5ffGK+RzDMaeX1OWpF/cz3cHg5YyPNBr7z8yppJjtCdcYWm&#10;3LzOGZI2Xvt9K/WLw/8AAn9lfwHYzWF98OPDnmW8LPnyYpPMH8IzKCc+uCKp+JLT9joaBb6romhe&#10;EV1DYwns5tLgfyzngDagB/Hpms8HmyxkrRpy9baG2IwX1eN3JM/KOSK8BRmSRlOPlVCabq9lfW99&#10;IggO1m3RbIz8yHkdvSv0Y8SeMPhJbWpsdJ8PeGowpzgaJAv/ALLT/hz8ffg74Rlx4h+Hug6ztjO1&#10;U022+X/Z5T3/ADr254epGnzJHkqtHmsz84ofC3iW4CvF4bvpN3O4WcmG+nFXrb4UfFG7h8208Aax&#10;IrfdZNPk/wAK/WXT/wBuX4Sazpsemat4OTSbWNQsMMexvKXHQBRwa4b4n/tI+Arto5fB3xUuNOjT&#10;JkW6jRQw/DkfjXHTeIk/eg0dEuRLRo/NtfhH8Ypp2jh+HutNIeNp09yc/lV62/Zk/aWvUU2nwX8S&#10;srcKy6bJ1/KvvmH9qX4KCwW11T4ji4ud5F3dSWwIcEH7nI6HH5e9b2q/Hn4S6VLHdaX8W9IePycW&#10;/kXStIZMZB68KOhrCtiqlGSi6b+R00cPTqRupI+A9I/Y3/a01S2+1QfCvUIY/wDp5VIzn/gRrbt/&#10;2HP2qvJWe+8IRwqy8+ZfRfL9cMcV9ha/+0TY614KOqWXxm0ex/fKrRzXpZF+Y7lO3k/LyDVOT9of&#10;9kWwtZBf/G+a9uDtM0NvbuqFsc/Mx5p08RUk/gf3EVKap7NHzPH+wF8co9L+2X/iXw/b5XPlyah8&#10;4/IVj6n+xf8AE6y+S88VaHt42lbpv8K+nbX9pf8AZa1S+bTm1HXWiacKswdcbfXtwPc9629Z8Tfs&#10;bxWX9ty/GnzY1kUxxXVvvI45XAbk/jXQpz6Rf3GPL3PlHSv2Kr2+ydW+KcMMi/fitbGaTH44FdZ4&#10;d/4J8+HNbRheeLvFFwvlja9jopK8f7zV9Aad+218D/CNv9m0K7muPMkLSNHb+Wpxx0z0x26V0nhr&#10;/goZ8NtL0FdMt7NkCzHy0MvOw84JPJ/E1wVq2ZRk+SmvvsdlOng2vekfPGl/sH/Cfw5Kqaxq3jXk&#10;43SWGzJ9uv8A9avR/Afwm8OeBFQeBfHnj6zVZRtg/tEeVJ15MboVbpnkHHXtkesH/gpP8I4is194&#10;d+0SYaNmkKOAvtkd/bpXP337eP7Nf2xrn/hTFvOysHWSe4k5P03bf0rljLFYi8a1JfmaSjRo+9Tn&#10;+hu3GmeIPHWpafrUek+IEvLGHyobuHWGh8yM8Oh2jaA2cNtwSOprfv8A9nbR4nt7gfC/S18xdt3J&#10;9slVVj99p+dufTp36V4X4l/bw8GjUH1Hwvof2Dc27y1lDKpzwFAUYrJT/gofeR3P2iCC+Z1YndJc&#10;OyufoW9K56uVYmNnhnyHRTxlGatWXN8z1vV/+CdXwU8bag815ZX+nG6Uss1jdFol/wC+lOPYE815&#10;N8aP+CWfhTRrKQeGvi3DG6xtJFDqsAXfj/aU9PepLH/go5f2ltNZGAmOTndJJuIb2znFY/jn9r24&#10;+IGnwxaner5dup8lIcAqD1zj8KrC0s2hW/fTTRFaWXyp/u1ZnhPi79gn4u6ReNY+HbCx1iN2Dfab&#10;HUI+OPu4OD+lb9n+wtL4Xhsb74k67cWjXETNNa2mnliNrY4bIU5x+tWdd+M+trfNPFq8q7owqtH0&#10;IAx/T+vU5p1j+1D8RtJh+w2XiW8eDb80MzCRSPT5s17nLOT0Z5nurQ7SH4R/Aj4d+GpdaPgKO8mY&#10;DyZNYuC5yO4VSv5c/Wm6F8WbrSlY+G9L06wG3aq6bp8Ntkem5FDZ98596ydG8SeN/wBoK/j0HS/A&#10;c2sag7AA2NswK+hO35V/Kvo7wB/wT11DUfDv27XtMn0G/jQF7O+uAyseMncvQY/GlOtGno0KK5jy&#10;6P8AaI8Z6bD5UcSzSNguXkZyOMcknitXSP2hr6RSniOGaY4+4vb8AR/OvWL7/gnd9psI5Y/ifZ2Z&#10;VCJIo7Utjnse9TaH/wAE1dGuhnUviZPMJMFmhtwMj061Mq1KSGlY5nS/2zNBsYYbLw/p0NisKbXa&#10;OFN0h/vM2Bk1n6r+1/canujHiH92SQ0cbD+Qr0u+/wCCenwQ0WCP+3fFup+Tn5l8tBu/GqzfsD/s&#10;vToPI1XV48yfMy3C5x9K54wwN7uKbNPrFZRspNHjV3+1ReadcPJpGLbdGVmZW++Mcn8cVymu/tPa&#10;nel5Y7sxyN33V9O6n+xD+x14b0T7bqNzqlww4YSX53AfQCuQj/Zh/Yu8Rlrey0rWGbnldSOVUHG4&#10;DbzWvt8PR1iiOaUtW7nzFrP7TvjiPMVp4injTj5Ypsdqwo/2lPGltI0qavdSsx/iuWP619YeIf8A&#10;gnx+y1LZ+XaeJdctZ8j7sivuB6EdKq/A79hH9mDTNWutW8Vazc+ImtZysVi0gjjAHZ9pyfwIq/rF&#10;Gcea1yOaSlZHzz4W/al+MGo3CaRoU+pTMzbVht3ZycnpgZr1LQPBv7avjy2+26f4I1lYcbla8f7P&#10;vz3G5lJr6/8AD958FPhkiaxpXhvRdFtNPt9o+w2MUUjLwMbgNzde5NcJ8Wf2iLqHULTVPh3qPn2d&#10;1CSpuAAxwcHv68VwTzGnGVlH8Ak5dWfm6HaUk7ztblt1PSOx+VzEHkT7uG5zVK70fUrry1+1KuR/&#10;C3Uf5/Gr2m2lvZR5IkVuvzLjFfpHvSPmk0iGe4jU+bLpm4/7TVQXxrdW87Rpon7tB/CwzW3PaR3C&#10;faXnYKD91V4J/Kq9p4csZZmkhtWR8ZbzIyA341jKmy1NGQfiZGZFEGntJN/DHs5rXsPEMeqhYWh8&#10;t9uTHswa1NK8IRKGnFpFuCZXnvUyzJojg39taoZm2xhVy5pxpyKjKJlx6RLqM4jvo/3e7hfWtqe4&#10;03QbJLSGHacYVWNSHU9OiUJcW0qyN91fLPzVmzLcX2pKbDRFwOGuJGIA9sNT5XsDlcSfxBPJGzR2&#10;bPnPJ4xTba/8Vypu07QI+eF3NuzXRwWVpb2cb31tDGwB2yFuCfWnaVFd2TSCTUI9rc+WseCnt/n0&#10;qlCREpIx1tddij87WYArH70cfGf8a5fxzJ4mupTa6dZ/Z4iv3pWPzV3j2J1KRjf6nJN82VHZQD04&#10;rnvGdnNaOEhuGaNj/q3BLdex7VFaMuUcJRkzzXSjHB4w0ywtYi19FLlmkcsC3PbsBXR/F3wPdar4&#10;F1C++0xvcQQNJdJIzbWXHT07VW8A6Av/AAs4XYtTNsLMWk5wxH8sV2vxsuzF8ItctRo6+cdPYeZH&#10;IP3fHXr6V5ns5Si2dUZWmj410sQXNxJPA0axbjtjZh8gq81m6qblmlmhXDMy/dx2pvwy+APxR1wf&#10;2s06R6YyBle4fbvUj+EZz+mK2NXj0jwVLHp2s263Fv5j/IZxmUjj7q89ema86VPqzvjKy0ObtPEW&#10;rWjTDT7qS2iuFwyxv80g9DitLQdNv/Ecy6ZpNtJNMflCrHkAdyT2H1qjPPaG/F/Dp0cStnELLgBT&#10;0P4V678E/Bb+H/DsviPxJfx2dnI29o0bDSJn5Qx9/TvXVhKdSvPlb0Mq1T2d2VPBv7M2h3LLqHjX&#10;F2I8GSJX2Qpz90t3I9B616joc/gvwfb+R4L0Gxtmjj2rNDbqpC+m7qa4Dx/8bNOurj7DpYUW8bkR&#10;54U89cdz3rK0vxdPeSedqRk8vr5SnBI9/SvqcPRo042seNUqVJyZ3HiHx7dxXZMd43zN/C1RWHxH&#10;WMeWkhMitnKivIPGnxDeLUJPLjThiI41PC1zd18Sdab5Futgx91e1XUxFGOiQo05M+jR8QH3rI91&#10;tZfu/MoI71MfiR4fZD/aVnazN/em2mvlXUvHWrzNk6gw91rNbW9YunUC7mkZjheSa5Z4ig94myhU&#10;7n1dd/FfwHZyfbJ7XS42X7rEBsfhVbU/j3oOoRfZ21JJF6IvRQK+btU8D/E3TNIbxDqvgzWLWzjZ&#10;Q15c6fKsa56ZYrjmsFtY1Anabhs57dqiOKp0dYxCVGVTd3Ppi5+NnhbTBvnmhb/rmcmoZf2mfDWF&#10;itoVJXncfrXzHPcyhiRI3Pq1RpcTKMg96Usxl0RSwsT6PvP2rbq1Zv7O8g/3c+tUP+GrNVMxuJ7t&#10;WbGNmwYr59kujkoOlKkr7fmNZSx0pbmkcL2Pdbn9poXUDRy6PakM+4t5Yzn1rPT4+W73ouTYLjno&#10;a8aW42DIbd2pDfMqisfrEbbIr2Ml1PYPEfxzuNdtPs1u7RLGRtVWzXMzfETXInwL9v8AgTVx1pdg&#10;ljnquKSa72/KR/wKqjiJqNgdNPc7SH4teKbdsW+psv8AwKrtp8b/ABrbnLeJJvmXDLurzg3ZDbfa&#10;mrdk8ik8VUatcFRietWH7RXjbTJVe18T3K7eceYa9O+F/wDwUf8AjL8PibXRvE9wscmPM3SHntXy&#10;z9oycUJKwGwk1hVlGtG01f5GlNypP3XY+vL79s7xR49vjqmveI5pJmGAiybQv5etDfF2/vo2nk1O&#10;Td2/ec18m2Go3Nk4eJ2yD1zXW6R8RJrW1EUzMpbGW9axVGMY+6tCnW5viPoVPi14pvF2XWtSNHjD&#10;Bm7VG/xlisDm51fLLydjc14qvjaTULbyYZ/l7qrcmgXSLtK5Yt696n4dylLmPYbn463bhntb+ct/&#10;e3HrWBffEzU9RuHivpZJN3LIZCc/X29q4IajPHJhTkjuf4TQ980EDJZws2eWkrPmjszT3uh1+pfE&#10;K/hTyl2t/tCqtv8AEHVZCsdv8rhD827tiuLklupHAigkZm+X5QST+A5p1sl7FcNbPazKyttKMjA/&#10;T2olKmC5zppPEt7IzJ9rcbm6USamsm3dIx2+/eubvP7UhdQYJAW+6dp5rrPg/wDBj4x/GzUZtK+F&#10;XgLUNamtY990LWIbYQTxuZiFX8TmspTpmlpPRkmn+I7goq+c2V4+VjU03jm7ifejs5j4UHsAP516&#10;ND/wTd/bmmPk2fwG1Fnkx8sd1bsR+AkNaFt/wSn/AG/A7O3wKvvlGWX7RFknGf73tiodSl3Bxkjy&#10;6x+Kl7I4SVujdc9BWjdfEHUIJ1zJtyoOVbO7NetfDD/gjP8At7/EvxCun3vww/4R23j+aS51i8jC&#10;jnGAIy2T7V9E6b/wQVvfBFxp8nxQ+KN5dLIM36aNp5YJzyoJz+dYVMRh4aXRpGM2fEcHxHvt6+Wd&#10;wXlmbvV+P4kBn3X07LGFwPLHU9h9OOvtX68fAv8A4JOfsX+BNGjubb4c/wDCRTM2Wn8Qs0mR6GPo&#10;Pyr3Pw5+zn+zn4UspNEn+C/h5bCS0aF7WPR4yoVhjGSOlc0sRTWpsoyS1PwGPje53teyXAwvKrjk&#10;DP8An8qiHxGuZHzFKVyR81fsH4v/AOCY3/BO51ur20+FEm83HzRx6tMPmJJIHOMe30rU8IfsDfsV&#10;aIYn0f8AZz0OZhHjy9U3TMR/ewx/Ws5Y6jHoZn423HjG5jm/esxV1yretTaR4xxcMqluuN3Sv2K+&#10;If8AwTn/AGMfiDYyFvgrp+mPGP8AmHboCCR1GDXj8X/BGz9l6C0YXd/4ktZN25pobhXUjPQAiiOM&#10;oyH7x+eek3l7rV1HYWQkmmeTbHDEpZiTjAAHX6V9ffsnf8E5rvxHar8Qf2k7i40fSflNnpMbAXVx&#10;nBDMOqLjHvX1f8BP+Cb/AOz3+z7af8Jj4G0SXUtWjZmj1TWZhJJGCDwidBjjnGa6zxNoI1rSGvU0&#10;6ae5aQiaNoWzgdCOK48RjukQlzGn8MvBnw2+Geh/YPg14W0/T7aNQjRxkK7kDqx6sfrVHxV8WPF9&#10;leNpx8PyRxMw3TMu5SM8iqeh6H420PUbTWLDTbd1iXZNDcNt3qe+Ceo+lUfFsHi6y8VNq1lqq2On&#10;qw8xbi4Xaf8AgOTxn2rloylUqe8OMZLc1NZ+Lklgy6faeGPPZoxtfy+nqD+tQ6d8SPF95qP2S28H&#10;MtvJH+7CxlazLf4t6RoczNqvim2mwnzeTa9PTmoNV/aS8MeH71bjUY7hFZiIRKu3eev4Ait2kolR&#10;TOvutJ1/W9IeGWwbbGBtEzA9a4fxP8NPiFqKrJY+HLyVVYeW1vjB/Wq+t/tdahrUS2/hDwmkzv8A&#10;daG3aUj8qydH/bC8YQ61b6DfzRRXEknl+T5JDZ9MV51TFRpMrlE8dfDn44W9jMbrQrxYWt8RzeWD&#10;huwIB/OvLf8AhBfiJoslt4ttNA1BTDMVe3WJlJboy9OVNdkn7dPi3XPEd5oUujtvhZ4Y1jyeQcZx&#10;71x/ir9tLxjpEsMMjsqvMytbTLh05/QV1YfE+292xMouJ1T6N418S+HJtRg0LVIzbQhhE0Lq4Yfw&#10;jjmuf0TwvrPg+8TxJZyyW8l9Kq3EfI8tjwQ31rn9R/bG8aWsq39pfSZZgJFWQ4UV0S/tJPq/h+OT&#10;xbotrMtxIrlpF2Nt65yO+frWj5qeiJhKPU63xl8EPEHinSTcR3XmNIuduMheO1cV4d+CPxDstLOl&#10;eJ9IuHjt5mFr5kfy7TzxivVfB3jnw14itbb+y9ZutN+bepjYOpz2wa7W4m1ycLNaeJoLoPzgkqyf&#10;WuGdOdzbmhLc/NNNPiSZYjGu5RlsAYH1qaC0t7wOITDuRsSbm5p82ktp484zr33bc81nXV7BZI1y&#10;CztuztXiv2j2ajufG8xNqei3GoWLWthO0L5y0kKjIH8qfpmiJp9uYL1mueOWuMbs/pVa21zV9QVL&#10;ewtVEmcHcwxU91Y+IGg+23Gow7Av7xkU8E9vWplFct0aR94qQ6vHp9+1qYG3KcsGzsX6Z71Y0/V9&#10;P1S6DTQDzFY7WZOnPtTBo0kkirNeeZuwV68fmKl1Cz/s2xjdJ1VwMLsjA5x64rnkbaIl16HTJYmI&#10;vA0p+4w4YH0FQaZpclpbeeb+WRm6+Z1B/Ks3wtp/iS/1CRtRa3WJH9Mtj14qzqd7dy3Vvo1jAryv&#10;IWyWK/ID/Os92U9CbUjNZR/b3G6NGxI80gRY19eR61o6dNbXiLdWlwtwjqN0kZDBvoapXcEl/aTa&#10;TqttG8Lrskhb5gw9Km0G/wBI8HaZ9lt7cRxw5CrbDy8HrgYHHFdFJdzF8rNOG1C3OwkjjnA/Sub8&#10;Y6jYWp23FyqnkqzY2g+pJIoufFGsa/8AN4bvWtpJiTIZ4Vbv3Oev0FcZ40sdUivbi/1O7WTZHjd1&#10;+Xv+NY4qUYw0NKNP3ir4V8WHwx4vk1RDHcyzBkRV5BOenFafxb8ejxT4G1LHhabzE0+RAYSAjNgM&#10;2c+gHH41yPwp0hr7xfdXFlO8+IGAW8beqNnsD7V1HxOsNR0f4XasEnjeT7HIWm2hdvynIGBXh+1l&#10;yux6EYI8F8C+MNF0LQla6vruORpBAsFu++SQdmODwAOmeBWp4u1nw/oV9IU0K3muLjb5YhwZAuP4&#10;z6mvJfCE9pcy/bpHaJf9ZuVQW69c1pS3sENxGIJ7hpW+YMz4B/AV59SreJ0xiXPEusz3CyS6pY7f&#10;O4WJYdnyjsOP1FWD4/1nXNIh0y3EscEKCO309W6t9f55rNtrE69qHmapfyb1b5T17VHquu2nhG9B&#10;sNO8yZiEMkzbgRx0HGKnDZhHDyZhWlGojqvC/gy6v3+3alLuVfvTfw5/uoD1/wB7p9ak8ReJIdGs&#10;2tdMt2VM4Zy3zMfU9/0rL074gHURPbwRtH5YDgLwAe/FV0sLPV7/AO16lc3Eq7syqrbSR6V0z4ih&#10;HRJnly0ZyuuanLdXTTGXk+jU/wAFeDPGvxL8QR+GfBOg3Oo38+dkFuuSB6knhR7kge9fZnws+EP7&#10;Htr4GX4lf8ILNeRrCGmXWGkm8lx1AVcBufYivR/AHiL4AfD3SLjX/BuiWWkLeKk909vpbKyqw+UH&#10;aue/QZAr2qfJWs5S8yvbci0R5n8B/wDgm74N8MrD4j+N+pNq1wi7jpNmxW3Q46M3VsfhXs/gf9nP&#10;9n/w74pTVfDXwjs4ZB8kU+3zNhzxgNkZ96v+FPiT4a8f2kl5oerNcRx4J3W7plT3+ZR9PXiu48JO&#10;yu2o4ULFwo29D2NevGnR9n7qOWVWpKRxP7ZXwY8TfE34KTfCv4dzWy3WoXUUszXkxVURDnghfWvj&#10;HT/+CYH7Q+q6itnZ6h4faM7vMmW/Y+WR2xsGT9PTnFfcHxE8Tavda3Fa22oSRReXhlj+WtD4cTyS&#10;6vHBDcMBHlj/ALWK55YehJLuXGvUgz8/fid/wTb/AGjfAFk2o2Gl2uuQxqzyx6XNulQKN2djYLcd&#10;Au4n06V4Df6ZfabdyWV7aTRTRMUkhljKtGwPIIPQj0r9sNR1me08PTXruTK8jCMd1A46/nXkuo+G&#10;fh9ca1s1XwLpNxdXshbMmnRsZGPckj+dTUy1PWLLjmEk7SR+UBhdTTWZhw2a/Wa/8D/B6O4+x3fw&#10;f8NSTbc5bQ4CP/Qa83+IPwE+BWvX8jT/AAb0WMbsyNZwmDHsAhA/Suapl0o9TZZjDqj84GbAIBpq&#10;dNuK+nPj9+w7YR2lx4y+Cd0zW8Kb7nR7yQK6LjOY3bAI9mIOAevAPOfBD/gn38W/ild/adfurPQd&#10;LRdxupp1mkl4zhEjLeq53FcBuM4Irk+q1ueyR2RxFGUb3PELF4s+Ww520PE7/u1Q9a+zvCn/AATV&#10;+Hmh6gZvFvjy+1KOORQYLa3EQOexY5P5V9CeAP2S/gP4Rs47zw18LdL81o9rXF9H57Bh3G/OD7gC&#10;u2lltaoveOWpjqUdj80vC3wZ+KXxBeM+DfAmqXys23zrezYxL/vP91R7kgV7L8PP+CcXxD1mFdQ+&#10;IHiqw0O38vfJGuZ5F/2Wx8oP/AiOPWvtfxf4r8K+G/8AQ4FkuZ4l2xRhDHGuK8a+IvxVv9cssTTt&#10;DDIzCOGHKqMDk8fUdea1+o0ae+py1MfU2icLpH7BXwE0q4W31j4iapqjSR/dijSAI2Tnnn8q6S1/&#10;ZV/Zn8N2DW0PguXUHkbifUL1y0f0C7eD75rAi1LUr17e5jn2rt/djccgZPf1rb0/X9TIXzZ925+P&#10;qKr2FFR0Rz/Wq0uo2H4J/s+2l2Eb4dWWFH8Ujc/+PV1V/wCFvgJqFjbx6l8HdBkgjwu2CzWNiB33&#10;J1NcyzJq8zSv8rRnjbTm1a2skOmWxaST+JmzgVKjFaWJdWpfc6R/2fv2LPHMK2FjoEnh26Eu6SSG&#10;+ZCx9MsSuOfao7f/AIJ9/B7XPEVm2h/GSbT7Fph9pSby5SI+5Vsjn68Vwvia82IjW7FGmU7varem&#10;eJ7q2tFi81s+WOVJ61nUo05RasaU8RUT3PtX4Y/8EdP2HfG9iksPj/X7qTaoaQahGokbucAHAr2b&#10;4YfsG/sVfs/+HW8On4QabrFxcMwa41+1F3M3zEBgXXCjH93HFfAfwg8c+O/DF/Hrega3JZr/ABSL&#10;M278hX1d8O/2x5NO8M2tr43u574tMSu+Mnc/Trgmvn8Vha0btHr0cbDZn0f4I+Ev7PelXFvZ6B8J&#10;/D1jNHlVaPTI08tSee3FdrP+zH4ffUJ9dh+Gug3EMhLpNJp8Tb0HTnHzce9eafCP45/Dr4kTw2Z0&#10;by5GkA+RXBXOMnpyM44r3zVPDf7Tet+Drjw18Ftc8KR2sahY21KyljlQf7ysQfyGK+YxWIrU31Z6&#10;9KVOoro5FfhP8JrrRH03xX8JdAS3hJKoulxbVOe2BnNL4e+GPwNjsrjTPCfgfR9PSeQSTf2bbrCZ&#10;HAwC2zBP410Xwo/Z9/bH1WB7H4q2vgtkXj7TpOqTnc3f5HiGPz/Ot7xD+x18YLIQ6ho/2VZJnxDs&#10;vF2seuOcYpU6lSUbs2/d3MvRfCXgD4a+A5J9ItZFaMsZHkbe+4n+Ink4zx7CprzW/DfgTwePiH44&#10;8V6dYWU00kcb3EwRVIRmwe5baCcDtj1qxqPwQ+N+lafNp3iDR7XctuzXUYvkYMnc9fT8a+Sf2uPh&#10;V4u8UeN9D8W33w7OqaDoOsWd3fJZ64qS3EIV1lhKSsqBW3Ip2gk4OOpI8nOMwrYGhz005Mq0dz6Y&#10;0P8Aa0/Z71TWdP8ACnhr4nWF5dX+EgNvHJsZiAdobaFyAQTzxnnGRWVdahrWp+N5tLsfGFreaa8L&#10;TQXkLedGGB5jJX5QR255r4A+J/x4+H3w1+Imi6RpmiHw/Z+H9YMl/axREzPYzFFUo6Fwsu3GcHB2&#10;857/AEB+yhrPh+CSwk+E+hag2g+NGu78SaxqZkuLcWzhDMQeoZjjaGyOPlxzXzuC4kxlStGNamtX&#10;YpU9Lo+utBs0SxhFpdq8u078rt3H2Haq8mheMb2WSO7kWGFskFl/hqDXL3R/D3w5h1TRvFrW+sXE&#10;7JpjXNm0izTRq0rx4wVUFEfliOnBzivkjSP2/vir41+LjeAtT8ZW6Wk6y3WnyQ6aY1McRyythSwH&#10;BUjuMEe/tY7iDD4BNNNuxlUlybn1tqsfw28NafHZeLNas0VVZ1SZlUnHLN7AZyT0HeqmoeJPht4H&#10;0AeK11XS7e1kj3x3wuI3VkP8W8EjH41+cniH9p34mfE39oSXwVO9xZx6tocttJateebFG4k3NMuS&#10;cAoB0AYgAHuK2/FUWuaxb6l8H/jLdXuoXnh+2aTSI9FmjS0ZIzkbkkAyeeQ2QR0OeK+TqccSw9Rq&#10;dNbXWupjGpGWx7/8a/8Agpr8BPhfa3Omab4yh1TVHg8yCWNgLZVzjd5vKnHcA59fSvj+0/4L2fEv&#10;xf8AEGLwf4U8BaIlus6xzXUko+YF9u/LEDHc46VV/a+/Yh+Ben/CKw1nw/4nutJ8Ta9psN3b6WyO&#10;8FxJJ8q52rtjLd/n2jHIFfn3f+Kr34MeJGttf+HekfabMmC4MTMzTsDyXw+P4Tjbx9eDXvZTm1TO&#10;KEqlOVn0XYuPxH6yXH/BRf4rw+JZPCHj260XQ5JJJI9PuoLwy293ggBlfG3GMk89RxkdMr43fto/&#10;Gz4W619s1HX9Pn8O29rFd3WpWqktcQswVxEWx8wOR0IyOK/NzT/jRrfxa8SaUtjpdwJY5okjgmug&#10;YSzEKWAJyPlC59cemBX2x4d+D3j7xJrln8Lv2mrLz9FsIYF/tTTbpCmnLKFKxmIENKpwoIUHG3g9&#10;SfHzTFZhgpRlVqPzsexTeH9krr3un/BON/al/wCCl3xzOs3EHwavPN8J3l0rWusJlZtpQZi3BiV5&#10;ySDgg+3NfRX7NXxx+CWgeH7LVfHPi65srXxRFayLK16zb7l1Ay5bJXdgjnHIrvtS/Y0+CPwb+D1r&#10;Dpl7FrF00yu1nd6PDJbXKkjJKvGpX5Mfxcdqz/GfiDwT4fuYf2WvE3wH8K6lpOobbi5dbFIEjtpC&#10;qq/yLu3xhxjaQTjrjmvPwPHmHhV9jGm5PrcjEU6jld2R6brOnaglj9q8La7NLaXE3mWpZFk2x7vv&#10;H6jt/IVqaToFprFlIuv6fHdMqgxySW6kj1OMdK8a+DU+q/BCWTwx431qO+s7e9uI7dkjZ2gtUc+V&#10;gk5LBcA9z16mtb4hftG3r6h/ZPgPdHZ3CjN6cq759jyB9a/TqOIp1sKqq6nncvNoeqWPinw54Vjm&#10;txcrEsQz5f2cR4A7/KM15x4n/aC/Z/1/Wrg3tvbzapaPiO6tYgJA3sTjn64rA8dSX/hfwBN4p1CZ&#10;WlFu7L3JO3ivhceNtY0m/k1q6hMk0kkjyKsnL7s8+mfrXDTrRrys0TUjKmfUPxG8O6Z/ba+PfhZq&#10;nm3Ekyy3FimPN9+hIOfY/wCNeQfEef8AtO+kvNV3fbJrosyjJYZ6jGO38652y8XapHNDfx3kyyJ5&#10;ch8uQ/Kv9a9T8J33hzx5eR6X4gsGjuSoVL6E8yegYf1r0sPTpxehn70tzzTwzb38peykgZtzfdHO&#10;a6SDTrm82xXRl8u1Ykx88D6V6JJ8MLjwvqYhtbONbeQZt7hpQSMe3UVl6jot9pmsLcpNt3Bt4B3b&#10;/wA62l70rFKmkdN8MfFS6dp+X8zai4UKvB9M13ujfGeWNWidiFXG0MwVvrz1HFeafDvWWtr+WzsL&#10;SN1aPLecoba2eoyP8iu01HwhruoJDd6qlrcLIm6Py22sn+zyMbfTvXLKTgEtNj//2VBLAwQUAAAA&#10;CACHTuJAmdG+abFWAACsVgAAFQAAAGRycy9tZWRpYS9pbWFnZTIuanBlZwGsVlOp/9j/4AAQSkZJ&#10;RgABAQEA3ADcAAD/2wBDAAgGBgcGBQgHBwcJCQgKDBQNDAsLDBkSEw8UHRofHh0aHBwgJC4nICIs&#10;IxwcKDcpLDAxNDQ0Hyc5PTgyPC4zNDL/2wBDAQkJCQwLDBgNDRgyIRwhMjIyMjIyMjIyMjIyMjIy&#10;MjIyMjIyMjIyMjIyMjIyMjIyMjIyMjIyMjIyMjIyMjIyMjL/wAARCAGvAg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BRThSClFMQ4UopBThQ&#10;AtLSUooGOpaSlFAhwpcUgpRQAuKKKWgApaBS0AApaKWgApaSloAWlptLQA6lFNpaAHUA0lFADs0U&#10;2loAXNLmm5opAOzRmm0tAC5ozmkooAKWkooAXNGaSigAzRRSUDFJpuaWkoAQ0A0HkUgoAdSUtJQB&#10;T1SLz9LuY/70ZH6VzPgSbNtdQHqrBv8AP5V17ruQg9xiuF8MMbLxPd2bcBiwH4HIoYHdUlBpKAOc&#10;07/kdNW/65R10Nc/ajZ44vx/ftkb9a6GgBKKWkxQAlJTqQ0ANpKdSUANpKcaSgBtFLikoAbikNON&#10;IRQAwim080hoAYaaaeRTcUAApwpAKcBTEKKWkFOFMBaUUUooGFOpBThQACnCkFKBQAtLSClpAFLR&#10;ilpgFLSUtIQUtFFAC0ZFRy7ym2MfMe/pVb7NIfvSIPq4pNgXdy/3h+dHmp3dfzql9lH8VxEPxzSi&#10;3h73K/gDSuOxb8+L++KT7TF/fFV/Jth1nJ+i04JaD/lpIfooouBL9qi9T+VH2qL3/Ko/9EHaU/lR&#10;utB/yzc/8CouFiT7XH6N+VJ9sT+61N8y1/54E/8AA6aZoB0tx+LGlcB/2xf7ho+2D+4a5y91eRrh&#10;hbhY0XjGM81VOqXZ/wCWv/joouwOs+2D+4fzo+2/7H61yP8AaV3/AM9T+QpDqF0f+WzUagdd9tP9&#10;z9aPtp/ufrXIfb7r/ns1J9tuf+ez/nRqB1/20/3B+dH21v7g/OuP+23P/PZ/zpPtlz/z2f8AOjUD&#10;sftrf3B+dJ9ub/nmPzrj/tdx/wA9n/Om/a7j/ns//fVGoHY/bj/zzH50n24/88/1rjvtdx/z2f8A&#10;Oj7Xcf8APZ/zo1A7H7ef+ef60n28/wDPP9a477Zc/wDPZ/zpfttz/wA9n/OjUDsf7RH/ADyP5006&#10;mo6xN+dUdM1GOa1CyW6PInDMScn3q21zB/z6J+ZouMU6tGOsb1zMtnIPEw1SAgRlgWU9fet57i0z&#10;zZj/AL6NIJbM/wDLqR9HNK4FoapbnqHH4VZjlSZA6HINZRezP/LBx9HqxZSwLIUi3ru/hY00wsUm&#10;jK+NEkHR7Qg/g1bdZVrIt14ivZByLdFiz7nk/wBK1qoQnegiloxQAlJS0mKAENJS0UANpMU40mKB&#10;jaSnYpKBDaSnGkoGMNIaeaaaBDDTDUhppoAUClxRTqYgApaKWmMWloFLSAMU6kpaYCilpKUUAKKW&#10;kpaAFooopAFGeaKKAFpabmjNAivcHfLsycAZOKi8oehqeNN8srf7WP0qfyxUMoo+Uv8AdP50vlr/&#10;AHT+dXfLpPLpAVNg/un86dsH939as+XS7KAK2z/Z/Wl2f7I/OrGyl20AV9n+wKjmZYo2coCFGTzV&#10;siq95HmzmHfYaYHI3SLHdzKjZXecH8ah606U5kY+5puaBBRRRQAUZopMUAFFGKPwoATNJTqSgBKS&#10;nUlACYpKWigC1p0/k3QBPytwa3m6Vy/fIrpbGQXNqj/xdG+tIaI3FCirnlD0qOZobeMyTSJGg6sx&#10;wKBor4pAWVww4I6UkOp6dcyeXDeQu/YBuatmMDtSuNprcTQLJrWC5eSTfJNO0jN9ela9UbP5Jcdm&#10;FX6tMgTFFLiimA00lOIpMUDG0UtFADaSnUmKAG0lOpDQIbSU6kIoGNNMNSEUwigQykp2KQ0AOApQ&#10;KcBSgUwEApQKcBQBQAmKXFOxS4oAbilxSgUuKAExS0uKMUAJilxS4pcUANpcUuKXFADcUYp2KSgB&#10;KKWkBoALUAqx9XNT4qC0zsP+8f51ZFQA3bRtp9LSGR7aNtPoNMQwim4p+KXFADNtR3QC2krN2U1Y&#10;AqG/H+hP74H6igDjl0q4f5jgZOaeNFuD/EPyro44sgVMsWPSlcdjmRoU56sPyp40CY9ZB+VdQsdP&#10;CU7gcuPDsp/5a/8AjtO/4RyQ/wDLX9K6fbTgtFxHL/8ACOP/AM9f0pf+Ebb/AJ6n8q6jbS7aAOW/&#10;4Rs/89W/Kl/4Rv8A6at+VdRspNtAHMf8I2P+ejUv/CNr/wA9GrptlGygDmf+EbT++350f8I5H/eb&#10;866TaKaQKLjOcPh2P+8351Pa6f8AYCQCSjdic81tEVXuR8n4ilcCtyDXmHifU5tQ1aZCx8mFiiJ2&#10;44zXpl2WWzmZDhxGxB98V42XMrFycsxyT71M9jqwlnPUaCVOQSDXovg7U5dRsZIJzukgIG49Sp6V&#10;52Vrufh/FiK7lPRmVfyH/wBeojudOJS5NTsVXa6n0NXarMPlNWevNbI8xhRRRVCENIacaSgY2kp1&#10;JigBKSnGkoAbikNOpKAG0lOpDQA00w08000AMpKeaSgRhjxDJ/z7D86cPET/APPr/wCPUDToCeh/&#10;Ol/s63x0b86LMBV8Rk/8u3/j1OHiI/8APsfzpi6bAOBu/Onf2bAe7fnRZgP/AOEiH/PsfzpR4iH/&#10;AD7N+dMOmwerfnR/ZsPq350WYEn/AAkSf8+7fnQfEsa9bdvzqM6ZD/eb86a2lwn+JqLMCZfE0JBP&#10;2d8D3pU8SwuMi3f86g/sqHGNzClTS4V43NRZgWv+Eii/54P+dL/wkMP/ADweq40yH/no1KdLj/56&#10;NRZgWf8AhIIf+eD0v/CQQ4/1Mn6VWGlp/wA9Go/sxQMeY1GoFn/hIIP+eMn6VoW1yl0jFQQVOCD2&#10;rHXS1LriRgfpVrRQB9pUEnDjr9KNQNMikp5FMIpgRrKYdPZ165/rVf7VOf8AloakmONJP1H/AKEK&#10;phq0pJNamdRsn+0zf89WoNxN/wA9W/OomKqf8TVd5iLmOMYwysT+GP8AGteVdiLstm4m/wCerfnR&#10;50v/AD1f86ryyCPaApZ26KO9RNctujUKUYyBWU+mCf6UKK7Cuy75sn/PR/8AvqgPJ/z0f/vo0x2W&#10;OLe3AHU1QkvpCh2KF56k89Rx9adl2C7NQM/99/zq05ZtIBZiTuHJ/wB6qoHFWTzpK/8AXQf+h1lW&#10;WhdN6k8afLUqp7VJGgC9KlCA1zGxEI6Xy6mCjNPC0AQCOl2VPto2e1MCDZSbTVjZRsA7UgINtGDU&#10;+z2oKe1AFfBpCKn2+1JsoAr7SaaUqxswaNtAFfZVe6T9yav7agul/cN9KAM2WPdEy+qkV4RPvgu5&#10;Ap6MQRX0AFHeuXn+H2jT3EkxNwDIxYgPwCfwpq3Ueqd0eTvcSEYGAa9A+HDs1ldoTkiQH8x/9atM&#10;/DnRv71z/wB9j/CtnRdAstCjdLRX/eHLM5yTRothucpfEzRI+U/SpE5RT7UEUkf+rWhEsfRRRVCE&#10;pKWkoGFJS0UAJSUGkzQAGkNGaTNABSUZpM0AIemazJNatEYgl+P9mr9w223kPoprnbO0W7hLscYb&#10;HSk2BeOv2Y7OfwqM+ILb+5J+VR/2TF6mk/sqHvmlcLF0Uvaoy6oMswA9SaDNGBnevHPWtBEgpwNQ&#10;+ah/iHTPWlEsecbxnGcZoAmzRUQlTP31/OpM0AOHSlFN7Ub1HUjj3oEPoxTd6juPzp4wRkGgYYpa&#10;KXFABzTlGaSlB5oAkRcOv1qDRv8AX3g/2h/WrCHLKD6ioNI4vL0ejD+tJgahpjdDUd5f2tgge6uI&#10;4VPA3nGazX8TaN0F/ESeMCi4Fq540tR6lf5iqgq5d8afD7stVa1o7GVTcqzvZSTZklTcOPv1HGYG&#10;vYVgYMqo+cHOOVqd7m0icrJPCjjqGYA00ajYL/y924/7aCtbogfLNbpcIXlw6AjGPX/9VVEbzLiP&#10;dJ5jtPkbVIAUA4qz/amnDk3tt/38FL/bGlg/8f8Abf8AfwUKSQaiahJGqxoxIPJyATj8u9QDyvsu&#10;1A7SuV6RtgDI4HHSpJNZ0lsBr+3/AO+xU1rqunXMot7a6ikkxwqnJoUkBdFWD/yCE/66D/0OoKs4&#10;zpC/9dB/6HWdbYqnuaCHgcVKCPQ/nTEHyipVWuexuKME9D+dSrt/un86YFqRRRYQ8BP7p/Oj5f7p&#10;/OiigA+X+7+tB2f3P1opKAD5R/CPzpCV/uD86XqKaBmgA+X+4PzpuR/dFPxTSKAGkj+6Kaf90U7F&#10;IaAI26dBVS8BNs/JHHarrCq12P3DUDKwHFPAzzQF4FPAqRjStMK96mYcUzFADCKZHwuPQmpcVmzP&#10;Oly6o+Fz0xTQi/RVDzbkfx/pSpPMHG8gr34p3Au0Ue9FMBKSnU00ANNNJpzUygBM0ZoNJQAE0maW&#10;mmgCG7OLSX/cNZelDFofdjWjfHFjN/uGqemLjTYz6s1TIEWCKTFPpDxSGUZoVnjMbZwfSo/sEZVg&#10;SfmGDTTd7SP3bd6l+04VTsPOK1IGfYV7MQdu38Kb/Z6mQsXPKFCBTvtoIb92+5e2OtKL5CpIVuOv&#10;FAETaREcbXZQCCAPXFSpYuu7NxIcjH0pTeqACUfB9v8APpSm/iU4YMO/SmMcLVxn9+3Oai/s4md5&#10;GlY7hjFSrfQtnaSSBnGKlhuEmyBkEetICs+ml3z5zD5dpFXbeIxQqhOcd6i+0IELc4GaBdRnHXnH&#10;agC2F96cKrLcxn16Z6U77TGGK85yB+dAFilpo+tOxQA5D86/WotK41K+HuP5mpF+8Kqaax/ti+Hv&#10;/U0mBwfxEvpJPEZg3HZDGoA9zz/WuWtZGa7hHPLqP1rd8aHPi69yM8J/6CKyrBQ2oWw8vrKv86Vh&#10;Htd8MWVuP9tf5Gq2Kt6iP9Hth/00H/oJqrntW1HYzqbnmniJd/iC7Jz94fyFZvlCtTXeddvP9/8A&#10;oKz65Zt8zGthnlijylp9LUXYxnlrW74QQDxBGR/cb+VY1bnhEf8AE/j/ANxv5VdN+8hPY9DxVpR/&#10;xKh/10/9nqtVpP8AkFf8D/8AZq662xNPcv4ZoWCNsYrhWxnB9a5o3urRQ6rK1+G+xHaB5QG7I610&#10;0fQVmtp1q8Wpxl5R9qceYOMgngY9q5ZJvY76FSEL8y7fmJH4mt1i2yxSrOCi7GAG4sMg5zjHFSJ4&#10;os34ihnkxCZm2rkKoznP5VFPolm1wZC8olMkaKcAgFV44PUYNPi0y0jF3h53cwfZpM4yQSeR+tK0&#10;zVvC72YHxVbqjObS5AVFlPyj7jfxdasR+IbaS7WJYpPKabyFm42l8dPWoZdFtGVoS0x8yJLQ4xwF&#10;+bNEOjWiXsTrJNsEzTLExG0OOM+v4UWmJvC26m7RRiitDiEopaQ0AYl5Z3730ksLMIywZRu7gHH4&#10;U54tTbaUkZSM7txGCe2Paq7PdyIqscJIJXQqxz8zYGf++qk0sTPeRtKXAjgKAE9cNjP6GrcdCObU&#10;kig1D7VGWkYQhuVZgTjPGfz/AErUNYMpikmujFMqRMgDSckZLc7vQ1G2GgtjiHK52Q7DiXLYyvPH&#10;Az360cgcx0FVroZiIqlp23+0p9u2TdubzACGXLfdYfy+laFyP3R+oqJKxcXchApwFKBSgc1BQ05p&#10;uKlxTSKAIsVVaPdcNV3FRBczt9BTQiAxe1MMVXSlMKc0xEKfcA9OKdSY2sRRTGBpppTTaAGk02nG&#10;m0AJSUppKYBSUtNNICrqXGnzf7tV9O/5BkP4/wA6m1U406b6VBp5/wCJdD9D/OpYImkkWJdzsAPU&#10;1F9ohz/rB+dPmhSZNjjI61WNrbqxzwT70AQ/aVC7ypwRS/alDAFTz7UoliI/DPSlaaJWwwwfpWhI&#10;03iAZII6dqkjnSRGYDAXrxSLPAVJOMfSpfMhHA7+1AyNbiM8Aenb1p7Sxr94cc9vSm+bbnoR0z07&#10;U9DFIcDB79KAI/tMIbB44zyKetzD/CwJPpS5hZTkAgZ7elIj2w5G3OM9KAHRzRO21cc89KfvjGQQ&#10;ODjpUavAMEBRinCSBsnI680AOE0JXPHTPTtTllgLY4yD6U5EjYAhRjtTvJTJOwZNACG6hU4LgGpg&#10;c81B5ETNkxjPTmpwMDAoAcOtU7HjXb0f561cqpa5HiG7Hsf50mB5z4zk8jxjduVByqcH/dFUtKvv&#10;M1W0j8tRumUdPer/AMRIzH4mL9nhU/zFYfh/5vEFgP8Apun86BHuOo/6u2H+3/7KaqkcVc1L/l2H&#10;+0f5VUxW1L4TKe55nrfOt3n/AF0NUa1NWs7p9Yu2W3lIMpwQh5qoNOvT0tZv++DXJKLuykytS1aG&#10;l356Wc3/AHwaeNI1E9LKf/vg1PJLsFylW94QH/E+T/rm38qoDRNTPSym/wC+a3PC+lX1rrCzT20k&#10;cYRhuYVpThLmWgm1Y7erMY/4lP8AwM/+hVXq1EP+JS3+8f8A0KumtsKnuXUzip0RcYIHPXjrUcQq&#10;da50bDtoPYU7ikpaYBRRR0oAOlZl34j0axkMdzqVtG46qXBI/CvPvGvjae5uZdN0yYx26ErJKhwZ&#10;D3APp/OuBNFgPoay1bT9SGbK8gnx1COCR+FXK+cIZ5baZZoJHjkU5V0OCPxr1zwP4vbW4jY3xH26&#10;Jchunmr6/Wi1gOxNJTjTaAEwKSlpKAEqG4/1f4ipqim5T8RSGRgUoFOA4pQKkY3FNIqTFNxQAzFM&#10;Uf6Qf90VLimKMXA/3aaEOK5pCtS4pMVQilMMS/UVHU10MMh9jUFAwNNNKaQ0ANNNNONNoAQ0lLRQ&#10;AhpDSnpSGgDP1g402X8KisflsIP93+tP1s40x/qP50yz/wCPGD/cFSwRLIu/HJGDmqs1mks3mFjn&#10;GKnlVmK7Wxg5qvLbO85kEpAIxigCRVjxyBimytGuPlDZpBHGY9ue2KgnhjXyxk+nWtBEnnRYx5Y+&#10;lOFwp52CoxBH6frSiCIcBarkZHOhwljB4iX0p6yopyqAGmCGPJ+Wl8tAQAvSjkYc6JA6YxsXmkLR&#10;DLFFHHJpBGnXb3zTvLRlwQDRyMOdBE8MkYYKpVuQasLDCVOFHJNQiGNIsIoUAcY7UsMLFc+YetJp&#10;opST2LSBFAC9B2qQGqaW7qwPmnvxU3kuWJ8w9QaQycYpQKreRJjHmmrCAhQCeQKAHcelUoD/AMVH&#10;cD1T/CrpqhEf+Kll94/6CkwOT+I2nSXFxbzxLudV2kDuK5jw1p9yviOwZ4XVRMpJIr0Lxe0UYgZ5&#10;FUnsTWHolxDJrVoiyoSZBgA0mwPQ9S5kt/8AgX8qq4q3qQ/f249m/pVbFb0vhMam4mKNo9KFZWLB&#10;WBKnBAPQ07FaEABTgKaWVeGYD6mlEseM71/OmA4CnYpiyxk4Eik/WnqQy7lIIPQimIUVahH/ABKW&#10;+rfzqtVuAH+ymBOeW/mawrbGlPcvx9BUtMjHAp9YGw8UtIKWmAVheMNSbSvDN3PGdsrDy0PoW4z/&#10;ADrerificT/wjcIHQ3C5/I0AeRn1pVXcwHNJVzYQIY0yrE9v4jVCJZ7qOaxRPs8SnLDcqYPHSodI&#10;v5NK1a1vY2IaKQE47juPyqaTTL6BIopYXhdtxBbjOT2qC8tzboiyjEw4Y9M1K8wPoRGEkaupyrAE&#10;UuKpaNIZdEsXP8Vuh/8AHRV2gYlIRQ8iRrudlRfVjgUvUZHSkAwmo5fu/iKlxUcg6fUUDFC8UpFP&#10;20hHNIZGRSYqTFJjmgRHio8f6Qv+6asYqFhi4T6GgCXFJingcUhFUIpXo4Q+9VKvXw/dr/vVQoGK&#10;aQ0UhoAQ0lLSUAJSUtJQAhpDS0hoAydfONNPuwp9txZwf7gqLxEf+JcPdxUsXy28Q/2F/lSe4wkD&#10;kqVI4PNVninNwzebiPHCj1qdzIHXaAV/iqA/afNfps/hoENFonB3t0x1pLlMJF8x+VhS/ZGySszK&#10;D2pt3CeHDkDcCRVkkjqzAbGwc1CtvNjmc9MZx71YDIRTsKVI55FaXMrFbyHkBK3BxyOKDBJI2VuD&#10;34FTW0K28fl7icnrimW1tHbSyHzCxY9x0ouFhi28nmZ+0HOc4/Cn/ZpcqRO3GM++KkFui3Zm3t6b&#10;e1T5QHoaLhYbGjJBtZtzAHmkRJiu5JQAT0IqQsMEAHoahiinaIbZcVMi4Eohud2fPH5VMY5iT+8w&#10;OKjEUwcHeDg9PapJEmZiUcAVJY8pJ/C/rUqAhRnk1W8ufH+sHX9KsrkKM9aYDjWevHidsd4v6CtC&#10;s3p4nHvEP5CkwPOfGdzLc+KLtWYlYiEUegAFM8HoT4qsP+un9DTPFTGHxVqIIzmQH9BVjwXJ5niy&#10;xXA+8f5GpEev6kP9Jt/91/8A2Wq2Ktah/wAfcH+4/wDNagI5rel8JlP4iJYo4y5RQpc5YjufWiCI&#10;wwKjSNIR/E3U0kFxFcRCSJ9yknBx6HFOWZWnaIZyqhifrn/CrTTJsxJLaKV1d1yy9DQtnbq24R4P&#10;rmlW4iMkqbiDEQGJGBz7055QksceCS+ce2BVJiGi0gDZ8sZqWGKOGNY41CoowAO1Ox05pk0ohi34&#10;z8yr+ZA/rRcCSr1uP+JW3/Av5mqVXrcf8Sxv+BfzNZVti6e5fToKdimp0H0p9YGwtKKbSigBwriv&#10;icP+KZiP/Twv8jXag1xfxO/5FiP/AK+F/kaEB5Bmr9wcSQ46giqHerTTJO8TI2Rn8qoRvzXU11eW&#10;wmleTZGFXcc4GaxNVbdey8/8tDWiH/0yPB6KKxr6QPduAcncTQwPefD3/Iu6b/17R/8AoIrP8b6l&#10;eaT4alu7KTy5VdQXwDgE4NaHh7/kXdO/69o//QRVfxfafbfCWpw4yfIZh9Rz/SpGeIX2t3V65a81&#10;Gac+gYkV7p4cuvtnhvTp853W6Z+oGDXzeK91+Gt19p8G26ZyYXaM/nn+tIDrqjccr/vCpKaR8y/7&#10;woGTFOKaVqwV+WmlaAINlG2pttIRQBAVqBx/pEf0NXCKqy/8fMX40gJAKCKcKQ1QilfcQD/eqhmt&#10;C/8A+Pcf7wrOoGFIaWkJoASkozSZoAKQ0UUAFJS03NAGL4kP+hRj1kFWwMIg9FH8qo+JT/o8A9ZK&#10;vtzj6D+VJ7jGGqbyXIkYBBtzxVlnIlC7eCOTVOS5nDMEhJwePpQIn8piwIkIGMfjUF1C/lk+Yccc&#10;U429xn5Z8Uk8c/2YgyAtnOcVYhUHyj6VEifu2X7Tklt2c9B6UI0giC8ZAqvHHbSEIrKu7K/407mZ&#10;oJGEuGYy/exhc9KVUEYID7sMSWPaoCbNJQzyfOo8vOKczWcRbLn5zz70XQ+W4QxKk29Zy6hTwTnj&#10;1oRQJi3n55+7n1psJsIyNjY+XbyO1ReXBvbZtYjBJPt0ouI0+1MtkuDHneMbv0qutw5TGBzzViD7&#10;UIl2bCO+aGOJZiWYH94QRRi4ycEYzx9KC06heFLEc/WpITKcmRQPTBpFkai4wMkZx+tWlNQSGfd8&#10;gXGO9TrnAz1xQAtZr8eJ4veIfyrSrNnOPE1t7w/40MDh/G+kTSeIHuIAGEqgsM4wQMVH4I025h8W&#10;WcsqAKpbPP8Asmug8USRrqAy65xyM1H4Vljk8RW6q6k8nAPtUtgd7qH/AB+w/wDXNv5ioB98VYv/&#10;APj9j9oz/MVAykqcEgnjIrop/AYz+IpSxSmVChHljqo4OfXNLbg/bZtx+by4wf8Ax6nfYj3uJz/w&#10;OpILZIHcqzszYyWbJ46VSVhNjb+Msn+rMq90Bxnkc/hTWRlurVWOSN5/SpDZK7FjJPyc8SMP605L&#10;SGKVXy5fBC73J+vWqRIs8TyKoSUx464HWqtxDJHBl5mcGROCP9sValtI5m3tvzjs5H8jUZsbdMMw&#10;bAII3OSM547+tCAtir1uP+JY30b+ZqiKv2//ACCz9G/maxrbF09y8n3R9KdmmKflH0pc1ibDs0Zr&#10;ifEnjmTRtWewt7WOUxqC7OT1Izxiui0TWrbXNOW7tmz0Dr/cbGSP1oAm1HV4NNVfMBeRvuovU1xX&#10;i3VRr+lCySAwkSB9xcHpnt+Namo2X9p+Ip1lkZYYlUHHJ5GcVN/wjmksvzeef+BAf0pWYaHljaJI&#10;D/rVP5f41TfSjYt5vmBgxxivQ9VtdFtlaO0jlln6ZL/Kv6c1yWoQzzIirAeGySAaLu4FOWHCR7Mh&#10;mwM5rLWxntMtKpyT97rW/cW8yiEiNiQQelXYoTIhDrx6EU27MEj1Xw9/yL2nf9e0f/oIq/PEJ7eS&#10;JuQ6lT+Irm/CmtRz20enyAJLEgWPHRlA/nXT0kwPm690K8srh1mjCKHKgk+lex/D3RptH0FllbcJ&#10;5PNQ+xAqt8SbRW0aG4VQCkuCQPUf/Wrb8H3P2rwrYOTkrH5Z/wCAnH9KBm3Tf4l/3hTqafvL9RQB&#10;cLcUwtUbPzTS1AEu6ml6jLU3dQBIWqrMf9Ji/GpC1V5W/fx/jQBazTSaZuppamIg1Bv3A/3hWdmr&#10;t+37gf7wqhmgY7NNzRmkoAWkNGaaaAFzSZpDSZoAdmkzRSGmBheJD8lsPWStJ+DWX4i5lsx/00rT&#10;c7mNS9wK7SfvtmD0zmqUuoPGzAQMcHHHetA+tUTqEeCdjcHHSgC6KbKCYyKvCzX/AJ6Ckks1EZIk&#10;HFWIxTLGF+bOR2ptokc92qYwDnoKjkiYSuNpPJq1psL/AG2L5D+VZpamyhFK6RdbS4TyWaqixaY8&#10;/ki6RpOm3cM1R8dapPptjHawlkmnySw7KK8yV5Y5BKjsrg5DA85q9DLnktj2caZEAPmNVZo4YJ2j&#10;J59cVneCdfl1ZHs7tt08S7lf+8PetLVUAvm47CplFWKiuZ2ZEoVvudvetG1OIsVj+WSMitm0H7gU&#10;QVhSpqOqJ80uaTBpcGrJAGlzSbTTtvFACZNYOv3Rsb1LpfvJakj6/Nit2uV8cHbbAj/n2x/48aTA&#10;86mupJ5WklYs7HJJNdL8PTu8XW/H8D/yrmVRCASTmus+HiL/AMJbDt7ROf5UgPVL3/j+X/rn/U1F&#10;jJwDipr0f6YD/sD+ZqBnKAkKWIHAHeuin8BjL4ijHcfZo1hPmyFcjc5yTz3qS2bfdzsR1VOPwNQO&#10;jSOzG0m5OT86/wCNWbRJBLLI8ZjDbQqkg9B7U1uU0kiSe4EUpXy5GPXKjioPN828t22svyvww57V&#10;M1xcbjttMjPBMgqJRPLeRySQrGiKw+/kknH+FWjIi1OEmSF0aRJSpG5DzgHOMdP/AK2aLqdnhVTE&#10;6/vE5P8Avipb6KS6UReSrRgghvMKnI+gpsq3c6qjRRKu9WJEhPQg+ntTSAvCtC3H/ErP0b+ZqgK0&#10;YP8AkGH6N/M1hW2Lp7lhD8o+lLSJ90fSnY4rE2PKPEY0VvF2pf2vc3ER+TYIolbI2+pIrB07V/sV&#10;tcwaffXsdqzgnaAp+uAfTHetf4g6VcN4nknjjJSWNSDx1H1Fb/g7wXbR6KX1GDfJMQ6neQQMUAHh&#10;G6Nzp00pmllJmPzy/ePArZjmkMN6HfdtdwnGMDHSmJY2+l3Nxb2yFYwykAnPJUVHKBDDcFSx8zc5&#10;Gc847flVLYRhR27feK/Tin+UfSr41eBV5iuvxgf/AAqKbxBYwozztJEq9S8TAfyqbDuU2iNMaLcC&#10;pqyniTSZmKrcAnG7Gw9PypTrVg3SVR9UP+FKwFTTbO4NzK0DETQASJj+LBr0bTL1b+wiuBwWGGHo&#10;e9cnod7Bc37CGRGYIScDHcVan1C60S5eGysTci5O9FDYCHvRaw7lzxtB9o8JXoAyY1Eg/A1lfDe8&#10;R9AkgZwGjmOAT6gH/GnXdn4q1e1kS+kg06zkUq4bCZB92/pWLHZeGvD67n1o3F0uCq24LDcOnPA/&#10;nSYHpuaY3VfqKbG4kjVx0YAilPVfrQA9jzTCac1MNMBM0hNFNNIAJqvIf38f41OaqzHE6fjTAnDU&#10;FqhL0m+mIoa9eiysUlb7vmqD+JqNXDKCOhrK8eyhPD3LhcyryaxtO8ZabDYRR3Mzeaq4OFJoGdhm&#10;kzXMnxxo3/PWT/vikPjnRv8AnpL/AN8UAdNmkzXMHx1o/wDel/74pD470j1l/wC+KAOnJoBrD0zx&#10;Tp2rXf2a3ZxIQSAwxmtsUAOFITQKaxpgYOvnN7Yr6v8A1FarfeP1rI1o7tVsF/2x/OtZ/vH61L3A&#10;iLDeV7iqpuIP7uefSrLYHzH86qfaLYcjGD7UAafmGkeYhDj0qIGmyH5G+lWIzpL50dhtyAasWF6T&#10;fQkg/exVVh87cDBNTWh23EX+8Ki+plzyTsZPxIiM0lhcLnvGfSuaPh6RFAkdRI2NozXc67qejywv&#10;ZXc6EkdF5Kn/ABrmrmZJGyTICp+XI6iqehtDV6j/AAJDJZ+IrguvyxRlG+pIxXX6vcL9uOU/gBrC&#10;0S6sojxIizOdzBjgk1tahKGnVuDuQU5KyM5TtsZ8szL8y8CtzTXDWwrIXDc7ePetTT+IqlMIzcnq&#10;aFFNBzThVFhimucDFPJFRk5NADa5fxyP9AX/AK4f+zGuormPGnz2qL/0xb+ZpMDgIJbZYlEiEtjm&#10;uv8Ah+8EvihPKTaVhbP6V5+WrufhaN/ip/8Arg38xQ2I9TvVb7QGCkjb1x7mqxikbkRufwroREMU&#10;eXxTjUaViXC7uc+sEo/5Zv8A980phnwcRNn6V0Hl0nlgU/bMXs0YEcNx5a74m3Y547077PN/zyat&#10;zy6XyxR7Zj9mjCFtP/zzal+yXGf9WfzFbhjFGwUe2kHs0Yy2k/8AzzP5ir6RmKy8twc9DtGTyfTv&#10;1q4EFR3O5IQYs7y6AY92AqZTctGNRS2Gqp4AhuyP+vf/AOvUiwtjmC7/AO/A/wDiq6cWUkAMsjkI&#10;oyScgYq7BEZI1dHLoRkMuSDRZFHGNY+aPmtLp8dMwKf/AGanLaP3tb0D2jX/ABruSvlxlnZ1VRks&#10;eAKbBJFdJ5sDtKmcZU5waVx2PN9SsNNs4pr7UHu7VWwN8uwLnHArh28Q6Uw2m9jx34PTvXcfHNHH&#10;gy1IDhftq5z/ALrV8/wGNQS7DJ96LiPU/wDhIvDZzi/OB6//AKqy9Wu/CWqxJHcahIyqcgLkfyFe&#10;byYDkKcimZ4ouwO2tx4TFytz9qmhlhwEGSQwHTpmtRtd8Pdr9/8Av0a80zRmndgeo2XivQbORmFy&#10;7FhjPlYxU03jzT0mDWlzIr7SNyAg4PXt9K8pqaAxg5dsfSk2B29xrujancqJ2lmdyBmWV8ZPuTXT&#10;xfD9Rtb+y4w3XlmbH45xXj7lRLlDkZzX0jZ6zFNFBGC+4xg9vT/6xoQGWNP1uNQo4UDAHNA0/W5D&#10;98A+7Y/rW096hOcSEfUCq631tLdLbqJFd+FJkGM/ln/9dOwzKkbUNNM32llZhC7qN2QSBnsa84Hx&#10;M16UApBZKD/sn/GvTfEMEsUDMRhlgmG4Nnqvpj2rwSNCtnE4/iB/maVkI9j8Fa9ea/plzPfCISxT&#10;mMeWMDGAf610hrg/hc//ABK9QUnpcA/+Oiu8NSMaap3JxNH9DVs1nXz7Zo/oaAJN3FNL1B5mRTDJ&#10;zVAcp8SpT/YEKD+KcfyNeU4b3r0j4kXWyzsowRlnY/kP/r15ybhvamITDe9G1vel+0N7UfaG9aQC&#10;bW9DRtal89vWjz2PegDW8LO0PiWxbnBk2n8RivYs4rxrw7IW8QWIJGPNBr2LcCPagEShgRUbNzUR&#10;yD1yPSmmQBuTTGY+qHdrtgP9ofzrXbqaxb9t/iKyUeua2ietS9xkbDIwe9VWs4m/h4HvVs000CMT&#10;/hILT++//fNB8QWhUjzG/wC+a5wCT0FO2ynnyxTuI6GK6jmTzFbIJ4qK8ujHZzsj4cISv1xWZDDK&#10;69MfQ0y4gk2t7A1FtTNx1OXhV5ruMNnLOASfrXot1p0bfIygnsVNcfZJJNeRR7AMsBmux/s5xjLN&#10;+dWzWLscx4o0z7AtpKp5cMDjtitDwzdSS6cyyysxR8Lu5wOKdr1nKlvEy5fnvVXTIJvJbMZXntQ9&#10;iJq50ok5+nvU9rqlrFuSSZVYHpWCYpAcfMKrSb1k+6alaEwVmdkus2X/AD8pUg1my2kfaEz65riQ&#10;7f3T+VPG7Gdv6VVzU7T+17Jl/wCPhPzpv9p2n/Pylcd8/wDdJpQXP8FF2I7AapZ5P+lR/nXN+Kr2&#10;G4EAgmWQhGU47VnM0u44jqnM0zHPlcetK7A5NwUkZT1BxXefCf8A5GiXjpbn+YrmZol8wlkGT6iu&#10;z+GYQeI5AqgfuD0+oouB69uozUgiJxSiE0WAi3Gkyan8g0v2c5osBXyaXOKsraknpTjamiwFTk0c&#10;1dFmSM9qd9hOB70WAojNV9QmjtbJribd5UTI77Rk4DAnFbYsPlyfzqprOlLPo1xE5IWTahI68kUW&#10;A6i5QahpItwJF3IAGBwenXPY1NpcD2FmkJDORySTUsFlcRQon2xsKoGdi1L9mm73kv8A3yv+FMYl&#10;0hurWSEqV3DrVLRdMGjWrQKzSZbdljWh9mkx/wAfc35L/hR9mf8A5+pv/Hf8KAPNPjpIW8DQApj/&#10;AExOc/7LV83mvpD44W5XwJG5nlfbdpw2MdG9BXzeaBDSKSlpKACkpaKAEopaKAAda+idJ0xJLCxu&#10;vOyTbof9X6r6/ifzr52719HeHbazuPDemvlWY2kRYBzwdg96EBaaxAH+s/T/AOvVdbCOKZbgy/6s&#10;5xgc8/n2H5Vck0+07xg/Un/GoTptp/zyT9aqwXMTXrxrjUYYQylXtpyRjnIAx/M14lEWa1SERSs8&#10;aszAITgZPP0r3q+063hlieGBFlYOu5RyRtPFcHY2csGvzxzxNGz2MowwxkVLdmG5L8MEkSz1EtG6&#10;K0iFSykZ4Nd8KwfClrNBph82MpvIZc9xit4jFTuMQ1jas+2WL8a2DXP+IJNksP0NAyNZvekaas1b&#10;njrTWuR61Qjl/HkU99c2iQjIRWJ59T/9auQGjXpH3F/76rtdVmE18T/dAFVB9Khydx2OX/sS9/ur&#10;/wB9Uv8AYd7/AHU/76rqRk9AaUBgfun8qXMw5Ucv/YN5/wBM/wDvqj+wLz1j/Oupbn+Eim5IOdrH&#10;8KOZhZGVomjTW2pJPMy4QEgA96721vm2BH6jvWZpISWVi8eFA6mtpRAQdiqcdcGmr7gBus8imGYk&#10;g5qoJEkTcCF9s1lz3u93VZMbDjiqAts5k8UWvsP6Gui49RXASXDi4EpZiwHXNON7KR95/wDvqkB3&#10;bbR3H51GWT+8PzrgjPO38bf99GmF5T/Gf++qAKJdqUu1S+UfQ0vkt6Gs/aM7/qke4+2vFiTa6Mee&#10;1SvfROCDG3I9Kg8k/wB0/lQIW/umj2jF9Sh3EtzbwXEcw83KNuwR1raHiFOPkb/vmsfyW9DR5Lf3&#10;TR7Vj+pw7l7UdRh1GJI2Z0CnPC1BazW9tGVWSQ5OeVqHyW/uml8lv7po9ow+pw7l4X8WT85OfVap&#10;yzlpCQcjPFN8lv7po8lv7po9oxLBwXUUTkdT+tWFuAFwWH51UkjKRsxGMDqagEx/56LWkHc5a9NQ&#10;dkan2j0YfnThOMffFZXmt/z0WlErY/1i1RiTzXRWRsHINVvPYHhiaa7hmyzLTDtHRx+dAEczNjd7&#10;11fwwkb/AISlwTx5DfzFcrK6iE/MCc8Yrpvhu4HikD1hb+YpAe4iYYFOM/vVINxRu560XA0Bc4A6&#10;UpuRnOKz80oai4Gkt0AKT7Vms/dRuouBpi8wBUn27NZO6l3GncDWGoY71S1rVGj0W6lUAtGm8A+o&#10;INVtxqrqSibTbiJyQroQSPSi4FdPitrDIP8AQLQcf7X+NOPxS1vtZWn5N/jW2NB8Koi8S9B3FOGj&#10;+Fx0SQ/8CX/GjQDnz8UNe/59bP8A75b/ABpj/FHxBji2sh/wBv8AGul/snwwP+WDn6uv+NNex8LR&#10;IWa2IAHJLrRoB5H8QPE+ra7pUT3sxVXmGYYyRHwDg4zXm2a9S+IL6ZNptzJZW7xxh0EILdD3J+te&#10;WGopu6uOQUlGaKsQUUUUAJS0lFABnmu+0S81G20q2/s+aSLemH2d8dK4CvYPhpqcdhp4L28M2+PA&#10;EiBsYbtUS3Q1symdS8Qkc3dz/n8KYb3xAel1d/nXp3/CTxL/AMw+1/78ij/hL4weNPt/+/QrTQRw&#10;Hh651WTX4476Wd4/LcgSEkZ4q5qw/wCKytv9qxmH6V01/r8V/PbB7eKAIx+ZQB1GK5rWSF8Xacc/&#10;etZx/wCOmpYzd0w50mzPrAn/AKCKsGqmjHOiWR/6YJ/KrhFIZG1cj4vnEMltz13f0rrjXmnxQu5L&#10;ZrDy+rb/AOlCAq/bwB1qNtRH96uIa+nbrOR9KhkuZGGBM5Puaok9PsrfTzai4upUDNz8zAUsmpeH&#10;7XrNCSPTmvL43Jb53OMH72TSbhipsO56NL4v0WHiKNn/AN1MVQn8cwf8sbDPuxFcTknpmpI4LiTi&#10;OF2yMcLmnYVzopvGd65IitoU/wCA5rPm8S6nNnM+3/dUCo4dE1ac5Szl57kYq7D4N1aTlkjjH+01&#10;A7mRJqV3JnfcyH/gVdj4HdpbO6BYsQ46n2qjH4GkHM95Eg74FbWk22n+H4pV+3oxfBOSKGCOV1F5&#10;Y9RuEDsAJDxn3qO2uWjk5JIbrT9RmSfUJ5o+UZyRUCruYbRxjNDAsS3LFuCMCmrcMWALVXZjmmqx&#10;MoHFFhGkJOBTTKPWkyoAyOfrQiLIxwP1oGdV9gX0o+wrV8qSjDOCelQrBIHDeaSPSiyHzMq/Y1FH&#10;2Nanlt3di3msM9hSSW7uRiUjHpRYXMyubTHY08WqelWRA3lKN7cVEsLEN87c0WQ+ZkZtkxwKctmp&#10;/hNOitTFKH8xz7E1f24WiyDmZQ+xJ/dpwsUParnHpSk4UmlYXMzj/EciwlLZOp5NYQPvVvVJzd6p&#10;PLnKg7V/Cqu2mhN3EzRmnbaNtMCJic9aQ1IVppWgCOum8BTGDxTC+xiNjA7RnHFc5trvvhzpis8t&#10;82Q5PloQe3U/59qAPSEvQR9yT/vg0/7UD/yzk/74NXI7dfLB+b8zTjAvHJ/M0rAUhcntFIf+A0vn&#10;v/zwk/KrhiAHBP509Yhgck/jTsFyj9ok/wCeEn5Ck+0S5/495P0rQMS0nlr0xRYLlD7RN/z7Sfp/&#10;jSi4mJ/49n/Mf41f8pePlp6xDHaiwXM/zpyP9QR/wIVXvmm+wy/u8DAydw9a2xGBmsLXEzbkg42s&#10;CT7ZFFgOjVFdFG3t2qN4T2FEc8AUZmVv+BCpPOiOTvX86AMXX7LUbjSZU06bZcHGDnBxnkA9uK5d&#10;9N1exj33upXE0bDb5bsSM/n7V37NGTgMD+NVbuztr23eGYZVu69VPYipnHmi0NOzPJPF6u+jbwxC&#10;rINwHevPyK9413w39r8Kw6cAGm+0FmljjyxUcjNcf/wruXPW5P0txWNKXJHlZUld3PN6SvSf+FdT&#10;44F2f+2S/wCFL/wru47pe/8Aftf8K09quxPKzzWk5r0wfDqfH+qvf++UH/stP/4V1OP+Xe9P/fH/&#10;AMTR7Rdh8p5hzQc+leoj4dz5/wCPS8P1Zf8A4mnf8K8n/wCfO6/77X/Cj2nkw5TyvBNd34a0uXUN&#10;ItVV2jCSFt4B457e9bQ+HVwePsdz+MgrrdF0G803w8bA20gxNvQZzxjnn61LlzNaDtYhOByTVdmy&#10;2BWp/ZN5jm3YfXFRNo17uz5B/OtiDD1m3Nxo1zGOCy8Vxywa9qIiKzSS/ZN0UbBckDuCa9IvdGvW&#10;0+cLEQxQ4Oehrym2vPEEAcWr3EaFy3yPgE9zUsZ6L4S/tlLJ7a8j3LCFEW8bSBj6c10JF3/zyT/v&#10;qua+H02qzxX0mpvK/KiPzGz65/pXZMaaQGc32sA/uk/76rzT4iWd9qlzZpDbOxQNkKPXFerSN8pr&#10;kPEhnSGWW2OJ0QleM0bBueZW/gvVpQCbYIP9twK0YvAM4w01zBH+ZrDuPFWtTEhrx1HooArOm1C+&#10;nP726mf6uaYjtW8KaNAB9s1VeOcAhaYYfBdl96XziPcmuEJZupJ+ppMUAdyfEnhq1/49tN346HYP&#10;61FJ4+VBi102NB2ya4vFJigDp5vHWqycR+VEPZc1nzeJNWn+/eyAHspxWTiigDRS7mmP72aRz/tM&#10;TUoAPNZ0bEGr8T5FAD+1EUoic7gSCMDFLUL0hj2mjB4DUzzUJ6GojSYoESl1J6N+daVkgWDdg5bm&#10;spELyKo6k1tqAqhR0AxSY0dwKKARS5AFUIY2KaMU5zSA4oAeuNnSoBmrI/1f4VXUYBz1BoAXvVrb&#10;mPNVQNzCrTE7BQAwqKo6tc/Y9Mmk77cD61ezXM+K7nPkWoPU72/pSA5pV45607FApaYCYpcUtFMQ&#10;wimlakxSEUhkJFeteDLf7Lo9kCMF13H8TmvLbW2e7u4reMZeRgor2axiW3EMS/dQBR+ApMEdXCcw&#10;ilPIqOA/uBTiaoB2KeBxUQPSpQwoAGAHWkA4pZHB6CkU0AKB+dTKuBUIbBqRWoAkwMVzHiFyunzM&#10;Oox/6EK1NZ1u00Wxa4uW68Ig6ufQV55feNU1OFrY2TIZCAGD5A5HtSYHudhZ2j2cTNCNxUE1dFlZ&#10;4/49warabltPtz2KD+VXx0pgR/ZbUf8ALslHk26/8u6flUuM+tRuO1IYwtCM4gT8qZ5qY5t0H4Up&#10;qBjTAka5VRxCn5VC16P+eSfXFRSEZ4qu56/4UxFg3wz9xPyqGTUG7Ig/CqkjEGqskpoAtyapKDwq&#10;flVZ9Wm9E/Kqcj5qAuRQIvNqlxn+H/vmmHUrhupGPpVEuT1p24kUAXPt827lh+VI2oSD+IflVFz2&#10;5qJztXNMA1e+uF0+VhIFBU9uteeWFpJf2iywPCV+6d0qqQR7E11WrSMbGbcxOEPU15PqNvBGxWGd&#10;GdsZK9sgH/61RJXGj17wxbPaWsyyNGWLZwjhv5Vtnmvn2zm1Gxcmz1CaFm6+WxGa9u8P3k2oaBZX&#10;Nx/rnjG/jGSOCfxxSSsMvyfdNc5qQzIwPpXSSD5TXOaj/rWoYI8d13ThY6vPFjClt6fQ81meWtej&#10;+KNF/tHTTcwrm4t+eP4l7ivOMmhAxPLFJsFOoxTER7KTZUmKMUARbKNnNSYoxQAwKc1YiyKjAqeM&#10;UATAcUxxUo4HNNbmgCDGaNtPxS4pAWLKL5i57cCr1RQqEjC+lSVJR23kjnjrR5Q49qoHXbDPN1D/&#10;AN9Uo13T+15D/wB9VYi8wwaAPas9tf07/n8h/wC+qjPiLTR/y9R/nSEbariPOKqlgxJPBJrP/wCE&#10;n05Rj7UmPrTD4m0w/wDLxHTA0w20jFWGOEFYX/CS6b/z3jobxRpwHNwv0GaQzYMm0ZPSuE1O6N3q&#10;c0ucgHav0FaN94pgkjaO3yzNwOKwkGBQhDxTqaKXNUAtFFFABSGlp0cbTSpGgyzEKB70AdZ4F0vz&#10;LmTUJF+VPkjz69zXdxn98v1qno1kthp0duv8Ccn1Pc1ZjPzp9akZ0lu37rFOJ5qCBv3YqTNMQ/dz&#10;Tg/NQ5oB5oAn3A0bqqz3C29tLMwJWNC5A6kAZrzy7+LdumRaaa7+hlfH6CgD00t605X4rxO6+Ket&#10;zH9ylvAvoEyf1rurbx1bXGlQyxW8st08QZ0VflU4559KAKHxPLstgYz8w3jk4A6da8/W5L3dlFGF&#10;4bDlDncRV7VbvUvEupOZDhEPJ6qPaoF0uW0nglJVVRz9w9SaVwPqfSADpdsf+ma/yrRUVnaGc6Na&#10;cf8ALJf5Vo4qmAtROfan9elRsvNIZDJ9M1Bt2jnr9assOOM1A6+5zTAgcZGTVWTirTnGaqTEc0xF&#10;OU++apuaszNyapyP15oAjdvSqzH3p7vzxUDNQA4HmnA881EhzUmeQKBD8c1DJxU4OODTJYyVyADQ&#10;Bhayo+wzY/uGvKxojXERMkxQt2AzivVdW4spuP4TXP8A/COzDTIp42MkrKCYx6VE79CkcTD4YDSq&#10;Gv3VScEhOn617VpdrDZ6ZbW1vnyo4wqk9T71wEekX5kUG1kGT1xXoNmhhtYoz1VQKlN9QJ3GV5rn&#10;dSGJWromIINc7qRzKapjRUswHkkjPda8x8U6QdK1h9gxBN86e3qK9Ms223qj1BFZ3i3Sv7R0qXau&#10;Zof3ifh1H5UkI8rC0u2ngU7bVCItlJsqbbSFaAIdtG2pStG2gCILU6DimgVIooAdTW9qd2ppoAaK&#10;lhXc+fSosVahG1fc1LGWBS01TS5pDMf7InpR9lT0r00+EtLP/LFh9HNN/wCEO0v+5J/32a0sSeaf&#10;ZU9KT7KnpXpTeDNNbp5q/RqZ/wAITp//AD0n/wC+h/hRYDzj7MnpS/Z09K9GPgiwPSacfiP8KjPg&#10;S0PS5mH5UWEee/Zk9KX7MnpXff8ACCW/a7l/IUh8CR44vH/FRQBwaQKjAgVYFdifAh7Xn5p/9eoL&#10;jwY9tC8z3qhEGSSlAzlhTqlmt2iAfqh6GoaAFpaSloAK6DwjYfa9XEzDKW43fj2rn69F8JWX2TRR&#10;Kww87bz9OgpMDpYeI5CfSoIj+8T61PF/qJfpVWI4kX61IzoIWwgqXNVYm+UVMr0wJAeaXd1qNTwa&#10;A1AiK/5026B6GJ/5Gvm5+HP1r6TnAe2kQ9GUg142fDFlHO4d5Hwx4zihuwHHV6RotpZy+HLVrvUb&#10;mQMn/HrF8q9ehNVIdI0+EjbbIfdhn+dddpPh2O6to5nl2xnoiDFTzX2GUdK0k6hL5MEYhgX0HC/4&#10;ml8QaWmm6cRvEjGRSGK4I5rt7S3hs4hFCgVR+tcp42f/AEUD/aX+dNID1+w1G10rwtb3l5J5cCRJ&#10;uIBPXAHA9yKQ+M9HBxuuP+/LVzniMySfCt2gRmkSGKQADP3WUk/pXDWOuC9so5nkgjZhyrM2QfwF&#10;WwPV38daQmfluT9IjWYnxR8OT3C28Qu2lPIXyP8A69eez6kqRO6zQOwGQilsn2Hy1n+D7BZvEERl&#10;XY3ls238h/WlcD06X4naACVC3WR/0yH+NVm+Jeit/wAsro/9sx/jXms+h38t1K0VuzrvbBBHrSr4&#10;e1X/AJ9H/Mf41N2Gh6DJ8R9IOSILv/vlf8aoz/EWwLjy7W4K9wwGf51x3/CO6sf+XRv++h/jR/wj&#10;OrH/AJdv/Hx/jTuw0Oml8f2R+7aXH44/xqrJ46tj0tJvxx/jWIPC2qn/AJdx/wB9j/Gl/wCET1Q/&#10;8sV/77FF2GhpP41hPS0k/MUw+MIyM/ZXx/vCqX/CIamf+WaD/gYqOXw1eW8ZaXy1A9Dmi8g0NK38&#10;XefKEjsmPOMl+Kil8bS22pG2k0xgVcAkydvyqlaWohkjUDgMKn8V2sUOslVIUyxBunpxRdga0nij&#10;bMw+zLwf7/8A9anx+J3OR9lj/GQ/4Vy0MsHlr57SmXHzbANpP40tzeQQ2kskJm3qpK7tuM0XY9Dq&#10;70m50UXBXYZYd5X+7x0qeyOLK3/65r/Kqkcwk8LW3zbj9jXJ9Ttyam06Tfp8Bz/AB+lNiRfV6kVq&#10;rBuakDUgJ9/BrC1H/Wn6VrM1ZGo/638KGMz4Ti7iP+1WtOmXbIrIh/4+4v8AeFbsnLmkB5B4h03+&#10;zNZmiC4jc+ZH9D/k1l4r0Txxpvn6cl4g+eBsN/un/wCvXntMQmKTFOxRimIYRSYp+OaTFADcc04U&#10;YpaACmmnU00AKi7m/nVkVEgwKkzUNlEymjNMRqd1oA9dEVL5VWQlKI62JKvl4GcUbOM4qzJGdo29&#10;fpTBG5YgHkd8cZoAiVM9qUpgjirCRHqf5U8x9sUAVfLXpijyh6UqeaHfcCVBOPlOatJGSoyME0AV&#10;fKrk/HN2bfTYrRWw07c/7o613HljFeVfEO9B8SJBniGEDHuef8KTAq22y605oGx5i9D/ACrJ8mUH&#10;/Vv+VMtdQWGUEt8p4Nbw8RyW9sv71CgGMlOf/r0AYRBBwRg0UNcPdO08hyznJoqQLFlbNd3sNuvW&#10;RwtetRxLFCkSDCooUfhXB+C7Pz9Va4YfLCvH1P8Ak16DjJpMETQLlHH+zVGM/vF+taVovznPcVmD&#10;icD0akNGzG3y4qUNVZG4FSBqYFjd8tJnFRbuKN2TSAlY5Uj14rnv+EXjed3kuW2k5AUYrd3Uoai1&#10;wM+Dw/p0IGYi59XbNacSJEgSNQqjooppbAoDHrQBLnnNcd43OLPd2DLn866zd8tcr4yXfpx/30H6&#10;0wPQ7HXtCufBy2b61p8TzWhh+e4UFSVxyM14vp8kCK9r58TSxOykK4IPPY96ofYFfLN+VUW06UT+&#10;ZFEWx1IFFwOt24rV8Jnb4riPrCw/UVlg/KPpWp4VH/FVW+TwY2H8qAOqs/vP/vH+daOOK5uPUVju&#10;Z0LAbZGH61dGtIBjcKaYWNbFGKyv7aX+8tJ/bSZ++tO4WNalArIOsp/fWk/ttcffH50rhY2SMA1j&#10;avjyGpja6hGN4rL1DUxKu0NnNFwsVkH75PrUfjI/8VBbj/p3/rRC+ZRS+M8HxFBgg4th/M0gMTFZ&#10;OoapCqvbxq8jn5TtHArVDc4NZJ06QSyyHaQzkgA9qVx2N4+LLSPSPssNrcMUh8sZwM4GPWuh0OXz&#10;NMiP+yDXCJajHIwa63w3IRp6KT93KH8KL3Cx0O6nhqgDU9WpgSk1l6gPmBrRDCs/UugpDRnW/wDx&#10;+xD/AGhW7IMPmsSzG7UIR/tVuvyxoEU7yBLu1lt3xtkUqa8fubd7W6lgk4aNip/CvZ2XnivOvG1h&#10;9n1RbpR8k68/7w6/0poTOXopaSmISkpaKAEooooAKSlppNICYcCjNNDUuakocGwanGCOtVTQGI70&#10;CPedoxShR0oyKcCK3JE20oQUu6lDe1MYm0Uu2jdSbvakIXaKXbim7/anBx6UABWvAfGNwbrxdqUm&#10;cgTFB/wHj+le/GQY6V8664c6/qJ9bmT/ANCNTIDPp8almAptWLdcvmpGX0+VAKeKaOlSwxtNMkSj&#10;5nYAfjTA9D8HWf2fRfNIw8zFvw6CuiXioLWFbayhgUcIgFWF5FQxli2bEgrPlGy/Zf8AaNaMPDA1&#10;Rv12apnsQDQCLStkVJmqquMVJu9aBlkNS7hmoVbjOaUsKAJdwpQ/NVi3PWnBxQInZhxS7sCoN2TS&#10;swC0ASluKo3ujnXIWt1mETBlbJGenNWC3vVvRzmeT6igDFHgGQDi8j/74qRfA0qjBvk/BK7UUVVh&#10;HGDwO/e/H/fFWbLwodNvkvReszRqQFC4zmuqxUcw/dN9KVh3PLrtiNQnJPJkb+dPV8DkU2+XGoTn&#10;/pof50DpSGP8z2oEhzUa8jmg0DJg2aN+O1Q5pwPNAgLH0qFs7s1ITTGPNAyxATurqB4dsNVaO6uV&#10;k87YFLK+MiuVt69A07i3X6U0SzNHg7SR/DMf+B0v/CH6R3ikP/AzW9mkzTshGGvhLR1P+oc/VzUV&#10;3plnpVsfssOzc2SSc5roSaxdffFqP94UNDRliWpBLzVFH6VKrEngZqSi2JPaqd+2U/GrCxysOEb8&#10;qSawuJkwFAPuaAM7S13aivsCa2X+8TUNhphs3aR23ORjjoKsMvU0hDBhlrnvFlh9r0WUqMvCfMX+&#10;v6Vv4wciklRZUZGHysMEUwPE6Kt6naGx1K4tiPuOQPp2qpVEiUUUUAJRRRQAhpjMA4HrT6qXmQyE&#10;fnRuBaBxTt1VoJxIArcOP1qfvU2GOLUzNGaDzQB73mnZxWWLu6H/AC6n/vsU8Xlx3tH/AO+hXQI0&#10;s0uazhey97WX8x/jTvtr/wDPrN+n+NAF/dzSE81S+2t3t5vyH+NH23HWGb/vmgC7nFGao/bl7xyj&#10;/gBpy30Z42yf98GkBbJrw3xXpE9jq13cuVMc1w5XHUZJNezteR4/j/74NefeMBDN9qM5xGDuj7fN&#10;ipkgPOwKt2645quoyatxcCoAsCt7wnZfbNdiJGViG8/0rBFd/wDD+zAtbi6I+Z22j6D/APXTA64j&#10;t6U5V7mhlx0NTRRO+MCpGIi4p9zYrdbHLbXAxmrcVljlz+FX1SMDG3pRYDAGmyDpKp/Cg6fMP40/&#10;Ot8xxH+GjyYT2osFzC+xTAdV/Og2c/XC/nW75ERPSni2ixRYLnOfY7jOSo/Ol+yXP9z9a6A20Xqa&#10;BbR+ppWC5z/2a4HVP1pDb3BH3P1rofscR7mm/Y489TRYLnP/AGa5wfk/WrmlI9q7tMMbjxjmtX7H&#10;F6tSixhPc0WAf9th9T+VH22LP8X5Uz7FED3pwsoh2NVqIet1E3cj606Uhojg54qm0Az8pxTCsieu&#10;PalcZwOoDGoz/wC+f51H1Wupu9At7mVpQ7o7HJ7iqEnh24X/AFciP9eKQzFHp3orQfRr1P8AlgTj&#10;0Oah/s+7HBt5P++aAKneirP2G6B/495P++acNOvGGRbyflQBUxTHx1rRTR75/wDlgR9SKsL4cupM&#10;b2jQfXNAGbbckD3r0CyOLdfpWBb+H4YMNJKzkc8cCthEJUBckUCLj3CrwPmPtULXMnZRSrAerH8K&#10;mVFzwKeoFQ3ExGcgfhVee3a6G2UFxnOK1NgHYUoXFFgMlNOVR8sKj8KnFmR0UCr4pMA0WAriAAcm&#10;neUgHQk1Ic44oPC89aLARhQP4RVaazDjKYB9KtMTQD8tOwGHJFJFncDURzn2rbfDcMM1VltEPK8e&#10;1TYdzzDx1ZCK/hu1HEq7WPuK5KvRfHsYOmxkclJBzXnVMTCikopiCkpTSUAITUM5XyyGqU1UuT8w&#10;FAFYHaatxXO4BX4PrVfbkU0qV+lPRgaGeKTdVNJ2QY6j0NTrKjDrj60rBc9rFzL5hQKpI5xuqZJX&#10;Yc4GOv1quSFBOxc1HJMsOxCQCfTqTWlwLn2k7yuG4OM7eKkWVmGc/mKzo7uOaJ9j52fKzA96nZ/l&#10;4ByeBzRcCyJWKliQBULXrKT9wjnHzdarS3KJIsQKA9MFuaN6bm4U7RgDcKLgXY7hpCR8owPXNSCV&#10;ixBxxWfBMpZw23djcAD2qyhwg9TzRcCSaXbGzHoBmvKfGWoGa+W1B4X53+p6D8q9H1O5EFo7McKA&#10;WP0FeMXdw95ezXL9ZGJ+g7VLYDUGTVuMcVWjq0nSkBIK9R8Ejy9FhUj7xJ/WvLxXq3hZPL0u2H/T&#10;MGkB1KWyHkjNWkUKMAYpkYJjyKkGcdqYEgpwNRZIHSnA59qAH5yeOlLSKccCnA0AOWpO1RqafQAZ&#10;oHNJThxQAvTilFNyKAaAH4pQKQGjPvQA7vS5wKZmlJ+U/SgCpnmlBNIBkUEY6UgAor9R+VMNsp6M&#10;RUozQM0WAh+yuOQwNJ9nm9Ks5pwalYZSNvNjlaUW0vcYq9uNG8+lFgKX2STPpThZf3n/ACqzuz3p&#10;aLAV1t4k7Z+tSYA6ACnEU0miwDWHehOtIeetA60wH5paaKTmgB2KTkUmaQtQAhpDQTTSe1ACNk0z&#10;dindORTCe9AEbtz0prfdp5BLfSmsDtpAcZ41i36RN6jB/WvMK9a8Ux79LuB1+Q4ryQmmDCkoNGaB&#10;BSUZozQAhqpcD5qtk1XlGRQBXBpaaRg0u7CHjPv6UgFKA9uaYYmHQ5o3mjzSKd2B7WzLnJ24X+dZ&#10;9wwZGkExAJwBt5HrV5nCxld4z7CqRXEJTz2VmOSQvNUMntpIvMEIKkYztK4P4+9WyckkBeOBVSJm&#10;DY3A4G0Aqfz+tPZw58tHwBwTt4zTEV2Ja4A8y3Z2GVDLyPeniOQh4oni8wgbiF4puQqF/NB567M1&#10;KiM6b/N27l7LikBNb24iChgpkP3mHHHpVrdVeHKoCxyx74xTZ5tq7R1P6CgDnPGmoFLEWyH55zt/&#10;4COteeyJtIArf1y7+3apI4OY0+RPoKxZh81JgMjFWVqBBVhaQDxXruhLtsYFHZAP0ryNOXUepFet&#10;6LhIoxz0HFAHWwHKY9BRuwaZbH9znpmkAAJPrTAmByOaXOKjH1peaQEgbilDVE4YgBSBzzQMjtQB&#10;Or1IDxVcNT1egCUNzT93FQBxmnbxQBLmlBqMOKcCKAJeMUg60zcKUMM0AONKxGwj2pM5oYYQn2oA&#10;rBh2NLu4qDf81AagCcNwM04NUQIpc0DJQRTgwqIYHelH1oAlDDGaNwNRkds0nSgCQnNICfXNRk0z&#10;djvSAnJzScVDuo30BYkJpF5amFhSI+XAoAnwBTSKMjFNZqYC8UhxSE+9NJoAXOKaT70mcUxm6ikA&#10;pPvTaaWxSB+xoGSVHIRtpC4FMd8imIwtdXfZSLjqCK8bbhiPQ4r2nVQDAw9q8Yuhsu5l9HI/WkDG&#10;ZopuaWgQUdqKSmMQ9ajcVIetMakIgYVEQasMKjIpgQ7aCuRUhFIKQHrsS7E3Njd1bnpT7aMlmkJb&#10;ntnOKzJNVR4GZYmbB6MuC1aqEeUgAAyM9elWAXEgjiZz9Bk4zVZNrJGgIG75iFfFRy3DTzbI1xGg&#10;60LJI5ZjEwX1yBQBYCrcSbQ2Y177utWgoJCj7o681RgadnYoQE/h3DkmtBQFHXNACu4RCzdBWFrt&#10;8bTTnkziaX5V9q1Hfzn4+4p49zXC+INQF9qRRDmKH5F9z3ND0Ayz0qvIOanPSonFIBiipBTAKeKQ&#10;E9sN11EPVx/OvWtNXaiH2ryWzZUvIWc4UOCa9g01FeBCDkEUAbaXASMA04TKQcdarmPCim8DjvQM&#10;tCUinedVUA44ag5HQ0gLaTMRk8UvmmqW9x3yKVZjQBcEvvThLVPzD1NL51AF0SZp2/jPFURLTvNz&#10;1JoAuCXkU9ZTVNXyacHHNAF0SZHNCyCqgf3pQ/fNAF0S4qC+1JLSEF0dt3ACLk1FuJ/GsXxVrMeg&#10;WVveSIzru24XrzTAnTXLBmwbgI391/lP61ejuYZlBjlVh/smvNn+Ilhcvia1fb6soNWrfWvDt2cr&#10;5cbn+6ShosB6MrGpVJPNcTC9u2Db6jcoP9mbP86upNeJ/q9Ykx/torUAdWuW7UAHnjmubW+1ZB8u&#10;owN/vQf/AF6cNU1jP+vsz/2zI/rQB0uw4zSFa53+1dZ/56WX/fDUh1PVz1uLRfpGT/WgDotmfWkK&#10;Y5xzXNtfam3XUoU/3Yf8TUD3FwT+91e4P+6FX+lIZ1BHOcYqCa7t4EzJNGo/2mArk57qxQE3N9O/&#10;+/OQP0rIuvFHh6zzsWKRx6DcadgOvn8SafG21GedvSJC1QHW9QkVpLfTvLUDOZ3Az+Arzm++ILud&#10;tpb4UdCxxVSHxvqc08cThFjdgrYz0NFkK57VZXjXNhDO4ALqCfrVkNkZFZGjZbQbRvVauglcjtSG&#10;T7uvNLu9SKqMzA0zfjqaALhI/vCmFh61W8wZxzSGWgCdmqMsM1EZs9u9RM565xQBOzk96j3HOKqy&#10;3UcQJeVEHqxxWfL4l0i2b99qEAx6Pk/pQMu34LQN9K8a1QbNUuVH/PQ122t/EDTxE0VgHnkPRiNq&#10;ivP5JWnkaVzl3OSaZLEzS02loEOpKKKAA000tNPpSAaRTCKkNNNAERFJUhFMIxQB6k8BeSMuG2oR&#10;jLDtV1SerEZPvTtibiQc44GBT1iyeV/M1YFJ7QyEdOG3dKnW3wgUtwOuOpq6sXsop2zLAcepxQBB&#10;FDtA9f5UlzwgRerdfYVfWPPaqVyAru5OAvc+gpoDn9f1IabprCM4mk+RPb1P4Vwi9KtaxqJ1TVHl&#10;Ukwp8kY9vX8arDpUt3AUmmNzTqaaQDacKSlFAATha0NL8XarpACQzCSIf8s5BkCs89KgMIY0Ad1F&#10;8Up8DztOQkd0kIq9D8TbF8edZzof9nBFebfZzR5DUBc9Vi+IeiPgM0yfVP8ACrsXjbQpCMX4X/eU&#10;j+leOeS1HlN6UBc9uTxHpEv3dQtz/wADAq1HqVjKAEuoWz6OK8G8pvSl2OOmaB3PfxNCekikexp4&#10;eMnhh+deAB50+7LIPoxqRb6+j+5dzr9JDRYLnvoAweeKcB3rwddb1dPu6jdD/tqanXxPrqdNTuPx&#10;bNAXPc1BqRUPQV4cvjHxCvTUZPxAP9KlHjnxGvTUG/74X/CiwXPcfLPB/rTlSvDx4+8SD/l//wDI&#10;a/4U4fEHxIP+X4H/ALZr/hRYVz3NE9ua474poP8AhF7fP/PcfyNcCnxH8SIf+PtG/wB6Jaq6x4x1&#10;fxFDFbX0ieTG24Kibcn1NAGEyVEVI7VZYUwqDQBGlxcRY2TSLjphiKtR63qcWNt5L+LZqApTGTHa&#10;gRqJ4r1hP+XnP1AqceNNYH/LRD/wGsPy6NlAzdPjbWP78f8A3zTG8Zaw3/LZR9FrE8ul8ugDTk8T&#10;6xJ1uyPoBVSTV9Rm+/eTH/gRFQeXSiMUARs8khy7sx9zmkAqbYKdsAoAhAFPBCkHuKdtAoIGDQB7&#10;94cuopfCdjIHX/Vgk5p11rNhag+ddwR/70gFfPqy3KJsSWQJ/dDECmFHbk5J96B3PbrjxroMROdR&#10;iJHZQT/IVnTfELQY87ZZZf8AcjP9a8j8gntSi3NAXPSp/ifYqf3NlO/+8QKzZ/ihdHIgsIlHbe5N&#10;cSLanC3A60BdnQT/ABC1yUnY8UQ/2Y/8ay7jxPrV0T5moz4PZW2/yqp9nFOECjtQFyvLPPOcyyyS&#10;H1Ziaj2se1XfLHpShR6UCKawsTzVleABTmGBTaAHZopKO1ADs0tNFLQAUhxRmkoAQ0006kpAMOaY&#10;akIppFAHsixkDlqmVV7kmuAj+JF6Pv2FufoSKsJ8TZRjdpsf4Oa00A7oKufusfwqdNi9Eb8q4ZPi&#10;fGPvaYfwkqxH8TrE/fsJ1+jCnoB2pfCnajZrkfGmomw0hoUbE1wdg+nc/wCfWnR/EjSJOHhuU+oz&#10;XG+JtYTWtVEsJbyI12pkY+ppO1tAMmNcKBUuaYvSnCoAdmkNFFAhKcKbS0ALSAc0tJ3oGSAcUbaB&#10;TqAGbcUbfapMUYoAj20u2nYpcUAM2ik2D0qSkPpQA3YPSk8tfSn49adigCLyl9KPJU9qmAoxQBCY&#10;F9Kb9nUjpVnFGBQBXFslJJCsYBAqyeKjn5SgCmW5o3UEU3FADt1LkGmUUAP47Un5U3NGaAHZ9qXI&#10;pvOM9jSUAPpMim5ooAfkUm7imjNGKAEJoBzRinqvSgCzGgMY4pdg9KdH90U7FAEe32o21JikxQAz&#10;HpS7eadRQAwjmjFOooAbimHGafzSEY5pAQuTminNTKYC0UlFACilpBRQAtIaKM0AIaaaU0hoAQ0w&#10;06kpAf/ZUEsDBBQAAAAIAIdO4kBTvcognTIBAI4yAQAVAAAAZHJzL21lZGlhL2ltYWdlNS5qcGVn&#10;AACA/3//2P/gABBKRklGAAEBAQDcANwAAP/bAEMAAgEBAQEBAgEBAQICAgICBAMCAgICBQQEAwQG&#10;BQYGBgUGBgYHCQgGBwkHBgYICwgJCgoKCgoGCAsMCwoMCQoKCv/bAEMBAgICAgICBQMDBQoHBgcK&#10;CgoKCgoKCgoKCgoKCgoKCgoKCgoKCgoKCgoKCgoKCgoKCgoKCgoKCgoKCgoKCgoKCv/AABEIAacC&#10;N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BgzMpP8S9M/lUMkcJfezN93K8Z/D+dWpEZIgWH4bevaq8sACbR83975vzNcqEV5B5bqQjYXpu&#10;+uc1S1BUVfMEvH3Qu4fif/1+9aMgIVgq/Kq5XNUdS3OnmOjBc5A96CGcjqzQmVvO3Y3Ac9v1/wA+&#10;lYdzBGwbf/wEZOTx7dMmtzVUETMGO7BYljwOnX+f5VkX0Ko2Rj5h8zK3C8f/AKv6VloTYxrxkDhN&#10;m1d33WY4x1/H0/xqi8YCbJZDuK+vB9v5f/WrSuRhhGrrgD5mbP0z1+lZt+7wwyGUK23J8wf/AF/5&#10;+496hlnNa3uN2yMnPXC4GeuMf/X9e1ZV0qszKp/P6Z6L9P8A9XStC/nBkZy2MLhfMPf36/z/AFrN&#10;uFaMhd2d2SFL8jn/APV+GKmWxY22jkYNx/rMDd2H+fT/APUeZ+MV/HaeDby3MnltM0MSkrjdltxH&#10;44+v9Omjd/tCsSeedq5+XnjjPrzge1ec/HzVWiWz0lpF5mkm78qAEz9Ac9qzk7LQqPxHD2wQKm5N&#10;uGxx1z+FaFvsWEyF9uFLcDJ46/5/yc+3KL8vP3v0x7e1XLu78rS5WXePkYfRjwP51wyOqJ6V8GrB&#10;bfwotzMvMkm7OMdv8/rXcW2zAwvX2rnfhzaLbeFLMbMBoi/JxwSTXSIFHVvfBrjk7yNoxLLshiw2&#10;0f3aqMW34DdfyouLkeVmNunvWde3k0JDA7jnAXnms+uhRsxS7/lDflVy2aPGw9uteJ+Lf2tPh18P&#10;dTubLxHcTBLOMNeTR7dkalgo+8wLHPYZPtXffCT4z/Dv40eH/wDhJfhz4li1C3jcpOnKSwtyAHRs&#10;MucZGRyOlayo1FDmtoKNSPNy31O7TIwQe9R3cQmGwrmltyGRW7UXDb1wX/HNZadTVaHMeLvCVtre&#10;kXGnSfdmjKnHvXgnwEt/iJ+yj4svPCeseBr/AFLQ1uJ20nVtNtxL5sU0jS7JFB3I6SO2DjaUbqCu&#10;G+nJGQlV3CqtzBYPy+3j3rajWqUvhPsuD+Mc04MzR43A25nFwkpK8ZRdm07We6TVndNFbws02r+I&#10;bvxbdwGFryOONIn7RrkhiMcMSxz6cdOldZDCrDaDx3rnbO+tbQ7XuFVc9fT8f89a37C5guoA0Mqs&#10;COqtkVnOVSpUc5dTzuJuIMZxNm1TMMW1zztolZJJJJLySXqTNHu52/xd/pXffsleHJtV+PllqMfE&#10;elWFzdybu+U8kAe+ZQfoK4cPEyqAdv4V7p+xN4djWTxF4ultwWZoLKCbHzLjLyL9MmPp6VrhY81d&#10;eR8vWdos92f/AFuAKeF2/eFIcbyq05W3nO7/AOvX0MdjzhvlE8f0pypg8inYJGKfGFI+7iqAdGgH&#10;JH3v1qaOPaOuS1CAjG5dv+1ViJSyg4oAfBB8uQKkVNvGKchwMDv0pyx8ZY0AGzK803ycc7cfhUyI&#10;KkEQK5xTApgYGf0qaKDHzcelSeUCR8nNTJEMD+VIBtvD820d6vRRbiFxTYYAq5b9KsxRbTnNAD44&#10;VHNOUAcBacBtGBR95sYqgALnmnKpx8xqRF9aUqm7AH51IDVUE9DT1jGcHoPSnJGcZ/yaciYODUtg&#10;ATGPzqRQ2OR+dLGgJ5H0qWKME7s/nUrsAIuBlh/9enRAKOOlSCPJwBx3pyxqOSn/AI9VdAGgYAAG&#10;Kd5eQqgAfU08JzxmlRQGx6+9AtxjRsPlI7YzRDGB8xNTMpHQUIADjFFhhHGFPXNTwAAYbrimJHhc&#10;1PEhxgKMU0A+MAjJ/ClIy2do9fpTgmBj+lOCfLtwPwpiIUXI3bvyzUiKxGcCnRKqHajU9UOckVnJ&#10;aiEjh7LUgX/OKI09Fp+CMHP/ANajlAQDvtwKlAHX05oGG4xTwAv3jVJFDdhbr+FOCYT5acDTo0TH&#10;zHnvRygZ+j22qQRMl9HukkmZmZn4C9sY/DirF5becNyj/wCvVxABwKGVduM1QHPzwtA5kiHP8qK0&#10;ry1YfOo4P3hRWeq6AfA7JxukK5GOQP8AP+TVdkYkMo5ByDnGKuny2XO3nrj0qBolJwoG2tIklaVW&#10;Yct6f5/z61naoWaGSMgMM5xtzg/4/wA81qE/NhZeP4T6/wCe1Z+pgxBp1B3E47+56596bJZyuoSb&#10;pWG5h/s9Oc+tYupQyMN5VvVty8e3X+Vbl8FadyWYK+VLDuKydURFDJub5fwH/wCr6f4VlIN0c7eF&#10;DJukKld+3d1zwP1/L16dMnWZEht8jovzfL+np/8AWrd1KCRHwUbrn5c7evHf/PFZGuQO9qzmFSVU&#10;/Nt7+v8Anv8AjUDVzkdQZwdpj52fL16VRldWfeh3dxhsY/Xv/Sr2oqyS+ZGS3cHb19uf61TdXkmL&#10;KG27c8qTgY7VMtixsUbiTzvN+XcdwXnHTrxx/nPbPkPxnuorvxPbwHduWHdnA3AE5/x/KvXJhLZC&#10;QSMGWOMlSy/MT17+n+ffxP4iSCTxtcorFlhOzLN6ev8An1rKfwmkTPgGDlhwP9r2Htx2pus2l5fx&#10;Rw2twIY/OQy5UNnaQce2eKmtkXKkfdH3d2PSuO8Raf4p1741+CfDl5LYtpn/AAkEt5ZxxbvtBMds&#10;0TFiMDAaTgDOQRk8kVy2udET6p8M2v2bSbW0w21bdRyevFb1hhYy8sW5d201X0+yYLsQ/dUbSa0I&#10;7cmBR3bjOeME1w7yNuh7H4X/AGb/AAJ4q+HOmXeqQz2uo3Fr5zX1lMfmViWUFWyvCkdgTjrXnvxA&#10;/ZH+ImjRNdeE7u21qHoyKwhmA5/hY4I6dGJyemOa931jxXpvw7TRfDM2oW9tbxaLNc3El7C7Ktvb&#10;/Z4jll+4d9xFliGwNxI4JEdj8VNCvPBkfjXWNPu9Pim14aRHbzW7ec0zXos0PlkBgDIQSCNyrkkc&#10;V6ywkZU1oc7qSTPxc/a4+HHjvwd8SNU0DxLo95bfaNQh1T7DdRtGbiOOJo22ocb2TcxwPm2s2B1r&#10;1P8AYF0GZvihr3i7wtpT2/h+40KCGWaG3aOB7zKt5a7lHKDcCq5wevUZ/VfWPh94B+KOgvp/jPw7&#10;pXiHT2nY+XfW0V1D5iuRnDArlWBHqpXHUVyV5+xz8NLW18jwMk2hBQPLgtz5kI9flY7s++6tK/NH&#10;D8kV0scccLSqY6OJbd0reWp4vAoijAX+Ko7qfbzuGDn71b3iXwje+FdXudDupFma2kKPJGp2k/j0&#10;rmdWRhldvrwK8HlktGj2vdtdEK3kLSbQ446mq2qIXXfbv2xw3f0rwn9p345+I/htrUek6DdSRLHY&#10;yXkzQ8NMqgERgkHbknG7Bx6Hocz9lj9qn4kfEX4gRfDn4m6XayLqdi9xpN9Yw7THsG4pJljkEdD1&#10;zwc546o4acqfOXCFadOVSK0ju+1zvvin4o0u28ReF/CvibX5tP0nV9WZNVmhDbmjSF3WL5QTteQI&#10;G4+7u6DNZvwH/wCCi/gT4kfEvQfg7bfB++jTUWbTr2+t5lVtKlTOyZUVcPAo+aQ/JsTeQW2YOt8d&#10;fAen+PLJNFdmhuIZo5rO4Un93MMryB1UqxUjPIY4wcEcBf8AwT+AfhnXdE0D4s+DZo/FFxqlpeWO&#10;teC9VWGWVpLl+b9LkkSox2Kv2dY2QRlmb5gT3YV4eVFwlucFb2ntFLofXVvhgV2/dJzuYev/ANav&#10;qj9ljRDovwds5pQwa+vJ7pl2/wC15Y/8dQV8kaJbaja6PbQajOZ7qO2jWaZcfPIAAxH1PNfcng/S&#10;B4Y8JaV4cUD/AEHT4bc/VUAP65rnwNP32wrS/dmzjdLkyfhTx0yF79KhR+SwHFSbvl4avZjscZMr&#10;MTnFSRIu7dmqyy4firMLBx8vpTAsKuevP41ajX5AMZqOBdxJI+b+VWFB4INADkXuo68VIFIPT86a&#10;iYOKlVc9TxQAsa9yvXpUiJx8opsKkd6mjYYxg0ACQsR0qSOIs+NtOTlsEZqQLjigB8YxyTxVhI+A&#10;aiQL97FWI1GcEUACqCc4pwXBpyLzwR7VIiYXHXFJgNCdCfyqRVLYJNCJk8j86kVVJ2n+VQARo2Np&#10;6etSLGehGaEQMQCO2frUyQgHpU36AMjTnP6VPGoK/MaaE5wOpqWNQBkHgH86OUBVRScEU4JuO0L3&#10;64pyoWPNPAAONvHqKsBNqKcbOlIq4fAGakCkEc8e9L5YB3bc+9Va4EYJDYK06JHLEsMelOw5xj6V&#10;LBEre/8AWgASIEZU/jmnxxjGTxjrTli2vnf+dPVATytJXECpgK4GBTgpcE7TipUjyOVpVjI6k49x&#10;VDIki7ipFQZzTthyeKbgngilYkMccGpY09e1NVeeKk8s/KwxxSDcF9FFPAI4b+dCYHOPapAny8r1&#10;pooaBxwR+dSKgHyk/pTlhJOWUD+tSJG3Rh0qgGhMsQD+PaneUucHdk1IkWRkrQ5XrnHvSAqyIxyo&#10;OKKkmAz0b8KKBXR+e53qdo/FRioX3EMqD7oyM8VoS2pD4bavsO1Rz2o3N8/f8aCDNkCYVEbt/n+l&#10;Z+qlmQk7d3Xd3+g9K1jEYnOY8NjPr+NZGuRkr86f7vy02DOeugwlx5bcfeJO49enr/8AWrGvYj5y&#10;sz87sfM36f55rbuA/nfJuVePmPQdBWRqEnmyN8mDu/hbH4f59qymCMORHB2uc7ly3Pf+X1rH1/fB&#10;AcHHTG7n1Gee+DW9OIpGRg7ZznIU5PP/AOvjpzWN4mVVj3SsBjd35J/yO1Zmhx+rICvleaynP3tv&#10;UelZ5UxsyheGHyv37d+/f/OK0tUZ1O8x4X/dyP51nSFB+8l+ZlB+9wevHT2/lQx3IryVPs8hkG7k&#10;Dd93HzDp+Xv9K8D1ic6lrd1cghla4bv2zjt+de1eL7ttN8M3l5FHtZLeR1+XkEIQOh9cHP5c14ba&#10;Btu5JML97jvXPVdooun3NC3iB2/uyoDdQvt1qr8PfBWoat+0NpniK7kSS30uzmjh+T5gZmUtzjt5&#10;PX/aNaFrEQVO/t/EK674L2kV740nuifmXO36BVH8ya45SaizojuewWkYAUlsDdk4FdR4G0Ya14y0&#10;nTyNyvfxhxt3fKHyR1/rWHBDkbH4wfU1p6M93p13DqWl3ssFxA+6OaFiGU+ufp6+tccZcslc6LXR&#10;9Ka78N/D3iw6hH4minvo9Qs/szW9xcFoIohyNkX3A275/MIL7tvzYRAvn3xF+H/xPuNJ0/wzd28W&#10;o6VJ40vri6XTWYTNbPBcz2rTByI5CLwwq8ciSRMSjsAqtS+Bv2lfE+gOsHjfw5b6/aru3eTOLO65&#10;HAEioyYB9YyT6ivV/D/xj/Z18cbbaw8W6h4bupML9n8UW37tpNuTiaDcoXPALhD0yBuFe9RxFGcV&#10;Z/ecU6ckzzj4djw34L07xNoNzra31z4Xj09NQmjuGW+a0t7CJUldIsuS8sNwyofvhm6hsHpfhvrP&#10;iC8vW8NeIPEct5daPbrbawbrRPKkkvTBbzlxNE3kqgWcARhSxGDvO1ifR9W+Haz2kOpCDT9VtUeO&#10;a2vbGZLmHcQSjoyk4OASDweD0xXPa1Yr4a0bWNTtYMTMslxMzRrl5NgUFhjnARV55woBzitptcrb&#10;JifN/i6/j1LWry/l2s0108nzehbNc+NBh1GD97A376bZG0ec54zjPGfqD1rc8SWWf9Klcb2YtlSM&#10;8n2/wH61rfDPww154x0q1mMTH7RHMY/MB3AHcQcZxgDkHB7da8G3PU0O7mtA4/8AaK/4JleEfiqL&#10;XXPDHi+XTdTsbWaHy9Qt/OhnSRfmXcjo8eGAYN85B6DGQfO/h1/wT48TfAe8s/GPiK4u/E2rWlrM&#10;sV9a6XHHHbF2PmH92zPIpX7pYRKoZv3Zb56+w9d+J8mjeLZ/DdzpUk802ox22mWot2XzlxbB7gy7&#10;iPKWS6iiJCE72wM4YjpLfxP4Zl1i90X+2bfztPaFLz98h8mSQZVHAJaM4KH5wFIlTaWycex7GXsu&#10;ROyMI4icbq+j3R8X23h221jWPtM0W7bJhQexHU4rnvEPwL0Txp+1NoPifVYZJYrDQFvZITNhWmgn&#10;xESu05GWBxkA7eehDfemtfC3wV4l3f2v4ct5JWXDTRptk9vmGD1/A1498Qvgz4S+HvxBh13Sb66m&#10;u7vSltys0mRFCJWZRjOCSxPOAcAda8+WHqYe7exftI1FYpfDvwkmuePtG0zyNynUEkmA6lEbe36K&#10;1fVhnSUkow+ZjwO1eF/BfTlPjKTUdzZs7NmTH99iF/kW969cj1Myt5MiLnn5lPXFdGDXLHXqZVtT&#10;aSUA4p3nHdhsdc/Ws/T7h5Yt78/M23Jq1FKu/YOvUV6RzFyOTuKs20iB+Pu9PpVBGGef0qxCyj+e&#10;KBGrFIQeMmrUMkarisyKTaMA81dtW+XHQ46UAX1ZdxGKkUpjOelVYzjkp+dSKwI4NAFlSq8kAVJC&#10;wD4V6gjcHjFTQnLYBzj9aALSAGTgVIuB2qCIvjL1PEoC9Dj60ATRLuXGKmiA7r9aiXaCM1ZRfl47&#10;igByDd9w96m+71b86jg45z3qYct0qWAKAT1xUkKMOQT75pqqB8oznFTxrhMkc1nIBUjYcgdqf1GB&#10;SKM8A9qkRQBlqrlQAgXr3NTRKO3SmIm88Gp40zzmqQAic5xTtmTlqcOOv50DnjFVFdAA7uwoUZHP&#10;5U5VPSpFiOc0wBY88nNOjj28kY/wqSNAKcYdv8PHvSAauM7mNSxJluvXpSJCo6n8KmjBXn1pdQDA&#10;XjvTgpJyGpRGM8807APamAxU56U3ZtOcdqmXOMk4FIigqcdB+tAhEU9utOEfGSKcD/cHHfBqQRg8&#10;Fu9BI2OMbtxb61IEUdPX1607y2zw1PVMnAHv0oEIqhcHFSKozlhQqAKB/wChU+MfLuPr8tBXKIgV&#10;h7U541bKx9fenqhb5yPpSYdgwI/Kgoquo3MWWipJFIOB2ooIsfBbQwqmw7s/w+1VZoNhK4z+HNab&#10;QgHOB/vdqhuLfKbXf73+10oGZU1uq5zx8ves+/tYLqP93ht3C88HFb32Yhdvf1qKWw3pgrtY00Fm&#10;ji7rQlkEjDcD2x3/AM8/WsDVfDl0F/cFdw5Xd2/H8q9HuNLJOdu7niqF1pCz/KYGUYwN3oe1HKmJ&#10;nld5pV5FHsaIhtw4VcY965/xDExOFjO1eGy3Qen0zXsd54dWSP506Hvn/PX/AD1rnNd+H0F8N5t/&#10;m6qytyvHX8s/5xUOI9TxXVLdfl+QfK2QyfN/+s1h3oZJCw3KGUAfKOenbivUtf8AhZqNury2MgOR&#10;kRyL16D+o964HxT4T1vSB5dzp8qlS3zbcjr16cc/TrWLjYpHnfxa1SK08KT2QuNsksCxoowM5kXp&#10;z6K36+vHldoBMi/N93+HNdF8YNUnuvFkengEeTCCy/7Xzccj0rD09SDnPO7tXLVNoqxrWcYkYMfT&#10;73T/AD0rvf2bbB7ia61Qpxvyuf8AaZj/ACArgLiQWGnSXBO3yoyzL6e3Neufsz6SP+EUmfOP3iJz&#10;7IPfPf8A/XXHW0idENT0Z7NpSuHDbj+frWhYwrassjqu3htp789KIrZkYEjPPrU7xgnaB29q49Do&#10;Q4A7Fbdyfu+9SCNSmCFz15XINQKjOyBV7460FpTJx296NSjZ8M6lr+gTy6l4e167sJX+9JY3DRs3&#10;UDO0jIwT17Gurk+NfxI1vTrrSfEl9bX4umHmXU9uPMAByeU2g5PUkE1w+mTyfMinsc/WtC1w+11K&#10;/NWka1SKsmYyjEh8USNdlZI7WOMIu1tmPmyBz0rvPgXo1jfeJItYtEk8yDTmkljkjCqrM235DuOe&#10;D3wfvccE1xV3bpPwoGO9QJBcWE32nTLqa3k/hkhkKsPyNVSnyVFJg43jY94174caJqWnfZ9JgjsL&#10;hb5by2vo7cMyzrJv3nP38nO7JyQzcgnNYsfwgtNM8VT+O00a4k1HUdQV777LqDMZgs0TrcOJWWMs&#10;UtbVDtQMqJ5YLIsYXjfCfxi+IvhOdYbi+j1G3Vf+Pe9UNkcfx9RXpnhj9pXwJqcDJ4r8K3FhdMw2&#10;yWo86Ij07MPyr2qeLoy629TklRluCqz+Oo7sRXyxrHiKZZpoUu5lL5iaNwAUSOYyLh2VyWYITCMc&#10;78brOe5+Ik0EkLJ/Z9jBHsmYZJIEh+n+s+v9PVPD0Xg74hX9quiXdnqDQ3aSwNwz27EFS+0/MpCs&#10;wJwDgkdzXj/xG1qxu/G+t6naQKtve6nNNborh/Li8xwgBH+zjt2FTjJRlSHSjqRfCf4g+EbH4jyf&#10;Cm48QRr4h1LRn1eLS1TLGyhlSHzmP8IMkpVQfvFH5+XB9Pabakjh/wCEgc4yegr4h+JGuXfwq/4K&#10;q/AvxvJqqW+n+Nvh9qPhW4iJHzGKSS9Vj2+Z57dR3yo5r7csrZbuRoXm2nzFH68/yry8rxVPE1J+&#10;zldX0+TcWvlKLNsRTcErr+t/yZvWuyGIRqcbV61NE/zbhn8qrp97cTU8K7vkwD+VfQI43uWlLYyD&#10;mp4mDg7eKrjIbIFTQKemf1oJL9vL5q4z19O1W4izAnFZsDOjAqwq7EzlVOOfrQBcSZwMkin+du+6&#10;SP61TeRgdwbP+zigSbsl1/GqsBqRzYHzKeasQNzkNWXbTPkYHy1ct5cPuzSYGlE427S/NTAYP3qq&#10;xyE4baParCOGH0pAWY2HTPep7diF61XjcL071NG4A24oAuRMA2CM1NGTVWN/myVH1zVlT91gMUgJ&#10;Yxls57cVLGCBkioA2GztFTDluf4qkCRFIw3c1IqkgkntTcFiAvSpQhY7M09wFiTGCTU/yrwBTYlI&#10;GQKeqO33RVRAMZGcVIo5wBRtZfkqRIz2FUgEVMcgVKkLEZB60Ivep1BxjbSuAgj2cjmjDMvSpAAB&#10;1pFjJbgcdetSAIrIpYipBGRzx0pUjI5J96eIstknt37UwEbl/l6d8U5Pc/hTliAU0CHIzt+tADcB&#10;uTihl3jao/GnrCAduynrFgbglABEm1MCnqgDZb1/OniNjyFAX+dOCjOD9KCRogfqOpqRFbHB+tHl&#10;84x+XanrwMZoKGkNwDUsSgjOxeOlNRSw2hakijI+Unp/FmgByLn76U3leP51Iibu34UeUx/g9uar&#10;lAp3I9TRUk65bDDFFID81ZIvH/hZPmsJLiNec2dwDnnukp4/B/8A601n8SYXkWDUrcrLyPLkXyHf&#10;AGSA/BHPZuP5+hXFoWTB+Zax9b8JaPrUDW2oafHMrfeWRdwP501CxnzFS21zTZlVncQsx+VZl2/k&#10;Twfwq20lvKmFdcdj1rmdU+GklhE8fhzUZrUMx3RKd0fToUbK/XABrNk1nxj4cvF/tnQ1vIFyXudN&#10;k2uDj/nnISD9Aw+nPBYq53Cwqp5bn1qs9qpb5v8AgIxWZoPxA8Oa5cjTrDVkS6H+ss7pWjlHttYA&#10;n8MjrzW158Z/dOcNn58dvagLXKc1iGyNu0Z61TvbFSNij1+93rXcEKSG7Yqk8TrGyE89dvvSD4TF&#10;n0WByTIu7r97nmsPV/DFq5kMUK5kGW2KPmOMZP4Ac+grrmtpM/dZh+FU7m0JXDEZx1p8qaGtj50+&#10;L37OPhfxxqbatNpCR3O0BpoV2sRnOTjr+Xf1ryfXP2b7nSgf7Nlk4bb++fkjnv8A/WNfZGs6S92P&#10;LCq3OSoHSuU13wnBcbolh2ORt3Feme9YyoxY+Zo+PfEHwv8AEx0hrCO2aMyDad0W5WXIzyDnkZHT&#10;niu8+DnjTQfCmjjQNeuJLWb7Q0jM0e5TngY5J6DuBj9a9m1TwBbzqwMasOnBORj3rnNa+F+n3y7J&#10;LRWX+48fH68cDFYVMHCpoaQrSiyzZeKdG1WJW07VLWZc7QbeYMSfTH51ea7Zochv4flU45rgdW+C&#10;1nJiWB5IpF5Vt3IPUYz/AErNh0n4peFjnS/Ev2pYwP3N9lx+Zzj6DFcMstqL4Xc6I4mPVHp/nmMe&#10;Vv6Dg4p8Mh8nzD90Z3e9eWt8WfG+jSL/AMJJ4JM8bLhprGT/AGuu0/8A1q3tL+N/gnUlFnPezWMn&#10;8UV5Gy4OO5GR/wDWrlnha1P4kbRrQl1O6srlASyNhT0PpViK6dAGiPBJP4Vzum69p2pW3maTfQXE&#10;R5DQzBh79CfSti1QgNK2flHvisrW6FXua9vIX5B9/rWjEsUkCgptbrnHWufgvCBknpWpZXfnw4Qf&#10;KPvH0qoiNJLOMt5kZX5f4atSxRTIGEK/8BX/AOtVErGk6opz32g1uaaYJLUo4+bPpxVCvqXPD8st&#10;gn2izZoZo5PkkjYqw49RV6x0pNST7ILfc0zbfLxkk1VskRom8uQM3YVueHbA3mqw2HnsjMxbfGxB&#10;XapOQfw/CtY82wup8m/8FVbr4eR/B74b/ta/CHx1p2taX8N/i5pd3caxpVxDNFbWpkKywF0Zg6My&#10;wIdrdlzjgV9xeF5Yr5o9Tik+9GrHDcHKj0471+eH7Tf/AAQr+F/jQ6pL8C/i5rHhGXUi5urS6jF/&#10;byZdJFjUFo5AqsvG+RznB5Ir7r/Z18O6v4Q+Fmk+Gtf1aS+vNMs47OS9mAVrjy0VTIQCQu4gtgHA&#10;zivB4awscrxSwq53f2knzQcUryUkua8ot3ctpP0R0YyTrU3Udui0d+lvXsehQkE4GKtRHYQR+tUU&#10;ki8zO6rls8Z68/0r788eRbj3PxtFWVUhcke1V4WzytTIxZMH8KLX2ETxDB5A59qnEuTlf1FV1UqM&#10;KW/Gpnjdl3MoU9aaADOVYhnNSRSybupx/Oqx+6Tg0qFgcF/1p2AvpMwIwe3SrMNwm7ANZgZyME1b&#10;tZT0Py0PYDWt5nwGU1cjnXO0DnNZNtcKV+YVo20n8ZHapA0IZA3RhmrAyowBVKFgTgVbByc56N+d&#10;SBZt5CwyR+FWlcjpzVEt8oK/Snw3WWwzUAaMbKeRzUyOQ+MVRtpxu6j0q2JF9aALkJ3D5fzp6Ju7&#10;f/XqO3bMXOOB3qxGyHgGgB6ABeKfCzLwAeKbxuwaIjGo4P4YqrgTD5mBIqVU44FRxuCcn5anjGW4&#10;p30AcM9MYqYAdv5VGFAA6Cpk254+lQAqxjb8wp6wjG4LQih+T0p4z/D8tADVTuaeiAZ4pyLvOGG7&#10;FSLFkcj6AUANC+/1pyo2Pm4qYQBV3b/fFPAb7oioAjEJxuJ9+BShU7nd7GpEifIDD9Kesfckfn0o&#10;AYscZGWHttFOjQbvkH03dqk/h+ZQff1pdrH7w/Kq5QIhHvYk/wDoNSYTO1Qf896cI1KkZ5/nQsK4&#10;yWzRyktjVRQduRUkaZ+VR83ekQKnzD161ImCCwP61SC4qod2VXPFCp8pUr3p6hiBvb8Ke0S46/T3&#10;oAo3a5GF9aKs3MWQMmipdwufCzAN/TNQy/u1Y43Va8t1BJH3v9mq0kaK3zf3etUZ/MgaM44J56VV&#10;utOguODCuSfm+XrVw8jGfu+1JgMOOPr6UCOW174faRrKZurCOXbnBZclT6juD7jkVzc/h3xr4Uff&#10;4a8RS3EIbctjqGXCr/cWT7wHHcnpXpjDHAOfXNV7y1huY8yRj0pWKjLTU8+tPivNZy/Z/Gvh26sP&#10;l/4+o4zLDx15UEgfUCt/Ste0XWbYXGlX8NxG3/LS3mDYGfYnH0q1qXhpLiM+UFbPBjk6H9K5TWvh&#10;tpDT/bv7Pa1uN2VuLRjGwx7qQTS5S9zqGcM2BO33f4uBUNyjuoPXsNtcWmkeOfDxZtD1xLtMlvs1&#10;8pDdc5DJgZ/3kb60g+J2oaSdni7w1NZ4ba80ILxrx2Kg5PTlggHPpU6p6gdXMsYLCYDPQcYxxWZd&#10;2C78/K2Dwccg+lJaeMNB8QW/m2mo28keVDMzDbk9FD5Kk+wJNWJJLdB5ZiKnoAo6VVw66mJd6VaY&#10;2LAOvOT0qjPolsfl2cZPGK37nftZYgsmf4d22qHkyPtZ4mRx16fl+v8AnmqGc7d+HrV3aYdWHzN6&#10;jP8An86xb7wfYzvsMw+Y5+709K7S4tzuXEy7uvK//XqncWZT5VAxznn+VAHnesfD+F12oq7myN+3&#10;P1/H61y+tfCKy1FWS4sY2zj7x6D/AAr1m8tmd8lVGV+Xisy7sn/1pVc8/wCTUvl2HqeIXfwMuNNu&#10;Ptnh5rizmU5WS1l2ke9PgvPjZ4Rj8uy1eS+jQYaG+j3Z57tyx/MV61NYSRgRnI+XB54H0/8A11Xu&#10;dKnIwyKM8bm9fyrKVGnLdIqM5LZnn+mfHrxLpcynxZ4BmVWbLSWOSPptIPGPfqK67wr8cPh7rM6w&#10;HWjZMx/1dzGU2nPRjyo/P/GtCPwzI8qmJcbuvT8ev+f5jR0/4Q+FdZuVk1bRbaYdWEkI46ZHH0//&#10;AFVyywNGWq0NI1pdS/pesaffyNLZapBcR7sK0E6t/Kuks5n8gSAtk88tU1v8Avg9qsULzeDIba4h&#10;iCR3NjNJbuBjr8jAE+5HarEfwIGnW8yeHviPrS7om+y2+qNHcQxOSSCTsEjDnGN/TuK55YGpHZ3N&#10;fbLsJYXfz5/hLetUPjb8Xdc+BfwP8WfGfQvCt5rc/h7SGnbTrCR45Gj/AOWj+Yqt5aqgZmYjAVT6&#10;1oW/gT4m6f8Aunh0nUo0hBZ7aZ7aWV8/cSNgyf8AAnlQeuMZqHxV4f8AFWveHdS0I6XawRzRPaaz&#10;outWMV9DdxOqZUeXMUddhdSVLKd7KQcEDws/jiMLlNWcacp6bRvdpvW3Lrt1Wp24Lkq4iMW0vN7G&#10;T8GvjL4p+J3hrR/EGq6O1jJqPmLNaXDLJtEcjoZEdMB0cJ5iNjJR1JAJwPdPBpUaDb5lzu3N8uMf&#10;eNfP/wAIfDreDrGLSm8Mabo/2CC4Men6LGY7ZC8hIZAVXaWDbmGOGZuWxuP0JoludP0u1snfeYrd&#10;ULMME4HpXieF9TM8Rlderi5TadWfJGbbcYKySu7vvu2dWfRo08RGNNLZXa6s1ItpOPfPWr1swGNr&#10;/hWbbyFucrV2EqBkJ8wHNfp58+zQEhxtI9xU6yICqoay2vdhOWqxb3oZcE5zVx7kmtBIWHC/8Cqa&#10;STMW/PPpVG2uAOfMwewqQzozHzD9MdqVtdAJHcFcbQce1OztXkVDHIxfIHFPLE89vX0p8oFiL7ud&#10;wqePrjNV4W3AEDNWIguaV7AWoiobOKvW0pX5Sxx396oxnnpz61aiYKcAVVgNO0mBHtVuN8jaSaz7&#10;U/LyKvQNxzzWQFguY0yG/SoxKQcsPeh2BUsev0qOQME3k/XikBNBe7nA38j1rQtrkt97DfjWGqHg&#10;g1bt5isnU+2KAOgguSF2qdpx0q3bT7mI3Vj2sxcBCOe1aFq3zZHccUAXCQG+9UyZ9KrrLj7w/Gpk&#10;Yj5gOnGKdmBIsmTuwevNWYySMh9vfrVaP5j8tWIsqcigCxH8x+Y59KnhABwziq0O4EHjHXpVqIDO&#10;6kBMm0HGcigHzDtSgKOgNSRJngUAPQBVHH3qlRW3AiM/j2pIYwzdxVmNMcBf++qAQ0NzkZ4pyqSv&#10;mPn2FLtVDztp6rkZUbvrQgBUbAdm4pyxknAG73anAAjbt69qkRCjc/oK2J6DY4uNpPv8tBXYM7ff&#10;rUwXPyof+BUeShzuOTUi9SMRgc45/wB6mmLHzMTUwi4woppQ0CIwo7CnIArYC/pSorDoKWMEDO2g&#10;B0eD8pqQJ9Pyp0cYz83TFO8tj90d/SjyAhdTjJXdRUxhyOM0UAfB8ySEHnt2FV5Y/Vg3ccVakfaN&#10;inr7VBK5P3R7UGfUgnjDHGF/75pJUym7b+NS+Wc7844xTWIX5SM//roAhAYEEHp2Peo3jzhT35qa&#10;QADJPf8AKkZRwRQBWMP8R3cHFMntw6/OO38JqwyqvAJ46UjRjcAp5xwKCluZNzoVrcFswr7lRisv&#10;UPDKMvy8cYy1dM0bZ+9yeeKq3UW5SDhVHWgu7toec6n8K9Lluf7QtLFrW6Jz9ps5DGx69cH+dY9z&#10;a+PPDKkWaw6hAshdluP3Mr56/MAVc+7L6fWvVXjzHvKfWqF3YJPudkyu7pS9Bcx5iPiNpsR2eINH&#10;vtLYnLSTRho/wZCd3ryEHvxW1Z6vZ6taC807XIZFYBgoYDCliOuSOdp/yK29T8L6fdxMj249Cy9a&#10;5jUfhVo/mfa7O38mXkeZa5RufcEUyuY0Lhbnbl7TcCvDrzms+aKIrtKyx88gNj8ax5/CXivQ/wB7&#10;p+uXE21mwt3k5z0BZCrkcnqxqndeKPiBpb+VeaVFeIFxtilBx64DDcfxfNA/Q2pkT7sbZbH4GqrW&#10;jP8AOF47txVC3+IWjXB8nWNInspNuWaSNl39em3coA7lnwOucYrRhu9HvVWexv8AcrD76yB0HqNy&#10;krnj1qWMrGxy2dw9wB1p4sB8reV0/Optk0oM1ldQzpnhlYNj+lO33iqvmW3HY7utSA6009d+F+Xv&#10;Wtp0AiZX8tevWsyCe5LKVhPXP3elXbfU5YCpa3LdvqaBnUWNyI9q5/hBJq9DqSQDzJjwF521ztjr&#10;qMMSwOCOvy/pRqOuokfK7sjqv0/z+VTIrlNa++KXhTS9WttL1DWEgkuJAsKPGfmbBOM9M4Htzx7V&#10;1llJZanbmaF1mVuPmwe1fJviXxJaeI/2g9P8MrLI11ptmk+xvumOeUqD9f8ARz9Mj149xtNbudIX&#10;zYLlo+eFU/56VMYtjO3vvB+i383n3OnMG3AvsJAfB6H1rajl2/KPYD2rk/DfxCmvLhbW9jVznAO7&#10;Brq9UaCKdXt8hXjDYOeDWkacY7IblfqWbdz6/StC3mIXOD+FYsE48xf6GtCG4xFnv7mtCJDbmdvO&#10;++OamtbllXcTxVC4lU3HA+lS28xC46fWnsSaMV9KrZLdKnXVW25LZ7dKyzcYAIbdQHWT7x+amgN6&#10;11eNl61YivombiT8650OduVP5GpIbyRX/eZz607gdTBcRkBc1bjlQrkHPvXmPxR+N3hj4O+Gv7d8&#10;QzCS4mYpp2nrJiS4cDJ9cKONzYwMgdWUH51T9pX9rz4nai3ijwP8R9H8K6ErMLJJPD6Xb3rcgmON&#10;mUxxqQNskjSeYdxCBAkki5ew7M+4opFKirVvIGcKAK+NdA/bW/an8AXvk/E74d+FfG+m8BLrw752&#10;i6gigjJMcz3EFw5GcANbLnGSBmvXvAP7fP7Mvi1/sXiXxpN4H1FVzNp/j63GnLGxYKsYvCzWU0jZ&#10;DCOK4kfGcgFWCuztqFme9Qso71egmCnbWXAZVjV9ism3crKcgg98ir0UwA4B/nWYFt58L8x6Uxpo&#10;5Bj371Ve6ARhu6fhWfLfzIVCN3zSURG9Gg2gA09AA2c/lWVaa44bbMMf7VXrW+tp22gjP+9VcugG&#10;1aoPlJWtCALgFRWOdU03S1W41fUba1jZtqSXVwsak+mWI5rY0+e21Fd9hdxXCjGWt5VkAyM9s9qn&#10;laAsRj19cVYQHb16mq6KCfmNTRnOQU981IE0SgHJ9asIrD5h0PWoUXaSSP8A69WLcD72e1MCaNhx&#10;gfjVqDLJnHbvVVRtTrU0cuxOW6CkBZQ5PIqzAg27ju49KowXG6TYp7c1pIG8v5W696AHQhcblPtV&#10;hQe/FQq4VcA5x1qZHLL8pppXAcqqD8o/DFSRoehAz/KhVA4FSJHz8j1oopANjjJbIOTUgUFfnP40&#10;9FOdrnn6UojXOC5NMQ2OMH5YzUgD42k8/wB6hg44209YQq5aT8KNxMjaLng+tIVxxT5diK0zuqAL&#10;yzMAB+deFftF/wDBSz9hn9lKO5/4Xd+0Romn3VrkSabZs93dbht+XyoFdt3zqduM4OcYBNVGMpE3&#10;Pcdo7qT9KdGnGRX5T/Gj/g60/Zi8Jrbj4H/ATxB4sbcwul1i8Gm+VhgMghZd4IycjkY5FeXav/wd&#10;m6rqRuItD/ZSbTzJbj7M8mvCbyJt2DnESl0IwQMBgeORyOiGDrSV1Fmcq1KO7P2wiTI5NSLCCMnm&#10;vxJ8Ef8AB1F4xv8AW57Xxh8JIYbOXSD9nktWBaG9XOMk43RuMcgblOeDnj75/Y8/4Kf+HP2sbbR7&#10;jwdNGscmkxzaoL6MIYpj99Mjj5SCuQSCQSOKqWDrQXNKJKxFGTsmfX3k4GAKKxvB3xK8JeN3ay0n&#10;VYWuIwSYfMAZgOCwB5xn1FFYez8jW9z4hkYAde/NVZAcbt3P0qw0MSStdBSGZQvLnGBnHHQfhUMw&#10;DnaOnrWRkRSsN2N36UjRkD5/p9KcFIbbg0MuSQrfLUgtxhUtH9/9OntUQnXz/IBcNtLfdO3H1xjP&#10;tmpiNq5xzTXGOxp3KuR5DcYpJWQDPXnGKUgucMpGOetIdyLgikWMLgZG0VXdjtYlhjFTMxxuH1qv&#10;cruYEj8qAuRyITHtH4tVO4hCttGfmPer8km2TATO6qU5UDzG6Z+XmgbKsoGdxNVZkC/KFHvVyddr&#10;c81VnQk5ZKAKssMZbaVX1+7VG70iwnbDwCtKREA2tVeVGClE4oA53UfBmlTDMY29vr7/AFrDvvhd&#10;pRkF2kQ8wH5ZI/lZfo3Xr712zjI24/CoZ1G3JB/woKucDc+ENStn8yG/ZnRSFaaJJWHP95lLD8CK&#10;pzaZ4qEnmrqbRhU2+XGzgbsdfnLjjr07n8PQpU3nhahntoZjzErY49KlxKPOZb74p28g+yz2M0fr&#10;JNiQjHPSIfoe/wCFWP8AhLvH1jNFEvhm4ugync1u1uFU4775VPtwD+FdtLpkLkgJz6Zzimf2JGeU&#10;TjqCV5rH2Pm/vNFU7pHOWvj3xU0ZW88HXUPBClvIIJzx9yU/yrO8QeNdUtWla8sYbddvyOrOxP1A&#10;Xv8AU118ujxspYxj04/zxXM+MfC2pSWUotbdm3J8qx/eFZyoy6Sf4f5Giqx7I8Fj0LxLrfivxb4t&#10;8JfFzRYdc1SFodFuI/NmfRJFtwiF4/KKtsnZpNnIJbDdTXt3w5k8eSaNaWfiXx9oOo6hFaxxTMsd&#10;6n2iUIMyELaAJuPJHIUnjIGa83+Dlh4V8FXl5H4qjj028nvrid0vk8r5nkLcMcA9eoPb05HuHhy9&#10;0DalzZXEDb13K0LAhvxHXrXRGNjNtFxtZi8CCx1bXdK1C4j1DVrTToF0qwkumjluJVjV5BGp2xLu&#10;y0h+VVGT2z6xdXAM+0ONq4X8q5LwxdRXFwGB3JtyzfSttbrdLkd/etJEo1IJGD/Kfxq4l1sj5br7&#10;1mwyArkHv0p01xiPdmgodLeHzPmapILpieWrLkuVLctUkNzGpxnt60JktGrJdt0Bp0d0WUEtWU9+&#10;Q1C6ifSgOVm9HPtOCecVV8VeLdD8F+G7/wAX+Jb4W9hptuZriRiATjgKuSMsxwqr1LEAdao29/5z&#10;bUxur5J/bT/aJHjPxQPhx4a1DOi6HcMLp1PF5e9CevKx8qvqxY8jbWlOPMyo03I5P4tfFTxN+0J8&#10;TP8AiYFrNtQDRx29vcfNpmnITu2tgEuN+N+OZZVOAMKO70/VYtMsI7CyiSO3t4VhtYIwAsSAYUAe&#10;2MD8PSvI/grEs9pfeKpkYTahO1vFu3ZSCF2QjawG0tJ5hyMhk8o9uO2vNXigjaEqrfMrDnnHP+H6&#10;11csTZQOrHifUFiVbe8ZdrDpz0qKbW9Pvo2XXdOhnUr8yqoAPT2rl21ZUtfNyxZuVH4VW1HXGgtd&#10;pl+YcnDdv/1/yo5QcGjsvAoHw0umuPgd8Qde8ESNI0n2XQ7zZYtKwAMklm2+1kc4HzPCx969u8Df&#10;ty/HTwihsvit4Y0XxdaxxDyNQ0VTp18x3IP3iMXhkbb5hyohBIVdoBLD5w0DVXkhVmUY65XvXa+F&#10;rqC8lX7a+IlkUSHrgHv71EoRMeW59T+Gf2+v2XvE8K2uv/EL/hDL6TAaw8dw/wBmhXL7FiFy5NrJ&#10;IxIxHHM7HPTg49TeO4hl/fxMuK+AfFmjaBqVq2nXtpHMrb1fcu5ZAeCCCTkH+VQ/B/TfGfwctV0v&#10;4AfEnVPCOmw52aHp7JJpaBnMj+XYzLJbxF3ZmZokjdiSSxJzUezE4s/QcTKCFNc58WPizpfwf8L/&#10;ANv3LRPfTsYtLtZnIEsmMlmx0RF+Zjx2GQWFeKeDP2s/jZpUfm/FH4baLrVjDE0lxq3hq7+wzIo5&#10;/wCPe5do2+XqxnjAI6AHjC8F/tEfBH9o34uwv4l8TW9ibq4W3XQ/EW22C2cUm6G3HmAxXEk8u1nR&#10;Gfcr7QT5WanltuLlOis/BGk+P4D4p+NWkW3ibWb8+d/xPLdbhbGM7tkUUciYgO1iXCqDuYrkokYV&#10;nhr4G/DfwbfR6z8J/Ddp4P1K3kWS31LwzYxWksTbw5+4oDKxVdyMCrj5WDKSK9p1Hwv4QS1mWDSY&#10;YXP3WySQewHP6dKh0fwjY3FwEluPJhjQyTS/3FHf6k8AdyRS90jUd4d+OX7ROg6eo1Hw/oPjBU4S&#10;S4uH0m6K9dztHHNFI3sscQ/r3Xw0/aS0Xx1qkPhzWvAHiLw7qE03k24vrRLm1uZNpZvLntmcKoA6&#10;zCIkkAA9K5O1tDqE8Ok6VbBGuZFihjwfvE43NjJwOpPYAnoK9k0Wyi0fTLfRLIsIbaIRx9Pmx/Ec&#10;dyeT6k+9RuPU1I9yjO7dViFsjj5T61SRvmw7YK8/Wp7dxkAv1qdwL2dycjHr83WoZZWU/e70eaGj&#10;wWG30qGQFzj8qLWJZaspzvYn/PNbVvODGoUZ4rnbaNg+E+bHtW1aEhc4/h4xQFy0kjNLkrVi1kJy&#10;MbRVAzFCXNTafPltpP3v0oC5qxnAy30qdIvlDHp7VDbqTtyatIgA9c9qvQoWNEUbmPDU5hGD8oxT&#10;hFjr+XpTwGkO0J79KQDArEffOK/Pz/gp7/wXu+D/AOwZrdx8JfBng+88R+NFhJkhkhaKGyLLmKVv&#10;NCC4jY5/1Tn7rAspxnwn/gvd/wAFm/Hn7PfiK/8A2TPgmbRpNQ0tk1bVLSS4ttR0m4JIBiuYpF8t&#10;wBnCgnB+8vIr8MvG/wAQfGfxL8RyeKfHfim/1jUJt2+91K4Mkr/MWO5zyxySSTySSTya7cPh+bWR&#10;zVanLtufWH7RP/Bcz/goz+0R4r1DWr342nQdNvY2hHh/w7aCG1ihb/lmfM3s5HZ2YsM8EYGPlDVv&#10;EWsa5P8AbNZ1O4u5+nmXEzO2MYxk9h6VkRgkHPO7mpIi236N/WvVp0qcVojglUqSZM1xKGzu29/v&#10;U77RIE67eMs3r7U1V3oNy+4qaK3KDkZAOfqa6E7GPLIktLlhIAzDtwW4r074KftSfGL4F3jXvw58&#10;Y3WmM6bJmt5SpK88ce5Jz6nPWvNI4osbmUjn727p+FOkMindG1bRfNoyeXlP0R/Y2/4LFfE/wT4p&#10;hl+JXxB1RbXyZFuLq0jia6uH2nbvaUp8o4xhh9OMEr89be8kzuVfmHaij2FGWriiVUn3Z/SSzjk4&#10;yf8AdqFwf7vvz3qxKwB+U+9Vn3g7WALV8eeyNBA+YfX5cc0kgzwfwpWWUjOM9wtNbay5K8t2NIVt&#10;QkLKeTn8KifaG25p7li2wj/dqNwycEH8KQ9BpLb8j34NNkbeo/h9acdu8nb+NNlUlNyelBfKR7SG&#10;xn5ahlR3kXDj73zDaeRTn4k27Dj17U2Uktux93vQHoRyOCcDHovFU523bjuzn26mrNy5xncvtmqU&#10;7lvu/L6mgroRzFs/e7flVeTcG5/M9qnkPmDLKRj0qJmCx5OfpnrVCKszbnwT7mq87MrMo7tg4q1N&#10;wMlc9qpmUSZZRntn8en4VIEb7id2SMdflqOTDfKTt96mkYrk8jtyKjdhsZlJHseKCirIyqc+/eoW&#10;ZyNxmx6DGakdN5ywH3uPaoXDkBiCV3dAaCxYyoHmAbmkpeWPf738PcU2LcBuXjt9acGb72G9frVW&#10;AaY5Y2+U7l/3ugxQsHmjeQCe9TBjIcFwT0+WpIyxbOf+BUrdgM+fQNPvN0dzahg3YrxWHc/BLwZd&#10;ztPBpn2WZuDNZsYZP++kINdgoJbOzPNWIkXOcf8A1qRSMPwV4BufCF3GbTxXqk1vGrAWt1cCVST3&#10;LuDIcD/axnnrXWReYMD0NV08vstSwzFG6e1BRr2rt0bio767KjaGqGC5KnaQar6jchnI/WpsNA1x&#10;kAb8+tSR3GB3qiHToaRpgi1RXKi/JeEc5qtJqTIMbvfpVC8vti7Q1Y+q+IbPS7OfVNUvkgtbWFpb&#10;iZzhY41GWY/QZNVGNyuU5f8Aan+PrfCbwA2m6Jdbdb1xZLeyZWKtaw4xJccchhkKnI+ZgedpFfDP&#10;iPXrz7I1ppU0YuJ5Ft7PzidhnkYJGGxzguyg+xre+N3xj1D4p+Ob7xfet5ccjeVp9sWJFvbqTsTr&#10;1OSx/wBpj2rj/CFzJqXjS3JeXyrCF7mTYeC5+RFb2O52+sYrspw5YmsYe7c9w8LR23h/R7fRbB5P&#10;stjax2sPmyFmKooUEsTknAHJ5OeauXeoL9vjjLfKvMnuAM7fx6Vz9pqHlQRqz/e+Zvl5PegarkSX&#10;I6nj8K1NoxNafVUK/O3C8sBnP/1+RVG+1Z7hmbcM9VHpz/Ssq71XPyrxu7VB9pUJj9fWqsTJHf8A&#10;hq9byIwp5I+vP4967XRrk+VJh2G6RR7ceuen9c964HwkJXghVEb5tvy128BHkCOPjZ1b19fwzWUj&#10;ncdSzf6pIJcRvuVTj2HvW/4Ggur2f922c889APX6f57VzEMUk0/lxjLO1dTe+KtL+FHgy68W6hGJ&#10;Db24KRBgpnlOAkYJB6sQM845PrWYuVkP7RHxStvD1hH8NdNvQGkhWfxBKrA4iI+S3PoXPzMP7g2k&#10;ESZrtP2JPDVppum+KvF/i2xhum1URWktvdWyMI0KFniOQcmRXiLKeOFGBg18qeGfEF58S/GNxrXi&#10;G4WRbKT7Zq7RrlXmYkpGRnIQ7WwMEbItnAwa+v8A9m/w34mv/C+n3i6NdMt7uu/M8viYSHMbD/tl&#10;s6dveqlG0RVFyxse86TdyXixyMgVdoWGJeijsoH+f5VrS3KFFtVG5VOZX/vtz+gyQPqT34y7G1ut&#10;NP2a6iMcqqFKZB28e3HTj86sXc4t4cqOcZPNc9jnOy+EOnrqOu3WuzR7lsYxFb5A4kfqw9CFGPpI&#10;a9KhnwS2K474RaebHwPb3DpiS9mkuH+hO1T+KKp/GurRmxuWol7wFoXQ3/Mv61NFcgfM/NUdxzkD&#10;vTfPWJsq3zfSso3A0LrUWgizEep4z2qvbeIMvic/pWLrOr+VIsO7+HJqvHqa4BB/CrJkdzpF3Ddy&#10;5STPFbcPynY7qrsMqrMAT+tfPvxc/aCm+HES+DfBiLN4i1GMFHOCtlESQJMfxyM3Cr04LHgBX8h8&#10;QfCbwB4zkMvxF8MWfiXUJiTcX2txC7kMhxuCGQHYuQOFxnGTliSWosR9vTRsh2FcH3qxpoLPn09K&#10;+ZvAlh8QvgtoUekeBtcg0+F7VHs9F1Cy+0WcKbcRgRhkdBjnajqDx1r3P4N638UtTtVsvil4QtbW&#10;6WFXbUtM/d285wOBC0kkkROT8pdsBeWycU+Vgj0Oxj/d8pVmKIgZJ/8ArVHaxuEwRj1qxD8qneuM&#10;9KXoP0FWPHRs15l+2H4N+L/xB/Z78TeDfgfrkul+ItQ0uaLTtSt75rWa1lKHbJHII5AGBxwVIPTK&#10;/eHqEYBOQDTtu7jbVFH8df7Wn7Nfx2/Z++KmpeHfjta3k2tNdM13qlx5pa7Zmb96xkRHyxBOXUMT&#10;nqc15nb6bcMQfLLH+HB5+tf1Vf8ABaXW/hp4F/YJ8aa54t+HWj65ealGmmaV/aWnxTeRcT5jE6ll&#10;JVkUswIweODX87d94B8P2a/a49Ijjk252kdDx7c11RxnJGzQ6eAeIvJM+e/s06Psxjd68ZqbT7CW&#10;Xvhd3XFd14x8NwPqTSx2gRWbKrGvT1NZP9lxwgxgMvX5uOtdkcTzRTOSeE5ZWMtbJUG0KeOpoezU&#10;LsVf/r1ohVK7UXcO4HBJzSNA2VDoqoox6/jW8anUydOxl42lgQWHddvWmsXVdq9uVX0rQewMb+cM&#10;56baqSIwc5j3YPP+fauylLmOSrTcSNY/l2+vv1oqSFE8shTx09KK6zj1P6SpMcxqo/3qidflzJ24&#10;qSRkUZVuhyuahlL8NEF+7kiviup7gmxgevXtSuGxwf8AEUAf3xzQTnp260pAMcORkCmM2G2np2pz&#10;PvGG5qNmXDKzYJP8Q6VJV+whywXDVE2Rx+FOyC3Lc5prMxGCPrmmV0IZNu70qOUxhlAH3R17VI7B&#10;U/8A11XlPzYL/i39KLBsiO7+Yht2P9r+lUrgowbJqzcN9cD8qqOxGQFGKQXIbgsUO1sfN24qJnYA&#10;BOPX/Peld22/M9MJO1Sx/wDr0x76kc2WLHOB1/WoSRt3D8Kkl3r3PvntULszMuxP/rUhiO2xcFef&#10;eq0x+Xbu/h9Knc4XIb6VmTXeoR6o0Twwm18hWjkXdv8AMy24HjbjG3HOc54oGSFtobBy38OOgqE7&#10;mbOc9qc7HfuKttxx/jUahGPyfLzwBigYO5VFyv3c7ttODLt5PXmmF2Y42d8/SngDIG386rlKHxuS&#10;xwe1TRsVPC+/SooBvbB71ajRVTFMBY1JfA+vWp4mAypH/wBeoTtxtBpyOT9/9KkpEyODxUynnr1q&#10;tGcDpmpgx60jRIsJKw6NUNxL5jfMKRpMDOKrCYs31NBQrOw+UU2WYJyR/DTJX+bnmq1zcFQxz2oA&#10;ralfAbvmr55/bZ+K8ug+F7f4daZcFZtYQzX7LJhktlbCr06OynPPSMgjDV7X4k1m00uyn1S/uRHb&#10;2kLTXEjdEjUZZj9AK+AfjH8Rrr4g+ONS8XXJI+2XBMcZI/dRD5Y04/uoAD0ycnvW9OJvTjc5fVdZ&#10;ySGb/gRre+F4IspNSH3r65O31WJDsA+mQzj/AH68/wBX1BmIhimVJJpEhhZ87Q7sEXOO24iu/wBI&#10;ki0y2t9MsvlSGFYUJblVUAfyFdcTXl1sd0+thC2JO20AHpU0Wqr5KxKw+7muQk1QLtXOOpbnpVjT&#10;dXeQNNI3fvTia8pu3Opfvtqk7t2Mds1ZR2lAZmz6VhxTGWUMW7+3NbmloJmUn+8Pr6VqZSPUfA1l&#10;vjjP/PPhV/2j/wDWrudO05EtWMi/Nzx/nvWD4A05TbKhT5duf/r132naT/o6vMen4VzyMDLsNJjg&#10;mWaQtnhvce1eV/tA/Hd/CHxJ0uy0zQdL1aLQf9MurDWrczWs1y6ERrLH8u4Rqd+N21jIuQQuD6d4&#10;m8T6foNle61fsVtrOFpJP90DPtk/1r5B1K+v/iR42WXUpGaXU7tp7tmbPloeSuc9Ao2j6Cqpx1Fs&#10;j7A/Z/8A2zvF3hH9nTWvgx4H+BHhmHW/HLXl5fapY2hUWrXSLCZkjKMYNkIjC7XVUk5AOdrfTvwN&#10;8Y6d/Zkdlp+htaw2NqlvZwrP5iKFUBckgE/rnHvXxj+zXCt5LqurrMSGuI7aOMrjCxgtkHpg+YBx&#10;/dAr7I+FGkJp/h+KZU2+cxb/AA/SitFRjocspc0juRMW3SyMzN1LO2Sfx7ms/Urqed/s8KM0krBI&#10;VH8TE4A/Oln1AwZhX0rb+FXgseKNTXxTd6gi22l6ggjgRCzyzKBJyeiqMoe+7JHy455TI9g021h0&#10;vT4NJtWPl2sCRRk9SqqAP5VajcDgCqgmQqSTj6U5Zc8h8isdmVcthwx5OagvJ1iG0HrSLNtXLNWb&#10;rl+kdo8gbthfrQMx9f1NXvM5Gf6Vzvj34iaf8PPCdx4qv18zycJa2ythriduEjHpk9T2AJ6A1Ne3&#10;okl3A5J6V8g/tcfHubxX43k8M6JeFdL0CWS3haMn/SLvBWV+cfdP7sdejEEh+NqdPmZmdh8MNfvf&#10;GHj7UPFus6sNQvJGee5uI+VaQnaqrnoijO0DoFUcYr2nwlprxzx6xcj5Y3DRqyg72B6nPb+teIfs&#10;i+H5JfDM2sXI+a7nA3Y6xoOv/fRYfhXvMN8iRseFRFwqjoBVyXvWJl5HeeAba68XeLW1PVpGmW1x&#10;PcO/d/4F/TOOmFr2u48QaF4L8LXHirxLfrbWNnHumlb8gqjuxJCgdSSBXk/wNtnXw22oSkb7+6LD&#10;/cU7R+oavJ/2g/jzN8W/FFn4U8KTsuj2t0sWnqSMXMxJRrsgdsEhOvy5bguVEctytjvtd+Pvxb+I&#10;2ovqPhfxhceFtHjlK2cOnWsDzy4PV3lRx6ggDBPpty3TfCn4gftA6JA994i8XTeMNPLsN2tWtray&#10;BsDCpLa28ajGCTuRjz16VxXgTww949vp8UZS3hUBiOyj+v8AWvYdFs28R6ha+HLKHybWFcCOP+BB&#10;95ie5PTPrgVL9AOq8D/FX/hL75NM1H4ea7pbyKphvJrZZbOdtpLCOVGJwpBG6RI8nGOc47J4oyMA&#10;df0qvZqlvElrDGqxxqFjQdAAOBUx3RnLfMD3oRofnn/wcafGbw38NP2UPDHgjX48jxJ4sDq2OdsE&#10;TEheRzl1P0z+H4f6p4y0nxLO32D5Tux5foP8mv1j/wCDjj42f8E8PHfgGX4d+OPG2py/G/4e3Udx&#10;4V8P21jqLRzxzSRpcqxWJrTAibzdzskn7pdrYYq34waT8QNU12fyfD3hSTEZ2tJcfKEOcY6UOnzH&#10;dha3s9Da1vw4mqxtJDJtZa4nVLGWzlZHX7pIzXVXNv8AEe93E31hZq3eGBpDj6sR/Kubv/CWpSuz&#10;X+vXc3zHKIQqj6ACtKPLHdlYqHNrGLMlo1K4dkH1Naej6Vfa5utdJtmuWj5+XBxn3q/oHw5huk3S&#10;q0gAwobPNWr6xHhwQRWtrItuWPnLCv3jnknuR/hXZ7aMtEc9PCycrz0Rg61omo6PP9m1LT5IpGQH&#10;a6/KfcHpWS1p5m7CEfLXp13p0OqeFdT0y3uN0a2q3VlNNz5TggHHpxwf61xNlpup/OL6BSoX5Wjc&#10;c124WpzXuceYYWNGaUdUzFa2jiTcnO45XcKK1BprmXaR7dOtFeieJKm+Y/ok78+n5e1RhQc8n25o&#10;WTeuNv51HM5ZslcfiOlfHu99T1WPDFDhf5VGMAh1JP1PSmAuEyH/AMD+tOaU8ADtyfSpfuhqEhYE&#10;VC8iiVsHP+z68U6RyCSR82M1GzBvumpKXcDJg4FQzOFXIGfWnFgJMZHI5BPWoJvlGR+fTigoSSbC&#10;59f0quzsFONx49OtEsoJAUN3wTzUMk3PHpigrQS5lD8E89jVSRiE2/hT5ZwTnZ/iarTybmwWGD64&#10;oEI5B6qaYXJJbd19FpruMYHr8tRvJu6HjvQMLp3X94EY7ey9+PrVdZ9yr5kbRllyyyYyvHTgkZ+h&#10;NOklbdtCqPUf0qKZsGmAyZ8NlRtGMmqspO/K/wB3+H60ssrAhg7c8e3+eKqSz9cnjHX1oKRJK6yD&#10;a7/Mzf5FIZGG1cNljjA/z0qtLcqF+aQfe7GmtqUKgFplPH97rR7qKsWlKtyT14/z+dWIYXA+X+Fe&#10;N1ZtprWjOfKF9GG3fMGZeR+fSuv8LadpWuwu2m6xazeS4EkcdwpZCRnkA8U426AZsFrIGwTmpTCQ&#10;Pu9etdG+gxRqRhfu9ulZmoWyxSFFPv8AWiXYqJlrG46fypyLtFTMqg8fSmuQq4UVnzI1URVGBhjU&#10;qYUYqDe2cEjr61KrHHH/AOup5i+WQSkAZYVVLYfA/vVYuH+XvmqbyYbrVcxXswvGK7dpxWdqFwFQ&#10;nNX7uQNEprC1u4VIcF6rqVGB4V+2p8Sl8OeAE8I2dzi61qTbLt+8sCEM3T1OxfoTXxfrephmY/zr&#10;1H9q34gDxj8WNUmgkX7NYN9itdpBBWMkMcj1fcfpivFNYvfmILH8K7acfdOqnEs+G2e98TRy5bba&#10;RmVmSTgMw2orDuCN5+qD6V2NlcBrrbv52niuO8DwILO41Vx891MVViuD5afKB7jdvYezV0umSoLl&#10;mY5Kr2rboUleRqXd0wDOv8SgdO1LYXsiQhSe/wDSqklynywrjLN830xTGm2ruH3RxRE0lG0Tr9Hf&#10;zFVs/jXXeEYTNcwjH3pF4xXC+HLhmizu+9XpHw6tTc6pbqoHDbm561s7NHPJHt3gTTmEMbru+Zec&#10;D3rqNc1AaXY7EflVPy5xVXwnax2VgskgUCNcAmuf8aa7G8wgVuS3HFc+7Ofc85/aR8W/YvBtv4fW&#10;fa2qXIWTnpEh3M2c+yjqPvV5N8OtCto7LUvFE8kvmNMtpYnylMb8bpCWL/LjMeDg5y3THNj9o7xP&#10;Z6n43ksprlhHp9qkMcaJu3SN85/QoPw+tSQ+G7PRtJsfDtteLNcbFVtq5/fOeQD3G5sCtY6HZGjG&#10;VPU+j/2UvDt6ui2+6CaTepmLxxEod7hl+YcdCo719j+H7aPTdJggHSOIDjtxXzh+y94Igs7iPyQP&#10;L3osS9tqDjgfh+VfSF5OIINrNg7fSs6kuY8mvTVOo1cr6hekOxQ/XNevfCGzksfh5p7zLGrXSvcs&#10;0f8AGrsSh+vl7K8NvJLi6dbKyw0txIsUKlurscAfma+jNNgtdMsodLso1jht4UihRRgKqgAD8q55&#10;bWMXoXlbaP8APFKJpAOtVjPj+L9KQzDGNxrnYiybvCkj881geK9TSG02huW5FX7m4EakFuvauI8b&#10;avtuTHu+7x6Yqox6i9DzT9pr4xx/Cf4X3mo298keq3/+iaUDgnew+eTH+wm45PG7aD1r4Z00XWuX&#10;9npGmFnaWbZHCqF2Yk8AADr9P1ruv23fi4/jL4ntoGmTCS30FWs41wMNcE/vWHfrhP8AtnUP7DHh&#10;+bxZ8Y11Cd/3Wl2rzsxXoThQOfUE16FKHLT5gltY+tvhnpum/Dn4Y6PpOpTLbzSW8YkjlXa3mvli&#10;m31yx47fhWv/AG7C8brbXCuFHzL6V5B+1d8bNF+FukL4l1KYtBo1qblUjYb3mlbyYVXJ/wCun5Vd&#10;/YU+KngD4rfBzWvjZ4k8S6jd2nhpi+pQ33lRzSTKSyJwERt/3VAA3ll6HiufeVyXpoe5/H74nN8P&#10;vBum/BvRLrbqF9p6/wBrTR5/c2/Rx9ZG3D/d3eoNee/AnQ28WfEVZxExhsbdnX5cruOEUex5JH0r&#10;zf8A4TXW/iL4q1Lxhr8q/ar+fzbjb91PRFJ/hVQFGegAr6a/Ze+HV94U0W81vXtOkt7q/mVYYpMZ&#10;WJVyrY7ElnHPPFOXuoI7nrGh6Xb6Npy20IHyjMjf3m9a7/4P2Y+z3mvSL96QQxN7Dlv5r+VeeXN5&#10;5abAfrXrXgawGj+FLG0bh/JEkny4+Z/mIP0zj8K573LRvoxxyc5b8qfJNheXBqqtyQPmNQ3GoJE6&#10;lmH3qWxZ+Hf/AAdH/wDCqv8AhqDwWnw9nMXjQ6OreMprAAIY3IW2E5UZMgSLoxOEZegIz8I6dY2K&#10;WC3NtFhpFyzHn8a+rP8AgoX+x3+3rL8VPjF8dvjF+zt4gutHsddvtVvvGUcsM1p/Z/nMIJYmEhJj&#10;EIjwgG9FADKuDXyjbzeT4Z091hZd9uCvHJB5z+XNZynKUbHvYTD0adpRlfuQXssEJK7fvZPIrKuw&#10;pfLR/wAX4j/P/wBapb6fbKpZ17j61mXl5Efml/hP8VZq52zUUb+nSJFBkew/z71V1HwefFOqm51a&#10;6WGG3t8W4jyC2eSeePyrKTxJBbRtbeblWHO7isHUfGkVgrW03i3bG3Ij3bmH5c11UYzexx1K2Hh8&#10;Z0t5eLoGiXGkxSgySoIo1GSVTIJJ/IfjXOxI1vlHh4bjn/61Raf4u8LmYg6k0m7kt5bcn649xT7n&#10;V9Mfbcw38ewN94uPwr0KPPGWqPHxlanWlo0T2umrNMPLj9/lOe3Wiqdp4t0a3fzLnU0XaMfLk/hx&#10;RXpx9pbQ8SUqalufv9/aKKCWlHHXNR/bRv3hunXnpWdPeqkP3dqlfmbcM4/OoF1AbdxON3t+hr5q&#10;503ZsjUSW42+hX1pXulJ2sfT2x/jWF/aEZVjHnbuzw3T/Ip8mpgoVZu/5/rUyGak95Hu+cdOm00y&#10;W8QPtI+X+VZBv4w+FZuefYcCq9zqaoQGbIqSkbJvVxklW79KZLdx7ME4zj8KwX1tVZQgwCPmVf8A&#10;P+cVD/bB3FA23/gXNBRuTTo8Y+XntzVeac/dTk+p71jvrW18K3odoYc/pUb6+pLIzd8c0BY1HmQn&#10;fv8A4s+lVJrgM+FXIrOOuI7OFIO3AwW/kKhfW4t3znGOQR2oK3NISYPGPQnv1pkkgJOHwR/FWd/b&#10;Ebswyy/N64z9KautI0ZRyQp4/p/TpQBckuWYbweP9mqsk5X5lP1qq2roU/ebWXOPl9PX2qndapDI&#10;rYY89Pm5/wAf8/mAT3N78yhcg7cEN3qhNdylsl/4c9faoP7ShMjbj19T1qnNfhv3iuN393/Pbmht&#10;9DRBq92YkwzH646f/XrJutR2xO0gPqQxJ7daXU9WRomRDuB4Lbqwdcv3jtHIbOeP7vFRqVYo6l4h&#10;ezjkkSX5tvz9yP8AP+RWL4M1e6tJzrNvcXTO158zQ3hgk242kqwDYOM9QQenvVHxFqiQae8sgwrN&#10;93HHT1PNcd4s+MeifCPSdNt7/TLq8uNRt7qa1jt2RV/cwtM5kJOVXCkbgrdeh6VcBM9n0j4q/FvS&#10;b6Kew8fXH2bypFura7iW5aRiV2MHkJKbcNwBgk9sVseJ/wBp/wAQ+DvBd14l1rR11VrLy0a1s7dl&#10;uJmkkWNMHIjHzuMn+EKxIAwa+W/C/wC3X4I1NGk1T4fa3BNIyJHBp7R3JLMyqBzsPVhnjgDPQV6Z&#10;8T/ij4p+H2gWeoeCvAEviC6ur5YbizWWWPyoRG8jPvSGUb8qqqr7VJbG4VniJezpOT6L1/A6MLT9&#10;tiIwSvdrTb8T1LQ/2yPh1rGqWXh+ay1S21C+tfPjt202VjtwxI27Q4Pyk8qOOa6CX48aE/7uHRte&#10;k3dGj0KcL9clQK8j0b423N5dz2Mng7W4fszAeYtiWVifTA7dOuM961j498T3biO38JXqq3/La4uI&#10;VRfqA5b8ga+Xo4zEVI39tKXpTf8AlY+txGBwtKfL7FR9aif6noa/Gm9lDHTfh1r90V/vJBBn/v7K&#10;tT2/xn15HJvPhD4ghjXlnjurGTH/AAFbgsT7AGvM4tZ+Id5FIskmnWPzfuZF33Bx6EHZ7dzmlnsN&#10;UvZt+t+LNQnjaLZJbRyLDDn1AQBh+LH8+a6PaY9/DzfPkivwTf4HN7LAR+Ll+XO3+aX4nr+lfFfw&#10;rrs/2KHU/Ju1BLWN8hgnUdz5bgMR/tAEe9aA1yynOYruNv8Adcc14TD4a8HwspXQrVpI+Y55QXmQ&#10;+odiWB9wcj1qzNrcvg+/a21TSLW6tHtwYrh/mmt2J6yIF/eKBgg5LZOSGzkcOOzjMMsgnVUXvte/&#10;3du7XW2h6GDyfL8wqNU3Jetrf15dup7nLcBoq85+O/jkeA/h7q3iQT+XNDaMtoeMmZvlQYPX5iCf&#10;YV47qHxe+LPwg17S/EtxrK3/AIZ1jVvsFroNzmSRLcRM3277SWPVwFCINgjUk5Yhqyf21vjJofiH&#10;wno2jeG9TWWK/wA3020/Mqqu1A3PByz8f7P0r0skzynmmjjyy3t3XdGeZ8PVcvknF80e/Z9mfMvi&#10;W+LSSFj35bNcbrV5KwIt13St8sS+rnhR+ZrS8R6wMsWbvWX4bRdX8TW8ZDMlsrXMrNHlePlVTnod&#10;zbh/1zNfXRkeTKn7OOp2GmWsWn2UFhHytvEqL74GK0NOcqXZf4uB9KomcE8DirVlIp+XJ6VsZxRc&#10;iYiV5XH8OI93r6/59ahkugypE33hIxP6f4frTiAkuHY7cfkKrnP2gk+uaUS5q6Oq8O3RDqoavZfg&#10;TYtqOuqdhPlRg/d6Z/8Ar14Z4YmLXCoy9K+lv2Y9JBsbrWpR1kVI8g8HH+fzrT7Jy1D1TV7r7BYr&#10;GG25X+GvNNe1gPeNI8rbVzz9K6n4gawsW6MP91cDnvXkPjrXza+HNQu4piryQtFC27q7/Ivb+8wq&#10;IomELnj01xceK/Hrag5ba1xJeSL02DO5QfTqq11ekeIo9O8SWep3d20cdvcJLIyqGwF5HUHjOK5v&#10;wXC39m6h4ieHZ9qmZIVXsgPOPbJx/wABrqPhL4Vfxz8TdN0Axb4Y7hbm+XbkGGMglccA7jtXrwCT&#10;zjFadDq92O5+g/7Nmg3UOhxanqFtGsjQHBij2jcxyR+AwK9F1m5wp/edvmNZ/hDTV0Lw7Z6a0YVo&#10;bJdw6YZ8uR+BbH4VFq98GLANg9K55as8OrLmqNmv8LtPXX/iZpkLw+ZDayNdzf7PlqSh/wC/mz/O&#10;K94WXBJz7184/DQ65d/EbS7Tw1cSwzNMGu5Imxi1Uhpd3XggbRkYLMo9K+hDcAscVjIyLBnJOAfx&#10;o34+89UVuyZSFp32pYwxf1rGW2gg1K7EUTNu4C14z8b/AIkWnw98E6v40vyJF0+1Zo42bHmzE7Y4&#10;89tzlF6d69G8W6yILdo+7LnHtXyX+3x8QX03wPpfg2CaRW1i+ee48vG14YACUb1JkeJh7pWtOPvJ&#10;CPkvXbye41b+0dRvpJpXZpbiaZss7t8zMT3J5PJ6mvpz/gn14dOn/D3WPGrOTLqV4IIicjKoCxPP&#10;vJ6n9K+Rdb1ebU7j7HYx7pLiRYY1AyX3MBx+f5/hX3r8FtIj8AfA3R9HUofLsTNI0alc+axcZz3C&#10;kDJ9O1d9TSnYipocH+0V8HrL4061deHdceObTlnhuLi382SMTbF+RGKMDhWXdkH+I8c5rgPgfAPh&#10;b8EJvA+kGODT/Eniy81nyrW5Lq+nxStDZoWLEtu8tpfm5I8tv4s12Xxe+IsWieG9WurbUGhn1LUB&#10;p9vcKpLwL5ZaeRcA/MkCTSDPGUAzzXmVr4ge+jtdPht/LZjFFFbxyHbDEihUjXP8IGAB7etYxiQ+&#10;aW59Ifs1eG7jxd4h0qxuFV/tl8slx8oI8tfnYf8AfKke5/Kvti3ljhj2J26L6V82fsW+GzZSzarJ&#10;Eo+w6ekSegZ+OPwVv8nJ+gJNQCfKveuetL3rIuKOy+G+jWHiPXrg6ta+dbW8O4ruIy5OB0PpuP4V&#10;6c14OvQV5/8ACVfsPhuXUdo33k+Q3+yvA/XdXRPeXE397/vquWU+U2sbF1rMVunL/wDfNcp4g8YX&#10;TSMsJ2gdzUupXnkQktJzXGa/qflxl881hKsXGNz5Q/4LH/D39pj4/fACx8I/Bj4vaXo+h299JP40&#10;0LVLqa3GtQKoaJBJFG5IjYMxibCNkMSWjQH8XJ/EsWt6HDeKwjdf3UkeR8pHpjt/nFfsn+3P8abb&#10;SLm18LJOrfKZJoyw78AEfnX5w/8ABQr4U+B/hr4c8J694O+H1joceoefFqEml2ggiaTCsiMqAKGw&#10;X56nB644y+sx9pGD3ex6+BlKMbHzDrGtRwDAJyeBjvXOan4mjjVpGlIVTlmLfd71W1jUJ53a3ti0&#10;sm7jy/m4qifD73yq+sXO2PO428cmN3sW/wAK9ClBXuz0I0sVirqnH59Dm9d8a6hrdy1rZSMsO852&#10;5Bas9o/LIaWKXAOfmj/+tzXaG1to4hZ2NtHb26jCxxqPz9//AK1I2lQSL89svy9GHO78P8a9KnVj&#10;BWSOOtw5VqXlKpd+mhyUVz5PFvL7DPX8K0rXWZd5a7Rfm9evQ9/8RUut+GXDNd2EHy8lo1P8uKyA&#10;rR5Q7uG2su7GK9GlOM1ofJ47B4jBVOWa+fRm48sNxIWgWNuu1Pukc/rRWXHKBwz7h+HFFdaloeZY&#10;/oVudRVWG5twZsZ9KgmvvMXMbd8Dd061ky6siyb2H3VPzbeo+v4/zqF9QY7tu75QNo7/AF/XNfH+&#10;h6pqi8ZRuUlWLY69T/Tt+dON6pIIb5sj8K5+61dt4+f7qhhg9sD/AD+dMfW4mTzt8kat/F7jtz3O&#10;T17UrlG/c6jJH0b+LHPQt/h/n6Ztxq7ySqHDKG5OOccdPp+NZF34nwrbkIZV+X5vlI/P1rEvfEi+&#10;b/rB15xyG/EdPx9aRcTpZtXCymMydepz90/41Xn1n5M5ZQc/Nnn6/wCeK5O58URK+HuAVPCrwNvA&#10;4/r1qlN4tg3MkcqyMM4CNlvX8Px9DQPlkdn/AG0qvgSnqR97P+f/AK9Q3Oqh9plkz6KFH3evNcN/&#10;wmkjFkuJVXZxxjn8Rx/n61BJ4vMpZllUBh821eT/AJ+lBSi0ds+tIW3Et1HDY/D+ef8A9VNk1ZpG&#10;2IzBWbC9fx/z/OuBbxlANylg+0dUYN2z6+gqrceMEeXajJu6fNJmldFcrPRG8QRj92suMc+/0+ua&#10;bJ4hARVE6+27BB/z/wDXrzb/AITEh9zzfe9cAdex9vf+lRy+LkXmKdlZcs3y9aOYLHoEniaES4M3&#10;ylsN37/41UuvEaKGy4Zu5X/P/wBevO5/FreaqGbjr8p6f5/Ws2fxxMrMrSsrdNpB4/T1NLmHY9Mn&#10;16FWXbL99Sfmx8o+tUbnxHFkhp1AK/LlvlOP8+npXk9/8QriM7PNxjPzO/Xjk/z7Vj6l8Q7gxgb9&#10;yt83b/P+fzOYZ67P4qhaUsZ8fNyNpOeP8axde8TItuu4lvnB6Hj3/wA/418yftP/ABp8faB8PbeD&#10;4Y+M7HRdd1LWLe00+4vIzJ5mT8yKPLkXOME7hgIr8ggA+A3n7ZP7U3h2RNO+J3iOGzumkaOP7Vp9&#10;p5cu0KSQYlBA+cfNnaSGAbKsA4x5gufcHizxN5ypAs2WPX1BJxnH+f0rxn9qy+ktNYsvFWrQtb6Z&#10;a6P/AGdY6hHcDd9snlXICAkgeSJRuKkc9egHikP7ZXxls5Vk1C20S66GPzrN1De3ySLxWvpP7bXx&#10;TilD3/hTSfl+8IJJELfQ5bH61cY2A2vga/hrxN8TNE0Ky1COSZNSgkuPLjPIjQTFfm4IIAJx0788&#10;V9L+MvjH4x8MeLIdB0PwPLqOn/YVuZrqG2diZGaQFOoC7RGnTcW84YGFJr5ctv2y9NsL+LWF+CWn&#10;x3kedt5DeIJRkYOG8kEZBI69DjpW5pX/AAUB8GeWG8TeAtet5Og+wtDcLjPq7R9foaxxFOVWm4qX&#10;L5r/AIJ04WtGhWU5RUkujvb8D6W8M/Hm5vdBj1zxD8NfEem+ZIV+zx6XNOwwOSVVAw74O3B9a3E+&#10;Ovw906yW/wBe1e406FmC+Zqmmz2qAnsWlRR+Rr5xt/8AgoR8G7sw2n9m+JLZQw3SXOmRlVHp8kzH&#10;8hW9L+29+zek0d1N8T2jjX5n3aLeZUehxD/KuWOErQjZVL+qX6WO2pmGHqyu6SXkm/1ufQGn/G34&#10;Q3sHnWvxR8PMOmP7YhGDnGOW9qhn+L3ga/lNtoGvLq0oZVZNHja62lum5owVQH1YgcH0r8VNf+L/&#10;AIr1H4j6t8R7a88m/wBa1S51C/8AKXaryTStIwK9MZbgc4r1n4Nftp6z4Rv1ll1/UNDuP+fnT2Jh&#10;c+jxnII9sMD6CqnhMTJfGvlH/Nv8ghjcLGWlN/OX+ST/ABP1dtNfvEXz2tTDJ2EjBmT8iV/U1heJ&#10;PEMrpIZJmZriTYJC2SxJ5PX6183/AA//AG+J7zTJJfG2lQ32bc/ZdT0Vhtd8cb0LYwT1KkY7LXrW&#10;hfEHwd421nwjoPg/xHZ6l9otnur1oZNzRMsQbY68FG6/KwB9q+XznL5UqL5LttfE9W27RS7WV27L&#10;RNXPrsjx0MRWTdkl0WiSV5P77JXeuppeO9c0FLJdE1nbFpYtZytyqs7adOYvJ+0xoOXyZTujyAwG&#10;Rhhk/PfxsvtY8LfEx9L1u1VYbu3j+w3Mbbo7iLbmOZG/iRwTg9exwQQPXvH1xZNJdGQL5MOcs6/w&#10;Jkt0/wCBfiB7V4Z8R/EEvin4TR6Bqj+ZdaXqXnaTcMfniinDtLFn+55ixuqjhS8h6ua58iw6p5pK&#10;dJe5G0Pn3X3a+p7maVZf2bFTfvS975f0zltbvVVXmnbaqAszegra8H6DNoekm/1FCl9qGHnVm5jj&#10;GfLj6DkA5I5w7MMkYrB+HYfxfeR6leKDb2DK10v9+cfdT8D8x/4D1BNdrfXCTHOa/S6fvRTPhK29&#10;iITE/dH3TirthLld+fu+9ZTPtOSasWt4YwcEcmtuW6Mo6GokxDmSRuvX86flHfzEZT61mGctyxq9&#10;YONvzGlblKvc6TwZaNcXyqv5e9fXnwe0z+wfAFnHIvzPF5rn3bpXyX8PJ9HTWbeHWNXtbKOaZV82&#10;6mVABnrz1+g5r6w074hfD/U9K+weGvGen3UyIAsCy7XPHZGwx/AVlUxFKD5ZSSfqQ8PWnG6i7ehz&#10;vxF1pTNI4k/i6emTXj3xd1udfDsel2rMZLy6VI4153MAXUe/zKox6mux8c6wZ71lZuFYlhn9K5+8&#10;8JXN3pFj8RNVH/EvW8nj02HaGFzIitHJMewWJ2UL3Mgbp5YJ2g0ZR92Ryt9BDoejw6JC4K28IVpF&#10;Xbvb+JsdiTk9e9e5fsNfDy6fxjpOoalZK0uvanblgRjFsXDAe3yDcQeQXYdq8b8O+GH8c+MYfDs0&#10;e61YtLqG5ePJXkqfUMSqeuGJHSvr/wDZRvLGy8fw6le3UUUVlZ3csfmNt+dYH2oCepLFQO5J71r9&#10;lmOKqe7ZH0Rd6srzXF3v4kkJx0wM9K5jU9YyxBc9yWNYeqeOorOxGGX5m4+bOax/AV/dfE34hWPh&#10;ONmayLNNq0iuR5VqvLDKsrAucRhgcqXDfw1zyVtTyz6K/Z18KSaZ4ak8balbgXWsY+ybgN0VmD8m&#10;P+uh/ecHDL5WRla765uVKnArn7fxZAqiOJEVAAEVRgKB0AAFWF1mG65Q/WuWQGtDcHduDUXl2Ujx&#10;vx69s1m2l03mbAPem6rebBt3dqi1wOa8dawBK0ZkK8ba+Dv24PGv9r/F+XT3yyaXpsNrGobq7gyk&#10;+3DIDj09q+vvH3iEPqDL5nHzM238hzX51ftAeJj4j+JuuarLO8iyaxN5bnPKK2xfw2qv4YrqoR94&#10;SMr4bA6p4/sfNG6Ozka5ky2MFOVPPX5tv+Qa+xPCi3vhb4SW0Gp3UjS6hIbvaxOYY3ACLzyPlwSM&#10;Dkn6182/sYeBB41+Id/qF7CjWemQRtdrIoZXBk3CIg9nKDPqqsO9e7fG/wAaFG+zzTr3Hyt6Hjn6&#10;5/Gt6kubQyqI8C/ac+KUmnvpOn2G0yXN1qMz7ZOV2tHErFfRo/NT6M3PBrQ+B+pX/inxnZTavZ4k&#10;jjEkiqp+VsY2/wD668at7y48a/ETUvEWqkPY6TdXEVv5n3WjWZ1SPA6/vBK/Xpx3r3D9k2B0v11S&#10;7KktJ5jbmyCI1L4/EipvZDij9CP2Ydb0C08Oaj4ftp2OoW10sl4vkt8qFdqfNjGNyyYBOevAr0pL&#10;9pZCwJrzn4J+CX+HngtotWTOralJ9p1RvOD7Xx8seR1CjjIyCSxBxiu30tZtQlWztE3TXEgSNc9S&#10;elefUl71zQ900K2GmaPa6f8A88rdQ2O5xkn8yavvOY1+U8Vh+HLFNC0i30oTeYYI8MzfxHufzq3c&#10;XygcP+tcNSXvFxKniC/wChb615/4y1yK2tpJnbCxrlua3vEeqqzsDJXz5+2b8WV+GvwS1zxEk22Y&#10;2phtiOzv8oP0BOT7CsL6m0YnxR8V/HN98dP2pJbBZ1ksl1Jzt2nBtYiTyD3IGPqa9c1rwv4X8b6B&#10;N4a8Z+HbHVtOugBcWN/brLE/cHDZGQeh6gjrXz7+x3Zz67r/AIi+JF7GzKzixtZJDyTkPIcf9+/z&#10;r6CgvVUbd/QV83mVdyxNk9vzPcwlO1K5+df7fv7K/hb9nX4nWGr/AA00g2fhnxNZs9nYrcSy/Y7q&#10;Has0e6QsdrBo5FyxOWcAAIK+a9RvVWXy0PsK/Uf/AIKBSST/ALHvi54fD9rfXCxQC1W4sEuGgd50&#10;i86IMDtkCO2HX5lySK/L23+HWvO6jUbpbUD70YxI5/HOB+vWvp8nxUsRhE6m60v3PqMHHEVsOo0o&#10;Xtp5FKOdImB3fjVmxuba4HkW0jTN38lc7fqe351taf8ADbQrVf38Ek2e8zlsEfoBW1ZaPplvCIYv&#10;JjVSSFTj69K9b20eh6FPKcXP47L8TlfslyJFIsMnb83mPz9eM/0rO1DwuNRZpHjRJP70aH/62a9K&#10;g0SMpkIpxwvHf/P86T/hHUkfbswpXPP+etaU8VyyutDLFcO/WKfLPU8kl8I6ipypRv7uc4x9aK9c&#10;Xwfb3IMXkbj3wMUV2LMJW3PnJ8E0+bRH6pTa/cokky2k0bQr+8BYfNxjnaTgdOmMH61DJ4jQQMs1&#10;yp+UBu2Dgcn6DoMc/wAuZbUwh/1m35PUjPPQ+38X4D05r3Oqxu2HBbczBlDdenH59u1eL5nwJ083&#10;iIqrRLP86r0Xk9cYH44+lVrvXpGVQJCVztG0EZ/zjp3wetc62pGVWXeTjaqEsSOg/LHNVTqDhmlb&#10;cNuGX5flb2z16/5NTcpI1tV8SNsyg2qpwwbs3Xr9Bnn396x7rXXZd0ki7u6rjjkjn9ao6tqxA8rZ&#10;t+boq5Hpj8v84rKvNWEkvlTuNrHjb39v1zRc0RqXGuTSlXSQNHt/eN+gGD71QbV34cyNGgJK7eMc&#10;ZFUbzUUHllD3bb83X3/T6CqM98DIwdvug7vXH86NepRp3msTs+1Ljd8uG24OMdOf8agk1Vi2wTTD&#10;H3kZuM56/wCe1Zcl6E3L5/TIVi/3earzX4L/ACyL8v8ADnPPY/l/OkM021CUfePzJwrYHf8AyKil&#10;1S4DeZIWDf3n7Hn8j0/Ssea+hWOTB9jnH+HPaqkupgMdp7gc+3HXv/h60veGbTayhkODu29Nvbjm&#10;q9zruxtki/Rmbk8ds/h+dYc2ropaRSOuG+b/AOv+FUL7Wxsw8+7nhieh6/j/AJ9qoRsXmvgA7pFH&#10;Ujaw/wDre1Y1/wCJpY0+/wBF53NyP8/59ax9U1reuPO24z8vWsC/1oO+H+mc/wCc1dhm1f8AigjD&#10;FjgZ3bWrm9V8Ynbu81lXgnJ6/wCf5V8z618b/ibffErUrSy8Z3Edu2pTpBGqoyRwoW2KqkFRwAM4&#10;yepyeas3Pxc8ZW9x5d140t5JBj91NDFu/QA1pGncXMdJ8cvGtne+OND06/unzFa3EkYWAM8UkkkS&#10;pKpyNrgjA4OQ78rjma60ax+IXhvUPDviySx1HTXk2WN5asrTxNx82dpCOPmUkcgDnqa861bVtJ8T&#10;6ydb17RtNu7trcRfaFuJ0YIGLDGyRcck9MVFBo/gyPUoNYsfh/pFvdWjM0Vxb3F3G24nJJKzjdnG&#10;PmyMcdCRWsY2FK+hZ1f4IXnhvS9T1v4dXl/rdrHuW10dlXzIZEm2ynLf6xQEkChQGLFSNwyTh2mv&#10;CB1tvENhPpV4Ylf7DqVq8MoU9G2sOQSMZ9Qa72Dxvrk2q2+uweH9LNxaW0tvbyKZv3ccjIzrjzcH&#10;LRIec/d46nPC658G/C/iHV7jXPEOn6hdXU8he4mGqnLn3LBqfKFy/od34Q1LVo7bxX4ivNPs5OJL&#10;zT9OW6eM/wDXNpIsj/gWR2B6H0bx/wDsWfHnwt8Hof2m/Dfw18QeIvhZeLutfiDp+hzLp4XzjBmZ&#10;yCsOJ1MJyxAkGwkMdteQn4DfDL7h0bXl4+9Frkft6wGtKfwFoSeEYfBq674yXTbRGS1tR4pTy4la&#10;XzmVU8jaA0gDkAAFgG680uXuO5TQW8x2o67qh1PRnu4GjEH3lxkfyrU+Fv7NF58Yvit4Z+DfgPxf&#10;rFhqHijXbXTLW81jXAtpZ+bKqG4uHSEmOCMHzJJNp2RozY4r6Ivf+CAn/BVbShvb4J6sUa/+wrNb&#10;/EDw1dRm48wReTkajxJ5jLGEOGLsqY3MBU8o7nxf4i+Gcd2Wdbba3sK4nW/BmpaSx3wnA5Py9K+l&#10;Pj3+yH+0F+yh4k0rwb+0FqN/4c1HWtBi1nSIWs9PvlutPkkkijuFktrt1KM0MgVs/MFyMggng5dG&#10;nf5JPHpmz/DceHUUf+OyGqsxXPLfCXiPX/D1yJtE1ea2kZsNtb5W+oPB/EV2/hv9oX4v+D9Sj8Se&#10;GvFTWd7Bkx3UEYjceo+TGQehB4I4NX5PCOiF911eaGzNx5kmlyrn8Y3P6Cna38O/A0scUXhjXdFn&#10;aTIuTe297Aq8D7ux5N3frj8c8TKlGW6LjUqQfuto+yNB8Q+ONd/ZK0nx58RbmGXXNc0uO4kktogi&#10;mKWXfE2B0LRtHnHcHjkgef6/Z6xqASwsLJpJrhlSCAN/FjABxnGOSSeFG4ngZqx4p+N/wc8eWVr4&#10;em8dvpei6Dpoh8Nadb6U5UPDanyjKBgb3kVIeCVijZmAc5BpeE/ij8OLTWJtf1fXVmlVPLsYYoZC&#10;E3D53PbOPlGOQN3J3YHm4HLqeEb5I2V2/m+v6LyPqK2cPEU17Sd5WS+SW36vzJdB8PX/AMPvFDaP&#10;JBJ9l1CENI+35TMP4z6Bj6ccgVvThh8rde/NDeINH8cwPf8AhO9+1NZsryNDkNGeSDhsHt+lblnb&#10;abrdkt1c6dMs2MXHlr91vXHoeo9q9anUUJWZz/xoJo5tgqHJpscse3gjn2rVvvDkSDfA8o/34/8A&#10;CqUugXiDMLxsw7bsY/OtvbQ7mNpEYusde1Qv4klluf7J0cjzgP305HyxD/H/AD2rH1+51K0k+x2l&#10;szTFv+WfzBPyqPQ3Wwh+zqG3FsysTyzVlUqc/uo2v7OPMz2L4B22laT4qt9dni865gVn+0TfO+cE&#10;cE9Bz29T6113xk1rTfFsEkd1CN8fNtNE22SJ1PDqwwVIPIIwc1538MricW812n3uFX/P5VF4l165&#10;mm8mBGklkbakSdWYngVHLHltY5JVpSnzNnR/A3xP4h+Kurt4M8RapJ9o0uQrql9G37x7YYxLk8eY&#10;4O0dfmycEAivdviP8QfB9j4cmfWtOtZNP0vRJLPRdEaaWETTSS20SKjIOGijEko3cHysHOcH57+H&#10;dhH4B8d6XeW8nzalFNbahNn77MnmDHsDEAO2MnqSa9E8Z6Z4U+I/hbUvAfiq1aaw1O0kguTHIFdQ&#10;ykblY9GHYnI9QRkFYerLmcexGIqbTvuZfwk8b+G9H8Gn4jXHiTT7az1i6MVtf3eoR+RIsZZRGJM7&#10;eSJWwCSAeenHv/wK8SaZqljNrel6tY3lv5pC3VjeLNGzZwQrLnPBHpx9a/H/AEdNO8C2TeEvDeqX&#10;NxZx3ksqXF0qq0jMcbyiu6oxRUBCsw+XqetfTf8AwT5/bmvf2WvipY614g8Jaf4o8OzSCLWvDerW&#10;0U0N1CepTzFYRTL1RxjBGDlSyt9TSyuVTD83N79tunofC4vip0cZyyhenezlfX1t2P0K8eeMbS0s&#10;F8m/WQCHLRBsbOT/AID8fSvUP2Z9Mm8LeCf+EpvI8X2v7Lgng7LYD9yvHqCZPX95g/drqfGHw5/Z&#10;G/aR8F+H/jZ4D+GXh3UvC2rMt3p8tjLqOnvDOFIktblbG9hVmXLZjdSnQ4YbWNT4x+BPBvxI0ePT&#10;k8E6np7Wsvnx3HhP4qanoMzPtxtYxpN5i8n5WJXocZANfP1ZOMnCSs1ufR06kK1NTg7p6po7qw8T&#10;mSPeX5X7oJxmug8O+IInhMMsgDls7d3QV8+nxfB8OPBHhz4hxa3rmpeDtRYaVrl74iaGXUvC+tqw&#10;VrLUDBFGvltlRHcbAHBRiWWaFn+T/wBuf/grh4v+EfxMufg5+zZrVjbyaSqrrvidrSO6kN1uBNvA&#10;kgaPCAbXZlJLMQNuzc2uHwNbFzSp9evQ4MXmeHwdNyqXuunV+nl57H2l8af+CmH7OfwS8aax8LL/&#10;AFu4/wCEs0aSNJ7HWLGfT7Yh41cPHPMipcAb1GIi2WOMjrXjul/8Ffm8TW11rVrY+DdY0233rcT6&#10;bfTQGPZ945JlXA65OBgZ6c1+fnwK0v8AZ9/a+/aB8T+NP20/iz4kvNa8bLGNJ1zWNZMdhp98X+7O&#10;IwGhgK7IoirLBbL8pTZtaLvfGH/BJn4Fab4q1LwjqniPxt4f1DTbiSGSK8WGNc9nUupMiHgqwyCO&#10;RnINViMDWwtTkmvTzKwOZYXMaPtKL9U916o+wtL/AG9vhz8TNPbxFp2j3HlSI0scljdxXUcigY+W&#10;RSAcHI5wM9wa+W/HGo2kpjk+17JXZpW85WjDhvm4Y/Keh/ixivN9L/Y9+J3wk8TzaJ4D/aRk8SWM&#10;OiPPB4WvLKY3EoiQblt2IMZdVO7y4yGZFwA2Bnj9W+P/AIg8Gajp9jr3hqfUNOmEcaXEN0ZkCqpG&#10;GjcEEEgkgf7QGOgmNOUeh2+0itGz9Ev2RvD2n+D/AIYNrFtdRyS6lF9puplYNh/mG3r26DHXr3rh&#10;/jj4xme/udgd2UbYkUbt5HQDnnJ9O1eDeC/2xfh94hh/4RnQtf1Tw3NFxbmOPdCTgZ/dng9yOmO1&#10;aMnxH+MmheLbbWZ9GtdY061lXzrtY2kZcqMedG2GQ4IIYALyMZOCSUKlOXvKxnGpTqO8GmQQ+ELv&#10;wbFqHhG5lVry31QwXDjP718tIW6+sn5Y/H7L/wCCc3w6i1rW5fGN5bo2n6HCFt/+ml5lGH/fAO89&#10;OWTGRmvAdA+Gvjv4r6pq3jLw34atNQfXdTW5jtbG78xrPIVfnQncuO/Hc8DivvD9mLwjB4K8Iw+G&#10;tPtxi0t1EzNHtaSQ/fcj1Y896wm/dND1SW7Cqu6TknPNejfB3w81vbHxVfxjdKCtkGUZVejP+PQe&#10;2exFeaeHNDuvFviiDRImaOFV8y6kX+GMEZwfXsPc56A17SlzDZLHbwR+XHGoSNVHAUcAYrgnIs2j&#10;ccbt1VNU1MQW7Hf16c1Sk1VQnyn361zvibxAI/3Qk7etcUiolPxJq6orHf7Cvzl/4K/fHaK1j0z4&#10;Z2l391Wu7mNX6scqg9Rxn2+bmvt7x34xgsLOa7uZ9qxxs7E9gBn+lfj38avHEn7SP7Y9tZn99ZTa&#10;wZrjcpKm1h5Ib6qoTPAyRWMpcsXJ9Dqprmkkj6R/Z/8AD1x4C+E+keHrpWS7Nr594G4YTSHzCpHq&#10;pbb/AMBrS+L/AMbfDvwX8DXHjjxRKDHGwit4N4UzTYJEYzjnjn0GT0FebfGv9rb4R/s4eHzrHxD8&#10;Rw/bGjP2PR7dw1zcnPXbn5V/2mwO3tX5w/tKftp+Nv2ifFk2p6g8iafvK6fYeYfLt4+gAXPU9z3P&#10;pwB4mAyvEZhW9rJWjfV9/JH0UcVgMGk67vb7K3f+XqemftJ/t/8AiX4l6tc2t9qE90iy5t9Mhcra&#10;w8cYHILDkZ6+p7V4jqXx/wDiBdPvtYbe3/ut5WeM+/8AWuPhvJpfmEe3j+FcYqTz4kGGBY5wS386&#10;+7w2Dw1CKjGJ5mN4rzTEe7Rl7OC2UdNPXc6K2+M/xOguhcHXEYf882t12n8MV3ngD47WGtyLp3iq&#10;yW3uJMBJ4c7X49Oxrx9rhCGVlJP4UrSBJd6Fl28rziu14ahONrHNgeKM4wVdT9q5LqpO6f37fI+o&#10;Y544YVuYZ1uLXdzLt+aMnpmtizWzuYSuMdzurxv4MfFMtLD4c1kK+0grub/WKPX1r1LzbbR7iObz&#10;JDaTcpJu3BPY9cV5VSnKnLlZ+xZTm2HzTBqvTenVdmbsWmgHdHNx6k/5zRUumXsVzEskbb1flWHI&#10;aip5j3I04Sjex9uSanbzDdL5ityGZW6ADhfcZ5+v0qnPqKgSP5n1APPXnoOn+eOKx5b3yS08cuW3&#10;YVcjnOP5c/5PFaTUdkoKIoUqG2+nP4dB6HpWJ/M9tToP7Qg2biWxtwWZs7cn1Prz09agubyNpGcX&#10;Y4VVVVb5h+BJ7/56VjSapCDviYIzf3mwT9MdfXnjnFU7zU2ePzDEQRjbtYYzj7v5ex6dKCi3qWpC&#10;ZXiWTB3HJbjHOSfXnjrmqN1eKP8AVDao4X0NZd/rIeZpCV2q2fmYZ6+/sOf1NUbvVFRMBF2r93I6&#10;/wD1/wDPpUlI2Hv3Em5fmbbjdn5h25/X/OKr3d/G+XZTw2BhQM8Z7d+n/wBbrWHJq8hfyWf92xzH&#10;tGAMZ/qKrXWqvId6tw0i/KvHB64PHP8Ah71RRrzXysdzs27BC9c4+lVZ78AeZu3NwCPX9f8AOax5&#10;tYBtxgsxkQFenHv1/wA+1V7jVWUlXGRu5GR6+n4+lAzWudRJ+bzNrf7Pf/P1zVG41MIWMf3mxn+L&#10;p3rJm1JW3JhW3fe9+P8AP+NUZ9XYb4kGCDkbh1H9KEh6mpcaoMt8+G3dOf1rOvNUcDKz/wC9t6A/&#10;hWfPqR3YL9vXNZVxqueC3+77VYFnUtWUhlST7ozx/T1rBu9WQS/vZfl3ZbHoBSarqDA5DdOSfSuT&#10;8WaqbPRr698xdsVjK4OPRSe9WuxLPnvwdcHVfFc11IrE7ZZWZsdSw/xr7y/Z58S/sy+HvhJ4a0L4&#10;ifCjWtU1ZrFikkei2rJdvLcNnDAiSTALKpOfmwMHBFfBfwykH2+5nA3bYAvK9MnP9K+pvDqSW2lW&#10;MUF7NG9vBF5bKw+XAB49OfSvrOGsBTxuIlz7RR5WaVnRpxt1Poyx1X9gJYLjQdd+BmsW11cwtmS6&#10;0W1FxBIW3Kq5jIAK7fmKknJ4xgVqaP8ADL/gmbqunLqV54J8QpG/7pppvDNjJGsmFzhvsfpzg59c&#10;V4Lp2qahNevqdxqNxJcy5Es8kx3NnjljyRj36Cuo0jUtQhsG02PUp/sjyb2tftB8stjG4rnBYZPN&#10;fYS4fwcu/wDXyPEji6i3PXl/Z3/4Ja6n/wAefhjmVgqLJ4FtHIJ4C/8AHpyT29e1TSfsuf8ABNOW&#10;Rfs/hnS4t3K7vhjD2GT/AMsMYA5PHcV55pevaxbW0NlFrV1HFDdfaYYY7hlVJgMeYF6B8DG7rwPT&#10;jfuPFvi3xBfR3+veLdSvpkjaKOS8vpJWRWGGALE4BGeAeehrknw3h+j/AC/yOiOMkdFqP7J3/BOX&#10;VYFl0yTQdPXZkyR/CtMt2JwIhj6//rqjdfscfsHqq3jfEzQ7e3k+QN/wqRlG4YyBhQCQCvT1zjGK&#10;gtfF3iiDRm0GDxJqC2EilZNPS7cQtyGwUzt689Ooqo3iDVbYQSWGrXEX2Gbz7RoZmHkzZGZE/uth&#10;U+YcnA9K5pcO0ej/AC/yN446SM7xH+xn+wNqcTRL8cbCKNVy3kfC25XaAevyOv615Z4u/YM/4J6O&#10;GmtP2o5YT/CsPgXUky3Qfdux+ld74i8R63O97cX2rXU0+o/8f1xLIS1x8275z/FkgE57ivPvFQAA&#10;gP9/+KfFcV1a6qviu++1abCItOuPtTCS1jXJVUccoFJJGOmeKqPDdGXX8F/kKWOn/TZ57qn7F37I&#10;9vNINJ/bS2x87Fm8NainQDjm4OP8+9Y15+x58Dw5OnftlaMy8kLcaferkf8AAnNM1W22FlkYSKrH&#10;kdBVKfX9dhdXGtXK7LL7JGfM+7Bknyx6Lkk4HGTXR/qvhu/4R/yMf7Sq/wBNmbq/7JXgSMN9i/bG&#10;8IhW+751vIP5of61mSfsh6TnFt+2h8Pz6h7h14/78GqupzyIpgikwnmBiqn5dy5wT64zVDWLm91z&#10;UJdX1W7Nxc3Db5p5MEu3rWcuF8P/ADfgv8i45nU/pm3bfsfW7t837Xvw4ZW/va0Ux/5KmtDx3+zn&#10;8O/A3g3UPEuj/tJeGb+40/Sbi6+y23iiGVpXjjLhEX7IhYtjAGcsSBwa4uW3t/lYIoz6isL4gNFb&#10;eF72Uqv7yLy+P9tgv9a8/GcPYejRlNTeib2R14fMasqiTR3n7Pmowalf6doWufE3/hEbfWLiGPUf&#10;ELaY17HZKQR5jwpJGzoGbkg5C5IDEBT90p/wRs/bEt1tda8A/tpfDjV7O6t1ntbqS3vY4rmFhuVl&#10;KNKrKQQQQTweDg1+Zdn4j/sPULeymP7toQWx9SP6V9/f8Ewv+CjFn8IpLf4GfGvV2l8G302NF1ad&#10;uNDmZslWP/Pu7Ek8/Ix3YwXNeDUy1YjAqpR+OK1Xdf5ozo59Wy/NJUcRK1OT91/yuy0fk/wZ25/4&#10;JK/8FEoTtX45fCG6Xd8u/VtSiz/5JNWV4g/4JvftrfCr7L48+Lvir4X6h4X0+8hk1qHQ9c1CW4uI&#10;jIo8lVazh++SFLCVCoYkHIGf0Y2WVzEtxavHJGygxyRsGVwehBHUf414z+2h4kt9G8C6b4bg/wBZ&#10;qmoh5Mf884hnn/gTLj1xXzXNrY+v9tV5b8xxeg/C79h34t+FY/Dni74B2nhW5gSRbfWNCMySRl9u&#10;XMiNumbI+UTJKE5weTXG/FT/AIJSLq2jXGv/ALJXxds/FF1DbiWPwr4mkhjuZwqEsI7oBEDswAVX&#10;ijQbvmlUDJ6LwRbM1vDGUHzcgqvAr6A+D+mrpXgnVtc8rbJJb/Z4pMYOXODjvnBJ49KfM4kRqVH1&#10;Pzp1P9mX9vXwroEv9n/sT65PdKp8mC18TaPsZvUtHduQO+dp+leSaR4U/bj+GN5/aP7SH7LzeHG1&#10;C8istF8R3Hy6ZYTTP5e66MbzMoJYKrDAJbbkbtw/Tv43+LfHPhL4e3+q+CNO1DVdcWNINJt4bhgo&#10;nkcIjzfOp8lC26QqS6xqxVXICHhfF/hPxh8QNCh0P4keKtZjysb3ltpfiS58l+AWiD5UyRHp0GR2&#10;B6THEcxpKi31PlP4sfCX4l/CdtJ8V+IZ7PVtFtbgS3ms6XYyQ/ZfkZf3kJeQqnzD94HI65C/Lny/&#10;9qb4wt4Q+Gbabpt+v2rxErWsLLhv9HwPNYZHQqwT1/eZBBAr9DNT0VLrSfsBdljkULNH5KOHiyN0&#10;ZDqQVZcqeOhOMda+EP27v2BtQ0jUI/jB8MJLy48M2Myvq2jQMZZtLh3ZkeFWzui6k8EoeSCgJX0c&#10;vlh5VlzaO/yf+TPLzT65Tw75Peja3nHu/Nfij41juh5u1xkg4OT0rRsNQeGQNG236V1XxI8Hw+Kb&#10;ebxj4fji/taFGm1S1tV/d6hDnAuoV5ww/jTsfwL8DaagskYIr7HD4jn9UfAYvCcvmmfb3/BN3/go&#10;94p/Zc16TwP4okn1TwXrkwGs6QZPuNgBbiHJCrKmAc/xdDwSD+q/gLxZ4d+J/h6x8c+AdVXUNNul&#10;3WtxD1zjlWGeGGRkH9RX88mk6ptkBRgrj7vOM/8A16+sP2Hf+CgHxD+AtvqHw7ln0+98P6/GsOra&#10;frVjDdQTxg/NEwmR9iSIWicx7W2SNtKttdccyy2OYU/aU/4i/Hy/yZnlWa1Mnq+zq3dF/wDkr7ry&#10;7r5n6Zax8WPAXgjWtR+J8WgahrfgPxBZppfxGh/seaWwvrPJVb2Elf8ASDBliZIw8TwmRSxKx7Ph&#10;D/gqD/wTguvhxeSfGP4LsureGbmKO5jvrW4WQRW8gHk7yv8ArImBHl3AJ7JIT8kjema3/wAF3/HF&#10;lfWfww+L/wCyX4Nmk1mSOwt1sbURwRwTEIZIpcsku1SSoXIZsIdhJK/Yuq2d2vw+sPCvhX4IrY+G&#10;dJ0q4Emmpa3EjrCpZXgRZnZpRJwVC5V1OVyCCfksPjMVleI0T81/Wz8z7vE4HB5xhV7yvvGS6f5p&#10;9V+WjPwF07xFqHhvUTbzLJHJHIUkikyGjbPII9frX21+yR+2z4Z8Y+HdH+CP7SGsD+zdNMdv4U8a&#10;TM5m0aHIH2G6YZaWyHVG5e35C5jO2Pzn9qP9lvT/ABx4Y8VfHj4VfDbXtBsNF8SfZJrO68ueGG2K&#10;NIJJG3iaJFDQKuY5FUuwaUBAK+d9b8K/EP4QS6Vc+MNEm006vYx3lnDJKjOYXVXQuoJKbo3jlUMA&#10;WjmjcfK4J+1pYjC46gr6p/emfB1MLjsrxTnT92cd+0l+qf3rqfpR8Q/AWvR6pDpN/cfZb+z8m+0X&#10;UtNn3qhwWguoHUlZEOfUqwYgjrXz18fPg5YfGeXUPFGmeHoNN8UabOy65ptupWFrh85mg3NhUl5Y&#10;Z/i3IxJVXGT+zp+2pqmlfDuf4P8Aja0XVNHaRX0e8O6S+8PndulWyzNFGY5QMGOQ7FfEi7Tu39v4&#10;O8WeB/G3xFsNZ074bzQ+IJ7UaNZrY6pdzWlzdSLlYprmZ3MkwTcA0sgiPUKZFVh4uMpVsDUUrXXf&#10;o/U+rwONw+b4dxekluuqfl5HyDq8Ov8AhLUf7L8QWVxE3I3Sqy4wcHGehB7dQRgivpn9lb9v7xT8&#10;OtBX4UfFoDxN4OZ8Wf8AaAD3GjM2AXgkO51Xb/ACMYBUoc51f2l/gFbQ+ErzVfiT4euNHv7JlW4R&#10;45Q+7BCHhTlyMbZQGVgBnK4I+YdU0K88BLpcl3LM1rqlmLmyuJISnykkBWGcBiADgZGGGCa2hWo4&#10;mFvwOWph8VhZ80Xa2z7n66/Bz4m+DdH0xfEngq7hh0u8H2iG8sYy+FYDO8DLN6c5OB3xmvV/Fn7L&#10;X7Pf7VdrZ+NPHOoyS6rHb50XxZ4VvBa3lqQeGSf5jlWz8pBUNnK5ya/H39nj9qT4ifArVTc6AY9Q&#10;0OWYNd6PPl4wCeShHMb4z0OD/EpAAr7M+AX7aHgHS9dtNe+GPjnUlm1RfO1rwrrOix2unIwIVLeC&#10;4jllbzDuRQ7hGZ9xVSn7tfPr4erhpc8Nu/Y9Cji6OMpulVSv1T6n6C/s3+EfF/wj1TVNG+Jvxd1y&#10;4/tKG3SDxdY3wMEscMYRVuLW784WkxLOTNA2yUkl/LIRa9e+H3wYm+Dmg3GneBPHnivX4ZHaf7J4&#10;z8UXerzSuVXhLq8kkljGF4UNsBJOBkk/NXgL472PxF0uW40C4kZrV9l7YzKFntJCOFZeRjHQjKns&#10;cg49c+E3xa12w1SxsNduJzpanY+I2K+UwIwArKyEHGGXkdsdK8qtB1Jcx3UbUo8nTpff7zvPBnxb&#10;8K/EXT7u+8N6ixn028ez1jTbhdlzp10n3oJo+qOOCOzKVZSysrHB8XeKkM7DzV49e1eM6t+wd8V/&#10;hUdW+Mnwp/aZ1TWfE39oC40zWdXsTczXujKqgWOqsHL6o0Q8xUmbbKqPiPYygti6j8b9RvNRbwb4&#10;80saH4ojtlml01bgSRXsJOPtNpKcedE3B6K6bgHVCQDy1KPNHmj8xUcRLaquVv8Ar7zmf25/j7H4&#10;A+DWr3CXjLLewtawBZOQSDk8Y6Cvxb8Tftb+NfAvifVr34WajHZ6jeRm2bWtodoYt2WWMHIBLKhL&#10;dflx0LA/Rn/BZ79rwal4otvgL4R1Z/Ot4BLqzRsMRBui5z1K88AYDEcg4H57SXLBfLVh9a0w+FjK&#10;N5o65VJLY0/EXi7xT4v1ifxF4u8SXmq6hcMTcXl/cNJI/fqxPHt0FV7RgJd5X698VSBaX5VBq4gZ&#10;Y/mX2r0YrljZHNOUpPU0Rd7FwFHrQkwbnJXv7GqIuGC5Lnb/ALtTLKFkwp3Z4bPbnNaRMepdWRGT&#10;BO4HjGOntSrLtAG7J/rUG8xtsVepyfp6VM8zBQNtXGWoE9jqMunX8V/DI2+JsjjnNfRnw98QxeJP&#10;CaSySsPNiBVtxXawr5pjBbhHHDHdz04/z+derfBrWJrbw95P2oITIRuboOeK5sYrwTPuuBcZOjjp&#10;UX8Ml+KPXfDF/JE0sflNGR8sqBcDPJyB/hRWd4Z8RQxeIpbcuGRo8ssink496K4FI/X6NSn7Pc+y&#10;JfEFspCJOu5d25W/unn6ZyOlV5NctmTdvUHooVvY/wCFcGmtyH/UOyhgQee3+SeO9EmvPsdWm+6N&#10;qbfr+vH1rPlZ/N1juk1yFI98t4rM3zH5u2ffp2qhquu28Ue9tuS3y4JyRzz7dq4ptflR1DOD3Uq2&#10;Qx9arz6067pGO0N90+n+Bz+WQKXKyjoNS165SNXtII5NzYZfM2sc45Hbjrzx7jvUl123uC5Yt8o7&#10;/Lj8cVhNraoM7+NoON3X1rN1zxdpOhaTceI9d1a3sNPtU33FzNJtSNenU9yeAACSSAMkgU0h2Osl&#10;1jZxbTNt4XkcdT+f196ryahH5P39u77oH15rxHT/ANqjWfGupyW/wK+Bmv8Aiq0t1k3axc3UemWc&#10;219n7uScEOeR8pw/X5Rg4n0n9peW38ZW/gD4u/DbUPBepX7bNNe4vory1uTwdqzoApb5lGBuwWwd&#10;pxl8pZ62+pLGVjjDNhcPz046/p/nvXudUiI3NI3+6f8APrWTdaghUyB1O3kAfSq898H+Qyr0B255&#10;X0NAF2W/mLYWTP8Ae3ZyOntz1NV7rUAxyD04XrWdcXsbk8Z2/e+boapXeoRru+cd/wA6AL9xqKGQ&#10;p527nOMiqN3djymcdd2Gy34/h3/Kqcl/j7rArxtZvT6dqo+I/F+geFtLm1fWbvZHbRmSRV5OM9/T&#10;JKgDqSeM0ICHW9Ys9Nha71jWbWxtV4kvLyYqgPJxxkk+wBPGcYBxyXxH8cfC+x+HWpXMet32oXuo&#10;ac0GnLNaraW+91IZkMjNJNjqAY1BXJBHBXyTxf8AtAr488Rs1n4chuFhXZZwyzHyYMt80sqjmU4C&#10;/KuM984GMvxTNpt5O09x4ga91BgBcapeR/M7kZEMaDIiQKCxC88pljk1vFEsv/Cu2Mj3DsR+8ljj&#10;+Vunf+tfU9q8UMKx7/uKo+bHX+tfM/wdt2M1uk6cTarGre4yg7fjX0dG/wC8zIDy2DnHTPb8q/Q+&#10;C6fu1pf4V+Z87nlTllBepuaZNKU+c88na3Xr1rpNJn2HYx/hyAvPp1rk9PmZeNpVcZ+bt+P+ev41&#10;uWN+xTaGIXsN36V95yHgqozrtOuS8qrIrKu4hMLz9c/5Na1tfAlXjOfmIGOM8+lcfBqi26GU5P8A&#10;dK454rRg1LzkUSxdf5/41nKmaRmdPFqZjClW9d/b9O9R318Wi2vuz07/ADevcdM1gjXcBY5Y2yzY&#10;Xavbnk+menvTL3VFxtjX7wyQw5+v+cdaz9macxDquo742STLYz94Z+grgfFN35sZBZs4wV5rptXv&#10;d6bldcMuf8iuK1+bO7dJn5TnpVRiokykchqatubbJ3Ofc5rEvlb5g3Poa1tYI89pFdvmPf8Az71h&#10;3s2795vXrj73vV8ulzCUrs5/WGdXyFX8eKy5i2PmwxrS1ff5jLG3A55BrNnkOMgfL0OfSsqhrAjk&#10;cDAK/rXNfEuX/iVw2n/PxfQoob/f3f0roZ3fd8wrlfiBIbi+0mzC7ma/37Vx2Rv6mvm86qcuBqPy&#10;f46HqYLWsjJ8b6Vq2mTWWt3tvtt9Qtt1pKpyDtYgj2IPb0INaHgrxa1m62lwx2H+9Xa6WmhXvhOT&#10;wz4pglbSW2DUVlb99pVxtGy7jPP7pgecZA5J48wDzbxf4P1r4e+IpPD2scshBt7mMER3EZ5Dqe/o&#10;euCCO1fHZfinCy6o0zTAxrxd9mfpt/wTa/4KSSeCtGh/Z4+OF3Heab5Sr4L1+6uHVrSTOFsZ5OcQ&#10;HcNshBMW3bgoRs9o+PHjG7+KviXw/cpYvbGOxImt/M8xVm8w7trADcuRtVsDcqq2Fzgfj94N8Yrb&#10;r9g1CT923HPb3r7a/Y1/b58NeHtW0rwj+0xLc3mixeXb23ie3jM01mmcAzKPmkRR1ZcuADw5wKWY&#10;5WsTL6xh1q91+q/U58rzqWBthMY9FpGXl2f6M+2fAHhif7PCJY/uoCzL03GvfNNsrHSfBWn6DdPt&#10;acm4dVP1UZ/8erI8CWnwy+IPhSz8Y/CLxfpfiLSLplK6hpN0siKxAbY4B3RuAwyjgMufmAPFdbr2&#10;nW32pVvo/MghVYo/LjJZdo5BwQcbueMnnoOtfL1ouN4vQ+2w9SMrSTuji/EHhTT79dsUjMrD+FjX&#10;I3PhebT1aDf51up3Hc3KHPUZ/Ud/yI9Ctbfw7rlomteHdbjuLaZcw3NpIskci+qsrYI/OuH/AGiv&#10;2XPD37TPwZ1T4O+Ob/UP7N1YRtJcabd+TOjRyiWN1OMZV1VgCCCVGa41Hlkei5Xjoee/Evx34V+H&#10;LWK+LtU+zLqkzRWU23KvgDJyOAOQD6EisW88TWZLR208cit/rFVgwKntj86+ePiV+yh+1/8AsPeB&#10;ryz+Hdl4o+N2gRM7rp+p6lFA2m2gLPtWzVZHvJhtyskcisC+FhwSW8P8AfG+2+Jl1daD4A8R6tY+&#10;IG1YtqXhLXpFh1WycfNJDChO+6wwc/u1DKqEvHH8ueiMbK6Ob2nvcskd7+1Z+yJbpFcfGH9nVVWO&#10;GZp9R0LTm8xraUE757YAn3D2/QgMB2UfH3jzwva6zDdePvCNtteFlbXNNjA/dZXJuIgCSYmOevII&#10;OQMEL9yfs7aH4L+FFzfaZ4djtdP1TxRqs9/eLJMWnvJOpOWJLbQSdo4XeeBk5f8AFr9h3TPil4n/&#10;AOFj/CzxHbeGfEO1zdWs1ofsWoMeu/ZzEWONzBXB+9t3ZavaweZ8to1Xts/0f+Z87j8p1c6K0e8f&#10;1X+R+d9jfo5Dbq3NM1DdjFxtkX7rZxn/AOvXXftL/so/GH4B682p+Jvhtc6bptzKVjurRvPsGky2&#10;BFOvHzBGYRPtkAH3cdPL7fUHQ7JN25eGB6g19Rh8RGUVJM+RxWCfM01b1Wp718Cv2t/jf+z14gt9&#10;f+HfjK5snhkWQxt+8glxjh42yrjgZBByBX3h8G/+C0//AAtDT4vCXxpgh0e6u4Yra51zR7eVV4ID&#10;zyqJMAEfM3lrkbdqj5tp/Ki31i5dPLW6bp9cVsWF38m+3uFZs544Na18PhccrVY/Nb/eceHrY7LJ&#10;Xw82vLdfd/kfvT4E+J3we+MH2PT/AAr4i05odasWlj0eaynvYQqqFEUi2qyLbwrEuz99IoMgYMuG&#10;APgP7SX7HH7Hv7dHhzUvFnwr8Qxw6vY3TXt5eaTIq27zutvZvcMjklYJmtUaJoWjjJ8z5WKMG/N/&#10;4M/tSfGb4F6ums+AfGl5Ztt2SIs52yISGKEdwcDIIIr3zwP+2R4E+INv4L8E6poWl+B7ey8VWtx4&#10;l1Dwxb/YX1CxUnMH7hBtQMzNsG2M7uUJUGvCrZLisPL2mFnf8H/k/wCtD6LD8SYLFQ9ljocr77x+&#10;/df1qc3r/wDwTX8efBO+m17xH4c1Hy9G0661OWFdVN7Yalb28AmkYzwwQSW4AVwIWCtMVcCW3VRc&#10;HD+B/wC3p8W/hv4/tdD+EXhmKxkYRs2n6rbQR27mONibmaIIkflrGXcyXLTNEm5mnIDOfqd9Nsvi&#10;L8a/CHiv4dwo2reOfFE58TaxYeJ1WPStNFp9ntrVYozGCPsSSIMAyRCe5EZDtGydHr/7MPgT9rT9&#10;m3V9S8ZaZqHhTxPqF/Y39vdPhpGs3h2y2TQSMJY4Un8iYxFllkYB32lCyKlmvJ+7xUfXT80bVsnj&#10;Uj7bBz16NNfg1/XmV9N/4KR/CX9r57f4La/4Rgxb6lDdyTWumtNDr8kMYMzQQBBJbb2R2WFF3mNs&#10;cyBYzoeIf2Ifg5+0z8KG+J3wl1jw1qsXmPBdLqWqx77YK+6Qx3Ct8kZkfISbLBWXPUmvif4gfsDf&#10;tL/s4eNdN8a+BmkvIdL1WC7sfEWiyM8dk0chkWeYY8y2WPyxI0jK0SAfNLxXluq/F8WfivWopbFV&#10;0vU9QmkjsZFHlyW7Sl40K8qygbSOo4B6813xwmDxUefDTt+X+aPNeZZlgpezxUOdeas/8n/Wp7t8&#10;aP2EP+FK2q6rp/j/AMP2bXS+dBHB4y0+9WaPO1gjW87pIQ3BQMhUEZU9D4/cweMPAlyn9o6DHMLa&#10;TzlmghEirjGHaNlB2gkDcVAJ6EivZ/2VP2zPCPwr8b2PiKXwvp8kUdlNa3+mzWccsN9C6qqq6OCQ&#10;y4Yh1PBYHblQR9U+Lvhf+yz8dv2VtF8afCT4geEB4l0TWLt9am1y+t7RnhlaSVYpCzo1qufJWN7h&#10;CGmeYLLjGM5/XcKrVY3j36f16m1KWW4/WhNxl2ej/r0Z4D8B/wDgofeReLdN8QeIIYbO+hUJNqWm&#10;qdjpn/ltCSN6khdyhlHccqM/pV8BP2g/Cvxn8Np4g0uNnltyyXSw3SyRgjqyfN9wk8cZxye9flHq&#10;/wAMf2evHci20fj7w3p1/K22OVtetrXY3PJmLAA8ctLvx0GK6v8AZD8SftJ/BH4iatr3wE8OXHxH&#10;8O6RHAPElh4dKXckcTowWT9wzckq+HGQSDuUcCuGtRw9aHNS0fY9GjWxdCoo1feXdH64p+0l4o8K&#10;aO8vgLwj/aXnK/8Aot9L+4kdf4Pl+dC3A3Krbc52Pjafjr/go5/wUV+H+m+DdSgurGbw74t03VdL&#10;u7zw1rFlDdTaYoh2ubWUK0bRvhVXISRlJbZscV7XpWnfH74m+E4fFeifDjx1ps8yo1rpVxoFzaSK&#10;GPK+XsHOVIOTyATkgV+V/wDwWt+I/iC78feF/hF4g+0Q33h9b6TU7W8mDSwzNKEZMg9MpnByNwJH&#10;JOeCnCEU+Za97/1c76nNVkuV6dU1o/8AJ/1Y+R/jn8T5fjZ8aPFvxln0OPSf+En8RXeoQaRDcvNH&#10;p8MsrNHbI8hLMkaEICeSFya5PaerHpx8uaVm3n5G/CnjG3J+h4pLyOglgR84P96pmcZGXpkWQuCP&#10;ypBkMq9cVoSSxtnln6dqnSUZXP8AnNVFcoF5J6/zqVXwAVXr1zQSXBIzZDKfTPapwQUBB5X1+lUB&#10;I2chsDrV2KbzYtwDDB/OmgJIgC2P5d69F+GsMEdpbuRt53FW6HmuCsoGk288kHbnH+Ndvpl4NNsI&#10;7SADzmX5sdEGOayxH8Ox9ZwnDlxUqnZHdaRfSal4naSF1Z1UhTtI4x9aKs/BPQJ7+7kvZImaONNv&#10;Tv7etFebKUYux+wYLC1a+HVTuffE/wDwTi/aYgdvKvvCs3y4bydWkGe4+9EPpWPZ/wDBP/8Aajub&#10;yS31LTtB0pYzhLrUNbVo5OOo8hZGx06qOvA619rXeueIbNyt0scw8verQ2MzJ0xguFYDkHnryOOa&#10;o3uo668m+XVrUL5fmMn2ZlbA7AHnrn39q6vZwP51jKTPlfRf+Cb3xBuI8eLPjDo9j2H9l6bLdgjt&#10;guYj69vzrhv2tP2Yrn9nDTNE8Qad4om1bS9SZre4uJ4xG0NyBuClR8oVl3EDJPyt6V9v6XPeajO1&#10;xBr7TQLlWtmtVXGQCvIOenPOc5HSjxT4V0Dx3oE/hvxTodnfWs+0/ZtQtlnj3KQyko4IJDAH8KTp&#10;xsHN3Pyt1rxxoeg6Rca7r2qR2tlaw+bcXBJ+RR14AJJ6DABJyMDNeQ+GtNvf2mPESfEn4l5j8H2d&#10;wx8N+GWkwt2UZl+03Cg8jqAP4un3OH/WK8+D3wuvoptPuPgr4X3LIwYN4atJQNuQCA0ZBx9O3Hep&#10;LbwpqelwBPDuhadp6xqqQi10e3j2KBjgBABgcYx3+lYbGykrH58watYWqLbWzQxQQqIoYYVCrEqj&#10;AUKOABjAAwB0rzz9rCLRPEPwF1w3sqrJpvl3ljM+cxzLIAMe7BmXn+/X6oCf4nW0rSxawVyqgKlq&#10;i5GOvQ49PT9MW7LUfHsd1HLe6rJKoGZF6HceM5xxxnr379am6Q+ZH5l/D3xwdf8Ah/oetancq1xe&#10;6Rb3Fxtzy7RKSf1q9PrNohZ1uQx5ZgG6c55z+NfphcXl7OrSST7g4DN7g9+3+RVGRrlDsWbIBHPo&#10;M5zj/P41Lkg5z805Nbil+RJlb5sbsd/b8K5TxF8W/hr4agmGt/EDSYWt+JoReo8pOcY8sHccfSv0&#10;l+M/wk8F/HXwVefDn4naDa6npt3IjrHfRrJ5MytujmXcCN6t7YYFlYMpZT+R/wAUvCPxo/ZZ+Ovj&#10;LwxF4Cs9P03T7pJ7q1s7OJIbyzGNk8LqgOwp84GflO/cNwatIuMh8x0mufHLVHu7XTvA3gTULqa+&#10;vlghvNXhextWyrN8pkG9uFbou0epyAfKfiN4yvPE1vf6f8VfFtxp+qxNaJb6NaAJaNEfMeUMYzJ5&#10;jhjEQXdSOQUyFCzfHD4xaTqmj2S+HtYm875bndb8GENG67d38LYbt0+oFed23h++sbRbi11pLOby&#10;8zRxoeAeQGbOW9/T3rWMQuaCxaHBGb3R4ZJYbZctNCwjVT6DJB9hgE56VDomrjW9ckkms3Qq0rw5&#10;n3kKzfxcfexhd3GQMY5rlPtNxdStsjG9VO5rePaCoPU46/Wus8BLClqViVSWj3tIp6t6H3GKsD2H&#10;4LIDd6SpBH+lM+4D0Zj/AEr3aG4LMrDcOfmbtXivwSh3alppJ+VYJJDxzyp/xr17CSDcq8qw+6fx&#10;r9S4Jo/8J8595fkkfI57U/2mMfL9TbtrlchIpFJ4z6dfate1ucn/AFjfL0x2OP1rm7aWEbVlHAPL&#10;Zwe9aFtcmIttb3Pqa+zUTw+Y6LT7+ZeXYsOBlv6Ve+3DZneqntuNcyl4cEJ97rhasfb0ZPJeUNuy&#10;ArLnNS1oacx0K6wI/wB2/fnd9D9aiu9VdItsKljuy2e3/wCusVb6XftaVRyRtXtxmo7rUFU7W/4E&#10;GQfz/wA9qjlVjTmLF7fS3K7hIobj5ew9q5PXnnKOEb5tuFz3PStK+vTMcnn5vUHIxWPqs+/dGq5/&#10;usc8/wCf89az0W4rnM6krqN0h+YH+7WPcgbmUuOeeB171valsdmbaOPveowBXO6iURyTn7wA+WlK&#10;Qku5j6hGhz83H86yZgoLFeR/u1sakzEe4X5sVkXLoH49+tc05aHRFFS5iBJLN79P6VyHjaYxeJNK&#10;AwfLjmkZfX7oB/nXWzSiI5KflXCePLsN4tUp96PT0BB/vM7cdfpXyvEE+XASXdr8z08vj/tHyOl+&#10;G3jq48QXK6bcSxprFuX/ALPMzAR3sJOTbP8A0POOOOCG6LU/DujeM9Dt/DN1I8dnLKyaJfSp+80q&#10;6zg2Uo5xGThV5x0A/gNeJf6VZSfN5kM8MgZSMo8bDkEdwe/rXrvgfxDD480T7TqESRXF6403WXVQ&#10;RJJsJtrjHZg3y57k99ox8NKLp2kj16dT2l4yPN7u0vdI1G40m+Ty7i1maKZQfuspwf1rU0TxPf6Y&#10;4KyMV6kVqfGuxkl8Q2PjEQeWuuaer3C8fJcx/u5U/AgfnXLxEZ5r2cPWk4qSPDxmHg5OEldHvX7N&#10;37WXxS/Z98ZWvjb4P+Pb3Q9RhYGSOGTdBcrnOyWJspIh/usCO4wea+7fCP8AwWm1z4h+DIvBXxM8&#10;OWuh6xNcIsvizQXZUaPvuhIJjYnaS6MR1AQcV+UUEzryj81uaH4wvtPdVeRmVfXtXZUo4PHRtXjr&#10;3WjPLpSzHK5c+Dnp/K9U/l/lZn7Dt8eNQ1jSjqGjfEq5vdPY4W9tLhj5zE8KW4ZD8wJUgHtgVx91&#10;+0R4pVjav4z1Bm87y4UjvnXbsJyMZxgEZGD+Ar8/fhN+0R4s+H979r8KeJbix85PLuIo5SEmjJGU&#10;ZehXIB2nK56g1t+LPGPiz4k+Nrn4hWHj99PvLxlkks90rASbArOrmTktyxB6licV4OO4erU48+Gf&#10;Ou32v+CfVZXxlg6klSx0fZS7/Zfz6fPTzPtuz+MXjVLhZdL8e6lZySEhlkuSyZyeSDkEdM/hXEfF&#10;jwh8Kv2g7uz1b44/C/w34ovIbhdt9LC1lfsoHCfaLV42KZbhWyMtnHTHy/ZXvxf0lhLB49O1c4b7&#10;LIpkJIAbec5H4n2IyQeg0D4ufG/QYrdriz0/UIVy8kjdRjoucLgEDjjJwevWvl3KVOVpKzPuIqnW&#10;gnGzT7bH0lF4E/Yv8S3FrH8RP2a9cW/01pDpviCy8VXlzeW854Eonmm3mROqMwdo9oKY4x3H7P8A&#10;8OfhV8MdUu9G039rLxX4ss7y4U6fY+PoY1n00DcW3XbqhlB+XjnGF2jk18r+Gv2nb6ERReIvB19a&#10;rOnmsyR+Zgd3J5wPqTnHHpXceF/jH4K8T27R6fr9rI3mElLjMeMHBA3dSNpzjjij2xDw8L7H3Ffa&#10;DaahoLALa6hptzC0cjxyJcQTqRtK8ZDKQSCDnvmvjz9pL/gnv+zZ4+uJdU0G1uvCOqzXCx+Zoenm&#10;e1MjttBNuCNig9fLaNVAJIrT0HxhFpNzHqenXrW7h1KTQybT19R1+ldNp/jtv9ddXTyOz/NI0u4k&#10;kZ5zyT3zWtHEVqOsJWOTE4PD1o2qRTPhn42fsK+IvgbJNqGp3vibUtHh3M2u6N4chubdI1UkvIPt&#10;StCABkmQKg6Bm615PJotv5rP4T8SC+6mO1urY2t4VwPm8slkfJOAsckjEDOAK/V3TfE0E+HinBI5&#10;4/OvLfjN+xX8A/jYbrV30E6DrVxI0smqaLGkayzNvJeaEgxyMzNuZ8LIf+egr3MLnUqelX71/kfN&#10;43IYzi3Rt6P/AD/zXzPzustdl2qPMrQttVOd4bBPG5eM16v8dP2Avjh4Alk1rw5a/wDCUWCHJv8A&#10;R4Wa4x28225k3e8fm8ckivCGe806RoryBl2SFGPowOCPYg9jyO9fS4bG0a0b05XPkcVltSk+Wcbf&#10;13Pavgj+0v8AFf4I69H4g+HPjbUtLn2lWNjePHuU4yPlI4OFyPYHsDX1/wDBz/gqSPElz5vxytbv&#10;WbyaNLd9RvtXubiaONTlVAnd1AyWJC7Bnk5OSfzgtdSDYaORlK/datay8RXMUqyblHq68f5/Ktq1&#10;HC4yNq0U/Pr95w0Z47Lpc2Gm15dH8tj9wvhx+1P8DLrwZc2PiXwms2j6hCGmvLWF45mXk83FuRJG&#10;AeN24AepArc134PfseeFvDtt4i1L9l7R/EWk/ELT5NR1611Twba6hJbHJjD/AGlUMjMcPhlxJGU3&#10;BtxBr8f/ANnH9rP4m/AHxlY+LvCGuyBbS4SSSxkkPkzY45HY4/iXkc4Ir608AfA39pr9vfxJrfxW&#10;/ZW/4KJ/EHRXvp5tT1HwbdfFa90saUzOHkjgjhVhLCo+RB8u1UXLNhtvzeOympgo+0oybj+KPrMp&#10;z6nmNRUMTFRn0vs/S+z8upm/tw/8EwP2fLP4PR/tMfsOjxdYi58WHTLrwIY5NWtYLfyHke6hkybu&#10;JUfy4zEwuGPnBtyhWFfFcl/47+HF7HJrdjLDG7FIL2OTfDKR95VlU4JHRlzlTkMAcivuvwB8Jf8A&#10;god8HtYXR/HnxI8beJrXU76CCXVNe8ZT30ZtEJYqPMmfccs5IBIPzEDaOfbPHX7PHwr+L+ky+GtW&#10;8c+Cl8X60ghm8N6kk0cmtqiZSOZhEEkwAfKfzFlib5kZf4jL8+9halW1Xf8AroXm3DP1u9WirS7W&#10;tf0a2f8AWh+W95qGg+M9OktrE2en37YMd1PCzL/ugBgB9eenrXrf7CXxS+KX7O/jfVdLv72zvvDf&#10;iuyS11/T47JJor+NX4hclSyqQ7g4Kk7hzxiof2kv+Cc3xe+CnxJ07w54LtFvLPW18yG3vNSgSfSs&#10;u64uGJUGItG4SfCh8YKq2FPl1nrXxD+B3xAvPCXimxuNL1rR7s299ZXB+ZGHbIOGUjBDAlWVgQSp&#10;BPvSo5fjI2pySk1fR9O9ux8zTr5zlcVUnFyp3s7rW/VJ9/I/UH/gnd+058IP2Hf2vF+Eut6dar4T&#10;8TSWd/pFpJMkz6M0kisJJUJZoZRF5kb/AHWIIfBXAP5h/wDBXX4q/DT4y/8ABSr4ueN/g14+XxN4&#10;Pm8UOPDurRW8kSSQlFZ0USAMVSVpIwxHzhNwyCK908b/ALT3wF139k7xR/bfwm0mz8Wafo/l2E0M&#10;0kUpuJHRUltgW2RHJDSRhQGVWKkcR1+fEbEqGc5ZuWZu59a+ZxFCph6zhI+1wWLo47DqrT+57p9m&#10;PUpnGOF6VPGyE/Lxx/dqKJS74CflVgbV+XtWR1DndwnCDPtTFk3Nu/DkUwsSSu49OuaVDkZOevSm&#10;BKrqp5Xp92nhgoXB7+tQOwPXpu/z/OnRtzuz7feqhMsKwdss7cn61oaYiiQf3T0C+vrVO0V5T5h3&#10;YxWgjrFAz42suR06GgSXMyxYXBbUk2/MsR6V3XhS1+1tGXjY+ZIA3/1q4vw3ovmD7feNwV3bM/Wv&#10;RPAVrLe6gvkxb2THlgjgVyYiasfofCuCqR5VJbs9q8LGLQNLW00+3VVVQZGRDyelFOs7Y21jHYTz&#10;rKyjcdo6n8O1FePJ3Z+4UafLTS2P2Ne5KKqwn5sfd29ff865bxZp0kmoC/0u20+SYs3nfbdSFtt+&#10;XG7KwyGQ9trfKMZwSBXQXtpd+X5dtrUkMg/1jNGu0579Bk/j/LnA1lY9IXzLme1uAvG/cfNK4HAU&#10;AnsT1r22fyVHmKGna/rlhfz2MvhnToWCNHHdJrSzNMVJwzoAuDlugGRgjjHPRaLfahdQsmqPb+dn&#10;O21LFdmPlPPIx/n0HH6zoNh5kMvhq6uLG8WPPlTSCTzB/Fj1yDgc4ACjHarHgbxPe3sbabrUafao&#10;f+Pd47coskeB8o5OT34ODkDqDmUX0uVfjZ4sb4X6WvjbVfiD4V8O6I0qxahe+LLr7PbxyNwAJjKi&#10;KWGcAg5PPrXmA/bJ/ZjiSQ+If2q/gfdxozELb/EK3Ge3TdIRx6DPHvXr/wAWfht4A/aG+FOufB74&#10;jaQbzQfE1gba8jj274/mDpKm5SBJHIqOhIOGQHB6V+C37Zn7KXxV/Yk+NV58GviHcLd2br9o8O+I&#10;La18m31ez4CyKP4HX7skeW2OpAZl2u2cqa5i4u6P191n9vf/AIJ4WqsLv9o74e28kn+sfT7kXHOT&#10;8wZYyp454HJ4Na2qftl/sirCtwnxJikSaNZY5LXw1fSLIrAYYMlueoNfgZdXZuIpI3vMr/dZhW/H&#10;+0N8e7e2hsbD4z+IYY4Y1it4bXVHj2qAAFGwjoMD8KiVNFbn7cfDv9qj4G+Pfi5c+APh54jublr+&#10;zF232jTJraOG4OECDzVU5kALYxwVOT8wFeoX8Sl1hPzN1zu6/X0r8vf2XrzxPpwOvav4mvLzVJkj&#10;M2o3d07zMyqMHcTk4AGPQADiv0n+Dvj2z+K3gO11l23ahaoIdUjZhuMyqBvwAMBuWGOOcdVNYyiT&#10;zdCfUiWfypEfnaN4XGBzx1Ht+QrwH9uz9mzWP2gPhNqFz8PrW3/4TLSbKRtHa5YbbxSPmtHLcfMP&#10;uFuA4AOFZjX0pfaZIirIj8FiNw+noP8APFYGq2E8LFGjxuJO7dkD/P8AXr65KTjIq5+DWreA/E26&#10;++Fb2K/2pp2u7JGOFaRmjYxgjqOFPX7pYA85qpLYa7440251LTrBY49IjjTVLZpAsxdsgkL/AHAV&#10;5zzz9cfZf/BYD9kHUPDOuf8ADXHw00plsdTmS38bW9uh229zlVhvMdAsnCORgb9jHLSE18J3lrLp&#10;UcLmKS3u0YlbqOQGOQeh44PvnB9BXdGXNG4y1qf22FYtRgtfIktc/ciCZXuOBV7wLLHbtqDbvlLK&#10;Y1PoQx/qKzovFEl5D9k1FB8y7WkUcHip/CjutvNAj/el2gjvx/8AXrRIR9E/BQr9tiJdswaXluM/&#10;3RXoqXrl8RkfL65ya89+E0JS7vJMNiO3ROcjqSf6fpXYefsk/djr1wvJ9q/XeD48mTRfeUn+n6Hx&#10;OdSvjmuyRtwX5L+XlvmyD144x/n/ADnRhuyB85O1hxx/n/61c3a3ID4ChePlw3r6Vchv1U7Wcc8H&#10;jp619TueSby6gAm7d0+8KBqS93x8pBULx/8AXrIF4oj8wzD7uMN/D7f57elNS8I+abC7vuk89/8A&#10;PNRIqLZurqDhj+8ZB/dc5wfrUM+onON6hdvP51lPqRf7twvHC/NmonvGxzJ/wLPf+tYylYtF6W+Y&#10;qQHJOMbRniqc2pWsdyn2yFpItwaWOObYWXPKhiDgkZ5wcdcHpVM3mZGAcbccc/eJFUbq/bzcoVLd&#10;/m6e/euaUrmiC9uF2EAqfmO7v+fesPUZ13MxcfMenrVq9ulkgY5I7ZB/L+tZOpTpsYfNuHX2NZyl&#10;Y2hZmffy5ON3Udu/6Vk3lx/tfxflVq/lZSQBnnjLfrWbdcc7gfUN2rjqVOY6YrqV7qYr2/4Dz+Ve&#10;ceM5GufFd5GhHy+Wg+b/AGAf6mvRnYh+g98H2rzDWpPO8SXtwzZH2yQL74JUfyr5PiKf7iMe7PSy&#10;+PvSfkTwNALdrTW5m8tYGFu6Sh2jfGVGM/dJ4I7Zz1Fb3wUv5W8RXPhuKby5NUsz9jbjCXUf7yJj&#10;9CD+JFcgzZXG2ptH1G50XU7fW7L/AF1pcJLH16q2a+d5b07HTGXLO57F8R7BPFPga8u7KE+Za+Tr&#10;dlGnaKUbLpMf7MimRj1GRXlsJBXIr3XTpdMXUIpyqvp0kisyyDIlsdRGCp+lwAx6YX614lrOjXXh&#10;nXr3w1etuksbp4WbGN204DD2I5/GqwctHEjHQvaSCF9pxmpwctxVZSQNwqRGx3z716cZHjyiXba6&#10;ki5Umt3RvFt5aOMymubUgDg1Yjcbf/r110q0oapnHXw9OtG0keseHPiFb3EAs7590TLtZWbpwOVP&#10;8J4ra8MfDDQtem87SfjJ4qt7qR8va3l9aspHJOzdBtPTpgHtz28XtruSBsqx9a6bw34yurKZds7K&#10;275fSqxOFweYxtXjr/Mt/wCvU5cNis0yWXNhKj5esXrH7unyPQLvwx8cfDfiW38LaV8QbTVG+yyT&#10;Nb69pPkGK33gBN0WRliTg7MgjPtTtavPEOmzM/xP+D1/bq0irJrXhmQ3UaxKCC58kLLHncTymATn&#10;jJx1/wAMfir4e1eJdE8cLj935djqUUY823O4naSQcxk9V59RzXok+k22nas2lt4m0+S4+z20nlrH&#10;co0vm+dwhaERuqmIZcPjE0fGRIsfxObZPXy+XNbmg+q0+8/ROH+JsPnEeS/LVW8Xr813X5Hlfg3x&#10;hr2pWa6x8L/iTHqFn5OBazXCysvzfKpLtw2AeCu7nk4zXaaL+0rqOj39no/jjwtcWckke92tlZwO&#10;3IxgDsfmNVPiN+zzomvak99rnhnUND1yEkNq2j/6NeRsG2bXKgh+eCrhvp0rg7688Z+A7pfBvxSs&#10;bLXNNvpFhtNfWzKRuTgeVcR5/dyFgcHJRt2BtNeLy/y/ifTc0Zu0kfT3hr4i6ZrRW5i1Bgky5jlV&#10;TgjqMV2mi+LXlTEpaRWbCsFxjHHI9OOtfGmqeGvFHhuyWTwJ4vljhXLJpMMnlxRt/dH7tjngdeCM&#10;4zgmup+Ev7Quqan4hh8E+I5hb3swENnCwlAklbHJZlAU8Hvgk4HcVrGSZnKmo6s+votWjIVkk3KR&#10;uVlk46/5964n4ufs7/Bb45wSXHjnwlCuoOm1dc01hBeKNpC5kAxKFycJIHTPO2jw3r+ryX0lpqVi&#10;8NvtIzIzNsKnHyhT1JA7HJNbU9/LZzPbNndHx83y5BHB/EVrCU6Uk4uxx1adOpFxkro+H/2k/wBi&#10;Hxf8FPO8VeFL2XWfDags18sAWWz5Py3CKTgAAfvlATPVY+M+JLPc2U7QXUZV1OGU9q/U19UWS3kg&#10;eETKysGhkIw/H3SCO+e/rXyZ+0l+xqJ9A/4WX8K/DradGtuZ9U8KiQSvYt/E1uyZDRjlmjz8oyUI&#10;GEH0WX5tKVqdb7/8z5TM8nUb1KKuuq7en+X3dj52sb8qVw369K9S+Anx6+IHwA8e6b8TPhz4in03&#10;UrGZTHJCwHmdDtOQQc47ivF45JrWdrecfMjYbmteK+JsY45D8ok+X5q+kjViz5Cvhot3P6C/2Jvj&#10;t4T/AG9v2e7XxrpF7Y2WsWPk6f4osbp1tobY+XJtvLcJFtBlYYeP5VDIxG0YDc5468C+H/hNrd54&#10;41jw1pOuapbLLBDeNZrLG4zw7qF2KwGB5iYbHIzyK+cf+DaLRfiBqlv8VrvTfB99q2lR2WktG0M1&#10;uscE0kt2PmMsiHnynxgHo2cZXd9z/tH/AAo8d23hG+1H+wVhvLj93a28lxHN5krnCjZG2W5x0I+o&#10;r85zunRoYycaei3t66n6pw5UrYjAU5Vnd6q/o7XZ8h/FW/0X9qL4AXPivxhc2Wn67pNxI/h67h0+&#10;bdHGv3Q7yEFkcowPA+Vgea+AbX41aH4j1CzutesZJtYiXyrS81DQzJNAiSsoWO4ZD+7Dh8bWxkMe&#10;5r9B/wBqDwX4htvgha3tg9ra2d/OwumupZI53ZZXRk8srxgIerYwNw4Nfknc+MdR8S6NqM1zrd3c&#10;2+l6pcppun32oMYoIHmYgQoflX5m7Dkk98Vy4emq0XKUmraaefQ+njU+rzhSpRjLnbbT20tqtHqd&#10;P+3F8Y9W8Xabofw91G5W6ktpnu5LqWIeaFPAQNjcFJ525x8o49PnVTltq/zra+IWv3eu+J57i9uW&#10;nkhVYFkZs8Io/Ssy2tyn7+ReOnNethafs6SifN5pWVfGTn5/kPGYlwOGI5xTfNz8q/8A66WUmQbg&#10;Bx1phwRyff7tdB545TjPye1LGCBgmmIWLZHSjBDfM2KBEu7cMlfmzjpT4+W3Ip+hFRq25924cdt3&#10;WrelWvnyxk8Bf7x96roKxp6ZbPbwl3GWX06fSiWaMMqGRfm+ZvQe9TavdQWMEdu5UM3X3qrp5e9m&#10;2rGQrHBYr/KplLQ7sDQdSstDoNEcXM621sWARcvtz8w9PYV7p8G/Bl+mnvdR2bZkYBfl/Un/AD/h&#10;zH7O/wAN/DC2reKfFthNdndiC3jl2oPXf6+wyP8AD3Fdc0bUE/sq1nNjbJ97bGAXbnIJ5A/XPevF&#10;xmIfNyxP3nhPI3ToRxFfRvZFe10pbNS32nzpW/1jRjOOvyjtRTtY8QeFtHVFvNdjt7f/AJZw2r7p&#10;ZD3z6Afme/oSuOMm1sfaS9nCVm195+sB0PwK0+2K+jaWThpVvG3lsYxuU5z06H29MR32iaDIPsC6&#10;VM2PS3lOeP7+ODz3NdZcauGgzBpc209P3E33sEnpH7fTPFZWsWWsvcEwJefMV2iN49vORzlkbaMZ&#10;x3zx6V9G4o/j/mOcs/B9g155CaNfFZMP500yFNuTx97I5A6jPT3xQ1ey8X2esQCx8Jx29qGzJdTX&#10;0cq8tgMitKPLx1wUOVPHKYPUDRdVvr/Y9pG0J4dvNVsDAz8rRuMcnI3enJq0vh25EGZZoUdeW8mN&#10;kxnP9x15xjtnqO/C5R8xz3heDxCt5cQ6j4h0++h5MckMqtIjAgY+RFXHUkkk/nxyn7VP7IvgH9rj&#10;4af8IN4w8H6TqWrafI1x4au9Ss1m+z3OOVyR8sb4CNjjGGxlRju7rwn4okWbS4hZrZNIu24urp52&#10;ZBwQyMoIOScHzG6A+uPSPhr4U1KxtopdQnhmuAxDTQwsqsOcfKWbHGO5zT5Lj5rH4i6x+zxofhrW&#10;7zw5qPwA8I2d9pt09teQyeH4y0UqMUZSSg6MMc1V/wCFLzSjZYeAfD1urDbHJa6Oish9RgDHXj/O&#10;P0c/b0+CWn+Gf2i5db0nT8w+I9Ih1K4VIeEmy8T4wM5Ji3k/3pDzzXldr8NPtG0Gybcy5Kbew78d&#10;OnP/ANc1x1PclYrm5lc+b/h14B1rwyI/t+nKY/LyZFi6f/Wr6K/Z98UN4Q8VRJIVjt79Rb3W1c5J&#10;xsc88YbGfYn8Ois/hbYzJt8lfmOW3xn09Mfr9KryfCbUdKn+0WEblVXPldwMehAI4/zzUc1xao98&#10;n0t5HL+YfLXHzcZPH6dqyrjT3ZzuQfe+ntz+FbHweurTxn4Kj+1XCi80/wDcXyEjIIAwT9V5/A/S&#10;nTa18K7u8l0+1+IGlyXEbbXt7e8WaQZzhSqktk4OB1JGBk8Vm4XNdzgPH/w18MfEbw5qngHxfpcd&#10;9o+tWclnqVo3AkicbXwf4T1wQcggEc4r8Of2tPgN4u/ZR+MGpfBHxWGmks5vM02/ktx5eoae+TDc&#10;J2O5flbbkK6SLnKGv30uNb8IWwYeT4iaNV3ts8I6gflGO3k5zkj5evXA4OPkv/gsF+w7D+01+y/J&#10;+0T8MdAvv+Es+HNlJeNFcaW9tPqOjg5uoisiq+YcNOgOcBJgqkzKa0o3i7Mo/GVgytgcf7NbXg9W&#10;+1WsAPzTXi/qQKxTKkke7H14rd8EKz6xYhRtPnZC/Q5rsVrkvY+i/hU4EGoTNyWeNdxPAwDkfrXT&#10;CQO2TIT8wz83I9xXKfC840G4nG35rph90cYVf8a3wcgtye3bnjpX7Rw1T5Mlpel/vbPg80lzY+b8&#10;/wBDQjm8p8OV+8MAfrU0c7qcA/8AfXr36YrN89ETb5vzevuP60G6BXeOzDJz+Ne9seermrHdCKPK&#10;gHn6duP8/wD16GvI+iquD15H6/hWZJdFkOZMr0X5qj/tHb1bPf8AX9awqTsXE13vXb5TLwvHTNQS&#10;X8j/ALtsbVJ2qp6fWsuW+VE3S/Lt6be//wBao0u/PkMVtbtIwH3Y1JI5rklPqzTRGk16w+b73fBq&#10;nPe8N8rfdJ56nioJWnin8qWHYyr92Rtvp6n3qvJvL+TNdxx92fduGM9tgOawlVRcRk1yTGcls/xK&#10;2PxPH9aztQlcqXVR975d2easzSWpdklv93X/AFKbv5ke9VLiAi3a9+xXUkJHyzbdq/ngj9fyrmqV&#10;VY6IcqMy8bJwN3+FUZmBGB61avZ7eCFZJFtjuztja6V36f3VYN29KzbrWLNE+0RSxMsbbZNsL4Q8&#10;8FpAADxwC2TXDUxFOL1djoinP4RHdolzJ6fe6V5U0z3TtcHjzJGf16sTXomveI0ttNuLqD7R8u6P&#10;y2VYy2M/MuCVcZ44Oec4wCR5zCpigVW/hQV8nnWJp16tOMXe1z2MHTlClKTQP97bUsQymMVBnDVY&#10;jUquK80Utj2L4P6jD4j8DWem38rbYJpdFvG3fdhuBmCT3Il2xjqRuP44/wAc9NuJdV0vx1PEqS6t&#10;aeTqUcYPyXtufKlH04AH+6TWd8Db5ZPEd54OmufJj12xaGGTcAIrlPnik+oIIH+0w967/wCIljH4&#10;2+H2pXUFqyzfZ4tetVxnawHlXcfPQLt3Nj+JueorGP7nEJm8v32HPHFJPFShsDIHSq8Z3gFe9TAn&#10;OK9aLPGkidGyc+tSxuepqurY+XFSqwH3q2hIwlEtxy44IqxbuRhgaopMO9WInLHcP5VvGRyzidP4&#10;b12aKRYTJhgcq2a9k+HfxZstT0cfD3x9dObBpM2d9957GQn7wz/AR95ehGTwQCPANOmMd1G6D+Ku&#10;ms9VZbzy1UbSq5+vr7V2R5K1N06iun3PGxFOph8Qq1B8slqmj6C0rwz8Y/h7F9r+HGpnyrFkt1XR&#10;dS8maTek770j3h3B8ltxVSo8xAxBdA1G9+LXxBTQrXwx418A6dcR6hKMtqmmoWlHmY4kfqFZeNvG&#10;5uc4GOb8HfFvQpfh5ceAvFXgTVtUvV1CCWx1zTYUlubWKNJsRRvJLtiHmPE5BhfzPJVd6DcH6bRf&#10;2qvBNx8O7L4deM79riz04mBm1CKCO6t4y253ZZNhEmW/5Zqw+Rec81+fY3DRw+KlSj0Z+t5biquN&#10;wFOvL7S/HZ/idN4S134a+In17ULrwBEIdPsWjs7OO9fzGmJAjdnQrzli+T/cwABg12uu/su/DpLS&#10;18c6h4eSJtG8Btr+p6tbXLDy9UnlkTT7WPN1mQvJLZISF3K0jkRuIS0nAfsifso+Pv2/vi1cfswf&#10;sXfFew1LxJcXVxr02ra5FcWNnYabbrszPNHHJIp3yrECkZ3NInygcj7o+K//AARk+Lf7H/7Pj+Nv&#10;2tv2sdGvNUv/ABxZy+HfDHhXSrnVFv2iW4kS1Sa4+zmLGVYyurpGIjhHZlQ8MuSLs2egqkn7p43o&#10;XiD4bfC+L+zfHF8s2pJHZzTWVxcLawxyTWfnzWxUHewieW3jLblZWMmeembrPin/AISbX7zXY7aK&#10;1iurhngt7cHZBHnCxruJO1VAA5PA6mvsL4Jf8EEdZ+Pvw6X4lftT/GHxV4bvNTuBc6Poej2No8vk&#10;kybWmaWNmTeGjbYpH+rXcOAB2Pin/giN4Z+GPhsXEugaz4osrW12mWHXJdwUA/fjgETdOuAV96xl&#10;Wp81rlWfKfiL4n/a0+J2g/GLXvEfg/xV52ktfstvpd9+9tmijHlqyrncm4LuOwrljk55r2v4L/tl&#10;+APiJeW2ja6smi6nIwRY7iTMErc8JKAB2HysFJJwNxr7Yg/YB/Zv+HOi3Gr6d+z74XtxawtJm40d&#10;Lh1C5IAaUM2T+ufWvzZ8d+LfiH8dP20dUsPiFZeGFXwldRW0jeELdY7DybGPyoEg9UOPNY4Bkc7m&#10;AwMdVOUJ7HJKMo7nifx78Ox+FPixqdjbQRw2sl5cNZpCRgQrcSIowOmAmPwrD37LVUOc7dwH1/8A&#10;1V1HxB8O+KviJ8R2t/DumrcSQ6fDJM+5Y44/NJlG52IUH953OTipD8CviSLyG1uNMs41fbuk/tW3&#10;IA454kJ7+lfVfXMNRSjUmk9N2fHRyvHYxe0o0pSi29Unbc/Rj/gkH/wV9/Yv/wCCXf7Mmq/DP47+&#10;B/iPrHirxdri6qf+EL0WyuYobFYgkAka5vLfD7vOOFB+Vl5r3jT/APg4r/Z2+MHxw8N+EfhH+yp4&#10;716+1vWYbS1bxRqFlpcVmjkAzfuHu9+0FmI4yBwea/K3xn8D/hv4m1Uya58c9J8OagbCGLTo9Tlj&#10;FqFjiCKj4PmBWfrIqsVycIxxXtv/AARc/ZU8X+Nv2uI/E2rafavD4UvoxJeQ6hFPajY/mSSRzQl0&#10;lGEVAUZg29sZwSPFxNPLcZKdWLbfzR7mFhnWW06VCrFRXXZ+bTtez1PtH/gqj8RTfaZJpFvbTR3V&#10;vb3EbRqww08+yGJ1A6gM7c/X0yfyR0/xDodjZeIPBOneG4ZY7qSZ7LUW/ePbqnIwCACTtA3H7u8k&#10;DPNfpB+35+0V4/8AhL8XtZ+K3wj8Uf2VrHhSS4ktNSW1RvIZUNsdqyqRvae6+UkZGMjBUEfl1a+K&#10;F8I6Oxhto2muD+8eXqw5+XnoOfc5NVQo4fD5TLmjfmlp3uj1MHOtjuJYL2rpwpQvJ2TVpdF5vReS&#10;1PPIYmYfbrn+LLDd3NOmumnwF/h7VLq91aXt4yRQmLqREv3VOegzVJAySHd61jH4TOuoxqNXv5kh&#10;3cjj1/SlHzD5lz/wKmNvKdf0p3y4yq8VaMWOjIj5IpwcbsEnH92oyF6524bvUjBXGMbqYrj4F811&#10;KdD/ALNdHoto1rAbyYbUTne3H61l+H9Nub2+SAIWXcCWVeB/nFTa/ftd3P2O1LeRAxHyj72OpoNa&#10;dOVSWg28uDq+pPcRqxj3fuwx/hrqvB3huTVLqGERM+9sfdzj6Vh+BvD174g1BLLT7VpppGCqic9e&#10;P8+lfUnwf+B0Xg60j13xRKq3DLny5GH7tf6nNefi8RGlHfU/TOD+HauYTU+X3Vu+hqeB/BjaH4ft&#10;dNMeSse/aFPzOR3rSvtNtvCejzatql0sarmS4kcjGf7oz/k1uPrum2ELag1zFBZwJukuJGC5A+vQ&#10;V5P4u17WPi94ijjsFktPD9rN8ssmMTH+8Acbj254Ga8enKVSVz9jxVTD5bh404ay2S/X0K9vqd54&#10;m1lvEU9s6wplbWLb/Cc5PTqeM/zorr7SztIoFS10pVCKF/fXHl7R74B7+uPpRXT7RLSx5Cws5ayd&#10;2fsDbeL9Su9UTT9LaSH5g0m2HzMg45C7gygngMyY+Rs4qZvF5sZl/wCEnmjhjSNn868uljdlXAdy&#10;iKQQAQxPGMjOBWXpfhPxc+iXGi+NfHCyefpv2dE8O2B09bMlj80Lb3dSFKop3DHlg45IEnh/4a+C&#10;PBVpHZeHfDoEcKyLHNe3Ut3Kqu26RRJO7uQzckZ5I9a933j+W3Zam34U+Jnw/wDGNpa6h4K1N9Qt&#10;7zcIbuHT5vLJGc7mKgKRjoTnkH+Jc7psxI4Ma4DZ3ZbGf/1Vk/2pqIQ+VJtkcD/WfNz17Ef565q9&#10;DBqlzC6DWztlwF2whSv456+n9etERPua2l6YZJ1iXDHzsZGOOea9G8NaN5KRhlG5mx6Ac15pqngD&#10;VW0S2W11PVpoYbnzb+C1uJBJNGI3wqmJkkIDlHKo6s4QpkhiDq/s7HUPh/d2fhDxX8XF8RzTPdN9&#10;lk3vd28K7pEaRCzSIy8RlcBQSgADZLaRFLU4X/gpJ4O8SXlp4W8dfDn4Uap4m16G8fSY/wCybqGH&#10;7JCyNL5lx5pAeHeu0jIIMgYcgEZ+nfCDw2LS3ul03ULeSSFC8MrqWibqV+UFcjoSDg+pr6A+IEd7&#10;r2k3k9np8qyRwPJawyMFZ2UEr0zt3fTIzyAeK+aU+PvihiFh+H8C7W6S6qW74yf3QI49O9cuJp+9&#10;dBGSSOot/hl4ZWTP9jNJJwf3l0/HUZxnvVm38BaKkwmXQLX1Uyru59ec1w03xu+Jk1xiw0jRIYd3&#10;yhreSR16ZyfMAP5Vm6p8Vfi3dBHt/Etva44ZbTTYzn0/1gfj6Vz8ppzruesWPha0092nsLC1gaTH&#10;mNbwhd/1wOatDRnPyrtXaf4Y+leCan8Q/iZqUbQXvxD1BY85b7PstyMZ6tGitjj1H6VwOi+PPiJq&#10;v7RFtpn/AAsbxBNpNnZySXOnza3O8E/7ooA8Zfawy3QjqM9qSsHMuh9eLorEKj3DMy/wgCrfw41b&#10;4TzfES38P694k0u8kikX7VpH25GlMectuiU72G3PGOfTnFfP+iaJ4R8J3sl/4V8N6fpc0mC0lhZp&#10;C7EDAyUUHpwPbirviX4oyfB34L+N/jhqMjSL4V8K6lq2WxudoLaSRVGe5ZQAPUirjEIz5pWP54v2&#10;i/CHgbwT8fvHvhT4X6kbrwzpPjjVbHw7cvnM1jFeSpbvzzzGqHnnms3wHGW121DsPkQtz9K5+CaV&#10;ome6keTzDudmb5sk/ez65rqPAW1dd3ueI7Y8n8BW8TokfRHws8JeJtT8I293Yaazx3U0hjkDqBgO&#10;V7kd1PX0rstO+D3xB1GdbY6bbwswxuur1FAOQOeSFHPU4HvXOeAfjHZeG/ghY6PFrNuLix1N400u&#10;ackYk3O03l7hnPyqTx2GCOm/p/7TnhKDWbNvFWr3E+nfaI5dSj0yBhJMoYlkTeg256DJPXJPUV+x&#10;5VmuV4XK6cJzScYrS6WtvM/Ls0/tSpmElRpuScrXs318i98TPg3r3wjtLO98Z63ZZvGKxR2LmXBC&#10;5bLNsXjI+6W71yVt5N5M0Wm2l5eN/CsS+/8Asq2f/rV1sf7cfw3sdS1S7TwDrGqR3N2j6eNYhguJ&#10;YY0TCqZpJCy85O1RtPTpxXAa3+1Tqt7qd1Lo3hNYLeaZ3t/MvNpRS2QpVUx+GcVzvizK+Z80rLTp&#10;ff07ep0f2ZnSpxcKPM3fdqNvv7npNt8PPA8NpFLf3d20jRK8kfnBQpPOOgP/AOrpWh4s0T4HWfhO&#10;eDwdYn+2GEXkzXjSPHG2V3/MTtOBux8hz7cV4Bf/ABy8dXMxlRNOjUtlV+zszfmX9fasaX4i+NZV&#10;ZX8VXAWRSrKkca4B64IQEfXOa8+vxdlv2VJ/K35sdDh/iKUrycI+rb/JWPZvDWo2XhzVG1TV7mC8&#10;HlFY47eEbQc/e5C9MEfd/Kuh/wCGlbXwpaObLSbW2aTia6uLx42POQMKyjj/ABPoR8wXOrXs8bRX&#10;er3dwjcMtxdO4I9MMap+ZbQJi2tlU4w2zjI/rXl1uLuZWhS+9/5I9KnwpipS5q1f7o/5s9a1/wCJ&#10;/hG/1afWLhoLia6kaWTy5pJQWJyT+7OR9Saxbv4q6Ta82emLJuHUWqHjn/nrzXnLXjxo0h+UY+8x&#10;6Cqk/iPSo13z6tDx/CJM/oK82pxPjpfCkvk/8z0qfDWFj8dSb+aX5I7e8+Ld+FaKwEnlN96NbgoD&#10;x3VQR6d6y7z4p69/Y0+h74WtbmRX8mWMs0cg/jU7uDjK9CCD04GOLvfFWi7GS2mkZumVj/xxVG98&#10;TpNGsItJAv8Ae3lSffqcH6V59TOswqbz+6yPQo5Ll9LVQv6tv9Tf1HX7m4cGU7vlztbt+QB/Ws6b&#10;U1EjRKYV77ZFUnHr82axJ9YurhVjltYmVWyu7JI/H/61WLPXbGOZZJ4NrL0Vowyn8On6VwzxNerr&#10;OTfqzvhh6VKNoRS+RcOrSMGQX0gw2ONyr/hiun+Efwq134x6r/YmhMkMcdwG1DUJG+SCHBwMfxOx&#10;BAHsScAEi/8As7+I/A198a9FsfG99a2ujXEj/bEa1AjmYIfLRxjG0uEzkYwCDwa+rdD0CbRNXuPC&#10;3hjRrGxtpJFnZLSOO3S44wuMYByO+Me/NY+0cXe5fs1KNrHx78XPAsfw5+Jt54NWyuobeNY3sZLx&#10;gWniKj95kAAgsG6DjBHasYW4zsXuK/QfxL8G9C+LfgS90XxWbHFzAyacmoQb3tpDGwSSMr0dSxK4&#10;xn1G6vjT4w/s3fEz4E6Lb+I/F17pV1p1zdJbQXmn3ZLGUq7bWjdVdSBG2TgrnoW613YfFwno9zzc&#10;VhakfehscRYXl7oGqWut2f8Ar7O4SeI+jKcj9RX0db3Okz3yanaIs1jJdR3axsuFk0/UF2SK3bAm&#10;y7egXnGa+bIrwsdofNex/CjxHZav8OBFq6ySQ6Os9hrKRkllsJxkTY6/Iy9cHaqse1bYiN4qRz4e&#10;UlJxkeZ+I9AufCPiS/8AC92xZ7G6eJXYY3qD8r/8CXDfjVUHJ5Fek/EZtH8T+LprHxlp8IktdPVp&#10;fE/h0pJ5+/Bjmmh6uBGvKqxZVBYEqBjiPEfg/W/CcUF7eGC60+7J+w6pYyeZb3GOoVh0Yd0bDDuK&#10;7KVTmir7nJWotSbRSzjtUic9KhVtw4apIm7k11ROJolxk8GpoXPaoVPvUkJIOCa3jqYy2NCy+a4U&#10;itiKQrJnPNY+nDNwuPWteLnqa64s8vFfEZnjSQXF/bKvyrHHvO4+px/MV6F+yt+xr+1j+2b4lvvB&#10;/wCyt8BNc8c6hbtbw6kulJGIbBZywja4mlZYoEbY3zyMqjaeRivNvFFje3GprL/Z91ND5IG6EfKP&#10;rg+tfrn/AMGzP7X/AOzJ+wd8I/iX49+OL6hbeIPG3iG1tYZ/sk+3+zrOFzHtYxbCTNNcbvnBwq8d&#10;K+HzSovrk3fr/wAA/ScljKGV0qaWtr/fqfZH/BKD/giN+03/AMEx/A+t+KNM1X4Z678RPFFpAmo6&#10;gsN9EdPjTc/2OK7jmjMkRdgz7oMOUTcrBFAzf2hf+CT3/BXz9rX9trwD+0r8evj18O18IeEbqxim&#10;8IeEvGeq2Mw0+KffOiKLIQtPMCwaYsucquNiKo+vPh3/AMFlf2APiD4c1TxKfjGukwaRBFPcR31q&#10;00ssT4HmxR23myOiFgHO392WG7aCDXkvjL/g4F/Zpi+ON18K/hV4p+FuqaPDZ289v4m8X/EbU9Bj&#10;ud4w6jdoc9uhR8qRJcISMNgAnHn/ALuWp3v20Xqj7Ubxz4kW48jVPgh4kVV4a6guNPmiPuoF0JCP&#10;qgPtVfUfir8KNOjkl8R+In8PwxybDceJNPn0uFnOflWS6SNHPB4UnIGeRzXwz41/4OV/2N/hrqR0&#10;3xPoP9uNDMYriT4d6+usIWBwTFI8MEUq9871B7Vdi/4OP/2cvGC2tj8Dv2QPj1401C+jU2sFj4Rt&#10;Y4TITzE0n2pjuHcqjL6MetHsaclqjPmkjoP+C2/xC+E/7OX7EGqftIaZqGn6f4hl1CzTwzq9va/a&#10;IdQmBN0qOseRIHjt3AkPTIOWA2n+dr9mHRLnTfh34o+J19Ev2+8W4kDhdqmTDNtUDAA3sAMccDpi&#10;v0V/4LBeLf2i/wDgoN4M0nwtrX7BHgX9mnTrjxBJqU3ir4lePNK0jVPE20LsDi4itZJFDNuMKGcv&#10;IYyDuQA/Lnw00j4Z/s+N4dt/iXo9j488L6JqS3euWej30kNrqcVrFJeSRmSSMN5R8ja7KuCpIU5I&#10;ow9Hkqcq6sK1T9w23snqfMt74ptbzXNTvND0tbGGx1D+z5okYkO0CrGHyxJJYLuPYE8ADArA+Inx&#10;KvdB0XzNNn23l03lQHtFxkt74HT3Nc58O9Z1XU73UG1O7Ba/kkvJlC7VMrPkkDsDnp7Csn4ryztf&#10;2MTO3ywvt54zkZ/kK0xWG/2583XU9HL8w5cliqb+Fcv3aXMeTxDc6QH1kzM947FvPkYsxbH3ifWo&#10;LaGPX5F1DxNfXV1I7bvmumAX9fpWZrMgkjVGPy5wF61at5i9su3+7XSlY8xts9f1H9sn44XPwE1z&#10;9nG/1/8AtXSPEeuadqOoaxq1xNcaiFsvtRjthM0mHiMl20hEiu4aKIK6qpVvJ9T1K4vtTX7RMWVY&#10;8Lub9ailunbCyS8exqOcnd5qk5+tX0sZ6Rk2PJi+Ytj/AOvTHBmkyDuOKFnLLtzgdGz/ACqRGIyN&#10;35daIifvEaqzj5vo1ByPuN/wEU8DjOTn+9SqFPyr+lVYRHkockfhVzT7WS8lVERvmPZahtrRpn6f&#10;xCuq8OWVrpdv9tmYbhHnuOPelewRi5MXVm/4RrQF0+2lVri6z5jLjci59vX8KreHPD13q17FYwFV&#10;aQZ3ydBQv2zxRrS+VCzg8RqqnivbPhH8KItIaPxP4pjWJIV3RrMAc/8A1vrXHiMQqcdNz77hfh6r&#10;mFRNr3b6vpb1Nz4Q+B9M8E6Kn9j26vceVuvNSa3IZ3P8CbucDPbg/wArXxL8a6p4d0RpL3UW+0SK&#10;Vs42Y4HPX6DqffjFHjb42+FdMT+ztGvPtk68COzUNj8RwPrn868w13XtR8Xaj9u1f5Y14hsrfJwM&#10;fxN3+gGM89a8qEZVZ80kfrWKx2EyzB/VcI1dKytsv+D+Jv20eveJtEt9bu9ckvWUblS8JkVTzkqO&#10;g6dhVGH4rS6DdfZ7i1Fwy8KqncpAHbBFU57vW7+3WxVltLVV2rbwMR8uOh9fpVjw74Jk1jVIdJsV&#10;3XF2yp5m7oM8nNdSjGKPn5VMTVnFUW79X3Om8F6r8ZPi7LJZeCtBhghhY+ddXMihI+OAZGwmT6Zy&#10;c0V6Fo+m23h64/4R/RZo0s9PjBvGtcKrzEBf4eSe5JJPHWisJT191H1mGyj9yvb1ZuXWzsj9oNV0&#10;1o5GQblZTjd269B+hrNa2lhLIyux4G1hxjPJrk7v47+N7zTktr200qa4WPb9uNqVlkwMbmVWCZz8&#10;3CquT0wK5jxL4r8YeI4xDquvSrFuYPDAzQqM9mC43DGfvZH44r39Op/JbrR6Hb+I/iZ4L8LOba/1&#10;dri7j+X7Dp6GaUH+6wXhTx/GR9eay9O/ae/snxJGLT4dSTafsyJtS1BYSWzhcJGr4698D8sHz06Z&#10;Is/mQrherPwuzIzzyfTd6n9KktYQs/2yWP8Ad/MsecbiBhdxPc7shcZ5z7EP2kVsrk+1kz2zTf22&#10;p4ZMy/CHzv3mG8jWhu9iA0eD+fX9O+0r9sz4U61pzR3WnatpdxIVD+dZq+8dflMbEnt1A696+V2h&#10;trfUIkEEm/z1X5m4IGN3I7cHBPXHbGDoRtL9wAEA8/N1Oc56cdeeufxqZVuwczPsLwt8ZvhV41Cw&#10;aJ45szcbsfZrzdbyNkZ+VZQpbjuMjr6V81fEvwk/gb4kap4ckOxYLxmjCRDmN8Mvp/eX9fWubiiP&#10;y+aAW2YxHnK/UdfU1JKVdwtw7SSLtVUeTOPl7enU+nasJ1Obcq4lzKGPlx3Eit91n6H/AOscVnyz&#10;ElW3NtjjKquMZIwB29Aev+FTXV1hNwz9eB9cD/P19KF9dBcxmTc20FgF6HaPqcVg2UNe6tYlZCwX&#10;y488ngds/XoPx74rivggf7W8Y+J/GMvzM0ghjk6ZBcsQAD7Dntj89nxVqcFjoV5ezrt2277fMB4b&#10;HA4PTr1749KwvgrE+m+B5L3YzfbLp5GLddoIAx3znPf0+tILnpU2qdd6ru6Ltf3H+ArwH/grf8U5&#10;fhp/wTZ8ZWlrftbXni670/RbeSOQBn8y5SaWP6NBBODjsfTNeuXeqtI4+dvv/MvHXHv/AJz+Q+E/&#10;+C8vxQlT4bfDP4LWl7GyX2q3mt38Kt8yGCNYIGx2Defcd/4T+OkGaUdaiPzVbiLA2hlX+LuK6rwJ&#10;Ii3U06jpDj8z2rl2jVuvPbpVjT9U1PSw62M+3fgcru/LNaHbZs9Qi13SvIRZtOlnkVcHdLtX8Pwq&#10;he6j58z3NrZCFeu3duA/E1wUmva/c/K2qSqep8vC/jxiqFxc3MjfvrqWTac/PITmg1nUlKChZfcr&#10;/fuehza3aW7ZuNQiXj5suM1VuPG2iRN82p/98xsc/pXGIUlTzFH5dqRgv3StO7M1E6qX4j6apwlt&#10;cSN/uhQf1/pVO4+JF0w2waOB/tPNn+g/nXPmMr92mkMw5P40g5TUn8eeIplxF5EH/XOLP4fMTVY6&#10;5rl3lp9XmXPaJtn/AKDiqm3oGH14pyZ64FABKDM5NxI0jNyWds/zprRhc/L+lSEY7c0bfnVEH19q&#10;BgiE5NPxx07Z6UIrI5VvzFMupdmEUdevFAxysqqqlvmx3pqxbiSDUYjQnPo2frV7TbDUNRbNlHCy&#10;hsYaQZ/75zuI57D9aAIYo3jmjmhk2yRMGjIPRhyK+hPDP7aPhnQdNt49U8IahcMbZYb3TZo45Iio&#10;6GOYsHTnDD5eOAd+Nx+fZ9S1KC1fTAIUjaTzP+PdC+cdA5G4Dp8uceozVP7RPvWQyE4bO09KTXNu&#10;TzH2x4O/bE8IeJNDTVW0e007Q7WFRNb6pMbhoJwAp5IGA2cryQM8EngeR/tl/tHaf8V9Vg8IfCjX&#10;JLjwrbxQzXkX9l7Va+Vn+ZHcb8APt+XaDn+IYx4hJNZakFJK2rMQHTadh5+9wPf61b8NeKb/AMMX&#10;O1I47izZsXFnN80co7/Q+9KMeXWJpT9nOVqjsu9rkyC/066On6zYTWdwvBhuIyh/Wt/wb4117wHr&#10;0fiLw7MqzIuySORSY5kPVGAIyDx0II6gg81W1XUdD8VyNNawahPZrtaSxnuFDwELjMTbsttB4Vgf&#10;lBwcKcZs9pfaPCb6OX7ZpvmbVvAPmRv7rr/Cf0PYmvQo4qMly1DgxWWyhJyotSt2/M9C0yb/AITH&#10;UbrWfBkn2aSeaWe48M2ahZY38vCzRZI+07SN+wbSrE7VwSTe8Ni+0/Srq18FTWMkKyhNQ0i9kaW2&#10;vYvLLKZUkOEnLQsSV2FAeqAHHmdpc/Ml5ZXLJIjBo5Y2wykdCCOhrtNB8SReOb5dP1208vWxCTa6&#10;zaoPMvNilvs9xGSFl3qNobG7IUHcCa7GeVu/M7hNE+Ejavb+GdZ8IaNpk96oRLGLVL2SaGR9o/4/&#10;GbyRIoZm2sjLlUU/fJXgfGPhWbwVrK6Y1009tcW6z2NxJD5byRklcMhJKOrKyMp5VlYVteK/Cdrb&#10;aBrPjq81tY2m1toVt3kRvNhkzMDs5EpKyrgq2UZfqyaeqatoPinTI7P4h6LPYwmZntNWsZme6sJj&#10;GgnE9vI2ZYywSVtu1kLtgsHrSlLlle5lWjzqzVmcFEcEMTUy43ZxWh4o8B+IfB8MOoXfk3ml3P8A&#10;x56zp8vm2s/J4Dj7rfKcowVhjkVnwsrAba9CnJSeh5lWEovU1NKRjJv/ALorSUbE3vVHSVCxsx7n&#10;Fdl8H/At/wDEr4oeHfAemx2jyaprFvBtv5mjg2l8sZHUFlTaGJYAkAE13cyp03J9EeRUi6lZRXVp&#10;HV+HPgd4j8Y2kdrovh+8vpmgQ7LC0kmI45J2dO/NfVfh/wDZr/aa8Y+GNC074Jfss6X8L7fQ7GJb&#10;rxZH4k1ia4vmSLbLNdJd3s1rF5j5kIitYQpbAwoxXu1j4L/ac8TvZzx/tDeEvCOmLuSXSPhb4OWZ&#10;p1UsPku73zHjPT5ljxwRjucb4AfDP4eftAz2+pfFL4VfEPxJHD4g1DT/AO3viJ4mnvlLWrlF/cRl&#10;I1XIw26MKrfKC+GKfn9Waq1G31Z+m0ealTjGKtZJHj1l+ydBbw/2V8bv+CjWl2cj3DeZ4Z8HarPq&#10;k0jkbHTytMWUrIy/Kd8Y4XBOMCvRPh1/wTw/ZdsWl/sH9nT4pfEKRWVhP4qlt/DNpnqCk0sjzFOR&#10;w1pk4/hHNfaPw8+F3gzwLpw0vwT4P0vR7Vc7LbS9Njt0XpxhABXZ6foXz/vFbCjLbulQo9jTmnLd&#10;nhvw2/Zk1TwfZSReAfgv8H/AbJGEsNSh8Nz+ItUiyoDM8t08No7DBxus2UAjIJGa5L/gov4M+O2i&#10;fsreNr3wd8fPiTeTf8I3Ks+h6H4g/sexa3VCJF+waPHa28mVLbt0Tbx97cBivq/R7vw/dajcaPp2&#10;r2s15ZqrXdvDOrSQhs7S4ByucHGeuKuap4SstftJbOUFWkhaPzIx8yAjGRkYz35z+NJ8xceXqfjj&#10;8LPgl8S9I/Zs8eXfivw3qH/CMx+D1ls9Q1Sxfy55hdR+RNC7r8xaKPduUkHcCO2L3xy0jRvBv7AX&#10;xF+Mmv20sb3E+leAvBD/AGffHLqmoS/b9RY8ja0WmWDx5Ocf2iuASwZf0U/bK+GOh+Gf2P8AxF8L&#10;NA1EzPdaY0GhaPNcKXDFw7LHGMYQKrsdowAGJr8m/wDgpzr+teD0+Gn7JOsaXa2d54R0GTxb4zit&#10;b6WYvreupDcRxyq2ESWDSodJt2VAQHjl+Zs8dWDpOpiF5HNjq8aODlc8S/Zp+DniP48fG7wn8HPC&#10;V5a2d5r2pJHJe37stvZW6BmlnlYAkRoivIxA4C10nx5/Yn/aj0bTbTWJfgF4subVpv8AiU6tYeHb&#10;may1aJzhXtphHtmDYBABz2IB4rs/2a/GOl/AD4La5qlxp8Nr4q+KEaaRp+uOxM2kaAHH21o17G5b&#10;bCWGGKJIoIDMG+7Lb9uLxR8a9K0DQfh3+zP4i0bwn4O077B4NhuGmijnmW1NpbvJLOdmIo2c/eJL&#10;YJORmtsyqf7SklsRkcJxy+Um9JPRemh+KeqWtxBcTWV1BJDcQTPFNBKhVkYHBUg8gg8EHpimWT+W&#10;fKz24r9H/wBoX/gjJ8f/AIt/stfED9uvwlo2oWPiDwN5N34o8L39mCuuWhL+bNZShv8AXW8SxO0e&#10;GWdWbYRJFsm/OJYo54ftCnhsEGsYy5kbyuh5Rh8o9aFU/dDfnTo8uvT5hQ6tH8pX3rQzuMki7p16&#10;ZWnBiDgmnBguOOlKqIw+X6bc9adg8g2nqB17YqWCEM24Hb+FIsTRruJ6NyO1W9PtpbmTy0j4b7p2&#10;0xW7FzR9LMrBzF0/2c4/Kuzsvh8mt+TBql5Jb2vDTLb/ACyOOyLnoPeodE0P7FbLLMm6RsHbzg8d&#10;62JrmUxtApEMb/e2tktn9a5a1TTQ+r4byyjiKzrYiN4R2XRv/JDZX03wnEumfD+223AyJr5mEnle&#10;oUnOT9MAVW1H/hKdWjzqmv3FzuGWSSY+nSp44chY44Tx/s9OatWnJCFOjYria1uz9C5uf3Y+6uiW&#10;i+5GPB5lkSogWNWXbyu0Y/pWlY3KxBmY7v8AZVauTJDI6wiLd83zMy5FVbnRI13SRS+Ucbuv86fu&#10;kqjUp6x1LVvc+dIEcY+YDbXo/wAL9NvbRW1bTrQzXsrCKxyvyg45Y/7Kjk/gK4/4W+CJfFmrLbax&#10;ex2NnDzPcMwy3T5VGeT9cAdSfX6R0Dwv4P0Kxji0a1Y26LshCtveTvz05JGecDngHg1y4itGOh9Z&#10;w/ltbEfvpqy6epg6J4ej8PaXDbSqbyeTLcqfnY8s56fhn3orpZNGvtZnaaWSSwtNo3SRlhJIeuFz&#10;yoB7n73YAckrj9p5n2ns+XRI+/3tgpUeQrfuyC54A445x7/h+ZqGfTgIt7osvAAB69fy5xn+vQVt&#10;OFiEbtLJ8zZVeNjHHB7+545yMVBLAQVSRdx5LY7f7R4/wPX2B+lcj+IOUyUCxSpcwI3+rJ+dD0zj&#10;HQYzz74/E0S2FvBKvlgsNu0KzY2kfd7dBn+da72VyCytbymSPCsx6EDrg45HT8DSTaRLcn7O5kj3&#10;BfusB15A68Z/x57meaxfs76mUtr5CNMsytIy4wB97OOmD9e/QdeBUxEiyYTzJPRlPU5x+B6dBisP&#10;xJ8cPgL4Kurix8b/AB68E6TdWbESRap4qtIZ1YZBXDODuyDxjOa838V/8FKv2GfCtvcbvjiNSmUu&#10;VttJ0W8uTK3orpD5efcuAc9eppcxSpyPY4nyFaTLBmZWZc9x6cE8+/0phmmjDXMpZvlO1WQscnJx&#10;756dzzXyr4g/4LB/s46fDJB4N+FHjrWLiNh5LT2traxMPXeZmdfp5f8AhXn3ir/gsf8AFLVJVi+H&#10;n7Mul6eq5Im1rXZLwv6HZHFDt7ZXJ7/NzkTytmkabPumdIZLMsIlwrFU2yfeGcDIHTrzkfnxWXeQ&#10;+W4RPvIBu+U/N26np+tfDOlftw/8FAPig3/FN2Wh6UrLgR+GvB8k2BnGc3TTd8c9K1PHPjH9qjXv&#10;A39j+KvG/iqDXtSW3ms5NMmeyCfvwJFJtti7jGHHlE55XjkZXLIr2bPpj4v6jd2/hCaKJTH5kkaN&#10;5ny/nj14OTxwRzV3wrCmkeD9LsJ42LLaqzKGOAzfNnI69ev07nFfG/ww07WfEuvaT4W8UeK7641R&#10;J/ntdQae4lUyT/PukcFRtdyu3OQBwMAV9h39/FApS0KoijavzAKozjH4/hUEyjylpr6PcqJc/wAT&#10;bjtP+cfnjv7/AJV/8Ff/AIir44/bB/sC2ZlHhfwzZ6bKA3ymVzJcsQMnnbcIp75TnpX6bR6tm/Zn&#10;n/iyxY7flABzz07+3fua/F39pbx9P8U/2h/G3xDNy8kepeI7lrV5WJP2dXKRD8I1UfQVpA2oL3rn&#10;EAMQ2+JT/tLxSAKDnys++6jLdhQCzcBPritDrBnJUxKNoP8ACBUM0eeQPpUrMcY2kU0hiMkUDIYH&#10;aBsnp0qwC2MjG3HaopY9ynC9O/rTrKTnDqxU99vT9KAH5Ld/xpDG2c9KkfYmSSAuM7qJI3SVbWVd&#10;rt90MMZoFchC7eCfl7U4bV6VMIgHkimcQyJgrHN8u4H3NR27WomdblG27fldWxhs9ehyPy+tAxAG&#10;kGAtTQxqjLvPVaYX/wBGNu1swkZv3NxgruB6ZycY/CpYmvbq/jFskMM0ce5904jDgLzjoOfQcntQ&#10;It2On3Os3P2DTLWS4mKllhgjLOQOuB1NVZNOleyOpsF8uKYQyEkFkbn7y9QMAnp2qxJYXNpK2t2t&#10;7Db3EL4jitWdmUbc5D429Dj7xOe2Kz45IbmzdvOmadpctG2drj8Oc89+BQI0tT0f+x7hIV1C3uo5&#10;I1eO4tN3luCAeC6qSRn061WgkjtZvtVr8rHJLEbhj6Gp4riK1jbVLTRnaxlUwGSZSwik6/K3Hzd+&#10;nTt3przar4fea2e4jksdQVTIsMgmj25yDwfvD04P4GgREkKtKsQgUSOuV461Bc6cz+ZPbL/q2Ikj&#10;xyKvnT9Pggjsb7W42aRFksJrZvMVG3YMcgxuBwcgjI4AwckrEyrdEGyspPt0PNxHuykiKv3gG+bO&#10;ASfT2HFAjKXOMGnwtIDtVN3dlFXrm2S7gbUYrZ1UPtYMuOfT61Cp2LneIlxjC8k0BYhW5a0uA8Ly&#10;Rv2ZcjHNWrXUriS1msRJGy3GPM3RDf1z1xmmyRLOuxIW25/1kjYNUpY1ikIG75ejbehp76mkZSj8&#10;LsaMENxp+HjDbe47Gr2l69d2V7DqFjM0NzbyrLDInVWU5BH41BoupJPD9kuG+b+Fv73/ANeotRtv&#10;scvmqPda3p4iUNHsctbDQqa9T2XRPH3gTxFZR3Gp6/YaLPCxkFpqnhtr+OCVizO1qU+6jMd/lyA4&#10;YAAlRUsjXGtNceIPh5ry+IPISR7qPULILf27udjXMke1hcRBclSuWUSIGHyCvHbHUEtJ0tbySMM6&#10;qylZAw57H0Psa3tNv7zTLyLVNLvJLe4gkDQTQsVZG9QRXpUeWouaLPIxEZUpcs0dfB8S9T8M+J5r&#10;vwvc2N1ptxDANT02S1Js747AXWWJgN+GLKHIDkDdnPJxp57e8vpbqz02KzhklLR2sDOyRD+6C7Mx&#10;H1JrU1Txd4d8b6dc3virTPsfiNQZI9V0+NVhv2zkieIAASHnEi4yT8w71k6ajTFVH8RAr0MOtdjy&#10;8TJ23NywhxBGu3nr0r7G/wCCMfwJg+K37Utx4/1pZRpXgXRZNQd49u2S7mPkQRNkHgo1w/GDmIc9&#10;j8g6fbvPxCD/ALNfq1/wSUHwf+BX7GOpeOfF/wARNF0WfXPFUjazeaxqMdqsQSCL7PAWkKjmNvOG&#10;Cc/aPXgVmdV0sC7ddDiymjHEZlHm2Wv3H1hb6JBblo7a3WFN25RGuM/p/n8K1LCxlKKm47V4wory&#10;mz/a98A+L3SD4D/Dbxn8R2k85Yr7w/oZttNEsfGxr6+MEJBPAMbSHGSAe/RaB4a/bo+Kph8q38F/&#10;DOxmjVtzFtb1FDx8pLeTCh+iyjjv3+NtY++dRPbU2E1H9oLWdcvdF8PeCbHRdOjvDHZ+INQmjkQw&#10;oXBkZPM3/Nhdo8vvgkD565fxHq/wc1bW28P/ABL/AGk77xZqJZBL4T8CJNeSrPFAkcwkgsvNKoWj&#10;dsOqhWkYZ54yfjHN/wAE2f2aJpj/AMFA/wBupvEGr281uL/wtrXiVruaCSVfMRjommqX8rHzB2ts&#10;AMpJyVJ8V+JX/BzN+xl8B9C/4Q/9hL9ifU9ckg86KPU/Ecdvoem27KNsM0MUQnmnjbklGFswAUZB&#10;Py373REuEpbn2B8KfB3x38SQte/s7fsiyeHY9QsYSuvfEjWBCzKp+VPs1u0xbYpOEklhIJ9c57fx&#10;x8CLb4Y6Lb+Mv26/+Cgeg+AdFurxY7e3t9YtfDNncSsGK26zSyC4L4ViAlw2SpO0gYr8Rv2gP+Dg&#10;/wD4K3ftSXUnhLwp8Xovh7p+ot5EOhfCjRza3LEjChLxjLeh/wDrnMgJJIA+UD5z1H9ln9q/40eJ&#10;ZviD8V7LW7rVdUm/07XvHeqSyXty6IFUyecWnb5QqhipGAADgUuX+ZmkafLofuT4t/4Kgf8ABJz9&#10;n+L+xf2RvhzqnxK1q78OarPqXiOTwvOUhWC3ZI0uLjUGgnYNI0WH8q4Rg2zIMm5fx2j+F3iTxx+1&#10;jH4H/aJN5Y+JNf1GPU9atGtWS6vVvc3VvJChGPJlimgdJOFMcqlCQRXpX7L/AOwr8W/AN7bfFPxl&#10;8RfMtdKaMR6PAWbzVWVTsUv1XqQpXlgOORn7/wD2xf2V/AGq/tYfsQ/tY/DDSvLg8UabH4U1iEWa&#10;rHa/2dqtpNbguv3j5N3dQpu5EFpCoJC8dmFxEaEW6er6nHi8H9Z9yd0ultz7R8M/8E3v2VfBulQ2&#10;2h+Cyt9p+npa2uqteSWsiRp91WezaCRkHPBk6cZrS8P+Mv2I/gDrlmNW8Y/D+z8R6ZbSR36eFfD8&#10;N3qd1IpJLz7Fur1SMMOZAMtgklgK9O8c+Lf2evG/gfVvgp4p8GWXiDXltTJqCXWjRyi1WcSrDiaQ&#10;cONokAUhgMHjIJ8d8Cfsh/s4fB/UdU8V+Bvhkz3G2a8mmvbqW5nCJmXyk3sQBxtHG4jAZmOSSnh6&#10;ldSnImtifqvs6VNK10vRH0l4/wDBXgnxD8Mm8T3Xh95L66USq0MzWssjIHjggmeJlMsavPJKIWLR&#10;8MT0Gf5lf+C2f7G3wH/ZS/bPm+HX7P8Aolxon27w3ba14g0H7Z5tnp13cvKfItgV3RoYkjl27nUG&#10;bauxRsX+mzWdSeXwXoelyB/OmVpr1Jbd4XV1+VMrIAw4LdsEbSOMV/Nv/wAF0NTk1n/grD8Yrl7m&#10;KZYbvRrWExyblURaLYoUHoQ4IYdm3d81hKDp01M9/KaFPGYyVKa0Sv8AkfCE9lcwHa0WG/vAZojj&#10;3cMrA5z0rpLmxiuNRZF2qI1Ayc/eP/1jUbeHIHOGUdsqKXtkds8hlze5LQ582bOBw3/fNWYPDmqX&#10;S70tmVe7yfL39617bSlspMLZO6r15zg+wrRitLW8KpKbhWb+GRjjn2xQ65rQ4fjL45fcYdv4ZsoS&#10;BeX3mH+JIV6H6+tdDpsH2OFZbazjt0xjzpMkirdtosERVgiZXg98VM2ng7WndnPoM4rCVWUj3cNk&#10;uEo6uKfrqQwrMxYW8szbzzIW2j8KsRO0TYIVmXG5uTg/X61MLViuB8o/HinxtGqbUj+Xrn1rK57M&#10;KcYqy0HxTNIwQN/DVq3ALqyuM9dq81TSzSY74V2ruwCf8KmSee2GyaD+L5dvb8qDaPNHc0oo2c8D&#10;bzzuq9pekfa7tFuZP3e7DbTyOegrNt5xcMiB1Abj5e3512fgKxkvHjliiaTBwrLg84HI/HNZ1Hyx&#10;PVwMfrFZRPQ/CVrFommJIFhs7CNc+SOXm4+8T1/Dt+tXDc/ZSt/aRSW91e4GmxQyFG2f89Xxjrn0&#10;7cVe8P8AgrV9Qt472+07zVg+a3t5HxGpHR5CeMA9q1oPCyWE73ERe+1K4Xa1xtIUDuEH8K15spR5&#10;tT9MwtOUacYpWRgeI9T8cQ2C2Ola5JCu5dqsBvOB/EcY7fp1zmiu+0D4dXGrXke+NmbazDCk54xk&#10;/lj/ADiipi49jWVGUpX5n95r+JP+CzHjy5Zl8CfswaXaSLH8kms69LdEHPDFY4o8+uMgg9z0rzvx&#10;n/wU3/bl8VAwaDL4e8NxyLhn0jw+ssoXjgG6aVe4/hz796cPiB8FdHaKTw78PbVmVSrbdO85Rwec&#10;XLOPYHrVHxB8bPF9zKR4Ljk0qCQ7ZPsiLD5g44KoApx2z0/WvpuU/iy0d7FtdS/4KI/FWCz1K/8A&#10;j34ptUmgDw/2fqZsVkVuQSLVUVgexJPr0rA139jXxF4j1RfE3xd+Lsd7fFdrX2sasZ5kGful5JC3&#10;PHH9az5L74halK0k+sXjNJxI0jH7vp/+sUL4U8TX3y3VxJJj7w7D+nv78UKPcSZTH7Jvwv0/Vvsl&#10;l8T9KkhaXbGltA8k3TnK4Vev+17/AF3rX9nX4F6FtOq+NZrjav75NsVv+AyXz25+o7VDZ/C/VQN7&#10;XEnzLxtHP8snv61oQfB9SpW5Vt2T+HPTBz/OjlL5hv8AZ37Mvh2HbbaBLqjKzbUu7qWQYyQMmPy8&#10;47dh7g0kXxT+GmjFo/DHwttd33R5mnxduuGk3sPw9T71rWnwhgUCKSFepC7lxn8Me2eK1rH4OwMV&#10;Etr1Odm0en0qQ5jH0j47+KJEWDTrO4s9rbvs8dxtjA78Yx+WKpeOfGOva+ZtOlvZIX1G3VpJo1Tz&#10;A3Yoxz/niu+svhbH5TMltwigbfLwAOnIHp+HSnXPwzuJSkXlrviZpIGcg7uM7Px+nXPI76RcUZuT&#10;ZyX7JEOq23xws/D2rzXMkGm6a18k7WrrGwX5Qcn5Q28rxnPtjBr6b8QeJLeJZGkm2oykMWbGe3P8&#10;+OfSvN9Pu28N20etaTbrBJJa+W3y7cZGcHHuB+A9q4H4hfGaKzjkuvFOu2em27SbVkvbhIlDA9Mv&#10;jPAPHpXNU+Irlcz0H43fHPQ/hf8AC7xF4qivw13Y6PdS20agked5Z2Z54+bHvzX5CwW8jrl2Z5GO&#10;5ie5Pevp39rT9ozwh4n8G3XgLwn4oj1S4vJoxPJZt5kSRKQx/ej5SDjGFJ684GMfNZXyWDgYxTpn&#10;TCPKgtNK1O7m22djJI6jeVjQt8oPUgdqhOntFwz4+gp06lka7im8tmXa3HfNJK0kcDz/AGlpMR5D&#10;NjjFaGhFHHBPvLy7cNjB4/nTY3sfs7K+5ZlkZc7sq3pgAUjK88iLYJ5k0pVo4lUsWPHGAOatrPdy&#10;+I45NGmOn3guA6vNNHbeVIBlsMNip82cAAY6daCimji6tdltp7edHFljGpPQ/ePX29BUjLc6qZHi&#10;t1DR7TJtwOD32jt/UinQXC3uryXUUcdvJGpkt7fyjKkjZH7vBzwBk856de9NgkRftInSWK8+URTL&#10;OsaKhzuUrtyxIx/EMYOQc8AajRb3Vzpr4uN0cLbNhjyV6nA9uD0/GmSiAWsN5Bc+cPlZrZ5MMDnB&#10;GBz+XY+vFOltg0v9l3kIhuftBRnbcrSsTwW3kAYP09/ZXRpbj7HcslvdW6lY5VXADJ0UeWpyxxjd&#10;0JOSe9AkCppkN+qxK1xDt/fR7drgYBOM5GQfr+FOspljs7goI5l8wKtu7lZFYj7wA4wcY7/h1ps8&#10;0lzdeddx+Xcq2/fICd+ScsxduTn25yfxkmW7jsYdWeC4tTLvjW6RCsdxtP8ABhQuBkAgE8+lAEMq&#10;J/ZkYgVpI15nZo9jRtk5QHJBx64zz0qS5kkNyl5LeCVWXb5iAlo+O+O+B0PPWoZTEHW48vYwbLsp&#10;zHg9fXr9adiWC9DGOKFmU7SQCPx3Z/CgbJLOG0jia7mhluI2bbbskiq27uGHJA/D0PFW4LbVtG1J&#10;da0+zvNP2Luy8zRs6Hg4bCkg5GcCm+Grj7TLPpKXV55l5IBHHpqsfPY9B5YZAeen16GovJ0iK9+y&#10;rpNwsyuy/wCnS7dzD+Eqi5DZ7Z/GgRZt54omuZEhhUXC4b5ThRtwSDnv+tIqW9zBDAG8yIRZTDBg&#10;q5K/MB908fxYPQjgg1HeG9tbJrqSxVAzcJuyB+Gc4470o0ryfst1FcFYbiTJtWkOYgQSGOMZI+nX&#10;r3FBJBMZ9OgOmzsslvI/yMy5aI/7Pp157HHqM0StDEViaeVliXdaXEMW3IPBBU4zwOoz3HNX49Oi&#10;LzQSQtdQhs27yABtxUbuflJGRwOg7dTmXRtN1DTbc2kb5/e71+b7pxj+XvzTsBmJHNdzxfY9NSOZ&#10;F3SMsm3zhnqB079qlt7ewuFXU7p2tYZGICwx7yDkjgFh6Hv+FahsL25uPtMrtvClQyj3z/T1pF0R&#10;gojkiG1eQD355pgTal8K/F1jpCeIgkc2ntIpaa3mWVkU5KlghIBIBOM8YPZSRr+EfhLP4ttL6fwq&#10;x1GSyhaS4t5Nkc3ld5FQk7guOQvIyOoBNS/Cuw0A+Jm0nVisbXVuy2tw1w0axuBuwecENtxhvlOc&#10;HGQy9rc6BYaVrNvetrEljJdTJc6ffQz/ADwtnO6M/KfkI5HbH8ODkVT2eqR24OOHqVuWq7I4PxN8&#10;CZNM0yPUtJ1qG83xCWSOxbzVgXuH4ypHQ54rjJ9P1HR51kmZW8sgqsmf8a+n9aX4U6r4tkXVvHVj&#10;H50O68msbcr5d1tAc4O1trMN2whdmSijCgnjfF/wH8Hf2bN4jvvi1oWn27E/Z1uroI0uOcKmMk4I&#10;6Z/ka82pmVONRKSav2Tf5H0+MyGhHCKtQmtO7SPP7Hw54Y+I2kz6s/iey0vULWH95a3EYjVj2YsW&#10;+YE8bgARkZHTPM2t/e6LLJZXLJLHG5RmikVwpHHDKSrD3BIPUEiodTg0q0vpIbLUVvolOFmjhZQ/&#10;H+0Af0qEXWG2pDxn+I5r0qNSpTlzRZ8jjI08RFRlBXW7T38/+GOpsbmG5jEkMgbd6VuaFFvl5PTp&#10;9a8/sLq4spfPtpBz95Ox/Cu18H+ItPmPlXUnkScfK3AP419Bg8ZTqSSk7M+RzLAVqMG4K68j0TwH&#10;4ebxBrdjoR1S00/+0b6G0W+v51igtzK4TzJGJAVFBLMxIACmv0S8S/t9/wDBIn4JXX9qpoGka1r/&#10;AIbZNItItB8JwahdXcVkfJguYLsMYSpjRNskkscpAxtKqrH80fGGlXOuaHaaNo91btHctm6Icttw&#10;AcnAxznAAJPXOMiqvhz4HadujbWNZATPyxWsIGT9Sf6Vy5tWjVqKMXojo4fwcqNGVWpGzk+vZH2z&#10;8Wf+Div4mXEU1j+zp+zrpOj5yI9Y8Zag95Kc/wAYt7fylRh1GZJBnrkcV8zfED9tL/gpJ+2VNJoP&#10;iz49eLr/AEu+t5refR/D9wNJ0qSCQYaKeO28qKRCPl/fbic4ySxzpfDL4UeAofEtj4e0nwzaX2qa&#10;lJ9nsYbzbLJM5wQED8Z9wBgdSBX1R8L/ANjL4peJdSmuvH2rWei2kePs6pIt1M2AwI2o2xRyADv4&#10;z7YryVTqS+GJ9BKpThuz4/8Ah/8AsB63eOLnxT4v0nSYeC0dmrXcxGPUbY+/Zj1r2zwB+w/8D9Nu&#10;VsbbwtrHivUpseSs0rsSwyTshgAJGAThi/Q19peA/wBk74QeHY1uNTgvdYOdxa+uGjC4PULHtxn0&#10;YmvUvCGkaH4bhmj8PaDZ6bHMylodPtEhV/QkIoyfrW1PA4ipu7GM8dRjsrnzv8Iv2PfHemaYY9D8&#10;A6f4VsWUyn7QsdoDJgfK0cal92PVen51qTfA+00PX1GqeIG1S6hbeyx25REPoMkk/kD6ivoLxBq7&#10;aZZSHzC21S8hdv4iOp/OvGdc1/UL/wASzW1hGubifDTEFsKoBJI9MAkn0FfSZbkeGlHmqrmfnsfP&#10;ZhnGI5uSm+X0O0+E/g+ezX+17iH5VyLUGMfu+QCw7DsM+/HIr7e+CngDwX8ZfhJodtLBcfbvh94m&#10;g8XaDHAsS7ZFgksrpGZst5eydpiqlcvBHnptPxN4M1HWNUuYYBZSxwq4G9vkyoJ5IOcE4ycnGew5&#10;FfbP7KKp4Kt/C8moXahfFUOoQJbLJ+8hh2yoZcZ7ln25xkxN1C5rbOcDQw+CSiktdLGGU46vWxzu&#10;21bqaWkaFZ6T418SeI5CzSavqizyPyduyCOFV+mI8/VjXXaV4c0HxXY6tpXivQ7XVNJubGOy1Cxv&#10;rRZre6FxIkQhlRgVZHLbWDDaVZs8Zrm5JkOoymaUhmmdtvYAN/npXo3wUi0zUr6WDVEkCyLFJa7W&#10;+9JA2/GPYgN/wCvJqWp4O3kjtoU5VMbzS7t/icz+3Z+0HoP7MXwe+IHx6uUszZ+AvBslxpdneXYt&#10;4bm5SPba2u9h8pmmaKJcAkmRQASQD/LB4v8AE/ifxr4i1Lx/421ibUtb1/Up9R1rU7oDzLq7mkaW&#10;WVsADLO7McADJPSv2R/4Olfjp4y8O/Dj4d/ADRJ/J0rxx4m1DVvEEkN1Kkkw0uG1WC1dVYJJC0l6&#10;ZijqcSW1uy4K8/izfa9Z2dx9mujlWXkbP88V4uIk3aPY/TeHaNPD4eVeb+N/gv8AgkaWyxeZKw5l&#10;bLY/CnfZ4wrMxYkcLx1/zmpJITIzT27bWbqjevqKkCvIViaPb3riZ9RGKIbW0iT+Hc3v2NT/AGWF&#10;1zwc8BtvNS+QAxbDN/dxUyW/yLlMHHXuBSNlGJCsdzbooXLY5wv+eamjdW6feYZ3OelSIJVJxwv+&#10;7mg2ZkG5uvoO3+NBdmM8jzELSzs3cKq8U9IuMGLO3hc9qBvhb98u5cnkdvrVqLypm/djP4UxxdmJ&#10;CBsyWHUj61NEQzKsoBVuu79akW0OxTt+vFWrby7YA7FOOf8A69QdlPUveF/BUmqa6LdbNpIBjjJx&#10;zReTPmNJsjSMHknufpxzXsfhLWPD3hCYWdn4PtWt4lx+6VlJJOBktncST+NcH4H+0eauraherBbq&#10;vy7j1PoP8/8A1us8P6zHqd/JeWdtm0hIS3Vgf383UsR6D9K5K3vaM+0yWlSoQUor3melaX8TdHvL&#10;j7Pc2axS/wAMc77IYvQnjk/UVvaVqegok1/ca3b+Xy9xMsZKRgdf9qQ8cDAHXCtXmem2BeX7NfqZ&#10;nMpmuD13PnGB7AkD8PwrS+H/AMMzqfiW71iWzbE0QhT5m+RWP7wAfQAfj7ccnso3PqoVaztoew+B&#10;vG80/iBI/DGkrb6atr515dXJ2z3DElR83Plgt82PvHGCccUVU8c21t4H8L2/g6AKl3fhbu8DYHlw&#10;/wDLNd3oSM+vHvwV+k5DwTTzDLYYitNxctlbp0fzPwrjjxpXC/EVTLcNSjU9mkpNtr3t2tOyt87n&#10;nMHwrt2Kr5O0vyec+v6f1Fa1r8MYYollNmpTbtxs5x/M89O9etWXhS3uZfORG27cHcPu5PXBPpjJ&#10;A/CpIPDbqPnibcyrt8tuB+Pc9PpXzx+OXPNdO+HUVsMm3427m+XkHAxk5PbHStC0+Hsay71t0DHB&#10;2spG0fpwPT3r0RdCjSVkOzapIChWBA55Jyfpz6ZHBq9beHba3laGaP5vvcfe4OCAc4x155GM+uaE&#10;JHB23gaElQWC7W3M7ZzuyeDz/wDrye9aVt4DVk8lbcNjO1m4B5z2/L867az8PzM++OGPa23nnJ6D&#10;ng+35VpW3h1kYQh1nkbhj1LD/wCv9Tz6daUmWcKngyJQrvaI0nmHCnHHHfBz/Lv7VoJ4ahWBmFrG&#10;vzDbuXgt7c9cZ9+ldY2jbomtoN6Fdp3Y+9jGceo59O/HpTo9Bkcr977xO9m6tjp69Mn6+lZMDmk8&#10;O5Def85f5/k7eo/z/wDXqlrvhMXtvJ5Y52/LIuRsIHJHfrg46YAx047a209Y0Z/bEe3uAo74x278&#10;VaXS1lRoGttqpuznndzyOnP/ANbilcaieI+MtFuJ/DlxcWMarJCSZrdZD95QM4x6jkc8jHGSK+Av&#10;2wvAdjqniH/hZFppai4KiHVm8vJkI4SQ++PlP0X3Nfpn488OHw9crfxWkn2dmWOfbna6H5Vzj+62&#10;0k9kZs9BXyz+0l8Frqwu73V7XTlbS9RjO6FW3BCeGBIAwD26Z7dOaLjLlkfANxAqH92g45GBVC+k&#10;aEbBt5Haut+IfhS58E+IJtHn3eUSTbM3Urnofcd/wPeuV1K3DrkD5guBmmdWhnWk5VzFKflk9fWr&#10;+jXMlpekx2lvJMwKQtcxqQhI6/OQvTpkEd+oBGZPGVbkc7ql8z7RB5it86nmgpGp4ns1Opyquj2u&#10;n3EEkcbWdrcSSbWVcO3JfBLDcw38Mx2gDgZ/mrcbvNxDLC+U+UbTnqSSc/hyPapFms5LLbMblpeS&#10;W8wso/4DgY49zVczWcZ+e3d/mw259v6Dn9aAJZpnltI/tyNwzbboK7NKvAwMttwMdgOpznjDbmXN&#10;lHHNCshWP920bJwvJ+baMk8nqcjp0q5daY1jpNndWWt2d210sjtZwwyl7Q5+65kjC5I5GwsMdSDx&#10;VS3tHns0WOdgpXG1m/PAFAXG3SwQnysrND8v7wHbI/03ZIPbofxFBmEdykj4nUKwMbM2FyMZ428j&#10;qMcZHORxU1hZW4hJuULneV+XPbjtVyK2x8sFoq84DFf8aAv3M2JLjLxWduzRuAWRhnJB4PHSpY9L&#10;v/mCpHGrNko2P65NaiWV1MR5ku3H90Gp00Y9wxO7+9j+XNAGRNpklvprO15uWM5FvzsbnkHkU+90&#10;u1uI2ltIfLmLAqkOdq5I4GckgD1P1rci0ZS3/Huqsfunb1/GrEWh7G3Pz/WgDM1qXV/E+oNqmt3k&#10;11dSSRma6u52lkcIAoyzFm4UAfQAdBUslhf3zx+ZIW8tiY+CT0I6k+9ay6eqvjA2+vWmT694d00f&#10;v9Tt9wbHyncw/LJoFqVovD7yFVuHLdzu/wAOlW49Fig4SJcdcKO9Z138RtKjUrY2FxO2e+EU8+vJ&#10;/SqFx478TX7EWVpDB/dwm5h+J4/SgZ08emjc2V9e1NvdU0bS/wDj81GGPbxtL5YfgOf0rj5hr2qn&#10;dqetSHJ+7v4/IcU2Lw9ZqcvKzfXoaBG7d+PPD9q/+hRzXPX5VXaPzPP6VmXnjPVrzmz0qOEHnc5L&#10;EfToP0posbO2z5VuB7miUoy8EbhVcoivb6nr/wBqW7nv5ldT8rRNtx9MU6ebzJWuZZpppG+ZpJJD&#10;kn1Oc5/Oht2QOWZvu8f571atfDus3S5j05lX+9J8o/XrRsFyvc63q15dPcyXTLI2N7wrtJOAM5HJ&#10;JxkknJOSSSSapSRRB2kb+7nc2a6W28EYHmahfAL1Kwr/AFP5dKvWvhfSo5kt7Ox+0SscKu3ezHPp&#10;/gKIwuEqkkt/xORtrK7u9qWlozZ6ELx+dXrbwbq85y/lxjONzNk/kK9T8P8AwS+I2uKktv4b+yQv&#10;hRLqD+UB6Hb98/gpru/DP7K1kYxJ4t8UTSsFy1vpiCMKc/32B3cf7I7/AI+hQyvGVvhg15vQ4a2Z&#10;YWlo5fJang+n+BdMttrahcvI2c8MVH+fxr0T4f8Awi8X+ImWbwn4JnljP+ruJIwkePXe+AfzJr6C&#10;8H/B/wAA+GHW407wpbxScFZpczSD3DSZP5cV6Bpen7pVjYccOzM2M+v4161PIZLWrL7jz55wpaU4&#10;/eeO+A/2S9cu5IpfF3ii3t03Avb6eplcjPI3NgKffDc17p8PP2b/AIV+HWjkTwrHfTIuGutVYzO5&#10;Y9djHy1wOhCg8fWtjRbGO2jMjRd/mOOvHt1z/wDXrV13xLZ+AvCOreNbyMyQ6Vp01y/zcsEQttH1&#10;OB9TXVHL8LR2V/UweOxFTdnmvwIsB8VP+Cget+N7C0t20n4eaV/Z1mBFsRZipiKgcdGkuG7D5PcZ&#10;+zvDc80s6pHbo2ZA3z5AHX16/T2r5b/4JxeCL/RfgldfEjWI1fVPGmsT38kmCDJAhKoDnnhxM4Po&#10;9fTnhWR40CBs7f4gw9sfgOn+SKl0Y7i9s2zuCy2tiqHaqxp8xAGWIzn1/wAam0e4MaM84yvWNPMI&#10;bGO/px/Xp3zJbs6iyxRMNqnC7eu4deB/n+uxFa29wLe1QBAVyuMhRyepGPT3yaKVFMzrVOWNjJ8V&#10;i7vrBbaErI0jYO5fvZ4/mf8APOdLwb8MdNWyje4tN0l2QzfIOArc47gFuM99vOR13Lbw5Yzus5Rn&#10;ff8AKVXuDx17jn9e+MdZoGlmTRbe9062e4XT0aPUFRGzH+8dg5A6J8wG49DwcZXPpxqOELI8vk5p&#10;czKOl+CIreSOw0ywDz3VwsVtGoyzF+MDnngD8RXpXgjxjJqf/BQ7XvhLpVvDJp3w28P+HfD0Mlrn&#10;mdrfUrmZjk4MhnubhSVAG2FRzjJd8BntbHxtffFLWbWFtN8F6ab1I5kO24vm+SBMgcDzTGcnsj56&#10;EHyf/gnZ4n1/x98aPFn7Vd1fySWesfEiK2hj3MBMtpYTPFIem4tFIpJIBXdnneceNmlSVR2e0fzf&#10;/A/M9bKqMYRb6y/JH0lqWm+INY8e3ieFtGuLqKz3NqM8a4ijaJikgZ2IXdlc7c59hzXqXhvRfGWi&#10;aGpsNltLcLHDDNDD5siGWVCzDgciNmB4IXHcVj+Mv2gtF07U774b+E/Cqw4muI9Wu7rEajYT5jbU&#10;yzZw3decdeldJ8N/Eeo3tl4f1DxBa/Yc+HX1i5VuEWMRlN3cbQJIz1yD19vCxE8Y4RU42T2Pcw8c&#10;L7SThK7W5+VP/BzT8L/GfxC+Hfgv4+eG4I7rQ/h/4n1ex8SYJaWCPU2s44bjOMCFZbQQklgd1zCF&#10;BBYr+OslrBJeR3RRN0fKs30/Q/5+n7qf8Fevjb4P+E//AATl+J2seK9M0vVJvEtjHoei6Xq8yqLm&#10;9u5lVXiDA75rdd94qqM/6IWyu3cPwn0u8h1GyjnWT+Fcnrg91Pf/AD+bzOh7Gordlc+o4TxyxWDd&#10;Kpb3ZNrzX/AZejijmXlfm3dR/nmnwGPzCG4b69fzNJbsq5QoQy/d9TVlEVo13rj3PJPvXkcup91E&#10;Qt5Zyx3L/F7U6ORXkJUnC++KkWLCZLdulBt/MKyKWU9/elymwvly44A9/elJZGwR9443bvakVip8&#10;qRG3f3vWpt3ILNt9hRylbioSRteNfu/WnfZIJTuhdo2HTH3TQip/C56+/P4VYiidl3KPTG7vQaaS&#10;GRzT2Kj7TEGB+6ytV+yuI3C/ZHiy2cFu350yFX3bdisB0+X9a2fCmiaZLqAbUo49vT5m4PfoP/rV&#10;Ldjow9OpKooxOm8E+En1iYS3ym4XbiOG3jYjGepbGMAV6VpeippZS1W1Ctx5drbxZkI9lHQe5x+d&#10;ZOn694k0nTYtP0V7KO3jG1Y47XyvlB4zjkE/UdK6/wAJ6zpLKt34hu7/AObHmWtpGsayck/NJndI&#10;MevT2rzazk9T9Ey2jRoxUVv1ZseDvA2o6n/x86clrb7sFYzljkd2HfnnFew+DPD/AIY8Jad/bvih&#10;47WytYGkb/no+xC5VB/E20Hrx615z/wuzwzp/k6f4W8O3FxeL/qYrhfLhRc8OcZ3Dvt4JxjjgjN8&#10;QXPjKDwXN4w8d3bXF5r901lpMbuoSC1Qh5XVR9wlvLXpgjd1OK68ny+pmeZUsO/tNX9N3+AcT8QY&#10;fhzh/EY9u7pxbX+J6RXzk0UfHHjd/Hni2+8USWptfOmxFbSSbjFGAFVc7RuAAxuPXr3ornYj1aJ9&#10;8gVemc98jB/z+lFf0nh6dPD0Y04KySSS8kf54Y7F4jHYypiaz5pzbk3fdt3Z9VHQxvjcleo/hyzZ&#10;6cgcE4zxkelE1jndJK6bdmT/AAtgd8c+3/1utbcsUq7WcxbV/wBW7dSoGcDjjO3H19elRGJ5yYdO&#10;TfN5Z/0dcs+cc8EE/p/OvwTrqfqJTm06FtodlZl4bduKnrjPGT1B/wAirENmwlWRlUq6AZaLDMck&#10;4JHAHv19OM1oW2i6xdNvi0x13Z+8yRMP9oqTuzjHuc89qmSygsZmstV1zT7eRVV4oWkDM64yWC8H&#10;+EjH+yeOlK4Fey0uI7YnAWPIVmVhhucdDx69e2OmRVqO2Cj5T8pk25Zc/L6+3rzz9asWsuhLIsFn&#10;PqV47N8621qY1XqMjeFJJPHXn9KsWsk7bYbLwraRtMwKLeTM5bGeiMAVIyPoT2rOUomiKsdlGl19&#10;ltnjeXbgRLlm+uAO2e3PX3pw0LU3CmHS5JI1Y7mkHl4x3w3J79vz7byWniMyrbya7FbI0W5Es41w&#10;5DYxySRgj1z+Oar/APCMw3hWPU7qa63lj5dxIWH5EHGTkfXpWfQqxk3OlQQIxvvEmm2zKS0e1vNJ&#10;6clflPGewNSJHoUcayQJqV+ZPl/dRrFGpJ+bhtrj8eh/Xa/suximZY7VVYNt3hAct179uD0+uKo6&#10;j4h0PTry302/1K3iuLpD5cO7zGfAyQQPYH8Rjg0ORKMXxb4Y13xXo39neF9LstPuJJoA0l3dvLuj&#10;DAueBnO0McEckhcjORxnxC8CW174a/sa61N5YdqiVUt0RgcY6nJ49Se49K9H1DxFqOmRzX2l+HdQ&#10;uJI48iOR0jU5HGARlv8ACuM8b+NtIsrJtT8WeIdL0OeWzWa4025kPnpwOfKyH68jg5BzjFS5FcvM&#10;fn7+2n+yr4Y06+2fDzxYupR3EtzJpcN7D9nuI2jdlMUyZKRyMqq+1XkjAkX94SrBfj7Q/DfiTxj4&#10;itfCHhLw1f6xq1/N5FjpOlWclxcXEnPyJGgLM3HQA/jX6Gft0/ED9nO9+EXijRbv4mXTapd6U1xo&#10;baZCITJdggqhjkMZZXA8tmUOVR2xzxXpH/BDX4IeE/hF8Lm+L+vT6f8A8JR483LHebopH0/TwmYL&#10;YtuOzzGPnMqkEkwq674gBUqyjDmOimvd1R+W/wAcPgN8a/2ePFNr4N+Ofwn17wjq19p8d7Z2Gv6b&#10;JbyXFs5ZVlQMPmUsrLkZG5GU8giuMKXOnX0lndW8kUkUhjmhkUq6MDggg8gg9q/qVk0LwD4lutI+&#10;J+reBtHvfGulaRb2Gj69JZwvfWkPm72WGbG9QxDE7SB0yK/HH/g4S/ZH8NfCT47aL+1l4b8XLJJ8&#10;YNQv21Tw4bFI/sN5ZQWIluEdWzIJzceYwKArJuJZvMAXOliI1JWRtynwPaR3qvJLbyNtkXayq2Aw&#10;PY+1TGwnlia3MUarIMNtXp+VO8LvHewNZk/PFz9V9a2Y7H5WKHPpXR1JMyLTXj5Lt9Nv/wBapo9J&#10;SNQoj/hwu4dhWk8KWyma4mWJR/FIcD9ap3Xifw/bdbzzWX+GFd369P1qb6iHR2SrGAAvrwP0qxDb&#10;xh8SFVHesifx2i5Wy0tmH8Jlk/oP8apS+I/EV5gRyLCv8IiXHv1OTVaisddHDawt+8Kgcbnbiquo&#10;+JtAsfkj1KE/9cfmz+QNchLbXV2++8vHdv8AbkLVLHpsaD7u73zQVobl18RbYHbp2lvJhT80hCjP&#10;r3/pVOfxp4tvhi2ENuv/AEzjH8zmqqwpGeIx6cU5HKvyMfyNAXIZV1a+bGp6jNKvcGQnB9hUkei2&#10;8bEyDd3HPWpAsbHKoOnGD0qW2Jzt2H5m4UNnNBIkVtBA22OBcDknjipo9yjA7d6sW2j6lMctCsa5&#10;xumO3H4df0q7F4dgic/ab0t/sxADP4//AFqAMxVXJ3HP+FSW9vd3Q229mz467V6VtR2emWuAlmvK&#10;/ek+bP510XhbwH498YtH/wAI54burmGTdtmWPbENoycyNhRgDuf1Na06NWtK0E36E1KlKjHmnJJe&#10;ZyMfhe+mX/SLuKEdcK249Pbj9asweE9LjVVuHkuO7ZbaPpxz+vevY/DX7Kfia9RZ/FXiK2sEADNB&#10;axmaQeq87VU/QsK77w3+zz8N9AnWafS5tQkVvlOoShgDj+6uF/Ag/pmvbw3DuZV91yrz/wAjx8Rx&#10;Bl1HZ8z8j550Tw9e6jdrY+HdBmnmbhY7O3LN+O0H/P513Gifs3/E7WXVtTtrbTYWAcG4mEjlT6Km&#10;eR6MV/mK+irDSINMhWxsrKG1hjPyQwRhFX6AAAfh61PBDI8uEPzN907un5//AKz+lfQYXhPDx1rS&#10;cvwR4eI4mxEtKUUl56v/AC/A8o0P9lnwVpYSfxDql3qMiDMy7/JiPfgKdw/FhXU+FfB3h/w9Ag0n&#10;Q7a1WSEsxjiCsA3OC3U4yBz6V1Guqo01oP8AnuwizuA+91x0/hyfwqvxvw8RX5c7ccfy/wA8V6kM&#10;uwmHlanBL8/vPNnjsViP4k2yKG3yyuIt2P8Aa56/5/rVyysMJgRYyv8AeHBJ6/5FNCkzso52nkL1&#10;4/T/APVV6IRYx5TEAY+XHH+fw/KtHGMUFOV5Fmxt2+XAj7cgDhf844rd0iPy5MrBu7N7cenf/PrW&#10;Lax4G5vvNwH38rXRaHADIoOcswPynpn1rlqHbTN7ShGBiQH3Uc5Pr2/w/r5n+2f4ivLf4UWPw50m&#10;QG+8Va1DZKu/afLVtx6Dpu2Bv978K9OtWEc32eJ1+Vf4l+n1715jHar8X/269B8LyxmTTvAOktqN&#10;2dpG24YLICSRgDc9v7HBH04qiOmMkfSfw38OQfD3wXpPgbS4Nw0fS4LNWP8AEURQW7Zzz6dRkdcd&#10;bpzn7Is+SrdGXdggg9/btXNxXkaT+VvUlcbePU9T7A81v6PcobdZHDY6J8nUY/T/AD6VlKNwUjsv&#10;C9zDNKJQSse/Csqcf/XI/r9a0xqudQUof9X975v9YC2Cfw69e/esfQY1ktdolDFkJZuf654/z9a9&#10;7dzWV1uY8NtJZ+h44Ofwz0/StqFDm0OPFVuqPTLC8WG0iOxexB5wD3J46VctfEt1pUMd9pmoSxXM&#10;Mg8mWFyjBieNpHIJz2rltA1hJ9OjIbc33T1+U4PynjOc4GOv9dTwLJpk2vyeIvF0kn9h6Bate6pt&#10;+9Kq5/djJHLn5BkjlxzjJrplQ9nG7RwwxHNNRRP+17+0nov7MfwCh8GaxqaW1/ryx3fiLVDHHP8A&#10;ZTcHZCpjcMxaOF5LoqVO7zVHzYxXefsI+Fb7S/gf4V1c6Fd6faeOviNrmu6YtxbiJTayQQwQlAAF&#10;K7XQcDAPHUYHyB8TfH3w3/aw/aCh8JfGKK3urVIJ9UvtPZzEs00gdYwH3LjYkcy7VI2gpyMDH0j/&#10;AMEwvCHx9tPjtb6J8WNa1z+z0+J97e+D/D974gGoWdh4ah2G3W0Cyv5MTj5zGQhDKSVA5rxc2w1S&#10;EIxS7tvzt/SPfyvEU5OUm9dEl5X/AKbPoTxHpyar4+8URRzxr/bHjC/s0w3yx2yStLO+ewClM84w&#10;Tzg11nxk+LPirwUi/DDwhqRtNLuNCitL63aEM2xd8bQhpBlRkNypBO4cnFfP9p4h1KXUZNagvZFu&#10;JppZZnDYLFydynnOGDYOeoY+tdR4v8b3/wAQfFcnii4tfs7XMUYMPnl1VgPnYE4wGfc+MHG8rk9T&#10;2LAc8oOaukv8jznmahCooOzb/A/M3/g47+LkVx4d+GfwG0/xWy+Te3HiHXNC+wZWTcj21hcibHGN&#10;mop5ankOGYD5M/nd+zl8PL34ofECTw5FqLW9vFpc13dMjZxjCpgY672X0yAeQTXt/wDwWz+Ls3xU&#10;/wCCgHiTSodWa60/wjp9noen/Lt8oRQiWdMYyMXc90vPXaCOCKP2A/htHpfgXVvidfxf6RrUv2TT&#10;/MXH+ixH52XPUNJuBHbyq+XxsvaYqb8/y0PrstdTD4enKLs7X+/U8t8SeDvE3gbWDonirSmt5l3C&#10;OTGY5P8AaRsDIwQfUZ5APFVQZEGQWkUfmK+xvGXgTw7408PbNe0uO5jYDKyRkkH1B6qevevnP9oT&#10;4WaH8D4tN1yLX5PsmrXRht7O5w0i4GWcEfeQcA5GRuXrmvMnRe6P0LLeIKNSKhX919+j/wAji4JI&#10;ZBtDg/Nzn/69WM/NtA/KqVvNZ6iqz21wGyciaFgaliklgGydcqDjzByPqfSseU+mjUjKN1qix5Yl&#10;Yhgp/wA/4UkdnNEu6Ibu2PQU+Exud8TZz/darEQKn5P4f9nOKnlNL31IYWUtgLz0q3bBmG1hu4z9&#10;OlILUTYJO1hj5v7v/wBerFjZzRS7ioZdoCkY6VLNI7li0jLsqhM7ua67wnYhHWZwV+bHyjkfT34r&#10;D0u2jkYeV93d91ux+n0rsPD9ik7RxGU45xhuf/rdqxqO0T2MBD94jrNDgMnlrIVHZV5JJHc+tdjp&#10;2gXVxAllApG9WBJU5I6kjOeT+gNVPBnhiRoldFwPUr29vxr1PwV4Vj82OVj7BW5Y85HHp/n6eZKo&#10;0z9CwdNqN2QfDT4MWcd9Fq2tW6yTOvlwwYOVXJP8/U8Dmv0kvv8Agkn+zd8ff2cfCdh4xXVPDvjC&#10;z0fda+JNHut3l+YzSLHNbOTFNGGfJ2iORgAokUAAfG/wvh0S28fWcGvOyJakXN5DDbmZ44hzuZRn&#10;aD2yOpFfqB8Lvj/8L/ihbI/g7xFDFIiqn2VZQGXjhMfQd69vJalfD1PrMG01omj8k8XMdRnh6OVr&#10;Xm9+S8lovxu/kflP+0J/wSM/bS/Z+1Zp/DPgiX4keHWkMdjq/gmzkubjaXk8tZ7FQbiN9iB2KCWF&#10;DIF85mor9nLbUpUUrP1A/wBZCpwfw/wz+FFfe0eMcfCmozjGT7u9/wAGkfzlU4ZwcptxbXlp+p+T&#10;8e8q6ad4LMhmAKvfXDMeP4skEcdOCMjvyamYeKmRoo7m3s440wscEAUoO2Mk+p7dj07W9Z8YaNoE&#10;sNtq2vWtvJczLDFCpV2LMcBSFGRk+oGOPqK0/jW0J87T7S4uduXVVhMcZHIBDPt4/wDr4z2+Kcor&#10;c+gkijdeGy4Nzq9/LNuGJI5p22cgc4Y4BP0HGfXmz4O8P2er+KF8M6HaRL5Nm09xCse5mXeFX2AL&#10;EnIxnAHHNcp4y1Lx/f3jado9vbaWt1GxjvJG864VtowQHG1h1GAG5xx64Xh3UfjJ8K9TTxlpnjyD&#10;zLi3a0vn15FjjlHynZsyoXaVRhgA5HuQYlKL0RMdNz6L8YeAI9BlsbL7ftkCnMMHy+Yx7gDkge/s&#10;PU1xWseELhryG906B4ZLSVpPORf9WeOfYZ9eMD2rzfxR+1J491+6khs9ZkmuNvlt/YulGQlhkbld&#10;+R/wFjjtXnPxd+N0elWH/FzviBZ+GWMaNDL4s8SJFcBM5ykDN5jc5xtz06ZzXPKMjRJbo97+IvxU&#10;1Lw7baVqV7Z+HxDLNt1C1k1Pbc+V57KrJGvX5VZsEksQwwMZNjWfHOhxxSXKeMLS3j8kyZs4/Myu&#10;MnL4ZR16nGMYJHIr8tf2iv2//FPw6uG8K/sn/GSS4utXy/ijxVDpu9p1VfLit4nuo94KguxdVBx5&#10;QR+GFfKni/xj8SviXcQ3nxG+IGua/NApEMmtapNdNGueQplY4Gewq4x5kdEYX1P198W/8FA/2Qfh&#10;CLo+IPj9Z+IIryUSw2sepfbJIGUYYEWvnkA9gyjGOPfwP4mf8FrvhDbEJ8M/hPqWqXNvMzw3F1DH&#10;bR5ySCrM0hznnmJeecZr87bfQFfAdserde9W10S2T/WndzzjjFUqaKVOJ9B/FH/gq/8AtPfEn7Va&#10;aX9h0m0uFH7nfLcFP7p2swhOMAgeV15714l4p+Ovxw8ayNceI/idrDqyESQ21ybeNh/1zi2qevp0&#10;rLTT40OUVfyp0sMZjwVXj7oZQw/IiqUUikl0R9h/scf8Eh/EvxL+G178SfjH4ij0Uat4dlOh6db2&#10;xuZdPlk2eTd3SqwwAjb/ACsggOpdlKslfX//AATm/Zi8YfsveEYPDnx0+MnhnUIdBkun0OGztT9h&#10;tVkeSQmWSZY/Ny7FwWX5S5UE7Vx8pfs1f8FpPFvw5hXSPjf8KYddmfct54k0WUQ3UqhBt3252xu5&#10;dRlgyKARhMrzD4v/AOCxsvxF1vVPDviP4WXGh+EruOPa2krHdajcSRyhk80yOiohABIjIYFcbmVj&#10;WFSNSd0ikz9dvg7+0X4F1yKHQrvQ7HVHtbNbuP8As+3S32gyLGjso+YjLFiBjOR6g189/wDBwF8A&#10;NB8c/sCah8RPE2r6RZal4I1yz1Tw7fahdbHvFu3EE1tb93eVSkm3HP2bJxtyPjH4Wf8ABXL4BeB7&#10;6bU5vh74ymuvJaNVs7S2gaZW2/LIfPPyggN1PKLxnkeB/t7/APBQz4vfty6vY6PrlquheBdEvHud&#10;B8K27Lg3DIEN1cMoHmS7QVUfdiVmVPvOzxRoyjJNlNnzba3N9pdyLq0baxHzHg5HpVmfxF4iuxta&#10;+aMY+7GoXH9f1pWjjUbQPw/z/nimmPb+8H8q7DMrPZTXDeZcTs5Pdjk09dOhB6dean9j/L3pUGXA&#10;I6dvSgq42OCMABNtPMkyLtUdD/epFTAyT09qsQWFzL0t2Vf7zUCK7o7D5lxTl3A/KfyrSh0TK5nu&#10;B/tKo6/jVqPTbG3+cRKzKPvPz+FAGPbW0903l20LO3f5elXrbw7eyEfaGji/4Flv0/xra062vdTu&#10;V07SrK4uZsfu4LaJnbpk4C89K7Xw1+z18T9fVJrjS49NhbpJfybW/wC+Blh9CBXTRweKxErUoN/I&#10;562Kw+HV6k0vmefWnh/ToivnM0hbn5mwPyFaVhaDz47XTbEvJLIEjjhiyzseigDknpXefE34PaX8&#10;MPC9tqFxr815eXEhC7Y1SPAX5uOTnJXuOvfPGp+yb4cbUPE+oeIrsE/YbMQxNjkSy8Z/75Vvzr06&#10;GRYqddU6ml/medVzrDRw7qw1t8jnPDXwK+KviR1Fv4Za0RmO6XUWEO3AznafnI+imu98NfslaaHU&#10;+L/Fb3DYB+z6coXPXPzvksPoo/w9migURhni+T5tzbf6D8xU0arvI8sHnv0B6/zr67C8MZfR1knJ&#10;+f8Akj5XE8R46rpFqK8v82cr4X+DXw58KiObSvC1vJIpGLi8XzpVYfxDfnH/AAHArq47R23Kz/dU&#10;febG3/D/AD0p6hFciMqrMu5mzzn2pQ8azhI1YMwP3T1/IV79HB0aMeWEUvRHh1cTUrSvOTb89Rdi&#10;yZcj+IHkY5xShVgQzMy7pMbec7v/ANdPe4VIQpxnG0K1QynzG3L/AHQdoBx9T6np3rojTjExdRk0&#10;Shk2ybdnGQp6nt+ooSQhSfvN0+Xt64qFJ1C/dYlu3PH+f89eUeYFCWZeF+ZmFKWhUdSvqV6LnWob&#10;MbisMLSS/P8AdZiVXOPUb/50rKd/nR7eP9rv3H5/59KGn3HnT3eoSMfmuGijPOdsfy4Pr84cj2Iq&#10;VrgkYw27+Lnj8f8A61cEnrc7oongeQN5gIVQf4ug4PvzV+0jRmbj5WbA3c554NZiBZP3TqcHn3+v&#10;tV60kd5l2yZVeduOnAzznOeP0rmkdlM1rN1S5ETSRgMO7f59a6PTJD5RmQfL04b7p/z7c4rlbSAm&#10;fz2RVwcK464xxzXS6bvSNQWKKuD8n+f51zyOyDNe2uYLWNry9uFWGBWklZ/QDJ/lXB/sI+Z4lTxp&#10;8edWaRrrxJrzQW6zMC0VunzBQfQeYi4AAAiH4U/2n/GDeGPghqpt5VW51RY9PtyW5YyH5yAO+wP1&#10;/wDrV6X8C/Cf/CtfhNoPgloRFNa6epu4yq/8fLnzJckZyd5K5GeBXHUV5G3NyxPRbaRZJFKDhT94&#10;nC8e9dRpFysqRs8aSBeeox+f4fSuK0y4iSVpFwxGMcYx3/HvXR6FejzFZvl+XbySO2c9f09q1hRv&#10;uc1Sry7HeWcrRp5Uv3Qqnc56DHr/AJ61euI7K7tl8ldrLGD6dfXt1x/k1zttq0UCr5qLuX7x2hcH&#10;0/P1/TiiTxPHajMW5dy/K4wccgnnt24HoRXZThynnVpSkyPVdR8Q+C5pL/QCJo1BElnt3Bl9hXoF&#10;/wCJtNb4R+E5HF1DoPi/WEh8ReJIYd9towEStH9rdTmGIzSKHc5EZXc+0KzL5L4l8SX/APZFxcC5&#10;6qdihs5+YYH+enWsb4SeGviD4x0SP4PeFvF+qWUfxC1y20aaztZHEEqXE6ReZLEPkdEDNIQeFCk8&#10;dS8ZKX1dyi7OOv3E4OMPrCUle+n3nl37cH7JHxO+GXww+NB1/wACXUnjS11eLRtP0PyWkk/eahDa&#10;rNbbQGkEtud6EHa6TdGU7T+hn/BNnTl+H/wHs49a0b+x7r4f/BI6XcTx3U08cmoCI6YsqGTlBK5j&#10;kEYwEMhAAABrN/aL1rQfjdJq37RHw+u5rt7XXVFrY2seF1Ihf7P092Vl3rlvs+Oj+Y8XOGKnvPB2&#10;hR/Cz9kLVtOt7iCT+2Nc03QN0yfvZLe3ja6lZVJPHmR2+euN+D94V4GKpyrVISn8clFNdrtX/U92&#10;hWVKnOMPgi5NPvZaf15nO6TP5EajylVdq/uxyBk46dxUmveMNE8B+GdW+IPiu8WPTNB0ufVNUuGP&#10;EVvBEZZGOSBwsZ6nt1FULaSMx7WjwGHyiNiRtyPrke39evzZ/wAFjPGGp6D/AME7/F7aHqk9o2ra&#10;lpmnzPC5UzRSXiNJHkdmCsCP4lJHIJr18VP2GHlPsj5zB0/rGKhTb3aPxr+JvxB134t/ETxL8XPF&#10;MrPqfiXXLvVL1t2795PKzlR7AtgdgABX3t8ANBg8L/s/+E9JKfvl0OOWSLGMSSjzXB99z18A+EdC&#10;bxN4o0nw3boN2o6nBar82P8AWSKv171+m0WlWcGkrHZFYUhXasa54HZfwGOnSvz96yP0+NloVdPi&#10;83Q1PnY2tjb3I9v89q+Qf+CgPjY+IvjJZeBLWTdb+FtJRJBsC/6TPiV+R94eX5HUZB3fWvsLQgsk&#10;UiPOqwrISzFiFCLncfyz3+tfnF8Q/Gc/xJ+IPiD4hSyyM2s6tPcxLNJvaOFnPlpuPUKgVR04UfSi&#10;StKwJ6FTTdUvtJdrmwuWjwcnH3Wx2x/nFdVoXjuzuh5WphYZAP8AWK2UP/xNcWjuGzGeeu1u3T/6&#10;/wCNTNkSbg3APIBxjvRKjGW534PNMZgZe5K67PY9Ot7eBkE9o6hWj3Hbgq2ehq7GxUAXC4467flH&#10;+FecaJruq6Rn+zr3avJaFlBjf8P/ANVdZpXxC0+cBNXsmhk4/fRgsP8A6361zVMPUjtqfZYHiLA1&#10;9Kj5H57fedRbQrIVIz6fL37/AMq1LC0YtgDpjHPH1rN0efTNQw+nX0cp6bYZASePT8BjNdBp8F2G&#10;XEW5QvGSRx161ySTT1R9Rh5U6lpRd15F3TdG+0MpVBuJyTnp/KvTPh34etNIgWaWAXFwzEl5GO1c&#10;c8Y/rmuR0SS3tkV/schHG9VRT1/yP1r0fwBqen3ztIbC8kjRgMJbjLMeg547nqfWuOs/dsfXZTCl&#10;Gqm9zvPDusWumWUctz4aSeVlx80hGcDHA59PU8fnW5HrXxJ8TyfYvDNgumQ7czXKtllBB4BwAmOu&#10;R83uKh0TQ/ilr0KReDfAttYrIxVZ9Q/eu3vgkAc54+bj8a3k/Zx+JWtTRHxz4tkvYGdBNbi7RUVc&#10;4yYk4PXOduSBzmuONGU3sfRYjNstwMf39WMfWST+5s6r4X+Drfw34Mk+zeZcahqV3uuLw5cyxpkA&#10;biMkFySeeWUE9Djp9H1fWtC1H+1ND1abTbpGQ/aLfAXjGCQcjGcHpitHSPBWg6Hp8Gj6Pp8K2drC&#10;IY4Y4wvygjBHT5skn1ySRgnJuHRImX92isrc7tvy45/EcdPb8x7mHj7Kmoo/mriTNJZ1nFXFPZu0&#10;f8K0X+fzPdPgl+3t448J2gsfHentqEMabfOjjyQdo4I69T1HXjpg0V4XDo11Z5mtsKokJCLITu6L&#10;zgHoAMA5HpzRWup4R8Z/E7/gr/8AsY+Hf9F8K+GdQ8QSJ80a2OjybYpVPVmuHt8jHGPLcdeuRjw3&#10;x/8A8FuvjNrTf8Wz+Fum6OzNtebUtTluPOi5wClv9nAbkckt0xzwQUVjypD9nFRPBfG/7dH7ZHji&#10;FbPVvjfqmnwwzNLANCWLT2j3DG3zLZUkZcHGGY+vXJrqPhd/wUG/aI+FHwoX4Z6TD4d1Fo7u6uIN&#10;e13Tpby/iknkEjtueXy3O/J/eRvndg5AxRRTiJpbWOV8cftb/tP/ABGt5LHxZ8b9eNvcW/2e40/S&#10;bkadazRg9GhtRHG3J5ypz06AAedtBD5mZl8zLk7m6k+/rRRT6DUVZFlfICeVtxtx8oHTBpfsyk4l&#10;j5PXHbr/AIUUUrjEEKRrtjHCr04pd6k7CvPRuKKKAbY0qwk2oMjHH8vzpCzEYUflRRTK8iNoUIK7&#10;P1qE2sePMaiimDJYLNEG9RhSOo71XvpY5GwOg5FFFAuhXcFmwCB9R3zTWVThd3TkLRRQItRabJMo&#10;OFVf7xqxHpdsSrzFmDY46A8UUUDLMdvbW+DHCqtn+Ef1qzFFNPOlvb2++SRgqDcBnJwKKKqOsrET&#10;k4xbR6F4W/Zs8e66En1i+tNMhOCy7/OlxtzkBfl6f7Qr0Dw1+zF8OdLYrqiXerzbcO11N5Uatycq&#10;sZBxj1Y9Pfgor9EweT5fRhGXJzPz1/4B+f4rOcwryceeyv00/wCCd9ovh7SdHt/sGh6ba2kIl/1F&#10;tH5a9MYO0dwKvKWd9wGemRn+eevb/DiiivepwjGNkrHlOUpaydzxH9qnWY7zxRY+H7Z28q2tlMke&#10;PuyMdzc98gJ3xXoP7NPh86V8Mo9UeMNJqF5JMzKw+6p2KD/3y3+cYKK8zC+9mDb8z0cRJrLYpeR6&#10;C7Mq7gB907tx9KcZQHLOv3icfXn2oor6FHgzQqSxSHATv8yrwPT656dKRmjXbLIm4bsMxbgnGOmP&#10;r7UUVRjJitKzIFKbvm+bccZ7f596jLktmR93y7sDvx/n/PNFFJlrYYZmmwANy5AVc8c+vr0NQ6lq&#10;v2DT5tRePzGt7dnZVPLAKSB2GeKKKwq/Czoo/Einb+ZaRR2BdpGhhVGmkbLOwXGW9Se57k/lJDOS&#10;dpG4+5z3/qaKK45fCdsfiLVo8m7cq8rxu9e+Kv2UyFmkCDpn9e3WiiuWW50UzTtbmMpvMTAbsfez&#10;2H/1v/r1rWV1l1YMeZOGYdQAT0ooqJHRE8v+M0D/ABC+PXgT4UTKrQRyf2jfK5O2RVY8fgsUmP8A&#10;fr6SsIl+/KW+aQ4G7PIwDj/I/WiisIxT1KqykrIvxz/6QpWf74+UYPAB6fzx/StvTp/LWLB+995m&#10;/Pdx9P8A9VFFdUYo45ykbFo7GPkcbxzuPf35Pb/Pd9y0M6MkEeZnXG/oAvB/wPFFFbdDlbfMcf8A&#10;EDXZdNS20S8+b7RKoTr36A9fb9O3FexfBHw1qVhqureNNHv5bK68G/D+/uNN1G1YB7bVtQA0y1nA&#10;6/u/tdxMMEYeBeQStFFY45c2HUejcU/RtJnRgdK3N1Sk16qLaOm/Zh0f4yw+GY/DHifwxHo9n4S0&#10;+41W+1SHVo5rfXZrfmyjWNV8yPbciC4JZVw1vjIyDXtfxekk8O/DD4a+BFtVRv7JvdfuZRLxN9pm&#10;8gAqBwVWzJ6n/WHpiiivPnTj/a0b6/8AATsaU6jlk0mlb085K5xtvMvyyOp+Xn5Tj5cf/WPpn8a+&#10;O/8AgvN4iutP/Yv8N6HBKy/2h8TrITKDndGlleuVz/viM/h0oorTONMDP0/VGOSrmzOnfz/I/NH9&#10;l/RTr3x68N2g4+z3j3m7djPkxtKB/wB9IK/RBp47jSFaOHnywdrY56d8fjRRXwsP1P0Tqea/tEeN&#10;pPAf7P8A4u16A7ZpNO+x2/y52tcOsGRgcYEm7/gP4V8C24kjhXyk/h5B7cdqKKUvjKj8JPld3lLD&#10;jIzuz+VTophbaqcc/KT1/H0oorUksRxMJFEa4OO/erkCFwqGH5sE/Xn6/SiigmOrNBYNykRp87c5&#10;Xj5q2tE8X+MtI+TT/ENx7LLtkVeegDgiiiqcYy3RrTxGIw8r0puL8nY9R8M/ELxJ4a8Hjxf4/W1u&#10;LWfCaekduBNM/PGUIVRweWGfrjDPsP2tPirfRf2V4OubHw/GTJ81nYLLPIjZwDJKXAKgDDIEOcnn&#10;jBRWKwuHlq4o9OnxHnkYOmsRK3rr9+5+gX7Bvw41i5+CWn+P/FWs3mqavrEkjfbdSuPPkSLcAMMx&#10;JH3R06DgCvfrfwhI4fEMas0YVufl3cfl0PPPXmiiuaa6I89VKlV882231erJIfhq6+YDDDu2qR8q&#10;8jJGfw56+tXrL4Zw52tKzLwCFbHOeSPf9Bx6UUVn9o0ZtaN8J7edx5cKNuZiRLjk9z/n2oooosac&#10;tz//2VBLAwQUAAAACACHTuJABnA4P8aEBQCKhAUAFAAAAGRycy9tZWRpYS9pbWFnZTYucG5nAACA&#10;/3+JUE5HDQoaCgAAAA1JSERSAAACIAAAAecIAgAAAA7ucdoAAAAJcEhZcwAAIdUAACHVAQSctJ0A&#10;ACAASURBVHicnL3pkiQ5jib4AaSqnX7EkZWV1Su726+6P1ZkH3B2RXZEuqq7svKIyz0i/DBTJYH5&#10;ARJKVTX3zBmtlChzPXjgBgiC9H//P/+XAqLKzMysqhAhIkk5MAcOTFDSLImJmFkEEO27bhwziBUA&#10;AKIsWUmZ2W6EEFSViIgIgKqKiP1QLa+V7gBmJiJ7P+ds7xBRjDGEACDnDMBas3ZstBAVKIgUECjF&#10;QMQ5ZQY6CqVjQlbxzwGIKgjWo43WxmOd2o9AdSYAgwCICIiIyS+fl8/aG/QXfMz2yG76ywaKMioR&#10;f+qN29U26OMMIYhIztnBaO9MEFYlkL8PptkIFYvx2O+u3/ifzAEos7CBELGqEgkRoAoFwBWSCpDa&#10;TJUUKqxZkmbJOYtkqBKgWVSEoAQQVDQpRFUfHx+fn09diMfDYbPZEdFmswkhAEQcsgJEzBxjzCJa&#10;gQOmGKOq5pwZIBUDAjOrQhWqykRQiBiIAEoKIQDEqgQUMiAIAaSikjNUAREx3Dj6Ageq8FRVMIgB&#10;nbDZYtn+FAAUQFC1+wQtJCFicGZRKFQgIkLERCxQ70VEoFQIntQG4xRrZNOylZYRTWzVkpaPkwFj&#10;LqcKG1BL2zB8Ebquy8gpp5THp6cnBh+PV5u4YeKckpO6qhAhjeenp6eU0s3NTYwdc4BoViUOSiAi&#10;UqhkQIkocKBCPNBKTgVT5U55WslMQCqSmQvuiBlEJiIADMPw5e7u86cvGsPh9vb29u2m32z7TRd7&#10;VZRWVSSNIfAwnEmLIGLm7XbrHJ1SGsfx+/fv//jHPx6eHsF02O0LNylCCIfD4c2bN+/evt3tdirK&#10;AHM07DiX+Y8JnhOrlv9v37EXcs7M9oa2XwFQze37Gbk+ZSeD+oJBaaKBSplMTKITIdlQojaiCSYz&#10;HRcEItRGAOScjU4M7KoaQjCJ5Jiy39HeDjEaTG3GzNx1XWCGAloaTVmiiViGqsYYRZElmwxiZoFU&#10;weRCZxKjMUb/E5VLjW1SSk7ZPmEHtwlTb4cnyQ8iKtxPBBN5xqpKyuos5S9by0xETK5OvKMQgqm3&#10;GIKKwnkShS+cLtoBtJNdP0Ujnnw6ixcufut3/F9XJK28WLw/e81E7DRDKBqVL7puQlWfn5/tnRAC&#10;szAzc6jDKF8XYe0fFRFgQpvJFAwpSJg7BDWekZyhoqxGfVARVVaAsipdXV0fDkeI5py/ffsGoO/7&#10;ruti7GK/6TfbLCIiRqI66TxNKanaXGbYtD8DcVGDTFVaGTCmtwuEwUwgNaPFpQAXhWDyDKRSxKFC&#10;CYApcZ3w5MJSC47UiK32qRMAHbNmHhXwUhHBmMbgk8q5cMpclFwmPF1R/uzbnM068WEYh6IlSNVs&#10;AomJwQGsCJIzh2JnuVarLRfYClQw0R4xsUKgUBR4TSOeiVfr/BIvgBmmRAhMJADAHImIeUwp5Xz3&#10;5cvnz5+HYdjsdu/ev9/fXG8Oh77fBhOUSjmNUJGcwQTJ43BOadxutiEEFzLGPnd3d3//+9/v7+8B&#10;xBgPu32mYv5uNpvbm5vbm9urqyuDwjAMpIghAFnVhkpm3KhC1Y1LB+pCo4jZbfUdVw8G/oZEzUCp&#10;YNKZ3p1Eq+HUSWVBAyIqWYkn87fVBwXW5WVqRVA7aCebln6cbKamgCg5xxAIUBFmzjlD1SCuChVR&#10;yRTMXEIWCUzEnFSpalcwFdMpz/T2Wk84V/gjrYrUWUIb66xtqmWSCV6iABGqnZOFmKggqGoIMppu&#10;HCAqtu0kbesAjLx0QfMVpjpH1XR/brC0LsXcdphdjtoLnTWtoWqXxU2/f7HlFsftBKfPyTyOZXdu&#10;kouIquRsRkBw3620hioa7Vsjy9Ioqq8jVLERQgjMECl+jKqI5JxyBgiMYjfklCmn0PWSEoFEMAzj&#10;mHJKWYm6rjNLRXI2gV2aJZDRgczMPRPSjgtmanDLLuswOSFERCBmkECN0QCUeRbVMummRq9SUR1Q&#10;ZwsbE4Owhny1rkqvTASCTARJREzc4toQKiovYdw/lEsk9ZIquvhOc2d6VMwsLdrBSJeaNqlo4VbR&#10;+7cLNaJEYOKGNdxdaydldrO1qBUMQkQIbJg+pzSO4zAMj8+nr1+/DSnvDsd373+4Ol7F7QZMoUqV&#10;PA7jOPYhqghywdVxfzCD0no/nU4ppe/fv//+++9fPn9m5v1+X1iYsNltNn2/3+1vbm6OxyNViAWQ&#10;yXqT6cxcQaBG8itgFNg2UjBPkyaEYDGP6cuFfbC476odjaRtZeZc9xj8Z5dBu4hcqryMC6RChpVm&#10;Vu64tLLdhxinLwGYdU9ERFnE/O2siAAxQ7KWVgiqokIWeCE4DtzVwFzyonKIP7Kx5pzN22pfW0jw&#10;FpRLHihmIhGzQnOZ9sT/XITEiuOc35p/VDWEAEXOOYRAc+eUSlRowmJtaenh+o9XlMcr1+WZXmqQ&#10;iCzK0T7SZmrVlsmLRtaa1dU/MxWhWThAc84qYpHCEtsk6GS3wvwW+9kKEybWOpxCVSVwB9SQI4iA&#10;QMQqOUsGEGKEAhwIpAqLJD09PZ3HwYZ6fX0dQuz6ngDJWXMGIRSxW7qusSaCltDmNH1jnqr5ULQC&#10;YMoBADNB2cdtPpoFQURdAxMFxeQjTtP2Xy6Iq+0y51iqLK1ancsW2817M0e05Y5W3LSodDJwXK/J&#10;yWjjFX3TdGmTqmhlDsxMUyCh4SUmKmEGIiKmuYwqDfk4aXKLud5xAtHqDUBEVUWVC7VDYQYQcDqd&#10;Pn369PnubrPd3dzc/PS3f9vutl23CbFTQpYkIoYlEYGaTZMD82G/F8ki0nWdhZqfn59/++23X3/9&#10;NaUUQtjv9zFGERGR7XZ7vL56/8MPx8Oxi+Y1cba4S8W1yTE3kV3Kuxkxl/ITV86Ic4WmBkfauuDt&#10;CwverxYVqp8w+yQENmNhQQAUmdX8KW+q2lIltAgyrplZUKTzkRteUEhGIxNrFg4BTCoSQyi2pGaA&#10;mJmJ1cy6ABH1j0HQYouZR1x8YmaWNkrusLMBMTfxB3JNs9BG7QuONswtcRUxGWR8TlyIW1Uhbi2S&#10;qiimUOMkWCd2L2Kw0ISCF9bZn1MT1DiJ7Whbh6zl5zXuW1nf3rl4td9epMu2U+N20dkwqtyYhwoN&#10;dIWkK3gAIBsgiSgDImVVjOtVZEOdOggQIuYQAM1oOiIiUhCrgigEiw9lSSwMD9xVDLKILRAqac45&#10;pfT09CiSY+xijJu+72IXYjR/egauJiqFKh6rjVZtthJzIAKQoRCtDgfRBICpnVC0TYXLZNBUxiMP&#10;mdVH1KiqihRy83xl3K+QaM0YVTDxGrNL+eJ4m5u6SyJptFT7mrcvIm1M1V8ymcD1QyaykKIpamqu&#10;At4KSm7W6qYhTMPyby2EWN5cSFWF5pzHYRzT+Hw6ffv+fRzGw/Hq7dt3h+PVdrcNsQMsDiGqqpJy&#10;yjlrIDDARByjCUVSTeP48PBg2uXTp0+Pj4855+12a2KEiPq+3+12x+PxcDweD8cQgsk1EYnEWTKR&#10;Y5rcYfYg9kLrLwDuUy8y81L8vNEu6j6N+irg9OY6Sk+FwKoUqkOCEZItymKyHGxdtCj5GfFUG5ya&#10;+J4Ru1bZrpV4WodBRCJEi10gWtYwDbtajHqzr0AmJXO7VqyqICViywYYx1FUuRJ9bkFG1bxs7ZPG&#10;BvcxtUsss47m1ncxafwdVQYiB/uhNMUlxHXFvDW/06LZaLKNcc1RMNnIi8vVYbvM1fZFc35uNdAr&#10;WoSqHdQSn2vcix/6y1KDUWWmc3L3abeiqr54wTmr4y2Ohy3nElHOxBxCCIEDNyMkkFloXJSJzrQd&#10;EanGLvpiYx8CCJKTpAwiFbEgtOlnibzvQs45jaMqRPLT06OI9CGaCOj7nkKwpcTFyOufrvncX5kg&#10;ZgMlDSDXRmqxPlMFKkImdOy2qFpIbO7ELDChtODhGol9AenksQ6ay97yGARqIYkVOTnbt1LsdRpb&#10;SKsl3VbrQRVkGQgLSgZQR1WG5gtRBXg+TrNLm9UvABCgTbEp1vck9eaqVFWT5N8//H7/9WvK6ebm&#10;9i8//rg/HHe7gzioCVmySBZJms0FR4ih67ouWMgFmtK3b98/ff708ctni4wB2O/3ts4PYLPZ7Pf7&#10;6+vr29vbru+harEggklr2CcM8qho/VH0okOVOVSBtMSCzgA3QRVL7NcuWocVpCptu1xi1FSURX3f&#10;mKIuBi9lIBTmJKCxlfxha7LhBYdpIe7UVyWYor/o6snUr/NAoVnvk1ir4iIq7GV+LXGAyTVzIcuS&#10;XPUGKjmuKb0VnW2C2SUxgdmbohyYlMQJ0QDNU+TOKXrRWtspVSOrjFOVW/Ow0rvb34t2nIdXZsWF&#10;6yIBrdG2EByLO/5mq2xaOXKhEVlSw3pgRKSaVw8XPN+KL6hKTipZMiV3ZZi5hCeLmJksidqZzZkh&#10;SgyqMpeJM2ULcCkJqVh/KZ+tvZ57Avo+bjd9zlnGpJLH4TwOZ8tT6vq+7/sQAhMxsQVyi3GNYieh&#10;8qvNwhJ/Cs3DYmMizibGv8SFb9laE4YqSDFFn4uIpFlISyZ13diBc/MW9UmF8xRZajHFNGWRUdPC&#10;zGgozFo4qF2Km8yHV1f+FiQx/61cAeGPRIQuGYX+We192SVNNr8Q8fJRY5Vbm+fz+fn5+fH5cRiH&#10;x+fnzW779nC4vXm73x9C3weOpCpqWYpjlmzr+UwcmShwF2IXg4oAOg7jx98/fPjw4f7+blSJXRdC&#10;6PveqLfruuPxuN/vj8fj8XgssshgZy5qATP52l1xWXgabcuYqjlnBzsRBTQiriWDhbLxO0QL4Bkx&#10;lSRIAswrNiXBxUxRYyudt+wqvzWIKirKOmPJabKQU6PpFdCSfuLqotCGr167j6pQUY1gyiole3Au&#10;4wpVOa0DVPIg1ZJrQBqYBbAWgjk3FvMOITDrFGdv1tlryy8pQ1zyGS+KY6KGmQARKf6Qgpmkqhw3&#10;X2cMM82w8Z+ofuXKtYgebm+uF/a9fc/PXoy56e3C/bapdpB6ybpsIfCKpKAl0GZWIZmcY2rXxlrA&#10;2ItUEyIAx2QxkRtOUJFUl6ipLrxTCFG9xYrutd5t0geUmANR0JKCQ6oW47DAfgiBQWI56zF2MVK/&#10;sWEMwzAMQxLBE3Uxbrfb7XbbxU5UQsl5MulQZIOqikrgqKoiWRXMoWYOGo4m2dg4sARLfLPwgqbW&#10;3CMOVIx3t+BNC6mrqQUubOLSqpSKOoeYiHjOj2heq4dWJFEzAa4MO31SnflWnLd2ycvGB4p0qbYB&#10;FgqS1hrEnZjG6qrdmWR0Nm87chFCNfjGxOfT6cuXL1/u74ZxCDH85ccfD8fD8XDk2NeAPFQ1jcnS&#10;hFPODFERjixZTsMpHo6AqsiYxt9++fWf//lf5/OZQ9hvd9xFVQ0hxBg3m827d+/evHnT9/0cniDy&#10;KJ+RRQE+mn0OC1t2oWnqvSnvDlU6+5LMpK4mUbASfSWdZg3yxl8kAFPvk8CcC97SZhW5M/Q14aJm&#10;RhCFkZVzSsXtNFQFRCGKOPWksAXeVsypKofil6AmIdSO58SkSupKvSAcC3L04ZT3dJL+6rbuiz6B&#10;A2g+4Ql2IQSqin2aQu21VSQOkml4jrxqrDiIAXhyms6vdoSt0G9vztpZmoQz9n5B/v6xvWmNtJE9&#10;W9uc6XIC5gYvdNZwM4tZGjSz56QVE9tf9nZQ8Wh/2vspZRsVx7CIXJHJPiJSmUGltUWAUEN5m8jF&#10;hMpi1G2eAVXlt+03IcZR8jgMqjIM52E455y7rtt0/W677bpOVW1XB4WgJdiXiuaB5ozAwajTJQUV&#10;O851+aQZANQF/8LOlRInrVrgan+WDDvnw6LBGpuCpg8rjkSEiWVuTDhRoebOtPdLkBZFdbd04lSN&#10;JhbtNLwgxdmHJeBTrRadQuiTCC5tXmi8/Naa9kDEUBWVhnFUVVW0yjsCRDXl/PDw8O3bt9PpJKqh&#10;i+9vb3a73c3traUU+q6TMQ2qsAiqmSl9t4GMp+fnu7u7YRi2XcfQ4XT+9PHjr7/+yoSr4yGrJFUA&#10;m83m5ubm6uqq7/vD4dB1neGMWnS6cDAGnxRoAVFjbDT7rqbvCix9laL+OyGHmXOemacXLFKqqr4B&#10;L9WtPC6XtLgSMy5v2V/drFFVwLd1oKFdlFbmvWleqpNWx1Bx94kJonEiLFVVWOYHlRF4VBGAcNk9&#10;oioEsgACiZatYSlnotmelQn2c8VARB7oLjleviZf4whFS7sFV+GyWKGRteDWuuhvw2YmeH53xRnq&#10;Mj6Zv190hw91LdBr+5cFfasYXMdc+hyLRy0lXRQfC4J4SQOtu9bV1hAf+6TzXneApo7MqriQ/lrF&#10;DbmQ5cZcyCJkizSSg21gKvMhcJHcoUkddkTWbQFarDuJtrYKqLBQziwixJMGBSSIpgTlWNPqxnHM&#10;OadhfJKHhy7udrvdbtd1HcWgkqWYO6JgWzsNgX3CEz+sVt1m2qMowUKWKSXjjbkh47wAgIpe5LK8&#10;ozMHcbkGXjqx0FjDUy0iXFu0ZDPNYuVq+Ava2HCL1rCiTEIVCivys8+I6hZK1DwEuPVXDc3qxhGq&#10;h9raW2y7jCyqo0oskr99+/b5y5ev3752Xffmzdvrm5vD/hBi6Ps+iWQVC8TknMsOR1Em7rtoFAPS&#10;++fn+7u7rutU8vPT488///zw7buqxE0fmFmRzsNus3379u0Pf/lhu93WvFOyYFrBtU56YEEJLcgb&#10;QnajhBy/zWu2yZR9r2jDXOobtnIu652rbmco1uqbTshaWBXetKrWrYQ1md28eZgSqZ+5ccyqFp2C&#10;b9kGZnlxi77MeHBbM8YYjTKK9hWlug45ZRNlVRKwWn+2r9iX/cv4mkkWJadTiKGsA1YZ7dEAFbUt&#10;XLYftYGHCT+0Zu86/V+LbCOq0XbJmTmUqfhuxGrFVfhrZbtCDBP/F8OkoI2JtFljbyC4ZMuX2LjV&#10;DT6zBhTLa9Fs21T7w1/2Oxf3YLdjqxNctkON6Vq172QTWNJK0dbOIy5N6r1KqFVV1EX0Qgi2o1Kk&#10;sK6hiyhoUUpVfk1pVdPczRoIQSSXVcMQiAiiyhGugwEViV2XNeech2HwTFNkSWkENKXx/v40jqMS&#10;bXfbw+HQ9b1K2QcOAMhMrAtygVhkvSDXaWaWJ1DC4FWKln1APgkOKyFUt39OPblNWI2juZ0xqzTR&#10;5pJ4q9oYWxdlzcJkaUm6JXJvpP1KbTVbC1cWFPIkPQvlVKt5mpZqqy6plb7NTgZVDYEtNRHEp/PT&#10;ly9fvn77Kqrb7fann37aHw6Hw4FDF0OgEIaUDCnIOaVU9kfHuNv0bOaziMnxp8fHz58+EtF4embm&#10;p6cny2aySfWbfnc4Wkxsu93mnCkwNWs/0BmgFsBsr8rcjvnyf+2m2gbeUBXfPqAqtSKD+zSFrifk&#10;luwq4ZWtWdnzz11qebWONQBgWN+TM1XbL9J9WtAu25GdQbTkRtU1S39advK7HVsWMbUsDcHCYmbE&#10;qaqImtlV6K34VkXrpBw4QAWinktXSVlbDeR7HheW1AJhgYNMO2AnvLb5f/6hdWOLy1SswkYo1xm0&#10;K6dTKGaC+4R/14JrMloMvvnk8lycXdtY80sKpvVwX3nz9acvva+XPlmoyarciWFFHKoYdRE4c4+4&#10;JWtVJZ1Eq1lECo+tEYEkl7+ZGba0QLYSRGWh2EFkdpxpHSayXTggAEKqkFoVBfalioLEakwMw3A6&#10;nYbhLJK7LsZYTBNTPCmN918eH75/PxwPu/3eFnhhqbEcQKFu361pNWRTooaNJ91qRmhN/Sdbv6WZ&#10;DzOZL1qkbVVFhZdoYZb+GWy2/7rhgpWN4rR0UeW0SH+pryW1q5ZVJkuoqyk8bTTJP3SDAjbhVS9N&#10;yqVUXUUPj48fPnz49u0bCMfD1fXtzeF43Gy3Icai7GFiRiRlEVFRBm222xBCDDyOSSWb9rv/+vW/&#10;/vGP+7u7/X53dydlGZ+ZI/V9v+m3fb95+/b9fr/v+94Nx5cA0t5cQ/IlAK7MypncQ4M+LUVi2G0+&#10;+93sY5NJ9jbtr1FGlWKtFW0MUFJg7hn5nAEwrIzSfL4EtYJO9lVRSlS3Hvt/WnRzjTyJSMymUYzL&#10;QeQGR7OjvuYVeREvoxivZ2FihYog17IESmopzSQ1aOXDRZM519byWmBF6xhaTLgQtw8nTrP87kC2&#10;d8J37CxIpcDetMhF8W2+4SRc0Q7gD6lqjfI/1FILa3Ea5/yddTv+oW+3nL88G6pksX3g60Te6beZ&#10;YCYFRWeGOJqt/55H4rGDVQGMqbn6wxECAEoqVu6IAeRaXM43f/kyGoiaDRIEIBCkUFr1vQCYq6Gi&#10;qtvtdrfb5TwO53Mek22jA7DdbruuE80pJVFN4/jbr7+ex6Hv++vr6+Pxqut6JomhizGkUv6u/ENE&#10;KWcLIGujakqkDTX8zJ5wSMXAay2XirDKmJPEcTgvxNCSTuav+VOnhIv7lF1+oTHR0FD1vGusv108&#10;MOFB7NF1j1USESEES+Nk8m07oGI/iQHGB2lIDDGoyt39/YdPn0/nc4zx+ub65uZmf7iKXccxEFFW&#10;JWgu/krOYyZo13VxExnUd9359HwelYm6GCXnT58+/cd//MeHD793XbfdbGwi2+32/fv3h8Ox7/uu&#10;6wNH5lLLbq16F0Dw+5drJcwD+K6ktFpdVYOqu/prULcibnktiwK02GmSzKosVl2ugpd087Tyd1RV&#10;VaYcSNT0n8mZUAIx69zsdtW1CCQ7TRLRtAbjY61OB1g1hJAkowYOiMDEVMgUKMw27cxXUbM0C0Vb&#10;xSALqqKMZIGwixo4V58RlQQvSti1gSaiVLcXmWRop15VY/O7YTbPW3Om4hoxW4zw4vjXg1xoDu+R&#10;5lbSQlhchIw9XWjiBRDai3laovgz77dPjRArNOrqetHNJY1wsVJARKy0JNzyttbaAEUlEWorqkAu&#10;G+KIlYOEQJblTDVlrTpOJtYnfDGrTGt3BkIGJdFxHEOIjLDtN7TZWoKZSObAtrN4HIeUR0Xfb/vn&#10;0/PDw+OnTx8fH5+Oh+Nhf8xRhkEpEDMFDlX4r5gbQCn4NkkWs8BQqcym6ENuWcBBZNE1rdtXYAkl&#10;1qUrg0ZJOS5cGC3Q57/XUeXFtWa99f3yu6SxXfCz5oIYgJI2dmqVTjWsWNum4rNKTqI5ncenp6ef&#10;f/55SHmz27999+5wOOx2++12mwEVJeKcRjMOSFSyECiE2MfOSqjlcSTVTdepyvn0/O3+/j//679+&#10;+eWXGOJm05sIPRz3P/3tb4fj1abfxBCJQ84SaFozXk+85c3paYuTKmCU0GTnTYRp3/nSwRoFCxPB&#10;Ls/tnGzoOoxJ4inUKKSo+UkflCFoZZ5Ltsgaj+Qy3U1NZ/7C/lMWWEPzk1L0WZk+UCC6p2J5R+CQ&#10;co6WZKyaUgJzDJ2yNIFmNTdFoZKFilGsbHvrXHFXIWUVC1A0JEAkkmsC8yRtW1XBxKELaFwcf8fn&#10;Y7WWrYoiMYg4hJCzFD0HZ3RSBkmdfyMZJ7u6KiVoTRxoBENLfD6GVp20ZuOa4deKZPFaq9Uc0y1M&#10;Fv+uFe2i/KVTW9tRCIGkEI9aBcNZegUKRTVGt1aSnc0IReQWh8QX1Ur41ewjUsCrJk/Ojg+v+Lpa&#10;dvXWWUhKCnAIgQMC2/9Iq9HQyKcJIGVIbFs2A/cgVdFMyiFCNXYbil0gAkFSyjnHGLPKmBLxSBz2&#10;+yMR5Syn0/n7b7/lnPu+e/f+nW3NY6oYD7HkH1MDWBVYYK7apTWVH24oOomVabY+i9flqW5h/c/A&#10;Y7CihhL+wDjzFBui6v5Vz3GiDSI0taId804znurWtF9pikDESmWOVM3KyeJoMqZUlWDVrNUApcWE&#10;ZxSJjOfT6dPnz58/f97v99e3b27evI2bzX6/DxwBBQcZx5Syqo4pcWASBXB93BsNpTQO55FAUCHF&#10;w8PD3//+H7/9/lsfohJtNhvVPI6p6/qffvrp3//93ze7XewihKykaYxR0+S+TIbypHIqokhrxbBQ&#10;hk6eju6CRee41mIYqU4eRUl81BZWuoo3lO9ylfMtnrXWRS3961SMD5BsW8fmXNsILy51l5siFNZ9&#10;9Y9VUcM/xSSaFvzqrpiW8No8xiIPc7aNCpE5tqTEgcEUOPqqbClXriDlEjMx35dJCSpaS0CVDXGY&#10;D4guVV20itMeqGEOsvb9muGahdK+UwQ6oDkxKKtLMI4xqmguaC8EzcpQ2z3KosLz3XYFg2UJUwNV&#10;LirmJy10vpeqdii3jsXCUlgrg1bhrxdd/JNWnSzAeFHHTE8BBuV5hXYiUqnBVQVUKVQrZe7JIVSW&#10;YBSPRYsBO7HS5COTVWUmyycsCTDmBRsTchGmVbtTSYV3Nqj+jOsy2/4iWXJSZivO0XXRs6oLRmbm&#10;iAl3AgUBmAJKjNN6V2jOSgRSDkSimkiEA0cEcDAXilljjPv97nQ6PXx/+Pmf/7y6urq6uuq3G+YQ&#10;OGrKxGVajcS32dTE0ylWSAApCIE1jRMuaBkRc/4GipVflJN4JGDCrF6qNFwfwuBqbRBVLTWVZ0JR&#10;/JgcKzKvxIgQBddUBY2KMinKahuBAqBZwcwcO6curYKYmYoKphBCZ1shuBQ/0GCVpKkIxSRy//37&#10;x4+fvn37ttlur9+/vz5cb/b72HeBWbKIaEojVDXnEEKIneQsoofDniA5DSCGCqsoIJK/f//+r3/9&#10;6+PHj0TEMYDp5vbq29eHjsJue3j39i+77RUBOoIIgYJCNCWzZyY2mURCYxSRAGWFD5BKfKiBEprg&#10;bwVep8wxqWq+1BmAqpYaFwTY1mOudoALTFVohkB1qotoskjNn0MghtXoEskq7CiDZFWmAIYK+a55&#10;/6Eqtt9LpapS3y1bdWnBqouEarVI3aDUKOALgigyAWond8RaB2KqhL/4prZEfhVA1oCSU7wJwRCC&#10;7yL2qHrbmsy2WTgzOMcRUVm2ac0Kn1LrmlWAzOfcCE02E9sijPMN0i7iUeXdbPo049oloQAAIABJ&#10;REFU9diOTavLstYurdZxWF1EQJs8g5edVn/hFXXSdufTl1frsLZIpMY6bhtcfPvSVZrS5QjXEy9/&#10;iuqqWWrcNR9YWe0UyapENAznif6ImbXiRxsCm9Y/CFzjeMYorlstizgyaaQQgkaJOQugRCoqtld3&#10;u912MY7D+Pj4+OX+DkohhMPh2PXb0EUCc+AudmVjsWaYdK3ba4gmSmtNSaJZFFG1Fq4NVcqHJshC&#10;IjItRRVytwniMr6cUe3PWvET1eEDmvyfteWk85gqESmQs4TAUi1vDkzMbjCg8inXYnStPUFVDjNz&#10;DN14Pmdo7Lun0/D50/3vnz5m0ePh6n//P/79eLza7bZd6DjwKPl8Pptxm1KWNBLRcD7vd/uu74yM&#10;hufnEDkwhchPT6f7+/t//OMf5/OZmXe7nYVMrq6u3r9/v98d9/u9iBCFKsTd9y3Ldg0kLhqEHvoo&#10;hizVMqyNHjJITDYQXrxmBLBwXAx9WUTrqorWs47KJUVQMyBEqmUPePWEYHCbzUILCiZurR6OMx0z&#10;C9VWKv4dFq0U0prZ4SfBvC4lYl1caaiNSS0XeQaMAj5/0/3KSU41kK12TTuyotK9kToBfdkumw3M&#10;Jb6LpPl31aR1S9uRUgOa9qNN8TQwMS84bTlsH0y7hx8rSlqT5ysv6IrP1z8u3n+pl1bHUMvhc3Oj&#10;1cd/qELWmuOliVwc+aKp9bP1jBaTNTOlra1JZBXveMJ4mRS0HA9ULEwp5VCbNejKRNSc/8Gci4Wh&#10;KiSBuyxjzqnbdKELm7QZx3Ec07fv97v9caMb5kgZOY+bLjIFNV9aharBaxZ7MV0vAAI2Cjdl/GSZ&#10;6tMRoCArc2XimlTVDunCTLtcBHRRtVW1tChTW1Z0L+oiUpr3S/jRXZ/SQd2MTqjBHGK25C4t2zxV&#10;NalEgMEp66iJQ8wpnR5Pv3748P3pUUG3b95eX99cH49d1zNz13UpJ81ZVSWNImLr2n2MYdNvt5tx&#10;GHJKKY9G1A8PD8/Pz1++fPnw4cP5fLaqdLYr/q9//evt7e1ut2OKlcWmtCCXPM16BRXhoc47ExxU&#10;p2pZRDTLY57ecdT+AVu1CqBVSK7KyoiaF1p/vQQzzBoWJ32tQ6IJb4VHplIdqgpwPQnCP3En1t+h&#10;uRkzaRdQO9qqnJqQleos7h6LGcXTN1rrSGpdrDTLS+enN164mBTIKpLFmV/M27fGlUAlX8gF3MvW&#10;uSPjtTcMvJNstXTk1lu5JOVdVVQFE1HVZwvQxdUK6Jdk/ULytgNb3L84nTXhvjL39UWNm/L6m+tR&#10;tX8uRtgqqtZjaz9cWBuTWJ+ND+7utABcT7NV5DWjpPyulM3VWJvqwzuTLPDo+DJ6KwtFWmgbBCiL&#10;iubMIRCBBVZEh5g5hNh1G5EY4jAO379/PZ2Grov73WHs+xi72PchBD8zSlW1lCyzvpqVJ3ilzWni&#10;a0yZfFADQra1Sm4i/jq3JRro1tnhUh5+iyki8pJz9MJrllLBbQW5uquj4KitBl2wNQmsksjJlKEm&#10;5O7u73/78OF0Grrd5ubt2+ub281u18euC4HAVtI45yyaS5Ya0bbv+75jYBiHx8cH23nHRFnlw4dP&#10;v/766+PjI4C+7/u+zznv9/sff/zxcDh4zUoVBzLHyAuwE7UFXyo8ShnTNpwzJ6rJ1myBfIFVL4iv&#10;0shlaeCBLD8ZZYFmqq+V95VeEciuFUpIrJ4F7OpKBNM2sPmnwBS2q8OYVCw3hQM8S1NrMN9PwgAQ&#10;bS8zaVEhU5iI6upiaXXpU7cJxPZoymqvYBQLiFmokWq2Q9WcjThbY+aCRG5tW0PDand5kWumqI1J&#10;rP7NcqGs2gutuLS2POWBm8orDbZeFN+vCGv//ZICm2TT6s0/vNpPHBGLmz7sP9RYC1WxfvoSHP4Q&#10;PusBX/zWLjOLzM/wmnJ+VUorBN1GYlsJclHdllUQTwEBSh5RWVoDEUFo00Wr846SrSOkuqE+hrDf&#10;juM4pvE8prHr+j6nruuZQ4ix2I9ETEzEKmq7iXU2sJmKmPaaAnWfnWedEsxDouKHMU90TJSnadUe&#10;aAIjtVGOmT1Uh2KeYOXKuoywwE0dDDOrkoiGsoRpt+tuIcsfNcavcARIlbLo89PT0/Pz3df7Icv2&#10;6vjDj3/Z7feb7a5wMWzzGkmSLMnSILrAMcZN14UQhvOJoAQlxcPD9+fn56fnh99+++3h4cHLuux2&#10;u6urKyv3wsxEXE8XJlWEwOXEc2aRXDmdALU9r+4nlFPptIqxghdUL6f+rrt2KmwdbDonVac9LfhV&#10;rZG0xl1pJKFitnqK1tEoYwQKCywre1U0TUxafpuNUh0s+0dKsjxV4WjcNI2/fDgNEu42tO27nFxE&#10;/m1UsVJaTeyZpWBDrF5Qjd+12nKR9I0qlNGouBWU0U68ivI8L75XsLEGnA9L6wYiyamZ8AwR5juB&#10;yOqzVxJQmuqGZiaOXaifXrDZ2399po0tPJPaOneALgro9eUGwgJi7TAuSu21cG9bI5AbLBM6F4Jm&#10;/mE7l7a1l9TSNEea/myH2rZ5UVeh+DMzjYhactRz88yaclpfNKVaKoW05IE5ubf3L0K47m6zOwAU&#10;pJG6EDooQKJiJ6IJc+i63pYgU5aU5XQ6PT4+EfNms91sNswBRKBY5E6NWIj60i6arJ+pCIwCqi05&#10;Aahl9cznImLUyr6w4uzkp2vYRyba1SSm1k2cTbrmZIQ7Fsqsq5ys0KVmxchf5xrqqIXil/LUXva6&#10;8I/Pz/f399++fhWi483N+5vr/eGw3+9TzsS1ZIwgp1FyhghE+i5sd1tVGceUxlFyymkkwnAevt3f&#10;//LLL1+/fo1dJKLrq5sQeLPd3t7c/PDDD5vtlmqxayiYWKDMIZeAiu+f04pl1JwIn+Isz3gimNnJ&#10;ry9GIIoZQIaIVhah2v6VTezMi2JpXAi4zXRWddyZuVhFOuHFpW7L1NqYidWL1mkm9bCfYg+VkOwS&#10;iS1qXQHrfPOiNvtAtRmVfxgBqKhC2oNe6igdcvBhYZ5fvxZVPkP7vXjZ0irWErO941jyy+4vAnRt&#10;j+4zuiQtERAzGCDkRwFThdZcG6/is3O3eRUQa8XWgkS0uV7audK2ue5omkXzdC361y0vXlu8/wrW&#10;/NEreutid/5UVxra/5pRUhOnVlUFZRHTEC1MrPgHM6ecY4xdoPUU1ppG6/HmWpNQ2mBs1R9TlfX2&#10;2xCC59lxYIVAVDQTYLu/mINwWRVQq38zjBzQ933KaUxpGAYRiTEmyczcdRsryFh6cLBgtjLjugDV&#10;/ajzUqm/tdJu1krbRW9YgMP8K1OrANh2ydYuiwsEK/hfZt4Eb6uMZeKayGaRQ7Ij6swXsewmIuM1&#10;MWObAKsJZ6l/RreiMqb0/eHx+XQexnEYhm6zvX775nB93W82MQaLUIuqZtGsmgWigUOMXVDEiJrE&#10;LjmLCg2n8/3XL1+/fv3+9dv5fO67jjhsNpurq6vtdmvJfqXQbZMkbcekKk/aek6zRMTTscQ0/dvo&#10;+HkGLLBafWlMgSY1nGi6uSBRH0AV7mg4wvwniCZXdUUUuAVWjOWKuHK0mi4cl0LGpSysKpBLSkJZ&#10;4Wsqzc+8/JUo8/YcQOrmYGu3zQRIE3WNzDyOo4jYdtkWFiISmN3IcSGuNda2FvcLETbJkclfKYft&#10;urygiXwbOa4zTK/l/mKG7Z/tjyJ0eCabpu3ic8+jlaferD1tExkvkcufvdafuM5uZfRFpfISkBdj&#10;9kcXXaL/hWtBcwtBD0zuJhrI4yLWsLBcitWSUmq1dUppHEdrIaXU9z1vOodMnddaIyqgIpmILAxC&#10;BMByh5rlU5p4CXNCnZYrQRY9isGSYAsZh6AgUSXVTAH9hq1WSSTiEKElu0ZEcso55eHMIca+31Bz&#10;pGALENcf/q8NsZJ0EUPk6/xFQJicYVg5p2ap2s4/UvipAdWgymI1M0FTa4aqCTPzlUuT8WqAKDrZ&#10;RKdveq9AKwcyAYCojmN6eHz8+u0bEW93uzfv399cX++OB2U7kNPcCEljImgeczqP236z2/YxhJyQ&#10;8zCcnkGkomkcHh8ff/v1l08fP4nIbrvdbDYAdvvjmzdv3rx5Yzlji31gPn6q4WI7B7FlMaelXEiF&#10;KjSWAqcQDSpAl1chxdaimsGwsTKNFEFW7fRCU1q1vaG6lB5WqDIXci1K1KwSK6agTSWCtiRBg+Ji&#10;QxO1I0GtXqwvjKfkW2vdreGcvsjs9d9ataBzZ9S57HAe00bM+wtrmaUrQxIvGLzFuqnpQHazKq1J&#10;5RKRWa+t5piiJa0IbvSQD943qZjeasnFZ7cenneHmcC6fF184SIQ/hAmaAC4frrmh/bRoqOFsrRr&#10;TtnT01cG8/oc15NCw5MX33nlaodRzkOozqthympWDsNAmrHZtMt+F9op/1MyS7xQTlJVERKpVZ6Y&#10;UaOG0FlJaSr+jaXBlDwp28Fpx4O7YVqf1hpkzLHakmaL2OnOKY0pp3FMVM+WDiHYuSOOXIvkANMx&#10;rCjuFxqOdlhN5nGN9GpRGDXmojABtKDwEkYjhkdnamSgvCpSJjnhpdjxmZmJWVXSmFBCK8pcrC5R&#10;JQ4EPD49ffv27XQaxpQOx+P19c1+v98fDzFGcC34pjlnSWmUManofr/f932goDkPKaXxZJsunp+e&#10;vnz5cv/ly/l8fnp6ijESsNls7BCwzXZ/PB7tyJZmjksDsX1ERFbmo4rcJXzMvF80hYnIZ3/OqdeD&#10;GW6COyFPzbj4peJFz9pxLnddXubhmEPrGLhhUFosc5zbBzLt8/eTFGimJxWlkLPWAM80d3f0FzCe&#10;/p6yBuZ2v49EVaJKMQlt/6R6HAzF45yNZ54WtfCVvINWGbQaD0AIEXUVy5WesZ9v52H2UmCzmU24&#10;qijXqnjcPJR65pi1E0LhXu/Oftj2JayklYtgt4leEZcLgvYuFu5IO+y1GviTEnkh+i/qwklYW/aR&#10;/3bSXn34etcXcbq+f9Gwo2r2aps5osvGQWCiznaQ5ExEgVmtOr8ImeIRGQZhZqtIWL9da2XLV1Qt&#10;NmJDtlAVzZIUQK7FNbmWZleEuteNbYm5igetGWtaFj+peACAApGZJOVsh4MXOq/LOcWaUWBM2b00&#10;2yXWdR0RMYhDABe9VTslrSrOyhOoqvlhavavqpXDxUTSVVVZMrOqAlKWCuoaLiGJABSrDpu5foUs&#10;RQEKza7hqkgVQr71SJQCREQRXMqNw/B8On+5u/ty96Xvtm/fvr2+uTkcr4KVEcvZhHoeU06jApoz&#10;VI/7/bbrUho1JyWIKJHmnL9///77779/+vQpDcNms+m6LjDvdrv3797f3r7Z7fdGj05Ia3XS0Bih&#10;7A0il7Ba1roA1ERWNUu6JSqHg1VLulDDrdE9bh35rkl70cX6jDnaPxrRXFZuiMgWaYzaGr215Hot&#10;R7OUe2Zb2FlJJldyVuZgVYADTRs+uao4sjyNnDU0TN2M8CVjdA3txZ9GLFFFCi+q4b14GDZCBWxR&#10;jHjW5bppqoeSATNjoHACUCp6MlGDRWrclFbfeNH0ti9XHi2aFvPxT1xDtKeota9dFNkvAW6hR18B&#10;7mIYi8+xutqba1bx+y6/Lg510YKp3Baeaw58RVG1A2s/XCuqBQGgAdHiUWmnBoIneEKZiELwZMfA&#10;TDGmcSSg77qqIGumexvqWl5aDVFdgKhyn70lKgSSLFML9RxSDiGWUmCWHqIZFh9gh0MxZZjID4vA&#10;HPWe2GZ/x663dVF/ZzgPosKgEEJn5ZwLD/pyZ1UDVfRUsAsAqZvJ2k6LeFFV1VwrJUDLJC0WQiW9&#10;zVR7xW9tvJ6R44AqgRgzFUQSUGwFJooxppShQsSf7u6/Pz2pKIfw159+urq6OewPMUYKrFrJxo5R&#10;GEcQbTebrt/A2FkFOZmYOJ/PHz78enf/5fR88vqk2+12v99fX18fj8f9dhe7nomTi6k5sS3xXrBT&#10;FAzN8t+KH2NWQ3UEyJuhKsSIatnHuXW1ECBOaEVE1x+tWgqh6KoV6bZj1sktucTpLfNaXZI66PoC&#10;RMVkBdmhAFyPDCCqwTBPWyzLSqXQR2mc3IiaJqg1J6Fd8F7IBPIgU5kCRUuLpqaWX0GbXkBY20p7&#10;sNjE+VMQQS3tRasraJ5EmDtxqOmPaLY4aDV1XVqi7ohEi8750Ka51avoGM/VmEv85cjnc2znTrXQ&#10;wh8K5fZzNLT40puLd9rBzGXH1HJLrxc1fYHq/4zd0UqrP6NB294Xf87hPD1y7BDN1tvIzliYW4Xe&#10;gkWTcs4hxEV8rAaKXrt8Og3N6MSPZTIGLs1Zx3EU0ePVMYYuqVqJk7K2W7OCalN2QiiIKMaOiFQh&#10;VrBahHmmlaUIlyD1gipEk+RxHG21KXaRIwfuOJSN2UUfKxGzlsAOmUyx9Xbbh+FJt9abiErZ+2Hw&#10;J1VRyYGKbT1mMfuNPCw5B+Wc6nwbJTGTiFqI2/c9jGP69v37bx8/IcSrw/H69ub25naz3bbwhbG2&#10;yHg+B+bNZrPtO4hkFc2aNGtOAD08fv/5518+330cU4ohmuo97Pe3t7c319ebzbaLfQxBrCjZC8k+&#10;F2nglYcounxaDNaidFQny2wmN2huv7aX31iwxpyzlnabf13HM/HjH4yfXE7OGLOBvDWSrE4SBwYI&#10;yu5y+WDV0xBbY2XNYSuZtxaVzDzRnyIys1l0rYCWLJOE0ima6DNvF/wxCYsKWe/YMUfAC4AiIuZJ&#10;V9nVZhA0euhFq7mNaDXKwMzJMox1122DC+F+eawNEHwA6/GshXI7VMxpjlYugj9aD2Nxx2l9rZnc&#10;dPoz7bw0zYtzXF+EUuHx8tM2nlDLivgEqea+my7xUgu2SkFEtoGubf4l4NutBZ0tFGGzj4SqXC2N&#10;pJQsLPPXv/717bt33WaDErgtMtZj5sWCKq1MW9rNzrWzmd1fAYCiEqbsEtC0Sc1eS+Mog4DOtkhD&#10;RaEqFBAFixbfrySJltCGqqkcX2kWaBaVkkM8uW6iaDdMqg13slVRxGq1EF0aWil0IhBToEBAzrnv&#10;+3Ec//Wvf43jGLvu/Q8/Xt/ebjabEIKFMV2VjqOFEGXTdW9vbkghmmUcYavVOUsePn/+/PvvHx4f&#10;H5lt25Nst9u3b9/aIWBdjF2MTEHqEctOPz4dnp8nP7dyXqTJCRpzz60itIUWMBdhiwFUOpwZf4v8&#10;3RXzAvXIFi1rMN6FLqT7QrC4lPDEkXUXvthMk+mvALJkKEJgrUY8M9sOWi3+txIJVZfAxVfx1Bur&#10;sRXaC3HhOqKkKS9QomWGTTK1zIxBVU0ptYkxzJxyokum/eLDF1XNpasVxDNRBVj2aAtusxNtYAsr&#10;0vWiG8IL+mjFvb5Ax4uBYY7yV8aPOVjWeuLi5y/1/ifVw4S7Fxpf3HEgLx5dbKHSN7/CyhfG76GH&#10;Cf5Kpa5JWQY3eTSOY4xxu92awK07K1o/ddZOaaRGj30iLaLrT2uq2K32RBUh0Die7++/3N7eqsjz&#10;04MAu92eua/v80LKmHaoazlsCtJY0SZSCE/s5ckGSrlkzdXlT4hKTmkcB4C7ruuiIkYlVdUYIqRo&#10;B1ERFYUAJAoRoVKgxcqaFf4q1iNQFoMNXATHV33TEpwvUxrVVR0mIlBOtvE0i8j9/f3HTx+fn8/H&#10;49Xtm9vd8Wp/PHr4OqVk2qVmnysz9V3sYxzOpzyO7hgNp9M///mf//rXz0o4Ho/mWl1dXf/4lx+v&#10;rq76vu+6DqAk0geikn1geJx4SmvlOjSiZpG269lTADxBwyeKRgLMX6Nqf1ww+BbU5dS9FFOXr1nc&#10;YmqhjMQXvifS9U7tX5FCBgtxOmvt0m9zeTl05SSXiYPqkEr6VNlf5QMmr4A+13NtF+XPRjtG84SY&#10;mUvhWyXLwvFZlYbN0S9rVnZZUbl2A39rzJcu59Nzz51rwqLWfZwtVrQ5DKYAfgbxqX4yGqoqJyTW&#10;/s0K8Khz5bgqgzw8+kJ8oKFOWvxYYNSJr32BLmn4i2qmVW8eG2xxj2atfuKExk8kolnyeSOIp9G+&#10;7Mpc1LWLqbUvTy65liJDjteCLJr+uii5fIRAIWXYAimIGSmNX7/ev3//frPZpDSGEKiJrbas6xOq&#10;oylKxgK/mkVEplWHut8D1FT20/I5M9sJ4iEQIMNwHseRmfoYzb2HFb2otEhACCaAZrMTEaLgK6/E&#10;HHkKW5s0JEXr4hhrdbGLXWdEm1I6nU6ncSDivu+6uOHi2TThDGSRDJBqVkGgqfZZiTJXIAG1LjqV&#10;g+C1OQLDqhWgLC6Vo2jKGhIRAMuIkSx3d3cfP358eHi8ur65eXP7t//t/9xut6HrunLgiuacc85Q&#10;FdFxPBHRZrPpYycpkcrp6TGPiQNU9PPnz7/99tv9/ZfYxe1uT4GZw/F4+Otff9odDl3sfVVMVSm4&#10;HQmXAK1TaAXXnUgLu08XbIMUilhasHARJE7ClTJbsteWitd81PJLw/hLl6W2vKQZU5xa7JgJa80r&#10;Ra9Cppbrj8lN8TRani3BMiw1t5HSmpKWrA0wS1blEOuwqTSLqX1XfFly2atOM1lBFTJ2eI+PuygY&#10;AmBlcIz4ipRXw67JclWpi1RqyTBU41GqOqYEonp6UpVQALXbUMvFLlHLYVOT5Cp44jAvBIAJ3SZb&#10;LdaQrTg2gJrRyaQcAtTqs7OqQiZ5ZOmrZs6VW+XkGNDKX5kNoAkMviSmF3e8qYX1gYmCgXlh5jJB&#10;T/AhqvnuS0uEHCYW2RCdsicWb7rOIzRhHrLKDZA/FU9YT7DmzWvV4zMrjPx/K/ioqp0rrAqioJRF&#10;c42wCUCBkMYzQ7ebqHkM5eQRcD2lrL6stVk/Gw0KIYLtpTcRSwiY5ZxUcx5k1GpyhYkGSUWUBNru&#10;Nufz6fH79x9+eB8I4KLAck4qSoxyNmiIRsYNqGxhvxTlr1RGbKV8qVJFj2LdiyV+CYjLOzYxVlDY&#10;IIpIHoc8DiHG2HX9ZiPqqZ1EqkycVaBgYqgySEVKeX5DPYPZFrrINlNnEcnSxWBlJdXCJk5ONWhJ&#10;Zak1qur5fP748eP9/VdV3L55d/v27fHmens8xk0PCpko5wGAJctBs6YcoIf9LjJLHiCZmbNKRk5J&#10;fv31199/+/D94WHb96DITBTC+7/88OOPP+42W7VwpBSU1aw9EIXG25htm5tIlISrjHKKYy5n9DSU&#10;rIWK58ur86sV4oWGXYgt3nchpiWPcZK8AEKgehCiR7P9NL86S/gac6jCTHXaPiglNaAY1kqsAbME&#10;0ZcuiyuqnW1fWSarQpmIk6qVpRNNWoBZTe8i222CklImIhUx50ByOetLZBoY1fOLLU2LQK753RqG&#10;48wfMXPOU+aAvWJpl82OG0EIM1GjZV+W1hr+dRcbFsK6/XfhVUy4V1SuaWyElT1iNxf54OWr+Z+T&#10;7q3Kw/90CCyQt/5TmxxcH5g/nWLujUH1ukWvs3JScItNK+cXQp8vt3ms0iFZKWTGPAujaAbeSzzT&#10;zsJnymwbxY3DX5nI5SoGbftGykwBKFrfrckQbTtu2QoHsPrZKGb117MhGrCbXSIpZ6gwx8ChHOkK&#10;8vqnxYmpo5hPvFIds7VcS3OYOEcaz6fTSURSGgFcXd/0my2xhYZqph8FmVNKkQhU4GVBP20WYLSG&#10;VhyJ4zjaHiCRnHMSEdU8nuXLl7toV99ZI/Z+IFZEJmICqwhULYDMXN2W0rqqWoUkUsmTWHQ/xkrf&#10;cskmZRLNIE3j+OnLl+1me3Nz+9NP/9bvtogBHLNoFtGcRZKKDKcTq266yH339f5ueHq4Oh5jCH3X&#10;PT0/Pw/D///f//vd3R0RdV1/dXU1juPV9dX79+9vbt7sdjsRASjMkz4a6mrJbIoZLNRGI0zIL3sq&#10;5fwCohWzrLvzPxd80YqO9qbT5MKgrO8v6R+TTLAjr9rAHanVcVxZliUntu6/coqVFw6et0dZxA6w&#10;BpUDFVUBFVKayjI1upPZSlcwM4vAgr02a/vtezxaMd6yvxESSGOrJKCKptTj3OHiZrej7QKbnYLV&#10;db0drqzux2qtDe522czSXQJigculuEejV1y4x7BorSWX/+XrJU1wUW4uiLLVfxfntZjdghz96aLZ&#10;xQuvP11fRKTl2Ki2/T8Fp1ZlOrfUit8XOvozQ5qQWEySojyo0neMJb8R1RXWOR3bYDzBwQApUs53&#10;Mic9S57KRtLMk2kHvBYWxlxoyIlqvymllNL5fBrHsd9u+35T4x214BWDzYkj22EOQUsGVOddrLyy&#10;+lo32KPmOFAT6LDSBimlw+FgAxjSyFULikjkoFEihy5GtXSDQLAyfChVc8miHlIUmkgex9Fx6pAM&#10;gVU1q6hohgjJ+fmUU3777j0T3b590287DpwtXmLFXNIIlQCKzID0ff/w/dv9/f3NYQ9gGIa7u7th&#10;GP7+X//1fDox82az6br+cDi+efPm+urqeDyG2OUsRdM2KG5l9Etk9hKBLSTGRbJc/L6oUbzHBTu3&#10;+skJaS5kpy4ucvS669dfWEynktMsNNJ6n7NOq3Xps7PoMSYBC7/fvtb+cPp0MdiqsdkdUjtCPV6U&#10;fdqWGpz7hnXCYpGuqXsgEIs7p96sCQZRECSLaomJt8Ntuy7wqixNM/NkopiLctl7bFMdLmGlfNjO&#10;fbEhsYXdfBjLp8vOV5rpYkbjQmqv26nOyoU+tOrpBRAW9L0QnVSTUcs7l5YHfVKvqEZHx8Vh/6Ge&#10;m88dqqrkRlA9Hqta+u6xVU946sX/bJMGiQnQWskYWSTQi15UAUMFne0boGLuz8HSrAPHGIkwDCQy&#10;beGd1nZAUOWywZ6KfnzNDS5jgartlCmRR1untHKNRKEPIcSc09PpbEoli6SchmE4n88quun73WbT&#10;d73kTDGEGERFcoYdXhsDskyFKrMklSx5UQKO6ynpgQOgD48Pj6dnDbi9vT32m8fv39++eXN9c82R&#10;FaVI+3kYckoqGZq3m91206nKOI5PT09PT09d4O7h4dv9/T9//vk8nDfb/aYVQg+OAAAgAElEQVTf&#10;gPDmzZvb2zfv3r7zlLPhPIDoFWRdQt8FR+HPfLjQIq+rk/p0icWLn/gW76Vwf+F928Xh5tPq6YtK&#10;tD6a8eBLrGpNWZaYvVcfw09bc2+4PBFJZsBlsWJlU7R3rvvbjmYCBMVunEJk5KZi63AAKDpgppDR&#10;nBxsN0XETnqz4rde+cO0JkQpmIe+NCJbE2DqdzI8axeyxIGt07RApBpeayWp1svvtKR5cZP5+s32&#10;zkJKVvwtjzJb93VR4WFO663i0dauaMC1vHXphcs6uJIzgIu5Q2sligaMU7OqUwL6C9fiUdVqF/mU&#10;WupStVB+1rpHz3dKLYBjS8puesfIXR9DYIVKzgSOHHyNEBciIUQNi9rDGmykdnbaRFBbBUwAl7Us&#10;LdE+AhSiOpxPornve1t/bqHhGotaC5Sk7mhUAL40WavgI3AIISixeTBIyVAQOIzDkFJ6GFMXz9vd&#10;lpiIebPpvZQLUhZAUyrnT2XJOfvGfBtVqTugmnO2qp1KdDheHW6udvtdYL66OobAYx4pUM5ptDZz&#10;BqSLoY92znEm4Pn58f7+7suXL2k4f/v69evXryKy3e4P++Nms9lsNn/72992u13OmUEqCtFAIYRQ&#10;8nr/yIG4SGDlzqzM2pICqa4oLG6uu8OS0//AWV/TRjvmxZs0M5qNpy60c1HOtK21AGmWKuYCZAY1&#10;LZ583RR/UdoTERS1pp8tejIxK4CsACxb8qIgKjdriTNVjc48JfHGxFrrxDRHpLULFWYPtf6HsTFq&#10;OgpURTV4qAEUQ0h1wWA59xXIFtOumLhMDUt5qhN6/pAu11crdNqBrdHfPvV/PeJNa0d1rvB05TSs&#10;DN7ZkNYQ8/vr8Sx/O5uoYtnp5Xld7HFx+VxeGmHbDtUFpolVqB6x6OUS/f+ryaXLXWDFSX9+fv76&#10;9ev5dEo5AdjtNje311aiqgSp21SRS/S20m1apD9doJOWdf1jKgypgNrB9QIF5HR6Op/P19fXMYbG&#10;WSwRu7Jzpe0dJXGClGwrpp17LYCKVRMoQYSu6zabPuV8Pp9Pp6LGzOfKKZ1Op5QTMZ3Pfd91McZm&#10;MUlt4dy2PSYRF+XuuwzDMAwDM+8Ph6urq81+1+93IQaoDs9PBM0pPT89iaiKcAhRmWO0FLvxPBrQ&#10;/vnP//x//9v/9/37w49/+eHm+hrEIdLhePy3n/7t9vbWhgTANtPUkgeTtTfhpuEgLHXMkuqK/G1d&#10;T8zsVP+hjalxMRzUsuRFab4UxysJsOb9dpztLNp/WzWzKNaAy4w50c9aAc/fLFJXZqEddRtOtRwI&#10;ZimYUKNROzqSqabCa9kURWt9Np/+xHdW7LL8V1nFqkZTTU2Ga9pmrKUAw4zrqlln/pSY2Vh+CwFE&#10;zCS0kokLxBDVyHuZ1JSKPsNxnvIXMV/Q9sa9BQfrAvTt+BefrzXTApqtMXKRFnVe3mZBKO23F2kI&#10;c4pfj2fR7ysycfHbCdNn2vKJRwvpkgl2scHFSNazmDhwzvOFqqmU+oUqFEwhhg6lkHDdYDvvy+Iw&#10;p6fnMQ22DM6k5/MmhkBEgaJCZRy9LwJA6gKMuB7Z2rRbVt0r0zXjnOZl65F22YMAOx19UuCBAMnD&#10;+RlyIChP5S2ICMzI2SULlR9qtZjtLEcvtq9l0USIqJhyOaeUVESg2nfdCOScS3WCwCFwCKSqmtMg&#10;Oadg1qhkiTF2MZb8T1jSdZnUOI7DMFj7u8PBSrNst1vqogDjmGJgQ5XknIfRzEtWFcmaFKSiSUWH&#10;Yfj27dsvv/xyOp122+1ms41dv9/vD4fD9fX1m5tbT8qQWhnoJTqZTJD5Cw63tTxVzH2WlXbxV9a0&#10;+mco/KVrPeZWMqy7m3FilRmt4WV0ALowgLZZ68XBeDHIb/2VDxsPQVWZuZxPqgBKui/KzyK8YMmZ&#10;ImV8IYhKSglTDP8CNHTyOjTmnPy+GWKgcrolSuVW55xWUYuDw67Fmo1Wi9WabeBCaxAsEEBEVB32&#10;RjC9GPRvEVlDHNoOAysCWkj2xf3Fn2tdtX60/kSbuIrf0VaJXnaDpiwy1+0XeGnu+rRK4uJcWh22&#10;1uvtSC7C5KIyawGy5qUFrMoL8xz5cpNKgzZb0XKQZTvassOcyKuKM/Nut+uiCSyklEJgq7MiKXMM&#10;5TSROgwO1HGXLUndLWWdJrKA1RyeS0ezkFm1mF2wqDkp9ehJK+vs2XEWntC610QaItSC52mLWiED&#10;qYlF6rlDM9zYdgHUAWvJNqyJY6BhGJ4fH8eUrIBY13WbvucQKEQgQDWldD6fVbXfbK6urspR9vVQ&#10;DRHJKSETVIfTWXOWnBgEZrUZjXnUpJCnx+cPHz7c3d1J0nfv3qUxxdjtdvu//vWn29vbGALDrFK2&#10;MVLJYDJ4AmVrC61pzP+sk8bacleLoq4kxEtGj84NRBfWE8mtDMf2q/UjNDLXubvli8Wd9Z9tL4vx&#10;OyhaRgbUK+PVmbtvYYMpucWoRlOR3SKqGjjWQ6/BIM/8bvvy8VT+FUDHcaS6CbIdpL9v9YQAMFOc&#10;ypiTimQwsR1vAwkcmL2EZYFgbetFzLX32VLOpCT8UIWKt4a5Jrwo5gq3z1GylgsztK0QtpaDi0do&#10;iGAt92llW6EhwfXgXyKdaYSXbCitBv5F2C76feVaaILlJ8afqzbW1P9S49WEhEK5mIT2yOq4mnAE&#10;VokAav72peB4CTU1+oPrceFE5InZTGqbBPu+D8wpxXKakd0JhT5zzqokWYZhME7QJKJiyWl1HxZa&#10;q5cA8vO4prqUk6ZZw98cbQd0JZUCYqL6XwFK8ctFEeqxFGNKKeUYI1QsdUttLwvI8rhqlZbi3fhB&#10;A8wca81pEUm2w3HaRZ8tx6yP3abvGRjH0aRnSsnmRzGCCgOGGI/Ho53ftd1uvQxBHnLKOadxlBxU&#10;NSfLC4KJqmyJ1Hr35fPD48Pz8+l8PgdmO7RYFW/evD0ej9fXNyHEGKLkzOxSyRnanb9ZLu+a/Jyt&#10;6vuvxYUKehYuTdVMa2nQtvM6fy24u2W0NUe/1mC1HgFzJtDOyA5HWLSmc5tVS3Y7tzOoGsKWHgml&#10;4pyaz2xpY1oispRL1EoIJCaQDcIApnWdEotSlOOGZMURrTlIRDLVyEFcb1ZwCl6DZq3z2xekHgqJ&#10;6kzAhFCLkipfZnrIt8jUNo1bfLXmAnqKWzMhciK+ufJoSaHdUO3gWD/Fkpr/567XhPsLL9u/vl49&#10;fTt/c2pqPvIJIJfUXmmw2dLhTvF6ZK3y0/mpZS0Sq0ahYl6XzfhKBCvNqHUJZUaLtCSnVXLFBUZt&#10;J0lUagdQKX0PAOfzWUQ2m205Hq+hDYMqBxYpyqZAqnGevAtPs1p0rnXuNXe/tEHF3m4PBnD0FR3G&#10;zGWTj9GYgknBICUEfnw8n4fz9fUNEWWnvuowWzsWkbaYkgkUIgq1+kVgFpFxTGMaLe24VFyukqjr&#10;uhhjV9XwmNI4jip5GAYl6rtut93d3t5eXV3b8SpWXdT00DAMOWc7tBgWVMiJApOCCUw8noe7+6+/&#10;/fbrkAZznPquf/v23fF4FWK8urom4i5aeYLZkWsLU6bGcv6slL94qQKNh0FgzE8ybLqrIJ7rmAXX&#10;tF8txvaSgXhx2BfoubZUs9bVIsH2NTMT2/nRswzbdVRq3aO2EGg+8Ztix8Y387XBKSGEkEVsT4w6&#10;lPLURytbjMBshFbrofFpyukyIlbsUsTsnSyCOWS96bU4uwzfkmBZgmPMPBV9QTV056JfGzE0zUFK&#10;KYJpMP+DsjfblhzHEQQBkJKtd/ElIjOiorp6nvucnv//h+7nPtMzPdVZGRWLh/v15S5mJolAP4CE&#10;QEp2I0sZed1MJpEgCGIjCMiM0OWErRKu//UVQZXxvkZAzTKw+8vurAvf17WjTw2xViy4bu0qzIs7&#10;DRqb+1I2w2aAARor1MuVpp0FGNlqsfs8j0uyLbIWG2MZS/xIi4ssA7RaGKI8AQCAemZdJIZA2BOR&#10;qud93+v2Q45wEd3CwWEcUz4fs+a4r+6Y9VFMqMXDniVp5KcsxKRBrXDQfABJSHMICoBwQJnGYbic&#10;Y3hDAVmoHGiTcRxLpikoSi6KBA2mw3JcMMMsQIh91+kin6ZRN6UQnB8DUSutCcIEIgDHm5vNYbff&#10;7Pb7/Xa7VekyaNhxqcs5DINM4/Pz0+PjtxhCF0NAvL05drG7nC8Pnz69vJzGceLEXey22+3xcHN7&#10;e3c4HEKMDBhDTMxFF3EVuCwYe4WQ23lfzho6JdWe1CNH1ZNOgdInmedVjk5RXoXBnsnEVFpYg2dF&#10;Dnk+aXKiGpfZHggyn5Wah9VIlFWmtErPRqV+gBZ1lbc/8jIpUb6KQxGxAyiZ92NJIaDbhGDCyY/F&#10;9oF0e0ZKLgDRKDIHaGm45qRiVchKPhWsk6XrkxSoVEdD84URUSq0JSzNZBguWhmA8wOuU2x1/Dom&#10;BF1itOag3Cqn9t01k/cK2RnA17i/n+B/hI5rMVYjB1bgwUVb1yB5/SFcLZNanl3OlKcHcNMntcVp&#10;h3sxzJZl7rH8adr3ItbTwyzIDZJi5ICoJMNNv3mBJ0hTwNnkFUG1GygQC5/OZyLYbrfzyFtUVAEX&#10;2CBMzImtsJEHTNO911NELlkAgEh13nM2oACAhacYkEIQCDHkNDCBSOsha0KOrBYSURd0vVO9CJVU&#10;MHvGoeui5gRDyy8QQuI0Sho5QaDtYffu3Xe7w37T9aSOxZICOY2T7rukabpczsPl9OnTx2/fvqpT&#10;brvZsKQ0pcev3759/Rpi3G52MXab7fb+/v7+/n673RNhyRQJkUIkygEMM9KKFV3u5Thv8mVDXrnQ&#10;LxOoSVsW6pF/0n9GZ6x7W6HpIyOQZoI09vLKom4Bre5UvoM1TjIrl1TvRq8Ox3dkDzecJ8elSdlo&#10;16ASPWsJohGM4zTpw1NKOTc4AOQUTWBJ96FmCJlsSgUHRBQXNl2lihGR5MoieSXO4LYTm0TRxpYv&#10;IikZZKFIMGM9oLonkYXKLdFkkDSiuwEyfwYrSzajuEj/+UWP6KWw4VIGTZe+CbOlNbp6XtJ37eWK&#10;Qdu80nDt5l2R+Uxf/rvoMJMdts7DmYkXPPj212HGbCm+sk5wYUh5ESLFWPYn6o3gOLgz+c5YqRBr&#10;H81QX2RfX4WKKGCWNwJQjZSIALQoBcSu2yGeL5eUpk0pugxreBMRKOcHxVVrraHU3guSC9k0BFZO&#10;WSIiEVRivJ5SUZ8cAmuJFjWeEEOgGEMUkZS4HE+RxAkov6QVCRXmvDDFtE4owBCA7t7KOA6n82li&#10;Pt7eHG9ubu9uY7fRLNACMKXEkjTD5ngZEOB8Ov3226/PT0/73eZ8OQPA+Xx6enziNL19+yZbQyHs&#10;D8f9/nB/f7/b7bsuloSSORV8TnauaqXXMcrwZ54lAppEDkqugSs0jKa6/um1MFaWV2OkLm3WubE1&#10;d8uycS+0/IvuKzQCpr4QF0u7+dm32bApWeht86+VadduTwlk/5gtYfGtOXhXAcOyP2RY4rIAYsla&#10;qlyJQNrYQb20ysWyg0rOF5MlDwzz+eTK94olh2Zef7ScOW3Kt4x/qirU4sQucLw7b/bW1thqC76R&#10;ppdlLCDUxPcKeMb6YRGAP/f+Z8MEp66+goeVaSqKcP6eDWdnus6/tC4+L7xX0aKXihYASClxSuMw&#10;aZUX3QZARHOTuOlGw7ojZAIgS26oukT5MA9hlg0gIYQYAqCeVyREEoDEAiBKupo6LxOYRxfMYXse&#10;gctrfl0EShq09nlHOSWSud7oAUgCiKDKesylLBmErWqspgmkLiKY9goppYnTwJMCbN0Yzh0IVsMR&#10;hNUEkmlKFLqbw+bd99/vdjsKod/005TT6WugxHA+g8g0TaeXly+fP3/4/QMibPpIhBqfzMKCgCEQ&#10;hb7rAnWHm5u3b95uN9vNZouIKXHX9ejDsQQQMBCxoz9EvEbAqoXUW9nSEN6qjMkqM8zsaykMln15&#10;spc/i815/WrE4QLgV15UaPModL+tMXGuNbiE1n6qO0VEwLL6SlMOckBwe/VuAx4bl8OS9ZlM0kln&#10;LjmTEBApEpGaTEgUAmEiQFSyVQvGLJpCMao1ARRvu/UquTAnFPNXAoWuU2EDrLnTxdWrx+xuKFEK&#10;QiWGtWFwGUOSKy6jnkC4xuZEROMiNCd58UjIoqgD5uq4oKERGeaSNaFZt3JdMRERI3kEoJIx4j9A&#10;r07P8MUo0WPZe3LAKauQ7V4sePcNzzAXEJcsdV6vIrIWbQm14GlappK/To/WZw1DFRlnO8cYI4XS&#10;fzN8KSq8SAHG6AF1zwWUbIoxpGoKBSDQY4iCVq+lxAZTCRB2p8NwXtAoAIJAIIgUIIQQSQ9qlGR/&#10;edTZpUCgYTZl1M7czC5zKI7sMi1QdvjFho1Q1KeiOWUjTCRXJagxpOCEEDqQKElEQGtBagHONKuN&#10;uqByLwjMfBnHy+WCRHdv3x1ujv2m73dbbX4ap3xiP/Hlcg6Az09PH3777f//13/tu+7t/X2/6UBk&#10;SMM0jc8vz5z4eDxut5uu63f99v7N/fF423Vd33V97FPiEON2u02ahDTGIoY1AydIylXmQTVoQEQI&#10;IRTCU2dEyMRc1lKhhPxXZpzMZI45g4IuQ51cMAqsloAjOIBKutiysHVsWDUn3gyLUgVL3cLVy8mD&#10;6h5m5s6lwDUUclKKzc8v5auIEAWA2WiwRWq7ROZm0Dh2zuVZG7me02wjwGUc0W0rFE0alBZtjTey&#10;3573YJQtNgTgOJTaR6iO0vIeEoUYiUiUZXigLKlnKbOXNzvBLBJBJGZJpZ5rZmGEOc+7AOcIV8n+&#10;BPWKEIpIUA+ymxt2EfKFBGZfQzO72UAJFGNQWw8DScqpZvJXluRcisurkXB+ghuZgXn2MJYUuVrx&#10;zMuqGfVOc2jaoVJ3gR0RiFh2emimsOwbuoWXg6A8n6ngnEW7NW5FpQCh1LAzVf0VtBgwqrbEGKdp&#10;8me+NAzJxtjEw8wiUw+wGzOgvBQwkHjaFfUj2dAQCIRVdEESmYQn1rUUPCcSSWpJUCAKRdcALCmQ&#10;BQAYmKcUOmJgwLJjWVKmBwwpx9qTAObTYaBnAqBgAwxaHWAXO0epRgNBAESSKhKEBKKHmiUggVBR&#10;Z/NfEQnF0AQAyaXLQASoC30XLufLCJxExpEZSzIlEZE0TTymdBmnsN3uD/v7d+9DF0OgjDIRHieZ&#10;xjSOCJgul+fz+Zeff/7f//qv3759e/fubUqHEDEJM/DTyzMi7Pf7Tb/pu+54vL09HG9ubjZ9Dzmd&#10;h2AMgjDylGenKEacpT1AcPUQCRGCcVIADDFkBVUQgDTSicBi4LOZm8UHugNBaH/c99ktWS0xkxaQ&#10;Z8E4suqtfknOK90xTeM5XPXp1nK9cBqHm5SpreIFlaipisAuErZmGuUrIJBY2Tz3pPlFrJ692SIi&#10;jAgkAqDGjLrFEEDUnx1DTFYRoJyt4sQIBADTNKEAIYozpwpKq1A9Ipo4qfwUgTg5lZNq3meMkmrt&#10;z/iUZ7iOa4gIIFqcW6tB1w9X0yMiGvG2OnPLqGW/pJu/DWBNbBJFmvei67eWV26A5leWvTSgmhIh&#10;CwPfqwBVSIJUPeqvgq20qMSSA1lKtRebI9/UcjjotlJm1M1J7Wb0+iCLJRh6U8+H6/kJjUgUEabZ&#10;3K6ESguSj8zJulupbWyDXd2SwVkpLG1LVYvOPotIqV1fQY46FH0ihKj1LWZxKMACLJDyqicMKEkr&#10;aMzIFCiy5Jr56IAkCgLJlHARYGaYhz+jONtKhdBQpEfUWgICyIm73R73+ynxMKXLOIxpGsbx+fn5&#10;6ekbULi9u7t//353OHT9higfJBqnyzSMPA5Ri1SO09//9m//7//8fx4ePiFiDOHbt6/7wzZEfHx+&#10;TpwE5HA8RMDD7gCCgeJPP/wYQsjGpSphmqhqpqV2geSJxBYnVOVYRADRoFN1qEJhJVBTKashi9dI&#10;IuOxUe2hsBdlI6Y7rp7HgJpiAWxX2NqcWYp/140asHVgoJ9ia1/YrGLfO8CiLln5xVxdrYljw2kI&#10;T8QZAGxMT8xaJMJABJLPzwMAsCROiNnqJCItIdCwF/95FoRQTHvNpuxib1qBz3WOPxsMl/RlVEqL&#10;Y/E2uc7YgklqDKHHCDgubw/QQm23+ViyucVEVn35Tj0WmqsRG+CIUr/Wu74rQ1ry9IYpv3LlhSRV&#10;p83qggXd+Cf9uBBxKa6MLJsXGziXyLw2TSZ+9CsR6V6LFM9YDME4hT/3a+8alWMOoYQyFguYXCee&#10;qxNRmi8g5fwq4uST1HhARIDspq3lrrrY8oao+YodSFgb9hXGvEiemU5hCFCBYGyihT93U31k5gQU&#10;qjOeACHGDWK68DAMEyfcdP1md7i72e8OsduoyZLGcZqmNE0yjcBymYZxGn///ff/9b/+v48fP6Vp&#10;iDEOKW23W07y/HQCgEBht99uuh4Yum4zDtNuu++6TZn3jBJ05Rswq66LPGCOmD1aljLYE1WzZmtF&#10;JD+AALiWOWZuspgn4MSJ9dvsqq5TVybUSvzD9U5NxanfqCBvltVScRSHwPkBASheYi6nSjyu0CG5&#10;aTaTdyFOcISalUhAolkQSLFOlPUFJKhW7hrkOqKSoZUTR98Tu1yWFacreJc6IZ1B5vHS4A5qGmJX&#10;GAddxIX9vSYAbCQN359HVcCzD+jMxgYqKdTWtOaRu4ThGlRUN2JxDassFZ2uUQ02ZweqN2xflS4N&#10;zA1g/oGmqWaADY36D69MJSzYvTlqtX5JFzcaQobO/muhwraR1YEsASu9g2qX8456Wdv4WnRcRd6Q&#10;XbsqV4Bd+jh7mpCsQJfN6yxCoBEZ87Eq3UnyYxNx3l2XF9WaKoxkgW0Q3RgCEQFW7zmLhBCmafr6&#10;7evDl89IdHt/tznu+77fbDYiAIJp4ulyScMlTQmEIwACnEWGy/D3f/u3zw+ft9vtNGDXdwBwe3en&#10;h/m3ux2AbPs+UKA+hBCwJ4Q5UgNDJBDWotTOa+rFsNRKid3M+7tNqlwlIam4GCxmH4EqixY1O8/K&#10;XHMtuhFRczYbY5WFA8NIsVp3knOPXrv82D0GXiFsg6G5rxLTRysYeA1iocSCeQGM9YFxvSy+qSC2&#10;BQaxtpa0J8wFI9jSPF7hzOAmWrJukZEYG+d4gzL9y8Va07mhEExnrxxNpgSWX3XUxmJ8ejuP3IbL&#10;s0tb6S8/i6tzY4+xS4zmn2wm29NQw0kbfrpkkVWzs5t9pReP3ib8uoHNwkznoS1M3WstwxVqtuGg&#10;t6ivWyqeUud3axqCmlSwVgt0GWvwmLrOrMGFJ8BFHBTOambxctaK8DBVY/4VS+AKZc+NmOzxBoHk&#10;w56tr1VTaiqo5kWZt+jEZTPOMeL1iVEsNZKrjeK5U8GcLKaxLANiKB4EZZozC0GTla4AZ+JcCAME&#10;EKeUzpfhdL68nE/jlDab7fHmZnd7wL5DgCmlNCUQkJR4mFAkAgQgEGZhYDnu99+9e//wx6fTywtR&#10;iCF2fXc4Hrfbbdd1QNTHcHs8EoUYu3dv3j8/PiPgdrtjreCLSCGG2jnTENWSTmacrBFzYU/zYsnO&#10;kpA30BAxZIE9v84CweI5zETA7F+WbIHM+2S+a+8o/tOr8FlNoNXMsvZpQssIuHWUEa3IAL/uAMCF&#10;DdnCNOuwNASzJ7BhX6tXkS5Zs/UjyqRmFgIAAGimJrR3sGZzrk0Peb5fTnFGuHJ59ifMJvhYBMuQ&#10;LK1mfgwzmq0zjbrz8mNJf1mGue0Kh4vqxSXu7PXWdV6e9zJp+Zb/1dDkH1sCvMQSlFVhLdghlaYF&#10;DxLU6UFVuHgtybPXhtUuJasH/hrAGogBAASiESqyNBwxA9YcCPBTgDmIhZZgWPx3jHGz2ejhcMP2&#10;ukxSqtWu9bA9CAYEAdDzeSVxPWGzZdqgQF8XyOE3M9YBmw0kXEKuXCCGztSIEAKVzGbKznR55zYr&#10;XlAgF1tpebshY6k8kMEkcvopWjRazbDQyxo/E9k0Ixyn9Pxy+vTw+XS5xL6/ubs93t6GGBklgSQR&#10;ZGFmGadpnEikD6HfdEEwjeOUeLfdXqbx9uZ20/fTOO622/1xv9lsjjdHAJqmkfQ4TuymMb15//b/&#10;/q//9W//+984cTH4rOz6imKrTKmadAQCzJVCQI0LLlJXdxBbz6CAORXL0UwV95Bz+ig+RARqCKT2&#10;ggJYK5BECDCEKLMoWlc6l1dZieQVQZx1/0obg3m1QiNj/HKwheBvLrmWLlYTvUsxWWHuilDPALtT&#10;nBUMaFkE5+dTYgC0Ct9uyFeUA88rQBBwrmhpby7ZIrjzlde4tpQZq/sWw7v1osLAyw81bvx+j4fE&#10;2m/uYDnY30Jbz9NqaICnD6hh9khfbbkBI48SAGyHrXz1o9ZOvRytud7MTqr7ZQkg5sWkj/jt7QZj&#10;aEq3G05DEOWrSBW+Aggoi/lqxrKc9Abt9tUQNYcJOJY5Ly1IImUHUsO6NJuWKAMCBkbJJye0DRfG&#10;ljU7J/BmAEWUi1UPNEujEeTmtxSZj+87o4IQSbUAmgtf5mGhNxEzh0UAhEDOZMQyf673Mh2QWzH+&#10;KACgI88gBhCEIaXnx+eX8xkxhK67Pxy2h12/2YYYWTgxJ06apRIFIoVNDB1RF0IMkZiFMEkcAcZp&#10;4pRCCO/fvdtut5vttuu6yzAkzknbCClNfH93f3u8+fTHRx2FzgOQi4Wql4NfxW6MiqnMZFxOKSiE&#10;Bwj56CnqVoEFIwHo0b3cmhR9BMDvGZQFkjv0eobOSFlInsPmnSSorzUVBABA2C3v8mxRSkTL9xSS&#10;KK84MaNf7ZDQksnMz0NmBI6azT62ME7VFfPJoYbbmDRCmk1MjXj0Hc0+FRdEhwXilBIANuqmx0/D&#10;ATLwhKo5IoUIhcWji6H2bg2diuS2Z6Dw6LI1VM9BsUgQUYQB5m2bWbgtmCO6sp2NkFtO9vKOD80y&#10;JtvM3yvtNK97II13N2C/wrjNY9aw6VUh5x9Y9SPX0n7+Jy/PVlNzJHtepYAAACAASURBVOLuYPZT&#10;A+AcJ1bDmO80Yq+BcNnR61fTGqKdP7cGawBEbAVqPGEOvc/RkoAYnAExv1VkWDVk/dUUL8ncx8s4&#10;Q1U7NWX285MAxCzm/UInlaFMRNGmIWM59yi2vqq5qFdT1hyxHN2ZGQ2WUAcRkYnTlIbHx8dPnz8j&#10;0Zt379/e34eu0+XMJYeYpCmNoyTe9H3fdX0MlA+vkqAgBhA8X4ZvX78+PT6+vX9zPB6QqO/7/eHw&#10;888/E9F2t6UQ+r4/Ho93t3ec+Pn5mTAgKVMGzcRWGGEVjoiIsy600NhgQUvtzcUkLvkvlAirYtAp&#10;9tT2zQ+zsF8wWDE0z7XmteL1HweaACAC+VARx1sA7FhruYGlqYpIsDos3HAAu2niEdH5dYDmXb1q&#10;A59K1a7sCsZS4bi4s1Su+g2SajryB5zDgmzNcqszAacKYKxzIttwEjMSqssh1mRRCQAsGycmZiDT&#10;lo4TAgUNZQPH86ja7qssD8+1/Ra3ZoHVO1piFmoK82iFmuA8sTYBCNa1NdUYEL6pazLZU4MszLtC&#10;DS0kzeVRuqSquWtuTTTDdrvHUxyympaXmzYXogPVAirCxa8kW3sAmflXgRsOPCwqCCxmZ3lFVYHb&#10;dJ+VAaHKOuTVVHwinGNJmXkcR82UHDDEEGOMm83Ocs/4MRa/ssC8C40AomWxQMpxIQ2UKZ2W3Q1G&#10;JM0USSX1k6MRIiRGAp79Wu00oWmXWZyUZ/KymPGJ87qAkuHKCjT5aBGR4hMnEgBmmabx1w8fEoiA&#10;bA/7w/F4c3uHIVoWp5F5HAYSCUi70GGE7XaDAIRCSJIYUFjk8enxj48fT5fhy5cvaZrub28Oh+Pd&#10;mze7/a7v+/P5nIQFkQJBSoGoCzGEqKfYJFfFFEQkQPVhKiorkalWp9MCGh4047Emp+Yxv3AWBGns&#10;3Ikm9Ma9J3OowKiyTOWZqmGrxGGeLGxDP2DeDsxqQ5Z6rdqUFXftc7lZ5dmvh9N9hcVlHFXXb07f&#10;UA7Se4y1EWV+pvQixMl5wDIAmd0VJWKNMfrnddkCwJimAEFEEnOViwycwm5xUGZVZTmXJTaVqSVE&#10;Kio7+1518E6tW9VEqq7lunP/Gi9bEvHqM6tvmczwD8jCEbd81wublY7WFJNXGlwFezmopXBdSsdX&#10;Lpk/SP19rqAMsFySuaNX8L9+x9G0SaylbKVZs5vNMZ5YQGAHw3k4vZwAgYAAYLPZaGw8ZtVJ1zYQ&#10;kXADhmq4XmdEfbbSk91nRCQKhKTOBsSyx1m8MQZjAVjvtwmzwXXZPDAvV0Dbb8MiDD3fLFam8m9m&#10;5peX09ev3z5++XzYH27v7443x26zASQtGpMmntKUmDFxDGHb9TEGkRQDAQsAE8iQpmFIX799+/23&#10;3z89fEKKAfG4P9zf3b3/7rvbuzsKBIjHm9txGvVsaRIBBArkgjWKm6Ygo5RPq7nkayF81bUUOVIs&#10;VK+qGvG3zV7pJJMdzKXYoDBNMIXGsbvl4qr7WF2hVKSVDmQeAgAA8OKgpe5fVwq9l6w2NJxNQFVe&#10;Zq9csVSM9uaDdKsH+0xsOn4CHoCM2yL5DCoRwWzyFvY4838DUqTW4PWnvutZOJ9VuOZfM/iISCsD&#10;ikAIBCDMonFkkLXOYnVem+wrstq4DxTtmEuNASxXPWdVI9couEExrBExFHlmTS1pC90ldf7Ntq+a&#10;Aq/JpKajds00Rsh1Ybkimxc06p/0XM8+ifun3l1ekX+rwFyD0ANgHwowslT/1fklkg+KqrGSUtLi&#10;IrADDS1NKXVdh1ZBeXaIgZtHO3e1pA0sp7Lsv/lil8h9mlKBuVWcERHEW2HlV8nxkyudYt4mam/b&#10;jpseZC5OCShpTgCAQhyn8fOXr0+PjykxhfjjP/202W77zSZEzXTAIjIMYxoTAfYxxK4LRH0gRBBG&#10;AgEUZj4N5z8+fvz06dPpPIzTSDEcd4c3d/c3N7eH/X6723V9N3ECxL7rkSgxn4cLIIYQ+76PIYqo&#10;H6o48TFXskJYTyy2XLOwUIlWiHmFZtpGFvSD0AiebDuKb0pb01pYr4u+a+u3HgWukj+aS6OsS/+r&#10;1FE86AJxW3Tll6mIar8GZ6uiYV8i7X5E+SSzEr82ZFEtEMpqnyWfdmfutnlHx9rWUC8AF98vul+E&#10;MYS4xKa92dBE83N5yqAR2yYy64cZrBKntemlS9OjfVa/nMmeZnZb1gwzi2nPkbhZbGp8elViGTUI&#10;FTGtm/ZeRNnzzIxhRau9hmc/ED8c/+4qiq414p98pdPXr2svNnyhUR2qJxeM4NrD6Ar/6GN6PLPv&#10;+xBC13Wn00lE9GCHUazILKuYOftmNd9VCzwiBid+qFHEIJMzEhGFaFvcUGfdr2Em9YM1HelTImm2&#10;4qAcyMQ53+g8XreYAYAAubg9mOE8nL5++/bp4YFFbm9ub+/vtscjFqfCOA3TNAozJw6I2xj7fqMG&#10;GhKgABGkNHFKLy8vv/7yy8OXL+fLJYQOKRyPhx//8sPdze1ut4sxshaPoSiIfd/DhMgM40XV59CF&#10;GKJwPjnNcyGRrN1odITNcqGNgoF6rf2DlOmX6nIFVTxOzZUrvxorJiIoe10i8x64gf0fASmf9zKi&#10;tQcciQOAJeJYIX6nJ+Fa1wEcosqkV2Cq7d4cAG9P110fi5+LrKEyu0TgmA8MgYAzK23Fze/WfeVd&#10;FcBASBDiaq/+IIKlAfMsQPsVf4AMkTk1h/n9h+ar9dgYwv4xJ0gr6rFx+jObzTz5n3xmM3uskcMr&#10;kn/BppcfbC3Rok3rRRaGxWpHfr/+T+mjurA2oAAA83bOLIzr3c7FxnZ1mZawhOQf4Q5o24Zroqjc&#10;NhUhv+LbNHnfdX3Xyel0SikdDocYY87o3pwfEkEUkJIlnuZpKi7p+b/yop8pApAQMITYxW4cL+1m&#10;nqmk5Q7lMgRLSWYf/BjL3hdi2R7TSROAnCK24BfUIHh5eXn48uXlfIqxv7m72+/32+0udEF10Wka&#10;U0paWKzv+/2m7ygEogBIABMws8RIaZw+fPjj4ePH5+dnZp7GsYvxr3/98e7+zX63P+x2umWf6QRA&#10;nXF5AAC6L6XpBLFEJCPkjUwRYUiS04cQNktDAHCeplX699fsnKk17+bhtZVbEOeIap7WcgamuLMw&#10;UNDCKFTO7CkbXZ3FmQCcMFgCPz+2XFEITZaBVf6z4CcrUchFYAOslfzS64o7qvKaIFBRCWYmL3Zm&#10;EyCbg61lCXYTi0fuGisLkCvLIkiExbIwP9X8EyISajbGPCvMwVjFQiDrB80itzIVFdYypvyhkIbd&#10;2NWcz7B3m/nQ1z1/xFxet8qIsyT6JWF5JPhJbemgpqxVEWVdX6fRFbHiX7+KxD9txQ0p/62eQf/R&#10;I2epCnlp4UXykuP/IzKyvGLI1w8SY1+IR89sdsMwbLdbRAwhMlvKCVmgWh0XWFYjmb6lWU9X0Vjg&#10;zweepymf9Aa1y3XHEREsTpp0u7vSrjzSAABdX1Wnasc4oY+okXWAgIl5Sul8OX98+PL565f94Xhz&#10;e3dzextCZAA91iLMiRNPKVDY7Tbbvo+EyKzJOVEAUaY0Pr2cv3x++Pvf/jacL9vNBpH2+/393f1P&#10;//RPXdeHEIPVIgPoYpQifkMMmCYAk6izrqooDyGffyQIqvAuzX992OTLdT9IS2ymKYNTJf2avUZa&#10;nv8qoIVhFpGnwgtJz+8Ui6f1guTPK7O2HGDFQLI114IFHvKlaLl2NYStg7Y14vCGvuXmwqLqWVCZ&#10;ssZGtmUO5qESgaz3tCoULGYNaqVfmFEQM28sucigxq//IGK5kyvbQjVCowBTInQLFmCuBOO5EtRU&#10;Yje9C8t3VGGh5mVNy6Z8WRYKG4W57FYwuxCNDQbayYbyisxEpoOZoVrMNIjY3DQwLJ99/WpY/zxT&#10;kNUPVY+93EVEC31Fky4Ghgt2tqOybafQVM2aFRkoBVN9d7A2dzOYRT7VQ7A5Bf01hKhbI/qhoFeL&#10;IViz1kKRBIWywM1pQZeUiJWl1ORiaeA0TcxaDVnjXDNtKw2RVgHPQzMawMKADbXiCSjLFch2FAEC&#10;5Aop6moTwInT5y9fP39+mFi2h8NP//wvu+Mhxgg5nbOw8DiMnBIR7rbbTRdRXXiJBTgQosD5cvn8&#10;7evPv/365etnIhKW/W6/3+//5T/95/1+HylstzuNtxYQpCJ+AQCRWRggUgghsLLiHNIKJJ40BDU5&#10;MlIQYKBJUwPYzGJJR5bFi3006i1CxxkrCgmUGm4rl0ARQGCMr1ijaMq3UWxhyrNGlZXqwjmVELBk&#10;bcaiyPM0JRG0POWKLbQIsTzPSFiszxkmEffdDc2IQ9x55FlKidulc0yppl5csPssMKAcLta3CwMo&#10;686FjIPpNUvsiphGpv/Hkq1cX8o3XeCcP9uOAOrZTtOU0hSQEDEQRXM0lxwbGjqp3B4tW6VuioTi&#10;oAghIM0OMswSXnc7Ml113QZKCQEVNtqo998pBptjN+CNA8+43YWmmpbAM3M+Ngc27UXfvvW7FGb2&#10;q4cw/5p1TeULWA4EVDzdT5jmSjR5jBXXqfoqGu2KjmMJM0xaN8Ive+dYTHYQ4krqpCJXsgj0ZKau&#10;HlE+CasrXMHShHcseb9NqcIg8Z8bBULZe2loHrsfqR+yCi2rhqebIpYiTD/oM9pp13VFxoBIykwf&#10;WASIQCRpunLdFS/LckZNCIE5hUBdF5RfMYhm70fSTWzlbRJjTCODot30qoxPyZKYtYSYkEhHyAKE&#10;kCQR2lwxIiYQpd4ppWGcHl+e//7b70T49t377WG/2e5j1yGilgUbhoEQidO2i5tt38c+pZEQhBPF&#10;7nIZRpBxHD8+fPr1t98ePn3abveE2G237968/eEvfz3uj6RRYgKUeY4KDSjaUUAUYCYMRhsijKL+&#10;joSg8WKFVDLBCoCQAJsFor9mSUOaME0QWLGQm03l1DjASspIk0zOLaH9anZH57Bc8N1Z8cLyEwkA&#10;INcEaTF8zHMSjjyyEK0AQ+HY87gxZ0zJT6iscUyJMg9Hoqzu5KO+Ra5VbMeJgdyJ6dF+dRSKzczB&#10;TAKu7AxlQezuMCKJJAAkjGXK8iIDkBA65ZwsDJBM8gEia/GEknBnFnI1c5Bc6QNBIHsJAAUgaTCM&#10;iI8iq0wea0LHpmFjgQLWerdxf93JpDqFtQoV70vxO2MNBu0DEWlkwjJvP9ZJ+5d5hLDUVjOh1U5k&#10;aQ1LNmh7y0SUl0lN70joll+5GQKtMeXqkpqOa2CaZ72AbCCx+/bZc/nlA75NuzUv0IJSEVMOsXmr&#10;AU/KSijHBRERuJIl2tgsYwpTsGVwFUjrNLiibV63MEV4oRDMGLNId1OvmuSVzdCwGEAAOSQ3xrgK&#10;GhKCMAEwT+MwtLEh2dOgRTVAgFWe6XExnlLcEIAwiCYzI6AQ42kYPn99HEH63e4vP/x1dzxutxsR&#10;hBDSOIHAOAzTlFBks93uj4eOKKUJOEWklEYBSWl8fPz277/8+8eHjwAggIf94ebm9ocffnj39m0X&#10;O0msFaYVSMwMcNbi51mDvOCB8l+RbD0JgAiDwKy6IAAiiyQQkVxkVy37ojOzVhJDRCJgZ54CVJtP&#10;WJYGQ0uHRiertIJusdTsGAEg/NmqlJxZsbozK4ul+I8IAvBsJGRSJKTiGRBhFk1yLTOS3RqvidbY&#10;pn1dMgEj/vIYemFsDNY+61O10qy9lPR1UARyFpsOXXpcv1blKzw7JNuviBhjlDRzzvx0Yfj8Si4y&#10;rGvAFPCqvejmed+H8etrTGRus8VjJaJnFFzxWTV3GmqbZUBt09hXD4NHHKwqGgSg5l6eJM6z7HCC&#10;WGNoITsMnkrGlPXjAVjFVTPM1ceWiQmWEsjfbNsp+ukq3esLoMGpNipdigKgVYkAtaS8HzcRaAqu&#10;BrbmMsJbfcZmqkyibbe0weIN8VzrqwwYsSgcpX3Cwj/cssyqKyIQkdvbzq2VZY+IaJ6JkRMRUhdF&#10;Y34AQGAapvPp/O3x8XwZGOj2/vZwd9N1Xew7QGROMKbhMpIgimwQu36z7TeBcEwjAGxiNw7DOI7D&#10;MDw9P/387z8/PT0J4G633e32x/3h3bt3OSwCEbR8i5gXaBYqoEZ2kQ2GruJnJuWdPieTJPApWayU&#10;DVyRAZAVGgxInIu1k4gkSFYkGsz0ALOSKh0IKoqtdYvZDru6cGCxEGyyvCC49kwmhgylpKQl42x1&#10;ICKFQHrsVKTCwzWQZgBcGnWyjCo1AReRhv5FcEmYPOO1Lq55aJaQ5GoLtVzxTMZG6l8UkTn3T+10&#10;KaiSuMRCgxFdm8WJD4BVx9euZVCWcdXZbefwZVqn1HnPliD5m34kjYLgvzbypsEROC1J6nAyT2qI&#10;mjwwLYffELd9IGgDSxoH1BLVXsg1DS6Bt2H+g4J82SkWTR+LWQFrIL3SppfoStA5W0kZhf8JALz4&#10;bTDsB+Vn8Jp0NL1JRLIltRAkJo2WY69hEC9dpill5VjQ8zkRYU6JJ0CIkQKSaueAiLk8mEGiYAlE&#10;ihBYkpTDCMquP3z69PnhYUp8c7x99+67zXHPIWvviZlTmoaJx9T1/X67ixQCBYFpSinGOAyXl9P4&#10;/PT0+2+//vrrr8y82W36rt/tdj/99NPhcNjudn3XpzQREQLylHyakmxjuG0qrSVlzBILKgFBmBNz&#10;4ITGxIFEgGV2RAsVvBt6USm9mJYqx2A+vi1qFBQjRooUoWzrlnYsB+YafSuY1zYVmquJSbEmly9f&#10;kVWSPYQoWghSWOPolH6QCBlzpXYbtbVjMtK3LOaGWXAwXzuyGXKzHl9ZoQXVSdrqZ0ulrTIBrVm/&#10;xCBLrEqGMXMoS5vqkoyzgDFeZux1RkGZXReG2wZoKctQMyxxdov7AG1PVZaHw7pDxGmaGpHQoGl5&#10;kr8RKss2bV6XbjQP/FJOGELNmwdGnSJYs/7MRUr5tYZ2K2HipnZ9pDjn6bIWfGvLuHt7eKbL+uRQ&#10;M65rQsj3srqMlzSNC3HeoM73a734HUIDyUOFtTa0XF0LwPxXQmf6eMhxEVW4XGPgtHJQPSpvT3pV&#10;yacUFLSU5oCSq49kpViK8ynjA0QAksj5cjmfzy+n07enZwjxzZu7N2/e9v02kSRhYNHK010I266D&#10;ELddv+0iJJbpwpKgo6/fPj8/PY/D8PDp06c/PgYKNzc3u93ueDje3N7o5zyPAgSkPl1EK1Yo2ade&#10;PFH6MX8n0ATokIrRBsIpMZEJGKrDZNFFtXiuqoLXyt0kEEQIOTUOAiLGMI5jwS0CgCbQNLsYtUq2&#10;IAFKPbHzE1C0Xn/4DEvmvQJZQ3VQaI+IUr1b2VB7+ToTzOwXQyEMMnNbLfwjVHCliJ2JFtHsEusg&#10;yxipNmczSq+LDXs3R2tcF7FisnsW4mZ/5sLJHh5rH52fwIJpsUR1myrG1YrI5XZsXAAQAQHVx6Pr&#10;35I/lCFiG+yfxzb7MczAXGNtnik0qoE4Y2X1gYZzGXs1RraUOoaX5k7zekNqzcz5s0v+GU+aZRoI&#10;AFmrjOtSdvnE9IlqULUF08xoQ1K+U4+TVWHpsQS1deyf8Z02csKja4YKyi62q0dgfxuRLNmbwqox&#10;sEyhZCSTYr40w2kG6BuEtcuQ1EzQNc+tH68bYDsJ4nZ3tB5wViCtUwRhjTugICF1pCVI6stWq6pl&#10;ADk6DdLESTgN08PDw8dPn2K/ub2/v7+/7zYbFkjCzJLGYUqcpikgbrq+jx0I9ERY0m6Ejh4+P/z+&#10;8eNvv/yaxnG33apcub+/++GHH7uuU+BBgDkB6u4rIKCWGa1QqtsparKCiMoMY/RK3pgNsRykU04p&#10;MCcpDqKyEBxHLn9tRnKChizlCQCBEDTHFPYCIMwswIkFhMxoNL5OhRLRTbcGXYj1KUXbqGleKm6z&#10;XDtQk+LyJ88cls8RERqrZc3JylB8djVKRFUgrfaYRbVndA4YP1mrypatQQYuNkBBUPHkWRgFl4CG&#10;mjrzWhKHHGXFjfMJFc4QEHLosl+wPhZUzI7RPOgiABi1LLaeolIxY5pL5pCNvVJPmEeBVFjwEznj&#10;yKvYnhtem2YbudTarh+eN9mwBM81HNZ+bVZaMxwvvRowijicjQkbE9KscWAZS9YQnJ+0QYoHoOlu&#10;VZwYHQO0q8JD3ojY1e6Wkzg/L60+hI6Be3ga8Wwo0rQu6jbQm+Z9ApgTenqnqAfPOFrTnT0Ci1g7&#10;EVmqQYYHP6FLtGCZJyIKFpMi5dhAUSc1lW7WBDEHlRWVgcC0sgIsUfbeMEgaxufzy8vLyzCO4zTd&#10;3N3f3t13mw3FDjAIyDiNaRxSSn3XbbfbiLTte0hKbJJ4Gi+Xr1+/vFzOv3/++Pj8xJLu7u9uDsf9&#10;bv/2/s1uu91udjqWaZxUxkhiBECRVJe0yKGPWZEVQ6mfUkMMlBTR4rWrJVGVFwLmwgSGZyLSiFVd&#10;KPlmyC8p8wH1dhCykIB6BBRC4RySnomQwUIl0XOVwqJFZokixShtaX7165InLB9D17TqKMWuQSx7&#10;ciLFp6S4mwMZytvIPrWYFcuoBGO+kQsY2/t+duY6BbMeBABzqc8chi4gc47WTNez2VBQpJJYBQs5&#10;VcvWb/H4zr5uW1AsQoG0wpjeyYF0CGDZlCtBXW8iVb4F0C2YKtTYYYYBDSn5QJanXZUvKg5wESnk&#10;J1sW+/w+xMvghCK0/Osmday1VW6rrVkxUd9Xw6klb+tly3teaajMrooF8D2iO0Ba7oMpzwvWOSP/&#10;mnhoHvbT7HGy+uQqBpZNveLQbkVRfZniY0LCEKU2DQBAmmVG13Vd1zWRIA1OTDY0nS7vkKsc8ae8&#10;w24YMHrfEiqPJb1StuwJBVTjxolZOJsckPGVy6apnp3dFoRJZEppnMavX58+PXwahuHN2/fv37/Z&#10;7/e6UZNYxmkahkFEiGUb42G3C0QgEACTCE8pibw8Pf3+228PDw/Pp5fQx67r3r59+5d3393f32+7&#10;Tdd1KktUQ44xanQWavh6GalDgri/iFgOc6DOlIqSeZdU6kg5Zg5ouaLLissiJN+dfdQC5GI1xZ3I&#10;LGaoVkbR6FMMgAycckC5SDFSVHoLmALsJ1RnHxVybaehI08t16h3TZVp7mNh+qRxdeQCSvWDhgtC&#10;YUoiwok11BsKN/AiobitKm1b3BJUnunRnwVbVRviKvxStPNrp+796w2u6g3OwgNxFmzN4vKs2zcb&#10;m+XdSO8GbhOhninn7ZmCGTeFWd2w5tVhQGvl2WfpR+RNkOVg7BkosWrGlO3yPi4bSINK63opkxts&#10;uKfdcc7iepZ6t8baERFE4pIArjSuak4lU/3wGzixDqlqIIeaXHwAd/Pka4NylzKFzKaXK9Uec9aq&#10;l6noNgaHYUgpxRjt/CwzT8PkCZGZtazyKiRY54grlLAO+TUs+daMTgobmn8n0uMCGeHjOHpFACVn&#10;DNZD9Lmk1zRl5JSdoBz5jzCldDqfT+fTxweGz5Qm2Wy3d2/e3N7exxiVVXFKw5i0fSLc9v02hB6L&#10;8cRyPr18+fL5+fn5dDp9+fw5xrA/Ht59967bbG6Ox9vDTRc6NUaQAmZOpOZUChhMXTB68gSjvBLm&#10;pZf/z8zN9rTYoxU+Z5wa8g3J89eKPJxgzx2DiICeM80/kcppfVMAIeUNai7uFSlexwqYWbWHYuLo&#10;/KF77FWyL0At789DyOql8VBEEMonwziHJ+gwiLKAIRYRZIE6vit3BxWyPYRYSgOUsZiyYC8JrJny&#10;TRzW0nWMTqlSU9EsS6x3uxsuCrPphiZB1QbSeMt5fx2zSYSIVaoYY9xGKwb9cnq8900RgSU9dovH&#10;KkisMj4WRF897JGyRBPUBKGffcDfjEcnopaSZtnIal/6Mxh1ERalr8qS7WYiO1tbGbnYzJjRyBWq&#10;X/nwj1xe2LwiYypJrMQm+dzyKjb0yqeHs0wSy3WIxcU0DsOUktoEBokWEAMArenSLDl7rAkQhwUk&#10;BXUVy/rHUeMFlVu6c8vTNOqWhseMgJxeToknnobL6SUNQ0oJSjgWIILAOE2J0+l8+vjp49Pz8zCO&#10;sevevfvueDhutlvNiJVSYuFxHDNXRAgYjttNEN1QT9M4nZ5fPj58/OOPDy+nU4gh9vHNmze3d3ff&#10;f/89htCFSIjAELRSRqbJVuEQl1/dCNcUGjHNhllkLs6FCEREIAjF4nBzob9gSWKWMYaAiKE4Qu2+&#10;y2khAC6GBS38QSQp2NnFUQ525/lUWcUsAQAQBUlYNMVwo2vQLM78pFXTumRor1C4f9HQCwAOVZrN&#10;RACgxDDPzFfJO8vagAigiZyBgcGHLNmmd3WVgbcyqQLb4uhRoZGcZg1JN2BK3AYiquRGyRq/GkF5&#10;BHr+WbNTKPyWvHGpxa6grlZA8h5M0SmzgLGT9hW7WXJAUHmF9r49ScXjbFAuwZISTnptdlteXF5E&#10;Z7X516/p7Ho1hsUCkla7eWXsMxgCYAV88iuOXhcwOH0nf7WHuMSeQVH3YG2fbVVAWpt+T8uvotev&#10;a3QzB6Q4w/PaZYaOsTEsA4khIMA0TUSknFoJLGLUoxuhXFpfznMlP/xmxv2/BUb0r6/DWa7Vn5ZI&#10;IKJhGLquU3U1hAAIDDBexm/fvjFPabycnp8gpfP70/7mpuRUBxF4fHr8+ZdfBFLitL85Hg7Hm8PN&#10;4XCIsROBy+WCgNOUiLALse+6yzB8+fqw3Wxgu0GAy3n4+PHjw6dPl8vlMg6Jp7vbm7s3b47H4+Hm&#10;uN/vATCEECiYRg0zRRWbwOvzYszRbTuX2Vf1CIVVS0IqZy9FAKRKeYTOaMkZKtzWaYC82U1INapN&#10;2S6pWwQgH7EsAAiUU4kCOWGpzipRMKaTrRrQKK7AjLVNlsnPNo516NfowU/9kiw8+yqsDwAAgP9/&#10;QJ0Ws6ehfUsWr9daHeRydsJJkrjLQ7WEpOZ44EBCd3i53BdQ6dIospIjwl0MhTvHhuV/q2thVQt0&#10;3GYGUtcys+VMEACo0vXbUvRhpn5xmtVZixyQ7KfOz9nzXg437LtpfMkKSq0hAAAgAElEQVTi9ab6&#10;T/zzUm/PeEiwkYWuHZuDa5yoCTI2zl43iOiMktLg3IiKnCo1AoClFcgPcCUjwQuhxYqwka6Oy0Z3&#10;TbQsGegMai32Vt6tuENNJJCJ3daS/+vv01wcDEIICZKIDMMAALoB46fGXvTbOfah3EQA390MlSpl&#10;r0ia1QsRDRkluFROp9PhcAAAEEbMOxLCnFIqQQwJuSTgAgbBKfE08WUavj1/3fTbd99/dzgc+s2m&#10;C30IQRMQp2kCQQLqY9xsNgRyeRnPj9/23ds0DqfL8PDw8Nuvvz5++9bFruv7N3f3796/v3v7Zrfb&#10;YbYHkCAokyiBOvM0lv+yPIHCj6TEJ4vk7SIxBlCpoiI1YSDkw7Gkicl0dnJEmHGLbHaoDMrJxIrY&#10;y9lotNWZW0AWbpIPKxMSa4TImCTXuCLEKVDMVlFeeyAgBCXyaDYl8gxJBgQLLlYUr1cYziuOVg0+&#10;9i3oMMCzCyg7JDWBNazPEm6xnWANNDsza620ien602uN/isbvYDUjDe/12BJatWWigfdVisFrdGX&#10;/V4ldxfaCadoKrC1Yp/XpGuRKQt+p+3KYsO8eWzJ8rBYlNY7lVRUxqf+QeT6BqUELzVoEh9gXcue&#10;Br9LOM0dsnqJVOvWtzPLLZCGCeqv2diS2WSBYqI1E+TfmgFbWGP/yIhWUFd/1ndZBLwu5n4yC7Lp&#10;y+ww23/SscQQCel0OmHRd1ZQVG/n+AGuEpI9nxWqK2J4OdBVFiMi0zQ9PT29efPG3wbEvu9vb28B&#10;RNJ42vTTcOn6HhHGlIZxfD69PD4+DeO42+3evvvu7fv3pDmdWC7DMA0jEQWKXYx9tyGUABCJosjl&#10;5eWZwtdPn758+zoOI6fp7v7+++++Oxz26lgDQkIiLZysooMZSwBSMzBPH/nfkpCxvYpXpHBJsMMw&#10;NolcuI7GESmaA2YBYw4xwewNzmJ+ZiYKUqFVtPZnG0vvJE7jOJ4vw3k4A4HllwqodbI3Mcau2DAA&#10;YBugKr+whFljJk7doCB/pt5Pt5FTEdsA9TpaQawzZQrKirQsNGWnI83gM/8pkZ6hUstiVqR0KqZp&#10;0pW2NBfg+uXVfWvQ5i4v3rVKV9kidKw+41Tq2Wf2TINz1rZmV16grFO3vUJq/6LuwUC9hv+B9dmM&#10;EwHAO8dsVJ4JFl7f1j8WZytY780OiixUbM9xGmFmPykL8wzLnmleafIrNJBXZOdOtxqJ5F8t5KbA&#10;XApNtfhsZmiWFvLar767VWwsJeIrX5eQzM8sAJgxhnNyAlwoE+K0Rb3pg8REpIvdOI6IM2/yyDcI&#10;G8RCNa3guAw43OsDFcIryKv2q+FL8bFYy8/Pz9++fU1TyomBk2AkRDwejypgAspwDoj4fH759vXr&#10;y/lyGYbYdbe3t/ubm93+AAiCNE0TT5MWqiSiw/4YS5y7cLpczn/8/vvDHx8///GR+gBEm83m/v72&#10;u/fv396/jTH2sUfEHCLGEAKRxkczmyAQqDKoijmLTAvJpDjv2ZbTzsQo2LjCCvOjEksrmhcn5NS2&#10;mDNwtQJGdMNZKpQ2O8yeF5uaRSXmcxzH0+l5mEaKwaY78YQIzB2wwimYnTzuFAwClEAyWTEhwD+G&#10;JdhXPxARF/nXcImaZqSkmMO8ArI4K6deQAAoJ34EkBypgFL4ogCAimlgISkixjE3ERUwhT0iQKtb&#10;N4vLK4Sey/m3liNajs6vYrsjdU6T3GZZs2YS2Ix7xjulwYRNZsHzCwuFsbEDEFCYoZzrQUQMAViA&#10;k6K88loASC60vD621ctLTo8d2yJaJQIT2uiOnq6y4+ana9zZS7X8vFjmivlBmwOU2QWu86HERdlg&#10;f+3MbQbD+GV50IvqpeTLfw1I15p6b0ybKosqtw7VWsqqGZasTl4P1n9K66j3NLU91SeT7HmFc0qT&#10;mA+hPGA8zkeONY34pmyM8/6xKTF5ZcI8IXbWLA953R2KiCUf4zx+5VEITBSI6Pn5+d///vNms3lz&#10;fy8iY0oUiJG6LrLwJAkoJKTP376ezueX0/nt23d/+csPIYa+7yeWyziM5yH2MA1DQNru+k3Xg4ga&#10;ISCABKfT6X/+j//x3//7f7s5HL7/y/cxdHdv3/z000/H/b6LoQsdsyBhSqyZy5kZBaaUsLhipGyX&#10;OJKSMhajQX2EUyonqApumaeCoPIGgZ69z8qsRgaLoiajMk+CMRokBDBiU9LhKZW5EMhkBT6MAAq7&#10;N0cNEY1jCCEQJyKKMcYQEQEEuq7v+z4qd8p5ZAiE3bgRUQgJKOfUAD0XKwDoKlDkVNdKx/mchnjm&#10;4NaREolHbV5FSoB5PSKUBNGIiBhSJilzm+uaVceRLjFCJAGeVyJkDCAAkvebQRJBs2kwpytGIpzT&#10;FmeNVgyV9fKBsjwq46v0ay+If8XJG88hMe/H5KynmodP+VuMISUGKJmiOAGUohqWTbnSxEVCCJqy&#10;Imft96W3TCgX3AoIBpx3jEAAkChnMk2JASgEkuz/AdWFvAzzs2hC2N+nOq7MJCrWKUBWZbV/wEc0&#10;gZOdUExCw6m48GWDTYDMkERNPjorv85udnxWSVxEEMDrSlBZlDb3WUewbTKU+bHVuXe7O6JKpUKS&#10;JkaX1UmEMQeIST6nQYSEXLJy61pBBElznLKdsVPpQ4QikCTn6UrOOhbmULL+bDablBInhsTAEoiA&#10;JWLQIl1eZl+bMlgGoAOAaDUtZVWBAJLkyhAUdB7R63RFJ9C7GJBMKwfU481YMhjmww3TlBAoUDcM&#10;j18eHnQg+/0eACZmDOE//1//0vX9y+n8+Hy6XM6ANE7Tze397d2b3W6f82RwChKZ0/D8TCFsNt22&#10;izFimjigCKdhHKZp+v33P/7+yy9IIQFQ7N5/9/0PP/5we3OrdfFA0w8CAgizhGAlDDBlG0WSyo4S&#10;kQWFNPTXkgO5XCmHkLJRoJSDorOQQc+JMv4BYogUQgQ9MYMhFBeZslqWIqDyUSFBysmXvf7l7hAi&#10;l8OtmYESdpt+J3u6hJeXF+k4ydR1Xb/pN5sNESb25UJSJgYDVnKWGQEBG7UGIgDOPjoNogLKgVMA&#10;gJSNjcpqz2Drc4gIwkwzX0agQEHzYpvGg4BAXI7NK4vIBBcKjzZklNUuGhWhIfLaawgUIk0JRBAS&#10;QylCAoKiR4AL19SIMWMU/kJEsCJeiFKqWOrSSsKQjf48bYV+wKYeikUBVQEbgZRKNAUjQIwIGlMq&#10;IMACDMCxi1NKAIIUIpadGVvwzZpveTe25VuKtNRxo/2kjxeeXhTPNf8YXDEyzK7yEK5e7eTV8C+7&#10;aIC3XWgojGnJCqtenCDxv+IVGPQVH0cgtfcGzFip2/RdNCrG/BbOrgizeDSOy9wClEmzeh2Lb92P&#10;DmmeQYVWj1blJUeEiMlFJGlqS05a3KSy020bX4oYNm3IY6bBwxLbMwYNz0QAgkzmznZ+kYWRWXTV&#10;QqgtFdly6vtN13WAEEPc7/cxxvP5/Pj4GLsYuw4CPT8/H4k+f/ny8vLy9u3b3X7/+PR4f3e/3+9T&#10;YhC4XIY05Ywyses3fR8jgSRhCQHTODw9PX348OFvf/s3RDocDu/+y38JRG/evHn37u3NzW0fO094&#10;AjM+C/YIi13o3URQbkKWKnn3ODMnZuCZ3vKdIlfItCVERmLkEMKECYk0Fh81xwHkwlyAcyGo+cMM&#10;SZ1padYGBWnGP5YVoe9iCNsYu77X6s4ist1udetF/RbmjgMAYM3Naa0JgNYCmOVjVtGQATSkuSxN&#10;BiyVwwRAIAEERLJci1IMWionHDWJg+57VT6/lsoEhAsbLISqi7N2hNhCy3gpLArzu6L1lgIShmCe&#10;jJTSOI7oGNqsTyBamVEwdpFZVM3Pi/WZH0P0CrFn9Q2XsGZr2VNwNcciGbtmNTWjkWBz3k2nszEd&#10;rGN0UHp23IgBcXaAmQh+zTQ9Nr17mbcqh67d9Lx4lWE1cPo17Hts3l2VXsuQgWXvS3Hi52+JjRlL&#10;sPKKLGSt7yg36xxb+YHSnV+ry3Y8YPqBQQwRmchAK3BVe5I5S2PXOdYGHo0iiShcoyuPjSXmzTrR&#10;oyRmgSIiYkAIAKT+G8nOfcND4w8AyIH/YQ7TREREzWm72Wxubo4hoKQ0pXT/5l4Z3DiNgphSQoBN&#10;3yPi27dvu66bxnEYLtM0AsA4Tl0MMWi8LgLAtu8oUAh4Pp+maTqdLj///PNvv/223+932/1hf/z+&#10;++9vbm622y1zijEIz4srZxV05KFyelYIILs7MqL1GS2qLHUyvTWNJx9dAkTEQASIos7DHLWVxUDW&#10;8ijkksyYy9zPrYuznmzia2Zqffo5JcRisc/K6G63CyF8/fq17/u+7/3iKhiYiRlqym+Xp5Swufpu&#10;do8JgvJydfJhPsNne4NZVJVmqQghbUNpsWx25T/Wvafe5VFHXRMiIC7PpsKejwBrclQVTYSIaGH9&#10;UBYXMyMXFbngZUY04sqU1+A1DNDU32un1F+/aZNORGmaIB9qwuoUgn0WF2Cqd5ojMk1/sNBDl09e&#10;e96/aETpqbN50UcuLVmtPza/xIVhVmpp3+BodRQeAGtqNUhjybWbD8117f4/+mRZRJUAc9rNkpKW&#10;OFlZn9WIoNjysyotbltILRjlifbWaihgI7kNquUH/wyVTZjsGedZaoggYkBUGZNH0wAPOYt+Zk0I&#10;KLmWFArINE2BAgoQ0Xffvb+9uxnGy9PT4+fPX3788cfD4XC+nC/n84ePHxWq+/v755eXGKMwE+Hn&#10;z5+B5Xi8EYH9fo+AMQZCVKtlGIfLZfjy5fMff/zx228fYoz7/f6799//9NNPtzd3qnX1fT+OQzPL&#10;Rt/gUNdMtN33iXm84M/Ir9GdD2SU3eeMat0FQA0RMyuWlpOVNwhxPkgx+6AcVPa5tJDlEKJmbcvL&#10;x7g5swhIF2Ok8OnjJ03lRlpx0ltMtTNneYnM+lBh4rjMIwuQ90y1iJpuIBMRhaDptTLhYcYSqERE&#10;tH0bzCwdLeHYvHfv7CFnWF+91phnu0A0i5GJ8RwOwJimpGlY7Ul7H5EwrKf1aj775e/ZrwfsFf7g&#10;tQp/iaXrN00B3eGaVf7edGm0uNzDeAWhLS5WlJ25/VV+rUNqFBwPUtNLI3IsG439avArL/OBBl4s&#10;GRKXbb7SY7M/71vzyFwOx0O4wJ97t27TdLw/nYVGzCBiYkaXTkqy+oaIBCI5FRHmrUuDUEIAkWma&#10;AObqSWs7+SuCBNxEo9/tqwBVE8WVdtO1PY9xPgJeD9AeBCgn01CovI8IgBQQMQGkaQKSrotdHxOn&#10;z1+/DtM4fvv69PQUQthut4fDQTXr0+n08vwcAhJCF8I4DGkcd7tdH3WrKYEAIZ5P56/fvp4v599/&#10;//3x8fHu7m673d3e3v741x82my0WnwOnufJmIyGy2TLPo4Dz9uk/ZjICVBRVId99tm3XrGbqHSIk&#10;YiLRbTMEAPWXYmaUxTOWI6gENAWlOcFWZm05GX4YXK2mkMUMg4iklLfUBND2igC8IFvtS5ojWfpf&#10;OZEqRbX3Epxn7izMBDwl3dtFpBBEcYUAoDZOo88hlJ9BRDP5t+I4Ay/FBPfcw8clafo7nRqMCxOk&#10;0ryKdouMElhzBDAzTwlySYlct40d/7zGZj32XA+r9UdmzPu/zWVb3VnAFFVpZnmNCPHCbdnckkdY&#10;67Q4ie0lWcFsW+vFf80MrmbQq0vI7i9F8bXG3Q5B9ZMHeInTRk78yaJaAGzPe5/h6nD8u0vJbc9k&#10;R8Bsv2c3cjVwEXDTZCxsVaTl1kv5a5G5CqLKnrxkLdUrChL0fXe5hJSmrovTNBFh33eaKB4WlOMx&#10;7CnH/1o9o4pz3pk3HiMWE9PMQ24Wsqp8fTEodaEIExGQahWchDVe68uXLy+nk4j89a9/PRwOh8PB&#10;LPuXl5e+73qi92/fgkDfdfv9XqOwmGGcppSmD398+OWXX59enmKMt7e3//zTP7+5fxP7rgsxpSyD&#10;eUqq+zInMb+8Ux080CL+d1H1XPmkDae58qjrbQzDOSEGzTlPerSGErDxSDvYIdnis+00FxjpoF3O&#10;rAfEcdt8mUCtpkRyuCYKqKKeU2mqYJBs/yzXdcMfVC7OpksxZ8DksBKPRsAhCohwmibd1qRASCX5&#10;qX4tGQjm1QSmwZj0bM7VrM9Jy6MRsaSFzIhye0Iz+lynquZhFzoIeQ5SShI4pcQiiZOs8Rzr7pUD&#10;N8alG25zTYcwNmts37fZbvJzXaAFVghlBVkmolZ/auQKzgc+r56b9bB6ueohacTDEhceAD+XeseS&#10;MEI9315orw68EWD+pu9uVRwuJccrFzr3yCoYLUd2gZWrOsFyjpZnUMQ9DMW1kHf+s+amaj+QgGiu&#10;QgAArWaPKUmMgTlpe2s8fZYf4I5BeFXGHGL2cLFP9KwRK2ssuiQjApGLIBcAO97hjr6VSEdCtyds&#10;uAoxH+9N0/T48nQ6nQQgMW+32+12u9tuVSHQ/Dd936cpochms9luNiF0IcSAJMIppZfn54eHT+fL&#10;+fPnz6fT6e3bt/v9/ubm5vvvvkeXnAIAZEpKc1hPhyOAGY0iwpyatVbCfz2NAUC77iTrsi71uJql&#10;WMK/1ZNWLuWuyJFziJHYRgugse3afVcmyzRfgxO9Po5YsiG2S0BUeCTWWLA8lSxAOPd+5fIkVEQw&#10;Z+QIAKLIIjw1P5VxJyIlzhNF0pgAU9kgIAoUEG1HynYWwKhKhZ9pBJm8AedwoHL4AF1+gXngOeAm&#10;Q2g5823USy+I4ocoR4cGIohaL5UnTuUDW4WYJfby7GT1URpW6R9bsl8PPNQce2aMIlXhdFqc4/OL&#10;3FP/ak/21tIo8aTmb1qcmGfWy5GsCk+shZCtqOZhFZnkYo7nVbSoltMMze5fo+xVBnptFK88ac97&#10;PIjbmV8Vn/mO1VTPOr3SW9FYy2vW5sqq9vafu29eAGut8BcAlwYNQGNsKi/fUgyXxlYMRA8MlMZt&#10;gtR/U/gaJ0lRswWjhlmJbb/OyJG6UWZ3GEv0oLFuVwsIc1LhkVIS4Ofn54fPn4dpvLm56bpuGIYu&#10;RtFS0LqrBNjHrjsGBNlutl2Mfb8hpNP5wswvT8+//vLLw8MDEhDR9+/f/9M//6fD8aBnO0BEo5Ii&#10;6UEBMKwSkisfUgjDzdfMOd0Dq1zD05JKKaH5J10OeX+/FJ0sikbmoflXQqJQei1rzf4r+tjSdoTl&#10;VWwgD+TKGVupvtrnVYbgv0qNKJ5z/lvZjjm8zdoUmY0wk6Ilc7YI57qeCLn8eQgxdjFGLmVuiIhk&#10;rkWUd2HUwsq9YIFwcfL0lavhA81gbVqN0BFATyWpURg4JzUKIlOaODELcwFAGQvaShY1S1tnVSMt&#10;mokwGluyUESkEhAfl2/KQjVubq4iYokOdCoqOO5zDXd+STQwXBtJs/ZeYffLlWnteHtQFqLOd+TX&#10;rb1rsPn7/oOHwWMbSzAFXcmc6kFFtznR0gEUB1bZbsi6e0nP10Dyiqxy9JbZScZqFf5YwaYfiEgS&#10;A0DXdR5RVHLKFvwELXbptXgsgsRas5hGrBglDNPIQwIR6TrMpd1IhIlEjZsy7gKjenVYJE0Yet1z&#10;YM6RQyISAgxTAhCWdD6dnl+epjSO4xhiOGz6/X6PiCmlaZoul0uMURJ3Mf7x8Q8i+utf/rLb9JRF&#10;n5zOp49/fHp8fHx8fHx+fNrttvdv7o/H483d3eF4U07qZKOEgPzGtTc9PWLzwi+T0kzWkgWsUk6e&#10;oLIfhhb9DwBYTlYCYPGrGiDKbhGRU1KWrXORtCgjUhJRvxKVle7BWHKG1+7r0lOQyooAT4o1wcOC&#10;dfhnalUY8tqQ+UlbRHp8NcuZcnKeszWiCwtFBPMpe5lwvAxlKolCiCGEoAFvmKX1zPfFbP6yMjUw&#10;TIzFASIyV7wOCpGAzkixh5rZz9Nqa4NnOoGcETQvqxjCNE1q0KQ8leI2M1s3rM1RSgm9EezYiLEj&#10;PfvlwQsh6GlMfS56FmmLvKEJ/UkJqNk2MPYHANpT8+KSvOyv530Nc1/dvW8aWba5utKuOeIaQeiH&#10;80qP1ySHf9Fxh/zZomUaQvFmLy4EJxZfwn/0QiyUfEX3sXXbYqPcsqnJH2jeHLjGzvRX9Vnru5ZR&#10;arl+vBOM6vj1lNIwDJvNRtMw65MhhMQyTdPp5QURw3CJIQhLjDFlb0ASiahpqQwJCAh6ake3jSze&#10;KQFQkkRIKU1TmqY0ff3y5fnlsd/029029jGVwz6E+HI+j+O422x3223f97/88ouIfP/+uxgic7oM&#10;wzCMX798/fXX315eXgKG/eHww1//+vbd2+1m0282djiimU7MRzEyyj2iVrkJAGjVd8gcAcEd1zAc&#10;G0tCdyvUwfSIWhx93pM22zefxAQ0Vs4iKSUsEI4pcQEQ1eYQDkR67MlPdEUtiDb/Bsg8WAHbSxSf&#10;BXJNsrp5rGjPE225DwC5FpnRbP4KJVgiH/nP7TDnIG/RGdNz+MySEiIIYBqZmQGQRTTvw2a72e12&#10;MXZdzJmAiow0JM0rnZlzic9CCVadqEgdZ4Xns9IaGj4rbY5Xl5C5hRZOgOom1pzlel5tmibV8ACy&#10;Mw1K+7TwUa0u8yUTs+l2aqKU862wEqbsObLNWcOmDV8mdRomMpNOvVniedwS0CXQ135aSjhxFpLH&#10;kUkv42h637DZCAwP5wplL4TB8lrF/nJE4sJ8/UD8A96mbl537OMKiq5A5RdhC5Kzfq4N6trApdT9&#10;NJrRXHCmkCJiSpXMNor0dWK0xFbf99vtVjNKEMW+3yRGoi6EjjmN0/j89PTp48f9fn93eycsp9NL&#10;DB34sFoUaXPOAwLESCxJY4deTs/fvj1++OOPGKnruu1ut91vQwy61TEMg8q23W7HKe02G02xfDmf&#10;x3F6fHzsu/jt65dPnz5fLsM4jOM43t3ef//d98fjvpxusUgKQzRC2S1WrIF3cyzUGq8GiTv/YXPU&#10;rIWC2VZNNDkEa3Q4w2DPlMMwWKCSYmV8+/aYtO5IjhaCNI6bTW8REI108aOYTWPDiBROX8iSmZPF&#10;xblVKRlysc0M+4lLvnaPPT1wCmUdsczPmEyRnHJGEEviCtEEz1kLV8cap4mnCRAoxMQpJUakcZp0&#10;aOfz6fnpScm467rtdrvb7fQQj6tEXGYmqvFYRBggIjBrOPqsgak/QDUAhVWcCuJmUP2rs/T29GHZ&#10;vKCocWpuqaThnB2cOR+7yZdti3ry8IKtoaIlORVpDWJhynpd2+H3gtHzwZYbXhEJRnDWoMeUh9jL&#10;A7uz2qZer4cJeNiczF/DyMKuemU41r4fkbWw3ARaHQiumRGv9IWLMp3Lgfhf5nVcX38q15sn7bO9&#10;4Mfr4TcBY+aIuoM9IYaAyrItwqIh0xCCOqOmaZonIgSa+i720zTEbss8pYk4XR4fn0XgeLgV5vN5&#10;uDlWaBHIrALmVJi6rDkJj+OQGD58+PDt8WlKqd8cN/ttjDHEoGwnTRMn3mw2kWh/cwsIh+2eiKY0&#10;gcDlcv7w4cO3L1+enh4vl4GQNpvtjz/+09s3b29vbjebXkQQQ4zEzIuzfq/hvJEofpJXZMmasqVK&#10;LzQUCO2dmkvr65CTSSKunoDR63I5J51NEQYEYXQpaVxrrcbGuQ/ddf4/jL1pm/Q4biAIgKSkuPJ4&#10;j7q7x8/Y02s/np39/39j3PvY+2XcV53vlZmRcUkksB8AUpQUmW1VVVaEQqIoEMR9QKawkzxQUVsc&#10;WB0Y+5AJrGSrYT31Kkp7tIABQEk4xUpgJxq7x4sm30+SUkGEtQyA7jbJeelRmGMi5oznyJwAkAVE&#10;5HI+sxYKQwwhrNfr7XbbdZ0LwXmtBG3QIES0usp1CHHRYgmqlZqvYLUa+R2rryIg4rC0KpivRRH1&#10;RERFupQP0cj66cWzBa2BXE1gHKrgAFVkwdcEccld9G+dIFI/YEanakt6/VNtOluStpo6v07Tr964&#10;JNMvsdb6giUfrn/FhYK1fNkZnYUKXFcZzNUJzNZvORQKvDKH2ciSjRtFUnwFCPWx5KZSeFQtey60&#10;w9kg9erXtrIiYBZpTtlM2fk14jVN07btMAxFH0LE9XoLiNvt7nK5PD8/EuB6vf7q/dfr9arrVpy0&#10;eiAVsmjFnfK8YNwPLMD758cPHz49Pe5DaFfrdde1PjTkTRdPHAkwOD/wcHtzAyKhaShXcvvy+YuI&#10;CMuHDx/apvHO3d/dv337drvdrVYb731wHsC2UozJezdtDw5QKYgZiwAQZe6ImR810SlYWj6P2wft&#10;FFQ4U2zu45oiTNxVlkGYff9mezENkIg8eRERhNvbuz4OQ4xqt/AU2hDapqn7L2AlJk6OLI2PVGJx&#10;SZXUM0W/RX/Y8kazELL6vDkS0IlISpy00EHudc8AnG8fZ8sCIszGuphZHx1TwpHBgBnKKuYqACyM&#10;Jzwej/v9PoTQrrputeq6ddM0WvbG8o9A846ICFOSxeYzfoKV2rpEDUSUwphwdt6ScsqKz8iL5g8o&#10;b7B4M2HddPWVtQNGLysLVzbvbHyp9E6AXCoGrlGi2fn6YUvkrq8sxHfJbOqRZ8Aqd02NjDCb2yu8&#10;ASo2KVWqB1ZG/9mU6smXh9as7uqL6JmX9KfZbGta8NK0l4cZ9MRiJ0GxaCKB2gOujjnDp9c50+w2&#10;NJlxcrAIVsu0uG+ctoLRPMlTPl0kHaggUxYopXQ6nTbrTdM2x8NRtfgQGk/kfbe7vX337m2M/b//&#10;+x8xtHd3d7vt7TAMQ997Hxw570M9bcp0TERiiin5Yej7/nK8HP/05//sL73zYbe+Wa+7pm1FXZoZ&#10;Q5rQxstwOhzxLYTQENIwDDHGYRh++umnlFLXdSmlpmnfvX3z7Tffbbc757z3nlkASV07zpG2GtN0&#10;8BqgSz5do8cVurw4Zkxl9tlSE2vE5rlAAABZIzBTjFW7r/R4JATETAotEG273Z6H/ng8Ho9HcK5p&#10;2nXXFn8bvIRaqD4BrX0nGTEArul3NbUqKFQmNgtSLSSyphu6bwdNJaMAACAASURBVFiNYSIJE2j5&#10;TyvvCpjnwRK145HpvJz5Wq7pJiIszJBEJGklHiW1ZkCTam5JtQzF5L7vT5cL7fdEvm3b7Xa72WyC&#10;9w7FhxB8yBNOGve8ANgcH3Au1Ja1kyyOjsZGEIGp0jPDH8heUtuwws455TGc08yXzKmeUo0q9bCI&#10;hCS6Il4ENKjArkMtEGQzxEyyx2XLVLsSS/E6ShVemvftLEDgdQI94y71IwoLqZncjB3WLKrefjPK&#10;W3xI9QTqYWfznI1Z0H3mZ5oNSFWZAJzKWTNuNHsFRNTw/ZxajZmYz20d413ZgTkKPpk1jeLOawzJ&#10;WMxVejQ6mCvNIPO/EeBLuSZDrATsgbAkYUUNFiagYRj2+/393RtOAkAxiRfwq1YAyDf/83/+r65r&#10;ieDjxw/rVfeHP/yPw/75P//0f/70n/+HHDlyLngRDXmyStIAklJCEufgcjn99a+PHz99vMTLze1N&#10;163bruvaFSL0lwsLkHNdUDGT1qv1w6fPaqYjosPh+Ouvv3z8+LHv+5Q4hGa32+12ux++/X632zZN&#10;Q+QAClZA4kSORE0uaFby8isKZEf6BLaY6UHJYCVbtAnqSjY/lpMz7lIWcb58Fb6JSEaNK5LxZMnI&#10;6RPKLvAe135FCMwcnNts1mHaE2/GAIwsAgqB1lSvqOCoxYgJl1WbmXJJ7o8omRMU+Wqk91XbXEW8&#10;JNa810ZQk1m2jyECszBz5Ghore4WvUDBI8ZjIsckSRAtBkAZjAAgsgABOk8IQBQcESIx8xCHPsZ4&#10;PMY4pATeuxAaRHSEt7vtdru7u7tdrzdNExDnjBkROQlXtfLs7fVzBq2o7isA1vAN2OpFmy5cq8Q1&#10;zcxQAsSyK4UTkCfvPTNz4sQpRftHl89Qrs5fFHGWSIC5ngEQobPUI2RGr90GrNS1qInQdGUrPapS&#10;jfVJmncSK1SGqyDa+kN9cXnJwopxKq9N+TMUiMyUp+Ucavpe7ppdNjtmLKdMplyvHFi1yBk/KNzr&#10;pae8xHGXk5kxldk7ppT0C+eELSlSJiKq9MECU81PAACoMJJMSCrunlVvnMopzpEDQBrlSswiQh6X&#10;hK/TLrU24EKxk4XMReiyyQMAMAETIRD0wyCISQDRoWuRmXxgccxyd3+z3WwVNbfb+91uc3P75ubm&#10;fkjpx59//u67b7oQhsSHw/l0Ohr1ERaJzMPlct7vH/p++PLwhUJo27bt1gTkndegAyIkgHXXrVfr&#10;xgdmcYLn81lLKT89PX348PHz50/M0rZt24bb2/D+3fu3b99sVuuM0lAhnYm/iNYai21PGSnIyXcj&#10;eA1nKqEQcwsfsHVWCVc08i0v/1z6GSlUvUIyP5GvAQExuxzpiOCQhMERAaALPvUJyQ8xZb8JIGpv&#10;dGiagMCNawL5uptZvYmu7cfM/65t1RGXsm3KwMHjRcpj6oRiEWZJAGiWKwDASUXnUhMvBxCoSRbV&#10;BxFjUvg4dHGQIhrpMKD3CEfgFHVM0h9J87MEHJILHgFjilFAUhyG4Xy5QGZSQ+SY0hAZABzh+XR+&#10;eHh8enp68+atFh9STaJuIk6kCmXOKYbSFgEk15/Vb0Qq2yUBkzQ1gCsjxOsKMWUpWXJ5UyQk8MDC&#10;4iSlNNDAZhiMgsrQE5lDjFEYRBA071nEHDAswAjgSDtaVsxAJ0s5iahgbgm/q/F49nmCvgs2UM7T&#10;NO0Dp0FoXKVcXIFHFWtftKjlQ7E6aiyv753d+OoyXD+WvOGVocrGm0qa89HqqWZeUlQT0xoKZHXc&#10;5e1XZ3iVkc8YpGhsfjYAz+5SQyOq6xW4Oo+ZP1UatxlVkBkQlWJmwYKEKKfCEJJzIulyGZq2u/Wt&#10;d54oOAcpsQjEgb/7/vt//pf/y3mT5t++fdd1DYpDwvVq+/VX3/7LP//L3f3dMMT//W9/FOHT6Vk4&#10;gvDQ90+PX/785z897R93u7ubm9vQtYgusQgJJO7aJoSw2+5WXScqpiEh8scPH/+///iPH3/66ccf&#10;f1yv1j6Etmnevf/67u5uu9l43zjna1lyCkODin4ttUkEAEVZjIgsc+6wqsxiBg8VWTNHIQBxJV+y&#10;WvuKr0A5XR4xKZcyma69QYUWMIYtj7OyjV88aqoxe++70IQQtEFPzV3gBbaBAHX9YJg458YcFC3L&#10;rb4T2ywlVWVMiuRyvW2rqnFKcavoUwqDKXxLCY4+CND8EEm4Di3RCYIIpzQAJ0iJBQHIWd3JEAIA&#10;MktK6dL3KaXz+Vx0KW2mJZO317dAADhf+v7jp8enJ1Uh1pv1drO9f3N/s7vx3hfRoRT1stLa1nUN&#10;nXMImHggyDlUllwzaWE1We0rJpOK7NcyCAIAEBAFi8cxwDIPQz8MFxFGEQHRGDTniGtiYAF4Jg/4&#10;Cb0TIHNxjXRQxrCz69SqGnuk7wXPrr7qUncpyLSMlYIFHVyC7CpZf4XQ1x9gyuReYZ/XaC7Orpn9&#10;KgudbDnsKweWHnqiAlXe8QCgSgqM7mx44ZWXs80C2uSnQh+lUs4meIk1Cs6pm+TEMZsbkXOB0FVJ&#10;V87EL9BEvSyiM6pfBhGbxofQCFNKEkLjnLu9vfn973+32XYpJS1BuN1uQggM4BAQ3W5703Ub51rn&#10;wm63e/j8eRgGkPi8f9w/Pf78419TSvd3b0O3EhFO4gOyiHMuuHBzc9O2bfCetQYM0v5wPB6PP/38&#10;049/+1sIYbfZbNbbzWbz5s2b29t7jZxWeislCGoB5BqkhYK/tOQZSYoVzcyZpoDKKJMBILqq9Eal&#10;ZY7ru5zQdH2hRuPKvG3iiv4+mvuofM3PXO7rK1uyPmaIVItZ9TVSdampj0IQatJfGEz5SSPLSyiU&#10;CNR36QcLl0pJJ2BBumJ+e0SXOOXRGFhEGMyBxYKSbaEALJp+i0gpWacWy2HMHgTN4tJnFy+jLaUk&#10;7ZzGACJMSI/7/fF8fj4dt9vHzWbTdV3TNo0PPjkiAgTvfHlfYXa2cRicqR2qi1jhToMBZSPBZCEK&#10;tSwyH8B1iqTXl/r0zNq2EgsYEUtQgFEmImROSFQi6n1RwxHVFZm5Sc4NdWQpe1KJvSmlokwUfvuK&#10;HlCTtvpl6jHLaDVd1gF5LOs9HxbmNG6OuFfZT0G7qzxj9qHIbvW7XGVUs5etXwemq/jKii7Ojh9G&#10;rm+VmvTvXCGr4VBNZjLt2VFddoViYrbqGBrQzBBs9yKMmIDorFAvCBEhAZETbayJWo5ZxcxcUsIH&#10;9dITuijcNM3Nze3XX3/9+9//oBjsgtPm9vf390RWo2C1Xr//6pumXSvJcY4SD+fz8eef//brLz+3&#10;Tdhst1ZcwAVlYl3Xoafb27t1t/LacC+xiJzPlw+//fbh19/O57OIvHnzBhHfvn37ux9+f3Nz470v&#10;9gR9cSKyEpmvL2IVU5P3wBXgw4gSxbhRGEztk5gGLr7w6FekjLK5lviPiKIKk9rUicA5cdYoZeat&#10;UQrbhKCD1iavqwCZnS+GCpke9fVXOYTexbltZR5NmQBz9UYpceKkaZXCYxcs/aCPZpEYjTEgYWLO&#10;rn5W0yYhOYcEAk7dUdL3fewHta3pKtUzycUxp1Ct8pcIkUuLBLSKMizSD0Pa7/fPzwhAzu1utjeb&#10;3W673aw3vvGqzznS1sBCCGIdZrNYvFzoF/BgSQlfWq8ZhjBzVmjMEeV9iHFQRVDdZFJZWDTMe1JN&#10;WatGVCEvKgZQnu84gxqmZUIzQgwv6xYwxex62OXttftuFif9Oku7Cj64xhKWbsn6vWYcpR5kOecZ&#10;L8GKN4/s4Zoe9sIxtaWY/wW5wp2iX15lWrOZLx83m2rWkUaSp9Ey2XV3/bCnwPimRBo07FBrhWVa&#10;6ZxnYEFI2sWXkcg75xGIKBCiCNzd3ex2u2+/+2az3gEiOWRhEEmSEMh5BwIpCRE2bfv27bvgAwAQ&#10;wWrVxTj89W9/PRz3m+3GO+e8V0WDANu2I+fadbfd7ZqmcYgppsvlsn/aD33/5cvD48ND17Rv375t&#10;muCDb9v23dt3q9VaA3Cl8FdkAKj6OUzAOFm8BbN5CfhTSOaPM98JLq58GX+W+LBYaJpOCAFQM1O1&#10;BlnWaaqWw6DBZkxIXNcNfkHMql22y52uBKvEg9hmzz57yT4YZSpQkx00qxeg9SFnZkFIpusgAKak&#10;HaUNpVkksWg+I+cPymASc1InhERmBm05Ro7IaQMYc28wDP35crkMw8ApIZBqM0Vrx8oPTTmrUQGh&#10;DMZAhEDOqfdU1c2YXxAyz2ORh4eHw+H5ab/ebDfr1TqEQIBNCF3Xee+ztqtdmqjEjIxxdOAmaLCo&#10;K1p+rderphJLGjWiEzrn0VkhA+e95dOwSBwGFrE6uMzC4nUAYKvRLVMBvJ4lTnB/ol7AlMEsieny&#10;xtqdc3VzLkGwPF7a1bjIRy0Pukrll0O9wrpmz5rx+ddnu2RIV6+pxgd1h7x+V71FayyZvtRcqSpr&#10;PWOuOIsXz2nn5TyOJcrH2xfwhNwmEWvJA5FAgBmEGQm9b0JYaSYas/jg727vvvnmm/u7exccjVRM&#10;dSPttiII4D2JSPDOe4dmupH1uouxJ8LdbkcgKUYlwc6Ftlvd3d11q841gZmHfmDCx4fH33759dOn&#10;T8wcfLPb7b756uvb29vtdqOOYke+AESpYXnlwm+uBkOOiJ3ffLoS+Z854kl9e7UidtffyZTJQ8xk&#10;o9nEFotYIFxpuuoxAQAYu7sV3DK/zjWFqWDgVaaib62yLQDElKqkSQtEUe2kDjsudMaqHfOIbCIg&#10;bHpKYmZhNetpdcdURZcVy5hkNwwAJOakz2Vxzum7e+9RG8aBpJSGoR9STIljMlG9sgTX8MRSiA+K&#10;RSfroiVaVQTUmofVsWxbgIgxxsenp/3znogIKTi/3Wx2u916tdJCSqotOTehD0SUhFUStXdXqyZC&#10;6dIMWdWoduWLFKZMjIh4Fh+LiERBy6cXt1lyiQdm1rgfX7BEP0jBS4XM+OMYqbUgGVc8LoXo1LRv&#10;Numa4Nacplx59dd6/KvgeOWymhTOVmU5yOzi+mWvPn35+i/N86VpXL2rHvalwO6X3nf605XZvgSr&#10;vKBQ0Z16FRRDoMYERNSOyHqxc4QkSDl7RuvpA6ALyAmEANGR974BpMTSda3G/t7d3e52O1NVS6kS&#10;AASyyEaLwRX9N3MXAGFCaJsQQohpICT04JxrmnYY4na3W63XiBiH4eHxMV76vu9/++23/txvNpuu&#10;W+0229ubm81m07YtIrCwd77edMU+k0GUvxb6OLUUFX6AMPrO7fbsgZ+hfRlzoanbCshkkOsI8Hdl&#10;kXIlQsmYMZk4ZZcPEkIyFcYeVRQZBA34BRUXqkdXmDPnLgDAowfHRq4vU4adOClfkCr/UQ8NgjTe&#10;I8C5bJoYT4KUNC45iUCMUZWVxElZpSa7xBjLUgJAZAaH5Jx35LyPQ2SWyImHxKzshFOKlp0pgkDB&#10;02Qp82F9QnPSgkg1PRbIbbgQAdChave5oqtZwLK3g4giDwCgJcCVccZhGIbheDq1TdM2Tdu23vu2&#10;bVerVdu25BxkokqIdXKRVltDQ85xYxsClc20QA/9UDvFy2rp/3WdFHfJOQEIRF6kH8bwcS9VuGo1&#10;IwZNWVigZuEN9SRwKpvLQpqur6kRcTZ4+WlJKAu3r8/Mhl3urnLmFco7G7CeTC1ocE7iqTf/62F1&#10;S4Yx+7DkMfNrjByNNd+WoKuPGrxL5lov0NV7l6eMEE0PxIkoXS2NioHAzN57ALUmOaAi/oj3jQPx&#10;PiCh99654F0TmubN/Ztvv/1ms1177zLeiWSiTegK9c4T0pLoDCDAzCD9+fDjX//89PhICE0IINKt&#10;V2276rr206fPiNj3Q4rx+bD/6Zefj88H3dJv3rx5//7dbnezbjsFkSPHnIRFpvmRRKMwZuSg1FmQ&#10;8Uqbeg0uJc8GI4QsStb4rMaYCtoqBWuSgC0GzE1m8+Mqd6k33WIRAWCKMEVWQAJg/VQbWLCmQQLe&#10;OZjumsIPoLpydmZ5HkposhVuEeakhE89/yyW7qWKk7EgELE6x+qBlmQRXBxjtF/1B7EyqKa4aD4G&#10;oSPSXtGgZbM5pSFlp0Iq1W0IyTmq44AQQJPhyytgJXwbWajeutANROCouSElqhjIWdkdEEBCQahZ&#10;lIojRE5Azufz+XhUauCcW28269Vqt9ut1mvvnBZ4xkoiFBi5OogZ3DPMpxi7WKBCWpd0o+b9tQUr&#10;41ZbCvB4TmkMQFSiqasICRGL+LTEjHJeHf71tOprrtKyGbrP2GbNwGYjLNnSVTY24ytXWdrV4/XH&#10;XT0/4yhUtY6uf72+w6cLee0a0Bzs5RqXi2dMrh6nAHCGUvk1VCRRGNn1xQqk9xR4lmdlIsmwmAkn&#10;M2ucz+ftduO9GanFEuJAGINvkJCc1/TwJjT392/evLnf7W42m3WdrQlZ68qyl76AWp0YUQQYgBE4&#10;pv7h8fGnH//6pz/95/F4aLV8OlHXNYgupXQ8HIchDv0w9MPpcrxcLuv1+u72rm3bm93Ner0mtLYC&#10;aEZ/QSRhqSaC+X9TrlA5UzMIx8BLrBwVYBt8LirVi1ufh+zaqMXLV/nLeLzEaWCCkKoC1HglhKgl&#10;pSBvnCp3zeznGr3myOmAXGV9w8sMJvODyTGbntKrlJKAJGMwmDjxiNW5KZCIlmpUMq69TwCUD2lD&#10;dEmWxW8YhYBjdftRt+DUx5RZVEpJsrZijwONexj7jCgAXY7bxqxUFcgvFwLrhhSIzpck2aLYglhy&#10;IuDCkw1Z1hSNDHNqE4Yhxv1+fzwe94fnru1CCCGEtl11q64JlltTdGUlSlrxKPts8kab1HYxsJRX&#10;+/v0sDBCAMy+/QIKLzOzGossCJaA8JRs1Y+siTgsiO+SaL50LNcGpuRyuQ9fYgBFUa3nOZvqjKbP&#10;eNIrL/j6/Gdb66UbXxnzv/Kg15nl3/tVdw4DgKYLjw0rs4qgeCUmRJfRMO86tY1IDnAiEAFBch6R&#10;YhxUBHTOEjiSCDN716JzSJ5UzkLYbLf393dff/V+d7ODnO2nraJmkMh9qCDT8yTMAJK4j/3w9Pjw&#10;t7/9+c9//vPz8wFYbm9vNYdARC6Xy36///jxIyL1l4v33gX3/v37N2/erFfrJjSICCKqKWijk2w4&#10;sKoWYLY6yM/WzVk8KADX0qrGz1nhMx7593aDyIsIcHVRJ8jw95hK+ZxSKh2xy7REWLBQ0kzvTLca&#10;H4Jg5iylykWiqtlJzWwg06zpGYY6rSUPzMyc430RUay5paSkTmJW2irMw5A0qhiMgApnyc7mli06&#10;hTHU+11ji/thEJFkMWkIACVtuUJ1+1wa+BGhz4VcZ77k8ggl7joB58YsIhDNY7XJmfYEZoQEQ/Xa&#10;y5OptYWOYQnqBQAGSSn2h7h/PhBRCE0Twma32262bdsEHxBJi+yVSdbLVFCKpaqVUCHPbE1HYljQ&#10;ye7PDMmECa3RI4joC7FVhBMQrmKCTajIotNsijXpr4FbZlZn4M+YYVnyennghaOgaS1E8LRHwGwC&#10;9fg1opcLZqHPLzGYMrcZWZdKJSzzma1QDZzy02y3SyXgwIjNoxqr1F8NKErP6g/4KtWScavMD0Tz&#10;ltu3PAZpLT4xea9MKc8qaxWAAJg7uRMSikDwAQBT4q5bETlmcI5UaveuCaEFdABIRLvd7v7+/ubu&#10;drNerVYNEXC20L8wX8i0nbXuBEBKcXh8+Pzp04ePHz48Pn4B5u16E5vWh6D5es/Pz7/99tvf/vK3&#10;vu9vb2/vbm9v7+6attnutl3XGSfJljDb/lw0BkFLXrP/CgIQaZsuggXRX5LysgqZoI/rDhPML8/F&#10;6XrWbABeXmq7yF5jAcEZ6gIAKzcRkWyHRFQvO3jvlT6SxmlUbMDinAAkW6Zm+7re6TVTme/EHNU6&#10;N/FbsLFdmbISKSIpcZk5p6gOfCX9IqxBYiW6Uj8QudJtpeTtqz+jOHlUBBjBTSip4CEhqu+ERKqu&#10;TldYOcCiUgnlPqGIdSu2urBTcTICAk7aA84WsaCJxqSp0XJ6QWKO5/PxfD6ez4+PjyGEpmmCb7t1&#10;17Wm04uIKyg0I1U4b6A++3220CpljOR+VGJYOHGuG1LythiAskTBmd5lVRKwePNmTOLqs2uMmZ2c&#10;EY8l1ykf8O/J6fUIs+vL19dHmJLOOdeEKYOEa9pM+VqwCl5Yntlz60fMuHJ9jcXYZBwU3Q8VISqC&#10;z989lpPXNrB1cQQAyBnRue/hKPRVhL8aRgFYso41Vmez2SCiMCYB730bGqLWuSAiTdut16t37969&#10;ff+26xq0zSKlpRlmybGeO5gxWVPTUkp9ipenh4dffv7p06ePz8/PklIXWhZxRPvDQUSeD8+fPn36&#10;8uVLjHG1Wu02mx++/36z2YIznq0Z8nlTKZ0aLdSIUM3HVqpAkkjdSxMJY4YV5XMN+WusxcasFmqp&#10;tUvxxtVQqRcXKqiNdGqqrOOk7J7Zl8DIpYh1z0Ei8N7pjhfE7BmpwpUrDabGW/1cG+hn56HaSrCo&#10;tK8ZKjFFySkvQ2JCSpwSl4uBmWMcshlHy5vVpFE5hglkykhiinGIKSUdvPKmEAPn7WVLBI6yQCCg&#10;YctEzGNDKbVnlaY79XrNCFHmMaJylZh+NQ/KhVwroVodVRSMCKCpMAC57KzpmqS6oCA4AW0UjZe+&#10;74eh9OoLwa9W3W671YrOjfMWXCAjVdep1wg2I9354FwWruCYsolxHREhx1oLC/iSqsPMFs9WQncy&#10;1iKOzpjZU6/tkPEogeFYKRPLzVY2w5Kgl2WThR4wm88SKMsLymjl9tk1y5NLiL/C+V4hNLOJLR+0&#10;hCTmwHnE0ZQ/EpLylMUEoIISLEWPMs+8sOVZMkoVEzY52z/6VBwBiWByPZ5Op9yJ0iF4RNc0K3SB&#10;GYNvVpvNt99+s911PrRtG5bW5gq208WEqNX8RLi/nB4fPu+fHr58/nw+HOIweOfUWxqHoR/6v/7l&#10;L2r9IHJv37z9x//+jwC4apr1euMcaaZ1BiUgZg8yyJRkzyY2mZOSPyJXLsOcql3DU/9eTdSdbge5&#10;iqoyWqaK1nod56VaM1kg7YzQ5+lxNXmIMYkAOIfkEDGE4L2Pw6B8ljUCOIkAaG5JITmlq0J5RF0w&#10;u35uid0qr68xXQVQrPX1YxoZzBC1KW/KPpw0iSwbp0Hemxoq5hSJKSVOIlZ7Rp+b6aMu11izqqrw&#10;priRU1cqOlMtnMpAcxpVwxyqs2VxMCfbz/iQTQixwoPx+cBMWqA4L1/BCeaESAIWCkGudLtBQC1j&#10;M8Q4nM+n5/0+NI13zgE2TbPdboNvmtAQkVndppxDKolZJseY25QlBk0LM96DaOuok/VcunHozGVU&#10;9Oglm1UBbOmCnrefLMXkl0C/HLWig8v8lSV9L2Hyr4xZz2G5orMpzZDplZGX986mepX/zQ5ZsECc&#10;SkOFGEAGuX4oczM1O1PG2e1XHzF/zWuLcm3mBd3n49Q8xjvHzMEHQPCu8X7lfeMoIDmNdXn31fv7&#10;+1vfqP9GAJiQpPI65JGk+hcABCWxxGG49Ofz4+PDl8+fj8/74+HZkwcGFEop9f3p4eHxy8OX4/OB&#10;HAXv33/19Xq96tpWRDSuTAScc1GYE1PuilFAu6gMKCOMF3xasthco1bBgRnrlYUoVl9vCzsNEcvc&#10;Jf8rApWRrZAZJbNQe26mCzojFuV2GxyBkPo4PDx8SZHB+c3udnVzE/RX0WqPom5wYmEAxuIIl4rK&#10;SHmvCQcAgBe6hkhmRdX0RtrEiQVgGKIW+8rmMclJkbZqWhQyaUghCyfR2i0ppZgSTyTrkS5Ndr3W&#10;wyOt+gVQMvMFyJgQw1QsBut9cGXj6L21oIxTjVwZiUoiNekRc8JX5wsZIetFNIJP8QpB0BFSYinJ&#10;QQzCIGSaBKAj4RSHOAyD63tHRALk3OFw6NrVqltpaID3XstuUPajQLWaU1On5Qkws7Vc0/XKtmUR&#10;icIiJmR4YYHcPVrH5bJnCiqg6pxliwBoyq8260MBQAJIoOiCKtkZoVAOjlh2jC5U/owAom8F9QbO&#10;MRX6R7dTzqLKVfykCCMTHrYUOmZepWrh5xL6VYpcDzW7fomvsxEKztVnymrVZ2bPGvFJrFH5fEKi&#10;kT1jcX6BhXy7GH/KIioZc/GmhTjqxqvWXpUX6yWORRV3Aalfd+sQGh+CcwGhcSGQ8/dv3/7uh+9X&#10;69Z57zxlfjiRUwp1tErEICLJtrEIp8vx8Py0f3x8fDg+Pw8xwZhSJ6fT+dOnj58/f0lxEID3797d&#10;3N2S891qpa4SIuqHPrigXT00vhYRY4xWPnZUFEaGoyCy84KsIUpYCh0LCAOO5Z7qYBnE0Ses2Kel&#10;DWrVIo+UwT/i/LjBKy4LMqnUpcJ6mWv1Z0QsG1WFEWERBIdONPJKNEAREvB+f/jbjz/tn/b9MHz1&#10;7fc//MM/nGN/OR0dkZWOVM1BfezZna78SbJkWnlA8isWmsTWo9iiV9XCZuVdxGw+FmnGMUmMKUYG&#10;kZQSC3DSPmGASGJl+SzrChAFJEY4ny+qsZQ2wGJ2RSw7l5mRSAPAxo0pZlUzSCOQlUnOHc1tQUEs&#10;twk0T8giiZBUB9ZRilZo9i4lR5SJP2j6i63xRJ5QmZ6cc9o2k2cmirwxDLEynnFMSc13RE5EBMWR&#10;RyIETJKQEUAErWm0aIR0iuf+cjydndsjoifnQ9jutr4JrdZbMwcsibAkzoHOzIlFoi6lpgiVfPYi&#10;JXBKmield3kQ0fBwKtULNKsfMeWtoo0SUMwTRRkeKAKEosGahAgSOYIgEQoDogMpUqHuzNm2leJX&#10;kByGL5oyrXRHic+4EfUCrRgOHLOTH01fK6bVZVQPvhBAvCT9ZXfwtH5MOQ9V4bWrl9VMpQg+5etV&#10;Pre8S8971dIq/oE5XQJEWFNnqZDsilBN36h+aB1TnilamTrMZqX3MicAp7WPiIScVnUVjQhQ8dT7&#10;4Fznm1XTrRHRueBdWG/Wu93u62++vr3b6bMQy77KUnhmegQ1wwAAIABJREFUYHmOjACADByBkFOM&#10;w3A5HX778MvpdLpcLmmIBNAPKcb0fD4eno+fPn3a7/eE2K02m+1mt9s1TaPPcBoElsSjV3l9FJsE&#10;ER0JIFg7pAwB0QYbNdk34IOJVaBGLcwMibMluVJKmLVfl70YZbqmEyOy5ri1AldhmS4yTvmFYKav&#10;otsPAVHFvMyoBTRSVIOOGCw0OrGAoFrzI3MSSQliSsIch7g/HB73z0OKA8cff/rrJfZDiqvNZrVq&#10;CTXpJCWJ1mtARESSJZoYU81xyAAApQ9L8dJw/sGwTuu7gIhIZGv/oExE93qMHEV4YEAfEzMDaQ8J&#10;QFLB3ZN2CouafzgMnDvM1/KlERrKHhVR8ZnIEk0gxqhVWEwMBUCLZhx5JYJTv6SeplLqFByCpqqK&#10;M4QW59DYw5g4xaoM6ZZFQudIyzYjmDmOkcAyMZ0AogOU7C2rSEdtay2QBAYCtBBQQUnafgIhtzFl&#10;Aa2hb6jIItrOIA2YovZxkQs+Hp7aVbteb7pV65335JzzRCi5AqmqLFmGAU6spcI5mZpLDjlqCq6Z&#10;OwHBl4WRhascCtXTTQdFUwMEkMTgMCfNCKckZAU8RIScUxgVoia1VWdiH5iTWmbm3L9G1R4cQyrR&#10;9rwYwgIACghSPX+17ZbCc5Usdd14VZ6OCyvTjEbX1Lms+myo8tbLcWajzW6sIQ8Vm8TpDQUWy0kW&#10;iLlrHXSuH/WvleV5NhNUq332NjtS2Hok6Ps49JeuW9/e3oXQIDrvfNd133z3zZs3b9frVQhON2L1&#10;+tUzx/8LAItVY2XhGId0eHp6ePh8Oh2Ox2cAYAHtLfn09Pz58+cvnx+0LvqbN292u13btgWpDBmy&#10;5p4fjTjqz0Bj2U5EC06bkBb9isXKgRPY1+slAmKOmSrKP4s2kmufzASOevkwHxVglvpxebDkNEPb&#10;j0r6lQdhKfGDmcQgMgAzDJD6GGPiYRie9vvDYX96PkbuzzEhIHnPiT9+/K0f+tv7e+FdCAGYL5fG&#10;ITnQBgwCWmSFOaZECJySlABvltIUUuxbFv4Asr3eKuoDYoxakVJTVSClmDgmkSEmEUAi0c5G5AhU&#10;XxRmPp1OWm0z1xxTW2vRiQERNWiJrCYeAgAClphdu4Qo+KCCotLfoncWt5cYu2FEckg5rEAnLABi&#10;zXRQ4//RUkHm4mNeQBYNw0bU3hAIAEPuN1qcbjVNkRxoioi1iKzvoOH4emG5rABBbIbkHAKQJBZC&#10;dZcCS2JN+UIUvKR4OQzPpyMiOqLg/Ha90dJnwXsiUqIKABc1tRGxcIqRY0QkzUtKw5CYwWnvWkYE&#10;X+oimzy+qLkEqtOY9JbtWIjoCLQrjgiDMDACOkeV0VgmMIJCKVGmXauKjW9kOXmJTRYQa4QmubNI&#10;PbIASJrYuMs4Nc7VdL9cUIcaz+j7BAKZOZVHlMtmrqCaRc2mVHOX2VAvPb2ecLHA1M8qbzG+9egi&#10;G6956ZjP0+JVZpRujDQj9IQOLeaKclUl6lar4BvnXAiN92G73b1///bt+zddpxRfKpiUdnj6LqBb&#10;WCSBFUwi5phSPB8Op+f94Xh4fHy4XE7eO2Y5n89PT/vj8fT8/Hw4HJxzq9Vqs9lsNhutBAXapa2s&#10;CNada+xEfuWxINhcqMrz0/mAve8MpFNyVvSy6jJWLf+aljyzp0GlZ7+0QGIWGPtXQHkIkID5j0DF&#10;ZWaVOxGBKCGwAAMkgcQM6AaRCAJt6zmtgxPnjsfnFlE4Sq7EvvKBIz897cmRQ0pDunRdcB4FUDQ4&#10;Sk7nC/kDOadElpwjAGFBS3VkRBS1dTIkZqiIIwsnZu3BJdnKrzIyEqaUOKXQtJGtI3Jf5GBmZh6S&#10;NY0BawyhFUkwy79IzgGCABN5LLK/CI1WyqwTQF4h7alYWa6KMAKm9hjim70ASwIwYokbXoiwCOZy&#10;AQDmuZVCz2tJmBp/MNcLL1dCRYVqHNOvGRTzIl46ARbW5pGA2vLVTG2eSASZOcYoKJwjKAaRHjAO&#10;sT2diKhtmhy5Q5hNfzFG7XCRhsHsgVqxR+RyHhIzigCIH4ahJnxUvUmZKzMDAzndbKZAjHtYy48i&#10;saU3EQLoszM7EVv+bAaphEqpJEYRqXaswERM18eJ5DkUG8YI9xlxH7F8Srtny1MNP6H1M0R56ZgN&#10;DhURmd0uV7x/k4uXPGaJi688esLkeK5CXZ3S/NepN7IeViecuyEhAA5DjDF579s2eNdoQfvVavW7&#10;3/3uq/dfk0fnAVG07HFx2IyztWq+ApDATCYsAJyG/nw+HJ6/fP54OZ1Z+HA4HA77EPzz8/Hh4eFw&#10;OGhpwtub281mG0LjHIlA4pTF5JHjLlenBhjIFfhkYcg40X8FdFLZHuuTMwmj/rUOYymficZ6JDWG&#10;YNaHxpkbV67VPxEBYWARIDXoaBVhGFgSSGIZhJEkASQAlgRds9mt17e7y/HIKUqMqb8wcxoiER2P&#10;hyFFTW1/en4+PB8IkROjNspF7If+3PdqXXCOyKpFEqFm2KIgCIqw+nvMAgaAKKBRx30/EJFSJaV9&#10;Sr5VN/KIMfYxpThEjQpT6wsgJhktLrVeWEBKREiKYyV9X9uLlqh0qJesWCauWryJnEnFGdjVulei&#10;ZxZplKNUYqeiPgKCFjcqEoPSNLDCzFiomtJXzk11IYtNRT+eibwVmk0y6oSFkJKklJL3REQaAeG9&#10;x8IiFSETC6G6JJMkETgej8fjUZgdOecdIjVN07TBkfPepxgBMXgfhwEQYoxxGLSU7fFyTonVjmsm&#10;MsjaVi2Pz2At+ZhxaVHRQxI5TElIc06ZwWHe4abs5+pmChoYS/3QWOkrS46m9+XAT1R46wIacKkq&#10;tjs9Ck2cgn4uPM4Y0sjbrrGNxUKWt5scNb0o18zEihK9vbx3NmZ9zWwtsK4/sXhxWvj7y3u9/mrj&#10;UHpXZd4sYZ0abiqCwTdt24XQOOe32+1ms3337v3d3W3TekARSAKANJqkykzsq9pVrMOrxBT78+l4&#10;fL6cTsfD4XQ8CMDlcv78+fPz85P34XA49UPfdasQQtt0GtcP2WGCSORREmctOz8UAf7eG6NFENWf&#10;TYPJoHtxXQpI64dcXZQZQtagmCnx9eey1wQB0DGK9ey1HMHyJLRSXQAiyAjMEkWNIDSwDAJRfaKI&#10;4kkImKNw8t51u03XNMQiw0CAcRgI8HQ6Acl56Jk59YOmuKt5CwCYU5NY20+lNHBKkBJY5iJZ349R&#10;FwAFoFYAI6QS3WUFj1ELQFLiyDGKyGXo5USXy5C0eIxu+Zpeq0o95S41v8kWl2pFEMT8GoW1TOQo&#10;pNxvVw0nrpg3YGZ0ES2RNaU/5WdSvM4CG5ryAACQIHdFUWdqNQDqVZnKqnxcm7xmmDN59MJVU5gQ&#10;ADh0QuY9L8H0YkGCgojOe0mYWB0dFm2CpH0zY2KJlyGldDqfAcV7T4iX86Vt27ZtQUT5Vn8+IxIz&#10;99YjJqqUAGqJ8z4gCltPtwJ7qVIs1WNnVjPtLU6mykHOwjKVs4IFgpn2K50kb0g1QSjzUGlEEYcr&#10;uC8ZdXVIoZzjPqwk7lqoma1QIZf1T7XSNtvek6dOg9CW613PeTax2TTqe5cMY8lUClPEEhizeLRI&#10;FfW1eMrszPx2+2k8U+Ouij/CjhnatlutOkRyLtzf333zzbfv3r0PwZvxfxyQAVw1Nky4vzDIwCxD&#10;fzkdnh+fHg/P+zQMADIMw6W/fPz44Zdffu2HfrVaed/c3NxsdzuHqN2fUrJAHRmjFI3oaoQqVlJh&#10;RmjAgplT3lPkm3H2L9aXxFEO/S8w7KsSTw3eGmnLr7UABACCwJgA1Ntv1hrSErwWfwOAGLVGm0Bi&#10;YZAEIICDQARg9M579QGjJ+aY+l4AyXnnA2kAKNKqWxHSarWm4BJogvz4REnmVhHmKMwpDv2QUkwp&#10;phhTTDEyZ40jpsSJTYJQJ4WjkAkpIrGwxj8os4kxxdgLwBBjTMfIonkegOiIzAiD4J036I0UI/di&#10;QfNGmX2oXkkwDWBkS2CmxVKWTbVhqySdV0lysBxZKR0peFNWp+gZM7F1iQymhWhiLyLmcCp9ov2b&#10;f6pZ6QxtZkwl49VElLQLyPhuaUQtVYSdqA6QB6Hs6RHJQVj5SCmdLycA2D89ffr06f7+/mZ3AyJt&#10;2wLi8XBwRMx86WNKrFZMnzj2534YhvV63bVtMcFn/B4lApVbFRUEUWutiggJkUMQxxw1niuhFHAg&#10;AFqFQq74FpgWCOYby0ggWQQr7MFWOg9Sb2YFroFVsYlnu11yGE1hk9k7NG5dyeg+FTZFWI16Uqk4&#10;th4iXMoNTUVkfFm4WOrjk5m+KpjMxOcy+doss+TEM4l4OQ5UoBYpPXjNP4KIBdHVWToMPbM4JO89&#10;oiPyNze3b9++ffPmbndz473GFpRW5FSUVygul0o/EGFJwzCczqfz8fh8OR9Pp/PQ97HvL/3l6enp&#10;eDzu908A0q3W6812tVo3TQghWF6ECCBp3MG4DJo2hqjbBKSqBZKri5V3x/J9BluwvVcmXq/FDMhF&#10;6X+BFV3hQOPOv6YE1ytVkwmB7PzNoccIqOG72sMNCEuNAQBkhEEgMSdJ6LVEPJEL6mcTZhQUFhrL&#10;VwOiY87Bx0RRZEiRQasfoFWBRyJHDkvrESGNSrIWLJKGJKLNIqOKsuo8EVEXh5AAAwjL8fB8OZ1U&#10;TrcCxpz6Sx85OQ3CA5X/0eBLaLUniCTLlLaUQrWwT6ORKu8U5Y85HgwRVBIWECQUytGBGlKUDWlm&#10;F0NtFVHkTkECVC99hSKzpZzJHxXLyfzK7kWfm4ZprQrMu7LUJq+3ahmwFkpeSgokIk08hQlPUsDm&#10;6WEmxtUkl6OVRzdt60Loh+FwPKbE3jlVQz9//mKxizxyR59SOhwOh8MBtESoZTXYUlknHBbMwTSl&#10;KWnRAEQEWcM3Wct3IiK6kjpUIghYrCJIqcuEAMCcnHOFf2RVtBI8qyXMUNOMXFHdc0xA0xyejBoT&#10;8gACNb0QABaoDEm65pyS1kjP14/6mCX2IJpbWB1npk6W4RHKH0RYaEjLY8YA6jMTlvbyvUu+AjD6&#10;rusR6svkxTjsDC57xIjBiMSJQVBIvHOr1er+/s0PP/zw9dfvvA/1IKWyPQK5LE/kt5A8L+YYT8f9&#10;8fh0OBxPpyOnNPTD+Xw6Hg4PDw+n0wkA2rbd7W5804TQOucBJCUZBSwE0LJaALmlMQNoIBNkJSW/&#10;kam6hRMYUk+BYwyoTPgltlEvwciKZntycSW8wG+uDl4HAthkOD/EvPqYWBgxMotDEGJOFEJCAHQC&#10;crr0AIhETQgaAobOqwNWoqQU+9MlrAiDIyAE1q4I+jDyfhj6/eFIjmI/tE27apuhH1AwNEFAiJkF&#10;iEyed94joEeQ1ggElromYszFoldFuZH89a+X88ODes5SSrq1NP0eYCRS9voi2nCISm+hIgTA+FWB&#10;NjIbHofSWSCUECIo6gKB1ZDUFde4dRDRFqsgYs2ORbJcawkuuQ4oqo1zKeHVi6tl+e2RMJIf26TV&#10;i8w2dZ2DcfWoqMeoxBjoQJLUBtgJPVHuTkR+im9lWOX9FefWpjWq8DgB0HTWIfHheFTq7X0TNM4Z&#10;0dezF2v4w7k3TulpyA6JCCXLTsU+CLqtVSRnfZPcbyclEAESRAdQjG9aYE+bfiOApMSizaUBVUIj&#10;qtIQ6t2F+oai+ojkyEgUxJzIoNIrVDfj8oMp0ZXIWcuJbF6TxWIqs883jaiTWRGaQKy81HSLajEz&#10;85nQPZkqGTMeUKNCLVyM2LOIWrlKv2bcq8g+15hT/dXWWt23on3Oh9R24f7Nmx++//7t27fb3dYF&#10;D3VrZyxPmo2sZdcZAVLsT6djf7kcnvfn0zElPh2P59P5eDwcj8fL+RxjXK833rumaZ1zDKNwqtRP&#10;G9kWqV4FgQzhzPBFxKJI8ysDwGjaGgFbgdRUg6skf0bOZkB+8YZrBpOrwsFsia8ewrpTkAUEIQkw&#10;SHKOvAPnEkhE7DkhgndBiLxrQmhUjROBNLAWgOE4nE6Hx4cvdH+3fXuvWW6g9Xot1Q37FA+Hgw/h&#10;8fFxs1rj7d3T05Mk3u62Q98jUYyxaULbhOPh2LZNShya4CnEFH1oHCJ5rwzGh8Ybm5CS7uB9MN91&#10;kaVAyDnnhJxDREek+YPOuRTTGM047XsPhdkImAFQ1bspDcmrbHKJYUoWxbD6ku8xlFD6nDd3vr0q&#10;5lYeUWjm7KFQbbp6X+RzjBo6DPM9U+H8dYPbDA5SQqir8zSWds7sFUbHcGarQC84lZUeElHiBOQA&#10;nZlLlfoCAJL3SM4x5251ZCGUXlUQjQ5iETI6khRSqeRqikmJmAub0bgZwJLtKlWROZvETKDQt00p&#10;sUkHmNMDRTgmYAYiNbca1LOkKQAiydAFi41L37FAZ3QUjZEB15YKqm08RYIrCkQtDaWUJCeDvkRc&#10;9CfNMMr5bzJBGWNQlvQ0i1V9hawsZ77EubL3VHC7OuArky9jZBvTuBN0zDTE8/HkXLi9vf2nf/rv&#10;3373rSNPZAnGRRqrhrY/qJU8AAA49mcRPh0Pj48Pw3C5nC+X86Xv+/3+ef/0dDydmJP3YXtzu+o6&#10;Rw4Qo9rDVAgD0LS94tCe2rFm8Mp/X4JrFgwK6SliQEUDJuCtITcZKYuOS5jPdvKVWbyq406GEuDE&#10;4hwQJhZBSoRJEIOPAEAOiPqhHwCa4MH5lpwjB4AaWkqIMQ6n4wFE+vPp04cPKfZvbm5yNwTEbGKE&#10;zGnV0tX3vSc3xOFwPKQhtl37fDg45w6Hw3q95s3m4+fPq9VqGIbNbts23eFwWHUrBGi7Tpus3N+/&#10;QU29hxzLw+y0vXyV50GoIgE6IkASK6qCRFq3O+s0JkiiVu2VUuAKTAVRgJKpfABGGTQ1eLJxsOol&#10;iJXVAad2p5lAkCE0CxomzBRpKSxaHAfluGe134BYmhICihGxl7ISr+DDFWP7kkMAQinCZv4YfS9m&#10;BtAuFShTn2KGNDrlK4YZRCkpj6rDK2rPlvceyWmUmvPOF3bCzJxYBYd6fvo8FrGSF8xAqGGHgKY9&#10;sKAFR4IAaKA0IBBkbpTpQGYeLOreA7De7KMSIQKCQjgugjlrsi0ql4hGozKCOXYGrKUuaExKQaCr&#10;dBbgCnWWl4XN5bGQHSpjVGWhGhG6YB/krfDCgP91ivPiJNFOzgSol47yUINjHkQA1MKeYto/PZ9O&#10;p3/8p9/9r//n/3731XvvHSsSAMDYpNW0uiwOKC9QxTD1/Xn/+CWl4XDYn8/nYeifn54Ph+PxeDyf&#10;LyDQdl0IwfugqfhiZdJNexWp9MbMN2zmmZkVgmXnF1Jh4R0qG1VKwxWQvgKzK3iVH728sgbyK1+X&#10;t0CNq2KBlIIogOI9haDZA4Pw8XymxO1qRb5pve/aNsakPukUYxqsVbBD+vTxt8YHTmn/9LRatd75&#10;mGLXBpQxGdZ2F2RbYcmLTKmcKaUqAUAEhsSRmQWGlM59zwIpxY3w5XQRlpubu9JshjJ6Ou+JHEsp&#10;cwBoGRsqCDvJYVZEBB5cZjGW9IfgaGwzXIIzR5BOvmaz+ctWrBmFnf9U2HC5anRdAOSK33kL4Ljz&#10;LaXFcHQ2CwZBEeAx0XDGJCQ3tMWp9eIqlZAqOsDoKQNkvkvkpBAhDZAuhBhs8xvFyi+ji6FbzaYn&#10;QojOOY061g+QW3w653zT6hnnKgZTvwzkyhYjuURjMwiinJa1HFnWJxX1GQFAc2JNjxAR5giq8kK+&#10;Xls7gWTsNOOb5pGJACcyeaAAUQx4pXuqcl09EDlLYOOqGFYVuFxbknLGuTEY92osPMwx8wrJrnnD&#10;SwTdXnkS9DjeO8P1q9N45VDE4lzdYTaf+usLQ+k+wBJqhWYi4Mv5sn/ab7c379+9/+6774AKMZfa&#10;FphpcsXVkJmF03A5n07Hw6cPHwT4dDoO/eVwPDx8ebxcemEgR91m3XUrlR1FICW2tt1GkYq2J/V0&#10;r67pBJhVzq+I1EnShWpcPUStGSbWT4SJzMsmJ2sUyRvHzlyVhWevMONYNTUp55MweCeITOTaBnxI&#10;SSLi8dwnhqbtgm8DESNIEqcxXzFySpfLRYRTHPZPz5fzeX3b/vjrL6ELd3d3l/4CsIFasADbbqgF&#10;TEUaH6oMDEuKFBHtHKO5FwLgfACkIcYhJqQUY2qTDClJYqqaKyMgACOCc57IgYhzDsxQptXCWHmP&#10;CGp0QO7rgghAYN5vmLKTsu4zaJPlwAtzjfxcLtH/MHNx/atrAxkmUnFf/cPMo5VFLbI4EX+yvx6U&#10;V4/oq9aFcQsSAANwTvJE07QyQSsvMtu8S/tHYfY1EubfJ0laZSGcc5p3IqUotmR+BOWDfh43C+UD&#10;RphYTQFEJEcueBGxDFgRdi4QITnjVDO5CkmZmL1Bfk7mtEr6jTbZphVhqZIKWSJhMTIKA5DW79Hh&#10;xMRTkKw5cgJEqOqfyygr5VXMkamFjpSZV6LHSH8KIOqlgjE4eLKl9WSBIJoamGFdrd+SwC3Pv3TN&#10;7KflyUJ9loynnJ/JNfah0mDKlYXH1FfOOaJh6qhisVYjZV6v1999+91muwOAlFIIuV8VIGdWVIYS&#10;EQLR2h+Xy+l0PJ6Px9Ph+bdffxXg0/F0Ph/7Sy8AXdc1oUVC3zSILsao+IREWV7XInL1frfnwLWj&#10;3lUjHpSTlWl+6iW6xnGzzw2X+kr1lPzgkR9gpTnNETGD6Orn5eDjEiOi90mEEcOqg9A8nk7Ph/Nq&#10;u21X6+BD27SShIURiCUNfR9TQpGY0m+//eYIiTByijwIySX262blu4Y8ASE6SpYcrViOAhCc36w2&#10;MUXYASJ651Zd158vmtftnOPEKsDGlBrNnwcQAVVtiRwiEfmUBhHrsqwIh0gIbOWKWVM0xHo2asVH&#10;K19PKCgiubyWQdOCjzIyX8Xn6ZkZhGtBQWPToFxXyteLhjAIjDK+SfD2qVCe2jaRHzx+MI+smBaQ&#10;uYCAqXTmQajYL/LL9EHfqCJxf1/uXOI2IoKmokJJFBmdS5DtXWqLouLOKD+B0RQ9UyIFdE7euRCC&#10;0k+vooRO2FFduwkKpVbJvkoKsgtAlTvl/TAugn7J4LAbmCX38AGQHMmfUdlOJ0aqyxEaR6mJ7JiS&#10;mdmNVcUAkwoyFy6rArCI7oDprh6F3TpmutIhMiqTSi6FfMjUDDqj/vn18381Co6y84wAvjjJ+ow+&#10;os7onF1WT/7qu9d8pXYSZDVTik1WHxRCaNu1D4FTPJ9PoaGUQAAckW2cMfzP0pBjusShv5zPx8Nh&#10;v98f9s/P+6fffvtAauIQQXTr9appG+d8EhHtXAyOTcHFIUZyTinWAhqYRT/M7skxnaBmusUuf4WO&#10;V5RHJQzIiksxaBRd8MU7Z0BfnCiY7Iz+ygxPXpI2ymWFx1gIsiMMYQA5D0OzXrWrtXMegVBIOPWX&#10;CziKMe6f9wASQnh6enp6/PLmzZsvX7589c37fmh+/e3Xu7f3q/X6y9ODe3MfU4opgVjHKqM/AE1o&#10;bm9uYozb9YaF26bFNxiHYb1ep5QI8XLpmyYQ0Wa9abtOje/M0q5WTWhAhIhCaNAqEBHk2mkIoN4A&#10;R448eC2qWIS5TOoQQcULO4+6ShZ4a0TSFggconl2xdwjY2ZmJRtmeTUDXGNqx5geWxFVJxBQ04Ag&#10;S7m6MnnJlNtUZSOyYFfvr5oZSBHR8dq6VwjAVfG6mTJShq3xJyP8qFVQVeq4zGrc14BAmDi9hLfq&#10;g58Jr9riVAFUny/zUfnAe3NSeCX9IsCcNCS8BrS+MoOQ6BqrloosTMU8O14rtqMNQFbrV39Imqs1&#10;SntVSJYUc31ZisIj54xaY10yKZSsgZr3X2Xf3FoACYFZKtZYxIiRUhu+56Z9mhWII0JY6PMIYtRs&#10;ZAAhKcakTFlBYxwxY6MRohG9lDUq5cgPNA6EFu9doI9V0HaNgfPYlfoWMHhgjVUF22QKAlspKXMd&#10;ByzqKCKSI4+u61Yiw8PD57/8xd/d37Rt65xbrTqNOQRNILDG5ikOl8Pzw/N+fzmfLpf+8eHh06dP&#10;Tw+Pl35Yr9ertlt1HWgKMWBkAURmsFBDA5RWa8SUImYVOUOgOmyv1m+QIVX4KOaEHhHOtvHJoVDV&#10;1TIMruhQvmS6E0Wq3Q41zxnlD5OMl7UbaKyqCFLlCebFncwwEy8UojY00IQokJB2t/fkgwgSOhQQ&#10;4f3+6aeff2zatluvP3/5cjgdbnZbIjcMSQR2u52arl3wAkBI5LwIIlGKKeO8sQJAlJyK0TStphPs&#10;sm2qaQICppQICYm6rkNHIghEzOn29hYRU0wCkIbUD73zvo7q0v87cuScWOAoAIAggSb2IOkudC77&#10;+ZG0+pQqA2jVYhRZtWy0EDoFeV5zkEJzrKQylmKUiCACDExIWVUBQMuvsGlmwRPzuLZxRqtJER2l&#10;BMZrmF+h+5wYAZGQWSy1oviVZSLMjeL3qFCpDM2aP5INC3l+C0weiUAeDSvqVXYRFrOQamzq5smR&#10;5XLNR1DdMorGS5GoSKtEJAIe0SUWD4jkrYk6ggAmEQRQGxoIEyCZKKE2LPOhKLSyIC85OSblpgUi&#10;wEhoBbqRHIJIQsLIyaPTXcvMxUSYUkJCFsRcJbQWsV3RBmqASnGPsZEGYTTT8CyTYCTWo9ABKIIg&#10;yaiUBshpfVNLtyF9HY16L3HWmamJImCZGTpkEfUgJWEjDoSSOHJ03gvrnqJYelxktqxCE2b8q9Cg&#10;oNW84NUEsWr8EoslI+3uSy5pgwqzUEPS1UREzmHZxvMEtHgsAQpxYiJxziWOkPh4kJ9+vDw9btq2&#10;adv27v5us14jCgG6JqCwCAz9+fnw/Hx42u/3l8v5eDg/PDxcLhdGbNo2tF233vjgmSVZzl0lXuZ3&#10;ZWYCkBQdYinyWMkboM4ZjXBc7LHpdtKRdYV4jDNUQV3tAJkOUaaDMuMxCymPxoXB6plZQLJ7hTG7&#10;cPK1ONu9s6ljdgEYn8qBpwAI6MAFdEGEfGgQSONCZHegAAAgAElEQVRcTqfz6Xi4nI9//H//+Ouv&#10;v/3TH/6HIPQx7m53rm0ux/N/+2//8OXhC6f47v1Xv/72Gzn37s37zx8/McdV2yEQOUciOhwWIZWt&#10;IrNuE62P65wT4JTEeYcOQBCBQghmtkJEdImZyHESQEgsIuy8BrlOYBpCQ0RDjGxphRiFz/2QUuoA&#10;vQ8xxmzZJxZGdABWPoQlibB3CMIE7nQ+x35YrdYDJ3IOWEX10QyjPpE5sFEEJUlS3qjxsDDWgNB9&#10;IM5htvRQ0Ugc+mxgM0UhgRppkLPgS4AOnShbARJIIJolxsIs6FSyp0z98iZAK+kIgCCeQKOoRFkg&#10;6G+IzklV5UtZGkcl0SPKKVFjNnOiIy9i2hlUPW/QEZg4DuS89goi8ojgHLGwhm0afhOSGxs817oL&#10;ETVN45zTMk7ee++c88455yatbDIeeCTNXyg18MHMcNmgVPZqERZKqX1j7wyCoOWzQbkAI2JSHZBz&#10;ax0EqKqdZ4VkXGy1/Y07r5L3ayVRuTIzOzcqraY1Z9kQCzUBAYDEABxz2J2JCIaXaJKQAtY4kqkW&#10;xdrOOBIO0fA5qkQSDX4ZhIWZANCrhZmyfCXCpjtifrzOYRbLr9KMpSmMmaBFTi+iVK2fQHmR6sXt&#10;B84BKsUKwYm1wDmAJjZFH1xKSXfd5RIv58ulHzab7W6z2e62x+c9OXSEjnC9XgNIiulyOZ/Op/3x&#10;+cuXL6fTSQnQdrttmk7h58glKzWfEzCmb2n7DcvXuSJbo2gpPFvrOIUXYRY0izcFqkMqfgBlyYoG&#10;AvNnVcdEWByvqQpmVSdf4ChlrGLKGxPlxLhL1mBsF/jA6JwL6BttB/Xw8OUv//mn//iPf//l5x8f&#10;94+A8MPvv3/3/qv98aBp9ERuiBEEhiF655umPV9OCNC27fEwiID6ZR0hWZ1MM/GziNKEy+WihCLG&#10;gZmRQMsaMrMjr11AAIC12phz+hOoFcwj5FaV+gYmSwl475xz7KxdC6BczpdL37dNpwai9XotwjEm&#10;ECYSR+C9BwKi1nlC4BAcMDuC/sMlRtnebM7n4dL3iPMsrDGmMeMA5n4fU7FluuMM81LhshnFKONA&#10;5QHN46g9F4skmhM5NeYNctrjMpG2zA209JuYWJEl54xehiLWCaKMkBvxZBscAIA1JapeSoGglYXs&#10;jQStkDEDq7yuV2u3LxOjxYIY1WLBWU0x/TJzFySytqTgQgheNB0ySywA6J0z0gmQ82Dtd02XGbex&#10;SGaeAJWJGcSa9uQ3H80LmnStQxXQjL6EnEZfzEczuEuNEAjoJhpJdaUJiUr9M/qMZFemYyKi5nPo&#10;dAiy6mPb3QxlLAzZSF0/sTKO6Lq+GKyFeUlUf3QOkWhIkYUb15SJjSMLFOlGSrEdGxlA5vStAAfV&#10;IIDmVnWKYd7cRSkxIgKDeiZijOr1UBRhEU6AAkQIjvo+xWGQxCLJanSTY2774XI8Skq9yjiI2D3v&#10;VfM4n8/H4/FwOjGzd6FpmqZpvQ9ETuuGpKRO+5wrm1ehRob6jZjn4qcCp5I0oQgTUpHIK2uwOGry&#10;Xa9azfOy8DCZ6nyc6j8bpDCNwuNemEB+hH0ooaVZi9U9iuic804AgbAf4pD4w8eP//a//+3f//jH&#10;L18+d13zz3/4w3fffvuv//qv5MNp6B+fntIQt9vtpw8fV1337t3bX375BRF/+N3vfvrbzwj4/fff&#10;x5iQyHkPnEplJ+2xBcLn8+VyuazXaxa5HA/eewAgdForyVEgIgyAItq9mMVEdOv2menswINGu1bL&#10;xaQyLfz/lL1ZlyXJcSZmi7tHxF1yq+6u6gYaFIYiujFDitRoedE50p/Xi/QwOiNohkc4ILERvVbl&#10;dteIcDfTg7l7+M2sHg0DONWZN+NG+GJuu30GjJZ6jSLRh9D3vaqIRkRWldBRwXFJ/dAhOYDAziPC&#10;PJ3f3L2Z5/ObT98ej4fQ9aIkariNsbILgwlOVedAJCM/VVx63St+ZDteCpuqUGsGRIFaYkJUg0dZ&#10;20OLKVicsnKt8rTqOK3u66oStYQBP0HCCsXV3o4S4ZLKCgOXxpQvgpHMBjD/HQCgio265Pguz1DB&#10;Ipvtc+MV0IAmaBEH5t20CVtLcyAFthpNSxI0iJd6JBQAre/CAuhmErRd+uKuzKKhroxJuLYKiZnR&#10;pMmybaAAOR1Vcws8hFzCU5NG6issE7fKto9eZYG0bQlSuZiI1u1jpqqJiJq/K7vITZEzgYWZIqFi&#10;3Wip8Hq59ZfDqBZYi1edv5szuUtH0ZbNFWi1qhzVZP/Fu1rMxPblKpo9yw2PtG3BXClr2iWUJOI8&#10;ILNjSsWbpiTzjNN4PhyO8zQy0nqz3m423ntiTWk6HMYYp9VqNY6nGNPRu9PpdDoebZA+hNVq1XW9&#10;zUZEUhRtzAIsrpi6WZV8X52oV9Llcm3zZiw/fuT+jwqGVrq8kDSvbs77sDAguFj7Rm189XV9+VGj&#10;nTSxIn05hlcDYOec8+H5NO7Pow/9H//4x//rP/yH4373q7/5m3/4h7//3/7X/+WrX311e3P7v/+f&#10;/8c33323e96H3qvoarVyzCLS9/18mHfPO0QkpMPh0Ac/x1m1/6iycv9w//Dw8OWXvziP5/1uZwC6&#10;3vtpmti5zvuk6p2bYvTOha5LMYoAAjrH3vsYo+lSUIMY5g4WQYQQvPdOIhFln7Nz6EK3GjoRGYbe&#10;+w4AUkxWoBlTDH5N5JLg8TQSwReff/6rv/nrP/z+n//NL//6dD7++ON7dmeR/el8QsSCIfRiC6GU&#10;pSgAGLtTrdwAjPNZTCsri0qVhyx6w4t9bH/HrJUXxg2qIilbCa+v4mdvGGiVxQoCmqHgEKD2t39t&#10;UCMaLH3V5s3uKK5lqUITi/1gy2C+FMiWtgEhIKJm8B4EKI4lzrHSXH5u7Kgy55x+BWCtGxABVBwV&#10;qw+h9IMl6ylURBOAgiYUxo+kS0FV2i2WlUOXxTKwMVt4LhsnSACMZLlfBd2bqm5e/KagokBIpc9x&#10;YUNQxab5z14cxaJivHSzQPtrFvkt+CZqsZYWsVMmmxUNskLbXFFqMjeLpWKXGtexVJzXHPOnuJ7h&#10;7mQVoNAKFu0ok0tN9MqoPEUPNNsV60RAszty0WsQMn4eZGBb1ZQg98tJBXtfY4xznJNEU6kw2+cY&#10;5xlU+6Hv+z6EoKqiURP4LN11HM8//PCDiDjnbZB9F5z3IfTMLqWiQxX3LVhMG9FCs9WjVQ3K10tU&#10;j1B7nFpSVNU6Y13U5PYhUP568Xy8fPtHHlvfW9Me6h7BawGzfNTemUmoTGeZSH1p+5j8JWoHaqqE&#10;qE4xquLj09PT6Xx1deO9f/f27S/+/b//t7/++uuvvvrv/t3fXm2uFPS/+fmX0zj9+c//QsTe+/c/&#10;/Pjm7m6eomi6u7t7eLxPIuurjarO80xFAbKTkJkQICNgzmyO5/E8xRhFztO03W4Px6OIrNdrA/s4&#10;HI99399cXx+OR1RCRO9913Xn08l5D0Bd3/vQZYZl8QBFYeeYk3MEyqREuFmvyPm+H1TVu47IOw7z&#10;bLXkTJgk9TGmGKMkRKB/+Pv/4e7u+nQ8ff31V7v9c/C/74fhL99884//+I9g5TKXnqisk+nyuxa6&#10;hMrKAApnzkXdCABNdpYqlLCfJRpkz41WJxXlhLdMQRZyaUoDX5D0XEIpNURlyiCoJlAAcLhk6NQj&#10;s9ALmpN5qbEsZq9NRsCkSEkrMWlqIwPN2dJQE4URjPGY+o6ouaoVkZisI+Vr2q5zMWcDYo5ouNwi&#10;LnuE7Om2ntQ6+KyKxVhg1dmpgROunxBR3peUMgcvBpP1wnuN8qUAxQtr21dDEflqokn5fCJik5y+&#10;TK9lH5pN1PyK9iJcELcx7/oymOyZXKyE8m6wg14MjkYIqeXikI1Q6hLVUVUJD8tXbCNFJFm/0QoV&#10;ukjbSohQok9MCCgVVdeotzJYAELKMNDaZu0Igqomtb6CkgTQXhqjpCQxxmkax/GcJMUUUxLP3A9d&#10;33erYeXY5bxDtQ62SmAZ2+l0Ou12+++//z6EsFptrq42fd8PfY/EaG0/RKyhumaodUMeUiQkc8eX&#10;NWk57wsx8NE/aVMDBJlNL99adCBdtl/1pVfxtcH0Uz+3dF7Ocf0oo++2z24PYclSQSja74WdVLSi&#10;5ovLytRPAZAdz3F+et79+OHDrIjk2Lmvf/3r//7v/u76ant3e7tdbxAAFDer9Reff/6b//SfQTQ4&#10;t1mvp2mKMXZ9OB5O0xSHYTDtmNnX2VQI+bJWWC1sEYkxhhCsJilGifPcd9YMEU6nk4h0Xff8/CxR&#10;EbHv+z50z7vnrutU4Pr21odgMyEiVERFSYpAzN4RMKFzPKw9+8DsVQHBqbLjAClFUQRGVpkhanSe&#10;V5tNF/wvfvFX03j65JNP+34Vuq7rVp988kn///zmd//0uxQjKOZc1loAvOhjgIAEmpZ020JKjd5c&#10;tx4aYrPbGgeXqaGFH4CiohZ4Ettc8xiq4RQU0i0DW8QdVFWjsI0LIhRVbBumIbwswMj6Z+MGy9RG&#10;uce5dX7LO4yIhsADRX2C4nYrCI85upmaU2aVTzb4ar408ZFsX5ECIrjzPI/zTN4JKBABMxCCZOtp&#10;OTV5xYCJUCHrvVVUIiIiaf6/zYqYIVc2ZOZma1KFhGavJaSm+sRmb7VPiyL/6sr8qEiD7FyAfPei&#10;vC/yoe5h3pbWUiGAVKQrNBCw1PCQl+2ByjAqiVTx0ZT35XF+9Mq7YJDM2Y9HUKWZgmo2RLKpZg5L&#10;KaYTIDIBYFJUqO3amoEpFA1MY1JAa6Edre2sKlhX83Gaz+fRuI+IOM+Oqe9CCKHvutB5xgzEhwhs&#10;3eyICWG/359OZ4vBbrdXfd8Pw2a1GpgJ0Knh04ECkEAxn81NatFgRfnYQtVf4WNKwwUBFITNKpwQ&#10;Oetli7cZGu3CdvNjkatCLR99NdYSh1ZQVcpoF7wVG6/Gb74XBYEXEzJt94X/RC9fANl+mlI6jWcf&#10;gmP39PwcQhiPx/1+9+XPvnj32adc3P23NzcfHh+D93OMKaXr6+v3798/PDx8/euvfnz//nQ6f/nl&#10;p+fT6enxcfv5u4Jda2d5iVWqSkkHsqqISNSraopJkpSyMEBeMNhL5CgLzjRH8KGcTqnI54SESEw+&#10;hMGx90yE6LwD9ICsgqAIyJoQsGNS3znnOu+9Y9cN/uq2Dx0PQ2Bi77u720+9D9M8+uBNzhFxgliJ&#10;ajkaFzI7byjBwiSyLFmI5UJhbb558Ul+S36ArZ0ooohqEqbmXAPUkqwavSjyZMGqL2zhYrCwiAFj&#10;R5ee13rHMl9jszkxWLN5wsTGZoFLgZJlaWIxIQAANBV+SIBLlmdKBn6PzeAXN0z281u5liizuvP5&#10;fBrPyDTOUzf0nFELqq/GBH0265bCn0YvM02nqonGSqp7LQePmm22oWQ7q+R7I6IUJpPXCV8yHczp&#10;u4sRULZsOYvYiGFEbM98fQgsVsvCPqriBqUiB/O65ocvA6s7Wr1qRfMpD/wI0HqlwsWOwYpHqqj5&#10;XygfFs2jjt/0AgsCVJe9ggklNPTwTHn1Ryw7QoSiMI4ynk8xJRVFpJTkPI6Hw3GcRgOX6fqu67x5&#10;w7z35cCgcZmMiCoyz/M0zo+Pj3aYN+vt9c01O0ZgA1S3/OxyLoprlEj1YjXa6pCWF7yWKG2gCy9B&#10;Qv/V1+I7/K+598KawQtKgP+/51y8qD6KiHJ3yIYOLdenlW3tVeWZiLB3IYTn0zin+er6Wub4p9//&#10;/vH29pO7uzd3d6SqgAIgMaUYmSgSKdD94wdi3m63h8PBMW/WmxgjO3d9c21JpVkqm5xuXu29X61W&#10;ROS9NxqwkbBjhNIDN4v7fEDYMJCLQybzIzSvuxISKpIiAoXQr4bNPM0OCVGJnEIQsRxZYvbBcd/1&#10;3nEIYbXebNfbzWa1vV5d3a6dR+8ZBLijvgtA6lWJKKZoVGQIRfWEthqCMSiLPZIpQE0MpnJ/eKXx&#10;XNLCcr9q0Zq0OLeyvWEWfHH7mzVTWfkFZ1jcWkuGVDFE6rsMT+SjKhdYalUTJizTNF8dJFDS4ihL&#10;yeqJiBgtQKQZrsUIAc1BkyTnfQACIeRmplKZWI3BtB+iaZciiuiIc5FHnm6dDuYugVQWtPJHAECm&#10;zLsvatmK1lY4XK0KsjVFk+SNHtDIp0WWqIlTyNKo3d0sP8riZ1N2cWmVMsbMk+1vOZagxWxqtRIb&#10;rflu6sTzQwsSymKOZgOlqfu/2Gkt9pbWYWXMG4W6MSmlkv5B1l/IOjXZ4pYB1PVZXPINRUNeW2lg&#10;xBe1qk5toVBm9gS7XTwdD+M4WuqqD900juN4Dj6ErvPeD8PgHDmXa9ss0w8Rjbmo6vl8Ph6OEkWS&#10;ehc22+3QD33fd31vng+wAjhANkjGvHIvhesLHlr3XUrbCNW6mO0tF1fNx6lgCvLq4ZorlLRRKX4q&#10;hP7xq9nuFyKjPP8nn1at5Qs5CmAaG7RwVPVd7RvrvOqiIaIqhBAUIMa42Wym84hIXRe6EAxPz/z/&#10;83SyloKqSsyHw9E73m638zzP83xzfT2sVynGvrvZrgZzeOTFLKcKAYl4vV4xUei64INzLnifkjjv&#10;Q/CSNITgnVNIoMLM3rkMgIjEVPEQ0TtHpJxZghAyE5OSkicKKSYkJgJETzyw65zzw9Cv1qurzXqz&#10;6fvBMVPXD8PQD0PnPQLVrPO6E8BMRO40nkWFCLWJvohY5pBSxaCErCBW1zwgIGRkZaixmarQ62I8&#10;tHZNpWpVtYabhVbsziwSzBsJorhAulXm1ygWiBaEAK116MV1UVhORqY38qpmRNFK3QKik2kHStn5&#10;4n+D7DGz4llVczopEdtCISIRAyJKQhEkzg4vSDUAU0P9eplLnGsGJEkCAXWh77u+64chdJ1F1Ikz&#10;aKmdBCji96U2d6kJMrNFdrSdn8XENZkrrB5vLGA2NSgBlw70XPLyiqe0sQ1EUkjZvdDsdx1n2UFd&#10;2sLjkquuBWU6M6YGnb59cwNSh/X5hXZrwW19oQ2ysW0uyFEUxJptIyKQpoSgWsoNpYitbJsioChS&#10;raxcVuSiMhypwPTkGCEWiQt2hgCUEJlIJE7j+fnpSRWIfd9FRVwNw3az7YbBOReCF0mS4jAMprTa&#10;as3TPMUpxvj8/DyeR8duu7m6u3vT94MlKANYhKZSBiEq8aJqVZmx7EujT7Rb1m5386fFcqgmKEC2&#10;J4tHE0pW8Evp9a+QJx8zIMryL3SWef1/yYIppglm5/Kl6bMY7i+m/NG324dUKHaapnmeum6Ypmma&#10;pr7vVqsVMxGgaLLI1jTHzXo9DANM8/F4XK1WXfDee1UeVqu+77fbKyJCFUZElRQFGanWJ2TNDFd9&#10;P3S9KkCn281arfbFuRSjqDKxRfLWwyCqwfvb62sikpQcsfPh6mo79D0zr/qe2ao7hNk5YhQSAgQC&#10;Yh+6vu+7buiHbfD9arW6vr66ut5s1n0/uBDM84n5CFRtH8weUE3pNB5jmqdp+vH9j3/6wx/O53Ob&#10;OwoAVTdvdhCsdQhmZeVi5UUEK+UoLEgLVXFdHpx/zi5hi6qLMJHJryqZ2q9U+s+fmzOqjK5i3tj3&#10;zHuO2SNTUp+qStxUy6mqdUaL85SSIJHzQZURwRxbjNmyqQEQFfWOU1JCBELIZXuqKp5ZECWJTZwI&#10;UxlAnbiWbjF1YSXOxGR1q85mYIW4WHXOxVzMy5v9TuXMLPpO25CgCBV9oechAJp0z0fN2PnLHWr2&#10;HuDC1MgHrCxKy5L+C7zD1D3NVawAoOZAWLxraGQBhRVrlR/FLIPFpwyZf7ZkWmfQTCW/tGgly3Jq&#10;WRtciHlZKlVVSJnWEDPgvYDgAtugkNDyFBsBCJp5QRF4dU11sS9BJSWJ8zyPx+NhNayC9967YbVy&#10;7JkdB8/suhAQ9OnpcTUMfd8j4HkcD/vD4+PTNE3MHHy4/uym74a+G7quM0rAy6YUWsBWXvBTgCWt&#10;vJUu0uBSaLG7l5VtJNOiGGbrrKHTUlXzX3n9lEh7zfHrzRn0Ci++/hMXNRusrRy6VFehMVfhtWm1&#10;cFG0IjhQVXYMiilp50z8qw9hs92yYa4gCYgIiAh533VdAhz3+77vr7bb4J2qDqvBHFhEpElANcY5&#10;TqNnYkRGYCr9BpkQVYHYsJAVmMl6E7P3pqSpsqoSkkgiIqvcTtY1BDl4F0IHAM4xqSJTBsYgJGTq&#10;3Pbqent1c3N9fXt9e3W17fpAzMH7vu98cNXPZsp9dgYoQHF4RYnj+Xw+7v/85z8/7Z52u937+w+P&#10;jw/zPJVYksUhl/DmsryAiJS08JlSVarV0KwbU5VSvWCs2B5vaL8BqiqpAo0Xmsm73pB3PQsKYP5D&#10;M1rgsva4vIYq0Zv3qNg3ChepUwTwzfffxxjv3rxx3jNp2VPjTJIXVs2LkrzzTAAASQAJCBRBBdQH&#10;VmVJUUVjaSULTTMYAHDO2RE24zWlKKCKjAJI6CCJpmSmXCa6Riu/kDOXk32tnJbq1iVBot5c7r/g&#10;zVXbXJSIfISrfbo4Dary27AGgVfc/kVVSi0cKUZkdRypag3L1x3NVk41hbFxSdteVtomzBGFPK/G&#10;AJJXHKoulCyvLHNpvCKFby6RpGwJNUK9HJucJ2augBfZB1gFV4WCUBnH4373JGleDf311XZYb7pu&#10;8D7EmHwIzvl+tfLOpThJTPM4MZICHHaHx6en8Xxm5uvt9d3dmxACkbvYlyZICGAuu4+kjy+MtXzx&#10;tb5Sybee4bpQVQ5dyABtnt+8a1mKZmELoX50cy5cWB/9q2rBA7o05V/dSy8+r0RFr75SNtx0Fyhn&#10;guo4dQllZX8tKjrn7u7uJlFVDSHc3NxsNhvzmjNSEkHE0PcwjewDJdlst10IwbkuBEQgQgHlUgAg&#10;qufT6bDfoQiCuiIkmJmYzPfAzgwkK0pbIMarBc8WsSBGUFThjKSEXdcZA7Lxk2HCIDhmz74Lq2Ho&#10;N5ur25urvh+6zjODGgVZNAEUlIp72txKIpLiNIukGOPhcLj/8P7Dh/fff//dw+Pj4bg7T1NMMxPG&#10;KEVyvBAVxtDzyc2QP8UhVjl+5hGgqmpZng0zufC1vKai9iqannnEjdrbFLLLgRU3HZZSnZI8kQFA&#10;jc1agJMWnnDB8S3h77Q/zDFeX12lNBOIYwNQzPoyoRIooDhGVGDQ3nsFUGQkO4BJFXwIc4zzeJ6n&#10;hCJ1u9tja6KlZcuqiUAN2sxBsaqMxTPkGEY9SwhQ0ES1ElY+tHrRfK3WI9pKV45SVU1EIC7lhM1O&#10;lITrVnm8dCZcbhtdqswvDvzHBP9rxoFQctmxGsgIF2Gk5labV6k7z3Zqw9byg8q7XtDYTyq8+jHv&#10;TSWa8tx8HPLK55UxBIoFfK3wMTRsbWNSUDhUSmm3ewbQ66ur7Vqc8+Yxd8yn83mz2QzD2gUPCufz&#10;dDwe52lCJHaO2a2H1Zu7u77r+27oh8EoJUsCAwXJ2Ae2rZbah4iG+nUx3demH2JNt/84f69iaWEN&#10;jeABWT4sewV1Xxqir09b7oBXpIWvzBdsDI7qGFm8AeacgI+PvNnKxVyFyyXQQl2wULzpK9kQrNqI&#10;/ccxRwVmDt5P48SOHfK7d+9WqxURVnpSgGmaRNJms00IzvnOexCxHhrMzKjMrCKzyOlweH5+Pu33&#10;Kc6SIqlyBsynkoqgSGifiErdL0QkQsJcj8+OnfP2TSBCJO88O2cskh0xQCIKPgADIfZd98UX70Cx&#10;6/vguTIbzG2naljUqEhFIMb5fD6fz+fHh/vT6bDf7/f73X6/Px72+8PhfD7FFA2VBpbQSl7ziyzA&#10;ReNRIhRLGxExSmniwVpztF9ssd1Al0gtZfNy10i6fGPzxRwYLxSCiCSScQbs7W0tR5Xl2UeKIIIE&#10;uf2BQu1qgogIpjgjvHv3bpomBJjHkRw6AmQiJGYGRccgSRS1D+z6QIRX62vnyAXvPCdJ4zSeTmdr&#10;5KRp1DRTofUXckWtyZhzJXdZESJmxKzkHDsCdJzhlVGBCa0IXIvjD4mVSp/5RW0HwtyRtEnzBzBZ&#10;W+oNoWplpvgwZYA2yhZDDRNdshhczmWztU0mZCYbbE6yFtaCF6cY88uy5My2ctVQDBtZRAnMcVDN&#10;6hzAuExsWhoB1fdC0eVaSqrbAJeGlzGAOotXYjKDsOUFaOTMJbG+4GsCJb/M9DzOtAdiHkBJTLTq&#10;ByKOKYloF0LwXhUeHh42m+3Wuek8zvP0vHs+H0/J+/Vq49nf3twMq1XXdUyuDrjuqqogkUWJVBWM&#10;rHRRQuuqVbO+WZ9mgxph8FqfgMuFglYPlTpNkSI9WlGEiArpp2SANnt7STPtjpQ7X31XM/GjkXHT&#10;7xuqPVet8Lxr+vIh5usoR8ZGYv3isHSsah3ClpYTP3z4AN6/fffufDgz8zxN+/1h6LvrzRoQk+oP&#10;P/5wv9sRU98P7BhFiTlpcs4gjMm8WCnG3fPz+XQSEVAFUZGUYgTI+dSIqGB1XaqizCySKm6eFXsY&#10;nqPp2cwkqgZu5px3wQOid449ByLHfhhWoTvdXN+9ubvbbFYKSEiFgM11TlVvSiopzjFGiXEcz6fj&#10;8Xm32+/2T0/35/P5dDqN53Gap3maxmmUZDxaiDCpGHfHyk+qOljMF8mgiLaTCqCSVKAa/SoiNffr&#10;BfFUGsuyJ5eekEg+2wXAK9OVnZKcBLqAP2WrRBWzQVJZePWUXXYmNkbj2BJ0DZJFEKE28hFNzEjo&#10;b25u5mmyCLRgCow+uN6H0IUUk4j0IQDidr1ZDSvn3bpfqapqGufxeDg8P+9EEjKBzKgAAID/f0nj&#10;NEc5zwLk2DIJGz9E7W5p9gUzOQbHwA4cM1laIaE1UQNLIjIEEVNSmrJxwKWFNaFloCkQUTKACEMZ&#10;KSfJuIqqImjuu6nljGUzBokoxtiw45y29kL428pnmNISccsHj7KCqQoiqWQIGOZkURJMBGJT1Gas&#10;0GozivcLEQgxI/wXjfWSsKBVLnKrourPyiOFAgxeXC3m0wAAIABJREFUl22RI7k2JeOuFVaI1StW&#10;RYcZJlXc5C+p5izHZmwFPGZRoUpCGoCkZAGRrhskRQBYr7sk2vd9CP2H+4enh8ftenM+nk7Hk6iw&#10;47u7u6ubm6vNFSL2vXU/Lb5IrK6LDNFWoMfrdpdxqdZ8y4LOeVF8ugjUZo3x1b7XZW+/uzyElk+k&#10;ej1UofFGWoPVygusUjaPNqekl18WW/ZCmC2WUN3PgjbSzsXmejF+VZPB9etZccFF9jam1gu3e6HA&#10;steImFJCdoTomBUpzrOkdDydnh/uH+7v37797O//7m998DHJ+4cPT4eDAFp2scSoKQFo8H5O8Xw6&#10;eXZxmg/7/fGw14IQSNaAHQCgtJe1hC2tBAwiaYmgJhBNjEufG8csYgY0qCo5BjBVVx2h877r+r5b&#10;daFbrwfEWoTbbgUCSEppnqf9frff7w77/Xg+H0+HcRzP5/M0TuN0ivM8TzHGGNM8z1GsQFiiqBJT&#10;TGIlvXlqVl9oQLH1lAKogoHjXay6GtMHqCTd7OdLksj3Vdqrbk+jDyjsRhGskS9agWCxB3KOWeXB&#10;xqzAaq5zahwhAOduBTkdt5g+WYhRWTrHPMeZmVNSR77rOwAhB1eb7Xq9Xq9Xfdedz+PpcFyvVuM0&#10;MpFzADLvdg+SRCUlEE1z53GOGtMoaUSNmubj/rA7zmG17YfViwUxIyGlyCWSjxkoE5xqAlKFpCBA&#10;wFx6VxZ4Ocmx6SXGYAUNiGSUBIRAbPkhAAXWRpUKVzJ2adVGUQS1CGLIXoAS+7WzjQAIVvBatheZ&#10;TOYlkZqdiIwZvRptL8Cw9iifyJr2UVi3fYxQBSBhsUYQmNES2HHpaqJQ0GCq9dmwj8Ig879UyFat&#10;bKjQmf2HRATBWT4IYsHjx1yThACGLQ0Le0OsMqtYMxVGDJuBZKekNNQKDUsufM+50A0bVPDBmYKZ&#10;4eZUfvz+u+vra8fu6uam64e+H8x1bqpXsiJPBAVNSQ1FxggCFCw0grAwQyypIpoB0rGwXckpmzbq&#10;S0tFXwz4QqgsH14Kp2V65qrXxtTk4kbPTCFJ6Z6k5o6wAWQ5kX2e9RWaNZbGdK5NAbIsJUSxuISZ&#10;+wJF9GLdlLwXS3qoFqq+MOasTKnGbOsXM4OCihRA6ABAUrraXinR/fv3wfcxxn/505+fn5+fDvth&#10;u1mtV+dxejoeBBRAmRAloYqIgIqkNJ5Ox+PherWaT+fj03OcZ0JAICZmpmOcrY1S2TQDnGhEKLJk&#10;VF3THaluDyNJElBSw9lA0CiAFFMkUmBggumsQ9ethn6zHnJKGIgKxpQkpTlOEuM4nk7H0+Gwf949&#10;n06HaZzneR6ncZ6tbDTO8ygSk/0vpSTR4EiybhETFRiLpEJFwotAPmH5lGQ0Clt5Ke7FyvIaaizW&#10;cFu8pWLKKDNZXZNoAjC925bNlOj8PiJkQANOMg5sFaqmf1t1vFnFOa5qJgsB5voyKkGX7JkUFVWh&#10;XPgGTOSddw4RB8eMCCLSdUE0btar27u7YRiYeB4nRtQYd7un+/sPwYeuC85bWxaQOc0xiswxzcfj&#10;/ng+JdE0z96hY1JVSWLRIEv1gCagpGb+MWaaVxARVwBXNOvhqrlKv1ySD/+Si4aXlW71DFeVGysb&#10;yF6CfOoUgACJHeZj1oS8oWz8wrcvGEz1eNRnWrGrgrn/iyZBRYhqqv4IbM9s/gQRqrcHbNOSVYAi&#10;AihfdgnV5WtY7J+FSVSWCggI/DI/skB22mNy5wZQgVTsDbjgKoU1aX5FW/tWnlw4WhE8WoyeUkSy&#10;xAkyW3DszB+UC98AELDz4fbmtu+7d2/fhb7zXQ+w1EVllfklTy/Zk43TyMSvlkNYPs6FyUSASJdO&#10;pkXAtNKiTD5P0VQVALjID/uYA60s3RLDr9hLWcnyWWIAFDBnG2JKkvmSLnRRlZKLwVzqFlkklfdV&#10;Y7PeltUEqM7ji+tSuOqSLAutjLkwaUiJSLIGJ+MUidl5BwDdavXp23dv3tzdPz09PD3FlESF2UkS&#10;VFCROMc4zxITEzLiZljP47jb7U+nE4gKqCdSYhEhYtPsmVlEMIchTMloe+iCGfCIQIRpnoMPFngP&#10;5E0YOxfMPC/QURExiKT1avXu3WchBBVDl5BpnHe73fFw3O0eT+fTOJ0tFXuaxhhjMhkSU4ZVUolx&#10;FDFY7tSU+OmynqXPoFGX5BZMbQ5YWfey+QqiNb2orj9AhRusCYFmaWQ8/Rw0sPZJBVGSKLdcBgRA&#10;EWEmx4ygEnOLHSLThAVRgZCp+P9VatyPmSyGZclFTLmhllEugSADiLLnVd/3Xdf1YT2shvXQh040&#10;xXl2zu32T8TIBBrjlMbj8ayqKunp8WH3/HTY7VKK25urlIQUUhJJIpBEZhNRCqqCjl3Xhb5LyBny&#10;2ESAYybP7BwCeOedIyJwyGaakClEhWlmPljBAAqyRXOKC5cn4gpSXc7Lwvlb3oH10C8mp2rJ786H&#10;XMRARKAo65CTbrR9r1aAgOoJKdaSiGTzo2EwRRNe7LjyqCr+Lg554ShaZE+Gfst8E7NBplW2LF7+&#10;otXmZKFlJAhYseTKdPLUsxmsSEAExMCWR9Dko+WifFoWoWFU+WGYjfHGxHxx2UHRstH2HxUVSH3f&#10;/+LLLxFxvV4TMzIDkHHcWqDbioEqPxDRPKfYJMVrSVori5EXEypJLJoIVN8i1CiFLiAEAPlgF4r5&#10;+NQW2gBQrPp+1QRAUz6uyGy8npBrLzsoxCNiFbFoPFQgmRPwtTOkTSSzqE/mKcCqUkVOmacCYO0S&#10;W1+K9UR8VPUp/t4qY4qGRKfz2a1XIQSeJhC5urler7fj8Xx9fb0aekQQ0XmeckA+JokJiTTGOE6A&#10;wEgyW8uFuH96Ph4O0zR578fzaZbETITQ94NKGs8aQpjnOc2JuQTqmadpBM7F+durK1E5Hg4AOguE&#10;0EmMpMTW6yjXfWfvtOWkpZRyvD/J+++/R+I4xdPpfDgcd7v9eDqN0zjHeY5TBeirUiSlJAIqKirT&#10;NKumuncpR18Wi7OS/IuSEW2rfQEwo2LldrvGqaqNYmIFAYBypSSikrkDQYAwafLOiwjk4kjK4F0K&#10;SAxKFpZXErTEBwB2mAAAS0GiimHmGNajGbBEyMxmzxKCK24dT+R9bd9V80PFB3e12Q6roes6Bkwq&#10;p+P+eDxKil3XTdMppvnwvEOgOMdxHFNKh8Ph/v5+nsY4TyIyn0+qmiAnOqhmnyISJBGrOWfE4L06&#10;n33mAIjAbN2jlnIiVHHOAcwiQkquDc5g4xrG7LqxIEvBDi0NZ4iwtkhrDwYsSmf+FzMqfDlXLxjF&#10;pYJHJQ+9/rllBPUHxOYML5dCwaTJvy4MDerztYSFdUnh1fpYZmLmCtKJi6aefyjTvHjr8np7C3Kd&#10;3ItZ4OKyKzO/vBaXmP138etWuQgA7QAuWJQ9sG3GUy87BnZT1s8VnHO3t7c2CouwxVRgzcwfVxqR&#10;QY6oYIGOWCS0iFBJsjJoSyRcZDGAOR2qbzMbBzXSgc1e5q3Lq1CVjsVaejWzkpChqrnFcuEsiGLo&#10;GdZ6shqCme8UKio4fVJb6oKCRpk1q8I5U02yhw0h949fVgagsiLA0vSoEsAiVJfRt+GWxVR6pfRc&#10;zhQgDH0UIUdvPvvkhkiRCblfDQzITCopxdiFDlViSmmeVSwBA3ofpnmO83Q6jtM4juOoopIkJQke&#10;pimeDnvH3Hf++vpaUlLRzWY7ncfH8XEYQt8PxtN2e3Dsrq6vrrZXX339tUj64x//+PTw0HehH/rj&#10;/nB/f797er6+vur7/nQeq9blHQrE8XxWgMPh8Jvf/N/OBVBISbIRkmy1TYeOOR05LrgvMSaDvBBJ&#10;qklVqoDRS8jkF6e+ZR31wiUtUNQabWXPFeYQXQ3FQ47FZw4DWUzVQ6S5DEi0gVWumbuI6MjZcQIi&#10;50vTGCIVMbskiThm75yJHcyixcrtyRksscOh7w18dhh67x2oTNM4jWOKUdN02s/nI5LiFGOc5nE8&#10;n04nVXl4vD+dj45DMdpQRJxjjQlUvfdWY4XFEaKqqGK+JGKyJU9pnscJFF0N6GddP3chsSUlIibL&#10;CTPYmpKmrJrTj6iWH6tmbpIthcZnnU1mWyVaVFrjntmqbPmBdaKkktaZvR+Elj6y9OBCiw9lkZMf&#10;+5Kj2BNzFn/DNMoR/ej9lZu8/rOxJBuiiqIq16isaE46KL5BE8OoJTT5gpqxzr0YMOUVlJtJS2MP&#10;UKF1BgVELuKnOuHywgNUswkvuG12fzc536VhW7WuGo5cTRDI26SQoggqOwdoWawRYOG8L4R6rZ40&#10;kOfKC9H8sCWXGkhzZwOrjLPIjCJcyN0qZcsHWToC1BTVEq/AcuZhEb3NlOy7mLkC1ARXFfPvsWMA&#10;TMkkHzQDh1b2E0NGigQkJlpK6oyZQJU0CipJMhwhLmzLco4QADGZXZaNxTxTLLM168cSDRARRQWL&#10;lK00VYyYhZBUNcYZgmdHgsBEURVLjQEoMPKsCUFljqga2IWhY+LT8bh/fh6nSVKa45zmOc7TEIbE&#10;UQUcOQJ4enqap3mzHj57+9b5gDwxOR+AyTkOfTdkI4aO85yGfv3ZZ+9+/fW/BVUmd7/98Rdffnl9&#10;fXX/4cM//e6f/vCHP3z91Vdv3rzZHw5RUgiBvXekh+P+j3/8/cPD4zxNHz588N4zOcwAzpCiJMkY&#10;beb+AlADYIUCsySSTZAMR1LMl5p2VKg172pNOLaT9cIct0+aFuRZrcmfVMByLaepua+4D4xgQFTG&#10;cSQOljFl22oKKSiAKhET5Xxi5uJSppxX1XNgtsAKMbP3ru+8y/xQQYQQQ/DD0HddYKJ5PD582O32&#10;z4RICI4dAEqKSSTFNE3TPMVpHqdpQqTT6aCqfghGrhZ5Nf9Vz+F0OgsIoeHECuZsbs2gXipkNnqO&#10;/lLG/yVjaJgkeWi6UNqpNvRCRnboRDUHP4ta/KJ0yLasmiCF+0jDsLT8gFW7rVtQnR6IaAKlyrOq&#10;87fRnaK8tg7vl+V4dVRFW1+2nmlpa2bbY5m7FRigcqj2aVXf1PZPJY5NpXNBsYyyCdHYZeW55vWP&#10;S3FcZdbNbMocEU3JBpjyVwltXc3sK4iI9a1Q31EYEZhdTRYnxeXeS4XfyF2KY29RDspCap4mQCxv&#10;Nf28FpdlAWfam7282ZKqC5rskSwgJDdKKsDgpgnm5KtqLVQGCkXoVBrQUhGSJVa2IuEjl9V35vkw&#10;QhKZ5ynn5YAVJkPr9TIpXtk32vontegd5hciWrWPGhQjQsG7U1WxLZJFlc419IlqPEYVGV+1xStW&#10;JmI5IEVPv5hSA4liJESW0GdpmQiswARplhCCIVJ4ZhIN3nvvmfhqe83M33373Y/7g4ggESsCEiuC&#10;Kio4ZiI6HY/ffvPdOJ5vrq9++ct/s91uvPMmVgsMe5V2PsWjJEFFFWR2fbcautVqWN3e3jHS+x/f&#10;r4bVu7fvfvGLL0/ns4Bur64AYff89OOP333//YD4dD6fkWieJiJnVGGQLckgmwBSitVAsYkX6W5h&#10;WzVHphYYv+Kur9aF/VLFv0DOKM1psUVpqJLClCQzToGJq9+AKNv0BAA1iQvBhpQtdcTT6fz8/Dys&#10;Nv0wmIMHqw5lRoxjR2Tl2C4wEykAITChSHLsEIGIu67rh74LXXBIaB3/pmka0zyfpuNx9wAIpJBS&#10;PI/n0+lkapSIShIAJWKj7mRjJja3nGiaY3LsVGGcpjjP0zRfbTezxA/39wB6e3Pd9a5wn+ymE0VR&#10;deaBctwFnUY1jm51PljSgCv3NrPFQj5EQAgOEBSUiHLZTr4Jy75TWrImsrxoOG2t5sj/GkNpPgKo&#10;zemL26CRHTasqnI0HLmcrNZsqj/D8v2FUZVjKABZrUBFAs7o6NkeyE3MKpdpTzNeWMUAauqn2Vps&#10;8ryqORcBEfNCLjKYC++9AEEppEl1XYjIyqdV1SxnLfaS0bSWJm+LfqBYMMeKZqxaatJwEaBNsKPc&#10;ern2jS1fxWq7therfRkze3kthpyiooqCyU2QAu5jBzgDvNeHZ0mpi6/pQo1oNwiLcbMYMyaJcPGi&#10;qSoIGosiApE0z+icSuHvqpKSZPUR6huzfVPEraiAAFIWhDmCkiVG2UQEBGR0WmaOhQlKqcvDYvBg&#10;A/qgBQ5RLOumrGk9LUWXu9ip5RJFy9VRkRgdeQb0zkESyh2v++v1ejP0kpLz/t3bz4l59/BorbAR&#10;IIqQZusMFwg5GPp+6PvNZmUV/MGFlESSpqQxiogSAhOHENIcCdm7YPyZiQHwfB41yXga73/8cP/+&#10;w/sff9xuNk9PT/vTkT2ryv39/bff/uV4PM5TdGyFHCASLYJlKF5JVABFQSRCFhWLgCkLlFUcFdVl&#10;7dE+KGRgWcCtTphTmarTshAXmq+2pt/XbbCGhw3ETNaQaSFg87YrKFiPcOd88F6ZlRRz5yYkhOC8&#10;dyZCgJGYueuCYYAGRzHNCJTSrIqd5z5wcLTfPe6eHveHwzSNTNiFwIQiEtOsKWrWQM3mA0RkxkLS&#10;Os9pvz+owma9mab4vNs973aEeH19A4C7p+fdbn8+n371q6+enh6Ox6NjGvrzdnNduhtiNlxUosxA&#10;GYLIO8VpsvgQZcR+tr6l3nlJydC2CSWbSKqgaHC5VGsyK7u48B/bfIpemWsRbd0bpxM21swS+C36&#10;dPmT6QUACESkWGuxtSioeYOrP6HldFQbBDR/qxbCC5nRssv2r1W61NEikqoYu8oj0Tr75s4Sra1c&#10;sGqd2lhHSBUxqBR1ZlPAsInI3OW2EiqCyCLWP1y1KMQFmmSReiJK1QPWCLePsiJt9HMoxkH+pA49&#10;35m/YhEXourIKpNt3wZQdLNmMasFU/w7RVwsTomy5lq3rbxiETCN1Fm2rPza8OImpnExZa1Z0Rfe&#10;9hqzzaFg69KxeP9AVc/n0XufUsjLlqqSgJWYl/yFPPisYZVCqpcNvLHJgikCRgpq9uLY0exbU1WN&#10;5iMvyWgGlFhylxFRUQGTAiqIIgqjGB6cI4cK3vu7N28+ub1Z9d2f//Sn834vd9MQNr13HjEhECoy&#10;RgVDYeTsYKGr7fZv/tu/ttz0Vd+bSng8HqdxOh6Plk4GxMzsnZ+YvXMhBEeEhBbFVdF5nr/99tvf&#10;/va3f/nLX66vr8dxfHp6enh8GOcREA1fNyXx3gGAiMY42opRgT627UmFCWWyvEw1zdaDYSObgYt5&#10;hVJMVKEu0BSduv7aImDl3TRBhQRivYExdzAy40YVBIHAUBuJMlo45Gi2gUUJIs4xImAIAUHjPNtw&#10;gNm4SgZokQioiK4Lvgt+GDp2BEkIlRBTiiJJYpo0kiYI8f333+6eHxGRmSDp6TSCKAFYVYhNIMU5&#10;irJziDhP8zTNznli9/Dw+O2334fQyadARN999/33P/wQQieCIumH7364f3iIMX3+xc8eHp66LhDx&#10;NEU2CAa1iL15fVSRAUjAaqMyB7YYjOagNTMz1tOR4wtLsqtTVWZCKka9OYhFoKZ5Zhuh/Jh5iGLh&#10;fdU5pArJnMLU2jGLxYPIuDgy8sErR7dmkS4srw3CVz5VqY0y50UojovM1DO5VopspEJjDMHlZZBE&#10;WNhGy8HVHASICCgqrcUEH3vU5WNbqZYHzOwkj9lN04jAiDpNk6gg6OFwIMJhGIjYd115AgEkRK4R&#10;yEWTh2rXNlYIvhpDVbxzln75XlEmFBSZ2uTAcnKrrMpiq0AaQZYq8orl532F/NhFNhgaPzVKg0Jx&#10;jlcO/iKwh8UWrGKp7CDWV8GiZeSftUi7RpYYS0KRAnCqaj6t8/lkOQ256yaqgFRz3MbGbDYncb4I&#10;a66lEjRkVo/ia42n0l6NTudRWTKxGQuqKdXkAqkiE1UNER6SIAozQooIxOTeXG/Wq80wDHd3d13n&#10;TsfDP//u/93tjl/+7GeeaehC590oUVUdggKQiuFTeUeeqQ++89d93xuzUBFmPh+Pj0/PkuJ6vcoc&#10;X4GZQvCr1aoLbLWYnhkRDvv9N9+k3//+n1X15ubmcDj89re/BQBRSbo0JzQ1i7OamIuoUkpUPY0Z&#10;GztrJHUTX+7gQnQACMiGb5+AsJQrXbgYIKv5XPXUrKomIWQrJLewjopYFFayjBG1MmizZVQstTTb&#10;SypJU5pjCMGxU01xHuM8xnmaw8hIMeapOSbv2Hk39sN66OdT8J7jPGmKKUUmAkJCGtYrj9oxeFS2&#10;0Aiogjrz8htUByiAEsA0nj48PL/9/HNV/fDhw/Pz7vr69u7NJ/v98fHpue97QPry51+mJMfzebXe&#10;OOfnSY+n8zjO5vgg5m+//W673Tw/65c//8QxQrJkN6u3zVtgXCKlhIDWFAoa6z8Hj9RSX6xKRCxT&#10;GzRZ+6BsTmZ/63ISCKof83KrYDFdlr1PC8vTgsSP9duIgAUPtRoiClgqNspT4eJ6QWQt34Hmdnu4&#10;ubKL8KuqcjaijKtpo0W33Ccf46Iw5gKo7KleGFf+R3OWYSNgKhMHbBKs6xSIOCVFJEKHZsSoEvE0&#10;JyL0oSNUSfMc5w8P98x0h+C9D11AALQqv+LoNMaXYwsIWqqC67LkFShyEovXsQQGiC4GWI7u8qMN&#10;u2oPl4ZgObc14lF9COXXNg8wyxeEZR8RpVb1Q/ZqAjS9f1pGXHeqETYLuby4Xhht2mQZITatPoqA&#10;KR58ifPMRFB7fWpKmuoTIMuYmjOTu2/54DlLnpw0SpgbbTGzNY0G0Bb+ssrRF+YO5LxQ1WzfSBm5&#10;iKi51EXFpaSEgiTmhIBEmDbD6pObm6urqxA6x6hpZgRHdD4ertZrAl0N3arvQGKMMwAAY3AkkjxT&#10;cmwC3+K61uYXNDNZJgCtRVGa0syMQ995R8w0jqdxGne7p8Nh9803j/McP7x///btZ9M0i6TD4ZAP&#10;zIsoenFsqFoKrFEkgmgyqWEIKBWFpVEUypkVvZQ6UGn+8lxnGm5M8WYL0IwfUWBiS3+QmB0JZmKi&#10;obEJIIKoOCIphlOpd5bT+cTIBotlFaDzPAMgEjFSjHOaY5zOIfhV33nvOu+HrnPMXXDWM0mS4ZxP&#10;CvjmzZvN1VUXwvmwA0gOHQKIleVljL8yU5VpnB4fH96++xwBd7v9w8MTs7+9eYOIjBTn+PT09Lf/&#10;7m9vb2+/+e7b9TA45kSECOv1ytgEEb3/8Ufn+Hh40vRrYodMRCySiDAlAAtfAYDCOI0AnSW1WbZt&#10;Zs4KTKwiaIWjmUHlmGipgymuHGjcnZXsMXd8q1KrUMnC39GyYI0BlOdVjdIeaCGylzKk0knWkQsl&#10;VF5ZqecjDGXhOC80HagIMHZaTIqaYSslkerimRXJBi4iQGT998p0Kveigh1Al6tnAqUMr44QiSil&#10;REjMzjLdkYzlEQCF0P/yl391Ph+/++4bUWXGaZrAkCtVvWOBxiiD5YW5+GvR5parXZA8tpzAC4Bk&#10;DhwsRcNaFrrem/0yL3dreVjzQbn/5V9NiXyhSr743sXzK49thwHFjQavMlD0BVlewrqYTywfgypX&#10;irdKwXARRURSnCORpCyNkopi/WN20cQYq3JS8h4vEtAR0DEHH6x1W991zntmds7nDCxaiKUhXgRj&#10;qMgXLHgJ20Ax7i07ViPAbBAbos45Vjk8PcyHgwu+73pk2O13f/nTnz7cP3zzL3++vrkm0OvNGjWd&#10;zzrPEzJ2wY8psgOfCEG9Q0mI2T4HYASVvu82aXM6Hb13qkk0zVGJkAlOp/3T0+Mf/vBP33///Tff&#10;fHM6n86nc4wzIZ3PJ7SlztICclyx9XqVmS1txhUBMOWu6ma0XWi1qlWPsVaJdPmnSj9tbzesAsZ4&#10;HmjLTwBylYwi4nkan58e4zQigEocx3GaRgBMYhFcnOPMCKkkdmhugoLTeO77YY4zEzdROkQEtkyO&#10;lLyDzkFg7Rw6TBBPCAwzAwKiOABNszcmGU/jPon3KuoInDN5afLX6I5UhZljnEEEROM8O+LOB++d&#10;JI3TPHT9NE3eOwT0jm9vb2+utuuhXw09qKxXK7CcTgSNcRg6Z01GUYtlki9mth4rhiYQY1IybYAd&#10;V2hLBADHDESuJDC3++IWMs8qL5S1I7goSXl56aUNS0RQPSqo9UgAgCVoFL1kMVUQwfwreMGTqvax&#10;SLKfGkBTzdA8AACKpHtxv/2AmTXDxVug5KNpfchSl6PFswtI2ZeiGRekeM/MJsfLk5GprfgAExIz&#10;OxVUJRGQhMGvuj68/eyTX//6787ng/fhb3o/xfGffve77Xbbh+7x8alUeLSOqXxsWumiqtLmWOsy&#10;EztN0LQxLhPHnNRWlqqwdcwd4prdqatZaiQRjFQrONtFxnQ2cbDd3csNLD/UAV9YS68UEQWAFzAT&#10;HxUwVWTW+jtz+Rb1QZN1tgCAAgc+zzMiUa4x1aRJIEOP1PyllFIN0ZsOO8dZUhIVlWznEnEI3rsQ&#10;Quh86Pqu67qu75mdYYIZo8ue69LJnnIBziJvIEPkcl0Hmx8BWn/fGTQpgCghyZwOT4+n7L5zUeNf&#10;vvnm4f69Z/effvMf3777XAHiPBKCd4xKIqCegRAZQBwSraCTmIhZBYiQAYjIO2aClJL3NgzRpDGJ&#10;IN4/vN/vn5nxw/v37z98YHbOm1XjMNcbodau7mU7Mn0o0GKm5tkZMlQOaqmYpVhI09akAI40xPDi&#10;atkRNhjyVODuC0UXsrT0KNIY4+m4f7h/P56OoEKg8zzPcUQkFQVUIieiziEQGdQ0ojU1oL7j1TCc&#10;z2fnvKiELgQfzNPITA5RJa2HrvPsHQ8hgAijBkfBc+eZQBBAVAgxqbjQiSr77vlwnKP43C4BASDF&#10;pACOzTql4/54PB6n83h43vEVbtarh/v742GHIJv1oBK36+vD8TSPI6NebVYEAjJv10MfWBWYqO/8&#10;zXZ9e7W52qwgnX2GQyY1RVzJ0n9EEQUQ0HuP6OpJt4X13gNYoofm8hhEkUQoSEBIrt0PJjKVmYic&#10;c1oSYcwV+JOMojntJZEjq51EebiV8VTdAapaFh1zAAAgAElEQVSadsEm4JLFfISMGh22pRV8cXPh&#10;OGjwlVq/kJObSS5iA/kQYz4ciqAlHdj8YFAyyrKdo21JzSI2W6F2MR5jREqgAqooAohONXXd5s3d&#10;zddf/frq+na92QLAajOcTgdJ6Rd/9VfH3f4f//E/z3O09L4LN1b1zF06sT6yaFjkQQkCXYgUY71l&#10;veqPCMvWLNKomIpFDCEAZiyu9lXLJuCysxfQMi/HWKRhndVPmq0vZmr/mp3dLE4WMJabKykh57iO&#10;pJRSFMk+dhMh0zRJ7tYMqpo0qiGrlpmZs82AsBZPlnU1LRmEqpBSHM8SOZ5PJ0T0zjnvAbPTn5kN&#10;Xsp777wLPvjgu9CFYP555403LTpTRgkoXDEvDSGa9w3IwL0d5NyBlJKKxuvr7f/8P/2PRJSSTudz&#10;EjHAseAZwYskQLVwhAXq++BizDB3Nm1mOp/guN/fP3y4u7vZbjaIME8TaDqO53EcUZPzbhzPIjM7&#10;TimZJ8V7n+ZoDbZfanhlh7Nw/5htDMVVUAnvkjAKNTaqi2lahj8iYuJeVdW5NtQHVgsJJQCDmKsZ&#10;RAVB1uvVZ5++mcfVPI0EaqzQe4+EBEjMCtaWgCobZcrJnIR4Op196BTUOcfsiRBVmIhUJM2bVR8c&#10;O8IhBE3RkzoCJvCOUCIipBSJSAE4hJgEiM5nUCVnBGMgAQAi4oiheFk9ewYkBQTdrobg+MOHh1Xf&#10;nae57/zQhZTieD6RSu95nk7zeLp7+7Zz3IUwjuOqD6vOHY93b+5u133uAaRa2akgo1PNaZeIfd+f&#10;U8F0oOwbdszOOSQEyV9kIlEkJscUGN08z3a66k7X2v4cp7kUMAsruTz7iCggi9x4ZYLUD7W2la6a&#10;+eWT6sPru9pof5FbFq2FIuAXH3cWIYQZSLtQYkvP2brCluU1yjeaWKrVbpbOZfXo6KzhSrlxMRHg&#10;5cOwJkoUd42514mcCqDz/TBc32w/++yTT99+Zk2wb+8+YYfs3NvPf/bu3ecP4QOzm+eY88f0YlmK&#10;xQl1MPU4fZQ1Y7us7Q2LlYHQAKkV2+vl9ixHPtf8A0Ju3HCxpAsLwEvb5l93IeKrAtkX+1mJrkRx&#10;AADACi1RM+56NkcKAIlpNxbtsCNQo+5Ro+b0/ayMG+eaY5TcbCJjFILlylOx9qrEV1GFaZKYopQw&#10;lOU1GVEQs3NMxM4571zf90PXhy5Yb1nLHzB25pxDzEdSkawERsnqu0DEUGUFEZ0jUQCgzXpljGCa&#10;ZhVIKXlHKYlCGsfRQk5JDdYr19hGsuytnJQMqvcfPvz5X/68O+y/ePfOvXsHIDOISJrnKcYRVIlA&#10;JRlXcI7BjGQVg/Vbkq6WTbQQrLH1fKzaPTQHSLW7yzaaFZIlDSIQEUqW2lrhNQBjTM+7vYpk3KPi&#10;yTSDnbPvQa1CvrxCYhJEXq06z5s0hRRnTZO1l/bOGwY8Oc6VXNYBDAFUiNjUz3EcadV778k5238m&#10;AhFQRVVPzjMzAkokcOwQJWqKKalHdg69cyoOUJMoQLQiC8coQI6tXEaJMsK9ySHn3NAPn9y9eXp6&#10;/vLnX/jg97v97fXV6XA8H/fEft133vO7zz6VOAVH19s1sxv6Vd/5X/z8Cyb65ptvh871fU/48/Vq&#10;ePvZnXOOiZIIoZUBJSBwzDX1y3t3liyeqZjgmUVoaSugCkQOHLPYMrnj/pDmaB0ChHJQDwAU1HD4&#10;s1ZbAgpQ9HUqSOlVrycLbhdXEZZIXaMCGx1ZTVjmCQjFbVdyDbISnBlq9RosjVIAAJFVUuEmZnUs&#10;Ko8Zw7i8LRvgiLmsIQeWzZzS4q9rng/FdoHCuIusyq60PHdZJlU4HxKZEirFS4kiKAkQPahDDQgd&#10;O9hebd588uarX/0ydN57b6vmgkeQvu+++OILBZ3nyaqUkGieU6PPaj6SDRe2EtNyMjH70MxY0cUF&#10;o1UnLPdnkW4MuslWJ0JUlLYQ6pLHX/y6bDHmf+o4CseoqW4N+6g8pz5n+QR/QiqVgbdX5UuZJOpE&#10;872m46dqfphVogXmKlWLR0QSpKQC2PpgFQFFkoJSKURCamLISMzZSdxMprh8jczAVCpJAJjiPC/J&#10;90UlLKjtJUs6hND3fQjBueAdr/oVO9MbPXIG/EqAYKeMDBRHkogqp1SXUdllDzBzp9rFGCWlqMnO&#10;WUwpxmQgLYaUNM+x67p3b99+wZ9/8fm74DlF6bswTcqOvPp5GiUlIkaIRu/Ga0TFGTxXyUFSUNSM&#10;VZydGWW/qi+j0oyVndkSFue5FqqxPytl0AtjbZoyO8LjeHz//Q/zPH/+sy82mw0BMgMRsQISOSZQ&#10;UnOFF6Iy0FONKU2neTyiSGBVhOCpc0SsSNmHr4Qi4BwjKiFKkmmKiMjEx+MxpdR1PXI0KgIFSWme&#10;pu161XkXp/35uEeYf/bu7brvHj/8GKcRZLq53nz65qYPfZxVUQBmxUTIMSGz90TOsSQBFEYwE9w5&#10;pwrO8Wa96ry/udr+7IvPU4qa4hdvP/3k7u79jx9u7+5urzeff/7Zze0dIYrEq+0w9CsVIabVlz9j&#10;os8+fTN0HRKtui7FOYH4jNdMCGj8GdE0Bp0sz4EIUNlliEIt4WcRERVLhEuWiuIcYyJUAHCn47Hv&#10;ulJ4haJC5HIGPkg93Vq+CYgShZmLXwiNl2ddBjN6tFmHksQk3QVvKKSjpBnQGg17hgGsWKRYyprx&#10;8yHHC6nQH4tAEgO2yYJNLRsSyPoQgCTM2YWmqmqh7Vw4hwpW3W2fq6RliFl4qJbEXMj8Wc09llcr&#10;o+O1jJUQCK21EGbpnjs5CXnuEbvgtz70t2+uPnl78/nnb7fbQQEg1wcKW6oSUtd11q0PSWtfPcTL&#10;IhUFACAomF3NBAxnxZiuanWD5T8XobwIxqxHlIXKt1WPVVUR2pDMix+KlF5oBotCv/Doi28VuaJV&#10;3gG8Fi3FcHsh3xYx09hzpeDfWhllkx+I6f+j7E2XZMeRNTFfAJCx5HZO7dXL7Z7lymxGphnT+/+W&#10;HkG6ZnNNplF313qWXCJIAu6uHw6AjMisujPstlOZkQwSBAH/fP3cVNQfD4ERDKxmMFkLovVS/CLF&#10;CHLJSIiqXFnSnR/IU8WQiMF8+/VF3bCz6UiA9RU4pNVN0Y7+FH27ggDkpii0yWFq/yMmxjGNKaVh&#10;N47DEEJotR3k5W9+Yn2hnnBc9XSwytWvviC4ukvJGYQRiBGECBPlnNUwxvjnP//xj3/6g4GmmIhR&#10;mErJhKAiMxC606lkQI/a1PfHzF7hXBVFZxdXUxGPRIIBses9SsRqBqY94iKGiFRKiYFxTRtrW2Sl&#10;rK/PRYgEbGbTNIHZOAx5Webzyy7FGCIhR6ZIIcYQiE3NRA10zrOpIhJo0Twv0/nl8SOa7IfoBLQB&#10;NLC5QUwApeRZ8rLI7e0tMy+lnE7nX3759ebmeHd7/8NPP0/TtNsdmHh/3D8+Pp5OJ0+s+vabb5fz&#10;aTfEn3/8ewrw9Vdffn56+r/+5b/dHsbjLiIs7x9umdiYxTKxAihRBIu9LIQZzBTBG4lyiFFUUGUc&#10;gmkeBv746dcUUwr8cH877HbH/S7EdHOzPxyOMQ1oNs1nxICgRDjEYAEIcYgBAZZS0DQv87zMY2Rx&#10;VbzmzEtMjIhMhKLEvEgWc3saTa17OqqYdd8qGlaagtr8Ldzc3qaU9vs9c0C3/au1j1Ar71xCe3q+&#10;+AlrAZ3/TL3aDKyxEfe9shV/iGiNcMGq9eFqoCExgGeCIqIaiNPVuk6optD6UpuhOtnnKrCqoLem&#10;sW9tpOaqBQDY8Ehs6Lw32rlZM51orRTvxvpGkNduAdg8dE7j7VFKzxYzRQOWrNM0x7AnGnbj4Ysv&#10;vvz6my//+E9fh0gcCCrJpBmoxzpVBUzPp5cff/rhhx9+mOfZRaGT3veZ70LV/TPtIde957i6MRes&#10;O1jrN5uUx6qAgrY4E+JKwrO93b/h5rqOmrxx8m958C7ck298eG2yYCvg2Yr47lRp76QVul4ErACA&#10;PFW/1WZaH1tPMVMVBNomExNRbbpDhJVD0t4YNuI62lcTsMXXK4TuwlTbKnXsIaUM2R/tCZ6aE7wa&#10;Pe7zCSEmP2Jkd6uF0FIJsK+By0Rw9dRE/1zUzICIzRSRQqD9fk9cpwgRLIZS3K2HKaVSRhG100vO&#10;BQC75wTb9ZuehlCZKaqdkXMmCszUoj4XeggDGyIIIpEXXDgdDACQrfPm+1VUUIEY5/NyPj8Pw/jN&#10;11/e3R6YKQZPkCxMfHuzSzFakVLKInlZ8vPjp2maQuSQoieMEeh+l3Yp5MUpHdEJjwgIic6np6eX&#10;0+k8D8MQY3x5OX348PHnn39OaTDAT58eSynn03Jze/PlV199+PDx5eVlt9+PaUCkn3765cv3D+fz&#10;JME4hs9Pnz58/FiW3WH8IudltxuQKKWxKKUQVDPSeDjcf14+iAizO2e9QgEoBgQITIEQwXa79Je/&#10;/CVGZsbjcV9yQaRvvvoSEHPORU0kxxhVZZmX58encRzv7m5jTMS0zDMAhBAen58R4fT8vB+Hl9O5&#10;iIzjjghVxTQO40BOkIaUSzHoRWDc81N83SGCgRJHZFJP3FUFsPDu3fvozEXMakqbegX/QVWbXwhE&#10;hA0AsVfGudKHhrXPTLV1um9hdX9gs11qi0FERI91+xLERutdfQQuHs0rD5rxDM1i8Fyctes7Im4y&#10;F7XJlHrz1TI30K2kWkXtxmODXZG3i3NX9/BGmjfR4PKmnq8hBhVYJktp0AJW+HD7brcb7x9u/vLX&#10;f/ryy3tKYObNx6GZa25r6vn88vT506dPH3/88YfPnz+ZGaKnOK99vPsP3aG0Hb//211bG1vhlTS8&#10;rAf06/X36EO7wKRrK+LtY3OZyw/t8td2I2zH9Zxffv0KnDo62it83c7D1QntIo4xl4hZdX4zuJ4u&#10;7A79NQoK/YG2d98OsnvA+kVePwtulfTL2ixsLojtYKqdRVRAcNWoyBNzqlOcKIQQQvB9jS2W1h8E&#10;ALonrw0VShEAEREDMARxWjoTVfHTRGr4CtGYCcCYKQTezk8fMLZ94bacKqopYSBmJAaAGJN5hy5a&#10;t6EaMjNEqLXiZhXMoXkZa9xLETEmzvMiuWiZHu6ONzc3pnqe9mbGARUlL7NJljJPeV7Ok5QyzzOA&#10;Eeo4BCA0LYEIAvNuTAGr5utNpTi50FhKybkMw1jEAEBE5nk+n88hRO+weXNzI0VKkYeHBw5hGIbD&#10;YT+Mw5h2RHg4HG4Oh/N+x1gCY2D84sv333/91bu73RD17u428ECwKxCQxaDs9u/3h69KuvnHzz9Z&#10;mRWU3VDFgBxyNg6YHDbynFJ0ek2vjS251NdnuMxzlkJ0MFWTIpLNwvl8EimEuMyLiByPRyLPzHQ7&#10;AcgwhMBMZt4UINTVh0hEwUEfsOsufaX51HFv1Q5V9of9fh9CAIC647YbtVkBhIiBNkunZpdBI3JA&#10;8ALano/YxZOZ92ps+82aOGmngas/1lwJLb3Ac37QDD1Tr/4Ktcm8g6eJrDoNESFeMlXVlLXu6mkP&#10;vpGYr2Rmfa5OGXYp1LqocqhbMaa6mAwBiElEp1POC5tCirv7+4c//+kPf/zTV19+dQ9kWDvgOSw6&#10;P6SpFpHy9PT04w9//+GHf7y8PC/ztA0KWefnvRzPbwl9vJCdb3zuL259Wf8DaNRNvXUO2zlbIY7N&#10;lr2+yFvgcfWtPsnbYbzGj6srtNd09Ws9utnnKpHjilcst+AFmVnvDY7rV6tujuBFSRv6s4a9V1P3&#10;+il6isrr8V+8x8vPr8DGxXcpZXtxP8f1En8EJtJmqVwEkNrj9xyqNMQeryUmAPKOXiIqNRdCRYuB&#10;SpG+2UUkxuhp1T68EEItKUWEmvPiL6srfAiNRc6zzB2rPHkBWzJAn3kiolhXC4IhmIgiuIhp5ia5&#10;Ciufnz6a2ft3747Hm5Ti+TyJTKKW8zTnaVmmmVnyRAYqEpADEyBwiP5ui3f30sFMyjLlZY4xBsZh&#10;HENInpNuSA8P76alHG9ux3EEgNNpYmYRYQ77/f4Pf/jD+XTOubx7984Abm9vb26PZjqmcYjpD3/8&#10;/sv7m8glsb1/uH9/e/ji4f4P331Dmg87eri/JUzTBIkjsCLB7f27cfd+9/D9Sy6fP/4cyAjZTBB5&#10;XrIqmoEwEVgpxdDGmEx1Op3GYSylnM9nMyAOyzwvOfe0+GFI4zhAC3YcDofPj59Pp5fD8ZBzvr07&#10;lpKH3cAhEronSWIgYMpLYeaiVopS4maSroe/N6/OqRZ/81uRUYgx9t27Naih0fX0fduPrcxtOxBr&#10;w6btSdqUsreEeAMYxGrkrFSyiCai2DqP1Cto13PXuxP3vGwitEod6YOvEs2Lt6vpUfvIdQlo9nps&#10;0MMWW/nhu9Rz6XvH08vZaFY+EkVTWpaCwHd3796/e3d/f//Xv36/Pwb3rNQG1dCc8iolLy/PT8/P&#10;Tx8+fPjw4cPp5SXnxUfmOZ2E7O6bKyHlH7YkiQuh3/zaVYm2lmEFr+TaFVS8mo/rd9fdUtjAe+OI&#10;7FJmPd685lakvv759ZP+/sBei/WtYYSrygJmq+GCGySBWmhWNQ9EJERGQmDnf3KMAYAWt2vKeRtA&#10;l/hvPun2iag2m7gOaF39enURl+Y91c1fgwv9jc/Z8Ione/WJrZ5tAFjyDJ6dVhslNged1uw715PU&#10;Ss6luezACcNiDO12agiByYi9XgIRmbdKqmFl5szPp5fD4bBVfvur6QtJPVunvZrz6VzKrFIYkQkR&#10;oXZjDTXvn6DEGALJMj09Py6fPn96enoiosPhGCKm/cDEgSgyEURQ9bwMhUqmjICmioTMcQEFVQR1&#10;yw+RTJWIEwVWfT5Pd8f7cRwB8QvkYRyfHp/dD3k4HIiYiYdhiCnt9zuRLCopRFTbDcOXDzcPt6PM&#10;L5Hx5ub2/f1dZBzSuBuc7BtDIAxEwYwxCyTk+2++j//y34g+ObeKGajq8/PLfnfIcwYpQ4polkVO&#10;Ly+mOp8nFU+QFA/Uj+MwjuO436vIHE4GstvvmDlwKDmnFO7ubhBxt9t50zmRgkQxpWUphKgaCCFL&#10;9ga3lmWelzFCZ0rqmoqrC+5SNjPiAE79bwqgYcOmsK7q+o7b97sq2uTyahF0Sd1/pUbwvlVp3bJB&#10;WDckvKXO9v2gKlVaA8Cli6CFCs3A28Y5SHSmr/Y4iIjIVgNQ9buADLj67bp0BLug9qpjvjZ9tMNt&#10;BawLzRRrd2oyS2oYAozj8a//7k9//NPXh8MhBDA27NzHqmagIHnJeZk/f/r0yy8/f/706Tydl2X2&#10;PuF9LFD1wa7P/tui1uxaamPdxZvZfuta1eKrkHEt6LDX/G+rWjb33V7uFRbWcqLLTy5+7f9eCdzt&#10;Auvg8foWWwvPWlzdH6MX5JtnR7bZ9MSnOvK2bNbk1xV/rg9fIVcAswW2/oBXPq43UaR/5c0PbXNs&#10;PlRRAH8EWd+sNjq5fsG3hl/5Bs28k464OugNvkoR5jAMQy55yYuIQGVS8AuqiHTAroKiNkUARqRQ&#10;1SirrnLIRZ5Pzz/99PP333+32+2Y3cdSa2WwxvvAzBhRVdTQUeDl+fPp5dlKTpFTjCmQBeJABAFM&#10;0OBmF4l4OT+LSM65TGfnZ4uBmJEDJo6ReYjB62AQQLRxnooupTBH5+MwZhwHMA0hpGEAIDZDDvOS&#10;F9G7hwdCKiLOqL8/Hr779ntiLjmfTicO4f72PqSoqjkvnz5/PBwOAbAsC4Mx2P37d48fS2SKkfbj&#10;/vTyPO72zOpKL0M0NIoITEvRgSOHoRTwUjnP5yoiyzyPw65kkZzJDAxKztqaQCKiR9OR2KmgATHG&#10;hKCH/XA8Hr23WNOBcBwHZzHY73eICBBFvT+6d0tT8xxLI1FDpNaTavWFtlVKRCSt9TgAtIRiBMPg&#10;7LltuRiA+dlga4C3L1HvimPief3r6u9LdnPjVZzhxk91udY3wqVqxtUSf31C32Z9z5ga1MYWDiOV&#10;xOHyi6sUcPnXnGbum8N1lCbtWS5xcOOnab9V1eyVvHbfNYvw0+P5m2+/+eu/+/N/+A9/HkZqN7RO&#10;CIaIJsvp5fzp48eX08unjx+en1+klFJyWzRVHa2vY40d9SE3SVq18ot3AU0h7cpsW1iXQQLcPqq/&#10;RVt9lZtv9WnvCkSdWGvlRL/t/+nv7k1J9/vH1XNd2QevAebKLMCN7VKHXUtbavkOcP+XnPvFe0N6&#10;t45KF7t14kBbSYBrm823nmuLMVeI2D9880E6UP3+lbFNyNULuoCljZ/yegw9sgHw2sXQ+zbVkAei&#10;QWXz85KUxkjd2JSxtpdjglr/4lkDCNJKZwLjsszMeDjsESEwqjmpjIGn7YgYgEpRU5VCCKhljBwG&#10;ToFT8B5WxIzI6C3qsY6WAOLpZJlJAhEHUmHgIcQxJVSVvAA2g6lymiKARS/yV0WigsCEZkwUiIIX&#10;VgLR6TTnIiGxmp1PJyTKuTDzOPAyTYi45LwsSwjhNtwBADON44AInz9/GkKMu2Gepvf3B2a8OR6Y&#10;dJlPRBZCZBY0Iw5ITIxpn3gYFhni/gYM1QgpghRvy6Zqh/1+iCkSE8GYgoBylCxlnue7m9sYIiF6&#10;gsdSMrrCC6SS3VT1/exmmZmJeCCtbhxfDGbKTICAhO5LVAFUjTE2jivsBqgjTQhhGEaXM1zRBAmZ&#10;AQJSoEZFbi0M4r+6J6n6rD01vZHotoAhEffiWATAUqni6rFxSlwwRHXn7PrhpdhwHb/nI9Y4RKuy&#10;vth1PmbPOGyEad02ady94OUq1NLZLjTKuuXAPAOVVhW7atye5IIAgDXRtXn2YFN8s92bOds857/8&#10;05//83/+Z6jWlQKamqIhIuWcS5lPz59//fDLr7/+ej5P83Subu9a7gcAJkWgJvV5bl6XTatggNWi&#10;ujjwta/mlcGIVxf6jaM/41Y4wiuZ+PqOvyMit5+/VrF/H0V+65r9Mq8HBm3Rqiq5etX0ISJWUfQV&#10;gGRoTFBk5fipV7gESI/KXGgfbQZeYd7151uY/zePbaYGtNfqI+fmArU176DuJK0Kh9/CgbRdoZbw&#10;vE76hu7TrnPljHBEjKCtqxciMEffdypKgA1/axJxY5hCDmgCiJBzMSnHw34chiXn8/nl4eHeOVAs&#10;i5QsaqC6LIsUcc7gmuwfeD9GwpACp0CB0LOrESt5RGAiJDX155OcT2BWChJqyYIKgYHLPE8muhsG&#10;38bedsAZzSAggKpgjFHKIoqqEFNiZiAmDoZIISSEENOyLADw9PTCTKZWuJxOpxDC+XxGxJxzE7t2&#10;c3OzzFPkMKY0pHjYDUOKIfCQwjy9SCnDOAICxcgABGzAIYXD4WAxguzSbg8YUhpnjgiFvPQKKd4P&#10;gRMRerKAIuwBvVL+uN8TsYqYATNbiyxoBe/qxWEmzxlVA1EAhMCsqsSoqgwESG5ymJmpxchGGsCU&#10;IrOn5lfhj8gIRMQppWFITn9J7Aw6SGAMgCYBmkcFqwlsYErQoKV9igCI1Zngaiu06mpsG+CKIPZC&#10;k2p5ZaaGSG/uLiQgYIBXaTMeaWu9qmpGNADWENEaCK+i0IeItYchtj95VvJWldYeTmgD7logXKB6&#10;e5zG2lnzibbf9Ul3J03gh/t7YlyWnAYCEFUpZSmlILIqPj09Pj1+enn+9Pj4eZont1ug1flXD5Qn&#10;TyhozeT22xmuxZFvlKS8Of+/87m/7239Yz/h6utVLF7M1RtXvjr/+qaX7i98ZR5deYG2An175tX1&#10;r+Zhu+q2d+logboSVQFAgYJA7qvwGn+vlq3/3wSrr46rMbyJLl3o/z7c/tYcXj31dmv08Ao0679i&#10;D3lLD7twR25viwAAVClc1+v51XySVNW0EBIhuYplvVLSzP2MKkqETMjO/e7eegBELxVCUSmSEXQ/&#10;DsN+UNWXl9M8TwSqRbLKfD7nJRcRq3XeOOyGcRh24zgOiQk+f4RSpiGEGCgwsu/K6mdGJiy5MAIi&#10;lpIZ1KScnp8Ox+MMBLOR6en5qSzzu4eHw26HCExsToigKt75BVVVU0rLMqOIGYYYOQSkiMSiGlNC&#10;dUqUMA47a0q2Z+h5tH8YhsPhcDgc1AQsIFmMfBx3aJqIDsfjOI5ffPnFuBtTJATjECnG4F2RlRAj&#10;MwPyNOdCu30YgNM47M8hEQlIIYOQAiIjuF4BhOC0YYg4DgMjeUmJ72gmVhN3GBNTazqA5qRviAjg&#10;5ouBegIwkevoqypmgMyICp6f3x+8rqyqUdSQjN+diWOMhIBWPGJQXWS++9sKJhXxpnJYDaK6nJnZ&#10;6UTbQkUC7J3lmnhuBkpTErdbsXtsXu+rLtDozUhpC/LDhXBUdIus8RS4DERr+tsml3S7Y62BxuuR&#10;vL51r8221j98e6aLLc99w4qBlnbj46cPv/58uLndiS5Fcp7n2flZxT59+vj0+Lgs55wLgElNDQUV&#10;W3thVaGBfThmLYRTxUGfhutH2Z7ZBd/bCnPD5teC70pqe/VQDXTbes5rUXv19YufWwrW78jZ38HF&#10;3/95swEuHIPbc5jZ+zr3XQRNYPpcELFZCSGhZi/6CMxtAq0twGsUefNX2xxvnvnm8fuWzZtTDW29&#10;WN2Gb+cB9pdVv9QsnIq5qobGgVTU3a6llBASEakogiF7c0A1j2SUAqZMHJuLjBtdtMeBpRRkVLX9&#10;OMQQ05hSisvt8fnpOQQ6nU7nZcnLpKKlCIId9ofDYX+8OY5jGmJkJtCynEJGHiJHxsBV2QUwb0yr&#10;WqaXZyQchjHPM5hKWU4vz4fjcZlnNTnsBsmZEO5ujsfDPoTgNWMCIKJFVRUU1QBSTEsuuRQACjEg&#10;B6IAgKi6PxzUgIg5MGHrlrs5Sil3d3ce6hctTuExjmMEQlOUklJKw3h/t4ukMezZHRpkzMZAZISa&#10;kHHJeS7Gh8hhAGAmDhwQGY0RkJmqcxArYYqhBYSaR9t4DdA9PTVbD5hI3ZBsxm7f744KsLFZnX7P&#10;DQBEJPTHBjYrCqZORxSYg8MVM3NLUtvh/pwAACAASURBVPevMIemDdfgeGj2ACCuhPA5F5Fcc5wJ&#10;Xb8zMyYyQlAA2iZ9VdOn6u9tk3cVkt5sUXxZgWHN29VeHjXIW20I2DTEbs4aA/BoVi1X3O65RpDS&#10;fOZw8Vdo0LPhW6kKIW4iPe1mLUoEXXWs0tla8gJWfBO0WdV+/fAjUj4cRvH0Di05Zy/IX5Yl5ywq&#10;DUpeu68udcuGar8hrapuaRvP/vbMhljQjZ56mqcptzUH7dH6I2/fzvr5hpMGLm2L7cDeVOd/C8yu&#10;jn6F/vNvCfGtNIdLq2ib5UK9YMtT9WtvdnJndJ8uogBAKVWGkkBMSIGDVh5MQ6zq05WldTXafvwW&#10;Wrw5Y79z/u9csI/kt77SB7mViQCg3QLGrsCCmeWcS85eCaAoiASgYGItmcmDN6IZADz/jMmQMLh7&#10;JDAxE+CpLOOQdkMgYhFx2sdlOp/PzykELUXzRKgx8hAIwMaEQwAr0/wyLYhgyoSSz4EssjGBWyrk&#10;IUxmM51KPp+eQwzjEMchMvMwhMN+d9iNRAEZH+5v729vA+N+txuHxMguTERB1IqqqAmoqDLH3f6Q&#10;RAzQAw2AZACk5rhmgCGEPkvQZLRrM+M4DsMAAGwEoK6RkwGqElfXTkoDyDykqKqEZARIRoTBGAoj&#10;QVYBJOLIIUEBqO0rCYgCInuyH3EbgwKCIqB2ioqmTRKyISh5qNywMg+pqrXGfU5h0uMjXS3rblJE&#10;AhJAN0yBDJHQIzFMK3HDdkF2bQpBVRVMCTV0X4EbBADFSVk9bIW2FT91vRJjh6UKEu5wgkuJ1o6O&#10;N00IX1zN/zUAtTULwdlWVqnBlRvfwAhrHhiAVdKiBk9utmzcONAVNXeZNw1oI1Sxf7KBmfqXtzes&#10;eh4SXp6yhlMFiUSnnOXXX396ekr9DFFxS0C1qJkampj3I4fayaDzwLVRINqFP/1/+riEmfVn63bn&#10;/4Ba3c9qJ18C8O984Tc+/T0Q2lhdv3mdt4CnS9HtCV7n0T9BREPSikDIjCK1ZEQVYow553HciZQQ&#10;wm63O51ePDO48mZepM9c7zF807y4PK5O+J1f3zQKV164doq/SNjMpNm6ljvKvs5k64Q02xuVUp4f&#10;n+Z5HoZhHEeRjMxmYirmvEqmUtTzaQIzgKpmwsovgoyMjKYll+n0bGkEAEDIOQNA0XI6nZ+fH4+H&#10;IxNGBjUgKxSIicCW6ZzxDIDATDHwkAaTbGSE7P5xT1Z2tkoVwxTePdz6m0rjbs7lfD6J2PF42O0O&#10;MfHtzf67b75JMZS8BGYwQyIRE7UKMKLZoIgCUkomrl4ig0HrZOl0H1SJDJsshk39rDMn+DJjZDOp&#10;Ysf7P4HjMBFRCAOQ0zAHYwAQAFDDGIKBIlngSByRAxREIKKAwIQhkDARMkNrbWdX8klX8wARwQse&#10;qzpIrV80qidyEuIGbKhS9COi1dJYc/IFc7pga2spxtiIFqG2tmxrh1v/MSbUbCZmoIBW5wUR0UAR&#10;Ac3QA3e98wG0VIuaqkhvdOizqg2/gpYrzEeEXr0PzYdm5v486sv90sxHRPI6Ld891EIRhKirQQGI&#10;UDnta317/75DCyI4vTl1ZV+bIXNVcrjdittfembcKmC9283mK+bNEIGmSfr+RfTEUCACFVUwNe8i&#10;BG5/ecpgZQXzSkAAqcQ52KRxUxKgi7oOdP8TOVoV79/6E7ZJuECmS2neCAgQOhI24xE3VuTr6+M1&#10;JFxbKvDqhDe1+9dP6m8CW6ZQf0YHmK7fqKqhun/ZzMyKi49hGEsRAxyGXYzRQHfjMAzDjz/KbrdT&#10;1WmatLbUa6E+XBfZFVI2Ve4NsLma2/7h1RP1r//WRaqudglIr9G6H10a1s89/crzvdSVHhWR8/n8&#10;888/i8jDwwMzGyiad3H2PGZDMClWiqQhuFYpixkDqC0I85k5sBRPh1zyMqso1WmvNfAlzwQ7MAAT&#10;pyVgjkNkRMylmHlPMwxsgZTZGIHRCDEwxsDBJTUz0WCg97dH8ESm3W7Jcjq9iEFK426/Gwa+Oe7H&#10;ITFDDAMBmonXnpEam6EgEoEh8trnhzkYoKh31CCoug5B62NSyyQalScRpZQ2NYb+ThRdcxQvtyBi&#10;BqQ0RJOlVooQGDqRIAWKIpkJlCNSAOReb0LIjCH40iYGZKjuBzJQ9ZZ6bStirylu68ZffvVVILU6&#10;WCRi524k9NC4IhGCERmY54F4f9eulyhANXH6tmraCyESESOy6/neiBXqW6u1igYAbEgEKpJSquE7&#10;Zr9uhW4AIjbF0ipyq1bYIL1pWOTytK9sX9tuTWxFwG/tje0ugcbt3wQStDIFQAIyAMTWSQtXRXvV&#10;gitlmX8XN7KySy//5Wpzbn/eyIsmWupTGBi5l6tfU1VCCKrFDJdlbpVG1S/pckk3NIgAlXGp5neu&#10;3rx6iybKCKBRw619aP0Br/V9bEoArvOgVzixnQfoi2BzbF/Q9Z8aPyZ0eGhW4WYM1292e7vXiv9r&#10;vHkTgV4fHep9BI4oIkLEqkbE3eRSVVUoBh5LKKqIgcOAhCHCPC8cExD95c9/ubk9lrzcPzx4Lsjf&#10;//63l5dntxnaUto8+2a6fh8Y3gSe1w9YT/OlvsHLq680pXX9IjnN0qbTnX/9qobaoKmsYJ4LuizL&#10;+Xyap8mzwkTKPE/ElQaXEChUSCul5DzthiOheQGNqKGZOt0solM1B+Ksk7tDRDQNyQCW6TSfTnpz&#10;kFKWZQawcUxkpLIQIoOpCSoGpIAcGMbIIYTdbmCklDhV5ntgohCDmRCymDKHYTfGLDfH42maQ0gh&#10;UIxh3I3DGE1LYK7Vlb57jdQAGcgpD4tIEQ4RAYiCmSGa8lYmoDMltinEvqLMzLlSqqxrvmdCWIpo&#10;KUMg/6sn2DlCGnLT79CD7UTMREKBQgBkJzRgxBA48sBUzMwaJ27bllCTgqz2AgKvnG1S36piDtC0&#10;Sd8adcVUeU59ebiXqLP++jWIiUE8Btt3paOLmbnHDJHMSp8QZgJgRguMod2y3tUUCGm3JzNFsxhj&#10;18Crx8kdcNakdtvbnl1A1LsdWnNw+8y7uuXllq44bF+ftbSEhgXVIAFsHGU+oYSkogqNiaDuLgL0&#10;gP+FC67Vb2ELlNTyHZeXHXsc+tt/sU8iXEq6S8FQpWnd5tBbzNcncAZB5iAmjn7NFVe/ZeaVGKtH&#10;r5UzQ5fn/sxbtpjtPfpvUEFrFR9Qiz0Iq2lqzYRbV4nPCFVygg7hbWaaqbZC2YVh0iVshUxoiSVb&#10;L6S+GlV92e0pthizfboVon4DVDYyHawlKPqyaRzviGgpDQYA4I1AUETnRRaRXMyDYQZIFGNiMQUD&#10;jgSAw7D73/7r/57GVPICAPN8Tinl//P/OP+//4+WgvW2Dp/rcLb2hFd22PbdXXD+VL/WmjrsNCj+&#10;itwo3i4SWwNlq+rRXgm1l+UIxCEgYUt+oarcVOCp7gSvNGQ0QI8C2rLMT4+fpBQm2o+RmWNkMx0j&#10;c3Q9nZnQTLXoS1lMMqERCFrv6VKpzV2LLKUA2zTNTPTp06fz+fzw8MAx/vrrh3k6v3//7vn56dPH&#10;D0NK798/jCFoVmQeh0EEACwgpsD7cdAUYgi7cQjEKXLwjrw1nkyiyCGIGhFxYDPc7cb9OBhxGni3&#10;H8cxDkM09Q1DIgiASIaK6tJaDQiKq8Icqerg6nnStQMbAiA5BHSNFAGcHEXNiIlDICZwiQwI5j12&#10;sol6Z1AiTjECCDIZgKF3UAnOu64iRgAcEANx8sXkujUSh4iBSGvz1CoVPaIQmL21USllzlmkjMPI&#10;MYQQkcixR2sAApAaKRc4i3ELpSAgoJejQBOpdc0RMhIDkneSdWipfTbrXrWan2aIHqbiGAcrigaI&#10;FoiwJbg7LICZIbVEhVUwOgBUyV+pLeuZgAhE7s5evTmILY24pk1aMy3qgzQD3QA6Mzz2DbPt8F7X&#10;hZmpTdOEiGMamBiq38tbg1E7G5snDNo29H8ViVqer2dLazOr+g6uwgk2eLMxArA/4IWka781tFOP&#10;oKrL2CZVVvFoYKCwbs4mLW3zH0AAENOanl19rmirAt1k3UatXkdVqwA7vY3bNNiFE7aX0fdLA/WV&#10;cMFVcWx/XiuEVj+YQXNmrrfXCpxW82Wr/MW1RGkLt6tC9rvHSni4BR1XYpiDl+s5yJihiMxzBsAi&#10;cjrPnqVXSpGiWUGM1C1+ZuYQd3G3GxEphoCENzc3N3fvkQz2aCrDbh9jeHj/xT9++Mcs0qaglpqa&#10;NyarmAFNm1QDa6k03hiiQjcgeu/hXuoLteLEXCK4y0IVANGswYuBl82Zl/IgunJgZCZKhGqWSyak&#10;cTcCAnuVHFHgWJOJkZGwkvWrIipY6f2XTBeVJQUmRk0UA3stZEy1rNL3jJohGppqKWjqzLXOiiAm&#10;7gsxxaLl8/MjEz99fr65ufnx55+XZdnt93qazi/nUooZns+LAcYUEZAQA1LEcLM7lDwT4TDGGOOY&#10;IkAchzgMKXFgRgZy2UrM5unABF3UDcMwDuNhvxeE27vb/X53czyEwKXoMi0pJuIE0BpZGJgAkKkW&#10;d9UgBeNoCqpCaIwgUhBxkcLMgODNJME1V0BV8awpQAQEYvaWLWRixbQUEEFVRgNTZgzB4/Rq3ocY&#10;kdxDZ2IsCojMBgkxVn0BwYi9wRmxS0U1b+RG6IFcxBgADIBjwMDzPL+cz8gUDsnD+iYSQiyIqpVV&#10;wT1+PWN/K3AQEUGaamIIBIoCSJ6Kjgzgkt+AoFs/0CpwXeZz8C42ZIKqGhCJGa35pJvWXyWg60Ve&#10;BLuKAaw60ZULhYisNUt+pXdXg7yz+ncBTrS6FLpO5w/Qb+mfK2rO+eXlhIiMHHex+du2ObguHqnr&#10;4H3mmvVgBsZ1GNTqudE2ia3bee8WDFYfV+1kt6JK+0JDoJrSunn6NXgCLrEr7l4JVmxhGL8s9FmC&#10;VW/tZlP7bEO40MfcHVNNv1jPbmDTr1R18epyRMYN1ZtfqtOkw8ZR09+M34eqMb7BnfZ1Ba/x3phc&#10;9U8+2hUwrnxHl6bMNru9z6cH6r0DUvV9FymikJdlmiYkLiJE3gjWGz8CIANACHEcx9u7u5vj8fbu&#10;5osvvhjHHTMSe2s4Dz8YIHih9ZdffZ3+5f9eprPVVlqABmL9mQ1WnLFGO2ReiqW25uyheYWBV747&#10;XxOYKhBUbDJzDGoLeMV1XOcVCIkITW0RCcTzPC/zvNvvDIzQiXCJAAOTAnhzxqIiIudpUi0AwqiI&#10;tRIkBX73cIdmRQpIisxjCgBK6OyeYG2tGMA8Tcs0mbrH1RBMrZgpGLnKtMzz50+fEZCQmKnkzMzj&#10;MHz4+HmeMwU0s2mapnne70YRiSEExCHGRCENSAwppRB4CBHQxmHYjUMMkbqKZEDMRYsiYURAlAJE&#10;FDntdvsvviBO8fb+ltmnAadpfnx8uru/3+8HM0TH9wLORhMCBwkKgByNohlIQURFU2/8LIvEIXmK&#10;MHmCmXuYjJqbyPWUaIhgCqK5LGWepWREUJWul8cYKVTzBmqSmEIt+yDjgBaJYhV4VGMwQM6eR0Td&#10;cwYKFpClBQcocIxxHMe/Pf/tdD7v9wevfDQiNSCutZO1BYDZtg5MW/cwa5IWERt1uJEBGRMpueXC&#10;jF4e1X1x1T1l3JpJhxhMSAQMLPSsAFC58gWbqdf7bes/uqy8ApgegOnnrOLn0tGxlSPYAmVdcvnu&#10;qbZAh4Um2kIIng4YAjsD0muA6U6eVaCh1/96n7wC4NaTi0YidKN1RZSNdLb+A3r+OQIzSjPaXJoQ&#10;enGbG2TaL16ft41+nYDmkNweb3mDLkPHr75yffalj/4KdTryuWi7/mvDyau305F5OyfV47a1maC2&#10;XukfmZk1gpVOcf96nK9/hUt4exPswbXIqqLJPC8qpgBqOi9ZTNGwiKIRAlFIwzAOwzDu94zkgDGO&#10;4+3tzf3Dw/FwCIEcZM2MuNq0hOY99Ezl08fPT4+f7aKcCKsSBRUqN0JYe/8EU6+kpqYfeDDZ1LQT&#10;EleT3URrTj8iEmqx7XZ3lQ5BDVzI1X7wAMMQc84vz08iMoxRNbdO6aRZtCwqOh52h8NRVUtZXh4/&#10;IioRoKmhggIAMnobNgRgImh1xFAxxcB5CY3IAJ6fnk+nE67KoNuRSF6PRwxqeZ5F9Juvv0kxxlCT&#10;rEKMyLjf7wyhSFmWZZ5n2e9C4IiUUkjRhbgNQwoxjMMAZEMaUkpO+OyxRkJEJhMzkwpihKbITLtx&#10;GHdjHFLaDT48ydnMshRiiimaIpmRGqIBCQiAUGBTAOBgxO5ZqV2zEed5zjnv6cBMnrTUK759KXqV&#10;Za24NEMgZDbVeZkenx/HYRiGhBwQPcmYAD2ED6BQu71TNUIUI2HkEL3wgryrNjA2Fc/dYyFwjc0Z&#10;eestaBoiInpQgyqJKXoOFWqrnTTzMbtQWvc49gRfqly+LhIRQGFVcZrEpUbC7W43aBBQ856RmMiY&#10;0azFptb9vJFNBu6a0G1x5Vpu7b9u2WxW71F96gYQl8LFOpxgq//vQrye5u5HWCVU3d6qKSWfR2bW&#10;Fszc6NetvQR1dyn6tFXpgMFUt6hz6UpbH7MDzPohITTTDTuPTk1eXddct5j8qtem3ApgfR7qZ53y&#10;qn99K8Jh9SxdHKt9srEzXoP61SfbP8LG+LCWrPamWlBXC9bMi4trgFFLSvHztWkktclpB2Cooti7&#10;GfaLbx/8zUH2gXhOI3NAwGlZPn74tCyZYsQYmQJSAKLIKY3j8Xg4Hm/v7+9vb2/vHu7HYaAGha7F&#10;eDdYNfW8TFP1T0WL5HyeTk+fP//tb//9b//ff8/LDLXO2dP8r15s1VKqnq8GUEmvgGsIrMdm2pQq&#10;mGmnTAUF8HpsbFONLYcQEI08WxYQCb0ZFzIVKaXkQLAbxmGIgYEZQItkydMMCjHGr758/3D/DgDm&#10;Zfrwyw/kAQwpiwiYmghwNDNTEymqKijLshRZQqBhiAbg00SEBug9RTiQU8RUtVoUGzN8DEFFzqfz&#10;fhxBZRhSjCEN8d27h6fnx+PNkQOnId4ev1KVcYhDiol4P467cSSyEGm326UhjeOooCGw24voOcqt&#10;mU0MiUCAAAlVgDHGkOK0EIc0DhRrjH6eJjUj5jQMMSZTQDUQMdDei4k4BARgVmJzG1AMApjJNJ0N&#10;PGnKqwur2t4FAzM7jyS7u0sVQZFQNJ/PL46uxFGR1MjAG2YCQI0QdNGDxgaMFIlj7TbqFhMwonr8&#10;S9XMxFJkYnN7QFuHe0Rv2xNj8uAQVv9Q7U/h24YD5yWL6kVWYeNuAFckKvVOo028lDkbHOgrc8UY&#10;38illLZBIHTY2STvStvwLf2GANcCnLWUD2DtdQGeN9DucWUM9QNbEsS2ZYWIQMumgIZzW5UeW/5D&#10;xQxAjqG787C6tn0MzSBbJWBzLXgoAKrN1mU5IPZ2GptxXoy8PngbW39zlYAoxAYrCLBpNA1bXWfN&#10;GkDnbLg4Ca2B9dbY6SNpZsPbxxty2Tqy4+8818U3qt6A/V//nF7d15Ow+vJCROuKxeaJu6DEKszh&#10;AoYByAX6tv7pwkbBDdT1VIPqbvCaYVV8eT49Pj4Rh3d3D4e7u8PxJsQAgCkNN7c393f3h8Nhtxux&#10;GgqG1kJIrv35vyZFoCxzXpaiOk+nJU95mn/58MvL0+Pj46dlnjzCj5V71Akn3Ivmk7fiBrS5QF97&#10;TT1rCkU17doa8F6xJaBnSAFAbbsHHbDR9dfaQYCIPIWDED5+fEmB7775yhmodmNSLSVPpKClEEAM&#10;wzdffXU4HEXkfOYhcGAkxBkAgIvZ83k2yLUoJJfz+ZxiRLMimSgyjyLS3KLmPp9hHJqHBFzoq3dN&#10;JkSk3TC+u7+/u7k5HHalLA/3t+AFSQFu7+7SmIYhffP117uUtOSb/RiQyIwAYkBEcF7LFEOMoYh4&#10;sq65BwbRVEWFGMCjLwTEhGippjMhM8UU0jh6iPsFERB3+/0wDByCihEqmZE5zSkpKLMqIjAjsYfP&#10;xBABz+f55fR8uLkLIQaOWiMIlamq75Gbm5smdlgtI1CIYRji/rAbxoESm1sRgEAByQDV9Vs0qwvb&#10;AJDNiDgSRwDyjlRe4+h1K74eiqr1lA1TF8zYdN9qExMTsTM0mmk1lww9bvLrhw8xpt04upK9asNu&#10;DDh1PvpKRzIhQwQyKx0ptmvZmurfhQMzA+QKTQY1TRl7VHirz2pz5myK5F8LrCtQ6QLiNzAGm+cH&#10;zXrPklU616VMlx6YKn2ViYehMh41P0O7ZUtUvwSY7UjqudSpxJodBm9VpF9gd9UBrPkE/AJyPp8B&#10;LByPIQ4tZ0EvAwY+lgodfcbQDV5XZxCxO84up8r5fPo0vuZ76X9rz7KB1fpSAIH663ttmvyOreMT&#10;4nn1a4TfKiD0V7adsYu8qUsHF2xgo88DEKKxehFf9bpss93qmvRWE+Aro65RJOZlyT//8kvO5U/f&#10;/+nf//M/3717d3t3dzgc2yS75V6TsrwKwFU/Nz9MRdWk5GWZl3l5OT2fT+eXl9Pj48fz6clUT+cX&#10;UFvynLM3LbYeCEB3ivWVcfVeVhsUvZrANQw3edcICyAiqcrpdAqBj8djYKfiMM/+3M4GIYRIrtgy&#10;BSRDBWa6vTl++fWXoPr88mygp9NSypQoBgIiJoQ0DMNuzEsWLUMKkQy0QGAilJxPL88KKGKAKEVL&#10;XlIIMcbdbhzG6IR/3fvtb+Fw2FeSaWelpECEoOqiYzeOf/zuO1G9Oe7nmYdvv0EkCmER/ZLeh0Bj&#10;iscvvojMY2TLcyRisxRwiIEYQggxBGegEVMiaknAqFILPjkEIsgqohIoEHOIIXCIMQzjMI5jiFHM&#10;vLYpDePx5mYYRwCg4BTGHgJV8zh6a8/pXnBCApV5OX/+/Pj09HT38N5r+Nf3UOVvdex7pZSqBWQl&#10;VS05z6fTc/XyO28wB+QA1csOLQra7QECYDAmSsjBALz4kIjJK96cbBg7CHg2FAdCcf6etgHVdEwj&#10;ed85bz3npZQVE/TTx8/v37/3QA40kdvy5ajqum2zExEaejgekZgDc5XYVahulMgag2E2rVXzCBAC&#10;h6q69uj+xmtv3cHXfu2IshUTfpp3ibj68EoM9e96AKM6VHm9VN2vdPEtN5BVqyUCyIRI4HFlQ2y5&#10;ZA2xujjz2TI0Mtg2REFET/PB/rJWhLM+1i4T/TsEtRcsADQsr+yfGwCuhKNX8sY9KtjuXssQtojR&#10;Nd8umxBtW7ndhdl6VU9dr9Ni0IiCoZsg2LLAsDF1Qn8pVwpBf0FXY1dzOu2N3vBm9pv/DNDzzhyJ&#10;VnNkNUMu1BFABCCrIaLahQguV04f7Qb8kJn1NHMI/+k//i//6X/9L199+w3UtwrVPYtWK4s8huli&#10;oBRvHSIipSx5KfN8Op+n0+n8/Pw0TedpmufppSwTIRVZCMlEqDMuuO7phUtuWYBXz4IXZl8GFBEq&#10;m9z69qFewTUtIsKcy7JkFYEjBObADICByGsy1LyzFiIigTJSCjyOAzNJka+/+gIR5vOp5OV0ekIA&#10;kYU8JibGRL4wFInTMCAMwxAsgwgSQ7EJlBBTGgAwxqRq0zSM47jb7RAxBDKTXsrm5l7OeRgGalXY&#10;PeWzFEduG2Iabm/cE0rjUEqhEGqBiemY0jJNcdwxA5SSp+lwPB53w2EcI2OIwRnekYAYyciDNz7j&#10;ImJoToGVZfn46dPj4+c0Dl+8/2Ic9r7qfJrVDJDEnCqWxt2eQ7Ja1o3EwEBqRZ2jk5UAgdla1jcT&#10;icjL6WVZFl+HVPkgsC1Mco1WtZZbIYJHJKTIdHp5en4cx/1+P47jjoNzWbrwbtJ0lUZUM+kgEkdo&#10;1hkzE7GnPddbktdeQ6OiIDCsBrK7nMEMIKZoTn5d0zbrflQzBJrnhb3nQVO+HV2Ig3nAxcGzfrOu&#10;WjOoYf0as68DqCU+2P5IRIjZ+2oDoJNdVqHf1PR1J5MnmfTYZoOb5oLsimxVczfyq9s0vwUw/oMP&#10;6TWPBdZ6mgukr+CxCaE3nX2VRyvsrXDpL8hrPqzlXgGi1TYDLhP7xxWrei7uOnwXsJ5j6BvMVZtu&#10;OVbB3W20V8bBdnLAU+Fdk/rtgsT+w7Zops+hirgzClsFViejxCscuLIkt7O9MVk69vQf+r26O7S+&#10;IK1wuA7eAKDSHG1dfR2ZPCX8tRV1dWxPuPphM1oiopTSn//8T//8H//54d07yRmZoGbYIwCASm3y&#10;owoAUnIuueRlnqZlWZYlz/N5WfI0ned5Xpb56fm55JxzkTxJnmKMACYm4uQT7dZUpxqbXUxt/aNa&#10;bWwu4kJKXYt1sUfEpoDgBLIECCrqLrQYIrrj0asIiRGAEIqIF1VxiEzITLthGHfjOOwC08vplBc4&#10;n19MRVWsMoZp4EAN6EOMu+PN3bsvAUnKdHNzp9OTZC1lCYwpxncP98TJEM2gdaDaewJV059c4KAY&#10;ENE0Tb0jCCKYim+UnLOUQkQRiWLQIkiopqWUSIgIpYhKMSXJWWIsoCUvKHlI4f7uZkwhMHEgDJ6n&#10;RMwcEUMMIQZCmpfZ3DPIUCQ/vTz97R9/++nnH/f7fUrDw917WFUYUgM1K+I92bSIDujFkubUKOqu&#10;JDM0AxICQg6+ok2EiESKlExtj4ewSYWvubBkba8TkRkwOoexmWopJQ5hfzjsD8eA0dkCfB8gklME&#10;IFD3NwMSIFFItZDejDlA81v1NWZm2gurET2fEdxzox68Jw7RpXgDQ5K2Ez0cxSG4EuypgOiVngDF&#10;LBCqai+ORDUkYEMEaKX7vZp+LePVFtSpt0BEZjRjtLBmMzuWeNKw1rIFBTFTbIloTZW/wI8GT+CG&#10;iH+om6hGlxG9I5k/dn83b4m96sJrstVfDG6lHrkodTxoIN9kE26EcqXkcevChbQrKvVxmmXwpll2&#10;gY4ACFr9OEhOgmQGVHlkCRHNCx+rHtAmBNxdr/05/HLoNmjDXaqNDDaovLEIoWFEH14pZZlnZk7D&#10;gFRrJtoEYsXV9QPqv2ENdL9xwD1plQAAIABJREFUbN9an08iMtF15qt+rL2cv40Qa+R7O5LNoetT&#10;XPjc+jx3KLpYCz4MXxariqBgNAzDfsfPz8/x11/jEOMQmUP1CZppycXURNXERHJe3HJZlrnkUqQs&#10;85xzWfI8L9MyL3mZSsnLkk2yqUrJzSJfzY+uHDQ9j7zZNzKoiIkAGCF7hRpVbYwMQA0CIDJXv6Dn&#10;85RiBvO8SBEp+eOvH+Ww3ByPxsxIijjPk9vlbpwhw5gOuyGalix6Pr28PD8CaGAyVSSbz1OWEg8H&#10;5Er1dLy5Pdw9UNoZIAcedgfDomxQcM4lpYJ8KKKArGpFamf1piqZ46O0sCwRnc9nbwTStjAxEnqk&#10;HwwBSskIVkrhENRMRIIGIJun6fn5SZbheDgwYWQOPDCE3ZBSZK7tgwGdcYyJmBiBar5orV/0vKnP&#10;nz/PeQLEnJdpptP5JCLIWgULkhSZssxZTueZGceiPaCupgBk4BUloCUDYO1/6evbVMGm6Zxz2e/3&#10;h+MxpYRE8zzN8zKOu2EIbSODquU8EVGKg7NcEuI4ppub4ziOHEIIkcznqhJ8NZFmSL0QCczIgIij&#10;a8ymyoE3XjlybrTWdhCRuCnDAICEZAovzy8IGMilenV3ODuLASKhiqYhUY92t4tX54kIOgAgmQk0&#10;n7Vbb4GDGyi9Z0nfnlsZZWaBgyqjKW25yAAdl6wVPtYgkDPu24aCqQvfLpGbdL4Q011Ube2Y9sjd&#10;7OgbdZUn7eEvrJ+t1Gva8SbW0fKVVTf3qgOr09EGoNvZAYCqj+qVOH7jZ++CBtXjAUTsABNq3Wmz&#10;nGpg5cKh44uie+J8XioWelzBIwRNJ6oGbPNr+Se0yfFz8qi8ZEz1Js1Cvc4Bw27odVuw9gKx+ubX&#10;B2yg6zvVxauap6j217p9Ve2S0Bb7eqmNT+jisLesqasxbzHGNuXi3RMJpmrCFADg+flRRMbdGIeY&#10;YgQi71BSSlafJhUVURVRUdVcikhRtZyXknPJuSxLybPkRURKnqVkRtRaHFQfbruQzIzMgNjMtUIk&#10;oKIwlQVUjocDGIFVH0RWAQMTzWZqtixZ1XIpRHg6nUX16fFpnicrmZlON8f57n4/jikEMJvnWUVi&#10;imcOAIosoFn1bp4XET2fz6XkEKjknPNSyvLy9GyIh3EIYSCiGOP9/UMcd8ABDKEoh0TDDglIQ3l5&#10;5hC85ZCa55auimqd9ub/cc9oESlFQgi9TU5V5w2HGKObj6qIkGIg5oCQ8xxCMKYi5TydTeX25jgM&#10;aZfiPkWUPO4GJPcMqYE7q9j5V9yGAABD4MCG4p6fUjIx3z/c//DT34npdDqJSGDkGGNKRJxFpmmZ&#10;lnw6TTHxUTUXTTGIehE7aS4etFdTQCJmqpx1qkamsiyLqo673X63IyID+PnnXz58+HB///Ddt9/H&#10;FN1/8PT49NPPP97d3X333fcASIoiuUiJKSE4iSRRZQNTMKEKke7KVXAIr8WA5OxnAACmiMCBoHSm&#10;YAJs5WrNqV97E5sZQM7548ePKSU3jhA9duIbxg0gQrRhGGOsMNY7jZipgCJyd7a3PciuLoqZayxY&#10;DZcqaqiRkm2FBhoSESoR6qYOpssEz+J1Jbg9URcBiKhmqoK1xQ0ikqlqbR956XbHLoIQnCvNVpG3&#10;kSwXYLiVOL8BMPUj6rDZLBiPQUGTbmatA8Aa1MHrG7UE02uh9spLs0HH9QSvxmmeHzerLpxrVMMY&#10;uDVNsFlOdUhYr28XvDIXqQfoGuNmYB5S6xKBWnnuawvAV82q/7uB0xnMusDfBJP6AkIwQlJcgdkJ&#10;nv3nbgohrh6K+tLfxpdm9791XI389R96PAPAF5sQsopM55NqpplCs2AQQcX7/vq/tVuoO228747k&#10;pZQieSnLUnJWkRq+rOG3tgHaAZcr0FqCGBGZlTxlzefIPLDfGsDKNJ0+P7+oOlToaZrOp1MusuQC&#10;AKUURCxZzFRl2e92iTSY0PGmMIVqGmsgVpkMDAmm6SUEyrkAkmopJU/npeRlmadS5nmaYoz87mEM&#10;IcTIQ7q9OSJ6lhYBEFAIIQUyEwhLtPPEgcUQRKnuoAYwKgCEjIFJWPKiRXVZym63H4bRDESU0J8d&#10;zDTEwCmYqonUi4RQVEcVZv58en46PWct0+N5HIfAeNw/UCAOERiQSUkJyTnIQoxxSHEYsvtemmWT&#10;OAIwINze3b6cT4Ol3WGvotM8q2kIYbc/xDgqkKrNS3l+OYsCFivFs8NIJLvtIOJ5sWCAxEQciLg2&#10;Y2q9gkIIaUi+B9Xgxx9//Pvf//73v//jsD9+9dXXAvLx46d//dd//ccPf/vuu+++/fZbBlQCM5mX&#10;uZSioogM7v4CUClSSkqMaAhgKmoFAIgSKl7uS9+ASITq0T6PkXvSh4scAqw8pYBIhjbNy+l09rY0&#10;XRkij0GxqQAgmEhMiSjUSGctGURVa8kNLUcJW6Fv+z9z8CATtlwqWqGGoCm4RESG2gRa4LUNJTbF&#10;fGOsANacl/+fszfdkh25zsX2FIEhs6Yz9Gl2N0VSlC3b9/oV9AR+CC+/rL38Bl7WldiURJHsPkMN&#10;mQkgIvb2jx2BRGadpr2cJA+rUEggEIj49vztFuFHRKjRTVr9kUbVK+huXNo4dpqErPgALbLUIOk6&#10;ao2vkgiuVPLzDvf+NJcCpjlJz9Fz82B9Te3G5h3ayBIAMDRUfAXN2w8iOm0ibYy2zR+bbotI5ziE&#10;P+NF9GKd6/bzRdbWGuVa38l6o/V9+DiZOYRgakFkBYXzQ13693zKVnFFrzr0bM5scnHlgSBcxQki&#10;llJUC1Gg1kwCzJf4ep/qglMocPnZvMrVJqlC4/WZX30LVv2Z2uLkHs1Fs7IsSoUSzq4E0Lncsc6i&#10;qhZVNS1aXPa44p9S8iYoHrLBdckQkdODVO3kvCDrIizqVdZEVjLOkHvBPjKWGXJGBVsSlgU1HZ6f&#10;X44HVDxOU8m5wQUNu0FE+q5nITTdj8Ou74auG2MMzH0XYxfNCoscT6dcMgZE5pzm6TSrQc55Op3U&#10;NM3z8fDiSiOb9kF2Mca+567fDWPVGhCBOHZ9zBmWRVNd1IfDNC/LOO6ao5sdNYpmJKxshoXBChRF&#10;mHe7mxDi6qoBcPeGSjWQTVW95KCpLzTP8/PL88vpkDQvyzTn5fHlebfvoxAKHKaTWQZIQaSzsSD1&#10;u5vaw9Lbn2Dtp+A8ZGbW9f1PH39+OT73fZ+WREzOJt8RIgXNmoouKU9zIhYAmOecUhHWnJ3SBpv5&#10;YkSMxMiM6FzB5EWzqjoMw24c27LGaZpyzp8+fZ7n2Rf/4+Pjn/70p4+ffu77HgCQwFSLZud9JyKh&#10;4C3CEDQv8wkW5l0gMVAtKaWJkILzUvtur8qxteKoWijmf21+eAasVF2qxY8rOKkrEHnLL1hNb6Sm&#10;8yIUMwkBicCr2ep2OuuIxczLPD1m7b2W/fElBDrLF7q2Wtq/FWcAPddUNqh0BjJXUbFWftQgwaqA&#10;E53DIStKejWUKhDZ6sNdi10uMcKu4G89svoftgJmPeHCOYNoja3ZrLVn2aDARsCsdQiANWPYbJtS&#10;1XK/r3DNNslODXMRoJaAIHhamotY/wkQMbe/noFyO5r1ypepWFtJYBtiFaLzHCJ4nKyyViNi3/dB&#10;AlG9/0aMAcC1gKnBIzwLmO2N2sm6eiaxBfaxJTX4VCzLUkqWwIEDrImM6OyAuMqyZiw10Xh+uouB&#10;ubJyNQ9rZq4j41dFTbOe0Wo7LDAFhdIWHrbaMgAAUzU1L1QzNG3GTClF639zTinnjAilBRzMtQZC&#10;L7DYLkifHeJq/iOaIWof2ERzytOMACUXLPr+ze3/9D//l3/98Q+fv3xhFPUYLhIwB4kiUkqJMVop&#10;TLAfhj5KFGa0yBKYmCnnRMKfv5TjKWvlyM/Hw/M0p1JKzmW/G7mLJQU0fXi4G2P39u5u7Puu71E6&#10;bt49M0CkYRzxOB+f53lZlpRV7aeffprm+Te/+e2aCYSIhJjNGFlEoMYVKYYQwtL3gyqoWhBqW9PW&#10;aj4EUy1m7CYsIuVcjtPJADjKMqVuP1DgU5q/PD3td0NJ+Xk+fsyz6cJMMQ67m4f97S0yt06C6Jl6&#10;EkiLHo/HeZ763S7l/OXLl9CHxRYRUTBVRRBEIsZimIsaoOdS51QOh6MwqxozqDMOGPgKN2JkBqvr&#10;1rUoF2xFlZhYQsq1sdjpVHMcVPX5+TnnfDgcACCEwIDTlOZ5ArCui+MwxtAxBTTTkpPOJT2LgHA0&#10;05zTPJ+YWKRDCitWuGGMpq0cAJomvzraqeapmle6GCIhWN/3ngkGriXAOZbh29PHLCGcawSr5tE2&#10;JkLR4koVVoLHptAjivB58a/gXyVinclqwJSz8i1YC+lsGxOuzPCItpoITQG3jedqRf8mjWrOzuqr&#10;uQA4AH/C9fzz1wG18lQwIq5VEdtb1MvW/j9QQ0YVhZ3dAr6KRdiSzi6tE9qiPm4zuy+dctuD6OWy&#10;NT4F1RlKeHnvs4A5T9RXBIytNS7bP5sR4lpJs3KtrQkbao1HyCeEPR+leSDb69jG8M9gvsH36lzc&#10;Iv52pK4r1XgVEzhBgpkBeNgWEJkFKmeor2BqPJleb25Ur+wvoem354Ng5praZnztD7Ce1KahnQJn&#10;z95Gi6hFi7Zeqkpxf3xru8WvZg0V7fJTSgZ0rrCqmwO4f776IdtDeAAoRwImsKwlLyVPkBfSBJo9&#10;N5wYJMb72/1+7D58826/G5jEh56yTvPS90PJZZonEUpl6bsONEEBZDidDt1u340jI8QQOdDpyMsM&#10;RkQiZqg5WclMlLUEYQbpHx5E6Nv37/oQ7/YjE/ZdAA5Qex65i0xjiBlxXpaXw+Hx5cUjDYhYtHQh&#10;rmu29pvyd22kaqpGjGa42+3bHNf0ISQgb+phIEwEFoOEGIEYyFJK07KkXAyBAu+GERiLlinNxQwJ&#10;KchPn/5iZSEElm4359/+7neGCMRIWEoBUwYCKC/PTx8//lxK/vXt3X6/n+b7w3RIKZeiy7KUUoSC&#10;mXmlkIdjl5S7LijYp0+fYwhuCbEIEZdcPLeXqdJOqgEaJdVSigQxAJHAIixiYO/evQOA/f5mHHdm&#10;8M///M9/+MOPT09PHz58+OGHH5gZVVOal2VelpmIVK3S2KScNUkoKU/ziffDrZlayZozkIcbzLMk&#10;zivewzPoQEVeBlblBZK7DcyAGEyNiNQ0xDjud9jc5gigaghW8yM2uVdb7D0jElYqVeGaFF63JLF7&#10;fFbY2SBGu4gX3PiqINLkbHtATNIw7hrQAZoT7hKkNlbORRk/YuVmxY22y8wATSatl3WqfeL23SqB&#10;seFaewitaj66AmUuu20bA1etYYK6+TfpbeCaMK7PcZbnTexeumEQcdsu8MIJViVoVSjYpVM1I6Hl&#10;3q9WThNeG0lcAX+9SDN9sAXKq45ZWYZqEB48NAdVb0Fv4dnywdTzHR1xDSqzNajVGuH1Ng6U3Gy1&#10;mh591hjWp0Z08sOVxsK/TOaEKjXtNSICs5CI5wOTuQho8cmG6c2qazOxWT9nqK9xzmbqbQSMrUZt&#10;jZbDVgc6S6iWvwe4pmq3Z6f1lfk/ZzWieYPPqZZnuVPTDv1qnhTUxxAB0EyLZmFEzZYLlZTm4zKd&#10;5vmY8mJQCDR2wXNOJfZq+vTy/H//+IeHt+/6cRSJzjT9dHj8/Onx9ubmeJyWZVKFZZm+ff/u6dPH&#10;N3c3u6H765//xH/36zcPN44GLByFglC/2wORqkUiCHxzc/v45XHX94x4e7O7vdntd6OmBFqYWQiQ&#10;udZ4GwAaaBHEZDal/Pj0/PnxizevjF1XHRriYd6q2ahqWpJ3p1c1Q53n6e72NooweeqYBUFiwSAi&#10;wKBRcJkLE+x2fVbCVIphzjDPJZUyDAMBG4CBIaGBdl3X7Yc//8e/LfPssZli6TSdUs4RcEk5pQWs&#10;dEMAW37++S9PT1/GcRdivL9/c3t79+O//xtT6LvB1IiA2PHOk78LIaScQmAt5eXw8nLYxRCJuUck&#10;4qRJAYsZATJy1csKeFa6Guxvbt6+eScSiIQi/u7v//7t2/chdg/3b5cl/e//x//5p//4k0H53/6X&#10;//X9N+8ZydBAYZqWL1+eJMjDw7deKlQsgy5OoFnKYlBMC2ghMCsFVCv5WO3bCQCoWlsGABFo9SG1&#10;DCbXrawyGWD1EbPI3d0dIlFLyKv9xciNV1PTUpRZDCuorgRgDe+9AgHcG2Ge14pEvvsrvAA4YatV&#10;YwrJu7Ftdns1hIVQZV1+Z4XxAk+t4sAr1X6Fy62ZsnXMmRmsW7VZYeatL2pFNKx699kAXGMk1mDV&#10;g2LV1GlcVwBE4oGT9Q7QILTCVMtIts1o1/Gv6O9nuj+ytrhERIRS3E94gb9t+rdAZ42LmAAAzc64&#10;tkrrJmigWZ5n0xRxVbdrqrFtPIoNp9eHbsIDsaYXIICpyztu0utSXag/10qnczZze6gLaUtV53Cp&#10;D3XQtfSFFKwbRrCBQwBkIPSCYPWMo/V+/k2lzaRZFTxeeQCICKpm6F1Ktb3B+mYAYFomQpKO2zKr&#10;Qhk2n8af4tLPhfOqPsBFhAcrAQeCsxn6wzaPUGW4AvekMTNQpUBg4jf3b8Zxd5qmnFNajqCL6qTp&#10;uJwO8+HJTDUvjBC7YEqguCxpyvnt/i6VfDo+//TTT/u7u4FQCQzZDOZUUs4A+Pj41HVhySUtqRRb&#10;loUIT8fDMk1oFiQQM6AF5sDciTzc3JpCtnK7H+clfffhmz6E3TgSwH4/7ocO0kQGahZCYDJkICd0&#10;N3+4IkwGMBdDYkYqxZs8ckoLAIy7nS8yXySqaoYi1eXAhPPpeHOz6/sgDF1gJA7MAEKMwiVQJkvL&#10;6UVNCAeRvlhkiUgpBOjABHg+Tn0MzNR3HYIJ4q4fbnc3z0WHfgiDSMDTcvT38/J0PB5fYiSRndmc&#10;0ilGiJGRaLe7RcTf/rabp1NalihCAGgKaCWleT6VUtSZCWYAlWHoAK1YJqBSCpilUorCokgC0qqt&#10;HTinJT0djqEfWAIRO17f3T2Mu1siIeTjND8+HY7TFIJ8//0PMQYwtWKExCRqgMTjfk/iAl7Vcs4J&#10;SgaLYGpaNGevaoHaPwCQpC5Tw2U6ARRvEojEBt7VBUTE1aTaE4tqqpjH8EMICIzopZqITRKoKRCV&#10;rAWgj53VHJnajB0BkZ2Jr5w3AmHNajOPmABgrcIEl+DOroLVjWnQYjCEEjvFQpq0zNJ23wYfmhRp&#10;QANbAdR0wAZlZ6mjXjfUlNBVWpzRoGLqhl1AdQ04+9VcGwWz4ilJV4FrF6pQofC6mGMFGmjiqB0/&#10;n7BeZxUwtoIjgpdnuKV17v62SkcnVNhEa7A5Ura6OpwL6TdTtBlELUjRc9X66qI8W6AAUGMuVRYB&#10;NDbTVlHUMhsIoLIc1AlYTRvc/Kcp9/gq4+Dycc7/rj+s9igDtFhiVR28ZgzNrr4OAKvrb6Ov1BC6&#10;n9NsE20m7nkkqppTds6+y9gbt1e2vvEzycDG2XbxXD4V3mUW1CNb7opEXIOTG4XDp5sQiCDGeHd3&#10;d3v3MM8zgM2n5z/+6/+1HL/k+aUcngICM0YBDiGEcDye0lw+f348nKaHdx+6YbxFjrELIbJE8+Cq&#10;IbPc3N6N435Z/m0YBkRjDiLy4Ztv7u9uTofnD9+8jzHGGNFLEAjGYSi5BCIKAQje3N+r2q8+fHN3&#10;c5uW5XQ4MKKWkuep67phGLs+uOQERK8VB1MiLCUZYuiHG71NOWdVkRD77tPnz10/9MMQYgTAZZ5S&#10;LrwmCxG75nF4eXn35r6LQcjGIRIbAwIKC0UphLocZ7QJTEo6chcBrO+62Jd8zKhqCabjsY/8cLd/&#10;uL+DUoRw1w+//93f//Wnv05p7kY2Au8sBQrLklni3f3NzT5+/vKCiDFEM+/mF1Rtv7+92d8cnp+d&#10;Rw4Do8iyLNNxKjnP83w6HZeF+q7b7UbPd1LVaZ6LJxQapaLjjtfoLyKq6penx59+/jiMO/DlQQRA&#10;gYnYEEgBiWUYBmZBdAo5195Atex3+93uZl5mJGJhwMrPPy+LmHqlraeapKWE0BEJAKsRWQMKs+Px&#10;eZ5PAEZMYOhFOyFEwOIVSIiG5IH05t0CU9Wu6zyvwXUKaI6lqqgSkbCbAtB8FL4xNVvtC3aB2QgG&#10;aup9JRpFnnnxqdUcrhZ6aV4XZoFCWPugnjf2uRBvBcd13jdU/NW6Yj5jaIWTGmuvivoKDVeA/lUU&#10;WyHPIXt1j2yh8NV14ErAbD9biP/qn7bwekailgJmsHUfQZsEN6NfVxhdPMjmi5eAuz1iVYa8Tuja&#10;fujsKwOsbXma79EMztQ4uHGKVTGz/tbeSPvTZrYvnn0zM1vA3T7ONlftrGJcnryZTLu6vrtrV+3D&#10;mi21Dma7KnwRr1n265RAEzDt0aipFjW/4moyt8vAPeMGgLhm3VTpQi1Yt0qdGlpDil0/jmPXD6YZ&#10;LT0/PQcoUcRCFLLjdCShw/Nj7PrT4UQUEKwlZ+IwDPf3D0M/hhhRWIFM8fbuPkoYYvf73/+emF8O&#10;RwJ78/bNGGUM9HC3H7vIRLHvzYyZo1C5vUtLYqYQBAj3uzHlknNyll1m7mLX9dwF6ruu63qRqpm6&#10;tlQNObOUkmfozvNMXvXJ3Hf9brfvh0FCIJJlWaZ5MUPm0IqjK+v50/NzjDEEYfT+H8rOl09GmC1P&#10;eTkwKVhJ85HDDgy7yF2gmQBNhXk/DqR6u9+NfV+OB1AjovcfPqDwy+nYDaJgXTcgCiD3w7C/2e9v&#10;etIlJRWOfd+RRELOpqVkxICIYPb89KzFujACxjnbPC9LStM0zfPMzExiBjnnpWRVJebTNImErt/F&#10;2O12O0+cKaUgovPOjeMYQvC9VoohI7TCETDo++6//tf/8u23H7o+9H2vpZRcVAuCno4HIZrM3B0H&#10;hixhPto0T7cDS+iBgkFOBilbP3Qk0dD5u5quCZbzopaB/aXVo1D1xspTgABai5drY5VcSqz96+om&#10;aFFRQsSCZbuF0WnmGo2/NV8L1DYC5zSkql9WLhzXdOlqw65qccVqp60xE99m0ATMBsRX9KjBJavx&#10;FXdkX5ffu4K/fmuLuZ5hssWOjRS5sJmgyu/1ES6geYt0TeSULX5dfV4fv7YqXl3ZUWjt+NBIEVbk&#10;vQjnbwXMdlRwIZyunwJWAdO8NKvjDl8JRYUN0zDUN1RHUHUXfyUbqp7XyvsviPOL8awP/2rpXM3h&#10;VU4gXLzTi29Zi4is4q7aZ2gt/913Al3NlW+DcRyJSEQunqpJpHbZqnH5igKy7Upz5avtEm/tdMGj&#10;uuox61P7e6lZcVhFF4twCIykeREJhDTGgY15D5pOP/38JCH86S9//v5X3wkzIgx9d3v/UKvrme8f&#10;3vT9ECRSEENBxD4MAMBIv//9PxhCStk0jV3c97Fn6APHwGDKLEgkzEwwqr48v4gICwFh18f56eXT&#10;p0+IMvTD2Pd9H2NAoT7GKMSAmUmMWZt73QigaMl5mqeXl5fnwzHltCzp/uHNuN/vb+9K2+aq5lQ3&#10;gJhyBmJCCEillGmaQgghBEZ1pBJmYUTIOR/T9JLzEbCY6ry8cNoR9ENHu54RBpEy9F3sQgxyu+t1&#10;noVQS2EiQxhv9uP97bgbu75nCCGOBsQsXdeZQS4GIETdzc3b3X7v1PW+GkpKADBN8+Hl2HW7eVaj&#10;qBis7Rw3wBBwWXJOeZrnEMLheOqHsd/d9H0XQtgmH43j7v7u4fPnz74qPJ2LfN1WXQSHYfinf/qn&#10;UnLsAhHlnBBN80Jox8Pz0Pe393dd7LQYEHXD/vjyOC8md/v93TujQMGQZ+lAhhEkmLFaq9ZubgZi&#10;zM4whoAExSxZUYNiRgZmtRZC/ZUZqEExKKqNjR8rjV0LFpRSnEi/gaetyONQvG7XlRDHjRqA2jug&#10;BWtQ9VwJBwCqxSnGq/RSU1MCA4CtgFnB8SJKUXM7Wxxla5RsUcbbnq/x0a2C7Gzb7akQETz1CJv2&#10;ejkAaBu7/vWreIebLIMrsNtec3vyFsFfCxhfYSuErTi1itstjF4NeHud9XbboV6NvA6jpZjjxm64&#10;Hp5dPAuuWV5bUYTgHDNbs+/1M25Nk69OkR+/+vrridoakat0/CUBU4fUxINWtsHqdabaHLBcDqF+&#10;ves6AGzBm8uH0hZWW8mnEAFaZt46BgSCNZcEyLNpoTRVEQAML/xj2JQwhErkwywSuo5jREBjDCHE&#10;EPe7DvNJl7Kkg6qOfXe7393sdiFEljBNOQ47CbEgJdXbuwcJEZCYI4ogknSSUxanAUTIRZkji+x2&#10;u0hGlokohABAuWQjRGYOARiJSISBwFtypWz393f39w9QSk6LBOiERcQ1ISEpJB4sNqeBQ0wpPz8/&#10;f/r0abcbQgks0vWdeRZHzR0ikSASLZdlKcUwICKTiMzzHIL7RlRNnUQZ0cCy6ikvh5JPzCCECTTP&#10;S1oOsZMu8v3tcH+/m5ebINL1oWOZT4eyLCJsRQ3gxz/+8ePTYzcO33/3ww/jvUjvJKGn08msSEDC&#10;AiDDcDvuH0KUJaXasxMJiGPs+mH88vnL3d0QO0mFFEViJ10PgDHIfr+/2e1DCDnn2PchxHG8kRi8&#10;2XZKaeXXQq9LtNrz1LtPMRO0dr2+DYmo6zqA4A4oEdGsITJYESY1nae5doJRyAW6/iYy3N7vOO4M&#10;RaJ0g3a9SuxVSWswkaAS8lrzxBffXY5NCpDNSJVr+JW1ZjNXbRPW3G4kM8ullFLMAACA/39q7cGy&#10;LMuy5Jzr0j/vXBcKHgB2WmVwJ1xRRUA079yHq8fIVj9K+3UFHzNTLVbLWKHyqcGaJODEWWbWCBvd&#10;ZYTIcGa9xCZEzr6OZgD5xNgmWu6/rgQnZ+yGjTCsQYV6/FzLeCVRLrHvAv5+SSWHr7mDtlejVjBo&#10;7XMFqRXJqArFXxrSBrgrF47bnZvnOp9ZIWy9VNX2V6bVVbbR9lHW4n9cRU09F2ANzPyCPbc1TV7L&#10;mK9KiO3xq5+h2RlXEvHqInXZYe5p8NoAACAASURBVGU6WMNa/iwrfedm0rYDxg3FxaWAWWlioQ0b&#10;AMCTni8ecB0hrL3OsDoOXF9j5uyldl5FVllxmGrlNHEIoesldgiAJjF2wnK7v9OZC2bW/v7mZhj6&#10;X3345t3bNyxCyHkPyUhRiDinfH97l4pmK0iMxGZQ1JDYNZli5Tidxq5Ts67rNJ0MTKKT1JJLTENU&#10;M2Yehj7EAARqN6WoAn/zzTf73f748nLS0kXuggCgGQgLADJxiN06pWaWcppO0zzPb9+9US03t7ef&#10;Hx9ZYghMhCllf6tB4qJJcwohMocgIiEu6UvfD0hUSjZQRGREtAJYSj6WMgHkEICBCEELlOWk0jPG&#10;+5tx3N9KjEFCDPL0+fPjMi0LMJIwvxwO/+0PP/74n/8e+qEYP9y+v70d1UAB5mU+HJ+7XoRhN47j&#10;bhf7HYAqJFRV8zolirFDZFXo++H27l1Wenw+JdV+GAEgMN/d3e53+3EcAaAUBSQiUbDDcZpzds/Y&#10;+vF9FGN3d3c/DjstxsJaNxoCVC56AAsi8zJTkFKUmYtqEOm7bl4mIwkSmaWoFcWu3/U3Q78TVUIM&#10;wBg6q7VtBTJU7xAggCmAAioS1Iweg6zFFIpaVqWiKM2Hsdn/NZ9evL2OqZaUs9bmFIa1og7BEwJh&#10;9X/UwK4ZgioQgzdVhppEQIbuht3i26s9Xmt1ALyDnYLWzSgbQq+WxIm4bkKs1DI+ssv8sXPUuEpd&#10;xLWpjKdENSC17eCgJYKdNd9t7tmKhtsGzFvcWX9dbaDtc1428rr4yi9dBzbRnXbcrsRbG97FHdt9&#10;YbVvtuo8bsymV6Dv19o+i7NHeBTLJw0AzhkN7Q1tfobVbXSuYVrve0b8bTRmYyDg1ga6tB62GR+b&#10;kSPiWUqZ1Rib2UUF1WYbVsUC1ufRq5s2L19zljYBgwiAhKrOf8ZwMXAfRytwbkLa/9dILta5Odus&#10;Z3t3ZUwEMDCWgKlU0eIBS2ukF0AASCwSY6gCRvt+DKG7vbk7QU5Z4n6M3ffFFBH6fkDEUlCEl+OC&#10;ATkIG3TdgKVoWuaUsahw8IHNaREJxMwxeLDEEFAoUHSCWxSOgUMIVhSIYt/3fYeEhjaMw7IkQ+77&#10;SITEGGKIXWA0LUaIIUhKhYm6oV/nez4dU0pIdPfwUIsFiB6/PBKH2I/gmQ3ITNh1iMiJaBgGDzyw&#10;hJSy0/h7jNhXESGZppQmhBI7QjRUZSYJcDxOtJw44NiFu/1AEhFJCALh2McA1nedxPjp46esFodR&#10;mT4/Pn/8/Bi7nSe0SAyGBZnUSr/b7e7uEAiQnIyBWBBhnmYEvL296+Kwv73vhzEV4lMxVWLt+yEI&#10;d13PIhICIlIxVSMJmhIiigS7rLjo+56ZhcXXXhBJpeCZrh8cH4hQrYiwe4eKlpTmeZ6WZUm5jPsb&#10;ADI1IhYSMFQsWRmRgAgLAIp57jBAVm9Q4sUDxUBzmpc05TSbFrVU0qIFclY1lOAQSjVhwEMp5nUn&#10;TCyGqFpK9SHSGiznEGLfSwgAsAqYuqMRTWs5NxKBKtScXSajUjTn7OwTqloLcdbgjVkjjEHc7Du3&#10;TuRcEX2OBGwV21U/RfS80ouqt/UHcFYql25IZGt+MFYTxmXSRkv1tEBA5BWgV3DcgvIZ0drBS5yy&#10;jamEpawHYXPCxWjXq60/X4CXL6OaQnjx+SXpAmeEdnC8Omdr553FwBn6oSYvE1UwdfluinCewnPq&#10;VP2ZsEJzVQmQyAORaApX1gBUhQGaa4maFQpNmrjwNFpFX5Mz6xDRRUoNwrmA8ZRj2Exts/jqMJuc&#10;Rn//1zIGkdAaO+hZspkDF2CVOquRUmfOqiaDVwKm/t9F1Afrg5uBVmNKAaBWaLUySkZkZjYDs4xE&#10;7CQlREQSQsciAICqFEII3bDbQT5xiWg67IZSsgSZpomJRXia8mk6RW8DEpBD6EKEEOZckDDGDoEQ&#10;gYVDEAoCTALWC3VDLxQ7BgJlIeKAgCICSEA0z1OIUbUgIxp0fVcUASClBAB933WBTTOYgmucpowQ&#10;vGMHoIJN03Q6ndT0/v4+5ZmZDWBeluPpdP/mbW2eUvtu1eqirut9i3mz9/1+BwbMxG6CAyBCSnlZ&#10;5qHHEERVS/Y2bpaWjDiNYYiBorBTxUIpfRCNEUvZ7/cF7OXnQwhx2O+fj6enl5dPnz+9ffueRURl&#10;3I3HQ57mIyMCIYWwHGc1ZQll0aKGBEvKaPDw5n2QYBQ0w5JyUWMJjDaOOyaSEEUCAuWUgYglIHmo&#10;vGZF6qp0gKlZ6OIwDBKkJpOsqk91/ptvUm8GY2aeEDLN09PTl+fn5/3NTd8NiATI5ILEUA1TBkR0&#10;fjGvdQYDMyoK3CoAAYqppmWaTqeUJgQ1KE4vlIsyByB0yWoKCgpefQ3eYcwXqbl0qYwqVKsvDCyE&#10;QF6QX+EeoCXNngkDCGoLGYcdsFKKqhlVf5wn82NToBvVyNlOYBEzRjUCkmWZRMSDYC1xRlecaFBg&#10;0NKettJoxT5V89u17NWa41tbETsjYgWONbK6GisAcG4nsJUiV6C8/ru9dTvhbPrAtfPnKlb0lRiM&#10;I52bvSvwXVC+nL+4vUI7od2h5uyStWe8KERdnwgA1saI52W7Fg35QQAksA2d13Y4TT9opqNL+Aa1&#10;LXPYLi5fz29GZxWMsP5aZ/ssrf3vF6+jyUXbGJ3w+tMcfRcvtFppdqbp8ZHheRQXr/gceAcAXKP3&#10;PoS6esguv7YqCJfaAzRZR2YKpcW+VNX7yzYhwwGAVI1ZmJlE2J0OIaD7EAiQQ+gGiX2IXZGAtnit&#10;KBMu0ymGvt/1T8+n0+mE3dCxRKI4DMgStIze7xixls2qGoGaTo+fxxi7cejHnrEE0CCIhEBMzmRF&#10;HIceJRgCeQmlqghrVmJGwyAihMKQStGcU1pgKoggcQdaWtkCSAwfP35c5pf7t/dZk5oV5+ZC9x+S&#10;p8AWzarqs5JzlvYx0/1+T0wiGBiZSIQICgDkXBCjakpLPh5OVnia7HBMRWM37IVIKpM4LCWbFlBj&#10;ZjUllhBjP4492mHJh+Ppz3/9y+/+/h9cz+2H4XB8yiXfPTzEGMHg+fllmk7ffHhQs2lOEmjc3YAa&#10;knjdOhKZpVKUA5nnCiIYIHMolY/AawPR3wPUyEeLbxsg4d3dfQjh7u4OEUsLdK9IsC4oRDRTqsSg&#10;oKY5l91uf3Nz/+bN2yAxG4IH/cyKYSmgTClbU5EUnRpDgWsKTzEzKAXPrnVEIGL3fKqE6ORmHu/W&#10;AmZWipqZM6i65WKV49LVRXO12wk/VY2Z3AjKJZeUEZGFVuAzB3kgV1SKWlrVdqvkAuo0Imt/+o3K&#10;zsyRpJhYLmgoT09fQogsXIOd4GX1VaFsG9lh65xeUFk4HEMdmAzMgIVVi9M1p+TLlDZ+cERE0LKa&#10;I+04wSs746sSZStU1n/X066cWpcLAranfe3KHoM5x/qas3H79TUugk0Ar39t5X6bC18N5kLAtDte&#10;HYdr++xV0eVqpDesR6ySDJvla9DYYtZJNFuNoa3AuLIXEc7Ptp5zJWCuLnI919sngmsnZ3vOCy/Z&#10;JpiE1ydvBMxqQ7V5BgBP91vdee1bcD7lSsCYWWXhx3PSixd5MAeR7AOUEEgCERGLhMAsUDs1GBHF&#10;vg9dP4eIzKy85JzmOQZJ00LAUUIpRVVLUXePhK6XEBctJKIGYB62p1JUrXx++vKv//bH33z33fu3&#10;9ygsRGyJAxdTJO+SwIoY+oGCqFkIAgghBAmhWGYmRjY0K3mZl3k6pXlO84yoYNYP93mexdR7qXRd&#10;9/j42HckIll5npdc8u5mP45jSslb6CGiJ+yGEJillCKCIQQ/fnuzF+EQKFB9E4SMxClpyjbN8zKd&#10;lpRKKssMy1IQl+enZ8+pZaacEpjFGNLCSFZKCTGOu92hlB50zKpLfjkcVgjv+r4bxmL55u4uxs7M&#10;pnk+niZARlQAJQocQl6WXEzzAlgkDoqYzbwYRKvOxESUi+eiMSBapeVle7WGRWS/3/d93/ddzS4j&#10;Mrj+bJYWeNti4oDE4+7m7u7h7u7BNcTWW9JUNReirERGaKjqZZ1mVoxM1VShZFXVkt0F5yYmgPvB&#10;0Exd9QFCJzrSxhDuYqYULaaEZ351Vc2qzhyds+Zq3BQA9PTraU4xBgJULevWBQBAcFrYXLClP6GP&#10;ZM3sx8a9bbWi01ZqDCSPr6p8efzSymeu93m7F3n+8Vo34NZJ3ZpMRNIUYmLm2hBN7fnl0MWutrNu&#10;VgJiTdxeVeD2qmyNylyNBF6JhC0yXh3Z/rpeZot6VyevX2nE11tt2F1dW5Q8W0sX9/K+12dl/3om&#10;r4yY7TnrmX9jVO2k8zXPgqFZJPUrVpmvK/Hs9nlhrWY93+I6+mUtieoXhMprGfBVubjmd75eUfD/&#10;S8AYNWPKq1X8XdTuGRufWJPweFWssxEwRASlXlhbf63GNuYLW4m42vzEQQJTJV1HMyQOXSd9x13k&#10;EDizzSWlVFNcEGMIfdczi8ss5Bi6jlgiBkOEoqqFWRCBCI+H07/8+K9//unPH96/5RCA0Nmjsmku&#10;GdU4MHkSpkjoOp1n102JSUJIWUWEAM1oXtLL82NeTmVZyEACLcsyHV9kmfs6AeomSAiI5MEmyyXv&#10;b/YAOE1T3w8hMiEzc8kFEUMIxMIixKyqYBBjpMYE0gqItOtGAz6e0svLE1ge+m7WnAt0/aiGj08v&#10;OSsAaik5JUTs+g4RT6fT4+Pzvuv2N3cfX45MshuGIiVIdLUVkGLfvXv/YZr2480OhVNKEsJuvwfi&#10;lBc1AOCicDgtMVial2lebu/fqaECeMcdswZZiClnZlEzyAWJtdaiXxfT4TnzyHVMs+oKr4JvXbt1&#10;k5q3KzFAIAkp5dO0FK297Su4mRlYUc25ECGTt3b0GAZkJQ3FSgaAUkopuSzLynJr1oKZ1YF0lnYe&#10;fKkeV1ZmceY0quihOedUcvVPAPh3i5p5D1S3fQBzbg0NPLZrSlatKcBKLw7N6eJyBbaw7A3EAcCz&#10;zzxPwdOUmVG1qGYv3LEWidmCnmfCEZELBlxpENvH4QWgMreGEFRLSiWGxhJ69oK4IeR2QDUzWzx/&#10;RfALxPn/+Lk6+Uo4wQZMr0QRnIP88IoEE6p1tTn9Kgq1vrkVEA3O9UBXQ8IzK8l5XV/g7+WoXudh&#10;X13tb0zClUhwLeHqLte3NkCzK6mz/fVvC5htx1KAcyUXXZ9fzd8qJl/Nw1Z7qFNBTYiuw6hrvwmY&#10;zYz7LDserAJ4Y8EoABQAV0yJMm0+ZkxUmXQBCZCFQ8sOcMOeJAaOMfR96TqmiWcmJhY2M0KUEMZx&#10;7Po+xMghSOhDF939nFSZ8OXxZT/ugggBfPzy6Q///kcjTFqcJR4Qng+Hl+fHogWRHt68398Ks5iq&#10;xC6nrADM7HHVVHJOqbYmm07T8RADqmlkITPNaT4d96DoBUAAy7Lcv3mDkGMX5jQhI4sU1VKMWLyZ&#10;LgF5J4jaE15XvzeEGLkRKQIie5wKIcaxG/YfP/5nzmUc+iXB8ZRLxi6GNOdpSl51l9OC2FjfRadl&#10;+ennn5Xp3bffenS5i12CdH97z+ykyKJKw7Dr+h7RSsmPj8+ANI69GQMKEiKLh7dzVuKguhS1rIbM&#10;S84ibAbu5nTHERF55zl3CrnkuNpK1mr+2jp0Plk4i5bNuf4vIhhiKjqlnFPeIUErpmtL3y9gpkXB&#10;AdGa1AcroKWUnF28lJJLzqZrHhW2SDMxM9Jab93gxADAiJSZQ4hMbMXrYdTVAmwtqAHAbYA6lhal&#10;TzkVVQNDRjMCM/XUaWIGrmxkSOc8HCIPivAm2IvVzEdTrTYJg9zc7kopzZuysfoAobXRaIjsksDN&#10;MU/yAbOSswLUmh4XyC6E9vvbYRjWjY9IG5lshLTGKtZnRrwuNrySB1fHr4DyFz60thb/5XPOFd3t&#10;rW9uWh9hRUDYXg0BbYPA6/xdQfmVtMCNJfRLeL1O+9VQrVW8ru8I4cL0cR3hPKYqrgA2VPwXj3BG&#10;bcBLcN8amtvj2++uo7oSh9ZmjK5mfuXvRtx0XdsKGNjKQk9PPI8SsU0UtnyEJldePd1VWZmrEZ4y&#10;TdUK50sBY0gMzMiExMzOh0suqjyXgiVwDHHore8JT33fp5yceN8Xkkjoup45EIl0HYt4XJiJVPXj&#10;p09MFPs7AHs6PC8p3b+55yCeAjGn+Q9//PE//v1HQGSW3/xm+hbg/fsPmjLHSDlrzoCoqvOyHI/H&#10;yPH+5ga0TKejabnd3c2AZKZ5tpI0J0EENUMDNFXd7/cIGVi7vi9WDODw5akfxt1+72oSI8euQ6iV&#10;YczcKKao73ufr5WaltxQptCPt1/+5b/tb2Loxi+fPh+Os6mUskxTqvgBSEAcREIw08Px9B//+Z8/&#10;ffoZY3z3q18hUEm5IBLi27fvJHZqqAqqoEZIZCXNc/r06ct+f3tz07e4MhKKAvTDbp6mYRhIIolM&#10;pyWEeJpOTrTcY3UWUeVxKKU4yyV494TLhYdeduJl/AhoK4NLdbGs2nLb5gSATIgkAYj6YXf/8Ka2&#10;XVGPHVb9vxaAqGflWluVAGZaSk6LeaOYnNDLRc4xU0QkzwOixnSNYITuOwZVRUDvCeab3ZkxmRmZ&#10;K4EuMwAQey9vM7Nc8op+arreqz4mIwEbsHnZIlRFbfXKuYmPDceoZvpDKsW0UOX+9ugLVJMZq2y0&#10;FeO8NROiY1n9k1bTqi5d89zwooAeUDRV67rY9aGa00ieIgVQ21CiX/GSwNgFjF44hv7f7Zgt3q1g&#10;d/nXc7Tjl8XVik22VWHWIWwj5xtU9Sj1Gd1ea99ffZAVEi8f/xXiw1cETMvOo2ZOWauTO1/OqvGM&#10;Z1KHVwJmOyFNNhhtTLHN8a8Ilb/xdNbyOGwj59aZdycZbn5oyW2rG2yVGy5gQJvG1mizXWhtLBr/&#10;3tZ+upSFq4ABT7o3I2DkgoWRGLzjAzMBkCq7cs5CjaUf3RbyhRyEQozjzobByguHULMAACQE31Sx&#10;6zBEZgkxErMhGYEAvrw8f3n8Moz9/dt7U1uWhZjYyaOQAPHp+enHf/vjx7/+JXSh78cvT49v3n8A&#10;ABQJMUKxSQ/LsiBByiml5Jmy4J2uSum6OD0/f/78aTdEK8VUtWRTBQYzKzkPwwC2zHkWEST0ljgS&#10;OMaQs5oZMYVAoDbPM9RaUyYiLSXGUNsWgHcsROfyBUDEME357v4GuVNgoGDAh8NcDHa7fQgdkoTA&#10;JKJmxPx8OHx+fJxSeT4c5yUjUU45qd3fP9zc3qkagC5LYZKcFRG0lJSKGTLLvOSnp49dP7CEXCCX&#10;gkjMsSiE2OUCjqWIVLv8FM255JwQUEsiESTKObuOQryygPv/19XSdihZxbqzRnhOjanAighoSLvd&#10;zcObd+Owu7m9JwlFDaup3QI9NXZtZmDqTiR3EUEpmuZFzVRzSkm1YEviaZvdBYwnjzr0XO07FBYr&#10;isyI6OE0M0WwVDIgsDB64rFTHJoSc+hQghARF8qawQ0dVUNDIwCqhTTVu1F3d8kZET1NY91cLmEq&#10;+pg5g5lUPk+qmbK6FZrV2+C5z7XnFVbqc3RCAqrp0ggAWgpi5XkuWUW4tnw9AwA1faBiw1pgvAUv&#10;epUJ9kufK8Tfqv9XJ57f8TmCYuuvbbWsUEfOhLi9EbYqcYdFWJcMwKtbn602/5vfp0UK8OK0y6fY&#10;KCyIK2XNq+den7GNkaDdYx1vA+k2G9jajjbBtnm0etBqrSJZZfgiTyZfLwtr5vI59IGrwbR9ERXL&#10;m7nnfzi/2Y2A8Vlc7ZF17OsEYqNJhjW/ok4frXGZ9UtUOwa1O7ent1VftEIGJgBIrMqqxL5Q2Vst&#10;+RFkJmIgBiRoXu86BokgQboxhS4TK7ABmVE3DP0wEnPXd8M4QjewxBB6pmhoxgikz9PzYXl5Pj1l&#10;SyGEUopwmE/zNCcDUIOPn798/PjJC+zfffPuzTfvbh/ugNEKIAkHxQlPp3kYOmEehk6EDYEDu1NI&#10;gT5+ef7xX/742x9+5dplWhbVxAE0lTIvUbgUJMJccs5lmuZhHId+SEtyRAbpEIGYY4xeW976visR&#10;MQesxXlQXwQyIJQEpsTUE3Rdf7csL6h0zMd+3H349vtu2KvXMxEXzcXoMC8v80ISs8GUsiGnrAb4&#10;zbsPfTekOUnADHlhyUURTDWXgje3b4jkL3/5+eOnj+8/fNjtbzillAsRSQhLLkKYTUlCMIyxTKUU&#10;s1TKaVnSsjCJagnIjAig4Jn9awpSTWkEqwUl3JiM2MCg9bmvIRVHvUbUbmZEGELc7W9vbm6RBBDN&#10;ypp67CtdHVvMGj9x3Tq+F3LOpWS1kpa5lLQmHEHbJU3XcaeFL0hax40IwWt6EIFd59BSrNJNGXLl&#10;8SclRcBSlJBCF0QEzJiQMnp9QAFQy2imlouCaqmmXqWXdEMfmUlNnR3dhZCaJ+wRKCpYsSLY7BKH&#10;BHVwNUvL4nYlMy9pYWcGBWBiAChWPNXOwIioWjFsnlzpAnbt44tNKXBdBxpl2QpPG90Wms5+ge9b&#10;EF8hjDY0keu/XxNLKxCvIFjXxPbKbjVuQPLatqju/gqGzR/fltjlfZtyvTkf14NnUXa2J5qpvP71&#10;KybCOpIr+2wjPtcn3VpC63XcoYur3r+9yHkWaQ31kVsMsBXGq1tga8S0dgRXAn6jWl0/zor+jd/P&#10;tkc3P9SzqW2o1aEBiJWVD13QtKh+9WPR9pbmflJz3QeI7GLHNjpYIjZDrOF9IfYCFK7qKxmAqRlL&#10;BAgkZhSBI6AgdxS6h7fvx93eEGMXd/t9kY5YYhiEOiMrXDLlY3qZ9Pjz80/fnr559/C+67o+9vvd&#10;/s39W+b4/Hz4/PkpFxv2w7Ab7x4e3rx7248jEIMBSaRchEPJhYnHsS8lA0MGDV1PoTst5XDKn1/m&#10;Ly/548eXtw93AOStOxEKaBEDQVRQsHI8HN22GfsOAbUoEqkVX19IyMFFrPupzMyoldMRIXnWT9U+&#10;jIC0UEmcEqcFRcZxvOniPO5uPvzqBwU+LursCApQUkpGyQiMRg4FuB/2/XAzDrv7uzcE7Ap+Kbqk&#10;5MubEVKyEIec0pL09u5NUcwKS87HaQbAcRwBPL5GBkbMIYTTCVMpp2l2D0wIxhIM0RC8xSM0/K9g&#10;T95KBohZzdcVVA0H12wUa0BUm1CsB13PcBlsBsQMnm2jjevFq/O9XMUKYiNGKUqoijmnZJBLXsAy&#10;NtYLj7CA+7vOO5cAjL3LMwATITD3EVrEwd+7aqllaHbuEEimAFYyEGIQYWJVLSlBMTPNVJu9erKZ&#10;FjMrAG0TgIczDNEUtAYICDzK4unwRGiEpmBo3jJ5bUZWA9ZpWZ6fnwHgeDzub/bTdBJhd0p6wmJK&#10;iYQBwFTH3U5EmsG2oti6u7FlAbT2t+cm0233X8CPqwkrqF2gvG1qbnHjTPsqFl99LkDsEvKslZea&#10;XRg6Ww/PenALt+tftsKvGnmbW2zyAr5qPaxy4uqPX3+Q13/YjPArl6jpcKDr3bfnXwzVBaLH7da0&#10;uFVinZ/2PI9Qf7/IffA/uaq2PjNe3g6aKLGmxH1lbHVIlWwNNy47Nyxw8znf9xxOg/VGALWFrBPU&#10;+pjWVpVe/+EZO0hEWAstmRlqwB+aGmrMbtYwkRgFYumHseuG8MAsUrRQ6LoeEkYIQUIUjsqaoRSw&#10;ZClDOk7Hx+fn9+8+dP3Qd/3/8I//4w/ff08ILy+HotD1u5wLgPTDfhhvJPZggoiho3Q6IbOIEKFg&#10;iF0EJEXgEJFlSeXL4+Hz48vjYbrrju8e3ni43tdgydlLKEtOS1qWOSFz3/WENM+LcARwFbjugpSy&#10;CHhNguvXWIvpcJ09xKq/9n3PFJ+fj7no09Px13/3d7/67vucFZB3+9vTkllNpCYUFc1JQUJ/mmYK&#10;HUu4fzMWoN24iyE6MBZQ1VSashOEc/H55/v7N0A4LYsaLCk/H17SkiRKDH3RgkBqRqqIyCJLSiml&#10;rNp1Xei60HWb5bLVw0gbg+J2tVqLRq+rvq3r6gZyxwaYleLVrb6WcD2BEIvrwS5WfB15D1/zxA4G&#10;BS0lg2lJQKqWrWUVVO8TgIcE17F7Kq+ql4QZAKiiWXUgr2F89CgnUqsmxqrKgiGiiIi7Z83SsuSi&#10;qgbsAKsK5oYOgCGAZ96XXLx7U8VhaMbfhgZQFZqTAsWqu7wSBmjJZsrMIuKRHKdy9ibVTsYJAPM8&#10;SwwppZSSAez3exGpMAFroSvUws+mz0Nj/71Sdet7vfz1yjo5n/Y1DN6esx65sma2313Rqp1zFiTr&#10;GF5/8fXttgPeHt8ehFcMxNSIFi4Pru7DX/ys0/JV4XN18NVovyJarp8Oz9KRXtEqn79rBvbq+ghg&#10;mx48ALaNwQDARVjLv9jw49UMXw1sJbU8vzWitcfR1fC2Amb7xs+eEOA25+cIPzevyCbkX8VPG359&#10;tlZfhoAoTH3fI3aMKBhTTnPKgsLMBQhFiNkIgJmAj4fTNM8G6ByLAHh3dz+OP3/7q29ZBME+fPdD&#10;H8N+tytpurnd//Dr3+1294gBQMBRzMMBzEC0THPKKkFSVs8TMoNpmiR0H777/s3tOOz2/bDr+r6o&#10;EuDzy/P88jxNp9NpmpZpGAYOoYv9NE3mhhuR7+Kci5lN08QiXvhtZvM0Ya17cEodNxPVofPm9vYf&#10;/rt/WJaZhXY3t99+9/3+5nZJOSc1s1wKMueiCKhailns+m8+fHs4Hh8e3ohElnB/dx9CcDPbC0dA&#10;iybvZFXfq5d+ILIhIrIBZi2Hw8vL4eX+zb2qppT7brcS+IYQhmEAgGEY+r53DpirXbPuTRdsm6V0&#10;Rcxk3sp9Pd+s8hhjU3lzzlf5u2obDXhVzgBg5dEzQDAkamTBCqWYllxyI4yua36jDJ0HsMUqRFI9&#10;QwSRlwoVMCMmYXZDvXipjWrOGRFLy1tDj2Cc4yyWczK1rCsUuxhTzxZZn4tr19Qa0gdXB5ERGUzF&#10;id7WEXtBLzPvdjsA2O/3WeAmPwAAIABJREFUJKxawBQRl2Xx7c3CboTO87wxKTzobeQWVNvS590O&#10;sDYb2+75FRtwI369tVT73jqP1zLj6udt/OaXABcuxU81bteS0lenXWDr1z5XcPY3BNvfPP714NNX&#10;h/03Hu31V+pu2WoS1ybXVsDUr2zD+9vrXN1lu3h8D63Xx42AWZ/qStbiL1wNrmcVz8kqTkt6ab5s&#10;h/e3BYyBklX6pubwafKECFwxp4tPG1ENGUkIUDOHiJghRgCdpykQllJyyijF25l4R3cjIiGC8Je/&#10;/vXzlyekYEDLkkW6t2/efnrzmYiRKca4u7kd++7X3/1ATETGzEAC7oNAAshqaESned7f7k/z8nI8&#10;3t6GUswMYjfEbjTD27uH+3u6iyj90N/si0GepjDo4fByeH4qp9PhNM156cYdMROWlLJjjaqllIks&#10;5+IprGVZSFlECHEFCmby1Co1QDD2vr4c/vt//EczIyHVqpkboJqloqUYG6iqELlkvb29e//+m+eX&#10;564fJMSi2vc9uN3r3It1dfiKJC+nFyEDXZZEIQIyIinkaZ4+f/n05fFhOs2m9qtvf+iHvS87Ftnv&#10;9wCw3+9jjKtCud1iHghwa8PLQpy+4bxyoOLOVmWsP6CZeQZX/TjCrrmLVxttNUeaDPAuo1rcOjO2&#10;kkpJKS2uShicN+Oq62z3CG2sqfVZ/HzPmkspIWLw7DIDqF5inabpdDoKS8m5lAJWyEOYSAakTkzg&#10;OEzsrwCbCQVe99KSDFd4qZsFiTmAimk2IGn9NqCUYi0zOmv26YgxppKx+btEBBEBkZmLad/34zi6&#10;sVZK8eY3iAQoW5hYQa1yQW08JxeVExd2wDWQmVWZ1QLavkSu84+3kuNvIOn2HKxS5Dp4g5dW1N8G&#10;99fI+/rnq6+vaOgLyezijr90/V96qNeD3z7gq7F85QRsSsoWrL86Zo+UrYh/vmYzR+rs4fletp7w&#10;y6N9/eDnyW9eqvPjrJLwlYC5+hXaq7SmSoDa65NdwpjCWtB+vgMAtJZdAM7uZX4RT/mf5+nw8nK7&#10;G61mYwIRI5ALGBDKqgnyx4+fT8epjz0oojFjiLG/u7s3Q2BOUKacAhCwIHFtOehtdJ02C2UpioDP&#10;xyN/EQUMsUcSA5xTCqEfd3tb0uPzy8ePn3/z4YGYHiSmnMm94gRqqmilFCRe5hSi+64d9L2SGkWk&#10;VsiRTMuspkQURGIXzaGAWqap70ZDL99Dc6MCAWt2HJEAmfMiExEy5ZIRKYbAKsQ8DDtoBbk1Xt0S&#10;WwwAkQi5UmQAaFGXZJCNSNQZqhjNyjQdf/r5r0+Pj8Ow//Dtd9utuv3ZNuza24N2HkBxV037bm0p&#10;m0v5fyh70yZpkuNMzI+IzKyru99jZjCYAZYrLsVdkfsD9EG2+vdck5m0pjVxRZAECAyAnes9+qiu&#10;yswId9cHj4jMqn5nuCqMNd6uzjMOPx53f1xUyfkAiKDm1oKnPKv6913Xvdhc5Uq2GjFABIXSiMPM&#10;zOZ5fnx8VMkmGUBDx7EfkAgu8/Urlrs2jrV55rSKSYssFFPkNWEqZgACqllFJKWS/2dGCEhsqkSF&#10;MMODkQRARGIUwoio7qD4I/hjuAZqjU7aSLrv5SqvdL4UkZRSKd40JKQYY0op5ywqVPqYgR9ZfCgA&#10;TwGASrfnUD8hc1g1yvyUTGnfrECq6z+9lDJrOvo6yj8nW9e/XonIl99bqVv9xJHrx/jkZ/2nKzPn&#10;k++OK3+i6tb/H4pq/blyCF4evxoxdyzx5WVXP7FS3jUesNXrAIK1NDJYtk+7Wv261NAuSWv+xxVZ&#10;wjJe9cqXz1WfvJywhsjwZxXMy097Vajl2UjqyTxExV5uPowbT62crV7AVapnEGC1ycqmIqR5TuM0&#10;bTcDEnpFBBKpGBETByAmQlTnwAp91xHQq7s3CIxAb16/vX94SI/vMeDHbvj68y/jZqeKRAGATOqt&#10;zDEiBAMx/OZPf/78i892uz0iA/DxeQTAzXb/OH8EZgyR+sFiMOYkErMAgEdulDCrCMCc0iH0IYQY&#10;Oycg6fvBDGIIMybfboYw59klyzD0koiZa/lfGZcSS2BWFTNkgKwiaooABqJGjCEwxyAiKeWuixwC&#10;VODFtUsIUUubLFMDVU//Nw4IgAoQOHjM2a16Q3I+eCIENAr4dHw4jefd4SaEwEySoda/G3jGgAgR&#10;roVhcZUqgLHaSGXiW6jRVFNKHn7G2iLLzNTFphnGiK10phzjUZAS+8Vm4qh6pi4Cam37eDwev//u&#10;u2kaTROi7Q+7N599Ebquis+2RNldk4ZQiaSmSZvN7CMZQvQOvN7wpkXARbxNjITAsQsIyMhEqCIG&#10;pT2fe6qESMggrunRSQLAW6czUWkKUBhrym5eNE1hOw8rZVgQAET0Ol4fJofIPMO1uJOrfmJryKUo&#10;UlymyB+xHbDs1xd2+lrN4M8WV15e4fqYq7usf335aQ+/dmmX9XWZRPBTT/7ygE/eCy6VwaViuK5E&#10;bLJ1/U17wfXpP/N2V+/iQf52qXZW+3X9/ap/cNPlADURzukdl3QvqN5n9ZSunhyLb1RZplcjVJcc&#10;IV6/7MufF++LqxKfNT/Cy/+aDvcKX2IzVQAka4ql6RgwWJDucrNqUKGn1Rt5xVh9IEB2rieO0dQk&#10;CSEZgqgBElPIAAgYufvll18j0ngebw+3n735XJIM/Wbot7/9/W//8Q//lCAN3OHf2P7f/s/Mwa0p&#10;VTVrVdl5zopoipzVREEBwSBwSDn3HDf7/Q8/votd//aLz/evbnd3Bwshq7EpmIVAITLDAMTTOG42&#10;u91uh4hEXCVOLC15SfzWXYwcmYgAgZhAiZm8jWydQ/S8U+9MZWbIUZNgiIScUjYD115VLiMAijoz&#10;CBNpxS1wvW+cvQtbALkVlSOZZSsPySGg6DjNMxKdzic1iF0P6F0d23LAuscFkdcRAY8V13wizJLd&#10;fXGz42o1NhxqvcHd4A61GBVqVP7llvS8rJRSTjkAxRgCFfcXVLPIPCdRJX/3cnVEJ6CC9kioqh75&#10;hsIXLNCyLZ0VAEhVt9vtdrtLKYN59xplRs8us1opGbsYwqo/k9uCVgOVaFS2bZUPFS62GrFbveYi&#10;ZgkRGcHQ9WhoIti3jZ/sC6JcglAEWq24IwBWzbd2LgAAOR1rUbO+K2n1WC037EqavBTKPy806zFw&#10;pWDWg7VGt66uvHaf17/Cpf5YX+GlHH8poNe/1rDbxRNeWeg//V5NhFqr4ry67/p51q/zE1fD9anr&#10;Ly+v5v9+ATQ3rfOpZpcuga9GFaxw7hRA4AWetjg9L17nE9e/fJfyfVMAy5dXPg1hLZhp5huAAhoo&#10;taqmBjuAB60LkoyNH6WMsKsoBFWVnNM8kyVVA6Ak4tnMHDtnd4pIopBFW4UOmBHir3/56003fPvt&#10;t7/65devbl5N52m73QHC/rB/OD48z0dI8MXrz/7i67/gyKiAqFmcvypJmsfzaZpnBOHQ3d69id0g&#10;CkgoZsQBQug2OwwxDHCz39+9vT3c7JWDGokIqJhkJKAuDptNUthsts7A33WdI/WeOOcViCWkjEyF&#10;PsoAPJMAVQCdLApdoEKSrIVEClQROTrRpMgEVXO72Y2l5ro093O4Cc0YydCYGM2oUrMUi7duUizq&#10;woniCBCJbZ50nmcX9DEOwzBYIV5ExAU1wgtY6WKPt9U1jqOI9P2ASMuk15WnqrRavX5NRRSRTc0d&#10;EMvru7RF6y+bUprnOc0JOMYYim+DZFCYuEAImQiNQ+9pjW2JNu0CtfMxADAhcZE1HvwWVQRS0S7G&#10;w37/cP/QzESPbiBiztnAnCi8TUTdvB6DcYvRzN1Jp3leRgJrjHzZjGsRigReB0NEprBkkbnza+o1&#10;OMK1+SA6JlArNokIqmprU+XgI3r3ASAC1lxcJKyv6Od6+OjqU4CyS3DpyqdZi5jVAXZ1PK5yw37m&#10;amuxVY/8hOexvt3LRXl1kavzXlz/+te1AmsP3Ga6HglNJVy91Cfv2p7w5WFXydNXQnz1gj/ZsW35&#10;B8L6dBc0a8IxzygDH9WqX5ZHKl//xMU/Nd1Xv/oiBGxYOWJxVpbI/wpJd/EEiJ5AKesJqnZZHYfy&#10;ExEK5REAmKl3yQCDnNLz8ZjmMbDylDpksYQcMUQgBkBDUqQ5JbXgJWmemSaSN93w9tUbS/b27i0q&#10;Ro4AiExAmDTPkjqMj8en4/Ox23cEbKY5JwMVVTV9enpCNELc7G7QEgfOWRjQwDoOWYFi9/qzz+ck&#10;/XYz7HoInAGIOM/JRFUymKrZbn8I/QZKK/QyUExMTGBLciMzSzV4Cx8uBSQi814DZoAGpqLH52fX&#10;KSF49IjBk7JKcLG4vzFEMmrYo9+Ii+yGgKg5B+YQGADVMInmLAqCTMH5xMBq6iAhqrcqcSt2s9lu&#10;t/s3b96EEAspij9DJXSn2rh2veyh2oKEVLqeWEsyKpVsiCWoTa1ov8oK9cyxEFqApUj7iqFZTQy1&#10;wnYsIgIcRMUZ0hBNiQE59hsAih0zE4UuiyFp1S7om7d1O152BKCVIiVst/eHd8YFF7lU8gMXRdL1&#10;0ZXielcum7JiP7VWj1rNHhT4CmBlcaqaXrTT9e2mSBDajo0xqqmJIJCIppQKdABMRR6Wq5BRqRxd&#10;TZVZaYFFSE7XX2XJIlXcyFyb7/gpV2O9CMw+bVBbTVq7HvGf9TNeHnD1abe+yiF+ec2fuiAuYOhP&#10;arh2r7WuanPzM/f95HWgqtU2mC9H9UpMr0f4X/1c6SSok3p5zRpNuVQza9QM1rqZLjhsf2qaPqlg&#10;ygu+gPtadKid9ck3FXXTG/3Pa4WEyl7+Vl/zonlBzllyHs/j8Xg0k0i2g9FQspohU+gVCBgp9oqQ&#10;DTgEDKE2iAUGJsL9Zk9vmTmaYuy6MU1zTsbAMUzHmYnO03nOKasGRBXVGpA2xOfxvB36EEJgBkmq&#10;OeWMBITBiMUMEG9fvSkd2FkzGACpAYqaKIgggIKFGA1DmsY2RFWKtboLF9yWckqaETGEIQQ2BUSv&#10;H1RiNsR5zinNx+eT982kORFR1/fwwg4jIg4x5YQI4Km9pbcIiapINoXj8XjY70Jgbx8DYlmymrEF&#10;RQQRt/oNPWNZiXGesxnE2IUQA8fD/tY5GKw2LK9KlKuYbsuu+iG1tHgYNjkvjU/cg7noV9L82Zpw&#10;r6piCvXf7nG53WstUl0uCCKas6qamqoKUkeM3nlszpKyZSMQELNgrOrdBFxqLiBQW8aqGjgium/c&#10;QutGBCFQzun5+dnMmFErjOT5CIDgYao2Na6G0bPAYRkhD4mZFm+yrZOqp9qrWeGFqX9wBSsqgTA4&#10;MOf3dlYYXlVpdF3nGDDiUrwDANg4PFf5AypFiZHTzqwepIqBogOvPlVAXDw0AGApy7h4nyY9WmD8&#10;wkFbCZfr21ze7koE24pNES5TMq5OvPr3WujXLz8h2f9HpDmir6cVZ9dPO0MvZXE75sqHu3rftWn/&#10;4gGgzcOFRrka1SXOf2EBXfEir91qhEtzoC6DRmUFnxren1UwF19+8sTl4DUNWrFMydtEElX6eSK6&#10;TDnBFQisqs/Px/PpdD49T9NopgmEaALMqmrEoR8UCQn6zUaQgyJxxyEQExlZW60YutjnLDGGbPrD&#10;h3c/fPjh9vO7w6vb7z58bwix6zxWDHWnFxObeJrm7WYD3s/SFFQpRAodUFAkMFMTDoEBFVAtGRoh&#10;mSEqmAiYEqEIMAVjgxpn9bBEQ0tcGszzLCLTPGWTzTCYiop4Y0BCcABknufzeUwpucPgoefj82lr&#10;1nW9D2EI1GJaRY25qS/iCKbb+JLzPM3Px+N26FUEkQCJEZhJ1chD+bWY0TxoSkjM0zSJGFHMyQL7&#10;rFGlQ3SBy8yhrXlbSc+6OthneRg2HrHn+jplFhzjqeusrRAXqwZATF45VObsCiup690HVkSyyIYH&#10;YtIqup7P85gyAjnj+SEOFDrmMnT+s110nuecs4NMHv0BqCzMInETiWiep0dVVeFA3vbUjQYVCUwh&#10;BvCuUcXUAgAzAUQgRC/HQSg+fKERK10iHO0EqyH5qvnAFl0AJY1BjQKVZi2+nhiDlYTjxSKGEubV&#10;ljNmZozYeh9q5UhWcBZBe6lCVlKlOFl1vlcmfJ02bPYwQE1NXmQf1va66wDUWrjApaj6iSe5Eltg&#10;dh1geEkT8EkF88nbfVI+wqVZdyX7KsH8ejBgHWxcn7i+y1oR0ovqyKufP/NGL//UnvD6IggA9vKC&#10;+DOXAlhB2us/rdoe//TDrF+8/ixfrXwUbN/gJUR2dZGCctQXrOQnRcE4EO7Ul1YJI87n8eHh8fj0&#10;mNM8p0RoqmnChCwApZBNDAkgxM4MORLHvpTUQFCQkhdV0kUJmN+9f/8P//xPf/zhj3+7/Y+GiByJ&#10;wu3NXT8MsEpRcR1nQOOcao4+oZM6h45jVHPbU02BAnsGhhEDmSKZIgBoyqBGRN4KEQECR7+JOytN&#10;waQ8zyWMbGoCbjmoigiiYWAEA0IDO5/Pc0pM1EVuizClNM8cY+fay41lK8UiWhwlVTHtujiNM3r3&#10;WwVT7fuuiwHBwJwojLoQDbFywRVtb6qqAmYkRoi7zY6ZppTu7l6DoKASKgAWw7y6F21rNKNhvWus&#10;tmhsQ0GlJw2oKpgxIgHByoRqhSCG3vAcS+/FanOXIwFgFeQHM2IOXYdEZgLEavj2i1/cvPoshhi7&#10;GLsYA07PD2xLIwmsIQbXIv7kOac28s2a94OdvsAKpwuK6jxNRScRB/Jof9G4COBtyxexC4johgxW&#10;6KvwtvleqX7hEuJaavvd0/AsbsNQT/atVUa8VeuICMcQmHNOV5s8S155TEXBgeMKVUTitdRA+GkI&#10;6Eqy4FKcBwC2vlJ1VcuRF1bnv6Zarg6ux5fbfUKYvhDTbUzXF1z/+vJ0vWyUUv+BeBXMgOtzXz7M&#10;yweDWmB1+UY/efD6H23LrW70yRMvRwDKvvnEc66H+vI5AGztvZZzq9pZv+bVkH56NBCbgVhfZAny&#10;r+zTFzMFgC1lxRfq6sgVXuQ5k6aq4zg+PNw/PT6eno+qopIJjTTNJKE0nyUjGFMKxsSc1VKWYRsp&#10;lCI1UDMQM8tmWaSPQ8r5X/70h3/6/W/vx4f83/7r8/FIyF2/ubm57boBM5YG6+XxOKc0TQmcA4wI&#10;QE2AAhuWbE8FyGoBwKtSgExRnaOOAEEyeFIxgDNUqYpXpHlKktXkopSSJx31/ZByTiJdjEysmMte&#10;RyBCp4JWtRg7A8VVnbIHnKuaL4kDkrPjXmAwTRMzAcTHx4cYu/1+j4BdFzeboe96qHl7hBQDG5LU&#10;knbgSiyPKiqmetgfyFPUDLfbrYgxoeJSzNgYSdo6WaPfVsMJbXmsoWZAUFfAalz7Krcl55varQE1&#10;U9PAES9BHb+uX9/dji7G/WHf9Z1bx2ioAv/+b/7WgBkDMYeOn58ev/3DP0LSS1TKENGtgb7vmdld&#10;PbNSU4MXbqi4ClHNIjJNMwAwU4wBSuCqKUKfdjUwUc/ccKKkAGo55SwoIh77MKvn2ctPhcjMcsoe&#10;o1O1QkTjFTTeaZkwqKb2xFSH28G0cmTNxXadb+YUA3WRtd1d/1Eljn1SweClK1Pf4F8Pp6+F/uWi&#10;QfyU4nmpXep+0KtKflu5BT8jstcXXP21SeoLcX95HWzq9uUFV9KWPnXuJx5jLUbXY/7J4z/5pxff&#10;r/XKxSG47uJyofn9x3q6ry95hZBW1+bnNPr656IzcMkiW87C68/1A/gtEdu+b45Mg8iw6CdzcCbn&#10;/PT09PT0OE/jNE1mgqbAaCLmvUwBgEhM7x/u+y7e3t4+n8Yx4eaWvPeGmQEhGiqYmokYbvj56fjt&#10;99+d5xEIvvv+u6Ebbg63/+7X/9PrV28JGBEQzGFoD2L7LgsheumUqIloYAZVJC5V0mZSyNbAEJwZ&#10;23WMq5ScRU1FTNUp0gt233a0b72uC4jo8LgChBiZMSUwN9NB3CORKuAMjAgr+oguSc3MVAoCYyaa&#10;mQIiiuTHx8e7u1sinuc5pbTdbEJAFdnstsyEiLUkDZhJAc1MC2MxgQEjKYr3wNpsthw6MyWKSISA&#10;zOywCyGhcyvkrKqeMmc1kNzwDyhLAVsTxSYBbMFR0NusubGvqyANB57mydPwgA1e8HHYZR1iCDwM&#10;AzEZqBkbICPd3L4CYAP29Ujh7AWnV2vYCuOylNZhIeBlMJOW2pT2jOZpzV3nFJzajN21YoC2H6rM&#10;MvMWCTkJqGl5jhfyu8VNFoVaBKAXcoErmML6l3KOISKQeiacWfDelFlidG41be/pBil7XavHkZDU&#10;DM2pzqwi3tSgLACrneGXl6mSZxnGMrmLQHA1oC9tYqxWcDOom6i1wotlUPNY2tvbhdi6OGalmbCu&#10;wnpafbqVKvMnb3+rp9Q0k5+Qb5+wx6utU2x8bKLa7X6wCw+uxmmwxjXMbAWm2eVd6ujUgoOW1QVr&#10;gV/dwdXpuFK67SfiekWX8y9n0dZ/unjNlxrHVl9j+/lJBVP50ou+Q1gPvL9WedlqSyzLo82U11fU&#10;BzZo4diqT5fKibIIc0qn5+M0TYWb1hRBGbitYzMTVQC7f3wc+m57c3g+nTJGMyVE90Rcg6njZITM&#10;dDwd05z6rsvjzKH7xesvvvr8q//41/9h3+1UrPRXqxRP/lyBQwgBQdVEVJwpnV2muIIRUfGAhedZ&#10;F1tNTeY0Z6+artgIEQEWG78Fn1wCxtgBQM7SDEozTfMcuIyxqnhlThcDuCJUUzViklaFWO1ZH2c1&#10;VRMEmuZpTgmRCanvhzTPJgqskmcmAOdzBzMDIvPgs/tCHkR3wk0kZAtmRsSBSVVCiGXyADkwqCf4&#10;l7TynJKnUU3TaMUD6OsK1Iuipuob+54iLNymSLVIvoUA/FcRMzA1YrJ1YnNtsIToRfKECObjyR5+&#10;Ilc9xGxEYOwEyeAMBVCgWy/aBSh8mjlldzEJqO+jSi7qEcxUKXBb7uXsQmrJfdc5CL8SrWWOyoJf&#10;gfdmZuLlskVVB7LSybTIK1yVyvneW/hsuq734BSCBEQGkHnOxU1BRm+953LWe01X+M/XpWfKt5xm&#10;T45HACZGFXQeXpeL6rIbwR33En/xrI0SO6rb2gCcu8jMSwIvSyav5VK1JqxG583KfbDKrWapinqj&#10;GiB2dWhNi9QAngEoeeebC8PBCrDga06rIMK2xBZTCBuYibIStZWhq5RTYvu2Stfldq6+VyLbPI0D&#10;ALB07PG7Uu3KXIoDzOlWi3i+MDOq4VFuWcVyfYHLYa1X8PVSfrVlkmB575J/XJ4HihixdoWrCVuN&#10;5/XHmlJYHXytZhoZf1EQ6ydpz46IANRef5VK549b9IkRULZqxyEYghEQk3nfcC6zWtAJlWkaPb2+&#10;tJ0GAABCAsgAllISxdhFJAamDJbA+80agXpzirKWAdCMmcx0N2z+6i//cvPf+z/++Rsg/PXbr/7q&#10;3/zl5zdvLLf+HehIFBOpindqmscxdoygyERUIA7JKikXNSM05YwIHXSOpwGAmjyfn8c0+zIkRlWj&#10;0lgUuq5rdj0Rxdgzk4hO02wAoXYWQVPGAA7rGwREdtaCsjZInfjSCV48BdZzyZtf6ArEdLfbe3y+&#10;D13HwVRBVHNSyaaCHBpxg/s9tUKpyUBAZHP+fENC13vIxGVD1dRdFckpqch4Pnsd5TxPABgCAQ++&#10;oBDAk5jc9K/V/mW5+pggAHlgB1E1E5IaeMfSnHPsovOskEfZahUuIno/TkAIjEMfp5H6rsMixOta&#10;IgRAQyp5uOZzjUBUWuEhI6Co5JTBzKPwfR8Ck1Mdu18GZl4vQ4XxwcsOLTAxleZcqupN81z7e4J6&#10;k2ZQiWLMTEyYvLsDBmImi4GRaoMMgMDBJ5fKMvcgFhEhxSCZzQQUgo+gB/kblw7VBs7gnQYQWuB0&#10;3dLZKoGou9g5Z0RwSrZC2lOE3ZUcuwJYoOrVRl5VCEnWrhwA1BbvsNbBZcFRkf5EZKpIGDjkVChC&#10;RRC9pAtxbWUU7V1z3tY2NBRFfe0zNenXpqR5llUKuu9sUMuFrKrQ5gkUqLBoJaz3ci1S5Wc9x64H&#10;EFeKrfkWCNXpqkqonbLalU10r/5W1HBRhLhY+5ce0/r+q0u8OKqldy0u0fUIXnyWl6tXXV+xDU55&#10;WbPLS7y4fvnZrmpWW2ZWxNUKPUd11LCd5ZuLiNg3UdsF6sxOaABWOTMYFZjVLE/ThAQhhtB1oYuO&#10;JhMH4uBPpAbE2O5OgKb29s2b/WH/+Wefvbl7NY7jr7/46s3hNgDXMjEHq1cZNCrTNH348P71m7uu&#10;CxwCIfumk6wyZzUhopzyNI3IiOhMaCSiBjbnWc2YA7ELl6WiorkvWihGQvVfybw9BxggBi4Zp+id&#10;x6ooCERMARAVUUGRaeg6dlZdRkR0MM2z4zxGvdlsJafzlHLOXYxmKjlP45imKXYdMXAIaCAGqup9&#10;FNwNJCAoLn2zAxHRiNg5CHwmc84OJXlze1Wd53lKsy9KZq6GWF0IZiLy9PxsAIfDYQVg+PIiX0Xm&#10;Etz7Z2s20xhCCIyI4jaQaJUHy7J08V/og9U2Q1+WvZX8KQ6hLcGiFESKVYXojfBAy0t589MYKMbS&#10;ykvVfK3G6NWTXBwDX3tlfp2skhCAAKqCKe6LjwEhVciJzRTYvOmrlhRzDsxKJBUIqQ2Sq+nnSdq+&#10;gxidspkAgmsId4QRsdXyOFtMrVAVYnIQs9GFQs0FaG6NooawYqsuA104AhpccSlW2nfXonwdg6lT&#10;he3iTbioKagrCcDKw+PLWk0J2cCADAncrffRUdWatYWA3jJPzdzUupJYBlXO20ofrB60HlJkN+qy&#10;xKr0oksVYwoXn3WgxV+kiL8LvXqBCq0u3tCuesvLwyp0dvUMlw+IDR1Yn1tt7ybpLx/7pbpYbr0q&#10;nv/ZT1NWVTEu/1yGvkCE7a0RFmDA3RZX8D6dVrC0YkCUjVQ2VImILhjOeqSKra0G5hm1FZE3AhMr&#10;+Z5o5qSETIRYSikEXWHcAAAgAElEQVShrEwEoMDOysKqRoEqDIfzNM/T3A+bGAIQbvvh61/88tXN&#10;7TSNQ9eVdoSEJmVHVOccAcyRntPp/PrNK+YAoMwAGZKmkqCqYpYSGIB1Xdd0M5jFGIftlh4e5nn2&#10;eHkLnVpNkzOzxvPo+aIxRhe0KoLepAAw50xgqkohhBBcXAQOhiCqSRSZh2FgJslCRICFeNFprKZp&#10;Op1OQ9d7YOjh4eHmcDgcdmmaTG2e5q7fEAfmAGY5KwASR0OsBCqI3jgOzZwZpXZAabKLObRM6wrx&#10;sao6zwgiMnOobW/qYoCHh6cP9x8BkTnsdntwQ0QLK7zkDI4vgXluooDlNCNYjNHADBTUV2MxzhrY&#10;gAUhNGbeDIOTOpdHJjLAAu75y6lCTR9wki23M5JmjwiGQIBO2gYOKflUetkivBCP5ctle100HfcV&#10;ZqrmRP8AUAxcQAQlMgMy4xBYyWmVRRXEcs7UCFzKx9RMwQwh55zTLJoD2aItqFa6rjwG90KKoecK&#10;xv2VBpf50kSv9icMzKYC2twOa++8+rESL9iEZ7E4mxC5xHmuBGtzYszr5rw/Xb2RuzlAiGIKBkky&#10;ONUzgHOENAXPHDxKeSUMbQHoqL3IT37KuUvt5xIQKIIZ6zXLK1fN0N762uG4uPpK7i/+7EoaN8dk&#10;0S7tMssTVE3yUi9cac2f+dNKia0sfx++ohmL2/k/ol0AAKpXUjXSKkfgEwc3lbgastUTGi46aXWN&#10;uqKtJE96I48Co/gAFgd9WUKItmr+AWAqOo2n8XRyUK3ruH9zE7o2MGRqhExApQs5cRluMxFFotP5&#10;LCI3TnthqAaBeLvZOkxUIQ0jQvAWgoQ1P9DMIISQRYg4hKiaAAFAcsopZVcwIpnAtrvtZrNlDn53&#10;Ih42m5tXr5yYXbOAb3Yv41CwFjQ1AzPJ2UyZMIagYDnnPE9dNStVvbhQWww6pRRCdGAKvUOiW6U5&#10;O5jh0AgRjuP5+PQ0jdPz8bjbbiOH0/HYMb+6PTw8PzuRagiBOFTGa6PAHIIYgApArc91f0KtJBAz&#10;O92ZB/NrvoK4A+oGsagYWAhxsxkAgDmgv64aEqU03t/fz3Mi5nGctpt9QwZUbZqmeRy3Q9d1sZn8&#10;hJhTcrlXIN4qkgonsa86LaiMp3WtKPd9yVAWcKekbSczNRWkEq2AUkGpRM26BY/iNF3iuX8tltbk&#10;NlSvFGCBoKp4XLaX7z91arayydCATEvr4RBiNCUvtxLRmhjgNp5XlEF1CZx+QjSriiKUEiQOgWrC&#10;uNsCouqxFiJSUA9jtNRyV5iuaajmj8/TnIkCExfSmOsajgJ0ANW3gBaJbZCFGRhcnFg1RzFJ28Hm&#10;FkhTYmaqYgYiWdVAa8sCgKfno4oQURcjIqjKeDqnlEKgV69fbbfbWDt8XOp/rPrQBSBeTEuVXLAI&#10;Mu+u5nn0UB4YEGuy+fKai/irQe7mOF1rHFqkeQF0KnzmMY+CDGA7oiwerHGq9fWwuTntuPXs/KRO&#10;sDWLcsXjANqti5V9aRP8xLVWnzrd2FQxVE+0vbIBVN4G8PoPKPoMK7W7T9zixRbK+NXzNJtJ3eqt&#10;3oyqmqotrTfIFuey2QTlTdI8H58e7z987AKFQEMX5G6L2LmdTsSmxhSIaE6po56QmYIZAFFp72Ew&#10;DJviJ0GpRy69y1W4bCjFgm2X/eUvr2rMMatkcQ3BImme55Rm1YLeDLsdgXV9V9nVoBrswa/mAtH3&#10;NZhicelqHArdTFdTD6kiAGguFiQxAyhR1AzjPI8VHldVZhLVlJOYhaApJeo6UwtErgb6Ycg5n47H&#10;aZoY8Xw6lb4iqvM0Pj89fXj3frfbefYtEBESMBgUJV3XPBQspBjitJ6gNXSRcxIVQo4xxi6C0zcU&#10;VKYypnjrkBJ2hb7vp5RDCF3XA6CKuQN6PB7fvXuXpvGXv/jME7EAwFRBVbMoeyodqhvcWAAnpxdT&#10;VfAAdslsQnBzwQBavxuAEKuR4pJM1WxFEgNQ3fRKioxQascQreaVGUAtUiFfkGC1tp+JOQRaGreY&#10;KlZcxAURInhiMfhSMABEJlY1RO1ipw2HxIyl6SsZoqg5DR0QNpKpUjJBiGihtZy0gkUYVP/O3WZS&#10;RV6037p2qSUrA0DOOc1JCCEGjuVlWp5ytTvxSqZhzZpf+zpXMuiTsqmhG1bFh6qmNKeUck7TNJta&#10;TimLfnh4+OHHH6dpJKRN34cYVOX+48fxdAqRf/3rX/3yyy9fv3ndD5vAkYjQOy6otSnA8uQlBW4x&#10;ja16ECtJ7uZx/cW/0RLMc9loSAhaDtJ6qlad4Ihqi+hfM+L4IlkCK9VjwFWcvHjA9SnbQF0rryqE&#10;Vldf+5AvPQlb5qO5RBcnf+qkn/hg9b9qRfHls118qA7U4r1dOC6rW65UuK2WybJIzAoi5Nkr7a9V&#10;OQP5/yo4hoiBWXNmghh4O/Q3h11kjIEDu2rxbGDISRxFZQ7FqCfyXYuEItrFfrfdehtdgBKPIX9M&#10;TwvLniPj5hk2IAEQOIS7u1cAwKETNSZUVQevuhCyAiIe9geVRMzV/3bErxD9VbCB2jRXRVvEXzN7&#10;F5BZ1dTcxEZEpoAIGNhUwXQYhr7vHHE6T9M4TwDg8r0LoZjYbrYjghkTbYfB+h7UCFFFDodDYBrP&#10;o3cG8YfxJDiHhwBRJCugt30sDKQAgGBeLy6ipmao2eWSuj9nAKKCgh12vmGYeRh619+2qhoBghjD&#10;ze3NlFLXd9vt1pN9EEl1fnh4ePfunUm6u9nt9zufCzdRiFA1pxn6rkdTD90V2xd0Ce+oOkONei6D&#10;MxX5FQCRMMZYMF4A9EoXdfTVigXnWVtVlBLXyhgwJPSCl67vAntwkJrqLe25mDnUbAwEkPWGLrsE&#10;DaCgx2hQfHuoy68foiWwmhFdzGFc6FoMVjEZ8u8VyYgwuOpzU46IijQlaoQxVhIZizUENQVg0Yd1&#10;tjgGU2VCJtaizqxokQvE4uqzdgIKmrGC/ZtXYRVCWOSI780s2cxUc0rzNE2n0/n+/p6JTfXjx4ff&#10;/eGb+6dHX5fBmRcIno/HnGYVeX5+vv/w8c1nb99+9tl2ux2Gfr+/7bt+yVwEKLG34pAYQG2RBCs/&#10;wBECf6jlbdHXmq8kKGa2A6ygZoW5uJA1+MbxBVwlfRW8VS5UIbuqo/8J2axLxWe9Q8GWlpj5kkmx&#10;XKthYk3H2PpJLvUIQInxFLXU/rbowJ/6rIyJta9gS7wJ1oxzy4tDAwINqmdj7ZuLR13daMlMUXOv&#10;ZX0MVjsIC4pJiwtJEEKQnJhou9kwwG7oCW3oYggBahZgYN5sNkPfM/Ht4SYOe0+acmPVXyrGjin4&#10;XlN1VMDSNM3jqCIK0FHou94r2hBQTbAC5Yebm3/3V3+FSKZpnk9mggAxxLANTJyigFpgTppDCFrk&#10;XZkOK6LO/LL1H3V8yp5bLDyXvPM8JxEgDiGaOpjB7uFttxuu9nKxI5kBQaG0iC+5pwZENPQDM2Pf&#10;b/vBLe4+dirZ1O5ubhDATImo73vmSMRcijtKWwTJybCUsxakl9AMFNz9hebNqGrKIioezVaVlOeU&#10;Y9/3XfCgVKnXqahjqfDnQJtN//nnnxGzM9j75f34zWZQYURwyVvQAgIOdDqdzKx786bqULOVy0sl&#10;zItMkFNKKUXy9qCVHVIVICxdnF0fSVbJRASaK/AAAOYcdC191BO4ETFUmlF1rq9q+7vO9i5fLFzj&#10;i2ii7m+BammbVtZGVgMF1Ko3VNSQOfRdtzHCczYwICLJWU0NFIEM3FYunS/KkoOCv4I7jPQSy1pZ&#10;dvWEZgGt2U2WsBIRMZiaXsR9CtitSFiAu/YAxW6q0uHF56Xv4jy4HuwqUgNUzVJOKlk1p5TGcfz4&#10;4d3H+wdCPJ/O3373w5+//Q6IYjcQwmwmYjGgpGxq0zT9+OOPkvPj8clMX715ndImhNhF58GFlSAv&#10;m7QmdjVJ1pyEVsuyknuA3tUim2E2IgiECIqGVhlvTMnVyaJsqOgyAAAGRFIRr7tyKm1CqjsLzZwr&#10;CBZZXBVKOcav5TliBgZGUEgh0K2aFQhVWixhBafAmicFbku1Bd++W09ZAbtKSMtWMHH19Q1WM9vW&#10;QFXgazMDSzdYv9LCoG5YNTcAgIk/l5lhKUws10FC1WW5NgUDBquaKmtCAddo7dKB01NoiAOzNzbv&#10;u/PpebftD/u7riNACcGpfsPbN2+GTc/E282Gu6F4EuST5eyEhb/WuXtNRFWm8zSPk5kp2EjMbqBC&#10;WwHFw9tut7d3dwB4fHpIaQJTIsIQODIaMhWVWeLYxIW9U5qLvwDLFTv37KwSiwIoUIYTiznIk0W2&#10;w5YQxASBiw5GZzOGBZABCBi22y0QqpeROy9W6GKMfdcpKHOMHFQ1hjh0HZTAzxYAzbTve0TcbDcx&#10;BNdZudRuG5iZs+cac7EtUApmDjWdjUMIKWVVYyaAEvBXE7cXYnRkrHJZLQFmMzNmijGGrocyUyWV&#10;HND6Pg7DEHiz2W6WAAYAAIzjeH9/LyKbzWa3210UMBbQGAgQGCXPztW/2R+ISEVVxcDUgEMAYoOS&#10;PeqZ1fM0imQUz7dyV8lDUEU2aGV5wBoIdyjVo1Auck+nk38vKhy4aCBXMKqEaLIwVBYFA2AAWl38&#10;nASR+y3uhgMZqswAC8N/ke5YwMDy+iuo3FVYaE6Jb8LG0m8r+kwR0drw8UpANOXUVE4plrrOMVik&#10;UEW6Fyf9hQyqcIVdHOOpX6riTXWAUFUULOUk8ySSp3l6fHj48cfvz6ezqn773fePD8eU5m6zNTVF&#10;NLGckwmZCqF5KVnaJa0ko10fmUgkA5QUIgMEL9c2s+JGOoSFqgrlkaw4LmbTPItoPwxIbpgQAR6P&#10;x/c//hACb/oQA0VmI0LmGIP31iWmSMEHMAQWVU8nBWBUdqPLxw2JTdy58ICEWTFlypyQN21ELwev&#10;2VMAhGyAnivnKsrdbPffV/CTLWrFENBoUSoGAKt+MVUGN3+lqIO2/q4xz6tfl29XhaJNo6tK1WjL&#10;uZVEoHq9tn7w6kaZzxpWgeLwmoloEbeq9emK6PUbEKAut6tYDAATh8De0DBweE7psH/76tWrlM9q&#10;c9/3IQRE2AwDlQ71hQHQATk36lNKmz5Ur9vQjBBnEcmpvp3laU6ur5Z39JCEs9w7jSOaAROpU1lq&#10;SVKpURvQhSwV1RTN5pS0NuFqmLbzNNdIJdT9CK7YkTh2nSHGGFUyl+VopQIBEev+LZrbmaVMEZGJ&#10;PPYQY4whmJmqIGo2QMDApJK97NDnhYhi1+WcipPhRSdiudhp5sUXNUXYViKi4u+eXxBjCAEBp3nK&#10;OTNT1282234VmyyGlJNEAgIhaV1LiCDiVpo7OhZDuLm5cYhv2HRWkS8EyDnf3z+M5zFLfnx8HIZN&#10;82DqPinLUkXuP358fn5O83Sz2zuq6Yuki12/2ZdAXU3Azzk9PTyAzVRSyd2nbovBkYXy8j7+rk1b&#10;CMP/5BI/hDCfZ0Bg4qKsa2YaABqRLS0pA4FTQ7vhqxRJFJz4QRW89l4d1ipqFFRNVNlIVSMzVqXA&#10;7C1+NCyONBSdRF5RioXb2lRFTVY05nVi0aN8UC+KTDVE28TRWqSsFPynJI6LQajK353xuh8K/4EZ&#10;tU4TzplqoKYiklOaz6fn+4/vn54eT8+nlPKH9+9FhDCAihogoIrbVwamQOZyQU1DYFMNREPfI9o0&#10;jYFZAAKxv30pNzPNoqDqpcKi4mJeJINBznkcx+fjMyD+4suvuq4zIwUz0T9+8/v/4z//3X63/fzt&#10;680QY+AQI4cwDEPX98wxxBA5gIFTZTjYkCWLASHFvkfE2HWmRsSqFmpLIk9iiV3nFcJmCsRuqnFg&#10;E3OV47sLEIryX7kTbRFDldnVUSuHtcmsdrXnfbVVYxWAs9WUNyVjbSf4n9YecPu4fsSWeeaGv1ua&#10;xZ0pywbN+zGXrEqs/hgYLfE9Q3dAC1hpkCUzsXjSFKiaVOqkQqqBUINbC8pWlCaiAyexkiRJCOHm&#10;7rYfOjmPYNR1nSMk9bSVBVbWtZm5gtk0leZLN6fklBkAwN4wWHJjSiv2jYFDdtUMKKxMxZaEkgLq&#10;kJWhCwAF8ua45kkHKqJmQGyqhphSQjAvzfT39fnxoKrjsczcwRJ2de8YcPV2qzktpkCVrgDASL6Y&#10;vWGxASiaYwM5iycUYHHMiZnVVNRIjQ0RyHUXERAGqPq1+F5Gbum1kIB/iNjKciJCIuZh6Dy7z8zm&#10;OUPB0zzlgQHASIt1VcYboHROQ1e7wzDEGFXF2096rgYB5izznAAIkcURowbS1J1gZmgwjeO7d++e&#10;n4+m+stf/KIgsMSKEEMchoGI3NxG1+6uMDQjZDCruV0FulUrXgvXZkhUq7V8Xhr1stfPImLMkQN7&#10;jaOZlSQ2q5+CGCsRGJhDZI7iIlJKzj3kzVNBVbSJgfqzOegYgqqCMTOZMKKCaWhipty1UC2XGavj&#10;5TZmRarrATXFpXqdDl5QxQhLko4arfY6VmVToI/CZlElmVvU4AGqxVBdpkxadpBWVmiVLJJznvM8&#10;pnliNGY8n2ev7cliIjOBQ7vcxcAFStbDYd/3setj33fOnguq4/mEgJk5pYSm0zTmPA9DHzhklZSS&#10;+zcyJ1HpuogAKc1gcDqdjk9Pc8r7/eHV3R2CgvHpfL7/+PE3/+3v/+v//V9e3d7Of/GrzaaLTP0w&#10;hMjDZjMMA3Pn0sEVvGRBsnmex2k8j2MI3Xa7DV30jrai8Px8Jopd18fYbXY7RBo2mxi7vu+JsXML&#10;GLDrIpM3rCUgMgohDsTU4hElZtq0zPIPA/AkEFgi4djIJCrQuYBnbYKgzuan3dNFHq0+iEiAKuKB&#10;wrLkRIjZoFjaWCQpQrXhV5nevtUqAGvoFeUKJd7gcLMBEGI2VdNCTmhWc8asVjPV1ynrsfCFMLGF&#10;QMTEbCocY4gdh4iElo3qgi2vpYLIgEYeyGRSU8li5uQYJVNaVMw05eTKDxGYGM0DvNUlrS6ZCx9P&#10;PUNiJIbiqHj5OpQxQMjqMTYCgCRZxcgYkEQyEIUYRTMYeHfeOlWlLKNuOgCAwijjiQaOrDp4gJhV&#10;HCIr2xgRANn74UIJLPuaIEKmaruqeuU6EnrJgDU6FQCP36QsSARAgIUJhykE7komBJKVhuwO5xoC&#10;VsokChzE6zOImWIXzAhEgcUAUcQ+vP+IREPfF8piLzhV3wTAGJIKc6zEGeCZAlyABDMDK9oYAZA5&#10;3Nzcnk7PkmW73RXIkJrcLr6diozjOM+zky5XxWZELCppTiIagBCo7S9C3Aw9CDqYXQcZGp+If5gK&#10;U8sSwmnpW1jKAd2zGYah67vIYfFvavMYMzMyUzT1uBeiZ9S4ggFSMTWv0YQYOCUtdANNWtiCIZg5&#10;t0tR82qWUyoKxpPtFq1WCdrWcudKNLRHbJ5ay0JmYK22IXzqUy5eYP5SmGi2BIarlddyRl05WS48&#10;oAoApiYGImmep5TmnOZ5Hk3TNJ27EPabDb/BOcs0zS5OEYg5dH3PxEwUIh8Ou/1hi4gh0NB3Knme&#10;RxEFMxN5Oh41z/M8m8lm20eOat7CVlUkzynn7IaEj940TdN5RCKwzfPTQ5qmGLvvvv3uH3/zm7//&#10;f/5+PB2fQL77lg67YbvpQgwcQ4xdrVcAJArEgYPk7Fnk0zyN09jFftzviTlljaFTg/v7xyxmRjlr&#10;P2wAKfZ9jJGImHC72XRdDMzbzRCDp6giEhvHr379b7/44gtABHD2uir9odWgFKjJQTmvMmve+Ho9&#10;WAXBEcFAq+lutYb0E/jY1QLAikAVRBlKmjnWe6mIxysAQCUD+XOaShFqbqSQh158KRVU3R/QSi6m&#10;ISGptIZIVrWgmhXqvJpStjjdbaXXSAOHEImDqXrCYYh9CCHn0V8IS6E0NAPIbW5ABMN5nuqVfZlr&#10;qUCxmtDps7Lad67b/LXaJjRA9jpEEQDggkP71NliPlfL0i1xrxFxBG3Zs0U7u26sG8yxqNKO2qpn&#10;gznlGINkBXauFGSnyPJc36JwsEZWiogteFoIpVUkl54IwEwICJ40hIaOZ5qoZA2a1VAUCZCRIoUO&#10;ibKoAVqhgFQGApCW+YJITMEzPwMH1/dAkE0AvYIHvvvuh8fHp81mGzgQ0dBvAIw5dH3HzP0wcAwh&#10;RGZkDiEyOvWkzz87PxgxFkMYmV69ft0Pvcdg1va3vz1qKTZi5r7vnTm/uE1lfEoLu2VTufws/UOD&#10;byhEZK4O/mrvOL2V1RZcvptaLEQruScihhhiDITUokSwqq4Fr4DxCHpFn9GrBZszZoYGjMiISURF&#10;a0AffdYlZ1AFFTRWERV1i2Ke5tLRsnXaaVnIVlMsynDgoh7bGGFNIwGAnDM6AO2NnctmxqaTipNd&#10;BVPdzCXp2//qr1hDGhdGpZrN83Q8PrWZAABRyHk+nU4meZ5Px6fHx4eHP//xj2/evn375rPXb17N&#10;ScZpEhUAQuAQ4mazcZ98uxkOh92w6VQ1S2KElCYEE8kqmubp6enJNDNRCDhP52QnAwwcuy4IKEUO&#10;DCIZAUJkABy6Hey2gEQcPrz78XQeX79+ez49f/OH3//xm98HJs1pPD8fNkzGOaU54/OTJKf6EBHV&#10;w3b72WefpzSP55OBhRgCWpqenzWJmaj1/abrBmbouuHx6fn7735wPrrQ9X3fn56fx/F0s98fDvvD&#10;bnd3d8NEKpIlqcLTmP7X/w0/e/vGUxY9wukQX5NhKzwMVvq+rLoq5dr/aU2vLC7OymVZNsOVXrnS&#10;NIhoKllkPI8qpTUv15xMICKmGtktawihRKixxAOoikJjZidOZw4iFkIw8J4W1Ysv+2r5r1FY2vJx&#10;K2+JCXnTMA7MHEA1bjn2PYdQrFEmQkIAZjSA0oKjrGknQ/QieXReRTPwujkzDDGKE+m7uil0xS5E&#10;qm9XEJxiABAzE5uRp66SVt1TEXaog8yBTSElcY6WhtFbC50uwgnNTAQADAmqSAMAyElU9XweA24I&#10;UVVMpJSQLEqoIh/LKKojpw7gMJFQbZZMFAK7bCIPLCGKqSNFWU1TysZdHzh0gEGBGBlKsKQobTAp&#10;QBEigAe6kWs1hYgSBWQ0JQ69iiBgCP00fjg+fUhzenp8nOd8Op/AoN8MzLTb7/eHQ9d3t7c3+/3u&#10;cDjsdoduiKyeeBoQgVCNvLoTCLEfMHbRzEwUL6voS4zDUYLdbhoP8zTFWIJrZqVhGhQGxiVl0a0D&#10;IiQjBHZD0Aep2hANua6qHAx0ybdyWU1EXd+7CcbEvOIcsmobVoOowkiFqALByUMAUI2d7ZMQQNT7&#10;jUtWMe+Y5PVS/iUiimSzkGbJUwIQf9pgVZu5Ge6WTjXiCkW/5xw3PQnVrGv6hlZg2iJNVoKmvrub&#10;utdSxl+52j2m6h7zGnVRVfnw4cNvfvMP8zz7QnUbVUXA7O72QGSn8+l4PM7zJDlzoN1+vwNMknJO&#10;RJE5dLHfbvfu9IfA/dBtN32IPI7np8en9+/fxxDmeR7HUXMWySIpElOAlOZASMRd7PuhT/PMgZlo&#10;nibHkXJO/pgAeB6n5/N4fHr+5de/urm5PRz2v/ji88C828S72/3nb19FRiBQKJU6OefxNJ7Op5xn&#10;1ZTSOE6nnPPd7W2IwUTmaUw5P5/Pfb/t+002ZM6PD/dPT49ZZBajEA/7g0h+uH94fno6nW709evd&#10;dkhm43hGNAB6uj+++/HH77//bhgGLqEeDCGgc801YUPQHAQsgCcCADppH5Ev2tJxGBlrLmadSFtq&#10;c15qlOb4VJWlqg8fP/7pT9/88MOPgUMfokjuum7ohy+//BIJnaHNm8uuZJcnPxXFg3WpEZOKJslE&#10;nEW6bri7ffX6zVtPmymUYqBmjgCJ11dXX1wBPI5bLLcmfomJlIi57/oEhmAhdt7pBGsxnKoSkphl&#10;VSNgrpF2VUNwCqUWIlYt1aUxRgTNOZOTixoPfV+j1oA1q6/pf6wgiYe9zdTTGOoY+EwRFsYNmKb5&#10;/uExxg6RoRJYOErntcjiZX2GopJSFqc2K/E6NYXT8zOaDX2EQuuX/YYGqNXrKaqlZguAJ0g5+y20&#10;omNXl4TEpZOXKTmbm6oBAbGKnU7jOOXdnrrtYdjdUOwAkEIk8yJZq8lfOU3zNCdTdQ7fmgfgACoi&#10;BWIOqGbk3JFfff1vbg6vz+M4naf7jx/fvfvw8f7x++++m1K6vbv76qtffvPH/26g2902hrjf7/aH&#10;w263jV0XIvd9FwKHwH3f913XdX3vdSfclaKZqmLrCsdqFSHFeHd3N89z30V2WrCifDwZpdJjOpe+&#10;5JRmZqbmabuf62iQrQw397jrNsDl5gBmDmwZUlH6ucTWHJ0sdsYa2rKK3fo3amZKgKomJjnl6TyO&#10;YxaKJoJAbrnO84wIXReIaRj60+Njx0wM8zwTphApdl0wUyKnvMR6a6erQWYKgQHY+05Xt9oREq1b&#10;sIgOqpmSROzWiS1wgZg5RKs1FRZV3c8FhCWpbFHC5d+ta6mq2jzP799/eHp6JCKR/Pz83G0GIrrZ&#10;73e7zWbTDdvdqzevu2HY7fbdZhO6LoTYmaQ8E4a+H4Z+6LpB1aY0T+P4eHy8udnf3d0B0Mf7+9/9&#10;9nchRlWdzufNZmDix4ePm75XE2Lc73ZMRPjsHW2HTR84zPMkopLSOJ7G83QeR1N9eHrabnb7/eF0&#10;Ph1Pz2/evt5sB1DZbfvt0B/2uzyPFIiCR24hpXx+Ph2fHn989+7b738gopTmlHM4nfuuB9/FRufz&#10;nDOdR1WD8/jxw8fH4/MJAGYxsbOoHQ57ZD6NJ0BjxNjHPM/n82nouxC7eU6/++d/nsfx7du3/TA8&#10;H58A4LPPP+u73pvKAgITIQOUPChT9ZAgxRihYBpERODc5UhMYdhs+66f5oQApm491egIkarzelNJ&#10;3gZExpYODQaE9i//8s//+e/+7tvvvtsOGyY+nU5d13355Zf/6T/9713X5ZzRU+BbwpJDlFnUnHi4&#10;gFvukeQsKTuxbDMAACAASURBVGcvbIyx05R220ENEEmyqikFyjIjokqWNOecJXsHLnGQp2TDG5U6&#10;NUJmFhEm6rrOVMCUORAFMASxJMm3J3GJ1hrjBqgAiWZIFGNYUhBq6S6qFyUP5pVSAAAQ+46ZDaCg&#10;ViXVqgUrSkxWtKQ0uYj3DAc1AAwGyJE3mx0YjNMHUU5KSB0xdz2dx/l0Ok/znFVSlnlOSKhZp3ky&#10;g4eHh3Gcxunc94PktBmG8XQClf/w139FGHLOJl5d73y9qELm1gYAeHoU+XxwoA4sAEQ1UGBFZO6B&#10;OwzRrQ8VAaKUc5IkitliBplFk5Jh6Db7/e0b7HpQcxYsLYgiMoFpzvnhPD6madrv9mHbDZstIBVX&#10;1f2AwG49QABVe/1md3v3VkRVJE3z4+PTL7766ps/fPNwPP7qV7/6+utf/V//5f/8eH//+HjO+fj9&#10;jx+fn09uhqacQ+AYeTP0u93u1d3tmzdvbm8Ou81uGPrtbrvfb0OgGCIBlyhUwX4FAIlps9n2/RAD&#10;l4BGAagxZW+5oL/77T8CYIjhsB3G0zmLcjF0sCSnlokuuFGtYTX1yExBud2/KaEwRMyKpoVHoJaZ&#10;OdyFspRbNpa+osDQwCdX1M5j/v77HwDD8TTO2TZ3r/v9bUrT+XRy6qMQaNP3QGA5z+M5gGHHOU+B&#10;BAN23uAM0WJkVdIC/zVvS8uWBkMk59Rw7089G4GK7VYEiicRIqoTYdSLQCm6rOi8OT1Oqb8lIgRS&#10;8TRqMLXSDqJq8KbEDvubv/7rf5/SBADH4/H+4X7YbkIXbg83+/2eCDf7/evPPpecidkMmNlTeyUn&#10;AxqGvosdIKJCR5BFbBrHOZ2nuQux3+w2hxtiRsLD7d1+tw/Mm+1uv91lSbHvYoymYipEFEJwkUHd&#10;RkVFMnZ9GHIcx6wSd4fXr169fv2268KPP77bDH2StN/fvX79qo8xhiApUSBwVgY1ERl2c7+7sdA/&#10;PT12XSeS55SYAyCZ2oePHx8enk7n0exMHIH4PM3Pz6d5TuIZoD5eYGrGMY7z/P7jR++BSojncYox&#10;KvI//Ob//fOf/vT1r79+/er18ekxixyPX++229jFIfbMxExAZmZdjAYwzzOAEdIwDCllFem6GEM0&#10;RlHIOT/eH/+Xv/nbLz7/0gt0HPgGz9iD4kEzEpieTqfj8UlEOHBOWU2ZyNSI7Zs//v79+3fv3/94&#10;TzzPabfdHm5uifn4/Aynk4ogIVJBtF35qYiBcxYzUWFfAAORlHPeOB+UuUOTPrz7wcAQWNXk/6Pt&#10;TZvsyI4rQV/ujeW9l3sisdbCKlIsiYskU49Nq3/JfJj5f9NmMpv50GZSm41Z94hsihyRTRUXUVXF&#10;WlhAFYAEErm/9yLiuvt88HvjRQKokthNhhXBROItETfi+nL8+HG1Vb+8vLpEIhUBMK9d+Z8AmNJg&#10;moDZVNUb9b0ypiQcQuDE3kkcRKFbDcPaQUriGICYQ4x1DRTa2TZitMxFyOpBOXItT3RgBkOzMvED&#10;wRCJ2Rz1EylJPGXcH0h0UHXSEgKyIVsSzHkNM0Gs6mRYN/N2NjeApKFdHM7n8ypWzKgiDx8+/vi3&#10;v+uHoVnMrq6XkqRt50R0fn6xvb3z2e+eDv1wcXl+7969y6vL+/fubm0dHD/9su/1ZH3er9cxUFPX&#10;gMAcEGlnd3vnYB8Cabe6PDkLgapZXc3bYdXpcmVKBpGruqmBFZp6FqqqioGyDIGqqQ6DDglVSY1V&#10;Q6tdJ6GqjGqMTYiNCwIDIm8sgmNMy27Qfj1sbYWm3WrmixFrsoIpWtZl2WhN5bRa9eAo3bl/7/t/&#10;8ZfrQRbzrdV6/fDxY8OAfKmqW1tbH3/8SV3XbdP+9Kc/M7Pd3e293a2TF1cPHz6pq4oQKg5NU29t&#10;zXd3t2PNddPs7uzO51veTd+2dWCqqxhDZCbfyxQIQRlQVIkZVRHQJP3y5z9TwK2txVtvPCDQlCyZ&#10;AIiTXw0B1NCAzLzhF9Gjb4IQ1eN9K//z6wcfU10GHtMUvgsIqCilUgkbsA3UcTAwQGA1uVr2v/rV&#10;h0MaUhIO1a0H6d58e92tr6+u2lnrpwaqInJ1cf740aPFrDm6td9UFCPXVax8dJ1mFTZTRR9NP8o2&#10;5E4dRCJIMkCRA3Kypic9jq1h0ZBICowBJkQ4A4OxDpyjME+YdCyrlusvWEBR4yl/BUSYzWdvv/0W&#10;gK1Wq/Pz85293bqpQwyj1FLVtFg+wwrVyYvHkDFxZ7hCW1XtbLa3v4dIITAi3X/w5sGtIw5BVHzu&#10;QeBgIoQoudsmmQymqdSkoR+Gvu+Y2Mya2WJMPJu62tnZruo6BN47ODTV0/OL3f2D23fvZlYmYe65&#10;LSopaCoi9998u+u7vuv6oUdERgbV4ydPP//y2fHJ+fJ6PYgSxxgbBVsPw9D3yZs7EEW1G/qtxWI2&#10;m5+dnq5W60FS27S3Dg/39ncX8y0B/Ozzz5PJ2fl5UumWy9VqfXl5MZvPZk3TNu1s1gICMiBiU1VE&#10;LEkMjIiqKvZ9jwqz+ayuayNUteVq9eknv3v7G+/EGOu62dQA0MDpN1D8gep6vb44P1+vV33fv3jx&#10;Yr1eu6ysQjo7P49NNV8sEFHg+v6bb9y9e/+9997jKqYkCqgqqICU9V3yfBRz8ir7XSbXPxRREUQw&#10;MO9turq6Onnx3AzA28cAnjx7+uzkuZkhQNu2e3t7Mcb5YjGfz536aADBIgYEAYXKsigCGQAShdIJ&#10;uFp3SZFCG5hiVVVtw1XkWFdNC0SAQZKKKAYaVQPyPKGN1C4AEJgxeQmHJNfW0QCB0Bw3L4CZR7Fq&#10;TqxjbyPwEodzqatYVU0rClW7QCRA3D2ImKXszctdT58+/+3HnyHTu9/61qobEGlRNbN2dnU9bG3v&#10;DwkoNsTd/uHt5XrY2Tm4c3TrxelZn+D5s+eX5+eH+3tN3SNR3TTduj+888a9t97FJl4/f3by+MWi&#10;mS129o8e3B2uV8sXZxfPX3BstvcOQ1OLQowNcaDgo2zUQysRVUnZTKiqWdcPakYc1+thFhqiomaP&#10;xUObIbEZiZgqEAWONXE0oFG7L68xmcugIG7MiJkRQDCr23Z3HxUIgR4+elRVzWy+te6FiO8/eHBx&#10;uTo6ur27s/uDH/zETN595+jPvvPti4uzTz75+MmTRxfn55C8PgMcfZYzHOzfun3rqK7rqgq7O9uz&#10;WXuwv7e1WCwWi7ZtXYemqQIxIjFSqCry037wxgMAaupqvrVNCKYJrU9D9/z0dLFY1G0LqiBiw7Be&#10;LsFMTQJT3czqxW5Omn0lVcbChK+nt7n4JDM1JcRYNSEEy5O6bBPLi0oa+r5P/SCqYEoI9XWPoVpe&#10;XksSYun6PqcdKsw8ryrO4wQw9f2HH3ywv7u9vWj393ZjwKqKsaqCV/LdSeT8onTsI6I3giIHT8yZ&#10;yUD9UnK6X4wIEWPm4RgUu/kyG63QRlVlxCpFBXOV0hBzulPg61HJQFUFEWKMXdf59BrMBPpgljM+&#10;n5DhFt8dGAB6UzNmwTsEINVERCHEug6jewshzHjOrrMEYKIE5Ol8ROo1xQbRBE1M83V1Xccc6rph&#10;ZjUpJQEMgdq2BQBmrut5SkOXFDhw1VTB0UiGoutDmayhhDg3kyTXy2VdVxwCmFqSDz76+Pxqed0N&#10;V6tODThigkFU133v1AzfeIg4DENdN01jDvlcXi2Xqy5W9Xt/9p133/0mVfGtb75LiCGGYRjOX5x+&#10;+fjLpmnmi63d3e0YYowR8jwhZGIijnVubqjrqmmNkIocITBz1TRvvgXEvFqvVA2RmTnGwIzE3mmV&#10;k/MQwnyxaJq267pNSAHW993V6jqpbu/u1LMZGiZJt45u375798EbbyhAVTXDMBChqVqhvrOjJSJ5&#10;bzhKprmFHMAAvJHcp/bmfxcxJAKEnd0d5CybUdf1fD73u8/MAuBiwBQisve94jAM11fXYCaqFGJF&#10;BLmgTFv7hwhGgUKsuKoosNeLDEFV+6ETAM7xYCZ0gfe6mhWtIGMOBVpkc+ouogwpZPURyDxL31qK&#10;oohYhQqrwOhqtcQqyRRiVVOoNClxZoe6kKKz6UwNkC6vrtWAkWbzhSD2fb+9s4tATTsLVR3rejab&#10;cQi7ewcnJ6fzxXYvZsAK1CfoBlXgPlmIrBDOri56wRBbqgLX7bIb5sbIVWgWbKxrueQrjs1sa4fb&#10;RsUo1O72kBz5geAF2QwDOsQDKgpIMiS1SQ13LINDBjIh9wMRMmMeNUabfq5ckKBSCHQicZZUN0Qi&#10;VHQNAjKDruuIQlXVi8WCKCwW20dHt2/dOlrMt0IICHzr1uFbb731/vsvnjx58uLFad8N5A2JJmID&#10;MKim4+MXjx592TbN4eHBwcHeYj57/ORJ3w2zWcvMHGjeztq2mbfVbDYnrhaL7Tff/uYbb33j+3/5&#10;V64UTRz8gUaU9dXZk5Ozrd2Dw6MjMLOUhuXq8vxchj5J3zTN1u5evdizLG1pY1t+uX4vZNhogs0M&#10;EZwMWVoVSwIDoKIpyTAMaRhExEwI4fDuA67aTz/59PTFi1W32tnb90k/Pg2hXcy9r8CJmMvVqm2q&#10;q+XyatkGBu4S84SmTGXGgO+9rLktMvo/B6NLygIFQLMQQvCohCAQExAaSvYKOlb+slPNXQi2Xq8z&#10;NSA/RrmgagVq9293jQRfP0BLKV1fX6/XKx+/03W9AXqLdUrJdf2IXIwAS0uPZ82IQEjkhIcCA+YH&#10;NlOqwFSFEU3VGUwmqrn3kzNPiQgI2b0+oCg0bRtDhKIMncm/mKftqUrXy8XV8mrZd4OGKtgod+KR&#10;d2bcuTQ7JDMxQq4BiRiX66tPH3754uJy2afkELOhDD6bLw2qLiNMiEIKANfXS0nSD0mTEGFa9/Ts&#10;xbOT03e/xbfv3rvzxgMyIKZhGM5PTwXh3p27B4eHhwd7zpoPMaoLA1hRUjITkaZpStkfSwnBEPHe&#10;/bdiqM4vL9erdUoKYMxc1bGqfL5UVdU1ETIxEi22twFtC7b3Dw58Et/zZ88vHi0FgGM1q2pEZAqh&#10;quq2AadqVjFUFTObqoF4xltKFKWWOhaRAc0hXAJT8UHiaRA1TcPQ9ylWlUPRSQYEdNeDgKLCzGAg&#10;kkIIgKgl6PXqy3K1CswxhJo5EHXrjquqiQ3gTqb6el0KMj5hpmZJAb02QgAmmryzBBGRvPLvHkPM&#10;ECAwmRkBiSgHNhMwLiX0TBLzdhbCsFjsVFVwaXBUBaRhver7ATAA+GhzI6YxSh35f6Zwdb2q6ppD&#10;ROb5fGF2Has6DYljHJKEELe2ttvZPFZ1086qZna9XAJHDHWfAENlHDEEDDEZKVIyMGAABq6BolEA&#10;DIasGBWDUlAMwBGpQkJkV3UsIrHOSCiBKsCotiQUOMTazBB5UxXfuI7RzyCHSBQQPXfB/EyUgjeO&#10;dJUM5jsNO68Mer0RzDPsGGKM1WwGRKGKdVO3dd165LGzvXXn9tHFxfmHH370xRdfdN3AHBiDiBio&#10;SI8MBqnv+m7dbW1vHR7dmi+279679/zZsy+fftE27Xq9ury8NNO6im1db29vU4hNPX/3W4//+j/o&#10;t9/7MySGjUCcmQmG2XowoDrE1swwAgLzci0GZhbqtplvY2wcP3xlcYrBHb1zBpAsG0OcSAiWl1Wb&#10;SjgAKIgYQDvbqmdbT58+vbq8DG3rKpQisl6vQ11Z4BAYTYH41u2jWVsv193ZxTJWTJQQCpblfBgw&#10;H7eZRdAyBdksqXhd1nMXJ1mO90ZVhsEATEADB0ZG0CQCamB5Nqdb34wTmlxdXf3whz/s+x5cpi1N&#10;SYdQIDsf7CDF/wCSa7WmlAbLSRaFKrpWh3+amTn2MuJmYFl/dPzBf8/k/TB5qg9mFTnxpmwmBgyB&#10;K1ExIIohpQFBtfS4IyJRaJqWObpxUVNGUgUkF+OFJAqACsShMmQ1SkrEhacFmMmX6BVfQ4OqjgpM&#10;HAxADI5Pzh4/O7m4Xq/71NRt1/V9EtVkZmJWvleySIHZWtd91+fUjbCuaqDwxeOnH3/y2WJ3d7G7&#10;jUhiRszrvr+8uq7bdj5fIAcOwZA4BlSP9F1sG0QlcKBQjQad/dJSH0JEUjBKIobQp361WvV9B2BE&#10;SIFidAg6zGbztm05hq3dHQ+yUkp912HgdbcGzpAWcabuAhMwV7HyaXqSpQk3XWcjg3gk7DiZ07w0&#10;yOgS6cyIwRDg+upKYFg0jcObAWJBgM1M3YapSODgWofBiXfOT0IKMdR1HYkBMAQWBcCAIRohgE/S&#10;peIGXFdO1GRIAzrApSYil5eXbj/m8/nl5ZUvLzMh2DCktql3drb7fp3UYozdeglNzUBOty20KyQK&#10;VRWZkXOLj/rMAjVWSwaEFIhdxIsADZGhEPeQAFSHIRHHqm6Io4J6Py1xAIQkMojWTcspeTtnrOoW&#10;cLa1E+t5nxSo4tAaGnAFFNr5FleNIpMRIFOoAANyZYZAASiKkRgaBqCAQAZcuuVhYsrw5l+9klIG&#10;jBTBU5jovUDRDxWxwMQej2Pu4dx8DBKISU7djAOjuXd3nYjxGTIzDSHsHxzGWJ+enXNgnyQJBsMg&#10;TTObzWYG+LOf/ezTTz9dr9cuiqCoKUkm5ydFUFNJqutVuLy87JMe3DparbrZfOv20e3VaoV4PAz9&#10;3t7OGw8evPX22/PF9jBIVbeA7GW2DBv5BAEzDBXFBkNtGEwFGY2iAouhGAAFDBVwzHzEUhCYZnqw&#10;WeoRMBpXmjYvKLI/4xsQDY19Q1LdUt3Gdl4r5hwdixEtZFFm4hDeeuedOsa2rdvFIlbBhS6DqGQd&#10;AE+qwNR0kMFDRdeL9ctzKjMUDoxfj8vPiCQz62UQlsiBMIgoESkWmoDlZ8PUDOzy8uI//+e/u7q6&#10;clNvouW80aW9uMz+HDMYyNMdiTkDeqGqANCKWMJ6vfYN7tJ1fvJOYPRobkgDGNRNXdc1OIcSkUMI&#10;HBCRGRhtNqsQpKlrMESqhgTIFSAjc9+vqypGJgT0OaleV2UOWI48c5pCboM3m81aEVGg61V3fnm1&#10;6noMjJmAgIhsKu7nVBITVTGIaj90SCQiD7/48uT0fN0PScyQFHDVdV7u9o7TnDGh59CJOXjehkSB&#10;YzvfYgqrrn9+en55vZzvbAOjihJ7rwDv7O7NFgsP80KMkK2zFVAHib26TJ5xgfq4RSMO3g/gvybm&#10;2XzmfOKuW3d9J2tJ6UJU27Y5OjoqLEQzyaOTkqqoDEnQshItejsjBwASVST2yQvFDGRHgpIdDJbq&#10;NhIygmaWoxVWb6b6cgjIbAAcIoiICAKqGYKT08h58YRExLmvOwRVyxNoiV1pI2COWtZdRxzNCMzb&#10;y4uIi+UhNASQzGQYmDBP1zBVSY6IS11361VgEh83jnB+djGft4t5e319oQopxsvLC97dqauaEBFo&#10;VNdmCoWn57/J4IhoqWciofsVgNzqfsPaEHOsqqauW6KIloZBAFl1cDBtSEOIUc1CjCG6Og4vFtvE&#10;IcTaTENVg1mITd3UyZBDDUhmBIaIrLkXkgEViTW36wcEciLfxKOMtmx0G5l6hcSau53IcviwSWIw&#10;c6HQFEQ0huh9U6NcajGquF6vLk7Pl8vler02lZ293Xa+qOu6quuAoZTBDAGJaHt7e7HYXi3Xs+Pn&#10;/TAwBVVbLldmS2ZerlYf/fa3v/71rxwVVxDRZAgGaqaM7llSQAO11K3PX5xeX17OZ3MkBuCmnala&#10;4IiAu7v73/nO9/79X//17v4hEZsREqmhGbgUTr6vyE6RMSOFbE0AGJC93k8UDCnrtL3srV86MBMM&#10;YSTAv+bIkIrzyDJHHgGtauaz+Va8uKqNAFRAiLium/l81rQtQE5OOMa7d+/P2rZpKo4BiQjJEIKo&#10;kCsUWQa1EJGYvP1FTCbnbGB55HBKyc1radYxM2PIsxYc5hpkQNjIGBTitjnaltKA6IxpyuWIwhHy&#10;lAdy85fLiJYVNCtaDj4dKXh3PTMPfT92NPgYO1dMGc9vGAYfrhdyIWQ6LU0DQWD77ne+vbc1k5Xf&#10;8vCPP/+lYTRkQ1RJIWTWUvCxRWAxxLy+xEgYQjAzQhY1REiadnZ26rp+8vTp06fHH374ETMbgoqG&#10;EMDASW7uDtMwcI6YIQ0phICEX3zxcN11Q0pquFyv0iBDSlkOsSg2EuSmXFWfSoclQ4vrdc9BLy6v&#10;r66XT58+Ozy6Bd5IC1bFOnKsYkVIHHKXrykAT6YBqY7hpbt29xBqWrr2LHfSuMQFtrGKVVd13drH&#10;A4nq9vb2YrHFwctjQUAAvQXAADGlpCkjpF6E8P9UVNxfipaSZUE8ytPi/+8+Rj1+NQQsc3d82ikA&#10;UyDn47l8RRJEKEXH3F6TIVNV8/5B9X4Lj1J8UCAOqnUT/R+BOJMzMvow9tO7DIGSGRRZQ0AMRIv5&#10;DBFENQTa2VlknhgCAgSCqooAWlVRRGLAOm9SQxAVF8lRRCNkHa0oltplcmoCQZEsK6342YiOhkbV&#10;kDjGum5aRxazoi5gjJWruxdyNjVtyyHYkJqmUTMPxpACM1Z1s1hsLZcdOsMPEZERWUt3tmRCl0uO&#10;EeRupiku/ZINHINtREDzEUqFN/gyROa8KTVVIwpEbJtGxByki8hvfvWrn/zoH87PzpbLVZJ+b3dn&#10;Z2/v299+7zvf+/P9o1sbMp/Xxgzms/ms3WpnW+v1+uzs4vp6eXLy4vz8/PT01Cw9Pzk+O3tBaDFW&#10;dcviPVQiXdcRWR0QcyZuZNovry/PzhAghljFOEo+O+iXRCEnpYX2NoGyAMBbzkyBKebbmmcHkD9f&#10;3g4CCsAGuYftKxY2H2O+MnXCk8PrSQijDnwBzzBWVdPO63aGHNLQS7cGwLquF4tF1dRJ8uzVWNV1&#10;FWbtrGkbh0l8iI3rlDiH0soIA+fnbEIf/5kQgdhpB1Se7uIQ0cACc8lUTFVNQblopI8AAmUwx8v1&#10;Iskox8yF0eC2JjcEecaTSwKlIdTbBFXULHm9d0wNGUlUnClrIn52Y1XJ84xRrcDncoqIyBDZjO2N&#10;O4dvv3FvGPoQ6lVv/+X//UGXSA3zFD0TLxRDUWWgcQTCKAjvNCcxQFx36/l81s5mBtD3/TAM6CMu&#10;1BgpKzO4I0QQEQJX6SM1RcC6jklFVX2IYd+7SKOYADERk4CrqwAAqIGhq+cCAKOCJF1eX9Vta0An&#10;J6effvzJu++83bRNHSsTw1JtNlWmaGqEJKY20WsAKBSc3OuVwXOvB5jquutmzADgPpuZQgyxCnVT&#10;9X3f9wII21vbVVWrSZEJzlOh/LS79VrNvJJnsVIvAQKAgYpUsaK6Ruc+u85fee7HpwrBly3PIMg8&#10;LPD0zmt+4H7bjZ3X20Y8NmNaBav3rMUzKc+B3cF4E6ICMLgaGAEVNa8Rg8rETwUwGYb11VVwQUXm&#10;GCsiappGZDBE4gpUEYN//WLWeKw2p0ZMAlEdt2JgAAMTMzBkMDUY28VGC+FYEZhrrzFOFEPzC6kI&#10;1EMGqpk51HXrC+HtBw4YrFarkeADAE3TMHGCIUZXW5EYa2Imgrqu67op1NiMXMYYGcmjhKllyCeS&#10;tXMn8fbrDJ0fJW4FAM+hX3cY5HrVOCrJ7waYqV6cnn70m9/88uf/fb1aDX13vbwa+i5W1YfvvNOv&#10;lt/7q7+6ffsOIlsOfG0YUlVZVcX5PDLHJ0+ePX78+PHjx8fHT1+cPu+Hrh96k1RVXMVYhxADUwyS&#10;BrawVYettqorlpSSiigoWLe86lcrJqqrmpGrUNVVxURN3cQYJ27foGiyjfgVIoBCwfKzBQMsYloG&#10;Noq+vLKMNwDHzS9HWPn1x+amuAMyMPNYHzzQirHKwX0HkOlLDQU2AJFETugMThWqzPLEGyIOiAQG&#10;7D5kBOosV8bGp8cyt2EjB+Ltbk7l8aINBRwH9GVIpGQzmH/vshfo+jyXl5cAoCplZQnAHFszM9HN&#10;8HCzzcAoP03nDnghN3DeWNmV54Dao/LRFef0CEq+Nb1DhKAqHLCOPKsoUfAWazCfMMgiwiFItnua&#10;KznudAotKhu1/G3CGMggDalfd0ioIuyEMTXO15BZMK5T5OGPKSQRIlITSaSWEJEJ1YwAXEjEG36J&#10;2fV/DHzZDZHUDEwVQAczQxHtuo6Zl8vr4+Pjy/OLuqq5ZtU8gA9zW4m6B1FV5GJ3vayR603guLh3&#10;/Rv4JKE0sjgyUQEBCQNFl/4LARw2JCJQG0HLYRhU176x+77PTR2AJoJZBs07eAjBZ0uyGRhZkXHG&#10;UhsugU4uGIHbMUJ0ESckkJQIiYCc20hIIUQorJIC9GcQxiV4mdn5LESueR2ZWXWVUjIDQ2QOAF4o&#10;1rxXDMBgGAZGYCZAXV9fPX/6BFEvzi9m29tt22xtbxMTYhEh80KmJ9wc0EpHDBCihorc07vsDGFm&#10;x42PwMZQu09lMjEsogpj0DPaF8cO3GIJUoyVl6tcWs9/3/e97zItU4R99wVmMEspVVX0D/RgPKXk&#10;BCLH4l2twGfeEKL3oCAWOSFQLLqINzzGTVtIU0OIgDdeOrWIGVPPiqhT8piaijx7/Hhve+s//C9/&#10;tVotry4vT06eXVycrZbLLz//9P/52//06OHn/9v//n+0iy0A8FXx9E5EV6vuy8dPfvGLX/zTP71/&#10;fn56vbzs+vWQ0iAJVfpOJaW+7wmBA0fGRVs/uH1wuL1YNFFEjBBC9fjpMzDtlgAAgP9/SwKsQiSk&#10;wCHGqopxZ2d7a7FFSDm0MRsnYoz23a+DRxFhVzb1DFvEoz13pzn98ed9ujyvrtg0SbKX/u6Z/2uo&#10;AmaWhuSimbmCQZm0SkX/H0oQb4BmqGoIyEgCRoDe72fjZ2aEM18YwThQslDpPWjyiLs8jpZSgtwm&#10;5roRJf3I2pRmJgaoqkiqJgAQIjsQh6XenTUO0dQEslvC8QVjFFb+6mrKNGY2o9vAGw0042yMTE7z&#10;vVT8DWZUEPJkjNOT5495QAAO9fXaQIWAFMxUwRQhd1EDIoiaWci05uxN/TQ1iakSg08YA78gSTAS&#10;sHT0u8iQKcuYaQ/WAAAgAElEQVQea5sZAqqoE96SDOhtekmYyAiYSFWHYWAdpydZwY0KCRPQoUUz&#10;SEPfrXG9Xl9f0dMnT/b393MmVxbHyRR5VBEYSn7s8ha2zMDJ9peQiA0opc5xSF/JDWEa8kxDoqxG&#10;M/5rvrsFhvWv8YY7BFBW1bGSMMXpM+UODXQE2vNcNiRCyuk/WXYvRg7cMBJRAjQwQiJkl14jR+j8&#10;QdrASJhBHGd+eF2PmCiwN24Qj2Mu8yOkAgCqiShcXZ5fXV5dX13GwDu7O21TnT4/+eKLL64vLz/9&#10;7NPdw8PF9ta9u3cPbh3u7e3UdU0EhCaiTIQGMhgSuXRlfpKcaFj6rlUTuTLGaFam1sTFbG7KYb3G&#10;wjjKb8bEVYwA4CKYPnRj/NkZ3ohY1zUCqAh5XTb1Zg0AOKNySGkcb+VbqapiVVXsVdliUCZh3Nch&#10;OP8DBzJVTZ1BOABT89jIRK8uLk+fP5s3zRsP7l2cvjiPGGHYbuL16ur0/PzRZx8fP3383rf/5E//&#10;4i93dvcAc8FfREX6Tz/97Oc//6ef/H8//vjjj0X6JL1LfTGTgyJDnwboAQwJ6oprmlUx7Czm+1tz&#10;IotNvb132DTt05NzR1b8nhJRDC5BO6uqymdtfO3KGIASQEnlDABMNaWUu0dz7lpe+1We+PWHvfyl&#10;m6Qy84P9tqaUri6v1quVqfkYa0SyMt3CrTCaMzPQc2UV46IGQkRh7P0sQQ8WeGEM/v2PcaTHJhvw&#10;NSIy9oGpWdkFwUzFEHw6p1ONMSd+oE44LulFnhFp5eqKYs0Nfzq6BCyH/9WFj8e/Tl8z+pvs30pj&#10;hHOay7+CSAKAGBgQReTFixMcLgktxGadnB3rDgUlDYo5XPXsTdUIay2j3EZ4EFQRsg7mYrHo+j6l&#10;wXKBaBQ3UTXbqKrkcWoAZkg+vYfSMKz7tZnmsT5ghD7sAZMkVRtxV5+t6zk1ADI7pgeIqKZp6K+v&#10;LquAT548ee+99xx/QCykknI3R3Y45PmXI+BguTyYpxOZKPZ9v1gsoFgQX1v/awnHsncZwx9ftOVq&#10;CQBu0SDLsosCuAirmXp7MI0Popknvnn6j9lYeyDwBn83rIToWINRFskkn5IlIghEGLzDx9Bso623&#10;QTjBkWFH0tDFdAnBeYb5l5R58P7Yk7dj9Ov14y8effAvHzz64lFdxTfeeHD78PCLR7/75JPfPfr8&#10;4Wef/65q262d7f2D/cPDvW+/9yff+MbbO9uLQGgmgMREogYkwQicrExO+HK5QFIEGzmseWLNDXOC&#10;BUzJfy17eWNCisn3PUXEMVb+LknqFUGiPLxMVVSSqTZ1bWApJTcESRSZkciIgDipepOvAagZETdt&#10;W1UxVnEEW/Jdxjzk+PezgQDZRU0udHLJwMxZVa/A1KAmIldnZ7/51S8effY7skGG9fOnT7rVsl8v&#10;Y+RFW1e8ayInZ5f/6f/+v7iq/t2//2sKcXAgOqWLi/Mf/OCHP/rRjx4++ny5vAYU1cQMaoDEjIBM&#10;brvEdBhELZHK8fGz7Sre2tmqAoRA27P23u3bSamumutVQmIARGLiSExI5DY5J3NfmaKBWZ6OXEIK&#10;U5VhGFISFbFXfMQf5ECX6hNJKQFg13Vn5+dd1yPkCr1titoZkXRXh+B7Z5KhGoBB0Nx+mCsfUNAR&#10;gA0aBj5tw0aQyjCPJAqqbtqCQ/QlYQKRhJgjVO+p3tDT1QrdOeMYoJMr3LiH/ItCiYYxQfG9YUX/&#10;bmIZYSx3Q2nuGd3J5FAn8uIGxCMEELO9/f037+7162XVzJYDIYKK65KQ6/t4vpcL0aVPFgCmHtEA&#10;iNAF3OqmHgZRHVRMJKPWkIFx508qGGJGtjK66Bt9GIZu1fnlq38f5UDBdb91BLUncw1y2kA+rgrI&#10;UFWvry6rSF988cVyudzPGaUgYT8MQ0pVjCHGMuLX74LfsZyxOgiVHRMiJllPEMvMNnzV0pWuJixt&#10;VUQ4XAxmNpvN/GYlEQAxtUE4qWpBxwDRsPSImTkF2Z9oAp854SoamwGbJV8qN6GcjCQFI0KXGwcF&#10;LdY2JwxQHAwiIjoRk6H8kEdvAALkPrA8ZA+g77oXJy8++e1HDx8+/OUvf/nhRx9VVTy6dWtvd/fs&#10;7PT8xemjRw9fnJ4ZUd1UdVPv7MyfPX++Wq3//HvfWczbvMu0CEipCQiY5VnT+eotARgHzqonZWFh&#10;upFtIoOJX2WzEEEkT5yMISqAz+pT1TH/8Q9za9s2rZklScwEhCJKHIzIm0KHNIgZeBkDgIiruvEK&#10;loc2ltugA/gwm3+bOcSN2XzJgr6EqxlRJosWB4Mqmvrh808/+/lPf3ry5HFTMZE8e/IEdECVuo6L&#10;+bxt6p3Fou/Sxx99+P7Pfvbt9/50+/AOGKhat+4+/eTTH//4xx9++OH18irJgCCG6vNREJSRIxNx&#10;TKomaGpJddkNz05OF3V9uLOzv12rpvPT06354t6dMJvNzq9WzBGIwZA4AJGa8ye9x+BrQEBQUyxj&#10;YjBbCBtS6oeUrcj43t/fdX/VW8ZIXVUdY193a1VVb3vfgFOWA+LyNsxz3tg3mgfaABD6Po27y6GB&#10;fHM9JlB1loioWEacAWAzKdlyPQaSqFcaHJpOKQFaoAw3m40kdXWsv+xVUlWarHLZH4ZF8z8XsUtl&#10;3iHjl9Zo9DpaZKE3aQoAFkaZlWGo5Uuz+xFVA6tiuHV09PY7D4bVkqvm/DopZspaSYbAfSYRhRAR&#10;8/iSySL7yVDGqgCGIUnBfgpTD5xc7am5mJlqBhYlv0vVEKXvexe3zsG+moF3KAGgy+opASEBlxDB&#10;zABUxBzcMpd/ZxiG/ur6+vHTJyenp/ce3M9sPoJ+6Lu+DzH6PjWdJlWjkyF0v+XFdMefyuA8RB/z&#10;nLnazIEypEZjBjJxMBRjdAqiP6UioiigShYU/NkxdzOaExbIq5QrhDkUzk9JWfGcBpYRFnnnljQs&#10;02U98yj6gEQjhgeTLZAPHP/LWU7p4VUZI4vPP/v8H370o5/85MeXl5cnL06enTwHg08/+10Vq77r&#10;h6G/uLgaUiJmulpxwPOLi67rRHQxm73xxr1Z3cyaBsCQMXhnhk/D8bIWoPOnUxIwURFfbACEKeqO&#10;ox8ekcwxX5nYagAAGLohAxcx9CllO6K5F8vjJn97yvwXHSRRqABwEEEib5xRhH5IgygQ6fgQsPPe&#10;qBhE5BgpxFIdeKlM8PoDAUqyM8FPvsIcborgAAggqkx0fHx8cnz89MvH83kda+z6LqDUHJ4dH9Pt&#10;o53dvXnbpj24Hk5+8+tff/rbj7+/fwSIInb64uQXv/jFxx9/vFotUxogl1clS76CEqLLvCgAAqOa&#10;mvSSLlf90+dn280Tvr8XGK9Xw1vf/NN7dw/adk7hgiiAv4UCBQZkA/JOmk0uOsERixEBBfNapq8n&#10;GCiAlF6R7GByk8IrsOn/3FG6KYtKhpnbdSiYxxj+E5ViIQDCZtsYmFu5sFqtJqYkl84ydbF0pwNi&#10;HiCWf5On0bi9Rs9TTIDQwEwHUExDUhALeeqlo+ceEKuqezJHG3wIHYzDB8sF3AhHy5g5mA4VV7XS&#10;ULLJd8on3AjkLNuO7ASKK7AcLrvyPxCHs4uLJ0+emvTE9dPTazVU8ym9aLnlM2+BSaSeLWkGGhEB&#10;fUYzIEI/pCQiZf4awKbAZt7RrQYAlMv/AEXcBBIOSWzSdppSVtjSbP9HrnoOBnzckyogIaOr15ii&#10;xBAMdBj6q6vLkxfPHSn1J0HMxHQDb44KA8VCOw0g2/aRlVuK/khARXal+Jsc7I+Z6Xgj/AcmFpRy&#10;g3CQQUHBjE21ALoZeHFYbFwyy5tqTFggf9WIClnJ2D1khpIvjutNauqlN/+gMTkuZ0gv/1emOQOA&#10;JzLe83n24vSDDz74yT/8+Ef/7b99/NknaRiSSip5uRmqWN/37umZAcl4AElJRQD+ORD/6XvfeuP+&#10;vaHrTaSpq7att7e2YhX7vkOEwASqTMQhUpxt728TxcJqfYUPVPDlnBJNAQHYrB8YrpcrV8wPIXTD&#10;4EQYMxiGwTvnvTUdCo3bNfxjVZtZPww5SSRSs86VioovA0TyVjIXd0YFQoqRQ9w8Nr9HpG2TH77u&#10;XZt02XnmIv16vbe93e9sJ1mPyrl93+f5FMRN26xSaur69MWL999//zv/7n81AxH94IMP33///fPz&#10;M5GkmhAN2QdnCXsLsKFqAiBPtI3YBAytUz29XH7x5Phop541sY7t3t7+4uB2M5sRBwyRKAAOwEwU&#10;kNiHBObMD18GD8cLdsQ5m4bJSyxHAjh2b/wra/T6Y+LTIBsUKyh3zgvJ1GwY0jAkVXAUwyNdb1h2&#10;Q2CT2kS2Em4AgJAorJfr8o1lcpM3B0zOAokAzXSEF/IsAVUldmBaDcxQAVFFQVHFqeWcMStTBoaS&#10;Z2EZ51n8AeQM2gobr5z0Zj1uLqGZiegYllqZ3zz1rv77PIPJNlaKnJI/vhLRXc7QD7/85a+fPWxU&#10;esBwej1IUZuhzLJzF0wGpmKqxjzqaZe7ZWAwjp32ZHM8K0OPQXONA0sXLvignEzN9iaRPBuBfL6K&#10;XyKUeR5A7CBQ8adCYIjO5gJT9I4YNUAAQmUm1QSmy+srcy0GJsydTJlAiNlkjy6k4C354cFys9Qs&#10;E3KtXCTeuDPlpODGjQC8USTzRp8+DV5y93ylfDRMuHnlyR8hE9v4FY9+Nmlv/nwr975E8r6+ufcG&#10;ipt6ybtkA72hh+ZpWPkFTKxqBKhiv/71r//j//kfP/jwo6dPn67WK1ExAFFBRFWTJKqQkvgmVABG&#10;MlXtxQweffEEDMFwb+fwN//8m4vzs1uHB/fu33/n3UVDtFoDBaQB1uu1JlGDZjZAtdNSP+hqsahe&#10;a0xULZ9u8aaTGwJjn+bV1bX7TZqgG4jQ9/1iMbOMLSOX7SkiQ0q+e3KHnCOGBkPfuxryaCowBAVF&#10;ZvCQicilLT3/u4l3/duP11rOnNmaqeP+VurMV5eXsl7tLxZ4sHfy4uk6LU0HGdKw7g8PD5q6BUQK&#10;lGQITJL0w3/5F39M+n745S9/8+mnvxMVtQQgakJqzPnikRhMUzIFysRoBGRCJBNbDen04soAA3PT&#10;NLeOjnaO7i5TFiFljixGzEjEITRNU4orANNS2SuXWwZTg1PuwU0/cyo6beirga+889+6qtMvHzeY&#10;ww9IpAiQhkEkYal8IpTYDwyJTDKqP8adecshePEy7GzvjjmBZxXZ0FhJhRAIsx6rlL56b9Qo+9lD&#10;eE2WkEDF+2xNxJq2BSIgBPGvBR99OvjQjrF3pOQcblSIKPdX4iaChVwygREKg2KDRodkN9GYEcOx&#10;0loBY1wAaK4NY4gITGiayIyRA0cxU6C6ZgdTpjF4yWhzcmoOZRSet2eL3oeIiKX0bcUMgv8MiGpg&#10;o9SCE9vBOUPZhSABEgNlzMpRUDBDZL8qM800V5BIEIlmdWhCULXz69ValEOVel9kAfWe8mSahqEj&#10;ZjNloqaqymhV8rl4fg/8USoltU1m6T9k3t3N6hcCIBBaCfmnYVXmFWcfD053RgCwlJKRcWmSAEUy&#10;8j5tQiKjXHBQy33y2U17OxKNt+YmlrJp9y2Yj4sb2cauwmSHwhiav/Sfo4zqsJNm2h789B9/+l//&#10;63/57z//+enZRTcMXlpzK6AGHnloUVBWp/apj5PHQQxW/fHx6eOnLwzrJNQP1C4O7r/1J2996726&#10;qnyYjSZZr1er1XK97pCCUiWGZZ76K9YiQ7hUUpyJ+lh5vRmgwfn5hesVIIJPD/N7OgwDIql4oEMx&#10;Vj6CUzNJR/3hZSQCiEQBSfoBvS4oSk4sDyxJSsACQGiumeQNQ79fjI2v/PDKP/vOmqjDaJLz5yfd&#10;1eX58+P+8gKG5bC+3Grm1Mxgjru7O4aWkkDwMxIG7FbXYArG11frR48en59fAChAQhQEIzTPJh0B&#10;BMCURMGAfB+WpNnABLqU5vPF/buHA1VN084Xi+5qIGTMxQdEQANnhGNKQ3lSX01INxdJrjNmuS7q&#10;7AxVHSRZbmEvlu33T2FeWeEbSqEepyGCkylzmwqYSkLLnGmAPEaPclHcsegpPIDh1q1bXlTQ0mHn&#10;ePrUcMMm1cjbxqzQwCwHpwjWp56CNxyAqolYCNHtV7FNBqUI4/CF93y8FNxMUhC3Y7Ahimx8LCKS&#10;5DaMTU1odDCwSZ/N7Ab+5o2lqjlMd8aRJZs19fe++90HR9uSBuTw4rL7zW+/MCACBkPIy8ju/NyB&#10;WSGq+XeViTdZ9saKMCgRTqN8AzWgkgIoIvqwaHIJE0QfNejhD5SxBlRuHTEZk6oRmkhitiaG3Xl7&#10;+3Bvf3tbRD/65HfPL5chBm8HDUQqA0YyEZE09H1VVw5UxhizrkEOhjZUDA/0b7AXNjdIC2KVc4hy&#10;y26gYf7/ntHgpL8VcpqAADnvLPMqJubezLu9cMzhx9EGOZdCfGVXTTMZK2zL6QM8RVO/5hgDgrIo&#10;AKUKeH5+/rd/93c///nPz84v1n2XpJSKPGrxb0NC1JwkO6XFwJgie8Wb1uv+0aPHn3z6OzWsm9nB&#10;4dHBrTvbuwccwvhEbamqqogiADEj+gOyuWScnG25QByd+c2XOOxgFxcX+VmlDOT6Pw/D4M0GKYmZ&#10;1XWdSoVmGAYVJURVdRGYwByIUt+P8+QzBMYE4o0Sk+/H8Tb9Gyow0+v511+FkGlLiIhgMKT+5Nkz&#10;07ReLdN6JX3XBDzY26lCjcpVHXvpVWXZryIjmjLircNDREtJTk/PT1+crbsevJscAIHRYxxUbyNU&#10;NUVxJooRMlBOYsxcLKtp23v37p8ue2avtQyqqqnIa1nRSzF14v4YAX/FBfuDvklPiJxGzy4okisz&#10;v3/+Mv2K8sNLmyJbSwKoqhhDSJLEW3DcmE/ekvdXAZUpd89lqCArQvpoZH/pSOQdLfJN65x/KJ0W&#10;G3uha4tVAAAEL7ZbjFUIQTeMIxz3uYwxXrm0l3zYiMmUz6fRWLy6KFaOcfb4xOvYS5/vPmasGfjX&#10;EHMM4datW7u7M9OBQqRmgGyScv0QN/PSsy7AyIWbfkWBts3Muq57vUVz0EEVTM1NkXtgH8iDaAZV&#10;VanBkAbTAYEc2fRTVhVGCAQGabud3Tnc29+ef+PN+22sXpyd3jvajzH2inuLORDGQBfnZ30aQogp&#10;JS2dKJo77HIV+38QwpjEIjf/4bUXbVOL7wxDd0JaYoXNK9WscMTG0/PbRXTjC6Yu5Ku+cXzwYPIY&#10;T9/y0tsRy/4uoSYzd+v13//93//zb37z9Ph4vV5rcWLTb5qez+QHVVVHMEV0gPTs+Pk//uM/3jo4&#10;2N/bv3///nyxGIVDHBLwvsXx0/5VvzjGNK+/F4jD0F9fXzOzT1cbi6CI6IDYuE9DCMvl0u9I3/dm&#10;lutw6D32qKpd1w19j2ONfQMs5sQJNyuY1/MPevhmIO949V7dIaXnz4/PTk+XV1fY921dx6ad1RUB&#10;GVpkYCJASsNqJdJUQTF8//vfIw5Dv35x8uLqemlmJup0dELvAtRkRmwR87hnA/FNyjmVRlM0ghhD&#10;Pwyrde+zNQsRN1c3fWVG0Nj9N3ytY0CAsUnVv3HDyM193n/YJb35zZDvWQxMRCiv8YOjlZt4AY+t&#10;R5OrwUGnYUj+YE32i79ijBnhRtkfgIgzLEtj7FZciCFRwDLiwr/dXzzi5cMwAAATpSG5bsfUAVCh&#10;F4+pyYjG+Cs1n2h2PNNY1X/INwPA6eRY4DjIe/VGWiZqgYDKXBwOAcjne3KfFClYFvje2I6Rrgav&#10;M3DjmThjarrzc/gNZoXejgUkdGy5yAJijJUL4CVRIyL0W0MACDIQA5m2ge7f2ntw+9b68uJodxtF&#10;TtbLN28fzurm8bPns63ZbD7f2Zp//hC+fHbCgWOMksRiXs+M9E1KE9OVefWw8bG4OVjhldfYS2HV&#10;9NaMFjBPRoHNHZzcFBhp8VQ0qW4+xPiV+El5zkasdXxsxp9f+s30NdMjW0z0s9WPPvrob//2bx8+&#10;fLRarfthKEPQ8qWNoy5w+hXOyio2X827lnS1Wv32o4+Hvn/wxhtHR0ez2axsq00QM129SdXk9cfm&#10;GXvJwRTnfHV56bIOIYRx44wtln69o4hf13Ui4jQ/D0uzTwIAAFFxiTyYXnV5KsCfK78LVFz0/xSM&#10;8/K1Th2ulQ+XlI6fPv34t789f/Jlg3rv/uG8aQOhpGQGaFQREIK1jQkAxq2D29/5iz8npCR6eXm9&#10;Xq9N0bKsLqoXO0HVDFE0QXSdHFUDDYiBCbyYQIBVmM9aNbte99uL3bppkQMRi6O0ZX20pKfjon1N&#10;bATZVoz/Nu6eG2jBH+fI+AXkB1JVxbcdEalJ4febja3RAGOMWnoZ1QCDqhGh48jMMD6fm/tnOYo3&#10;x3nBVC2bePVtQJZ1I7LSg41PGJDrc4ykHkAT0WEYxuoL4I3EyHfIuFv8q0dS1vhY+cumXtAm73Jr&#10;VYxLtlMeprlayUvuyh/S1Xr1/vvvHx8sEFUBz677YegR6/xdOYLI99iF1Oq6mVrMckKbsxrP7ZVc&#10;BwDMhd+YwKdnud7XWHdCYmZOHIwVUEVEUq6KEAKjtRUdbO+88+AudOvL68sgCSTtzdv5YquJ8fzF&#10;8cG8Prp9uLe/E0CMeHFwePv27XFIQa5p33hcb6BJX/XcwwgJjo3ck/jg5jW+9L6Xg2tTVXXpEUDc&#10;SIHne11ygwkclF8weT7tpfP0+/FS2DG9rnHDw2Rvv+psSjyev+vs7Oxv/uZvfv3rX59fXCCgKpjL&#10;ORQHM95ihCmoC4U/iOpKGuBNm3R9vTy/uEwiqja+fnpu00su//T6G7K58NclOghoYGfn58MwYOYI&#10;3RB77fvev8L9jQeaefXUvL3U192L96rWp8H3lySxktxMlw8mdvCPYRHNq5Xm0REBgIhcX1+bSF1V&#10;JJ30gw2CtXFAQiCSgEgGTQi2mEsYvvnNd/cO9gHNwLphyLAVM6DkveiPJIOhiikDBkAyQbMmxKau&#10;zFRUAENknrVNrNvYzg5u32nn8/W600Ji9DR9euZjY/LXHJjTlE0+UYKdTQD0B13R/DWb8wSAzZNs&#10;iLmMIpIsK28CuDJXSVLHdNZ7FAHMZexGcdxc0xu5v1PT6WGUTQ4tmh+ax7SIu5wci6vX+Upcg5vP&#10;GXf+WP4xHXejIYAWv+g9Z94ggnkmoE3Jo2PpCAvmM1q98k8GAN6bOnosv1k2pkqgwyAo6eTkxLpz&#10;ZkgKa6G+75UoSSIKahssBDJsrcy5I3UaeCpsMCgPDzf3bLKeRYKl1LHAs2kcUT5VYUIwAVNHcDVL&#10;/yKBVEwHu1tv3b19tLdzdry6c7AXTLvVem8xb9q6jvHs8ODozuGdu0dV2wTGuNhZHNzZWmxjwfdC&#10;aVLLN6hUQab+/rUP8UuJy+ue9a+MV8evG++RyQYHQ8SxhDWi+SaKkxpbObf8NE3d4XTTvrSBJ+b+&#10;BqT50s/lr34uNC3Bnp6d/uCHPzx+9swH/TrnbboUX2Xcx38VFcgcFlWGru+vri6Pj4/X65Uz0F67&#10;XDn1/9rqEU6OSddtOTEwAFiv1/5K79sHgBHl7rrO9z4RhRA8j1FVmPT/YqluIlNK4lNlN/ygmz22&#10;E1w6X/wfFiPzFkUDEGeHm/qYQULc399LFXNaVyGHtYTIgRiNAEAtYugJVIet3b1QVead9phhDgAx&#10;EwBFQCjiboQIpqCCBgF0VtcHB7t7e7sX5xen56cUaLFY7G1tx7pVDEd378WmvbruXXjRd3dWU9ZN&#10;sDvm1q+/wAJ2TFbN28+C2ijtCPjVFIHf/8DJn+VXhJzV+bIIoheQ/OTGSHrS5OuBi0daQEjBh19C&#10;sRohBIdopxsPJvsTJrmCW20tAnkKoup3Gku5AiDHueqqqKoKYFT0r2yyRfMPVgL4jLZtigPFYeRa&#10;SMmUbWrfp6nJ+C5fAN82vlLTvaqqpsKgIYTvfve7b9zeMUsUqvPl8MEnj5e9ArKomiQqijXe60Q0&#10;6o9ZSeb8ozfWczQQ09Xz/wf3wxMD9PI2NANNmnpJg5sn975oyAQ7i/bNu7ffun97q611PoNh0CTL&#10;5VVb17OdnSrYt95+s1nMZ3UIgbfm8ztxfvjgnb4fnj45fuvtt6Y1rY3NLWfwVa7lpWegnPaIUmSQ&#10;9JUHFcabMkYkYzRDiP4gScqDxaGoHRVqyo3vfe35vHq2r7q90UZ/PVpT3ogFzszfe3l1fXV93Q/J&#10;wA2vjqcyPauXvtXXZ3SKuR0M2QCIab3uzs/P1+v19CGZeFDYYMpfDaS8sggv53MA/rjZiHR5S/+I&#10;8Y6IwmbNJ5Bmrtawk8iAQxhSGobB976KY9W5BJ1pXQZWpPH+SIcX+Ick/TCISGBGsKZtt7a3hC1I&#10;zSAcUU1RgcybhCn1KekAodna3d87uh3aGQCGGLa3t9u2CYS5ux7RgDS3IAiYBYSA0AZum/rW/t4b&#10;9+81Tf3EdFhft+3sYP9wZ2t7Nt/a2T9s59uGQXQtkoF6j0SJCBWn4enXRAwFKscxLs/PDbNawPEf&#10;/nDL+RW/3iBJU0Od45hyOV6RgOISc3e7gRkFf87GN8cYYbIrRiMyxiabwNOsJC45Qo91wA2DJSdG&#10;rz1/ylNYNtatBDpZYXTa9QMT0zBNtryy58dEeVOnry+fmjsBy3uNaPNRluVgkQPduXP7G2/f7brr&#10;qp4dn10joieDvpVGXKgsJY4/w+TLfLNNz2d6lLXNEBAiAoz6gDiWuNyIETKhBfJkUZMmQo7EW7Pm&#10;wZ2jB3ePDna3OKWAmMwkJc8MGQnJDvd3jBkBXKtxe3txcHh4cvpCzR38ZvHHG/H6h+yV41V/mdcU&#10;JvlEUfCd3vSptfUHb7ommtt7cfMhE4DxFW8BBbbF6ZlMT3AaG+HmBdl5jAZ8xDQhpyz0WlLt9fXS&#10;9YZH+zt+mZVcHEfvNMW4bpBu0YDUO1cqVtXl9fXl5aUkKSeW3d80s/o33JOpQ3359SNwO4LDZsbM&#10;IuJJiUOFeiMAACAASURBVId6flHTh9z/dAHs8ZKLiyptZ3kuUbn0SclARf9YJf4JHEJERYMOY1Vx&#10;jKFpQkKwZCiimaHujRu9aCe4e7D/xlvvPPjGu8hBzWIMR7cOthbz8yoSe9/xoIpi5uNjwbRimkXe&#10;n80Xsbp/6+Du/l4/dLPIW3X91ptv7uzs1XW7t39458Gbs8VOZ9Al0YwH6CbVRvQFnK7naw9V9WEi&#10;WJo3/A/v+8nb4Y/pv/M6w6bkqS4qhht4fLwcU9Os/apmjql6dx2EpqmxlO7NzEmrm6yhHFO1qzG/&#10;8Fxbc0sKcpjmyJOzzDShTbDvWPDkBQhZgX8zlXrcJ6OVmSYlWc1s0u63QcBfZ4nKVdwIzUanVWiy&#10;cHZ2enzMfb8EDMdn1yJihQyeuxhvgjA3zMorggJ+jNnVy+ty00iBgXceUL6XBip1qMK8RotD33dd&#10;NyREgO2t5v6do3feur+/s4gEqokQuq4DgIODwxgZEFQFxBxmUoBYNfO9fa/l3rt3jzmAwTgTBcst&#10;t5uJy3hRLy0sEk4XEF9Bb3KegDc+J8fi7uwRrSh8We4GvXFMb9bNTx6/d3I+r2Qq08D/5dd4djLa&#10;4s38ZYISvb704X4a6/V6SBuPSHmW88Yij6c9vsavhTYKNuAxREoJIYiIKJ+enn7++eff+NafFL8y&#10;CiK8fHyVpxnvAk7CzFfem8F037NYYiB3FU4V81gbb9Jh3C05yIEFCzEvcG76IcZlx6nlyI9T6cP7&#10;wx7ewBxjjFV0qeMQ4mJr8exh119e1iBM5qPI1AV5kQQxUajbxbvf+f79976zc3DLdz4zHezvHh3u&#10;XZ9txVipBpFOxJJoL6kfBMDayLuL+a2trai63VQNw6JeXF9cnDO/+9bbxCEJ7OwdzHf2uWq06w1o&#10;io3ne4AIm9re1x2qOjh/b4JcmRWa8B/ftfiBiCPnsNx5ZeYpOk1ECrlvQVVU1fW2fZsFImzbZkQO&#10;Sl3KD5vsls0vARz/tBgZIIy/14l5FVFABRynJNn4XlV9hbybXZpNgJfRLtsrazq6E3vFcL905yhP&#10;hSr07QI+TF/ln22maUgPHz7sr14M/VKBTi7WZobotVBGwowGlHeN3/iSg3nZHL/yMOXqAubePX+R&#10;C9kgZpFKAACVKsDt23cAZHV9fXl5IaqBw+H/z9ubPtlxJHeC7h4RmfmOqlc3ToIgCbLJJlstjW4b&#10;yWykLzMfdvf/3M+yXdOYdmzWZjXqaznbZDcPsNkkLgKFut+ZR4S774eIzJdVANhUqzlhMKCQ9V5m&#10;ZGSknz//+e7O66/dvr6/M3TGaPCEzjlRZdVxUThn1x6qpCK4rBhYl52eno43N4fDobYuXSdNzOUG&#10;B92cXxSX3V108ijOv1uK3sp23kPy6BOitLXkU1NWVdCYPE4U/5cezGUF9i2vVvfFhPzqPRRV7VWH&#10;/O7xsrcf0y2rYmosqN0yXnFruouuF021R/eVbiMi9Zdl+eDRo7+q698Vuvv9p59EFCZgZIwVd1MV&#10;kS5Irm2ZM/WQ4NTWe8X7MsbE+jMOjLr20ZNa/0PcwHcZccXzPEtlFYCD0fDdH77n5xdffHxaLufO&#10;Qp6TtQTAIhYUJXODyfbNu2+/+aMfj/euQTKm0RBsjodvvXGHqwtrqqaecqg5cN2EqmnqhpB0XBQH&#10;O9sbzlXzeW51mNvBYFjubM1m843RyNgc0E62d4rRBqNRNILoA2NLoQRtTI/7b82rBxGZaAr0/Nlk&#10;BHTcc9/3Yot2CkZVyWAfkAUAPX2na5mcuFcjFwBZVemQlNH+WBuWl0fH59J7XyAxn0M8KbK0gJm1&#10;ERQ9xLimqTQ6en9EJCG0Vk8XJYpm7ktUC/YjHnHFW7UEPUHfn3P730svPMAli7v9msbCQ+esoYJs&#10;Ni1Dlwxoddkr5VtfnF2xZDv52P9A985jisy0NXqJjjMyMoRR4X70w7d9U04vLmbTIRGOhqPJZLI9&#10;2RoVmUMlRQihGA42t7bQmCBiNMbECIi8aGAxCkSmrBpj7f7+PlEC18ZZdNKkfV6vzL70xCVAh8pP&#10;+wxEo0/UqZke9KsVVZ1BoF3hi4hiOi9RX71A/8lemRgidqvY/213pK9grpztUsjqFc+xjwPs7iCy&#10;Tbcpd4qQvtY7vxxPb73m+ETXi4EAqXkUikrghI65mF403r9yTt9t9Bbn5R/Qtjl0xOzFn2NIvAv/&#10;RoHSNE2EgVDXmACgq1/G1ASWg/ftHuiCvf3LaSclAP5w2rM9WbzTLHPGpGiMy/O79+4NM3N++Ozh&#10;l+cheAUswCEIkdZgTL5x+97bb//Rn433DpQSuzaogEiR2x+++7YJ86Y+q8tM2Qfvl2W9WpVNKJyj&#10;zfFob7IJjT8rFyB+ULjhMN/amty8yctVeePG7u3X39y6doNcJkgYK2oVYv86lURiDQAxp6CvgPh3&#10;wxiTZZkxthMV0FIZQ5KNgC8LF/1hB3aQkB5CDNs+ddAycHeioD8iMa5t20ICAEhbdN3yWurldzEl&#10;KWNmWkWRuoaABJGDSzn2VgaQiMBRTQ5EEi+tCx3BCT6pvkji1K9TwU4GwcuiTGn368vzHC+KyL6U&#10;X/ubbRoGEQ2Zosjv3r17c29TpHF5Ifaxwq+QnAHDnDhgQC9hxuiF8s8onrqD2GYasJWhrZ6DxIyb&#10;5hPvV1sIOSszZfmdW9dff+16uZqPB7SzkTlrimJYFIU1zhJYJIME7GCEzmUuyw2hsU6BCSjC0QML&#10;KA6ywhbDjdG4KApA1BaY1F+oPt7pO65nqy16G6SVqp3PSkSvEi3aev1r4mxpKyraZ3RlSj0t8sqJ&#10;9W+rs62olY/fMtYy+mWZj7quW9EAAIkvA1rDvxPHqm3lVzvP5KO1blu8c2ZBEO9D8H65XJZl+XuL&#10;4Kvb7xWjnzuMQgERsyzrDK848jxfLpdJbQOoqqEYR1oHVOOb2XZ7WhNNveRxfKs6/7cMigAna9eE&#10;XQC2KHavXRtvT/LhQAMYJ5klSxEERcV4440ffrBz85baTBTi/SgIgBDqzWv785O92VnFeSAIwYfF&#10;siwHTlWy3I6Gg1GRN6tVGBcqQYFNRvkgu3H7xt7Bra2t3Tt335jWXHseGMueWRLuLjq4iGCtIU/6&#10;QhzyVcOQaeGybc7pyrv5fXswiPG59x8stvXRnVHSymlpbcRYSRRB3mIlgawMUtSQ0Dfwdb1l04ul&#10;6aWKwsV0cqTjx4zkNN1BSC95YlGRSyWQbTsXXqea4/dAUTXWP7e459aH6IIVHZhSehwk+kIkZx38&#10;Xhu8eEWEqioSOucmk8nW1oS5JuuKIm8DaiAilKo1O1/oStZhfbD/2/70ulmlVz36jInJLUohURFU&#10;CY1XCZNre+++89YgJyOWxsVmjhYJjY0tNwgQ202c55hluXVOVQlJgiCighoiBjDGbGxujvdvLJog&#10;kZIGGAC7+tY4VAUui/XLm63nCrT77FvdnfitS2HP/iN46bd613vhXD3vR1MO5mpQ7sp8XpS8iFcf&#10;/ZW7a7XbSxTMbDbrV7wjEbScCNBZPG0YDVoEfPTHVdsAgKomy09FIITgvS9Xq6osFfTfIox7MuAl&#10;v2WR2IwcYL2NEdFa61vnKb6LzrkuRdq9ql2uUXsipvuAprDzJd3eRkJ/7xv69puN0ZtIrxHLhVO+&#10;5/z8nEXGm5sajDN+ZI1D8oHV2q3dvb1btynLuYtCq4KKIUAQBM4MOJI8MwZUCBwU49ySIZsZa8iR&#10;yYeF2dtpmjpI49kbZ/d2d/76b/+2XNSD4eiTr+5nmytwOat6ZmpJEyBtD+yY036nBwP96EuCS69L&#10;aL/FjPgDjjYuBa2xAZ1qga7vFCizxAw/rhOf0bsQVUx9ol6ccGuAXz3YinLt4hwAENukdsCktTpp&#10;K4ySlRTXqcWeccRmBcaXxcc7HwDaiBkAJDLJaOxbfVF296XYFTXQ8ypoHRhrB4vUdf3gwYPVxVDV&#10;K9KzZ8csEoSRjIiQucSZ9tIzp0m2LmF6/S7rHkkdHVJoVYETpzICgSpLxLwYwjfu3rl+bQ+ltCCF&#10;RTQZASIZABIAAIrrnOr7DbIwGcvMsSiB287dxXA42tgYjcer8zkRqUDbsXWd100P6IW7u7IzOodA&#10;Whih9iBefVLlVqckBpwrXiO03k7cxvFRqKrC2lboj05FXTn44sbtTJBLM+6XmsPLx2Udk/7t7gXx&#10;Uv86RERClc56uVxm2I+OiiAARMijrvlvIqG2iATmqqr8vzlEtr6Rlx2MhRcdzl5ajLUxZrVadY8y&#10;fkZ6lXDdyiSwFoKqpjhPay/2P/bS6UgvLPwHuEGMBq5Q7H+d/H+I1vP56QmHQAYNWRRvDWXGMks2&#10;GOxfu+aKXFLggDS5PbGTqayWM2BvUZ1Fij3eM1tkxliDBkTEEaLJisz6EMhaL4w2Q2tHG5tFrqz4&#10;9PC5f35yMV9OtreMNc5aY2zqUI5dL/m1bn7pVu8Gta3N49Du7/8p2mU9DcIr71N7vGOATdYVtew1&#10;2BGooVpESBlL6Jz+9k7SCVPAM/4j7W/WQRBQ0ciQA4k9uOXBRATmGEcCRAQBVQFNhJfKAqLKahwB&#10;ojIDJVAKIiJFBkhM3f4ikyS2U0SIgWCyRrHt2x6r9iUpXtBumqoizBxNreiLICWyIERUpcBhNl9+&#10;+ulnDx0DMJBd1BpEYyG3KqSWNATCbZeRnrhM9ggirtdwrfO6kbrjRL2LEMWMAAjHFrwR/a6WYDQc&#10;3r1zKzOodVBmi2SMQQUiYoFIdCpxMpJa2QcVRygaXDI1SRTRutH2VjYaARFirJlnMu220cjf00qc&#10;Ns/WlwbYwnA7gc7CsWYwWi4KgmAgrrKKQQMpNihkoBXvaSla12dtkGkkHm1jhZHaJxq/mLgbsMVW&#10;xXJihFj7Bm3rrc6NbhVbx78DIvHuqL1+/FCrhVRAumq1FJFXQTSaOohirGsT0cFgQLFLAiBqLOWX&#10;WMtHaS6CgEjYmfPRCkOQRH8BikYjYNIAGGtj/7/oGMXSkXbb4Pq17ougV8iWl+ra7uuqEHzwIcTg&#10;tqTMpcQ2pT6EwAyIUVHEWKJzLnb6AUTrnLShkkhcF5i990jAykFCnKKJHF7JeAUQoPSYkvT4TnJR&#10;u9vU9gVOi5sEUQ9IEFHtCgIopIAqCFwuZsANNyVqLaGEzAkqEww2Rwc3DxCjtIjNLBSREAxi8KFe&#10;LM+ES0NsKdJZqrMAZIhIUQHRIBAY67K8wCY1Sicf+Mnjb7Y290Th/GyxDLxcNZuT89uv3conE0Mm&#10;1mRoWnaJ7DvGpOhLz+S/7O4hQuRbx3VjMlEVAIl9rC497u9L5fRervWWZpGU92oPW5tqt6OSoEgJ&#10;g4KEVlPz56tAHe0/ak3Etto7HHVSbHGVhHvMnYCKskm8AhqrG6PNbqO3qIoKyiIsMVADHZ6z7ZUk&#10;qZcaJBhFyt1opJDG1CGAO1bPVJ6nGpvWxJ5HUT5RSopBigB1wYq1KxZnjaJ4cO363oYTbsjlZ/Pm&#10;i4dHPkTjC1WiASqxj6ReZnFOZ4RWN7YOY9+1uuL0JJkrioaiMQuqBhGEx4P8L/70x3duXUMNIgyi&#10;FFu3pDcqRgOiJ6Ehko1EJ99j7MFrFZGsAFKWDydbVBSaal8SKYAqY9vIANcBd4QXTPwrPiLEqiPQ&#10;WHla13V8CQyZdhfQWlBqbPUqkAjHFHqACxHoKOgjjA5RAaRtjEdEKAyR/TrOpa3hQohRjY6mYv1K&#10;tH9aNzq+mp1HBUpxDaOWRkgbBiXSi7e+FKECeBZjUEUb7/O8IDSGrBoQDgTK3RvShhGiQFWJmDUE&#10;VaTkd1PLyhXbIyICCqMaa8xoOBoMBy97wb/r6HYa9hRT39DhwIE5xjtiqE6U44QDsw9BADxzEFEA&#10;VrU22jMCiMYajiGyVmEws+dggDz7oBztOSITnfC4mVAx0hFHOf474kEvGUndtgZKx0EVzTBMW8QA&#10;IoPUBLiaXZw8e3Z29FR8mRnhqua6FhEPpJYwty43gAHBkgRBG1v+akBlLlezupqKlAQBlBGUCJSi&#10;d2MABJmJEFgNmcAcO+N4gfn57Oc/+3CycSDqjo7OIc8zV8xkvhjPNkebBo2IootdPiGa+BzUELY9&#10;UqnnnFyOFkDbv7y3Ihzp7OKDTqL4+wpExpc0+r7aZhlVgFmsTU10iUyrH2K4KZI8p6AlINjLqb/1&#10;eV+8Uh8oor0YYnRZAFqIWOSrScUx8b9tNSJiB6dJ8xZNtJJkEVExtom9lEDGdsPC2kFT7BmhIKwK&#10;IIIdeg1RI3MAdHNMbTRhrUoTd3aclCHKc/fBBx+8eWuXuQGyXz0++m8//QgAov3VurTrMD30O+hA&#10;EmyackUvz2T0tHjsSNMlJJRiQw8V5HD31u1//5d/ujMZQrOIvUqJiMiACihGIJIICEOMNAZmARVC&#10;CEIAAshK1pKQy11RDEZkXJe/6CbzQtHSS7ZpFzxZzxyUmauyZO+NMaenp/v7+0VetEvSD6/1wobp&#10;JJf4kqVt6gMtz1s0E+L6tInx+IzWVDHtE0FtX0rEaGolDd9529DGWBEvvYcCSirRf4TY/xNMG/5C&#10;EQCKZi6Iqngul6uLi3NCzZzlYFSZiLwHiIWEyZIgbFmREml5YsoijT1GjVUgATWGhAOCIsbKd9ze&#10;2t7c3Hxx8b/juOK7tEbXpYPR3Y/7VhWipQTJ0YxkYiiq3CZHKTXqTqfkkBqraxsEVhUWTfRQrdN7&#10;yfHt0v7f1Xl5ybhU8RqZJZPCMaBgjRqtuS6rpqzm82cPHh0/eXp+dMRcG0OCSEhBhJjJWhZ/9Pzx&#10;zs0bdgCASpqh2OjelYvl4uJcfWMQkAgZDRERKCCSRWNFmSMPliIHrn2jNlM1Xujw+fnJydPMPghC&#10;7NzW7q6EYHO3Wi65aYRZAkOBUR8aNESJCXAtP19No/NSr7SVNjFW8n1pl3Zq0rHatIZ9jA1gtx+I&#10;SISTZ48I8dYwAaCSgukQIP14DrTWK7Qb66UKpn8k+h2I6BtPAC3iPnlIIYREEti2PAnMMV9nsKUd&#10;6+Wy+vPprt7NR9tPRk8opcx7yUVMZxCI/apSMjAWYiQkVe9CnLl8OBiMxiOVXIBaFWJElciABsVW&#10;o7Tr3f6bHjmsxateXsu+duwGRpUfH4wlRBZH8Cc//vGf/uida9tjlDooY7J9CIlUIMHgRVkgMMcs&#10;sfd1wxJUkYxBysgaIJcRWLOZF5krotm+NnIB4GWwn9bHhasHLz8RUJ2eX6jKxsbmYrGcTCbDwTAG&#10;waHX+roNbFz2jHvuskQLw2C7f1qTrNXh7W6OgLj4u1ZwR7mVnvR62tipm1bHt1uHojKIFgDGlnyA&#10;mC4PKgjGQuIIMculr6sy+ErF16vlYjHjpjakzqIo+iCKjISgbYPYHsS6u4FYd+2j400oUTGiRlZe&#10;InTOkKHt7a3xePT9CQpVrRsfQuhVZUdVnwjUO7Zk7HjqrI31JXHJrmDZIycVgkldoteaPL0F8YeO&#10;9AzSo/rXDmy92/TfVncCooB6iw34qV+dTk+PTg+fff2b32qjvmpYGlZhABZpfOPIZZlpqsXnH39Y&#10;LhdvvPv+9v4tcgM0BQhy5c+ePpqfHFr2gAIGQcDE8GZ8X1SDoAFblaUhCKFRIBUEtfOFn86bZSUr&#10;KBWMG2Fdl1VphoUNwc/nM9/UHAIqkCJKNHttrIWAV+iP9c23rK9XDnYvcrtE39vA1kTrRMdavQG0&#10;Mj8aIjFQISoqIChIySK3L+aauswt9IRL/we4UmQH6WLxtx3CpFuR9dlUASPvsnS5QRGx1rZSGBGp&#10;z2zTnRx7pF7xw9KnokkO9ToHGzOLAKCSQgGRVqiN+ydwWpyjiiqK99Vvf/vlanYIGhTdbx88DYFF&#10;DaBBIDSWJSQYsai1pquFxjbE9KIs7jyAq88OMRJSMatz1hKiijV0Y2/3P/zNX925tpVBo1yzBEKI&#10;5Lca+7jGRAcrMze+aeomjsqHOgQk48iwzQ0aAZvZwWAwJjQSQYO4Zn3QlpnqykNctwjsH+xtuRia&#10;a5oaERN/aMRYqxCaV5Qzro1YXYcFRGIPRSVouU1jSzeMaVeNqpdUNXJnxdHlKrR1VlpLIiXPIdl2&#10;pKhr95la2miKJNZKa0MEVRHIAhok41kX89XZ2Xy1WmWG2S9AmvnF2dNHD0j9oLCsTcOiBokQJHGw&#10;958sRKcK0wqLmJRcA7FEiGJQHaIzWORuOMhv3Lg+3hj3RenlvdIu4b9iSFK1MYCvUlVVVDBR6DMn&#10;elNnbTzepRLjcWusMaYNe0L8DLRSrzNpOYTERhgnGW24VtMkWpCXd637LiNutyTaIvcQAseXzaC3&#10;uqrn83pxyItjak6GdjGblQYzkToIB2YWFglEFsE35fT5s7P5+ZGDihcnNhvmww1n82ePnj559Kie&#10;PTV8obo05MEF1JayARDAAJIg1OyrqrIuIzvwXq130+lquVK0BYsiEYA0dTlfSFG4waiYzWd1U4Fy&#10;m+9E0giutta535nk7zb8lSPwwvHva2B63NRWZItIjNhjazEkwaeRobjjeoIIZjGE9sV3o//zS+8k&#10;LsqLsomIQotCSddo5Xin6JiDSOI0lCT2Wu8nfUbXRmc685Wfr86ki8yoMqKBS9kziDU9Zu1eIF4F&#10;mKEoAHBVhS+//M3RU5PnFtA8O5kzM5IiQeODM0RkIqmMouZZFttmrKfRtjrv+yt9D6a/toiEQABq&#10;jIkAo2FeXNvZ/vd/+sf7u9sZCUkTQqUSoGUXjrX6LMLCwuK9b5q6qeu6ruomVN7XTQAkb0xwkNsM&#10;rYyL4WhjU4EAsB/pij90s43LAqqq0lJ0taEogFQ0085cWIJPHBjrPdCe4FtMKnyBsycSJaIItDQG&#10;cVlUETRuG+j5on3TLX4drpRmptPGZtIAgMQtiK+bV0pDtHm/qAhUCSkLDLNFOZ0tpouyqhpuqq2x&#10;W85np4eP5+cnX3/xeUZqctsEI5hLAxpJvqV95bsXAVPWEFENklqrCiEIADhLKsEijPJsNCy2J5vb&#10;27v37r01Ho3h9zTzrwx98UcRKcsyGkMmKZJoZ4EhwyH0YxfxVuLHrEvywXu/RkO1jTAQoMWCasoL&#10;dh5MzGwlJEYESvzuOqT+pLsHhu3mAlFABmUAEQ7qZ83yqCy/aVaHXM9yrPYmyis/nZUqAEjWErqI&#10;yG84CLBkWE8G2kyfHtZnwmBthmCePH26XC6Fa/VVRgISiCQlydJTpSAOwdRYr+qFyMCIW4XGl7Oy&#10;FKQMgRSZIWCAjG1VVcvVKlvkg9HA+wY0tfVDQCJHaGMsOLZIeLWCWXNtfOdH/wce2DGgrMPjyYyL&#10;xkt82VQEFAjbTtkmbv+Y/kDbIRfTKXqcEC86KNDzSDpbuGdaJlXRNE3mXGT/bZqGWZ1zEmFjBACQ&#10;2pi3Z36Fa5JcpfZm44eTvoki/WX+QSJGa+efMMDd7aj2K0ChvVNA0I3xxr1793a3hoSqaDB7/tmX&#10;TxtuFxYSOqCbbR9u2NfE3b55QbusI1SYxC06l3lmRNzYnOzs7Ny4eQMAOQQJvqmrwCyAgAQsMezN&#10;IfjGc+DgffBNYB+Ym8B1E8q6USBrDDNB4YzCaHMyHG8qkHa03rpeSewKjLS1+l/YYd2EmVPeHgFb&#10;FAupaOYySC2z09nWxaSkV4R/u+ydRSFtyE1VU/hLBGKnwkimFyuEEAAodrnWridvJxJ78437p+OE&#10;jhxJSVqlDYAxPtbNCwFIFCHAYtk8Pz6/mM0CCzOj1N7xs0cPj59+TVJbaUbOqIHxMIeGGg4Cyiqo&#10;2gbg4jbTNcAElVCdMQBgABHRGUI1jmAyGmyMx7vbW9euX797927msm554Q8ztD1hUjDx5IYo4i5U&#10;0osWczNxvUwbJYvOR57n1lhC6sJrSVxEm08heK8s0N/hbXJ0vZlesrO+fdrd11pfMNmccb0bDqvV&#10;7Ozi6KvF9JHVE21OuJmTSO5od8eVVekaFEHIJDfGWs2cOgeZc9sbmwd7Qwqz1flpXVW+CXVV1U0Z&#10;gkdUUsky6zWqBDBIFEMHiEEya/JqWToKvi6bxiybMK99MEPnbAgCKADKHJgFiaqqWazKXYUgoqAm&#10;5ukIyViylllCCHVd/a516Er6MBpIfXHyas30BxsKyZjo5+kJE6FT9w5DT7rG41F6x5lf6r7VmTB9&#10;G7z/q/7P2gtbpeupMvOjR4+Pjo7e/+H7uXMi8uDBg/l8effu3a2tLeawbvwJAABEGFlZOwHdXrq7&#10;cpw3YcpGxvvpQvbSn2ereNY33AYK1hUzwoIoMfACKSaDImoRt7a2f/DuD6/vT3xTkcnKYONvA7Mx&#10;FG20xLeBuKb/6z+SFoIcFWX/eFzutR5q4zvMkhd5nhdo3Pl0/tGvP6Uf3jNbGfjga2augRDRIBKL&#10;cJDgg298CEFYUh0MEiM1gqsmqJJzqCTI4gDz8UY2GEjiBcL04KFb557DmjBVayBfN0RktVyVZa2q&#10;w+EwyxwRFXmOaOqq3t/fz7LsspeZtlCX3n1hU/W1LyAmgzoumIhykKZuVAjJS0zWMceYTZZnUep1&#10;6MnejbRySFQxGhkS3aA2RZC+IarU2igIRsSomtm8fHp4Ml+WTYDFYm6Mvn5r7+EXv/r04w9nx9/c&#10;3N++vrN5urd1MlvUIpkhZwyDogKLYAy4tY5sTN2LCqJaBGMMAqIFRLQIFl1mcTIabm9Nbl6//trd&#10;u9cOrsfeM32hoS9IZVWlF0KQLwqa3pE2SRnpZQEQwcZ+7ojS9tpIIGlVYY7YyKhgiEye59YY7PFe&#10;9wNlCMCeu3c1uWyd5wtpr+G/SsO8VL1qfNOZ/apcnC9nR/PTb6Znj5rq+WhQopxzWJKCiMvyYmdn&#10;oNpYEodulA/y3AyHhbVqjXKoSFbVogm+4eC59tpUA9KAnkzMuTZgGESIwBIZNIRIBIaCQ7m2V4xy&#10;dz7lrx8fXSzBFLviQrGx5Qb5bOEbLypYVU1Bpmo4D1I3IYhywv8LIJJN0InQEox+20r0EEDfEhj4&#10;rzrHqQAAIABJREFUPseVSFIrqNfo87QToPeOiwhhRJcBQFtoqa+oLJWWTKV/5LJVnq4dlcbZ2dlH&#10;H3308OHDjfF4a3MCAL/4xS9ms4Wqvv/++9aYEDzAuguZ9tJEtO4VlhqL9fOKa+vphRm+sArp80lj&#10;RU8IFARa4RY/mfTW2npHKuvmbDpHEFW/XK5EhNBGU4JVqae6pGUy765+WYAmBdMptk75YVt1lKxc&#10;EWuctVkTQr1qPrn/5XhYhBtbhQkW2IAiBGvBGBAOwTN7DxLVJAIQIDGQ2twOrJ+vAqsHESMQeEAG&#10;8wxsFutKIu4XW89f+r1q+r4X9CapOpvNzs8vvvrtV8+fH4nI/v7+7du3NzfHg8HQGDufL/K8cC6L&#10;X+qrk777L20juHbdnGrqsBBzxdE2UgUECj6cnV0wqwqGELwPHBhANjc3sjwfjYbbW9vD0ci0ZlTP&#10;OtG+80oUHWUAwLhH0maWJK4QCcEK2MBQVv7weHp8MgUyQeRiOn39zsGtG3v/8L///Ov7vx6An2N9&#10;/eDg2tbmYr44r0q0mUUEBGNNw4Fi8lWAEK0xzhoADaKIkFtjkWzqBwIWwCIOMjseFDsbGzf2D965&#10;d280GsdWyknRp8VMEIkOqXg56XhpXH0vVAEx8j3FUyWMnMRylgiUUA4cw9pX3u7U19IYZ2KEQzgE&#10;Y9eyAiNFNAt7nxS4AiT103qcAN3WetW0v9votMtydXF4fvJ0OX9ez56G6tTXp956xBVLiQocvIoM&#10;h0PhrLAhM3Y8LAYDl2cOIARflk25XC6D9wiR/zcQ+IKILSApIAZWQ6hoENQAxuwrqjLUAH5UjHI7&#10;2NjIj0/PG99s7VozyM3QbV+788VXjw+Pzn1gr14rA8blVViu6iw3SAYwJoDFOIstcVII39Zw7CXP&#10;FAAAjDEcZdX37sCApiY6lyL/CBB30Tpu0JOHSY9EmvZIFdHhQ1qL/mpYsPtme9Wen9YeiX8H5sPD&#10;w6dPn85msw8//HCQF3VdP3nyhFkfP3589+7djfE4fpKFY2qEU4WXcMvmDwDSC0N1FhO2EclOLWEs&#10;d2MGgESUhIiEyhJRrSJqrMFow8WOmYhEVtsAUSx3QgVriFCms+X/+OWvnFFDWNfN8clFxD1Ty6Au&#10;wtiuSYRMGGs617Xz6LtxRQK2saC0erGKyFkCQh+xgEGauvro0/tf/Ra2N/I3X7t+bWdkESwSs4KC&#10;cABVUCEkhZiVMXVoRlvXbu/toXtwMZutyjKAYeOKjYkbDsUYxUtVUd2OQcQQQpZl/dKJbrsgYlVV&#10;P/3pTz/95PNHjx5Np1NVnUy2bt269c47b/3VX/95URR1VV+cnxPZ0XDcN7LavbSmGOl5yWkBvU+0&#10;K0iGyPgmEBlCu1ys5rOVyCNh9d6HwMNBsb+3B6qDwaCpKg5hD2A0HhnsIn4oKiY2+1GJ1pMKqKIK&#10;xILBWEOdZSQCxlgWNcYquBBoufTPnp+fXSwVrQgul8vBoLjz2vU8w2ffPOBqce3m/uYga5YzbKpx&#10;5jLCVVla49K6GpM8GMTMmiLPMmeFOXBAQ46MUXTOGmMo9a3CIrOFocLZycbGrRu3iIhFARUppp00&#10;gmSj+d/tmSvu8ouj58EnNF3cZwBgjRWOogliJEBVYz+YEAIo9BO51lgiMonbGgGARVy7Z7o2cQLQ&#10;1DUoxOa4AOispX7QuBcQfmmLne80VBUE1S/ODo+f/XZ29gx4KvUxhKnyXFiBghcG1RAEGAuXbQwt&#10;BUVtEFRCU7OKhLpe1eW8aRoVNoZAFEEtoUUEUQ6sayAgKQholIqoKqIeSJomIEmR2bff3G+EhuPt&#10;wWQv0PDGa3eQeX42m1W+5tqLos1oVa0qnxVZXgwASUUUNDKdhxCcM/37+515lpjShtR8pTOnvveB&#10;7ei0S7y0abGvndaAHm90rEYEUEKynbzuB7vW4MK27d23e3NxiMjZ2dl4PN7Z2UHAyCdx48ZNEZ3P&#10;58vlcjQcAmrgVLcRTd6oV5SZIqV6vFYrBzuvRVtkAfS8Fk61/tQpTBaJSQIAYuVYIy6C2oWG1g47&#10;qgAROZcdHOxZUkQ+Pp1mFhGk8X5VNRFuHyPZkYfRGvLe53lmyBhjNjc3iSiEsFqtGu8jtqpTIYh9&#10;M+RyXLpt4OPyzFrrWZoQNAiqfnN0pn4xyGhZN/zmjdeubbMSgUYdg9G9QxNYG4agxhYb29duvPnW&#10;O+Otg/OL6cnJCQKMNjbevPfW5s6exMAXkkgn7klFOuCQCqCN9T3UBqyEiMqy/Pyzz//7f//Jk8dP&#10;tra29vb2VdVau1qtjo+OogBy1l5cXGxt7bYqqhMpqiAxuxljhpG6Ia4AMzPDxcX04mLqPYegKlhX&#10;pwf71wEoBPYN13UTAqsIIkmWKUuoa7ZW2J+FhhAzZ7HINXazj2kF1Qie6qrmvQ/lqmQOZVVmzqVQ&#10;nqIKiuBsOvdirNs4PV2cnC0Cg8tdU5aLxfK9917b3hoj1lU5GxZ2NMgGmTk+PJqeneW22J9MVsen&#10;TXLuI7BVLJJFHORuPBrmmQ3Bc+RrUDWKzloiIhWHlFkqsixzLjN2PBzneQFoouF/fnaRZ/lwOEg7&#10;RZKO6PyG7yQVFAASRC6ueVP72XQ6vZiuVitmHgwGIrF8KsRXD/rGpUJ0t8gQIlkiBBTmFskcQX1M&#10;gEDkvRcWYUEAVbDRoadEqnQpXPZ7DgVQBK6WF6fPH54dP1zNnpPMM5pzmKtWqkY4MCChid1pQAKp&#10;kpSoAOwbAZUgzE1TNdWKmREhpg+tMdYaDhI8swiQYmqfHBMIKNwavQigrAKqlVSyu50LonHLwTCH&#10;zG648tbu6IsMlxhC3dRVxUhqzKqsNjdGo+EIk2nPxlljjWoLdfy2gW0ao7cWnTT/nzJ6WZ+09wiQ&#10;Ot731svubIj0raT8oogG2wcddoqky5x3R64omBe3e9x2y+Xyvffee/fddwlJYwEXwHy+/PDDDyPg&#10;ijmwJEkZL6AdgxlLKtagWPu2Pu36nnsXRUQiY6xz1vrgmRkUEdRY2zQBE6OfYGKnTxDdFDtQRKQQ&#10;eG9359at2x988ENCCFztbG8OB7mK58BnZxePn/yfqszCzlphNgjD4SDLNq9du7Y12RqPR1tb24hw&#10;dnb+9Ok3F9PZ4eEhC780TxtdHowXhyjojHE2HwwVgDlA4rhRALC2mFfl5189aVbzrc0/g0GWOwpc&#10;AxJLYFHPXAvWTEr25uuvbx7cADfYObi1vX/r7ptsLRlnJzvbWV4ARDJzZdHICY1txrtttQ2qUakY&#10;ESHA6LGdn5//4z/+56+/+vrevXt///d/XxTDNsgGxsDGeExohsORc3mRFS0fQRcyhnSnUfBjrIgB&#10;ZvHez+ezi4vpF1/c//TTT5eLpQISlZbsYr4KgTc2NmGAwhICB++NMd43R8+fb002EcA6W/u6qevh&#10;oNg2OwrgrBPRWGpOkNgbkcj7cHp6fnFxvljMi6KoVuX169edzSLZzHS6+NnPPxxPDvYP7hyfzEVN&#10;luUhcFWVi/nsxvVrRAzARGoILaGGplrOy/lssOVuHhyUok+eHxnnFFONTm7JGTMussmwyDPH6phT&#10;+iiSXseAZm5M5myRFy7L8ywTkSdPn05u3gkMdV1/dv/z7e3t93743mSy2aVb+nQd32UogAgYwpi+&#10;mk5nD776+uOPPjo/Pz8+Pt7b27t9+/bBwZ7nEELQ1rOMfkkMfXSAMWzj0v0kPwAoS4wJpKiotDSd&#10;Cdpwef9rSlH/Tpnav4VuIAqwvzj5Znb+tClPfXUSqlMaQggLNSLiBADRGHRoQLywb7gKoVkREoJR&#10;VeYgHEExIfqFAonwQ1DLsgRmQDKELfxdQUDaPC8ikkFlMIaCBkJB9aBBPdaLJZjZXF3Gbn9C53O/&#10;pCbUvFwgWTebzva2J5PxGDQElhD8uiFIrB1ZK4wXn2+HcUhqph+77pbme3Zj1uGWLoCUrMfk0CC2&#10;jewuPdqIS1BABNspqC4FEiMnPX/nEtXxt6ucjY3N119//d1330VEDYyIq9VqtapOTk6IaDabkQUB&#10;aZoaepqwO4NwpGYwhCrR0G21XXtrPbLkWFuJEdYgQMgsxlhEUxQuBJ9l1AY6Y2t3jJWosXtJnufv&#10;vXfvzu3X3njzzVs3b3rfiIbNzZG16BxJ4O3TU+f+L89VxAhsjEd37tyebIz3D/b3dve2JhMAGAwG&#10;kSvQ+8bl+dn5aV1rDKwZYxBjAiYSnMR1JlVgATDo8nwwHCJR0zQsQRREGWMdPhghO1/VXz58erD/&#10;4M07t2/sbbMSqrJoE7gOVAY4n1dg8/dvv4HZoPFQVqHIisnWVjEoyBFaTFH9tsGqMZdQj30QZBvP&#10;wChfOIRn3zz9/PPPVqvyYH9/Z2fn2v71ra0tIgMIoIGsgJK1zhjnnIM1Xj6eDZAIMNou0RqmpvHP&#10;nn7zySe/fn70/PDw8MmTx0dHx1VVgwKSGY/GFxcX04vZ1mTHuQwV6qaZVtV4PFotF9VytZrPVWU8&#10;Hvngy1W5ubExHo9jOxPvfZJeSKBSlmVVN8vl8vnz4/l8vlotd3d3hMNgMMisy/LhYrG6//lvPvz/&#10;fv0nf/o3JluuKi4GAwaq6rLxjW/KPLcKLKL7e/vnj6ZESGhGo9HWps9Gw63dnRr1+PRYQJzL8lHm&#10;69qCOjLjIh/lzlmLZGIzcREwRARoAK3BzBhrqHDG5VlR5N88ffrpg29+8/jIB14ul4fPn29ONo+P&#10;j//mb/9mZ3s7hbywe0AvGS85rqCiz4+Pnh8er1arx48f3//886+/+rqqyouLiydPnhwfH//wh+9u&#10;7+2GLkqZgIJcFIWqRk6CKDaISEGbpumnghBxOByy98qymM3K5Wq8OTbGtjBlvZIf/lelqVvjGNv/&#10;CYfq/PSwri4gLCBM6+p8WAwCN0TAbCJygYRI0Yv6um6WZWi8MaRCGsm/WDiwcmJcBk1UBrX6qq6M&#10;Mc6QoJi2qkoANIKPAMiY1ElHIwemcmiMEVJFz+KblRiDW6/fcGdLOF+VlmBZMS3dcj72deOM0yCc&#10;6stTHavpl6C+bGFeRgnYhdy/40L+YYb2LtmSbq1dmy6E+wKaF+I2sFeS9jFWtlqtBoNBXwD1v/yq&#10;W3TWvv32vd3dXRExRMy8WCw+/vjjra2du3fvHh0d/fKXvzy4vre7v12WZZ7nc1iIcKIf6OquVVWU&#10;U43EJfRRq0u1xbDEgmSmEBApL/KI7FKFLMul1KIoVstl4wNGAOzaRSMAuXXr9v/6v/xvk83N8Xhc&#10;140CIhXWDRSCdU4wjMebN27cfPb8+aqsBPT6tYP/9J/+Y12tNjc3CSnPsvPz89lsen5+UZalc3Zz&#10;c7yxMRaZXe4+gJe2RccmScYVA5vnnr0PDSKohNhGQUEZFMii0VUIv/r8t9bmu9s7igZBAIkFG9Zl&#10;xY+eHjdq/tYMgHJmKMvAoUEsgezQFcyCESwligREmGX5FbshaoXI6hiPJ2XA/Omnn/rGI8DJ8ckv&#10;fv6LH//RH29uTojAWYeILA0i2sxFd98ai0g9uHOntwgRnM1Go9Hjx49+8pOf/OxnP53NZ8vlcrlc&#10;hhA4CCLluW2a8OzZoaFsMBhtbW056+az2Ww+29vbRQRn7fNnz5yzoGKdE+Hjo+M7r79eFIWKGCJr&#10;nIJaIlA4PzubzhZlVc3n86qq4rIT4uxiasmMx3B4ePTo0dPhcDLa2F41agdjL1j5xjdNCJ4w1QGL&#10;wDs/eO9fHvyGBWyR7WzvjMabAc3mzqRU3hgP68Ab44293Z1yseCmJtHxIC+sIQJEMAREwKCIYpCc&#10;oTxWORJaS1nubOa+evzoN0+OfvbxZyGICOdZPhwNj46OEPHv/u4/jMZjlchb9ZKYwasHAuC//MvP&#10;Pv7o4+l0en52Nj2/qOoqhOB9s1gsQmiI4P0/+lF8I2IW1hjDzOPxOOoPap2V6NNEAn/tMjyqxpj5&#10;xfT54aEGAcUP6IODmzdBFS8Dc35fI3utmVR4tZzNpyehnhOUwEvgFYBLJbYCRGTVahAJwE1oyqqp&#10;ao1xWWFViEE8CSIs1phIGQKiDMGHIIjGkBB0lLkIAJBIjTAVvrUdsmOdr7CqkEFDDFRzOLG23tve&#10;uHtn49nZ+apu2ENdFeVquVoulcVE8aMYSWm9D1lmcQ2wermOucxlmObVg2J9/4Gy1qa/MtbPRkTa&#10;nkCdHmnrQNKnbEyxdDif6XTmfTOfzXd2d7Isd9am9X7BX+lNo3XlAPb29vM8X61WTV2fnZ7e//z+&#10;T3/60zt37r733nuffPLJp7/+5M237/7Jn/4YkbYmk/OziwiURKT4PLsIL2ikwoQWh9Llz+Mqqyog&#10;RRrw6HuagRuqgg+BOWjbrHs738mLgbEu+lLz2aypalDNXPb+Bx/cvn1nOBgYQ6uyss6BoeGwQOTM&#10;GmGPSn/8J/+uuH//q6+/9hLeeuut69evnRwfqcqqLEEFEU5OjpfLVZa54XC4O9pl9p99dn82nUeo&#10;Uqfb4/IYMoikgJbQDgbGOc8cQmBhimwCCqCa+JBYEQ1Qdjavvn58eLC3ezAZk6AoMZj5avXN84uj&#10;89kqwIPHz7b39lGwqoIEICSX5y535JAwvYEAikhZlkV8NkZOFyAiC4DsvRoCIABFYeVw/Pz5F/fv&#10;gwohnp6eicCd117v7TYpVyUoFoOhsU5EmqYWAQWJZVYAEQQbTQEaDAbOuU8++eRnP/vZw0ePfVMj&#10;kW+8MZZBiIiQmtpPee79AyJz7dq1zY3NuizzIs+zzFkHxEQ0n83z3A2Hw2JQAAC1gDEEUFEWrurl&#10;crU6OjpufGAR7733PpIvNFVTl9VqscoG0ybQYLD5zg9uCVpRS2DLuvJ1qdy0BEIqAoHlBz947/MP&#10;f7oqm0mRF4OhzaVhieX321ubi+VqY1Rc29upB7mva2l8ZskgqTIzE6ozKVdvCK0ha8ga44zJssxl&#10;+aKsnp+cHp+dleE8BLGEo+FotVqVZflP//RPiPAXf/GXu7u7Kusqpt8xonhUffz42f/9X//bl19+&#10;WVVVbBrLHJhDDI+WZfns2bOD69evHVzXlilKRFRhPN6IpAkRqayxzxisE7Ei8vjJk9/85jcPvv5q&#10;fjE9Ozl9OHh4dHR0cnby53/1V3sHe+PNsYJcjZJ995GsspZdWIFDuDg9Kpfn0swKrEUqgUpgQxAj&#10;pRehMYKiyJ591TRVE3wCpoqoCjCrclQzKcMCAsIKABIEMyNIqLH9AmosvNLIP4UIICopp4QUUYkm&#10;ItIxMlIw6AKNN1Tfvn79jdd2LuaPDGJoyuV8Pj09K6/vb082Gt8gkLJaY1QkBDaGv81ieMHli1ws&#10;UUYQEdAVHFlXL4jrM7xqfVtB+u1PAi9rlxgLhRiRwGSGxWLHvvXTugFJN9p4EgAQluVq9ezpoapc&#10;XEyNsRsbG+ycsdaYuJ6p7K3N3MZpYkvJAoDIISwWi8Pnh/c/v//8+eGnn3z2/PD5s8Ojx0+ePHr4&#10;aHpxAUav37ye5TmiMca05Ljx20lRJRmmbXUPIKReTFHXRU5+jcQzoAgEyhCaOnj2wTfei0jmMhV9&#10;496bb737LlrrrKvr+vj58+V8Ua9Ka+yt26813udF4chMJhPvB6xiDFlrrCHhQODeeff9bDAs68qz&#10;v3fvjdl8WjdVWZblqtyaTJzLVquVCI/GW87and2dyWTjyZMns4tpdMJa9CYgIBlLgAqkhDbPXFEI&#10;QuNrEVaJZZTQWQeqKgJgCEzmxT87ufj40y//+t/9aJC5IFoHna3qh08Py0CV4P/46FcffPCjwhUA&#10;QIg+hKqqXGaHpgBBYbYZrWuPEDhW0FAuiEFds5ifHx8OBwXakbXOQAPCn//ql+XswqKSQUL13ouA&#10;KBogYRCFwAqqgZmME9W6rkVBQYyJZi82TVOVddP4wGEwGDx+8vgnP/3pk2+eRnJ4VCUbc0CZSix9&#10;AVVarFbfHD5rmmZ7azIeDG5eP8isyazzUE0mW4vlfDqbWWd39na2trbIUFmWREZYQ5CyXC2W89ls&#10;tqpq4zJRrZtmtVoNBwMAmE5nIoFZmebXbr61e3CbsvG89GRtWVYcQlM3HMrMALTcE8qyd3D9jXvv&#10;Prn/68qHDWeAgyUildyYvckkIyKQnNANciyyelUiAgcfvMSGAWTIqEEAa8giWkJLJssKkw8qgcOz&#10;0+OLaeM5iLKIMqxKDMyC8PXXD/7hH/4PQvq7v/sPg+EAUjlX3CGxwqb1jKOGiJ4CKojWVfj5z/7f&#10;zz/7Yj6fBQ4AQib2NQABzZ1DImZZLVbFazmHYAgVUJkRcGM8ieDUGO9UUDSkPWHlG//P//zPX9z/&#10;/PTkhAAuLi6yzJ2enT17/rxqwp//5Z+9/e7bJlGgv5Dif4nI6+jnACJLYOquxaIEigToKz8/OxN/&#10;gTJX9KxekFk5GkiSsn2KQhp8qD37ABpZc1UVpGUhar2v1g9AEBYRIbASuz0BtQIcuO0EEHF4ApKS&#10;lKpI0DJbECfZFUABWSbDyTuvb3xz6BZVU3pezZbTi7PpxenO7hbZjKUCliLPo9cYy48u5VR6I9o4&#10;0b+JAZz4p0UHtCkDUARk4UhMipDwjF2RWLwBaRNjLZILmDsIAaWH1KOa6z0xafmchNr0qqhGYj3t&#10;KCEgVqVSC8TDTpjbGD1brcrpxUxEz86miHpycraxMcnzATMQeQFQ0KIo8szGa3aaChC0xcGzhqoq&#10;AeD+F/f/y3/9L/PZ/OTkFIGqw2cnp6fVqor58AcPHl2/fr2q6hik0diVoYWuEaICcEdijRA1DaGJ&#10;ioeQAEhAAZhih10BQGjqqgkchOu6ZmYJkttMWMYbG5Nr+wcH1zLr6rLUwIdPnp6fn2dFcXx68uzw&#10;2SAv3nzrjSxzEAIRGbTOOg/G5bi9s2ecVRDPzebmxnx2UTfNfD6r68Y5Z7ByzllrNzbGeZ4NBvl4&#10;NLh+cHD45JkIKyhH2ldInQJUgUnJWswyJRBmkIjH7zhR0r7gRGuPRBmLLir/28dPtyabt6/tb4zG&#10;y0aOz+bTRYn5OIh+8eWXu3sHN/av5XkOqKIcQlgtV8YYyEFUiYKqCGDjq2yQG+sCmGkJ33xz9vx4&#10;Wp89mj1/uDEaUr69sbW9meOgcKdPn2wN82VmKi/WUMs/iogGAMnYYjBGjGVAqIhZnqsCoHZm73JZ&#10;lWW5WCym02ntm4cPH37y2WdVXdd1AyAIYoxhCRZRIURWeCI0huqqvLg45abae/vtjeHQIQ3zorbl&#10;9u5u2VSzxWI4HqEhl7mj4+PZdGatC0EUsPF1YF83XgGUgyqsVsvlcpm5zBpbN56D9140H4kZGGdF&#10;DKKGwKGpOYS6WgW/cuMCjWua4KwHDq4YXrt158tPPmagICzsrcmMhIEx+5tbozyvyuVyep47h4jW&#10;UgheVAKH+BIioHEZilpCZ61FAwKetar5+Wz2+Ojs+HxmixEvFgAQmJFJG8DSjMajr7/66p/+8z++&#10;89Yb9955RxUk8uG3IVYRMWTawDJGQS0sBPDgq6//5f/5l4vTi9pXihJCYzMDqkVeiIqxuXUZIgUf&#10;CCD4xiDE7sGGrHM5AF1MZyz+zTfv+NCgwbYFFIbAH/3yo48//ng2mzVNk1nTBG8aWpX1qmo2tz/a&#10;2poc7O/v7u+BRGQa9rb1q9IwKfidxJ1GkR3lFoFCU1bl9EKbC4MLUSuoghKbxCuodQ7Q+FpIDAcN&#10;njWV0GGsglJeR26wZVsXEUMQy0qNgrICAhByVEcKLEBtXUFblK0qASlGulgNsgoLYOpTiQY01/nN&#10;7Y133zo4On/mGdn7xXx6fPLs1ht3hIwqcQhZW7iK6NZS9GXLEuMHV44SggKmBlAJYBHFM4jG9hUk&#10;zMYYYUGC0NSBAzMjknPWOgtAMfsggpZs0mYvGwlrHOW7CFKs+VPW1P2iDYeidEUm0V/oOVeWmUPg&#10;b558s1yWqlDXtbX24mK2WlZhW0UCgKyq2odmMpm47QkCaOSWaE2qVokBqJIhZ91ysTg9Pa2qmkWs&#10;NcxchUpEiDAEPjo6jtDeiMc3JoLRW+4ZVUI0aFIHCFFW7jZnzOkjYMR3ACa/1SR4PquKsAdjhBsC&#10;WUzPnz39ZvvGwd7ujiGjmxuh9k8ePkTU+Xz22Se/Xi2WoOr93955/c54NDaIIhK8IKC12Wi0gQTv&#10;v/9+VS+Xy0VoGt80oWkgQebm21tbjfej4dBaQ6rO2nfuvfXs8TdPnj5rZ9haTMoioAbzQQ6EkU8s&#10;4a1bQGBL9ptSNhq5SdF45lUdPvviq6YJ9958c7aqnxweNQoOUVDPLy5OTk6u7x8QYeBgmLwPADoM&#10;QyxyZ023FVZ1Q/kAaFSK++3hF48fH02ffh1Ovs5kkVlD+Wjv4Npbr98urh2Q8iCzO5PNk4uZQbEG&#10;0VDa1hG8BxZbYIghyIsiyoiuj/VsNpvPpoGDD346nf3s57+YXpxzCBFrEKkIrUEAcKhAYoAMqkHx&#10;1WIVKvS1hMYgOGNHw4EPTVZk59NidbqsmxACNF6ePnt+cnKSZ3kIwVjrMmusiTUHIXgEaJqmqqrA&#10;gYwlY5vGA2WjjW1yhWcNDArGN03wfrValuVKxXvvAMx8vhwOPak3xk62d8hlnpUJkcBZo8wGYXM8&#10;zjNb5/TkydPNjY3UUU9EAZrAjW9ioKkYFAxCQEoUJPYz9Wer5dF89fTodNmEvY1tbi1nAQ0c6roi&#10;hKYu73/yq88++uVrt25kecYimGWsJmbdAVFYUmQ/Gv4xqSrw8MHD39y/X9dlEyokZWGuK1BhrjPn&#10;msaMBoUxOL+YBu9D8ABiyLCwCJ+cHOsP3vn66683NwZ/8sfvA6i1BkC994hwenLyk5/85OzsLAau&#10;mZk5MCEorZbLJ48f/eaL+3deu7W3v3dJULXG9st0S/pE/K2IkrauWPpLmmq+mB9LWKipuaVlUFBD&#10;RhGsy0ITvA9OwTfB1x6ErSVC5FhBoxEo1PJRaWwmwlHZrDPQGkuDVBHia0kR5K2a6FUJRNXtQNck&#10;AAAgAElEQVS0Mh0FJfUdREPWKBIhcTXMi3fu7v/6i9P5IgBKXZfHp8e1r0UcIFZ1qcqGbBOa1rZ+&#10;FXYjrkvv1woqcjXL35Zn/P+EvVeTZclxJujuEXHUVakrS4uWQHeDhCABckhC8GHH1ji2xjc+7Nq+&#10;zP63HbOhrdGGs8OlgbMkQbEACaC1rOrSWanzyiMiwt33Ic7NLpCETVq/ZFdV5rn3nhPu/vkn+rfx&#10;V2vFYj4/PnrRtO3p2enF+cXW9ua9e/f2rlzJsizJmJKSoP/p/6rOqKQd6qVKUtcpYCmfpaebrut3&#10;WsiIkICSQB8tZWNk34XFYkHkVqtVCKHIy7bp2rbjyIxKRMISfFytmqoqnXP9FV1SCy7316BlWYBi&#10;VVXOuaZpe2UkAICm/aYxJCLW2uSpnH6CrP0C0gIGjaEEtQAKpo6jh9CS227/rxTQIJFBYTJWhI0F&#10;EMgz5yxd39/XyFvjQehq4HB2dPj5Z5+dn5+3dXPw9JlB6pru6PBQWVSkbeq7r9z75m9+8/q163le&#10;eu/zPEOEsigQGZFXq5n3nTEGk18TgCWjquPxWESqvOgHXtXbt26+9vprTw9eMAsYGyMbTIcCCCiR&#10;NcZi8iHunWu/evZ0zf/rPzOAyNE5YgDPcrFcPXz2HK2bL1Zn8zm4glWQqGt913VEKCIxirPWe89M&#10;SORcRsaoihJiCi+TLEj52dPTg/Nm1fqTwwOYnoysdlZttlJejksaVUUIXWbM5mTcdr7IsixPhUoS&#10;5HA5Q/cLYUK41LquX0hdN63vrHNlVbVdmE1nbdOgwtW9K6pydnK0tbkBor5eZASD8SgqeZbM2cV8&#10;5jvIlOfnZ6vFfHd7L8tcnjub2aLIInMXYmD1Uchk1WCUOSPKbdcyRyBaYwWKiIYwOT75wMblXPvR&#10;ZGu0uQ1IMYYYtW27tu26zq9WKxBBxK7zKnJ2dipiCocZytbO7r3X31geH7BKnhU2y0RVhS2lcN1i&#10;OKx8DIhU1zUZYpEYpO26tms5MjlLRMOiHBTZMC+Xy6aLCvlgNN4IBycbG5vGupjWHtbGGA2RFdLQ&#10;QWx9Fx7f//T4yZvXb94goBg8mHKxWD4/OJhNp77zSFgWxfb2zs3bN4UFkZh5tVpOL059uwKjHKMC&#10;C0dQkdhJMLnD6J04Oj5+cfjiBRiIHJ2hEMJ0evHk6bPd3Z3z83NnN7uu29nZKquBKkQOhHj//v3H&#10;Tx4lKUnanyeshhCE4/Ti/NnTJw+/vP/Nb33zXxsO/ZovXJ8c/aTTdb7tmi7UogSCo4La+rhpjwg8&#10;gAIkX04Tg7gyt86GEGMXQDF69m3XNa01ZKnHhEX6WtLLshRlvSqXdYG5nGnSAl+0zyAHQFURViKF&#10;9cIv+eMlBMemob4//FJhZIK4MXT72+XB0QztwGSmC8H7kFRnIXQCQoZCE/qe8tevYRASSAcKSvgr&#10;VPX1+SCpiaU1KiWshBqCTKezD95///mzp8fHh7P57Pj0ZDqdTsaj3b3dd95553f/3b+7srcHKbUR&#10;OJmK4K/85v6TTT5e/Q9fv1e4rib6UljUegDVS+J7qnd2vlienV34yNaYpmkB0FqXkMEYWYRd5giN&#10;MS6GUNfNYIDOGO1DbnscMHHcmbko8hjjxsbGcDgUUeZojLVkEdAgKutoMrx18/r+lSvvvfceABBR&#10;CAGU1ry9NNT2TqxEaKyltRWSKiD2ab+CKEpiCIGSo4UoVZkzFr3vNjcmd2/cXC3mg9J2q/nj+/d/&#10;+bOfffThR2dnZwYRRAnAtyHLsuiDqn72+WcHL14s58s//MM/vHLlar9kAjWGMmfrFSeHiSxzwmwA&#10;DaFFKrJMmAdVlVnHwaOgMFdlORoOmZkMoTGRg7EZWRMjG0JX5sZQStFI+FiPeei/IXdI30RmgxRV&#10;g9LZfBkePvEhRO21hUCAiMKsCjHGLLMpIcYkIai1gKhpiQls0Ajm05V+8fBoNl000zNt5hg6JoOK&#10;MdZt3T19/LBr6ma1LPMM2m5zNB6NRpQXrje6Tp4meql4vbRXgDXvmZlDCDHGzkc0Fsha66x1mSss&#10;4Z2bt9p6ib5787XXF9PpcmqHpbty9eqy7ubL5XAw+mJ+xjFmWBRW23rhHBlC5uDAZplT5c53gSMr&#10;j0ajwbAkghD8xcV5suNMd3zarTtnmqYBoKb1QFlWjIfjnaIatclt0HNdNzEyM3edB+E8tyrKzAeH&#10;h0W+aQc5EZSD4Rtff/vd2XnrVzazPuUAAIBEUHHW7uzsPHt+ECP7GLiTECMA+RibzscY28VSFMbD&#10;wbiqdEQXi2UX9fbe9f3b97av35nVzRdfPkSyAirMzhgiQA4SGoydU+nm5wcPPx9lphqNvejhxeHP&#10;f/nuhx98EJqORQzRYDB49bXXdne2ncuMSy+flb0h1l5q2AIKkRIakPib77wZutDU3aruHj95hA5Y&#10;2CEgooAcHb34yU9+8vY7X3v7nbeMoaoabG/vnZ6eEaKqHB8fNk1NACqiLLiWy4hERmjb1cXF2ePH&#10;j0QimR4YWxeOr86t/sT46nBGEenabjqb+65dzBbL5WLZLEDJEu5ukl888OGooA5VgAQRQQwCpdCK&#10;tm24iwXl0krXeu89WgeZY15bEanC5eG4dkpgFko/QUR6z6TeCk5BU0Bcur2ZRdUiiiRzWlUUTeAb&#10;R0FUgzZRpggARIG9gfrm/vDxi5VXO9gYV8OB9yFzViEyh7Zr87wKIVzGRP7adfy/iZ5hnyvcL4sA&#10;EEgBsNdCiLAs5quPPvr4v/yX//r06eOurc8uTkOMMUbnLBG+9967i8X8T/7kT7I8J0LmpEihl6hf&#10;/SUlfm8iuRGZft/Sb4UUE4mMU5Kw4DqogfDSgA4B0P7DP/702rXr1mUquFzV4+EYEMqyzIsCiSRG&#10;34V0oDhnVYCjWCJhMfarEa/fFhGKcOLODwaDLMsAwJBx1hHSoCwN2p3drTv3bi+Xq3WSRGLWawgx&#10;y3NVSXnOwqwAYIy11hD1k5n2WytEMJj2mipp2gVBgszZvMgGVX792l6MLQI39XzW+C8fP5nP503T&#10;cGRF5MgSGQA4BsJe/TO9mP7y3Xcnk83vfve7Ozs7MUZCNca0TbNcrpq6FonOULtqOEbnMhUhpHq5&#10;LJyFskjPSQyRmZumISJjLVmHZKzJVBEFjDHpPZEY4aXir6qJ0cXrrR32ZpFAiKyCAMY4LxxE42IV&#10;IpssjwqGCIis7W+M9LR475MFSNqXpG0lKBI5FvfkaP7hwy+fPT86ffqQZs9NWKlGAQCyiSe9WMy6&#10;tgXmycYGqgyKfFRWgQyBJFKOqNBLdg8xxvS6dG09IiJN03RdJyw+9HaKmcs2xpMqz65fvfrk0cPx&#10;YLg13piUBe5tTobFZDI5PDreqPLd3b3TZw9b5P3N0cagsMCZ0bLIxsMhkBkNhpPJqA21j6uoLZgy&#10;z3JhqZuIQMaYyJqioNMNaU2/4fNBiPLNnV1Xjn2Epu3atmtq770X6V9I570x4GwWIr94cbS75ZxR&#10;NSYj2tq7Qnk1m50T5QBoAZMrnCESgcy5QVmdnV9YYwm180FBjbVlVSmgLFfLVR0FwLiz2VxEB+Px&#10;lavXXnn1tSue//Yf/7/5YrG7f6Xt2tlsaoxBVELhrgbfVFXRzi++/PRjwzwcb6yC/OMvP/7l+x8t&#10;53MJ0TlXFmU7GqnI9evXX3399cn2Zp7n49Hw2vW9w8O4XM2txTzLnTPj0eDmzZtvvPbqd7717en5&#10;xXvvf/j8cFpWRcoZAkDr7NWr+7//B7//5PGTt9/+2htvvJ5ljghU43g0+NEPv1+Wgzt3bp+fn37x&#10;6efCLMzJqADRRAkSA5Gen589ffqkbetqNFz71KwjbNctk15OLQCgOpstT89OF/Pl4eFh13bL5YxD&#10;6ELIXT4ZlRgWzeKzGE/FMhhCQGWIUUVwMa85+jwrYuvJInccfZAogqoCidwkvYQuNdYCmAzogZkJ&#10;IL0IZiVKhm+gCqnpA0FZTzgIqphGJ1BRUGUWBYyBkYCMgqiyMKgh0uCLPN65Nj5f4tRvZuO9arSV&#10;VvKE2kQ/m88G1VhEvA+XVeTfHGP6ovgv6LvrovhSuQFhJYIY+OTk/Jc//8Xjx08//vjDhw8fnJ+f&#10;cPR1WyNhjDGtpubz2Z//+Z9fXFx8//vf/8Y3vpFCp9e0vV8pZanGpKU9ABLZ9WkphEiIDNBTsEQT&#10;4g+gxhAoJjMNULDHx6d3774iotPpzIdonAXE4XiUF0XCQtgHBTTO9JTW9eZAVV/SVPQXFUJYLBaH&#10;h4eGKCIioHNuOBiWRXHn1u2NycZwWBVVvlgsLkkRaaENoFVVtm2TPnSjfd7sy79A+4T3NDoCYD+1&#10;qkBEMAbrFS9XkueubcbAkUNUZ2fT6bOjU0S0zpp0w6skxqKAWGMBQYSZdT6fvfveL69e2x8MK2MM&#10;ISjYVbOazqY+eGuwbduubQCSiZmqig9d23UD6fPtQdV3oW3bLLOAxrrMOQqRhcFYa61Fopj4ktrn&#10;5QAArNFcSeILwEvAUEFMcldzViOysARVIGOseAZVUjU2RbQxAjDjOvBDIKGoxqS6HMVNm/q9hycf&#10;PXiymp60L74c68xCiBYYoyKhUgyKhlfdMnQdAZTV0JnMWRM57ZBijCig1lpgNcamUS/NTL2IVURV&#10;u65LdQ58MMZ477PMEWLyIAFEY0wIYTIa5WY4Kp2IWMLtyXBvc7w7GcwxXt2ZjEvniKOvq6IyZqf1&#10;XoT39nYeHzwUrRVbMF4AFbDrvAiJaoycZm9ZKzCsyxQJyIHNy+G2FwxemqbzPnofVdX7sPaZhuAD&#10;gXrvV8vp+dlwWGZghTIyWTHe3j06eKqLmjaGOagPHkTJWhAVHzbGkxDi2cVFWQ2KXJsuCLO1LrJa&#10;stY6l+VFWV6sVpuTze293Sv7e0R4dHRwfHJkMtrZ3SJrVvMN9n5+cUaxk9DlBqo865rVi2fPiKyC&#10;PTqb/vyjB9PFqiqretVkJhhBzavldPHhex8OBqNyOCiKYrIxuXPnpve1gkfSyWS0t7u9f2X3t771&#10;7bfe+lqRZd3+XlPXggc3770KSMdnp2QMEe3sbL/99tuTyWgyHiXY03vfNE1RFL/1298Rlq5ruqa+&#10;/9kX/cFN6SFOz6T6rl0s5mfnp01TV6NBOiS/MmVcM01fxoS99ycnZ0+ePKnr5vT0NITYNAsQAcVs&#10;mFkA5UX0p6BzZQJXghIHaeu4tHXXNcxhb7dCIFSKvuMowspGkmPFyyezJhv1PiYoLa3lcsq5rC4K&#10;IJJMoQSBOKb6iMys/da55z0jIKNiStAgVmESMmSUuly6raF7/e7O01klxWQ42tGIqJo5t+qwbpqm&#10;bRAxxvBvVJV/VWB0zce7XHOIiK65W9ADUbhY1M+eHv7DP/z0b/76r09PT05ODr1vu65WkMg9Uz91&#10;/87ZL7744tGjR1/c//z/+I//8fU33izLipDQXNLI8Fcagn42QkwqC1FdZxUSsnkpEarnMa8Rs3TB&#10;9u6de9a46WK6Wtbp4UeiycaGdZkC9iQJRGbpOp8WYc4aQ19JfkR6momonE0vPv74k48/+ni5WK6a&#10;2lmXZ1nofFdW9t4r+/tX8iKrm2XaxBAga3LBp/F4dOvmjaPj44uLM1VOzAjpbaX6Mely/42A6bci&#10;gQEFAAOEgKvlqg2+LPP5YjwZjSzScrm6uLgQjgYN911Ib6afdMtJZZaYzyGG07OTzz7/7Nr1a845&#10;BJkv4qqeT2dTY411NLuYirI1mQiTSbtWCiF0vtM+gkmb1XI2vSBQIsqsbQMLM4Aha9GayBw5ijL0&#10;24yeNZdI7px4ZUj9gl8FVBKvRkSRjCpGUWMtoAEUjmwykz4hVcE1lui7rhoMVEFUbdrfgvFSffDl&#10;/QdHi4bl5Oipmx0N84ASmAQRYgykELpIVg1iCH61XBR5CRpBpbcqRI0SFSRtYjVGIhKVuq6Xq+Vw&#10;MMzzIomm67pu2jbGWPYNMhhjVPViPj84PMjLoqquFsPBaHMyyGyZUfDdNoABcRZ3tsaFkf3dzWt7&#10;WxHdcno62bxitABW5TgZlbs74+HQWhuNCSGIxUJVVPpmw1qKQaIKIXrPWVYaV5SDics3otouSuJY&#10;iyIiiUTfhRC9CKtoYFbhGGPbNCcnp1d2N0GBQIzS3VffPD85OnjyoGiDOCMsACqdJ2OTH95wMFgs&#10;6q7t8iyPUUOEIit9CGY02r+yr6rDssj29q5dvba9s/v82ZNffvDh0XQhwrt724Nh+b3f+Z0rO7vc&#10;df/vj/+f9//5Z3mW7YyrjcHA+zhbLJef3Z/Om8PTi/NVcHnRrGoUyIqMA6uoATo7PT0/P3/dutQ5&#10;Wmc2NibDUVEU2RtvvHb1yu7Vq3vX9/fLPI8+WEOvvfoKuNHOtZvPD14QGWOcKhRFmef53bt3jo4P&#10;89wOqrJpagAoimIwGO7tXXn7rbc2Nzff/eW7R0dHdd3kuUNEg+TbGhFYYgje+y7G8PLpnkB8falP&#10;17Ww+uHDpwcHRxcXs67zTdMyS9cFiTyqhmU+0Bhjd4EwB22FjUqmSN5zvWzZewAtq0KigABZK1E1&#10;Jb1GjpER8JJ3i+vTGZEomXr0pN/L5TQag/3JICDSKy6lt8BBBWBRQ6iKqQkUQo6CpGIVbL8mEFFC&#10;lW6V5W5UWj6bo25lLmt8iJHJGlX0IXZd5/os+f9xgYE1qrG+VH6p8ICsccif/O0//vSnP3/33XeP&#10;jo68b7q2brtVyrkR5X6Zn7By0BQf9/d//3eI8IMf/PCHP/jBzu6e6uUQYy5bABGJgZNg5BKSg5fM&#10;hNKeP4UI0aXF8NrJU1Xt7t6VyLKq66ZtXJaJqogURXmpR2FVQrhcyahKVeagaiwxCxEyc9u0wfum&#10;6957//2PP/l0Op0mcIltbJtWYsxcNhmNijzfu7JbN8u2bUSSUxlaQ2U1eO3V165e2/e+m88vmBEg&#10;KfyFWXpqAGvylgVQBBKJoGwRM2vSYkYAWlDbkwNMVlTLxeJivlg1jTJI71WesqD6jkDXcwNhMoGF&#10;ul4eHx+2bc3sAGS1mnW+6Xw7ngyZQ+c7ASBDQKiEAkJoA8emaTLnELTrwqNHj45eHKBKbolUuOtA&#10;0VqDzipAjCFhX5o6JQUlAlRQSbgupMGG18zOfmlGEgWJUkNokYyx1qQsuR4B6KVhAMzcdt1wNEoh&#10;wQoiKm3wh9Pm00en0xgktPX8tGgXNXBmJXAAJGIFVgPgY1vmGaLGEGOMxtlk8FXX9Ww2HYxHvT6b&#10;UjMnzLHzfrFcxshVFeaLRV3Xx0fHh4eH1pgQQlWWSfASY2y6NoJ+59vfunvn1qCoRsOqyq1DUI5P&#10;Hn75+MsvQgyDqqwys7u1sTEqglqJHfsVC/i6Bo6b42FWXp8My9wiSDw+OiLNma3BPISgIoRWFZmV&#10;FZkhK4eD0VZZTYTKJmgIwMLJ3VEVkqrRdy0ScYigIgIxBu/jbL6sWw+AIJBZ2tjdvXH3lYcPH1ys&#10;GhyUVgEk0ZNYVSWqNXY0GM4WCwIaD4aKmJ4mZ+xkMp5PZ1WZ42iwu705HFZfPnz8yecPFj5u7F+9&#10;e+v2W7/xzu/93u9ujTdza2K7On3xbKMqB0VmnVs23XTZzldt3UrjmclhjBJ5VA3yLO/aNsEoTded&#10;X1zMF4tlvZpeXFjrrl69un9178aNqzdv3BgNy+GwtIjKHHywRBvjyWTS5XkemYkMoQHALM/JmizL&#10;jo/PjjJnjWnbejAYqCqzHBy8GA3Hk8nkypW95XLBzDYl9FiLEBGUI5PB4XCYF0XayvZTZN/c9uvi&#10;NMeEEOq6ffjwycXFrGkajrFrQwjeh+isLcuBQWpXC4tTggY1skrwXkTbJjRNFwJkuZ24XEVRQQJD&#10;ep5EY2RmMabncKe247LeXYLSKpi6WI5MSOAQAS+z03hNu02zTqo00k9r0suRJRqD7BKMBoRrZ93g&#10;resyNBlqFJ+OHGYxjhBJRLvOZ1lWlpWsk0p+XYGB9YEO8FVF1HW0yuXKdjFb/sVf/OUHH3x8fn4e&#10;QsfsRQILs8SEgqhKYtNhYmD3xGL5u7/7yYsXB1WV/87v/LvNzR0ESoQCQIQ1ic77IOujEgCIjApA&#10;SiOHBIVd+vlDYmARvBQ4Rta1TbNq2tb74XAYOTZtW+T5ZQllSUkoiCa5rAcRMZZSSpuqrlar+1/c&#10;Pz05uZjNnzx5ulgt03IsBo4hxsjA0pn2k08+mc1mV6/tA6a435AwsCxzd+/ceeXePetoe3vz+fMn&#10;TAiKlohFEFgVmDVNPGSw5yhrdAa2J4OqLEERyayaLstzL9z4rhoMJ5tbL45O6i4IJGa1pA4qmcwQ&#10;krWYDmhVVUIRttbG6L1vYuxUAyCE6H3wZMhaWzdL1sRBYGsMC7OqBYjCq7q2oyHHeHx4+PHHH68W&#10;s4yozGyIgipFXioZMcgs0ltd9h9YX1ZSvXm53XrpnnppCZgg74ToGOcg+C6t3HzXxRgNmR4hTbmE&#10;NlksAnM8PZ3ef+wtyAgahTrXZdSuEQWkwGxADBiI4vJMoyKhcw4BfQgb480r+/tUDU/PzqY//dnv&#10;ff8PyqpkZmssp64/hrbrROT84vzps6ePHj06PT09Oz27mM7KLN/Y2Liyv59lriiK45OTyLy5s/Ot&#10;3/6tb7zztjNGVTJCULGA27u7SHj89CEQXdm7MhxUEkNR5CbLNXbMuDGuNrauTLZGXlqwqoStD6eH&#10;n7RNvLJ3Ax22TU3OiQiRZYGui5GNy0bjyZ6C67xEIVEMIcYQFZQ5LhaL2IXIEQCUGUEBiCMD0GrV&#10;LuYrZ4wjywoouLG7X4w2zs+OHNIwtwYIRKNE74OmaDPA0WDkstw6R8aQSdtXwBBygq3xsK6XuaPM&#10;0I2rVw4Oj5vTs41R+aMf/v7Xv/HO5sYWCjhrvvvd384MHD9//uLxo/nFxXw6b5ogJnP5KHNosyKG&#10;YJyrhgMOUUA9R8cxh+z45OSf//mfF6vlcnZ+4+ZNQhiNB2+++fUss6Dig6Axmc0JW++9j3J8fBzQ&#10;ec+gRMaKgMsyMhSCR8SqrEaj0eeff9o0zWw2e/jw0cXFzFmX58WDL788n17EENCjMSbmWZHnZZEb&#10;Y3Z3dn7nd383Odz8OnpUWpWfnZ1/+eWT05Pzuq5jZOboffQ+2MwNhqMsz+vV0kGtvADpCFAk1nW9&#10;XMpsuug6r0BFkWVZ5oxVwdgFZgEBRAyBAwuhVWHtFak9A1VEvwo/6B8o7LmcvbelrKvgV3+6/p/J&#10;IEYhxQOrxsCqGCOb0FdNIBYQQ2q4y9FtT6qVou0TTg2RseSUIfigqlVVXfo2/Zo3Kq1n1sxMuDw1&#10;vhJfIqAIfPDBR++//9Hp6WnbtiwBIChwGlykNzBQ7Cs+EqEm1gNDXdcPHtz/T//nfzo7Pftf/7f/&#10;HVOvioKwNlbXZPT3VdYiKCT7YER0LquqajAYpsJpre2z9ZD67Q2SZREfQt00LAIIqhzZA+aJQ5Ew&#10;M1hbVIkqs8TIRe56LSvz06fPf/GLX0wvZnXT+uABkJPMgTl5mJICM19cXKxWq8OjF5tbG4PBMKH2&#10;qrC/v//KvXtFnoXoh2XpDKkzxpk8y3ySfQszqzEICs6Z3FpD6Gw1HuTX97Yy64zNmeH4/EKMXXl/&#10;en7u8qIcjJsucArEFe7Z4gmKBbiElRLEmMIhVFTBbExGyekECSN7ES6KXFTaruvnU1AkTDdd5Aho&#10;ve/Oz329XH784Yezi4vNyWg8HGd5OZvXRBZcsWi7uIZPsa8cPUtfgS+rB62RhMsbiRS+4qEnIn/S&#10;oqhmzkXvU7MROh98cJVLPUteOOtMjKHzqB46383nF+rDrbFg12QTOrPtMfqIJIn7oURkyQoZcuiM&#10;tcaiMgjA7t6VN996a/f6zU++uP/04CDPC2dd03azetY0TfJiWSyWiHh2dv7ixYsHDx7MZrPlYimq&#10;hctGw9HZ+Vk1qKJElsjCe/v7xaCyWZYXuXA0KTsA8cqNW280Teyah198PhpvFHlJgBbQAIQYyxyv&#10;XNne3dsdbYwVRVAF4WI2n5TjbnnK0bdNs1y1RTVKdjgILoqgrSbDiXWDLoCoQexNmntnLVmPgKoc&#10;o4oYS+uMZZpOZ0+fvhhUVW6JCBSkqIb3Xnvz3YuLs+kCJ4NhkTNz50PbdulEShkzWZZBCuNK8mlV&#10;jr4wNCxzZ7TKMhLeHI3u3LiOzt6+dvXVO7e2NiYpwCkEf+Xa1e//6EcXxyfv/+Lnv/ynf35xOp2u&#10;mmKQqaKxWV4U1pjkLtqEzgcPy8WKfdk283r16f3Pl/WqcGZ3d9Ma0kN1LnOZBeGqKrY3NrY2Nopq&#10;uJwvQmwV0IcorApE5AAo0Udl7Rmzs737k6OfHB+/ODo6fvT48cnJeYpo911IPKKk2q5bMxkNssxd&#10;vXbte9/73g9/9CPr3GWPlDbF6/Mc01Fe1/WzpwePHj5eLmvvOyIKIcYYrbNlVRVl1XVtrBflKKI2&#10;wj65TIYY2jYul8uua5Ay55xzDhEVKQTPkRO5K8QYI2eJ3nK5TOgpQr+yMMee3dtvES6TT9dVBtc0&#10;s7Xaox96NKUxMSsgxiCIEVEBSYkNKUeREDLHmyVRBEeMCMnZBQElSqKQJZ4AAID/f6f8+hC5f7n6&#10;TxUmTROy1jMATqfTf/qnn5+dndV103WNQiRiMinutmflqAoorP3lCFAUQIRdZtu2/eCDD+rV6gc/&#10;/OHV/evOZUnUm65AVVl71bAKZ3k2GI2vXru+sbFRVaUxlgyNRqO2bb0PqbsV0cQcSfsI60Ns2jbp&#10;wkIMhoACpbkwxnDpj2uMMZaAhTl0XTeoiksFR13Xs/miaRrvQ9f5RJjod1Fy+UECAvouLBbL/av7&#10;w+EoyXTzvLhz525VlV3bhtg5Y4ZV1XncGI+Hw0EIURRjjM3asnA4KKsiJ1VrTeVokGGRF1tbO4ou&#10;is7rJmb53pX98XhiXZblRTmQ1bIWFIBeEdpniBkiJBAxRGvbIlblwmV3bt0cVnnXdaLi29Zlmkw8&#10;bAAAIABJREFULs+z5XLR1LX3PjI70MvBNoZgiAT02ZOns4uLw+cH+3s7d27f2N7cYobj0+nBydnZ&#10;vE63BrNA8rxRvLydv3oO/3X/0ncwPYacsEEWYUZm46xJzw31nPKYOHXMPBhUSHB0coSILByYl/PF&#10;yBqWwxJnm+PB+y6cIpMxzlmHVQ5UuAKBE+2yqipCFIa9vavf/M6333rnN0bbOzvXbi5Xq+2d7bZr&#10;FsvV0dHRp59+2rZtYs11nT89PTs/Pz86OvLehxCIKFgbY5gvZ3lRoDGiEpmv37ixWCwvLqa7e7uq&#10;kFygoiqR2dm/dvP2q5+89/7Wzv54NFSREEWClOVgtLm5NR7lZLjukKx1mbHWDPOvv/J17j5qlsv5&#10;crlqug2k0XiCKfxGdXvvelFuKObJYiqE2HkfQmBOVvNYlZWHpm05CCtzGtKZOQZuO3///sPbt24Y&#10;klIMESjSzbuvPH746NGnHyKIM05YmxBa78kQAkaRKCERhLquGwwGo9FIonegReEIdHtrE0F811h0&#10;N/evdD5ACCcHLza3t8i60AUiyyJFWV2/c6caDDe39gL85fS9D5dNF6AtSixFXJFbYxbLxXQxb5rG&#10;rBaeo8syNMn7VQxpltkss6p6/8GDssjz3N26cePVe/cAzOZkUg3HYPMbN2674eTgxSlRRpQhOSKT&#10;huCu7U5Pzo5eHH/++f1Hjx+cnZ0vFosQGBQ4xtSqibB1FkAjx6mwMO9fu/bOb/7mjVu3LscFQ6oi&#10;CL0Las/yFX785NmTp8/rpgkhMCsShsiiWhZlVpZAuFjMcu2c8QYjAkYlQyagOOdC9HXb5KUtqzLP&#10;c4kM0ufGJ7wk2dBB30SDiiZeUr+7femBW6vOMEWSqyTCUBpZQKknAtDaNuArlCq5ckRNmSQQhAyQ&#10;SDJgYQFhNiaU6DVnW9C85rhmbKcizTH+DyOT/8VpcImQiaYFbf9vP/vsi3d/+V7nfQg+Rk8mAgqg&#10;Yrrml9hha2ytx7dBU7IwBO8fPXz4Z3/2Z3/8x398/fot7Ml2SX6QrOrQWpvZcmN7i8jcvHXLZTkA&#10;SA+T2kTnTpw8Zu68T2FgzGwjx7qpRTV3NgSfSFre+3S6ZS5LKJu1NrU6zOC7jpnTxYnIZDLJnFv2&#10;sySsTWjIGJtY06lLTbAhR+66TkVREQDHo/F4OA5dt1otQ+iK3L31tTcih63NyXAwiArWORVY1XWq&#10;U4OyKJzxbbdazqenR8whmStaa/LMhdlMwYzGo6oa5Hk+HI5A1BAx9mQXBMycs0QAKsysWuZuNBzm&#10;mQveR5YbN2/cvXVjezJZrJZ1XVtjhlWlyvPZrKmb4L2IZJyZ5FgXgopYQlU4Oz2bn51d37/6xmv3&#10;Xrl7YzQceq87WyvjsmXz2BK1KbMSkqUb8jp9a92sfBVT9lLLAmsgO/3l9OcsAjEYcVn6xq2TXbz3&#10;AOllSdO1Bx9/BAiRoyDErqsAd3I7yJjbaWE1N9aR1ciFy0rrjHEAXBSZiAwGAwRAtDfv3H3jrbev&#10;XL3Kxu6NJtedUxXfdRsbW13Xffrpp8+fP/fee+8vLqaLxbJpmhRplV5p9D5hFE3XIZGxFhFn0+lZ&#10;VZ1NNjcmE+dsakQUURXzcrh/7ea9V792+/aN0tgYvO+iKJbDcTWa5CZDBgkMCJRZyjEz7vb+reOj&#10;00/vf9asmq7zwXtQUDAK6PJ8ONoRLJpO2y6wMLPEGLV3U9XMuqosjCrH2DWiIhJTuKCqqjFuOj9v&#10;mi7PEIETYTcrBjfu3H3y5YP5si3zxhpqY+yUrSKBRhYR6bqurlccozEmzzONgQxFxq7rBqOB7zrf&#10;hRjAe+G2uzg+/fzDT2zmbF6EKFev34yiiMYas7W3/5vVcNX5Rd199PHn4tuoUpWFcbbx3el0OpvP&#10;O98BQBv8Zeg4ERIBolpLLHJ8cpLcBI8Oj1d1S8YVRVXmuSvKazduiCmInDWZc7kqiuDp6fnz5wcX&#10;5+cnR6fHR8eff37/9Pykaeu2aREN9GB82oaCgqQ8WVCZzvj584PHjx8vvvnNrc1N6Lk/GnxwGcFl&#10;UDCCD/HBg0fnF9MQOPZ5HMoiZCjPczTY+jZyHGTB2DaGFqIIi6IQUV5k1lGIsajyLM8gReIyc4x9&#10;DRGIkdvOD3uZnuilR2SvOLtcB61FML2tIiZgX5KD7vpEZmZDFqlXxnx1UiuEyEgQjQCSAkQWMIxi&#10;ogCzWA4ZtLaAfOgOLjpAS5asMb32QKRpGngJAfvXX7148l82n/1M0h8bik8fP3v69KmIRIkCEZEV&#10;ea11ACLUteJH03EMlKYh6qdVE1mapvnrv/qrN994/dq16wB9XUmQWlVVmbN5nllrXJarQozDVHpj&#10;jEQoomSsdUSpcKkmBqn3IcZgQwh10xBRXuRd24YY8ixr22a1Whkyw8Ew1fk+2MsaAPDB9/RaUWGx&#10;1iXMwZDNcwsArGoQnAVmZssg0q1hhBjj+dlFnpeISGQ3JhsI0DbtfDZT5c2N/W998x1EsI6MoSia&#10;tOghxHTSZmRAGVWm52eftIvQ1E3bdsfHSAkYQWEJPviuA5FhVfp6lTnbNpIZUxRFjGFYVVsbk+C7&#10;ul4FHyaj4d7u7mQydsbmRfHa669fv7I3LIvc2QsA5olz9vzifLVc+KZtuy7LnERJGt8YAohy4pb4&#10;YNG887WvX9vf2d3cKPLMeyiycr5qHj87RFwIc59N8NKo/vLt9RW++tItJpDiOftwJwVObcmlOW5M&#10;gzomgCUQgarEGNvgv3z4JRlqfQsIwDwgeOv7f2BJP79/H4pxntUS43JZu6EOJhmSgLHbe1cKawdV&#10;NZvNsry8fe/eZGubXKZklAyzEmGWZYUxt2/fvnPnzi9+8Yu2beu6XiwWiQX08qMQObQdWGsFQESy&#10;vDDW/uPf/8N3vv3tzfFkd2dnPBrZ3EZma4yyiI+s9Nobb20Ny4IMREFAHwXIksmBCRRRQJVFPJKN&#10;LY+K4a39W59++oVGVMbQeWFhAJdXVbnZdFB3DYJXBERJ+WpxfZGiQkhlWUTf1YlDxIKGrDWBjMEs&#10;y8rT07PJ6BpHYRBjkUX3r924efeVw0cPFk1LBiXRB1VAwXOMMXKMIUYAbdtGVQwp5BkaFyTWTR1j&#10;XM5Xy1ndeRUfsrw8ePSk7trR1lY5Gu9dvW4Elk2TuTyygDFfe/vto+PTjz75LIQ2Rt/6gaAsFsvT&#10;izPPScghUSKpKIu1xhCSISSNiUPLXLcRiZq6rdsuRr539xXtAhBZVwaljY3NthUAEoGz0/P7Dz59&#10;+vjLGEJbN8+ePJvOZ21oQwjJ0JlZrDU9bERrmhMii3IMJyenf/F//8X21vYf/Yc/QkTfdYhE1Bpj&#10;DSHYNAPI2fn06OjY+xgT9NLbQJBzmXW2C365mBeGjGFjmuXFXMNSg0T21uXWZts7G23wW1tb1tkE&#10;xPcb2jSVErHIsq43mVMQ3Evtmqoq6pp6sH7yLp2uWFIlS31dbxm53r8ktI30UuWoGqMQIRlBAiBi&#10;AVRGMJEhRjbWO3RIIc9YtUsjgDV9diyohhBg3Vn++iqTjoFL5WM/AqUJBgEVcLlcdl0nIswREYAE&#10;UJAAIe1qe6YPpvVTeiOSkhQRgFRAWAD14MXzhw+/XItkLa7fmfF4LByJsG3rpmnScKIKl28vEaka&#10;1V70DYjWZtaqcxkz2yRZSO7cLSTvncsvYI4hMLPkeYEISfkZOKazUlVF9Pj4uOtCmloIAQD7skaI&#10;SIZMWmb3DGPStm0X8wUA5Xm+MZlsbW4Oh+XOziao3Lxx9dbNGyl9UZQFgMgimX57geqMAY7O4GQ0&#10;0NjNzs8uzs69l1XtlawPoQvCCEcvXqwWy+V8FnyXEFZnzGg4sMbcvnnrtVfuqnDT1MAyHFSTjclw&#10;MKjycjyebGxuGucwxklVFc5tTEYhRGcNCs8Wi/lyMRgMRAQVmKOyhK7LCAmIQ0gYd2YdCEfvNZJB&#10;zF0GoByDMieVsCgAC4ikz+Myr/Ol1f5LFM8k7UrUDkprGFCQpBZK9HFATKd8lmdAKjEyx+FoeOvG&#10;DUAIGkL0CNjMl7SxG4ybubM2n7iiblcLFmrayBtQVcVgsnXvtTe2J5Myy46OTwaj0atvvlkMhgKY&#10;+kCEBBag9/74+Pjp06dnZ+ch+Lbtkiw5pUkmcUw/xMSQlLHeB1Gwxnzx6WcGqMyKyWgcdrddbiMI&#10;qhowVgGN3d67YiMbIuvQkbE+RgYRA5HW4lrFKBqjhEhE13avWsyWc085ta3vOu+KkZr87HxpcgLM&#10;jQVjyVoLwOkGddYl/gmoro30jYAGCQBgjCMkBeNc/vTp862NandnAgoApKBFWb3y2uvEfH5yOF/O&#10;jDWGKAEEXQgpNtEAIUhkBt9lDvNqNBwPydnWd8lyMcY4m62UbG5taLvHDx6VZxe2qt74+juArXUZ&#10;4UokGMDC2Ru3buzsbp2enYfgl/WC5zybTxf1SpMLsoqs21IFCIFJDBIkGn0ETihu6EJ8+jT48Mbr&#10;b9y8cWMy2ciqHMlONjbqJorCBx98+Mkn7x8dP3/13t0Xz58fHZ+cnZ0HDj76kAz/gRNbd43eoogk&#10;jzsWNYiruv7www//9D//51u3b928fuPk6Ng51w28IeOyHEUFoO3C40dPQojpXDPGGoMikud5ljlR&#10;8aFr2qYqK2M5xqVqTA2ZiK5WdTXMtne38iobVMM8zxKZJfbYP4sqi4Ji0jllWZo6cL2A6ZVn/Z7p&#10;Vw51lD4DqNd9Awok1f+6FVTtRwq4DPxVYJbInI50EY0sZJUBIrPjaGzw3cx0c4ToHKUhWLTflv+L&#10;buzfLi0vdaCXo0y/g+mLE3ZdBwqRIxKICqISARFQshFTkJQAoqiCiL2H4KVuDwBURFCbpj45Oe66&#10;tqycxOgDM2vTNDEE7zvmWNerdG7pV3wBSk89APaCTYDLoJL0F2yMQZWzLE9cC0IiwiwrjUFV5cid&#10;98ISRYgjRojCKhI5Erk0DR0eHIEkWWxkVuucM5mXIAJEVoABNSuy4AOqZpkFoKZud3Z2NiYbo9Hw&#10;6rW9u3fviHIMvqoKawxLVI1EmPxNRSGhG0TGOofWkGpms3uvvO5vtGen5+cXFwcHx2cXs4vZfNV6&#10;mxenp+dkjXAwREhISMyCCr/x9jd++zvfuXHtqrMozNZQljnrrCHKKHNZFmNsuxBiQNGN8XjLbEaO&#10;+1d27928tarrVVtnZb6YL548eXIxnUoIvqnZWGOtMm9vbSIqS2zaFlUR8yhokCwZkaRoUUyyWxHs&#10;u6dfvcku5V5fcakBkhYa1/+p9ug2syFSAVRJM8TETUQkdp0yX9vZvnP1CguDpWW3ImcfPXgawDI5&#10;yUomRy4n01qXB42eCV2llE2Xnc1CMdz82m/e3trevnr9lisGDBiiGCI0wMyAcHpy+t//6r//7V//&#10;7XJRM8fI7DJHJlEnAS+fCwRNLMDIMbJqp9bWgF98/rk15u6d25ubEzTQxdZ3HhQK46qsGG9tdfNl&#10;8EEFCA2KUjJ/EeBkEgKJ7gkqEupmPByVlJ2fTse7W2qk7nRrNDo+bz/+4slbb3+rGhTWGtXYS3oV&#10;ETDLXADt2k7TEYJgnRXUKJEIiNQ5i+yCwGw6f/bscHdni3qNHgHa7b2rHCWiWRwyg4BACIFEQxAV&#10;jIxR0CAaUCQuXHZld6esyhCjDwEVbJ53Mc5WC5MV3BWIeDKb27rpRP5959vWV8OhigBKlecur27c&#10;uflH/8t/+Nuf/O1nn35et6t6sVytFiIR1xZwhgwigEEAFomqDAQGnfSmWpj6tcVi9TQ8/6//7b/9&#10;zne/9/Y739gtRkWZjcejR4+eZVnx2SeffPzRJy4zb3/jN05PTs8vLjz7VDD781kUkULsiT+JHGMI&#10;kUhRhTCwLJbL99579//60z/9n/+nf7+xsWGt5cirVW1ar2QUzen5+YuDg8xmnQREdNaSQVUhcojg&#10;vY8+IiChGiuiTVVlFMvg2XHWtME4W1VFUVoRdc4asKCRY1qeCDMrqzJKxNhpnhnAZK5MPaF27QQP&#10;2h+UmtT9IkkfAwmvYwZjRAUw8WmAwPT+/QKaHNBBRRgYiUnVKiALsGj6RhSYo3MxhrkuT0bFdkig&#10;ugYi7C9XNYTgMge/OsS8zCGF3g5B1+Bkv/lPap10MkRmUVGN1lBkJQICTdZciNj7mBEhKJI4Y5yx&#10;xpgQYohswCgzWiJCY8xqtVot69yVy2XbtF0MnHrHrmuZY8qNTT84lbeUkMscEUAQrel98dMLSIsx&#10;u1zMQcUYUlFrLADEmHB8UtW2adu2E4XOe6Qs2cOwsqhEDghU1/V8Ng8hcJQYOcuyajCwLg/zeeRI&#10;xkQV5QigSmqIXJZZk6nAZDIpimI2n55Pz98avemsjTEkdNG5zBA7Z1ik7VpWBYNoTWadS/xoUWAe&#10;2Hw0wfHm7vji3OSDZ8f/NFsuOy+8bPMyz8s8y5wx2LYtEe7s7Pzg9//gN975xt1bt8os1RQwzlwq&#10;YyxYBfDeqyAms+cQy6IosxwJdaiRIxgQlKZpx8PhwfPnD1mfzRe+6wxoWRbM4fDwRVXm40lZ5oVw&#10;y0JIlBX5GjZNa0ZWESRM6UZf3VW/svNHSHyzZFSBve1damIIEFQzazfGk7ZpInP0bYwhCnddyyEY&#10;Y8ZFSQBqDOUWkG1RjIfDtqkxRO4aDh2rMKggxQizZRd1IafLJ8/Pqqq8fv363bt3793Trf3bBRgS&#10;TUy2tJ04Ojz68Y9//OO//PHBwQtmDTGyKpAJUTkGFu29RxCSEWbqZxIUwMyReTabffHF5w8ePrhz&#10;9/bule2/+ckvPvnkY2fz7c2tYTX43re+PRpUDK10kdMdnd4SEBZBQ4ikaIJoFwPFSHn+tVde+fkn&#10;nx28OB5sbu7dtA+fniwaLAdbeTk0xiBoijZRBVBKlnfWGHHWc4xRFImsEQkx+iAsHIwhiTEGRsDF&#10;vA5eMkcIEKJHBZtXWTUpxrsT1uDb6eGJiZSbjDCoAetc10bliJYmg+Le7esbk5EItk23XDUxcIhy&#10;Op8vY1fmxWJ+0VzQ+WJRNBOT5++999FoNNrY3ChzNxqP8jwvB4PNnZ2N7e296/s/++nPPvzl+xcq&#10;uZXSGSJdrVZkrJLporBoZE7aZVACZlVlRSQCERRglmVcffzxJyLaeP/73x8PNybXr13tus7aApBP&#10;Tg5Pz89m0/mLw8O6qQP7qKyUEmgSv14AQABNzw4ziJB8qpImW1Rns9lP/uZvxoPB7//e721ubVuL&#10;iGisAyIBml1cJFsHAETonR2ILID60MUYJKhBSwgqsekWQxddbrIsj1GzQk2WW2d8CPj/k/UeTZYl&#10;x7mgu0fEOeeq1KW6qtHV1QC60Q1B9R45NMJm8Ua95fxHLmYxm1m84RsBCrMxkk0SjyQaAIFWpUXq&#10;q46ICBeziHOzq8FclFVlVlll3nsi3P3zT4AIc2aIUZnRDGV0hSGHAVjbzdA0M6pv5oCilyzNegGX&#10;zHRHXB5llaOAsTC7REc3dFUjAFMo6ugCxpQ9eFmlA3ozEkVUEgEBVQRmCaQgQ+qvvvfuj063btlF&#10;AWFgdEje55zbbjiowjeH/tvTCyC9tfcpLgPlHinuO+MoWfQuxYomOAwjaQmo+Hvj6JTpHTrDvVkz&#10;bSYItG2HtjNDBILbt08+/vgHzXR6dHD85vUbE4wxp8ycJaWsIpnzqO8ERLfbsRcndUeqwmZWyNAA&#10;Zt9woETED0PnXBnzxWx0TSg7FVXth6EUrhhjVVdZ2FSHoX/2/JmJcJbNZrPZbESMWQCgruuqqjJz&#10;zqm8D8yMJkhIjgoQV/nALMMwMOec09Onj/84/mFRnLIokqubpqkLXC7oqCC1gOidd0gEoCycUqGJ&#10;hHoSJtPpbP+Xv/lCATMLCzQTN5st0IH32Lf9wf7if/of/tN//9OfTupJ5T2YKQvsSjwWv8ji2mUQ&#10;QnDep5RSjDaZ+NoDAKs6JCJE5+u9qg71yeHR3mzv/M1pzskROEfbbtv126aujuPe3mJvtdymDOCb&#10;mNKulwRFAFU0QSPTb9ET1czhaFSNu50+FtYIKepuYaPmyClLU1fvfefB0G4fP3kuOeU4SEppiJyT&#10;mrJB7FpyAAnb2M7JIRindH12/ubF8zT0MQ4xR4doQOt22PYZkRAdoD1/9ebrp89/88WTbsh//Cd/&#10;cvv2beccqDnCLPbV11/+l//zvzx+8jWLMbMZZlUD4DFLtBhfv5VZVEayMeYaCx9utV59+eWX/+E/&#10;/BHRgy+/+Oq//sX/tb9/8OH3P9rf27t1dPzxBx8uFoukW8vivFNhAhU1BVF0iIQGWNKfTEDlhx99&#10;/+6n//j5i5caZiz+8dNXJ3cefvDd90NVEZoZe+dwBO7MkVMVIvLeZ6LiwlTuuZTS0HfB+6auMuec&#10;2DuIkc/Or+7cPnYOAZwCDgNfLtvLVbfplJOtO537KnhytWUeEBGzOHLz2fThe/cfPLibAbftsOnj&#10;1XKbmDNzrxqm073j4+dnFxfL5dWmW4Cf7/u/+su/un///nQ2OT48ePTo/cl3H4nodDKdzWaz2ezh&#10;e+9tLy/3JpXlfhIINK/XazXLCn3imLgb+kGFGVRFTQ1QDMj8eA8C5Mxt2/32t79t+/73/uiP7mo+&#10;PD7+ZPoRkf/Oe/dj7P/u7//+83/7zeuXr4p+AmEX2DyqyADHfsx2qwSg8mhSuSCV2V69fPnpp59O&#10;JpMPPvhu08xni8V0Nq8n09lir+06IsTgxuAHAOccIDCnzFmEwcwhEgIzt9vl5ESBwKFDBF85dMHQ&#10;RMxYE6cclQdErkxVwIsKiwKSgm236/3Dyle7dg0QRhG+ooHb3dzfwNE2WmkU0O8baKrAB6oAbDZy&#10;0ooaTZEIHVIAdAVV84rERa1m6gwRPBlz98Gjh/Zsu96eI3o1dN41TWWmKUWAvV112bEPvplVduui&#10;t75X3SWQ4k42n1PinNAETRAhEAU/2uo7Ig1IKlm4Ca5x/nh/NptMUxJj4ZQVIDThOw/u//Snf+bD&#10;JATftd1ms+EszCqiOfPIUL0RDo3FzopuAopEBlSViuIfDKoQitSfmb2ZldSslFJRltrOtbB4TBUW&#10;GQunHHPWyrsU07/88z8rZ84CAKvVarfus8KOGFKKcSDvAAFMiTAEp4qEJpIHlpTyMAzOeTO5uLhM&#10;KYfK7wgqFqpQNQFBnWqoqqLYQSitPBARpwzF/5OIyE28zwIps4iJgveV97WZ69t2/2Dx4Ycf/vDD&#10;7//HP/jDSVMTaIo9IXqiYuFlpXAQATICigigq0JAgJyzsjBlQNLROAzJEBDrUFX7h82HzfL66re/&#10;/e352enHH3+8WV2v16uu77rnq+l0xlmdn7R5fbW8FhsH2nFBakqAN5Gd8K1H6N8RS/CbM1DWmADg&#10;EIKne3dP6nD3/OJ8uezbzcYHz8IGoICJMHkiMk+ESHmIy8vLL7/4+vTi6tWb07brhjiYWRYGVRFD&#10;FB9qBFXjlPPp6dl63S6Xy99+/vlPf/rTn/7ZnwGCqq1Wq08//funT5+knFKWsmkUFcRCFRWAchUZ&#10;jsO9mVkJuiuvMlFZSOvTZ89evnr1/qOHH330g5/97Gfbbfv4yZPjw6PXD89uH5wcvvcwe8cp7xzo&#10;zKykGBsAkTdPriiZmOPe3vzhe+/+5T/8HKhab4d797+zd3jb+yAqIbiS5awCwmKGLOydK5ADOWc3&#10;om0oimvJKfVdB2BISM7HJC9fni0We9NJo2abTfv0ybOz84vzi/X5+Vlwwfs9QTi+d5f5+tnTz4e+&#10;1Zgf3rv7w4++f7RXsWgEenVx9fjJ8+vVeraYHx4dTdHFLININ6Q+xizSDwN5//nl5fX19f0H7xzs&#10;7f3qV7+6AcGOjg4RcT6ZvPfg/l7lJHXGA0haNB4QFTCKpiTbtl1vNkPMA8uQNbJwYjVDdGZoKoAY&#10;U+JlZuXPPvvn+w/uZs5m5F3tyN9/594Pvv/dv/u7v81pQBUHgESsGQAdAjq00a29eFCgG7UVrgkN&#10;kHEuqCbFGJ88efLzn/98b3Gw2MvbrgM4D1XtJ5Pr65WWDhclhFAqVimHpT9GAoKS5WVmzvmavIoY&#10;qzhPwpw4x8jAMPQcB9AcIKNEQKvYTEkgGAbY9pshzerpBEeT4PIAfUNW3p0yfLu6mCoSjQuGt1AD&#10;AgFjLXo5MIOSoGGGUBEV5Z8DI0ZCIzQFM2em6khR8mISDvb2Al0RVGDGOZupC15NRkretz9uboBv&#10;XQWjIxhikXCNpdGYmXMCYQIJDu/fuU3InFPOwmp9nyoyUDiYz/dnk71pU3kfnThwVVUPOTfTiXeE&#10;Zu/cu1fVTV3XfT+kmBGpSB5H1iUYOY9j4hkAgI5OFt/En5ZviYhijLAbNjwi1nWNoz+uYxb0VH6O&#10;Ui2DD6UdjTEimAkBwOPHj0G0cD/6dig53qyccypMGkATzlQKDBQ7FOCUGdkUcmIkh+AAYLlcd/0w&#10;X8xFFEyLQ7/zDgyRMCA573XEPcEMyBEYZhaCAgJSqKt+iM+ev0D0VRUQPfmaqCLkvcXRn/zHP/n9&#10;H340qSpOKeeMCpUPogW0RjMa0+jJiEBMbXQ/Qx98YlYAIkeOxlaogLZoplZX1U9+9ONu216en/3k&#10;Jz/+7LNfnJ2dbtstp6Hvh7qeTcI05rTebth05M6XRnynobppoG6em5unqvxKWK5qBBjdNwhIVTxS&#10;cLi/mN6+fXR8cnC1bjftpmpqco5Vk2hvmgOJ5AZxkPz6+enXX3/95eOnMcmQWYu0UFRZXNnIQUkA&#10;VEBBIhbOOX355ZcvX7588+bNT3784/2DfVC7urr65S9/2XatFPUWYZHBi2Y1MyjartHnBmHULRbU&#10;zMzQESAkybULF5cXL1+93Hbtxx9/8sknP/riqy8vLi/a7fbi4uLi1uU7d+6EKnAfk+TiuaMqCoIG&#10;iGoGqiUUznPOFeGjR48MqJnsDUnfe/deN+iLVy8ePHhglQOAon0xLXM93OB1Izx980fB9kPZAAAg&#10;AElEQVSiqqqGvh9PSFOxQN/ny6tN10td+yHmx09enb6+7GPOmYYeLLjZ3mFd+e9875PXr/5t2W43&#10;V+eP7t/78Q8/vHf7JPebLvLFkD9/+urLr58NKd1R3L91t57X2+vr129OrzebLmUBHFKGtlXVy8ur&#10;D7776Pbdu//4D58ul6vFYl7X9XTSbFari/Oz4/2F9au4TdnQ+bBoHKEzRDZQg5Rmfb/ok3QDL7vu&#10;YrXl601SRXRmhoSOPHMUsfV2/Q//+Hc/+b0fAvgQarSA6Np2JTkO3caDTrxziuhoYGARBHBQlgfj&#10;reyIENQhBbTGGRDELGpGVJnZZrt98ux5qOrZbA6AOeeU0unV1bi5cWUxSohYXHjLBUJE6IoLCYpC&#10;1SxUW1E2tSEOTqxrOcbBDGs/4UQpOs5es3L0BCAs3ldmQKEZ4rYd4sLmvixObIS3yuEbZea4W1Oo&#10;Co/xzQi7TBgcmc+gimaEhgiAjgCykhhkBgOdiCIYmZKaEyRXwnhNwMQYLDuM64sX89m7Te0KLyAO&#10;cRiGuq51tzF/+yq44XOrKejIB7/5QkH6VAT4m8xQMPVojfeLWXX7YC8OW3ZIE9enxENUsFD5e7eO&#10;D/dmzhTUGo9kQ8qZsK7rWnK+urz8wSe/R86rWorJDFSlDBgiJsKIFqraOb+zLBtPdKkROKosxo6f&#10;jVlYwfb39nzTNCGEnHNpNnNmIqemMUnfD2bgfUg5Y5mHEXLm0f5STZVFCvSJiAhaJjhlziVmwExU&#10;OQuYKitLykhoBiLg0YmoAazW7eXl8u69u5qzGXjngnfee9GMSo6cg5EMMtryA5GDEixlSOS8Gl5c&#10;Xm/bYb53YOJYgahazA68qx89/P5HH/6gqevY95KzqaBZIBRElJJmVmSrBoSIgEScRVIEACRHKGhe&#10;zbwaEbGYI3SOTMXUYhyauvnkBz+YNvV8Oq2rsL+/VwW/ur6s68aHAAjr7ToxQ+Gw6EgdMdqtU96u&#10;MQA3tmI3XyrGDiUlCXcmPw6dQ9ibT48P92bT6vB4T54+z5a7vg2hyqJfff31i8szqrwBA+fcd6vz&#10;i6vzq82mNXRlBpDMCGpq5ImZVZWFQxjD0GbH8+B827Yxxl/+8pd/8V//4j//5/9lMZv/+Z//+ePH&#10;j3POWrJotQy7XpgR8Xdipnbqo/EDEZVoiBGKfzRAP/Tttr1169ZPfu/3s8irVy+Htvunn//T3nR+&#10;6+j43dt3jYARVMWB3VjzFiS6tE2SVTL7IX7w6NF/+h//5+wP90/u/+rffltNFicntwxMtIRqJiJf&#10;hRoAQ+VyLkIuKtwhKhmdzlVVhcXYwyClJKw5a+1xo/2rVxdtG6+vr96cXjs/qbHZ268vz1sRUJjc&#10;uf/e7OB2+/gX266bTcPv//gHd24fiqQs8uby+pdPX3/+5MXleovk+XzZ5i9D5dfbTd+nPrOCN0Qz&#10;7bquqioRqUINAE0z+bu/+9vf/4OfHB0enp2ebTeb2Peo2RkbJwcyqX0TakQqamZfBe/2HaAgJaXX&#10;F9dfPHsZU1p1ScbCgCKZHKnmxPz111/8zd/85Y9+9BPO5l3jXQ2a9hfTAOKAjxbTvcWJgF5uVpvt&#10;Nhb+NypSIZOCIyCkugqL6Ww2rc2sDZgSFwpLZr66ug51PZ3NSlRXFF22rWoJEce6rgsUzznHFMsT&#10;KCKZWYXDZAbigSZD7od+INC2a2eNa7vYbTtEZ00Yks+ZsnhRUADlNPQ9Gg99FNUhYx9FBc3R6MVb&#10;QkAURgcPGrVlZbkHu1F7hHRvZuadmySUNWRZN5mZgpqlnHIK0ARQKbnngiTBjEANkwKAIsnZ669v&#10;Pbw1qRFxHAjKcRCR0fjqBhDbdZbfWsmWOwERAIQFzAhu9DHoCAm0drg3qY/35i4n7loiWOzt1cGl&#10;rmWV6bS5fbCoPXHOwpwjSxwqwgwIKtOmOTw8REBmUVVhdc4X0SSX+SilsSOuoMx1xQPh7RnLiiEv&#10;gqpVdYUZY4wxJU+OWBgQvPc5DzCiophyjjFNmoaIYhyqVNdNcEg55+1mFUJlbDmnsgjFnVJpdD4w&#10;M2EEDwomwqpFnKGiRE7R1BAEwNA5P/Tp+fNXP/rRD8sOIITKe+8cZQFfpMUpo6EridCGJeqMEFkU&#10;HQISsz559ozNQtXU1SxG9aFCqg4P54/e//5idjD0G0maExOoQ4iQg3MIVLxqwFC9eXRQ2N0OMmdR&#10;QTUHjryCmoK53f6AjWFHVcw5Hx0eLmY/vLw4rUO4d+fO1dXV3VvHwxCHzK6abdunI36429uXIeXf&#10;xy+Uh2wc024+qTLamNr43I2KUYLDg735fIKWJ5NgKEYmyjoIufDm1av4WsGTgXIaUDj3nUTmrM6j&#10;qknOZgamo4izzEoKoapUEyIgQtu1mbOwLpfLn/3sLz/55ON33nnn//l//+/VaslSImRGcWhZaZjZ&#10;+B2OP+S3NT3FmZVZVb0v6xA+Ozvbbtuj41vvvffw2bNnKaa1X3759dcfvPf+o/feu3f7DiNEYWfY&#10;ABnhmOqkpqpgUFd1126FWdjms/0/+MM//s3z5fWqffri5YcffXJ4fOQCxRSVU3HWqapK1ZCg77uS&#10;Ui46GoyU8T2EMEYQGwBASQROQFnk5auz1bpdLq+zaBWCiJCfhHrKyRjCbP9Isdpuu1lT//5HH7z/&#10;nXsgmVmWm/Zy3X7x5PnFps3gHFXrIa1enSKoc66qaxcqU0RFZqm8yynNptOmmRDRYm/Rdd2rV6+/&#10;9+iDtSxXy9XTrz7vrq+FmRDq6XTWeLfrihy5SVPXlXfkgEjAGej51dWsDn3KfTYsjhwK5NAATeXq&#10;+vLXv/7V++8/igM7Vy2me5v1VUotp27ehLu3T965dztLulwvrq6Xy+Wq67oYEwIEX4Xg6rqqvV/M&#10;ZkdHR3VFKcar1Xq97booMYqYDTFut617pyTZEg8xxqRAk6b2ISBgLnhXzplZVcRMTFmYEBAJXSNc&#10;tx3mmILTvsuONGdMCVQzWkoJ1FDBC4AgiFmyOnVD38Mw5Bj14MBKR2i7NT7sDtcNQauEAKsUmQgQ&#10;jq6AOxLkKB4pibACaGMqmYEpguWYcuVVqsLrMh+SOTPPAiigAzkHBvn68mJ+fD2dBO8gFysOABWV&#10;tzYczjkc3yQAgJSzarESVvRuvNcNTHTnI1rud3AOHYF3NK3CvA4aB8qpqvzUu6YOHKcssljMppUH&#10;laI8kRw9mKsCA4IP9+/fv3//fpFHj4pMYxUrFSbnFIceEBCBXLGtUyjEZO92wSIAO1imHKWqqpi5&#10;bVtfvBOFmYXLDma3nxFmQXLMXNYzzCLA15dXT77+qtS3nFlFHDncuZWUf15mJyM1G/2+xl7BUAEM&#10;CIDUqAqT6WSCYC9fvlFFIo+IzrmRUSVGAclgu24d0Ww6QyQ03BG9HbAhOgM8Oz/7x5///Hq5Cm5S&#10;16BCUwo526NH35lM91arzlJUyZ5IRAQMKnIORg8yQDUm8ALEJZ8xuOLLmiRLjvnmNYHMLJmTqe0f&#10;7JkKGuScPWFdVcqahoFjOljsvXv/nbPzi/PlCn3DWQobcrdqLNskUNAxz2/3rMCNFuxmAkA0lXEW&#10;gKK9RUQUTr6uZrOp8+gQHBmBHR/uT8Jk1swPj0/+9bPP4rZVAiRwZJqyJs4xmpEkA+dV1JiBwCGa&#10;annZM5gh5JzrulKV4rdvCsMwPH789a9//evT09f90LNIGYbLsfXOMzMVAWnZ+9rvlM7dUnjEugsw&#10;IIeHB865zJxSmk6nqnpycmIq3vtNu910XZ9jOwxv3ry6c3QSwhSg0NMIAIqKwvtA5NqhD1FyZZvN&#10;8PrN5a+/ePzxD390685ddBDToDl7gjpUxWgLEVPsSxAIgJag63JCSsdQUDJEKqneOaeUUua0Wq+3&#10;Xa+iojoMYgAqpkBGNlvsz+b7BmQKP/rBD37vo3drR2kYItt6iJuUN4mNanVOR2AWTLWe1A/ff3Tr&#10;zr0vvnx8enEJRMG74+Pj73/4/T/90z89Pjk8Ojo8Ojg4OjrIKZPZ57/5zT/87f8393Dn5GB/vpg2&#10;PjgggioEIiLEpgqewLS4FTBqCqRN7aapUhQWdOS890PsnHecoG37zXqTUqqbiXeVWn7x/NnrF8+E&#10;+9sn+9979OBwf4EO7sTDbdttNtu2bYchEmDTNLPZZLGYV97XlZ/P56i83W5OL5Znl8uL68351RoU&#10;lPnFixeP3n9EVYVmInp5fV3VU0A3mc77vt9utzEWgxMGLDRjBsS6rjIbYhh61KwcddJA27LwINGZ&#10;BJU0DCwaCp+QTaOIqoGfGKGvnPQcU5+zY8FQvPRxJ8W3sXDA7jjaOMnAOLHcWLqMrl+qqGIO0I83&#10;6QiaKQEKS2ZlcIgEEABDkmC975gFtd6kWRMA4jaeJfcYFncBzCECmIreuMVQuZfK8MCcc2bOiRMz&#10;16FGoKauPXnOrGO6szCzihTFYRVc5Sg0Yd6ESeVim2fBV1WYeHJNTQcLVa3rKhQHRUdRlUxRhTPP&#10;9g+wrg/3D5qqFi6CM0XEyFnFVHV3AkZLjqpuGudUeSTjFYhxjEL45rAXk5emaa6vr335UNXMDAjO&#10;OdUxNatEvg8xJuaUEgu3283p61enp2cGKjnvbosbPSqK8M6/E4qCBxTMUAQACJCsULSJqjCtqkkI&#10;Tc5ps2qF1ZEvl5SpSWYE1CyX11evn79azOZ4YkikBmLGaOS9qrGqQ3z85Mnnn38x9DET9gMQBqTg&#10;XX15ufzsl795szdrPMwm9cnxgXcElsmBV/SIaurIGQiSB0JDymqOQB0Okdfb7Wq5rpvmYH/f+yCi&#10;Xd+3bUsIQrY/m5VYTCowrgiwgdqkrvOQQKHyAaqQmcHQtIyVRGgmJW36pqOyt6/g37mU7duDTpmT&#10;aceFN9NQhUkVguqdw8Pbt+4s5vtVPfn889+2LSgrIjhCFVAGEADUko9ZkCuCkXVQslYBUJgBoPA7&#10;bCcYNrXr66tnz55dX18yMyISOQNU0+LZh8VtYFyT41sQ7YjP6i6h7uapMHP7+/v7+3tmNvS9ML9+&#10;/fro8BCR9vf3DSFx3nZdO/SPXzyv6kmzaDyhjfkTWLQInirnqpx0iJIqPT27fvX6nHx49OgDdJQ5&#10;CzMhhuCrUJmBiOac+74vGEX5KMY2RLTLHUIkFwJUVUBEFkkp9n0PCGbgvHeICMQibewiJwBaHO7P&#10;FnO0OK+bTx5+f28CGtsY0zbDxaY9X7XNbE8dW0pxGHCEQt18vvjRD3/48OEHqrDZbMvLdXJy/M47&#10;92bzad/3ZvaHf/iHceiX19f37txeXV9tVuuIMp81+/sLAUxDVJWmsaoKlfeN8967FIcyKhonjzpt&#10;QhRT0h3QgF6cKiCS5JwS19X07r13iFy33a421y9fPieUo4PZ0cFsMQ11HRZap8VUbh/lnFXMO1fV&#10;9aSpZ7Np5R2AeiLlvN5OptNpHaoqVOt1mxhY5fnzp6yy10wcEW+6GBMLIlAV6s1mU3yUU4o552o0&#10;zzXnnfeBs7FI30HqDdQbaDeQsFk0B86U4pCRal+TICoCm5aAC3PBBJ2bGXZZqBzQQjyhkfSLMEov&#10;C2w7qmRGAtQ4y45rD9xtR8opADACQhMENVHnfBIYhCI2aqgGqYM2Y5/j9WYQsKamxRRBBqSv723q&#10;u4/czr5xXPiVc+G9B4BimFb8u1LKhQHELP0wsAgZptj3ccjCUrhXu1LY1FXTVBPD2bQKhL4OhAHJ&#10;ak/OI04qAwjOBRz782nToAJabNDv7+9Vi8XB/h6WnF+DMs/n4oJqWkCy4hvivRdm5yjn8Xbioqo2&#10;AxDEHehH5NSI0PvKueCrqiKiEAIReedLY88szFw6534YNptt0Yovl9d9u40xgakpF9q47WYkJNzx&#10;yHcHWHT3jhZYCw2dCzUahTBxFLgQkQBTlrqmQkPImQ2IwFbr9Wf/8ovri6vD/YPryysAA3JJuI/x&#10;5M7t47t3NKOa/esvfrHdbsu9JiJAPsaksh5ifPnq1bypG0eHB3uP3v/OvTu3ZtMqKDlBb0iEYoJg&#10;YuQoKKA5iCpZ89VmdXW1XK/X3lesVtc1C6/WmyEmAgOH/v79xrnRWZnl6vIKDI4PjxGMY5bM89me&#10;VVVmKetoVCNDUGC1napkfKZ/lzb2rYoy/j17+zNEQ4yrzUZUyQWH5ETvHh1997sfxMyrTbu3NzPj&#10;btNyzsbigUI9CaHq0mAsWVil7DNLcJgAIBgTOkQrbkDDMJTuvlixdl13dnZWVe+UIYWcUzVUCM6p&#10;KRmYWsnh2fFu8Abps3GCG799otHC5OLi/PrqSoVzijmnnNKTJ09UeT6fV1UFCDGnQcZ0i7QjDrjR&#10;6NUKquBcyGKsdHa1ulptm+ns0UcfN5MJCxvopJl7pIDo0OXM2+0qplj2ucGPcZzFmnPsvJzXYs2P&#10;6L33wc98AIQYYyGaiygiqWrf92VrVTfNweG+9w5V11dX7r3F0EVJQzfks3X/5dMXLy7XTM1kOpvt&#10;7a+Wyzh0xurA3To5Odjb15wqxMO9+abdxsiXF+e/+tUvzy/Oh2HgnO/eud1UYW82/fjD/3V/MZ9M&#10;mm69urxeV3VVO9d265QiIgrzfFK/c+f2vdvHtfOAuXg4O4JpUzM4cBqzsWhMGZEMlJxT0SHytu3J&#10;haapY4w55+vl5cGsrioHltEQDWuCUDtHNeAEAX0IwfvgfdNUlQ9gbKLigWBS17UnVzeTi8vlqot9&#10;lBcvnnvvHzx8z0RfXVwhkIoW4/ahH2KMohpjFGFyQEQ+eAQ0hfVmi9pLpvUGvAuq3HXOz5qcVPOA&#10;ltfrfjIJc2cYsHiHFVm9ISqAkWfBrktdn2dNjeMS96ZmvMUfgxJC/K0+Dr+xN8YdqGDFfNs5xyPi&#10;5sBPOt5w8tj7LND2cbnerjpuB1x3jC5Ma+9g4wxEzo/O08dcT49PjIjZxTiYaan5qjvSSuH1FBob&#10;UPBO2Zi567pu215dXmy3m7JI3m7XwzCUe3c2ne0t5rUO01lTmfrphNBUORARgBJ45zx5cgiI4Mgv&#10;fFNPJv1QNZPZ/uHs6OT4+FjF2FgUSr+lhYy0w8h22Z8c41BsY1jUORdHj8HAzN4jM5fYSxEBcAAw&#10;mUx8qZ9VVTVNw5k5CxX6rlpK6fLy8vLy8uLigjkPwzD0PYI6hAIE77C33W92yPuOdogADqxsxkgV&#10;va+ruinxcwouZUUURzaZT1lyZaHAFMwMQCqy3XSb7dbMNtttgSx9U1d1PcSh7/pC+EOV58+egZmq&#10;IDgzBQcpc2ZNzG3XXZlNq+Z6uY1Zh8jv3L0VqoYcekXn0UScs+LMbYglDyPm/OL1q9PT8zJ5b9rW&#10;+dD13fnFJSDOmjrmOJtO7xwfZWYUQZHTs/Nt206aZuiH4shbOb/qBlZlETMELcP1OI+XF+13Sgu+&#10;VUjGz3xjdocK43qAEAHJ+RBCZUjXV0tQm0zq4+PDzx9/vVpfKySzzBKZGVQVyDn0rvjVi5WtKCgo&#10;eI+hapwPajokBmUoGjYWZt3tG6H4vpycnEynk/Umo5l3mMWcI1QsNy8UIiXujL7hbahs5GKWo4wE&#10;prLdbFbX1wSgwmD2zr27p6dvqqraWyzu3r2zf7gPjoxo/+TETyZWBStMxKJZQkXQErMxRMaBT5fd&#10;etvfvnP34cOHPnhAqCoPJg5QWXKOfT+cn58rKCEET4STAh8X7NdU0LQssMvcWN6duqmJXF035U0s&#10;f78UpMLLd4H29+cICirPnz19cSfcP2o4xU2fnr06fX1+fb3tDONkprPFom4aBAXxxwd7775zTzlf&#10;XpxXju7fuXO1qt6cnV1cnC9Xy68ffzUMMfiwffT+rKnv3jr+6osvzk9PVdgAX7057Yd+bzYRY0Dw&#10;zg1933Z9kQw+uHsXyTnn67qeNs2kTllJVMAyAmbEAlKWCXYY8tn5xa07y2bSANjB4eGt27e43wBq&#10;SsOAgqbeu+CDd0jOIZEjCg4dmQf1IGaqxojaBBdCBceH6PzJ0YHiWm3ounbTbrZdC4bLzQaQMrOo&#10;GkDinDinmPqhd86lnEMIHpCQRvsT5TzItoWmqRAc+UMf9sXFNPSeSIVUSRWRVUSw9JaaER0LF+Bq&#10;28bNpjven/vCqfnW1nz3iMI3S30olOEC+9zsEcenWZwJACGAARoGdr5LuuZaOro4iwPr9Xq7Wa+7&#10;gRP7KI7QgmNS9mBgeDk808n89oN3Dw6PqlsnxXhYy9LDNGeWMalSmWXo47bdMqflcpVzvr6+Pntz&#10;+ub1667vPKFzSIh7+/vrfjB019fXdVPNna88Qh6K8hMR1ZRMHJoDcwil2ycC70MVqkldG1Bd1/P5&#10;PIRqGKKCYxl9qd8qMMLM5cYQ5mEYYoz1ZMLFZBogp+x8KEgAOUeFygQjiwER/U345XQ6Xa/XogrM&#10;fdcvl8vNZtO2bdd1RRQJAMKMoOic7MioN2EGuynyG62QCpADAzRFIg9EoZ5NFwsWiZpNjZkdAaLd&#10;unVSuGcqKefKORIRTpmI3n//keRcooSEpWrq+WKBztWThpBYWU3dGCpgokJoqgqohCSqrAoKgKKQ&#10;X59dt31q+1g101vHeyIkCo5AALyjpAJUlj7Qp/jm7Ozp02cxpb6Pe4s95/12u71erqq6Pjk8mDT1&#10;xcXFtKmm3seUUt9fr9cXZ+ciulouNScFnOz3F22XWeRmw3gDTL1VS95Og8C3SswOOis5pKMM3cwE&#10;QFXrpgby/cCI8OzFK0XIOU0n9eXrVy9fvtxcnG/WbT/EooJXBUkKCEOMnOUtJyJtqsnx0eFkOu36&#10;/vJ6GTOrGQuIavk/cfQX0v2D/e9+97vz+bwfupyZCCqP5FARBRStkDzBblg3b3UeNz8XIapo7T0A&#10;mKgym+kw9ETuD/7g91SEHFWhaiaTg/1DQ8wi9XRijsS7yjsyQFEFVc0IaiYqmsW4i9frXtEdnxxX&#10;VTBTcqAi15eXDokUU4xd1603ax/8bNqU5mlHOjBhUWUaieBUEnpUVUbRNDrnbccvAGBHrq7r4i2o&#10;zI7QOCPaarP5/Osnk+o9UDm7Wn/97OWm68VAlTfbVcxDMTaoQ/jBRx/uLWab1dLMEHhS+fvv3B3S&#10;8OzFy5STrwKzqEjT1AcHe3VV/dXPfvb4qy8kc/Dh+vqy69p8cnR0fOiqMJ1M6smMU1Tyy013dJCm&#10;NbkQptPZYi9NuhgZYlZSdWieAAp5oSxzCdB7RRSz46Oj/+6nf/bo4f3/43//39SAmTOhQ0MNngjU&#10;QXG/F1NTUMwmwK5ws4gAzQhwUvvFbHJ4MI8siUWU//4fPn384uXB/tHF1TKLxJRDCNUOuI8pjskO&#10;WcwAkaoqOFIfPEfsh5yy896x15ODO4vJbFantc9puNw/WHjfmEqWITObJmVRZlTjPIhk7ylLbLtB&#10;FLwr4KcRoQqaFo8uuyk146hdxm7cZQPDThmApUMCIBKjDGEAv2Z6s+muUrVpeViussGQOEUTRjVk&#10;I2HBJM4ElIP3Xbv58usvz5ZX9x+8O2nqw4MDZo4xFsw5pYyIKaXyZPb98NVXX/32t7/56quv2rbd&#10;bDbtZtt2rakRgXNU1+HFqxe37txDCqevXsQ4LPZqMfaelKXMB8yMqIZQfBjMsMQrEloI3gfX9YOZ&#10;kqOYUgavgCpQ0OObaqdjO2KmmjMj5TTE+XzBrrB1yp4yF+pp7T0Ud8RdrpuoFuszMrMQQhWqi/Or&#10;ruvXq/XyetV1QyyDWHHwNCuZO1rIVztE86ao6FtcgvG9MwQgA0IKdT2tJwuiSjmWnCc1IQMf/P37&#10;d9U4JgZT5ohYF9tEQzw4OhIRAuTMZuaCn0yms9k8VFU3DENM5Oj9h+999otfxpiLz5qaFEhVVQAB&#10;0GU1VFt3qe0ToKvrmXPOhwMXDNCRCSCxcE4iVhvhMMR+GFbrbea8bdu26wyAmVPMRI5FUs7Xy+Xh&#10;/mJx+1bfdWdXl1fr9cvT05gZTYkzG0Si8+WKwcRGgq3egIlvsVpucF58W7X7TeePu8Zq3KCDobCx&#10;6ouXrz/71W++9733X59fYuVzTi5lv+349NxvN9R2TpUdZSQBysKauWCPnhyAghoRTJrm+OhgOp1d&#10;XcNqtYzF4WhMnB9b3bKErOpw586d27fvbLdrhF6VXeWqEMwgpZhZ1EAVREFBwejbm/6xzDgiUSUg&#10;RwQise+HvjOVqqrfuXvXORKVInmMMbbctcMgptu+r6tIvqkdmIlZBigpPCzKYtb3cTPE49t39vcX&#10;KcU+dpFzSnm72kzqpvbVMMRhiIXLgIiiQoJmVpAo+6ZZLUb05R2B4la7w0/QANVk516GIpxjbqqJ&#10;QxJh561nfvLmzXyv3psvnp1dnV2uIpghGYiK9D078gSA4pXz0HfKGQG7to0xh0kjnFUl+OLvNUI5&#10;s9ns8GD/yee/1ZwXs/l2uz0+Oty2myEORbVGPixm80C0WV5dXF3/+JNPPLByrGqZTmdVtfQuExiC&#10;EUCxkbLixIWIhJPZhLxD54eU54s99+53qqpBcDkbk2UQh+RZC7EfkKCUmKIZzrl4kThHCqqmBK7y&#10;NJ/Ws2m1HeqO47/95tenF9fvPnwUQlMuOBEpjFMAKGW+1LxyNrwj8yMRFdD5MC1BSiHs15O9eqoI&#10;qxUsIRiBbdpN5orVVDKaAhd6oXlPdRNQY85aHks3njUaM7gUvvGxHFX9OJaatzyZysFUAkAyRAUf&#10;IVx28bKNVwO+OO/a7NusXS68FzMLQKqKhY7GrGyqJgwEWXh13aXIIrPpfH9/f3//4CY0paw8mVnE&#10;UswXFxf/9I//+Ok/fPry5cubqJvilIsIBlpV4fTsTVX9xsCh8sRzTXsawNehCg6VQHfaGsSdpAfZ&#10;oMxmoMYxAhHntFlvqvW6mRduYVln2EjUfKvT3dXiYtlOVQhdH0tgWkqp7FlyFu+RiDJnRwQAMSW/&#10;480iAAzD8OLFi+vrZYwpx8xccCMQ5aLULFcci9BN3S9PbHk6cMfT2L1FogaI5OabZFYAACAASURB&#10;VLyvJtPZHlGIiYuxTTlAovn4+OT2nWORZJYJgCUjWajCZrtJnBFQxFRFWQgRTcH5yRyddwBQuryP&#10;P/7BX//VX2822+JNN4JQOBo/lHU0qiELAV1cbT7/8nFV+aoKdTUHkxDQAEW4yD6aZqqqBJRzds5V&#10;oSp+OWW9XIUqeK8iXd9ttlu7fStxevby5enlxeVq2ef84N69aV0b2AC46dqso9ChcOlsxzSmnTPE&#10;75aU3ykwRcUORmNENZazkUTOLi5//s+/8FVYbduD/UNv2L48ba629zK2TF5gpbbRHAGy81lVhG20&#10;vzVVdQjeu6LgqSpPYCJZJSu6MdRRx6bSRg4lTqbTTz75+PT0VU69Q6ircLC/nzPnXK3WaxFjBAUr&#10;GQOwY8eNS7bdg1KF4BAnTT2fzcxsvVzOFwsVKUI2Uakqr+BizKKmpon5arX0viGn6s04EccKyTQj&#10;GYCknNsck8Hte/eY0/LqYrXdJs6EfjFb1FWD4w4Ip5NJqH3x2gm+EuVhGFCNiMbUPwAEICQd6zmp&#10;AjnUor81LC7WhQM09IMkmVQTB2QAQ84R7LLtfvX46e2TW69Oz4es5hCdASgSleJkZhnk+fMn9+/c&#10;qYPLKcUhppy3Q7fZrCrvQ11VdQ0AdV3tH+zNppOyUTc+nDbN4f7e3sHe4ydfn529YeFt1x2d3Kqb&#10;6Z3jo/M3r189e/7e++/Hdr28vnQqoa6rUAUfCQ2hiL4UdtQNQEs5LTer5y9fIFKKSXNM7YZcBRhy&#10;NqsKnxNFjJyhgu5E8WgoozNxSRMriwxTUBP2DoPDKtCqH8xs72B//+gQLeQEJXB9p+CTlFJZQhDd&#10;KB/BTIVTyoOqkatZM7HG5JybVpXNFnODSeq3Zkk33G5B1SFg7StUAsMq1N4TS4dSyF1YpE6ws7hR&#10;s28GmBHyGuWMY9uMWG5iHclloECCnrFeR3p62T+/6Fa5Wg/G6LNQlmRaJMaOnDcT58gR9ZoUMFvJ&#10;jzRMgpCuLq6fPH58++TWreMTRBiGYbvdKqCKIFFKvFlv/uVf/uXTTz99+uxpjLEcopwzIHLOzhNz&#10;HmJfVQGgRfCBdHBcUZJ57XHaTOeohuZHIUgRkJhmhSxqQIyMakPXkXObmKoo9cERhGbH/xrZ0jcM&#10;sXGuGH2QnRkIs3ceIDpHqj5LUrO6rmPMsoPOijXcZrPxo0kP2zAMX3755enZad8NVjjXCmpGb/E4&#10;vXMApV/zhTLndjuF0iCYwS5EbaQAGkAV6qaZEvqUOKUkyqJKZEigIg8ffWc2a8yYEDjnlAYzLc5R&#10;5Y4pOAaCIVFAV/jyYoVw4kLw99+5f++de69en0Ip0Thy3EtXoSimDEyI6Ml3Qzq/uP7iqyemur/3&#10;8WRC5BAAS5JuocWlmHzwiGNQNKesIlo8bIJzSMF5VV2tln2MoWkm89m277qc2mWqmjo1jfe+U2uH&#10;oSg5vxlYCEH/fVG5QcbsrZcTbhgv5WdBLMaRWip318c3Z+f/+otfJVbvfAOuf3U2W/UNu2iVgwpl&#10;yGCdmUjWkWeBIyJnRg6DI+/ITHNOOQ3CGcwQwSGOtYXGqKK6rqqqapr6k08++dWvfrHdXIHiYjZ5&#10;/zsPnj9/DpocaAmFLXQ5QwKk0R7dRppoqTaOKHg/qet7d27fPjnJKapOEAJz9s4Jc0ZQ45zVAJBQ&#10;VIa+W4UrtH5wOpHs+2jV4JxNFzMDRSJRYKDter3dbjbtFpwj7/cWi/l0LlnatsuZnXN7e3MgMBHO&#10;3PdDzglKmsVuvwqIjhy6kibukLyKIjq+ybtWYWGTbKaSMyrM6plmNY/nV+fgKSuerzeD4LYfqK68&#10;86H2rnH1ZIJI0+msqetZU985Onxw+/befDpuHJGS2Nny2siT9z4EQKyCf+fOXRImzt7R/mJx6/jo&#10;3r27k0mTh5ZjP20a5/3hwYH3vuu7zHk6nSyvr2fT6uT27Wnct3D+8s252RqsFMVxRNst9TAzv3j1&#10;6uJ6ZUBd10kcpGvRV0C+7VOF3s0qQycGpEBqzAIIztPYSxasVaXcJixsSGA6qavgEUEd4WIx29vf&#10;3z84AKjAnAj3fd+27XbbFobSbDabTCYhhB3byMW+7fo2xiHGJNlMVEW6nnM2Nw2z+Yxo0vq1ByCa&#10;btbnwI4FnSiBR/S1DwrUETkM3rnSIQGNDXgR6Y9o9bia0d1V8a3My7FPBkAAQa/YrAZ4fLp6ctae&#10;d7ZhzVCJARpKFoeCYGqOfK0QQUdNOxImNUECNRZI2ahPlxeXr9+8efjwYaFpiYgZiKqJrFarzz77&#10;7G/+5q9fvHhRxO8AUFyAWQQRnHNFOawm5a1QEPO83hpZrr1bTGYO0I2RuebK2teMxZhVQVnVWDjn&#10;3HWUde/OfUIUYVc8nFBHWt04we/GuBKWaOC9i8PQTCchOCJyHiqoioQ8hCAiMcYQXM5ZmNerlV/s&#10;zU11u9kul1dPnz3tu3Zk/eyabdg5+RiYge6WYFgkLqN6cySRUTEpUhPDnXsY+bqehdCU6qImZqya&#10;Acw5QIMHD94hKoM25iRd16acYMwVABZhNecKWYDIeSvOH1VVVb6uKzBbLBYPHrz73/7bv5bSgmQG&#10;DOQUFU0NHKCIxWJTIYIx4atXl7FPH374qJrMwZEYZCkbfeuGIXEkhy4QIpCnGy5D8WAmgmZSm/IQ&#10;h+V6eXhw8N3vf88IB5aU+PHL1/t1PZlO1fs+M5Arjq3lSOO42EfbeZ3quFKE4lkxNlI6zpUEUFxs&#10;0YhgFGOWM5CZAejJ85cs5hyRCrTtTMQy1wItVteSPBBIcSAGAm9YvObUB3JoVfCIJjn3OQ39oFlK&#10;MiaSS5mVELFs740QmroO3t06PvrOuw9ePP0ix34a6MHdk+uzl92ybRwkHZnYooDkVQWAdr0JCIDB&#10;mEhUeTep/KQOt+8eT5omkPPOo0FOuajuDADQqSqUfJvU8UBbWUbIUbnKzK7mtD482DNQddRHWa/b&#10;16u1gbngTo6OJ9PpYr7ft1273cYhIcBkUk0mEwU10fXqdLlcCvN0Ng0+ZGFh8VT00eR8QPLu/+fq&#10;zZ7sSpIzP18i4mx3yw2JpRZUr9XNbg67hxqKspH+ghmbf1Um0/OMZHqQNEYOm+xm78WuQqEKQGYi&#10;82bee885sbi7HuImmiMYHhKAWdrFyTgRHu7f9/2Y65AHBI/0UtOKmYMaJY6IhOzYQHPJ9w83l8/O&#10;u3A2NL5r+6bthmHo20XfNd2q6fqubdvQdd0wtG23atqlD633iJBKUbCU5TDPUbWYFtOckubSEHnR&#10;st8PIZyeX7x4/nSzWTWN/+z5c5mmvh/I+z54M7u5eQeanz+9+MPvfr3erJ4+f/b06fN2sb56f//1&#10;2/dJoFSSR1E0oJoQ7NjYvX/Y6yEZcoyzxpnSdNqFgnh//zAfxlyW7Dbhg84E4WiSU3XsFNG0lJI9&#10;AyKooSk49uvF8vr9lkE9aorTw/ZOioZAfdeV1SrnvHt4KDlP8+Sc77puuVyGELx3ZqaS52kuOUkp&#10;0zg5dKYCJvvDdJimi7M2hDYLdaZDQ6cnC8txOshhH+/e33i/Qu2cawUoEDvmEBi01LeI0JVKQaj3&#10;c1XAqg5TU4Uq7DR7xL4QwlH3QQCKTbT+y6ub37++vx4t0ZAAioKpEhxzwWoR5b1XyaJioMwkBo5r&#10;sieIaMZM2XaH/bvrdze3N7mkeRq3d7fBB9+0zrv97uEf/uG//eEPvy+Sj1U6oWi1OogLnggcsylb&#10;7f+DqVkx3MdCzH2UKNAce+kApSCSAhqQ1LpWtaRUQ8MNebFYvnj2vGsCmJCYaJFKBGMnAlJlTwiA&#10;VnImyd5tgvMpRufZORYV5z0gx5hEtOtagBzjzARmdjgcxsPozs9Pf/3Pvx4PI6Ie9jspwswiggaE&#10;XM8yPEbkolZpHaFWEzjUD2FVGcIIqlY15YioQACuCUMIgyjWuaVaFs2qBQCAgMg261W1azgiRByn&#10;KaYoUlJKAIBU2TlUxwEiapBjnJrAzvm6C4QQnjy5RGICUtNcEhADghpUHMzl5XnXtZL1YbvXUkTd&#10;PMu76+2vfvPFj+mTl4snWpmriDnn3f6Qc1KTEBwAGPrQhjrR6rrON943znnOMTPTOI5NE5q+//FP&#10;fnK3G99dXc+HKacyKLq+E0OrMnyzmtlYlyFUP/CxqY31cYEZwvGAqf9qAGR6rCVqSj8chzGV2SwK&#10;MWYzcM5JieQ95BlKAhETRSAVYnb/9q9+dvnRi9C1RYUdMppK/NMffnf17TeEGOc55yJFVcx7h94D&#10;oJSCVNOABMDqTfFue+s9ffT86WrR305bBxJAzoYON8sCuJvzbi7JMGcl8kWyajkCYZgQTBAZMDju&#10;gx+C6wKfnC7VinO+iu4fIReKRMwoqkTIaEyq812as0ABVACFRCU+vHrVzrK82+9eX6d372MmXm4W&#10;y/Xq9PQUAWOMh8Mh5xiCcz4s+s4MSi7jYb/bPaQURYQmcj3BkRKIIhI1923X9T2ooEnOOedoajkl&#10;pFrliqlKKYBQtLSLRq0w6+d/8b2X31s2oB15JELPvg2MjSPioCDZO5/INPiiuM85TpkUCmiSnEsq&#10;Jc8xjzkmlVjyPE02xxbx0/MLnOZV216enZ6ulm0gAnt2enp/fT2mPMf5WhJ7l+Ph/GR5slqlON3d&#10;5jnH+/vdnLUI/Ogvfnp2u/27v/tvUjJUlYRWXo1zTZeMk6IQZmADZERhyqb3h/19itvt7fb+/uJs&#10;s14tuq4BUMeOiEvRnMs4TTHOqmUxhM16uVmfIDACLbq+C8FKtpJ229s37vVn3/ucqRFJ9X5c5YbB&#10;hZOz06YJ9frCzKoljnkax3kcU5xLKq7BUhKR7XaH97fby/NuuXRN25pAP2AbkD9bxTnvd/5qCSWH&#10;7V0q2Ripb73n0jQIlsHM1PgIFajtBFWoFRSClTqfqh2Xo6mrWikRDcmQ58Jvd+WLNw83o43qs0Eu&#10;CiZgqipgqtWiRUBsSAYGUhEVUsi0FokARURmyzrq62++/uMXf/zbv/0f375984//8Iu27ZwPTdv+&#10;069+9Yc//G6ax7pZIIJIVlMCdBUyKUIITCRiFfvODgX4kATJ2n0+WQp5UitkAmBAms0MWUUZGWqY&#10;NDOT35yery8uPJHG2SQfpkTELjRGTtTUSBUr7F4kSZlXq8V6ufDVYZZT6Do5JkV5HxoVBYOmaRAh&#10;TqOIpBh3Dw9ORL744gsievnpS6Q6SD4OwNQqrgetBk8+Csc/xODA4yWn9mPrxQePE9GjtbVtl8jN&#10;NKeiKEAqj0+70gI8dl2HoJV4c/QcqeZSYk2cADzi48yQqQ4JY4wxuCpEMQAiOj+/aJp2jgUUVMU5&#10;Xz37yO4H3/vOf/gP//Hs7ORuu/vf/tf//fWrKyY1IzX79W//sDwJzz++MMnVoF5EUo7buzs1abtG&#10;RJ2D5XJQteBD27WL5aLvWmJ0ntmxmh7GMRX5q5///Ne//eO3764AMYlyKUHkA2yiSiDwKKn60Oo9&#10;HiKAplId6vX515Y5GVIFtxo+pv8gggo9/sGsYqAwOA9gCpI0qaSkWsCAqGQLXfM3f/M33/nB95th&#10;EFADBc1x2g2N/3+2d4yU5wR1wmPgmduuzaJznBGx+pkAwYdQSt5u79RkvVnVTJLAlKfD2XrZMibA&#10;8DCKPbAigwCCI06iJkZ6rHtryFfv/NCEi9OT9XJo2zCl8dRzVgEFxwHBFSkOK2YEkFRBVGKKk0EC&#10;RnWkDgQ0a/n629fRNrd7+/Z6O5du8+z56fnpcrVwzONh3D08mFrXdU1omqZBsMPhcDgc9rv7Ukrb&#10;ttWonFJyjp1zZlbtX4g0LAZAq0kNUko1AZgKIYGpam1rWBXX1eSes/NTcg2XghliipPNoxZNhRQN&#10;5jKOmvPB8h4sGegslMzEikmynEqCIlLKVHJBLSqSIsV8uVqcdy2ME6PFw37nsbs8KUV9oPVygP2Y&#10;D3Ha70LfLvrufLMegg+EWWSe56+//vp2u397e//ko09++MPPU8y///Xv7qZbx2TJkMiIOLRKLEAZ&#10;UJCMiYQMERmbNhSV3WF/2O9KjqJlJQMhMLIUeXg43Ly/2x32pWTn+fR0UH26Xp0ysYp65zwRmX7y&#10;4rlfrbbbu2kcV6szJjxKkgwQcbFYXF5eikidG1cl0n481PAeETGAVEqW3JCfY/72zfXppmm74Nxg&#10;FsDIM/SDdgMNy6Zd8PYOkXTcSxtCjD44GXpEyCBVvWmOkEDVBA1BC8KfocpVZQaoCOAJGaCoKpCQ&#10;E2xvJ/vTt7dXuxitKcZzLgZsUqCG5NfL+XFeKbX1ozVjVGuEXgUMWo16KSq7w+HV16/Gcd7ebn/1&#10;z//c+IYcq9qvfv2bN2/eFhE1AYAipcp3644hpeAxQv6osBcRYkfIojLO+Q4Op4vRL/pggpCJtWRL&#10;akaqWTwxKvZtz+xSLm3fm9n19bVrArJLKbVdv3KMRFJSUTIjx95MavkNVaJRUg2bAgtNcHMsCN47&#10;X6CAgWPHLaV5yimJyG63c199+WXbNhcXF845ItRqk0EAw8eI0+rTNviAJMEPX3zoWNJjRwyPvTIg&#10;QA/UONflQnMyRBJjQwd4BGirqO8aZsKjvciIqO1aIso573b7GJMaiBqzY3YhBEcAYCbFu8fcFFFu&#10;2tPT09PTk2/fXANAjXFHYlUb+v7nP/+rn/3VT9brdUzl//jP/yfSVcqFiLoQbu7u73eHosfwMSkZ&#10;AQhht3sws8VikVIiYCIuuXgXQhOGvuv73nv3GDmNpRTRSqw5bvf1gOQij6/T/0+7CzUUEqunnvFD&#10;dxir9xFREeoYo4BRnSwdW2yEUIXzmYkQSUXIgBGIKEoWzxHtkNNBNJkBYc1Purl9T7uHYsqEBMUz&#10;ePbe+dYHh4hIQ9cvup7Z9V0bc3nYQSVCICKQdUPngz+M+4f9w+//8Pv3NzdNCF3bmsrQN5KTJ4q5&#10;9LP3ismRFhNDS2Kgjpz3oVj170ADthr6s80msLt+dwVNc/bsBVWMkQNmJ0kNQayICgF5prYJHYoD&#10;IARkVEIxVEVVmFSpbbEJJ5vT04vzftETUpyjqgYfuq5zFVSby8PDdpqmeZ5N1XvnnCOiGMlUc9ba&#10;eHSuAugw50RoOacYo+RyNAdYcezw6AoyU/Xetz7EaYwlplf3D4c3DiEf8pTmiLGAWgKPrnV20nck&#10;to2HP91cz4g5CWY0QCUTVNXiDEFtlqxoiEZaGtEXZycKluZRxsPu7v27N5zSJ5uTtWpxjk5OVt2i&#10;zWbDsl8u+uXQe4PAuB8PjcluP0sp11dX19v7m9v3OsfPv/MyvXj+f/3XvydAQG67vl8uyDkyIiLV&#10;QsrsuMY7tE3jfJCui9MYY769vZWcvHeMVJI87Pb7/Z6YV6uh7cN61bFzaspgzEjkCCEwPX92ebPP&#10;796+nfYHU63jrqqYCiEsl8thGD4YXet2GeM85fkw7lKcKkcCDBVI1eYkr75565rhkxe952WKIq2R&#10;N7XsGHpzCmEcDw/7w/1h++xy3XpqsDAKVHUUomNgrBcKA2EAqwwVrCHpiAhAAGzq0IqpAM/Y3uz1&#10;q+vt1zf7SXgWTSoixo6LCoESAQHZY7pM5ZvUX/h4qsBxf6uvuRrYNE27/f7Lr77SUg6HQ+Tkg3//&#10;/vbrr78e59nMpChSZaDVvcPwzwaQI4245oPUfYHZqZRxmrcPu96xOQTJhoUcGiAQiAgaEpAxCcB+&#10;muT9e97tOfhuWFTBMZh671xogTwIGVDWY8o1cdiP49evXoFB33WnF2dA6JvWkQMwQiTva9ZN2zbD&#10;MKQYx8M4z7N79dWrZ5dPP/7448M4fe+73/3qq1f7h70dI5Jrrfxnc/bRrWTHHl/dYfXoF3wkYFc+&#10;s7FhCO1AFFJRAzawrMLEeIzuMQRaLVeOmZDc46y173tEinHe7x92u7EaknyoWYWeiRCgCVyDGkNo&#10;6jxjc7L+7LPPrq7vNAkSihRGZqLg/GrRT4cHAgXyznEumcjTMVBZU9GsJgbVRuOYTTXOs3O+DY2K&#10;OPaENE8zkWu8D84F75vgVUjLUVxXct497KZ5OhYuVm1NYqofLCCPVJeafaD1SZoS1jlkfcx2dCkC&#10;ggF9SPZ6JFQQErIjFdAs7LHa5qhqRQiV2bqwx3KwNANGUWT23o/zYbouwC7lTAhdw+tFt3t4MFH2&#10;R+nqom3LZp1U+64DSkzHD4gIhti0zXK9LFr+8MUXf3r1ZdM2g29DcEwIKsG5qKXxvOrbWDQnKKRF&#10;1YAlAxs2Hg2AiIN3kMu67xrnmOibb94M52dZSghsZsUE1FJJjMhINWXAO4bQ9kyo3kAAQY6mVQpt&#10;z7zubXiqixQ2w2aFAGmec86eXbtsEBG0zHPcPTzc3d0yce0w+NAgAjOi+ZKzGcR5JqKmcSlmVY0z&#10;OaZSSsmlAsJVpcorqv6yYjGZiADncdzF97s3dw/pPQJY0rlE8aJolqAlf77qN8MS0AD87XZ/ADNk&#10;U6rJEUaAKg4ZAZOagjKYB2uYVptNUcklObSYY5rSV6805cvgW2Zsm2a56pF90zVD3zkiNtWYvGPJ&#10;4pk8c44xz/HVeDhZLi7PLj59+sn/+3f/oFKM/erkdFiukAmNmVAyED5yuBCc58aw7fvYtnEep3EO&#10;jtFaRTrsR1VbLJYnp6ebzdoFEo1IUkoJ7B2ziTq0vm1aH+bx7ub66vb2/eWzSYvMc6yixBBC13WO&#10;nVABAxVFhFIKMeaSHvYPJiWwz0W8IwPMAqFtDof08BD9y1Pqh5K2oplYVNSAyAcO7fbhzfu79zke&#10;PnnZd4FCLUbI0ACtvkBVZ1NtenXb+kB+qY1oBVM0ZnYGzW52X1xtX13v9lEL+ihqhMSomgG1dqsI&#10;UeuUXjHnDMf39fjW1gMAkZgJANFURJPl/f7wy1/+atEPyOxCq6ZjjLloynWQIJqVEJmdSDkeV0gi&#10;1TlQ9wOCY2MOGZyollIO8/xwGLULqFI0EkEIDaCpGLA45mwmIrtpGlPpuj6XcnpqANZ2rZWS4wxm&#10;zhuhQwxylHkhMudS7u62u+0WCb+j333hHRg0/ZKYTQHZiVaCgLVN47ybU+z63v3yF7949vx5nOfz&#10;s/Of/+xnn378ye5+d3V1s98fVC2lXEpN+jmKmfTY84FSCj6GgtTDxeDYwURmAEZ0bdMjoJTMhKKP&#10;kSGGznsAQdDLJ5dd0yDY0SFBFJpG1eapXrKyCqhojSvIKTISopXGe8dtG5idD02Rsl6vf/zjH/36&#10;17+9vdsZABOaFPbNuN/fvr/5/W9/3fXL1eZsnMbahDWClOZ2FXwIMSWmChowIopzVFH2GPqu4l3b&#10;0JgIIgfvqkeh1mIxJ1UlYjMbx/Hu7vbRfMpMXEMvCEkfUTwfpGK1C1xv1oxYGXxkYFYpyvrofwFE&#10;o6OsnUzVoCoHy/EzWB19kSdCQmwDLru7EjPZLiYhD2Apzl9//cqcSwJm0DbuZLW8v5U3b74lMMfc&#10;hwAKnrV/8sR3nRu66/fv3727QshEJCqI+Jf/5qenZycK9st//iUw/ujHP3r/zVdVp1JSynFS00Xb&#10;IML+MGZiAqeIJ9zM46w5tY0PzgcfnGNnvF6uVMvXr795fXf74/XGAIhZRVQMAbzzjfeeHRN5R3xC&#10;DDCAMioykSM+Ns4ol7Cd/NW3D2EYonKMCVRKlQIWMbP9ft96zrmkFJumccwpgoEczZgI5J2ZMnHJ&#10;MedkmsfDPqW8f7jbrDfe+1pxl5zVhIhEihnVNcCO2rbbnJy8/vJfZp3vpt1dHkMIVqAYAjKwmTME&#10;3IskJI/GvgVyYiLEgqiAxogIDigBApKyqRYwQRXyruv7IsXAlstF7zjG0VSur6/7bmh9Exz7EELb&#10;mqpVQoapzFGxlDincR73+9a59dCv1sOz09MyxvvrNz//Nz/9u9/96e0cT84u2sWiELMRwPF0MQOq&#10;lB3E+9vb+zr5BGsbF7xfLhbBh5Jz2c8iykSh8cwAQqYaY2yIHQUAbTwPXQumwftxPFxfX31fcpxS&#10;3W3r9XGe5xSjqTFRnSnO07zf71OKTRMko1Vdj3OK1C16h+S8n2b53e+/+MFL9Ia5jMQKSGAOsf3m&#10;9dWXX73RnD///OPNZnCWMFbzNaohFFMAJLSjmwEBiZw7kky0ypmOyRmiUMztE7y62f/p/f5hNgCX&#10;pFbRRojMZOgI7LFZbQioqiLATABwPE4ez5gPzo2qFSfC3WH84xdfDF0PiD//q5dznN/d3GxOTgTx&#10;5GQzTuPV1bsSk/P8qK4GRKwZK1VGfExsYkZilVKKoGo2uB8nQw1MYlZiCkUReej7pGoMh5hKsSmX&#10;y5PzOM1msHvYLRcDiOwf7ktK67NTQkI2qWMJ14iBFJnmZCkB4eFw+MMffn91ddV0w4tPXj599rF3&#10;bdXlicjD/X3RkksZhsG/8O7q7dX7m9vXr14/vbz80Y//4sn5k/PTixDam5v3McYq8RQpJlIPGDkC&#10;Ai0XxceIxj87HojApCqhPFEgNMls+fEaetQYI4GqhOCeXl56545y85pRJSqa0zyVkgkr/puJ6sEv&#10;CkCMlDTGOaXUNCVgk3IMvv3B975/dnp6/3DIWQGsFAmhccy73f1XX2VAf/nsI1Vl53IupIkQzHC1&#10;HOC4IRVHrLUjjERIwXsEQwDmo/2OmRyTr4GHACnlaZqryPL+fjvPs3NOizKxc74uuFq8VHP4Meqk&#10;Jr7A0a5WQ+ixViiiAAqVpVxBDyAIggBoxMzeeQMoySquKec6gQIEAmZrnDtZjQyZdAbNKqKqhO+v&#10;rqLJFJXYnZ6sUDOD3N/dmQgBdqExVVFbrlabiwttfFElRCmlXvK7pvm3P/ur0ITdw/3V9dVqufDB&#10;O3beORPJMU7jvut754m5RRBVF9g5HyC042HM89Q3oW+bEBpGF0LH3O7mlGO6fP7RkyfPh345dIOZ&#10;EpJjH9gFH4jIMRECMzsEkmyqxSSX8hBjnEsq8LA/vL+XX3/xbpcDtidtMYK3GQAAIABJREFUOwRm&#10;00KIJZeSc4zRuhYAmLkJvpTMjpiY0EQFkI6wVzDnueQ4Hqac8zxP+92DY7derwHAQKuJopYgIuK9&#10;I0Tn/bBcAIFCZk/eGoNmBiZPCmws6KzGiSeEGQwQiil7j4IKJICG9Dja1Aq9N0LTY8ops0MiOA5B&#10;seuHoW8pIDOH0KCaqqiUHEc0lDgjmkOI85wlZi33d+/jOHrGp2eb082y93R3d7BkT8/Pn9zur759&#10;OyyWzgc1IyUz5ZpUjkhEjpm8v4vj/n6nhkPXdt26bZvNZr0YFqXkaXr3cHdnpilPw6IXS20IpRR2&#10;3DZhGqfGOybKMTExAojmnGNR8cHX5EPvfYxxmibnXO2uq+o0jeN4kJLbtk0AWtQReecBYTEsoGjw&#10;Ehoz24Fl50glK6IoqFLJeHN9d789bFbNs2dPTtatxjHqVHJWZDRSEAEEckCqogqs6BENJAHAsfZF&#10;VMACxBRGcde7+M3N7vaQRTkwEsBy6EouauocV9O5KhgC1h+T1CF0hTeSyHFv1MdT4QgzMihFY0z3&#10;9/cPD7ucy1//9b9rsAtNW1Qvnlw8ffp0nicAu3r3rnbg/3XaB/zrrytuoI4wEA2wKEy5uEwGDpFi&#10;UdHSd+H04vL+/l4U5nlm9ubc5z/5yfWbt6+/fp1i5iXd329VStt1bRcIkRFqN9jQCaIAiGGlG7Nz&#10;8xRzec9+n8SQm5OTc0A3TVORIlJiioDQtG0IwZnaPE43uWxvt+9vbn1oELE6n3PO1VyqKoiAf448&#10;AUOqu+eHkR0iKlgd5gIYmLQOA4qBIJVcChKol1REwEwNVIa+v3xy0TahXiBKyTGmWIrzIc1zZYfY&#10;kZJW0YjVCkdVdF8qRkJyTpHJPX/+9OnTy6+//qYUUTEmMs3L5ck0TYf9ToEK0Oef/3B/SG/f3ZjO&#10;7N1ysXhyvmEQtYIGxDzPMwAQYcm5CUFKyYDovUg2UCle1SGgiZZS5mne3t8TUe/89c0NIgbvwaFm&#10;Y+ZjGgd+0IXZn22oxxOmXgUBzcyUQUEzYTUOo2NyDggBkYnYOd+2bdf1McvbkqY5IR5LLjGpWhYI&#10;zq0GWvWHq9uEkKQgBQcwPTzMWqZil0+ff/LJx9PhwSHN41TGMTdtaRrvXNd3y+WCCGOWahCojWDy&#10;1Pfds6fPJJfXX7+epmm1GFar1b5tG88qAmaN986RQ/ANM/dg6oiD99SE3GJJvm+arvGM3gzWp0+a&#10;4WTz7CNtB2u6puv7blDRFEsRyelBsiCimoBZkQwGKkUllaJFJReZco5JYyzzjMDLWZtvr26WGw/G&#10;GSHHGR8F/EPfMR0Xail5HEci8szzNOacawNSS2Fm5zl43u9SznmaDnOcY4r1VgBgSAhyZMSaHccM&#10;PvjT87Orm3dt5969e/319h2fr4WYyCHg8SGSFtVJciy5DS2DD02QfRIDRa5jKVRDgdr+N7FaXiz6&#10;/vzs7Pz8gsbx+ubmy1eve+ZF1/zgR993np1zcRz3u13J0UyYKMXog0ODNMcssWgZDweTfLIczjbL&#10;vnXXr77qXHP+9PLLu3no27PTk36xQB9ADQxIFL2qFhRPxADYhGa1XJKCmA1ds1oN681yc7Je9MM8&#10;TzmXw3iYx/2NJeefnp6fbNarRdc2jUcEkdK23XKx7BaLb97vCXHRD6rSda0UGxaDilY/1t3d3WIx&#10;IGJ97Nvt3W57bzrzEBi5Zl9651zwTdOgh/XCP38xbBa96R+lAqXIHcZYAwHmed91NCxCSfNhJ51H&#10;7zk+ugAEAYiQa1/TAEmB8ANk7FGdpMgZfYb+ej9+fbW9fRhN2RFvlgMYXFxemMFhPIzjPM6TAACi&#10;GCiY/DmtEh+pqQr/ykl9nJ/oMVGL2U3z7FwAg//8X/5L07bb7cNuv29Vbt6/Hw8HAFisVvM0TdOk&#10;JR2/+WM+Zj0OiV2RgqptcIRBSo6lELmoYLl4V5FisFyf/E///n/ZH8aHw/7162+apj0/O//Jj396&#10;+/TmzTdvS8n7/WGzWTAjOfKOzaRIQWJAJsfEvgm+X609GpUEj55xJAfoxnEucquAUmrKoalKjfsC&#10;RFcxXwaYUv7m2zfOhSocUjFRrYWbmRoBWW32V3k2gDEhaA2YemQ1qxmg1cFE52HZgHfOFGMqiJZK&#10;eRhzBiwGBcpq6E9PVs4zoJaSU04xzuicmeVc320kQucIzJARBAAq4rY266TalHKKgNy27aeffvyb&#10;3/wm5VRXS9+1p+tVmuMYpxC6tm2fPfv43dvr9zdXWoS0fPzifLPuQCJAQTrG1KuIFjnqvwzqRM8R&#10;i6hpwUf+bv0ZT9O0b9rQtnd3dyGEnLNzjWJxTDnl41KoXNT/vvKwx6GMqhEpqARPwfk2UMvsHXVN&#10;07QNgSBhCI0PoQmda7rr99u79zeJquXH9GipAQVTz2HZn754+u52W1AFkJjRgBQgi5YS50MbPFmf&#10;xn1t7JaSRaXh4BqfJL/79pur+91uP3Xd4EKLhL4J5xdnXduO03i/3f7N//Dv+qY5WbTXX32pJvX1&#10;6fu+mFS7TN8GNHOEjXfIZszWNq33TOSQDNwwdM3Jqttsomu3c9ne3uc3V/MUayr4PKeci6HVwL0q&#10;aCxFiqQsUopm0TnnXKBkE/Gr5dPvfO+nzVaYwmZ9YiVFwhjnOrFvm0ZFYpzBjBFNRNUK6n6/i3Eu&#10;uSAaGHjvV8uBmQC05DjPB0IoJc9xZqYP6ozHvFurznMmXqyWu3G37mx7f7Pbb1dn64qHQ0MFYK2+&#10;Y8s5Fymg2jTeMR1t70xQNRQGIIrOEBSlsGkXwk9+9Pl3Ly/bEFhVxN69u3Eim+Xy9PxitVm07VGc&#10;mOIEJiYyz5EcqYGqmIlINtXgaDUsNquFJ/vysGtXfjH0eDf3XfvpJ+u+78U5UmCzIlqw3uUUTEpW&#10;zHnoB0Y0gKFvV6vlMLRtG9rGr5YDEZactvf3wDgM7enJyXq16oIj01KkiLAPZ+eX1izvd38EJO85&#10;p5hSqd0IQoeIXdfe3W0Ph0PftjHN2+12//BQUlTJEwgbqtRsbyPGnCZGp1ozX1yJDMKE4J1nKFrS&#10;HOPpiWv9etn3bHHcRQzU+uNWQehqG9AxlZqurEcEo1ZFU72rAhr4DF2U5s12e3fIuWgfwtB1nzy/&#10;3N6+P1u0J5vN+9vbq9s7LSmaqEHJUpcIcWXECyGaWB3BEpJBJb5/+H3cDLphYWqH/eFPX73y3ouq&#10;iI7zPM+x5ERE7Dg0jYgUtEcpFzjHZqAmYIiO64mO6KHeLVJGApfZPCM6MWKkcZqfffQxsjPCjz+7&#10;aZqma/qhbR37i8unN1dXospIAJpLLqWACyZKhC603TBw0zddB0iegbUwk4EWVTAqigYcj+41AjRE&#10;AyKFeiigMyRkUEB0PAzLk5MTALy6ukplPgrDnTtSqmsfTI9KMTAwxOOromofVMuqhqVhWC/85999&#10;vln2jeecJ5FyfXPzp2+utoeSxBLCyWY4O92AWS7JSo4pppw8YrJYUTyIQMREZKKEQEw1z7V6SMws&#10;pphzKaUooGP3Fz/+0S9+8Y/7/cEcELrvf/dlE9oi2fvgvc859m14+emLf/rHv0fIjXc/+N7HHtUk&#10;AZU6wS2lSKnGZIkxVYStmrZtWxEdhCQqKSUiarsOHs+bOM2OmAIF34ALXT/k+wcs5dGp+nisfDhj&#10;jk1FyKUwoTNZDsOLi83Zalh2vnHUeO+YEKTOtIhYicV43D2QyaJvx3zUxgAiMYppUmma8Pyzl7//&#10;41cyHYh9NkTixTBwdnk8bO+3b95++9Hz53Hc98PQrlebYTEsFsMwZClzyb7rny42L4fFYjEsVqvF&#10;YuiGPjQBDKfDnOb0n/7jf3r75ttf/Nf/Ww0MMIu0bYcmac4igkxNEzyTJ/TVF0yGhN4BmTkCZAeE&#10;94fDn373u9tkh4IllzzFGJOoiEh6ZAmoiZohASJKPWZEVU0Mc1FRJHCmBXxG365WJ9NYVosVgZTS&#10;pxjBjBAA7Pbh4bDfOcddaJhYVeKcd7tdinPKueSIgN5znA/L5UJVDofdNI3LxarkNM9j27YVI4JY&#10;925jJgAGqFCcggjMNgz+IqwTVW314xxNDETBTHKynLkxRHCOiYwMVQoBgwoiHUNJcvYIbPDx5ZMf&#10;vvxsFXzaPXQKqiYC+/s9CPz93//D0+dPnl6er1eLWoeBSUnJzMYpFrOma1WgXo36rlsse2YE02Gx&#10;AnZJLebMzn3y0Sel6wqRqBW1nMsRtk4A85iLypyCadc15HwbGI/DRaj+sBUNL19+8vbtu9D5xWrZ&#10;No0WUWYzlVJiEgV3cnb++vp+e78Pob272/ZXV7noeJic8+vVpm1a7/1qucg5jeP+7u7u5uZ6Gg9M&#10;9LDdxes9GlgBsXL5/HLQ/v521za9x/Xt+5Sn+1YPnlLjAQk8u+XgCOcXT1cplsDBE0rUEucigKqA&#10;VEoO3ktJDOCJga2IqAo5L+AYzUDR0ICN2kL9obhDceDaLsByub68uPjs04+uh6BaIO47tt7TjqmI&#10;WhYCVDNmJtDKhyZEEamqpVqP1xnAhx3ATOsWd7fdHg6HENoP8ZIpJ+dYVVEF0ERK2zaZcRpHk+Pf&#10;0DHWGdQUwByTqqoYIYlpKjpnWSyXbduYmpZ8e7/LCm0bmq7/dLFBwGmcShHXth+/fHk4HOb97vW3&#10;b0Qze07FNudP+s3pshu4HcQwTrEA+eBLUUZ1xohI7KUosgNwqpAlm2YDIzYidMw1ZdkJkSEy83K9&#10;Oj05Pz09Kbnc3j9w0VqAO+eKlqOKT+tJgowkIkfDed09DdQUFcgUQPuu+fjp6fdfPlm0LjCYdaD6&#10;ZO0XQ/Pq3fbbdzeYyqIPfdeolmmecpxySUBkVvE2hZnrce2YPmScHKc+hERUE41UUs55wU6kPH16&#10;+Zc//QvnWEUB+Kc/+Xya5sMUObR9NzDxPD70AVsuLtDFxfrTjy+JSqVsAVQ1gRQRMyhZpmleDItp&#10;nlS167tq/NSjQ0iDa5z3IppSKVnmcfbsVuuVKWiR8ydP9vO8n6batUQEPF5q/3xhrrPHWlYD2rJv&#10;n12cPztfLRr2qI4QTBGkpCIAiCRIsVjrgFSHdZ/uD3VnQoJ6Fyk5E2O/Wj158bxbZRcGRee77pPP&#10;Pp1zvD0cIurl08uPPvl4c7I+vzjrvF/1w2Lom7YRA3KMruF28KFtu8Z7z8zsCBEO+32MWcSYQ9d0&#10;OQsy19VNzpckBljUQBQAvGOHSKikggRASFRxROhcUKSr7f1v39zcJogWVE1KLlLDSa2oKahhbf4C&#10;1gQ2QoQqyqyUazJARmdAwJ5d2KxPynyf5uh9DUriany5u72dpkN9Ied5rq9lzsmsJs5KSsmkzBPE&#10;eQLTnNP+sJvn6ez0VCSliN4xelff/LovmBERA4AZqlnjadnT+bpPh7w1IwCwYiUzAyogsOWMWSCL&#10;Q0o5O0cmQkZ0jMngYoWQpBQmY5VF23724vkQPOZcYswGwYfLy6dbZDI9HA7X11dM5j25+ikAHn8W&#10;IoSZnCgQETh1xMxuHOfQ+PX5E1BO4G4f9uHkfL1eH4CEWEyLCBsKoACCWbEp54S5oMnQBee9qZRc&#10;ENEx13sqmLVNWK+XPjgiMpFUhMBArUiJ2YpywObNu9uUNTTd69ev91NyPux3e0Q+Oz07PT1/cnHh&#10;2QnBbjykOJsWROz74bC/f/XluzY0wTXsabNe/fBHPwR1q8XJsyenw1D297/evvsypzmVMkdrnHcc&#10;WsfUh+KqK5tSVgcAWkAN0WtRIGL2kjU4h4opJfIgBoZsiAjifUMULCworGxffLc85/ZkXc7Wm7OT&#10;zaZrHlDHOB6mfTEkKQRKCAjgvbeUEWu2FEpdXCaPV17ED8lVHwJoEEXk+vp6t9s9pnOYqrFzrFw3&#10;iiKFCA3MhwBg0HVxHo/TOkTHTo7LWJEMzdetheuYVu3FJ588OT15uLsd93sAQA6GLIpt14sU9lIk&#10;IcLHL19+/fqb7fY2jiMTOMD7/UHDfnHxbFifoG9vt4fdYUeHcVgtGCAEh1CIoAmNGgRmIhbTWivP&#10;ac6SUGW5WKzXa1F11HUA1jTt+vwC2b27va1mM9e3THycuGipntdKEiRAOoZKajXHfLDHmCgjMOiq&#10;bz55fjY05nFyJtUxeL5qu+75erUMzv7l9TeBFaBMc97td9O4B4TVaiVSiqioeu9MzfFROsmECFgD&#10;lZhdlfSUwky83+9CCF3XOkc/+9lffvLJR7uHvRr88Ac/HMdpf5h96IILOSZCWLcnQwMfffT0Bz/8&#10;XhNANSFjZXfmnFNKORdRE9GUy8X50symefIhhCZYxdzUAE/2zF4kq6gUEdHTzcmnL1/udnsT7RaD&#10;1Rjl48LCGsyFj+4ZU8MPfAkwVSG04KhvfWBzpo7QVEBErYBaZW6SKZo4svOzzZjSFGcTdY4BLceU&#10;YnKNZ3J/+z//+35x3i1PXDv4pl2ul6IyqUTQtm2DdznFHCcQZUQAyFKKaioyppyneb7fISgClJxN&#10;5cnFxenJuogg0m9/8ztGe/7ixfbmbdonbSimYoYKaAooWkRFkRnxeD9WNSiGbKTIgK4APczx7e3t&#10;HpqoEYhUtYoWal6QIQFhQQI6PiA8CuDr9ZWxRuhTUxKGvluslqTZTvnh/l4tzdPBsdts1o5pt9tV&#10;S4eZzdOkqs4RWFkuFrkJh/3eTOZDESmmNI6HnGOKM5gwg9aN10QEahqe1Zx3QDNQNQNxSF2g06Xf&#10;rfur3Y1DKZoR0UxIEJG0jmdVTZSIVAoxiamqklYEgKiZMViNbCjy5OTk8vS0TLPlJCkWJB/cMHTh&#10;yQWZNC0yQwg+l4RI5MiKkQ+pKAYmopvdQXLxhC05IpxzQQBuu33B8RBbmaPxZy8+LmhMDoBArf7s&#10;S8l5ThKnMkWEHMQcGCGbQUnZu+CORjSebUox5Zyb0Choiqky7SUHrZiZrDGX3fX2y6/fzlGRXc6y&#10;3+9ykf3+MI7zu7dvX778bLVatstlGfPhsC8le+90XxaL4XTz/XF/txxWi2G12aw//c5Hf/3Xf31y&#10;8nTRrZeLzmT7+9/dlnSe52xlnA+7w/3BCoTQeu88U+M9KGFw3hAKmCmQ5+Bisda16ExLQe+oYDYG&#10;8GLIxASyGDbtsM7UTNZ0kp5dcts0BNAwWSl5OowPd9M0Oee5aRdDd7091ENXibyr3Oo6chettAc9&#10;LpgPFnU7kvcIAUrJ+/2uch2Z2XsP/0piR8xlzrWcCU2Qkru+DZ4O+33OhZGJUA2tihtLNhfMlMk5&#10;35SSiuiTy2c/+fwHeRznOCNS0/dFDBXEAMn7ACAYp/355dPT8/NvX78i4m7R+6bFEJT9+uzJsDop&#10;5OmQi+6nh4dYEgI0TcNMgTm2pQmdD+CcExPvPTtS1DKm99s7NRsWiyLiXN8ZADg3SinTNI4jVIE3&#10;OXCOmVSUwdXGMZqSWMUcYs0HQ62JPmhHRwWBkerl+elm2ZHOjIVRCcAAAzOxt9Ne5MlheugaPhwe&#10;iunDw/00HZaLARFyziknQmZHJooAoAIAKoZI9aRhxBroXbvh9TOHpvE+bNar1XLx+vU3zvuz03Xb&#10;+L7tu3ZghBhj4xxofna++uT5+eX5SiQBITkPigYwzzGlVIqImiGqmW+akJqYEiKGpkkx1ZysKqBs&#10;mjan2u+G7373u6b27Omzk82MaH/8l3+Z5wlUmaiIItB/p/94ZILXb1b/jynGXFLNJ6Na8mgNkDri&#10;ws0EVNFk6NzJevHm6gpR6zOvFLmckjAB06fffdmtL8B3xg0wFQAlQ2DL6RDT7cNDSSnFOcW55JJS&#10;3M9TKjrnOMVS1FIqKrmGCDAg+9B23f4wjnP8x3/6JSN8/OLCN03c73JNKgNLRYEBjdVYDIpW2wGL&#10;YgFjIYeOwGclQi/Es6g4NEYBNOeQuOr8AUAREMEAiakWNVaXFQIQQeVqGxgCOSZHxMxOu7bN8zxN&#10;88P2gZlFCpqVnLz3XdOkGKFp5nkqOSFq03oA573jiAZKhCF4U9nvdzknIhQphKhaKjKyFEE6YpMQ&#10;0QBFjREaH9YdBYiX6+GbG7+XgqDETASghoilFARTg6SaEdWR1es4WHAOjMi5frU47HYiWkokwK5p&#10;UW13d+dBNc4++LZxiYCCC+zX67YbgpEZaJZcZ8qqCBymabra3X/15i0irobuo/MzJGTAcZy+eX//&#10;L199UzKvNtPlp99pF6s/vXsXzQlgDS6Oc8xFcsolTVwisnqHBljECBSRPAdTzEl8471vzKacBYkV&#10;wMRSjqIyTxO54EJ3mMv13XiY7+53c1Gi4H3bkmNNWaTkHNM8f/vt66YJz55cjuNhv99LKbvd/fX1&#10;Vdu6yydnz54/65phtdp0bauA33z7tu1ON+uu6ZYm1g1n3G6AJsgORXOZY8rTLmdn3oM1gEBkzsiB&#10;c6gY1SE1YWi1iAUnNiuRlrmAM/JFdbPYeMfNMPi2N6WgvFn4rum882ZW4rSbxvvtfZwmLeXk7Ax8&#10;Myk6vkOx4F0W88EhoRqUIzNezdSgujv+bIipQ4Qq7wEFZj45OVXVu7utiNQkgHrSKBj/f0y92bNl&#10;yXXet4bM3Huf8U51a+quRvWABhoAAYoUh7DokBwUJYRDT3aEH/wHKPyX2X6wHY6wn+TwIIuESBok&#10;QBACiCbRQ3WN99YdzrCHzDX4Ic9top66o6o7bp1hZ65vfd/vCwHQXawqq4hAEI6O1kTYNGm5XHSL&#10;eYgphuiir168urx86w4hxIp3apr2+OiE18e5ZE4pNp1NxQHVgYmZQYOaY+q647PT1fHJ3nU2n1NK&#10;cb44efB4dXLfQioCEGJoGun3+93OAXZ9H5kDU4jh7PTebL7ouplZr6xt6pouzebt7eZG3bKUKeeA&#10;bTK1DCDDYCKGwITiBOa1w06qzwkAtLp2HVBdnAiBqgWjgmKQamhJnAEePzhvAla0B5OCA1MAB9fS&#10;sJyumieP7y1X3fX1pSHdbrdmslqvSskiRUpOqSWiWsDpiFVkZA4hhvo2HDozEBGxSNnv99M4ummV&#10;pEwzMCK6aXbJXgIQNGizCGWS9999uJgl0wnRFdDNndhcRaSIqB6seAC1xjWFEMwsxliyIBJxUPNc&#10;JHIoImUqpvYHv/+H++1umqbIoZ/2Xz1/Vkr+Rxt3zXP515NyJUtg9d9XV/uUp5wnMzN0g7rEqzjR&#10;WknihocSl5PjZWA0LWgaODIBE4F7yVmYPeLL12/6N1ej0aBYccHuNhadRMWsSFEVUy05l5yLyCRF&#10;ECfJWa1WW6ApqEWmWUr3Li76oX/z4sXl1c3t1VsmJJSiJg5TFgxoVcZzYCYDUkOqaBwkQSroATgC&#10;oVNgJkUDdgwGwMzqCHVqOVhHDhleqrWdiICk7ohkdKcwuoGDWIkc1GSc+pDaQhZT7Kyd2u6ufbVn&#10;xNVqQUTM3DYNIgz9Vk13u6lWcUjJIiXGyIzuvt9tTSWGRqVACKJlHPcA5I4hRiJ2N6La10IxpsW8&#10;u3cUYfz8bDl7+ujB6y8vIqJKDkx3FeHogKFrJZA3MTbNEk4eqCQID47u56EsVsv3nj798tmXX7z4&#10;4rPPf41Eecq3Nzc4jR2Dl9wSNE1YLmcQcwo0m3E3b9RlypOImhk752Iem+evr3715fPL7W6xXvbF&#10;mtjcW81DA7/+8vmzN1dvrnbM81mP9z/67svLt8++ep6dHQ6Og7o/rsUjCbQEg8DmUIpEiIxciu42&#10;u03T0RoDxcix18FdAdENpJRpHNW9na8gdOLYjyoej0/PsR9HnWKIMUZrLOcGsbYe6LNnX25urlUk&#10;xZhzvrh4s9ttmX23uxr7fQy77W4AgvZ1+/mXX72+6L/zbfknP/j+2dn9prt3s2kirxJAjMptiKC5&#10;VzcrY5bcu1ugNJuvY5g7smlsutX9h+9cv36zuXoLTTObLT79219YaLpld7xeLU9PQwhoUACRqCFi&#10;QvYsMprhMIx93+cpB45Nah4+fDyK6W5gDghKiCkAI5pZqRm7Q58j0KFJ804Yr6Fl8+rKJuK2bb7/&#10;W99zgD/7s/+Yc2ZmDoEIRbQSyInI2UvOHKhtmgfn5x+8/3Q269q2OT09Wa7Xs+U8hYYMf/aTn/6H&#10;P/2zT//h1/XSGlJEQlVLMQRMGGKIjTiqGnNEQKzwjxANYHm0vvfgPIICYgE/f/jOg/fe95Am8SFb&#10;Lblv27bkqYjmPE6AIRCCz7rZ8fFJSmEYDiCMSEwEi8UCEUW1lBIssLkDgpjbIUREqkYBtaaRAokK&#10;ICIjODooAGFAE0VG1K+7Feoeo2blaDmfMVlkYAImtAMtkxg1okWG87PjsGg3m+vQzIqUEEMtea5O&#10;LSZ0IIIKAvYUk1Q7aQgIJHc0hsON0t3ctrsNE5+fn6vq8fFRDBFAxrG/urhsqCnj+PjRQ3O5ub5o&#10;AppMB2EUwByY2EUNoOIdf6NlEkOKlWwWOFRpDgCKiO36+XwuYvt+KEU/+ui9Mk4vX70KIXz+7LPt&#10;budaFQZlYjgUjFDtbTscLqYO5NXSCDiN0zTmIpoIDdH14AXQ3/QGgMcQAACA/3/Oz++lrnn04JxC&#10;ut31kZAQTESmLByQ4pfPn391u9sqTsgIiGaEMGYRR62IAXAzq+B6R1BEJZykVHApEwNYdAwI293u&#10;xz/5CYmWcchjZsb1cv78xcupv03ugwo6q+iun8xhg+PNdhcJUb1WpRtiYQ8c2DFRTM2iNBevct5s&#10;ttbMYkMUm4OMWHE7AF4BRQAAjg5I6GaKZgeUN7gdDmVVISZRdVV1G4Y+MC0Wi3EcRMo0TVV7HOI+&#10;TxMClDyZi4MhGjPHWPv4copsKlOexrGvCX9wBQMFNSsEDMTINasFAJECLRbLrutOjtZHnfTbEht4&#10;9/zsb55fKpA6out8vnj85OlXL14NU58SYNfSvKNZXEdUjkft8vsffoeNVkfrB48f//qzR/Kj/Nmv&#10;f22uu83us7//+4+/8V5KFGJgdBWZtU1smiZybJQYTaG+VO4uarn4ftg/fwOiCG8AACAASURBVHlx&#10;tdmPAj7IJGbTKzk/7vP85cX1dpJBCR3H/fTF8xdx1kxTznJA39XB0Z3AnaEK0TWHgKqOoGI6DXuX&#10;PA3jm/aCgFJMlQ1zEH7uVmju4Egn9x7Oj59wWmbnV5eXn37+KUeiQDwjRGyaNk+5YuHyOLh71zSV&#10;TBpTmPJ4+bafppGcA++QKbWxadqbjVxe9OvVyfHpJ89f9T/92dvlfJw341Hjc0qBMCRzVREyL+aa&#10;BRLN0vx8vTg7Sst2tj5en2TtNr2vV/OmadqTa6U4W61Ozk5CZHBUUKgyjDubgoyaVZ1KEQBOTTub&#10;z1OKbddB0ZnhbDbbTXkq0nYNgblDmQTd7pJtGIgr1rZGOSp12czcK9iCHpyfv/fk3RDT3/z0b66u&#10;rtyVM7tZiAmpUkmNCMWk4fj48cM/+mf/2bc+/ni1WrZN2zSRQ+AmMjIDPzg7Pzu797Of/6c//8u/&#10;vLy6nM/mKTZqVtebplZ1MSJjjuCO7sSBiItoO58vjo7yfj+OU4rx4Tvvdqv1mAVq1sLBAZqmdbvD&#10;rKkCoKr0+/00DGWa0CwwEriUMg1DYFYzVWXmYHfPaaCaFQJzR0KmakuuPfCGyHXjVJ+ULmZk6OhE&#10;VknBh64vJ0JmCAyVo8AHbcEP93gmEmSE1XJhKe5E3KWJse06Jpr6kdBDDKamboE5UCSEg1/Vaoke&#10;AZBVxiYc0rKqcnNzw8zvvvtOHseT4+MYIxP1++2r51/NY7u5usGSz05Onj37Yr/r53EZm1bcAAMC&#10;oYOpmdakp1bYCzFLmZg5cChFwQ+15FMREXOHEBsH3A/TMOXUdsvVOjTt1fXb//P//b/dGckAKQRE&#10;J3Wtaajf9Lzebf1qlR5Ok0y5uDkYOMHBE1CbEQ5DkCPCcjE/ars4Wx+dnd/sp5/+7c83b68CopRi&#10;0mgxCtYP05evL67VhSJhtcNCMZf6PwSnSnytPw5h/U4IsoETBwhsIqlrTcrm9vby5Ssbx4aYEJer&#10;VYhhc7vL/ebe+siJdtn3+/Ht201WMa2MNXMDBAQEBTdGIkaHAMyxycg982AQ52W+wDhHDMGrqdHc&#10;EavtB5Fq5xkeMB9opgJOTKYKzkRBBEQQnKepbLfbPI5NCogYYkCClJr9brvf9TGQ5qySh37HjDHF&#10;xXK2XCxKnlSLaVbBoc/DsHcbkevhH0TIHYg5ckKKbqguZqgWauRwPlscLeYRtqKaxzJfLd45Wl8L&#10;KXEuw+np6fFytlnMYsORjIgmU5/cHFSEEdsmvffwneVy2XWz/vj4dL5Ohlhkd3Nz+2L79OHDLrai&#10;pmWSfb8IPG+7JhIFdDQCZCQCUqu2FL+62V3fbtQxq+b9EANJwBDToFQwFTMDMjFke/7ixfsfvX+8&#10;Wl9fb+yQxHLmYDUbwgTFHFAMA6UCWqfskkvJ5fpqw4Tztnvw4OG9e6eiIioAQIzB2AmBGSi+8+77&#10;89X91K1j27148xKDX769HMsE4JHDrOsQ4ObmehiHUjNu7jlnDqFtG3fJpYi4qYDtiUmsUXWzK6Iv&#10;//7zz8/un/7kbz//xT9cz1tp0/6ome4ftUfzZtlFxkKhQSvkrkZx9W53/tHi5FGarYkbM29PaTXR&#10;etGo5A8+/kQMKFB090rzrs5IAlCXUkNQam5MkFIsOceUFsuFmSDCLIXT5bzfbcvQz7mr6Anz7X7M&#10;Wmtd76oviLgfRwUs6nhY4FUOfnj06OFysYgxLLr2FsyKClDOuZtTig0RiBQwA7IY4uPH958+fbJc&#10;zE6O14v5EgEUvEKcGfH8wb1/9kd/9Mn3vjtfzH/05//x6Gh9cnICGMS8qDJyEald1Yd1JhIzA1FW&#10;SbN5ms2pnYPT+cN3ZsuTLFBEKLKbqyk4hJBCLIDEbG6ey0TEu12/2+2PjrNo7T4fS8n7/R4cmEO9&#10;SYc6cxwmOKSKVKtFW25WHSMB0ayW9jgAOKEhUAyAqqWQ3ZWSmRMCkhMBEtRndf2XGm6Fw8qLieNi&#10;sbDUeVFBZsbFbKZqIhKYS9Zp6g2gIthquhgPjyxCRA4RwR1QRGOMMTXj0A/DgIj73Q6hvrkYApvp&#10;OPZzjvNZt7vZrGZzBM5ii9CmbuZIiMCIaO7qlZtbfTKISIg5D207DyFM0+QExGHM5frqUlWJeJoK&#10;AA1T3uyHl2/eqOh+v3/9+tVuyJzaREEdsPIHHNXhsPf7usanMi+J68sq6jlLHfXqe6NuhIhEcHfc&#10;pBS75bJbrJvlSVqsIDS7/fDT62vm4GaH8Ka5Ow7mvbqAB0RwcjABFAJCoJrSrRwmRCQyAGRGdBcF&#10;DsZkiMJETqujo/n62Puh32xubzeXl5e7fkeeH54dp27+9u3baZy2291m26vZ16ulCrIDNHUj4lr3&#10;xAjIkyF5CI4M2k+KljOkhpgdCUPAEBjRwKwep1SbGFHUmNFFHN1dEdkUHt1/58m7HwIEkUlUkbAf&#10;ByZKTWqalGJi5H7fq2SmEBKUkVTzOJbtfjMO/WLeSRlNJi2Wx6nvt6r7UhS8N92DuwPF2HTdvGlm&#10;CKIOKt51zWI+67qua7sYok6674cYIJTptz/+KKzvYzv/9Ne/Ei83b14Ft5Pl8ng5G8eegL766uU4&#10;9eM4wnZ6vjx5+vARFCm2x6l0QHMMYxmKDrkfXr58CffPyFSGIZTJGUElR27biASqXoqbgomXolPR&#10;IipuY56AggMM4wRNutxO+wLDBMNoUgxRXPPu9nZ7dbM+OsJFZYdnJ3SoiQpiJJ84ooWGwIrI6FLY&#10;LYRUc+gppaOj46ZpEJEITRQQiLBpk6kiM8b27P47i+V5t1g3XdMtm12/+dnP/tPl9aWpEmDJRUph&#10;5uVyWZsfI4V6p2SiogRmxBXyB4EpxQQHNcMvr97+H//Pn/78V1/eTrwdlTxcBHtzrYtmO0/Scpl3&#10;YbWY3Ts7f3T/neX9b8bjpxjnFltRyHk/4aJd3c82uJX5fCGSTcWlVmmZ19yVBy06TaWIi5oDtCmA&#10;wx5gNp/PF3N3J4RIfn40L+MCy3i6nM0XSwrcpHh1e7NBl6kQhyam2ikeyceiA8AgpfLOwIGIPvzw&#10;o/vn96ah/+43PwhWvnz+wiWLQQ+ey8SBEK1tAhF+4xvvfPzND7s2TlO/2wQ0aNsuta36od2RAi7X&#10;i/lq/sMf/uvHjx+p6dnpGYeKuhSkMAyTWY1qUmBGJiKKTQPKLdPp/YdvLm5W8/XDJ08NQ84FORBR&#10;QAU1AuSYqgmzsv7cjZnHYby6vp4vl01qAGEcx0rC7mYzQCyl7Pf7gEB4aE1EhEpOAwInAAMjR/eK&#10;C3VQcwcgOLiGDQAc1WsDAiE6g1s2k7adhRQBsRYrHBQnotoFBhECxXa11NiWsfRFCUOIcej7qQgg&#10;qsjX1rT6IDy4ZSvdBbGGbkIkU0fgWTeTLHnaO3i/71NKqobITdMeHR0fnZwu2vms6Rh5eXQcFzNa&#10;dM16TjGJeeSD6mKmOecK3UM6jF0ioiIxJvC+btxvbjbPnz+vJI9pzMvVOovu+v5vf/6Ly8vL/X53&#10;e3sjDrFpgQq7e60sjK6iOU+1pa5eZA5bf0IwAgADmaYsonAY0w+tSAB3hlbC1KT5arU+OQvtol0d&#10;D+LLxbxtEjEaenFRV66vUQiIgBQQA5ormrvV8wS/ZhpCXZsTAiAzgaOBExs4xjCKzIg++OCD77z3&#10;fpjy3/3853/xl39xc3MzTH0T4Pijjxzg8vq276s1opIK6KDdAILXaYmsfqAO2B8CRDRCBCtl2u1L&#10;zhgix4jMHFNsWoqBEGtKtFa0Qm28rj19pYBDna7fefTk3cdPpDf3TAgY2D0QwXw2qzaKbjZrm05K&#10;LlM/7G6ZA7E5+HZ3+3x3c7ReTuMOIKuWYdgP43aaBrOSM/U9gRlziiGJZHOJ2iigG8fIi8UicAyc&#10;VFXyuB/75SKBlUdnp/effnN+cl6G/SCDTGXWJorxbL3y9Xq+mEfmq+vLQNyFRsahDOMkfrXb73f7&#10;/nbDgFpKSiHF+NkXX5jJo/MzR9wOQ0Ev05AY18slM1X3QWVxjlPZjSqmbdfptqcYAYOpF4XbYdqN&#10;xd0cDr1ZJY8xhtcvX4DZarlObdMPvboVt+rZiSFQiok9kpXBQLHkIqaLbtbGNGvbk/V6vZy76ziO&#10;wGhuFU6ITAggSIu2a+erplvMFktiXx+tnz59+uLF612/PxRXIIDDcr5wd2JiYjCv5BhVC4gGyFhM&#10;HdyZgJCYAxIAwn4Y/tPf/cPLN9dCbZkADLOm3dCz9YkGkF0b6Xvf+eRbP/jdJ0+/SfPTiedDQcmQ&#10;RfPoJQNhlHEDOYMVNzEpBHSg7oiqKYKVSacs45RFlCPPmpQcFot50zYxcqXzBfT1cgZ+r0lRFdbL&#10;BTEzQyBomIZhJMSmaZuYRDRE3vaT9dM0FfAKwLVZmz58/+nxctEzvv/eOyBZ8vjqzVty0GxSppii&#10;anZJIdJv/+D77z55h5jMbbvbSdHFQo5TrIMCHQRTYOJvvPfevbOz/X7/6vWbaRy9qmHE4zhVRcSK&#10;NE3TdR1zaJrWy+QIp+cP0uzL9fJ4vj7a7Uc1Y3QTJUJ0C4FiTCIQQ2BC29uyWbm7qG52u1evX5+f&#10;30upQSZwizGmrh2GYbfbXVxchDu522ug4gB7q0pOTVTLoY/kHxOD7ujICIRcACMQmBG6eOVF4nK1&#10;cncDzOoIoG6I9cwMTujIyEaxEWJkI4Wmaat/a8wFue57gQ/4ejB3E3F05kDEITBiYKamaWOIbdPd&#10;u3f/5PgslynUBlnmw8ImNg8fv9u0s1lqyaiNTYxBTU/ee3S9u90Me3UP7mIGgKIyHg5ndzOvu5Ys&#10;hHmxWDngME5TLjc3t8MwIDKRXlxejlMuWVTks3G8ubkpJQO4uIkcCtPqoMyMMYSUYs3uTNOk9rWJ&#10;rDrWTM2mkosUxAYRoc7Seuh1ra9JdUIy4nI+C016c/lacz5arxxNQCcZc4hkLXB1RwASIdBhH4JI&#10;8I9HC/7jXh2qNux1flcF9JSCiyLSw0cPP/jgAxzGl189m89n15vrIqUJ6fLy7W63v9ns6gbkcPU4&#10;sALvyNF3c1Jdv/mBieOECoRQsxemQIU5OCKHKGnEFEOMFCOFhKqAyEiE7GKBQEUBkNxcdZaa3c1t&#10;wK6NiRcLFZVYpjxutpsyTdM0mXo98ebzxXo5f+nWdcGgXN9cbDdXpj2TSdmPwzRO+2nqSykO6vV4&#10;NOcQkXgq05T7EJt2tgjcpZRSjG6AQMO4u3r9IlvpRzXIn//4L59sy/f/6R9+/P5TBXny6GE2ErHF&#10;vCWm1Db7cShl6poWHXTMw+3trsjFxeXzF6++evZsqI8Doti2u/3u2VfPxn73zafvn66Xv/rbv9mC&#10;sdvNzSZEBjARMRNVL1kn8e0kTdPOZt1mKrGJISXTw6qqNhlSIFNDQnPd7TaIyExNm+4/uLfd7TyQ&#10;qolYCiEAgU7kgk1SGdU9j6PmsnOcd61M47CfrVYLZKxsf0B0pCELpEgczu4/7MdpN1xe3mzf//BJ&#10;oHh6du/s/Pzq5mbKY+AoUtwgxWR3KHh3SzGZmnsBAAZGd6oyNTkgcAyAYKYXV5dvb673uRiGNF+X&#10;cUD2PLqWEgkW3fJb3/+tH/zu7z348OO0Os1eH0KublI7PZ1FvIhjUXJFdwQyA1Grlg9VNcMy6TiV&#10;aczA2KQuppaCEUVAqMJZjeilFE9Ojpqm/fVnX0x9v1yvU+DFvGWCoWlEtKLfY+SgpYlh1rg5+jC6&#10;w2wx++53Pjk7OQrgX7x8zi5PHt1vA/3y00+/evV6mIo6WVZ3zaPGMPvgww/btvUDiFPHPNrOgeD4&#10;5CylVL/CRGzmoQkppcViEWN88+bNzc3G1ASkQrAAQKacUjo7O2uaRs1QiDl0s/mDR++k1I5TFtVc&#10;CqlRsBijgzVNCiHu91s3iyk1Im3XTdPUlGa/31++vRSVo/XR0fGRuzNz3/c3NzeXl5fb7TZ47a06&#10;HCmICKZOAMjEFJAQUBxNwJ0q8tHdABld7SCHHBgxCGiuCoyzxVwMJjFwUMWqmzFjTACBMEYCcIqi&#10;DhBSTF032252hASIokZEATnGGGOqh3MMKaaUmjaEOOu61LYxxKZJiJhCUlMiNtPA1TrmahpTQiQI&#10;0q6PDHEay34afCdFyySjoiKTq4oZkbl5fe7XOociagwphJwVUYh4mvJut+/Hcbvdm0Fd0vTToGLT&#10;lDe3t0Pfi5RSMtGBClAPGCJS1RRiDCHe/bKKXa0eMqoLCFdwcZtKscMR73UAdACkegsAE5nGcRpH&#10;ArA8oUjDNO8aQHcysVI0sxWkeGiC+Q08xcGDVfOCCECHloVK4gM/BJoOf96dmd29ik1oRkQxxToB&#10;OeCXz74qRUUVAOuwoWpW22sOUKHDGWN3i04Ar8haP4CiUaQgIrO5GFQCpYiPZCm1sxklrPYT5kAh&#10;feuTb52fHY/j8OP/76+kgLtHx4uXr5bd8Wq+bmfzYRxZEMBqrsJMAVFEUozdbNamwIHAyuuLZ03D&#10;q/UMoJTc52mXp30pQzWYAhykRnSwIkisrkWnGBt3aztkAsTag+u3m5vnr55z2bvmm6s3Ly/7z5+/&#10;3e3HH/zO94+Wi7P1MguYcWRwNIqhD1FN510XObx6/vLFs2eXl29vb29fvrm8vb2plmhVjYGYebvd&#10;asnHq5UtFtt9D5IDwu12T4QAd92f5ioGFPusiHy8XufrTc0NIPOBJETkpsjsZiEEMzXDnIfN7U1q&#10;+PzhqXop7qqWAiIAmhNyGcb9bmfDPpppkX7cl3GKTK+Z2zYeHR01bbx3frZcLavwK2aO2nbh/OGj&#10;Zy9f/eSnv9zthh/+l/+y6aIDrNZrB7y6um6aBoC6ZiZWqF5r/QDJJWZUcXOHQ0YMHQENidSNAMaS&#10;X19cjLlUMwjF0PAMJGNoJCckfvejb//xv/lvzs8fMDV7D6XsgWrPOnNADMmIxVAN0dAN2B0RxKyo&#10;3hXLaVErWcdccpbYJAoRA5MiBR2nya1ed80Mmi4y4XzeNSnmaTSdI1gKDE0Cx5yz1zW9SIUnLRfz&#10;ovuQYjefM/OjB+cPzs/6ze312zddpHniJw/OIlkk+PUXzyaV4pZCMNNvf+tb89nCHAnR3AjIAcZp&#10;spvbEJvj4+MYYz1gEJ2AquX1wYMHZtb3Q5Hi7jlnAnS3ft/Xp9Dx6QliZR7FcRzXRyfTVPpxnKac&#10;S0lN08ZUY2rMlFKoea6uW9T0PQCIyDRNfd9fXFzknJu2qc+Nq6urm5ub3W6nquGuHaf64n7jwkkV&#10;++tmDgGrbliLYIir0gHVY1azvZV4bEipie1sRqkRcDArYswUIkdqQmhDk1LXzlLs1sdKjBxjbFPT&#10;SNF6UAGBeb2CE9TdD0CIqV7GSxFHMPd+yrthHKexTDU3Q1UZNHcAyKVUar6IZLR+GgMGFPUihN52&#10;cXW0qAYrBZOSVWwcx9p9pKpVYTOFYRhyVoTw1bMXu/1+Pwz7vgf3wIE55lz/i4IAKkIEtTrJCe+G&#10;VldVVS1evU8eYwwhzGYzApymvl79q28CAMRsLKWoBfB6Chw6JYEDM5iVMjlgv9u8efmSUpM4zmII&#10;WFOBpAQKmiV7igc8NVQTSG2ThLsrBDq4qhIREpqjAaBDDSLXOgMzCwCuFogBUETGaSw5mxkHEtGp&#10;lEBBD6Zwj4ndasPoAYUOtRytnov1sISDQ/NQPkZUK6NNDFCICNicSMB1nLAUbzIQmrsZAPF0c/u9&#10;P/wDM31y/s6vPv3i57/4tU6lCbMyjTfZmhjNTNRCiOvVGnFVP9UptG6qpWiZVI0Jj9ar1erDzz//&#10;h+dffT6NWyn7adyZ1c4rdau2i8MTnDkqmGpd+OpCdLO5GoZds1oM/W6zvf382WcdXm+vvtzdXjft&#10;OqSLz3/1y2+9/2S6vfrl3/0iNTOmZjZrmyYtj1a5lGmadk3z7Msv95tdSu2nP//b2+1mUr/dbtEt&#10;hRADtDE2NDOJKfJ+v9dhqOuo5Wq1u91NtcVZq4vdEAhQgSKYLrquqF/tBkMiYtHiaMwMDGAQUopt&#10;+uaHH52dnhytj568++Tk9OjhO49j2xRVJiYMqtpy/IdP/+5//9/+1+128+79s/H60mJU1RTCou1i&#10;5PV66e5qZT8MCs7M4F7/YczlF7/85Qcf/9NPLF5f3d5utufz0+urq9TO3n3vPVX5/LPPd/td27Qc&#10;qF5PDxOwSpaSRXKZRplkEhUxNZNsAKJKseE4Pzt/h0I75aJgorltolpBpuXR0Z/88b/48MP3Fyf3&#10;LLQOYRoKgss0TsXUCTkSRw6thtYwADA5m4mJKLiKiWoRyUVKkVy0FCuqVsq+H82tol9qT7yZqlr9&#10;UogocWjbdhim2+srbhgQmDlFcPOsk9fqMIc2JUzd8en56f37Dx8/ury8/IPf+70H9+5tIx+vllgG&#10;VyHUByfr8NHT+6fHX7549fzioqh855NP/uSP/7h2hBocHtLVtJdLfvv2LRGdnJzEGL02xB8yEYGI&#10;zs7OAODzL77cbLbTOOZxcrOcc+1vBaLlaolI7jBNBYmLjru+l6KO0DEjk5lO01RjN/P5nIiapiml&#10;lFKYuWma+Xzu7kVK3/eb7TbGYGr7/b6UenfkUOMtXysaCFjH0qrgEEFKASMFtMPiG5CJIrKLkENC&#10;RDVQIwDC5vho+fD+2dMnj88ePOwiL7rEiDGlpulSamNKIUZOEQLHpnNiQEZiZkYgc0NCdc1S1DxP&#10;Uy6lqKnqtB9KKVJ0KpKlqOo0VMCa5JxVtb7fpUj9m2idMhxyKRJI0KGYTZnNGfWbH72fzQIiMU3D&#10;1Pdj4DiOQz0uKsUZkZUgFxn66frq9uLi7ZTzOE1FxdWYNUZXVXcxMyasH7u63T5AogDqQ5yZKwKg&#10;nl71+oCtmxbVIuhYq6qBcpF+KqNIQkQDMEev7sbK9gcTMZ9ubq6LQGy6brGcpTBrUrFsKsb1x1C8&#10;A52pmZG5oRGCWy3HRCCvVgA3qjU0X1fPALg5Mh5K6sEjhxrAvby8vL65DoGzFgc0hyKOxIjkYOJg&#10;dVF3tzw7WBjqiPs1ZqjC5ZD8sOms5ygC4GEGhlrwaaU3KBpiENOcxQB/9bO/efrowfe///3f+vYn&#10;ZPGrLy+1lMWiNQXGmHO+vdmoGTMT+2zRzbouhtDENk/55vqq321ub6/RS+CJw7jbbcZxV6a9lL3o&#10;BGC1kxWx4rrBDkFeIXRHK8XNJHB88/qri/NHkTt3Gqfx9cWlTy/7m1cR9N75Ow/PTk7m7eWLZ6LT&#10;pz/7axFfLNYxxuOjo+PTk/1+3/dD4LDZbFOK7fHJ8aJlstdXb5vg8zYxemQgk7aJ7aJLMc5SbGPg&#10;k6NEmJh3uwFMHAnY8TAPkrkzQmTkQMsuXW92df0JboBUlSYAD4Qcwr/97/7t2cnJerlMKc3nMyBo&#10;uk7MmNkUYoiay4Pz0+3m+i/+9D8slnMYexB198iha9uubeaLRSkZICHSMI6ISI7dYhFi3Gxvf/3n&#10;P/rDP/rh0ckDQLq6vlgsmrZLHJrTs3tPn77/P/4P//1nX3wxn80Xi7m5TtOUJYtq1vrNK5OMpRSp&#10;G3ZVkWLV4ws7jmOar0NSxKglpxhK37cNN03z4Yfv/c7v/mAx78xKnvap6ZyEENlC6fthEuTISIDM&#10;qaPQGfYGxS2bWHEVKaXIdNAwNGfJkxb1YBKGAODVLlSFh5JLVZh9mhCplDGltN/3Nzc33aKLKTkx&#10;ACIxhWgGyI5mqem69fF/8S//1YN33g0puemj+w8IIQZ+cP/s8qtnzKAAXvRkNT8/Ozm/d3ry1fNn&#10;z19899vffu/dx4GwHAomsK45DYwAh2G4urqKMVaGJBGZKjJpUSKcz2dE57e3m83tJuexALh6vfWK&#10;CHEMMaXUFsml6JDz1c3NZrNBovlymdVsHIlRXR09hDCfzUTVwUOKuZSiwjHMlwt1pzyZ6jiNju00&#10;TlUKAoAYY4iVXY21YYQYOTIF5iamGELXNE3TzBbztmvbWbuYL9r6K6V6JQC1g8pmjuRtE+dts5g1&#10;DRMjJA5qQkAAWJl6o2iZhqIiduVAoiai6FCKMFMRNXIFq51uRaTew0WtiGQRKZpFzKxkES2iORdR&#10;kSKWy1SKFNFSBBGRsIg4oBAaA6qTaEKcRfr2d79VJzMTGYdh6IemaYdxLNXgkouZg1MpNo7j7fV2&#10;u92WIof6NVWmg+RDxKWUg5nYoWIF6vtnZlWoBQAzo8Of8UNfbIz1/FcDUzkUIgNm1TGXoqbMAfAu&#10;xQ8iVX9yQCSrBMXbMI4i0jCdrdf91I9l8uqCsbuQH7gDuoGCW23A9hpHIqJ6pEENEwG4OVQ3Mxzm&#10;UgIVRADVvt//L//z//TZ3//9lCc3q/YqAPK7t5VCrGhuIAYkYvp6Kj4kIw8rJA/MTdul2NRXo58G&#10;HSdDYCA1r7JFzVqKiauZsLqVUorYHv3/+nf/znL+k3/1b06Ojs/vnafQAECMjSsAQi65adoY41SG&#10;vh9vb66HvifgwGHo92O/G8e95P00vu37t3UQMRnAC+LXfR2Hg8/NCdGBABzdkUx1VBMa+MWLLxaL&#10;NRjPZqvr60tRv77aRMCzs9MH9x+uFvNZE/rNddPQtz/8xm6zA2B0ZMn91aWbwTQq0JzRTLZXb1yG&#10;9bJN7Xm6ub24umXQNvKsCU8eP5p17duLi1evXp6fnZysV+xepoEJPAaqSrCIFUUHolDEupQADZvY&#10;RprGCWNiQgdQNQpc823f+e537p2f3T8/Pzla1wuEuoErIVSrbslGgCenxz/84b8+O17/5C9+FGOU&#10;lBo3N9/u98PQ18BK27WJkfhACAyB25Tebvtnz54NUw/QNu2smzVIuOhmTMkpxZDWR8e3210/jNt+&#10;P+vafhyGaRSTsWQREdeDtmlWWW0G7uh3MjE2XadGZjZvZwimphHpvXcf//E//+er+RxBZRoExjz1&#10;s/kKHTk1XedT3o/j5Obk2nCk2Bo3kgdXdMCcs6iUUkFRuRQtRfthdzNDKwAAIABJREFUmiZJTSQi&#10;d+VQcZ9YiX/108tshOSA5paaZrvb395uOCZDmqai5sREiIY4X65D0z169PiT7/7WYnXkBOhIYBcX&#10;l/3muuQM4G4aEBgdynTx9jLNFk/fefTOo4ff+fibbYxQb7F30MyqLNbv7263CyE0TdN1s9pAiO5E&#10;KCIhHPYxKcX9Xk0VzEOI9cs5TdNuu58vab/vr29uP/v882GcYgwnpyddN9tsdsTEGJq2aZomhBBC&#10;MHdR5RA4hjrEhBhXiPWWr2bTNOWS7a4YO8YYPn7vXXdoU7Ocz1NK827Wte1iMe9SO+u6GGLTtG2K&#10;IYSUYmoSMRPRIc8MiO5cV/GqippzlpLVYTMOWoqp5ZLdXNVFtRSdShao7C53QBMTKWhQcSy1bEvc&#10;qharWomhbgaiUo/GXMn+uahr1jxOIyEhcpGCiDkX1cMWwxAJScAVPBIH9xmHQCGEUFFgeZqkFDdX&#10;lVzymCc9qLGiAqo2DNPtdjv0AwJWDrmZgXuVIKtpGxFVrWpZRPQ1GPHQ2VAJRPX3iOpYUwBTjCk1&#10;aiCjWZ0fHMRhyKKGYk5A5qDuB3LNwXmBgErsU9YYi6iB42q+YEQCVJM691ScIphWYBEwqQvf/cS1&#10;/ReZ0bGC5Wvs8+ACByADRgAzZtptt7+4fPvTn/xEcwYAlTrIcq3rrMdVhbMdZhdCCoGJp2moodL6&#10;bURECrxarcxBTQipbbvYxKvpQk2RK4dbgPCOxWAKIsp1DkO1PAyXr1/99K/++g//4D+PHM/Pzrtu&#10;PhYNLZmpms7nsxASIpoHQFDRvu/HfkTE+ayNEd0oj2W7vdnt3o7DTsoEXogOMTC/2z7VJdVh3eiH&#10;l8zdECTnPQK/eP4ZQTi/90hkJGYKTUo0Xx2retXiCLqIcO94sWi43/X9brKcRcgAyU1Kybk4wG7o&#10;t2PfLOfHp/fURaZx2TVtosf3zx+dn19cvrl69TyozQOjZHADLSkQqBlAahrwaEXrNNok4JiQozic&#10;LLvdMGJNQRKbaQ0/tG37gx/84OrqKgZOkbumrX/hqioDIBiYOQcGh3tnZ7/3+79vU//jP91MU2ZT&#10;twOyyMA5xJSaEKiqqRw4EKUQ26YxlaHfhUQsgQlNC2JgQjEtqmfn5yHFft9Pecql0taKuin4BC5m&#10;QIfr7iFxZxhjyFPW6lhBJKIplza1jMRs6+X6ow8+enj/Ide3rpZbixcemRiJESiEQEXGkl0ldsko&#10;YGzLyABsimoulciutV1KVE1KEamaGCIjCxIROKiKit7dnoyJ/S5/yyGM41hyTxR3w5RLQaau7WZd&#10;N18dnz96/NHHnzjwmEtqGhHZ73Z5f9tvrre7nZpW8YEJ3XTY76cpc9uenN5rAo27PTWNEWH1whDV&#10;DkTEugP33W739u3boyOLMaTUqNYfzM0MEZgpxpBi1MOH3EOgECIi5pxh39/ebl6/fn319np1fLQ+&#10;Ojo+PkWizW4XYwTwtm3vCgCDSH0fiJkPGjtiSgkRzawqQNM0mWjdn6BD+G//q/9apATiJiVwaGI0&#10;1RiCOzCRFLGa4BinYd/vEUTLVEp9aDJyrWUhQEMsJlbFfQetY4WZiLrVIjcw81FKcc2SVU1ERcRE&#10;85TlcDK4IRiCmtYnrH+tt7hX0VPN1czNBExd1ZSZmUiREKEQORLSQe0zRHeraCs3N6bl0REAupuL&#10;lTFrLmBuaqUUM5tyFtGcSwF1x+12u9/3df1Xw1j14yQiXx8fdz2H+jUpua6yTA3unNZu9vX7YbXH&#10;hjCG2HatgY05q6uai3g/5j5Lg4zsAGAGalWvMreD5x3IwCmIqnlKbRMTzSiEmPNQIyeuSuABsDqi&#10;UtPopHcOjQNOHkxFnYmRSM0QgJjJAUwJ0M1IpGT703//76fNdhwnJnRVJAKzemDWvx39o2cvpiZV&#10;MnfbtiV325tr1UNnjJotV8uHjx69fv267yc3aNtutVjutrfTMBYVJHI3E0AkdKjxrlqoYu4MaCak&#10;8Pr16x//+K8ePP7gwYPHry537eyYQuiHYSoZmUQVEWKKhGDSrparFON+s91tb9ymNoVS9uOwlTKa&#10;FDCtXewBA4cg6uJ62Eb9BtyjTlQENWSkZtPV9WumQGgPHrzTpm51dDprdMjl5vY2AiVmJrVl20RE&#10;MHK5eP3ciQHBgESl5DKMo7tNItzEZh67jr+xfvju40fnx2uXqQuUh/HNs89xGk+PjhKC5myuYLqc&#10;dWPJRXC2mDGi5gLqbhY4INVMdxTETT9u9r2ocWpiCIAIiN/61sdP3ns353x9fUXojx4+CszmRowV&#10;hFW1U1WtO8Gj4+N/8ru/k/fbP//Rj/b9vouJmUBtuZh1XRtjMFDJRVW7GAMTMc26JkbOeUTuzIQZ&#10;i2gtSVEVQHjv6TfW6/Vut5OiOvROfgjNoYcmuggTEDio1RpINEspmbuLI1POU0U7qSkyxsg/+O3v&#10;f/ObHwGQqZWiZkRAAJ6HjMSAVEQRIQYewcdpSpEQo1PE0JaSRVENcilTnvTOR1aKaVXXR1XT2MSD&#10;2+1uX12Ld6tn0gFDjI4QUoJctpttTIAcIydHWB6dtG37ne/94Nvf+97Ryb39MMFUmqYg+u3tZtxv&#10;r99cvLl4e9SGKedxt6sH+Hq52ux225vrfhgdYHF8kubLbrVqZl3TzkKMNYfEHAG8GkNubm7GcUwp&#10;nZycppic69XBqr7NhG2TPIXK1sTDd937vt/349ura0B6+v4H7axLTaNqrtJ1LQeWUursgnjIbhxA&#10;gYjMBzpfYEbA+qocfFKqdNiyeFh3nUh0NXTI09TvhyJZi6qIA4iom0ldhOSMgdUtlwyIooqAqmqm&#10;9ZaqCEhUilRXbb67FEgxUak72LHk0aSoAGHVtsBditSaWAOTg2IPkYLdPa4PuW4zq/dZRGQWAyfi&#10;1JibAwOzmXtEN3emutSpHqcKHKyOgeOTEzMz1yKSx0lFALgeANUXYQ65FFdXhf1+P00TVGkLwMAA&#10;oHo9XQ/P6zrHVznocFVH0rrtBnC7OyAN7kKUoO5QLXQxpBQdfMquDkVstx83u6HBjhKSgQEaoDmq&#10;QWXaIyCYm9WPgZlB13KKKTVpmthUHbkgRIAAqk6BAExRBUxBD1GrevWpKoSLMBHWPi61QIQOMgzR&#10;7OLNGxkGr8PlgVd/h1CrOIDDLQmbtu26TvxgZOi67r0nTz79u19ubm/NnQM7wHK5PD8/f/v2bSkF&#10;Afth73AwGtRFKCKqWWCqXR1wZ35zB3QEcSYahv6v//qvfwtmT97/xC/3s9ncgatiQIEDBEQg8hRD&#10;k5q2bad+z+C7zVSsbDfXm81FnnZSRtcMrgBeYxfMXG3blXcCdrBW1mMFDhxOJ3S3Mg7bm5s3bZvO&#10;Tk/PTk9vNi/ESfP/z9WbNluSHNlhvkREbnd5S22vlq4uNHpBL8AADXAWkRyOzEQZqTETZcaP4j+i&#10;/gb1B7SYaUSajDIjR6Rs0IPBNmg0eq296t377paZEeHu+hB5X7f4PpXV8upmvsxw93OOn5O3cGic&#10;94QiwzC2dUWLtnGeQuX2h/7yah3abjafz9u5672CnlXV8uxkfnpyfusmuUrElm2d+33cbw5Xr189&#10;+eakm8+roEN/TM2Crq6cpzFRXYXgvbgkOaGCY54UQaEy5j7G33/+5TaOkowgGBl7f//evULJDsOw&#10;Wq0Wi+V8NpsM04p3FpMWtBFRVMjRrTt3fvonf/bN4yeXq1WC4ouXU044Qkokmm3KXptEjt45IhrH&#10;MdSSJXpHVAIJRcHAO75x4/zBgwePv3ksKhKNPHvvKXi1HEJATWjKACZqKZtkMnMh0DCwGTHGcQQy&#10;RJdkBMIQ3KO3Hy5OF9kyTOG3DgBEMwhoFtFkpqrKRI4p59QPVBMpeQytjsOomMZ8GOI4RtWcUk5J&#10;YhI1TGIl+64ZcxG0QfF0RxK1lKV4n4gBK8Sckyog192cOIhZ287efu/d0+WJqf7o459e3HtgxP3L&#10;y2GMOfdE0B+Gvh+uNrvValOddDIOm80mxUjkzBDMEEziuL68HGKkan1TL1QW4zCKWlXXzgWzVdM0&#10;ZZ4ossOqqsZhqOum9NxqpiI5x/msK6nBwzAMwwgl0XFMokAc2rY9a2dqYAh1XW13O1GdhABQAoX5&#10;aAuNOqV1AmN5dqjcXlMoIJUVN8PJYgXdb3/zu0JvElLOyUQRIacSBW0FEok5JZMxZkBIpiklK313&#10;SXY8xjsKGADkLABE7HOZWiQX3L78r2POkUxMXfBZJaeEx6aRiQxZzADJIxl7O4L35SNbef0nNQUo&#10;ABGh42kXtzjZACooEgGgTZnYdH1OGGLdNGqWUsKUcs5mpWBMml1EzJKGYVCxoR/HcSzYl6ioWXHD&#10;ohIpBIAIepxqivexmaiqIR8/OB4vHAFARK/xIjWLkgXEIdVVKKBQSnq12b+8vGocea6cIhhmBckm&#10;plm//VYAoJrGmEUNjJq6rarK+85EDGhA3wUX+pEYjWC734LEIqGfZqpiqIBkZXYp7kjFfCfHnGS/&#10;XlHO+6sNq5IqIqgAO84pc+FvDAryh0jO+9lstlgsXq9XAOCcjzHdvHXrsN9uN5uiGyHE+XyOiOM4&#10;lt4n55Riya+9/hkBAojk6ZSHaS2v/F8iABBE5OnT57fvPl+c3e+6eUqioMSMSCF4Rw4AmqbyzKV3&#10;QZXTk8Wi4773v/n159vt65x7kwggEyJWEmiYnPMIWBK9BVGSHgEzOE4zCAoGAkgpDlfr1y+eP2nb&#10;VtUOQ6wZx5QOh54Bh9Rv+21T83iyWLTdnXsXV9ttYrv/xsMHb765XCwlS8oZCZFxTDGrSh5TzAcZ&#10;IQ/jYSdjn/pDe37mCGJKeIwoYMKADmDS8aJ3oKqaESB4530g54Dp4Z0b282l5riPY8zJXFURhOAB&#10;oKzI9/3w8tVrZjebd8W4pIQLYGEvyxun5n118eDBn/7jf/z1429ePXuKklFziqN35JiZKYRQV4GK&#10;6bWWbZIcY0SiEsJQlnCKKtVy8t798KMP/9Nf/7WpqqkRMoD3joCw8iSoEwKFRgpKCGpYpBdKiDlF&#10;YmKP/Tgq8M2btxcnM/JQJOnEruQGIWNROhWZsIgE7wMRmh0OB24bdsGkwtAqb3eHoT8MMUUwTVli&#10;zGPMSTQrCFAaZJ6FCEEFEYA9TV5jk0+XmCbJQxxzlvnJcuFrI7fvh/Nbt3/0Rx+3bZNSni9PgIjY&#10;NU07RhnHwfEELxNzP467HZCm8tj3fb/Z7lNK3bybLWaBEXIWHFrvb52dRrEx5UM/PFs/f/Lk2ZuP&#10;3gwhlCEjhLBYLEpDXHzASrd34+zsxtlZSmOMcb3efPXVV2YwjrkfIqI7v3lrPj+tmzarDXFomibn&#10;NMYYsx6P39KCTE2WitBkZW9qSlQwHNAic5p4XiiVCRHdp1985TyXvraYnANgFhExUYkpI/GYY7Kc&#10;sqrlXMAaUxXNIkSgiirZOWcACCRafD7K2jaJyvSUERHgiCBAGdGIMoKoMBEVLGSKkzIFI3TEvgi0&#10;DFAkG1g545GpXBsyA7EYIk9eNABiBQnS72yLAhjA1KDilBiWc7IYc85Fw5YklxgGVT0cDinnnORw&#10;OOQsAGZgOSckJFdAz4K5TeeTSNmVLfzKpKo9Zg1NlfVaJPwdVgbAwEQLKYSGVlnKuR/Sq9frWeUc&#10;QUBB1ZRiCbuW6UBHQGLEbKBaEBwGQKywrYOvAyKz0o3lbFQY1e2HeIi9M5lOECZU0GnrxQiIEDWn&#10;gn2lMco4pr4fDwdMidVQ9agBQNNiccEy8RXlooyIQgjF/C3lXBwjXrx4UVV1udtVSWQZhufPnwPA&#10;bDalMTJRXc9yTMPYk2OVAtfoZDJXFNNQxKxybKloGEfJaoBt2+17SzmJKBGlGKONzM4H7veHcRhN&#10;xUQYQUEOu9XhsBbZqfYGCVBLXvJ1/XDMzrE3E0njGIvAbcLGJi4JzMDEmEEk7XdXTx5/fXp+fnp+&#10;GipYNn79+Jt+GNHAicfh4BiGYYyn6Z333r39xr3v0/u37lzU3YydMzVJKefU973ut/12V7QqAQNJ&#10;Sml0DuezxjOpCSKIips0I+aI1LmYEpgRYkzRRB07IipmHmx5FvDezVNJ6Zvnr80saTw/vbh58waA&#10;EXHxV12tr6qqabu2ODkgomQlZgBQUyQyFSGkEN774MOf/vGf/NX//r/KKCpqYjmLI66qEIInwrIc&#10;oKpXm+2h77Ooc8EMgBjJASCSQ1M0dYQPHzwomw0iokwpZ4fIzmUCMTRgUDVUQ0QiEBWA4n+EJcwR&#10;BY2JoK7Co0cPnQORRIZkBOjAQFSS5JRjVgG1nJKkSCZk4Ag3u75pGh+qlAaqWt8ulHxWGqJI0UlH&#10;SVmHmMzIjFLKhyjBM4qWxUm2orJHIospJ9FCDwMgecfeGfK9B/cfvfX2fL6o26apG2CKOZNNuS85&#10;DnYcqubdjBAPh31XhbpuR+gPh7Efxr4/KILzwXnPxEnSfr3aN425oEDr15fb3YGQCr2PiN77qqqm&#10;LWAz733btsxcggMOh93hsAeEqva3bt1UtdVqM4xxjONms6nrbj5feHZE6L2vqyrldDTmIkelbE/h&#10;wniUiRYa/9oXuBSYok+7Hl8AwP3m66/ZESEWrTcRggISKRS5bSYXDARAxEA1l6wUJkSArIYGRATk&#10;MiARl8UcNVSgoinKANPxWj5KGTaKySIiFfoIOWcp6y8F0gIgIy57E0AkBbIoDiFEJXqcS9uVJ43J&#10;0Yxg0k+ZapFcABkczxIsLENZT8kp58yeHJNmEFEAOBwOu90OgEoQcsHNyiqqdz7UXjVrLjlCk6qL&#10;JiHohBLAd+h9OAoBpqKiWv5awfrAwKhImbEIzIldHMf1Zvc8IFmuHTKYZlHT4jlqpS8AZKLJ5hTA&#10;oAdCC+Y9VKEuQSOnsy4ZrvfRIkaHpBBzVgEwnT4yQBFVIDGZakw5pjyOOcV0OEDKlrLDabjMIkhk&#10;hohczG0AFNGOd1qYaRzHcYxZpOyWri5Xp8tlwWpPT093u916vV6v16Y66zoiPhwOoFaHqvJVxMEB&#10;JVMQIAOddPKIWqTMUMxOc84+YEopZ/WuEqC2qYYY4zjWdT0Oh8PhUAj7/XbfHw6Wc3DIlOK4e/H8&#10;cRq2JgNYBMg0PZSIQM5xQZmdY2KMyXIuW2loSgBYxlI7GqSpquQcDTdXlwr55r2bp2fz82X7yZPH&#10;+35QVaeCDkVi3w8pyz/6r+8tzk7Qe1/XVjDkQqUh2BiZHSIamKJlFVZRMyI8PT2xyb6BxKhsF5ay&#10;ToSSZYwRDHKMjriuwABycZ3OETWfL7qczvb9sNqNyO7dd965e+dOeUdK05NSvtpslieLxWJWoEgk&#10;IqRSLQjJSkwEYrtY/IM/+ZPf/uZXX//hM0PDlFGPy9mqKpJFRDSLXq5WwxitFAwxJGb2asjkzBIj&#10;1t53bV2FEGMs6p2cUkyJXSVqUjhXRCjP1pRqeP0CmYqAM1Dw5G8sz7/34BFmyJIcOwJKktQs5zTG&#10;UUGYXPl3oCKpgBmaUkw511Vj7NFb1c2bbpHGeBjimGM/5JRljDKMCckBgA/VmAxAPAIZFrf1Iqgv&#10;KqSUtR+GlFI3n+Wcsw5R7Gd/+l999KM/8lVTlquLchcwE/uq8qknkcwEjqlpqqauNi8u6/OTWdsS&#10;4G7XE5IPQdUOh4MPgRCz5qfffP3q9WtXt6Gd7YfkQv3w4Zu3bt2q69rM6rouQJljLgrVxWIBAN98&#10;881nn369Xl1ud5vl8uTOnTt3795t6u7k5FTNvvnm+ePHj5tmfn5+U0Q8c+Ffy5hSTHEQEQzK8oPj&#10;oKoAhlAUpqpy9LUtB0Gh1Y96WlV1r8eBExEjE4kII5mBr4IpAmIGZLPARGA4NUqGRFUVqhAcOWaq&#10;qzqEipmAcHs4vHh92Y+J2GcFAzBiK8c/gkyDJpUgRcayb0d4tLSY/gjLGASGmFXRVG3yfwTEQm8A&#10;gogSMBYnxdLyKhQjMZVkZoxYcn8ATFWKh5p3PEGtKWYR8kDMdqwKwzDEmEwxxlhuU1GFheC6rvHB&#10;xzQam3NORFPKACSomicW6phYV97Xsid/LCpmcA39HJULZQeTEJg8s2cXEDHG/sWrleXYeKoKnMQE&#10;YAqKxcUTwDk2NVe8D7KqaYSIpKhijSmHLrjTriWjBnnWhe3Yb4d0GFIpFYCTV5iqgmkcR82Z1AKR&#10;ikIuOlFDRAQ0NaIy0U+Qa9EtlAFaRIlySnEcYwje4jS07fb7OoSSsBBCCCEUAhABcs5tEwhRwXKM&#10;bV2TWsq5qCcmywg4Hqc2jaIiQuTGcYTs1ldXr169orCoqmVVNdFVTGY+a6OScoyJ2TV1c7W6jP1A&#10;NB52L3fbVc4DQEKyI1lZcjHIOfbeOefZITMAetUgSc2wJKMXmNOOVAyU4VNyjP1hZ0PfxhiG0c2X&#10;y/3l6jBEzEqBVdPp6emd+28sTs98XWHwUQQQlYo3LKJzzI7YTecpoYIWjaYiLhbLq6utIy6MasFw&#10;VVXFwDMTJ5FCqDI5IDIEBTDJIgkhB7Tzk7nigy+fvpqd3/rRRx+1TV3E9MeZDA6H/tWr11VVAilK&#10;0ttRQgcoBg7JEADx9sXdP/8nf/Fvh/7F028AgBRBFQvCnzmm5GKEVK82m2zG7NAxwmT1K2puamGh&#10;Cq6pwqOHD3/xy18RgopIxnEYKs/guQBtE4aMUJaTjoKLklwjhECAJHTSnS3aZRoEJCfObdVmgRhj&#10;TGPWxB6J+EgSF817WVXTYRjqyvuqzmYUmm5xLmKj6JAlHcZ+zIchpqyiGQAe3LjfNDVqknEAVURT&#10;LVCKiWoWjSr9MBqAr2okjklOzs5/8P77ty8uUhIoYmoRVVAT59GkxCcKIjKxI17MF1///nddHdq6&#10;CnU9m81SllyIbVBVGccBmIb+sN0fKNTzUz05u7neHX7/+0/Xm/Xt27fPb5zPFwuYaAIoY0Tf9+Xw&#10;6Pv+s88/2263D+7fq+uqbVtYYte1bz56k7n63e//MIzDdnsFSMGHwBRjIqSydIzHDrrIQJxzZq6s&#10;ajA71YJcTwx/HGMcxxSTqBx1AeTQBWA2tOKErEAGaBwMjRExq0dsPXdVHZw7WSyquq6rajbrmqqp&#10;68o5F3xo2xYRjfCrJ0/+0yd/++TVSpAUDWyajYqqS02AkICB4MjlU3llik0yEiNgAfEKWVT+sHTK&#10;5aApSDEhW4HeELB0utP4YARF+GbsyMrsIlpyCNhhE3wa+zxGFcmmFSEiimQAVMXivZFSyjEjTqaT&#10;RNQ0XQheTR17csjMk+oN0ERLNPL1xDKxX0e6BSbGaPrwpXdGYkAwtZyNCYiQidgxYn2QtDvsRKXx&#10;3IVQee+8K1SP98XnUesAhGhkaoKQFUxQkRDExqQ+NMxhWfkKKdaSzPap2RyGzX7oY84AWUzERM1X&#10;frfbU84eMas44pgziKAIH+kaA0AiUy2qRzOjojgqyCcAGGy3O2bXzedl+a4wvS9evij2fIfD3nuX&#10;c5SMIjmO0TtPSKIy9EPXttVJ6PteTFIekAixdExcGDVTZVATVXIK0cxt99v1Zh0qGnvoOq1Cxaig&#10;0lZ1TLnvByXzlcPlYvV6v91cri6f9sNWdATLOMUtTS8PI7FjYvKBvSMAZXTedcOYJENMCRCO2g4q&#10;jp6AJiBkmrPF0daXr6qaKgcn5zfRcHt5lURtiEB6/9Gb7/3ww0wIZp5Ic5aUeArpU0Rw3hEVdmxS&#10;JaEiI4ti8D7nxMGbTgAvIamqgqKCc+zMiQgwE5Oo5BKwLRklE4qlvGhn88UixnT7wd2H9+9QcVQQ&#10;YZ5YyZTG1Wp1fn62XNaaBcrbZkAlKx3ISpKFWl23P/34p5/+6levnj0lZw4YNKNp1owZQ3I5BTaL&#10;2YgCMiMSkxIgE4MZoCIjgBJRXdUffPDBb//+U4lDgVosxjx65lpKVldZ+Zq6NJro5eJNCKCgiIqo&#10;XVuZqklhy/vTk1Mf6qKAMdWcDMF5doUfLjYwgOjY9YdDU1WLeZswCXo3O6nVqpjdYTA67PttH7Ma&#10;9uNQt+3pjVttXe82q30/ZDMAizlKliw6xmhIQCRA7NxscTrGZKzvf/ij27cvVEFEDUBFkZzmnEXB&#10;ck4JiiOAGAEx+/nyrB/zenuo6yY4DlVYLudqmlVTigYwpozqFCEbzNpQVVVVBdoffv43P0fHd+5c&#10;PHj44OOPP14uF7NZJyLMpCq7/c57Xp4u33v/PQX5+Sc/98ET4XZzlcY4my9u3L4zXywVre/j1WZV&#10;1S2zEykSXQRDQkYEZgaYEjMMgdiRAiI5dprNQBFQ1HKW/f5QQoGRULUEkqBj551zZQ2CyEoWjCii&#10;AiJ0IXz07tv3b9/oAlXezbq2qZvgXB0CInnvSo6N5EzMhsqaftc2z3CVRNSYidCQVMt8r9OqNFqJ&#10;kbSS82HMPBEnJfNcpVSjafw4wv0T9GQTvnNsc6apv6gNAIAmRQAaoJipCCMwGJncv3O/CyGPfYxR&#10;JDp2hgUCyYUVKK9WSuno/lWWyFxV1ao5xTS1V2o5Z5FcpPFmhY2eYPryVWiYQrUdhxoyMyAurAwC&#10;KrCBiWGRpKGqc1zVdYrDfpCYLCZsa/Ra4kPJiByQZgEQAmBCInHO5WHMplkUlPpR6ko4VFXdntY1&#10;zZic3/aHXdO/9rwf8j6m1eaQx5RiMu8pSyCSlPM4CqDGiDkbABCa2ZRGMzkUTIhfmSaPSl4ywKEf&#10;fAiNiGMOwZuBczzGwRBFZBj65XLpvUfAYZiaHc9eSVSzmtShAqxjHvthZyCIBFSOYJIsiGAqhGQq&#10;RsLO+bq6cfMW4XzoZegPVRWMoD/0TV15Cr4LIiopVawgs836i/1+ldJBJBVvFWIqWktiRkJfeUJA&#10;0ODCZGbAxF5ykrxVRHBl19cQS5KCAUARNEPOcb/b9Ps2dc2s67wLbXuikrMM7aJ643sPT27dOKRU&#10;EeiIdrT/QZsySLgI2KbHGBAIQJk8AE22GVCMiqeWJaVRQSFFMd18AAAgAElEQVSX6BZyzLn0raYq&#10;gmCmwohg4Jlaz/W8vX06wzzMKqcmRmxF0wXFFojGcVyv11Wo6uCpwH9FWoFENIkCUJUA2rpr6pbZ&#10;eSaSzMecJgMBy0SkimJUtTMkLnmJDEDMMA0dBTaBum2+//13Li7ufvnVl6ZSIpdlGNExEhWXPzDF&#10;b5VIXFhGmCyOkiBVDbM3RENG573L+XK9cs6dn59770VyjgksojdiVpExSklNbOpmvV5vN5umrgwZ&#10;OIhvuNV6ker94DcHgbUCJgPw1fntOyc3bs3q5urqKhnllJBQDMesOedusTwcBiR03i2Wy++/90HT&#10;zqumff+DD3xoSjBsjBkBET2AgWYFLct0MDnYE7mq6RYcmsurPQDO2soTmmXmYprCMUtWa6ru5OSk&#10;mS3IBfYBAO5dXDR19fsvvnzx+vLzr756/OzZbNadLJb/4OOPb944BzNiilmQabac/fjjH1dNNRx6&#10;RCxGCSknZFosTz/88L2XL1+/er1iz8TYD31p21WRaQLMUkreGztXRD00PXrExc7eoMA5wzCMMaYs&#10;3pc1QSjUqSPCEumixyULNiBEBjudzz7+4Uffe3AH00hoaMZERx8kI5UsCUw8Uo7J0NrKV96XrEYo&#10;yVmAampiQKgIgFhmeQCcVMhAZSg3vGbly4b5cfUNDI/KBNVi6QEKhgAqqTQ5VtS/IKbl+xgiGIKC&#10;MSGjkUjl+O6dW2iWYoxxzDn6mQcAEZUjQ0VEOWdTA4KixCggTyk/hZgBgMKe5axgVrRqR2lWeUOm&#10;WliEA1M8GSKV0kKkE7iNZfmjFMgsCqZEvqrqVDeH/X5IkrJmtUrMO3aODVQNJZdILnNGMsa6NiJI&#10;R6uaOuRhSE3bmhojBt8uZm0duAtOUyIDM7hSHQ7DmBLH5J0vt8+50O93knNBggrSdW1aWYC9a3FX&#10;mWPKdRdOy5lJzuxcVVXl7yAVSI8KTBGCR4A4gkhOcfQNMzOiiWYFj2R17ZnLDQFEQwJTRQIVpaLb&#10;QARiIzefn9y6dSfl4PwgorvdlZm8fPkiuGoxP1kuFlUIFPjqas2sh37T9xuRqDrRj+UHVS6KHdd1&#10;DaYm2Tn2zoEqMCFr4tz3g6kROgNDVdDCCpiiAYComBhGKCEZ0FLTzbp2bqrMevvu+a07t8nxYTiI&#10;Bo6x6zqcVhWL0lwYyXvnHBPihJ8SuRCAmJmbus6SnSM1LYHNk1OoqqGBFY+ioygQAEvoDiACsnOe&#10;qWK6ebb84tlr1ozssmmBvpFQVDyjKKzXV1Wozk4WwTkqETyT0p9MFahwTjHHIaYYvHcmzFgHh6iS&#10;x5wyEfq6GlISgdl8XpCZMqkTMToiAin2EoZ1Xd+5e/HGwze+/OqrgshpTpbYenJdew2HwYQ2FxGi&#10;U8zlwiXnCLD0nffFXZ3aWVfX9evXr7fbbdu23vsQQs45jmMch67rEuIYY5HeFs3V4XBIKQOgAoGr&#10;0GszWy7P0mp9xa6SZNnyjdsXty/uN7MFIY3ZuGrFhjGOCiBIFKrl+Q2hdVXVTdPevnNx78Gj23cu&#10;zs9vdou5ABVT0SLPvJ7D5OimMSXsMaNZaNpusXz5/Mmr1bofQyBo6uAciaoYJlHy4ebFxcW9N2aL&#10;5evV+tCPWfTuzVvvvPPub3//ufTDMMb1ZkOElXfry8t/9A//4cOHb9jUdQzscDGf/exnP/v97z59&#10;8exZcWwRyZevXg1jvP/g4f0Hd33w/QiicugPkx6rrBBgWavLiOY9g5XMX0Uk50iYAVAki+QYY0q5&#10;MPw2SftNRBwAiAggGIKolocACNDMRJoqnMxnnsBgWnyTFK0gUAYK8Ovf/Obhm2/O5/OYkqsCERqo&#10;mREjThjWZBgOBlZ2/7FEL9sk/UQSEUJCAP0u/j55J9qxZyy4ghqxmhiAZ54ysAsdIAKqBMUe0Sar&#10;xbKfaFpX/s037rd1rTkdDntJsVx/AbvKLStOlKUGXB+t5dcxxly4juMnupY1X48n179PiCJTnPO1&#10;yuJ6mrlGz66PhesTvFS48hqM4ygxJpH9OI4i3rkQuHLeOVJJWRVAAzsAsJgQlKmMgyACKYuYiVoW&#10;7YchizjPDHbr9KTpJD+/LFnYTN47XzYlna/IweZqI2VX5lhFruVw11dxnGDg+kZdqx2cc2WF4rv/&#10;sOBdOecQPBIQYxkvnecQfMoIpkQUKr88Wdy4eaPruvV6/cUXX+73PbMDUCLQSWKAiHzv3hsffvRH&#10;jiviaoyah4OhAeqQhraZicpmt7GcJPdX66fbzbPV6kWMPYIiASKX9ONyLeUBUy0uGhJTEsmoSt4D&#10;gmpmAgWUbI5QDI0BjNR0Eo0QmZEZjEM87A4EzOjQjJlOlm3TtcxMAIf9PqdERLOuyyIwqfJARJDA&#10;OVfX9a4fJCUBIwQODgOT92dnZ69evzYrKxcTcw6opiBqoqbl5pvw9CRpMRGtfGNgofLOUddUDGaS&#10;u0W9z/r46XNyrm7rWdflnAC57/vL1UpzrKuqqUMVKmJfFHyigmRAMMShP+yBsWpqktj4qmLXVl7y&#10;OA4jOcfsxj4fDv2f/vGfN00rop4dEU9+uUrlTXHOpWR108wXCwMrc5mBgUqMo+9agu88bVPjhhMX&#10;OB0FZiIhhOVyCQg5Z+9cCOHs7IyZd7tdXdez2ayqqnEc+v7QNI2I5MJ5MIcQuq7bbDbDMNR17ZzP&#10;2WcdgEK3OL19cZ9CveuHMedmNj89v1m38zyOSm55vkSwp0+fiURXMyKurnboQrc4Yfbzk/OsOI4p&#10;5TwMY5G6HAEXK9qrSYCKRI5NFZTMTAldVd2+e2+7vdpvVlkjgzbRB+8M0PuafVgsT+/cvXfr4gKJ&#10;Lzc7wJwViP27777n/+rfRclgkvssOTvHv/zlr/rD4cc/+ckHH7zfzedJMwhtt9ubN248+t730OzF&#10;8xdd26qagez3u6dPn9y+c3H37t1nL1aXl2sAJSRgZKYieznCQ8VNqWiUzMyKt0tOLqVYEq8LvHZ0&#10;D5qu3UkRTTs2MC2ZHoRZBA0ciOUUnGOAKElFUDXnxMQlxIYQnz998tZbj1SEANg7y9lMj+AJTruv&#10;0/lbRiQkxOuiA2qTaqRUoMLtH9MzVbSsMUIhDMvATqACCOAYNRVS0AiOmyel5ACYmeQMKmhGpifz&#10;2Z0b5yYJmPq+txyrqq6qmsiN43C0DkPvgvdesl4fpuUMKlbN5VDB4lhlE5R/rCB0vZlT3vUCmZXB&#10;CBGZSr/yLdB0XaImeATB1GKMZsbkQggiIgDZLKeUsqTM0WVEYyxLl6o1dU1ziD2ZOCK1KNlSljpU&#10;AKgGWaRKQU2cc95R08xOuo4fdN3Jzb///JuXryckE8jKdGXTA6R4/JpmEfy26n/35bfJ0dIAtOid&#10;cs45xWmUduSYi1d8jENV+boOkpOJesfzeXd6etq27enp8ubNm7dv31ouF23bNm375Zdf/pt/8z//&#10;5te/iTEhgmKBPpmdT0n+23/6zx49fCsmUoGqqodhiJKJrOlmWbQhauqKyX/z1ePLV09X62/SuANI&#10;ZamTmRkppzQpGADMrKwOBM/DGAsc5EQMIaWEIKUhouvsakAE0MIUYgkqLZbAllLOqCISHNftOXNR&#10;0sgwDHh0oiuPEx8bCxFxzE3TVPt9niQAoIhcV9z74Kje+jFGdGio6ICECHByxSgPJKEjCo4JQE2Z&#10;mJmc98wUvCc0NGkrDoGCxyGp9zzEeHi9P2x3TVvPF0tCTCkN45hTStE1TVs3HRoAOiBLKY39Iafx&#10;8y+/ePriRVJZNl0TqCI6X87j0McwjgrE4TBcicA7b79bTF2D84XiNkNEIaICkSkA+xBCxcRZFQFQ&#10;zUQUDFXK0uY1JnD9GJqJCQAxgSFA17Wz2ay8PjlnRvLen5+fv379utxtIvLeq1blhZpeUSIzq+s6&#10;pdT3fVVVwYedGJIzdMnI17Mbt/1CLIrEmNvZSdsuV/ESuKLQzuez15sDmAHabrdLKVV1lQRCU1dN&#10;t+8HeL0KdSuGYxybpimuXyJihmZqJgCAjITOTEnVVIHQVWF5dt4tFq8vX4lZYNQxZTMkTIa181XX&#10;+boxwCQlYZEJqe9HA3LsDUk0IzvnQhW8GT5+8qyq//7Wrdt1O0NmBUg5bbfbs9OzR99/69NPf4+I&#10;bdcR8DiO2+3WeX/79sXJYrbb7lJKTAgCjosCiGFqiFVEnJvGgNKaO3ZVVfV9H2Ps+16K3RTCUc0M&#10;iOCKuzoSG2jp7ZIKmyEhKZoImREYqBbg2DsHBfAlRKS7d+80VYVcbN6nujKRtMzfURlOB9KkbjQF&#10;KofSdMJOKtxyAEvRnylmKcowUJsYHEAkwtIGokJOWBbpy+mn+m0/XRRoAKi5rcIfffjBsmvibru9&#10;WveHPZp6Fxbz5b7vCyZWvkeM6fi9yqAHBdEqox+zO37iqTfHwoBP5vyIaMwsIMf9DS2Q2vV5fd37&#10;fzsW2LGwlng3VQCofHAuIA5GXLo2NYxZUxYkqILLY3LMj+49+PD991er15/+/W8O+10cxpSFBhir&#10;lLM4d6jruqmCmRJi5TkNI1azk1sPvvfuR+//6GeXV5u//btffv7Fl7v9zlSJOcbIx0JynTgwfcbr&#10;H599K3I3K8wrFHlSWW2bSj6DiIQQ0PSf//N/9sMffdh1nWPWnBkJAOu6LsbSbduUHTHnubiOP3r0&#10;5unJyb/+1//TZ5/9QVUBSKxsNkvbzh/ce0BqgZ0JkkIdmvOTG1f7DVPYbfab9doT3DifVx5D0HHY&#10;AGQEMbDJ3OK6NT5eRUqJEDOCaSYwJpJRkYvy0hDQMYvm8vhNa6EKgNOKhoiN47jb7Ydh7OMoKg8e&#10;3OuWM2Ly3oFoURLmlPb7fdM0MAnckZnTGMGsquq2bnIWYgIQYAxto2kcN5uzs9P+0CujMiFi8FTi&#10;jlLWcYw5Z0IfnKsciyQTdT4475BwPp8zIzHVlfcOPZtnqpsQHLWz5YsXL3/1y797+OghIo1xlUVm&#10;beuYEFRyNmJVMCQffNc2ZyfL5WJ2740H/8O//JeWxqdffvHkiz9AHEJV1VWVYtonWQ3pD198+e67&#10;P7h79x4Tl62dUlAdezsGG4maC57Zhapm5pTT9MMQJQTLgmCTPQ9Mb9n1qVJU0WDGTBcXF8QsIsMw&#10;VCGUiiIibdsOwzCOY8HoQgjDMJgZMxe75vLjb9t2f9iXVzhnI3K+qnPOvmlJaw9A/bA4abpuAeSv&#10;rnbElZJHV3PVNnV9OOwP49q5EKqWfT1fnA1jvtruxzFXdZOyNm19OPQiu7qunXPl7JomsCJ5MmLH&#10;IkDmXKiWp6dnt249fvx1TH1K2TkSUyZKeegAFanIH4i8iE7p9Yjeh/l83o+DmH78s5+p6mZz9erZ&#10;c1Xbbnd//f/8v8ng4aNHyJpz7vvhiq7Ozk4//OijOI4553xMWltdXmaRh2987+x8OYw9QtEuYDna&#10;FAyBi289IpffzAVuMQOAvu83m812u405qQoitG1bjjgictMVI4ohMWVVAfWerRg7YklRLGCC5pzb&#10;phn6kYkULKfUdt04pqwje1c39dR3qJpkZAd4fFqmcwjRiiWBlqBmLMFCksEA1BiwIIeqRqYoMgFI&#10;Mu3qIzKKlGqAMZYgtKk0mZmaAU6CHHaowkQO9K2HDz545+3tenU19Kv9XnKuvCvBBofDQWzasWfi&#10;/X5fppkkWaY5V+07bTtOcuSjhNe+bfav11/Qjko4KjeQSkkveUFTL3NEZwuiPnkbwbcSUmImdqAy&#10;6bSg7B4oqqVUwif54aO3f/KzP12vX11trn7761+r5MjZEcWcx3Gcta1zLjHFGAkNhWNMFqE+GZeL&#10;2f0b93bD+Hp1+c3jrxDEO++KdSxIkQYLCMI1zPmdL5zM1gQmPLPAiSI5xei8L0Z4BsaIjPDhRz/8&#10;F//iv//+97/HhM45ycKEx0wBLFUri3jvrm/jcrn8sz/7sw/e/9+eP3u22+0AwDHHJMQm4/js6y/O&#10;znLX3ayxSZJbHxgoOpFapI+DjOv15XB4NWtxu30dx53qSKBGAMCqWtT9hTeHI2NBiKpFp0GApKYg&#10;BmYiptOOqmqJzMHr2kSqogAGnLMOQwRMu2Hfx/6Hf/SBq5wPzsyoUA+qIYTVauWdd27yHXUujP1g&#10;qnVdN1WTkhiZQkYC11R1bvurq65pZnU9SFZPCmg5l4X5lMQRjiMyO0foHJWxPgRfVRUHbtqGCQCs&#10;rvxi1lWO0HIV/NX69fz0LMVhGPZgSoTMHKrq7Pw8OIfTzggaMLHzIQTnTk4W3vHs7Pzi4p4n+/73&#10;3/r1z88+//vfVgiQE7oUx7xbv7xcX/3pP3lrsVz2/bRKIDq1U+WzZRFEV4QVbdeSYxjL66ug4MiB&#10;CPDUqdr0IpiaSmnIDMxERQjh4uKirqoiVpScx37oui7GGGO8biFSSiJJNBfE3pKYCbFXLYYb2UDZ&#10;ubZph36P5Kq6cc6JiCE2taDjpmnHmIaYXWiAwm4/xgydr8a0BXZNtwhN60LdtvNxzCnttYP11bYf&#10;4mK5qJuamYcxerGqgmJ7MfViACUGWnVEB2yu6brlyeny9OzVy2dZYrEQZKYxpjm7um6KTaJaFrWi&#10;Dwawi7sXf/mXf/mLv/vlZrf9yU9+ulqtPvvs93lIV1frp0+ef/HlYw7Vxf03TLUOYRxHBGia5u23&#10;3+4Ph5cvX766XDGzSs5oV+vV5nTdNdXJcvbyxWXKCsBlVbGATqYwjgnRETISEIFIHlLs+369udrt&#10;dimNVpQjx1JaDkmnaoAkOC02FExLzFgBCGPOAEDMCpZS6g8HAOz74WS5jGMcxmFxcprN2HnnHRXp&#10;gwqoMBKW/N1pGpgqDaqUBBoEIoNpKDEBNStKfBUQoXLamgKW2OakxVLYpgw2A0AwRiMm70NZYUXn&#10;dvv9ZrtNIpiNVNlx493777y9u7p6+ezpsN/tN5s4jmfL5Ww2e/HihQAAkYiC6DAMu92uWGoWzwMF&#10;o+M6+VRRCmU13UownaT6pfDI5MMzDSKTSxPy1IId5QtFBYCAPC1OW/mejuC4NFPSZHkS800lprxm&#10;lhXQQBjvXNx74823bseLzz///Heffhaz5Jgd0xhFq+C9TyJBNaXIhCBqIHFUt1o9f/78y6cvv3n6&#10;7Is/fCZxqBwSZhkHgqygxQznW+7riObBd4au7zh0TQ+USM6SfQhFAYFHncCHH37QNJXzDoqlhCkD&#10;EhXIVABRTZlJVAjpWhPITP/qX/2PMca/+qu/KjClJ0emkIf/6//4Xx69+d7Dh+/evfvIWzCqRGRZ&#10;VdViVrHk3DxJ293m5Xa13u9em44EClxALSz4EmK5IgUrMTVqR7MiNdDiQg2aUy7OqsX5TYtB0NQu&#10;4VFZb+WREFVfV62fN9guTpdNW9eVZ8Sybz/0/XK5vLy87NpuuVgAgh5jAUutrUJoQxUhZygh1+rr&#10;qq5rS2k2n9PYq2cKzqKoqppKthjjOI45JcnimAUBHbdN03TtfDlnxFCR5Bxzun//AlQcQ8zp7HS5&#10;ulov5t0bD+51beO9C7VHZANo2na5mDdNhYgxSRLNKcdhfP7sZUrj/rDPceia+gdvv/XORz+8uHvv&#10;1598sn79khzFQYZRyFU3bt0GwypU5UVAhKl5MiyLEYCYU3Len5yeVnXTH/YgWqRK1RR+d4RdoRhH&#10;gICJ6dSdgZkJM7333nubzdXTp09nbVdXFSP2fd91bUk9H4ahritiHMYxhFDa6vLslUcrZ0DElKKI&#10;OCIC9CGYwxjJhhGQlzfOiF0/DH2/vbxc1XWDyKurrSg4F0TV+8p573www91uW3ZEUqiurrZVFa82&#10;2xs3z+/duxdjHIadWVPs2vD4MhExAWWIZmgKRO7s/Mabj97abtbbcXDszs5vZInD60vnXUmKNINh&#10;GJAgRyFiybKYzX/844/3+/4Xv/rVJz//ZDafvXj+8s/++I8/+eSTX//q11HyL37xyx98+MFbjx7E&#10;MQXncs7r1frOrduz2SynvD8Mu/3+SHbDixdPbt++d+P89PM/fL7b9T40ABRC7VwIlS8Ab9/3pkAM&#10;Jdhkt9ttNptXr1/tdltVJcdEXN5fOAIhruQfqwAAqUAR+x9hJwSAyW2XHED2daMAPjRiiOybxjkf&#10;1IzZkXOInLOYKBmgKamiZgOAMrQYMDtNkUpgqYApEKNmcYSFnSBE0+xLNmZZdQbNEg3MlRgM47qu&#10;Q1OHUN+8eaOuQjfrQvBNVROTmn351Vd/+7e/GMz6YfTsAuEbFxco+cnXX65evVJJ+/2uCoHYjeO4&#10;3W1D3ZGfcJL9fl8cp79FycrSLsF36se0OznVErNiXvDdCeZbiqUASDipqidzBUAikpzpSHhccx7X&#10;hj92ZLQREab0YysJo+W/UFARIPIiFnzTdAtft/thIKIk4pAUsCyQimqetidMVPqcDk8ej0bgw2q9&#10;GbarxllbUpwVIJeWkv6LoeX6iq6RMZsqgV6XnZzzGEfnHVN5Zw0Ac05d1/ZDH+PomCArTdmeoCoF&#10;KjJEKfD0NO2aqhLAu+++8xd/8ed//df/8WqzYUU2IxMyefrFrxfBThrDeAnU1t0ZciMZCbFmGXNq&#10;Aoys691qOGw1JTAppwsTA6FCRtQCopaSNlFmBqA26YGJTEANxCDLJJYvRx8xMBFgMd3TMoYZYTZr&#10;QuU91I2vm7quQwi+RH4xUUyxP+xNbej75WJRioqIOOejmIoF57MPpobERgoGTqCbzbcvXoqI9w48&#10;k3eGfHxmrKpC2zRxGA77A4IV1dlsPmu7tpvNyMx5zDnWsblxel7kQMx8587N+XKByJV3AJjiWHdB&#10;1YZxXK3XzDTrOh/c68tnf/PJL1avVsOh74dht98fhoP3/OD+XSR+9Ma9kzt3v/d++tUvPrl8+eqq&#10;H/cxPXj4vdu3L0raEE3LTCqSiXwp6DgJQEBVC3Z09CBHNNAsRcwKZkyUypPOjOSQHKFiUWAhdF3X&#10;dvVut8k59f2BEOdd++rVK1Xx3ucMOadh0LquvoVtpx5oag3LV0oppwhgjEAI5D1iSYSkuq6bpksx&#10;jv1w9EHn3W7ngzteH4sImklO+/2emReLpYqmnOu2VRUAcs4zu5w3u92+aRo+zlZo4BCzKSGJKQCq&#10;qnfV+fnNGzduj8MQgjs9O1uvXwNi8QIoMpli9oVgzAimYNC1Xflg/Rfj3Xt3Eeje3XvbzfbvfvF3&#10;YHA4HF6+ePnmgwvmaXAaxnjoh6Zpmqadz+fDOOYcQYUc9vvdfr85P73JjOv1yrsekJ2v2ratcu2D&#10;l6Nlg6mkmFKMu93u6uqq7/tSozQbIDrv8MheM7MjIjOVnIt/CxBycaUwMDRmHsZRuop9cGoVtzQB&#10;yOCLN0xBDxSy2rA/vHj+Yr1apzGyrySNhRtiYs2ac0b2kCNAYUbVswvk0UFwHJxv69BUVXBOYt7v&#10;tyE4EA0+eM/e+1k3c95JLkFkulgu3/vBD5jZB1/E06KSc2qdu3z+7PHT50kPjt3NxfLuzRuvnj3b&#10;77ZoOh4OmvXk5mlpcwAZEL0Lh/2h7/v1el1qgKmV9rRIuYsdDk4uxjZV/CP/Xyx24DjZQAGPj9Rk&#10;QV0BjuHT5flGlO8c3NenuCogTmmspb2dQLSp9/r24Cf2APTNN4//83/+m77f/eHzLwEdsccJbbNi&#10;4iNadBImZop26MeMfjajOBxqR2eLdtbczWnsDwdi8iF8+tvfjtNFHKeW//+HtDJG2mT59l9QbDnF&#10;oSfngnPsXMkqRQDNOe/3u1nXYtGQ2fX3n9RYRTxbfvv6TjDRe++995Of/Pg//If/mPoMqgTGJpBi&#10;gKvOb9Juv90nXy3YzwBbqmYc6gr13u3lsH0yHjZ9vzMbDXJpisu6IjCrKRP6IuqbCLtpBi1CgJKq&#10;U3jCyRTbAMBUDQi52PUYZxU0VVMBn8HAkQ/uxs2z05P5rG25uK8SheBTiofDoa6qvu+/ezOd85Il&#10;i3ikygdVIwJFRSAH7E/Phs1us9svlvNQVQKKDsFMiVSMyVzT5KpSkRTjycny5OSkqqppnndsmoah&#10;X5ycdIuF8x6gRJTyyXymalW4s1pf/fZ3n33/3R+Qq0w1pvTq9aUjPrtxfnp6+n//+3//6W8/fe+d&#10;99989Ob6aru6vOrmXT/mr548G1N6cHHn4o2HCeDf/dv/c7U7rLf7/+af/nf/H1vv1SNrlp3pLbPN&#10;58KkO3lc+e5qM92jochhky2KwMyFIGkw+oGSfoEgQBe6IARhNIIgMxIwGDY57au6qqvqmLThPrft&#10;0sWOzFPdZFzkSZ8nIr7Ye6+13vd5Ly+fF2AoIsQYgvePKkoAyEW1giQiWmuiAujlMoyVmHKMmIsO&#10;g5gho7DWqFTVNixAImGaE8CL917++te/drOLMZyfnTVVrZi7rhuGXmtdVdVqtQwhEFFTN4e+jyEA&#10;QgihdGhTSinlFFOKyRpTqSoyheCrutJaQxatrTXGaoMC0ziWa1UrnqaprleKeZ7nnHPbNkSUU7y+&#10;vjo5OTk5OQWAwmqp61pEDoe+69qqql59881qmdarlRx3OChIFUKU416VAaCq6o8/+a41ejjsUpbZ&#10;+ZhS2y2MtYVSX34EuVASQBFn4KEfxn784Y9/dHp2ysQxxsvLy5cvX262W6P1fru9u7t7fnkucmRm&#10;H/oeAJuqfvr0aUzx9ub6yLATGQ77ytj333v5+tWbq+u3OQGybprGVnXbtQDASgHiPI4xxhTT0PfD&#10;0ANIKU8zCBGxUo8nUQBQjJCzgCQizjmBoGRBIsgp5eS9v7u/aywFN3k3I6DklHOOxQgukDOElGJI&#10;McVhGn735e/vbm4VEgASZGv04TAhMmfp6rprFhK90cBMVVU1dVXXlTW6sgZFmsoapSDLYbfrD7Vm&#10;FWNQRHVdaaUVK2TOguM8A/D5+fmyaUvgjPMuuHkchixpGKbOWpWTkkw5nS2XEsL+sAshNJUNIdR1&#10;fXFxEULIWXRlibUIbDfboR93u10pJh57YscyJaMAZO6Vf0EAACAASURBVEgPPOc/HIB/S05dRpGP&#10;RclxRZYSRgwFdP24fH9bAfxIlAHAlCSlUL509PUdc4Xh8ZuVMiDwq19/dn+/936afG+s1drG4AEJ&#10;qBDbIGdIMZUhdhaom/bk4vLy+csMbOrKWB3cPM+DD9F550PShB4eJknwB7d3H/6hkOyxqQUAkiWE&#10;IDlL1ggaWU5PT+q6zjH1+4PRSlX1sRgqk4mHnz8+jIKIZTbIIJJzfvLkyb/8l//id59/dvXVWxCo&#10;jTasrM4L67tqJCASn8EFfxe8zmNHdilIrMCN2+AOKcyCRT8GRKyO2B1JIREC05GXAwBFlBljQhQo&#10;0id53AepjM3KlJmANVOJENAEKWeXJIEkhISZDZ+dnbSVrYxmSQKS8jHCYBiGqqoLCVQpVcglmrnM&#10;/5U2rJTKGVAyCCpmYaykWa03N1fDNLFhJKqsiTGWJ9Roo7X2gNZaEFksFovlAgGV0WXmN/vQ99Oz&#10;984EmZWR4+RcAEQxGl19/fU3/++/+3fDFC6ePnv2/AUwiITb+03VNOfn5//khz/84rMv7+82f/bP&#10;//z8ydPlV1/7FKp6Mc7h9n4HgMvV+sl77//4P/3n13f/WxT45NNPtbUP2vWcMsQcrbJKKSJV8Lg5&#10;ldkjKKVI0bF4ROSSpitIQEZrAWTWIqKNJQCDtUIiyYgQZvf02bO+76dxCt6frNZNVccYjTHDMEzT&#10;VNd113WHwyFLro0lnESi5JyiHAMyRQgZkZ1z8+ybhSXC6OKxgUWolFLMRVw3jiMiaK0RMaeIiDHE&#10;cRwl565pJOfDNJZTKYIQMytOKXnvEeHm5mae57ZtRGS/31e2MmUhTgkJGUkY31nJAY2pFovl5bPn&#10;u7rOeTZVvT49P39yaWyFxSH7sPggFoxMUrbqum7Rdc+ePXv67Ol6uZznuWmaH/zg+z//+c8ra96+&#10;eX319PzidK1ZpZQBZZqd1qaq6rZtz05Ot/d3AEc6ZEpht91cPHl2dnb6u9/93rmIxH1/YFZN2xpr&#10;jLWsdHCuaPPG4VAkuFjInQCsWCklOR/FXAAKUyARxMwZYiGmlKQsSZLiYb/9u7/7D1evToJ3bhq9&#10;9965R8vhQ+oiMLFSKsRASj05O8+obduRVhnhV7/5dQwhp/SjT3/08fsfV0Yzg9KsFFtrEEEzzeO4&#10;3d7nECRH751hOF0uGIGohZybujbajtNY0nIUExFH77/44nf9ME7TOI3DeNjvdzuRFEKcpkmClxDO&#10;zs5Pl4sUAiG2VcWKCfHJk8uPP/mEWYkIIM4+vHnzdp7dOE7jOJVZe0EbgrxrJmbJ3+6AHQe+R7m3&#10;PKxG8vhBycgpXIBSEj2u0o8FUBGWPzbij5VhMdwVw83xZ44zA5Ei7hYkylKAm8glhLhmrdQ0jfkh&#10;gTkDhJLik5Pk3DZ1XTV/8qd/9p3vfa9brMdp2h329/e3dWUWlvpp/vzq6qvXr2NMjzvZH28wjwUN&#10;/OO3h6mNiEiMASAJ5ieXn56cnADIPM/e+6aqH7/z0ad5xNH8wd+iMg1s6uqv/uqv/u2/+Td+13eV&#10;XS9ao8FQODtpDbnK6sZQEpnmMJEfvZv6vQv59v5+t9uhOCKJR3koMaFRzAXFrWzOWTEppSFLklx8&#10;jg+2sgS5kJPfjc4QgBEAQDMaRklJJFmGnMGlnFFAUUQxlTlZrRpjK8UkR4eZ994a45Sap5FYpRS1&#10;1iCQUtKskDDGmFgxk0ItmMvYTrECoOXZWUzh/uZtyqmqbFNVWqmUEgg2dc1EKUalFDeNNgYQWLHW&#10;urCKx3ECZh9FG4ajrZ7h6NSXGAMI3N3d/c3f/M2TZy/+i//yv3r+7BlpHIfh/n6zWCz+1X/9r3KQ&#10;//F/+J+c89/5zneWy/Xs5tnPOUcf4nZ3+OKrrz/68L0f/PjHm/14ux1s3cSUmZTWRZUrWTKAWGuZ&#10;lXOOACCnWHQuUE5XUmpiAixkJiZmY1POgCQA2pgUIxlSrCBGU9fGWGPtNE1932ulSgcMRUpMQF3X&#10;SqlSHuWYU8p1XZfudOkwAQAhFUNMOYanlIuyNqaEJY9VKUJOIQ3DOPQDESvFMQViQkDn5mmcsuRx&#10;GIZxnMZxtV6XO4ikkDCEoLUOIewPbyprV6vV6Xq13+/HcdKLRc4pQ1bEdEQdg4AoZUIIRGKr5uT0&#10;XGuTxZ1eXNR1+/4HHxKrEDMrLeCJqNBRgSimXCn14Ycf3t3fXV1diSQCqIwxWn363e94N+363hpT&#10;LpiyshFiDNH74LxHkHJGSSkyc4acc5ymQSQ/ubiQnJ2bAVhml1IehrFqrLHW2BpFZucQwHt/HBak&#10;zIrxQc0k+LiKiILgEYEkAQKmVPZGRcgAjTW15pub67nfSQxIQEggBc+uAaiytVIauYQ71Upz2y1i&#10;EkFlmiajzMHt7m8297f7se+0enqyWq9WQKAUESMhpRQIQUkOkx1jmNzcH/bJh5RieaRAZJY05kM/&#10;jvMUQhE5IRmzczH3wyiQFAKBKK0UqsroRVuHmBTx2WrZ1bXSneYzo1hEzk9P1+tVjMeMVGIap/lw&#10;6FOMhW6JiDlJSd94LFAe3oHS1MmSjt6dIlB+0Lw8fPMf9I6Ovv3jziAILA+3R7cQI2YAeQxuAxDA&#10;JI9eoceGG5TVQRCSCEoirVhpEhynyXuPxEwKBDJADMl7H5UmxsKSevr02eXFEwbsN/fO+zSPceyN&#10;1rayr1+/ub2+G/rpqA39Y6/bu93l3d7zBw2047iulG50DO7M2vJ7L18sFx0ihBjKI1zMIf9gezqO&#10;P8vAiQAEMItopc5OT//yL/68wrysLCGQpByGdWcVYlk2Y8psxQIweEWRJY+7N8lHrSTkTCV4G0Ax&#10;Gk3HtGw5UluIuOxzMUYfIzPnYhGlx6OllMgcRmBCTao2qtIsmCkRKaWsxozYtmbRZICmaVaLrqsr&#10;TQQizs822+B9pU1b1ff3923XQUpQ8OApZxEkiiAxJ9KKmctYiwgJJANblJWk2U2u74Pz5uhFZ6WM&#10;Yi7m1qL2NkYhUQFzgEAIQWurbYOkTNUAMCAjMaPkFBEghbTsuvV6/fUvfnO3O3Sr9X/2lz997+UL&#10;yfmw39/c3Lx4/uInf/GT/+v//H+Goe+6ru2WMfrDMGx2d5Kj9+H+/r6q9Mcff/yn//zPnM8hJpUF&#10;IBFyKot1gZ6B3Fxfi4i1RrxPMQNQuRiOKkIRyIIZJAkCKVKIIoQZibQu7enC0kWA9XKZUO7vNpr4&#10;/OysaZpyARlj1uu1c670r4qUsWw5AFA+X/5oKR/LQ/fYD2elfAgFCsVKZcFxHPaHg/Ne15YVb3e7&#10;wjstCk+r7b4fxnFURrfdwlZVBhjHMcZYt23MefY+5hRTmudZqXNjrPchFzo4HhknZRPNGZQ1Kvoo&#10;0nQda2ZWSAkZnz97r1sup2mmEFOWmCULFSGWD/HQ9wlV27ar9frr11+/ffPGaGWUaqzRil+8eH7m&#10;3Sff+fj991+2bZtjEgERygKh5PYQElFVVeM4IIBROuecBMahb9vm9HQ9jnM6ekVz6YOkLDGJYo5l&#10;/vRw5i5PNzMDQs6p9AlLg0JBdMykmRWTbirNipVpm8po3dWmq/SyqdrKKoSqslVVGaVLCDMIKm0A&#10;MGVQSmtjqspmgXGcU4IEkFBmP718+uTu9Tdh6N989eX3Xr4vdZUJo885Ze/ncRxDmA/77TgMQ78f&#10;DofhcAjeZ8nLriMCo43RSkRYaWTdVDWwzoIpo597ZLbaaEWVZsKVYW5q23Xd26trRpy9s0ZdXl4a&#10;pZkgS1ZKee+++PLLeXYxJiTqh2GevXMuxvg4hCv3Tv6xw7rII9cSEIWo5Ojkf8hRftwYyq4hD6vw&#10;445FR53/Uc5QomRijEQEx+4cIEIGKYzFIsQThILnIqT7+01OGSD3h43kKPDYX4oxxnn2lTK6MqUx&#10;rZV68+rVV7///dAPMQWtVQzeVqbuln5yiGRtmxLk4kB6ZwL9x2/HLfedHgHgCH8o+mMg4tV69eGH&#10;HyqlSmZ0qX3ZWkLO31IHwLGGwW8ZjFBKDARgzvmv//o/tzgfNvfjYcohTH1SyiAoyIQgVBSPCBUn&#10;pTJjXrQoBAEAQiqPGbEoRmbQCnMEACpGjRSSZlZaO+dylgySJAOQABIAl7YyAAAQIxN2le1qW2tN&#10;YlJthChrs9J2ZJW18c53XdtUlWWmLMgUYxynqQSVd12HeLQ6PW6xhcBYjAUKkVhxLmRNAgC0yCQt&#10;wgumm1ev9nd3Nze31prVarVe1+XSYuamaZqmARRAoFIQx6CVUkrv+rEz1lYNsAFiAERJ9HABW2uX&#10;iyWxciH+/d//fNktz05Pa62c89fXN08uLj/86KN//d/865TFWFPXbQx+0XVa4WZzF6Ofp/n25vZk&#10;fXJ6dvHnP/nJV1+99t5XhuYQlFbAaIwGAufmb775GgS+851Pck4xRkB1OBxCCN86kEE5P5XBnVYq&#10;AUYEZFZKldaeVjoAXD59WjfN/m5zefnkvZfvtXUTvGdkY0zTNNM0Oec2m81qtWJm51zTNA9qApym&#10;6bE/CcV3mXMqURSIISYgqlkjcop5uz+M44SslLFAtN3uypWaJa/Xa6W4H0ciMraqmqZt2xTiPM+A&#10;ADMZrdu2vXjyvLaV0Vpru1ryPLucMyoWSClnZAKglHOIMQOSUoZJKVJa2arKkmxVXTx9DkhRmLRs&#10;d9thmqdh9t7FEO83u6++fqVt0/fD7e0tAEjOIXjv577fz9NECB998P57L54vupaZUyyCXgHAnMR7&#10;XxltrW2aZp7GonUkVojivbPGvnz54n6zjzEjcUxJKUVKCWDOOZQ2aIohhBQjwAMCRhGk43VFxEU1&#10;qn70/U8Vc22NVqptGiYuW4VAhhQwxcuLk0orhWi05tJPLYzSDEUgRaS0tUqbqqrmaZ7B+egn5+Yw&#10;T/O47lrNpBFvXr/65c//7vrtkyAZEJRSiIXSEb2fvZtBpK3r2lrJGQmryjKB1aYkghpbh5CGEPp+&#10;HmffD9P9bhdT1IqN4pPVwii1D662JqckOV0+vby6uT0c9k1da1albdUtWkTY7/viPrVVdX9/X/JF&#10;CucACmfsYZKPD3yXB6FX0bMeXxKlsmbEnNOx2D/KJ44mo2/94APUgI7fQ0e/q5Q8mMelPMWIWj/s&#10;Q1mwiK4QKReFizzICkjzdreLKTFBDDMjKMVZhJTKIYlACGGaZ8OMyN774XAY+8HN8zD0wbsUU5Zs&#10;m8rUrao7AfJBUi71D8BR4yD/cI8peiD5lqj/Yes97jcPWh1YLLrnz5/DQ/HnZue9M0ozqQI6gAfx&#10;szzM/I8FUeFlH8dUdHn55Ic/+sEXn/3q5Lun02H8/ee/Y8hGlSy9jACSHGbQjEaBMfr8pEHlIopL&#10;7BKU/hhizjmkmEmyIlJESChIxEyESrGK5GMZIIkAMiMhZwFhBBCFVBm1WjTLpqqUskohCBIlU/XG&#10;vD6MM2JVmdOTda2NUZoklLs3zxMzl551mbsU0265heC1MVrbVLquJbxCHodRCsAoBI0ISawx97dX&#10;o5v9XRwn1zZN27ZE1DRNXddlgykFcUopxBRSIqXrtiNtUCkpleFRtJARYRiHeZqYkFmD4Ndfvf71&#10;r379z/6TH8Ucp3Hc7Xbn5+d/+dO/vLvf2MooJgSttT5dn0zDMATvvRtHfPPmddstVyfrizlMwxxi&#10;KAmBzAYQU8rOe631brsFkJRzjBEJt9vtMPRHOTscOwM55xgi+djUTSF+ZAClVbF/KaYUwvrkpK7r&#10;tm0vLi5Wq1XhMhTNTtM0OecSmeqcK4VdaeOUqtp7X3z+xR5ARCnnkLLVBiKwUgKYsiSCnNIwjoDU&#10;dK2yZprm25vbrmtLvdV2XUpJhaiMVsa4EOPhEEPMMQlBzKl78mS1WrVNU9mq9ICVUogeHgQyIhJC&#10;iCnPzoUYS0RBSqKIm27BikP0xtjtvt/sdtvtPoS02dxvttuxHw79IThfV3XO2dg6hIiMGbNWCiXf&#10;3d5u7++mYTg9O/3go/e7tlNKPYTHw/Fep+TcnJva56iUqutGJBETCHCR9Rp4/vz5V1+/nueglBYQ&#10;UkpEkmAIMaYkKcUYHl/vAgKg/uhUXd5Tf/rP/qliNqwQwBoDkksYwP6wG+dRUqhYdXWNAorJeR+z&#10;MBUL53HMSIwE4Odp7ser6+s3b94e+n6Ypmkek0iStOqWFORktQohjFOfQASAUKwxdWW5ssuuRhBb&#10;GaM1AmbJPvgUY9ETxRCc89fX15vdbnvo9/thdt6FSEwA0jQ1aT0NcvB+6AeRHN4P65P1crWY3bzd&#10;3veHXWUqyBBSePbs6cnp6XK1ct6zVsxUVxYKi7PsFygAmHMqRq+S9QvHF+WxkoCHDNiyBhe9K7wj&#10;9pNIBsIMRynhw+nsHZyEobRD8TjbLnQ2hNKNgSxIRZmWifAIlj3iCcpQFESSUlyeSCLU2hyVf0dm&#10;IibJkMQHH6INMYzjVCLkpnne7XbezftDLyisTbs6OTl/6mN2IRAdE2JE5Bgbkx9PmMe6pfyvjwYY&#10;EDomtmSA4gwpzT6JKIS0WCwyCAkAYAix78flYpUfFPDwcNUX/A4+jNWLW754+AFBmeaDDz/tmuak&#10;XX7x29+meaq0MczezSnFFMJO7jf3m6rRpMlqs14tgoBLIWUzOBeAsfB4JUrMirFWBJgU6xJhV5YU&#10;piOSMAkACiEJAWQq6nhNWFu9Xrad1bVWFWvLihC9sQEJZicxnS2652cntSLDxGh89IKScjBGz+M0&#10;jENMMQR/rJURBSBl4SxKKYlRAJBKxVqmcQAiyAqyZJXq1QkZDYaG/rDbbPfX15Ux6+VytVo1TROD&#10;V1oxc8p5dn4YJxeirprV2bltl6KMFA9tSgxYhF5EFMIY40wIFyfn3/n0h1nkV7/+7Mc//iEpFpD7&#10;+/v1en15+YRZTdMU45HkLgLMnCXnnGIK95u7zebuxYv3Ly/Pb6/v7+93ShnCEn9ISZL3cX1yam2V&#10;BFKSGBMp6vt+mscMiQCKkAwg55Tc6Dxie3IqiKQZAUhpybnsmqyrqqqZuCSoElHwYRiGw+4wDGPb&#10;NqvV6vb2zlp7dnaaUzLGODcbYxBBG51zHIYDoDRtCwjIiEIxgxYiVIYhpQgxJKEQfAi+bZu6sz7G&#10;m5urw367WnZ0nMaxIDR1i4xa6cPhEGOylSFE8p6VappWaZVjRFNiDAdrDGOZp2JxU4cYD30fQ8xH&#10;0m52LhBxShDCOIy7aZo2m93+0B+GyXnvfIghSEr73faw31tjRHLVdErpuq5Ysy99jhwJIcck9/L2&#10;7dvT09O6rURy3bQx5aN+BooHKKQYUkpt2xYeYHnFOR8JYb1anZ6c7PYDAimtiFWSFELKKSfvQ4wp&#10;RyJSWhWKqCo1jjqSW6k4+BDVyXKJIsxMUGIas+RMisQaTpVV7clyWRs7jv08TLd3t0M/zPN8BGci&#10;dl1XVVXVtFVVK9I5Rq24bWpbmcnZ7XZ38/ptCrGqqo8+/vjF8+d1XccUY3DBey4DoRKFQqy0IqYQ&#10;Qoip5FusV6uLi4ucc045hjiMw+ycYn11ffO7L353e3szTuOwu52RDhsq8zqlzXa/Y60EwPt5nofx&#10;MJ6uTyBDs+iCD957pVRMaRxH56boQy4YXa3LeL9IuiULHs2sIAJcjteAgliIO1wMQyIpyfEIJqWx&#10;804W9QiBLm1TfMy6AYSjhVKgQDSKpQYYAXNKR1IDYMqpvBDgCD0HEgAEpUkp1dR11zTEkrMu6X9I&#10;EGMUEIjChEicRCbnJUmY3dl6XTfN/f393WY3TFMC6JbMSVwWNnaxRGbKEovjFopp/WG5A4CCLTiW&#10;GI8FTdkaykOA7z6fc2ZWSumU4sPZCft+ON7rwss/+nuONiN4mGvBUQIOrFQRH7WLC6P0q9999vqb&#10;r7JzwARaAWkElgTIqmpM3VQJIAF1TTUFPwdPKFbRxD5LUqSUIo1UKWqtjjlrw7MLsViEcioBLcyc&#10;y1NaniRiVICQNINR1BhVKWo0W6KKWRN7a399f1cypH/w0QdPFo0lgJxJK6W00Wqc57Zd+Hkehh7x&#10;SE0FEEQCKpw1QaJyEszHBqyU7IoCFslEmVRmyLbSy0WtWFjZZhIfDsMwz7PWxhhljCVNzoecRNuq&#10;W667k5NmtQZtgDk9SEuQuMTbxOgWi/qnf/nn73/43X7C9z/43t1m8+r179/eXD97dqGIttvtdrN7&#10;evmkberbmzsfktYmhDCOPSt18eTi+vp1iB69vHnzquu61fKkXVT7w14kISkCxEwIkHIi0t1ylTLE&#10;lFPKSYJzY84BjxeOPNayOSRxEZGREZRCIGSdIUZAq5QGZtIouFwslDo6M7TWXbcwxuacy0aoVNpu&#10;d8tFN8+T1oqIFEhdGaXU7GY4MukKfVFCEp2FWZcAPMwpiw/eEeP6dE1M+37/5rUnyE1li9c6eE/M&#10;zjlWzKwmN2utjDEhxJhlHOe7u7vDYQ/pGI/25OJivT7puhYQmAhyjjmnGKdpyAkAAAUICJEO/Xhz&#10;e/f7338R4xScG6cZkFzIPkZmdTzGIbdtW/ruMcbZub4/GKuryi67rm3bqjJN3SCAc+7zz36rNBPB&#10;D3/8T0np49EeJKbknSsCd600AClg4EL5USIUVVq0bfDJ+ZiziMSQY4oZU8o5pRhyzkBIRMaaB+gt&#10;KFKa1MOIGmNMShUgY84PS2PGlJxzbh7cMIze+WFw87S5v59n591MzIRkjLHFS6Z1Ze2ybbpuqbXV&#10;2p6fn84hsOJxmm9ubreb+6vdFQJWlX3y5ElV2RBdiiHHOI3DNE+ImFKMIYTIyihAJOau6ozRkGW/&#10;26WUlstl3di2awhxtVwtF83U71599cV42PfD0Lbdyfp0sVw1dVM3zcnpqbW2DB62u+2NXJd+U23t&#10;2dmZNubm+na32U3TpBQFH3JOOUnhKiJiWe+pOPAQoWwMxCCpPG4pHitBOQbH5m+3kh6ayggPfLOj&#10;tgqKtai8wQcl1VF2Vf79drMo5wTFeomEUIKY0jFeNwsrBJSCjwSUArEmQqXIzXOIHuCIvyspeznm&#10;lFIb4mK5fP+jj1dnF2+urn7/zStURhn7/R/+k9XZ2d397m9/9rchenioTvDBrP8Pe2X4j73/R920&#10;1WodY1RaCQgR51xGhc4oU9Rcj0Oub0+tjo8tFgJbImICQKQY5fXrt9651irCHKMrjfSUEik6Oz91&#10;3sWYYgiKVWsrVwcm1swKMOekWCmtKqVbzbVmXdmqqq/vttd3d0kwphxTjjGVILiCJUEkJs4okkWR&#10;GEaFoFA0gIYyAmIBGOcZWCvEl5cXlWLNAHiMj2FWhKiN0UaPu53WehwnH0PKmRUx87flDjFFldSD&#10;v+ghgw8A+Rg9LsjAWpQybbdYrJWAm6ax75138zClfgDEqq67brk8OVmdnOmmYWOB+F3mAmKWJCkK&#10;gIhUlf3Rj3704n3/v/yv//eXX3516Afn/Zu3b589Oy/nrEN/uDg/a5o6BL/b9V23CCH0/bA+Wa5P&#10;uu3uzvsx5Xw4HK7evlksllVlm6YehvlRA4PIkjGXWlyKtQGjj/M0IQATAxwJicdTSM4Qc/Se2joj&#10;ATEplQRyzqLIaDZaK+Lu5ERr5b1PIVZV3TUdIqaUpmkO4QEdn5Kbp6qybctAqLU21gzD4NysFddt&#10;W05LCVOWZDRDLgwuijFOziFxVddKq34Yx3EUAmRAQh/Crt8ZY93sMmRgjMm3XZ0lpxRzEpema8QY&#10;/TxNTVXVthqG8fKp+/DDj2ytYsoppRBLgg5476ytUgglwmscpzdv3vzHX/ySIJVKgFgBkDCV00bB&#10;2NuqBknG2ChSUk27tlmfrJ6cnz+5PNdaN1VNhCEEQJimcZyGnBOjySBZIMegmXLOKcYcUkJWrFIW&#10;RFQKF4tunsP+MBTrroh3wccYQ4455QQPfNeiWCAu/UYRUawKVAwzokIA8N6r/+N//7cgkGKqq+r8&#10;ZF1VVdfUIJkJ/DQd9rvoXQrBO48AXdvVTVNZu1wu66Zp2hYQtdZMVKyOYR43m/vZ+/fef9/Yyhjz&#10;0UcfBedvbm6urq4uzy8+/Oh9bRrJKXpPCNpo713f9+M4eu9d8PPsXPCSkmJy81xWnMViUZQFBGiN&#10;2e/32+32dL1++fz5YrXqFovV8qRpWq0NItqqIj5Kldzsrk+vvvnqq3meD4fDN99840P67W9/2/d9&#10;llxSwQHRGlsAtMGn0q0CgCIkFQI+BriXbAHMjxOI4+0PwP4Pn/sD8e1DnwyP2mOEMlJGhIc0zIcZ&#10;TEqIpLX56ONPxnn6+uuvjnsOERAVK0OSzEhIaIyqm4pKPw1FKS7ll/PBKoWkgCgJSEw+59mHjJvD&#10;7Nqu46o+u3x6sz9MPuxfvYF//+9NXXsX59m9W/blGKL2R8YXfIDIwUNH/6G+eZDGHRlAsl6v4egw&#10;TZlTmW1M06Q7jVgiITDlR3cq/sEmXci5AEgQQ3J+7vshS14suoqEAQAAgP9/Cdnl5H0YhwMz5ALP&#10;FkARzdzUVUjJqGiVsqwAoKrq2lrDSkk6X6/3w8H7eHF6kkSurm9iTCkdST9ZhJkhZ5BUOHyC2TAp&#10;REqJqLA3IQEI6zmnaZ65M9//7ndOlksCQULSTEQ+eASsTFVssyklay0ihhgzACMy8zHD5+EBLbNo&#10;AhQQkhK/Bd/SiQCxUSrl5CJAVTfL0/OcYmEXZhFCbNqmqVtSzNooY9iYozbv4ZeknEq6YJkrV8RN&#10;VK/fvG6acx+zC/NhP/T92DW1kPR97/zctYuzs7N+nHe7XYxxtVp1XadYG1OF4FMEB+5+s5mnua7b&#10;1Xo5TbOUQESl4FuCzMNh59wsGYZ+uLvbxJCVQgEEKVgKKi0CSeGw27VWlQgyQRYEZSn40bZt09Sa&#10;ues6ZgYBrbVWipFSSlVV1XVTVVWB+5bs4F/96ov33n/v4skTVkprXVLr8cg8B2YSiRkiMWUEFM6I&#10;w+xmH5QxSltEuLq5ud9uSSkBUJWZ9od939d1iiGGHNinYUI/AAAgAElEQVSqurHEIBK8m62pQXKK&#10;obJVW9Vc/DQp7/rh73/xqw8+/HDZ1jFMSmlB8DGmLN57q3TpEButiSjFNAV/7FoQKlZJiu2BtDII&#10;kLMiwij++GIliikeDgdEmNzIRKvl6uz0ZJ5n791mezdNw0//WiBFYgVIxCrGMM2TQlotl6x1iAmz&#10;eO92uy0pRaynccrHtUjHFL33Kaf4IPcueyQAKCVFjJdzZkJmVCXk2JgyZ1LJ+9VqVRm76LrzszOl&#10;2GpNKEN/OOz3CHB+emqMGQ59Sd+q6rqqquVigUTDON7d3jVtW8wZpmp8DEnS+nQNKFZrxub87Oxq&#10;uegP+/u7288/+21VG5HknNvtdsHNPvjdbltU7TFGZFJKa6Wqyta2WV5cWGuJqLIVIQzDiIgg0jRN&#10;XVXf/97366ZZLJfGWgLW2iJRPGIxKeUEApWxldY5xrc3N+MwbTc7H+I4TJAxhhyDSyEZo89Pz4jZ&#10;GDUOqYhEc05EnFMC4JIY+O6EfkRSIyJ/a9k9rpLFrPrtPePhZ94tnQAAkgkBj07KfNw5UlasMwJr&#10;+/4HH332u8+BVGltEBISpXzUsZUgbKWVMqo4IXJOIUTn3DTP0+SyySnlEFOlNT/OSQYafdrPXimN&#10;hBHwfruLWW5+9jNWGoBCCTssY3Z4SKB7t+gfh0aIiEAPRp13gTcP9w7LWvnNN9/sD/uua601MUWt&#10;lAj0fa+Im6ahQj38Awj3o4TsqJhgxhBiPxzcODCC1oqsBT9hCcFybhqdd2NdWRdDiFEEDRfyG2EL&#10;TsVKqc5UiNg0TWVMjpFixJTmw5AE/DTV2lhjXRjKxCuKZEkaVfl/EeTSyrKKDQFLZmGIWQiEdECC&#10;uvExLY394MULq5SCJJKzJKNNlhQClsdPV5a1mpwHxGOLrMTkoaSUBLmcTVOMxSFLgKUGBijnmzLa&#10;ykSajVCGFKIHtMRV3eo6hxSZyFhbWQMIMUUgRm2QOAMiYDmflrNOCeyJSUroQAjxsO9zboCo74dx&#10;GKdxWi2WKaZ5nvphsFV9crr+6quvp2FU2qyXa1IYQoRMiEpSCpCmabq+vnrx4oOmqYmOmeHwQBgS&#10;Ee/9brePSYj57u7u+uqaEeVh4AeIQhmBCUBi7Lc7u1rYqgZkAQQm1jpFrpsaAXKKOWfnfGWtNabM&#10;MctFWlWWGVNqmqb2bgLJ/Ti8evWqWyyMMVVVOeestVqp4g1QinIMIBHZMKskyaU4Op8EtbaClFN6&#10;/erVME62qlRV+ZRiaaeCJEkieRqHtrGSIyAQZIVJV3q5aLuuO1mviXiz2Q7THGKuavObz798+eyi&#10;YqibRlcmpeS9i0jtus4pK8VIcLJePX/+bLM/DH3vxoEJSMXoZyJKAJFY20YZJFXFVBzEmHMepqkf&#10;+sNhn3PSSrdtvVh02+0WRMbxEHMgYgEQxJQTCSKicz4irhdL5/xmsxn6oe8Ps5vqtl0uT+7vdzGG&#10;YhJCxBhjmUvN3oWYjsETiJKSeKeY5YHhj4iaVZkgMLL66U//sq4qzcpoU1e2hJgxwqGuJPpF1y67&#10;hbVmnubymrfWlkSsYRy10l3XrdfrcRr7YbjbvL7bbq5ubrz3h8MBAHPK0zgNw1ASb66u3jo/r9bL&#10;sm20bXti1k+eXCilpmnKhbtJpBS3TaM1F6FICIGhXI3ZhxCKgj6LlJchEhMzqzILEcCUUpmIeedv&#10;bq7vb29ev3qzPRy2m71S/Pz5y4vz881mS4RgjVX69PSksnZ0Y9PU49jHkIucDP9oS3j4FJY/qljy&#10;Q4rzgxcSil0f3i2a315zj4f+41eACAlBkhTXJAIhUohZW9t2y3H24+QFFTAgQnFtFO1ZjlEgE6vJ&#10;zdfX1/3hkI9ExpglTdNMrJLA7LxzfigSteNfQUKylbVVJZK3/TiFVHTxrCIgZSnEliNTQOCxPnm3&#10;iX570wR592V5903lXuMvf/mr/+6//e//9M/+5Cc/+cli0eWcAaTvDznGaZratmuqmhUL/HH5IiJF&#10;vFcAcW6ecs61MU3bbPZ3BiVFH33wswuTq7QOwcUYx3FQrKmqJWUGqI1RyLXR5Sk4kj/8XGm9ubuT&#10;GLPA7e0tGdM0lfPeTTMRaSJJCSUxJlZaa1USiComy4wChceZkYQ1tctRIKT03vNnLy+fGMw1U4aU&#10;IfkUkJCRZx8RQBvdLRa3N/da64dLCIoYL6bIUMRrAFmIckZgoCMVJuey2zNTCJCLrQdZGYXWJqU9&#10;kLLGIAEAKhVLDIZVyDoISgJWlHLRPZfpIgBiTIKkYkhAtN8dLp9csl6O0ywl4DU+0D1FdvvdYrnM&#10;OQ/DYKw+P7sQkcNumN1oTY2I43hghpzT1fXVarXuulVV1SLITIBQflV5Hg99b6smhfjZZ5+9fv06&#10;xYyUj9XbAyeIUVDAORe9awgzYEgJWCUAYmUrO8+jn+cQAwgsF4uuaQlREXddN47jPE/jOKaUtNbW&#10;2hjr1Wq13Ww+//zz58+flyKgDNXzA7ipiPsAURvjQhjnKeSslEKilHLwbrPZKFaLbllVtYhopb/3&#10;vU+//vqbFEKB2d7f3Njnz5TIBy+fXp6fM7PRtms7U9WIvFoudodx3w9v3r45f/Jkt9urVff8+XNT&#10;2fc++GDsexCojWWkcRz/w8/+tmub737nkyhorHl2fubG/XTYXr366tWrbzbb3TBNOaeU8xwiMVbW&#10;lmNDCGEah7L1ighCruvKe2+tbVrrfcgiMUQSqLRJIVCWlGWcR8ziffDOA0DdtsuTdYxBRGxVxby5&#10;v9/EJD7EYRxSiiGFEEORKymlkJWA+BAQCCSX+rskipbXMjOr91++BBDG4gyQGIKb3TT2u83GOYcg&#10;WukQwzSM4RiHKfM0CcAwDIdD74MPMd7e3oYYt4f9vu+LE5OIjbEn65Plslt17a3iGDwjPXv2/PmL&#10;Z7W1Wuu6trnkJiHGEELJaUQgJqN1U5mmaa22hg2zUopjjCDQ1PUwjvvdbrc/AABAHsNMxIfDMM9z&#10;3w9X11fbzXZ282Zzv9ttgw8xpnF2MaamaT766JOUUl3bGIgQzk5Ou65NOXbLs2kaNre3MScQRJEs&#10;CQgEJUkiKpItOVJR8SEpQUpn7N2qW1YEeJDzpkK/lUcqTFHgAgBwSUxOuYx8mRQow6oSpB/88EdX&#10;tzej86iMsVUJL0o5e+8IQVLMKXZtPUxuHO68m4/eK++V4pxEKQouiqSy3eFxkkTHYmmeleoR0YUA&#10;SMSkWBfrGQE88goeN0VBkpwfQMJllgTH2hy/xcs5Vjsox1+BfT/84he/nN307NmzTz/9LrAiwyml&#10;YRicczGGFEPdNGXmWnTJj7VLzqnve+fmYegJkYFiToWsikV4xJhjmKZD3bQpBCRSSoNAzklyBCJF&#10;TEaRQCrE6ww+OMxZGU4xEuGwPxil5xC7pm3qysUwh8gKgUmh1MpUVaWNYWISIck1F5EXZKLMJrBJ&#10;RNfbHSA11qzbRk99SlFbTYyCcnRxoJrGCQnbtr25vss5lyTvXKaiACISYiy8uQJDkiwAXHplRdhc&#10;ziFZJCcAISKNjBnIC2hjUGkiJiICCtFnQYVKkRYBYAPIKSYGKlZeAUpCs3fepwycwU+z+4u/+Iuz&#10;iw9+8ctf/exnk5v9fn94+uQJIjnnttvt06fPkLBpaslERDGmeXbDMF08OXVumqYppeC9H8d+mqau&#10;Wy0W3Ti6GFMIUxF+e++HcSiGKR/CV19/7XzIxcB0lA0WuUsqwkEW8uOUQ0SNOWVgIQBkqqpqGga/&#10;26UkXdeVKbcijllK7kuhKe92u65riCjE2DTNbre7urrquq7omIvVrIjpJUaRhIjeeaV1iHGeZxCx&#10;VdVUVQzh6u42uNEwd03LwEox1/SD738vz/6baSaESqn9dn+5Pvn4ow8uz9a10QW4ppVhrbW1Idqc&#10;EqL0h/3u/pbXq/s45fzJ2dkZMK2Xq3maGlst2i54vzvsP5SsrW26BRM3Bn7zH382H+5++MHF/f37&#10;d3fbX3/+5Zv73XYYYwyszMHPiFAolM7PKUUU0IoBZJpnZi5mrPXJSUzpMIwh5UXdaqZKc8ppGEZN&#10;qoSVaFPVmoy1/dh7F5VWKaX7zf08hyRSpEMxxSQZkbQxrA2ziinl5HVt6so2BSGudTEYMbNWrHKO&#10;pe/sPczTeHN98+qbr+9ur8e+F8gxhK5tD/u9m52bHStFTAiwWK6YCJm6tuu67uNPPjHGJBBSzEBa&#10;a1aKiI02TORm95vf/ubLL77c73ZTPxht1+t1ybov0C0RwbrJOYsUYgdCzprVcBj7/RhjTCnmnPt+&#10;6Pt+nsb97nBze3N1dRXTkZYaQwJAH0IMcXazcy7n7L1LqaCtM2kWgWEYXr169fTpJSuurLp8cpFT&#10;0Bo62yJyaeaEECRlIoo5U5lfAXDRBIMU+7QccWT5eFIDYqIyOC2lBEDRTOC3ipjj27KvgABjJhE5&#10;ZkFi0zRnZ09J18/f++j8yeWb67unz9+7yBKPecSUYhzGESRqJpCsFOw2d30/phRLwy2mWPTNIUfM&#10;Je+EH6wzLIjISMRJspOslQakI+oRkBEV8zROj9PWoy4Mj3EFfyhk+ONq5tvly+NHzKptm7/6q7++&#10;fPJ0v9vHEE5O16vlsjDBnHMhhJL7pLU98vJyLg30eZ6//vqr7eZeG/3xRx8+vXjats3bLKS1nyZL&#10;SMTeO+9maytrrIvBVtWxQSwZkiBmRMajhRWjD26amDimSMx3d7e7w2F9etbaKgm2VR1ijGEPOdVK&#10;GVaLqqrqWhXCLiKmaAlRUkZObERbz/zq6vqr7baq6lXbaJRF1/qxH6dRU26XloGzC0wMAjHG4oYJ&#10;MSzS8niuehBQpIdDibxT0AkCCkKMsRgOUkopxlI0R8mSQSFSllQqW8IiTCIi1ioh5ISE6IMQJBAM&#10;PgDI7Nzsx8PhcHt3e3e32x4O/TSJ8IsXn1ZV9fLFy7dvX+22V7/8+a8uz8/Xq7XWKgQ/z3NTt8+e&#10;Pd3cHwBgs9mUaC8iRmTFCqjsknG33yyXy2Jxm6ZxGCbJqJR1zu33ByDyIboQdkNfdW2/8fCoPERM&#10;OWVIMUVFBAnnvvfjVNmGiUv+oDGqssZvNsVH0TS1tXYcRzfPKcTlcllVVdM0xT5wv7ktXInlcvnl&#10;l1/e3t4i4scff3ycchGVo0zRi4JEN87MKjiXQtCmrqxGyf3u/psvP9MoTaVXdb2qKzfP69XyxfnZ&#10;T//0T/7nV18vF+0HH7z35OInL18+PztZTfvbNPY5ZWYFuSJMSoNS6vn5ejfMcZ5ihuDncfbXV1dV&#10;07SLTrIUs22WbIz5wQ9+gISsWUQgp9e//7zfvOU0d5bsSXPa2bN19/mrm//vb39+mJ1PIQPmnIpl&#10;NUsCEFX04QjMSinlnOt798mnn/oQR+djTPPorKJFU3e2Km35YjUlYn7gWyNh8aLFFMdpiEdfYAop&#10;ITMiCTBgyhlFoGkW1tZVVTdNY60pCyMRacV1ZdXvf/8FAKQY52nabDbXV9f393eb+3tIEQl98G3B&#10;+yi9XC+Xq3Xd1E3dnpycWGOU0dZWxhhmJmJk1FqjUDll5QySEwLMs//g5Qfbu+311dX9/f3m/n69&#10;XimFpZFXfGcxFkIcpZRiTG5yvtAdnO/7/u7ubrvdDuMw9IOb5xijc26cppImJFKCYyjlTA8z6Udd&#10;UkqCyIiF/CNXV1dVZVar7tnlhbUaIdeVrapqHMPVzXUpNZhJBBn5oSd29L4RUpniikBOEZGM0iJC&#10;hKR0yjmnzHx8ckofOsVQ6hXADIKa0Ggu6maFBACkFBGxNt/73ne7xfn2MH33u999dX1L2rJWlEEj&#10;xSjMjOT/f7rerNmy5DoPW0Nm7umce8+daq6eGwQaACEgaIAigpQoiBQZkh1h8lXmE0P+e/ILHTL9&#10;RImywhInkASJoYdCd1fXcKcz7SEz11p+yH1ut61wvVR3jd337J0r1ze6qCpZwVwhFZOlmJBR1ZQA&#10;2cnhkAKa64IMidDKLAEqhTOmYIIIVOxmTIQEcwp9iYAuZry70Bj6cuwclpjZwE+IJOVlNRDJIQSR&#10;Eibk7j24973vfe8H3//BOA43N9fbzYYZu7alg9srpZRiMlPCvYju+36/2796/Xqz2YjIanX84P7D&#10;s/OTk5OTbrEIIRyfnu7Xr6fUi4pq6sceiZAIEJg5m6JjTXnGPcxw1taVYzrGNHVtl3Lu43izuV1v&#10;dk/eeBOIRYGZJac8TgIWQlV7f9R23gfynAsMDeyYVZ0yRcMYUz+lZ1dX2xQfPTi/d3aCJk3TgsQx&#10;T8MwuLpeVJ1z7Nk7F0oXxjiOzrnSKHwXpVlYmcOWOZ99oCaQFaGkGs3IIYBIsjkMT80IQEWFVQQx&#10;pwhF+xDzdhxBgYlBENSmMe12u/Xt7dXNdT9sd/v9MI67Xb8f+inHrjup6/O6eUnoHtx/MI63u91u&#10;v9+drFaIoCopTdQuQghTnPb7oe/7rm29c44dIzl2WYvyEHa73b7vF92Rmmw26xgFjKqK9vs+Z3GB&#10;xWw3DhRC1Ta3tzdMePeuHi4yioCgWadxe30FHMLRMSCZlb4CXz6Hpm4X3TLn/Omnn+aUzk/PyiTu&#10;h/00jnXTdF13c3NTlpVhGPb7fdmbmfmrSbUigkZmIJT36+00DKQawDgnlXR79cV+87p20gVbNdxS&#10;9t5OW1o4eXSyuFhWT5/ee/ro/OT4uIKYtlc6rEEiIToLZFlkzJaIK+/rk9bZ2VE/xjHiq1f7q6vL&#10;o5Nj552ImWodRIICWl3XADZTbGm8evFpv7luKYsRmtRMJ8vq4fny7Ljpx2sFzjLrhhCxazrnGbRU&#10;01tJLYkxGtry6NjMVHSaEqiCuMp5q6wKdRYBMwJIOVspLRYp5jwXuG2bOKUp5iyScjps3TCNEZDr&#10;2iMisw+hDqFyzpcUdVGrgkfE87Mz9x/+w/9e101dV0zcNu3p6cn9B/cJITB771PpS2Dn2bFzTVO3&#10;TVPXbRmPfd+v1+vtdhtKxS/h8fFxU/ny1BCqIqtI7auH9x8O7w3B+TpU69vbF89fOM/jOK7X6+12&#10;s91ut9vd7c1tTDknEREt3QciYJBFhr4fx9EOafmF6TZQRUEkM0MgKE4S5BnCAbyLRTYDESWixaIz&#10;s2e/fPZP/+n3nzx9bJZMJMUx5VjgOcTSBWJ3GBEhIs48NhPCgQ2hAqIjlTuRcw5FkioT+VD0vcTs&#10;VHSKE6iCaRXCoq4dU0rR2DkiIjw9v1/X9erk7OL+037UZG6c0kcfP3NVLYDsHJFzAQiZ0jRFieOA&#10;jGJJomYFVzUikT3NynOY086wiM5x9oR+aeJBApyDZ4qa7UAiGwAqGh3kDHeyhK8QJHrntSzS6ztQ&#10;qzzkMwBIBAAffPCt3/1Xv8uO+n68vHzd99tF1zZNG2PkL4MAIGn0zjOXhdYfH63Ozi5UxAffts1y&#10;ufSey8YNRA8ePj7qqh//t/9r3G4k5pvbzenqBADEDKD8vWhmzqgIXcxMNFsRuRYwSiSmnFSMCBnb&#10;tgFyouKSgAqqipoPVe39omqMyAjMMiMQIrMDtH1Kr3a365xHpE3KoanOT066OgRPOUsIVWe2i/tp&#10;HCv2wTnnvfTigiujJeU8TZOImCpgUSdasQrZIWgHER3z4afk7q6tIjYXh8+15wAmKSUAY80pISIa&#10;/PTDj//+pz9LSdEIxAg4xpximeYTEKgJs1tv9sM0htrf3Nx8+OGHt+vpd/7l71WVVx1y3ksufmhQ&#10;lWHol8sjRPjww5/f3Ky9C08eP3aOYxxUBQFyzsQGANM0breb5WI5jsPt+qZtjpDokElMACigu7HP&#10;hMZshIrASKamkhWJiAE15ZhQFDC+emlAF3XNzNmMIdQhcNOkLMvlkoiZXV3XEakkWl7fXG8266qq&#10;FouOiKZprOr65YuX4zgC2HK5LMMb77qdVFUERZEoWzYVkOgAvUUSk2nQcV1zbk7ak9Xi/srXlZm5&#10;oxYxrr2Nv/69ry+XXddUSIOTCKrBJir+Qp3QsgpPaVRgI1/Vi2XFkIWB33n7zVdXV/v9/abtzNA7&#10;b2YxZxTJpgZmllHTuL3Zra9Bo2ga9skV3SGGZVd9+4OvZfvpesi3uzjGZGbeu8VisVx2nh0i5hxL&#10;tnTK+eTsRMWIOSfp94OJQROWXWuAxWMBZmM/7ocx5aSaL+6dIaFEIcLV6uRoudru+t1+v91tY5KU&#10;cwmVj1MCQ+/9cnHUtk3XNm1dMyGhOQDvqWnad9951z198piImqatq7pru6qqqqpaLBbF2Hx7c7PZ&#10;rof9QIBmkDhrMMc+VAEMnXOE5MhVoS6ByoEDKIgUTaqJaN/3oBBjrEPVtl1K+ZOPn/3spz9Pkoeh&#10;v7m5GeeNJE7jBEigBgolOaP4TIgJ1eajraAKh9t0gdRs7sssjMPddJmXDwAQKT4MY+aqCsO43263&#10;z375y5xHNJ2mQbJOmW5uN9kMkRWyAYJq6egsrzIXaT+WvkUubGEp8LDD3bP8OOEcgIHEVjvTZAqM&#10;vGyqZdd4Islsam3TVHV9/8E9HwK5ahp6wNrUfvrzn5PzTbvMZllRtYgpkRyE0MSYACGnqRyqoWlz&#10;JEQFm80ExVkDdPDFA1iJRQGc8Qi8C7REKFG0+KVvgUrTTWFegf8/SgfEshwdlMxfkWIXTCzGtFqd&#10;PHny9N/+2//lGx988A//8JOj5XFd1+v19dGy9T4wuRL1UVUVqBmod0612E1J1SSrmWWJzvF6vY4x&#10;Ftfxk8ePjhbV6vze/Sdvvnz28b4ftv1wcnpeMuCd8yXkpqyfd0BTNi3mizJcY85iGupqsVyknBTU&#10;EZoBEzQh0KITUXa+8r5iL2BZlQ5klIollSHlzTCu1ZLzxp6J752eVo6945SyQ3IuVCAZVK3kt8/Q&#10;X5kTcZokZc0ChUyCQykwFPOTqioCmHPgXdnzviSlRU1TebaZHCOZCDpL0yiUiBwh9v3u5z/72c9+&#10;9gsRC1xVPqSohiRJwMDQlsujtl22i+745FxVzs5X+2FKkWOyzWYjqsfL4ynd2V2FGMsbWteVanr9&#10;+tWrly8//ugXVRWIoOva4+Pl/UenzjtESCltNut7F/cN5nctZ9tutjnnqqoRcUrxerMRIghsjAp2&#10;CMkoMVeG5V1WREl5kLjZpO2GGV3lPWFTVb7tNrs+5fz68pIJh2FgIhHZ7cs9dXt0tGDG5XIZU7y6&#10;uQbVaRoRsesaMy2luyIZgAipcl5VCBRyAo0BjQmDjRhHjH3n5OFZ11TueNked1RXBEh1ZZZuHejb&#10;T04QgclUE5OAmWFmwpIVTQhiluOYFcRcGnoOwQEB+2bZvbq8/OLzz9t24VyQLGM1lr1UNKupakKJ&#10;w2adU0SwLDmnkRnYefSoJstl9/D+RdgMU17HmEQ1TdNuu5Gcjo+OmqYpeGwJKDo7OZ2mqTDcRC7n&#10;VPwHdujnzTmPUxynqbzTVdNM4wggRDTF8fz8Qbc8GoZhvdlMMe/2wzRFEfW+xLC1Z2dny64JIdTB&#10;EQEjVjWHyp+sThbLxn3jV76+3qxTypJk6Pucsomerk4K58/MjhwiolEVqq5p26YNzhMymDWhxpNT&#10;BPAupJRNbRrGOMUYp/12N43TMI7r9SbGdLu+Hcfpdn3rgp+m+PL1SzUTlWmcDBQAVUTEnHNoAEZa&#10;HKc2x36jGTsGA1EBwNmFqwgF7ykudgM4OOXnC/nMpgORMc9m6bZrF8tut+/T86SaQHNR48UE05TN&#10;4GB0s/JdyQyjEmeFRf1FzpUBgyIlB7nIycx7B2Cq+U4LAMETgOZcMS/batlUXVN7RkRcLI66rgOw&#10;McXXlzfHZ/fr5fLl9S4qN+0ROocllScLkRNRIiZyc4YAkgHWdZ1SZC8wN4rNW0RRdx14eAQqAdp4&#10;oOHnst+DGnn+feyolDCalAaaQ1NaiYD90gSJs2v0v/uGSMz03vvv/7t/979+97vfbZqmqqqmqava&#10;b9Y3L158Pgx751yMua6lrhtHRIxF+bPb7ccxbta7V69eb7fb7Xbz5ltvbLfrjz78mAiXR4sf/Pqv&#10;vfnGk/sXJ0/ffl9FX7x4BS5EKaQ7qYGoFvlbGYeEKGZgIGpWhKWIooZMbdsWlFVVVHMZw8E5JlRV&#10;JArkSv9gLmlwIipiAslAAQVJGaWwjESnx0d1cEQGRCkJAXgXCDKAKVhpyJAsRMTEYDY3XqkyU5kv&#10;Bc/7UgYuUqSwdw6DwuKqquTEROyKtg1NBEusEVp5QKdpevHyi+effx5cWHTH0C4M2FQVsOwJ2/1Y&#10;t13TLE9OVgYpVG5xJDn5ccQY4263RYC2bpxjRBBJ7EKMU07R+aCmX3zx6fp2s93egJmoaE4PHz+8&#10;ePBDdhUTI2IhPpu6OT09QXDj0G+3m6pqyTlF6MfpxetLYYIQgCBnMVOWQkNSLrJs7wxMRDyh7Dbr&#10;L56zo8Yd1Y5r54idY395eRWnabFYhBAuX1+a6JOnj46OjmKcqiqUhcY59/ry9fnpWahC8fPPRSqm&#10;AFRVVVM3lffr11cSB80TY2IUZwACCsIqZwt3ujitg6sC1p7qiomIGRGj884EAIEZYjK0DAjgkIAK&#10;xkSopkaWUY3Axn6Y1smHBkIj4M7PTl9eXu12m6pqiJxnpyJmlnMSE9MMaRz3fYyyHxNKgiwikV1C&#10;pxlYBLpuMWYMvi+Hkqrud7uh73fbLTMj2DiNqgoGRJxzTlGIuK4bdSF4LggEM4mAITRNE0JNRCIx&#10;5zzGqWRZvXjxxWKxOj+/uHfv3jCMKed+jEM/DuPovW/brq7rpqmbOiAoE1bBLRZt1zVTHMzy61cv&#10;XO3DDsgAnQ8ljR8FCKmUAXVt11T18fIIgapQqYokuR1u98OgOceUcioMpE5DzCnt+/3QDynFm6ub&#10;cRwKswKI683aDEV1sVwqWL8bAE2KELLckYEQjYCKerDAGqAHHT1A6YBCK/jM4ehENJuvmDhzAgSg&#10;JeNjNqqBOUdqRo6d80Rc1RUAT7HsyCpiMeaUSkUa+d8AACAASURBVNLOPKhKyRscBGPMRMVvTMBc&#10;EKUvS8YQTSQjgvdBSj4EQeFmvGOPaIyBadGEo7ZaNKFyznlf102o3BcvX6hhmsZl1yYAAAshZMQp&#10;JgUiQhVBmIE4QxRRJkYkAVscHW23a9VJtdxHymz5SpALz6kNB58OAB2WGMK7HDAoqxhi7R2hQQlL&#10;QVS1lLMddhUrCYwHFh/n3LN5tACAmT59+uZv//a/+N73vtd1HbO7d++e944Y6srnnF69/AKJcsq7&#10;Xb9cHldti2QvXrz4r//3f/vii5e7XX9zvX758vV2ux3H8Q//8A8eP34oopeX1+M0vn591S4Wddss&#10;F8cXD58+eHp59ep1VjCV4FElI5edX2cAqtzQDExBtJRRMhaTk4hjbuqGkGAWDSpxqeigYl1BMCYg&#10;ADaIOccpxikqOWoWoqaOFQkVLs5Ojxedd4QA6J1k1WyFY1WVZNkzVyH0Q29ZmEhVU0oxRhGZob9S&#10;zgVYNmxGzGA5y52kQk1FJUu2MnZUNQuhkCASxTH6KlTsAEwksXN1XTm0OA43MceYiT2yr6uW2Bvo&#10;OMWr65t9P8QpsTfDcqoH0Lbf7SRl5zyx5pwRQc3KJE4pOfY3N1cvXj43MTPNOZvknOODRxdVFaoq&#10;MDtTALAYIzF2XXd9td7utimnpqHyfg7TeHV7C8xhuWjPzvpXr9SgzHIELP1bhohgbEZoFuN4e7Nr&#10;quWyYzVCHMcJESWlpmlCCJLiarU6Pz2tqtp7zrlpmro0sjx89HCM09HRUbdYTMNwdna2XC7LlzSE&#10;cLw8qqrKM0+bq/3Yo06OhTSxqUdgBCJoGyq+TOchOCxNiUwF/gajYgXT8uEjAACZgokeEGYt1wVE&#10;RBAGtRzHmMddOj67ANDN+jZUsa4bUJBczD1jzMk0o8TU77f99Ppmn8edaZzioKqhajk0CjxFcS4w&#10;kYmYlmAhlSxRJzNDBDEpwpm+36uoiNzerl9fXrVNe7TojhetiBbbLSAiE5olEUDc73sAIKYQwjSO&#10;z5594px/9OjR8fERsROznGQYR2IKLsDc1R0cQ/DOOWyaKucYp7HclhwBLpuWFszsCalkljGQZFGV&#10;HHOO0367TzmnGG+ubnLO/b6/vLoytWEYUkqgmkQtq5pOUzQRAByHEe7oceYpTkQOEMdhKkuBlpBH&#10;okMvERIRQklkKffQuR0I8WC+AysJj3YYAmZ3EbQEgDSvLFb2jIIMmWkIIcXIzpfOwJSK6k5zThJj&#10;lpxzGqfJ7jq+iln9q4Kq8ueqlr2qdMirmM5dk4WFQBERyd5hIYuYqVAeHFzF2FVh2dYVY+WwCt5M&#10;9uv1bn27Oju/f34qOXWr0yePHr9a98g+JyvSmpRTyjmnEjNugCClGhA01HUVh2G4kw7PdgI7jFzA&#10;u91l5lWKNMzwkANT4D+F8l47x41nnnPycZyi7Pfli32nqbW5k/CrK8w83LPI7/3+7/3oRz8qLWqq&#10;5n1FZDklADpZnUzTGONggCX+tjskJv3pn/7pZ589jzHnZH0/5CwA8Pz58x/+8Id13f7VX/1FzOOU&#10;0uvrm9DUzdPHR2f3Pvj2P3n2i5/3N9fFl45AjCW+WiRlOHRaH1YEUwNmRiDHmM2YqAqeZjhetfRf&#10;2UyLKBiBIrNDUmCIpjlJitmkapeSRRCjYleFJw8fLurgCBTEuZrZp2kEEyRQ06zZoa+qaprGQirm&#10;uYsjq6i5/9cWeEc+21fa480s5pTiJKX/lEkVTJQgE5AnlpSDDyYqCgbgnPvau+8G9ptd/+yXz29u&#10;11mBXXX/fu1DxQ4xp5xlvd5stjvAJDohImLlcPH61dXx8fHxqp7i7TQtHj++j4eJWOR5m83m6urq&#10;/PSMySHq0clJ2zVf+5X36rou3rhitcqSCoq8Xt+u15tSD8MAqrrZ7bbDIIzN8dE5Pfl0fWvTiABk&#10;AHMsF2ZTQCMEUkEwk7S9vDy/d8HnZ1ZEoSLn5+clOPn+vXtt05oIAjBzuZ9tt1vv/dnZWdO2TdPk&#10;lEzVOx9CKMY1Zq58MDOQ1LUu9WqWKmfOkjetCMqkBwIkJSZmBFVNiRSFgdjlJEioajln572BSSkl&#10;zJpFCYnKGcTsgcosZiIffIy6vr5B5ySl66vLqlk0TbeB7XK5VNF+6IdxEEmWosbpet2/ut5dX75I&#10;aVCVnMX5ULddzta0Cw41folE3Im9704sLGK/OEXPTkSeP3/+t3/790dHRw/u3Xtwfpok5xiJABGz&#10;iBmKKLGJKDOVPAti/uTZx8w+hHBycrKo69p7U2vamphMIU5jXVXLRRMqBsnT1Pe7UcFynsq57NY3&#10;t9M4qllKeRonwhLFryIlBnuaprjf7acxjsOw221NLeU87IeCLBfbR6nILOs8AhCxCcyTgUCymIGY&#10;qKHovtygVWEOK5oTJOfYQwBkouJDKYh6GTNmyjO7PqdMFs2MGczgAyAhlS8yzb4tKyn5ADPePU0j&#10;Epn1eoA8JYuq5jxlzXdErhmoGB0wNi3AHM6Hqh1kYQeNGZWUDgMQVUBQU5vFMEqIdR2ayjXMi6aq&#10;PDkAJgDN45T3fb86Pj4/Pd328YvPPrtP9er88eV6n1NW4CI1KIz6HNWvoioAWqr4fPAnp6e3t9f2&#10;JR1ykHgR3XlWZgPO/POHpC2xOQEHZnKp/DpmrjwjOlWQuUBaEAgODcf//bfC3wLgBx9883d/93cf&#10;PHjAzDB3/5qImoGIORfOTi9ubi77tDOF/X7f1nXXNQ8fPnz//a/95Cf/mLOqYErZDBDpF7/48PZ2&#10;/fjxk3EcXl29AMR9P7y+url3717n3MnFxdO33/vH9V+O41AhMJb0FjAVzbk8IMW6K3MKMBJxYae8&#10;c955RCyphVmkAFRmVqL2TBWY2JE3ICZNTjwzNtm4bVvNeYppJHp0ujo9PgrOMZdINCsATpJsUqTc&#10;ViIhSq5wIeslZc3ZDuz9HeqIiIcwfwOAGGO5O4lITKkozZrFsrxvYjAzS4gAkHIqDSc5y1tvvfHw&#10;4YNpTB//8vmL15fb/fjy1fUUxxAqVfDe55zNYLvd5DwO4xYBzJyj7sWL1z5Ux8dVlt0bbzz84Jtf&#10;9z4ggZlNcaqq+v33353G33p47z4zSo7nZ2d1U5+eny6PluzQe0/E7EJBiUV0s92klJo6FGhBTG9u&#10;N1NO4ohCWJycnDy4v3v1Sna74iQuuUkIYKIA6IqRWiRP4+7m2h4+wKzDbtf3w8WjR6U3Oue82+1y&#10;jItFa2Bt20xTYi6ln9AtFn4W01DlveTsggcDMEwpAxhobpoqdSHjEDBXYN7MlZDOWeNHKpIV45SI&#10;CGAShVA1xMQuIGKMUkOlhfITSFklG5jEbOVAIGQgrKpKVMdx2PdpHMb1en213ii/btqjqqqJfF3V&#10;4zjud/tiZwFRyTHH6WY79hnNgvN8en587+Je3Xbr281mu83lSEW8I/nuLt93t+LjoyNEdN4jYOG8&#10;b9drSXGcfrUKd84zLYkJxZfHTKqGAN67EPzQD5999qmIvP/++wradosQgnOEgMjgu7oOgUhzziAp&#10;pRFMYT5ZLKXk/vIv/noaSydSHMep3MpzTgVsMBVV0KySJadcdjE1U1HTcmqXiM8CmOjhfFOYr5NK&#10;RgqGgKomKllRHRqglCJuxhLrnbJYVkBkKpodKYgpIYHNHnZExLk7ZbabI5JCyYjnwsIgopXjBMBM&#10;ynQpDWYImKPuSpdluRvG5L3PIllFDRC0rT0oqAgYmYERF4ZYJTMZmBjanIPBTMyiCoxikg2ZPQKA&#10;opiSlSxibOvqqG3akvHuiAkcIBJOMcaUAPHevQcuVP2r6+tXL+umOz+/X5Ntp2hUq6Fj8s4jkkhG&#10;M5MpTYMPJCqSraraRdc+e/ZJTqVNSGetJyDYLKf+cnc5fAd2+Kd5IhkiEJAhlsx0BHaESuAZmSAd&#10;JLWHOWUi5phlNo9yGVFnZxd/8Ad/8Oabb5WDBhBNIWc5MDdExF23jDHdXq9D5WJMu/2u7aqT1dGP&#10;fvSjf//v/zdElDkaAVX1889f/Pmf/5c//MP/+Y2nb3ZH7W6/tZR3m+369tYdH3MI73/z288/+/z5&#10;Jx+JxdZ7ESlskUKp/lQ10HIWz/wxaFYRI8IpxpQlpuwARNSglIiCQRF1EDIjYu2rlCLVFWUBw2Tc&#10;LRYMKsMITI/OTi6OlwjgyJuiJiFj9j5b1JzNwDlQ07vthJlVRVKULIcoVBAxK1pEUBFLKRGhY1bT&#10;aZy8YzHVLHGaENGF4NgDKM59bICMc909GBDmlL3nELrVio9Pjqeku2H65Nnnf/In/2dOGYCbponT&#10;GHPa73emue97BMjJEEcAZsebnfPeLu6dSoYqUHlzU0qi+dv/5NvvvP1GRXOiQdvUYOCC88EXCMJX&#10;wVX1ph9ilClJjJGolG8GZj/GvN70qpQVPTkmd/HoqVe83PciyREZZCx1rYal8KKQgCSyu7q8/vzz&#10;6Y039utbMAvMprrf7nJKzjlQdT5QTnXd5JS88yqQs5iKZDFTQvSIcRxD5cEwZxUtz6Wxr6rQYNwH&#10;TQHVmZRbalYzIyjTXTRGAbWsqsZNo76qqooQSQGHMdnhGpsyZwEVkZxURCUzOyb0IYDB+ub2ajNk&#10;qm9urn/x0Se7carqtqo7X1XM3O+HzWZjIoAY2IEZgDjv2uUKTIhpeXJ6fHaxPDo+vXj48UcfX9/e&#10;FECCmKR41Msl6ZDUy0zL5WJMyVeVmnZd++jRg1evXxdcxKwhItNydIAV1zhiSpGI0JSQqiqAyc31&#10;5dAPITjRtDpdrVarUgm2XHTeO5Ec46SSkAxwFjITc8kBcj/5u5+I5FISb1bEPCCmdyJFVUCD0kpC&#10;gIQoB0kMzkQ4ICAxyozKMPBclYIAgOSK+ArRVDNBNFFTKCa44uopXbUOmYmADMyQgQqChjMfc8Bi&#10;4NAbAgZgguXXzzzCbAI3U0Q1FUCAQ4VUZkMABRA1IlKxbJpEiClnTTpbJnFemBCQylccTNAy5swo&#10;TRWcc1HKSzAbEQkwG2QRgDIO0WaJMC3arq187ckxMjFzoaMlixK7wDSMCbNN03T/4uT8qD2u4Lim&#10;9ZgyAJB3DFY2dStnryCoJJEsVVUzeRHM2UosUHlOwBSMFJCQDpcZtJIPX5YXPMjNvrqFzEsfiJqI&#10;FLMWkdG8eNtXUy0RURSLLcs5VtWu637nd37nN37jhyEEIlcK2ak8Dne/DxEAmavNrj91R5Ilpliu&#10;C0+ePDk6Or6+XQMRAQEQmO32+18++xQN66Y5xRPJKUvO03R7fV0779zy5MHDd7/+wbOPP4aUICew&#10;0hIIcKigLlt/cVYVvk60pMDqfhhj1iiaNaMBAggqIlp5Q5iyFIUbsBqzF+emmNp20bYNm7JIMD1t&#10;q64J7FzOFpjJgAiUlMipmuVc3rdZfAwQvEcAzVlFCu8CyGKghinLoSKbSlO7dz7nmFPOkgp2JiLT&#10;fi/OE1HWSfLUtkrsLJdtf27URjMDQcS65qr2bduYyNhvUkwAvNuSgqrKfr9jpmmamBiVukUYY2SP&#10;5CDU1WJ5VM52QhCRKU1TGpfL9rhtKkAH6IkBIKWccp62w36/iym2q+Pl2YmkmEVzViCsQ11VlXee&#10;zN3c3MZJVZgcE1aAELqj5milHAhMNZkKIoIaoQNkwVLfDgwKQ3/z6Sd/78izb7rFp88+jikx++Vy&#10;Gadx0S0BjMlt1ltVbdvGeZ5iTiaO2SSDKjSN5gQmYKCGYixiAIYCwBVTIBktZwNRoqQ2ZcuSzSyn&#10;FJMk0RLnBQAw5WycJbJ3ZpBzZEdqGDNOSTabzW63HYc+jaNarn1YHS1XJyuVfHt7O0ZLjq62u5ub&#10;mzGmfhgN1kZEzDHG/a43VTQIzjMTgC4WLVDHjISw3mz6cVq0R91iGbMAkvNhdbKSnG9u1m3bPXr4&#10;4Ozs/Pb25tmzT0Sy83S8Wq0/+6xpW1U9PlpeXJyJpPv3L0REABzxnJ2IAMDDOKmmOgQzYwLJcrpa&#10;NXWIKU9T/+GHv7hZX9+7f/Ho4cPV8fFy0YFVKpripJIVlGwGdbJkmvNEyW3WWwAgpOJan4WS8zmu&#10;akU0fKCPERRMDusYHWAjnGGW8sdwUfeagc6nMBNToUwIACTFlAnUlbhcQEfE3pcrHs09l6qlWnHO&#10;szfTOzkTfHkvNwMgQyhVdGqls14NrNQlHKYREqHlQzgHQolTByQiUoBkQFUDqq5pMVLOYgiAJCKe&#10;A4N6olW7vFgdna2OHdN2GLb7/Wa3F0QxcACCLIAxiYEVuTQRMmEdgnfsGLV4uhybas4A5AgpZ932&#10;fansfeuNp8tFx5CXja+2KZoCGRMZMJgyk2pGAFfAoJRD26nofr8vnH5Z0efGexMELsqvu5K0A5wy&#10;s1RfiX1BM1BCnQeJiUoScojFsXVnXb3bYlSV2OWUkEjVEOn997/2+7//+/fv3/feqyoxFzn1wbSB&#10;YAhGImqKm/Wua1tyrqQwAGDTNG+99dbm737ig1ND7+vK+zSVFkgo8dJd1+33uyx5v+u37W6xWFSh&#10;evD0abVYxM2N5USIxbhn5VKkWuqtREVED4yGqpmoRlU1SEkB1HGhnYAATA3RCLXIDlMS03JkoyGz&#10;9+wcAhFAW1Wnx8d18IvFAtEQMKfEpACGTKioYsICc9Y1AkBVVUyc8mzysqKwLglhBWU1RYScs0QN&#10;oeibRSWXY1eygLM0TYg4DIOZrVZpcXREXM8INcyZYyJSuvPMGNAxIYLGqQdkMxPTBw/u1TW/fPkS&#10;DES09g2xVrV3geuuJsSmbsqBUD7zKaaYIplWPhzVXdwPmuXli1f7cdjt+jxGkWwMZ+y4qTPYze3t&#10;MOQQfOV9XYXKhWFMN5fX/XaAouhTRCakwHVLvgKENAnPNeJUrgiEJY0tV0wNKo67y88/qUKzOD7q&#10;dzfdcvno0WMHEYg9A5oQ+fV6U9eNGohC0pyt/F0Wx5GRwSTmgnRhFlBFVa0cAfmsCElUNGlWswwu&#10;G6esKec0TaKm5CyJqKlk5hwqbRfsdL6W6SQpye1mWO/6q8vLfrcdxjEOPTsgw3ffeoNCPU3DkGQS&#10;mGTa7fYhBBcqZD+mlMQKy3VnK0spZkEAs52o5cWy82DjZPt+GPpps93FmKTMvzxXcwFYTPni4my5&#10;7LbbzW6/AbBF1+WY6iog2NDvt7c3XVufnhyrSSHCC62bUzLAcYxx6v2Jx3LnQjw7P3vjzadffPGq&#10;74fb9W0/7n3lvvbeu++++7Z3fnN7k7Op5nI6y+GotiI+ByRGpwpmJiAoCmDFxemcI0QrKb5AhnYA&#10;qJiZUMisCCqoXFC5gMWos1K1KKvUkL+k34HQRHNJ0UNVQF8CGwA0i4qalgsMFKBcDxWz5VpXyNg7&#10;6e3dDdwOogABmwtaSstkWSGQjQkQs6HNsBbPwi8AJDYDNV0sq2a5euPx40XtfvH3fyvD3kAZ2TtC&#10;SXXgb//K+/dXx62jxnGKU+fd0vujUCnTbhjX+34fIyBVTECookwYHJvKdrtJTG0VvHdMngRVcJw0&#10;a/bBV03nvUOw84vT4+Oj4D2CrlbL1QjjJhlkFSQENUFEkVzkqjhDdByn2LTNN77+jU8+/lnfb0oD&#10;ZAFk/n/4krIwzGGUMANKBgakpqiqIAhZDCAjc+Etv6RxDowOlQgAZue8qp2cnPzxH//x+++/X+Lo&#10;dY7ezGpQmgqJZ3uSqv7Zn/3Zn//n//iDH/zaB9983wymKbZNs1wuf/Of/bN+TFXTrU7Ori6vU4wP&#10;Hzz49f/hB1RYSCXvAxMjUYypKCbbur734OF3vvvdv/4v/znto5lZVkRKSUoWS4wCgGXAzB3MBsQl&#10;/JHZo5XnAFAB0UCg6NyVwAq+WphKRlLyzWLhqlaJBVAB3nzrzbPz81BVoQqEwFiKMqRIQwzVwMSE&#10;gAsWpmbOOUAcp1gebCklkaIzQQxqBuM4phTJYJrMOUcExc0gIoSoB6gBD6mCpSGtMDTMbCZmUP61&#10;5H+UQuiurTfb0UwcMxmi6dtvvfHg3vnt7Xq72YuYmGQ1mVI2KYXK0zgyITqHjkwkThFNNKbd1c20&#10;7T07ZPahWh57PvVMBAyuDgUaDb42TcGNYIZmTJbTePXylY7Tk4t7z7frorUXIN92VbccbyOgB2IA&#10;A8Yy1AtGxIC1o6+/+/TJwwe1d227AOaMmLLULCF4JJS0D+0i55jStDw+SpoBGJByjmjAxCnbth+8&#10;J1NxhAbQNF3btMMw5JgZHbkgwJJAsybNGSyJpKxqyujBs/M1EA/rzYvXr27XWwN0RTVg9s1vfpOI&#10;Lq9vnr+4uri43yyPX15d77b7OI0PHty7d35WHa0mhX2U3ZD6JJtpt+9HH7yvGmLfmo1JACDnPLj9&#10;FKOpmpnkVDCkcRp8YBHnvXfOZ0nTJiK6ug4551J0krP2w/Dy1csf/60S4jAMAOCc32w2YOqYf/Gz&#10;n/74b/7m6vLqGx98EKdJVRGhJO8Dgprt9rspTkQoKmYZgJl5dbL62te+9uDhIyJ+9PiJgVVN9fX3&#10;33/3nXdub2/Wtzdmcgcs6dyHNvOC5R10aiVswPCAQhkAAAESEFIZMKbGhITeB++cHujK4g8p2vBy&#10;EMCMkiEi2cE4pqpiagqSxbJoFlQFM0lznzMTlzsdHBRcRaFsMC8kB1wd7FAujYA6NxKXWQkKRfF/&#10;2JjKqUYOyAEzE5cfPXDaVPRgSMVRyvcev/nme++m/YZCxb4Sm7LExjnLuWkX773xxsJR2m1kHOJ+&#10;P2zWAHDS1Oq4CZ7Qxqs+ZaXgkV3tmIkq5wlt7HdCFAeu6zoGYYqApFmF0fm6OTrWnPI0rFYr75kQ&#10;RXIIzaKt7HqLDokCM2fQEqkMaqAmmj1zOUC6tnvy6EG/v/30071aRpyjqcpHDQc/5bySzroxuFOF&#10;fSk7QTSkUgSQoajMrBzNd5TNQUhQyEC6A3x/7/d+/wff/0FV1wDQ94P3oRDUeNBEzTZDNRF99uzZ&#10;z3/24b175++9/1ZwlFLGlpjxO9/5zmefv0AOT5+8+fOf//zy9eW3vvWr77zzjgJoVgRidFVVJ8kp&#10;pX4Y+n7s2naxXH7wrV/9x7/98bjfqmqhhUVNxUQtpSK5KgD1fMtn78wM0bEDZAIxw5KQf/hfVCNT&#10;RTW0snontWwI6Axoc7uNKt1y8fjJk265ICJRqesaTHOeSo2DlDeNQFUyADJBhmJkKetLTGmKkw9V&#10;VgXQcqAf0skEEYhKqVNKSWOKhzxQVFVmzjnXdV3GOZhJyjlF74MPXJYiQi7qGybPhG1Tf/c73/n5&#10;R5+8fPGawLq2urg4XbT1vYuzs7PTzz57HqNMOY9TnKZpu92U68TLFy+6RXeyWjVdWyxuIbgkKQ2j&#10;D57J1XXj1VLWxfIoq7jgpzhGSQZUhQqBCTeevfec8tT3O0vj9771QXt28if/6c9QJAMJKFVVe3Y6&#10;bNcgZfEouhJjRAZAsIrgbNm8/ejiyaOLiskH37RdNLtZb7xXYhnT5F3lII1xZFKC3Pf9kXcABGoK&#10;RgTIPEwJOKQpes8A2nG7PGqryl1fJUlMrt5ExQwSLWZThqwoykwhVBWFytirQXvaHClf7eLnz59v&#10;trvV6mR5dAQfPkspDeP4Gz/8rbfffvf1y1frYTIO3O98u+xW51RVm2G/2Y3DkMacsxIy+6paHq9E&#10;LYv4gIiYU3JIdUqqklOaptKbLjnn/X7vvffeh1AR8ThMdd0ulq3zDAh5LuLN46iffvZp6cVgRmZ+&#10;9eoVAFTOPf/ii0+ffZJjHna7lKa333rTe7cd+vXtzTRO4zS13SkzO1/B7CTDlCIzPXz08FtnZ4tu&#10;mUSmaVqdHH/7W9/yzm23m+D9FPOX54LNwSciUgATYnLo3MzSHiYPGjrnmHgeFEQCagRFCFiqR8rR&#10;Ud7ZchNW0zhGlVwUCIAIQDrbyMqIQBMxNdBSEmgAhbcAYjaZm0jmmzLNkD0A6N2yUlIWiYi4dAoX&#10;FgcJmckYDtIPYvJEDoGYnCCT995XpaW30L0ixo5FxbkQ4/S9733fgKvm6Ob6ekg5ZmGCgCySuuCO&#10;2mbcruM0OJPbm8s4RTVz3nsHRkCVo7PVKNPVZqOkCOKIPMGiCUeLZZ5GRzSNpWxxABuzmHMegtul&#10;61fX12T68OK0OT1xzhVlAQB0bePYnCdwDMgFxgkpeOcIMebc1I2kOWcJLJ+enr98+TxLLsuTqhqW&#10;bucZEDt8/jNndgAKDRDVrKh1AFERBUwAi2hMBMrOePhAi37gy8LtEKo/+qM/+jf/4/8UqsqK6pwY&#10;EUMIYGDGqmgzEqRF03l6euac++ijj2L8oXX1ru8Xi2Wo6jfefOvs/Pxvfvz3r15e9v1wslqdn5+X&#10;G1YRcTgXuo4223UU64fx6vr67OwU2D19883js/OrV69UshgQaIyl1lViTnrIiQEoKcWQyxKGiIRq&#10;UDA4ALDSUm0GYApKKEgEAGNOm+3+drND8tngdhhv1pt6tfrs8+eLReW+/m63fBhz7uqKqaSemJkR&#10;AQOmLKrZU1Wm7DhNKSWc2zVSIYZn/p+wJLcCWpY0xViiIqZpyjmXHSjnXAq/zaxt2/Km3L9/f7FY&#10;8Nx4lZAQgUw15QQw24K94w++8SuOXdfUiPibv/mbq7PjVy9fP//ii/X69uHD+0D+r//270oLZOHY&#10;gvcppu160+/7B48esqMUJ1q0IMLEdduCAoWKRUPrQ9Noiux9GocsRkyIHDx3TYfgmGmMcbdbn50s&#10;L05XP/itH1bL9v/48/+4B8kESLS6f5GH/ebFC5kyle6ichZpZksPzi5+7Ve/cX7cBpgcUNrv8rDx&#10;bdMF8N66ZWXUDVFiHlC1dpRjP+x7JmJXmVHMOaVoZtu+FxDvSA0QbBiGGPu6bh8+ejRu1uOGnv/y&#10;I8pgmXx1VHcL8g2U2CW1DKZIBtR01ZPj8/NHb32j79Xw8vLyw1/84vPXNw8ePvzt3/oXXbf86YfP&#10;nn/+2aaP5nxC9/JqTVWzqBuRnDJOiqFb3QHr7QAAIABJREFUjruB2Dnvu64bY9JpKs7QcRwJ0VRS&#10;jDGnEDjGmHMsVJCqjuM4jlNTN30/bDa7Xb+9Xd+McSq9uiLgHOYsZcFVw7ce3P/8s88cc1X5d955&#10;5+WLl/0wXF1dHh8f//QffvLXf/kX28324YP7y+Vy1/e//PSv3nnn3bfefrOpXZkZVRVOT8+I+OTk&#10;pKmb5eo4hFDXVV3X0zjGOL2+fO0cMvMBtMLDel3gipKh1dY0uyFmntA7T8hMSERlDjhCJFQR+ArK&#10;pipWNn1JZb8nRCvx9CVQB+54Zzxg+Waz86hUy6OYIZGWx7rAWuU/DkELIF5+hBCJEYGJibkgdcYs&#10;QIaGDMyHxC0zBGYKaAzAzL7yTd22R8vjtm3J834/7Pe7vu9VASUxu3fffM+o3m0HftT1fcoZeG6P&#10;FkJxSMGBTEO/vg6ebne3+92+qqrjagUmROwYK3R17d1ASui8qxTaKizretW11tYOKHU552xGarbb&#10;9VPMIjkp5mmc9pu3nzzs2nYaRl83MZuRZqMCcxXJNAM4Qu8IrJQyRLfonKNhv48xMS+PVifnF/d/&#10;+cuPiv7mq9vJV4OPrYBiB5TR5p7mAkfMZJUACCAbSNk7Yd5e8M7AiYCGjrlumn/2z//5v/7X/+bJ&#10;kyciWuqcvfeEPMXoncupBDGYqhYrOgK999573//+91OeVMotKRcx9PLoaJymH//4x6dnFxcX98eY&#10;fvx3f7dou9/5lz8ixznlsic79ogxZ11vtiIas1TsVqfnkyojaVYwENWUc+GfCwplgIxgSI4JsiER&#10;Y5mUoJIBFGBOKFUAA2RQ08zemaEYjWIvr9f7YYqik5o5Tvv+2WefXt+8/vBn//gbv/6DX3n/Xc3i&#10;iTw7LrsgEyDHpCJSshqJeJjGMU5d1yXJU4wxxlKriioCWSSNU19smGmcEMk5X/CxzWZDRDFGMWvq&#10;qq7qEt1IRKvVqm1bM5umQdVCCIAcU0YCdjwr23NedO3J8VFKF/0wPH3yoO2aX37y8XZ7e3N7/fLy&#10;8vzeo9v1RsWYnGRtquC9H6exjNh7qt5577gsT+zcOE113fiqQtWsOsTJEMY0pZwQUVJm56cYU851&#10;FUT1drO+WV+lmBat/9q7D7+4vvxP/5U3ux16AoJ21T1883Ha3g7T8KWGR8U0da2/d3Z8etSSRosq&#10;BCoyTGOIbdU2zmPnARiPF10/pk2fJjHR5CGN2+tucVyFdrvfD8PYLpZMGKdUh8V+twPIZJZiXHYL&#10;VX9ydp4a//zk4vbyCwU4OX3YHa2MXJ6t2MqqCcCMmF1dt2f3GyTKWd7J+e33vv75559f39x8/Oxz&#10;Ynd1db25XQuAogOufOWj4JAFDP4fut7jSdIkuxN7wv1ToVNnVWXJFqMa0yMINGxILGZII5fkkrbY&#10;BY9L7glXGs34D/HGxQEHklfesNwFBqMx02Kmu6tLp44M9X2fu7/3ePDImoHRmJZWViKrKjMywv29&#10;nwT2491hWVdF0/chFGVZVQPDPicKlWXBBKiK6JmQEvkie8aV+K02DLwvnHOqulotV5tlkphUzIAp&#10;G6YFkfKa670/ODh89uxZUfpmUJdl8+F3vt12/WeffYYIT798GkN/eHg4Ho4YaWcyWy43r169nM5G&#10;3WY1GjZlUdy5c2c6nVZVZQbOOzOJoQWVdr1WFcccQvfll8+ZuWnq8Xg8HA6YOc+yGRNHZNcMB28V&#10;qHk4NQURTWAgKXussrBKJKpajiUAgLe2YjMzE8i5YFl9+XZgzmwRkWxJSFKCHE6bnYxGCIg51h45&#10;G1pyHfB2eUIgINzmUN4GNWzJTCIib6CAimSYTTBICEzgwQjB+6J+/OhdR265XCFX0+ls/6CMIcYU&#10;HDn2DhDbtv3Nrz+5d/cBUdH3UUWZCASYoPa+co7ZQlj3/aoLEFTBURv7qaOiKgSAHCtYXRbDpg6m&#10;TNQAzwaDpq6cmfdMyFXhDADRAeHubCoGEag3Gw+a18+eFsw31ze+KLtV2KRoBbXgAQt2jh0bEnry&#10;zklyWQKe+9lSSmBYO++cn0ym9+6dPH/2JeRUsj94Q/j//9Xbt62cDw0omXDuA1bI6qT8vMiX3RZq&#10;AwKA999//6/+6q+Ojo/btiVi1U5FkTD3dKeY0HKFs6jJbY4+3jm++/3vf/93n3/G7ES060LumXMO&#10;d3b2yqqezxdFUT9/9qKuqu98+8PLy6v9vV0AFAVTca5A2JhoCPHi6vre0YESfe+P/+SnP/nx/OKc&#10;zbLwMcTYd2HLWYkaQIZyfeGJiMwUgSxPEiqSxfV0++hhTlJNKMmAfAlFHYw2UYNoMnNFqaartmvb&#10;zfJ6fnFx2ZRuf2fy3/6X//zwYL+pKodo6IAAgcwkpcREzK4PMabEzola1/ebzWYLhceokESl7/sc&#10;hm9JlsuViK7XawBYLpd1XauqKwvHu7NpvdlsqqoajUbj8TjfQIgwGDRmmmIUtcIVhfeF99mL0zQl&#10;ojGCpQiQuna9mF8Pm0ZFzs8vL6+XmfLI9SqTyWx3Z7+L3Xq1ct5FSZbLIgn6mKxyZVFS4QUsO1r7&#10;ftP3fdu1CDBohohoqnnB7UOQ1M2Xi8vr69AGV7iyLCbjUY4FCyZIDIjD3Vk1GWxu5mrK26hBcwR7&#10;s+n+zkxTD8TtpiWiEGNSabt2mEYFE6QeJCLosChKX8dkCbjAdHG1SIQF4vLy9HI+Pzi6MxhP2i60&#10;6zaE1K4Wy6trjzCsB4PR0BEXjB98+McXZy9v5tei2gmaQBSLQYqyMDLvXFFWZuC4QM7V7GWhdnJ/&#10;eOfuSUzCjl+9en16dvH69DRrzZuqHE93vHO+KvKY31RVUpnWw5ubRVM3VV35sqzr9KMf/SjF8MUX&#10;n3/86990/cYXDthSMiRgJuc4pZg3GOZgajFKdpmoKTvKqI6mTJ5tt4U7d+60bRtjagaVL/xgNBh3&#10;U5jfZCTo3SdPPDtEqMuSkdDx/t7eVy+e//SnP/nX//JfPnh4v/LeebfZbNbrdfYk5l4lU81+Mklx&#10;OBzcv38/xugcM9NqtcpxcGpSln44HA6HQ4cAmlsVVVQNDbLIBbJvRWUbz2XbAlfIwgPIyvsM9dOW&#10;Ws/OOjUiMsvePVJAQ9TsxkdSUGEGQjAgJmLekjZM7BwiwdZ6Cbe92USOeRtSktF/Q0RDVANkn00q&#10;QMqOzQCREdjMSbSqqI7uPrh798Hzr573bRrUBamvXFMXmHcsMVXV0+uLFOzu8QMNVvkKRR0jITqi&#10;ynNTloSKqIrax5hA0bmwaZOqKwqNgR2pQlUUTVlySp547MpxXZXOEZjPtZVghMQO0BGRE7VOsHHl&#10;/mxG3Vq7sO7TcNJsIqwiOF8Ec0YlkQcEQk1JSs+F986xasphJ0qcYVkijjEVvsrhzSqKcGvWuSXE&#10;bg38eaz4fbjONpcDDIkyfaWGyYwNESClLbgkZowoojmsDJkPj47//Ic/2tvbjzGGEAEwK7+JCLek&#10;AhFCZqctExBiZsbsU5Jf/fJXT548GE+aLCTL+nJyzOzY8d7ePrPrNpvlcvnixcvJaOw8qVh2z8UQ&#10;feklyWbTbrrej5qDu3fvPXx4+uoVpKSSsnArSIopSVIBMDEkRVQB8N6BJE9MACriEN7a5tk5yY4o&#10;IjCQKOR9SLbpU6/QKwliNGFiQ0xmBtQLvjm99KTnr19T0j/+7vfu37s3nkwMzRVc+bJT05STPKxt&#10;u5gEco6kWYjhVjmW7VW0Wq1CCOv1OvVhs2lDCHk8dG5mZiEEVc2TbM5KcM7FGNp289WXX1VV+eTJ&#10;k6ZpEGLqekfE2VkDllIiRCYwE2KMfT+/mauIicX8MAUxJTREAzTa39+fTKfrszfBkgiIaXZEZ5Y0&#10;6+VjSn1YdSH2fR9TF2MPalVVmyRyRT4qnPMhigLcLBfrtlUjcXy5vHl5fi5Iyk7yE5CdAsyO79yc&#10;X2m73mpPNKHDuqq8d13fO8hfTYgpGVgMMS/Xg2bgiE3E++TZe3LJjJoiLJFZMK7C6jJtVmev4oHd&#10;bXtZr8NkPEaj2PfPnj6vy+bhkymV5Fwx2T0o62owujo9PxMxInd9Of/0k88++ugjYPDej8aTEGPh&#10;SyLGHE8IyI635EhVnty7/+TJO7/99NMf//jHFxfnojCf3xDhzmzmC59V+qKpUGTn62bQDJrhcHTn&#10;zp2Te/cuLy4c83ZIzvm0hM4xEdR1E2NcLpeqGkJr2yhAYUJVEJEcNEAIkvcEhKJw+7t7l1dXpgaI&#10;q64dTKbrdvP0q6+Y+dHDRzuTaVkU68WCTBlRYxoOm69//X1GPDk5qYpCUgqhy9EkulWFAQJaDiZX&#10;M9OyLLx321QhVSKHSEVRxBQ2m83Z2cXp6bm7ub7e/k3QbJ/U7C207TpC2X/3Vu6aIfmts4G2biXL&#10;VhkkRgDvsq2FPGzF0BmVzaRONsmgwe0FAxkRZ2LOWwgiyu2wnO+evPfp1tFu2V8polue2RdqAkgE&#10;KABoTMC+8Hv7R3fvPVDBxdXSlMicJohdYuZcuTqfz2NKz794/v477zdlAxoqVzrExhcFIWOaDOuS&#10;qS6cr9xgNLT1xtcNIbbtq7btso2DDBxizX5c1JFT4f3Ql7UvCBHA3DaXDIjBOUACgKSSUAgIN4vr&#10;zeIm9ZGooGJKzY4CCA/6PnZRhaQAcG6bIeI8M6NIKsuqaYaIFGNsr65iiimNZ9ORc76LAf9QRXZ7&#10;wRjaH24vW04lb5yo22QENQU0QDTjbTQDAGCSRFyoITPn0fj+w4f/5t/+Tx988EEm9Oq62YrDHTEz&#10;mKXtyb6VwRhI/p0Ml11fX785fbNarVISx1vJEwDWVb23v1fXg48++ggB/vrf/bv5fL7ZbFar1WQ6&#10;RkRVCyHGEIvCI+Dl5dXOdFKXHhE//M73/uO//9vYtdkvomaGlNSAEAwTiCMWNY0aYleVRYy9Q2RE&#10;AQDItlxg1Zz2djsP8aZdX6/7m1W73PQRwIAUQHOsAlAC9MSGDkkA4MvPv2hvFk1Vf/DBt04enIwn&#10;I9pC/hhCWC1XV1dXy+Xq6Hi7EUYRh6CZMFIRkNevX6/XazObjMZ7e02McTgcel/k88XMuhjLqkSi&#10;fPeYWQj9YrHo+64sfYxxtVxGETPwzI6JyNq2kyjL1TrGQIQAEmPcrNcvX7w4Pb9aLtZmpllHrXkq&#10;hNF4XNSVMVDhY4pAkOUe7hZtnS9vJGlSMrOyrJq68uMGLWe/qoECEDNVVQGIFxeXV5fnIcWE7ouX&#10;L/+3//1vPv3qZZtEkIALAUuAHej06O7Runvz6cep33hy2WjQh7DebDCRRCaCbJs0g9D3QVQNq+py&#10;UFVl6E2BuQCmkLSomoNJU9RNQuKHx89evfnlrz/+4vPPlqvYB/jggw/vHB1Nx7O9vfHuzp6kdL1e&#10;McKgLsjXB3dOhrP9GJMoJH2a7LM+ifRRZTVohvPL64PDo8loXFZ1UZamykzeF0hIzLPpdH9//90n&#10;T37wgx9sNuuzs7Nf/uLnv/vd784vLhGgKIu+e40IZVXt7u4OhsO9vb2jo+Pd3Z2///u//+Tjj1+9&#10;egGghMbMKCASneeTew//5E/+ZL1eX1xcPn369Ozs/Pr6uut6AOu6PrMdmL3tt34zMBCR1Xp9fTU3&#10;hfPLq3/8+JPBcPzFF19czec/+Oijnemsb7vxYFg7t14uQYSr8hvf+DoXBYEx4Wq5zBX1W2tIlp1a&#10;Fo6DqWTfIWwZl5y9t21PGAwGMYbJJKaYDMyFtrtF6C1Hamy9K79H7UGR5HbaRc4VT6gmuDVXUIZu&#10;yBF5xmyXFGVfAKAiAiEwI5FlMIYg3xlbvzeYqBmS3O4o+f7RrV8fLYcCQE5jB8LcKZnJWTZjdAwi&#10;alv8ltAPm3Hp6+98+D00tzi73qza0WCkyWIXQcE5l2IKMXSbTpKlkGbjHVREs8r70rlhRYOyMOlG&#10;g9qDDesySiKXA4ocM00n46osY9d77xHJIdfI6AtxvvBF6Z1zZGo58pYRFYzQUDOiqyKC6pBYVSz0&#10;qGCICj6qi8AKVRBTdNkaQYTOOecZBdhtGwFEVSQqECJKShLFsfOuCLQBQxEhhwa0BSLzlYK3FNX2&#10;ubh1frzVK+erh9BBLqxXTbJtWkFiNSMkJHz48OFf/OVffv/7359Op7mTA5G2QYdmZiCiKqCqWbdh&#10;pgZb6jiT2Ao6Go+vb66JnqgmAMv9r9PJZDqdvffe+3fu3PG39+p6vepD7ieNZpbiFrb1zCGE5Wo1&#10;nYwY4OD4OKp1KZBhSgJEZuLKSsTqqhyQq5smR05oSvP5JcMW6lMzRth6tmIi5wQgRjWAoqpen5/P&#10;120vENUMyBCNAMgBARAhkiAROySsSucsLebzDd78tNt0m9WDRw8Ho0FVV6YYQxBJbdtmm3SS1McA&#10;AIpoKiIxiQRN19c3zDQajSaTCQJkfCzrD2KMOVUvH2eZ7U8pdW3Xt11RFINmwIQXF+d9COPxpCwP&#10;iSkm0RTBoGvbPoSsUM80T9938/l1GxKhQwBIyuhMlZhC6DehEzQqvfcsaMjITJqSqrJzlBKVzgE7&#10;9sxcePAeTSzEpAYpJUIyA0ldu16dvn4RuxWiuKL65PPPFps2shdfGJCKGYKxV4RAunPvweLycnX2&#10;KokVzomlVdvdLNdW+z4Qu1ysx4iUEsYUDDZltWBEAktJVJZJLEQZjsej8ayA0qPRsOC7ezfXe1+9&#10;Ol9JFzZyfXGxM56YJrzSGNPxvXvZvNW1m8GgGY2G9bAoYgKgR48fF2XVdV1dlXVZOuJf/+OvP/7N&#10;J48ePto/OMhOrOFoOBkzsScwQigL39TVZDJhpvffe+9r77//8sWLv/3bf6+qzruz09Ozs/O27c7P&#10;L/s+3r2z6rrw5RdP//7H/3Fxc6MSyqpEVO+8QHKeprPdP/r2t959753Qxxjj+++/f35+8erVq2fP&#10;nn366acxJgSt68p733WdiopJliMS0fx6vl6vMwv++vXpJ5/99vp6/t777x0dHiEiqlVVxWCeqGAe&#10;78x2d2dJ1FT6bg2mOdfRZMvC2m3FVE6gysb5PxhWsy4ZAIDI1SWpFVIqILgQEiIoGCoCARgZGCAg&#10;bLVFCmhI6DiHSdK2Ei7btxAoB4qRgpkHZAJEBoIorizBQBGN0IA0SwxyMAAzZD9bFjgR3MbNIG6V&#10;xCa5kTDLSdTy/275xMTtwUjoVRWUQIycBzPPxWQ4efzonf3ZXl027bLbrNaxD37MoJJiRABUTUmW&#10;N0tJqe26pmqYKIRA2jumQVWOaxsPCK3wDh1CVRZgUpSlYy9RQ+gHVVV4n2J0zCkl58Azkfei4JiJ&#10;ANGQkQAgBy0TmkLSlCTlm5GZPUNBWBce0CesFf1iE3sunVI0dL5wDgCic0RMgJYV4WoaUyIn6FzJ&#10;HhBFdLVcX5d+MBi0m4WoOOcUAeB2gL9N7dxuplsb0VZcCHl0ALiNtc6mEBPV7f2COTUWgXA6nf2L&#10;//6/+/Mf/vl4MmF2AOi919wwLZKJ9RglA18Zq80ewby7AFhMwTl+/Pjxer1WEyZMOTpM9fj46PGj&#10;h4NB03Yt181kMmma5t7duwBbG5ppUpGqrESEUvKFXy6W/f5uQUDEo/F4vbxJIlGEAQ1wZ7pD7A8O&#10;D8fj6c7unvcFES8XNz/+u/9neTOPMSYRjygIlLFcA1JQwKCgRiowX7WdCKA3U4OcME7ADLxVMybR&#10;MmsuHQ2LoiR0BqT6/OmXp69eHN49evjo8XA8TX0fQ1zcLMzAObfNGQM0Qk0pxj6mtNys59fz/YP9&#10;umoQKMZe1dq222w2zJxSBDAmDjEWUuQYhRD6svAZBC+KAgH6rkOisiyc4yQp9J2odG3MTKl3PsZ0&#10;fX29Xm9OTu4ltWevz/ogjiAlc4TJlBDW7Wq+ujm/uXSFHzSNIiSRPFAys6j4omDnVUHFzk5PZ7Nh&#10;Uxc5bweJ0bZJtRL701fPXnz5WwaQbrNerVuFhGRlAwSOHSdh7yEplyWCcY27d+9p362vrxOima3a&#10;cL1Yq1SFAyIyJHCemS0ZSOrjatg0aWiq1vddt94kBUBiIsfeO6ybqg2bSeP+kw+/fnhw8Lunb754&#10;erpezr/66ulwNBgMqzPH88VN9peMJ+PRaKQGWSVVleWwab723vsxhKapmqa+ns/fe+/d3/72dz/7&#10;+c+6rpeU9vb29vb3v/vd78x2dibTSVlVOcsO2ZiobAaDB4MHDx5+7evfiCGEGH/x859//PHHr169&#10;7roODNu2ffrl0/V6nWKsqkKF2FFKEmKPDpq6+sEPfvDuu+9677wvYoh1XU+ns7t3785ms5cvX67X&#10;a1V48uTJnePjm8XN8maxWq1Xq/V6tT46POw2QZKC4f7+gffFx7/+zXvvvvutb36LDM10MpsNqqqc&#10;TRwRiBhhjH3OZzMVJoJbdj0PqRllB1MzkCSZ/pCcFnXrwN6KeAlQIafpmoETYuTtXYScaff8LxIS&#10;AQFlQ7l3QJRPRkQWU2S2TBHkpYMR2JByFAkBJdfUMQri1mlv+Z5gvZXOgmwjPbIWALYGi9tQxezB&#10;pFtQB4lz8F+2d2wjJw2ZPRgOmsFoNCmcr4vmYPfgYPegKevQhfVitVouTSQTAqBiQgLQbTbLm/lk&#10;MomEg7oWEZSosUeAui5KFwdV4YnQxDF7JtStu23Y1FpVKyZEFNWYoiHgtneYWZQIFW95K8St7lNv&#10;/T1qZsaOCNGhVaUbDQdivEnFpgutFbHAlKTvA5iaKrACqplJ3n9UkMBAkwgjgydViEkI483Nzd7+&#10;QYrd5eUZ/MHb2zFDbzEvyLkvitvtFP6/rkyGt+2V228LGxAg/vBHP/yzP//hbLbLjjMQ1XWdJEtp&#10;nVJKQd6WnQBA4byaErOa4La3OG02mxjjyf27ZlFUHLFKUhFiP5mMnXOLxULVmqoZDYejYbNc3Hjm&#10;+XyOAMNB9XtCi1mSxBj6rgfPzO7uvZPXL19EtSAGkg72D8fTHebi8OjuZLY7Hs+KomSi0XT2kfe/&#10;/fST1y+eL26ubYsjKiAbIQr2KazWnRjqqgtqgE62sS63ODQREAMDAAEbkUNKiIrIjqBkHtWNgUrs&#10;Tl++QLO9w2NAbkNYLZfNaORcmV+6CiZqKcau60JM7aYjYkkWY0zeq1pV1V3Xbl2T2UcJ0LadSEoh&#10;gllKMfS9ilRVWXiXUnLOVVU5bGqR1LWbGGLbhbaNuXKKsuVwtUamw6PDqmmG08lyHVKE1WKzuJyz&#10;KTlynruw/url03sP7nc33cndO3KbHpsh/lxNw+jMNPSdpFotG3hBVIlYVQkMNDpL++N6OGgGl9gK&#10;qi+XfbpoewPHagwEgGroDQUByO0c3vEGF9XrdrlIm+U6yMV8GfreMTjHwJ5yKLwksogSj/b3trwi&#10;cZ9S1/bErutTVGMGh8oayWDSFA/u7Rvw6zeXSeVmcbVqF+XKl4VfbxbMzrmyGTRV0xzsHxzs7VWF&#10;Xy8XTVlXTd3UlfceCHf39/6zf/Zn3/zgj7788unzZ8+vr68N4M3Z6U9+9tPhcDibzb72ta+PJ5PR&#10;aOTIISA7h0TOuaOyzPGfo/H44aPHX3z+xevXb2Ls27a9uDifz+dMROj6FADQexdjYKJ79+6+887j&#10;uq5yBEVWtBdF4Zw7Ojp69OhRVVWbzfrJ48ff+MY3ECCzd59+/NnzFy/Go/Gb7pwQi7KejafdanNy&#10;cu+PvvlHx0fHqQ/Oucl41JSVaYpd27VtlCApIKGK0ttlJEfFI+otcpCzjEMIopbMzs/PU0rZfs/s&#10;/baXlj3n6YuByEFZYOEyZ8WOM3wCCPmCQUJCVjTYjuVA7AHBRMD5DLxbRlYIM49KiEAeHZAvLPVb&#10;fx8QIOaDKzep0HYRyYqk7WqSuWkwtaxTRgRFBdiS1ttM4a0EjiFHxNBoPHlw8mB3tle6wpGvi6pg&#10;58DdLObtchXaznmX5yo1TSklSSGE1Xo1m82Ksix8mTRKYovBozVVhakrHfn8CDGhmWOnMaQQS+Kq&#10;qoBHIcbYtUmCGoIhkyOXw7eAHOaz3MCyK0hF0bbh0QhM4Byyd8wIRcEhUFnV6+iiYJeSi9rHyBo8&#10;GJaERJKS3VJkiKgqomop5lZmQA8AfRdmO8PZzs719aWqAt9SLnh7W2dq8PeXjm13xu3HWcZA7fZW&#10;yXF0WQeYBYFlVf/rv/wf9vf3iEluyxr6vo8hR3xpVh7n/wmRLImBFWURJaYUN5t2s9mcnp72fbh3&#10;cufq6ix/AjEmSQkp1XXtPT/7/KsYoyMnKfVdd3FxcXV5dTW/bpr6YH/3YH8nxq7xg1ymEmNcr9c8&#10;bIqqeuedd3/64x8njTGpc/7w6K4rq8LXZT1yRaPgiApBBC6//sGHd++d/OMvf/Hjv/sP/WZjIogE&#10;pKAkGpabzWKxTooKkENEVbcP1NsxCJiNsgScDNVAkZAJmKEquCzYMxuDIa5u5jfLtS/rZNa13WS2&#10;470HJDFIKQmYpBhiCDGp2WAwCiHM5wsCbJq6rmtVIdqWpXZd5yvXd13XKaox02aDKSY1Y6Ku62KM&#10;uYgIQNerRdd1SG61XK5Wocs7DGBKabVuh6MGACbT0Xg29dXQcfXrX/zmZ9c/LQalq8rZztiXHCBW&#10;4+blVy/WfQtolkl+zDBIphahcP7w4LAoi2xWzd7nPMoRoWMbD8rqzl7peFITkqeqXhv+9sXZxbJb&#10;tpuTowfj2W4yfH15sYw9eqdWzY7uDcezm/Ozxflpf3N5tVi3641nc47JF1QU7BxbYlCSsOq6aKaA&#10;RVUh881qZYAiuImxcM6j1YMSUUR6h4gghUNU6FWTJYsStQvtBhQU0PmyrOs3b04Pdncnw0FdFoO6&#10;ns12ZrOZInLhyrIuq+r+w4ePHj/p+77dtOv1+vXp67PT0+fPn3/y2aeD4egwxpSkKIqqqnaqmpBT&#10;SkhsCGppPJm8UzZ3ju/mw/r582efffrJ5198/qtf/jymntB86ZqmNk2Hu0cffPAtIooxOmfbno4k&#10;iGim0+n0T//0T6+urq6uLk5OTibY2DqAAAAgAElEQVTj8XDQ+KIAwN3Z3m9+8/Hl+UUMLx3zO0+e&#10;PHrysGyqjz76k5N7J4PhgLazOoa+X6/aNvQhhTz6ZrwFmXNuMAGqqpiFGBeLxWKxyCoPFetCv+m6&#10;X/zyl9fXc18UzFwUZVWU3nnv3aCuc52ML0vnJmNynBMV0bGpIrIhyK0ZDZANtlR/VlwD5XFja92X&#10;/LIjckhgkvH9/L7tKTDclvICZnOL2Vbm9HZIvv3x7bttlbMAkG0wgKBAObvXANUY/WS6s793MJvu&#10;HR4cOi5QkYA8Uupjn9qwaSUEM6mqAtAkU5mMphZSyI5LRCybUlRBI6Gx47qqwjypiHeEJqCSN7p8&#10;GnZd1/YdOAqSkiVlSKAIamgux16SEdE2VlpVTQlZDUzNIQAyMznnnHMEtpjPQRG4rAYjuVFAF5IV&#10;2bhk5j16l/3bljcAUUUiUNlihIjM7BwTk/PEjouioNsO53+yk2yBMchLYTYoYeZH0FQkgZpZSmr5&#10;RjTFDLgjZs3MO+++993vfe/o6LgPcd22opBCiDGKSOhTVqbm9rau6zabTd+HFIOKOM997EKM7abb&#10;bDYXFxfksO1WXbd69Ph+XYxijAaWYvRMd46OLcF606roqqrb9eri8nKzXq037WDQLBc38/mFd3R4&#10;dOiLgohUtN20w6YCsHsn9/cOjrrnz2NsJ9Pd8XSnj8mXFVGRTfhAPsYQk1XNqK4aREfk/v7v/sP1&#10;5TWxEUJKadO2y3UXoqRsDEK6xfq2ihMkQHbonCKoKSHCLUxNaJUvCu+94yy7JKa+bTdpE2S+Wq/7&#10;LgJk2RimJJoimmkMKeXYNG2apm3btm3XRVE1NTMPh4OsQs7xIY5pvV6pSuF8XZcqKpgK55g5R/0j&#10;Wt9385sbVelDZF/cLFabTaiaCbGLKalBTAqIZVkMR8PhZDae7Lab9Lf/99+OhqOd3Zmvy4P9/cFw&#10;UFfl+flZ27aqmrNQ1RQJt1obyyg6VVUjBiImmrJyR8wQwDR5RoYEqUPDsTdNm9R347J5cjCe1WVQ&#10;9/VvfnP/6F4E+vzlq3lo5217dnZ2c3EtfWqGY0hpLamV2Mc+ScKYrI9GPTGyCaOyycX1zf07cdQ0&#10;ZVkOR2N5dTZfLJfrtl6uC3ZVgWXFeSCQpKax8BiDEKMxcMHM4AQlam5PWa1Wm81ms1w2dfXk4YPd&#10;2QwBRASdU7M+xhCjiA2GA+f93sHw0B2dPLx/c3394uXL58+f3T25V1e1gl1eXXnvRXU4HNZ1LSJJ&#10;JYYkSQhwNBx670XETM9P3wwHTV0WKbVqul63w1Fz5/7Jo0cPJpNJSjHGhIhErFtIAUWEmff39yeT&#10;yf7+blPXhNg0jfOekO7fv18Wxfxqfv/kgRk+eefdBw9ORuPxZDap6xoJnXMh9H3sF8tF225EYjSl&#10;7aFrTFuOFgBUZL1ZxyR9CBfn58vVxjkSMWYXYowxXl1en56d5byVLADNRhfHBEjMzN45qErgbIJH&#10;zXGAuanQth1gmm+F2/pcJUIk4wzw394HGZsmAPm93zvHKVs2C9k29moLM2Q7RVYnZPvNbXozvLVW&#10;0valiNvLBszMBBE4i9X2do8fPXh0dHjE6IjYkZMkqBZSiH0vMYbQ96EXTQYKJghu++kiSRJASDGl&#10;JHVTp5RU1YOCY182iwhJABE5K/oZFVTBFDWm1IeAzmn2EZGDt9gXG/Fbv2oWA29PeSZn2zUA2LFz&#10;TCBh0202LbmG6mqToE1sVDBS6QqofGyRHAGR5A2RybbdWXqrhCBiYs9qqoDkGBB9UWbNRX7kKRsr&#10;t82pW5o/y07grdwAQZMYZTewZSEsgllMYGCA3hUffvjdP//Rf/6d736v7boQ+hgDIBXOiUQixwwX&#10;Fxc3i0Xf9svluuu6rmtDiH3fpRTNTE2SSIySYjSw1Xr16s3Lg4Odtm3Ho0FM8S3BUFfl3Tt3RsMR&#10;EV9dXc3n89PT0z70VWVd23WbdrNenpzcWa83kxCKwkvCEDoVQYK9vb3j4zvPn71Ug+FoUhRVlN4X&#10;FSC9vVVFxAD6ENBgurP/0X/6Z//ws1+06QrEMEEX+q7tQxQFymjvlmbEW1MXIzLnFdQg7+FChs6A&#10;VR2Cv63WznIZiX2XpI22bLvLq6sc1iSimpSYRVQlpj5ISrkPrSiqGBMQtn23XC2Lwk/GIya6urgw&#10;EUdkKYGISlTClNgNGAEkJUIsy7Lv+5iS8y4mXS6Xbd8b0GbTIfmGGDCXoGBMibmYTGe7e3vTnb2U&#10;6PL04uamu3vyzvHR8apbDptZhdXReP/yes7RvFEucrAcNA4AgJLMOU7JJFlUMbAYe2Ioq8oR5C/T&#10;sZMYpe+xZM+YMC0Wq06vXTU+Hg6LanRnwLPSmsnseGe8Qb5er9+cXX7+u9/96hc/33QdA0wn08bR&#10;+mYusQspmELUCGAE4sDQ5Opq0fZRAZFd0wxdUa67qzcXN3a5KAo/HJXVoGRxZTMgABN1jIDqHEp2&#10;bZN59o5UjJAYkFS0D4GZk8J4Z2823XGOkmqfogEYYB96WxkRhRiapqmq6vDoeG9//+vf+HrhC1WN&#10;Mc69TymG0Pe9L3wRYowpgqGKIhMBrhaLZ8+/+ulP/uGTj3+zvLnZmY4RY9ttmrr59re/9a0PvrHV&#10;gqqYYVIggtBHAEiiIoKEakqEVVVlr0JVVM55Zp6OZ0eHhyqKwIBUN01ZlkVRZl2MaEKzlOJicbNe&#10;r1KK28nejJFUBYlUc8qmXlyeX11eEjpRXdwsctVXMlSArksiur97cHU9b9teTaOqdQGRTEVFyLk8&#10;lDt1Xm8NE3m5zXtGzow0YgC4LZdEg63WK68Rt4LlbLIgAFK0LG/DrdnqNpgE/uDHW1/G7Xtedwy2&#10;4BcgABCFGJhJwVRS4YpcZobgmMqd6f5sZ+9w/2g2mTh0EiVJADIVQbPNet1tNmbahU40AmiI3Wbj&#10;y1K9Lz03BihJQEFFzYydAzCLhp6ToHHZC3RB+gIGBQAamomBAiiCkgKhgqmCmJkhb2PoVZHY5YJO&#10;zBkEuC2tQQREdgjAhM4zMkBKEjpTW/dJIC5T29s4ARW+Kr0HKbqNJqXY94UVhEjkspw1fyNATUBI&#10;kiRWM2YCIkAui6qph8vF3BVZQpa7UDK9f+uRNsuadNM8fADkrLfbXcckJVNPBABVWf8X/9U//7N/&#10;9sPH77xX100IwQByLhYieO8/++y3b968Xq3W8/lN1/Xr1dpuK+BCCsQkkpqm8UURU0vsFKyuG+eR&#10;nUtqSSRqjDE6h6rgCNEEzQrvdnd3hqNR1/cKVpdVDLGqy2FThdh1Xd/lbg/QEPs+9EXh6sGgGQ6B&#10;cDAYHR3fjaLOFWVRAzJsY/GSqXhmU1Az77jdpJenF9erTd6nY4gqCkiKW71MhmlzcakCKiJ6D0RK&#10;qIaQu3KR2MABekNUkyQhShbmoylI2rTtcrnadB0RMNN2iyfbqkDNAEhUwKgoSgNTk027ni8WaspM&#10;dVl0XZdi9M4d7O0u16vVel2URV1VVVWiAaoVRdHUTRKJKmU9GI7GRVXPb+YvX51uNh378mb5/OJi&#10;LmbzmwX7Yv9gv6jq+c3i17/5fDw6+M6HH/3P/8v/Op1OVfiv/+avyUqK7HriVitfDX3lt+dAzttA&#10;SRaTikjXy2q9Wa03dVOWnl1BTtQTIzBAQkAmiqHvknHly6bybXf66lTxemfnEKvu1W/D5ups9/jB&#10;7t0H0+FodzC6N917crD/7vHharVcLeZXZ2dvXj5/8/LFcnFzczPfhE6kzzOnooLB+fXN2eXNzmRa&#10;Oe99MZvNzq6W0126uLq5Xq5fnJ42g8Y5pzfr4XSv8B5yED2oc54QHbrMbhESIOemqKqq796964vq&#10;9OK6S3Z0dGDMEqOpFYXPy2I2eLVtKyKeHQAwcgaKmWg0GuYueQBdr5cZznHsXrx++fLlsxfPvpKU&#10;JKXz89cObTpq2n4zrKumKaY7k/fffWd/bxcRXrx8pSLT6c78ZvXlF8+Wy2VKCZBCCM7xo8cPDw72&#10;9/b3B3U9GAwnozETO++YHGXbOfGtjCfn6CMBAlGM/WazbttN9g1g7uGwrUg3Z1+G0F9dXkhMjvni&#10;/PL89Pzw+E5CPLu4ni9XjBxCANXReHZ8fO/58xd9CIiopJkQUdwOt2rqYBvKDfp7PSuB5cz5twoB&#10;gt9fPfB2GP+n9wSqav63bwUHoqpGWzTnLRWAtwUheMv2vIXJtl2RYCkrr8zyPggAKmACRFSXzb27&#10;9+/cOal8lWIf+wRqlnQdV5qEANarZd/3RKAxmeaETN1s1lkUUHKpZinGzEW77GUiFAFmJwmBiyiw&#10;artBWTSOcGv8MSAEQiBCD6CooClpFCsYABwikCnm8h6UvLgRATmXE1YYkfhW453BagRDbKO00i4T&#10;ajEyxMIXCORdVZaNocQYnd+mRPz+USJiIs6qh7SNgifmEJNGHU+mm/VSk2guBwfSHM8DyBnnAbSs&#10;ILiFJm+vFsjAa4Y4QYTZffjhd/7iL/7izt0T9qWqVlVh5gkhhR4AifDLL7746unTru9TEhWNMWb2&#10;rihKQFPTui7feefJ0dHx82cvNm0ronVdOQe+QEcuPylCDEwsZruzWQopt0Z479uuW2/WfejLuvZN&#10;2YxHRem//PQrX/D4YNbgEMG6GLsYqCBXeDUTkcfvvHN4eLhYbJpmWJQVEolI1nYraOkrx05U2RXP&#10;Xrw6v7iO+SwgzEkEhNsq7u0zNr86bOsNc8zknGxNWrfTAyAjQm6qV2Inntk7x8yKKDeLru01ifOE&#10;YDGEsixVTHJPCSASmFhM4rwnt11AN+368vLSsRs1dYwiapPhaGd3D5BE1Tk/nkybugZRUK2rejgc&#10;dikAYVXVw8HQz3YA6Kvnr2KSJPHpV6+u5zdFWS2Xq+Vqc3z3znDYXF5e//IXvyn8aDQ6/G/+639R&#10;1vWz568Xy1V57dnZy6fPQ+p39nYcEcI2NQowp9xDjBJj2wa5vJzHmNhR6X1ejM0xEQKiqhGxJmlT&#10;B+p8XU6n07Ozy6fPXvTrfjicFNVNu96sN93O7oGvR8xFPajHg7tHuzuG0LWbq/OzVy9efPm73372&#10;2WdPn35Bizl1bRSJoROBgvDqpn19dnnv+LCpfOXcdDqdTm6C0unZZQh934W2C6Z9G0Iz2s0FuGVR&#10;RkBgB2LeOyYUMDNIUZg5JZ3OZpOdXQS6mt+cX12Tc4NB470jIlUTNAOovGN2Kta1fcCQRzVmMtC3&#10;WDQAiEgXu7KoAbUN7S//8Ve/+PlPLi/O7t27d3xwcHx0PB0PN+vl6zd901Tj6WS2N/WeN5u2qqrz&#10;y8uf/sNPHj9+N0b55JPf3blzd9AMyrLcbFaienh4dP/+yXQ6raq68t65wlQdM+iWm78FwgGQiMAI&#10;DJTA1ut1u1nHGLZNBob4hw5HophC27dt3w6r4aAetJvupiicd1XZ/OzjT25W7c50Or+6Dn1/5/j4&#10;8PB4tW7PLy5DSkiUwyIBybYl9+h+z/Lm8+s2aSBfIG99NH94wNmW67xdZQBhm85rt+Kj3/8Fu3WB&#10;bo/pt7/59pbJvzTFvA6BqVmS5ItCRQnZFMTQc9H14ejo4NHDd/f37jRVo0nRQJOoqkbt2lZFNKYY&#10;ApoyOQATSZISAuTEwBTDBta5yBcAVNUhmhkZgKUYlc3IV0LchpgERMQTECMAq6Kh5AQBUUvbTGmI&#10;qKiCCRHViBAJLBJmlTIzY34AzEQlb2iaOwwEAb1HZQCvaVsUT+z7PqnqeLzXdfMsiAghmmi+bkUk&#10;I2RFWSK5lDSLVUIfNEHleTqdnp++6rsglgwMgLb0fv6uAhFs9xX8A+4L3q6YWeiGwEXx+NGjv/hX&#10;/+rBw0fEbEC5vlpFEAzYMXOM8fzs7OnTp3VdO19YTp0HydSFaHKOEOTli+cn9+49fvxotVqDQVEW&#10;Zcl144oyXzCQYhInYDYcDefzGyISCcylmtR1eXr2ZrVZ9TGWdTEaDgQkdF0XeiBQVAFNYMmMwJh5&#10;PJ2+997XirISxfF4mntts8QhXxY5ZsIA1eD16zcxxrxy5W5tBNQt4ylvn99/8GQGZsYt+4iAv4d8&#10;mfMQZm9zd9CxQ84hHEG0Dx0heiawBCmZQ1AxFZGkuo1SIiZQU5XRcDRsmuvry77rGNEVRVGUk9lO&#10;dkpXVV0PBkfHx3VZrhZLCaGu66qu3MrlZ7WplUU5nc0ODw6vrhcpwXq9Wa7WtOmTihE7X5Tl4Ory&#10;yxcv36he/M3f/M1vPv4M0K3Xq+fPv3r5+ulwWC6W11zw3sEegGlK4DmfmLk0QZK2bR8FCSknb/Z9&#10;nwSdzz6VgCKVd865qmnCsru8vAwqg+Fkb3/f0D179uL58xej8c5kNj/o0v7Rlw+qphxOgZxnLtwQ&#10;Ccej4e50cnx4+OThw29/+9ur9erV6etf/OpXP//lL6+uLsmZpR6IvvjqRUH4zfcfz4aN8/5gf2+x&#10;2pj0sStinzINHPo0v1kg8XgyMV+Rr11R5dnAewYgBCqK6vj4Tl0Nzi7Os617NBiIyNOnXz18+GA2&#10;m4aQiJDZA0DXh9CFDNU453IPiIgmSWoCkF/LnL1fiM7MiOjk5MR7in03Go8YcbNcNHWJAE0zkFXs&#10;um5+ffPVV8/eee89QJ5Od8tq8PHHn7Vdf/fO/T/+44/un5xUZZkkqaSDo4O6rp3PBbnIyEaEiCo5&#10;VOV2cDcQFQNwjvt2k1K/XN607UaTwD95QwWLktjzq9evHdN4Oq18pTEp2J2Tezt7+0U9qAbNMurJ&#10;40fz5eLydM7eeeerqtndpxjjfHGdW1cMbzukANw/vV1w+2q8/WMAyCVIb6+IP/zYtx+Zd0D4g4so&#10;y6m259b2IkECUtTb0Mvf98a/vXSyFNjAmEkkbaPKgECdKh4f3Pva+9/a2zksfNm1gQFNwARSH1NM&#10;oe1VE6rmfvPcbJOXL+9cigIGKpIs5E+IkVQ1T52FRwAJIRYOmQpfj0O87kNKHtghEqqq5LgotZQ0&#10;iIiY5EXFTA0TSxJyhfNZ6MZoAHI79+LtGU4IIsgOCbAXUPa+rp1WECl7CBQwxBQl1YOhYcGUJPWS&#10;EqhKSpKipJQ9jEkUkEXNl6WCuZwZ7T1C5X3ZbjZZ5ISQfdWEqmiaiaH881sJ2VspmSGgEYJCURQH&#10;B4f/5n/8tx9+73tlWWZ0LQN08JbWRlTVzWZzdXU1Ho+HwyERq27DsyOAgqpyCP1mszaz73znO/fu&#10;3c1OQ+eInSFK3pURMYkgGjP5wuealN99/qyP8Xp+GUILiJri5ZurM01du/bM7z95UjmPoGwASSCp&#10;gO3s7T158s5gOAwheV9UdW3A2VIKALkbjdnZtr1YT09PyXFKovkVgVu04O0ctB2AbnlFAOAcbgTZ&#10;857x3wzdMrEhEecvzEBBmZxn2plNUop9u1YET6gxpNQX7BE0s7+aRJkMzDkXg2pKnlxdD9Ds6uq6&#10;2/T1oG6G42owjCllV3IzGM52dxxx6EMEcN7n5nnKn4dBSgKAZVmNRtB1KecwdX0ERL89gkiRk2gM&#10;/Rdffvn0+fO6HixXCyQwC76gqikL9KLJkgBo3mtv1xjMbk3kYjAcFEWJJJjN0NnwnGNsunWWPo7H&#10;U+/o/PIiiQ0Go8PDw6vL6/Vi5QkXN/NqcPnq+dPBePLg3ZGCGjLlhA4mV9blTjkbTw6PjkR13W3e&#10;/+a3vv297/+f/8f/9eL5s9VNRMBVJ5998XxnZ6d0RQ04nYyP93c/L72lFPtE4JKkvo/PX7yisrl7&#10;7yQYKri6GSJRiomLwgCKourbfjyZzma7Z5eXqpZDRiaTye8+/3w8mTSDYc5HjUkcO0TcdJ2Zmhqx&#10;q8qiLMk0m1h7M/VFUddlvqhEEyGp6t7e7mBYExoCaErnhNcZp2ICcjc3N23fAcLu/uHx8WDQjI6P&#10;T957d3xy8uDh/Yd7e4eTyRgNJIdFaTIyYhaVrLYAs5TUZR7Y4FbnY0rQ9m3ftteXF6YCDCH0dhsA&#10;mTFgBMynRNu2m7bd39+tm0ajJJGQ4ng0aIbDejAcTcaLIAlpvLPz4uXr+WJlqmVVHf+/ZL1Zj2VJ&#10;ciZmi7ufc+4aa0aulZVZVd3V1c2mmuQQI0iaETCj0UgQBvOuhfPAHyhAD+IPGAzIaYhszrCbXb3U&#10;mmtsN+52Fnc3Mz34uVFFMoBMIKMi60beOO5m9tm3PHpc19Xf/d3f7du9gh541f+kwMDBAAAOKeJw&#10;KBGHsQ+/+zPi9wLAyjHDMXMEbdTSjDyxEQor+xYA0HHevv+78L2KBgDAjlISyTn4msCh8fnpwx9/&#10;+gfPnj1v910aEiP2bT/0A6rmlEWyiqSYquCQxyQT0+yYnXOE5EjGMBgYy5h3DGqqmlN0jhkhA2TF&#10;LDQ5Ouuudtt2WFbsiSzlIWtGl7JkyVlzFs1iku8LZSbCKrjKanFGoKJcZKuFbO2ZYPTnRBRDBSKX&#10;0Bt6DhMdGBjZB2DuhsEH3zQzACYKKbemwOyIQEUlJx6vMCjhr2CoqjFGyTnHyuPUO+d9hUCAIzxp&#10;ZjhetCNTOsvBo74QMUqbh2AmRdK0WCz+/M///F/8i39J7Nq2c86XLy4e8iqZiIZhKMuYnPPt7W3b&#10;tvP5Yjabw5iLKj4U328QkVevvt1sNtPpvK5rIgzBNxP/8ccfPrw4HeO9RJhxt9t++eXvV3eru7vN&#10;119/pQa7dndzc6tZSkgGIJjkz3702fPHT+b1xDSLZBmiOM/ef/jhh5LNuSAKBuBDXYoKHb5PQxCV&#10;ru9CCCLyzTffFDY5jIGQYP/oQQSzMYnYsLA+SiozHA6nAgE4LvF7yqNjBWaVLFiML4J3D85Omroq&#10;8BlIsjwAo4rkOOScVFTN5SzeMQOo2bBrpR9yllndkPfLoxNfhXIo2btg9fLoqKomOZXkiDCdz5um&#10;WSyW237P6Ni5MmeL2m63X29aLZg3cTEmT0mur+/uVruURAxz7Chz17UGxg6ZLeccE2SN67u7Ifb3&#10;nSMREXFKKirMRULHAEbEhEwgjrmc/ZTSb//+1w3bZrt1kxqJz88vRG21Wk3ny6auXrz4cLE4ur6+&#10;u3zzajo/ms7mjx8/aY4fDGqOWRHYFYGxGuHchSSpnk1ny+Wz5y9/8Mln6/Xd3er2L/6f//ub332+&#10;7Ta//vz3JPbk4fnpSfPw4mLWNE3dzGbLGLWP8f3VDdfVv/nf/uU//+//x3fXq7fvr1Vgs153fY8u&#10;uBCOjo7/5m9+0Q/Du3fvc5YY43yx2Let8/7k5OTy8gqAHj16ROxUDR3HoUdkIicgMaYYI+3bygci&#10;QuQSk6ViBkZEOSdEGvoIAI7JB89EktKjJ499cCnH1frWOedcdX5+8fEnLz/94Y/Ozh7Uk9kPPvls&#10;NptPmimT8y4QsamgIDOBOQVJmgmQiYsrpGOWpAQIAF3X3d6u7lar1f52P7Q5Ru/54fm5C67wWwHR&#10;zNCIANUkW2rb/avXr07PzxaLheQUQljfrduun83g6vrK7/a+qgeVd9dX6txkuby9vFTRc+/Pzs6e&#10;PXv6/Pnz//zz//zNt9+mNMgh3Msd0OZ/AJUd4C84zCjjubsvTTimIhazSx6PogqAjFRYPJi7E2Fh&#10;kRUd+WjFW17GwNQAaFxzfHf7lzrH7KqqaTf9xdnFZ5/+dDE77nZDcCGmYbfboYLG1HddSokAHWPt&#10;famDRSZU2FamWnYtplrsIAHAMUNVAVjOue/70pKMRSlpNTnu/WUX9/veWA0RkqEyl3iSQ220Estr&#10;CiJQ2mS1ARFDcJiU2TMzABFSFjEVz0VUI5gRHaCvk3oRTEroKgHIMWZTFwKyM6CqmuW0S7lzDsWs&#10;WKSUbJVQNVh4ZOj0UPb3uz1ank8nJyen++06xgFMygA4bsYK8a9IiRSJDh5D49tuCBCY2YX/8Gf/&#10;4V//T/+mbibtviN0iCQpIaKoZMmmQjiaK//hH/7hZDL5y7/8y77vc16FEJzjkp1dvIyKfykibzab&#10;1Wo1n8/7fmCHAPni4vThxakqxBibhgH05vb6L/7i/71d3XZt1/btGIENBmLOsamp5PPz808//vjJ&#10;gwtAACYlRkNNYsjT2WxxtLy724qZ80FUmMP4PBNmyewcMRtiVgOkq5vbcjJLn3RfW+4Pw329MQAk&#10;RGYk0kNwNyGilTAFxvEBLoIRMNCcMxoomkfwiMfzWZQ8BmzHmBFFRFICzSACxXW5N0/UBCdmZSoK&#10;daWEY41TAyLJ6l2YTGeitm97AWhCFZoJMIe6TtstB2L2cUh9P5TKjYjzxWJ1t019MgFVu1mtUpJC&#10;FmVmqpxkIwAxjTJ88vKj+Xz69bdfEVExNCx70LLKQgRVYUJmyCL90E+mMwaXU/IOCTHnTKjeBRcC&#10;ar5drWO7rxim00kznTK7dt927V7FLs7PTk8Wm81me/Pu6y/oxcsAAID/f5cvTs8VkBxlVTQQFQJk&#10;cogmpgAUAh2FejaZpZh2293p0fHP/9N//NV/+ev9zbvVpnv0qAr1ArlHpLqZzhbHt+vtvtu3KVeh&#10;NnYCCEQnp6cqQIi02QnSfHl0dHR8dHTctn0/xCHmnAWRzHS32z148ODt23dffvnl0dFxERe31Mdh&#10;CCGEEEq2YRGEtfuuqkJdV6HyxKxqaooIxYih7fZQxJJNVdd1RGgmNTH54C8v3108evj02dMf/vAH&#10;Z+dn88VCDXyoj5aniFToSOVxZGIqDCwtBksEgIyYJBUX4pxlv9vf3t5e39zcXN/u9rs2t4piOT95&#10;/IQd55yJEUTNUEQJlZALwWq9Xvd9f3pyqqoI3HV9jokRc86X19cf/fBH9XSK3m/7Hk3np8dXN9cO&#10;sZlMNpttTnJ6ev6jH33WD8P79+/0oEx3pYIcasx3ZcYOHziK777X35lhIZbd/6VRUiGHkCs1O+hO&#10;cIzLHQsVKI40sUIGATATGe1aD0QCAAN2zjIOXTxenn388tOj+Sko5V6G3INZ7av9ZksIIhlGuU0h&#10;143xI8VRAAs/QoWQRLUKDl3xLxEiPR1RsgAAIABJREFUKtYAOWfHzjP1KZMPohB85Zp5HFbbtrck&#10;VfDkQ4kWub+ECBEdIoARqlphRcSYRGW9UzGrQl3VU8fBOWRiABQBBjRlQkLxRr7L0HdRuQLybdtn&#10;1en8yECvrq/OTo7m0xqXR3e3g2oGBkAatzlmJgLIxFhXtSACUl1VOccQgqrOpvPpdC4iOQlyud+x&#10;uGGXgROgLGLGLgIO+xhGOF7M/vf/4//69//+3zV1nbKknGOMXpyZOOcKNoeEzvlyc3322WcfffTR&#10;T37yk7/6q7/68qsvS3NkZsyjmXLOxsXeeIhdN7x+/Xo6nS6P5tvtiogQvutjSrH//PNfi2QmJseL&#10;+fz8/Pzp06dnp6dPHj+p63o2mTjHx0dHRJhTRjYffAgVGMScfah8CMU/wgf/Dx5rRFFlgCGlgBRj&#10;V1VV+ScUoOt7yqH7nZTdj9bFSQ+JkLl0VWpGBxIOIRbz8UzOTNDQCAhMRdFEciZCJBbJ9WRiknPK&#10;xfo7EBp5ARxM2bKJeVctp1M/5xJY2Q2xkzxkkRT3fedDUAVf+bbrYkpEVNVTx2QKQ07ofKianPXV&#10;mzehqlJOu33rqwC9OB/IeWAxtbbvf/mrXzH6nDM5VzS8IiWsXkPFjx4//Nkf/ezR7x6KJNXMTGND&#10;SkTIoyQPMcah6+Nms19vt1UVyHQ+repA3FQGICrPnn3Qb+4uHj9N7fbq3avb1e1kOquqajZdHB8d&#10;vfr2VY7D6cnR2enZF1+/yu1ud3sVu5YmR46peN8VrQ0CEJhnP0gCQyZEduzRHx3/4U//6OnDJ//8&#10;T/70l3/z87i/EwxDRqR6ujj1zXTdDpfv3+7a3aDybHny2y+/3GdYHp2+ePnJ+3fvxayZTJS4+Mc/&#10;fPjk1atX+30rIkS83e68Z1Xd7/fL5fLt23c///nPq6qaTBoArOuameuqrquqqqpRf0Yoqn0cxCR4&#10;ByrOc+nLcy77GxdCcN71Q980zaSuTo6PPvzw+UcvP/Te1U29XCxKPjoSD0kclfvZuIjbRoHRyM6t&#10;fFDNwzC0Kd3e3qxWd5vNZrXexJSGGFMfYxZVAacZpfZ+Np9myeMWFe7v5PEAdm0HZh88+8AxC5bn&#10;m3POTTPx7E6PT5qq9t67KnQxOsR6Nvn4B59oH4/m89gPv/q7XzrvQlNNp9MQKrMRDPvHENk/atz+&#10;6efvvycu1sWEJVsXRs+r8mUFJNGRxnyPhhHgwUymvDwhlhXroYlGACusBs3qoCLyR0cn89mRKpBi&#10;3/UmErwrGgswBTBGQJM8JKayaB0vuJzs3rakDDTlVZidKqSUGLHApl3XQRUMIKZkYIJcTRZDt2hT&#10;ZLQhDc3UlU1UyfYooxgjA0H5oQMQEqtqFFvvurvt3vu6qYfZbDmdNohQBUZT55DJobCY62O+udtP&#10;l+dcsyLF2AMTkubcx6FDOlawpp611TYNnebE7HKRUpuqZea6JDowjZwN51yKSVG5qY+PT+7ubsud&#10;IKKIQI5TzFyCVQ7+PYSFLaiFPDudTj768Nmf/skfHy0W+z4bkCoQUkyx8mySU4oAxMgF4kekuq7r&#10;ulbV6XTaNHVRg6payqqqKQ8pRiKKaei7YYg5xrRZr29uXIptFcI9/zDnTESS88XFg+mkOTk5/eCD&#10;Dx49vLh4+Gg+n9d1XU9qJueYy1QaYwRH2TIzoXciopINUBTEjAiJvyOwjMqn8hzo6GxW8L1/8owf&#10;WCeoeF9mkIhIwJipyIiJWXKyMU2aTAEYVKHo6snIyNCI0NgMNTGRkQBgGoayv8mDsXOlinAV2hwJ&#10;1RGfLOfzepL7YRo8sfPsoN3nGNOQy/BMznkX9vuOiSfTSeW9IW72++ArMUPkru92u/0c2flwenqm&#10;Zug216ttLnmyiKq63e0YvYgUQZWKUQlaMihxVY8eXhDZbrfZ3K2Cc6ZaEFE7vGFqmmKvorN540NV&#10;1TWa1J6ppD2TiVpVTzar1fVqfbqYPXj09Lef/7Lr02Q69WEyWywuHj3sh6Ea+gcPjh6cnQiQ5l5j&#10;5yYLUyEiQjRAZjbREZMHG41T1cCQmV09dQ8eL6fz2odvvvhN7LZdopSHenpijOt9f3m33rU7Matu&#10;b2fvL6mZD0qf/sEUndvt9k3TrO/W5HxV1UR0d3e33bXOudJ6DsMYjnB0dPzw4cMvvvgCwKbTmfc+&#10;hKBq89lsOplMp9PiInxP31fVGAfJyWXy3iMamFbeh6oKdRXqEJybNI13rgS2T5umOGRhUbSaghqB&#10;oUmZXqHQT4q4QPKYpZdSu9tsNuvb1ery+qobhiHGPicwSKKqZVWcUEA00aR23o004JLzBMAEoGao&#10;YLrf7irnLx48qEKIKSUx8AEEJvUk+ApyTjESsQIAkQGoQqjqqpnEfecMu9i+e/9ueXI0DklEJQfP&#10;4eHj+7v9Aw4G99Tlf1J1xs8VHsUBXbjnHI/jjogpHghMBDiuxMeF4fg/LXUIxjloHJYMCbiq6qPl&#10;+ScvP22qSY6ahkGHVFUOFPIQwVRVK+dUFA4ZzEQkaiI6xCHGLqsCQIwRPAQf+qEHo6qqskhMERDJ&#10;OyJKaagqn0XIV4Q0DDG45uj80fbtftfvHKP2GTA7BtQyZKFDBETn2IBIIQsgkRnGPNy1w6bLLqVd&#10;7CNO1DXe03bX9/s9IVZV7TlkjZtB217rZUVUDVG6oV8eT5it67ai0TlCRFVcHp2t725it5NRIseS&#10;VdVSSgCcRYsbqVShCoEQkRiAqqopU9YhZQFEjNgJoBSC8vhTM0cgORfz4j/+6Y//6Kd/OKuD5kEN&#10;FUhECcc8hiypUDFkzC3VQkfNkvuue/369e3tbYElh37oulYk5xyRQFVTjqZoClksIaZI01ldV+H+&#10;aVERU33+4Qd/9mf/Z/A+OH+0PFrOF9PpFAjRuaoOhUBcEgHGyGECYtrudm3Xgpnk8Z8WfOVcGLOi&#10;R32lIaGp5pz7YShITlFT4/ce2n/0ewHoCknFAPTA0JcyqY/NFhYxqygAiKmRQyMQJYfGYJLBe4dI&#10;SJhjMkR2jIhMjKKqyh4CkjlezuYPTo4bH672+9S3dTOdN7WpEmIG64bUZzVUBAzOh6qqQuW9R7Nh&#10;SGpU1j+IzC5k0aPTua8qQG5mJ2Lu15//znmXVT05Krc2gY1JsxnRFdfabAIAIYTz8/Oj5UwfXnjn&#10;RWQYhul0VlXeDpHoVeWbia+bBtD54AmMyZgADoRXVbvb7n71m98/PDv+6Nmjjz/59PXr16/evm+H&#10;PGnq0+PjaVW3Xfvm7TszWixmpUllHOWcRChF7+xcmTVrCs6bpiRqnkCBkop3QXz9/MUnFw8u2u3d&#10;F7//rew3//p//Xe/+Nu//vWvf7kf0iCacn797v0u6c22+/gHP/pPf/mX3a7drjcgqobkwm63R+Rf&#10;/OIXoWqWy+V8NrMq9H0XY2zbNqW4WBwtFosvvvjdMCYcw2QyRdBh6IY4zKYTA3HsQhUCejMYUpKc&#10;EK2u66Y5Xi7mdVWFUJMjA+D7aF7Cso8prJHRnMnQzHhUcGtZbatJ1/fb3ebm5ub6+upuvd6t1ypZ&#10;JSeVmFI2y6YClsSGGNuhW2+2m83GNDHD//yv/pUPAQBE1HuXJBeqY7lvVfL15eXjJ4+fPXqcVbJo&#10;7IftZsPsyMwRDxJzSipSIpmBKOVUERHzZr2piPe73er2ZrvdAFOJPWV2k0njSsPyT/q48Sk54Frf&#10;8ccO5H8sxmfFawQR1ZSRTO2e/WrjAVXFMcQSDgjPIZ2k1KF7rOZwjgEIOPjJ44tnz5+9nE/mZC6p&#10;DN1gKU3qUMjHoOIci1mOqQ4hA0jOhaicc06SkbjoHEv+Y8oZDIOrcAwf9UTknAOEVBKXioJdFQEV&#10;HfoZVPNBVazXJJ7RTF35tg2QULSIF82QxNQEYpZdl3Z9EnRIlagXqpQbc27X9uttn1NumjxrFklt&#10;1ylwSEYgttu1SMREIrHvWmaCEhdNvvJVM4kmud2vsxQZPwFA2RwSQBF4llKNhRkp4n1V15N+2InJ&#10;PRCGRGLKzGoCCiAZ0cjEMyynzdFi9ic//cliUrfrm9Q9MaySmPNOY0KEnFNKCYkMQbOU9kGJy7bB&#10;VIeu3W22hJBSLJnz5Ggyqfe7nWgehh4MEJ0ZTqfT2WJ2fnbS1PWh+AkTmWnl/fMPnnl2dagmTVO7&#10;yntfaDahLDnNNOWUBbMAAqGTJH3bFSPnIjYmpPtlYQkGBwBmJijDXA7BVyG8evVKcrIRBzs0T/eM&#10;FhgxhMNm0NSMR8gMTYriEEqKRFbLAAymigqGkBUsM3oEBiOALEaOmckBE6OWOqEGamAgSdDhJAQG&#10;I9XKcdfuQJvlbI6mleN+sKZpqhC2bUpqmJWRmFkLPkdkkkUMTGMSMQh1Yyqqxt6z8+Tq8/PzFy9e&#10;7PZtVqnripm22+1+3w7DMAyp9JdqWs5uubbq4B0V7wIuMQHO+YISE1HT1CEE74LzQYHKLEyooDI6&#10;pCNl0D7qu5vb3W6nkh+dncyPz801/TD0610WODs+Di6IISL1w3B9dXN7e3tcL6uGi1mFc1ze+XLh&#10;aEEsiJx3ppAVFM1VNaihmaSo6Orpok9ydbd7c3m77XslIvYEKAq7fXd1eVPVr2PUZ4+fpCzb9UYN&#10;nfNdN1RVlVNmlvXqbuj7UAUtM3upUJJPT4+ur2f7dqeaZ9Op5BQRVLNzBCBqeTqdeI+OvfeuDkzU&#10;VFU1aer5fBpC5dkhsYEW2OcgbjzIBA/7AhhrjCFYymnoh77v+75vu2G1vru+ub66utputymPdyCY&#10;ZdOYJYMlkT7FXT+0fbvbtzElNWs8ScoPLh4WKRgzf6ccOXyIqKkeLZcGUIWaUqKa1qv10MWcxLma&#10;iAEgDdHEAOF+RpmyP/r4o/ev365XKwSIcQhNU7iaKpaSOES6n12+jxh8f8850ozHX1huhPuh4/7r&#10;DnTOAswQHISZhZpfjDbgUGhKlM13KPk9QQ0AAAhd5SfPnjyfTuYqBqqSJadEaqqS06CSRPIkeEBB&#10;MBUZ+r74zvZDXxIG6mY6xCGnyI4KZaIYvZkZO3ZI7L1zrmhOUxYfQvGjZiZQlxGqxcMBqdtex7hv&#10;Aiop0EivKxtIQ1aDbHmI2sd+3/Z32/2QDV0AVxE2XM3BT8C7aHcJXC8CkXzgIUMymNQT5NB1/Wa3&#10;nS8WIkk6kRyrMEspe18bESr6MHG+hdHTDJgZdHyzCEEBUoplpGhC5YI3AyReHh/n6yElgeJSSlSS&#10;tAxNUnREZoIGnmxah5999sMf/OBlQyrd9urt6wePn/vFg+IxA6Vya05ZiBmZ0IwQCq6FgPnwUVJP&#10;RLKBIuLLFy8ePnzw9u2bN29e9V1bMI/JZDKbz3w5hc7d46fFR4sIJ00zrZumqgP74IJnp6LZJG7a&#10;GGOMcbvZdH2fcnIhTKfTMKlJITDfXN2IQggVOwdQQksFDAuT575oIMBsPnPOff7557vttkhQ4cA4&#10;xu8o/OMOcrwJTAHRBVcwjIL9Fnl/BkhqAyiYMFFWA0FRYQJGYzAGxyzsyDuuqhDAEROKsEhN5BA1&#10;66RumlkVuz4NQ/JeRG5vbqpQ1U3jve+2W8l5ujhyy8muBDgZmIJk2cfWO49IotLHYb3ZiUgVgoq2&#10;fe+9R/I+hMePH/3b/+XfxpiRcRi6Yei32+3t6vbmevXmzdu27dp9ZzKaepa4mGqcLwu1B+q6NsMS&#10;KopIVRUQmZnVgAEVTCQjAjnMomYggAaYAfd9ur1drdd378/PHj16dHZ+cXZ29jd//f999evfPX34&#10;8PHDi9OTs8VimQSuV+svvvjqCdYfvvwYEEUyAmmWosiLMaopOmKA4JyIueBy7m9vb6+vLl998/W3&#10;X3/59ddf3Nxc93HYtfu+3zaNO714mOOw3++NuJkuzs4ebNab1d328cUTVUtZ+m4gcrFKuWl+9rOf&#10;pZi//OrLd+/eEqP3zjn2vWv3u/X67sH5g0ePL37329/vdhsmCJ7LjyBF9p4Im5Pj4+Pj5WIxb6qa&#10;HRKPczkiggkYHWyHDqAXlLu3rBLKNFnW1zL0/Xa7vr1d3dze3t7erjebPqUYc5Q0xBRTNAPRrCkP&#10;Me67br3ddTkOKQI5RQCmJIo+1HVVOwhm3gdABjBmNwwDHnp8RLTRAlhm01m73/tQDUPabnevX79d&#10;rzdxSEROzKokhMQAKefSi8+m05ePnlwcnfxV9x+3q1vv/KT2rq7jkEMIKaVu1bkSFmk2CuYPjFW8&#10;Z6/eI2OHRToYwGGRy+OxLWfQaNSqYdnNfVc4yoea2qFEfb+Sla8zO5xxQCZH5pi8JPOM5Y7LKQXm&#10;wiwGADXpu31ZUQ5Zuq4rGX85ZyBg4JFN4Fwx8hphXBVAZHRi6hCK/YdzPhuIqOcyRmRCzOjd9IQk&#10;a7cf+g2omEMYac9IgGKkBv2Qhpy7QfZd3Hf9kBUcowvAwflJaGboGmNMyhlchizoonIyNWYgNsTN&#10;douEVeVFUtEGEbIk1QxaOlQOdT0DZB1n5wN0iYCEDjGJmWlKCdXKTe2W8+XR0d36NuVYFPWFwOZ9&#10;UBVCCAyq4BEfnZ18/PzxD148PZvVqdsgubur9/1+j1Vv5lXHd77EBwgAWEYDQixAGSKqaIyxDLuq&#10;hUZo7Pjs7OTs7NQ5YkZmMrO+T85xAamrKnjny70vIuX8gUFJoAPRrt+by5tuaPdtznm322kWA8sp&#10;I5NjZrWh7YrXJwBKygLYNHX5CQGM1m1SFM5miui8IyI02O/3X331leiYUnR4Fg9jzH162uEZLSyy&#10;UFXFM7xgC4JGhBkgmvYiYOIASsBsFmE0Bh0xHyWn5M0EUQCCsWRh5xGphHA452bT+W3bDzFmkel0&#10;1nXd3fru1Lnah9qH/W4/ncx9cGgqhdeBjEiKqgoGNgzDan3Xth07N8QkkgXNOXd87NhXIYTz8zMR&#10;Jaa79Wq/J3b48NEDyfrq1Zu3b99/8fuvVquV6QiBjlBkMeGDkTFYWGTlIYADFG+qKWd2rui+CLj8&#10;Z8nK7OrpLExm6/VWtt0wvN9HWO1TmB71wm+u1+0gm3180skzCkD+y6++2WZ3tW4V4MHjp3XdlAwk&#10;GLW/RmB9124366t374eYAejmdv3ll1+8ffOm3W6Gvu26/W6/A0JirifNbF4vl/Mc+3qzZeeni6Oj&#10;+fJusxuilNFNRFUUTD07z245n+QsBhLe+rv1neQoOQ49OOf2+03s+9Ozk6PlPKV08fD8ZHlU17Vz&#10;fjqdLo+Wp6enZ2dnVeW9JyYaKwVoNpOc0BQNHFhx4LDDoI0IxamvOPiV32Lfbzbr25vru82m7dq2&#10;71MWAYgpi2k7DF3XZbEkaRiGYYhdHLo4IHPRDaJj58rk6kJdk6bFpIbRGxJFtdBHx6ndzBRSylVV&#10;MztA/Pb129Vq9erb1+9evVFR76suFu0gee8YgG2kz45m6sNQV9WkbubTST2b+KYpMeh3d3d937ux&#10;hP7DqeX7C5dx8X7YmODICivglxYe0PdQsXJOD2YycGDwjOuVMZOoSJa+w7tHZO3+xRGNJ/UMynKa&#10;3NAnFUGDIssvL0qEMQ5ZNOdMI6+NzazQOdQ0pmwG3nt2buiTMBcZB7vSl6EB5JwVwPsKzLBwCtFy&#10;ztEgezebTOvFqUrXbi+7rqMqKGMNDhnQQAyTShtT26f9kPohR0V0FTEye8fehdr5GskDYTbKgAYO&#10;uEpKAkaO0VGMMeU8nU4BximZiy5X0JQQXMrqiEI9KXwlVc1ZmYiRihs0O2bnDIiQivcYIKScXaic&#10;Dxh5HBbH0RDK7W+SKoanF2c/+/EPH50tK7K4XYFqQk7G3W7j5mfGzsY8XwUrUcIgkgqxRySLSOGt&#10;FWeXwsg0gJRERN6/fz+Z1CGED188Xx7NRXS12rx/d9n3fXGhV1U1Ai3OzeMkqjHlPu51u1tvnNFu&#10;szODZjIRkeC99342nfkQqson0M1+C0QCBghn5+cGtNvtHXkAyiImoKIiAmYOHDt2znnvRPLbt2/e&#10;vHkDIw96lPfCyNfA71cXRARCUENEZhYwMxMwBbJiHkyYxAYTFM1m2QyAswqjOTRUMMhEpcBolBwl&#10;T6pApuy4H2IcBuediDA550LX7ZuqXhwtDeD66mo6nbMLJ8cnw7vLnJJjr1lk7OKKZykYSlZo2/7u&#10;brvZbYhYJKYc67o6Pj6ZL48px6ryCOY8iYhjFMmINp02i8Xy4cOHV1crU9xut0M/FNoIjY0Oqn1f&#10;EncQ5x1uJlVNKQ4p1tQQAahkGakPomqAdTM9OX2wudtJ6rsMr9/f3Gz797fb7XbTK76/3a63/Wq7&#10;f3+76fq0Wm++uVxXk1998c03P/rsJz/68R88efLMO6dqu+323Zs3N6vry8v3r9++/uabb1KSmLRA&#10;dsFxU/umnoUKq8Yn0VBVwDqdhtm00RQX82Ud6jCZxoyoMJlMVqu7oR8AwDEvFovT07OTk5MCp4tm&#10;JDo5Oeq79m59d3l1mXMiAhHxgT56+fHTp4+fPHlSFoTee8cOEEKonGdEHbEvEy1ZUABlZDEBBSMK&#10;dPBOBZU+pa7rrq+v7+7uVqvVZrNp2zb1Q8oppZRzEoCsOYnFnLddt2v3d5vdrm1FTbEEPBIQWlWj&#10;Y2QCYGJGcp4JmZDYOV4sj4AYDmwXZh7zjktCB6iohCoA827f/u1//a9v37179fW369v18dHxk8dP&#10;kigyD7nUY3FU9LyQY7x89y6u1kO7n9Y1np25ae2qkBLsdntVA0AHADS+9j8YLL6/0j8MNHCoKAgw&#10;9qQjQQCUiA+OiQfQeoQdDtDEWGfuF1kjY7aQghCoLKWLaSYYPX70LLgaFCVLSklFCmEt5UjjJrnU&#10;dSRCyweUVhWJkEgP22xm1zSToV+LaFU5yyaiWvICCBAZC6RX2GeqxEyISVSSJQGmUE0XrprGfsPJ&#10;WDIQo2JRJXQ59TF1KXcxZyNkh46ZKIQ6VI0LjQElESWUcXhDM8yiiuA8+yrcrm6c88ykkpHIRLzz&#10;znkRM0AuokhCJLc8Ojs+Obt8uwNRBCOmnDNg9HhI3KExt9gxx5QB2fkASGZjOUc0RGVQBJlU4Ycv&#10;nj59+ODpxSnmAVJMKYEJcGCqX3371UdHF1ixHLC4nHNMKdSVmqmOdKOUknNOTZn5Jz/5yfHx0eef&#10;/31MQ4zxyZPHpycnzDydTtmRc2yKdTU1hRjTzc3Ncnm0a/eyy8fHRwjQ9x0heMdEJEPq+8TkyKiq&#10;qslk4qrKiOoQ2NF0NhPJ5AhzSrs7JTCAbOqCL6xGRFQBE8tJRNTQQDIgEGNOyXtmx9dXl9vNneR8&#10;MO0udMBDX2Sgh+X/6FIBo0HsSENRAwYDUEQlEqWkgKpsxc3esqriaB9uCCDCqsnQ6ej85Ait7ZBc&#10;5b0l6fvY98Px6dnNpWy3+/OTk9Pj0/Xdetd2CrxYHBHxbrt/fPpgO5QMniTYZdG79XoYUh/T0Kft&#10;frdv9waQcgTQyWTy4OJRzhmADHpE8t4XYw6zHAK7Et9FsJzPnz198ub1m+vr65wTExOiihDhgRlF&#10;hyxWKKTEgz2CIZYKpGWqM82GdP+oV83k+cuPqmrS73c5pixScLMMzjczEAGkLtm2i8xhcXxG7MXs&#10;zevX3RBvbu+WyyNTNbEc4/t3b9fbu37o2r5TA0S4vrncrLfz2ez4aMlU5din1HvvjHE6a8hjXbm6&#10;rtQ5MECg2MfVete23elkNp/O59OZ5LycL5q6ni+WBRElIjNt6rpcu2277/uXxBiCa5rm5Pj45Ucf&#10;XZw/mM6njp1zxcGWCx+vJE6ZFn3GeBsyoSN2VCiLllPc73f7/b7dtzEN+7bfd93l+/dlfokp5iQi&#10;MsQIAEOMbd9FyUNKXUrtEPuh75OU2I6M4LxHYnYOEZBIEcyQvQdk751jrpw7rt3pyQmPiSflnvzu&#10;WgbAYs213u5++atf3azufvG3/2W9Xt/erGIfAejs/OLy+nrfdu+urlrR2vvl6WnT1FXwbOCSQD9M&#10;msZymtEUGw/MKZuIBu+0rh0eQC1EOLDXzA514LtKU04uE9yvYvAeXSixWggHUtpYXEY5mhVWHI7J&#10;vAUFKS+gpUsCBFMjQhPw7ERwOl2cnJwxe83aDm3RUxMDAZeYWOdcYY05doqkoDlLVjEbFTYHAzVE&#10;s2kz22/3ROyYkxZnZENER0zMxUELtSAfZXsaWFMS2W93nrMHnh5f3PbtPg9eVWLyTKKJ2bdtlxSS&#10;ghoheWTnQi2ALsxCs4wRxBAUIGfNEVTKH0wJ2DkXfKiur2+Pj45zjswVAopaXXkiypZFEmVjBiCn&#10;QLPjB8dnj64u34J0qAokJUUeiIhQFLlYbpqhqIqqwD0P2BCzAiOBKUMOBD96+fQnn35SE0Aactca&#10;qKZYzHzQ95evvj4+f3L86ENAn7MA89BJSskFZyJIDFhmxOiyA0Qk+uzHP372/Nmu3ex2281m8+mn&#10;P3Tour7LSapQBz9NKQVfL+bL9XrNzMvl8e3det9uJ7NGcvrii9+dnZxenJ8RoSAI2vHJUpLOjhZ1&#10;00QwICidEzYOogmYsmWQPFquAaCCgfdu6HvJaEB9PwCa805MGXisiInn81lxOiktUHlU8HvN0Xes&#10;yKKmMgQD56uSm2emRd5VMsiNnFDOQmDAqqBKTJoFuUgylZhKCYyqXsmIFMghDjEh8eLiYez6OAxD&#10;351dnPXtfvXmnZssJ3XzwcXTry7f97ofFNTc3XrzrJqg299d36z7IZt0fbxbr7s+DkMsfaCIWHEn&#10;R0SkpplkMbMs2iFSobyqZESsQijK8xij83R2fvL02aOu32820TkmLv92QkAmLjaRYGSKIqCS2TsO&#10;jGjEEIgKDqJmWCJXVRCZAOuqfvnio6PFcU6p3bWFwg5gV1dXN9dXdeUD86RuTk5O5vOlAToflEZS&#10;xpu33/zmN78e+p4Bp9MpM4XgXDWbzKaiIiLvr95fXb+7XfHtajadNmjKjkIISOQ81+Ajqnc09EPX&#10;diK22/dv3r7/4MMXP/jk40fnjC6BAAAgAElEQVSPHxKRd+5ouShKibZtkahuquVyBgBFXspMk+mk&#10;aYJ3iMyOeTKZFm53YcKWZ+Ww5MsMADi+G6gKhTsI4Nllkd1uu91sr66vV+u7zWYTU445x5T2bVd4&#10;8GIqokOMq/Wm6/td17Zdn02SqCIBkQJACCWVnRHAOWTGwtLCAk+AY+cQK6JFEx6enT5/eH4ybUjz&#10;9yUih2mC1EAUYk43t6vffvHl7e3q3furYUiSNYvtY9zu29vXb25Xd9P5ZL48fvL8w2cfPKvqisv2&#10;Pua8b+HkOMY+i5mDIec+5jqE2LdZzJV2jBjwwOkcL//vLU/MQMvFXejYo3U+HnAzACjcd2BH3xFy&#10;CvZlAEDf1UsA0zJ33NOgDRDUzAGpGYJbzhYfPHs+SvmKblMVTJ0jJsp5yCpECEhm6lzouhaR2HtN&#10;icfyMjbdiIBIwYVpM40xjmtMIoDRwZqBDK0IANxoVwdIjskAJKcoknzFzfLc7dpucwkwaM5iqJIw&#10;5ZSzGAMgshMlUGDgyWTpq2kzOQLMBb9WyZIHlMRgaNmMlBCIgYi5BDRERiAXRIG9NzDRlHXwUETc&#10;HnwAk+OzR8uj83b1ztkAIujYsGhXmalclGTFPiXn4P2kabx3fR+BCAAIzSNMqvDpy2c/eP50Qmop&#10;JcmSkgLklBwTmVm3z+befv3749PzjFVWLNwWUe273lR8VRvykIaYEg0DM6acfeDJdLI8OgKC3X5L&#10;RGjI7FOS/b4vdhr7XZeTdG0XY5ovl+0wrLfbfugmTVPVlQ8OCSWrAChC1DzktFw2VnsgQy4hBRgh&#10;g4fidFeEY+WnWRIVmLTbb9t95lB1Q99MG1RDxCFaynxyfLJYLvu+v7u7yzl77wvdmYjun/bD2H7/&#10;i9QAiH2oiiGrqBKzle0fggIZO+LJdDLRvuv3OxrJESzlAGQpO0YoNH2SYcgMgCp1NZvOlrFP2812&#10;vpgNkuu6ztuuzzdhtlguZqubX193/XJ+NK9nQNW376/eXd988c1rMc2qKWdRFTURKb7gpoaOkBwA&#10;iNh6s2NXNU3pxrTruroKiNjUzWw+rapQjOrZ09HJ8oPnT5MMr17B0enSQAFZJJf0XwTQDJ//5ren&#10;p2d/98tf5ZS99//d//DfElHft/3Q11Vo6tpGFR+CISoAAiHMZ/O+GxBpOlke9NY6my2Oj0+c4+Bc&#10;FUJV1aGqmJmYFSznzOwKAqSzmhGrqioKpCwCYGlIA2gInPOw3Q+7bse35NiF4DwTM28269l8Utfh&#10;0rRtu/2+7YdYV5MffvrpH/7sZx9++MI5Z2ZN03jvShsxmdYhBO+9Z1/SZ11BVJmIDFHGeZa4wDM5&#10;Z2Iut/qBQzQOwAqgZinn/X6/2+12662qish+v++6frffb/e7GJMhZdMs0qccc953bdv1MedhGHZd&#10;36WsZsWSXQmRGQgLKlvsVh2hWHGgwgNJiyrvTaL3/gcfPvvh86dPH54vm2rY7fq+A0UkGh0FD2uN&#10;IpvNAuvt7ssvv95sdzmbGuZshrht+zeXl3erVUxxMqvPjpePT4/OZlMilJT7vk19jH1XDH29Zx/c&#10;rGkymmPs9nsFdN9RisdRw/7hEcODN6VIoUPAd7uTewuAcT4ZP2OH7b7BIU2sOFyWSYmYyhJ1HHbU&#10;TM2h12wETjKcnl5cXDxWtRiTI3dPLij+pCmNJDm1kUCNTIQIAiPteMQWIZfihVhkgCnnLFqCONXA&#10;MRNRGbIIkQmZKcUkIMEHZkJQ9h4M6rpS8bPlWez3lhWQxBIY9MNgY/6SAzBiV4yvJpNpNTkKYeq8&#10;pZxVBSCp3GtRy+gGjDgMnXNkJkSWUnTAUNaaXHZvVkKIFbMhg9DJ4vTB6cW3d1cgWJSeisw82tul&#10;FM2KTQuZWoopBJrP5ykNqsKMkPJ00nz64ulHTx8tGp/7TlPWGFNKfnzyzJGZZhva68t3+82KmmU2&#10;jnmMoum7lggNkF2QlEy12+2rJuSU4tAiYh3CEAKodl3H6FQtq+67HoH6rm33rWZR0ZzSyclJiinF&#10;WMzWnj59xoSElC2LKTlG5nrq2TsBzaoAGHis5TklUAFAFf2uFACoqXMYY9e3XUPzNOybxiNSztl7&#10;nkwmi8XCe3e3Xt+t1wCQci4HUw/ijkOZQSs1CwAR1dR574JX0GzjNG9gRDhmgiKR5+ViHrebNPQi&#10;uXxbCiZ2wIUBiNiQUrZsSsX8R8HY+bq5eX93e7t6oi8mzWTRTPeXt7Yd5nXNwJeX19tdf/Hg0fmD&#10;h7/8ze/W+93l7W1xWENCco69g/F7pWJljUimttu2X331jSg8ePCgCqEE5RYD1hAqZpeyshMiJoL5&#10;fHp6doKEk0n99OmT0hDnLFjstQFE8m9+89sXL+RXv/x7YgqhaqbNcrm4vHq/2dydnh7/8R/9UTmo&#10;WTKTG234ALx3zjkirvwESuB3zuxCM5mYqnPsnRsXtmX3Q+CpkLqprtyIZBOoWs65gE/mIAuE4KbT&#10;SdKcNcesYEZtOcu03WyqlW8mVYxDjKnvY1XV/+yf/elPf/rfPHjwcD6flaRI713wvqp83TRVCOxc&#10;8QwdwQ8sVvdgkG3MXERAoOJLRzSaGoxb52IQaFlkGIb1Zn17t1rfrXe73WazLV4vopJVU5I+xXJd&#10;dsOw7/ub1d2ubfddm2V0IlckISLmEjfM5ABBTEVNyw9s5EZZuc2seAshqqqJGeVHD84/fvnhw5Nl&#10;7rrc7hFGzdP99f49oAxFdLPZ3K5WMSZ2FZFXEMkmIreru7ZtvXfe+67r3r97N6nr+WzOCN2+3W93&#10;fdcVW+EqhIlNqrq+vLrc7FpESDG7Yk9Z/P7U9H6tUrotBID7uADTg1kl3JedMl2WsoGqAFJs1MDM&#10;cgYTRgdoJiV3ERQIAZkZCSxnAHCECizJiCiEyfnZo4sHj8ugTUhFb8/EAtls9JIXMUREIudcjLHw&#10;37quc+xExDk2VVXzzheaYGExhKrqh+gQU0pEjolHBp0KgJGjEX0vWAChCTjnrJjxZ1zMzzzp6v1X&#10;edhrEjYoEXhgJFnUGAgRiJBDqJfLo5hBBVCFgLouwuGZLT2ID44Q2u2mQNghBBEDQu9Def8rHwAg&#10;JXHegyhL9mTk3ZMHD1Zvpv0ui4kpZc0Ihabl0ExVDBnMck6EFIJfzmY3N5cEQDk3nl9+8PSTFy8a&#10;Vs1D5V1S7c12u513zjsHDJbFDLPZgKsvv/jdw2cv0U+ygKigWdd13vl92zsOotq27W63m0zrYRj6&#10;vkUE51wIAQCGoXeujjEpgPNect7v9/t2F/tht92mGOu6ulndSM4GyOyQlJHG8Dbn+rYzsPlsVjyC&#10;RTGrJhPNeb/btW0LqkfLBSIDFPtsGikkgMHhYhbqxvV7dWiWpWv7gbNjNwyD89x13ddff30QBY8b&#10;wfvT9t1UDiN8rKp1Fdi7XGiOhPecZjEzNDETNVdVkKswqbv9HsAMQRREi5nniLklMzMlQMvZUtp1&#10;/fVqezJb+Gr97at3j17cntfTDx8/++brX+y7u+rRgw+effB2u3t7s6q6dri9/vbtWwFAF3wI3rHz&#10;TtWcc9iAqOacS+Ep5B8R+fbb12/fXYZQffLJxy9evnSOCB2gcw4MIGcdhmRmxcLkg2cfPH705OnT&#10;x8fHx3CQIqgqO6dm33776quvvjw7+//JerMuubIrPWwP59whpowcgQJQBRRr5NScimqq1XJL1lPL&#10;8n/o/pWS3tq27KW2tbgsdZPsIilWsQqFOTNjusMZ9t5+ODcSRRkPWFhYyERE5D1nD9909fTZN5eX&#10;l1Vd/+f//PcnJ6urq/PD4bDZ3PzgB99vmjrnVIoEyHSOfOWaplIlsEnofmdl73i6OYp1sZoWZXap&#10;NERoRjwNl+ociYArmjMz7/3Z2dlHn3y02x9CSrvdru+6se9UJOecYxgj7Q8gkk9Pz/7iLz775JPv&#10;Xl1dnZ2dV1U1m81ms3lVVcUXYoowZ55ITIXpesdlOGaRFHAXyr7FlMgBqBnklMZhGId+c3Pd94dh&#10;GEKMfRi7bghhjFlSFiAkJlGNIodh3Gy2h8Mh5JxyjjkNMYcUEcHVDRKpGrHzBY8GNAT2zhA0JZuu&#10;64lmdeeBUl6omErOFWFK6frmZnN726JBTinGbz3tYAZHBj4Uz4KU0jCOxSMnZyUnpetyjGOMdd2o&#10;ZlXr+o4dX9/cDMNwdXm5OjkJYxhub3OKzjsgfPPN01evXinR2cW984urF6/euLKhenum/mR+mRoj&#10;QCiRwd8KaLzbU789mIXVAiBgXBRAIFJERUVMQ0xleiw6BZXC2nIGDM7X9dKwfvzuh227BEUwBLUc&#10;oxIpaE65LLZgIh1MSEsW0SgFuaKqPLpcUj8ZMZfHhZxlaepZjJpzAZqmMXPiRRcw1hKWRErNRI4d&#10;qggXXqZx5evF5cPxsNmHEBNUDM4XmqkCMQiwqxC5bed1O0Mi0SyiAKamIYSJaYmoBozoHKcwjMPQ&#10;tG15O77ygFwdURPnHGhWAhGrkBoEh4ld9uerL5pqOJiaOoKGqyxZAcsZsWSFp6wghD4l9N4xIpg4&#10;kO88evTBew9rhsJSIELvffY5q8ZhrJxrsTZklYSOu27/1Zd/mK9O2wWoMTEX2DZlCSH0MiDSfr/d&#10;bLZd5+ez+dD3KUU0I0BTTSkacNSkZr6put1ht9+PfReGMYbRO0eIKaYibUFAZueZU4zlumfH5Jyr&#10;q3EYY4qisN3twjg2dW2qh8Ohrur5YgXIqmXfSmCMYKZjXeFJ24poTeJNY0wMjEVlSZQllyTmQrP+&#10;NkXq7VkFm5g+BAqqoFSxogFOEQimMtEgbXKgETPnnVWVr+ohRDRFJC78C5Xig6mFL2mgBpWrRHHf&#10;hVdvbtcnp4uT0+1++9VX31RX98+qlRdIIkPfL9erhw8eXvfjQaTv+x/85KfeV3VTt+2snTVN20iW&#10;lKKqbDbb3/32t69evapd2eq4LCrZ9odtCOHVm5t+TJ9++mFdNeX+SikDkkE2wArBOVouVznnxWIW&#10;YwAzEyNmNRvHEZFeX19f397mSTIh33zzTchhCP0Y+5zjcrVg5pyzd66EzpVO3AC956quJKMogRki&#10;cgmmgGI/WJy98UipKDdhZkZmtpxdof4oEEE+NrzOOVGdzdp7V1fL1Srm1HXr3W6732yHvgshlKld&#10;Dep29smn3/3rf/vXddUQ8ZMn78/nC2Z3sloX5SYX0/PJYaQsGMBQ70xxCKjoMQqCT0glgDfGUbLG&#10;MdxuttdvXm83m+12G8aQJJmZIJacHzEUQgXIIXR9f73bvby+6fsh5awIhIxESUWJfFVT20LRXpqK&#10;GhIgO0As0RrITIRMjMfcBD3KEMsVPonfAczs1ctX23cfnLYNao4p42T2aHrM2jhepEc7djERBeQ7&#10;/ZcBqMHpes2M29ubm9uNr+oQ09Pnzy/PzlRBJe/2hxBTKW7DEK5vbp+9ePnOo3fVrGlnDx4+fOtF&#10;hsf+uhyhaVIpv1nR0AKC4XRTwiRxIULDMlYIKpoQGRXShqGaQs6EZAZI4AyJiJ3PKaY4ioiJmkHO&#10;ZELN3H7+z/9qMT8hrABgHMdCW8kppRRL7iQAMDkkcI5VNefkmFUkpURMSFh4MkTERClGBHDOp6TO&#10;eUNq2/bQd7PZosjx1FQnAT8AQlloA4BoYkZ2fBi62nkicuSzGCGcXz6Yt83TL39HJOVtGRg755Db&#10;+epkdXJ6dhkSvn5zza5iV8cUc+rHcSgKtYlMQkxEIUYzzSmNODLXi0VLzgM6N8W6iAGAiCOkLDZa&#10;3dCsZj+bnZ00t28ECHMKpErs3OQsqWCiCkRsYDnnMCqTW7Tt2O+fPLr/g08/vDhdskYZkndFMajE&#10;3LRtdzhsu0PSXDXsfS3ZgqVkeP3qxTtV2wch54md977vewAYhl5EttvtMPSHg6hoCKHrDqoqJdst&#10;Z/LaNE3MqR/7Evi63+9yTGLSNE0uC7IYESilxHU9tczlaSR68fLFy1evi4RzNl9sNlsRefjOg3Y+&#10;99637YyItWyekIuGlIiBiDBVDkOKiwZlHFQZzC1WJ/fu3085EcMXX3wxjuNd1gCUlJf/sb9CMwDC&#10;yc+SSVCPrHszNQQgRMcOJJU2gpyr6qadz7u+DyGjI195D5WpACAYFCNuMjCz2nv1su+H337xhavq&#10;s0W7OrvYbLqn+WVd9xKzIe4OB/J+vTqdLU+0bbiZrU7P26b13rnK13VV15Wq1lqriGPXP3wwDEOM&#10;yTmHSADYtK0BVr7uxvGXv/zlr3/9qx9+//vvv//++vTEeZdyUgXnXUrJRFWsTBWVr8xMJCMAM4cY&#10;hyEg4S9+8YvXr18z86tXrxBxiEMIY9cfEO1nn/20bNOLyVtKickXYwVErCovBFlLFlnWlIvFFE62&#10;FBMvfFL2gJTlhHMOEB1z8bS9g6ZL7IUaNnUNSL6qksh8Pj87XYercei7YRhiHKvaP3r08F/85b/8&#10;+OOPHzx4oNlEtGnqsn4r12vlqxRGZnZEClT29c4xYInyKBLIgraJGUjOfddvNpvtZnt7c5uThBjD&#10;GGIIWqzOVbIqIGXQKHro+83+sD3shxjFTMHGnMckhshty0Rl3eoJzYDZmed8vChAs5aRHFHRzKxc&#10;wgXHsrdD9vS4TlONWkyKCLeb7W63y1fn5V6jo8ikwNIAAKCTsEk151y82gEByRU4Z70+dc4tl8th&#10;6C8u7y2XizEMstsfvnn2q/FXBRjTLPfvXS6XS1UMOQHR1f37vq5jije3NzGJA8l418S93RFhyfwx&#10;MJoEAoYlZ9mktCFoR5TmOFGWvQEBoommLGKsVnlGIymECrMUx2HcxRgkJSznMhtQQ1g/+fTx2cm5&#10;CYEjSRnUHDMjRrVRBkYPRgDmmA2KHr3EO+LRY0fKIyvZCKlEYd6JechVANjMKKtWVU3MWr5kgplQ&#10;swIg2sR10JyqpnZMzrFJztmaqiL2i+WZZ6zaFygjYFYRQMpii9Vqtjh5+OgJIh9e34aQWvaIimAp&#10;hpRi+fEjETOzd865ECMCSLbszICSQYOe2DFz0bN4Ru/SvNYKckP5YtY0NTPzo3uLZ89giKoqqlo3&#10;Vc6CQL6qwTCnMUkmhMpXpYCdLGZX69lHTx6uZ02DlnNsHEmK7CsRYMdV20TJ3TDsDvsq+fmCQg7k&#10;5+mwf/rVl+uzi2a2DFli0radmw3lUg4hhBAAIKW02WwANaVUngkusTEqKCgpdv1oZk1bE3OIByKs&#10;Zo2gVbO60dY559iXLpXZxRhLezUMY0q5OA8uFvPzs7O6rryrJ4dX70MIzrkyZ5uWyAR0TJZClNEB&#10;nS6b129GUbdYLuazWV3XWTMxb7dbACj/0bdE/n9aXxQKjUoNANmKp/i0IQECoCJpZgPJSFAECOCd&#10;r+rCHUCgumqIKedUnk8QNUAi9uQJsapxGOKrm2371VN49KCu0Mjf7A7rGS19M4yHl9fXM6J6fbpc&#10;nVzHcH1ze/b6zdl67RwrTAsoMKsql2MC0+V8dn66fnN9babOofPOAFRrBSDvxxDeXN/87//p/7y+&#10;vf3JT398dnaKzGZYiP0KGGIkxFHEe1esfwFQsonozc3m/PzcjH7z+f/lq2rY7dTyhx99JJJijD/7&#10;7CeffPpdIMLCrAFjdkdxHTA7x97UCMA5z8QJHaQEKFkyFwuuu7BB07K3KVYxXMqLASOqSeVZsgCj&#10;Ahtiw5xVRKfNm/eucrxYzM7OTt979933P3j/wcOH966uzKyqqiInBLMQomouIIYkwcLnUQErUnuS&#10;osoiREZEnMy+xmG/P9xcX9/e3m62267rY4wTPAVFbpUVMIkkVRHdj/3Ndrvd7Q/DMEoWA3KOmTOi&#10;eQ9M5DwS5bL0N0NmYDYsbbQpmOGkAwGc8vFKB2YGxaGWmESltPt6lCOWOFFGiDGGmHTKZy2f8DSy&#10;IOIx9qsA1lYIlnAsWVmEmb33i8Uixtg0rfecsxTP1THE3f6gWVbLRe3c85evx5jPztZnZ+d1044x&#10;FlvWEIIBOjR7y4tGBFUg5OPaqMAwOFWOQiErqDioTj6ViCVviYkJwdAUREN3SEPMQ0TiEugNJTAl&#10;Zy1sueJ+aYTGZPTw3cfvP/mA0VXNvOvD0A+IaiXhCWnoh0Rh1rYFRdSSm6jmnMs5gxkzt207taIG&#10;VoxjoYTBGLGLKddNbRnrph3HkZyrzMzMM0MhnAowO0U1BCLNKfVdWixmV5eXYRhev3yFaGr29TfP&#10;JHbr03PSMIbDMPQOoJ7PfT17+PDRbL74wxdfD2NazOcGOAwdIqacNGeYAKSCQDkoEc1mTVPN5st2&#10;vhCdUgM1p5xjVXtPMK9So93Zwp/O3arNYAHYf/qdB988e/r5F9+Qrw0hSzKg8nyIGpiWkTHGJCiL&#10;dn56cn51vnxwtpzXjJpmlQNRQwYEX3nICgB1XTez9vrm+jD0Q0jovKswZtt3IST9xb/8K1MLQQrg&#10;OgxDiU8uC0kAGMfBTAEmXzvvKwAIwzAO45giAlfec4WXlxd9dzA0Jdt2h6i5nrU5ZzMQsSJFccwp&#10;JmZ+/Pg972tEZObiiO69H4ZQGq7dbmdmTduIieTJcCxnrchi6EXDyXzR+Oby7CRadfngcQTqu0PI&#10;sar8t32UjxknE+Pk2Gih2dQ7qdpUV2CSGKOZw+Kfrg7JAIvl/TgGi+M4jMxuPpsTkq8qkVxuh7LW&#10;LdSWAjmIWZENf/nNN+PQna4Wj5+8l83+8OLlB9gMzj3fbpbOv7s+//DDjzef/2Z7+/Lzz//p0YMH&#10;TdMgYeWLdJQ012immhDs8uyUmV6+esOMDVUAltVAtG1bduwrH0P4/Le/++KLLx+99+iHf/aDhw8f&#10;3jmQE5hOQhAAgBgzTZpz3mw2/+2//SOz/5u//du+G//jf/wPv/r1P/6rv/qf2lmrKk+fPn327Nl7&#10;773HSKWi5JyZKsQJlSzUGxIsLBciYuemdZgdIwqBVAUQiNkh8PRDoZKhhOTLcBsLAxjFzIi4bdrF&#10;clnX7buPHz969HB9sixNw6xt2llrZY6bBh+oqsqmaCgj5BCCqpKj8hjfUV0ZUM2Grjt0h812e319&#10;fTgcQhhylphSTCnlrGpIlKd4KEsph5Te3N7ebHb7/pDFgDCqIKARY9MyIBUPNSyEzKm3LSlMjGyA&#10;YipZEdFUGYyJmKksdWOM02Op0z3CSMjHqWUCYxARs0hVVc40xng4HFKWmhwRl3wmABQpWg6GO0Qd&#10;QNVEVFTNlBypiYjd3Nzsdrv5fJ5zVq1FEjufJDeztmlbRgITBHDEwzB89dXhzfWtSAbEmNJ8uSDi&#10;drZwYDrBPUglqR4Vy9hSjhMVSvyRpgyTgJTUDBxRoayUiTrntm1qV4HkqHA4dCBAJsfoMUOyYhVP&#10;RzdlJqfKTTN799F7ddV6csdMaZsAF7Vx7L2jOAatfeV8+UhijM65mKOIeO/Llsx7n3OOIaCB9/54&#10;qimlWCZQUZuYPCmDmXdOcfJ/RSSbkDxDQFUlpsvLi/fff+/25nq/vUlpBNH16Wlbnb189qUAVlUz&#10;jsl59nV7dn5xfnEvixV2CRMrmKqIRJWkKmhASABWVmApJSmzWzOr69aOc5hZTinN69pZZMlVHs7n&#10;dt7iwsVGDRBF09mieu/B/f/+x6dJjStfOMTF3hHNHKMaJEmi5B1IDCfLs7PFnFVYzaOxiagUIgqh&#10;AzRfeQGr26aq68Ph0A1DVUPInQCHPox/+N2PfvZzrmZm1nVd2W2kFEuYPDMTYYwx56SWlstlKTw5&#10;pRjzdrslpqpuGCvv/fr0JKYHIUdgfLO9QcZZ1RTCaNFSgRUeKjjnna+btlW1YkvT94e+H7u+lyxN&#10;OyuHyrNT1akcAAMAAhwOhwZiQJjV89pXw2G8fv2yy5bQ2nnbNs3hcIDjArrYC/0P88tdoSnMIALk&#10;oqs0Iy2pwIqAFQHmDAoIwITXL187MkuRkXzlStqNIRXbsInrCAiGhlYOvPPOCGOS17eb3aHz81nr&#10;OO92FydtvVzH2+F2HC5i4jku2/nJcoWmJrmpvIEt5m1McTWfV96ppBiFAbjBlbRhnI9JvGOkVjGm&#10;lAtbgZ1jon7oD33361//puv6zz772eXl5WKxbBwxYoqJPIuAqjp2YmIAKYXb7Xa33//1v/13v/jF&#10;L54/e6mSry7OL88v6qbq+2633a1WK1CAwk02RCNGUjVAcMwnq5Ocdbs9qAE7N+Z4NzMWtN8sqwK5&#10;0r+rc5Og7pjkZlmVnFcVV3lP1JILOTvnz8/OHz56dHF5tV6v2U3sKiuaWQQxBX2b02EmZTtETIRY&#10;1z5L7seBmGqsk2QTTTGO47jb7W5urm83m0N3GEPRqyQzMAQBEDNRTeUMS9513Waz2Xf9bujGmAwA&#10;mR1X6L0RIzE7XwI1rBA+CUGhpF6KgoiUdmXCL4vdhpXUSTBVMGMkOwqcbRI/a4YE9LZCIE7DCjKr&#10;iCEMYYwp8eTLfmfXwohHX64JfbcUU0HObFoMoppo1lKDS/xrVXkRBUBVcTTpW5hd0zZZRIN1fSci&#10;hpBySpKIeBgHB3AMpAKAEnFoBmKTcgKACZk8mCASE4HHMom5tjqeRks5pxiZOMUk4+gASI2Lz/KR&#10;JVAYOYqgoISEas5VaoTolsuzhw+eGHBKGTVJygBgWaQ8q6qEoJJTSo6ZjIqMEKcONI/jSHfdKOPd&#10;3qP8oSySplYUiu7VFS8sQiNEpiJOntayjGgmIpJi8J4QZHt7LRpiHG43mydP3j1Z1C+foamJCJKr&#10;XNM0i0fvPWnqNgu07Ux0QIAUR5U0Dl1KI4KCKiHWVV03lVoehkHNmrapm7Ywx8yU0DQFQCVOZDir&#10;+Ky2s0YXnBtLXgyQ2OHM8b3z9axqdgEQfVY4+itnJirXsXMOQUGtZlo2FWmCLCDOyJiJnEO1bGYo&#10;pXsjRGKu6hqH8dD3LTA6GnPMSofx+n/7T//Hz//ZXxDX/RiyKorsdtsysG+3277vd7stEjRNVXZW&#10;OaecsyNen6xzzkMIhKvr3j0AACAASURBVGPO2Tk+v7oEQqr51evX22735OF7ojLheVAMw7AM6bvd&#10;rut6mPiUGkMgIl/VvnJ2bEun2oATraY0xJcXFxg7NpUUs5Ak6Tc363sP92EAAFW9vrkWlcJtE1Vm&#10;gm+XGDyy20s4imN23hOlFJEJVEGMiUuYEBEwgiNyRJIyQDGiIII7cvJkClBQB5uSCSeg1dd1M2uL&#10;b3YS/fLpM8dAY3x8dp9AvnjzBhXQz7ovvtzH+PDqMuXIiIy2WMyJGUzC0Fnm1WI5b+oUw9gPi/ms&#10;mbUvX133Y5w3TdPOb7e7nIWdEy25Ydg0TUr55ctX//7f/4fLy8sf/vCHn37yMU/lFgHMuyrnDIQK&#10;+vlvP3/x4vnf/M3f/vDP/myxWNy7BxfnZz/4/vfevHm13W76vr+4uPDexxCaqirGHESkKvPZYrk6&#10;OT+/RHJv3lz/v//1VwiYkiLYsYRMnC01IhREKiwbgIngNNGXmRGRCH09P12fXN27f3Z5icTO+aqq&#10;nPNIXKg9hTuuKse2+Si1K+iE2ZTOgEWgZ0RYNT7FeHN7/frVq91m2+0PMcQxxRjGsr/KxXSIyBBi&#10;lj6EfXc4DP2b29tuHKNkADKEJEJNRXVVem50DiYoG4240GKRqcSFuWmGNjDg4opQLv6pq8ejZvDt&#10;SF3u2nL34mSGUo6GfUv2bmY2xuBUkGS728WUPHqVI9IMk8PPt74nlNDFlJKKFrK1c84Ac1YzLb1j&#10;jNE7BwhGJikzseRsWYiwaevVatW2rZmFEJJkxILJa4jm0ITJIRYeN+rk/cDOVUSkImpaFHyA6Lxz&#10;zhdILoRUTPHKoc05I7NppqKCBMTJMqI8LeV3I0QlQ2QjFiMzN5udrE4uq6rNSkgupawpEUAWySpM&#10;VITUoimMPaGZ1Xc/iJxTzokQ2PviZJMtl6fqiGjhUbfAxRTQIXl2hspIiFpilhxRyWAgRMdsgM65&#10;lPPN9U0Yutevnodx2G1vc4pEFmNIITgEFfC+Ia5ns8VifmLFid3AO6+mMQbVFOOoKaKpmbFz3ntE&#10;DCGGWHhlaiYipTAQSmASB+INl55Pquqk1hlJZebACh9DsrLpqpmt2vl+6EEIkEt4c+G8lRKjZgiq&#10;kr1rHYqEYBUCuMKtBzUFgaI6RXLOOU6eyXvvfCU6HPqBGxbDMeWQ7J8+/+3F/YePH38QY4w5x3FI&#10;cRSxEMLhcOi6LufMjkKYjPpL7aHJOJ8UAACLpJEBXeOIGR134/ji5fOcE3E59JPWykrMuAmzQ0RR&#10;RVA1cOzIuSOBdILYiCeMWDSTkZguV+u4k9R32+12GHdRq9XF0jvjRG07a5om5ozMIRYIBwt9BSeb&#10;bzyWOmQ3De0oWYYBuJB2bOKqECMTKhAhiRIQMZqYUcEjS3CyHQnNbJbNTMSYXNk3mxkisa8qNRCt&#10;nCuC7fXpGV2eC5j4ath1f/j661FVgRbz+TvvXDVt7Rw75pgSiBBzMRhHJiYqGVZGdLqWqh+TmKE7&#10;Bdwd+pSziHrviTClTOQAYBzHZ8+eHQ4HULu8vFyvT+Ytm1nMgkAxxpvN9atXrx4/fvzZT3/K7HJM&#10;bV27xfxktawqV9VVliyiU3z49Gahcq5p2suLq+XyZDabZyn6hwmGBgDTbKpoelQ9AxKyYwIzQsdc&#10;Vb6pq1nTFqNSRLi8und1dblYzJ33Vd0c5U9HM3iciEeTbci0dzGg0rUAEwOaSFl2lOc0iUg3HPqh&#10;29xsX79+NQ5BshQrjCxFxKpJNEqKOaWcD32/ORx2h0MfxjFnBQNC9szOoal5B4DIZCV9iBinxBNC&#10;nFAlBbWylS36cdUjc23qbcqjbWZ2RG1xGnytzC7foo3dZQAjAqhODDGR7B2Dadd1QxgbxxNjZcom&#10;/pNfUykoMpKJ/6xgduTYTsHwMYhkp6YlzhEBVcQkI+I49Lvtznk3m83quq4qL1DM7tChc965qZsg&#10;dOyyZFW7UxtZIZBpEs2aNSZXQA41A8M719VypycVB1gSnqGgM1PiZfmjYQHRAQEoCzK7+eLsw49/&#10;8M6DJwY+ZdGUylPChFElp2jHugum49CXT8H7CgsuB2qqjtl7L6JEoFmQaLLPLMQzNHaOyU1+Ioje&#10;OclZJflSviQVf0BVVTNWQwRCUrNhGPrDdhyG58+fmqTz8/PKcxq7GMaCqnlfzVenT5580LZzETwM&#10;Y7ngQwwm2TSZRAAFU0TwziFCGMcxpMJw7fu+bjoR8CKzttGUvLeKUot4Nlue1KnBzKaoDDRF2zuk&#10;Bt16Pnvn4uJ697xPQnVtIGqCACZ6/IQBEZmo8V5jQBYwjwSOuWjWCnII5BTQMZekSMeMSM5XXR9U&#10;RiM3xBwF8nb7hy++vLr/KKXU9/1hvzPNKeW+72OId02GSC77rrIIZvIxpaxK7MpKXVXBLKUkoGf1&#10;JQGMwwgFl4DpRMFRY1wGUAMsrg01e0QSUSh3ByiYqhkaqk2PiZaWDlxMNg5pt90jN83iTCSMQ3/v&#10;6h0g59hdX1+XvQQWX9mi3Pr2ESecjjVaycW2MAKribDjylcNY9v4LBpScugIgQEcHa3bCkEPjnMK&#10;oEixOwNXPmZyzrkSTsPEVVVpFgVwzj/+znf+/M//2ZPLe/vu0NXVb/7rPxy2O/Su6/r//vvfP3p4&#10;30QP4xBjypKK3xQhpZRjEO+4nDhDOjlZVVW72/di1KznCm673Ykk5z0RqwKREVLTNGEc97v93/3d&#10;3y2XyydPnvziz/+8bdtyye53h//y//yXH/34x//in/9l27Yp5RTjcnkCplT51Wp1dnZ6/97V7373&#10;+WazYYISuFDXbjGbLeaLyrN3lHNMSbrdtq5cTNk5hKk7Ltdj6aaheKo45qZuSuTXen1yeX7RNm1Z&#10;6Pi6rrzHkpJQApWn6xtKIPqkjD1K+o43aBlGTVIq7r9d12132/1utz8chqEPYciSTTSmpGoAbIBJ&#10;NeQ8pnToh+ubm81hP8ZgYLnwahCBHfvaOVIwQEbnCGwC3JnLvgaR72jvAlbcjCful02TxGSFTXT3&#10;sByHl+n2N1UqpXHypzQDIJhoyoDT3SqlhhuWN2tgYnYYh33XLZvGA4lMUwt9C268O7lqWi5zA0BV&#10;VQEDVRPNrFSU61rS8UwAJjz9+FGbqGZJOaXpDTAimnN+dWIOCIsViCMGRlM0tCxZNE7DlBExqpmC&#10;JZVsikZQaOE2nSUFE1MgLn9ANSmuyTihmmWbrWWcM1Mj4rppVx988oPTi4dVezJmjNGIzXs3vdVi&#10;3KjGhKaCACopjFq2XwCQUgQ1Os6GdEzwmT44QnKMSGrZwNChZgMCVGQi8pyijH3vHZmKoRFzuV10&#10;UviYd24cguZwOOzHfvCe2rZyZDFHlWRIdTPzvj09OTs/v6SqGYb45s1r0YyAKUYAE82qCS2LZkIu&#10;N+wYU4ipfC6gmmNAZAJTNoeZSFpnC49LN84JK8gIZEAKIMdmHTQt6uq9B1dfv9gM+4wwkfapaIBV&#10;kd3RD8oqR2nooCZsJr13QZlNj7oDQyZ0jJ7IO1dVrfOSNOQoxpSNFGl9fjlfrmKK3dgNfd/3Xd93&#10;ZipZc84GkHJ2np1jMS3y+JBS21b1bIYpZZGijGfVMYyara0WF6dnL1++QMklR2B6LUcb87LPLIeG&#10;mQ0wiVjB80QkS8rJMRJDXTlTKEsINAQlVXzzZjvutiGEdsELTzGO9Qo1Ja59AeqI6C442YjgCMng&#10;nT6AEMwIzDOBKWisq7qaNZVnz7yYtcv5crPvrrcRTYkY71g60wQzPYaIBMBm6n1tikS+qqaLUkQq&#10;34gkRFA1BGPDB+88/Pi7P0A1a+effAJPv3jaD8EcoKMQw4sXz+/fv0+AOcWCuhW2j2OWDGbo69rX&#10;FTmH5MJCq+pwu90buFmziCHHlHIWhLL0VmRQw7qqHbsYw83NzXa7bZr25OTk3tX9umn++NVXKaYP&#10;3//AMXddB4DeVdNOwMA77xwt5rPZrNnvTTWLoGNfOUTUGIemriRHQBq6MaXx4uIshNh1QxgjeiIU&#10;ZjID791s1ixWi8p7JFjM23v3762Wy8pXlauP16wiMyDqcfN4VAu+5a5OK6epQSmU4TyOY5lWhqEb&#10;hqHv+/3hsN1tx6EvFCyTmFIqc3MJSxhC6lM6jOOuH/Z9f+iHJLkYtCgRMGPh2DmvCCAKzOAcqKAZ&#10;mE6EQ8BSQctwZQBqSlaYUn8ivZKyUTSzo9cJwKSghOn9Hd/lNFtD8YnAyX2YFLSwDQrvDRCzKogk&#10;0T4MScXRNOfd7QzvChgAmCiYZclmejS512k0MjMVLFDPEcUpMh0oXhdauM6AQGLJwJAop3K5xJzF&#10;CUipfilh4CQ5F9C+lH4rmxZDLbAmQAmqOR4kA4CSXY7EhmSgCgiEUMw+Sy4MYKE5a9GpGRk4du2T&#10;Dz794KPv94MmIUJMAs5AJSCogajmI6eA1KRIVkVyCEPpvlNKJa7RVHNKTC5nmdrkwl6x6bWaHIGg&#10;8hgSMVg2u7m+doyOCSBz7YmZ2eXszVBVCbDr+nHYx7Fz7BxD21ZMOvQHycn7moiIeLVcM1eLxer2&#10;9psXL14670xAc1bNKllSMp2Wm6oiWVKMOWXH6JidZwJDzWQEycipA1nVflVZDR2X2ETwQB6YjMhK&#10;ZrfEtqoe3js7Xc+vh20GKbsCJAOVIhKyLJIFGBgAclJG0CaLCAH4ynnKOamamgAUE3vvHZVZEMkJ&#10;oE4mX7Q6Pf/5L/7ivXffA4Du+Yv9dtcPhxhjeTxTyiknAOsPPYAuT1Z9GEKK15vbE8BmNuPK1VRp&#10;zA6ZAbbbbZJ0df/e+enZvYvLOPTlquVpEX0XE0uINJFbxMQwhFSexZTyOA4xjm1bL2ZtU9fFlEhV&#10;mcrpwpcvbzX2y/mMHIc0pJAXmsM4OOBs4r0vcWeF2k6TOz3cFRiY8kTBGdQem6qZz5vZYr5YzJjA&#10;ROZtM2tnVeWHMcaU8JjYDYhAaOXwFS0NIoKrvLu8vHrn/oPFYnl+dsnO9X2fYipmV01TA5ln1iEl&#10;wPlyvdltldz65Gw+X4F7EzRQ5Qzlyz9+1bTtvfv3T9fr5cnSOV95pypcqFYATK6d197X7Cs1/uPT&#10;5/t9iGJtMzcgA9xst2naEyAzM1CRRtZ1Vfzi/v7v/++mae/fv//o0XuvXj7/7Gefee9fv369nC/X&#10;p2eVrwEMgcD05cuXZ2frw343DD0RMINpMgWAnNIQhg4NxmFwzu/2XZa4Pr1EdLvd/uZmk5KA98vl&#10;ajafn52tT8/Wq9WSuWQlAzMzFkdJEinObqg2CSZKWkTOUmhRPBEBph+gGYjkMQx913eHw+3Nbdd3&#10;IYRxHGIMKacyYavmYlxCpqY5q6lCjKlP6Y9Pn90cugiWkZVY6oqoZmIr/ncIVoS9pQaQmlkqtpam&#10;pQAey5zZ8V4/TlNTbOgRaUEAMlAxKHRihCKpBC3RkwXAm1IvJ1rvkdmLCMcZaIrawuJDSIDFwyZJ&#10;7roupwS1v0Nc7vC/UrYJsewqj4L78jLLXFjEpcWBr7jo27F666S8ATDTlMQ757wHAxEpxpVmOg6j&#10;E9VjpRUQYZrswRCB4LhCLOuLo46+5M1AyWU5av0LsYYBC1NApvUzTnwOBCslGQjJmbrvff/H773/&#10;SVUvQk5Dn6pqij6THJmAGEAN1VSyoSvrVVFBxBijAXhfEyGITamLNmWgTaALAiKW1TBXTo5ya5ys&#10;cAEMmUhyjsNIBOQMojlfETEoAzASgZqk2A97h6ZqzN47JzlttzcpJYeUk1xcnM7mC2b/hz988fzl&#10;KxWlivo0pJxCHMVSigFUSmOCAKZSvDSatuUy9moCQchGnD1Ag+bRWLJTz6ZYqguB3oGFYA4hyrha&#10;+uXMOZIMGbACZLFYLjQ1RSyLPlQR8GAqIiUKaxooEQmwBKmA987UxQIEFUDVuay8ODl9/6NPzy/v&#10;P3j0iL1PMYYYYk6+rguRxiQny9myGWy32xAGM9vtN4dDd+h78JUxFyMcR8TkyCwlQSQG7jaHd+7d&#10;C3131LIg/GnAXQjJQLKoqmWBYQz9OMaUVqtViToTAZE7KgyaWlapEJ2rlydr0kXl0VC7oTeqX758&#10;McQXihU4Wi6XRXYeQig1BgDt6M8P04JDEWw+a6/OTk8Ws+ViTkxqGUEZfVP7WVMZ+spdhzAC09ve&#10;sHhDgZWm2gxKjuG9e+/8u//lf10uVk07jzFuN9sQQuFXzOYtM+WcDm82XYigEJOIWg45ithE02UE&#10;3/X9i5evFquTy6t7VdW0bZNztqKYN2TEmFLe6zC8adp5Vn754lXO0xKiqZr18pTI7/e7vu8MgJ0z&#10;E1MrP4KmIedc1w0hxC++/Gqz7Raz+vz8vO/7YRhTSN//3g/m7VxVEBUBdptNf9i/ePH862/+ENP4&#10;8MGDk9XisNtu3rzOOfdd5111fn55eXFlgCkMb17L+fnV1eXZ+uQkJZnNl+v16WIxn89n7EhUAJWO&#10;ybOFNKVHdWG5zSdmK6AdYepCtzXQEMI4hn7oi/nm4XAY+j6OY9f1MUUpEOWU1KEAJir9MAx9P/Po&#10;EEWNvV+tlzOkr1+/1oHROUASAEFAQpuA5bK8AQUA4iwKyEhoBqLqkHFKqyy44HRhqypSITyZmjr2&#10;ZW4wKBoRRPv/f1GpRiYqlgEmspQpTB8II0//RsrngwAmk9BqusNTTkMIam+LynEqOv4ndysxg2mn&#10;giaqXEx9ig2NqqIRTZMYmppaCZUhQBUp08zd9y/lIasRABE5lSLnmViegFSCO0HBqMAn04tBIqTJ&#10;TBSsuPwRTpOgGUxpGmWLYwYAvthFAEjxqzNFAK/q5vOzH/3o50CNUVV56iSkOHJp/cxSyl4JBUTV&#10;AMqkIqgCggpqYAm894iEBCqFO0+mRcZvVhSXhQ2oAkpM024agQTARMyMmOum7mQMMWBWQAEciamI&#10;SomcI5dS1JwFDQpx1rHk2A99ymIakdP67KKdL52v//FXv+nH0DQNGHb9IaTQjz2jaFZUKTA6u+LX&#10;AOx5cbJOIY597yV6FEqjZ1zOmsqyjWDIoI7Qk/PITAREBmjZAAgYEURqz2frxnNK4AFNEXI2BCtK&#10;sckySUE0lxh1KWY/iArIxVjJTDUbmGOGyjnvEMEzeu+IeLE6/8t//W8++vR7YNgPfUxBTaNk9NV6&#10;vd7c3vTDgIjss4BKSqo5DuM3X38dYsgiKnrYHmbtwiwzOeddCUfbbHez+Wy33f/6H/7hx5/9uF7w&#10;sV399qOPANQNvSGbYco6jOGrp08lZ2ZeLtfO1RV7nIwYbSoJxKqazZrFfHl2yiYpHMYxRBFkvXnx&#10;8puXN1EICOuqZuJhGKw0XFNW52SzraplGPTE964uHlxeNBWhlSApZlc1vgYgIn/obsc4imYyLhx0&#10;K3x31SmEwqzM/KL25s3NN89foL7q+qHv+nEYUw7lxLezNuU8DCOK3H/wSLwLw2AiBlo3VTtrLUBO&#10;wVXNmPvr2y3/8asYZXWynLWNAUjOxUcQ1FREUbe3W1/XIUo/xLOzCyDHCExU1dWpX3vvALDvD2UA&#10;ANBijWMGvvILZANUte12O3T41VdfPX78eLPZbm+3jx69d3FxqQW+Anjz6k1K4fmLZ+28PTtdf/LR&#10;x/O2+e3n/0SqeRwhpSEEWK9Awqyd+dMFurZpcLVqV6tTNTpZrdlV062HRgoyGRnS8a4qpNu3HD81&#10;I5qSVsq/yJpDGA+Hw25zu93t9vt9CGOIIcVoZpJVVAxREMU0A2TEkgi52W13+/1w2H/66MHV6bpm&#10;UtXVchGB6vmcQ1Z2iOCILGcFFUBGLvNJWeWoYjGS8N5plrJNAXxbCPWI7SFAaddNyw6Y7YgVHPuZ&#10;qb4UnzY1gSm5riyKj7upCRcEM1MQKgvD6b4tA4jhNAiYiuZEwxjhDpp6W1X07VQFoAApl2znb0nT&#10;AeuqTjFJ1uOHf3RFUikkan1bDUu46bR+hywAQMwA5kAdmABZOV1QLJT07n9HuDv039pQA4BN3FC4&#10;Y1gX0/QyPRAWtL/UZJm0luaca++/8+SDD76LUBPWKSMK1M7FNCJTVXkCUuEU01EGYzlH0Xz3WorU&#10;yTPVdU2MDlwZpssGrGhfHJAnFtCYxQSR+UjkQ0JWtCJ9XSyXWUKOAaZ9bsLC6VAAYuOKTKHYJZkU&#10;Q5yYEyJkFQA2ctVsPia9ffb80A1lhB/7oet2AJJjUFDHroC3Z2fnhjSMo6vccr1u5wvA0YWoOaBp&#10;491Z26yrNPO4ntfrRdu0tfceiwqMikQPFEABzcA59Gr3LtbLmU9BFeXY9RxN4kzBNGWJKSbvkrGq&#10;TU7GIuxd4VxMTBsw57huau96pszO/av/+d+888H33nv/E3Jut93sdremms0UCSsnhmqURRXMVZWi&#10;SU6gKinHnLKKqalCxXVBIyVJ0JhJ27oZQoyiYt+ohkcP759fnL6FPr51CNQgqw1DPyZt6hmQr+qG&#10;Wq6rqh8GE608IahzbeEIiJboOSc5BZVvXr+sUEN3iGNkV7vaNoe42XeCxMxgykievbCMWh4GJubi&#10;AMPOLWat5hj6bjGbecd15SUHx7xaLs3AVbM4ptvd/na3Z8dni3Pnq7qqm6bebnchjAhY+UpVRDIS&#10;q6F3brfvXr+5ffzu46ffvPj1P/6q6w5ZsnckOSMDAK9OTuezNood+l5MV8v5crH4s5/8yP2an798&#10;0dR13x0QOMX07PnL/aFvqqpI7lNKZWVROj8gDCEgcRZtmna+WDhf55yIvRqyc7N2hudkCCGG4jIA&#10;AAyARVbJXNe1KohojuMvf/nL169f37/3TlM3v//975j4008+qZhV9csvv3z44J2PP/p4HLucxxTS&#10;85vb2lWkug03jnl9sjo9WT24f9E0bRRF1+67Ybd9A6BNu3D+lKksN6edIpMrlA0RLWJMlbLdVgMg&#10;LCC7pBB3m9txHMcwjjEc+m7oDiGMMYQYExEmzVmmpE9FyGKHcdzsD7thGGLs4jjGuNvvRTKbfsw8&#10;Xy4IYb/dcCFIOKfMmTmbITGxlW2tFmYsEjObmqghcvEYzaoGIFNA5HFOOHK9pv2PWhnOZKJsweRR&#10;VVBpLeJ9h4ioaGBl4U/4lmNWYs2Of2EFcz9++WQDQ8dUGFXLan0XxAqP7vhyvk2ALg7Nk8TyLcPM&#10;TImwqasYq0Pojge0ODcbEsHbsEE7Co3IjrWrKIsLVd1NO8K3C7iyXJnwi+k3uBMr4ZHKdkxGO76s&#10;MrrqNMaU+ISEAoX/rAqCzG72/R9+9u7jDxfzdQi5qiBnMTNXUcpABG1dD4VtpxMaDXo33wEiKmhM&#10;MY5BUzq/uHDEzjGC5ZxN0SybKiOZo6nsTRszw+NCFBGZCcwR0nw+S3GW0ggmJiiaAI7e0mCiyQBs&#10;yskUACuscERWNWCsqtpV1Wa3/frpcwNDBGbYXF9b7ImsQks5mxFyNVuu5+uzrhuSRXTV6uQUwSqC&#10;ZUUWs7M093i1ni1qXLb+ZDGbt40rQl5XTCbvCnvxKJEyn12cndy/Or/56o3J0Qi2dDhoIABgqrnr&#10;h1U9T6pZpJi6cWGLAQCAYxZVUyHmpmnm89mQifv8459+9uS7P9kchqxmAGOMjJBE2bEp3Gyuw9iH&#10;NKpK29Z15TVM+2IDMEIjMrXZfFY5n3NKKcQIiHzY70VVc9rttkTy9VdfXV6dFbvcsuY9mh1M3Esz&#10;EslJxACb2QINZu0sxtERq4JjAkCVUiGAGHMWJgbCw9APuy1IhmxNg7nf3nbByrEWrSon2ZDeCh4B&#10;AYlMrXjcffjRx91+99Uffv/qzU0M4ztXF6frk1nTxBQRaLFchyb7xcmbw+BjXq/PvK9mszkRhyBE&#10;frWaV1XNTE3b7Ha7B4/eXZ+en65Pf/yjn7xz/9Hlxb3f/Po3/TACaAhSSLQfffTp977/w9evX6cU&#10;QgiI0Pf96en64cNH19dvQowqGsbQzmZmXd8POW9K51GOHwEgApMrdPdshqiFJj6GaGNMSYhdVTXN&#10;bE7Ey+USCHf73eGwz0mm81s278Te+TDGyle15/1+/5vf/PpwOHz04ccvXr4AsA8++A47IqSvn37d&#10;zuqq9m3bdF28ub4Z+66uqv3+MI6xqpyvms1279yr73zwncY33RgQ4Prmegzp6p6bmKZWMGWYel41&#10;AlDFQgQrM0QBC1OIh67fbG732/3m+rrru5hSUok5qkyZQGomBoKUQY141LzZ77f7w81uu9kdDjGE&#10;lMXMCNSMnXOM6J2ra8g5pWSmSMwTRRdFDVB5un1ARRmZ2TFRknTsWaE4owCimk4GW0fAFwCnjMs7&#10;kAMJQHPOWCR38JZOhmaITJNc8nir3tHmzUy1xNsewREprILicQlEZgaOTK14n2fVNKW/TLf8RL8E&#10;m4gGRdqRk2i+8yUzs5J7UsgjdCQIlO+jpg7vrqRp34iFjSsZaMI0y5syM3c3n5S/QQSDuz04EeHR&#10;oBOOVtZ3I820wrure8DTRaEqKglkIGATAHTo2tXJxSff/fH773/iuUXkJJJyBiQkIP7/uHqzZ0uu&#10;68xvDXvvzDzjnerWrSpU3QJQACGSGAhQoilL3VZIsqnoaD+2w/1muR8dbv9J7nCE3+QI+8Gyoz20&#10;JVJtayA1UAQoAgWAIGq+0xly2Huvtfyw89wqdT1VIC7q5smTufYavvX7yMBEpIyOJecQvAiKGpAZ&#10;aEpSfmdOicyGvh3adj5viKcMyAFNIReJkYGolLtGNIr4xieEEYFAyQxMoAyt6rqZyTzGThPiDkqP&#10;KIjXOYeOHVdEA1hvttttB4Dk3N7eHjt3dvF43W6ypsp7ZhiGli2lrs8xKxKH6uDG8WQ2J19F6ZPA&#10;bDqpKx836waG2QSXh4dHe82y4Zv701nDTeAqOF/mzs4BKV2XGrsikslpioQuOD65eeNvPv1akRWQ&#10;mUtBjYjMrEpm0A+DwFSKaiLFSMhM3nORaOs4FzVEDCHM54tNROeGUNVIDtnnNEAxPSQSMO/dsO1W&#10;6wvTFONQ1ApVvXuByQAAIABJREFU8N57JBYwARMEMzHE+WIaQthuV7m8ggh5yACgqkPOzHJ29mLS&#10;TK6f4J11U4kVZXsMCwBRVEMIaOi8J8bKeTQ1y2VMyoSq2dTatv3sF/9w6+TIhcqQ6smMDIchn19c&#10;bKJwNSECMBEBQJxMm7Zri2JHTHbJMjLzv/gX/0VdVb/4+cdD31aOVFLOaXN1dX7VdV3/6RePlwdH&#10;J7duv/nWN2bPnz94460Hbz24eXyT2ff9EFOcTpuc0qefffoXf/7/dW387X/yO2+//Q3n3MHeEZOr&#10;vll958MPf/SjH7abLTl+//13t9vtycmdd99975NPPq6qar1enZ+fnZ9diEjsh74bHLkXFy8KnqRu&#10;GuZiheXLF+eK5zaycw4JFUARCKgoqkV0vd6oAhLXtbhQ++DMYNo0QIakm1VOUVJOAOC9L7CfsrSL&#10;aEwcY/r000/7fvjGW99o6vqvfvyX33j7G3du3xbNT54+BYBvfeut5WL2Z3/2o/v37tZN3TS3mZ2p&#10;iREYXq7bL796cnr//uXVZT+kzXrz5Olz56vX7t4TLHbOZYg9rq4jlqwUck7r1WqzWa/W675rN9tt&#10;Sqlr2xxTjkPOOZsoMpS9EyBE6oZh023Xbfvi8qJLqYtDH1PKEkWGQpFkX3oCVMjEloeUC0tfzVSF&#10;OHjvcZfjF8nWrk9TCotshahPVCgm18K2MpneNf1Komq2G8vD7rAooUxVIaNqLhbU4399ZUBCxXlr&#10;/Ad2ebyajOj3UT5nKvBKGM4iYEamjhAQQl2x592FjCENAIiKfpsALOWUUyoT7hJqvPejKj1le8XA&#10;ZRwngnnP+VoIDmamuVg2ESKTQ1fugyqMf3tVOPfK+TEaJevL4un6h+AfHS2wS5wBinNqqWcUDMkj&#10;11mrB2+99633fj0nzIOoqA9NqOrVem2gBTqSctYsjjjFxFVAMu+8B2dmIsmxI0TNmQjAct+1m/Ul&#10;EnhfVz4wMRAhUIaCRgczS1nU1KORFSp2AeuNV1v4m6GqamkQQZBIMKWEACklG7VmUr4HcAiIPoQU&#10;c9f1iMzsl4cHq/X64uKq73sAcJ6SJAOLfV/OdhV4/e03OdSKuO36mBKDLacVa6S4mVI+PlgcHy6W&#10;06rycricBhLv2TOXLIUQDAmxnIV0vWCISAhAAIS2t1gExwYIilwk8Lrb8EBUwyHlrJDFVExyTowh&#10;OxNffkZFEcAxAyJ7P5uHffUv1gkM27bNAkPMSbAbomPy3jOh5EE1Z4lZYkxpu0WCafAVkcs28sPN&#10;tG6a5XL+5NHjs7PnzM55T2XXFVVTJjTJaRj6uq4Q0UBht8Fdkr4SZ0QkpZjF+pia6RQRnA+mDKbO&#10;uZzlWho4TjxKYQ1gSF3WZlJ3m+3z5+ddHyFUYJmImT0S3Ln9WtNM265drTZj/gTgnFPR2Xz21lvf&#10;uHP7znc+/EhTQgDJQ86yWV2t1uuvHz36d//Xv2tj2js8CVX1rW9/+OF3Ppovl9PJBBBFlInM9Isv&#10;v/jR//A/nr04/95/9L0P3v9ovpiDofdBs05ns9/53d+LKf37H/6QHX3j1965vLh0riq8tbK7ul6v&#10;nzx5slqt+r6NQ39+ftn3g5kxoy+WwOxCVSEAEzNz8FWZnJkBOQZ2qKCWVTUOUVRFTGMGoIUVXKyl&#10;nANzHULPlHY9iZxzUzVEQIzBhz62BoCMm8vN48ePJ83k6MbRo0ePJpNmb29589bJ468fsYM4nLqm&#10;+uUvf7m6ujq5efPe3btHxydVqFTNEC8uLzed+Krp+uHhw4dXV1sgf/f0DRVxrkyYldARezNViWAS&#10;Y7y6ujo/Ozs/P1+v1+vNJsUoIsQsOYMZAZRzRZAMMZvFnNfrzeNnLy7X6y6n89WVECrBuHbpHLqK&#10;wbIIO89M3rEZYIJt38ecGyZiTjG6UE/rxjP3CkysY6apUDiHOk6fxwFRSUlKd6ccQSUTfVmBvELc&#10;3b29UjCJhXxeGixjpl4q+HFJedQom1rR5iLgTg1gthurw2h5X7ptatdSrHJVOp1NEFFNaBfVr1tu&#10;IiWNVpGcJY+BzhARmJnZi8j12VbKGiQ0M8cOEdMQSyvMdqDScgbtVDPjUbIDNhRZESgiqFwfIqUx&#10;aK+ekNfni+k/srthBIXr0Q0qoBISOjC/d3D7+7/1+4uDW4RNCI4tl6XitmsBi/pLvfcmUoJ7HOLQ&#10;t2o5VFUzqUMIiJaza7drAE1pMEmSh8vz56o2my0Iqaoa5jDSka/ZhaBiWj6zGRIZM6ioifJY4AEx&#10;h6pOSTAAZUaMhRq3439qkRKUk7mqGuc8sBfLVT2ZzhbPX5zHlGMu7FXKIkmzAJrhjVuvVfVMi1cm&#10;Yh5a1p4wzj3sV7Z372ivpvm0Ws7qae0RUhPAEXpHzDTaboqVJ21cjoKydUiEyJ5jlwiATKZNHXsE&#10;My3ihZFhhwU1ntRi1BRAyl5y0cznbI6dc4BOVUdsX85AfjlfvH4vrC8vJ0edgY8pppxT0h2GPcYh&#10;4jifNADs+yGQD7NZsV+j8iQQ3LpxuL+c//gv/7wvWil2NjbSoarC2w/e6IbNcjGbz+el+C/HZ6HC&#10;lGeo7KXXwZKYgRXAfiPqHQ/d0G17IqsrUtVsyoQAOJtM7967x4zkwpPnZ1999SQQtW3nQ72YL1xd&#10;ARE7f+fOHTPourbc1qqqVSxJLrYf77/3gfeBfLVsplXwkoUQcha4ZZtue3zr/mR6+OzF87pp7t9/&#10;4+hw/+TWHSjpCKBIOr+4+t/++I9/8ek/fPe733v33fduHN+YzxfFAUwVyDkTvX///j//5/95U9f/&#10;77//0V/8+V/97u/97mw6f/78WQghhHB5eXl5eXnr1q29/eWL58+uLi+32y0REY8DzpEtS0REwQcE&#10;JHbOVSWFEgMxQMI4SIqREGezedt229jndvv8+bMQqrquBXKM/Xa72W7blGKWWMDVIXhmh9gjYlM3&#10;KQMRn9y6/cF77//Wb/3Wt7/97b3FsqqqpmneffddJvrkk49fPHtydLD/4MGDm8fHTPT8xYv4KE0n&#10;k8Xe/t17p12fna8ePvzi888+896Z6fMnT9aXl45JJQG6wrK7eHZxcX52dXXe9evtejPEmCX3XS9i&#10;iJBFtIAEywyAbNv2m7Y9W68vVqu2j0MSUeuGlMzMuZ6dOUamncEwj+OBgEUArUVPTjSkFHNqXB1C&#10;GOIQACaT2hFDyuhKfV+i2pjzIyERjT6GZlkFd1YPuznCyGKhf7zvAgAKVg6BMq3XLGY6TiEAofhR&#10;lrWq3TB/12+7Lu9eBuIizoLdJLVgMOFlcBckXMzn1xq16yu8/t9zjkQjkhlGmFZpk1AxInv1Q0kh&#10;CCMkTd656XQ6DENVVYhY0AgjAxsMFESkrDO660FvCcvj246FQLcDPADutl1Kgro7BHeyYAAA02KZ&#10;AcJmJOgUfSaPWu3feG25d0JUE/i264KrkTTFgRhyjqLivSeDPETNZqLBu7bruqHbdtshTiaTCQFh&#10;gRSopKFTjQSy3V75qqqrIMlnIKoRjCTvtAyOnXOeHGAR9hHAqJguF+xc6IcOyTmP7KIZOzZykR0C&#10;Ockp5bJAr0ACoM4H5ytiB0gKuNw/CFUd5dKYkb2qipKkwYAsTGezWTNbknPIWDlI/XbCg4NWdLvv&#10;l6cHy71pmAasg688eJcdY/DoyOM1s2SkXTARMY1zrSIyIVAAzDmDoMTomVXSLjsZ0/lsAoiIrGab&#10;fpg0IYomyV5cQQ+JOO+dIwQX1CwX/WZMRDRtwtPHX1X7N8JsT3JMKRmCGmSxtu1zzjh2pryvfNv2&#10;m64PVWXlKBb1MYPKncVyUvkQfD90KWaiJAYILoTQVNW773376uocINd18MRjrQxQSNkImLMQU0ox&#10;xlQ3M3ReQOu6abutpNhuNtv15Xw+Wcwa7xhKd1pUTff29rbbDTp/td4Scdt1BBycD1XlqypJ7vvu&#10;7MVZznp1tY4xTZppVU8Wy72DgwMmH9Pw7rvf2bbDzz7+2f17p/v7B56CAbiAqU/sDLhbHB03i/3l&#10;cnF0eDSfTdVo93rLw4ef/9Ef/dGTx0/+k9/5p7//e7/XTKbMiMgGKav5st9KLlSTu6enf/DP/tnn&#10;X37x5ZcPf/bxx7dv3f70F79Q1Tt37jhH3vvJtD45OV4uZn/3t39rZgZCyArqCtrH+TGBNSJiA1RD&#10;QhK1ZCqmcRhWq9V2syrcqjjEYUgAuF6vfKhn8xk57PtuGHrVjAjeeSzyfCJEbJpass5msxvHp++9&#10;+96777739ttvL+bzSV0TOVVBwNPT+8H7um4++eTvPnv4cD6fx5hOTk4Ojm60m613nGL6+ONPuq4/&#10;e3G2XDaS2lCFvl1//atfXl2dq4lkabv1arU+O798/uzZ1dVV265HYiaCiMaczFDAiJm9z2ZqFjU/&#10;e/7i7PLyYnV1udm2wyCABkTOGzslTAZWBRc8IO72ialohI0oAxBCVnWEiNRn6VKeNziZNFer9R7i&#10;pKo9s2kEUUMqayAAJrqj9I41yjUE7KX0CgoK08o6i4FhcV68FrEXmTGWfS8wM0WzcQReZr+jRHfH&#10;Ttt1qMZ5txVEyu7TgBV8EewWYorUCwlUct1M9pdLAnjZ/Sgsy90IRSQThZSziFwP4YpLLCL2fV9g&#10;l9f2OaqKjERQN9V0Mt2sN1VVI+J2u23bVoqbHgCgOcdElFJ0AKA2einpaDnAxRfr5YSlCKB3h8ru&#10;8BwlWzje8QwxmgFpMCQzAnYA7nd//w+Wi1OiWhKmoSWiNETVzIRZhuIK2rVbNKpCSENSRQScTqe+&#10;8lerq/Pz881mU/mAlsEMTAmUEZyHlHMcuiG2dV0lYFVhrlIupzg5daoCiMxIXGKQGlnBY5WepPd1&#10;4T5Mp8uu7cgBqfeOzVzm6ENZyxWVmPPAXNXNdL53wP5r4OSr5nLVDjGnBEPM3jnJttlsvW9CM6sn&#10;TQJ1kiqE3G69dnsTu3Fy+2hvupj4We3rQJ6xrjh4Zi4MWSMsNswISEwOkdSKrqVwbxhgzOCkAG/F&#10;yiiFC9cb0Uxj1pySYilOSQw3fdwTi9lUWQ3KPKbsMFIBDBCFgAqW+sSosxA06cNPfnp8900hX1R2&#10;5f2IMTKTCBI4z4iM0A9DHzebthsG0Fyr7hnVlfvmrdsffPABO/7hn/3Zs+fP4pAI0TkehuHG4eHh&#10;4YH32Larrm339w5Ek4i44purqmreh5gjIuY0fPboUQaYzGfL2cwAZpNmOtnbW9TOkXckOZUwwo64&#10;+OExNdP5bLnf1HXtwma9ns3nk9nsYnU5xMGMzuQCrARefv31B//VH/7hYrFX15OU8rNnzy8uzs+e&#10;XwDb1Wpd11OoOA6p6/qLi4tPfv7zbuiJgZ17/uL5Jx//PA7D06dP1+vNer0CwMVigUj/9b/6V3fv&#10;vsbO55ydq5MI0egANo5zERH46Mbxv/7X/92nn/3Dv/k3//1f/+QncYjT2XS9XqnZanV5efXiF7/4&#10;uam17YYYmFlEgEDGtSpiAijeUMTMvsSwoRteXF08v3jebducEwEE702L4B9zzkPsiP35xYuSeCGi&#10;9+ycq4JrmmaxWLz/3vtvPnjw4YcfHe4fuUDIOG2ms9kcABh514TXnOLpvfs3jm6e3n/zw48+WF2e&#10;z+fzvt189cuv/uqv/urZ06eryyvHDpC22xYQQqBbx/vT2ZTZv//utxHs//4//+3F1caM1CBGiTGq&#10;aVF4qgIyAlFCMsQhp6v1+vzs/OzicohDlDyoRZUoAo7ddGoGzC6KAlGoGwDrUxIm5xgUy2ikPMPs&#10;HQAwYY5REA2hjbFPyQirutYXZ2haVz4ERwillUPIhZ42BmWVEj3ElJmZWSyXk0BKJwN3hwvY9Z9d&#10;/YAAUMABpalVMv6xuwtliGFQNunt5QFT+nwAFtNQpoa4A5cUhVohehFSUe4yAChMQrWopyAmJnhN&#10;BwAAMBG9Nq2QLHmnRS51RYwxhDCdTs1su+2K9ysiMpOh3bx5czqdbtbr4+NjACSiqqrqum77rij5&#10;HNF8Nmua5vLy0l2rwgqsxjmnr2qUx6HreEaPpR+NOoHrUqtsezJx+SodUBfTpGlev/fGwf6+pwoV&#10;GblIKTQnwOwdagKRaAYjl06RiQ0EQVNOpuLZCbv11VX0HAKX+TGCBUfttg++AssShxwHV3szinFA&#10;cggAJikpCYaqAkXksZE65h8wtgQLKgKMRFSUCmgZ0JpmXiQQKSUEzTLELAqsQDdv3f78i1+tN4Oh&#10;22xaVchZCZmI+67rNq3zjhmzpMBCJntVhdJPvJ3sTw4Xk/kk1MEFBueRGJ0HF0bigHeujAIQmZER&#10;GICYqTw7YKCgQAxQVBskWWLMxRwppeR8lYvXkagBEDAzJUmm0A1xSJIcJrFsRVXpREeQl6khIzOj&#10;GTpVSWRQcxjycP7sV9Vsz4CLHd4wxMLFc+jFUhIQE3ZBaWi3W7AMEmcA3z29//b9u/sHB5Pg33nn&#10;7fPz5zkOz16cqYLk5J2r6qqum8mkWq9rUcmSijNpaa0ToWDZR+MYu81mtZg30709H3zwgQgdEZOp&#10;x+C5bjygEkMZtRblqCkulntvvPXWo199fbled23XDfFqvVJT571z3sZlcBTNOeswyP7+YdNMzWDS&#10;zJn8ZnM1ndWb1Tp2gwg8evT484dffPnlV8+ePZ0v53VTbdttSpEAl4vFfD4/PDw8PT19/fXX+77/&#10;+OOPDw4OmqbhXRdrR8stiXB5yY2YyOj45Kav/Icf/vpP/uovum5LhDF2KWfR1PftyLMpyvicEBF0&#10;TEdxbJaRmKARgxc1ienJ02dnq7Ntv6l8Vfy66hBMVURVLQQ/n8+zaN8PolL7MJtPQwhEtLe39/57&#10;7333o48++uij5XKvrhvHDgiBDHQMZwV7BYamBMDz+Z73TVXXe8v5erMyzYR2evrGa6/dffjZp4+/&#10;/vrZ06fbzRZMAWw+mxweHPjgQzVpJs16vb682igQs0diUctqTE7AskHM2TIA07YfVm374uLs/Oqq&#10;7YsGTH2oBNmCA0NjhuAQAIidSlF9FadrGM9hJGQtr4+BlFKzoF5NmSEadCkrkiPyIYAZIzY+gFrp&#10;fSFSLuJLQEBChdJRKmY5ZYmSHeWUnHc5551CV18JpGM4FSnMGxo9gkXJjAgLxVJMnUMr3nRjw8WK&#10;UkmtLCoJM5XWU3kAcgmJNv4mFCUkkAwmFVHatmH3wL28iN0Ov3Ne1Uwxxtz3/fXzSYQ557ZtZ7NZ&#10;CCElKXUM7qSss9ms7/vtdltXDREjYlVVRITshpRLYb2/v3zrrbd+/OOfFBXZtael4St/AHYr36D/&#10;+CJfEQLsLhoARBnNCMgjNAz3b9/87V//DoHrh6hxi37qneu7LaM6h33fTmdV2+Fm26denKsIHCMm&#10;zTlH0QQMIQTn2DSn2K/Xm+AwOFrHmIYBzQA09e0WMYTgfQBAAzZRgLLHhACskhA5R7URu2LF4NhG&#10;yWr5LGgGiDzEHLyvAjs3esmEkM0kRp+ShDBj1xwcHdy7d7q6Wg9DNG1VxnSOGNLQWxqIRGPvq2Ye&#10;/NTDjTnsTZd7Dc+vFWLOIYLzpUE8khzBDIo+UgHRERIA2a4uFlMANGRTRYBoosOgKjFGIABTBIgp&#10;Sk4ARZ3AAJhSBgAgGnLadP2ybqIox+zYpSQDxUK3LCHQEYkBsjgQMQXSgWzbXq2GPpkLDOtNt223&#10;JoImDGjokgwqGcFcyQdj70G/ef/0g9de3/N+6rz0rWN86+0HRPTXf/t35+dXMeamqQ/2l0R4cnLz&#10;9u1jYoxxuLq62t/fd+wAcBh6QEbLJUmfzerFYi9Mm6qqgvfEyIiOSUWIzBEiFkHkyMtRFe99CfRD&#10;1xMQmpWRW/AVOh63PYALCvxqtfnLv/zxdDp/68E3qqoC49u373766fanP/3pp7/4FJG8r9ar9Wy2&#10;PDw8fPPN799//d6d1+4475x3vGNRM7viinZxcfH48eOmaeq6KZusY4VfQjMAIhCRmTI7IgKEw8Oj&#10;//Jf/sv7p/f+l//5f7p162S9vvLBD0O3t7cnInUVnj59rJpLCi5ZQ6hKAisqmFKoahUVkpyHq6v1&#10;sxfPQuNPT0+nk4lKjkMvKRd8fUoZEU9ObtZ1TczOhW9+65vvvf/e6em92WwGBk1dTyfTyaQpl5mz&#10;iAoyIxgRl3Jkl1GOzpPeB2aeziaLvaXklFMEleVi/sbr97vt9vzs7PLy8uLiYrNaiyak0ipiRYqq&#10;BmQAYkpQvhSLput+WLXbx8+eXa2uYpZBRAAELRkYE00mRAjMBF4NCIGdAwbMYmpYoh2iITICj2v3&#10;43rQ2PsjEhEFIEdioGIx5003FBRkFQKoBedn0ynTWRIVBHbA7HZdsd3m+din2g3eDQDhGiJur7R5&#10;8HqG/1J7q2a6I82P/2W38bLbHTYYfbbKtFjFVAuSEXe6g+JKklNiUzRgM4k5Z4GchpQyWcgTB+P+&#10;PO4WGq8rqmGIKnaxvnhxdjYMUUdS8zhxyTlfXFyUeUxVVSKScxIRFXn06FHOWbOcnZ8v5ovJZFI+&#10;JrMLLnRdr2Bd119drfb29ouKDHb6413ZsruOsrQzTrrKJBYRYISyvHokIiC5ylJGSWzxzZODb947&#10;Od1vJLlzjZuISXDIRGQybBno1vF+3dTrbZXic+mLmqKIugVAiVFV0NQRLuaTnNzV1SB5IBSzbKZM&#10;LJKJSSR17SaEuq7IwESB2JU+kmNSyYXJAAY+BFPNkglHtTeAEVDpbhNBNwyhCuQCO8cACOQ8OIcp&#10;DsMQAdzl5frmzYPTe69//ukXJXthZNSIMtTsxAZnvVeqHO4HOpi6k/3Zzb2qIp1VHBw6xhAceW+A&#10;VCapgEXNBVBoQDQuspQ80QrLYFz7VbZy0WhQwK8igugKvlCkGDtCqaCBinoFRYwR+pijQpcEEIPX&#10;oBBFfJZiHlP0loSExGWZjTDV7GJKse2AKmKv/Tp3rQwdqgJQQBCGmBKpelQirZ2xpxvzmW873W7t&#10;YIamMUVQPTm5+R3in/3s559/8SWYxn7IKTVNgyAGNgzDbDZj5vIO+cqnKGpKTPP5ZD6bTGZzX3li&#10;QkB2Yy5U2KHlXS0cWxt1GeOR0223hGyggYui37NzpaWgBjiW47herz/55JNbt+7sLY9OTm4x+8Vs&#10;4Z0buiHFuFgsPvjgw+DD3bv39vcPDg4OnOe6qQ1g9A8bexeAiH0/7O3tTSaTnNPuIAEAoEIKLvpr&#10;LI0RN7IDEFVtudz7jd/4Xk5DisN6s+667fn5mXOcJS/n8+12vVpdAZqIOMdmkpKUTEIAVBiARKnr&#10;27bb1HWYL+eL2dQHT1il4GLfg9livpjPF+zcfD4/Obn1+utvvv3OOzduHE9n08r5qqp0XL4wVSAi&#10;JleWENQQsCj7zcgAR2FW0eMBoBGKgYIgsoj2bdttN6vNptus276POSFjNa1F/WgDjJzIGZAhRUlx&#10;GETADPp+aIfhydn5uu+3fR9TQueMyBiNHbITBPSevQNDzEQ2GpSpKoASwOgPYgiEYQfPKtaJDDCi&#10;PMaYVbRWCIRJoR2Gsu9VrAsdh9mk2SEDbNTvAoiMOyIAY51xfX5kyQBj0GfELAqqZuNvRKDi3VDi&#10;9zXpGQshVRVMC1x11J0BAKCBlkhrapbzTuo4anUREEQRgNTQbFxQkJy6DpNAjpKHGQOqoDK8XNYc&#10;qf6qQEhPnz5/+PDhr75+vFqvbTxA7Xo8g4hEBGPBBt57UhIr9Frx7MqYO8asKuWIwtFLNz9/frbd&#10;dMTsiFBUctaCUrwuR8Y0RbFY8CKMYuWdN4xdlzvjDwNJyhWCR52w/Ke//Rt39uYzD0qKQWPXZU2W&#10;nQ+Bvd26dfid734ABM/PL9ttq0MbkxaSp5ggGiGmLKoCWKQOSgRd7AmlSN0KQ9Q5co6Hoe/7LvjK&#10;zAAdln1SVTNStZwNEB0TGoqWR8EXojSRA0RHROxi6syMnWdmdqWGYAAI3jN5xPOU4NGjJ2++/tpr&#10;d+6c3rtrWdttazmSDqwtiUE8r7E9mE6Ojib3XruxnFazihaN82iVZyZ0zvm6QXZq6Ny4DFlG8TDy&#10;QMsuFOkOoCCSDY3K9yBsCGoqOYroMMScJCXo+5iEdwIS28VcIibJkrJMai8GfUw1OWYbUgrZO4Tk&#10;hIlyFgMo0ldyzjBDyiCZTCs0ZexyH/s2t+sAAGyigpIcIXsUgZgUZcj9hi2FyuV2a5W7uLqs7hxZ&#10;jDENKcXFfHbv9LRru1/96lHbtmdnZ2UUYSrOc/HIKS5wzrmyjC1iRLi/NwegMqQiptK+UBWEAhYo&#10;6d2IKtq9tABqaNo0tcTsihM6MxKV00XUCCFLLqqRYRgePnzYAACA/380UzD6gz/4A0RUE0Q8Pj6+&#10;efP46dMnb775hnO8WCz39pbNpPLOIRExX0eKsecgulmvq6pi4oI4c+OKLF7L/XcS+SKWQ0QgJHZs&#10;oDePT37/d3//xz/5sXvx/Ojo6PDwKKU+xihS/HWUGJmdJCn5YCnazEy1LU/+er3q++3h4eFsPivZ&#10;cHB+MZvOZ7Ojw8NvffNb9+6dHh7dmEwmANQ0E18FLhk/jMQ3dtfpJqooETryo1gQdnOFMioYKbKl&#10;foTtZnN29uLy6uLq8uLq6rLdrIfYF52hSnFkdBlHWiuyG4CGmPqcV5v27PJqtdrEIaqZAkUzZafE&#10;UDsKjlwwRgMyRJFsyIZkhryT0gmIqTKyw5Igl64vMrhdh38X5AvUShSRFEyyGCgRUmmZEptqVVVg&#10;CiqVc7iLb0mECVFHbZiNKy9aRidcvgs1Ytwl5oDF1p5olC6/Qkos2fu1SApMTK1cnOqOa1l+Rg1U&#10;oZD8bey0YJFZFsMxQAAIRekhpilCjN4sBO9rD9nvzWeV3w1B4HovZ8yKnj579sknnzx69KTv+6ur&#10;1Sva5ZL3aJnZjPOe8rkIGQqgNTR1XSZz222Xc045ETlVKAIxybDZ9E1Tu1cKtVKLKb60ar7+rPDy&#10;BNzVaP+BcJkQCKXw3n0AACAASURBVJB1OJj5N28c3D2azRAq7VO2/cZv2h5EwDV7y8nJ0c37908d&#10;ZWI+OT482Ftsroahy6LGDCIZQdQ0p0RMprJZr7N0281V320mtRfJuz1YLrWXquY0DLFnDuwIQM0E&#10;DErLKOUUPAO6FMUAVGXQhMjFEQ+AmJiI2CMRIAJ7x96X/T7VkhGT88EsD13s1tuD2yevnZx89eUv&#10;QaJHDTiAT7PAzZJrNz25sTy5sdhf1pXnJrgmsJl65x0zOSbmnY8BEYyVXxk4665ZR1YgSgZgYqWz&#10;p6aorKpoqhoTJGm73gBFTHbcg7JwWFZIDKBgEEtyMMS0aWESpkFhiFKF5NBcLFfEKIUeXczmGFlN&#10;BCQ6wIn3jrD2nqVCcgCTFBPk7JgEbS/VIgLr7mpNjy+Gbdt5Byn2BoZu9BIvFUdT18vlMnjfdX0s&#10;nCjRaqTWGxB0XRdG0+iyVw+IUgVXotnYiMyZwJe55ljpjQqel3z8knYhAI+tEkRAJmZyYgaFFE5Q&#10;NvPUVGJOqf37n/5d8P7ttx+cnNwCs2EYjm/cdJ6/+OKLlPrnz6+WywWA5ByJILgAIw8WzYpv62hB&#10;lmLabreMTCN4d9QY4X/wulzLSwGLVS4jNpPZG2+8HULz5Omjp0+eDbGPsdts1qvVGpEky9htK2I7&#10;yapmDIguSwJJKtl7d/Pm8e07d5rJpK59U9VHR0f375+e3jtdLpeOPSKFujFV2MHfAEqKxWZCyIWO&#10;heMEYFxzFbVXxK3adt0w9HHoh2Fo223XtRcXzy8uzjbbbdtu+6GDEmIRysI8olOCaLLpYzf0STWJ&#10;tV2/7fuL9aYbkqoROWQyI2EkHwARCdExICOTqhmgd6GYDYMacwGkGhgg08iJus7xd3fYAAV26LJd&#10;SC+wiLEYUDTkpJhEs2hFFIdEHIIvBwwQoamoEr0S/175EncTegAAYKTr0TwWIuduJ6/siyAAYBmp&#10;Kr3sGpkruH6VQk4ZwwKglb1v2IWGsrk6AvOhaP8YACnnNCQxU5vNZgUvL0nqujYbWa67Rl75EjGl&#10;/PnnXz59+jzlPAyxCJT1Hy88WvEiU6WdmRMyElFKaT6bz2YLM+v7PmcRKZ+0EDHLgJMIGcC7koXt&#10;gOW2O5j1+vwvmrxybden2fUVlOOOiBjRq3hI928df/+DbzSkLgsD5hQd+WWdpRvQ9IN3Pjo6OmZP&#10;j589Bef2D24Gx44ZAVNMmbT89oIVKnmnauz7tu+3cegc6agJAUIcdRGln9a126oGUyASQyvdIUQA&#10;TaBW4nDxXSjB2ARVAwJjCEQYQqgnlfO004EUejaJWhZzvkoxM9Kzx0/v3jq5ffP48S+/dCiS+1kA&#10;1zS3b8yXk73a66Jxs9o3FYcQvHNFFea8d+x2nlpF5oEmgIBAqAp5NxEyM1BQySplj4UYypwfRCGr&#10;qEjue4hDSqLmRgd77w1QJeEu4qpqUXwxcxKRGFfWzyofmJkxJvFMSSRn8d6KRzSkpKBQaOQkBBYI&#10;gXHaBOTqcDZh58dWrmQiyKbboUekubmY408//4dPP/3s3ult+uoiJrTAopLiYGrMjIDHx8eTpuna&#10;7pUnuKwPkYKklIsa0jkevQDMpOxLExHgerPZbDbL5bJqatjNzK0EjDGAj7AcSYnAUMURYKHrIO5a&#10;57tTicZ4lDXmLOcXZz/+yV/evnPrt3/rn9w6OUG0xXLv8OjgZz/72Xqz/upXv3z9jftVfWRqbbt1&#10;zhESkSsjlrE7hzCdzp4+fbpZb9x4o8oYnkUETHcvXokNpRQgBNpxNtlx9dqdu00z6bru5z//9OLy&#10;XCT13Xa7bauqyjlpmfjtNgdKfMs5qWpdNw8evHHr9q333//O/dff2D84mE4aJqpCCD44z0UbUfrs&#10;qkiEBgVaDArq0CGSFYU/IBqW+4qgRRZDhJJz13Xbzfbs7MXFxcX52Yt2uxmGIaXBLMehFxXZOV6P&#10;Xg+A2bQf4qbdXm27i812tdl0cUByyQpps5Iid2FnpTXiCHiUyQKiFsdIX/yybBfYEdCyigkSMxJl&#10;UzJgGh1EDCwZMiMSihZhBI4YJQTLCmSMbACgYoAx5xiTEqhqjrGup8F7GvutO1bL7pHD0dFr/KMj&#10;9VFzthI51LTUf5LHimQkvpfkabS5UqDrHGkUTkBZqbSSOTCgFeIyFuGKIQAwgGPn2RVkTRMaNAGR&#10;Nts2RkKCnLPkHHuJsZ5UYsLoxmN3V8GIyPNnz58/f66qOUvb9TkLIgEIEZX1yevW1EvdI6KpOXYp&#10;JlUTkc1mMx6mgMyOnSPmMpkDJEdM6ByMSd/16UI7JfJYLO/SgrEVULgpI9qreBCMj4PVkN64fePN&#10;146Xk2ASQU3EJPXoUk06c0ZZD2eE0q02/cX5i2z0xZePnz59oYreu7btc46AkFLOKeeY2tSHqhjg&#10;FLOpPAzjcaiizvlSo6eUiaIBuhwQwUCJyBRi4QVBzqRlC5GJxrYGsaoRemYP0JAm9s18PqmqGpFs&#10;FOuAquWsOakZOVeBpEdf/+rW0RI0TjzUs4rJBWfziVvO3LxWh3ESsPGVZ+d8hczkKjEDICRGU1BB&#10;MDCBZLvAwlKsmnYgIAAwzWpKyKUiVrMkKmZRTXMGkZyyD9UQUTQV/GXxlXOICKiqKUlpAKsWsr6u&#10;t3k9aavATKGPkcEcmCNkZufKA0QCRo4MEIlDKOZIaGAEUgXPjkyViZA8oWXJIJpS8mAu0Jv37iyn&#10;zbye0Yutxj6aDn1fEu26rgHg5s2b3/zmN3/4wx/VdV3XNSKoiUNPYycBYkxMEqoAVlAlvEN3yjgw&#10;I+JCUTOwES4HLzEc5YUXQQAmHFmzxaRdFDCD8+XhSSkSOclahtZqOSc9Pz/74Z/+ybRpfvM3/+O9&#10;vb0CYHzzwYPl3t6N4xuhCkRUqsOrq8uD/cOXJ9zu1HLOn59f7O8fTKeT0qm/7iGrGZiUBbqiQC0h&#10;b9yNHQETxOwO9o8++vA3Xrx48ad/+v88fPhZ3w0IPJ7CgIhSBe+cD8Ef7B/evvPafL6o6jr46vT0&#10;9O7d124c3/Q+MDtmZ6aOHZZEmIqoXIttxmiuODaPrjfJrwmoY67Td916s+66vu/7vu3Wm816vVpd&#10;rdrttu97KJayJmW+baCKoABDTNu+3/RtFEgqbR9Xm+1m6KNBVlNA51w2RefYBQAwJGNX9qjYlRVj&#10;wWK4ouNNdMwFvYVQlFwKXBJhQ0IT0NEzBYt9rBICoqnuwhWC4a4zSQDX8ZoNrY+pjwmakHOOcagB&#10;HJEjAi38ZoKyqoIEo/+jqWlB1u9qJtRCbsexo1WcBsoNLfeTABVePZnGCbeZRcml5AWTstxe6l4S&#10;c4yO2JMjQMk5x5TToBgZSZDAxRwHMAue+822H/rxvNIMmqq6suu0FcaVeTPr+v6rr77abDZDLB7o&#10;UlTLAOCcYx57vK+KFMa/GwhmVev63tRSEgDw3nsfHLvJbDadzpp6upjthVAHX9V17XZoAdyVBQSl&#10;9Bzl2AJgYMRAgCZQKs7SmQKAYhBpYMqSF04/ePPe3aNlUEERSVlyUk1kzoPMHLHqi69+vnfzwXrT&#10;D1E//fJXT55f+TA3ZVP1ZH3f++BTsiyWNcc0DDEDREnJRMAgZyEa7TVrJoBsoioCULb949gJBVIF&#10;VUEAYoxZVLKqMoEViwWFnHNwAZBymrB3zXTZNEsyYmQ0dAiKOAyi6odBAaZImOPltjt7/NU/LCfh&#10;xgw9hPnEs8M6oOPc1BDYB4eenGOP5MyYKRR6HRT77QJSMRAT0TLs1bJjj1a46+VpsFIroGUTzKJR&#10;VJFUc8FwZ1FXTSVpzBKTZCzb7grsAMvIBjyxgWbJDAYAUWzdp7pPpSIwUUZw7B2nkQYGYqqqbgTG&#10;uuKyh6ClywSMhg5cQbGYmubaE5nG2OeUl5PmcHbKZ1upAhhQtGHTxRw5hOADIi2Wy+/++kcPHz68&#10;cXTYNBWYFhMBQkRgMFWBFBORB3Og+VWBpYHWTeW898FfL4vtHlocdwEQd4a26F1wLkQZABCwWGgr&#10;gSGQGYKCjvzaYqRnSDoM288e/uKHP2puHt/44Dsfnl1eXq03McmTpy9u3XqNyIsAEVVV89VXXx0e&#10;HI2DCCtaUgdmX3z5xdePHr3za782mU6JufRY1MZLAmIVYx4ba8Qup3ytOMqq5URk5+aLxQ9+8ANm&#10;/PLLL4owytQQiRhDCA/eenDv9PT4xo2bxyd3796bzRchBFPzvvLBO3ZipcvNRDx6ESIhcDlayqJB&#10;OZ5VjYmI3a5+LgFPU8r90F9cXFxeXT5/8Xy1Xq2urlJMkrPkDAYiWdUcMxOImhJmYgHaDv3FenW5&#10;2ay3223XpWyKqEhqkIHQ72Y8zjlE9qEkDmXYTkTXMCdEhmKggmUyUfY/SUGLrACQCYsfR9lqHIsB&#10;Kcbyo/LKAGG8+SpFyF56E+NXgKUyk6jSxYiTBgxTtpSyIgfnoS+vnQcDNS0TbDXNxVdgV0wyUU6C&#10;gAogBqiAhpaNka43D0fSWjnYd5VYTNmV7EoNQTyzaUYTAsCsHsm7MJtMUC32XRyGPAxd2/dtq1rQ&#10;meaZCaFpJlUVSnlhpkyIDk3x8OAQsUz4xzZeUXFsN5vHjx+v1+uuG7bbLqaYVRh3qvrxXpahEb0M&#10;R+V9FAWwoe81l+0uZOYQQvBhOpky0eH+YQiz+Ww5mUymk6kbz9BXMhfclYVmUHqyVCwQsCgcFAmL&#10;mgmyISIjgKRZgNePD04PFlNmr4YiKlElAliOgmYVEJA9+eUnUdyL1r56sX1+vu0i9jlCFgZgVJOY&#10;E4poSsMwtKp5GNoYt2Appwi7juYuazWRDGZMjsAQBCDHCIiF+UGlFw8AopLSICkhGiEV9JkkgZBE&#10;JA4bDqFPG0k5cG7qeVU5xIwCJNhushr7UH3w4a/dOYLPf/5ntj1vIE7nOHXOM5Aj75kc+0COzDGA&#10;ITIbEABKFjMsFfT1zMAMzCCpsokVyywzybnQlmiXGqeUPGh5ObWwj9TyMBASsU/mNn17drmFES0H&#10;AJh32vvg2URM8qi5AlKgbZ951YqIWaUOmdA7X4Kd88IKZS+4iA6AikkcF7yKc44ZEQTL0T3EGHty&#10;HDxHEEuQ4lARzOtmWMy71dYB9m2/Hbr9o9q74HwQg8OjwwdvvdlUdVNXuy9n7CTBiCeQzXpgRESO&#10;Q27qUPAaZcLkCMVyQUGVmDv+Bei6TwUAIsAcmB1AAhyt8AjUNKNxUbeOKnVVBC2TPwAYuvazz37x&#10;x3/8v777/gdlX+Tk1u2Li/Plcn/o49XV+vDwgBC7riulnQEKWuXD118//ulP//7Jk2d379594403&#10;67oe3x/UnGVnMmuIlJKmlBABhrTdbheLhfelhiuWtwgI5GixXHz/+78Z4/B//Nv/fRj6d955+9at&#10;E18FX7nbd+7cOD7eWy69K+p8KMvEZqCGMRszA5IBFjAcEhGW5jgCkIqWFGQcEBGCQoxDjHHbbjbr&#10;1XbTbrbbvu9Wq1Xbb9uujSmmGIup0nUj3wgHk9TFTdtebDarYVDCQfNlu+1SSikjErFHZCAGckRm&#10;jLhzDyNmJEZVGunyQAWxN2KRy68CpJdmMAV3nbWU2QzXKYYIlLBNuGsQG+3GcSqFQmTj2QYGYLwT&#10;+JUlsyhp1bWyWBBwFkmSjbEKAdpODKAAU8bVKTOwkseU5EBFiaFMhc2RqpWpmu2W8xVklOyYXkPr&#10;iXgYekbqh8ERgxoTgomlGIgnk7rmELd9u1pvN61KVhFJSbNATJQSARaruqr2qjadTlKMddOIZATD&#10;4j9s7mD/EAGz6C4nAwBQ0a5tLy8vJQuYDUOvpVW96wEUh6Rd5fMSjgnj8g4S0u4fFO+Dc46Jcs7r&#10;1Srn7H34b/+bP7xxtF/AqY5oRNDs7vjLsgivhXMjRUdxFJFA8WxwRAjmwEzijfnBO6/fnQZ2oJBF&#10;c7I8UPkKVYoPE4EO7cXnn/7to6u81WnSysAPw4AiZIomSDqkzRAH0ZhSb5ZNhqHfMipoLj56o1Eg&#10;lOHbmB6IqgMgKg1QG2GQgOXBxZ2oXCQzYM65PCJdr6qKKQaVbNkyo2wmYXJ8cw+xJ8AKm171YtXe&#10;fu3kP/udX79/0335Gn7x879ZPfuqcVYTIAE6dI7ZOWZSyYgokMTEIBMgAauBiBKyGe56jWXkVrYi&#10;lZBFVEyc83ydPIxftqlCAlPCpKqiBsjsVaSPue3T+dVK1RQylkmnapFAI9gQhzJLNBVDJHZZdLVt&#10;RQbUKUx8cMG7JGr1VMcOd2nsjJxWJCBVJCQeOUJQutyqOcYhpZRiH5omhIrJD9t+026Xs/1qMauX&#10;i0G1bdusOeecslSmMWWR/NprdxyxD9eZDZhZAXmZAiFvNtsUY1WFzXZ9eu+O9453dB/YzSERqPQq&#10;cKf0HE/tsbdg3jvvfU+DwUsfDHilOrye25T8fnzkAdbr9V//zU++/vpXbzx4m50/Pr45m81Uoar9&#10;arVeLJaIIDoOUAjRxGJKP/37n/7Jn/zp9773/XfeeWc+nzOxmjjnRAtJfkwhV6t1CF5Em6bWkvRo&#10;9ugMxMa0usjSDAFu3Dj6wQ9+cHCwl1J6/fXT+XwWqkCMzMxMjgMClqXaMSEAGGW1BX1IwOMBjAav&#10;pKI73YH3TnIe2u1F215cXlyeX1xeXp5dvOi6IcbIjKKmkopjPBbFvIExqWEW6XNab7bnlxcXV1d9&#10;jNuYwDF6zojg3P/P1Zs1WXZdZ2Jr2Hufc+6U81AjUIWJBECAajnkkBVus1sd4aYj/KoOR3Sof5T+&#10;Qful/eAHh9/YalktyVJbbImDSIIkCBAgqlBjZt75nLP3Xmv1wz73VsEVFYFEVGVW5hn2Wutb32Ce&#10;kJk5DCRtZnSUNasi4ZCaioWWMqx4DUtLs2v4B34e7IrDfukEAGY5Z2a2XRjV6zuDoRqVmkA0yF21&#10;mICZGVAxEyvcL1VCErFt19lg/IdqguDGdUU0hMCXf3dIo9gBWFrsk4tMHskQsqnaEKVhhLSL9bMd&#10;L9mgmHYbITIggTGxirAZqhETG1yeHDvi6xdXm/my23beMQA4RBU1EUfom8YHX4WqhDOIahOCqjik&#10;GM0z5hwRMHg/apqcpaBQuytjappyVlXvfdu2AFaymUsGWIyxXMkQqhj7/WfteRH716e8ZSH4EIKK&#10;bjZbVev73gxePH/+8Ucfvv3OW3U1EBNf7e1xp/Pc31GAgW1RfBx2rCcohoyOwPp24unBxemt0yMy&#10;QTDQoj4RACiNuRkAUhYFw9hdxU3KlAwPJKtmNFVNvVnOGjftto+9iZjGFPu+34BGZELQkgRaSG5D&#10;nDyhCBApmKEpSMYS6r3LZzbAlLJpBhUTLQqCUk1FVEGd88Q8nc261OfcaR899Fcvnp+f1kcHMzI8&#10;Go9OD+rr+W++/uyHo27av/zquMbRydRjdlwQaEJ0yI4MTAwHL5aspkyDGKIML2KgasyheLoMaAWi&#10;c8TMokMwSkkGMzMTUCBDEsNslFRU0HGdAcH5rs9Xi+VivSZHoSSawtArI2LsO1VxTIOzC5FKMRuL&#10;OYqlJHnE5IBIzKq2D6EITcD7195n28lyzCRFIHIVKUBp+rZdG1MCImZfhcaCpdw/m8/zYrvabi4u&#10;Lyazg5K02LZbDt6QRPT05MSxK8YnxFxaHkS8ub750Y9+PJ8v2rZT1ePjY7PsPV9enIcqFAPT176r&#10;/5/D98BM2QOMVRXKl90vQob+2IZIW9wzIQkhl+2OMUFKcZnzv//f//2f/Mn/9sF3PjKz8Xh8fXU1&#10;Ho3qmq6urqqqevHi5dXVVem629g/+vKrxWLx/vvvv/vuu3VdbzYbQluvl6NRg2QIVFV1YcfUdeWc&#10;K3K8qg7sKIRQ0HZENFMd/GsVVIrW+uOPf8952rnom6RMiGWYEDECV/xzS89PhIAoCApQTHgZkUCR&#10;hpgSkRRj6rq23Wyvr15ut5u2229Y2hhjn3pmp6ZZUUrJ1mIPq1HyfLVerNbLtk1iCSyKtqkXVUI2&#10;ZxQ8FCq5867kDQ7NwL5hxR0C8wov2VcF3FOKhpx1KEbCA/FrF9NSakBOaf+5+yXB6w8EDuvD3eKh&#10;bInLS2JYljcGAEhmqGB9H0vt9Y5MMrowHtWOySFnGQx+DHYFBsFwaMkURIyIIJdtAqiBCUJJtGEr&#10;VMVcfjoDBRNPpDkF5FJ7SNUZHEzGl6enzx4/fvnoqeYMiH3fdd2mK++gwW4PVKZ73uAGAIhhPJ5K&#10;EgFrmqaqpiaJCQGkDr6u629eFoNd60hEKeX1ZuO9Z+9jykdHR977q6ur+XxuZjtZaunLZUduBtXC&#10;NjREmE4no9E4Z00pbjab3V/D//B//Icf/+QnD968f3p66l7tf3Y3fj9M7e+VguHuguKQ31DufI6x&#10;P6vdnVnz5sXJyDNajwAi0XLMKYGqlVQcK6iPkVkd4HDC65sVVo1GBWy6rjdNBjmmbdctY06aBURi&#10;2sbUIZhZRtx5FZTlj4oqZrEs1lQVAVjuiUH34ZxCWYpIXk1FNatEkUxIBhZjzDmHqmZ27PxsdmCr&#10;hSZFjGg9xO3x5KJ2N4djZvDpgD5Pm69+/f9N04WtrxtvzbQGyAjQSyJgJA8KDOgAESyJioKJGKKi&#10;lW2eUdGQFj4F7kp4IWQSECGSmhpgcVhFZEBTACNWhayQgYtwRwAELEpsY8yqVQhomtUIgQzVFMGC&#10;9+aICQCMiA1Aci5NW0xZs0jOiIX+D851zWhUNUSgWdUrGailjEZImFMyUjADduZdccpUMxFZzBdm&#10;MJ7MEKICgvNt1/cIa4eHgZVZRfs+dl1H3pPznrgZjSofYKeCLgNJzvL8xfMf//gn19fzk5PTUFdJ&#10;snP86WefHx4fV3Wze0/KwWRFt/F601o2r4XWAGBVVYXKDyfWjqpTGl5DkqHHGN5X9g4ILUrs+zLK&#10;/OhH//DwrXfe/+CD2HfDMgyxqpoXL54757fb7fX1jXd+sVq8ePlCxcbj8fHdEzOZz6/7vj88mPV9&#10;P51OaZdCDqCIXNcVEngY+nfvGVEBUBW0bFpVdHAGMgU1lWrUFGi8GI8Q+fK6e+8AxLnKzMpmAmHg&#10;bg9RDzuqcMEQcpIU+/V2dXN9fX11dXP1st1uY9/HnNVMTRSwLBZkGCkwmwJhrzmlfH0zv1ksl+tt&#10;zLnLosToHLAzClw5MEFx6J0ioJoPFRbh8G6rbvuYYyy9nZUZCwbgZGgdVEGyqIHxkFGxnzJ1cFkp&#10;IxjiTiAMr40ve+hlaJShgFmCr5GySx+e98gPc5LMal0fs4qBIgKoIEhTgiRM1bBIDYvocZBAl69Q&#10;akaZv0QspxL5qEOMGoABKjiV8ggZmqlAFo/MpUxmaZx3hEd10y8WN0+ebdfrEPxoMsqxzymWDQcN&#10;FLPhaU8qWhhgkrwLIrrpWu9cMxqN6sCEjt1sNqvquqhQy+yGCGZqCsV6QtVySs0olPIsIlVV7QCx&#10;0s8VszLZFwUbFneqYGKKROx4u22TRLEccy4svq8ef7nerH7xyc9mswP3jVLy2ijzzRqjuiPgD4Y8&#10;YJ7REQTEk3H4w+9+eGc2YUvlRUmxsxxz7FRy4T7uOBFmAH27zh15GK8W8z5XhQ3SdX3KrVpPjAwY&#10;2HVdzpYATEBN1buBalMgjwLgO2bHaDkmTb4OmIHMAIjN1AgMkNlUUdWXWw1Z1EDUsiDAZDwq7shE&#10;NB41z79+ejyZLK++Or49Op3i0ayeVNRu1hCqw/fvEG665dPDymvuu37rPKecgdgHj+jKhIloOSUs&#10;PYw4GwBmMRRQQQTHzIQ7QAoRSQ2SgqoUIgKSA0IELwYpZ/B+sdouNtub5bbtEoPVVXV8fPStb33r&#10;o1t3//Bf8t//40//z//r/65CNSLy3hMxEVVVaNu2bdd9v1U1NMy5f3Uz2Qnooo3pxbxt0+nRTE1H&#10;kzE7dqRNXSGKSAZEAvYeAEhyzjkn6MwCombVumlSzimmF89ftNt4cHSMzosCjUch1MH5Tx49evTL&#10;X9BodH77dj2dCAA5fzg7qELwzktWdpxUmqqRrKvV6q//+m+ePHmiiovFosljQAjBffXo6wcPb0Ko&#10;6qoCKPbeQxjB683v8OjD4JxrZlVVOeetABWw/yuv7D4GbO41nr33hIAqGmNsu/YHP/gBIv6bP/k3&#10;Bwez09PTly9fzufzi4sLVf3qq0effvobUCNHo9Ho93//v6uq+mB2iIg5Z2bquvb6+pqZ2aGq5py8&#10;D4eHByLiva+qACWUT6XvFRGGDF01Axl2BcON8szYdd1oNNIYXagkChoBInNIuUuSbQ/XFWeBUoFV&#10;TCH23Wa9ms9vlvPF1dWL2LVtuy34sBRYP+eSgJsNyHklEjMRjSlu2u3XT5+u+y6aCgAoAFEyTQZU&#10;N8wO2RuSmGUE7x3kPpf5gyEZgqgnJnY6zA3ITDnnoc0ckht2lKKdmUrJR9TXRHa7smmv0E+A4tso&#10;sosVec2d5dU5tlvdfMMzH2H/tWlH2mQXRPpN14sqMiGCaGaVyhMh5Jyz0N4Ev5i0gCY0RQRTA8k2&#10;gBPZWWZCwxLrYmjIBjwQoopbMDrHdahNTLIIYj0Z3zq7+O2vf/14vui3W8vizfK2taY6nM3OTk4k&#10;Z1ElNcceAHPOYkPCsZlqTnVdq1qfopotl8vlPDOhc3h8dGCqKSXiV+NiuY5VVR0fHy4XK0Tq+z6J&#10;qtp1vF6tVjFGZt6DWMyvx1lCKcnsWFOOMd7Mb9quy7mI9naDqZlqfv7iiWM/nozcK7IiFA2SDWj+&#10;ME6BmRoqEAASECoUsFQhJ7TeWzweHdw+noYcSRTUUt9rSrHvYteZyY7FTMU6Xk0xawCqwLyJM4mx&#10;I/IpxrbdIuVQORzIPlL0eihEROQIEahw+NSQwRAkRTIl0IAYAJ1kJhJVkgoHQUchMxZH0pS1kyQi&#10;SgCI5CCnlABotbhKfT/yvLx+MXZwNhsf1GHsULaLGpvCz8kiBPlqPkdA733qRAwlS61GlACUATRH&#10;kRTVRAzBEMpajQAAIABJREFUg7mBamSKbMgAapJEBbKgGDKSGRK4DBZzBnCqqNlErOu61Xqz3Kzn&#10;y/X08PT04u7F5Z3Ly8vD6aRu6oODQ3DOjybYTP7ir/+mvJ/OOwRixhA8gvb9ZnhF0ZxzSZKIFLRA&#10;AXPSLDElFQNEHE9WADId1cyipqJCgAhiaiE0CGCiXexSaus6cPBR8ng8vnX71u9+99X85saHxtVg&#10;zmfVDCajZrVY3KxWU+998FlMY2aBvuun02mRmBGRomYRyRpjfPToUc4S6ma5XicRBQueDfDJk2eX&#10;l5c5ifcegEzNGJEIdkEauwhY2z2uJYSbnd8fXgAAJbFpB7gM2x8F3SNoWfqyEw51yFlvrl/++Z//&#10;xz/+l//i5OS4eA2oABi+fPky9vHp06feudt3bt+7d+/o6JCZRfNkMlERQkwpVVVlpn2fAaCqXEr9&#10;118/ms1m262GEKqqQiTnhjOuVDzciwR3b15KWc35UBXNSB8TIaNjA4ugysTMMORTITKageacUu62&#10;2/Vyc3394ub6+ubmer1ai2QRMc3FQUV1Rw1EFoCsCkQCMF8unr58MV8uo+Rt12Uw8d5VAZgYiSof&#10;Rj5JRnIG+5wiM4Iy0yCzGYCimoqBIyJEAQEseuHdMY+77AxigOJCu4tdwSFY41UDsd8+l099bVh5&#10;rTh9YxmDZViA0joWnvFQt4b8lcGRBEQU2anCJrZd32vjiVFUTc0RV8FBigBlz1dukJgkNHFmDkE0&#10;YcrAaGaeGaM6RBPMOZsKKDrE2ofpbDqbToov6mjchOKkifSbX/8Gzbar9Wp+oyl7RMtSed6mfrta&#10;TQ4P68lEiHIWRvbe5yw2BC0X0rT17RYJmbCqa2Zu2xaBTXLXbuu6Kq+/gWlxZS96T1Xn+fT0tN32&#10;VeUXqxUgGRDosICpqiql9LptAewXYGZmVgI7AKBt25QSs1NVA9n5AULXt94HAdl2W2eqNLC5h/uo&#10;r0WSDXwyLT4mYOgEgNAYIBCEbP/sW+/+wTv3vMYAYpJTjN12a1lWq9V2ve66VkRKm8/sAAhUADha&#10;lbOmzbbreZPZqPLkMlvXdbHLABalBwcuhCowEanknBOBgarlZKCg6AEca0D7+IMPHty75dBGlcsp&#10;bbbbPss25k3XZVFTjX3s+67vITEDB1Xos2S1cQVdVu947LQZT7747LPUtZMK3nv4hocY1+2oGnlm&#10;wOyRDa1tN+yY0XUxpZhjl3K29SoBATI771SlxL6RFR0GpJxNE5GaKgoaZBUF8Oo4IVu0lEVUui5u&#10;Vtv1ts1ioarfeOPN977zndOzM19XT549Ozm7PDg8RXLeBUKsgkMmYHZ19cH08Pv/y/f/y9/9l67r&#10;CpWzlJCqClXwObu+72LsERFL718KiBo4D0htzs+uFrHrTCWm43Dn0iVR5MFEXLXPfepy8JWp9jF2&#10;y9Z5ck2YTCfeuePj0/Fo9vLl9bOrqzCeTU9OTm/dGh0ctV28/9F3vn09b2OfVQsRUyRd38yrqnJE&#10;7J1F87UXUUT84osvRqPRarnuuq44PrVdO5lO5ovFarVarVff/fij44Mj750OFGWzclgMu7ihwd2p&#10;nq3Q+WGwvigZoEZUPGl1L7fevzkAEELYe9ojQkrd0yeP/uzP/uxP//Tf/dEf/dHp6WkV6hcvXh4d&#10;HX/wwQff/b3vPnz4EMByzk3TrFZr59x2uwGD4J1oHk8aYsxiwXNVhaapzWwwzAZARNGk6ZUhB75C&#10;iopmA6x45JRzoewggJNI+ebVgBwWPC3H1HXterWeL+aLm5vFYr5erHLOIrnwawv0BoAGAwygAKom&#10;qm3s54vl85vr+WYjADFndM4QvA88niITe0fEYDAosQ3YBSRnZoDkiRXUTDkEJMoKquaI2HlQE7Vi&#10;bp5NLCrBwN0qbrO2k2UUPnGpQMXDaw+OYdmpDv8DZiCgOCjKaY/n7Dvu/UhaKFzD/gdRVFRk2MmU&#10;ks6uPAGIiMRiUPzIqqrpYk9gjsgNLGzIKmrq0EgzaHYqDGYpVwDjwIdHJ01TH80Ozo4OZqNRFWpP&#10;7J33LjAXzj85psDsnSt9gKlJkrdv3za15XxxeXT8m19/ulzcBB8k59F43Ka0Xq1S19d1PZlMJFvO&#10;UmbBgv6JiKjmJE0zaJGdc+fn5weziUm+uXl5eXlJhFlSSYhhogIZSspMfPfu3b5P27Zd/vJXQGhq&#10;RFDiJWOM+4K+p1GUi0aE+yWi917VRPL+niIM9okEoJBMwIzd4NymuyXOjl23n6rKhMnIyXbrajSS&#10;5CUeBXpwdnJQeQd9zj1k05QtW9fF2Ocs0PXSdS0zh6zEmcgFphyjMkASb0xZrNOEThUBOYBmyUCY&#10;QA0gS/ZQjZpRjBHQTCWlREVJiwCWGoxnR7N7Z9OjGm9fnqOmrt22I1y3bbZKYNRHKcBFzgkKaRgJ&#10;mV9cXX/22y9qqn0AQDg/qj749ruf//y/Tn14cP8WZHHeBe8degJGdMxcuWAYENERB6/LtFKJi/mC&#10;XFBgIUdVAy6Y2YhwUgdAY5di3iIZA5tB7gGATRnJGXChaKzWcb1ai+FkOnvz3jv333hwfnFrOp2O&#10;mgkzRen/7h9+Ojm8FZqZ80GyIlECq6uaHJPzowo//u7Hv/38s5fPX/Sxr7zvc9pB/L58MDwTCEQs&#10;IICI7FEsmzE6AZ1v2vpm6Sp3fnYWgmMDdl5TZmQDEcnqHACGEDbbjSTpVDgENvbsJ5OpKK76THUz&#10;OzoNk6kfT6Lr66q5Nzt88uTp85cvgNw+9a9tu3EzKg9lzkoIkuTm5qZpasTCHlK1jEpdt3XOzefz&#10;f/zHH23W63/9P/9rokKyK1wJSkkIjMmJ5IFeVI5OA++r0WiCxY6BAAZ/UyBmMyMudjyCA7BuqsrM&#10;poKgjlERxUxVfv7zf/qbv/7L99599+6du1nSeNKo6v1wv6oq730IXiQhovckkk2pa9vITEShYkSY&#10;jkfBe/a7pO4BKxjiI0yk6D5UpIhb9+NUafbMhsYTdkvy8nKqZoumknOSzWa1Xi7n1zeLm/liOe/a&#10;ViSrKCEKGgIpYDIDRDVUgJQsS1S1Vbedr1bXi/lys0mGQATE4itmRkaqKnaO1BCJiUTEkTMTQyAm&#10;0ayggASkSMSGzC5mQTDvXE4ZoXg+CoOWOK0ytYKpmuHO0D7nHfuxeNQXrL9UmrJZMUBAh6SoIrJz&#10;j4RSV6D4IZmVZmI/yqgqO0aA1MehVO0K+16EskPYULI53AUKIyioqgYmp9SECsFMhRBS7JCMEZzp&#10;0WQ0qdzFycmoqqeTyWw6G43GdVM3IVTOMRBkLf0cMYMjFxyouhL2KprLDXUcRo2KTav6aDY9OZz9&#10;8Ic/XCzmBuYCn84mivz86bOu7UzBOT8ZTwyGhAkAKxTUcgWySEqJiLbb7dWLZ2Cac09MWXJR/uEg&#10;DNpb52ld1+PReDadOudSzoV/DGCvLbQg5zQE3ojsajkCAjGqaNmBqcpOKK1IBIaMqEMlVwBwCK8p&#10;f+DVf/eDKQEhqqaEzIAKiCrJqRyPqv/+vbduH01rhNx1jKYiOaWcMhiMRpPxeHpxcVm+NhVDITMQ&#10;7ftOjLBNSilJb5DbjJs+pqyIjoyQiUwMmCFDBsIRWkIwAGU0UGFQRQkg988Ov/3Om1MvU6+yuUl9&#10;WwWuRzypmqSQVBUQkbJmMGP2hZkgACCblyMkbKWL1/P1Zv5EN1//r9//HwLwpAoHk9qheUYCLtGY&#10;5MhzRY7NiEw5UO3DS5VPf/1sse16oW32EibmJ3UzvTU+OD4IkymibA0NLEuf0KqUOWdDsNHEzw5O&#10;7t65e3Z23jQDm4udc67yoUEqMaOUUkxZuwiPn76cHJ4fHdVVMVoP7BwTk6IBwMcffby8ufmPP/jB&#10;8+cvRISJC1pU1/Vm62PsnXNmoCrllhbUyAgRqKwuk+Kzq8VqvR43zTsP77HjdrmZjhrnvSCmnMyg&#10;qWsvfrlebbbrbepX283BeDobTUeVIPuzi0th75tGiefrbTSrp4HEvvzqq5/+0z9964MPx+MxETnm&#10;nLOWvL6B6gc556Ojo5cvX4oUyzwq7cN0dqyqKabFfP7VV49+8YtfnJ2ejcfN4eGhig5wMoKIFN9a&#10;BZBszrmkfVmNOud7SXsAuRQVw932ZddEl05515c5Ed2RSiDF9i//8i+qUP3bf/ungHhweLhYLM7P&#10;z4loPp8TwXjcLJeru3cvva+//O3vDg9nVd0UEHygTIHujzUcCGOWc4QB5xl4Tq/jQDaoD6zoAXEo&#10;KqombbuNfb9erW5ubhbz+XK5bNebnDOIIphILtha0SvlwUaRM0IX82rbLpaL65tl23di1krS4qJT&#10;1ewDEEOJEGAGNGYCQM3CyEVWXZ4dR2ggjpHYIZGCImQml2IkBTJIsUdk1eJfZgqvmHwi+no7bAMB&#10;THcXYjd/EOnuGCqU6rIkAxokTaJDgDe89gt3+YelnS+MQhqS7Q13yxjdK/52k2BMXdI4IVislufN&#10;iRmsNxvyNVGNChqTGUVJCBrbtmnqdx/c/+Dtt0aE54cHs8mEAHcRcFw3NSKRKmQjK4sx7FKfNj2g&#10;DnYUBVtkRmRPKABGWFfhgw/fv3Pv9nqz/uyzz37xi0+ur65jzKlPwqRZmXlxMy/dfVZTsJQSE3hG&#10;drTdbmPWrusAAVUAhMlKW8A75XmhkJQHqdDWZwfT5mVzcnLy+OuvDSDnPKyOEJl3FDI1F/ZxllKo&#10;dDSYveK+VCOWup7LIFWizFJKZvKNJf/rd2v/QRmtmZjZGYCZVIyN6hvnx29enI4RpG9NNaugGiFV&#10;dV0NNISSLoq7hAMVEZVMDIqIFTdTf3hct9muFpvlRmOvZixZu9g7gEzaQ4Kca56FipRtu43gDMRi&#10;7iHl85Px7dPpNEDASNrlrkXNHprg2CP2OZFlBTRER4qIziERi0Kf0tmsHn34dhfzcrW5c35wdHxw&#10;59ZxHbynwGpM5XWiYkvHJQEImcRJEiAwTEw6mdRHx5P5dj1f9c+XGl1WD9ODWTev225ypOqb/uLW&#10;mWpMba7cwbQ5Ojw4PTs/Oz0/DM2Ifc0cDICJEZmYkZwpADES5ShR0raXW3fuI/F8vjw8OkX2xAxE&#10;gIzMnjGl2DSjj7/7e/PF6q/+6j9vt60MPR0x+7quU4oFIiMiQzNjNaNh0w2GVsI+ck7LTf7qyYvZ&#10;weTN0aUCFNNpYnYBs2oq7CbCpLrZbqlzpCTJ4ljrZpqBskESG1V11yVV6PtoRjc3i68ePeZQ37p9&#10;azwanx4dI1DKuY9940dZMoeq67vpdDybTdfrdYVORAtM9N67b9+6dfv506ePv36CCP/4ox+NRqMP&#10;P/xwPJma5CHdp5zhg+BDzCDG1HVR1SbjKQIBMSABFOuwYcoByXsXQhjgGSxaS0NkAvbco1rMBrZY&#10;zP/i//lPb7754A/+4A+YiAidY1UNwZvpy5cv+66rghuP9fjk0DlGRAJgxoL4i7yOYiuAqdr+PBUR&#10;ANuRnMSsvDlDJIGaxq4XiX2f+hRj311fXW036+V8MV8uiq6+KMoLTbnQNZUggcSYuxijaFTtkry8&#10;XnYxbfu+76MakPfROQxMxOC8EIlBUYwYEqAN4ieAUoA9oSNEhSqwijgiQPWE7FzTNKNmsth08/V2&#10;3fbAxQqwHBu7JYq9pnkoP1pxuCLc/chlmTMAXIPsFmBHAIMBGMKhXu1A0VcleX9J918fcFChFOjn&#10;tQJeaO4KWu6+FVef5XqTjo8qDjlb7BVCkScZaB78xVI2jpBS2mzcqKLY+1zVoQr1SESTCKCWRMqi&#10;RSQwNm0ItOsVTUyTKiI69mgKqPDKVc6co5PTk4vL89nhbDydfPLzTzbLzfX1Tdt2mvscy4KOVIfW&#10;kGEw5/XeAYAPHPtIRM47U/COiDnnVJQSO5LEULYBQDWPRs3sYHJxcbberG/mi+LxiIhUOK2IIpqz&#10;BCvIf3HnZx+ccy6l1HWdqn2TXlEQMyti8eIy5vZP/+tPwP5jMwMzMXVMqkqIBFqpXhyO375zMfbm&#10;LKMKAooCA3lPgQhKlJAUawRELIQEZiZVZA8G5iqeEAhgVDs7Hve9JAEV6mPadv0myibnvuu7mGdB&#10;e8sucBBEM0mawOpp89F7bx4EY+091qlb9ZIdM2ruuq0U7hQiArJn9p4QEZUIsyk6uzyZqE1iUnIe&#10;SkKidmhi1u0uBgNDgQEALecEpqQoUSgwMGbJo0nz/ne+fX7n3hdfX//sN8+fLlF81TSHTXijVWs0&#10;H8xms9PRBx+8E8LY88ysdi5UFRtGMyAKZqRmMaYsqW6CZ2cEVFKTGapmLKYP3/7Wy5fPP/v8t0fH&#10;J81o5KoAiMCYRXnwsLbT09Pvf//7z549/+lPf7qDTRGR6nqsCjldA2QiVhUcovAACsZBRSKT2HnN&#10;6cnzq/GkPj4+DA63bWciFXtCWq1XXdcbmiHVo3GV8s183rX90cFRF7NvM3BwzagGiFH6Lq7Wm8oH&#10;Q2q71gB+9emvu75/+623nHdIWFYLxFy2AynFqqo++uijrtsul2vv3WQ2Oz09/eD9bz98+Fbs2pv5&#10;YrXe/vCH/3BzczOfzxfL5agKVV3Z4DNozHuZtYZQPX78hMlNZwfOe8xqgCYGVLYdRkPfMFAC9vP6&#10;Dk4kNMs5MYMyEKFZfvny+Z//px9MZxN2DglL3MtkMgaUyaQpAhRErCo/rILK4VnU5liUpDQMjmb7&#10;Rnv3p2BWPCVpWMCopJT62G8269VquVqv5/Ob9Wq9Xq9xJyMv8Ei5zwq4o2pizrnN/aJbXc/n14tl&#10;G6MCKrIgAxGx4+mk3ANDGUZIYmTnAUUk5+w9MCCBspmCMiETMrIDNLMGoWqacV2HwEez2enJ8a3b&#10;t0/PL3vF//fvf/jjX/zyet2JwXC6DMJ3K/kLg0j2teZVX4uVKr92l2AXCrADBlVVVAzI9t43r/3a&#10;72Bela5XX/cVo2yYmdREpHx9MICcAa3v+03bdjGid20XmbuGagKUmAo7IuVoKZvj1LZf/ubT6v4d&#10;6tq0Xk3Hk9t3bofKB/W9iYDCzvOSxZxoMJRoCTKSRSrVUcXMRIrRAiB6TzY4lenJ6dHvT3/v2+++&#10;e3N185Of/PTzzz9frzZd16csklLdjNl7AIqpNzQELUODgDnvmNkRmoJ3/DostqsBBrBTIxk4505O&#10;Tq6u52dnZ0lks1jujj5U1SE8jbGYNzJTCOH09OTW7cvDg8PlcvH06dPr65vtdiuikjPsZscdMd7K&#10;KtThvoh+s7R84xcOCSUewYM1IB88fOPsYFQ7IFEzkGSDPzoUtigCIPJA4yGxHXGgpPM6M3FlrUcY&#10;k3gA9SxWiPCcxCelqJLVUlZ2fr3Zeu/7g+CRUuo191UIt04mlLeBvWeqvBcpinpPRGRSflxAQCLn&#10;3ZBjj+YJuCwGEZvgAUlBRWT41sFccABSWA1iqppzT7HvTc0BaZaqrqtxw44cQKjqs7NmdnR5dHrv&#10;y+fdskN0M0i+6+Lx2Z0//B8/YL85ODxBIO/GhgEBkTVLoeEzEWmWrADA3lWDMQYCQPGgdMVkou2j&#10;6uPffvHbetTcnoy1OP4TghmTU8js/Oyg+p++9y+6Pv7ql7/KuXcOmX1dESGrCG+3knNOvZmW2TJn&#10;wWKwADi8Ew57ifPlZttH5xsxabsOa/Dk264dUDXHxG46O8hqfdtu266L4qK6euSRjoogP6tlqyiY&#10;5RCq0WjSL+dPnz29uDgHwDJgEVHJaCrEFWa+c+f2e++99/Tp01u3LqfT2eHh4dnpkScYHUxj37dt&#10;/8Ybb3z11VeffvrpnTu3x/WZqaka7lotRSRkIkpRZtNDItavn7pQ+TJ5vSbLLMg+FHEXlB8fhuap&#10;2PsTIZkH7tFGo8np2a2Tk7O333oP0RC1qpqq8gXyBTMeKocO8Ry2Y6sBwCCAfEV22tMKaJcgi4jF&#10;HTHnnJPE1KWYurZr2+12u1mtlsvlcrvd9n0PAFkEsQgfjcinoppSbfu87do+xiy6bdtVv1112y7H&#10;mLMhETtyDtgjkbIDIylaQEb0uNs9mAEQIjMFBAR1YoEZyNghggTmw9F4OmpOZoeHk9GkaQ5m07u3&#10;bp0cHTajEYc6ArWb7ePHTxfrJzvBoSKi7tb2O/LYawQwKt4QtKMPlDwu3POUd/Om7fwfy4emNjCX&#10;X7+23ziuCkMsS/lX9q3EnmlmVoT9xedYAA0Q2rbbtJ2nsRm3bY8uOmQ00CwARoCikPr04tkzGDfP&#10;n3J1ce5Nc+x9cNPZzIeq8pUgRLOkwmABSNft5nqe2q14wmmFFRuxlrpZrvuO02BDxVVErL3zs/Gk&#10;qSaT5u6dy6+/fnJ9PX/y5OmLF1exb0eeRuORj9SnvnBkqqrqUiw7V0ZAct6X5oYAoGxQ9lhr+ZdK&#10;7ov34fT0tE/REJ6DxZhyLkywwdyTHZlpqHzwoaqq6XRycXZ+//79nPO9u/eur6+vrq42m816vd5s&#10;Nm3blf1Q2UyUS+12F788ZTZYGwy+3cPtKks6QmTVCuz2yeGbt85GThCySDRRKEOhRt1ZphMhDYtd&#10;1T01hspIymBIoITASIQWvDNiQFTRJKn02UZOizUhcjetvPcAFrzTFAkNwQI7phkNqU0OAUAFAL13&#10;O0nSnoQ6SLaLTqpM/qmPFIJKNlWHJJmRHJABUTGRkNhLlqLL2qw2sYsqQoS+aapuMhqPnXN1VTnm&#10;cfAP757dv9e0iTcxPHoOv/r00YMHH7zz1sPxJLTbZdf3AAyqQKhimtFKJCNx8Fz5SnWXLmIKQJ6Z&#10;mACwCkFVjw7l4cOHf/t3f7varL43+eOTk9Nc8iSKtFARiRHgzTff/N73vvfs6bObmxvVAlJjCDib&#10;HXoftpt1xJ394hDaNlhSFfE2AAHypu22XT+bTkSl3Xam1gQT1SEFD8AH5304OTmNbbdYrG7mC8HV&#10;aHZ4HJqmGdeh6nxeS1v7KileXFycPnvWxn672Tx+/OSNu/fruuq6rm7qcurHvlfNADYej957753Z&#10;wXQyGTd1fXh4NJ2MECylPqcIALdv3yain/3sZ8+ePjuczbB4JA+Lc2BmI2ByXexy1vV68eWXX0ou&#10;ycRW3MVVFdAYgQHKa4RcVAoCgAQldR2YcFSPZgeT8/PLt99+9/33P3r41rvj0bRpJiUduQRd77z6&#10;pdiO73mwRXX3GqvzG0364Cv6CrLQGGOMcblcrZar+eJmvVp3bdv3neQMCDmn4QxVK65bUgzfQdd9&#10;16e0WG9vVuurxWLbdQBsBMrF69JjVSORAZVswle7Di4/+LCTMzACYkICcEC1J1RxBrVDzxSCn05G&#10;F2enb969f+fi4uL0bDoeBWQEc46Dc+xcjDmn/tbJ0dnhwaNnz1UhS9l+ogmoWqm7LuwcwMohDyWL&#10;oXxT+0NnxwXcba5sd0ANJh1gVhIOdsS21zr0Xc1GLCsHArSSabnHJLMMenwtnCopdkxmttm0y+Vm&#10;XDVqmJNqhspXtfObtjfQGJMziF1/3W5Omtvb7fbFi5d2fEhEUWW23U6ns4vTi+CdoWpWE0XV68dP&#10;f/eTT2qEcDA+eHgbjuoEJGRIzKUBLzIQouKrjYwDDmjCjo6PZrPp+2+//XAxX3z22W9/+k8///rx&#10;U8md4yl4ysU3nCiEoDgUznIehuDL1SgmaXtZd6kctrtozvHFxUX5+Wvvbm5uFoulqjnnEImZc84p&#10;Jec8E00m49Oz08vLi/F4hIiHh4cPHz7s+365XM7n8ydPnnz11aObm5uUUnzNZ8GhlQ7DdsSVV7ok&#10;3C+EAcvCEVO8c3n20TtvTAI7S6pJTQhQ1QY3NBMQBDMC9w2r6qKthzIWAAGjGmRDQgby5BTREIHN&#10;ERmZmTjvo4gZEuHEcXEPIMzcMILxAMViLpEhJcOviOkAddcglN9aNPU7Zs7QvwCgCBgUQ0dED4AK&#10;STMoFM51VlEywMFimUSiAaa+34q1yZj5aIaMqakEET0lMGTnTk7C/d7qZr1aPXd8bIp92yOmUHlG&#10;ryKg5J3jIkkoZ4cpIyMhGxeeccFys5ZsCQp1/ez5s8dPHgPyH//xv5oeHIJacfhEgzb1qnp1de2c&#10;v33nzrZt+75X0SIAYnaj0dgRxSrE2PWxS6lHMyAs9BAEBCNE0pzatnvy/OrgYObRRK1PYtJtuyE/&#10;E4iqOoSq9j4Q+6oeuTa1XdeQmx0c9DFu2+u+z4yQ+rjqN7PDo/ff/2Db9u22e/Hi5Y9+/OPv/fN/&#10;ToQpZw6utFdZsokCWF3Xl5cXCHB+dnZ6eqqqwbu2a713o6aJWe7cuR1j/OSTT6azyYM3H+wQJ+m6&#10;7tmzp1dX1wDU9/18vlwsFs+ePxO1EOryEOacU87FQZkQDdEAHbuCUhD5w4ODBw/eODs7q+tQN9XZ&#10;xcn9+2/cvXN/NjtirgyIkEWMCBBMNRVTNkQQkSGJxIp14wD373GJlLJzJVjQCg+mj13s+rbt2m7b&#10;dm3f9YMBcdfmlE0HqlFxIFTTorOJIouuXbddH2OfZZtiG/Ny03Y5J1NxjM4BIREjswGQ44H8jDxw&#10;n3cq/ZLDs2v9DRE8omcIhGPPgfzhZHzr/Ox4Nj2cTo6ODk+Pj85Pz0Z1E4InA1VNsZecoqn2nWbp&#10;2o5zJsm0E9CpAe8k+mhou6I7gGdF2l88tGGnyS9kB9tdOttvXQZl0EBpfY0MhjsaN+/Ue0WEuP8L&#10;hW81HG6ioGJSakxhPWcHSAaB6K0HD999663jg4OTw7Nu0768XuWUG1+xrdXAgyNAywmJVsu1l0xq&#10;pTHqRbuY+z5X5iaHBzxt6toZRk65vZlvnz5PWfTKNydTN6uMLGkGMk/GWKw8TVLJ/FYCNlMo8iZE&#10;s8yEde3dyVFVhYODgy+++GK9bWOfbuZzx7BLEBBCNAQuXGOAkkhUPEzY0V41uT/bVQe6g3d8cnwC&#10;iOvxqKrCaNSYQZG2iEjbtil5VWPmBw8f3LtzZzabOCYobn6I4/GoqsLh4cH5+dm9e/eur683m81y&#10;uZr+dVK/AAAgAElEQVTPb66urvsYh+e+mM0iUVHeMg4mdFj0igxgmU0nDh6cH98/PQiaUMvpZwpY&#10;RHyewLS4cSjz4ByHCLwzfSjnvWmioekrOQ5IXFgfSkyOQk4xZwUzLl6wBDjMVYqAjosr4lCRPRfj&#10;yCHh3AzKXnXg61iBIAxAiRCKSshg521VBNC0m1KLxMqYnajmqGUtSwihrkOouz70KWbR2McuLYpJ&#10;u2fqu1BVATBmNUFXYX1x7FFW11ePu27D7NfrbVVVxJPiOUhI3gUYct0xaRrM1ZGQSVUQcb3eqBkQ&#10;rTYrzwyIJ6dnP/vZz//+7//rd77z8Wg0qUKlkoEox1xshf72b/9ORI6Pj0ejUUo7WSVAwaCa0Sh4&#10;L3WdUrdeb1KOfR+HCCACRAKEPlMSefz18/Oz80ntQMBQW0mLrl8tN5t2K2p1UzfNaDqZACARV5OZ&#10;+Ho0nvVJvvjiKwViDqNm/PmXv6smja+ahw/f/vrrpy9fXuUUf/3pbx48ePDWW2/lLJqVmHPKKSdG&#10;FjMkHo0miHTnzv27d+/e3NyYSB9zcRYhhFCFDz94/5effPLZp5/furjdtd3NzfXvfvflzc3NF7/9&#10;7Wq9KvtzEfPeIzE7h4ghhPLOEOecs0mHhRtJCKaj8fjy8vKth2+98847bz18eH55UVcVOQQE7x2x&#10;I3BaIlvAQuAUI6ID031HOPCsSmsjBuWg21WXwtPLkpEg9V3bblar1fX1y81qs95surYVKe5oFlMv&#10;IshcTl8BYKasKoCx61fr9bptn2/W8/Wm72OXMvuggMg+O2LvDHRoTPa4HJOVyRiAAByiIBbTZgMg&#10;JeSiR1RCCAwV4EHlLw9nty8u3rh378Gbbx4fHDbOFeisDsFUNWvKOaUUY58lE1EJKUliloTNdoTf&#10;IYmLABEJGBXNxIZ1fnGhpV19K+FmhABQIl8GJ8H97gRAdUh8MUQrRuWlDpWAL7CcU/A+qaCamjIx&#10;ACYxSf0wvKgwEGpGFUtSFOcVYu3cncuL999755+9//7980tPmGNaLjePHj31z5+s+7i4WnaSHTrQ&#10;lBXNoG3jk9Uq9TGn3HVxdjDrt23quso4iR14FyYNhEB9thw5pW657rJTBsfeIUTbJZISlfYG0FSy&#10;SEYqkt60szEu3gbKhJNx8/DB/fv3bq/W60ePH3/2m8+vF4s+ZrAEljQnIseIRbLDzFWoABAG7VF5&#10;Cva/ZT/qAcBkNKqDj8fHk8n06dOnq80GABgpS0bG1CcmPj07/fZ7785mkxA8IylAwQ+IiAldU41G&#10;9dHRwf17d0R0s928ePHyiy++fPbsuePCQGQwBXRoAJZLi0MGYmBAhiCoqWF6//7d+2cHI1KSJDmZ&#10;QS4xxABgCrkoXsuppkVExkSGKKCFM2moaAZggDRojhilkOX3qCsiuUpNh4Uw7CC2XbQUYtEAD77t&#10;RW2HgISkIrZz1i7ljRAKP1R3g8t+PFNDUwMyVVDtRSWXFEvJIorgAExEydF4OnXOjeJk03aL1arb&#10;btquNbOu24zqOrgwGk+RmIgBFYOfNY3lvtuu0DlAR85VTeV8AMTgPezMict5wOSyyGq5ZnZimiXP&#10;ZjNRc445uLqp6xAA4Z1334spp5Tbtot9DC4gEgCS89rBYrEOdTMZjW7dujw9Pfurv/rPVy9fFtGv&#10;iIABE7tAqr4KtXdVzmmz2XZ9VJG+78plZXKEbrNJn//26+OD8XgURGKKse9i38c+aU667je4bEer&#10;1gdf+QqQfAjT2ZEZpywP33676+MXv3u03mzOL85G41HOenR4jIaEjtl+9OOfINGHH36IyJKk6/r5&#10;YjEajUpGtRmMx7Pj47OT08uDg2Mwu9X1y+VyvV09fvz42bMX19c32/Xm8aPHP/rHnzx58uTq6sWz&#10;Z89SikWf7FxxymFmB0hlQVusmtmRQWRiU3zj3p0333xw6/LSeVfVo9PTs7t37p2cnLgQnPeghkxZ&#10;stkQWLVHuArRE6FYUoABISAxDt4Wg04AzFRUAEAsx5iWy/V6vW677XazTCnG2C2Xy5ySqZmU0AE0&#10;k+JNYABG2GVdbrbbvp+v1l1K2azt+jamtUqn6pw3DOqcGfoQ0IwDs6lYLhwBRmAiMyNTh2xqg5hT&#10;1XnfSSZgU9htoMxMGfnj9975zsMHF7PZ8cHBdDYbj6fe+cpxiiml1EufUs45phhTSmqaU0wy2GKp&#10;IYUmEEFKQDyo6cyo+EoNzC8oGS+lxuArk2zb4RwsOzSFdp9SwEQpXXCJrjdzhR1rSMPN2BXyGIuL&#10;DDlMSYstuUlGNcgCZqg5MKW+v3vr1t07t2/funVYV+enp2/cvz8KlUNCBa6r03oyOTy5WL1x/96b&#10;H3/4/Onzq1/88lfPnn5tldYOPQMRbdroeLvddioanNMsz+Dletv3mmenh9Pp2NehGdWeIIHNjg6q&#10;wwNf1QkkpgQGajJk3yAiARAQoGg2Uxl2tPs/g6JzZzIOjg+mTf3mZFRf3cxfXM9fXF2l3JuJJwcg&#10;zARAOctivhqPJsyEhrSbXIuNdM5KPOBmZUo25prd+flFXTc3y8V2u40xmukUp554PB5fnl8cHs5K&#10;+jCUCLti6mLGPOxTEIAqj2ih9tPp9OzsdD5fON0rXgY1UmkKjBCIWDWXwTQQjhx96+2HRxVZTjl2&#10;ohkQsxRDeDUFpd2upozBaDYYvg0IXMGoh/UdFtwNoECrSDCETSCSRxXbPYjllR3oirAnKKIM5rll&#10;B1jcKQTKM1kGJkQiEis77B04BjvYHjHnnGIug44ilHKihlqsatmBgSgE8pPZlJlTFCPuU1p3ralu&#10;23aVV8tQMfD4v3H1Zj+XXded2FprD+ecO373m2tgkSwWi6REUhI10KKG2JaMqNtx0HB3jPwZeQiC&#10;BvJkBEGeO49Ov3QeEiS2OkF7aETdScsND3IstwaLU1GcqkjW8I13ONPee62Vh31uldKFQqEKX9VX&#10;995zzl5r/dZvmHSj8Xg0nipA6QBYFICMYUmuKEejyWg0dsYpqCuK7CCJgDHFrut0WDeK9d4i5ZO+&#10;LEs0mDRNZ1NQnVpzeHwEgFnscnp66ryrykpEjLVlOd7bP/zN73yHAAvvDg4Ozs5O//Iv/rLrWmts&#10;tqkSYes8KQOAMRYQJ5Odi8vL5XJJxuXPFckCQBK99+mDejOdTioiCTGI5EtFQSV0MaS4rNuyLEbV&#10;2DrnI4O1tqxC2/UxrZuublrr3P0HD+fz+cHBQd4zG2uYzaNHJ++998ubN2/OZrOUUtO0Dx6eXLly&#10;xbuCgIjI+3I63SFy43FpyeztuStX4qZZHx4e3bnzXr35hTH24mL5y/d+ef/+g5iCMca5UVEURGCM&#10;Wewuzs7OFSCE5Atns8OQIevceDx++ukbzz/3zO3nbx0dHe3M59Y7UbDGWesAAI3NA6VFIuNZtm5X&#10;mhfL+UbWfJdm+xMFYBACGVIkUEU5pZhpYKv18vzs8vz0vO+7LnSJY646McVMBx2mIAAGZKQoEkJq&#10;+v7s4vL0ctn2/appkipapzloy1ojQtahoABYJAPkLaowqBgASyQgFoiTZNoxKFhjU0jGYgQVgAIp&#10;p5zL4PMloFIac/vmzS+/+srUGkuEaIxzKto2TYypa5tMqmZOnFIIvUj2OwiIpg+9Ao1dURZeOCUF&#10;JZPXfcOjRhmGBWFBUbJGddiTbjekGU5AIRBhASUyWXabn/eM0sP26NAnX1LOEWCJNTJk5U9SSZHy&#10;Dp8jh2CJjCqKGNCJ8y997stvvP764d7ufD4bOYcwiM0zLGKdY1UHtL+3t7O7e/PW7dWqvn3r9t/8&#10;zV99+P67qNEatVR09ebhyaVwZJbxqGz6IGS7FCKENtaFvVZMZlVZAIAqzvcOqtmOGIuCCCm/pXzg&#10;CgghGmsJXCZVAuQIlcc/4TFHLidgVWV57eqVo+Pji9Xm7r279+8/ePjwEXPMFqEppnq9evPNXzx4&#10;cP/q1SsHB/veWwBlQaLBTHzoaQBFOOtJRLQoiv39/clsuqnrut6IsKpWvpiMx6PRSIW3Djs6eE3k&#10;ujFMWirbVZklJI/7e7u7ix0r2zEAstemEgHJoG0evp0Vtpyefvr6YjL2EKEPW/bbr6ClCsyS6U0A&#10;sIW81KjmRsMMdE4zzLrDU5pLDfKQHUtEKJKbw8HAD7dvZbsFxFwJmAUN6DY0Dra4BA4wuG7fkSA8&#10;lhYAogHQTPQMIfRdzJg1GgNZ95QBChWOEZESc9O2J6dniKQiktgYmkzGxvuyqro+tHW3advVprfe&#10;+6IC8uNZ88oXXxtP50VV2XKkgCLKLKU3SKSg69W6bZrpeFIURVEUOiTxgbHGe6+qZIzS4EM+Go1y&#10;0uW1a9cno/HBwcGdO3fGo/F8Z15VFSBE5qKsDsrRkOCJUG+aW7de+OD9D+/f/5QTG2OH+BRRALTW&#10;WutF1BTkfDUeT8/OzmIMqtpKa6wRZuZ0sW4uV2vrDOYMUFUiEgEWDjGKQFH0tKyRcDya3nw+nq9P&#10;ui7eu3+iaPLoUHg7m83atl2t14jEHBHQGnf//v0f/vDPv/e9741GZYw8ncwBTOijd4WzfjKejUYT&#10;YUig1htOwqyG3OHh4XQyP9g/fu21r92///Dvfvx31rpvfvOb15+61vdNjHEyGZVVoQr/7J/9j2jI&#10;WFtVo2efee7lV145vnK1qipCM5vNdnd3ptOJJUPGKOSsnGxLjr/agrBkti0iImwfbx34UZn5MmRJ&#10;gSqLpBDaum6bph4YNXVMKcbQtX3qY+KUJLnCK5KiTcCGLBgrrF3Xt213sV7miiJDjn2KwgzAxgsq&#10;kiNjCm8Sh6x7dM7kxxwlFdZLPrtBnUGyflSN5vP5dDbZXSymo/HOfLd03vpCDYk1/+7f/8Xb772n&#10;CIkZCFTZOBxXlUVqNpuiKFxZKXK9XscYOMaUUtd1qpoGQ+5kDBGhdQbJp8SPT8D5bO6dBxbcjn15&#10;Y6+iSjCwWFRVBlGkDI886XY/OmwOQIjyjij3XgpIeTBUEMxA2eBmpMqiiUnAAEhSCMEICCdOkVSc&#10;JYihLIqbz9x4+aXPHe3vT8tid2fnaP/Ae4dDewo5KWp4zaDCgggGCVRLX/i9YjweH+7PHz34gki4&#10;8+7b77z9poANnOq6bj78ZDypdhazZVsf7u1G7et+nfpaFoeXF5cxMpBB70fT2ZKD9a5EyAg2oskH&#10;cxR2xg5cTuudy5lVkpkp2fLgP2LKEZE1uFjMiZ4+PDio63a93jx8+Oj8/LxTYebP7n/66OTBBx/+&#10;cjSqvHeTyWR/f//g4GA6nhiTt4lEg4P7UMNk2N/Y2Ww2mYyYOYZgkLxzqoNUI4Z+iNj5j/jGWz5L&#10;Pig4sgJYa58ILRGNDv2/Dq4yiQ0BghrmRVk+/9R1Awk4CodMuh9uoy3upE9+1a31AAgrIhOSIJqB&#10;T0YIKJDth5ERCIwOvB4a1ttbRjYMUhzlJMyJyBjjchHJzjmDAAlBBXToiQBRMKMOhKpIAzcPDZnM&#10;VkyR+xj7PsaUrEGCnNIG+sTkVXQwiKKuj6v1Q0L0znrrTOGsdSPrfFG6kIhahXZTN10T0rqfLvau&#10;7x/NF/vT2e5oPK9mc0DiqCwQWSwaAhxVY++89w4QnTVEFGIiROs8IpqspgYAAIdOFJCsiix296y1&#10;xvm/+tGP3nnrnStXr0wmUxHJGm5jLAKiwfV68/DkVFgP9o8ePngoub4CIhrI+am5gbVorVMMo/Gk&#10;j9y1LQD4cgRAMYS+b0PXIFLfMqcwWHZgPscYiCJz6kLW0XRxtWxaX5TT+bg5OQ8xWF+MxpPPf/7F&#10;a1ev3nnv3dVqhYjeFxk7CiG9++6d11577cqVY0N2PJ6lwN77tu0/uXf/pRdfrsoxs6xXtY7BGOOc&#10;QbRINJoUz7/wUorp5nJdVuM//lf/ajKdvPGNb/jCpRRU2VrT9cE4e3BwcOvW7a9+9atHR8c7i8Vo&#10;NEY0AOCsezIoGyssiIJImGOVmYnIGCM8gNTbR4OGTh8GtbsOVCbhFEPo26ZdL1dnj04261XfdY9P&#10;BM3OfpI95g0rKhF5T2TbGELT1XV9dn5+cXFZd30bYxIRhXyV1TprCEVJxQzJlVA5i6oxsUOwiCBA&#10;SJUx0+l0Pp0e7O/t7+8tFrveFzs7O97byWRSem/JCqsqdiklhE+uX//g3TuNcuKEBkAZyGgSZGnW&#10;tWlanDIgdCzMKfRdiCGzWoUFiaqqSikaQ13XZV7lYF6sOpvPisLDpgEyQznJJRm3kSwwaFYeH0ZD&#10;Uc9ekjiYlipADi0AIAFgkKyFAZG8iRXkjLhTYmVBBUiMwBhZYjSAxEISLWlh3eFi8eorn//aV77y&#10;zFPXHVlnDKmWRckxig5OdogoogYxewkPrzU7SyIAy6h0V44Orx0dMsfr164/99ztf//DPz87O60m&#10;s2azrPuuPz1ftxsBZkiTOEbmKdvNctWmZEsP3ibCPiZnyZBJkJQHcD93wEkSb6UkROS9UZWUUhYn&#10;Pf7Q8vGdCwwhOmf8/l6KsxglpHTl6OjdO+89uP+g67qgqsrL5eXFxbkqWGu89zs7O08/dePK1SvT&#10;2RQBnPfOeWbhFL11rMLMCkAIxhiL5EwW1KCq9H0fEUCViJxzmRWdC9JA8xuq8xBzLKog6UngGMLj&#10;oYfIGGQGFVQ0CE71lVvP7U/GFRGwgiFEGzltCxeggIgk5awzVQDePqsAAAgG8yRGOIgDaKvBJAQQ&#10;CYhKAMxRxDxW62yHku0mUICZOWFmRrGgbE2bhLdmugJIkvf2mTsKWdckioRKeePKiSVEDil/ngIS&#10;VXPwKhqLaCipStqukaz1oIUrnLUqKYSYAMBYNNZ6N5p4ciOmIqzruq0PRrMbz9y6/sxz49nOdLEA&#10;YxEtkQWBwvnhbDLivSdLKoJEquoAiOwgvtumXABRU3frzYqIurbr+n65vPzss/s///kvTh4+/OEP&#10;//zDDz8aj8fGF2QtgO7MdxCBU0wxWOsWu7uIZI3N340MkjExhqZprTXGmMn+7Mru1cPDw/l8dnBw&#10;WBb+k/v333n73Xfeeef87ExVYgztZtNj6631hXHWKCmLKGgMUUCaumGVqih2Fru3br84Hc/+zf/9&#10;/3T9OiWxzv/6r//GRx9/uN5ssiNk13UAaKx1zsUUfvCDHywWC+/9ar2+uLgkMgSUkv7Tf/rfTibz&#10;rutOT8/6LlhD09l0PB/ns6Usi2QTkvu1r3/9gw8//Luf/OTaU9dfeeXl3b2dtm2sNUVZ/f7v/35V&#10;Vd6X8/mcjDXGIiKicc7FGHVLN2QdkmATi8TBdulxK4eUfbhzNA8RoAKKSEypb7t1vWmb+uLytK5X&#10;XdumlCRx9tAdagmzaF49EBjsQkBjfFldrteffnzv7OKibpuYUo7VkZSUjHHOEIoIApFBSwgAReWK&#10;otzfO5jN59Pp+NrRwXwy8b6YVlNnnTIX1nOKhtRsoV8ikyf3N3/29z/4wQ84JUPGor394kuvfPEL&#10;x9eu2yQmiXXWkUNUEJIUN8vVernqp5PCucZQiLFLSREkRTKmKApQaFMX+iCJ1+sVEY4nVQxdWZQ6&#10;+I/qZDRxzikLUH54txywjFcQwa8qkp40vk/oppIpD4iJGQH1MW0sAxfD/Kg5HltFmBOKICt3fR9j&#10;5TywakpV4Z955saXvvi5W889Z4nms+liZ0EIDqlwPsVIkhdpjIopwyeAZAwhKaBxZIBYNKSUV23M&#10;aVSWKUZr6MqVa7P57vVrTzdts7w8/5M/+T9YeoBU15cPHp0ul+vd+Ww5GtMm4nIVEAKk+eGeqaxD&#10;l89bfHIaZxrnk/EEt543uK032Usw15i2bfPfyV9CIkNa+bExNonuzneODg9X6/WDBw8/vvvxerPu&#10;+15EY0whhBjTo0cn5+cXb779tnPGObdYLK5fv763tzcej7uus84C5O2dIGbibsZF+bHeS1hijJm+&#10;nAtHrjS0DQ8FRE5puyYBm+UPKkoGNUPtW/lSVk04wIrMYlQWKijJG1Q1TeiyWXf+mPIUl+OA8tKQ&#10;WbbiA82fgzGEKCBKRJaG28bQYCplaOBQynADZVZx9sqFYRGao3MGjEwDi+RsHABlRdAM6ekgbM43&#10;JQEaQBKVFDnb1qTHmVmAChgFRDMJnXJ4DFIKIcY+gSgCOWvLorSuIMI+pbYPSRGsonGsloHIVuRT&#10;lCYpThd7N27ems53y/GYbOGrEYsCDwkWKXEOvEUABnW+UERh9s6BUm5VNpu6bdsYs2RJm64V5tPT&#10;s48++uCzT++fnp6enJyJoi+q0CfvWSByH8lQ41trCFT6ECySipZltb5c5lKRz9PFYnHz5s0vfelL&#10;h4eH89mMjClKl28Oa8yLffja62/cv//g+9///jtvve2L8aiaI6lKTCkw95H7mDjlvE5jyNmsBDk9&#10;P99bXrqiylifd253Z/G3f/v/vvX2Wycnj8hZoGwD3mdtbx/C6dn52dl5iEGYrfEKgEDG2L29fU3i&#10;fVFV475r2z5g3biqBEJrXWItyiobxH33u9/9X/+3/+XBw4evfOGVGNk6n/u8Z559zlpnjc0tX4zs&#10;nEXEruuNsSrAIigKkDLfH80Q0AuqMUZjjLM2W/zqNo1ROHLipm2auj4/Ozu7ON+s16FvhQOroGLm&#10;B+bTYpujRgCUQANAD1DX9eknn50tL5ebTUypC0E4OWe9t7702YTdGDMaT0blZLG3OD463tvfXyzm&#10;48loNp76oih8mY0zObFBG/o+9UGTCqJIMgAhhqIoUoyJ0w9/+Od/8sd/nJhBNcU4ny/OHj782x/9&#10;zX/13/zXBZG3tOq6aBARnDEA0DRN27QZ326bpk+RkchQUZYGTUychVDC0KXY9wGAQ98agzYbFgCA&#10;ymQ8Go9GAOeqeb8znCS6xRcEVDT3f1s0Mnc/RITZQjEqAQKJKGCm0YsxBCqDDyprznzNQDkkBmZl&#10;9kAxRovGIR1fvfLVL7/2yudevHr1oLAucTLWGgVlMd6gqjdWRBxZFWWVlFLTNKX3hZ9mfVuMKbKE&#10;mCREZnDOkaGYAhmKgYnMdDQtXSXC8cqVnZ3RX/zFv/vg/TuFHbVdm/oeUt1vYim+6LqEyZLpKC3b&#10;S3SWE8cQUwgpRvqV1YAikDFKw96BBvbfwAmkbXpNHiUfjzJkkGMCQkNIiK7yztmi9PsHe1euHv78&#10;5z97+PCRKuaBQ0QyNNe0bXvRicjdTz577/0P93YXe3v7L9y+NSorRCyrEpDyqJkvkDHGZBlKrg5I&#10;otndeXhJWRWeXycCGCLJe3BV9J/7HCIwJ+PsVlVKLOIADahBHhG+fO3g9eef2Z2NILWONMYOURML&#10;IoWuFxYJMYbQc5KsDQfN9e2xW8aAtCqCMiHabXJqhh6898KM2yS1nMlIRCLMkvKLyuMLAhlyRAYR&#10;A7MgGWsQEJQNkrNZHpNh9AxpEjMgYoypD71oRtEEMjdaNeYRRgQMGmuYOW+SYkgq4G2popZoZ7Zj&#10;rWVJddMsN/Wqadd10/aJTLF/cAxgluv6s4cnfUzf+k9+43v/4HeeuflcOZ4kImu9AgCDNVYTq4h1&#10;LptjMUuKsenaru1CCKvVilm9tyEkVV2v1ycnJ6v1ar6zmM1mhsxmvW7bNoQ+xrjZbMajUVWU09nM&#10;VyPrXDWqUkqgzDGenDy6ODt9784da+nZG09/97vf2d1dWO+7EHPdraoCkciQiCBmAF2JKEZG40Q0&#10;hvSzn/zkD/7gD7qus0R9X7ddnTgAMEsSYeetL/xyuWyahtA+d+t5IBNCWq82zGKt77q2KKyxdHx8&#10;DKoxxPVqVddr730+UDil5WoFoMIJNA/dxWQy/bf/5t966wAwhL7v+5SSgIYUyFBRFN6V2ew9Py1N&#10;uymKoigcArAoohpjQwhEJoRYFH5QRGiWfhAnVtCU2FpriHSQ3yozZ5MSyoR1FgWNMbZtXdfNarW8&#10;vLxYrdY5sCvGsOWf5I5IEYnQKCEgKWDi1KXYNv1yvTq5uPjs/JwRFCAlRWMAwTknKVpDN65f/eKr&#10;L7/4wgtV6SvvvfcgnMd3zrYjBmIM3rrErAKcTH5EV5frH//tj3/2k59kmtHF+VlZFgeHB//ge9/7&#10;5Xvv/fDf/fD08qLebJg5+0VbY0TBFsV0b//qjRts8GHsezLM7AxaTqatv/fNN77xxVfmZSmSuhQ2&#10;bRdCnJTVxx9//JOf/ny5XHlfeufLyl+9cvzKy5+78+6bzz77zGw2Q2tUoKwmWE3/8F//X3/51tsd&#10;oJIjJQNECAmFVQzZ3ELlKwgwmFvrEysdZY5oDaJhBSTDIilGQ4qqyIoKwKqJmWPuRm2GClmuHBx+&#10;+dVXv/6113cmU05pMiq9QWMgxfQYVnLWeu/zOZhJ60iYVOu2/fTTT0HEOzeZTK9evToajZNIiNz1&#10;/cd3P+n77vBgHyjnr4OIZkMOBUaNIdbCbQzdyaPLH/31j958+62Ugicovbm5e3BcTa4eHXQjoqPZ&#10;7tG+Q+fUpZBijDqkEas8HpS3vgZDnz6U4eFXItP3PQ3uxQCQg3hMjClr1mNekg0cPYgxhhA/++zB&#10;hx/dffjwUS5OIev1ZRhEuq4TFSIC1nFVGGOuXr+Wx5qqKnLhN2Ro6x+DqHlWANVcYHRrvf/4xRsk&#10;BfDeF95bQRgE4VkXndmNiDl/1yAQ6tH+XuUMxGAJAcTQEE6XQuKUsansy2qUEwtn2h0nCdxv1z7G&#10;WoNoCDVKTIactSnG/Jpiaod5j2CLUTCCiopxpg8RASU3nmRwqGHAilFBQUtfKCfrnFPKYdi5pCuI&#10;pKSKAKaPMcYhmo9FOB+p2RSL0FoHyALACgyIioAGDCkiWiMCSSGvrZICKyF5wbiqm3WzqnuYzhYX&#10;y7UpRqPKWj8GtIqkZBDxwcOTsiwrX0Vgi6SqIbUhhqbtuj6EGJbLJQCGEAyRIbPZ1KenpwCYUiqK&#10;8urxbDQeE5nQ9wDofaUKu7sH82kd+t45j1uGXN/1iPLZp59+9OGHkuLV46P/8vd+79ZzN4+ODkcP&#10;k6AAACAASURBVAE0hBA5+arIJyIOLXvGMsVaKyIpBeccACIZb8wXv/jF3/u93/vTP/3T9WopolVZ&#10;pUiisQ8MiH0X2qaJKRoyZNBZs15v+j6kEEKIalMMPQtmX7xJNYp9DyBElFLKozQaOxmNWZJqHnON&#10;IXr22WfIIIAgkrXG2kpVk0jdErPAE2ycjEFE9H43E+IBwZjcD6Ihp4DemRTZWqOiKkoWJUk+u3O7&#10;DZJ5S1sARjjGaK0V5npTt23dtv3p2cl6tbpcLruuEc7/i3mSRwwIZHNLAoh9ZIGUVNd1fXZ+fn65&#10;rOu6TqnJexVricAZgyBFUUwW82efuvrtb37jYDEn0MI6Q1RZ27V9TAlEIaUBzmaGPgGzIZOi5aRt&#10;2/7RH/3he3feOz09nc1mgBBTQMQHjx4B4i/ffffi/KJPvYKyiggbIBFEQyH056cP+9BNDw+0KrIb&#10;JxjLnDiGxAkMReGMS7V9H/tAgn/913/z8d1PEmtRjHbmOzMdf/Txp3v7B+Vo5opKs1Z+2DjJfD6X&#10;xGosPPETBUAgerLufYyJYX7Y//8oWU6tAUBVhKTeGE4hU40lcnY4tsDO0GQ0JsTZePLCrVu/8e1v&#10;HeztjbxHBWE2hIgg2cBUBx8H732mBSsgGlt6rwCFIWNt2N0NIZRliYgXFxfrzWbvYB9RvLOLndnl&#10;pTZd673Pp1SKKR/uKimGNvUrwjiy9taNp/Z39q4/df3vf/GLi4vTJHF67erR0RXldP/k09RtIuti&#10;Mp+O5xmPzRlOAKDbQLaBOwLArDnBRYcg8MxLSkRIhHkcSSmBCkcG0aRs1GJmyhMhYQjBWWMMXb9+&#10;fTqZfTj+8OT0tG7aGKP3XlSt933fI1FKKYSQYtgIs8j55fLu3U/29hbXrl07ODgYlZVzzhrjnEUi&#10;MmSGmLiUt9QsYrKI5LEfEoGqdn2HAFaGoGvYavlzspiqKqdAIrsHu3vzHYgMCGiy9BRT4qbrJAkn&#10;zod5tkUa9nDAnNJW1ENZjsmqIExGRSKqOuuAEBJnLRhtTZettYTIIoETopKhmFL+xFnEGBsjI5qu&#10;65ebTZ+4bTsAONhbHB4cxhAzajhY44kqKDNsU8vROWusCylu1uuu79HgZDqdz6eT8YgsQtQQUohR&#10;RFPgGKM1RSZInl6s57Mda10SZPDrtl3WgcFV48oUY+Oqg+PpfL5bTaf7BweRYblumOzFah1COD8/&#10;TyG1dauJRbUPPQ+7XFdV49wUM6eiKKuyKMvy8PBItoEZKmCNA4CiKEKIUYMfz7x3FifLlFbL5aef&#10;fnK5Wk5m05s3n33llZe/9IVXnTHOmvG4qkrXtyGl2PedijIoZx3bwCUfLnV2PcnnAEsCZWc9IlVV&#10;8Vu/9Z3Dw/3v/9H3P3i/6ZrNZrPKhKkkyXqTObnW2rIqc8cVY88cCdEYsASaM62tuXfvXkpxK7ID&#10;AEXAoiyIsG42OenLGMtJv/e9/9RZm4X9WzI5Eeh4NOYMpAzurforZ9fjqoMIRrfOuRnmjoHzl1EH&#10;ejwhWSPZDtUZqwopxtCHtms26/VqtTo/O7u4OA99F0PM6AoLs7AxZqAWk8nKXkUUY6PCqm4uVstH&#10;Z+erpu5ijjNUzbJZVyra3MoAc9ZqvfzyS998/at702lhyYBYBOQkUQJr17SSshWjIijLwGCxCLFP&#10;wPjXf/Wjf/1nf7bZbPoQAICF88ZisdhZrdfvv//+qq6bvhNJulUyJmEGMWAVUBOsVstOeXR0ZMaj&#10;zB8yhqJqG0KIqSTSwRAYE/P9Bw8+/ez+2fklgOm6i0/w/hvfeKPv489++ot//I//86py9XpJSCwx&#10;pVhZu7+7N9Rv1ceIN+sQ+5FLSF7Q4jYigegxYjZspAAtgEVQDqGX3qJoDAiqURHIA+yMRy/euvXt&#10;b33rxdsvgIgzZCkvyjST70DwsX9y3mf0fb9cr70vjg8PrffOua5t8/RQFMXx8XF+YV3XXVxcAKIr&#10;fIoJyXJKZDCDB1U1MmSKwsU+WovKcPfeB+++83NvebEzf+r6c+Vo9rWvfOErX/nCumt//JP/sD/f&#10;2T08vnx0svlUP777UbMO+7s7i8Wi8MVsOqmqKjd/SZlZckRCHvIIKPsWZN/8GJOqbOc8ydJjb8mQ&#10;N2RFlJzfbGqJXDf1pq6btmm7zjk7n+/s7Ow+/fT1nZ35xcXFw0enb7/zzqbeWOtQBIrCOcfMRUpW&#10;IQ83Ctr3/d17n9y9d8+QccaMx5ODg/2bzz4739lx3lZVSUCPPVvzNiTHSwOiiuQm0ljbdK2Fre9C&#10;fpyH5csQXmYwJG/IE6XURkQko8opcR9SDJkKmBAFQVkGdZAAimhITGAAAQ1wZhomUFXDIJpAIbJk&#10;wTwoZFqCaPaMynekdn1CyudZVABrPSI1bX96cdG3ARDJ+TYkZogp0rIBs44xgqoIp8gxBeaBmTZ8&#10;BERISMYKat/3IQQ02AkyWUZTFo4QIkOfIAQOfc8CfbPM3hbj0dR6JkIwpo2YsJjsjA5Gk9FoMh7P&#10;dnb3x5NpUVblaJQxsT4krJvz84uu75q6aZuuq1tScIX3RTGZzjKG07Zd34fxeFQUReELVVYVa22M&#10;vUhUBescc2Dmel0vl0sEnUwmKBRj98kn94TTYrH7+utffe75m9PJpBqVCOidL7zpQ2jbrmtakbxI&#10;TmAyQJoFVrptJBUARRMAkEFVNUQp9c75bCby4gu3f/d3/9H//C/+xerSpRj6vhNhZxyAgkLpSuOs&#10;Mw5UCcEQOGtUFIGdM4pQete37Xq9ijGggnXOEDlvnDVI6AyNqkqBY+T9/f39/f0vfukLW4+vPHsP&#10;Uar5MdtahTxphDV7gwMNTTAAbR2qhqd0+H0+r8EaYo4qiWMMrG3Ddd1kX8nlarVerTabTdM0fQig&#10;QpYIMPTRWGd8kYQJiRGFpY99CCmo1okvV6uzy4t104TseWmIwaAxxjo0xGRUgEVBtSiLsbUH88kb&#10;X/vKld1do+wISMAggmIS5CiSBnsz1fxeiGPS7PMh/OEHH/7yzp3l8pJZVCXEGC/DZDo5ODiIHNEa&#10;AehjMM5wSKxZa50ziYcBghBZUr3Z0GQystYYUk5oM4JIOnAEJCd/CsPFxXKzbpsmINquDyKwXNWG&#10;IKbw0cf3bjx1TYCstZySpMQxjEcjUCUk3m5ZBhhRt9kK25Eib7NzQ6mDeUlWbCvHgKCJxSJ6BZVE&#10;nCpr9w72qnI8H41+69e/dfPZZ/b39o0CgICCpBx/owbBWFJFkUxHGtplV5Wbujm/WB4fX4Xs+I7I&#10;Sby3qJKzCvIuIc/ZjoygGGO8s3WjIQTvrHAEYQLJCuYY2ma9jF2dtOvry261vvr0M+V85ny5M5u+&#10;/savtXVnyM3B7V3W737wyYNPLkId67qfTichpvlci8IZ5yxoCEEEVDmllDn9mQSfWZ+grKKibIzR&#10;IROMsoxDgWOKXVO3bbdZ10m46zoQKb3b292dzOeIZr1eXpxfnF9ecIq7uzvW2fWmhkFAYsEYAITE&#10;znnnfFKJMQoggISYUkwxyeXl8v79h/sHe3t7e3t7u1U1MoRF6auytNblZzbGCCoqgsYIAKdorbXG&#10;EIjSdn2Tb21RwZzzbVA49F1DoQlGTEcqiRPHGIU1Rd7ma0rKI0r+g0Lsu+z4gEQDlzvfY0aJwFqL&#10;CiaHRRNK0gSaRCQxkjALq7Z9KyJN24TQE5nxeGKdFdEg2sSkqvPJbDopYuDNer1u+qgXCpBCFFFW&#10;FeYcoQOKgVkS66CjVEAQkZxlumrCpk/Lui2cddYAYGLuQ+r7LobU1J011tuCsWLTVMV4NBkfXLl6&#10;a29/sbc3ne9W5aSqSudKFq6bzhbekHHOG2Paro8hPHp0QojWuPls7oxVBF8UVTVSRWsLVWUeOece&#10;e1gxc4w9EaUYEHFVb7quv7y8XC9XXdcWvpxMRteuHR8dH3/729+ylkpfjMcjMIggibnv2lW7HkLo&#10;mFXE2MGqdhAIbs/rvEDIkAQ+FtsqZGmtSEI0RDqbTb702peKwn//f//DzWZjbdE1TeTOW+cKl7cU&#10;Mca6rkXEOQcQnXEA0MfIrKHv16tlDH3oe1Dt+85Z2/UYQ9jb2y/LcuImo0l19cq1L3/5y6+++sXn&#10;n7sFOWUy67YGho1mw7x8H2d+jW6lzoNCeCuVyu9z8HJAIKLBbBFAJYXEMXRNu1ktV6vV+vLyMluO&#10;h9ALbxkkqqyiAJQ/K2ujQhcjGEohNF2/XK8vLi5Wm7rhFNGgtYoqZNA7GHiACEhCpFujWAB2hJ7w&#10;C59/8bvffGPqvQcxAJAYVTGLnrZa5KHPA8zJWoSGVdqmd674n/75P1+t1nVTi6pxxhhCgiyOW61X&#10;VVU2bRtjnI7HURKkNDSNJqsJFLLlXAboNxvx3lSlEGiSrCmPnBKzwUHyo6qPTk7qtkmSMwQ4ibz1&#10;1lvHx0cq8V/+y//zn/yTfyQcD/d3isJn04zZbAKgAxVKBpBMt9D347bgcZlRVWNM5nOLiqYEqiko&#10;ipKg8dYSlkVxsHv4+dvPf+PrX9/fO6qsHxdmkMkM7DJ5grAZUgVmIUNkDSDmmjGejH/605+9+eab&#10;r776qjHZFJWzgdl2VTwwnGazaQgRkazzznnnHBnT9V1T15eXZ/P5bG+xqxJjim23Sam3CCzKITbr&#10;8ztvXbCzO/O9V7/8tb2dBc92DFiZpih0cnr5yQcffvbJo4vVejaftl3oA49H1XgyHo8rY1xKMYSQ&#10;X5UmVsxOdwkArM3qvYGC65whQ8LSdu1mvd5s6sjatl1KPJ5MDg4OyrKsqoqZT85OP/ro49PTs9DH&#10;EKPzXgANDSmlw9pRBJHIEiEKKKRIZMqqQoC+71SEAPuuW282bd/d/eQTADVkZtPJleMrx1eOdnd2&#10;yqosi4LIaPYb09zZQ2K2gI9Pme3FAgUEloScHCIBMKc+xrbtAFUk47pCgNmYCAgBJHIKKXG2kgeK&#10;IWVbMCTKnYkCiKoxaAitIgB4Z0RBkooI9BxSTDEBYGJpu7rpO1RIHJ2zs/nUjcaA6Ij2Z/Onyqos&#10;q93Do8RwcnL69jvv9H2IIXLk0MfH1r8szIkzLznbPnL2+h6ENoLIbUwty6puHZG1hghFISaJkWNK&#10;kjSlrvTixrsv33758OB4Mpku9g8mO7uu8NYVvqgsGQANicl1rGKty6rGlFIIUVWd98740hWlL5UQ&#10;aVBdbKEqI5I4W4ITAghLsK703hCioWqzXqbYHRwsbt9+/fq1a7t7eyZzThCcM1VRxtBz4BD6EAMh&#10;KafE8fGkkpLkJ4doED8P6nHJ2FFmQw7edjqssABQWZN1DhEL456//fzrv/b1PsT37rznCzRsAbnd&#10;dHXbiLItjLE+tG1MbJ0rikJVF3sLVZzP55m8myKDMDM753Z3d69evbq/vz+ZTHZ3d5+7dfOlF186&#10;PDxyviCwiVkAZXsMwRPxbN7XIwAONA3col9brCz/g62BHIAqx9D3fd+3HHlTb/q+Xa+X682yruuu&#10;7dabdd/Hba0iBc3BWqyDGrjve1Zt+z6yJJa6bZd13dRtZGYk9E6I8t4eENVa0OwYY4AIACmnh2X3&#10;BJWXbj73/NM3ZoUvVK2IJRRAIiMqIo/RSxDM4U+QUjJkc14cK9x5553T89MkHCRY4xTUOprPZ5PJ&#10;qChcGTyiLM+z5F6EJd/ng5ewAmVoEsFZQ9Zq5H61NimWkzGZgUHXdT1UIyIrEkCGgXE0GrliQuRi&#10;kqbtLpeXxhlvqWn47t27L9y+BQAhBEIR5qosEUCFQbL4YXsNB5YxPK4u+UdWFG43/IljJECOQByt&#10;8bNy9Mz1w1vPXnvlc7efunZ8sNhTwcIVKbaU18YIlowConm8AEBAtFaRyHoPiM45Imqa5q033wx9&#10;m2Kv7EA4dC2oivfODaQDAE0crbUKrKLGkkoyRJPxeFxVoWtU0vLyrCo9gRTWFqUfT8bjySRFE0Kd&#10;YgcGFB33zfr05MbefiJrTBWke+qpa6PRb/5d+aMHD+4/PH+0rh/WTej6NJ2Mx5vm8HDfFw7JWqMI&#10;IKoMLJJy1aRt+A0iiLAxwKJdHzebzWaz6dqOE/uiqqrKOT8ajUIIFxcX5+fnq9Xqgw8+6LqcPJc5&#10;3qxKeUkC24bzcaxEGvRJJidSIWBRVghgkbwvQggxxZRJ/Mjx4nK5Wn987+PrV69NZ5Oqqqqi9N5V&#10;VVmNqvz8WmusCIPI9llVHcbqgYqVE8P70Ie2DV0tElmEFEDVkc21BgwKSOAQksSY8pPf90FUQYSs&#10;GxhdRKqaAI1i4KiqfVQWaLqOEzNzSBwjyxbvJoPOu9lsvtidHx4d7+3tzRc7852FIZMNYCbT2boO&#10;08Wjjz/9rGlDiNyF2LZ9ipy5FJnjMJyneXX/hIQNAtnYE1MTVuvWDodVBvSAM20WrCp2KdwYTb/8&#10;+jefuv60Mc5Yi84mBQCyzmW+BzkBorqpM+LLKRFRVZZXr1yx1qKgsBBaQGTmIEmYYwgAYAzFGFSY&#10;DDhnCXGxM5/OpghSFsV4NPP+S8zJWVtVlXc2j/KbzUaVm6aNfZtSUBUC4thrPq0GbDCr0/L6CfNK&#10;CokAtIvRGCqKgnIMHOFjzTCg9CHEGMty5L1HJGH1RfHtX//1W8/f/u//u/9ho+sU6XJ5Wjc1Ehhn&#10;y7J68cWXRCWnZ5ZFUVXltavXqmp0+9bzP/7xj9u6VtXdxWJvb+/GjRsvvfTS7du3Dw8PEZCMAcAc&#10;s6qKec3GKT1BbZ9YZQwwPT5OUIdt6ckXePB5BFRQSX0IbdvUdb1aLc/Pzjab9XK5bNsmxj5ypoEN&#10;XJVsCqmokRlBibAXaUPoIl8sl23brtsupNSFBGSAiKyjwgERWmOJBmE/AqExxhjRbCyfLbRyvbAI&#10;FZnf/s539kaFE7HKGBMYgwpKW/skTQSGkDONHhFVNIn0IRhrTh6d/vGf/UkvsW1bayw6BJByVBwc&#10;HhiLyhFBNHGKfez7WlRzgj0RqJIgKpABQCyMM85Z5wBws6lX6+UCjiaziTWm77qua0F3lQUUsvlr&#10;SvHg8HA2353t7LPgxeXyrTd/0XV118bS4917dz//udvL1dIZMxrNmBnB5Is2ON1uL5XmPbUO7quw&#10;1RvpNissU3s4xhQiBKrsuLD21o1n/ovf/e1nrh+WDgyyI2IWSHHbWgyMDxw8RwAxe5zawQPEDhRq&#10;Vn37rbfeeeutV15+mWPSxAgQuy6kxJxitLA1G2ZJQ7KDEiLGIISmdHZvsdM0q4uLJsSOCBaLnaos&#10;qvFo9+Cg6zYcu7ZeNstHrElBpOvvf/TxjWeeM6VJXeudUcHdxfTb337j9OzizXfvvHvn3fv3H67W&#10;m92dnfGkaptuOhvPZpPxaFQUhYiwcSJBRLJjcEopT2nMwpwSp/V6dXl5qQrOeUW88fQNIrNebe7e&#10;vXv33r2TR49gG/rinc0dNxoLqsIJyDInFlZF0cF+OsSE2bZsyJYGa8gAiSQBtM7nLQarxBQz6Mkp&#10;rdf1u+/eAVQRGY+qnfnOzu7OlatXxuNxVVWAaHXrLo6PI05zGC2CtWgRmbnvg4a+a1vmyCmhKio6&#10;cgAoqmSRlbsUokiMDICZZpbbcwAS0GxDlAZiTM4/kKSdANR1k+8S74vxzmw8mUzHk6JwZemKwu/s&#10;7OwsZrP5ohqNjDWIBERkTAjBV5Op4aS4e3BU111zfilAfWTO9qoAebEIg0N4HhoMAoqwZtX74Dur&#10;ORkug0YCIJgNLlCNBaWo8ODk/L0PP3725gtFOVZEJfRImvVDGeMenG8wpYTGxhgEwRgTupBi8tZz&#10;4pwDqwBd361Xq/PzsxD7K8dX9vd2J5O5seSsQYTdxc6o8jh0Xln95wiBSMlgCD2nCCIpRQQMfUDQ&#10;wfAEhGMcgGwAYYksWWOVWCJz3wdjbDUqEdEYM5lMptMpkYFtzl0f+vVmuVwtd3YXSBgltu1GGCbV&#10;ZDQZP/PszX/4n/32z3/ys3ffeasoRqKgIGhhPJ6+8soXrDNt21xcnBNBTm/dWyyuX7sK+trB/h4i&#10;Hh4e3rhx48aNG5PxBBGc98IqCiKCSDlkcpBPQAYMaSgvA5fmif8ubjXhTxoIFY4Z2OzW9aqp2/Vm&#10;s9ms6vW6bZu6blJK2QBYlTXjvwSAwAAinBKLagihafuu73rRJqV13WzaJvNDGQicBTJEFqxDaw1R&#10;VRaFLwCRRfoQEzNlO8cMjQ2opLDwyNlXX7y9U1WWE0kaaDXZNB4pJSYUzPFFwMqRUyIyzJx7vK5r&#10;33//l48e3g8cyBEQRA7W2mpcEmEIvSSu67rrek1JRWIIxpkkjAAGTZ7HENCgGZelH1XeF5I4xbBc&#10;NqmuoSyM4vnJ2fJiBcfXQ4zr1fqjDz/67OGDu/fudV1MfN72iYyLSa5eudI069g39fp8tVotVytn&#10;FJ0VgJBSgOwDIogGFCTTQnDY98ngGz8IWvOSP9eYlMMUOHEI0FOKhsFJF3aq6ciV1iQUIRjSSwc9&#10;hMtOI2CQjDVm0Pptwxx1+P6imlL69N69UVkW3mv2IY1RVVE1hJDFT0XhsiUSADBzCD0z5/gfFZhO&#10;xov5LPb1cr1kDnW9jl3nnTXeFdVIvCursl1fXpydJwaa2cL1kFj7kJKyQNd3J6ePUtuVxfhzn39x&#10;Z3d+enICCCJ8eX724MHJ2dn57u7i+PigqkpVSaEFSEQACRDBGBKWPoSu7/rQbxllJAqj8dh7f3J6&#10;2nfxs8/uf/DB+23TirD3Piu6nDMxJVIaEkWJhnNeB5QyJQFQzpCGAgAj0TbNGjP9TwchKqiiN5Sv&#10;WTJGnDUIWXe53tRN09x/+PCzhw9m09l0MnbeWyLIngyZZZMbRwFJkkpDCioKMSVIKbH0MXFMkhgA&#10;QINBYlFXOGaOwkE4xkiI3loAQLLGejCGY0op48mMBlmBYwqRBUkEgPyoKo+Ojg72Dxa7e7s7O/P5&#10;fFS5HGbhi4KsIbJkbGYBGFcgYWmrajRzhTC6w+MrF5frs8s1OiBrUxdoMNA0gCAqaAB0YC4goChu&#10;zXRyrjU5p1vnVRhMqQBBgYwVFkN4fn7605/+3Wuvffna1QlmmhQSkYl9VM2SICS0CLTZ1JPxJPKQ&#10;ptf30RJFzegfdF13dnZ+ubwUSWXl93Znx0eL69evzOdT712WJhuD2Y/BGEBkBFXAJMiiMSYVyTkP&#10;oWkQAQktGWCWfGxJAmVQ3dT12enFcr3pI7ddQGOTaIhhNBrNZtPRaFRV1WhUAahI3isiIp2dnl2u&#10;TkfVqPTFqCwic9fUIrCYzawBS/g7v/MPr109vrw8I4OjWG02K7JoyaSYAKTvutIXTVsT4pWj41vP&#10;Pbczm19//do33/gGGnLW4Ta7UFVDTENCCUBGNY2x2Z9wkOEO+rIt7JR9k1QIDcIQY5TRmBhCXW/q&#10;zfry8mJ5eXFxedbUTdO2feh0ODIQAPJYAIYUIGYmCWJUSKwXy/XF8rILsWm7EGNgATJMiNaBM5lf&#10;kLUCKEAiB9PZ0cHhfGdnVFXe+ZjCalPHvg8xhhDX603TtgORFFUxzYryK6++jJytY3MCUPYLROG0&#10;3SBBFirHlEORlVPKEmkEODl5dH5+wYldzpISqcqyKqquaxHQWlM3bV3XMWbdgIzHU+ecLzyhCV2o&#10;12sRIWer8Xg8nRJRiv0olnQhBWK/XDOnE5af8M+ePn6qazZ//+Yv3nn33cvlqu17EYhhqfpIVAHN&#10;bDze3d3xbvf9X266LiDayXRsyPSs3XrTG6fZO4MEFFg5qXDmQ6LJOzL9Fc+Y7W9UWJiT9j2xaJIo&#10;fVD76cef/ew//OLgN79tSy/C1hogBQBLDpFU2DrnrTEGH4fzAuDWMurxTmvw/rr9wgvjySSmlDh2&#10;faug5GhLOWUwoMLZ/DDGEEIA0MoQALIKIPx/VL3bsyXHdea3LplZVft+7n3vRjcIAgQIkBRFShQl&#10;62pzImzPjGNG8+AIP43/Atv/h/3gRz06wiO/2bLDY0eMTIm6jClBpERaBAh0N9Do7tPnsu+1qyov&#10;a/khazc55wkHgUafUzsrc+Va3/f7isKOx0PjkInW62XUZtV1wXvrnLUDBB0f31x3sVlvrrctliEC&#10;pSgShRBAw/zy5fL6cjQazY5O33zj7N13HgBQ1/rz88uf/OT/u7qcr1b11eXV8fFhURrCVFTMmO23&#10;ZJlTipv15vr6Gg1NJhMAJDIIUBRls2t/9Hc/Tknn80XTtlVVVZaLssgRqMjEYAAxBlEkazikfOeH&#10;JD3UUVWTpv74R+r9iAj52O7ZIntecN+4Y2OMyS+gteJc8gAAgP9/vksxxpguLxfnL68YkZkMEipq&#10;T8cg2gs/QUWTSJeSGOdDNKoKGBMkxSggIiEmRo4xsQ9Z6K6cTQUYklo2SVGiGiafoPNJJamIY+cG&#10;JbtyMj2cHByWg+FkOHKGzk5OppNJURTWWMwIfwg5a7W3tbCzxgCydQUxAzASM8poxHcfPFrX7cuL&#10;S9ntqsFAohDsId6I1LsnFBBM9l4iQ6//w/5pMiZNmW2Wx8kAmJKgCqEaJgT59NOP//T7f/qf/JP/&#10;/OT0DAGQUGIsnM2aSyLKRF4CY9gUVZVSXC6Xi+v58dHR2a2zZ59/7gp79/T2wcG4bc5swadnxydH&#10;R1XpXFGoBACVFFViCgkB0DAax0SqSZRVM6tcJUQE0dA221VTb6PE4WDQ7XYxdDF0KfmYfEqpadvV&#10;qj6/mrde6jYW5YCtnR3OEAfMFGNIyW63m6bZpaSIOB6Ph8NhXW/Xq/VwMDRExrCzNo1GkhRR2ZC1&#10;BOje/9o7IfwX//b//LePH39ydHTYtDtEvL64fOcrX377S18ajYY++Koob926PR4OTb505nEEkUIe&#10;LyAiiyYFyLMxVRXV1JtzlQFNj4TK18scwICMnOdGMYS2a9eb1a7eNc1us16vV+umrdtm1+yaLrR5&#10;0wCEjEHOZAdkDiIhSlLpurCtd5vdrokhKm52u7pphAiI2RUxCbFRIrCsplfaqYhB1M5/9avvv3kQ&#10;xTTHAAAgAElEQVT/jePDI+eKpGLYlGVZbzcff/Sz0fTQFbZpu5hiTLJZb7a77eXi1cBwwZzV0jGq&#10;JUTgPJhUFYWkQApGlAA4exBBhYlFNMYkCbbbXYiJAFKMCOisNWRiiKBgjLm6nhdlCYghxvHAVFU1&#10;mUyKojDGWOOyFHu32222W2PdaDRKKQlEQEUQjKnd7lSkAf7Z/KPvzw7aZvfs+bPdbrfrQl17IlKR&#10;pt6qSgxR/TT6djadnpycHRwcI9kQtdPYJGl92kTxMcWkZDNGTBVEoQdY9v6HlPItAbT36uV/kJhQ&#10;EqUkSZOPTZArpX/3f3//+tX80aM7X3n30Y2bR0k9MzssDDExOGuIIIvG901UgkzMVAGEnCaw2Wxn&#10;s4PJZFI3TRTp9zgDTIzaa9+RUBVTyuV4yAKLmDhnz+bJETM5Y4jAWRqUZdfy1dXO2Mq5wlh7/823&#10;Jyc367Zp6/b4+BSLgfqASIgpBS+x9d160a6a+trawrrq7oOH0/HhaHjf2WK7rUMIj5988tnnX1iL&#10;o3FxcDhy1kkMXdMk7401jDQcDIAwUzDrul6u1s+ePV+vNovrFQCmlIbD4WAwmE4n5aBiQzH4/IA7&#10;n12YkkRj3UrqD/XcdhbJrg59/S2IGqasK83iOoXezECE0uP1cqnTpxpWlUkp+Tzn4IQKmrQXL75G&#10;9ueP5pf6mygAbYg2SlSMCkEgJI1JYkySIiHHtkUkW5YIQLbIW8Dh6Wnb+uv5itG0QRDZlWVR2NnR&#10;wfHZ2cHRye17DwajcVlVlrgsrSOyhlUgW7hVA2NSBBFNAsYYawvijCc3SEYBJSZjGYiOjk/Obtyc&#10;zg5SSKTkmy7FSMiokFSIeU+tpDz+Zd7bJnLdzoic8TtZ7NJb8xAoG2YRkYk3m81f/sVfvvfVb5yc&#10;nGTkQFEVMSREKEsrSZwtQMUas1wtXr24+OSTTy4vL6aTyY2T4zu3bg5K65wdj0fMecKlxuZRWzJM&#10;iphEJIUYQoqREIkKVCUE6UlF4mMgUYIkqQvter18fn192XVtVRW+8yl0KXqQTMdLQBQiNvXqYr4N&#10;YoZjnU4ng6ocDStUAaCmrpu6jknKopxMp9GHf/jk79u2zhLBoiictaAwnUxygcmcY9ng8Ojw13/9&#10;2wjwx3+8iCl89d57b7/91te+9sGNm2cHB7PBoMz6AmaTU2DzSnr9JCUPnTG/zKKq+YgH+g+gxYiQ&#10;JKFIXpiiQqLEnFJcLBbLxXK1Wl3Pr5aLVd1s26aJIYhIXsQJUp8+BCAITOxTAiAm3LZt3XarzWa+&#10;WG7r2idVwhxtwa7ULOM2DAYRGQgFIR+DpEBJQ9tp49+8/8b9O3dtnhUBg8Ly8lKTYEpGhVMcOVuU&#10;47KqkqTlZu2eas66YcAQvN3bclQgR8Pv6ef7GSESYh6dgah6H0JI6/UacmR4ZgoDAMBmsymKwnuv&#10;ir4LIjKdzAbDAREaY9q2FRFri7Iox+Px7OBgtVp1rVdVa812l7z3heHQ7CjHZqckqh/+3Y9SStYa&#10;sq7bNN6DJB9j67s2xUBIm82mbXZt0zx8+GAymQrAtvGKuGiai9X26fmrrgtgXUyiCPIacAgQJe4d&#10;EXlJpD6bLadMpggpkSZMAVKUKJ10q+R//nM/v7r86U+PX7z8xu//we/evHHMTJbRGGJGpL7f0Ns1&#10;RUETkRGBmCKQ5tV4dXV1cnI6HA678/MYogI4V4goEmT7rmYGMECIIV93chsq+7dExPsupWiYqShF&#10;wmQ0PphN63qbUnS2KIuSjPXBczG45ZwqDkcjNNaihZQktjGmqhwAQLurU9ds1qs2xOXi8o03vjw7&#10;OLt372aIooCnN0+ePnn803/8yWa3Y+NGQwuCRTHkakgA1pokcburY4wKcHV99dlnnzObGKVtWmPc&#10;YDA8PDqsqur09ExBYorrmHZ1TcSwZ/JneamPeZSgPQEoSy37MNCsjlZElZAwUVZJ5DeROc/rMRsO&#10;993IfjslAEzJGasONAkjmgzGZ8zzCjQZDYRKmUcJ2IW4bTuXogSJgm1IPggAJEVi61NiVzhXILOS&#10;RkgAnEK8Wm5Go/Hs+GR2eHxweHx8dDQcj5hpMKyqYVUNx8PJLHvIEbSwljQxM6gCEBuXkmejRCYr&#10;VtlaJE4p2w/34lTKEEIcDUfHxye3bt5qNvUupqIsuiafTIJIzLwXS/UubkLKTQl8/ToTMHDPDEcU&#10;ENj304gYkUUUwVxfX//Z978/HI3e/cpX8nK2jh2YZtc8efL4k08+ffny5fHJ8Z27t89OT05Pjtqu&#10;mU4mZzdORyM3nd4NwYskIk4pgGqKYpiJSSXmsi7F/wDiCwAxinVF0hztrAjBt9vkN7vt1eXFp127&#10;RcJ6K5KxfZCYISPkcukwGLqHswfF8HA0OTyYTaxj51xZls65rg1JUlVWVVX99Kc//eKLF1VVucI8&#10;/NLDO3duZ2Wn94HJAABRLwMqCieCk8nkN37jN27fvimaxuPR2dnJcDjoUxokg0BQFUQxf5s5bKo5&#10;qPj1iJ6IsA+Uyu2M/S++B+sCILRdu91u2t1uuZyv15vNarXdbrNkLvi+KZWbaTFGJWRiAVQkQUwq&#10;XUzNrlmv1+t6F2LqQugyIiOzrpzJvUjMV1nDKYkHtcz5sMu9AwCRJAbw0Ztfun14fHZ6CiJscDAa&#10;I8AXz549efz43t07X3/vq7mXnaHJzByTpNh97b13i6IYDSqQxESSdXLZ64OZY99DIEVSLxLpVf39&#10;13q9Xq9XKUVUIiZCzTfO7NqJMTGZ8Xg8HI6cczGGfLR477NXF5EySXc8HjObq6urrmu7rt1sNymm&#10;ruvKolBNMYbRaLRYLkej0Wg8mS+XoVNVE2PqWpGkKhAltakRZ0Xk8vJyMpucv7pYrlevrq8vVqtG&#10;cO1jhNxsz3eXPM9ERY0p5hIjkxNzyjRIQkkoyYiQKqqgBoFIKAChbTtIASHVu+38evn5Z69u3rz5&#10;q9/+xnd+7V2FhEjee0LtD2RAUBDJoOssO9YYU13v5vP57dt3BoNhVVY5xNaVlWGjqnVX696FHvZh&#10;8rInqWTUY3YRFM5ZQ6PRkBFFQl3Xk/GkLKrr6zkxjYYD4knThV2z61qvCvV2N6iGISkBHh2fnZwc&#10;AsizTz+m6JttHVKkFK8uni+Wi9nR6WR6QmxnB5N3Ru8d3zg1xE8fP37+/NXZyfHB7JBRfNfWzc6H&#10;pm7qy6uri8vLptm1bUtIiHj77q3RcDwcjlWBiJbLxXa7Xa5Wry4uOh8A0RiLyHkGnBLEpL+Yesoe&#10;Hbcv73LtkzIQck/eBESkLHz9xQaV32PMGo2UEJENW+sQMcXEuYuXTRHZmwSIDiCbezJmXEGbLgSJ&#10;mlLXxbaLhETIZNEYjk3LRbVtGraKBkVhNCiOj88mo/GNm7dPT0+nB0fD4Wg4HhfOqYJ1hgwhcW6+&#10;MlFhjWNWiYRgbRFFKEFU289JREWyUxOiKO33X0RwzoGAaBoORwcHB9PZLC9apgxeElLJ8pL+gAFF&#10;6qOW908s/5/yvY97ZQDm/wpUSJEAgNkG70ExxvTTn/7k5OTkzUdvOOuCj8PhcLPefPyzn/3wb354&#10;dHj8ja+9f3rz9OzsZDyZGDZJYlajG8aUfJazxtgC9n9BNlpknUX0XlU5U/+yPVKEiBUAEa1BEAl+&#10;l8JG4zY2q9StSDtHJkpUg5qSpggS81xXJFbF4PBwdnBybzA9EzCS/HQ6Ho8no9Ho5csXMaVbt26O&#10;hqNnz57/0R/90f3793/1V791/979u3fujEZDY0xWyubLr/ce90A5ESB2hs0HX/saosQYrWURyQdM&#10;jJLtesFHYBIgQEZiyHM+AQAmgtebZ65gsyrDECLSPqAotrvdbrebL+aL+eL6+tViMd/tdm3ThhCR&#10;lIgzWCzvKRYNWRNVPWAUEVAvqW7b+XK5WK+3TRNSiqLZAqb5Gsvc64mJk2hSYTTKnFIk6AMbdC9T&#10;0yDW2nfefOvGwREjIUAIYVgNLXPXNNeXl4/euDesSkQlYudMBjEg0bAqlKUsy8KwSoSktI9Fkdcz&#10;T0QkEEmJSbONZl/3J0kAst1udrudqqrEohwOBoPj40NVXSyC9x6RUkrD4aiqypQkhF2KcVfvQgiq&#10;vT6wqirfdb7r7ty5c311+er8nIhC8Hk7CcHnIn2z2YjqZHrAxqUIInTz9O7V1cV2XYOCNTaKB4Cu&#10;8zHGy+vr0WQMjM+vLi8XS6+q5UCdS4qacdSQZfF519KeoAgiSSjPmkUwJYyJUlIRAJWUUoyQAqrk&#10;pWFMMZmUl5eL4OXDD/9hPHr25Okzou69d992zhrrVJMoxqQAmm+eKUVURcIsIfHeF0UxHA6LoiyK&#10;wlqbT6N8actgtJwQF7w3ho2xfR+vz78GQsgOTFA3nUwRIARfb3egbC2lEL0qTybGmph0t61jSlOY&#10;kbVFUVrjGAa+3Trr7ty5Xxn77Oc/D52SM+PxKErnW+8vfJQ4HM7YOmfc/bt3EM10Mvvk44+ff/Fs&#10;fr2YTUfGYEqxabvPn7+8uHjlg++DUggPDg/ffOvNtu1Wyw2ziTF99vSz5WotSTabLRmjiogdkclS&#10;XgUmtqqYS8CUVEShB99D/pAQQPPFhPpniETGsEBf/OWTJpvrfrHJMjt2qtIfKggGkgdBUjIINiON&#10;yRKjsZY0mZQwxS5EUSXkTdvFKOPhIE9p2iCJzGA8Hoynd+7eOTo9uffgflVVg6oaVFVZFM6WRATI&#10;xAREoGQMRQnWugyc1hgJFVQI+/56FkorkgAnyT14DCFKDCqJuA8lI8rZbRmobGaz2aOHj+aX158/&#10;fYpAkBNLJAeQExMriKoYk59XBADuH5DmU10Bdd/GQWLMbF+2MURjCsuFcw4AN+vVD37wZ0+ffnrv&#10;3r2vfvX93/zud44Pp+Nf+fqjNx+MRkNrXVmVAEkAiLQwRYq+LAtENIa99zF2xASqIhGyrkCAOZ/Y&#10;zLSvxPdeAcS98V5T9A2k0NWbV198srh6rql1BRsk58wueNUoscUUmQwzW2N3PhFahTSZjMrBlEmC&#10;b4nw/Pz84OCgqoZPnz79kz/5kxfPz7/zne/cv3//gw++duPGGZBst9vBYBB8EpGyxDxbyj9SCIHZ&#10;IgIxWmtSisaYLNjPXW9ECD5B9rshA6oABlHJq3A/IcyPnfftEkJMKr7zdV0vV4v1ar1Zr+fzedO0&#10;TbPruk4ktF2Tf4bM/04pCqgxBhAgJi/SxVB7v97U63rrQ2iT33atQg6RI7EmJ/aiMXm4zNYim36R&#10;WAaFIIJIyJxEFLjvOANChNQF56qCTbPbQResMYZZQyrL4vOnT9td7Qy1u60xPBgORmXhysIwOeeS&#10;HkUSRFwtlhKiZZPT/fR1tfhLX/nNZqYAkEUxIYRsr8tzi7Oz0/FkOhgMY4zPnn0RQjTGENLNm7eJ&#10;uCjK1WqlAl3b1XXddX4/U8cQQk4rwD3pfbPZqKpzpmvbnIFhjElJq8EYkVSpacOd24/+1b/4r/74&#10;j//nq6tLRvKhdtaBxAxL8MFfXV+Xw2q+XK1956qBIrJxubnR/465SAYFlF6lKtnUCaRAIq8zYVKK&#10;KJoEUlLxQSVR/+e7osBbt05jNF0XXpy/vLy+aJqrk9ODu3fu/uEf/svRcKgqxhQpeVHN6WUKCRRC&#10;8Na6onC3bt0aDkcAMJvNRqMxZ3E82wRQYumTX6/XhbXVZKKqMXpEyEhHJibCorRF4Tjr6YnzYX/z&#10;5m2VBKDDqnr58sXlxeXN23fGo1E4OvIxEtN4PJmMZ13rDUJN6rt617TD8eyb3/ruRx8//vzzz9sY&#10;bt65WQ6HZQXPnz1hLpyrDg4Oq2pQVJPxaPDWlx+9+eiBtebp408fP/5kPp+vNsv1ZpsUnBsdHx+c&#10;HB8wc1EUzHY6rZwrf/SjH19fL7abXc8lYJe1Y8aYPM/rN969RfWXl19Wer8u/nILkWEfrgyg2r8U&#10;oAAMIjmhEhWRmK1zeb9SzHFxRlWNBSCE0nDF1hCLKDIqqmGEBEmCb1sylpwBoJA0hCSIbCwqlI6M&#10;dTdv33705pfu3r07Oz4cDIfMVBVldlla4n68jqyACmQcO3IxqqIyERhGFZLUNjUxa/DWldZaVUqa&#10;nf5JRKKAKhBb1RhDcNYAZcyUdc6JV2I7OzgcT6bGOGsjKKs2qMxsFCmlmKLP8ySDvfBu30nM0WmU&#10;pC+wATmbnbOazFiT11mMPqY0mUwePrj3+7//+2+//eUbN25VpbPWDqpiOhkgM4gkTcy2Cx5UfdsY&#10;wwhJBYB012yJOMYQYxpUg9hFQmAmVdUk+e/Jt3xAw0yAIBpJe2ivZeyasF4s5hdX29VyPCxLdKQs&#10;USEiCLIaAmIgRhKk0tmz41t33nx3OD1LSr5tR8eHxDQZD4ui+Nk/fvwn/+v/9nc/+vFwMHr//fff&#10;fvvt2zdvu9L50DIz9JSa5IzxTcdE+a5gkPYkbO26Nm9VXddxj8WFJGIMFUURVQCQs9J4b7jrrVYq&#10;fVS79nSgtm2Wy+Vytbq6urq8erVarupt3fnOGhdjSJLIUg5kzbf5mDFNhj1A13Wi2jTd5WIx3+7q&#10;XdP5TjIxjEiJuXBJNaScL2BFlCwjYErR+5i9bUk03wMAxDmXwQ+AmWQHEGLy4eGde+Jjs/NUVcIR&#10;q1JEtuvNxfnL0lnftDQYTMbDyXhomRCFCQm1qgp0Zr1ZG0QPotnHJ/s3OocB/3Ll+Hp4uv8S0dZ3&#10;bGg8Gd29e1cBRGA+n3vvATBFGYxHzhV7upduNpsUogTJDi0EIASJMSSxzIur67Ozs8lovFmuAYQB&#10;YwwAUhZFNRxuNrWqdF1oGw/Ax0c33n77q779nxxXojvDTjX2nQUR78Nut6t3rTKDKQJgSJGjBzSc&#10;EwtE9vZYAUioggCsSgoGlBU0RMxAzhgxBBShBCwUEubcF1BQjUXFk8msa7Fp0sXl0of2Zx89eXW5&#10;OD9ftS3+3u/+7ltvvdH5QMSKMcXIJFkyasGqADPPZrOydCmm0aAyhAgqMQJRvpYlSaDqrMv3TurD&#10;RUgkicSYxBgwVZHP5npbd613zpWucs6kFCSFwWDQts12sz44Oh6NBp2Pg+HYOhdiEBVXVKojSdG4&#10;EqKc3L3/B//ZP/vzP/93H/79Dz978eLO3btnZzenozHa1LRtarZVORwfHg7GU2NcURZlUb7//nuz&#10;2fSHP/yb5Wpz796jN9/8EiKKxhjasrTD4SCk2HUe0L/99ld+9OMf13UbYgJlYwtiFtUkCZCMoZQ0&#10;iuxDFhByzjBy0JTVXb985qhottHllx5UU4I8w45RZJ9Nn7dTRRSVKAnywNOY6L2ZDUoCcmQKZE0a&#10;Umzrpm52ueJAAMuM1iXBIFGB2q7b1rvZbEbEh4eH3/ve9x48eFBVVdZ5Zb5MltwUzlLfE0UgFCQg&#10;RsQMYS9cAQbYkIT46tX50yefishoMrn74EE5GEcskSmDkJlNgQRqQ+i+ePbFYn59fDS7c+tWWY1E&#10;OYnkM3w6O3j48NH88up584Ubl4++9Obtu3e7LiwWy+VysVotuq5tu0ZC1zsgkPYBmvQ6RxkAiAgU&#10;ADP4BB49evjB+1/79q99+8G9+8Yaa52oTKeToiiYjUpiQgCwzsUY0SAKxOgJM74CisIhKDLNF4u6&#10;rieTsXPWGO5fe0kWTeYB56pQVBDRWvPLUO7gO5VIEj76x58+/sd/mAzM0fTAkDIaFGzaFggZXeGc&#10;5azDhiicgJbLxe5nP3vznfLg6HRQlRL9arlcrVZPnz79ix/81XK5+q//9b/+9rd/fTKZ5O0phpBS&#10;ssZ2XQeq1piUUuaypJRM/21fBGcGc13XIXR5T8zBYpB9kSICyRibnY/7WzQoiiRIya83m/Pzi/n8&#10;arWcbzeb6/nc+y7jUnNXBxF9yGNq23ivCMgUMws6SeP9fLG8nM/brsuKwTZJXmN2NEZQRSI2IaUA&#10;iGxdYfI2TozZnwHkiDSbgCVFRKpKG0LIoIr9IFMlCsQESettvdts1cew27Hh0XC0Xa1C14pERHN8&#10;cnTrxiloIhAfPASITM0OXFcORkMDYBiiAnG+oe7PlQymBWDV1yZExH40lVLyPqSU1uv12dnZrTu3&#10;RRWJmqZZLBYxBkS+d/f+jRs3nz37Yjqddl3XNDtQkJTyACY7TrI+KEFar9aGzWazGQ2HGaKjoCH4&#10;orDMuFzOQ1TiEgB2u9Z38eTkaDabjEcTQmO4BENd2OZVrSp126Qk6806MiNzAjSuhFwdq0JuuWvP&#10;8WAQA0CIKkqiCAlFfNtQ1jOFpNGnlDABRCFABcrc8/V69eMf/+iDr3390cO3iYvxrNxs29WiefVq&#10;/vLl1fmLqw//9u+Ojw//6T/9T999763JpFKV7DCOMTHZqGk8HmuP3YSyLLO1+LUjJ6TAxJbNarX+&#10;4otn4/H4xo3TwjmTO9qgxpjcf2E2vuvapivLajgcGmOzKqPr/GQyCSGsNut6VyOxIgHh1NkYfdN2&#10;zhhVMZZPTk4JcXp49O4HXzu+efzlr37lgw/eu3Xr9o8+/Lu/+sEPnj55+qVHD2fjSZtCG3a0umTg&#10;wWA4mx1OxpN7d+/cvHELgJ49e/bhj37cdeHsxunR0UnT7B4/fp4khuhD6ADg0aM3j49vfvb086Zu&#10;EDGvGQLIXmpik3/9vLwBBfeG5l9efvnEkJRSUu63K0xRAJXI7aXmAEgZKKeqXdft+2RsjKuqqmu9&#10;IR8K58B3y+02+aAClrlkLMrBdDopMkchqvex3mxdUZpd2+5amEKOERpUJRtyhTXGpCwnyHs0qmWS&#10;GEADAlhTJcAI0HZtjD7Df/IFGEDYUPCdaJrPu+FkcGzY5CSPvJ1xdpdSFLFsYgjb9WY3ra0plUiJ&#10;EKkoita20+n08OjoxYuX3vv59eLeg4cHh6PTs1NQaJp6Pp9fXFw0TbPZbJumlSBEnL3h3ns0bI0D&#10;gLJ0hnk6mbzzztvf+c533n33nclkUhTOsMkcHOZc4ABIzovNwPdEmHPSkJk1RVFlBtUEgCgS2o6Z&#10;jbG545RCLEoH2mOU2HC/J++bUdiXE0kVU/S+a0OzCX7HJIw5fFx9F61zztogoilVg4Eh8sFjFmsK&#10;hhAT1E8eP45RT45PFPKPZz/95Ilz7p//83/28OGbw2EFICEkovRaK2KtBUVJ8Mv2xpwsBACaIfDs&#10;RGKG8GdPg6oaY/Jqyw+BUQGVAJPkXRVWq+V6vX716tVyuZxfzzfrZdvsfNfpawKY4Xw257sPEAQV&#10;ZeMlhs4ngbptrler+XLZ+C4KJAQkJmPUUcoVmbVKmLVWEVEETW6/5m5c3nBFIdPWQEGAgCFBTDEP&#10;iPIZiaIxRgcEqqHtXnz+7Gw6GxgLlpeLxYsXX1RlwQyrzfLBw/dPTo+VlACChNx5yDwFaXeqiZlz&#10;Gl/GjUtPf9uzO5MmSJhFvAjOuW3WFygowOXV1ePHj611ZAwQNE3z/Pnztm0BoCiK2Wx2fn6ew0UQ&#10;sWka7YvO/hqU+8CvhVJd19V1/RpjHHyAPUVYRFOMqrFtdkgOAYmobXZd55mZkBXJCEuK2RcCAHVd&#10;22HlDg5RpJ+t5YhYjajKWZWuiQBIwWYyQSZN515M1yqChKgiuZOmIKDJIChgzrMmxK5r/+Hvf6Sg&#10;77773u070/k1G3ZEVNfb+Xq+a+vNdvNv/s3/8vWPP/jeP/m92XRonUVkZE2aXvsuEcEVNqUEoDEF&#10;JkaEnGdISIWruq47OTlhZsOGiXuUpGbiOFlDksR3viiKqqrKsrLWxOivF0s2liUZY0WiD23WSRLT&#10;YDg0XAyHA0BlRxaMoirK1fxlWZY3b9+aHMxu3Dhz7L79rd+6d+fNtq53281nn31ydXkxKFxhuGv9&#10;euXbZtdsptPZYVVVxtqHj964e/fOX/3VX//88ZOry7lz7uJyXjdrVzjrnHMMyNPZYdLPjXMpqrHc&#10;Ra+gaHh/iiigqibE19ZlydLaX25iiwgxYS/BQQRUEWdtiko5+kgSqLAxkiAbSlISYjRsq3JYuKJt&#10;vFlfXVoiNmZUDW7cunU4O7h56+bR8XFZVVVZOGfr3e7TJ5998vPHwXtCbJ0L3hs2hLDb7eq6hr0I&#10;yJGN2dSGgIChay7PX2xXC2vMvfsPitEsBF844xxnlKkqJJUUJMUkKqASo19cX4wnE1dMFICItQe8&#10;ADEOBtXZ2VmK3asXL54+fvzeBxMix8xZYDcYVLPDg7fffvvV+at6U3ch/T/f//5gOJhOJjdv3Dw6&#10;PpxMpkfHp7PpoXOua33y8fz81ePHT168eFWUtqiKg4ODP/iD3/vGN75x6+aZswYRi8IyE6AwK6L0&#10;8jNUotz8AYAcLQMAoKnHbGbThwLkcB5EzGT1oigAoG3bqqrKqtQoCCDZFZb3FqLkQ+jjeyl7BOp6&#10;KzGGrnny5JP51SvDgNoCGeRe4QHIlsmUzscuIiGQj9qGtAtJiG3S5Xwp+vn11fzNLz1E5JTke9/7&#10;3mg0NsYQsahKCIgsqjF4YzmfkaD0+lz5pXaN7KOFNQepjsejvFfkV5fZaHZVpWCZNPqmbbbb7cXl&#10;5XKxnM+vLy4um7bpWo8IqnnQkPI7nNm3moHc+wPGh9D53cVitVhvmraJAp2kkBJaA2zFUJ7AqmHt&#10;d1ISNqqo+d6UhBUBSHMqBfYSzN7Lmff8lIcEmG9/KoIpu2dS9oWmGADk+vrq+bNnp4dHMcXLi3Mf&#10;/GQyMoYefenhd77zbWMp+MYa3utys4MLRfR1SNR+p+t1JSICqqj5QNXsiKGskAQIMTa73atXF3/7&#10;4Ycxd+xEY4rz+XyxWBhjrXUPHrxxfn6+3dbMJk/OAODs9HQ6Hn/44Yevxy3wS6DJrmuds0VRDIYD&#10;kbTdrERzsicfzKbL1aaua2MqAJOSbDb1J58+2WxXVVUcnxxdXb5Q7XwKKmKLQnVn+6hAZUTBHnmX&#10;RAmEAFghqYgqqZIohghJMu0kSQJNWTyXYkTsGXMACSkyoCBqQAFEpNyt/du/+etPPvnZW5MGUaIA&#10;ACAASURBVG+99cEH3zw64vl8vVyuNpvdrt5dXl4sF9evXp3/4Ad/8cH77333u7/+wdfeV/WQDbpE&#10;PnhmzgAnRMxgTdxbFbquE5EiR9dZWxQu75eqkOcY1jJI2u0aIpyMx0UxMMaG4OfzRYxxNBqmlEbj&#10;yWK5bNq27bqDo6PRaNg0LaLPgnlnDUL0vt1tV8+efuK77s6du4fHp9ev6Ozs1nh0MHrrkBAkhXfe&#10;++rFxcuicsv18tmzL0CgLMrlcnX+8jmzSSqTyez09Oy3fuvXvvvdX19t/F/+5b9vm7hYbJt2t93V&#10;gGCMpb6VjUgQ9nVhT5TPpUZW9ykQotJemtx3sfsaNzNzDTERAWTYFXZdV1aDEENWqyJD3CvSMlqU&#10;gO7evkemz/0zX37jjdF4dDCdHR4cnh6fDIdDZ+1oPM6gPuccM86m08FgUG+2QilvnZzBbArr9RpU&#10;ehpbTipjIxJBZH59df78M42+sHa5qE4Ka7lUQgEUpTxqyD1oYEam6DtQ2W5Wbb2eTE4BhGhvxce+&#10;7iyK4uTkpNvVm/VqtVxNDko0WdQDxtjpdFqv18PhcLveNrtdXW8vri6N4fNXL4+PTwFoOBhNx4vp&#10;dEZonHUPH72laG1Rjcajb33rm7/xG78+Ho8Gg4ExxIiIkiTmK6RoAhBil2+QiL1PuBdv7juW+5oR&#10;YgxI5KzNN0cfo+61YcQcU0oxWGbdd0BF+nS/vCkYQ7njlBmkvmvn86v1cn51+WI6MEAUUycISVIK&#10;2PNLBOp651yBaLtO2kCKxWg2HYymbAeDajQ9mHU+FGV1fOIAoJeKciYtqsmN1ax0wKwQ+UUJnAtk&#10;Y8z+UI0AikT53+TMD8NEhCH43qgWfNfU683m+vpquVxdz+eb7abt2qZuFHvliQIwMaEVlQA9k9HH&#10;6LMhWMXHsNlsF+t13aVt2wgAG6vE6AowRglzboxkKCxmFhAJkvQ9UM47SM7o7bEzfQW9f5O0v0dT&#10;ls28/iQ1ShJGVEkxBlEJIVxcXljCdrdtm11MsW3x7Oz4t3/7N8eTAWBUFQCOIlk1kus+ECXxRCwK&#10;GcHHbCDTBrPDSXUvswLY9wBUIHNan7940TTdYDBMIoDou1DXu5QUICHGq6sr772C5lo7q2xf60Ty&#10;tpIbm9Tn6EAIPsYQo8/itXyBFpGu61TXvgtABgBiDIh0fXX+849+0rarJO3l5bbdbRHVGAbAru1e&#10;S1Ey2otUAA1Bkhihd/oApIhZBRqT+gBJXstjRSTfJ1USUma+JMCIGHNqMhpEpXxIW2tYXb2pf/7R&#10;R6vV5uvf+FZRxKOjajIuVks3ny98F1erTdfGv/zLv3n69Lzr6ORsdnQ0mk6GnY/GVqqRDIHEfMrn&#10;x5JSyngn6J0xCUSD99mqtqcDaAwRVIyzg8FgNBiBYkpxvV6llJwrVCFGMaY8OjoBxKL0zhZt1xYF&#10;x9gRsTNGJHVtvd1uYrMa2tSs5p9+dL1Z3Ts4OCuLweDmjNACobHlxBVuPCkMHWzW48FhDMFYc311&#10;eXV9FUJ3eTn33VZkN5tNi2JyMJ3+7m//zsOHD//6//3rpu3mq8VqtQ4pIECKwVqnqjG02VpuDDJz&#10;xr/l9zolIcRMI3tdRPZdsnybVgTA/EERUu53oqIhCwQpJUTWfYVNgCogIqTo2AUJFq35L//VHxrn&#10;bA4nJ6T+yKeew0NUFoPZ7KCqBmyctt2+zhNEQ0ib1Tp/PNAX49luAqDa7Dab1YI1BMaXz1JRDsZH&#10;Z6BZqaaivQJQkYpyOBiOl+2OEEmlqTfRt6aqELL9Q4mpt98xD4bjm7fvENMXz188KEdDk1tWLJDK&#10;spjNZvcf3N9u69V6W1ZVE3zXdS9evFyvaueqlMSwGw7GuTb57/7b/+Y3/6Pfmk7GxjKAFEXBjD7k&#10;AAJUECIwhrK3yFkDQDFzJFFE+4vH688DGVE1CcQYcpkaU9IYkkhMQUFFUts2iOQKx4z5BoNIuVHz&#10;+hJjrc3hjF3XNvWucK5p6u12/ZOf/Pj505/9ygfvpBAlNQLShRC8F2Iim5I2jbemYlNW1WR6ePPk&#10;7Pade4+mhzeSWmLOzzBGiSGyMYAYUzJIxnBfjGDuCQCAikBOvQSATONPKTnnAMBaWxQ2T66y/qdP&#10;sPbddru7urqYz+evLl6tVovder1rdtt6h9Tv51EEEDArAhAUMQElAC+qANGH3a5Z77brzXa9rZuu&#10;BUIkjirATouKDZMxSUEQgBgoN4tJAWRffili6jfr/Av8oiKDjEPqEajZZgMo8Fr73iMcclsp4zQ0&#10;70IxpYgqF5evSkOT4QgJVaVp6rOTLx8cjIlAJDlrfOj1DgiwJ9SoAoiKKMSUJAkSi0RCylzIXGTt&#10;CWx56ZGqxhhfvnw5ny+yfFFEYwofffRR5sGklIyxy+Uyb4Kq6r333qsmH4KKZDuxK9x4PPadX2/W&#10;+gvZNcSUFCTELh+EIcS8NoqibLtUb9ZFmYpy9OTJx589eXo9vwCMKh4hEalzjpjXm81gMGRmJpQY&#10;CAAsS1SFqDGAYsrOx5hEE6hqipS0101m+VJe8q+rs18c7r2npXc4owEkUGBiAG133edPnzz97OnJ&#10;ycl7773/4I0316t6Mqk2q912211dzhF5s2n+h//+f7x5++Sb33z/d373t89Oj2KMzFYk5Pvi3t0K&#10;RKygRAwQciESYwghEaGxhIhM1IWYYiicG41GZVkCQIi+bf1yuRxPJlVVIuJ0yrk/WZbDaXV4cXl5&#10;tViOR1NmLlzRSpOi3+3Wy8U8bq+gXd8+ngnyajN/Mp+PhqPjoxNAp2TIMJOpBmNMMpsV4/Gh7zpF&#10;vXHj5mazenn+4vLyYrG4fv78s5PTw9u3Hh4e3memr7zz5S+/846P8dOnT/79v//hxcXFarUMMYBE&#10;0VQWw4xlI6QMe2OT7RqwT7bNhdf+vcjfY78L5CtmXmYpJWtdjNEVBTF59YaMQCrKKv+prmsR0RBZ&#10;YmfM0dGROTk+jTEkFWKjiASEoJSZpNaKgElaVcOyGhZltdtujSmIYtO0TIZIl6tV2/kQkzFoaJ/B&#10;q0J5J3IGgocUu2brm1pTAEMIJq8j1WwLtMZVBwdHm8U1aCCAZrtpdttZNZN9vgwiK4AAsSFQGE8P&#10;ReHTTz/dbDbj6Qzy5JaIgctBcXh0OBoPyaABU1UVE0kUZovICCxCSeDRo4ff/JVvvP/BV11hMuVZ&#10;lRQ8oDEZF4BgjIVeNZ0n/5ibY/30t5f2Z5EtvraR5zek6zwRWWtDjHWzy0xyAWVma20QT4DMRIDW&#10;WmbT25Q0E/pi9BJj8F2rKjH6pt217e7zzz9zzNfXC4JIECX7ekwxGkzL4YTZhijODiYHJ7duPzg8&#10;vFkNx64YiZJRhr4zJKCKyCqg0sPTcP8FmIERmNt60GdA6WsWzus+PjOrpBizs8J777uuW6/XV1cX&#10;V1eX23q73W66rk3eK0gSNezyJqsAmiUgqkQURNt2t2u7JnhArNtusVxum0ZAIwAYR9YAUlRhY4Eo&#10;giogEUq+QvZijf6oA1TEHDgLPa9MekmlqABqnjD3lxXNP08/7+oPy71QuG8RZNJM/58pMXW73a5p&#10;zk5OmHG3q2/dOHn33bdRJBvymdhQHyWw38kBAARApPegiYqPgal32oD0P7ACgJICoPbEprpuPv/8&#10;i6bpEDED1dbrddv6fJXMktPc1clY4kz1zydT8CGPAdhaAQj5iqAiKIoQNQOgIcQgubMuwkxF4SaT&#10;aXc5VxUASbHtVFMU5piSFw2ECkApZfQ7sGFmUpHkPTIToWoUBYgRBHOGLaT8G+ZTAwWyNSV/Lqqx&#10;9+H2JTCZrArKSm4k5PyRasKs7QRQFVIUSOfnz5tdvVlvbt64PRzZopgNx8GV7vp6KRLny3nrdy/P&#10;zzfb7q0vPbxx8/iNN+4bQ4jM1AfAaI+LAudcSlFVmA0CpIQiqes637YIGKNHxNnsQARCiGpBVELy&#10;1bAsSqcAOaWk2TVtF4piMB6Pt3WLbFvvEXBXNypJJaJGJp4vl+uLz44Pp4PxGCQx8GZ9sV5fGDtQ&#10;sOwssxVJzjjDrMBIViApSjUc37x15879V1dXr8bNaLG67ppPfIeuHE3N0XB0ODCjb3z9mycnt3/2&#10;8UfnL1+8ujx/+fwFgMbgJQXK/WdJ2VWPfexXPkn6Xll67U7D3N1gSQKqbDhvcUQMgHfu3Lt161ZZ&#10;Fl3XESMzqqoxPBhUdV1vt9vJaMrGTMZDQDKWTJCYkrAhYEZEw6a0VgQIc2VNRdHZorJFSeyMDYi7&#10;7XZXuJIYF8vVYrE8Oj7aV1LQv7AgzlprOEYwhqJvt9v1sN25QR+GqP2QkwEBMUymh8PhuN7OU/Rt&#10;s1ss5rPj2/klzb4HROqdn2ws8XR2OJnNd02TNDGwqhKSEhk2t27funh1cXl1/eL8lSscACgDIqlg&#10;WZaG3be+9a1/+Yf/4tHDB6qBKCEmYkXEGFPm9ItgUZT9WYIZkULa18f71pG+VjrvS8/M1BJR1d2u&#10;LsuSCC8uLzbbbS4ku6bZbLej0cgWzrcdIhgyVVXlm4GKgmhK0ftOUwTQEDuV1DShbXZXV5eT8aQy&#10;okqjyVFZFEpkXVmNpkcnZ7ODo+nssCiHbEogh8apMrEVYhHNvVRRYCQgNJSLAGUiQIgxAYI1qAox&#10;pj4fwiAgqGS2RMppf5lJZQynGFerxWKxWCyW19fz6+vrzWbjfdc0O4VEhLlz+FqanCcrqpAQRDWk&#10;JKDtLizW68Vqs2nbbbMDIkUWRLKWcucNMQEBoRL21gnIGwzle2P2agNk/kw+KfJdINOMUSUzS/c3&#10;hPynkbFveubDA/K4M9c80EsYBKE/aPKUSAGiJmJarhZtdzKdTKw1v/KNr0/Hoz0sNgcq5ntShin3&#10;E5c8niMiNiZIatuuKsp9qJcqCCHBvppXzdNU2Gy2y+Uqy+Vjim3XXVxce+9jDNbmO404505OTubz&#10;+WZTl2WhAqrStq3vfJYJdV232+3y8wfEXCvk3zSmqCCA+rqzG2Oq61pSAiMxdL0LyjKAxtSppqSq&#10;QswmZFFGSkhWRKRrgK1qkpSSqsSUmdL7K37/eCLuAdP7rx4YCK/TlBGxZDYqsX+E+tr9DAjKyEn2&#10;UUpK9bb+8G9/OBj+4+3bdx++8eaNG4dF6QZD1zZpPl9ezxcp6f/xv/9ffz4evvHGnd/53d96770v&#10;Hx3NRIGQAZQ4RzGqtVakSDHu5YsQY2gzDkRyF5YWi6X3wTkzGFSismua0XAECJ33dd0EH9quA2Dr&#10;SlW6dfuetXw5X3RNU2+3MfgYxLAZDUfnSZudf9G+InN5eHI0msyWi5ePP/37lNiYajw9KovKWFcO&#10;xmU1JCYkBKHWR1Upq9G3fvU7PjTL+eL7f/an8+vrjz/+6WR2dNhsv/Tlcba43Lx1+8at20j4yc9/&#10;/uGHf/Pzn39cbzYcQ4w96C9IJwKAJEkzcSNLLvph9n4Hz59OjjVjMnlnY7YA9N3f/M1v/eqvTiaT&#10;rmvqugaQGGNRFgezWQph1+w+e/r5q4uLuqmzwMxVFVmVbBfIIZdMJsdcSEpswRWlMZbZkLFsLAB2&#10;ne+8HwwGm/Xm/Pz8jTfeUIf7ZnJ+p6AaDmcHh9cvt/nl3WxW43rrqgliFvMwEOfLL4gtyuFwNPHt&#10;NnRd8N18fnU3eHZl3kf6wpUNoAIjqhpXnZzeuL6+3mxWs4PD/sIH6FwxqAZHR0fHx8fz1cp7T0wh&#10;Jg1qDEjCcjj4g9//j2/fuk0EKQVEBUwKqaf2ahbBcY9X3FehfdM+70wge86F9jo/pf3JnytWLcoC&#10;EOpdHYLPITzGGt2p9361WfOO+0gp1aotXbadIjrnJKUYQo40Dz6E0DZNvbi+fvz4SVmNDsaDs5Oj&#10;k6OTqqyAbTWajsYH04NjZCYyQBbIABkBzAZDgwZQsiuVkSRl3Tr0hyIT7PeBpL2QmHrkiyIhIbIx&#10;zNA0zXazDiHs6l3XtevNarVaLJfL3a5p267ruhA8Urb+aowxT8WASHMKtKTWh6bzbQhtCI0PQdJ2&#10;s2l82HVBjRXrgCib6pU5IAqi5lxbIqCsplNEQMCUFLNPNnfH8t7c+y00I8Ulj80BCCj7QRAJibSX&#10;KmW4dla+ZLuI5Lp6v9MpimT7oUgKIbBqSokB2s774K2zg+pwMhoTIoJIFGaWlLQ3BOSzorf9CCrk&#10;rFhEZmOttL4DBcO2b3LjL/Z5URWBmMT7oApIHEPc1PVmncmkkttl+X7ZdV3GmcTou+7/Z+tNe2xJ&#10;jiwxM3P3iLhr7vn2VwtrIVkkm01yNNOjJptNzQcBEvRBEAR0/z9hvkqCpgcDtCCoNTMtkkV2T5NV&#10;ZC3vvXr7y+2usbq7memDR9zMqlYCVcjKyuXeCA9bjh07J1U/yU8QEKHz3qll5qIouNeFg0RJB9AY&#10;Y8+SAhwEFLSpG2OMqkQOubUxtlmeG6vGknXkOw+QdNVZNcVlURZAUGJiw6qCKJFRgdLMHnv5DIBk&#10;UtoTugYRg0SqkFTaAkt6DrA3eBXRqMKYikwFNAhRCQ2LIBAAquh2s/682m43q9PT23kxmc729vdn&#10;oxEtFu122zVN17RN3VSLxfKLL7773nvfevedt956eA97i0UBiIjgnDWGurZ1ztV1VVU1czCEHCMA&#10;OOdYpK7rplUfOpc540jS2UEAIEADaIFAAbqOJ1me56PMVZnNnM2Eg3IglKbaVpXvAjpnSKRpu6hL&#10;NKvtds2Czo4OD0/zbKxAB7fu3rr7wFiLisMdEVDMsqKg7O69g6b5v16/WRwcToJw1XV3779ls5nL&#10;HFpHRIj07W9/9/T2rbv/9GBxefnyxfPHjx+lh36Qw0mCOknYG9MAJZXLalABE6n19ukp+9DULcdE&#10;6DUIKMzb7bbrOmOwH8AotHVz0YVE0MwyN5tNjDVVXVlyWZ5nOQIQRhaTBCUB0RpEEAgoYp0ZjXJj&#10;KB0XQPKh9SGMEUOIV5eX6TaIgBKJKBEQmryYHt26t7i8YIlgpK2b9dXFwdFtspkAWbLSZw4Ek1k3&#10;Hk0Ptpul7yrvgy/XIp1RB2gBHIDpH4S0SoFIAPv7B2W5qctqb2/fmgwACW2ej0ejeHR8fHr79Kvn&#10;X3Wee96IggoGL5byB3fvGwJhD8DJJRR7LxzoO8aEgqECYnJaQUQBNTuU/Aa+rioJSjFk0mjAAOVF&#10;0TZN13XTycQ6570PPoxGo1HXrtaryDydjmOMIfi2q61xyhpjPDo8smRUFUTatt1slmW1uTh/s92U&#10;oub7P/6Xt4+OT0+Op5NZZjJFQuNEiYxDIlBQTPuLNDzEADiYKgJAcvJFBFAyNkl/EpKmHA+ogMY6&#10;Owy/yYCING1TltuL8/PLq6vNZr1crOpq0/mOJSZBr+QQCoiaFIgTkQtBEQNgEPWBm229WG83VVV3&#10;3nP0aQAj4pzTogDjkFI2IKKeDAZECP0dFwQEUuWU42mgY6W79Y1teKJ+Sb4nTvYD9J4jlrZPBEQH&#10;90vty+Se+waUdga0r7qZJURI6pI9Yg0XV1f7+/Pvf++7B0cHoprGg2kvEBFEtS+JUHoi8k46Xtka&#10;pDwrvW/bZjwyaTbFCeBjRYMgoAQK2PkgAMGHbVUtFsumaTrv05Ao2eiKcFXJkyeP0/1Kk0JrKYS0&#10;jqAiMQG3Mca0vE1kiqJQ1RgDJFG+dPqT4jVinueqEEJAQI6eRY1DBBiNc+eyum7apg0xIJFBYyz1&#10;0ylCk5nQBTQ0zFd6cLnPLToklBv3DAF286pdiaDCye8QUorp9/IJei1f6TeRAUBBoqRZoLCcvX79&#10;6tXL+Xz/gw++8957740Km+fVwT5XZbNary6vLtarxbNnz+7du//Bh+//2b/6sx//6IdkkEgAWTSg&#10;QWMoUxcjppbYB0ZQjjFyzHMeG4OE4oMxYB3lWW4ICY0SWpvFiMKhbVvriAiKmHed5xBT9ZDnuTUj&#10;g9C2nWC27WDqMgvQeODU1cdSRSPWFUGN2NRd50uOzXg8yVyeZ4WzmSULAl2rWZ4jueW6+fLJi9vN&#10;weHR0VTsar3d2y+sEwOggKpijDk+Ovrpn//XTds+f/biP//n//T8+bPtZovkegdxDdAfXgBA5qCi&#10;YLDJUAFsQELz5z/92dF8/6tHj8/Ozp69fMHMoyyvq7Iqy/mdOyH4umq25bYsyxi8MUaEVXi12Rhr&#10;rMtdVlhwVpi7tlGWvCiSYTcDpS4yPdLGmNl0Mh7nxpCxRNZ0IYTISQq7qerkQiYIqVAGUDQGNB/N&#10;jor9k2q1QAnCHOqNBVUyBo0mG8Gks40GbT6ZHUxmB3W1FmYQ37ZblxUAuSWraAaqjQyoFBoyWZZ5&#10;75WZMkIgQyZKLEajo5Pj+w/vf/7lH5u26trgsqwLqoJknEW7XCz29wtwiCAxsLEGIXEhKBnBs2iU&#10;pDkhUXZU+oSaAGiP4gunIrinZABg5CDKIcaqqtqmSVVe17abzab1XhG25RYIRLlpW9EICpwEY1gk&#10;8nq1VIHOe1R1LjO2ODwsxuNpDDyZjG/fvptnGQGxaAtEaAw6JCOoaRiU7lYqx5EMKGiMCbfclf8o&#10;11lHkhJ+8m8GRCBArqpN2qsP3m82m816XdfNZrNu2zYG33WdigAqK6sCJl2ttNgGgAYCqw+hbZs2&#10;hFXVdsw+cONj3XZelBHQWKDUHBEntah+HQSJSIkkdas75FEVBcH0KyyIKDTM7bV3mR4+hhllrwqf&#10;mpLkrJgA6PQj/WwJEQWTlyJjj6VJcmRJxbaKRu85hL70IMPIgHixXLzN97/1/jvWWehHDcl3VrXn&#10;gIKqMIgh0zfgqddNPk6oztoQYts2o9GUBxVlEbFEqkn/3LSdX222TVVvq7KqqhCCD37YEOpjNHPM&#10;8+zk5OT16zch+CzLuq6xxjhrR+NMgUOI/dREJNHBhyvDwAwAhnru4vBUYZ8zEAIzWVNXlXXWJj3z&#10;IhdVYxOrxjLHNO/NR6OqbkTUpKdEJPWWPdqiyCqJI9tz93oNLSRESeJ0u5wDmqgEiZCQZp8qqiBo&#10;kEHBACdFgF7nqZcgEhYF2SyXX3z26WZ5OZnO9w+OTm/tV1OTFVo3o7b2nY9Pnjy/utq+eH7xh8+e&#10;Prh/99sfvnv7bpG80lXVWASkvCgmkXGg0iEZRPIhGkshBi59XVdmYff2DuazPWeLvHAiFCMDMVKf&#10;vLuu48jMARGyUdG2TbUtnRv965/94vzsg9A1l5dvzt88jyzjwrKXGL1wzSEgKIG5eB3X64vxaAKK&#10;Injr5O7J6Z1iPEObe6SsyNBk27pbff7k4HB5cnr3W+9vjJso2PHYkLEJIUq0ncl08v63P5zOZxdn&#10;56vV6smTR08fP95stiAaY1Bl5f5ip8nF7OEtRm1fLWMV3nr7nf/2F/9mfXm1uLp8+uYlxwhRDg4O&#10;jo6OP/zgwxBCWW6rqu66joVF4mazKcvtpmrenJ9fLRbOZRYQRaUsS/b+2J2ChWvZcAVIMImz48mo&#10;KAoyKKAuzwTAh5DsM8uqapuWZ9FkORASGgQgAjAAWXFyerfebkUigoTgfdtkhRJhsgsQURFBsIA0&#10;ne3zycnV5UvRoACLxcVoPHdmZAxyX2nerFoRCfNRUbdND5OAIpJxlphG49Hp6enBwcFqtWrqZZ6P&#10;PCYHMOIoX3zxxcOHt5XJWjKWJB3mpOypGkNUFoOUJEMAAIGEAwIJGhFOmzCgKjf4SIDIwlEkhti0&#10;bVXXoet2C66b7bZp28DRxzDf23PGpHSMRD2Dk1UF1ustAjrn9uZ70+kszzKX25Q6IDUexnAUVk5r&#10;egTUZz4k2D2l2i9ZAA6rOin/4a4sHIb6OxwHgH1X1fW2XC8XF+v16vz8vKqqcrsNISJiCCFRsJKA&#10;Iw21PPTdoQqAFwhtt0pHrNw2vqsjsyKSUbJKpNYhICQ6MwKZXkYY+k0nhV60X3fBTocmEQZWUc/l&#10;7X+K+klt36egDq2JQm+2slt32GUh5tR3KWLf4KukrgNpoJyJSNJ/F2bt6RvKzAgABruuiaE7PjxM&#10;O4Oaplmps4bUMTAl/93ICXZDHGhrCiCQ57mqtm1XFCNEwyJmd/dURFIfJqvVcr1as/QWJQlxS+8m&#10;jVsSVEuIvm2JyJAJIZgCATXPcwCsqibGGEIPmiEaZk4WczEGIrLWxMg4UJa9bzX1YRIBkaDns6X9&#10;JyLjnNsRirrOq+poMj48OKrqF+nSYR/3+6dJBNIy6442dgN21p5uNzzVcGOgCT1G0NMldGAiJj0S&#10;6s9w+v7+LCfQq9xsNquVsfbegwfvvf/h/sGBy0xVtlXRNXVYLbfn52/Wm/XT50/v3rn36id/+ou/&#10;/LNbp4fWIZIgBuvMZKLOEZK0TdNHHDIxRlAUgS5EiRFUi3ysU8gyS0atgTwn1jGgdl1HiDEGawyo&#10;JufZPBt1tp1Opvfu3Xn/w/fbprq8ePPo8z9enr8qtwtUDYwcwfvG2qQpG7EuS5dlWc5R6+2maco7&#10;99+a7R0HL1EYSaw1IeLZ+aKsw5uzczRZInAVo1HiDVky1lq0xgg+fPjWO2+/473/8IMPnjx+/E//&#10;+I+PHz0KIdR1raygzCIGSVQO796Kli7LLobyzdnrk+OT+7dudV37Y6PCHNvgfcess/kUgfb39xMt&#10;nplFueu6rmsfvPXOi1cvP/300zdvzhKvwgAAM5NBMjjccwQEJGOJsyybTKaj0cgYi0STycQ6G5kj&#10;s7Wm7drFcnF4dGgGEAsTNoGEaPf2j6azvc3KI4IPfrFcHBaHtsB+ugcIgIQEKi7LprP96Wxvsw5A&#10;sF2v2qPKZbMeI0kho0dO+wBbjApd9t01gCakyDo7GhdHRwdHR0er1bKqakNkjXJg4VA31W8+/u13&#10;vv3e2+/eFYMWyWC/T4iqHJljBDXSO72JIUqdsqoy95sfXdeCQtqeS7Wh9x0SElHbtnXbdm0bQ2jb&#10;dod953k+suMo4jKXjH/SykiW2el0PsoLaywBqIAzNssya5y1FlBSvYaIoAQAZExmsaKJUAAAIABJ&#10;REFUHIgm7ewhMyYba0AFQ4bIqnDfcuGwUwgImNZfQIRj65umLsvtdrtpm2azWa8Wi7IuQ9d0wYfO&#10;a692RzEyqyRnBJWk72sEUBRCiFXbbqqybJrW+8BSJy8NUEWIxoAxxuVoXBI+RjRDtE/BBQkpsXJ1&#10;AMQGbG/4Pthhlzd6leEbaBe6h3b7Zg3y9Y++dNdBEwjSGFP7gvr6L/YHKo1m+qlv+oWGUDkCwJ27&#10;d27+lQExTZsBCABVWV0tF957a+3R0fFoNHKOFFC4JyUm+Ym6rsbj6RBze515AMgy56wV4chBJGVw&#10;MIZiH093lYT6rnv29BnHSFlWV1We58LSdZ01Yoydz+e7OX8SWQDQ1HmkViYRQIZRFMQYE4dQhNPU&#10;V0Vi6PcT+xMFoKppHdha27Zd2zaz2Wy1WmmyZPj6ndKem3StongzwXzzLt1IMQNxA9ESqhKmTZlh&#10;vXj4K9hPvSQpGyXVJY7x5YvnVV2PRuPjo9MHD96eTqdV2YxGWdeGwLxeX7TN9uL81fOvXt69c+vd&#10;b731ox99b7aXI0ZrxVoyxoTgh9dPdV1bMrPZHIFylxHhaFTkeQFJy7EwWWGSse1kIiAcQlDRdOUn&#10;k5k1ZClRRl2eu2I0Hk+mpye3tptVXW0W52cXF29evnjmuy6EGEJbjGxeiIIikUFb1ZsvH3/++NnT&#10;w6Nbdx+8k7YQf/CDj8jYYjyZjKcnJ6fr1ebqanX71t2Dw4PxdDqZTIw1mnzj05NmzGg0euutt2+d&#10;nn7w3ntPnjz5/e9+9+tf/1qN8TGgIUwGj8642Zimo3C1efz4MSIQUZZn6EiEzXjCkdu2SwajjlwS&#10;+DDGEFGeFTKbWpe/+957P/zhn242G4uIiXiani9CBEMqQNBj4IAIgGgwHxUuc845JYLBli6Vt+cX&#10;Fw8ePswnA37UwzUGCYwrDg5Pyu0KERXierMcH1RjZzk1ZWCtMSA9y2U0np7cuuO5C13tfVvX5XyP&#10;ESTtBxEq9sh6PzDN8pGxbjikiITK7JxFygH0zp3b2+26rupy0+a5aRmEg/ftV189ffHi9dvvPjCE&#10;qpwYqAjQky9N8qgdQlCaajKLSAiRiJyzAL1ipjEmzVq990mei1lSvZnkT2KMCJSUHQHAkImBQ4jG&#10;UpGPxvvjyWQyygtDNhEJQMEMzrKIxKJIhGkg0aOD1MNDCTpXVQBWSEoPlDwEWZKGpoC4pMqDaBCT&#10;iaTv/Hq12m5W2+26aerNer24ulytV9F7ImIJ0E9AkMiwxDSJ7b9oDShE1SrwdrNdlWVZ1W3wXsT3&#10;VFyDWZ5mKqIBEGN67YSgaIxN3ob9vn7i5CIK7m4qIt5YkEC8EUeABtUTY0x/Oodwpvq1JAHXcqWS&#10;Qltv17frOPs+pyen9dX0sNkDvalfEuQWgwoiiMl2JxaZ/dEP/0SVdz1iSl3UO9bBtiyfPX92fnEh&#10;IojkPZ8cH89mM+cMABjj0lKRqtaxqevtbDrXYWkxvQPn3GQ6KfIcFKIPw3noI3CCFxRAVZPmmHUO&#10;Blq5D4GIFCg31llj7STLshjjYHQnwlE43Lho/QUXkd1XENFYq0MEBwDvfbK1TkWVMSa9BRG+vLyc&#10;9twB0MTn/HrmwH6v9p+lk5vfcyPBw5DRUxVhksh8f+rVqKEbv+nmrceBqE1EoLq4uhTV87M35Xb7&#10;4YffuXPn8PJy0XkrjAixrpvzs+rjCo6PTz//4vF6U/7Lf/Unh8cTQxYRbYbFeIoIXdel45M5Nx6N&#10;jclylyGAMZT8ITFtLwAgEagxSAyY53Y+B1XMsnxvNgOAGKKqRpYMyfuYZdPRaDrfOwmhPTi8dXrn&#10;4cnth7/57ce+KsEaBhWlrvXMMC7GkXW9WbY+vnx19urs6ujo6N7d0/sP7k/nB1k+3t8/nExmi+X6&#10;1cs355dXUWHaBREZxdFoMk6VPhKmu4DWjkbjBw/eOtw/KvJR14ZPPvkkMIul2EY1KI4gt1xYU+Sb&#10;zUZVWcVmTlR2Q4K0lu2sTShO27YAaYuTjbMiOi1Ge/N9Zt4ZWWuaoiEMJSYOO8aIiFQUxXxvrygK&#10;34XovXVOh27Xh7BYLOq6Hs/3DBKhA0xYs0n16Xg2Ny4DZiBqu9Z3zXgyAcXk/AWEioDWCEuR5XsH&#10;x+vtatk1Mfi2rlQjQlRNDJO0zJGObJ8ZR6Nxws4JSSGBDyIqWZbduXNnuVysV6umatFZcRw9R451&#10;XT979mKz/ui0mCGYnrnTg9SYPM9FWTSk4iXVa03TdF0DAKPR5PDw0Lk8cV/rum7bNtnTAkCRF3Xb&#10;DEABCA/umMZkblSMR1meEVlVJYN5lhMaEElzEZVkww6DI4UamzGwsKa8NcqKPqbi9SOlithXnQOX&#10;t4+giXEsTVV3bVtV5Xq1quvtZrNZLhZ1XTZNba11hspyG4JPCFiWOVaJDIhknVUEARTAINw09XK1&#10;3qw3lQ8BSEBDDEFUkJQIsoyZlQjREFklIOdE0lJIgjRM32b12Powrd0Rt3pk7DrB7KJG1Kiq2gs5&#10;4/DvFAmvS+Pd57u0lOr0mygZ9v2vqqgmRsqNOLULsgAiElUljekBlBCMpcKN/uSj7z54+BBS059K&#10;+/SCEQHg4vz8j59/vlguRJNQEL188aoqm8PDwzt372TOxBB1cFEcj4u6qruuyfMRDnIyqmqMOdg/&#10;ePjg4eXFpe+69GqGNmLXEwAABO+N7YM+JPWHRHOIETQxKfIk2zq0LpE57tJV2pK+ed1SzTRoMzOZ&#10;r3Ueqr3cyO7FEGLbtj7G6XSaGEp903mzF+n/xM3Pd1SMb7aPN36izzHDfby+y85akV3NoABpl+Wa&#10;2yYiHCMQIJIPzVdPPz+/eDWf73/w/of3790q6ybLqdzWvoO21qvF+fnFyzdvXv7H//R3d++e/MXP&#10;//UH778znoxFJMZgTJ58mTObFUVhTIYKKsqsRNaSURVAJkAB4kREQETEoihSqtvf309qb+v12nNk&#10;QBVpW27KUjhmWfbi9WJvNt07uvvdH/y4qcvtZvPyxaOr5bapW0S1xmUuJ2NC0KatJvNW0bzz7luz&#10;+T6gc/loNJqI4nzv6N7dh12MFxeXT58+ffPm9XQ2uX3nznQ6n81mxWgkLJo2nRFVdDabffjBh59+&#10;8uloNGq7xgMjAqtGBAY280mHl03TlNvt/v4eixhUIlTR5JcaIyfi2SBBbUTEe29BQwghxKIYlWVp&#10;LRkOkUPgGBPSgDfPBQAhGUPOuclkDMm3g6NxNrS+C97lLoRwtVyUVXUogiKYfOkE+0EtuqwY7x0e&#10;bRZnUZk4dE2pvIdkEZIN1TDEIFKE0Xg23zsq10tm37Zt1zZIWVLrRzU97N73VoBIk8msd0ozwMwt&#10;MyQ5VaT5fD6dTuez6Xq8DAgGbclexIuOLq+WLArgBAIRldXW3NTwB0jhIwRfFLmqMofONyF2eZY7&#10;Z5zLjDExcIxRBJzLp9PZcIk7IprOZlmWs4hxLQBZayaTictGfT2GRoSTkDMhoTEqqqyExjqrqhwE&#10;Ea1zMXIQBsCkIN4/uTeySz++UOlxHjKEkBZdI4e2bdbeX56fl9tytbxaL1ebugzeSwyIyByjb1tD&#10;Amrz3AC2oRUEUWRVa6gTUcQuhuWmXKzXi9W6bhpmiUhqkmMtUJaTNZwIw0QmywVBAKMyRAEEm/aJ&#10;NBF6MY3KgAwqsyQvh6/FGhHtQTNVMwSjlEl3EH2qT1VUNBKYXtlGUZmVdukndXo4rJtwvzSjjKop&#10;GKURwdezkepADOvV1QjTMgZzTF/88Y/+FICJDMgNdAxAmMuyfPbs2dnZGQAwCxDOpnvMul6VIfB0&#10;Otvbm9tkHiecbmNR5HVdE1nn8vR7Ek41nU4fPnz4+eef13Wdqh8AsESsCqppR0tE8iyLzKBqEEWV&#10;YwQiMhpjDBg4xrSln1asRGJI1KYbCeMbCSY16+ntIKJzGWDI83w+n6tC23Zt2+5gd+dcMnz0XSOj&#10;PL2qpGqjN67MzY9dSrjRL964+9fpZQcGary28k3/7+bxBwBI1yfpjyTPG1XF5JfKAQkFtK7Wq+Xl&#10;xfmbH/34J/fvPeRoDY1jkK0Lm/W26dqz82qxvPzqydOnX736+c9/9pe/+IuDwyloQFThNp0vH0OR&#10;lisIUaFnqIoAWCLqnW8MEPX5bzabIWLXBUNmNp13XeersqqbGCOBXS43VxcXTVW9ePH88HDf+3a1&#10;WTqHs+m4rPXqsvbec4gcA4JxWWZsVozGIaDvVIU4ksuNCDRNO5nOEU02yQvAZCr45ZdfvHj+4ury&#10;6rsffTQZj0LXJhwLNZHT1RrbdX69XmdZVozGhbHr4BliVKHCFQez2hlQff3m9cHxQVS2gEAIpNYQ&#10;EiT835BNcCtispwRa2yWZW3bjsdj771FTGSqyDEOWrrXNTKoQQTD6rJsNp+PJuOyrLq2dVnm266s&#10;qul0IiKb9brz7e7mp08UKEp0WUHEt+/c81213bYsUjcVR482iVmAAgCBsJCxAqEYTw+PTqvNYr28&#10;ElbfdcVI+vI2zft6FBgRwZCbTue+CwiGyIiwNTbGiCiIeHBw+P577zXlZrNYltBmzvjOt00Mofvt&#10;b3/7zrtv/dVf/49ZkbXtZjabda3f1UdpcV2Ey7IKwSfZoqLIvG9FJRk3EZl0Qcfj8XQ6NcakuOB9&#10;AEDnMueyLMtCCMwpz1vpVVUoSTJf1+D9H97xGBLzXYMPaMjajJmTXXRiwKY1iGQFDYAEYhAhGc+1&#10;9Wa92WzW6/WiLMvF4qqtm6qqEBIhjhXAOGsMdt6TIVWMUQyRj8wiWV54jZ1I2dRt3b46O2tDaHxU&#10;RCTLgGod5cYYA8YAEBgCoqTxiUjcA00EaEiBLEgfa0BFCNEYq0Ms0WHE8o0CWXdK4Ndf4TQgHlBM&#10;VO01D1RVUJPUUk++FFXQm3CNDOM+TZk4yWClGb6IuTFnvv6LKCKRQ1ROHDdNOC0pCPOdu3cQUKVf&#10;kNy92CTu8sUXX4QYEyzBInXVTib7zmaXl1er5fr01snDhw/29qbWGhhUEpxzVV1Np9YgJXQu7bfP&#10;ZrPpdHpxcSGD8H7KKkPG7XMMAnCMo9HIWluWJfSMLWLhbujLo/fQE90SRTVR8Gj3q1La1rQ+iZgs&#10;MLLRKM9HopJeZNf5FL4RMcsyROwnMc4i4WKxmM/2jLHpVenOLORGCtkl/pvpAW50nN9IRTf/kwbG&#10;oAyN1/U1QbyZroZlUnHWeq/CkRC6ts2yzHfVL3/5H39jiwf333r3nfdPTo7d4nI6m3s/q0u/2bSL&#10;q7bcdq9fXf6ff/t/f+ej93/2sz//znffixEJHagBpSF3atLxA4HU5UqPU+8mfP0hREQOUVDSlVku&#10;V69ev9luK4Pmd//0u9cvXzd1vdmuAXQ0KqpmqyiZIwlskmKQ9whIpFozQOty/+rNUvSf5vv7k+m0&#10;Df745NQYd3p6y7n8/fc+uHPvLhIdHx8dHOx5/4OqqsbjsTD7pB6ESEoxxufPn//24988ffos2foh&#10;orMOEfMsb5pmSgfoCFCXy+Vvfvubt7719mScqzIJskQWtdalehcQsiwjImN6Y9AY4nw+L+s6jQxs&#10;6u9j8EmspmeqD+UDAqgiobHOIWLmXHqVo9Go3pZN0zRNk+3Nmq5t2xZ7m8h+7wAACQ2iChhXTFwx&#10;MW0tO14vwVBlSE+0QTBkFDgvJrdu3a+2VddF30XfxWyUI5AgKaAzljmpGiEoOsryaZ4KHGcyFLHY&#10;Q4UWaTaZnRwefeXMZb3N3NiQjMaOY/C++83Hv/3rv/6flMWQBWRrk1+ImkHfGwAWiwUAFEW+v7/H&#10;UQGoa0NV1dbm1rJK0spL2DsiUtd5RJyMJylPiACiIQQWEVVjCBRBEA2lS62JAYCICDQolDBz7rI0&#10;OkNC6VWlMXn/ECL04oacBhMxthx9DOHi4mKdaILb9Xq1aru269pe1RmUvS+ynIyNKoPiICpiUI4A&#10;UTEwVE23rjer9WZTlm3r2xCiKAMUowk4x6w2y0SVQckaERVQi6hpwoSIw/J+su6WCNZYVUAwidbM&#10;wADAqgYBkRgVUPEGswgQyJKw7sQZ01h+RxUDUFAFQRzUXnsEEpI3OYkkJECSqjX2XNhdqEqMYU58&#10;d2spCYHciGpiCBHoWkG650SlV5fWMJKDp4AB7e8IEMC2Lt+8ea2qBKQAzNp2XgRav1YWBNhuN2W1&#10;7br2g/feOzjcG0b3hsiAxrLc7M/3RIUMGItZbo3F27dOXj5/2tbeOheHFTntxV0MgBABc1o+9963&#10;RECGAkfr8p6EolGSrtCNmK6qgL3Ecvr6Llinb8iybDKZoDEpFOR53rbtdlumZvEaH7vxSZZlbddk&#10;WWZN1tPGhpVeVVAVM9i5K+zueCpob6Im+jUY4UZaSkPhhCI6Z29mqV122R2b9O0SxWAf+6wxogxA&#10;EoU1fvn556vF4vs//MHB8Wy73aJRlxV5ni+XdblpLy581TTbqvry0dO/+qv/+a0Hd6zTw4OxgIiS&#10;SFRlToJyaAlEBI0xZNCHeN0Hp0c6MjPHGK21X3311eXV1dnrV7/+9cddFyXK1cVVIqxbZ5il9d6H&#10;djQpDJBvO2tt5nIA8BwRkUV907GoKrThym3Ltm2/evLcObd3sC8iv/zl3//sZz9/+PCtk5PjW7dO&#10;RYrD/XkK9OcXFxyi915ZHz16/Mtf/nK5XG7W28vLS+8Da9xWtaAKqFHIjDOjESCVZfnFF180XTOa&#10;5AZIRdKIWod1ehEhNM45Hfq5ruum87SADEcHBzb4wCEgQp5nzvVyL+mH+6AHCAhEVBTFfD5fLFa1&#10;tUVRTCaTuioRUUW99+v1uu0al+UIQmiQDBIpg6KQsYj5ZLa/Xi9UY9d1XejG+UhFEdE6xyJKA+6l&#10;xppsvn90dHxrsVxfXl7N9o56804kUZSkEQmooNakUVDiuwpKv9bA0V9eXnz66e8fffnl0yePmqZk&#10;iT7ibF6Qma4WDUt89OhR0/ips8a6GMUYt9MZHc40Opd1nT87O7+4uEg9zXa7JXLvvf/Bg/sPDNkQ&#10;gvcxKY6A9hxT7BEeEBFhZU7TYI1REJQIEAkGUx/EHTWnx9mt3WU44R7CIbI27auoiEhsW980TVVX&#10;281ms15W21VVlWVZMUdmjhxBAVBpIJGpqMszBu18K4BgjCD6EBsfGh+atlttt6v1pgkeLERhQCLj&#10;sBi7pGpgrZBRC+CciLAEobSpCdLrgPX7UkSkApjs5SDJHAmqYNq06Ve5U5bAYcA+TGJUsQ9YO7Zr&#10;/yHMaYsmXRkR3glY9dEEYYfJ7zoSvMFcSmBZunrSa9cPuhhDI7WLVtD7qvXDmt55HEBU7ty90480&#10;dr8fEVRZ5A9/+MPr16+995nLQ4xV3ZRVBUCBy0TfEI7Pnz9//PjxV0+++v73Pnr/g3dThWetsc5u&#10;tmWeZ3mW72IlIr7zztsX52effvqp9FsscDP13kgYwryr5WE8GjnnvPeGKDI7Z0PnU8myQ66GaVMP&#10;T6fnKEFh3vu27dqus1mWG5twMO/7Fj/NGm9mAR98kq5i5hiCNVlR5BzZxyAsvQqW/rMxkg63/uZU&#10;RkWGBLb7/emzaxZIGsbemMalTxJNTgYBvfQXE8c/9VK7dlk4INJyufx//u7vXAHvfutbH333B76D&#10;JVWj8VE8wdVq8+bsom3Lly9fvn796vDw4IP33vmLv/jzt965O5k4YzV3yBCjD6A4yscIRiNz5ARx&#10;p5cdQ0jyd01Tb7bb58+f//u/+XdPnz29WizKsgQhFQ0xAmB/vBGG9hqsc2A4ajr1GoNPtz6zGRji&#10;yF3bQNdkLlMV7/35+XmqOf7tv/1fjo+P7t27//Of//z27VtHR8eT8YQIizx//uzZrz/++OmTr7bb&#10;crFYVFVV102PKEIvqBxC9NvasLrk2wHw+Mmjly+fH+zPo2jSwlXVtDKxa6zTFe7vDZExZjwacYyJ&#10;ECWJL2sNgfZqSpj2ThCS4l/6BdbayWRS5Lkh45xLoBAm5ozocrmsNtvJeKYCZAxCTIdHI1siNG42&#10;nbts4tsyCocQDTlR06tb9FpJqZ4ia52jydHJ7dbzerNl5pE1LKDMRC613aIqymmFTYIG323WK+87&#10;lhh8++TJo08/+f3Z2RtrbLJCAOAY6iLPfKgRWVWyPHv06PEP/uRDBTHGBBYGYFFUJkJSQqR8NCGb&#10;kbWdby8vrjrfdm2ripdXV5Pp3Lk8+Jjw1vS0p+cClBILWwVYlDUF2uvZdP/YEF7HyD6mAKIiaIi9&#10;R6TpH8YQgySv5RC6tmn6bZNyu91uq7Lsmk0I3jorIrGPNBSFk7J6GzwRQbJ0QmLVqqzrGOoubMp6&#10;tSk3Vd2FAGRt4QSYMgdIQoaMYQTjsjAIe3hEAWRAg6BgFIV7rYlE+AZM7YIK9gIpvdxXOlpp2g83&#10;0I+0HzrkANjBKUnEmIgUAU0SrwbEfidTlJkFkZR7OVhRuRlwMUlfJEytJ2jJQJXa4fwAkNbRsGdW&#10;p74ySWqlQjExX4a8RYDvv/f+ZDJBAAIQlhgZnSWEGP35+Xl6ImIMAFiWZdcFFs2LiSatT1Vmqevm&#10;yZMnTV3HGB48fLC3N8tdroB7hFVdWkvW2BA6FUZha+jhg/tPHj9q2y6txuvAdtsF1uEh79FdBCCE&#10;3NnZZCwiq9UqdK1ILyuQMmIa/g13AYeUo10XyrJOF388nhTjMasAQNu2sTdToV2GG5K9EAySISxd&#10;CCxS8IjSolMaiX1dS/Gff+iNLpZujG5w1/Jov9CQ0j4OQk1fS0LDBekDnyqY5FTLmiiakEQWNHK0&#10;JkOEEIKP8vjRV8Lm4cOHo4kFRWYw2SgfnW62VQxaluXicnn+enF1tf3RT37wzjt3D48ms1lunGJy&#10;DAIhJEsWDAFQ1zVEFENIYhFN07x4+eyrr7763e9+98knv99sN3VdISBz4p64dIBBhTmkqx194Bjb&#10;rgNQVU4Ic9qCYGEg5H7HXYUl4fm+80QkHKeT6Wq5aJtmlGenpyf37z84PT2dzWZPnz771a9+9eLF&#10;i7Isy6rq2s4Y4xypIosyB0gzJUBoPGwbNMYhIOrF5cXV1VXkaESdpYR9gooxxvuY6Ei7m2AHpriI&#10;1HW9t7dnaVg3AwDmCERI/T5zctNQAIM9j7kYjbIsM0SGjLVWQdu2nY4KY2i9XpdleXs4MJDA6VSm&#10;ACAg2WI2O3i13XBZbsvt/uFtMhaNuwZmk/MLIQKJ4t7+UYwa5VXdVNlonGVjQpfeizHILFGlreu6&#10;rl+/fvXloy+++Oyz9XIpKPPJqG6qqtpeXV6qaJa5LHMnp4fWWTLZ2dnm6OSkbTCG+O//5j/cvXty&#10;cDSyhpLIa4xprpsWfmh//8CQ6XzHHA8PjhPJylqXVEWFdSCmJn2RfqiA18+IEKahmgCAtc6YgQHd&#10;c2FvcqV6ypP0qqU92b+pq7Iq67perhZ1XW/W6+1m3bYtcxRhFTCkiEKG0BAzJ8AxJauACACMxot2&#10;IZbbeluV26pebbZeJCoyIBqLeW6KAtGQswqMPcUZgIwCMiBr0scjYBmSAO4QIxjebZ9dCVIsZxGC&#10;fgunl/5K/sS7jdmhuOix8x60wQGRur5OQ9r4WkjajYR3OWN3khKWIjBMX3QndpmoEASgIENcSw/w&#10;0PMDAIhyjMKMLKnIJ0RgJaK7d++OihEM/mQpuMcY02pq/14Fuq67ulogEKuu1lvrHBFlxolI10lH&#10;eH52/qtf/eovf/Hzf/Pf/GI+m1prkPKqqlbr9f58z1rLHJ8+fdo0TWQ+ODi4vLz0XlJVDgM2lRqd&#10;YcEFhq9DZu3pycnde/fqun79+vWrV68Gn+Y+o+hQ6aT8O1x+ZOamaZ2zxlhViDECYtM1qX1JWNM3&#10;mksAGGaN/cpX2zTBh1ExzosCE2tAZSfIvTsOu/t1894R9npMN3PMzT+HgOZaDuhrP4vXs5/kmJeI&#10;15KCWBrAJ5W8LMtFNEQPSAh2vap+/7vf/+EPfzg8OPj+D75/69ad2azIC5rvjds2XpwvRfnyavEP&#10;//BP/+V3/3h8svcv/qsf/vjH33/w8LYh5dBVVQ3CmXVkM1UcWA++Lkvv/ePHj//d3/wfZ2dndV2v&#10;lytRZmFrjLVWFZh9euUhRsO2895Y2zQNkKoykQmhY2ZjLahGZmszIkJAFWAWg9Zal2UZEQpHVWm7&#10;pm3q9Xr5+vWrzJnZbG8+m08nYzC0Xq3bti3LCkBns/lkOt5sNufndYyBDIkCCyMh1J1uaszzZBA7&#10;moytc0SozJGhd8oSRaQQuizL6QbolRZiRDjGkOYFVkQUwBhjDPrQ5Uk2MVWVck3YMER5ns9m06Io&#10;jLVI3lprjN1ut7PxqMjzzWq9Wi5VmXoBiOSbQj3KAIRkDw5PLi7fMHe9zEjCDSQCQi+0CokzDKJA&#10;ZKfz2amcCqgII0jXNYbs4vKyqtd1tQ2xu7xcfP7FZ1989lnbtapc5Jkqt9UyBp/l7sH9O8eHB/v7&#10;R9Pp9Ohk3kV/dn5RN77crJUnddn88bPPPv/ii395+MMU11JiEFZhFgVEMUTJdRCAimKCMGiRoEn6&#10;gCJA1HfgmpTGAW0a7gGQISSltBk+IEgIvXBVn3/TQwOiyggowt53iFBVVefbtm5X62VT1533y+Ui&#10;eC8ckvJbgm52C3CI6CNHACQbUVmxC7HuvPfBx9C0XdX5dVU1bacADAg2UyQgA2QYgQGIDFrC5Nwl&#10;veic9lcGTf/COXXDAzurJ/okwCplDkoDIhYesg8lBlhvAZO2rgde7406dEg0moxSYHeNtN+tS+n3&#10;ZlghY77xFeixkP7iqn4tLQEAGQJA6aHfdAJFhz0+HTqer3/0L1BUDBpCQygDyIfM3LXt69evJbK1&#10;NrIA4sXlRV03HIVVrXM+egAYZ2PnHCIm6diLi6u//Q9/C6w/+cmPb909zUf5fD7fbjar1Sp5vIfk&#10;7IJ4584d7/3V1RXodVDexeid4n2azxdFtr83f/jwgTEmc/Msd5PpZLlYtj7YPmg7AAAgAElEQVR0&#10;3ldlUr7APjv31UIPlHGMoOIc5VlBaGJklhiuJ+pf6xt2XVTauEy8Mmau61pijKHbWdL9/6eKG29k&#10;138IDCyQXkZOdfedCqklIiKN/I3kdLOVSSiNcIR+vmMgQTJDXYKIQKqSnAMps7kCc4jL1dWvP/5/&#10;v/3hd+fzPecmk2k+nY6y3KyW1WpZtqE2Sq/fXPz93//m5cvXf/Zn/2I+y/f2pvfuHAuGqmmMiZtN&#10;GWPs2vrlixfn5+cvX758/fr1kydPfNcmYWZVSZI5LMIhKIA1xvsQmSOHKCAKzGwtAAomWTZKaDSA&#10;aowegUCAWZklt5nEiMqT6aTpOmZO5VLPKhSIvl0suqtLzfM83R3lOJvP9g/m2+2mrisAsRYlURKU&#10;UMVFuDPZP7p1WhaPK6x8DJv1OnSdJasKImDt7tqqCGNyAweC3j80Ge30OnV2d0xDCHVVWZcTCexu&#10;rwj02rCYOTebzCbjSeZcIyrMztrgQ4xR82y73V5dXXGIlJkkvqGAZOzQlJOzeT53R0enZ+cvui5I&#10;ApE1BQ5J5oQwFFmEhiW6PN8/3K/qqq63VVmdn12tFqtPPvn9xfmrq6vzEDoBbLvGNw0Zso6KHA8P&#10;9m7fOj06Ojg9Pb5z+7ZzLsvGMUqIVRdqBd5u299dPI5eQjCLxeL3v/vk+z/49mSa7QD51ElJUEQM&#10;kPpsTNCcQj8cRqQYBBGcywZzi/6fviK+ptQiotLXly1wB9poQqWBOQbfheCrqlquFm3brlarpqnb&#10;uq7KLTMba0LoMFmCyQ4kUUSjqKyAicBK1otutnUTwsXVomq7rvOrbQlAkjm11lAGJgGShERApIhJ&#10;65ETuTstxBFRAhkAVKVnGgOqpBiDlBTxezHD5IqYaKYKBALAqGCIAVTEpBwFIMBJ6WsAyoDTDAbT&#10;LukupPRDHUBUFRAhGBQcdjGlb5hwhxftLm//G65nW6l56ne8IHEuRNIZ7/V+BjQm1Tmpwk9M1F2f&#10;hINmgIqgxUHpH1S1qqr1ep1eiXBkgbM3Z5tNFUIcTSZIGIVVwVFmrE3Eh6IYA+Byufrf/tf//fef&#10;fPLf/w//3Q9++D1jzGg0Wi6WzrkYGQYiw8HBQSLUbLZVitAiggiGDBmDlJQqhEWstdPp9IP3379/&#10;/14Sx5x6f3J8rApN65fr9fNnLxeLVV3X120jXE/WU5+Rkq6IsAgLpxy2Sy3fSDBph9s5lzZRuq4L&#10;IXRd13VdFEhuFKq9A9A1NDrs2XwjjdMOxAPcNZ03k8c/T1G7f+/SDKUONZ0gIiQgxYE3mN4CJEYk&#10;InGIIqqo1hoRbpv2448/RqS33nr3u9/5aG//0GaYF+bweFrW3Wq53W7rFy/PXr+5evL4xa3T/fff&#10;e+dnP/3JdFp0TRt5u1gsz8/OHn355R//+Iezs7O6rkSkaRqDRISpmk8NWAheOCJA5C7p2WlkJCcq&#10;/YPAgAiWHLmBEkk2dAEUE0uHgJIODYBkmQ3Biwp4tcYG3+XFaJRndV0SmRi5aWpVtc4SGuZYVdvL&#10;y/OqrtLlDTGSyYDAGDN3xfv3Hn7/T3949Y9ffPb6qq7rs/Pzru1GE6vQB5/rioR52EvvdW8Roe3a&#10;VEh77y0AWGuds7Vvq6oqRhMii8YC9KRQ2klwKORZNptOR1m+ZDZkMmsb70OIoMDMVxeXTduQMc4a&#10;gKSSBIm6mhzMlMPx8a3V+qrpOhFJPoCGSIU1Wd9qP59FxPPzs6ur88XisgtduS3rsnn29OXVxeVq&#10;uXSOiKQoMrJ2b290sL+/v783mRSz6Xh/b+/2rdPRqHDOjEcjVQDM2tarD11sZrPZZDrO8kyVxpPZ&#10;R9/76Pj4uOu8QozKkXnY3gIEMEOAS8JURIRoVaNwknk1iEZ6BOU6u6QEMwRBvBESVVVAIemPIUhk&#10;3zZNCIFjbJqmqrabzaZp66oqk4VXCAFVOHroYeU+yqcbw/2gWzxzFyUwr7ZlmttXTVu2Xdk0CoTG&#10;qhvZPIsA6KwgiQqQQdLEu9LUTCgCpDWVfhgrIr06pColLzlIWq3Qt0zpEgEwqAiwAhGKJlxKEl0O&#10;QDUlB1VJbx/wuqtQhUG5Um60Gv0kViWlvoFqBDBQoVQ1SdnFG6OIa7MTHY7R7tf1YUkBRAH7e6x9&#10;J5WibKIdpw2YJBPdUym1FwIwiOPReDIew4Ck4RDdVqtlWZbYmzLR8+fPV+u194xIzpoYPYsSGQUJ&#10;wauoybKu60bFqGsb78Mf//CZy93Z+Zuf/vSno1Exm81Xq+XiapHsG7z3qjqbze7cuSP6um6ayJze&#10;TFRRjqzi+jQBWZ7fun375PQk7Rv6GES4adrNttzfP3z//Q8+/PZHTx4//e1v/6Gr60QnlOEKEJGx&#10;NnOODFnrjDUc5WZYv76OX4/yziYN7n4TIs9zRPTexxjbtgWA1Lf1sxO47ldu5onUnqYpwNcgvF2m&#10;+XoqgoFXvUswuxSIPScgtejJ4bBXHI0xRmGA5IqqquIsimJgQQQOgkoIpAqPHz2q6+rO7bvz+Xw8&#10;ncwmeTaCyTRfrZq2jt7zxeVqu9mcvznfrhbHJ3uTSb7drl+/evH40aPlcllVZdd1IiISTS8CgcwM&#10;CFE0SsSEV0hMsvmIpALD6JvS8SaVXstTk/ywjb2hkSowIbAERI0hrJbLdIWi970si0rXNsn+IykK&#10;ImHbKRG1XV3X2cDaUFWxhqKKKo4mI0fETTcfTR7cv//ov3wCAKvlwnedTsaIabjcl1zWGuZorUt4&#10;l6qm4Nb5bjQqrDWIYNNQPaE3XefrunIuzw0kUmwCdwwZEoysFs24GGV5bowdjUYx+Kauu7aDPQCA&#10;1XJZbUtnncty6rWvNLfG+4B9MwST8fTw4Na2LBPqwiwcI4AIiCVSke1m9eb1m4uriy++/Ozi4vzV&#10;65cKskhwdhRDxlk7ncxOT47uPbg73Zvs7c1v37q1t7dnkkRvr2CRFtl6IIacg2DbFsajg1un8tF3&#10;7cH+nXt33/7Od753sL8PoNuqIkJJ5CUEBSVIzrsK1ye8r4pgIOVC2kLAnUxTbxrTB6z+SYBez3+Y&#10;vbP4ru26tm6qzWa92WzXZVXXVdn5JnS+n0KnE6lgVIwBVhBQMiSQdD9JVAMYAOx8vFxv1lVVt92m&#10;LLsQElsBrTNZgWiUyBTUs9ycTYQDogQQpFcEBMgsqrJ7sJNQvergjyI9oNW/Ibh++tNH8iCB3hdn&#10;+DKnbVscmo+k+zUMYIYZ3fD5oFR9Iz3fyM6ou72KoS+RQZ/UGup3AxPYNeh+0tAnXf+aa2Spz1jQ&#10;Q3YEg9J0T3uTwbqkX7tUUJhPJod7e9izyjQqIwBLrOvae09kkiDmyxcv63JLZPO8QInOIrIiSGbR&#10;GOzZOcqjIve+ExFm+eT3f/jyy8fW5D/+8Y/29uaLq0W53Y5GI9914/G4qqrerxfx7M3ZertNpbgw&#10;RxZETH43iHR4dHJ8cqvp4mL1OsXfxdXV0+fP2qZ76+1353vH33r77SKfPnv28vLyggBCCGl6KMJp&#10;lpNaWEqMDepTQuhbjeQp2YclY8wwisJ+0IpIZDKXI5Cz2baqgvcqTJNJnucs0ksZCfTuQYnkjTvn&#10;0JSzqR8N4SC0B0iAQANzQzUJa/cIwVD03KgrMImpkgFjki14EugU733btSEEQ6ZnIakiQGadAhCQ&#10;sqoqOmMILs/Pz8/O5rPp/Yf3P/j2d44OZtvS55nrWm7q9vKi6Xx1fnn1q4+vrFGR2LZV29ar1ZL/&#10;v66+bVmO47g2M6uqu+e677iQIAGClA5MUlSciGOHn+yQbX2A5Tf5A/RB+gD9gF70fE4ch2VH2JYl&#10;n7AoGxIJkiBAYt8AzN4z0/fKzPOQ1T0bGiB2IBCzZ7q7qvKycuXKyN6RWhuGskmbi0ovPSI5Qokx&#10;ckQVACVCUYMsUTkaaREdIqCoKIMVt7z35Lz9icwCgggZZsK9CrRdQ4kCgUYXrOqKWZwjg5CdI2Gx&#10;3WLxq4g6T86IAyhABATTxbTYX3bA5On227f9JHR1s3r18vr6+uToEIlMr9EOExGajur42FUB0XkX&#10;AKjIJ468V0SjFLPKZr3JQraYLjBXFEYitkkngCjonS/yYjadToppCJkyT4qJc95m0UiUpq6ZoxUf&#10;CUkAgNkwOVT1RIrAAsu9wxi13Gznc2Tm6+vr58+enp2fVWXpHW0329OzF+cXZ1dXr733fYyz+ezW&#10;yfHR4dFsNjvY2zs6ONzfWy4Xi9ly4goq8jzP8xAy7qOwiGhk6fs+RsmyAERl2SD5LFvcfWuZ55N7&#10;b8ePP4zHR7f2948QzSspIunYRJwiBtveQLs4ddzJAICigLsxyWpcGgvZk6hYQv+UYxe7tq7Ltmn7&#10;2Fd1td5sq2rT19uu77q+a7uOOToa+gWELRAgR8q2RzWqKmiM2vVcVfX1Zlt1fc/SctxUTSsSRRRJ&#10;s1wUgBwDoPM4KF0O7hEHa25WSUZF3uRKd23wOlhkRcARWMChWGJTvEQGvXwVBFSNhrAogrIiD9k0&#10;7iLR5Het6S89LGeJwuBv0lMc8jXzKGkfWxyKCEl3zWIIMYCeODUWpW+xYtIIvdjdqwpYFDG04Jgw&#10;K9h4PQBENSlwAGSDyNCBAoIc7u/vLxemImBEcxtmuWsoscIQ0aQoptPpbDoNeVBTzyH67geP5rP5&#10;3t7B/t7B06+//sd/+GWWZY2qxth3LNz+n//9f599/c1HHz+6d/fucrGsq8razqzCQUT337l3dHCw&#10;uro6PT1drVaOrJ4EAHiwf5TnxZ27b52eX76+vIwi0+lkNpturq/Pzi8cZTGqKrRNf+fOWx/+yce/&#10;+vd/67vWBUCEEHyMHaIiDQKittxgqaESuVQdQxJhCxsUEMkB0q6RLUmHOOcUUabFpO1ajn3b1I7Q&#10;OweIhGTUv0SssH0AigNYB0mhanA2ACawvXuzJKAWFABd6mcEo36SNf0ROSQhj448Jo4SDUQ4mBRF&#10;13V97EydwbIdRMh8sLqCxfWI5FDLzfr5188223IxXxwfn5zcvjufwTZn5yabdV9XcH190fd929QA&#10;0nVt5N6TwR/AEgWA1ASjxAIw5qgiyoIEAwpiHEcZQlWw8VeREy5ioJ9NII3aszB5DMEL2+g19SFI&#10;ZAspUkFOREG7vrcGT003CSKsCsxWLrUoAgSACJhACRvkVbV59u0zV2Q+D822bMr68uLivfceWEUw&#10;KZSnxTbPjqCGhSRJTVDwme/a3tudhJA757su1k3Tdu0kkRrVyIUGrwfnQwhFUcznM+99j0je2CZq&#10;/jnGfrve3Lp1W4St7IgIEnsCEI7eORFFhNl0yjF+9dUXAHB2dvr82bPV6vXpixdN2wSipm36rgWE&#10;EMJiPl8ul/sHB++99+DWrVvL5fJguTebWqYm5FGdkME0QJZXW6MpM6ILWT5D58mxc342mxfFRBVF&#10;FIFsMDUAmvnGVBdOeUnqrCEEFkzWE4TZQicdZN1T8GNPEIa4LuXsZnfierOu67Lebjfr9Xazqeqq&#10;rKo29tw1jpkcKdjEeJsPa7ZomESO2CmoABB1IHXdXl1vN5vyerPdbusI2isAkaCzgjwGD4gOEZ3r&#10;+gjODXCjjatLrtPwpeGOQXgnwWEp8JCkJDeDQ7V1SG5ARJx5JTGuoY0wATXRHotDVQkGlwmUPmiH&#10;qw+8ruSfdaiYYALTUtqzMzXwxmsw5rtOl51bxDTZAsDwzYS+JKI0DKFCyjpVbSohsCoLotr4Yhyy&#10;loR0Inr0t45PZrOpYZS24tYEZkBQOrGAgJrnYT6fLhaLo+Oj5cHeycnJ8fHx9z76JIR8Npvl2eTT&#10;T3/3z7/8pyzz7dBfIqqnp2enp2d/+MPjP/+z//XWW3djjDIIt9gdinCWZ9Pp1DpaCFEVHbkQ8sPD&#10;I0ScTKaff/bk9PTbyXQ6m06EpawbAFKFGFkFYuQin37/+//zP3/7n23bmrwKADhvmlowzB5LTpoQ&#10;HZKKmKXuY/REIpoFzyJFlk0m05OTo6LIAaCu2+ur69VqZTYxhIAIVR2bpvHOZbMpEknK6IfhBogw&#10;KN/ADY4y7mpeQ2IKhDSwAS0VRnAAaGNm1Ap5SOSNy4QEPjireMEAXzvnQvDOuaqqmsY1TW2iDvah&#10;I/KGgBEYVGxWX1PXL775RlSPjo4fVOX9Bw8PDhaoMbb19np1dfXaptAiEXMENOJPGjduZtfY8eQd&#10;AfZ9P2xagrSBdyCk3fZO5g7ALlvNN4CoKEv03hOhKvrgY9975wYJtAQXG/dyxCHHZ3rz0DEzADkH&#10;hAgETBCFt9Vms9188cWXez5PPl3l4vKChdE5HTg4yWohmice00hEDD4YU3y1OvcAFHye55M8y73z&#10;fR/btk+XM5Q6YVCXA4Asy5bL5WQyqevSxLREhVmcw7ppzs7P3n7nXsgz472NVkJET09fPH/+7Omz&#10;r8pqqyovvn2BCJcXF1fXV9YLmBeF9+79tx8cHh7O57P9/YPpfL5cLqfT6d7eXgghz3O0oc7eS2RF&#10;VWdMJHDkEAQDZhkQOSLnQ8iyTEQV0SaGISCgOWAQYQT1PrPFsBGMoxHbwbhoWH3qcTEmh0XGBkeb&#10;OSbnEVVY+q5r27Zpqqquqrrq+vbl65e9qRHEnntmjlEY0Jn8OAFGVbDcXEDA8mIQxY5VkF+tN6/X&#10;13XblW3NSByh62IcTAKSQx80JdoERJpEihV2opjWp2Q3lcoTKVfZYesJDXnDfiPa2ZYbO3VXzvij&#10;vXvjlZIPGFKWschx4w3W5GjH2TyWbbXx/eM77Sfh7htHf7KzggAjhAcwiiqaXIHqkPgMl51QHiJE&#10;Jav2pwOjqb/dihPpyu0co2QhOzw8tPYv72z6MrBwWZbb7dY+2Xn34MGDDz98NJ/PimJChFmezebz&#10;yXQyny3ms4X1kgpjUeSACgjeJ6KzqjDHrmu//rqsq81yMWeOgzxl4iUQpQ6huq5FFQVENAQ0rdX1&#10;ev3y8tXt23fu3Ln78tXL7Wa93ZZd11pRQdji2bDdlgcHh1mWp5HJCMziPAJYh2N6SgPZIlVSCfHj&#10;jz4+P79wzj169Ojhw4dEtNlsmqZp2rrrWlUt8slkMjX0LMuyzz777L8f/7fzVJZlVdeOcDqbm5s0&#10;MM18t+62RgocbuyTXdVNBzYmpETR9oClLM45PzChkxSTqhKloZm2+JSkwxARF4vFbDYry7Ku6xht&#10;PGty5ERGhE7cQrFp2cHHlq+urh4/fnx+fjGdTveXe5cXF5eX523dOAK80e+hCukzVdCllDBBywO6&#10;fvOmbragDl3ACkOHk5WOHDgYWBJ2UzHGPM+VhWNUFtPMHk/lGBEamDoEz7bfSIUEZYSkEdGjE8LY&#10;9WESNHJTVeurc3ssqrLZbMqyXC4WKUxMyDYgYowxBAJ0wylMRFvjI3kARwjeZ84Fch4U6rrp+2ii&#10;wnZg4Yb/tx5+s/J91yFRjF3TtZMiB8LLV5dVVc0X87ZrDAMvy/L8/Pz09PTpV1+tVquLi9PI7bbc&#10;ltuSAKLEEEKR5ycnx3fv3D3Y379///5kMplMpvP5wnlHREUx8Vlma2DQsADY2HnQFLITBdtZIWRJ&#10;C8vGcREAKLk0fobIK3CM0Ta3psFThLt+37St7UWjVq4ojnAv6FBtQGscVO7bpimrbVmW1bZcr683&#10;28222rL023LrPXEfUdUnJa5hWJdzlkAROlFtrBCn2DGXbftqtbralquy3LS1ArUcXQhEHoDIZ+JR&#10;FNQhOgJBRwiG8SGAAvOgN4WptmHw90h1gwGHUAVRsOTPUIuxkrvbqSAW049nAAZGLCalPxh8184u&#10;pE/QhI3dqNrq6OUGhyECjIqgqWiCtlnTUYWhnrKzfOPn4xCVJcAEACBdko6QJ+xeiOa/FdORtqxt&#10;/NV0hQMLYDR5AABZlh2fnDjnVHp1pn4NKlyWZdu1ZoiLorh//90PHj5MG8o5RCtnAgDGvhUx3VIv&#10;EkXYlGTRIaDGyH3fIYKIvHr5cvX6NTPbioxLF5kRwBQ3AJBZQbHv2fsMkfo+Xl5efvDBB8fHxwcH&#10;By9ePL+8uECFPORN03FkAKir2hp87969+/r1S0iidrvOzSETHPNXQID95d6P/vbvPvjgO6vV1WQy&#10;EdW6qv7w2Wfb7fb1q1dlXSaeoQCRm81me3t777777g9/+MO9veUv/+kfre0uqSIaUW0QQTAR+BuP&#10;+Y9f5kMG3YH0isIWNioiELosmP6spXSQSkNKQx3JkFWDc43UHWNEpOl0SuTatm2auu972XmI9DQS&#10;3BR7FUEC4Rh7Oj874xj3Fou6KpumcbajBmyDEFnTqsFo4gkRgKOIle2Hs/NHbb9Drp0YdxZJ2u2T&#10;Ghql43FTVQMPQwhKYmw9u3KiBI1EFQJxA/lFRIi8CSHiaM7UpI2EvAdhYH55foEdry9fiQgR2kiI&#10;vo/MTI5sVB2Bs1ZxjizCxjlVMxRomsRxPp96BOr7DpGyUHCUsqvzfMqiGSKRM+qpqtpUcgsWsiwn&#10;ojzPu7bN87yOXds0eRbatjk/P//yyy+/efHt8+ffrDcbVbWN9eLFi+urVYzRB/Qesyz8yaP/cXCw&#10;f+vW8eHB/nKxyLJQ5MWkKPI8B4CimNqEJDucY8KIVk5UcOR9UQwpFnoKkPaETZsnQB3osCosSe9D&#10;BQBDloGO4kWIgyiT4fm2i8e28BQ3WdVNrfogrNr3bV3XVVVVVVlX1Xp9XZZl1zax61SVJQoIORLp&#10;+x6GWoKMVlFUelFAEEdRpWyb6/Vmtbqu6qasawaNIhGwirEH8llOWQHOKREIRFF0PmRZVBZFMs/A&#10;wiBo43oBbFwN8y75MKjXTPLOfKZtDaOlx4RBJ7uTDtsNK22bu+9tHuKO5j56mvGdDp2MwGEq2Iwz&#10;wHdfLsmAGhpojiqxV9+A0camSOOYGdErFY/SDdn2GNYQYZinm2A21WHS5XhVtvRk94hIqjxkMG9c&#10;JyJmITvY31dR77xwJHLmh7bb7UAc57295f7+sm1r54iZe+YQgn0UISJPIgsAAVKeZcdHR+eXLz17&#10;RXDONU0jEWLsmBmBnGqMMQGwQ3KWZcG00G0ijqTHpoi42Ww3m+3e3t7ecu/Bg/du3bp1+/atp199&#10;9ezp0xgjKFxdXZlwkSqUZfXhhx89fvxfVkB23jH3o1z36JTNBP3ob3/0p3/6Z4vFcjKZHh0d/+IX&#10;v/j8889tinPTNIhIfrjCdMo0hPD73/9+uVx+97vf+clPfvLzn//8yZMnTdPkRVFMppY2Ie6mugz2&#10;Dkak+ea6j3q942uSTxMOBs643VZpwMHB2I4DazoBMDWGQR4i3V2e523bTiaTEHwIPlGrrclsp5YG&#10;RBR8SC5EU4NOkYXr65URZXEIVQEBvX2doHHqAFiiiKShUALMzKlee+OkpDRLb/rRQRyE7N8xRjf4&#10;2tRPCtB3nfd+MpkE59u2NVI7IpJzCirRTLeoCKJaHuwce6fOZXaQbaawgnrv0YFGqjfl+nq9On8p&#10;VcPbOgBenJ8b5SzGiEqq6pxPDAu0NEuTXJaVdFSQSCTOF1NvcX2RT+tQWtUuyyfOeRi5gmrEbWsq&#10;pBBCPilCnvnaI2Ke521dVnU9mRQuD21b/+u//ctmu1UAEd2W281mAwoc42w2zTN/cLB36/bxycnR&#10;vbffXsxn8/lsPp/mWQaqiJSHoKrBByTftF2M7FwAREJCoijqIKGoqETOQ9ra6FzQAetAIKQACGyV&#10;LGUAIAxIyMJjE8m4rVWFRZCGovNoJU141zq1kkSWisa6rqq63mzWq9evr6+vu65tm6auS6tMIKhD&#10;AmGWGBkITeMyqWUAISCyqBIoUdl126pebbYvV1dXm03fS9txF6PPA3lP3il5RFTnFDGCqkLmvYqy&#10;WoO0mmYLWiiXMo0UEYoJDKEQpoDRDoijoVR0Q81L5UbKMgBTu59DCT7pi9h/igizgdRWoNpBvMNv&#10;DZ5s56phGNI8tL4B7FyODnnV6KvSzdy8mNGTyVAexV2b0ZjKpPWysHpX3En1ZLvlFGfuYk0FZmFm&#10;GAIOHEBSALAWk67rsmluGIh1U6/Xaxkk7IosC466rgXQLAuZd13XCjOLBHJt3TgXAMhnRZ5n9+69&#10;fXp+oSpV0xZFHoIrmxoA8iID4TdjW6tqQdf2RGilO5ahnx9AVa1bYDKZnpycPHz48PLighAJ6Xp1&#10;VZWViGw2m/V6c/ctaJvOuebeO++8c//dp19+AWm0c1oBigR1+5+bwjOOnCc/n04O9/cJXVc3Xdv9&#10;6l/+1ZRj7Fi6EGIfB+QEbXBRVVXOue12y8IffOf9H/zgB13XfvPsWdM0k+kME4gLYwUIIHGlgnO2&#10;W27GK+NptY5O553LnAJ474k8EaEj8i49JiBbVLTfAGJOPXaEHp3767/5q48++rAoirqumqa2VlCz&#10;4HVdtW3bNE1d18zcdW3f90ra971EXq/XT548efb8uXe+b9skNShJ4c1wI00Kd+oMfoTEe0tYlIIO&#10;Etp0w4ENtn4c+IbMPQA4Z/xvFYkKBIQmXRwj29utsd57n2e5PcABRbQDlrCsgbaQDlFkVo3OOUBl&#10;FlVWFQIU0CjMAXsV6CL0Ubo2Kybr7bbv+6ZtvEN25J1DUAVGJSJCskkRAIhW61VhJFFgb3QLjhFJ&#10;jo6Pi8n3HZIIhBD6GAHYwCdbfrnB5WCRvu+7Lo1eqOu66abB4zfffiMCRL5t26zIp9Pp+++//87b&#10;9+7cuV0UefB+uZznuSeHztEkDzH2IXgYFFPcMO9IRPIss2kxSBTyAskoKJ6IEB2IgnNqKJiqCook&#10;fKVXRYpEJKJK6NAjUIrUnLOq/rAn0FBL541g+kacPsIzMfabqlytXpebTbndvFq9qutahK1VFQBU&#10;GdSmvDkRcaSUNFHE+eG42tL2sW6a6/Xm1dXVar2u+r4DbUV7MXEXR8GHIvchRJBOIYIieSFCH0iV&#10;VaIVD8CJCjgCxKZtciKbtyYqhA4AWWSM5VNb1lAp15RdgwUjAMoikPqFcXC6TKb2uwAAAixJREFU&#10;aS8a79YeCAmyJnPgnRtKr7szcxPjUAUbB6kAmGaR7hyMzXMZkga9gWO9mTdA8g271PKGmxGVkRlh&#10;cQbvjPIOylNmZ2BpciHMoKRjyxhpQtgseWNhtjQZgVL9BgxG1PlijtK3besckEObzlDXtV1S8D7P&#10;M/te56hpartmEzpjB30fmavIEiMo0f37737x5Vfnr17lkMcYCTGE0Pdd33duGOOY3Fz6KyFkzFFE&#10;kJxlg+bFY4yqTdt2wYfj4xPv/YP7D46Pj6+uVrdPbv2///iPX//61/sHh13Xnb04ny8Wojrfm3/y&#10;ve89/fIL731VlZNpMSq9jlbPOffwwf3ttnzy5PPDg+Pf/vZ3n376aRqNjJhlGQBUVZnlAcg8cSrk&#10;2AJ1XXd2dvazn/3sk08++fGP//7xf/3uV//+a2PK0u7uBu/+Jo8Dh65P66AAAO99lmUhBPSOpWeR&#10;EEKWFeZ1MM0xUHMwqqpp/jSqatd1oCag4H7zm9/85V/+xaNHjyzzGE/ETYiu6zqLYGKMFMji/Jcv&#10;Xz5+/PinP/3p6YvTGKM1uNhVI4D3oWPhGBHUORu7MAhPoG0DE/mW8fnooPrDb1I5bhwiiTGp7Djv&#10;FLTvO0pDdb2KBh+s96jv+/l8bmSTyDEpHQmrqiMCRVVOc3GN95z6xROeJgpd2wlj22u2mI2hpndJ&#10;P7Qsy2fPvj7Y38u9mxRFkRdE3qEz3SxKnj+Iahd7RwBCANrH9v8D+oUkehsWB20AAAAASUVORK5C&#10;YIJQSwMEFAAAAAgAh07iQG4t4rFVdQAAUHUAABUAAABkcnMvbWVkaWEvaW1hZ2U3LmpwZWcBUHWv&#10;iv/Y/+AAEEpGSUYAAQEBANwA3AAA/9sAQwAIBgYHBgUIBwcHCQkICgwUDQwLCwwZEhMPFB0aHx4d&#10;GhwcICQuJyAiLCMcHCg3KSwwMTQ0NB8nOT04MjwuMzQy/9sAQwEJCQkMCwwYDQ0YMiEcITIyMjIy&#10;MjIyMjIyMjIyMjIyMjIyMjIyMjIyMjIyMjIyMjIyMjIyMjIyMjIyMjIyMjIy/8AAEQgBrwO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ogUm&#10;KBS5FUSLRQKWmAY9qdikpaAClFJS0DFoxS0CgQUuKKWkMMe1LiiimIXFGKBS0hhSiiloAMcUAUUo&#10;oAMUuKSlFAIKUUUCgBaKKWgApaSloAM0uaSigYtGaKWgA60UtFABijFL1ooATHvS4paKADFGKUUt&#10;ACUtFLQAlFLRQACilpRQAlGKWigBMUUtFACYpaKKAE6UtGaKACilpMUAFFHaigA/GlpKKAFopKXt&#10;QAlFFFAC0lHPpRQAUUfjRQAUUUUAJRRmloATigdKM0UAFFFFABiijFFABj3qvc3CwJ0y54C1LJIs&#10;UZc9qzTuZjO4+duFX0rOcrKw0rlW7uFtgZpnzKe/oK5C+1qR7ovCMD1YcGpPEMt19tZJchewrDPW&#10;oS6spvsTXF1NcnMrk+2MCnWVpNdXCpCpZs9fSpdP0ybULgJGDjua9A07S7fSbXJALgZLVaRJnwQv&#10;Cz2+Q0gUZJ7Gr4U4A9B2qpZTpdXt1MOhOOeKvEp0LCoe5URuOKjlQlCF9amLRj+NfzphdD0dfzpF&#10;F+0AEAI5zU9QWhH2cdDU+a3Wxn1CijNGaYhKSlzSUAFJijNICc0ALSUUUAFBFFFArCUlLiigY2jv&#10;SnrSHrQAnfrRRRQAmKKKKAEpGpaSgBKSg9aKACkxS0ZoApClpBTsUCAClpKcKAAUtJilpgKOtLSU&#10;tACilpBSigAzS0ClpAFLRRimAopaSlzSAKKOtLQMKWiigBaWkpcUAFFFApgLRS0UgFoopaACiilo&#10;ASlFFFAC0UUCgApaKWgAoHNFLQAUuKOaWgApaTFLQACjFKBS0AJilxR3paAExSYp2KMGgBuKXFLi&#10;igBMUlLRQAmKMUtFACUUtFACdaWjFFABRRRQAUYoooAKKKKACjFFFABSbR6UtFACFRSY9DTqSgBM&#10;e9BpaKAG5FGRS0uOKAE/GijA9KMUAFFJjFRzuIoie/QUgK83+kT7B/qo+WPvWbqOqxWMbzMRu6Io&#10;q3fzrp2m/McSPy1cTGs+ualjJMQNYrWVy3oivNLLqVyZ7kuIyeMVDNbRrJmFcp/tGuj160SygtYo&#10;06Dk1w+vuQse0kfStbdyTeTVry3hEVugtwOpiIyfzqnNr2ogESXVw49Cf8DWbE3+hQhivSmnB9Kd&#10;hEp1mdXJG4E9cE0061Oepb8zUJxmrmlyWayy/awhUp8uVzzRyhcltLi4u+k8af70ij+dQ3N9PbNt&#10;Mqtjuj5/lVlptNDfKIdv+7TftOnh+Vix/u0rBcqp4guV4Vm/M1ag8VXsMgYSSDHvn+dOF5pm45SL&#10;/v3VbUbmzkiQW4UOOuFxT1DQ3YvG145A3t9SFArWTxkNoEgg6dd+K863DuwprOOzDFMR6pF4x0xs&#10;ec/ln1yCK17LUrTUYzJaTLKoOCVPevEJHHl4r0T4cJ/xK7lvWSgGdpn2opcUlAwpKWkoAQ0YpaTJ&#10;oAKKM0meaACkPWlpKAEooooATNFB60HpQAlIaU0lACUUUnegAoyKYMkkk8E07FAFQGlpKUUCDNOF&#10;IKXFMBaKBS0hi0UUtAgFLSClFAC5paSloAKWilANABS9qBRQMWgUUUAKKWk6UtABS0Cg0AHFLmii&#10;gAFLRzS4oAKXFJzSigApaSloAAaKKWgAoFAFLigApaBRQAUtAoGKAF9qUUnHpS0ALS44pKUnAoGh&#10;aXFUJr8RnCoXPqKj/tKTbxCfzqeYajc08UuRms4ag+P9SSfrThfuesDD8aXMFjQHNGKo/b2/54tS&#10;fbpT0hp3CxfwaQiqX22Y/wDLA1G1zeH7sQ/Wi7CyL/FFZf2i4VlEgAya1AjBRz2oTBoMUUuDRiqE&#10;JijFGKXFAhKKWkoAKKMUUAFFLRQAGkopaAEoooxQAUUUUAFFFHFACUUtJQAg60tJS0AIaPxpaKAE&#10;qqx866CfwR8t9anlcRxlvQVm31yNP0uWd+HbNZVH0Kijl/FGoPe6gLWEnHTit7w9pS2VorsPnI71&#10;znh6ya/v2upOctkV3wCpHtA6CqjGyB6nE+JtSJvxFIoCoOq1xfiCRJUiKEHntXQeKGJ1Vs1hFQeo&#10;zRfURnRHMS5ORigkdq0Ai5+6PypklmlwfunPtRzBYoFgF5YUb1x15qydKiB+d3A7gdajm0td/wC5&#10;Ztv+1jNPmFYg3DtzRvHqBWhZ6JFMz/aL7yV2kj5d2TUSaTDvPn3DbccbR/nFHMgsUjIv94UeYvci&#10;rSabFzvkbOeCKd/ZkC872ajmCxUAzyoJ+lBDf3T+VaqJsjCqDgU7B9D+VLmYJGUsE8xCxRSO3oqm&#10;vUvA1jPY6HtuIXid3LbXBBri9PkEN2jyEqoPpXoFv4j0sRIrXIUgc5U1SYjbpD1rOXXtLfgXsQ+p&#10;xVmO/tJv9XcxN6YYGmMno5oBBGf5UHrQAlFFFABSUtJ+FACUUtJQAlJS0UAJSUtFACU3Hen0lADa&#10;KWigBuKT8aU9aOKAKYpaSl70ALS0nSloELS4pKWgBaKSloGLSim0tAh1LSCloGLRSCloAWlFJ2pa&#10;AFzS0lAoAWiiloABS0lLQAdqXvSZpRQAZpaKKAFFLigdKKACgiiloABS0neloAUUYoooAWjFFFAx&#10;aKSloELmlFJSigBc01xlT9KdSkcUhlaBQF6CrAVfQflUEPGR71YBrWK0IY7YnpSEIOCBS5zWCfD8&#10;/wDayXn25pFV92x1zjPpzQ9AWpvEIo54o+QrkY+oqtf2n26wlti2zzFxmqekaL/Ze4/aGkLDHTA/&#10;nQCNlBGPvLmrgu7ZLV4xZRFz/wAtGJyKz6KdgKN/99WAArTUZQGsy9H3TWnEcwJ9KyluWthCKaRT&#10;zTaQCdqbTqSmAlGaKKACiiigQUUUUDEopaQ9aBBQetFFABSUtFAwoopKBC0lFFAxKWkooEFFGTSM&#10;QqknoKQ7EEw86VIh0HLf0rmvE/m6hOllCwCry1b/AJwit5rpu/T6dqwbZHld5W+/Ic59qx3lcp6I&#10;taP5Om2wjYFn77a0TqsP9x/0rOxGvB3OfUHimny+yH/vqtbkmXrWlJqU/nQuY277qyz4Zlxzcp/3&#10;ya6fco/5Z/8Aj1IWX/nkP++jU2GcyPDLd7kf98f/AF6kTQJEYokysx/vDFdDvXtCv5mk5WVX8vA9&#10;s0WEYX/CLX78osTD/eqeLw3JBg3cKhT6NnP5Vvz3Re0McErxSHkOFpIQLkq0jGRgANxGM07Bcxbz&#10;wstxEGs32SAfdK8H9ayJPCeuoCRBDJj3xXo9vAB90kVcNr50DxluGGDgUBc8lTRdbfJj09ZMcEo9&#10;KdF13vpE34GvUNE8PRaOZDDIz+Yejdq3UVx0C4ouB4mNH1gfe0m4H4U4aLqxPGl3Of8AdNe4KHx9&#10;1fzp53/3B+dFwVjxAaBrmCRpE5HuwpE0rWwcDSJcj1avbWD/ANwfnUTK391fzouB43/YfiCTppWP&#10;9409PC+vk5eOGEd+MkV626vg/dFU5oPMQqxGCMGlcLI5DRZZbWxEXnpPsYgvnP4VvxtvUN6+lVo9&#10;JtrGAxQLhSSxHvTrRdrsoGFFNMGiz3paO9GKsQlIetLiigBKTFLRQAzvS4pcUUAJikpcUlAxKD1p&#10;eaQ9aBCUlLSc0AFJS0c0AUu9LRijvSuAtFApRTAWgUd6KAHUUUUALS0lKDQFheKWkpRSuAUtFFMB&#10;RS96SloAWlpOtLigAFLSYpcUDFFFGQOppC/oCaVwHCgVGqsW3MfwFS0XBhSimsQBzSI+6i4WJBS0&#10;3OO3FKDmi4WClpRS4ouFhKKXFGKYBS0UYpBYKKXFGDTASnCkxSgUBYKXFFKBSABThzQBSgUDKqcM&#10;/tVOPVJWvRA1ucE4GM/n6VeAxO49TUyge2a0W2hHUUUooxVLUrq4sokmht/PjB/eqv3gvqBVCIYt&#10;UeTW5rAw4VEDiTPXNadVklV088Bvu7sFfmH4VBpV3dXiSSzQeTFuIiVs7sepFJMLGgfu1l+fqK3Z&#10;VofkZ8AgcbfXNatBoauBTvBwv1NXbY7rWM+1U7r7i/Wp7BwbQVnJ6lxRZamU4kU3cDSuMaaTNPpM&#10;UXATrRS4oxQIQ0lLijFFwEopcUYoASkp2KMUXAaRxSelOxRii4xKKU9aMUXAbRS9aTFK4WEzQelL&#10;gU0ii4WAdKKKMUrhYXqKq3bnaIx/Hx+FWsVQaRTJJO3CoMCpnLQaWpna1P8A6qzQ9eWqFPkhI6DN&#10;VEm+2XMlyTnJwv0q1/yyH1ogrIUhy4NOxUQOKerVYhxGelII8nmpVxTsUrBcjChcYFKVyOlPxS4p&#10;gQNDnvT4BJAfl2svoanWPNaNpprztkjAosFyGG/ZPvQE/wC61XI9ViH3oZR+AP8AWtKPRrdB8y5N&#10;Tf2ZbAf6sUgRQTV7UdVmH/AKsJrFlj70g/4AasDTbf8A55infYbcf8sxQAxNXscZ8xv++DT/AO1r&#10;Ej/Wn/vg0v2K3x/qxS/Y4B/yzH5UagRNq1kf+Wh/75NMbUrTGQ7H6KanNrBjBjFMjt4huGwcH0os&#10;Fym+pW+OBIf+A1Vl1KLnbDKfwH+NbP2eL+4PypPs0P8AcX8qLBc5ia8eQfLBx/tGqqNOrFhjntiu&#10;xNtFj7i/lTfs0X9wflRYDmEnbGHQ/UVMJFI/xrofs0X9wflTJLKCQYKL+VPUDC3A0matXOnvDzHk&#10;r6CqeT+PfNTdjHZpM0n4UdKOYdhaKTIozRzCsLScUfhS49qfMFhhxRxS4GaOM0cwWE4ooJFBxT5g&#10;sJRgUYoo5hWKINLnmqgux02t/wB8mlF3/sv/AN81lzmnIW80VWF0f7j/APfJoNy46ROfwp8wuQtZ&#10;9jS/hVT7TJj/AFEh/Cl+0Tf88H/KjnDkLf4Uv4VV+0TH/l3kpftEv/PFxRzMOUs5PpQCf7tV1uJT&#10;0hal86f/AJ4N+dHOw5SwM/3acM+lVvOuO0B/OnebP3gP50czDlLGD6UuG9BVcSz/APPH/wAepfNu&#10;P+eI/OnzMXKTjd6CnDPtVbzLg9IlH40u+4/55j86LsOVFkZpefUVU3XR/hUfjS5u+wWjmfYdl3LY&#10;B9aUJ7mqmbv0Slzeei0XfYOVdy2Ilz0/On7fpVL/AEzPVKf/AKXj+Cnd9hW8y1to2mqpF36x/rQF&#10;vOm+P8qLsLFkxA/e5pyoFHygCquy8P8Ay0j/ACNAhvc585PpijXsBb25pwWqgivB/wAtk/Kl8u7/&#10;AOeqf980agWwtLiqnl3X/PZP++aDHdH/AJbL/wB809ewWLeKMCqflXf/AD3H/fNJ5F0f+Xj/AMdp&#10;XfYLLuXcCjiqP2a5zk3J/IUfZ7jP/HwfyFF32CyL9FUhDOf+W7fkKd5Nxjmc/kKLsLIt0uKpG1lb&#10;kzv+YpRbSd7iU/iKLsNC5jFKCKpG1Y9ZpD+Ipv2LPSWT/vqndhZGjketLketZ39nr3ml/wC+qX7C&#10;AMCeX/vqnqGhOSBcsM9RUwrPFrcI2YplH/XQFqkEV9jm5h/CI/41cZK2pDTL+R3oyKoeTe/8/Uf/&#10;AH6/+vR5F13u1/CL/wCvVc6Fyst5UNUgIIqibe473h/CMUfZZu97J+Cr/hRzoOVl7I9aXarLwwz6&#10;Vn/ZZSc/bZfyX/Cl+yyH/l9n/Jf8KXOg5WPu+IyD0zVe2mCPLG8m1VbgU82RJ+e6nI/4D/hQNPth&#10;Iz7NzEdWOazm77GkdNy0LiBlwJVI9zQs8Kj/AFi/iarCzhJz5SjHfFH2SMHPlrio1HoWWvIE4aRR&#10;+NC3lu3SZfzqDyIRyY0pNsK/wJ+VF2FkTm9gAJ81ePegXsGMhxVdSmcbE/75qQkKAWCD/gIouwsh&#10;5voQfvikOoW4/wCWgzTPNXsqj/gIqNpB7H2xRdhZE/8AaEH9/wDSm/2jBnGT+VVvNfOAtJuPmhnX&#10;GV6UrsdkWDqcPo35ULqUJX+If8BNN3Ke1ODD0o17hp2FOoRds/8AfJpP7Qj9G/75NLx6Uh6cCiz7&#10;hp2AajH/AHH/AO+TR9vjPRZP++TQDx0FJmlZ9wuhftqf3JP++aPtqY+4/wD3zQKUhadn3C4hvVx/&#10;q3/Kmi9/6ZP+VOG2ggf3aLPuFxDe8f6p/wAqj+2tn/UN+dScelA9lzRZ9wv5EUl6zJtEbKW4rF8S&#10;6gLDTfIV1DScc1sBlaZnPCxiuC1aZ9Z1pkTmOPgYrO12FzW0z/kHwng5HUVoA/ux9aqWcJgsYgRh&#10;QNtW/wDlkv1NbJaGYZpyKWOBTAM8CrkUexMd6oAVNoFOxmnAUqoSeKBDQtTJCT71JDAWIAXJrdsd&#10;NCAO4zQBVsNMLkM449K3IoViXAGKeqBVAUU7FACUUuKKBiUUUUCCkpaSgBKiUfOwqDUNXsNKh829&#10;uUhXtuPJ+grz3XviWCXi0ZMgjBmcH9BQM7rVNf0zR03Xt1Gjdl6k1xl98VIEJWxsWk9HkOBXmdzd&#10;TXk7TXErSSNyWbk1BTsK53cnxR1dydltboPcE0R/FHVlPz29s/4Ef1rhOnWjcPWnZAepWXxTgdgL&#10;2xdB/ejO4flXW6Z4k0vV1H2W6Qt/cJwfyrwHNOSV4mDI7KR0KnBFFhH0eRn3qjd6ck+WU7G9a8n0&#10;jx/q2mEJLILqAfwyDJ/A13mkePtG1MLHNJ9lmP8ADIeM/WoaGmMuLa4gkKySMB2OOtQFZP8Ans1d&#10;ayQ3UeQVkVuhXBFY93prQkvECy9wanlRakzIMUh/5bvSGGQ/8t3/ADqdpoYzh2APoaZ59uf4xS5E&#10;PmY1lk2485z+NJ+9A/1z/nStc24H3wab9qg/56Zp8qDmDEpP+tf86P3x/wCWjfnSi7h7tn8DSefD&#10;2c/TBpcqC43bL/z0b86Ns3aV/wA6UzxD+L9DTTcxf3v/AB00+VBzMGjmPWR/zpvlS/8APST/AL6p&#10;32qPpuP5Gk+0x/3m/wC+TRyhzEu0A5pcD0qLZL2l/wDHaAkveb/x0VoRcmGPpS5FQmOTH+uP5CkE&#10;Un/PZvyFMCxSioBG/Tzn/If4U7yj/wA9pP0/woC5NkUcVF5Rz/rZP0/wpfK/6ayfmP8ACgVyYADo&#10;MUtQ+T/01k/Ol8nj/WyfnQO5LS5qAwA/8tJP++qPs6/35P8AvqgCcnHalB4qD7MmPvSf99mk+yoR&#10;jfJ+DmgRYoqH7MnrJ/32aUW6er/99mgdyanYqHyE9X/77P8AjT/Jj/2/++z/AI0BckpR1qLyI/8A&#10;a/77P+NKII/Q/wDfRoC5NS5GOtRCCL0/U0fZoT1QGgLkuR60oYetQ/Zbf/nkv5U4WsH/ADyT8qLB&#10;cl3D1pc1D9mt/wDnin5Uv2eD/nkn/fNAXJi4FJuqP7PB/wA8U/75FL9ng/54x/8AfIosFx+8DvSi&#10;Rf7w/OoxBAP+WMf/AHyKQwQsMGJMf7opWC5L5qf31/Ok8+L/AJ6p/wB9Cq/2C2Bz5aj8Km8mNQAE&#10;XH0phcd9pgH/AC2j/wC+hSfarf8A57xf99igIo6KPyp20egosFxv2u2H/LeL/voU03dv/wA9k/76&#10;qTA9KXA9KLBciN5b/wDPZPzoF3D2fP0Gal49KWlYLkQu4vVv++TSi6iz/H/3wf8ACpM0ZFFguRm6&#10;j/2/+/bf4Ufak/uyf9+2/wAKlBo3UWAh+1L/AHJf+/bf4UhugOqS/wDfs/4VPnFLmiw7lf7WD0SX&#10;/v2aPtR/55Sn/gBqfNLmiwXKhvP+mM3/AH7NC3bH/lhN+KVazRmlYVyATuT/AKiX8qXz36i3l/If&#10;41LS5p2AgM0h6W0ufw/xppkmO0/ZpM59R/jVn8aUE0WAh82bp9mf/vpf8abvnP3rdsf74qzvpQc0&#10;WC5VxIRxbH8XFROZgf8Aj1z9HFaFLS5UO5nbbhuRAFP+/SiC6JyUT8X/APrVfpetHKguUhbz9Ssf&#10;/fR/wpfs85HIix9T/hV2jNHKguymLWbv5X60G2uN6sGiBUY6GrmaM0+VCuyuIZ+7Rfkaabac/wDL&#10;SIf8BP8AjVrNGaLILsq/Zp+8sf8A3wf8aPs04/5bJ/37P+NWs0lFkF2Vvs03/PZP+/f/ANel+zTf&#10;89x+CVYzRmnZAV/s0v8Az3P/AHwKPs0n/Pw3/fIqxmmk0rINSsbaT/n4b8FH+FHkTHgXTj/gI/wq&#10;wOvNJxmiyArG1c/eupPwA/wpk8JhiZvPlJHAGR/hVsmqF5J5kyR54XlqmbSQK7MnXL3+z9HYK2Hc&#10;Y96x/DOmM8Ely7OCQTkGodcnbUtZS1TlEPIrr7W1Wz0oqBg7KmmurKl2MpQBCOpOT9DTmbaidSvr&#10;SBiUCZ4B4pzg4XOP8askfGRuBJq2hycVmodtyEByMZq9E2DQgLiJkVagtmkfaq5qKAhsV0+nW6LG&#10;CACaYiKz09YgCRzWgFAGBUmzHajbSGMxilp22jaKBDKQ9aftFRySRxRs7sAijJJ7UAI7rGpZ2CqO&#10;pJwBVJtZ0yP72o2o+syj+teQeOPGk2s3b2VnIUsYzj5TzIfU1yMNnPcRs6odi9XNCA+h38R6Igy2&#10;rWYx/wBN1/xrj/EPxJhh32+kqJX6GZxwPoK8oSLH3OcdWNTrbr1Zsn0p2Al1TVLnUGea5naaQ92b&#10;OKzrYEJlhyTV8Qx/3RS+TGf4RTsBVPXrTkRn6VK1uP4TiiFzBJl1yppiIGgc5ODUDgqcEVumeDbu&#10;jdcEcg1lXLI0mcj8KQyAErjJNSEcVCXVTT45Q/TtQIccgYoGaeGAGefwqB5ieAPxNAzZ0vxHqmjv&#10;m2uXVB/A3zLXcaZ8ULZ02anbMrgfei5z+FeYRq8p5PFWRGsfQc+tAjvtQ8fadM+61sZ2b++SBmqa&#10;eO1P37B8eoauPz0paErDud7b+NNMmbEokhJ/vjity2u7a7QPbyxuD/dOa8nyD1xj3qS3mltJfMtp&#10;GR85wDxTEet8Ulc3oPiUX/8Ao91hJx+R+ldFn6UDuKaaRmlzSGkAYHpR+NGaSgCsPrSg80maAaAH&#10;UtNzS5oAXNOplLQA/NApuaXNADqWm0ueaAHZozTc0tADs0Ume9FADs+9Lmm5pc0AOBpc0ynCgB2a&#10;UU3PNGaBkmaUGmA0uaBDwaWmZp2aAF5oBpM0UAOzSim0tADqOKbmgGgB1FJmjNABRmikoAXNLmm0&#10;tAC5ozSUUAOzmjNNpe1ABmlptLQAuaM0lFAC5ozSUUDFozSUtAC5o6ikooELTh0ptKKAFFLSUUBc&#10;dRmkpaAFzxRmkozQAuaKTNGaAFzRmm5ozQA7NGabRmgY7NJk0g6UUhi5opKKLgFJzQTSZpgGaCeK&#10;aaQsFBJ4AoAHYIhY9BzWFfXgtrKe5Y/MckVL/bFvqJeC1ZmKnDkrgVg6/wCffyrZWy5C8v8ANjis&#10;Kju7DXcj8LWbXV093LyWOa7G9Oyxl7YU1zljrNjocC206TLIBz8gx/OsrxB4tuL2FrfTlEUbdXc/&#10;MfwrVbaElrTtSW5BVuHU4IrVkHCY9K820557CczPISW6jNdjpesJfJtbiRexpCNJBm7wAc4q6nBx&#10;3qhFIPtydeRV9TmQ49aaAvwdq6rSZg0Yya5ODoK2tOlKSY9aYHStjrTC2KVDvjB9qQikAFjjrTc0&#10;p600kAEk4AoAQ5riPiNrYs9G+xwSr9omOGCnotVfF3jlreR7DS2G8cPMO3sK8yuLiWeVpZXZ3PJZ&#10;jyaNx7FrR9FiuXM10+2JeTnvS61fJK62dqojt4/4V71St9SKQujudueBVYOJZN47mmImRQo4p+eK&#10;YOO1L06UwHZ9qXNM69aUe1MBw6018EENQCRS/wA6BGdKGRioGT2pogkflvkqe4Yh8qMkVNFeK0YR&#10;02kd6Qyk0EqDCgMKbl06oV+lasQik71HdQqsLEHpQIzfPJ6n9KBKzNgCogygHPrQj/vRk4FIDUhA&#10;EYpxxTYwwUKw5FP61QISjNG0UbaQBuFODU3ApcYpgOErQyxzo2GU5r1DTrn7XYQynqyg15WymR0i&#10;UZZjgV6hpVubbToYmyGC80AXqM0lJSGLSUmaMj1oArUopBS0AKKUU0ZpaAHUvSm96UGgBwo4pKKA&#10;HZ9KUEU2loAdmjNJmloAXNFJSigBacOlNooGOpRTaUGgQo60uabSigB1OzTM80dKBjweaXNMzzRm&#10;gRJmlzUeaXNAD85pajzS7qAH0Zpm6lzQA7NGabmjNAD6M0zNLmgB1LmmU6gBaKTNLQAUvNJRQAtG&#10;aSmSSrEhZj07GgCSist9RlJOwAL7imf2hcf3l/KlcZriisj7fcf3h/3zR9vuP7w/Ki4GwKKx/t9z&#10;/eH/AHzR9vuP7w/Ki4WNkUVjC+uf7w/Kl+33H98flRcVjZpaxft1z/fH5VZsLySeZ1dgQB6UXGaN&#10;OpuaXNMQtFJS0AFFFFMApaSikAUhpaKAEzS0h60UDuLTT1paSgAozSc0lKwx2aTNIaTNMB1RSn90&#10;/wBDTi2DVK/fKiAH5m5P0qZOyuBhWkcWkabNNJgEksTS6VrXh+K333N5E08hLPmBiR7Z9q57xhqy&#10;b0sEfCjl8d65lXXsTj6VnGHNqwk7aHa+KtT0a8sVGnyRvOH4KwlOPxrj97HvTC4x3/Km7/8AOK0j&#10;FR2JvclyT3NSwTNBKHU4PrUCnNKTxiqA7XRr1ruUswBCrh/WtpCu87emeprkvCTF7qXBO9QML6iu&#10;rV90zfLt9qWwGnDWhAcMDWdAeBV+I80AdNYTeYgBNWmHNYVjOY3APet3cHQH2oAY3GSeleceNfGg&#10;hD2Ni+COGYV32oymDT55FGSqEgCvnPV5ZJbySRyfmYnmpY0RLeGW4fzCSzdyacw4PvWYTzmrlvdB&#10;xskPzdj61SYipICrEGnW8/lPg8qetW7i38wejDpWbJE8f3h+NFhG1iJ4hJG+c9qbntmsaJ3RvkJr&#10;Qg8+U8oR74p3AtfjQPrSLBcnogNTLp97JyI1/E0XQMjqGWdU6Hmrs+lSWtsZry4EYP3UB+ZvwrLt&#10;7cXUpXBCfrSuMgNyxc7PzqJvN6g1snRdkeYSc+hqnNBJCD5iEe9AFWO6dDg5X3FW1u1ZdrkEH1ql&#10;tPYGnpbO4PGF7UCGTW7I+eqnoasW9iWO6Tp6VKkZEYSTLAelTITEOMlPSgCZ3JgWI42r0qEMV+8D&#10;j1qyk9tj52wfQiklnjaMhWUCldoqxAHU96UkY61mSyEOduD9KYskh4ppiNXco6kYqOS4A+VeSeBV&#10;aMO2AsZZj/eP9K7Lw54UYOt9qA56pH0FMTLPhrw2Igl9eZaVuVXH3a67jOOKTgcDp6ClpgkIetNJ&#10;p1JSGJSUuaTNMCAUUgpaQC0opKWgBaWm0tADqKSloAWij8aWgAFKKSlFAC0vSkpe9AC0tIKKAFoo&#10;o60ALRSUtAC0UlLQAtGaTNGQOScD3oAdml4qLzY/76/nS+dH/wA9F/OgCTilqLzo/wDnov50efH/&#10;AM9E/OgCWiovPi/56L+dL58X/PRfzoAlzRUPnxf89F/Ol8+H/nov50ATUCq4uoiT84GPcc07z4ev&#10;mr+dAE9LUIuIm/5ar+dS9elAx1ApKWgBc0U088VWuLpUG1OX/lQIlnuUhHJy3Zay5pXmfLnPp7Uj&#10;MXbLHJpMVLY7DcUYp+KMUhjAKXFP20YpiGYoxT8YoxQAylxS4NR3EvlrtH3jQBHNKB8qnmp9FlD3&#10;R2MCMc/WsiZ/MWRRKEYck9wK0NBwJkwoVcHaO+PWhAdRSimilFUIdRSA0tAAKKKKYBRS0lABRRRS&#10;ASiiigAPSkJpaSgYxztRj6DvXPGTUZ2LJeyKuThUUcVu3LiO3dz6GsWwOYs+9JgRMl/3vp/yFNKX&#10;WOb+5/MVrKeKeFU9QPyqLjMIx3I/5f7n/vunyTNaWRd3d5SMAscmr93sMgjVFGOWOKrWtuuoXjyy&#10;DMMJwoHdqhu7sNdzk5vDIuZmuZXzK5yck1Xfw2yn5XH516MdLtmHRh9DTDosDch3FWSecNoEqjoT&#10;9CKhl0aZU+WNya9IbQkPScj6ioz4dY9Lgf8AfNAHmL2F2owI249qZJaXQUEJk9+DXpx8Nv2mQ/hU&#10;L6AycGeDPoXxTuwscl4VSSG8mcgq2BXXI5kk3Hr61nx2X2LUJELo24A/Ic1fiXDdeKaYjSgOMVow&#10;ms+AVoRCnYC3GccituwnDptPWsOPpVyByjAigDYlQMpVsEEY5rxvx14TfTLl7uGMmzlOScf6s/4V&#10;7LE4miGOoqG4to7qBoZ4xIjDBDUmhpny9NbtE2CPoahKmvUvFPw9uLMyXOlIbi3OWaDqyf7vtXn7&#10;2oyVClWH3kbhgaSBoqw3bRjbIN6/qKtqYpx8jBs9jVc2xB5FILds8A5qrkkjWgU5XKGm+VMD8sxq&#10;xDHcgYLZHoauJaTMNzGNF9SKLodmU4J7yHpIp+q5q01zdiPzLi5aKPttXlvpVmztmuJxBZwtczk4&#10;B25ANd7ofwzErrd67MXY8iFeg+tLcDy/7HqetMf7PsbqZBwXClifqa29J8J6/bvh9Hu9h6sYzxXu&#10;WjaTZ6PC1varti3bh7e1bAlijXOMmnoB4TJYNCWWRGRx1Vsg1mXkShSHIVPevXvE2gtrX720KR3A&#10;67hw1ecah4N11WO+0eTHdDupDscbMIQcInHqaYvIrRu9E1G1J86zmQD1UiqAjkVsMmPrSExQnHrQ&#10;F2n2qdFyOelKyDHAoAjMCSjjg1WltAgywBFWsmPnqKrSCa4fCrxSuVfuVSsCnqM09duPlAFW4dMU&#10;HLLvb0qO8UxzBCu3A9KfOTY0dDlhiuA7oGk9W7V6DZ3guIwc8+1eVQOyTKQe9dzo8zEDmqTuI6fO&#10;aKapyoNLnmmMKTPNB60meaYCHrRSE0UCIKcKbSg0hi96XNIDRQAue1OpuaXNAC5pRTaWgB1Lnim0&#10;oOBQA6jNJmjNAx+aKaKUHNADhS9KbS0CFzS02loAKWkozQMdRUUkyxDLHAqhNePLlR8q/rSbsIuT&#10;XiRcD5m9BWdNNJMfmPHoKZSgVLdxjdtKBTqOlIBMUuKWloGNxSkUtJigQYoxilxRQMaeKR2VBuY4&#10;HvTZpkgXLHJ7Csqa4eViW4HYUCRYkvGaQbeFBz9a623k3wI3qBXCbq7LTH3afEf9nFOO4F6l6U2o&#10;5iRESPxqxEM9wxysXTuaqFD36mtePT4njDEsMipBpsOPvPUvUZihD6UbDWwLOFWxtLfWrEMEQ48t&#10;fxFAXMDYaXYfSuj8mL/nmn5UnkRf88k/KgDndpo2Gti+jRUUrGo+gqrbW6TyFWyB14oAobT6UbDW&#10;1/ZkP956ZJp8McZYM5IoAw5ZBCmSeazJWaTdtK79vGTUl3I5kc43FScLVCEIGkEpZnZMuy/w+gpA&#10;LBjypFWPzV6lv77/AOArU0M4uxnJcn5j2z6VlQdT8xiBX5VH8K//AF60tHGJ4iAFTI2jvj1piOsF&#10;LTAelLVAOzThTBThQA6kozRTAKKOKKQBRSUUwCijNFIBDSUHrSUDKuoH/Qn+lZNjjDZfueK1dQ4s&#10;pM+lZdhuwSAMepqZAXVHo4pZZfIiLnHHAHqaXqOVH1rMubhXZpCAI06AVnN2Q1qxk7ykCJMmeY/5&#10;NbNpAtrbJEoOAOT71naVbksbyYMHfhBjota6kY+8aUF1Y2PB+tODCmgn+8KdzxnBqyR4pwpgp4pj&#10;HDpXL3BU3Mgb+8a6kdPwrkrr/j4k/wB6kIpCMpqD/wC7V63chsVS3brnP+zVqH71MGbER+VSvP1q&#10;7FJgcqf51Qg+4tX4uoqhFuKRDgBhVpCO3NVVVSOVzUqxIexH04oA1LSTYpJbAqVrtQfuu30rOiXb&#10;/GxHoTU60gJmv1H/ACwmP0Fc1rmj6PrGXmsJ45/+esa4P/166MGnigZ4zqPhXUbaUm1hNxHnjeMN&#10;is77JfxHbJpN0p9QmRXvIA9KcEQ9UX8qLAeFQWmoynEWlyqf703ArZs/CpmcSapeZH/PKJSMfjXr&#10;wij/AOeaflS+VF/zyT/vmiyEcnpcmn6PCI7K3jT1bByfrxWrDrTTzBFwM8ZxWt5MP/PGP8qzL23Q&#10;3KbFCY9BQBfH2nk7lGBzis6XVpVcjbwPased9fW4cRNE0e7jgcitFoGeJXwA+PmX3pKV2Ow8a7Ip&#10;xj/x2lbWpG/gY/8AAKuWiBbZcgZ+lTYHoPypiMo6ncP0gYj3Ws+7t471SJtFic/3mUA/yrpc4qN2&#10;pDPPrrwcly2Yrc2w/wBhqpn4fTMf+P8AdfqAa9Ffmq79aVgZwi/D6BSDNqMreuEFacXhrR7K2P7k&#10;yS/3pGz+lb0lUp+9FgMWaGCLhI1RR6LXnutPv1OU+hxXol50NeczQPd6jLsGfnNAyC0hM04UdjXd&#10;aRbMFGR0qnpGhhFDEcmuohgWFAqjpVpWJZIOFxS5opKoBDiiikzQAZozSUmaAIaWm0UgHc0uaaDS&#10;5oAdSim0tAC07NMzQDQA+gGkooAdRmkpRQA7NKKaOKWgB1KKbR3oGOpabmq812kXC8t6UAWCwUEk&#10;gD3qpLenOIxj/aNVZJXlOWPHpUbKWUgNtPrUtgSMzOcsSaQ8daghheFSGleTP96myRTyccAfWok7&#10;DSuWAwJ6jH1pwIPcVTW0cdQPzqxHCqc9TUqUn0G0kS4opaKsQCil6UUAGKSl60E4GaACqtxdrCNq&#10;HL/yqG5vuqRHHq1Z7MSeTkmgVx0khkYszZNMPSjNIaAErrdDfdpy+xrkOldP4dfNow9GprcDbzTJ&#10;eY2z6U7NMm/1DfSrEX7Qk26dOlT8g1T09gbVeCSKt8VIyN/vGkabyI5JCMhVLY9cUr/eprR+ajoD&#10;gspHNAHOf8J5bhiDZyZHH3xSjx3bf8+Uv/fYrJk8Dag8hYSwcnPJP+FN/wCEG1L/AJ62/wD30f8A&#10;CnZCOot9Xj1jT2njiaMI+0qxBqewb/SfwrP0jRbjSdNniuHQ7n3DYSau2Y23K0hmxzUcoPlN9KfT&#10;JMeW3B6UAcTeAfOB8r7jlh2rPtSd37ors5Hzfxt3rSvxzKM/LvPy1mxf64GRMZGFUdEWgQ+3B8x8&#10;4Y/xufX0FaVm2LqPH97FU4wEG0DAHarFscXEf+8KaGdVnIpaaDkD6U6qEKDThTKcKAHUtNFLQAtF&#10;J1paQCfhR+FFITTAOaSlpKQCZpOaWori4itYHmmdVjQZLGgZX1ORI9Old2CqF61laYwaHIII7Yrj&#10;td1+68R3wtLNX+zq3yqP4sdz7V1VhJ9nswWHPTb71DYF66mz+5U4Pc+g9KpQxfb7sIoxBFy2OhPp&#10;UTtI7CNCTNKevp6mtq0t0toEiQYxyfc1mtXcp6FlcgYGPQYp4J70wU8VZI8c9hTsDjApopwNADxT&#10;hTBTxTGP/hNchd/8fEn+9XWk/KfpXI3R/fyfWkIqj/j4P0q1Dyayrq6FtdrvwFYYJNaVs24hhjB9&#10;KpAbVv8AcFaEXQVDb8xLkDFTjAbjigRYSrCGq6Gp0oAsJ0qVahWpVoAmU08Hiolp4NAEgIp4qHbS&#10;D7xzQBZBpc1XAJOBSkFAOTQBYFRvFG5yVyTUe4+tKMletADfs8OeV/Wl8iMdF/Wm8+tAGe5/CgBx&#10;4XA4FNzTWJB6/nTcZPNACk471Ezj1pzr6ZqEqc+1IY1nBPWoXNWNgJAAHFVpO5oArSHrVGc9auSH&#10;rVGY8mkBk3YLgqDjPGTVDT9ESOQudpyc5rQuD81WoOIVHtVxBj441jQKo6U6kzQTxVCEPWijNNNI&#10;BaSjNITTAQ9aKM0maAIaWm5ozQA6lzTaM0gHUuabS0AOoFNzSg0AOpabSg8UAOpRTM04H3oAdmlB&#10;5poNLQA6gnH/ANaigHBB96BkMkd1JwIiB9RUP2GY/wDLI/8AfQrTknihA8x1TJwCTTftluOfNXv+&#10;nWoAz/sE3eI/99Cg2M/aLH4itUTxEA+YuD3zThImcb1yegzSGZIsLj/nn+opfsFx/c/UVqg8nrzS&#10;/wAPf86BGULC4/55/qKP7Puf7n6itfnd3pOxHP50wMr+z7j+5+oo/s+4/ufqK116DrTqAMf+z7j+&#10;7+oo/s+5x90fmK2KWkBhy2c0ETSSL8q9eRWLdXRkO1eF9PWuvvF32cq+q1w8o+cg0wGE8U2g0maQ&#10;gzzSE0dqTNACGug8NvxMlc9nmtjw6/8ApUi+q00NHUikfO0/SkXcAckUpOQasRNphzbAdMVerO0w&#10;/Iw/2jWhUjGP96nJ1FNfqKE60AT0GkzRQBFdc27VnQHFyn1rSn5gb6VlxcTJ9aBGxmkJ+U/SjOcU&#10;E8GgZxepjF9KKoRpsBycsTy3rWlq4xfuaz880AOB5qaD/XL9RUIPNSRn94v1oQHWg5FLTEPyA07N&#10;UIdmnA0wGlBpgPzSg00GlzQA7IpM0maM0ALmikooAKM0HpTHkSKMu52qBkn0pDEmnit4GlldUjUZ&#10;LGvMdf1278S6gLCxV/I3YVV6v7mneJfEU+vXo0+wDGANgBern/Cur8MeG49FtRJMA124y7f3fYUg&#10;GaR4dh0TSZWYK11Ivzv6ewqpEQkXmyH5V6D3rc1a6wgt14ZvvewrJtYxdXeOsUPUf3j6fhWU3d2Q&#10;13LumW5RTPKP3sn6CtIVEp/yKdk/hVJWETA04VGr5p4oAkFOHSmA04UwHing1GDTwaQxzH5T9K5K&#10;5/17/Wusb7p+lcjccyv9aBGbqdiby1cIMuoyBWVomupbuLW8YqVOAx6V11ggaQkjjFcf4r0CS1uW&#10;u4E3RMcnA6UwPQ7G8jmhUrgqe4NXgQx4rxOw1q/0xibaZgvdW5FdRp3xDmTCXdqH904ouB6cnap0&#10;6Vx9l4+0WYhZJXgbuHX+vSugtNb0y6x5F9A/sHGaYjWWplqtHIjgFXDD2NTq1AEopEfI3D1pOvBo&#10;RMcDtSYxrTsJeWOf7gXOKW2uC0jKGDAdytPEfzFtvPc0RwrETtUAn3qFF3AWa5KgAYUjqW70xL0e&#10;YC5Uqei4NSPCJMbwePemfZU87zcHd0qXCV7jLDzoibinHb2qi19KEyHjBzycZGKtupcFcHBFVjYR&#10;mPZhgAc03F9BE0N0k0QYL25PIzUvBGQKiWLYgUZwPU07LAYqo3W4Cs2O1NznsKaxY9abgimArNio&#10;dxJ5NK271qNgaGAO2xTzVPcSSM1OyjuaqzTxRLl5FUDuWxQMZKeKoTtyaqX3ibSbUHdeRs392M5N&#10;c/J4xhup/Kt0KrnG56LgbODJOAOgq4OO3SqtlIskO4HLHrirVWkSGeaQ9KM0lMBTSUlIelMAPSko&#10;pD0oAD1oyKSkoERClFYFv4s0ufh5Ghb0df61qQajZ3HMNzE/0cUrjLdFICO2KXNAC0uKbS0ALS03&#10;PFGcDrxQA+k3KO4/OqskjN8qdPWo/LalcC95if3h+dL5if3x+dUNmOtUbm7AykRye5pXGdCCCMjm&#10;lrO0u5EsBjOd6VofhVCH5pD0NJ2pT0oGNuoI7pV82JmVfcAVALK22BdkmwLtzvH41oRYeHaQCOmD&#10;TvJiK4KAj0PNQBm/YrRgE2yLtyB8471LDbWwlV442LKcj5we2KuG2hJyYl/KnrFEuNqKMdMDpRcB&#10;w5OSuDj1oA+Ujj86DwwPH40fxdqAHf3eB+dA6nj9abkbRyvWlyMjpQA9On+FI0uw42sfoKQEDPT8&#10;KzdV1e20pBJNLlz92MHk07Bc0vPzj5G/GlWYkgeWw965T/hMdOkeOZ7OQyr3Djitaw8UabfuIt7Q&#10;yMeFkHX8akDXkG6Mj2rhrobZnB7E13f0ORXEammy+lXtuzT6CsUiabmhuTSUAL1ppoJppakAZ71p&#10;6DJjUB/tCson2q1pcqx6jEzHaM9TQhncAinZ4qmb+zX711CPq4qNtX01PvX1sP8AtoK0EX9NOJJV&#10;/wBrNadYmj3cNzPK0EyyJn7yMDW1UjGvQvWh+gpF60AT5opD2ooASX/VP9KyF4lX61sN9w/SscnE&#10;n40CNgHK0p6UxTlAfaloGcnrYxen6Vld62NeGLwH2rF70CJAalU/MKgB5qVTTQzrIzmJP90U+oYG&#10;/wBHT6VJmmIdThUeeacDQA+lzTM0uaAH5ozTQeKN1MBc0ZpuaM5pAOJ45rznxj4na8nOl2LExg4k&#10;Zf4j6Ctfxn4i/s61+w27/wCkzA7iP4BWT4L8O+e41O6X5M5jVu59aTA1/CPhpdNgW8uVzcuMgH+E&#10;V088ywQtI3AUZ+tPz2H5CsXWbgtIlsDkfec/ypSdlcaRkajf+Wkk8h+dz0NW9FYNArD+LmuW1Fpd&#10;Rvzbw8hPSun0RSkAUjkDBrOPcb7G0KeOlRqaeKoQ4CpV6VGDT6BjxTh0pgNOHFMQ8VItQqealU0h&#10;jm4Q/SuRnOZX+prrX+4fpXIz/wCsf6mgC7po+UmrsipIhWQAqRjBqrYjENWs1Qkcjq/gpLh2msWC&#10;OeSh6GuOvNMu9KmH2qIoOx6g16+elcb45tppIoJFyY1yD7GkwOClcM2aYCykEfpTmGCQeDTGoEaC&#10;alf2zAwXk8fH8MhFaVv408QW/wB3UpGA7OA386xOTGp7YptItHXwfEvxBEMM8Eg/2o/8K0Ifixqi&#10;D95ZW7/QkV5/Sk8dKQ7HpcfxelH+s0sH/dk/+tVlPi/b/wDLTTJQfZxXlfGKMDrTuKx64nxd08/e&#10;sLgfQipl+Lmkd7S5H4CvHfwpSF7EUXDlPZB8W9Gxzb3I/wCAij/hbWi/88Ln/vkV41kUZHpRcLI9&#10;jb4taR2tbk/8BFQt8W9MH3bG5P5V5FR+FFw5UerP8XLX+DTZj9WFV2+LDucR6WP+BSf/AFq8yHFS&#10;RcNUtlxirnoEvxO1JyfLsrdf94k1Qm+IGuz/AHXhjH+yn/165fqaXFZubN/Zx7GtP4n1u5J8zUJQ&#10;PRMCsu5urmfmaeSQn+8xNNpr44pXZTiktCLJq3p43XafWqzYA61t6BZCWQOwPWt6epxVFZnbaWMQ&#10;CtDPFQ28awxKoFS9uK1JQUU1mCqSxAx61n3esW9qPmcAnoOpP0FJjNE9aazqBywFc9NqlzIm9ttt&#10;D/fmbGfoorPuPECQoTEjzf8ATST5F/Ad6VwsdY1zEDjdk+wqGbULeEZkkVP944rzy68S6hc5RJfL&#10;U8Yj4FNs9E1XVW3eW4Q/xyEgUXYaHbSeIrJf+XiPj/aqH/hJbP8A5+Iv++hVOx8F20OGu5Wmb+6O&#10;BWn/AMI7pX/Pqv5mnZk3Fn0qxuf9daxMT3281mzeEtMkOUWSM/7LVu55pQaYWOb/AOEVmh5tdUuI&#10;/Y//AK6P7P8AElt/qdSSUDs//wBeulBpaVhnMjVfEVn/AMfOnpMo6lP/AK1TReMLYNtu7aa3bvkZ&#10;FdARUE8EEy7ZYkkB7MoNFguFrqlleqTbzq5HUDqKlJLnngelVrWytbIN5ECx7jk7RVnfU3GLimsw&#10;UZNI0gVCegHrWVc3TTHaOE/nQIW6vN5KRn5e5qrSHIoHNAF/SZNt4V/vrW8DzXL20oiuUOxmJOBt&#10;65q79qmttTiSWX91JwF68072GbmaXNMzTqYixbn5SPepwaqQH52FWgah7jFBpabS0ABPHWjPI5P5&#10;UN0pOwOD+dAC5OCM/pRngcn8qTPPf86X+Hv+dMAyc968l8aXs11r0qSKFEXyrxzXrZ6jrWDrnhS0&#10;1lhNuMNwP41GQfYjvQJnkKOyNlTzWlp0011ciIDcxPGBXSN8N74ynF9b7T3KnP5Yrp/D/hK10Q+c&#10;z+fcH+IjGPoKTBG5pwlj0y3SYnzQgBz1zXM65Ht1B/fmutrmvESYuEf1WgbMBqaacwqM0CA/WkNI&#10;T2pD1oADzTfIW6ZYJGIRzg7acaIziZD6EUAasfgPTsZM9weM9QP6VYTwVpSd5z/20rfhbMSH1AqT&#10;NWBU0Wwh0y5aGDdsPPzktXQ1g21zE+qbEkVmC/MAea3R0qWMR/u00U5vummA0AWM8CikB+WigBxO&#10;RWNIMSH61r1kzf6xvrQBqRnMa/Sn1DCf3K/SpKAOa8QDFwh9qw881u+Ihh0Nc6z/ADYoETA81KKq&#10;CUDrTvtCg9aEM6aw1C1mhRI7iNpBwy7gSPwq+GzyK4l/BVtqMQvbe6lhllO89xk1WOl+LtH5tLz7&#10;VGOils8fQ1Qrnf8AenVwMXjfUbJtmqaWwxxuTKn9eK1rXx3o0+BJJLA3fzFyP0ouB1INO4qha6tY&#10;XoBgvIZM9g3P5GrZkRBlnUD1JouBJRVKXVtPhOJL23X6yCmLrOmSHCX9sT6eYKLgXiaparqUelad&#10;LdSHGwYUepq0siOAyFWB7qc15r411h7/AFNbGBsxxHBx3egCjpdpceJtfMkpJUtukJ6AZ6V6tBEl&#10;vAkUYwiAACsXwtpC6VpaEr++lG5ia3c0AhS1chqFzl7qbPcgfhxXVyttRj6CuMkXz0Cdnf8ArWcy&#10;kWfDmm7LOW7kHzuDjNWtL6uP9o1rxwrDYBAOFSsjS/vv9TTasrCNYdKepzxUYp4NICQU8Gowafmg&#10;B4OKdmowacKBjxTwaYKeKYh55jb6VxnnebK+RhgxBFdrjEL/AENeeXd2LK4NwwJXPKihbgdRbjbC&#10;B7VLmsOPxNYeUpxIMjpgf40v/CTWH/TX/vn/AOvTA3F5PFVdYUf2VONyj5Oc1mjxRYDn97/3yP8A&#10;GsPxHrv9pWht7PeeNzg8HFJjOKudpmbbnGai2nbu7UNyeacFyhzSQmOTmPjtTgw6Nz9KIc+W2DSE&#10;DGc80maLYCAehx9aNpppHvTckdDQJj6QdaQO3fmnFu+BQAuRRkdDTRz/AA0KdxxigaY7I70hIqSO&#10;FpZAo6mrEmnmJcySKKXMluWoSaukU80Ail2YzSbGzkcU7kWdxQdxxV2K3yRgHJplpCHNakcewALW&#10;FSpbQ7KFBvVlcWjdS4FKLUdzmrWDjFJjHasOdnX7KKIPIUVVuEHmYAq+1SW8SMdxXJpqdtWTOmpa&#10;IpWli08qKwwpOM16Bpulx2cY6ZxXLqRHyMDHPWulGu6fBao093GpKj5c5NdGHqc1zhxVHkaNXIxx&#10;VG81OG1jJLD65rnb7xjbvuS0jlkPQbRx/jXNvqmoT3O4Rbpeg+U8fQV03OQ6m4v7q6BlMn2W3/56&#10;SfeP0FYc+t21sxFkheQ/enk5Y02LQ9b1dg9wWC9jKcD8q3LHwVaQ4a7laZvQfKKLMLnKm8u72YeV&#10;G8sp/ib5jWrZ+EdQvmEt7KYh6Ny1dtbWVtZrsghSMeoXBqY9adhamVp/h3TrAArCHk/vPzWr2x2/&#10;KikzTAWkz70ySRI42dyFVRkk9Kzf7f03/n5j/OgEi5nNKDUWacDQBKDRmmA1JFH50gTdtz3pAJn0&#10;pMc1o/2fgczN+Ao+wj/nq9S9QM/FNbCjc3Aq8LLLY81+azZw2HRiTtagClcytKfRfSqbcGrcg4qo&#10;3WgRG1O/hoIJwAOae0WyI560wIfOMDCQDJXnFN066e/1uEykEjJC+lDjcMUmiz2NheNlP3p4yT0+&#10;lJlI7IcUtQRXMUy5jcGpc1QiWI4lFWqoq2HU+hq6DxUsY4GlBptANIB/amdVPTj3p1MGORx+VADv&#10;4geKBjBHH50meByPyp2fmI9R6UwD0PHHvTxUY+79Pang8CkA7vS5ptLQAufesPxGmY4n/CtvNZev&#10;Jmx3ejUIGcg3WmH2p79TUZoEITSUE03PNIBTSBsGgmmk0wNy48W6dp9qkYczT7ceXHzj6ntWZ9o8&#10;SeIjiFDZ2rfxHjI+ta2iaFpqwrd+QrzMcln5x+FdEAAowMY6AVSAwtA0BNEu1kM7yyyfeJ6V2YPA&#10;NYkvyzxN71sqeAfahjHt0qMdaeehqPNICdfu0tNQ8UHrQA7NZdz/AK5q1AazLv8A1zUAXbY/uFqa&#10;q1o2bcVPQBgeIx+7Q+9cjM2JGrsfEQzbj61xdxxMaTERvLioWlPvSuCajMTt0NNAdxod3btpcC+f&#10;HvAxt3DNagKnkYPuK88h8P3F1CJksYJlJ+8ZSp/Q1WvILjSceZHdWrH7vlXWR+VMLnot01ssJe68&#10;sRAc+Z0rgNd1Tw2WZLfTlml/56KNi/l3rn7nUr+/ZYp7iWVEOPmbIH1qxp9naQXHmahBJcxf9MnH&#10;H1oAzAzPJugiYc8bSTippZr0gLObggdAWOK9Q0S70KWNU04Qo3dCNrfr1rYdInGHjRh6Fc0WCx43&#10;FewqQHt417FtmT+tblraaXfxjZf2cchH3ZIth/Ou0u/DOkXoJe0VGP8AFGdp/SuU1nwJLEok0xjK&#10;O6NjI/xosBlvLf6IzTWF6DEDtPlSblNS+EtObVNZ86XLLGS7E9zWBPb3FpI0NwhRl/hNaWg+IJtE&#10;mcxxrJG/31Y4/KkB68PlwB06AUE1zen+MdNvAqSubeQ9pOn51upcJLGHidXU91OaoYt22LWT6GuP&#10;srhXUP12Pk/nXXzr5kTr6jFedQXDWWrz2sn3GbiomrjW56OzB4CR0K/0rE0zh3/3jTtMvh5JtpG5&#10;AOwmo9MOZJf940XuhM2AacKjU09aQEg4p4NMFOFADxTwOKYDxTu1ADxUi1EDT1PNUMmkYC3f12mv&#10;L9bcPC5Hqa9LlJMMnspry3VmPluOnJpCM9DiNfpQW96jU/Iv0oLVoA4visiSeVbhnVyrDuDg1pk1&#10;BNbpNy3yt60mrgMtZrSRPLurZmYn/Wxtg/r1q4LG0aBtwmWIn5ZgN232YCs9LeWB95IKjrxmtGFs&#10;oJA8tur8F4zlT+FSIzTGsUzokiyL2ZeAfwNRMcCrU0KQXG1JRIMfeHGaqbgCQVzzUdTVbCAZNSLA&#10;WqIH5sgcVYSTbSd+hUUnuRCPBINPWAN3oJ7+tSRnnFS2yoxVxfsuBndUTwlDnOfwq9xsqtKcGpjJ&#10;3NZU4pEImaM5A5FKLgSN+8z+dNIOMmoT1rXRmF2ti9lQmVYVCXyf/rUyM8dqUnnFTbU0vdF3Tm/f&#10;FfUVrbawrZjHMpJxzW3sJGQetctde9c7sNK8LCkjpnmmmjbg9PxorE6BpxVCWe5EhSNmH0FX2qn5&#10;uyX5soezetbUzGqMW1vZPmfdj1Y1pWWjW88BaRQWB+eRm+VR7U37Tuj+ZuB3FWdLvLEyEXk+2FTk&#10;R4yCfU1rRnJytY5MRTShe5p6fpSyxiO1j8i17zEfPL/gK3raytrRQsESrjvjk1nN4m0pAAsrnjgL&#10;GcVEfFmng8CU/wDAK7Lnn2N88Uma54+L7MZxBOfwH+NRt4yth0tpfxYUXA6Xmg1yjeNYR0tW/wC+&#10;xVaTxu/IjslH+89FwOxJqlf6na6fHvuJAG7IOSa4u48U6jcqQsoiB7RJn9azfKu7yTesUsrE9TzR&#10;cNDpWa98Qy7pX+y6epzycFqs/wBg6F/z3H/fwVgR6DrNzjMTAdt5Ax+dS/8ACJ6p6J/30KNULcRt&#10;X1zSyPtaCRP9rB/UVsWHiexukzM/kOOoc8fga4cRXM54WRz9CakNjdQoZZIWEY6k1PoM77/hINLB&#10;/wCPtPwzVnT9csJ7tI4blWcngYNee2WlXN+rNCU2g4O5sVs6XoNzaX0Nw1xCNjA4BzmhsaPVCcpn&#10;PauSfX7+DUXgfyyivgZXnFdVA2+BT7Vx2rxrb68WddyyY4NHQXU65H3bW7Hmsu8XbdSD+8M1pKFE&#10;SbR8uBiqWor++jk9RihAzHkqqw54q3KvJqs3BzTuIkSLaMnrTHwVIqfPyj3qButIZTPWp9N0y3u4&#10;ZhcKHBbK+q/Q1A/BNPtdUt9OkYXD7Q444zQ9ARYbSLyzO6yufMUdI5ev4GpE1qa2YJfRPH7sMr+Y&#10;pw8S6b/z3/8AHTTX8Q6WyENOpHcEGi6KsacOo284BRx+BzWyrblB9RXm95quiB90EMvmZ+9F8ld7&#10;pk4uNOglXOGQdeTSbDoXc0tNzRnFAh1HRj16UmaQnDA0AO5wetGeQeaZ6j+tB6L04PrTC48dCOac&#10;p47/AI1H3/8Ar00sVBcuAi8mgLku4ltuCVPU+lCJGjZV8n0LV5x4i8ZS3E729kWSFDgsDjcf8K5x&#10;NScks7sH6gg5NID24EnPGMetUtVXfp0g9BXFeGPEt19sitppWlhkO0bzkr9K7u6RntpgTwV6UIHs&#10;cI/BNQsammz5h/KoGoYhKb3pScUwmgBSaQmk3ZppNIDsNAcNpwB7GtcGuK0+88mJl8wr+OKt/wBo&#10;yE/644+lPmSKSudHccbGH96teM5jB9q4hbx2ljzISMjuK7W3OYE9xRzXC1iaos81JUXc0xE6fdp3&#10;emRng040AOzxWbe/64n2rQzVC+/1qn2oAmsj+4x71azVKxP7th71bzQBjeIQfsZPvXE3LfvefSu6&#10;1xc2DH2rgrziWgQzeBSCZRUDE9qZk0DLc3iyTT7P7JaxgS85kY5x9BXOSXct1c+ZcSu7yHlnOcfQ&#10;VY1IW4AOGNwevPy7e1XdFtdI2+dqEsMrN0jZ9uKBG9pmp+H9LsRApMrEZkPlE7jVW91XwzPkJBPH&#10;If4ogF/rVxBoYT/R7G0lPoZR/WmtcPF/qPD9oR6iRKdwschd3MInzEzkA5V8BWH4g1vaH43mtGFv&#10;qBaeAcb8fMv+NW5dT1bGIvDttj/dBrB1l765QTXWlwW2ON6LtP8AOgDv4PFmh3GAL1UJ7OCK04r6&#10;2uOYLiKQf7LA149Dp17cWnmRWe6PP+sxVdY7iFvv7GX36UXC5s+MJ/N8SXAbom1f0Fc+SM8cCpJG&#10;eWQtKzO56k80jwkKCDu/CkIYrMv3WNXLTVbqzcNBM8R/2Twfwqr5T4+7R5EnZTQM7bTvHxAVNQgy&#10;Onmx9f8AvmquvyWWoOuoadOjsOWTOGH4VzkxEkKqLTYw4LKSc/hVVo2XnDD8KAudvpdyL62Hln94&#10;g5QdR7itnR25fJ79+teZQXVxaSiSKRlYV6H4Zma4tFlc5ZupqeXqO50imnio1p4NMCQU8H1qMGn5&#10;oGPBzT+1Rj2p+eKBDxThUYPFLu2gmgDJ1TxXpWnNLbySvJOBgqi9K861DVYLoNsSQZ9QKi12Qzaz&#10;cyEcs5rO5NCBlkXS4HBo+0r/AHTVUg5HFN6HpVXEbOm6xbWTuXtvMJ6HGdv50+6eK4IuVUxI/wDC&#10;AD/LpVWOe1CQEqoZQd529TUkpUN5sbHB5x0qWxkLecoaeE5SMc/LkfjSRXNlKQJIJYWPO6B+Cfoa&#10;0ItXtkhCSWyFs8kop/mKoT3sZvPMjjRF7DaoqLXK2RLfPbPEoW+3n0aLBH4isgpuY85544q7NdsQ&#10;f3UPX/nmKfFfW4XBgBPfCCpu4+ZtTjGW7sU1QY5pxAA4H61fN7ARxb/+OCka7iMZH2cj32D/AAqb&#10;yfQ3cIJfEZ1PQ89ahkB3ZAIH0qxaqXfvVtaHNGSUiUsAKhkwauSR7f4f0qpOpIAA/SogtTSdTQiL&#10;FownGBTDH7GpBcKibfLGRxkio1mkRiyMVrRXM21bcfFHyBzU5t2LfIjH8KSDUZ0cEtuA69BVy81Z&#10;ZowsEUkfHJDdalqRSnG1im0Wzl22kdj1pft0y8CQ47VUeV368UynyX3F7Vr4S6b6br5h/SnR6hIr&#10;fOdwqhQOaPZx7B7efc0zqQPGz9aqtMGfcxJHpmq+KMUKCWwSrzluXY7tUVk2ZVu2elWLa9tIpA0t&#10;p5igdN5GaygDmpADiqjBXJlWk1Y6Aa7pyjC6NDn/AGnJpF10TPtisrG2GPvNHmsIikwatmNzXubq&#10;6aNiL62/3Y1A/pWdBC95OEaX5m4BdsCoeaQHB7/hSS7hc6eDwXOcGadF+nP/ANatW38IWEXMjSSH&#10;v0Arl4PEGoQxLGtx8o6EjNTf8JFqJ/5eP0FO7BJHawaRp1sBstF+pGauKERcIgUe2K8+/wCEg1Hr&#10;9pP5Cg69qJ/5eT+Qo5mOyPQt/tRv9q87OuaiR/x8t+Qo/tvUf+fl6LseiMgMR1oZA46movNPpTfN&#10;b1oJJPKK/wARx7UKdrA7yefWoy7HuaFXPNDBHs+g3P2rSYHznKCpr+GFozJJBHKV/vrmsHwPcGTS&#10;BETyjEV00w3RMPUUojluNUjyl2jAxwBVXUF3WoYdVNT25zbKNwYjgkU2dd9tIvtTRLMKYfMffmqU&#10;tXpuVQ+2KpSjimBKhzGKaQKbEflxQ3FAyrMMSGsvU5Y4VSWS3WYZxg1qzjkGsvVE32Tn05otcV7G&#10;W2owdtOh/E1E18h6WEA/Oq4xjpSnFTYdxzXCt/y6RD6E/wCNem+E7gXGhRfKF2krgGvLua77wHPu&#10;sZ4SfutkUmUjrxS5popc0xDs01jxnP6UtB6cUAGeQPX2o7EcflSc8cGgd+tMBc8g/wBKiniM0EkQ&#10;YLuBHSpcnA60vO7vQB5Dq/hy+024ffEzRZJWRVJBHv6Vlx208zhI4Xdj0AU17lj8qAiKchVB+lFx&#10;WZ554d8MXjXqNPFNBEuGJcYJ9hXou3ERTJIxgZNFOpD6HB3a7J3X0JqqTWjqybb6Uf7WazGoYkNN&#10;NPSlNMagBCab3pfemnrQBQ1EsGQqxGfQ1UDyn/lo5/Gr2oD92re9UUbbzihoCa1kkW8hJZvvjv71&#10;7PYtutYz6gV4qknzqccgivY9Iffp0J/2RQM0c1GT81OqM/epgTRmn96ijNSUBcWqV/wymrmap344&#10;SgBLA/fq7VCxPzvV6gDP1gZsX+lee3vDL9K9F1TmykHtXnmofeX8aBFByahZyDUklRrHvcKO/WhA&#10;Zl6rPMp3Y44zVf5ycEK/4Vf1XcJ0C4Py9SOlUP3hPLkfSgBwA7x7fxpC6qfvH8DSLGCfmz9aeI1B&#10;6UAAunT7ksv4MR/WkkuJ5SBIXYDpuYmpFUZ6ChgQ21Tz/KmBGbmbHlgnHpk0wyMemc98CpljVgVU&#10;/VqTy1ZflYBB1J70CZXJBbuPc07zBt+7+OakaMkc4A7D1qEYBG5ScUgJFkRV+Zak8yPqI6RIi/zN&#10;+AqTy80DGblPRSKazOR8pYe+6pRHVeWTc21eFHU0CGmVxyXz+NegeE23aema4KG0mnP7lGb/AIDX&#10;eeF43itAknDL2pDOnBqQHNRg8U4Uhkop2e1Rg08UAPFPBqMHilFMZKDQwypHtTQacM0CPH9ajZNS&#10;uAeokNZ2cV0ni6DytZmI6OM1zBzQgY8vSbqbzRTEBJqaO4Kp5bHK+vpUFFAFkkMM5qJsA9ajDFeV&#10;/WnrIpGHU/UVNhpkiTxj/WIT7qcVAzqXJVSB7mlKAnKtkehppX2poYhcdh+tJu/zmkIwaKNBXZPb&#10;39zbHEcjAemMitGDXZYjmW1hY+uwKf5VkByjbhj05rW0zWWgaKF7SxkjB6zwhuvqetOyJsnuSyeI&#10;DIPls4fxXNZ8upzzOWG2MkY+UAVLcaioNxGlrbAO2dyr0/3fQVmu5kbPFLlQ7IlDLklwzfSpPMix&#10;8sR/Fv8A61QqMjilwaBkyyK5CrEqn1yaeCUPSq+MdKuRyRyYEjbT3NS/IqNuoACUbSOe1VmBRirD&#10;kVdVoIzxKPyNQXUkMhBTO4dTimhNEGaTvRRVEig5pelMpRxQAuaXNICc0tAC54pM0meelFMQooAz&#10;SUUgHiNm54wKcqOcD14FNV+1Tjaw/nyBTGP+wXWRiFs+1L/Z14P+WD/lUcpiCgrvX6Gq32llPEsg&#10;/E0gLhsroD5reT/vmk+yXH/PCT/vmoF1Cdfu3Mo/4Eaf/ad1/wA/Uv8A31QBRwP4jim/LzzSdaMC&#10;gBcj1p6sAMVHxShcmgDuPAV3i4mgJ64YV6A3SvJ/Ck32bW4j0D/Ka9YU5QH2pLRlPXUrW8bReYmD&#10;tLZBqUYOR6inE0zOHFMkwp1wrL/ceqMn3elat4u24mX1G6suSmxIji+8RTm61EpIlFPY0DI5x8uf&#10;SqFwu+3dfUGrU0m75QagOMEetAmckCwYqw6HFPpbpfLunXp81NHSkMDXV+Bptl/LFn7y5/KuVra8&#10;Lz+TrcHP3vlNKWw47np+eKXPFMzxS5oAfR7U2lzQAmRt7cUuRuzxTOx5P5Uueh5/KgBexHFOyMqe&#10;Kbnr/hS54B5/KmBJnilpuaXPvSAdmim0tAHKa+m3UGOPvAVivx3rofEa4nR/VcVzr9aBDDTDmnGm&#10;k0MBuKTafSnlsUeaRQBBd2U91BsiTLdayZLG+g+/byY9hmrV1qUxn2wyMgTupp8WuX8Y5mEg9HUG&#10;k20PQzPMZGwyEEeoxXsHhqXzdGt2z/AK86XxBvGLiyglH0xXfeFrhbjS0dECDsvYUJ3YbHQZqNut&#10;OzTH61QEsZ5FSZ5qBDyKmzQAuaq33MS/WrFV7zmD8aAILI4lb6VoZrMtDif8K0R0oAr365tJPpXn&#10;eoLgKfc16LdjNs/0rzzUBnPsxoEZbinwJhTJkZNIV3ttFT4wuABgdDSGZWp8SIcCqPvVzVGXehHX&#10;1qkGGKaEOxml+lNBDcA80oO47UP1agB2SPlTqerelNxwVThf4mPenbt33ThB1alDBskgCIevemAw&#10;AMMZ2xDqfWgkMMt8sS9B60u5TGXddqDp2zSMQVEjZHovrQAwt/G3CjovrR5LyAuxx6CnCMF97HI7&#10;D0qYMDikIrxyNG21ulW02uMg59qjdUk+8KqORGxUOcHuKYyzJunPlxAkDqQKtImnWKAyZmlPO2q9&#10;rNEsDRMSM/xiomtZR8yASKecrz/Kpe4F2XW5yuy3RIU/2RzXUeFpGktQ7sSxPU1wxDDjBB9xXbeF&#10;CfsailYd2dSD0qQGolNSL0pgPU81ICKiWnigZICKcDUainigRIOlKDTB0pR0oA4jxxBtuYpgOoxX&#10;DsPmIr0rxjb+bZow6qa84kH79lNC3BkdJ361MYx70nlD3qrCIqKl8se9AjGe9FhEVJUoiHvS+UPe&#10;iwEBHFKkjIThuvapvKX3phiX3osO5Huf1owScnmpREvvS+UvbNKwXItmRinQqqSBmJwOwp/lgetG&#10;0e9OwXIJE3OSp4J703yj6irW0UbR6UrMNCuqbe9Ox71LsB7UeWM07ARYoqXyx70eWvvSsFyKlx71&#10;J5a0eWKdgIgOaUdak8sUeWKLCuMzRT/LFL5YosMjyKQ9al8sUeWM9KLCuRZ7UtSeX7UeWKLAR0ne&#10;pdg44pfLFFgIakR9pp3l+1GwUWAkDqw9f+BAVDJuXlCCPTGadsppGBRYZEXJ4aND+GKTK/8APJfz&#10;qWO2nut3kxs4Xril/s67/wCeEv8A3zSApilxRilxQAmOKUHFLjmgj0oAu2FyYruF842MCK9htpvM&#10;tY3HIIrxRMgivWfD9x9o0aBs8hQDS6j6GtknsPzpjgjniorneU+QncCDxU3VPqKYjP1EYnjb+8MG&#10;saXgkVt367rZG7qaxZ8eY350xFRjg596SaXIwv40SnmoTQCGk4po5oaq13O1vCSg3OegoAxtTQC+&#10;YjHIqAUjCZ3LyKxYn0pc44xihghwxVrTpDDfwyZxhhVQU5Gw6kdjUsaPYY33Rq3YgGng1S02XztN&#10;t5PVBVodaEU9x+aXNNpc0CE7/wD16X+Eex9aQ8EH+lAIwRx+VMB2eR/jR2I/rSZHB4/KjjJHH5UA&#10;SL0paYh+X/ChlDDv+FICTNGarQxMCTIBkH5cMTx71YoAxPEaZgif0Ncu3Suv11d2nE+jCuRegREa&#10;jant1qNulMAPSqF/c+Uvlqfmbv6VZuJ1ghLsfpWGzmSQu3f9KAFXPXv60760zIxxRn3oAeTzXpHg&#10;aXdpe0/wsa80rvvAMubeVPRqGCO6zTXpaY/QUDHIfmqeq8Y71PuT+8KACobvm3apd6Z+9Uc5VoWU&#10;MCaAKFqcXCj2rTFZUBK3KgjFalAEc/8AqHrz3Uhy4/2q9Bl/1RrgdSG6WRQP46BGfBGMFsZHanMh&#10;2k4Pt/n/AD0qXhFABwMYBHeql3fparuI3EEfJ61Iyy2gwXNmGl3LM3IYHpWDeaLc2QLMy+Xnhs4N&#10;bcnia2kto2hgdZBwyMeF/Gsqe8N2ftFw4K/wpnimrgUdmUwGwB1NKULAAMBEOpHU1YkClDJOeD91&#10;c9vc1VJ3je/yxDovrVCHGNmIBXbEOQB1NNILfPICqL0X1pdxI82U7VH3VpQ5XMsh4P3U9aAGnJHm&#10;S8AfdT1p8cZdvMk/4CPSnwq7jfKAD2BFTHGO1AiEoKCu2pQOM1Vurjb+7Tk+tAEM8nO1eTUOxs8q&#10;TTo5pYwQjFR9KUySv952P40hjQpB64/GpI7ho2B6kdwcUzA7jP40oIHQCgC1JeGeII7sPqo/n1rr&#10;PCnFoMHdzXEluK7bwvn7HFgDnP8AM0AdSuaeDTAcdRUi4NIY9TTwajAwKcDQBIDTwaiBp69KAJAa&#10;cOlMFOHSmBma/H5mnOfSvMtTg2DfGuGzyc16rqib9PlHtXnWoQlGKt0JqWM5zznVvmJNO8xzk7j9&#10;KLiPax9qgqiSTzXz9404SNj7xqGgUATeY/8AeNHmPn7xqGjigCUu5/iNG9/7xqLikoAm3t/eNG5v&#10;7x/Ooc0oPtQBLvb+8aNzf3jTQ4FPEi9/5UAJub+8fzo3N6mhnQ+n5VcsrmxS3ljvIXkYj5Cp6GgC&#10;nub+8aMv3J/OmMVJ4GPSm5oAnBOPvH86N3ufzqDNGadxWJt2O5/Ojcf7361BSgUhk+4/3v1pN3+0&#10;fzqI8HpRxigCXdx979aNx/v/AK1Fx6UnFAE28/3j+dJvP98/nUVA9KAJCx/vH86Mt6mprO2M7HHa&#10;lulEeF4pXAg3N/eP50b2/vH86QEUu0GmAm9vU/nRvP8AeP50bPQ00qR2oAlhnkhfchXOMfMAR+tM&#10;Ls2fmxnr2FIACKUKvvQA+KaWB90bsue4NWP7Tu/+fh/zqoVweDRz70ALilxToygBDqxPYqaZk84G&#10;aBC4pcUzcR2pC5PSgY/IWvQfBF35unvCTyprzsIzHJrr/BM3k3ckWfvjNJjR3z/NGcE5x2ogJMQ3&#10;Zz704gYqMSgsV9KYhlwu+0lX24rBnxhW9RiuhzncPUVz1wpVSp/hagRSlqAnmppOtV3IUEnoKYIj&#10;mkWJC7Gsx3aVyzdT29KfNMZnz/COlQyusSFmpgMmlES4/iPSqRJOSetIzmRixNLwOppNjFHTrRmk&#10;zzR0pAek+F5/O0WIZ5XIrbrkvBc4+xzxscbWzXUC5g/57Jn/AHqlOxTJRTqq+ev/AD8Q/nStOP4b&#10;iH8TTCxYbOR1/Ck5z3qHzlIGZoSe/wA1P86HIPmx+/zUXFYk5x3pwPzd6Yu0rlSpX2NLkZB4pgPH&#10;Tv8AjS5pgI3HpSswXsT9KQxEeQyuGVQo6EHn8qkzxVfzAJd21uR6VKsgbsR9RQIraovmafKPbNcW&#10;/Brubhd9tIPVTXDSDBI/CgRB3prnaCT0pzVkanebj5CH/eIpgVbu5NzNwfkU8D1qEmmjgYooAdQK&#10;QU4dMUAArtPAUmJp0+lcZ0rp/BEmzVHXONy0mNHpwPFI5+WkB6Uj/cNMB8Z+SnknHHX3qnJe29nb&#10;+ZczLGnTc3Sqo8SaP/0Ebf8A76oAs276ibhhcR2wh7MjEt+VXQayR4i0gn/kIW//AH3Txr+lH/mI&#10;W/8A32KV0FmTXHF6lXVPHWsqS8guZIpbeVJEzjcjZrTHT60wB/uGuC1UYnnH+1mu8bODXDatG32m&#10;c9F9aBFAn5Dxjjv6f54rm9QcyznPQda3L2byrbOe3WubLb2MkgwueB60IBUACEsuF9D3qTKNHucF&#10;VHQetR8cSS8AfdWndP3sv/AUpgPbYwWSQkL2WlZQXEjtkfwrTOg82fr/AApQTjEsvLfwrQA7y23+&#10;ZJhj/Cgp0UJZzJN97sPSiGNy3myHk9B6CrBOKADgUUnPU9KguJii7UGW/lTAS6ufLBReW/lWeOWy&#10;eSaTliSetSpHjk1IAqnNPxShaXFAhv4Ckx3xT8UAUDGceldp4XIa1UbCcMehrkOBXT+FJlw0e4Bw&#10;elAHZKwBHzFfrUg5/umoVZuOaeGB6qDSGS4HdG/A04AeuPqKapXsSKeD/tD8RQAoBxwwNO53cj8q&#10;Tn+6po6N0xTAkFPBxURYKCScAd6wp/GOk27lfMdyDg7VzzSuFjbvz/oUn0rgNZ++tal745sJbdo0&#10;hmJPfgVyt9rMd267Yyo9zSGVLsY5P0rPYYPtV25lWSPiqOaaJCjNFGBTASilxRg0AJRS4pMUAFLm&#10;jFFABRzS0uR6UAMopxx2pQBjmgBlFKR6UYoASiiigAooooAKUGkpQDnpQAHNJTiD34pMD1oASil4&#10;pKAL+n3CwF2Y8kVFPKs0gOCRUKSMqso/ipNxz1pWAmktyihgeD2qLBFIWZiMkmn5OKYCDNOFJkGj&#10;awG71oAbgB6XHNGckU4AjrQA3nNFLij8KBBuPpSZY+1OxSgUDGBM9akCAdKKWgQoFavh+cwarC2c&#10;AnFZVTWzmO4jcdVYGkxrc9RvriaOzLwjL44rCi1G5ibdITJn1Yj+VdFZss1pG/XIqG7gijKv5SHL&#10;AHKimrWB6Mi0+6e4TewIAPU96rX67bmUdmGa1fLRV+UACqGpL+9R/UYoQMxnFZF3P5jmNT8o6+9O&#10;1jVFtm8hOXPXB6Csf+0BjhD+JpiRcYhVyeAKzJpzK/8AsjpSzXLzrtwFHtUIFFwHZpwptL2pDHUo&#10;OetJS9KQHReFZcS3EX95Kk1y9urNY2t32gnB4zWd4el8rVohnhvlP411smm3TuflhZM8bif8KVh3&#10;OJ/t/U/+eo/75FKPEGpj/lqP++BXaf2TOf8Allb/AOfwp/8AZDf88of8/hRYd33OJ/4SHUv+eq/9&#10;8CtLRNYu7u7aO4cEbeMLjmuibR2I4hh/z+FRx6Ndo4ZfJGPRRRYEzZ0t828i+hzV05wOtUdPgkt9&#10;5kxgjoDVrcCCOKFsDJM/N3rJ8TPMmiTSQSNGy4O5Tg1p7h8pyKg1C2N7YzWwYKZFK1RLPLP7a1Ic&#10;fb7j/vs12fgq/uL2C4Wed5HUjBds1lnwDd54u4fyNbXh3w7Po8sxmnjdZBjCA5oaHFs6Y8qR6iuH&#10;uhsnkX/aNdso2rgE1xeuSpaXU7ueM8UhMyNRvBbRYHMjcCufzklick8mnzTNcztI5JJ6ewptMAoo&#10;4FA60AKDTqaKlgiaeVI1+8xwKBEtrYXN6T5ELOB1NdD4f0u7sdWSWaH5OmQw4rY06xWytEiUc4yT&#10;71b5WRcg9R0pXKSOmX7oO3tSMcqRTY2zGDk9KVuhpgc74qXzNAn9ua8r555r2a9sF1KxltWk2Bh9&#10;70rmG+HMZORft/3xT6CZwGT60u4+td4fhwva/P8A3xR/wrk/9BD/AMcosIPB8h/snae0v9BXeq2V&#10;Fcvp2gHQ7V0NwJd77s4xiulibMS89qRRIcYPWuQ1RA1zKuG5bofpXX54+8a5TVZFgvWZ3AUHLMaY&#10;GXDo6agj/aSyqBgbTisa98NX0EubdBcp2xww/Cuu0+5tLu1/0K4SXb95Rww/A81aUHvwam4WPPv7&#10;G1HeHfT5T7E8VVnja1uP9KidHxwHHFenY+lcD4puBdaqYx92EbBTuKxlI6bzIzbn/hBHFPiVC5kk&#10;dS3YZ6VW8oUeXg8E0AaRKgZyMU3IPOaoGNsfeNN2SdjTAuXFx5S7V5c/pVAb2JOTz1qQxl5NzHNS&#10;hQuKQhkcYx708YBp2RTT1oAWmnrS0UDEo5paSgQucU0HDhlJVvUHFB60c0DNG313VLXAS7Z1H8Mn&#10;zfzrXg8ZXMeBPaRyD1RsGuX+tKDikO53dv4x06TiVZYv95cj861LfXdNuMeXeREnszY/nXmOaNoP&#10;akFz11JkkGUkVh/skGpAa8eVpIjmOV1Ps2KtxaxqkHEV/Nj0LE0wuj0vVZ/I0u4c9kODXkjhpZDs&#10;GTWtceItWmtXgmnV42GDlRmsuzuWtZvM2hqEDGm1mxnY35Ux4JEXLIw/Ctd9ekPAjQfhVW51SSeF&#10;kKrg+1PQRn7sqBTT1ozxikoAWikpaACilpxYbcBQPegBv40ZxSAUYoAfvHdFNOV4+8efoxFRYpaA&#10;J1e2z80MmPZ//rVIrWGDmO4B7YcH+lVKKALJ+xnp54+uKifyc/uy/wDwICo6KAAgetGPelooAX5c&#10;YxzTcDPSg9KPSgBfwoopKAFyaTmiigBKMHrS0maAEopaQdaAHDpRTthCbsjGfWm0AAODmpA4PUYq&#10;NRlsU8pigBWVTzmp4bd5ABsdiDyMdqq8qfarMd1M+yJrh1hzyCeAKAEaFnuSsaEEnAXGTRKkkeEd&#10;SCuQQeMGp7xLaFY/Im3yZySM4HpioZr6eaPZK+8fQfzpDIlK5+bcPoM1J+5/vyf9+x/jUUU7x5w7&#10;AenWpPtkn98/98imIQUoo4ooAKWk/GloEHQ04Gm0vagDvNE16xh01EubpI2UYIap7rxRo7RlRejO&#10;eojLf0rzphu4zTTEKSVht3PRR4t0fYAbo56Z8s/4Vn6x4osHsgLSUyTA/L8pGK4gRCl8oCmDEdnm&#10;kaSQlmY5Jo9KXGKKACgUUUCF6U6minCgY4UUlKKAHRTyQSLLGcMpyD71oN4p1gcLdH/vgf4VmmmH&#10;r0oC7NQeK9Z/5+//ABxf8KUeK9Z/5+v/ACGv+FZORnpS8UtB3Nf/AIS3WP8An6/8hr/hSf8ACXa0&#10;P+Xkf9+1/wAKyeDRxRYV2a//AAl+tD/l4X/v2KX/AITDWf8An4T/AL9isjAPanBBRZBdmt/wmOsj&#10;/lun/fsUv/CZaz/z2j/79isny19KTy1A6UaBdmx/wmms/wDPWL/v2KX/AITXWP8AnpF/37FYhAoA&#10;X0osguzc/wCE21j+/F/37rJ1HVLnVZ/NuCN2MYUYFRbB6UxlAosFxuMGijpRnimIXH5Ud6TNLmgY&#10;6lUkHIJBHQim0ooA0I9Z1OJQq39woHQbzTv7b1ISIzXs77Tna7nBrNyaXPFFgudUnxAvo0Cm0gbH&#10;fJFP/wCFiXeObKH/AL6NcYx5ptKw7nUyePNWMhaIQxD0C5pv/Cea1/fhP/bOuYoosF2dQPHusjvB&#10;/wB+6cPH2sf9O/8A3x/9euV5oosFzqn8d6nMAJY4GUdgCP61pQ/EUJEqtp/I6kSf/Wrg6KAuehL8&#10;RY24/s5z9JP/AK1c5rmvSaxJkR+RGP4c5JrBye1A5pibLETy28wkhlZHXo6Ng1rp4o1hFAN6WA/v&#10;RqT+ZFYq8ClFAXNmTxNq0kZU3e0HjKIoP8qyizMxZySxOSSeTTQeKAaAuPoxTd1LmgBfxpaSloEF&#10;Ao60uKAG0YpcUhoAQ9aKXr+FBpgJn1oJopMUgCjHTmkpRzQMD1opKUdKQC0tNo9aAHA8Uu7imZpR&#10;0oEDsSuOtViCDVqmFQe1MZXyaCGKbscVKUFdBodiktnK8uGjJ2spHT3pAcwvWrltptzdRl4Yy4Hp&#10;1reXwok0reVcEr2GOlX7WyOksIs5wetUBxs1ncQNiWJ0PutQYIPIr1YKk8QLKrDHQ1QuNE0+4U7r&#10;ZAx7rx/KkB5zSVd1OzNldPEQQAePpVGgB1FNpRk0ALRScg0ZoAWikzRmgBaKTNGaAFpabuo3UAOo&#10;pMnHAoyfSgApaTcTUsCeZIqNgbjjJ6UARUYPoa6i38LykbnmjAPoM1ZHhiNlKPOc9sLSA47GaNvv&#10;Vu8s5bK5aGUHIPB9R61XxRcCMjmgU4oc5FJggUwFP3aQ9BQ3ShugoAdEMsalxTIeKmY4GTQBC6se&#10;APxpgjbPSrIO5eBmpQ1sUUNvDdzikBRKP6Gk2N6Grw8rnO8+nAo/cY+8449B1pgVUTA5Bp20elTn&#10;yccs+Meg60mbf/no/wD3zQBEPu0o6UCloEJxS0maXrQACiiigApevekNL3oASg0UUgGGkxSmkxTA&#10;KWk4oxQMWnCm0uaAHUopop1AARTTTqQigRHRTiDmjaaQxtLS4pQOaYABUg6U0CnDgUgFprU6kbpQ&#10;BC1KKcRSAUxDweKY1OApD0oGR9DSU40mOaQCUoo/CimAUo60UCgQ7rRSCnY5oGMKZNHl0/HNOFAi&#10;Ly6XYKfimkd6Bjdoo20UuDQAhQelII804deakAoAi8rikCAVOfrTDQIZRSmigYZpRQBRQIXFOFNA&#10;9adnFAwpQOaM0tAgo5oFFABRSUtACUY96KKAEpMUtIetABRR70ZoGFJS0lIBaOtN706gBCOaKXNG&#10;KACl9yM+2aDn0pKAFlMZb92CF7g81r6GzvDPAGABUnkdMd6xSa3PDU8UUtwkjhXeIqg9T6UAb2lt&#10;Jb3DQStubqCBjNX9StnMYkCHn2pqS251bT4othcRYfb1z7111+1vFpYDtEDnOCwFMZx2mTh02dxx&#10;g1dZcVmK6Q6w5hZWR/m+XmuliihuEyeDSA4nxRp4lgFyo5Tg1xJGCRXtN3oqT2sqiQYKng15DNGV&#10;uZIQqllcgcUAVKM4q+9ncJEZGiXaPvEDpXWad4Kt7y2hka9ZHkXdsCDiqsI4XOetGBXpQ+Hdv/z+&#10;y/ggrkvE2jx6LfrbRytIGQNlsCloBg0c09cq2Qeak818jJJHpQBBg+lGK0GaOSElIGB/vZJpXgkM&#10;GVhwR1wcn8aAM7HtRitF4JWi/wCPYBsDocmqYGH2sOR2NADQCF4B5pCrHsa6/wAFaXZ6nLcLdwiQ&#10;KBj2rtB4V0Qf8uUX4k/409Banjm1sfdNAVs16J4l0ixttMnMdhHAFK7ZVPJHeuKMGnbCftcuccAR&#10;0tB2Z0fhrVWuE+yzE+YgyvuK6dImyH25x2rivCIjXxNEqEvGVPUY7V6LevtjIUAUmC3scx42gtZN&#10;Jt7qKILJvxn+YrgAK73xaf8AinbYE/8ALQmuCpIqQtLikFOqiRu0UMAVNOpOO9AhkR5xT5Puj0qI&#10;8NxUvVKBka/3d2KUqR/EKQcNnPNSBXfoN1AD8r5QY9aQOnWkNtIQCBkHtmm7WUbTkYoARzk8U3n0&#10;p3fFL5UnqPzoAf1oxRmigApe1JRnigQtFIDS0MYUvakpaBCdqTtRzRQAhpMUpooGN+lFBpaBBS0l&#10;O6igYdqWkpRQAtBpKWgBKKU0UgEpaSlFABSik70tAC5oNHNBoAaaKOKKAQUlHtR2piGH9aQ9adSU&#10;DE70UUYoAWlFJigUgHClFIPelApiF60tFFAC00iloNAxuOKSnYpKADHNOApB0pR0pALSEClpDTEM&#10;IoxzS0lAwpRSUtAC5o70UUALn0peaT60uaBAOtLSUuc0AFFHFFFgEpM0v1oPWgYlJ9adSUAJiloz&#10;SUgEOKBS0UxBRRRSsMKKOaSgBc00tSmmGgBSeKktHEd1ExJA3DkVFSNkdDg/WgD0C8hSz1aCaMtu&#10;MG8n3xXEbpbmSViSzFiTzzWvoE0t9fIksjyHYyjccnpWOwa1uZ4mJBVyKYzZ8PRSw3jLIhU4Bwa9&#10;Csz8grzvw9cPLetvctgdTXoNmfkWkxGlgmJgBkkHFeMahHJb6pOJFZHEhPI5617TGciiW1trnma3&#10;hl/30BoRT2PHpNbvpbdoHmXYy7SAozir9r4x1O0t44Ijb7YxhWK84r0h9B0mT7+m2p/7ZCq7eF9E&#10;c86dCPpxT0J1OFbxzrf/AD0gH0Uf41jarqN1q84nu2UyAYG3A4r09vB+hN/y4gfRj/jUZ8FaEf8A&#10;l0YfSRv8aLRHdnkflsp56UDrXrR8D6Ef+XZx/wBtDSf8INoX/PvJ/wB/DRoLU8zt5yIvLcfLg7Sh&#10;wQacttvbf++YnuWFemr4L0ReBbv/AN/DTx4Q0Uf8uzf9/G/xoug1PMPIWEiQo+Qe7j/Cqc7rLMXC&#10;lQecda9eHhbRh/y5KfqzH+tOXw5o8f3dOt/xTNF0Gp5HDdS2+TBLJGT1KNjNP+3X0h+Wedif9s17&#10;DHpWnRj5LG3U+0YqwsMMY+SNF+gAo0DU8ZW21W64EF1IP91jVqHwxrU2CthIoPdgB/OvXuBSZ5pX&#10;QanE+GPCl5p98L29KIVBCopz/Kujv24PpitFjxWXfcqaTY0jmvFx/wCJFaL/ALZNcPiu08XnGj2K&#10;+/8ASuLoQ2LS0g6UUyRajY0+o2pgMJzUkZ4xUZ60qtg0APYDcM9Kk3K5+UAAcUh+ZabHIEQrjlup&#10;oAlAYDKj9aNpbt+tNwMZyKXaP7wNMBqx5fDDgdafti9qZnDEZ49qXcPSgQUuaSikMXtRzSZo5oEL&#10;RSd6WgBaSjrRQAUUfjRQAn1oo70hoGgoFFFAgpc0lKP1oGL1paSigQtFFAoGLRSDiikAtFJRQAvS&#10;j3oozQAuaCaQGg0wYUUUdqQhtFFL260wGmk9qD1ooASloooGFGKKUUCAU4Ug/OgUAO70d6SlFAxa&#10;KBS0AJRR1ooAWiiikAUhpeaSmIbSU49KTNABRzRRQMAad9KaBS0ALRRmigQvaiiigBR0pvelooAK&#10;KCeaKBiU3tS0ZoEFFFH0NIYh60UHrRTAWiiikAmaKKb3piAmkPWlPWmmkMD1opKAaANTQNQj0zVY&#10;558iPoSBmuu1HUfCOo8wwq12/wDFtYc159jdQoMTq4PIOaYHaQJbreR/ZoFiQLg47muqsj8orjdM&#10;mE5jcHqK7Cz+4KTYGrH0qUGoYzgVJmkUSA8UZzTQRS0AOopM0ZoAXJFG40lJmgB2aTNJQTxQAEmk&#10;zQTSZoAQ9aKQ9aQ9aAAmmmlJ5ppNACMazb0/Ia0DWdfEeWaTA5Xxg3/Er08fU1xua2Ne1aW9kW2Z&#10;VVICVGO9Y2aqIMXNGabmkzTJH5pDSCloAYabTyKaetAEqHI60jYVs0xGwakJDDpQAKdwyxxTsL2a&#10;mdFpKAJPl9aTj1pmKMUxEn4UUUtTYYClpMUd6YhelFJRyaBi0UlLQAmaWkpaAENFBo4oAKSjvRTE&#10;LSClopALmijrRQMKUUn0ozQIWiig0hh3paTNA6UxBR1o7c0UALSUUE4pDCg0lFMQZoPSijHFACUl&#10;LRQAlBFHeigbCloxQKBAKdScUtABS0maWgYoNHNJS0AFFFHSgBaSg0UCCg0UUAJSGlNJQhh2oFFA&#10;oAM0uaTrS0ALzigdKP4aQdKAFzS0g6UUCFopKWgYlGaCKKAEo60tJQIKKKKQxpOKUHiiimAUDpRR&#10;SAKSlpD1osA00lKaaaYBSZpDRmkA4HFIWpKQdaYG/wCHLgeeYSfdRXf2h4H0rySNmRwyMQw5BFdD&#10;p/i2+tNqSok6jp2NIaPTo6k4riYPiBaAATWcqnvtINXo/HWkPy3nJ9Y8/wBaQ7HVClzWBF4u0iX7&#10;ty34xt/hV2LW9PmxsnJP+63+FF0PlZp5oBqst3DJ918/gakEg7UXQrMkyKM1GWB70BgKAsSZozTC&#10;wxTTKo+9QA4tmgVUlv7aLJeTAHXg1Uk8RaZEcNcH/vhv8KV0OzNbPNITzXPS+M9Gi486Qn2jaqUv&#10;j3TE/wBXFO/4Yp3CzOsJHrTCfeuKl+IK4JisGI9XeqEvj2+fPlW0Ce5yaBHoTHjmsrU544IWeRwo&#10;x61wk3ivWrjI+0BB6IoH/wBesm4ubq6bNxO8h/2moswuhbyRZbuSReQzZBqv3px4xTD1p2sS3cD1&#10;ooopgA606kpcUALUZHNSCkIpARjrUu5cCoiKSmBNuSjctQ0UATEr6frSZX0qLNGaAP/Z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AJlmC3kAAAA&#10;PwQAABkAAABkcnMvX3JlbHMvZTJvRG9jLnhtbC5yZWxzvdPNagMhFAXgfSHvIHefcWaSTEqJk00o&#10;ZFvSBxC949iOP6gpydtHKJQG0unOpV485+OCu/3FTOQLQ9TOMmiqGgha4aS2isH76XX5DCQmbiWf&#10;nEUGV4yw7xdPuzeceMqP4qh9JDnFRgZjSv6F0ihGNDxWzqPNk8EFw1M+BkU9F59cIW3ruqPhdwb0&#10;d5nkKBmEo9wCOV19bv4/2w2DFnhw4mzQpgcVVJvcnQN5UJgYGJSaf19uqw+PCuhjRFcG0VXe/mnY&#10;lDFsZhexLoNYzyJWZRCrWURbBtHOIpoyiOYHQe++fX8DUEsDBBQAAAAIAIdO4kBmnBQcGgEAAHoC&#10;AAATAAAAW0NvbnRlbnRfVHlwZXNdLnhtbJWSy07DMBBF90j8g+UtShy6QAg16YIUJBZQofIBlj1J&#10;XOKHPCa0f4+dthJUaSWWnplz7zw8X2x1TwbwqKwp6W1eUAJGWKlMW9KP9VN2TwkGbiTvrYGS7gDp&#10;orq+mq93DpBE2mBJuxDcA2MoOtAcc+vAxExjveYhPn3LHBefvAU2K4o7JqwJYEIWkgat5jU0/KsP&#10;ZLmN4X0nGwctJY/7wuRVUqWTwJhgk8zL6nkSyTeupdOIM9MuKT5NeOjxxIU71yvBQ1whG4w8GT87&#10;jJ5HcqzBTjm8ifs545Ayfyf/bXDg3uLNvJJAVtyHV67jfpj0yKT9Nh6G/LJI6lJjZptGCchrj3XE&#10;3mE4dnVOHWa2tuK/4suROmqz8edUP1BLAQIUABQAAAAIAIdO4kBmnBQcGgEAAHoCAAATAAAAAAAA&#10;AAEAIAAAAO0qCQBbQ29udGVudF9UeXBlc10ueG1sUEsBAhQACgAAAAAAh07iQAAAAAAAAAAAAAAA&#10;AAYAAAAAAAAAAAAQAAAAjCgJAF9yZWxzL1BLAQIUABQAAAAIAIdO4kCKFGY80QAAAJQBAAALAAAA&#10;AAAAAAEAIAAAALAoCQBfcmVscy8ucmVsc1BLAQIUAAoAAAAAAIdO4kAAAAAAAAAAAAAAAAAEAAAA&#10;AAAAAAAAEAAAAAAAAABkcnMvUEsBAhQACgAAAAAAh07iQAAAAAAAAAAAAAAAAAoAAAAAAAAAAAAQ&#10;AAAAqikJAGRycy9fcmVscy9QSwECFAAUAAAACACHTuJAAmWYLeQAAAA/BAAAGQAAAAAAAAABACAA&#10;AADSKQkAZHJzL19yZWxzL2Uyb0RvYy54bWwucmVsc1BLAQIUABQAAAAIAIdO4kCfCn5h1wAAAAUB&#10;AAAPAAAAAAAAAAEAIAAAACIAAABkcnMvZG93bnJldi54bWxQSwECFAAUAAAACACHTuJAMmW3itQE&#10;AAC5FwAADgAAAAAAAAABACAAAAAmAQAAZHJzL2Uyb0RvYy54bWxQSwECFAAKAAAAAACHTuJAAAAA&#10;AAAAAAAAAAAACgAAAAAAAAAAABAAAAAmBgAAZHJzL21lZGlhL1BLAQIUABQAAAAIAIdO4kBhyQQ3&#10;hEgAAH9IAAAVAAAAAAAAAAEAIAAAAEVjAABkcnMvbWVkaWEvaW1hZ2UxLmpwZWdQSwECFAAUAAAA&#10;CACHTuJAmdG+abFWAACsVgAAFQAAAAAAAAABACAAAABYpAEAZHJzL21lZGlhL2ltYWdlMi5qcGVn&#10;UEsBAhQAFAAAAAgAh07iQGpzb8op+AAAH/gAABUAAAAAAAAAAQAgAAAA/KsAAGRycy9tZWRpYS9p&#10;bWFnZTMuanBlZ1BLAQIUABQAAAAIAIdO4kAk07xcxFwAAL9cAAAVAAAAAAAAAAEAIAAAAE4GAABk&#10;cnMvbWVkaWEvaW1hZ2U0LmpwZWdQSwECFAAUAAAACACHTuJAU73KIJ0yAQCOMgEAFQAAAAAAAAAB&#10;ACAAAAA8+wEAZHJzL21lZGlhL2ltYWdlNS5qcGVnUEsBAhQAFAAAAAgAh07iQAZwOD/GhAUAioQF&#10;ABQAAAAAAAAAAQAgAAAADC4DAGRycy9tZWRpYS9pbWFnZTYucG5nUEsBAhQAFAAAAAgAh07iQG4t&#10;4rFVdQAAUHUAABUAAAAAAAAAAQAgAAAABLMIAGRycy9tZWRpYS9pbWFnZTcuanBlZ1BLBQYAAAAA&#10;EAAQAOQDAAA4LAkAAAA=&#10;">
                <o:lock v:ext="edit" aspectratio="f"/>
                <v:shape id="图片 2" o:spid="_x0000_s1026" o:spt="75" alt="液相色谱仪" type="#_x0000_t75" style="position:absolute;left:9212;top:487437;height:2820;width:2400;" filled="f" o:preferrelative="t" stroked="f" coordsize="21600,21600" o:gfxdata="UEsDBAoAAAAAAIdO4kAAAAAAAAAAAAAAAAAEAAAAZHJzL1BLAwQUAAAACACHTuJAbSDoJ7wAAADb&#10;AAAADwAAAGRycy9kb3ducmV2LnhtbEWPT4vCMBTE7wv7HcJb8KZp7SJuNQoKgnjbuit7fDTPNti8&#10;1Cb+/fRGEPY4zMxvmOn8ahtxps4bxwrSQQKCuHTacKXgZ7vqj0H4gKyxcUwKbuRhPnt/m2Ku3YW/&#10;6VyESkQI+xwV1CG0uZS+rMmiH7iWOHp711kMUXaV1B1eItw2cpgkI2nRcFyosaVlTeWhOFkFhv8q&#10;87vafMlscU/vx8Mt29lCqd5HmkxABLqG//CrvdYKsk94fok/QM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0g6Ce8AAAA&#10;2wAAAA8AAAAAAAAAAQAgAAAAIgAAAGRycy9kb3ducmV2LnhtbFBLAQIUABQAAAAIAIdO4kAzLwWe&#10;OwAAADkAAAAQAAAAAAAAAAEAIAAAAAsBAABkcnMvc2hhcGV4bWwueG1sUEsFBgAAAAAGAAYAWwEA&#10;ALUDAAAAAA==&#10;">
                  <v:fill on="f" focussize="0,0"/>
                  <v:stroke on="f" miterlimit="8" joinstyle="miter"/>
                  <v:imagedata r:id="rId31" cropleft="1560f" o:title=""/>
                  <o:lock v:ext="edit" aspectratio="t"/>
                </v:shape>
                <v:shape id="图片 1" o:spid="_x0000_s1026" o:spt="75" alt="IMG_7067" type="#_x0000_t75" style="position:absolute;left:6767;top:487437;height:2820;width:2385;" filled="f" o:preferrelative="t" stroked="f" coordsize="21600,21600" o:gfxdata="UEsDBAoAAAAAAIdO4kAAAAAAAAAAAAAAAAAEAAAAZHJzL1BLAwQUAAAACACHTuJAYwOKNL4AAADb&#10;AAAADwAAAGRycy9kb3ducmV2LnhtbEWPT2sCMRTE74LfITyhN02srZSt0YMgCl7qH6S9vW5ed5fd&#10;vGyT1NVvb4SCx2FmfsPMFhfbiDP5UDnWMB4pEMS5MxUXGo6H1fANRIjIBhvHpOFKARbzfm+GmXEd&#10;7+i8j4VIEA4ZaihjbDMpQ16SxTByLXHyfpy3GJP0hTQeuwS3jXxWaiotVpwWSmxpWVJe7/+shu4U&#10;DuGDfz9flff113q7fam/vdZPg7F6BxHpEh/h//bGaJhM4P4l/QA5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wOKNL4A&#10;AADbAAAADwAAAAAAAAABACAAAAAiAAAAZHJzL2Rvd25yZXYueG1sUEsBAhQAFAAAAAgAh07iQDMv&#10;BZ47AAAAOQAAABAAAAAAAAAAAQAgAAAADQEAAGRycy9zaGFwZXhtbC54bWxQSwUGAAAAAAYABgBb&#10;AQAAtwMAAAAA&#10;">
                  <v:fill on="f" focussize="0,0"/>
                  <v:stroke on="f" miterlimit="8" joinstyle="miter"/>
                  <v:imagedata r:id="rId32" cropleft="12189f" cropright="7989f" o:title=""/>
                  <o:lock v:ext="edit" aspectratio="t"/>
                </v:shape>
                <v:shape id="_x0000_s1026" o:spid="_x0000_s1026" o:spt="75" alt="C:\Users\joho\Desktop\新旧动能自评佐证材料\微信图片_20191128123519.jpg" type="#_x0000_t75" style="position:absolute;left:6767;top:484572;height:2820;width:3765;" filled="f" o:preferrelative="t" stroked="f" coordsize="21600,21600" o:gfxdata="UEsDBAoAAAAAAIdO4kAAAAAAAAAAAAAAAAAEAAAAZHJzL1BLAwQUAAAACACHTuJAbG6k+r0AAADb&#10;AAAADwAAAGRycy9kb3ducmV2LnhtbEWPQYvCMBSE74L/ITzBi6ypLopUowfBXWVPVnf3+myebbV5&#10;KU20+u+NIHgcZuYbZra4mVJcqXaFZQWDfgSCOLW64EzBfrf6mIBwHlljaZkU3MnBYt5uzTDWtuEt&#10;XROfiQBhF6OC3PsqltKlORl0fVsRB+9oa4M+yDqTusYmwE0ph1E0lgYLDgs5VrTMKT0nF6Mg/Tn8&#10;nr7u2/91T39fJpyM/prlRqluZxBNQXi6+Xf41V5rBZ9DeH4JP0DO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bqT6vQAA&#10;ANsAAAAPAAAAAAAAAAEAIAAAACIAAABkcnMvZG93bnJldi54bWxQSwECFAAUAAAACACHTuJAMy8F&#10;njsAAAA5AAAAEAAAAAAAAAABACAAAAAMAQAAZHJzL3NoYXBleG1sLnhtbFBLBQYAAAAABgAGAFsB&#10;AAC2AwAAAAA=&#10;">
                  <v:fill on="f" focussize="0,0"/>
                  <v:stroke on="f"/>
                  <v:imagedata r:id="rId33" o:title=""/>
                  <o:lock v:ext="edit" aspectratio="t"/>
                </v:shape>
                <v:shape id="_x0000_s1026" o:spid="_x0000_s1026" o:spt="75" alt="C:\Users\joho\Desktop\新旧动能自评佐证材料\无人机.jpg" type="#_x0000_t75" style="position:absolute;left:10592;top:481722;height:2820;width:3558;" filled="f" o:preferrelative="t" stroked="f" coordsize="21600,21600" o:gfxdata="UEsDBAoAAAAAAIdO4kAAAAAAAAAAAAAAAAAEAAAAZHJzL1BLAwQUAAAACACHTuJA7qj+2L4AAADb&#10;AAAADwAAAGRycy9kb3ducmV2LnhtbEWPzWsCMRTE70L/h/AK3jS7FqRsjSJ+UD14qFb0+Ng8d1c3&#10;L0sSP//6piB4HGbmN8xgdDO1uJDzlWUFaTcBQZxbXXGh4Hcz73yC8AFZY22ZFNzJw2j41hpgpu2V&#10;f+iyDoWIEPYZKihDaDIpfV6SQd+1DXH0DtYZDFG6QmqH1wg3tewlSV8arDgulNjQpKT8tD4bBcvm&#10;uxr33Wo787vFcctuOn7sN0q139PkC0SgW3iFn+2FVvCRwv+X+APk8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qj+2L4A&#10;AADbAAAADwAAAAAAAAABACAAAAAiAAAAZHJzL2Rvd25yZXYueG1sUEsBAhQAFAAAAAgAh07iQDMv&#10;BZ47AAAAOQAAABAAAAAAAAAAAQAgAAAADQEAAGRycy9zaGFwZXhtbC54bWxQSwUGAAAAAAYABgBb&#10;AQAAtwMAAAAA&#10;">
                  <v:fill on="f" focussize="0,0"/>
                  <v:stroke on="f"/>
                  <v:imagedata r:id="rId34" o:title=""/>
                  <o:lock v:ext="edit" aspectratio="t"/>
                </v:shape>
                <v:shape id="图片 3" o:spid="_x0000_s1026" o:spt="75" alt="C:\Users\joho\Desktop\新旧动能自评佐证材料\IMG_20191128_110649.jpg" type="#_x0000_t75" style="position:absolute;left:6767;top:481722;height:2820;width:3765;" filled="f" o:preferrelative="t" stroked="f" coordsize="21600,21600" o:gfxdata="UEsDBAoAAAAAAIdO4kAAAAAAAAAAAAAAAAAEAAAAZHJzL1BLAwQUAAAACACHTuJAsHArrbsAAADb&#10;AAAADwAAAGRycy9kb3ducmV2LnhtbEVPPW/CMBDdK/EfrENiK05AaqqAEyGkCjp0aOjAeMRHEmGf&#10;09gk9N/XQ6WOT+97Wz6sESMNvnOsIF0mIIhrpztuFHyd3p5fQfiArNE4JgU/5KEsZk9bzLWb+JPG&#10;KjQihrDPUUEbQp9L6euWLPql64kjd3WDxRDh0Eg94BTDrZGrJHmRFjuODS32tG+pvlV3q+C4ej/I&#10;85h9dCbdTafKZLvLd6bUYp4mGxCBHuFf/Oc+agXruD5+iT9AF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HArrbsAAADb&#10;AAAADwAAAAAAAAABACAAAAAiAAAAZHJzL2Rvd25yZXYueG1sUEsBAhQAFAAAAAgAh07iQDMvBZ47&#10;AAAAOQAAABAAAAAAAAAAAQAgAAAACgEAAGRycy9zaGFwZXhtbC54bWxQSwUGAAAAAAYABgBbAQAA&#10;tAMAAAAA&#10;">
                  <v:fill on="f" focussize="0,0"/>
                  <v:stroke on="f"/>
                  <v:imagedata r:id="rId35" o:title=""/>
                  <o:lock v:ext="edit" aspectratio="t"/>
                </v:shape>
                <v:shape id="_x0000_s1026" o:spid="_x0000_s1026" o:spt="75" type="#_x0000_t75" style="position:absolute;left:10592;top:484572;height:2820;width:3558;" filled="f" o:preferrelative="t" stroked="f" coordsize="21600,21600" o:gfxdata="UEsDBAoAAAAAAIdO4kAAAAAAAAAAAAAAAAAEAAAAZHJzL1BLAwQUAAAACACHTuJAQ9k3wrwAAADb&#10;AAAADwAAAGRycy9kb3ducmV2LnhtbEWPW2sCMRSE34X+h3AKfRHNesVujUIrFn10FZ8Pyenu4uZk&#10;m6Re/r0pCD4OM/MNM19ebSPO5EPtWMGgn4Eg1s7UXCo47Ne9GYgQkQ02jknBjQIsFy+dOebGXXhH&#10;5yKWIkE45KigirHNpQy6Iouh71ri5P04bzEm6UtpPF4S3DZymGVTabHmtFBhS18V6VPxZxVMVqvx&#10;Z3Ps/urTmr7dbeTDVnul3l4H2QeISNf4DD/aG6Ng+A7/X9IPkI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PZN8K8AAAA&#10;2wAAAA8AAAAAAAAAAQAgAAAAIgAAAGRycy9kb3ducmV2LnhtbFBLAQIUABQAAAAIAIdO4kAzLwWe&#10;OwAAADkAAAAQAAAAAAAAAAEAIAAAAAsBAABkcnMvc2hhcGV4bWwueG1sUEsFBgAAAAAGAAYAWwEA&#10;ALUDAAAAAA==&#10;">
                  <v:fill on="f" focussize="0,0"/>
                  <v:stroke on="f" miterlimit="8" joinstyle="miter"/>
                  <v:imagedata r:id="rId36" croptop="7611f" o:title=""/>
                  <o:lock v:ext="edit" aspectratio="t"/>
                </v:shape>
                <v:shape id="图片 3" o:spid="_x0000_s1026" o:spt="75" alt="研究显微镜" type="#_x0000_t75" style="position:absolute;left:11672;top:487437;height:2820;width:2490;" filled="f" o:preferrelative="t" stroked="f" coordsize="21600,21600" o:gfxdata="UEsDBAoAAAAAAIdO4kAAAAAAAAAAAAAAAAAEAAAAZHJzL1BLAwQUAAAACACHTuJAWWHTNbkAAADb&#10;AAAADwAAAGRycy9kb3ducmV2LnhtbEVPS2vCQBC+C/6HZQRvulEkSOoqVCm1R62X3obs5NXsbMyu&#10;Gv995yD0+PG9N7vBtepOfag9G1jME1DEubc1lwYu3x+zNagQkS22nsnAkwLstuPRBjPrH3yi+zmW&#10;SkI4ZGigirHLtA55RQ7D3HfEwhW+dxgF9qW2PT4k3LV6mSSpdlizNFTY0b6i/Pd8c9J7HYrbZ5p+&#10;vf80qzq/Ds2hWDfGTCeL5A1UpCH+i1/uozWwlLHyRX6A3v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lh0zW5AAAA2wAA&#10;AA8AAAAAAAAAAQAgAAAAIgAAAGRycy9kb3ducmV2LnhtbFBLAQIUABQAAAAIAIdO4kAzLwWeOwAA&#10;ADkAAAAQAAAAAAAAAAEAIAAAAAgBAABkcnMvc2hhcGV4bWwueG1sUEsFBgAAAAAGAAYAWwEAALID&#10;AAAAAA==&#10;">
                  <v:fill on="f" focussize="0,0"/>
                  <v:stroke on="f"/>
                  <v:imagedata r:id="rId37" cropleft="37983f" o:title=""/>
                  <o:lock v:ext="edit" aspectratio="t"/>
                </v:shape>
                <w10:wrap type="none"/>
                <w10:anchorlock/>
              </v:group>
            </w:pict>
          </mc:Fallback>
        </mc:AlternateContent>
      </w:r>
    </w:p>
    <w:p>
      <w:pPr>
        <w:ind w:firstLine="422" w:firstLineChars="200"/>
        <w:jc w:val="center"/>
        <w:rPr>
          <w:b/>
          <w:bCs/>
          <w:sz w:val="21"/>
          <w:szCs w:val="21"/>
        </w:rPr>
      </w:pPr>
      <w:r>
        <w:rPr>
          <w:b/>
          <w:bCs/>
          <w:sz w:val="21"/>
          <w:szCs w:val="21"/>
        </w:rPr>
        <w:t>图1  植保专业教学实验条件及学生实验（部分）</w:t>
      </w:r>
    </w:p>
    <w:p>
      <w:pPr>
        <w:pStyle w:val="2"/>
        <w:ind w:left="480"/>
      </w:pPr>
    </w:p>
    <w:p>
      <w:pPr>
        <w:pStyle w:val="6"/>
        <w:ind w:firstLine="480"/>
      </w:pPr>
      <w:r>
        <w:t>3.教师队伍建设</w:t>
      </w:r>
    </w:p>
    <w:p>
      <w:pPr>
        <w:ind w:firstLine="480" w:firstLineChars="200"/>
      </w:pPr>
      <w:r>
        <w:rPr>
          <w:szCs w:val="24"/>
        </w:rPr>
        <w:t>本专业现有专任教师</w:t>
      </w:r>
      <w:r>
        <w:t>33人，其中中国科学院院士1人，国家杰出青年基金获得者1人，泰山学者2人，教授18人，副教授10人，讲师5人。配有高级实验师和实验师5人。国家有突出贡献的中青年专家1人，</w:t>
      </w:r>
      <w:r>
        <w:rPr>
          <w:rFonts w:hint="eastAsia"/>
        </w:rPr>
        <w:t>“</w:t>
      </w:r>
      <w:r>
        <w:t>国家百千万人才工程</w:t>
      </w:r>
      <w:r>
        <w:rPr>
          <w:rFonts w:hint="eastAsia"/>
        </w:rPr>
        <w:t>”</w:t>
      </w:r>
      <w:r>
        <w:t>第一、二层次人选2人，教育部新世纪优秀人才1人；省级教学名师1人，山东省有突出贡献中青年专家2人，省高校十大师德标兵1人。</w:t>
      </w:r>
    </w:p>
    <w:p>
      <w:pPr>
        <w:ind w:firstLine="480" w:firstLineChars="200"/>
      </w:pPr>
      <w:r>
        <w:t>引进外专双百计划专家1人；引进2名高水平青年人才和5名青年教师；1个团队入选</w:t>
      </w:r>
      <w:r>
        <w:rPr>
          <w:rFonts w:hint="eastAsia"/>
        </w:rPr>
        <w:t>“</w:t>
      </w:r>
      <w:r>
        <w:t>山东省高等学校青创人才引育计划</w:t>
      </w:r>
      <w:r>
        <w:rPr>
          <w:rFonts w:hint="eastAsia"/>
        </w:rPr>
        <w:t>”</w:t>
      </w:r>
      <w:r>
        <w:t>，1个团队入选</w:t>
      </w:r>
      <w:r>
        <w:rPr>
          <w:rFonts w:hint="eastAsia"/>
        </w:rPr>
        <w:t>“</w:t>
      </w:r>
      <w:r>
        <w:t>山东省高校优秀青年创新团队</w:t>
      </w:r>
      <w:r>
        <w:rPr>
          <w:rFonts w:hint="eastAsia"/>
        </w:rPr>
        <w:t>”</w:t>
      </w:r>
      <w:r>
        <w:t>。学术队伍的结构进一步优化，师资队伍结构明显改善。</w:t>
      </w:r>
    </w:p>
    <w:p>
      <w:pPr>
        <w:ind w:firstLine="480" w:firstLineChars="200"/>
      </w:pPr>
    </w:p>
    <w:p>
      <w:pPr>
        <w:spacing w:line="240" w:lineRule="auto"/>
        <w:ind w:firstLine="480"/>
        <w:jc w:val="center"/>
      </w:pPr>
      <w:r>
        <w:rPr>
          <w:rFonts w:eastAsia="仿宋_GB2312"/>
        </w:rPr>
        <w:drawing>
          <wp:inline distT="0" distB="0" distL="114300" distR="114300">
            <wp:extent cx="2719070" cy="1778635"/>
            <wp:effectExtent l="4445" t="4445" r="19685" b="7620"/>
            <wp:docPr id="35"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pPr>
        <w:spacing w:line="240" w:lineRule="auto"/>
        <w:jc w:val="center"/>
        <w:rPr>
          <w:b/>
          <w:bCs/>
          <w:sz w:val="21"/>
          <w:szCs w:val="21"/>
        </w:rPr>
      </w:pPr>
      <w:r>
        <w:rPr>
          <w:b/>
          <w:bCs/>
          <w:sz w:val="21"/>
          <w:szCs w:val="21"/>
        </w:rPr>
        <w:t>图2  植保专业教师结构</w:t>
      </w:r>
    </w:p>
    <w:p>
      <w:pPr>
        <w:spacing w:line="240" w:lineRule="auto"/>
        <w:jc w:val="center"/>
        <w:rPr>
          <w:b/>
          <w:bCs/>
          <w:sz w:val="21"/>
          <w:szCs w:val="21"/>
        </w:rPr>
      </w:pPr>
    </w:p>
    <w:p>
      <w:pPr>
        <w:spacing w:before="50"/>
        <w:ind w:firstLine="480" w:firstLineChars="200"/>
      </w:pPr>
      <w:r>
        <w:rPr>
          <w:szCs w:val="24"/>
        </w:rPr>
        <w:t>聘请吉林农业大学李玉教授</w:t>
      </w:r>
      <w:r>
        <w:t>（中国工程院院士），美国密西西比州立大学吕士恩教授（美国细菌学会专业委员会主席），美国俄勒岗州立大学Brett Tyler教授（世界卵菌学会主席），比利时烈日大学Frederic Francis博士和台湾中兴大学昆虫系齐心教授为讲座教授。这些教授在国内外行业中都有较高的影响力。</w:t>
      </w:r>
    </w:p>
    <w:p>
      <w:pPr>
        <w:spacing w:before="50"/>
        <w:ind w:firstLine="480" w:firstLineChars="200"/>
      </w:pPr>
      <w:r>
        <w:t>经过近70</w:t>
      </w:r>
      <w:r>
        <w:rPr>
          <w:szCs w:val="24"/>
        </w:rPr>
        <w:t>年的积累</w:t>
      </w:r>
      <w:r>
        <w:t>，植保专业教师在教学、科学研究和实践等方面取得了多项教学科研成果。王开运教授主持的</w:t>
      </w:r>
      <w:r>
        <w:rPr>
          <w:rFonts w:hint="eastAsia"/>
        </w:rPr>
        <w:t>“</w:t>
      </w:r>
      <w:r>
        <w:t>培养创新性人才的方法与实践</w:t>
      </w:r>
      <w:r>
        <w:rPr>
          <w:rFonts w:hint="eastAsia"/>
        </w:rPr>
        <w:t>”</w:t>
      </w:r>
      <w:r>
        <w:t>获山东省高等教育教学成果二等奖，丁爱云教授主持的</w:t>
      </w:r>
      <w:r>
        <w:rPr>
          <w:rFonts w:hint="eastAsia"/>
        </w:rPr>
        <w:t>“</w:t>
      </w:r>
      <w:r>
        <w:t>专业基础课理论与实践教学及创新人才培养</w:t>
      </w:r>
      <w:r>
        <w:rPr>
          <w:rFonts w:hint="eastAsia"/>
        </w:rPr>
        <w:t>”</w:t>
      </w:r>
      <w:r>
        <w:t>获山东省高等教育教学成果三等奖，李向东教授主持的</w:t>
      </w:r>
      <w:r>
        <w:rPr>
          <w:rFonts w:hint="eastAsia"/>
        </w:rPr>
        <w:t>“</w:t>
      </w:r>
      <w:r>
        <w:t>农科专业人才‘两方向、四层次、四融合’实践教学模式研究与实践</w:t>
      </w:r>
      <w:r>
        <w:rPr>
          <w:rFonts w:hint="eastAsia"/>
        </w:rPr>
        <w:t>”</w:t>
      </w:r>
      <w:r>
        <w:t>荣获2022年山东省第九届教学成果特等奖，多项教学研究成果获得山东农业大学优秀教学成果奖。1名教师获</w:t>
      </w:r>
      <w:r>
        <w:rPr>
          <w:rFonts w:hint="eastAsia"/>
        </w:rPr>
        <w:t>“</w:t>
      </w:r>
      <w:r>
        <w:t>齐鲁晚报杯</w:t>
      </w:r>
      <w:r>
        <w:rPr>
          <w:rFonts w:hint="eastAsia"/>
        </w:rPr>
        <w:t>”</w:t>
      </w:r>
      <w:r>
        <w:t>山东省十大优秀教师、1名教师获山东省十大师德标兵，2名教师获山东省教学名师，多名教师获得山东农业大学教学质量优秀奖。</w:t>
      </w:r>
    </w:p>
    <w:p>
      <w:pPr>
        <w:spacing w:before="50"/>
        <w:ind w:firstLine="480" w:firstLineChars="200"/>
        <w:rPr>
          <w:color w:val="000000"/>
        </w:rPr>
      </w:pPr>
      <w:r>
        <w:rPr>
          <w:szCs w:val="24"/>
        </w:rPr>
        <w:t>雄厚的学科基础</w:t>
      </w:r>
      <w:r>
        <w:rPr>
          <w:color w:val="000000"/>
        </w:rPr>
        <w:t>、丰硕的教学科研成果和专业教师严谨的治学态度，形成了良好育人环境和浓厚的植保文化，为高素质人才的健康成长创造了良好的平台和环境。</w:t>
      </w:r>
    </w:p>
    <w:p>
      <w:pPr>
        <w:spacing w:before="50"/>
        <w:ind w:firstLine="480" w:firstLineChars="200"/>
      </w:pPr>
      <w:r>
        <w:rPr>
          <w:szCs w:val="24"/>
        </w:rPr>
        <w:t>教师注重利用科研成果充实和丰富教学内容</w:t>
      </w:r>
      <w:r>
        <w:t>，提高教学质量。自</w:t>
      </w:r>
      <w:r>
        <w:rPr>
          <w:rFonts w:hint="eastAsia"/>
        </w:rPr>
        <w:t>“</w:t>
      </w:r>
      <w:r>
        <w:t>十二五</w:t>
      </w:r>
      <w:r>
        <w:rPr>
          <w:rFonts w:hint="eastAsia"/>
        </w:rPr>
        <w:t>”</w:t>
      </w:r>
      <w:r>
        <w:t>以来，教师承担国家自然科学基金、973、863、支撑计划、行业科技等国家级科研课题116项，累计课题经费7500余万元。近5年来在各级刊物上发表科研论文600余篇，其中被SCI收录180余篇，2015年获批蔬菜病虫生物学省级重点实验室。2017年，山东省农业微生物重点实验室评估</w:t>
      </w:r>
      <w:r>
        <w:rPr>
          <w:rFonts w:hint="eastAsia"/>
        </w:rPr>
        <w:t>“</w:t>
      </w:r>
      <w:r>
        <w:t>良好</w:t>
      </w:r>
      <w:r>
        <w:rPr>
          <w:rFonts w:hint="eastAsia"/>
        </w:rPr>
        <w:t>”</w:t>
      </w:r>
      <w:r>
        <w:t>，2022年获批农业农村部黄河下游作物有害生物综合治理重点实验室、国家植保微生物种质资源库（山东）。2018年，</w:t>
      </w:r>
      <w:r>
        <w:rPr>
          <w:szCs w:val="24"/>
        </w:rPr>
        <w:t>获国家科技进步奖二等奖</w:t>
      </w:r>
      <w:r>
        <w:t xml:space="preserve"> 1项 ，2017获山东省科技进步奖一等奖 1项、山东省科技进步二等奖2项，地市科研奖励11项。雄厚的学科基础、</w:t>
      </w:r>
      <w:r>
        <w:rPr>
          <w:szCs w:val="24"/>
        </w:rPr>
        <w:t>丰硕的教学科研成果和植物保护专业教师严谨的治学态度</w:t>
      </w:r>
      <w:r>
        <w:t>，形成了良好育人环境和浓厚的植保文化，为高素质人才的健康成长创造了良好的平台和环境。</w:t>
      </w:r>
    </w:p>
    <w:p>
      <w:pPr>
        <w:pStyle w:val="7"/>
        <w:spacing w:before="156" w:beforeLines="50"/>
        <w:ind w:firstLine="480" w:firstLineChars="200"/>
      </w:pPr>
      <w:r>
        <w:t>4.实习基地</w:t>
      </w:r>
    </w:p>
    <w:p>
      <w:pPr>
        <w:spacing w:line="240" w:lineRule="auto"/>
        <w:ind w:firstLine="422"/>
        <w:jc w:val="center"/>
        <w:rPr>
          <w:b/>
          <w:bCs/>
          <w:sz w:val="21"/>
          <w:szCs w:val="21"/>
        </w:rPr>
      </w:pPr>
      <w:r>
        <w:rPr>
          <w:b/>
          <w:bCs/>
          <w:sz w:val="21"/>
          <w:szCs w:val="21"/>
        </w:rPr>
        <w:t>表1 植物保护专业校外实践基地</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3564"/>
        <w:gridCol w:w="3433"/>
        <w:gridCol w:w="1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93" w:type="pct"/>
            <w:vAlign w:val="center"/>
          </w:tcPr>
          <w:p>
            <w:pPr>
              <w:spacing w:line="240" w:lineRule="auto"/>
              <w:jc w:val="center"/>
              <w:rPr>
                <w:b/>
                <w:bCs/>
                <w:sz w:val="21"/>
                <w:szCs w:val="21"/>
              </w:rPr>
            </w:pPr>
            <w:r>
              <w:rPr>
                <w:b/>
                <w:bCs/>
                <w:sz w:val="21"/>
                <w:szCs w:val="21"/>
              </w:rPr>
              <w:t>序号</w:t>
            </w:r>
          </w:p>
        </w:tc>
        <w:tc>
          <w:tcPr>
            <w:tcW w:w="1967" w:type="pct"/>
            <w:vAlign w:val="center"/>
          </w:tcPr>
          <w:p>
            <w:pPr>
              <w:spacing w:line="240" w:lineRule="auto"/>
              <w:jc w:val="center"/>
              <w:rPr>
                <w:b/>
                <w:bCs/>
                <w:sz w:val="21"/>
                <w:szCs w:val="21"/>
              </w:rPr>
            </w:pPr>
            <w:r>
              <w:rPr>
                <w:b/>
                <w:bCs/>
                <w:sz w:val="21"/>
                <w:szCs w:val="21"/>
              </w:rPr>
              <w:t>基地依托单位名称</w:t>
            </w:r>
          </w:p>
        </w:tc>
        <w:tc>
          <w:tcPr>
            <w:tcW w:w="1895" w:type="pct"/>
            <w:vAlign w:val="center"/>
          </w:tcPr>
          <w:p>
            <w:pPr>
              <w:spacing w:line="240" w:lineRule="auto"/>
              <w:jc w:val="center"/>
              <w:rPr>
                <w:b/>
                <w:bCs/>
                <w:sz w:val="21"/>
                <w:szCs w:val="21"/>
              </w:rPr>
            </w:pPr>
            <w:r>
              <w:rPr>
                <w:b/>
                <w:bCs/>
                <w:sz w:val="21"/>
                <w:szCs w:val="21"/>
              </w:rPr>
              <w:t>基地地址</w:t>
            </w:r>
          </w:p>
        </w:tc>
        <w:tc>
          <w:tcPr>
            <w:tcW w:w="744" w:type="pct"/>
            <w:vAlign w:val="center"/>
          </w:tcPr>
          <w:p>
            <w:pPr>
              <w:spacing w:line="240" w:lineRule="auto"/>
              <w:jc w:val="center"/>
              <w:rPr>
                <w:b/>
                <w:bCs/>
                <w:sz w:val="21"/>
                <w:szCs w:val="21"/>
              </w:rPr>
            </w:pPr>
            <w:r>
              <w:rPr>
                <w:b/>
                <w:bCs/>
                <w:sz w:val="21"/>
                <w:szCs w:val="21"/>
              </w:rPr>
              <w:t>面向专业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393"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1</w:t>
            </w:r>
          </w:p>
        </w:tc>
        <w:tc>
          <w:tcPr>
            <w:tcW w:w="1967"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泰安市农业局植保站</w:t>
            </w:r>
          </w:p>
        </w:tc>
        <w:tc>
          <w:tcPr>
            <w:tcW w:w="189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泰安市奈河东路1号</w:t>
            </w:r>
          </w:p>
        </w:tc>
        <w:tc>
          <w:tcPr>
            <w:tcW w:w="744"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植物保护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393"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2</w:t>
            </w:r>
          </w:p>
        </w:tc>
        <w:tc>
          <w:tcPr>
            <w:tcW w:w="1967"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山东省植保总站</w:t>
            </w:r>
          </w:p>
        </w:tc>
        <w:tc>
          <w:tcPr>
            <w:tcW w:w="189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济南桑园路2号</w:t>
            </w:r>
          </w:p>
        </w:tc>
        <w:tc>
          <w:tcPr>
            <w:tcW w:w="744"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植物保护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393"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3</w:t>
            </w:r>
          </w:p>
        </w:tc>
        <w:tc>
          <w:tcPr>
            <w:tcW w:w="1967"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山东省农科院植保所</w:t>
            </w:r>
          </w:p>
        </w:tc>
        <w:tc>
          <w:tcPr>
            <w:tcW w:w="189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山东济南工业北路</w:t>
            </w:r>
          </w:p>
        </w:tc>
        <w:tc>
          <w:tcPr>
            <w:tcW w:w="744"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植物保护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393"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4</w:t>
            </w:r>
          </w:p>
        </w:tc>
        <w:tc>
          <w:tcPr>
            <w:tcW w:w="1967"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济宁市农业局植保站</w:t>
            </w:r>
          </w:p>
        </w:tc>
        <w:tc>
          <w:tcPr>
            <w:tcW w:w="189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济宁市共青团路109号</w:t>
            </w:r>
          </w:p>
        </w:tc>
        <w:tc>
          <w:tcPr>
            <w:tcW w:w="744"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植物保护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393"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5</w:t>
            </w:r>
          </w:p>
        </w:tc>
        <w:tc>
          <w:tcPr>
            <w:tcW w:w="1967"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东营市园林科学研究所</w:t>
            </w:r>
          </w:p>
        </w:tc>
        <w:tc>
          <w:tcPr>
            <w:tcW w:w="189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东营市东城淮河路东园</w:t>
            </w:r>
          </w:p>
        </w:tc>
        <w:tc>
          <w:tcPr>
            <w:tcW w:w="744"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植物保护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393"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6</w:t>
            </w:r>
          </w:p>
        </w:tc>
        <w:tc>
          <w:tcPr>
            <w:tcW w:w="1967"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东营市河口区人民政府</w:t>
            </w:r>
          </w:p>
        </w:tc>
        <w:tc>
          <w:tcPr>
            <w:tcW w:w="189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东营市河口区创业园</w:t>
            </w:r>
          </w:p>
        </w:tc>
        <w:tc>
          <w:tcPr>
            <w:tcW w:w="744"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植物保护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393"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7</w:t>
            </w:r>
          </w:p>
        </w:tc>
        <w:tc>
          <w:tcPr>
            <w:tcW w:w="1967"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淄博市临淄区农业局</w:t>
            </w:r>
          </w:p>
        </w:tc>
        <w:tc>
          <w:tcPr>
            <w:tcW w:w="189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淄博临淄区雪宫路352号</w:t>
            </w:r>
          </w:p>
        </w:tc>
        <w:tc>
          <w:tcPr>
            <w:tcW w:w="744"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植物保护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393"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8</w:t>
            </w:r>
          </w:p>
        </w:tc>
        <w:tc>
          <w:tcPr>
            <w:tcW w:w="1967"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山东胜邦绿野化学有限公司</w:t>
            </w:r>
          </w:p>
        </w:tc>
        <w:tc>
          <w:tcPr>
            <w:tcW w:w="189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山东济南济洛路北段</w:t>
            </w:r>
          </w:p>
        </w:tc>
        <w:tc>
          <w:tcPr>
            <w:tcW w:w="744"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植物保护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393"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9</w:t>
            </w:r>
          </w:p>
        </w:tc>
        <w:tc>
          <w:tcPr>
            <w:tcW w:w="1967"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山东鲁抗生物农药有限公司</w:t>
            </w:r>
          </w:p>
        </w:tc>
        <w:tc>
          <w:tcPr>
            <w:tcW w:w="189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山东省齐河县友谊路3号</w:t>
            </w:r>
          </w:p>
        </w:tc>
        <w:tc>
          <w:tcPr>
            <w:tcW w:w="744"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植物保护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393"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10</w:t>
            </w:r>
          </w:p>
        </w:tc>
        <w:tc>
          <w:tcPr>
            <w:tcW w:w="1967"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徂徕山林场</w:t>
            </w:r>
          </w:p>
        </w:tc>
        <w:tc>
          <w:tcPr>
            <w:tcW w:w="189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山东省泰安市徂徕镇</w:t>
            </w:r>
          </w:p>
        </w:tc>
        <w:tc>
          <w:tcPr>
            <w:tcW w:w="744"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植物保护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393"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11</w:t>
            </w:r>
          </w:p>
        </w:tc>
        <w:tc>
          <w:tcPr>
            <w:tcW w:w="1967"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山东华阳科技股份有限公司</w:t>
            </w:r>
          </w:p>
        </w:tc>
        <w:tc>
          <w:tcPr>
            <w:tcW w:w="189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泰安市磁窑镇</w:t>
            </w:r>
          </w:p>
        </w:tc>
        <w:tc>
          <w:tcPr>
            <w:tcW w:w="744"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植物保护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393"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12</w:t>
            </w:r>
          </w:p>
        </w:tc>
        <w:tc>
          <w:tcPr>
            <w:tcW w:w="1967"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商河县林业局</w:t>
            </w:r>
          </w:p>
        </w:tc>
        <w:tc>
          <w:tcPr>
            <w:tcW w:w="189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商河县林业局</w:t>
            </w:r>
          </w:p>
        </w:tc>
        <w:tc>
          <w:tcPr>
            <w:tcW w:w="744"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植物保护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393"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13</w:t>
            </w:r>
          </w:p>
        </w:tc>
        <w:tc>
          <w:tcPr>
            <w:tcW w:w="1967"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威海博豪农业有限责任公司</w:t>
            </w:r>
          </w:p>
        </w:tc>
        <w:tc>
          <w:tcPr>
            <w:tcW w:w="189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威海市环翠区桥头乡</w:t>
            </w:r>
          </w:p>
        </w:tc>
        <w:tc>
          <w:tcPr>
            <w:tcW w:w="744"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植物保护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393"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14</w:t>
            </w:r>
          </w:p>
        </w:tc>
        <w:tc>
          <w:tcPr>
            <w:tcW w:w="1967"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威海市世代海洋生物科技有限公司</w:t>
            </w:r>
          </w:p>
        </w:tc>
        <w:tc>
          <w:tcPr>
            <w:tcW w:w="189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山东省荣成市好运角裕兴路128号</w:t>
            </w:r>
          </w:p>
        </w:tc>
        <w:tc>
          <w:tcPr>
            <w:tcW w:w="744"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植物保护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393"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15</w:t>
            </w:r>
          </w:p>
        </w:tc>
        <w:tc>
          <w:tcPr>
            <w:tcW w:w="1967"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山东滨州科技有限公司</w:t>
            </w:r>
          </w:p>
        </w:tc>
        <w:tc>
          <w:tcPr>
            <w:tcW w:w="189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滨州经济开发区永莘路518号</w:t>
            </w:r>
          </w:p>
        </w:tc>
        <w:tc>
          <w:tcPr>
            <w:tcW w:w="744"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植物保护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79" w:hRule="atLeast"/>
        </w:trPr>
        <w:tc>
          <w:tcPr>
            <w:tcW w:w="393"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16</w:t>
            </w:r>
          </w:p>
        </w:tc>
        <w:tc>
          <w:tcPr>
            <w:tcW w:w="1967"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菏泽市出入境检验检疫局</w:t>
            </w:r>
          </w:p>
        </w:tc>
        <w:tc>
          <w:tcPr>
            <w:tcW w:w="189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菏泽市中华路1000号</w:t>
            </w:r>
          </w:p>
        </w:tc>
        <w:tc>
          <w:tcPr>
            <w:tcW w:w="744"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植物保护/动植物检疫</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393"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color w:val="000000"/>
                <w:kern w:val="0"/>
                <w:sz w:val="21"/>
                <w:szCs w:val="21"/>
              </w:rPr>
            </w:pPr>
            <w:r>
              <w:rPr>
                <w:color w:val="000000"/>
                <w:kern w:val="0"/>
                <w:sz w:val="21"/>
                <w:szCs w:val="21"/>
              </w:rPr>
              <w:t>17</w:t>
            </w:r>
          </w:p>
        </w:tc>
        <w:tc>
          <w:tcPr>
            <w:tcW w:w="1967"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泰安市岳阳农作物专业合作社</w:t>
            </w:r>
          </w:p>
        </w:tc>
        <w:tc>
          <w:tcPr>
            <w:tcW w:w="189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岱岳区马庄镇</w:t>
            </w:r>
          </w:p>
        </w:tc>
        <w:tc>
          <w:tcPr>
            <w:tcW w:w="744"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植物保护，制药工程</w:t>
            </w:r>
          </w:p>
        </w:tc>
      </w:tr>
    </w:tbl>
    <w:p>
      <w:pPr>
        <w:ind w:firstLine="480" w:firstLineChars="200"/>
        <w:rPr>
          <w:color w:val="000000"/>
        </w:rPr>
      </w:pPr>
      <w:r>
        <w:rPr>
          <w:color w:val="000000"/>
        </w:rPr>
        <w:t>依托45</w:t>
      </w:r>
      <w:r>
        <w:rPr>
          <w:szCs w:val="24"/>
        </w:rPr>
        <w:t>亩校内植物保护实验站园和山东省植保总站</w:t>
      </w:r>
      <w:r>
        <w:rPr>
          <w:color w:val="000000"/>
        </w:rPr>
        <w:t>、山东华阳科技股份有限公司、徂徕山林场等近20处校外实习基地，可满足学生教学实验实习、科研试验和创新，能够满足学生校外实训需要。</w:t>
      </w:r>
    </w:p>
    <w:p>
      <w:pPr>
        <w:pStyle w:val="6"/>
        <w:ind w:firstLine="480"/>
      </w:pPr>
      <w:r>
        <w:t>5.现代教学技术应用</w:t>
      </w:r>
    </w:p>
    <w:p>
      <w:pPr>
        <w:ind w:firstLine="480" w:firstLineChars="200"/>
      </w:pPr>
      <w:r>
        <w:t>完成《</w:t>
      </w:r>
      <w:r>
        <w:rPr>
          <w:szCs w:val="24"/>
        </w:rPr>
        <w:t>植物化学保护学</w:t>
      </w:r>
      <w:r>
        <w:t>》慕课和</w:t>
      </w:r>
      <w:r>
        <w:rPr>
          <w:color w:val="000000"/>
        </w:rPr>
        <w:t>《普通昆虫学》建成慕课</w:t>
      </w:r>
      <w:r>
        <w:t>在线课程建设，对学生学习相关课程提供了在线学习资源。所有课程全部使用多媒体教学。</w:t>
      </w:r>
    </w:p>
    <w:p>
      <w:pPr>
        <w:ind w:firstLine="480" w:firstLineChars="200"/>
        <w:rPr>
          <w:color w:val="000000" w:themeColor="text1"/>
          <w14:textFill>
            <w14:solidFill>
              <w14:schemeClr w14:val="tx1"/>
            </w14:solidFill>
          </w14:textFill>
        </w:rPr>
      </w:pPr>
      <w:r>
        <w:rPr>
          <w:szCs w:val="24"/>
        </w:rPr>
        <w:t>植物保护专业建设了课程网站</w:t>
      </w:r>
      <w:r>
        <w:t>，有利于学生辅助学习；所有课程全部使用多媒体教学。植保专业的专业核心课程包括普通植物病理学、普通昆虫学、植物化学保护、农业昆虫学、农业植物病理学等都属于省级或校级精品课程，</w:t>
      </w:r>
      <w:r>
        <w:rPr>
          <w:color w:val="000000" w:themeColor="text1"/>
          <w14:textFill>
            <w14:solidFill>
              <w14:schemeClr w14:val="tx1"/>
            </w14:solidFill>
          </w14:textFill>
        </w:rPr>
        <w:t>2019年新建</w:t>
      </w:r>
      <w:r>
        <w:rPr>
          <w:rFonts w:hint="eastAsia"/>
          <w:color w:val="000000" w:themeColor="text1"/>
          <w14:textFill>
            <w14:solidFill>
              <w14:schemeClr w14:val="tx1"/>
            </w14:solidFill>
          </w14:textFill>
        </w:rPr>
        <w:t>“</w:t>
      </w:r>
      <w:r>
        <w:t>玉米螟发生与绿色防控虚拟仿真实验</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1项，并于2020年</w:t>
      </w:r>
      <w:r>
        <w:t>获批国家级一流课程，4门课程被评为省级一流课程</w:t>
      </w:r>
      <w:r>
        <w:rPr>
          <w:color w:val="000000" w:themeColor="text1"/>
          <w14:textFill>
            <w14:solidFill>
              <w14:schemeClr w14:val="tx1"/>
            </w14:solidFill>
          </w14:textFill>
        </w:rPr>
        <w:t>，教学资源全部上网。</w:t>
      </w:r>
    </w:p>
    <w:p>
      <w:pPr>
        <w:pStyle w:val="5"/>
        <w:spacing w:before="93" w:after="93"/>
        <w:ind w:firstLine="560"/>
      </w:pPr>
      <w:r>
        <w:t>四、培养机制与特色（产学研协同育人机制、合作办学、教学管理等）</w:t>
      </w:r>
    </w:p>
    <w:p>
      <w:pPr>
        <w:ind w:firstLine="480" w:firstLineChars="200"/>
        <w:rPr>
          <w:rFonts w:eastAsia="仿宋_GB2312"/>
        </w:rPr>
      </w:pPr>
      <w:r>
        <w:t>植物保护专业依托植物保护一级学科博士点</w:t>
      </w:r>
      <w:r>
        <w:rPr>
          <w:szCs w:val="24"/>
        </w:rPr>
        <w:t>、博士后科研流动站；植物病理学、农业昆虫与害虫防治学、农药学等二级学科博士学位授权点和硕士学位授权点；植物病理学和农业昆虫与害虫防治2个省级重点学科、农药毒理与应用技术高校重点实验室、农业微生物和山东蔬菜病虫生物学3个省级重点实验室。2013年教育部公布的国家一级学科点评估结果，我校植物保护学科位列全国前10位。学院充分利用上述重点实验室、重点学科，将科研资源转化为教学资源，提高了植物保护专业学生的创新创业能力，2014年，植物保护专业被教育部、农业部和国家林业局评为首批卓越农林人才教育培养试点高校-拔尖创新型专业，形成了鲜明的人才培养特色。</w:t>
      </w:r>
      <w:r>
        <w:rPr>
          <w:rFonts w:eastAsia="仿宋_GB2312"/>
        </w:rPr>
        <w:tab/>
      </w:r>
    </w:p>
    <w:p>
      <w:pPr>
        <w:ind w:firstLine="480" w:firstLineChars="200"/>
        <w:rPr>
          <w:color w:val="000000"/>
        </w:rPr>
      </w:pPr>
      <w:r>
        <w:t>借助山东省高水平应用型建设专业和教育服务新旧动能转化等项目</w:t>
      </w:r>
      <w:r>
        <w:rPr>
          <w:color w:val="000000"/>
        </w:rPr>
        <w:t>，学科平台和育人水平显著提升；学科专业不断加强产教协同育人力度，通过共同建设校外教学科研实践育人基地，拓宽育人广度；专业加大国际化育人力度，通过选派优秀学生到美国高水平大学访学等，不断扩大育人的国际化视野和水平。</w:t>
      </w:r>
    </w:p>
    <w:p>
      <w:pPr>
        <w:ind w:firstLine="480" w:firstLineChars="200"/>
        <w:rPr>
          <w:color w:val="000000"/>
        </w:rPr>
      </w:pPr>
      <w:r>
        <w:t>本年度继续加强教学的过程管理</w:t>
      </w:r>
      <w:r>
        <w:rPr>
          <w:color w:val="000000"/>
        </w:rPr>
        <w:t>，通过制度植保学院阅卷规范、出题规范、课堂教师教学规范及毕业实习过程要求及毕业论文写作规范，提高学生的培养质量。</w:t>
      </w:r>
    </w:p>
    <w:p>
      <w:pPr>
        <w:pStyle w:val="5"/>
        <w:spacing w:before="93" w:after="93"/>
        <w:ind w:firstLine="560"/>
      </w:pPr>
      <w:r>
        <w:t>五、培养质量（毕业生就业率、就业专业对口率、毕业生发展情况、就业单位满意率、社会对专业的评价、学生就读该专业的意愿等）</w:t>
      </w:r>
    </w:p>
    <w:p>
      <w:pPr>
        <w:pStyle w:val="6"/>
        <w:ind w:firstLine="480"/>
      </w:pPr>
      <w:r>
        <w:t>1.毕业生就业状况</w:t>
      </w:r>
    </w:p>
    <w:p>
      <w:pPr>
        <w:ind w:firstLine="480" w:firstLineChars="200"/>
        <w:rPr>
          <w:color w:val="000000"/>
        </w:rPr>
      </w:pPr>
      <w:r>
        <w:rPr>
          <w:color w:val="000000"/>
        </w:rPr>
        <w:t>植物保护专业2022届本科毕业生共130人，考研率为45.38%，专业总体就业率为93.08%。</w:t>
      </w:r>
    </w:p>
    <w:p>
      <w:pPr>
        <w:ind w:firstLine="480" w:firstLineChars="200"/>
        <w:rPr>
          <w:szCs w:val="24"/>
        </w:rPr>
      </w:pPr>
      <w:r>
        <w:rPr>
          <w:color w:val="000000"/>
        </w:rPr>
        <w:t>招收研究生和用人单位普遍认为本校植物保护专业的毕业生理论基础扎实</w:t>
      </w:r>
      <w:r>
        <w:rPr>
          <w:szCs w:val="24"/>
        </w:rPr>
        <w:t>、专业素质高、动手能力强，思路好，十分认同植物保护专业人才培养工作。本专业的学生，这些年来一直专业思想稳定，学风端正，学习氛围好，学习努力上进。</w:t>
      </w:r>
    </w:p>
    <w:p>
      <w:pPr>
        <w:ind w:firstLine="480" w:firstLineChars="200"/>
        <w:rPr>
          <w:szCs w:val="24"/>
        </w:rPr>
      </w:pPr>
      <w:r>
        <w:rPr>
          <w:szCs w:val="24"/>
        </w:rPr>
        <w:t>具体情况统计如下：</w:t>
      </w:r>
    </w:p>
    <w:p>
      <w:pPr>
        <w:ind w:firstLine="480"/>
        <w:jc w:val="center"/>
        <w:rPr>
          <w:b/>
          <w:bCs/>
          <w:sz w:val="21"/>
          <w:szCs w:val="21"/>
        </w:rPr>
      </w:pPr>
      <w:r>
        <w:rPr>
          <w:b/>
          <w:bCs/>
          <w:sz w:val="21"/>
          <w:szCs w:val="21"/>
        </w:rPr>
        <w:t>表2 毕业生就业方式统计表</w:t>
      </w:r>
    </w:p>
    <w:tbl>
      <w:tblPr>
        <w:tblStyle w:val="17"/>
        <w:tblW w:w="4997" w:type="pct"/>
        <w:jc w:val="center"/>
        <w:tblLayout w:type="autofit"/>
        <w:tblCellMar>
          <w:top w:w="0" w:type="dxa"/>
          <w:left w:w="0" w:type="dxa"/>
          <w:bottom w:w="0" w:type="dxa"/>
          <w:right w:w="0" w:type="dxa"/>
        </w:tblCellMar>
      </w:tblPr>
      <w:tblGrid>
        <w:gridCol w:w="1258"/>
        <w:gridCol w:w="967"/>
        <w:gridCol w:w="1286"/>
        <w:gridCol w:w="1048"/>
        <w:gridCol w:w="1286"/>
        <w:gridCol w:w="970"/>
        <w:gridCol w:w="1053"/>
        <w:gridCol w:w="1002"/>
      </w:tblGrid>
      <w:tr>
        <w:tblPrEx>
          <w:tblCellMar>
            <w:top w:w="0" w:type="dxa"/>
            <w:left w:w="0" w:type="dxa"/>
            <w:bottom w:w="0" w:type="dxa"/>
            <w:right w:w="0" w:type="dxa"/>
          </w:tblCellMar>
        </w:tblPrEx>
        <w:trPr>
          <w:trHeight w:val="617" w:hRule="atLeast"/>
          <w:jc w:val="center"/>
        </w:trPr>
        <w:tc>
          <w:tcPr>
            <w:tcW w:w="70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就业方式</w:t>
            </w:r>
          </w:p>
        </w:tc>
        <w:tc>
          <w:tcPr>
            <w:tcW w:w="54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国内</w:t>
            </w:r>
          </w:p>
          <w:p>
            <w:pPr>
              <w:widowControl/>
              <w:spacing w:line="240" w:lineRule="auto"/>
              <w:jc w:val="center"/>
              <w:textAlignment w:val="center"/>
              <w:rPr>
                <w:b/>
                <w:bCs/>
                <w:color w:val="000000"/>
                <w:kern w:val="0"/>
                <w:sz w:val="21"/>
                <w:szCs w:val="21"/>
              </w:rPr>
            </w:pPr>
            <w:r>
              <w:rPr>
                <w:b/>
                <w:bCs/>
                <w:color w:val="000000"/>
                <w:kern w:val="0"/>
                <w:sz w:val="21"/>
                <w:szCs w:val="21"/>
              </w:rPr>
              <w:t>升学</w:t>
            </w:r>
          </w:p>
        </w:tc>
        <w:tc>
          <w:tcPr>
            <w:tcW w:w="72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协议就业</w:t>
            </w:r>
          </w:p>
        </w:tc>
        <w:tc>
          <w:tcPr>
            <w:tcW w:w="59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劳动合同</w:t>
            </w:r>
          </w:p>
        </w:tc>
        <w:tc>
          <w:tcPr>
            <w:tcW w:w="72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自主创业</w:t>
            </w:r>
          </w:p>
        </w:tc>
        <w:tc>
          <w:tcPr>
            <w:tcW w:w="54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其他录用</w:t>
            </w:r>
          </w:p>
          <w:p>
            <w:pPr>
              <w:widowControl/>
              <w:spacing w:line="240" w:lineRule="auto"/>
              <w:jc w:val="center"/>
              <w:textAlignment w:val="center"/>
              <w:rPr>
                <w:b/>
                <w:bCs/>
                <w:color w:val="000000"/>
                <w:kern w:val="0"/>
                <w:sz w:val="21"/>
                <w:szCs w:val="21"/>
              </w:rPr>
            </w:pPr>
            <w:r>
              <w:rPr>
                <w:b/>
                <w:bCs/>
                <w:color w:val="000000"/>
                <w:kern w:val="0"/>
                <w:sz w:val="21"/>
                <w:szCs w:val="21"/>
              </w:rPr>
              <w:t>形式</w:t>
            </w:r>
          </w:p>
        </w:tc>
        <w:tc>
          <w:tcPr>
            <w:tcW w:w="59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暂不就业</w:t>
            </w:r>
          </w:p>
        </w:tc>
        <w:tc>
          <w:tcPr>
            <w:tcW w:w="56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待就业</w:t>
            </w:r>
          </w:p>
        </w:tc>
      </w:tr>
      <w:tr>
        <w:tblPrEx>
          <w:tblCellMar>
            <w:top w:w="0" w:type="dxa"/>
            <w:left w:w="0" w:type="dxa"/>
            <w:bottom w:w="0" w:type="dxa"/>
            <w:right w:w="0" w:type="dxa"/>
          </w:tblCellMar>
        </w:tblPrEx>
        <w:trPr>
          <w:trHeight w:val="657" w:hRule="atLeast"/>
          <w:jc w:val="center"/>
        </w:trPr>
        <w:tc>
          <w:tcPr>
            <w:tcW w:w="70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人数</w:t>
            </w:r>
          </w:p>
          <w:p>
            <w:pPr>
              <w:widowControl/>
              <w:spacing w:line="240" w:lineRule="auto"/>
              <w:jc w:val="center"/>
              <w:textAlignment w:val="center"/>
              <w:rPr>
                <w:color w:val="000000"/>
                <w:kern w:val="0"/>
                <w:sz w:val="21"/>
                <w:szCs w:val="21"/>
              </w:rPr>
            </w:pPr>
            <w:r>
              <w:rPr>
                <w:color w:val="000000"/>
                <w:kern w:val="0"/>
                <w:sz w:val="21"/>
                <w:szCs w:val="21"/>
              </w:rPr>
              <w:t>（比例）</w:t>
            </w:r>
          </w:p>
        </w:tc>
        <w:tc>
          <w:tcPr>
            <w:tcW w:w="54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45.38%</w:t>
            </w:r>
          </w:p>
        </w:tc>
        <w:tc>
          <w:tcPr>
            <w:tcW w:w="72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27.96%</w:t>
            </w:r>
          </w:p>
        </w:tc>
        <w:tc>
          <w:tcPr>
            <w:tcW w:w="59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7.69%</w:t>
            </w:r>
          </w:p>
        </w:tc>
        <w:tc>
          <w:tcPr>
            <w:tcW w:w="72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0.77%</w:t>
            </w:r>
          </w:p>
        </w:tc>
        <w:tc>
          <w:tcPr>
            <w:tcW w:w="54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13.08%</w:t>
            </w:r>
          </w:p>
        </w:tc>
        <w:tc>
          <w:tcPr>
            <w:tcW w:w="59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1.54%</w:t>
            </w:r>
          </w:p>
        </w:tc>
        <w:tc>
          <w:tcPr>
            <w:tcW w:w="56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5.38%</w:t>
            </w:r>
          </w:p>
        </w:tc>
      </w:tr>
    </w:tbl>
    <w:p>
      <w:pPr>
        <w:pStyle w:val="6"/>
        <w:ind w:firstLine="480"/>
      </w:pPr>
      <w:r>
        <w:t>2.毕业生生源地结构</w:t>
      </w:r>
    </w:p>
    <w:p>
      <w:pPr>
        <w:ind w:firstLine="420"/>
      </w:pPr>
      <w:r>
        <w:t>本专业2022</w:t>
      </w:r>
      <w:r>
        <w:rPr>
          <w:color w:val="000000"/>
        </w:rPr>
        <w:t>届毕业生共计</w:t>
      </w:r>
      <w:r>
        <w:t>130人，其中男生61人，占比46.92%，女生69人，占比53.08%；省内生源96人，占比73.85%，省外生源34人，占比26.15%，省外生源主要集中在贵州省、河北省、甘肃省等。从民族结构看，2022届毕业生以汉族为主，共123人，占比94.62%；少数民族共7人，占比5.38%，包括回族、满族、布依族等。</w:t>
      </w:r>
    </w:p>
    <w:p>
      <w:pPr>
        <w:spacing w:line="560" w:lineRule="exact"/>
        <w:ind w:firstLine="480"/>
        <w:jc w:val="center"/>
        <w:rPr>
          <w:rFonts w:eastAsia="黑体"/>
          <w:szCs w:val="24"/>
        </w:rPr>
      </w:pPr>
    </w:p>
    <w:p>
      <w:pPr>
        <w:widowControl/>
        <w:spacing w:line="240" w:lineRule="auto"/>
        <w:jc w:val="center"/>
        <w:textAlignment w:val="center"/>
        <w:rPr>
          <w:b/>
          <w:bCs/>
          <w:color w:val="000000"/>
          <w:kern w:val="0"/>
          <w:sz w:val="21"/>
          <w:szCs w:val="21"/>
        </w:rPr>
      </w:pPr>
      <w:r>
        <w:rPr>
          <w:b/>
          <w:bCs/>
          <w:color w:val="000000"/>
          <w:kern w:val="0"/>
          <w:sz w:val="21"/>
          <w:szCs w:val="21"/>
        </w:rPr>
        <w:t>表3 毕业生生源结构统计表</w:t>
      </w:r>
    </w:p>
    <w:tbl>
      <w:tblPr>
        <w:tblStyle w:val="17"/>
        <w:tblW w:w="8775" w:type="dxa"/>
        <w:jc w:val="center"/>
        <w:tblLayout w:type="autofit"/>
        <w:tblCellMar>
          <w:top w:w="0" w:type="dxa"/>
          <w:left w:w="0" w:type="dxa"/>
          <w:bottom w:w="0" w:type="dxa"/>
          <w:right w:w="0" w:type="dxa"/>
        </w:tblCellMar>
      </w:tblPr>
      <w:tblGrid>
        <w:gridCol w:w="1125"/>
        <w:gridCol w:w="855"/>
        <w:gridCol w:w="1140"/>
        <w:gridCol w:w="1185"/>
        <w:gridCol w:w="1170"/>
        <w:gridCol w:w="1140"/>
        <w:gridCol w:w="1098"/>
        <w:gridCol w:w="1080"/>
      </w:tblGrid>
      <w:tr>
        <w:tblPrEx>
          <w:tblCellMar>
            <w:top w:w="0" w:type="dxa"/>
            <w:left w:w="0" w:type="dxa"/>
            <w:bottom w:w="0" w:type="dxa"/>
            <w:right w:w="0" w:type="dxa"/>
          </w:tblCellMar>
        </w:tblPrEx>
        <w:trPr>
          <w:trHeight w:val="659" w:hRule="atLeast"/>
          <w:jc w:val="center"/>
        </w:trPr>
        <w:tc>
          <w:tcPr>
            <w:tcW w:w="11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专业名称</w:t>
            </w:r>
          </w:p>
        </w:tc>
        <w:tc>
          <w:tcPr>
            <w:tcW w:w="8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生源</w:t>
            </w:r>
          </w:p>
          <w:p>
            <w:pPr>
              <w:widowControl/>
              <w:spacing w:line="240" w:lineRule="auto"/>
              <w:jc w:val="center"/>
              <w:textAlignment w:val="center"/>
              <w:rPr>
                <w:b/>
                <w:bCs/>
                <w:color w:val="000000"/>
                <w:kern w:val="0"/>
                <w:sz w:val="21"/>
                <w:szCs w:val="21"/>
              </w:rPr>
            </w:pPr>
            <w:r>
              <w:rPr>
                <w:b/>
                <w:bCs/>
                <w:color w:val="000000"/>
                <w:kern w:val="0"/>
                <w:sz w:val="21"/>
                <w:szCs w:val="21"/>
              </w:rPr>
              <w:t>人数</w:t>
            </w:r>
          </w:p>
        </w:tc>
        <w:tc>
          <w:tcPr>
            <w:tcW w:w="114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男生数量</w:t>
            </w:r>
          </w:p>
          <w:p>
            <w:pPr>
              <w:widowControl/>
              <w:spacing w:line="240" w:lineRule="auto"/>
              <w:jc w:val="center"/>
              <w:textAlignment w:val="center"/>
              <w:rPr>
                <w:b/>
                <w:bCs/>
                <w:color w:val="000000"/>
                <w:kern w:val="0"/>
                <w:sz w:val="21"/>
                <w:szCs w:val="21"/>
              </w:rPr>
            </w:pPr>
            <w:r>
              <w:rPr>
                <w:b/>
                <w:bCs/>
                <w:color w:val="000000"/>
                <w:kern w:val="0"/>
                <w:sz w:val="21"/>
                <w:szCs w:val="21"/>
              </w:rPr>
              <w:t>（比例）</w:t>
            </w:r>
          </w:p>
        </w:tc>
        <w:tc>
          <w:tcPr>
            <w:tcW w:w="118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女生数量</w:t>
            </w:r>
          </w:p>
          <w:p>
            <w:pPr>
              <w:widowControl/>
              <w:spacing w:line="240" w:lineRule="auto"/>
              <w:jc w:val="center"/>
              <w:textAlignment w:val="center"/>
              <w:rPr>
                <w:b/>
                <w:bCs/>
                <w:color w:val="000000"/>
                <w:kern w:val="0"/>
                <w:sz w:val="21"/>
                <w:szCs w:val="21"/>
              </w:rPr>
            </w:pPr>
            <w:r>
              <w:rPr>
                <w:b/>
                <w:bCs/>
                <w:color w:val="000000"/>
                <w:kern w:val="0"/>
                <w:sz w:val="21"/>
                <w:szCs w:val="21"/>
              </w:rPr>
              <w:t>（比例）</w:t>
            </w:r>
          </w:p>
        </w:tc>
        <w:tc>
          <w:tcPr>
            <w:tcW w:w="117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省内人数</w:t>
            </w:r>
          </w:p>
          <w:p>
            <w:pPr>
              <w:widowControl/>
              <w:spacing w:line="240" w:lineRule="auto"/>
              <w:jc w:val="center"/>
              <w:textAlignment w:val="center"/>
              <w:rPr>
                <w:b/>
                <w:bCs/>
                <w:color w:val="000000"/>
                <w:kern w:val="0"/>
                <w:sz w:val="21"/>
                <w:szCs w:val="21"/>
              </w:rPr>
            </w:pPr>
            <w:r>
              <w:rPr>
                <w:b/>
                <w:bCs/>
                <w:color w:val="000000"/>
                <w:kern w:val="0"/>
                <w:sz w:val="21"/>
                <w:szCs w:val="21"/>
              </w:rPr>
              <w:t>（比例）</w:t>
            </w:r>
          </w:p>
        </w:tc>
        <w:tc>
          <w:tcPr>
            <w:tcW w:w="114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省外人数</w:t>
            </w:r>
          </w:p>
          <w:p>
            <w:pPr>
              <w:widowControl/>
              <w:spacing w:line="240" w:lineRule="auto"/>
              <w:jc w:val="center"/>
              <w:textAlignment w:val="center"/>
              <w:rPr>
                <w:b/>
                <w:bCs/>
                <w:color w:val="000000"/>
                <w:kern w:val="0"/>
                <w:sz w:val="21"/>
                <w:szCs w:val="21"/>
              </w:rPr>
            </w:pPr>
            <w:r>
              <w:rPr>
                <w:b/>
                <w:bCs/>
                <w:color w:val="000000"/>
                <w:kern w:val="0"/>
                <w:sz w:val="21"/>
                <w:szCs w:val="21"/>
              </w:rPr>
              <w:t>（比例）</w:t>
            </w:r>
          </w:p>
        </w:tc>
        <w:tc>
          <w:tcPr>
            <w:tcW w:w="108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汉族人数</w:t>
            </w:r>
          </w:p>
          <w:p>
            <w:pPr>
              <w:widowControl/>
              <w:spacing w:line="240" w:lineRule="auto"/>
              <w:jc w:val="center"/>
              <w:textAlignment w:val="center"/>
              <w:rPr>
                <w:b/>
                <w:bCs/>
                <w:color w:val="000000"/>
                <w:kern w:val="0"/>
                <w:sz w:val="21"/>
                <w:szCs w:val="21"/>
              </w:rPr>
            </w:pPr>
            <w:r>
              <w:rPr>
                <w:b/>
                <w:bCs/>
                <w:color w:val="000000"/>
                <w:kern w:val="0"/>
                <w:sz w:val="21"/>
                <w:szCs w:val="21"/>
              </w:rPr>
              <w:t>（比例）</w:t>
            </w:r>
          </w:p>
        </w:tc>
        <w:tc>
          <w:tcPr>
            <w:tcW w:w="108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少数民族</w:t>
            </w:r>
          </w:p>
          <w:p>
            <w:pPr>
              <w:widowControl/>
              <w:spacing w:line="240" w:lineRule="auto"/>
              <w:jc w:val="center"/>
              <w:textAlignment w:val="center"/>
              <w:rPr>
                <w:b/>
                <w:bCs/>
                <w:color w:val="000000"/>
                <w:kern w:val="0"/>
                <w:sz w:val="21"/>
                <w:szCs w:val="21"/>
              </w:rPr>
            </w:pPr>
            <w:r>
              <w:rPr>
                <w:b/>
                <w:bCs/>
                <w:color w:val="000000"/>
                <w:kern w:val="0"/>
                <w:sz w:val="21"/>
                <w:szCs w:val="21"/>
              </w:rPr>
              <w:t>（比例）</w:t>
            </w:r>
          </w:p>
        </w:tc>
      </w:tr>
      <w:tr>
        <w:tblPrEx>
          <w:tblCellMar>
            <w:top w:w="0" w:type="dxa"/>
            <w:left w:w="0" w:type="dxa"/>
            <w:bottom w:w="0" w:type="dxa"/>
            <w:right w:w="0" w:type="dxa"/>
          </w:tblCellMar>
        </w:tblPrEx>
        <w:trPr>
          <w:trHeight w:val="507" w:hRule="atLeast"/>
          <w:jc w:val="center"/>
        </w:trPr>
        <w:tc>
          <w:tcPr>
            <w:tcW w:w="0" w:type="auto"/>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植物保护</w:t>
            </w:r>
          </w:p>
        </w:tc>
        <w:tc>
          <w:tcPr>
            <w:tcW w:w="0" w:type="auto"/>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130</w:t>
            </w:r>
          </w:p>
        </w:tc>
        <w:tc>
          <w:tcPr>
            <w:tcW w:w="114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61</w:t>
            </w:r>
          </w:p>
          <w:p>
            <w:pPr>
              <w:widowControl/>
              <w:spacing w:line="240" w:lineRule="auto"/>
              <w:jc w:val="center"/>
              <w:textAlignment w:val="center"/>
              <w:rPr>
                <w:color w:val="000000"/>
                <w:kern w:val="0"/>
                <w:sz w:val="21"/>
                <w:szCs w:val="21"/>
              </w:rPr>
            </w:pPr>
            <w:r>
              <w:rPr>
                <w:color w:val="000000"/>
                <w:kern w:val="0"/>
                <w:sz w:val="21"/>
                <w:szCs w:val="21"/>
              </w:rPr>
              <w:t>（46.92%）</w:t>
            </w:r>
          </w:p>
        </w:tc>
        <w:tc>
          <w:tcPr>
            <w:tcW w:w="118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69</w:t>
            </w:r>
          </w:p>
          <w:p>
            <w:pPr>
              <w:widowControl/>
              <w:spacing w:line="240" w:lineRule="auto"/>
              <w:jc w:val="center"/>
              <w:textAlignment w:val="center"/>
              <w:rPr>
                <w:color w:val="000000"/>
                <w:kern w:val="0"/>
                <w:sz w:val="21"/>
                <w:szCs w:val="21"/>
              </w:rPr>
            </w:pPr>
            <w:r>
              <w:rPr>
                <w:color w:val="000000"/>
                <w:kern w:val="0"/>
                <w:sz w:val="21"/>
                <w:szCs w:val="21"/>
              </w:rPr>
              <w:t>（53.08%）</w:t>
            </w:r>
          </w:p>
        </w:tc>
        <w:tc>
          <w:tcPr>
            <w:tcW w:w="117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96</w:t>
            </w:r>
          </w:p>
          <w:p>
            <w:pPr>
              <w:widowControl/>
              <w:spacing w:line="240" w:lineRule="auto"/>
              <w:jc w:val="center"/>
              <w:textAlignment w:val="center"/>
              <w:rPr>
                <w:color w:val="000000"/>
                <w:kern w:val="0"/>
                <w:sz w:val="21"/>
                <w:szCs w:val="21"/>
              </w:rPr>
            </w:pPr>
            <w:r>
              <w:rPr>
                <w:color w:val="000000"/>
                <w:kern w:val="0"/>
                <w:sz w:val="21"/>
                <w:szCs w:val="21"/>
              </w:rPr>
              <w:t>（73.85%）</w:t>
            </w:r>
          </w:p>
        </w:tc>
        <w:tc>
          <w:tcPr>
            <w:tcW w:w="114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34</w:t>
            </w:r>
          </w:p>
          <w:p>
            <w:pPr>
              <w:widowControl/>
              <w:spacing w:line="240" w:lineRule="auto"/>
              <w:jc w:val="center"/>
              <w:textAlignment w:val="center"/>
              <w:rPr>
                <w:color w:val="000000"/>
                <w:kern w:val="0"/>
                <w:sz w:val="21"/>
                <w:szCs w:val="21"/>
              </w:rPr>
            </w:pPr>
            <w:r>
              <w:rPr>
                <w:color w:val="000000"/>
                <w:kern w:val="0"/>
                <w:sz w:val="21"/>
                <w:szCs w:val="21"/>
              </w:rPr>
              <w:t>（26.15%）</w:t>
            </w:r>
          </w:p>
        </w:tc>
        <w:tc>
          <w:tcPr>
            <w:tcW w:w="10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123</w:t>
            </w:r>
          </w:p>
          <w:p>
            <w:pPr>
              <w:widowControl/>
              <w:spacing w:line="240" w:lineRule="auto"/>
              <w:jc w:val="center"/>
              <w:textAlignment w:val="center"/>
              <w:rPr>
                <w:color w:val="000000"/>
                <w:kern w:val="0"/>
                <w:sz w:val="21"/>
                <w:szCs w:val="21"/>
              </w:rPr>
            </w:pPr>
            <w:r>
              <w:rPr>
                <w:color w:val="000000"/>
                <w:kern w:val="0"/>
                <w:sz w:val="21"/>
                <w:szCs w:val="21"/>
              </w:rPr>
              <w:t>（94.62%）</w:t>
            </w:r>
          </w:p>
        </w:tc>
        <w:tc>
          <w:tcPr>
            <w:tcW w:w="10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7</w:t>
            </w:r>
          </w:p>
          <w:p>
            <w:pPr>
              <w:widowControl/>
              <w:spacing w:line="240" w:lineRule="auto"/>
              <w:jc w:val="center"/>
              <w:textAlignment w:val="center"/>
              <w:rPr>
                <w:color w:val="000000"/>
                <w:kern w:val="0"/>
                <w:sz w:val="21"/>
                <w:szCs w:val="21"/>
              </w:rPr>
            </w:pPr>
            <w:r>
              <w:rPr>
                <w:color w:val="000000"/>
                <w:kern w:val="0"/>
                <w:sz w:val="21"/>
                <w:szCs w:val="21"/>
              </w:rPr>
              <w:t>（5.38%）</w:t>
            </w:r>
          </w:p>
        </w:tc>
      </w:tr>
    </w:tbl>
    <w:p>
      <w:pPr>
        <w:pStyle w:val="6"/>
        <w:ind w:firstLine="480"/>
      </w:pPr>
    </w:p>
    <w:p>
      <w:pPr>
        <w:pStyle w:val="6"/>
        <w:ind w:firstLine="480"/>
      </w:pPr>
      <w:r>
        <w:t>3. 就业流向</w:t>
      </w:r>
    </w:p>
    <w:p>
      <w:pPr>
        <w:ind w:firstLine="482"/>
      </w:pPr>
      <w:r>
        <w:t>截止2022年8月31日，已就业毕业生121人，毕业去向落实率为93.08%，其中男生57人，女生64人。毕业生留鲁就业的88人，占已就业总人数的72.73%，其中到泰安市就业人数最多，占比33.06%。出省就业共33人，占已就业总人数的27.27%，主要流向为北京市、江苏省、陕西省等省份。</w:t>
      </w:r>
    </w:p>
    <w:p>
      <w:pPr>
        <w:widowControl/>
        <w:spacing w:line="240" w:lineRule="auto"/>
        <w:jc w:val="center"/>
        <w:textAlignment w:val="center"/>
        <w:rPr>
          <w:b/>
          <w:bCs/>
          <w:color w:val="000000"/>
          <w:kern w:val="0"/>
          <w:sz w:val="21"/>
          <w:szCs w:val="21"/>
        </w:rPr>
      </w:pPr>
    </w:p>
    <w:p>
      <w:pPr>
        <w:widowControl/>
        <w:spacing w:line="240" w:lineRule="auto"/>
        <w:jc w:val="center"/>
        <w:textAlignment w:val="center"/>
        <w:rPr>
          <w:b/>
          <w:bCs/>
          <w:color w:val="000000"/>
          <w:kern w:val="0"/>
          <w:sz w:val="21"/>
          <w:szCs w:val="21"/>
        </w:rPr>
      </w:pPr>
      <w:r>
        <w:rPr>
          <w:b/>
          <w:bCs/>
          <w:color w:val="000000"/>
          <w:kern w:val="0"/>
          <w:sz w:val="21"/>
          <w:szCs w:val="21"/>
        </w:rPr>
        <w:t>表4 毕业生毕业去向落实情况统计表</w:t>
      </w:r>
    </w:p>
    <w:tbl>
      <w:tblPr>
        <w:tblStyle w:val="17"/>
        <w:tblW w:w="4997" w:type="pct"/>
        <w:jc w:val="center"/>
        <w:tblLayout w:type="autofit"/>
        <w:tblCellMar>
          <w:top w:w="0" w:type="dxa"/>
          <w:left w:w="0" w:type="dxa"/>
          <w:bottom w:w="0" w:type="dxa"/>
          <w:right w:w="0" w:type="dxa"/>
        </w:tblCellMar>
      </w:tblPr>
      <w:tblGrid>
        <w:gridCol w:w="1147"/>
        <w:gridCol w:w="1173"/>
        <w:gridCol w:w="905"/>
        <w:gridCol w:w="1436"/>
        <w:gridCol w:w="1365"/>
        <w:gridCol w:w="1482"/>
        <w:gridCol w:w="1362"/>
      </w:tblGrid>
      <w:tr>
        <w:tblPrEx>
          <w:tblCellMar>
            <w:top w:w="0" w:type="dxa"/>
            <w:left w:w="0" w:type="dxa"/>
            <w:bottom w:w="0" w:type="dxa"/>
            <w:right w:w="0" w:type="dxa"/>
          </w:tblCellMar>
        </w:tblPrEx>
        <w:trPr>
          <w:trHeight w:val="820" w:hRule="atLeast"/>
          <w:jc w:val="center"/>
        </w:trPr>
        <w:tc>
          <w:tcPr>
            <w:tcW w:w="64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专业名称</w:t>
            </w:r>
          </w:p>
        </w:tc>
        <w:tc>
          <w:tcPr>
            <w:tcW w:w="66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落实就业</w:t>
            </w:r>
          </w:p>
          <w:p>
            <w:pPr>
              <w:widowControl/>
              <w:spacing w:line="240" w:lineRule="auto"/>
              <w:jc w:val="center"/>
              <w:textAlignment w:val="center"/>
              <w:rPr>
                <w:b/>
                <w:bCs/>
                <w:color w:val="000000"/>
                <w:kern w:val="0"/>
                <w:sz w:val="21"/>
                <w:szCs w:val="21"/>
              </w:rPr>
            </w:pPr>
            <w:r>
              <w:rPr>
                <w:b/>
                <w:bCs/>
                <w:color w:val="000000"/>
                <w:kern w:val="0"/>
                <w:sz w:val="21"/>
                <w:szCs w:val="21"/>
              </w:rPr>
              <w:t>人数</w:t>
            </w:r>
          </w:p>
        </w:tc>
        <w:tc>
          <w:tcPr>
            <w:tcW w:w="51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毕业去向</w:t>
            </w:r>
          </w:p>
          <w:p>
            <w:pPr>
              <w:widowControl/>
              <w:spacing w:line="240" w:lineRule="auto"/>
              <w:jc w:val="center"/>
              <w:textAlignment w:val="center"/>
              <w:rPr>
                <w:b/>
                <w:bCs/>
                <w:color w:val="000000"/>
                <w:kern w:val="0"/>
                <w:sz w:val="21"/>
                <w:szCs w:val="21"/>
              </w:rPr>
            </w:pPr>
            <w:r>
              <w:rPr>
                <w:b/>
                <w:bCs/>
                <w:color w:val="000000"/>
                <w:kern w:val="0"/>
                <w:sz w:val="21"/>
                <w:szCs w:val="21"/>
              </w:rPr>
              <w:t>落实率</w:t>
            </w:r>
          </w:p>
        </w:tc>
        <w:tc>
          <w:tcPr>
            <w:tcW w:w="80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男生毕业去向</w:t>
            </w:r>
          </w:p>
          <w:p>
            <w:pPr>
              <w:widowControl/>
              <w:spacing w:line="240" w:lineRule="auto"/>
              <w:jc w:val="center"/>
              <w:textAlignment w:val="center"/>
              <w:rPr>
                <w:b/>
                <w:bCs/>
                <w:color w:val="000000"/>
                <w:kern w:val="0"/>
                <w:sz w:val="21"/>
                <w:szCs w:val="21"/>
              </w:rPr>
            </w:pPr>
            <w:r>
              <w:rPr>
                <w:b/>
                <w:bCs/>
                <w:color w:val="000000"/>
                <w:kern w:val="0"/>
                <w:sz w:val="21"/>
                <w:szCs w:val="21"/>
              </w:rPr>
              <w:t>落实率</w:t>
            </w:r>
          </w:p>
        </w:tc>
        <w:tc>
          <w:tcPr>
            <w:tcW w:w="76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女生毕业去向</w:t>
            </w:r>
          </w:p>
          <w:p>
            <w:pPr>
              <w:widowControl/>
              <w:spacing w:line="240" w:lineRule="auto"/>
              <w:jc w:val="center"/>
              <w:textAlignment w:val="center"/>
              <w:rPr>
                <w:b/>
                <w:bCs/>
                <w:color w:val="000000"/>
                <w:kern w:val="0"/>
                <w:sz w:val="21"/>
                <w:szCs w:val="21"/>
              </w:rPr>
            </w:pPr>
            <w:r>
              <w:rPr>
                <w:b/>
                <w:bCs/>
                <w:color w:val="000000"/>
                <w:kern w:val="0"/>
                <w:sz w:val="21"/>
                <w:szCs w:val="21"/>
              </w:rPr>
              <w:t>落实率</w:t>
            </w:r>
          </w:p>
        </w:tc>
        <w:tc>
          <w:tcPr>
            <w:tcW w:w="835"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留鲁就业人数</w:t>
            </w:r>
          </w:p>
          <w:p>
            <w:pPr>
              <w:widowControl/>
              <w:spacing w:line="240" w:lineRule="auto"/>
              <w:jc w:val="center"/>
              <w:textAlignment w:val="center"/>
              <w:rPr>
                <w:b/>
                <w:bCs/>
                <w:color w:val="000000"/>
                <w:kern w:val="0"/>
                <w:sz w:val="21"/>
                <w:szCs w:val="21"/>
              </w:rPr>
            </w:pPr>
            <w:r>
              <w:rPr>
                <w:b/>
                <w:bCs/>
                <w:color w:val="000000"/>
                <w:kern w:val="0"/>
                <w:sz w:val="21"/>
                <w:szCs w:val="21"/>
              </w:rPr>
              <w:t>（比例）</w:t>
            </w:r>
          </w:p>
        </w:tc>
        <w:tc>
          <w:tcPr>
            <w:tcW w:w="767"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省外就业人数</w:t>
            </w:r>
          </w:p>
          <w:p>
            <w:pPr>
              <w:widowControl/>
              <w:spacing w:line="240" w:lineRule="auto"/>
              <w:jc w:val="center"/>
              <w:textAlignment w:val="center"/>
              <w:rPr>
                <w:b/>
                <w:bCs/>
                <w:color w:val="000000"/>
                <w:kern w:val="0"/>
                <w:sz w:val="21"/>
                <w:szCs w:val="21"/>
              </w:rPr>
            </w:pPr>
            <w:r>
              <w:rPr>
                <w:b/>
                <w:bCs/>
                <w:color w:val="000000"/>
                <w:kern w:val="0"/>
                <w:sz w:val="21"/>
                <w:szCs w:val="21"/>
              </w:rPr>
              <w:t>（比例）</w:t>
            </w:r>
          </w:p>
        </w:tc>
      </w:tr>
      <w:tr>
        <w:tblPrEx>
          <w:tblCellMar>
            <w:top w:w="0" w:type="dxa"/>
            <w:left w:w="0" w:type="dxa"/>
            <w:bottom w:w="0" w:type="dxa"/>
            <w:right w:w="0" w:type="dxa"/>
          </w:tblCellMar>
        </w:tblPrEx>
        <w:trPr>
          <w:trHeight w:val="600" w:hRule="atLeast"/>
          <w:jc w:val="center"/>
        </w:trPr>
        <w:tc>
          <w:tcPr>
            <w:tcW w:w="64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植物保护</w:t>
            </w:r>
          </w:p>
        </w:tc>
        <w:tc>
          <w:tcPr>
            <w:tcW w:w="66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121</w:t>
            </w:r>
          </w:p>
        </w:tc>
        <w:tc>
          <w:tcPr>
            <w:tcW w:w="51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93.08%</w:t>
            </w:r>
          </w:p>
        </w:tc>
        <w:tc>
          <w:tcPr>
            <w:tcW w:w="80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95.08%</w:t>
            </w:r>
          </w:p>
        </w:tc>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92.75%</w:t>
            </w:r>
          </w:p>
        </w:tc>
        <w:tc>
          <w:tcPr>
            <w:tcW w:w="8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72.73%</w:t>
            </w:r>
          </w:p>
        </w:tc>
        <w:tc>
          <w:tcPr>
            <w:tcW w:w="76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27.27%</w:t>
            </w:r>
          </w:p>
        </w:tc>
      </w:tr>
    </w:tbl>
    <w:p>
      <w:pPr>
        <w:widowControl/>
        <w:spacing w:line="240" w:lineRule="auto"/>
        <w:jc w:val="center"/>
        <w:textAlignment w:val="center"/>
        <w:rPr>
          <w:color w:val="000000"/>
          <w:kern w:val="0"/>
          <w:sz w:val="21"/>
          <w:szCs w:val="21"/>
        </w:rPr>
      </w:pPr>
    </w:p>
    <w:p>
      <w:pPr>
        <w:widowControl/>
        <w:spacing w:line="240" w:lineRule="auto"/>
        <w:jc w:val="center"/>
        <w:textAlignment w:val="center"/>
        <w:rPr>
          <w:b/>
          <w:bCs/>
          <w:color w:val="000000"/>
          <w:kern w:val="0"/>
          <w:sz w:val="21"/>
          <w:szCs w:val="21"/>
        </w:rPr>
      </w:pPr>
      <w:r>
        <w:rPr>
          <w:b/>
          <w:bCs/>
          <w:color w:val="000000"/>
          <w:kern w:val="0"/>
          <w:sz w:val="21"/>
          <w:szCs w:val="21"/>
        </w:rPr>
        <w:t>表5 毕业生就业单位性质统计表（占已就业人数）</w:t>
      </w:r>
    </w:p>
    <w:tbl>
      <w:tblPr>
        <w:tblStyle w:val="17"/>
        <w:tblW w:w="4997" w:type="pct"/>
        <w:jc w:val="center"/>
        <w:tblLayout w:type="autofit"/>
        <w:tblCellMar>
          <w:top w:w="0" w:type="dxa"/>
          <w:left w:w="0" w:type="dxa"/>
          <w:bottom w:w="0" w:type="dxa"/>
          <w:right w:w="0" w:type="dxa"/>
        </w:tblCellMar>
      </w:tblPr>
      <w:tblGrid>
        <w:gridCol w:w="1372"/>
        <w:gridCol w:w="1058"/>
        <w:gridCol w:w="1216"/>
        <w:gridCol w:w="1351"/>
        <w:gridCol w:w="1125"/>
        <w:gridCol w:w="1345"/>
        <w:gridCol w:w="1403"/>
      </w:tblGrid>
      <w:tr>
        <w:tblPrEx>
          <w:tblCellMar>
            <w:top w:w="0" w:type="dxa"/>
            <w:left w:w="0" w:type="dxa"/>
            <w:bottom w:w="0" w:type="dxa"/>
            <w:right w:w="0" w:type="dxa"/>
          </w:tblCellMar>
        </w:tblPrEx>
        <w:trPr>
          <w:trHeight w:val="695" w:hRule="atLeast"/>
          <w:jc w:val="center"/>
        </w:trPr>
        <w:tc>
          <w:tcPr>
            <w:tcW w:w="77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单位性质</w:t>
            </w:r>
          </w:p>
        </w:tc>
        <w:tc>
          <w:tcPr>
            <w:tcW w:w="59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外资企业</w:t>
            </w:r>
          </w:p>
        </w:tc>
        <w:tc>
          <w:tcPr>
            <w:tcW w:w="685"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国家公务员</w:t>
            </w:r>
          </w:p>
        </w:tc>
        <w:tc>
          <w:tcPr>
            <w:tcW w:w="76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地方公务员</w:t>
            </w:r>
          </w:p>
        </w:tc>
        <w:tc>
          <w:tcPr>
            <w:tcW w:w="634"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事业单位</w:t>
            </w:r>
          </w:p>
        </w:tc>
        <w:tc>
          <w:tcPr>
            <w:tcW w:w="758"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党政机关就业</w:t>
            </w:r>
          </w:p>
        </w:tc>
        <w:tc>
          <w:tcPr>
            <w:tcW w:w="790"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西部志愿者</w:t>
            </w:r>
          </w:p>
        </w:tc>
      </w:tr>
      <w:tr>
        <w:tblPrEx>
          <w:tblCellMar>
            <w:top w:w="0" w:type="dxa"/>
            <w:left w:w="0" w:type="dxa"/>
            <w:bottom w:w="0" w:type="dxa"/>
            <w:right w:w="0" w:type="dxa"/>
          </w:tblCellMar>
        </w:tblPrEx>
        <w:trPr>
          <w:trHeight w:val="632" w:hRule="atLeast"/>
          <w:jc w:val="center"/>
        </w:trPr>
        <w:tc>
          <w:tcPr>
            <w:tcW w:w="77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人数</w:t>
            </w:r>
          </w:p>
          <w:p>
            <w:pPr>
              <w:widowControl/>
              <w:spacing w:line="240" w:lineRule="auto"/>
              <w:jc w:val="center"/>
              <w:textAlignment w:val="center"/>
              <w:rPr>
                <w:color w:val="000000"/>
                <w:kern w:val="0"/>
                <w:sz w:val="21"/>
                <w:szCs w:val="21"/>
              </w:rPr>
            </w:pPr>
            <w:r>
              <w:rPr>
                <w:color w:val="000000"/>
                <w:kern w:val="0"/>
                <w:sz w:val="21"/>
                <w:szCs w:val="21"/>
              </w:rPr>
              <w:t>（比例）</w:t>
            </w:r>
          </w:p>
        </w:tc>
        <w:tc>
          <w:tcPr>
            <w:tcW w:w="59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0</w:t>
            </w:r>
          </w:p>
        </w:tc>
        <w:tc>
          <w:tcPr>
            <w:tcW w:w="68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2</w:t>
            </w:r>
          </w:p>
          <w:p>
            <w:pPr>
              <w:widowControl/>
              <w:spacing w:line="240" w:lineRule="auto"/>
              <w:jc w:val="center"/>
              <w:textAlignment w:val="center"/>
              <w:rPr>
                <w:color w:val="000000"/>
                <w:kern w:val="0"/>
                <w:sz w:val="21"/>
                <w:szCs w:val="21"/>
              </w:rPr>
            </w:pPr>
            <w:r>
              <w:rPr>
                <w:color w:val="000000"/>
                <w:kern w:val="0"/>
                <w:sz w:val="21"/>
                <w:szCs w:val="21"/>
              </w:rPr>
              <w:t>1.65%</w:t>
            </w:r>
          </w:p>
        </w:tc>
        <w:tc>
          <w:tcPr>
            <w:tcW w:w="76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0</w:t>
            </w:r>
          </w:p>
        </w:tc>
        <w:tc>
          <w:tcPr>
            <w:tcW w:w="63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5</w:t>
            </w:r>
          </w:p>
          <w:p>
            <w:pPr>
              <w:widowControl/>
              <w:spacing w:line="240" w:lineRule="auto"/>
              <w:jc w:val="center"/>
              <w:textAlignment w:val="center"/>
              <w:rPr>
                <w:color w:val="000000"/>
                <w:kern w:val="0"/>
                <w:sz w:val="21"/>
                <w:szCs w:val="21"/>
              </w:rPr>
            </w:pPr>
            <w:r>
              <w:rPr>
                <w:color w:val="000000"/>
                <w:kern w:val="0"/>
                <w:sz w:val="21"/>
                <w:szCs w:val="21"/>
              </w:rPr>
              <w:t>4.13%</w:t>
            </w:r>
          </w:p>
        </w:tc>
        <w:tc>
          <w:tcPr>
            <w:tcW w:w="75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2</w:t>
            </w:r>
          </w:p>
          <w:p>
            <w:pPr>
              <w:widowControl/>
              <w:spacing w:line="240" w:lineRule="auto"/>
              <w:jc w:val="center"/>
              <w:textAlignment w:val="center"/>
              <w:rPr>
                <w:color w:val="000000"/>
                <w:kern w:val="0"/>
                <w:sz w:val="21"/>
                <w:szCs w:val="21"/>
              </w:rPr>
            </w:pPr>
            <w:r>
              <w:rPr>
                <w:color w:val="000000"/>
                <w:kern w:val="0"/>
                <w:sz w:val="21"/>
                <w:szCs w:val="21"/>
              </w:rPr>
              <w:t>1.65%</w:t>
            </w:r>
          </w:p>
        </w:tc>
        <w:tc>
          <w:tcPr>
            <w:tcW w:w="79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1</w:t>
            </w:r>
          </w:p>
          <w:p>
            <w:pPr>
              <w:widowControl/>
              <w:spacing w:line="240" w:lineRule="auto"/>
              <w:jc w:val="center"/>
              <w:textAlignment w:val="center"/>
              <w:rPr>
                <w:color w:val="000000"/>
                <w:kern w:val="0"/>
                <w:sz w:val="21"/>
                <w:szCs w:val="21"/>
              </w:rPr>
            </w:pPr>
            <w:r>
              <w:rPr>
                <w:color w:val="000000"/>
                <w:kern w:val="0"/>
                <w:sz w:val="21"/>
                <w:szCs w:val="21"/>
              </w:rPr>
              <w:t>0.83%</w:t>
            </w:r>
          </w:p>
        </w:tc>
      </w:tr>
    </w:tbl>
    <w:p>
      <w:pPr>
        <w:widowControl/>
        <w:spacing w:line="240" w:lineRule="auto"/>
        <w:jc w:val="center"/>
        <w:textAlignment w:val="center"/>
        <w:rPr>
          <w:b/>
          <w:bCs/>
          <w:color w:val="000000"/>
          <w:kern w:val="0"/>
          <w:sz w:val="21"/>
          <w:szCs w:val="21"/>
        </w:rPr>
      </w:pPr>
      <w:r>
        <w:rPr>
          <w:b/>
          <w:bCs/>
          <w:color w:val="000000"/>
          <w:kern w:val="0"/>
          <w:sz w:val="21"/>
          <w:szCs w:val="21"/>
        </w:rPr>
        <w:drawing>
          <wp:inline distT="0" distB="0" distL="114300" distR="114300">
            <wp:extent cx="3074670" cy="2026920"/>
            <wp:effectExtent l="0" t="0" r="11430" b="11430"/>
            <wp:docPr id="12" name="图片 1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片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3074795" cy="2026855"/>
                    </a:xfrm>
                    <a:prstGeom prst="rect">
                      <a:avLst/>
                    </a:prstGeom>
                    <a:noFill/>
                    <a:ln>
                      <a:noFill/>
                    </a:ln>
                  </pic:spPr>
                </pic:pic>
              </a:graphicData>
            </a:graphic>
          </wp:inline>
        </w:drawing>
      </w:r>
    </w:p>
    <w:p>
      <w:pPr>
        <w:widowControl/>
        <w:spacing w:line="240" w:lineRule="auto"/>
        <w:jc w:val="center"/>
        <w:textAlignment w:val="center"/>
        <w:rPr>
          <w:b/>
          <w:bCs/>
          <w:color w:val="000000"/>
          <w:kern w:val="0"/>
          <w:sz w:val="21"/>
          <w:szCs w:val="21"/>
        </w:rPr>
      </w:pPr>
      <w:r>
        <w:rPr>
          <w:b/>
          <w:bCs/>
          <w:color w:val="000000"/>
          <w:kern w:val="0"/>
          <w:sz w:val="21"/>
          <w:szCs w:val="21"/>
        </w:rPr>
        <w:t>图3 毕业生就业地区流向图</w:t>
      </w:r>
    </w:p>
    <w:p>
      <w:pPr>
        <w:pStyle w:val="6"/>
        <w:ind w:firstLine="480"/>
      </w:pPr>
      <w:r>
        <w:t>4.毕业生考研报考院校情况</w:t>
      </w:r>
    </w:p>
    <w:p>
      <w:pPr>
        <w:spacing w:before="120"/>
        <w:ind w:firstLine="480"/>
      </w:pPr>
      <w:r>
        <w:t>毕业生国内升学59人，升学率45.38%，其中考入</w:t>
      </w:r>
      <w:r>
        <w:rPr>
          <w:rFonts w:hint="eastAsia"/>
        </w:rPr>
        <w:t>“</w:t>
      </w:r>
      <w:r>
        <w:t>双一流</w:t>
      </w:r>
      <w:r>
        <w:rPr>
          <w:rFonts w:hint="eastAsia"/>
        </w:rPr>
        <w:t>”</w:t>
      </w:r>
      <w:r>
        <w:t>大学20人，占国内升学总人数的33.90%。从升学专业来看，跨专业升学的2人，占国内升学总人数的3.39%。升学学校主要是山东农业大学、南京农业大学、中国农业大学等。</w:t>
      </w:r>
    </w:p>
    <w:p>
      <w:pPr>
        <w:widowControl/>
        <w:spacing w:line="240" w:lineRule="auto"/>
        <w:jc w:val="center"/>
        <w:textAlignment w:val="center"/>
        <w:rPr>
          <w:b/>
          <w:bCs/>
          <w:color w:val="000000"/>
          <w:kern w:val="0"/>
          <w:sz w:val="21"/>
          <w:szCs w:val="21"/>
        </w:rPr>
      </w:pPr>
    </w:p>
    <w:p>
      <w:pPr>
        <w:widowControl/>
        <w:spacing w:line="240" w:lineRule="auto"/>
        <w:jc w:val="center"/>
        <w:textAlignment w:val="center"/>
        <w:rPr>
          <w:b/>
          <w:bCs/>
          <w:color w:val="000000"/>
          <w:kern w:val="0"/>
          <w:sz w:val="21"/>
          <w:szCs w:val="21"/>
        </w:rPr>
      </w:pPr>
      <w:r>
        <w:rPr>
          <w:b/>
          <w:bCs/>
          <w:color w:val="000000"/>
          <w:kern w:val="0"/>
          <w:sz w:val="21"/>
          <w:szCs w:val="21"/>
        </w:rPr>
        <w:t>表6 国内升学高校前5位统计表</w:t>
      </w:r>
    </w:p>
    <w:tbl>
      <w:tblPr>
        <w:tblStyle w:val="4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7"/>
        <w:gridCol w:w="3270"/>
        <w:gridCol w:w="2175"/>
        <w:gridCol w:w="2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exact"/>
        </w:trPr>
        <w:tc>
          <w:tcPr>
            <w:tcW w:w="1487" w:type="dxa"/>
            <w:vAlign w:val="center"/>
          </w:tcPr>
          <w:p>
            <w:pPr>
              <w:widowControl/>
              <w:spacing w:line="240" w:lineRule="auto"/>
              <w:jc w:val="center"/>
              <w:textAlignment w:val="center"/>
              <w:rPr>
                <w:b/>
                <w:bCs/>
                <w:color w:val="000000"/>
                <w:kern w:val="0"/>
                <w:sz w:val="21"/>
                <w:szCs w:val="21"/>
              </w:rPr>
            </w:pPr>
            <w:r>
              <w:rPr>
                <w:b/>
                <w:bCs/>
                <w:color w:val="000000"/>
                <w:kern w:val="0"/>
                <w:sz w:val="21"/>
                <w:szCs w:val="21"/>
              </w:rPr>
              <w:t>序号</w:t>
            </w:r>
          </w:p>
        </w:tc>
        <w:tc>
          <w:tcPr>
            <w:tcW w:w="3270" w:type="dxa"/>
            <w:vAlign w:val="center"/>
          </w:tcPr>
          <w:p>
            <w:pPr>
              <w:widowControl/>
              <w:spacing w:line="240" w:lineRule="auto"/>
              <w:jc w:val="center"/>
              <w:textAlignment w:val="center"/>
              <w:rPr>
                <w:b/>
                <w:bCs/>
                <w:color w:val="000000"/>
                <w:kern w:val="0"/>
                <w:sz w:val="21"/>
                <w:szCs w:val="21"/>
              </w:rPr>
            </w:pPr>
            <w:r>
              <w:rPr>
                <w:b/>
                <w:bCs/>
                <w:color w:val="000000"/>
                <w:kern w:val="0"/>
                <w:sz w:val="21"/>
                <w:szCs w:val="21"/>
              </w:rPr>
              <w:t>升学学校名称</w:t>
            </w:r>
          </w:p>
        </w:tc>
        <w:tc>
          <w:tcPr>
            <w:tcW w:w="2175" w:type="dxa"/>
            <w:vAlign w:val="center"/>
          </w:tcPr>
          <w:p>
            <w:pPr>
              <w:widowControl/>
              <w:spacing w:line="240" w:lineRule="auto"/>
              <w:jc w:val="center"/>
              <w:textAlignment w:val="center"/>
              <w:rPr>
                <w:b/>
                <w:bCs/>
                <w:color w:val="000000"/>
                <w:kern w:val="0"/>
                <w:sz w:val="21"/>
                <w:szCs w:val="21"/>
              </w:rPr>
            </w:pPr>
            <w:r>
              <w:rPr>
                <w:b/>
                <w:bCs/>
                <w:color w:val="000000"/>
                <w:kern w:val="0"/>
                <w:sz w:val="21"/>
                <w:szCs w:val="21"/>
              </w:rPr>
              <w:t>升学人数</w:t>
            </w:r>
          </w:p>
        </w:tc>
        <w:tc>
          <w:tcPr>
            <w:tcW w:w="2055" w:type="dxa"/>
            <w:vAlign w:val="center"/>
          </w:tcPr>
          <w:p>
            <w:pPr>
              <w:widowControl/>
              <w:spacing w:line="240" w:lineRule="auto"/>
              <w:jc w:val="center"/>
              <w:textAlignment w:val="center"/>
              <w:rPr>
                <w:b/>
                <w:bCs/>
                <w:color w:val="000000"/>
                <w:kern w:val="0"/>
                <w:sz w:val="21"/>
                <w:szCs w:val="21"/>
              </w:rPr>
            </w:pPr>
            <w:r>
              <w:rPr>
                <w:b/>
                <w:bCs/>
                <w:color w:val="000000"/>
                <w:kern w:val="0"/>
                <w:sz w:val="21"/>
                <w:szCs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487" w:type="dxa"/>
            <w:vAlign w:val="center"/>
          </w:tcPr>
          <w:p>
            <w:pPr>
              <w:widowControl/>
              <w:spacing w:line="240" w:lineRule="auto"/>
              <w:jc w:val="center"/>
              <w:textAlignment w:val="center"/>
              <w:rPr>
                <w:color w:val="000000"/>
                <w:kern w:val="0"/>
                <w:sz w:val="21"/>
                <w:szCs w:val="21"/>
              </w:rPr>
            </w:pPr>
            <w:r>
              <w:rPr>
                <w:color w:val="000000"/>
                <w:kern w:val="0"/>
                <w:sz w:val="21"/>
                <w:szCs w:val="21"/>
              </w:rPr>
              <w:t>1</w:t>
            </w:r>
          </w:p>
        </w:tc>
        <w:tc>
          <w:tcPr>
            <w:tcW w:w="3270" w:type="dxa"/>
            <w:vAlign w:val="center"/>
          </w:tcPr>
          <w:p>
            <w:pPr>
              <w:widowControl/>
              <w:spacing w:line="240" w:lineRule="auto"/>
              <w:jc w:val="center"/>
              <w:textAlignment w:val="center"/>
              <w:rPr>
                <w:color w:val="000000"/>
                <w:kern w:val="0"/>
                <w:sz w:val="21"/>
                <w:szCs w:val="21"/>
              </w:rPr>
            </w:pPr>
            <w:r>
              <w:rPr>
                <w:color w:val="000000"/>
                <w:kern w:val="0"/>
                <w:sz w:val="21"/>
                <w:szCs w:val="21"/>
              </w:rPr>
              <w:t>山东农业大学</w:t>
            </w:r>
          </w:p>
        </w:tc>
        <w:tc>
          <w:tcPr>
            <w:tcW w:w="2175" w:type="dxa"/>
            <w:vAlign w:val="center"/>
          </w:tcPr>
          <w:p>
            <w:pPr>
              <w:widowControl/>
              <w:spacing w:line="240" w:lineRule="auto"/>
              <w:jc w:val="center"/>
              <w:textAlignment w:val="center"/>
              <w:rPr>
                <w:color w:val="000000"/>
                <w:kern w:val="0"/>
                <w:sz w:val="21"/>
                <w:szCs w:val="21"/>
              </w:rPr>
            </w:pPr>
            <w:r>
              <w:rPr>
                <w:color w:val="000000"/>
                <w:kern w:val="0"/>
                <w:sz w:val="21"/>
                <w:szCs w:val="21"/>
              </w:rPr>
              <w:t>25</w:t>
            </w:r>
          </w:p>
        </w:tc>
        <w:tc>
          <w:tcPr>
            <w:tcW w:w="2055" w:type="dxa"/>
            <w:vAlign w:val="center"/>
          </w:tcPr>
          <w:p>
            <w:pPr>
              <w:widowControl/>
              <w:spacing w:line="240" w:lineRule="auto"/>
              <w:jc w:val="center"/>
              <w:textAlignment w:val="center"/>
              <w:rPr>
                <w:color w:val="000000"/>
                <w:kern w:val="0"/>
                <w:sz w:val="21"/>
                <w:szCs w:val="21"/>
              </w:rPr>
            </w:pPr>
            <w:r>
              <w:rPr>
                <w:color w:val="000000"/>
                <w:kern w:val="0"/>
                <w:sz w:val="21"/>
                <w:szCs w:val="21"/>
              </w:rPr>
              <w:t>42.37%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487" w:type="dxa"/>
            <w:vAlign w:val="center"/>
          </w:tcPr>
          <w:p>
            <w:pPr>
              <w:widowControl/>
              <w:spacing w:line="240" w:lineRule="auto"/>
              <w:jc w:val="center"/>
              <w:textAlignment w:val="center"/>
              <w:rPr>
                <w:color w:val="000000"/>
                <w:kern w:val="0"/>
                <w:sz w:val="21"/>
                <w:szCs w:val="21"/>
              </w:rPr>
            </w:pPr>
            <w:r>
              <w:rPr>
                <w:color w:val="000000"/>
                <w:kern w:val="0"/>
                <w:sz w:val="21"/>
                <w:szCs w:val="21"/>
              </w:rPr>
              <w:t>2</w:t>
            </w:r>
          </w:p>
        </w:tc>
        <w:tc>
          <w:tcPr>
            <w:tcW w:w="3270" w:type="dxa"/>
            <w:vAlign w:val="center"/>
          </w:tcPr>
          <w:p>
            <w:pPr>
              <w:widowControl/>
              <w:spacing w:line="240" w:lineRule="auto"/>
              <w:jc w:val="center"/>
              <w:textAlignment w:val="center"/>
              <w:rPr>
                <w:color w:val="000000"/>
                <w:kern w:val="0"/>
                <w:sz w:val="21"/>
                <w:szCs w:val="21"/>
              </w:rPr>
            </w:pPr>
            <w:r>
              <w:rPr>
                <w:color w:val="000000"/>
                <w:kern w:val="0"/>
                <w:sz w:val="21"/>
                <w:szCs w:val="21"/>
              </w:rPr>
              <w:t>中国农业大学</w:t>
            </w:r>
          </w:p>
        </w:tc>
        <w:tc>
          <w:tcPr>
            <w:tcW w:w="2175" w:type="dxa"/>
            <w:vAlign w:val="center"/>
          </w:tcPr>
          <w:p>
            <w:pPr>
              <w:widowControl/>
              <w:spacing w:line="240" w:lineRule="auto"/>
              <w:jc w:val="center"/>
              <w:textAlignment w:val="center"/>
              <w:rPr>
                <w:color w:val="000000"/>
                <w:kern w:val="0"/>
                <w:sz w:val="21"/>
                <w:szCs w:val="21"/>
              </w:rPr>
            </w:pPr>
            <w:r>
              <w:rPr>
                <w:color w:val="000000"/>
                <w:kern w:val="0"/>
                <w:sz w:val="21"/>
                <w:szCs w:val="21"/>
              </w:rPr>
              <w:t>8</w:t>
            </w:r>
          </w:p>
        </w:tc>
        <w:tc>
          <w:tcPr>
            <w:tcW w:w="2055" w:type="dxa"/>
            <w:vAlign w:val="center"/>
          </w:tcPr>
          <w:p>
            <w:pPr>
              <w:widowControl/>
              <w:spacing w:line="240" w:lineRule="auto"/>
              <w:jc w:val="center"/>
              <w:textAlignment w:val="center"/>
              <w:rPr>
                <w:color w:val="000000"/>
                <w:kern w:val="0"/>
                <w:sz w:val="21"/>
                <w:szCs w:val="21"/>
              </w:rPr>
            </w:pPr>
            <w:r>
              <w:rPr>
                <w:color w:val="000000"/>
                <w:kern w:val="0"/>
                <w:sz w:val="21"/>
                <w:szCs w:val="21"/>
              </w:rPr>
              <w:t>13.56%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487" w:type="dxa"/>
            <w:vAlign w:val="center"/>
          </w:tcPr>
          <w:p>
            <w:pPr>
              <w:widowControl/>
              <w:spacing w:line="240" w:lineRule="auto"/>
              <w:jc w:val="center"/>
              <w:textAlignment w:val="center"/>
              <w:rPr>
                <w:color w:val="000000"/>
                <w:kern w:val="0"/>
                <w:sz w:val="21"/>
                <w:szCs w:val="21"/>
              </w:rPr>
            </w:pPr>
            <w:r>
              <w:rPr>
                <w:color w:val="000000"/>
                <w:kern w:val="0"/>
                <w:sz w:val="21"/>
                <w:szCs w:val="21"/>
              </w:rPr>
              <w:t>3</w:t>
            </w:r>
          </w:p>
        </w:tc>
        <w:tc>
          <w:tcPr>
            <w:tcW w:w="3270" w:type="dxa"/>
            <w:vAlign w:val="center"/>
          </w:tcPr>
          <w:p>
            <w:pPr>
              <w:widowControl/>
              <w:spacing w:line="240" w:lineRule="auto"/>
              <w:jc w:val="center"/>
              <w:textAlignment w:val="center"/>
              <w:rPr>
                <w:color w:val="000000"/>
                <w:kern w:val="0"/>
                <w:sz w:val="21"/>
                <w:szCs w:val="21"/>
              </w:rPr>
            </w:pPr>
            <w:r>
              <w:rPr>
                <w:color w:val="000000"/>
                <w:kern w:val="0"/>
                <w:sz w:val="21"/>
                <w:szCs w:val="21"/>
              </w:rPr>
              <w:t>南京农业大学</w:t>
            </w:r>
          </w:p>
        </w:tc>
        <w:tc>
          <w:tcPr>
            <w:tcW w:w="2175" w:type="dxa"/>
            <w:vAlign w:val="center"/>
          </w:tcPr>
          <w:p>
            <w:pPr>
              <w:widowControl/>
              <w:spacing w:line="240" w:lineRule="auto"/>
              <w:jc w:val="center"/>
              <w:textAlignment w:val="center"/>
              <w:rPr>
                <w:color w:val="000000"/>
                <w:kern w:val="0"/>
                <w:sz w:val="21"/>
                <w:szCs w:val="21"/>
              </w:rPr>
            </w:pPr>
            <w:r>
              <w:rPr>
                <w:color w:val="000000"/>
                <w:kern w:val="0"/>
                <w:sz w:val="21"/>
                <w:szCs w:val="21"/>
              </w:rPr>
              <w:t>5</w:t>
            </w:r>
          </w:p>
        </w:tc>
        <w:tc>
          <w:tcPr>
            <w:tcW w:w="2055" w:type="dxa"/>
            <w:vAlign w:val="center"/>
          </w:tcPr>
          <w:p>
            <w:pPr>
              <w:widowControl/>
              <w:spacing w:line="240" w:lineRule="auto"/>
              <w:jc w:val="center"/>
              <w:textAlignment w:val="center"/>
              <w:rPr>
                <w:color w:val="000000"/>
                <w:kern w:val="0"/>
                <w:sz w:val="21"/>
                <w:szCs w:val="21"/>
              </w:rPr>
            </w:pPr>
            <w:r>
              <w:rPr>
                <w:color w:val="000000"/>
                <w:kern w:val="0"/>
                <w:sz w:val="21"/>
                <w:szCs w:val="21"/>
              </w:rPr>
              <w:t>8.47%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487" w:type="dxa"/>
            <w:vAlign w:val="center"/>
          </w:tcPr>
          <w:p>
            <w:pPr>
              <w:widowControl/>
              <w:spacing w:line="240" w:lineRule="auto"/>
              <w:jc w:val="center"/>
              <w:textAlignment w:val="center"/>
              <w:rPr>
                <w:color w:val="000000"/>
                <w:kern w:val="0"/>
                <w:sz w:val="21"/>
                <w:szCs w:val="21"/>
              </w:rPr>
            </w:pPr>
            <w:r>
              <w:rPr>
                <w:color w:val="000000"/>
                <w:kern w:val="0"/>
                <w:sz w:val="21"/>
                <w:szCs w:val="21"/>
              </w:rPr>
              <w:t>4</w:t>
            </w:r>
          </w:p>
        </w:tc>
        <w:tc>
          <w:tcPr>
            <w:tcW w:w="3270" w:type="dxa"/>
            <w:vAlign w:val="center"/>
          </w:tcPr>
          <w:p>
            <w:pPr>
              <w:widowControl/>
              <w:spacing w:line="240" w:lineRule="auto"/>
              <w:jc w:val="center"/>
              <w:textAlignment w:val="center"/>
              <w:rPr>
                <w:color w:val="000000"/>
                <w:kern w:val="0"/>
                <w:sz w:val="21"/>
                <w:szCs w:val="21"/>
              </w:rPr>
            </w:pPr>
            <w:r>
              <w:rPr>
                <w:color w:val="000000"/>
                <w:kern w:val="0"/>
                <w:sz w:val="21"/>
                <w:szCs w:val="21"/>
              </w:rPr>
              <w:t>青岛农业大学</w:t>
            </w:r>
          </w:p>
        </w:tc>
        <w:tc>
          <w:tcPr>
            <w:tcW w:w="2175" w:type="dxa"/>
            <w:vAlign w:val="center"/>
          </w:tcPr>
          <w:p>
            <w:pPr>
              <w:widowControl/>
              <w:spacing w:line="240" w:lineRule="auto"/>
              <w:jc w:val="center"/>
              <w:textAlignment w:val="center"/>
              <w:rPr>
                <w:color w:val="000000"/>
                <w:kern w:val="0"/>
                <w:sz w:val="21"/>
                <w:szCs w:val="21"/>
              </w:rPr>
            </w:pPr>
            <w:r>
              <w:rPr>
                <w:color w:val="000000"/>
                <w:kern w:val="0"/>
                <w:sz w:val="21"/>
                <w:szCs w:val="21"/>
              </w:rPr>
              <w:t>5</w:t>
            </w:r>
          </w:p>
        </w:tc>
        <w:tc>
          <w:tcPr>
            <w:tcW w:w="2055" w:type="dxa"/>
            <w:vAlign w:val="center"/>
          </w:tcPr>
          <w:p>
            <w:pPr>
              <w:widowControl/>
              <w:spacing w:line="240" w:lineRule="auto"/>
              <w:jc w:val="center"/>
              <w:textAlignment w:val="center"/>
              <w:rPr>
                <w:color w:val="000000"/>
                <w:kern w:val="0"/>
                <w:sz w:val="21"/>
                <w:szCs w:val="21"/>
              </w:rPr>
            </w:pPr>
            <w:r>
              <w:rPr>
                <w:color w:val="000000"/>
                <w:kern w:val="0"/>
                <w:sz w:val="21"/>
                <w:szCs w:val="21"/>
              </w:rPr>
              <w:t>8.47%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487" w:type="dxa"/>
            <w:vAlign w:val="center"/>
          </w:tcPr>
          <w:p>
            <w:pPr>
              <w:widowControl/>
              <w:spacing w:line="240" w:lineRule="auto"/>
              <w:jc w:val="center"/>
              <w:textAlignment w:val="center"/>
              <w:rPr>
                <w:color w:val="000000"/>
                <w:kern w:val="0"/>
                <w:sz w:val="21"/>
                <w:szCs w:val="21"/>
              </w:rPr>
            </w:pPr>
            <w:r>
              <w:rPr>
                <w:color w:val="000000"/>
                <w:kern w:val="0"/>
                <w:sz w:val="21"/>
                <w:szCs w:val="21"/>
              </w:rPr>
              <w:t>5</w:t>
            </w:r>
          </w:p>
        </w:tc>
        <w:tc>
          <w:tcPr>
            <w:tcW w:w="3270" w:type="dxa"/>
            <w:vAlign w:val="center"/>
          </w:tcPr>
          <w:p>
            <w:pPr>
              <w:widowControl/>
              <w:spacing w:line="240" w:lineRule="auto"/>
              <w:jc w:val="center"/>
              <w:textAlignment w:val="center"/>
              <w:rPr>
                <w:color w:val="000000"/>
                <w:kern w:val="0"/>
                <w:sz w:val="21"/>
                <w:szCs w:val="21"/>
              </w:rPr>
            </w:pPr>
            <w:r>
              <w:rPr>
                <w:color w:val="000000"/>
                <w:kern w:val="0"/>
                <w:sz w:val="21"/>
                <w:szCs w:val="21"/>
              </w:rPr>
              <w:t>西北农林科技大学</w:t>
            </w:r>
          </w:p>
        </w:tc>
        <w:tc>
          <w:tcPr>
            <w:tcW w:w="2175" w:type="dxa"/>
            <w:vAlign w:val="center"/>
          </w:tcPr>
          <w:p>
            <w:pPr>
              <w:widowControl/>
              <w:spacing w:line="240" w:lineRule="auto"/>
              <w:jc w:val="center"/>
              <w:textAlignment w:val="center"/>
              <w:rPr>
                <w:color w:val="000000"/>
                <w:kern w:val="0"/>
                <w:sz w:val="21"/>
                <w:szCs w:val="21"/>
              </w:rPr>
            </w:pPr>
            <w:r>
              <w:rPr>
                <w:color w:val="000000"/>
                <w:kern w:val="0"/>
                <w:sz w:val="21"/>
                <w:szCs w:val="21"/>
              </w:rPr>
              <w:t>2</w:t>
            </w:r>
          </w:p>
        </w:tc>
        <w:tc>
          <w:tcPr>
            <w:tcW w:w="2055" w:type="dxa"/>
            <w:vAlign w:val="center"/>
          </w:tcPr>
          <w:p>
            <w:pPr>
              <w:widowControl/>
              <w:spacing w:line="240" w:lineRule="auto"/>
              <w:jc w:val="center"/>
              <w:textAlignment w:val="center"/>
              <w:rPr>
                <w:color w:val="000000"/>
                <w:kern w:val="0"/>
                <w:sz w:val="21"/>
                <w:szCs w:val="21"/>
              </w:rPr>
            </w:pPr>
            <w:r>
              <w:rPr>
                <w:color w:val="000000"/>
                <w:kern w:val="0"/>
                <w:sz w:val="21"/>
                <w:szCs w:val="21"/>
              </w:rPr>
              <w:t>3.38%</w:t>
            </w:r>
          </w:p>
        </w:tc>
      </w:tr>
    </w:tbl>
    <w:p/>
    <w:p>
      <w:pPr>
        <w:pStyle w:val="6"/>
        <w:ind w:firstLine="480"/>
      </w:pPr>
      <w:r>
        <w:t>5.就业专业对口率</w:t>
      </w:r>
    </w:p>
    <w:p>
      <w:pPr>
        <w:ind w:firstLine="482"/>
      </w:pPr>
      <w:r>
        <w:rPr>
          <w:b/>
          <w:bCs/>
        </w:rPr>
        <w:t>说明：</w:t>
      </w:r>
      <w:r>
        <w:t>本部分已就业总人数</w:t>
      </w:r>
      <w:r>
        <w:rPr>
          <w:b/>
          <w:bCs/>
        </w:rPr>
        <w:t>，</w:t>
      </w:r>
      <w:r>
        <w:t>不包括升学、出国（境）、应征入伍等。</w:t>
      </w:r>
    </w:p>
    <w:p>
      <w:pPr>
        <w:ind w:firstLine="480"/>
      </w:pPr>
      <w:r>
        <w:t>毕业生当前所在工作单位或者所从事工作岗位与所学专业对口率较高的共37人，占已就业总人数的59.68%。主要集中在泰安市徂汶景区化马湾石家岭田园农场有限公司、深圳市瑞德丰农资有限公司济南分公司、泰安三虫科技有限公司、山东润科国际贸易有限公司、潍坊绿霸化工有限公司，胶州市委员会组织部、山东蓬勃生物科技有限公司、泰安市石岭道简环保科技服务有限公司、泰安市生科生物科技有限公司等。</w:t>
      </w:r>
    </w:p>
    <w:p>
      <w:pPr>
        <w:widowControl/>
        <w:spacing w:line="240" w:lineRule="auto"/>
        <w:jc w:val="center"/>
        <w:textAlignment w:val="center"/>
        <w:rPr>
          <w:b/>
          <w:bCs/>
          <w:color w:val="000000"/>
          <w:kern w:val="0"/>
          <w:sz w:val="21"/>
          <w:szCs w:val="21"/>
        </w:rPr>
      </w:pPr>
      <w:r>
        <w:rPr>
          <w:b/>
          <w:bCs/>
          <w:color w:val="000000"/>
          <w:kern w:val="0"/>
          <w:sz w:val="21"/>
          <w:szCs w:val="21"/>
        </w:rPr>
        <w:t>表7 毕业生专业对口情况统计表</w:t>
      </w:r>
    </w:p>
    <w:tbl>
      <w:tblPr>
        <w:tblStyle w:val="17"/>
        <w:tblW w:w="4998" w:type="pct"/>
        <w:tblInd w:w="0" w:type="dxa"/>
        <w:tblLayout w:type="autofit"/>
        <w:tblCellMar>
          <w:top w:w="0" w:type="dxa"/>
          <w:left w:w="0" w:type="dxa"/>
          <w:bottom w:w="0" w:type="dxa"/>
          <w:right w:w="0" w:type="dxa"/>
        </w:tblCellMar>
      </w:tblPr>
      <w:tblGrid>
        <w:gridCol w:w="2183"/>
        <w:gridCol w:w="1585"/>
        <w:gridCol w:w="2002"/>
        <w:gridCol w:w="1747"/>
        <w:gridCol w:w="1354"/>
      </w:tblGrid>
      <w:tr>
        <w:tblPrEx>
          <w:tblCellMar>
            <w:top w:w="0" w:type="dxa"/>
            <w:left w:w="0" w:type="dxa"/>
            <w:bottom w:w="0" w:type="dxa"/>
            <w:right w:w="0" w:type="dxa"/>
          </w:tblCellMar>
        </w:tblPrEx>
        <w:trPr>
          <w:trHeight w:val="488" w:hRule="atLeast"/>
        </w:trPr>
        <w:tc>
          <w:tcPr>
            <w:tcW w:w="123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就业方式</w:t>
            </w:r>
          </w:p>
        </w:tc>
        <w:tc>
          <w:tcPr>
            <w:tcW w:w="89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企业就业</w:t>
            </w:r>
          </w:p>
        </w:tc>
        <w:tc>
          <w:tcPr>
            <w:tcW w:w="112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事业单位</w:t>
            </w:r>
          </w:p>
        </w:tc>
        <w:tc>
          <w:tcPr>
            <w:tcW w:w="98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机关单位</w:t>
            </w:r>
          </w:p>
        </w:tc>
        <w:tc>
          <w:tcPr>
            <w:tcW w:w="76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rPr>
            </w:pPr>
            <w:r>
              <w:rPr>
                <w:b/>
                <w:bCs/>
                <w:color w:val="000000"/>
                <w:kern w:val="0"/>
                <w:sz w:val="21"/>
                <w:szCs w:val="21"/>
              </w:rPr>
              <w:t>合计</w:t>
            </w:r>
          </w:p>
        </w:tc>
      </w:tr>
      <w:tr>
        <w:tblPrEx>
          <w:tblCellMar>
            <w:top w:w="0" w:type="dxa"/>
            <w:left w:w="0" w:type="dxa"/>
            <w:bottom w:w="0" w:type="dxa"/>
            <w:right w:w="0" w:type="dxa"/>
          </w:tblCellMar>
        </w:tblPrEx>
        <w:trPr>
          <w:trHeight w:val="472" w:hRule="atLeast"/>
        </w:trPr>
        <w:tc>
          <w:tcPr>
            <w:tcW w:w="1230"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对口就业人数</w:t>
            </w:r>
          </w:p>
        </w:tc>
        <w:tc>
          <w:tcPr>
            <w:tcW w:w="89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30</w:t>
            </w:r>
          </w:p>
        </w:tc>
        <w:tc>
          <w:tcPr>
            <w:tcW w:w="112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5</w:t>
            </w:r>
          </w:p>
        </w:tc>
        <w:tc>
          <w:tcPr>
            <w:tcW w:w="98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2</w:t>
            </w:r>
          </w:p>
        </w:tc>
        <w:tc>
          <w:tcPr>
            <w:tcW w:w="76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37</w:t>
            </w:r>
          </w:p>
        </w:tc>
      </w:tr>
      <w:tr>
        <w:tblPrEx>
          <w:tblCellMar>
            <w:top w:w="0" w:type="dxa"/>
            <w:left w:w="0" w:type="dxa"/>
            <w:bottom w:w="0" w:type="dxa"/>
            <w:right w:w="0" w:type="dxa"/>
          </w:tblCellMar>
        </w:tblPrEx>
        <w:trPr>
          <w:trHeight w:val="475" w:hRule="atLeast"/>
        </w:trPr>
        <w:tc>
          <w:tcPr>
            <w:tcW w:w="1230"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占比</w:t>
            </w:r>
          </w:p>
        </w:tc>
        <w:tc>
          <w:tcPr>
            <w:tcW w:w="89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48.39%</w:t>
            </w:r>
          </w:p>
        </w:tc>
        <w:tc>
          <w:tcPr>
            <w:tcW w:w="112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8.06%</w:t>
            </w:r>
          </w:p>
        </w:tc>
        <w:tc>
          <w:tcPr>
            <w:tcW w:w="98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3.23%</w:t>
            </w:r>
          </w:p>
        </w:tc>
        <w:tc>
          <w:tcPr>
            <w:tcW w:w="76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rPr>
            </w:pPr>
            <w:r>
              <w:rPr>
                <w:color w:val="000000"/>
                <w:kern w:val="0"/>
                <w:sz w:val="21"/>
                <w:szCs w:val="21"/>
              </w:rPr>
              <w:t>59.68%</w:t>
            </w:r>
          </w:p>
        </w:tc>
      </w:tr>
    </w:tbl>
    <w:p>
      <w:pPr>
        <w:pStyle w:val="6"/>
        <w:ind w:firstLine="480"/>
      </w:pPr>
      <w:r>
        <w:t>6.植物保护专业市场建设情况</w:t>
      </w:r>
    </w:p>
    <w:p>
      <w:pPr>
        <w:ind w:firstLine="480"/>
        <w:rPr>
          <w:szCs w:val="24"/>
        </w:rPr>
      </w:pPr>
      <w:r>
        <w:rPr>
          <w:szCs w:val="24"/>
        </w:rPr>
        <w:t>植物保护专业招聘信息网址链接：</w:t>
      </w:r>
    </w:p>
    <w:p>
      <w:pPr>
        <w:ind w:firstLine="480"/>
        <w:rPr>
          <w:szCs w:val="24"/>
        </w:rPr>
      </w:pPr>
      <w:r>
        <w:rPr>
          <w:szCs w:val="24"/>
        </w:rPr>
        <w:t>（1）https://mp.weixin.qq.com/s/1mN3BXV3iAL6r14NolUP7A</w:t>
      </w:r>
    </w:p>
    <w:p>
      <w:pPr>
        <w:ind w:firstLine="480"/>
        <w:rPr>
          <w:szCs w:val="24"/>
        </w:rPr>
      </w:pPr>
      <w:r>
        <w:rPr>
          <w:szCs w:val="24"/>
        </w:rPr>
        <w:t>（2）https://mp.weixin.qq.com/s/jwcsky998eQeB7bSX-_r9A</w:t>
      </w:r>
    </w:p>
    <w:p>
      <w:pPr>
        <w:ind w:firstLine="480"/>
        <w:rPr>
          <w:szCs w:val="24"/>
        </w:rPr>
      </w:pPr>
      <w:r>
        <w:rPr>
          <w:szCs w:val="24"/>
        </w:rPr>
        <w:t>（3）http://zhibao.sdau.edu.cn/2022/0407/c2070a202930/page.htm</w:t>
      </w:r>
    </w:p>
    <w:p>
      <w:pPr>
        <w:pStyle w:val="6"/>
        <w:ind w:firstLine="480"/>
      </w:pPr>
      <w:r>
        <w:t>7. 社会对专业的评价、学生就读该专业的意愿</w:t>
      </w:r>
    </w:p>
    <w:p>
      <w:pPr>
        <w:spacing w:before="120"/>
        <w:ind w:firstLine="480"/>
      </w:pPr>
      <w:r>
        <w:t>植物保护专业本着以就业为导向，以为</w:t>
      </w:r>
      <w:r>
        <w:rPr>
          <w:rFonts w:hint="eastAsia"/>
        </w:rPr>
        <w:t>“</w:t>
      </w:r>
      <w:r>
        <w:t>三农</w:t>
      </w:r>
      <w:r>
        <w:rPr>
          <w:rFonts w:hint="eastAsia"/>
        </w:rPr>
        <w:t>”</w:t>
      </w:r>
      <w:r>
        <w:t>服务为宗旨，走工学结合的道路，主动、灵活地适应社会需求，学生提前进入社会，大大提高学生的工作能力和就业能力，毕业生深受用人单位欢迎，工资待遇较高，植物保护专业毕业生就业前景良好，就业率非常高。学</w:t>
      </w:r>
      <w:r>
        <w:rPr>
          <w:szCs w:val="24"/>
        </w:rPr>
        <w:t>生通过在本专业4年的学习，对植保专业认可度较高，从就业和继续升学可以看出，毕业生继续从事本专业的数量占绝大多数。</w:t>
      </w:r>
      <w:r>
        <w:t>学院</w:t>
      </w:r>
      <w:r>
        <w:rPr>
          <w:kern w:val="0"/>
          <w:szCs w:val="24"/>
        </w:rPr>
        <w:t>通过促进专业技能创新和实验成果转化，培育高水平、高层次、高素质的创业团队，提高学生创新能力。</w:t>
      </w:r>
      <w:r>
        <w:t>2022年，植保专业本科生获各类奖项57项，获奖人数52人，其中省级奖项17项。</w:t>
      </w:r>
    </w:p>
    <w:p>
      <w:pPr>
        <w:widowControl/>
        <w:spacing w:line="240" w:lineRule="auto"/>
        <w:jc w:val="center"/>
        <w:textAlignment w:val="center"/>
        <w:rPr>
          <w:b/>
          <w:bCs/>
          <w:color w:val="000000"/>
          <w:kern w:val="0"/>
          <w:sz w:val="21"/>
          <w:szCs w:val="21"/>
        </w:rPr>
      </w:pPr>
      <w:r>
        <w:rPr>
          <w:b/>
          <w:bCs/>
          <w:color w:val="000000"/>
          <w:kern w:val="0"/>
          <w:sz w:val="21"/>
          <w:szCs w:val="21"/>
        </w:rPr>
        <w:t>表8  2021-2022年植物保护专业创新创业大赛获奖情况（部分）</w:t>
      </w:r>
    </w:p>
    <w:tbl>
      <w:tblPr>
        <w:tblStyle w:val="17"/>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3"/>
        <w:gridCol w:w="1532"/>
        <w:gridCol w:w="4403"/>
        <w:gridCol w:w="1078"/>
        <w:gridCol w:w="1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542" w:type="pct"/>
            <w:noWrap/>
            <w:vAlign w:val="center"/>
          </w:tcPr>
          <w:p>
            <w:pPr>
              <w:widowControl/>
              <w:spacing w:line="240" w:lineRule="auto"/>
              <w:jc w:val="center"/>
              <w:textAlignment w:val="center"/>
              <w:rPr>
                <w:b/>
                <w:bCs/>
                <w:color w:val="000000"/>
                <w:kern w:val="0"/>
                <w:sz w:val="21"/>
                <w:szCs w:val="21"/>
              </w:rPr>
            </w:pPr>
            <w:r>
              <w:rPr>
                <w:b/>
                <w:bCs/>
                <w:color w:val="000000"/>
                <w:kern w:val="0"/>
                <w:sz w:val="21"/>
                <w:szCs w:val="21"/>
              </w:rPr>
              <w:t>姓  名</w:t>
            </w:r>
          </w:p>
        </w:tc>
        <w:tc>
          <w:tcPr>
            <w:tcW w:w="845" w:type="pct"/>
            <w:noWrap/>
            <w:vAlign w:val="center"/>
          </w:tcPr>
          <w:p>
            <w:pPr>
              <w:widowControl/>
              <w:spacing w:line="240" w:lineRule="auto"/>
              <w:jc w:val="center"/>
              <w:textAlignment w:val="center"/>
              <w:rPr>
                <w:b/>
                <w:bCs/>
                <w:color w:val="000000"/>
                <w:kern w:val="0"/>
                <w:sz w:val="21"/>
                <w:szCs w:val="21"/>
              </w:rPr>
            </w:pPr>
            <w:r>
              <w:rPr>
                <w:b/>
                <w:bCs/>
                <w:color w:val="000000"/>
                <w:kern w:val="0"/>
                <w:sz w:val="21"/>
                <w:szCs w:val="21"/>
              </w:rPr>
              <w:t>专业班级</w:t>
            </w:r>
          </w:p>
        </w:tc>
        <w:tc>
          <w:tcPr>
            <w:tcW w:w="2430" w:type="pct"/>
            <w:noWrap/>
            <w:vAlign w:val="center"/>
          </w:tcPr>
          <w:p>
            <w:pPr>
              <w:widowControl/>
              <w:spacing w:line="240" w:lineRule="auto"/>
              <w:jc w:val="center"/>
              <w:textAlignment w:val="center"/>
              <w:rPr>
                <w:b/>
                <w:bCs/>
                <w:color w:val="000000"/>
                <w:kern w:val="0"/>
                <w:sz w:val="21"/>
                <w:szCs w:val="21"/>
              </w:rPr>
            </w:pPr>
            <w:r>
              <w:rPr>
                <w:b/>
                <w:bCs/>
                <w:color w:val="000000"/>
                <w:kern w:val="0"/>
                <w:sz w:val="21"/>
                <w:szCs w:val="21"/>
              </w:rPr>
              <w:t>比赛名称</w:t>
            </w:r>
          </w:p>
        </w:tc>
        <w:tc>
          <w:tcPr>
            <w:tcW w:w="595" w:type="pct"/>
            <w:noWrap/>
            <w:vAlign w:val="center"/>
          </w:tcPr>
          <w:p>
            <w:pPr>
              <w:widowControl/>
              <w:spacing w:line="240" w:lineRule="auto"/>
              <w:jc w:val="center"/>
              <w:textAlignment w:val="center"/>
              <w:rPr>
                <w:b/>
                <w:bCs/>
                <w:color w:val="000000"/>
                <w:kern w:val="0"/>
                <w:sz w:val="21"/>
                <w:szCs w:val="21"/>
              </w:rPr>
            </w:pPr>
            <w:r>
              <w:rPr>
                <w:b/>
                <w:bCs/>
                <w:color w:val="000000"/>
                <w:kern w:val="0"/>
                <w:sz w:val="21"/>
                <w:szCs w:val="21"/>
              </w:rPr>
              <w:t>获奖时间</w:t>
            </w:r>
          </w:p>
        </w:tc>
        <w:tc>
          <w:tcPr>
            <w:tcW w:w="585" w:type="pct"/>
            <w:noWrap/>
            <w:vAlign w:val="center"/>
          </w:tcPr>
          <w:p>
            <w:pPr>
              <w:widowControl/>
              <w:spacing w:line="240" w:lineRule="auto"/>
              <w:jc w:val="center"/>
              <w:textAlignment w:val="center"/>
              <w:rPr>
                <w:b/>
                <w:bCs/>
                <w:color w:val="000000"/>
                <w:kern w:val="0"/>
                <w:sz w:val="21"/>
                <w:szCs w:val="21"/>
              </w:rPr>
            </w:pPr>
            <w:r>
              <w:rPr>
                <w:b/>
                <w:bCs/>
                <w:color w:val="000000"/>
                <w:kern w:val="0"/>
                <w:sz w:val="21"/>
                <w:szCs w:val="21"/>
              </w:rPr>
              <w:t>获奖等级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王智安</w:t>
            </w:r>
          </w:p>
        </w:tc>
        <w:tc>
          <w:tcPr>
            <w:tcW w:w="84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18级植保1班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第七届山东省科技创新大赛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2021.1</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tcBorders>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殷宇腾</w:t>
            </w:r>
          </w:p>
        </w:tc>
        <w:tc>
          <w:tcPr>
            <w:tcW w:w="84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18级植保1班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第十四届全国大学生创新创业年会竞赛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2021.7</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国家级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tcBorders>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马彦如</w:t>
            </w:r>
          </w:p>
        </w:tc>
        <w:tc>
          <w:tcPr>
            <w:tcW w:w="84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18级植保1班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第七届山东省科技创新大赛</w:t>
            </w:r>
          </w:p>
        </w:tc>
        <w:tc>
          <w:tcPr>
            <w:tcW w:w="595" w:type="pct"/>
            <w:tcBorders>
              <w:top w:val="single" w:color="auto" w:sz="4" w:space="0"/>
              <w:left w:val="single" w:color="auto" w:sz="4" w:space="0"/>
              <w:bottom w:val="single" w:color="auto" w:sz="4" w:space="0"/>
              <w:right w:val="single" w:color="auto" w:sz="4" w:space="0"/>
            </w:tcBorders>
            <w:noWrap/>
          </w:tcPr>
          <w:p>
            <w:pPr>
              <w:widowControl/>
              <w:spacing w:line="240" w:lineRule="auto"/>
              <w:jc w:val="center"/>
              <w:textAlignment w:val="center"/>
              <w:rPr>
                <w:color w:val="000000"/>
                <w:kern w:val="0"/>
                <w:sz w:val="21"/>
                <w:szCs w:val="21"/>
              </w:rPr>
            </w:pPr>
            <w:r>
              <w:rPr>
                <w:color w:val="000000"/>
                <w:kern w:val="0"/>
                <w:sz w:val="21"/>
                <w:szCs w:val="21"/>
              </w:rPr>
              <w:t>2021.1</w:t>
            </w:r>
          </w:p>
        </w:tc>
        <w:tc>
          <w:tcPr>
            <w:tcW w:w="585" w:type="pct"/>
            <w:tcBorders>
              <w:top w:val="single" w:color="auto" w:sz="4" w:space="0"/>
              <w:left w:val="single" w:color="auto" w:sz="4" w:space="0"/>
              <w:bottom w:val="single" w:color="auto" w:sz="4" w:space="0"/>
              <w:right w:val="single" w:color="auto" w:sz="4" w:space="0"/>
            </w:tcBorders>
            <w:noWrap/>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张子怡</w:t>
            </w:r>
          </w:p>
        </w:tc>
        <w:tc>
          <w:tcPr>
            <w:tcW w:w="84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18级植保1班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第十四届全国大学生创新创业年会竞赛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2021.7</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国家级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tcBorders>
              <w:top w:val="single" w:color="auto" w:sz="4" w:space="0"/>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张广慈</w:t>
            </w:r>
          </w:p>
        </w:tc>
        <w:tc>
          <w:tcPr>
            <w:tcW w:w="84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19级植保1班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第十四届全国大学生创新创业年会竞赛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2021.7</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国家级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42"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许鑫豪</w:t>
            </w:r>
          </w:p>
        </w:tc>
        <w:tc>
          <w:tcPr>
            <w:tcW w:w="84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19级植保3班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第十四届全国大学生创新创业年会竞赛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2021.7</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国家级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42" w:type="pct"/>
            <w:vMerge w:val="restart"/>
            <w:tcBorders>
              <w:top w:val="single" w:color="auto" w:sz="4" w:space="0"/>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高雅昕</w:t>
            </w:r>
          </w:p>
        </w:tc>
        <w:tc>
          <w:tcPr>
            <w:tcW w:w="845" w:type="pct"/>
            <w:vMerge w:val="restart"/>
            <w:tcBorders>
              <w:top w:val="single" w:color="auto" w:sz="4" w:space="0"/>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19级植保4班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第七届互联网+大学生创新创业大赛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2021.10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542" w:type="pct"/>
            <w:vMerge w:val="continue"/>
            <w:tcBorders>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p>
        </w:tc>
        <w:tc>
          <w:tcPr>
            <w:tcW w:w="845" w:type="pct"/>
            <w:vMerge w:val="continue"/>
            <w:tcBorders>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第八届互联网+大学生创新创业大赛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2022.10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42"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景亚茹</w:t>
            </w:r>
          </w:p>
        </w:tc>
        <w:tc>
          <w:tcPr>
            <w:tcW w:w="84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19级植保5班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第十三届山东省大学生科技节—第二届山东省大学生创新方法大赛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2021.11</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trPr>
        <w:tc>
          <w:tcPr>
            <w:tcW w:w="542"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杜冠忠</w:t>
            </w:r>
          </w:p>
        </w:tc>
        <w:tc>
          <w:tcPr>
            <w:tcW w:w="84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19级植保5班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第八届互联网+大学生创新创业大赛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2022.10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42" w:type="pct"/>
            <w:vMerge w:val="restart"/>
            <w:tcBorders>
              <w:top w:val="single" w:color="auto" w:sz="4" w:space="0"/>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刘</w:t>
            </w:r>
            <w:r>
              <w:rPr>
                <w:rFonts w:hint="eastAsia"/>
                <w:color w:val="000000"/>
                <w:kern w:val="0"/>
                <w:sz w:val="21"/>
                <w:szCs w:val="21"/>
              </w:rPr>
              <w:t xml:space="preserve">  </w:t>
            </w:r>
            <w:r>
              <w:rPr>
                <w:color w:val="000000"/>
                <w:kern w:val="0"/>
                <w:sz w:val="21"/>
                <w:szCs w:val="21"/>
              </w:rPr>
              <w:t>硕</w:t>
            </w:r>
          </w:p>
        </w:tc>
        <w:tc>
          <w:tcPr>
            <w:tcW w:w="845" w:type="pct"/>
            <w:vMerge w:val="restart"/>
            <w:tcBorders>
              <w:top w:val="single" w:color="auto" w:sz="4" w:space="0"/>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19级植保1班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第七届互联网+大学生创新创业大赛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2021.10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42" w:type="pct"/>
            <w:vMerge w:val="continue"/>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p>
        </w:tc>
        <w:tc>
          <w:tcPr>
            <w:tcW w:w="845" w:type="pct"/>
            <w:vMerge w:val="continue"/>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第十三届山东省大学生科技节—山东省大学生创业计划大赛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2021.11</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42" w:type="pct"/>
            <w:vMerge w:val="continue"/>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p>
        </w:tc>
        <w:tc>
          <w:tcPr>
            <w:tcW w:w="845" w:type="pct"/>
            <w:vMerge w:val="continue"/>
            <w:tcBorders>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第八届互联网+大学生创新创业大赛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2022.10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42" w:type="pct"/>
            <w:vMerge w:val="restart"/>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吕志超</w:t>
            </w:r>
          </w:p>
        </w:tc>
        <w:tc>
          <w:tcPr>
            <w:tcW w:w="845" w:type="pct"/>
            <w:vMerge w:val="restart"/>
            <w:tcBorders>
              <w:top w:val="single" w:color="auto" w:sz="4" w:space="0"/>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19级植保5班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第七届互联网+大学生创新创业大赛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2021.10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42" w:type="pct"/>
            <w:vMerge w:val="continue"/>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p>
        </w:tc>
        <w:tc>
          <w:tcPr>
            <w:tcW w:w="845" w:type="pct"/>
            <w:vMerge w:val="continue"/>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第十三届山东省大学生科技节—山东省大学生创业计划大赛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2021.10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542" w:type="pct"/>
            <w:vMerge w:val="continue"/>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p>
        </w:tc>
        <w:tc>
          <w:tcPr>
            <w:tcW w:w="845" w:type="pct"/>
            <w:vMerge w:val="continue"/>
            <w:tcBorders>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第八届互联网+大学生创新创业大赛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2022.10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542" w:type="pct"/>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秦秀丽</w:t>
            </w:r>
          </w:p>
        </w:tc>
        <w:tc>
          <w:tcPr>
            <w:tcW w:w="84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19级植保2班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第七届互联网+大学生创新创业大赛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2021.10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542" w:type="pct"/>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李清帅</w:t>
            </w:r>
          </w:p>
        </w:tc>
        <w:tc>
          <w:tcPr>
            <w:tcW w:w="84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19级植保2班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第八届互联网+大学生创新创业大赛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2022.10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42" w:type="pct"/>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田梓岐</w:t>
            </w:r>
          </w:p>
        </w:tc>
        <w:tc>
          <w:tcPr>
            <w:tcW w:w="84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19级植保1班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第十三届山东省大学生科技节—山东省大学生创业计划大赛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2021.10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7" w:hRule="atLeast"/>
        </w:trPr>
        <w:tc>
          <w:tcPr>
            <w:tcW w:w="542" w:type="pct"/>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王</w:t>
            </w:r>
            <w:r>
              <w:rPr>
                <w:rFonts w:hint="eastAsia"/>
                <w:color w:val="000000"/>
                <w:kern w:val="0"/>
                <w:sz w:val="21"/>
                <w:szCs w:val="21"/>
              </w:rPr>
              <w:t xml:space="preserve">  </w:t>
            </w:r>
            <w:r>
              <w:rPr>
                <w:color w:val="000000"/>
                <w:kern w:val="0"/>
                <w:sz w:val="21"/>
                <w:szCs w:val="21"/>
              </w:rPr>
              <w:t>倩</w:t>
            </w:r>
          </w:p>
        </w:tc>
        <w:tc>
          <w:tcPr>
            <w:tcW w:w="84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19级植保1班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第七届互联网+大学生创新创业大赛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2021.10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42" w:type="pct"/>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王子涵</w:t>
            </w:r>
          </w:p>
        </w:tc>
        <w:tc>
          <w:tcPr>
            <w:tcW w:w="84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19级植保1班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第十三届山东省大学生科技节—第二届山东省大学生创新方法大赛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2021.11</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42" w:type="pct"/>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彭子颖</w:t>
            </w:r>
          </w:p>
        </w:tc>
        <w:tc>
          <w:tcPr>
            <w:tcW w:w="84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20级植保1班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第十三届山东省大学生科技节—第二届山东省大学生创新方法大赛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2021.11</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42" w:type="pct"/>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李冠霖</w:t>
            </w:r>
          </w:p>
        </w:tc>
        <w:tc>
          <w:tcPr>
            <w:tcW w:w="84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20级植保1班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第十七届</w:t>
            </w:r>
            <w:r>
              <w:rPr>
                <w:rFonts w:hint="eastAsia"/>
                <w:color w:val="000000"/>
                <w:kern w:val="0"/>
                <w:sz w:val="21"/>
                <w:szCs w:val="21"/>
              </w:rPr>
              <w:t>“</w:t>
            </w:r>
            <w:r>
              <w:rPr>
                <w:color w:val="000000"/>
                <w:kern w:val="0"/>
                <w:sz w:val="21"/>
                <w:szCs w:val="21"/>
              </w:rPr>
              <w:t>挑战杯</w:t>
            </w:r>
            <w:r>
              <w:rPr>
                <w:rFonts w:hint="eastAsia"/>
                <w:color w:val="000000"/>
                <w:kern w:val="0"/>
                <w:sz w:val="21"/>
                <w:szCs w:val="21"/>
              </w:rPr>
              <w:t>”</w:t>
            </w:r>
            <w:r>
              <w:rPr>
                <w:color w:val="000000"/>
                <w:kern w:val="0"/>
                <w:sz w:val="21"/>
                <w:szCs w:val="21"/>
              </w:rPr>
              <w:t>山东省大学生课外学术科技作品竞赛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2021.6</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42" w:type="pct"/>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崔佳旺</w:t>
            </w:r>
          </w:p>
        </w:tc>
        <w:tc>
          <w:tcPr>
            <w:tcW w:w="84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20级植保4班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第十三届山东省大学生科技节—山东省大学生创业计划大赛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2021.10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42" w:type="pct"/>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苗希运</w:t>
            </w:r>
          </w:p>
        </w:tc>
        <w:tc>
          <w:tcPr>
            <w:tcW w:w="84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20级植保1班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第八届互联网+大学生创新创业大赛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2022.10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42" w:type="pct"/>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王履状</w:t>
            </w:r>
          </w:p>
        </w:tc>
        <w:tc>
          <w:tcPr>
            <w:tcW w:w="84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20级植保1班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第八届互联网+大学生创新创业大赛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2022.10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42" w:type="pct"/>
            <w:vMerge w:val="restart"/>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唐守文</w:t>
            </w:r>
          </w:p>
        </w:tc>
        <w:tc>
          <w:tcPr>
            <w:tcW w:w="845" w:type="pct"/>
            <w:vMerge w:val="restart"/>
            <w:tcBorders>
              <w:top w:val="single" w:color="auto" w:sz="4" w:space="0"/>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20级植保4班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第十三届山东省大学生科技节—山东省大学生创业计划大赛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2021.10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42" w:type="pct"/>
            <w:vMerge w:val="continue"/>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p>
        </w:tc>
        <w:tc>
          <w:tcPr>
            <w:tcW w:w="845" w:type="pct"/>
            <w:vMerge w:val="continue"/>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第八届互联网+大学生创新创业大赛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2022.10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42" w:type="pct"/>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李懿珊</w:t>
            </w:r>
          </w:p>
        </w:tc>
        <w:tc>
          <w:tcPr>
            <w:tcW w:w="845" w:type="pct"/>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21级植保4班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第八届互联网+大学生创新创业大赛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2022.10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42" w:type="pct"/>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颜金铭</w:t>
            </w:r>
          </w:p>
        </w:tc>
        <w:tc>
          <w:tcPr>
            <w:tcW w:w="845" w:type="pct"/>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21级植保3班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第八届互联网+大学生创新创业大赛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2022.10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42" w:type="pct"/>
            <w:tcBorders>
              <w:left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孙</w:t>
            </w:r>
            <w:r>
              <w:rPr>
                <w:rFonts w:hint="eastAsia"/>
                <w:color w:val="000000"/>
                <w:kern w:val="0"/>
                <w:sz w:val="21"/>
                <w:szCs w:val="21"/>
              </w:rPr>
              <w:t xml:space="preserve">  </w:t>
            </w:r>
            <w:r>
              <w:rPr>
                <w:color w:val="000000"/>
                <w:kern w:val="0"/>
                <w:sz w:val="21"/>
                <w:szCs w:val="21"/>
              </w:rPr>
              <w:t>浩</w:t>
            </w:r>
          </w:p>
        </w:tc>
        <w:tc>
          <w:tcPr>
            <w:tcW w:w="845" w:type="pct"/>
            <w:tcBorders>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21级植保3班</w:t>
            </w:r>
          </w:p>
        </w:tc>
        <w:tc>
          <w:tcPr>
            <w:tcW w:w="2430"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第八届互联网+大学生创新创业大赛</w:t>
            </w:r>
          </w:p>
        </w:tc>
        <w:tc>
          <w:tcPr>
            <w:tcW w:w="59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2022.10</w:t>
            </w:r>
          </w:p>
        </w:tc>
        <w:tc>
          <w:tcPr>
            <w:tcW w:w="585" w:type="pct"/>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color w:val="000000"/>
                <w:kern w:val="0"/>
                <w:sz w:val="21"/>
                <w:szCs w:val="21"/>
              </w:rPr>
            </w:pPr>
            <w:r>
              <w:rPr>
                <w:color w:val="000000"/>
                <w:kern w:val="0"/>
                <w:sz w:val="21"/>
                <w:szCs w:val="21"/>
              </w:rPr>
              <w:t>省级</w:t>
            </w:r>
          </w:p>
        </w:tc>
      </w:tr>
    </w:tbl>
    <w:p>
      <w:pPr>
        <w:spacing w:line="240" w:lineRule="auto"/>
        <w:rPr>
          <w:b/>
          <w:bCs/>
          <w:sz w:val="21"/>
          <w:szCs w:val="21"/>
        </w:rPr>
      </w:pPr>
    </w:p>
    <w:p>
      <w:pPr>
        <w:pStyle w:val="5"/>
        <w:spacing w:before="93" w:after="93"/>
        <w:ind w:firstLine="560"/>
      </w:pPr>
      <w:r>
        <w:t>六、毕业生就业创业（创业情况、采取的措施、典型案例等）</w:t>
      </w:r>
    </w:p>
    <w:p>
      <w:pPr>
        <w:ind w:firstLine="480" w:firstLineChars="200"/>
      </w:pPr>
      <w:r>
        <w:t>植保专业毕业生总体就业形势较好，学院把毕业生的就业和考研放在首要位置，鼓励毕业生继续进行科研、完成学业。</w:t>
      </w:r>
    </w:p>
    <w:p>
      <w:pPr>
        <w:pStyle w:val="6"/>
        <w:ind w:firstLine="480"/>
      </w:pPr>
      <w:r>
        <w:t>1.</w:t>
      </w:r>
      <w:r>
        <w:rPr>
          <w:rFonts w:hint="eastAsia"/>
        </w:rPr>
        <w:t>“</w:t>
      </w:r>
      <w:r>
        <w:t>准</w:t>
      </w:r>
      <w:r>
        <w:rPr>
          <w:rFonts w:hint="eastAsia"/>
        </w:rPr>
        <w:t>”</w:t>
      </w:r>
      <w:r>
        <w:t>字调控，实现招就协同的科学配合</w:t>
      </w:r>
    </w:p>
    <w:p>
      <w:pPr>
        <w:ind w:firstLine="480" w:firstLineChars="200"/>
        <w:rPr>
          <w:szCs w:val="24"/>
        </w:rPr>
      </w:pPr>
      <w:r>
        <w:rPr>
          <w:szCs w:val="24"/>
        </w:rPr>
        <w:t>在2022</w:t>
      </w:r>
      <w:r>
        <w:t>届毕业生就业工作中</w:t>
      </w:r>
      <w:r>
        <w:rPr>
          <w:szCs w:val="24"/>
        </w:rPr>
        <w:t>，</w:t>
      </w:r>
      <w:r>
        <w:rPr>
          <w:szCs w:val="24"/>
          <w:shd w:val="clear" w:color="auto" w:fill="FFFFFF"/>
        </w:rPr>
        <w:t>准确把握学生发展趋势，让就业促进科学招生。学校将学科的就业情况、学生职业发展意愿和学院规划相结合，不断优化专业设置</w:t>
      </w:r>
      <w:r>
        <w:rPr>
          <w:szCs w:val="24"/>
        </w:rPr>
        <w:t>，同时进一步加强校企合作力度，与用人单位紧密联系，了解就业市场需求，累计联系用人单位30余家到校举办校园招聘专场和参加校园周末招聘会，为学生提供了百余个用工岗位和招聘信息，帮助就业生顺利就业。</w:t>
      </w:r>
    </w:p>
    <w:p>
      <w:pPr>
        <w:pStyle w:val="7"/>
        <w:ind w:firstLine="480" w:firstLineChars="200"/>
      </w:pPr>
      <w:r>
        <w:t>2. 发挥专业教师作用，形成体系，全员参与就业</w:t>
      </w:r>
    </w:p>
    <w:p>
      <w:pPr>
        <w:ind w:firstLine="480" w:firstLineChars="200"/>
        <w:rPr>
          <w:szCs w:val="24"/>
        </w:rPr>
      </w:pPr>
      <w:r>
        <w:t>专业教师通过长期跟企业联系</w:t>
      </w:r>
      <w:r>
        <w:rPr>
          <w:szCs w:val="24"/>
        </w:rPr>
        <w:t>，熟悉企业对毕业生的需求和对毕业生综合素质的要求，把这些信息传递给毕业生，指导毕业生就业工作，积极传授毕业生如何主动就业之道。专业教师也根据自己在教学科研中与企业的联系，向企业推荐毕业生，为毕业生提供就业岗位。通过实习促进就业，学院上下形成了领导、辅导员、专业教师三位一体的就业指导工作联动体系，实行</w:t>
      </w:r>
      <w:r>
        <w:rPr>
          <w:spacing w:val="5"/>
          <w:szCs w:val="24"/>
        </w:rPr>
        <w:t>就业辅导员、就业导师包干制</w:t>
      </w:r>
      <w:r>
        <w:rPr>
          <w:szCs w:val="24"/>
        </w:rPr>
        <w:t>，充分发挥专业教师的就业指导作用。教师不仅讲授专业知识，而且传授职业发展素质修养，介绍本学科领域最新发展趋势及职业优势，引导毕业生合理定位自身职业，通过言传身教方式引导毕业生求职就业。</w:t>
      </w:r>
    </w:p>
    <w:p>
      <w:pPr>
        <w:pStyle w:val="7"/>
        <w:ind w:firstLine="480" w:firstLineChars="200"/>
      </w:pPr>
      <w:r>
        <w:t>3. 加强毕业生思想教育工作，引导毕业生积极就业</w:t>
      </w:r>
    </w:p>
    <w:p>
      <w:pPr>
        <w:ind w:firstLine="480" w:firstLineChars="200"/>
      </w:pPr>
      <w:r>
        <w:rPr>
          <w:szCs w:val="24"/>
        </w:rPr>
        <w:t>毕业生教育工作，既是就业工作的重要内容，也是大学生思想教育工作的重要组成部分。为此，在毕业生一进入大四，学院即安排就业辅导员对毕业生进行初步就业摸排，对考研、就业、考公务员等就业意向进行逐一摸排，并形成班级分析报告。告诫毕业生要增强市场观念、竞争意识和创业自立精神，克服</w:t>
      </w:r>
      <w:r>
        <w:rPr>
          <w:rFonts w:hint="eastAsia"/>
          <w:szCs w:val="24"/>
        </w:rPr>
        <w:t>“</w:t>
      </w:r>
      <w:r>
        <w:rPr>
          <w:szCs w:val="24"/>
        </w:rPr>
        <w:t>等、靠、要</w:t>
      </w:r>
      <w:r>
        <w:rPr>
          <w:rFonts w:hint="eastAsia"/>
          <w:szCs w:val="24"/>
        </w:rPr>
        <w:t>”</w:t>
      </w:r>
      <w:r>
        <w:rPr>
          <w:szCs w:val="24"/>
        </w:rPr>
        <w:t>的依赖思想。要清楚大学毕业后有了岗位才能谈发展，成就事业要从干小事起步，看准的工作就要大胆去干。大学生参与竞争需要雄厚的实力做保证，而竞争实力是通过大学生活过程中逐渐培养和主动塑造得来的。因此，大学生要珍惜学习期间的宝贵时间，积极参加学校的各项活动来锻炼自己，努力提高自己的能力水平。我院鼓励本专业学生创业，同时嘱咐给毕业生创业风险，提醒毕业生积累经验、资金，做足充足的准备后再创业。</w:t>
      </w:r>
    </w:p>
    <w:p>
      <w:pPr>
        <w:pStyle w:val="5"/>
        <w:spacing w:before="93" w:after="93"/>
        <w:ind w:firstLine="560"/>
      </w:pPr>
      <w:r>
        <w:t>七、专业发展趋势及建议</w:t>
      </w:r>
    </w:p>
    <w:p>
      <w:pPr>
        <w:ind w:firstLine="480" w:firstLineChars="200"/>
        <w:rPr>
          <w:color w:val="000000"/>
        </w:rPr>
      </w:pPr>
      <w:r>
        <w:rPr>
          <w:color w:val="000000"/>
        </w:rPr>
        <w:t>山东是农业大省，作物种类包括粮食作物、蔬菜、水果及各种经济作物。常年发生农作物病虫害种类800多种，平均每年因病虫害造成粮食损失300万吨以上。植物保护专业担负着我省农作物重大病虫害的发生预警、变化动态监测及综合防控等多方面的工作；长期大量的化学防治造成的农药污染越来越受到重视，人们对有机农业、绿色食品等需求越来越多；另外随着国家一带一路的不断推进，国际间贸易往来愈来愈频繁，对有害生物监测预警人员的需求越来越多。在这些国内外大背景下，国家对植保专业人才的需求很大。在稳定生源数量的基础上，可以适当扩大招生规模。</w:t>
      </w:r>
    </w:p>
    <w:p>
      <w:pPr>
        <w:pStyle w:val="5"/>
        <w:spacing w:before="93" w:after="93"/>
        <w:ind w:firstLine="560"/>
      </w:pPr>
      <w:r>
        <w:t>八、存在的问题及拟采取的对策措施</w:t>
      </w:r>
    </w:p>
    <w:p>
      <w:pPr>
        <w:ind w:firstLine="480" w:firstLineChars="200"/>
        <w:rPr>
          <w:b/>
          <w:color w:val="000000"/>
        </w:rPr>
      </w:pPr>
      <w:r>
        <w:rPr>
          <w:color w:val="000000"/>
        </w:rPr>
        <w:t>植保专业作为特色优势专业，经过多年的积累和发展，各方面运行良好，就业前景较好。但目前还</w:t>
      </w:r>
      <w:r>
        <w:rPr>
          <w:b/>
          <w:color w:val="000000"/>
        </w:rPr>
        <w:t>存在以下问题：</w:t>
      </w:r>
    </w:p>
    <w:p>
      <w:pPr>
        <w:numPr>
          <w:ilvl w:val="0"/>
          <w:numId w:val="4"/>
        </w:numPr>
        <w:ind w:firstLine="480" w:firstLineChars="200"/>
        <w:rPr>
          <w:color w:val="000000"/>
        </w:rPr>
      </w:pPr>
      <w:r>
        <w:rPr>
          <w:color w:val="000000"/>
        </w:rPr>
        <w:t>青年教师的教学和实践水平有待提高：受多种因素的影响，青年教师在教学上的精力投入明显不足，生产实践经验亟待加强，教学研究水平和教学能力有待进一步改进和提高。</w:t>
      </w:r>
    </w:p>
    <w:p>
      <w:pPr>
        <w:numPr>
          <w:ilvl w:val="0"/>
          <w:numId w:val="4"/>
        </w:numPr>
        <w:ind w:left="0" w:leftChars="0" w:firstLine="480" w:firstLineChars="200"/>
        <w:rPr>
          <w:color w:val="000000"/>
        </w:rPr>
      </w:pPr>
      <w:r>
        <w:rPr>
          <w:color w:val="000000"/>
        </w:rPr>
        <w:t>实践教学场所需要进一步加强。由于本专业学生大多来源于城镇，即使农村来源的学生，对农业生产也接触很少，加上植保专业实践性很强，实践教学及实习场所已明显不足，需要进一步加强实践教学场地建设。</w:t>
      </w:r>
    </w:p>
    <w:p>
      <w:pPr>
        <w:spacing w:line="390" w:lineRule="exact"/>
        <w:ind w:firstLine="482" w:firstLineChars="200"/>
        <w:rPr>
          <w:b/>
          <w:color w:val="000000"/>
        </w:rPr>
      </w:pPr>
      <w:r>
        <w:rPr>
          <w:b/>
          <w:color w:val="000000"/>
        </w:rPr>
        <w:t>整改措施：</w:t>
      </w:r>
    </w:p>
    <w:p>
      <w:pPr>
        <w:ind w:firstLine="480" w:firstLineChars="200"/>
        <w:rPr>
          <w:color w:val="000000"/>
        </w:rPr>
      </w:pPr>
      <w:r>
        <w:rPr>
          <w:color w:val="000000"/>
        </w:rPr>
        <w:t xml:space="preserve">1. </w:t>
      </w:r>
      <w:r>
        <w:rPr>
          <w:bCs/>
          <w:color w:val="000000"/>
        </w:rPr>
        <w:t>制定明确的、</w:t>
      </w:r>
      <w:r>
        <w:rPr>
          <w:color w:val="000000"/>
        </w:rPr>
        <w:t>针对提高教师教学效果和人才培养质量的专业职称聘任细则和激励政策</w:t>
      </w:r>
      <w:r>
        <w:rPr>
          <w:bCs/>
          <w:color w:val="000000"/>
        </w:rPr>
        <w:t>。</w:t>
      </w:r>
      <w:r>
        <w:rPr>
          <w:color w:val="000000"/>
        </w:rPr>
        <w:t>年轻教师实行生产实践制度化，提高生产实践水平；强化教学的重要地位，采用积极有效的措施，提高教师从事教学工作的积极性和主动性。</w:t>
      </w:r>
    </w:p>
    <w:p>
      <w:pPr>
        <w:spacing w:line="390" w:lineRule="exact"/>
        <w:ind w:firstLine="480" w:firstLineChars="200"/>
        <w:rPr>
          <w:color w:val="000000"/>
        </w:rPr>
      </w:pPr>
      <w:r>
        <w:rPr>
          <w:color w:val="000000"/>
        </w:rPr>
        <w:t>2. 加强人才的引进力度，及时补充师资力量。</w:t>
      </w:r>
    </w:p>
    <w:p>
      <w:pPr>
        <w:ind w:firstLine="480" w:firstLineChars="200"/>
        <w:rPr>
          <w:color w:val="000000"/>
        </w:rPr>
      </w:pPr>
      <w:r>
        <w:rPr>
          <w:color w:val="000000"/>
        </w:rPr>
        <w:t>3.</w:t>
      </w:r>
      <w:r>
        <w:rPr>
          <w:rFonts w:hint="eastAsia"/>
          <w:color w:val="000000"/>
          <w:lang w:val="en-US" w:eastAsia="zh-CN"/>
        </w:rPr>
        <w:t xml:space="preserve"> </w:t>
      </w:r>
      <w:r>
        <w:rPr>
          <w:color w:val="000000"/>
        </w:rPr>
        <w:t>加大投入重点，改善实践实习条件，为学生提供更好的创新创业和实践平台，满足学生实践的需要。</w:t>
      </w:r>
    </w:p>
    <w:p>
      <w:pPr>
        <w:ind w:firstLine="480"/>
      </w:pPr>
    </w:p>
    <w:p>
      <w:pPr>
        <w:rPr>
          <w:szCs w:val="24"/>
        </w:rPr>
      </w:pPr>
      <w:r>
        <w:rPr>
          <w:szCs w:val="24"/>
        </w:rPr>
        <w:br w:type="page"/>
      </w:r>
    </w:p>
    <w:p>
      <w:pPr>
        <w:pStyle w:val="4"/>
        <w:ind w:firstLine="600"/>
        <w:rPr>
          <w:rFonts w:ascii="Times New Roman" w:hAnsi="Times New Roman" w:cs="Times New Roman"/>
        </w:rPr>
      </w:pPr>
      <w:bookmarkStart w:id="51" w:name="_Toc20214"/>
      <w:bookmarkStart w:id="52" w:name="_Toc8576"/>
      <w:bookmarkStart w:id="53" w:name="_Toc2765"/>
      <w:bookmarkStart w:id="54" w:name="_Toc16643"/>
      <w:bookmarkStart w:id="55" w:name="_Toc2516"/>
      <w:bookmarkStart w:id="56" w:name="_Toc485"/>
      <w:bookmarkStart w:id="57" w:name="_Toc30031"/>
      <w:bookmarkStart w:id="58" w:name="_Toc9634"/>
      <w:r>
        <w:rPr>
          <w:rFonts w:ascii="Times New Roman" w:hAnsi="Times New Roman" w:cs="Times New Roman"/>
        </w:rPr>
        <w:t>专业</w:t>
      </w:r>
      <w:r>
        <w:rPr>
          <w:rFonts w:ascii="Times New Roman" w:hAnsi="Times New Roman" w:cs="Times New Roman"/>
          <w:lang w:val="en-US"/>
        </w:rPr>
        <w:t>七</w:t>
      </w:r>
      <w:r>
        <w:rPr>
          <w:rFonts w:ascii="Times New Roman" w:hAnsi="Times New Roman" w:cs="Times New Roman"/>
        </w:rPr>
        <w:t>：烟草</w:t>
      </w:r>
      <w:bookmarkEnd w:id="51"/>
      <w:bookmarkEnd w:id="52"/>
      <w:bookmarkEnd w:id="53"/>
      <w:bookmarkEnd w:id="54"/>
      <w:bookmarkEnd w:id="55"/>
      <w:bookmarkEnd w:id="56"/>
      <w:bookmarkEnd w:id="57"/>
      <w:bookmarkEnd w:id="58"/>
    </w:p>
    <w:p>
      <w:pPr>
        <w:pStyle w:val="5"/>
        <w:spacing w:before="93" w:after="93"/>
        <w:ind w:firstLine="560"/>
      </w:pPr>
      <w:r>
        <w:t>一、人才培养目标与规格</w:t>
      </w:r>
    </w:p>
    <w:p>
      <w:pPr>
        <w:ind w:firstLine="480"/>
      </w:pPr>
      <w:r>
        <w:t>本专业培养具备良好的思想道德修养和强烈的社会责任感，具有宽阔的人文社会科学、自然科学领域的基础知识，具有坚实的生物学基础，具备烟草生产与经营管理等方面的基本理论、基本知识和基本技能，具有较强的实践能力、创新思维、国际视野和团队精神。毕业后能在各级烟草商业公司、工业公司及其相关的部门或单位从事烟草生产、教学科研、技术开发、烟草企业经营管理、烟草商品贸易等工作的创新型、专业型高级专门人才。</w:t>
      </w:r>
    </w:p>
    <w:p>
      <w:pPr>
        <w:ind w:firstLine="480"/>
      </w:pPr>
      <w:r>
        <w:t>分解为以下4个子目标：</w:t>
      </w:r>
    </w:p>
    <w:p>
      <w:pPr>
        <w:ind w:firstLine="480"/>
      </w:pPr>
      <w:r>
        <w:t>子目标1：具有良好的思想道德修养和强烈的社会责任感，具有宽阔的人文社会科学、自然科学领域的基础知识。</w:t>
      </w:r>
    </w:p>
    <w:p>
      <w:pPr>
        <w:ind w:firstLine="480"/>
      </w:pPr>
      <w:r>
        <w:t>子目标2：具有坚实的生物学基础，具备烟草生产与经营管理等方面的基本理论、基本知识和基本技能。</w:t>
      </w:r>
    </w:p>
    <w:p>
      <w:pPr>
        <w:ind w:firstLine="480"/>
      </w:pPr>
      <w:r>
        <w:t>子目标3：具有较强的实践能力、创新思维、国际视野和团队精神。</w:t>
      </w:r>
    </w:p>
    <w:p>
      <w:pPr>
        <w:ind w:firstLine="480"/>
      </w:pPr>
      <w:r>
        <w:t>子目标4：能在各级烟草商业公司、工业公司及其相关的部门或单位从事烟草生产、教学科研、技术开发、烟草企业经营管理、烟草商品贸易等工作的创新型、应用型高级专门人才。</w:t>
      </w:r>
    </w:p>
    <w:p>
      <w:pPr>
        <w:pStyle w:val="5"/>
        <w:spacing w:before="93" w:after="93"/>
        <w:ind w:firstLine="560"/>
      </w:pPr>
      <w:r>
        <w:t>二、培养能力</w:t>
      </w:r>
    </w:p>
    <w:p>
      <w:pPr>
        <w:ind w:firstLine="480"/>
      </w:pPr>
      <w:r>
        <w:t>烟草本科专业2005年经教育部批准设置，2006年开始招生，平均每年招收本科生60名左右（2019年招收55人，2020年招收76人，2021年招收105人，2022年招收90人），现在校生规模335人。</w:t>
      </w:r>
    </w:p>
    <w:p>
      <w:pPr>
        <w:widowControl/>
        <w:spacing w:line="240" w:lineRule="auto"/>
        <w:jc w:val="center"/>
        <w:textAlignment w:val="center"/>
        <w:rPr>
          <w:b/>
          <w:bCs/>
          <w:color w:val="000000"/>
          <w:kern w:val="0"/>
          <w:sz w:val="21"/>
          <w:szCs w:val="21"/>
        </w:rPr>
      </w:pPr>
      <w:r>
        <w:rPr>
          <w:b/>
          <w:bCs/>
          <w:color w:val="000000"/>
          <w:kern w:val="0"/>
          <w:sz w:val="21"/>
          <w:szCs w:val="21"/>
        </w:rPr>
        <w:t>表1  烟草专业在校生数量及生源地</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5"/>
        <w:gridCol w:w="1105"/>
        <w:gridCol w:w="72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378" w:type="pct"/>
          </w:tcPr>
          <w:p>
            <w:pPr>
              <w:widowControl/>
              <w:spacing w:line="240" w:lineRule="auto"/>
              <w:jc w:val="center"/>
              <w:textAlignment w:val="center"/>
              <w:rPr>
                <w:b/>
                <w:bCs/>
                <w:color w:val="000000"/>
                <w:kern w:val="0"/>
                <w:sz w:val="21"/>
                <w:szCs w:val="21"/>
              </w:rPr>
            </w:pPr>
            <w:r>
              <w:rPr>
                <w:b/>
                <w:bCs/>
                <w:color w:val="000000"/>
                <w:kern w:val="0"/>
                <w:sz w:val="21"/>
                <w:szCs w:val="21"/>
              </w:rPr>
              <w:t>年级</w:t>
            </w:r>
          </w:p>
        </w:tc>
        <w:tc>
          <w:tcPr>
            <w:tcW w:w="610" w:type="pct"/>
          </w:tcPr>
          <w:p>
            <w:pPr>
              <w:widowControl/>
              <w:spacing w:line="240" w:lineRule="auto"/>
              <w:jc w:val="center"/>
              <w:textAlignment w:val="center"/>
              <w:rPr>
                <w:b/>
                <w:bCs/>
                <w:color w:val="000000"/>
                <w:kern w:val="0"/>
                <w:sz w:val="21"/>
                <w:szCs w:val="21"/>
              </w:rPr>
            </w:pPr>
            <w:r>
              <w:rPr>
                <w:b/>
                <w:bCs/>
                <w:color w:val="000000"/>
                <w:kern w:val="0"/>
                <w:sz w:val="21"/>
                <w:szCs w:val="21"/>
              </w:rPr>
              <w:t>人数（人）</w:t>
            </w:r>
          </w:p>
        </w:tc>
        <w:tc>
          <w:tcPr>
            <w:tcW w:w="4010" w:type="pct"/>
          </w:tcPr>
          <w:p>
            <w:pPr>
              <w:widowControl/>
              <w:spacing w:line="240" w:lineRule="auto"/>
              <w:jc w:val="center"/>
              <w:textAlignment w:val="center"/>
              <w:rPr>
                <w:b/>
                <w:bCs/>
                <w:color w:val="000000"/>
                <w:kern w:val="0"/>
                <w:sz w:val="21"/>
                <w:szCs w:val="21"/>
              </w:rPr>
            </w:pPr>
            <w:r>
              <w:rPr>
                <w:b/>
                <w:bCs/>
                <w:color w:val="000000"/>
                <w:kern w:val="0"/>
                <w:sz w:val="21"/>
                <w:szCs w:val="21"/>
              </w:rPr>
              <w:t>生源地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378" w:type="pct"/>
            <w:vAlign w:val="center"/>
          </w:tcPr>
          <w:p>
            <w:pPr>
              <w:widowControl/>
              <w:spacing w:line="240" w:lineRule="auto"/>
              <w:jc w:val="center"/>
              <w:textAlignment w:val="center"/>
              <w:rPr>
                <w:color w:val="000000"/>
                <w:kern w:val="0"/>
                <w:sz w:val="21"/>
                <w:szCs w:val="21"/>
              </w:rPr>
            </w:pPr>
            <w:r>
              <w:rPr>
                <w:color w:val="000000"/>
                <w:kern w:val="0"/>
                <w:sz w:val="21"/>
                <w:szCs w:val="21"/>
              </w:rPr>
              <w:t>2016</w:t>
            </w:r>
          </w:p>
        </w:tc>
        <w:tc>
          <w:tcPr>
            <w:tcW w:w="610" w:type="pct"/>
            <w:vAlign w:val="center"/>
          </w:tcPr>
          <w:p>
            <w:pPr>
              <w:widowControl/>
              <w:spacing w:line="240" w:lineRule="auto"/>
              <w:jc w:val="center"/>
              <w:textAlignment w:val="center"/>
              <w:rPr>
                <w:color w:val="000000"/>
                <w:kern w:val="0"/>
                <w:sz w:val="21"/>
                <w:szCs w:val="21"/>
              </w:rPr>
            </w:pPr>
            <w:r>
              <w:rPr>
                <w:color w:val="000000"/>
                <w:kern w:val="0"/>
                <w:sz w:val="21"/>
                <w:szCs w:val="21"/>
              </w:rPr>
              <w:t>60</w:t>
            </w:r>
          </w:p>
        </w:tc>
        <w:tc>
          <w:tcPr>
            <w:tcW w:w="4010" w:type="pct"/>
            <w:vAlign w:val="center"/>
          </w:tcPr>
          <w:p>
            <w:pPr>
              <w:widowControl/>
              <w:spacing w:line="240" w:lineRule="auto"/>
              <w:jc w:val="left"/>
              <w:textAlignment w:val="center"/>
              <w:rPr>
                <w:color w:val="000000"/>
                <w:kern w:val="0"/>
                <w:sz w:val="21"/>
                <w:szCs w:val="21"/>
              </w:rPr>
            </w:pPr>
            <w:r>
              <w:rPr>
                <w:color w:val="000000"/>
                <w:kern w:val="0"/>
                <w:sz w:val="21"/>
                <w:szCs w:val="21"/>
              </w:rPr>
              <w:t>山东、江苏、河北、河南、黑龙江、陕西、江西、湖北、湖南、贵州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 w:hRule="atLeast"/>
          <w:jc w:val="center"/>
        </w:trPr>
        <w:tc>
          <w:tcPr>
            <w:tcW w:w="378" w:type="pct"/>
            <w:vAlign w:val="center"/>
          </w:tcPr>
          <w:p>
            <w:pPr>
              <w:widowControl/>
              <w:spacing w:line="240" w:lineRule="auto"/>
              <w:jc w:val="center"/>
              <w:textAlignment w:val="center"/>
              <w:rPr>
                <w:color w:val="000000"/>
                <w:kern w:val="0"/>
                <w:sz w:val="21"/>
                <w:szCs w:val="21"/>
              </w:rPr>
            </w:pPr>
            <w:r>
              <w:rPr>
                <w:color w:val="000000"/>
                <w:kern w:val="0"/>
                <w:sz w:val="21"/>
                <w:szCs w:val="21"/>
              </w:rPr>
              <w:t>2017</w:t>
            </w:r>
          </w:p>
        </w:tc>
        <w:tc>
          <w:tcPr>
            <w:tcW w:w="610" w:type="pct"/>
            <w:vAlign w:val="center"/>
          </w:tcPr>
          <w:p>
            <w:pPr>
              <w:widowControl/>
              <w:spacing w:line="240" w:lineRule="auto"/>
              <w:jc w:val="center"/>
              <w:textAlignment w:val="center"/>
              <w:rPr>
                <w:color w:val="000000"/>
                <w:kern w:val="0"/>
                <w:sz w:val="21"/>
                <w:szCs w:val="21"/>
              </w:rPr>
            </w:pPr>
            <w:r>
              <w:rPr>
                <w:color w:val="000000"/>
                <w:kern w:val="0"/>
                <w:sz w:val="21"/>
                <w:szCs w:val="21"/>
              </w:rPr>
              <w:t>59</w:t>
            </w:r>
          </w:p>
        </w:tc>
        <w:tc>
          <w:tcPr>
            <w:tcW w:w="4010" w:type="pct"/>
            <w:vAlign w:val="center"/>
          </w:tcPr>
          <w:p>
            <w:pPr>
              <w:widowControl/>
              <w:spacing w:line="240" w:lineRule="auto"/>
              <w:jc w:val="left"/>
              <w:textAlignment w:val="center"/>
              <w:rPr>
                <w:color w:val="000000"/>
                <w:kern w:val="0"/>
                <w:sz w:val="21"/>
                <w:szCs w:val="21"/>
              </w:rPr>
            </w:pPr>
            <w:r>
              <w:rPr>
                <w:color w:val="000000"/>
                <w:kern w:val="0"/>
                <w:sz w:val="21"/>
                <w:szCs w:val="21"/>
              </w:rPr>
              <w:t>山东、江苏、河北、河南、黑龙江、陕西、广西、湖北、湖南、贵州、四川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378" w:type="pct"/>
            <w:vAlign w:val="center"/>
          </w:tcPr>
          <w:p>
            <w:pPr>
              <w:widowControl/>
              <w:spacing w:line="240" w:lineRule="auto"/>
              <w:jc w:val="center"/>
              <w:textAlignment w:val="center"/>
              <w:rPr>
                <w:color w:val="000000"/>
                <w:kern w:val="0"/>
                <w:sz w:val="21"/>
                <w:szCs w:val="21"/>
              </w:rPr>
            </w:pPr>
            <w:r>
              <w:rPr>
                <w:color w:val="000000"/>
                <w:kern w:val="0"/>
                <w:sz w:val="21"/>
                <w:szCs w:val="21"/>
              </w:rPr>
              <w:t>2018</w:t>
            </w:r>
          </w:p>
        </w:tc>
        <w:tc>
          <w:tcPr>
            <w:tcW w:w="610" w:type="pct"/>
            <w:vAlign w:val="center"/>
          </w:tcPr>
          <w:p>
            <w:pPr>
              <w:widowControl/>
              <w:spacing w:line="240" w:lineRule="auto"/>
              <w:jc w:val="center"/>
              <w:textAlignment w:val="center"/>
              <w:rPr>
                <w:color w:val="000000"/>
                <w:kern w:val="0"/>
                <w:sz w:val="21"/>
                <w:szCs w:val="21"/>
              </w:rPr>
            </w:pPr>
            <w:r>
              <w:rPr>
                <w:color w:val="000000"/>
                <w:kern w:val="0"/>
                <w:sz w:val="21"/>
                <w:szCs w:val="21"/>
              </w:rPr>
              <w:t>31</w:t>
            </w:r>
          </w:p>
        </w:tc>
        <w:tc>
          <w:tcPr>
            <w:tcW w:w="4010" w:type="pct"/>
            <w:vAlign w:val="center"/>
          </w:tcPr>
          <w:p>
            <w:pPr>
              <w:widowControl/>
              <w:spacing w:line="240" w:lineRule="auto"/>
              <w:jc w:val="left"/>
              <w:textAlignment w:val="center"/>
              <w:rPr>
                <w:color w:val="000000"/>
                <w:kern w:val="0"/>
                <w:sz w:val="21"/>
                <w:szCs w:val="21"/>
              </w:rPr>
            </w:pPr>
            <w:r>
              <w:rPr>
                <w:color w:val="000000"/>
                <w:kern w:val="0"/>
                <w:sz w:val="21"/>
                <w:szCs w:val="21"/>
              </w:rPr>
              <w:t>山东、江苏、河北、河南、黑龙江、陕西、广西、湖北、湖南、贵州、山西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378" w:type="pct"/>
            <w:vAlign w:val="center"/>
          </w:tcPr>
          <w:p>
            <w:pPr>
              <w:widowControl/>
              <w:spacing w:line="240" w:lineRule="auto"/>
              <w:jc w:val="center"/>
              <w:textAlignment w:val="center"/>
              <w:rPr>
                <w:color w:val="000000"/>
                <w:kern w:val="0"/>
                <w:sz w:val="21"/>
                <w:szCs w:val="21"/>
              </w:rPr>
            </w:pPr>
            <w:r>
              <w:rPr>
                <w:color w:val="000000"/>
                <w:kern w:val="0"/>
                <w:sz w:val="21"/>
                <w:szCs w:val="21"/>
              </w:rPr>
              <w:t>2019</w:t>
            </w:r>
          </w:p>
        </w:tc>
        <w:tc>
          <w:tcPr>
            <w:tcW w:w="610" w:type="pct"/>
            <w:vAlign w:val="center"/>
          </w:tcPr>
          <w:p>
            <w:pPr>
              <w:widowControl/>
              <w:spacing w:line="240" w:lineRule="auto"/>
              <w:jc w:val="center"/>
              <w:textAlignment w:val="center"/>
              <w:rPr>
                <w:color w:val="000000"/>
                <w:kern w:val="0"/>
                <w:sz w:val="21"/>
                <w:szCs w:val="21"/>
              </w:rPr>
            </w:pPr>
            <w:r>
              <w:rPr>
                <w:color w:val="000000"/>
                <w:kern w:val="0"/>
                <w:sz w:val="21"/>
                <w:szCs w:val="21"/>
              </w:rPr>
              <w:t>58</w:t>
            </w:r>
          </w:p>
        </w:tc>
        <w:tc>
          <w:tcPr>
            <w:tcW w:w="4010" w:type="pct"/>
            <w:vAlign w:val="center"/>
          </w:tcPr>
          <w:p>
            <w:pPr>
              <w:widowControl/>
              <w:spacing w:line="240" w:lineRule="auto"/>
              <w:jc w:val="left"/>
              <w:textAlignment w:val="center"/>
              <w:rPr>
                <w:color w:val="000000"/>
                <w:kern w:val="0"/>
                <w:sz w:val="21"/>
                <w:szCs w:val="21"/>
              </w:rPr>
            </w:pPr>
            <w:r>
              <w:rPr>
                <w:color w:val="000000"/>
                <w:kern w:val="0"/>
                <w:sz w:val="21"/>
                <w:szCs w:val="21"/>
              </w:rPr>
              <w:t>山东、江苏、河北、河南、黑龙江、甘肃、湖南、贵州、山西、云南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378" w:type="pct"/>
            <w:vAlign w:val="center"/>
          </w:tcPr>
          <w:p>
            <w:pPr>
              <w:widowControl/>
              <w:spacing w:line="240" w:lineRule="auto"/>
              <w:jc w:val="center"/>
              <w:textAlignment w:val="center"/>
              <w:rPr>
                <w:color w:val="000000"/>
                <w:kern w:val="0"/>
                <w:sz w:val="21"/>
                <w:szCs w:val="21"/>
              </w:rPr>
            </w:pPr>
            <w:r>
              <w:rPr>
                <w:color w:val="000000"/>
                <w:kern w:val="0"/>
                <w:sz w:val="21"/>
                <w:szCs w:val="21"/>
              </w:rPr>
              <w:t>2020</w:t>
            </w:r>
          </w:p>
        </w:tc>
        <w:tc>
          <w:tcPr>
            <w:tcW w:w="610" w:type="pct"/>
            <w:vAlign w:val="center"/>
          </w:tcPr>
          <w:p>
            <w:pPr>
              <w:widowControl/>
              <w:spacing w:line="240" w:lineRule="auto"/>
              <w:jc w:val="center"/>
              <w:textAlignment w:val="center"/>
              <w:rPr>
                <w:color w:val="000000"/>
                <w:kern w:val="0"/>
                <w:sz w:val="21"/>
                <w:szCs w:val="21"/>
              </w:rPr>
            </w:pPr>
            <w:r>
              <w:rPr>
                <w:color w:val="000000"/>
                <w:kern w:val="0"/>
                <w:sz w:val="21"/>
                <w:szCs w:val="21"/>
              </w:rPr>
              <w:t>82</w:t>
            </w:r>
          </w:p>
        </w:tc>
        <w:tc>
          <w:tcPr>
            <w:tcW w:w="4010" w:type="pct"/>
            <w:vAlign w:val="center"/>
          </w:tcPr>
          <w:p>
            <w:pPr>
              <w:widowControl/>
              <w:spacing w:line="240" w:lineRule="auto"/>
              <w:jc w:val="left"/>
              <w:textAlignment w:val="center"/>
              <w:rPr>
                <w:color w:val="000000"/>
                <w:kern w:val="0"/>
                <w:sz w:val="21"/>
                <w:szCs w:val="21"/>
              </w:rPr>
            </w:pPr>
            <w:r>
              <w:rPr>
                <w:color w:val="000000"/>
                <w:kern w:val="0"/>
                <w:sz w:val="21"/>
                <w:szCs w:val="21"/>
              </w:rPr>
              <w:t>山东、福建、江苏、广东、河北、河南、贵州、山西、黑龙江、湖南、湖北、四川、吉林、云南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378" w:type="pct"/>
            <w:vAlign w:val="center"/>
          </w:tcPr>
          <w:p>
            <w:pPr>
              <w:widowControl/>
              <w:spacing w:line="240" w:lineRule="auto"/>
              <w:jc w:val="center"/>
              <w:textAlignment w:val="center"/>
              <w:rPr>
                <w:color w:val="000000"/>
                <w:kern w:val="0"/>
                <w:sz w:val="21"/>
                <w:szCs w:val="21"/>
              </w:rPr>
            </w:pPr>
            <w:r>
              <w:rPr>
                <w:color w:val="000000"/>
                <w:kern w:val="0"/>
                <w:sz w:val="21"/>
                <w:szCs w:val="21"/>
              </w:rPr>
              <w:t>2021</w:t>
            </w:r>
          </w:p>
        </w:tc>
        <w:tc>
          <w:tcPr>
            <w:tcW w:w="610" w:type="pct"/>
            <w:vAlign w:val="center"/>
          </w:tcPr>
          <w:p>
            <w:pPr>
              <w:widowControl/>
              <w:spacing w:line="240" w:lineRule="auto"/>
              <w:jc w:val="center"/>
              <w:textAlignment w:val="center"/>
              <w:rPr>
                <w:color w:val="000000"/>
                <w:kern w:val="0"/>
                <w:sz w:val="21"/>
                <w:szCs w:val="21"/>
              </w:rPr>
            </w:pPr>
            <w:r>
              <w:rPr>
                <w:color w:val="000000"/>
                <w:kern w:val="0"/>
                <w:sz w:val="21"/>
                <w:szCs w:val="21"/>
              </w:rPr>
              <w:t>105</w:t>
            </w:r>
          </w:p>
        </w:tc>
        <w:tc>
          <w:tcPr>
            <w:tcW w:w="4010" w:type="pct"/>
            <w:vAlign w:val="center"/>
          </w:tcPr>
          <w:p>
            <w:pPr>
              <w:widowControl/>
              <w:spacing w:line="240" w:lineRule="auto"/>
              <w:jc w:val="left"/>
              <w:textAlignment w:val="center"/>
              <w:rPr>
                <w:color w:val="000000"/>
                <w:kern w:val="0"/>
                <w:sz w:val="21"/>
                <w:szCs w:val="21"/>
              </w:rPr>
            </w:pPr>
            <w:r>
              <w:rPr>
                <w:color w:val="000000"/>
                <w:kern w:val="0"/>
                <w:sz w:val="21"/>
                <w:szCs w:val="21"/>
              </w:rPr>
              <w:t>山东、福建、甘肃、贵州、河北、河南、黑龙江、湖南、吉林、江苏、湖北、广东、四川、云南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378" w:type="pct"/>
            <w:vAlign w:val="center"/>
          </w:tcPr>
          <w:p>
            <w:pPr>
              <w:widowControl/>
              <w:spacing w:line="240" w:lineRule="auto"/>
              <w:jc w:val="center"/>
              <w:textAlignment w:val="center"/>
              <w:rPr>
                <w:color w:val="000000"/>
                <w:kern w:val="0"/>
                <w:sz w:val="21"/>
                <w:szCs w:val="21"/>
              </w:rPr>
            </w:pPr>
            <w:r>
              <w:rPr>
                <w:color w:val="000000"/>
                <w:kern w:val="0"/>
                <w:sz w:val="21"/>
                <w:szCs w:val="21"/>
              </w:rPr>
              <w:t>2022</w:t>
            </w:r>
          </w:p>
        </w:tc>
        <w:tc>
          <w:tcPr>
            <w:tcW w:w="610" w:type="pct"/>
            <w:vAlign w:val="center"/>
          </w:tcPr>
          <w:p>
            <w:pPr>
              <w:widowControl/>
              <w:spacing w:line="240" w:lineRule="auto"/>
              <w:jc w:val="center"/>
              <w:textAlignment w:val="center"/>
              <w:rPr>
                <w:color w:val="000000"/>
                <w:kern w:val="0"/>
                <w:sz w:val="21"/>
                <w:szCs w:val="21"/>
              </w:rPr>
            </w:pPr>
            <w:r>
              <w:rPr>
                <w:color w:val="000000"/>
                <w:kern w:val="0"/>
                <w:sz w:val="21"/>
                <w:szCs w:val="21"/>
              </w:rPr>
              <w:t>90</w:t>
            </w:r>
          </w:p>
        </w:tc>
        <w:tc>
          <w:tcPr>
            <w:tcW w:w="4010" w:type="pct"/>
            <w:vAlign w:val="center"/>
          </w:tcPr>
          <w:p>
            <w:pPr>
              <w:widowControl/>
              <w:spacing w:line="240" w:lineRule="auto"/>
              <w:jc w:val="left"/>
              <w:textAlignment w:val="center"/>
              <w:rPr>
                <w:color w:val="000000"/>
                <w:kern w:val="0"/>
                <w:sz w:val="21"/>
                <w:szCs w:val="21"/>
              </w:rPr>
            </w:pPr>
            <w:r>
              <w:rPr>
                <w:color w:val="000000"/>
                <w:kern w:val="0"/>
                <w:sz w:val="21"/>
                <w:szCs w:val="21"/>
              </w:rPr>
              <w:t>山东、福建、甘肃、贵州、河北、河南、湖南、吉林、湖北、四川、云南、</w:t>
            </w:r>
          </w:p>
          <w:p>
            <w:pPr>
              <w:widowControl/>
              <w:spacing w:line="240" w:lineRule="auto"/>
              <w:jc w:val="left"/>
              <w:textAlignment w:val="center"/>
              <w:rPr>
                <w:color w:val="000000"/>
                <w:kern w:val="0"/>
                <w:sz w:val="21"/>
                <w:szCs w:val="21"/>
              </w:rPr>
            </w:pPr>
            <w:r>
              <w:rPr>
                <w:color w:val="000000"/>
                <w:kern w:val="0"/>
                <w:sz w:val="21"/>
                <w:szCs w:val="21"/>
              </w:rPr>
              <w:t>安徽</w:t>
            </w:r>
          </w:p>
        </w:tc>
      </w:tr>
    </w:tbl>
    <w:p>
      <w:pPr>
        <w:ind w:firstLine="480"/>
      </w:pPr>
    </w:p>
    <w:p>
      <w:pPr>
        <w:ind w:firstLine="480"/>
      </w:pPr>
      <w:r>
        <w:t>本专业学生主要学习现代烟草生产科学和烟草企业管理学的基本理论、基本知识和基本技能，受到与烟草生产、烟草市场经济和烟草企业管理等有关的基本训练，具有从事烟草生产技术指导、教学科研、技术开发、烟草企业经营管理、烟草商品贸易等工作的基本能力。</w:t>
      </w:r>
    </w:p>
    <w:p>
      <w:pPr>
        <w:keepNext/>
        <w:keepLines/>
        <w:ind w:firstLine="480"/>
        <w:outlineLvl w:val="3"/>
        <w:rPr>
          <w:rFonts w:eastAsia="黑体"/>
        </w:rPr>
      </w:pPr>
      <w:r>
        <w:rPr>
          <w:rFonts w:eastAsia="黑体"/>
        </w:rPr>
        <w:t>学生获得的知识与能力：</w:t>
      </w:r>
    </w:p>
    <w:p>
      <w:pPr>
        <w:ind w:firstLine="480"/>
      </w:pPr>
      <w:r>
        <w:t>1.具备崇高的思想道德修养和强烈的社会责任感，人格健全、身心健康。</w:t>
      </w:r>
    </w:p>
    <w:p>
      <w:pPr>
        <w:ind w:firstLine="480"/>
      </w:pPr>
      <w:r>
        <w:t>1.1熟悉政治学、哲学、思想道德、法学、心理学、文学、历史等人文社科领域的基础知识，具备人文科学素养。</w:t>
      </w:r>
    </w:p>
    <w:p>
      <w:pPr>
        <w:ind w:firstLine="480"/>
      </w:pPr>
      <w:r>
        <w:t>1.2践行社会主义核心价值观，遵守职业道德规范，有强烈的社会责任感，身心健康。</w:t>
      </w:r>
    </w:p>
    <w:p>
      <w:pPr>
        <w:ind w:firstLine="480"/>
      </w:pPr>
      <w:r>
        <w:t>2.具有扎实的数学、物理学、化学、生物学等自然科学领域的基础知识和基本实验技能。</w:t>
      </w:r>
    </w:p>
    <w:p>
      <w:pPr>
        <w:ind w:firstLine="480"/>
      </w:pPr>
      <w:r>
        <w:t>2.1掌握数学、物理学、化学等方面的基础知识.</w:t>
      </w:r>
    </w:p>
    <w:p>
      <w:pPr>
        <w:ind w:firstLine="480"/>
      </w:pPr>
      <w:r>
        <w:t>2.2掌握生物学的基础知识、基本原理和基本实验技能。</w:t>
      </w:r>
    </w:p>
    <w:p>
      <w:pPr>
        <w:ind w:firstLine="480"/>
      </w:pPr>
      <w:r>
        <w:t>3.掌握现代烟草生产科学的基本理论、专业知识和实验技能。</w:t>
      </w:r>
    </w:p>
    <w:p>
      <w:pPr>
        <w:ind w:firstLine="480"/>
      </w:pPr>
      <w:r>
        <w:t>3.1掌握现代烟草生产科学的基本理论、专业知识。</w:t>
      </w:r>
    </w:p>
    <w:p>
      <w:pPr>
        <w:ind w:firstLine="480"/>
      </w:pPr>
      <w:r>
        <w:t>3.2掌握现代烟草生产科学的实验技能。</w:t>
      </w:r>
    </w:p>
    <w:p>
      <w:pPr>
        <w:ind w:firstLine="480"/>
      </w:pPr>
      <w:r>
        <w:t>4.掌握烟草市场经济学和企业管理学的基本理论、基本知识和基本技能。</w:t>
      </w:r>
    </w:p>
    <w:p>
      <w:pPr>
        <w:ind w:firstLine="480"/>
      </w:pPr>
      <w:r>
        <w:t>4.1掌握烟草市场经济学的基本理论、基本知识和基本技能。</w:t>
      </w:r>
    </w:p>
    <w:p>
      <w:pPr>
        <w:ind w:firstLine="480"/>
      </w:pPr>
      <w:r>
        <w:t>4.2掌握烟草企业管理学的基本理论、基本知识和基本技能。</w:t>
      </w:r>
    </w:p>
    <w:p>
      <w:pPr>
        <w:ind w:firstLine="480"/>
      </w:pPr>
      <w:r>
        <w:t>5.熟悉国际、国内烟草有关政策和法规。</w:t>
      </w:r>
    </w:p>
    <w:p>
      <w:pPr>
        <w:ind w:firstLine="480"/>
      </w:pPr>
      <w:r>
        <w:t>5.1熟悉国内烟草有关政策和法规。</w:t>
      </w:r>
    </w:p>
    <w:p>
      <w:pPr>
        <w:ind w:firstLine="480"/>
      </w:pPr>
      <w:r>
        <w:t>5.2熟悉国际烟草有关政策和法规。</w:t>
      </w:r>
    </w:p>
    <w:p>
      <w:pPr>
        <w:ind w:firstLine="480"/>
      </w:pPr>
      <w:r>
        <w:t>6.掌握文献检索、资料查询的基本方法，熟练运用现代信息技术和分析工具对有关数据信息进行收集、整理和统计分析，了解本专业前沿动态和发展趋势。</w:t>
      </w:r>
    </w:p>
    <w:p>
      <w:pPr>
        <w:ind w:firstLine="480"/>
      </w:pPr>
      <w:r>
        <w:t>6.1掌握文献检索、资料查询的基本方法。</w:t>
      </w:r>
    </w:p>
    <w:p>
      <w:pPr>
        <w:ind w:firstLine="480"/>
      </w:pPr>
      <w:r>
        <w:t>6.2熟练运用现代信息技术和分析工具对有关数据信息进行收集、整理和统计分析。</w:t>
      </w:r>
    </w:p>
    <w:p>
      <w:pPr>
        <w:ind w:firstLine="480"/>
      </w:pPr>
      <w:r>
        <w:t>7.具有较强的调查研究、组织管理、口头与文字表达等能力。</w:t>
      </w:r>
    </w:p>
    <w:p>
      <w:pPr>
        <w:ind w:firstLine="480"/>
      </w:pPr>
      <w:r>
        <w:t>7.1具有较强的口头与文字表达等能力。</w:t>
      </w:r>
    </w:p>
    <w:p>
      <w:pPr>
        <w:ind w:firstLine="480"/>
      </w:pPr>
      <w:r>
        <w:t>7.2具有较强的调查研究、组织管理能力。</w:t>
      </w:r>
    </w:p>
    <w:p>
      <w:pPr>
        <w:ind w:firstLine="480"/>
      </w:pPr>
      <w:r>
        <w:t>8.具有从事烟草生产技术指导、教学科研、技术开发、烟草企业经营管理、烟草商品贸易等工作的基本工作能力以及技术创新能力。</w:t>
      </w:r>
    </w:p>
    <w:p>
      <w:pPr>
        <w:ind w:firstLine="480"/>
      </w:pPr>
      <w:r>
        <w:t>8.1具有从事烟草生产技术指导、教学科研、技术开发的基本工作能力以及技术创新能力。</w:t>
      </w:r>
    </w:p>
    <w:p>
      <w:pPr>
        <w:ind w:firstLine="480"/>
      </w:pPr>
      <w:r>
        <w:t>8.2具有从事烟草企业经营管理、烟草商品贸易等工作的基本能力以及技术创新能力。</w:t>
      </w:r>
    </w:p>
    <w:p>
      <w:pPr>
        <w:ind w:firstLine="480"/>
      </w:pPr>
      <w:r>
        <w:t>9.树立终身学习意识，具有个人可持续发展能力。</w:t>
      </w:r>
    </w:p>
    <w:p>
      <w:pPr>
        <w:ind w:firstLine="480"/>
      </w:pPr>
      <w:r>
        <w:t>9.1养成主动学习能力，不断充实、完善专业知识。</w:t>
      </w:r>
    </w:p>
    <w:p>
      <w:pPr>
        <w:ind w:firstLine="480"/>
      </w:pPr>
      <w:r>
        <w:t>9.2能够自我管理、自我约束，通过不断学习，达到个人持续、快速发展的目标。</w:t>
      </w:r>
    </w:p>
    <w:p>
      <w:pPr>
        <w:keepNext/>
        <w:keepLines/>
        <w:ind w:firstLine="480"/>
        <w:outlineLvl w:val="3"/>
        <w:rPr>
          <w:rFonts w:eastAsia="黑体"/>
        </w:rPr>
      </w:pPr>
      <w:r>
        <w:rPr>
          <w:rFonts w:eastAsia="黑体"/>
        </w:rPr>
        <w:t>学制与学位</w:t>
      </w:r>
    </w:p>
    <w:p>
      <w:pPr>
        <w:ind w:firstLine="480"/>
      </w:pPr>
      <w:r>
        <w:t>学制：本科基本学制为4年，学习年限为3-8年。</w:t>
      </w:r>
    </w:p>
    <w:p>
      <w:pPr>
        <w:ind w:firstLine="480"/>
      </w:pPr>
      <w:r>
        <w:t>学位：按要求完成学业且符合学位授予条件者授予农学学士学位。</w:t>
      </w:r>
    </w:p>
    <w:p>
      <w:pPr>
        <w:keepNext/>
        <w:keepLines/>
        <w:ind w:firstLine="480"/>
        <w:outlineLvl w:val="3"/>
        <w:rPr>
          <w:rFonts w:eastAsia="黑体"/>
        </w:rPr>
      </w:pPr>
      <w:r>
        <w:rPr>
          <w:rFonts w:eastAsia="黑体"/>
        </w:rPr>
        <w:t>课程设置</w:t>
      </w:r>
    </w:p>
    <w:p>
      <w:pPr>
        <w:autoSpaceDE w:val="0"/>
        <w:autoSpaceDN w:val="0"/>
        <w:adjustRightInd w:val="0"/>
        <w:ind w:firstLine="480"/>
        <w:rPr>
          <w:szCs w:val="24"/>
        </w:rPr>
      </w:pPr>
      <w:r>
        <w:rPr>
          <w:szCs w:val="24"/>
        </w:rPr>
        <w:t>主干学科：烟草学</w:t>
      </w:r>
    </w:p>
    <w:p>
      <w:pPr>
        <w:ind w:firstLine="480"/>
      </w:pPr>
      <w:r>
        <w:t>核心课程：烟草栽培学、烟草育种学、烟叶调制学、烟叶分级、烟草品质鉴定、卷烟工艺学、植物病理学、昆虫学、烟草机械与自动化等、烟草商品学、企业管理学、市场营销。</w:t>
      </w:r>
    </w:p>
    <w:p>
      <w:pPr>
        <w:keepNext/>
        <w:keepLines/>
        <w:ind w:firstLine="480"/>
        <w:outlineLvl w:val="3"/>
        <w:rPr>
          <w:rFonts w:eastAsia="黑体"/>
        </w:rPr>
      </w:pPr>
      <w:r>
        <w:rPr>
          <w:rFonts w:eastAsia="黑体"/>
        </w:rPr>
        <w:t>主要实践性教学环节（含实验）</w:t>
      </w:r>
    </w:p>
    <w:p>
      <w:pPr>
        <w:ind w:firstLine="480"/>
      </w:pPr>
      <w:r>
        <w:t>烟草专业认识实习，烟草综合实习1-烟草栽培，烟草综合实习2-烟叶调制，烟草综合实习3-烟草育种，烟草商品学课程论文，卷烟工艺学课程论文，创新创业实践，毕业（生产）实习及报告，毕业论文（设计）等。</w:t>
      </w:r>
    </w:p>
    <w:p>
      <w:pPr>
        <w:keepNext/>
        <w:keepLines/>
        <w:ind w:firstLine="480"/>
        <w:outlineLvl w:val="3"/>
        <w:rPr>
          <w:rFonts w:eastAsia="黑体"/>
        </w:rPr>
      </w:pPr>
      <w:r>
        <w:rPr>
          <w:rFonts w:eastAsia="黑体"/>
        </w:rPr>
        <w:t>学分分配</w:t>
      </w:r>
    </w:p>
    <w:p>
      <w:pPr>
        <w:ind w:firstLine="480"/>
      </w:pPr>
      <w:r>
        <w:t>毕业总学分不少于170学分。其中，必修课总学分107.5学分，选修课学分31学分，实践教学（含实验）学分53.3学分，占总学分31.4%。</w:t>
      </w:r>
    </w:p>
    <w:p>
      <w:pPr>
        <w:keepNext/>
        <w:keepLines/>
        <w:ind w:firstLine="480"/>
        <w:outlineLvl w:val="3"/>
        <w:rPr>
          <w:rFonts w:eastAsia="黑体"/>
        </w:rPr>
      </w:pPr>
      <w:r>
        <w:rPr>
          <w:rFonts w:eastAsia="黑体"/>
        </w:rPr>
        <w:t>课程体系</w:t>
      </w:r>
    </w:p>
    <w:p>
      <w:pPr>
        <w:ind w:firstLine="480"/>
      </w:pPr>
      <w:r>
        <w:t>烟草专业课程体系包括通识必修课、通识选修课、学科基础课、专业核心课、专业方向课、专业拓展课以及基础实践、专业实践和综合实践组成，采用理论教学与实验教学、课堂教学与课外实践相结合，以培养学生能力为目标，重视提高综合素质和解决烟草生产中问题的能力。该课程体系对烟草专业培养要求提供了有力的支撑。</w:t>
      </w:r>
    </w:p>
    <w:p>
      <w:pPr>
        <w:ind w:firstLine="480"/>
      </w:pPr>
      <w:r>
        <w:t>一年级（学期1-2）</w:t>
      </w:r>
    </w:p>
    <w:p>
      <w:pPr>
        <w:ind w:firstLine="480"/>
      </w:pPr>
      <w:r>
        <w:t>本学年主要学习通识必修课、通识选修课、学科基础课以及基础实践。</w:t>
      </w:r>
    </w:p>
    <w:p>
      <w:pPr>
        <w:ind w:firstLine="480"/>
      </w:pPr>
      <w:r>
        <w:t>二年级（学期3-4）</w:t>
      </w:r>
    </w:p>
    <w:p>
      <w:pPr>
        <w:ind w:firstLine="480"/>
      </w:pPr>
      <w:r>
        <w:t>本学年主要学习学科基础课、专业核心课以及专业实践和综合实践。</w:t>
      </w:r>
    </w:p>
    <w:p>
      <w:pPr>
        <w:ind w:firstLine="480"/>
      </w:pPr>
      <w:r>
        <w:t>三年级（学期5-6）</w:t>
      </w:r>
    </w:p>
    <w:p>
      <w:pPr>
        <w:ind w:firstLine="480"/>
      </w:pPr>
      <w:r>
        <w:t>本学年主要学习专业核心课、专业方向课、专业拓展课以及专业实践和综合实践。</w:t>
      </w:r>
    </w:p>
    <w:p>
      <w:pPr>
        <w:ind w:firstLine="480"/>
      </w:pPr>
      <w:r>
        <w:t>四年级（学期7-8）</w:t>
      </w:r>
    </w:p>
    <w:p>
      <w:pPr>
        <w:ind w:firstLine="480"/>
      </w:pPr>
      <w:r>
        <w:t>本学年主要学习专业拓展课以及综合实践。</w:t>
      </w:r>
    </w:p>
    <w:p>
      <w:pPr>
        <w:pStyle w:val="6"/>
        <w:ind w:firstLine="480"/>
      </w:pPr>
      <w:r>
        <w:t>创新创业教育</w:t>
      </w:r>
    </w:p>
    <w:p>
      <w:pPr>
        <w:ind w:firstLine="480"/>
      </w:pPr>
      <w:r>
        <w:t>人才链与创新链深度融合,全力助推高质量发展。创新创业教育也需紧跟时代步伐，通过立足专业领域和社会需求全面展开，主要采取如下措施：</w:t>
      </w:r>
    </w:p>
    <w:p>
      <w:pPr>
        <w:ind w:firstLine="480"/>
      </w:pPr>
      <w:r>
        <w:t>1</w:t>
      </w:r>
      <w:r>
        <w:rPr>
          <w:rFonts w:hint="eastAsia"/>
          <w:lang w:eastAsia="zh-CN"/>
        </w:rPr>
        <w:t>.</w:t>
      </w:r>
      <w:r>
        <w:t>大力支持学生参加学校</w:t>
      </w:r>
      <w:r>
        <w:rPr>
          <w:rFonts w:hint="eastAsia"/>
        </w:rPr>
        <w:t>“</w:t>
      </w:r>
      <w:r>
        <w:t>SRT</w:t>
      </w:r>
      <w:r>
        <w:rPr>
          <w:rFonts w:hint="eastAsia"/>
        </w:rPr>
        <w:t>”</w:t>
      </w:r>
      <w:r>
        <w:t>项目和全国大学生创新项目，立足于学科和专业，引导学生在深入了解专业学科发展的基础上积极组建SRT实验团队，从实验室走向生产实践，从科学研究走向社会服务。2022年度SRT参与率高达85%。</w:t>
      </w:r>
    </w:p>
    <w:p>
      <w:pPr>
        <w:ind w:firstLine="480"/>
      </w:pPr>
      <w:r>
        <w:t>2</w:t>
      </w:r>
      <w:r>
        <w:rPr>
          <w:rFonts w:hint="eastAsia"/>
          <w:lang w:eastAsia="zh-CN"/>
        </w:rPr>
        <w:t>.</w:t>
      </w:r>
      <w:r>
        <w:t>创新创业教育与专业实践教学融合,让专业学生走进实验室，提前接触科研工作，提高实践操作能力，巩固专业知识奠定坚实基础。</w:t>
      </w:r>
    </w:p>
    <w:p>
      <w:pPr>
        <w:ind w:firstLine="480"/>
      </w:pPr>
      <w:r>
        <w:t>3</w:t>
      </w:r>
      <w:r>
        <w:rPr>
          <w:rFonts w:hint="eastAsia"/>
          <w:lang w:eastAsia="zh-CN"/>
        </w:rPr>
        <w:t>.</w:t>
      </w:r>
      <w:r>
        <w:t>利用假期参加社会专业实践活动，如进入烟草实验站园或教师的科研实验室参加科学研究，结合教师科研为学生提供研究条件和研究经费，跟踪指导学生研究过程，促进专业教学，创新创业。</w:t>
      </w:r>
    </w:p>
    <w:p>
      <w:pPr>
        <w:ind w:firstLine="480"/>
      </w:pPr>
      <w:r>
        <w:t>4</w:t>
      </w:r>
      <w:r>
        <w:rPr>
          <w:rFonts w:hint="eastAsia"/>
          <w:lang w:eastAsia="zh-CN"/>
        </w:rPr>
        <w:t>.</w:t>
      </w:r>
      <w:r>
        <w:t>理论与实践相结合，通过教学实践环节组织学生深入企业和农村，关注民生热点，调查社会对人才和技术的需求程度。</w:t>
      </w:r>
    </w:p>
    <w:p>
      <w:pPr>
        <w:ind w:firstLine="480"/>
      </w:pPr>
      <w:r>
        <w:t>5</w:t>
      </w:r>
      <w:r>
        <w:rPr>
          <w:rFonts w:hint="eastAsia"/>
          <w:lang w:eastAsia="zh-CN"/>
        </w:rPr>
        <w:t>.</w:t>
      </w:r>
      <w:r>
        <w:t>模拟、指导专业学生的创业活动，审核学生创业发展的规划，激发学生们的创业思维：如跟踪学生企业的营销管理，办理模拟工商注册和税务登记，核发相关大学生创业公司的校内注册执照等。</w:t>
      </w:r>
    </w:p>
    <w:p>
      <w:pPr>
        <w:pStyle w:val="5"/>
        <w:spacing w:before="93" w:after="93"/>
        <w:ind w:firstLine="560"/>
      </w:pPr>
      <w:r>
        <w:t>三、培养条件（教学经费投入、教学设备、教师队伍建设、实习基地、现代教学技术应用等）</w:t>
      </w:r>
    </w:p>
    <w:p>
      <w:pPr>
        <w:keepNext/>
        <w:keepLines/>
        <w:spacing w:line="440" w:lineRule="exact"/>
        <w:ind w:firstLine="480"/>
        <w:outlineLvl w:val="3"/>
        <w:rPr>
          <w:rFonts w:eastAsia="黑体"/>
        </w:rPr>
      </w:pPr>
      <w:r>
        <w:rPr>
          <w:rFonts w:eastAsia="黑体"/>
        </w:rPr>
        <w:t>1.教学经费投入</w:t>
      </w:r>
    </w:p>
    <w:p>
      <w:pPr>
        <w:ind w:firstLine="482"/>
      </w:pPr>
      <w:r>
        <w:t>实验教学中心始建于2003年，为校、院两级管理的本科实验教学中心。目前，中心教学占地面积3700 m</w:t>
      </w:r>
      <w:r>
        <w:rPr>
          <w:vertAlign w:val="superscript"/>
        </w:rPr>
        <w:t>2</w:t>
      </w:r>
      <w:r>
        <w:t xml:space="preserve"> ，共计93间实验用房，包括18个功能实验室和5个大学生创新实验室及实验准备室、标本室等配套用房；另外，中心还有菌物资源与利用实训实践基地和植保站园2个校内实践教学基地。</w:t>
      </w:r>
    </w:p>
    <w:p>
      <w:pPr>
        <w:ind w:firstLine="482"/>
      </w:pPr>
      <w:r>
        <w:t>2020-2021年，教学基本运行经费200万元，学校每年投入30-50万元主要用于教学实验室建设和实验消耗品购置。</w:t>
      </w:r>
    </w:p>
    <w:p>
      <w:pPr>
        <w:keepNext/>
        <w:keepLines/>
        <w:ind w:firstLine="482"/>
        <w:outlineLvl w:val="3"/>
        <w:rPr>
          <w:rFonts w:eastAsia="黑体"/>
        </w:rPr>
      </w:pPr>
      <w:r>
        <w:rPr>
          <w:rFonts w:eastAsia="黑体"/>
        </w:rPr>
        <w:t>2.教学设备</w:t>
      </w:r>
    </w:p>
    <w:p>
      <w:pPr>
        <w:ind w:firstLine="482"/>
      </w:pPr>
      <w:r>
        <w:t>中心现有仪器设备总值达2077.888691万元，其中价值五千元以上的仪器设备有267台/套。根据烟草专业实践教学需要，2018-2020年实验中心专门购置55多万元的相关仪器设备，添置了全自动连续流动分析仪等仪器设备、密集烤房自控设备和漂浮育苗工厂化育苗棚等。</w:t>
      </w:r>
    </w:p>
    <w:p>
      <w:pPr>
        <w:ind w:firstLine="482"/>
      </w:pPr>
      <w:r>
        <w:t>经过10年的建设，目前用于教学的仪器设备齐全，中心拥有6个数码互动实验室、高级冷冻离心机、PCR仪、紫外分光光度计、凝胶成像系统、高级研究显微镜、气相色谱仪、高效液相色谱仪、超景深三维显微系统、电子天平、电泳仪等仪器设备2800余台（件），加上学科科研平台仪器设备，总价值达3800多万元，可满足教学和学生创新研究的需要。</w:t>
      </w:r>
    </w:p>
    <w:p>
      <w:pPr>
        <w:spacing w:line="240" w:lineRule="auto"/>
        <w:jc w:val="center"/>
      </w:pPr>
      <w:r>
        <w:drawing>
          <wp:inline distT="0" distB="0" distL="0" distR="0">
            <wp:extent cx="2714625" cy="1819275"/>
            <wp:effectExtent l="0" t="0" r="9525" b="9525"/>
            <wp:docPr id="1026" name="图片 51"/>
            <wp:cNvGraphicFramePr/>
            <a:graphic xmlns:a="http://schemas.openxmlformats.org/drawingml/2006/main">
              <a:graphicData uri="http://schemas.openxmlformats.org/drawingml/2006/picture">
                <pic:pic xmlns:pic="http://schemas.openxmlformats.org/drawingml/2006/picture">
                  <pic:nvPicPr>
                    <pic:cNvPr id="1026" name="图片 51"/>
                    <pic:cNvPicPr/>
                  </pic:nvPicPr>
                  <pic:blipFill>
                    <a:blip r:embed="rId40" cstate="print"/>
                    <a:srcRect/>
                    <a:stretch>
                      <a:fillRect/>
                    </a:stretch>
                  </pic:blipFill>
                  <pic:spPr>
                    <a:xfrm>
                      <a:off x="0" y="0"/>
                      <a:ext cx="2714625" cy="1819275"/>
                    </a:xfrm>
                    <a:prstGeom prst="rect">
                      <a:avLst/>
                    </a:prstGeom>
                  </pic:spPr>
                </pic:pic>
              </a:graphicData>
            </a:graphic>
          </wp:inline>
        </w:drawing>
      </w:r>
      <w:r>
        <w:t xml:space="preserve"> </w:t>
      </w:r>
      <w:r>
        <w:drawing>
          <wp:inline distT="0" distB="0" distL="0" distR="0">
            <wp:extent cx="2514600" cy="1824990"/>
            <wp:effectExtent l="0" t="0" r="0" b="3810"/>
            <wp:docPr id="1027" name="图片 53" descr="IMG_0084"/>
            <wp:cNvGraphicFramePr/>
            <a:graphic xmlns:a="http://schemas.openxmlformats.org/drawingml/2006/main">
              <a:graphicData uri="http://schemas.openxmlformats.org/drawingml/2006/picture">
                <pic:pic xmlns:pic="http://schemas.openxmlformats.org/drawingml/2006/picture">
                  <pic:nvPicPr>
                    <pic:cNvPr id="1027" name="图片 53" descr="IMG_0084"/>
                    <pic:cNvPicPr/>
                  </pic:nvPicPr>
                  <pic:blipFill>
                    <a:blip r:embed="rId41" cstate="print"/>
                    <a:srcRect t="20000" r="4671"/>
                    <a:stretch>
                      <a:fillRect/>
                    </a:stretch>
                  </pic:blipFill>
                  <pic:spPr>
                    <a:xfrm>
                      <a:off x="0" y="0"/>
                      <a:ext cx="2514600" cy="1824990"/>
                    </a:xfrm>
                    <a:prstGeom prst="rect">
                      <a:avLst/>
                    </a:prstGeom>
                    <a:ln>
                      <a:noFill/>
                    </a:ln>
                  </pic:spPr>
                </pic:pic>
              </a:graphicData>
            </a:graphic>
          </wp:inline>
        </w:drawing>
      </w:r>
    </w:p>
    <w:p>
      <w:pPr>
        <w:spacing w:line="240" w:lineRule="auto"/>
        <w:jc w:val="center"/>
      </w:pPr>
      <w:r>
        <w:drawing>
          <wp:inline distT="0" distB="0" distL="0" distR="0">
            <wp:extent cx="2701290" cy="1868170"/>
            <wp:effectExtent l="0" t="0" r="3810" b="17780"/>
            <wp:docPr id="1028" name="图片 28"/>
            <wp:cNvGraphicFramePr/>
            <a:graphic xmlns:a="http://schemas.openxmlformats.org/drawingml/2006/main">
              <a:graphicData uri="http://schemas.openxmlformats.org/drawingml/2006/picture">
                <pic:pic xmlns:pic="http://schemas.openxmlformats.org/drawingml/2006/picture">
                  <pic:nvPicPr>
                    <pic:cNvPr id="1028" name="图片 28"/>
                    <pic:cNvPicPr/>
                  </pic:nvPicPr>
                  <pic:blipFill>
                    <a:blip r:embed="rId42" cstate="print"/>
                    <a:srcRect/>
                    <a:stretch>
                      <a:fillRect/>
                    </a:stretch>
                  </pic:blipFill>
                  <pic:spPr>
                    <a:xfrm>
                      <a:off x="0" y="0"/>
                      <a:ext cx="2701290" cy="1868170"/>
                    </a:xfrm>
                    <a:prstGeom prst="rect">
                      <a:avLst/>
                    </a:prstGeom>
                  </pic:spPr>
                </pic:pic>
              </a:graphicData>
            </a:graphic>
          </wp:inline>
        </w:drawing>
      </w:r>
      <w:r>
        <w:t xml:space="preserve"> </w:t>
      </w:r>
      <w:r>
        <w:drawing>
          <wp:inline distT="0" distB="0" distL="0" distR="0">
            <wp:extent cx="2560320" cy="1895475"/>
            <wp:effectExtent l="0" t="0" r="11430" b="9525"/>
            <wp:docPr id="1029" name="图片 56"/>
            <wp:cNvGraphicFramePr/>
            <a:graphic xmlns:a="http://schemas.openxmlformats.org/drawingml/2006/main">
              <a:graphicData uri="http://schemas.openxmlformats.org/drawingml/2006/picture">
                <pic:pic xmlns:pic="http://schemas.openxmlformats.org/drawingml/2006/picture">
                  <pic:nvPicPr>
                    <pic:cNvPr id="1029" name="图片 56"/>
                    <pic:cNvPicPr/>
                  </pic:nvPicPr>
                  <pic:blipFill>
                    <a:blip r:embed="rId43" cstate="print"/>
                    <a:srcRect t="11613"/>
                    <a:stretch>
                      <a:fillRect/>
                    </a:stretch>
                  </pic:blipFill>
                  <pic:spPr>
                    <a:xfrm>
                      <a:off x="0" y="0"/>
                      <a:ext cx="2560320" cy="1895475"/>
                    </a:xfrm>
                    <a:prstGeom prst="rect">
                      <a:avLst/>
                    </a:prstGeom>
                    <a:ln>
                      <a:noFill/>
                    </a:ln>
                  </pic:spPr>
                </pic:pic>
              </a:graphicData>
            </a:graphic>
          </wp:inline>
        </w:drawing>
      </w:r>
    </w:p>
    <w:p>
      <w:pPr>
        <w:keepNext/>
        <w:keepLines/>
        <w:ind w:firstLine="480"/>
        <w:outlineLvl w:val="3"/>
        <w:rPr>
          <w:rFonts w:eastAsia="黑体"/>
        </w:rPr>
      </w:pPr>
      <w:r>
        <w:rPr>
          <w:rFonts w:eastAsia="黑体"/>
        </w:rPr>
        <w:t>3.教师队伍建设</w:t>
      </w:r>
    </w:p>
    <w:p>
      <w:pPr>
        <w:ind w:firstLine="480"/>
      </w:pPr>
      <w:r>
        <w:t>本专业现有专任教师10人，兼任4人。专任教师中有教授2人，副教授4人（博士学位4人），中级4人（博士学位4人）。另有实验技术人员1人（高级实验师，硕士）。名专任专业教师承担9门本专业专业课，4门专业实践课。</w:t>
      </w:r>
    </w:p>
    <w:p>
      <w:pPr>
        <w:keepNext/>
        <w:keepLines/>
        <w:ind w:firstLine="480"/>
        <w:outlineLvl w:val="3"/>
        <w:rPr>
          <w:rFonts w:eastAsia="黑体"/>
        </w:rPr>
      </w:pPr>
      <w:r>
        <w:rPr>
          <w:rFonts w:eastAsia="黑体"/>
        </w:rPr>
        <w:t>4.实习基地</w:t>
      </w:r>
    </w:p>
    <w:p>
      <w:pPr>
        <w:ind w:firstLine="480"/>
      </w:pPr>
      <w:r>
        <w:t>建立了烟草专业校内试验站和4个较为稳定的校外教学基地。</w:t>
      </w:r>
    </w:p>
    <w:p>
      <w:pPr>
        <w:ind w:firstLine="480"/>
      </w:pPr>
      <w:r>
        <w:t>校内烟草试验站建有标准化烟草育苗棚、烟草栽培试验田、烟草种子资源圃和育种田以及自动化烟叶烘烤房等，在校内既能够满足烟草本科专业实验教学的需求。</w:t>
      </w:r>
    </w:p>
    <w:p>
      <w:pPr>
        <w:keepNext/>
        <w:keepLines/>
        <w:ind w:firstLine="480"/>
        <w:outlineLvl w:val="3"/>
        <w:rPr>
          <w:rFonts w:eastAsia="黑体"/>
        </w:rPr>
      </w:pPr>
      <w:r>
        <w:rPr>
          <w:rFonts w:eastAsia="黑体"/>
        </w:rPr>
        <w:t>5.现代教学技术应用</w:t>
      </w:r>
    </w:p>
    <w:p>
      <w:pPr>
        <w:ind w:firstLine="480"/>
      </w:pPr>
      <w:r>
        <w:t>烟草专业的所有课程全部采用了多媒体教学模式，同时烟草实验室建设了自己的网站，有利于学生辅助学习；建立了年级QQ群和微信群，大大提高了教学效果。</w:t>
      </w:r>
    </w:p>
    <w:p>
      <w:pPr>
        <w:pStyle w:val="5"/>
        <w:spacing w:before="93" w:after="93"/>
        <w:ind w:firstLine="560"/>
      </w:pPr>
      <w:bookmarkStart w:id="59" w:name="_Toc20685"/>
      <w:bookmarkStart w:id="60" w:name="_Toc4646"/>
      <w:bookmarkStart w:id="61" w:name="_Toc5733"/>
      <w:bookmarkStart w:id="62" w:name="_Toc23711"/>
      <w:r>
        <w:t>四、培养机制与特色（产学研协同育人机制、合作办学、教学管理等）</w:t>
      </w:r>
      <w:bookmarkEnd w:id="59"/>
      <w:bookmarkEnd w:id="60"/>
      <w:bookmarkEnd w:id="61"/>
      <w:bookmarkEnd w:id="62"/>
    </w:p>
    <w:p>
      <w:pPr>
        <w:ind w:firstLine="480"/>
      </w:pPr>
      <w:r>
        <w:t>烟草专业依托烟草学博士点和硕士点，根据高等教育新时期发展要求，不断加强和完善专业建设和课程建设，注重加强实践教学环节建设，积极探索灵活多样的实践教学模式，有机结合实验课、课程实习、课程论文、生产实习和大学生创新实践等实践性教学环节，培养创新型广适应人才。加强教学监督和管理，严格教学秩序，认真贯彻教育部《关于加强高等学校本科教学工作，提高教学质量的若干意见》和学校《关于加强教学工作的实施意见》精神，将课堂教学纳入全面监控跟踪体系，通过不定期进行教学检查，教师之间互相听课和交流，营造了良好的教风。定期举办专业教育座谈会，对学生进行专业教育和培养方向指导，使学生具有明确的学习方向和奋斗目标，促进了当代大学生人生观和价值观确立，使培养质量逐年提升。</w:t>
      </w:r>
    </w:p>
    <w:p>
      <w:pPr>
        <w:ind w:firstLine="480"/>
      </w:pPr>
      <w:r>
        <w:t>注重宽口径人才培养特色，根据毕业生就业方向和行业对人才的需求，加强了卷烟工艺和烟草机械、烟草商品学、植物生产学等课程建设，有效拓宽了毕业生就业口径，使其就业链延伸到了烟草工业公司和烟草商业公司及其他农业生产部门。</w:t>
      </w:r>
    </w:p>
    <w:p>
      <w:pPr>
        <w:ind w:firstLine="480"/>
      </w:pPr>
      <w:r>
        <w:t>主要做法：</w:t>
      </w:r>
    </w:p>
    <w:p>
      <w:pPr>
        <w:keepNext/>
        <w:keepLines/>
        <w:ind w:firstLine="480"/>
        <w:outlineLvl w:val="3"/>
        <w:rPr>
          <w:rFonts w:eastAsia="黑体"/>
        </w:rPr>
      </w:pPr>
      <w:r>
        <w:rPr>
          <w:rFonts w:eastAsia="黑体"/>
        </w:rPr>
        <w:t>1.注重能力培养，构建</w:t>
      </w:r>
      <w:r>
        <w:rPr>
          <w:rFonts w:hint="eastAsia" w:eastAsia="黑体"/>
        </w:rPr>
        <w:t>“</w:t>
      </w:r>
      <w:r>
        <w:rPr>
          <w:rFonts w:eastAsia="黑体"/>
        </w:rPr>
        <w:t>创新性</w:t>
      </w:r>
      <w:r>
        <w:rPr>
          <w:rFonts w:hint="eastAsia" w:eastAsia="黑体"/>
        </w:rPr>
        <w:t>”</w:t>
      </w:r>
      <w:r>
        <w:rPr>
          <w:rFonts w:eastAsia="黑体"/>
        </w:rPr>
        <w:t>人才培养模式</w:t>
      </w:r>
    </w:p>
    <w:p>
      <w:pPr>
        <w:ind w:firstLine="480"/>
      </w:pPr>
      <w:r>
        <w:t>该培养模式注重理论课程创新和实践课程创新，在培养方案中根据本专业毕业生毕业去向和工作性质，增添了烟草机械和自动化课程，加强了卷烟工艺学课程，设置了贯穿烟草栽培学和烟草育种学的实践环节，使学生的创新能力得到了明显增强。</w:t>
      </w:r>
    </w:p>
    <w:p>
      <w:pPr>
        <w:keepNext/>
        <w:keepLines/>
        <w:ind w:firstLine="480"/>
        <w:outlineLvl w:val="3"/>
        <w:rPr>
          <w:rFonts w:eastAsia="黑体"/>
        </w:rPr>
      </w:pPr>
      <w:r>
        <w:rPr>
          <w:rFonts w:eastAsia="黑体"/>
        </w:rPr>
        <w:t>2.跟踪行业发展前沿，设置了开放性理论课程</w:t>
      </w:r>
    </w:p>
    <w:p>
      <w:pPr>
        <w:ind w:firstLine="480"/>
      </w:pPr>
      <w:r>
        <w:t>在专业课程设置中，进一步拓展课程内容，创建了开放式的课程，如在《烟草研究进展》课程中，有全系六位老师集体开课，将行业有关科技进展全方位、多角度的教授给学生，同时聘请国内有关大专院校、科研院所和行业内知名专家为学生上课，开阔了学生的视野，拓宽了学生思路，激发了学生的专业热情，收到了良好的教学效果。</w:t>
      </w:r>
    </w:p>
    <w:p>
      <w:pPr>
        <w:keepNext/>
        <w:keepLines/>
        <w:ind w:firstLine="480"/>
        <w:outlineLvl w:val="3"/>
        <w:rPr>
          <w:rFonts w:eastAsia="黑体"/>
        </w:rPr>
      </w:pPr>
      <w:r>
        <w:rPr>
          <w:rFonts w:eastAsia="黑体"/>
        </w:rPr>
        <w:t>3.突出应用型人才培养目标，</w:t>
      </w:r>
      <w:r>
        <w:rPr>
          <w:rFonts w:hint="eastAsia" w:eastAsia="黑体"/>
        </w:rPr>
        <w:t>“</w:t>
      </w:r>
      <w:r>
        <w:rPr>
          <w:rFonts w:eastAsia="黑体"/>
        </w:rPr>
        <w:t>三段式</w:t>
      </w:r>
      <w:r>
        <w:rPr>
          <w:rFonts w:hint="eastAsia" w:eastAsia="黑体"/>
        </w:rPr>
        <w:t>”</w:t>
      </w:r>
      <w:r>
        <w:rPr>
          <w:rFonts w:eastAsia="黑体"/>
        </w:rPr>
        <w:t>的实践教学体系</w:t>
      </w:r>
    </w:p>
    <w:p>
      <w:pPr>
        <w:ind w:firstLine="480"/>
      </w:pPr>
      <w:r>
        <w:t>根据烟草行业人才需求，进一步完善实践教学体系，创建了</w:t>
      </w:r>
      <w:r>
        <w:rPr>
          <w:rFonts w:hint="eastAsia"/>
        </w:rPr>
        <w:t>“</w:t>
      </w:r>
      <w:r>
        <w:t>三段式</w:t>
      </w:r>
      <w:r>
        <w:rPr>
          <w:rFonts w:hint="eastAsia"/>
        </w:rPr>
        <w:t>”</w:t>
      </w:r>
      <w:r>
        <w:t>的实践教学体系，及专业实验课——综合实践课——创新实践课。三个阶段循序渐进，前者是后者的基础，后者是前者的应用，相互联系，相互影响，共同完成应用型人才培养目标。既培养学生掌握扎实的实验基本技能，又训练学生综合运用实验技术进行创新和研究的能力。通过这一体系的有效实施，培养了学生扎实的实验技术和实践技能，为从事烟草农业科学研究、农业技术推广和创新创业，奠定能力基础。</w:t>
      </w:r>
    </w:p>
    <w:p>
      <w:pPr>
        <w:keepNext/>
        <w:keepLines/>
        <w:ind w:firstLine="480"/>
        <w:outlineLvl w:val="3"/>
        <w:rPr>
          <w:rFonts w:eastAsia="黑体"/>
        </w:rPr>
      </w:pPr>
      <w:r>
        <w:rPr>
          <w:rFonts w:eastAsia="黑体"/>
        </w:rPr>
        <w:t>4.</w:t>
      </w:r>
      <w:r>
        <w:rPr>
          <w:rFonts w:hint="eastAsia" w:eastAsia="黑体"/>
        </w:rPr>
        <w:t>“</w:t>
      </w:r>
      <w:r>
        <w:rPr>
          <w:rFonts w:eastAsia="黑体"/>
        </w:rPr>
        <w:t>校内外</w:t>
      </w:r>
      <w:r>
        <w:rPr>
          <w:rFonts w:hint="eastAsia" w:eastAsia="黑体"/>
        </w:rPr>
        <w:t>”</w:t>
      </w:r>
      <w:r>
        <w:rPr>
          <w:rFonts w:eastAsia="黑体"/>
        </w:rPr>
        <w:t>紧密结合，搭建了全方位实践教学平台。</w:t>
      </w:r>
    </w:p>
    <w:p>
      <w:pPr>
        <w:ind w:firstLine="480"/>
      </w:pPr>
      <w:r>
        <w:t>在校内，以烟草系综合实验室，烟草实验站园，山东省烟草病虫害研究中心等试验平台为依托，通过学生</w:t>
      </w:r>
      <w:r>
        <w:rPr>
          <w:rFonts w:hint="eastAsia"/>
        </w:rPr>
        <w:t>“</w:t>
      </w:r>
      <w:r>
        <w:t>SRT</w:t>
      </w:r>
      <w:r>
        <w:rPr>
          <w:rFonts w:hint="eastAsia"/>
        </w:rPr>
        <w:t>”</w:t>
      </w:r>
      <w:r>
        <w:t>项目，专业实践项目，创新项目，助研项目等，为学生提供广泛的科研实践课题，使专业学生100%参加。有力的促进了学生实践创新能力的培养。</w:t>
      </w:r>
    </w:p>
    <w:p>
      <w:pPr>
        <w:ind w:firstLine="480"/>
      </w:pPr>
      <w:r>
        <w:t>在校外，本着</w:t>
      </w:r>
      <w:r>
        <w:rPr>
          <w:rFonts w:hint="eastAsia"/>
        </w:rPr>
        <w:t>“</w:t>
      </w:r>
      <w:r>
        <w:t>互惠互利、共同发展</w:t>
      </w:r>
      <w:r>
        <w:rPr>
          <w:rFonts w:hint="eastAsia"/>
        </w:rPr>
        <w:t>”</w:t>
      </w:r>
      <w:r>
        <w:t>的原则，与山东日照烟草有限公司、山东潍坊烟草有限公司、山东临沂烟草有限公司，山东莱芜烟草有限公司等省内主要烟草生产企业联合建立实践教学科研基地，利用假期和学生实习时间每年安排学生参加实习和实践。实践应用平台建设实现了学校与企业的紧密联合，企业为教师提供了社会服务能力的平台，专家、教授深入生产一线，能够准确及时把握社会需求，实现社会需求与科研的同步发展；企业为学生提供了实践的平台，促进了学生创新和创业能力的提高，提高应用型人才的培养质量；同时，教师为企业提供新技术，学生为产品的研发和企业的创新注入活力，推动了企业的持续健康发展。</w:t>
      </w:r>
    </w:p>
    <w:p>
      <w:pPr>
        <w:spacing w:line="240" w:lineRule="auto"/>
        <w:ind w:firstLine="480"/>
        <w:jc w:val="center"/>
      </w:pPr>
      <w:r>
        <w:drawing>
          <wp:inline distT="0" distB="0" distL="0" distR="0">
            <wp:extent cx="2504440" cy="1724025"/>
            <wp:effectExtent l="0" t="0" r="10160" b="9525"/>
            <wp:docPr id="1030" name="图片 63" descr="D:\科研与基地\日照基地\日照教学科研基地\日照挂牌照片\DSCN1023.JPG"/>
            <wp:cNvGraphicFramePr/>
            <a:graphic xmlns:a="http://schemas.openxmlformats.org/drawingml/2006/main">
              <a:graphicData uri="http://schemas.openxmlformats.org/drawingml/2006/picture">
                <pic:pic xmlns:pic="http://schemas.openxmlformats.org/drawingml/2006/picture">
                  <pic:nvPicPr>
                    <pic:cNvPr id="1030" name="图片 63" descr="D:\科研与基地\日照基地\日照教学科研基地\日照挂牌照片\DSCN1023.JPG"/>
                    <pic:cNvPicPr/>
                  </pic:nvPicPr>
                  <pic:blipFill>
                    <a:blip r:embed="rId44" cstate="print"/>
                    <a:srcRect/>
                    <a:stretch>
                      <a:fillRect/>
                    </a:stretch>
                  </pic:blipFill>
                  <pic:spPr>
                    <a:xfrm>
                      <a:off x="0" y="0"/>
                      <a:ext cx="2504440" cy="1724617"/>
                    </a:xfrm>
                    <a:prstGeom prst="rect">
                      <a:avLst/>
                    </a:prstGeom>
                    <a:ln>
                      <a:noFill/>
                    </a:ln>
                  </pic:spPr>
                </pic:pic>
              </a:graphicData>
            </a:graphic>
          </wp:inline>
        </w:drawing>
      </w:r>
      <w:r>
        <w:drawing>
          <wp:inline distT="0" distB="0" distL="0" distR="0">
            <wp:extent cx="2286000" cy="1714500"/>
            <wp:effectExtent l="0" t="0" r="0" b="0"/>
            <wp:docPr id="1031" name="图片 64" descr="F:\教学\评估有关材料\2016年评估\2016专业评估\新状况报告\mmexport1481771412599.jpg"/>
            <wp:cNvGraphicFramePr/>
            <a:graphic xmlns:a="http://schemas.openxmlformats.org/drawingml/2006/main">
              <a:graphicData uri="http://schemas.openxmlformats.org/drawingml/2006/picture">
                <pic:pic xmlns:pic="http://schemas.openxmlformats.org/drawingml/2006/picture">
                  <pic:nvPicPr>
                    <pic:cNvPr id="1031" name="图片 64" descr="F:\教学\评估有关材料\2016年评估\2016专业评估\新状况报告\mmexport1481771412599.jpg"/>
                    <pic:cNvPicPr/>
                  </pic:nvPicPr>
                  <pic:blipFill>
                    <a:blip r:embed="rId45" cstate="print"/>
                    <a:srcRect/>
                    <a:stretch>
                      <a:fillRect/>
                    </a:stretch>
                  </pic:blipFill>
                  <pic:spPr>
                    <a:xfrm>
                      <a:off x="0" y="0"/>
                      <a:ext cx="2286000" cy="1714500"/>
                    </a:xfrm>
                    <a:prstGeom prst="rect">
                      <a:avLst/>
                    </a:prstGeom>
                    <a:ln>
                      <a:noFill/>
                    </a:ln>
                  </pic:spPr>
                </pic:pic>
              </a:graphicData>
            </a:graphic>
          </wp:inline>
        </w:drawing>
      </w:r>
    </w:p>
    <w:p>
      <w:pPr>
        <w:spacing w:line="240" w:lineRule="auto"/>
        <w:ind w:firstLine="480"/>
        <w:jc w:val="center"/>
      </w:pPr>
      <w:r>
        <w:drawing>
          <wp:inline distT="0" distB="0" distL="0" distR="0">
            <wp:extent cx="2612390" cy="1562100"/>
            <wp:effectExtent l="0" t="0" r="16510" b="0"/>
            <wp:docPr id="1032" name="图片 62" descr="D:\科研与基地\双盘育苗有关图片及资料\08年直播育苗\100NIKON\DSCN7821.JPG"/>
            <wp:cNvGraphicFramePr/>
            <a:graphic xmlns:a="http://schemas.openxmlformats.org/drawingml/2006/main">
              <a:graphicData uri="http://schemas.openxmlformats.org/drawingml/2006/picture">
                <pic:pic xmlns:pic="http://schemas.openxmlformats.org/drawingml/2006/picture">
                  <pic:nvPicPr>
                    <pic:cNvPr id="1032" name="图片 62" descr="D:\科研与基地\双盘育苗有关图片及资料\08年直播育苗\100NIKON\DSCN7821.JPG"/>
                    <pic:cNvPicPr/>
                  </pic:nvPicPr>
                  <pic:blipFill>
                    <a:blip r:embed="rId46" cstate="print"/>
                    <a:srcRect/>
                    <a:stretch>
                      <a:fillRect/>
                    </a:stretch>
                  </pic:blipFill>
                  <pic:spPr>
                    <a:xfrm>
                      <a:off x="0" y="0"/>
                      <a:ext cx="2612390" cy="1562100"/>
                    </a:xfrm>
                    <a:prstGeom prst="rect">
                      <a:avLst/>
                    </a:prstGeom>
                    <a:ln>
                      <a:noFill/>
                    </a:ln>
                  </pic:spPr>
                </pic:pic>
              </a:graphicData>
            </a:graphic>
          </wp:inline>
        </w:drawing>
      </w:r>
      <w:r>
        <w:drawing>
          <wp:inline distT="0" distB="0" distL="0" distR="0">
            <wp:extent cx="2286000" cy="1552575"/>
            <wp:effectExtent l="0" t="0" r="0" b="9525"/>
            <wp:docPr id="1033" name="图片 60" descr="D:\科研与基地\双盘育苗有关图片及资料\08年直播育苗\08-4--5实习\DSCN6011.JPG"/>
            <wp:cNvGraphicFramePr/>
            <a:graphic xmlns:a="http://schemas.openxmlformats.org/drawingml/2006/main">
              <a:graphicData uri="http://schemas.openxmlformats.org/drawingml/2006/picture">
                <pic:pic xmlns:pic="http://schemas.openxmlformats.org/drawingml/2006/picture">
                  <pic:nvPicPr>
                    <pic:cNvPr id="1033" name="图片 60" descr="D:\科研与基地\双盘育苗有关图片及资料\08年直播育苗\08-4--5实习\DSCN6011.JPG"/>
                    <pic:cNvPicPr/>
                  </pic:nvPicPr>
                  <pic:blipFill>
                    <a:blip r:embed="rId47" cstate="print"/>
                    <a:srcRect/>
                    <a:stretch>
                      <a:fillRect/>
                    </a:stretch>
                  </pic:blipFill>
                  <pic:spPr>
                    <a:xfrm>
                      <a:off x="0" y="0"/>
                      <a:ext cx="2286000" cy="1552575"/>
                    </a:xfrm>
                    <a:prstGeom prst="rect">
                      <a:avLst/>
                    </a:prstGeom>
                    <a:ln>
                      <a:noFill/>
                    </a:ln>
                  </pic:spPr>
                </pic:pic>
              </a:graphicData>
            </a:graphic>
          </wp:inline>
        </w:drawing>
      </w:r>
    </w:p>
    <w:p>
      <w:pPr>
        <w:keepNext/>
        <w:keepLines/>
        <w:spacing w:line="240" w:lineRule="auto"/>
        <w:ind w:firstLine="480"/>
        <w:jc w:val="center"/>
        <w:outlineLvl w:val="3"/>
        <w:rPr>
          <w:rFonts w:eastAsia="黑体"/>
        </w:rPr>
      </w:pPr>
      <w:r>
        <w:rPr>
          <w:rFonts w:eastAsia="黑体"/>
        </w:rPr>
        <w:drawing>
          <wp:inline distT="0" distB="0" distL="0" distR="0">
            <wp:extent cx="2466340" cy="1561465"/>
            <wp:effectExtent l="0" t="0" r="10160" b="635"/>
            <wp:docPr id="1034" name="图片 59" descr="F:\照片\手机\2015.5.25\IMG_20160427_094926.jpg"/>
            <wp:cNvGraphicFramePr/>
            <a:graphic xmlns:a="http://schemas.openxmlformats.org/drawingml/2006/main">
              <a:graphicData uri="http://schemas.openxmlformats.org/drawingml/2006/picture">
                <pic:pic xmlns:pic="http://schemas.openxmlformats.org/drawingml/2006/picture">
                  <pic:nvPicPr>
                    <pic:cNvPr id="1034" name="图片 59" descr="F:\照片\手机\2015.5.25\IMG_20160427_094926.jpg"/>
                    <pic:cNvPicPr/>
                  </pic:nvPicPr>
                  <pic:blipFill>
                    <a:blip r:embed="rId48" cstate="print"/>
                    <a:srcRect/>
                    <a:stretch>
                      <a:fillRect/>
                    </a:stretch>
                  </pic:blipFill>
                  <pic:spPr>
                    <a:xfrm>
                      <a:off x="0" y="0"/>
                      <a:ext cx="2466340" cy="1561465"/>
                    </a:xfrm>
                    <a:prstGeom prst="rect">
                      <a:avLst/>
                    </a:prstGeom>
                    <a:ln>
                      <a:noFill/>
                    </a:ln>
                  </pic:spPr>
                </pic:pic>
              </a:graphicData>
            </a:graphic>
          </wp:inline>
        </w:drawing>
      </w:r>
      <w:r>
        <w:rPr>
          <w:rFonts w:eastAsia="黑体"/>
        </w:rPr>
        <w:drawing>
          <wp:inline distT="0" distB="0" distL="0" distR="0">
            <wp:extent cx="1559560" cy="2401570"/>
            <wp:effectExtent l="0" t="0" r="17780" b="2540"/>
            <wp:docPr id="1035" name="图片 21" descr="D:\省烟草课题\2018年项目\2018年职称申报材料\2018王玉军申报材料\学院发微信有关文件\各类资格证书\jpg格式\校级教学成果奖.jpg"/>
            <wp:cNvGraphicFramePr/>
            <a:graphic xmlns:a="http://schemas.openxmlformats.org/drawingml/2006/main">
              <a:graphicData uri="http://schemas.openxmlformats.org/drawingml/2006/picture">
                <pic:pic xmlns:pic="http://schemas.openxmlformats.org/drawingml/2006/picture">
                  <pic:nvPicPr>
                    <pic:cNvPr id="1035" name="图片 21" descr="D:\省烟草课题\2018年项目\2018年职称申报材料\2018王玉军申报材料\学院发微信有关文件\各类资格证书\jpg格式\校级教学成果奖.jpg"/>
                    <pic:cNvPicPr/>
                  </pic:nvPicPr>
                  <pic:blipFill>
                    <a:blip r:embed="rId49" cstate="print"/>
                    <a:srcRect/>
                    <a:stretch>
                      <a:fillRect/>
                    </a:stretch>
                  </pic:blipFill>
                  <pic:spPr>
                    <a:xfrm rot="5400000">
                      <a:off x="0" y="0"/>
                      <a:ext cx="1559560" cy="2401570"/>
                    </a:xfrm>
                    <a:prstGeom prst="rect">
                      <a:avLst/>
                    </a:prstGeom>
                    <a:ln>
                      <a:noFill/>
                    </a:ln>
                  </pic:spPr>
                </pic:pic>
              </a:graphicData>
            </a:graphic>
          </wp:inline>
        </w:drawing>
      </w:r>
    </w:p>
    <w:p/>
    <w:p>
      <w:pPr>
        <w:keepNext/>
        <w:keepLines/>
        <w:ind w:firstLine="480"/>
        <w:outlineLvl w:val="3"/>
        <w:rPr>
          <w:rFonts w:eastAsia="黑体"/>
        </w:rPr>
      </w:pPr>
      <w:r>
        <w:rPr>
          <w:rFonts w:eastAsia="黑体"/>
        </w:rPr>
        <w:t>5.创新教学管理模式，提高人才培养质量。</w:t>
      </w:r>
    </w:p>
    <w:p>
      <w:pPr>
        <w:ind w:firstLine="480"/>
      </w:pPr>
      <w:r>
        <w:t>注重学生的知识、素质与能力的协调发展是人才培养的关键和核心。在教学的管理过程中，确立了一套科学合理的教学管理模式，保证人才培养质量。构建院系两级教学管理体系，切实有效提升和保障教育教学水平及质量。科研训练实行</w:t>
      </w:r>
      <w:r>
        <w:rPr>
          <w:rFonts w:hint="eastAsia"/>
        </w:rPr>
        <w:t>“</w:t>
      </w:r>
      <w:r>
        <w:t>创新课题+毕业论文</w:t>
      </w:r>
      <w:r>
        <w:rPr>
          <w:rFonts w:hint="eastAsia"/>
        </w:rPr>
        <w:t>”</w:t>
      </w:r>
      <w:r>
        <w:t>制。制定本科生科技创新实践培养和毕业论文的质量标准及其运行管理制度，依托系科研实验室与科研平台完成本科生的科研创新与毕业论文，确保人才培养的质量与水平。依托产学研结合的实践教学平台，聘请企业家来校给学生作报告，直接面对面的交流，极大提升了学生的创新创业。</w:t>
      </w:r>
    </w:p>
    <w:p>
      <w:pPr>
        <w:rPr>
          <w:b/>
          <w:szCs w:val="24"/>
        </w:rPr>
      </w:pPr>
      <w:r>
        <w:rPr>
          <w:b/>
          <w:szCs w:val="24"/>
        </w:rPr>
        <w:br w:type="page"/>
      </w:r>
    </w:p>
    <w:p>
      <w:pPr>
        <w:ind w:firstLine="482"/>
        <w:jc w:val="center"/>
        <w:rPr>
          <w:b/>
          <w:szCs w:val="24"/>
        </w:rPr>
      </w:pPr>
      <w:r>
        <w:rPr>
          <w:b/>
          <w:szCs w:val="24"/>
        </w:rPr>
        <w:t>表2  烟草专业学生2021-2022年课外实践活动部分荣誉称号</w:t>
      </w:r>
    </w:p>
    <w:tbl>
      <w:tblPr>
        <w:tblStyle w:val="17"/>
        <w:tblW w:w="483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7"/>
        <w:gridCol w:w="878"/>
        <w:gridCol w:w="851"/>
        <w:gridCol w:w="4822"/>
        <w:gridCol w:w="11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615" w:type="pct"/>
            <w:shd w:val="clear" w:color="auto" w:fill="auto"/>
            <w:noWrap/>
            <w:vAlign w:val="center"/>
          </w:tcPr>
          <w:p>
            <w:pPr>
              <w:widowControl/>
              <w:spacing w:line="240" w:lineRule="auto"/>
              <w:jc w:val="center"/>
              <w:rPr>
                <w:b/>
                <w:bCs/>
                <w:kern w:val="0"/>
                <w:sz w:val="21"/>
                <w:szCs w:val="21"/>
              </w:rPr>
            </w:pPr>
            <w:r>
              <w:rPr>
                <w:b/>
                <w:bCs/>
                <w:kern w:val="0"/>
                <w:sz w:val="21"/>
                <w:szCs w:val="21"/>
              </w:rPr>
              <w:t>姓名</w:t>
            </w:r>
          </w:p>
        </w:tc>
        <w:tc>
          <w:tcPr>
            <w:tcW w:w="501" w:type="pct"/>
            <w:shd w:val="clear" w:color="auto" w:fill="auto"/>
            <w:noWrap/>
            <w:vAlign w:val="center"/>
          </w:tcPr>
          <w:p>
            <w:pPr>
              <w:widowControl/>
              <w:spacing w:line="240" w:lineRule="auto"/>
              <w:jc w:val="center"/>
              <w:rPr>
                <w:b/>
                <w:bCs/>
                <w:kern w:val="0"/>
                <w:sz w:val="21"/>
                <w:szCs w:val="21"/>
              </w:rPr>
            </w:pPr>
            <w:r>
              <w:rPr>
                <w:b/>
                <w:bCs/>
                <w:kern w:val="0"/>
                <w:sz w:val="21"/>
                <w:szCs w:val="21"/>
              </w:rPr>
              <w:t>年级</w:t>
            </w:r>
          </w:p>
        </w:tc>
        <w:tc>
          <w:tcPr>
            <w:tcW w:w="486" w:type="pct"/>
            <w:shd w:val="clear" w:color="auto" w:fill="auto"/>
            <w:vAlign w:val="center"/>
          </w:tcPr>
          <w:p>
            <w:pPr>
              <w:widowControl/>
              <w:spacing w:line="240" w:lineRule="auto"/>
              <w:jc w:val="center"/>
              <w:rPr>
                <w:b/>
                <w:bCs/>
                <w:kern w:val="0"/>
                <w:sz w:val="21"/>
                <w:szCs w:val="21"/>
              </w:rPr>
            </w:pPr>
            <w:r>
              <w:rPr>
                <w:b/>
                <w:bCs/>
                <w:kern w:val="0"/>
                <w:sz w:val="21"/>
                <w:szCs w:val="21"/>
              </w:rPr>
              <w:t>级别</w:t>
            </w:r>
          </w:p>
        </w:tc>
        <w:tc>
          <w:tcPr>
            <w:tcW w:w="2752" w:type="pct"/>
            <w:shd w:val="clear" w:color="auto" w:fill="auto"/>
            <w:noWrap/>
            <w:vAlign w:val="center"/>
          </w:tcPr>
          <w:p>
            <w:pPr>
              <w:widowControl/>
              <w:spacing w:line="240" w:lineRule="auto"/>
              <w:ind w:firstLine="422"/>
              <w:jc w:val="center"/>
              <w:rPr>
                <w:b/>
                <w:bCs/>
                <w:kern w:val="0"/>
                <w:sz w:val="21"/>
                <w:szCs w:val="21"/>
              </w:rPr>
            </w:pPr>
            <w:r>
              <w:rPr>
                <w:b/>
                <w:bCs/>
                <w:kern w:val="0"/>
                <w:sz w:val="21"/>
                <w:szCs w:val="21"/>
              </w:rPr>
              <w:t>荣誉名称</w:t>
            </w:r>
          </w:p>
        </w:tc>
        <w:tc>
          <w:tcPr>
            <w:tcW w:w="646" w:type="pct"/>
            <w:shd w:val="clear" w:color="auto" w:fill="auto"/>
            <w:noWrap/>
            <w:vAlign w:val="center"/>
          </w:tcPr>
          <w:p>
            <w:pPr>
              <w:widowControl/>
              <w:spacing w:line="240" w:lineRule="auto"/>
              <w:rPr>
                <w:b/>
                <w:bCs/>
                <w:kern w:val="0"/>
                <w:sz w:val="21"/>
                <w:szCs w:val="21"/>
              </w:rPr>
            </w:pPr>
            <w:r>
              <w:rPr>
                <w:b/>
                <w:bCs/>
                <w:kern w:val="0"/>
                <w:sz w:val="21"/>
                <w:szCs w:val="21"/>
              </w:rPr>
              <w:t>获奖时间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615" w:type="pct"/>
            <w:shd w:val="clear" w:color="auto" w:fill="auto"/>
            <w:noWrap/>
            <w:vAlign w:val="center"/>
          </w:tcPr>
          <w:p>
            <w:pPr>
              <w:widowControl/>
              <w:spacing w:line="240" w:lineRule="auto"/>
              <w:jc w:val="center"/>
              <w:rPr>
                <w:kern w:val="0"/>
                <w:sz w:val="21"/>
                <w:szCs w:val="21"/>
              </w:rPr>
            </w:pPr>
            <w:r>
              <w:rPr>
                <w:kern w:val="0"/>
                <w:sz w:val="21"/>
                <w:szCs w:val="21"/>
              </w:rPr>
              <w:t>袁赫阳</w:t>
            </w:r>
          </w:p>
        </w:tc>
        <w:tc>
          <w:tcPr>
            <w:tcW w:w="501" w:type="pct"/>
            <w:shd w:val="clear" w:color="auto" w:fill="auto"/>
            <w:noWrap/>
            <w:vAlign w:val="center"/>
          </w:tcPr>
          <w:p>
            <w:pPr>
              <w:widowControl/>
              <w:spacing w:line="240" w:lineRule="auto"/>
              <w:jc w:val="center"/>
              <w:rPr>
                <w:kern w:val="0"/>
                <w:sz w:val="21"/>
                <w:szCs w:val="21"/>
              </w:rPr>
            </w:pPr>
            <w:r>
              <w:rPr>
                <w:kern w:val="0"/>
                <w:sz w:val="21"/>
                <w:szCs w:val="21"/>
              </w:rPr>
              <w:t>2021级</w:t>
            </w:r>
          </w:p>
        </w:tc>
        <w:tc>
          <w:tcPr>
            <w:tcW w:w="486" w:type="pct"/>
            <w:shd w:val="clear" w:color="auto" w:fill="auto"/>
            <w:noWrap/>
            <w:vAlign w:val="center"/>
          </w:tcPr>
          <w:p>
            <w:pPr>
              <w:widowControl/>
              <w:spacing w:line="240" w:lineRule="auto"/>
              <w:jc w:val="center"/>
              <w:rPr>
                <w:kern w:val="0"/>
                <w:sz w:val="21"/>
                <w:szCs w:val="21"/>
              </w:rPr>
            </w:pPr>
            <w:r>
              <w:rPr>
                <w:kern w:val="0"/>
                <w:sz w:val="21"/>
                <w:szCs w:val="21"/>
              </w:rPr>
              <w:t>省级</w:t>
            </w:r>
          </w:p>
        </w:tc>
        <w:tc>
          <w:tcPr>
            <w:tcW w:w="2752" w:type="pct"/>
            <w:shd w:val="clear" w:color="auto" w:fill="auto"/>
            <w:noWrap/>
            <w:vAlign w:val="center"/>
          </w:tcPr>
          <w:p>
            <w:pPr>
              <w:spacing w:line="240" w:lineRule="auto"/>
              <w:rPr>
                <w:kern w:val="0"/>
                <w:sz w:val="21"/>
                <w:szCs w:val="21"/>
              </w:rPr>
            </w:pPr>
            <w:r>
              <w:rPr>
                <w:kern w:val="0"/>
                <w:sz w:val="21"/>
                <w:szCs w:val="21"/>
              </w:rPr>
              <w:t>第八届山东省</w:t>
            </w:r>
            <w:r>
              <w:rPr>
                <w:rFonts w:hint="eastAsia"/>
                <w:kern w:val="0"/>
                <w:sz w:val="21"/>
                <w:szCs w:val="21"/>
              </w:rPr>
              <w:t>“</w:t>
            </w:r>
            <w:r>
              <w:rPr>
                <w:kern w:val="0"/>
                <w:sz w:val="21"/>
                <w:szCs w:val="21"/>
              </w:rPr>
              <w:t>互联网+</w:t>
            </w:r>
            <w:r>
              <w:rPr>
                <w:rFonts w:hint="eastAsia"/>
                <w:kern w:val="0"/>
                <w:sz w:val="21"/>
                <w:szCs w:val="21"/>
              </w:rPr>
              <w:t>”</w:t>
            </w:r>
            <w:r>
              <w:rPr>
                <w:kern w:val="0"/>
                <w:sz w:val="21"/>
                <w:szCs w:val="21"/>
              </w:rPr>
              <w:t>大学生创新创业大赛一等奖</w:t>
            </w:r>
          </w:p>
        </w:tc>
        <w:tc>
          <w:tcPr>
            <w:tcW w:w="646" w:type="pct"/>
            <w:shd w:val="clear" w:color="auto" w:fill="auto"/>
            <w:noWrap/>
            <w:vAlign w:val="center"/>
          </w:tcPr>
          <w:p>
            <w:pPr>
              <w:widowControl/>
              <w:spacing w:line="240" w:lineRule="auto"/>
              <w:jc w:val="center"/>
              <w:rPr>
                <w:kern w:val="0"/>
                <w:sz w:val="21"/>
                <w:szCs w:val="21"/>
              </w:rPr>
            </w:pPr>
            <w:r>
              <w:rPr>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615" w:type="pct"/>
            <w:shd w:val="clear" w:color="auto" w:fill="auto"/>
            <w:noWrap/>
            <w:vAlign w:val="center"/>
          </w:tcPr>
          <w:p>
            <w:pPr>
              <w:widowControl/>
              <w:spacing w:line="240" w:lineRule="auto"/>
              <w:jc w:val="center"/>
              <w:rPr>
                <w:kern w:val="0"/>
                <w:sz w:val="21"/>
                <w:szCs w:val="21"/>
              </w:rPr>
            </w:pPr>
            <w:r>
              <w:rPr>
                <w:kern w:val="0"/>
                <w:sz w:val="21"/>
                <w:szCs w:val="21"/>
              </w:rPr>
              <w:t>孔紫莹</w:t>
            </w:r>
          </w:p>
        </w:tc>
        <w:tc>
          <w:tcPr>
            <w:tcW w:w="501" w:type="pct"/>
            <w:shd w:val="clear" w:color="auto" w:fill="auto"/>
            <w:noWrap/>
            <w:vAlign w:val="center"/>
          </w:tcPr>
          <w:p>
            <w:pPr>
              <w:widowControl/>
              <w:spacing w:line="240" w:lineRule="auto"/>
              <w:jc w:val="center"/>
              <w:rPr>
                <w:kern w:val="0"/>
                <w:sz w:val="21"/>
                <w:szCs w:val="21"/>
              </w:rPr>
            </w:pPr>
            <w:r>
              <w:rPr>
                <w:kern w:val="0"/>
                <w:sz w:val="21"/>
                <w:szCs w:val="21"/>
              </w:rPr>
              <w:t>2021级</w:t>
            </w:r>
          </w:p>
        </w:tc>
        <w:tc>
          <w:tcPr>
            <w:tcW w:w="486" w:type="pct"/>
            <w:shd w:val="clear" w:color="auto" w:fill="auto"/>
            <w:noWrap/>
            <w:vAlign w:val="center"/>
          </w:tcPr>
          <w:p>
            <w:pPr>
              <w:widowControl/>
              <w:spacing w:line="240" w:lineRule="auto"/>
              <w:jc w:val="center"/>
              <w:rPr>
                <w:kern w:val="0"/>
                <w:sz w:val="21"/>
                <w:szCs w:val="21"/>
              </w:rPr>
            </w:pPr>
            <w:r>
              <w:rPr>
                <w:kern w:val="0"/>
                <w:sz w:val="21"/>
                <w:szCs w:val="21"/>
              </w:rPr>
              <w:t>省级</w:t>
            </w:r>
          </w:p>
        </w:tc>
        <w:tc>
          <w:tcPr>
            <w:tcW w:w="2752" w:type="pct"/>
            <w:shd w:val="clear" w:color="auto" w:fill="auto"/>
            <w:noWrap/>
            <w:vAlign w:val="center"/>
          </w:tcPr>
          <w:p>
            <w:pPr>
              <w:spacing w:line="240" w:lineRule="auto"/>
              <w:rPr>
                <w:kern w:val="0"/>
                <w:sz w:val="21"/>
                <w:szCs w:val="21"/>
              </w:rPr>
            </w:pPr>
            <w:r>
              <w:rPr>
                <w:kern w:val="0"/>
                <w:sz w:val="21"/>
                <w:szCs w:val="21"/>
              </w:rPr>
              <w:t>第八届山东省</w:t>
            </w:r>
            <w:r>
              <w:rPr>
                <w:rFonts w:hint="eastAsia"/>
                <w:kern w:val="0"/>
                <w:sz w:val="21"/>
                <w:szCs w:val="21"/>
              </w:rPr>
              <w:t>“</w:t>
            </w:r>
            <w:r>
              <w:rPr>
                <w:kern w:val="0"/>
                <w:sz w:val="21"/>
                <w:szCs w:val="21"/>
              </w:rPr>
              <w:t>互联网+</w:t>
            </w:r>
            <w:r>
              <w:rPr>
                <w:rFonts w:hint="eastAsia"/>
                <w:kern w:val="0"/>
                <w:sz w:val="21"/>
                <w:szCs w:val="21"/>
              </w:rPr>
              <w:t>”</w:t>
            </w:r>
            <w:r>
              <w:rPr>
                <w:kern w:val="0"/>
                <w:sz w:val="21"/>
                <w:szCs w:val="21"/>
              </w:rPr>
              <w:t>大学生创新创业大赛一等奖</w:t>
            </w:r>
          </w:p>
        </w:tc>
        <w:tc>
          <w:tcPr>
            <w:tcW w:w="646" w:type="pct"/>
            <w:shd w:val="clear" w:color="auto" w:fill="auto"/>
            <w:noWrap/>
            <w:vAlign w:val="center"/>
          </w:tcPr>
          <w:p>
            <w:pPr>
              <w:widowControl/>
              <w:spacing w:line="240" w:lineRule="auto"/>
              <w:jc w:val="center"/>
              <w:rPr>
                <w:kern w:val="0"/>
                <w:sz w:val="21"/>
                <w:szCs w:val="21"/>
              </w:rPr>
            </w:pPr>
            <w:r>
              <w:rPr>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615" w:type="pct"/>
            <w:vAlign w:val="center"/>
          </w:tcPr>
          <w:p>
            <w:pPr>
              <w:widowControl/>
              <w:spacing w:line="240" w:lineRule="auto"/>
              <w:jc w:val="center"/>
              <w:rPr>
                <w:kern w:val="0"/>
                <w:sz w:val="21"/>
                <w:szCs w:val="21"/>
              </w:rPr>
            </w:pPr>
            <w:r>
              <w:rPr>
                <w:kern w:val="0"/>
                <w:sz w:val="21"/>
                <w:szCs w:val="21"/>
              </w:rPr>
              <w:t>邢吉龙</w:t>
            </w:r>
          </w:p>
        </w:tc>
        <w:tc>
          <w:tcPr>
            <w:tcW w:w="501" w:type="pct"/>
            <w:vAlign w:val="center"/>
          </w:tcPr>
          <w:p>
            <w:pPr>
              <w:widowControl/>
              <w:spacing w:line="240" w:lineRule="auto"/>
              <w:jc w:val="center"/>
              <w:rPr>
                <w:kern w:val="0"/>
                <w:sz w:val="21"/>
                <w:szCs w:val="21"/>
              </w:rPr>
            </w:pPr>
            <w:r>
              <w:rPr>
                <w:kern w:val="0"/>
                <w:sz w:val="21"/>
                <w:szCs w:val="21"/>
              </w:rPr>
              <w:t>2020级</w:t>
            </w:r>
          </w:p>
        </w:tc>
        <w:tc>
          <w:tcPr>
            <w:tcW w:w="486" w:type="pct"/>
            <w:vAlign w:val="center"/>
          </w:tcPr>
          <w:p>
            <w:pPr>
              <w:widowControl/>
              <w:spacing w:line="240" w:lineRule="auto"/>
              <w:jc w:val="center"/>
              <w:rPr>
                <w:kern w:val="0"/>
                <w:sz w:val="21"/>
                <w:szCs w:val="21"/>
              </w:rPr>
            </w:pPr>
            <w:r>
              <w:rPr>
                <w:kern w:val="0"/>
                <w:sz w:val="21"/>
                <w:szCs w:val="21"/>
              </w:rPr>
              <w:t>省级</w:t>
            </w:r>
          </w:p>
        </w:tc>
        <w:tc>
          <w:tcPr>
            <w:tcW w:w="2752" w:type="pct"/>
            <w:shd w:val="clear" w:color="auto" w:fill="auto"/>
            <w:noWrap/>
            <w:vAlign w:val="center"/>
          </w:tcPr>
          <w:p>
            <w:pPr>
              <w:widowControl/>
              <w:spacing w:line="240" w:lineRule="auto"/>
              <w:rPr>
                <w:kern w:val="0"/>
                <w:sz w:val="21"/>
                <w:szCs w:val="21"/>
              </w:rPr>
            </w:pPr>
            <w:r>
              <w:rPr>
                <w:kern w:val="0"/>
                <w:sz w:val="21"/>
                <w:szCs w:val="21"/>
              </w:rPr>
              <w:t>第八届山东农业大学</w:t>
            </w:r>
            <w:r>
              <w:rPr>
                <w:rFonts w:hint="eastAsia"/>
                <w:kern w:val="0"/>
                <w:sz w:val="21"/>
                <w:szCs w:val="21"/>
              </w:rPr>
              <w:t>“</w:t>
            </w:r>
            <w:r>
              <w:rPr>
                <w:kern w:val="0"/>
                <w:sz w:val="21"/>
                <w:szCs w:val="21"/>
              </w:rPr>
              <w:t>互联网+</w:t>
            </w:r>
            <w:r>
              <w:rPr>
                <w:rFonts w:hint="eastAsia"/>
                <w:kern w:val="0"/>
                <w:sz w:val="21"/>
                <w:szCs w:val="21"/>
              </w:rPr>
              <w:t>”</w:t>
            </w:r>
            <w:r>
              <w:rPr>
                <w:kern w:val="0"/>
                <w:sz w:val="21"/>
                <w:szCs w:val="21"/>
              </w:rPr>
              <w:t>大学生创新创业大赛一等奖</w:t>
            </w:r>
          </w:p>
        </w:tc>
        <w:tc>
          <w:tcPr>
            <w:tcW w:w="646" w:type="pct"/>
            <w:vAlign w:val="center"/>
          </w:tcPr>
          <w:p>
            <w:pPr>
              <w:widowControl/>
              <w:spacing w:line="240" w:lineRule="auto"/>
              <w:jc w:val="center"/>
              <w:rPr>
                <w:kern w:val="0"/>
                <w:sz w:val="21"/>
                <w:szCs w:val="21"/>
              </w:rPr>
            </w:pPr>
            <w:r>
              <w:rPr>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615" w:type="pct"/>
            <w:vAlign w:val="center"/>
          </w:tcPr>
          <w:p>
            <w:pPr>
              <w:widowControl/>
              <w:spacing w:line="240" w:lineRule="auto"/>
              <w:jc w:val="center"/>
              <w:rPr>
                <w:kern w:val="0"/>
                <w:sz w:val="21"/>
                <w:szCs w:val="21"/>
              </w:rPr>
            </w:pPr>
            <w:r>
              <w:rPr>
                <w:kern w:val="0"/>
                <w:sz w:val="21"/>
                <w:szCs w:val="21"/>
              </w:rPr>
              <w:t>姬</w:t>
            </w:r>
            <w:r>
              <w:rPr>
                <w:rFonts w:hint="eastAsia"/>
                <w:kern w:val="0"/>
                <w:sz w:val="21"/>
                <w:szCs w:val="21"/>
              </w:rPr>
              <w:t xml:space="preserve">  </w:t>
            </w:r>
            <w:r>
              <w:rPr>
                <w:kern w:val="0"/>
                <w:sz w:val="21"/>
                <w:szCs w:val="21"/>
              </w:rPr>
              <w:t>瑞</w:t>
            </w:r>
          </w:p>
        </w:tc>
        <w:tc>
          <w:tcPr>
            <w:tcW w:w="501" w:type="pct"/>
            <w:vAlign w:val="center"/>
          </w:tcPr>
          <w:p>
            <w:pPr>
              <w:widowControl/>
              <w:spacing w:line="240" w:lineRule="auto"/>
              <w:jc w:val="center"/>
              <w:rPr>
                <w:kern w:val="0"/>
                <w:sz w:val="21"/>
                <w:szCs w:val="21"/>
              </w:rPr>
            </w:pPr>
            <w:r>
              <w:rPr>
                <w:kern w:val="0"/>
                <w:sz w:val="21"/>
                <w:szCs w:val="21"/>
              </w:rPr>
              <w:t>2019级</w:t>
            </w:r>
          </w:p>
        </w:tc>
        <w:tc>
          <w:tcPr>
            <w:tcW w:w="486" w:type="pct"/>
            <w:vAlign w:val="center"/>
          </w:tcPr>
          <w:p>
            <w:pPr>
              <w:widowControl/>
              <w:spacing w:line="240" w:lineRule="auto"/>
              <w:jc w:val="center"/>
              <w:rPr>
                <w:kern w:val="0"/>
                <w:sz w:val="21"/>
                <w:szCs w:val="21"/>
              </w:rPr>
            </w:pPr>
            <w:r>
              <w:rPr>
                <w:kern w:val="0"/>
                <w:sz w:val="21"/>
                <w:szCs w:val="21"/>
              </w:rPr>
              <w:t>国家级</w:t>
            </w:r>
          </w:p>
        </w:tc>
        <w:tc>
          <w:tcPr>
            <w:tcW w:w="2752" w:type="pct"/>
            <w:shd w:val="clear" w:color="auto" w:fill="auto"/>
            <w:noWrap/>
            <w:vAlign w:val="center"/>
          </w:tcPr>
          <w:p>
            <w:pPr>
              <w:widowControl/>
              <w:spacing w:line="240" w:lineRule="auto"/>
              <w:rPr>
                <w:kern w:val="0"/>
                <w:sz w:val="21"/>
                <w:szCs w:val="21"/>
              </w:rPr>
            </w:pPr>
            <w:r>
              <w:rPr>
                <w:kern w:val="0"/>
                <w:sz w:val="21"/>
                <w:szCs w:val="21"/>
              </w:rPr>
              <w:t>全国大学生生命科学竞赛（2022，创新创业类）</w:t>
            </w:r>
          </w:p>
        </w:tc>
        <w:tc>
          <w:tcPr>
            <w:tcW w:w="646" w:type="pct"/>
            <w:vAlign w:val="center"/>
          </w:tcPr>
          <w:p>
            <w:pPr>
              <w:widowControl/>
              <w:spacing w:line="240" w:lineRule="auto"/>
              <w:jc w:val="center"/>
              <w:rPr>
                <w:kern w:val="0"/>
                <w:sz w:val="21"/>
                <w:szCs w:val="21"/>
              </w:rPr>
            </w:pPr>
            <w:r>
              <w:rPr>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615" w:type="pct"/>
            <w:vAlign w:val="center"/>
          </w:tcPr>
          <w:p>
            <w:pPr>
              <w:widowControl/>
              <w:spacing w:line="240" w:lineRule="auto"/>
              <w:jc w:val="center"/>
              <w:rPr>
                <w:kern w:val="0"/>
                <w:sz w:val="21"/>
                <w:szCs w:val="21"/>
              </w:rPr>
            </w:pPr>
            <w:r>
              <w:rPr>
                <w:kern w:val="0"/>
                <w:sz w:val="21"/>
                <w:szCs w:val="21"/>
              </w:rPr>
              <w:t>张莉汶</w:t>
            </w:r>
          </w:p>
        </w:tc>
        <w:tc>
          <w:tcPr>
            <w:tcW w:w="501" w:type="pct"/>
            <w:vAlign w:val="center"/>
          </w:tcPr>
          <w:p>
            <w:pPr>
              <w:widowControl/>
              <w:spacing w:line="240" w:lineRule="auto"/>
              <w:jc w:val="center"/>
              <w:rPr>
                <w:kern w:val="0"/>
                <w:sz w:val="21"/>
                <w:szCs w:val="21"/>
              </w:rPr>
            </w:pPr>
            <w:r>
              <w:rPr>
                <w:kern w:val="0"/>
                <w:sz w:val="21"/>
                <w:szCs w:val="21"/>
              </w:rPr>
              <w:t>2019级</w:t>
            </w:r>
          </w:p>
        </w:tc>
        <w:tc>
          <w:tcPr>
            <w:tcW w:w="486" w:type="pct"/>
            <w:vAlign w:val="center"/>
          </w:tcPr>
          <w:p>
            <w:pPr>
              <w:widowControl/>
              <w:spacing w:line="240" w:lineRule="auto"/>
              <w:jc w:val="center"/>
              <w:rPr>
                <w:kern w:val="0"/>
                <w:sz w:val="21"/>
                <w:szCs w:val="21"/>
              </w:rPr>
            </w:pPr>
            <w:r>
              <w:rPr>
                <w:kern w:val="0"/>
                <w:sz w:val="21"/>
                <w:szCs w:val="21"/>
              </w:rPr>
              <w:t>国家级</w:t>
            </w:r>
          </w:p>
        </w:tc>
        <w:tc>
          <w:tcPr>
            <w:tcW w:w="2752" w:type="pct"/>
            <w:shd w:val="clear" w:color="auto" w:fill="auto"/>
            <w:noWrap/>
            <w:vAlign w:val="center"/>
          </w:tcPr>
          <w:p>
            <w:pPr>
              <w:widowControl/>
              <w:spacing w:line="240" w:lineRule="auto"/>
              <w:rPr>
                <w:kern w:val="0"/>
                <w:sz w:val="21"/>
                <w:szCs w:val="21"/>
              </w:rPr>
            </w:pPr>
            <w:r>
              <w:rPr>
                <w:kern w:val="0"/>
                <w:sz w:val="21"/>
                <w:szCs w:val="21"/>
              </w:rPr>
              <w:t>全国大学生生命科学竞赛（2022，创新创业类）</w:t>
            </w:r>
          </w:p>
        </w:tc>
        <w:tc>
          <w:tcPr>
            <w:tcW w:w="646" w:type="pct"/>
            <w:vAlign w:val="center"/>
          </w:tcPr>
          <w:p>
            <w:pPr>
              <w:widowControl/>
              <w:spacing w:line="240" w:lineRule="auto"/>
              <w:jc w:val="center"/>
              <w:rPr>
                <w:kern w:val="0"/>
                <w:sz w:val="21"/>
                <w:szCs w:val="21"/>
              </w:rPr>
            </w:pPr>
            <w:r>
              <w:rPr>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615" w:type="pct"/>
            <w:vAlign w:val="center"/>
          </w:tcPr>
          <w:p>
            <w:pPr>
              <w:widowControl/>
              <w:spacing w:line="240" w:lineRule="auto"/>
              <w:jc w:val="center"/>
              <w:rPr>
                <w:kern w:val="0"/>
                <w:sz w:val="21"/>
                <w:szCs w:val="21"/>
              </w:rPr>
            </w:pPr>
            <w:r>
              <w:rPr>
                <w:kern w:val="0"/>
                <w:sz w:val="21"/>
                <w:szCs w:val="21"/>
              </w:rPr>
              <w:t>王</w:t>
            </w:r>
            <w:r>
              <w:rPr>
                <w:rFonts w:hint="eastAsia"/>
                <w:kern w:val="0"/>
                <w:sz w:val="21"/>
                <w:szCs w:val="21"/>
              </w:rPr>
              <w:t xml:space="preserve">  </w:t>
            </w:r>
            <w:r>
              <w:rPr>
                <w:kern w:val="0"/>
                <w:sz w:val="21"/>
                <w:szCs w:val="21"/>
              </w:rPr>
              <w:t>毅</w:t>
            </w:r>
          </w:p>
        </w:tc>
        <w:tc>
          <w:tcPr>
            <w:tcW w:w="501" w:type="pct"/>
            <w:vAlign w:val="center"/>
          </w:tcPr>
          <w:p>
            <w:pPr>
              <w:widowControl/>
              <w:spacing w:line="240" w:lineRule="auto"/>
              <w:jc w:val="center"/>
              <w:rPr>
                <w:kern w:val="0"/>
                <w:sz w:val="21"/>
                <w:szCs w:val="21"/>
              </w:rPr>
            </w:pPr>
            <w:r>
              <w:rPr>
                <w:kern w:val="0"/>
                <w:sz w:val="21"/>
                <w:szCs w:val="21"/>
              </w:rPr>
              <w:t>2019级</w:t>
            </w:r>
          </w:p>
        </w:tc>
        <w:tc>
          <w:tcPr>
            <w:tcW w:w="486" w:type="pct"/>
            <w:vAlign w:val="center"/>
          </w:tcPr>
          <w:p>
            <w:pPr>
              <w:widowControl/>
              <w:spacing w:line="240" w:lineRule="auto"/>
              <w:jc w:val="center"/>
              <w:rPr>
                <w:kern w:val="0"/>
                <w:sz w:val="21"/>
                <w:szCs w:val="21"/>
              </w:rPr>
            </w:pPr>
            <w:r>
              <w:rPr>
                <w:kern w:val="0"/>
                <w:sz w:val="21"/>
                <w:szCs w:val="21"/>
              </w:rPr>
              <w:t>省级</w:t>
            </w:r>
          </w:p>
        </w:tc>
        <w:tc>
          <w:tcPr>
            <w:tcW w:w="2752" w:type="pct"/>
            <w:shd w:val="clear" w:color="auto" w:fill="auto"/>
            <w:noWrap/>
            <w:vAlign w:val="center"/>
          </w:tcPr>
          <w:p>
            <w:pPr>
              <w:widowControl/>
              <w:spacing w:line="240" w:lineRule="auto"/>
              <w:rPr>
                <w:kern w:val="0"/>
                <w:sz w:val="21"/>
                <w:szCs w:val="21"/>
              </w:rPr>
            </w:pPr>
            <w:r>
              <w:rPr>
                <w:rFonts w:hint="eastAsia"/>
                <w:kern w:val="0"/>
                <w:sz w:val="21"/>
                <w:szCs w:val="21"/>
              </w:rPr>
              <w:t>“</w:t>
            </w:r>
            <w:r>
              <w:rPr>
                <w:kern w:val="0"/>
                <w:sz w:val="21"/>
                <w:szCs w:val="21"/>
              </w:rPr>
              <w:t>建行杯</w:t>
            </w:r>
            <w:r>
              <w:rPr>
                <w:rFonts w:hint="eastAsia"/>
                <w:kern w:val="0"/>
                <w:sz w:val="21"/>
                <w:szCs w:val="21"/>
              </w:rPr>
              <w:t>”</w:t>
            </w:r>
            <w:r>
              <w:rPr>
                <w:kern w:val="0"/>
                <w:sz w:val="21"/>
                <w:szCs w:val="21"/>
              </w:rPr>
              <w:t>第七届山东省</w:t>
            </w:r>
            <w:r>
              <w:rPr>
                <w:rFonts w:hint="eastAsia"/>
                <w:kern w:val="0"/>
                <w:sz w:val="21"/>
                <w:szCs w:val="21"/>
              </w:rPr>
              <w:t>“</w:t>
            </w:r>
            <w:r>
              <w:rPr>
                <w:kern w:val="0"/>
                <w:sz w:val="21"/>
                <w:szCs w:val="21"/>
              </w:rPr>
              <w:t>互联网+</w:t>
            </w:r>
            <w:r>
              <w:rPr>
                <w:rFonts w:hint="eastAsia"/>
                <w:kern w:val="0"/>
                <w:sz w:val="21"/>
                <w:szCs w:val="21"/>
              </w:rPr>
              <w:t>”</w:t>
            </w:r>
            <w:r>
              <w:rPr>
                <w:kern w:val="0"/>
                <w:sz w:val="21"/>
                <w:szCs w:val="21"/>
              </w:rPr>
              <w:t>大学生创新创业大赛省级银奖</w:t>
            </w:r>
          </w:p>
        </w:tc>
        <w:tc>
          <w:tcPr>
            <w:tcW w:w="646" w:type="pct"/>
            <w:vAlign w:val="center"/>
          </w:tcPr>
          <w:p>
            <w:pPr>
              <w:widowControl/>
              <w:spacing w:line="240" w:lineRule="auto"/>
              <w:jc w:val="center"/>
              <w:rPr>
                <w:kern w:val="0"/>
                <w:sz w:val="21"/>
                <w:szCs w:val="21"/>
              </w:rPr>
            </w:pPr>
            <w:r>
              <w:rPr>
                <w:kern w:val="0"/>
                <w:sz w:val="21"/>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615" w:type="pct"/>
            <w:vAlign w:val="center"/>
          </w:tcPr>
          <w:p>
            <w:pPr>
              <w:widowControl/>
              <w:spacing w:line="240" w:lineRule="auto"/>
              <w:jc w:val="center"/>
              <w:rPr>
                <w:kern w:val="0"/>
                <w:sz w:val="21"/>
                <w:szCs w:val="21"/>
              </w:rPr>
            </w:pPr>
            <w:r>
              <w:rPr>
                <w:kern w:val="0"/>
                <w:sz w:val="21"/>
                <w:szCs w:val="21"/>
              </w:rPr>
              <w:t>刘娅娴</w:t>
            </w:r>
          </w:p>
        </w:tc>
        <w:tc>
          <w:tcPr>
            <w:tcW w:w="501" w:type="pct"/>
            <w:vAlign w:val="center"/>
          </w:tcPr>
          <w:p>
            <w:pPr>
              <w:widowControl/>
              <w:spacing w:line="240" w:lineRule="auto"/>
              <w:jc w:val="center"/>
              <w:rPr>
                <w:kern w:val="0"/>
                <w:sz w:val="21"/>
                <w:szCs w:val="21"/>
              </w:rPr>
            </w:pPr>
            <w:r>
              <w:rPr>
                <w:kern w:val="0"/>
                <w:sz w:val="21"/>
                <w:szCs w:val="21"/>
              </w:rPr>
              <w:t>2019级</w:t>
            </w:r>
          </w:p>
        </w:tc>
        <w:tc>
          <w:tcPr>
            <w:tcW w:w="486" w:type="pct"/>
            <w:vAlign w:val="center"/>
          </w:tcPr>
          <w:p>
            <w:pPr>
              <w:widowControl/>
              <w:spacing w:line="240" w:lineRule="auto"/>
              <w:jc w:val="center"/>
              <w:rPr>
                <w:kern w:val="0"/>
                <w:sz w:val="21"/>
                <w:szCs w:val="21"/>
              </w:rPr>
            </w:pPr>
            <w:r>
              <w:rPr>
                <w:kern w:val="0"/>
                <w:sz w:val="21"/>
                <w:szCs w:val="21"/>
              </w:rPr>
              <w:t>省级</w:t>
            </w:r>
          </w:p>
        </w:tc>
        <w:tc>
          <w:tcPr>
            <w:tcW w:w="2752" w:type="pct"/>
            <w:shd w:val="clear" w:color="auto" w:fill="auto"/>
            <w:noWrap/>
            <w:vAlign w:val="center"/>
          </w:tcPr>
          <w:p>
            <w:pPr>
              <w:widowControl/>
              <w:spacing w:line="240" w:lineRule="auto"/>
              <w:rPr>
                <w:kern w:val="0"/>
                <w:sz w:val="21"/>
                <w:szCs w:val="21"/>
              </w:rPr>
            </w:pPr>
            <w:r>
              <w:rPr>
                <w:rFonts w:hint="eastAsia"/>
                <w:kern w:val="0"/>
                <w:sz w:val="21"/>
                <w:szCs w:val="21"/>
              </w:rPr>
              <w:t>“</w:t>
            </w:r>
            <w:r>
              <w:rPr>
                <w:kern w:val="0"/>
                <w:sz w:val="21"/>
                <w:szCs w:val="21"/>
              </w:rPr>
              <w:t>建行杯</w:t>
            </w:r>
            <w:r>
              <w:rPr>
                <w:rFonts w:hint="eastAsia"/>
                <w:kern w:val="0"/>
                <w:sz w:val="21"/>
                <w:szCs w:val="21"/>
              </w:rPr>
              <w:t>”</w:t>
            </w:r>
            <w:r>
              <w:rPr>
                <w:kern w:val="0"/>
                <w:sz w:val="21"/>
                <w:szCs w:val="21"/>
              </w:rPr>
              <w:t>第七届山东省</w:t>
            </w:r>
            <w:r>
              <w:rPr>
                <w:rFonts w:hint="eastAsia"/>
                <w:kern w:val="0"/>
                <w:sz w:val="21"/>
                <w:szCs w:val="21"/>
              </w:rPr>
              <w:t>“</w:t>
            </w:r>
            <w:r>
              <w:rPr>
                <w:kern w:val="0"/>
                <w:sz w:val="21"/>
                <w:szCs w:val="21"/>
              </w:rPr>
              <w:t>互联网+</w:t>
            </w:r>
            <w:r>
              <w:rPr>
                <w:rFonts w:hint="eastAsia"/>
                <w:kern w:val="0"/>
                <w:sz w:val="21"/>
                <w:szCs w:val="21"/>
              </w:rPr>
              <w:t>”</w:t>
            </w:r>
            <w:r>
              <w:rPr>
                <w:kern w:val="0"/>
                <w:sz w:val="21"/>
                <w:szCs w:val="21"/>
              </w:rPr>
              <w:t>大学生创新创业大赛省级铜奖</w:t>
            </w:r>
          </w:p>
        </w:tc>
        <w:tc>
          <w:tcPr>
            <w:tcW w:w="646" w:type="pct"/>
            <w:vAlign w:val="center"/>
          </w:tcPr>
          <w:p>
            <w:pPr>
              <w:widowControl/>
              <w:spacing w:line="240" w:lineRule="auto"/>
              <w:jc w:val="center"/>
              <w:rPr>
                <w:kern w:val="0"/>
                <w:sz w:val="21"/>
                <w:szCs w:val="21"/>
              </w:rPr>
            </w:pPr>
            <w:r>
              <w:rPr>
                <w:kern w:val="0"/>
                <w:sz w:val="21"/>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615" w:type="pct"/>
            <w:vAlign w:val="center"/>
          </w:tcPr>
          <w:p>
            <w:pPr>
              <w:widowControl/>
              <w:spacing w:line="240" w:lineRule="auto"/>
              <w:jc w:val="center"/>
              <w:rPr>
                <w:kern w:val="0"/>
                <w:sz w:val="21"/>
                <w:szCs w:val="21"/>
              </w:rPr>
            </w:pPr>
            <w:r>
              <w:rPr>
                <w:kern w:val="0"/>
                <w:sz w:val="21"/>
                <w:szCs w:val="21"/>
              </w:rPr>
              <w:t>徐</w:t>
            </w:r>
            <w:r>
              <w:rPr>
                <w:rFonts w:hint="eastAsia"/>
                <w:kern w:val="0"/>
                <w:sz w:val="21"/>
                <w:szCs w:val="21"/>
              </w:rPr>
              <w:t xml:space="preserve">  </w:t>
            </w:r>
            <w:r>
              <w:rPr>
                <w:kern w:val="0"/>
                <w:sz w:val="21"/>
                <w:szCs w:val="21"/>
              </w:rPr>
              <w:t>赫</w:t>
            </w:r>
          </w:p>
        </w:tc>
        <w:tc>
          <w:tcPr>
            <w:tcW w:w="501" w:type="pct"/>
            <w:vAlign w:val="center"/>
          </w:tcPr>
          <w:p>
            <w:pPr>
              <w:widowControl/>
              <w:spacing w:line="240" w:lineRule="auto"/>
              <w:jc w:val="center"/>
              <w:rPr>
                <w:kern w:val="0"/>
                <w:sz w:val="21"/>
                <w:szCs w:val="21"/>
              </w:rPr>
            </w:pPr>
            <w:r>
              <w:rPr>
                <w:kern w:val="0"/>
                <w:sz w:val="21"/>
                <w:szCs w:val="21"/>
              </w:rPr>
              <w:t>2019级</w:t>
            </w:r>
          </w:p>
        </w:tc>
        <w:tc>
          <w:tcPr>
            <w:tcW w:w="486" w:type="pct"/>
            <w:vAlign w:val="center"/>
          </w:tcPr>
          <w:p>
            <w:pPr>
              <w:widowControl/>
              <w:spacing w:line="240" w:lineRule="auto"/>
              <w:jc w:val="center"/>
              <w:rPr>
                <w:kern w:val="0"/>
                <w:sz w:val="21"/>
                <w:szCs w:val="21"/>
              </w:rPr>
            </w:pPr>
            <w:r>
              <w:rPr>
                <w:kern w:val="0"/>
                <w:sz w:val="21"/>
                <w:szCs w:val="21"/>
              </w:rPr>
              <w:t>省级</w:t>
            </w:r>
          </w:p>
        </w:tc>
        <w:tc>
          <w:tcPr>
            <w:tcW w:w="2752" w:type="pct"/>
            <w:shd w:val="clear" w:color="auto" w:fill="auto"/>
            <w:noWrap/>
            <w:vAlign w:val="center"/>
          </w:tcPr>
          <w:p>
            <w:pPr>
              <w:widowControl/>
              <w:spacing w:line="240" w:lineRule="auto"/>
              <w:rPr>
                <w:kern w:val="0"/>
                <w:sz w:val="21"/>
                <w:szCs w:val="21"/>
              </w:rPr>
            </w:pPr>
            <w:r>
              <w:rPr>
                <w:rFonts w:hint="eastAsia"/>
                <w:kern w:val="0"/>
                <w:sz w:val="21"/>
                <w:szCs w:val="21"/>
              </w:rPr>
              <w:t>“</w:t>
            </w:r>
            <w:r>
              <w:rPr>
                <w:kern w:val="0"/>
                <w:sz w:val="21"/>
                <w:szCs w:val="21"/>
              </w:rPr>
              <w:t>建行杯</w:t>
            </w:r>
            <w:r>
              <w:rPr>
                <w:rFonts w:hint="eastAsia"/>
                <w:kern w:val="0"/>
                <w:sz w:val="21"/>
                <w:szCs w:val="21"/>
              </w:rPr>
              <w:t>”</w:t>
            </w:r>
            <w:r>
              <w:rPr>
                <w:kern w:val="0"/>
                <w:sz w:val="21"/>
                <w:szCs w:val="21"/>
              </w:rPr>
              <w:t>第六届山东省</w:t>
            </w:r>
            <w:r>
              <w:rPr>
                <w:rFonts w:hint="eastAsia"/>
                <w:kern w:val="0"/>
                <w:sz w:val="21"/>
                <w:szCs w:val="21"/>
              </w:rPr>
              <w:t>“</w:t>
            </w:r>
            <w:r>
              <w:rPr>
                <w:kern w:val="0"/>
                <w:sz w:val="21"/>
                <w:szCs w:val="21"/>
              </w:rPr>
              <w:t>互联网+</w:t>
            </w:r>
            <w:r>
              <w:rPr>
                <w:rFonts w:hint="eastAsia"/>
                <w:kern w:val="0"/>
                <w:sz w:val="21"/>
                <w:szCs w:val="21"/>
              </w:rPr>
              <w:t>”</w:t>
            </w:r>
            <w:r>
              <w:rPr>
                <w:kern w:val="0"/>
                <w:sz w:val="21"/>
                <w:szCs w:val="21"/>
              </w:rPr>
              <w:t>大学生创新创业大赛省级银奖</w:t>
            </w:r>
          </w:p>
        </w:tc>
        <w:tc>
          <w:tcPr>
            <w:tcW w:w="646" w:type="pct"/>
            <w:vAlign w:val="center"/>
          </w:tcPr>
          <w:p>
            <w:pPr>
              <w:widowControl/>
              <w:spacing w:line="240" w:lineRule="auto"/>
              <w:jc w:val="center"/>
              <w:rPr>
                <w:kern w:val="0"/>
                <w:sz w:val="21"/>
                <w:szCs w:val="21"/>
              </w:rPr>
            </w:pPr>
            <w:r>
              <w:rPr>
                <w:kern w:val="0"/>
                <w:sz w:val="21"/>
                <w:szCs w:val="21"/>
              </w:rPr>
              <w:t>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615" w:type="pct"/>
            <w:vAlign w:val="center"/>
          </w:tcPr>
          <w:p>
            <w:pPr>
              <w:widowControl/>
              <w:spacing w:line="240" w:lineRule="auto"/>
              <w:jc w:val="center"/>
              <w:rPr>
                <w:kern w:val="0"/>
                <w:sz w:val="21"/>
                <w:szCs w:val="21"/>
              </w:rPr>
            </w:pPr>
            <w:r>
              <w:rPr>
                <w:kern w:val="0"/>
                <w:sz w:val="21"/>
                <w:szCs w:val="21"/>
              </w:rPr>
              <w:t>杜若男</w:t>
            </w:r>
          </w:p>
          <w:p>
            <w:pPr>
              <w:widowControl/>
              <w:spacing w:line="240" w:lineRule="auto"/>
              <w:jc w:val="center"/>
              <w:rPr>
                <w:kern w:val="0"/>
                <w:sz w:val="21"/>
                <w:szCs w:val="21"/>
              </w:rPr>
            </w:pPr>
            <w:r>
              <w:rPr>
                <w:kern w:val="0"/>
                <w:sz w:val="21"/>
                <w:szCs w:val="21"/>
              </w:rPr>
              <w:t>农尚健</w:t>
            </w:r>
          </w:p>
        </w:tc>
        <w:tc>
          <w:tcPr>
            <w:tcW w:w="501" w:type="pct"/>
            <w:vAlign w:val="center"/>
          </w:tcPr>
          <w:p>
            <w:pPr>
              <w:widowControl/>
              <w:spacing w:line="240" w:lineRule="auto"/>
              <w:jc w:val="center"/>
              <w:rPr>
                <w:kern w:val="0"/>
                <w:sz w:val="21"/>
                <w:szCs w:val="21"/>
              </w:rPr>
            </w:pPr>
            <w:r>
              <w:rPr>
                <w:kern w:val="0"/>
                <w:sz w:val="21"/>
                <w:szCs w:val="21"/>
              </w:rPr>
              <w:t>2018级</w:t>
            </w:r>
          </w:p>
        </w:tc>
        <w:tc>
          <w:tcPr>
            <w:tcW w:w="486" w:type="pct"/>
            <w:vAlign w:val="center"/>
          </w:tcPr>
          <w:p>
            <w:pPr>
              <w:widowControl/>
              <w:spacing w:line="240" w:lineRule="auto"/>
              <w:jc w:val="center"/>
              <w:rPr>
                <w:kern w:val="0"/>
                <w:sz w:val="21"/>
                <w:szCs w:val="21"/>
              </w:rPr>
            </w:pPr>
            <w:r>
              <w:rPr>
                <w:kern w:val="0"/>
                <w:sz w:val="21"/>
                <w:szCs w:val="21"/>
              </w:rPr>
              <w:t>省级</w:t>
            </w:r>
          </w:p>
        </w:tc>
        <w:tc>
          <w:tcPr>
            <w:tcW w:w="2752" w:type="pct"/>
            <w:shd w:val="clear" w:color="auto" w:fill="auto"/>
            <w:noWrap/>
            <w:vAlign w:val="center"/>
          </w:tcPr>
          <w:p>
            <w:pPr>
              <w:widowControl/>
              <w:spacing w:line="240" w:lineRule="auto"/>
              <w:rPr>
                <w:kern w:val="0"/>
                <w:sz w:val="21"/>
                <w:szCs w:val="21"/>
              </w:rPr>
            </w:pPr>
            <w:r>
              <w:rPr>
                <w:rFonts w:hint="eastAsia"/>
                <w:kern w:val="0"/>
                <w:sz w:val="21"/>
                <w:szCs w:val="21"/>
              </w:rPr>
              <w:t>“</w:t>
            </w:r>
            <w:r>
              <w:rPr>
                <w:kern w:val="0"/>
                <w:sz w:val="21"/>
                <w:szCs w:val="21"/>
              </w:rPr>
              <w:t>建行杯</w:t>
            </w:r>
            <w:r>
              <w:rPr>
                <w:rFonts w:hint="eastAsia"/>
                <w:kern w:val="0"/>
                <w:sz w:val="21"/>
                <w:szCs w:val="21"/>
              </w:rPr>
              <w:t>”</w:t>
            </w:r>
            <w:r>
              <w:rPr>
                <w:kern w:val="0"/>
                <w:sz w:val="21"/>
                <w:szCs w:val="21"/>
              </w:rPr>
              <w:t>第六届山东省</w:t>
            </w:r>
            <w:r>
              <w:rPr>
                <w:rFonts w:hint="eastAsia"/>
                <w:kern w:val="0"/>
                <w:sz w:val="21"/>
                <w:szCs w:val="21"/>
              </w:rPr>
              <w:t>“</w:t>
            </w:r>
            <w:r>
              <w:rPr>
                <w:kern w:val="0"/>
                <w:sz w:val="21"/>
                <w:szCs w:val="21"/>
              </w:rPr>
              <w:t>互联网+</w:t>
            </w:r>
            <w:r>
              <w:rPr>
                <w:rFonts w:hint="eastAsia"/>
                <w:kern w:val="0"/>
                <w:sz w:val="21"/>
                <w:szCs w:val="21"/>
              </w:rPr>
              <w:t>”</w:t>
            </w:r>
            <w:r>
              <w:rPr>
                <w:kern w:val="0"/>
                <w:sz w:val="21"/>
                <w:szCs w:val="21"/>
              </w:rPr>
              <w:t>大学生创新创业大赛二等奖</w:t>
            </w:r>
          </w:p>
        </w:tc>
        <w:tc>
          <w:tcPr>
            <w:tcW w:w="646" w:type="pct"/>
            <w:vAlign w:val="center"/>
          </w:tcPr>
          <w:p>
            <w:pPr>
              <w:widowControl/>
              <w:spacing w:line="240" w:lineRule="auto"/>
              <w:jc w:val="center"/>
              <w:rPr>
                <w:kern w:val="0"/>
                <w:sz w:val="21"/>
                <w:szCs w:val="21"/>
              </w:rPr>
            </w:pPr>
            <w:r>
              <w:rPr>
                <w:kern w:val="0"/>
                <w:sz w:val="21"/>
                <w:szCs w:val="21"/>
              </w:rPr>
              <w:t>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615" w:type="pct"/>
            <w:vAlign w:val="center"/>
          </w:tcPr>
          <w:p>
            <w:pPr>
              <w:widowControl/>
              <w:spacing w:line="240" w:lineRule="auto"/>
              <w:jc w:val="center"/>
              <w:rPr>
                <w:kern w:val="0"/>
                <w:sz w:val="21"/>
                <w:szCs w:val="21"/>
              </w:rPr>
            </w:pPr>
            <w:r>
              <w:rPr>
                <w:kern w:val="0"/>
                <w:sz w:val="21"/>
                <w:szCs w:val="21"/>
              </w:rPr>
              <w:t>吴文静</w:t>
            </w:r>
          </w:p>
          <w:p>
            <w:pPr>
              <w:widowControl/>
              <w:spacing w:line="240" w:lineRule="auto"/>
              <w:jc w:val="center"/>
              <w:rPr>
                <w:kern w:val="0"/>
                <w:sz w:val="21"/>
                <w:szCs w:val="21"/>
              </w:rPr>
            </w:pPr>
            <w:r>
              <w:rPr>
                <w:kern w:val="0"/>
                <w:sz w:val="21"/>
                <w:szCs w:val="21"/>
              </w:rPr>
              <w:t>冯慧馨</w:t>
            </w:r>
          </w:p>
          <w:p>
            <w:pPr>
              <w:widowControl/>
              <w:spacing w:line="240" w:lineRule="auto"/>
              <w:jc w:val="center"/>
              <w:rPr>
                <w:kern w:val="0"/>
                <w:sz w:val="21"/>
                <w:szCs w:val="21"/>
              </w:rPr>
            </w:pPr>
            <w:r>
              <w:rPr>
                <w:kern w:val="0"/>
                <w:sz w:val="21"/>
                <w:szCs w:val="21"/>
              </w:rPr>
              <w:t>徐</w:t>
            </w:r>
            <w:r>
              <w:rPr>
                <w:rFonts w:hint="eastAsia"/>
                <w:kern w:val="0"/>
                <w:sz w:val="21"/>
                <w:szCs w:val="21"/>
              </w:rPr>
              <w:t xml:space="preserve">  </w:t>
            </w:r>
            <w:r>
              <w:rPr>
                <w:kern w:val="0"/>
                <w:sz w:val="21"/>
                <w:szCs w:val="21"/>
              </w:rPr>
              <w:t>赞</w:t>
            </w:r>
          </w:p>
        </w:tc>
        <w:tc>
          <w:tcPr>
            <w:tcW w:w="501" w:type="pct"/>
            <w:vAlign w:val="center"/>
          </w:tcPr>
          <w:p>
            <w:pPr>
              <w:widowControl/>
              <w:spacing w:line="240" w:lineRule="auto"/>
              <w:jc w:val="center"/>
              <w:rPr>
                <w:kern w:val="0"/>
                <w:sz w:val="21"/>
                <w:szCs w:val="21"/>
              </w:rPr>
            </w:pPr>
            <w:r>
              <w:rPr>
                <w:kern w:val="0"/>
                <w:sz w:val="21"/>
                <w:szCs w:val="21"/>
              </w:rPr>
              <w:t>2018级</w:t>
            </w:r>
          </w:p>
        </w:tc>
        <w:tc>
          <w:tcPr>
            <w:tcW w:w="486" w:type="pct"/>
            <w:vAlign w:val="center"/>
          </w:tcPr>
          <w:p>
            <w:pPr>
              <w:widowControl/>
              <w:spacing w:line="240" w:lineRule="auto"/>
              <w:jc w:val="center"/>
              <w:rPr>
                <w:kern w:val="0"/>
                <w:sz w:val="21"/>
                <w:szCs w:val="21"/>
              </w:rPr>
            </w:pPr>
            <w:r>
              <w:rPr>
                <w:kern w:val="0"/>
                <w:sz w:val="21"/>
                <w:szCs w:val="21"/>
              </w:rPr>
              <w:t>省级</w:t>
            </w:r>
          </w:p>
        </w:tc>
        <w:tc>
          <w:tcPr>
            <w:tcW w:w="2752" w:type="pct"/>
            <w:shd w:val="clear" w:color="auto" w:fill="auto"/>
            <w:noWrap/>
            <w:vAlign w:val="center"/>
          </w:tcPr>
          <w:p>
            <w:pPr>
              <w:widowControl/>
              <w:spacing w:line="240" w:lineRule="auto"/>
              <w:rPr>
                <w:kern w:val="0"/>
                <w:sz w:val="21"/>
                <w:szCs w:val="21"/>
              </w:rPr>
            </w:pPr>
            <w:r>
              <w:rPr>
                <w:kern w:val="0"/>
                <w:sz w:val="21"/>
                <w:szCs w:val="21"/>
              </w:rPr>
              <w:t>第二届大学生昆虫创意作品设计大赛二等奖</w:t>
            </w:r>
          </w:p>
        </w:tc>
        <w:tc>
          <w:tcPr>
            <w:tcW w:w="646" w:type="pct"/>
            <w:vAlign w:val="center"/>
          </w:tcPr>
          <w:p>
            <w:pPr>
              <w:widowControl/>
              <w:spacing w:line="240" w:lineRule="auto"/>
              <w:jc w:val="center"/>
              <w:rPr>
                <w:kern w:val="0"/>
                <w:sz w:val="21"/>
                <w:szCs w:val="21"/>
              </w:rPr>
            </w:pPr>
            <w:r>
              <w:rPr>
                <w:kern w:val="0"/>
                <w:sz w:val="21"/>
                <w:szCs w:val="21"/>
              </w:rPr>
              <w:t>2019</w:t>
            </w:r>
          </w:p>
        </w:tc>
      </w:tr>
    </w:tbl>
    <w:p>
      <w:pPr>
        <w:pStyle w:val="5"/>
        <w:spacing w:before="93" w:after="93"/>
        <w:ind w:firstLine="560"/>
      </w:pPr>
      <w:r>
        <w:t>五、培养质量（毕业生就业率、就业专业对口率、毕业生发展情况、就业单位满意率、社会对专业的评价、学生就读该专业的意愿等）</w:t>
      </w:r>
    </w:p>
    <w:p>
      <w:pPr>
        <w:ind w:firstLine="480"/>
      </w:pPr>
      <w:r>
        <w:t>烟草本科专业2010年至2022年已有13届毕业生，考研率稳定在50%左右；毕业生就业率达95%以上，就业专业对口率达90%左右；2022年烟草专业共有毕业生31人，考研率74.19%，就业率100%。</w:t>
      </w:r>
    </w:p>
    <w:p>
      <w:pPr>
        <w:pStyle w:val="6"/>
        <w:ind w:firstLine="480"/>
      </w:pPr>
      <w:r>
        <w:t xml:space="preserve">1.毕业生生源结构 </w:t>
      </w:r>
    </w:p>
    <w:p>
      <w:pPr>
        <w:ind w:firstLine="480"/>
        <w:rPr>
          <w:szCs w:val="24"/>
        </w:rPr>
      </w:pPr>
      <w:r>
        <w:rPr>
          <w:szCs w:val="24"/>
        </w:rPr>
        <w:t>本专业 2022 届毕业生共计31人，其中男生17人，占54.84%，女生14人，占45.16%；省内生源8人，占25.81%，省外生源28人，占74.19%，省外生源主要集中在广西省、陕西省、河南省等。从民族结构看，2022届毕业生以汉族为主，共28人，占90.32%；少数民族共3人，占9.68%，为瑶族、壮族。</w:t>
      </w:r>
    </w:p>
    <w:p>
      <w:pPr>
        <w:widowControl/>
        <w:spacing w:line="240" w:lineRule="auto"/>
        <w:jc w:val="center"/>
        <w:rPr>
          <w:b/>
          <w:bCs/>
          <w:kern w:val="0"/>
          <w:sz w:val="21"/>
          <w:szCs w:val="21"/>
        </w:rPr>
      </w:pPr>
      <w:r>
        <w:rPr>
          <w:b/>
          <w:bCs/>
          <w:kern w:val="0"/>
          <w:sz w:val="21"/>
          <w:szCs w:val="21"/>
        </w:rPr>
        <w:t>表1毕业生生源情况统计表</w:t>
      </w:r>
    </w:p>
    <w:tbl>
      <w:tblPr>
        <w:tblStyle w:val="17"/>
        <w:tblW w:w="9060" w:type="dxa"/>
        <w:jc w:val="center"/>
        <w:tblLayout w:type="autofit"/>
        <w:tblCellMar>
          <w:top w:w="0" w:type="dxa"/>
          <w:left w:w="0" w:type="dxa"/>
          <w:bottom w:w="0" w:type="dxa"/>
          <w:right w:w="0" w:type="dxa"/>
        </w:tblCellMar>
      </w:tblPr>
      <w:tblGrid>
        <w:gridCol w:w="1125"/>
        <w:gridCol w:w="1110"/>
        <w:gridCol w:w="1140"/>
        <w:gridCol w:w="1185"/>
        <w:gridCol w:w="1170"/>
        <w:gridCol w:w="1140"/>
        <w:gridCol w:w="1080"/>
        <w:gridCol w:w="1110"/>
      </w:tblGrid>
      <w:tr>
        <w:tblPrEx>
          <w:tblCellMar>
            <w:top w:w="0" w:type="dxa"/>
            <w:left w:w="0" w:type="dxa"/>
            <w:bottom w:w="0" w:type="dxa"/>
            <w:right w:w="0" w:type="dxa"/>
          </w:tblCellMar>
        </w:tblPrEx>
        <w:trPr>
          <w:trHeight w:val="663" w:hRule="atLeast"/>
          <w:jc w:val="center"/>
        </w:trPr>
        <w:tc>
          <w:tcPr>
            <w:tcW w:w="11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rPr>
                <w:b/>
                <w:bCs/>
                <w:kern w:val="0"/>
                <w:sz w:val="21"/>
                <w:szCs w:val="21"/>
              </w:rPr>
            </w:pPr>
            <w:r>
              <w:rPr>
                <w:b/>
                <w:bCs/>
                <w:kern w:val="0"/>
                <w:sz w:val="21"/>
                <w:szCs w:val="21"/>
              </w:rPr>
              <w:t>专业名称</w:t>
            </w:r>
          </w:p>
        </w:tc>
        <w:tc>
          <w:tcPr>
            <w:tcW w:w="11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rPr>
                <w:b/>
                <w:bCs/>
                <w:kern w:val="0"/>
                <w:sz w:val="21"/>
                <w:szCs w:val="21"/>
              </w:rPr>
            </w:pPr>
            <w:r>
              <w:rPr>
                <w:b/>
                <w:bCs/>
                <w:kern w:val="0"/>
                <w:sz w:val="21"/>
                <w:szCs w:val="21"/>
              </w:rPr>
              <w:t>生源</w:t>
            </w:r>
          </w:p>
          <w:p>
            <w:pPr>
              <w:widowControl/>
              <w:spacing w:line="240" w:lineRule="auto"/>
              <w:jc w:val="center"/>
              <w:rPr>
                <w:b/>
                <w:bCs/>
                <w:kern w:val="0"/>
                <w:sz w:val="21"/>
                <w:szCs w:val="21"/>
              </w:rPr>
            </w:pPr>
            <w:r>
              <w:rPr>
                <w:b/>
                <w:bCs/>
                <w:kern w:val="0"/>
                <w:sz w:val="21"/>
                <w:szCs w:val="21"/>
              </w:rPr>
              <w:t>人数</w:t>
            </w:r>
          </w:p>
        </w:tc>
        <w:tc>
          <w:tcPr>
            <w:tcW w:w="114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rPr>
                <w:b/>
                <w:bCs/>
                <w:kern w:val="0"/>
                <w:sz w:val="21"/>
                <w:szCs w:val="21"/>
              </w:rPr>
            </w:pPr>
            <w:r>
              <w:rPr>
                <w:b/>
                <w:bCs/>
                <w:kern w:val="0"/>
                <w:sz w:val="21"/>
                <w:szCs w:val="21"/>
              </w:rPr>
              <w:t>男生数量</w:t>
            </w:r>
          </w:p>
          <w:p>
            <w:pPr>
              <w:widowControl/>
              <w:spacing w:line="240" w:lineRule="auto"/>
              <w:jc w:val="center"/>
              <w:rPr>
                <w:b/>
                <w:bCs/>
                <w:kern w:val="0"/>
                <w:sz w:val="21"/>
                <w:szCs w:val="21"/>
              </w:rPr>
            </w:pPr>
            <w:r>
              <w:rPr>
                <w:b/>
                <w:bCs/>
                <w:kern w:val="0"/>
                <w:sz w:val="21"/>
                <w:szCs w:val="21"/>
              </w:rPr>
              <w:t>（比例）</w:t>
            </w:r>
          </w:p>
        </w:tc>
        <w:tc>
          <w:tcPr>
            <w:tcW w:w="118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rPr>
                <w:b/>
                <w:bCs/>
                <w:kern w:val="0"/>
                <w:sz w:val="21"/>
                <w:szCs w:val="21"/>
              </w:rPr>
            </w:pPr>
            <w:r>
              <w:rPr>
                <w:b/>
                <w:bCs/>
                <w:kern w:val="0"/>
                <w:sz w:val="21"/>
                <w:szCs w:val="21"/>
              </w:rPr>
              <w:t>女生数量</w:t>
            </w:r>
          </w:p>
          <w:p>
            <w:pPr>
              <w:widowControl/>
              <w:spacing w:line="240" w:lineRule="auto"/>
              <w:jc w:val="center"/>
              <w:rPr>
                <w:b/>
                <w:bCs/>
                <w:kern w:val="0"/>
                <w:sz w:val="21"/>
                <w:szCs w:val="21"/>
              </w:rPr>
            </w:pPr>
            <w:r>
              <w:rPr>
                <w:b/>
                <w:bCs/>
                <w:kern w:val="0"/>
                <w:sz w:val="21"/>
                <w:szCs w:val="21"/>
              </w:rPr>
              <w:t>（比例）</w:t>
            </w:r>
          </w:p>
        </w:tc>
        <w:tc>
          <w:tcPr>
            <w:tcW w:w="117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rPr>
                <w:b/>
                <w:bCs/>
                <w:kern w:val="0"/>
                <w:sz w:val="21"/>
                <w:szCs w:val="21"/>
              </w:rPr>
            </w:pPr>
            <w:r>
              <w:rPr>
                <w:b/>
                <w:bCs/>
                <w:kern w:val="0"/>
                <w:sz w:val="21"/>
                <w:szCs w:val="21"/>
              </w:rPr>
              <w:t>省内人数</w:t>
            </w:r>
          </w:p>
          <w:p>
            <w:pPr>
              <w:widowControl/>
              <w:spacing w:line="240" w:lineRule="auto"/>
              <w:jc w:val="center"/>
              <w:rPr>
                <w:b/>
                <w:bCs/>
                <w:kern w:val="0"/>
                <w:sz w:val="21"/>
                <w:szCs w:val="21"/>
              </w:rPr>
            </w:pPr>
            <w:r>
              <w:rPr>
                <w:b/>
                <w:bCs/>
                <w:kern w:val="0"/>
                <w:sz w:val="21"/>
                <w:szCs w:val="21"/>
              </w:rPr>
              <w:t>（比例）</w:t>
            </w:r>
          </w:p>
        </w:tc>
        <w:tc>
          <w:tcPr>
            <w:tcW w:w="114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rPr>
                <w:b/>
                <w:bCs/>
                <w:kern w:val="0"/>
                <w:sz w:val="21"/>
                <w:szCs w:val="21"/>
              </w:rPr>
            </w:pPr>
            <w:r>
              <w:rPr>
                <w:b/>
                <w:bCs/>
                <w:kern w:val="0"/>
                <w:sz w:val="21"/>
                <w:szCs w:val="21"/>
              </w:rPr>
              <w:t>省外人数</w:t>
            </w:r>
          </w:p>
          <w:p>
            <w:pPr>
              <w:widowControl/>
              <w:spacing w:line="240" w:lineRule="auto"/>
              <w:jc w:val="center"/>
              <w:rPr>
                <w:b/>
                <w:bCs/>
                <w:kern w:val="0"/>
                <w:sz w:val="21"/>
                <w:szCs w:val="21"/>
              </w:rPr>
            </w:pPr>
            <w:r>
              <w:rPr>
                <w:b/>
                <w:bCs/>
                <w:kern w:val="0"/>
                <w:sz w:val="21"/>
                <w:szCs w:val="21"/>
              </w:rPr>
              <w:t>（比例）</w:t>
            </w:r>
          </w:p>
        </w:tc>
        <w:tc>
          <w:tcPr>
            <w:tcW w:w="108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rPr>
                <w:b/>
                <w:bCs/>
                <w:kern w:val="0"/>
                <w:sz w:val="21"/>
                <w:szCs w:val="21"/>
              </w:rPr>
            </w:pPr>
            <w:r>
              <w:rPr>
                <w:b/>
                <w:bCs/>
                <w:kern w:val="0"/>
                <w:sz w:val="21"/>
                <w:szCs w:val="21"/>
              </w:rPr>
              <w:t>汉族人数</w:t>
            </w:r>
          </w:p>
          <w:p>
            <w:pPr>
              <w:widowControl/>
              <w:spacing w:line="240" w:lineRule="auto"/>
              <w:jc w:val="center"/>
              <w:rPr>
                <w:b/>
                <w:bCs/>
                <w:kern w:val="0"/>
                <w:sz w:val="21"/>
                <w:szCs w:val="21"/>
              </w:rPr>
            </w:pPr>
            <w:r>
              <w:rPr>
                <w:b/>
                <w:bCs/>
                <w:kern w:val="0"/>
                <w:sz w:val="21"/>
                <w:szCs w:val="21"/>
              </w:rPr>
              <w:t>（比例）</w:t>
            </w:r>
          </w:p>
        </w:tc>
        <w:tc>
          <w:tcPr>
            <w:tcW w:w="1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rPr>
                <w:b/>
                <w:bCs/>
                <w:kern w:val="0"/>
                <w:sz w:val="21"/>
                <w:szCs w:val="21"/>
              </w:rPr>
            </w:pPr>
            <w:r>
              <w:rPr>
                <w:b/>
                <w:bCs/>
                <w:kern w:val="0"/>
                <w:sz w:val="21"/>
                <w:szCs w:val="21"/>
              </w:rPr>
              <w:t>少数民族</w:t>
            </w:r>
          </w:p>
          <w:p>
            <w:pPr>
              <w:widowControl/>
              <w:spacing w:line="240" w:lineRule="auto"/>
              <w:jc w:val="center"/>
              <w:rPr>
                <w:b/>
                <w:bCs/>
                <w:kern w:val="0"/>
                <w:sz w:val="21"/>
                <w:szCs w:val="21"/>
              </w:rPr>
            </w:pPr>
            <w:r>
              <w:rPr>
                <w:b/>
                <w:bCs/>
                <w:kern w:val="0"/>
                <w:sz w:val="21"/>
                <w:szCs w:val="21"/>
              </w:rPr>
              <w:t>（比例）</w:t>
            </w:r>
          </w:p>
        </w:tc>
      </w:tr>
      <w:tr>
        <w:tblPrEx>
          <w:tblCellMar>
            <w:top w:w="0" w:type="dxa"/>
            <w:left w:w="0" w:type="dxa"/>
            <w:bottom w:w="0" w:type="dxa"/>
            <w:right w:w="0" w:type="dxa"/>
          </w:tblCellMar>
        </w:tblPrEx>
        <w:trPr>
          <w:trHeight w:val="451" w:hRule="atLeast"/>
          <w:jc w:val="center"/>
        </w:trPr>
        <w:tc>
          <w:tcPr>
            <w:tcW w:w="11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rPr>
                <w:kern w:val="0"/>
                <w:sz w:val="21"/>
                <w:szCs w:val="21"/>
              </w:rPr>
            </w:pPr>
            <w:r>
              <w:rPr>
                <w:kern w:val="0"/>
                <w:sz w:val="21"/>
                <w:szCs w:val="21"/>
              </w:rPr>
              <w:t>烟草</w:t>
            </w:r>
          </w:p>
        </w:tc>
        <w:tc>
          <w:tcPr>
            <w:tcW w:w="11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rPr>
                <w:kern w:val="0"/>
                <w:sz w:val="21"/>
                <w:szCs w:val="21"/>
              </w:rPr>
            </w:pPr>
            <w:r>
              <w:rPr>
                <w:kern w:val="0"/>
                <w:sz w:val="21"/>
                <w:szCs w:val="21"/>
              </w:rPr>
              <w:t>(54.84%)</w:t>
            </w:r>
          </w:p>
        </w:tc>
        <w:tc>
          <w:tcPr>
            <w:tcW w:w="114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rPr>
                <w:kern w:val="0"/>
                <w:sz w:val="21"/>
                <w:szCs w:val="21"/>
              </w:rPr>
            </w:pPr>
            <w:r>
              <w:rPr>
                <w:kern w:val="0"/>
                <w:sz w:val="21"/>
                <w:szCs w:val="21"/>
              </w:rPr>
              <w:t>(45.16%)</w:t>
            </w:r>
          </w:p>
        </w:tc>
        <w:tc>
          <w:tcPr>
            <w:tcW w:w="118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rPr>
                <w:kern w:val="0"/>
                <w:sz w:val="21"/>
                <w:szCs w:val="21"/>
              </w:rPr>
            </w:pPr>
            <w:r>
              <w:rPr>
                <w:kern w:val="0"/>
                <w:sz w:val="21"/>
                <w:szCs w:val="21"/>
              </w:rPr>
              <w:t>(25.81%)</w:t>
            </w:r>
          </w:p>
        </w:tc>
        <w:tc>
          <w:tcPr>
            <w:tcW w:w="117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rPr>
                <w:kern w:val="0"/>
                <w:sz w:val="21"/>
                <w:szCs w:val="21"/>
              </w:rPr>
            </w:pPr>
            <w:r>
              <w:rPr>
                <w:kern w:val="0"/>
                <w:sz w:val="21"/>
                <w:szCs w:val="21"/>
              </w:rPr>
              <w:t>(74.19%)</w:t>
            </w:r>
          </w:p>
        </w:tc>
        <w:tc>
          <w:tcPr>
            <w:tcW w:w="114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rPr>
                <w:kern w:val="0"/>
                <w:sz w:val="21"/>
                <w:szCs w:val="21"/>
              </w:rPr>
            </w:pPr>
            <w:r>
              <w:rPr>
                <w:kern w:val="0"/>
                <w:sz w:val="21"/>
                <w:szCs w:val="21"/>
              </w:rPr>
              <w:t>(90.32%)</w:t>
            </w:r>
          </w:p>
        </w:tc>
        <w:tc>
          <w:tcPr>
            <w:tcW w:w="10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rPr>
                <w:kern w:val="0"/>
                <w:sz w:val="21"/>
                <w:szCs w:val="21"/>
              </w:rPr>
            </w:pPr>
            <w:r>
              <w:rPr>
                <w:kern w:val="0"/>
                <w:sz w:val="21"/>
                <w:szCs w:val="21"/>
              </w:rPr>
              <w:t>(9.68%)</w:t>
            </w:r>
          </w:p>
        </w:tc>
        <w:tc>
          <w:tcPr>
            <w:tcW w:w="111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rPr>
                <w:kern w:val="0"/>
                <w:sz w:val="21"/>
                <w:szCs w:val="21"/>
              </w:rPr>
            </w:pPr>
            <w:r>
              <w:rPr>
                <w:kern w:val="0"/>
                <w:sz w:val="21"/>
                <w:szCs w:val="21"/>
              </w:rPr>
              <w:t>(54.84%)</w:t>
            </w:r>
          </w:p>
        </w:tc>
      </w:tr>
    </w:tbl>
    <w:p>
      <w:pPr>
        <w:pStyle w:val="6"/>
        <w:ind w:firstLine="480"/>
      </w:pPr>
      <w:r>
        <w:t>2.毕业生就业情况</w:t>
      </w:r>
    </w:p>
    <w:p>
      <w:pPr>
        <w:ind w:firstLine="480"/>
        <w:rPr>
          <w:szCs w:val="24"/>
        </w:rPr>
      </w:pPr>
      <w:r>
        <w:rPr>
          <w:szCs w:val="24"/>
        </w:rPr>
        <w:t>截止2022年8月31日，毕业生就业31人，就业率为100%，其中男生17就业人，就业率为100%，女生就业14人，就业率为100%。毕业生留鲁就业15人，占已就业总人数的48.39%，其中到泰安城市就业人数最多，占48.39%。出省就业共16人，占51.61%，主要流向江苏省、北京市等省份。</w:t>
      </w:r>
    </w:p>
    <w:p>
      <w:pPr>
        <w:widowControl/>
        <w:spacing w:line="240" w:lineRule="auto"/>
        <w:jc w:val="center"/>
        <w:rPr>
          <w:b/>
          <w:bCs/>
          <w:kern w:val="0"/>
          <w:sz w:val="21"/>
          <w:szCs w:val="21"/>
        </w:rPr>
      </w:pPr>
      <w:r>
        <w:rPr>
          <w:b/>
          <w:bCs/>
          <w:kern w:val="0"/>
          <w:sz w:val="21"/>
          <w:szCs w:val="21"/>
        </w:rPr>
        <w:t>表 2毕业生整体就业情况统计表</w:t>
      </w:r>
    </w:p>
    <w:tbl>
      <w:tblPr>
        <w:tblStyle w:val="17"/>
        <w:tblW w:w="87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7"/>
        <w:gridCol w:w="1217"/>
        <w:gridCol w:w="1217"/>
        <w:gridCol w:w="1217"/>
        <w:gridCol w:w="1218"/>
        <w:gridCol w:w="1393"/>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vAlign w:val="center"/>
          </w:tcPr>
          <w:p>
            <w:pPr>
              <w:widowControl/>
              <w:spacing w:line="240" w:lineRule="auto"/>
              <w:jc w:val="center"/>
              <w:rPr>
                <w:b/>
                <w:bCs/>
                <w:kern w:val="0"/>
                <w:sz w:val="21"/>
                <w:szCs w:val="21"/>
              </w:rPr>
            </w:pPr>
            <w:r>
              <w:rPr>
                <w:b/>
                <w:bCs/>
                <w:kern w:val="0"/>
                <w:sz w:val="21"/>
                <w:szCs w:val="21"/>
              </w:rPr>
              <w:t>专业名称</w:t>
            </w:r>
          </w:p>
        </w:tc>
        <w:tc>
          <w:tcPr>
            <w:tcW w:w="1217" w:type="dxa"/>
            <w:vAlign w:val="center"/>
          </w:tcPr>
          <w:p>
            <w:pPr>
              <w:widowControl/>
              <w:spacing w:line="240" w:lineRule="auto"/>
              <w:jc w:val="center"/>
              <w:rPr>
                <w:b/>
                <w:bCs/>
                <w:kern w:val="0"/>
                <w:sz w:val="21"/>
                <w:szCs w:val="21"/>
              </w:rPr>
            </w:pPr>
            <w:r>
              <w:rPr>
                <w:b/>
                <w:bCs/>
                <w:kern w:val="0"/>
                <w:sz w:val="21"/>
                <w:szCs w:val="21"/>
              </w:rPr>
              <w:t>就业人数</w:t>
            </w:r>
          </w:p>
        </w:tc>
        <w:tc>
          <w:tcPr>
            <w:tcW w:w="1217" w:type="dxa"/>
            <w:vAlign w:val="center"/>
          </w:tcPr>
          <w:p>
            <w:pPr>
              <w:widowControl/>
              <w:spacing w:line="240" w:lineRule="auto"/>
              <w:jc w:val="center"/>
              <w:rPr>
                <w:b/>
                <w:bCs/>
                <w:kern w:val="0"/>
                <w:sz w:val="21"/>
                <w:szCs w:val="21"/>
              </w:rPr>
            </w:pPr>
            <w:r>
              <w:rPr>
                <w:b/>
                <w:bCs/>
                <w:kern w:val="0"/>
                <w:sz w:val="21"/>
                <w:szCs w:val="21"/>
              </w:rPr>
              <w:t>就业率</w:t>
            </w:r>
          </w:p>
        </w:tc>
        <w:tc>
          <w:tcPr>
            <w:tcW w:w="1217" w:type="dxa"/>
            <w:vAlign w:val="center"/>
          </w:tcPr>
          <w:p>
            <w:pPr>
              <w:widowControl/>
              <w:spacing w:line="240" w:lineRule="auto"/>
              <w:jc w:val="center"/>
              <w:rPr>
                <w:b/>
                <w:bCs/>
                <w:kern w:val="0"/>
                <w:sz w:val="21"/>
                <w:szCs w:val="21"/>
              </w:rPr>
            </w:pPr>
            <w:r>
              <w:rPr>
                <w:b/>
                <w:bCs/>
                <w:kern w:val="0"/>
                <w:sz w:val="21"/>
                <w:szCs w:val="21"/>
              </w:rPr>
              <w:t>男生</w:t>
            </w:r>
          </w:p>
          <w:p>
            <w:pPr>
              <w:widowControl/>
              <w:spacing w:line="240" w:lineRule="auto"/>
              <w:jc w:val="center"/>
              <w:rPr>
                <w:b/>
                <w:bCs/>
                <w:kern w:val="0"/>
                <w:sz w:val="21"/>
                <w:szCs w:val="21"/>
              </w:rPr>
            </w:pPr>
            <w:r>
              <w:rPr>
                <w:b/>
                <w:bCs/>
                <w:kern w:val="0"/>
                <w:sz w:val="21"/>
                <w:szCs w:val="21"/>
              </w:rPr>
              <w:t>就业率</w:t>
            </w:r>
          </w:p>
        </w:tc>
        <w:tc>
          <w:tcPr>
            <w:tcW w:w="1218" w:type="dxa"/>
            <w:vAlign w:val="center"/>
          </w:tcPr>
          <w:p>
            <w:pPr>
              <w:widowControl/>
              <w:spacing w:line="240" w:lineRule="auto"/>
              <w:jc w:val="center"/>
              <w:rPr>
                <w:b/>
                <w:bCs/>
                <w:kern w:val="0"/>
                <w:sz w:val="21"/>
                <w:szCs w:val="21"/>
              </w:rPr>
            </w:pPr>
            <w:r>
              <w:rPr>
                <w:b/>
                <w:bCs/>
                <w:kern w:val="0"/>
                <w:sz w:val="21"/>
                <w:szCs w:val="21"/>
              </w:rPr>
              <w:t>女生</w:t>
            </w:r>
          </w:p>
          <w:p>
            <w:pPr>
              <w:widowControl/>
              <w:spacing w:line="240" w:lineRule="auto"/>
              <w:jc w:val="center"/>
              <w:rPr>
                <w:b/>
                <w:bCs/>
                <w:kern w:val="0"/>
                <w:sz w:val="21"/>
                <w:szCs w:val="21"/>
              </w:rPr>
            </w:pPr>
            <w:r>
              <w:rPr>
                <w:b/>
                <w:bCs/>
                <w:kern w:val="0"/>
                <w:sz w:val="21"/>
                <w:szCs w:val="21"/>
              </w:rPr>
              <w:t>就业率</w:t>
            </w:r>
          </w:p>
        </w:tc>
        <w:tc>
          <w:tcPr>
            <w:tcW w:w="1393" w:type="dxa"/>
            <w:vAlign w:val="center"/>
          </w:tcPr>
          <w:p>
            <w:pPr>
              <w:widowControl/>
              <w:spacing w:line="240" w:lineRule="auto"/>
              <w:jc w:val="center"/>
              <w:rPr>
                <w:b/>
                <w:bCs/>
                <w:kern w:val="0"/>
                <w:sz w:val="21"/>
                <w:szCs w:val="21"/>
              </w:rPr>
            </w:pPr>
            <w:r>
              <w:rPr>
                <w:b/>
                <w:bCs/>
                <w:kern w:val="0"/>
                <w:sz w:val="21"/>
                <w:szCs w:val="21"/>
              </w:rPr>
              <w:t>留鲁就业人数（比例）</w:t>
            </w:r>
          </w:p>
        </w:tc>
        <w:tc>
          <w:tcPr>
            <w:tcW w:w="1276" w:type="dxa"/>
            <w:vAlign w:val="center"/>
          </w:tcPr>
          <w:p>
            <w:pPr>
              <w:widowControl/>
              <w:spacing w:line="240" w:lineRule="auto"/>
              <w:jc w:val="center"/>
              <w:rPr>
                <w:b/>
                <w:bCs/>
                <w:kern w:val="0"/>
                <w:sz w:val="21"/>
                <w:szCs w:val="21"/>
              </w:rPr>
            </w:pPr>
            <w:r>
              <w:rPr>
                <w:b/>
                <w:bCs/>
                <w:kern w:val="0"/>
                <w:sz w:val="21"/>
                <w:szCs w:val="21"/>
              </w:rPr>
              <w:t>省外就业人数（比例）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rPr>
        <w:tc>
          <w:tcPr>
            <w:tcW w:w="1217" w:type="dxa"/>
            <w:vAlign w:val="center"/>
          </w:tcPr>
          <w:p>
            <w:pPr>
              <w:widowControl/>
              <w:spacing w:line="240" w:lineRule="auto"/>
              <w:jc w:val="center"/>
              <w:rPr>
                <w:kern w:val="0"/>
                <w:sz w:val="21"/>
                <w:szCs w:val="21"/>
              </w:rPr>
            </w:pPr>
            <w:r>
              <w:rPr>
                <w:kern w:val="0"/>
                <w:sz w:val="21"/>
                <w:szCs w:val="21"/>
              </w:rPr>
              <w:t>烟草</w:t>
            </w:r>
          </w:p>
        </w:tc>
        <w:tc>
          <w:tcPr>
            <w:tcW w:w="1217" w:type="dxa"/>
            <w:vAlign w:val="center"/>
          </w:tcPr>
          <w:p>
            <w:pPr>
              <w:widowControl/>
              <w:spacing w:line="240" w:lineRule="auto"/>
              <w:jc w:val="center"/>
              <w:rPr>
                <w:kern w:val="0"/>
                <w:sz w:val="21"/>
                <w:szCs w:val="21"/>
              </w:rPr>
            </w:pPr>
            <w:r>
              <w:rPr>
                <w:kern w:val="0"/>
                <w:sz w:val="21"/>
                <w:szCs w:val="21"/>
              </w:rPr>
              <w:t>31</w:t>
            </w:r>
          </w:p>
        </w:tc>
        <w:tc>
          <w:tcPr>
            <w:tcW w:w="1217" w:type="dxa"/>
            <w:vAlign w:val="center"/>
          </w:tcPr>
          <w:p>
            <w:pPr>
              <w:widowControl/>
              <w:spacing w:line="240" w:lineRule="auto"/>
              <w:jc w:val="center"/>
              <w:rPr>
                <w:kern w:val="0"/>
                <w:sz w:val="21"/>
                <w:szCs w:val="21"/>
              </w:rPr>
            </w:pPr>
            <w:r>
              <w:rPr>
                <w:kern w:val="0"/>
                <w:sz w:val="21"/>
                <w:szCs w:val="21"/>
              </w:rPr>
              <w:t>100%</w:t>
            </w:r>
          </w:p>
        </w:tc>
        <w:tc>
          <w:tcPr>
            <w:tcW w:w="1217" w:type="dxa"/>
            <w:vAlign w:val="center"/>
          </w:tcPr>
          <w:p>
            <w:pPr>
              <w:widowControl/>
              <w:spacing w:line="240" w:lineRule="auto"/>
              <w:jc w:val="center"/>
              <w:rPr>
                <w:kern w:val="0"/>
                <w:sz w:val="21"/>
                <w:szCs w:val="21"/>
              </w:rPr>
            </w:pPr>
            <w:r>
              <w:rPr>
                <w:kern w:val="0"/>
                <w:sz w:val="21"/>
                <w:szCs w:val="21"/>
              </w:rPr>
              <w:t>100%</w:t>
            </w:r>
          </w:p>
        </w:tc>
        <w:tc>
          <w:tcPr>
            <w:tcW w:w="1218" w:type="dxa"/>
            <w:vAlign w:val="center"/>
          </w:tcPr>
          <w:p>
            <w:pPr>
              <w:widowControl/>
              <w:spacing w:line="240" w:lineRule="auto"/>
              <w:jc w:val="center"/>
              <w:rPr>
                <w:kern w:val="0"/>
                <w:sz w:val="21"/>
                <w:szCs w:val="21"/>
              </w:rPr>
            </w:pPr>
            <w:r>
              <w:rPr>
                <w:kern w:val="0"/>
                <w:sz w:val="21"/>
                <w:szCs w:val="21"/>
              </w:rPr>
              <w:t>100%</w:t>
            </w:r>
          </w:p>
        </w:tc>
        <w:tc>
          <w:tcPr>
            <w:tcW w:w="1393" w:type="dxa"/>
            <w:vAlign w:val="center"/>
          </w:tcPr>
          <w:p>
            <w:pPr>
              <w:widowControl/>
              <w:spacing w:line="240" w:lineRule="auto"/>
              <w:jc w:val="center"/>
              <w:rPr>
                <w:kern w:val="0"/>
                <w:sz w:val="21"/>
                <w:szCs w:val="21"/>
              </w:rPr>
            </w:pPr>
            <w:r>
              <w:rPr>
                <w:kern w:val="0"/>
                <w:sz w:val="21"/>
                <w:szCs w:val="21"/>
              </w:rPr>
              <w:t>48.39%</w:t>
            </w:r>
          </w:p>
        </w:tc>
        <w:tc>
          <w:tcPr>
            <w:tcW w:w="1276" w:type="dxa"/>
            <w:vAlign w:val="center"/>
          </w:tcPr>
          <w:p>
            <w:pPr>
              <w:widowControl/>
              <w:spacing w:line="240" w:lineRule="auto"/>
              <w:jc w:val="center"/>
              <w:rPr>
                <w:kern w:val="0"/>
                <w:sz w:val="21"/>
                <w:szCs w:val="21"/>
              </w:rPr>
            </w:pPr>
            <w:r>
              <w:rPr>
                <w:kern w:val="0"/>
                <w:sz w:val="21"/>
                <w:szCs w:val="21"/>
              </w:rPr>
              <w:t>51.61%</w:t>
            </w:r>
          </w:p>
        </w:tc>
      </w:tr>
    </w:tbl>
    <w:p>
      <w:pPr>
        <w:widowControl/>
        <w:spacing w:line="240" w:lineRule="auto"/>
        <w:jc w:val="center"/>
        <w:rPr>
          <w:b/>
          <w:bCs/>
          <w:kern w:val="0"/>
          <w:sz w:val="21"/>
          <w:szCs w:val="21"/>
        </w:rPr>
      </w:pPr>
      <w:r>
        <w:rPr>
          <w:b/>
          <w:bCs/>
          <w:kern w:val="0"/>
          <w:sz w:val="21"/>
          <w:szCs w:val="21"/>
        </w:rPr>
        <w:drawing>
          <wp:anchor distT="0" distB="0" distL="0" distR="0" simplePos="0" relativeHeight="251663360" behindDoc="0" locked="0" layoutInCell="1" allowOverlap="1">
            <wp:simplePos x="0" y="0"/>
            <wp:positionH relativeFrom="column">
              <wp:posOffset>1490980</wp:posOffset>
            </wp:positionH>
            <wp:positionV relativeFrom="paragraph">
              <wp:posOffset>119380</wp:posOffset>
            </wp:positionV>
            <wp:extent cx="3079750" cy="2290445"/>
            <wp:effectExtent l="0" t="0" r="6350" b="14605"/>
            <wp:wrapTopAndBottom/>
            <wp:docPr id="1036" name="图片 1" descr="图片1"/>
            <wp:cNvGraphicFramePr/>
            <a:graphic xmlns:a="http://schemas.openxmlformats.org/drawingml/2006/main">
              <a:graphicData uri="http://schemas.openxmlformats.org/drawingml/2006/picture">
                <pic:pic xmlns:pic="http://schemas.openxmlformats.org/drawingml/2006/picture">
                  <pic:nvPicPr>
                    <pic:cNvPr id="1036" name="图片 1" descr="图片1"/>
                    <pic:cNvPicPr/>
                  </pic:nvPicPr>
                  <pic:blipFill>
                    <a:blip r:embed="rId50" cstate="print"/>
                    <a:srcRect/>
                    <a:stretch>
                      <a:fillRect/>
                    </a:stretch>
                  </pic:blipFill>
                  <pic:spPr>
                    <a:xfrm>
                      <a:off x="0" y="0"/>
                      <a:ext cx="3079750" cy="2290445"/>
                    </a:xfrm>
                    <a:prstGeom prst="rect">
                      <a:avLst/>
                    </a:prstGeom>
                    <a:ln>
                      <a:noFill/>
                    </a:ln>
                  </pic:spPr>
                </pic:pic>
              </a:graphicData>
            </a:graphic>
          </wp:anchor>
        </w:drawing>
      </w:r>
      <w:r>
        <w:rPr>
          <w:b/>
          <w:bCs/>
          <w:kern w:val="0"/>
          <w:sz w:val="21"/>
          <w:szCs w:val="21"/>
        </w:rPr>
        <w:t>图1 毕业生就业地区流向图</w:t>
      </w:r>
    </w:p>
    <w:p>
      <w:pPr>
        <w:pStyle w:val="6"/>
        <w:ind w:firstLine="480"/>
      </w:pPr>
      <w:r>
        <w:t>3.考研情况</w:t>
      </w:r>
    </w:p>
    <w:p>
      <w:pPr>
        <w:ind w:firstLine="480"/>
      </w:pPr>
      <w:r>
        <w:t>毕业生国内升学23人，升学率74.19%，其中考入</w:t>
      </w:r>
      <w:r>
        <w:rPr>
          <w:rFonts w:hint="eastAsia"/>
        </w:rPr>
        <w:t>“</w:t>
      </w:r>
      <w:r>
        <w:t>双一流</w:t>
      </w:r>
      <w:r>
        <w:rPr>
          <w:rFonts w:hint="eastAsia"/>
        </w:rPr>
        <w:t>”</w:t>
      </w:r>
      <w:r>
        <w:t>大学9人，占国内升学总人数的39.13%。从升学专业来看，跨专业升学的5人，占国内升学总人数的21.74%。升学学校主要是山东农业大学、南京农业大学、云南农业大学、扬州大学等。</w:t>
      </w:r>
    </w:p>
    <w:p>
      <w:pPr>
        <w:ind w:firstLine="480"/>
        <w:rPr>
          <w:color w:val="36363D"/>
        </w:rPr>
      </w:pPr>
      <w:r>
        <w:t>几年来烟草专业部分学生考取了中科院、中国农科院、中国农大、浙江大学、</w:t>
      </w:r>
      <w:r>
        <w:rPr>
          <w:color w:val="36363D"/>
        </w:rPr>
        <w:t>上海交大等国家著名高校研究生；烟草专业毕业生也在各地烟草局实现了就业。研究生招收单位和用人单位普遍认为本校烟草专业的毕业生理论基础扎实、专业素质高、实验操作能力强，探究学习能力强，思想灵活，具有良好的发展潜能。</w:t>
      </w:r>
    </w:p>
    <w:p>
      <w:pPr>
        <w:ind w:firstLine="480"/>
        <w:rPr>
          <w:color w:val="36363D"/>
        </w:rPr>
      </w:pPr>
      <w:r>
        <w:rPr>
          <w:color w:val="36363D"/>
        </w:rPr>
        <w:t>烟草专业本科生学风良好，学习刻苦努力，积极主动且能熟练掌握专业知识，就业前景十分乐观，第一志愿录取率位列学校农科专业前列。</w:t>
      </w:r>
    </w:p>
    <w:p>
      <w:pPr>
        <w:pStyle w:val="5"/>
        <w:spacing w:before="93" w:after="93"/>
        <w:ind w:firstLine="560"/>
      </w:pPr>
      <w:r>
        <w:t>六、毕业生就业创业（创业情况、采取的措施、典型案例等）</w:t>
      </w:r>
    </w:p>
    <w:p>
      <w:pPr>
        <w:ind w:firstLine="480" w:firstLineChars="200"/>
        <w:rPr>
          <w:color w:val="36363D"/>
        </w:rPr>
      </w:pPr>
      <w:r>
        <w:rPr>
          <w:color w:val="36363D"/>
        </w:rPr>
        <w:t>本专业毕业生一般在烟草类企业从事烟草育种、烟草栽培、烟草加工、烟叶质量检测、经营管理、烟草贸易等相关工作;或者是在政府、事业类单位从事烟草打假、烟草缉私、控烟宣传等相关工作。烟草专业13届毕业生在山东省各级烟草专卖局（公司）和卷烟厂实现了就业，而且还应聘到云南、贵州、湖北、福建、河南、海南等烟草专卖局（公司）和浙江中烟、安徽中烟、江苏中烟、云南中烟等全国知名卷烟企业，部分毕业生在其他行业实现了自主择业。</w:t>
      </w:r>
    </w:p>
    <w:p>
      <w:pPr>
        <w:ind w:firstLine="480" w:firstLineChars="200"/>
        <w:rPr>
          <w:color w:val="36363D"/>
        </w:rPr>
      </w:pPr>
      <w:r>
        <w:rPr>
          <w:color w:val="36363D"/>
        </w:rPr>
        <w:t>主要措施：</w:t>
      </w:r>
    </w:p>
    <w:p>
      <w:pPr>
        <w:pStyle w:val="6"/>
        <w:ind w:firstLine="480"/>
      </w:pPr>
      <w:r>
        <w:t>1.优化服务过程，聚焦需求，推出新就业服务模式</w:t>
      </w:r>
    </w:p>
    <w:p>
      <w:pPr>
        <w:ind w:firstLine="480" w:firstLineChars="200"/>
        <w:rPr>
          <w:color w:val="000000" w:themeColor="text1"/>
          <w:szCs w:val="24"/>
          <w:shd w:val="clear" w:color="auto" w:fill="FFFFFF"/>
          <w14:textFill>
            <w14:solidFill>
              <w14:schemeClr w14:val="tx1"/>
            </w14:solidFill>
          </w14:textFill>
        </w:rPr>
      </w:pPr>
      <w:r>
        <w:rPr>
          <w:color w:val="000000" w:themeColor="text1"/>
          <w:szCs w:val="24"/>
          <w:shd w:val="clear" w:color="auto" w:fill="FFFFFF"/>
          <w14:textFill>
            <w14:solidFill>
              <w14:schemeClr w14:val="tx1"/>
            </w14:solidFill>
          </w14:textFill>
        </w:rPr>
        <w:t>一是提前布局，精准设计，为学生提供有针对性的服务。通过就业课程、生涯体验周、特色项目等形式对低年级学生开展生涯规划和就业观教育。对毕业生开展</w:t>
      </w:r>
      <w:r>
        <w:rPr>
          <w:rFonts w:hint="eastAsia"/>
          <w:color w:val="000000" w:themeColor="text1"/>
          <w:szCs w:val="24"/>
          <w:shd w:val="clear" w:color="auto" w:fill="FFFFFF"/>
          <w14:textFill>
            <w14:solidFill>
              <w14:schemeClr w14:val="tx1"/>
            </w14:solidFill>
          </w14:textFill>
        </w:rPr>
        <w:t>“</w:t>
      </w:r>
      <w:r>
        <w:rPr>
          <w:color w:val="000000" w:themeColor="text1"/>
          <w:szCs w:val="24"/>
          <w:shd w:val="clear" w:color="auto" w:fill="FFFFFF"/>
          <w14:textFill>
            <w14:solidFill>
              <w14:schemeClr w14:val="tx1"/>
            </w14:solidFill>
          </w14:textFill>
        </w:rPr>
        <w:t>生涯画像</w:t>
      </w:r>
      <w:r>
        <w:rPr>
          <w:rFonts w:hint="eastAsia"/>
          <w:color w:val="000000" w:themeColor="text1"/>
          <w:szCs w:val="24"/>
          <w:shd w:val="clear" w:color="auto" w:fill="FFFFFF"/>
          <w14:textFill>
            <w14:solidFill>
              <w14:schemeClr w14:val="tx1"/>
            </w14:solidFill>
          </w14:textFill>
        </w:rPr>
        <w:t>”</w:t>
      </w:r>
      <w:r>
        <w:rPr>
          <w:color w:val="000000" w:themeColor="text1"/>
          <w:szCs w:val="24"/>
          <w:shd w:val="clear" w:color="auto" w:fill="FFFFFF"/>
          <w14:textFill>
            <w14:solidFill>
              <w14:schemeClr w14:val="tx1"/>
            </w14:solidFill>
          </w14:textFill>
        </w:rPr>
        <w:t>，掌握学生性格特点、能力倾向和需求偏好为后续就业活动设计提供参考。二是精准摸排，反馈需求，按照学生</w:t>
      </w:r>
      <w:r>
        <w:rPr>
          <w:rFonts w:hint="eastAsia"/>
          <w:color w:val="000000" w:themeColor="text1"/>
          <w:szCs w:val="24"/>
          <w:shd w:val="clear" w:color="auto" w:fill="FFFFFF"/>
          <w14:textFill>
            <w14:solidFill>
              <w14:schemeClr w14:val="tx1"/>
            </w14:solidFill>
          </w14:textFill>
        </w:rPr>
        <w:t>“</w:t>
      </w:r>
      <w:r>
        <w:rPr>
          <w:color w:val="000000" w:themeColor="text1"/>
          <w:szCs w:val="24"/>
          <w:shd w:val="clear" w:color="auto" w:fill="FFFFFF"/>
          <w14:textFill>
            <w14:solidFill>
              <w14:schemeClr w14:val="tx1"/>
            </w14:solidFill>
          </w14:textFill>
        </w:rPr>
        <w:t>点餐</w:t>
      </w:r>
      <w:r>
        <w:rPr>
          <w:rFonts w:hint="eastAsia"/>
          <w:color w:val="000000" w:themeColor="text1"/>
          <w:szCs w:val="24"/>
          <w:shd w:val="clear" w:color="auto" w:fill="FFFFFF"/>
          <w14:textFill>
            <w14:solidFill>
              <w14:schemeClr w14:val="tx1"/>
            </w14:solidFill>
          </w14:textFill>
        </w:rPr>
        <w:t>”</w:t>
      </w:r>
      <w:r>
        <w:rPr>
          <w:color w:val="000000" w:themeColor="text1"/>
          <w:szCs w:val="24"/>
          <w:shd w:val="clear" w:color="auto" w:fill="FFFFFF"/>
          <w14:textFill>
            <w14:solidFill>
              <w14:schemeClr w14:val="tx1"/>
            </w14:solidFill>
          </w14:textFill>
        </w:rPr>
        <w:t>开展有针对性的指导。开展就业意向调研，精准掌握毕业生就业心态、需求偏好、意向行业和地域等信息，精准分类，为后期的精细指导与动态跟踪奠定基础。三是精准关注，全程跟进，对重点群体学生给予重点指导。对调研掌握的就业困难和经济困难毕业生，建立帮扶台账，完善就业帮扶机制，确保</w:t>
      </w:r>
      <w:r>
        <w:rPr>
          <w:rFonts w:hint="eastAsia"/>
          <w:color w:val="000000" w:themeColor="text1"/>
          <w:szCs w:val="24"/>
          <w:shd w:val="clear" w:color="auto" w:fill="FFFFFF"/>
          <w14:textFill>
            <w14:solidFill>
              <w14:schemeClr w14:val="tx1"/>
            </w14:solidFill>
          </w14:textFill>
        </w:rPr>
        <w:t>“</w:t>
      </w:r>
      <w:r>
        <w:rPr>
          <w:color w:val="000000" w:themeColor="text1"/>
          <w:szCs w:val="24"/>
          <w:shd w:val="clear" w:color="auto" w:fill="FFFFFF"/>
          <w14:textFill>
            <w14:solidFill>
              <w14:schemeClr w14:val="tx1"/>
            </w14:solidFill>
          </w14:textFill>
        </w:rPr>
        <w:t>一人一档</w:t>
      </w:r>
      <w:r>
        <w:rPr>
          <w:rFonts w:hint="eastAsia"/>
          <w:color w:val="000000" w:themeColor="text1"/>
          <w:szCs w:val="24"/>
          <w:shd w:val="clear" w:color="auto" w:fill="FFFFFF"/>
          <w14:textFill>
            <w14:solidFill>
              <w14:schemeClr w14:val="tx1"/>
            </w14:solidFill>
          </w14:textFill>
        </w:rPr>
        <w:t>”“</w:t>
      </w:r>
      <w:r>
        <w:rPr>
          <w:color w:val="000000" w:themeColor="text1"/>
          <w:szCs w:val="24"/>
          <w:shd w:val="clear" w:color="auto" w:fill="FFFFFF"/>
          <w14:textFill>
            <w14:solidFill>
              <w14:schemeClr w14:val="tx1"/>
            </w14:solidFill>
          </w14:textFill>
        </w:rPr>
        <w:t>一生一策</w:t>
      </w:r>
      <w:r>
        <w:rPr>
          <w:rFonts w:hint="eastAsia"/>
          <w:color w:val="000000" w:themeColor="text1"/>
          <w:szCs w:val="24"/>
          <w:shd w:val="clear" w:color="auto" w:fill="FFFFFF"/>
          <w14:textFill>
            <w14:solidFill>
              <w14:schemeClr w14:val="tx1"/>
            </w14:solidFill>
          </w14:textFill>
        </w:rPr>
        <w:t>”</w:t>
      </w:r>
      <w:r>
        <w:rPr>
          <w:color w:val="000000" w:themeColor="text1"/>
          <w:szCs w:val="24"/>
          <w:shd w:val="clear" w:color="auto" w:fill="FFFFFF"/>
          <w14:textFill>
            <w14:solidFill>
              <w14:schemeClr w14:val="tx1"/>
            </w14:solidFill>
          </w14:textFill>
        </w:rPr>
        <w:t>，助力学生就业。</w:t>
      </w:r>
    </w:p>
    <w:p>
      <w:pPr>
        <w:pStyle w:val="6"/>
        <w:ind w:firstLine="480"/>
        <w:rPr>
          <w:color w:val="000000" w:themeColor="text1"/>
          <w14:textFill>
            <w14:solidFill>
              <w14:schemeClr w14:val="tx1"/>
            </w14:solidFill>
          </w14:textFill>
        </w:rPr>
      </w:pPr>
      <w:r>
        <w:rPr>
          <w:color w:val="000000" w:themeColor="text1"/>
          <w14:textFill>
            <w14:solidFill>
              <w14:schemeClr w14:val="tx1"/>
            </w14:solidFill>
          </w14:textFill>
        </w:rPr>
        <w:t>2.强化价值引领，开展多种渠道</w:t>
      </w:r>
    </w:p>
    <w:p>
      <w:pPr>
        <w:ind w:firstLine="480" w:firstLineChars="200"/>
        <w:outlineLvl w:val="2"/>
        <w:rPr>
          <w:color w:val="000000" w:themeColor="text1"/>
          <w:szCs w:val="24"/>
          <w14:textFill>
            <w14:solidFill>
              <w14:schemeClr w14:val="tx1"/>
            </w14:solidFill>
          </w14:textFill>
        </w:rPr>
      </w:pPr>
      <w:r>
        <w:rPr>
          <w:color w:val="000000" w:themeColor="text1"/>
          <w:szCs w:val="24"/>
          <w:shd w:val="clear" w:color="auto" w:fill="FFFFFF"/>
          <w14:textFill>
            <w14:solidFill>
              <w14:schemeClr w14:val="tx1"/>
            </w14:solidFill>
          </w14:textFill>
        </w:rPr>
        <w:t>一强化政策导向。坚持实施西部和基层就业奖励政策，鼓励毕业生到基础教育领域尤其是中西部和基层一线任教。二</w:t>
      </w:r>
      <w:r>
        <w:rPr>
          <w:color w:val="000000" w:themeColor="text1"/>
          <w14:textFill>
            <w14:solidFill>
              <w14:schemeClr w14:val="tx1"/>
            </w14:solidFill>
          </w14:textFill>
        </w:rPr>
        <w:t>加强校企合作力度，</w:t>
      </w:r>
      <w:r>
        <w:rPr>
          <w:color w:val="000000" w:themeColor="text1"/>
          <w:szCs w:val="24"/>
          <w14:textFill>
            <w14:solidFill>
              <w14:schemeClr w14:val="tx1"/>
            </w14:solidFill>
          </w14:textFill>
        </w:rPr>
        <w:t>与用人单位紧密联系，了解就业市场需求，累计联系用人单位几十余家到校举办校园招聘专场和参加校园周末招聘会，为学生提供了百余个用工岗位和招聘信息，帮助就业生顺利就业。</w:t>
      </w:r>
      <w:r>
        <w:rPr>
          <w:color w:val="000000" w:themeColor="text1"/>
          <w:szCs w:val="24"/>
          <w:shd w:val="clear" w:color="auto" w:fill="FFFFFF"/>
          <w14:textFill>
            <w14:solidFill>
              <w14:schemeClr w14:val="tx1"/>
            </w14:solidFill>
          </w14:textFill>
        </w:rPr>
        <w:t>三是就业活动主题多样化。结合学生需求，开展</w:t>
      </w:r>
      <w:r>
        <w:rPr>
          <w:rFonts w:hint="eastAsia"/>
          <w:color w:val="000000" w:themeColor="text1"/>
          <w:szCs w:val="24"/>
          <w:shd w:val="clear" w:color="auto" w:fill="FFFFFF"/>
          <w14:textFill>
            <w14:solidFill>
              <w14:schemeClr w14:val="tx1"/>
            </w14:solidFill>
          </w14:textFill>
        </w:rPr>
        <w:t>“</w:t>
      </w:r>
      <w:r>
        <w:rPr>
          <w:color w:val="000000" w:themeColor="text1"/>
          <w:szCs w:val="24"/>
          <w:shd w:val="clear" w:color="auto" w:fill="FFFFFF"/>
          <w14:textFill>
            <w14:solidFill>
              <w14:schemeClr w14:val="tx1"/>
            </w14:solidFill>
          </w14:textFill>
        </w:rPr>
        <w:t>生涯规划</w:t>
      </w:r>
      <w:r>
        <w:rPr>
          <w:rFonts w:hint="eastAsia"/>
          <w:color w:val="000000" w:themeColor="text1"/>
          <w:szCs w:val="24"/>
          <w:shd w:val="clear" w:color="auto" w:fill="FFFFFF"/>
          <w14:textFill>
            <w14:solidFill>
              <w14:schemeClr w14:val="tx1"/>
            </w14:solidFill>
          </w14:textFill>
        </w:rPr>
        <w:t>”“</w:t>
      </w:r>
      <w:r>
        <w:rPr>
          <w:color w:val="000000" w:themeColor="text1"/>
          <w:szCs w:val="24"/>
          <w:shd w:val="clear" w:color="auto" w:fill="FFFFFF"/>
          <w14:textFill>
            <w14:solidFill>
              <w14:schemeClr w14:val="tx1"/>
            </w14:solidFill>
          </w14:textFill>
        </w:rPr>
        <w:t>求职技能</w:t>
      </w:r>
      <w:r>
        <w:rPr>
          <w:rFonts w:hint="eastAsia"/>
          <w:color w:val="000000" w:themeColor="text1"/>
          <w:szCs w:val="24"/>
          <w:shd w:val="clear" w:color="auto" w:fill="FFFFFF"/>
          <w14:textFill>
            <w14:solidFill>
              <w14:schemeClr w14:val="tx1"/>
            </w14:solidFill>
          </w14:textFill>
        </w:rPr>
        <w:t>”“</w:t>
      </w:r>
      <w:r>
        <w:rPr>
          <w:color w:val="000000" w:themeColor="text1"/>
          <w:szCs w:val="24"/>
          <w:shd w:val="clear" w:color="auto" w:fill="FFFFFF"/>
          <w14:textFill>
            <w14:solidFill>
              <w14:schemeClr w14:val="tx1"/>
            </w14:solidFill>
          </w14:textFill>
        </w:rPr>
        <w:t>校友分享</w:t>
      </w:r>
      <w:r>
        <w:rPr>
          <w:rFonts w:hint="eastAsia"/>
          <w:color w:val="000000" w:themeColor="text1"/>
          <w:szCs w:val="24"/>
          <w:shd w:val="clear" w:color="auto" w:fill="FFFFFF"/>
          <w14:textFill>
            <w14:solidFill>
              <w14:schemeClr w14:val="tx1"/>
            </w14:solidFill>
          </w14:textFill>
        </w:rPr>
        <w:t>”</w:t>
      </w:r>
      <w:r>
        <w:rPr>
          <w:color w:val="000000" w:themeColor="text1"/>
          <w:szCs w:val="24"/>
          <w:shd w:val="clear" w:color="auto" w:fill="FFFFFF"/>
          <w14:textFill>
            <w14:solidFill>
              <w14:schemeClr w14:val="tx1"/>
            </w14:solidFill>
          </w14:textFill>
        </w:rPr>
        <w:t>等主题培训，学生可</w:t>
      </w:r>
      <w:r>
        <w:rPr>
          <w:rFonts w:hint="eastAsia"/>
          <w:color w:val="000000" w:themeColor="text1"/>
          <w:szCs w:val="24"/>
          <w:shd w:val="clear" w:color="auto" w:fill="FFFFFF"/>
          <w14:textFill>
            <w14:solidFill>
              <w14:schemeClr w14:val="tx1"/>
            </w14:solidFill>
          </w14:textFill>
        </w:rPr>
        <w:t>“</w:t>
      </w:r>
      <w:r>
        <w:rPr>
          <w:color w:val="000000" w:themeColor="text1"/>
          <w:szCs w:val="24"/>
          <w:shd w:val="clear" w:color="auto" w:fill="FFFFFF"/>
          <w14:textFill>
            <w14:solidFill>
              <w14:schemeClr w14:val="tx1"/>
            </w14:solidFill>
          </w14:textFill>
        </w:rPr>
        <w:t>自助</w:t>
      </w:r>
      <w:r>
        <w:rPr>
          <w:rFonts w:hint="eastAsia"/>
          <w:color w:val="000000" w:themeColor="text1"/>
          <w:szCs w:val="24"/>
          <w:shd w:val="clear" w:color="auto" w:fill="FFFFFF"/>
          <w14:textFill>
            <w14:solidFill>
              <w14:schemeClr w14:val="tx1"/>
            </w14:solidFill>
          </w14:textFill>
        </w:rPr>
        <w:t>”</w:t>
      </w:r>
      <w:r>
        <w:rPr>
          <w:color w:val="000000" w:themeColor="text1"/>
          <w:szCs w:val="24"/>
          <w:shd w:val="clear" w:color="auto" w:fill="FFFFFF"/>
          <w14:textFill>
            <w14:solidFill>
              <w14:schemeClr w14:val="tx1"/>
            </w14:solidFill>
          </w14:textFill>
        </w:rPr>
        <w:t>选择参与，效果显著。</w:t>
      </w:r>
    </w:p>
    <w:p>
      <w:pPr>
        <w:pStyle w:val="5"/>
        <w:spacing w:before="93" w:after="93"/>
        <w:ind w:firstLine="560"/>
      </w:pPr>
      <w:r>
        <w:t>七、专业发展趋势及建议</w:t>
      </w:r>
    </w:p>
    <w:p>
      <w:pPr>
        <w:ind w:firstLine="480" w:firstLineChars="200"/>
      </w:pPr>
      <w:r>
        <w:t>我国是烟草生产和消费大国，烟草行业在我国是一个较为庞大的行业，随着现代烟草生产的发展和推进，对高级专业人才的需求逐年增加，另外我国设置烟草专业的高等院校较少，因此烟草专业毕业生具有良好的就业前景。今后烟草专业按照新的培养方案要求，以增强学生实践能力和创新能力为目标，不断创新培养模式，优化教学方式，尊重个性发展，稳步提升学科人才培养质量，构建与学校办学定位相吻合、与社会和行业需求相适应的人才培养体系，促进创新人才的高标准培养。</w:t>
      </w:r>
    </w:p>
    <w:p>
      <w:pPr>
        <w:pStyle w:val="5"/>
        <w:spacing w:before="93" w:after="93"/>
        <w:ind w:firstLine="560"/>
      </w:pPr>
      <w:r>
        <w:t>八、存在的问题及整改措施</w:t>
      </w:r>
    </w:p>
    <w:p>
      <w:pPr>
        <w:ind w:firstLine="480" w:firstLineChars="200"/>
      </w:pPr>
      <w:r>
        <w:t>为达到专业高质量发展目标，依据专业新的人才培养方案，专业在创新实验和实践场所和条件的配备上仍存在不足，师资队伍建设有待充实加强，学科带头人和骨干教师需要进一步培养和储备，教师的国际化视野和水平需要进一步提高。</w:t>
      </w:r>
    </w:p>
    <w:p>
      <w:pPr>
        <w:ind w:firstLine="480" w:firstLineChars="200"/>
      </w:pPr>
      <w:r>
        <w:t>树立新的办学理念，不断创新专业培养模式，同时学校、学院和学科要加大经费投入，建立与现代烟草相适应的实践场所，注重学生创新条件的配备，促进创新人才的高标准培养。加大专业教师引进和培养力度，创新专业教师培养模式，建设一支高水平、高学历、数量足、治学严谨、教育观念新、创新意识强的师资队伍。</w:t>
      </w:r>
    </w:p>
    <w:p>
      <w:pPr>
        <w:ind w:firstLine="480" w:firstLineChars="200"/>
        <w:rPr>
          <w:color w:val="000000"/>
          <w:szCs w:val="24"/>
        </w:rPr>
      </w:pPr>
      <w:r>
        <w:rPr>
          <w:color w:val="000000"/>
          <w:szCs w:val="24"/>
        </w:rPr>
        <w:br w:type="page"/>
      </w:r>
    </w:p>
    <w:p>
      <w:pPr>
        <w:pStyle w:val="4"/>
        <w:ind w:firstLine="600"/>
      </w:pPr>
      <w:bookmarkStart w:id="63" w:name="_Toc15228"/>
      <w:bookmarkStart w:id="64" w:name="_Toc11526"/>
      <w:bookmarkStart w:id="65" w:name="_Toc6692"/>
      <w:bookmarkStart w:id="66" w:name="_Toc10893"/>
      <w:bookmarkStart w:id="67" w:name="_Toc997"/>
      <w:r>
        <w:t>专业</w:t>
      </w:r>
      <w:r>
        <w:rPr>
          <w:rFonts w:hint="eastAsia"/>
          <w:lang w:val="en-US"/>
        </w:rPr>
        <w:t>八</w:t>
      </w:r>
      <w:r>
        <w:t>：动植物检疫（植物检疫方向）</w:t>
      </w:r>
      <w:bookmarkEnd w:id="63"/>
      <w:bookmarkEnd w:id="64"/>
      <w:bookmarkEnd w:id="65"/>
      <w:bookmarkEnd w:id="66"/>
      <w:bookmarkEnd w:id="67"/>
    </w:p>
    <w:p>
      <w:pPr>
        <w:pStyle w:val="5"/>
        <w:spacing w:before="93" w:after="93"/>
        <w:ind w:firstLine="560"/>
      </w:pPr>
      <w:r>
        <w:t>一、培养目标与规格</w:t>
      </w:r>
    </w:p>
    <w:p>
      <w:pPr>
        <w:ind w:firstLine="482"/>
      </w:pPr>
      <w:r>
        <w:t>本专业培养具备崇高的思想道德修养和强烈的社会责任感，具有宽阔的自然科学、社会科学、人文社会科学领域的基础知识，具有植物检疫科学基本理论、基本知识与技能，熟悉国内国际主要植检法规，了解WTO/TBT-SPS通报咨询、相应风险规避和植检技术性贸易壁垒作用发挥，具备良好的科学思维，较强的实践能力、创新精神和国际化视野，能在海关、农林业以及其他相关领域从事出入境和国内植物检疫的行政执法、有害生物全域系统学与风险分析、检疫处置与处理、非疫区（非疫产地、非疫生产点）建设管理、有害生物低度流行区建设管理、农林产品市场开拓和报关，以及植物有害生物综合治理和景观生态管理、农林业入侵生物管理、国门生物安全和生态安全等方面的科研、教学、管理、业务与技术推广工作的创新型和专业型人才；进一步深造后，可跻身联合国FAO、WTO或国际区域植检植保组织。</w:t>
      </w:r>
    </w:p>
    <w:p>
      <w:pPr>
        <w:ind w:firstLine="482"/>
      </w:pPr>
      <w:r>
        <w:t>学生毕业后：</w:t>
      </w:r>
    </w:p>
    <w:p>
      <w:pPr>
        <w:ind w:firstLine="482"/>
      </w:pPr>
      <w:r>
        <w:t>1</w:t>
      </w:r>
      <w:r>
        <w:rPr>
          <w:rFonts w:hint="eastAsia"/>
          <w:lang w:eastAsia="zh-CN"/>
        </w:rPr>
        <w:t>.</w:t>
      </w:r>
      <w:r>
        <w:t>具备崇高的思想道德修养和强烈的社会责任感、中华民族使命感和担当精神，具有宽阔的人文科学、社会科学和自然科学领域的基础知识。</w:t>
      </w:r>
    </w:p>
    <w:p>
      <w:pPr>
        <w:ind w:firstLine="482"/>
      </w:pPr>
      <w:r>
        <w:t>2</w:t>
      </w:r>
      <w:r>
        <w:rPr>
          <w:rFonts w:hint="eastAsia"/>
          <w:lang w:eastAsia="zh-CN"/>
        </w:rPr>
        <w:t>.</w:t>
      </w:r>
      <w:r>
        <w:t>具有植物检疫科学基本理论、基本知识与技能，熟悉国内国际主要植检法规，了解WTO/TBT-SPS通报咨询、相应风险规避和植检技术性贸易壁垒作用发挥，知晓植物检疫前沿动态。</w:t>
      </w:r>
    </w:p>
    <w:p>
      <w:pPr>
        <w:ind w:firstLine="482"/>
      </w:pPr>
      <w:r>
        <w:t>3</w:t>
      </w:r>
      <w:r>
        <w:rPr>
          <w:rFonts w:hint="eastAsia"/>
          <w:lang w:eastAsia="zh-CN"/>
        </w:rPr>
        <w:t>.</w:t>
      </w:r>
      <w:r>
        <w:t>具备良好的科学思维，较强的实践能力、创新精神和国际化视野。</w:t>
      </w:r>
    </w:p>
    <w:p>
      <w:pPr>
        <w:ind w:firstLine="482"/>
      </w:pPr>
      <w:r>
        <w:t>4</w:t>
      </w:r>
      <w:r>
        <w:rPr>
          <w:rFonts w:hint="eastAsia"/>
          <w:lang w:eastAsia="zh-CN"/>
        </w:rPr>
        <w:t>.</w:t>
      </w:r>
      <w:r>
        <w:t>能在海关、农林业以及其他相关领域从事出入境和国内植物检疫的行政执法、有害生物系统学与风险分析、除害处理和报关，以及植物有害生物综合治理和景观生态管理、农林业入侵生物管理、国门生物安全和生态安全等方面的科研、教学、管理、业务与技术推广工作的创新型和专业型人才。</w:t>
      </w:r>
    </w:p>
    <w:p>
      <w:pPr>
        <w:ind w:firstLine="482"/>
      </w:pPr>
      <w:r>
        <w:t>5</w:t>
      </w:r>
      <w:r>
        <w:rPr>
          <w:rFonts w:hint="eastAsia"/>
          <w:lang w:eastAsia="zh-CN"/>
        </w:rPr>
        <w:t>.</w:t>
      </w:r>
      <w:r>
        <w:t>进一步深造后，可迈步联合国粮食与农业组织（IPPC）、WTO（SPS协定、TBT协定等）或国际区域植检植保组织（APPPC等）。</w:t>
      </w:r>
    </w:p>
    <w:p>
      <w:pPr>
        <w:pStyle w:val="5"/>
        <w:spacing w:before="93" w:after="93"/>
        <w:ind w:firstLine="560"/>
      </w:pPr>
      <w:r>
        <w:t>二、培养能力（专业基本情况、在校生规模、课程体系、创新创业教育等）</w:t>
      </w:r>
    </w:p>
    <w:p>
      <w:pPr>
        <w:keepNext w:val="0"/>
        <w:keepLines w:val="0"/>
        <w:pageBreakBefore w:val="0"/>
        <w:widowControl w:val="0"/>
        <w:kinsoku/>
        <w:wordWrap/>
        <w:overflowPunct/>
        <w:topLinePunct w:val="0"/>
        <w:autoSpaceDE/>
        <w:autoSpaceDN/>
        <w:bidi w:val="0"/>
        <w:adjustRightInd/>
        <w:snapToGrid/>
        <w:spacing w:line="410" w:lineRule="exact"/>
        <w:ind w:firstLine="480"/>
        <w:textAlignment w:val="auto"/>
      </w:pPr>
      <w:r>
        <w:t>本专业2003年经教育部批准设置，2004年开始招生，2005年植检方向开始单独招生。2020级开始实行大类植物医学招生，然后再行选择专业。</w:t>
      </w:r>
    </w:p>
    <w:p>
      <w:pPr>
        <w:keepNext w:val="0"/>
        <w:keepLines w:val="0"/>
        <w:pageBreakBefore w:val="0"/>
        <w:widowControl w:val="0"/>
        <w:kinsoku/>
        <w:wordWrap/>
        <w:overflowPunct/>
        <w:topLinePunct w:val="0"/>
        <w:autoSpaceDE/>
        <w:autoSpaceDN/>
        <w:bidi w:val="0"/>
        <w:adjustRightInd/>
        <w:snapToGrid/>
        <w:spacing w:line="410" w:lineRule="exact"/>
        <w:ind w:firstLine="480"/>
        <w:textAlignment w:val="auto"/>
      </w:pPr>
      <w:r>
        <w:t>在课程建设方面，重点做了如下4各方面的工作：①加强教师队伍建设。鼓励青年教师进修提高；通过学校政策，吸引高层次人才加入教学团队。②通过教材建设，完善教学条件，提高师资水平。③通过课程建设提高教学效果。植物检疫必修课程其内容涉及面广、理论性强、学科发展快、教学难度大。《植物检疫学》大课程群，分为《植物检疫理论与方法》、《植物检疫性有害生物》、《植物有害生物风险分析》、《植物检疫处理》和《生物入侵与控制》5门主干课程，达到使用多媒体和线上智慧教学工具教学、教学内容新、教学方法先进、教学效果好，满足高素质、创新能力强的专业人才培养的需要。④《植物检疫理论与方法》慕课已经上，植物检疫程序、植物检疫性有害生物、植物检疫处理的虚拟仿真问题探索逐步深入，并计划申报植物检疫程序虚拟仿真项目；⑤根据我国植检人才需求对英语水平的要求，对植物检疫专业英语教学内容进行了必要的调整；基础昆虫学、基础植物病理学，加大了分类有关的内容；应用昆虫学、应用植物病理学在农作物、林木病虫害方面同等重要。</w:t>
      </w:r>
    </w:p>
    <w:p>
      <w:pPr>
        <w:keepNext w:val="0"/>
        <w:keepLines w:val="0"/>
        <w:pageBreakBefore w:val="0"/>
        <w:widowControl w:val="0"/>
        <w:kinsoku/>
        <w:wordWrap/>
        <w:overflowPunct/>
        <w:topLinePunct w:val="0"/>
        <w:autoSpaceDE/>
        <w:autoSpaceDN/>
        <w:bidi w:val="0"/>
        <w:adjustRightInd/>
        <w:snapToGrid/>
        <w:spacing w:line="410" w:lineRule="exact"/>
        <w:ind w:firstLine="480"/>
        <w:textAlignment w:val="auto"/>
        <w:rPr>
          <w:szCs w:val="24"/>
        </w:rPr>
      </w:pPr>
      <w:r>
        <w:rPr>
          <w:szCs w:val="24"/>
        </w:rPr>
        <w:t>教师注重利用科研成果充实和丰富教学内容，提高教学质量。科研工作取得了长足的发展，主持或参加863、国家自然基金等国家级、部级科研课题150余项，省自然基金、科技攻关等省级课题80余项、厅级及横向联合课题100余项，国际合作项目4项。近四年来获得国家科技进步二等奖1项，山东省科技进步一等奖1项，山东省科技进步二等奖3项，山东省科技发明二等奖1项，累计课题经费6000余万元，在各级刊物上发表论文600余篇，其中被SCI收录300余篇。</w:t>
      </w:r>
    </w:p>
    <w:p>
      <w:pPr>
        <w:keepNext w:val="0"/>
        <w:keepLines w:val="0"/>
        <w:pageBreakBefore w:val="0"/>
        <w:widowControl w:val="0"/>
        <w:kinsoku/>
        <w:wordWrap/>
        <w:overflowPunct/>
        <w:topLinePunct w:val="0"/>
        <w:autoSpaceDE/>
        <w:autoSpaceDN/>
        <w:bidi w:val="0"/>
        <w:adjustRightInd/>
        <w:snapToGrid/>
        <w:spacing w:line="410" w:lineRule="exact"/>
        <w:ind w:firstLine="480"/>
        <w:textAlignment w:val="auto"/>
        <w:rPr>
          <w:szCs w:val="24"/>
        </w:rPr>
      </w:pPr>
      <w:r>
        <w:rPr>
          <w:szCs w:val="24"/>
        </w:rPr>
        <w:t>学科平台稳步提升。植物保护学科为</w:t>
      </w:r>
      <w:r>
        <w:rPr>
          <w:rFonts w:hint="eastAsia"/>
          <w:szCs w:val="24"/>
        </w:rPr>
        <w:t>“</w:t>
      </w:r>
      <w:r>
        <w:rPr>
          <w:szCs w:val="24"/>
        </w:rPr>
        <w:t>山东省一流学科</w:t>
      </w:r>
      <w:r>
        <w:rPr>
          <w:rFonts w:hint="eastAsia"/>
          <w:szCs w:val="24"/>
        </w:rPr>
        <w:t>”</w:t>
      </w:r>
      <w:r>
        <w:rPr>
          <w:szCs w:val="24"/>
        </w:rPr>
        <w:t>培育建设学科，植物保护专业获山东省高水平应用型立项建设专业和教育服务新旧动能转化支持专业。学科和平台建设经费投入3000万元。现有山东省农业微生物重点实验室、山东省蔬菜病虫生物学重点实验室、山东省高校农药毒理与应用技术重点实验室、山东省烟草病虫害研究中心、山东省林业有害生物防控工程技术研究中心等五个省级研究平台。</w:t>
      </w:r>
    </w:p>
    <w:p>
      <w:pPr>
        <w:keepNext w:val="0"/>
        <w:keepLines w:val="0"/>
        <w:pageBreakBefore w:val="0"/>
        <w:widowControl w:val="0"/>
        <w:kinsoku/>
        <w:wordWrap/>
        <w:overflowPunct/>
        <w:topLinePunct w:val="0"/>
        <w:autoSpaceDE/>
        <w:autoSpaceDN/>
        <w:bidi w:val="0"/>
        <w:adjustRightInd/>
        <w:snapToGrid/>
        <w:spacing w:line="410" w:lineRule="exact"/>
        <w:ind w:firstLine="480"/>
        <w:textAlignment w:val="auto"/>
      </w:pPr>
      <w:r>
        <w:t>雄厚的学科基础、丰硕的教学科研成果和植物检疫专业教师严谨的治学态度，形成了良好育人环境和浓厚的植检文化，为高素质人才的健康成长创造了良好的平台和环境。</w:t>
      </w:r>
    </w:p>
    <w:p>
      <w:pPr>
        <w:keepNext w:val="0"/>
        <w:keepLines w:val="0"/>
        <w:pageBreakBefore w:val="0"/>
        <w:widowControl w:val="0"/>
        <w:kinsoku/>
        <w:wordWrap/>
        <w:overflowPunct/>
        <w:topLinePunct w:val="0"/>
        <w:autoSpaceDE/>
        <w:autoSpaceDN/>
        <w:bidi w:val="0"/>
        <w:adjustRightInd/>
        <w:snapToGrid/>
        <w:spacing w:line="410" w:lineRule="exact"/>
        <w:ind w:firstLine="480"/>
        <w:textAlignment w:val="auto"/>
        <w:rPr>
          <w:szCs w:val="24"/>
          <w:lang w:bidi="ar"/>
        </w:rPr>
      </w:pPr>
      <w:r>
        <w:t>创新创业教育方面。创新是社会发展的动力。将所学知识与创新创业深入融合，并以此为基础进行扩展是本专业的主要目标，主要采取如下措施：①</w:t>
      </w:r>
      <w:r>
        <w:rPr>
          <w:szCs w:val="24"/>
          <w:lang w:bidi="ar"/>
        </w:rPr>
        <w:t>积极动员学生参加并主持SRT科技创新研究</w:t>
      </w:r>
      <w:r>
        <w:t>；②</w:t>
      </w:r>
      <w:r>
        <w:rPr>
          <w:szCs w:val="24"/>
          <w:lang w:bidi="ar"/>
        </w:rPr>
        <w:t>邀请有创新创业比赛经验的专家，为同学们介绍比赛相关内容和创新创业相关的知识，或者观看创新创业路演视频</w:t>
      </w:r>
      <w:r>
        <w:t>；③通过教学实践环节组织学生深入海关、植检站、森保站，以及企业和农村，将理论直接与实践结合，并考察社会对人才和技术的需求；④利用假期时间，组织本专业的学生参加专业领域的社会实践，提高实习能力，满足社会对人才和技术的需求现状；⑤</w:t>
      </w:r>
      <w:r>
        <w:rPr>
          <w:szCs w:val="24"/>
          <w:lang w:bidi="ar"/>
        </w:rPr>
        <w:t>高质量组织好如中国</w:t>
      </w:r>
      <w:r>
        <w:rPr>
          <w:rFonts w:hint="eastAsia"/>
          <w:szCs w:val="24"/>
          <w:lang w:bidi="ar"/>
        </w:rPr>
        <w:t>“</w:t>
      </w:r>
      <w:r>
        <w:rPr>
          <w:szCs w:val="24"/>
          <w:lang w:bidi="ar"/>
        </w:rPr>
        <w:t>互联网+</w:t>
      </w:r>
      <w:r>
        <w:rPr>
          <w:rFonts w:hint="eastAsia"/>
          <w:szCs w:val="24"/>
          <w:lang w:bidi="ar"/>
        </w:rPr>
        <w:t>”</w:t>
      </w:r>
      <w:r>
        <w:rPr>
          <w:szCs w:val="24"/>
          <w:lang w:bidi="ar"/>
        </w:rPr>
        <w:t>创新创业大赛、</w:t>
      </w:r>
      <w:r>
        <w:rPr>
          <w:rFonts w:hint="eastAsia"/>
          <w:szCs w:val="24"/>
          <w:lang w:bidi="ar"/>
        </w:rPr>
        <w:t>“</w:t>
      </w:r>
      <w:r>
        <w:rPr>
          <w:szCs w:val="24"/>
          <w:lang w:bidi="ar"/>
        </w:rPr>
        <w:t>创青春</w:t>
      </w:r>
      <w:r>
        <w:rPr>
          <w:rFonts w:hint="eastAsia"/>
          <w:szCs w:val="24"/>
          <w:lang w:bidi="ar"/>
        </w:rPr>
        <w:t>”</w:t>
      </w:r>
      <w:r>
        <w:rPr>
          <w:szCs w:val="24"/>
          <w:lang w:bidi="ar"/>
        </w:rPr>
        <w:t>全国大学生创业大赛等创新创业大赛，做好赛事宣传发动、团队组建、项目参与、赛事指导、参赛项目打磨等工作。</w:t>
      </w:r>
    </w:p>
    <w:p>
      <w:pPr>
        <w:keepNext w:val="0"/>
        <w:keepLines w:val="0"/>
        <w:pageBreakBefore w:val="0"/>
        <w:widowControl w:val="0"/>
        <w:kinsoku/>
        <w:wordWrap/>
        <w:overflowPunct/>
        <w:topLinePunct w:val="0"/>
        <w:autoSpaceDE/>
        <w:autoSpaceDN/>
        <w:bidi w:val="0"/>
        <w:adjustRightInd/>
        <w:snapToGrid/>
        <w:spacing w:line="410" w:lineRule="exact"/>
        <w:ind w:firstLine="480"/>
        <w:textAlignment w:val="auto"/>
      </w:pPr>
      <w:r>
        <w:t>以课程学习和考研为抓手，促进形成良好学风，并抓好就业指导工作，本专业考研率和就业率在学校一直名列前茅。</w:t>
      </w:r>
    </w:p>
    <w:p>
      <w:pPr>
        <w:pStyle w:val="5"/>
        <w:spacing w:before="93" w:after="93"/>
        <w:ind w:firstLine="560"/>
      </w:pPr>
      <w:r>
        <w:t>三、培养条件（教学经费投入、教学设备、教师队伍建设、实习基地、现代教学技术应用等）</w:t>
      </w:r>
    </w:p>
    <w:p>
      <w:pPr>
        <w:pStyle w:val="7"/>
        <w:ind w:firstLine="480"/>
      </w:pPr>
      <w:r>
        <w:t>1</w:t>
      </w:r>
      <w:r>
        <w:rPr>
          <w:rFonts w:hint="eastAsia"/>
          <w:lang w:eastAsia="zh-CN"/>
        </w:rPr>
        <w:t>.</w:t>
      </w:r>
      <w:r>
        <w:t>教学经费投入</w:t>
      </w:r>
    </w:p>
    <w:p>
      <w:pPr>
        <w:ind w:firstLine="480"/>
        <w:rPr>
          <w:color w:val="000000"/>
        </w:rPr>
      </w:pPr>
      <w:r>
        <w:rPr>
          <w:color w:val="000000"/>
          <w:szCs w:val="24"/>
        </w:rPr>
        <w:t>2020-2021学年，</w:t>
      </w:r>
      <w:r>
        <w:rPr>
          <w:color w:val="000000"/>
        </w:rPr>
        <w:t>学校投入教学基本运行经费100余万元，争取到新旧动能转换、高水平学科建设有关项目经费480余万元用于购置实验教学仪器设备。</w:t>
      </w:r>
    </w:p>
    <w:p>
      <w:pPr>
        <w:pStyle w:val="7"/>
        <w:ind w:firstLine="480"/>
      </w:pPr>
      <w:r>
        <w:t>2</w:t>
      </w:r>
      <w:r>
        <w:rPr>
          <w:rFonts w:hint="eastAsia"/>
          <w:lang w:eastAsia="zh-CN"/>
        </w:rPr>
        <w:t>.</w:t>
      </w:r>
      <w:r>
        <w:t>教学设备</w:t>
      </w:r>
    </w:p>
    <w:p>
      <w:pPr>
        <w:ind w:firstLine="480"/>
        <w:jc w:val="left"/>
        <w:rPr>
          <w:szCs w:val="24"/>
        </w:rPr>
      </w:pPr>
      <w:r>
        <w:rPr>
          <w:szCs w:val="24"/>
        </w:rPr>
        <w:t>经过几十年的建设，目前用于教学的仪器设备齐全，教学实验中心总面积3686.14平方米；现有12个实验室，有昆虫、植病、杂草等3个标本室，中心拥有6个数码互动实验室、高级冷冻离心机、PCR仪、紫外分光光度计、凝胶成像系统、高级研究显微镜、气相色谱仪、高效液相色谱仪、电子天平、电泳仪等仪器设备2800余台（件），2020-2021学年新购置昆虫行为习性观察分析系统、全自动连续流动化学分析仪、高速冷冻离心机、超高效液相色谱仪、气相色谱仪等高端仪器设备，设备新增值480余万元，教学仪器设备总值达2557.89万元，大大提升了平台设备水平，虚拟仿真实验室在建设中，可满足教学和学生创新研究的需要。</w:t>
      </w:r>
    </w:p>
    <w:p>
      <w:pPr>
        <w:spacing w:line="240" w:lineRule="auto"/>
        <w:jc w:val="center"/>
        <w:rPr>
          <w:szCs w:val="24"/>
        </w:rPr>
      </w:pPr>
      <w:r>
        <w:rPr>
          <w:szCs w:val="24"/>
        </w:rPr>
        <w:drawing>
          <wp:inline distT="0" distB="0" distL="0" distR="0">
            <wp:extent cx="5282565" cy="2051685"/>
            <wp:effectExtent l="0" t="0" r="1333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293873" cy="2055884"/>
                    </a:xfrm>
                    <a:prstGeom prst="rect">
                      <a:avLst/>
                    </a:prstGeom>
                    <a:noFill/>
                  </pic:spPr>
                </pic:pic>
              </a:graphicData>
            </a:graphic>
          </wp:inline>
        </w:drawing>
      </w:r>
    </w:p>
    <w:p>
      <w:pPr>
        <w:spacing w:line="240" w:lineRule="auto"/>
        <w:jc w:val="center"/>
        <w:rPr>
          <w:szCs w:val="24"/>
        </w:rPr>
      </w:pPr>
      <w:r>
        <w:rPr>
          <w:szCs w:val="24"/>
        </w:rPr>
        <w:drawing>
          <wp:inline distT="0" distB="0" distL="0" distR="0">
            <wp:extent cx="5299075" cy="1743710"/>
            <wp:effectExtent l="0" t="0" r="1587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329267" cy="1753973"/>
                    </a:xfrm>
                    <a:prstGeom prst="rect">
                      <a:avLst/>
                    </a:prstGeom>
                    <a:noFill/>
                  </pic:spPr>
                </pic:pic>
              </a:graphicData>
            </a:graphic>
          </wp:inline>
        </w:drawing>
      </w:r>
    </w:p>
    <w:p>
      <w:pPr>
        <w:jc w:val="center"/>
        <w:rPr>
          <w:b/>
          <w:bCs/>
          <w:sz w:val="21"/>
          <w:szCs w:val="21"/>
        </w:rPr>
      </w:pPr>
      <w:r>
        <w:rPr>
          <w:b/>
          <w:bCs/>
          <w:sz w:val="21"/>
          <w:szCs w:val="21"/>
        </w:rPr>
        <w:t>图1  实验条件及学生实验</w:t>
      </w:r>
    </w:p>
    <w:p/>
    <w:p>
      <w:pPr>
        <w:pStyle w:val="6"/>
        <w:ind w:firstLine="480"/>
      </w:pPr>
      <w:r>
        <w:t>3</w:t>
      </w:r>
      <w:r>
        <w:rPr>
          <w:rFonts w:hint="eastAsia"/>
          <w:lang w:eastAsia="zh-CN"/>
        </w:rPr>
        <w:t>.</w:t>
      </w:r>
      <w:r>
        <w:t>教师队伍建设</w:t>
      </w:r>
    </w:p>
    <w:p>
      <w:pPr>
        <w:ind w:firstLine="480"/>
      </w:pPr>
      <w:r>
        <w:t>本专业现有专任教师7人，基本都有博士学位，其中教授4人，副教授2人，讲师1人。另外高级实验师1人、实验师1人。</w:t>
      </w:r>
    </w:p>
    <w:p>
      <w:pPr>
        <w:spacing w:line="240" w:lineRule="auto"/>
        <w:ind w:firstLine="480"/>
        <w:jc w:val="center"/>
      </w:pPr>
      <w:r>
        <w:drawing>
          <wp:inline distT="0" distB="0" distL="0" distR="0">
            <wp:extent cx="2628900" cy="1732280"/>
            <wp:effectExtent l="4445" t="4445" r="14605" b="15875"/>
            <wp:docPr id="179" name="图表 17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pPr>
        <w:jc w:val="center"/>
      </w:pPr>
      <w:r>
        <w:rPr>
          <w:b/>
          <w:bCs/>
          <w:sz w:val="21"/>
          <w:szCs w:val="21"/>
        </w:rPr>
        <w:t>图2  植检专业教师结构</w:t>
      </w:r>
    </w:p>
    <w:p>
      <w:pPr>
        <w:ind w:firstLine="480"/>
      </w:pPr>
      <w:r>
        <w:t>除专任教师外，聘请吉林农业大学李玉教授（中国工程院院士），美国密西西比州立大学吕士恩教授（美国细菌学会专业委员会主席），美国俄勒岗州立大学Brett Tyler教授（世界卵菌学会主席），比利时烈日大学Frederic Francis博士、台湾中兴大学昆虫系齐心教授，芬兰赫尔辛基大学加林·瓦尔科宁（</w:t>
      </w:r>
      <w:r>
        <w:rPr>
          <w:bCs/>
        </w:rPr>
        <w:t>芬兰科学院</w:t>
      </w:r>
      <w:r>
        <w:t>院士）受聘我校讲座教授，这些教授在国内外行业中都有较高的影响力。</w:t>
      </w:r>
    </w:p>
    <w:p>
      <w:pPr>
        <w:pStyle w:val="7"/>
        <w:ind w:firstLine="480"/>
      </w:pPr>
      <w:r>
        <w:t>4</w:t>
      </w:r>
      <w:r>
        <w:rPr>
          <w:rFonts w:hint="eastAsia"/>
          <w:lang w:eastAsia="zh-CN"/>
        </w:rPr>
        <w:t>.</w:t>
      </w:r>
      <w:r>
        <w:t>实习基地</w:t>
      </w:r>
    </w:p>
    <w:p>
      <w:pPr>
        <w:ind w:firstLine="480"/>
      </w:pPr>
      <w:r>
        <w:t>依托45亩校内实验站园和泰安海关、泉城海关、临沂海关、日照海关、黄岛海关、青岛大港海关、济宁海关、潍坊海关、菏泽海关、威海海关等，山东省植物保护总站、泰安市植保站、泰安市森保站、济南祥辰科技有限公司等近20处校外实习基地，可满足学生教学实验实习、科研试验和创新，基本能够满足学生校外实训需要。</w:t>
      </w:r>
    </w:p>
    <w:p>
      <w:pPr>
        <w:jc w:val="center"/>
        <w:rPr>
          <w:b/>
          <w:bCs/>
          <w:sz w:val="21"/>
          <w:szCs w:val="21"/>
        </w:rPr>
      </w:pPr>
      <w:r>
        <w:rPr>
          <w:b/>
          <w:bCs/>
          <w:sz w:val="21"/>
          <w:szCs w:val="21"/>
        </w:rPr>
        <w:t>表1  部分校外教学科研实践育人基地</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5"/>
        <w:gridCol w:w="4212"/>
        <w:gridCol w:w="4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39" w:type="pct"/>
            <w:vAlign w:val="center"/>
          </w:tcPr>
          <w:p>
            <w:pPr>
              <w:jc w:val="center"/>
              <w:rPr>
                <w:b/>
                <w:bCs/>
                <w:sz w:val="21"/>
                <w:szCs w:val="21"/>
              </w:rPr>
            </w:pPr>
            <w:r>
              <w:rPr>
                <w:b/>
                <w:bCs/>
                <w:sz w:val="21"/>
                <w:szCs w:val="21"/>
              </w:rPr>
              <w:t>序号</w:t>
            </w:r>
          </w:p>
        </w:tc>
        <w:tc>
          <w:tcPr>
            <w:tcW w:w="2325" w:type="pct"/>
            <w:vAlign w:val="center"/>
          </w:tcPr>
          <w:p>
            <w:pPr>
              <w:jc w:val="center"/>
              <w:rPr>
                <w:b/>
                <w:bCs/>
                <w:sz w:val="21"/>
                <w:szCs w:val="21"/>
              </w:rPr>
            </w:pPr>
            <w:r>
              <w:rPr>
                <w:b/>
                <w:bCs/>
                <w:sz w:val="21"/>
                <w:szCs w:val="21"/>
              </w:rPr>
              <w:t>名称</w:t>
            </w:r>
          </w:p>
        </w:tc>
        <w:tc>
          <w:tcPr>
            <w:tcW w:w="2235" w:type="pct"/>
            <w:vAlign w:val="center"/>
          </w:tcPr>
          <w:p>
            <w:pPr>
              <w:jc w:val="center"/>
              <w:rPr>
                <w:b/>
                <w:bCs/>
                <w:sz w:val="21"/>
                <w:szCs w:val="21"/>
              </w:rPr>
            </w:pPr>
            <w:r>
              <w:rPr>
                <w:b/>
                <w:bCs/>
                <w:sz w:val="21"/>
                <w:szCs w:val="21"/>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pct"/>
            <w:vAlign w:val="center"/>
          </w:tcPr>
          <w:p>
            <w:pPr>
              <w:jc w:val="center"/>
              <w:rPr>
                <w:sz w:val="21"/>
                <w:szCs w:val="21"/>
              </w:rPr>
            </w:pPr>
            <w:r>
              <w:rPr>
                <w:sz w:val="21"/>
                <w:szCs w:val="21"/>
              </w:rPr>
              <w:t>1</w:t>
            </w:r>
          </w:p>
        </w:tc>
        <w:tc>
          <w:tcPr>
            <w:tcW w:w="2325" w:type="pct"/>
            <w:vAlign w:val="center"/>
          </w:tcPr>
          <w:p>
            <w:pPr>
              <w:jc w:val="center"/>
              <w:rPr>
                <w:sz w:val="21"/>
                <w:szCs w:val="21"/>
              </w:rPr>
            </w:pPr>
            <w:r>
              <w:rPr>
                <w:sz w:val="21"/>
                <w:szCs w:val="21"/>
              </w:rPr>
              <w:t>泰安市农业农村局植保站</w:t>
            </w:r>
          </w:p>
        </w:tc>
        <w:tc>
          <w:tcPr>
            <w:tcW w:w="2235" w:type="pct"/>
            <w:vAlign w:val="center"/>
          </w:tcPr>
          <w:p>
            <w:pPr>
              <w:jc w:val="center"/>
              <w:rPr>
                <w:sz w:val="21"/>
                <w:szCs w:val="21"/>
              </w:rPr>
            </w:pPr>
            <w:r>
              <w:rPr>
                <w:sz w:val="21"/>
                <w:szCs w:val="21"/>
              </w:rPr>
              <w:t>泰安市奈河东路1号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pct"/>
            <w:vAlign w:val="center"/>
          </w:tcPr>
          <w:p>
            <w:pPr>
              <w:jc w:val="center"/>
              <w:rPr>
                <w:sz w:val="21"/>
                <w:szCs w:val="21"/>
              </w:rPr>
            </w:pPr>
            <w:r>
              <w:rPr>
                <w:sz w:val="21"/>
                <w:szCs w:val="21"/>
              </w:rPr>
              <w:t>2</w:t>
            </w:r>
          </w:p>
        </w:tc>
        <w:tc>
          <w:tcPr>
            <w:tcW w:w="2325" w:type="pct"/>
            <w:vAlign w:val="center"/>
          </w:tcPr>
          <w:p>
            <w:pPr>
              <w:jc w:val="center"/>
              <w:rPr>
                <w:sz w:val="21"/>
                <w:szCs w:val="21"/>
              </w:rPr>
            </w:pPr>
            <w:r>
              <w:rPr>
                <w:sz w:val="21"/>
                <w:szCs w:val="21"/>
              </w:rPr>
              <w:t>山东省植保总站</w:t>
            </w:r>
          </w:p>
        </w:tc>
        <w:tc>
          <w:tcPr>
            <w:tcW w:w="2235" w:type="pct"/>
            <w:vAlign w:val="center"/>
          </w:tcPr>
          <w:p>
            <w:pPr>
              <w:jc w:val="center"/>
              <w:rPr>
                <w:sz w:val="21"/>
                <w:szCs w:val="21"/>
              </w:rPr>
            </w:pPr>
            <w:r>
              <w:rPr>
                <w:sz w:val="21"/>
                <w:szCs w:val="21"/>
              </w:rPr>
              <w:t>济南桑园路2号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pct"/>
            <w:vAlign w:val="center"/>
          </w:tcPr>
          <w:p>
            <w:pPr>
              <w:jc w:val="center"/>
              <w:rPr>
                <w:sz w:val="21"/>
                <w:szCs w:val="21"/>
              </w:rPr>
            </w:pPr>
            <w:r>
              <w:rPr>
                <w:sz w:val="21"/>
                <w:szCs w:val="21"/>
              </w:rPr>
              <w:t>3</w:t>
            </w:r>
          </w:p>
        </w:tc>
        <w:tc>
          <w:tcPr>
            <w:tcW w:w="2325" w:type="pct"/>
            <w:vAlign w:val="center"/>
          </w:tcPr>
          <w:p>
            <w:pPr>
              <w:jc w:val="center"/>
              <w:rPr>
                <w:sz w:val="21"/>
                <w:szCs w:val="21"/>
              </w:rPr>
            </w:pPr>
            <w:r>
              <w:rPr>
                <w:sz w:val="21"/>
                <w:szCs w:val="21"/>
              </w:rPr>
              <w:t>山东省农业科学院植保所</w:t>
            </w:r>
          </w:p>
        </w:tc>
        <w:tc>
          <w:tcPr>
            <w:tcW w:w="2235" w:type="pct"/>
            <w:vAlign w:val="center"/>
          </w:tcPr>
          <w:p>
            <w:pPr>
              <w:jc w:val="center"/>
              <w:rPr>
                <w:sz w:val="21"/>
                <w:szCs w:val="21"/>
              </w:rPr>
            </w:pPr>
            <w:r>
              <w:rPr>
                <w:sz w:val="21"/>
                <w:szCs w:val="21"/>
              </w:rPr>
              <w:t>山东济南工业北路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pct"/>
            <w:vAlign w:val="center"/>
          </w:tcPr>
          <w:p>
            <w:pPr>
              <w:jc w:val="center"/>
              <w:rPr>
                <w:sz w:val="21"/>
                <w:szCs w:val="21"/>
              </w:rPr>
            </w:pPr>
            <w:r>
              <w:rPr>
                <w:sz w:val="21"/>
                <w:szCs w:val="21"/>
              </w:rPr>
              <w:t>4</w:t>
            </w:r>
          </w:p>
        </w:tc>
        <w:tc>
          <w:tcPr>
            <w:tcW w:w="2325" w:type="pct"/>
            <w:vAlign w:val="center"/>
          </w:tcPr>
          <w:p>
            <w:pPr>
              <w:jc w:val="center"/>
              <w:rPr>
                <w:sz w:val="21"/>
                <w:szCs w:val="21"/>
              </w:rPr>
            </w:pPr>
            <w:r>
              <w:rPr>
                <w:sz w:val="21"/>
                <w:szCs w:val="21"/>
              </w:rPr>
              <w:t>泰安海关</w:t>
            </w:r>
          </w:p>
        </w:tc>
        <w:tc>
          <w:tcPr>
            <w:tcW w:w="2235" w:type="pct"/>
            <w:vAlign w:val="center"/>
          </w:tcPr>
          <w:p>
            <w:pPr>
              <w:jc w:val="center"/>
              <w:rPr>
                <w:sz w:val="21"/>
                <w:szCs w:val="21"/>
              </w:rPr>
            </w:pPr>
            <w:r>
              <w:rPr>
                <w:sz w:val="21"/>
                <w:szCs w:val="21"/>
              </w:rPr>
              <w:t>泰安市东岳大街468号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pct"/>
            <w:vAlign w:val="center"/>
          </w:tcPr>
          <w:p>
            <w:pPr>
              <w:jc w:val="center"/>
              <w:rPr>
                <w:sz w:val="21"/>
                <w:szCs w:val="21"/>
              </w:rPr>
            </w:pPr>
            <w:r>
              <w:rPr>
                <w:sz w:val="21"/>
                <w:szCs w:val="21"/>
              </w:rPr>
              <w:t>5</w:t>
            </w:r>
          </w:p>
        </w:tc>
        <w:tc>
          <w:tcPr>
            <w:tcW w:w="2325" w:type="pct"/>
            <w:vAlign w:val="center"/>
          </w:tcPr>
          <w:p>
            <w:pPr>
              <w:jc w:val="center"/>
              <w:rPr>
                <w:sz w:val="21"/>
                <w:szCs w:val="21"/>
              </w:rPr>
            </w:pPr>
            <w:r>
              <w:rPr>
                <w:sz w:val="21"/>
                <w:szCs w:val="21"/>
              </w:rPr>
              <w:t>泉城海关</w:t>
            </w:r>
          </w:p>
        </w:tc>
        <w:tc>
          <w:tcPr>
            <w:tcW w:w="2235" w:type="pct"/>
            <w:vAlign w:val="center"/>
          </w:tcPr>
          <w:p>
            <w:pPr>
              <w:jc w:val="center"/>
              <w:rPr>
                <w:sz w:val="21"/>
                <w:szCs w:val="21"/>
              </w:rPr>
            </w:pPr>
            <w:r>
              <w:rPr>
                <w:sz w:val="21"/>
                <w:szCs w:val="21"/>
              </w:rPr>
              <w:t>济南市历下区区二环东路5812号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pct"/>
            <w:vAlign w:val="center"/>
          </w:tcPr>
          <w:p>
            <w:pPr>
              <w:jc w:val="center"/>
              <w:rPr>
                <w:sz w:val="21"/>
                <w:szCs w:val="21"/>
              </w:rPr>
            </w:pPr>
            <w:r>
              <w:rPr>
                <w:sz w:val="21"/>
                <w:szCs w:val="21"/>
              </w:rPr>
              <w:t>6</w:t>
            </w:r>
          </w:p>
        </w:tc>
        <w:tc>
          <w:tcPr>
            <w:tcW w:w="2325" w:type="pct"/>
            <w:vAlign w:val="center"/>
          </w:tcPr>
          <w:p>
            <w:pPr>
              <w:jc w:val="center"/>
              <w:rPr>
                <w:sz w:val="21"/>
                <w:szCs w:val="21"/>
              </w:rPr>
            </w:pPr>
            <w:r>
              <w:rPr>
                <w:sz w:val="21"/>
                <w:szCs w:val="21"/>
              </w:rPr>
              <w:t>菏泽海关</w:t>
            </w:r>
          </w:p>
        </w:tc>
        <w:tc>
          <w:tcPr>
            <w:tcW w:w="2235" w:type="pct"/>
            <w:vAlign w:val="center"/>
          </w:tcPr>
          <w:p>
            <w:pPr>
              <w:jc w:val="center"/>
              <w:rPr>
                <w:sz w:val="21"/>
                <w:szCs w:val="21"/>
              </w:rPr>
            </w:pPr>
            <w:r>
              <w:rPr>
                <w:sz w:val="21"/>
                <w:szCs w:val="21"/>
              </w:rPr>
              <w:t>菏泽市中华路1000号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pct"/>
            <w:vAlign w:val="center"/>
          </w:tcPr>
          <w:p>
            <w:pPr>
              <w:jc w:val="center"/>
              <w:rPr>
                <w:sz w:val="21"/>
                <w:szCs w:val="21"/>
              </w:rPr>
            </w:pPr>
            <w:r>
              <w:rPr>
                <w:sz w:val="21"/>
                <w:szCs w:val="21"/>
              </w:rPr>
              <w:t>7</w:t>
            </w:r>
          </w:p>
        </w:tc>
        <w:tc>
          <w:tcPr>
            <w:tcW w:w="2325" w:type="pct"/>
            <w:vAlign w:val="center"/>
          </w:tcPr>
          <w:p>
            <w:pPr>
              <w:jc w:val="center"/>
              <w:rPr>
                <w:sz w:val="21"/>
                <w:szCs w:val="21"/>
              </w:rPr>
            </w:pPr>
            <w:r>
              <w:rPr>
                <w:sz w:val="21"/>
                <w:szCs w:val="21"/>
              </w:rPr>
              <w:t>临沂海关</w:t>
            </w:r>
          </w:p>
        </w:tc>
        <w:tc>
          <w:tcPr>
            <w:tcW w:w="2235" w:type="pct"/>
            <w:vAlign w:val="center"/>
          </w:tcPr>
          <w:p>
            <w:pPr>
              <w:jc w:val="center"/>
              <w:rPr>
                <w:sz w:val="21"/>
                <w:szCs w:val="21"/>
              </w:rPr>
            </w:pPr>
            <w:r>
              <w:rPr>
                <w:sz w:val="21"/>
                <w:szCs w:val="21"/>
              </w:rPr>
              <w:t>临沂市河东区凤凰大街西段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pct"/>
            <w:vAlign w:val="center"/>
          </w:tcPr>
          <w:p>
            <w:pPr>
              <w:jc w:val="center"/>
              <w:rPr>
                <w:sz w:val="21"/>
                <w:szCs w:val="21"/>
              </w:rPr>
            </w:pPr>
            <w:r>
              <w:rPr>
                <w:sz w:val="21"/>
                <w:szCs w:val="21"/>
              </w:rPr>
              <w:t>8</w:t>
            </w:r>
          </w:p>
        </w:tc>
        <w:tc>
          <w:tcPr>
            <w:tcW w:w="2325" w:type="pct"/>
            <w:vAlign w:val="center"/>
          </w:tcPr>
          <w:p>
            <w:pPr>
              <w:jc w:val="center"/>
              <w:rPr>
                <w:sz w:val="21"/>
                <w:szCs w:val="21"/>
              </w:rPr>
            </w:pPr>
            <w:r>
              <w:rPr>
                <w:sz w:val="21"/>
                <w:szCs w:val="21"/>
              </w:rPr>
              <w:t>日照海关</w:t>
            </w:r>
          </w:p>
        </w:tc>
        <w:tc>
          <w:tcPr>
            <w:tcW w:w="2235" w:type="pct"/>
            <w:vAlign w:val="center"/>
          </w:tcPr>
          <w:p>
            <w:pPr>
              <w:jc w:val="center"/>
              <w:rPr>
                <w:sz w:val="21"/>
                <w:szCs w:val="21"/>
              </w:rPr>
            </w:pPr>
            <w:r>
              <w:rPr>
                <w:sz w:val="21"/>
                <w:szCs w:val="21"/>
              </w:rPr>
              <w:t>日照市连云港路99号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pct"/>
            <w:vAlign w:val="center"/>
          </w:tcPr>
          <w:p>
            <w:pPr>
              <w:jc w:val="center"/>
              <w:rPr>
                <w:sz w:val="21"/>
                <w:szCs w:val="21"/>
              </w:rPr>
            </w:pPr>
            <w:r>
              <w:rPr>
                <w:sz w:val="21"/>
                <w:szCs w:val="21"/>
              </w:rPr>
              <w:t>9</w:t>
            </w:r>
          </w:p>
        </w:tc>
        <w:tc>
          <w:tcPr>
            <w:tcW w:w="2325" w:type="pct"/>
            <w:vAlign w:val="center"/>
          </w:tcPr>
          <w:p>
            <w:pPr>
              <w:jc w:val="center"/>
              <w:rPr>
                <w:sz w:val="21"/>
                <w:szCs w:val="21"/>
              </w:rPr>
            </w:pPr>
            <w:r>
              <w:rPr>
                <w:sz w:val="21"/>
                <w:szCs w:val="21"/>
              </w:rPr>
              <w:t>黄岛海关</w:t>
            </w:r>
          </w:p>
        </w:tc>
        <w:tc>
          <w:tcPr>
            <w:tcW w:w="2235" w:type="pct"/>
            <w:vAlign w:val="center"/>
          </w:tcPr>
          <w:p>
            <w:pPr>
              <w:jc w:val="center"/>
              <w:rPr>
                <w:sz w:val="21"/>
                <w:szCs w:val="21"/>
              </w:rPr>
            </w:pPr>
            <w:r>
              <w:rPr>
                <w:sz w:val="21"/>
                <w:szCs w:val="21"/>
              </w:rPr>
              <w:t>青岛市经济技术开发区长江中路469号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pct"/>
            <w:vAlign w:val="center"/>
          </w:tcPr>
          <w:p>
            <w:pPr>
              <w:jc w:val="center"/>
              <w:rPr>
                <w:sz w:val="21"/>
                <w:szCs w:val="21"/>
              </w:rPr>
            </w:pPr>
            <w:r>
              <w:rPr>
                <w:sz w:val="21"/>
                <w:szCs w:val="21"/>
              </w:rPr>
              <w:t>10</w:t>
            </w:r>
          </w:p>
        </w:tc>
        <w:tc>
          <w:tcPr>
            <w:tcW w:w="2325" w:type="pct"/>
            <w:vAlign w:val="center"/>
          </w:tcPr>
          <w:p>
            <w:pPr>
              <w:jc w:val="center"/>
              <w:rPr>
                <w:sz w:val="21"/>
                <w:szCs w:val="21"/>
              </w:rPr>
            </w:pPr>
            <w:r>
              <w:rPr>
                <w:sz w:val="21"/>
                <w:szCs w:val="21"/>
              </w:rPr>
              <w:t>青岛大港海关</w:t>
            </w:r>
          </w:p>
        </w:tc>
        <w:tc>
          <w:tcPr>
            <w:tcW w:w="2235" w:type="pct"/>
            <w:vAlign w:val="center"/>
          </w:tcPr>
          <w:p>
            <w:pPr>
              <w:jc w:val="center"/>
              <w:rPr>
                <w:sz w:val="21"/>
                <w:szCs w:val="21"/>
              </w:rPr>
            </w:pPr>
            <w:r>
              <w:rPr>
                <w:sz w:val="21"/>
                <w:szCs w:val="21"/>
              </w:rPr>
              <w:t>青岛市市南区中山路2号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pct"/>
            <w:vAlign w:val="center"/>
          </w:tcPr>
          <w:p>
            <w:pPr>
              <w:jc w:val="center"/>
              <w:rPr>
                <w:sz w:val="21"/>
                <w:szCs w:val="21"/>
              </w:rPr>
            </w:pPr>
            <w:r>
              <w:rPr>
                <w:sz w:val="21"/>
                <w:szCs w:val="21"/>
              </w:rPr>
              <w:t>11</w:t>
            </w:r>
          </w:p>
        </w:tc>
        <w:tc>
          <w:tcPr>
            <w:tcW w:w="2325" w:type="pct"/>
            <w:vAlign w:val="center"/>
          </w:tcPr>
          <w:p>
            <w:pPr>
              <w:jc w:val="center"/>
              <w:rPr>
                <w:sz w:val="21"/>
                <w:szCs w:val="21"/>
              </w:rPr>
            </w:pPr>
            <w:r>
              <w:rPr>
                <w:sz w:val="21"/>
                <w:szCs w:val="21"/>
              </w:rPr>
              <w:t>济宁海关</w:t>
            </w:r>
          </w:p>
        </w:tc>
        <w:tc>
          <w:tcPr>
            <w:tcW w:w="2235" w:type="pct"/>
            <w:vAlign w:val="center"/>
          </w:tcPr>
          <w:p>
            <w:pPr>
              <w:jc w:val="center"/>
              <w:rPr>
                <w:sz w:val="21"/>
                <w:szCs w:val="21"/>
              </w:rPr>
            </w:pPr>
            <w:r>
              <w:rPr>
                <w:sz w:val="21"/>
                <w:szCs w:val="21"/>
              </w:rPr>
              <w:t>济宁市洸河路62号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pct"/>
            <w:vAlign w:val="center"/>
          </w:tcPr>
          <w:p>
            <w:pPr>
              <w:jc w:val="center"/>
              <w:rPr>
                <w:sz w:val="21"/>
                <w:szCs w:val="21"/>
              </w:rPr>
            </w:pPr>
            <w:r>
              <w:rPr>
                <w:sz w:val="21"/>
                <w:szCs w:val="21"/>
              </w:rPr>
              <w:t>12</w:t>
            </w:r>
          </w:p>
        </w:tc>
        <w:tc>
          <w:tcPr>
            <w:tcW w:w="2325" w:type="pct"/>
            <w:vAlign w:val="center"/>
          </w:tcPr>
          <w:p>
            <w:pPr>
              <w:jc w:val="center"/>
              <w:rPr>
                <w:sz w:val="21"/>
                <w:szCs w:val="21"/>
              </w:rPr>
            </w:pPr>
            <w:r>
              <w:rPr>
                <w:sz w:val="21"/>
                <w:szCs w:val="21"/>
              </w:rPr>
              <w:t>潍坊海关</w:t>
            </w:r>
          </w:p>
        </w:tc>
        <w:tc>
          <w:tcPr>
            <w:tcW w:w="2235" w:type="pct"/>
            <w:vAlign w:val="center"/>
          </w:tcPr>
          <w:p>
            <w:pPr>
              <w:jc w:val="center"/>
              <w:rPr>
                <w:sz w:val="21"/>
                <w:szCs w:val="21"/>
              </w:rPr>
            </w:pPr>
            <w:r>
              <w:rPr>
                <w:sz w:val="21"/>
                <w:szCs w:val="21"/>
              </w:rPr>
              <w:t>山东省潍坊市奎文区四平路39号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pct"/>
            <w:vAlign w:val="center"/>
          </w:tcPr>
          <w:p>
            <w:pPr>
              <w:jc w:val="center"/>
              <w:rPr>
                <w:sz w:val="21"/>
                <w:szCs w:val="21"/>
              </w:rPr>
            </w:pPr>
            <w:r>
              <w:rPr>
                <w:sz w:val="21"/>
                <w:szCs w:val="21"/>
              </w:rPr>
              <w:t>13</w:t>
            </w:r>
          </w:p>
        </w:tc>
        <w:tc>
          <w:tcPr>
            <w:tcW w:w="2325" w:type="pct"/>
            <w:vAlign w:val="center"/>
          </w:tcPr>
          <w:p>
            <w:pPr>
              <w:jc w:val="center"/>
              <w:rPr>
                <w:sz w:val="21"/>
                <w:szCs w:val="21"/>
              </w:rPr>
            </w:pPr>
            <w:r>
              <w:rPr>
                <w:sz w:val="21"/>
                <w:szCs w:val="21"/>
              </w:rPr>
              <w:t>威海海关</w:t>
            </w:r>
          </w:p>
        </w:tc>
        <w:tc>
          <w:tcPr>
            <w:tcW w:w="2235" w:type="pct"/>
            <w:vAlign w:val="center"/>
          </w:tcPr>
          <w:p>
            <w:pPr>
              <w:jc w:val="center"/>
              <w:rPr>
                <w:sz w:val="21"/>
                <w:szCs w:val="21"/>
              </w:rPr>
            </w:pPr>
            <w:r>
              <w:rPr>
                <w:sz w:val="21"/>
                <w:szCs w:val="21"/>
              </w:rPr>
              <w:t>威海市海滨北路64号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pct"/>
            <w:vAlign w:val="center"/>
          </w:tcPr>
          <w:p>
            <w:pPr>
              <w:jc w:val="center"/>
              <w:rPr>
                <w:sz w:val="21"/>
                <w:szCs w:val="21"/>
              </w:rPr>
            </w:pPr>
            <w:r>
              <w:rPr>
                <w:sz w:val="21"/>
                <w:szCs w:val="21"/>
              </w:rPr>
              <w:t>14</w:t>
            </w:r>
          </w:p>
        </w:tc>
        <w:tc>
          <w:tcPr>
            <w:tcW w:w="2325" w:type="pct"/>
            <w:vAlign w:val="center"/>
          </w:tcPr>
          <w:p>
            <w:pPr>
              <w:jc w:val="center"/>
              <w:rPr>
                <w:sz w:val="21"/>
                <w:szCs w:val="21"/>
              </w:rPr>
            </w:pPr>
            <w:r>
              <w:rPr>
                <w:sz w:val="21"/>
                <w:szCs w:val="21"/>
              </w:rPr>
              <w:t>泰安市林业局森保站</w:t>
            </w:r>
          </w:p>
        </w:tc>
        <w:tc>
          <w:tcPr>
            <w:tcW w:w="2235" w:type="pct"/>
            <w:vAlign w:val="center"/>
          </w:tcPr>
          <w:p>
            <w:pPr>
              <w:jc w:val="center"/>
              <w:rPr>
                <w:sz w:val="21"/>
                <w:szCs w:val="21"/>
              </w:rPr>
            </w:pPr>
            <w:r>
              <w:rPr>
                <w:sz w:val="21"/>
                <w:szCs w:val="21"/>
              </w:rPr>
              <w:t>泰安市泰山区东岳大街388号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pct"/>
            <w:vAlign w:val="center"/>
          </w:tcPr>
          <w:p>
            <w:pPr>
              <w:jc w:val="center"/>
              <w:rPr>
                <w:sz w:val="21"/>
                <w:szCs w:val="21"/>
              </w:rPr>
            </w:pPr>
            <w:r>
              <w:rPr>
                <w:sz w:val="21"/>
                <w:szCs w:val="21"/>
              </w:rPr>
              <w:t>15</w:t>
            </w:r>
          </w:p>
        </w:tc>
        <w:tc>
          <w:tcPr>
            <w:tcW w:w="2325" w:type="pct"/>
            <w:vAlign w:val="center"/>
          </w:tcPr>
          <w:p>
            <w:pPr>
              <w:jc w:val="center"/>
              <w:rPr>
                <w:sz w:val="21"/>
                <w:szCs w:val="21"/>
              </w:rPr>
            </w:pPr>
            <w:r>
              <w:rPr>
                <w:sz w:val="21"/>
                <w:szCs w:val="21"/>
              </w:rPr>
              <w:t>济南祥辰科技有限公司</w:t>
            </w:r>
          </w:p>
        </w:tc>
        <w:tc>
          <w:tcPr>
            <w:tcW w:w="2235" w:type="pct"/>
            <w:vAlign w:val="center"/>
          </w:tcPr>
          <w:p>
            <w:pPr>
              <w:jc w:val="center"/>
              <w:rPr>
                <w:sz w:val="21"/>
                <w:szCs w:val="21"/>
              </w:rPr>
            </w:pPr>
            <w:r>
              <w:rPr>
                <w:sz w:val="21"/>
                <w:szCs w:val="21"/>
              </w:rPr>
              <w:t>济南市济阳县崔寨镇青宁工业园8号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pct"/>
            <w:vAlign w:val="center"/>
          </w:tcPr>
          <w:p>
            <w:pPr>
              <w:jc w:val="center"/>
              <w:rPr>
                <w:sz w:val="21"/>
                <w:szCs w:val="21"/>
              </w:rPr>
            </w:pPr>
            <w:r>
              <w:rPr>
                <w:sz w:val="21"/>
                <w:szCs w:val="21"/>
              </w:rPr>
              <w:t>16</w:t>
            </w:r>
          </w:p>
        </w:tc>
        <w:tc>
          <w:tcPr>
            <w:tcW w:w="2325" w:type="pct"/>
            <w:vAlign w:val="center"/>
          </w:tcPr>
          <w:p>
            <w:pPr>
              <w:jc w:val="center"/>
              <w:rPr>
                <w:sz w:val="21"/>
                <w:szCs w:val="21"/>
              </w:rPr>
            </w:pPr>
            <w:r>
              <w:rPr>
                <w:sz w:val="21"/>
                <w:szCs w:val="21"/>
              </w:rPr>
              <w:t>山东万豪生态农业集团股份有限公司</w:t>
            </w:r>
          </w:p>
        </w:tc>
        <w:tc>
          <w:tcPr>
            <w:tcW w:w="2235" w:type="pct"/>
            <w:vAlign w:val="center"/>
          </w:tcPr>
          <w:p>
            <w:pPr>
              <w:jc w:val="center"/>
              <w:rPr>
                <w:sz w:val="21"/>
                <w:szCs w:val="21"/>
              </w:rPr>
            </w:pPr>
            <w:r>
              <w:rPr>
                <w:sz w:val="21"/>
                <w:szCs w:val="21"/>
              </w:rPr>
              <w:t>济南市商河县经济开发区力源街东首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pct"/>
            <w:vAlign w:val="center"/>
          </w:tcPr>
          <w:p>
            <w:pPr>
              <w:jc w:val="center"/>
              <w:rPr>
                <w:sz w:val="21"/>
                <w:szCs w:val="21"/>
              </w:rPr>
            </w:pPr>
            <w:r>
              <w:rPr>
                <w:sz w:val="21"/>
                <w:szCs w:val="21"/>
              </w:rPr>
              <w:t>17</w:t>
            </w:r>
          </w:p>
        </w:tc>
        <w:tc>
          <w:tcPr>
            <w:tcW w:w="2325" w:type="pct"/>
            <w:vAlign w:val="center"/>
          </w:tcPr>
          <w:p>
            <w:pPr>
              <w:jc w:val="center"/>
              <w:rPr>
                <w:sz w:val="21"/>
                <w:szCs w:val="21"/>
              </w:rPr>
            </w:pPr>
            <w:r>
              <w:rPr>
                <w:sz w:val="21"/>
                <w:szCs w:val="21"/>
              </w:rPr>
              <w:t>山东博华高效生态农业科技有限公司</w:t>
            </w:r>
          </w:p>
        </w:tc>
        <w:tc>
          <w:tcPr>
            <w:tcW w:w="2235" w:type="pct"/>
            <w:vAlign w:val="center"/>
          </w:tcPr>
          <w:p>
            <w:pPr>
              <w:jc w:val="center"/>
              <w:rPr>
                <w:sz w:val="21"/>
                <w:szCs w:val="21"/>
              </w:rPr>
            </w:pPr>
            <w:r>
              <w:rPr>
                <w:sz w:val="21"/>
                <w:szCs w:val="21"/>
              </w:rPr>
              <w:t>山东省滨州市博兴县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pct"/>
            <w:vAlign w:val="center"/>
          </w:tcPr>
          <w:p>
            <w:pPr>
              <w:jc w:val="center"/>
              <w:rPr>
                <w:sz w:val="21"/>
                <w:szCs w:val="21"/>
              </w:rPr>
            </w:pPr>
            <w:r>
              <w:rPr>
                <w:sz w:val="21"/>
                <w:szCs w:val="21"/>
              </w:rPr>
              <w:t>18</w:t>
            </w:r>
          </w:p>
        </w:tc>
        <w:tc>
          <w:tcPr>
            <w:tcW w:w="2325" w:type="pct"/>
            <w:vAlign w:val="center"/>
          </w:tcPr>
          <w:p>
            <w:pPr>
              <w:jc w:val="center"/>
              <w:rPr>
                <w:sz w:val="21"/>
                <w:szCs w:val="21"/>
              </w:rPr>
            </w:pPr>
            <w:r>
              <w:rPr>
                <w:sz w:val="21"/>
                <w:szCs w:val="21"/>
              </w:rPr>
              <w:t>山东方大工程有限责任公司嘉祥林场</w:t>
            </w:r>
          </w:p>
        </w:tc>
        <w:tc>
          <w:tcPr>
            <w:tcW w:w="2235" w:type="pct"/>
          </w:tcPr>
          <w:p>
            <w:pPr>
              <w:jc w:val="center"/>
              <w:rPr>
                <w:sz w:val="21"/>
                <w:szCs w:val="21"/>
              </w:rPr>
            </w:pPr>
            <w:r>
              <w:rPr>
                <w:sz w:val="21"/>
                <w:szCs w:val="21"/>
              </w:rPr>
              <w:t>嘉祥县大张楼镇红运矿柱林场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pct"/>
            <w:vAlign w:val="center"/>
          </w:tcPr>
          <w:p>
            <w:pPr>
              <w:jc w:val="center"/>
              <w:rPr>
                <w:sz w:val="21"/>
                <w:szCs w:val="21"/>
              </w:rPr>
            </w:pPr>
            <w:r>
              <w:rPr>
                <w:sz w:val="21"/>
                <w:szCs w:val="21"/>
              </w:rPr>
              <w:t>19</w:t>
            </w:r>
          </w:p>
        </w:tc>
        <w:tc>
          <w:tcPr>
            <w:tcW w:w="2325" w:type="pct"/>
            <w:vAlign w:val="center"/>
          </w:tcPr>
          <w:p>
            <w:pPr>
              <w:jc w:val="center"/>
              <w:rPr>
                <w:sz w:val="21"/>
                <w:szCs w:val="21"/>
              </w:rPr>
            </w:pPr>
            <w:r>
              <w:rPr>
                <w:sz w:val="21"/>
                <w:szCs w:val="21"/>
              </w:rPr>
              <w:t>日照市沃塬生态农业发展有限公司</w:t>
            </w:r>
          </w:p>
        </w:tc>
        <w:tc>
          <w:tcPr>
            <w:tcW w:w="2235" w:type="pct"/>
            <w:vAlign w:val="center"/>
          </w:tcPr>
          <w:p>
            <w:pPr>
              <w:jc w:val="center"/>
              <w:rPr>
                <w:sz w:val="21"/>
                <w:szCs w:val="21"/>
              </w:rPr>
            </w:pPr>
            <w:r>
              <w:rPr>
                <w:sz w:val="21"/>
                <w:szCs w:val="21"/>
              </w:rPr>
              <w:t>日照市五莲县高泽镇</w:t>
            </w:r>
          </w:p>
        </w:tc>
      </w:tr>
    </w:tbl>
    <w:p>
      <w:pPr>
        <w:spacing w:line="240" w:lineRule="auto"/>
        <w:jc w:val="center"/>
        <w:rPr>
          <w:sz w:val="21"/>
          <w:szCs w:val="21"/>
        </w:rPr>
      </w:pPr>
      <w:r>
        <w:rPr>
          <w:sz w:val="21"/>
          <w:szCs w:val="21"/>
        </w:rPr>
        <mc:AlternateContent>
          <mc:Choice Requires="wps">
            <w:drawing>
              <wp:inline distT="0" distB="0" distL="114300" distR="114300">
                <wp:extent cx="5264785" cy="3293110"/>
                <wp:effectExtent l="0" t="0" r="12065" b="2540"/>
                <wp:docPr id="181" name="文本框 181"/>
                <wp:cNvGraphicFramePr/>
                <a:graphic xmlns:a="http://schemas.openxmlformats.org/drawingml/2006/main">
                  <a:graphicData uri="http://schemas.microsoft.com/office/word/2010/wordprocessingShape">
                    <wps:wsp>
                      <wps:cNvSpPr txBox="1">
                        <a:spLocks noChangeArrowheads="1"/>
                      </wps:cNvSpPr>
                      <wps:spPr bwMode="auto">
                        <a:xfrm>
                          <a:off x="0" y="0"/>
                          <a:ext cx="5264785" cy="3293110"/>
                        </a:xfrm>
                        <a:prstGeom prst="rect">
                          <a:avLst/>
                        </a:prstGeom>
                        <a:solidFill>
                          <a:srgbClr val="FFFFFF"/>
                        </a:solidFill>
                        <a:ln>
                          <a:noFill/>
                        </a:ln>
                      </wps:spPr>
                      <wps:txbx>
                        <w:txbxContent>
                          <w:p>
                            <w:pPr>
                              <w:spacing w:line="240" w:lineRule="auto"/>
                              <w:jc w:val="center"/>
                            </w:pPr>
                            <w:r>
                              <w:drawing>
                                <wp:inline distT="0" distB="0" distL="0" distR="0">
                                  <wp:extent cx="4711065" cy="3141345"/>
                                  <wp:effectExtent l="0" t="0" r="13335" b="1905"/>
                                  <wp:docPr id="180" name="图片 180" descr="IMG_9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IMG_980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4711065" cy="3141345"/>
                                          </a:xfrm>
                                          <a:prstGeom prst="rect">
                                            <a:avLst/>
                                          </a:prstGeom>
                                          <a:noFill/>
                                          <a:ln>
                                            <a:noFill/>
                                          </a:ln>
                                          <a:effectLst/>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shape id="_x0000_s1026" o:spid="_x0000_s1026" o:spt="202" type="#_x0000_t202" style="height:259.3pt;width:414.55pt;" fillcolor="#FFFFFF" filled="t" stroked="f" coordsize="21600,21600" o:gfxdata="UEsDBAoAAAAAAIdO4kAAAAAAAAAAAAAAAAAEAAAAZHJzL1BLAwQUAAAACACHTuJAMLV1RtQAAAAF&#10;AQAADwAAAGRycy9kb3ducmV2LnhtbE2PQUvDQBCF74L/YRnBi9hNik3TmElBQfHa2h8wyU6TYHY2&#10;ZLdN++9dvehl4PEe731Tbi92UGeefO8EIV0koFgaZ3ppEQ6fb485KB9IDA1OGOHKHrbV7U1JhXGz&#10;7Pi8D62KJeILQuhCGAutfdOxJb9wI0v0jm6yFKKcWm0mmmO5HfQySTJtqZe40NHIrx03X/uTRTh+&#10;zA+rzVy/h8N695S9UL+u3RXx/i5NnkEFvoS/MPzgR3SoIlPtTmK8GhDiI+H3Ri9fblJQNcIqzTPQ&#10;Van/01ffUEsDBBQAAAAIAIdO4kBojUnxLwIAAEMEAAAOAAAAZHJzL2Uyb0RvYy54bWytU82O0zAQ&#10;viPxDpbvNG233e1GTVdLqyKk5UdaeADXcRKLxGPGbpPyAPAGnLhw57n6HIydbinLZQ/kEHk8M9/M&#10;9814ftM1NdspdBpMxkeDIWfKSMi1KTP+8cP6xYwz54XJRQ1GZXyvHL9ZPH82b22qxlBBnStkBGJc&#10;2tqMV97bNEmcrFQj3ACsMuQsABvhycQyyVG0hN7UyXg4vExawNwiSOUc3a56Jz8i4lMAoSi0VCuQ&#10;20YZ36OiqoUnSq7S1vFF7LYolPTvisIpz+qME1Mf/1SEzpvwTxZzkZYobKXlsQXxlBYecWqENlT0&#10;BLUSXrAt6n+gGi0RHBR+IKFJeiJREWIxGj7S5r4SVkUuJLWzJ9Hd/4OVb3fvkemcNmE24syIhkZ+&#10;+P7t8OPX4edXFi5Jota6lCLvLcX67iV0FB7pOnsH8pNjBpaVMKW6RYS2UiKnFmNmcpba47gAsmnf&#10;QE6VxNZDBOoKbIJ+pAgjdBrP/jQe1Xkm6XI6vpxczaacSfJdjK8vRqM4wESkD+kWnX+loGHhkHGk&#10;+Ud4sbtznohQ6ENIqOag1vla13U0sNwsa2Q7Qbuyjl/gTil/hdUmBBsIab073ESegVpP0neb7qjb&#10;BvI9MUbod49eHh0qwC+ctbR3GXeftwIVZ/VrQ6pdjyaTsKjRmEyvxmTguWdz7hFGElTGPWf9cen7&#10;5d5a1GVFlfo5GbglpQsdNQgj6bs69k27FXke30FY3nM7Rv15+4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MLV1RtQAAAAFAQAADwAAAAAAAAABACAAAAAiAAAAZHJzL2Rvd25yZXYueG1sUEsBAhQA&#10;FAAAAAgAh07iQGiNSfEvAgAAQwQAAA4AAAAAAAAAAQAgAAAAIwEAAGRycy9lMm9Eb2MueG1sUEsF&#10;BgAAAAAGAAYAWQEAAMQFAAAAAA==&#10;">
                <v:fill on="t" focussize="0,0"/>
                <v:stroke on="f"/>
                <v:imagedata o:title=""/>
                <o:lock v:ext="edit" aspectratio="f"/>
                <v:textbox>
                  <w:txbxContent>
                    <w:p>
                      <w:pPr>
                        <w:spacing w:line="240" w:lineRule="auto"/>
                        <w:jc w:val="center"/>
                      </w:pPr>
                      <w:r>
                        <w:drawing>
                          <wp:inline distT="0" distB="0" distL="0" distR="0">
                            <wp:extent cx="4711065" cy="3141345"/>
                            <wp:effectExtent l="0" t="0" r="13335" b="1905"/>
                            <wp:docPr id="180" name="图片 180" descr="IMG_9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IMG_980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4711065" cy="3141345"/>
                                    </a:xfrm>
                                    <a:prstGeom prst="rect">
                                      <a:avLst/>
                                    </a:prstGeom>
                                    <a:noFill/>
                                    <a:ln>
                                      <a:noFill/>
                                    </a:ln>
                                    <a:effectLst/>
                                  </pic:spPr>
                                </pic:pic>
                              </a:graphicData>
                            </a:graphic>
                          </wp:inline>
                        </w:drawing>
                      </w:r>
                    </w:p>
                  </w:txbxContent>
                </v:textbox>
                <w10:wrap type="none"/>
                <w10:anchorlock/>
              </v:shape>
            </w:pict>
          </mc:Fallback>
        </mc:AlternateContent>
      </w:r>
    </w:p>
    <w:p>
      <w:pPr>
        <w:jc w:val="center"/>
        <w:rPr>
          <w:b/>
          <w:bCs/>
          <w:sz w:val="21"/>
          <w:szCs w:val="21"/>
        </w:rPr>
      </w:pPr>
      <w:r>
        <w:rPr>
          <w:b/>
          <w:bCs/>
          <w:sz w:val="21"/>
          <w:szCs w:val="21"/>
        </w:rPr>
        <w:t>图3 植检2018级两个班同学参观泰安海关检验检疫业务（2019年12月27日）</w:t>
      </w:r>
    </w:p>
    <w:p>
      <w:pPr>
        <w:pStyle w:val="7"/>
        <w:ind w:firstLine="480"/>
      </w:pPr>
    </w:p>
    <w:p>
      <w:pPr>
        <w:pStyle w:val="6"/>
        <w:ind w:firstLine="480"/>
      </w:pPr>
      <w:r>
        <w:t>5</w:t>
      </w:r>
      <w:r>
        <w:rPr>
          <w:rFonts w:hint="eastAsia"/>
          <w:lang w:eastAsia="zh-CN"/>
        </w:rPr>
        <w:t>.</w:t>
      </w:r>
      <w:r>
        <w:t>现代教学技术应用</w:t>
      </w:r>
    </w:p>
    <w:p>
      <w:pPr>
        <w:ind w:firstLine="480" w:firstLineChars="200"/>
      </w:pPr>
      <w:r>
        <w:t>所有课程全部使用多媒体教学。建立课程微信群、QQ群，教学资源上网，利于学生课余时间学习。计划申报山东省特色专业。2020-2021学年《植物检疫理论与方法》慕课已经上线。</w:t>
      </w:r>
    </w:p>
    <w:p>
      <w:pPr>
        <w:pStyle w:val="5"/>
        <w:spacing w:before="93" w:after="93"/>
        <w:ind w:firstLine="560"/>
      </w:pPr>
      <w:r>
        <w:t>四、培养机制与特色（产学研协同育人机制、合作办学、教学管理等）</w:t>
      </w:r>
    </w:p>
    <w:p>
      <w:pPr>
        <w:ind w:firstLine="480" w:firstLineChars="200"/>
      </w:pPr>
      <w:r>
        <w:t>植物检疫专业依托植物保护一级学科博士点、博士后科研流动站；植物病理学、农业昆虫与害虫防治学、农药学等二级学科博士学位授权点和硕士学位授权点；植物病理学和农业昆虫与害虫防治2个省级重点学科、农药毒理与应用技术和农业微生物2个省级重点实验室。专业教师设有植物检疫教学研究组，专业教学与建设依托植保学院植物病理学系、昆虫学系、森保系、农药学系，以及在植物病理学省级重中之重实验室、昆虫学省级重点实验室、农药毒理与应用技术省级重点实验室、农药学科省级重中之重建设实验室、省级林业有害生物防控工程技术研究中心、农业微生物重点实验室。学院充分利用上述重点实验室、重点学科和中心，将科研资源转化为教学资源，提高植物检疫专业学生的创新创业能力，形成了鲜明的人才培养特色。</w:t>
      </w:r>
    </w:p>
    <w:p>
      <w:pPr>
        <w:pStyle w:val="5"/>
        <w:spacing w:before="93" w:after="93"/>
        <w:ind w:firstLine="560"/>
      </w:pPr>
      <w:r>
        <w:t>五、培养质量（毕业生就业率、就业专业对口率、毕业生发展情况、就业单位满意率、社会对专业的评价、学生就读该专业的意愿等）</w:t>
      </w:r>
    </w:p>
    <w:p>
      <w:pPr>
        <w:pStyle w:val="6"/>
        <w:ind w:firstLine="480"/>
      </w:pPr>
      <w:r>
        <w:t>1</w:t>
      </w:r>
      <w:r>
        <w:rPr>
          <w:rFonts w:hint="eastAsia"/>
        </w:rPr>
        <w:t xml:space="preserve">. </w:t>
      </w:r>
      <w:r>
        <w:t>毕业生生源地结构</w:t>
      </w:r>
    </w:p>
    <w:p>
      <w:pPr>
        <w:ind w:firstLine="480" w:firstLineChars="200"/>
      </w:pPr>
      <w:r>
        <w:t>本专业2022届毕业生共计46人，其中男生17人、占36.96</w:t>
      </w:r>
      <w:r>
        <w:drawing>
          <wp:inline distT="0" distB="0" distL="0" distR="0">
            <wp:extent cx="73660" cy="132715"/>
            <wp:effectExtent l="0" t="0" r="2540" b="635"/>
            <wp:docPr id="26" name="图片 26"/>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73660" cy="132715"/>
                    </a:xfrm>
                    <a:prstGeom prst="rect">
                      <a:avLst/>
                    </a:prstGeom>
                    <a:noFill/>
                    <a:ln>
                      <a:noFill/>
                    </a:ln>
                  </pic:spPr>
                </pic:pic>
              </a:graphicData>
            </a:graphic>
          </wp:inline>
        </w:drawing>
      </w:r>
      <w:r>
        <w:t>，女生29人、占63.04</w:t>
      </w:r>
      <w:r>
        <w:drawing>
          <wp:inline distT="0" distB="0" distL="0" distR="0">
            <wp:extent cx="73660" cy="132715"/>
            <wp:effectExtent l="0" t="0" r="2540" b="635"/>
            <wp:docPr id="27" name="图片 27"/>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73660" cy="132715"/>
                    </a:xfrm>
                    <a:prstGeom prst="rect">
                      <a:avLst/>
                    </a:prstGeom>
                    <a:noFill/>
                    <a:ln>
                      <a:noFill/>
                    </a:ln>
                  </pic:spPr>
                </pic:pic>
              </a:graphicData>
            </a:graphic>
          </wp:inline>
        </w:drawing>
      </w:r>
      <w:r>
        <w:t>；省内生源25人、占54.35</w:t>
      </w:r>
      <w:r>
        <w:drawing>
          <wp:inline distT="0" distB="0" distL="0" distR="0">
            <wp:extent cx="73660" cy="132715"/>
            <wp:effectExtent l="0" t="0" r="2540" b="635"/>
            <wp:docPr id="36" name="图片 36"/>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73660" cy="132715"/>
                    </a:xfrm>
                    <a:prstGeom prst="rect">
                      <a:avLst/>
                    </a:prstGeom>
                    <a:noFill/>
                    <a:ln>
                      <a:noFill/>
                    </a:ln>
                  </pic:spPr>
                </pic:pic>
              </a:graphicData>
            </a:graphic>
          </wp:inline>
        </w:drawing>
      </w:r>
      <w:r>
        <w:t>，省外生源21人、占45.65</w:t>
      </w:r>
      <w:r>
        <w:drawing>
          <wp:inline distT="0" distB="0" distL="0" distR="0">
            <wp:extent cx="73660" cy="132715"/>
            <wp:effectExtent l="0" t="0" r="2540" b="635"/>
            <wp:docPr id="37" name="图片 37"/>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73660" cy="132715"/>
                    </a:xfrm>
                    <a:prstGeom prst="rect">
                      <a:avLst/>
                    </a:prstGeom>
                    <a:noFill/>
                    <a:ln>
                      <a:noFill/>
                    </a:ln>
                  </pic:spPr>
                </pic:pic>
              </a:graphicData>
            </a:graphic>
          </wp:inline>
        </w:drawing>
      </w:r>
      <w:r>
        <w:t>，省外生源主要集中在贵州省、天津市、甘肃省等。从民族结构看，2022届毕业生以汉族为主，共44人，占95.65</w:t>
      </w:r>
      <w:r>
        <w:drawing>
          <wp:inline distT="0" distB="0" distL="0" distR="0">
            <wp:extent cx="73660" cy="132715"/>
            <wp:effectExtent l="0" t="0" r="2540" b="635"/>
            <wp:docPr id="38" name="图片 38"/>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73660" cy="132715"/>
                    </a:xfrm>
                    <a:prstGeom prst="rect">
                      <a:avLst/>
                    </a:prstGeom>
                    <a:noFill/>
                    <a:ln>
                      <a:noFill/>
                    </a:ln>
                  </pic:spPr>
                </pic:pic>
              </a:graphicData>
            </a:graphic>
          </wp:inline>
        </w:drawing>
      </w:r>
      <w:r>
        <w:t>；少数民族共2人，占4.35%。</w:t>
      </w:r>
    </w:p>
    <w:p>
      <w:pPr>
        <w:jc w:val="center"/>
        <w:rPr>
          <w:b/>
          <w:bCs/>
          <w:sz w:val="21"/>
          <w:szCs w:val="21"/>
        </w:rPr>
      </w:pPr>
      <w:r>
        <w:rPr>
          <w:b/>
          <w:bCs/>
          <w:sz w:val="21"/>
          <w:szCs w:val="21"/>
        </w:rPr>
        <w:t>表1毕业生生源结构统计表</w:t>
      </w:r>
    </w:p>
    <w:tbl>
      <w:tblPr>
        <w:tblStyle w:val="1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12"/>
        <w:gridCol w:w="1014"/>
        <w:gridCol w:w="1136"/>
        <w:gridCol w:w="1278"/>
        <w:gridCol w:w="1261"/>
        <w:gridCol w:w="1228"/>
        <w:gridCol w:w="136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2" w:hRule="atLeast"/>
          <w:jc w:val="center"/>
        </w:trPr>
        <w:tc>
          <w:tcPr>
            <w:tcW w:w="1212" w:type="dxa"/>
            <w:vAlign w:val="center"/>
          </w:tcPr>
          <w:p>
            <w:pPr>
              <w:spacing w:line="240" w:lineRule="auto"/>
              <w:jc w:val="center"/>
              <w:rPr>
                <w:b/>
                <w:bCs/>
                <w:sz w:val="21"/>
                <w:szCs w:val="21"/>
              </w:rPr>
            </w:pPr>
            <w:r>
              <w:rPr>
                <w:b/>
                <w:bCs/>
                <w:sz w:val="21"/>
                <w:szCs w:val="21"/>
              </w:rPr>
              <w:t>专业名称</w:t>
            </w:r>
          </w:p>
        </w:tc>
        <w:tc>
          <w:tcPr>
            <w:tcW w:w="1014" w:type="dxa"/>
            <w:vAlign w:val="center"/>
          </w:tcPr>
          <w:p>
            <w:pPr>
              <w:spacing w:line="240" w:lineRule="auto"/>
              <w:jc w:val="center"/>
              <w:rPr>
                <w:b/>
                <w:bCs/>
                <w:sz w:val="21"/>
                <w:szCs w:val="21"/>
              </w:rPr>
            </w:pPr>
            <w:r>
              <w:rPr>
                <w:b/>
                <w:bCs/>
                <w:sz w:val="21"/>
                <w:szCs w:val="21"/>
              </w:rPr>
              <w:t>生源</w:t>
            </w:r>
          </w:p>
          <w:p>
            <w:pPr>
              <w:spacing w:line="240" w:lineRule="auto"/>
              <w:jc w:val="center"/>
              <w:rPr>
                <w:b/>
                <w:bCs/>
                <w:sz w:val="21"/>
                <w:szCs w:val="21"/>
              </w:rPr>
            </w:pPr>
            <w:r>
              <w:rPr>
                <w:b/>
                <w:bCs/>
                <w:sz w:val="21"/>
                <w:szCs w:val="21"/>
              </w:rPr>
              <w:t>人数</w:t>
            </w:r>
          </w:p>
        </w:tc>
        <w:tc>
          <w:tcPr>
            <w:tcW w:w="1136" w:type="dxa"/>
            <w:vAlign w:val="center"/>
          </w:tcPr>
          <w:p>
            <w:pPr>
              <w:spacing w:line="240" w:lineRule="auto"/>
              <w:jc w:val="center"/>
              <w:rPr>
                <w:b/>
                <w:bCs/>
                <w:sz w:val="21"/>
                <w:szCs w:val="21"/>
              </w:rPr>
            </w:pPr>
            <w:r>
              <w:rPr>
                <w:b/>
                <w:bCs/>
                <w:sz w:val="21"/>
                <w:szCs w:val="21"/>
              </w:rPr>
              <w:t>男生数量</w:t>
            </w:r>
          </w:p>
          <w:p>
            <w:pPr>
              <w:spacing w:line="240" w:lineRule="auto"/>
              <w:jc w:val="center"/>
              <w:rPr>
                <w:b/>
                <w:bCs/>
                <w:sz w:val="21"/>
                <w:szCs w:val="21"/>
              </w:rPr>
            </w:pPr>
            <w:r>
              <w:rPr>
                <w:b/>
                <w:bCs/>
                <w:sz w:val="21"/>
                <w:szCs w:val="21"/>
              </w:rPr>
              <w:t>（比例）</w:t>
            </w:r>
          </w:p>
        </w:tc>
        <w:tc>
          <w:tcPr>
            <w:tcW w:w="1278" w:type="dxa"/>
            <w:vAlign w:val="center"/>
          </w:tcPr>
          <w:p>
            <w:pPr>
              <w:spacing w:line="240" w:lineRule="auto"/>
              <w:jc w:val="center"/>
              <w:rPr>
                <w:b/>
                <w:bCs/>
                <w:sz w:val="21"/>
                <w:szCs w:val="21"/>
              </w:rPr>
            </w:pPr>
            <w:r>
              <w:rPr>
                <w:b/>
                <w:bCs/>
                <w:sz w:val="21"/>
                <w:szCs w:val="21"/>
              </w:rPr>
              <w:t>女生数量</w:t>
            </w:r>
          </w:p>
          <w:p>
            <w:pPr>
              <w:spacing w:line="240" w:lineRule="auto"/>
              <w:jc w:val="center"/>
              <w:rPr>
                <w:b/>
                <w:bCs/>
                <w:sz w:val="21"/>
                <w:szCs w:val="21"/>
              </w:rPr>
            </w:pPr>
            <w:r>
              <w:rPr>
                <w:b/>
                <w:bCs/>
                <w:sz w:val="21"/>
                <w:szCs w:val="21"/>
              </w:rPr>
              <w:t>（比例）</w:t>
            </w:r>
          </w:p>
        </w:tc>
        <w:tc>
          <w:tcPr>
            <w:tcW w:w="1261" w:type="dxa"/>
            <w:vAlign w:val="center"/>
          </w:tcPr>
          <w:p>
            <w:pPr>
              <w:spacing w:line="240" w:lineRule="auto"/>
              <w:jc w:val="center"/>
              <w:rPr>
                <w:b/>
                <w:bCs/>
                <w:sz w:val="21"/>
                <w:szCs w:val="21"/>
              </w:rPr>
            </w:pPr>
            <w:r>
              <w:rPr>
                <w:b/>
                <w:bCs/>
                <w:sz w:val="21"/>
                <w:szCs w:val="21"/>
              </w:rPr>
              <w:t>省内人数</w:t>
            </w:r>
          </w:p>
          <w:p>
            <w:pPr>
              <w:spacing w:line="240" w:lineRule="auto"/>
              <w:jc w:val="center"/>
              <w:rPr>
                <w:b/>
                <w:bCs/>
                <w:sz w:val="21"/>
                <w:szCs w:val="21"/>
              </w:rPr>
            </w:pPr>
            <w:r>
              <w:rPr>
                <w:b/>
                <w:bCs/>
                <w:sz w:val="21"/>
                <w:szCs w:val="21"/>
              </w:rPr>
              <w:t>（比例）</w:t>
            </w:r>
          </w:p>
        </w:tc>
        <w:tc>
          <w:tcPr>
            <w:tcW w:w="1228" w:type="dxa"/>
            <w:vAlign w:val="center"/>
          </w:tcPr>
          <w:p>
            <w:pPr>
              <w:spacing w:line="240" w:lineRule="auto"/>
              <w:jc w:val="center"/>
              <w:rPr>
                <w:b/>
                <w:bCs/>
                <w:sz w:val="21"/>
                <w:szCs w:val="21"/>
              </w:rPr>
            </w:pPr>
            <w:r>
              <w:rPr>
                <w:b/>
                <w:bCs/>
                <w:sz w:val="21"/>
                <w:szCs w:val="21"/>
              </w:rPr>
              <w:t>省外人数</w:t>
            </w:r>
          </w:p>
          <w:p>
            <w:pPr>
              <w:spacing w:line="240" w:lineRule="auto"/>
              <w:jc w:val="center"/>
              <w:rPr>
                <w:b/>
                <w:bCs/>
                <w:sz w:val="21"/>
                <w:szCs w:val="21"/>
              </w:rPr>
            </w:pPr>
            <w:r>
              <w:rPr>
                <w:b/>
                <w:bCs/>
                <w:sz w:val="21"/>
                <w:szCs w:val="21"/>
              </w:rPr>
              <w:t>（比例）</w:t>
            </w:r>
          </w:p>
        </w:tc>
        <w:tc>
          <w:tcPr>
            <w:tcW w:w="1361" w:type="dxa"/>
            <w:vAlign w:val="center"/>
          </w:tcPr>
          <w:p>
            <w:pPr>
              <w:spacing w:line="240" w:lineRule="auto"/>
              <w:jc w:val="center"/>
              <w:rPr>
                <w:b/>
                <w:bCs/>
                <w:sz w:val="21"/>
                <w:szCs w:val="21"/>
              </w:rPr>
            </w:pPr>
            <w:r>
              <w:rPr>
                <w:b/>
                <w:bCs/>
                <w:sz w:val="21"/>
                <w:szCs w:val="21"/>
              </w:rPr>
              <w:t>汉族人数</w:t>
            </w:r>
          </w:p>
          <w:p>
            <w:pPr>
              <w:spacing w:line="240" w:lineRule="auto"/>
              <w:jc w:val="center"/>
              <w:rPr>
                <w:b/>
                <w:bCs/>
                <w:sz w:val="21"/>
                <w:szCs w:val="21"/>
              </w:rPr>
            </w:pPr>
            <w:r>
              <w:rPr>
                <w:b/>
                <w:bCs/>
                <w:sz w:val="21"/>
                <w:szCs w:val="21"/>
              </w:rPr>
              <w:t>（比例）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5" w:hRule="atLeast"/>
          <w:jc w:val="center"/>
        </w:trPr>
        <w:tc>
          <w:tcPr>
            <w:tcW w:w="1212" w:type="dxa"/>
            <w:vAlign w:val="center"/>
          </w:tcPr>
          <w:p>
            <w:pPr>
              <w:spacing w:line="240" w:lineRule="auto"/>
              <w:jc w:val="center"/>
              <w:rPr>
                <w:sz w:val="21"/>
                <w:szCs w:val="21"/>
              </w:rPr>
            </w:pPr>
            <w:r>
              <w:rPr>
                <w:sz w:val="21"/>
                <w:szCs w:val="21"/>
              </w:rPr>
              <w:t>动植物检疫</w:t>
            </w:r>
          </w:p>
        </w:tc>
        <w:tc>
          <w:tcPr>
            <w:tcW w:w="1014" w:type="dxa"/>
            <w:vAlign w:val="center"/>
          </w:tcPr>
          <w:p>
            <w:pPr>
              <w:spacing w:line="240" w:lineRule="auto"/>
              <w:jc w:val="center"/>
              <w:rPr>
                <w:sz w:val="21"/>
                <w:szCs w:val="21"/>
              </w:rPr>
            </w:pPr>
            <w:r>
              <w:rPr>
                <w:sz w:val="21"/>
                <w:szCs w:val="21"/>
              </w:rPr>
              <w:t>46</w:t>
            </w:r>
          </w:p>
        </w:tc>
        <w:tc>
          <w:tcPr>
            <w:tcW w:w="1136" w:type="dxa"/>
            <w:vAlign w:val="center"/>
          </w:tcPr>
          <w:p>
            <w:pPr>
              <w:spacing w:line="240" w:lineRule="auto"/>
              <w:jc w:val="center"/>
              <w:rPr>
                <w:sz w:val="21"/>
                <w:szCs w:val="21"/>
              </w:rPr>
            </w:pPr>
            <w:r>
              <w:rPr>
                <w:sz w:val="21"/>
                <w:szCs w:val="21"/>
              </w:rPr>
              <w:t>（36.96%）</w:t>
            </w:r>
          </w:p>
        </w:tc>
        <w:tc>
          <w:tcPr>
            <w:tcW w:w="1278" w:type="dxa"/>
            <w:vAlign w:val="center"/>
          </w:tcPr>
          <w:p>
            <w:pPr>
              <w:spacing w:line="240" w:lineRule="auto"/>
              <w:jc w:val="center"/>
              <w:rPr>
                <w:sz w:val="21"/>
                <w:szCs w:val="21"/>
              </w:rPr>
            </w:pPr>
            <w:r>
              <w:rPr>
                <w:sz w:val="21"/>
                <w:szCs w:val="21"/>
              </w:rPr>
              <w:t>（63.04%）</w:t>
            </w:r>
          </w:p>
        </w:tc>
        <w:tc>
          <w:tcPr>
            <w:tcW w:w="1261" w:type="dxa"/>
            <w:vAlign w:val="center"/>
          </w:tcPr>
          <w:p>
            <w:pPr>
              <w:spacing w:line="240" w:lineRule="auto"/>
              <w:jc w:val="center"/>
              <w:rPr>
                <w:sz w:val="21"/>
                <w:szCs w:val="21"/>
              </w:rPr>
            </w:pPr>
            <w:r>
              <w:rPr>
                <w:sz w:val="21"/>
                <w:szCs w:val="21"/>
              </w:rPr>
              <w:t>（54.35%）</w:t>
            </w:r>
          </w:p>
        </w:tc>
        <w:tc>
          <w:tcPr>
            <w:tcW w:w="1228" w:type="dxa"/>
            <w:vAlign w:val="center"/>
          </w:tcPr>
          <w:p>
            <w:pPr>
              <w:spacing w:line="240" w:lineRule="auto"/>
              <w:jc w:val="center"/>
              <w:rPr>
                <w:sz w:val="21"/>
                <w:szCs w:val="21"/>
              </w:rPr>
            </w:pPr>
            <w:r>
              <w:rPr>
                <w:sz w:val="21"/>
                <w:szCs w:val="21"/>
              </w:rPr>
              <w:t>（45.65%）</w:t>
            </w:r>
          </w:p>
        </w:tc>
        <w:tc>
          <w:tcPr>
            <w:tcW w:w="1361" w:type="dxa"/>
            <w:vAlign w:val="center"/>
          </w:tcPr>
          <w:p>
            <w:pPr>
              <w:spacing w:line="240" w:lineRule="auto"/>
              <w:jc w:val="center"/>
              <w:rPr>
                <w:sz w:val="21"/>
                <w:szCs w:val="21"/>
              </w:rPr>
            </w:pPr>
            <w:r>
              <w:rPr>
                <w:sz w:val="21"/>
                <w:szCs w:val="21"/>
              </w:rPr>
              <w:t>（95.65%）</w:t>
            </w:r>
          </w:p>
        </w:tc>
      </w:tr>
    </w:tbl>
    <w:p>
      <w:pPr>
        <w:ind w:firstLine="482"/>
        <w:rPr>
          <w:b/>
          <w:bCs/>
          <w:color w:val="000000"/>
        </w:rPr>
      </w:pPr>
    </w:p>
    <w:p>
      <w:pPr>
        <w:pStyle w:val="6"/>
        <w:ind w:firstLine="480"/>
      </w:pPr>
      <w:r>
        <w:t>2</w:t>
      </w:r>
      <w:r>
        <w:rPr>
          <w:rFonts w:hint="eastAsia"/>
        </w:rPr>
        <w:t xml:space="preserve">. </w:t>
      </w:r>
      <w:r>
        <w:t>毕业生就业状况</w:t>
      </w:r>
    </w:p>
    <w:p>
      <w:pPr>
        <w:ind w:firstLine="480" w:firstLineChars="200"/>
      </w:pPr>
      <w:r>
        <w:t>截止2022年8月31日，已就业毕业生42人，毕业去向落实率为91.3%，其中男生15人、女生27人。毕业生留鲁就业的24人，占已就业总人数的57.14%，其中到泰安市就业人数最多，占留鲁就业总人数的68%。出省就业共18人，占已就业总人数的42.86%，主要流向为湖北、新疆、天津等。</w:t>
      </w:r>
    </w:p>
    <w:p>
      <w:pPr>
        <w:jc w:val="center"/>
        <w:rPr>
          <w:b/>
          <w:bCs/>
          <w:sz w:val="21"/>
          <w:szCs w:val="21"/>
        </w:rPr>
      </w:pPr>
      <w:r>
        <w:rPr>
          <w:b/>
          <w:bCs/>
          <w:sz w:val="21"/>
          <w:szCs w:val="21"/>
        </w:rPr>
        <w:t>表2毕业生整体就业情况统计表</w:t>
      </w:r>
    </w:p>
    <w:tbl>
      <w:tblPr>
        <w:tblStyle w:val="17"/>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323"/>
        <w:gridCol w:w="1002"/>
        <w:gridCol w:w="1038"/>
        <w:gridCol w:w="1334"/>
        <w:gridCol w:w="1335"/>
        <w:gridCol w:w="1336"/>
        <w:gridCol w:w="148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747" w:type="pct"/>
            <w:vAlign w:val="center"/>
          </w:tcPr>
          <w:p>
            <w:pPr>
              <w:jc w:val="center"/>
              <w:rPr>
                <w:b/>
                <w:bCs/>
                <w:sz w:val="21"/>
                <w:szCs w:val="21"/>
              </w:rPr>
            </w:pPr>
            <w:r>
              <w:rPr>
                <w:b/>
                <w:bCs/>
                <w:sz w:val="21"/>
                <w:szCs w:val="21"/>
              </w:rPr>
              <w:t>专业名称</w:t>
            </w:r>
          </w:p>
        </w:tc>
        <w:tc>
          <w:tcPr>
            <w:tcW w:w="566" w:type="pct"/>
            <w:vAlign w:val="center"/>
          </w:tcPr>
          <w:p>
            <w:pPr>
              <w:jc w:val="center"/>
              <w:rPr>
                <w:b/>
                <w:bCs/>
                <w:sz w:val="21"/>
                <w:szCs w:val="21"/>
              </w:rPr>
            </w:pPr>
            <w:r>
              <w:rPr>
                <w:b/>
                <w:bCs/>
                <w:sz w:val="21"/>
                <w:szCs w:val="21"/>
              </w:rPr>
              <w:t>就业人数</w:t>
            </w:r>
          </w:p>
        </w:tc>
        <w:tc>
          <w:tcPr>
            <w:tcW w:w="586" w:type="pct"/>
            <w:vAlign w:val="center"/>
          </w:tcPr>
          <w:p>
            <w:pPr>
              <w:jc w:val="center"/>
              <w:rPr>
                <w:b/>
                <w:bCs/>
                <w:sz w:val="21"/>
                <w:szCs w:val="21"/>
              </w:rPr>
            </w:pPr>
            <w:r>
              <w:rPr>
                <w:b/>
                <w:bCs/>
                <w:sz w:val="21"/>
                <w:szCs w:val="21"/>
              </w:rPr>
              <w:t>就业率</w:t>
            </w:r>
          </w:p>
        </w:tc>
        <w:tc>
          <w:tcPr>
            <w:tcW w:w="753" w:type="pct"/>
            <w:vAlign w:val="center"/>
          </w:tcPr>
          <w:p>
            <w:pPr>
              <w:jc w:val="center"/>
              <w:rPr>
                <w:b/>
                <w:bCs/>
                <w:sz w:val="21"/>
                <w:szCs w:val="21"/>
              </w:rPr>
            </w:pPr>
            <w:r>
              <w:rPr>
                <w:b/>
                <w:bCs/>
                <w:sz w:val="21"/>
                <w:szCs w:val="21"/>
              </w:rPr>
              <w:t>男生就业率</w:t>
            </w:r>
          </w:p>
        </w:tc>
        <w:tc>
          <w:tcPr>
            <w:tcW w:w="754" w:type="pct"/>
            <w:vAlign w:val="center"/>
          </w:tcPr>
          <w:p>
            <w:pPr>
              <w:jc w:val="center"/>
              <w:rPr>
                <w:b/>
                <w:bCs/>
                <w:sz w:val="21"/>
                <w:szCs w:val="21"/>
              </w:rPr>
            </w:pPr>
            <w:r>
              <w:rPr>
                <w:b/>
                <w:bCs/>
                <w:sz w:val="21"/>
                <w:szCs w:val="21"/>
              </w:rPr>
              <w:t>女生就业率</w:t>
            </w:r>
          </w:p>
        </w:tc>
        <w:tc>
          <w:tcPr>
            <w:tcW w:w="754" w:type="pct"/>
            <w:vAlign w:val="center"/>
          </w:tcPr>
          <w:p>
            <w:pPr>
              <w:jc w:val="center"/>
              <w:rPr>
                <w:b/>
                <w:bCs/>
                <w:sz w:val="21"/>
                <w:szCs w:val="21"/>
              </w:rPr>
            </w:pPr>
            <w:r>
              <w:rPr>
                <w:b/>
                <w:bCs/>
                <w:sz w:val="21"/>
                <w:szCs w:val="21"/>
              </w:rPr>
              <w:t>留鲁就业人数</w:t>
            </w:r>
          </w:p>
          <w:p>
            <w:pPr>
              <w:jc w:val="center"/>
              <w:rPr>
                <w:b/>
                <w:bCs/>
                <w:sz w:val="21"/>
                <w:szCs w:val="21"/>
              </w:rPr>
            </w:pPr>
            <w:r>
              <w:rPr>
                <w:b/>
                <w:bCs/>
                <w:sz w:val="21"/>
                <w:szCs w:val="21"/>
              </w:rPr>
              <w:t>（比例）</w:t>
            </w:r>
          </w:p>
        </w:tc>
        <w:tc>
          <w:tcPr>
            <w:tcW w:w="837" w:type="pct"/>
            <w:vAlign w:val="center"/>
          </w:tcPr>
          <w:p>
            <w:pPr>
              <w:jc w:val="center"/>
              <w:rPr>
                <w:b/>
                <w:bCs/>
                <w:sz w:val="21"/>
                <w:szCs w:val="21"/>
              </w:rPr>
            </w:pPr>
            <w:r>
              <w:rPr>
                <w:b/>
                <w:bCs/>
                <w:sz w:val="21"/>
                <w:szCs w:val="21"/>
              </w:rPr>
              <w:t>省外就业人数</w:t>
            </w:r>
          </w:p>
          <w:p>
            <w:pPr>
              <w:jc w:val="center"/>
              <w:rPr>
                <w:b/>
                <w:bCs/>
                <w:sz w:val="21"/>
                <w:szCs w:val="21"/>
              </w:rPr>
            </w:pPr>
            <w:r>
              <w:rPr>
                <w:b/>
                <w:bCs/>
                <w:sz w:val="21"/>
                <w:szCs w:val="21"/>
              </w:rPr>
              <w:t>（比例）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3" w:hRule="atLeast"/>
        </w:trPr>
        <w:tc>
          <w:tcPr>
            <w:tcW w:w="747" w:type="pct"/>
            <w:vAlign w:val="center"/>
          </w:tcPr>
          <w:p>
            <w:pPr>
              <w:jc w:val="center"/>
              <w:rPr>
                <w:sz w:val="21"/>
                <w:szCs w:val="21"/>
              </w:rPr>
            </w:pPr>
            <w:r>
              <w:rPr>
                <w:sz w:val="21"/>
                <w:szCs w:val="21"/>
              </w:rPr>
              <w:t>动植物检疫（植检方向）</w:t>
            </w:r>
          </w:p>
        </w:tc>
        <w:tc>
          <w:tcPr>
            <w:tcW w:w="566" w:type="pct"/>
            <w:vAlign w:val="center"/>
          </w:tcPr>
          <w:p>
            <w:pPr>
              <w:jc w:val="center"/>
              <w:rPr>
                <w:sz w:val="21"/>
                <w:szCs w:val="21"/>
              </w:rPr>
            </w:pPr>
            <w:r>
              <w:rPr>
                <w:sz w:val="21"/>
                <w:szCs w:val="21"/>
              </w:rPr>
              <w:t>42</w:t>
            </w:r>
          </w:p>
        </w:tc>
        <w:tc>
          <w:tcPr>
            <w:tcW w:w="586" w:type="pct"/>
            <w:vAlign w:val="center"/>
          </w:tcPr>
          <w:p>
            <w:pPr>
              <w:jc w:val="center"/>
              <w:rPr>
                <w:sz w:val="21"/>
                <w:szCs w:val="21"/>
              </w:rPr>
            </w:pPr>
            <w:r>
              <w:rPr>
                <w:sz w:val="21"/>
                <w:szCs w:val="21"/>
              </w:rPr>
              <w:t>91.3%</w:t>
            </w:r>
          </w:p>
        </w:tc>
        <w:tc>
          <w:tcPr>
            <w:tcW w:w="753" w:type="pct"/>
            <w:vAlign w:val="center"/>
          </w:tcPr>
          <w:p>
            <w:pPr>
              <w:jc w:val="center"/>
              <w:rPr>
                <w:sz w:val="21"/>
                <w:szCs w:val="21"/>
              </w:rPr>
            </w:pPr>
            <w:r>
              <w:rPr>
                <w:sz w:val="21"/>
                <w:szCs w:val="21"/>
              </w:rPr>
              <w:t>88.24%</w:t>
            </w:r>
          </w:p>
        </w:tc>
        <w:tc>
          <w:tcPr>
            <w:tcW w:w="754" w:type="pct"/>
            <w:vAlign w:val="center"/>
          </w:tcPr>
          <w:p>
            <w:pPr>
              <w:jc w:val="center"/>
              <w:rPr>
                <w:sz w:val="21"/>
                <w:szCs w:val="21"/>
              </w:rPr>
            </w:pPr>
            <w:r>
              <w:rPr>
                <w:sz w:val="21"/>
                <w:szCs w:val="21"/>
              </w:rPr>
              <w:t>93.10%</w:t>
            </w:r>
          </w:p>
        </w:tc>
        <w:tc>
          <w:tcPr>
            <w:tcW w:w="754" w:type="pct"/>
            <w:vAlign w:val="center"/>
          </w:tcPr>
          <w:p>
            <w:pPr>
              <w:jc w:val="center"/>
              <w:rPr>
                <w:sz w:val="21"/>
                <w:szCs w:val="21"/>
              </w:rPr>
            </w:pPr>
            <w:r>
              <w:rPr>
                <w:sz w:val="21"/>
                <w:szCs w:val="21"/>
              </w:rPr>
              <w:t>57.14%</w:t>
            </w:r>
          </w:p>
        </w:tc>
        <w:tc>
          <w:tcPr>
            <w:tcW w:w="837" w:type="pct"/>
            <w:vAlign w:val="center"/>
          </w:tcPr>
          <w:p>
            <w:pPr>
              <w:jc w:val="center"/>
              <w:rPr>
                <w:sz w:val="21"/>
                <w:szCs w:val="21"/>
              </w:rPr>
            </w:pPr>
            <w:r>
              <w:rPr>
                <w:sz w:val="21"/>
                <w:szCs w:val="21"/>
              </w:rPr>
              <w:t>42.86%</w:t>
            </w:r>
          </w:p>
        </w:tc>
      </w:tr>
    </w:tbl>
    <w:p>
      <w:pPr>
        <w:spacing w:line="240" w:lineRule="auto"/>
        <w:jc w:val="center"/>
        <w:rPr>
          <w:b/>
          <w:bCs/>
          <w:sz w:val="21"/>
          <w:szCs w:val="21"/>
        </w:rPr>
      </w:pPr>
    </w:p>
    <w:p>
      <w:pPr>
        <w:spacing w:line="240" w:lineRule="auto"/>
        <w:jc w:val="center"/>
        <w:rPr>
          <w:b/>
          <w:bCs/>
          <w:sz w:val="21"/>
          <w:szCs w:val="21"/>
        </w:rPr>
      </w:pPr>
      <w:r>
        <w:rPr>
          <w:b/>
          <w:bCs/>
          <w:sz w:val="21"/>
          <w:szCs w:val="21"/>
        </w:rPr>
        <w:object>
          <v:shape id="_x0000_i1025" o:spt="75" type="#_x0000_t75" style="height:170.65pt;width:258.5pt;" o:ole="t" filled="f" coordsize="21600,21600">
            <v:path/>
            <v:fill on="f" focussize="0,0"/>
            <v:stroke/>
            <v:imagedata r:id="rId57" o:title=""/>
            <o:lock v:ext="edit" aspectratio="t"/>
            <w10:wrap type="none"/>
            <w10:anchorlock/>
          </v:shape>
          <o:OLEObject Type="Embed" ProgID="Excel.Sheet.8" ShapeID="_x0000_i1025" DrawAspect="Content" ObjectID="_1468075725" r:id="rId56">
            <o:LockedField>false</o:LockedField>
          </o:OLEObject>
        </w:object>
      </w:r>
    </w:p>
    <w:p>
      <w:pPr>
        <w:spacing w:line="240" w:lineRule="auto"/>
        <w:jc w:val="center"/>
        <w:rPr>
          <w:b/>
          <w:bCs/>
          <w:sz w:val="21"/>
          <w:szCs w:val="21"/>
        </w:rPr>
      </w:pPr>
      <w:r>
        <w:rPr>
          <w:b/>
          <w:bCs/>
          <w:sz w:val="21"/>
          <w:szCs w:val="21"/>
        </w:rPr>
        <w:t>图1毕业生就业地区流向图</w:t>
      </w:r>
    </w:p>
    <w:p>
      <w:pPr>
        <w:ind w:firstLine="480" w:firstLineChars="200"/>
      </w:pPr>
      <w:r>
        <w:t>毕业生就业方式主要包括升学、协议就业、劳动合同、其他录用形式就业等多种方式就业，其中升学方式就业人数最多。毕业生总体就业方式如下表所示。</w:t>
      </w:r>
    </w:p>
    <w:p>
      <w:pPr>
        <w:spacing w:line="240" w:lineRule="auto"/>
        <w:jc w:val="center"/>
        <w:rPr>
          <w:b/>
          <w:bCs/>
          <w:sz w:val="21"/>
          <w:szCs w:val="21"/>
        </w:rPr>
      </w:pPr>
      <w:r>
        <w:rPr>
          <w:b/>
          <w:bCs/>
          <w:sz w:val="21"/>
          <w:szCs w:val="21"/>
        </w:rPr>
        <w:t>表3毕业生就业方式统计表</w:t>
      </w:r>
    </w:p>
    <w:tbl>
      <w:tblPr>
        <w:tblStyle w:val="17"/>
        <w:tblW w:w="4998" w:type="pct"/>
        <w:jc w:val="center"/>
        <w:tblLayout w:type="autofit"/>
        <w:tblCellMar>
          <w:top w:w="0" w:type="dxa"/>
          <w:left w:w="0" w:type="dxa"/>
          <w:bottom w:w="0" w:type="dxa"/>
          <w:right w:w="0" w:type="dxa"/>
        </w:tblCellMar>
      </w:tblPr>
      <w:tblGrid>
        <w:gridCol w:w="2056"/>
        <w:gridCol w:w="1156"/>
        <w:gridCol w:w="1157"/>
        <w:gridCol w:w="1537"/>
        <w:gridCol w:w="1598"/>
        <w:gridCol w:w="1367"/>
      </w:tblGrid>
      <w:tr>
        <w:tblPrEx>
          <w:tblCellMar>
            <w:top w:w="0" w:type="dxa"/>
            <w:left w:w="0" w:type="dxa"/>
            <w:bottom w:w="0" w:type="dxa"/>
            <w:right w:w="0" w:type="dxa"/>
          </w:tblCellMar>
        </w:tblPrEx>
        <w:trPr>
          <w:trHeight w:val="517" w:hRule="atLeast"/>
          <w:jc w:val="center"/>
        </w:trPr>
        <w:tc>
          <w:tcPr>
            <w:tcW w:w="115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就业方式</w:t>
            </w:r>
          </w:p>
        </w:tc>
        <w:tc>
          <w:tcPr>
            <w:tcW w:w="65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国内升学</w:t>
            </w:r>
          </w:p>
        </w:tc>
        <w:tc>
          <w:tcPr>
            <w:tcW w:w="65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出国</w:t>
            </w:r>
          </w:p>
        </w:tc>
        <w:tc>
          <w:tcPr>
            <w:tcW w:w="86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协议就业</w:t>
            </w:r>
          </w:p>
        </w:tc>
        <w:tc>
          <w:tcPr>
            <w:tcW w:w="90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劳动合同</w:t>
            </w:r>
          </w:p>
        </w:tc>
        <w:tc>
          <w:tcPr>
            <w:tcW w:w="7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其他录用形式</w:t>
            </w:r>
          </w:p>
        </w:tc>
      </w:tr>
      <w:tr>
        <w:tblPrEx>
          <w:tblCellMar>
            <w:top w:w="0" w:type="dxa"/>
            <w:left w:w="0" w:type="dxa"/>
            <w:bottom w:w="0" w:type="dxa"/>
            <w:right w:w="0" w:type="dxa"/>
          </w:tblCellMar>
        </w:tblPrEx>
        <w:trPr>
          <w:trHeight w:val="657" w:hRule="atLeast"/>
          <w:jc w:val="center"/>
        </w:trPr>
        <w:tc>
          <w:tcPr>
            <w:tcW w:w="115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人数</w:t>
            </w:r>
          </w:p>
          <w:p>
            <w:pPr>
              <w:spacing w:line="240" w:lineRule="auto"/>
              <w:jc w:val="center"/>
              <w:rPr>
                <w:sz w:val="21"/>
                <w:szCs w:val="21"/>
              </w:rPr>
            </w:pPr>
            <w:r>
              <w:rPr>
                <w:sz w:val="21"/>
                <w:szCs w:val="21"/>
              </w:rPr>
              <w:t>（比例）</w:t>
            </w:r>
          </w:p>
        </w:tc>
        <w:tc>
          <w:tcPr>
            <w:tcW w:w="65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58.7%</w:t>
            </w:r>
          </w:p>
        </w:tc>
        <w:tc>
          <w:tcPr>
            <w:tcW w:w="65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w:t>
            </w:r>
          </w:p>
        </w:tc>
        <w:tc>
          <w:tcPr>
            <w:tcW w:w="86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4.35%</w:t>
            </w:r>
          </w:p>
        </w:tc>
        <w:tc>
          <w:tcPr>
            <w:tcW w:w="90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6.52%</w:t>
            </w:r>
          </w:p>
        </w:tc>
        <w:tc>
          <w:tcPr>
            <w:tcW w:w="7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21.74%</w:t>
            </w:r>
          </w:p>
        </w:tc>
      </w:tr>
    </w:tbl>
    <w:p>
      <w:pPr>
        <w:tabs>
          <w:tab w:val="left" w:pos="1482"/>
        </w:tabs>
        <w:spacing w:before="81" w:line="360" w:lineRule="auto"/>
        <w:ind w:firstLine="482"/>
        <w:outlineLvl w:val="2"/>
        <w:rPr>
          <w:rFonts w:eastAsia="仿宋_GB2312"/>
          <w:b/>
          <w:bCs/>
          <w:szCs w:val="24"/>
        </w:rPr>
      </w:pPr>
    </w:p>
    <w:p>
      <w:pPr>
        <w:ind w:firstLine="480" w:firstLineChars="200"/>
      </w:pPr>
      <w:r>
        <w:t>招收研究生和用人单位普遍认为本校植物检疫专业的毕业生理论基础扎实、专业素质高、动手能力强，思路好、发展后劲足。</w:t>
      </w:r>
    </w:p>
    <w:p>
      <w:pPr>
        <w:pStyle w:val="6"/>
        <w:ind w:firstLine="480"/>
      </w:pPr>
      <w:r>
        <w:t>3</w:t>
      </w:r>
      <w:r>
        <w:rPr>
          <w:rFonts w:hint="eastAsia"/>
        </w:rPr>
        <w:t xml:space="preserve">. </w:t>
      </w:r>
      <w:r>
        <w:t>毕业生考研报考院校情况</w:t>
      </w:r>
    </w:p>
    <w:p>
      <w:pPr>
        <w:ind w:firstLine="480" w:firstLineChars="200"/>
      </w:pPr>
      <w:r>
        <w:t>毕业生国内升学27人，升学率58.7%，其中考入</w:t>
      </w:r>
      <w:r>
        <w:rPr>
          <w:rFonts w:hint="eastAsia"/>
        </w:rPr>
        <w:t>“</w:t>
      </w:r>
      <w:r>
        <w:t>双一流</w:t>
      </w:r>
      <w:r>
        <w:rPr>
          <w:rFonts w:hint="eastAsia"/>
        </w:rPr>
        <w:t>”</w:t>
      </w:r>
      <w:r>
        <w:t>大学10人，占国内升学总人数的37.04%。从升学专业来看，跨专业升学的2人，占国内升学总人数的7.41%。升学学校主要是中国农业大学、西北农林科技大学、山东农业大学等。</w:t>
      </w:r>
    </w:p>
    <w:p>
      <w:pPr>
        <w:spacing w:line="240" w:lineRule="auto"/>
        <w:jc w:val="center"/>
        <w:rPr>
          <w:b/>
          <w:bCs/>
          <w:sz w:val="21"/>
          <w:szCs w:val="21"/>
        </w:rPr>
      </w:pPr>
      <w:r>
        <w:rPr>
          <w:b/>
          <w:bCs/>
          <w:sz w:val="21"/>
          <w:szCs w:val="21"/>
        </w:rPr>
        <w:t>表4国内升学高校前五位统计表</w:t>
      </w:r>
    </w:p>
    <w:tbl>
      <w:tblPr>
        <w:tblStyle w:val="1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87"/>
        <w:gridCol w:w="3270"/>
        <w:gridCol w:w="2175"/>
        <w:gridCol w:w="20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87" w:type="dxa"/>
            <w:vAlign w:val="center"/>
          </w:tcPr>
          <w:p>
            <w:pPr>
              <w:spacing w:line="240" w:lineRule="auto"/>
              <w:jc w:val="center"/>
              <w:rPr>
                <w:b/>
                <w:bCs/>
                <w:sz w:val="21"/>
                <w:szCs w:val="21"/>
              </w:rPr>
            </w:pPr>
            <w:r>
              <w:rPr>
                <w:b/>
                <w:bCs/>
                <w:sz w:val="21"/>
                <w:szCs w:val="21"/>
              </w:rPr>
              <w:t>序号</w:t>
            </w:r>
          </w:p>
        </w:tc>
        <w:tc>
          <w:tcPr>
            <w:tcW w:w="3270" w:type="dxa"/>
            <w:vAlign w:val="center"/>
          </w:tcPr>
          <w:p>
            <w:pPr>
              <w:spacing w:line="240" w:lineRule="auto"/>
              <w:jc w:val="center"/>
              <w:rPr>
                <w:b/>
                <w:bCs/>
                <w:sz w:val="21"/>
                <w:szCs w:val="21"/>
              </w:rPr>
            </w:pPr>
            <w:r>
              <w:rPr>
                <w:b/>
                <w:bCs/>
                <w:sz w:val="21"/>
                <w:szCs w:val="21"/>
              </w:rPr>
              <w:t>升学学校名称</w:t>
            </w:r>
          </w:p>
        </w:tc>
        <w:tc>
          <w:tcPr>
            <w:tcW w:w="2175" w:type="dxa"/>
            <w:vAlign w:val="center"/>
          </w:tcPr>
          <w:p>
            <w:pPr>
              <w:spacing w:line="240" w:lineRule="auto"/>
              <w:jc w:val="center"/>
              <w:rPr>
                <w:b/>
                <w:bCs/>
                <w:sz w:val="21"/>
                <w:szCs w:val="21"/>
              </w:rPr>
            </w:pPr>
            <w:r>
              <w:rPr>
                <w:b/>
                <w:bCs/>
                <w:sz w:val="21"/>
                <w:szCs w:val="21"/>
              </w:rPr>
              <w:t>升学人数</w:t>
            </w:r>
          </w:p>
        </w:tc>
        <w:tc>
          <w:tcPr>
            <w:tcW w:w="2055" w:type="dxa"/>
            <w:vAlign w:val="center"/>
          </w:tcPr>
          <w:p>
            <w:pPr>
              <w:spacing w:line="240" w:lineRule="auto"/>
              <w:jc w:val="center"/>
              <w:rPr>
                <w:b/>
                <w:bCs/>
                <w:sz w:val="21"/>
                <w:szCs w:val="21"/>
              </w:rPr>
            </w:pPr>
            <w:r>
              <w:rPr>
                <w:b/>
                <w:bCs/>
                <w:sz w:val="21"/>
                <w:szCs w:val="21"/>
              </w:rPr>
              <w:t>比例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87" w:type="dxa"/>
            <w:vAlign w:val="center"/>
          </w:tcPr>
          <w:p>
            <w:pPr>
              <w:spacing w:line="240" w:lineRule="auto"/>
              <w:jc w:val="center"/>
              <w:rPr>
                <w:sz w:val="21"/>
                <w:szCs w:val="21"/>
              </w:rPr>
            </w:pPr>
            <w:r>
              <w:rPr>
                <w:sz w:val="21"/>
                <w:szCs w:val="21"/>
              </w:rPr>
              <w:t>1</w:t>
            </w:r>
          </w:p>
        </w:tc>
        <w:tc>
          <w:tcPr>
            <w:tcW w:w="3270" w:type="dxa"/>
            <w:vAlign w:val="center"/>
          </w:tcPr>
          <w:p>
            <w:pPr>
              <w:spacing w:line="240" w:lineRule="auto"/>
              <w:jc w:val="center"/>
              <w:rPr>
                <w:sz w:val="21"/>
                <w:szCs w:val="21"/>
              </w:rPr>
            </w:pPr>
            <w:r>
              <w:rPr>
                <w:sz w:val="21"/>
                <w:szCs w:val="21"/>
              </w:rPr>
              <w:t>中国农业大学</w:t>
            </w:r>
          </w:p>
        </w:tc>
        <w:tc>
          <w:tcPr>
            <w:tcW w:w="2175" w:type="dxa"/>
            <w:vAlign w:val="center"/>
          </w:tcPr>
          <w:p>
            <w:pPr>
              <w:spacing w:line="240" w:lineRule="auto"/>
              <w:jc w:val="center"/>
              <w:rPr>
                <w:sz w:val="21"/>
                <w:szCs w:val="21"/>
              </w:rPr>
            </w:pPr>
            <w:r>
              <w:rPr>
                <w:sz w:val="21"/>
                <w:szCs w:val="21"/>
              </w:rPr>
              <w:t>1</w:t>
            </w:r>
          </w:p>
        </w:tc>
        <w:tc>
          <w:tcPr>
            <w:tcW w:w="2055" w:type="dxa"/>
            <w:vAlign w:val="center"/>
          </w:tcPr>
          <w:p>
            <w:pPr>
              <w:spacing w:line="240" w:lineRule="auto"/>
              <w:jc w:val="center"/>
              <w:rPr>
                <w:sz w:val="21"/>
                <w:szCs w:val="21"/>
              </w:rPr>
            </w:pPr>
            <w:r>
              <w:rPr>
                <w:sz w:val="21"/>
                <w:szCs w:val="21"/>
              </w:rPr>
              <w:t>3.7%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87" w:type="dxa"/>
            <w:vAlign w:val="center"/>
          </w:tcPr>
          <w:p>
            <w:pPr>
              <w:spacing w:line="240" w:lineRule="auto"/>
              <w:jc w:val="center"/>
              <w:rPr>
                <w:sz w:val="21"/>
                <w:szCs w:val="21"/>
              </w:rPr>
            </w:pPr>
            <w:r>
              <w:rPr>
                <w:sz w:val="21"/>
                <w:szCs w:val="21"/>
              </w:rPr>
              <w:t>2</w:t>
            </w:r>
          </w:p>
        </w:tc>
        <w:tc>
          <w:tcPr>
            <w:tcW w:w="3270" w:type="dxa"/>
            <w:vAlign w:val="center"/>
          </w:tcPr>
          <w:p>
            <w:pPr>
              <w:spacing w:line="240" w:lineRule="auto"/>
              <w:jc w:val="center"/>
              <w:rPr>
                <w:sz w:val="21"/>
                <w:szCs w:val="21"/>
              </w:rPr>
            </w:pPr>
            <w:r>
              <w:rPr>
                <w:sz w:val="21"/>
                <w:szCs w:val="21"/>
              </w:rPr>
              <w:t>中国农业科学院研究生院</w:t>
            </w:r>
          </w:p>
        </w:tc>
        <w:tc>
          <w:tcPr>
            <w:tcW w:w="2175" w:type="dxa"/>
            <w:vAlign w:val="center"/>
          </w:tcPr>
          <w:p>
            <w:pPr>
              <w:spacing w:line="240" w:lineRule="auto"/>
              <w:jc w:val="center"/>
              <w:rPr>
                <w:sz w:val="21"/>
                <w:szCs w:val="21"/>
              </w:rPr>
            </w:pPr>
            <w:r>
              <w:rPr>
                <w:sz w:val="21"/>
                <w:szCs w:val="21"/>
              </w:rPr>
              <w:t>2</w:t>
            </w:r>
          </w:p>
        </w:tc>
        <w:tc>
          <w:tcPr>
            <w:tcW w:w="2055" w:type="dxa"/>
            <w:vAlign w:val="center"/>
          </w:tcPr>
          <w:p>
            <w:pPr>
              <w:spacing w:line="240" w:lineRule="auto"/>
              <w:jc w:val="center"/>
              <w:rPr>
                <w:sz w:val="21"/>
                <w:szCs w:val="21"/>
              </w:rPr>
            </w:pPr>
            <w:r>
              <w:rPr>
                <w:sz w:val="21"/>
                <w:szCs w:val="21"/>
              </w:rPr>
              <w:t>7.41%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87" w:type="dxa"/>
            <w:vAlign w:val="center"/>
          </w:tcPr>
          <w:p>
            <w:pPr>
              <w:spacing w:line="240" w:lineRule="auto"/>
              <w:jc w:val="center"/>
              <w:rPr>
                <w:sz w:val="21"/>
                <w:szCs w:val="21"/>
              </w:rPr>
            </w:pPr>
            <w:r>
              <w:rPr>
                <w:sz w:val="21"/>
                <w:szCs w:val="21"/>
              </w:rPr>
              <w:t>3</w:t>
            </w:r>
          </w:p>
        </w:tc>
        <w:tc>
          <w:tcPr>
            <w:tcW w:w="3270" w:type="dxa"/>
            <w:vAlign w:val="center"/>
          </w:tcPr>
          <w:p>
            <w:pPr>
              <w:spacing w:line="240" w:lineRule="auto"/>
              <w:jc w:val="center"/>
              <w:rPr>
                <w:sz w:val="21"/>
                <w:szCs w:val="21"/>
              </w:rPr>
            </w:pPr>
            <w:r>
              <w:rPr>
                <w:sz w:val="21"/>
                <w:szCs w:val="21"/>
              </w:rPr>
              <w:t>南京农业大学</w:t>
            </w:r>
          </w:p>
        </w:tc>
        <w:tc>
          <w:tcPr>
            <w:tcW w:w="2175" w:type="dxa"/>
            <w:vAlign w:val="center"/>
          </w:tcPr>
          <w:p>
            <w:pPr>
              <w:spacing w:line="240" w:lineRule="auto"/>
              <w:jc w:val="center"/>
              <w:rPr>
                <w:sz w:val="21"/>
                <w:szCs w:val="21"/>
              </w:rPr>
            </w:pPr>
            <w:r>
              <w:rPr>
                <w:sz w:val="21"/>
                <w:szCs w:val="21"/>
              </w:rPr>
              <w:t>1</w:t>
            </w:r>
          </w:p>
        </w:tc>
        <w:tc>
          <w:tcPr>
            <w:tcW w:w="2055" w:type="dxa"/>
            <w:vAlign w:val="center"/>
          </w:tcPr>
          <w:p>
            <w:pPr>
              <w:spacing w:line="240" w:lineRule="auto"/>
              <w:jc w:val="center"/>
              <w:rPr>
                <w:sz w:val="21"/>
                <w:szCs w:val="21"/>
              </w:rPr>
            </w:pPr>
            <w:r>
              <w:rPr>
                <w:sz w:val="21"/>
                <w:szCs w:val="21"/>
              </w:rPr>
              <w:t>3.7%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87" w:type="dxa"/>
            <w:vAlign w:val="center"/>
          </w:tcPr>
          <w:p>
            <w:pPr>
              <w:spacing w:line="240" w:lineRule="auto"/>
              <w:jc w:val="center"/>
              <w:rPr>
                <w:sz w:val="21"/>
                <w:szCs w:val="21"/>
              </w:rPr>
            </w:pPr>
            <w:r>
              <w:rPr>
                <w:sz w:val="21"/>
                <w:szCs w:val="21"/>
              </w:rPr>
              <w:t>4</w:t>
            </w:r>
          </w:p>
        </w:tc>
        <w:tc>
          <w:tcPr>
            <w:tcW w:w="3270" w:type="dxa"/>
            <w:vAlign w:val="center"/>
          </w:tcPr>
          <w:p>
            <w:pPr>
              <w:spacing w:line="240" w:lineRule="auto"/>
              <w:jc w:val="center"/>
              <w:rPr>
                <w:sz w:val="21"/>
                <w:szCs w:val="21"/>
              </w:rPr>
            </w:pPr>
            <w:r>
              <w:rPr>
                <w:sz w:val="21"/>
                <w:szCs w:val="21"/>
              </w:rPr>
              <w:t>山东农业大学</w:t>
            </w:r>
          </w:p>
        </w:tc>
        <w:tc>
          <w:tcPr>
            <w:tcW w:w="2175" w:type="dxa"/>
            <w:vAlign w:val="center"/>
          </w:tcPr>
          <w:p>
            <w:pPr>
              <w:spacing w:line="240" w:lineRule="auto"/>
              <w:jc w:val="center"/>
              <w:rPr>
                <w:sz w:val="21"/>
                <w:szCs w:val="21"/>
              </w:rPr>
            </w:pPr>
            <w:r>
              <w:rPr>
                <w:sz w:val="21"/>
                <w:szCs w:val="21"/>
              </w:rPr>
              <w:t>10</w:t>
            </w:r>
          </w:p>
        </w:tc>
        <w:tc>
          <w:tcPr>
            <w:tcW w:w="2055" w:type="dxa"/>
            <w:vAlign w:val="center"/>
          </w:tcPr>
          <w:p>
            <w:pPr>
              <w:spacing w:line="240" w:lineRule="auto"/>
              <w:jc w:val="center"/>
              <w:rPr>
                <w:sz w:val="21"/>
                <w:szCs w:val="21"/>
              </w:rPr>
            </w:pPr>
            <w:r>
              <w:rPr>
                <w:sz w:val="21"/>
                <w:szCs w:val="21"/>
              </w:rPr>
              <w:t>37.04%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87" w:type="dxa"/>
            <w:vAlign w:val="center"/>
          </w:tcPr>
          <w:p>
            <w:pPr>
              <w:spacing w:line="240" w:lineRule="auto"/>
              <w:jc w:val="center"/>
              <w:rPr>
                <w:sz w:val="21"/>
                <w:szCs w:val="21"/>
              </w:rPr>
            </w:pPr>
            <w:r>
              <w:rPr>
                <w:sz w:val="21"/>
                <w:szCs w:val="21"/>
              </w:rPr>
              <w:t>5</w:t>
            </w:r>
          </w:p>
        </w:tc>
        <w:tc>
          <w:tcPr>
            <w:tcW w:w="3270" w:type="dxa"/>
            <w:vAlign w:val="center"/>
          </w:tcPr>
          <w:p>
            <w:pPr>
              <w:spacing w:line="240" w:lineRule="auto"/>
              <w:jc w:val="center"/>
              <w:rPr>
                <w:sz w:val="21"/>
                <w:szCs w:val="21"/>
              </w:rPr>
            </w:pPr>
            <w:r>
              <w:rPr>
                <w:sz w:val="21"/>
                <w:szCs w:val="21"/>
              </w:rPr>
              <w:t>西南大学</w:t>
            </w:r>
          </w:p>
        </w:tc>
        <w:tc>
          <w:tcPr>
            <w:tcW w:w="2175" w:type="dxa"/>
            <w:vAlign w:val="center"/>
          </w:tcPr>
          <w:p>
            <w:pPr>
              <w:spacing w:line="240" w:lineRule="auto"/>
              <w:jc w:val="center"/>
              <w:rPr>
                <w:sz w:val="21"/>
                <w:szCs w:val="21"/>
              </w:rPr>
            </w:pPr>
            <w:r>
              <w:rPr>
                <w:sz w:val="21"/>
                <w:szCs w:val="21"/>
              </w:rPr>
              <w:t>2</w:t>
            </w:r>
          </w:p>
        </w:tc>
        <w:tc>
          <w:tcPr>
            <w:tcW w:w="2055" w:type="dxa"/>
            <w:vAlign w:val="center"/>
          </w:tcPr>
          <w:p>
            <w:pPr>
              <w:spacing w:line="240" w:lineRule="auto"/>
              <w:jc w:val="center"/>
              <w:rPr>
                <w:sz w:val="21"/>
                <w:szCs w:val="21"/>
              </w:rPr>
            </w:pPr>
            <w:r>
              <w:rPr>
                <w:sz w:val="21"/>
                <w:szCs w:val="21"/>
              </w:rPr>
              <w:t>7.41%</w:t>
            </w:r>
          </w:p>
        </w:tc>
      </w:tr>
    </w:tbl>
    <w:p>
      <w:pPr>
        <w:pStyle w:val="6"/>
        <w:ind w:firstLine="480"/>
      </w:pPr>
      <w:r>
        <w:t>4</w:t>
      </w:r>
      <w:r>
        <w:rPr>
          <w:rFonts w:hint="eastAsia"/>
        </w:rPr>
        <w:t xml:space="preserve">. </w:t>
      </w:r>
      <w:r>
        <w:t>就业工作的专业对口情况</w:t>
      </w:r>
    </w:p>
    <w:p>
      <w:pPr>
        <w:ind w:firstLine="480" w:firstLineChars="200"/>
      </w:pPr>
      <w:r>
        <w:t>说明：本部分已就业总人数，不包括升学、出国（境）、应征入伍等。</w:t>
      </w:r>
    </w:p>
    <w:p>
      <w:pPr>
        <w:ind w:firstLine="480" w:firstLineChars="200"/>
      </w:pPr>
      <w:r>
        <w:t>毕业生当前所在工作单位或者所从事工作岗位与所学专业对口率较高的共10人，占就业人数的66.67%。主要集中在内蒙古蒙牛乳业（集团）股份有限公司、泰安生科生物科技有限公司、威海瑞木实业有限公司、济南绿霸农药有限公司、泰安阳歌农林科技有限公司。</w:t>
      </w:r>
    </w:p>
    <w:p>
      <w:pPr>
        <w:ind w:firstLine="482" w:firstLineChars="200"/>
        <w:rPr>
          <w:b/>
          <w:bCs/>
        </w:rPr>
      </w:pPr>
      <w:r>
        <w:rPr>
          <w:b/>
          <w:bCs/>
        </w:rPr>
        <w:t>5</w:t>
      </w:r>
      <w:r>
        <w:rPr>
          <w:rFonts w:hint="eastAsia"/>
          <w:b/>
          <w:bCs/>
        </w:rPr>
        <w:t xml:space="preserve">. </w:t>
      </w:r>
      <w:r>
        <w:rPr>
          <w:b/>
          <w:bCs/>
        </w:rPr>
        <w:t>未就业毕业生情况</w:t>
      </w:r>
    </w:p>
    <w:p>
      <w:pPr>
        <w:ind w:firstLine="480" w:firstLineChars="200"/>
      </w:pPr>
      <w:r>
        <w:t>未就业原因：未就业毕业生4人，通过调研发现，未就业原因主要是正在求职，占未就业毕业生的50%；然后是二战考研，占未就业毕业生的50%。</w:t>
      </w:r>
    </w:p>
    <w:p>
      <w:pPr>
        <w:spacing w:line="240" w:lineRule="auto"/>
        <w:jc w:val="center"/>
        <w:rPr>
          <w:b/>
          <w:bCs/>
          <w:sz w:val="21"/>
          <w:szCs w:val="21"/>
        </w:rPr>
      </w:pPr>
      <w:r>
        <w:rPr>
          <w:b/>
          <w:bCs/>
          <w:sz w:val="21"/>
          <w:szCs w:val="21"/>
        </w:rPr>
        <w:t>表5．毕业生未就业原因统计表</w:t>
      </w:r>
    </w:p>
    <w:tbl>
      <w:tblPr>
        <w:tblStyle w:val="1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99"/>
        <w:gridCol w:w="3143"/>
        <w:gridCol w:w="2033"/>
        <w:gridCol w:w="233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jc w:val="center"/>
        </w:trPr>
        <w:tc>
          <w:tcPr>
            <w:tcW w:w="1099" w:type="dxa"/>
            <w:vAlign w:val="center"/>
          </w:tcPr>
          <w:p>
            <w:pPr>
              <w:spacing w:line="240" w:lineRule="auto"/>
              <w:jc w:val="center"/>
              <w:rPr>
                <w:b/>
                <w:bCs/>
                <w:sz w:val="21"/>
                <w:szCs w:val="21"/>
              </w:rPr>
            </w:pPr>
            <w:r>
              <w:rPr>
                <w:b/>
                <w:bCs/>
                <w:sz w:val="21"/>
                <w:szCs w:val="21"/>
              </w:rPr>
              <w:t>序号</w:t>
            </w:r>
          </w:p>
        </w:tc>
        <w:tc>
          <w:tcPr>
            <w:tcW w:w="3143" w:type="dxa"/>
            <w:vAlign w:val="center"/>
          </w:tcPr>
          <w:p>
            <w:pPr>
              <w:spacing w:line="240" w:lineRule="auto"/>
              <w:jc w:val="center"/>
              <w:rPr>
                <w:b/>
                <w:bCs/>
                <w:sz w:val="21"/>
                <w:szCs w:val="21"/>
              </w:rPr>
            </w:pPr>
            <w:r>
              <w:rPr>
                <w:b/>
                <w:bCs/>
                <w:sz w:val="21"/>
                <w:szCs w:val="21"/>
              </w:rPr>
              <w:t>未就业原因</w:t>
            </w:r>
          </w:p>
        </w:tc>
        <w:tc>
          <w:tcPr>
            <w:tcW w:w="2033" w:type="dxa"/>
            <w:vAlign w:val="center"/>
          </w:tcPr>
          <w:p>
            <w:pPr>
              <w:spacing w:line="240" w:lineRule="auto"/>
              <w:jc w:val="center"/>
              <w:rPr>
                <w:b/>
                <w:bCs/>
                <w:sz w:val="21"/>
                <w:szCs w:val="21"/>
              </w:rPr>
            </w:pPr>
            <w:r>
              <w:rPr>
                <w:b/>
                <w:bCs/>
                <w:sz w:val="21"/>
                <w:szCs w:val="21"/>
              </w:rPr>
              <w:t xml:space="preserve">      人数</w:t>
            </w:r>
          </w:p>
        </w:tc>
        <w:tc>
          <w:tcPr>
            <w:tcW w:w="2330" w:type="dxa"/>
            <w:vAlign w:val="center"/>
          </w:tcPr>
          <w:p>
            <w:pPr>
              <w:spacing w:line="240" w:lineRule="auto"/>
              <w:jc w:val="center"/>
              <w:rPr>
                <w:b/>
                <w:bCs/>
                <w:sz w:val="21"/>
                <w:szCs w:val="21"/>
              </w:rPr>
            </w:pPr>
            <w:r>
              <w:rPr>
                <w:b/>
                <w:bCs/>
                <w:sz w:val="21"/>
                <w:szCs w:val="21"/>
              </w:rPr>
              <w:t>占未就业毕业生比例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jc w:val="center"/>
        </w:trPr>
        <w:tc>
          <w:tcPr>
            <w:tcW w:w="1099" w:type="dxa"/>
            <w:vAlign w:val="center"/>
          </w:tcPr>
          <w:p>
            <w:pPr>
              <w:spacing w:line="240" w:lineRule="auto"/>
              <w:jc w:val="center"/>
              <w:rPr>
                <w:sz w:val="21"/>
                <w:szCs w:val="21"/>
              </w:rPr>
            </w:pPr>
            <w:r>
              <w:rPr>
                <w:sz w:val="21"/>
                <w:szCs w:val="21"/>
              </w:rPr>
              <w:t>1</w:t>
            </w:r>
          </w:p>
        </w:tc>
        <w:tc>
          <w:tcPr>
            <w:tcW w:w="3143" w:type="dxa"/>
            <w:vAlign w:val="center"/>
          </w:tcPr>
          <w:p>
            <w:pPr>
              <w:spacing w:line="240" w:lineRule="auto"/>
              <w:jc w:val="center"/>
              <w:rPr>
                <w:sz w:val="21"/>
                <w:szCs w:val="21"/>
              </w:rPr>
            </w:pPr>
            <w:r>
              <w:rPr>
                <w:sz w:val="21"/>
                <w:szCs w:val="21"/>
              </w:rPr>
              <w:t>二战考研</w:t>
            </w:r>
          </w:p>
        </w:tc>
        <w:tc>
          <w:tcPr>
            <w:tcW w:w="2033" w:type="dxa"/>
            <w:vAlign w:val="center"/>
          </w:tcPr>
          <w:p>
            <w:pPr>
              <w:spacing w:line="240" w:lineRule="auto"/>
              <w:jc w:val="center"/>
              <w:rPr>
                <w:sz w:val="21"/>
                <w:szCs w:val="21"/>
              </w:rPr>
            </w:pPr>
            <w:r>
              <w:rPr>
                <w:sz w:val="21"/>
                <w:szCs w:val="21"/>
              </w:rPr>
              <w:t>2</w:t>
            </w:r>
          </w:p>
        </w:tc>
        <w:tc>
          <w:tcPr>
            <w:tcW w:w="2330" w:type="dxa"/>
            <w:vAlign w:val="center"/>
          </w:tcPr>
          <w:p>
            <w:pPr>
              <w:spacing w:line="240" w:lineRule="auto"/>
              <w:jc w:val="center"/>
              <w:rPr>
                <w:sz w:val="21"/>
                <w:szCs w:val="21"/>
              </w:rPr>
            </w:pPr>
            <w:r>
              <w:rPr>
                <w:sz w:val="21"/>
                <w:szCs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jc w:val="center"/>
        </w:trPr>
        <w:tc>
          <w:tcPr>
            <w:tcW w:w="1099" w:type="dxa"/>
            <w:vAlign w:val="center"/>
          </w:tcPr>
          <w:p>
            <w:pPr>
              <w:spacing w:line="240" w:lineRule="auto"/>
              <w:jc w:val="center"/>
              <w:rPr>
                <w:sz w:val="21"/>
                <w:szCs w:val="21"/>
              </w:rPr>
            </w:pPr>
            <w:r>
              <w:rPr>
                <w:sz w:val="21"/>
                <w:szCs w:val="21"/>
              </w:rPr>
              <w:t>2</w:t>
            </w:r>
          </w:p>
        </w:tc>
        <w:tc>
          <w:tcPr>
            <w:tcW w:w="3143" w:type="dxa"/>
            <w:vAlign w:val="center"/>
          </w:tcPr>
          <w:p>
            <w:pPr>
              <w:spacing w:line="240" w:lineRule="auto"/>
              <w:jc w:val="center"/>
              <w:rPr>
                <w:sz w:val="21"/>
                <w:szCs w:val="21"/>
              </w:rPr>
            </w:pPr>
            <w:r>
              <w:rPr>
                <w:sz w:val="21"/>
                <w:szCs w:val="21"/>
              </w:rPr>
              <w:t>正在求职</w:t>
            </w:r>
          </w:p>
        </w:tc>
        <w:tc>
          <w:tcPr>
            <w:tcW w:w="2033" w:type="dxa"/>
            <w:vAlign w:val="center"/>
          </w:tcPr>
          <w:p>
            <w:pPr>
              <w:spacing w:line="240" w:lineRule="auto"/>
              <w:jc w:val="center"/>
              <w:rPr>
                <w:sz w:val="21"/>
                <w:szCs w:val="21"/>
              </w:rPr>
            </w:pPr>
            <w:r>
              <w:rPr>
                <w:sz w:val="21"/>
                <w:szCs w:val="21"/>
              </w:rPr>
              <w:t>2</w:t>
            </w:r>
          </w:p>
        </w:tc>
        <w:tc>
          <w:tcPr>
            <w:tcW w:w="2330" w:type="dxa"/>
            <w:vAlign w:val="center"/>
          </w:tcPr>
          <w:p>
            <w:pPr>
              <w:spacing w:line="240" w:lineRule="auto"/>
              <w:jc w:val="center"/>
              <w:rPr>
                <w:sz w:val="21"/>
                <w:szCs w:val="21"/>
              </w:rPr>
            </w:pPr>
            <w:r>
              <w:rPr>
                <w:sz w:val="21"/>
                <w:szCs w:val="21"/>
              </w:rPr>
              <w:t>50%</w:t>
            </w:r>
          </w:p>
        </w:tc>
      </w:tr>
    </w:tbl>
    <w:p>
      <w:pPr>
        <w:pStyle w:val="6"/>
        <w:ind w:firstLine="480"/>
      </w:pPr>
      <w:r>
        <w:t>6</w:t>
      </w:r>
      <w:r>
        <w:rPr>
          <w:rFonts w:hint="eastAsia"/>
        </w:rPr>
        <w:t xml:space="preserve">. </w:t>
      </w:r>
      <w:r>
        <w:t>植物检疫专业市场建设情况</w:t>
      </w:r>
    </w:p>
    <w:p>
      <w:pPr>
        <w:ind w:firstLine="480"/>
        <w:rPr>
          <w:szCs w:val="24"/>
        </w:rPr>
      </w:pPr>
      <w:r>
        <w:rPr>
          <w:szCs w:val="24"/>
        </w:rPr>
        <w:t>植物检疫专业招聘信息网址链接：</w:t>
      </w:r>
    </w:p>
    <w:p>
      <w:pPr>
        <w:ind w:firstLine="480"/>
        <w:rPr>
          <w:szCs w:val="24"/>
        </w:rPr>
      </w:pPr>
      <w:r>
        <w:rPr>
          <w:szCs w:val="24"/>
        </w:rPr>
        <w:t>1.https://mp.weixin.qq.com/s/1mN3BXV3iAL6r14NolUP7A</w:t>
      </w:r>
    </w:p>
    <w:p>
      <w:pPr>
        <w:ind w:firstLine="480"/>
        <w:rPr>
          <w:szCs w:val="24"/>
        </w:rPr>
      </w:pPr>
      <w:r>
        <w:rPr>
          <w:szCs w:val="24"/>
        </w:rPr>
        <w:t>2. https://mp.weixin.qq.com/s/0QIQ8J7oA-_etpwFmkhcHw</w:t>
      </w:r>
    </w:p>
    <w:p>
      <w:pPr>
        <w:ind w:firstLine="480"/>
        <w:rPr>
          <w:szCs w:val="24"/>
        </w:rPr>
      </w:pPr>
      <w:r>
        <w:rPr>
          <w:szCs w:val="24"/>
        </w:rPr>
        <w:t>3.http://zhibao.sdau.edu.cn/2022/0317/c2070a202381/page.htm</w:t>
      </w:r>
    </w:p>
    <w:p>
      <w:pPr>
        <w:pStyle w:val="5"/>
        <w:spacing w:before="93" w:after="93"/>
        <w:ind w:firstLine="560"/>
      </w:pPr>
      <w:r>
        <w:t>六、毕业生就业创业（创业情况、采取的措施、典型案例等）</w:t>
      </w:r>
    </w:p>
    <w:p>
      <w:pPr>
        <w:pStyle w:val="6"/>
        <w:ind w:firstLine="480"/>
      </w:pPr>
      <w:r>
        <w:t>1. 加强校企合作，实现学院与企业之间的深度合作</w:t>
      </w:r>
    </w:p>
    <w:p>
      <w:pPr>
        <w:ind w:firstLine="480"/>
        <w:jc w:val="left"/>
        <w:rPr>
          <w:szCs w:val="24"/>
        </w:rPr>
      </w:pPr>
      <w:r>
        <w:rPr>
          <w:szCs w:val="24"/>
        </w:rPr>
        <w:t>在2022届毕业生就业工作中，进一步加强校企合作力度，与用人单位紧密联系，了解就业市场需求，累计联系用人单位30余家到校举办校园招聘专场和参加校园周末招聘会，为学生提供了百余个用工岗位和招聘信息，帮助就业生顺利就业。</w:t>
      </w:r>
    </w:p>
    <w:p>
      <w:pPr>
        <w:pStyle w:val="6"/>
        <w:ind w:firstLine="480"/>
      </w:pPr>
      <w:r>
        <w:t>2. 发挥专业教师作用，形成体系，全员参与就业</w:t>
      </w:r>
    </w:p>
    <w:p>
      <w:pPr>
        <w:ind w:firstLine="480" w:firstLineChars="200"/>
      </w:pPr>
      <w:r>
        <w:t>专业教师通过长期跟企业联系，熟悉企业对毕业生的需求和对毕业生综合素质的要求，把这些信息传递给毕业生，指导毕业生就业工作，积极传授毕业生如何主动就业之道。专业教师也根据自己在教学科研中与企业的联系，向企业推荐毕业生，为毕业生提供就业岗位。通过实习促进就业，学院上下形成了领导、辅导员、专业教师三位一体的就业指导工作联动体系，实行就业辅导员、就业导师包干制，充分发挥专业教师的就业指导作用。教师不仅讲授专业知识，而且传授职业发展素质修养，介绍本学科领域最新发展趋势及职业优势，引导毕业生合理定位自身职业，通过言传身教方式引导毕业生求职就业。</w:t>
      </w:r>
    </w:p>
    <w:p>
      <w:pPr>
        <w:pStyle w:val="6"/>
        <w:ind w:firstLine="480"/>
      </w:pPr>
      <w:r>
        <w:t>3. 树牢系统思维，推动综合改革走深</w:t>
      </w:r>
    </w:p>
    <w:p>
      <w:pPr>
        <w:widowControl/>
        <w:ind w:firstLine="480"/>
      </w:pPr>
      <w:r>
        <w:rPr>
          <w:szCs w:val="24"/>
          <w:shd w:val="clear" w:color="auto" w:fill="FFFFFF"/>
        </w:rPr>
        <w:t>坚持需求导向、质量导向，通过系统性、整体性、协同性的改革营造良性就业生态。</w:t>
      </w:r>
      <w:r>
        <w:rPr>
          <w:szCs w:val="24"/>
        </w:rPr>
        <w:t>毕业生教育工作，既是就业工作的重要内容，也是大学生思想教育工作的重要组成部分。为此，在毕业生一进入大四，学院即安排就业辅导员对毕业生进行初步就业摸排，对考研、就业、考公务员等就业意向进行逐一摸排，并形成班级分析报告，我院鼓励该专业学生进入海关等机关单位工作。同时告诫毕业生要增强市场观念、竞争意识和创业自立精神，克服</w:t>
      </w:r>
      <w:r>
        <w:rPr>
          <w:rFonts w:hint="eastAsia"/>
          <w:szCs w:val="24"/>
        </w:rPr>
        <w:t>“</w:t>
      </w:r>
      <w:r>
        <w:rPr>
          <w:szCs w:val="24"/>
        </w:rPr>
        <w:t>等、靠、要</w:t>
      </w:r>
      <w:r>
        <w:rPr>
          <w:rFonts w:hint="eastAsia"/>
          <w:szCs w:val="24"/>
        </w:rPr>
        <w:t>”</w:t>
      </w:r>
      <w:r>
        <w:rPr>
          <w:szCs w:val="24"/>
        </w:rPr>
        <w:t>的依赖思想。要清楚大学毕业后有了岗位才能谈发展，成就事业要从干小事起步，看准的工作就要大胆去干。大学生参与竞争需要雄厚的实力做保证，而竞争实力是通过大学生活过程中逐渐培养和主动塑造得来的。因此，大学生要珍惜学习期间的宝贵时间，积极参加学校的各项活动来锻炼自己，努力提高自己的能力水平。</w:t>
      </w:r>
    </w:p>
    <w:p>
      <w:pPr>
        <w:pStyle w:val="5"/>
        <w:spacing w:before="93" w:after="93"/>
        <w:ind w:firstLine="560"/>
      </w:pPr>
      <w:r>
        <w:t>七、专业发展趋势及建议</w:t>
      </w:r>
    </w:p>
    <w:p>
      <w:pPr>
        <w:ind w:firstLine="480"/>
        <w:jc w:val="left"/>
        <w:rPr>
          <w:szCs w:val="24"/>
        </w:rPr>
      </w:pPr>
      <w:r>
        <w:rPr>
          <w:szCs w:val="24"/>
        </w:rPr>
        <w:t>我国面临极其严峻的植物有害生物入侵的风险。近10年来，我国相继发现了西花蓟马、Q型烟粉虱、三叶草斑潜蝇等20余种世界危险性与暴发性物种的入侵，平均每年增加2种。黄岛海关、日照海关等，植物和植物产品的进口量巨大；青岛流亭机场海关、济南机场海关，旅检业务量巨大；青岛邮局海关、济南邮局海关，快件等邮件检疫任务繁重（2021年我国快递业务量达到1085亿件，同比增长29.9%；业务增量再创历史新高，达249.4亿件）。这些方面，都给植物检疫工作提出了严峻的挑战。加之，海关执法模式为三段式，植检专业人才缺口很大，尤其在植物有害生物系统鉴定、植物有害生物风险分析、检疫杂草、检疫抽样理论等方面的人才极其短缺。国内农业、森林植物检疫，工作还不够规范，处于专业人才显著缺乏的状态。</w:t>
      </w:r>
      <w:r>
        <w:rPr>
          <w:rFonts w:hint="eastAsia"/>
          <w:szCs w:val="24"/>
        </w:rPr>
        <w:t>“</w:t>
      </w:r>
      <w:r>
        <w:rPr>
          <w:szCs w:val="24"/>
        </w:rPr>
        <w:t>植物检疫学</w:t>
      </w:r>
      <w:r>
        <w:rPr>
          <w:rFonts w:hint="eastAsia"/>
          <w:szCs w:val="24"/>
        </w:rPr>
        <w:t>”</w:t>
      </w:r>
      <w:r>
        <w:rPr>
          <w:szCs w:val="24"/>
        </w:rPr>
        <w:t>在国际上已经成为独立的学科门类，建议教育部在专业目录中独立设置。植物检疫因国际贸易中快速通关、高通量检疫技术的需要，技术发展非常迅速，高新技术都会在植物检疫领域首先应用，因此，建议教育部、山东省，应当拨款对植物检疫方向专业进行重点建设。在稳定生源数量的基础上，可以适当扩大招生规模，年招生30-60人为宜。</w:t>
      </w:r>
    </w:p>
    <w:p>
      <w:pPr>
        <w:pStyle w:val="5"/>
        <w:spacing w:before="93" w:after="93"/>
        <w:ind w:firstLine="560"/>
      </w:pPr>
      <w:r>
        <w:t>八、存在的问题及拟采取的对策措施</w:t>
      </w:r>
    </w:p>
    <w:p>
      <w:pPr>
        <w:ind w:firstLine="480"/>
        <w:rPr>
          <w:szCs w:val="24"/>
        </w:rPr>
      </w:pPr>
      <w:r>
        <w:rPr>
          <w:szCs w:val="24"/>
        </w:rPr>
        <w:t>动植物检疫本科专业植物检疫方向，毕业学生因其专业是加括号说明的，多个海关和地方部门表示无法界定学生是不是学习的植物检疫体系课程，因此不能接受学生公务员、事业编的报名，在资格审查阶段就予终止。建议设置对口的植物检疫本科专业，以便学生选择和培养，并利于学生就业。</w:t>
      </w:r>
    </w:p>
    <w:p>
      <w:pPr>
        <w:ind w:firstLine="480"/>
        <w:rPr>
          <w:szCs w:val="24"/>
        </w:rPr>
      </w:pPr>
      <w:r>
        <w:rPr>
          <w:szCs w:val="24"/>
        </w:rPr>
        <w:t>在学生培养上，学校应当给予二级学院更大的自主权，鼓励教师在本科人才培养上大胆探索，比如第二学年末暑期设置专业实践（三周）。要以本科人才培养为核心，有关的学校各部门（如后勤管理处等）应予以配合。</w:t>
      </w:r>
    </w:p>
    <w:p>
      <w:pPr>
        <w:ind w:firstLine="480"/>
        <w:rPr>
          <w:szCs w:val="24"/>
        </w:rPr>
      </w:pPr>
      <w:r>
        <w:rPr>
          <w:szCs w:val="24"/>
        </w:rPr>
        <w:t>除以上问题外，目前还存在：</w:t>
      </w:r>
    </w:p>
    <w:p>
      <w:pPr>
        <w:ind w:firstLine="480"/>
        <w:rPr>
          <w:szCs w:val="24"/>
        </w:rPr>
      </w:pPr>
      <w:r>
        <w:rPr>
          <w:szCs w:val="24"/>
        </w:rPr>
        <w:t>1</w:t>
      </w:r>
      <w:r>
        <w:rPr>
          <w:rFonts w:hint="eastAsia"/>
          <w:szCs w:val="24"/>
          <w:lang w:eastAsia="zh-CN"/>
        </w:rPr>
        <w:t>.</w:t>
      </w:r>
      <w:r>
        <w:rPr>
          <w:szCs w:val="24"/>
        </w:rPr>
        <w:t>教师在教学研究上精力投入不够，一线教师结构不太合理，教学研究水平有待进一步改进。</w:t>
      </w:r>
    </w:p>
    <w:p>
      <w:pPr>
        <w:ind w:firstLine="480"/>
        <w:rPr>
          <w:szCs w:val="24"/>
        </w:rPr>
      </w:pPr>
      <w:r>
        <w:rPr>
          <w:szCs w:val="24"/>
        </w:rPr>
        <w:t>2</w:t>
      </w:r>
      <w:r>
        <w:rPr>
          <w:rFonts w:hint="eastAsia"/>
          <w:szCs w:val="24"/>
          <w:lang w:eastAsia="zh-CN"/>
        </w:rPr>
        <w:t>.</w:t>
      </w:r>
      <w:r>
        <w:rPr>
          <w:szCs w:val="24"/>
        </w:rPr>
        <w:t>教学方法与现代信息技术结合不够。</w:t>
      </w:r>
    </w:p>
    <w:p>
      <w:pPr>
        <w:ind w:firstLine="480"/>
        <w:rPr>
          <w:szCs w:val="24"/>
        </w:rPr>
      </w:pPr>
      <w:r>
        <w:rPr>
          <w:szCs w:val="24"/>
        </w:rPr>
        <w:t>3</w:t>
      </w:r>
      <w:r>
        <w:rPr>
          <w:rFonts w:hint="eastAsia"/>
          <w:szCs w:val="24"/>
          <w:lang w:eastAsia="zh-CN"/>
        </w:rPr>
        <w:t>.</w:t>
      </w:r>
      <w:r>
        <w:rPr>
          <w:szCs w:val="24"/>
        </w:rPr>
        <w:t>由于植检专业实践性强，实践教学及实习场所仍存在明显不足，实践教学场所需要进一步加强。</w:t>
      </w:r>
    </w:p>
    <w:p>
      <w:pPr>
        <w:ind w:firstLine="480"/>
        <w:rPr>
          <w:szCs w:val="24"/>
        </w:rPr>
      </w:pPr>
      <w:r>
        <w:rPr>
          <w:szCs w:val="24"/>
        </w:rPr>
        <w:t>整改措施：</w:t>
      </w:r>
    </w:p>
    <w:p>
      <w:pPr>
        <w:ind w:firstLine="480"/>
        <w:rPr>
          <w:szCs w:val="24"/>
        </w:rPr>
      </w:pPr>
      <w:r>
        <w:rPr>
          <w:szCs w:val="24"/>
        </w:rPr>
        <w:t>1</w:t>
      </w:r>
      <w:r>
        <w:rPr>
          <w:rFonts w:hint="eastAsia"/>
          <w:szCs w:val="24"/>
          <w:lang w:eastAsia="zh-CN"/>
        </w:rPr>
        <w:t>.</w:t>
      </w:r>
      <w:r>
        <w:rPr>
          <w:szCs w:val="24"/>
        </w:rPr>
        <w:t>加强人才的引进力度，及时补充师资力量，满足教学和科学需要；采用积极有效的措施，提高教师从事教学工作的积极性和主动性。</w:t>
      </w:r>
    </w:p>
    <w:p>
      <w:pPr>
        <w:ind w:firstLine="480"/>
        <w:rPr>
          <w:szCs w:val="24"/>
        </w:rPr>
      </w:pPr>
      <w:r>
        <w:rPr>
          <w:szCs w:val="24"/>
        </w:rPr>
        <w:t>2</w:t>
      </w:r>
      <w:r>
        <w:rPr>
          <w:rFonts w:hint="eastAsia"/>
          <w:szCs w:val="24"/>
          <w:lang w:eastAsia="zh-CN"/>
        </w:rPr>
        <w:t>.</w:t>
      </w:r>
      <w:r>
        <w:rPr>
          <w:szCs w:val="24"/>
        </w:rPr>
        <w:t>学校继续给予支持，大力发展植物检疫线上课程（慕课）。</w:t>
      </w:r>
    </w:p>
    <w:p>
      <w:pPr>
        <w:ind w:firstLine="480"/>
      </w:pPr>
      <w:r>
        <w:rPr>
          <w:szCs w:val="24"/>
        </w:rPr>
        <w:t>3</w:t>
      </w:r>
      <w:r>
        <w:rPr>
          <w:rFonts w:hint="eastAsia"/>
          <w:szCs w:val="24"/>
          <w:lang w:eastAsia="zh-CN"/>
        </w:rPr>
        <w:t>.</w:t>
      </w:r>
      <w:r>
        <w:rPr>
          <w:szCs w:val="24"/>
        </w:rPr>
        <w:t>加大投入力度，改善实践实习条件，为大学生打造更好的创新创业的平台，满足学生需要。</w:t>
      </w:r>
    </w:p>
    <w:p>
      <w:pPr>
        <w:rPr>
          <w:color w:val="000000"/>
          <w:szCs w:val="24"/>
        </w:rPr>
      </w:pPr>
      <w:r>
        <w:rPr>
          <w:color w:val="000000"/>
          <w:szCs w:val="24"/>
        </w:rPr>
        <w:br w:type="page"/>
      </w:r>
    </w:p>
    <w:p>
      <w:pPr>
        <w:pStyle w:val="4"/>
        <w:ind w:firstLine="600"/>
      </w:pPr>
      <w:bookmarkStart w:id="68" w:name="_Toc439226693"/>
      <w:bookmarkStart w:id="69" w:name="_Toc28051"/>
      <w:bookmarkStart w:id="70" w:name="_Toc439228908"/>
      <w:bookmarkStart w:id="71" w:name="_Toc970"/>
      <w:bookmarkStart w:id="72" w:name="_Toc439256169"/>
      <w:bookmarkStart w:id="73" w:name="_Toc1146"/>
      <w:bookmarkStart w:id="74" w:name="_Toc32239"/>
      <w:bookmarkStart w:id="75" w:name="_Toc3561"/>
      <w:bookmarkStart w:id="76" w:name="_Toc6958"/>
      <w:bookmarkStart w:id="77" w:name="_Toc9224"/>
      <w:bookmarkStart w:id="78" w:name="_Toc16492"/>
      <w:bookmarkStart w:id="79" w:name="_Toc10220"/>
      <w:bookmarkStart w:id="80" w:name="_Toc7660"/>
      <w:bookmarkStart w:id="81" w:name="_Toc29735"/>
      <w:bookmarkStart w:id="82" w:name="_Toc15032"/>
      <w:r>
        <w:rPr>
          <w:rFonts w:hint="eastAsia"/>
          <w:lang w:val="en-US"/>
        </w:rPr>
        <w:t>专业八：</w:t>
      </w:r>
      <w:r>
        <w:t>动植物检疫（动物检疫方向</w:t>
      </w:r>
      <w:bookmarkEnd w:id="68"/>
      <w:bookmarkEnd w:id="69"/>
      <w:bookmarkEnd w:id="70"/>
      <w:bookmarkEnd w:id="71"/>
      <w:bookmarkEnd w:id="72"/>
      <w:bookmarkEnd w:id="73"/>
      <w:r>
        <w:t>）</w:t>
      </w:r>
      <w:bookmarkEnd w:id="74"/>
      <w:bookmarkEnd w:id="75"/>
      <w:bookmarkEnd w:id="76"/>
      <w:bookmarkEnd w:id="77"/>
      <w:bookmarkEnd w:id="78"/>
      <w:bookmarkEnd w:id="79"/>
      <w:bookmarkEnd w:id="80"/>
      <w:bookmarkEnd w:id="81"/>
      <w:bookmarkEnd w:id="82"/>
    </w:p>
    <w:p>
      <w:pPr>
        <w:pStyle w:val="5"/>
        <w:spacing w:before="93" w:after="93"/>
        <w:ind w:firstLine="560"/>
      </w:pPr>
      <w:bookmarkStart w:id="83" w:name="_Toc29808"/>
      <w:bookmarkStart w:id="84" w:name="_Toc16186"/>
      <w:r>
        <w:t>一、人才培养目标</w:t>
      </w:r>
      <w:bookmarkEnd w:id="83"/>
      <w:bookmarkEnd w:id="84"/>
      <w:r>
        <w:t xml:space="preserve"> </w:t>
      </w:r>
    </w:p>
    <w:p>
      <w:pPr>
        <w:ind w:firstLine="480" w:firstLineChars="200"/>
        <w:rPr>
          <w:color w:val="000000"/>
          <w:szCs w:val="24"/>
        </w:rPr>
      </w:pPr>
      <w:r>
        <w:rPr>
          <w:color w:val="000000"/>
          <w:szCs w:val="24"/>
        </w:rPr>
        <w:t>本专业培养具有坚实的动物学、动物卫生检验检疫学、预防兽医学和动物卫生检验检疫法律法规等方面的基础，具备动物检疫与食品检验和有害生物综合治理等方面的基本理论、基本知识和技能，能在出入境动物检验检疫及其相关的部门或单位从事有害生物综合治理、出入境和国内动物检疫与食品检验、生物资源保护和可持续利用等工作的应用型、复合型高级专门人才。</w:t>
      </w:r>
    </w:p>
    <w:p>
      <w:pPr>
        <w:pStyle w:val="5"/>
        <w:spacing w:before="93" w:after="93"/>
        <w:ind w:firstLine="560"/>
      </w:pPr>
      <w:bookmarkStart w:id="85" w:name="_Toc23134"/>
      <w:bookmarkStart w:id="86" w:name="_Toc25413"/>
      <w:r>
        <w:t>二、培养能力（专业设置情况、在校生规模、课程设置情况、创新创业教育等）</w:t>
      </w:r>
      <w:bookmarkEnd w:id="85"/>
      <w:bookmarkEnd w:id="86"/>
    </w:p>
    <w:p>
      <w:pPr>
        <w:ind w:firstLine="480" w:firstLineChars="200"/>
        <w:rPr>
          <w:color w:val="000000"/>
          <w:szCs w:val="24"/>
        </w:rPr>
      </w:pPr>
      <w:r>
        <w:rPr>
          <w:rFonts w:eastAsia="黑体"/>
          <w:color w:val="000000"/>
          <w:szCs w:val="24"/>
        </w:rPr>
        <w:t>1.专业设置情况：</w:t>
      </w:r>
      <w:r>
        <w:rPr>
          <w:color w:val="000000"/>
          <w:szCs w:val="24"/>
        </w:rPr>
        <w:t>动物检疫专业从1985年开始招收专科生，2004年升格为本科专业，并在一本招生，专业学制为4年。</w:t>
      </w:r>
    </w:p>
    <w:p>
      <w:pPr>
        <w:ind w:firstLine="480" w:firstLineChars="200"/>
        <w:rPr>
          <w:rFonts w:eastAsia="黑体"/>
          <w:color w:val="000000"/>
          <w:szCs w:val="24"/>
        </w:rPr>
      </w:pPr>
      <w:r>
        <w:rPr>
          <w:rFonts w:eastAsia="黑体"/>
          <w:color w:val="000000"/>
          <w:szCs w:val="24"/>
        </w:rPr>
        <w:t>2.课程设置情况：</w:t>
      </w:r>
      <w:r>
        <w:rPr>
          <w:color w:val="000000"/>
          <w:szCs w:val="24"/>
        </w:rPr>
        <w:t>专业课程体系包括通识教育课程、专业教育课程、专业方向课程和拓展教育课程四大类别。</w:t>
      </w:r>
    </w:p>
    <w:p>
      <w:pPr>
        <w:ind w:firstLine="480" w:firstLineChars="200"/>
        <w:rPr>
          <w:color w:val="000000"/>
          <w:szCs w:val="24"/>
        </w:rPr>
      </w:pPr>
      <w:r>
        <w:rPr>
          <w:color w:val="000000"/>
          <w:szCs w:val="24"/>
        </w:rPr>
        <w:t>通识教育课程包括《思想道德修养与法律基础》、《马克思主义基本原理》、《中国近现代史纲要》、《毛泽东思想和中国特色社会主义理论体系概论》、《大学英语B1-B4》、《计算机文化基础》、《计算机文化基础实验》、《普通体育课1-2》。</w:t>
      </w:r>
    </w:p>
    <w:p>
      <w:pPr>
        <w:ind w:firstLine="480" w:firstLineChars="200"/>
        <w:rPr>
          <w:color w:val="000000"/>
          <w:szCs w:val="24"/>
        </w:rPr>
      </w:pPr>
      <w:r>
        <w:rPr>
          <w:color w:val="000000"/>
          <w:szCs w:val="24"/>
        </w:rPr>
        <w:t>专业教育课程包括《高等数学C》、《线性代数》、《概率统计》、《无机及分析化学》、《有机化学》、《普通动物学》、《动物解剖学》、《动物组织学与胚胎学》、《动物生物化学》、《动物生理学》、《生物统计学》、《动物病理学及检验技术》、《动物微生物学及检验技术》、《兽医免疫学》、《兽医毒理学》、《兽医外科学及手术学》、《兽医内科学》。</w:t>
      </w:r>
    </w:p>
    <w:p>
      <w:pPr>
        <w:ind w:firstLine="480" w:firstLineChars="200"/>
        <w:rPr>
          <w:color w:val="000000"/>
          <w:szCs w:val="24"/>
        </w:rPr>
      </w:pPr>
      <w:r>
        <w:rPr>
          <w:color w:val="000000"/>
          <w:szCs w:val="24"/>
        </w:rPr>
        <w:t>专业方向课程包括《动物性食品理化检验学》、《兽医公共卫生学》、《动物传染病学》、《动物寄生虫病学》、《兽医临床诊断学》、《动物卫生检验检疫学》。拓展教育课程包括《动物检疫研究进展》、《职业发展与就业创业指导课》。</w:t>
      </w:r>
    </w:p>
    <w:p>
      <w:pPr>
        <w:ind w:firstLine="480" w:firstLineChars="200"/>
        <w:rPr>
          <w:color w:val="000000"/>
          <w:szCs w:val="24"/>
        </w:rPr>
      </w:pPr>
      <w:r>
        <w:rPr>
          <w:color w:val="000000"/>
          <w:szCs w:val="24"/>
        </w:rPr>
        <w:t xml:space="preserve">选修课包括《动物福利与动物保护》、《海珍品养殖学》、《细胞生物学》、《动物生物技术》、《药事管理学》、《动物影像学》、《猪病学》、《蜜蜂生产学》、《中兽医临床应用》、《动物卫生法学》、《禽病学》、《兽医分子生物学》、《畜牧场设计与环境管理》、《兽医流行病学》、《动物生物制品学》。另设有动物性食品理化检验学、动物检验检疫教学实习、出入境检疫实习、国内检疫实习、动植物源性食品安全质量监控讲座等实践教学形式。  </w:t>
      </w:r>
    </w:p>
    <w:p>
      <w:pPr>
        <w:ind w:firstLine="480" w:firstLineChars="200"/>
        <w:rPr>
          <w:color w:val="000000"/>
          <w:szCs w:val="24"/>
        </w:rPr>
      </w:pPr>
      <w:r>
        <w:rPr>
          <w:color w:val="000000"/>
          <w:szCs w:val="24"/>
        </w:rPr>
        <w:t>课程共135.5学分；必修课102.5学分，占课程总学分的75.7%；选修课33学分，占课程总学分的24.3%。</w:t>
      </w:r>
    </w:p>
    <w:p>
      <w:pPr>
        <w:ind w:firstLine="480" w:firstLineChars="200"/>
        <w:rPr>
          <w:color w:val="000000"/>
          <w:szCs w:val="24"/>
        </w:rPr>
      </w:pPr>
      <w:r>
        <w:rPr>
          <w:color w:val="000000"/>
          <w:szCs w:val="24"/>
        </w:rPr>
        <w:t>创新创业教育：按照中央大众创业，万众创新的指示精神，本专业重视创新创业教育，学院将双创教育融入实践教学，依托校企共建教学科研平台、校企合作班、扶持大学生创新创业等载体，建立起多层次、高质量、立体化校企合作育人体系，本专业开设了《职业发展与就业创业指导》，聘请同济大学生命科学与技术学院院长、长江学者特聘教授高绍荣、益生集团董事长曹积生、山东众成公司董事长葛金山为代表的专家和企业家30余人为兼职教师，定期为本专业学生做创新创业专题辅导。院针对公司培养人才取向，携手企业共同成立</w:t>
      </w:r>
      <w:r>
        <w:rPr>
          <w:rFonts w:hint="eastAsia"/>
          <w:color w:val="000000"/>
          <w:szCs w:val="24"/>
        </w:rPr>
        <w:t>“</w:t>
      </w:r>
      <w:r>
        <w:rPr>
          <w:color w:val="000000"/>
          <w:szCs w:val="24"/>
        </w:rPr>
        <w:t>生泰尔班</w:t>
      </w:r>
      <w:r>
        <w:rPr>
          <w:rFonts w:hint="eastAsia"/>
          <w:color w:val="000000"/>
          <w:szCs w:val="24"/>
        </w:rPr>
        <w:t>”</w:t>
      </w:r>
      <w:r>
        <w:rPr>
          <w:color w:val="000000"/>
          <w:szCs w:val="24"/>
        </w:rPr>
        <w:t>、</w:t>
      </w:r>
      <w:r>
        <w:rPr>
          <w:rFonts w:hint="eastAsia"/>
          <w:color w:val="000000"/>
          <w:szCs w:val="24"/>
        </w:rPr>
        <w:t>“</w:t>
      </w:r>
      <w:r>
        <w:rPr>
          <w:color w:val="000000"/>
          <w:szCs w:val="24"/>
        </w:rPr>
        <w:t>六和班</w:t>
      </w:r>
      <w:r>
        <w:rPr>
          <w:rFonts w:hint="eastAsia"/>
          <w:color w:val="000000"/>
          <w:szCs w:val="24"/>
        </w:rPr>
        <w:t>”</w:t>
      </w:r>
      <w:r>
        <w:rPr>
          <w:color w:val="000000"/>
          <w:szCs w:val="24"/>
        </w:rPr>
        <w:t>等校企合作班，利用企业平台为行业发展培养后续储备力量。同时，学院与企业信息对接，资源共享，建立多个校级、院级校外就业实践基地，进一步实现双方教学资源优势互补，为学生提前进入企业实习提供条件。通过学习借鉴企业职业学习理念及做法，不断完善自我、提高能力，进一步提升学生就业核心竞争力，打造校企合作人才培养的新型模式。鼓励学生参加第二课堂与创新活动，学院在南校区实验牧场设立创新创业基地，为学生创新创业创造条件。中晨康地农牧发展有限公司设立十万元创新创业基金，为学生创新创业实践活动提供了资金支持。学院聘请有关老师指导学生申请学校SRT，创造条件参与老师的科研活动。全面推行本科生导师制，每名本专业教师负责指导3-4名本专业学生，从三年级起，本科生开始进入相关专业老师的课题组从事科研活动，参加学生人数占本专业学生人数85%以上</w:t>
      </w:r>
      <w:r>
        <w:rPr>
          <w:color w:val="000000"/>
          <w:kern w:val="0"/>
          <w:szCs w:val="24"/>
        </w:rPr>
        <w:t>，上述活动</w:t>
      </w:r>
      <w:r>
        <w:rPr>
          <w:color w:val="000000"/>
          <w:szCs w:val="24"/>
        </w:rPr>
        <w:t>提高了学生的创业创新能力。</w:t>
      </w:r>
    </w:p>
    <w:p>
      <w:pPr>
        <w:pStyle w:val="5"/>
        <w:spacing w:before="93" w:after="93"/>
        <w:ind w:firstLine="560"/>
      </w:pPr>
      <w:bookmarkStart w:id="87" w:name="_Toc18845"/>
      <w:bookmarkStart w:id="88" w:name="_Toc32598"/>
      <w:r>
        <w:t>三、培养条件（教学经费投入、教学设备、教师队伍建设、实习基地、现代教学技术应用等）</w:t>
      </w:r>
      <w:bookmarkEnd w:id="87"/>
      <w:bookmarkEnd w:id="88"/>
      <w:r>
        <w:t xml:space="preserve"> </w:t>
      </w:r>
    </w:p>
    <w:p>
      <w:pPr>
        <w:ind w:firstLine="480" w:firstLineChars="200"/>
        <w:rPr>
          <w:color w:val="000000"/>
          <w:szCs w:val="24"/>
        </w:rPr>
      </w:pPr>
      <w:r>
        <w:rPr>
          <w:rFonts w:eastAsia="黑体"/>
          <w:color w:val="000000"/>
          <w:szCs w:val="24"/>
        </w:rPr>
        <w:t>1.教学经费投入：</w:t>
      </w:r>
      <w:r>
        <w:rPr>
          <w:color w:val="000000"/>
          <w:szCs w:val="24"/>
        </w:rPr>
        <w:t>2022年，本专业专项经费投入100余万元，致力于专业的教学条件、教学设备改善以及实验室建设和师资队伍建设。</w:t>
      </w:r>
    </w:p>
    <w:p>
      <w:pPr>
        <w:ind w:firstLine="480" w:firstLineChars="200"/>
        <w:rPr>
          <w:color w:val="000000"/>
          <w:szCs w:val="24"/>
        </w:rPr>
      </w:pPr>
      <w:r>
        <w:rPr>
          <w:rFonts w:eastAsia="黑体"/>
          <w:color w:val="000000"/>
          <w:szCs w:val="24"/>
        </w:rPr>
        <w:t>2.教学设备：</w:t>
      </w:r>
      <w:r>
        <w:rPr>
          <w:color w:val="000000"/>
          <w:szCs w:val="24"/>
        </w:rPr>
        <w:t>仪器设备是加强实验教学环节的主要载体和保障。动物检验专业是实践性更强的专业，为提高学生的实践能力，实现专业人才培养目标，本专业及时更新专业更新了气相色谱仪、液相色谱仪、PCR仪、电泳仪等一大批先进新型仪器，为实验教学活动的顺利开展和职业技能训练提供了硬件保障。</w:t>
      </w:r>
    </w:p>
    <w:p>
      <w:pPr>
        <w:ind w:firstLine="480" w:firstLineChars="200"/>
        <w:rPr>
          <w:b/>
          <w:color w:val="000000"/>
          <w:szCs w:val="24"/>
        </w:rPr>
      </w:pPr>
      <w:r>
        <w:rPr>
          <w:color w:val="000000"/>
          <w:szCs w:val="24"/>
        </w:rPr>
        <w:t>目前本专业实验室实际建筑面积达2500多平方米（不包括兽医院、养鱼池和实习牧场）。</w:t>
      </w:r>
      <w:r>
        <w:rPr>
          <w:bCs/>
          <w:color w:val="000000"/>
          <w:lang w:val="en"/>
        </w:rPr>
        <w:t>拥有1个国家级实验教学示范中心、1个省重点实验室、2个省重点学科、1个农业部动物疫病病原生物学华东科学观测实验站、1个农业部诊断实验室、1个省高等学校人才培养模式创新实验区。</w:t>
      </w:r>
      <w:r>
        <w:rPr>
          <w:color w:val="000000"/>
          <w:szCs w:val="24"/>
        </w:rPr>
        <w:t>实验中心有综合性全天开放性实验室6个；此外还有五个标本室。在校内建有实践教学基地——畜牧实验站和动物医院，建有配套实验室9栋，总建筑面积6000余平方米，保证了实践教学质量。</w:t>
      </w:r>
    </w:p>
    <w:p>
      <w:pPr>
        <w:ind w:firstLine="480" w:firstLineChars="200"/>
        <w:rPr>
          <w:color w:val="000000"/>
          <w:szCs w:val="24"/>
        </w:rPr>
      </w:pPr>
      <w:r>
        <w:rPr>
          <w:rFonts w:eastAsia="黑体"/>
          <w:color w:val="000000"/>
          <w:szCs w:val="24"/>
        </w:rPr>
        <w:t>3.教师队伍建设：</w:t>
      </w:r>
      <w:r>
        <w:rPr>
          <w:color w:val="000000"/>
          <w:szCs w:val="24"/>
        </w:rPr>
        <w:t>高素质的教师队伍是培养优秀创新人才的保障，本专业高度重视师资队伍建设，经过多年的积累与建设，动物检疫专业建立了一支适应高质量教学要求的老中青骨干教师队伍，他们熟悉国内外动植物检验检疫现状与发展趋势，能够把握科学研究的动态与生产实践的现状和发展方向。</w:t>
      </w:r>
    </w:p>
    <w:p>
      <w:pPr>
        <w:ind w:firstLine="480" w:firstLineChars="200"/>
        <w:rPr>
          <w:bCs/>
          <w:color w:val="000000"/>
          <w:lang w:val="en"/>
        </w:rPr>
      </w:pPr>
      <w:r>
        <w:rPr>
          <w:bCs/>
          <w:color w:val="000000"/>
          <w:lang w:val="en"/>
        </w:rPr>
        <w:t>专业教师中现有教授39人，讲座教授7人，副教授50人，高级实验师7人；有博士生导师33人，硕士生导师88人；有国家杰出青年基金获得者1人，</w:t>
      </w:r>
      <w:r>
        <w:rPr>
          <w:rFonts w:hint="eastAsia"/>
          <w:bCs/>
          <w:color w:val="000000"/>
          <w:lang w:val="en"/>
        </w:rPr>
        <w:t>“</w:t>
      </w:r>
      <w:r>
        <w:rPr>
          <w:bCs/>
          <w:color w:val="000000"/>
          <w:lang w:val="en"/>
        </w:rPr>
        <w:t>国家百千万人才工程</w:t>
      </w:r>
      <w:r>
        <w:rPr>
          <w:rFonts w:hint="eastAsia"/>
          <w:bCs/>
          <w:color w:val="000000"/>
          <w:lang w:val="en"/>
        </w:rPr>
        <w:t>”</w:t>
      </w:r>
      <w:r>
        <w:rPr>
          <w:bCs/>
          <w:color w:val="000000"/>
          <w:lang w:val="en"/>
        </w:rPr>
        <w:t>一、二层次专家1人，享受国务院政府特殊津贴3人，国家有突出贡献的中青年专家2人，国家现代产业技术体系岗位科学家5人；有泰山学者特聘专家2人，泰山产业领军人才3人，省有突出贡献的中青年专家2人，省现代农业产业技术体系首席专家1人和岗位专家18人、综合试验站站长2人。2017年聘请了军事医学科学院军事兽医研究所研究员金宁一院士为本专业兼职教授。</w:t>
      </w:r>
    </w:p>
    <w:p>
      <w:pPr>
        <w:ind w:firstLine="480" w:firstLineChars="200"/>
        <w:rPr>
          <w:color w:val="000000"/>
          <w:szCs w:val="24"/>
        </w:rPr>
      </w:pPr>
      <w:r>
        <w:rPr>
          <w:rFonts w:eastAsia="黑体"/>
          <w:color w:val="000000"/>
          <w:szCs w:val="24"/>
        </w:rPr>
        <w:t>4.实习基地建设：</w:t>
      </w:r>
      <w:r>
        <w:rPr>
          <w:color w:val="000000"/>
          <w:szCs w:val="24"/>
        </w:rPr>
        <w:t>学院新建实践教学基地5家，实践教学基地的总数达40家。校外基地的建立为本专业学生教学、科研和创业、创新能力培养提供便利。</w:t>
      </w:r>
    </w:p>
    <w:p>
      <w:pPr>
        <w:ind w:firstLine="480" w:firstLineChars="200"/>
        <w:rPr>
          <w:rFonts w:eastAsia="黑体"/>
          <w:color w:val="000000"/>
          <w:szCs w:val="24"/>
        </w:rPr>
      </w:pPr>
      <w:r>
        <w:rPr>
          <w:rFonts w:eastAsia="黑体"/>
          <w:color w:val="000000"/>
          <w:szCs w:val="24"/>
        </w:rPr>
        <w:t>5.现代教学技术应用：</w:t>
      </w:r>
      <w:r>
        <w:rPr>
          <w:color w:val="000000"/>
          <w:szCs w:val="24"/>
        </w:rPr>
        <w:t>大部分教师获得了山东省高校教师现代教育技术培训，并取得了合格证书，在教学过程中，充分利用教学网站、慕课等现代教学手段进行授课，丰富了教学手段，提高了教学效果。</w:t>
      </w:r>
    </w:p>
    <w:p>
      <w:pPr>
        <w:pStyle w:val="5"/>
        <w:spacing w:before="93" w:after="93"/>
        <w:ind w:firstLine="560"/>
      </w:pPr>
      <w:bookmarkStart w:id="89" w:name="_Toc31031"/>
      <w:bookmarkStart w:id="90" w:name="_Toc4028"/>
      <w:r>
        <w:t>四、培养机制与特色（产学研协同育人机制、合作办学、教学管理等）</w:t>
      </w:r>
      <w:bookmarkEnd w:id="89"/>
      <w:bookmarkEnd w:id="90"/>
    </w:p>
    <w:p>
      <w:pPr>
        <w:spacing w:line="390" w:lineRule="exact"/>
        <w:ind w:firstLine="480" w:firstLineChars="200"/>
        <w:rPr>
          <w:color w:val="000000"/>
          <w:szCs w:val="24"/>
        </w:rPr>
      </w:pPr>
      <w:r>
        <w:rPr>
          <w:color w:val="000000"/>
          <w:szCs w:val="24"/>
        </w:rPr>
        <w:t>作为山东省和山东农业大学特色专业，动植物检疫专业经过教学改革和长期探索与建设，形成了</w:t>
      </w:r>
      <w:r>
        <w:rPr>
          <w:rFonts w:hint="eastAsia"/>
          <w:color w:val="000000"/>
          <w:szCs w:val="24"/>
        </w:rPr>
        <w:t>“</w:t>
      </w:r>
      <w:r>
        <w:rPr>
          <w:color w:val="000000"/>
          <w:szCs w:val="24"/>
        </w:rPr>
        <w:t>开放式办学</w:t>
      </w:r>
      <w:r>
        <w:rPr>
          <w:rFonts w:hint="eastAsia"/>
          <w:color w:val="000000"/>
          <w:szCs w:val="24"/>
        </w:rPr>
        <w:t>”</w:t>
      </w:r>
      <w:r>
        <w:rPr>
          <w:color w:val="000000"/>
          <w:szCs w:val="24"/>
        </w:rPr>
        <w:t>这一特色鲜明的办学方向。</w:t>
      </w:r>
    </w:p>
    <w:p>
      <w:pPr>
        <w:spacing w:line="390" w:lineRule="exact"/>
        <w:ind w:firstLine="480" w:firstLineChars="200"/>
        <w:rPr>
          <w:color w:val="000000"/>
          <w:szCs w:val="24"/>
        </w:rPr>
      </w:pPr>
      <w:r>
        <w:rPr>
          <w:color w:val="000000"/>
          <w:szCs w:val="24"/>
        </w:rPr>
        <w:t>1.构建并实施了</w:t>
      </w:r>
      <w:r>
        <w:rPr>
          <w:rFonts w:hint="eastAsia"/>
          <w:color w:val="000000"/>
          <w:szCs w:val="24"/>
        </w:rPr>
        <w:t>“</w:t>
      </w:r>
      <w:r>
        <w:rPr>
          <w:color w:val="000000"/>
          <w:szCs w:val="24"/>
        </w:rPr>
        <w:t>层次+模块</w:t>
      </w:r>
      <w:r>
        <w:rPr>
          <w:rFonts w:hint="eastAsia"/>
          <w:color w:val="000000"/>
          <w:szCs w:val="24"/>
        </w:rPr>
        <w:t>”</w:t>
      </w:r>
      <w:r>
        <w:rPr>
          <w:color w:val="000000"/>
          <w:szCs w:val="24"/>
        </w:rPr>
        <w:t>的实践教学体系，结合国家级实验教学示范中心建设，进行开放性实验教学探索，培养学生独立解决实际问题的能力；</w:t>
      </w:r>
    </w:p>
    <w:p>
      <w:pPr>
        <w:spacing w:line="390" w:lineRule="exact"/>
        <w:ind w:firstLine="480" w:firstLineChars="200"/>
        <w:rPr>
          <w:color w:val="000000"/>
          <w:szCs w:val="24"/>
        </w:rPr>
      </w:pPr>
      <w:r>
        <w:rPr>
          <w:color w:val="000000"/>
          <w:szCs w:val="24"/>
        </w:rPr>
        <w:t>2.针对动植物检疫专业特点，立足学科前沿及社会热点问题，特开设《动植物检疫专业创新性实验》课程，借助于所学知识和先进仪器，对</w:t>
      </w:r>
      <w:r>
        <w:rPr>
          <w:rFonts w:hint="eastAsia"/>
          <w:color w:val="000000"/>
          <w:szCs w:val="24"/>
        </w:rPr>
        <w:t>“</w:t>
      </w:r>
      <w:r>
        <w:rPr>
          <w:color w:val="000000"/>
          <w:szCs w:val="24"/>
        </w:rPr>
        <w:t>瘦肉精</w:t>
      </w:r>
      <w:r>
        <w:rPr>
          <w:rFonts w:hint="eastAsia"/>
          <w:color w:val="000000"/>
          <w:szCs w:val="24"/>
        </w:rPr>
        <w:t>”</w:t>
      </w:r>
      <w:r>
        <w:rPr>
          <w:color w:val="000000"/>
          <w:szCs w:val="24"/>
        </w:rPr>
        <w:t>、</w:t>
      </w:r>
      <w:r>
        <w:rPr>
          <w:rFonts w:hint="eastAsia"/>
          <w:color w:val="000000"/>
          <w:szCs w:val="24"/>
        </w:rPr>
        <w:t>“</w:t>
      </w:r>
      <w:r>
        <w:rPr>
          <w:color w:val="000000"/>
          <w:szCs w:val="24"/>
        </w:rPr>
        <w:t>三聚氰胺</w:t>
      </w:r>
      <w:r>
        <w:rPr>
          <w:rFonts w:hint="eastAsia"/>
          <w:color w:val="000000"/>
          <w:szCs w:val="24"/>
        </w:rPr>
        <w:t>”</w:t>
      </w:r>
      <w:r>
        <w:rPr>
          <w:color w:val="000000"/>
          <w:szCs w:val="24"/>
        </w:rPr>
        <w:t>、</w:t>
      </w:r>
      <w:r>
        <w:rPr>
          <w:rFonts w:hint="eastAsia"/>
          <w:color w:val="000000"/>
          <w:szCs w:val="24"/>
        </w:rPr>
        <w:t>“</w:t>
      </w:r>
      <w:r>
        <w:rPr>
          <w:color w:val="000000"/>
          <w:szCs w:val="24"/>
        </w:rPr>
        <w:t>鸡蛋中杀虫剂</w:t>
      </w:r>
      <w:r>
        <w:rPr>
          <w:rFonts w:hint="eastAsia"/>
          <w:color w:val="000000"/>
          <w:szCs w:val="24"/>
        </w:rPr>
        <w:t>”</w:t>
      </w:r>
      <w:r>
        <w:rPr>
          <w:color w:val="000000"/>
          <w:szCs w:val="24"/>
        </w:rPr>
        <w:t>、</w:t>
      </w:r>
      <w:r>
        <w:rPr>
          <w:rFonts w:hint="eastAsia"/>
          <w:color w:val="000000"/>
          <w:szCs w:val="24"/>
        </w:rPr>
        <w:t>“</w:t>
      </w:r>
      <w:r>
        <w:rPr>
          <w:color w:val="000000"/>
          <w:szCs w:val="24"/>
        </w:rPr>
        <w:t>药物残留</w:t>
      </w:r>
      <w:r>
        <w:rPr>
          <w:rFonts w:hint="eastAsia"/>
          <w:color w:val="000000"/>
          <w:szCs w:val="24"/>
        </w:rPr>
        <w:t>”</w:t>
      </w:r>
      <w:r>
        <w:rPr>
          <w:color w:val="000000"/>
          <w:szCs w:val="24"/>
        </w:rPr>
        <w:t>等食品安全指标进行检测，培养学生的专业兴趣，并在兴趣引导下深入学习；</w:t>
      </w:r>
    </w:p>
    <w:p>
      <w:pPr>
        <w:spacing w:line="390" w:lineRule="exact"/>
        <w:ind w:firstLine="480" w:firstLineChars="200"/>
        <w:rPr>
          <w:color w:val="000000"/>
          <w:szCs w:val="24"/>
        </w:rPr>
      </w:pPr>
      <w:r>
        <w:rPr>
          <w:color w:val="000000"/>
          <w:szCs w:val="24"/>
        </w:rPr>
        <w:t xml:space="preserve">3.开展大学生创新活动，以学校SRT、学院SRT以及参与学院教师科研课题等形式提高动植物检疫专业学生的实践创新能力； </w:t>
      </w:r>
    </w:p>
    <w:p>
      <w:pPr>
        <w:spacing w:line="390" w:lineRule="exact"/>
        <w:ind w:firstLine="480" w:firstLineChars="200"/>
        <w:rPr>
          <w:color w:val="000000"/>
          <w:szCs w:val="24"/>
        </w:rPr>
      </w:pPr>
      <w:r>
        <w:rPr>
          <w:color w:val="000000"/>
          <w:szCs w:val="24"/>
        </w:rPr>
        <w:t>4.设置国内检验检疫实习模块、出入境检验检疫实习模块、动植物源性食品安全质量监控讲座等实践教学形式，强化专业实践特色。</w:t>
      </w:r>
    </w:p>
    <w:p>
      <w:pPr>
        <w:spacing w:line="390" w:lineRule="exact"/>
        <w:ind w:firstLine="480" w:firstLineChars="200"/>
        <w:rPr>
          <w:color w:val="000000"/>
          <w:szCs w:val="24"/>
        </w:rPr>
      </w:pPr>
      <w:r>
        <w:rPr>
          <w:color w:val="000000"/>
          <w:szCs w:val="24"/>
        </w:rPr>
        <w:t>5.与企业联合，为社会资源的共享提供了平台。设立多项企业奖学金、助学金，密切了学生与社会的联系。</w:t>
      </w:r>
    </w:p>
    <w:p>
      <w:pPr>
        <w:spacing w:line="390" w:lineRule="exact"/>
        <w:ind w:firstLine="480" w:firstLineChars="200"/>
        <w:rPr>
          <w:color w:val="000000"/>
          <w:szCs w:val="24"/>
        </w:rPr>
      </w:pPr>
      <w:r>
        <w:rPr>
          <w:color w:val="000000"/>
          <w:szCs w:val="24"/>
        </w:rPr>
        <w:t>6.严格实施授课制度，按照教学大纲进行授课与实习，不随意调停课，对年轻教师定期听课，带动其快速成长。</w:t>
      </w:r>
    </w:p>
    <w:p>
      <w:pPr>
        <w:pStyle w:val="5"/>
        <w:spacing w:before="93" w:after="93"/>
        <w:ind w:firstLine="560"/>
      </w:pPr>
      <w:bookmarkStart w:id="91" w:name="_Toc11624"/>
      <w:bookmarkStart w:id="92" w:name="_Toc23773"/>
      <w:r>
        <w:t>五</w:t>
      </w:r>
      <w:r>
        <w:rPr>
          <w:rFonts w:hint="eastAsia"/>
        </w:rPr>
        <w:t>、</w:t>
      </w:r>
      <w:r>
        <w:t>培养质量（毕业生就业率、就业专业对口率、毕业生发展情况、就业单位满意率、社会对专业的评价、学生就读该专业的意愿等）</w:t>
      </w:r>
      <w:bookmarkEnd w:id="91"/>
      <w:bookmarkEnd w:id="92"/>
      <w:r>
        <w:t xml:space="preserve"> </w:t>
      </w:r>
    </w:p>
    <w:p>
      <w:pPr>
        <w:ind w:firstLine="480" w:firstLineChars="200"/>
        <w:rPr>
          <w:color w:val="000000"/>
          <w:szCs w:val="24"/>
        </w:rPr>
      </w:pPr>
      <w:r>
        <w:rPr>
          <w:color w:val="000000"/>
          <w:szCs w:val="24"/>
        </w:rPr>
        <w:t>改革开放以来，国际贸易自由化不断发展，动植物检疫工作得到了长足、快速、全面的发展，出入境检验检疫以及国内检验检疫在机构建设、队伍建设、法规建设以及设施装备等各个方面都在不断发展壮大。近些年来社会对我院毕业生的需求迅速增加，这既是社会发展带来的机遇，也是对我们过去教学工作和人才培养质量的肯定。</w:t>
      </w:r>
    </w:p>
    <w:p>
      <w:pPr>
        <w:ind w:firstLine="480" w:firstLineChars="200"/>
        <w:rPr>
          <w:color w:val="000000"/>
          <w:szCs w:val="24"/>
        </w:rPr>
      </w:pPr>
      <w:r>
        <w:rPr>
          <w:color w:val="000000"/>
          <w:szCs w:val="24"/>
        </w:rPr>
        <w:t>通过专业学习，动植物检疫专业毕业生受到社会的广泛欢迎，社会需求人数持续增加。近三年来，在校生对动植物检疫专业的平均满意度达到97.5％，毕业生对教学工作的满意比例超过97％。应届毕业生在考研与就业方面出现了可喜的局面。动植物检疫专业的毕业生由于基础扎实，良好的发展空间及广泛的适应性，近4年来的一次就业率达94％以上，考研率均在40~60%之间。</w:t>
      </w:r>
    </w:p>
    <w:p>
      <w:pPr>
        <w:ind w:firstLine="480" w:firstLineChars="200"/>
        <w:rPr>
          <w:color w:val="000000"/>
          <w:szCs w:val="24"/>
        </w:rPr>
      </w:pPr>
      <w:bookmarkStart w:id="93" w:name="_Hlk57735089"/>
      <w:r>
        <w:rPr>
          <w:color w:val="000000"/>
          <w:szCs w:val="24"/>
        </w:rPr>
        <w:t>截止2022年9月30日，毕业生就业16人，毕业去向落实率为80.00%，其中男生就业6人，毕业去向落实率为85.71%，女生就业10人，毕业去向落实率为76.92%。毕业生留鲁就业的6人，占已就业总人数的37.50%（表 1），其中到泰安城市就业人数最多，占83.33%。出省就业共10人，占62.50%，主要流向福建省、吉林省、广东省等省份（图 1）。毕业生毕业去向主要包括升学、出国（境）、协议就业、劳动合同就业、应征义务兵、科研助理、国家基层项目、自主创业、其他录用形式就业、自由职业、暂不就业（不就业拟升学和其他暂不就业）、待就业等多种方式就业，本专业毕业去向中升学就业人数最多，毕业生国内升学11人，升学率55.00%，其中考入</w:t>
      </w:r>
      <w:r>
        <w:rPr>
          <w:rFonts w:hint="eastAsia"/>
          <w:color w:val="000000"/>
          <w:szCs w:val="24"/>
        </w:rPr>
        <w:t>“</w:t>
      </w:r>
      <w:r>
        <w:rPr>
          <w:color w:val="000000"/>
          <w:szCs w:val="24"/>
        </w:rPr>
        <w:t>双一流</w:t>
      </w:r>
      <w:r>
        <w:rPr>
          <w:rFonts w:hint="eastAsia"/>
          <w:color w:val="000000"/>
          <w:szCs w:val="24"/>
        </w:rPr>
        <w:t>”</w:t>
      </w:r>
      <w:r>
        <w:rPr>
          <w:color w:val="000000"/>
          <w:szCs w:val="24"/>
        </w:rPr>
        <w:t>大学3人，占国内升学总人数的27.27%。毕业生就业单位性质显示，其他形式就业人数最多，占已就业人数的80.00%，其次是协议就业，占比20.00%。毕业生当前所在工作单位或者所从事工作岗位与所学专业对口率较高的共4人，占已就业总人数的80.00%。主要</w:t>
      </w:r>
      <w:r>
        <w:rPr>
          <w:color w:val="000000"/>
          <w:spacing w:val="-6"/>
          <w:szCs w:val="24"/>
        </w:rPr>
        <w:t>集中在山东倍安生物科技有限公司企业，中共光泽县李坊乡委员</w:t>
      </w:r>
      <w:r>
        <w:rPr>
          <w:color w:val="000000"/>
          <w:szCs w:val="24"/>
        </w:rPr>
        <w:t>会等。</w:t>
      </w:r>
    </w:p>
    <w:p>
      <w:pPr>
        <w:spacing w:line="240" w:lineRule="auto"/>
        <w:jc w:val="center"/>
        <w:rPr>
          <w:b/>
          <w:bCs/>
          <w:sz w:val="21"/>
          <w:szCs w:val="21"/>
        </w:rPr>
      </w:pPr>
      <w:r>
        <w:rPr>
          <w:b/>
          <w:bCs/>
          <w:sz w:val="21"/>
          <w:szCs w:val="21"/>
        </w:rPr>
        <w:t>表1.毕业生毕业去向落实情况统计表</w:t>
      </w:r>
    </w:p>
    <w:tbl>
      <w:tblPr>
        <w:tblStyle w:val="17"/>
        <w:tblW w:w="4998" w:type="pct"/>
        <w:tblInd w:w="0" w:type="dxa"/>
        <w:tblLayout w:type="autofit"/>
        <w:tblCellMar>
          <w:top w:w="0" w:type="dxa"/>
          <w:left w:w="0" w:type="dxa"/>
          <w:bottom w:w="0" w:type="dxa"/>
          <w:right w:w="0" w:type="dxa"/>
        </w:tblCellMar>
      </w:tblPr>
      <w:tblGrid>
        <w:gridCol w:w="1920"/>
        <w:gridCol w:w="1045"/>
        <w:gridCol w:w="874"/>
        <w:gridCol w:w="926"/>
        <w:gridCol w:w="1089"/>
        <w:gridCol w:w="1568"/>
        <w:gridCol w:w="1449"/>
      </w:tblGrid>
      <w:tr>
        <w:trPr>
          <w:trHeight w:val="665" w:hRule="atLeast"/>
        </w:trPr>
        <w:tc>
          <w:tcPr>
            <w:tcW w:w="64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专业名称</w:t>
            </w:r>
          </w:p>
        </w:tc>
        <w:tc>
          <w:tcPr>
            <w:tcW w:w="66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落实就业</w:t>
            </w:r>
          </w:p>
          <w:p>
            <w:pPr>
              <w:spacing w:line="240" w:lineRule="auto"/>
              <w:jc w:val="center"/>
              <w:rPr>
                <w:b/>
                <w:bCs/>
                <w:sz w:val="21"/>
                <w:szCs w:val="21"/>
              </w:rPr>
            </w:pPr>
            <w:r>
              <w:rPr>
                <w:b/>
                <w:bCs/>
                <w:sz w:val="21"/>
                <w:szCs w:val="21"/>
              </w:rPr>
              <w:t>人数</w:t>
            </w:r>
          </w:p>
        </w:tc>
        <w:tc>
          <w:tcPr>
            <w:tcW w:w="51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毕业去向</w:t>
            </w:r>
          </w:p>
          <w:p>
            <w:pPr>
              <w:spacing w:line="240" w:lineRule="auto"/>
              <w:jc w:val="center"/>
              <w:rPr>
                <w:b/>
                <w:bCs/>
                <w:sz w:val="21"/>
                <w:szCs w:val="21"/>
              </w:rPr>
            </w:pPr>
            <w:r>
              <w:rPr>
                <w:b/>
                <w:bCs/>
                <w:sz w:val="21"/>
                <w:szCs w:val="21"/>
              </w:rPr>
              <w:t>落实率</w:t>
            </w:r>
          </w:p>
        </w:tc>
        <w:tc>
          <w:tcPr>
            <w:tcW w:w="64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男生</w:t>
            </w:r>
          </w:p>
          <w:p>
            <w:pPr>
              <w:spacing w:line="240" w:lineRule="auto"/>
              <w:jc w:val="center"/>
              <w:rPr>
                <w:b/>
                <w:bCs/>
                <w:sz w:val="21"/>
                <w:szCs w:val="21"/>
              </w:rPr>
            </w:pPr>
            <w:r>
              <w:rPr>
                <w:b/>
                <w:bCs/>
                <w:sz w:val="21"/>
                <w:szCs w:val="21"/>
              </w:rPr>
              <w:t>毕业去向</w:t>
            </w:r>
          </w:p>
          <w:p>
            <w:pPr>
              <w:spacing w:line="240" w:lineRule="auto"/>
              <w:jc w:val="center"/>
              <w:rPr>
                <w:b/>
                <w:bCs/>
                <w:sz w:val="21"/>
                <w:szCs w:val="21"/>
              </w:rPr>
            </w:pPr>
            <w:r>
              <w:rPr>
                <w:b/>
                <w:bCs/>
                <w:sz w:val="21"/>
                <w:szCs w:val="21"/>
              </w:rPr>
              <w:t>落实率</w:t>
            </w:r>
          </w:p>
        </w:tc>
        <w:tc>
          <w:tcPr>
            <w:tcW w:w="68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女生</w:t>
            </w:r>
          </w:p>
          <w:p>
            <w:pPr>
              <w:spacing w:line="240" w:lineRule="auto"/>
              <w:jc w:val="center"/>
              <w:rPr>
                <w:b/>
                <w:bCs/>
                <w:sz w:val="21"/>
                <w:szCs w:val="21"/>
              </w:rPr>
            </w:pPr>
            <w:r>
              <w:rPr>
                <w:b/>
                <w:bCs/>
                <w:sz w:val="21"/>
                <w:szCs w:val="21"/>
              </w:rPr>
              <w:t>毕业去向</w:t>
            </w:r>
          </w:p>
          <w:p>
            <w:pPr>
              <w:spacing w:line="240" w:lineRule="auto"/>
              <w:jc w:val="center"/>
              <w:rPr>
                <w:b/>
                <w:bCs/>
                <w:sz w:val="21"/>
                <w:szCs w:val="21"/>
              </w:rPr>
            </w:pPr>
            <w:r>
              <w:rPr>
                <w:b/>
                <w:bCs/>
                <w:sz w:val="21"/>
                <w:szCs w:val="21"/>
              </w:rPr>
              <w:t>落实率</w:t>
            </w:r>
          </w:p>
        </w:tc>
        <w:tc>
          <w:tcPr>
            <w:tcW w:w="95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留鲁就业人数</w:t>
            </w:r>
          </w:p>
          <w:p>
            <w:pPr>
              <w:spacing w:line="240" w:lineRule="auto"/>
              <w:jc w:val="center"/>
              <w:rPr>
                <w:b/>
                <w:bCs/>
                <w:sz w:val="21"/>
                <w:szCs w:val="21"/>
              </w:rPr>
            </w:pPr>
            <w:r>
              <w:rPr>
                <w:b/>
                <w:bCs/>
                <w:sz w:val="21"/>
                <w:szCs w:val="21"/>
              </w:rPr>
              <w:t>（比例）</w:t>
            </w:r>
          </w:p>
        </w:tc>
        <w:tc>
          <w:tcPr>
            <w:tcW w:w="888"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省外就业人数</w:t>
            </w:r>
          </w:p>
          <w:p>
            <w:pPr>
              <w:spacing w:line="240" w:lineRule="auto"/>
              <w:jc w:val="center"/>
              <w:rPr>
                <w:b/>
                <w:bCs/>
                <w:sz w:val="21"/>
                <w:szCs w:val="21"/>
              </w:rPr>
            </w:pPr>
            <w:r>
              <w:rPr>
                <w:b/>
                <w:bCs/>
                <w:sz w:val="21"/>
                <w:szCs w:val="21"/>
              </w:rPr>
              <w:t>（比例）</w:t>
            </w:r>
          </w:p>
        </w:tc>
      </w:tr>
      <w:tr>
        <w:tblPrEx>
          <w:tblCellMar>
            <w:top w:w="0" w:type="dxa"/>
            <w:left w:w="0" w:type="dxa"/>
            <w:bottom w:w="0" w:type="dxa"/>
            <w:right w:w="0" w:type="dxa"/>
          </w:tblCellMar>
        </w:tblPrEx>
        <w:trPr>
          <w:trHeight w:val="600" w:hRule="atLeast"/>
        </w:trPr>
        <w:tc>
          <w:tcPr>
            <w:tcW w:w="64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动植物检疫（动检）</w:t>
            </w:r>
          </w:p>
        </w:tc>
        <w:tc>
          <w:tcPr>
            <w:tcW w:w="66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16</w:t>
            </w:r>
          </w:p>
        </w:tc>
        <w:tc>
          <w:tcPr>
            <w:tcW w:w="51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80.00%</w:t>
            </w:r>
          </w:p>
        </w:tc>
        <w:tc>
          <w:tcPr>
            <w:tcW w:w="64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85.71%</w:t>
            </w:r>
          </w:p>
        </w:tc>
        <w:tc>
          <w:tcPr>
            <w:tcW w:w="68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76.92%</w:t>
            </w:r>
          </w:p>
        </w:tc>
        <w:tc>
          <w:tcPr>
            <w:tcW w:w="95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6</w:t>
            </w:r>
          </w:p>
          <w:p>
            <w:pPr>
              <w:spacing w:line="240" w:lineRule="auto"/>
              <w:jc w:val="center"/>
              <w:rPr>
                <w:sz w:val="21"/>
                <w:szCs w:val="21"/>
              </w:rPr>
            </w:pPr>
            <w:r>
              <w:rPr>
                <w:sz w:val="21"/>
                <w:szCs w:val="21"/>
              </w:rPr>
              <w:t>37.50%</w:t>
            </w:r>
          </w:p>
        </w:tc>
        <w:tc>
          <w:tcPr>
            <w:tcW w:w="88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10</w:t>
            </w:r>
          </w:p>
          <w:p>
            <w:pPr>
              <w:spacing w:line="240" w:lineRule="auto"/>
              <w:jc w:val="center"/>
              <w:rPr>
                <w:sz w:val="21"/>
                <w:szCs w:val="21"/>
              </w:rPr>
            </w:pPr>
            <w:r>
              <w:rPr>
                <w:sz w:val="21"/>
                <w:szCs w:val="21"/>
              </w:rPr>
              <w:t>62.50%</w:t>
            </w:r>
          </w:p>
        </w:tc>
      </w:tr>
    </w:tbl>
    <w:p>
      <w:pPr>
        <w:spacing w:before="93" w:beforeLines="30" w:line="240" w:lineRule="auto"/>
        <w:jc w:val="center"/>
        <w:rPr>
          <w:b/>
          <w:bCs/>
          <w:sz w:val="21"/>
          <w:szCs w:val="21"/>
        </w:rPr>
      </w:pPr>
      <w:r>
        <w:rPr>
          <w:b/>
          <w:bCs/>
          <w:sz w:val="21"/>
          <w:szCs w:val="21"/>
        </w:rPr>
        <w:drawing>
          <wp:inline distT="5080" distB="10160" distL="118745" distR="125095">
            <wp:extent cx="4572000" cy="2743200"/>
            <wp:effectExtent l="4445" t="4445" r="14605" b="14605"/>
            <wp:docPr id="39" name="图表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pPr>
        <w:spacing w:line="240" w:lineRule="auto"/>
        <w:jc w:val="center"/>
        <w:rPr>
          <w:b/>
          <w:bCs/>
          <w:sz w:val="21"/>
          <w:szCs w:val="21"/>
        </w:rPr>
      </w:pPr>
      <w:r>
        <w:rPr>
          <w:b/>
          <w:bCs/>
          <w:sz w:val="21"/>
          <w:szCs w:val="21"/>
        </w:rPr>
        <w:t>图1.毕业生就业地区流向图</w:t>
      </w:r>
    </w:p>
    <w:bookmarkEnd w:id="93"/>
    <w:p>
      <w:pPr>
        <w:pStyle w:val="5"/>
        <w:spacing w:before="93" w:after="93"/>
        <w:ind w:firstLine="560"/>
      </w:pPr>
      <w:bookmarkStart w:id="94" w:name="_Toc22215"/>
      <w:bookmarkStart w:id="95" w:name="_Toc13870"/>
      <w:r>
        <w:t>六、毕业生就业创业（创业情况、采取的措施、典型案例等）</w:t>
      </w:r>
      <w:bookmarkEnd w:id="94"/>
      <w:bookmarkEnd w:id="95"/>
      <w:r>
        <w:t xml:space="preserve"> </w:t>
      </w:r>
    </w:p>
    <w:p>
      <w:pPr>
        <w:ind w:firstLine="480" w:firstLineChars="200"/>
        <w:rPr>
          <w:color w:val="000000"/>
          <w:szCs w:val="24"/>
        </w:rPr>
      </w:pPr>
      <w:r>
        <w:rPr>
          <w:color w:val="000000"/>
          <w:szCs w:val="24"/>
        </w:rPr>
        <w:t>特开设《企业家讲座》课程，邀请各大饲料企业、养殖企业、食品加工企业家为动植物检疫专业学生授业解惑，让学生开阔眼界，尽早了解社会，培养学生的创新、创业能力。同时学院领导和教师积极联系各用人单位，召开专业的专场招聘会，为学生积极搭建良好的就业桥梁。</w:t>
      </w:r>
    </w:p>
    <w:p>
      <w:pPr>
        <w:ind w:firstLine="480" w:firstLineChars="200"/>
        <w:rPr>
          <w:color w:val="000000"/>
          <w:szCs w:val="24"/>
        </w:rPr>
      </w:pPr>
      <w:r>
        <w:rPr>
          <w:color w:val="000000"/>
          <w:szCs w:val="24"/>
        </w:rPr>
        <w:t>学院多次邀请动物检疫部门、大型养殖企业、兽药企业、食品加工企业等领导为毕业生做畜牧业形势报告，培养学生树立正确的就业观。学院在环山集团有限公司、潍坊中创药业有限公司、山东中农普宁药业有限公司等30多家单位建立教学科研实践基地，为毕业生就业、本科生的教学实习搭建了更广阔的平台，并以基地为依托，开展丰富多彩的思想教育、就业指导等活动，帮助广大毕业生丰富社会阅历，夯实实践技能，提升就业核心竞争力</w:t>
      </w:r>
    </w:p>
    <w:p>
      <w:pPr>
        <w:pStyle w:val="5"/>
        <w:spacing w:before="93" w:after="93"/>
        <w:ind w:firstLine="560"/>
      </w:pPr>
      <w:bookmarkStart w:id="96" w:name="_Toc18048"/>
      <w:bookmarkStart w:id="97" w:name="_Toc19082"/>
      <w:r>
        <w:t>七、专业发展趋势及建议</w:t>
      </w:r>
      <w:bookmarkEnd w:id="96"/>
      <w:bookmarkEnd w:id="97"/>
      <w:r>
        <w:t xml:space="preserve"> </w:t>
      </w:r>
    </w:p>
    <w:p>
      <w:pPr>
        <w:ind w:firstLine="480" w:firstLineChars="200"/>
        <w:rPr>
          <w:color w:val="000000"/>
          <w:szCs w:val="24"/>
        </w:rPr>
      </w:pPr>
      <w:r>
        <w:rPr>
          <w:color w:val="000000"/>
          <w:szCs w:val="24"/>
        </w:rPr>
        <w:t>本专业方向是为适应动植物产品国际贸易迅猛发展及有害生物的控制而设立的，培养掌握动植物检验检疫的基础理论和法规，具备进行有害生物的检测鉴定、控制有害生物入侵蔓延、综合治理有害生物的基础知识和基本技能的复合型高级科技人才。近年来，随着人们对重大人兽共患病及动物性产品质量与安全的高度关注，国家给予了大量的资金投入，会需要大量的动物检疫专业人才，而我国设立动物检疫本科专业的高校相对较少，招生名额有限，人才缺口很大。 培养高质量、高水平的动植物检疫专业人才是贯彻实施可持续发展战略，建设</w:t>
      </w:r>
      <w:r>
        <w:rPr>
          <w:rFonts w:hint="eastAsia"/>
          <w:color w:val="000000"/>
          <w:szCs w:val="24"/>
        </w:rPr>
        <w:t>“</w:t>
      </w:r>
      <w:r>
        <w:rPr>
          <w:color w:val="000000"/>
          <w:szCs w:val="24"/>
        </w:rPr>
        <w:t>环境友好型社会</w:t>
      </w:r>
      <w:r>
        <w:rPr>
          <w:rFonts w:hint="eastAsia"/>
          <w:color w:val="000000"/>
          <w:szCs w:val="24"/>
        </w:rPr>
        <w:t>”</w:t>
      </w:r>
      <w:r>
        <w:rPr>
          <w:color w:val="000000"/>
          <w:szCs w:val="24"/>
        </w:rPr>
        <w:t>的迫切需要，高校动植物检疫专业建设任重而道远。建议该专业培养方向要更加明确，办出特色，既要学习动物医学专业知识，也要在检疫检验等方面高于动物医学专业学生。</w:t>
      </w:r>
    </w:p>
    <w:p>
      <w:pPr>
        <w:pStyle w:val="5"/>
        <w:spacing w:before="93" w:after="93"/>
        <w:ind w:firstLine="560"/>
      </w:pPr>
      <w:bookmarkStart w:id="98" w:name="_Toc15046"/>
      <w:bookmarkStart w:id="99" w:name="_Toc17724"/>
      <w:r>
        <w:t>八、存在的问题及整改措施</w:t>
      </w:r>
      <w:bookmarkEnd w:id="98"/>
      <w:bookmarkEnd w:id="99"/>
    </w:p>
    <w:p>
      <w:pPr>
        <w:ind w:firstLine="480" w:firstLineChars="200"/>
        <w:rPr>
          <w:color w:val="000000"/>
          <w:szCs w:val="24"/>
        </w:rPr>
      </w:pPr>
      <w:r>
        <w:rPr>
          <w:color w:val="000000"/>
          <w:szCs w:val="24"/>
        </w:rPr>
        <w:t>人才培养目标模糊，应引入创新型和专业技术型具体培养内容在不同高校动植物检疫专业人才的培养目标中多提到创新型应用技术人才，但在课程的设置中创新型培养内容却有限，应加大学生创新性培养的力度。1</w:t>
      </w:r>
      <w:r>
        <w:rPr>
          <w:rFonts w:hint="eastAsia"/>
          <w:color w:val="000000"/>
          <w:szCs w:val="24"/>
          <w:lang w:eastAsia="zh-CN"/>
        </w:rPr>
        <w:t>）</w:t>
      </w:r>
      <w:r>
        <w:rPr>
          <w:color w:val="000000"/>
          <w:szCs w:val="24"/>
        </w:rPr>
        <w:t>加大实践创新环节的比例，如在实践环节中加入</w:t>
      </w:r>
      <w:r>
        <w:rPr>
          <w:rFonts w:hint="eastAsia"/>
          <w:color w:val="000000"/>
          <w:szCs w:val="24"/>
        </w:rPr>
        <w:t>“</w:t>
      </w:r>
      <w:r>
        <w:rPr>
          <w:color w:val="000000"/>
          <w:szCs w:val="24"/>
        </w:rPr>
        <w:t>动植物检验检疫方案设计</w:t>
      </w:r>
      <w:r>
        <w:rPr>
          <w:rFonts w:hint="eastAsia"/>
          <w:color w:val="000000"/>
          <w:szCs w:val="24"/>
        </w:rPr>
        <w:t>”</w:t>
      </w:r>
      <w:r>
        <w:rPr>
          <w:color w:val="000000"/>
          <w:szCs w:val="24"/>
        </w:rPr>
        <w:t>。2</w:t>
      </w:r>
      <w:r>
        <w:rPr>
          <w:rFonts w:hint="eastAsia"/>
          <w:color w:val="000000"/>
          <w:szCs w:val="24"/>
          <w:lang w:eastAsia="zh-CN"/>
        </w:rPr>
        <w:t>）</w:t>
      </w:r>
      <w:r>
        <w:rPr>
          <w:color w:val="000000"/>
          <w:szCs w:val="24"/>
        </w:rPr>
        <w:t>配合国家创新人才的培养方案。动植物检疫专业属于兽医专业预防学科，建议拥有硕士点、博士点的高校专业可以开设研究创新型方向。 学生课业压力大，应精减非核心课程，从高校动植物检疫专业课程学分设置来看，必修课程所占比例过高，这样学生真正能够自主选择的课程就太少，同时学生学习起来课业压力大，没有更多的精力去参与课外的素质教育。所以应突出专业特色，对非核心课程精减学时，使学时少而精，课程种类应丰富，以知识的拓展为主。</w:t>
      </w:r>
    </w:p>
    <w:p>
      <w:r>
        <w:br w:type="page"/>
      </w:r>
    </w:p>
    <w:p>
      <w:pPr>
        <w:pStyle w:val="4"/>
        <w:ind w:firstLine="600"/>
      </w:pPr>
      <w:bookmarkStart w:id="100" w:name="_Toc13617"/>
      <w:bookmarkStart w:id="101" w:name="_Toc12198"/>
      <w:bookmarkStart w:id="102" w:name="_Toc7075"/>
      <w:bookmarkStart w:id="103" w:name="_Toc2323"/>
      <w:bookmarkStart w:id="104" w:name="_Toc29538"/>
      <w:bookmarkStart w:id="105" w:name="_Toc5220"/>
      <w:bookmarkStart w:id="106" w:name="_Toc20639"/>
      <w:bookmarkStart w:id="107" w:name="_Toc6315"/>
      <w:bookmarkStart w:id="108" w:name="_Toc29854"/>
      <w:r>
        <w:t>专业九：森林保护</w:t>
      </w:r>
      <w:bookmarkStart w:id="109" w:name="_Hlk27687903"/>
      <w:r>
        <w:t>（有害生物防控方向）</w:t>
      </w:r>
      <w:bookmarkEnd w:id="100"/>
      <w:bookmarkEnd w:id="101"/>
      <w:bookmarkEnd w:id="102"/>
      <w:bookmarkEnd w:id="103"/>
      <w:bookmarkEnd w:id="104"/>
      <w:bookmarkEnd w:id="105"/>
      <w:bookmarkEnd w:id="106"/>
      <w:bookmarkEnd w:id="107"/>
      <w:bookmarkEnd w:id="108"/>
    </w:p>
    <w:bookmarkEnd w:id="109"/>
    <w:p>
      <w:pPr>
        <w:pStyle w:val="5"/>
        <w:spacing w:before="93" w:after="93"/>
        <w:ind w:firstLine="560"/>
      </w:pPr>
      <w:r>
        <w:t>一、培养目标与规格</w:t>
      </w:r>
    </w:p>
    <w:p>
      <w:pPr>
        <w:ind w:firstLine="480"/>
        <w:rPr>
          <w:szCs w:val="24"/>
        </w:rPr>
      </w:pPr>
      <w:r>
        <w:rPr>
          <w:szCs w:val="24"/>
        </w:rPr>
        <w:t>森林保护以保障国家生态安全和森林植物健康为目标，学习林果草等植物的有害生物生物学、灾变规律及其防治理论而设置的专业。本专业培养具备崇高的思想道德修养和强烈的社会责任感，具有宽阔的人文社会科学、自然科学领域的基础知识，拥有森林保护科学的基本理论、知识与技能，了解学科国内外发展前沿，具有较强的实践能力、科学思维和国际化视野，具备良好研究能力和研究潜质，能够在林业、园林、园艺、植物检疫等部门，从事与森林保护相关的教学与科研、经营与管理、开发与应用等工作的创新型和专业型高级专门人才。森保专业培养具有森保专业知识与技能的创新型人才、创业型和复合应用型人才，</w:t>
      </w:r>
    </w:p>
    <w:p>
      <w:pPr>
        <w:ind w:firstLine="480"/>
        <w:rPr>
          <w:szCs w:val="24"/>
        </w:rPr>
      </w:pPr>
      <w:r>
        <w:rPr>
          <w:szCs w:val="24"/>
        </w:rPr>
        <w:t>本专业学生毕业后：</w:t>
      </w:r>
    </w:p>
    <w:p>
      <w:pPr>
        <w:ind w:firstLine="480"/>
        <w:rPr>
          <w:szCs w:val="24"/>
        </w:rPr>
      </w:pPr>
      <w:r>
        <w:rPr>
          <w:szCs w:val="24"/>
        </w:rPr>
        <w:t>1. 具备良好思想素养与社会道德，具有基本的人文、社会和自然科学的基本知识，拥有良好的学习能力、较好的科学思维，遵守法律法规和职业规范，能够胜任森林保护及相关领域的工作；</w:t>
      </w:r>
    </w:p>
    <w:p>
      <w:pPr>
        <w:ind w:firstLine="480"/>
        <w:rPr>
          <w:szCs w:val="24"/>
        </w:rPr>
      </w:pPr>
      <w:r>
        <w:rPr>
          <w:szCs w:val="24"/>
        </w:rPr>
        <w:t>2. 具备扎实的森林保护专业基础知识、政策与法规，掌握相关实验技能及研究方法，能够运用本专业的基础理论和方法解决本专业领域中的问题，具备较好的科学思维、创新精神及国际化视野，胜任本专业及相关领域的教学、科研、生产、经营、管理等工作。</w:t>
      </w:r>
    </w:p>
    <w:p>
      <w:pPr>
        <w:pStyle w:val="5"/>
        <w:spacing w:before="93" w:after="93"/>
        <w:ind w:firstLine="560"/>
      </w:pPr>
      <w:r>
        <w:t>二、培养能力（专业基本情况、在校生规模、课程体系、创新创业教育等）</w:t>
      </w:r>
    </w:p>
    <w:p>
      <w:pPr>
        <w:ind w:firstLine="480"/>
      </w:pPr>
      <w:r>
        <w:rPr>
          <w:rStyle w:val="27"/>
        </w:rPr>
        <w:t>专业基本情况：</w:t>
      </w:r>
      <w:r>
        <w:rPr>
          <w:szCs w:val="24"/>
        </w:rPr>
        <w:t>本专业2007年经教育部批准设置，2008年开始招生。本专业基本学制为4年，学习年限为4-8年。按要求完成学业且符合要求授予条件者授予农学学士学位。</w:t>
      </w:r>
      <w:r>
        <w:t>目前在校生规模为100人左右。</w:t>
      </w:r>
    </w:p>
    <w:p>
      <w:pPr>
        <w:ind w:firstLine="480"/>
        <w:rPr>
          <w:szCs w:val="24"/>
        </w:rPr>
      </w:pPr>
      <w:r>
        <w:rPr>
          <w:rStyle w:val="27"/>
        </w:rPr>
        <w:t>课程建设：</w:t>
      </w:r>
      <w:r>
        <w:rPr>
          <w:szCs w:val="24"/>
        </w:rPr>
        <w:t>在课程建设方面，重点做了如下4各方面的工作：</w:t>
      </w:r>
    </w:p>
    <w:p>
      <w:pPr>
        <w:ind w:firstLine="480"/>
        <w:rPr>
          <w:szCs w:val="24"/>
        </w:rPr>
      </w:pPr>
      <w:r>
        <w:rPr>
          <w:szCs w:val="24"/>
        </w:rPr>
        <w:t>1. 加强教师队伍建设，科学制定人才体系设计，不断完善教师师资队伍体系建设；在教学工作上采取专职教师和兼职教授相结合授课，邀请国内外知名专家教授以讲座、报告会等形式，开展不同内容的教学工作。</w:t>
      </w:r>
    </w:p>
    <w:p>
      <w:pPr>
        <w:ind w:firstLine="480"/>
        <w:rPr>
          <w:szCs w:val="24"/>
        </w:rPr>
      </w:pPr>
      <w:r>
        <w:rPr>
          <w:szCs w:val="24"/>
        </w:rPr>
        <w:t>2. 通过教材建设，完善教学条件，提高师资水平。专业使用教材中，刘振宇教授参编全国</w:t>
      </w:r>
      <w:r>
        <w:rPr>
          <w:rFonts w:hint="eastAsia"/>
          <w:szCs w:val="24"/>
        </w:rPr>
        <w:t>“</w:t>
      </w:r>
      <w:r>
        <w:rPr>
          <w:szCs w:val="24"/>
        </w:rPr>
        <w:t>十二五</w:t>
      </w:r>
      <w:r>
        <w:rPr>
          <w:rFonts w:hint="eastAsia"/>
          <w:szCs w:val="24"/>
        </w:rPr>
        <w:t>”</w:t>
      </w:r>
      <w:r>
        <w:rPr>
          <w:szCs w:val="24"/>
        </w:rPr>
        <w:t>农林高校规划教材《林木病理学》，刘会香教授参编全国</w:t>
      </w:r>
      <w:r>
        <w:rPr>
          <w:rFonts w:hint="eastAsia"/>
          <w:szCs w:val="24"/>
        </w:rPr>
        <w:t>“</w:t>
      </w:r>
      <w:r>
        <w:rPr>
          <w:szCs w:val="24"/>
        </w:rPr>
        <w:t>十二五</w:t>
      </w:r>
      <w:r>
        <w:rPr>
          <w:rFonts w:hint="eastAsia"/>
          <w:szCs w:val="24"/>
        </w:rPr>
        <w:t>”</w:t>
      </w:r>
      <w:r>
        <w:rPr>
          <w:szCs w:val="24"/>
        </w:rPr>
        <w:t>农林高校规划教材《森林植物病理学》。本学科卢希平教授主编了全国</w:t>
      </w:r>
      <w:r>
        <w:rPr>
          <w:rFonts w:hint="eastAsia"/>
          <w:szCs w:val="24"/>
        </w:rPr>
        <w:t>“</w:t>
      </w:r>
      <w:r>
        <w:rPr>
          <w:szCs w:val="24"/>
        </w:rPr>
        <w:t>十一五</w:t>
      </w:r>
      <w:r>
        <w:rPr>
          <w:rFonts w:hint="eastAsia"/>
          <w:szCs w:val="24"/>
        </w:rPr>
        <w:t>”</w:t>
      </w:r>
      <w:r>
        <w:rPr>
          <w:szCs w:val="24"/>
        </w:rPr>
        <w:t>农业高校规划教材《园林病虫害防治学》、参编</w:t>
      </w:r>
      <w:r>
        <w:rPr>
          <w:rFonts w:hint="eastAsia"/>
          <w:szCs w:val="24"/>
        </w:rPr>
        <w:t>“</w:t>
      </w:r>
      <w:r>
        <w:rPr>
          <w:szCs w:val="24"/>
        </w:rPr>
        <w:t>十一五</w:t>
      </w:r>
      <w:r>
        <w:rPr>
          <w:rFonts w:hint="eastAsia"/>
          <w:szCs w:val="24"/>
        </w:rPr>
        <w:t>”</w:t>
      </w:r>
      <w:r>
        <w:rPr>
          <w:szCs w:val="24"/>
        </w:rPr>
        <w:t>农林高校规划教材《园林昆虫学》；周成刚教授主编了全国</w:t>
      </w:r>
      <w:r>
        <w:rPr>
          <w:rFonts w:hint="eastAsia"/>
          <w:szCs w:val="24"/>
        </w:rPr>
        <w:t>“</w:t>
      </w:r>
      <w:r>
        <w:rPr>
          <w:szCs w:val="24"/>
        </w:rPr>
        <w:t>十二五</w:t>
      </w:r>
      <w:r>
        <w:rPr>
          <w:rFonts w:hint="eastAsia"/>
          <w:szCs w:val="24"/>
        </w:rPr>
        <w:t>”</w:t>
      </w:r>
      <w:r>
        <w:rPr>
          <w:szCs w:val="24"/>
        </w:rPr>
        <w:t>农业高校规划教材《园林植物病虫害防治》，参编全国</w:t>
      </w:r>
      <w:r>
        <w:rPr>
          <w:rFonts w:hint="eastAsia"/>
          <w:szCs w:val="24"/>
        </w:rPr>
        <w:t>“</w:t>
      </w:r>
      <w:r>
        <w:rPr>
          <w:szCs w:val="24"/>
        </w:rPr>
        <w:t>十二五</w:t>
      </w:r>
      <w:r>
        <w:rPr>
          <w:rFonts w:hint="eastAsia"/>
          <w:szCs w:val="24"/>
        </w:rPr>
        <w:t>”</w:t>
      </w:r>
      <w:r>
        <w:rPr>
          <w:szCs w:val="24"/>
        </w:rPr>
        <w:t>农林高校规划教材《森林昆虫学》、《林木化学保护》、《园林昆虫学》，</w:t>
      </w:r>
      <w:r>
        <w:rPr>
          <w:rFonts w:hint="eastAsia"/>
          <w:szCs w:val="24"/>
        </w:rPr>
        <w:t>“</w:t>
      </w:r>
      <w:r>
        <w:rPr>
          <w:szCs w:val="24"/>
        </w:rPr>
        <w:t>十一五</w:t>
      </w:r>
      <w:r>
        <w:rPr>
          <w:rFonts w:hint="eastAsia"/>
          <w:szCs w:val="24"/>
        </w:rPr>
        <w:t>”</w:t>
      </w:r>
      <w:r>
        <w:rPr>
          <w:szCs w:val="24"/>
        </w:rPr>
        <w:t>农林高校规划教材《森林动植物检疫》、《植物保护学》、《植物保护学实验》；刘振宇教授、周成刚教授副主编、刘会香教授参编了教材《林木病虫害防治学》；刘振宇教授、刘会香教授参编全国</w:t>
      </w:r>
      <w:r>
        <w:rPr>
          <w:rFonts w:hint="eastAsia"/>
          <w:szCs w:val="24"/>
        </w:rPr>
        <w:t>“</w:t>
      </w:r>
      <w:r>
        <w:rPr>
          <w:szCs w:val="24"/>
        </w:rPr>
        <w:t>十二五</w:t>
      </w:r>
      <w:r>
        <w:rPr>
          <w:rFonts w:hint="eastAsia"/>
          <w:szCs w:val="24"/>
        </w:rPr>
        <w:t>”</w:t>
      </w:r>
      <w:r>
        <w:rPr>
          <w:szCs w:val="24"/>
        </w:rPr>
        <w:t>农林高校规划教材《森林植物病理学》，刘会香教授、邵云华副教授参编的普通高等教育农业部</w:t>
      </w:r>
      <w:r>
        <w:rPr>
          <w:rFonts w:hint="eastAsia"/>
          <w:szCs w:val="24"/>
        </w:rPr>
        <w:t>“</w:t>
      </w:r>
      <w:r>
        <w:rPr>
          <w:szCs w:val="24"/>
        </w:rPr>
        <w:t>十二五</w:t>
      </w:r>
      <w:r>
        <w:rPr>
          <w:rFonts w:hint="eastAsia"/>
          <w:szCs w:val="24"/>
        </w:rPr>
        <w:t>”</w:t>
      </w:r>
      <w:r>
        <w:rPr>
          <w:szCs w:val="24"/>
        </w:rPr>
        <w:t>规划教材《园林植物病理学》等和刘会香教授编著国家林业和草原局普通高等教育</w:t>
      </w:r>
      <w:r>
        <w:rPr>
          <w:rFonts w:hint="eastAsia"/>
          <w:szCs w:val="24"/>
        </w:rPr>
        <w:t>“</w:t>
      </w:r>
      <w:r>
        <w:rPr>
          <w:szCs w:val="24"/>
        </w:rPr>
        <w:t>十三五</w:t>
      </w:r>
      <w:r>
        <w:rPr>
          <w:rFonts w:hint="eastAsia"/>
          <w:szCs w:val="24"/>
        </w:rPr>
        <w:t>”</w:t>
      </w:r>
      <w:r>
        <w:rPr>
          <w:szCs w:val="24"/>
        </w:rPr>
        <w:t>规划教材《森林病害与菌物认知》；刘振宇教授、刘会香教授参编全国</w:t>
      </w:r>
      <w:r>
        <w:rPr>
          <w:rFonts w:hint="eastAsia"/>
          <w:szCs w:val="24"/>
        </w:rPr>
        <w:t>“</w:t>
      </w:r>
      <w:r>
        <w:rPr>
          <w:szCs w:val="24"/>
        </w:rPr>
        <w:t>十三五</w:t>
      </w:r>
      <w:r>
        <w:rPr>
          <w:rFonts w:hint="eastAsia"/>
          <w:szCs w:val="24"/>
        </w:rPr>
        <w:t>”</w:t>
      </w:r>
      <w:r>
        <w:rPr>
          <w:szCs w:val="24"/>
        </w:rPr>
        <w:t>农林高校规划教材《森林植物病理学》；周成刚教授副主编</w:t>
      </w:r>
      <w:r>
        <w:rPr>
          <w:rFonts w:hint="eastAsia"/>
          <w:szCs w:val="24"/>
        </w:rPr>
        <w:t>“</w:t>
      </w:r>
      <w:r>
        <w:rPr>
          <w:szCs w:val="24"/>
        </w:rPr>
        <w:t>十三五</w:t>
      </w:r>
      <w:r>
        <w:rPr>
          <w:rFonts w:hint="eastAsia"/>
          <w:szCs w:val="24"/>
        </w:rPr>
        <w:t>”</w:t>
      </w:r>
      <w:r>
        <w:rPr>
          <w:szCs w:val="24"/>
        </w:rPr>
        <w:t>农林高校规划教材《园林昆虫学》；刘振宇教授参编了全国</w:t>
      </w:r>
      <w:r>
        <w:rPr>
          <w:rFonts w:hint="eastAsia"/>
          <w:szCs w:val="24"/>
        </w:rPr>
        <w:t>“</w:t>
      </w:r>
      <w:r>
        <w:rPr>
          <w:szCs w:val="24"/>
        </w:rPr>
        <w:t>十三五</w:t>
      </w:r>
      <w:r>
        <w:rPr>
          <w:rFonts w:hint="eastAsia"/>
          <w:szCs w:val="24"/>
        </w:rPr>
        <w:t>”</w:t>
      </w:r>
      <w:r>
        <w:rPr>
          <w:szCs w:val="24"/>
        </w:rPr>
        <w:t>农业高校规划教材《园艺植物病理学》；刘会香教授、邵云华副教授参编的普通高等教育农业部</w:t>
      </w:r>
      <w:r>
        <w:rPr>
          <w:rFonts w:hint="eastAsia"/>
          <w:szCs w:val="24"/>
        </w:rPr>
        <w:t>“</w:t>
      </w:r>
      <w:r>
        <w:rPr>
          <w:szCs w:val="24"/>
        </w:rPr>
        <w:t>十三五</w:t>
      </w:r>
      <w:r>
        <w:rPr>
          <w:rFonts w:hint="eastAsia"/>
          <w:szCs w:val="24"/>
        </w:rPr>
        <w:t>”</w:t>
      </w:r>
      <w:r>
        <w:rPr>
          <w:szCs w:val="24"/>
        </w:rPr>
        <w:t>规划教材《园林植物病理学》等</w:t>
      </w:r>
    </w:p>
    <w:p>
      <w:pPr>
        <w:ind w:firstLine="480"/>
        <w:rPr>
          <w:szCs w:val="24"/>
        </w:rPr>
      </w:pPr>
      <w:r>
        <w:rPr>
          <w:szCs w:val="24"/>
        </w:rPr>
        <w:t>3. 根据我国森林保护事业的发展形势，以及对森保人才的需求，不断加强学生培养方案的修订和调整，重点调整基础课程和专业课程设置，加大了教学大纲的修订力度，使其更加符合现代森林保护事业的发展和人才培养需求。</w:t>
      </w:r>
    </w:p>
    <w:p>
      <w:pPr>
        <w:ind w:firstLine="480"/>
        <w:rPr>
          <w:szCs w:val="24"/>
        </w:rPr>
      </w:pPr>
      <w:r>
        <w:rPr>
          <w:rStyle w:val="27"/>
        </w:rPr>
        <w:t>课程体系：</w:t>
      </w:r>
      <w:r>
        <w:rPr>
          <w:szCs w:val="24"/>
        </w:rPr>
        <w:t>专业重视课程体系建设，保证人才培养质量。</w:t>
      </w:r>
    </w:p>
    <w:p>
      <w:pPr>
        <w:ind w:firstLine="480"/>
        <w:rPr>
          <w:szCs w:val="24"/>
        </w:rPr>
      </w:pPr>
      <w:r>
        <w:rPr>
          <w:szCs w:val="24"/>
        </w:rPr>
        <w:t>主干学科：森林保护学</w:t>
      </w:r>
    </w:p>
    <w:p>
      <w:pPr>
        <w:ind w:firstLine="480"/>
        <w:rPr>
          <w:szCs w:val="24"/>
        </w:rPr>
      </w:pPr>
      <w:r>
        <w:rPr>
          <w:szCs w:val="24"/>
        </w:rPr>
        <w:t>核心课程：植物病理学通论、昆虫学通论、森林昆虫学、森林植物病理学、林木化学保护、林木病虫害生物防治、森林植物检疫、森林防火学等。</w:t>
      </w:r>
    </w:p>
    <w:p>
      <w:pPr>
        <w:pStyle w:val="7"/>
        <w:ind w:firstLine="480"/>
      </w:pPr>
      <w:r>
        <w:t>主要实践性教学环节（含实验）</w:t>
      </w:r>
    </w:p>
    <w:p>
      <w:pPr>
        <w:ind w:firstLine="480"/>
        <w:rPr>
          <w:szCs w:val="24"/>
        </w:rPr>
      </w:pPr>
      <w:r>
        <w:rPr>
          <w:szCs w:val="24"/>
        </w:rPr>
        <w:t>化学与有机化学实验、植物学实验、生物化学实验、微生物学实验、遗传学实验、普通生态学实验、林木病理研究法实验、林木昆虫研究法实验、森林病理实验、森林昆虫实验等实验类教学环节，以及森保专业认识实习、林学基础综合实习（含林学概论、普通生态学、树木学）、植物病理学通论教学实习、昆虫学通论教学实习、森林病虫害综合实习、森林防火学教学实习、森林保护学课程论文、森林保护专业综合实践，以及创新创业实践和毕业论文设计、毕业实践等。</w:t>
      </w:r>
    </w:p>
    <w:p>
      <w:pPr>
        <w:pStyle w:val="7"/>
        <w:ind w:firstLine="480"/>
      </w:pPr>
      <w:r>
        <w:t>学分分配</w:t>
      </w:r>
    </w:p>
    <w:p>
      <w:pPr>
        <w:ind w:firstLine="480"/>
        <w:rPr>
          <w:szCs w:val="24"/>
        </w:rPr>
      </w:pPr>
      <w:r>
        <w:rPr>
          <w:szCs w:val="24"/>
        </w:rPr>
        <w:t>毕业总学分不少于170学分。</w:t>
      </w:r>
    </w:p>
    <w:p>
      <w:pPr>
        <w:ind w:firstLine="480"/>
        <w:rPr>
          <w:szCs w:val="24"/>
        </w:rPr>
      </w:pPr>
      <w:r>
        <w:rPr>
          <w:szCs w:val="24"/>
        </w:rPr>
        <w:t>必修课学分139学分，选修课学分31学分；实验学分（18.5学分）和实践环节学分（35.8学分）共54.3学分，占总学分31.9%。</w:t>
      </w:r>
    </w:p>
    <w:p>
      <w:pPr>
        <w:pStyle w:val="7"/>
        <w:ind w:firstLine="480"/>
      </w:pPr>
      <w:r>
        <w:t>创新创业</w:t>
      </w:r>
    </w:p>
    <w:p>
      <w:pPr>
        <w:ind w:firstLine="480"/>
        <w:rPr>
          <w:kern w:val="0"/>
          <w:szCs w:val="24"/>
        </w:rPr>
      </w:pPr>
      <w:r>
        <w:rPr>
          <w:kern w:val="0"/>
          <w:szCs w:val="24"/>
        </w:rPr>
        <w:t>在创新创业教育方面，着重培养学生的创新能力、创业精神和创业意识。主要采取如下措施：</w:t>
      </w:r>
    </w:p>
    <w:p>
      <w:pPr>
        <w:ind w:firstLine="480"/>
      </w:pPr>
      <w:r>
        <w:t>1. 紧抓课堂教学改革推进，提高学生的独立思考能力和批判精神，将创新创业教育纳入到人才培养体系，在实践环节设置了2个创新创业实践学分。</w:t>
      </w:r>
    </w:p>
    <w:p>
      <w:pPr>
        <w:ind w:firstLine="480"/>
      </w:pPr>
      <w:r>
        <w:t xml:space="preserve">2. </w:t>
      </w:r>
      <w:r>
        <w:rPr>
          <w:kern w:val="0"/>
          <w:szCs w:val="24"/>
        </w:rPr>
        <w:t>引导学生走进实验室全面了解SRT（大学生研究训练计划）的具体含义、研究过程及研究意义，立足于学科和专业，为提前接触科研工作，提高实践操作能力，巩固专业知识奠定坚实基础。</w:t>
      </w:r>
    </w:p>
    <w:p>
      <w:pPr>
        <w:ind w:firstLine="480"/>
      </w:pPr>
      <w:r>
        <w:t>3. 除专任教师开设创业就业授课外，每年聘请2-3位企业家为学生做创业报告。</w:t>
      </w:r>
    </w:p>
    <w:p>
      <w:pPr>
        <w:ind w:firstLine="480"/>
      </w:pPr>
      <w:r>
        <w:t>4. 在寒暑假期间进行系列社会实践及调查活动，以实践带动增强学生们的自主动手能力。</w:t>
      </w:r>
    </w:p>
    <w:p>
      <w:pPr>
        <w:ind w:firstLine="480"/>
      </w:pPr>
      <w:r>
        <w:t>5. 搭建创新创业实践平台，推动创新创业实践训练计划，将理论直接与实践结合，并考察社会对人才和技术的需求。2022年度获得省级奖项1项，校级奖项2项</w:t>
      </w:r>
    </w:p>
    <w:p>
      <w:pPr>
        <w:pStyle w:val="5"/>
        <w:spacing w:before="93" w:after="93"/>
        <w:ind w:firstLine="560"/>
      </w:pPr>
      <w:r>
        <w:t>三、培养条件（教学经费投入、教学设备、教师队伍建设、实习基地、现代教学技术应用等）</w:t>
      </w:r>
    </w:p>
    <w:p>
      <w:pPr>
        <w:pStyle w:val="7"/>
        <w:ind w:firstLine="480"/>
      </w:pPr>
      <w:r>
        <w:t>1. 教学经费投入</w:t>
      </w:r>
    </w:p>
    <w:p>
      <w:pPr>
        <w:ind w:firstLine="480"/>
        <w:rPr>
          <w:szCs w:val="24"/>
        </w:rPr>
      </w:pPr>
      <w:r>
        <w:rPr>
          <w:szCs w:val="24"/>
        </w:rPr>
        <w:t>2020-2021学年，</w:t>
      </w:r>
      <w:r>
        <w:t>教学基本运行经费200余万元，</w:t>
      </w:r>
      <w:r>
        <w:rPr>
          <w:szCs w:val="24"/>
        </w:rPr>
        <w:t>中央财政支持地方高校发展专项资金450万元，科研创新团队经费240万元，2016年植保专业被批复为首批高水平应用型立项专业，获批经费2000万元，</w:t>
      </w:r>
      <w:r>
        <w:t>2018年度投入400万元，森保专业作为专业建设群辐射专业，投入60万元，2019年高水平学科建设经费投入100余万元。</w:t>
      </w:r>
      <w:r>
        <w:rPr>
          <w:szCs w:val="24"/>
        </w:rPr>
        <w:t>上述经费主要用于教学实验仪器购置，学科平台和大学生创新创业基地的建设，满足高层次创新创业等</w:t>
      </w:r>
      <w:r>
        <w:rPr>
          <w:rFonts w:hint="eastAsia"/>
        </w:rPr>
        <w:t>“</w:t>
      </w:r>
      <w:r>
        <w:rPr>
          <w:szCs w:val="24"/>
        </w:rPr>
        <w:t>四有人才</w:t>
      </w:r>
      <w:r>
        <w:rPr>
          <w:rFonts w:hint="eastAsia"/>
        </w:rPr>
        <w:t>”</w:t>
      </w:r>
      <w:r>
        <w:rPr>
          <w:szCs w:val="24"/>
        </w:rPr>
        <w:t>培养。</w:t>
      </w:r>
    </w:p>
    <w:p>
      <w:pPr>
        <w:ind w:firstLine="482"/>
        <w:rPr>
          <w:szCs w:val="24"/>
        </w:rPr>
      </w:pPr>
      <w:r>
        <w:rPr>
          <w:b/>
          <w:color w:val="000000"/>
          <w:kern w:val="0"/>
          <w:szCs w:val="24"/>
        </w:rPr>
        <w:t>实验条件。</w:t>
      </w:r>
      <w:r>
        <w:rPr>
          <w:szCs w:val="24"/>
        </w:rPr>
        <w:t>经过几十年的建设，目前用于教学的仪器设备齐全，教学实验中心总面积3686平方米，现有12个实验室，有昆虫、植病、杂草等3个标本室，中心拥有6个数码互动实验室、高级冷冻离心机、PCR仪、紫外分光光度计、凝胶成像系统、高级研究显微镜、气相色谱仪、高效液相色谱仪、电子天平、电泳仪等仪器设备2800余台（件），2018年新建了现代植物保护学实验室，总价值近4000万元，大大提升了平台设备水平，可满足教学和学生创新研究的需要。</w:t>
      </w:r>
    </w:p>
    <w:p>
      <w:pPr>
        <w:ind w:firstLine="482"/>
        <w:rPr>
          <w:color w:val="000000"/>
          <w:kern w:val="0"/>
          <w:szCs w:val="24"/>
        </w:rPr>
      </w:pPr>
      <w:r>
        <w:rPr>
          <w:b/>
          <w:szCs w:val="24"/>
        </w:rPr>
        <w:t>创新环境</w:t>
      </w:r>
      <w:r>
        <w:rPr>
          <w:szCs w:val="24"/>
        </w:rPr>
        <w:t>。</w:t>
      </w:r>
      <w:r>
        <w:rPr>
          <w:color w:val="000000"/>
          <w:kern w:val="0"/>
          <w:szCs w:val="24"/>
        </w:rPr>
        <w:t>本专业人才培养依托山东省林业有害生物防控研究中心、山东省林业有害生物防控工程技术研究中心、山东省农业微生物重点实验室。目前实验室面积4000余平方米，按照研究需要合理分布，拥有大型仪器设备室、公共实验室、管理办公室、研究室、植物培养室、学术报告厅等。目前科研仪器设备总价值达3000万元，主要仪器设备有液质联用仪、气质联用仪、蛋白纯化系统、荧光显微镜、超速冷冻离心机、氨基酸自动分析仪、荧光定量PCR仪、基因枪、Typhoon成像系统等。实验室配备有高标准温室800 平方米、综合试验站及试验田90亩等。2008年，与山东省林业厅共建</w:t>
      </w:r>
      <w:r>
        <w:rPr>
          <w:rFonts w:hint="eastAsia"/>
          <w:color w:val="000000"/>
          <w:kern w:val="0"/>
          <w:szCs w:val="24"/>
        </w:rPr>
        <w:t>“</w:t>
      </w:r>
      <w:r>
        <w:rPr>
          <w:color w:val="000000"/>
          <w:kern w:val="0"/>
          <w:szCs w:val="24"/>
        </w:rPr>
        <w:t>山东省林业有害生物防控研究中心</w:t>
      </w:r>
      <w:r>
        <w:rPr>
          <w:rFonts w:hint="eastAsia"/>
          <w:color w:val="000000"/>
          <w:kern w:val="0"/>
          <w:szCs w:val="24"/>
        </w:rPr>
        <w:t>”</w:t>
      </w:r>
      <w:r>
        <w:rPr>
          <w:color w:val="000000"/>
          <w:kern w:val="0"/>
          <w:szCs w:val="24"/>
        </w:rPr>
        <w:t>，2009年成立</w:t>
      </w:r>
      <w:r>
        <w:rPr>
          <w:rFonts w:hint="eastAsia"/>
          <w:color w:val="000000"/>
          <w:kern w:val="0"/>
          <w:szCs w:val="24"/>
        </w:rPr>
        <w:t>“</w:t>
      </w:r>
      <w:r>
        <w:rPr>
          <w:color w:val="000000"/>
          <w:kern w:val="0"/>
          <w:szCs w:val="24"/>
        </w:rPr>
        <w:t>山东农业大学林业有害生物防控工程技术研究中心</w:t>
      </w:r>
      <w:r>
        <w:rPr>
          <w:rFonts w:hint="eastAsia"/>
          <w:color w:val="000000"/>
          <w:kern w:val="0"/>
          <w:szCs w:val="24"/>
        </w:rPr>
        <w:t>”</w:t>
      </w:r>
      <w:r>
        <w:rPr>
          <w:color w:val="000000"/>
          <w:kern w:val="0"/>
          <w:szCs w:val="24"/>
        </w:rPr>
        <w:t>，2009年成为</w:t>
      </w:r>
      <w:r>
        <w:rPr>
          <w:rFonts w:hint="eastAsia"/>
          <w:color w:val="000000"/>
          <w:kern w:val="0"/>
          <w:szCs w:val="24"/>
        </w:rPr>
        <w:t>“</w:t>
      </w:r>
      <w:r>
        <w:rPr>
          <w:color w:val="000000"/>
          <w:kern w:val="0"/>
          <w:szCs w:val="24"/>
        </w:rPr>
        <w:t>山东省林业有害生物防控工程技术研究中心</w:t>
      </w:r>
      <w:r>
        <w:rPr>
          <w:rFonts w:hint="eastAsia"/>
          <w:color w:val="000000"/>
          <w:kern w:val="0"/>
          <w:szCs w:val="24"/>
        </w:rPr>
        <w:t>”</w:t>
      </w:r>
      <w:r>
        <w:rPr>
          <w:color w:val="000000"/>
          <w:kern w:val="0"/>
          <w:szCs w:val="24"/>
        </w:rPr>
        <w:t>建设单位，这些平台为进一步改善学科何专业实验室条件，满足高层次人才、创新人才培养和科学研究。中心设备先进，管理制度严格，实验室功能完善，可为学生实践和创新提供优越条件。</w:t>
      </w:r>
    </w:p>
    <w:p>
      <w:pPr>
        <w:pStyle w:val="7"/>
        <w:ind w:firstLine="480"/>
      </w:pPr>
      <w:r>
        <w:t>2. 教学设备</w:t>
      </w:r>
    </w:p>
    <w:p>
      <w:pPr>
        <w:ind w:firstLine="480"/>
        <w:rPr>
          <w:color w:val="000000"/>
          <w:kern w:val="0"/>
          <w:szCs w:val="24"/>
        </w:rPr>
      </w:pPr>
      <w:r>
        <w:rPr>
          <w:color w:val="000000"/>
          <w:kern w:val="0"/>
          <w:szCs w:val="24"/>
        </w:rPr>
        <w:t>经过多年的累积建设，目前用于教学的仪器设备齐全，设备总值达1000万元，可满足教学和学生创新研究的需要。</w:t>
      </w:r>
    </w:p>
    <w:p>
      <w:pPr>
        <w:spacing w:line="360" w:lineRule="auto"/>
        <w:ind w:firstLine="480"/>
        <w:rPr>
          <w:color w:val="000000"/>
          <w:kern w:val="0"/>
          <w:szCs w:val="24"/>
        </w:rPr>
      </w:pPr>
      <w:r>
        <w:rPr>
          <w:rFonts w:eastAsia="黑体"/>
          <w:szCs w:val="24"/>
        </w:rPr>
        <w:drawing>
          <wp:inline distT="0" distB="0" distL="114300" distR="114300">
            <wp:extent cx="5091430" cy="1645920"/>
            <wp:effectExtent l="0" t="0" r="13970" b="11430"/>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59" cstate="print"/>
                    <a:srcRect b="54741"/>
                    <a:stretch>
                      <a:fillRect/>
                    </a:stretch>
                  </pic:blipFill>
                  <pic:spPr>
                    <a:xfrm>
                      <a:off x="0" y="0"/>
                      <a:ext cx="5091430" cy="1645920"/>
                    </a:xfrm>
                    <a:prstGeom prst="rect">
                      <a:avLst/>
                    </a:prstGeom>
                    <a:noFill/>
                    <a:ln w="9525">
                      <a:noFill/>
                    </a:ln>
                  </pic:spPr>
                </pic:pic>
              </a:graphicData>
            </a:graphic>
          </wp:inline>
        </w:drawing>
      </w:r>
    </w:p>
    <w:p>
      <w:pPr>
        <w:spacing w:line="360" w:lineRule="auto"/>
        <w:ind w:firstLine="480"/>
        <w:rPr>
          <w:rFonts w:eastAsia="黑体"/>
          <w:szCs w:val="24"/>
        </w:rPr>
      </w:pPr>
      <w:r>
        <w:rPr>
          <w:rFonts w:eastAsia="黑体"/>
          <w:szCs w:val="24"/>
        </w:rPr>
        <w:drawing>
          <wp:inline distT="0" distB="0" distL="114300" distR="114300">
            <wp:extent cx="5091430" cy="1988820"/>
            <wp:effectExtent l="0" t="0" r="13970" b="1143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59" cstate="print"/>
                    <a:srcRect t="45312"/>
                    <a:stretch>
                      <a:fillRect/>
                    </a:stretch>
                  </pic:blipFill>
                  <pic:spPr>
                    <a:xfrm>
                      <a:off x="0" y="0"/>
                      <a:ext cx="5091430" cy="1988820"/>
                    </a:xfrm>
                    <a:prstGeom prst="rect">
                      <a:avLst/>
                    </a:prstGeom>
                    <a:noFill/>
                    <a:ln w="9525">
                      <a:noFill/>
                    </a:ln>
                  </pic:spPr>
                </pic:pic>
              </a:graphicData>
            </a:graphic>
          </wp:inline>
        </w:drawing>
      </w:r>
    </w:p>
    <w:p>
      <w:pPr>
        <w:ind w:firstLine="482"/>
        <w:rPr>
          <w:rFonts w:eastAsia="黑体"/>
          <w:szCs w:val="24"/>
        </w:rPr>
      </w:pPr>
      <w:r>
        <w:rPr>
          <w:rFonts w:eastAsia="黑体"/>
          <w:szCs w:val="24"/>
        </w:rPr>
        <w:t>3. 教师队伍建设</w:t>
      </w:r>
    </w:p>
    <w:p>
      <w:pPr>
        <w:ind w:firstLine="482"/>
        <w:rPr>
          <w:color w:val="000000"/>
          <w:kern w:val="0"/>
          <w:szCs w:val="24"/>
        </w:rPr>
      </w:pPr>
      <w:r>
        <w:rPr>
          <w:color w:val="000000"/>
          <w:kern w:val="0"/>
          <w:szCs w:val="24"/>
        </w:rPr>
        <w:t>本学科本专业现有专任和兼任教师15人，专任11人，兼任4人。专任教师中有教授4人，副教授5人，讲师2人。另有实验技术人员1人（高级实验师）。外聘兼职教授7人：学科并将在未来几年中，加强人才引进力度，增强学科师资队伍，学科师资队伍结构更加完善。</w:t>
      </w:r>
    </w:p>
    <w:p>
      <w:pPr>
        <w:spacing w:line="240" w:lineRule="auto"/>
        <w:jc w:val="center"/>
        <w:rPr>
          <w:b/>
          <w:bCs/>
          <w:sz w:val="21"/>
          <w:szCs w:val="21"/>
        </w:rPr>
      </w:pPr>
      <w:r>
        <w:rPr>
          <w:b/>
          <w:bCs/>
          <w:sz w:val="21"/>
          <w:szCs w:val="21"/>
        </w:rPr>
        <w:t>表1 森林保护专业外聘兼职教授名单</w:t>
      </w:r>
    </w:p>
    <w:tbl>
      <w:tblPr>
        <w:tblStyle w:val="17"/>
        <w:tblW w:w="78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5"/>
        <w:gridCol w:w="2119"/>
        <w:gridCol w:w="2139"/>
        <w:gridCol w:w="2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875" w:type="dxa"/>
            <w:vAlign w:val="center"/>
          </w:tcPr>
          <w:p>
            <w:pPr>
              <w:spacing w:line="240" w:lineRule="auto"/>
              <w:jc w:val="center"/>
              <w:rPr>
                <w:b/>
                <w:bCs/>
                <w:sz w:val="21"/>
                <w:szCs w:val="21"/>
              </w:rPr>
            </w:pPr>
            <w:r>
              <w:rPr>
                <w:b/>
                <w:bCs/>
                <w:sz w:val="21"/>
                <w:szCs w:val="21"/>
              </w:rPr>
              <w:t>序号</w:t>
            </w:r>
          </w:p>
        </w:tc>
        <w:tc>
          <w:tcPr>
            <w:tcW w:w="2119" w:type="dxa"/>
            <w:vAlign w:val="center"/>
          </w:tcPr>
          <w:p>
            <w:pPr>
              <w:spacing w:line="240" w:lineRule="auto"/>
              <w:jc w:val="center"/>
              <w:rPr>
                <w:b/>
                <w:bCs/>
                <w:sz w:val="21"/>
                <w:szCs w:val="21"/>
              </w:rPr>
            </w:pPr>
            <w:r>
              <w:rPr>
                <w:b/>
                <w:bCs/>
                <w:sz w:val="21"/>
                <w:szCs w:val="21"/>
              </w:rPr>
              <w:t>姓</w:t>
            </w:r>
            <w:r>
              <w:rPr>
                <w:rFonts w:hint="eastAsia"/>
                <w:b/>
                <w:bCs/>
                <w:sz w:val="21"/>
                <w:szCs w:val="21"/>
              </w:rPr>
              <w:t xml:space="preserve">  </w:t>
            </w:r>
            <w:r>
              <w:rPr>
                <w:b/>
                <w:bCs/>
                <w:sz w:val="21"/>
                <w:szCs w:val="21"/>
              </w:rPr>
              <w:t>名</w:t>
            </w:r>
          </w:p>
        </w:tc>
        <w:tc>
          <w:tcPr>
            <w:tcW w:w="2139" w:type="dxa"/>
            <w:vAlign w:val="center"/>
          </w:tcPr>
          <w:p>
            <w:pPr>
              <w:spacing w:line="240" w:lineRule="auto"/>
              <w:jc w:val="center"/>
              <w:rPr>
                <w:b/>
                <w:bCs/>
                <w:sz w:val="21"/>
                <w:szCs w:val="21"/>
              </w:rPr>
            </w:pPr>
            <w:r>
              <w:rPr>
                <w:b/>
                <w:bCs/>
                <w:sz w:val="21"/>
                <w:szCs w:val="21"/>
              </w:rPr>
              <w:t>职称</w:t>
            </w:r>
          </w:p>
        </w:tc>
        <w:tc>
          <w:tcPr>
            <w:tcW w:w="2711" w:type="dxa"/>
            <w:vAlign w:val="center"/>
          </w:tcPr>
          <w:p>
            <w:pPr>
              <w:spacing w:line="240" w:lineRule="auto"/>
              <w:jc w:val="center"/>
              <w:rPr>
                <w:b/>
                <w:bCs/>
                <w:sz w:val="21"/>
                <w:szCs w:val="21"/>
              </w:rPr>
            </w:pPr>
            <w:r>
              <w:rPr>
                <w:b/>
                <w:bCs/>
                <w:sz w:val="21"/>
                <w:szCs w:val="21"/>
              </w:rPr>
              <w:t>专职单位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75" w:type="dxa"/>
            <w:vAlign w:val="center"/>
          </w:tcPr>
          <w:p>
            <w:pPr>
              <w:spacing w:line="240" w:lineRule="auto"/>
              <w:jc w:val="center"/>
              <w:rPr>
                <w:sz w:val="21"/>
                <w:szCs w:val="21"/>
              </w:rPr>
            </w:pPr>
            <w:r>
              <w:rPr>
                <w:sz w:val="21"/>
                <w:szCs w:val="21"/>
              </w:rPr>
              <w:t>1</w:t>
            </w:r>
          </w:p>
        </w:tc>
        <w:tc>
          <w:tcPr>
            <w:tcW w:w="2119" w:type="dxa"/>
            <w:vAlign w:val="center"/>
          </w:tcPr>
          <w:p>
            <w:pPr>
              <w:spacing w:line="240" w:lineRule="auto"/>
              <w:jc w:val="center"/>
              <w:rPr>
                <w:sz w:val="21"/>
                <w:szCs w:val="21"/>
              </w:rPr>
            </w:pPr>
            <w:r>
              <w:rPr>
                <w:sz w:val="21"/>
                <w:szCs w:val="21"/>
              </w:rPr>
              <w:t>孙江华</w:t>
            </w:r>
          </w:p>
        </w:tc>
        <w:tc>
          <w:tcPr>
            <w:tcW w:w="2139" w:type="dxa"/>
            <w:vAlign w:val="center"/>
          </w:tcPr>
          <w:p>
            <w:pPr>
              <w:spacing w:line="240" w:lineRule="auto"/>
              <w:jc w:val="center"/>
              <w:rPr>
                <w:sz w:val="21"/>
                <w:szCs w:val="21"/>
              </w:rPr>
            </w:pPr>
            <w:r>
              <w:rPr>
                <w:sz w:val="21"/>
                <w:szCs w:val="21"/>
              </w:rPr>
              <w:t>研究员</w:t>
            </w:r>
          </w:p>
        </w:tc>
        <w:tc>
          <w:tcPr>
            <w:tcW w:w="2711" w:type="dxa"/>
            <w:vAlign w:val="center"/>
          </w:tcPr>
          <w:p>
            <w:pPr>
              <w:spacing w:line="240" w:lineRule="auto"/>
              <w:jc w:val="center"/>
              <w:rPr>
                <w:sz w:val="21"/>
                <w:szCs w:val="21"/>
              </w:rPr>
            </w:pPr>
            <w:r>
              <w:rPr>
                <w:sz w:val="21"/>
                <w:szCs w:val="21"/>
              </w:rPr>
              <w:t>中国科学院动物研究所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75" w:type="dxa"/>
            <w:vAlign w:val="center"/>
          </w:tcPr>
          <w:p>
            <w:pPr>
              <w:spacing w:line="240" w:lineRule="auto"/>
              <w:jc w:val="center"/>
              <w:rPr>
                <w:sz w:val="21"/>
                <w:szCs w:val="21"/>
              </w:rPr>
            </w:pPr>
            <w:r>
              <w:rPr>
                <w:sz w:val="21"/>
                <w:szCs w:val="21"/>
              </w:rPr>
              <w:t>2</w:t>
            </w:r>
          </w:p>
        </w:tc>
        <w:tc>
          <w:tcPr>
            <w:tcW w:w="2119" w:type="dxa"/>
            <w:vAlign w:val="center"/>
          </w:tcPr>
          <w:p>
            <w:pPr>
              <w:spacing w:line="240" w:lineRule="auto"/>
              <w:jc w:val="center"/>
              <w:rPr>
                <w:sz w:val="21"/>
                <w:szCs w:val="21"/>
              </w:rPr>
            </w:pPr>
            <w:r>
              <w:rPr>
                <w:sz w:val="21"/>
                <w:szCs w:val="21"/>
              </w:rPr>
              <w:t>张润志</w:t>
            </w:r>
          </w:p>
        </w:tc>
        <w:tc>
          <w:tcPr>
            <w:tcW w:w="2139" w:type="dxa"/>
            <w:vAlign w:val="center"/>
          </w:tcPr>
          <w:p>
            <w:pPr>
              <w:spacing w:line="240" w:lineRule="auto"/>
              <w:jc w:val="center"/>
              <w:rPr>
                <w:sz w:val="21"/>
                <w:szCs w:val="21"/>
              </w:rPr>
            </w:pPr>
            <w:r>
              <w:rPr>
                <w:sz w:val="21"/>
                <w:szCs w:val="21"/>
              </w:rPr>
              <w:t>研究员</w:t>
            </w:r>
          </w:p>
        </w:tc>
        <w:tc>
          <w:tcPr>
            <w:tcW w:w="2711" w:type="dxa"/>
            <w:vAlign w:val="center"/>
          </w:tcPr>
          <w:p>
            <w:pPr>
              <w:spacing w:line="240" w:lineRule="auto"/>
              <w:jc w:val="center"/>
              <w:rPr>
                <w:sz w:val="21"/>
                <w:szCs w:val="21"/>
              </w:rPr>
            </w:pPr>
            <w:r>
              <w:rPr>
                <w:sz w:val="21"/>
                <w:szCs w:val="21"/>
              </w:rPr>
              <w:t>中国科学院动物研究所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75" w:type="dxa"/>
            <w:vAlign w:val="center"/>
          </w:tcPr>
          <w:p>
            <w:pPr>
              <w:spacing w:line="240" w:lineRule="auto"/>
              <w:jc w:val="center"/>
              <w:rPr>
                <w:sz w:val="21"/>
                <w:szCs w:val="21"/>
              </w:rPr>
            </w:pPr>
            <w:r>
              <w:rPr>
                <w:sz w:val="21"/>
                <w:szCs w:val="21"/>
              </w:rPr>
              <w:t>3</w:t>
            </w:r>
          </w:p>
        </w:tc>
        <w:tc>
          <w:tcPr>
            <w:tcW w:w="2119" w:type="dxa"/>
            <w:vAlign w:val="center"/>
          </w:tcPr>
          <w:p>
            <w:pPr>
              <w:spacing w:line="240" w:lineRule="auto"/>
              <w:jc w:val="center"/>
              <w:rPr>
                <w:sz w:val="21"/>
                <w:szCs w:val="21"/>
              </w:rPr>
            </w:pPr>
            <w:r>
              <w:rPr>
                <w:sz w:val="21"/>
                <w:szCs w:val="21"/>
              </w:rPr>
              <w:t>张星耀</w:t>
            </w:r>
          </w:p>
        </w:tc>
        <w:tc>
          <w:tcPr>
            <w:tcW w:w="2139" w:type="dxa"/>
            <w:vAlign w:val="center"/>
          </w:tcPr>
          <w:p>
            <w:pPr>
              <w:spacing w:line="240" w:lineRule="auto"/>
              <w:jc w:val="center"/>
              <w:rPr>
                <w:sz w:val="21"/>
                <w:szCs w:val="21"/>
              </w:rPr>
            </w:pPr>
            <w:r>
              <w:rPr>
                <w:sz w:val="21"/>
                <w:szCs w:val="21"/>
              </w:rPr>
              <w:t>研究员</w:t>
            </w:r>
          </w:p>
        </w:tc>
        <w:tc>
          <w:tcPr>
            <w:tcW w:w="2711" w:type="dxa"/>
            <w:vAlign w:val="center"/>
          </w:tcPr>
          <w:p>
            <w:pPr>
              <w:spacing w:line="240" w:lineRule="auto"/>
              <w:jc w:val="center"/>
              <w:rPr>
                <w:sz w:val="21"/>
                <w:szCs w:val="21"/>
              </w:rPr>
            </w:pPr>
            <w:r>
              <w:rPr>
                <w:sz w:val="21"/>
                <w:szCs w:val="21"/>
              </w:rPr>
              <w:t>中国林业科学研究院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75" w:type="dxa"/>
            <w:vAlign w:val="center"/>
          </w:tcPr>
          <w:p>
            <w:pPr>
              <w:spacing w:line="240" w:lineRule="auto"/>
              <w:jc w:val="center"/>
              <w:rPr>
                <w:sz w:val="21"/>
                <w:szCs w:val="21"/>
              </w:rPr>
            </w:pPr>
            <w:r>
              <w:rPr>
                <w:sz w:val="21"/>
                <w:szCs w:val="21"/>
              </w:rPr>
              <w:t>4</w:t>
            </w:r>
          </w:p>
        </w:tc>
        <w:tc>
          <w:tcPr>
            <w:tcW w:w="2119" w:type="dxa"/>
            <w:vAlign w:val="center"/>
          </w:tcPr>
          <w:p>
            <w:pPr>
              <w:spacing w:line="240" w:lineRule="auto"/>
              <w:jc w:val="center"/>
              <w:rPr>
                <w:sz w:val="21"/>
                <w:szCs w:val="21"/>
              </w:rPr>
            </w:pPr>
            <w:r>
              <w:rPr>
                <w:sz w:val="21"/>
                <w:szCs w:val="21"/>
              </w:rPr>
              <w:t>杨忠岐</w:t>
            </w:r>
          </w:p>
        </w:tc>
        <w:tc>
          <w:tcPr>
            <w:tcW w:w="2139" w:type="dxa"/>
            <w:vAlign w:val="center"/>
          </w:tcPr>
          <w:p>
            <w:pPr>
              <w:spacing w:line="240" w:lineRule="auto"/>
              <w:jc w:val="center"/>
              <w:rPr>
                <w:sz w:val="21"/>
                <w:szCs w:val="21"/>
              </w:rPr>
            </w:pPr>
            <w:r>
              <w:rPr>
                <w:sz w:val="21"/>
                <w:szCs w:val="21"/>
              </w:rPr>
              <w:t>研究员</w:t>
            </w:r>
          </w:p>
        </w:tc>
        <w:tc>
          <w:tcPr>
            <w:tcW w:w="2711" w:type="dxa"/>
            <w:vAlign w:val="center"/>
          </w:tcPr>
          <w:p>
            <w:pPr>
              <w:spacing w:line="240" w:lineRule="auto"/>
              <w:jc w:val="center"/>
              <w:rPr>
                <w:sz w:val="21"/>
                <w:szCs w:val="21"/>
              </w:rPr>
            </w:pPr>
            <w:r>
              <w:rPr>
                <w:sz w:val="21"/>
                <w:szCs w:val="21"/>
              </w:rPr>
              <w:t>中国林业科学研究院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75" w:type="dxa"/>
            <w:vAlign w:val="center"/>
          </w:tcPr>
          <w:p>
            <w:pPr>
              <w:spacing w:line="240" w:lineRule="auto"/>
              <w:jc w:val="center"/>
              <w:rPr>
                <w:sz w:val="21"/>
                <w:szCs w:val="21"/>
              </w:rPr>
            </w:pPr>
            <w:r>
              <w:rPr>
                <w:sz w:val="21"/>
                <w:szCs w:val="21"/>
              </w:rPr>
              <w:t>5</w:t>
            </w:r>
          </w:p>
        </w:tc>
        <w:tc>
          <w:tcPr>
            <w:tcW w:w="2119" w:type="dxa"/>
            <w:vAlign w:val="center"/>
          </w:tcPr>
          <w:p>
            <w:pPr>
              <w:spacing w:line="240" w:lineRule="auto"/>
              <w:jc w:val="center"/>
              <w:rPr>
                <w:sz w:val="21"/>
                <w:szCs w:val="21"/>
              </w:rPr>
            </w:pPr>
            <w:r>
              <w:rPr>
                <w:sz w:val="21"/>
                <w:szCs w:val="21"/>
              </w:rPr>
              <w:t>田呈明</w:t>
            </w:r>
          </w:p>
        </w:tc>
        <w:tc>
          <w:tcPr>
            <w:tcW w:w="2139" w:type="dxa"/>
            <w:vAlign w:val="center"/>
          </w:tcPr>
          <w:p>
            <w:pPr>
              <w:spacing w:line="240" w:lineRule="auto"/>
              <w:jc w:val="center"/>
              <w:rPr>
                <w:sz w:val="21"/>
                <w:szCs w:val="21"/>
              </w:rPr>
            </w:pPr>
            <w:r>
              <w:rPr>
                <w:sz w:val="21"/>
                <w:szCs w:val="21"/>
              </w:rPr>
              <w:t>教授</w:t>
            </w:r>
          </w:p>
        </w:tc>
        <w:tc>
          <w:tcPr>
            <w:tcW w:w="2711" w:type="dxa"/>
            <w:vAlign w:val="center"/>
          </w:tcPr>
          <w:p>
            <w:pPr>
              <w:spacing w:line="240" w:lineRule="auto"/>
              <w:jc w:val="center"/>
              <w:rPr>
                <w:sz w:val="21"/>
                <w:szCs w:val="21"/>
              </w:rPr>
            </w:pPr>
            <w:r>
              <w:rPr>
                <w:sz w:val="21"/>
                <w:szCs w:val="21"/>
              </w:rPr>
              <w:t>北京林业大学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75" w:type="dxa"/>
            <w:vAlign w:val="center"/>
          </w:tcPr>
          <w:p>
            <w:pPr>
              <w:spacing w:line="240" w:lineRule="auto"/>
              <w:jc w:val="center"/>
              <w:rPr>
                <w:sz w:val="21"/>
                <w:szCs w:val="21"/>
              </w:rPr>
            </w:pPr>
            <w:r>
              <w:rPr>
                <w:sz w:val="21"/>
                <w:szCs w:val="21"/>
              </w:rPr>
              <w:t>6</w:t>
            </w:r>
          </w:p>
        </w:tc>
        <w:tc>
          <w:tcPr>
            <w:tcW w:w="2119" w:type="dxa"/>
            <w:vAlign w:val="center"/>
          </w:tcPr>
          <w:p>
            <w:pPr>
              <w:spacing w:line="240" w:lineRule="auto"/>
              <w:jc w:val="center"/>
              <w:rPr>
                <w:sz w:val="21"/>
                <w:szCs w:val="21"/>
              </w:rPr>
            </w:pPr>
            <w:r>
              <w:rPr>
                <w:sz w:val="21"/>
                <w:szCs w:val="21"/>
              </w:rPr>
              <w:t>叶建仁</w:t>
            </w:r>
          </w:p>
        </w:tc>
        <w:tc>
          <w:tcPr>
            <w:tcW w:w="2139" w:type="dxa"/>
            <w:vAlign w:val="center"/>
          </w:tcPr>
          <w:p>
            <w:pPr>
              <w:spacing w:line="240" w:lineRule="auto"/>
              <w:jc w:val="center"/>
              <w:rPr>
                <w:sz w:val="21"/>
                <w:szCs w:val="21"/>
              </w:rPr>
            </w:pPr>
            <w:r>
              <w:rPr>
                <w:sz w:val="21"/>
                <w:szCs w:val="21"/>
              </w:rPr>
              <w:t>教授</w:t>
            </w:r>
          </w:p>
        </w:tc>
        <w:tc>
          <w:tcPr>
            <w:tcW w:w="2711" w:type="dxa"/>
            <w:vAlign w:val="center"/>
          </w:tcPr>
          <w:p>
            <w:pPr>
              <w:spacing w:line="240" w:lineRule="auto"/>
              <w:jc w:val="center"/>
              <w:rPr>
                <w:sz w:val="21"/>
                <w:szCs w:val="21"/>
              </w:rPr>
            </w:pPr>
            <w:r>
              <w:rPr>
                <w:sz w:val="21"/>
                <w:szCs w:val="21"/>
              </w:rPr>
              <w:t>南京林业大学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75" w:type="dxa"/>
            <w:vAlign w:val="center"/>
          </w:tcPr>
          <w:p>
            <w:pPr>
              <w:spacing w:line="240" w:lineRule="auto"/>
              <w:jc w:val="center"/>
              <w:rPr>
                <w:sz w:val="21"/>
                <w:szCs w:val="21"/>
              </w:rPr>
            </w:pPr>
            <w:r>
              <w:rPr>
                <w:sz w:val="21"/>
                <w:szCs w:val="21"/>
              </w:rPr>
              <w:t>7</w:t>
            </w:r>
          </w:p>
        </w:tc>
        <w:tc>
          <w:tcPr>
            <w:tcW w:w="2119" w:type="dxa"/>
            <w:vAlign w:val="center"/>
          </w:tcPr>
          <w:p>
            <w:pPr>
              <w:spacing w:line="240" w:lineRule="auto"/>
              <w:jc w:val="center"/>
              <w:rPr>
                <w:sz w:val="21"/>
                <w:szCs w:val="21"/>
              </w:rPr>
            </w:pPr>
            <w:r>
              <w:rPr>
                <w:sz w:val="21"/>
                <w:szCs w:val="21"/>
              </w:rPr>
              <w:t>姚文生</w:t>
            </w:r>
          </w:p>
        </w:tc>
        <w:tc>
          <w:tcPr>
            <w:tcW w:w="2139" w:type="dxa"/>
            <w:vAlign w:val="center"/>
          </w:tcPr>
          <w:p>
            <w:pPr>
              <w:spacing w:line="240" w:lineRule="auto"/>
              <w:jc w:val="center"/>
              <w:rPr>
                <w:sz w:val="21"/>
                <w:szCs w:val="21"/>
              </w:rPr>
            </w:pPr>
            <w:r>
              <w:rPr>
                <w:sz w:val="21"/>
                <w:szCs w:val="21"/>
              </w:rPr>
              <w:t>研究员</w:t>
            </w:r>
          </w:p>
        </w:tc>
        <w:tc>
          <w:tcPr>
            <w:tcW w:w="2711" w:type="dxa"/>
            <w:vAlign w:val="center"/>
          </w:tcPr>
          <w:p>
            <w:pPr>
              <w:spacing w:line="240" w:lineRule="auto"/>
              <w:jc w:val="center"/>
              <w:rPr>
                <w:sz w:val="21"/>
                <w:szCs w:val="21"/>
              </w:rPr>
            </w:pPr>
            <w:r>
              <w:rPr>
                <w:sz w:val="21"/>
                <w:szCs w:val="21"/>
              </w:rPr>
              <w:t>山东省自然资源厅</w:t>
            </w:r>
          </w:p>
        </w:tc>
      </w:tr>
    </w:tbl>
    <w:p>
      <w:pPr>
        <w:spacing w:line="360" w:lineRule="auto"/>
        <w:rPr>
          <w:rFonts w:eastAsia="仿宋_GB2312"/>
          <w:color w:val="000000"/>
          <w:kern w:val="0"/>
          <w:szCs w:val="24"/>
        </w:rPr>
      </w:pPr>
      <w:r>
        <w:rPr>
          <w:rFonts w:eastAsia="仿宋_GB2312"/>
          <w:color w:val="000000"/>
          <w:kern w:val="0"/>
          <w:szCs w:val="24"/>
        </w:rPr>
        <w:drawing>
          <wp:inline distT="0" distB="0" distL="0" distR="0">
            <wp:extent cx="5554345" cy="1826895"/>
            <wp:effectExtent l="0" t="0" r="8255" b="19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598745" cy="1826895"/>
                    </a:xfrm>
                    <a:prstGeom prst="rect">
                      <a:avLst/>
                    </a:prstGeom>
                    <a:noFill/>
                  </pic:spPr>
                </pic:pic>
              </a:graphicData>
            </a:graphic>
          </wp:inline>
        </w:drawing>
      </w:r>
    </w:p>
    <w:p>
      <w:pPr>
        <w:pStyle w:val="7"/>
        <w:ind w:firstLine="482"/>
      </w:pPr>
      <w:r>
        <w:t>4. 实习基地</w:t>
      </w:r>
    </w:p>
    <w:p>
      <w:pPr>
        <w:ind w:firstLine="482"/>
        <w:rPr>
          <w:color w:val="000000"/>
          <w:kern w:val="0"/>
          <w:szCs w:val="24"/>
        </w:rPr>
      </w:pPr>
      <w:r>
        <w:rPr>
          <w:color w:val="000000"/>
          <w:kern w:val="0"/>
          <w:szCs w:val="24"/>
        </w:rPr>
        <w:t>专业重视实践教学工作，以实习基地建设保障实践教学效果。专业拥有45亩校内植物保护实验站园，具有较完整的课程配套实践内容；与济南市林业有害生物天敌繁育中心、泰安市徂徕山林场、东营市河口区人民政府、东营市园林科研所、淄博市林业局建立的校外实习基地，为学生实习实践创造了良好的条件，满足了学生实习的需要。依托本学科，在山东威海市刘公岛建立山东农业大学研究生联合培养基地一处，除研究生培养外，同时对本科生的实践、实习提供了基地。</w:t>
      </w:r>
    </w:p>
    <w:p>
      <w:pPr>
        <w:jc w:val="center"/>
        <w:rPr>
          <w:b/>
          <w:bCs/>
          <w:sz w:val="21"/>
          <w:szCs w:val="21"/>
        </w:rPr>
      </w:pPr>
      <w:r>
        <w:rPr>
          <w:b/>
          <w:bCs/>
          <w:sz w:val="21"/>
          <w:szCs w:val="21"/>
        </w:rPr>
        <w:t>表2  部分森林保护教学科研实践育人基地</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1"/>
        <w:gridCol w:w="3840"/>
        <w:gridCol w:w="2685"/>
        <w:gridCol w:w="1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525" w:type="pct"/>
            <w:shd w:val="clear" w:color="auto" w:fill="auto"/>
            <w:vAlign w:val="center"/>
          </w:tcPr>
          <w:p>
            <w:pPr>
              <w:spacing w:line="240" w:lineRule="auto"/>
              <w:jc w:val="center"/>
              <w:rPr>
                <w:b/>
                <w:bCs/>
                <w:sz w:val="21"/>
                <w:szCs w:val="21"/>
              </w:rPr>
            </w:pPr>
            <w:r>
              <w:rPr>
                <w:b/>
                <w:bCs/>
                <w:sz w:val="21"/>
                <w:szCs w:val="21"/>
              </w:rPr>
              <w:t>序号</w:t>
            </w:r>
          </w:p>
        </w:tc>
        <w:tc>
          <w:tcPr>
            <w:tcW w:w="2119" w:type="pct"/>
            <w:shd w:val="clear" w:color="auto" w:fill="auto"/>
            <w:vAlign w:val="center"/>
          </w:tcPr>
          <w:p>
            <w:pPr>
              <w:spacing w:line="240" w:lineRule="auto"/>
              <w:jc w:val="center"/>
              <w:rPr>
                <w:b/>
                <w:bCs/>
                <w:sz w:val="21"/>
                <w:szCs w:val="21"/>
              </w:rPr>
            </w:pPr>
            <w:r>
              <w:rPr>
                <w:b/>
                <w:bCs/>
                <w:sz w:val="21"/>
                <w:szCs w:val="21"/>
              </w:rPr>
              <w:t>基地依托单位名称</w:t>
            </w:r>
          </w:p>
        </w:tc>
        <w:tc>
          <w:tcPr>
            <w:tcW w:w="1482" w:type="pct"/>
            <w:shd w:val="clear" w:color="auto" w:fill="auto"/>
            <w:vAlign w:val="center"/>
          </w:tcPr>
          <w:p>
            <w:pPr>
              <w:spacing w:line="240" w:lineRule="auto"/>
              <w:jc w:val="center"/>
              <w:rPr>
                <w:b/>
                <w:bCs/>
                <w:sz w:val="21"/>
                <w:szCs w:val="21"/>
              </w:rPr>
            </w:pPr>
            <w:r>
              <w:rPr>
                <w:b/>
                <w:bCs/>
                <w:sz w:val="21"/>
                <w:szCs w:val="21"/>
              </w:rPr>
              <w:t>基地地址</w:t>
            </w:r>
          </w:p>
        </w:tc>
        <w:tc>
          <w:tcPr>
            <w:tcW w:w="872" w:type="pct"/>
            <w:shd w:val="clear" w:color="auto" w:fill="auto"/>
            <w:vAlign w:val="center"/>
          </w:tcPr>
          <w:p>
            <w:pPr>
              <w:spacing w:line="240" w:lineRule="auto"/>
              <w:jc w:val="center"/>
              <w:rPr>
                <w:b/>
                <w:bCs/>
                <w:sz w:val="21"/>
                <w:szCs w:val="21"/>
              </w:rPr>
            </w:pPr>
            <w:r>
              <w:rPr>
                <w:b/>
                <w:bCs/>
                <w:sz w:val="21"/>
                <w:szCs w:val="21"/>
              </w:rPr>
              <w:t>单位性质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shd w:val="clear" w:color="auto" w:fill="auto"/>
            <w:vAlign w:val="center"/>
          </w:tcPr>
          <w:p>
            <w:pPr>
              <w:spacing w:line="240" w:lineRule="auto"/>
              <w:jc w:val="center"/>
              <w:rPr>
                <w:sz w:val="21"/>
                <w:szCs w:val="21"/>
              </w:rPr>
            </w:pPr>
            <w:r>
              <w:rPr>
                <w:sz w:val="21"/>
                <w:szCs w:val="21"/>
              </w:rPr>
              <w:t>1</w:t>
            </w:r>
          </w:p>
        </w:tc>
        <w:tc>
          <w:tcPr>
            <w:tcW w:w="2119" w:type="pct"/>
            <w:shd w:val="clear" w:color="auto" w:fill="auto"/>
            <w:vAlign w:val="center"/>
          </w:tcPr>
          <w:p>
            <w:pPr>
              <w:spacing w:line="240" w:lineRule="auto"/>
              <w:jc w:val="center"/>
              <w:rPr>
                <w:sz w:val="21"/>
                <w:szCs w:val="21"/>
              </w:rPr>
            </w:pPr>
            <w:r>
              <w:rPr>
                <w:sz w:val="21"/>
                <w:szCs w:val="21"/>
              </w:rPr>
              <w:t>徂徕山林场</w:t>
            </w:r>
          </w:p>
        </w:tc>
        <w:tc>
          <w:tcPr>
            <w:tcW w:w="1482" w:type="pct"/>
            <w:shd w:val="clear" w:color="auto" w:fill="auto"/>
            <w:vAlign w:val="center"/>
          </w:tcPr>
          <w:p>
            <w:pPr>
              <w:spacing w:line="240" w:lineRule="auto"/>
              <w:jc w:val="center"/>
              <w:rPr>
                <w:sz w:val="21"/>
                <w:szCs w:val="21"/>
              </w:rPr>
            </w:pPr>
            <w:r>
              <w:rPr>
                <w:sz w:val="21"/>
                <w:szCs w:val="21"/>
              </w:rPr>
              <w:t>泰安市岱岳区</w:t>
            </w:r>
          </w:p>
        </w:tc>
        <w:tc>
          <w:tcPr>
            <w:tcW w:w="872" w:type="pct"/>
            <w:shd w:val="clear" w:color="auto" w:fill="auto"/>
            <w:vAlign w:val="center"/>
          </w:tcPr>
          <w:p>
            <w:pPr>
              <w:spacing w:line="240" w:lineRule="auto"/>
              <w:jc w:val="center"/>
              <w:rPr>
                <w:sz w:val="21"/>
                <w:szCs w:val="21"/>
              </w:rPr>
            </w:pPr>
            <w:r>
              <w:rPr>
                <w:sz w:val="21"/>
                <w:szCs w:val="21"/>
              </w:rPr>
              <w:t>事业单位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shd w:val="clear" w:color="auto" w:fill="auto"/>
            <w:vAlign w:val="center"/>
          </w:tcPr>
          <w:p>
            <w:pPr>
              <w:spacing w:line="240" w:lineRule="auto"/>
              <w:jc w:val="center"/>
              <w:rPr>
                <w:sz w:val="21"/>
                <w:szCs w:val="21"/>
              </w:rPr>
            </w:pPr>
            <w:r>
              <w:rPr>
                <w:sz w:val="21"/>
                <w:szCs w:val="21"/>
              </w:rPr>
              <w:t>2</w:t>
            </w:r>
          </w:p>
        </w:tc>
        <w:tc>
          <w:tcPr>
            <w:tcW w:w="2119" w:type="pct"/>
            <w:shd w:val="clear" w:color="auto" w:fill="auto"/>
            <w:vAlign w:val="center"/>
          </w:tcPr>
          <w:p>
            <w:pPr>
              <w:spacing w:line="240" w:lineRule="auto"/>
              <w:jc w:val="center"/>
              <w:rPr>
                <w:sz w:val="21"/>
                <w:szCs w:val="21"/>
              </w:rPr>
            </w:pPr>
            <w:r>
              <w:rPr>
                <w:sz w:val="21"/>
                <w:szCs w:val="21"/>
              </w:rPr>
              <w:t>刘公岛林场</w:t>
            </w:r>
          </w:p>
        </w:tc>
        <w:tc>
          <w:tcPr>
            <w:tcW w:w="1482" w:type="pct"/>
            <w:shd w:val="clear" w:color="auto" w:fill="auto"/>
            <w:vAlign w:val="center"/>
          </w:tcPr>
          <w:p>
            <w:pPr>
              <w:spacing w:line="240" w:lineRule="auto"/>
              <w:jc w:val="center"/>
              <w:rPr>
                <w:sz w:val="21"/>
                <w:szCs w:val="21"/>
              </w:rPr>
            </w:pPr>
            <w:r>
              <w:rPr>
                <w:sz w:val="21"/>
                <w:szCs w:val="21"/>
              </w:rPr>
              <w:t>山东威海市刘公岛</w:t>
            </w:r>
          </w:p>
        </w:tc>
        <w:tc>
          <w:tcPr>
            <w:tcW w:w="872" w:type="pct"/>
            <w:shd w:val="clear" w:color="auto" w:fill="auto"/>
            <w:vAlign w:val="center"/>
          </w:tcPr>
          <w:p>
            <w:pPr>
              <w:spacing w:line="240" w:lineRule="auto"/>
              <w:jc w:val="center"/>
              <w:rPr>
                <w:sz w:val="21"/>
                <w:szCs w:val="21"/>
              </w:rPr>
            </w:pPr>
            <w:r>
              <w:rPr>
                <w:sz w:val="21"/>
                <w:szCs w:val="21"/>
              </w:rPr>
              <w:t>事业单位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shd w:val="clear" w:color="auto" w:fill="auto"/>
            <w:vAlign w:val="center"/>
          </w:tcPr>
          <w:p>
            <w:pPr>
              <w:spacing w:line="240" w:lineRule="auto"/>
              <w:jc w:val="center"/>
              <w:rPr>
                <w:sz w:val="21"/>
                <w:szCs w:val="21"/>
              </w:rPr>
            </w:pPr>
            <w:r>
              <w:rPr>
                <w:sz w:val="21"/>
                <w:szCs w:val="21"/>
              </w:rPr>
              <w:t>3</w:t>
            </w:r>
          </w:p>
        </w:tc>
        <w:tc>
          <w:tcPr>
            <w:tcW w:w="2119" w:type="pct"/>
            <w:shd w:val="clear" w:color="auto" w:fill="auto"/>
            <w:vAlign w:val="center"/>
          </w:tcPr>
          <w:p>
            <w:pPr>
              <w:spacing w:line="240" w:lineRule="auto"/>
              <w:jc w:val="center"/>
              <w:rPr>
                <w:sz w:val="21"/>
                <w:szCs w:val="21"/>
              </w:rPr>
            </w:pPr>
            <w:r>
              <w:rPr>
                <w:sz w:val="21"/>
                <w:szCs w:val="21"/>
              </w:rPr>
              <w:t>东营市园林科学研究所</w:t>
            </w:r>
          </w:p>
        </w:tc>
        <w:tc>
          <w:tcPr>
            <w:tcW w:w="1482" w:type="pct"/>
            <w:shd w:val="clear" w:color="auto" w:fill="auto"/>
            <w:vAlign w:val="center"/>
          </w:tcPr>
          <w:p>
            <w:pPr>
              <w:spacing w:line="240" w:lineRule="auto"/>
              <w:jc w:val="center"/>
              <w:rPr>
                <w:sz w:val="21"/>
                <w:szCs w:val="21"/>
              </w:rPr>
            </w:pPr>
            <w:r>
              <w:rPr>
                <w:sz w:val="21"/>
                <w:szCs w:val="21"/>
              </w:rPr>
              <w:t>东营市东营区</w:t>
            </w:r>
          </w:p>
        </w:tc>
        <w:tc>
          <w:tcPr>
            <w:tcW w:w="872" w:type="pct"/>
            <w:shd w:val="clear" w:color="auto" w:fill="auto"/>
            <w:vAlign w:val="center"/>
          </w:tcPr>
          <w:p>
            <w:pPr>
              <w:spacing w:line="240" w:lineRule="auto"/>
              <w:jc w:val="center"/>
              <w:rPr>
                <w:sz w:val="21"/>
                <w:szCs w:val="21"/>
              </w:rPr>
            </w:pPr>
            <w:r>
              <w:rPr>
                <w:sz w:val="21"/>
                <w:szCs w:val="21"/>
              </w:rPr>
              <w:t>事业单位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shd w:val="clear" w:color="auto" w:fill="auto"/>
            <w:vAlign w:val="center"/>
          </w:tcPr>
          <w:p>
            <w:pPr>
              <w:spacing w:line="240" w:lineRule="auto"/>
              <w:jc w:val="center"/>
              <w:rPr>
                <w:sz w:val="21"/>
                <w:szCs w:val="21"/>
              </w:rPr>
            </w:pPr>
            <w:r>
              <w:rPr>
                <w:sz w:val="21"/>
                <w:szCs w:val="21"/>
              </w:rPr>
              <w:t>4</w:t>
            </w:r>
          </w:p>
        </w:tc>
        <w:tc>
          <w:tcPr>
            <w:tcW w:w="2119" w:type="pct"/>
            <w:shd w:val="clear" w:color="auto" w:fill="auto"/>
            <w:vAlign w:val="center"/>
          </w:tcPr>
          <w:p>
            <w:pPr>
              <w:spacing w:line="240" w:lineRule="auto"/>
              <w:jc w:val="center"/>
              <w:rPr>
                <w:sz w:val="21"/>
                <w:szCs w:val="21"/>
              </w:rPr>
            </w:pPr>
            <w:r>
              <w:rPr>
                <w:sz w:val="21"/>
                <w:szCs w:val="21"/>
              </w:rPr>
              <w:t>东营市河口区人民政府（河口林业局天敌昆虫繁育中心）</w:t>
            </w:r>
          </w:p>
        </w:tc>
        <w:tc>
          <w:tcPr>
            <w:tcW w:w="1482" w:type="pct"/>
            <w:shd w:val="clear" w:color="auto" w:fill="auto"/>
            <w:vAlign w:val="center"/>
          </w:tcPr>
          <w:p>
            <w:pPr>
              <w:spacing w:line="240" w:lineRule="auto"/>
              <w:jc w:val="center"/>
              <w:rPr>
                <w:sz w:val="21"/>
                <w:szCs w:val="21"/>
              </w:rPr>
            </w:pPr>
            <w:r>
              <w:rPr>
                <w:sz w:val="21"/>
                <w:szCs w:val="21"/>
              </w:rPr>
              <w:t>河口区经济开发区创业园</w:t>
            </w:r>
          </w:p>
        </w:tc>
        <w:tc>
          <w:tcPr>
            <w:tcW w:w="872" w:type="pct"/>
            <w:shd w:val="clear" w:color="auto" w:fill="auto"/>
            <w:vAlign w:val="center"/>
          </w:tcPr>
          <w:p>
            <w:pPr>
              <w:spacing w:line="240" w:lineRule="auto"/>
              <w:jc w:val="center"/>
              <w:rPr>
                <w:sz w:val="21"/>
                <w:szCs w:val="21"/>
              </w:rPr>
            </w:pPr>
            <w:r>
              <w:rPr>
                <w:sz w:val="21"/>
                <w:szCs w:val="21"/>
              </w:rPr>
              <w:t>事业单位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shd w:val="clear" w:color="auto" w:fill="auto"/>
            <w:vAlign w:val="center"/>
          </w:tcPr>
          <w:p>
            <w:pPr>
              <w:spacing w:line="240" w:lineRule="auto"/>
              <w:jc w:val="center"/>
              <w:rPr>
                <w:sz w:val="21"/>
                <w:szCs w:val="21"/>
              </w:rPr>
            </w:pPr>
            <w:r>
              <w:rPr>
                <w:sz w:val="21"/>
                <w:szCs w:val="21"/>
              </w:rPr>
              <w:t>5</w:t>
            </w:r>
          </w:p>
        </w:tc>
        <w:tc>
          <w:tcPr>
            <w:tcW w:w="2119" w:type="pct"/>
            <w:shd w:val="clear" w:color="auto" w:fill="auto"/>
            <w:vAlign w:val="center"/>
          </w:tcPr>
          <w:p>
            <w:pPr>
              <w:spacing w:line="240" w:lineRule="auto"/>
              <w:jc w:val="center"/>
              <w:rPr>
                <w:sz w:val="21"/>
                <w:szCs w:val="21"/>
              </w:rPr>
            </w:pPr>
            <w:r>
              <w:rPr>
                <w:sz w:val="21"/>
                <w:szCs w:val="21"/>
              </w:rPr>
              <w:t>山东华阳科技股份有限公司</w:t>
            </w:r>
          </w:p>
        </w:tc>
        <w:tc>
          <w:tcPr>
            <w:tcW w:w="1482" w:type="pct"/>
            <w:shd w:val="clear" w:color="auto" w:fill="auto"/>
            <w:vAlign w:val="center"/>
          </w:tcPr>
          <w:p>
            <w:pPr>
              <w:spacing w:line="240" w:lineRule="auto"/>
              <w:jc w:val="center"/>
              <w:rPr>
                <w:sz w:val="21"/>
                <w:szCs w:val="21"/>
              </w:rPr>
            </w:pPr>
            <w:r>
              <w:rPr>
                <w:sz w:val="21"/>
                <w:szCs w:val="21"/>
              </w:rPr>
              <w:t>泰安市磁窑镇</w:t>
            </w:r>
          </w:p>
        </w:tc>
        <w:tc>
          <w:tcPr>
            <w:tcW w:w="872" w:type="pct"/>
            <w:shd w:val="clear" w:color="auto" w:fill="auto"/>
            <w:vAlign w:val="center"/>
          </w:tcPr>
          <w:p>
            <w:pPr>
              <w:spacing w:line="240" w:lineRule="auto"/>
              <w:jc w:val="center"/>
              <w:rPr>
                <w:sz w:val="21"/>
                <w:szCs w:val="21"/>
              </w:rPr>
            </w:pPr>
            <w:r>
              <w:rPr>
                <w:sz w:val="21"/>
                <w:szCs w:val="21"/>
              </w:rPr>
              <w:t>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shd w:val="clear" w:color="auto" w:fill="auto"/>
            <w:vAlign w:val="center"/>
          </w:tcPr>
          <w:p>
            <w:pPr>
              <w:spacing w:line="240" w:lineRule="auto"/>
              <w:jc w:val="center"/>
              <w:rPr>
                <w:sz w:val="21"/>
                <w:szCs w:val="21"/>
              </w:rPr>
            </w:pPr>
            <w:r>
              <w:rPr>
                <w:sz w:val="21"/>
                <w:szCs w:val="21"/>
              </w:rPr>
              <w:t>6</w:t>
            </w:r>
          </w:p>
        </w:tc>
        <w:tc>
          <w:tcPr>
            <w:tcW w:w="2119" w:type="pct"/>
            <w:shd w:val="clear" w:color="auto" w:fill="auto"/>
            <w:vAlign w:val="center"/>
          </w:tcPr>
          <w:p>
            <w:pPr>
              <w:spacing w:line="240" w:lineRule="auto"/>
              <w:jc w:val="center"/>
              <w:rPr>
                <w:sz w:val="21"/>
                <w:szCs w:val="21"/>
              </w:rPr>
            </w:pPr>
            <w:r>
              <w:rPr>
                <w:sz w:val="21"/>
                <w:szCs w:val="21"/>
              </w:rPr>
              <w:t>威海博豪农业有限责任公司</w:t>
            </w:r>
          </w:p>
        </w:tc>
        <w:tc>
          <w:tcPr>
            <w:tcW w:w="1482" w:type="pct"/>
            <w:shd w:val="clear" w:color="auto" w:fill="auto"/>
            <w:vAlign w:val="center"/>
          </w:tcPr>
          <w:p>
            <w:pPr>
              <w:spacing w:line="240" w:lineRule="auto"/>
              <w:jc w:val="center"/>
              <w:rPr>
                <w:sz w:val="21"/>
                <w:szCs w:val="21"/>
              </w:rPr>
            </w:pPr>
            <w:r>
              <w:rPr>
                <w:sz w:val="21"/>
                <w:szCs w:val="21"/>
              </w:rPr>
              <w:t>威海市环翠区</w:t>
            </w:r>
          </w:p>
        </w:tc>
        <w:tc>
          <w:tcPr>
            <w:tcW w:w="872" w:type="pct"/>
            <w:shd w:val="clear" w:color="auto" w:fill="auto"/>
            <w:vAlign w:val="center"/>
          </w:tcPr>
          <w:p>
            <w:pPr>
              <w:spacing w:line="240" w:lineRule="auto"/>
              <w:jc w:val="center"/>
              <w:rPr>
                <w:sz w:val="21"/>
                <w:szCs w:val="21"/>
              </w:rPr>
            </w:pPr>
            <w:r>
              <w:rPr>
                <w:sz w:val="21"/>
                <w:szCs w:val="21"/>
              </w:rPr>
              <w:t>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shd w:val="clear" w:color="auto" w:fill="auto"/>
            <w:vAlign w:val="center"/>
          </w:tcPr>
          <w:p>
            <w:pPr>
              <w:spacing w:line="240" w:lineRule="auto"/>
              <w:jc w:val="center"/>
              <w:rPr>
                <w:sz w:val="21"/>
                <w:szCs w:val="21"/>
              </w:rPr>
            </w:pPr>
            <w:r>
              <w:rPr>
                <w:sz w:val="21"/>
                <w:szCs w:val="21"/>
              </w:rPr>
              <w:t>7</w:t>
            </w:r>
          </w:p>
        </w:tc>
        <w:tc>
          <w:tcPr>
            <w:tcW w:w="2119" w:type="pct"/>
            <w:shd w:val="clear" w:color="auto" w:fill="auto"/>
            <w:vAlign w:val="center"/>
          </w:tcPr>
          <w:p>
            <w:pPr>
              <w:spacing w:line="240" w:lineRule="auto"/>
              <w:jc w:val="center"/>
              <w:rPr>
                <w:sz w:val="21"/>
                <w:szCs w:val="21"/>
              </w:rPr>
            </w:pPr>
            <w:r>
              <w:rPr>
                <w:sz w:val="21"/>
                <w:szCs w:val="21"/>
              </w:rPr>
              <w:t>威海市世代海洋生物科技有限公司</w:t>
            </w:r>
          </w:p>
        </w:tc>
        <w:tc>
          <w:tcPr>
            <w:tcW w:w="1482" w:type="pct"/>
            <w:shd w:val="clear" w:color="auto" w:fill="auto"/>
            <w:vAlign w:val="center"/>
          </w:tcPr>
          <w:p>
            <w:pPr>
              <w:spacing w:line="240" w:lineRule="auto"/>
              <w:jc w:val="center"/>
              <w:rPr>
                <w:sz w:val="21"/>
                <w:szCs w:val="21"/>
              </w:rPr>
            </w:pPr>
            <w:r>
              <w:rPr>
                <w:sz w:val="21"/>
                <w:szCs w:val="21"/>
              </w:rPr>
              <w:t>山东省荣成市</w:t>
            </w:r>
          </w:p>
        </w:tc>
        <w:tc>
          <w:tcPr>
            <w:tcW w:w="872" w:type="pct"/>
            <w:shd w:val="clear" w:color="auto" w:fill="auto"/>
            <w:vAlign w:val="center"/>
          </w:tcPr>
          <w:p>
            <w:pPr>
              <w:spacing w:line="240" w:lineRule="auto"/>
              <w:jc w:val="center"/>
              <w:rPr>
                <w:sz w:val="21"/>
                <w:szCs w:val="21"/>
              </w:rPr>
            </w:pPr>
            <w:r>
              <w:rPr>
                <w:sz w:val="21"/>
                <w:szCs w:val="21"/>
              </w:rPr>
              <w:t>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shd w:val="clear" w:color="auto" w:fill="auto"/>
            <w:vAlign w:val="center"/>
          </w:tcPr>
          <w:p>
            <w:pPr>
              <w:spacing w:line="240" w:lineRule="auto"/>
              <w:jc w:val="center"/>
              <w:rPr>
                <w:sz w:val="21"/>
                <w:szCs w:val="21"/>
              </w:rPr>
            </w:pPr>
            <w:r>
              <w:rPr>
                <w:sz w:val="21"/>
                <w:szCs w:val="21"/>
              </w:rPr>
              <w:t>8</w:t>
            </w:r>
          </w:p>
        </w:tc>
        <w:tc>
          <w:tcPr>
            <w:tcW w:w="2119" w:type="pct"/>
            <w:shd w:val="clear" w:color="auto" w:fill="auto"/>
            <w:vAlign w:val="center"/>
          </w:tcPr>
          <w:p>
            <w:pPr>
              <w:spacing w:line="240" w:lineRule="auto"/>
              <w:jc w:val="center"/>
              <w:rPr>
                <w:sz w:val="21"/>
                <w:szCs w:val="21"/>
              </w:rPr>
            </w:pPr>
            <w:r>
              <w:rPr>
                <w:sz w:val="21"/>
                <w:szCs w:val="21"/>
              </w:rPr>
              <w:t>商河县林业局</w:t>
            </w:r>
          </w:p>
        </w:tc>
        <w:tc>
          <w:tcPr>
            <w:tcW w:w="1482" w:type="pct"/>
            <w:shd w:val="clear" w:color="auto" w:fill="auto"/>
            <w:vAlign w:val="center"/>
          </w:tcPr>
          <w:p>
            <w:pPr>
              <w:spacing w:line="240" w:lineRule="auto"/>
              <w:jc w:val="center"/>
              <w:rPr>
                <w:sz w:val="21"/>
                <w:szCs w:val="21"/>
              </w:rPr>
            </w:pPr>
            <w:r>
              <w:rPr>
                <w:sz w:val="21"/>
                <w:szCs w:val="21"/>
              </w:rPr>
              <w:t>山东省商河县</w:t>
            </w:r>
          </w:p>
        </w:tc>
        <w:tc>
          <w:tcPr>
            <w:tcW w:w="872" w:type="pct"/>
            <w:shd w:val="clear" w:color="auto" w:fill="auto"/>
            <w:vAlign w:val="center"/>
          </w:tcPr>
          <w:p>
            <w:pPr>
              <w:spacing w:line="240" w:lineRule="auto"/>
              <w:jc w:val="center"/>
              <w:rPr>
                <w:sz w:val="21"/>
                <w:szCs w:val="21"/>
              </w:rPr>
            </w:pPr>
            <w:r>
              <w:rPr>
                <w:sz w:val="21"/>
                <w:szCs w:val="21"/>
              </w:rPr>
              <w:t>政府机关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shd w:val="clear" w:color="auto" w:fill="auto"/>
            <w:vAlign w:val="center"/>
          </w:tcPr>
          <w:p>
            <w:pPr>
              <w:spacing w:line="240" w:lineRule="auto"/>
              <w:jc w:val="center"/>
              <w:rPr>
                <w:sz w:val="21"/>
                <w:szCs w:val="21"/>
              </w:rPr>
            </w:pPr>
            <w:r>
              <w:rPr>
                <w:sz w:val="21"/>
                <w:szCs w:val="21"/>
              </w:rPr>
              <w:t>9</w:t>
            </w:r>
          </w:p>
        </w:tc>
        <w:tc>
          <w:tcPr>
            <w:tcW w:w="2119" w:type="pct"/>
            <w:shd w:val="clear" w:color="auto" w:fill="auto"/>
            <w:vAlign w:val="center"/>
          </w:tcPr>
          <w:p>
            <w:pPr>
              <w:spacing w:line="240" w:lineRule="auto"/>
              <w:jc w:val="center"/>
              <w:rPr>
                <w:sz w:val="21"/>
                <w:szCs w:val="21"/>
              </w:rPr>
            </w:pPr>
            <w:r>
              <w:rPr>
                <w:sz w:val="21"/>
                <w:szCs w:val="21"/>
              </w:rPr>
              <w:t>济宁市任城区李营苗木专业合作社</w:t>
            </w:r>
          </w:p>
        </w:tc>
        <w:tc>
          <w:tcPr>
            <w:tcW w:w="1482" w:type="pct"/>
            <w:shd w:val="clear" w:color="auto" w:fill="auto"/>
            <w:vAlign w:val="center"/>
          </w:tcPr>
          <w:p>
            <w:pPr>
              <w:spacing w:line="240" w:lineRule="auto"/>
              <w:jc w:val="center"/>
              <w:rPr>
                <w:sz w:val="21"/>
                <w:szCs w:val="21"/>
              </w:rPr>
            </w:pPr>
            <w:r>
              <w:rPr>
                <w:sz w:val="21"/>
                <w:szCs w:val="21"/>
              </w:rPr>
              <w:t>山东省济宁市任城区</w:t>
            </w:r>
          </w:p>
        </w:tc>
        <w:tc>
          <w:tcPr>
            <w:tcW w:w="872" w:type="pct"/>
            <w:shd w:val="clear" w:color="auto" w:fill="auto"/>
            <w:vAlign w:val="center"/>
          </w:tcPr>
          <w:p>
            <w:pPr>
              <w:spacing w:line="240" w:lineRule="auto"/>
              <w:jc w:val="center"/>
              <w:rPr>
                <w:sz w:val="21"/>
                <w:szCs w:val="21"/>
              </w:rPr>
            </w:pPr>
            <w:r>
              <w:rPr>
                <w:sz w:val="21"/>
                <w:szCs w:val="21"/>
              </w:rPr>
              <w:t>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shd w:val="clear" w:color="auto" w:fill="auto"/>
            <w:vAlign w:val="center"/>
          </w:tcPr>
          <w:p>
            <w:pPr>
              <w:spacing w:line="240" w:lineRule="auto"/>
              <w:jc w:val="center"/>
              <w:rPr>
                <w:sz w:val="21"/>
                <w:szCs w:val="21"/>
              </w:rPr>
            </w:pPr>
            <w:r>
              <w:rPr>
                <w:sz w:val="21"/>
                <w:szCs w:val="21"/>
              </w:rPr>
              <w:t>10</w:t>
            </w:r>
          </w:p>
        </w:tc>
        <w:tc>
          <w:tcPr>
            <w:tcW w:w="2119" w:type="pct"/>
            <w:shd w:val="clear" w:color="auto" w:fill="auto"/>
            <w:vAlign w:val="center"/>
          </w:tcPr>
          <w:p>
            <w:pPr>
              <w:spacing w:line="240" w:lineRule="auto"/>
              <w:jc w:val="center"/>
              <w:rPr>
                <w:sz w:val="21"/>
                <w:szCs w:val="21"/>
              </w:rPr>
            </w:pPr>
            <w:r>
              <w:rPr>
                <w:sz w:val="21"/>
                <w:szCs w:val="21"/>
              </w:rPr>
              <w:t>菏泽市出入境检验检疫局</w:t>
            </w:r>
          </w:p>
        </w:tc>
        <w:tc>
          <w:tcPr>
            <w:tcW w:w="1482" w:type="pct"/>
            <w:shd w:val="clear" w:color="auto" w:fill="auto"/>
            <w:vAlign w:val="center"/>
          </w:tcPr>
          <w:p>
            <w:pPr>
              <w:spacing w:line="240" w:lineRule="auto"/>
              <w:jc w:val="center"/>
              <w:rPr>
                <w:sz w:val="21"/>
                <w:szCs w:val="21"/>
              </w:rPr>
            </w:pPr>
            <w:r>
              <w:rPr>
                <w:sz w:val="21"/>
                <w:szCs w:val="21"/>
              </w:rPr>
              <w:t>菏泽市中华路1000号</w:t>
            </w:r>
          </w:p>
        </w:tc>
        <w:tc>
          <w:tcPr>
            <w:tcW w:w="872" w:type="pct"/>
            <w:shd w:val="clear" w:color="auto" w:fill="auto"/>
            <w:vAlign w:val="center"/>
          </w:tcPr>
          <w:p>
            <w:pPr>
              <w:spacing w:line="240" w:lineRule="auto"/>
              <w:jc w:val="center"/>
              <w:rPr>
                <w:sz w:val="21"/>
                <w:szCs w:val="21"/>
              </w:rPr>
            </w:pPr>
            <w:r>
              <w:rPr>
                <w:sz w:val="21"/>
                <w:szCs w:val="21"/>
              </w:rPr>
              <w:t>政府机关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shd w:val="clear" w:color="auto" w:fill="auto"/>
            <w:vAlign w:val="center"/>
          </w:tcPr>
          <w:p>
            <w:pPr>
              <w:spacing w:line="240" w:lineRule="auto"/>
              <w:jc w:val="center"/>
              <w:rPr>
                <w:sz w:val="21"/>
                <w:szCs w:val="21"/>
              </w:rPr>
            </w:pPr>
            <w:r>
              <w:rPr>
                <w:sz w:val="21"/>
                <w:szCs w:val="21"/>
              </w:rPr>
              <w:t>11</w:t>
            </w:r>
          </w:p>
        </w:tc>
        <w:tc>
          <w:tcPr>
            <w:tcW w:w="2119" w:type="pct"/>
            <w:shd w:val="clear" w:color="auto" w:fill="auto"/>
            <w:vAlign w:val="center"/>
          </w:tcPr>
          <w:p>
            <w:pPr>
              <w:spacing w:line="240" w:lineRule="auto"/>
              <w:jc w:val="center"/>
              <w:rPr>
                <w:sz w:val="21"/>
                <w:szCs w:val="21"/>
              </w:rPr>
            </w:pPr>
            <w:r>
              <w:rPr>
                <w:sz w:val="21"/>
                <w:szCs w:val="21"/>
              </w:rPr>
              <w:t>山东万豪生态农业集团股份有限公司</w:t>
            </w:r>
          </w:p>
        </w:tc>
        <w:tc>
          <w:tcPr>
            <w:tcW w:w="1482" w:type="pct"/>
            <w:shd w:val="clear" w:color="auto" w:fill="auto"/>
            <w:vAlign w:val="center"/>
          </w:tcPr>
          <w:p>
            <w:pPr>
              <w:spacing w:line="240" w:lineRule="auto"/>
              <w:jc w:val="center"/>
              <w:rPr>
                <w:sz w:val="21"/>
                <w:szCs w:val="21"/>
              </w:rPr>
            </w:pPr>
            <w:r>
              <w:rPr>
                <w:sz w:val="21"/>
                <w:szCs w:val="21"/>
              </w:rPr>
              <w:t>济南市商河县经济开发区力源街东首</w:t>
            </w:r>
          </w:p>
        </w:tc>
        <w:tc>
          <w:tcPr>
            <w:tcW w:w="872" w:type="pct"/>
            <w:shd w:val="clear" w:color="auto" w:fill="auto"/>
            <w:vAlign w:val="center"/>
          </w:tcPr>
          <w:p>
            <w:pPr>
              <w:spacing w:line="240" w:lineRule="auto"/>
              <w:jc w:val="center"/>
              <w:rPr>
                <w:sz w:val="21"/>
                <w:szCs w:val="21"/>
              </w:rPr>
            </w:pPr>
            <w:r>
              <w:rPr>
                <w:sz w:val="21"/>
                <w:szCs w:val="21"/>
              </w:rPr>
              <w:t>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shd w:val="clear" w:color="auto" w:fill="auto"/>
            <w:vAlign w:val="center"/>
          </w:tcPr>
          <w:p>
            <w:pPr>
              <w:spacing w:line="240" w:lineRule="auto"/>
              <w:jc w:val="center"/>
              <w:rPr>
                <w:sz w:val="21"/>
                <w:szCs w:val="21"/>
              </w:rPr>
            </w:pPr>
            <w:r>
              <w:rPr>
                <w:sz w:val="21"/>
                <w:szCs w:val="21"/>
              </w:rPr>
              <w:t>12</w:t>
            </w:r>
          </w:p>
        </w:tc>
        <w:tc>
          <w:tcPr>
            <w:tcW w:w="2119" w:type="pct"/>
            <w:shd w:val="clear" w:color="auto" w:fill="auto"/>
            <w:vAlign w:val="center"/>
          </w:tcPr>
          <w:p>
            <w:pPr>
              <w:spacing w:line="240" w:lineRule="auto"/>
              <w:jc w:val="center"/>
              <w:rPr>
                <w:sz w:val="21"/>
                <w:szCs w:val="21"/>
              </w:rPr>
            </w:pPr>
            <w:r>
              <w:rPr>
                <w:sz w:val="21"/>
                <w:szCs w:val="21"/>
              </w:rPr>
              <w:t>山东博华高效生态农业科技有限公司</w:t>
            </w:r>
          </w:p>
        </w:tc>
        <w:tc>
          <w:tcPr>
            <w:tcW w:w="1482" w:type="pct"/>
            <w:shd w:val="clear" w:color="auto" w:fill="auto"/>
            <w:vAlign w:val="center"/>
          </w:tcPr>
          <w:p>
            <w:pPr>
              <w:spacing w:line="240" w:lineRule="auto"/>
              <w:jc w:val="center"/>
              <w:rPr>
                <w:sz w:val="21"/>
                <w:szCs w:val="21"/>
              </w:rPr>
            </w:pPr>
            <w:r>
              <w:rPr>
                <w:sz w:val="21"/>
                <w:szCs w:val="21"/>
              </w:rPr>
              <w:t>山东省滨州市博兴县</w:t>
            </w:r>
          </w:p>
        </w:tc>
        <w:tc>
          <w:tcPr>
            <w:tcW w:w="872" w:type="pct"/>
            <w:shd w:val="clear" w:color="auto" w:fill="auto"/>
            <w:vAlign w:val="center"/>
          </w:tcPr>
          <w:p>
            <w:pPr>
              <w:spacing w:line="240" w:lineRule="auto"/>
              <w:jc w:val="center"/>
              <w:rPr>
                <w:sz w:val="21"/>
                <w:szCs w:val="21"/>
              </w:rPr>
            </w:pPr>
            <w:r>
              <w:rPr>
                <w:sz w:val="21"/>
                <w:szCs w:val="21"/>
              </w:rPr>
              <w:t>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5" w:type="pct"/>
            <w:shd w:val="clear" w:color="auto" w:fill="auto"/>
            <w:vAlign w:val="center"/>
          </w:tcPr>
          <w:p>
            <w:pPr>
              <w:spacing w:line="240" w:lineRule="auto"/>
              <w:jc w:val="center"/>
              <w:rPr>
                <w:sz w:val="21"/>
                <w:szCs w:val="21"/>
              </w:rPr>
            </w:pPr>
            <w:r>
              <w:rPr>
                <w:sz w:val="21"/>
                <w:szCs w:val="21"/>
              </w:rPr>
              <w:t>13</w:t>
            </w:r>
          </w:p>
        </w:tc>
        <w:tc>
          <w:tcPr>
            <w:tcW w:w="2119" w:type="pct"/>
            <w:shd w:val="clear" w:color="auto" w:fill="auto"/>
            <w:vAlign w:val="center"/>
          </w:tcPr>
          <w:p>
            <w:pPr>
              <w:spacing w:line="240" w:lineRule="auto"/>
              <w:jc w:val="center"/>
              <w:rPr>
                <w:sz w:val="21"/>
                <w:szCs w:val="21"/>
              </w:rPr>
            </w:pPr>
            <w:r>
              <w:rPr>
                <w:sz w:val="21"/>
                <w:szCs w:val="21"/>
              </w:rPr>
              <w:t>山东方大工程有限责任公司嘉祥林场</w:t>
            </w:r>
          </w:p>
        </w:tc>
        <w:tc>
          <w:tcPr>
            <w:tcW w:w="1482" w:type="pct"/>
            <w:shd w:val="clear" w:color="auto" w:fill="auto"/>
            <w:vAlign w:val="center"/>
          </w:tcPr>
          <w:p>
            <w:pPr>
              <w:spacing w:line="240" w:lineRule="auto"/>
              <w:jc w:val="center"/>
              <w:rPr>
                <w:sz w:val="21"/>
                <w:szCs w:val="21"/>
              </w:rPr>
            </w:pPr>
            <w:r>
              <w:rPr>
                <w:sz w:val="21"/>
                <w:szCs w:val="21"/>
              </w:rPr>
              <w:t>嘉祥县大张楼镇红运矿柱林场</w:t>
            </w:r>
          </w:p>
        </w:tc>
        <w:tc>
          <w:tcPr>
            <w:tcW w:w="872" w:type="pct"/>
            <w:shd w:val="clear" w:color="auto" w:fill="auto"/>
            <w:vAlign w:val="center"/>
          </w:tcPr>
          <w:p>
            <w:pPr>
              <w:spacing w:line="240" w:lineRule="auto"/>
              <w:jc w:val="center"/>
              <w:rPr>
                <w:sz w:val="21"/>
                <w:szCs w:val="21"/>
              </w:rPr>
            </w:pPr>
            <w:r>
              <w:rPr>
                <w:sz w:val="21"/>
                <w:szCs w:val="21"/>
              </w:rPr>
              <w:t>企业</w:t>
            </w:r>
          </w:p>
        </w:tc>
      </w:tr>
    </w:tbl>
    <w:p>
      <w:pPr>
        <w:pStyle w:val="6"/>
        <w:ind w:left="0" w:leftChars="0" w:firstLine="0" w:firstLineChars="0"/>
      </w:pPr>
    </w:p>
    <w:p>
      <w:pPr>
        <w:pStyle w:val="6"/>
        <w:ind w:firstLine="480"/>
      </w:pPr>
      <w:r>
        <w:t>5. 现代教学技术应用</w:t>
      </w:r>
    </w:p>
    <w:p>
      <w:pPr>
        <w:widowControl/>
        <w:spacing w:line="420" w:lineRule="exact"/>
        <w:ind w:firstLine="480"/>
        <w:rPr>
          <w:color w:val="000000"/>
          <w:kern w:val="0"/>
          <w:szCs w:val="24"/>
        </w:rPr>
      </w:pPr>
      <w:r>
        <w:rPr>
          <w:color w:val="000000"/>
          <w:kern w:val="0"/>
          <w:szCs w:val="24"/>
        </w:rPr>
        <w:t>所有课程全部使用多媒体教学，</w:t>
      </w:r>
      <w:r>
        <w:rPr>
          <w:rFonts w:hint="eastAsia"/>
          <w:color w:val="000000"/>
          <w:kern w:val="0"/>
          <w:szCs w:val="24"/>
        </w:rPr>
        <w:t>“</w:t>
      </w:r>
      <w:r>
        <w:rPr>
          <w:color w:val="000000"/>
          <w:kern w:val="0"/>
          <w:szCs w:val="24"/>
        </w:rPr>
        <w:t>森林植物病理学</w:t>
      </w:r>
      <w:r>
        <w:rPr>
          <w:rFonts w:hint="eastAsia"/>
          <w:color w:val="000000"/>
          <w:kern w:val="0"/>
          <w:szCs w:val="24"/>
        </w:rPr>
        <w:t>”</w:t>
      </w:r>
      <w:r>
        <w:rPr>
          <w:color w:val="000000"/>
          <w:kern w:val="0"/>
          <w:szCs w:val="24"/>
        </w:rPr>
        <w:t>等课程已经实施慕课教学，部分课程积极筹备实施慕课教学和微课教学。</w:t>
      </w:r>
    </w:p>
    <w:p>
      <w:pPr>
        <w:pStyle w:val="5"/>
        <w:spacing w:before="93" w:after="93" w:line="420" w:lineRule="exact"/>
        <w:ind w:firstLine="560"/>
      </w:pPr>
      <w:r>
        <w:t>四、培养机制与特色（产学研协同育人机制、合作办学、教学管理等）</w:t>
      </w:r>
    </w:p>
    <w:p>
      <w:pPr>
        <w:widowControl/>
        <w:spacing w:line="420" w:lineRule="exact"/>
        <w:ind w:firstLine="480"/>
        <w:rPr>
          <w:color w:val="000000"/>
          <w:kern w:val="0"/>
          <w:szCs w:val="24"/>
        </w:rPr>
      </w:pPr>
      <w:r>
        <w:rPr>
          <w:color w:val="000000"/>
          <w:kern w:val="0"/>
          <w:szCs w:val="24"/>
        </w:rPr>
        <w:t>森林保护专业依托植保学院森林保护系和林业有害生物防控省级工程技术中心，现设有森林保护博士点和森林保护硕士点。师资力量强，培养层次有系统性，办学优势突出。</w:t>
      </w:r>
    </w:p>
    <w:p>
      <w:pPr>
        <w:pStyle w:val="6"/>
        <w:spacing w:line="420" w:lineRule="exact"/>
        <w:ind w:firstLine="480"/>
      </w:pPr>
      <w:r>
        <w:t>1. 坎实基础理论教学，重视应用实践教育</w:t>
      </w:r>
    </w:p>
    <w:p>
      <w:pPr>
        <w:widowControl/>
        <w:spacing w:line="420" w:lineRule="exact"/>
        <w:ind w:firstLine="480"/>
        <w:rPr>
          <w:color w:val="000000"/>
          <w:kern w:val="0"/>
          <w:szCs w:val="24"/>
        </w:rPr>
      </w:pPr>
      <w:r>
        <w:rPr>
          <w:color w:val="000000"/>
          <w:kern w:val="0"/>
          <w:szCs w:val="24"/>
        </w:rPr>
        <w:t>专业根据社会、专业和科学发展需求，在人才培养上，加强基础理论教学，并重视应用实践教育。通过课程设置，本专业设置实验学分（18.5学分）和实践环节学分（35.8学分）共54.3学分，占总学分32.9%。根据本专业人才培养要求和专业特色，将毕业实习分为两段，即3年级下学期和4年级下学期，进行毕业实习及毕业论文。根据学生的个性发展需求，将进入毕业实习阶段的学生分成两大类别：一类按</w:t>
      </w:r>
      <w:r>
        <w:rPr>
          <w:rFonts w:hint="eastAsia"/>
          <w:color w:val="000000"/>
          <w:kern w:val="0"/>
          <w:szCs w:val="24"/>
        </w:rPr>
        <w:t>“</w:t>
      </w:r>
      <w:r>
        <w:rPr>
          <w:color w:val="000000"/>
          <w:kern w:val="0"/>
          <w:szCs w:val="24"/>
        </w:rPr>
        <w:t>创新型</w:t>
      </w:r>
      <w:r>
        <w:rPr>
          <w:rFonts w:hint="eastAsia"/>
          <w:color w:val="000000"/>
          <w:kern w:val="0"/>
          <w:szCs w:val="24"/>
        </w:rPr>
        <w:t>”</w:t>
      </w:r>
      <w:r>
        <w:rPr>
          <w:color w:val="000000"/>
          <w:kern w:val="0"/>
          <w:szCs w:val="24"/>
        </w:rPr>
        <w:t>人才培养，安排到科研院所、科研实验室实习，强化科技创新能力培养；另一类按</w:t>
      </w:r>
      <w:r>
        <w:rPr>
          <w:rFonts w:hint="eastAsia"/>
          <w:color w:val="000000"/>
          <w:kern w:val="0"/>
          <w:szCs w:val="24"/>
        </w:rPr>
        <w:t>“</w:t>
      </w:r>
      <w:r>
        <w:rPr>
          <w:color w:val="000000"/>
          <w:kern w:val="0"/>
          <w:szCs w:val="24"/>
        </w:rPr>
        <w:t>应用型</w:t>
      </w:r>
      <w:r>
        <w:rPr>
          <w:rFonts w:hint="eastAsia"/>
          <w:color w:val="000000"/>
          <w:kern w:val="0"/>
          <w:szCs w:val="24"/>
        </w:rPr>
        <w:t>”</w:t>
      </w:r>
      <w:r>
        <w:rPr>
          <w:color w:val="000000"/>
          <w:kern w:val="0"/>
          <w:szCs w:val="24"/>
        </w:rPr>
        <w:t>人才培养，安排到校企共建单位、实践教学基地实习，让学生尽早适应社会需求。</w:t>
      </w:r>
    </w:p>
    <w:p>
      <w:pPr>
        <w:pStyle w:val="6"/>
        <w:spacing w:line="420" w:lineRule="exact"/>
        <w:ind w:firstLine="480"/>
      </w:pPr>
      <w:r>
        <w:t>2. 建立</w:t>
      </w:r>
      <w:r>
        <w:rPr>
          <w:rFonts w:hint="eastAsia"/>
        </w:rPr>
        <w:t>“</w:t>
      </w:r>
      <w:r>
        <w:t>本科-研究生</w:t>
      </w:r>
      <w:r>
        <w:rPr>
          <w:rFonts w:hint="eastAsia"/>
        </w:rPr>
        <w:t>”</w:t>
      </w:r>
      <w:r>
        <w:t>人才培养层次，设立</w:t>
      </w:r>
      <w:r>
        <w:rPr>
          <w:rFonts w:hint="eastAsia"/>
        </w:rPr>
        <w:t>“</w:t>
      </w:r>
      <w:r>
        <w:t>创新人才培养</w:t>
      </w:r>
      <w:r>
        <w:rPr>
          <w:rFonts w:hint="eastAsia"/>
        </w:rPr>
        <w:t>”</w:t>
      </w:r>
      <w:r>
        <w:t>体系</w:t>
      </w:r>
    </w:p>
    <w:p>
      <w:pPr>
        <w:widowControl/>
        <w:spacing w:line="420" w:lineRule="exact"/>
        <w:ind w:firstLine="480"/>
        <w:rPr>
          <w:color w:val="000000"/>
          <w:kern w:val="0"/>
          <w:szCs w:val="24"/>
        </w:rPr>
      </w:pPr>
      <w:r>
        <w:rPr>
          <w:color w:val="000000"/>
          <w:kern w:val="0"/>
          <w:szCs w:val="24"/>
        </w:rPr>
        <w:t>本专业形成较完整的</w:t>
      </w:r>
      <w:r>
        <w:rPr>
          <w:rFonts w:hint="eastAsia"/>
          <w:color w:val="000000"/>
          <w:kern w:val="0"/>
          <w:szCs w:val="24"/>
        </w:rPr>
        <w:t>“</w:t>
      </w:r>
      <w:r>
        <w:rPr>
          <w:color w:val="000000"/>
          <w:kern w:val="0"/>
          <w:szCs w:val="24"/>
        </w:rPr>
        <w:t>本科-硕士-博士</w:t>
      </w:r>
      <w:r>
        <w:rPr>
          <w:rFonts w:hint="eastAsia"/>
          <w:color w:val="000000"/>
          <w:kern w:val="0"/>
          <w:szCs w:val="24"/>
        </w:rPr>
        <w:t>”</w:t>
      </w:r>
      <w:r>
        <w:rPr>
          <w:color w:val="000000"/>
          <w:kern w:val="0"/>
          <w:szCs w:val="24"/>
        </w:rPr>
        <w:t>人才培养层次，本专业学生完成本科教育，可以直接就业或者创业，也可以选择进一步攻读研究生深造。</w:t>
      </w:r>
    </w:p>
    <w:p>
      <w:pPr>
        <w:pStyle w:val="6"/>
        <w:spacing w:line="420" w:lineRule="exact"/>
        <w:ind w:firstLine="480"/>
      </w:pPr>
      <w:r>
        <w:t>3. 参与山东省</w:t>
      </w:r>
      <w:r>
        <w:rPr>
          <w:rFonts w:hint="eastAsia"/>
        </w:rPr>
        <w:t>“</w:t>
      </w:r>
      <w:r>
        <w:t>齐鲁学堂</w:t>
      </w:r>
      <w:r>
        <w:rPr>
          <w:rFonts w:hint="eastAsia"/>
        </w:rPr>
        <w:t>”</w:t>
      </w:r>
      <w:r>
        <w:t>人才培养体制，培养</w:t>
      </w:r>
      <w:r>
        <w:rPr>
          <w:rFonts w:hint="eastAsia"/>
        </w:rPr>
        <w:t>“</w:t>
      </w:r>
      <w:r>
        <w:t>拔尖型</w:t>
      </w:r>
      <w:r>
        <w:rPr>
          <w:rFonts w:hint="eastAsia"/>
        </w:rPr>
        <w:t>”</w:t>
      </w:r>
      <w:r>
        <w:t>农林创新人才</w:t>
      </w:r>
    </w:p>
    <w:p>
      <w:pPr>
        <w:widowControl/>
        <w:spacing w:line="420" w:lineRule="exact"/>
        <w:ind w:firstLine="480"/>
        <w:rPr>
          <w:color w:val="000000"/>
          <w:kern w:val="0"/>
          <w:szCs w:val="24"/>
        </w:rPr>
      </w:pPr>
      <w:r>
        <w:rPr>
          <w:color w:val="000000"/>
          <w:kern w:val="0"/>
          <w:szCs w:val="24"/>
        </w:rPr>
        <w:t>森林保护专业学生可以参加学校的</w:t>
      </w:r>
      <w:r>
        <w:rPr>
          <w:rFonts w:hint="eastAsia"/>
          <w:color w:val="000000"/>
          <w:kern w:val="0"/>
          <w:szCs w:val="24"/>
        </w:rPr>
        <w:t>“</w:t>
      </w:r>
      <w:r>
        <w:rPr>
          <w:color w:val="000000"/>
          <w:kern w:val="0"/>
          <w:szCs w:val="24"/>
        </w:rPr>
        <w:t>齐鲁学堂</w:t>
      </w:r>
      <w:r>
        <w:rPr>
          <w:rFonts w:hint="eastAsia"/>
          <w:color w:val="000000"/>
          <w:kern w:val="0"/>
          <w:szCs w:val="24"/>
        </w:rPr>
        <w:t>”</w:t>
      </w:r>
      <w:r>
        <w:rPr>
          <w:color w:val="000000"/>
          <w:kern w:val="0"/>
          <w:szCs w:val="24"/>
        </w:rPr>
        <w:t>计划。</w:t>
      </w:r>
      <w:r>
        <w:rPr>
          <w:rFonts w:hint="eastAsia"/>
          <w:color w:val="000000"/>
          <w:kern w:val="0"/>
          <w:szCs w:val="24"/>
        </w:rPr>
        <w:t>“</w:t>
      </w:r>
      <w:r>
        <w:rPr>
          <w:color w:val="000000"/>
          <w:kern w:val="0"/>
          <w:szCs w:val="24"/>
        </w:rPr>
        <w:t>齐鲁学堂</w:t>
      </w:r>
      <w:r>
        <w:rPr>
          <w:rFonts w:hint="eastAsia"/>
          <w:color w:val="000000"/>
          <w:kern w:val="0"/>
          <w:szCs w:val="24"/>
        </w:rPr>
        <w:t>”</w:t>
      </w:r>
      <w:r>
        <w:rPr>
          <w:color w:val="000000"/>
          <w:kern w:val="0"/>
          <w:szCs w:val="24"/>
        </w:rPr>
        <w:t>是学校为了配合拔尖型农林人才培养计划而设立的，承担着学校</w:t>
      </w:r>
      <w:r>
        <w:rPr>
          <w:rFonts w:hint="eastAsia"/>
          <w:color w:val="000000"/>
          <w:kern w:val="0"/>
          <w:szCs w:val="24"/>
        </w:rPr>
        <w:t>“</w:t>
      </w:r>
      <w:r>
        <w:rPr>
          <w:color w:val="000000"/>
          <w:kern w:val="0"/>
          <w:szCs w:val="24"/>
        </w:rPr>
        <w:t>参与未来国际农业科技竞争，引领未来农林产业发展方向的拔尖人才</w:t>
      </w:r>
      <w:r>
        <w:rPr>
          <w:rFonts w:hint="eastAsia"/>
          <w:color w:val="000000"/>
          <w:kern w:val="0"/>
          <w:szCs w:val="24"/>
        </w:rPr>
        <w:t>”</w:t>
      </w:r>
      <w:r>
        <w:rPr>
          <w:color w:val="000000"/>
          <w:kern w:val="0"/>
          <w:szCs w:val="24"/>
        </w:rPr>
        <w:t>的培养任务。齐鲁学堂坚持少而精、开放式，控制规模，动态进出的原则。在培养模式方面，学堂实行</w:t>
      </w:r>
      <w:r>
        <w:rPr>
          <w:rFonts w:hint="eastAsia"/>
          <w:color w:val="000000"/>
          <w:kern w:val="0"/>
          <w:szCs w:val="24"/>
        </w:rPr>
        <w:t>“</w:t>
      </w:r>
      <w:r>
        <w:rPr>
          <w:color w:val="000000"/>
          <w:kern w:val="0"/>
          <w:szCs w:val="24"/>
        </w:rPr>
        <w:t>本硕博贯通</w:t>
      </w:r>
      <w:r>
        <w:rPr>
          <w:rFonts w:hint="eastAsia"/>
          <w:color w:val="000000"/>
          <w:kern w:val="0"/>
          <w:szCs w:val="24"/>
        </w:rPr>
        <w:t>”</w:t>
      </w:r>
      <w:r>
        <w:rPr>
          <w:color w:val="000000"/>
          <w:kern w:val="0"/>
          <w:szCs w:val="24"/>
        </w:rPr>
        <w:t>培养制度，实行弹性学习年限，原则上3年完成本科阶段课程，5年完成研究生阶段培养。学堂为每名学生配备一名导师，指导学生制定个性化学习计划，指导学生科研训练等。学生可在导师指导下制定个性化培养方案，可自主跨学校、跨院系、跨专业、跨年级修读课程。 此外，学堂为学生提供多种海外学习交流机会，通过联合培养、交换学习、暑期学校、短期学习、国际学术会议、讲习班、见习实习、考察等方式，使学生有机会走进国外一流大学或研究机构，得到更多一流专家学者的指导。</w:t>
      </w:r>
    </w:p>
    <w:p>
      <w:pPr>
        <w:pStyle w:val="6"/>
        <w:spacing w:line="360" w:lineRule="auto"/>
        <w:ind w:firstLine="0" w:firstLineChars="0"/>
      </w:pPr>
      <w:r>
        <w:drawing>
          <wp:inline distT="0" distB="0" distL="0" distR="0">
            <wp:extent cx="5544820" cy="2342515"/>
            <wp:effectExtent l="0" t="0" r="5080"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544820" cy="2342515"/>
                    </a:xfrm>
                    <a:prstGeom prst="rect">
                      <a:avLst/>
                    </a:prstGeom>
                    <a:noFill/>
                  </pic:spPr>
                </pic:pic>
              </a:graphicData>
            </a:graphic>
          </wp:inline>
        </w:drawing>
      </w:r>
    </w:p>
    <w:p>
      <w:pPr>
        <w:pStyle w:val="6"/>
        <w:spacing w:line="360" w:lineRule="auto"/>
        <w:ind w:firstLine="0" w:firstLineChars="0"/>
        <w:jc w:val="center"/>
        <w:rPr>
          <w:rFonts w:eastAsia="宋体"/>
          <w:b/>
          <w:bCs/>
          <w:kern w:val="2"/>
          <w:sz w:val="21"/>
          <w:szCs w:val="21"/>
        </w:rPr>
      </w:pPr>
      <w:r>
        <w:rPr>
          <w:rFonts w:eastAsia="宋体"/>
          <w:b/>
          <w:bCs/>
          <w:kern w:val="2"/>
          <w:sz w:val="21"/>
          <w:szCs w:val="21"/>
        </w:rPr>
        <w:t>图1 森保专业风采</w:t>
      </w:r>
    </w:p>
    <w:p/>
    <w:p>
      <w:pPr>
        <w:pStyle w:val="5"/>
        <w:spacing w:before="93" w:after="93"/>
        <w:ind w:firstLine="560"/>
      </w:pPr>
      <w:r>
        <w:t>五、培养质量（毕业生就业率、就业专业对口率、毕业生发展情况、就业单位满意率、社会对专业的评价、学生就读该专业的意愿等）</w:t>
      </w:r>
    </w:p>
    <w:p>
      <w:pPr>
        <w:ind w:firstLine="480"/>
        <w:rPr>
          <w:rFonts w:eastAsia="黑体"/>
        </w:rPr>
      </w:pPr>
      <w:r>
        <w:rPr>
          <w:rFonts w:eastAsia="黑体"/>
        </w:rPr>
        <w:t>1. 毕业生生源地结构</w:t>
      </w:r>
    </w:p>
    <w:p>
      <w:pPr>
        <w:ind w:firstLine="480"/>
      </w:pPr>
      <w:r>
        <w:t xml:space="preserve">本专业2022届毕业生共计24人，其中男生10人，占41.67%，女生14人，占58.33%；全为省外生源。省外生源主要集中在云南省、贵州省、甘肃省等。从民族结构看，2022届毕业生以汉族为主，共17人，占70.83%；少数民族共7人，占29.17%。   </w:t>
      </w:r>
    </w:p>
    <w:p>
      <w:pPr>
        <w:spacing w:line="240" w:lineRule="auto"/>
        <w:jc w:val="center"/>
        <w:rPr>
          <w:b/>
          <w:bCs/>
          <w:sz w:val="21"/>
          <w:szCs w:val="21"/>
        </w:rPr>
      </w:pPr>
      <w:r>
        <w:rPr>
          <w:b/>
          <w:bCs/>
          <w:sz w:val="21"/>
          <w:szCs w:val="21"/>
        </w:rPr>
        <w:t>表3. 森林保护专业2022届本科毕业生生源情况统计表</w:t>
      </w:r>
    </w:p>
    <w:tbl>
      <w:tblPr>
        <w:tblStyle w:val="40"/>
        <w:tblW w:w="504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1133"/>
        <w:gridCol w:w="1131"/>
        <w:gridCol w:w="1133"/>
        <w:gridCol w:w="1133"/>
        <w:gridCol w:w="1131"/>
        <w:gridCol w:w="1133"/>
        <w:gridCol w:w="12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jc w:val="center"/>
        </w:trPr>
        <w:tc>
          <w:tcPr>
            <w:tcW w:w="617" w:type="pct"/>
            <w:vAlign w:val="center"/>
          </w:tcPr>
          <w:p>
            <w:pPr>
              <w:spacing w:line="240" w:lineRule="auto"/>
              <w:jc w:val="center"/>
              <w:rPr>
                <w:b/>
                <w:bCs/>
                <w:sz w:val="21"/>
                <w:szCs w:val="21"/>
              </w:rPr>
            </w:pPr>
            <w:r>
              <w:rPr>
                <w:b/>
                <w:bCs/>
                <w:sz w:val="21"/>
                <w:szCs w:val="21"/>
              </w:rPr>
              <w:t>专业名称</w:t>
            </w:r>
          </w:p>
        </w:tc>
        <w:tc>
          <w:tcPr>
            <w:tcW w:w="619" w:type="pct"/>
            <w:vAlign w:val="center"/>
          </w:tcPr>
          <w:p>
            <w:pPr>
              <w:spacing w:line="240" w:lineRule="auto"/>
              <w:jc w:val="center"/>
              <w:rPr>
                <w:b/>
                <w:bCs/>
                <w:sz w:val="21"/>
                <w:szCs w:val="21"/>
              </w:rPr>
            </w:pPr>
            <w:r>
              <w:rPr>
                <w:b/>
                <w:bCs/>
                <w:sz w:val="21"/>
                <w:szCs w:val="21"/>
              </w:rPr>
              <w:t>生源人数</w:t>
            </w:r>
          </w:p>
        </w:tc>
        <w:tc>
          <w:tcPr>
            <w:tcW w:w="618" w:type="pct"/>
            <w:vAlign w:val="center"/>
          </w:tcPr>
          <w:p>
            <w:pPr>
              <w:spacing w:line="240" w:lineRule="auto"/>
              <w:jc w:val="center"/>
              <w:rPr>
                <w:b/>
                <w:bCs/>
                <w:sz w:val="21"/>
                <w:szCs w:val="21"/>
              </w:rPr>
            </w:pPr>
            <w:r>
              <w:rPr>
                <w:b/>
                <w:bCs/>
                <w:sz w:val="21"/>
                <w:szCs w:val="21"/>
              </w:rPr>
              <w:t>男生数</w:t>
            </w:r>
          </w:p>
          <w:p>
            <w:pPr>
              <w:spacing w:line="240" w:lineRule="auto"/>
              <w:jc w:val="center"/>
              <w:rPr>
                <w:b/>
                <w:bCs/>
                <w:sz w:val="21"/>
                <w:szCs w:val="21"/>
              </w:rPr>
            </w:pPr>
            <w:r>
              <w:rPr>
                <w:b/>
                <w:bCs/>
                <w:sz w:val="21"/>
                <w:szCs w:val="21"/>
              </w:rPr>
              <w:t>（比例）</w:t>
            </w:r>
          </w:p>
        </w:tc>
        <w:tc>
          <w:tcPr>
            <w:tcW w:w="619" w:type="pct"/>
            <w:vAlign w:val="center"/>
          </w:tcPr>
          <w:p>
            <w:pPr>
              <w:spacing w:line="240" w:lineRule="auto"/>
              <w:jc w:val="center"/>
              <w:rPr>
                <w:b/>
                <w:bCs/>
                <w:sz w:val="21"/>
                <w:szCs w:val="21"/>
              </w:rPr>
            </w:pPr>
            <w:r>
              <w:rPr>
                <w:b/>
                <w:bCs/>
                <w:sz w:val="21"/>
                <w:szCs w:val="21"/>
              </w:rPr>
              <w:t>女生数</w:t>
            </w:r>
          </w:p>
          <w:p>
            <w:pPr>
              <w:spacing w:line="240" w:lineRule="auto"/>
              <w:jc w:val="center"/>
              <w:rPr>
                <w:b/>
                <w:bCs/>
                <w:sz w:val="21"/>
                <w:szCs w:val="21"/>
              </w:rPr>
            </w:pPr>
            <w:r>
              <w:rPr>
                <w:b/>
                <w:bCs/>
                <w:sz w:val="21"/>
                <w:szCs w:val="21"/>
              </w:rPr>
              <w:t>（比例）</w:t>
            </w:r>
          </w:p>
        </w:tc>
        <w:tc>
          <w:tcPr>
            <w:tcW w:w="619" w:type="pct"/>
            <w:vAlign w:val="center"/>
          </w:tcPr>
          <w:p>
            <w:pPr>
              <w:spacing w:line="240" w:lineRule="auto"/>
              <w:jc w:val="center"/>
              <w:rPr>
                <w:b/>
                <w:bCs/>
                <w:sz w:val="21"/>
                <w:szCs w:val="21"/>
              </w:rPr>
            </w:pPr>
            <w:r>
              <w:rPr>
                <w:b/>
                <w:bCs/>
                <w:sz w:val="21"/>
                <w:szCs w:val="21"/>
              </w:rPr>
              <w:t>省内人数</w:t>
            </w:r>
          </w:p>
          <w:p>
            <w:pPr>
              <w:spacing w:line="240" w:lineRule="auto"/>
              <w:jc w:val="center"/>
              <w:rPr>
                <w:b/>
                <w:bCs/>
                <w:sz w:val="21"/>
                <w:szCs w:val="21"/>
              </w:rPr>
            </w:pPr>
            <w:r>
              <w:rPr>
                <w:b/>
                <w:bCs/>
                <w:sz w:val="21"/>
                <w:szCs w:val="21"/>
              </w:rPr>
              <w:t>（比例）</w:t>
            </w:r>
          </w:p>
        </w:tc>
        <w:tc>
          <w:tcPr>
            <w:tcW w:w="618" w:type="pct"/>
            <w:vAlign w:val="center"/>
          </w:tcPr>
          <w:p>
            <w:pPr>
              <w:spacing w:line="240" w:lineRule="auto"/>
              <w:jc w:val="center"/>
              <w:rPr>
                <w:b/>
                <w:bCs/>
                <w:sz w:val="21"/>
                <w:szCs w:val="21"/>
              </w:rPr>
            </w:pPr>
            <w:r>
              <w:rPr>
                <w:b/>
                <w:bCs/>
                <w:sz w:val="21"/>
                <w:szCs w:val="21"/>
              </w:rPr>
              <w:t>省外人数</w:t>
            </w:r>
          </w:p>
          <w:p>
            <w:pPr>
              <w:spacing w:line="240" w:lineRule="auto"/>
              <w:jc w:val="center"/>
              <w:rPr>
                <w:b/>
                <w:bCs/>
                <w:sz w:val="21"/>
                <w:szCs w:val="21"/>
              </w:rPr>
            </w:pPr>
            <w:r>
              <w:rPr>
                <w:b/>
                <w:bCs/>
                <w:sz w:val="21"/>
                <w:szCs w:val="21"/>
              </w:rPr>
              <w:t>（比例）</w:t>
            </w:r>
          </w:p>
        </w:tc>
        <w:tc>
          <w:tcPr>
            <w:tcW w:w="619" w:type="pct"/>
            <w:vAlign w:val="center"/>
          </w:tcPr>
          <w:p>
            <w:pPr>
              <w:spacing w:line="240" w:lineRule="auto"/>
              <w:jc w:val="center"/>
              <w:rPr>
                <w:b/>
                <w:bCs/>
                <w:sz w:val="21"/>
                <w:szCs w:val="21"/>
              </w:rPr>
            </w:pPr>
            <w:r>
              <w:rPr>
                <w:b/>
                <w:bCs/>
                <w:sz w:val="21"/>
                <w:szCs w:val="21"/>
              </w:rPr>
              <w:t>汉族人数</w:t>
            </w:r>
          </w:p>
          <w:p>
            <w:pPr>
              <w:spacing w:line="240" w:lineRule="auto"/>
              <w:jc w:val="center"/>
              <w:rPr>
                <w:b/>
                <w:bCs/>
                <w:sz w:val="21"/>
                <w:szCs w:val="21"/>
              </w:rPr>
            </w:pPr>
            <w:r>
              <w:rPr>
                <w:b/>
                <w:bCs/>
                <w:sz w:val="21"/>
                <w:szCs w:val="21"/>
              </w:rPr>
              <w:t>（比例）</w:t>
            </w:r>
          </w:p>
        </w:tc>
        <w:tc>
          <w:tcPr>
            <w:tcW w:w="666" w:type="pct"/>
            <w:vAlign w:val="center"/>
          </w:tcPr>
          <w:p>
            <w:pPr>
              <w:spacing w:line="240" w:lineRule="auto"/>
              <w:jc w:val="center"/>
              <w:rPr>
                <w:b/>
                <w:bCs/>
                <w:sz w:val="21"/>
                <w:szCs w:val="21"/>
              </w:rPr>
            </w:pPr>
            <w:r>
              <w:rPr>
                <w:b/>
                <w:bCs/>
                <w:sz w:val="21"/>
                <w:szCs w:val="21"/>
              </w:rPr>
              <w:t>少数民族</w:t>
            </w:r>
          </w:p>
          <w:p>
            <w:pPr>
              <w:spacing w:line="240" w:lineRule="auto"/>
              <w:jc w:val="center"/>
              <w:rPr>
                <w:b/>
                <w:bCs/>
                <w:sz w:val="21"/>
                <w:szCs w:val="21"/>
              </w:rPr>
            </w:pPr>
            <w:r>
              <w:rPr>
                <w:b/>
                <w:bCs/>
                <w:sz w:val="21"/>
                <w:szCs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617" w:type="pct"/>
            <w:vAlign w:val="center"/>
          </w:tcPr>
          <w:p>
            <w:pPr>
              <w:spacing w:line="240" w:lineRule="auto"/>
              <w:jc w:val="center"/>
              <w:rPr>
                <w:sz w:val="21"/>
                <w:szCs w:val="21"/>
              </w:rPr>
            </w:pPr>
            <w:r>
              <w:rPr>
                <w:sz w:val="21"/>
                <w:szCs w:val="21"/>
              </w:rPr>
              <w:t>森林保护</w:t>
            </w:r>
          </w:p>
        </w:tc>
        <w:tc>
          <w:tcPr>
            <w:tcW w:w="619" w:type="pct"/>
            <w:vAlign w:val="center"/>
          </w:tcPr>
          <w:p>
            <w:pPr>
              <w:spacing w:line="240" w:lineRule="auto"/>
              <w:jc w:val="center"/>
              <w:rPr>
                <w:sz w:val="21"/>
                <w:szCs w:val="21"/>
              </w:rPr>
            </w:pPr>
            <w:r>
              <w:rPr>
                <w:sz w:val="21"/>
                <w:szCs w:val="21"/>
              </w:rPr>
              <w:t>24</w:t>
            </w:r>
          </w:p>
        </w:tc>
        <w:tc>
          <w:tcPr>
            <w:tcW w:w="618" w:type="pct"/>
            <w:vAlign w:val="center"/>
          </w:tcPr>
          <w:p>
            <w:pPr>
              <w:spacing w:line="240" w:lineRule="auto"/>
              <w:jc w:val="center"/>
              <w:rPr>
                <w:sz w:val="21"/>
                <w:szCs w:val="21"/>
              </w:rPr>
            </w:pPr>
            <w:r>
              <w:rPr>
                <w:sz w:val="21"/>
                <w:szCs w:val="21"/>
              </w:rPr>
              <w:t>(41.67%)</w:t>
            </w:r>
          </w:p>
        </w:tc>
        <w:tc>
          <w:tcPr>
            <w:tcW w:w="619" w:type="pct"/>
            <w:vAlign w:val="center"/>
          </w:tcPr>
          <w:p>
            <w:pPr>
              <w:spacing w:line="240" w:lineRule="auto"/>
              <w:jc w:val="center"/>
              <w:rPr>
                <w:sz w:val="21"/>
                <w:szCs w:val="21"/>
              </w:rPr>
            </w:pPr>
            <w:r>
              <w:rPr>
                <w:sz w:val="21"/>
                <w:szCs w:val="21"/>
              </w:rPr>
              <w:t>(58.33%)</w:t>
            </w:r>
          </w:p>
        </w:tc>
        <w:tc>
          <w:tcPr>
            <w:tcW w:w="619" w:type="pct"/>
            <w:vAlign w:val="center"/>
          </w:tcPr>
          <w:p>
            <w:pPr>
              <w:spacing w:line="240" w:lineRule="auto"/>
              <w:jc w:val="center"/>
              <w:rPr>
                <w:sz w:val="21"/>
                <w:szCs w:val="21"/>
              </w:rPr>
            </w:pPr>
            <w:r>
              <w:rPr>
                <w:sz w:val="21"/>
                <w:szCs w:val="21"/>
              </w:rPr>
              <w:t>(0%)</w:t>
            </w:r>
          </w:p>
        </w:tc>
        <w:tc>
          <w:tcPr>
            <w:tcW w:w="618" w:type="pct"/>
            <w:vAlign w:val="center"/>
          </w:tcPr>
          <w:p>
            <w:pPr>
              <w:spacing w:line="240" w:lineRule="auto"/>
              <w:jc w:val="center"/>
              <w:rPr>
                <w:sz w:val="21"/>
                <w:szCs w:val="21"/>
              </w:rPr>
            </w:pPr>
            <w:r>
              <w:rPr>
                <w:sz w:val="21"/>
                <w:szCs w:val="21"/>
              </w:rPr>
              <w:t>(100%)</w:t>
            </w:r>
          </w:p>
        </w:tc>
        <w:tc>
          <w:tcPr>
            <w:tcW w:w="619" w:type="pct"/>
            <w:vAlign w:val="center"/>
          </w:tcPr>
          <w:p>
            <w:pPr>
              <w:spacing w:line="240" w:lineRule="auto"/>
              <w:jc w:val="center"/>
              <w:rPr>
                <w:sz w:val="21"/>
                <w:szCs w:val="21"/>
              </w:rPr>
            </w:pPr>
            <w:r>
              <w:rPr>
                <w:sz w:val="21"/>
                <w:szCs w:val="21"/>
              </w:rPr>
              <w:t>(70.83%)</w:t>
            </w:r>
          </w:p>
        </w:tc>
        <w:tc>
          <w:tcPr>
            <w:tcW w:w="666" w:type="pct"/>
            <w:vAlign w:val="center"/>
          </w:tcPr>
          <w:p>
            <w:pPr>
              <w:spacing w:line="240" w:lineRule="auto"/>
              <w:jc w:val="center"/>
              <w:rPr>
                <w:sz w:val="21"/>
                <w:szCs w:val="21"/>
              </w:rPr>
            </w:pPr>
            <w:r>
              <w:rPr>
                <w:sz w:val="21"/>
                <w:szCs w:val="21"/>
              </w:rPr>
              <w:t>(29.17%)</w:t>
            </w:r>
          </w:p>
        </w:tc>
      </w:tr>
    </w:tbl>
    <w:p>
      <w:pPr>
        <w:ind w:firstLine="482"/>
        <w:rPr>
          <w:rFonts w:eastAsia="黑体"/>
        </w:rPr>
      </w:pPr>
      <w:r>
        <w:rPr>
          <w:rFonts w:eastAsia="黑体"/>
        </w:rPr>
        <w:t>2. 毕业生就业状况</w:t>
      </w:r>
    </w:p>
    <w:p>
      <w:pPr>
        <w:ind w:firstLine="482"/>
        <w:rPr>
          <w:color w:val="000000"/>
          <w:kern w:val="0"/>
          <w:szCs w:val="24"/>
        </w:rPr>
      </w:pPr>
      <w:bookmarkStart w:id="110" w:name="_Hlk33560248"/>
      <w:r>
        <w:rPr>
          <w:color w:val="000000"/>
          <w:kern w:val="0"/>
          <w:szCs w:val="24"/>
        </w:rPr>
        <w:t>森林保护专业2022届本科毕业生共24人，考研率为</w:t>
      </w:r>
      <w:r>
        <w:rPr>
          <w:szCs w:val="24"/>
        </w:rPr>
        <w:t>54.17%，</w:t>
      </w:r>
      <w:r>
        <w:rPr>
          <w:color w:val="000000"/>
          <w:kern w:val="0"/>
          <w:szCs w:val="24"/>
        </w:rPr>
        <w:t>专业总体就业率为70.83%。</w:t>
      </w:r>
    </w:p>
    <w:p>
      <w:pPr>
        <w:ind w:firstLine="482"/>
        <w:jc w:val="left"/>
        <w:rPr>
          <w:szCs w:val="24"/>
        </w:rPr>
      </w:pPr>
      <w:r>
        <w:rPr>
          <w:szCs w:val="24"/>
        </w:rPr>
        <w:t>招收研究生和用人单位普遍认为本校森林保护专业的毕业生理论基础扎实、专业素质高、动手能力强，思路好、发展后劲足。招生研究生的高校和科研单位，对我校培养的森保本科毕业生青睐有加。且该专业一直有着</w:t>
      </w:r>
      <w:r>
        <w:rPr>
          <w:color w:val="000000"/>
          <w:kern w:val="0"/>
          <w:szCs w:val="24"/>
        </w:rPr>
        <w:t>团结活泼、奋发向上的良好学风和文化氛围。</w:t>
      </w:r>
    </w:p>
    <w:p>
      <w:pPr>
        <w:ind w:firstLine="482"/>
        <w:jc w:val="left"/>
        <w:rPr>
          <w:szCs w:val="24"/>
        </w:rPr>
      </w:pPr>
      <w:r>
        <w:rPr>
          <w:szCs w:val="24"/>
        </w:rPr>
        <w:t>具体情况统计如下：</w:t>
      </w:r>
    </w:p>
    <w:p>
      <w:pPr>
        <w:spacing w:line="240" w:lineRule="auto"/>
        <w:jc w:val="center"/>
        <w:rPr>
          <w:b/>
          <w:bCs/>
          <w:sz w:val="21"/>
          <w:szCs w:val="21"/>
        </w:rPr>
      </w:pPr>
      <w:r>
        <w:rPr>
          <w:b/>
          <w:bCs/>
          <w:sz w:val="21"/>
          <w:szCs w:val="21"/>
        </w:rPr>
        <w:t>表4  森林保护专业2022届本科毕业生就业基本情况统计表</w:t>
      </w:r>
    </w:p>
    <w:tbl>
      <w:tblPr>
        <w:tblStyle w:val="1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2"/>
        <w:gridCol w:w="1096"/>
        <w:gridCol w:w="900"/>
        <w:gridCol w:w="1170"/>
        <w:gridCol w:w="1065"/>
        <w:gridCol w:w="1800"/>
        <w:gridCol w:w="17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exact"/>
          <w:jc w:val="center"/>
        </w:trPr>
        <w:tc>
          <w:tcPr>
            <w:tcW w:w="713" w:type="pct"/>
            <w:vAlign w:val="center"/>
          </w:tcPr>
          <w:p>
            <w:pPr>
              <w:spacing w:line="240" w:lineRule="auto"/>
              <w:jc w:val="center"/>
              <w:rPr>
                <w:b/>
                <w:bCs/>
                <w:sz w:val="21"/>
                <w:szCs w:val="21"/>
              </w:rPr>
            </w:pPr>
            <w:r>
              <w:rPr>
                <w:b/>
                <w:bCs/>
                <w:sz w:val="21"/>
                <w:szCs w:val="21"/>
              </w:rPr>
              <w:t>专业名称</w:t>
            </w:r>
          </w:p>
        </w:tc>
        <w:tc>
          <w:tcPr>
            <w:tcW w:w="605" w:type="pct"/>
            <w:vAlign w:val="center"/>
          </w:tcPr>
          <w:p>
            <w:pPr>
              <w:spacing w:line="240" w:lineRule="auto"/>
              <w:jc w:val="center"/>
              <w:rPr>
                <w:b/>
                <w:bCs/>
                <w:sz w:val="21"/>
                <w:szCs w:val="21"/>
              </w:rPr>
            </w:pPr>
            <w:r>
              <w:rPr>
                <w:b/>
                <w:bCs/>
                <w:sz w:val="21"/>
                <w:szCs w:val="21"/>
              </w:rPr>
              <w:t>毕业人数</w:t>
            </w:r>
          </w:p>
        </w:tc>
        <w:tc>
          <w:tcPr>
            <w:tcW w:w="497" w:type="pct"/>
            <w:vAlign w:val="center"/>
          </w:tcPr>
          <w:p>
            <w:pPr>
              <w:spacing w:line="240" w:lineRule="auto"/>
              <w:jc w:val="center"/>
              <w:rPr>
                <w:b/>
                <w:bCs/>
                <w:sz w:val="21"/>
                <w:szCs w:val="21"/>
              </w:rPr>
            </w:pPr>
            <w:r>
              <w:rPr>
                <w:b/>
                <w:bCs/>
                <w:sz w:val="21"/>
                <w:szCs w:val="21"/>
              </w:rPr>
              <w:t>考研</w:t>
            </w:r>
          </w:p>
        </w:tc>
        <w:tc>
          <w:tcPr>
            <w:tcW w:w="646" w:type="pct"/>
            <w:vAlign w:val="center"/>
          </w:tcPr>
          <w:p>
            <w:pPr>
              <w:spacing w:line="240" w:lineRule="auto"/>
              <w:jc w:val="center"/>
              <w:rPr>
                <w:b/>
                <w:bCs/>
                <w:sz w:val="21"/>
                <w:szCs w:val="21"/>
              </w:rPr>
            </w:pPr>
            <w:r>
              <w:rPr>
                <w:b/>
                <w:bCs/>
                <w:sz w:val="21"/>
                <w:szCs w:val="21"/>
              </w:rPr>
              <w:t>其它形式</w:t>
            </w:r>
          </w:p>
        </w:tc>
        <w:tc>
          <w:tcPr>
            <w:tcW w:w="588" w:type="pct"/>
            <w:vAlign w:val="center"/>
          </w:tcPr>
          <w:p>
            <w:pPr>
              <w:spacing w:line="240" w:lineRule="auto"/>
              <w:jc w:val="center"/>
              <w:rPr>
                <w:b/>
                <w:bCs/>
                <w:sz w:val="21"/>
                <w:szCs w:val="21"/>
              </w:rPr>
            </w:pPr>
            <w:r>
              <w:rPr>
                <w:b/>
                <w:bCs/>
                <w:sz w:val="21"/>
                <w:szCs w:val="21"/>
              </w:rPr>
              <w:t>协议就业</w:t>
            </w:r>
          </w:p>
        </w:tc>
        <w:tc>
          <w:tcPr>
            <w:tcW w:w="993" w:type="pct"/>
            <w:vAlign w:val="center"/>
          </w:tcPr>
          <w:p>
            <w:pPr>
              <w:spacing w:line="240" w:lineRule="auto"/>
              <w:jc w:val="center"/>
              <w:rPr>
                <w:b/>
                <w:bCs/>
                <w:sz w:val="21"/>
                <w:szCs w:val="21"/>
              </w:rPr>
            </w:pPr>
            <w:r>
              <w:rPr>
                <w:b/>
                <w:bCs/>
                <w:sz w:val="21"/>
                <w:szCs w:val="21"/>
              </w:rPr>
              <w:t>专业考研率（%）</w:t>
            </w:r>
          </w:p>
        </w:tc>
        <w:tc>
          <w:tcPr>
            <w:tcW w:w="955" w:type="pct"/>
            <w:vAlign w:val="center"/>
          </w:tcPr>
          <w:p>
            <w:pPr>
              <w:spacing w:line="240" w:lineRule="auto"/>
              <w:jc w:val="center"/>
              <w:rPr>
                <w:b/>
                <w:bCs/>
                <w:sz w:val="21"/>
                <w:szCs w:val="21"/>
              </w:rPr>
            </w:pPr>
            <w:r>
              <w:rPr>
                <w:b/>
                <w:bCs/>
                <w:sz w:val="21"/>
                <w:szCs w:val="21"/>
              </w:rPr>
              <w:t>专业总体就业率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713" w:type="pct"/>
            <w:vAlign w:val="center"/>
          </w:tcPr>
          <w:p>
            <w:pPr>
              <w:spacing w:line="240" w:lineRule="auto"/>
              <w:jc w:val="center"/>
              <w:rPr>
                <w:sz w:val="21"/>
                <w:szCs w:val="21"/>
              </w:rPr>
            </w:pPr>
            <w:r>
              <w:rPr>
                <w:sz w:val="21"/>
                <w:szCs w:val="21"/>
              </w:rPr>
              <w:t>森保</w:t>
            </w:r>
          </w:p>
        </w:tc>
        <w:tc>
          <w:tcPr>
            <w:tcW w:w="605" w:type="pct"/>
            <w:vAlign w:val="center"/>
          </w:tcPr>
          <w:p>
            <w:pPr>
              <w:spacing w:line="240" w:lineRule="auto"/>
              <w:jc w:val="center"/>
              <w:rPr>
                <w:sz w:val="21"/>
                <w:szCs w:val="21"/>
              </w:rPr>
            </w:pPr>
            <w:r>
              <w:rPr>
                <w:sz w:val="21"/>
                <w:szCs w:val="21"/>
              </w:rPr>
              <w:t>24</w:t>
            </w:r>
          </w:p>
        </w:tc>
        <w:tc>
          <w:tcPr>
            <w:tcW w:w="497" w:type="pct"/>
            <w:vAlign w:val="center"/>
          </w:tcPr>
          <w:p>
            <w:pPr>
              <w:spacing w:line="240" w:lineRule="auto"/>
              <w:jc w:val="center"/>
              <w:rPr>
                <w:sz w:val="21"/>
                <w:szCs w:val="21"/>
              </w:rPr>
            </w:pPr>
            <w:r>
              <w:rPr>
                <w:sz w:val="21"/>
                <w:szCs w:val="21"/>
              </w:rPr>
              <w:t>13</w:t>
            </w:r>
          </w:p>
        </w:tc>
        <w:tc>
          <w:tcPr>
            <w:tcW w:w="646" w:type="pct"/>
            <w:vAlign w:val="center"/>
          </w:tcPr>
          <w:p>
            <w:pPr>
              <w:spacing w:line="240" w:lineRule="auto"/>
              <w:jc w:val="center"/>
              <w:rPr>
                <w:sz w:val="21"/>
                <w:szCs w:val="21"/>
              </w:rPr>
            </w:pPr>
            <w:r>
              <w:rPr>
                <w:sz w:val="21"/>
                <w:szCs w:val="21"/>
              </w:rPr>
              <w:t>6</w:t>
            </w:r>
          </w:p>
        </w:tc>
        <w:tc>
          <w:tcPr>
            <w:tcW w:w="588" w:type="pct"/>
            <w:vAlign w:val="center"/>
          </w:tcPr>
          <w:p>
            <w:pPr>
              <w:spacing w:line="240" w:lineRule="auto"/>
              <w:jc w:val="center"/>
              <w:rPr>
                <w:sz w:val="21"/>
                <w:szCs w:val="21"/>
              </w:rPr>
            </w:pPr>
            <w:r>
              <w:rPr>
                <w:sz w:val="21"/>
                <w:szCs w:val="21"/>
              </w:rPr>
              <w:t>2</w:t>
            </w:r>
          </w:p>
        </w:tc>
        <w:tc>
          <w:tcPr>
            <w:tcW w:w="993" w:type="pct"/>
            <w:vAlign w:val="center"/>
          </w:tcPr>
          <w:p>
            <w:pPr>
              <w:spacing w:line="240" w:lineRule="auto"/>
              <w:jc w:val="center"/>
              <w:rPr>
                <w:sz w:val="21"/>
                <w:szCs w:val="21"/>
              </w:rPr>
            </w:pPr>
            <w:r>
              <w:rPr>
                <w:sz w:val="21"/>
                <w:szCs w:val="21"/>
              </w:rPr>
              <w:t>54.17%</w:t>
            </w:r>
          </w:p>
        </w:tc>
        <w:tc>
          <w:tcPr>
            <w:tcW w:w="955" w:type="pct"/>
            <w:vAlign w:val="center"/>
          </w:tcPr>
          <w:p>
            <w:pPr>
              <w:spacing w:line="240" w:lineRule="auto"/>
              <w:jc w:val="center"/>
              <w:rPr>
                <w:sz w:val="21"/>
                <w:szCs w:val="21"/>
              </w:rPr>
            </w:pPr>
            <w:r>
              <w:rPr>
                <w:sz w:val="21"/>
                <w:szCs w:val="21"/>
              </w:rPr>
              <w:t>87.5%</w:t>
            </w:r>
          </w:p>
        </w:tc>
      </w:tr>
      <w:bookmarkEnd w:id="110"/>
    </w:tbl>
    <w:p>
      <w:pPr>
        <w:spacing w:line="240" w:lineRule="auto"/>
        <w:jc w:val="center"/>
        <w:rPr>
          <w:b/>
          <w:bCs/>
          <w:sz w:val="21"/>
          <w:szCs w:val="21"/>
        </w:rPr>
      </w:pPr>
    </w:p>
    <w:p>
      <w:pPr>
        <w:spacing w:line="240" w:lineRule="auto"/>
        <w:jc w:val="center"/>
        <w:rPr>
          <w:b/>
          <w:bCs/>
          <w:sz w:val="21"/>
          <w:szCs w:val="21"/>
        </w:rPr>
      </w:pPr>
      <w:r>
        <w:rPr>
          <w:b/>
          <w:bCs/>
          <w:sz w:val="21"/>
          <w:szCs w:val="21"/>
        </w:rPr>
        <w:t>表5森林保护专业2022届本科毕业生就业方式统计表</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8"/>
        <w:gridCol w:w="1281"/>
        <w:gridCol w:w="1200"/>
        <w:gridCol w:w="1635"/>
        <w:gridCol w:w="1995"/>
        <w:gridCol w:w="14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832" w:type="pct"/>
            <w:shd w:val="clear" w:color="auto" w:fill="auto"/>
            <w:vAlign w:val="center"/>
          </w:tcPr>
          <w:p>
            <w:pPr>
              <w:spacing w:line="240" w:lineRule="auto"/>
              <w:jc w:val="center"/>
              <w:rPr>
                <w:b/>
                <w:bCs/>
                <w:sz w:val="21"/>
                <w:szCs w:val="21"/>
              </w:rPr>
            </w:pPr>
            <w:r>
              <w:rPr>
                <w:b/>
                <w:bCs/>
                <w:sz w:val="21"/>
                <w:szCs w:val="21"/>
              </w:rPr>
              <w:t>就业方式</w:t>
            </w:r>
          </w:p>
        </w:tc>
        <w:tc>
          <w:tcPr>
            <w:tcW w:w="707" w:type="pct"/>
            <w:shd w:val="clear" w:color="auto" w:fill="auto"/>
            <w:vAlign w:val="center"/>
          </w:tcPr>
          <w:p>
            <w:pPr>
              <w:spacing w:line="240" w:lineRule="auto"/>
              <w:jc w:val="center"/>
              <w:rPr>
                <w:b/>
                <w:bCs/>
                <w:sz w:val="21"/>
                <w:szCs w:val="21"/>
              </w:rPr>
            </w:pPr>
            <w:r>
              <w:rPr>
                <w:b/>
                <w:bCs/>
                <w:sz w:val="21"/>
                <w:szCs w:val="21"/>
              </w:rPr>
              <w:t>国内升学</w:t>
            </w:r>
          </w:p>
        </w:tc>
        <w:tc>
          <w:tcPr>
            <w:tcW w:w="662" w:type="pct"/>
            <w:shd w:val="clear" w:color="auto" w:fill="auto"/>
            <w:vAlign w:val="center"/>
          </w:tcPr>
          <w:p>
            <w:pPr>
              <w:spacing w:line="240" w:lineRule="auto"/>
              <w:jc w:val="center"/>
              <w:rPr>
                <w:b/>
                <w:bCs/>
                <w:sz w:val="21"/>
                <w:szCs w:val="21"/>
              </w:rPr>
            </w:pPr>
            <w:r>
              <w:rPr>
                <w:b/>
                <w:bCs/>
                <w:sz w:val="21"/>
                <w:szCs w:val="21"/>
              </w:rPr>
              <w:t>协议就业</w:t>
            </w:r>
          </w:p>
        </w:tc>
        <w:tc>
          <w:tcPr>
            <w:tcW w:w="902" w:type="pct"/>
            <w:shd w:val="clear" w:color="auto" w:fill="auto"/>
            <w:vAlign w:val="center"/>
          </w:tcPr>
          <w:p>
            <w:pPr>
              <w:spacing w:line="240" w:lineRule="auto"/>
              <w:jc w:val="center"/>
              <w:rPr>
                <w:b/>
                <w:bCs/>
                <w:sz w:val="21"/>
                <w:szCs w:val="21"/>
              </w:rPr>
            </w:pPr>
            <w:r>
              <w:rPr>
                <w:b/>
                <w:bCs/>
                <w:sz w:val="21"/>
                <w:szCs w:val="21"/>
              </w:rPr>
              <w:t>劳动合同就业</w:t>
            </w:r>
          </w:p>
        </w:tc>
        <w:tc>
          <w:tcPr>
            <w:tcW w:w="1101" w:type="pct"/>
            <w:shd w:val="clear" w:color="auto" w:fill="auto"/>
            <w:vAlign w:val="center"/>
          </w:tcPr>
          <w:p>
            <w:pPr>
              <w:spacing w:line="240" w:lineRule="auto"/>
              <w:jc w:val="center"/>
              <w:rPr>
                <w:b/>
                <w:bCs/>
                <w:sz w:val="21"/>
                <w:szCs w:val="21"/>
              </w:rPr>
            </w:pPr>
            <w:r>
              <w:rPr>
                <w:b/>
                <w:bCs/>
                <w:sz w:val="21"/>
                <w:szCs w:val="21"/>
              </w:rPr>
              <w:t>其他录用形式就业</w:t>
            </w:r>
          </w:p>
        </w:tc>
        <w:tc>
          <w:tcPr>
            <w:tcW w:w="793" w:type="pct"/>
            <w:shd w:val="clear" w:color="auto" w:fill="auto"/>
            <w:vAlign w:val="center"/>
          </w:tcPr>
          <w:p>
            <w:pPr>
              <w:spacing w:line="240" w:lineRule="auto"/>
              <w:jc w:val="center"/>
              <w:rPr>
                <w:b/>
                <w:bCs/>
                <w:sz w:val="21"/>
                <w:szCs w:val="21"/>
              </w:rPr>
            </w:pPr>
            <w:r>
              <w:rPr>
                <w:b/>
                <w:bCs/>
                <w:sz w:val="21"/>
                <w:szCs w:val="21"/>
              </w:rPr>
              <w:t>自主创业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832" w:type="pct"/>
            <w:shd w:val="clear" w:color="auto" w:fill="auto"/>
            <w:vAlign w:val="center"/>
          </w:tcPr>
          <w:p>
            <w:pPr>
              <w:spacing w:line="240" w:lineRule="auto"/>
              <w:jc w:val="center"/>
              <w:rPr>
                <w:sz w:val="21"/>
                <w:szCs w:val="21"/>
              </w:rPr>
            </w:pPr>
            <w:r>
              <w:rPr>
                <w:sz w:val="21"/>
                <w:szCs w:val="21"/>
              </w:rPr>
              <w:t>人数（比例）</w:t>
            </w:r>
          </w:p>
        </w:tc>
        <w:tc>
          <w:tcPr>
            <w:tcW w:w="707" w:type="pct"/>
            <w:shd w:val="clear" w:color="auto" w:fill="auto"/>
            <w:vAlign w:val="center"/>
          </w:tcPr>
          <w:p>
            <w:pPr>
              <w:spacing w:line="240" w:lineRule="auto"/>
              <w:jc w:val="center"/>
              <w:rPr>
                <w:sz w:val="21"/>
                <w:szCs w:val="21"/>
              </w:rPr>
            </w:pPr>
            <w:r>
              <w:rPr>
                <w:sz w:val="21"/>
                <w:szCs w:val="21"/>
              </w:rPr>
              <w:t>54.17%</w:t>
            </w:r>
          </w:p>
        </w:tc>
        <w:tc>
          <w:tcPr>
            <w:tcW w:w="662" w:type="pct"/>
            <w:shd w:val="clear" w:color="auto" w:fill="auto"/>
            <w:vAlign w:val="center"/>
          </w:tcPr>
          <w:p>
            <w:pPr>
              <w:spacing w:line="240" w:lineRule="auto"/>
              <w:jc w:val="center"/>
              <w:rPr>
                <w:sz w:val="21"/>
                <w:szCs w:val="21"/>
              </w:rPr>
            </w:pPr>
            <w:r>
              <w:rPr>
                <w:sz w:val="21"/>
                <w:szCs w:val="21"/>
              </w:rPr>
              <w:t>5.88%</w:t>
            </w:r>
          </w:p>
        </w:tc>
        <w:tc>
          <w:tcPr>
            <w:tcW w:w="902" w:type="pct"/>
            <w:shd w:val="clear" w:color="auto" w:fill="auto"/>
            <w:vAlign w:val="center"/>
          </w:tcPr>
          <w:p>
            <w:pPr>
              <w:spacing w:line="240" w:lineRule="auto"/>
              <w:jc w:val="center"/>
              <w:rPr>
                <w:sz w:val="21"/>
                <w:szCs w:val="21"/>
              </w:rPr>
            </w:pPr>
            <w:r>
              <w:rPr>
                <w:sz w:val="21"/>
                <w:szCs w:val="21"/>
              </w:rPr>
              <w:t>0%</w:t>
            </w:r>
          </w:p>
        </w:tc>
        <w:tc>
          <w:tcPr>
            <w:tcW w:w="1101" w:type="pct"/>
            <w:shd w:val="clear" w:color="auto" w:fill="auto"/>
            <w:vAlign w:val="center"/>
          </w:tcPr>
          <w:p>
            <w:pPr>
              <w:spacing w:line="240" w:lineRule="auto"/>
              <w:jc w:val="center"/>
              <w:rPr>
                <w:sz w:val="21"/>
                <w:szCs w:val="21"/>
              </w:rPr>
            </w:pPr>
            <w:r>
              <w:rPr>
                <w:sz w:val="21"/>
                <w:szCs w:val="21"/>
              </w:rPr>
              <w:t>25.00%</w:t>
            </w:r>
          </w:p>
        </w:tc>
        <w:tc>
          <w:tcPr>
            <w:tcW w:w="793" w:type="pct"/>
            <w:shd w:val="clear" w:color="auto" w:fill="auto"/>
            <w:vAlign w:val="center"/>
          </w:tcPr>
          <w:p>
            <w:pPr>
              <w:spacing w:line="240" w:lineRule="auto"/>
              <w:jc w:val="center"/>
              <w:rPr>
                <w:sz w:val="21"/>
                <w:szCs w:val="21"/>
              </w:rPr>
            </w:pPr>
            <w:r>
              <w:rPr>
                <w:sz w:val="21"/>
                <w:szCs w:val="21"/>
              </w:rPr>
              <w:t>0%</w:t>
            </w:r>
          </w:p>
        </w:tc>
      </w:tr>
    </w:tbl>
    <w:p/>
    <w:p>
      <w:pPr>
        <w:ind w:firstLine="482"/>
        <w:rPr>
          <w:color w:val="000000"/>
          <w:kern w:val="0"/>
          <w:szCs w:val="24"/>
        </w:rPr>
      </w:pPr>
      <w:r>
        <w:rPr>
          <w:color w:val="000000"/>
          <w:kern w:val="0"/>
          <w:szCs w:val="24"/>
        </w:rPr>
        <w:t>已就业总人数，不包括升学、出国（境）、应征入伍等：毕业生就业24人，就业率为87.5%，其中男生7人就业，就业率为77.78%，女生就业14人，就业率为93.33%。毕业生留鲁就业5人，占已就业总人数的23.81%，全为泰安市就业。省外就业共16人，占90.48%，主要流向北京市、贵州省、湖北省等省份。</w:t>
      </w:r>
    </w:p>
    <w:p>
      <w:pPr>
        <w:spacing w:line="240" w:lineRule="auto"/>
        <w:jc w:val="center"/>
        <w:rPr>
          <w:b/>
          <w:bCs/>
          <w:sz w:val="21"/>
          <w:szCs w:val="21"/>
        </w:rPr>
      </w:pPr>
      <w:r>
        <w:rPr>
          <w:b/>
          <w:bCs/>
          <w:sz w:val="21"/>
          <w:szCs w:val="21"/>
        </w:rPr>
        <w:t>表6 森林保护专业2022届本科毕业生整体就业情况统计表</w:t>
      </w:r>
    </w:p>
    <w:tbl>
      <w:tblPr>
        <w:tblStyle w:val="4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1278"/>
        <w:gridCol w:w="1167"/>
        <w:gridCol w:w="1258"/>
        <w:gridCol w:w="932"/>
        <w:gridCol w:w="1575"/>
        <w:gridCol w:w="15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704" w:type="pct"/>
            <w:vAlign w:val="center"/>
          </w:tcPr>
          <w:p>
            <w:pPr>
              <w:spacing w:line="240" w:lineRule="auto"/>
              <w:jc w:val="center"/>
              <w:rPr>
                <w:b/>
                <w:bCs/>
                <w:sz w:val="21"/>
                <w:szCs w:val="21"/>
              </w:rPr>
            </w:pPr>
            <w:r>
              <w:rPr>
                <w:b/>
                <w:bCs/>
                <w:sz w:val="21"/>
                <w:szCs w:val="21"/>
              </w:rPr>
              <w:t>专业名称</w:t>
            </w:r>
          </w:p>
        </w:tc>
        <w:tc>
          <w:tcPr>
            <w:tcW w:w="705" w:type="pct"/>
            <w:vAlign w:val="center"/>
          </w:tcPr>
          <w:p>
            <w:pPr>
              <w:spacing w:line="240" w:lineRule="auto"/>
              <w:jc w:val="center"/>
              <w:rPr>
                <w:b/>
                <w:bCs/>
                <w:sz w:val="21"/>
                <w:szCs w:val="21"/>
              </w:rPr>
            </w:pPr>
            <w:r>
              <w:rPr>
                <w:b/>
                <w:bCs/>
                <w:sz w:val="21"/>
                <w:szCs w:val="21"/>
              </w:rPr>
              <w:t>就业人数</w:t>
            </w:r>
          </w:p>
        </w:tc>
        <w:tc>
          <w:tcPr>
            <w:tcW w:w="644" w:type="pct"/>
            <w:vAlign w:val="center"/>
          </w:tcPr>
          <w:p>
            <w:pPr>
              <w:spacing w:line="240" w:lineRule="auto"/>
              <w:jc w:val="center"/>
              <w:rPr>
                <w:b/>
                <w:bCs/>
                <w:sz w:val="21"/>
                <w:szCs w:val="21"/>
              </w:rPr>
            </w:pPr>
            <w:r>
              <w:rPr>
                <w:b/>
                <w:bCs/>
                <w:sz w:val="21"/>
                <w:szCs w:val="21"/>
              </w:rPr>
              <w:t>就业率</w:t>
            </w:r>
          </w:p>
        </w:tc>
        <w:tc>
          <w:tcPr>
            <w:tcW w:w="694" w:type="pct"/>
            <w:vAlign w:val="center"/>
          </w:tcPr>
          <w:p>
            <w:pPr>
              <w:spacing w:line="240" w:lineRule="auto"/>
              <w:jc w:val="center"/>
              <w:rPr>
                <w:b/>
                <w:bCs/>
                <w:sz w:val="21"/>
                <w:szCs w:val="21"/>
              </w:rPr>
            </w:pPr>
            <w:r>
              <w:rPr>
                <w:b/>
                <w:bCs/>
                <w:sz w:val="21"/>
                <w:szCs w:val="21"/>
              </w:rPr>
              <w:t xml:space="preserve">男生  </w:t>
            </w:r>
          </w:p>
          <w:p>
            <w:pPr>
              <w:spacing w:line="240" w:lineRule="auto"/>
              <w:jc w:val="center"/>
              <w:rPr>
                <w:b/>
                <w:bCs/>
                <w:sz w:val="21"/>
                <w:szCs w:val="21"/>
              </w:rPr>
            </w:pPr>
            <w:r>
              <w:rPr>
                <w:b/>
                <w:bCs/>
                <w:sz w:val="21"/>
                <w:szCs w:val="21"/>
              </w:rPr>
              <w:t xml:space="preserve">  就业率</w:t>
            </w:r>
          </w:p>
        </w:tc>
        <w:tc>
          <w:tcPr>
            <w:tcW w:w="514" w:type="pct"/>
            <w:vAlign w:val="center"/>
          </w:tcPr>
          <w:p>
            <w:pPr>
              <w:spacing w:line="240" w:lineRule="auto"/>
              <w:jc w:val="center"/>
              <w:rPr>
                <w:b/>
                <w:bCs/>
                <w:sz w:val="21"/>
                <w:szCs w:val="21"/>
              </w:rPr>
            </w:pPr>
            <w:r>
              <w:rPr>
                <w:b/>
                <w:bCs/>
                <w:sz w:val="21"/>
                <w:szCs w:val="21"/>
              </w:rPr>
              <w:t>女生</w:t>
            </w:r>
          </w:p>
          <w:p>
            <w:pPr>
              <w:spacing w:line="240" w:lineRule="auto"/>
              <w:jc w:val="center"/>
              <w:rPr>
                <w:b/>
                <w:bCs/>
                <w:sz w:val="21"/>
                <w:szCs w:val="21"/>
              </w:rPr>
            </w:pPr>
            <w:r>
              <w:rPr>
                <w:b/>
                <w:bCs/>
                <w:sz w:val="21"/>
                <w:szCs w:val="21"/>
              </w:rPr>
              <w:t>就业率</w:t>
            </w:r>
          </w:p>
        </w:tc>
        <w:tc>
          <w:tcPr>
            <w:tcW w:w="869" w:type="pct"/>
            <w:vAlign w:val="center"/>
          </w:tcPr>
          <w:p>
            <w:pPr>
              <w:spacing w:line="240" w:lineRule="auto"/>
              <w:jc w:val="center"/>
              <w:rPr>
                <w:b/>
                <w:bCs/>
                <w:sz w:val="21"/>
                <w:szCs w:val="21"/>
              </w:rPr>
            </w:pPr>
            <w:r>
              <w:rPr>
                <w:b/>
                <w:bCs/>
                <w:sz w:val="21"/>
                <w:szCs w:val="21"/>
              </w:rPr>
              <w:t>留鲁就业人数</w:t>
            </w:r>
          </w:p>
          <w:p>
            <w:pPr>
              <w:spacing w:line="240" w:lineRule="auto"/>
              <w:jc w:val="center"/>
              <w:rPr>
                <w:b/>
                <w:bCs/>
                <w:sz w:val="21"/>
                <w:szCs w:val="21"/>
              </w:rPr>
            </w:pPr>
            <w:r>
              <w:rPr>
                <w:b/>
                <w:bCs/>
                <w:sz w:val="21"/>
                <w:szCs w:val="21"/>
              </w:rPr>
              <w:t>（比例）</w:t>
            </w:r>
          </w:p>
        </w:tc>
        <w:tc>
          <w:tcPr>
            <w:tcW w:w="866" w:type="pct"/>
            <w:vAlign w:val="center"/>
          </w:tcPr>
          <w:p>
            <w:pPr>
              <w:spacing w:line="240" w:lineRule="auto"/>
              <w:jc w:val="center"/>
              <w:rPr>
                <w:b/>
                <w:bCs/>
                <w:sz w:val="21"/>
                <w:szCs w:val="21"/>
              </w:rPr>
            </w:pPr>
            <w:r>
              <w:rPr>
                <w:b/>
                <w:bCs/>
                <w:sz w:val="21"/>
                <w:szCs w:val="21"/>
              </w:rPr>
              <w:t>省外就业人数</w:t>
            </w:r>
          </w:p>
          <w:p>
            <w:pPr>
              <w:spacing w:line="240" w:lineRule="auto"/>
              <w:jc w:val="center"/>
              <w:rPr>
                <w:b/>
                <w:bCs/>
                <w:sz w:val="21"/>
                <w:szCs w:val="21"/>
              </w:rPr>
            </w:pPr>
            <w:r>
              <w:rPr>
                <w:b/>
                <w:bCs/>
                <w:sz w:val="21"/>
                <w:szCs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704" w:type="pct"/>
            <w:vAlign w:val="center"/>
          </w:tcPr>
          <w:p>
            <w:pPr>
              <w:spacing w:line="240" w:lineRule="auto"/>
              <w:jc w:val="center"/>
              <w:rPr>
                <w:sz w:val="21"/>
                <w:szCs w:val="21"/>
              </w:rPr>
            </w:pPr>
            <w:r>
              <w:rPr>
                <w:sz w:val="21"/>
                <w:szCs w:val="21"/>
              </w:rPr>
              <w:t>森林保护</w:t>
            </w:r>
          </w:p>
        </w:tc>
        <w:tc>
          <w:tcPr>
            <w:tcW w:w="705" w:type="pct"/>
            <w:vAlign w:val="center"/>
          </w:tcPr>
          <w:p>
            <w:pPr>
              <w:spacing w:line="240" w:lineRule="auto"/>
              <w:jc w:val="center"/>
              <w:rPr>
                <w:sz w:val="21"/>
                <w:szCs w:val="21"/>
              </w:rPr>
            </w:pPr>
            <w:r>
              <w:rPr>
                <w:sz w:val="21"/>
                <w:szCs w:val="21"/>
              </w:rPr>
              <w:t>21</w:t>
            </w:r>
          </w:p>
        </w:tc>
        <w:tc>
          <w:tcPr>
            <w:tcW w:w="644" w:type="pct"/>
            <w:vAlign w:val="center"/>
          </w:tcPr>
          <w:p>
            <w:pPr>
              <w:spacing w:line="240" w:lineRule="auto"/>
              <w:jc w:val="center"/>
              <w:rPr>
                <w:sz w:val="21"/>
                <w:szCs w:val="21"/>
              </w:rPr>
            </w:pPr>
            <w:r>
              <w:rPr>
                <w:sz w:val="21"/>
                <w:szCs w:val="21"/>
              </w:rPr>
              <w:t>87.5%</w:t>
            </w:r>
          </w:p>
        </w:tc>
        <w:tc>
          <w:tcPr>
            <w:tcW w:w="694" w:type="pct"/>
            <w:vAlign w:val="center"/>
          </w:tcPr>
          <w:p>
            <w:pPr>
              <w:spacing w:line="240" w:lineRule="auto"/>
              <w:jc w:val="center"/>
              <w:rPr>
                <w:sz w:val="21"/>
                <w:szCs w:val="21"/>
              </w:rPr>
            </w:pPr>
            <w:r>
              <w:rPr>
                <w:sz w:val="21"/>
                <w:szCs w:val="21"/>
              </w:rPr>
              <w:t>77.78%</w:t>
            </w:r>
          </w:p>
        </w:tc>
        <w:tc>
          <w:tcPr>
            <w:tcW w:w="514" w:type="pct"/>
            <w:vAlign w:val="center"/>
          </w:tcPr>
          <w:p>
            <w:pPr>
              <w:spacing w:line="240" w:lineRule="auto"/>
              <w:jc w:val="center"/>
              <w:rPr>
                <w:sz w:val="21"/>
                <w:szCs w:val="21"/>
              </w:rPr>
            </w:pPr>
            <w:r>
              <w:rPr>
                <w:sz w:val="21"/>
                <w:szCs w:val="21"/>
              </w:rPr>
              <w:t>93.33%</w:t>
            </w:r>
          </w:p>
        </w:tc>
        <w:tc>
          <w:tcPr>
            <w:tcW w:w="869" w:type="pct"/>
            <w:vAlign w:val="center"/>
          </w:tcPr>
          <w:p>
            <w:pPr>
              <w:spacing w:line="240" w:lineRule="auto"/>
              <w:jc w:val="center"/>
              <w:rPr>
                <w:sz w:val="21"/>
                <w:szCs w:val="21"/>
              </w:rPr>
            </w:pPr>
            <w:r>
              <w:rPr>
                <w:sz w:val="21"/>
                <w:szCs w:val="21"/>
              </w:rPr>
              <w:t>23.81%</w:t>
            </w:r>
          </w:p>
        </w:tc>
        <w:tc>
          <w:tcPr>
            <w:tcW w:w="866" w:type="pct"/>
            <w:vAlign w:val="center"/>
          </w:tcPr>
          <w:p>
            <w:pPr>
              <w:spacing w:line="240" w:lineRule="auto"/>
              <w:jc w:val="center"/>
              <w:rPr>
                <w:sz w:val="21"/>
                <w:szCs w:val="21"/>
              </w:rPr>
            </w:pPr>
            <w:r>
              <w:rPr>
                <w:sz w:val="21"/>
                <w:szCs w:val="21"/>
              </w:rPr>
              <w:t>90.48%</w:t>
            </w:r>
          </w:p>
        </w:tc>
      </w:tr>
    </w:tbl>
    <w:p>
      <w:pPr>
        <w:ind w:firstLine="482"/>
        <w:rPr>
          <w:color w:val="000000"/>
          <w:kern w:val="0"/>
          <w:szCs w:val="24"/>
        </w:rPr>
      </w:pPr>
      <w:r>
        <w:rPr>
          <w:color w:val="000000"/>
          <w:kern w:val="0"/>
          <w:szCs w:val="24"/>
        </w:rPr>
        <w:t>总体森林保护专业毕业生有的在国内外高校和科研院所攻读硕士、博士学位，有的在林业、农业、环境保护等相关行业的政府机构、企事业单位从事森林资源保护、森林培育、管理与利用、林业生态建设及管理等工作。在国内林业院所中国林科院、北京林业大学、南京林业大学等，以及农业院所如中国农业大学、中国农科院植保所、浙江大学等也有毕业学生继续从事科研事业。</w:t>
      </w:r>
    </w:p>
    <w:p>
      <w:pPr>
        <w:spacing w:line="240" w:lineRule="auto"/>
        <w:jc w:val="center"/>
        <w:rPr>
          <w:b/>
          <w:bCs/>
          <w:sz w:val="21"/>
          <w:szCs w:val="21"/>
        </w:rPr>
      </w:pPr>
      <w:r>
        <w:rPr>
          <w:b/>
          <w:bCs/>
          <w:sz w:val="21"/>
          <w:szCs w:val="21"/>
        </w:rPr>
        <w:t>表7 森林保护专业2022届本科毕业生就业单位性质统计表</w:t>
      </w:r>
    </w:p>
    <w:tbl>
      <w:tblPr>
        <w:tblStyle w:val="17"/>
        <w:tblW w:w="4998" w:type="pct"/>
        <w:jc w:val="center"/>
        <w:tblLayout w:type="autofit"/>
        <w:tblCellMar>
          <w:top w:w="0" w:type="dxa"/>
          <w:left w:w="0" w:type="dxa"/>
          <w:bottom w:w="0" w:type="dxa"/>
          <w:right w:w="0" w:type="dxa"/>
        </w:tblCellMar>
      </w:tblPr>
      <w:tblGrid>
        <w:gridCol w:w="1477"/>
        <w:gridCol w:w="1479"/>
        <w:gridCol w:w="1479"/>
        <w:gridCol w:w="1477"/>
        <w:gridCol w:w="1479"/>
        <w:gridCol w:w="1480"/>
      </w:tblGrid>
      <w:tr>
        <w:tblPrEx>
          <w:tblCellMar>
            <w:top w:w="0" w:type="dxa"/>
            <w:left w:w="0" w:type="dxa"/>
            <w:bottom w:w="0" w:type="dxa"/>
            <w:right w:w="0" w:type="dxa"/>
          </w:tblCellMar>
        </w:tblPrEx>
        <w:trPr>
          <w:trHeight w:val="437" w:hRule="atLeast"/>
          <w:jc w:val="center"/>
        </w:trPr>
        <w:tc>
          <w:tcPr>
            <w:tcW w:w="832"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单位性质</w:t>
            </w:r>
          </w:p>
        </w:tc>
        <w:tc>
          <w:tcPr>
            <w:tcW w:w="83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国有企业</w:t>
            </w:r>
          </w:p>
        </w:tc>
        <w:tc>
          <w:tcPr>
            <w:tcW w:w="83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非国有企业</w:t>
            </w:r>
          </w:p>
        </w:tc>
        <w:tc>
          <w:tcPr>
            <w:tcW w:w="832"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国家公务员</w:t>
            </w:r>
          </w:p>
        </w:tc>
        <w:tc>
          <w:tcPr>
            <w:tcW w:w="83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事业单位</w:t>
            </w:r>
          </w:p>
        </w:tc>
        <w:tc>
          <w:tcPr>
            <w:tcW w:w="83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党政机关</w:t>
            </w:r>
          </w:p>
        </w:tc>
      </w:tr>
      <w:tr>
        <w:tblPrEx>
          <w:tblCellMar>
            <w:top w:w="0" w:type="dxa"/>
            <w:left w:w="0" w:type="dxa"/>
            <w:bottom w:w="0" w:type="dxa"/>
            <w:right w:w="0" w:type="dxa"/>
          </w:tblCellMar>
        </w:tblPrEx>
        <w:trPr>
          <w:trHeight w:val="547" w:hRule="atLeast"/>
          <w:jc w:val="center"/>
        </w:trPr>
        <w:tc>
          <w:tcPr>
            <w:tcW w:w="832"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sz w:val="21"/>
                <w:szCs w:val="21"/>
              </w:rPr>
            </w:pPr>
            <w:r>
              <w:rPr>
                <w:sz w:val="21"/>
                <w:szCs w:val="21"/>
              </w:rPr>
              <w:t>人数</w:t>
            </w:r>
          </w:p>
          <w:p>
            <w:pPr>
              <w:spacing w:line="240" w:lineRule="auto"/>
              <w:jc w:val="center"/>
              <w:rPr>
                <w:sz w:val="21"/>
                <w:szCs w:val="21"/>
              </w:rPr>
            </w:pPr>
            <w:r>
              <w:rPr>
                <w:sz w:val="21"/>
                <w:szCs w:val="21"/>
              </w:rPr>
              <w:t>（比例）</w:t>
            </w:r>
          </w:p>
        </w:tc>
        <w:tc>
          <w:tcPr>
            <w:tcW w:w="83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w:t>
            </w:r>
          </w:p>
        </w:tc>
        <w:tc>
          <w:tcPr>
            <w:tcW w:w="83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2</w:t>
            </w:r>
          </w:p>
          <w:p>
            <w:pPr>
              <w:spacing w:line="240" w:lineRule="auto"/>
              <w:jc w:val="center"/>
              <w:rPr>
                <w:sz w:val="21"/>
                <w:szCs w:val="21"/>
              </w:rPr>
            </w:pPr>
            <w:r>
              <w:rPr>
                <w:sz w:val="21"/>
                <w:szCs w:val="21"/>
              </w:rPr>
              <w:t>（11.76%）</w:t>
            </w:r>
          </w:p>
        </w:tc>
        <w:tc>
          <w:tcPr>
            <w:tcW w:w="83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w:t>
            </w:r>
          </w:p>
        </w:tc>
        <w:tc>
          <w:tcPr>
            <w:tcW w:w="83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1</w:t>
            </w:r>
          </w:p>
          <w:p>
            <w:pPr>
              <w:spacing w:line="240" w:lineRule="auto"/>
              <w:jc w:val="center"/>
              <w:rPr>
                <w:sz w:val="21"/>
                <w:szCs w:val="21"/>
              </w:rPr>
            </w:pPr>
            <w:r>
              <w:rPr>
                <w:sz w:val="21"/>
                <w:szCs w:val="21"/>
              </w:rPr>
              <w:t>（5.88%）</w:t>
            </w:r>
          </w:p>
        </w:tc>
        <w:tc>
          <w:tcPr>
            <w:tcW w:w="83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1</w:t>
            </w:r>
          </w:p>
          <w:p>
            <w:pPr>
              <w:spacing w:line="240" w:lineRule="auto"/>
              <w:jc w:val="center"/>
              <w:rPr>
                <w:sz w:val="21"/>
                <w:szCs w:val="21"/>
              </w:rPr>
            </w:pPr>
            <w:r>
              <w:rPr>
                <w:sz w:val="21"/>
                <w:szCs w:val="21"/>
              </w:rPr>
              <w:t>（5..88%）</w:t>
            </w:r>
          </w:p>
        </w:tc>
      </w:tr>
    </w:tbl>
    <w:p>
      <w:pPr>
        <w:spacing w:line="360" w:lineRule="auto"/>
        <w:rPr>
          <w:rFonts w:eastAsia="黑体"/>
        </w:rPr>
      </w:pPr>
    </w:p>
    <w:p>
      <w:pPr>
        <w:numPr>
          <w:ilvl w:val="0"/>
          <w:numId w:val="5"/>
        </w:numPr>
        <w:spacing w:line="360" w:lineRule="auto"/>
        <w:ind w:firstLine="480"/>
        <w:rPr>
          <w:rFonts w:eastAsia="黑体"/>
        </w:rPr>
      </w:pPr>
      <w:r>
        <w:rPr>
          <w:rFonts w:eastAsia="黑体"/>
        </w:rPr>
        <w:t>毕业生考研报考院校情况</w:t>
      </w:r>
    </w:p>
    <w:p>
      <w:pPr>
        <w:ind w:firstLine="482"/>
        <w:rPr>
          <w:color w:val="000000"/>
          <w:kern w:val="0"/>
          <w:szCs w:val="24"/>
        </w:rPr>
      </w:pPr>
      <w:r>
        <w:rPr>
          <w:color w:val="000000"/>
          <w:kern w:val="0"/>
          <w:szCs w:val="24"/>
        </w:rPr>
        <w:t>毕业生国内升学13人，升学率54.17%，其中考入</w:t>
      </w:r>
      <w:r>
        <w:rPr>
          <w:rFonts w:hint="eastAsia"/>
          <w:color w:val="000000"/>
          <w:kern w:val="0"/>
          <w:szCs w:val="24"/>
        </w:rPr>
        <w:t>“</w:t>
      </w:r>
      <w:r>
        <w:rPr>
          <w:color w:val="000000"/>
          <w:kern w:val="0"/>
          <w:szCs w:val="24"/>
        </w:rPr>
        <w:t>双一流</w:t>
      </w:r>
      <w:r>
        <w:rPr>
          <w:rFonts w:hint="eastAsia"/>
          <w:color w:val="000000"/>
          <w:kern w:val="0"/>
          <w:szCs w:val="24"/>
        </w:rPr>
        <w:t>”</w:t>
      </w:r>
      <w:r>
        <w:rPr>
          <w:color w:val="000000"/>
          <w:kern w:val="0"/>
          <w:szCs w:val="24"/>
        </w:rPr>
        <w:t>大学9人，占国内升学总人数的69.23%。从升学专业来看，跨专业升学的2人，占国内升学总人数的15.38%。升学单位主要是山东农业大学、西北农林科技大学、中国林业科学研究院等国内重要的林业科研机构与高校。</w:t>
      </w:r>
    </w:p>
    <w:p>
      <w:pPr>
        <w:spacing w:line="240" w:lineRule="auto"/>
        <w:jc w:val="center"/>
        <w:rPr>
          <w:b/>
          <w:bCs/>
          <w:sz w:val="21"/>
          <w:szCs w:val="21"/>
        </w:rPr>
      </w:pPr>
      <w:r>
        <w:rPr>
          <w:b/>
          <w:bCs/>
          <w:sz w:val="21"/>
          <w:szCs w:val="21"/>
        </w:rPr>
        <w:t>表8  森保专业2022届本科毕业生考研情况统计表</w:t>
      </w:r>
    </w:p>
    <w:tbl>
      <w:tblPr>
        <w:tblStyle w:val="4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656"/>
        <w:gridCol w:w="1605"/>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30" w:type="dxa"/>
            <w:vAlign w:val="center"/>
          </w:tcPr>
          <w:p>
            <w:pPr>
              <w:spacing w:line="240" w:lineRule="auto"/>
              <w:jc w:val="center"/>
              <w:rPr>
                <w:b/>
                <w:bCs/>
                <w:sz w:val="21"/>
                <w:szCs w:val="21"/>
              </w:rPr>
            </w:pPr>
            <w:r>
              <w:rPr>
                <w:b/>
                <w:bCs/>
                <w:sz w:val="21"/>
                <w:szCs w:val="21"/>
              </w:rPr>
              <w:t>序号</w:t>
            </w:r>
          </w:p>
        </w:tc>
        <w:tc>
          <w:tcPr>
            <w:tcW w:w="2656" w:type="dxa"/>
            <w:vAlign w:val="center"/>
          </w:tcPr>
          <w:p>
            <w:pPr>
              <w:spacing w:line="240" w:lineRule="auto"/>
              <w:jc w:val="center"/>
              <w:rPr>
                <w:b/>
                <w:bCs/>
                <w:sz w:val="21"/>
                <w:szCs w:val="21"/>
              </w:rPr>
            </w:pPr>
            <w:r>
              <w:rPr>
                <w:b/>
                <w:bCs/>
                <w:sz w:val="21"/>
                <w:szCs w:val="21"/>
              </w:rPr>
              <w:t>升学学校名称</w:t>
            </w:r>
          </w:p>
        </w:tc>
        <w:tc>
          <w:tcPr>
            <w:tcW w:w="1605" w:type="dxa"/>
            <w:vAlign w:val="center"/>
          </w:tcPr>
          <w:p>
            <w:pPr>
              <w:spacing w:line="240" w:lineRule="auto"/>
              <w:jc w:val="center"/>
              <w:rPr>
                <w:b/>
                <w:bCs/>
                <w:sz w:val="21"/>
                <w:szCs w:val="21"/>
              </w:rPr>
            </w:pPr>
            <w:r>
              <w:rPr>
                <w:b/>
                <w:bCs/>
                <w:sz w:val="21"/>
                <w:szCs w:val="21"/>
              </w:rPr>
              <w:t>升学人数</w:t>
            </w:r>
          </w:p>
        </w:tc>
        <w:tc>
          <w:tcPr>
            <w:tcW w:w="2131" w:type="dxa"/>
            <w:vAlign w:val="center"/>
          </w:tcPr>
          <w:p>
            <w:pPr>
              <w:spacing w:line="240" w:lineRule="auto"/>
              <w:jc w:val="center"/>
              <w:rPr>
                <w:b/>
                <w:bCs/>
                <w:sz w:val="21"/>
                <w:szCs w:val="21"/>
              </w:rPr>
            </w:pPr>
            <w:r>
              <w:rPr>
                <w:b/>
                <w:bCs/>
                <w:sz w:val="21"/>
                <w:szCs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30" w:type="dxa"/>
            <w:vAlign w:val="center"/>
          </w:tcPr>
          <w:p>
            <w:pPr>
              <w:spacing w:line="240" w:lineRule="auto"/>
              <w:jc w:val="center"/>
              <w:rPr>
                <w:sz w:val="21"/>
                <w:szCs w:val="21"/>
              </w:rPr>
            </w:pPr>
            <w:r>
              <w:rPr>
                <w:sz w:val="21"/>
                <w:szCs w:val="21"/>
              </w:rPr>
              <w:t>1</w:t>
            </w:r>
          </w:p>
        </w:tc>
        <w:tc>
          <w:tcPr>
            <w:tcW w:w="2656" w:type="dxa"/>
            <w:vAlign w:val="center"/>
          </w:tcPr>
          <w:p>
            <w:pPr>
              <w:spacing w:line="240" w:lineRule="auto"/>
              <w:jc w:val="center"/>
              <w:rPr>
                <w:sz w:val="21"/>
                <w:szCs w:val="21"/>
              </w:rPr>
            </w:pPr>
            <w:r>
              <w:rPr>
                <w:sz w:val="21"/>
                <w:szCs w:val="21"/>
              </w:rPr>
              <w:t>山东农业大学</w:t>
            </w:r>
          </w:p>
        </w:tc>
        <w:tc>
          <w:tcPr>
            <w:tcW w:w="1605" w:type="dxa"/>
            <w:vAlign w:val="center"/>
          </w:tcPr>
          <w:p>
            <w:pPr>
              <w:spacing w:line="240" w:lineRule="auto"/>
              <w:jc w:val="center"/>
              <w:rPr>
                <w:sz w:val="21"/>
                <w:szCs w:val="21"/>
              </w:rPr>
            </w:pPr>
            <w:r>
              <w:rPr>
                <w:sz w:val="21"/>
                <w:szCs w:val="21"/>
              </w:rPr>
              <w:t>1</w:t>
            </w:r>
          </w:p>
        </w:tc>
        <w:tc>
          <w:tcPr>
            <w:tcW w:w="2131" w:type="dxa"/>
            <w:vAlign w:val="center"/>
          </w:tcPr>
          <w:p>
            <w:pPr>
              <w:spacing w:line="240" w:lineRule="auto"/>
              <w:jc w:val="center"/>
              <w:rPr>
                <w:sz w:val="21"/>
                <w:szCs w:val="21"/>
              </w:rPr>
            </w:pPr>
            <w:r>
              <w:rPr>
                <w:sz w:val="21"/>
                <w:szCs w:val="21"/>
              </w:rPr>
              <w:t>7.69%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30" w:type="dxa"/>
            <w:vAlign w:val="center"/>
          </w:tcPr>
          <w:p>
            <w:pPr>
              <w:spacing w:line="240" w:lineRule="auto"/>
              <w:jc w:val="center"/>
              <w:rPr>
                <w:sz w:val="21"/>
                <w:szCs w:val="21"/>
              </w:rPr>
            </w:pPr>
            <w:r>
              <w:rPr>
                <w:sz w:val="21"/>
                <w:szCs w:val="21"/>
              </w:rPr>
              <w:t>2</w:t>
            </w:r>
          </w:p>
        </w:tc>
        <w:tc>
          <w:tcPr>
            <w:tcW w:w="2656" w:type="dxa"/>
            <w:vAlign w:val="center"/>
          </w:tcPr>
          <w:p>
            <w:pPr>
              <w:spacing w:line="240" w:lineRule="auto"/>
              <w:jc w:val="center"/>
              <w:rPr>
                <w:sz w:val="21"/>
                <w:szCs w:val="21"/>
              </w:rPr>
            </w:pPr>
            <w:r>
              <w:rPr>
                <w:sz w:val="21"/>
                <w:szCs w:val="21"/>
              </w:rPr>
              <w:t>西北农林科技大学</w:t>
            </w:r>
          </w:p>
        </w:tc>
        <w:tc>
          <w:tcPr>
            <w:tcW w:w="1605" w:type="dxa"/>
            <w:vAlign w:val="center"/>
          </w:tcPr>
          <w:p>
            <w:pPr>
              <w:spacing w:line="240" w:lineRule="auto"/>
              <w:jc w:val="center"/>
              <w:rPr>
                <w:sz w:val="21"/>
                <w:szCs w:val="21"/>
              </w:rPr>
            </w:pPr>
            <w:r>
              <w:rPr>
                <w:sz w:val="21"/>
                <w:szCs w:val="21"/>
              </w:rPr>
              <w:t>1</w:t>
            </w:r>
          </w:p>
        </w:tc>
        <w:tc>
          <w:tcPr>
            <w:tcW w:w="2131" w:type="dxa"/>
            <w:vAlign w:val="center"/>
          </w:tcPr>
          <w:p>
            <w:pPr>
              <w:spacing w:line="240" w:lineRule="auto"/>
              <w:jc w:val="center"/>
              <w:rPr>
                <w:sz w:val="21"/>
                <w:szCs w:val="21"/>
              </w:rPr>
            </w:pPr>
            <w:r>
              <w:rPr>
                <w:sz w:val="21"/>
                <w:szCs w:val="21"/>
              </w:rPr>
              <w:t>7.69%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30" w:type="dxa"/>
            <w:vAlign w:val="center"/>
          </w:tcPr>
          <w:p>
            <w:pPr>
              <w:spacing w:line="240" w:lineRule="auto"/>
              <w:jc w:val="center"/>
              <w:rPr>
                <w:sz w:val="21"/>
                <w:szCs w:val="21"/>
              </w:rPr>
            </w:pPr>
            <w:r>
              <w:rPr>
                <w:sz w:val="21"/>
                <w:szCs w:val="21"/>
              </w:rPr>
              <w:t>3</w:t>
            </w:r>
          </w:p>
        </w:tc>
        <w:tc>
          <w:tcPr>
            <w:tcW w:w="2656" w:type="dxa"/>
            <w:vAlign w:val="center"/>
          </w:tcPr>
          <w:p>
            <w:pPr>
              <w:spacing w:line="240" w:lineRule="auto"/>
              <w:jc w:val="center"/>
              <w:rPr>
                <w:sz w:val="21"/>
                <w:szCs w:val="21"/>
              </w:rPr>
            </w:pPr>
            <w:r>
              <w:rPr>
                <w:sz w:val="21"/>
                <w:szCs w:val="21"/>
              </w:rPr>
              <w:t>中国林业科学研究院</w:t>
            </w:r>
          </w:p>
        </w:tc>
        <w:tc>
          <w:tcPr>
            <w:tcW w:w="1605" w:type="dxa"/>
            <w:vAlign w:val="center"/>
          </w:tcPr>
          <w:p>
            <w:pPr>
              <w:spacing w:line="240" w:lineRule="auto"/>
              <w:jc w:val="center"/>
              <w:rPr>
                <w:sz w:val="21"/>
                <w:szCs w:val="21"/>
              </w:rPr>
            </w:pPr>
            <w:r>
              <w:rPr>
                <w:sz w:val="21"/>
                <w:szCs w:val="21"/>
              </w:rPr>
              <w:t>3</w:t>
            </w:r>
          </w:p>
        </w:tc>
        <w:tc>
          <w:tcPr>
            <w:tcW w:w="2131" w:type="dxa"/>
            <w:vAlign w:val="center"/>
          </w:tcPr>
          <w:p>
            <w:pPr>
              <w:spacing w:line="240" w:lineRule="auto"/>
              <w:jc w:val="center"/>
              <w:rPr>
                <w:sz w:val="21"/>
                <w:szCs w:val="21"/>
              </w:rPr>
            </w:pPr>
            <w:r>
              <w:rPr>
                <w:sz w:val="21"/>
                <w:szCs w:val="21"/>
              </w:rPr>
              <w:t>23.08%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30" w:type="dxa"/>
            <w:vAlign w:val="center"/>
          </w:tcPr>
          <w:p>
            <w:pPr>
              <w:spacing w:line="240" w:lineRule="auto"/>
              <w:jc w:val="center"/>
              <w:rPr>
                <w:sz w:val="21"/>
                <w:szCs w:val="21"/>
              </w:rPr>
            </w:pPr>
            <w:r>
              <w:rPr>
                <w:sz w:val="21"/>
                <w:szCs w:val="21"/>
              </w:rPr>
              <w:t>4</w:t>
            </w:r>
          </w:p>
        </w:tc>
        <w:tc>
          <w:tcPr>
            <w:tcW w:w="2656" w:type="dxa"/>
            <w:vAlign w:val="center"/>
          </w:tcPr>
          <w:p>
            <w:pPr>
              <w:spacing w:line="240" w:lineRule="auto"/>
              <w:jc w:val="center"/>
              <w:rPr>
                <w:sz w:val="21"/>
                <w:szCs w:val="21"/>
              </w:rPr>
            </w:pPr>
            <w:r>
              <w:rPr>
                <w:sz w:val="21"/>
                <w:szCs w:val="21"/>
              </w:rPr>
              <w:t>北京林业大学</w:t>
            </w:r>
          </w:p>
        </w:tc>
        <w:tc>
          <w:tcPr>
            <w:tcW w:w="1605" w:type="dxa"/>
            <w:vAlign w:val="center"/>
          </w:tcPr>
          <w:p>
            <w:pPr>
              <w:spacing w:line="240" w:lineRule="auto"/>
              <w:jc w:val="center"/>
              <w:rPr>
                <w:sz w:val="21"/>
                <w:szCs w:val="21"/>
              </w:rPr>
            </w:pPr>
            <w:r>
              <w:rPr>
                <w:sz w:val="21"/>
                <w:szCs w:val="21"/>
              </w:rPr>
              <w:t>2</w:t>
            </w:r>
          </w:p>
        </w:tc>
        <w:tc>
          <w:tcPr>
            <w:tcW w:w="2131" w:type="dxa"/>
            <w:vAlign w:val="center"/>
          </w:tcPr>
          <w:p>
            <w:pPr>
              <w:spacing w:line="240" w:lineRule="auto"/>
              <w:jc w:val="center"/>
              <w:rPr>
                <w:sz w:val="21"/>
                <w:szCs w:val="21"/>
              </w:rPr>
            </w:pPr>
            <w:r>
              <w:rPr>
                <w:sz w:val="21"/>
                <w:szCs w:val="21"/>
              </w:rPr>
              <w:t>15.38%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30" w:type="dxa"/>
            <w:vAlign w:val="center"/>
          </w:tcPr>
          <w:p>
            <w:pPr>
              <w:spacing w:line="240" w:lineRule="auto"/>
              <w:jc w:val="center"/>
              <w:rPr>
                <w:sz w:val="21"/>
                <w:szCs w:val="21"/>
              </w:rPr>
            </w:pPr>
            <w:r>
              <w:rPr>
                <w:sz w:val="21"/>
                <w:szCs w:val="21"/>
              </w:rPr>
              <w:t>5</w:t>
            </w:r>
          </w:p>
        </w:tc>
        <w:tc>
          <w:tcPr>
            <w:tcW w:w="2656" w:type="dxa"/>
            <w:vAlign w:val="center"/>
          </w:tcPr>
          <w:p>
            <w:pPr>
              <w:spacing w:line="240" w:lineRule="auto"/>
              <w:jc w:val="center"/>
              <w:rPr>
                <w:sz w:val="21"/>
                <w:szCs w:val="21"/>
              </w:rPr>
            </w:pPr>
            <w:r>
              <w:rPr>
                <w:sz w:val="21"/>
                <w:szCs w:val="21"/>
              </w:rPr>
              <w:t>贵州大学</w:t>
            </w:r>
          </w:p>
        </w:tc>
        <w:tc>
          <w:tcPr>
            <w:tcW w:w="1605" w:type="dxa"/>
            <w:vAlign w:val="center"/>
          </w:tcPr>
          <w:p>
            <w:pPr>
              <w:spacing w:line="240" w:lineRule="auto"/>
              <w:jc w:val="center"/>
              <w:rPr>
                <w:sz w:val="21"/>
                <w:szCs w:val="21"/>
              </w:rPr>
            </w:pPr>
            <w:r>
              <w:rPr>
                <w:sz w:val="21"/>
                <w:szCs w:val="21"/>
              </w:rPr>
              <w:t>2</w:t>
            </w:r>
          </w:p>
        </w:tc>
        <w:tc>
          <w:tcPr>
            <w:tcW w:w="2131" w:type="dxa"/>
            <w:vAlign w:val="center"/>
          </w:tcPr>
          <w:p>
            <w:pPr>
              <w:spacing w:line="240" w:lineRule="auto"/>
              <w:jc w:val="center"/>
              <w:rPr>
                <w:sz w:val="21"/>
                <w:szCs w:val="21"/>
              </w:rPr>
            </w:pPr>
            <w:r>
              <w:rPr>
                <w:sz w:val="21"/>
                <w:szCs w:val="21"/>
              </w:rPr>
              <w:t>15.38%</w:t>
            </w:r>
          </w:p>
        </w:tc>
      </w:tr>
    </w:tbl>
    <w:p>
      <w:pPr>
        <w:pStyle w:val="6"/>
        <w:ind w:firstLine="480"/>
      </w:pPr>
      <w:r>
        <w:rPr>
          <w:rFonts w:hint="eastAsia"/>
        </w:rPr>
        <w:t xml:space="preserve">4. </w:t>
      </w:r>
      <w:r>
        <w:t>森保专业市场建设情况</w:t>
      </w:r>
    </w:p>
    <w:p>
      <w:pPr>
        <w:ind w:firstLine="480" w:firstLineChars="200"/>
        <w:rPr>
          <w:color w:val="000000"/>
          <w:kern w:val="0"/>
          <w:szCs w:val="24"/>
        </w:rPr>
      </w:pPr>
      <w:r>
        <w:rPr>
          <w:color w:val="000000"/>
          <w:kern w:val="0"/>
          <w:szCs w:val="24"/>
        </w:rPr>
        <w:t>森保专业招聘信息网址链接：</w:t>
      </w:r>
    </w:p>
    <w:p>
      <w:pPr>
        <w:ind w:firstLine="480" w:firstLineChars="200"/>
        <w:rPr>
          <w:color w:val="000000"/>
          <w:kern w:val="0"/>
          <w:szCs w:val="24"/>
        </w:rPr>
      </w:pPr>
      <w:r>
        <w:rPr>
          <w:color w:val="000000"/>
          <w:kern w:val="0"/>
          <w:szCs w:val="24"/>
        </w:rPr>
        <w:t>1.https://mp.weixin.qq.com/s/jwcsky998eQeB7bSX-_r9A</w:t>
      </w:r>
    </w:p>
    <w:p>
      <w:pPr>
        <w:ind w:firstLine="480" w:firstLineChars="200"/>
        <w:rPr>
          <w:color w:val="000000"/>
          <w:kern w:val="0"/>
          <w:szCs w:val="24"/>
        </w:rPr>
      </w:pPr>
      <w:r>
        <w:rPr>
          <w:color w:val="000000"/>
          <w:kern w:val="0"/>
          <w:szCs w:val="24"/>
        </w:rPr>
        <w:t>2. https://mp.weixin.qq.com/s/1mN3BXV3iAL6r14NolUP7A</w:t>
      </w:r>
    </w:p>
    <w:p>
      <w:pPr>
        <w:ind w:firstLine="480" w:firstLineChars="200"/>
        <w:rPr>
          <w:color w:val="000000"/>
          <w:kern w:val="0"/>
          <w:szCs w:val="24"/>
        </w:rPr>
      </w:pPr>
      <w:r>
        <w:rPr>
          <w:color w:val="000000"/>
          <w:kern w:val="0"/>
          <w:szCs w:val="24"/>
        </w:rPr>
        <w:t>3.http://zhibao.sdau.edu.cn/2021/1226/c2070a200984/page.htm</w:t>
      </w:r>
    </w:p>
    <w:p>
      <w:pPr>
        <w:pStyle w:val="5"/>
        <w:spacing w:before="93" w:after="93"/>
        <w:ind w:firstLine="560"/>
      </w:pPr>
      <w:r>
        <w:t>六、毕业生就业创业（创业情况、采取的措施、典型案例等）</w:t>
      </w:r>
    </w:p>
    <w:p>
      <w:pPr>
        <w:ind w:firstLine="480" w:firstLineChars="200"/>
        <w:rPr>
          <w:color w:val="000000"/>
          <w:kern w:val="0"/>
          <w:szCs w:val="24"/>
        </w:rPr>
      </w:pPr>
      <w:r>
        <w:rPr>
          <w:color w:val="000000"/>
          <w:kern w:val="0"/>
          <w:szCs w:val="24"/>
        </w:rPr>
        <w:t>目前，本专业学生以考研和到企事业单位就业为主，具有良好的就业机会，就业渠道宽度大，就业方向以与专业相关工作为主体，个人创业的较少。</w:t>
      </w:r>
    </w:p>
    <w:p>
      <w:pPr>
        <w:pStyle w:val="6"/>
        <w:ind w:firstLine="480"/>
      </w:pPr>
      <w:r>
        <w:t>1. 加强校企合作，实现学院与企业之间的深度合作</w:t>
      </w:r>
    </w:p>
    <w:p>
      <w:pPr>
        <w:ind w:firstLine="480" w:firstLineChars="200"/>
        <w:rPr>
          <w:color w:val="000000"/>
          <w:kern w:val="0"/>
          <w:szCs w:val="24"/>
        </w:rPr>
      </w:pPr>
      <w:r>
        <w:rPr>
          <w:color w:val="000000"/>
          <w:kern w:val="0"/>
          <w:szCs w:val="24"/>
        </w:rPr>
        <w:t>注重校企互融，在文化认同上助推精准就业。校企双方积极推进资源整合与共享，除共建实训基地、共享技术设备和市场需求信息外，学院与企业积极沟通联系，举办多场宣讲会。强化职业认知，让学生提前对工作内容、岗位要求、文化生活环境、发展前景等方面都有深刻认识，避免了盲目入企顶岗带来的就业风险，实现了理性就业、稳岗就业。就业的学生能够快速适应岗位要求，顺利承接认识实习成果，享受校企合作培养的红利，入岗后稳岗率极高。</w:t>
      </w:r>
    </w:p>
    <w:p>
      <w:pPr>
        <w:pStyle w:val="6"/>
        <w:ind w:firstLine="480"/>
      </w:pPr>
      <w:r>
        <w:t>2. 发挥专业教师作用，全员参与就业</w:t>
      </w:r>
    </w:p>
    <w:p>
      <w:pPr>
        <w:ind w:firstLine="480" w:firstLineChars="200"/>
        <w:rPr>
          <w:color w:val="000000"/>
          <w:kern w:val="0"/>
          <w:szCs w:val="24"/>
        </w:rPr>
      </w:pPr>
      <w:r>
        <w:rPr>
          <w:color w:val="000000"/>
          <w:kern w:val="0"/>
          <w:szCs w:val="24"/>
        </w:rPr>
        <w:t>专业教师通过长期跟企业联系，熟悉企业对毕业生的需求和对毕业生综合素质的要求，把这些信息传递给毕业生，指导毕业生就业工作，积极传授毕业生如何主动就业之道。专业教师也根据自己在教学科研中与企业的联系，向企业推荐毕业生，为毕业生提供就业岗位。通过实习促进就业，学院上下形成了领导、辅导员、专业教师三位一体的就业指导工作联动体系，实行就业辅导员、就业导师包干制，充分发挥专业教师的就业指导作用。教师不仅讲授专业知识，而且传授职业发展素质修养，介绍本学科领域最新发展趋势及职业优势，引导毕业生合理定位自身职业，通过言传身教方式引导毕业生求职就业。</w:t>
      </w:r>
    </w:p>
    <w:p>
      <w:pPr>
        <w:pStyle w:val="6"/>
        <w:ind w:firstLine="480"/>
      </w:pPr>
      <w:r>
        <w:t>3. 加强毕业生思想教育工作，引导毕业生积极就业</w:t>
      </w:r>
    </w:p>
    <w:p>
      <w:pPr>
        <w:widowControl/>
        <w:ind w:firstLine="480" w:firstLineChars="200"/>
        <w:rPr>
          <w:szCs w:val="24"/>
        </w:rPr>
      </w:pPr>
      <w:r>
        <w:rPr>
          <w:szCs w:val="24"/>
        </w:rPr>
        <w:t>毕业生教育工作，既是就业工作的重要内容，也是大学生思想教育工作的重要组成部分。为此，在毕业生一进入大四，学院即安排就业辅导员对毕业生进行初步就业摸排，对考研、就业、考公务员等就业意向进行逐一摸排，并形成班级分析报告。要增强市场观念、竞争意识和创业自立精神，克服</w:t>
      </w:r>
      <w:r>
        <w:rPr>
          <w:rFonts w:hint="eastAsia"/>
          <w:szCs w:val="24"/>
        </w:rPr>
        <w:t>“</w:t>
      </w:r>
      <w:r>
        <w:rPr>
          <w:szCs w:val="24"/>
        </w:rPr>
        <w:t>等、靠、要</w:t>
      </w:r>
      <w:r>
        <w:rPr>
          <w:rFonts w:hint="eastAsia"/>
          <w:szCs w:val="24"/>
        </w:rPr>
        <w:t>”</w:t>
      </w:r>
      <w:r>
        <w:rPr>
          <w:szCs w:val="24"/>
        </w:rPr>
        <w:t>的依赖思想。要清楚大学毕业后有了岗位才能谈发展，成就事业要从干小事起步，看准的工作就要大胆去干。大学生参与竞争需要雄厚的实力做保证，而竞争实力是通过大学生活过程中逐渐培养和主动塑造得来的。因此，大学生要珍惜学习期间的宝贵时间，积极参加学校的各项活动来锻炼自己，努力提高自己的能力水平。充分利用好学校丰富的思想资源、知识资源、信息资源、设备资源，在集中的时间里接受有目的、有计划、有组织的学习培训，达到提高综合素质的目的。我院鼓励本专业学生创业，同时嘱咐给毕业生创业风险，提醒毕业生积累经验、资金，做足充足的准备后再创业。</w:t>
      </w:r>
    </w:p>
    <w:p>
      <w:pPr>
        <w:pStyle w:val="5"/>
        <w:spacing w:before="93" w:after="93"/>
        <w:ind w:firstLine="560"/>
      </w:pPr>
      <w:r>
        <w:t>七、专业发展趋势及建议</w:t>
      </w:r>
    </w:p>
    <w:p>
      <w:pPr>
        <w:widowControl/>
        <w:ind w:firstLine="480" w:firstLineChars="200"/>
        <w:rPr>
          <w:color w:val="000000"/>
          <w:kern w:val="0"/>
          <w:szCs w:val="24"/>
        </w:rPr>
      </w:pPr>
      <w:r>
        <w:t>森林保护专业是我国传统而具有特色的专业。</w:t>
      </w:r>
      <w:r>
        <w:rPr>
          <w:color w:val="000000"/>
          <w:kern w:val="0"/>
          <w:szCs w:val="24"/>
        </w:rPr>
        <w:t>林业有害生物是森林生态系统中最活跃、最不稳定的层次，有突发性和一旦发生影响恶劣的特点。随着国家对生态建设进程的推进和人民生态意识的加强，其发生有越来越严重的趋势。目前，县以上林业部门都设有森林保护站（野生动植物保护站、森林植物检疫站），对森林保护专业人才的需求很大。</w:t>
      </w:r>
    </w:p>
    <w:p>
      <w:pPr>
        <w:ind w:firstLine="480" w:firstLineChars="200"/>
        <w:rPr>
          <w:color w:val="000000"/>
          <w:kern w:val="0"/>
          <w:szCs w:val="24"/>
        </w:rPr>
      </w:pPr>
      <w:r>
        <w:rPr>
          <w:szCs w:val="24"/>
        </w:rPr>
        <w:t>党的十八以来，党和国家审时度势，把生态文明建设提到前所未有的高度。在生态文明建设中森林保护具有重要地位，培养大批优秀的森林保护专业人才，将为生态文明建设提供人才和智力保障。国家和山东省提出的乡村振兴战略、农业供给侧改革和新旧动能转换等战略工程，也森林保护专业带来了前所未有的机遇。</w:t>
      </w:r>
    </w:p>
    <w:p>
      <w:pPr>
        <w:widowControl/>
        <w:ind w:firstLine="480" w:firstLineChars="200"/>
        <w:rPr>
          <w:color w:val="000000"/>
          <w:kern w:val="0"/>
          <w:szCs w:val="24"/>
        </w:rPr>
      </w:pPr>
      <w:r>
        <w:rPr>
          <w:color w:val="000000"/>
          <w:kern w:val="0"/>
          <w:szCs w:val="24"/>
        </w:rPr>
        <w:t>本校与国内和省内外林业管理部门、生产单位和企业有广泛合作关系和技术交流，享有很高的声誉，并在泰山森林病虫害防治检疫站、济南市林业有害生物天敌繁育中心、泰安市徂徕山林场、荣成成山林场等建立教学和科研实习基地，为学生实习和就业创造了优越的条件。</w:t>
      </w:r>
    </w:p>
    <w:p>
      <w:pPr>
        <w:widowControl/>
        <w:ind w:firstLine="480" w:firstLineChars="200"/>
        <w:rPr>
          <w:color w:val="000000"/>
          <w:kern w:val="0"/>
          <w:szCs w:val="24"/>
        </w:rPr>
      </w:pPr>
      <w:r>
        <w:rPr>
          <w:color w:val="000000"/>
          <w:kern w:val="0"/>
          <w:szCs w:val="24"/>
        </w:rPr>
        <w:t>本专业定位于国内、山东省内外森林保护管理部门、生产单位和企业对专业人才的需求，在强化基础、重视实践的基础上，重点加强创新能力的培养，使毕业生有广泛的适应能力。</w:t>
      </w:r>
    </w:p>
    <w:p>
      <w:pPr>
        <w:pStyle w:val="5"/>
        <w:spacing w:before="93" w:after="93"/>
        <w:ind w:firstLine="560"/>
      </w:pPr>
      <w:r>
        <w:t>八、存在的问题及整改措施</w:t>
      </w:r>
    </w:p>
    <w:p>
      <w:pPr>
        <w:widowControl/>
        <w:ind w:firstLine="480" w:firstLineChars="200"/>
        <w:rPr>
          <w:color w:val="000000"/>
          <w:kern w:val="0"/>
          <w:szCs w:val="24"/>
        </w:rPr>
      </w:pPr>
      <w:r>
        <w:rPr>
          <w:color w:val="000000"/>
          <w:kern w:val="0"/>
          <w:szCs w:val="24"/>
        </w:rPr>
        <w:t>森林保护专业自建立以来，不断发展、成长、完善，专业依托学科不断发展壮大，随着社会发展，尤其是生态文明建设的发展，对森保专业人才的需求更为强烈。</w:t>
      </w:r>
    </w:p>
    <w:p>
      <w:pPr>
        <w:widowControl/>
        <w:ind w:firstLine="480" w:firstLineChars="200"/>
        <w:rPr>
          <w:color w:val="000000"/>
          <w:kern w:val="0"/>
          <w:szCs w:val="24"/>
        </w:rPr>
      </w:pPr>
      <w:r>
        <w:rPr>
          <w:color w:val="000000"/>
          <w:kern w:val="0"/>
          <w:szCs w:val="24"/>
        </w:rPr>
        <w:t>结合本专业目前存在的需要改善的问题，宜在以下方面加强建设：</w:t>
      </w:r>
    </w:p>
    <w:p>
      <w:pPr>
        <w:pStyle w:val="22"/>
        <w:widowControl/>
        <w:ind w:left="0" w:firstLine="480" w:firstLineChars="200"/>
        <w:rPr>
          <w:rFonts w:cs="Times New Roman"/>
          <w:color w:val="000000"/>
          <w:sz w:val="24"/>
          <w:szCs w:val="24"/>
        </w:rPr>
      </w:pPr>
      <w:r>
        <w:rPr>
          <w:rFonts w:hint="eastAsia" w:cs="Times New Roman"/>
          <w:color w:val="000000"/>
          <w:sz w:val="24"/>
          <w:szCs w:val="24"/>
          <w:lang w:val="en-US"/>
        </w:rPr>
        <w:t xml:space="preserve">1. </w:t>
      </w:r>
      <w:r>
        <w:rPr>
          <w:rFonts w:cs="Times New Roman"/>
          <w:color w:val="000000"/>
          <w:sz w:val="24"/>
          <w:szCs w:val="24"/>
        </w:rPr>
        <w:t>稳定生源数量，提高生源质量：在国内外生态发展大背景下，国家对森保专业人才的需求很大。稳定生源数量的基础上，在招生规模上年招生60人左右为宜；并适应国家对森保高质量人才需求现状，吸收更多的优秀学子加入森保专业学习，适应社会发展需求。</w:t>
      </w:r>
    </w:p>
    <w:p>
      <w:pPr>
        <w:widowControl/>
        <w:ind w:firstLine="480" w:firstLineChars="200"/>
        <w:rPr>
          <w:color w:val="000000"/>
          <w:kern w:val="0"/>
          <w:szCs w:val="24"/>
        </w:rPr>
      </w:pPr>
      <w:r>
        <w:rPr>
          <w:rFonts w:hint="eastAsia"/>
          <w:color w:val="000000"/>
          <w:kern w:val="0"/>
          <w:szCs w:val="24"/>
        </w:rPr>
        <w:t xml:space="preserve">2. </w:t>
      </w:r>
      <w:r>
        <w:rPr>
          <w:color w:val="000000"/>
          <w:kern w:val="0"/>
          <w:szCs w:val="24"/>
        </w:rPr>
        <w:t>持续推进高水平师资队伍的建设：不断充实师资队伍建设，引进和培养学科带头人，以学科带头人领导组建团队，加强教学工作和科研工作。同时以现有师资力量为主体，积极开展与企业合作，加强专业教师在企业的技术交流，增强教师的实践能力，确保专业教师的知识不断更新，使得教学内容更加贴近市场实际。</w:t>
      </w:r>
    </w:p>
    <w:p>
      <w:pPr>
        <w:ind w:firstLine="480" w:firstLineChars="200"/>
        <w:rPr>
          <w:color w:val="000000"/>
          <w:kern w:val="0"/>
          <w:szCs w:val="24"/>
        </w:rPr>
      </w:pPr>
      <w:r>
        <w:rPr>
          <w:rFonts w:hint="eastAsia"/>
          <w:color w:val="000000"/>
          <w:kern w:val="0"/>
          <w:szCs w:val="24"/>
        </w:rPr>
        <w:t xml:space="preserve">3. </w:t>
      </w:r>
      <w:r>
        <w:rPr>
          <w:color w:val="000000"/>
          <w:kern w:val="0"/>
          <w:szCs w:val="24"/>
        </w:rPr>
        <w:t>强化宣传，提高社会对森林保护专业的认识和认知：基层教学单位大力推进设计和开展森保专业的社会宣传，通过各种途径，特别是新媒体形式；加强与全国各高等学院的联合，共同推进本专业的宣传社会效应。</w:t>
      </w:r>
    </w:p>
    <w:p>
      <w:pPr>
        <w:ind w:firstLine="480" w:firstLineChars="200"/>
        <w:rPr>
          <w:color w:val="000000"/>
          <w:kern w:val="0"/>
          <w:szCs w:val="24"/>
        </w:rPr>
      </w:pPr>
      <w:r>
        <w:rPr>
          <w:rFonts w:hint="eastAsia"/>
          <w:color w:val="000000"/>
          <w:kern w:val="0"/>
          <w:szCs w:val="24"/>
        </w:rPr>
        <w:t xml:space="preserve">4. </w:t>
      </w:r>
      <w:r>
        <w:rPr>
          <w:color w:val="000000"/>
          <w:kern w:val="0"/>
          <w:szCs w:val="24"/>
        </w:rPr>
        <w:t>进一步加强学生实践技能训练：进一步完善和推进学生为主题的科学研究训练项目的开展，充分利用已建成的校内外实习基地，鼓励学生以成立兴趣小组的形式进入基地进行科学实践，在对学生进行相关专业技能系统训练，让学生在实践中发现问题、解决问题，增强学生的动手能力，培养创新能力和创业意识，为今后就业或继续深造打下坚实的理论知识和实践经验基础。</w:t>
      </w:r>
    </w:p>
    <w:p>
      <w:pPr>
        <w:ind w:firstLine="480" w:firstLineChars="200"/>
        <w:rPr>
          <w:color w:val="000000"/>
          <w:kern w:val="0"/>
          <w:szCs w:val="24"/>
        </w:rPr>
      </w:pPr>
      <w:r>
        <w:rPr>
          <w:rFonts w:hint="eastAsia"/>
          <w:color w:val="000000"/>
          <w:kern w:val="0"/>
          <w:szCs w:val="24"/>
        </w:rPr>
        <w:t xml:space="preserve">5. </w:t>
      </w:r>
      <w:r>
        <w:rPr>
          <w:color w:val="000000"/>
          <w:kern w:val="0"/>
          <w:szCs w:val="24"/>
        </w:rPr>
        <w:t>进一步发展精品课程建设：森林保护专业课程发展体系已经逐步完善，进一步围绕重点课程，持续投入，重点发展2-3个精品课程建设，带动课程群建设，提高教学质量和水平。</w:t>
      </w:r>
    </w:p>
    <w:p>
      <w:pPr>
        <w:ind w:firstLine="480" w:firstLineChars="200"/>
        <w:rPr>
          <w:szCs w:val="24"/>
        </w:rPr>
      </w:pPr>
    </w:p>
    <w:p>
      <w:pPr>
        <w:ind w:firstLine="480" w:firstLineChars="200"/>
      </w:pPr>
    </w:p>
    <w:p>
      <w:pPr>
        <w:pStyle w:val="5"/>
        <w:spacing w:before="93" w:after="93"/>
        <w:ind w:firstLine="560"/>
      </w:pPr>
      <w:r>
        <w:rPr>
          <w:color w:val="000000"/>
        </w:rPr>
        <w:br w:type="page"/>
      </w:r>
      <w:bookmarkStart w:id="111" w:name="_Toc13041"/>
      <w:bookmarkStart w:id="112" w:name="_Toc14294"/>
      <w:bookmarkStart w:id="113" w:name="_Toc22896"/>
      <w:bookmarkStart w:id="114" w:name="_Toc14394"/>
      <w:bookmarkStart w:id="115" w:name="_Toc10025"/>
      <w:bookmarkStart w:id="116" w:name="_Toc15431"/>
      <w:bookmarkStart w:id="117" w:name="_Toc21507"/>
      <w:bookmarkStart w:id="118" w:name="_Toc29247"/>
      <w:r>
        <w:rPr>
          <w:rStyle w:val="28"/>
        </w:rPr>
        <w:t>专业九：森林保护（菌物资源与利用方向）</w:t>
      </w:r>
      <w:bookmarkEnd w:id="111"/>
      <w:bookmarkEnd w:id="112"/>
      <w:bookmarkEnd w:id="113"/>
      <w:bookmarkEnd w:id="114"/>
      <w:bookmarkEnd w:id="115"/>
      <w:bookmarkEnd w:id="116"/>
      <w:bookmarkEnd w:id="117"/>
      <w:bookmarkEnd w:id="118"/>
    </w:p>
    <w:p>
      <w:pPr>
        <w:pStyle w:val="5"/>
        <w:spacing w:before="93" w:after="93"/>
        <w:ind w:firstLine="560"/>
      </w:pPr>
      <w:r>
        <w:t>一、培养目标与规格</w:t>
      </w:r>
    </w:p>
    <w:p>
      <w:pPr>
        <w:ind w:firstLine="480"/>
      </w:pPr>
      <w:r>
        <w:t>本专业培养具有成为高素质人才所具备的人文社科基础知识和人文修养，具有国际化视野和受到严格科学思维的训练，具备扎实的菌物学基础理论、基本知识和基本技能，熟练掌握食药用菌生产、加工、育种及发酵等基础知识与基本技能，具有较强的菌种生产能力、指导栽培能力、产品加工能力、品种选育能力以及生物发酵能力，能在高等学校和科研部门从事菌物学的教学、科学研究工作，能在食药用菌相关企事业单位、生产第一线从事食药用菌研究、开发、生产、加工、技术推广、经营和管理等工作，具有创新创业精神，德、智、体、美等方面全面发展的创新型、应用型高级科学技术人才。</w:t>
      </w:r>
    </w:p>
    <w:p>
      <w:pPr>
        <w:ind w:firstLine="480"/>
      </w:pPr>
      <w:r>
        <w:t>具体分为以下4个子目标：</w:t>
      </w:r>
    </w:p>
    <w:p>
      <w:pPr>
        <w:ind w:firstLine="480"/>
      </w:pPr>
      <w:r>
        <w:t>1.具备崇高的思想道德修养和强烈的社会责任感，具有宽阔的人文社会科学、自然科学领域的基础知识。</w:t>
      </w:r>
    </w:p>
    <w:p>
      <w:pPr>
        <w:ind w:firstLine="480"/>
      </w:pPr>
      <w:r>
        <w:t>2.具备扎实的菌物学基础理论和实践能力，掌握食药用菌资源开发、育种、标准化生产、产品加工及菌糠循环利用等方面的知识和技能。</w:t>
      </w:r>
    </w:p>
    <w:p>
      <w:pPr>
        <w:ind w:firstLine="480"/>
      </w:pPr>
      <w:r>
        <w:t>3.具有较强的实践能力、创新精神、团队精神、国际化视野和管理能力。</w:t>
      </w:r>
    </w:p>
    <w:p>
      <w:pPr>
        <w:ind w:firstLine="480"/>
      </w:pPr>
      <w:r>
        <w:t xml:space="preserve">4.能够从事食药用菌相关领域的教学、科研、技术推广和经营管理等工作的创新型和专业型人才。 </w:t>
      </w:r>
    </w:p>
    <w:p>
      <w:pPr>
        <w:pStyle w:val="5"/>
        <w:spacing w:before="93" w:after="93"/>
        <w:ind w:firstLine="560"/>
      </w:pPr>
      <w:r>
        <w:t>二、培养能力（专业基本情况、在校生规模、课程体系、创新创业教育等）</w:t>
      </w:r>
    </w:p>
    <w:p>
      <w:pPr>
        <w:ind w:firstLine="480"/>
        <w:outlineLvl w:val="3"/>
        <w:rPr>
          <w:rFonts w:eastAsia="黑体"/>
          <w:bCs/>
          <w:kern w:val="0"/>
          <w:szCs w:val="24"/>
        </w:rPr>
      </w:pPr>
      <w:bookmarkStart w:id="119" w:name="OLE_LINK2"/>
      <w:r>
        <w:rPr>
          <w:rFonts w:eastAsia="黑体"/>
          <w:bCs/>
          <w:kern w:val="0"/>
          <w:szCs w:val="24"/>
        </w:rPr>
        <w:t>1.专业基本情况</w:t>
      </w:r>
    </w:p>
    <w:p>
      <w:pPr>
        <w:ind w:firstLine="480"/>
      </w:pPr>
      <w:r>
        <w:t>森林保护（菌物资源与利用方向）本科专业，于2011年设立并开始招生。</w:t>
      </w:r>
      <w:bookmarkEnd w:id="119"/>
      <w:r>
        <w:t>专业基本学制为4年，学习年限为3-8年。按要求完成学业且符合学位授予条件者授予农学学士学位。</w:t>
      </w:r>
    </w:p>
    <w:p>
      <w:pPr>
        <w:ind w:firstLine="480"/>
        <w:outlineLvl w:val="3"/>
        <w:rPr>
          <w:rFonts w:eastAsia="黑体"/>
          <w:bCs/>
          <w:kern w:val="0"/>
          <w:szCs w:val="24"/>
        </w:rPr>
      </w:pPr>
      <w:r>
        <w:rPr>
          <w:rFonts w:eastAsia="黑体"/>
          <w:bCs/>
          <w:kern w:val="0"/>
          <w:szCs w:val="24"/>
        </w:rPr>
        <w:t>2.在校生规模</w:t>
      </w:r>
    </w:p>
    <w:p>
      <w:pPr>
        <w:ind w:firstLine="480"/>
      </w:pPr>
      <w:r>
        <w:t>目前，森林保护（菌物资源与利用方向），现有2019-2021级（2022级大类招生，尚未分专业，未统计在内）3个年级共42名本科学生在读。</w:t>
      </w:r>
    </w:p>
    <w:p>
      <w:pPr>
        <w:ind w:firstLine="480"/>
        <w:outlineLvl w:val="3"/>
        <w:rPr>
          <w:rFonts w:eastAsia="黑体"/>
          <w:bCs/>
          <w:kern w:val="0"/>
          <w:szCs w:val="24"/>
        </w:rPr>
      </w:pPr>
      <w:r>
        <w:rPr>
          <w:rFonts w:eastAsia="黑体"/>
          <w:bCs/>
          <w:kern w:val="0"/>
          <w:szCs w:val="24"/>
        </w:rPr>
        <w:t>3.课程体系</w:t>
      </w:r>
    </w:p>
    <w:p>
      <w:pPr>
        <w:ind w:firstLine="480"/>
      </w:pPr>
      <w:r>
        <w:t>根据新修订的培养方案，本专业课程体系包括通识教育课程、专业教育课程、拓展教育课程和实践教学课程四大类别。</w:t>
      </w:r>
    </w:p>
    <w:p>
      <w:pPr>
        <w:spacing w:line="410" w:lineRule="exact"/>
        <w:ind w:firstLine="480"/>
      </w:pPr>
      <w:r>
        <w:t>通识教育课程包括：《思想道德修养与法律基础》、《马克思主义基本原理》、《中国近现代史纲要》、《毛泽东思想和中国特色社会主义理论体系概论》、《形势与政策1-2》、《大学英语B1-B4》、《计算机文化基础》、《计算机文化基础实验》、《普通体育课1-2》等。</w:t>
      </w:r>
    </w:p>
    <w:p>
      <w:pPr>
        <w:spacing w:line="410" w:lineRule="exact"/>
        <w:ind w:firstLine="480"/>
      </w:pPr>
      <w:r>
        <w:t xml:space="preserve">专业教育课程包括：《高等数学》、《线性代数》、《概率统计》、《无机及分析化学》、《有机化学》、《大学物理学》、《植物学》、《生物化学》、《植物生理学》、《遗传学》、《微生物学》、《分子生物学》、《基础化学实验》、《植物学实验》、《微生物学实验》、《遗传学实验》、《植物生理学实验》、《生物化学实验》、《植物病理学概论》、《昆虫学概论》、《大型真菌分类学》、《普通真菌学》、《生物统计学》、《食用菌栽培学》、《食用菌育种学》、《食用菌储藏与加工技术》、《菌糠资源学》、《食用菌病虫害防治》等。 </w:t>
      </w:r>
    </w:p>
    <w:p>
      <w:pPr>
        <w:spacing w:line="410" w:lineRule="exact"/>
        <w:ind w:firstLine="480"/>
      </w:pPr>
      <w:r>
        <w:t>拓展教育课程包括：《菌物资源学》、《菌物发酵工程与深加工》、《毒菌学》、《食用菌机械设备与原理》、《食用菌研究方法》、《珍稀菌物资源与人工驯化技术》、《食用菌工厂化生产技术》等。</w:t>
      </w:r>
    </w:p>
    <w:p>
      <w:pPr>
        <w:spacing w:line="410" w:lineRule="exact"/>
        <w:ind w:firstLine="480"/>
      </w:pPr>
      <w:r>
        <w:t>专业实践教学体系按照基础实践、专业实践、综合实践三个层次构建。主要实践环节包括：军事理论及训练、劳动、思政社会实践、社会实践与调查报告、菌物专业认识实习、大型真菌分类实习、食用菌栽培学综合实习、食用菌栽培学课程论文、创新创业实践、毕业实习及报告、毕业论文等。</w:t>
      </w:r>
    </w:p>
    <w:p>
      <w:pPr>
        <w:spacing w:line="410" w:lineRule="exact"/>
        <w:ind w:firstLine="480"/>
      </w:pPr>
      <w:bookmarkStart w:id="120" w:name="_Hlk27649660"/>
      <w:r>
        <w:t>课程共</w:t>
      </w:r>
      <w:bookmarkEnd w:id="120"/>
      <w:r>
        <w:t xml:space="preserve">170学分，其中必修课107.5学分，占课程总学分的63.24%，选修课31学分，占课程总学分的18.23%。实践教学环节总学分为31.5学分，占毕业总学分的18.53%。 </w:t>
      </w:r>
    </w:p>
    <w:p>
      <w:pPr>
        <w:pStyle w:val="6"/>
        <w:ind w:firstLine="480"/>
      </w:pPr>
      <w:r>
        <w:t>4.创新创业教育</w:t>
      </w:r>
    </w:p>
    <w:p>
      <w:pPr>
        <w:spacing w:line="410" w:lineRule="exact"/>
        <w:ind w:firstLine="480"/>
        <w:outlineLvl w:val="3"/>
      </w:pPr>
      <w:r>
        <w:t>为进一步推动创新创业与专业教育的有机融合,专业在提高同学们技能的同时,也培养着他们创新创业的能力。专业由此将创新创业教育纳入到人才培养体系，齐头并进，从学科、实践、比赛、科研等方面着手——开设了《大学生生涯规划》、《大学生创新创业教育》等系列课程，并通过</w:t>
      </w:r>
      <w:r>
        <w:rPr>
          <w:rFonts w:hint="eastAsia"/>
        </w:rPr>
        <w:t>“</w:t>
      </w:r>
      <w:r>
        <w:t>山农A+</w:t>
      </w:r>
      <w:r>
        <w:rPr>
          <w:rFonts w:hint="eastAsia"/>
        </w:rPr>
        <w:t>”</w:t>
      </w:r>
      <w:r>
        <w:t>双创论坛、启益人生名师名家讲坛等活动，提升本专业学生的创新意识和创业素养。同时结合《菌物资源与利用研究进展》和《食用菌工厂化生产》课程的开设，聘请知名菌物专家学者和企业家为学生答疑解惑。从创新创业知识与专业知识互补的角度出发，搭配适当的选修课建议组合供学生选择，也可根据专业相关性直接提供一定量的选修内容由学生自由搭配，不断开发适合不同学生群体的课程内容与实践案例。</w:t>
      </w:r>
    </w:p>
    <w:p>
      <w:pPr>
        <w:spacing w:line="410" w:lineRule="exact"/>
        <w:ind w:firstLine="480"/>
        <w:outlineLvl w:val="3"/>
      </w:pPr>
      <w:r>
        <w:t>在实践环节为培养专业学生的创业能力为此设置了2个创新创业实践学分，并且滚动开设了大学生研究训练计划（SRT）、</w:t>
      </w:r>
      <w:r>
        <w:rPr>
          <w:rFonts w:hint="eastAsia"/>
        </w:rPr>
        <w:t>“</w:t>
      </w:r>
      <w:r>
        <w:t>互联网+</w:t>
      </w:r>
      <w:r>
        <w:rPr>
          <w:rFonts w:hint="eastAsia"/>
        </w:rPr>
        <w:t>”</w:t>
      </w:r>
      <w:r>
        <w:t>创新创业大赛、</w:t>
      </w:r>
      <w:r>
        <w:rPr>
          <w:rFonts w:hint="eastAsia"/>
        </w:rPr>
        <w:t>“</w:t>
      </w:r>
      <w:r>
        <w:t>创青春</w:t>
      </w:r>
      <w:r>
        <w:rPr>
          <w:rFonts w:hint="eastAsia"/>
        </w:rPr>
        <w:t>”</w:t>
      </w:r>
      <w:r>
        <w:t>全国大学生创业大赛等多个项目，学生可以根据个人兴趣及自身发展需要有选择地参加，为营造</w:t>
      </w:r>
      <w:r>
        <w:rPr>
          <w:rFonts w:hint="eastAsia"/>
        </w:rPr>
        <w:t>“</w:t>
      </w:r>
      <w:r>
        <w:t>五创</w:t>
      </w:r>
      <w:r>
        <w:rPr>
          <w:rFonts w:hint="eastAsia"/>
        </w:rPr>
        <w:t>”</w:t>
      </w:r>
      <w:r>
        <w:t>有机融合的新局面奠定基础。</w:t>
      </w:r>
    </w:p>
    <w:p>
      <w:pPr>
        <w:spacing w:line="410" w:lineRule="exact"/>
        <w:ind w:firstLine="480"/>
        <w:outlineLvl w:val="3"/>
      </w:pPr>
      <w:r>
        <w:t>同时，立足于学科和专业，全面推行本科生导师制，从实验室走向生产实践，从科学研究走向社会服务。2021-2022年度，学生参加科技社团、SRT、创新创业等各类项目比例达70%以上。</w:t>
      </w:r>
    </w:p>
    <w:p>
      <w:pPr>
        <w:spacing w:line="240" w:lineRule="auto"/>
        <w:jc w:val="center"/>
        <w:rPr>
          <w:b/>
          <w:bCs/>
          <w:sz w:val="21"/>
          <w:szCs w:val="21"/>
        </w:rPr>
      </w:pPr>
      <w:r>
        <w:rPr>
          <w:b/>
          <w:bCs/>
          <w:sz w:val="21"/>
          <w:szCs w:val="21"/>
        </w:rPr>
        <w:t>表1  2018-2021级菌物专业创新创业大赛获奖情况</w:t>
      </w:r>
    </w:p>
    <w:tbl>
      <w:tblPr>
        <w:tblStyle w:val="17"/>
        <w:tblW w:w="86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9"/>
        <w:gridCol w:w="5235"/>
        <w:gridCol w:w="898"/>
        <w:gridCol w:w="16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4" w:hRule="atLeast"/>
          <w:jc w:val="center"/>
        </w:trPr>
        <w:tc>
          <w:tcPr>
            <w:tcW w:w="879" w:type="dxa"/>
            <w:noWrap/>
            <w:vAlign w:val="center"/>
          </w:tcPr>
          <w:p>
            <w:pPr>
              <w:widowControl/>
              <w:spacing w:line="240" w:lineRule="auto"/>
              <w:ind w:left="-120" w:leftChars="-50" w:right="-120" w:rightChars="-50"/>
              <w:jc w:val="center"/>
              <w:rPr>
                <w:b/>
                <w:color w:val="000000"/>
                <w:kern w:val="0"/>
                <w:sz w:val="21"/>
                <w:szCs w:val="21"/>
              </w:rPr>
            </w:pPr>
            <w:r>
              <w:rPr>
                <w:b/>
                <w:color w:val="000000"/>
                <w:kern w:val="0"/>
                <w:sz w:val="21"/>
                <w:szCs w:val="21"/>
              </w:rPr>
              <w:t>序号</w:t>
            </w:r>
          </w:p>
        </w:tc>
        <w:tc>
          <w:tcPr>
            <w:tcW w:w="5235" w:type="dxa"/>
            <w:noWrap/>
            <w:vAlign w:val="center"/>
          </w:tcPr>
          <w:p>
            <w:pPr>
              <w:widowControl/>
              <w:spacing w:line="240" w:lineRule="auto"/>
              <w:ind w:left="-120" w:leftChars="-50" w:right="-120" w:rightChars="-50"/>
              <w:jc w:val="center"/>
              <w:rPr>
                <w:b/>
                <w:color w:val="000000"/>
                <w:kern w:val="0"/>
                <w:sz w:val="21"/>
                <w:szCs w:val="21"/>
              </w:rPr>
            </w:pPr>
            <w:r>
              <w:rPr>
                <w:b/>
                <w:color w:val="000000"/>
                <w:kern w:val="0"/>
                <w:sz w:val="21"/>
                <w:szCs w:val="21"/>
              </w:rPr>
              <w:t>比赛名称</w:t>
            </w:r>
          </w:p>
        </w:tc>
        <w:tc>
          <w:tcPr>
            <w:tcW w:w="898" w:type="dxa"/>
            <w:noWrap/>
            <w:vAlign w:val="center"/>
          </w:tcPr>
          <w:p>
            <w:pPr>
              <w:widowControl/>
              <w:spacing w:line="240" w:lineRule="auto"/>
              <w:ind w:left="-120" w:leftChars="-50" w:right="-120" w:rightChars="-50"/>
              <w:jc w:val="center"/>
              <w:rPr>
                <w:b/>
                <w:color w:val="000000"/>
                <w:kern w:val="0"/>
                <w:sz w:val="21"/>
                <w:szCs w:val="21"/>
              </w:rPr>
            </w:pPr>
            <w:r>
              <w:rPr>
                <w:b/>
                <w:color w:val="000000"/>
                <w:kern w:val="0"/>
                <w:sz w:val="21"/>
                <w:szCs w:val="21"/>
              </w:rPr>
              <w:t>获奖等级</w:t>
            </w:r>
          </w:p>
        </w:tc>
        <w:tc>
          <w:tcPr>
            <w:tcW w:w="1645" w:type="dxa"/>
            <w:vAlign w:val="center"/>
          </w:tcPr>
          <w:p>
            <w:pPr>
              <w:widowControl/>
              <w:spacing w:line="240" w:lineRule="auto"/>
              <w:ind w:left="-120" w:leftChars="-50" w:right="-120" w:rightChars="-50"/>
              <w:jc w:val="center"/>
              <w:rPr>
                <w:b/>
                <w:color w:val="000000"/>
                <w:kern w:val="0"/>
                <w:sz w:val="21"/>
                <w:szCs w:val="21"/>
              </w:rPr>
            </w:pPr>
            <w:r>
              <w:rPr>
                <w:b/>
                <w:color w:val="000000"/>
                <w:kern w:val="0"/>
                <w:sz w:val="21"/>
                <w:szCs w:val="21"/>
              </w:rPr>
              <w:t>获奖人数（人）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879" w:type="dxa"/>
            <w:noWrap/>
            <w:vAlign w:val="center"/>
          </w:tcPr>
          <w:p>
            <w:pPr>
              <w:widowControl/>
              <w:spacing w:line="280" w:lineRule="exact"/>
              <w:jc w:val="center"/>
              <w:rPr>
                <w:sz w:val="21"/>
                <w:szCs w:val="21"/>
              </w:rPr>
            </w:pPr>
            <w:r>
              <w:rPr>
                <w:sz w:val="21"/>
                <w:szCs w:val="21"/>
              </w:rPr>
              <w:t>1</w:t>
            </w:r>
          </w:p>
        </w:tc>
        <w:tc>
          <w:tcPr>
            <w:tcW w:w="5235" w:type="dxa"/>
            <w:vAlign w:val="center"/>
          </w:tcPr>
          <w:p>
            <w:pPr>
              <w:widowControl/>
              <w:spacing w:line="280" w:lineRule="exact"/>
              <w:jc w:val="left"/>
              <w:rPr>
                <w:sz w:val="21"/>
                <w:szCs w:val="21"/>
              </w:rPr>
            </w:pPr>
            <w:r>
              <w:rPr>
                <w:sz w:val="21"/>
                <w:szCs w:val="21"/>
              </w:rPr>
              <w:t>第六届</w:t>
            </w:r>
            <w:r>
              <w:rPr>
                <w:rFonts w:hint="eastAsia"/>
                <w:sz w:val="21"/>
                <w:szCs w:val="21"/>
              </w:rPr>
              <w:t>“</w:t>
            </w:r>
            <w:r>
              <w:rPr>
                <w:sz w:val="21"/>
                <w:szCs w:val="21"/>
              </w:rPr>
              <w:t>互联网+</w:t>
            </w:r>
            <w:r>
              <w:rPr>
                <w:rFonts w:hint="eastAsia"/>
                <w:sz w:val="21"/>
                <w:szCs w:val="21"/>
              </w:rPr>
              <w:t>”</w:t>
            </w:r>
            <w:r>
              <w:rPr>
                <w:sz w:val="21"/>
                <w:szCs w:val="21"/>
              </w:rPr>
              <w:t>大学生创新创业大赛</w:t>
            </w:r>
          </w:p>
        </w:tc>
        <w:tc>
          <w:tcPr>
            <w:tcW w:w="898" w:type="dxa"/>
            <w:vAlign w:val="center"/>
          </w:tcPr>
          <w:p>
            <w:pPr>
              <w:widowControl/>
              <w:spacing w:line="240" w:lineRule="auto"/>
              <w:jc w:val="center"/>
              <w:rPr>
                <w:sz w:val="21"/>
                <w:szCs w:val="21"/>
              </w:rPr>
            </w:pPr>
            <w:r>
              <w:rPr>
                <w:sz w:val="21"/>
                <w:szCs w:val="21"/>
              </w:rPr>
              <w:t>省级</w:t>
            </w:r>
          </w:p>
        </w:tc>
        <w:tc>
          <w:tcPr>
            <w:tcW w:w="1645" w:type="dxa"/>
            <w:vAlign w:val="center"/>
          </w:tcPr>
          <w:p>
            <w:pPr>
              <w:widowControl/>
              <w:spacing w:line="280" w:lineRule="exact"/>
              <w:jc w:val="center"/>
              <w:rPr>
                <w:sz w:val="21"/>
                <w:szCs w:val="21"/>
              </w:rPr>
            </w:pPr>
            <w:r>
              <w:rPr>
                <w:sz w:val="21"/>
                <w:szCs w:val="21"/>
              </w:rPr>
              <w:t xml:space="preserve">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879" w:type="dxa"/>
            <w:noWrap/>
            <w:vAlign w:val="center"/>
          </w:tcPr>
          <w:p>
            <w:pPr>
              <w:widowControl/>
              <w:spacing w:line="280" w:lineRule="exact"/>
              <w:jc w:val="center"/>
              <w:rPr>
                <w:sz w:val="21"/>
                <w:szCs w:val="21"/>
              </w:rPr>
            </w:pPr>
            <w:r>
              <w:rPr>
                <w:sz w:val="21"/>
                <w:szCs w:val="21"/>
              </w:rPr>
              <w:t>2</w:t>
            </w:r>
          </w:p>
        </w:tc>
        <w:tc>
          <w:tcPr>
            <w:tcW w:w="5235" w:type="dxa"/>
            <w:vAlign w:val="center"/>
          </w:tcPr>
          <w:p>
            <w:pPr>
              <w:widowControl/>
              <w:spacing w:line="280" w:lineRule="exact"/>
              <w:jc w:val="left"/>
              <w:rPr>
                <w:sz w:val="21"/>
                <w:szCs w:val="21"/>
              </w:rPr>
            </w:pPr>
            <w:r>
              <w:rPr>
                <w:sz w:val="21"/>
                <w:szCs w:val="21"/>
              </w:rPr>
              <w:t>第六届</w:t>
            </w:r>
            <w:r>
              <w:rPr>
                <w:rFonts w:hint="eastAsia"/>
                <w:sz w:val="21"/>
                <w:szCs w:val="21"/>
              </w:rPr>
              <w:t>“</w:t>
            </w:r>
            <w:r>
              <w:rPr>
                <w:sz w:val="21"/>
                <w:szCs w:val="21"/>
              </w:rPr>
              <w:t>互联网+</w:t>
            </w:r>
            <w:r>
              <w:rPr>
                <w:rFonts w:hint="eastAsia"/>
                <w:sz w:val="21"/>
                <w:szCs w:val="21"/>
              </w:rPr>
              <w:t>”</w:t>
            </w:r>
            <w:r>
              <w:rPr>
                <w:sz w:val="21"/>
                <w:szCs w:val="21"/>
              </w:rPr>
              <w:t>大学生创新创业大赛</w:t>
            </w:r>
          </w:p>
        </w:tc>
        <w:tc>
          <w:tcPr>
            <w:tcW w:w="898" w:type="dxa"/>
            <w:vAlign w:val="center"/>
          </w:tcPr>
          <w:p>
            <w:pPr>
              <w:widowControl/>
              <w:spacing w:line="240" w:lineRule="auto"/>
              <w:jc w:val="center"/>
              <w:rPr>
                <w:sz w:val="21"/>
                <w:szCs w:val="21"/>
              </w:rPr>
            </w:pPr>
            <w:r>
              <w:rPr>
                <w:sz w:val="21"/>
                <w:szCs w:val="21"/>
              </w:rPr>
              <w:t>校级</w:t>
            </w:r>
          </w:p>
        </w:tc>
        <w:tc>
          <w:tcPr>
            <w:tcW w:w="1645" w:type="dxa"/>
            <w:vAlign w:val="center"/>
          </w:tcPr>
          <w:p>
            <w:pPr>
              <w:widowControl/>
              <w:spacing w:line="280" w:lineRule="exact"/>
              <w:jc w:val="center"/>
              <w:rPr>
                <w:sz w:val="21"/>
                <w:szCs w:val="21"/>
              </w:rPr>
            </w:pPr>
            <w:r>
              <w:rPr>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879" w:type="dxa"/>
            <w:noWrap/>
            <w:vAlign w:val="center"/>
          </w:tcPr>
          <w:p>
            <w:pPr>
              <w:widowControl/>
              <w:spacing w:line="280" w:lineRule="exact"/>
              <w:jc w:val="center"/>
              <w:rPr>
                <w:sz w:val="21"/>
                <w:szCs w:val="21"/>
              </w:rPr>
            </w:pPr>
            <w:r>
              <w:rPr>
                <w:sz w:val="21"/>
                <w:szCs w:val="21"/>
              </w:rPr>
              <w:t>3</w:t>
            </w:r>
          </w:p>
        </w:tc>
        <w:tc>
          <w:tcPr>
            <w:tcW w:w="5235" w:type="dxa"/>
            <w:vAlign w:val="center"/>
          </w:tcPr>
          <w:p>
            <w:pPr>
              <w:widowControl/>
              <w:spacing w:line="280" w:lineRule="exact"/>
              <w:jc w:val="left"/>
              <w:rPr>
                <w:sz w:val="21"/>
                <w:szCs w:val="21"/>
              </w:rPr>
            </w:pPr>
            <w:r>
              <w:rPr>
                <w:sz w:val="21"/>
                <w:szCs w:val="21"/>
              </w:rPr>
              <w:t>第七届</w:t>
            </w:r>
            <w:r>
              <w:rPr>
                <w:rFonts w:hint="eastAsia"/>
                <w:sz w:val="21"/>
                <w:szCs w:val="21"/>
              </w:rPr>
              <w:t>“</w:t>
            </w:r>
            <w:r>
              <w:rPr>
                <w:sz w:val="21"/>
                <w:szCs w:val="21"/>
              </w:rPr>
              <w:t>互联网+</w:t>
            </w:r>
            <w:r>
              <w:rPr>
                <w:rFonts w:hint="eastAsia"/>
                <w:sz w:val="21"/>
                <w:szCs w:val="21"/>
              </w:rPr>
              <w:t>”</w:t>
            </w:r>
            <w:r>
              <w:rPr>
                <w:sz w:val="21"/>
                <w:szCs w:val="21"/>
              </w:rPr>
              <w:t>大学生创新创业大赛</w:t>
            </w:r>
          </w:p>
        </w:tc>
        <w:tc>
          <w:tcPr>
            <w:tcW w:w="898" w:type="dxa"/>
            <w:vAlign w:val="center"/>
          </w:tcPr>
          <w:p>
            <w:pPr>
              <w:widowControl/>
              <w:spacing w:line="240" w:lineRule="auto"/>
              <w:jc w:val="center"/>
              <w:rPr>
                <w:sz w:val="21"/>
                <w:szCs w:val="21"/>
              </w:rPr>
            </w:pPr>
            <w:r>
              <w:rPr>
                <w:sz w:val="21"/>
                <w:szCs w:val="21"/>
              </w:rPr>
              <w:t>校级</w:t>
            </w:r>
          </w:p>
        </w:tc>
        <w:tc>
          <w:tcPr>
            <w:tcW w:w="1645" w:type="dxa"/>
            <w:vAlign w:val="center"/>
          </w:tcPr>
          <w:p>
            <w:pPr>
              <w:widowControl/>
              <w:spacing w:line="280" w:lineRule="exact"/>
              <w:jc w:val="center"/>
              <w:rPr>
                <w:sz w:val="21"/>
                <w:szCs w:val="21"/>
              </w:rPr>
            </w:pPr>
            <w:r>
              <w:rPr>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879" w:type="dxa"/>
            <w:noWrap/>
            <w:vAlign w:val="center"/>
          </w:tcPr>
          <w:p>
            <w:pPr>
              <w:widowControl/>
              <w:spacing w:line="280" w:lineRule="exact"/>
              <w:jc w:val="center"/>
              <w:rPr>
                <w:sz w:val="21"/>
                <w:szCs w:val="21"/>
              </w:rPr>
            </w:pPr>
            <w:r>
              <w:rPr>
                <w:sz w:val="21"/>
                <w:szCs w:val="21"/>
              </w:rPr>
              <w:t>4</w:t>
            </w:r>
          </w:p>
        </w:tc>
        <w:tc>
          <w:tcPr>
            <w:tcW w:w="5235" w:type="dxa"/>
            <w:vAlign w:val="center"/>
          </w:tcPr>
          <w:p>
            <w:pPr>
              <w:widowControl/>
              <w:spacing w:line="280" w:lineRule="exact"/>
              <w:jc w:val="left"/>
              <w:rPr>
                <w:sz w:val="21"/>
                <w:szCs w:val="21"/>
              </w:rPr>
            </w:pPr>
            <w:r>
              <w:rPr>
                <w:sz w:val="21"/>
                <w:szCs w:val="21"/>
              </w:rPr>
              <w:t>第十三届山东省大学生科技节—山东省大学生创业计划大赛</w:t>
            </w:r>
          </w:p>
        </w:tc>
        <w:tc>
          <w:tcPr>
            <w:tcW w:w="898" w:type="dxa"/>
            <w:vAlign w:val="center"/>
          </w:tcPr>
          <w:p>
            <w:pPr>
              <w:widowControl/>
              <w:spacing w:line="240" w:lineRule="auto"/>
              <w:jc w:val="center"/>
              <w:rPr>
                <w:sz w:val="21"/>
                <w:szCs w:val="21"/>
              </w:rPr>
            </w:pPr>
            <w:r>
              <w:rPr>
                <w:sz w:val="21"/>
                <w:szCs w:val="21"/>
              </w:rPr>
              <w:t>省级</w:t>
            </w:r>
          </w:p>
        </w:tc>
        <w:tc>
          <w:tcPr>
            <w:tcW w:w="1645" w:type="dxa"/>
            <w:vAlign w:val="center"/>
          </w:tcPr>
          <w:p>
            <w:pPr>
              <w:widowControl/>
              <w:spacing w:line="280" w:lineRule="exact"/>
              <w:jc w:val="center"/>
              <w:rPr>
                <w:sz w:val="21"/>
                <w:szCs w:val="21"/>
              </w:rPr>
            </w:pPr>
            <w:r>
              <w:rPr>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879" w:type="dxa"/>
            <w:noWrap/>
            <w:vAlign w:val="center"/>
          </w:tcPr>
          <w:p>
            <w:pPr>
              <w:widowControl/>
              <w:spacing w:line="240" w:lineRule="auto"/>
              <w:jc w:val="center"/>
              <w:rPr>
                <w:sz w:val="21"/>
                <w:szCs w:val="21"/>
              </w:rPr>
            </w:pPr>
            <w:bookmarkStart w:id="121" w:name="_Hlk52655969"/>
            <w:r>
              <w:rPr>
                <w:sz w:val="21"/>
                <w:szCs w:val="21"/>
              </w:rPr>
              <w:t>5</w:t>
            </w:r>
          </w:p>
        </w:tc>
        <w:tc>
          <w:tcPr>
            <w:tcW w:w="5235" w:type="dxa"/>
            <w:noWrap/>
            <w:vAlign w:val="center"/>
          </w:tcPr>
          <w:p>
            <w:pPr>
              <w:widowControl/>
              <w:spacing w:line="280" w:lineRule="exact"/>
              <w:jc w:val="left"/>
              <w:rPr>
                <w:sz w:val="21"/>
                <w:szCs w:val="21"/>
              </w:rPr>
            </w:pPr>
            <w:r>
              <w:rPr>
                <w:sz w:val="21"/>
                <w:szCs w:val="21"/>
              </w:rPr>
              <w:t>第十四届全国大学生创新创业年会竞赛</w:t>
            </w:r>
          </w:p>
        </w:tc>
        <w:tc>
          <w:tcPr>
            <w:tcW w:w="898" w:type="dxa"/>
            <w:noWrap/>
            <w:vAlign w:val="center"/>
          </w:tcPr>
          <w:p>
            <w:pPr>
              <w:widowControl/>
              <w:spacing w:line="240" w:lineRule="auto"/>
              <w:jc w:val="center"/>
              <w:rPr>
                <w:sz w:val="21"/>
                <w:szCs w:val="21"/>
              </w:rPr>
            </w:pPr>
            <w:r>
              <w:rPr>
                <w:sz w:val="21"/>
                <w:szCs w:val="21"/>
              </w:rPr>
              <w:t>校级</w:t>
            </w:r>
          </w:p>
        </w:tc>
        <w:tc>
          <w:tcPr>
            <w:tcW w:w="1645" w:type="dxa"/>
            <w:vAlign w:val="center"/>
          </w:tcPr>
          <w:p>
            <w:pPr>
              <w:widowControl/>
              <w:spacing w:line="280" w:lineRule="exact"/>
              <w:jc w:val="center"/>
              <w:rPr>
                <w:sz w:val="21"/>
                <w:szCs w:val="21"/>
              </w:rPr>
            </w:pPr>
            <w:r>
              <w:rPr>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879" w:type="dxa"/>
            <w:noWrap/>
            <w:vAlign w:val="center"/>
          </w:tcPr>
          <w:p>
            <w:pPr>
              <w:widowControl/>
              <w:spacing w:line="240" w:lineRule="auto"/>
              <w:jc w:val="center"/>
              <w:rPr>
                <w:sz w:val="21"/>
                <w:szCs w:val="21"/>
              </w:rPr>
            </w:pPr>
            <w:r>
              <w:rPr>
                <w:sz w:val="21"/>
                <w:szCs w:val="21"/>
              </w:rPr>
              <w:t>6</w:t>
            </w:r>
          </w:p>
        </w:tc>
        <w:tc>
          <w:tcPr>
            <w:tcW w:w="5235" w:type="dxa"/>
            <w:noWrap/>
            <w:vAlign w:val="center"/>
          </w:tcPr>
          <w:p>
            <w:pPr>
              <w:widowControl/>
              <w:spacing w:line="280" w:lineRule="exact"/>
              <w:jc w:val="left"/>
              <w:rPr>
                <w:sz w:val="21"/>
                <w:szCs w:val="21"/>
              </w:rPr>
            </w:pPr>
            <w:r>
              <w:rPr>
                <w:sz w:val="21"/>
                <w:szCs w:val="21"/>
              </w:rPr>
              <w:t>第七届山东省科技创新大赛</w:t>
            </w:r>
          </w:p>
        </w:tc>
        <w:tc>
          <w:tcPr>
            <w:tcW w:w="898" w:type="dxa"/>
            <w:noWrap/>
            <w:vAlign w:val="center"/>
          </w:tcPr>
          <w:p>
            <w:pPr>
              <w:widowControl/>
              <w:spacing w:line="240" w:lineRule="auto"/>
              <w:jc w:val="center"/>
              <w:rPr>
                <w:sz w:val="21"/>
                <w:szCs w:val="21"/>
              </w:rPr>
            </w:pPr>
            <w:r>
              <w:rPr>
                <w:sz w:val="21"/>
                <w:szCs w:val="21"/>
              </w:rPr>
              <w:t>省级</w:t>
            </w:r>
          </w:p>
        </w:tc>
        <w:tc>
          <w:tcPr>
            <w:tcW w:w="1645" w:type="dxa"/>
            <w:vAlign w:val="center"/>
          </w:tcPr>
          <w:p>
            <w:pPr>
              <w:widowControl/>
              <w:spacing w:line="280" w:lineRule="exact"/>
              <w:jc w:val="center"/>
              <w:rPr>
                <w:sz w:val="21"/>
                <w:szCs w:val="21"/>
              </w:rPr>
            </w:pPr>
            <w:r>
              <w:rPr>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879" w:type="dxa"/>
            <w:noWrap/>
            <w:vAlign w:val="center"/>
          </w:tcPr>
          <w:p>
            <w:pPr>
              <w:widowControl/>
              <w:spacing w:line="280" w:lineRule="exact"/>
              <w:jc w:val="center"/>
              <w:rPr>
                <w:sz w:val="21"/>
                <w:szCs w:val="21"/>
              </w:rPr>
            </w:pPr>
            <w:r>
              <w:rPr>
                <w:sz w:val="21"/>
                <w:szCs w:val="21"/>
              </w:rPr>
              <w:t>7</w:t>
            </w:r>
          </w:p>
        </w:tc>
        <w:tc>
          <w:tcPr>
            <w:tcW w:w="5235" w:type="dxa"/>
            <w:noWrap/>
            <w:vAlign w:val="center"/>
          </w:tcPr>
          <w:p>
            <w:pPr>
              <w:widowControl/>
              <w:spacing w:line="280" w:lineRule="exact"/>
              <w:jc w:val="left"/>
              <w:rPr>
                <w:sz w:val="21"/>
                <w:szCs w:val="21"/>
              </w:rPr>
            </w:pPr>
            <w:r>
              <w:rPr>
                <w:sz w:val="21"/>
                <w:szCs w:val="21"/>
              </w:rPr>
              <w:t>第七届山东省科技创新大赛</w:t>
            </w:r>
          </w:p>
        </w:tc>
        <w:tc>
          <w:tcPr>
            <w:tcW w:w="898" w:type="dxa"/>
            <w:noWrap/>
            <w:vAlign w:val="center"/>
          </w:tcPr>
          <w:p>
            <w:pPr>
              <w:widowControl/>
              <w:spacing w:line="240" w:lineRule="auto"/>
              <w:jc w:val="center"/>
              <w:rPr>
                <w:sz w:val="21"/>
                <w:szCs w:val="21"/>
              </w:rPr>
            </w:pPr>
            <w:r>
              <w:rPr>
                <w:sz w:val="21"/>
                <w:szCs w:val="21"/>
              </w:rPr>
              <w:t>校级</w:t>
            </w:r>
          </w:p>
        </w:tc>
        <w:tc>
          <w:tcPr>
            <w:tcW w:w="1645" w:type="dxa"/>
            <w:vAlign w:val="center"/>
          </w:tcPr>
          <w:p>
            <w:pPr>
              <w:widowControl/>
              <w:spacing w:line="280" w:lineRule="exact"/>
              <w:jc w:val="center"/>
              <w:rPr>
                <w:sz w:val="21"/>
                <w:szCs w:val="21"/>
              </w:rPr>
            </w:pPr>
            <w:r>
              <w:rPr>
                <w:sz w:val="21"/>
                <w:szCs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879" w:type="dxa"/>
            <w:noWrap/>
            <w:vAlign w:val="center"/>
          </w:tcPr>
          <w:p>
            <w:pPr>
              <w:widowControl/>
              <w:spacing w:line="280" w:lineRule="exact"/>
              <w:jc w:val="center"/>
              <w:rPr>
                <w:sz w:val="21"/>
                <w:szCs w:val="21"/>
              </w:rPr>
            </w:pPr>
            <w:r>
              <w:rPr>
                <w:sz w:val="21"/>
                <w:szCs w:val="21"/>
              </w:rPr>
              <w:t>8</w:t>
            </w:r>
          </w:p>
        </w:tc>
        <w:tc>
          <w:tcPr>
            <w:tcW w:w="5235" w:type="dxa"/>
            <w:noWrap/>
            <w:vAlign w:val="center"/>
          </w:tcPr>
          <w:p>
            <w:pPr>
              <w:widowControl/>
              <w:spacing w:line="280" w:lineRule="exact"/>
              <w:jc w:val="left"/>
              <w:rPr>
                <w:sz w:val="21"/>
                <w:szCs w:val="21"/>
              </w:rPr>
            </w:pPr>
            <w:r>
              <w:rPr>
                <w:rFonts w:hint="eastAsia"/>
                <w:sz w:val="21"/>
                <w:szCs w:val="21"/>
              </w:rPr>
              <w:t>“</w:t>
            </w:r>
            <w:r>
              <w:rPr>
                <w:sz w:val="21"/>
                <w:szCs w:val="21"/>
              </w:rPr>
              <w:t>创青春</w:t>
            </w:r>
            <w:r>
              <w:rPr>
                <w:rFonts w:hint="eastAsia"/>
                <w:sz w:val="21"/>
                <w:szCs w:val="21"/>
              </w:rPr>
              <w:t>”</w:t>
            </w:r>
            <w:r>
              <w:rPr>
                <w:sz w:val="21"/>
                <w:szCs w:val="21"/>
              </w:rPr>
              <w:t>大学生创业大赛</w:t>
            </w:r>
          </w:p>
        </w:tc>
        <w:tc>
          <w:tcPr>
            <w:tcW w:w="898" w:type="dxa"/>
            <w:noWrap/>
            <w:vAlign w:val="center"/>
          </w:tcPr>
          <w:p>
            <w:pPr>
              <w:widowControl/>
              <w:spacing w:line="240" w:lineRule="auto"/>
              <w:jc w:val="center"/>
              <w:rPr>
                <w:sz w:val="21"/>
                <w:szCs w:val="21"/>
              </w:rPr>
            </w:pPr>
            <w:r>
              <w:rPr>
                <w:sz w:val="21"/>
                <w:szCs w:val="21"/>
              </w:rPr>
              <w:t>省级</w:t>
            </w:r>
          </w:p>
        </w:tc>
        <w:tc>
          <w:tcPr>
            <w:tcW w:w="1645" w:type="dxa"/>
            <w:vAlign w:val="center"/>
          </w:tcPr>
          <w:p>
            <w:pPr>
              <w:widowControl/>
              <w:spacing w:line="280" w:lineRule="exact"/>
              <w:jc w:val="center"/>
              <w:rPr>
                <w:sz w:val="21"/>
                <w:szCs w:val="21"/>
              </w:rPr>
            </w:pPr>
            <w:r>
              <w:rPr>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879" w:type="dxa"/>
            <w:noWrap/>
            <w:vAlign w:val="center"/>
          </w:tcPr>
          <w:p>
            <w:pPr>
              <w:widowControl/>
              <w:spacing w:line="280" w:lineRule="exact"/>
              <w:jc w:val="center"/>
              <w:rPr>
                <w:sz w:val="21"/>
                <w:szCs w:val="21"/>
              </w:rPr>
            </w:pPr>
            <w:r>
              <w:rPr>
                <w:sz w:val="21"/>
                <w:szCs w:val="21"/>
              </w:rPr>
              <w:t>9</w:t>
            </w:r>
          </w:p>
        </w:tc>
        <w:tc>
          <w:tcPr>
            <w:tcW w:w="5235" w:type="dxa"/>
            <w:noWrap/>
            <w:vAlign w:val="center"/>
          </w:tcPr>
          <w:p>
            <w:pPr>
              <w:widowControl/>
              <w:spacing w:line="280" w:lineRule="exact"/>
              <w:jc w:val="left"/>
              <w:rPr>
                <w:sz w:val="21"/>
                <w:szCs w:val="21"/>
              </w:rPr>
            </w:pPr>
            <w:r>
              <w:rPr>
                <w:sz w:val="21"/>
                <w:szCs w:val="21"/>
              </w:rPr>
              <w:t>第三届</w:t>
            </w:r>
            <w:r>
              <w:rPr>
                <w:rFonts w:hint="eastAsia"/>
                <w:sz w:val="21"/>
                <w:szCs w:val="21"/>
              </w:rPr>
              <w:t>“</w:t>
            </w:r>
            <w:r>
              <w:rPr>
                <w:sz w:val="21"/>
                <w:szCs w:val="21"/>
              </w:rPr>
              <w:t>祥辰杯</w:t>
            </w:r>
            <w:r>
              <w:rPr>
                <w:rFonts w:hint="eastAsia"/>
                <w:sz w:val="21"/>
                <w:szCs w:val="21"/>
              </w:rPr>
              <w:t>”</w:t>
            </w:r>
            <w:r>
              <w:rPr>
                <w:sz w:val="21"/>
                <w:szCs w:val="21"/>
              </w:rPr>
              <w:t>山东省大学生昆虫创意作品设计大赛</w:t>
            </w:r>
          </w:p>
        </w:tc>
        <w:tc>
          <w:tcPr>
            <w:tcW w:w="898" w:type="dxa"/>
            <w:noWrap/>
            <w:vAlign w:val="center"/>
          </w:tcPr>
          <w:p>
            <w:pPr>
              <w:widowControl/>
              <w:spacing w:line="240" w:lineRule="auto"/>
              <w:jc w:val="center"/>
              <w:rPr>
                <w:sz w:val="21"/>
                <w:szCs w:val="21"/>
              </w:rPr>
            </w:pPr>
            <w:r>
              <w:rPr>
                <w:sz w:val="21"/>
                <w:szCs w:val="21"/>
              </w:rPr>
              <w:t>省级</w:t>
            </w:r>
          </w:p>
        </w:tc>
        <w:tc>
          <w:tcPr>
            <w:tcW w:w="1645" w:type="dxa"/>
            <w:vAlign w:val="center"/>
          </w:tcPr>
          <w:p>
            <w:pPr>
              <w:widowControl/>
              <w:spacing w:line="280" w:lineRule="exact"/>
              <w:jc w:val="center"/>
              <w:rPr>
                <w:sz w:val="21"/>
                <w:szCs w:val="21"/>
              </w:rPr>
            </w:pPr>
            <w:r>
              <w:rPr>
                <w:sz w:val="21"/>
                <w:szCs w:val="21"/>
              </w:rPr>
              <w:t>1</w:t>
            </w:r>
          </w:p>
        </w:tc>
      </w:tr>
      <w:bookmarkEnd w:id="121"/>
    </w:tbl>
    <w:p>
      <w:pPr>
        <w:spacing w:line="410" w:lineRule="exact"/>
        <w:ind w:firstLine="480"/>
        <w:outlineLvl w:val="3"/>
      </w:pPr>
      <w:r>
        <w:t>学院还充分发挥综合性学科优势，主动加强企业与创业大学生沟通联系，努力为大学生创业团队提供信息共享服务，着力打造例如</w:t>
      </w:r>
      <w:r>
        <w:rPr>
          <w:rFonts w:hint="eastAsia"/>
        </w:rPr>
        <w:t>“</w:t>
      </w:r>
      <w:r>
        <w:t>赤松茸脆片</w:t>
      </w:r>
      <w:r>
        <w:rPr>
          <w:rFonts w:hint="eastAsia"/>
        </w:rPr>
        <w:t>”</w:t>
      </w:r>
      <w:r>
        <w:t>、</w:t>
      </w:r>
      <w:r>
        <w:rPr>
          <w:rFonts w:hint="eastAsia"/>
        </w:rPr>
        <w:t>“</w:t>
      </w:r>
      <w:r>
        <w:t>猴头菇曲奇</w:t>
      </w:r>
      <w:r>
        <w:rPr>
          <w:rFonts w:hint="eastAsia"/>
        </w:rPr>
        <w:t>”</w:t>
      </w:r>
      <w:r>
        <w:t>等一系列特色产品。为普及菌物文化，丰富学生的校园生活，专业还联合山东七河生物科技有限公司共同举办了第五届</w:t>
      </w:r>
      <w:r>
        <w:rPr>
          <w:rFonts w:hint="eastAsia"/>
        </w:rPr>
        <w:t>“</w:t>
      </w:r>
      <w:r>
        <w:t>七河生物杯</w:t>
      </w:r>
      <w:r>
        <w:rPr>
          <w:rFonts w:hint="eastAsia"/>
        </w:rPr>
        <w:t>”</w:t>
      </w:r>
      <w:r>
        <w:t>菌物文化创意大赛，吸引了12个学院的30余支队伍参加，极大的扩大了专业在校内外的影响力。</w:t>
      </w:r>
    </w:p>
    <w:p>
      <w:pPr>
        <w:ind w:firstLine="480"/>
        <w:outlineLvl w:val="3"/>
        <w:rPr>
          <w:rFonts w:eastAsia="黑体"/>
          <w:bCs/>
          <w:kern w:val="0"/>
          <w:szCs w:val="24"/>
        </w:rPr>
      </w:pPr>
      <w:r>
        <w:rPr>
          <w:rFonts w:eastAsia="黑体"/>
          <w:bCs/>
          <w:kern w:val="0"/>
          <w:szCs w:val="24"/>
        </w:rPr>
        <w:t xml:space="preserve">5.其他能力培养 </w:t>
      </w:r>
    </w:p>
    <w:p>
      <w:pPr>
        <w:spacing w:after="156" w:afterLines="50"/>
        <w:ind w:firstLine="480"/>
      </w:pPr>
      <w:r>
        <w:t>为使学生德智体能全面发展，学院还制定相关政策鼓励学生积极参加校内外组织的各项活动，如微生物知识大赛、清明消防志愿小分队、最美山农—随手拍大赛、泰山国际马拉松志愿者、</w:t>
      </w:r>
      <w:r>
        <w:rPr>
          <w:rFonts w:hint="eastAsia"/>
        </w:rPr>
        <w:t>“</w:t>
      </w:r>
      <w:r>
        <w:t>校园奥斯卡</w:t>
      </w:r>
      <w:r>
        <w:rPr>
          <w:rFonts w:hint="eastAsia"/>
        </w:rPr>
        <w:t>”</w:t>
      </w:r>
      <w:r>
        <w:t>大型英文话剧表演大赛、</w:t>
      </w:r>
      <w:r>
        <w:rPr>
          <w:rFonts w:hint="eastAsia"/>
        </w:rPr>
        <w:t>“</w:t>
      </w:r>
      <w:r>
        <w:t>我是读者</w:t>
      </w:r>
      <w:r>
        <w:rPr>
          <w:rFonts w:hint="eastAsia"/>
        </w:rPr>
        <w:t>”</w:t>
      </w:r>
      <w:r>
        <w:t>、泰城文化艺术交流会、校园心理DV大赛等，并有40余人获得相应奖项。</w:t>
      </w:r>
    </w:p>
    <w:p>
      <w:pPr>
        <w:spacing w:after="156" w:afterLines="50"/>
        <w:ind w:firstLine="480"/>
      </w:pPr>
      <w:r>
        <w:drawing>
          <wp:anchor distT="0" distB="0" distL="114300" distR="114300" simplePos="0" relativeHeight="251665408" behindDoc="0" locked="0" layoutInCell="1" allowOverlap="1">
            <wp:simplePos x="0" y="0"/>
            <wp:positionH relativeFrom="column">
              <wp:posOffset>293370</wp:posOffset>
            </wp:positionH>
            <wp:positionV relativeFrom="paragraph">
              <wp:posOffset>5080</wp:posOffset>
            </wp:positionV>
            <wp:extent cx="4926330" cy="2746375"/>
            <wp:effectExtent l="0" t="0" r="7620" b="15875"/>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4926330" cy="2746375"/>
                    </a:xfrm>
                    <a:prstGeom prst="rect">
                      <a:avLst/>
                    </a:prstGeom>
                    <a:noFill/>
                    <a:ln>
                      <a:noFill/>
                    </a:ln>
                  </pic:spPr>
                </pic:pic>
              </a:graphicData>
            </a:graphic>
          </wp:anchor>
        </w:drawing>
      </w:r>
    </w:p>
    <w:p>
      <w:pPr>
        <w:spacing w:after="156" w:afterLines="50"/>
        <w:ind w:firstLine="480"/>
      </w:pPr>
    </w:p>
    <w:p>
      <w:pPr>
        <w:spacing w:after="156" w:afterLines="50"/>
        <w:ind w:firstLine="480"/>
      </w:pPr>
    </w:p>
    <w:p>
      <w:pPr>
        <w:spacing w:after="156" w:afterLines="50"/>
        <w:ind w:firstLine="480"/>
      </w:pPr>
    </w:p>
    <w:p>
      <w:pPr>
        <w:spacing w:after="156" w:afterLines="50"/>
        <w:ind w:firstLine="480"/>
      </w:pPr>
    </w:p>
    <w:p>
      <w:pPr>
        <w:spacing w:after="156" w:afterLines="50"/>
        <w:ind w:firstLine="480"/>
      </w:pPr>
    </w:p>
    <w:p>
      <w:pPr>
        <w:spacing w:after="156" w:afterLines="50"/>
        <w:ind w:firstLine="480"/>
        <w:rPr>
          <w:sz w:val="21"/>
          <w:szCs w:val="21"/>
        </w:rPr>
      </w:pPr>
    </w:p>
    <w:p>
      <w:pPr>
        <w:spacing w:after="156" w:afterLines="50"/>
        <w:ind w:firstLine="480"/>
        <w:rPr>
          <w:sz w:val="21"/>
          <w:szCs w:val="21"/>
        </w:rPr>
      </w:pPr>
    </w:p>
    <w:p>
      <w:pPr>
        <w:ind w:firstLine="422"/>
        <w:jc w:val="center"/>
        <w:rPr>
          <w:b/>
          <w:bCs/>
          <w:sz w:val="21"/>
          <w:szCs w:val="21"/>
        </w:rPr>
      </w:pPr>
      <w:r>
        <w:rPr>
          <w:b/>
          <w:bCs/>
          <w:sz w:val="21"/>
          <w:szCs w:val="21"/>
        </w:rPr>
        <w:t>图1 学生的创新创业实践活动部分成果展示</w:t>
      </w:r>
    </w:p>
    <w:p>
      <w:pPr>
        <w:pStyle w:val="5"/>
        <w:spacing w:before="93" w:after="93"/>
        <w:ind w:firstLine="560"/>
      </w:pPr>
      <w:r>
        <w:t>三、培养条件（教学经费投入、教学设备、教师队伍建设、实习基地、现代教学技术应用等）</w:t>
      </w:r>
    </w:p>
    <w:p>
      <w:pPr>
        <w:pStyle w:val="7"/>
        <w:ind w:firstLine="480"/>
      </w:pPr>
      <w:r>
        <w:t>1.教学经费投入</w:t>
      </w:r>
    </w:p>
    <w:p>
      <w:pPr>
        <w:ind w:firstLine="480"/>
      </w:pPr>
      <w:r>
        <w:t>2020-2021学年，教学基本运行经费100余万元。2020-2021学年实验中心年度总支出约28万元，上述经费主要用于教学实验仪器购置，学科平台和大学生创新创业基地的建设，满足高层次创新创业等</w:t>
      </w:r>
      <w:r>
        <w:rPr>
          <w:rFonts w:hint="eastAsia"/>
        </w:rPr>
        <w:t>“</w:t>
      </w:r>
      <w:r>
        <w:t>四有人才</w:t>
      </w:r>
      <w:r>
        <w:rPr>
          <w:rFonts w:hint="eastAsia"/>
        </w:rPr>
        <w:t>”</w:t>
      </w:r>
      <w:r>
        <w:t>培养。</w:t>
      </w:r>
    </w:p>
    <w:p>
      <w:pPr>
        <w:pStyle w:val="7"/>
        <w:ind w:firstLine="480"/>
      </w:pPr>
      <w:r>
        <w:t>2.教学设备</w:t>
      </w:r>
    </w:p>
    <w:p>
      <w:pPr>
        <w:ind w:firstLine="480"/>
      </w:pPr>
      <w:r>
        <w:t>目前，投资建设的校内菌物实训实践基地已经建成使用，基地配有菌物实验室、分子实验室、生产线准备室、生产线工作室、食用菌小型工厂化生产线、菌物光伏大棚等实验和实践条件，可满足本专业学生从野生菌鉴定、食用菌栽培育种到食用菌加工、菌渣循环利用等食用菌相关的实验教学和培训需要。其中食用菌栽培方面，设计了大棚式栽培和工厂化栽培等两种栽培模式，可进行大宗菇类和多种珍稀菇类的栽培，培养满足不同规模的企业需求人才。通过这些实习训练，使学生在校内即能体验食用菌工厂化生产的各个环节，缩短学生毕业后进入企业的适应期。已有设备包括高压灭菌锅、人工气候箱、恒温震荡器、生化培养箱、PCR仪、电泳仪、显微镜、超净工作台、液体发酵罐、自动化人工气候室等（图2）。</w:t>
      </w:r>
    </w:p>
    <w:p>
      <w:pPr>
        <w:ind w:firstLine="480"/>
      </w:pPr>
      <w:r>
        <w:t>此外，本学院的实验教学中心也可供本专业学生进行实践教学。中心教学占地面积3700m</w:t>
      </w:r>
      <w:r>
        <w:rPr>
          <w:vertAlign w:val="superscript"/>
        </w:rPr>
        <w:t>2</w:t>
      </w:r>
      <w:r>
        <w:t>，共计93间实验用房，包括18个功能实验室和5个大学生创新实验室及实验准备室、标本室等配套用房。中心现有仪器设备总值达600余万元，其中价值五千元以上的仪器设备有267台/套，仪器配置合理，完好率为98%，帐、卡、物符合率100%，满足了实验教学的需求。经费保障使得实验中心为实验教学和为学生实践能力培养创建了一个优质、规范、具有相当教学规模的现代化实验教学环境。</w:t>
      </w:r>
    </w:p>
    <w:p>
      <w:pPr>
        <w:ind w:firstLine="480"/>
      </w:pPr>
      <w:r>
        <w:drawing>
          <wp:anchor distT="0" distB="0" distL="114300" distR="114300" simplePos="0" relativeHeight="251666432" behindDoc="0" locked="0" layoutInCell="1" allowOverlap="1">
            <wp:simplePos x="0" y="0"/>
            <wp:positionH relativeFrom="column">
              <wp:posOffset>560070</wp:posOffset>
            </wp:positionH>
            <wp:positionV relativeFrom="paragraph">
              <wp:posOffset>61595</wp:posOffset>
            </wp:positionV>
            <wp:extent cx="4674235" cy="2607310"/>
            <wp:effectExtent l="0" t="0" r="12065" b="254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4674358" cy="2607064"/>
                    </a:xfrm>
                    <a:prstGeom prst="rect">
                      <a:avLst/>
                    </a:prstGeom>
                    <a:noFill/>
                    <a:ln>
                      <a:noFill/>
                    </a:ln>
                  </pic:spPr>
                </pic:pic>
              </a:graphicData>
            </a:graphic>
          </wp:anchor>
        </w:drawing>
      </w: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22"/>
        <w:jc w:val="center"/>
        <w:rPr>
          <w:b/>
          <w:bCs/>
          <w:sz w:val="21"/>
          <w:szCs w:val="21"/>
        </w:rPr>
      </w:pPr>
      <w:r>
        <w:rPr>
          <w:b/>
          <w:bCs/>
          <w:sz w:val="21"/>
          <w:szCs w:val="21"/>
        </w:rPr>
        <w:t>图2 菌物实训实践基地教学及实验条件</w:t>
      </w:r>
    </w:p>
    <w:p>
      <w:pPr>
        <w:pStyle w:val="7"/>
        <w:ind w:firstLine="480"/>
      </w:pPr>
      <w:r>
        <w:t>3.教师队伍建设</w:t>
      </w:r>
    </w:p>
    <w:p>
      <w:pPr>
        <w:ind w:firstLine="480"/>
      </w:pPr>
      <w:r>
        <w:t>专业高度重视师资队伍建设，不断完善人才引进和培养机制，切实优化师资队伍结构，形成了一支适应学科发展需求、素质优良、结构合理、专兼职结合的师资队伍（图3）。目前，专业拥有专任教师7人，其中教授3人、副教授3人、讲师1人。专业每位课教师都具有较高专业水平和较强业务能力，且所教授课程都与他们的科研方向紧密结合，保证学生能学到各门课程最全面的理论知识和了解到最前沿的科研动态。在教师队伍培养上本专业也采取了一系列政策：1）对新进教师采取导师制，要求在导师的指导下系统听取校内优秀教师的课程，学习授课经验。2）充分利用好每周一次的教研会，组织系里老师集中备课并及时交流教学和科研经验。3）鼓励教师到国内相关院校和食用菌企业进行交流学习，学习优秀办学和管理经验，了解企业的用人需求和生产中需要解决的问题，以此来更好的开展教学科研工作。4）聘请了国家食用菌产业技术体系岗位专家、山东省农科院土肥所所长宫志远研究员，国家食用菌产业技术体系实验站站长、山东省泰安市农科院食用菌所所长安秀荣研究员等多名经验丰富的食用菌领域专家做为专业的兼职教授。在教学和科研方面，本专业也为各位老师创造良好的环境和条件，充分调动了每位教师的工作积极性，造就了一支教育观念先进、知识结构优化、思想品德高尚的教师队伍，很好的满足了本专业人才培养的需要。</w:t>
      </w:r>
    </w:p>
    <w:p>
      <w:pPr>
        <w:ind w:firstLine="480"/>
      </w:pPr>
    </w:p>
    <w:p>
      <w:pPr>
        <w:ind w:firstLine="480"/>
      </w:pPr>
      <w:r>
        <w:drawing>
          <wp:anchor distT="0" distB="0" distL="114300" distR="114300" simplePos="0" relativeHeight="251667456" behindDoc="0" locked="0" layoutInCell="1" allowOverlap="1">
            <wp:simplePos x="0" y="0"/>
            <wp:positionH relativeFrom="column">
              <wp:posOffset>3061970</wp:posOffset>
            </wp:positionH>
            <wp:positionV relativeFrom="paragraph">
              <wp:posOffset>-86360</wp:posOffset>
            </wp:positionV>
            <wp:extent cx="2388870" cy="1738630"/>
            <wp:effectExtent l="0" t="0" r="11430" b="1397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2388870" cy="1738630"/>
                    </a:xfrm>
                    <a:prstGeom prst="rect">
                      <a:avLst/>
                    </a:prstGeom>
                    <a:noFill/>
                    <a:ln>
                      <a:noFill/>
                    </a:ln>
                  </pic:spPr>
                </pic:pic>
              </a:graphicData>
            </a:graphic>
          </wp:anchor>
        </w:drawing>
      </w:r>
      <w:r>
        <w:drawing>
          <wp:anchor distT="0" distB="0" distL="114300" distR="114300" simplePos="0" relativeHeight="251664384" behindDoc="0" locked="0" layoutInCell="1" allowOverlap="1">
            <wp:simplePos x="0" y="0"/>
            <wp:positionH relativeFrom="column">
              <wp:posOffset>423545</wp:posOffset>
            </wp:positionH>
            <wp:positionV relativeFrom="paragraph">
              <wp:posOffset>31115</wp:posOffset>
            </wp:positionV>
            <wp:extent cx="2520315" cy="1620520"/>
            <wp:effectExtent l="0" t="0" r="13335" b="1778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2520315" cy="1620520"/>
                    </a:xfrm>
                    <a:prstGeom prst="rect">
                      <a:avLst/>
                    </a:prstGeom>
                    <a:noFill/>
                    <a:ln>
                      <a:noFill/>
                    </a:ln>
                  </pic:spPr>
                </pic:pic>
              </a:graphicData>
            </a:graphic>
          </wp:anchor>
        </w:drawing>
      </w:r>
    </w:p>
    <w:p>
      <w:pPr>
        <w:ind w:firstLine="480"/>
      </w:pPr>
    </w:p>
    <w:p>
      <w:pPr>
        <w:ind w:firstLine="480"/>
      </w:pPr>
    </w:p>
    <w:p>
      <w:pPr>
        <w:ind w:firstLine="480"/>
      </w:pPr>
    </w:p>
    <w:p>
      <w:pPr>
        <w:ind w:firstLine="480"/>
      </w:pPr>
    </w:p>
    <w:p>
      <w:pPr>
        <w:ind w:firstLine="480"/>
      </w:pPr>
    </w:p>
    <w:p>
      <w:pPr>
        <w:spacing w:before="312" w:beforeLines="100" w:after="156" w:afterLines="50"/>
        <w:ind w:firstLine="422"/>
        <w:jc w:val="center"/>
        <w:rPr>
          <w:b/>
          <w:bCs/>
          <w:sz w:val="21"/>
          <w:szCs w:val="21"/>
        </w:rPr>
      </w:pPr>
      <w:r>
        <w:rPr>
          <w:b/>
          <w:bCs/>
          <w:sz w:val="21"/>
          <w:szCs w:val="21"/>
        </w:rPr>
        <w:t>图3  师资队伍结构</w:t>
      </w:r>
    </w:p>
    <w:p>
      <w:pPr>
        <w:spacing w:after="156" w:afterLines="50"/>
        <w:ind w:firstLine="480" w:firstLineChars="200"/>
      </w:pPr>
      <w:r>
        <w:t>随着专业建设的不断深入，作为专业后备军的青年教师成长进步很快。目前，专业教师作为主持人在研</w:t>
      </w:r>
      <w:bookmarkStart w:id="122" w:name="_Hlk27678906"/>
      <w:r>
        <w:t>国家自然科学基金青年基金2项</w:t>
      </w:r>
      <w:bookmarkEnd w:id="122"/>
      <w:r>
        <w:t>，国家自然科学基金面上项目1项，国家重点研发计划项目子课题1项，以第一或通讯作者发表高水平SCI论文4篇。在完成教学科研工作的同时，专业教师还积极参与相关社会服务活动并取得了良好效果。下一步，专业将进一步鼓励青年教师积极争取课题，筹措经费，争取科研上层次、上水平，并继续有计划地派出青年教师到国内外高校进行访学进修和到企业进行挂职锻炼，进一步提高青年教师的科研及教学水平。</w:t>
      </w:r>
    </w:p>
    <w:p>
      <w:pPr>
        <w:pStyle w:val="7"/>
        <w:ind w:firstLine="480"/>
      </w:pPr>
      <w:r>
        <w:t>4.实习基地建设</w:t>
      </w:r>
    </w:p>
    <w:p>
      <w:pPr>
        <w:ind w:firstLine="480"/>
      </w:pPr>
      <w:r>
        <w:t>菌物资源与利用专业是应用性比较强的专业，因此本专业十分注重学生实际操作能力的培养，为此专门在校内建设了具有集约化、智能化、信息化和数字化为一体的国内领先的现代化菌物实训实践基地，每年都吸引大量国内外同行参观访问（图4）。基地占地面积9720m</w:t>
      </w:r>
      <w:r>
        <w:rPr>
          <w:vertAlign w:val="superscript"/>
        </w:rPr>
        <w:t>2</w:t>
      </w:r>
      <w:r>
        <w:t>，其中主要包括，建筑面积1778 m</w:t>
      </w:r>
      <w:r>
        <w:rPr>
          <w:vertAlign w:val="superscript"/>
        </w:rPr>
        <w:t>2</w:t>
      </w:r>
      <w:r>
        <w:t>的集食药用菌教学、科研及生产为一体的现代化食药用菌生产实验室以及3000 m</w:t>
      </w:r>
      <w:r>
        <w:rPr>
          <w:vertAlign w:val="superscript"/>
        </w:rPr>
        <w:t>2</w:t>
      </w:r>
      <w:r>
        <w:t>的食药用菌现代综合利用实验区。现代化食药用菌生产实验室主要包括菌物常规实验室、菌物分子实验室、培训室、菌种室、食用菌小型工厂化生产线、发菌室、出菇室等；食药用菌现代综合利用实验区内主要包括食药用菌栽培大棚及食药用菌菌糠资源化再循环利用综合实验区。菌物实训实践基地基本满足了食用菌生产加工所需的一切实验教学和科研条件，保证了学生在扎实掌握食药用菌生产、加工、育种及发酵等理论知识基础上，在校内就能够就近</w:t>
      </w:r>
      <w:r>
        <w:rPr>
          <w:rFonts w:hint="eastAsia"/>
        </w:rPr>
        <w:t>“</w:t>
      </w:r>
      <w:r>
        <w:t>真刀真枪</w:t>
      </w:r>
      <w:r>
        <w:rPr>
          <w:rFonts w:hint="eastAsia"/>
        </w:rPr>
        <w:t>”</w:t>
      </w:r>
      <w:r>
        <w:t>的进行实训实践。</w:t>
      </w:r>
    </w:p>
    <w:p>
      <w:pPr>
        <w:ind w:firstLine="480"/>
        <w:rPr>
          <w:color w:val="FF0000"/>
        </w:rPr>
      </w:pPr>
      <w:r>
        <w:drawing>
          <wp:anchor distT="0" distB="0" distL="114300" distR="114300" simplePos="0" relativeHeight="251668480" behindDoc="0" locked="0" layoutInCell="1" allowOverlap="1">
            <wp:simplePos x="0" y="0"/>
            <wp:positionH relativeFrom="column">
              <wp:posOffset>30480</wp:posOffset>
            </wp:positionH>
            <wp:positionV relativeFrom="paragraph">
              <wp:posOffset>105410</wp:posOffset>
            </wp:positionV>
            <wp:extent cx="5612130" cy="2545080"/>
            <wp:effectExtent l="0" t="0" r="7620" b="7620"/>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5612130" cy="2545080"/>
                    </a:xfrm>
                    <a:prstGeom prst="rect">
                      <a:avLst/>
                    </a:prstGeom>
                    <a:noFill/>
                    <a:ln>
                      <a:noFill/>
                    </a:ln>
                  </pic:spPr>
                </pic:pic>
              </a:graphicData>
            </a:graphic>
          </wp:anchor>
        </w:drawing>
      </w:r>
    </w:p>
    <w:p>
      <w:pPr>
        <w:ind w:firstLine="480"/>
        <w:rPr>
          <w:color w:val="FF0000"/>
        </w:rPr>
      </w:pPr>
    </w:p>
    <w:p>
      <w:pPr>
        <w:ind w:firstLine="480"/>
        <w:rPr>
          <w:color w:val="FF0000"/>
        </w:rPr>
      </w:pPr>
    </w:p>
    <w:p>
      <w:pPr>
        <w:ind w:firstLine="480"/>
        <w:rPr>
          <w:color w:val="FF0000"/>
        </w:rPr>
      </w:pPr>
    </w:p>
    <w:p>
      <w:pPr>
        <w:ind w:firstLine="480"/>
        <w:rPr>
          <w:color w:val="FF0000"/>
        </w:rPr>
      </w:pPr>
    </w:p>
    <w:p>
      <w:pPr>
        <w:ind w:firstLine="480"/>
        <w:rPr>
          <w:color w:val="FF0000"/>
        </w:rPr>
      </w:pPr>
    </w:p>
    <w:p>
      <w:pPr>
        <w:ind w:firstLine="480"/>
        <w:rPr>
          <w:color w:val="FF0000"/>
        </w:rPr>
      </w:pPr>
    </w:p>
    <w:p>
      <w:pPr>
        <w:ind w:firstLine="480"/>
        <w:rPr>
          <w:color w:val="FF0000"/>
        </w:rPr>
      </w:pPr>
    </w:p>
    <w:p>
      <w:pPr>
        <w:ind w:firstLine="480"/>
        <w:rPr>
          <w:color w:val="FF0000"/>
        </w:rPr>
      </w:pPr>
    </w:p>
    <w:p>
      <w:pPr>
        <w:ind w:firstLine="480"/>
        <w:rPr>
          <w:color w:val="FF0000"/>
        </w:rPr>
      </w:pPr>
    </w:p>
    <w:p>
      <w:pPr>
        <w:spacing w:before="312" w:beforeLines="100"/>
        <w:ind w:firstLine="422"/>
        <w:jc w:val="center"/>
        <w:rPr>
          <w:b/>
          <w:bCs/>
          <w:color w:val="FF0000"/>
          <w:sz w:val="21"/>
          <w:szCs w:val="21"/>
        </w:rPr>
      </w:pPr>
      <w:r>
        <w:rPr>
          <w:b/>
          <w:bCs/>
          <w:sz w:val="21"/>
          <w:szCs w:val="21"/>
        </w:rPr>
        <w:t>图4  国内外同行来菌物实训实践基地参观交流</w:t>
      </w:r>
    </w:p>
    <w:p>
      <w:pPr>
        <w:spacing w:after="156" w:afterLines="50"/>
        <w:ind w:firstLine="480"/>
      </w:pPr>
      <w:r>
        <w:t>除已投资建设的能满足菌物生产加工各个环节实习实践要求的校内菌物实训实践基地外，本专业教师还积极与食用菌企业和社会团体紧密联合建立校外教学基地，供学生毕业实习及假期实习锻炼之用（表2）。通过校外实践教学基地的建设带动了学生的校外实践活动，提升了学生的培养质量，也使学校与企业由短期松散合作走向长期稳定合作。</w:t>
      </w:r>
    </w:p>
    <w:p>
      <w:pPr>
        <w:ind w:firstLine="422"/>
        <w:jc w:val="center"/>
        <w:rPr>
          <w:b/>
          <w:bCs/>
          <w:sz w:val="21"/>
          <w:szCs w:val="21"/>
        </w:rPr>
      </w:pPr>
      <w:r>
        <w:rPr>
          <w:b/>
          <w:bCs/>
          <w:sz w:val="21"/>
          <w:szCs w:val="21"/>
        </w:rPr>
        <w:t>表2  专业建设的教学科研实践育人基地</w:t>
      </w:r>
    </w:p>
    <w:tbl>
      <w:tblPr>
        <w:tblStyle w:val="17"/>
        <w:tblW w:w="441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0"/>
        <w:gridCol w:w="5156"/>
        <w:gridCol w:w="16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jc w:val="center"/>
        </w:trPr>
        <w:tc>
          <w:tcPr>
            <w:tcW w:w="768" w:type="pct"/>
            <w:vAlign w:val="center"/>
          </w:tcPr>
          <w:p>
            <w:pPr>
              <w:jc w:val="center"/>
              <w:rPr>
                <w:b/>
                <w:bCs/>
                <w:sz w:val="21"/>
                <w:szCs w:val="21"/>
              </w:rPr>
            </w:pPr>
            <w:r>
              <w:rPr>
                <w:b/>
                <w:bCs/>
                <w:sz w:val="21"/>
                <w:szCs w:val="21"/>
              </w:rPr>
              <w:t>序号</w:t>
            </w:r>
          </w:p>
        </w:tc>
        <w:tc>
          <w:tcPr>
            <w:tcW w:w="3220" w:type="pct"/>
            <w:vAlign w:val="center"/>
          </w:tcPr>
          <w:p>
            <w:pPr>
              <w:jc w:val="center"/>
              <w:rPr>
                <w:b/>
                <w:bCs/>
                <w:sz w:val="21"/>
                <w:szCs w:val="21"/>
              </w:rPr>
            </w:pPr>
            <w:r>
              <w:rPr>
                <w:b/>
                <w:bCs/>
                <w:sz w:val="21"/>
                <w:szCs w:val="21"/>
              </w:rPr>
              <w:t>实践教学基地名称</w:t>
            </w:r>
          </w:p>
        </w:tc>
        <w:tc>
          <w:tcPr>
            <w:tcW w:w="1012" w:type="pct"/>
            <w:vAlign w:val="center"/>
          </w:tcPr>
          <w:p>
            <w:pPr>
              <w:jc w:val="center"/>
              <w:rPr>
                <w:b/>
                <w:bCs/>
                <w:sz w:val="21"/>
                <w:szCs w:val="21"/>
              </w:rPr>
            </w:pPr>
            <w:r>
              <w:rPr>
                <w:b/>
                <w:bCs/>
                <w:sz w:val="21"/>
                <w:szCs w:val="21"/>
              </w:rPr>
              <w:t>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768" w:type="pct"/>
            <w:vAlign w:val="center"/>
          </w:tcPr>
          <w:p>
            <w:pPr>
              <w:jc w:val="center"/>
              <w:rPr>
                <w:sz w:val="21"/>
                <w:szCs w:val="21"/>
              </w:rPr>
            </w:pPr>
            <w:r>
              <w:rPr>
                <w:sz w:val="21"/>
                <w:szCs w:val="21"/>
              </w:rPr>
              <w:t>1</w:t>
            </w:r>
          </w:p>
        </w:tc>
        <w:tc>
          <w:tcPr>
            <w:tcW w:w="3220" w:type="pct"/>
            <w:vAlign w:val="center"/>
          </w:tcPr>
          <w:p>
            <w:pPr>
              <w:jc w:val="center"/>
              <w:rPr>
                <w:sz w:val="21"/>
                <w:szCs w:val="21"/>
              </w:rPr>
            </w:pPr>
            <w:r>
              <w:rPr>
                <w:sz w:val="21"/>
                <w:szCs w:val="21"/>
              </w:rPr>
              <w:t>山东正汉生物科技集团有限公司</w:t>
            </w:r>
          </w:p>
        </w:tc>
        <w:tc>
          <w:tcPr>
            <w:tcW w:w="1012" w:type="pct"/>
            <w:vAlign w:val="center"/>
          </w:tcPr>
          <w:p>
            <w:pPr>
              <w:jc w:val="center"/>
              <w:rPr>
                <w:sz w:val="21"/>
                <w:szCs w:val="21"/>
              </w:rPr>
            </w:pPr>
            <w:r>
              <w:rPr>
                <w:sz w:val="21"/>
                <w:szCs w:val="21"/>
              </w:rPr>
              <w:t>2011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68" w:type="pct"/>
            <w:vAlign w:val="center"/>
          </w:tcPr>
          <w:p>
            <w:pPr>
              <w:jc w:val="center"/>
              <w:rPr>
                <w:sz w:val="21"/>
                <w:szCs w:val="21"/>
              </w:rPr>
            </w:pPr>
            <w:r>
              <w:rPr>
                <w:sz w:val="21"/>
                <w:szCs w:val="21"/>
              </w:rPr>
              <w:t>2</w:t>
            </w:r>
          </w:p>
        </w:tc>
        <w:tc>
          <w:tcPr>
            <w:tcW w:w="3220" w:type="pct"/>
            <w:vAlign w:val="center"/>
          </w:tcPr>
          <w:p>
            <w:pPr>
              <w:jc w:val="center"/>
              <w:rPr>
                <w:sz w:val="21"/>
                <w:szCs w:val="21"/>
              </w:rPr>
            </w:pPr>
            <w:r>
              <w:rPr>
                <w:sz w:val="21"/>
                <w:szCs w:val="21"/>
              </w:rPr>
              <w:t>山东福禾菌业科技有限公司</w:t>
            </w:r>
          </w:p>
        </w:tc>
        <w:tc>
          <w:tcPr>
            <w:tcW w:w="1012" w:type="pct"/>
            <w:vAlign w:val="center"/>
          </w:tcPr>
          <w:p>
            <w:pPr>
              <w:jc w:val="center"/>
              <w:rPr>
                <w:sz w:val="21"/>
                <w:szCs w:val="21"/>
              </w:rPr>
            </w:pPr>
            <w:r>
              <w:rPr>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768" w:type="pct"/>
            <w:vAlign w:val="center"/>
          </w:tcPr>
          <w:p>
            <w:pPr>
              <w:jc w:val="center"/>
              <w:rPr>
                <w:sz w:val="21"/>
                <w:szCs w:val="21"/>
              </w:rPr>
            </w:pPr>
            <w:r>
              <w:rPr>
                <w:sz w:val="21"/>
                <w:szCs w:val="21"/>
              </w:rPr>
              <w:t>3</w:t>
            </w:r>
          </w:p>
        </w:tc>
        <w:tc>
          <w:tcPr>
            <w:tcW w:w="3220" w:type="pct"/>
            <w:vAlign w:val="center"/>
          </w:tcPr>
          <w:p>
            <w:pPr>
              <w:jc w:val="center"/>
              <w:rPr>
                <w:sz w:val="21"/>
                <w:szCs w:val="21"/>
              </w:rPr>
            </w:pPr>
            <w:r>
              <w:rPr>
                <w:sz w:val="21"/>
                <w:szCs w:val="21"/>
              </w:rPr>
              <w:t>济宁市任城区李营苗木专业合作社</w:t>
            </w:r>
          </w:p>
        </w:tc>
        <w:tc>
          <w:tcPr>
            <w:tcW w:w="1012" w:type="pct"/>
            <w:vAlign w:val="center"/>
          </w:tcPr>
          <w:p>
            <w:pPr>
              <w:jc w:val="center"/>
              <w:rPr>
                <w:sz w:val="21"/>
                <w:szCs w:val="21"/>
              </w:rPr>
            </w:pPr>
            <w:r>
              <w:rPr>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8" w:type="pct"/>
            <w:vAlign w:val="center"/>
          </w:tcPr>
          <w:p>
            <w:pPr>
              <w:jc w:val="center"/>
              <w:rPr>
                <w:sz w:val="21"/>
                <w:szCs w:val="21"/>
              </w:rPr>
            </w:pPr>
            <w:r>
              <w:rPr>
                <w:sz w:val="21"/>
                <w:szCs w:val="21"/>
              </w:rPr>
              <w:t>4</w:t>
            </w:r>
          </w:p>
        </w:tc>
        <w:tc>
          <w:tcPr>
            <w:tcW w:w="3220" w:type="pct"/>
            <w:vAlign w:val="center"/>
          </w:tcPr>
          <w:p>
            <w:pPr>
              <w:jc w:val="center"/>
              <w:rPr>
                <w:sz w:val="21"/>
                <w:szCs w:val="21"/>
              </w:rPr>
            </w:pPr>
            <w:r>
              <w:rPr>
                <w:sz w:val="21"/>
                <w:szCs w:val="21"/>
              </w:rPr>
              <w:t>山东七河生物科技股份有限公司</w:t>
            </w:r>
          </w:p>
        </w:tc>
        <w:tc>
          <w:tcPr>
            <w:tcW w:w="1012" w:type="pct"/>
            <w:vAlign w:val="center"/>
          </w:tcPr>
          <w:p>
            <w:pPr>
              <w:jc w:val="center"/>
              <w:rPr>
                <w:sz w:val="21"/>
                <w:szCs w:val="21"/>
              </w:rPr>
            </w:pPr>
            <w:r>
              <w:rPr>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768" w:type="pct"/>
            <w:vAlign w:val="center"/>
          </w:tcPr>
          <w:p>
            <w:pPr>
              <w:jc w:val="center"/>
              <w:rPr>
                <w:sz w:val="21"/>
                <w:szCs w:val="21"/>
              </w:rPr>
            </w:pPr>
            <w:r>
              <w:rPr>
                <w:sz w:val="21"/>
                <w:szCs w:val="21"/>
              </w:rPr>
              <w:t>5</w:t>
            </w:r>
          </w:p>
        </w:tc>
        <w:tc>
          <w:tcPr>
            <w:tcW w:w="3220" w:type="pct"/>
            <w:vAlign w:val="center"/>
          </w:tcPr>
          <w:p>
            <w:pPr>
              <w:jc w:val="center"/>
              <w:rPr>
                <w:sz w:val="21"/>
                <w:szCs w:val="21"/>
              </w:rPr>
            </w:pPr>
            <w:r>
              <w:rPr>
                <w:sz w:val="21"/>
                <w:szCs w:val="21"/>
              </w:rPr>
              <w:t>山东御苑生物科技有限公司</w:t>
            </w:r>
          </w:p>
        </w:tc>
        <w:tc>
          <w:tcPr>
            <w:tcW w:w="1012" w:type="pct"/>
            <w:vAlign w:val="center"/>
          </w:tcPr>
          <w:p>
            <w:pPr>
              <w:jc w:val="center"/>
              <w:rPr>
                <w:sz w:val="21"/>
                <w:szCs w:val="21"/>
              </w:rPr>
            </w:pPr>
            <w:r>
              <w:rPr>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68" w:type="pct"/>
            <w:vAlign w:val="center"/>
          </w:tcPr>
          <w:p>
            <w:pPr>
              <w:jc w:val="center"/>
              <w:rPr>
                <w:sz w:val="21"/>
                <w:szCs w:val="21"/>
              </w:rPr>
            </w:pPr>
            <w:r>
              <w:rPr>
                <w:sz w:val="21"/>
                <w:szCs w:val="21"/>
              </w:rPr>
              <w:t>6</w:t>
            </w:r>
          </w:p>
        </w:tc>
        <w:tc>
          <w:tcPr>
            <w:tcW w:w="3220" w:type="pct"/>
            <w:vAlign w:val="center"/>
          </w:tcPr>
          <w:p>
            <w:pPr>
              <w:jc w:val="center"/>
              <w:rPr>
                <w:sz w:val="21"/>
                <w:szCs w:val="21"/>
              </w:rPr>
            </w:pPr>
            <w:r>
              <w:rPr>
                <w:sz w:val="21"/>
                <w:szCs w:val="21"/>
              </w:rPr>
              <w:t>山东博华高效生态农业科技有限公司</w:t>
            </w:r>
          </w:p>
        </w:tc>
        <w:tc>
          <w:tcPr>
            <w:tcW w:w="1012" w:type="pct"/>
            <w:vAlign w:val="center"/>
          </w:tcPr>
          <w:p>
            <w:pPr>
              <w:jc w:val="center"/>
              <w:rPr>
                <w:sz w:val="21"/>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768" w:type="pct"/>
            <w:vAlign w:val="center"/>
          </w:tcPr>
          <w:p>
            <w:pPr>
              <w:jc w:val="center"/>
              <w:rPr>
                <w:sz w:val="21"/>
                <w:szCs w:val="21"/>
              </w:rPr>
            </w:pPr>
            <w:r>
              <w:rPr>
                <w:sz w:val="21"/>
                <w:szCs w:val="21"/>
              </w:rPr>
              <w:t>7</w:t>
            </w:r>
          </w:p>
        </w:tc>
        <w:tc>
          <w:tcPr>
            <w:tcW w:w="3220" w:type="pct"/>
            <w:vAlign w:val="center"/>
          </w:tcPr>
          <w:p>
            <w:pPr>
              <w:jc w:val="center"/>
              <w:rPr>
                <w:sz w:val="21"/>
                <w:szCs w:val="21"/>
              </w:rPr>
            </w:pPr>
            <w:r>
              <w:rPr>
                <w:sz w:val="21"/>
                <w:szCs w:val="21"/>
              </w:rPr>
              <w:t>日照市沃塬生态农业发展有限公司</w:t>
            </w:r>
          </w:p>
        </w:tc>
        <w:tc>
          <w:tcPr>
            <w:tcW w:w="1012" w:type="pct"/>
            <w:vAlign w:val="center"/>
          </w:tcPr>
          <w:p>
            <w:pPr>
              <w:jc w:val="center"/>
              <w:rPr>
                <w:sz w:val="21"/>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768" w:type="pct"/>
            <w:vAlign w:val="center"/>
          </w:tcPr>
          <w:p>
            <w:pPr>
              <w:jc w:val="center"/>
              <w:rPr>
                <w:sz w:val="21"/>
                <w:szCs w:val="21"/>
              </w:rPr>
            </w:pPr>
            <w:r>
              <w:rPr>
                <w:sz w:val="21"/>
                <w:szCs w:val="21"/>
              </w:rPr>
              <w:t>8</w:t>
            </w:r>
          </w:p>
        </w:tc>
        <w:tc>
          <w:tcPr>
            <w:tcW w:w="3220" w:type="pct"/>
            <w:vAlign w:val="center"/>
          </w:tcPr>
          <w:p>
            <w:pPr>
              <w:jc w:val="center"/>
              <w:rPr>
                <w:sz w:val="21"/>
                <w:szCs w:val="21"/>
              </w:rPr>
            </w:pPr>
            <w:r>
              <w:rPr>
                <w:sz w:val="21"/>
                <w:szCs w:val="21"/>
              </w:rPr>
              <w:t>泰安永乐食用菌科技有限公司</w:t>
            </w:r>
          </w:p>
        </w:tc>
        <w:tc>
          <w:tcPr>
            <w:tcW w:w="1012" w:type="pct"/>
            <w:vAlign w:val="center"/>
          </w:tcPr>
          <w:p>
            <w:pPr>
              <w:jc w:val="center"/>
              <w:rPr>
                <w:sz w:val="21"/>
                <w:szCs w:val="21"/>
              </w:rPr>
            </w:pPr>
            <w:r>
              <w:rPr>
                <w:sz w:val="21"/>
                <w:szCs w:val="21"/>
              </w:rPr>
              <w:t>2019</w:t>
            </w:r>
          </w:p>
        </w:tc>
      </w:tr>
    </w:tbl>
    <w:p>
      <w:pPr>
        <w:pStyle w:val="7"/>
        <w:ind w:firstLine="480"/>
      </w:pPr>
      <w:r>
        <w:t>5.现代教学技术应用</w:t>
      </w:r>
    </w:p>
    <w:p>
      <w:pPr>
        <w:ind w:firstLine="480"/>
      </w:pPr>
      <w:r>
        <w:t>从专业人才培养目标入手，开发构建了集自主学习、课堂教学和拓展服务等多种功能于一体的主干课程立体化教学资源库，有效地整合了课程标准、课程设计、教学课件、教学案例、教学录像、实验虚拟仿真和教学考核等多种资源形式，随时吸收国内外最新研究的相关成果和基层应用案例，丰富课程教学资源。不断丰富和完善的教学资源库，为学生提供了自主学习服务的平台，为教师提供学习、借鉴、参考、交流、引用的教学资源场所，教师可以根据自己的教学特点和内容对资源进行修改，素材资源可直接引用到自己制作的课件作品中，极大的方便老师教学工作，节省大量宝贵的时间。</w:t>
      </w:r>
    </w:p>
    <w:p>
      <w:pPr>
        <w:pStyle w:val="5"/>
        <w:spacing w:before="93" w:after="93"/>
        <w:ind w:firstLine="560"/>
      </w:pPr>
      <w:r>
        <w:t>四、培养机制与特色（产学研协同育人机制、合作办学、教学管理等）</w:t>
      </w:r>
    </w:p>
    <w:p>
      <w:pPr>
        <w:pStyle w:val="7"/>
        <w:ind w:firstLine="480"/>
        <w:rPr>
          <w:bCs/>
          <w:kern w:val="0"/>
          <w:szCs w:val="24"/>
        </w:rPr>
      </w:pPr>
      <w:r>
        <w:rPr>
          <w:bCs/>
          <w:kern w:val="0"/>
          <w:szCs w:val="24"/>
        </w:rPr>
        <w:t>1.适应社会和学生个性发展需求，构建了</w:t>
      </w:r>
      <w:r>
        <w:rPr>
          <w:rFonts w:hint="eastAsia"/>
          <w:bCs/>
          <w:kern w:val="0"/>
          <w:szCs w:val="24"/>
        </w:rPr>
        <w:t>“</w:t>
      </w:r>
      <w:r>
        <w:rPr>
          <w:bCs/>
          <w:kern w:val="0"/>
          <w:szCs w:val="24"/>
        </w:rPr>
        <w:t>3+1</w:t>
      </w:r>
      <w:r>
        <w:rPr>
          <w:rFonts w:hint="eastAsia" w:eastAsia="宋体"/>
          <w:bCs/>
          <w:kern w:val="0"/>
          <w:szCs w:val="24"/>
        </w:rPr>
        <w:t>”</w:t>
      </w:r>
      <w:r>
        <w:rPr>
          <w:bCs/>
          <w:kern w:val="0"/>
          <w:szCs w:val="24"/>
        </w:rPr>
        <w:t>的人才培养模式</w:t>
      </w:r>
    </w:p>
    <w:p>
      <w:pPr>
        <w:ind w:firstLine="480"/>
      </w:pPr>
      <w:r>
        <w:rPr>
          <w:rFonts w:hint="eastAsia"/>
        </w:rPr>
        <w:t>“</w:t>
      </w:r>
      <w:r>
        <w:t>3+1</w:t>
      </w:r>
      <w:r>
        <w:rPr>
          <w:rFonts w:hint="eastAsia"/>
        </w:rPr>
        <w:t>”</w:t>
      </w:r>
      <w:r>
        <w:t>的人才培养模式，即学生在前3个学年完成理论课程的学习，后1个学年进行毕业实习及毕业论文。该培养模式延长了毕业实习时间，符合当前社会用人单位的需求，也适应学生分类培养的需要。在人才培养过程中，根据学生的个性发展需求，将进入毕业实习阶段的学生分成两大类别：一类按</w:t>
      </w:r>
      <w:r>
        <w:rPr>
          <w:rFonts w:hint="eastAsia"/>
        </w:rPr>
        <w:t>“</w:t>
      </w:r>
      <w:r>
        <w:t>创新型</w:t>
      </w:r>
      <w:r>
        <w:rPr>
          <w:rFonts w:hint="eastAsia"/>
        </w:rPr>
        <w:t>”</w:t>
      </w:r>
      <w:r>
        <w:t>人才培养，安排到科研院所、科研实验室实习，强化科技创新能力培养；另一类按</w:t>
      </w:r>
      <w:r>
        <w:rPr>
          <w:rFonts w:hint="eastAsia"/>
        </w:rPr>
        <w:t>“</w:t>
      </w:r>
      <w:r>
        <w:t>应用型</w:t>
      </w:r>
      <w:r>
        <w:rPr>
          <w:rFonts w:hint="eastAsia"/>
        </w:rPr>
        <w:t>”</w:t>
      </w:r>
      <w:r>
        <w:t>人才培养，安排到校企共建单位、实践教学基地实习，让学生尽早适应社会需求。</w:t>
      </w:r>
    </w:p>
    <w:p>
      <w:pPr>
        <w:pStyle w:val="7"/>
        <w:ind w:firstLine="480"/>
      </w:pPr>
      <w:r>
        <w:t>2.紧跟食用菌行业发展前沿，制定了开放性的理论课程体系</w:t>
      </w:r>
    </w:p>
    <w:p>
      <w:pPr>
        <w:ind w:firstLine="480"/>
      </w:pPr>
      <w:r>
        <w:t>菌物资源与利用专业应用性较强，在理论课程学习的基础上，更注重实践教学环节。在为本专业的学生提供系统宽厚的生物学基础知识的同时，也培养学生形成与菌物资源与利用专业发展相适应的基本技能。通过学科基础课的学习，使学生能够掌握最基本的生物学基本理论、基本知识。通过专业核心课的学习，使学生具备扎实的菌物学基础理论、基本知识和基本技能，已达到能够熟练掌握食药用菌生产、加工、育种及发酵等基础知识与基本技能，具有较强的菌种生产能力、指导栽培能力、产品加工能力、品种选育能力以及生物发酵能力。通过选修课程的调整，使专业特色更加鲜明。满足学科大类人才的基本规格和全面发展的共性需求，体现</w:t>
      </w:r>
      <w:r>
        <w:rPr>
          <w:rFonts w:hint="eastAsia"/>
        </w:rPr>
        <w:t>“</w:t>
      </w:r>
      <w:r>
        <w:t>厚基础，宽口径</w:t>
      </w:r>
      <w:r>
        <w:rPr>
          <w:rFonts w:hint="eastAsia"/>
        </w:rPr>
        <w:t>”</w:t>
      </w:r>
      <w:r>
        <w:t>。另外，在专业课程中，进一步拓展课程内容，创建了开放式的课程体系，聘请国内外知名的专家学者、企业家，为学生讲授《菌物资源与利用研究进展》和《食用菌工厂化生产》等课程，开阔学生的视野，激发了学生的专业兴趣。</w:t>
      </w:r>
    </w:p>
    <w:p>
      <w:pPr>
        <w:pStyle w:val="7"/>
        <w:ind w:firstLine="480"/>
      </w:pPr>
      <w:r>
        <w:t>3.</w:t>
      </w:r>
      <w:r>
        <w:rPr>
          <w:rFonts w:hint="eastAsia"/>
        </w:rPr>
        <w:t>“</w:t>
      </w:r>
      <w:r>
        <w:t>产学研</w:t>
      </w:r>
      <w:r>
        <w:rPr>
          <w:rFonts w:hint="eastAsia"/>
        </w:rPr>
        <w:t>”</w:t>
      </w:r>
      <w:r>
        <w:t>紧密结合，搭建了高水平的实践教学平台。</w:t>
      </w:r>
    </w:p>
    <w:p>
      <w:pPr>
        <w:ind w:firstLine="480"/>
      </w:pPr>
      <w:r>
        <w:t>在校内，以菌物实训实践基地及各学科科研实验室为依托，鼓励学生积极参与各类科技创新活动，极大地激发了学生的创新精神和学习兴趣，促进了学生创新能力的培养。</w:t>
      </w:r>
    </w:p>
    <w:p>
      <w:pPr>
        <w:ind w:firstLine="480"/>
      </w:pPr>
      <w:r>
        <w:t>在校外，本着</w:t>
      </w:r>
      <w:r>
        <w:rPr>
          <w:rFonts w:hint="eastAsia"/>
        </w:rPr>
        <w:t>“</w:t>
      </w:r>
      <w:r>
        <w:t>互惠互利、共同发展</w:t>
      </w:r>
      <w:r>
        <w:rPr>
          <w:rFonts w:hint="eastAsia"/>
        </w:rPr>
        <w:t>”</w:t>
      </w:r>
      <w:r>
        <w:t>的原则，与7家企业联合建立实践教学基地，搭建实践教学平台。实践教学平台的建设实现了学校与企业的紧密联合，企业为教师提供了社会服务能力的平台，专家、教授深入生产一线，能够准确及时把握社会需求，实现社会需求与科研的同步发展。企业为学生提供的实践平台，促进了学生创新和创业能力的提高，提高应用型人才的培养质量。同时，教师为企业提供新技术，学生为产品的研发和企业的创新注入活力，推动了企业的持续健康发展。</w:t>
      </w:r>
    </w:p>
    <w:p>
      <w:pPr>
        <w:pStyle w:val="7"/>
        <w:ind w:firstLine="480"/>
      </w:pPr>
      <w:bookmarkStart w:id="123" w:name="_Toc438025715"/>
      <w:r>
        <w:t>4.创新教学管理</w:t>
      </w:r>
      <w:bookmarkEnd w:id="123"/>
      <w:r>
        <w:t>模式，提高人才培养质量。</w:t>
      </w:r>
    </w:p>
    <w:p>
      <w:pPr>
        <w:ind w:firstLine="480"/>
      </w:pPr>
      <w:r>
        <w:t>注重学生的知识、素质与能力的协调发展是人才培养的关键和核心。在教学的管理过程中，确立了一套科学合理的教学管理模式，来保证人才培养质量。主要措施包括：</w:t>
      </w:r>
    </w:p>
    <w:p>
      <w:pPr>
        <w:ind w:firstLine="480"/>
      </w:pPr>
      <w:r>
        <w:t>（1）构建</w:t>
      </w:r>
      <w:r>
        <w:rPr>
          <w:rFonts w:hint="eastAsia"/>
        </w:rPr>
        <w:t>“</w:t>
      </w:r>
      <w:r>
        <w:t>学院+系+教学团队</w:t>
      </w:r>
      <w:r>
        <w:rPr>
          <w:rFonts w:hint="eastAsia"/>
        </w:rPr>
        <w:t>”</w:t>
      </w:r>
      <w:r>
        <w:t>的三层次教学管理体系，切实有效地提升和保障教育教学水平及质量。</w:t>
      </w:r>
    </w:p>
    <w:p>
      <w:pPr>
        <w:ind w:firstLine="480"/>
      </w:pPr>
      <w:r>
        <w:t>（2）科研训练实行</w:t>
      </w:r>
      <w:r>
        <w:rPr>
          <w:rFonts w:hint="eastAsia"/>
        </w:rPr>
        <w:t>“</w:t>
      </w:r>
      <w:r>
        <w:t>创新课题+毕业论文</w:t>
      </w:r>
      <w:r>
        <w:rPr>
          <w:rFonts w:hint="eastAsia"/>
        </w:rPr>
        <w:t>”</w:t>
      </w:r>
      <w:r>
        <w:t>制。制定本科生科技创新实践培养和毕业论文的质量标准及其运行管理制度，依托学院科研实验室与科研平台学术带头人与科研骨干教师亲自指导本科生的科研创新与毕业论文，确保人才培养的质量与水平。</w:t>
      </w:r>
    </w:p>
    <w:p>
      <w:pPr>
        <w:ind w:firstLine="480"/>
      </w:pPr>
      <w:r>
        <w:t>（3）企业技能实训实行</w:t>
      </w:r>
      <w:r>
        <w:rPr>
          <w:rFonts w:hint="eastAsia"/>
        </w:rPr>
        <w:t>“</w:t>
      </w:r>
      <w:r>
        <w:t>专题讲座＋顶岗实习</w:t>
      </w:r>
      <w:r>
        <w:rPr>
          <w:rFonts w:hint="eastAsia"/>
        </w:rPr>
        <w:t>”</w:t>
      </w:r>
      <w:r>
        <w:t>制。依托产学研结合的实践教学平台，聘请企业家来校给学生作报告，直接面对面的交流，本科生直接渗入食用菌高新技术产业环节，获得创新创业真经，极大的提升了学生的创新创业能力。</w:t>
      </w:r>
    </w:p>
    <w:p>
      <w:pPr>
        <w:pStyle w:val="5"/>
        <w:spacing w:before="93" w:after="93"/>
        <w:ind w:firstLine="560"/>
      </w:pPr>
      <w:r>
        <w:t>五、培养质量（毕业生就业率、就业专业对口率、毕业生发展情况、就业单位满意率、社会对专业的评价、学生就读该专业的意愿等）</w:t>
      </w:r>
    </w:p>
    <w:p>
      <w:pPr>
        <w:pStyle w:val="7"/>
        <w:ind w:firstLine="480"/>
      </w:pPr>
      <w:r>
        <w:t>1. 毕业生就业状况</w:t>
      </w:r>
    </w:p>
    <w:p>
      <w:pPr>
        <w:ind w:firstLine="480"/>
        <w:jc w:val="left"/>
      </w:pPr>
      <w:r>
        <w:t>2022届森林保护（菌物资源与利用方向）专业本科毕业生共26人，专业总体就业率为96.15%，就业情况良好。具体情况统计如下：</w:t>
      </w:r>
    </w:p>
    <w:p>
      <w:pPr>
        <w:spacing w:line="240" w:lineRule="auto"/>
        <w:jc w:val="center"/>
        <w:rPr>
          <w:b/>
          <w:bCs/>
          <w:sz w:val="21"/>
          <w:szCs w:val="21"/>
        </w:rPr>
      </w:pPr>
    </w:p>
    <w:p>
      <w:pPr>
        <w:spacing w:line="240" w:lineRule="auto"/>
        <w:jc w:val="center"/>
        <w:rPr>
          <w:b/>
          <w:bCs/>
          <w:sz w:val="21"/>
          <w:szCs w:val="21"/>
        </w:rPr>
      </w:pPr>
      <w:r>
        <w:rPr>
          <w:b/>
          <w:bCs/>
          <w:sz w:val="21"/>
          <w:szCs w:val="21"/>
        </w:rPr>
        <w:t>表3毕业生整体就业情况统计表</w:t>
      </w:r>
    </w:p>
    <w:tbl>
      <w:tblPr>
        <w:tblStyle w:val="18"/>
        <w:tblW w:w="87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5"/>
        <w:gridCol w:w="749"/>
        <w:gridCol w:w="1217"/>
        <w:gridCol w:w="1217"/>
        <w:gridCol w:w="1218"/>
        <w:gridCol w:w="1393"/>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jc w:val="center"/>
        </w:trPr>
        <w:tc>
          <w:tcPr>
            <w:tcW w:w="1685" w:type="dxa"/>
            <w:vAlign w:val="center"/>
          </w:tcPr>
          <w:p>
            <w:pPr>
              <w:spacing w:line="240" w:lineRule="auto"/>
              <w:jc w:val="center"/>
              <w:rPr>
                <w:b/>
                <w:bCs/>
                <w:sz w:val="21"/>
                <w:szCs w:val="21"/>
              </w:rPr>
            </w:pPr>
            <w:r>
              <w:rPr>
                <w:b/>
                <w:bCs/>
                <w:sz w:val="21"/>
                <w:szCs w:val="21"/>
              </w:rPr>
              <w:t>专业名称</w:t>
            </w:r>
          </w:p>
        </w:tc>
        <w:tc>
          <w:tcPr>
            <w:tcW w:w="749" w:type="dxa"/>
            <w:vAlign w:val="center"/>
          </w:tcPr>
          <w:p>
            <w:pPr>
              <w:spacing w:line="240" w:lineRule="auto"/>
              <w:jc w:val="center"/>
              <w:rPr>
                <w:b/>
                <w:bCs/>
                <w:sz w:val="21"/>
                <w:szCs w:val="21"/>
              </w:rPr>
            </w:pPr>
            <w:r>
              <w:rPr>
                <w:b/>
                <w:bCs/>
                <w:sz w:val="21"/>
                <w:szCs w:val="21"/>
              </w:rPr>
              <w:t>就业</w:t>
            </w:r>
          </w:p>
          <w:p>
            <w:pPr>
              <w:spacing w:line="240" w:lineRule="auto"/>
              <w:jc w:val="center"/>
              <w:rPr>
                <w:b/>
                <w:bCs/>
                <w:sz w:val="21"/>
                <w:szCs w:val="21"/>
              </w:rPr>
            </w:pPr>
            <w:r>
              <w:rPr>
                <w:b/>
                <w:bCs/>
                <w:sz w:val="21"/>
                <w:szCs w:val="21"/>
              </w:rPr>
              <w:t>人数</w:t>
            </w:r>
          </w:p>
        </w:tc>
        <w:tc>
          <w:tcPr>
            <w:tcW w:w="1217" w:type="dxa"/>
            <w:vAlign w:val="center"/>
          </w:tcPr>
          <w:p>
            <w:pPr>
              <w:spacing w:line="240" w:lineRule="auto"/>
              <w:jc w:val="center"/>
              <w:rPr>
                <w:b/>
                <w:bCs/>
                <w:sz w:val="21"/>
                <w:szCs w:val="21"/>
              </w:rPr>
            </w:pPr>
            <w:r>
              <w:rPr>
                <w:b/>
                <w:bCs/>
                <w:sz w:val="21"/>
                <w:szCs w:val="21"/>
              </w:rPr>
              <w:t>就业率</w:t>
            </w:r>
          </w:p>
        </w:tc>
        <w:tc>
          <w:tcPr>
            <w:tcW w:w="1217" w:type="dxa"/>
            <w:vAlign w:val="center"/>
          </w:tcPr>
          <w:p>
            <w:pPr>
              <w:spacing w:line="240" w:lineRule="auto"/>
              <w:jc w:val="center"/>
              <w:rPr>
                <w:b/>
                <w:bCs/>
                <w:sz w:val="21"/>
                <w:szCs w:val="21"/>
              </w:rPr>
            </w:pPr>
            <w:r>
              <w:rPr>
                <w:b/>
                <w:bCs/>
                <w:sz w:val="21"/>
                <w:szCs w:val="21"/>
              </w:rPr>
              <w:t xml:space="preserve">男生    </w:t>
            </w:r>
          </w:p>
          <w:p>
            <w:pPr>
              <w:spacing w:line="240" w:lineRule="auto"/>
              <w:jc w:val="center"/>
              <w:rPr>
                <w:b/>
                <w:bCs/>
                <w:sz w:val="21"/>
                <w:szCs w:val="21"/>
              </w:rPr>
            </w:pPr>
            <w:r>
              <w:rPr>
                <w:b/>
                <w:bCs/>
                <w:sz w:val="21"/>
                <w:szCs w:val="21"/>
              </w:rPr>
              <w:t>就业率</w:t>
            </w:r>
          </w:p>
        </w:tc>
        <w:tc>
          <w:tcPr>
            <w:tcW w:w="1218" w:type="dxa"/>
            <w:vAlign w:val="center"/>
          </w:tcPr>
          <w:p>
            <w:pPr>
              <w:spacing w:line="240" w:lineRule="auto"/>
              <w:jc w:val="center"/>
              <w:rPr>
                <w:b/>
                <w:bCs/>
                <w:sz w:val="21"/>
                <w:szCs w:val="21"/>
              </w:rPr>
            </w:pPr>
            <w:r>
              <w:rPr>
                <w:b/>
                <w:bCs/>
                <w:sz w:val="21"/>
                <w:szCs w:val="21"/>
              </w:rPr>
              <w:t>女生</w:t>
            </w:r>
          </w:p>
          <w:p>
            <w:pPr>
              <w:spacing w:line="240" w:lineRule="auto"/>
              <w:jc w:val="center"/>
              <w:rPr>
                <w:b/>
                <w:bCs/>
                <w:sz w:val="21"/>
                <w:szCs w:val="21"/>
              </w:rPr>
            </w:pPr>
            <w:r>
              <w:rPr>
                <w:b/>
                <w:bCs/>
                <w:sz w:val="21"/>
                <w:szCs w:val="21"/>
              </w:rPr>
              <w:t>就业率</w:t>
            </w:r>
          </w:p>
        </w:tc>
        <w:tc>
          <w:tcPr>
            <w:tcW w:w="1393" w:type="dxa"/>
            <w:vAlign w:val="center"/>
          </w:tcPr>
          <w:p>
            <w:pPr>
              <w:spacing w:line="240" w:lineRule="auto"/>
              <w:jc w:val="center"/>
              <w:rPr>
                <w:b/>
                <w:bCs/>
                <w:sz w:val="21"/>
                <w:szCs w:val="21"/>
              </w:rPr>
            </w:pPr>
            <w:r>
              <w:rPr>
                <w:b/>
                <w:bCs/>
                <w:sz w:val="21"/>
                <w:szCs w:val="21"/>
              </w:rPr>
              <w:t>留鲁就业人数（比例）</w:t>
            </w:r>
          </w:p>
        </w:tc>
        <w:tc>
          <w:tcPr>
            <w:tcW w:w="1276" w:type="dxa"/>
            <w:vAlign w:val="center"/>
          </w:tcPr>
          <w:p>
            <w:pPr>
              <w:spacing w:line="240" w:lineRule="auto"/>
              <w:jc w:val="center"/>
              <w:rPr>
                <w:b/>
                <w:bCs/>
                <w:sz w:val="21"/>
                <w:szCs w:val="21"/>
              </w:rPr>
            </w:pPr>
            <w:r>
              <w:rPr>
                <w:b/>
                <w:bCs/>
                <w:sz w:val="21"/>
                <w:szCs w:val="21"/>
              </w:rPr>
              <w:t>省外就业人数（比例）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1685" w:type="dxa"/>
            <w:vAlign w:val="center"/>
          </w:tcPr>
          <w:p>
            <w:pPr>
              <w:spacing w:line="240" w:lineRule="auto"/>
              <w:jc w:val="center"/>
              <w:rPr>
                <w:sz w:val="21"/>
                <w:szCs w:val="21"/>
              </w:rPr>
            </w:pPr>
            <w:r>
              <w:rPr>
                <w:sz w:val="21"/>
                <w:szCs w:val="21"/>
              </w:rPr>
              <w:t>森林保护（菌物资源与利用）</w:t>
            </w:r>
          </w:p>
        </w:tc>
        <w:tc>
          <w:tcPr>
            <w:tcW w:w="749" w:type="dxa"/>
            <w:vAlign w:val="center"/>
          </w:tcPr>
          <w:p>
            <w:pPr>
              <w:spacing w:line="240" w:lineRule="auto"/>
              <w:jc w:val="center"/>
              <w:rPr>
                <w:sz w:val="21"/>
                <w:szCs w:val="21"/>
              </w:rPr>
            </w:pPr>
            <w:r>
              <w:rPr>
                <w:sz w:val="21"/>
                <w:szCs w:val="21"/>
              </w:rPr>
              <w:t>25</w:t>
            </w:r>
          </w:p>
        </w:tc>
        <w:tc>
          <w:tcPr>
            <w:tcW w:w="1217" w:type="dxa"/>
            <w:vAlign w:val="center"/>
          </w:tcPr>
          <w:p>
            <w:pPr>
              <w:spacing w:line="240" w:lineRule="auto"/>
              <w:jc w:val="center"/>
              <w:rPr>
                <w:sz w:val="21"/>
                <w:szCs w:val="21"/>
              </w:rPr>
            </w:pPr>
            <w:r>
              <w:rPr>
                <w:sz w:val="21"/>
                <w:szCs w:val="21"/>
              </w:rPr>
              <w:t>96.15%</w:t>
            </w:r>
          </w:p>
        </w:tc>
        <w:tc>
          <w:tcPr>
            <w:tcW w:w="1217" w:type="dxa"/>
            <w:vAlign w:val="center"/>
          </w:tcPr>
          <w:p>
            <w:pPr>
              <w:spacing w:line="240" w:lineRule="auto"/>
              <w:jc w:val="center"/>
              <w:rPr>
                <w:sz w:val="21"/>
                <w:szCs w:val="21"/>
              </w:rPr>
            </w:pPr>
            <w:r>
              <w:rPr>
                <w:sz w:val="21"/>
                <w:szCs w:val="21"/>
              </w:rPr>
              <w:t>92.86%</w:t>
            </w:r>
          </w:p>
        </w:tc>
        <w:tc>
          <w:tcPr>
            <w:tcW w:w="1218" w:type="dxa"/>
            <w:vAlign w:val="center"/>
          </w:tcPr>
          <w:p>
            <w:pPr>
              <w:spacing w:line="240" w:lineRule="auto"/>
              <w:jc w:val="center"/>
              <w:rPr>
                <w:sz w:val="21"/>
                <w:szCs w:val="21"/>
              </w:rPr>
            </w:pPr>
            <w:r>
              <w:rPr>
                <w:sz w:val="21"/>
                <w:szCs w:val="21"/>
              </w:rPr>
              <w:t>100%</w:t>
            </w:r>
          </w:p>
        </w:tc>
        <w:tc>
          <w:tcPr>
            <w:tcW w:w="1393" w:type="dxa"/>
            <w:vAlign w:val="center"/>
          </w:tcPr>
          <w:p>
            <w:pPr>
              <w:spacing w:line="240" w:lineRule="auto"/>
              <w:jc w:val="center"/>
              <w:rPr>
                <w:sz w:val="21"/>
                <w:szCs w:val="21"/>
              </w:rPr>
            </w:pPr>
            <w:r>
              <w:rPr>
                <w:sz w:val="21"/>
                <w:szCs w:val="21"/>
              </w:rPr>
              <w:t>54.17%</w:t>
            </w:r>
          </w:p>
        </w:tc>
        <w:tc>
          <w:tcPr>
            <w:tcW w:w="1276" w:type="dxa"/>
            <w:vAlign w:val="center"/>
          </w:tcPr>
          <w:p>
            <w:pPr>
              <w:spacing w:line="240" w:lineRule="auto"/>
              <w:jc w:val="center"/>
              <w:rPr>
                <w:sz w:val="21"/>
                <w:szCs w:val="21"/>
              </w:rPr>
            </w:pPr>
            <w:r>
              <w:rPr>
                <w:sz w:val="21"/>
                <w:szCs w:val="21"/>
              </w:rPr>
              <w:t>45.83%</w:t>
            </w:r>
          </w:p>
        </w:tc>
      </w:tr>
    </w:tbl>
    <w:p>
      <w:pPr>
        <w:spacing w:line="240" w:lineRule="auto"/>
        <w:jc w:val="center"/>
        <w:rPr>
          <w:rFonts w:eastAsia="仿宋"/>
          <w:sz w:val="28"/>
          <w:szCs w:val="28"/>
        </w:rPr>
      </w:pPr>
      <w:r>
        <w:rPr>
          <w:rFonts w:eastAsia="仿宋"/>
          <w:sz w:val="28"/>
          <w:szCs w:val="28"/>
        </w:rPr>
        <w:drawing>
          <wp:inline distT="0" distB="0" distL="0" distR="0">
            <wp:extent cx="4025900" cy="2388235"/>
            <wp:effectExtent l="0" t="0" r="12700" b="12065"/>
            <wp:docPr id="45" name="图片 45"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图片3"/>
                    <pic:cNvPicPr>
                      <a:picLocks noChangeAspect="1" noChangeArrowheads="1"/>
                    </pic:cNvPicPr>
                  </pic:nvPicPr>
                  <pic:blipFill>
                    <a:blip r:embed="rId67">
                      <a:extLst>
                        <a:ext uri="{28A0092B-C50C-407E-A947-70E740481C1C}">
                          <a14:useLocalDpi xmlns:a14="http://schemas.microsoft.com/office/drawing/2010/main" val="0"/>
                        </a:ext>
                      </a:extLst>
                    </a:blip>
                    <a:srcRect t="10149"/>
                    <a:stretch>
                      <a:fillRect/>
                    </a:stretch>
                  </pic:blipFill>
                  <pic:spPr>
                    <a:xfrm>
                      <a:off x="0" y="0"/>
                      <a:ext cx="4034503" cy="2393340"/>
                    </a:xfrm>
                    <a:prstGeom prst="rect">
                      <a:avLst/>
                    </a:prstGeom>
                    <a:noFill/>
                    <a:ln>
                      <a:noFill/>
                    </a:ln>
                  </pic:spPr>
                </pic:pic>
              </a:graphicData>
            </a:graphic>
          </wp:inline>
        </w:drawing>
      </w:r>
    </w:p>
    <w:p>
      <w:pPr>
        <w:spacing w:line="240" w:lineRule="auto"/>
        <w:jc w:val="center"/>
        <w:rPr>
          <w:b/>
          <w:bCs/>
          <w:sz w:val="21"/>
          <w:szCs w:val="21"/>
        </w:rPr>
      </w:pPr>
      <w:r>
        <w:rPr>
          <w:b/>
          <w:bCs/>
          <w:sz w:val="21"/>
          <w:szCs w:val="21"/>
        </w:rPr>
        <w:t>图1 毕业生就业地区流向图</w:t>
      </w:r>
    </w:p>
    <w:p>
      <w:pPr>
        <w:spacing w:line="240" w:lineRule="auto"/>
        <w:jc w:val="center"/>
        <w:rPr>
          <w:b/>
          <w:bCs/>
          <w:sz w:val="21"/>
          <w:szCs w:val="21"/>
        </w:rPr>
      </w:pPr>
    </w:p>
    <w:p>
      <w:pPr>
        <w:spacing w:line="240" w:lineRule="auto"/>
        <w:jc w:val="center"/>
        <w:rPr>
          <w:b/>
          <w:bCs/>
          <w:sz w:val="21"/>
          <w:szCs w:val="21"/>
        </w:rPr>
      </w:pPr>
      <w:r>
        <w:rPr>
          <w:b/>
          <w:bCs/>
          <w:sz w:val="21"/>
          <w:szCs w:val="21"/>
        </w:rPr>
        <w:t>表4毕业生就业方式统计表</w:t>
      </w:r>
    </w:p>
    <w:tbl>
      <w:tblPr>
        <w:tblStyle w:val="17"/>
        <w:tblW w:w="8879" w:type="dxa"/>
        <w:jc w:val="center"/>
        <w:tblLayout w:type="fixed"/>
        <w:tblCellMar>
          <w:top w:w="0" w:type="dxa"/>
          <w:left w:w="0" w:type="dxa"/>
          <w:bottom w:w="0" w:type="dxa"/>
          <w:right w:w="0" w:type="dxa"/>
        </w:tblCellMar>
      </w:tblPr>
      <w:tblGrid>
        <w:gridCol w:w="1545"/>
        <w:gridCol w:w="869"/>
        <w:gridCol w:w="1155"/>
        <w:gridCol w:w="1200"/>
        <w:gridCol w:w="1184"/>
        <w:gridCol w:w="1032"/>
        <w:gridCol w:w="874"/>
        <w:gridCol w:w="1020"/>
      </w:tblGrid>
      <w:tr>
        <w:tblPrEx>
          <w:tblCellMar>
            <w:top w:w="0" w:type="dxa"/>
            <w:left w:w="0" w:type="dxa"/>
            <w:bottom w:w="0" w:type="dxa"/>
            <w:right w:w="0" w:type="dxa"/>
          </w:tblCellMar>
        </w:tblPrEx>
        <w:trPr>
          <w:trHeight w:val="617" w:hRule="atLeast"/>
          <w:jc w:val="center"/>
        </w:trPr>
        <w:tc>
          <w:tcPr>
            <w:tcW w:w="154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就业方式</w:t>
            </w:r>
          </w:p>
        </w:tc>
        <w:tc>
          <w:tcPr>
            <w:tcW w:w="86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国内</w:t>
            </w:r>
          </w:p>
          <w:p>
            <w:pPr>
              <w:spacing w:line="240" w:lineRule="auto"/>
              <w:jc w:val="center"/>
              <w:rPr>
                <w:b/>
                <w:bCs/>
                <w:sz w:val="21"/>
                <w:szCs w:val="21"/>
              </w:rPr>
            </w:pPr>
            <w:r>
              <w:rPr>
                <w:b/>
                <w:bCs/>
                <w:sz w:val="21"/>
                <w:szCs w:val="21"/>
              </w:rPr>
              <w:t>升学</w:t>
            </w:r>
          </w:p>
        </w:tc>
        <w:tc>
          <w:tcPr>
            <w:tcW w:w="11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协议就业</w:t>
            </w:r>
          </w:p>
        </w:tc>
        <w:tc>
          <w:tcPr>
            <w:tcW w:w="120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劳动合同</w:t>
            </w:r>
          </w:p>
        </w:tc>
        <w:tc>
          <w:tcPr>
            <w:tcW w:w="118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国家基层</w:t>
            </w:r>
          </w:p>
        </w:tc>
        <w:tc>
          <w:tcPr>
            <w:tcW w:w="103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其他录用形式</w:t>
            </w:r>
          </w:p>
        </w:tc>
        <w:tc>
          <w:tcPr>
            <w:tcW w:w="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暂不就业</w:t>
            </w:r>
          </w:p>
        </w:tc>
        <w:tc>
          <w:tcPr>
            <w:tcW w:w="102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待就业</w:t>
            </w:r>
          </w:p>
        </w:tc>
      </w:tr>
      <w:tr>
        <w:tblPrEx>
          <w:tblCellMar>
            <w:top w:w="0" w:type="dxa"/>
            <w:left w:w="0" w:type="dxa"/>
            <w:bottom w:w="0" w:type="dxa"/>
            <w:right w:w="0" w:type="dxa"/>
          </w:tblCellMar>
        </w:tblPrEx>
        <w:trPr>
          <w:trHeight w:val="657" w:hRule="atLeast"/>
          <w:jc w:val="center"/>
        </w:trPr>
        <w:tc>
          <w:tcPr>
            <w:tcW w:w="154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人数</w:t>
            </w:r>
          </w:p>
          <w:p>
            <w:pPr>
              <w:spacing w:line="240" w:lineRule="auto"/>
              <w:jc w:val="center"/>
              <w:rPr>
                <w:sz w:val="21"/>
                <w:szCs w:val="21"/>
              </w:rPr>
            </w:pPr>
            <w:r>
              <w:rPr>
                <w:sz w:val="21"/>
                <w:szCs w:val="21"/>
              </w:rPr>
              <w:t>（比例）</w:t>
            </w:r>
          </w:p>
        </w:tc>
        <w:tc>
          <w:tcPr>
            <w:tcW w:w="86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30.77%</w:t>
            </w:r>
          </w:p>
        </w:tc>
        <w:tc>
          <w:tcPr>
            <w:tcW w:w="11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7.69%</w:t>
            </w:r>
          </w:p>
        </w:tc>
        <w:tc>
          <w:tcPr>
            <w:tcW w:w="120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23.08%</w:t>
            </w:r>
          </w:p>
        </w:tc>
        <w:tc>
          <w:tcPr>
            <w:tcW w:w="118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3.85%</w:t>
            </w:r>
          </w:p>
        </w:tc>
        <w:tc>
          <w:tcPr>
            <w:tcW w:w="103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30.77%</w:t>
            </w:r>
          </w:p>
        </w:tc>
        <w:tc>
          <w:tcPr>
            <w:tcW w:w="87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w:t>
            </w:r>
          </w:p>
        </w:tc>
        <w:tc>
          <w:tcPr>
            <w:tcW w:w="102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3.85%</w:t>
            </w:r>
          </w:p>
        </w:tc>
      </w:tr>
    </w:tbl>
    <w:p>
      <w:pPr>
        <w:spacing w:line="240" w:lineRule="auto"/>
        <w:jc w:val="center"/>
        <w:rPr>
          <w:b/>
          <w:bCs/>
          <w:sz w:val="21"/>
          <w:szCs w:val="21"/>
        </w:rPr>
      </w:pPr>
    </w:p>
    <w:p>
      <w:pPr>
        <w:spacing w:line="240" w:lineRule="auto"/>
        <w:jc w:val="center"/>
        <w:rPr>
          <w:b/>
          <w:bCs/>
          <w:sz w:val="21"/>
          <w:szCs w:val="21"/>
        </w:rPr>
      </w:pPr>
      <w:r>
        <w:rPr>
          <w:b/>
          <w:bCs/>
          <w:sz w:val="21"/>
          <w:szCs w:val="21"/>
        </w:rPr>
        <w:t>表5 毕业生专业对口（占已就业人数）情况统计表</w:t>
      </w:r>
    </w:p>
    <w:tbl>
      <w:tblPr>
        <w:tblStyle w:val="1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64"/>
        <w:gridCol w:w="2265"/>
        <w:gridCol w:w="2265"/>
        <w:gridCol w:w="22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pPr>
              <w:spacing w:line="240" w:lineRule="auto"/>
              <w:jc w:val="center"/>
              <w:rPr>
                <w:b/>
                <w:bCs/>
                <w:sz w:val="21"/>
                <w:szCs w:val="21"/>
              </w:rPr>
            </w:pPr>
            <w:r>
              <w:rPr>
                <w:b/>
                <w:bCs/>
                <w:sz w:val="21"/>
                <w:szCs w:val="21"/>
              </w:rPr>
              <w:t>就业方式</w:t>
            </w:r>
          </w:p>
        </w:tc>
        <w:tc>
          <w:tcPr>
            <w:tcW w:w="1250" w:type="pct"/>
            <w:vAlign w:val="center"/>
          </w:tcPr>
          <w:p>
            <w:pPr>
              <w:spacing w:line="240" w:lineRule="auto"/>
              <w:jc w:val="center"/>
              <w:rPr>
                <w:b/>
                <w:bCs/>
                <w:sz w:val="21"/>
                <w:szCs w:val="21"/>
              </w:rPr>
            </w:pPr>
            <w:r>
              <w:rPr>
                <w:b/>
                <w:bCs/>
                <w:sz w:val="21"/>
                <w:szCs w:val="21"/>
              </w:rPr>
              <w:t>企业就业</w:t>
            </w:r>
          </w:p>
        </w:tc>
        <w:tc>
          <w:tcPr>
            <w:tcW w:w="1250" w:type="pct"/>
            <w:vAlign w:val="center"/>
          </w:tcPr>
          <w:p>
            <w:pPr>
              <w:spacing w:line="240" w:lineRule="auto"/>
              <w:jc w:val="center"/>
              <w:rPr>
                <w:b/>
                <w:bCs/>
                <w:sz w:val="21"/>
                <w:szCs w:val="21"/>
              </w:rPr>
            </w:pPr>
            <w:r>
              <w:rPr>
                <w:b/>
                <w:bCs/>
                <w:sz w:val="21"/>
                <w:szCs w:val="21"/>
              </w:rPr>
              <w:t>国家基层项目</w:t>
            </w:r>
          </w:p>
        </w:tc>
        <w:tc>
          <w:tcPr>
            <w:tcW w:w="1250" w:type="pct"/>
            <w:vAlign w:val="center"/>
          </w:tcPr>
          <w:p>
            <w:pPr>
              <w:spacing w:line="240" w:lineRule="auto"/>
              <w:jc w:val="center"/>
              <w:rPr>
                <w:b/>
                <w:bCs/>
                <w:sz w:val="21"/>
                <w:szCs w:val="21"/>
              </w:rPr>
            </w:pPr>
            <w:r>
              <w:rPr>
                <w:b/>
                <w:bCs/>
                <w:sz w:val="21"/>
                <w:szCs w:val="21"/>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pPr>
              <w:spacing w:line="240" w:lineRule="auto"/>
              <w:jc w:val="center"/>
              <w:rPr>
                <w:sz w:val="21"/>
                <w:szCs w:val="21"/>
              </w:rPr>
            </w:pPr>
            <w:r>
              <w:rPr>
                <w:sz w:val="21"/>
                <w:szCs w:val="21"/>
              </w:rPr>
              <w:t>对口就业人数</w:t>
            </w:r>
          </w:p>
        </w:tc>
        <w:tc>
          <w:tcPr>
            <w:tcW w:w="1250" w:type="pct"/>
            <w:vAlign w:val="center"/>
          </w:tcPr>
          <w:p>
            <w:pPr>
              <w:spacing w:line="240" w:lineRule="auto"/>
              <w:jc w:val="center"/>
              <w:rPr>
                <w:sz w:val="21"/>
                <w:szCs w:val="21"/>
              </w:rPr>
            </w:pPr>
            <w:r>
              <w:rPr>
                <w:sz w:val="21"/>
                <w:szCs w:val="21"/>
              </w:rPr>
              <w:t>8</w:t>
            </w:r>
          </w:p>
        </w:tc>
        <w:tc>
          <w:tcPr>
            <w:tcW w:w="1250" w:type="pct"/>
            <w:vAlign w:val="center"/>
          </w:tcPr>
          <w:p>
            <w:pPr>
              <w:spacing w:line="240" w:lineRule="auto"/>
              <w:jc w:val="center"/>
              <w:rPr>
                <w:sz w:val="21"/>
                <w:szCs w:val="21"/>
              </w:rPr>
            </w:pPr>
            <w:r>
              <w:rPr>
                <w:sz w:val="21"/>
                <w:szCs w:val="21"/>
              </w:rPr>
              <w:t>1</w:t>
            </w:r>
          </w:p>
        </w:tc>
        <w:tc>
          <w:tcPr>
            <w:tcW w:w="1250" w:type="pct"/>
            <w:vAlign w:val="center"/>
          </w:tcPr>
          <w:p>
            <w:pPr>
              <w:spacing w:line="240" w:lineRule="auto"/>
              <w:jc w:val="center"/>
              <w:rPr>
                <w:sz w:val="21"/>
                <w:szCs w:val="21"/>
              </w:rPr>
            </w:pPr>
            <w:r>
              <w:rPr>
                <w:sz w:val="21"/>
                <w:szCs w:val="21"/>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pct"/>
            <w:vAlign w:val="center"/>
          </w:tcPr>
          <w:p>
            <w:pPr>
              <w:spacing w:line="240" w:lineRule="auto"/>
              <w:jc w:val="center"/>
              <w:rPr>
                <w:sz w:val="21"/>
                <w:szCs w:val="21"/>
              </w:rPr>
            </w:pPr>
            <w:r>
              <w:rPr>
                <w:sz w:val="21"/>
                <w:szCs w:val="21"/>
              </w:rPr>
              <w:t>占比</w:t>
            </w:r>
          </w:p>
        </w:tc>
        <w:tc>
          <w:tcPr>
            <w:tcW w:w="1250" w:type="pct"/>
            <w:vAlign w:val="center"/>
          </w:tcPr>
          <w:p>
            <w:pPr>
              <w:spacing w:line="240" w:lineRule="auto"/>
              <w:jc w:val="center"/>
              <w:rPr>
                <w:sz w:val="21"/>
                <w:szCs w:val="21"/>
              </w:rPr>
            </w:pPr>
            <w:r>
              <w:rPr>
                <w:sz w:val="21"/>
                <w:szCs w:val="21"/>
              </w:rPr>
              <w:t>33.33%</w:t>
            </w:r>
          </w:p>
        </w:tc>
        <w:tc>
          <w:tcPr>
            <w:tcW w:w="1250" w:type="pct"/>
            <w:vAlign w:val="center"/>
          </w:tcPr>
          <w:p>
            <w:pPr>
              <w:spacing w:line="240" w:lineRule="auto"/>
              <w:jc w:val="center"/>
              <w:rPr>
                <w:sz w:val="21"/>
                <w:szCs w:val="21"/>
              </w:rPr>
            </w:pPr>
            <w:r>
              <w:rPr>
                <w:sz w:val="21"/>
                <w:szCs w:val="21"/>
              </w:rPr>
              <w:t>4.17%</w:t>
            </w:r>
          </w:p>
        </w:tc>
        <w:tc>
          <w:tcPr>
            <w:tcW w:w="1250" w:type="pct"/>
            <w:vAlign w:val="center"/>
          </w:tcPr>
          <w:p>
            <w:pPr>
              <w:spacing w:line="240" w:lineRule="auto"/>
              <w:jc w:val="center"/>
              <w:rPr>
                <w:sz w:val="21"/>
                <w:szCs w:val="21"/>
              </w:rPr>
            </w:pPr>
            <w:r>
              <w:rPr>
                <w:sz w:val="21"/>
                <w:szCs w:val="21"/>
              </w:rPr>
              <w:t>37.5%</w:t>
            </w:r>
          </w:p>
        </w:tc>
      </w:tr>
    </w:tbl>
    <w:p>
      <w:pPr>
        <w:spacing w:before="156" w:beforeLines="50"/>
        <w:ind w:firstLine="480"/>
      </w:pPr>
      <w:r>
        <w:t>我国食用菌工厂化生产规模随着食用菌整体产量的增长而不断上升，工厂化企业数量也逐年递增，因而对食用菌专业人才的需求也激增，国内大型的食用菌工厂化企业非常欢迎本专业的毕业生前往就业。七河等全国知名食用菌企业都把本专业的学生作为第一选择，每年都主动联系来校做宣讲会，这充分说明了企业对我们所培养学生的认可。中国农业大学、南京农业大学、华南农业大学、中国农业科学院、中国科学院等大学及科研院所非常欢迎本专业学生前往报考研究生。招收研究生和用人单位普遍认为本专业的毕业生理论基础扎实、专业素质高、思路好、发展后劲足。</w:t>
      </w:r>
    </w:p>
    <w:p>
      <w:pPr>
        <w:pStyle w:val="7"/>
        <w:ind w:firstLine="480"/>
      </w:pPr>
      <w:r>
        <w:t>2.毕业生生源地结构</w:t>
      </w:r>
    </w:p>
    <w:p>
      <w:pPr>
        <w:ind w:firstLine="480"/>
      </w:pPr>
      <w:r>
        <w:t>本专业2022届毕业生共计26人，其中男生14人，占53.85%，女生12人，占46.15%；省内生源2人，占7.69%，省外生源24人，占92.31%，省外生源主要集中贵州省、云南省、四川省。从民族结构看，2022 届毕业生以汉族为主，共21人，占80.77%；少数民族共5人，占19.23%，包括满族、藏族、土家族。</w:t>
      </w:r>
    </w:p>
    <w:p>
      <w:pPr>
        <w:spacing w:line="240" w:lineRule="auto"/>
        <w:jc w:val="center"/>
        <w:rPr>
          <w:sz w:val="21"/>
          <w:szCs w:val="21"/>
        </w:rPr>
      </w:pPr>
    </w:p>
    <w:p>
      <w:pPr>
        <w:spacing w:line="240" w:lineRule="auto"/>
        <w:jc w:val="center"/>
        <w:rPr>
          <w:sz w:val="21"/>
          <w:szCs w:val="21"/>
        </w:rPr>
      </w:pPr>
    </w:p>
    <w:p>
      <w:pPr>
        <w:spacing w:line="240" w:lineRule="auto"/>
        <w:jc w:val="center"/>
        <w:rPr>
          <w:b/>
          <w:bCs/>
          <w:sz w:val="21"/>
          <w:szCs w:val="21"/>
        </w:rPr>
      </w:pPr>
      <w:r>
        <w:rPr>
          <w:b/>
          <w:bCs/>
          <w:sz w:val="21"/>
          <w:szCs w:val="21"/>
        </w:rPr>
        <w:t>表6毕业生生源情况统计表</w:t>
      </w:r>
    </w:p>
    <w:tbl>
      <w:tblPr>
        <w:tblStyle w:val="18"/>
        <w:tblW w:w="90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1"/>
        <w:gridCol w:w="690"/>
        <w:gridCol w:w="1136"/>
        <w:gridCol w:w="1136"/>
        <w:gridCol w:w="1136"/>
        <w:gridCol w:w="1136"/>
        <w:gridCol w:w="1137"/>
        <w:gridCol w:w="11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8" w:hRule="atLeast"/>
          <w:jc w:val="center"/>
        </w:trPr>
        <w:tc>
          <w:tcPr>
            <w:tcW w:w="1581" w:type="dxa"/>
            <w:vAlign w:val="center"/>
          </w:tcPr>
          <w:p>
            <w:pPr>
              <w:spacing w:line="240" w:lineRule="auto"/>
              <w:jc w:val="center"/>
              <w:rPr>
                <w:b/>
                <w:bCs/>
                <w:sz w:val="21"/>
                <w:szCs w:val="21"/>
              </w:rPr>
            </w:pPr>
            <w:r>
              <w:rPr>
                <w:b/>
                <w:bCs/>
                <w:sz w:val="21"/>
                <w:szCs w:val="21"/>
              </w:rPr>
              <w:t>专业名称</w:t>
            </w:r>
          </w:p>
        </w:tc>
        <w:tc>
          <w:tcPr>
            <w:tcW w:w="690" w:type="dxa"/>
            <w:vAlign w:val="center"/>
          </w:tcPr>
          <w:p>
            <w:pPr>
              <w:spacing w:line="240" w:lineRule="auto"/>
              <w:jc w:val="center"/>
              <w:rPr>
                <w:b/>
                <w:bCs/>
                <w:sz w:val="21"/>
                <w:szCs w:val="21"/>
              </w:rPr>
            </w:pPr>
            <w:r>
              <w:rPr>
                <w:b/>
                <w:bCs/>
                <w:sz w:val="21"/>
                <w:szCs w:val="21"/>
              </w:rPr>
              <w:t>生源人数</w:t>
            </w:r>
          </w:p>
        </w:tc>
        <w:tc>
          <w:tcPr>
            <w:tcW w:w="1136" w:type="dxa"/>
            <w:vAlign w:val="center"/>
          </w:tcPr>
          <w:p>
            <w:pPr>
              <w:spacing w:line="240" w:lineRule="auto"/>
              <w:jc w:val="center"/>
              <w:rPr>
                <w:b/>
                <w:bCs/>
                <w:sz w:val="21"/>
                <w:szCs w:val="21"/>
              </w:rPr>
            </w:pPr>
            <w:r>
              <w:rPr>
                <w:b/>
                <w:bCs/>
                <w:sz w:val="21"/>
                <w:szCs w:val="21"/>
              </w:rPr>
              <w:t>男生数</w:t>
            </w:r>
          </w:p>
          <w:p>
            <w:pPr>
              <w:spacing w:line="240" w:lineRule="auto"/>
              <w:jc w:val="center"/>
              <w:rPr>
                <w:b/>
                <w:bCs/>
                <w:sz w:val="21"/>
                <w:szCs w:val="21"/>
              </w:rPr>
            </w:pPr>
            <w:r>
              <w:rPr>
                <w:b/>
                <w:bCs/>
                <w:sz w:val="21"/>
                <w:szCs w:val="21"/>
              </w:rPr>
              <w:t>（比例）</w:t>
            </w:r>
          </w:p>
        </w:tc>
        <w:tc>
          <w:tcPr>
            <w:tcW w:w="1136" w:type="dxa"/>
            <w:vAlign w:val="center"/>
          </w:tcPr>
          <w:p>
            <w:pPr>
              <w:spacing w:line="240" w:lineRule="auto"/>
              <w:jc w:val="center"/>
              <w:rPr>
                <w:b/>
                <w:bCs/>
                <w:sz w:val="21"/>
                <w:szCs w:val="21"/>
              </w:rPr>
            </w:pPr>
            <w:r>
              <w:rPr>
                <w:b/>
                <w:bCs/>
                <w:sz w:val="21"/>
                <w:szCs w:val="21"/>
              </w:rPr>
              <w:t>女生数</w:t>
            </w:r>
          </w:p>
          <w:p>
            <w:pPr>
              <w:spacing w:line="240" w:lineRule="auto"/>
              <w:jc w:val="center"/>
              <w:rPr>
                <w:b/>
                <w:bCs/>
                <w:sz w:val="21"/>
                <w:szCs w:val="21"/>
              </w:rPr>
            </w:pPr>
            <w:r>
              <w:rPr>
                <w:b/>
                <w:bCs/>
                <w:sz w:val="21"/>
                <w:szCs w:val="21"/>
              </w:rPr>
              <w:t>（比例）</w:t>
            </w:r>
          </w:p>
        </w:tc>
        <w:tc>
          <w:tcPr>
            <w:tcW w:w="1136" w:type="dxa"/>
            <w:vAlign w:val="center"/>
          </w:tcPr>
          <w:p>
            <w:pPr>
              <w:spacing w:line="240" w:lineRule="auto"/>
              <w:jc w:val="center"/>
              <w:rPr>
                <w:b/>
                <w:bCs/>
                <w:sz w:val="21"/>
                <w:szCs w:val="21"/>
              </w:rPr>
            </w:pPr>
            <w:r>
              <w:rPr>
                <w:b/>
                <w:bCs/>
                <w:sz w:val="21"/>
                <w:szCs w:val="21"/>
              </w:rPr>
              <w:t>省内人数（比例）</w:t>
            </w:r>
          </w:p>
        </w:tc>
        <w:tc>
          <w:tcPr>
            <w:tcW w:w="1136" w:type="dxa"/>
            <w:vAlign w:val="center"/>
          </w:tcPr>
          <w:p>
            <w:pPr>
              <w:spacing w:line="240" w:lineRule="auto"/>
              <w:jc w:val="center"/>
              <w:rPr>
                <w:b/>
                <w:bCs/>
                <w:sz w:val="21"/>
                <w:szCs w:val="21"/>
              </w:rPr>
            </w:pPr>
            <w:r>
              <w:rPr>
                <w:b/>
                <w:bCs/>
                <w:sz w:val="21"/>
                <w:szCs w:val="21"/>
              </w:rPr>
              <w:t>省外人数（比例）</w:t>
            </w:r>
          </w:p>
        </w:tc>
        <w:tc>
          <w:tcPr>
            <w:tcW w:w="1137" w:type="dxa"/>
            <w:vAlign w:val="center"/>
          </w:tcPr>
          <w:p>
            <w:pPr>
              <w:spacing w:line="240" w:lineRule="auto"/>
              <w:jc w:val="center"/>
              <w:rPr>
                <w:b/>
                <w:bCs/>
                <w:sz w:val="21"/>
                <w:szCs w:val="21"/>
              </w:rPr>
            </w:pPr>
            <w:r>
              <w:rPr>
                <w:b/>
                <w:bCs/>
                <w:sz w:val="21"/>
                <w:szCs w:val="21"/>
              </w:rPr>
              <w:t>汉族人数（比例）</w:t>
            </w:r>
          </w:p>
        </w:tc>
        <w:tc>
          <w:tcPr>
            <w:tcW w:w="1137" w:type="dxa"/>
            <w:vAlign w:val="center"/>
          </w:tcPr>
          <w:p>
            <w:pPr>
              <w:spacing w:line="240" w:lineRule="auto"/>
              <w:jc w:val="center"/>
              <w:rPr>
                <w:b/>
                <w:bCs/>
                <w:sz w:val="21"/>
                <w:szCs w:val="21"/>
              </w:rPr>
            </w:pPr>
            <w:r>
              <w:rPr>
                <w:b/>
                <w:bCs/>
                <w:sz w:val="21"/>
                <w:szCs w:val="21"/>
              </w:rPr>
              <w:t>少数民族（比例）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jc w:val="center"/>
        </w:trPr>
        <w:tc>
          <w:tcPr>
            <w:tcW w:w="1581" w:type="dxa"/>
            <w:vAlign w:val="center"/>
          </w:tcPr>
          <w:p>
            <w:pPr>
              <w:spacing w:line="240" w:lineRule="auto"/>
              <w:jc w:val="center"/>
              <w:rPr>
                <w:sz w:val="21"/>
                <w:szCs w:val="21"/>
              </w:rPr>
            </w:pPr>
            <w:r>
              <w:rPr>
                <w:sz w:val="21"/>
                <w:szCs w:val="21"/>
              </w:rPr>
              <w:t>森林保护（菌物资源与利用）</w:t>
            </w:r>
          </w:p>
        </w:tc>
        <w:tc>
          <w:tcPr>
            <w:tcW w:w="690" w:type="dxa"/>
            <w:vAlign w:val="center"/>
          </w:tcPr>
          <w:p>
            <w:pPr>
              <w:spacing w:line="240" w:lineRule="auto"/>
              <w:ind w:left="-48" w:leftChars="-20" w:right="-48" w:rightChars="-20"/>
              <w:jc w:val="center"/>
              <w:rPr>
                <w:sz w:val="21"/>
                <w:szCs w:val="21"/>
              </w:rPr>
            </w:pPr>
            <w:r>
              <w:rPr>
                <w:sz w:val="21"/>
                <w:szCs w:val="21"/>
              </w:rPr>
              <w:t>26</w:t>
            </w:r>
          </w:p>
        </w:tc>
        <w:tc>
          <w:tcPr>
            <w:tcW w:w="1136" w:type="dxa"/>
            <w:vAlign w:val="center"/>
          </w:tcPr>
          <w:p>
            <w:pPr>
              <w:spacing w:line="240" w:lineRule="auto"/>
              <w:ind w:left="-48" w:leftChars="-20" w:right="-48" w:rightChars="-20"/>
              <w:jc w:val="center"/>
              <w:rPr>
                <w:sz w:val="21"/>
                <w:szCs w:val="21"/>
              </w:rPr>
            </w:pPr>
            <w:r>
              <w:rPr>
                <w:sz w:val="21"/>
                <w:szCs w:val="21"/>
              </w:rPr>
              <w:t>14</w:t>
            </w:r>
          </w:p>
          <w:p>
            <w:pPr>
              <w:spacing w:line="240" w:lineRule="auto"/>
              <w:ind w:left="-48" w:leftChars="-20" w:right="-48" w:rightChars="-20"/>
              <w:jc w:val="center"/>
              <w:rPr>
                <w:sz w:val="21"/>
                <w:szCs w:val="21"/>
              </w:rPr>
            </w:pPr>
            <w:r>
              <w:rPr>
                <w:sz w:val="21"/>
                <w:szCs w:val="21"/>
              </w:rPr>
              <w:t>（53.85%）</w:t>
            </w:r>
          </w:p>
        </w:tc>
        <w:tc>
          <w:tcPr>
            <w:tcW w:w="1136" w:type="dxa"/>
            <w:vAlign w:val="center"/>
          </w:tcPr>
          <w:p>
            <w:pPr>
              <w:spacing w:line="240" w:lineRule="auto"/>
              <w:ind w:left="-48" w:leftChars="-20" w:right="-48" w:rightChars="-20"/>
              <w:jc w:val="center"/>
              <w:rPr>
                <w:sz w:val="21"/>
                <w:szCs w:val="21"/>
              </w:rPr>
            </w:pPr>
            <w:r>
              <w:rPr>
                <w:sz w:val="21"/>
                <w:szCs w:val="21"/>
              </w:rPr>
              <w:t>12</w:t>
            </w:r>
          </w:p>
          <w:p>
            <w:pPr>
              <w:spacing w:line="240" w:lineRule="auto"/>
              <w:ind w:left="-48" w:leftChars="-20" w:right="-48" w:rightChars="-20"/>
              <w:jc w:val="center"/>
              <w:rPr>
                <w:sz w:val="21"/>
                <w:szCs w:val="21"/>
              </w:rPr>
            </w:pPr>
            <w:r>
              <w:rPr>
                <w:sz w:val="21"/>
                <w:szCs w:val="21"/>
              </w:rPr>
              <w:t>（46.15%）</w:t>
            </w:r>
          </w:p>
        </w:tc>
        <w:tc>
          <w:tcPr>
            <w:tcW w:w="1136" w:type="dxa"/>
            <w:vAlign w:val="center"/>
          </w:tcPr>
          <w:p>
            <w:pPr>
              <w:spacing w:line="240" w:lineRule="auto"/>
              <w:ind w:left="-48" w:leftChars="-20" w:right="-48" w:rightChars="-20"/>
              <w:jc w:val="center"/>
              <w:rPr>
                <w:sz w:val="21"/>
                <w:szCs w:val="21"/>
              </w:rPr>
            </w:pPr>
            <w:r>
              <w:rPr>
                <w:sz w:val="21"/>
                <w:szCs w:val="21"/>
              </w:rPr>
              <w:t>2</w:t>
            </w:r>
          </w:p>
          <w:p>
            <w:pPr>
              <w:spacing w:line="240" w:lineRule="auto"/>
              <w:ind w:left="-48" w:leftChars="-20" w:right="-48" w:rightChars="-20"/>
              <w:jc w:val="center"/>
              <w:rPr>
                <w:sz w:val="21"/>
                <w:szCs w:val="21"/>
              </w:rPr>
            </w:pPr>
            <w:r>
              <w:rPr>
                <w:sz w:val="21"/>
                <w:szCs w:val="21"/>
              </w:rPr>
              <w:t>（7.69%）</w:t>
            </w:r>
          </w:p>
        </w:tc>
        <w:tc>
          <w:tcPr>
            <w:tcW w:w="1136" w:type="dxa"/>
            <w:vAlign w:val="center"/>
          </w:tcPr>
          <w:p>
            <w:pPr>
              <w:spacing w:line="240" w:lineRule="auto"/>
              <w:ind w:left="-48" w:leftChars="-20" w:right="-48" w:rightChars="-20"/>
              <w:jc w:val="center"/>
              <w:rPr>
                <w:sz w:val="21"/>
                <w:szCs w:val="21"/>
              </w:rPr>
            </w:pPr>
            <w:r>
              <w:rPr>
                <w:sz w:val="21"/>
                <w:szCs w:val="21"/>
              </w:rPr>
              <w:t>24</w:t>
            </w:r>
          </w:p>
          <w:p>
            <w:pPr>
              <w:spacing w:line="240" w:lineRule="auto"/>
              <w:ind w:left="-48" w:leftChars="-20" w:right="-48" w:rightChars="-20"/>
              <w:jc w:val="center"/>
              <w:rPr>
                <w:sz w:val="21"/>
                <w:szCs w:val="21"/>
              </w:rPr>
            </w:pPr>
            <w:r>
              <w:rPr>
                <w:sz w:val="21"/>
                <w:szCs w:val="21"/>
              </w:rPr>
              <w:t>（92.31%）</w:t>
            </w:r>
          </w:p>
        </w:tc>
        <w:tc>
          <w:tcPr>
            <w:tcW w:w="1137" w:type="dxa"/>
            <w:vAlign w:val="center"/>
          </w:tcPr>
          <w:p>
            <w:pPr>
              <w:spacing w:line="240" w:lineRule="auto"/>
              <w:ind w:left="-48" w:leftChars="-20" w:right="-48" w:rightChars="-20"/>
              <w:jc w:val="center"/>
              <w:rPr>
                <w:sz w:val="21"/>
                <w:szCs w:val="21"/>
              </w:rPr>
            </w:pPr>
            <w:r>
              <w:rPr>
                <w:sz w:val="21"/>
                <w:szCs w:val="21"/>
              </w:rPr>
              <w:t>21</w:t>
            </w:r>
          </w:p>
          <w:p>
            <w:pPr>
              <w:spacing w:line="240" w:lineRule="auto"/>
              <w:ind w:left="-48" w:leftChars="-20" w:right="-48" w:rightChars="-20"/>
              <w:jc w:val="center"/>
              <w:rPr>
                <w:sz w:val="21"/>
                <w:szCs w:val="21"/>
              </w:rPr>
            </w:pPr>
            <w:r>
              <w:rPr>
                <w:sz w:val="21"/>
                <w:szCs w:val="21"/>
              </w:rPr>
              <w:t>（80.77%）</w:t>
            </w:r>
          </w:p>
        </w:tc>
        <w:tc>
          <w:tcPr>
            <w:tcW w:w="1137" w:type="dxa"/>
            <w:vAlign w:val="center"/>
          </w:tcPr>
          <w:p>
            <w:pPr>
              <w:spacing w:line="240" w:lineRule="auto"/>
              <w:ind w:left="-48" w:leftChars="-20" w:right="-48" w:rightChars="-20"/>
              <w:jc w:val="center"/>
              <w:rPr>
                <w:sz w:val="21"/>
                <w:szCs w:val="21"/>
              </w:rPr>
            </w:pPr>
            <w:r>
              <w:rPr>
                <w:sz w:val="21"/>
                <w:szCs w:val="21"/>
              </w:rPr>
              <w:t>5</w:t>
            </w:r>
          </w:p>
          <w:p>
            <w:pPr>
              <w:spacing w:line="240" w:lineRule="auto"/>
              <w:ind w:left="-48" w:leftChars="-20" w:right="-48" w:rightChars="-20"/>
              <w:jc w:val="center"/>
              <w:rPr>
                <w:sz w:val="21"/>
                <w:szCs w:val="21"/>
              </w:rPr>
            </w:pPr>
            <w:r>
              <w:rPr>
                <w:sz w:val="21"/>
                <w:szCs w:val="21"/>
              </w:rPr>
              <w:t>（19.23%）</w:t>
            </w:r>
          </w:p>
        </w:tc>
      </w:tr>
    </w:tbl>
    <w:p>
      <w:pPr>
        <w:ind w:firstLine="480"/>
        <w:jc w:val="left"/>
        <w:rPr>
          <w:szCs w:val="24"/>
        </w:rPr>
      </w:pPr>
    </w:p>
    <w:p>
      <w:pPr>
        <w:pStyle w:val="6"/>
        <w:ind w:firstLine="480"/>
      </w:pPr>
      <w:r>
        <w:t>3.毕业生考研报考院校情况</w:t>
      </w:r>
    </w:p>
    <w:p>
      <w:pPr>
        <w:ind w:firstLine="240" w:firstLineChars="100"/>
        <w:jc w:val="left"/>
        <w:rPr>
          <w:szCs w:val="24"/>
        </w:rPr>
      </w:pPr>
      <w:r>
        <w:rPr>
          <w:szCs w:val="24"/>
        </w:rPr>
        <w:t>毕业生国内升学8人，升学率为30.77%。其中考入</w:t>
      </w:r>
      <w:r>
        <w:rPr>
          <w:rFonts w:hint="eastAsia"/>
          <w:szCs w:val="24"/>
        </w:rPr>
        <w:t>“</w:t>
      </w:r>
      <w:r>
        <w:rPr>
          <w:szCs w:val="24"/>
        </w:rPr>
        <w:t>双一流</w:t>
      </w:r>
      <w:r>
        <w:rPr>
          <w:rFonts w:hint="eastAsia"/>
          <w:szCs w:val="24"/>
        </w:rPr>
        <w:t>”</w:t>
      </w:r>
      <w:r>
        <w:rPr>
          <w:szCs w:val="24"/>
        </w:rPr>
        <w:t xml:space="preserve">大学4人，占国内升学总人数的50%。从升学专业来看，跨专业升学的6人，占国内升学总人数的75%。升学学校主要是山东农业大学、吉林农业大学、南京农业大学、中国农业科学院研究生院等。    </w:t>
      </w:r>
    </w:p>
    <w:p>
      <w:pPr>
        <w:spacing w:line="240" w:lineRule="auto"/>
        <w:jc w:val="center"/>
        <w:rPr>
          <w:b/>
          <w:bCs/>
          <w:sz w:val="21"/>
          <w:szCs w:val="21"/>
        </w:rPr>
      </w:pPr>
      <w:r>
        <w:rPr>
          <w:b/>
          <w:bCs/>
          <w:sz w:val="21"/>
          <w:szCs w:val="21"/>
        </w:rPr>
        <w:t>表 7 国内升学高校前 5 位统计表</w:t>
      </w:r>
    </w:p>
    <w:tbl>
      <w:tblPr>
        <w:tblStyle w:val="18"/>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9"/>
        <w:gridCol w:w="3060"/>
        <w:gridCol w:w="1372"/>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9" w:type="dxa"/>
            <w:vAlign w:val="center"/>
          </w:tcPr>
          <w:p>
            <w:pPr>
              <w:spacing w:line="240" w:lineRule="auto"/>
              <w:jc w:val="center"/>
              <w:rPr>
                <w:b/>
                <w:bCs/>
                <w:sz w:val="21"/>
                <w:szCs w:val="21"/>
              </w:rPr>
            </w:pPr>
            <w:r>
              <w:rPr>
                <w:b/>
                <w:bCs/>
                <w:sz w:val="21"/>
                <w:szCs w:val="21"/>
              </w:rPr>
              <w:t>序号</w:t>
            </w:r>
          </w:p>
        </w:tc>
        <w:tc>
          <w:tcPr>
            <w:tcW w:w="3060" w:type="dxa"/>
            <w:vAlign w:val="center"/>
          </w:tcPr>
          <w:p>
            <w:pPr>
              <w:spacing w:line="240" w:lineRule="auto"/>
              <w:jc w:val="center"/>
              <w:rPr>
                <w:b/>
                <w:bCs/>
                <w:sz w:val="21"/>
                <w:szCs w:val="21"/>
              </w:rPr>
            </w:pPr>
            <w:r>
              <w:rPr>
                <w:b/>
                <w:bCs/>
                <w:sz w:val="21"/>
                <w:szCs w:val="21"/>
              </w:rPr>
              <w:t>升学学校名称</w:t>
            </w:r>
          </w:p>
        </w:tc>
        <w:tc>
          <w:tcPr>
            <w:tcW w:w="1372" w:type="dxa"/>
            <w:vAlign w:val="center"/>
          </w:tcPr>
          <w:p>
            <w:pPr>
              <w:spacing w:line="240" w:lineRule="auto"/>
              <w:jc w:val="center"/>
              <w:rPr>
                <w:b/>
                <w:bCs/>
                <w:sz w:val="21"/>
                <w:szCs w:val="21"/>
              </w:rPr>
            </w:pPr>
            <w:r>
              <w:rPr>
                <w:b/>
                <w:bCs/>
                <w:sz w:val="21"/>
                <w:szCs w:val="21"/>
              </w:rPr>
              <w:t>升学人数</w:t>
            </w:r>
          </w:p>
        </w:tc>
        <w:tc>
          <w:tcPr>
            <w:tcW w:w="2131" w:type="dxa"/>
            <w:vAlign w:val="center"/>
          </w:tcPr>
          <w:p>
            <w:pPr>
              <w:spacing w:line="240" w:lineRule="auto"/>
              <w:jc w:val="center"/>
              <w:rPr>
                <w:b/>
                <w:bCs/>
                <w:sz w:val="21"/>
                <w:szCs w:val="21"/>
              </w:rPr>
            </w:pPr>
            <w:r>
              <w:rPr>
                <w:b/>
                <w:bCs/>
                <w:sz w:val="21"/>
                <w:szCs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9" w:type="dxa"/>
            <w:vAlign w:val="center"/>
          </w:tcPr>
          <w:p>
            <w:pPr>
              <w:spacing w:line="240" w:lineRule="auto"/>
              <w:jc w:val="center"/>
              <w:rPr>
                <w:sz w:val="21"/>
                <w:szCs w:val="21"/>
              </w:rPr>
            </w:pPr>
            <w:r>
              <w:rPr>
                <w:sz w:val="21"/>
                <w:szCs w:val="21"/>
              </w:rPr>
              <w:t>1</w:t>
            </w:r>
          </w:p>
        </w:tc>
        <w:tc>
          <w:tcPr>
            <w:tcW w:w="3060" w:type="dxa"/>
            <w:vAlign w:val="center"/>
          </w:tcPr>
          <w:p>
            <w:pPr>
              <w:spacing w:line="240" w:lineRule="auto"/>
              <w:jc w:val="center"/>
              <w:rPr>
                <w:sz w:val="21"/>
                <w:szCs w:val="21"/>
              </w:rPr>
            </w:pPr>
            <w:r>
              <w:rPr>
                <w:sz w:val="21"/>
                <w:szCs w:val="21"/>
              </w:rPr>
              <w:t>山东农业大学</w:t>
            </w:r>
          </w:p>
        </w:tc>
        <w:tc>
          <w:tcPr>
            <w:tcW w:w="1372" w:type="dxa"/>
            <w:vAlign w:val="center"/>
          </w:tcPr>
          <w:p>
            <w:pPr>
              <w:spacing w:line="240" w:lineRule="auto"/>
              <w:jc w:val="center"/>
              <w:rPr>
                <w:sz w:val="21"/>
                <w:szCs w:val="21"/>
              </w:rPr>
            </w:pPr>
            <w:r>
              <w:rPr>
                <w:sz w:val="21"/>
                <w:szCs w:val="21"/>
              </w:rPr>
              <w:t>1</w:t>
            </w:r>
          </w:p>
        </w:tc>
        <w:tc>
          <w:tcPr>
            <w:tcW w:w="2131" w:type="dxa"/>
            <w:vAlign w:val="center"/>
          </w:tcPr>
          <w:p>
            <w:pPr>
              <w:spacing w:line="240" w:lineRule="auto"/>
              <w:jc w:val="center"/>
              <w:rPr>
                <w:sz w:val="21"/>
                <w:szCs w:val="21"/>
              </w:rPr>
            </w:pPr>
            <w:r>
              <w:rPr>
                <w:sz w:val="21"/>
                <w:szCs w:val="21"/>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9" w:type="dxa"/>
            <w:vAlign w:val="center"/>
          </w:tcPr>
          <w:p>
            <w:pPr>
              <w:spacing w:line="240" w:lineRule="auto"/>
              <w:jc w:val="center"/>
              <w:rPr>
                <w:sz w:val="21"/>
                <w:szCs w:val="21"/>
              </w:rPr>
            </w:pPr>
            <w:r>
              <w:rPr>
                <w:sz w:val="21"/>
                <w:szCs w:val="21"/>
              </w:rPr>
              <w:t>2</w:t>
            </w:r>
          </w:p>
        </w:tc>
        <w:tc>
          <w:tcPr>
            <w:tcW w:w="3060" w:type="dxa"/>
            <w:vAlign w:val="center"/>
          </w:tcPr>
          <w:p>
            <w:pPr>
              <w:spacing w:line="240" w:lineRule="auto"/>
              <w:jc w:val="center"/>
              <w:rPr>
                <w:sz w:val="21"/>
                <w:szCs w:val="21"/>
              </w:rPr>
            </w:pPr>
            <w:r>
              <w:rPr>
                <w:sz w:val="21"/>
                <w:szCs w:val="21"/>
              </w:rPr>
              <w:t>吉林农业大学</w:t>
            </w:r>
          </w:p>
        </w:tc>
        <w:tc>
          <w:tcPr>
            <w:tcW w:w="1372" w:type="dxa"/>
            <w:vAlign w:val="center"/>
          </w:tcPr>
          <w:p>
            <w:pPr>
              <w:spacing w:line="240" w:lineRule="auto"/>
              <w:jc w:val="center"/>
              <w:rPr>
                <w:sz w:val="21"/>
                <w:szCs w:val="21"/>
              </w:rPr>
            </w:pPr>
            <w:r>
              <w:rPr>
                <w:sz w:val="21"/>
                <w:szCs w:val="21"/>
              </w:rPr>
              <w:t>1</w:t>
            </w:r>
          </w:p>
        </w:tc>
        <w:tc>
          <w:tcPr>
            <w:tcW w:w="2131" w:type="dxa"/>
            <w:vAlign w:val="center"/>
          </w:tcPr>
          <w:p>
            <w:pPr>
              <w:spacing w:line="240" w:lineRule="auto"/>
              <w:jc w:val="center"/>
              <w:rPr>
                <w:sz w:val="21"/>
                <w:szCs w:val="21"/>
              </w:rPr>
            </w:pPr>
            <w:r>
              <w:rPr>
                <w:sz w:val="21"/>
                <w:szCs w:val="21"/>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9" w:type="dxa"/>
            <w:vAlign w:val="center"/>
          </w:tcPr>
          <w:p>
            <w:pPr>
              <w:spacing w:line="240" w:lineRule="auto"/>
              <w:jc w:val="center"/>
              <w:rPr>
                <w:sz w:val="21"/>
                <w:szCs w:val="21"/>
              </w:rPr>
            </w:pPr>
            <w:r>
              <w:rPr>
                <w:sz w:val="21"/>
                <w:szCs w:val="21"/>
              </w:rPr>
              <w:t>3</w:t>
            </w:r>
          </w:p>
        </w:tc>
        <w:tc>
          <w:tcPr>
            <w:tcW w:w="3060" w:type="dxa"/>
            <w:vAlign w:val="center"/>
          </w:tcPr>
          <w:p>
            <w:pPr>
              <w:spacing w:line="240" w:lineRule="auto"/>
              <w:jc w:val="center"/>
              <w:rPr>
                <w:sz w:val="21"/>
                <w:szCs w:val="21"/>
              </w:rPr>
            </w:pPr>
            <w:r>
              <w:rPr>
                <w:sz w:val="21"/>
                <w:szCs w:val="21"/>
              </w:rPr>
              <w:t>南京农业大学</w:t>
            </w:r>
          </w:p>
        </w:tc>
        <w:tc>
          <w:tcPr>
            <w:tcW w:w="1372" w:type="dxa"/>
            <w:vAlign w:val="center"/>
          </w:tcPr>
          <w:p>
            <w:pPr>
              <w:spacing w:line="240" w:lineRule="auto"/>
              <w:jc w:val="center"/>
              <w:rPr>
                <w:sz w:val="21"/>
                <w:szCs w:val="21"/>
              </w:rPr>
            </w:pPr>
            <w:r>
              <w:rPr>
                <w:sz w:val="21"/>
                <w:szCs w:val="21"/>
              </w:rPr>
              <w:t>2</w:t>
            </w:r>
          </w:p>
        </w:tc>
        <w:tc>
          <w:tcPr>
            <w:tcW w:w="2131" w:type="dxa"/>
            <w:vAlign w:val="center"/>
          </w:tcPr>
          <w:p>
            <w:pPr>
              <w:spacing w:line="240" w:lineRule="auto"/>
              <w:jc w:val="center"/>
              <w:rPr>
                <w:sz w:val="21"/>
                <w:szCs w:val="21"/>
              </w:rPr>
            </w:pPr>
            <w:r>
              <w:rPr>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9" w:type="dxa"/>
            <w:vAlign w:val="center"/>
          </w:tcPr>
          <w:p>
            <w:pPr>
              <w:spacing w:line="240" w:lineRule="auto"/>
              <w:jc w:val="center"/>
              <w:rPr>
                <w:sz w:val="21"/>
                <w:szCs w:val="21"/>
              </w:rPr>
            </w:pPr>
            <w:r>
              <w:rPr>
                <w:sz w:val="21"/>
                <w:szCs w:val="21"/>
              </w:rPr>
              <w:t>4</w:t>
            </w:r>
          </w:p>
        </w:tc>
        <w:tc>
          <w:tcPr>
            <w:tcW w:w="3060" w:type="dxa"/>
            <w:vAlign w:val="center"/>
          </w:tcPr>
          <w:p>
            <w:pPr>
              <w:spacing w:line="240" w:lineRule="auto"/>
              <w:jc w:val="center"/>
              <w:rPr>
                <w:sz w:val="21"/>
                <w:szCs w:val="21"/>
              </w:rPr>
            </w:pPr>
            <w:r>
              <w:rPr>
                <w:sz w:val="21"/>
                <w:szCs w:val="21"/>
              </w:rPr>
              <w:t>湖南农业大学</w:t>
            </w:r>
          </w:p>
        </w:tc>
        <w:tc>
          <w:tcPr>
            <w:tcW w:w="1372" w:type="dxa"/>
            <w:vAlign w:val="center"/>
          </w:tcPr>
          <w:p>
            <w:pPr>
              <w:spacing w:line="240" w:lineRule="auto"/>
              <w:jc w:val="center"/>
              <w:rPr>
                <w:sz w:val="21"/>
                <w:szCs w:val="21"/>
              </w:rPr>
            </w:pPr>
            <w:r>
              <w:rPr>
                <w:sz w:val="21"/>
                <w:szCs w:val="21"/>
              </w:rPr>
              <w:t>1</w:t>
            </w:r>
          </w:p>
        </w:tc>
        <w:tc>
          <w:tcPr>
            <w:tcW w:w="2131" w:type="dxa"/>
            <w:vAlign w:val="center"/>
          </w:tcPr>
          <w:p>
            <w:pPr>
              <w:spacing w:line="240" w:lineRule="auto"/>
              <w:jc w:val="center"/>
              <w:rPr>
                <w:sz w:val="21"/>
                <w:szCs w:val="21"/>
              </w:rPr>
            </w:pPr>
            <w:r>
              <w:rPr>
                <w:sz w:val="21"/>
                <w:szCs w:val="21"/>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9" w:type="dxa"/>
            <w:vAlign w:val="center"/>
          </w:tcPr>
          <w:p>
            <w:pPr>
              <w:spacing w:line="240" w:lineRule="auto"/>
              <w:jc w:val="center"/>
              <w:rPr>
                <w:sz w:val="21"/>
                <w:szCs w:val="21"/>
              </w:rPr>
            </w:pPr>
            <w:r>
              <w:rPr>
                <w:sz w:val="21"/>
                <w:szCs w:val="21"/>
              </w:rPr>
              <w:t>5</w:t>
            </w:r>
          </w:p>
        </w:tc>
        <w:tc>
          <w:tcPr>
            <w:tcW w:w="3060" w:type="dxa"/>
            <w:vAlign w:val="center"/>
          </w:tcPr>
          <w:p>
            <w:pPr>
              <w:spacing w:line="240" w:lineRule="auto"/>
              <w:jc w:val="center"/>
              <w:rPr>
                <w:sz w:val="21"/>
                <w:szCs w:val="21"/>
              </w:rPr>
            </w:pPr>
            <w:r>
              <w:rPr>
                <w:sz w:val="21"/>
                <w:szCs w:val="21"/>
              </w:rPr>
              <w:t>中国农业科学院研究生院</w:t>
            </w:r>
          </w:p>
        </w:tc>
        <w:tc>
          <w:tcPr>
            <w:tcW w:w="1372" w:type="dxa"/>
            <w:vAlign w:val="center"/>
          </w:tcPr>
          <w:p>
            <w:pPr>
              <w:spacing w:line="240" w:lineRule="auto"/>
              <w:jc w:val="center"/>
              <w:rPr>
                <w:sz w:val="21"/>
                <w:szCs w:val="21"/>
              </w:rPr>
            </w:pPr>
            <w:r>
              <w:rPr>
                <w:sz w:val="21"/>
                <w:szCs w:val="21"/>
              </w:rPr>
              <w:t>1</w:t>
            </w:r>
          </w:p>
        </w:tc>
        <w:tc>
          <w:tcPr>
            <w:tcW w:w="2131" w:type="dxa"/>
            <w:vAlign w:val="center"/>
          </w:tcPr>
          <w:p>
            <w:pPr>
              <w:spacing w:line="240" w:lineRule="auto"/>
              <w:jc w:val="center"/>
              <w:rPr>
                <w:sz w:val="21"/>
                <w:szCs w:val="21"/>
              </w:rPr>
            </w:pPr>
            <w:r>
              <w:rPr>
                <w:sz w:val="21"/>
                <w:szCs w:val="21"/>
              </w:rPr>
              <w:t>12.5%</w:t>
            </w:r>
          </w:p>
        </w:tc>
      </w:tr>
    </w:tbl>
    <w:p>
      <w:pPr>
        <w:pStyle w:val="7"/>
        <w:spacing w:before="156" w:beforeLines="50"/>
        <w:ind w:firstLine="480"/>
      </w:pPr>
      <w:r>
        <w:t>4.菌物工程专业市场建设情况</w:t>
      </w:r>
    </w:p>
    <w:p>
      <w:pPr>
        <w:ind w:firstLine="480"/>
        <w:rPr>
          <w:szCs w:val="24"/>
        </w:rPr>
      </w:pPr>
      <w:r>
        <w:rPr>
          <w:szCs w:val="24"/>
        </w:rPr>
        <w:t>菌物专业招聘信息网址链接：</w:t>
      </w:r>
    </w:p>
    <w:p>
      <w:pPr>
        <w:ind w:firstLine="480"/>
        <w:rPr>
          <w:szCs w:val="24"/>
        </w:rPr>
      </w:pPr>
      <w:r>
        <w:rPr>
          <w:szCs w:val="24"/>
        </w:rPr>
        <w:t>1.https://mp.weixin.qq.com/s/72IV9j2ADd5b8qpyW_sENg</w:t>
      </w:r>
    </w:p>
    <w:p>
      <w:pPr>
        <w:ind w:firstLine="480"/>
        <w:rPr>
          <w:szCs w:val="24"/>
        </w:rPr>
      </w:pPr>
      <w:r>
        <w:rPr>
          <w:szCs w:val="24"/>
        </w:rPr>
        <w:t>2. https://mp.weixin.qq.com/s/QeHbOHlTiv_L0NKNWTZOpQ</w:t>
      </w:r>
    </w:p>
    <w:p>
      <w:pPr>
        <w:ind w:firstLine="480"/>
        <w:rPr>
          <w:szCs w:val="24"/>
        </w:rPr>
      </w:pPr>
      <w:r>
        <w:rPr>
          <w:szCs w:val="24"/>
        </w:rPr>
        <w:t>3.http://zhibao.sdau.edu.cn/2021/1101/c2070a195679/page.htm</w:t>
      </w:r>
    </w:p>
    <w:p>
      <w:pPr>
        <w:pStyle w:val="5"/>
        <w:spacing w:before="93" w:after="93"/>
        <w:ind w:firstLine="560"/>
      </w:pPr>
      <w:r>
        <w:t>六、毕业生就业创业（创业情况、采取的措施、典型案例等）</w:t>
      </w:r>
    </w:p>
    <w:p>
      <w:pPr>
        <w:pStyle w:val="7"/>
        <w:ind w:firstLine="480"/>
      </w:pPr>
      <w:r>
        <w:t>1.加强校企合作，实现学院与企业之间的深度合作</w:t>
      </w:r>
    </w:p>
    <w:p>
      <w:pPr>
        <w:ind w:firstLine="480"/>
      </w:pPr>
      <w:r>
        <w:t>在2022届毕业生就业工作中，加强了校企合作力度，与用人单位紧密合作沟通，充分了解企业用人需求。学院累计联系用人单位30余家举办线上招聘专场，为学生提供了上千个用工岗位和招聘信息，极大了满足了生物类人才的求职需求。</w:t>
      </w:r>
    </w:p>
    <w:p>
      <w:pPr>
        <w:pStyle w:val="7"/>
        <w:ind w:firstLine="480"/>
      </w:pPr>
      <w:r>
        <w:t>2.加强毕业生思想教育工作，引导毕业生积极就业</w:t>
      </w:r>
    </w:p>
    <w:p>
      <w:pPr>
        <w:ind w:firstLine="480"/>
      </w:pPr>
      <w:r>
        <w:t>毕业生思想教育工作是就业工作的重要内容。因此，我院在毕业生整个大四学习生涯中，共进行了五次就业摸排，全面对毕业生就业意向把控，对考研、就业、考公务员等就业意向进行逐一摸排，并形成班级分析报告。在摸排基础上，学院按照</w:t>
      </w:r>
      <w:r>
        <w:rPr>
          <w:rFonts w:hint="eastAsia"/>
        </w:rPr>
        <w:t>“</w:t>
      </w:r>
      <w:r>
        <w:t>明确目标、突出重点、分步实施、分类指导</w:t>
      </w:r>
      <w:r>
        <w:rPr>
          <w:rFonts w:hint="eastAsia"/>
        </w:rPr>
        <w:t>”</w:t>
      </w:r>
      <w:r>
        <w:t>的原则，有针对性地开展内容丰富、形式多样且实效性强的就业指导讲座和咨询活动。同时加强学生思想政治教育和心理健康教育，把引导毕业生树立正确价值观和就业观，积极面向基层就业作为当前毕业生思想教育指导工作的重要内容，大学生就业必须树立先就业再择业的观念，</w:t>
      </w:r>
      <w:r>
        <w:rPr>
          <w:rFonts w:hint="eastAsia"/>
        </w:rPr>
        <w:t>“</w:t>
      </w:r>
      <w:r>
        <w:t>骑着驴再找马</w:t>
      </w:r>
      <w:r>
        <w:rPr>
          <w:rFonts w:hint="eastAsia"/>
        </w:rPr>
        <w:t>”</w:t>
      </w:r>
      <w:r>
        <w:t>，在工作实践中不断锻炼提高，为胜任更好的工作积累经验，丰富专业知识。因此，大学生要有在不断进取的职业流动中，学会发现机会、抓住机会，能在竞争的大潮中学会游泳的本领。本专业具有应用性较强，与生产实际联系紧密的特点，非常适合大学生创业，但是因为学生刚刚离开学校走入社会，对社会、行业发展等情况并不十分了解，盲目创业风险极大，因此我们鼓励毕业生先就业，积累经验和资金，在条件成熟时再去创业，可最大限度地避免创业风险。</w:t>
      </w:r>
    </w:p>
    <w:p>
      <w:pPr>
        <w:ind w:firstLine="480"/>
        <w:outlineLvl w:val="3"/>
        <w:rPr>
          <w:rFonts w:eastAsia="黑体"/>
          <w:bCs/>
          <w:kern w:val="0"/>
          <w:szCs w:val="24"/>
        </w:rPr>
      </w:pPr>
      <w:r>
        <w:rPr>
          <w:rFonts w:eastAsia="黑体"/>
          <w:bCs/>
          <w:kern w:val="0"/>
          <w:szCs w:val="24"/>
        </w:rPr>
        <w:t>3.开拓多方资源架宽就业桥</w:t>
      </w:r>
    </w:p>
    <w:p>
      <w:pPr>
        <w:ind w:firstLine="480"/>
      </w:pPr>
      <w:r>
        <w:t>党委统一领导、党政齐抓共管、部门协同推进、校院两级联动，充分发挥三全育人优势，全员推动就业工作，实现毕业生更加充分和更高质量就业。专业教师根据自己在教学科研中与企业的联系，积极为毕业生提供实习岗位，通过实习促进就业。教师通过长期跟企业联系，熟悉企业对毕业生的需求和对毕业生综合素质的要求，把这些信息传递给毕业生，指导毕业生就业工作，积极传授毕业生如何主动就业之道。学院内上下形成了领导、辅导员、专业教师三位一体的就业指导工作联动体系，充分发挥专业教师的就业指导作用。教师不仅讲授专业知识，而且传授职业发展素质修养，介绍本学科领域最新发展趋势及职业优势，引导毕业生合理定位自身职业，通过言传身教方式引导毕业生求职就业。</w:t>
      </w:r>
    </w:p>
    <w:p>
      <w:pPr>
        <w:pStyle w:val="5"/>
        <w:spacing w:before="93" w:after="93"/>
        <w:ind w:firstLine="560"/>
      </w:pPr>
      <w:r>
        <w:t>七、专业发展趋势及建议</w:t>
      </w:r>
    </w:p>
    <w:p>
      <w:pPr>
        <w:ind w:firstLine="480"/>
      </w:pPr>
      <w:r>
        <w:t>专业发展趋势方面，本专业所依托的食用菌产业在我国农业经济中，仅次于粮、油、菜、果居第五位，产值高于棉花、茶叶和蚕桑。同时，我国食用菌总产量占世界年总产量的70%以上，是世界上产品种类最多、产量最大的国家。目前，我国食用菌工厂化生产规模随着食用菌整体产量的增长而不断上升，工厂化比例也逐年递增，我国食用菌工厂化产量已经从2006年的8万吨上升至2019年的348万吨。随着我国工厂化生产食用菌的产量逐年上升，企业数量也不断增加，对于专业科研人员的需求与日俱增，尤其是同时具备先进科研理论知识与丰富实践经验的人才。</w:t>
      </w:r>
    </w:p>
    <w:p>
      <w:pPr>
        <w:ind w:firstLine="480"/>
      </w:pPr>
      <w:r>
        <w:t>近年来，山东省各级党委政府高度重视食用菌产业的发展，将其作为发展现代农业的重要组成部分，全面实施食用菌振兴战略，全省食用菌实现了跨越式发展。初步形成了生产规模化、品种多样化、基地园区化、布局区域化、经营产业化的产业格局，产业优势日益突出，综合生产能力显著提高。截至2016年全省产量达到346.4万吨，产值达到218.4亿元。山东省140个县市区中，70%重点发展了食用菌产业，30%形成了规模化种植，20%成为当地农业的支柱产业之一。食、药用菌产业已成为带动和推进社会主义新农村建设的高效生态农业产业，在服务</w:t>
      </w:r>
      <w:r>
        <w:rPr>
          <w:rFonts w:hint="eastAsia"/>
        </w:rPr>
        <w:t>“</w:t>
      </w:r>
      <w:r>
        <w:t>三农</w:t>
      </w:r>
      <w:r>
        <w:rPr>
          <w:rFonts w:hint="eastAsia"/>
        </w:rPr>
        <w:t>”</w:t>
      </w:r>
      <w:r>
        <w:t>和推进社会主义新农村建设中发挥着十分重要的作用。</w:t>
      </w:r>
    </w:p>
    <w:p>
      <w:pPr>
        <w:ind w:firstLine="480"/>
      </w:pPr>
      <w:r>
        <w:t>本专业从2017年开始面向全国15个省市自治区进行招生，计划每年招生30-60人，预计5年达300人左右的规模。截至2017年，全国食用菌工厂化生产企业已达到500余家，这些企业分别分布于全国的28个省区，其中山东省从2010年的20家，增长到2015年的90家，增长速度及企业数量跃居全国首位。仅以山东省为例，按每年每个单位2-3人计算，每年至少需要200人，人才需求量大，毕业生就业前景广阔。</w:t>
      </w:r>
    </w:p>
    <w:p>
      <w:pPr>
        <w:ind w:firstLine="480"/>
      </w:pPr>
      <w:r>
        <w:t>今后，随着专业建设发展的不断深入，在师资队伍建设方面，今后将不断引进高端人才，带动学科发展。同时以现有师资力量为主体，积极开展与企业合作，加强专业教师在企业的技术交流，增强教师的实践能力，确保专业教师的知识不断更新，使得教学内容更加贴近市场实际。此外，鼓励专业教师参加各种相关学术会议，聘请与本专业相关行业企业专家交流、讲学、合作科研或兼职工作，以带动和提高本专业教师的科技创新和服务水平。同时，聘任有丰富经验的工程技术人员担任外聘教师，指导学生实习、实训或进行专业课教学。鼓励教师积极开展科学研究、申报科研项目，积极撰写学术论著，发表高水平的学术论文。在人才培养方面，充分利用已建成的校内菌物实习基地，在接收本科生毕业实习的同时，鼓励学生以成立兴趣小组的形式进入基地进行科学实践，在对学生进行食用菌相关专业技能系统训练的同时，让学生在实践中发现问题、解决问题，增强学生的动手能力，培养创新能力和创业意识，为今后就业或继续深造打下坚实的理论知识和实践经验基础。</w:t>
      </w:r>
    </w:p>
    <w:p>
      <w:pPr>
        <w:pStyle w:val="5"/>
        <w:spacing w:before="93" w:after="93"/>
        <w:ind w:firstLine="560"/>
      </w:pPr>
      <w:r>
        <w:t>八、存在的问题及拟采取的对策措施</w:t>
      </w:r>
    </w:p>
    <w:p>
      <w:pPr>
        <w:ind w:firstLine="480"/>
      </w:pPr>
      <w:r>
        <w:t>本专业自组建以来，在准确把握社会对人才需求的基础上，专业以高素质创新型、应用型人才培养为目标，以学科建设为基础，以师资队伍建设为关键，以体制机制建设为保障，强力推进专业建设工作，大力提升人才培养质量，在人才培养、科学研究、社会服务、文化传承和管理水平等方面取得了明显的成效，但是，与当今社会发展需求对相比，与国内外同学科的发展趋势相比，还有一些地方需要不断完善。</w:t>
      </w:r>
    </w:p>
    <w:p>
      <w:pPr>
        <w:pStyle w:val="7"/>
        <w:ind w:firstLine="480"/>
      </w:pPr>
      <w:r>
        <w:t>1.学科结构和实力水平有待提高</w:t>
      </w:r>
    </w:p>
    <w:p>
      <w:pPr>
        <w:ind w:firstLine="480"/>
      </w:pPr>
      <w:r>
        <w:t>目前学科结构和实力水平还不能完全适应国家发展的战略需求，学科需进一步增强在国内的影响力。下一步，将紧紧围绕学校的办学定位，强化学科分类建设，完善富有特色的学科体系，进一步优化学科专业结构，努力把菌物资源与利用专业打造成与山东经济社会结构战略性调整和现代产业体系建设相匹配的优势专业和特色专业，依靠重点专业带动相关专业群建设，提升专业整体水平。</w:t>
      </w:r>
    </w:p>
    <w:p>
      <w:pPr>
        <w:pStyle w:val="7"/>
        <w:ind w:firstLine="480"/>
      </w:pPr>
      <w:r>
        <w:t>2.师资队伍整体水平还不能满足创建国内一流专业的要求</w:t>
      </w:r>
    </w:p>
    <w:p>
      <w:pPr>
        <w:ind w:firstLine="480"/>
        <w:rPr>
          <w:color w:val="000000"/>
        </w:rPr>
      </w:pPr>
      <w:r>
        <w:rPr>
          <w:color w:val="000000"/>
        </w:rPr>
        <w:t>专业师资队伍仍然存在生师比过高、缺乏大师、教师来源单一且结构不尽合理等主要问题。今后将继续坚持</w:t>
      </w:r>
      <w:r>
        <w:rPr>
          <w:rFonts w:hint="eastAsia"/>
          <w:color w:val="000000"/>
        </w:rPr>
        <w:t>“</w:t>
      </w:r>
      <w:r>
        <w:rPr>
          <w:color w:val="000000"/>
        </w:rPr>
        <w:t>办学以教师为本</w:t>
      </w:r>
      <w:r>
        <w:rPr>
          <w:rFonts w:hint="eastAsia"/>
          <w:color w:val="000000"/>
        </w:rPr>
        <w:t>”</w:t>
      </w:r>
      <w:r>
        <w:rPr>
          <w:color w:val="000000"/>
        </w:rPr>
        <w:t>的理念，加强优秀拔尖人才、中青年学科专业带头人及优秀青年骨干教师的引进、选拔与培养，造就一批具有现代教育观念、教学态度端正、教学手段先进、教学效果好、教学改革成效显著的教学名师和教学团队，积极开展多种形式的教师培训工作，提高教师的教学水平、科研创新和社会服务能力，建设一支师德高尚、业务精湛、结构合理、充满活力、学风优良、崇尚学术、富有创新精神的高素质专业化教师队伍。</w:t>
      </w:r>
    </w:p>
    <w:p>
      <w:pPr>
        <w:pStyle w:val="7"/>
        <w:ind w:firstLine="480"/>
      </w:pPr>
      <w:r>
        <w:t>3.教育教学水平还不能完全适应创新型人才的培养要求</w:t>
      </w:r>
    </w:p>
    <w:p>
      <w:pPr>
        <w:ind w:firstLine="480"/>
        <w:rPr>
          <w:color w:val="000000"/>
        </w:rPr>
      </w:pPr>
      <w:r>
        <w:rPr>
          <w:color w:val="000000"/>
        </w:rPr>
        <w:t>今后将以适应社会需求为导向，重点推进创新型人才培养方案的实施，提高优秀生源吸引力和毕业生社会认可度。采取的举措包括：①在继续引进本专业相关青年教师，扩大本专业教师队伍的同时，大力提高师资队伍的教育教学水平和科学研究的创新能力，建设一支师德高尚、业务精湛、结构合理、充满活力的高素质专业化教师队伍；②抓好课堂教学管理和考评考核工作，提高课堂教学质量；③抓好课程建设，以国家级资源共享课程和省级精品课程的建设为重点，突出国家级规划教材编写在课程建设中的核心地位，建立高水平高质量的教学资源信息网络；④建立稳固的实践教学基地，完善产学研合作体制机制，聘请知名企业专家作为兼职教师，确保实践教学质量的提高。⑤抓好学风建设，提高学生学习的积极性和主动性；</w:t>
      </w:r>
      <w:r>
        <w:rPr>
          <w:rFonts w:eastAsia="Malgun Gothic"/>
          <w:color w:val="000000"/>
        </w:rPr>
        <w:t>⑥</w:t>
      </w:r>
      <w:r>
        <w:rPr>
          <w:color w:val="000000"/>
        </w:rPr>
        <w:t>通过设置不同类型的奖学金，激发学生的学习动力；</w:t>
      </w:r>
      <w:r>
        <w:rPr>
          <w:rFonts w:eastAsia="Malgun Gothic"/>
          <w:color w:val="000000"/>
        </w:rPr>
        <w:t>⑦</w:t>
      </w:r>
      <w:r>
        <w:rPr>
          <w:color w:val="000000"/>
        </w:rPr>
        <w:t>适度增加学生的实践课程学时，增加学生进行实践锻炼的机会和时间，鼓励学生参加不同类型的科技社团和科研项目，促进学生在科技创新方面的个性发展。</w:t>
      </w:r>
    </w:p>
    <w:p>
      <w:r>
        <w:br w:type="page"/>
      </w:r>
    </w:p>
    <w:p>
      <w:pPr>
        <w:pStyle w:val="4"/>
        <w:ind w:firstLine="600"/>
      </w:pPr>
      <w:bookmarkStart w:id="124" w:name="_Toc25617"/>
      <w:r>
        <w:rPr>
          <w:rFonts w:hint="eastAsia"/>
          <w:lang w:val="en-US"/>
        </w:rPr>
        <w:t>专业十：</w:t>
      </w:r>
      <w:r>
        <w:t>地理信息科学</w:t>
      </w:r>
      <w:bookmarkEnd w:id="124"/>
    </w:p>
    <w:p>
      <w:pPr>
        <w:pStyle w:val="5"/>
        <w:spacing w:before="93" w:after="93"/>
        <w:ind w:firstLine="560"/>
      </w:pPr>
      <w:r>
        <w:t>一、培养目标与规格</w:t>
      </w:r>
    </w:p>
    <w:p>
      <w:pPr>
        <w:ind w:firstLine="480" w:firstLineChars="200"/>
      </w:pPr>
      <w:r>
        <w:t>本专业培养德、智、体、美、劳全面发展，思想政治素质高，具备地理信息科学（GIS）、遥感（RS）和全球定位系统（GPS）的基本理论和基础知识，具有遥感数字图像处理和地理信息科学技术运用的基本技能，具有熟练地运用3S（RS、GIS、GPS）技术，解决资源与环境中的信息采集、分析处理和决策支持中相关技术问题的核心技能和实践能力的专业型人才；培养富有创新精神、创业意识和创新创业能力，毕业后能在科研机构、企事业单位以及各级信息管理部门，从事地理信息科学的研究、软件应用与系统开发等工作，也可以在地理信息技术领域继续深造的创新型人才。</w:t>
      </w:r>
    </w:p>
    <w:p>
      <w:pPr>
        <w:pStyle w:val="5"/>
        <w:spacing w:before="93" w:after="93"/>
        <w:ind w:firstLine="560"/>
      </w:pPr>
      <w:r>
        <w:t>二、培养能力（专业设置情况、在校生规模、课程体系、创新创业教育等）</w:t>
      </w:r>
    </w:p>
    <w:p>
      <w:pPr>
        <w:keepNext/>
        <w:keepLines/>
        <w:ind w:firstLine="480" w:firstLineChars="200"/>
        <w:outlineLvl w:val="3"/>
        <w:rPr>
          <w:rFonts w:eastAsia="黑体"/>
        </w:rPr>
      </w:pPr>
      <w:r>
        <w:rPr>
          <w:rFonts w:eastAsia="黑体"/>
        </w:rPr>
        <w:t>1. 专业设置情况</w:t>
      </w:r>
    </w:p>
    <w:p>
      <w:pPr>
        <w:ind w:firstLine="480" w:firstLineChars="200"/>
      </w:pPr>
      <w:r>
        <w:t>地理信息科学本科专业始建于2002年，2005年被批准为地图学与地理信息工程硕士学位授予点，并在农业资源与环境一级学科博士点中招收信息技术应用方向博士生，拥有农业资源利用博士后流动站。2012年被批准建设山东农业大学地理信息科学本科特色专业。</w:t>
      </w:r>
    </w:p>
    <w:p>
      <w:pPr>
        <w:keepNext/>
        <w:keepLines/>
        <w:ind w:firstLine="480" w:firstLineChars="200"/>
        <w:outlineLvl w:val="3"/>
        <w:rPr>
          <w:rFonts w:eastAsia="黑体"/>
        </w:rPr>
      </w:pPr>
      <w:r>
        <w:rPr>
          <w:rFonts w:eastAsia="黑体"/>
        </w:rPr>
        <w:t>2. 在校生规模</w:t>
      </w:r>
    </w:p>
    <w:p>
      <w:pPr>
        <w:ind w:firstLine="480" w:firstLineChars="200"/>
      </w:pPr>
      <w:r>
        <w:t>地理信息科学专业根据学校招生计划，每年招生60-90人。2002年至2007年，每年计划招生60人；2008年至2011年每年计划招生90人；2012年至今，每年招生计划60人。学生来自山东省、天津市、浙江省、河南省、湖北省、湖南省、</w:t>
      </w:r>
      <w:bookmarkStart w:id="125" w:name="OLE_LINK1"/>
      <w:r>
        <w:t>广西壮族自治区</w:t>
      </w:r>
      <w:bookmarkEnd w:id="125"/>
      <w:r>
        <w:t>、贵州省、陕西省、甘肃省。2018年因为专业调整需要，暂停招生。2019年实行大类招生，大类为地理科学类，包括土地资源管理学专业和地理信息科学专业，总人数为115人，其中地理信息科学专业人数计划为69人（2020年再分专业）。2020级为53人，2021级为71人，2022年扩招1个班，招生人数为90人。目前，在校生人数达到了283人。由于本专业就业前景较好，每年学生报到率较高，有多名外专业学生转入本专业。</w:t>
      </w:r>
    </w:p>
    <w:p>
      <w:pPr>
        <w:spacing w:line="240" w:lineRule="auto"/>
        <w:jc w:val="center"/>
        <w:rPr>
          <w:b/>
          <w:bCs/>
          <w:sz w:val="21"/>
          <w:szCs w:val="21"/>
        </w:rPr>
      </w:pPr>
      <w:r>
        <w:rPr>
          <w:b/>
          <w:bCs/>
          <w:sz w:val="21"/>
          <w:szCs w:val="21"/>
        </w:rPr>
        <w:t>表1　地理信息科学专业在校生规模</w:t>
      </w:r>
    </w:p>
    <w:tbl>
      <w:tblPr>
        <w:tblStyle w:val="17"/>
        <w:tblW w:w="7841" w:type="dxa"/>
        <w:jc w:val="center"/>
        <w:tblLayout w:type="fixed"/>
        <w:tblCellMar>
          <w:top w:w="0" w:type="dxa"/>
          <w:left w:w="0" w:type="dxa"/>
          <w:bottom w:w="0" w:type="dxa"/>
          <w:right w:w="0" w:type="dxa"/>
        </w:tblCellMar>
      </w:tblPr>
      <w:tblGrid>
        <w:gridCol w:w="2385"/>
        <w:gridCol w:w="1091"/>
        <w:gridCol w:w="1091"/>
        <w:gridCol w:w="1091"/>
        <w:gridCol w:w="1091"/>
        <w:gridCol w:w="1092"/>
      </w:tblGrid>
      <w:tr>
        <w:tblPrEx>
          <w:tblCellMar>
            <w:top w:w="0" w:type="dxa"/>
            <w:left w:w="0" w:type="dxa"/>
            <w:bottom w:w="0" w:type="dxa"/>
            <w:right w:w="0" w:type="dxa"/>
          </w:tblCellMar>
        </w:tblPrEx>
        <w:trPr>
          <w:trHeight w:val="388" w:hRule="atLeast"/>
          <w:jc w:val="center"/>
        </w:trPr>
        <w:tc>
          <w:tcPr>
            <w:tcW w:w="2385" w:type="dxa"/>
            <w:tcBorders>
              <w:top w:val="single" w:color="000000" w:sz="8" w:space="0"/>
              <w:left w:val="single" w:color="000000" w:sz="8" w:space="0"/>
              <w:bottom w:val="single" w:color="000000" w:sz="8" w:space="0"/>
              <w:right w:val="single" w:color="000000" w:sz="8" w:space="0"/>
              <w:tl2br w:val="single" w:color="auto" w:sz="4" w:space="0"/>
            </w:tcBorders>
            <w:shd w:val="clear" w:color="auto" w:fill="auto"/>
            <w:tcMar>
              <w:top w:w="72" w:type="dxa"/>
              <w:left w:w="144" w:type="dxa"/>
              <w:bottom w:w="72" w:type="dxa"/>
              <w:right w:w="144" w:type="dxa"/>
            </w:tcMar>
            <w:vAlign w:val="center"/>
          </w:tcPr>
          <w:p>
            <w:pPr>
              <w:spacing w:line="240" w:lineRule="auto"/>
              <w:jc w:val="right"/>
              <w:rPr>
                <w:b/>
                <w:bCs/>
                <w:sz w:val="21"/>
                <w:szCs w:val="21"/>
              </w:rPr>
            </w:pPr>
            <w:r>
              <w:rPr>
                <w:b/>
                <w:bCs/>
                <w:sz w:val="21"/>
                <w:szCs w:val="21"/>
              </w:rPr>
              <w:t>年级</w:t>
            </w:r>
          </w:p>
          <w:p>
            <w:pPr>
              <w:spacing w:line="240" w:lineRule="auto"/>
              <w:rPr>
                <w:b/>
                <w:bCs/>
                <w:sz w:val="21"/>
                <w:szCs w:val="21"/>
              </w:rPr>
            </w:pPr>
            <w:r>
              <w:rPr>
                <w:b/>
                <w:bCs/>
                <w:sz w:val="21"/>
                <w:szCs w:val="21"/>
              </w:rPr>
              <w:t>人数</w:t>
            </w:r>
          </w:p>
        </w:tc>
        <w:tc>
          <w:tcPr>
            <w:tcW w:w="1091" w:type="dxa"/>
            <w:tcBorders>
              <w:top w:val="single" w:color="000000" w:sz="8" w:space="0"/>
              <w:left w:val="single" w:color="auto" w:sz="4" w:space="0"/>
              <w:bottom w:val="single" w:color="000000" w:sz="8" w:space="0"/>
              <w:right w:val="single" w:color="000000" w:sz="8" w:space="0"/>
            </w:tcBorders>
            <w:shd w:val="clear" w:color="auto" w:fill="auto"/>
            <w:vAlign w:val="center"/>
          </w:tcPr>
          <w:p>
            <w:pPr>
              <w:spacing w:line="240" w:lineRule="auto"/>
              <w:jc w:val="center"/>
              <w:rPr>
                <w:b/>
                <w:bCs/>
                <w:sz w:val="21"/>
                <w:szCs w:val="21"/>
              </w:rPr>
            </w:pPr>
            <w:r>
              <w:rPr>
                <w:b/>
                <w:bCs/>
                <w:sz w:val="21"/>
                <w:szCs w:val="21"/>
              </w:rPr>
              <w:t>2019</w:t>
            </w:r>
          </w:p>
        </w:tc>
        <w:tc>
          <w:tcPr>
            <w:tcW w:w="1091" w:type="dxa"/>
            <w:tcBorders>
              <w:top w:val="single" w:color="000000" w:sz="8" w:space="0"/>
              <w:left w:val="single" w:color="000000" w:sz="8" w:space="0"/>
              <w:bottom w:val="single" w:color="000000" w:sz="8" w:space="0"/>
              <w:right w:val="single" w:color="auto" w:sz="4" w:space="0"/>
            </w:tcBorders>
            <w:shd w:val="clear" w:color="auto" w:fill="auto"/>
            <w:vAlign w:val="center"/>
          </w:tcPr>
          <w:p>
            <w:pPr>
              <w:spacing w:line="240" w:lineRule="auto"/>
              <w:jc w:val="center"/>
              <w:rPr>
                <w:b/>
                <w:bCs/>
                <w:sz w:val="21"/>
                <w:szCs w:val="21"/>
              </w:rPr>
            </w:pPr>
            <w:r>
              <w:rPr>
                <w:b/>
                <w:bCs/>
                <w:sz w:val="21"/>
                <w:szCs w:val="21"/>
              </w:rPr>
              <w:t>2020</w:t>
            </w:r>
          </w:p>
        </w:tc>
        <w:tc>
          <w:tcPr>
            <w:tcW w:w="1091" w:type="dxa"/>
            <w:tcBorders>
              <w:top w:val="single" w:color="000000" w:sz="8" w:space="0"/>
              <w:left w:val="single" w:color="000000" w:sz="8" w:space="0"/>
              <w:bottom w:val="single" w:color="000000" w:sz="8" w:space="0"/>
              <w:right w:val="single" w:color="auto" w:sz="4" w:space="0"/>
            </w:tcBorders>
            <w:shd w:val="clear" w:color="auto" w:fill="auto"/>
            <w:vAlign w:val="center"/>
          </w:tcPr>
          <w:p>
            <w:pPr>
              <w:spacing w:line="240" w:lineRule="auto"/>
              <w:jc w:val="center"/>
              <w:rPr>
                <w:b/>
                <w:bCs/>
                <w:sz w:val="21"/>
                <w:szCs w:val="21"/>
              </w:rPr>
            </w:pPr>
            <w:r>
              <w:rPr>
                <w:b/>
                <w:bCs/>
                <w:sz w:val="21"/>
                <w:szCs w:val="21"/>
              </w:rPr>
              <w:t>2021</w:t>
            </w:r>
          </w:p>
        </w:tc>
        <w:tc>
          <w:tcPr>
            <w:tcW w:w="1091" w:type="dxa"/>
            <w:tcBorders>
              <w:top w:val="single" w:color="000000" w:sz="8" w:space="0"/>
              <w:left w:val="single" w:color="000000" w:sz="8" w:space="0"/>
              <w:bottom w:val="single" w:color="000000" w:sz="8" w:space="0"/>
              <w:right w:val="single" w:color="auto" w:sz="4" w:space="0"/>
            </w:tcBorders>
            <w:shd w:val="clear" w:color="auto" w:fill="auto"/>
            <w:tcMar>
              <w:top w:w="72" w:type="dxa"/>
              <w:left w:w="144" w:type="dxa"/>
              <w:bottom w:w="72" w:type="dxa"/>
              <w:right w:w="144" w:type="dxa"/>
            </w:tcMar>
            <w:vAlign w:val="center"/>
          </w:tcPr>
          <w:p>
            <w:pPr>
              <w:spacing w:line="240" w:lineRule="auto"/>
              <w:jc w:val="center"/>
              <w:rPr>
                <w:b/>
                <w:bCs/>
                <w:sz w:val="21"/>
                <w:szCs w:val="21"/>
              </w:rPr>
            </w:pPr>
            <w:r>
              <w:rPr>
                <w:b/>
                <w:bCs/>
                <w:sz w:val="21"/>
                <w:szCs w:val="21"/>
              </w:rPr>
              <w:t>2022</w:t>
            </w:r>
          </w:p>
        </w:tc>
        <w:tc>
          <w:tcPr>
            <w:tcW w:w="1092" w:type="dxa"/>
            <w:tcBorders>
              <w:top w:val="single" w:color="000000" w:sz="8" w:space="0"/>
              <w:left w:val="single" w:color="auto" w:sz="4" w:space="0"/>
              <w:bottom w:val="single" w:color="000000" w:sz="8" w:space="0"/>
              <w:right w:val="single" w:color="000000" w:sz="8" w:space="0"/>
            </w:tcBorders>
            <w:shd w:val="clear" w:color="auto" w:fill="auto"/>
            <w:vAlign w:val="center"/>
          </w:tcPr>
          <w:p>
            <w:pPr>
              <w:spacing w:line="240" w:lineRule="auto"/>
              <w:jc w:val="center"/>
              <w:rPr>
                <w:b/>
                <w:bCs/>
                <w:sz w:val="21"/>
                <w:szCs w:val="21"/>
              </w:rPr>
            </w:pPr>
            <w:r>
              <w:rPr>
                <w:b/>
                <w:bCs/>
                <w:sz w:val="21"/>
                <w:szCs w:val="21"/>
              </w:rPr>
              <w:t>合计</w:t>
            </w:r>
          </w:p>
        </w:tc>
      </w:tr>
      <w:tr>
        <w:tblPrEx>
          <w:tblCellMar>
            <w:top w:w="0" w:type="dxa"/>
            <w:left w:w="0" w:type="dxa"/>
            <w:bottom w:w="0" w:type="dxa"/>
            <w:right w:w="0" w:type="dxa"/>
          </w:tblCellMar>
        </w:tblPrEx>
        <w:trPr>
          <w:trHeight w:val="238" w:hRule="atLeast"/>
          <w:jc w:val="center"/>
        </w:trPr>
        <w:tc>
          <w:tcPr>
            <w:tcW w:w="2385" w:type="dxa"/>
            <w:tcBorders>
              <w:top w:val="single" w:color="000000" w:sz="8" w:space="0"/>
              <w:left w:val="single" w:color="000000" w:sz="8" w:space="0"/>
              <w:bottom w:val="single" w:color="000000" w:sz="8" w:space="0"/>
              <w:right w:val="single" w:color="000000" w:sz="8" w:space="0"/>
            </w:tcBorders>
            <w:shd w:val="clear" w:color="auto" w:fill="auto"/>
            <w:tcMar>
              <w:top w:w="72" w:type="dxa"/>
              <w:left w:w="144" w:type="dxa"/>
              <w:bottom w:w="72" w:type="dxa"/>
              <w:right w:w="144" w:type="dxa"/>
            </w:tcMar>
            <w:vAlign w:val="center"/>
          </w:tcPr>
          <w:p>
            <w:pPr>
              <w:spacing w:line="240" w:lineRule="auto"/>
              <w:jc w:val="center"/>
              <w:rPr>
                <w:sz w:val="21"/>
                <w:szCs w:val="21"/>
              </w:rPr>
            </w:pPr>
            <w:r>
              <w:rPr>
                <w:sz w:val="21"/>
                <w:szCs w:val="21"/>
              </w:rPr>
              <w:t>地理信息科学</w:t>
            </w:r>
          </w:p>
        </w:tc>
        <w:tc>
          <w:tcPr>
            <w:tcW w:w="1091" w:type="dxa"/>
            <w:tcBorders>
              <w:top w:val="single" w:color="000000" w:sz="8" w:space="0"/>
              <w:left w:val="single" w:color="auto" w:sz="4" w:space="0"/>
              <w:bottom w:val="single" w:color="000000" w:sz="8" w:space="0"/>
              <w:right w:val="single" w:color="000000" w:sz="8" w:space="0"/>
            </w:tcBorders>
            <w:shd w:val="clear" w:color="auto" w:fill="auto"/>
            <w:vAlign w:val="center"/>
          </w:tcPr>
          <w:p>
            <w:pPr>
              <w:spacing w:line="240" w:lineRule="auto"/>
              <w:jc w:val="center"/>
              <w:rPr>
                <w:sz w:val="21"/>
                <w:szCs w:val="21"/>
              </w:rPr>
            </w:pPr>
            <w:r>
              <w:rPr>
                <w:sz w:val="21"/>
                <w:szCs w:val="21"/>
              </w:rPr>
              <w:t>69</w:t>
            </w:r>
          </w:p>
        </w:tc>
        <w:tc>
          <w:tcPr>
            <w:tcW w:w="1091" w:type="dxa"/>
            <w:tcBorders>
              <w:top w:val="single" w:color="000000" w:sz="8" w:space="0"/>
              <w:left w:val="single" w:color="000000" w:sz="8" w:space="0"/>
              <w:bottom w:val="single" w:color="000000" w:sz="8" w:space="0"/>
              <w:right w:val="single" w:color="auto" w:sz="4" w:space="0"/>
            </w:tcBorders>
            <w:shd w:val="clear" w:color="auto" w:fill="auto"/>
            <w:vAlign w:val="center"/>
          </w:tcPr>
          <w:p>
            <w:pPr>
              <w:spacing w:line="240" w:lineRule="auto"/>
              <w:jc w:val="center"/>
              <w:rPr>
                <w:sz w:val="21"/>
                <w:szCs w:val="21"/>
              </w:rPr>
            </w:pPr>
            <w:r>
              <w:rPr>
                <w:sz w:val="21"/>
                <w:szCs w:val="21"/>
              </w:rPr>
              <w:t>53</w:t>
            </w:r>
          </w:p>
        </w:tc>
        <w:tc>
          <w:tcPr>
            <w:tcW w:w="1091" w:type="dxa"/>
            <w:tcBorders>
              <w:top w:val="single" w:color="000000" w:sz="8" w:space="0"/>
              <w:left w:val="single" w:color="000000" w:sz="8" w:space="0"/>
              <w:bottom w:val="single" w:color="000000" w:sz="8" w:space="0"/>
              <w:right w:val="single" w:color="auto" w:sz="4" w:space="0"/>
            </w:tcBorders>
            <w:shd w:val="clear" w:color="auto" w:fill="auto"/>
            <w:vAlign w:val="center"/>
          </w:tcPr>
          <w:p>
            <w:pPr>
              <w:spacing w:line="240" w:lineRule="auto"/>
              <w:jc w:val="center"/>
              <w:rPr>
                <w:sz w:val="21"/>
                <w:szCs w:val="21"/>
              </w:rPr>
            </w:pPr>
            <w:r>
              <w:rPr>
                <w:sz w:val="21"/>
                <w:szCs w:val="21"/>
              </w:rPr>
              <w:t>71</w:t>
            </w:r>
          </w:p>
        </w:tc>
        <w:tc>
          <w:tcPr>
            <w:tcW w:w="1091" w:type="dxa"/>
            <w:tcBorders>
              <w:top w:val="single" w:color="000000" w:sz="8" w:space="0"/>
              <w:left w:val="single" w:color="000000" w:sz="8" w:space="0"/>
              <w:bottom w:val="single" w:color="000000" w:sz="8" w:space="0"/>
              <w:right w:val="single" w:color="auto" w:sz="4" w:space="0"/>
            </w:tcBorders>
            <w:shd w:val="clear" w:color="auto" w:fill="auto"/>
            <w:tcMar>
              <w:top w:w="15" w:type="dxa"/>
              <w:left w:w="15" w:type="dxa"/>
              <w:bottom w:w="0" w:type="dxa"/>
              <w:right w:w="15" w:type="dxa"/>
            </w:tcMar>
            <w:vAlign w:val="center"/>
          </w:tcPr>
          <w:p>
            <w:pPr>
              <w:spacing w:line="240" w:lineRule="auto"/>
              <w:jc w:val="center"/>
              <w:rPr>
                <w:sz w:val="21"/>
                <w:szCs w:val="21"/>
              </w:rPr>
            </w:pPr>
            <w:r>
              <w:rPr>
                <w:sz w:val="21"/>
                <w:szCs w:val="21"/>
              </w:rPr>
              <w:t>90</w:t>
            </w:r>
          </w:p>
        </w:tc>
        <w:tc>
          <w:tcPr>
            <w:tcW w:w="1092" w:type="dxa"/>
            <w:tcBorders>
              <w:top w:val="single" w:color="000000" w:sz="8" w:space="0"/>
              <w:left w:val="single" w:color="auto" w:sz="4" w:space="0"/>
              <w:bottom w:val="single" w:color="000000" w:sz="8" w:space="0"/>
              <w:right w:val="single" w:color="000000" w:sz="8" w:space="0"/>
            </w:tcBorders>
            <w:shd w:val="clear" w:color="auto" w:fill="auto"/>
            <w:vAlign w:val="center"/>
          </w:tcPr>
          <w:p>
            <w:pPr>
              <w:spacing w:line="240" w:lineRule="auto"/>
              <w:jc w:val="center"/>
              <w:rPr>
                <w:sz w:val="21"/>
                <w:szCs w:val="21"/>
              </w:rPr>
            </w:pPr>
            <w:r>
              <w:rPr>
                <w:sz w:val="21"/>
                <w:szCs w:val="21"/>
              </w:rPr>
              <w:t>283</w:t>
            </w:r>
          </w:p>
        </w:tc>
      </w:tr>
    </w:tbl>
    <w:p>
      <w:pPr>
        <w:keepNext/>
        <w:keepLines/>
        <w:ind w:firstLine="480" w:firstLineChars="200"/>
        <w:outlineLvl w:val="3"/>
        <w:rPr>
          <w:rFonts w:eastAsia="黑体"/>
        </w:rPr>
      </w:pPr>
      <w:r>
        <w:rPr>
          <w:rFonts w:eastAsia="黑体"/>
        </w:rPr>
        <w:t>3. 课程体系</w:t>
      </w:r>
    </w:p>
    <w:p>
      <w:pPr>
        <w:ind w:firstLine="480" w:firstLineChars="200"/>
      </w:pPr>
      <w:r>
        <w:t>地理信息科学专业为地理学学科下的二级学科，学生需要掌握地学的专业知识：自然地理学、人文地理学、土壤学、地质地貌学、土地科学等有关知识。同时，地理信息科学专业还需要掌握信息技术知识：地理信息系统及软件操作技术、基础遥感、遥感图像处理软件与操作技术、全球定位系统等专业技能课程。因此，地理信息科学是一门交叉学科。</w:t>
      </w:r>
    </w:p>
    <w:p>
      <w:pPr>
        <w:ind w:firstLine="480" w:firstLineChars="200"/>
      </w:pPr>
      <w:r>
        <w:t>地理信息科学专业主干学科：地理学、地图学、土地科学、计算机科学。</w:t>
      </w:r>
    </w:p>
    <w:p>
      <w:pPr>
        <w:ind w:firstLine="480" w:firstLineChars="200"/>
      </w:pPr>
      <w:r>
        <w:t>地理信息科学专业主要课程：自然地理学、人文地理学、地图学、基础遥感、遥感图像处理与应用、数据库技术、C语言程序设计、测绘学、数字地球导论、地理信息系统、地理信息系统设计与实现、现代测量技术、土地科学、区域分析与区域地理、空间数据库与空间分析、GIS软件应用等。</w:t>
      </w:r>
    </w:p>
    <w:p>
      <w:pPr>
        <w:ind w:firstLine="480" w:firstLineChars="200"/>
      </w:pPr>
      <w:r>
        <w:t>总学分170学分。其中，必修课总学分139，选修课学分31 ，实验14.7学分和实践环节31.5学分（理论课所含的实验实训学分按所占理论课学时进行换算。）46.2 ，实验学分和实践环节学分占总学分比例27.2%。</w:t>
      </w:r>
    </w:p>
    <w:p>
      <w:pPr>
        <w:keepNext/>
        <w:keepLines/>
        <w:ind w:firstLine="480" w:firstLineChars="200"/>
        <w:outlineLvl w:val="3"/>
        <w:rPr>
          <w:rFonts w:eastAsia="黑体"/>
        </w:rPr>
      </w:pPr>
      <w:r>
        <w:rPr>
          <w:rFonts w:eastAsia="黑体"/>
        </w:rPr>
        <w:t>4. 创新创业教育</w:t>
      </w:r>
    </w:p>
    <w:p>
      <w:pPr>
        <w:ind w:firstLine="480" w:firstLineChars="200"/>
      </w:pPr>
      <w:r>
        <w:t>本专业非常重视学生的创新创业教育、训练，鼓励大学生积极开展创新创业，近几年取得了一定成效。</w:t>
      </w:r>
    </w:p>
    <w:p>
      <w:pPr>
        <w:ind w:firstLine="480" w:firstLineChars="200"/>
      </w:pPr>
      <w:r>
        <w:rPr>
          <w:rFonts w:hint="eastAsia"/>
        </w:rPr>
        <w:t>鼓励学生积极申报国家大学生创新实验计划、学校大学生研究训练计划（SRT）和双创竞赛活动，开展地理信息科学有关研究。2022年获得第八届山东省科技创新大赛省级三等奖两项。通过研究训练，学生的创新能力有了较大提高。</w:t>
      </w:r>
    </w:p>
    <w:p>
      <w:pPr>
        <w:ind w:firstLine="480" w:firstLineChars="200"/>
      </w:pPr>
      <w:r>
        <w:t>鼓励学生参加全国大学生GIS软件开发竞赛、全国高校GIS技能大赛、全国地理大赛等全国性的竞赛活动；参加全国信息化工程师——GIS应用水平考试。</w:t>
      </w:r>
    </w:p>
    <w:p>
      <w:pPr>
        <w:ind w:firstLine="480" w:firstLineChars="200"/>
      </w:pPr>
      <w:r>
        <w:t>鼓励大学生开展创业实践。本专业与地理信息公司、国土资源局、测绘公司等有较好的业务往来与合作关系。每年学生利用假期到与地理信息科学有关公司实习。另外，学院建设了GIS青年协会、大学生创客驿站，部分学生利用业余时间在驿站创业。</w:t>
      </w:r>
    </w:p>
    <w:p>
      <w:pPr>
        <w:pStyle w:val="5"/>
        <w:spacing w:before="93" w:after="93"/>
        <w:ind w:firstLine="560"/>
      </w:pPr>
      <w:r>
        <w:t>三、培养条件（教学经费投入、教学设备、教师队伍建设、实习基地、现代教学技术应用等）</w:t>
      </w:r>
    </w:p>
    <w:p>
      <w:pPr>
        <w:keepNext/>
        <w:keepLines/>
        <w:ind w:firstLine="480" w:firstLineChars="200"/>
        <w:outlineLvl w:val="3"/>
        <w:rPr>
          <w:rFonts w:eastAsia="黑体"/>
        </w:rPr>
      </w:pPr>
      <w:r>
        <w:rPr>
          <w:rFonts w:eastAsia="黑体"/>
        </w:rPr>
        <w:t>1. 教学经费投入</w:t>
      </w:r>
    </w:p>
    <w:p>
      <w:pPr>
        <w:ind w:firstLine="480" w:firstLineChars="200"/>
      </w:pPr>
      <w:r>
        <w:t>近几年来，学院加大了对本专业教学经费的投入，购置了一批教学仪器设备、软件等，极大改善了教学和实验条件，保证了日常教学的正常运行。</w:t>
      </w:r>
    </w:p>
    <w:p>
      <w:pPr>
        <w:ind w:firstLine="480" w:firstLineChars="200"/>
      </w:pPr>
      <w:r>
        <w:t>近5年共投资150多万元购置仪器设备、矿物和岩石实验标本，新建和改建了实验室。其中仪器设备共投资125.47万元；购置矿物和岩石标本500余件，经费7.79万；购置卫星遥感影像、电子地图，经费8.25万元；购置地理信息系统软件SuperMap Deskpro6系统14.95万元；购置MapGIS K9系统及二调、规划、基本农田和农用地分等定级模块（60个用户）共18.80万元；购置探地雷达1台，经费6.0万美元；购置台式电脑65台，经费32.75万元。同时，新建实验室1个，改造实验室２个，共投资27.0万元。日常教学投入也进一步加大，如实验室维护、维修、日常实验材料购置等，近３年共投入17.14万元，基本上满足了日常教学需要。</w:t>
      </w:r>
    </w:p>
    <w:p>
      <w:pPr>
        <w:keepNext/>
        <w:keepLines/>
        <w:ind w:firstLine="480" w:firstLineChars="200"/>
        <w:outlineLvl w:val="3"/>
        <w:rPr>
          <w:rFonts w:eastAsia="黑体"/>
        </w:rPr>
      </w:pPr>
      <w:r>
        <w:rPr>
          <w:rFonts w:eastAsia="黑体"/>
        </w:rPr>
        <w:t>2. 教学设备</w:t>
      </w:r>
    </w:p>
    <w:p>
      <w:pPr>
        <w:ind w:firstLine="480" w:firstLineChars="200"/>
      </w:pPr>
      <w:r>
        <w:t>本专业建有地学基础实验室、地理信息系统实验室、遥感数据处理实验室和地图编绘实验室等专业实验室。实验室大型教学试验仪器、设备有：全站仪、彩色扫描仪、GPS定位系统、探地雷达、光谱仪、手持GPS、红外测距仪、彩色喷墨绘图仪、RTK、求积仪、航空立体判读仪、台式电脑、多功能实验台多媒体讲桌、投影机、塔式服务器、交换机等。CASS、ArcGIS、MapGIS K9、SuperMap Deskpro6专业教学软件等。</w:t>
      </w:r>
    </w:p>
    <w:p>
      <w:pPr>
        <w:ind w:firstLine="480" w:firstLineChars="200"/>
      </w:pPr>
      <w:r>
        <w:t>实验室、教学设施设备的投入，极大改善了教学条件，保证学生基本实验教学要求。目前硬、软件实验条件基本能满足单人操作要求。</w:t>
      </w:r>
    </w:p>
    <w:p>
      <w:pPr>
        <w:keepNext/>
        <w:keepLines/>
        <w:ind w:firstLine="480" w:firstLineChars="200"/>
        <w:outlineLvl w:val="3"/>
        <w:rPr>
          <w:rFonts w:eastAsia="黑体"/>
        </w:rPr>
      </w:pPr>
      <w:r>
        <w:rPr>
          <w:rFonts w:eastAsia="黑体"/>
        </w:rPr>
        <w:t>3. 教师队伍建设</w:t>
      </w:r>
    </w:p>
    <w:p>
      <w:pPr>
        <w:ind w:firstLine="480" w:firstLineChars="200"/>
      </w:pPr>
      <w:r>
        <w:t>地理信息系统专业现有专业专职教师19名，2名实验人员。其中教授6名，副教授5名，讲师8名；博士生导师4人，硕士生导师11人。专业师资的职称结构、年龄结构、学缘结构如表2。19名教师承担了地理信息科学等专业的40多门课程的理论教学和实验教学任务。每一门课程由教授、副教授和讲师组成一个课程组，建立起了课程教学团队。全体教师责任感强，团队协作好，教学经验丰富，教学实践能力较强，教学水平较高。教学实验辅助人员实践经验丰富，能够胜任实验教学的基本要求。</w:t>
      </w:r>
    </w:p>
    <w:p>
      <w:pPr>
        <w:spacing w:line="240" w:lineRule="auto"/>
        <w:jc w:val="center"/>
        <w:rPr>
          <w:b/>
          <w:bCs/>
          <w:sz w:val="21"/>
          <w:szCs w:val="21"/>
        </w:rPr>
      </w:pPr>
      <w:r>
        <w:rPr>
          <w:b/>
          <w:bCs/>
          <w:sz w:val="21"/>
          <w:szCs w:val="21"/>
        </w:rPr>
        <w:t>表2  地理信息科学专业师资队伍情况</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4"/>
        <w:gridCol w:w="1410"/>
        <w:gridCol w:w="1542"/>
        <w:gridCol w:w="1388"/>
        <w:gridCol w:w="1435"/>
        <w:gridCol w:w="22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87" w:type="pct"/>
            <w:vAlign w:val="center"/>
          </w:tcPr>
          <w:p>
            <w:pPr>
              <w:spacing w:line="240" w:lineRule="auto"/>
              <w:jc w:val="center"/>
              <w:rPr>
                <w:b/>
                <w:bCs/>
                <w:sz w:val="21"/>
                <w:szCs w:val="21"/>
              </w:rPr>
            </w:pPr>
            <w:r>
              <w:rPr>
                <w:b/>
                <w:bCs/>
                <w:sz w:val="21"/>
                <w:szCs w:val="21"/>
              </w:rPr>
              <w:t>序号</w:t>
            </w:r>
          </w:p>
        </w:tc>
        <w:tc>
          <w:tcPr>
            <w:tcW w:w="778" w:type="pct"/>
            <w:vAlign w:val="center"/>
          </w:tcPr>
          <w:p>
            <w:pPr>
              <w:spacing w:line="240" w:lineRule="auto"/>
              <w:jc w:val="center"/>
              <w:rPr>
                <w:b/>
                <w:bCs/>
                <w:sz w:val="21"/>
                <w:szCs w:val="21"/>
              </w:rPr>
            </w:pPr>
            <w:r>
              <w:rPr>
                <w:b/>
                <w:bCs/>
                <w:sz w:val="21"/>
                <w:szCs w:val="21"/>
              </w:rPr>
              <w:t>姓</w:t>
            </w:r>
            <w:r>
              <w:rPr>
                <w:rFonts w:hint="eastAsia"/>
                <w:b/>
                <w:bCs/>
                <w:sz w:val="21"/>
                <w:szCs w:val="21"/>
              </w:rPr>
              <w:t xml:space="preserve">  </w:t>
            </w:r>
            <w:r>
              <w:rPr>
                <w:b/>
                <w:bCs/>
                <w:sz w:val="21"/>
                <w:szCs w:val="21"/>
              </w:rPr>
              <w:t>名</w:t>
            </w:r>
          </w:p>
        </w:tc>
        <w:tc>
          <w:tcPr>
            <w:tcW w:w="851" w:type="pct"/>
            <w:vAlign w:val="center"/>
          </w:tcPr>
          <w:p>
            <w:pPr>
              <w:spacing w:line="240" w:lineRule="auto"/>
              <w:jc w:val="center"/>
              <w:rPr>
                <w:b/>
                <w:bCs/>
                <w:sz w:val="21"/>
                <w:szCs w:val="21"/>
              </w:rPr>
            </w:pPr>
            <w:r>
              <w:rPr>
                <w:b/>
                <w:bCs/>
                <w:sz w:val="21"/>
                <w:szCs w:val="21"/>
              </w:rPr>
              <w:t>职称</w:t>
            </w:r>
          </w:p>
        </w:tc>
        <w:tc>
          <w:tcPr>
            <w:tcW w:w="766" w:type="pct"/>
            <w:vAlign w:val="center"/>
          </w:tcPr>
          <w:p>
            <w:pPr>
              <w:spacing w:line="240" w:lineRule="auto"/>
              <w:jc w:val="center"/>
              <w:rPr>
                <w:b/>
                <w:bCs/>
                <w:sz w:val="21"/>
                <w:szCs w:val="21"/>
              </w:rPr>
            </w:pPr>
            <w:r>
              <w:rPr>
                <w:b/>
                <w:bCs/>
                <w:sz w:val="21"/>
                <w:szCs w:val="21"/>
              </w:rPr>
              <w:t>年龄</w:t>
            </w:r>
          </w:p>
        </w:tc>
        <w:tc>
          <w:tcPr>
            <w:tcW w:w="792" w:type="pct"/>
            <w:vAlign w:val="center"/>
          </w:tcPr>
          <w:p>
            <w:pPr>
              <w:spacing w:line="240" w:lineRule="auto"/>
              <w:jc w:val="center"/>
              <w:rPr>
                <w:b/>
                <w:bCs/>
                <w:sz w:val="21"/>
                <w:szCs w:val="21"/>
              </w:rPr>
            </w:pPr>
            <w:r>
              <w:rPr>
                <w:b/>
                <w:bCs/>
                <w:sz w:val="21"/>
                <w:szCs w:val="21"/>
              </w:rPr>
              <w:t>学位</w:t>
            </w:r>
          </w:p>
        </w:tc>
        <w:tc>
          <w:tcPr>
            <w:tcW w:w="1223" w:type="pct"/>
            <w:vAlign w:val="center"/>
          </w:tcPr>
          <w:p>
            <w:pPr>
              <w:spacing w:line="240" w:lineRule="auto"/>
              <w:jc w:val="center"/>
              <w:rPr>
                <w:b/>
                <w:bCs/>
                <w:sz w:val="21"/>
                <w:szCs w:val="21"/>
              </w:rPr>
            </w:pPr>
            <w:r>
              <w:rPr>
                <w:b/>
                <w:bCs/>
                <w:sz w:val="21"/>
                <w:szCs w:val="21"/>
              </w:rPr>
              <w:t>学缘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1</w:t>
            </w:r>
          </w:p>
        </w:tc>
        <w:tc>
          <w:tcPr>
            <w:tcW w:w="778" w:type="pct"/>
            <w:vAlign w:val="center"/>
          </w:tcPr>
          <w:p>
            <w:pPr>
              <w:spacing w:line="240" w:lineRule="auto"/>
              <w:jc w:val="center"/>
              <w:rPr>
                <w:sz w:val="21"/>
                <w:szCs w:val="21"/>
              </w:rPr>
            </w:pPr>
            <w:r>
              <w:rPr>
                <w:sz w:val="21"/>
                <w:szCs w:val="21"/>
              </w:rPr>
              <w:t>赵庚星</w:t>
            </w:r>
          </w:p>
        </w:tc>
        <w:tc>
          <w:tcPr>
            <w:tcW w:w="851" w:type="pct"/>
            <w:vAlign w:val="center"/>
          </w:tcPr>
          <w:p>
            <w:pPr>
              <w:spacing w:line="240" w:lineRule="auto"/>
              <w:jc w:val="center"/>
              <w:rPr>
                <w:sz w:val="21"/>
                <w:szCs w:val="21"/>
              </w:rPr>
            </w:pPr>
            <w:r>
              <w:rPr>
                <w:sz w:val="21"/>
                <w:szCs w:val="21"/>
              </w:rPr>
              <w:t>教授</w:t>
            </w:r>
          </w:p>
        </w:tc>
        <w:tc>
          <w:tcPr>
            <w:tcW w:w="766" w:type="pct"/>
            <w:shd w:val="clear" w:color="auto" w:fill="auto"/>
            <w:vAlign w:val="center"/>
          </w:tcPr>
          <w:p>
            <w:pPr>
              <w:spacing w:line="240" w:lineRule="auto"/>
              <w:jc w:val="center"/>
              <w:rPr>
                <w:sz w:val="21"/>
                <w:szCs w:val="21"/>
              </w:rPr>
            </w:pPr>
            <w:r>
              <w:rPr>
                <w:sz w:val="21"/>
                <w:szCs w:val="21"/>
              </w:rPr>
              <w:t>56</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浙江大学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2</w:t>
            </w:r>
          </w:p>
        </w:tc>
        <w:tc>
          <w:tcPr>
            <w:tcW w:w="778" w:type="pct"/>
            <w:vAlign w:val="center"/>
          </w:tcPr>
          <w:p>
            <w:pPr>
              <w:spacing w:line="240" w:lineRule="auto"/>
              <w:jc w:val="center"/>
              <w:rPr>
                <w:sz w:val="21"/>
                <w:szCs w:val="21"/>
              </w:rPr>
            </w:pPr>
            <w:r>
              <w:rPr>
                <w:sz w:val="21"/>
                <w:szCs w:val="21"/>
              </w:rPr>
              <w:t>李新举</w:t>
            </w:r>
          </w:p>
        </w:tc>
        <w:tc>
          <w:tcPr>
            <w:tcW w:w="851" w:type="pct"/>
            <w:vAlign w:val="center"/>
          </w:tcPr>
          <w:p>
            <w:pPr>
              <w:spacing w:line="240" w:lineRule="auto"/>
              <w:jc w:val="center"/>
              <w:rPr>
                <w:sz w:val="21"/>
                <w:szCs w:val="21"/>
              </w:rPr>
            </w:pPr>
            <w:r>
              <w:rPr>
                <w:sz w:val="21"/>
                <w:szCs w:val="21"/>
              </w:rPr>
              <w:t>教授</w:t>
            </w:r>
          </w:p>
        </w:tc>
        <w:tc>
          <w:tcPr>
            <w:tcW w:w="766" w:type="pct"/>
            <w:shd w:val="clear" w:color="auto" w:fill="auto"/>
            <w:vAlign w:val="center"/>
          </w:tcPr>
          <w:p>
            <w:pPr>
              <w:spacing w:line="240" w:lineRule="auto"/>
              <w:jc w:val="center"/>
              <w:rPr>
                <w:sz w:val="21"/>
                <w:szCs w:val="21"/>
              </w:rPr>
            </w:pPr>
            <w:r>
              <w:rPr>
                <w:sz w:val="21"/>
                <w:szCs w:val="21"/>
              </w:rPr>
              <w:t>55</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中国矿业大学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3</w:t>
            </w:r>
          </w:p>
        </w:tc>
        <w:tc>
          <w:tcPr>
            <w:tcW w:w="778" w:type="pct"/>
            <w:vAlign w:val="center"/>
          </w:tcPr>
          <w:p>
            <w:pPr>
              <w:spacing w:line="240" w:lineRule="auto"/>
              <w:jc w:val="center"/>
              <w:rPr>
                <w:sz w:val="21"/>
                <w:szCs w:val="21"/>
              </w:rPr>
            </w:pPr>
            <w:r>
              <w:rPr>
                <w:sz w:val="21"/>
                <w:szCs w:val="21"/>
              </w:rPr>
              <w:t>齐  伟</w:t>
            </w:r>
          </w:p>
        </w:tc>
        <w:tc>
          <w:tcPr>
            <w:tcW w:w="851" w:type="pct"/>
            <w:vAlign w:val="center"/>
          </w:tcPr>
          <w:p>
            <w:pPr>
              <w:spacing w:line="240" w:lineRule="auto"/>
              <w:jc w:val="center"/>
              <w:rPr>
                <w:sz w:val="21"/>
                <w:szCs w:val="21"/>
              </w:rPr>
            </w:pPr>
            <w:r>
              <w:rPr>
                <w:sz w:val="21"/>
                <w:szCs w:val="21"/>
              </w:rPr>
              <w:t>教授</w:t>
            </w:r>
          </w:p>
        </w:tc>
        <w:tc>
          <w:tcPr>
            <w:tcW w:w="766" w:type="pct"/>
            <w:shd w:val="clear" w:color="auto" w:fill="auto"/>
            <w:vAlign w:val="center"/>
          </w:tcPr>
          <w:p>
            <w:pPr>
              <w:spacing w:line="240" w:lineRule="auto"/>
              <w:jc w:val="center"/>
              <w:rPr>
                <w:sz w:val="21"/>
                <w:szCs w:val="21"/>
              </w:rPr>
            </w:pPr>
            <w:r>
              <w:rPr>
                <w:sz w:val="21"/>
                <w:szCs w:val="21"/>
              </w:rPr>
              <w:t>50</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中国农业大学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4</w:t>
            </w:r>
          </w:p>
        </w:tc>
        <w:tc>
          <w:tcPr>
            <w:tcW w:w="778" w:type="pct"/>
            <w:vAlign w:val="center"/>
          </w:tcPr>
          <w:p>
            <w:pPr>
              <w:spacing w:line="240" w:lineRule="auto"/>
              <w:jc w:val="center"/>
              <w:rPr>
                <w:sz w:val="21"/>
                <w:szCs w:val="21"/>
              </w:rPr>
            </w:pPr>
            <w:r>
              <w:rPr>
                <w:sz w:val="21"/>
                <w:szCs w:val="21"/>
              </w:rPr>
              <w:t>王瑷玲</w:t>
            </w:r>
          </w:p>
        </w:tc>
        <w:tc>
          <w:tcPr>
            <w:tcW w:w="851" w:type="pct"/>
            <w:vAlign w:val="center"/>
          </w:tcPr>
          <w:p>
            <w:pPr>
              <w:spacing w:line="240" w:lineRule="auto"/>
              <w:jc w:val="center"/>
              <w:rPr>
                <w:sz w:val="21"/>
                <w:szCs w:val="21"/>
              </w:rPr>
            </w:pPr>
            <w:r>
              <w:rPr>
                <w:sz w:val="21"/>
                <w:szCs w:val="21"/>
              </w:rPr>
              <w:t>教授</w:t>
            </w:r>
          </w:p>
        </w:tc>
        <w:tc>
          <w:tcPr>
            <w:tcW w:w="766" w:type="pct"/>
            <w:shd w:val="clear" w:color="auto" w:fill="auto"/>
            <w:vAlign w:val="center"/>
          </w:tcPr>
          <w:p>
            <w:pPr>
              <w:spacing w:line="240" w:lineRule="auto"/>
              <w:jc w:val="center"/>
              <w:rPr>
                <w:sz w:val="21"/>
                <w:szCs w:val="21"/>
              </w:rPr>
            </w:pPr>
            <w:r>
              <w:rPr>
                <w:sz w:val="21"/>
                <w:szCs w:val="21"/>
              </w:rPr>
              <w:t>48</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5</w:t>
            </w:r>
          </w:p>
        </w:tc>
        <w:tc>
          <w:tcPr>
            <w:tcW w:w="778" w:type="pct"/>
            <w:vAlign w:val="center"/>
          </w:tcPr>
          <w:p>
            <w:pPr>
              <w:spacing w:line="240" w:lineRule="auto"/>
              <w:jc w:val="center"/>
              <w:rPr>
                <w:sz w:val="21"/>
                <w:szCs w:val="21"/>
              </w:rPr>
            </w:pPr>
            <w:r>
              <w:rPr>
                <w:sz w:val="21"/>
                <w:szCs w:val="21"/>
              </w:rPr>
              <w:t>李玉环</w:t>
            </w:r>
          </w:p>
        </w:tc>
        <w:tc>
          <w:tcPr>
            <w:tcW w:w="851" w:type="pct"/>
            <w:vAlign w:val="center"/>
          </w:tcPr>
          <w:p>
            <w:pPr>
              <w:spacing w:line="240" w:lineRule="auto"/>
              <w:jc w:val="center"/>
              <w:rPr>
                <w:sz w:val="21"/>
                <w:szCs w:val="21"/>
              </w:rPr>
            </w:pPr>
            <w:r>
              <w:rPr>
                <w:sz w:val="21"/>
                <w:szCs w:val="21"/>
              </w:rPr>
              <w:t>教授</w:t>
            </w:r>
          </w:p>
        </w:tc>
        <w:tc>
          <w:tcPr>
            <w:tcW w:w="766" w:type="pct"/>
            <w:shd w:val="clear" w:color="auto" w:fill="auto"/>
            <w:vAlign w:val="center"/>
          </w:tcPr>
          <w:p>
            <w:pPr>
              <w:spacing w:line="240" w:lineRule="auto"/>
              <w:jc w:val="center"/>
              <w:rPr>
                <w:sz w:val="21"/>
                <w:szCs w:val="21"/>
              </w:rPr>
            </w:pPr>
            <w:r>
              <w:rPr>
                <w:sz w:val="21"/>
                <w:szCs w:val="21"/>
              </w:rPr>
              <w:t>55</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山东科技大学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6</w:t>
            </w:r>
          </w:p>
        </w:tc>
        <w:tc>
          <w:tcPr>
            <w:tcW w:w="778" w:type="pct"/>
            <w:vAlign w:val="center"/>
          </w:tcPr>
          <w:p>
            <w:pPr>
              <w:spacing w:line="240" w:lineRule="auto"/>
              <w:jc w:val="center"/>
              <w:rPr>
                <w:sz w:val="21"/>
                <w:szCs w:val="21"/>
              </w:rPr>
            </w:pPr>
            <w:r>
              <w:rPr>
                <w:sz w:val="21"/>
                <w:szCs w:val="21"/>
              </w:rPr>
              <w:t>李贻学</w:t>
            </w:r>
          </w:p>
        </w:tc>
        <w:tc>
          <w:tcPr>
            <w:tcW w:w="851" w:type="pct"/>
            <w:vAlign w:val="center"/>
          </w:tcPr>
          <w:p>
            <w:pPr>
              <w:spacing w:line="240" w:lineRule="auto"/>
              <w:jc w:val="center"/>
              <w:rPr>
                <w:sz w:val="21"/>
                <w:szCs w:val="21"/>
              </w:rPr>
            </w:pPr>
            <w:r>
              <w:rPr>
                <w:sz w:val="21"/>
                <w:szCs w:val="21"/>
              </w:rPr>
              <w:t>副教授</w:t>
            </w:r>
          </w:p>
        </w:tc>
        <w:tc>
          <w:tcPr>
            <w:tcW w:w="766" w:type="pct"/>
            <w:shd w:val="clear" w:color="auto" w:fill="auto"/>
            <w:vAlign w:val="center"/>
          </w:tcPr>
          <w:p>
            <w:pPr>
              <w:spacing w:line="240" w:lineRule="auto"/>
              <w:jc w:val="center"/>
              <w:rPr>
                <w:sz w:val="21"/>
                <w:szCs w:val="21"/>
              </w:rPr>
            </w:pPr>
            <w:r>
              <w:rPr>
                <w:sz w:val="21"/>
                <w:szCs w:val="21"/>
              </w:rPr>
              <w:t>54</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7</w:t>
            </w:r>
          </w:p>
        </w:tc>
        <w:tc>
          <w:tcPr>
            <w:tcW w:w="778" w:type="pct"/>
            <w:vAlign w:val="center"/>
          </w:tcPr>
          <w:p>
            <w:pPr>
              <w:spacing w:line="240" w:lineRule="auto"/>
              <w:jc w:val="center"/>
              <w:rPr>
                <w:sz w:val="21"/>
                <w:szCs w:val="21"/>
              </w:rPr>
            </w:pPr>
            <w:r>
              <w:rPr>
                <w:sz w:val="21"/>
                <w:szCs w:val="21"/>
              </w:rPr>
              <w:t>高明秀</w:t>
            </w:r>
          </w:p>
        </w:tc>
        <w:tc>
          <w:tcPr>
            <w:tcW w:w="851" w:type="pct"/>
            <w:vAlign w:val="center"/>
          </w:tcPr>
          <w:p>
            <w:pPr>
              <w:spacing w:line="240" w:lineRule="auto"/>
              <w:jc w:val="center"/>
              <w:rPr>
                <w:sz w:val="21"/>
                <w:szCs w:val="21"/>
              </w:rPr>
            </w:pPr>
            <w:r>
              <w:rPr>
                <w:sz w:val="21"/>
                <w:szCs w:val="21"/>
              </w:rPr>
              <w:t>副教授</w:t>
            </w:r>
          </w:p>
        </w:tc>
        <w:tc>
          <w:tcPr>
            <w:tcW w:w="766" w:type="pct"/>
            <w:shd w:val="clear" w:color="auto" w:fill="auto"/>
            <w:vAlign w:val="center"/>
          </w:tcPr>
          <w:p>
            <w:pPr>
              <w:spacing w:line="240" w:lineRule="auto"/>
              <w:jc w:val="center"/>
              <w:rPr>
                <w:sz w:val="21"/>
                <w:szCs w:val="21"/>
              </w:rPr>
            </w:pPr>
            <w:r>
              <w:rPr>
                <w:sz w:val="21"/>
                <w:szCs w:val="21"/>
              </w:rPr>
              <w:t>48</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8</w:t>
            </w:r>
          </w:p>
        </w:tc>
        <w:tc>
          <w:tcPr>
            <w:tcW w:w="778" w:type="pct"/>
            <w:vAlign w:val="center"/>
          </w:tcPr>
          <w:p>
            <w:pPr>
              <w:spacing w:line="240" w:lineRule="auto"/>
              <w:jc w:val="center"/>
              <w:rPr>
                <w:sz w:val="21"/>
                <w:szCs w:val="21"/>
              </w:rPr>
            </w:pPr>
            <w:r>
              <w:rPr>
                <w:sz w:val="21"/>
                <w:szCs w:val="21"/>
              </w:rPr>
              <w:t>朱西存</w:t>
            </w:r>
          </w:p>
        </w:tc>
        <w:tc>
          <w:tcPr>
            <w:tcW w:w="851" w:type="pct"/>
            <w:vAlign w:val="center"/>
          </w:tcPr>
          <w:p>
            <w:pPr>
              <w:spacing w:line="240" w:lineRule="auto"/>
              <w:jc w:val="center"/>
              <w:rPr>
                <w:sz w:val="21"/>
                <w:szCs w:val="21"/>
              </w:rPr>
            </w:pPr>
            <w:r>
              <w:rPr>
                <w:sz w:val="21"/>
                <w:szCs w:val="21"/>
              </w:rPr>
              <w:t>教授</w:t>
            </w:r>
          </w:p>
        </w:tc>
        <w:tc>
          <w:tcPr>
            <w:tcW w:w="766" w:type="pct"/>
            <w:shd w:val="clear" w:color="auto" w:fill="auto"/>
            <w:vAlign w:val="center"/>
          </w:tcPr>
          <w:p>
            <w:pPr>
              <w:spacing w:line="240" w:lineRule="auto"/>
              <w:jc w:val="center"/>
              <w:rPr>
                <w:sz w:val="21"/>
                <w:szCs w:val="21"/>
              </w:rPr>
            </w:pPr>
            <w:r>
              <w:rPr>
                <w:sz w:val="21"/>
                <w:szCs w:val="21"/>
              </w:rPr>
              <w:t>50</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山东师范大学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9</w:t>
            </w:r>
          </w:p>
        </w:tc>
        <w:tc>
          <w:tcPr>
            <w:tcW w:w="778" w:type="pct"/>
            <w:vAlign w:val="center"/>
          </w:tcPr>
          <w:p>
            <w:pPr>
              <w:spacing w:line="240" w:lineRule="auto"/>
              <w:jc w:val="center"/>
              <w:rPr>
                <w:sz w:val="21"/>
                <w:szCs w:val="21"/>
              </w:rPr>
            </w:pPr>
            <w:r>
              <w:rPr>
                <w:sz w:val="21"/>
                <w:szCs w:val="21"/>
              </w:rPr>
              <w:t>王瑞燕</w:t>
            </w:r>
          </w:p>
        </w:tc>
        <w:tc>
          <w:tcPr>
            <w:tcW w:w="851" w:type="pct"/>
            <w:vAlign w:val="center"/>
          </w:tcPr>
          <w:p>
            <w:pPr>
              <w:spacing w:line="240" w:lineRule="auto"/>
              <w:jc w:val="center"/>
              <w:rPr>
                <w:sz w:val="21"/>
                <w:szCs w:val="21"/>
              </w:rPr>
            </w:pPr>
            <w:r>
              <w:rPr>
                <w:sz w:val="21"/>
                <w:szCs w:val="21"/>
              </w:rPr>
              <w:t>副教授</w:t>
            </w:r>
          </w:p>
        </w:tc>
        <w:tc>
          <w:tcPr>
            <w:tcW w:w="766" w:type="pct"/>
            <w:shd w:val="clear" w:color="auto" w:fill="auto"/>
            <w:vAlign w:val="center"/>
          </w:tcPr>
          <w:p>
            <w:pPr>
              <w:spacing w:line="240" w:lineRule="auto"/>
              <w:jc w:val="center"/>
              <w:rPr>
                <w:sz w:val="21"/>
                <w:szCs w:val="21"/>
              </w:rPr>
            </w:pPr>
            <w:r>
              <w:rPr>
                <w:sz w:val="21"/>
                <w:szCs w:val="21"/>
              </w:rPr>
              <w:t>41</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10</w:t>
            </w:r>
          </w:p>
        </w:tc>
        <w:tc>
          <w:tcPr>
            <w:tcW w:w="778" w:type="pct"/>
            <w:vAlign w:val="center"/>
          </w:tcPr>
          <w:p>
            <w:pPr>
              <w:spacing w:line="240" w:lineRule="auto"/>
              <w:jc w:val="center"/>
              <w:rPr>
                <w:sz w:val="21"/>
                <w:szCs w:val="21"/>
              </w:rPr>
            </w:pPr>
            <w:r>
              <w:rPr>
                <w:sz w:val="21"/>
                <w:szCs w:val="21"/>
              </w:rPr>
              <w:t>王  凌</w:t>
            </w:r>
          </w:p>
        </w:tc>
        <w:tc>
          <w:tcPr>
            <w:tcW w:w="851" w:type="pct"/>
            <w:vAlign w:val="center"/>
          </w:tcPr>
          <w:p>
            <w:pPr>
              <w:spacing w:line="240" w:lineRule="auto"/>
              <w:jc w:val="center"/>
              <w:rPr>
                <w:sz w:val="21"/>
                <w:szCs w:val="21"/>
              </w:rPr>
            </w:pPr>
            <w:r>
              <w:rPr>
                <w:sz w:val="21"/>
                <w:szCs w:val="21"/>
              </w:rPr>
              <w:t>副教授</w:t>
            </w:r>
          </w:p>
        </w:tc>
        <w:tc>
          <w:tcPr>
            <w:tcW w:w="766" w:type="pct"/>
            <w:shd w:val="clear" w:color="auto" w:fill="auto"/>
            <w:vAlign w:val="center"/>
          </w:tcPr>
          <w:p>
            <w:pPr>
              <w:spacing w:line="240" w:lineRule="auto"/>
              <w:jc w:val="center"/>
              <w:rPr>
                <w:sz w:val="21"/>
                <w:szCs w:val="21"/>
              </w:rPr>
            </w:pPr>
            <w:r>
              <w:rPr>
                <w:sz w:val="21"/>
                <w:szCs w:val="21"/>
              </w:rPr>
              <w:t>45</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山东师范大学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11</w:t>
            </w:r>
          </w:p>
        </w:tc>
        <w:tc>
          <w:tcPr>
            <w:tcW w:w="778" w:type="pct"/>
            <w:vAlign w:val="center"/>
          </w:tcPr>
          <w:p>
            <w:pPr>
              <w:spacing w:line="240" w:lineRule="auto"/>
              <w:jc w:val="center"/>
              <w:rPr>
                <w:sz w:val="21"/>
                <w:szCs w:val="21"/>
              </w:rPr>
            </w:pPr>
            <w:r>
              <w:rPr>
                <w:sz w:val="21"/>
                <w:szCs w:val="21"/>
              </w:rPr>
              <w:t>陈红艳</w:t>
            </w:r>
          </w:p>
        </w:tc>
        <w:tc>
          <w:tcPr>
            <w:tcW w:w="851" w:type="pct"/>
            <w:vAlign w:val="center"/>
          </w:tcPr>
          <w:p>
            <w:pPr>
              <w:spacing w:line="240" w:lineRule="auto"/>
              <w:jc w:val="center"/>
              <w:rPr>
                <w:sz w:val="21"/>
                <w:szCs w:val="21"/>
              </w:rPr>
            </w:pPr>
            <w:r>
              <w:rPr>
                <w:sz w:val="21"/>
                <w:szCs w:val="21"/>
              </w:rPr>
              <w:t>副教授</w:t>
            </w:r>
          </w:p>
        </w:tc>
        <w:tc>
          <w:tcPr>
            <w:tcW w:w="766" w:type="pct"/>
            <w:shd w:val="clear" w:color="auto" w:fill="auto"/>
            <w:vAlign w:val="center"/>
          </w:tcPr>
          <w:p>
            <w:pPr>
              <w:spacing w:line="240" w:lineRule="auto"/>
              <w:jc w:val="center"/>
              <w:rPr>
                <w:sz w:val="21"/>
                <w:szCs w:val="21"/>
              </w:rPr>
            </w:pPr>
            <w:r>
              <w:rPr>
                <w:sz w:val="21"/>
                <w:szCs w:val="21"/>
              </w:rPr>
              <w:t>41</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12</w:t>
            </w:r>
          </w:p>
        </w:tc>
        <w:tc>
          <w:tcPr>
            <w:tcW w:w="778" w:type="pct"/>
            <w:vAlign w:val="center"/>
          </w:tcPr>
          <w:p>
            <w:pPr>
              <w:spacing w:line="240" w:lineRule="auto"/>
              <w:jc w:val="center"/>
              <w:rPr>
                <w:sz w:val="21"/>
                <w:szCs w:val="21"/>
              </w:rPr>
            </w:pPr>
            <w:r>
              <w:rPr>
                <w:sz w:val="21"/>
                <w:szCs w:val="21"/>
              </w:rPr>
              <w:t>牛蓓蓓</w:t>
            </w:r>
          </w:p>
        </w:tc>
        <w:tc>
          <w:tcPr>
            <w:tcW w:w="851" w:type="pct"/>
            <w:vAlign w:val="center"/>
          </w:tcPr>
          <w:p>
            <w:pPr>
              <w:spacing w:line="240" w:lineRule="auto"/>
              <w:jc w:val="center"/>
              <w:rPr>
                <w:sz w:val="21"/>
                <w:szCs w:val="21"/>
              </w:rPr>
            </w:pPr>
            <w:r>
              <w:rPr>
                <w:sz w:val="21"/>
                <w:szCs w:val="21"/>
              </w:rPr>
              <w:t>副教授</w:t>
            </w:r>
          </w:p>
        </w:tc>
        <w:tc>
          <w:tcPr>
            <w:tcW w:w="766" w:type="pct"/>
            <w:shd w:val="clear" w:color="auto" w:fill="auto"/>
            <w:vAlign w:val="center"/>
          </w:tcPr>
          <w:p>
            <w:pPr>
              <w:spacing w:line="240" w:lineRule="auto"/>
              <w:jc w:val="center"/>
              <w:rPr>
                <w:sz w:val="21"/>
                <w:szCs w:val="21"/>
              </w:rPr>
            </w:pPr>
            <w:r>
              <w:rPr>
                <w:sz w:val="21"/>
                <w:szCs w:val="21"/>
              </w:rPr>
              <w:t>34</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武汉大学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13</w:t>
            </w:r>
          </w:p>
        </w:tc>
        <w:tc>
          <w:tcPr>
            <w:tcW w:w="778" w:type="pct"/>
            <w:vAlign w:val="center"/>
          </w:tcPr>
          <w:p>
            <w:pPr>
              <w:spacing w:line="240" w:lineRule="auto"/>
              <w:jc w:val="center"/>
              <w:rPr>
                <w:sz w:val="21"/>
                <w:szCs w:val="21"/>
              </w:rPr>
            </w:pPr>
            <w:r>
              <w:rPr>
                <w:sz w:val="21"/>
                <w:szCs w:val="21"/>
              </w:rPr>
              <w:t>常春艳</w:t>
            </w:r>
          </w:p>
        </w:tc>
        <w:tc>
          <w:tcPr>
            <w:tcW w:w="851" w:type="pct"/>
            <w:vAlign w:val="center"/>
          </w:tcPr>
          <w:p>
            <w:pPr>
              <w:spacing w:line="240" w:lineRule="auto"/>
              <w:jc w:val="center"/>
              <w:rPr>
                <w:sz w:val="21"/>
                <w:szCs w:val="21"/>
              </w:rPr>
            </w:pPr>
            <w:r>
              <w:rPr>
                <w:sz w:val="21"/>
                <w:szCs w:val="21"/>
              </w:rPr>
              <w:t>讲师</w:t>
            </w:r>
          </w:p>
        </w:tc>
        <w:tc>
          <w:tcPr>
            <w:tcW w:w="766" w:type="pct"/>
            <w:shd w:val="clear" w:color="auto" w:fill="auto"/>
            <w:vAlign w:val="center"/>
          </w:tcPr>
          <w:p>
            <w:pPr>
              <w:spacing w:line="240" w:lineRule="auto"/>
              <w:jc w:val="center"/>
              <w:rPr>
                <w:sz w:val="21"/>
                <w:szCs w:val="21"/>
              </w:rPr>
            </w:pPr>
            <w:r>
              <w:rPr>
                <w:sz w:val="21"/>
                <w:szCs w:val="21"/>
              </w:rPr>
              <w:t>35</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14</w:t>
            </w:r>
          </w:p>
        </w:tc>
        <w:tc>
          <w:tcPr>
            <w:tcW w:w="778" w:type="pct"/>
            <w:vAlign w:val="center"/>
          </w:tcPr>
          <w:p>
            <w:pPr>
              <w:spacing w:line="240" w:lineRule="auto"/>
              <w:jc w:val="center"/>
              <w:rPr>
                <w:sz w:val="21"/>
                <w:szCs w:val="21"/>
              </w:rPr>
            </w:pPr>
            <w:r>
              <w:rPr>
                <w:sz w:val="21"/>
                <w:szCs w:val="21"/>
              </w:rPr>
              <w:t>于新洋</w:t>
            </w:r>
          </w:p>
        </w:tc>
        <w:tc>
          <w:tcPr>
            <w:tcW w:w="851" w:type="pct"/>
            <w:vAlign w:val="center"/>
          </w:tcPr>
          <w:p>
            <w:pPr>
              <w:spacing w:line="240" w:lineRule="auto"/>
              <w:jc w:val="center"/>
              <w:rPr>
                <w:sz w:val="21"/>
                <w:szCs w:val="21"/>
              </w:rPr>
            </w:pPr>
            <w:r>
              <w:rPr>
                <w:sz w:val="21"/>
                <w:szCs w:val="21"/>
              </w:rPr>
              <w:t>讲师</w:t>
            </w:r>
          </w:p>
        </w:tc>
        <w:tc>
          <w:tcPr>
            <w:tcW w:w="766" w:type="pct"/>
            <w:shd w:val="clear" w:color="auto" w:fill="auto"/>
            <w:vAlign w:val="center"/>
          </w:tcPr>
          <w:p>
            <w:pPr>
              <w:spacing w:line="240" w:lineRule="auto"/>
              <w:jc w:val="center"/>
              <w:rPr>
                <w:sz w:val="21"/>
                <w:szCs w:val="21"/>
              </w:rPr>
            </w:pPr>
            <w:r>
              <w:rPr>
                <w:sz w:val="21"/>
                <w:szCs w:val="21"/>
              </w:rPr>
              <w:t>34</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中国科学院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15</w:t>
            </w:r>
          </w:p>
        </w:tc>
        <w:tc>
          <w:tcPr>
            <w:tcW w:w="778" w:type="pct"/>
            <w:vAlign w:val="center"/>
          </w:tcPr>
          <w:p>
            <w:pPr>
              <w:spacing w:line="240" w:lineRule="auto"/>
              <w:jc w:val="center"/>
              <w:rPr>
                <w:sz w:val="21"/>
                <w:szCs w:val="21"/>
              </w:rPr>
            </w:pPr>
            <w:r>
              <w:rPr>
                <w:sz w:val="21"/>
                <w:szCs w:val="21"/>
              </w:rPr>
              <w:t>赵</w:t>
            </w:r>
            <w:r>
              <w:rPr>
                <w:rFonts w:hint="eastAsia"/>
                <w:sz w:val="21"/>
                <w:szCs w:val="21"/>
              </w:rPr>
              <w:t xml:space="preserve">  </w:t>
            </w:r>
            <w:r>
              <w:rPr>
                <w:sz w:val="21"/>
                <w:szCs w:val="21"/>
              </w:rPr>
              <w:t>利</w:t>
            </w:r>
          </w:p>
        </w:tc>
        <w:tc>
          <w:tcPr>
            <w:tcW w:w="851" w:type="pct"/>
            <w:vAlign w:val="center"/>
          </w:tcPr>
          <w:p>
            <w:pPr>
              <w:spacing w:line="240" w:lineRule="auto"/>
              <w:jc w:val="center"/>
              <w:rPr>
                <w:sz w:val="21"/>
                <w:szCs w:val="21"/>
              </w:rPr>
            </w:pPr>
            <w:r>
              <w:rPr>
                <w:sz w:val="21"/>
                <w:szCs w:val="21"/>
              </w:rPr>
              <w:t>讲师</w:t>
            </w:r>
          </w:p>
        </w:tc>
        <w:tc>
          <w:tcPr>
            <w:tcW w:w="766" w:type="pct"/>
            <w:shd w:val="clear" w:color="auto" w:fill="auto"/>
            <w:vAlign w:val="center"/>
          </w:tcPr>
          <w:p>
            <w:pPr>
              <w:spacing w:line="240" w:lineRule="auto"/>
              <w:jc w:val="center"/>
              <w:rPr>
                <w:sz w:val="21"/>
                <w:szCs w:val="21"/>
              </w:rPr>
            </w:pPr>
            <w:r>
              <w:rPr>
                <w:sz w:val="21"/>
                <w:szCs w:val="21"/>
              </w:rPr>
              <w:t>32</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中国石油大学（华东）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16</w:t>
            </w:r>
          </w:p>
        </w:tc>
        <w:tc>
          <w:tcPr>
            <w:tcW w:w="778" w:type="pct"/>
            <w:vAlign w:val="center"/>
          </w:tcPr>
          <w:p>
            <w:pPr>
              <w:spacing w:line="240" w:lineRule="auto"/>
              <w:jc w:val="center"/>
              <w:rPr>
                <w:sz w:val="21"/>
                <w:szCs w:val="21"/>
              </w:rPr>
            </w:pPr>
            <w:r>
              <w:rPr>
                <w:sz w:val="21"/>
                <w:szCs w:val="21"/>
              </w:rPr>
              <w:t>王卓然</w:t>
            </w:r>
          </w:p>
        </w:tc>
        <w:tc>
          <w:tcPr>
            <w:tcW w:w="851" w:type="pct"/>
            <w:vAlign w:val="center"/>
          </w:tcPr>
          <w:p>
            <w:pPr>
              <w:spacing w:line="240" w:lineRule="auto"/>
              <w:jc w:val="center"/>
              <w:rPr>
                <w:sz w:val="21"/>
                <w:szCs w:val="21"/>
              </w:rPr>
            </w:pPr>
            <w:r>
              <w:rPr>
                <w:sz w:val="21"/>
                <w:szCs w:val="21"/>
              </w:rPr>
              <w:t>讲师</w:t>
            </w:r>
          </w:p>
        </w:tc>
        <w:tc>
          <w:tcPr>
            <w:tcW w:w="766" w:type="pct"/>
            <w:shd w:val="clear" w:color="auto" w:fill="auto"/>
            <w:vAlign w:val="center"/>
          </w:tcPr>
          <w:p>
            <w:pPr>
              <w:spacing w:line="240" w:lineRule="auto"/>
              <w:jc w:val="center"/>
              <w:rPr>
                <w:sz w:val="21"/>
                <w:szCs w:val="21"/>
              </w:rPr>
            </w:pPr>
            <w:r>
              <w:rPr>
                <w:sz w:val="21"/>
                <w:szCs w:val="21"/>
              </w:rPr>
              <w:t>31</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17</w:t>
            </w:r>
          </w:p>
        </w:tc>
        <w:tc>
          <w:tcPr>
            <w:tcW w:w="778" w:type="pct"/>
            <w:vAlign w:val="center"/>
          </w:tcPr>
          <w:p>
            <w:pPr>
              <w:spacing w:line="240" w:lineRule="auto"/>
              <w:jc w:val="center"/>
              <w:rPr>
                <w:sz w:val="21"/>
                <w:szCs w:val="21"/>
              </w:rPr>
            </w:pPr>
            <w:r>
              <w:rPr>
                <w:sz w:val="21"/>
                <w:szCs w:val="21"/>
              </w:rPr>
              <w:t>闵祥宇</w:t>
            </w:r>
          </w:p>
        </w:tc>
        <w:tc>
          <w:tcPr>
            <w:tcW w:w="851" w:type="pct"/>
            <w:vAlign w:val="center"/>
          </w:tcPr>
          <w:p>
            <w:pPr>
              <w:spacing w:line="240" w:lineRule="auto"/>
              <w:jc w:val="center"/>
              <w:rPr>
                <w:sz w:val="21"/>
                <w:szCs w:val="21"/>
              </w:rPr>
            </w:pPr>
            <w:r>
              <w:rPr>
                <w:sz w:val="21"/>
                <w:szCs w:val="21"/>
              </w:rPr>
              <w:t>讲师</w:t>
            </w:r>
          </w:p>
        </w:tc>
        <w:tc>
          <w:tcPr>
            <w:tcW w:w="766" w:type="pct"/>
            <w:shd w:val="clear" w:color="auto" w:fill="auto"/>
            <w:vAlign w:val="center"/>
          </w:tcPr>
          <w:p>
            <w:pPr>
              <w:spacing w:line="240" w:lineRule="auto"/>
              <w:jc w:val="center"/>
              <w:rPr>
                <w:sz w:val="21"/>
                <w:szCs w:val="21"/>
              </w:rPr>
            </w:pPr>
            <w:r>
              <w:rPr>
                <w:sz w:val="21"/>
                <w:szCs w:val="21"/>
              </w:rPr>
              <w:t>29</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18</w:t>
            </w:r>
          </w:p>
        </w:tc>
        <w:tc>
          <w:tcPr>
            <w:tcW w:w="778" w:type="pct"/>
            <w:vAlign w:val="center"/>
          </w:tcPr>
          <w:p>
            <w:pPr>
              <w:spacing w:line="240" w:lineRule="auto"/>
              <w:jc w:val="center"/>
              <w:rPr>
                <w:sz w:val="21"/>
                <w:szCs w:val="21"/>
              </w:rPr>
            </w:pPr>
            <w:r>
              <w:rPr>
                <w:sz w:val="21"/>
                <w:szCs w:val="21"/>
              </w:rPr>
              <w:t>宋</w:t>
            </w:r>
            <w:r>
              <w:rPr>
                <w:rFonts w:hint="eastAsia"/>
                <w:sz w:val="21"/>
                <w:szCs w:val="21"/>
              </w:rPr>
              <w:t xml:space="preserve">  </w:t>
            </w:r>
            <w:r>
              <w:rPr>
                <w:sz w:val="21"/>
                <w:szCs w:val="21"/>
              </w:rPr>
              <w:t>文</w:t>
            </w:r>
          </w:p>
        </w:tc>
        <w:tc>
          <w:tcPr>
            <w:tcW w:w="851" w:type="pct"/>
            <w:vAlign w:val="center"/>
          </w:tcPr>
          <w:p>
            <w:pPr>
              <w:spacing w:line="240" w:lineRule="auto"/>
              <w:jc w:val="center"/>
              <w:rPr>
                <w:sz w:val="21"/>
                <w:szCs w:val="21"/>
              </w:rPr>
            </w:pPr>
            <w:r>
              <w:rPr>
                <w:sz w:val="21"/>
                <w:szCs w:val="21"/>
              </w:rPr>
              <w:t>讲师</w:t>
            </w:r>
          </w:p>
        </w:tc>
        <w:tc>
          <w:tcPr>
            <w:tcW w:w="766" w:type="pct"/>
            <w:shd w:val="clear" w:color="auto" w:fill="auto"/>
            <w:vAlign w:val="center"/>
          </w:tcPr>
          <w:p>
            <w:pPr>
              <w:spacing w:line="240" w:lineRule="auto"/>
              <w:jc w:val="center"/>
              <w:rPr>
                <w:sz w:val="21"/>
                <w:szCs w:val="21"/>
              </w:rPr>
            </w:pPr>
            <w:r>
              <w:rPr>
                <w:sz w:val="21"/>
                <w:szCs w:val="21"/>
              </w:rPr>
              <w:t>30</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中国地质大学（北京）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19</w:t>
            </w:r>
          </w:p>
        </w:tc>
        <w:tc>
          <w:tcPr>
            <w:tcW w:w="778" w:type="pct"/>
            <w:vAlign w:val="center"/>
          </w:tcPr>
          <w:p>
            <w:pPr>
              <w:spacing w:line="240" w:lineRule="auto"/>
              <w:jc w:val="center"/>
              <w:rPr>
                <w:sz w:val="21"/>
                <w:szCs w:val="21"/>
              </w:rPr>
            </w:pPr>
            <w:r>
              <w:rPr>
                <w:sz w:val="21"/>
                <w:szCs w:val="21"/>
              </w:rPr>
              <w:t>王莹莹</w:t>
            </w:r>
          </w:p>
        </w:tc>
        <w:tc>
          <w:tcPr>
            <w:tcW w:w="851" w:type="pct"/>
            <w:vAlign w:val="center"/>
          </w:tcPr>
          <w:p>
            <w:pPr>
              <w:spacing w:line="240" w:lineRule="auto"/>
              <w:jc w:val="center"/>
              <w:rPr>
                <w:sz w:val="21"/>
                <w:szCs w:val="21"/>
              </w:rPr>
            </w:pPr>
            <w:r>
              <w:rPr>
                <w:sz w:val="21"/>
                <w:szCs w:val="21"/>
              </w:rPr>
              <w:t>讲师</w:t>
            </w:r>
          </w:p>
        </w:tc>
        <w:tc>
          <w:tcPr>
            <w:tcW w:w="766" w:type="pct"/>
            <w:shd w:val="clear" w:color="auto" w:fill="auto"/>
            <w:vAlign w:val="center"/>
          </w:tcPr>
          <w:p>
            <w:pPr>
              <w:spacing w:line="240" w:lineRule="auto"/>
              <w:jc w:val="center"/>
              <w:rPr>
                <w:sz w:val="21"/>
                <w:szCs w:val="21"/>
              </w:rPr>
            </w:pPr>
            <w:r>
              <w:rPr>
                <w:sz w:val="21"/>
                <w:szCs w:val="21"/>
              </w:rPr>
              <w:t>29</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中国科学院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20</w:t>
            </w:r>
          </w:p>
        </w:tc>
        <w:tc>
          <w:tcPr>
            <w:tcW w:w="778" w:type="pct"/>
            <w:vAlign w:val="center"/>
          </w:tcPr>
          <w:p>
            <w:pPr>
              <w:spacing w:line="240" w:lineRule="auto"/>
              <w:jc w:val="center"/>
              <w:rPr>
                <w:sz w:val="21"/>
                <w:szCs w:val="21"/>
              </w:rPr>
            </w:pPr>
            <w:r>
              <w:rPr>
                <w:sz w:val="21"/>
                <w:szCs w:val="21"/>
              </w:rPr>
              <w:t>李俊颖</w:t>
            </w:r>
          </w:p>
        </w:tc>
        <w:tc>
          <w:tcPr>
            <w:tcW w:w="851" w:type="pct"/>
            <w:vAlign w:val="center"/>
          </w:tcPr>
          <w:p>
            <w:pPr>
              <w:spacing w:line="240" w:lineRule="auto"/>
              <w:jc w:val="center"/>
              <w:rPr>
                <w:sz w:val="21"/>
                <w:szCs w:val="21"/>
              </w:rPr>
            </w:pPr>
            <w:r>
              <w:rPr>
                <w:sz w:val="21"/>
                <w:szCs w:val="21"/>
              </w:rPr>
              <w:t>讲师</w:t>
            </w:r>
          </w:p>
        </w:tc>
        <w:tc>
          <w:tcPr>
            <w:tcW w:w="766" w:type="pct"/>
            <w:shd w:val="clear" w:color="auto" w:fill="auto"/>
            <w:vAlign w:val="center"/>
          </w:tcPr>
          <w:p>
            <w:pPr>
              <w:spacing w:line="240" w:lineRule="auto"/>
              <w:jc w:val="center"/>
              <w:rPr>
                <w:sz w:val="21"/>
                <w:szCs w:val="21"/>
              </w:rPr>
            </w:pPr>
            <w:r>
              <w:rPr>
                <w:sz w:val="21"/>
                <w:szCs w:val="21"/>
              </w:rPr>
              <w:t>29</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中国地质大学（北京）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7" w:type="pct"/>
            <w:vAlign w:val="center"/>
          </w:tcPr>
          <w:p>
            <w:pPr>
              <w:spacing w:line="240" w:lineRule="auto"/>
              <w:jc w:val="center"/>
              <w:rPr>
                <w:sz w:val="21"/>
                <w:szCs w:val="21"/>
              </w:rPr>
            </w:pPr>
            <w:r>
              <w:rPr>
                <w:sz w:val="21"/>
                <w:szCs w:val="21"/>
              </w:rPr>
              <w:t>21</w:t>
            </w:r>
          </w:p>
        </w:tc>
        <w:tc>
          <w:tcPr>
            <w:tcW w:w="778" w:type="pct"/>
            <w:vAlign w:val="center"/>
          </w:tcPr>
          <w:p>
            <w:pPr>
              <w:spacing w:line="240" w:lineRule="auto"/>
              <w:jc w:val="center"/>
              <w:rPr>
                <w:sz w:val="21"/>
                <w:szCs w:val="21"/>
              </w:rPr>
            </w:pPr>
            <w:r>
              <w:rPr>
                <w:sz w:val="21"/>
                <w:szCs w:val="21"/>
              </w:rPr>
              <w:t>徐冬云</w:t>
            </w:r>
          </w:p>
        </w:tc>
        <w:tc>
          <w:tcPr>
            <w:tcW w:w="851" w:type="pct"/>
            <w:vAlign w:val="center"/>
          </w:tcPr>
          <w:p>
            <w:pPr>
              <w:spacing w:line="240" w:lineRule="auto"/>
              <w:jc w:val="center"/>
              <w:rPr>
                <w:sz w:val="21"/>
                <w:szCs w:val="21"/>
              </w:rPr>
            </w:pPr>
            <w:r>
              <w:rPr>
                <w:sz w:val="21"/>
                <w:szCs w:val="21"/>
              </w:rPr>
              <w:t>副教授</w:t>
            </w:r>
          </w:p>
        </w:tc>
        <w:tc>
          <w:tcPr>
            <w:tcW w:w="766" w:type="pct"/>
            <w:shd w:val="clear" w:color="auto" w:fill="auto"/>
            <w:vAlign w:val="center"/>
          </w:tcPr>
          <w:p>
            <w:pPr>
              <w:spacing w:line="240" w:lineRule="auto"/>
              <w:jc w:val="center"/>
              <w:rPr>
                <w:sz w:val="21"/>
                <w:szCs w:val="21"/>
              </w:rPr>
            </w:pPr>
            <w:r>
              <w:rPr>
                <w:sz w:val="21"/>
                <w:szCs w:val="21"/>
              </w:rPr>
              <w:t>29</w:t>
            </w:r>
          </w:p>
        </w:tc>
        <w:tc>
          <w:tcPr>
            <w:tcW w:w="792" w:type="pct"/>
            <w:vAlign w:val="center"/>
          </w:tcPr>
          <w:p>
            <w:pPr>
              <w:spacing w:line="240" w:lineRule="auto"/>
              <w:jc w:val="center"/>
              <w:rPr>
                <w:sz w:val="21"/>
                <w:szCs w:val="21"/>
              </w:rPr>
            </w:pPr>
            <w:r>
              <w:rPr>
                <w:sz w:val="21"/>
                <w:szCs w:val="21"/>
              </w:rPr>
              <w:t>博士</w:t>
            </w:r>
          </w:p>
        </w:tc>
        <w:tc>
          <w:tcPr>
            <w:tcW w:w="1223" w:type="pct"/>
            <w:vAlign w:val="center"/>
          </w:tcPr>
          <w:p>
            <w:pPr>
              <w:spacing w:line="240" w:lineRule="auto"/>
              <w:jc w:val="center"/>
              <w:rPr>
                <w:sz w:val="21"/>
                <w:szCs w:val="21"/>
              </w:rPr>
            </w:pPr>
            <w:r>
              <w:rPr>
                <w:sz w:val="21"/>
                <w:szCs w:val="21"/>
              </w:rPr>
              <w:t>浙江大学</w:t>
            </w:r>
          </w:p>
        </w:tc>
      </w:tr>
    </w:tbl>
    <w:p>
      <w:pPr>
        <w:pStyle w:val="6"/>
        <w:ind w:firstLine="480"/>
      </w:pPr>
      <w:r>
        <w:t>4. 实习基地</w:t>
      </w:r>
    </w:p>
    <w:p>
      <w:pPr>
        <w:ind w:firstLine="480" w:firstLineChars="200"/>
      </w:pPr>
      <w:r>
        <w:t>本专业与肥城市、龙口市、莒南县、平邑县、泰安岱岳区、淄博市的6个地级自然资源局和苍穹数码有限公司建立了校外教学实习基地。2020年学校与苍穹数码公司联合申请教育部产学协同育人项目，共建地理信息科学实践教学基地，并签订了合作协议。校外教学基地均备有指导教师，为学生的专业课实习及毕业实习提供了良好的场所。配合自然地理学、地质学与地貌学、土壤学、地理信息系统、遥感等课程，本专业还建立了野外实习路线，包括济南、肥城、黄前等10余条教学实习路线。每年学生实地考察地质、地形、土壤、土地利用、土地整治等情况，深化课堂教学内容。除此之外，与10余家山东省地理信息公司、土地测绘公司和土地评估公司等建立了良好的合作关系。</w:t>
      </w:r>
    </w:p>
    <w:p>
      <w:pPr>
        <w:pStyle w:val="6"/>
        <w:ind w:firstLine="480"/>
      </w:pPr>
      <w:r>
        <w:t>5. 现代教学技术应用</w:t>
      </w:r>
    </w:p>
    <w:p>
      <w:pPr>
        <w:ind w:firstLine="480" w:firstLineChars="200"/>
      </w:pPr>
      <w:r>
        <w:t>本专业重视现代教学技术应用，老师应用多媒体进行课堂教学，应用网络、微信平台、短信平台、QQ平台等方式与学生进行学习交流。</w:t>
      </w:r>
    </w:p>
    <w:p>
      <w:pPr>
        <w:ind w:firstLine="480" w:firstLineChars="200"/>
      </w:pPr>
      <w:r>
        <w:t>目前本专业的课程采用多媒体教学。为了提高课堂教学效果，要求教师认真准备多媒体课件，要求内容丰富、图文并茂、格式活泼，以提高学生学习的积极性和热情。</w:t>
      </w:r>
    </w:p>
    <w:p>
      <w:pPr>
        <w:ind w:firstLine="480" w:firstLineChars="200"/>
      </w:pPr>
      <w:r>
        <w:t>随着微信平台、QQ平台的应用，鼓励教师采用现代网络平台开展辅助教学，将课程大纲、教学课件上传到平台，并经常与学生线上开展互动，及时解决学生学习中遇到的问题。鼓励教师开展慕课(MOOC)探索。</w:t>
      </w:r>
    </w:p>
    <w:p>
      <w:pPr>
        <w:pStyle w:val="5"/>
        <w:spacing w:before="93" w:after="93"/>
        <w:ind w:firstLine="560"/>
      </w:pPr>
      <w:r>
        <w:t>四、培养机制与特色（产学研协同育人机制、合作办学、教学管理等）</w:t>
      </w:r>
    </w:p>
    <w:p>
      <w:pPr>
        <w:ind w:firstLine="480" w:firstLineChars="200"/>
      </w:pPr>
      <w:r>
        <w:t>本专业借助广泛的社会资源、老师的科研课题及国家和学校设立的大学生研究训练项目开展产学研协同育人机制。利用节假日带领学生到校外教学基地考查、有关公司实习。同时邀请软件信息公司、与地理信息有关的企业等人员到学校为学生讲授软件操作与应用，对学生的业务技能进行指导，提高学生业务实践能力。学院实验室、仪器设备及相关软件，为学生的实验操作技能提供了良好条件。一部分学生可以参与到专业老师承担的国家级、省部级的课题中，锻炼学生的分析问题和解决问题的能力。</w:t>
      </w:r>
    </w:p>
    <w:p>
      <w:pPr>
        <w:pStyle w:val="5"/>
        <w:spacing w:before="93" w:after="93"/>
        <w:ind w:firstLine="560"/>
      </w:pPr>
      <w:r>
        <w:t>五、培养质量（毕业生就业率、就业专业对口率、毕业生发展情况、就业单位满意率、社会对专业的评价、学生就读该专业的意愿等）</w:t>
      </w:r>
    </w:p>
    <w:p>
      <w:pPr>
        <w:pStyle w:val="6"/>
        <w:ind w:firstLine="480"/>
      </w:pPr>
      <w:r>
        <w:t>1. 毕业生就业率</w:t>
      </w:r>
    </w:p>
    <w:p>
      <w:pPr>
        <w:ind w:firstLine="480" w:firstLineChars="200"/>
      </w:pPr>
      <w:r>
        <w:t>近5年来，本专业学生就业率平均90%以上， 2015年学生就业率达到了100%。2020年，受疫情影响，就业率有所降低。</w:t>
      </w:r>
    </w:p>
    <w:p>
      <w:pPr>
        <w:ind w:firstLine="480" w:firstLineChars="200"/>
      </w:pPr>
      <w:r>
        <w:t>每年大约有35-40%左右的学生考取硕士研究生，50%左右学生到与地理信息相关的公司工作，其余学生考取公务员、出国学习、西部计划、征兵入伍等不同形式就业或深造。2021年就业去向主要为考研和企事业单位，受大类内调剂政策影响，考研率明显下降。</w:t>
      </w:r>
    </w:p>
    <w:p>
      <w:pPr>
        <w:spacing w:line="240" w:lineRule="auto"/>
        <w:jc w:val="center"/>
        <w:rPr>
          <w:b/>
          <w:bCs/>
          <w:sz w:val="21"/>
          <w:szCs w:val="21"/>
        </w:rPr>
      </w:pPr>
      <w:r>
        <w:rPr>
          <w:b/>
          <w:bCs/>
          <w:sz w:val="21"/>
          <w:szCs w:val="21"/>
        </w:rPr>
        <w:t>表3 地理信息科学专业2020届毕业生就业明细表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7"/>
        <w:gridCol w:w="738"/>
        <w:gridCol w:w="999"/>
        <w:gridCol w:w="738"/>
        <w:gridCol w:w="999"/>
        <w:gridCol w:w="1703"/>
        <w:gridCol w:w="738"/>
        <w:gridCol w:w="1800"/>
        <w:gridCol w:w="8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0" w:type="auto"/>
            <w:shd w:val="clear" w:color="auto" w:fill="auto"/>
            <w:noWrap/>
            <w:vAlign w:val="center"/>
          </w:tcPr>
          <w:p>
            <w:pPr>
              <w:spacing w:line="240" w:lineRule="auto"/>
              <w:jc w:val="center"/>
              <w:rPr>
                <w:b/>
                <w:bCs/>
                <w:sz w:val="21"/>
                <w:szCs w:val="21"/>
              </w:rPr>
            </w:pPr>
            <w:r>
              <w:rPr>
                <w:b/>
                <w:bCs/>
                <w:sz w:val="21"/>
                <w:szCs w:val="21"/>
              </w:rPr>
              <w:t>人数</w:t>
            </w:r>
          </w:p>
        </w:tc>
        <w:tc>
          <w:tcPr>
            <w:tcW w:w="0" w:type="auto"/>
            <w:shd w:val="clear" w:color="auto" w:fill="auto"/>
            <w:noWrap/>
            <w:vAlign w:val="center"/>
          </w:tcPr>
          <w:p>
            <w:pPr>
              <w:spacing w:line="240" w:lineRule="auto"/>
              <w:jc w:val="center"/>
              <w:rPr>
                <w:b/>
                <w:bCs/>
                <w:sz w:val="21"/>
                <w:szCs w:val="21"/>
              </w:rPr>
            </w:pPr>
            <w:r>
              <w:rPr>
                <w:b/>
                <w:bCs/>
                <w:sz w:val="21"/>
                <w:szCs w:val="21"/>
              </w:rPr>
              <w:t>考研人数</w:t>
            </w:r>
          </w:p>
        </w:tc>
        <w:tc>
          <w:tcPr>
            <w:tcW w:w="0" w:type="auto"/>
            <w:shd w:val="clear" w:color="auto" w:fill="auto"/>
            <w:noWrap/>
            <w:vAlign w:val="center"/>
          </w:tcPr>
          <w:p>
            <w:pPr>
              <w:spacing w:line="240" w:lineRule="auto"/>
              <w:jc w:val="center"/>
              <w:rPr>
                <w:b/>
                <w:bCs/>
                <w:sz w:val="21"/>
                <w:szCs w:val="21"/>
              </w:rPr>
            </w:pPr>
            <w:r>
              <w:rPr>
                <w:b/>
                <w:bCs/>
                <w:sz w:val="21"/>
                <w:szCs w:val="21"/>
              </w:rPr>
              <w:t>考研率（%）</w:t>
            </w:r>
          </w:p>
        </w:tc>
        <w:tc>
          <w:tcPr>
            <w:tcW w:w="0" w:type="auto"/>
            <w:shd w:val="clear" w:color="auto" w:fill="auto"/>
            <w:noWrap/>
            <w:vAlign w:val="center"/>
          </w:tcPr>
          <w:p>
            <w:pPr>
              <w:spacing w:line="240" w:lineRule="auto"/>
              <w:jc w:val="center"/>
              <w:rPr>
                <w:b/>
                <w:bCs/>
                <w:sz w:val="21"/>
                <w:szCs w:val="21"/>
              </w:rPr>
            </w:pPr>
            <w:r>
              <w:rPr>
                <w:b/>
                <w:bCs/>
                <w:sz w:val="21"/>
                <w:szCs w:val="21"/>
              </w:rPr>
              <w:t>出国人数</w:t>
            </w:r>
          </w:p>
        </w:tc>
        <w:tc>
          <w:tcPr>
            <w:tcW w:w="0" w:type="auto"/>
            <w:shd w:val="clear" w:color="auto" w:fill="auto"/>
            <w:noWrap/>
            <w:vAlign w:val="center"/>
          </w:tcPr>
          <w:p>
            <w:pPr>
              <w:spacing w:line="240" w:lineRule="auto"/>
              <w:jc w:val="center"/>
              <w:rPr>
                <w:b/>
                <w:bCs/>
                <w:sz w:val="21"/>
                <w:szCs w:val="21"/>
              </w:rPr>
            </w:pPr>
            <w:r>
              <w:rPr>
                <w:b/>
                <w:bCs/>
                <w:sz w:val="21"/>
                <w:szCs w:val="21"/>
              </w:rPr>
              <w:t>出国率（%）</w:t>
            </w:r>
          </w:p>
        </w:tc>
        <w:tc>
          <w:tcPr>
            <w:tcW w:w="0" w:type="auto"/>
            <w:shd w:val="clear" w:color="auto" w:fill="auto"/>
            <w:noWrap/>
            <w:vAlign w:val="center"/>
          </w:tcPr>
          <w:p>
            <w:pPr>
              <w:spacing w:line="240" w:lineRule="auto"/>
              <w:jc w:val="center"/>
              <w:rPr>
                <w:b/>
                <w:bCs/>
                <w:sz w:val="21"/>
                <w:szCs w:val="21"/>
              </w:rPr>
            </w:pPr>
            <w:r>
              <w:rPr>
                <w:b/>
                <w:bCs/>
                <w:sz w:val="21"/>
                <w:szCs w:val="21"/>
              </w:rPr>
              <w:t>升学率(考研+出国）（%）</w:t>
            </w:r>
          </w:p>
        </w:tc>
        <w:tc>
          <w:tcPr>
            <w:tcW w:w="0" w:type="auto"/>
            <w:shd w:val="clear" w:color="auto" w:fill="auto"/>
            <w:noWrap/>
            <w:vAlign w:val="center"/>
          </w:tcPr>
          <w:p>
            <w:pPr>
              <w:spacing w:line="240" w:lineRule="auto"/>
              <w:jc w:val="center"/>
              <w:rPr>
                <w:b/>
                <w:bCs/>
                <w:sz w:val="21"/>
                <w:szCs w:val="21"/>
              </w:rPr>
            </w:pPr>
            <w:r>
              <w:rPr>
                <w:b/>
                <w:bCs/>
                <w:sz w:val="21"/>
                <w:szCs w:val="21"/>
              </w:rPr>
              <w:t>就业人数</w:t>
            </w:r>
          </w:p>
        </w:tc>
        <w:tc>
          <w:tcPr>
            <w:tcW w:w="0" w:type="auto"/>
            <w:shd w:val="clear" w:color="auto" w:fill="auto"/>
            <w:noWrap/>
            <w:vAlign w:val="center"/>
          </w:tcPr>
          <w:p>
            <w:pPr>
              <w:spacing w:line="240" w:lineRule="auto"/>
              <w:jc w:val="center"/>
              <w:rPr>
                <w:b/>
                <w:bCs/>
                <w:sz w:val="21"/>
                <w:szCs w:val="21"/>
              </w:rPr>
            </w:pPr>
            <w:r>
              <w:rPr>
                <w:b/>
                <w:bCs/>
                <w:sz w:val="21"/>
                <w:szCs w:val="21"/>
              </w:rPr>
              <w:t>就业率（考研+出国+就业）</w:t>
            </w:r>
          </w:p>
        </w:tc>
        <w:tc>
          <w:tcPr>
            <w:tcW w:w="0" w:type="auto"/>
            <w:shd w:val="clear" w:color="auto" w:fill="auto"/>
            <w:noWrap/>
            <w:vAlign w:val="center"/>
          </w:tcPr>
          <w:p>
            <w:pPr>
              <w:spacing w:line="240" w:lineRule="auto"/>
              <w:jc w:val="center"/>
              <w:rPr>
                <w:b/>
                <w:bCs/>
                <w:sz w:val="21"/>
                <w:szCs w:val="21"/>
              </w:rPr>
            </w:pPr>
            <w:r>
              <w:rPr>
                <w:b/>
                <w:bCs/>
                <w:sz w:val="21"/>
                <w:szCs w:val="21"/>
              </w:rPr>
              <w:t>未就业人数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0" w:type="auto"/>
            <w:shd w:val="clear" w:color="auto" w:fill="auto"/>
            <w:noWrap/>
            <w:vAlign w:val="center"/>
          </w:tcPr>
          <w:p>
            <w:pPr>
              <w:spacing w:line="240" w:lineRule="auto"/>
              <w:jc w:val="center"/>
              <w:rPr>
                <w:sz w:val="21"/>
                <w:szCs w:val="21"/>
              </w:rPr>
            </w:pPr>
            <w:r>
              <w:rPr>
                <w:sz w:val="21"/>
                <w:szCs w:val="21"/>
              </w:rPr>
              <w:t>58</w:t>
            </w:r>
          </w:p>
        </w:tc>
        <w:tc>
          <w:tcPr>
            <w:tcW w:w="0" w:type="auto"/>
            <w:shd w:val="clear" w:color="auto" w:fill="auto"/>
            <w:noWrap/>
            <w:vAlign w:val="center"/>
          </w:tcPr>
          <w:p>
            <w:pPr>
              <w:spacing w:line="240" w:lineRule="auto"/>
              <w:jc w:val="center"/>
              <w:rPr>
                <w:sz w:val="21"/>
                <w:szCs w:val="21"/>
              </w:rPr>
            </w:pPr>
            <w:r>
              <w:rPr>
                <w:sz w:val="21"/>
                <w:szCs w:val="21"/>
              </w:rPr>
              <w:t>12</w:t>
            </w:r>
          </w:p>
        </w:tc>
        <w:tc>
          <w:tcPr>
            <w:tcW w:w="0" w:type="auto"/>
            <w:shd w:val="clear" w:color="auto" w:fill="auto"/>
            <w:noWrap/>
            <w:vAlign w:val="center"/>
          </w:tcPr>
          <w:p>
            <w:pPr>
              <w:spacing w:line="240" w:lineRule="auto"/>
              <w:jc w:val="center"/>
              <w:rPr>
                <w:sz w:val="21"/>
                <w:szCs w:val="21"/>
              </w:rPr>
            </w:pPr>
            <w:r>
              <w:rPr>
                <w:sz w:val="21"/>
                <w:szCs w:val="21"/>
              </w:rPr>
              <w:t>20.69</w:t>
            </w:r>
          </w:p>
        </w:tc>
        <w:tc>
          <w:tcPr>
            <w:tcW w:w="0" w:type="auto"/>
            <w:shd w:val="clear" w:color="auto" w:fill="auto"/>
            <w:noWrap/>
            <w:vAlign w:val="center"/>
          </w:tcPr>
          <w:p>
            <w:pPr>
              <w:spacing w:line="240" w:lineRule="auto"/>
              <w:jc w:val="center"/>
              <w:rPr>
                <w:sz w:val="21"/>
                <w:szCs w:val="21"/>
              </w:rPr>
            </w:pPr>
            <w:r>
              <w:rPr>
                <w:sz w:val="21"/>
                <w:szCs w:val="21"/>
              </w:rPr>
              <w:t>0</w:t>
            </w:r>
          </w:p>
        </w:tc>
        <w:tc>
          <w:tcPr>
            <w:tcW w:w="0" w:type="auto"/>
            <w:shd w:val="clear" w:color="auto" w:fill="auto"/>
            <w:noWrap/>
            <w:vAlign w:val="center"/>
          </w:tcPr>
          <w:p>
            <w:pPr>
              <w:spacing w:line="240" w:lineRule="auto"/>
              <w:jc w:val="center"/>
              <w:rPr>
                <w:sz w:val="21"/>
                <w:szCs w:val="21"/>
              </w:rPr>
            </w:pPr>
            <w:r>
              <w:rPr>
                <w:sz w:val="21"/>
                <w:szCs w:val="21"/>
              </w:rPr>
              <w:t>0</w:t>
            </w:r>
          </w:p>
        </w:tc>
        <w:tc>
          <w:tcPr>
            <w:tcW w:w="0" w:type="auto"/>
            <w:shd w:val="clear" w:color="auto" w:fill="auto"/>
            <w:noWrap/>
            <w:vAlign w:val="center"/>
          </w:tcPr>
          <w:p>
            <w:pPr>
              <w:spacing w:line="240" w:lineRule="auto"/>
              <w:jc w:val="center"/>
              <w:rPr>
                <w:sz w:val="21"/>
                <w:szCs w:val="21"/>
              </w:rPr>
            </w:pPr>
            <w:r>
              <w:rPr>
                <w:sz w:val="21"/>
                <w:szCs w:val="21"/>
              </w:rPr>
              <w:t>20.69</w:t>
            </w:r>
          </w:p>
        </w:tc>
        <w:tc>
          <w:tcPr>
            <w:tcW w:w="0" w:type="auto"/>
            <w:shd w:val="clear" w:color="auto" w:fill="auto"/>
            <w:noWrap/>
            <w:vAlign w:val="center"/>
          </w:tcPr>
          <w:p>
            <w:pPr>
              <w:spacing w:line="240" w:lineRule="auto"/>
              <w:jc w:val="center"/>
              <w:rPr>
                <w:sz w:val="21"/>
                <w:szCs w:val="21"/>
              </w:rPr>
            </w:pPr>
            <w:r>
              <w:rPr>
                <w:sz w:val="21"/>
                <w:szCs w:val="21"/>
              </w:rPr>
              <w:t>50</w:t>
            </w:r>
          </w:p>
        </w:tc>
        <w:tc>
          <w:tcPr>
            <w:tcW w:w="0" w:type="auto"/>
            <w:shd w:val="clear" w:color="auto" w:fill="auto"/>
            <w:noWrap/>
            <w:vAlign w:val="center"/>
          </w:tcPr>
          <w:p>
            <w:pPr>
              <w:spacing w:line="240" w:lineRule="auto"/>
              <w:jc w:val="center"/>
              <w:rPr>
                <w:sz w:val="21"/>
                <w:szCs w:val="21"/>
              </w:rPr>
            </w:pPr>
            <w:r>
              <w:rPr>
                <w:sz w:val="21"/>
                <w:szCs w:val="21"/>
              </w:rPr>
              <w:t>86.21%</w:t>
            </w:r>
          </w:p>
        </w:tc>
        <w:tc>
          <w:tcPr>
            <w:tcW w:w="0" w:type="auto"/>
            <w:shd w:val="clear" w:color="auto" w:fill="auto"/>
            <w:noWrap/>
            <w:vAlign w:val="center"/>
          </w:tcPr>
          <w:p>
            <w:pPr>
              <w:spacing w:line="240" w:lineRule="auto"/>
              <w:jc w:val="center"/>
              <w:rPr>
                <w:sz w:val="21"/>
                <w:szCs w:val="21"/>
              </w:rPr>
            </w:pPr>
            <w:r>
              <w:rPr>
                <w:sz w:val="21"/>
                <w:szCs w:val="21"/>
              </w:rPr>
              <w:t>8</w:t>
            </w:r>
          </w:p>
        </w:tc>
      </w:tr>
    </w:tbl>
    <w:p>
      <w:pPr>
        <w:pStyle w:val="2"/>
        <w:ind w:left="480"/>
      </w:pPr>
    </w:p>
    <w:p>
      <w:pPr>
        <w:pStyle w:val="6"/>
        <w:ind w:firstLine="480"/>
      </w:pPr>
      <w:r>
        <w:t>2. 就业专业对口率</w:t>
      </w:r>
    </w:p>
    <w:p>
      <w:pPr>
        <w:ind w:firstLine="480" w:firstLineChars="200"/>
      </w:pPr>
      <w:r>
        <w:t>本专业85%以上的毕业学生从事与地理信息相关的工作。有的同学毕业后直接到国土资源局的信息中心工作，有的到与地理信息相关的公司工作，有的考取与地理信息相关专业的研究生。学生基本上能把学到的专业知识用到工作中。2022年，毕业生当前所在工作单位或者所从事工作岗位与所学专业对口率较高的共27人，占已就业总人数的71.05%。主要集中在山东中基地理信息科技有限公司，山东元鸿勘测规划设计有限公司，山东苍穹软件技术有限公司，山东圆正矿产科技有限公司等。</w:t>
      </w:r>
    </w:p>
    <w:p>
      <w:pPr>
        <w:pStyle w:val="6"/>
        <w:ind w:firstLine="480"/>
      </w:pPr>
      <w:r>
        <w:t>3. 毕业生发展情况</w:t>
      </w:r>
    </w:p>
    <w:p>
      <w:pPr>
        <w:ind w:firstLine="480" w:firstLineChars="200"/>
      </w:pPr>
      <w:r>
        <w:t>本专业毕业生在大学四年的学习中打下的良好业务基础和综合素质，毕业后发展情况良好。考取硕士研究生的学生，有的继续读博，有的毕业参加工作，都有了较好的发展前途，毕业后应聘到大学、科研院所、科研机构工作，大多成为了业务骨干或领导。到地理信息相关公司工作学生，几年之后基本成为业务骨干。有的学生具有一定积累和经验后，自己创业，取得了较好的成绩。</w:t>
      </w:r>
    </w:p>
    <w:p>
      <w:pPr>
        <w:pStyle w:val="6"/>
        <w:ind w:firstLine="480"/>
      </w:pPr>
      <w:r>
        <w:t>4. 就业单位满意率</w:t>
      </w:r>
    </w:p>
    <w:p>
      <w:pPr>
        <w:ind w:firstLine="480" w:firstLineChars="200"/>
      </w:pPr>
      <w:r>
        <w:t>2022年就业单位满意率为100%。本专业学生在大学期间掌握了较扎实的理论知识，硬件、软件进行了较多的实践操作，综合业务能力较强。其他高校教师反映本专业考取的硕士研究生，基础理论掌握较好，实践能力和研究能力较强；到事业单位工作的学生大多成为了业务骨干，受到了单位的好评；到公司工作的学生就能独自承担项目，成为公司的业务骨干，公司领导对本专业学生评价较高。</w:t>
      </w:r>
    </w:p>
    <w:p>
      <w:pPr>
        <w:pStyle w:val="6"/>
        <w:ind w:firstLine="480"/>
      </w:pPr>
      <w:r>
        <w:t>5. 社会对专业的评价</w:t>
      </w:r>
    </w:p>
    <w:p>
      <w:pPr>
        <w:ind w:firstLine="480" w:firstLineChars="200"/>
      </w:pPr>
      <w:r>
        <w:t>2022年社会对专业的评价为教学基础条件较为齐全，师资力量雄厚，学生业务综合素质较高，在社会上享有较高的声誉。每年有一些公司慕名来学校招聘本专业的学生到他们公司工作。</w:t>
      </w:r>
    </w:p>
    <w:p>
      <w:pPr>
        <w:pStyle w:val="6"/>
        <w:ind w:firstLine="480"/>
      </w:pPr>
      <w:r>
        <w:t>6. 学生就读该专业的意愿</w:t>
      </w:r>
    </w:p>
    <w:p>
      <w:pPr>
        <w:ind w:firstLine="480" w:firstLineChars="200"/>
      </w:pPr>
      <w:r>
        <w:rPr>
          <w:rFonts w:hint="eastAsia"/>
        </w:rPr>
        <w:t>“</w:t>
      </w:r>
      <w:r>
        <w:t>数字地球</w:t>
      </w:r>
      <w:r>
        <w:rPr>
          <w:rFonts w:hint="eastAsia"/>
        </w:rPr>
        <w:t>”</w:t>
      </w:r>
      <w:r>
        <w:t>的崛起使地理信息科学专业成为目前最热门也是被社会广泛接纳的学科领域之一。近年来，地理信息科学专业的毕业生在国际人才市场上属于热门人选，美国劳工部更是将地球空间信息科学、纳米技术和生物技术并称为未来最有发展潜力的三大技术。因此，社会对该专业人才需要较多，学生就业状况良好。学生对就读该专业的意愿较强，大多新生基本为第一志愿，基本上没有转专业的学生，每年有部分其他专业的学生转到本专业学习。</w:t>
      </w:r>
    </w:p>
    <w:p>
      <w:pPr>
        <w:pStyle w:val="5"/>
        <w:spacing w:before="93" w:after="93"/>
        <w:ind w:firstLine="560"/>
      </w:pPr>
      <w:r>
        <w:t>六、毕业生就业创业（创业情况、采取的措施、典型案例等）</w:t>
      </w:r>
    </w:p>
    <w:p>
      <w:pPr>
        <w:ind w:firstLine="480" w:firstLineChars="200"/>
      </w:pPr>
      <w:r>
        <w:t>到公司就业的学生，实际上就是创业。通过在公司工作锻炼，逐步积累经验、资本。当资源、资本、经验、机会等具备条件时，学生即可独立创业，开设公司，并逐步在同行中得到认可。</w:t>
      </w:r>
    </w:p>
    <w:p>
      <w:pPr>
        <w:pStyle w:val="5"/>
        <w:spacing w:before="93" w:after="93"/>
        <w:ind w:firstLine="560"/>
      </w:pPr>
      <w:r>
        <w:t>七、专业发展趋势及建议</w:t>
      </w:r>
    </w:p>
    <w:p>
      <w:pPr>
        <w:ind w:firstLine="480" w:firstLineChars="200"/>
      </w:pPr>
      <w:r>
        <w:t>21世纪是信息化时代，地理信息科学专业也是目前热门专业。近年来，地理信息科学专业的毕业生在在国内与国际人才市场上属于热门人选，美国劳工部更是将地球空间信息科学、纳米技术和生物技术并称为未来最有发展潜力的三大技术。因此，本专业具有较广阔的发展前景。</w:t>
      </w:r>
    </w:p>
    <w:p>
      <w:pPr>
        <w:ind w:firstLine="480" w:firstLineChars="200"/>
      </w:pPr>
      <w:r>
        <w:t>本专业理论性与实践性均较强。除了课堂上加强理论知识的传授、实验室进行操作训练外，还要多为学生提供实践的机会，以提高学生将来的就业能力和竞争力。另外，应为学生提供更多的就业信息和渠道。</w:t>
      </w:r>
    </w:p>
    <w:p>
      <w:pPr>
        <w:pStyle w:val="5"/>
        <w:spacing w:before="93" w:after="93"/>
        <w:ind w:firstLine="560"/>
      </w:pPr>
      <w:r>
        <w:t>八、存在的问题及拟采取的对策措施</w:t>
      </w:r>
    </w:p>
    <w:p>
      <w:pPr>
        <w:pStyle w:val="6"/>
        <w:ind w:firstLine="480"/>
      </w:pPr>
      <w:r>
        <w:t>1. 存在的问题</w:t>
      </w:r>
    </w:p>
    <w:p>
      <w:pPr>
        <w:ind w:firstLine="480" w:firstLineChars="200"/>
      </w:pPr>
      <w:r>
        <w:t>（1）测绘和信息专业的师资数量不足</w:t>
      </w:r>
    </w:p>
    <w:p>
      <w:pPr>
        <w:ind w:firstLine="480" w:firstLineChars="200"/>
      </w:pPr>
      <w:r>
        <w:t>测绘和信息技术是地理信息科学专业的两大关键技术，对学生的发展、就业尤为重要。目前的专业教师以地学专业和土地管理专业为主，缺乏现代测量、网络GIS开发、移动GIS开发、三维GIS、地理大数据和人工智能编程专长的教师。</w:t>
      </w:r>
    </w:p>
    <w:p>
      <w:pPr>
        <w:ind w:firstLine="480" w:firstLineChars="200"/>
      </w:pPr>
      <w:r>
        <w:t>（2）缺乏企事业方面的兼职教师</w:t>
      </w:r>
    </w:p>
    <w:p>
      <w:pPr>
        <w:ind w:firstLine="480" w:firstLineChars="200"/>
      </w:pPr>
      <w:r>
        <w:t>为了提高学生的实践能力和了解专业知识的应用，应该有企事业方面本专业的专家兼职老师。但由于种种原因，这方面一直没有突破。</w:t>
      </w:r>
    </w:p>
    <w:p>
      <w:pPr>
        <w:ind w:firstLine="480" w:firstLineChars="200"/>
      </w:pPr>
      <w:r>
        <w:t>（3）实践基地不足，学生专业实践机会较少</w:t>
      </w:r>
    </w:p>
    <w:p>
      <w:pPr>
        <w:ind w:firstLine="480" w:firstLineChars="200"/>
      </w:pPr>
      <w:r>
        <w:t>实践基地建设受到多种因素的影响，由于投入少，专业管理人员缺乏，影响了实践基地的建设，影响了学生专业实践的机会，影响了教学水平的提高，也影响了学生创新能力的提高。</w:t>
      </w:r>
    </w:p>
    <w:p>
      <w:pPr>
        <w:ind w:firstLine="480" w:firstLineChars="200"/>
      </w:pPr>
      <w:r>
        <w:t>（4）教学研究投入不足</w:t>
      </w:r>
    </w:p>
    <w:p>
      <w:pPr>
        <w:ind w:firstLine="480" w:firstLineChars="200"/>
      </w:pPr>
      <w:r>
        <w:t>切实加强教学科研研究，加大科研投入，提高教学科研能力，对教学水平的提高具有重要的作用。但目前这方面由于经费少、教师精力投入不足，不但影响了教学水平的提高，而且影响对创新性人才的培养。</w:t>
      </w:r>
    </w:p>
    <w:p>
      <w:pPr>
        <w:pStyle w:val="6"/>
        <w:ind w:firstLine="480"/>
      </w:pPr>
      <w:r>
        <w:t>2. 拟采取的对策措施</w:t>
      </w:r>
    </w:p>
    <w:p>
      <w:pPr>
        <w:ind w:firstLine="480" w:firstLineChars="200"/>
      </w:pPr>
      <w:r>
        <w:t>（1）师资队伍建设方面</w:t>
      </w:r>
    </w:p>
    <w:p>
      <w:pPr>
        <w:ind w:firstLine="480" w:firstLineChars="200"/>
      </w:pPr>
      <w:r>
        <w:t>依据培养GIS应用型人才所必须的技能需求及知识需求，着力建成一支专兼职结合由学术技术带头人、教学名师、教坛新秀、企事业技术专家等为核心的总数达25人左右的高水平的师资队伍，建设形成具有良好操控性的</w:t>
      </w:r>
      <w:r>
        <w:rPr>
          <w:rFonts w:hint="eastAsia"/>
        </w:rPr>
        <w:t>“</w:t>
      </w:r>
      <w:r>
        <w:t>内培外引并重，专职兼职共存，专业技能齐全，教学理念先进</w:t>
      </w:r>
      <w:r>
        <w:rPr>
          <w:rFonts w:hint="eastAsia"/>
        </w:rPr>
        <w:t>”</w:t>
      </w:r>
      <w:r>
        <w:t>师资队伍建设与管理模式。同时采用</w:t>
      </w:r>
      <w:r>
        <w:rPr>
          <w:rFonts w:hint="eastAsia"/>
        </w:rPr>
        <w:t>“</w:t>
      </w:r>
      <w:r>
        <w:t>请进来，送出去</w:t>
      </w:r>
      <w:r>
        <w:rPr>
          <w:rFonts w:hint="eastAsia"/>
        </w:rPr>
        <w:t>”</w:t>
      </w:r>
      <w:r>
        <w:t>的方法保证教学团队的质量，每年邀请4-6位国内外知名学者来我系进行科研及教学交流；鼓励青年教师参加国内或国际的访问学者计划，增加青年教师参加国际学术会议的机会，保证教师业务能力不断提高。</w:t>
      </w:r>
    </w:p>
    <w:p>
      <w:pPr>
        <w:ind w:firstLine="480" w:firstLineChars="200"/>
      </w:pPr>
      <w:r>
        <w:t>（2）课程与教学资源建设方面，</w:t>
      </w:r>
    </w:p>
    <w:p>
      <w:pPr>
        <w:ind w:firstLine="480" w:firstLineChars="200"/>
      </w:pPr>
      <w:r>
        <w:t>按照专业人才培养方案培养要求，坚持</w:t>
      </w:r>
      <w:r>
        <w:rPr>
          <w:rFonts w:hint="eastAsia"/>
        </w:rPr>
        <w:t>“</w:t>
      </w:r>
      <w:r>
        <w:t>明确专业技能，强化关键知识，形成核心课程</w:t>
      </w:r>
      <w:r>
        <w:rPr>
          <w:rFonts w:hint="eastAsia"/>
        </w:rPr>
        <w:t>”</w:t>
      </w:r>
      <w:r>
        <w:t>的教学资源建设理念，建设形成</w:t>
      </w:r>
      <w:r>
        <w:rPr>
          <w:rFonts w:hint="eastAsia"/>
        </w:rPr>
        <w:t>“</w:t>
      </w:r>
      <w:r>
        <w:t>结构合理，重点突出，特色鲜明，系统实用</w:t>
      </w:r>
      <w:r>
        <w:rPr>
          <w:rFonts w:hint="eastAsia"/>
        </w:rPr>
        <w:t>”</w:t>
      </w:r>
      <w:r>
        <w:t>的GIS应用型人才培养课程体系和以GIS应用技能为核心的3-5门系列教材及开放课程。</w:t>
      </w:r>
    </w:p>
    <w:p>
      <w:pPr>
        <w:ind w:firstLine="480" w:firstLineChars="200"/>
      </w:pPr>
      <w:r>
        <w:t>（3）教学方式方法改革方面，</w:t>
      </w:r>
    </w:p>
    <w:p>
      <w:pPr>
        <w:ind w:firstLine="480" w:firstLineChars="200"/>
      </w:pPr>
      <w:r>
        <w:t>不断完善GIS专业的教学模式，建立启发与探究相结合、验证与讨论相结合、项目导向与技术创新相结合、参与生产与技能定级相结合的实践教学模式。同时充分利用现代网络通讯技术，建立</w:t>
      </w:r>
      <w:r>
        <w:rPr>
          <w:rFonts w:hint="eastAsia"/>
        </w:rPr>
        <w:t>“</w:t>
      </w:r>
      <w:r>
        <w:t>鼓励学生自主选择学习方式，重点考核其知识水平及技能等级</w:t>
      </w:r>
      <w:r>
        <w:rPr>
          <w:rFonts w:hint="eastAsia"/>
        </w:rPr>
        <w:t>”</w:t>
      </w:r>
      <w:r>
        <w:t>为主的新型教学管理模式。</w:t>
      </w:r>
    </w:p>
    <w:p>
      <w:pPr>
        <w:ind w:firstLine="480" w:firstLineChars="200"/>
      </w:pPr>
      <w:r>
        <w:t>（4）实验室建设</w:t>
      </w:r>
    </w:p>
    <w:p>
      <w:pPr>
        <w:ind w:firstLine="480" w:firstLineChars="200"/>
      </w:pPr>
      <w:r>
        <w:t>进一步加大实验室投入力度，利用国家与省级重点实验室和重点学科等多渠道经费不断更新试验设备，扩大大型仪器设备数量，提高利用率，建立开放与有偿使用机制。</w:t>
      </w:r>
    </w:p>
    <w:p>
      <w:pPr>
        <w:ind w:firstLine="480" w:firstLineChars="200"/>
      </w:pPr>
      <w:r>
        <w:t>（5）实践教学环节</w:t>
      </w:r>
    </w:p>
    <w:p>
      <w:pPr>
        <w:ind w:firstLine="480" w:firstLineChars="200"/>
      </w:pPr>
      <w:r>
        <w:t>改革完善以</w:t>
      </w:r>
      <w:r>
        <w:rPr>
          <w:rFonts w:hint="eastAsia"/>
        </w:rPr>
        <w:t>“</w:t>
      </w:r>
      <w:r>
        <w:t>GIS认识性实习—课程实验—操作课程—生产实习—创新活动</w:t>
      </w:r>
      <w:r>
        <w:rPr>
          <w:rFonts w:hint="eastAsia"/>
        </w:rPr>
        <w:t>”</w:t>
      </w:r>
      <w:r>
        <w:t>为主线的实践教学模式，按照培养具有专业素养、实践能力、创新意识的GIS应用型人才的需要，着力建设好以能力培养为主的校内、校外两个实践平台和实践教学素材库，重点在校企、校政共建实习基地方面探索建立一套切实有效的合作机制。</w:t>
      </w:r>
    </w:p>
    <w:p>
      <w:r>
        <w:br w:type="page"/>
      </w:r>
    </w:p>
    <w:p>
      <w:pPr>
        <w:pStyle w:val="4"/>
        <w:ind w:firstLine="600"/>
      </w:pPr>
      <w:bookmarkStart w:id="126" w:name="_Toc4965"/>
      <w:bookmarkStart w:id="127" w:name="_Toc6198"/>
      <w:bookmarkStart w:id="128" w:name="_Toc19639"/>
      <w:bookmarkStart w:id="129" w:name="_Toc23568"/>
      <w:bookmarkStart w:id="130" w:name="_Toc18539"/>
      <w:r>
        <w:rPr>
          <w:rFonts w:hint="eastAsia"/>
          <w:lang w:val="en-US"/>
        </w:rPr>
        <w:t>专业十一：</w:t>
      </w:r>
      <w:r>
        <w:t>环境工程</w:t>
      </w:r>
      <w:bookmarkEnd w:id="126"/>
      <w:bookmarkEnd w:id="127"/>
      <w:bookmarkEnd w:id="128"/>
      <w:bookmarkEnd w:id="129"/>
      <w:bookmarkEnd w:id="130"/>
    </w:p>
    <w:p>
      <w:pPr>
        <w:pStyle w:val="5"/>
        <w:spacing w:before="93" w:after="93"/>
        <w:ind w:firstLine="560"/>
      </w:pPr>
      <w:r>
        <w:t>一、人才培养目标</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本专业培养具有环境工程的基本知识和技能、具有清洁生产与可持续发展理念，具备水、气、声、固体废物等污染防治和给排水工程、环境规划和资源保护等方面的知识，具有进行污染控制工程的设计及运营管理能力，制定环境规划和进行环境管理的能力，以及环境工程方面的新理论、新工艺和新设备的研究和开发能力，能在政府部门、规划部门、经济管理部门、环保部门、设计单位、工矿企业、科研单位、学校等从事规划、设计、管理、教育和研究开发方面工作的应用型、复合型环境工程高级工程技术人才。</w:t>
      </w:r>
    </w:p>
    <w:p>
      <w:pPr>
        <w:pStyle w:val="5"/>
        <w:spacing w:before="93" w:after="93"/>
        <w:ind w:firstLine="560"/>
      </w:pPr>
      <w:r>
        <w:t>二、培养能力（专业设置情况、在校生规模、课程设置情况、创新创业教育等）</w:t>
      </w:r>
    </w:p>
    <w:p>
      <w:pPr>
        <w:pStyle w:val="6"/>
        <w:ind w:firstLine="480"/>
      </w:pPr>
      <w:r>
        <w:t>1</w:t>
      </w:r>
      <w:r>
        <w:rPr>
          <w:rFonts w:hint="eastAsia"/>
        </w:rPr>
        <w:t xml:space="preserve">. </w:t>
      </w:r>
      <w:r>
        <w:t>专业设置情况</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环境工程专业源于1985年的农业环境保护专业，2000年申报环境科学专业，2001年环境科学专业第一届本科生招生。2007年环境工程专业申请，2008年开始第一届环境工程本科生招生，本科学制为4年，学习年限为3－8年，按要求完成学业者授予工学学士学位。2003年申报环境科学硕士点，2004年环境科学硕士第一届招生。2007年申报环境工程硕士点，2008年环境工程硕士第一届招生。2009年申报环境工程专业硕士点，2010年环境工程专业硕士第一届招生。2010年申报环境科学与工程一级硕士点成功。</w:t>
      </w:r>
    </w:p>
    <w:p>
      <w:pPr>
        <w:pStyle w:val="6"/>
        <w:ind w:firstLine="480"/>
      </w:pPr>
      <w:r>
        <w:t>2</w:t>
      </w:r>
      <w:r>
        <w:rPr>
          <w:rFonts w:hint="eastAsia"/>
        </w:rPr>
        <w:t xml:space="preserve">. </w:t>
      </w:r>
      <w:r>
        <w:t>在校生规模</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本专业每年招生2个班级，每个班级人数保持在30人左右，在校生为4个年级8个班级。目前在校生情况如下表，合计155人，2022级大类招生还未选择专业。</w:t>
      </w:r>
    </w:p>
    <w:p>
      <w:pPr>
        <w:spacing w:line="240" w:lineRule="auto"/>
        <w:jc w:val="center"/>
        <w:rPr>
          <w:b/>
          <w:bCs/>
          <w:sz w:val="21"/>
          <w:szCs w:val="21"/>
        </w:rPr>
      </w:pPr>
      <w:r>
        <w:rPr>
          <w:b/>
          <w:bCs/>
          <w:sz w:val="21"/>
          <w:szCs w:val="21"/>
        </w:rPr>
        <w:t>表1  环境科学专业在校生规模</w:t>
      </w:r>
    </w:p>
    <w:tbl>
      <w:tblPr>
        <w:tblStyle w:val="17"/>
        <w:tblW w:w="8304" w:type="dxa"/>
        <w:jc w:val="center"/>
        <w:tblLayout w:type="fixed"/>
        <w:tblCellMar>
          <w:top w:w="0" w:type="dxa"/>
          <w:left w:w="0" w:type="dxa"/>
          <w:bottom w:w="0" w:type="dxa"/>
          <w:right w:w="0" w:type="dxa"/>
        </w:tblCellMar>
      </w:tblPr>
      <w:tblGrid>
        <w:gridCol w:w="1384"/>
        <w:gridCol w:w="1300"/>
        <w:gridCol w:w="1275"/>
        <w:gridCol w:w="1276"/>
        <w:gridCol w:w="1843"/>
        <w:gridCol w:w="1226"/>
      </w:tblGrid>
      <w:tr>
        <w:tblPrEx>
          <w:tblCellMar>
            <w:top w:w="0" w:type="dxa"/>
            <w:left w:w="0" w:type="dxa"/>
            <w:bottom w:w="0" w:type="dxa"/>
            <w:right w:w="0" w:type="dxa"/>
          </w:tblCellMar>
        </w:tblPrEx>
        <w:trPr>
          <w:cantSplit/>
          <w:trHeight w:val="305" w:hRule="atLeast"/>
          <w:jc w:val="center"/>
        </w:trPr>
        <w:tc>
          <w:tcPr>
            <w:tcW w:w="1384" w:type="dxa"/>
            <w:tcBorders>
              <w:top w:val="single" w:color="000000" w:sz="8" w:space="0"/>
              <w:left w:val="single" w:color="000000" w:sz="8" w:space="0"/>
              <w:bottom w:val="single" w:color="000000" w:sz="8" w:space="0"/>
              <w:right w:val="single" w:color="000000" w:sz="8" w:space="0"/>
            </w:tcBorders>
            <w:tcMar>
              <w:top w:w="72" w:type="dxa"/>
              <w:left w:w="144" w:type="dxa"/>
              <w:bottom w:w="72" w:type="dxa"/>
              <w:right w:w="144" w:type="dxa"/>
            </w:tcMar>
            <w:vAlign w:val="center"/>
          </w:tcPr>
          <w:p>
            <w:pPr>
              <w:spacing w:line="240" w:lineRule="auto"/>
              <w:jc w:val="center"/>
              <w:rPr>
                <w:sz w:val="21"/>
                <w:szCs w:val="21"/>
              </w:rPr>
            </w:pPr>
            <w:r>
              <w:rPr>
                <w:sz w:val="21"/>
                <w:szCs w:val="21"/>
              </w:rPr>
              <w:t>年  份</w:t>
            </w:r>
          </w:p>
        </w:tc>
        <w:tc>
          <w:tcPr>
            <w:tcW w:w="1300" w:type="dxa"/>
            <w:tcBorders>
              <w:top w:val="single" w:color="000000" w:sz="8" w:space="0"/>
              <w:left w:val="single" w:color="000000" w:sz="8" w:space="0"/>
              <w:bottom w:val="single" w:color="000000" w:sz="8" w:space="0"/>
              <w:right w:val="single" w:color="000000" w:sz="8" w:space="0"/>
            </w:tcBorders>
            <w:tcMar>
              <w:top w:w="72" w:type="dxa"/>
              <w:left w:w="144" w:type="dxa"/>
              <w:bottom w:w="72" w:type="dxa"/>
              <w:right w:w="144" w:type="dxa"/>
            </w:tcMar>
            <w:vAlign w:val="center"/>
          </w:tcPr>
          <w:p>
            <w:pPr>
              <w:spacing w:line="240" w:lineRule="auto"/>
              <w:jc w:val="center"/>
              <w:rPr>
                <w:sz w:val="21"/>
                <w:szCs w:val="21"/>
              </w:rPr>
            </w:pPr>
            <w:r>
              <w:rPr>
                <w:sz w:val="21"/>
                <w:szCs w:val="21"/>
              </w:rPr>
              <w:t>2019</w:t>
            </w:r>
          </w:p>
        </w:tc>
        <w:tc>
          <w:tcPr>
            <w:tcW w:w="1275" w:type="dxa"/>
            <w:tcBorders>
              <w:top w:val="single" w:color="000000" w:sz="8" w:space="0"/>
              <w:left w:val="single" w:color="000000" w:sz="8" w:space="0"/>
              <w:bottom w:val="single" w:color="000000" w:sz="8" w:space="0"/>
              <w:right w:val="single" w:color="000000" w:sz="8" w:space="0"/>
            </w:tcBorders>
            <w:tcMar>
              <w:top w:w="72" w:type="dxa"/>
              <w:left w:w="144" w:type="dxa"/>
              <w:bottom w:w="72" w:type="dxa"/>
              <w:right w:w="144" w:type="dxa"/>
            </w:tcMar>
            <w:vAlign w:val="center"/>
          </w:tcPr>
          <w:p>
            <w:pPr>
              <w:spacing w:line="240" w:lineRule="auto"/>
              <w:jc w:val="center"/>
              <w:rPr>
                <w:sz w:val="21"/>
                <w:szCs w:val="21"/>
              </w:rPr>
            </w:pPr>
            <w:r>
              <w:rPr>
                <w:sz w:val="21"/>
                <w:szCs w:val="21"/>
              </w:rPr>
              <w:t>2020</w:t>
            </w:r>
          </w:p>
        </w:tc>
        <w:tc>
          <w:tcPr>
            <w:tcW w:w="1276" w:type="dxa"/>
            <w:tcBorders>
              <w:top w:val="single" w:color="000000" w:sz="8" w:space="0"/>
              <w:left w:val="single" w:color="000000" w:sz="8" w:space="0"/>
              <w:bottom w:val="single" w:color="000000" w:sz="8" w:space="0"/>
              <w:right w:val="single" w:color="000000" w:sz="8" w:space="0"/>
            </w:tcBorders>
            <w:tcMar>
              <w:top w:w="72" w:type="dxa"/>
              <w:left w:w="144" w:type="dxa"/>
              <w:bottom w:w="72" w:type="dxa"/>
              <w:right w:w="144" w:type="dxa"/>
            </w:tcMar>
            <w:vAlign w:val="center"/>
          </w:tcPr>
          <w:p>
            <w:pPr>
              <w:spacing w:line="240" w:lineRule="auto"/>
              <w:jc w:val="center"/>
              <w:rPr>
                <w:sz w:val="21"/>
                <w:szCs w:val="21"/>
              </w:rPr>
            </w:pPr>
            <w:r>
              <w:rPr>
                <w:sz w:val="21"/>
                <w:szCs w:val="21"/>
              </w:rPr>
              <w:t>2021</w:t>
            </w:r>
          </w:p>
        </w:tc>
        <w:tc>
          <w:tcPr>
            <w:tcW w:w="1843" w:type="dxa"/>
            <w:tcBorders>
              <w:top w:val="single" w:color="000000" w:sz="8" w:space="0"/>
              <w:left w:val="single" w:color="000000" w:sz="8" w:space="0"/>
              <w:bottom w:val="single" w:color="000000" w:sz="8" w:space="0"/>
              <w:right w:val="single" w:color="000000" w:sz="8" w:space="0"/>
            </w:tcBorders>
            <w:tcMar>
              <w:top w:w="72" w:type="dxa"/>
              <w:left w:w="144" w:type="dxa"/>
              <w:bottom w:w="72" w:type="dxa"/>
              <w:right w:w="144" w:type="dxa"/>
            </w:tcMar>
            <w:vAlign w:val="center"/>
          </w:tcPr>
          <w:p>
            <w:pPr>
              <w:spacing w:line="240" w:lineRule="auto"/>
              <w:jc w:val="center"/>
              <w:rPr>
                <w:sz w:val="21"/>
                <w:szCs w:val="21"/>
              </w:rPr>
            </w:pPr>
            <w:r>
              <w:rPr>
                <w:sz w:val="21"/>
                <w:szCs w:val="21"/>
              </w:rPr>
              <w:t>2022</w:t>
            </w:r>
          </w:p>
        </w:tc>
        <w:tc>
          <w:tcPr>
            <w:tcW w:w="1226" w:type="dxa"/>
            <w:tcBorders>
              <w:top w:val="single" w:color="000000" w:sz="8" w:space="0"/>
              <w:left w:val="single" w:color="000000" w:sz="8" w:space="0"/>
              <w:bottom w:val="single" w:color="000000" w:sz="8" w:space="0"/>
              <w:right w:val="single" w:color="000000" w:sz="8" w:space="0"/>
            </w:tcBorders>
            <w:tcMar>
              <w:top w:w="72" w:type="dxa"/>
              <w:left w:w="144" w:type="dxa"/>
              <w:bottom w:w="72" w:type="dxa"/>
              <w:right w:w="144" w:type="dxa"/>
            </w:tcMar>
            <w:vAlign w:val="center"/>
          </w:tcPr>
          <w:p>
            <w:pPr>
              <w:spacing w:line="240" w:lineRule="auto"/>
              <w:jc w:val="center"/>
              <w:rPr>
                <w:sz w:val="21"/>
                <w:szCs w:val="21"/>
              </w:rPr>
            </w:pPr>
            <w:r>
              <w:rPr>
                <w:sz w:val="21"/>
                <w:szCs w:val="21"/>
              </w:rPr>
              <w:t>合计</w:t>
            </w:r>
          </w:p>
        </w:tc>
      </w:tr>
      <w:tr>
        <w:tblPrEx>
          <w:tblCellMar>
            <w:top w:w="0" w:type="dxa"/>
            <w:left w:w="0" w:type="dxa"/>
            <w:bottom w:w="0" w:type="dxa"/>
            <w:right w:w="0" w:type="dxa"/>
          </w:tblCellMar>
        </w:tblPrEx>
        <w:trPr>
          <w:cantSplit/>
          <w:trHeight w:val="305" w:hRule="atLeast"/>
          <w:jc w:val="center"/>
        </w:trPr>
        <w:tc>
          <w:tcPr>
            <w:tcW w:w="1384" w:type="dxa"/>
            <w:tcBorders>
              <w:top w:val="single" w:color="000000" w:sz="8" w:space="0"/>
              <w:left w:val="single" w:color="000000" w:sz="8" w:space="0"/>
              <w:bottom w:val="single" w:color="000000" w:sz="8" w:space="0"/>
              <w:right w:val="single" w:color="000000" w:sz="8" w:space="0"/>
            </w:tcBorders>
            <w:tcMar>
              <w:top w:w="72" w:type="dxa"/>
              <w:left w:w="144" w:type="dxa"/>
              <w:bottom w:w="72" w:type="dxa"/>
              <w:right w:w="144" w:type="dxa"/>
            </w:tcMar>
            <w:vAlign w:val="center"/>
          </w:tcPr>
          <w:p>
            <w:pPr>
              <w:spacing w:line="240" w:lineRule="auto"/>
              <w:jc w:val="center"/>
              <w:rPr>
                <w:sz w:val="21"/>
                <w:szCs w:val="21"/>
              </w:rPr>
            </w:pPr>
            <w:r>
              <w:rPr>
                <w:sz w:val="21"/>
                <w:szCs w:val="21"/>
              </w:rPr>
              <w:t>学生人数</w:t>
            </w:r>
          </w:p>
        </w:tc>
        <w:tc>
          <w:tcPr>
            <w:tcW w:w="1300" w:type="dxa"/>
            <w:tcBorders>
              <w:top w:val="single" w:color="000000" w:sz="8" w:space="0"/>
              <w:left w:val="single" w:color="000000" w:sz="8" w:space="0"/>
              <w:bottom w:val="single" w:color="000000" w:sz="8" w:space="0"/>
              <w:right w:val="single" w:color="000000" w:sz="8" w:space="0"/>
            </w:tcBorders>
            <w:vAlign w:val="center"/>
          </w:tcPr>
          <w:p>
            <w:pPr>
              <w:spacing w:line="240" w:lineRule="auto"/>
              <w:jc w:val="center"/>
              <w:rPr>
                <w:sz w:val="21"/>
                <w:szCs w:val="21"/>
              </w:rPr>
            </w:pPr>
            <w:r>
              <w:rPr>
                <w:sz w:val="21"/>
                <w:szCs w:val="21"/>
              </w:rPr>
              <w:t>63</w:t>
            </w:r>
          </w:p>
        </w:tc>
        <w:tc>
          <w:tcPr>
            <w:tcW w:w="1275" w:type="dxa"/>
            <w:tcBorders>
              <w:top w:val="single" w:color="000000" w:sz="8" w:space="0"/>
              <w:left w:val="single" w:color="000000" w:sz="8" w:space="0"/>
              <w:bottom w:val="single" w:color="000000" w:sz="8" w:space="0"/>
              <w:right w:val="single" w:color="000000" w:sz="8" w:space="0"/>
            </w:tcBorders>
            <w:vAlign w:val="center"/>
          </w:tcPr>
          <w:p>
            <w:pPr>
              <w:spacing w:line="240" w:lineRule="auto"/>
              <w:jc w:val="center"/>
              <w:rPr>
                <w:sz w:val="21"/>
                <w:szCs w:val="21"/>
              </w:rPr>
            </w:pPr>
            <w:r>
              <w:rPr>
                <w:sz w:val="21"/>
                <w:szCs w:val="21"/>
              </w:rPr>
              <w:t>49</w:t>
            </w:r>
          </w:p>
        </w:tc>
        <w:tc>
          <w:tcPr>
            <w:tcW w:w="1276" w:type="dxa"/>
            <w:tcBorders>
              <w:top w:val="single" w:color="000000" w:sz="8" w:space="0"/>
              <w:left w:val="single" w:color="000000" w:sz="8" w:space="0"/>
              <w:bottom w:val="single" w:color="000000" w:sz="8" w:space="0"/>
              <w:right w:val="single" w:color="000000" w:sz="8" w:space="0"/>
            </w:tcBorders>
            <w:vAlign w:val="center"/>
          </w:tcPr>
          <w:p>
            <w:pPr>
              <w:spacing w:line="240" w:lineRule="auto"/>
              <w:jc w:val="center"/>
              <w:rPr>
                <w:sz w:val="21"/>
                <w:szCs w:val="21"/>
              </w:rPr>
            </w:pPr>
            <w:r>
              <w:rPr>
                <w:sz w:val="21"/>
                <w:szCs w:val="21"/>
              </w:rPr>
              <w:t>43</w:t>
            </w:r>
          </w:p>
        </w:tc>
        <w:tc>
          <w:tcPr>
            <w:tcW w:w="1843" w:type="dxa"/>
            <w:tcBorders>
              <w:top w:val="single" w:color="000000" w:sz="8" w:space="0"/>
              <w:left w:val="single" w:color="000000" w:sz="8" w:space="0"/>
              <w:bottom w:val="single" w:color="000000" w:sz="8" w:space="0"/>
              <w:right w:val="single" w:color="000000" w:sz="8" w:space="0"/>
            </w:tcBorders>
            <w:vAlign w:val="center"/>
          </w:tcPr>
          <w:p>
            <w:pPr>
              <w:spacing w:line="240" w:lineRule="auto"/>
              <w:jc w:val="center"/>
              <w:rPr>
                <w:sz w:val="21"/>
                <w:szCs w:val="21"/>
              </w:rPr>
            </w:pPr>
            <w:r>
              <w:rPr>
                <w:sz w:val="21"/>
                <w:szCs w:val="21"/>
              </w:rPr>
              <w:t>环境类大类招生</w:t>
            </w:r>
          </w:p>
        </w:tc>
        <w:tc>
          <w:tcPr>
            <w:tcW w:w="1226"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spacing w:line="240" w:lineRule="auto"/>
              <w:jc w:val="center"/>
              <w:rPr>
                <w:sz w:val="21"/>
                <w:szCs w:val="21"/>
              </w:rPr>
            </w:pPr>
            <w:r>
              <w:rPr>
                <w:sz w:val="21"/>
                <w:szCs w:val="21"/>
              </w:rPr>
              <w:t>155</w:t>
            </w:r>
          </w:p>
        </w:tc>
      </w:tr>
    </w:tbl>
    <w:p>
      <w:pPr>
        <w:ind w:firstLine="480" w:firstLineChars="200"/>
        <w:rPr>
          <w:color w:val="000000" w:themeColor="text1"/>
          <w14:textFill>
            <w14:solidFill>
              <w14:schemeClr w14:val="tx1"/>
            </w14:solidFill>
          </w14:textFill>
        </w:rPr>
      </w:pPr>
    </w:p>
    <w:p>
      <w:pPr>
        <w:pStyle w:val="6"/>
        <w:ind w:firstLine="480"/>
      </w:pPr>
      <w:r>
        <w:t>3</w:t>
      </w:r>
      <w:r>
        <w:rPr>
          <w:rFonts w:hint="eastAsia"/>
        </w:rPr>
        <w:t xml:space="preserve">. </w:t>
      </w:r>
      <w:r>
        <w:t>课程设置情况</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在校生2016级执行2015年度新修订的《环境工程本科专业人才培养方案》。该方案分为课程学习和实践教学环节两大部分，总共170学分。课程学习环节的学分共135.5，其中必修课102.5学分，占课程总学分的75.6%；选修课33学分，占课程总学分的24.4%。实践教学环节总学分为34.5学分，占毕业总学分的20.3%。主要课程包括工程力学、工程流体力学、环境工程微生物学、无机与分析化学、环境工程原理、物理化学与胶体化学、环境监测、水污染控制工程、大气污染控制工程、土壤污染修复工程、固体废物处理与资源化。实践环节包括基础实践、专业实践和综合实践三部分。其中专业实践包括：环境工程认识实习、环境工程综合实习（水、气、监测等）、水污染控制课程设计、大气污染控制课程设计、土壤污染修复工程课程设计、环境工程原理课程设计等。2017级本科生开始执行2017年度新修订的《环境工程本科专业人才培养方案》，毕业总学分174学分。其中，必修课总学分102.5；选修课学分33；实践教学学分（实验课11.6学分，实践34.5学分），占总学分26.5%。2018级本科生开始执行2018年度新修订的《环境工程本科专业人才培养方案》，毕业总学分170学分。</w:t>
      </w:r>
    </w:p>
    <w:p>
      <w:pPr>
        <w:pStyle w:val="6"/>
        <w:ind w:firstLine="480"/>
      </w:pPr>
      <w:r>
        <w:t>4</w:t>
      </w:r>
      <w:r>
        <w:rPr>
          <w:rFonts w:hint="eastAsia"/>
        </w:rPr>
        <w:t xml:space="preserve">. </w:t>
      </w:r>
      <w:r>
        <w:t>创新创业教育</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学院积极重视大学生创新创业教育，把创新创业教育作为深化教育教学改革的重要内容纳入教学计划，在人才培养方案中加入创业教育内容，完善创新创业教育体系；坚持</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全力支持、全程指导、全员覆盖</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理念，实施课堂教育、专家传道、课外实践</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三位一体</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的教育模式，组织指导教师，专门对学生创新创业进行指导，并对优秀指导教师进行适当奖励；积极为大学生创新创业搭建平台，鼓励大学生申报国家级大学生创新创业训练计划项目、大学生创新创业引领计划（SIEG）项目、大学生研究训练计划（SRT）项目，组织大学生创新创业团队参加</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挑战杯</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大学生创业计划大赛、泰安市大学生科技创新行动计划和学风建设精品工程等大学生创新创业实践活动；积极为学生开展创新创业活动提供支持，设立专项经费支持大学生开展国家大学生创新创业训练计划项目、参加大学生创业计划大赛等活动，拨付专项资金，为创业团队购买甲醛测定仪、实验台、空气净化器等仪器设备；加强实验室开放管理，从实验场所、仪器设备使用等方面给予全力支持，尽力协调，保证大学生创新创业活动的应用。学院结合资源利用、环境保护，利用本专业的特长，鼓励成立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室内装修主要气体污染物含量测定团队</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PM2.5滤网开发创业团队</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为代表的优秀创业团队。学生组建的绿领一族环保协会2021年获评全国高校活力团支部，2022年再度起航；多次获</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互联网+</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大学生创新创业大赛省级奖</w:t>
      </w:r>
      <w:r>
        <w:rPr>
          <w:rFonts w:hint="eastAsia"/>
          <w:color w:val="000000" w:themeColor="text1"/>
          <w14:textFill>
            <w14:solidFill>
              <w14:schemeClr w14:val="tx1"/>
            </w14:solidFill>
          </w14:textFill>
        </w:rPr>
        <w:t>；张依诺主持的“点膜成金一植物源包膜控释肥助力乡村产业振兴”第十三届“挑战杯”建设银行山东省大学生创业计划竞赛，省级银奖。</w:t>
      </w:r>
    </w:p>
    <w:p>
      <w:pPr>
        <w:pStyle w:val="5"/>
        <w:spacing w:before="93" w:after="93"/>
        <w:ind w:firstLine="560"/>
      </w:pPr>
      <w:r>
        <w:t>三、培养条件（教学经费投入、教学设备、教师队伍建设、实习基地、现代教学技术应用等）</w:t>
      </w:r>
    </w:p>
    <w:p>
      <w:pPr>
        <w:pStyle w:val="6"/>
        <w:ind w:firstLine="480"/>
      </w:pPr>
      <w:r>
        <w:t>1</w:t>
      </w:r>
      <w:r>
        <w:rPr>
          <w:rFonts w:hint="eastAsia"/>
        </w:rPr>
        <w:t xml:space="preserve">. </w:t>
      </w:r>
      <w:r>
        <w:t>教学经费投入</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学校和学院加大了对本专业仪器设备、软件及日常教学等各种教学投入，保证教学通畅，提高教学质量。自2011年，共投入超过85万元购买本科教学仪器设备，满足教学急需的比如六联电动搅拌机、电导率仪、台式高速冷冻离心机等基本仪器设备；而且还购置了污染物检测的高水平仪器——气相色谱仪，环境工程研究必需的大气综合采样器、板式静电除尘器、一体化洗涤喷淋塔、活性炭气体吸附装置、固体废料风力分选实验装置、垃圾填埋模拟装置、臭氧处理装置等大气处理、废水处理、固废处理等需要的仪器设备，进一步满足教学需要。2018年结合省资助地方高校本科科研实验方面的项目，新增了30多万的仪器设备。日常教学投入也进一步加大，如教学实习、实验室维护、维修、日常实验材料购置等，近3年共投入约10万元支付日常教学需要。</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2022年，资源与环境学院实验教学中心通过政府贴息贷款项目申购5083台套仪器设备、教学设施，共计2197万元；另外采购《城市污水处理3D仿真工厂》《垃圾填埋场填埋仿真软件》《区域监测虚拟仿真软件》等虚拟仿真教学系统14套共计182万元；该项目将通过淘汰替换、补充扩容、新增提升，极大改善教学条件和实验条件。日常教学投入也进一步加大，如教学实习、实验室维护、维修、日常实验材料购置等。</w:t>
      </w:r>
    </w:p>
    <w:p>
      <w:pPr>
        <w:pStyle w:val="6"/>
        <w:ind w:firstLine="480"/>
      </w:pPr>
      <w:r>
        <w:t>2</w:t>
      </w:r>
      <w:r>
        <w:rPr>
          <w:rFonts w:hint="eastAsia"/>
        </w:rPr>
        <w:t xml:space="preserve">. </w:t>
      </w:r>
      <w:r>
        <w:t>教学设备</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近年购置的用于本专业教学设备：数字电热恒温鼓风干燥箱、分光光度计、微控数显电热板、液氮罐、台式恒温水浴振荡器、六联电动搅拌机、高压蒸气灭菌锅、生化培养箱、台式高速冷冻离心机、电导率仪、气相色谱仪、总有机碳/总氮分析仪、水质快速测测仪、红外测油仪、多功能声级计、实时信号分析仪、浊度仪、大气综合采样器、板式静电除尘器、一体化洗涤喷淋塔、活性炭气体吸附装置、固体废料风力分选实验装置、垃圾填埋模拟装置、臭氧处理装置、全自动微型压力气浮实验装置、反渗透实验装置、污泥比阻测定装置、多功能厌氧生物反应器。</w:t>
      </w:r>
    </w:p>
    <w:p>
      <w:pPr>
        <w:pStyle w:val="6"/>
        <w:ind w:firstLine="480"/>
      </w:pPr>
      <w:r>
        <w:t>3</w:t>
      </w:r>
      <w:r>
        <w:rPr>
          <w:rFonts w:hint="eastAsia"/>
        </w:rPr>
        <w:t xml:space="preserve">. </w:t>
      </w:r>
      <w:r>
        <w:t>教师队伍建设</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本专业校内教师28名，具有博士学位25人，环境影响评价工程师资格的10人（见表1）。其中教授5人，副教授17人，讲师6人。从年龄结构上看，50岁以上6人，41-50岁9人，31-40岁11人，30岁及以下2人，可以看出，本学科师资是以中青年为主的。其中博士学位的25人分别毕业于浙江大学、上海交通大学、南开大学、河海大学、华东师范大学和山东农业大学等学校和单位，具有很好的学源结构以及指导研究生的丰富经验。</w:t>
      </w:r>
    </w:p>
    <w:p>
      <w:pPr>
        <w:spacing w:line="240" w:lineRule="auto"/>
        <w:jc w:val="center"/>
        <w:rPr>
          <w:b/>
          <w:bCs/>
          <w:sz w:val="21"/>
          <w:szCs w:val="21"/>
        </w:rPr>
      </w:pPr>
      <w:r>
        <w:rPr>
          <w:b/>
          <w:bCs/>
          <w:sz w:val="21"/>
          <w:szCs w:val="21"/>
        </w:rPr>
        <w:t>表2  教师队伍情况</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8"/>
        <w:gridCol w:w="995"/>
        <w:gridCol w:w="1243"/>
        <w:gridCol w:w="1105"/>
        <w:gridCol w:w="3070"/>
        <w:gridCol w:w="1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860" w:type="pct"/>
          </w:tcPr>
          <w:p>
            <w:pPr>
              <w:spacing w:line="240" w:lineRule="auto"/>
              <w:jc w:val="center"/>
              <w:rPr>
                <w:b/>
                <w:bCs/>
                <w:sz w:val="21"/>
                <w:szCs w:val="21"/>
              </w:rPr>
            </w:pPr>
            <w:bookmarkStart w:id="131" w:name="OLE_LINK7"/>
            <w:r>
              <w:rPr>
                <w:b/>
                <w:bCs/>
                <w:sz w:val="21"/>
                <w:szCs w:val="21"/>
              </w:rPr>
              <w:t>姓</w:t>
            </w:r>
            <w:r>
              <w:rPr>
                <w:rFonts w:hint="eastAsia"/>
                <w:b/>
                <w:bCs/>
                <w:sz w:val="21"/>
                <w:szCs w:val="21"/>
              </w:rPr>
              <w:t xml:space="preserve">  </w:t>
            </w:r>
            <w:r>
              <w:rPr>
                <w:b/>
                <w:bCs/>
                <w:sz w:val="21"/>
                <w:szCs w:val="21"/>
              </w:rPr>
              <w:t>名</w:t>
            </w:r>
          </w:p>
        </w:tc>
        <w:tc>
          <w:tcPr>
            <w:tcW w:w="549" w:type="pct"/>
          </w:tcPr>
          <w:p>
            <w:pPr>
              <w:spacing w:line="240" w:lineRule="auto"/>
              <w:jc w:val="center"/>
              <w:rPr>
                <w:b/>
                <w:bCs/>
                <w:sz w:val="21"/>
                <w:szCs w:val="21"/>
              </w:rPr>
            </w:pPr>
            <w:r>
              <w:rPr>
                <w:b/>
                <w:bCs/>
                <w:sz w:val="21"/>
                <w:szCs w:val="21"/>
              </w:rPr>
              <w:t>年龄</w:t>
            </w:r>
          </w:p>
        </w:tc>
        <w:tc>
          <w:tcPr>
            <w:tcW w:w="686" w:type="pct"/>
          </w:tcPr>
          <w:p>
            <w:pPr>
              <w:spacing w:line="240" w:lineRule="auto"/>
              <w:jc w:val="center"/>
              <w:rPr>
                <w:b/>
                <w:bCs/>
                <w:sz w:val="21"/>
                <w:szCs w:val="21"/>
              </w:rPr>
            </w:pPr>
            <w:r>
              <w:rPr>
                <w:b/>
                <w:bCs/>
                <w:sz w:val="21"/>
                <w:szCs w:val="21"/>
              </w:rPr>
              <w:t>职称</w:t>
            </w:r>
          </w:p>
        </w:tc>
        <w:tc>
          <w:tcPr>
            <w:tcW w:w="610" w:type="pct"/>
          </w:tcPr>
          <w:p>
            <w:pPr>
              <w:spacing w:line="240" w:lineRule="auto"/>
              <w:jc w:val="center"/>
              <w:rPr>
                <w:b/>
                <w:bCs/>
                <w:sz w:val="21"/>
                <w:szCs w:val="21"/>
              </w:rPr>
            </w:pPr>
            <w:r>
              <w:rPr>
                <w:b/>
                <w:bCs/>
                <w:sz w:val="21"/>
                <w:szCs w:val="21"/>
              </w:rPr>
              <w:t>学位</w:t>
            </w:r>
          </w:p>
        </w:tc>
        <w:tc>
          <w:tcPr>
            <w:tcW w:w="1694" w:type="pct"/>
          </w:tcPr>
          <w:p>
            <w:pPr>
              <w:spacing w:line="240" w:lineRule="auto"/>
              <w:jc w:val="center"/>
              <w:rPr>
                <w:b/>
                <w:bCs/>
                <w:sz w:val="21"/>
                <w:szCs w:val="21"/>
              </w:rPr>
            </w:pPr>
            <w:r>
              <w:rPr>
                <w:b/>
                <w:bCs/>
                <w:sz w:val="21"/>
                <w:szCs w:val="21"/>
              </w:rPr>
              <w:t>毕业院校</w:t>
            </w:r>
          </w:p>
        </w:tc>
        <w:tc>
          <w:tcPr>
            <w:tcW w:w="599" w:type="pct"/>
          </w:tcPr>
          <w:p>
            <w:pPr>
              <w:spacing w:line="240" w:lineRule="auto"/>
              <w:jc w:val="center"/>
              <w:rPr>
                <w:b/>
                <w:bCs/>
                <w:sz w:val="21"/>
                <w:szCs w:val="21"/>
              </w:rPr>
            </w:pPr>
            <w:r>
              <w:rPr>
                <w:b/>
                <w:bCs/>
                <w:sz w:val="21"/>
                <w:szCs w:val="21"/>
              </w:rPr>
              <w:t>校内导师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朱鲁生</w:t>
            </w:r>
          </w:p>
        </w:tc>
        <w:tc>
          <w:tcPr>
            <w:tcW w:w="549" w:type="pct"/>
          </w:tcPr>
          <w:p>
            <w:pPr>
              <w:spacing w:line="240" w:lineRule="auto"/>
              <w:jc w:val="center"/>
              <w:rPr>
                <w:sz w:val="21"/>
                <w:szCs w:val="21"/>
              </w:rPr>
            </w:pPr>
            <w:r>
              <w:rPr>
                <w:sz w:val="21"/>
                <w:szCs w:val="21"/>
              </w:rPr>
              <w:t>58</w:t>
            </w:r>
          </w:p>
        </w:tc>
        <w:tc>
          <w:tcPr>
            <w:tcW w:w="686" w:type="pct"/>
          </w:tcPr>
          <w:p>
            <w:pPr>
              <w:spacing w:line="240" w:lineRule="auto"/>
              <w:jc w:val="center"/>
              <w:rPr>
                <w:sz w:val="21"/>
                <w:szCs w:val="21"/>
              </w:rPr>
            </w:pPr>
            <w:r>
              <w:rPr>
                <w:sz w:val="21"/>
                <w:szCs w:val="21"/>
              </w:rPr>
              <w:t>教授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浙江大学</w:t>
            </w:r>
          </w:p>
        </w:tc>
        <w:tc>
          <w:tcPr>
            <w:tcW w:w="599" w:type="pct"/>
          </w:tcPr>
          <w:p>
            <w:pPr>
              <w:spacing w:line="240" w:lineRule="auto"/>
              <w:jc w:val="center"/>
              <w:rPr>
                <w:sz w:val="21"/>
                <w:szCs w:val="21"/>
              </w:rPr>
            </w:pPr>
            <w:r>
              <w:rPr>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王</w:t>
            </w:r>
            <w:r>
              <w:rPr>
                <w:rFonts w:hint="eastAsia"/>
                <w:sz w:val="21"/>
                <w:szCs w:val="21"/>
              </w:rPr>
              <w:t xml:space="preserve">  </w:t>
            </w:r>
            <w:r>
              <w:rPr>
                <w:sz w:val="21"/>
                <w:szCs w:val="21"/>
              </w:rPr>
              <w:t>军</w:t>
            </w:r>
          </w:p>
        </w:tc>
        <w:tc>
          <w:tcPr>
            <w:tcW w:w="549" w:type="pct"/>
          </w:tcPr>
          <w:p>
            <w:pPr>
              <w:spacing w:line="240" w:lineRule="auto"/>
              <w:jc w:val="center"/>
              <w:rPr>
                <w:sz w:val="21"/>
                <w:szCs w:val="21"/>
              </w:rPr>
            </w:pPr>
            <w:r>
              <w:rPr>
                <w:sz w:val="21"/>
                <w:szCs w:val="21"/>
              </w:rPr>
              <w:t>44</w:t>
            </w:r>
          </w:p>
        </w:tc>
        <w:tc>
          <w:tcPr>
            <w:tcW w:w="686" w:type="pct"/>
          </w:tcPr>
          <w:p>
            <w:pPr>
              <w:spacing w:line="240" w:lineRule="auto"/>
              <w:jc w:val="center"/>
              <w:rPr>
                <w:sz w:val="21"/>
                <w:szCs w:val="21"/>
              </w:rPr>
            </w:pPr>
            <w:r>
              <w:rPr>
                <w:sz w:val="21"/>
                <w:szCs w:val="21"/>
              </w:rPr>
              <w:t>教授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山东农业大学</w:t>
            </w:r>
          </w:p>
        </w:tc>
        <w:tc>
          <w:tcPr>
            <w:tcW w:w="599" w:type="pct"/>
          </w:tcPr>
          <w:p>
            <w:pPr>
              <w:spacing w:line="240" w:lineRule="auto"/>
              <w:jc w:val="center"/>
              <w:rPr>
                <w:sz w:val="21"/>
                <w:szCs w:val="21"/>
              </w:rPr>
            </w:pPr>
            <w:r>
              <w:rPr>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王金花</w:t>
            </w:r>
          </w:p>
        </w:tc>
        <w:tc>
          <w:tcPr>
            <w:tcW w:w="549" w:type="pct"/>
          </w:tcPr>
          <w:p>
            <w:pPr>
              <w:spacing w:line="240" w:lineRule="auto"/>
              <w:jc w:val="center"/>
              <w:rPr>
                <w:sz w:val="21"/>
                <w:szCs w:val="21"/>
              </w:rPr>
            </w:pPr>
            <w:r>
              <w:rPr>
                <w:sz w:val="21"/>
                <w:szCs w:val="21"/>
              </w:rPr>
              <w:t>43</w:t>
            </w:r>
          </w:p>
        </w:tc>
        <w:tc>
          <w:tcPr>
            <w:tcW w:w="686" w:type="pct"/>
          </w:tcPr>
          <w:p>
            <w:pPr>
              <w:spacing w:line="240" w:lineRule="auto"/>
              <w:jc w:val="center"/>
              <w:rPr>
                <w:sz w:val="21"/>
                <w:szCs w:val="21"/>
              </w:rPr>
            </w:pPr>
            <w:r>
              <w:rPr>
                <w:sz w:val="21"/>
                <w:szCs w:val="21"/>
              </w:rPr>
              <w:t>教授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上海交通大学</w:t>
            </w:r>
          </w:p>
        </w:tc>
        <w:tc>
          <w:tcPr>
            <w:tcW w:w="599" w:type="pct"/>
          </w:tcPr>
          <w:p>
            <w:pPr>
              <w:spacing w:line="240" w:lineRule="auto"/>
              <w:jc w:val="center"/>
              <w:rPr>
                <w:sz w:val="21"/>
                <w:szCs w:val="21"/>
              </w:rPr>
            </w:pPr>
            <w:r>
              <w:rPr>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付伟章</w:t>
            </w:r>
          </w:p>
        </w:tc>
        <w:tc>
          <w:tcPr>
            <w:tcW w:w="549" w:type="pct"/>
          </w:tcPr>
          <w:p>
            <w:pPr>
              <w:spacing w:line="240" w:lineRule="auto"/>
              <w:jc w:val="center"/>
              <w:rPr>
                <w:sz w:val="21"/>
                <w:szCs w:val="21"/>
              </w:rPr>
            </w:pPr>
            <w:r>
              <w:rPr>
                <w:sz w:val="21"/>
                <w:szCs w:val="21"/>
              </w:rPr>
              <w:t>49</w:t>
            </w:r>
          </w:p>
        </w:tc>
        <w:tc>
          <w:tcPr>
            <w:tcW w:w="686" w:type="pct"/>
          </w:tcPr>
          <w:p>
            <w:pPr>
              <w:spacing w:line="240" w:lineRule="auto"/>
              <w:jc w:val="center"/>
              <w:rPr>
                <w:sz w:val="21"/>
                <w:szCs w:val="21"/>
              </w:rPr>
            </w:pPr>
            <w:r>
              <w:rPr>
                <w:sz w:val="21"/>
                <w:szCs w:val="21"/>
              </w:rPr>
              <w:t>教授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山东农业大学</w:t>
            </w:r>
          </w:p>
        </w:tc>
        <w:tc>
          <w:tcPr>
            <w:tcW w:w="599" w:type="pct"/>
          </w:tcPr>
          <w:p>
            <w:pPr>
              <w:spacing w:line="240" w:lineRule="auto"/>
              <w:jc w:val="center"/>
              <w:rPr>
                <w:sz w:val="21"/>
                <w:szCs w:val="21"/>
              </w:rPr>
            </w:pPr>
            <w:r>
              <w:rPr>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shd w:val="clear" w:color="auto" w:fill="auto"/>
          </w:tcPr>
          <w:p>
            <w:pPr>
              <w:spacing w:line="240" w:lineRule="auto"/>
              <w:jc w:val="center"/>
              <w:rPr>
                <w:sz w:val="21"/>
                <w:szCs w:val="21"/>
              </w:rPr>
            </w:pPr>
            <w:r>
              <w:rPr>
                <w:sz w:val="21"/>
                <w:szCs w:val="21"/>
              </w:rPr>
              <w:t>焦树英</w:t>
            </w:r>
          </w:p>
        </w:tc>
        <w:tc>
          <w:tcPr>
            <w:tcW w:w="549" w:type="pct"/>
            <w:shd w:val="clear" w:color="auto" w:fill="auto"/>
          </w:tcPr>
          <w:p>
            <w:pPr>
              <w:spacing w:line="240" w:lineRule="auto"/>
              <w:jc w:val="center"/>
              <w:rPr>
                <w:sz w:val="21"/>
                <w:szCs w:val="21"/>
              </w:rPr>
            </w:pPr>
            <w:r>
              <w:rPr>
                <w:sz w:val="21"/>
                <w:szCs w:val="21"/>
              </w:rPr>
              <w:t>43</w:t>
            </w:r>
          </w:p>
        </w:tc>
        <w:tc>
          <w:tcPr>
            <w:tcW w:w="686" w:type="pct"/>
            <w:shd w:val="clear" w:color="auto" w:fill="auto"/>
          </w:tcPr>
          <w:p>
            <w:pPr>
              <w:spacing w:line="240" w:lineRule="auto"/>
              <w:jc w:val="center"/>
              <w:rPr>
                <w:sz w:val="21"/>
                <w:szCs w:val="21"/>
              </w:rPr>
            </w:pPr>
            <w:r>
              <w:rPr>
                <w:sz w:val="21"/>
                <w:szCs w:val="21"/>
              </w:rPr>
              <w:t>教授</w:t>
            </w:r>
          </w:p>
        </w:tc>
        <w:tc>
          <w:tcPr>
            <w:tcW w:w="610" w:type="pct"/>
            <w:shd w:val="clear" w:color="auto" w:fill="auto"/>
          </w:tcPr>
          <w:p>
            <w:pPr>
              <w:spacing w:line="240" w:lineRule="auto"/>
              <w:jc w:val="center"/>
              <w:rPr>
                <w:sz w:val="21"/>
                <w:szCs w:val="21"/>
              </w:rPr>
            </w:pPr>
            <w:r>
              <w:rPr>
                <w:sz w:val="21"/>
                <w:szCs w:val="21"/>
              </w:rPr>
              <w:t>博士</w:t>
            </w:r>
          </w:p>
        </w:tc>
        <w:tc>
          <w:tcPr>
            <w:tcW w:w="1694" w:type="pct"/>
            <w:shd w:val="clear" w:color="auto" w:fill="auto"/>
          </w:tcPr>
          <w:p>
            <w:pPr>
              <w:spacing w:line="240" w:lineRule="auto"/>
              <w:jc w:val="center"/>
              <w:rPr>
                <w:sz w:val="21"/>
                <w:szCs w:val="21"/>
              </w:rPr>
            </w:pPr>
            <w:r>
              <w:rPr>
                <w:sz w:val="21"/>
                <w:szCs w:val="21"/>
              </w:rPr>
              <w:t>内蒙古农业大学</w:t>
            </w:r>
          </w:p>
        </w:tc>
        <w:tc>
          <w:tcPr>
            <w:tcW w:w="599" w:type="pct"/>
          </w:tcPr>
          <w:p>
            <w:pPr>
              <w:spacing w:line="240" w:lineRule="auto"/>
              <w:jc w:val="center"/>
              <w:rPr>
                <w:sz w:val="21"/>
                <w:szCs w:val="21"/>
              </w:rPr>
            </w:pPr>
            <w:r>
              <w:rPr>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李光德</w:t>
            </w:r>
          </w:p>
        </w:tc>
        <w:tc>
          <w:tcPr>
            <w:tcW w:w="549" w:type="pct"/>
          </w:tcPr>
          <w:p>
            <w:pPr>
              <w:spacing w:line="240" w:lineRule="auto"/>
              <w:jc w:val="center"/>
              <w:rPr>
                <w:sz w:val="21"/>
                <w:szCs w:val="21"/>
              </w:rPr>
            </w:pPr>
            <w:r>
              <w:rPr>
                <w:sz w:val="21"/>
                <w:szCs w:val="21"/>
              </w:rPr>
              <w:t>59</w:t>
            </w:r>
          </w:p>
        </w:tc>
        <w:tc>
          <w:tcPr>
            <w:tcW w:w="686" w:type="pct"/>
          </w:tcPr>
          <w:p>
            <w:pPr>
              <w:spacing w:line="240" w:lineRule="auto"/>
              <w:jc w:val="center"/>
              <w:rPr>
                <w:sz w:val="21"/>
                <w:szCs w:val="21"/>
              </w:rPr>
            </w:pPr>
            <w:r>
              <w:rPr>
                <w:sz w:val="21"/>
                <w:szCs w:val="21"/>
              </w:rPr>
              <w:t>副教授</w:t>
            </w:r>
          </w:p>
        </w:tc>
        <w:tc>
          <w:tcPr>
            <w:tcW w:w="610" w:type="pct"/>
          </w:tcPr>
          <w:p>
            <w:pPr>
              <w:spacing w:line="240" w:lineRule="auto"/>
              <w:jc w:val="center"/>
              <w:rPr>
                <w:sz w:val="21"/>
                <w:szCs w:val="21"/>
              </w:rPr>
            </w:pPr>
            <w:r>
              <w:rPr>
                <w:sz w:val="21"/>
                <w:szCs w:val="21"/>
              </w:rPr>
              <w:t>学士</w:t>
            </w:r>
          </w:p>
        </w:tc>
        <w:tc>
          <w:tcPr>
            <w:tcW w:w="1694" w:type="pct"/>
          </w:tcPr>
          <w:p>
            <w:pPr>
              <w:spacing w:line="240" w:lineRule="auto"/>
              <w:jc w:val="center"/>
              <w:rPr>
                <w:sz w:val="21"/>
                <w:szCs w:val="21"/>
              </w:rPr>
            </w:pPr>
            <w:r>
              <w:rPr>
                <w:sz w:val="21"/>
                <w:szCs w:val="21"/>
              </w:rPr>
              <w:t>山东农业大学</w:t>
            </w:r>
          </w:p>
        </w:tc>
        <w:tc>
          <w:tcPr>
            <w:tcW w:w="599" w:type="pct"/>
          </w:tcPr>
          <w:p>
            <w:pPr>
              <w:spacing w:line="240" w:lineRule="auto"/>
              <w:jc w:val="center"/>
              <w:rPr>
                <w:sz w:val="21"/>
                <w:szCs w:val="21"/>
              </w:rPr>
            </w:pPr>
            <w:r>
              <w:rPr>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徐玉新</w:t>
            </w:r>
          </w:p>
        </w:tc>
        <w:tc>
          <w:tcPr>
            <w:tcW w:w="549" w:type="pct"/>
          </w:tcPr>
          <w:p>
            <w:pPr>
              <w:spacing w:line="240" w:lineRule="auto"/>
              <w:jc w:val="center"/>
              <w:rPr>
                <w:sz w:val="21"/>
                <w:szCs w:val="21"/>
              </w:rPr>
            </w:pPr>
            <w:r>
              <w:rPr>
                <w:sz w:val="21"/>
                <w:szCs w:val="21"/>
              </w:rPr>
              <w:t>54</w:t>
            </w:r>
          </w:p>
        </w:tc>
        <w:tc>
          <w:tcPr>
            <w:tcW w:w="686" w:type="pct"/>
          </w:tcPr>
          <w:p>
            <w:pPr>
              <w:spacing w:line="240" w:lineRule="auto"/>
              <w:jc w:val="center"/>
              <w:rPr>
                <w:sz w:val="21"/>
                <w:szCs w:val="21"/>
              </w:rPr>
            </w:pPr>
            <w:r>
              <w:rPr>
                <w:sz w:val="21"/>
                <w:szCs w:val="21"/>
              </w:rPr>
              <w:t>副教授</w:t>
            </w:r>
          </w:p>
        </w:tc>
        <w:tc>
          <w:tcPr>
            <w:tcW w:w="610" w:type="pct"/>
          </w:tcPr>
          <w:p>
            <w:pPr>
              <w:spacing w:line="240" w:lineRule="auto"/>
              <w:jc w:val="center"/>
              <w:rPr>
                <w:sz w:val="21"/>
                <w:szCs w:val="21"/>
              </w:rPr>
            </w:pPr>
            <w:r>
              <w:rPr>
                <w:sz w:val="21"/>
                <w:szCs w:val="21"/>
              </w:rPr>
              <w:t>硕士</w:t>
            </w:r>
          </w:p>
        </w:tc>
        <w:tc>
          <w:tcPr>
            <w:tcW w:w="1694" w:type="pct"/>
          </w:tcPr>
          <w:p>
            <w:pPr>
              <w:spacing w:line="240" w:lineRule="auto"/>
              <w:jc w:val="center"/>
              <w:rPr>
                <w:sz w:val="21"/>
                <w:szCs w:val="21"/>
              </w:rPr>
            </w:pPr>
            <w:r>
              <w:rPr>
                <w:sz w:val="21"/>
                <w:szCs w:val="21"/>
              </w:rPr>
              <w:t>山东农业大学</w:t>
            </w:r>
          </w:p>
        </w:tc>
        <w:tc>
          <w:tcPr>
            <w:tcW w:w="599" w:type="pct"/>
          </w:tcPr>
          <w:p>
            <w:pPr>
              <w:spacing w:line="240" w:lineRule="auto"/>
              <w:jc w:val="center"/>
              <w:rPr>
                <w:sz w:val="21"/>
                <w:szCs w:val="21"/>
              </w:rPr>
            </w:pPr>
            <w:r>
              <w:rPr>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王玉军</w:t>
            </w:r>
          </w:p>
        </w:tc>
        <w:tc>
          <w:tcPr>
            <w:tcW w:w="549" w:type="pct"/>
          </w:tcPr>
          <w:p>
            <w:pPr>
              <w:spacing w:line="240" w:lineRule="auto"/>
              <w:jc w:val="center"/>
              <w:rPr>
                <w:sz w:val="21"/>
                <w:szCs w:val="21"/>
              </w:rPr>
            </w:pPr>
            <w:r>
              <w:rPr>
                <w:sz w:val="21"/>
                <w:szCs w:val="21"/>
              </w:rPr>
              <w:t>58</w:t>
            </w:r>
          </w:p>
        </w:tc>
        <w:tc>
          <w:tcPr>
            <w:tcW w:w="686" w:type="pct"/>
          </w:tcPr>
          <w:p>
            <w:pPr>
              <w:spacing w:line="240" w:lineRule="auto"/>
              <w:jc w:val="center"/>
              <w:rPr>
                <w:sz w:val="21"/>
                <w:szCs w:val="21"/>
              </w:rPr>
            </w:pPr>
            <w:r>
              <w:rPr>
                <w:sz w:val="21"/>
                <w:szCs w:val="21"/>
              </w:rPr>
              <w:t>副教授</w:t>
            </w:r>
          </w:p>
        </w:tc>
        <w:tc>
          <w:tcPr>
            <w:tcW w:w="610" w:type="pct"/>
          </w:tcPr>
          <w:p>
            <w:pPr>
              <w:spacing w:line="240" w:lineRule="auto"/>
              <w:jc w:val="center"/>
              <w:rPr>
                <w:sz w:val="21"/>
                <w:szCs w:val="21"/>
              </w:rPr>
            </w:pPr>
            <w:r>
              <w:rPr>
                <w:sz w:val="21"/>
                <w:szCs w:val="21"/>
              </w:rPr>
              <w:t>学士</w:t>
            </w:r>
          </w:p>
        </w:tc>
        <w:tc>
          <w:tcPr>
            <w:tcW w:w="1694" w:type="pct"/>
          </w:tcPr>
          <w:p>
            <w:pPr>
              <w:spacing w:line="240" w:lineRule="auto"/>
              <w:jc w:val="center"/>
              <w:rPr>
                <w:sz w:val="21"/>
                <w:szCs w:val="21"/>
              </w:rPr>
            </w:pPr>
            <w:r>
              <w:rPr>
                <w:sz w:val="21"/>
                <w:szCs w:val="21"/>
              </w:rPr>
              <w:t>青岛建筑工程学院</w:t>
            </w:r>
          </w:p>
        </w:tc>
        <w:tc>
          <w:tcPr>
            <w:tcW w:w="599" w:type="pct"/>
          </w:tcPr>
          <w:p>
            <w:pPr>
              <w:spacing w:line="240" w:lineRule="auto"/>
              <w:jc w:val="center"/>
              <w:rPr>
                <w:sz w:val="21"/>
                <w:szCs w:val="21"/>
              </w:rPr>
            </w:pPr>
            <w:r>
              <w:rPr>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孙淑娟</w:t>
            </w:r>
          </w:p>
        </w:tc>
        <w:tc>
          <w:tcPr>
            <w:tcW w:w="549" w:type="pct"/>
          </w:tcPr>
          <w:p>
            <w:pPr>
              <w:spacing w:line="240" w:lineRule="auto"/>
              <w:jc w:val="center"/>
              <w:rPr>
                <w:sz w:val="21"/>
                <w:szCs w:val="21"/>
              </w:rPr>
            </w:pPr>
            <w:r>
              <w:rPr>
                <w:sz w:val="21"/>
                <w:szCs w:val="21"/>
              </w:rPr>
              <w:t>48</w:t>
            </w:r>
          </w:p>
        </w:tc>
        <w:tc>
          <w:tcPr>
            <w:tcW w:w="686" w:type="pct"/>
          </w:tcPr>
          <w:p>
            <w:pPr>
              <w:spacing w:line="240" w:lineRule="auto"/>
              <w:jc w:val="center"/>
              <w:rPr>
                <w:sz w:val="21"/>
                <w:szCs w:val="21"/>
              </w:rPr>
            </w:pPr>
            <w:r>
              <w:rPr>
                <w:sz w:val="21"/>
                <w:szCs w:val="21"/>
              </w:rPr>
              <w:t>副教授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南开大学</w:t>
            </w:r>
          </w:p>
        </w:tc>
        <w:tc>
          <w:tcPr>
            <w:tcW w:w="599" w:type="pct"/>
          </w:tcPr>
          <w:p>
            <w:pPr>
              <w:spacing w:line="240" w:lineRule="auto"/>
              <w:jc w:val="center"/>
              <w:rPr>
                <w:sz w:val="21"/>
                <w:szCs w:val="21"/>
              </w:rPr>
            </w:pPr>
            <w:r>
              <w:rPr>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王凤花</w:t>
            </w:r>
          </w:p>
        </w:tc>
        <w:tc>
          <w:tcPr>
            <w:tcW w:w="549" w:type="pct"/>
          </w:tcPr>
          <w:p>
            <w:pPr>
              <w:spacing w:line="240" w:lineRule="auto"/>
              <w:jc w:val="center"/>
              <w:rPr>
                <w:sz w:val="21"/>
                <w:szCs w:val="21"/>
              </w:rPr>
            </w:pPr>
            <w:r>
              <w:rPr>
                <w:sz w:val="21"/>
                <w:szCs w:val="21"/>
              </w:rPr>
              <w:t>41</w:t>
            </w:r>
          </w:p>
        </w:tc>
        <w:tc>
          <w:tcPr>
            <w:tcW w:w="686" w:type="pct"/>
          </w:tcPr>
          <w:p>
            <w:pPr>
              <w:spacing w:line="240" w:lineRule="auto"/>
              <w:jc w:val="center"/>
              <w:rPr>
                <w:sz w:val="21"/>
                <w:szCs w:val="21"/>
              </w:rPr>
            </w:pPr>
            <w:r>
              <w:rPr>
                <w:sz w:val="21"/>
                <w:szCs w:val="21"/>
              </w:rPr>
              <w:t>副教授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山东农业大学</w:t>
            </w:r>
          </w:p>
        </w:tc>
        <w:tc>
          <w:tcPr>
            <w:tcW w:w="599" w:type="pct"/>
          </w:tcPr>
          <w:p>
            <w:pPr>
              <w:spacing w:line="240" w:lineRule="auto"/>
              <w:jc w:val="center"/>
              <w:rPr>
                <w:sz w:val="21"/>
                <w:szCs w:val="21"/>
              </w:rPr>
            </w:pPr>
            <w:r>
              <w:rPr>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谢</w:t>
            </w:r>
            <w:r>
              <w:rPr>
                <w:rFonts w:hint="eastAsia"/>
                <w:sz w:val="21"/>
                <w:szCs w:val="21"/>
              </w:rPr>
              <w:t xml:space="preserve">  </w:t>
            </w:r>
            <w:r>
              <w:rPr>
                <w:sz w:val="21"/>
                <w:szCs w:val="21"/>
              </w:rPr>
              <w:t>慧</w:t>
            </w:r>
          </w:p>
        </w:tc>
        <w:tc>
          <w:tcPr>
            <w:tcW w:w="549" w:type="pct"/>
          </w:tcPr>
          <w:p>
            <w:pPr>
              <w:spacing w:line="240" w:lineRule="auto"/>
              <w:jc w:val="center"/>
              <w:rPr>
                <w:sz w:val="21"/>
                <w:szCs w:val="21"/>
              </w:rPr>
            </w:pPr>
            <w:r>
              <w:rPr>
                <w:sz w:val="21"/>
                <w:szCs w:val="21"/>
              </w:rPr>
              <w:t>48</w:t>
            </w:r>
          </w:p>
        </w:tc>
        <w:tc>
          <w:tcPr>
            <w:tcW w:w="686" w:type="pct"/>
          </w:tcPr>
          <w:p>
            <w:pPr>
              <w:spacing w:line="240" w:lineRule="auto"/>
              <w:jc w:val="center"/>
              <w:rPr>
                <w:sz w:val="21"/>
                <w:szCs w:val="21"/>
              </w:rPr>
            </w:pPr>
            <w:r>
              <w:rPr>
                <w:sz w:val="21"/>
                <w:szCs w:val="21"/>
              </w:rPr>
              <w:t>副教授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山东农业大学</w:t>
            </w:r>
          </w:p>
        </w:tc>
        <w:tc>
          <w:tcPr>
            <w:tcW w:w="599" w:type="pct"/>
          </w:tcPr>
          <w:p>
            <w:pPr>
              <w:spacing w:line="240" w:lineRule="auto"/>
              <w:jc w:val="center"/>
              <w:rPr>
                <w:sz w:val="21"/>
                <w:szCs w:val="21"/>
              </w:rPr>
            </w:pPr>
            <w:r>
              <w:rPr>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杜仲坤</w:t>
            </w:r>
          </w:p>
        </w:tc>
        <w:tc>
          <w:tcPr>
            <w:tcW w:w="549" w:type="pct"/>
          </w:tcPr>
          <w:p>
            <w:pPr>
              <w:spacing w:line="240" w:lineRule="auto"/>
              <w:jc w:val="center"/>
              <w:rPr>
                <w:sz w:val="21"/>
                <w:szCs w:val="21"/>
              </w:rPr>
            </w:pPr>
            <w:r>
              <w:rPr>
                <w:sz w:val="21"/>
                <w:szCs w:val="21"/>
              </w:rPr>
              <w:t>34</w:t>
            </w:r>
          </w:p>
        </w:tc>
        <w:tc>
          <w:tcPr>
            <w:tcW w:w="686" w:type="pct"/>
          </w:tcPr>
          <w:p>
            <w:pPr>
              <w:spacing w:line="240" w:lineRule="auto"/>
              <w:jc w:val="center"/>
              <w:rPr>
                <w:sz w:val="21"/>
                <w:szCs w:val="21"/>
              </w:rPr>
            </w:pPr>
            <w:r>
              <w:rPr>
                <w:sz w:val="21"/>
                <w:szCs w:val="21"/>
              </w:rPr>
              <w:t>副教授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南京大学</w:t>
            </w:r>
          </w:p>
        </w:tc>
        <w:tc>
          <w:tcPr>
            <w:tcW w:w="599" w:type="pct"/>
          </w:tcPr>
          <w:p>
            <w:pPr>
              <w:spacing w:line="240" w:lineRule="auto"/>
              <w:jc w:val="center"/>
              <w:rPr>
                <w:sz w:val="21"/>
                <w:szCs w:val="21"/>
              </w:rPr>
            </w:pPr>
            <w:r>
              <w:rPr>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李</w:t>
            </w:r>
            <w:r>
              <w:rPr>
                <w:rFonts w:hint="eastAsia"/>
                <w:sz w:val="21"/>
                <w:szCs w:val="21"/>
              </w:rPr>
              <w:t xml:space="preserve">  </w:t>
            </w:r>
            <w:r>
              <w:rPr>
                <w:sz w:val="21"/>
                <w:szCs w:val="21"/>
              </w:rPr>
              <w:t>冰</w:t>
            </w:r>
          </w:p>
        </w:tc>
        <w:tc>
          <w:tcPr>
            <w:tcW w:w="549" w:type="pct"/>
          </w:tcPr>
          <w:p>
            <w:pPr>
              <w:spacing w:line="240" w:lineRule="auto"/>
              <w:jc w:val="center"/>
              <w:rPr>
                <w:sz w:val="21"/>
                <w:szCs w:val="21"/>
              </w:rPr>
            </w:pPr>
            <w:r>
              <w:rPr>
                <w:sz w:val="21"/>
                <w:szCs w:val="21"/>
              </w:rPr>
              <w:t>32</w:t>
            </w:r>
          </w:p>
        </w:tc>
        <w:tc>
          <w:tcPr>
            <w:tcW w:w="686" w:type="pct"/>
          </w:tcPr>
          <w:p>
            <w:pPr>
              <w:spacing w:line="240" w:lineRule="auto"/>
              <w:jc w:val="center"/>
              <w:rPr>
                <w:sz w:val="21"/>
                <w:szCs w:val="21"/>
              </w:rPr>
            </w:pPr>
            <w:r>
              <w:rPr>
                <w:sz w:val="21"/>
                <w:szCs w:val="21"/>
              </w:rPr>
              <w:t>副教授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南开大学</w:t>
            </w:r>
          </w:p>
        </w:tc>
        <w:tc>
          <w:tcPr>
            <w:tcW w:w="599" w:type="pct"/>
          </w:tcPr>
          <w:p>
            <w:pPr>
              <w:spacing w:line="240" w:lineRule="auto"/>
              <w:jc w:val="center"/>
              <w:rPr>
                <w:sz w:val="21"/>
                <w:szCs w:val="21"/>
              </w:rPr>
            </w:pPr>
            <w:r>
              <w:rPr>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宋佩佩</w:t>
            </w:r>
          </w:p>
        </w:tc>
        <w:tc>
          <w:tcPr>
            <w:tcW w:w="549" w:type="pct"/>
          </w:tcPr>
          <w:p>
            <w:pPr>
              <w:spacing w:line="240" w:lineRule="auto"/>
              <w:jc w:val="center"/>
              <w:rPr>
                <w:sz w:val="21"/>
                <w:szCs w:val="21"/>
              </w:rPr>
            </w:pPr>
            <w:r>
              <w:rPr>
                <w:sz w:val="21"/>
                <w:szCs w:val="21"/>
              </w:rPr>
              <w:t>33</w:t>
            </w:r>
          </w:p>
        </w:tc>
        <w:tc>
          <w:tcPr>
            <w:tcW w:w="686" w:type="pct"/>
          </w:tcPr>
          <w:p>
            <w:pPr>
              <w:spacing w:line="240" w:lineRule="auto"/>
              <w:jc w:val="center"/>
              <w:rPr>
                <w:sz w:val="21"/>
                <w:szCs w:val="21"/>
              </w:rPr>
            </w:pPr>
            <w:r>
              <w:rPr>
                <w:sz w:val="21"/>
                <w:szCs w:val="21"/>
              </w:rPr>
              <w:t>副教授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湖南大学</w:t>
            </w:r>
          </w:p>
        </w:tc>
        <w:tc>
          <w:tcPr>
            <w:tcW w:w="599" w:type="pct"/>
          </w:tcPr>
          <w:p>
            <w:pPr>
              <w:spacing w:line="240" w:lineRule="auto"/>
              <w:jc w:val="center"/>
              <w:rPr>
                <w:sz w:val="21"/>
                <w:szCs w:val="21"/>
              </w:rPr>
            </w:pPr>
            <w:r>
              <w:rPr>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shd w:val="clear" w:color="auto" w:fill="auto"/>
          </w:tcPr>
          <w:p>
            <w:pPr>
              <w:spacing w:line="240" w:lineRule="auto"/>
              <w:jc w:val="center"/>
              <w:rPr>
                <w:sz w:val="21"/>
                <w:szCs w:val="21"/>
              </w:rPr>
            </w:pPr>
            <w:r>
              <w:rPr>
                <w:sz w:val="21"/>
                <w:szCs w:val="21"/>
              </w:rPr>
              <w:t>时连辉</w:t>
            </w:r>
          </w:p>
        </w:tc>
        <w:tc>
          <w:tcPr>
            <w:tcW w:w="549" w:type="pct"/>
            <w:shd w:val="clear" w:color="auto" w:fill="auto"/>
          </w:tcPr>
          <w:p>
            <w:pPr>
              <w:spacing w:line="240" w:lineRule="auto"/>
              <w:jc w:val="center"/>
              <w:rPr>
                <w:sz w:val="21"/>
                <w:szCs w:val="21"/>
              </w:rPr>
            </w:pPr>
            <w:r>
              <w:rPr>
                <w:sz w:val="21"/>
                <w:szCs w:val="21"/>
              </w:rPr>
              <w:t>51</w:t>
            </w:r>
          </w:p>
        </w:tc>
        <w:tc>
          <w:tcPr>
            <w:tcW w:w="686" w:type="pct"/>
            <w:shd w:val="clear" w:color="auto" w:fill="auto"/>
          </w:tcPr>
          <w:p>
            <w:pPr>
              <w:spacing w:line="240" w:lineRule="auto"/>
              <w:jc w:val="center"/>
              <w:rPr>
                <w:sz w:val="21"/>
                <w:szCs w:val="21"/>
              </w:rPr>
            </w:pPr>
            <w:r>
              <w:rPr>
                <w:sz w:val="21"/>
                <w:szCs w:val="21"/>
              </w:rPr>
              <w:t>副教授</w:t>
            </w:r>
          </w:p>
        </w:tc>
        <w:tc>
          <w:tcPr>
            <w:tcW w:w="610" w:type="pct"/>
            <w:shd w:val="clear" w:color="auto" w:fill="auto"/>
          </w:tcPr>
          <w:p>
            <w:pPr>
              <w:spacing w:line="240" w:lineRule="auto"/>
              <w:jc w:val="center"/>
              <w:rPr>
                <w:sz w:val="21"/>
                <w:szCs w:val="21"/>
              </w:rPr>
            </w:pPr>
            <w:r>
              <w:rPr>
                <w:sz w:val="21"/>
                <w:szCs w:val="21"/>
              </w:rPr>
              <w:t>博士</w:t>
            </w:r>
          </w:p>
        </w:tc>
        <w:tc>
          <w:tcPr>
            <w:tcW w:w="1694" w:type="pct"/>
            <w:shd w:val="clear" w:color="auto" w:fill="auto"/>
          </w:tcPr>
          <w:p>
            <w:pPr>
              <w:spacing w:line="240" w:lineRule="auto"/>
              <w:jc w:val="center"/>
              <w:rPr>
                <w:sz w:val="21"/>
                <w:szCs w:val="21"/>
              </w:rPr>
            </w:pPr>
            <w:r>
              <w:rPr>
                <w:sz w:val="21"/>
                <w:szCs w:val="21"/>
              </w:rPr>
              <w:t>山东农业大学</w:t>
            </w:r>
          </w:p>
        </w:tc>
        <w:tc>
          <w:tcPr>
            <w:tcW w:w="599" w:type="pct"/>
          </w:tcPr>
          <w:p>
            <w:pPr>
              <w:spacing w:line="240" w:lineRule="auto"/>
              <w:jc w:val="center"/>
              <w:rPr>
                <w:sz w:val="21"/>
                <w:szCs w:val="21"/>
              </w:rPr>
            </w:pPr>
            <w:r>
              <w:rPr>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刘艳丽</w:t>
            </w:r>
          </w:p>
        </w:tc>
        <w:tc>
          <w:tcPr>
            <w:tcW w:w="549" w:type="pct"/>
          </w:tcPr>
          <w:p>
            <w:pPr>
              <w:spacing w:line="240" w:lineRule="auto"/>
              <w:jc w:val="center"/>
              <w:rPr>
                <w:sz w:val="21"/>
                <w:szCs w:val="21"/>
              </w:rPr>
            </w:pPr>
            <w:r>
              <w:rPr>
                <w:sz w:val="21"/>
                <w:szCs w:val="21"/>
              </w:rPr>
              <w:t>45</w:t>
            </w:r>
          </w:p>
        </w:tc>
        <w:tc>
          <w:tcPr>
            <w:tcW w:w="686" w:type="pct"/>
          </w:tcPr>
          <w:p>
            <w:pPr>
              <w:spacing w:line="240" w:lineRule="auto"/>
              <w:jc w:val="center"/>
              <w:rPr>
                <w:sz w:val="21"/>
                <w:szCs w:val="21"/>
              </w:rPr>
            </w:pPr>
            <w:r>
              <w:rPr>
                <w:sz w:val="21"/>
                <w:szCs w:val="21"/>
              </w:rPr>
              <w:t>副教授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南京农业大学</w:t>
            </w:r>
          </w:p>
        </w:tc>
        <w:tc>
          <w:tcPr>
            <w:tcW w:w="599" w:type="pct"/>
          </w:tcPr>
          <w:p>
            <w:pPr>
              <w:spacing w:line="240" w:lineRule="auto"/>
              <w:jc w:val="center"/>
              <w:rPr>
                <w:sz w:val="21"/>
                <w:szCs w:val="21"/>
              </w:rPr>
            </w:pPr>
            <w:r>
              <w:rPr>
                <w:sz w:val="21"/>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60" w:type="pct"/>
          </w:tcPr>
          <w:p>
            <w:pPr>
              <w:spacing w:line="240" w:lineRule="auto"/>
              <w:jc w:val="center"/>
              <w:rPr>
                <w:sz w:val="21"/>
                <w:szCs w:val="21"/>
              </w:rPr>
            </w:pPr>
            <w:r>
              <w:rPr>
                <w:sz w:val="21"/>
                <w:szCs w:val="21"/>
              </w:rPr>
              <w:t>李恕艳</w:t>
            </w:r>
          </w:p>
        </w:tc>
        <w:tc>
          <w:tcPr>
            <w:tcW w:w="549" w:type="pct"/>
          </w:tcPr>
          <w:p>
            <w:pPr>
              <w:spacing w:line="240" w:lineRule="auto"/>
              <w:jc w:val="center"/>
              <w:rPr>
                <w:sz w:val="21"/>
                <w:szCs w:val="21"/>
              </w:rPr>
            </w:pPr>
            <w:r>
              <w:rPr>
                <w:sz w:val="21"/>
                <w:szCs w:val="21"/>
              </w:rPr>
              <w:t>33</w:t>
            </w:r>
          </w:p>
        </w:tc>
        <w:tc>
          <w:tcPr>
            <w:tcW w:w="686" w:type="pct"/>
          </w:tcPr>
          <w:p>
            <w:pPr>
              <w:spacing w:line="240" w:lineRule="auto"/>
              <w:jc w:val="center"/>
              <w:rPr>
                <w:sz w:val="21"/>
                <w:szCs w:val="21"/>
              </w:rPr>
            </w:pPr>
            <w:r>
              <w:rPr>
                <w:sz w:val="21"/>
                <w:szCs w:val="21"/>
              </w:rPr>
              <w:t>副教授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中国农业大学</w:t>
            </w:r>
          </w:p>
        </w:tc>
        <w:tc>
          <w:tcPr>
            <w:tcW w:w="599" w:type="pct"/>
          </w:tcPr>
          <w:p>
            <w:pPr>
              <w:spacing w:line="240" w:lineRule="auto"/>
              <w:jc w:val="center"/>
              <w:rPr>
                <w:sz w:val="21"/>
                <w:szCs w:val="21"/>
              </w:rPr>
            </w:pPr>
            <w:r>
              <w:rPr>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李</w:t>
            </w:r>
            <w:r>
              <w:rPr>
                <w:rFonts w:hint="eastAsia"/>
                <w:sz w:val="21"/>
                <w:szCs w:val="21"/>
              </w:rPr>
              <w:t xml:space="preserve">  </w:t>
            </w:r>
            <w:r>
              <w:rPr>
                <w:sz w:val="21"/>
                <w:szCs w:val="21"/>
              </w:rPr>
              <w:t>明</w:t>
            </w:r>
          </w:p>
        </w:tc>
        <w:tc>
          <w:tcPr>
            <w:tcW w:w="549" w:type="pct"/>
          </w:tcPr>
          <w:p>
            <w:pPr>
              <w:spacing w:line="240" w:lineRule="auto"/>
              <w:jc w:val="center"/>
              <w:rPr>
                <w:sz w:val="21"/>
                <w:szCs w:val="21"/>
              </w:rPr>
            </w:pPr>
            <w:r>
              <w:rPr>
                <w:sz w:val="21"/>
                <w:szCs w:val="21"/>
              </w:rPr>
              <w:t>33</w:t>
            </w:r>
          </w:p>
        </w:tc>
        <w:tc>
          <w:tcPr>
            <w:tcW w:w="686" w:type="pct"/>
          </w:tcPr>
          <w:p>
            <w:pPr>
              <w:spacing w:line="240" w:lineRule="auto"/>
              <w:jc w:val="center"/>
              <w:rPr>
                <w:sz w:val="21"/>
                <w:szCs w:val="21"/>
              </w:rPr>
            </w:pPr>
            <w:r>
              <w:rPr>
                <w:sz w:val="21"/>
                <w:szCs w:val="21"/>
              </w:rPr>
              <w:t>副教授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南开大学</w:t>
            </w:r>
          </w:p>
        </w:tc>
        <w:tc>
          <w:tcPr>
            <w:tcW w:w="599" w:type="pct"/>
          </w:tcPr>
          <w:p>
            <w:pPr>
              <w:spacing w:line="240" w:lineRule="auto"/>
              <w:jc w:val="center"/>
              <w:rPr>
                <w:sz w:val="21"/>
                <w:szCs w:val="21"/>
              </w:rPr>
            </w:pPr>
            <w:r>
              <w:rPr>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杨仲康</w:t>
            </w:r>
          </w:p>
        </w:tc>
        <w:tc>
          <w:tcPr>
            <w:tcW w:w="549" w:type="pct"/>
          </w:tcPr>
          <w:p>
            <w:pPr>
              <w:spacing w:line="240" w:lineRule="auto"/>
              <w:jc w:val="center"/>
              <w:rPr>
                <w:sz w:val="21"/>
                <w:szCs w:val="21"/>
              </w:rPr>
            </w:pPr>
            <w:r>
              <w:rPr>
                <w:sz w:val="21"/>
                <w:szCs w:val="21"/>
              </w:rPr>
              <w:t>31</w:t>
            </w:r>
          </w:p>
        </w:tc>
        <w:tc>
          <w:tcPr>
            <w:tcW w:w="686" w:type="pct"/>
          </w:tcPr>
          <w:p>
            <w:pPr>
              <w:spacing w:line="240" w:lineRule="auto"/>
              <w:jc w:val="center"/>
              <w:rPr>
                <w:sz w:val="21"/>
                <w:szCs w:val="21"/>
              </w:rPr>
            </w:pPr>
            <w:r>
              <w:rPr>
                <w:sz w:val="21"/>
                <w:szCs w:val="21"/>
              </w:rPr>
              <w:t>副教授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中国科学技术大学</w:t>
            </w:r>
          </w:p>
        </w:tc>
        <w:tc>
          <w:tcPr>
            <w:tcW w:w="599" w:type="pct"/>
          </w:tcPr>
          <w:p>
            <w:pPr>
              <w:spacing w:line="240" w:lineRule="auto"/>
              <w:jc w:val="center"/>
              <w:rPr>
                <w:sz w:val="21"/>
                <w:szCs w:val="21"/>
              </w:rPr>
            </w:pPr>
            <w:r>
              <w:rPr>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孔文佳</w:t>
            </w:r>
          </w:p>
        </w:tc>
        <w:tc>
          <w:tcPr>
            <w:tcW w:w="549" w:type="pct"/>
          </w:tcPr>
          <w:p>
            <w:pPr>
              <w:spacing w:line="240" w:lineRule="auto"/>
              <w:jc w:val="center"/>
              <w:rPr>
                <w:sz w:val="21"/>
                <w:szCs w:val="21"/>
              </w:rPr>
            </w:pPr>
            <w:r>
              <w:rPr>
                <w:sz w:val="21"/>
                <w:szCs w:val="21"/>
              </w:rPr>
              <w:t>28</w:t>
            </w:r>
          </w:p>
        </w:tc>
        <w:tc>
          <w:tcPr>
            <w:tcW w:w="686" w:type="pct"/>
          </w:tcPr>
          <w:p>
            <w:pPr>
              <w:spacing w:line="240" w:lineRule="auto"/>
              <w:jc w:val="center"/>
              <w:rPr>
                <w:sz w:val="21"/>
                <w:szCs w:val="21"/>
              </w:rPr>
            </w:pPr>
            <w:r>
              <w:rPr>
                <w:sz w:val="21"/>
                <w:szCs w:val="21"/>
              </w:rPr>
              <w:t>副教授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山东大学</w:t>
            </w:r>
          </w:p>
        </w:tc>
        <w:tc>
          <w:tcPr>
            <w:tcW w:w="599" w:type="pct"/>
          </w:tcPr>
          <w:p>
            <w:pPr>
              <w:spacing w:line="240" w:lineRule="auto"/>
              <w:jc w:val="center"/>
              <w:rPr>
                <w:sz w:val="21"/>
                <w:szCs w:val="21"/>
              </w:rPr>
            </w:pPr>
            <w:r>
              <w:rPr>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王兰君</w:t>
            </w:r>
          </w:p>
        </w:tc>
        <w:tc>
          <w:tcPr>
            <w:tcW w:w="549" w:type="pct"/>
          </w:tcPr>
          <w:p>
            <w:pPr>
              <w:spacing w:line="240" w:lineRule="auto"/>
              <w:jc w:val="center"/>
              <w:rPr>
                <w:sz w:val="21"/>
                <w:szCs w:val="21"/>
              </w:rPr>
            </w:pPr>
            <w:r>
              <w:rPr>
                <w:sz w:val="21"/>
                <w:szCs w:val="21"/>
              </w:rPr>
              <w:t>30</w:t>
            </w:r>
          </w:p>
        </w:tc>
        <w:tc>
          <w:tcPr>
            <w:tcW w:w="686" w:type="pct"/>
          </w:tcPr>
          <w:p>
            <w:pPr>
              <w:spacing w:line="240" w:lineRule="auto"/>
              <w:jc w:val="center"/>
              <w:rPr>
                <w:sz w:val="21"/>
                <w:szCs w:val="21"/>
              </w:rPr>
            </w:pPr>
            <w:r>
              <w:rPr>
                <w:sz w:val="21"/>
                <w:szCs w:val="21"/>
              </w:rPr>
              <w:t>副教授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山东农业大学</w:t>
            </w:r>
          </w:p>
        </w:tc>
        <w:tc>
          <w:tcPr>
            <w:tcW w:w="599" w:type="pct"/>
          </w:tcPr>
          <w:p>
            <w:pPr>
              <w:spacing w:line="240" w:lineRule="auto"/>
              <w:jc w:val="center"/>
              <w:rPr>
                <w:sz w:val="21"/>
                <w:szCs w:val="21"/>
              </w:rPr>
            </w:pPr>
            <w:r>
              <w:rPr>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靖宪月</w:t>
            </w:r>
          </w:p>
        </w:tc>
        <w:tc>
          <w:tcPr>
            <w:tcW w:w="549" w:type="pct"/>
          </w:tcPr>
          <w:p>
            <w:pPr>
              <w:spacing w:line="240" w:lineRule="auto"/>
              <w:jc w:val="center"/>
              <w:rPr>
                <w:sz w:val="21"/>
                <w:szCs w:val="21"/>
              </w:rPr>
            </w:pPr>
            <w:r>
              <w:rPr>
                <w:sz w:val="21"/>
                <w:szCs w:val="21"/>
              </w:rPr>
              <w:t>28</w:t>
            </w:r>
          </w:p>
        </w:tc>
        <w:tc>
          <w:tcPr>
            <w:tcW w:w="686" w:type="pct"/>
          </w:tcPr>
          <w:p>
            <w:pPr>
              <w:spacing w:line="240" w:lineRule="auto"/>
              <w:jc w:val="center"/>
              <w:rPr>
                <w:sz w:val="21"/>
                <w:szCs w:val="21"/>
              </w:rPr>
            </w:pPr>
            <w:r>
              <w:rPr>
                <w:sz w:val="21"/>
                <w:szCs w:val="21"/>
              </w:rPr>
              <w:t>副教授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福建农林大学</w:t>
            </w:r>
          </w:p>
        </w:tc>
        <w:tc>
          <w:tcPr>
            <w:tcW w:w="599" w:type="pct"/>
          </w:tcPr>
          <w:p>
            <w:pPr>
              <w:spacing w:line="240" w:lineRule="auto"/>
              <w:jc w:val="center"/>
              <w:rPr>
                <w:sz w:val="21"/>
                <w:szCs w:val="21"/>
              </w:rPr>
            </w:pPr>
            <w:r>
              <w:rPr>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孙丰霞</w:t>
            </w:r>
          </w:p>
        </w:tc>
        <w:tc>
          <w:tcPr>
            <w:tcW w:w="549" w:type="pct"/>
          </w:tcPr>
          <w:p>
            <w:pPr>
              <w:spacing w:line="240" w:lineRule="auto"/>
              <w:jc w:val="center"/>
              <w:rPr>
                <w:sz w:val="21"/>
                <w:szCs w:val="21"/>
              </w:rPr>
            </w:pPr>
            <w:r>
              <w:rPr>
                <w:sz w:val="21"/>
                <w:szCs w:val="21"/>
              </w:rPr>
              <w:t>42</w:t>
            </w:r>
          </w:p>
        </w:tc>
        <w:tc>
          <w:tcPr>
            <w:tcW w:w="686" w:type="pct"/>
          </w:tcPr>
          <w:p>
            <w:pPr>
              <w:spacing w:line="240" w:lineRule="auto"/>
              <w:jc w:val="center"/>
              <w:rPr>
                <w:sz w:val="21"/>
                <w:szCs w:val="21"/>
              </w:rPr>
            </w:pPr>
            <w:r>
              <w:rPr>
                <w:sz w:val="21"/>
                <w:szCs w:val="21"/>
              </w:rPr>
              <w:t>讲师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山东农业大学</w:t>
            </w:r>
          </w:p>
        </w:tc>
        <w:tc>
          <w:tcPr>
            <w:tcW w:w="599" w:type="pct"/>
          </w:tcPr>
          <w:p>
            <w:pPr>
              <w:spacing w:line="240" w:lineRule="auto"/>
              <w:jc w:val="center"/>
              <w:rPr>
                <w:sz w:val="21"/>
                <w:szCs w:val="21"/>
              </w:rPr>
            </w:pPr>
            <w:r>
              <w:rPr>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张艳慧</w:t>
            </w:r>
          </w:p>
        </w:tc>
        <w:tc>
          <w:tcPr>
            <w:tcW w:w="549" w:type="pct"/>
          </w:tcPr>
          <w:p>
            <w:pPr>
              <w:spacing w:line="240" w:lineRule="auto"/>
              <w:jc w:val="center"/>
              <w:rPr>
                <w:sz w:val="21"/>
                <w:szCs w:val="21"/>
              </w:rPr>
            </w:pPr>
            <w:r>
              <w:rPr>
                <w:sz w:val="21"/>
                <w:szCs w:val="21"/>
              </w:rPr>
              <w:t>41</w:t>
            </w:r>
          </w:p>
        </w:tc>
        <w:tc>
          <w:tcPr>
            <w:tcW w:w="686" w:type="pct"/>
          </w:tcPr>
          <w:p>
            <w:pPr>
              <w:spacing w:line="240" w:lineRule="auto"/>
              <w:jc w:val="center"/>
              <w:rPr>
                <w:sz w:val="21"/>
                <w:szCs w:val="21"/>
              </w:rPr>
            </w:pPr>
            <w:r>
              <w:rPr>
                <w:sz w:val="21"/>
                <w:szCs w:val="21"/>
              </w:rPr>
              <w:t>讲师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中科院海洋研究所</w:t>
            </w:r>
          </w:p>
        </w:tc>
        <w:tc>
          <w:tcPr>
            <w:tcW w:w="599" w:type="pct"/>
          </w:tcPr>
          <w:p>
            <w:pPr>
              <w:spacing w:line="240" w:lineRule="auto"/>
              <w:jc w:val="center"/>
              <w:rPr>
                <w:sz w:val="21"/>
                <w:szCs w:val="21"/>
              </w:rPr>
            </w:pPr>
            <w:r>
              <w:rPr>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陈阳阳</w:t>
            </w:r>
          </w:p>
        </w:tc>
        <w:tc>
          <w:tcPr>
            <w:tcW w:w="549" w:type="pct"/>
          </w:tcPr>
          <w:p>
            <w:pPr>
              <w:spacing w:line="240" w:lineRule="auto"/>
              <w:jc w:val="center"/>
              <w:rPr>
                <w:sz w:val="21"/>
                <w:szCs w:val="21"/>
              </w:rPr>
            </w:pPr>
            <w:r>
              <w:rPr>
                <w:sz w:val="21"/>
                <w:szCs w:val="21"/>
              </w:rPr>
              <w:t>33</w:t>
            </w:r>
          </w:p>
        </w:tc>
        <w:tc>
          <w:tcPr>
            <w:tcW w:w="686" w:type="pct"/>
          </w:tcPr>
          <w:p>
            <w:pPr>
              <w:spacing w:line="240" w:lineRule="auto"/>
              <w:jc w:val="center"/>
              <w:rPr>
                <w:sz w:val="21"/>
                <w:szCs w:val="21"/>
              </w:rPr>
            </w:pPr>
            <w:r>
              <w:rPr>
                <w:sz w:val="21"/>
                <w:szCs w:val="21"/>
              </w:rPr>
              <w:t>讲师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中国海洋大学</w:t>
            </w:r>
          </w:p>
        </w:tc>
        <w:tc>
          <w:tcPr>
            <w:tcW w:w="599" w:type="pct"/>
          </w:tcPr>
          <w:p>
            <w:pPr>
              <w:spacing w:line="240" w:lineRule="auto"/>
              <w:jc w:val="center"/>
              <w:rPr>
                <w:sz w:val="21"/>
                <w:szCs w:val="21"/>
              </w:rPr>
            </w:pPr>
            <w:r>
              <w:rPr>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邵慧娟</w:t>
            </w:r>
          </w:p>
        </w:tc>
        <w:tc>
          <w:tcPr>
            <w:tcW w:w="549" w:type="pct"/>
          </w:tcPr>
          <w:p>
            <w:pPr>
              <w:spacing w:line="240" w:lineRule="auto"/>
              <w:jc w:val="center"/>
              <w:rPr>
                <w:sz w:val="21"/>
                <w:szCs w:val="21"/>
              </w:rPr>
            </w:pPr>
            <w:r>
              <w:rPr>
                <w:sz w:val="21"/>
                <w:szCs w:val="21"/>
              </w:rPr>
              <w:t>29</w:t>
            </w:r>
          </w:p>
        </w:tc>
        <w:tc>
          <w:tcPr>
            <w:tcW w:w="686" w:type="pct"/>
          </w:tcPr>
          <w:p>
            <w:pPr>
              <w:spacing w:line="240" w:lineRule="auto"/>
              <w:jc w:val="center"/>
              <w:rPr>
                <w:sz w:val="21"/>
                <w:szCs w:val="21"/>
              </w:rPr>
            </w:pPr>
            <w:r>
              <w:rPr>
                <w:sz w:val="21"/>
                <w:szCs w:val="21"/>
              </w:rPr>
              <w:t>讲师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日本岐阜大学</w:t>
            </w:r>
          </w:p>
        </w:tc>
        <w:tc>
          <w:tcPr>
            <w:tcW w:w="599" w:type="pct"/>
          </w:tcPr>
          <w:p>
            <w:pPr>
              <w:spacing w:line="240" w:lineRule="auto"/>
              <w:jc w:val="center"/>
              <w:rPr>
                <w:sz w:val="21"/>
                <w:szCs w:val="21"/>
              </w:rPr>
            </w:pPr>
            <w:r>
              <w:rPr>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李艳强</w:t>
            </w:r>
          </w:p>
        </w:tc>
        <w:tc>
          <w:tcPr>
            <w:tcW w:w="549" w:type="pct"/>
          </w:tcPr>
          <w:p>
            <w:pPr>
              <w:spacing w:line="240" w:lineRule="auto"/>
              <w:jc w:val="center"/>
              <w:rPr>
                <w:sz w:val="21"/>
                <w:szCs w:val="21"/>
              </w:rPr>
            </w:pPr>
            <w:r>
              <w:rPr>
                <w:sz w:val="21"/>
                <w:szCs w:val="21"/>
              </w:rPr>
              <w:t>33</w:t>
            </w:r>
          </w:p>
        </w:tc>
        <w:tc>
          <w:tcPr>
            <w:tcW w:w="686" w:type="pct"/>
          </w:tcPr>
          <w:p>
            <w:pPr>
              <w:spacing w:line="240" w:lineRule="auto"/>
              <w:jc w:val="center"/>
              <w:rPr>
                <w:sz w:val="21"/>
                <w:szCs w:val="21"/>
              </w:rPr>
            </w:pPr>
            <w:r>
              <w:rPr>
                <w:sz w:val="21"/>
                <w:szCs w:val="21"/>
              </w:rPr>
              <w:t>讲师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中科院地理科学与资源研究所</w:t>
            </w:r>
          </w:p>
        </w:tc>
        <w:tc>
          <w:tcPr>
            <w:tcW w:w="599" w:type="pct"/>
          </w:tcPr>
          <w:p>
            <w:pPr>
              <w:spacing w:line="240" w:lineRule="auto"/>
              <w:jc w:val="center"/>
              <w:rPr>
                <w:sz w:val="21"/>
                <w:szCs w:val="21"/>
              </w:rPr>
            </w:pPr>
            <w:r>
              <w:rPr>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tcPr>
          <w:p>
            <w:pPr>
              <w:spacing w:line="240" w:lineRule="auto"/>
              <w:jc w:val="center"/>
              <w:rPr>
                <w:sz w:val="21"/>
                <w:szCs w:val="21"/>
              </w:rPr>
            </w:pPr>
            <w:r>
              <w:rPr>
                <w:sz w:val="21"/>
                <w:szCs w:val="21"/>
              </w:rPr>
              <w:t>李课臣</w:t>
            </w:r>
          </w:p>
        </w:tc>
        <w:tc>
          <w:tcPr>
            <w:tcW w:w="549" w:type="pct"/>
          </w:tcPr>
          <w:p>
            <w:pPr>
              <w:spacing w:line="240" w:lineRule="auto"/>
              <w:jc w:val="center"/>
              <w:rPr>
                <w:sz w:val="21"/>
                <w:szCs w:val="21"/>
              </w:rPr>
            </w:pPr>
            <w:r>
              <w:rPr>
                <w:sz w:val="21"/>
                <w:szCs w:val="21"/>
              </w:rPr>
              <w:t>28</w:t>
            </w:r>
          </w:p>
        </w:tc>
        <w:tc>
          <w:tcPr>
            <w:tcW w:w="686" w:type="pct"/>
          </w:tcPr>
          <w:p>
            <w:pPr>
              <w:spacing w:line="240" w:lineRule="auto"/>
              <w:jc w:val="center"/>
              <w:rPr>
                <w:sz w:val="21"/>
                <w:szCs w:val="21"/>
              </w:rPr>
            </w:pPr>
            <w:r>
              <w:rPr>
                <w:sz w:val="21"/>
                <w:szCs w:val="21"/>
              </w:rPr>
              <w:t>讲师</w:t>
            </w:r>
          </w:p>
        </w:tc>
        <w:tc>
          <w:tcPr>
            <w:tcW w:w="610" w:type="pct"/>
          </w:tcPr>
          <w:p>
            <w:pPr>
              <w:spacing w:line="240" w:lineRule="auto"/>
              <w:jc w:val="center"/>
              <w:rPr>
                <w:sz w:val="21"/>
                <w:szCs w:val="21"/>
              </w:rPr>
            </w:pPr>
            <w:r>
              <w:rPr>
                <w:sz w:val="21"/>
                <w:szCs w:val="21"/>
              </w:rPr>
              <w:t>博士</w:t>
            </w:r>
          </w:p>
        </w:tc>
        <w:tc>
          <w:tcPr>
            <w:tcW w:w="1694" w:type="pct"/>
          </w:tcPr>
          <w:p>
            <w:pPr>
              <w:spacing w:line="240" w:lineRule="auto"/>
              <w:jc w:val="center"/>
              <w:rPr>
                <w:sz w:val="21"/>
                <w:szCs w:val="21"/>
              </w:rPr>
            </w:pPr>
            <w:r>
              <w:rPr>
                <w:sz w:val="21"/>
                <w:szCs w:val="21"/>
              </w:rPr>
              <w:t>兰州大学</w:t>
            </w:r>
          </w:p>
        </w:tc>
        <w:tc>
          <w:tcPr>
            <w:tcW w:w="599" w:type="pct"/>
          </w:tcPr>
          <w:p>
            <w:pPr>
              <w:spacing w:line="240" w:lineRule="auto"/>
              <w:jc w:val="center"/>
              <w:rPr>
                <w:sz w:val="21"/>
                <w:szCs w:val="21"/>
              </w:rPr>
            </w:pPr>
            <w:r>
              <w:rPr>
                <w:sz w:val="21"/>
                <w:szCs w:val="21"/>
              </w:rPr>
              <w:t>否</w:t>
            </w:r>
          </w:p>
        </w:tc>
      </w:tr>
      <w:bookmarkEnd w:id="131"/>
    </w:tbl>
    <w:p>
      <w:pPr>
        <w:pStyle w:val="6"/>
        <w:ind w:firstLine="480"/>
      </w:pPr>
      <w:r>
        <w:t>4</w:t>
      </w:r>
      <w:r>
        <w:rPr>
          <w:rFonts w:hint="eastAsia"/>
        </w:rPr>
        <w:t xml:space="preserve">. </w:t>
      </w:r>
      <w:r>
        <w:t>实习基地</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泰安环境监测站、泰安污水处理厂（1-3厂）、新泰污水处理厂、泰安热电厂、泰山水泥股份公司、济南炼油厂、泰安垃圾填埋厂、泰安垃圾发电厂、莱芜钢铁集团、泰山钢铁集团、山东省环境保护监测中心站、山东省农业环境保护监测站等。</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挂牌泰安市环境保护监测站、泰安市公安局、山东泉林集团、山东恒诚检测科技有限公司。</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这些实习基地的建设增加了学术社会实践的机会，提高了学术融入了解社会的能力，有利于培养综合性人才。</w:t>
      </w:r>
    </w:p>
    <w:p>
      <w:pPr>
        <w:pStyle w:val="6"/>
        <w:ind w:firstLine="480"/>
      </w:pPr>
      <w:r>
        <w:t>5</w:t>
      </w:r>
      <w:r>
        <w:rPr>
          <w:rFonts w:hint="eastAsia"/>
        </w:rPr>
        <w:t xml:space="preserve">. </w:t>
      </w:r>
      <w:r>
        <w:t>现代教学技术应用</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经过本专业全体教师努力，我们制作了一整套多媒体教学PPT课件（使学生掌握课程的应知与应会、重点与难点，主要教学内容等，并且与板书进行有机结合，做到图文并茂、提纲契领，便于学生理解和自学）、Flash动画（讲解较为复杂和抽象的概念、协议等相关知识）、视频等已经在多媒体投影教室应用于课堂教学。课件将文字、图片、声音、视频、动画完美融和，使课堂教学形式发生了巨大变化，内容形象逼真，充分调动了学生的眼、耳、手，使枯燥的教学变得有趣，教学效果更加直观。通过参加学校的青年教师讲课比赛、青年教师多媒体课件比赛等，进一步提高了教师的应用多媒体技术教学的技能水平。随着微信平台、QQ平台的应用，鼓励教师采用现代网络平台开展教学，将课程大纲、教学内容上传到平台，并与学生开展互动，及时解决学生学习中遇到的问题。鼓励教师开展慕课(MOOCs)探索。疫情影响下，2022年学校在春秋两季两次执行封控管理，封校期间，教师利用智慧树、腾讯会议开展线上教学，教学任务保质保量完成。</w:t>
      </w:r>
    </w:p>
    <w:p>
      <w:pPr>
        <w:pStyle w:val="5"/>
        <w:spacing w:before="93" w:after="93"/>
        <w:ind w:firstLine="560"/>
      </w:pPr>
      <w:r>
        <w:t>四、培养机制与特色（产学研协同育人机制、合作办学、教学管理等）</w:t>
      </w:r>
    </w:p>
    <w:p>
      <w:pPr>
        <w:pStyle w:val="6"/>
        <w:ind w:firstLine="480"/>
      </w:pPr>
      <w:r>
        <w:t>1</w:t>
      </w:r>
      <w:r>
        <w:rPr>
          <w:rFonts w:hint="eastAsia"/>
        </w:rPr>
        <w:t xml:space="preserve">. </w:t>
      </w:r>
      <w:r>
        <w:t>产学研协同育人机制</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本专业借助广泛的社会资源、优良的教学条件、老师的科研课题及国家、学校大学生研究训练项目开展产学研协同育人机制。本专业学生在校期间通过专业认识实习、专业综合实习、创业实践、毕业实习等多个实习环节，能够参观、学习以及参与实习基地、企业、事业单位的部分工作。同时邀请环境保护局、环境监测站及公司等人员到学校为学生讲授国家有关环保政策、法律、技术等层面的新动态、新知识。提高学生对未来工作的认识。校内的的实验室、仪器设备及相关软件为学生理论课及实验操作技能提供了良好条件。专业老师承担了国家级、省部级及各级国土部门的课题和项目，部分学生参与到课题中。老师也将课题研究进展带进课堂，既丰富了教学内容，又提高了学生的学习兴趣。部分同学还申请了国家及学校大学生研究训练课题等，通过课题研究，提高了研究创新能力。</w:t>
      </w:r>
    </w:p>
    <w:p>
      <w:pPr>
        <w:pStyle w:val="6"/>
        <w:ind w:firstLine="480"/>
      </w:pPr>
      <w:r>
        <w:t>2</w:t>
      </w:r>
      <w:r>
        <w:rPr>
          <w:rFonts w:hint="eastAsia"/>
        </w:rPr>
        <w:t xml:space="preserve">. </w:t>
      </w:r>
      <w:r>
        <w:t>教学管理</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山东农业大学建有完备的教学运行管理、课程与专业建设管理、实践教学管理、实验室管理、教材建设与管理、学籍管理、教学质量管理等相关制度。</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资环学院在课程任务计划、听课、教学档案管理等方面有非常规范的管理规程。学科内部有集体备课、学科会议等，另外还制定了每门课程至少有两位任课老师的制度，便于保障教学运行的正常秩序。环境科学专业在教学过程中均严格执行各项管理制度和计划。</w:t>
      </w:r>
    </w:p>
    <w:p>
      <w:pPr>
        <w:pStyle w:val="5"/>
        <w:spacing w:before="93" w:after="93"/>
        <w:ind w:firstLine="560"/>
      </w:pPr>
      <w:r>
        <w:t>五、培养质量（毕业生就业率、就业专业对口率、毕业生发展情况、就业单位满意率、社会对专业的评价、学生就读该专业的意愿等）</w:t>
      </w:r>
    </w:p>
    <w:p>
      <w:pPr>
        <w:pStyle w:val="6"/>
        <w:ind w:firstLine="480"/>
      </w:pPr>
      <w:r>
        <w:t>1</w:t>
      </w:r>
      <w:r>
        <w:rPr>
          <w:rFonts w:hint="eastAsia"/>
        </w:rPr>
        <w:t xml:space="preserve">. </w:t>
      </w:r>
      <w:r>
        <w:t>毕业生就业率</w:t>
      </w:r>
    </w:p>
    <w:p>
      <w:pPr>
        <w:ind w:firstLine="480" w:firstLineChars="200"/>
        <w:rPr>
          <w:color w:val="000000" w:themeColor="text1"/>
          <w14:textFill>
            <w14:solidFill>
              <w14:schemeClr w14:val="tx1"/>
            </w14:solidFill>
          </w14:textFill>
        </w:rPr>
      </w:pPr>
      <w:r>
        <w:t>本专业2020届毕业生共计61人，其中男生30人，占49.18%，女生31人，占50.82%；省内生源56人，占91.80%，省外生源5人，占8.20%，省外生源主要集中在四川省、湖南省、浙江省。从民族结构看，2020届毕业生以汉族为主，共60人，占98.36%；少数民族共1人，占1.64%。</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本专业2022届毕业生就业53人，就业率为86.89%，其中男生就业27人，就业率为44.26%，女生就业26人，就业率为42.62%。毕业生留鲁就业的人，占已就业总人数的60.38%，其中到泰安就业人数最多，占24.53%。出省就业共21人，占39.62%，主要流向北京市、湖北省、黑龙江省等省份。</w:t>
      </w:r>
    </w:p>
    <w:p>
      <w:pPr>
        <w:spacing w:line="560" w:lineRule="exact"/>
        <w:ind w:firstLine="422" w:firstLineChars="200"/>
        <w:jc w:val="center"/>
        <w:rPr>
          <w:b/>
          <w:bCs/>
          <w:sz w:val="21"/>
          <w:szCs w:val="21"/>
        </w:rPr>
      </w:pPr>
      <w:r>
        <w:rPr>
          <w:b/>
          <w:bCs/>
          <w:sz w:val="21"/>
          <w:szCs w:val="21"/>
        </w:rPr>
        <w:t>表3毕业生整体就业情况统计表</w:t>
      </w:r>
    </w:p>
    <w:tbl>
      <w:tblPr>
        <w:tblStyle w:val="17"/>
        <w:tblW w:w="4997" w:type="pct"/>
        <w:tblInd w:w="0" w:type="dxa"/>
        <w:tblLayout w:type="autofit"/>
        <w:tblCellMar>
          <w:top w:w="0" w:type="dxa"/>
          <w:left w:w="0" w:type="dxa"/>
          <w:bottom w:w="0" w:type="dxa"/>
          <w:right w:w="0" w:type="dxa"/>
        </w:tblCellMar>
      </w:tblPr>
      <w:tblGrid>
        <w:gridCol w:w="1147"/>
        <w:gridCol w:w="1040"/>
        <w:gridCol w:w="1040"/>
        <w:gridCol w:w="1161"/>
        <w:gridCol w:w="1207"/>
        <w:gridCol w:w="1699"/>
        <w:gridCol w:w="1576"/>
      </w:tblGrid>
      <w:tr>
        <w:tblPrEx>
          <w:tblCellMar>
            <w:top w:w="0" w:type="dxa"/>
            <w:left w:w="0" w:type="dxa"/>
            <w:bottom w:w="0" w:type="dxa"/>
            <w:right w:w="0" w:type="dxa"/>
          </w:tblCellMar>
        </w:tblPrEx>
        <w:trPr>
          <w:trHeight w:val="600" w:hRule="atLeast"/>
        </w:trPr>
        <w:tc>
          <w:tcPr>
            <w:tcW w:w="64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专业名称</w:t>
            </w:r>
          </w:p>
        </w:tc>
        <w:tc>
          <w:tcPr>
            <w:tcW w:w="58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就业人数</w:t>
            </w:r>
          </w:p>
        </w:tc>
        <w:tc>
          <w:tcPr>
            <w:tcW w:w="58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就业率</w:t>
            </w:r>
          </w:p>
        </w:tc>
        <w:tc>
          <w:tcPr>
            <w:tcW w:w="654"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男生</w:t>
            </w:r>
          </w:p>
          <w:p>
            <w:pPr>
              <w:spacing w:line="240" w:lineRule="auto"/>
              <w:jc w:val="center"/>
              <w:rPr>
                <w:b/>
                <w:bCs/>
                <w:sz w:val="21"/>
                <w:szCs w:val="21"/>
              </w:rPr>
            </w:pPr>
            <w:r>
              <w:rPr>
                <w:b/>
                <w:bCs/>
                <w:sz w:val="21"/>
                <w:szCs w:val="21"/>
              </w:rPr>
              <w:t>就业率</w:t>
            </w:r>
          </w:p>
        </w:tc>
        <w:tc>
          <w:tcPr>
            <w:tcW w:w="680"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女生</w:t>
            </w:r>
          </w:p>
          <w:p>
            <w:pPr>
              <w:spacing w:line="240" w:lineRule="auto"/>
              <w:jc w:val="center"/>
              <w:rPr>
                <w:b/>
                <w:bCs/>
                <w:sz w:val="21"/>
                <w:szCs w:val="21"/>
              </w:rPr>
            </w:pPr>
            <w:r>
              <w:rPr>
                <w:b/>
                <w:bCs/>
                <w:sz w:val="21"/>
                <w:szCs w:val="21"/>
              </w:rPr>
              <w:t>就业率</w:t>
            </w:r>
          </w:p>
        </w:tc>
        <w:tc>
          <w:tcPr>
            <w:tcW w:w="957"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留鲁就业人数</w:t>
            </w:r>
          </w:p>
          <w:p>
            <w:pPr>
              <w:spacing w:line="240" w:lineRule="auto"/>
              <w:jc w:val="center"/>
              <w:rPr>
                <w:b/>
                <w:bCs/>
                <w:sz w:val="21"/>
                <w:szCs w:val="21"/>
              </w:rPr>
            </w:pPr>
            <w:r>
              <w:rPr>
                <w:b/>
                <w:bCs/>
                <w:sz w:val="21"/>
                <w:szCs w:val="21"/>
              </w:rPr>
              <w:t>（比例）</w:t>
            </w:r>
          </w:p>
        </w:tc>
        <w:tc>
          <w:tcPr>
            <w:tcW w:w="888"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省外就业人数</w:t>
            </w:r>
          </w:p>
          <w:p>
            <w:pPr>
              <w:spacing w:line="240" w:lineRule="auto"/>
              <w:jc w:val="center"/>
              <w:rPr>
                <w:b/>
                <w:bCs/>
                <w:sz w:val="21"/>
                <w:szCs w:val="21"/>
              </w:rPr>
            </w:pPr>
            <w:r>
              <w:rPr>
                <w:b/>
                <w:bCs/>
                <w:sz w:val="21"/>
                <w:szCs w:val="21"/>
              </w:rPr>
              <w:t>（比例）</w:t>
            </w:r>
          </w:p>
        </w:tc>
      </w:tr>
      <w:tr>
        <w:tblPrEx>
          <w:tblCellMar>
            <w:top w:w="0" w:type="dxa"/>
            <w:left w:w="0" w:type="dxa"/>
            <w:bottom w:w="0" w:type="dxa"/>
            <w:right w:w="0" w:type="dxa"/>
          </w:tblCellMar>
        </w:tblPrEx>
        <w:trPr>
          <w:trHeight w:val="465" w:hRule="atLeast"/>
        </w:trPr>
        <w:tc>
          <w:tcPr>
            <w:tcW w:w="64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环境工程</w:t>
            </w:r>
          </w:p>
        </w:tc>
        <w:tc>
          <w:tcPr>
            <w:tcW w:w="58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53</w:t>
            </w:r>
          </w:p>
        </w:tc>
        <w:tc>
          <w:tcPr>
            <w:tcW w:w="58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86.89%</w:t>
            </w:r>
          </w:p>
        </w:tc>
        <w:tc>
          <w:tcPr>
            <w:tcW w:w="65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44.26%</w:t>
            </w:r>
          </w:p>
        </w:tc>
        <w:tc>
          <w:tcPr>
            <w:tcW w:w="68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42.62%</w:t>
            </w:r>
          </w:p>
        </w:tc>
        <w:tc>
          <w:tcPr>
            <w:tcW w:w="95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60.38%</w:t>
            </w:r>
          </w:p>
        </w:tc>
        <w:tc>
          <w:tcPr>
            <w:tcW w:w="88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39.62%</w:t>
            </w:r>
          </w:p>
        </w:tc>
      </w:tr>
    </w:tbl>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毕业生就业方式主要包括升学、出国（境）、协议就业、劳动合同、自主创业等多种方式就业，其中国内升学就业人数最多。毕业生就业单位性质显示，民营企业就业人数最多，占已就业人数的73.91%，其次是西部志愿者，占4.76%；中国五百强就业，占4.76%；国有企业就业，占4.76%。毕业生国内升学32人，升学率52.46%，其中考入</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双一流</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大学18人，占国内升学总人数的56.25%。从升学专业来看，跨专业升学的2人，占国内升学总人数的6.25%。升学学校主要是山东农业大学、中国农业大学、山东大学等。</w:t>
      </w:r>
    </w:p>
    <w:p>
      <w:pPr>
        <w:pStyle w:val="6"/>
        <w:ind w:firstLine="480"/>
      </w:pPr>
      <w:r>
        <w:t>2</w:t>
      </w:r>
      <w:r>
        <w:rPr>
          <w:rFonts w:hint="eastAsia"/>
        </w:rPr>
        <w:t xml:space="preserve">. </w:t>
      </w:r>
      <w:r>
        <w:t>就业专业对口率</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毕业生当前所在工作单位或者所从事工作岗位与所学专业对口率较高的共12人，占已就业总人数的57.15%。主要集中在晨瑞环境科技（山东）有限公司、山东优纳特环境科技有限公司、齐鲁制药集团有限公司。</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近年来本专业学生毕业后70%左右从事了有关环境工程领域的工作。有的同学毕业后直接到环境保护局工作，有的到了有关环保公司工作，还有的考取环境学科的研究生，最终从事与环境保护有关的科研和实践工作。同学们基本上把学到的专业知识用到工作中。其余同学通过考公务员、事业编、大学生村官、选调生等到政府部门、农村基层等工作，虽然不是直接从事专业业务，但大多与本专业有一定联系，专业知识在日常工作中也发挥了一定作用。</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本专业学生基于在学校打下的良好业务基础和综合素质，毕业后发展良好。到环境保护局工作的毕业生参加工作一般从科员做起，经过几年锻炼，基本成为单位规划科、监测站、监察队、环境评估中心等业务部门的骨干，有的发展为部门领导或局领导。攻读硕士研究生的同学，有的研究生毕业后继续读博，有的参加工作，都有了更好的起点，最终到有关大学、科研院所、环境保护部、省环保厅及市县环境保护局工作，均成为业务骨干或领导。而到有关环境治理公司工作的，几年之后基本成为业务经理。有的具有一定积累和经验后，自己创业，取得了较好的成绩。</w:t>
      </w:r>
    </w:p>
    <w:p>
      <w:pPr>
        <w:pStyle w:val="6"/>
        <w:ind w:firstLine="480"/>
      </w:pPr>
      <w:r>
        <w:t>3</w:t>
      </w:r>
      <w:r>
        <w:rPr>
          <w:rFonts w:hint="eastAsia"/>
        </w:rPr>
        <w:t xml:space="preserve">. </w:t>
      </w:r>
      <w:r>
        <w:t>就业单位满意率</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2022年就业单位满意率为100%。</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本专业学生就业去向主要为攻读研究生、环保局和环境有关公司等。由于学生在大学期间掌握了较扎实的理论知识，硬件、软件进行了较多的实践操作，总体业务能力较强。有关大学对我专业考取的学生认为基础理论掌握较好，有一定的研究能力，能较快地进入研究角色。环保局、环境监测站等对我专业学生评价较高，学生到环境部门参加工作后，很快适应工作，几个月就能较好地独立开展工作。而有关公司认为学生大部分学生较快地开展技术工作，有的学生半年后就能独自承担很多工作，有的学生二、三年即成为公司中层干部。因此，有关单位对我专业学生总体满意。</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4</w:t>
      </w:r>
      <w:r>
        <w:rPr>
          <w:rFonts w:hint="eastAsia"/>
        </w:rPr>
        <w:t xml:space="preserve">. </w:t>
      </w:r>
      <w:r>
        <w:t>社会对专业的评价</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2022年社会对专业的评价为100%。</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由于本业良好的师资条件、学生较强的就业能力及较好的就业状况，本专业在国内同行专业具有较高的声誉。大家反映山东农业大学的学生基础扎实、诚实肯干、敢于吃苦、乐于助人、讲究团队协作。</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5</w:t>
      </w:r>
      <w:r>
        <w:rPr>
          <w:rFonts w:hint="eastAsia"/>
        </w:rPr>
        <w:t xml:space="preserve">. </w:t>
      </w:r>
      <w:r>
        <w:t>学生就读该专业的意愿</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2022级省内外本科生的一次录取率及报到率100%。</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环境工程专业是山东农业大学重点建设学科，前身为1985年设立的农业环境保护专科专业，是全国农业院校较早成立环境保护专业的学校之一。环境工程专业依托我校农学、生物等传统学科的优势并结合环境工程专业主要研究与应用领域，在环境工程、土壤污染修复工程、物理性污染控制工程、固废资源化利用、农业面源污染控制工程等领域有较强的优势和特色。</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国家的环境现状于形势并不乐观，急需环境各方面的专业人才。由于获得了社会的认可，学生对读该专业的意愿比较强，每年新生基本为第一志愿。</w:t>
      </w:r>
    </w:p>
    <w:p>
      <w:pPr>
        <w:pStyle w:val="5"/>
        <w:keepLines w:val="0"/>
        <w:pageBreakBefore w:val="0"/>
        <w:widowControl w:val="0"/>
        <w:kinsoku/>
        <w:wordWrap/>
        <w:overflowPunct/>
        <w:topLinePunct w:val="0"/>
        <w:autoSpaceDE/>
        <w:autoSpaceDN/>
        <w:bidi w:val="0"/>
        <w:adjustRightInd/>
        <w:snapToGrid/>
        <w:spacing w:before="93" w:after="93" w:line="390" w:lineRule="exact"/>
        <w:ind w:firstLine="560"/>
        <w:textAlignment w:val="auto"/>
      </w:pPr>
      <w:r>
        <w:t>六、毕业生就业创业（创业情况、采取的措施、典型案例等）</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本专业毕业生就业创业良好。大部分同学毕业后到国土部门或有关公司工作。到公司就业，实际上就是创业。通过在公司就业、工作、锻炼，逐步积累经验、资本，资源、资本、经验、机会等具备条件时，学生即可独立创业。许多到公司就业的同学已逐渐成长为公司骨干、部门经理、副总经理等。有的已经独立出来创业，开设公司，并逐步在同行中得到认可。</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本专业以</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山东省高校农业环境重点实验室</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山东省农业环境污染控制工程技术研究中心</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等创新平台为依托，高质量开展实验教学、教学实习、毕业实习、大学生科技创新实践等。</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鼓励大学生开展创业实践。本专业与环保局、环境监测站、环境监测公司、垃圾处理厂、固废处理中心及大型综合性企业等有较好的业务往来与合作关系。每年学生利用假期到环保局、监测站和有关公司实习、创业。</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学院在泮河校区建立了创新创业中心，环境科学专业学生成立了室内气体污染物含量测定与吸附创业项目团队及PM2.5空气质量检测与防护团队，阅味创意文化传播公司等。经过训练，大学生的创业实践能力得以提高。</w:t>
      </w:r>
    </w:p>
    <w:p>
      <w:pPr>
        <w:pStyle w:val="5"/>
        <w:keepLines w:val="0"/>
        <w:pageBreakBefore w:val="0"/>
        <w:widowControl w:val="0"/>
        <w:kinsoku/>
        <w:wordWrap/>
        <w:overflowPunct/>
        <w:topLinePunct w:val="0"/>
        <w:autoSpaceDE/>
        <w:autoSpaceDN/>
        <w:bidi w:val="0"/>
        <w:adjustRightInd/>
        <w:snapToGrid/>
        <w:spacing w:before="93" w:after="93" w:line="390" w:lineRule="exact"/>
        <w:ind w:firstLine="560"/>
        <w:textAlignment w:val="auto"/>
      </w:pPr>
      <w:r>
        <w:t>七、专业发展趋势及建议</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本专业的特色是，培养环保工程师、环境影响评价师等环境执业工程师的预备人员，培养环境污染治理的工程技术人员；培养能够在环境工程领域从事水污染治理、废气污染治理、噪声污染控制、固体废物的资源化利用等环境工程治理工作的应用型人才。本专业理论性与实践性均较强。除了课堂上加强理论知识的传授、实验室进行操作训练，还要多与环保部门的业务工作联系，多为学生提供实践、实习的机会，以提高学生将来的就业能力和竞争力。另外，学校、学院应为学生提供更多的就业信息和渠道，提高就业水平。因此，本专业建设过程中应当注意加大专业实验仪器设备的投入力度，力求使学生能够跟上时代的步伐，紧跟社会需求，真正成为社会需要的专业应用型人才。</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学生培养要求专业教师具有坚实的基础理论和宽广的专业知识相结合的知识结构，灵活、优秀的教学技能，丰富的实践经验和较强的实践能力。因此，需要加强师资队伍建设，对导师进行必要的岗位培训，提高教师的整体素质，要不断地调整知识结构，跨学科交叉学习，吸收融合不同学科的专业知识。目前现有导师的数量离建设目标有一定的差距，因此需要增加本专业的研究生导师的数量。</w:t>
      </w:r>
    </w:p>
    <w:p>
      <w:pPr>
        <w:pStyle w:val="5"/>
        <w:keepLines w:val="0"/>
        <w:pageBreakBefore w:val="0"/>
        <w:widowControl w:val="0"/>
        <w:kinsoku/>
        <w:wordWrap/>
        <w:overflowPunct/>
        <w:topLinePunct w:val="0"/>
        <w:autoSpaceDE/>
        <w:autoSpaceDN/>
        <w:bidi w:val="0"/>
        <w:adjustRightInd/>
        <w:snapToGrid/>
        <w:spacing w:before="93" w:after="93" w:line="390" w:lineRule="exact"/>
        <w:ind w:firstLine="560"/>
        <w:textAlignment w:val="auto"/>
      </w:pPr>
      <w:r>
        <w:t>八、存在的问题及整改措施</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rFonts w:hint="eastAsia"/>
          <w:b/>
          <w:bCs/>
          <w:color w:val="000000" w:themeColor="text1"/>
          <w14:textFill>
            <w14:solidFill>
              <w14:schemeClr w14:val="tx1"/>
            </w14:solidFill>
          </w14:textFill>
        </w:rPr>
        <w:t xml:space="preserve"> </w:t>
      </w:r>
      <w:r>
        <w:rPr>
          <w:color w:val="000000" w:themeColor="text1"/>
          <w14:textFill>
            <w14:solidFill>
              <w14:schemeClr w14:val="tx1"/>
            </w14:solidFill>
          </w14:textFill>
        </w:rPr>
        <w:t>导师队伍有待加强。从社会需求的角度来看，社会非常需要具有实际工作能力的应用型人才，环境工程专业人才的需求量越来越大，而本专业的专业课老师数量不足，特别是专门从事环境工程的老师数量更少，因此需要增加本专业的教师的数量。教师队伍的创新能力的培养非常重要，需要通过各种渠道开阔教师的学术视野，不断提高导师的创新思维。高水平的教师，才能培养出高质量的学生。</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r>
        <w:rPr>
          <w:rFonts w:hint="eastAsia"/>
          <w:b/>
          <w:bCs/>
          <w:color w:val="000000" w:themeColor="text1"/>
          <w14:textFill>
            <w14:solidFill>
              <w14:schemeClr w14:val="tx1"/>
            </w14:solidFill>
          </w14:textFill>
        </w:rPr>
        <w:t xml:space="preserve"> </w:t>
      </w:r>
      <w:r>
        <w:rPr>
          <w:color w:val="000000" w:themeColor="text1"/>
          <w14:textFill>
            <w14:solidFill>
              <w14:schemeClr w14:val="tx1"/>
            </w14:solidFill>
          </w14:textFill>
        </w:rPr>
        <w:t>实验场地和仪器设备有待进一步增加。环境工程专业教学过程中需要给学生提供大量的实验模型模拟污水处理、大气污染处理、固废处理等各种必需的实验过程，因此需要大量的实验场所满足模型的存放和调试，目前场所紧张，而且在站园，距离教学中心区较远，有安全隐患。环境工程专业本专业建设过程中应当注意加大专业实验仪器设备的投入力度，力求使学生能够跟上时代的步伐，紧跟社会需求，真正成为社会需要的专业应用型人才。</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r>
        <w:rPr>
          <w:rFonts w:hint="eastAsia"/>
          <w:b/>
          <w:bCs/>
          <w:color w:val="000000" w:themeColor="text1"/>
          <w14:textFill>
            <w14:solidFill>
              <w14:schemeClr w14:val="tx1"/>
            </w14:solidFill>
          </w14:textFill>
        </w:rPr>
        <w:t xml:space="preserve"> </w:t>
      </w:r>
      <w:r>
        <w:rPr>
          <w:color w:val="000000" w:themeColor="text1"/>
          <w14:textFill>
            <w14:solidFill>
              <w14:schemeClr w14:val="tx1"/>
            </w14:solidFill>
          </w14:textFill>
        </w:rPr>
        <w:t>校外实践教学和实习基地有待增加。校外实践教学的开展主要依靠专业教师的私人关系，缺乏长期有效的制度规范；而本专业需要这方面的大量实习，才能为学生将来踏入社会奠定基础。因此，需要加大实践教学的投入经费。专业实践基地依托单位的主要工作职责、业务范围或人才需求必须与本专业学生培养目标基本一致。具备同时能接纳本专业学生开展专业实践所需要的各项条件。目前本专业建有稳定的校外实践基地2处，还需要进一步增加到3-5处。学校依据实际情况，通过一定方式资助专业实践基地的建设。</w:t>
      </w:r>
    </w:p>
    <w:p>
      <w:r>
        <w:br w:type="page"/>
      </w:r>
    </w:p>
    <w:p>
      <w:pPr>
        <w:pStyle w:val="4"/>
        <w:ind w:firstLine="600"/>
      </w:pPr>
      <w:bookmarkStart w:id="132" w:name="_Toc16417"/>
      <w:r>
        <w:rPr>
          <w:rFonts w:hint="eastAsia"/>
          <w:lang w:val="en-US"/>
        </w:rPr>
        <w:t>专业十二：</w:t>
      </w:r>
      <w:r>
        <w:t>环境科学</w:t>
      </w:r>
      <w:bookmarkEnd w:id="132"/>
    </w:p>
    <w:p>
      <w:pPr>
        <w:pStyle w:val="5"/>
        <w:spacing w:before="93" w:after="93"/>
        <w:ind w:firstLine="560"/>
      </w:pPr>
      <w:bookmarkStart w:id="133" w:name="_Toc12077"/>
      <w:r>
        <w:t>一、人才培养目标</w:t>
      </w:r>
      <w:bookmarkEnd w:id="133"/>
    </w:p>
    <w:p>
      <w:pPr>
        <w:ind w:firstLine="480"/>
      </w:pPr>
      <w:r>
        <w:t>以生态文明建设为导向，面向环境保护行业，培养德、智、体、美、劳全面发展，思想政治素质高，具备人文科学、自然科学基础、英语等基本理论，掌握环境科学基础知识，具有计算机应用、阅读和自主学习等基本技能，具有境监测与环境质量评价及环境规划与管理等核心技能和实践能力，以及富有创新精神、创业意识和创新创业能力，毕业后能在政府部门、规划部门、经济管理部门、生态环保部门、设计单位、工矿企业、科研单位、学校等从事规划、设计、管理、教育和研究开发方面工作的复合型高级专门人才。</w:t>
      </w:r>
    </w:p>
    <w:p>
      <w:pPr>
        <w:ind w:firstLine="480"/>
      </w:pPr>
      <w:r>
        <w:t>本专业毕业生经过5年左右的职业历练，将达成以下培养目标：</w:t>
      </w:r>
    </w:p>
    <w:p>
      <w:pPr>
        <w:ind w:firstLine="480"/>
      </w:pPr>
      <w:r>
        <w:t>1.核心技能：具有环境监测、环境质量评价、环境规划与管理等核心技能；</w:t>
      </w:r>
    </w:p>
    <w:p>
      <w:pPr>
        <w:ind w:firstLine="480"/>
      </w:pPr>
      <w:r>
        <w:t>2.实践能力：具有环境监测、环境质量评价、环境规划与管理、环境治理等实践能力；</w:t>
      </w:r>
    </w:p>
    <w:p>
      <w:pPr>
        <w:ind w:firstLine="480"/>
      </w:pPr>
      <w:r>
        <w:t>3.创新创业能力：富有创新精神、创业意识和创新创业能力；</w:t>
      </w:r>
    </w:p>
    <w:p>
      <w:pPr>
        <w:ind w:firstLine="480"/>
      </w:pPr>
      <w:r>
        <w:t>4.工作发展能力：能在政府部门、规划部门、经济管理部门、环保部门、设计单位、工矿企业、科研单位、学校等从事规划、设计、管理、教育和研究开发方面工作。</w:t>
      </w:r>
    </w:p>
    <w:p>
      <w:pPr>
        <w:pStyle w:val="5"/>
        <w:spacing w:before="93" w:after="93"/>
        <w:ind w:firstLine="560"/>
      </w:pPr>
      <w:bookmarkStart w:id="134" w:name="_Toc3049"/>
      <w:r>
        <w:t>二、培养能力（专业设置情况、在校生规模、课程设置情况、创新创业教育等）</w:t>
      </w:r>
      <w:bookmarkEnd w:id="134"/>
    </w:p>
    <w:p>
      <w:pPr>
        <w:pStyle w:val="7"/>
        <w:ind w:firstLine="480"/>
      </w:pPr>
      <w:r>
        <w:t>1. 专业设置情况</w:t>
      </w:r>
    </w:p>
    <w:p>
      <w:pPr>
        <w:spacing w:line="240" w:lineRule="auto"/>
        <w:jc w:val="center"/>
        <w:rPr>
          <w:b/>
          <w:bCs/>
          <w:sz w:val="21"/>
          <w:szCs w:val="21"/>
        </w:rPr>
      </w:pPr>
      <w:r>
        <w:rPr>
          <w:b/>
          <w:bCs/>
          <w:sz w:val="21"/>
          <w:szCs w:val="21"/>
        </w:rPr>
        <w:t>表1  环境科学专业发展及设置情况</w:t>
      </w:r>
    </w:p>
    <w:tbl>
      <w:tblPr>
        <w:tblStyle w:val="17"/>
        <w:tblW w:w="83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4264"/>
        <w:gridCol w:w="33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7" w:hRule="atLeast"/>
          <w:jc w:val="center"/>
        </w:trPr>
        <w:tc>
          <w:tcPr>
            <w:tcW w:w="697" w:type="dxa"/>
            <w:vAlign w:val="center"/>
          </w:tcPr>
          <w:p>
            <w:pPr>
              <w:spacing w:line="240" w:lineRule="auto"/>
              <w:jc w:val="center"/>
              <w:rPr>
                <w:b/>
                <w:bCs/>
                <w:sz w:val="21"/>
                <w:szCs w:val="21"/>
              </w:rPr>
            </w:pPr>
            <w:r>
              <w:rPr>
                <w:b/>
                <w:bCs/>
                <w:sz w:val="21"/>
                <w:szCs w:val="21"/>
              </w:rPr>
              <w:t>时间</w:t>
            </w:r>
          </w:p>
        </w:tc>
        <w:tc>
          <w:tcPr>
            <w:tcW w:w="4264" w:type="dxa"/>
            <w:vAlign w:val="center"/>
          </w:tcPr>
          <w:p>
            <w:pPr>
              <w:spacing w:line="240" w:lineRule="auto"/>
              <w:jc w:val="center"/>
              <w:rPr>
                <w:b/>
                <w:bCs/>
                <w:sz w:val="21"/>
                <w:szCs w:val="21"/>
              </w:rPr>
            </w:pPr>
            <w:r>
              <w:rPr>
                <w:b/>
                <w:bCs/>
                <w:sz w:val="21"/>
                <w:szCs w:val="21"/>
              </w:rPr>
              <w:t>名  称</w:t>
            </w:r>
          </w:p>
        </w:tc>
        <w:tc>
          <w:tcPr>
            <w:tcW w:w="3370" w:type="dxa"/>
            <w:vAlign w:val="center"/>
          </w:tcPr>
          <w:p>
            <w:pPr>
              <w:spacing w:line="240" w:lineRule="auto"/>
              <w:jc w:val="center"/>
              <w:rPr>
                <w:b/>
                <w:bCs/>
                <w:sz w:val="21"/>
                <w:szCs w:val="21"/>
              </w:rPr>
            </w:pPr>
            <w:r>
              <w:rPr>
                <w:b/>
                <w:bCs/>
                <w:sz w:val="21"/>
                <w:szCs w:val="21"/>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7" w:hRule="atLeast"/>
          <w:jc w:val="center"/>
        </w:trPr>
        <w:tc>
          <w:tcPr>
            <w:tcW w:w="697" w:type="dxa"/>
            <w:vAlign w:val="center"/>
          </w:tcPr>
          <w:p>
            <w:pPr>
              <w:spacing w:line="240" w:lineRule="auto"/>
              <w:jc w:val="center"/>
              <w:rPr>
                <w:sz w:val="21"/>
                <w:szCs w:val="21"/>
              </w:rPr>
            </w:pPr>
            <w:r>
              <w:rPr>
                <w:sz w:val="21"/>
                <w:szCs w:val="21"/>
              </w:rPr>
              <w:t>1985</w:t>
            </w:r>
          </w:p>
        </w:tc>
        <w:tc>
          <w:tcPr>
            <w:tcW w:w="4264" w:type="dxa"/>
            <w:vAlign w:val="center"/>
          </w:tcPr>
          <w:p>
            <w:pPr>
              <w:spacing w:line="240" w:lineRule="auto"/>
              <w:jc w:val="left"/>
              <w:rPr>
                <w:sz w:val="21"/>
                <w:szCs w:val="21"/>
              </w:rPr>
            </w:pPr>
            <w:r>
              <w:rPr>
                <w:sz w:val="21"/>
                <w:szCs w:val="21"/>
              </w:rPr>
              <w:t>农业环境保护专业－专科</w:t>
            </w:r>
          </w:p>
        </w:tc>
        <w:tc>
          <w:tcPr>
            <w:tcW w:w="3370" w:type="dxa"/>
            <w:vAlign w:val="center"/>
          </w:tcPr>
          <w:p>
            <w:pPr>
              <w:spacing w:line="240" w:lineRule="auto"/>
              <w:jc w:val="left"/>
              <w:rPr>
                <w:sz w:val="21"/>
                <w:szCs w:val="21"/>
              </w:rPr>
            </w:pPr>
            <w:r>
              <w:rPr>
                <w:sz w:val="21"/>
                <w:szCs w:val="21"/>
              </w:rPr>
              <w:t>全国较早，农业院校专业之一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7" w:hRule="atLeast"/>
          <w:jc w:val="center"/>
        </w:trPr>
        <w:tc>
          <w:tcPr>
            <w:tcW w:w="697" w:type="dxa"/>
            <w:vAlign w:val="center"/>
          </w:tcPr>
          <w:p>
            <w:pPr>
              <w:spacing w:line="240" w:lineRule="auto"/>
              <w:jc w:val="center"/>
              <w:rPr>
                <w:sz w:val="21"/>
                <w:szCs w:val="21"/>
              </w:rPr>
            </w:pPr>
            <w:r>
              <w:rPr>
                <w:sz w:val="21"/>
                <w:szCs w:val="21"/>
              </w:rPr>
              <w:t>1993</w:t>
            </w:r>
          </w:p>
        </w:tc>
        <w:tc>
          <w:tcPr>
            <w:tcW w:w="4264" w:type="dxa"/>
            <w:vAlign w:val="center"/>
          </w:tcPr>
          <w:p>
            <w:pPr>
              <w:spacing w:line="240" w:lineRule="auto"/>
              <w:jc w:val="left"/>
              <w:rPr>
                <w:sz w:val="21"/>
                <w:szCs w:val="21"/>
              </w:rPr>
            </w:pPr>
            <w:r>
              <w:rPr>
                <w:sz w:val="21"/>
                <w:szCs w:val="21"/>
              </w:rPr>
              <w:t>农业环境保护专业－本科</w:t>
            </w:r>
          </w:p>
        </w:tc>
        <w:tc>
          <w:tcPr>
            <w:tcW w:w="3370" w:type="dxa"/>
            <w:vAlign w:val="center"/>
          </w:tcPr>
          <w:p>
            <w:pPr>
              <w:spacing w:line="240" w:lineRule="auto"/>
              <w:jc w:val="left"/>
              <w:rPr>
                <w:sz w:val="21"/>
                <w:szCs w:val="21"/>
              </w:rPr>
            </w:pPr>
            <w:r>
              <w:rPr>
                <w:sz w:val="21"/>
                <w:szCs w:val="21"/>
              </w:rPr>
              <w:t>土化专业农业环保方向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7" w:hRule="atLeast"/>
          <w:jc w:val="center"/>
        </w:trPr>
        <w:tc>
          <w:tcPr>
            <w:tcW w:w="697" w:type="dxa"/>
            <w:vAlign w:val="center"/>
          </w:tcPr>
          <w:p>
            <w:pPr>
              <w:spacing w:line="240" w:lineRule="auto"/>
              <w:jc w:val="center"/>
              <w:rPr>
                <w:sz w:val="21"/>
                <w:szCs w:val="21"/>
              </w:rPr>
            </w:pPr>
            <w:r>
              <w:rPr>
                <w:sz w:val="21"/>
                <w:szCs w:val="21"/>
              </w:rPr>
              <w:t>1998</w:t>
            </w:r>
          </w:p>
        </w:tc>
        <w:tc>
          <w:tcPr>
            <w:tcW w:w="4264" w:type="dxa"/>
            <w:vAlign w:val="center"/>
          </w:tcPr>
          <w:p>
            <w:pPr>
              <w:spacing w:line="240" w:lineRule="auto"/>
              <w:jc w:val="left"/>
              <w:rPr>
                <w:sz w:val="21"/>
                <w:szCs w:val="21"/>
              </w:rPr>
            </w:pPr>
            <w:r>
              <w:rPr>
                <w:sz w:val="21"/>
                <w:szCs w:val="21"/>
              </w:rPr>
              <w:t>农业资源与环境专业－本科</w:t>
            </w:r>
          </w:p>
        </w:tc>
        <w:tc>
          <w:tcPr>
            <w:tcW w:w="3370" w:type="dxa"/>
            <w:vAlign w:val="center"/>
          </w:tcPr>
          <w:p>
            <w:pPr>
              <w:spacing w:line="240" w:lineRule="auto"/>
              <w:jc w:val="left"/>
              <w:rPr>
                <w:sz w:val="21"/>
                <w:szCs w:val="21"/>
              </w:rPr>
            </w:pPr>
            <w:r>
              <w:rPr>
                <w:sz w:val="21"/>
                <w:szCs w:val="21"/>
              </w:rPr>
              <w:t>教育部专业调整，环境保护方向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7" w:hRule="atLeast"/>
          <w:jc w:val="center"/>
        </w:trPr>
        <w:tc>
          <w:tcPr>
            <w:tcW w:w="697" w:type="dxa"/>
            <w:vAlign w:val="center"/>
          </w:tcPr>
          <w:p>
            <w:pPr>
              <w:spacing w:line="240" w:lineRule="auto"/>
              <w:jc w:val="center"/>
              <w:rPr>
                <w:sz w:val="21"/>
                <w:szCs w:val="21"/>
              </w:rPr>
            </w:pPr>
            <w:r>
              <w:rPr>
                <w:sz w:val="21"/>
                <w:szCs w:val="21"/>
              </w:rPr>
              <w:t>2001</w:t>
            </w:r>
          </w:p>
        </w:tc>
        <w:tc>
          <w:tcPr>
            <w:tcW w:w="4264" w:type="dxa"/>
            <w:vAlign w:val="center"/>
          </w:tcPr>
          <w:p>
            <w:pPr>
              <w:spacing w:line="240" w:lineRule="auto"/>
              <w:jc w:val="left"/>
              <w:rPr>
                <w:sz w:val="21"/>
                <w:szCs w:val="21"/>
              </w:rPr>
            </w:pPr>
            <w:r>
              <w:rPr>
                <w:sz w:val="21"/>
                <w:szCs w:val="21"/>
              </w:rPr>
              <w:t>环境科学－本科</w:t>
            </w:r>
          </w:p>
        </w:tc>
        <w:tc>
          <w:tcPr>
            <w:tcW w:w="3370" w:type="dxa"/>
            <w:vAlign w:val="center"/>
          </w:tcPr>
          <w:p>
            <w:pPr>
              <w:spacing w:line="240" w:lineRule="auto"/>
              <w:jc w:val="left"/>
              <w:rPr>
                <w:sz w:val="21"/>
                <w:szCs w:val="21"/>
              </w:rPr>
            </w:pPr>
            <w:r>
              <w:rPr>
                <w:sz w:val="21"/>
                <w:szCs w:val="21"/>
              </w:rPr>
              <w:t>2000年申报环境科学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7" w:hRule="atLeast"/>
          <w:jc w:val="center"/>
        </w:trPr>
        <w:tc>
          <w:tcPr>
            <w:tcW w:w="697" w:type="dxa"/>
            <w:vAlign w:val="center"/>
          </w:tcPr>
          <w:p>
            <w:pPr>
              <w:spacing w:line="240" w:lineRule="auto"/>
              <w:jc w:val="center"/>
              <w:rPr>
                <w:sz w:val="21"/>
                <w:szCs w:val="21"/>
              </w:rPr>
            </w:pPr>
            <w:r>
              <w:rPr>
                <w:sz w:val="21"/>
                <w:szCs w:val="21"/>
              </w:rPr>
              <w:t>2004</w:t>
            </w:r>
          </w:p>
        </w:tc>
        <w:tc>
          <w:tcPr>
            <w:tcW w:w="4264" w:type="dxa"/>
            <w:vAlign w:val="center"/>
          </w:tcPr>
          <w:p>
            <w:pPr>
              <w:spacing w:line="240" w:lineRule="auto"/>
              <w:jc w:val="left"/>
              <w:rPr>
                <w:sz w:val="21"/>
                <w:szCs w:val="21"/>
              </w:rPr>
            </w:pPr>
            <w:r>
              <w:rPr>
                <w:sz w:val="21"/>
                <w:szCs w:val="21"/>
              </w:rPr>
              <w:t>环境科学硕士</w:t>
            </w:r>
          </w:p>
        </w:tc>
        <w:tc>
          <w:tcPr>
            <w:tcW w:w="3370" w:type="dxa"/>
            <w:vAlign w:val="center"/>
          </w:tcPr>
          <w:p>
            <w:pPr>
              <w:spacing w:line="240" w:lineRule="auto"/>
              <w:jc w:val="left"/>
              <w:rPr>
                <w:sz w:val="21"/>
                <w:szCs w:val="21"/>
              </w:rPr>
            </w:pPr>
            <w:r>
              <w:rPr>
                <w:sz w:val="21"/>
                <w:szCs w:val="21"/>
              </w:rPr>
              <w:t>2003年申报硕士点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7" w:hRule="atLeast"/>
          <w:jc w:val="center"/>
        </w:trPr>
        <w:tc>
          <w:tcPr>
            <w:tcW w:w="697" w:type="dxa"/>
            <w:vAlign w:val="center"/>
          </w:tcPr>
          <w:p>
            <w:pPr>
              <w:spacing w:line="240" w:lineRule="auto"/>
              <w:jc w:val="center"/>
              <w:rPr>
                <w:sz w:val="21"/>
                <w:szCs w:val="21"/>
              </w:rPr>
            </w:pPr>
            <w:r>
              <w:rPr>
                <w:sz w:val="21"/>
                <w:szCs w:val="21"/>
              </w:rPr>
              <w:t>2007</w:t>
            </w:r>
          </w:p>
        </w:tc>
        <w:tc>
          <w:tcPr>
            <w:tcW w:w="4264" w:type="dxa"/>
            <w:vAlign w:val="center"/>
          </w:tcPr>
          <w:p>
            <w:pPr>
              <w:spacing w:line="240" w:lineRule="auto"/>
              <w:jc w:val="left"/>
              <w:rPr>
                <w:sz w:val="21"/>
                <w:szCs w:val="21"/>
              </w:rPr>
            </w:pPr>
            <w:r>
              <w:rPr>
                <w:sz w:val="21"/>
                <w:szCs w:val="21"/>
              </w:rPr>
              <w:t>环境工程－硕士</w:t>
            </w:r>
          </w:p>
        </w:tc>
        <w:tc>
          <w:tcPr>
            <w:tcW w:w="3370" w:type="dxa"/>
            <w:vAlign w:val="center"/>
          </w:tcPr>
          <w:p>
            <w:pPr>
              <w:spacing w:line="240" w:lineRule="auto"/>
              <w:jc w:val="left"/>
              <w:rPr>
                <w:sz w:val="21"/>
                <w:szCs w:val="21"/>
              </w:rPr>
            </w:pPr>
            <w:r>
              <w:rPr>
                <w:sz w:val="21"/>
                <w:szCs w:val="21"/>
              </w:rPr>
              <w:t>2006年申报成功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7" w:hRule="atLeast"/>
          <w:jc w:val="center"/>
        </w:trPr>
        <w:tc>
          <w:tcPr>
            <w:tcW w:w="697" w:type="dxa"/>
            <w:vAlign w:val="center"/>
          </w:tcPr>
          <w:p>
            <w:pPr>
              <w:spacing w:line="240" w:lineRule="auto"/>
              <w:jc w:val="center"/>
              <w:rPr>
                <w:sz w:val="21"/>
                <w:szCs w:val="21"/>
              </w:rPr>
            </w:pPr>
            <w:r>
              <w:rPr>
                <w:sz w:val="21"/>
                <w:szCs w:val="21"/>
              </w:rPr>
              <w:t>2008</w:t>
            </w:r>
          </w:p>
        </w:tc>
        <w:tc>
          <w:tcPr>
            <w:tcW w:w="4264" w:type="dxa"/>
            <w:vAlign w:val="center"/>
          </w:tcPr>
          <w:p>
            <w:pPr>
              <w:spacing w:line="240" w:lineRule="auto"/>
              <w:jc w:val="left"/>
              <w:rPr>
                <w:sz w:val="21"/>
                <w:szCs w:val="21"/>
              </w:rPr>
            </w:pPr>
            <w:r>
              <w:rPr>
                <w:sz w:val="21"/>
                <w:szCs w:val="21"/>
              </w:rPr>
              <w:t>环境工程－本科</w:t>
            </w:r>
          </w:p>
        </w:tc>
        <w:tc>
          <w:tcPr>
            <w:tcW w:w="3370" w:type="dxa"/>
            <w:vAlign w:val="center"/>
          </w:tcPr>
          <w:p>
            <w:pPr>
              <w:spacing w:line="240" w:lineRule="auto"/>
              <w:jc w:val="left"/>
              <w:rPr>
                <w:sz w:val="21"/>
                <w:szCs w:val="21"/>
              </w:rPr>
            </w:pPr>
            <w:r>
              <w:rPr>
                <w:sz w:val="21"/>
                <w:szCs w:val="21"/>
              </w:rPr>
              <w:t>2007年申报环境工程本科专业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7" w:hRule="atLeast"/>
          <w:jc w:val="center"/>
        </w:trPr>
        <w:tc>
          <w:tcPr>
            <w:tcW w:w="697" w:type="dxa"/>
            <w:vAlign w:val="center"/>
          </w:tcPr>
          <w:p>
            <w:pPr>
              <w:spacing w:line="240" w:lineRule="auto"/>
              <w:jc w:val="center"/>
              <w:rPr>
                <w:sz w:val="21"/>
                <w:szCs w:val="21"/>
              </w:rPr>
            </w:pPr>
            <w:r>
              <w:rPr>
                <w:sz w:val="21"/>
                <w:szCs w:val="21"/>
              </w:rPr>
              <w:t>2010</w:t>
            </w:r>
          </w:p>
        </w:tc>
        <w:tc>
          <w:tcPr>
            <w:tcW w:w="4264" w:type="dxa"/>
            <w:vAlign w:val="center"/>
          </w:tcPr>
          <w:p>
            <w:pPr>
              <w:spacing w:line="240" w:lineRule="auto"/>
              <w:jc w:val="left"/>
              <w:rPr>
                <w:sz w:val="21"/>
                <w:szCs w:val="21"/>
              </w:rPr>
            </w:pPr>
            <w:r>
              <w:rPr>
                <w:sz w:val="21"/>
                <w:szCs w:val="21"/>
              </w:rPr>
              <w:t>工程硕士(环境工程)</w:t>
            </w:r>
          </w:p>
        </w:tc>
        <w:tc>
          <w:tcPr>
            <w:tcW w:w="3370" w:type="dxa"/>
            <w:vAlign w:val="center"/>
          </w:tcPr>
          <w:p>
            <w:pPr>
              <w:spacing w:line="240" w:lineRule="auto"/>
              <w:jc w:val="left"/>
              <w:rPr>
                <w:sz w:val="21"/>
                <w:szCs w:val="21"/>
              </w:rPr>
            </w:pPr>
            <w:r>
              <w:rPr>
                <w:sz w:val="21"/>
                <w:szCs w:val="21"/>
              </w:rPr>
              <w:t>2009年申报成功工程硕士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7" w:hRule="atLeast"/>
          <w:jc w:val="center"/>
        </w:trPr>
        <w:tc>
          <w:tcPr>
            <w:tcW w:w="697" w:type="dxa"/>
            <w:vAlign w:val="center"/>
          </w:tcPr>
          <w:p>
            <w:pPr>
              <w:spacing w:line="240" w:lineRule="auto"/>
              <w:jc w:val="center"/>
              <w:rPr>
                <w:sz w:val="21"/>
                <w:szCs w:val="21"/>
              </w:rPr>
            </w:pPr>
            <w:r>
              <w:rPr>
                <w:sz w:val="21"/>
                <w:szCs w:val="21"/>
              </w:rPr>
              <w:t>2011</w:t>
            </w:r>
          </w:p>
        </w:tc>
        <w:tc>
          <w:tcPr>
            <w:tcW w:w="4264" w:type="dxa"/>
            <w:vAlign w:val="center"/>
          </w:tcPr>
          <w:p>
            <w:pPr>
              <w:spacing w:line="240" w:lineRule="auto"/>
              <w:jc w:val="left"/>
              <w:rPr>
                <w:sz w:val="21"/>
                <w:szCs w:val="21"/>
              </w:rPr>
            </w:pPr>
            <w:r>
              <w:rPr>
                <w:sz w:val="21"/>
                <w:szCs w:val="21"/>
              </w:rPr>
              <w:t>环境科学与工程一级学科硕士点</w:t>
            </w:r>
          </w:p>
        </w:tc>
        <w:tc>
          <w:tcPr>
            <w:tcW w:w="3370" w:type="dxa"/>
            <w:vAlign w:val="center"/>
          </w:tcPr>
          <w:p>
            <w:pPr>
              <w:spacing w:line="240" w:lineRule="auto"/>
              <w:jc w:val="left"/>
              <w:rPr>
                <w:sz w:val="21"/>
                <w:szCs w:val="21"/>
              </w:rPr>
            </w:pPr>
            <w:r>
              <w:rPr>
                <w:sz w:val="21"/>
                <w:szCs w:val="21"/>
              </w:rPr>
              <w:t>2010年申报成功</w:t>
            </w:r>
          </w:p>
        </w:tc>
      </w:tr>
    </w:tbl>
    <w:p>
      <w:pPr>
        <w:pStyle w:val="7"/>
        <w:ind w:firstLine="480"/>
      </w:pPr>
      <w:r>
        <w:t>2. 在校生规模</w:t>
      </w:r>
    </w:p>
    <w:p>
      <w:pPr>
        <w:ind w:firstLine="480"/>
      </w:pPr>
      <w:r>
        <w:t>环境科学专业每年招生2个班约55名学生。2022年，环境类专业包括环境科学、环境工程按大类招生，尚未分流。环境科学在校生152人。</w:t>
      </w:r>
    </w:p>
    <w:p>
      <w:pPr>
        <w:spacing w:line="240" w:lineRule="auto"/>
        <w:jc w:val="center"/>
        <w:rPr>
          <w:b/>
          <w:bCs/>
          <w:sz w:val="21"/>
          <w:szCs w:val="21"/>
        </w:rPr>
      </w:pPr>
      <w:r>
        <w:rPr>
          <w:b/>
          <w:bCs/>
          <w:sz w:val="21"/>
          <w:szCs w:val="21"/>
        </w:rPr>
        <w:t>表2  环境科学专业在校生规模</w:t>
      </w:r>
    </w:p>
    <w:tbl>
      <w:tblPr>
        <w:tblStyle w:val="17"/>
        <w:tblW w:w="8304" w:type="dxa"/>
        <w:jc w:val="center"/>
        <w:tblLayout w:type="fixed"/>
        <w:tblCellMar>
          <w:top w:w="0" w:type="dxa"/>
          <w:left w:w="0" w:type="dxa"/>
          <w:bottom w:w="0" w:type="dxa"/>
          <w:right w:w="0" w:type="dxa"/>
        </w:tblCellMar>
      </w:tblPr>
      <w:tblGrid>
        <w:gridCol w:w="1384"/>
        <w:gridCol w:w="1300"/>
        <w:gridCol w:w="1275"/>
        <w:gridCol w:w="1276"/>
        <w:gridCol w:w="1843"/>
        <w:gridCol w:w="1226"/>
      </w:tblGrid>
      <w:tr>
        <w:tblPrEx>
          <w:tblCellMar>
            <w:top w:w="0" w:type="dxa"/>
            <w:left w:w="0" w:type="dxa"/>
            <w:bottom w:w="0" w:type="dxa"/>
            <w:right w:w="0" w:type="dxa"/>
          </w:tblCellMar>
        </w:tblPrEx>
        <w:trPr>
          <w:cantSplit/>
          <w:trHeight w:val="305" w:hRule="atLeast"/>
          <w:jc w:val="center"/>
        </w:trPr>
        <w:tc>
          <w:tcPr>
            <w:tcW w:w="1384" w:type="dxa"/>
            <w:tcBorders>
              <w:top w:val="single" w:color="000000" w:sz="8" w:space="0"/>
              <w:left w:val="single" w:color="000000" w:sz="8" w:space="0"/>
              <w:bottom w:val="single" w:color="000000" w:sz="8" w:space="0"/>
              <w:right w:val="single" w:color="000000" w:sz="8" w:space="0"/>
            </w:tcBorders>
            <w:tcMar>
              <w:top w:w="72" w:type="dxa"/>
              <w:left w:w="144" w:type="dxa"/>
              <w:bottom w:w="72" w:type="dxa"/>
              <w:right w:w="144" w:type="dxa"/>
            </w:tcMar>
            <w:vAlign w:val="center"/>
          </w:tcPr>
          <w:p>
            <w:pPr>
              <w:spacing w:line="240" w:lineRule="auto"/>
              <w:jc w:val="center"/>
              <w:rPr>
                <w:b/>
                <w:bCs/>
                <w:sz w:val="21"/>
                <w:szCs w:val="21"/>
              </w:rPr>
            </w:pPr>
            <w:r>
              <w:rPr>
                <w:b/>
                <w:bCs/>
                <w:sz w:val="21"/>
                <w:szCs w:val="21"/>
              </w:rPr>
              <w:t>年  份</w:t>
            </w:r>
          </w:p>
        </w:tc>
        <w:tc>
          <w:tcPr>
            <w:tcW w:w="1300" w:type="dxa"/>
            <w:tcBorders>
              <w:top w:val="single" w:color="000000" w:sz="8" w:space="0"/>
              <w:left w:val="single" w:color="000000" w:sz="8" w:space="0"/>
              <w:bottom w:val="single" w:color="000000" w:sz="8" w:space="0"/>
              <w:right w:val="single" w:color="000000" w:sz="8" w:space="0"/>
            </w:tcBorders>
            <w:tcMar>
              <w:top w:w="72" w:type="dxa"/>
              <w:left w:w="144" w:type="dxa"/>
              <w:bottom w:w="72" w:type="dxa"/>
              <w:right w:w="144" w:type="dxa"/>
            </w:tcMar>
            <w:vAlign w:val="center"/>
          </w:tcPr>
          <w:p>
            <w:pPr>
              <w:spacing w:line="240" w:lineRule="auto"/>
              <w:jc w:val="center"/>
              <w:rPr>
                <w:b/>
                <w:bCs/>
                <w:sz w:val="21"/>
                <w:szCs w:val="21"/>
              </w:rPr>
            </w:pPr>
            <w:r>
              <w:rPr>
                <w:b/>
                <w:bCs/>
                <w:sz w:val="21"/>
                <w:szCs w:val="21"/>
              </w:rPr>
              <w:t>2019</w:t>
            </w:r>
          </w:p>
        </w:tc>
        <w:tc>
          <w:tcPr>
            <w:tcW w:w="1275" w:type="dxa"/>
            <w:tcBorders>
              <w:top w:val="single" w:color="000000" w:sz="8" w:space="0"/>
              <w:left w:val="single" w:color="000000" w:sz="8" w:space="0"/>
              <w:bottom w:val="single" w:color="000000" w:sz="8" w:space="0"/>
              <w:right w:val="single" w:color="000000" w:sz="8" w:space="0"/>
            </w:tcBorders>
            <w:tcMar>
              <w:top w:w="72" w:type="dxa"/>
              <w:left w:w="144" w:type="dxa"/>
              <w:bottom w:w="72" w:type="dxa"/>
              <w:right w:w="144" w:type="dxa"/>
            </w:tcMar>
            <w:vAlign w:val="center"/>
          </w:tcPr>
          <w:p>
            <w:pPr>
              <w:spacing w:line="240" w:lineRule="auto"/>
              <w:jc w:val="center"/>
              <w:rPr>
                <w:b/>
                <w:bCs/>
                <w:sz w:val="21"/>
                <w:szCs w:val="21"/>
              </w:rPr>
            </w:pPr>
            <w:r>
              <w:rPr>
                <w:b/>
                <w:bCs/>
                <w:sz w:val="21"/>
                <w:szCs w:val="21"/>
              </w:rPr>
              <w:t>2020</w:t>
            </w:r>
          </w:p>
        </w:tc>
        <w:tc>
          <w:tcPr>
            <w:tcW w:w="1276" w:type="dxa"/>
            <w:tcBorders>
              <w:top w:val="single" w:color="000000" w:sz="8" w:space="0"/>
              <w:left w:val="single" w:color="000000" w:sz="8" w:space="0"/>
              <w:bottom w:val="single" w:color="000000" w:sz="8" w:space="0"/>
              <w:right w:val="single" w:color="000000" w:sz="8" w:space="0"/>
            </w:tcBorders>
            <w:tcMar>
              <w:top w:w="72" w:type="dxa"/>
              <w:left w:w="144" w:type="dxa"/>
              <w:bottom w:w="72" w:type="dxa"/>
              <w:right w:w="144" w:type="dxa"/>
            </w:tcMar>
            <w:vAlign w:val="center"/>
          </w:tcPr>
          <w:p>
            <w:pPr>
              <w:spacing w:line="240" w:lineRule="auto"/>
              <w:jc w:val="center"/>
              <w:rPr>
                <w:b/>
                <w:bCs/>
                <w:sz w:val="21"/>
                <w:szCs w:val="21"/>
              </w:rPr>
            </w:pPr>
            <w:r>
              <w:rPr>
                <w:b/>
                <w:bCs/>
                <w:sz w:val="21"/>
                <w:szCs w:val="21"/>
              </w:rPr>
              <w:t>2021</w:t>
            </w:r>
          </w:p>
        </w:tc>
        <w:tc>
          <w:tcPr>
            <w:tcW w:w="1843" w:type="dxa"/>
            <w:tcBorders>
              <w:top w:val="single" w:color="000000" w:sz="8" w:space="0"/>
              <w:left w:val="single" w:color="000000" w:sz="8" w:space="0"/>
              <w:bottom w:val="single" w:color="000000" w:sz="8" w:space="0"/>
              <w:right w:val="single" w:color="000000" w:sz="8" w:space="0"/>
            </w:tcBorders>
            <w:tcMar>
              <w:top w:w="72" w:type="dxa"/>
              <w:left w:w="144" w:type="dxa"/>
              <w:bottom w:w="72" w:type="dxa"/>
              <w:right w:w="144" w:type="dxa"/>
            </w:tcMar>
            <w:vAlign w:val="center"/>
          </w:tcPr>
          <w:p>
            <w:pPr>
              <w:spacing w:line="240" w:lineRule="auto"/>
              <w:jc w:val="center"/>
              <w:rPr>
                <w:b/>
                <w:bCs/>
                <w:sz w:val="21"/>
                <w:szCs w:val="21"/>
              </w:rPr>
            </w:pPr>
            <w:r>
              <w:rPr>
                <w:b/>
                <w:bCs/>
                <w:sz w:val="21"/>
                <w:szCs w:val="21"/>
              </w:rPr>
              <w:t>2022</w:t>
            </w:r>
          </w:p>
        </w:tc>
        <w:tc>
          <w:tcPr>
            <w:tcW w:w="1226" w:type="dxa"/>
            <w:tcBorders>
              <w:top w:val="single" w:color="000000" w:sz="8" w:space="0"/>
              <w:left w:val="single" w:color="000000" w:sz="8" w:space="0"/>
              <w:bottom w:val="single" w:color="000000" w:sz="8" w:space="0"/>
              <w:right w:val="single" w:color="000000" w:sz="8" w:space="0"/>
            </w:tcBorders>
            <w:tcMar>
              <w:top w:w="72" w:type="dxa"/>
              <w:left w:w="144" w:type="dxa"/>
              <w:bottom w:w="72" w:type="dxa"/>
              <w:right w:w="144" w:type="dxa"/>
            </w:tcMar>
            <w:vAlign w:val="center"/>
          </w:tcPr>
          <w:p>
            <w:pPr>
              <w:spacing w:line="240" w:lineRule="auto"/>
              <w:jc w:val="center"/>
              <w:rPr>
                <w:b/>
                <w:bCs/>
                <w:sz w:val="21"/>
                <w:szCs w:val="21"/>
              </w:rPr>
            </w:pPr>
            <w:r>
              <w:rPr>
                <w:b/>
                <w:bCs/>
                <w:sz w:val="21"/>
                <w:szCs w:val="21"/>
              </w:rPr>
              <w:t>合计</w:t>
            </w:r>
          </w:p>
        </w:tc>
      </w:tr>
      <w:tr>
        <w:tblPrEx>
          <w:tblCellMar>
            <w:top w:w="0" w:type="dxa"/>
            <w:left w:w="0" w:type="dxa"/>
            <w:bottom w:w="0" w:type="dxa"/>
            <w:right w:w="0" w:type="dxa"/>
          </w:tblCellMar>
        </w:tblPrEx>
        <w:trPr>
          <w:cantSplit/>
          <w:trHeight w:val="305" w:hRule="atLeast"/>
          <w:jc w:val="center"/>
        </w:trPr>
        <w:tc>
          <w:tcPr>
            <w:tcW w:w="1384" w:type="dxa"/>
            <w:tcBorders>
              <w:top w:val="single" w:color="000000" w:sz="8" w:space="0"/>
              <w:left w:val="single" w:color="000000" w:sz="8" w:space="0"/>
              <w:bottom w:val="single" w:color="000000" w:sz="8" w:space="0"/>
              <w:right w:val="single" w:color="000000" w:sz="8" w:space="0"/>
            </w:tcBorders>
            <w:tcMar>
              <w:top w:w="72" w:type="dxa"/>
              <w:left w:w="144" w:type="dxa"/>
              <w:bottom w:w="72" w:type="dxa"/>
              <w:right w:w="144" w:type="dxa"/>
            </w:tcMar>
            <w:vAlign w:val="center"/>
          </w:tcPr>
          <w:p>
            <w:pPr>
              <w:spacing w:line="240" w:lineRule="auto"/>
              <w:jc w:val="center"/>
              <w:rPr>
                <w:sz w:val="21"/>
                <w:szCs w:val="21"/>
              </w:rPr>
            </w:pPr>
            <w:r>
              <w:rPr>
                <w:sz w:val="21"/>
                <w:szCs w:val="21"/>
              </w:rPr>
              <w:t>学生人数</w:t>
            </w:r>
          </w:p>
        </w:tc>
        <w:tc>
          <w:tcPr>
            <w:tcW w:w="1300" w:type="dxa"/>
            <w:tcBorders>
              <w:top w:val="single" w:color="000000" w:sz="8" w:space="0"/>
              <w:left w:val="single" w:color="000000" w:sz="8" w:space="0"/>
              <w:bottom w:val="single" w:color="000000" w:sz="8" w:space="0"/>
              <w:right w:val="single" w:color="000000" w:sz="8" w:space="0"/>
            </w:tcBorders>
            <w:vAlign w:val="center"/>
          </w:tcPr>
          <w:p>
            <w:pPr>
              <w:spacing w:line="240" w:lineRule="auto"/>
              <w:jc w:val="center"/>
              <w:rPr>
                <w:sz w:val="21"/>
                <w:szCs w:val="21"/>
              </w:rPr>
            </w:pPr>
            <w:r>
              <w:rPr>
                <w:sz w:val="21"/>
                <w:szCs w:val="21"/>
              </w:rPr>
              <w:t>50</w:t>
            </w:r>
          </w:p>
        </w:tc>
        <w:tc>
          <w:tcPr>
            <w:tcW w:w="1275" w:type="dxa"/>
            <w:tcBorders>
              <w:top w:val="single" w:color="000000" w:sz="8" w:space="0"/>
              <w:left w:val="single" w:color="000000" w:sz="8" w:space="0"/>
              <w:bottom w:val="single" w:color="000000" w:sz="8" w:space="0"/>
              <w:right w:val="single" w:color="000000" w:sz="8" w:space="0"/>
            </w:tcBorders>
            <w:vAlign w:val="center"/>
          </w:tcPr>
          <w:p>
            <w:pPr>
              <w:spacing w:line="240" w:lineRule="auto"/>
              <w:jc w:val="center"/>
              <w:rPr>
                <w:sz w:val="21"/>
                <w:szCs w:val="21"/>
              </w:rPr>
            </w:pPr>
            <w:r>
              <w:rPr>
                <w:sz w:val="21"/>
                <w:szCs w:val="21"/>
              </w:rPr>
              <w:t>54</w:t>
            </w:r>
          </w:p>
        </w:tc>
        <w:tc>
          <w:tcPr>
            <w:tcW w:w="1276" w:type="dxa"/>
            <w:tcBorders>
              <w:top w:val="single" w:color="000000" w:sz="8" w:space="0"/>
              <w:left w:val="single" w:color="000000" w:sz="8" w:space="0"/>
              <w:bottom w:val="single" w:color="000000" w:sz="8" w:space="0"/>
              <w:right w:val="single" w:color="000000" w:sz="8" w:space="0"/>
            </w:tcBorders>
            <w:vAlign w:val="center"/>
          </w:tcPr>
          <w:p>
            <w:pPr>
              <w:spacing w:line="240" w:lineRule="auto"/>
              <w:jc w:val="center"/>
              <w:rPr>
                <w:sz w:val="21"/>
                <w:szCs w:val="21"/>
              </w:rPr>
            </w:pPr>
            <w:r>
              <w:rPr>
                <w:sz w:val="21"/>
                <w:szCs w:val="21"/>
              </w:rPr>
              <w:t>48</w:t>
            </w:r>
          </w:p>
        </w:tc>
        <w:tc>
          <w:tcPr>
            <w:tcW w:w="1843" w:type="dxa"/>
            <w:tcBorders>
              <w:top w:val="single" w:color="000000" w:sz="8" w:space="0"/>
              <w:left w:val="single" w:color="000000" w:sz="8" w:space="0"/>
              <w:bottom w:val="single" w:color="000000" w:sz="8" w:space="0"/>
              <w:right w:val="single" w:color="000000" w:sz="8" w:space="0"/>
            </w:tcBorders>
            <w:vAlign w:val="center"/>
          </w:tcPr>
          <w:p>
            <w:pPr>
              <w:spacing w:line="240" w:lineRule="auto"/>
              <w:jc w:val="center"/>
              <w:rPr>
                <w:sz w:val="21"/>
                <w:szCs w:val="21"/>
              </w:rPr>
            </w:pPr>
            <w:r>
              <w:rPr>
                <w:sz w:val="21"/>
                <w:szCs w:val="21"/>
              </w:rPr>
              <w:t>环境类大类招生</w:t>
            </w:r>
          </w:p>
        </w:tc>
        <w:tc>
          <w:tcPr>
            <w:tcW w:w="1226" w:type="dxa"/>
            <w:tcBorders>
              <w:top w:val="single" w:color="000000" w:sz="8" w:space="0"/>
              <w:left w:val="single" w:color="000000" w:sz="8" w:space="0"/>
              <w:bottom w:val="single" w:color="000000" w:sz="8" w:space="0"/>
              <w:right w:val="single" w:color="000000" w:sz="8" w:space="0"/>
            </w:tcBorders>
            <w:tcMar>
              <w:top w:w="15" w:type="dxa"/>
              <w:left w:w="15" w:type="dxa"/>
              <w:bottom w:w="0" w:type="dxa"/>
              <w:right w:w="15" w:type="dxa"/>
            </w:tcMar>
            <w:vAlign w:val="center"/>
          </w:tcPr>
          <w:p>
            <w:pPr>
              <w:spacing w:line="240" w:lineRule="auto"/>
              <w:jc w:val="center"/>
              <w:rPr>
                <w:sz w:val="21"/>
                <w:szCs w:val="21"/>
              </w:rPr>
            </w:pPr>
            <w:r>
              <w:rPr>
                <w:sz w:val="21"/>
                <w:szCs w:val="21"/>
              </w:rPr>
              <w:t>152</w:t>
            </w:r>
          </w:p>
        </w:tc>
      </w:tr>
    </w:tbl>
    <w:p>
      <w:pPr>
        <w:pStyle w:val="7"/>
        <w:ind w:firstLine="480"/>
      </w:pPr>
      <w:r>
        <w:t>3. 课程设置情况</w:t>
      </w:r>
    </w:p>
    <w:p>
      <w:pPr>
        <w:ind w:firstLine="480"/>
      </w:pPr>
      <w:r>
        <w:t>环境科学专业为环境科学与工程一级学科下的二级学科，学生需要掌握理学、工学等有关知识。同时，根据我院办学历史和优势，环境科学专业学生还需学习土壤学、地理信息系统技术等。2019年，为了适应大类招生，修订了环境科学专业的培养方案；2022年，根据学校要求重新修订人才培养方案。课程共170学分。其中，必修课总学分145.5、选修课学分24.5、实践教学学分47.5（含操作性实验课学分和实践学分，其中理论课所含的实验实训学分按所占理论课学时进行换算），占总学分28%。主要课程包括物物理化学与胶体化学、环境学、环境生态学、环境化学、环境生物学、环境监测、环境工程学、环境质量及评价、环境管理与环境法、环境信息系统、环境影响评价、土壤污染修复、环境工程原理等。实践性教学环节包括基础实践、专业实践和综合实践三部分。其中专业实践包括：环境科学认识实习、环境科学综合实习、环境工程课程设计、环境影响评价课程设计、环境监测课程论文、环境管理与规划课程论文等。实验课程包括大学计算机基础实验、大学物理学实验、基础化学实验、物理化学与胶体化学实验、生物化学实验、微生物学实验、土壤学实验、环境化学及生物综合实验、环境工程综合实验、环境监测综合实验等。</w:t>
      </w:r>
    </w:p>
    <w:p>
      <w:pPr>
        <w:pStyle w:val="7"/>
        <w:ind w:firstLine="480"/>
      </w:pPr>
      <w:r>
        <w:t>4. 创新创业教育</w:t>
      </w:r>
    </w:p>
    <w:p>
      <w:pPr>
        <w:ind w:firstLine="480"/>
      </w:pPr>
      <w:r>
        <w:t>学院积极重视大学生创新创业教育，把创新创业教育作为深化教育教学改革的重要内容纳入教学计划，在人才培养方案中加入创业教育内容，完善创新创业教育体系；坚持</w:t>
      </w:r>
      <w:r>
        <w:rPr>
          <w:rFonts w:hint="eastAsia"/>
        </w:rPr>
        <w:t>“</w:t>
      </w:r>
      <w:r>
        <w:t>全力支持、全程指导、全员覆盖</w:t>
      </w:r>
      <w:r>
        <w:rPr>
          <w:rFonts w:hint="eastAsia"/>
        </w:rPr>
        <w:t>”</w:t>
      </w:r>
      <w:r>
        <w:t>理念，实施课堂教育、专家传道、课外实践</w:t>
      </w:r>
      <w:r>
        <w:rPr>
          <w:rFonts w:hint="eastAsia"/>
        </w:rPr>
        <w:t>“</w:t>
      </w:r>
      <w:r>
        <w:t>三位一体</w:t>
      </w:r>
      <w:r>
        <w:rPr>
          <w:rFonts w:hint="eastAsia"/>
        </w:rPr>
        <w:t>”</w:t>
      </w:r>
      <w:r>
        <w:t>的教育模式，组织指导教师，专门对学生创新创业进行指导，并对优秀指导教师进行适当奖励；积极为大学生创新创业搭建平台，鼓励大学生申报国家级大学生创新创业训练计划项目、大学生创新创业引领计划（SIEG）项目、大学生研究训练计划（SRT）项目，组织大学生创新创业团队参加</w:t>
      </w:r>
      <w:r>
        <w:rPr>
          <w:rFonts w:hint="eastAsia"/>
        </w:rPr>
        <w:t>“</w:t>
      </w:r>
      <w:r>
        <w:t>挑战杯</w:t>
      </w:r>
      <w:r>
        <w:rPr>
          <w:rFonts w:hint="eastAsia"/>
        </w:rPr>
        <w:t>”</w:t>
      </w:r>
      <w:r>
        <w:t>大学生创业计划大赛、泰安市大学生科技创新行动计划和学风建设精品工程等大学生创新创业实践活动；积极为学生开展创新创业活动提供支持，设立专项经费支持大学生开展国家大学生创新创业训练计划项目、参加大学生创业计划大赛等活动，拨付专项资金，为创业团队购买甲醛测定仪、实验台、空气净化器等仪器设备；加强实验室开放管理，从实验场所、仪器设备使用等方面给予全力支持，尽力协调，保证大学生创新创业活动的应用。3人参加全国大学生市政环境类创新实践能力第三届</w:t>
      </w:r>
      <w:r>
        <w:rPr>
          <w:rFonts w:hint="eastAsia"/>
        </w:rPr>
        <w:t>“</w:t>
      </w:r>
      <w:r>
        <w:t>北控水务杯</w:t>
      </w:r>
      <w:r>
        <w:rPr>
          <w:rFonts w:hint="eastAsia"/>
        </w:rPr>
        <w:t>”</w:t>
      </w:r>
      <w:r>
        <w:t>大赛，并获得化验赛三等奖3项。</w:t>
      </w:r>
    </w:p>
    <w:p>
      <w:pPr>
        <w:ind w:firstLine="480"/>
      </w:pPr>
      <w:r>
        <w:t>鼓励学生积极申报国家大学生创新实验计划、学校大学生研究训练计划（SRT），结合指导教师科研项目内容，开展环境监测、环境毒理、污染治理、污染环境修复等环境科学与工程有关研究。2022年，学生共结题2项国家大学生创新实验计划、11项学校大学生研究训练计划。通过研究训练，学生的创新能力有了较大提高。</w:t>
      </w:r>
    </w:p>
    <w:p>
      <w:pPr>
        <w:ind w:firstLine="480"/>
      </w:pPr>
      <w:r>
        <w:t>学院在泮河校区建立了创新创业中心，环境科学专业学生成立了室内气体污染物含量测定与吸附创业项目团队及PM2.5空气质量检测与防护团队，阅味创意文化传播公司等。经过训练，大学生的创业实践能力得以提高。</w:t>
      </w:r>
    </w:p>
    <w:p>
      <w:pPr>
        <w:pStyle w:val="5"/>
        <w:spacing w:before="93" w:after="93"/>
        <w:ind w:firstLine="560"/>
      </w:pPr>
      <w:bookmarkStart w:id="135" w:name="_Toc2921"/>
      <w:r>
        <w:t>三、培养条件（教学经费投入、教学设备、教师队伍建设、实习基地、现代教学技术应用等）</w:t>
      </w:r>
      <w:bookmarkEnd w:id="135"/>
    </w:p>
    <w:p>
      <w:pPr>
        <w:pStyle w:val="7"/>
        <w:ind w:firstLine="480"/>
      </w:pPr>
      <w:r>
        <w:t>1. 教学经费投入</w:t>
      </w:r>
    </w:p>
    <w:p>
      <w:pPr>
        <w:ind w:firstLine="480"/>
      </w:pPr>
      <w:r>
        <w:t>近年来，专业加大教学保证仪器设备、软件及日常教学等各种教学投入，保证教学，提高质量。</w:t>
      </w:r>
    </w:p>
    <w:p>
      <w:pPr>
        <w:ind w:firstLine="480"/>
      </w:pPr>
      <w:r>
        <w:t>2022年，资源与环境学院实验教学中心通过政府贴息贷款项目申购5083台套仪器设备、教学设施，共计2197万元；另外采购《城市污水处理3D仿真工厂》《垃圾填埋场填埋仿真软件》《区域监测虚拟仿真软件》等虚拟仿真教学系统14套共计182万元；该项目将通过淘汰替换、补充扩容、新增提升，极大改善教学条件和实验条件。日常教学投入也进一步加大，如教学实习、实验室维护、维修、日常实验材料购置等。</w:t>
      </w:r>
    </w:p>
    <w:p>
      <w:pPr>
        <w:pStyle w:val="7"/>
        <w:ind w:firstLine="480"/>
      </w:pPr>
      <w:r>
        <w:t>2. 教学设备</w:t>
      </w:r>
    </w:p>
    <w:p>
      <w:pPr>
        <w:ind w:firstLine="480"/>
      </w:pPr>
      <w:r>
        <w:t>环境科学专业在泮河校区A楼拥有实验室11间，主要承担环境科学专业、环境工程专业及资环专业的环境监测实验、环境工程实验、环境化学实验、环境生物学实验、气象学实验等。在B楼拥有实验室2间，主要是污水处理模型、大气污染控制模型、固体废物处理模型实验室。</w:t>
      </w:r>
    </w:p>
    <w:p>
      <w:pPr>
        <w:ind w:firstLine="480"/>
      </w:pPr>
      <w:r>
        <w:t>现有教学设备原子吸收分光光度计、气相色谱仪器、液相色谱仪、紫外分光光度计、红外测油仪、二氧化硫测定仪、氡测定仪、COD测定仪、污水处理工程处理模型、大气污染控制工程实验模型、固体废物处理模型等。</w:t>
      </w:r>
    </w:p>
    <w:p>
      <w:pPr>
        <w:ind w:firstLine="480"/>
      </w:pPr>
      <w:r>
        <w:t>相对来说，实验空间条件和装备均在努力建设，但仍和国内大部分院校存在较大差距。</w:t>
      </w:r>
    </w:p>
    <w:p>
      <w:pPr>
        <w:pStyle w:val="7"/>
        <w:ind w:firstLine="480"/>
      </w:pPr>
      <w:r>
        <w:t>3. 教师队伍建设</w:t>
      </w:r>
    </w:p>
    <w:p>
      <w:pPr>
        <w:ind w:firstLine="480"/>
        <w:rPr>
          <w:b/>
          <w:bCs/>
          <w:sz w:val="21"/>
          <w:szCs w:val="21"/>
        </w:rPr>
      </w:pPr>
      <w:r>
        <w:t>2022年本专业新进教师2名，退休1人，目前本专业拥有教师28人，其中教授5人，副教授17人，讲师6人。从年龄结构上看，50岁以上6人，41-50岁9人，31-40岁11人，30岁及以下2人，可以看出，本学科师资是以中青年为主的。近五年引进青年教师12人，来自中国科学院地理科学与资源研究所、中国科学技术大学、日本岐阜大学、南开大学、山东大学、中国农业大学、中国海洋大学、湖南大学、兰州大学、福建农林大学等高校，补充了新鲜力量。</w:t>
      </w:r>
    </w:p>
    <w:p>
      <w:pPr>
        <w:spacing w:line="240" w:lineRule="auto"/>
        <w:jc w:val="center"/>
        <w:rPr>
          <w:sz w:val="21"/>
          <w:szCs w:val="21"/>
        </w:rPr>
      </w:pPr>
    </w:p>
    <w:p>
      <w:pPr>
        <w:spacing w:line="240" w:lineRule="auto"/>
        <w:jc w:val="center"/>
        <w:rPr>
          <w:b/>
          <w:bCs/>
          <w:sz w:val="21"/>
          <w:szCs w:val="21"/>
        </w:rPr>
      </w:pPr>
      <w:r>
        <w:rPr>
          <w:b/>
          <w:bCs/>
          <w:sz w:val="21"/>
          <w:szCs w:val="21"/>
        </w:rPr>
        <w:t>表3  环境科学专业师资队伍情况</w:t>
      </w:r>
    </w:p>
    <w:tbl>
      <w:tblPr>
        <w:tblStyle w:val="17"/>
        <w:tblW w:w="82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8"/>
        <w:gridCol w:w="1338"/>
        <w:gridCol w:w="645"/>
        <w:gridCol w:w="1291"/>
        <w:gridCol w:w="860"/>
        <w:gridCol w:w="2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tblHeader/>
          <w:jc w:val="center"/>
        </w:trPr>
        <w:tc>
          <w:tcPr>
            <w:tcW w:w="1168" w:type="dxa"/>
            <w:vAlign w:val="center"/>
          </w:tcPr>
          <w:p>
            <w:pPr>
              <w:spacing w:line="240" w:lineRule="auto"/>
              <w:jc w:val="center"/>
              <w:rPr>
                <w:b/>
                <w:bCs/>
                <w:sz w:val="21"/>
                <w:szCs w:val="21"/>
              </w:rPr>
            </w:pPr>
            <w:r>
              <w:rPr>
                <w:b/>
                <w:bCs/>
                <w:sz w:val="21"/>
                <w:szCs w:val="21"/>
              </w:rPr>
              <w:t>序号</w:t>
            </w:r>
          </w:p>
        </w:tc>
        <w:tc>
          <w:tcPr>
            <w:tcW w:w="1338" w:type="dxa"/>
            <w:vAlign w:val="center"/>
          </w:tcPr>
          <w:p>
            <w:pPr>
              <w:spacing w:line="240" w:lineRule="auto"/>
              <w:jc w:val="center"/>
              <w:rPr>
                <w:b/>
                <w:bCs/>
                <w:sz w:val="21"/>
                <w:szCs w:val="21"/>
              </w:rPr>
            </w:pPr>
            <w:r>
              <w:rPr>
                <w:b/>
                <w:bCs/>
                <w:sz w:val="21"/>
                <w:szCs w:val="21"/>
              </w:rPr>
              <w:t>姓  名</w:t>
            </w:r>
          </w:p>
        </w:tc>
        <w:tc>
          <w:tcPr>
            <w:tcW w:w="645" w:type="dxa"/>
            <w:vAlign w:val="center"/>
          </w:tcPr>
          <w:p>
            <w:pPr>
              <w:spacing w:line="240" w:lineRule="auto"/>
              <w:jc w:val="center"/>
              <w:rPr>
                <w:b/>
                <w:bCs/>
                <w:sz w:val="21"/>
                <w:szCs w:val="21"/>
              </w:rPr>
            </w:pPr>
            <w:r>
              <w:rPr>
                <w:b/>
                <w:bCs/>
                <w:sz w:val="21"/>
                <w:szCs w:val="21"/>
              </w:rPr>
              <w:t>年龄</w:t>
            </w:r>
          </w:p>
        </w:tc>
        <w:tc>
          <w:tcPr>
            <w:tcW w:w="1291" w:type="dxa"/>
            <w:vAlign w:val="center"/>
          </w:tcPr>
          <w:p>
            <w:pPr>
              <w:spacing w:line="240" w:lineRule="auto"/>
              <w:jc w:val="center"/>
              <w:rPr>
                <w:b/>
                <w:bCs/>
                <w:sz w:val="21"/>
                <w:szCs w:val="21"/>
              </w:rPr>
            </w:pPr>
            <w:r>
              <w:rPr>
                <w:b/>
                <w:bCs/>
                <w:sz w:val="21"/>
                <w:szCs w:val="21"/>
              </w:rPr>
              <w:t>职  称</w:t>
            </w:r>
          </w:p>
        </w:tc>
        <w:tc>
          <w:tcPr>
            <w:tcW w:w="860" w:type="dxa"/>
            <w:vAlign w:val="center"/>
          </w:tcPr>
          <w:p>
            <w:pPr>
              <w:spacing w:line="240" w:lineRule="auto"/>
              <w:jc w:val="center"/>
              <w:rPr>
                <w:b/>
                <w:bCs/>
                <w:sz w:val="21"/>
                <w:szCs w:val="21"/>
              </w:rPr>
            </w:pPr>
            <w:r>
              <w:rPr>
                <w:b/>
                <w:bCs/>
                <w:sz w:val="21"/>
                <w:szCs w:val="21"/>
              </w:rPr>
              <w:t>学位</w:t>
            </w:r>
          </w:p>
        </w:tc>
        <w:tc>
          <w:tcPr>
            <w:tcW w:w="2962" w:type="dxa"/>
            <w:vAlign w:val="center"/>
          </w:tcPr>
          <w:p>
            <w:pPr>
              <w:spacing w:line="240" w:lineRule="auto"/>
              <w:jc w:val="center"/>
              <w:rPr>
                <w:b/>
                <w:bCs/>
                <w:sz w:val="21"/>
                <w:szCs w:val="21"/>
              </w:rPr>
            </w:pPr>
            <w:r>
              <w:rPr>
                <w:b/>
                <w:bCs/>
                <w:sz w:val="21"/>
                <w:szCs w:val="21"/>
              </w:rPr>
              <w:t>毕业院校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1168" w:type="dxa"/>
            <w:vAlign w:val="center"/>
          </w:tcPr>
          <w:p>
            <w:pPr>
              <w:spacing w:line="240" w:lineRule="auto"/>
              <w:jc w:val="center"/>
              <w:rPr>
                <w:sz w:val="21"/>
                <w:szCs w:val="21"/>
              </w:rPr>
            </w:pPr>
            <w:r>
              <w:rPr>
                <w:sz w:val="21"/>
                <w:szCs w:val="21"/>
              </w:rPr>
              <w:t>1</w:t>
            </w:r>
          </w:p>
        </w:tc>
        <w:tc>
          <w:tcPr>
            <w:tcW w:w="1338" w:type="dxa"/>
            <w:vAlign w:val="center"/>
          </w:tcPr>
          <w:p>
            <w:pPr>
              <w:spacing w:line="240" w:lineRule="auto"/>
              <w:jc w:val="center"/>
              <w:rPr>
                <w:sz w:val="21"/>
                <w:szCs w:val="21"/>
              </w:rPr>
            </w:pPr>
            <w:r>
              <w:rPr>
                <w:sz w:val="21"/>
                <w:szCs w:val="21"/>
              </w:rPr>
              <w:t>朱鲁生</w:t>
            </w:r>
          </w:p>
        </w:tc>
        <w:tc>
          <w:tcPr>
            <w:tcW w:w="645" w:type="dxa"/>
            <w:vAlign w:val="center"/>
          </w:tcPr>
          <w:p>
            <w:pPr>
              <w:spacing w:line="240" w:lineRule="auto"/>
              <w:jc w:val="center"/>
              <w:rPr>
                <w:sz w:val="21"/>
                <w:szCs w:val="21"/>
              </w:rPr>
            </w:pPr>
            <w:r>
              <w:rPr>
                <w:sz w:val="21"/>
                <w:szCs w:val="21"/>
              </w:rPr>
              <w:t>59</w:t>
            </w:r>
          </w:p>
        </w:tc>
        <w:tc>
          <w:tcPr>
            <w:tcW w:w="1291" w:type="dxa"/>
            <w:vAlign w:val="center"/>
          </w:tcPr>
          <w:p>
            <w:pPr>
              <w:spacing w:line="240" w:lineRule="auto"/>
              <w:jc w:val="center"/>
              <w:rPr>
                <w:sz w:val="21"/>
                <w:szCs w:val="21"/>
              </w:rPr>
            </w:pPr>
            <w:r>
              <w:rPr>
                <w:sz w:val="21"/>
                <w:szCs w:val="21"/>
              </w:rPr>
              <w:t>教授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浙江大学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2</w:t>
            </w:r>
          </w:p>
        </w:tc>
        <w:tc>
          <w:tcPr>
            <w:tcW w:w="1338" w:type="dxa"/>
            <w:vAlign w:val="center"/>
          </w:tcPr>
          <w:p>
            <w:pPr>
              <w:spacing w:line="240" w:lineRule="auto"/>
              <w:jc w:val="center"/>
              <w:rPr>
                <w:sz w:val="21"/>
                <w:szCs w:val="21"/>
              </w:rPr>
            </w:pPr>
            <w:r>
              <w:rPr>
                <w:sz w:val="21"/>
                <w:szCs w:val="21"/>
              </w:rPr>
              <w:t>王金花</w:t>
            </w:r>
          </w:p>
        </w:tc>
        <w:tc>
          <w:tcPr>
            <w:tcW w:w="645" w:type="dxa"/>
            <w:vAlign w:val="center"/>
          </w:tcPr>
          <w:p>
            <w:pPr>
              <w:spacing w:line="240" w:lineRule="auto"/>
              <w:jc w:val="center"/>
              <w:rPr>
                <w:sz w:val="21"/>
                <w:szCs w:val="21"/>
              </w:rPr>
            </w:pPr>
            <w:r>
              <w:rPr>
                <w:sz w:val="21"/>
                <w:szCs w:val="21"/>
              </w:rPr>
              <w:t>44</w:t>
            </w:r>
          </w:p>
        </w:tc>
        <w:tc>
          <w:tcPr>
            <w:tcW w:w="1291" w:type="dxa"/>
            <w:vAlign w:val="center"/>
          </w:tcPr>
          <w:p>
            <w:pPr>
              <w:spacing w:line="240" w:lineRule="auto"/>
              <w:jc w:val="center"/>
              <w:rPr>
                <w:sz w:val="21"/>
                <w:szCs w:val="21"/>
              </w:rPr>
            </w:pPr>
            <w:r>
              <w:rPr>
                <w:sz w:val="21"/>
                <w:szCs w:val="21"/>
              </w:rPr>
              <w:t>教授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上海交通大学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3</w:t>
            </w:r>
          </w:p>
        </w:tc>
        <w:tc>
          <w:tcPr>
            <w:tcW w:w="1338" w:type="dxa"/>
            <w:vAlign w:val="center"/>
          </w:tcPr>
          <w:p>
            <w:pPr>
              <w:spacing w:line="240" w:lineRule="auto"/>
              <w:jc w:val="center"/>
              <w:rPr>
                <w:sz w:val="21"/>
                <w:szCs w:val="21"/>
              </w:rPr>
            </w:pPr>
            <w:r>
              <w:rPr>
                <w:sz w:val="21"/>
                <w:szCs w:val="21"/>
              </w:rPr>
              <w:t>王  军</w:t>
            </w:r>
          </w:p>
        </w:tc>
        <w:tc>
          <w:tcPr>
            <w:tcW w:w="645" w:type="dxa"/>
            <w:vAlign w:val="center"/>
          </w:tcPr>
          <w:p>
            <w:pPr>
              <w:spacing w:line="240" w:lineRule="auto"/>
              <w:jc w:val="center"/>
              <w:rPr>
                <w:sz w:val="21"/>
                <w:szCs w:val="21"/>
              </w:rPr>
            </w:pPr>
            <w:r>
              <w:rPr>
                <w:sz w:val="21"/>
                <w:szCs w:val="21"/>
              </w:rPr>
              <w:t>45</w:t>
            </w:r>
          </w:p>
        </w:tc>
        <w:tc>
          <w:tcPr>
            <w:tcW w:w="1291" w:type="dxa"/>
            <w:vAlign w:val="center"/>
          </w:tcPr>
          <w:p>
            <w:pPr>
              <w:spacing w:line="240" w:lineRule="auto"/>
              <w:jc w:val="center"/>
              <w:rPr>
                <w:sz w:val="21"/>
                <w:szCs w:val="21"/>
              </w:rPr>
            </w:pPr>
            <w:r>
              <w:rPr>
                <w:sz w:val="21"/>
                <w:szCs w:val="21"/>
              </w:rPr>
              <w:t>教授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4</w:t>
            </w:r>
          </w:p>
        </w:tc>
        <w:tc>
          <w:tcPr>
            <w:tcW w:w="1338" w:type="dxa"/>
            <w:vAlign w:val="center"/>
          </w:tcPr>
          <w:p>
            <w:pPr>
              <w:spacing w:line="240" w:lineRule="auto"/>
              <w:jc w:val="center"/>
              <w:rPr>
                <w:sz w:val="21"/>
                <w:szCs w:val="21"/>
              </w:rPr>
            </w:pPr>
            <w:r>
              <w:rPr>
                <w:sz w:val="21"/>
                <w:szCs w:val="21"/>
              </w:rPr>
              <w:t>付伟章</w:t>
            </w:r>
          </w:p>
        </w:tc>
        <w:tc>
          <w:tcPr>
            <w:tcW w:w="645" w:type="dxa"/>
            <w:vAlign w:val="center"/>
          </w:tcPr>
          <w:p>
            <w:pPr>
              <w:spacing w:line="240" w:lineRule="auto"/>
              <w:jc w:val="center"/>
              <w:rPr>
                <w:sz w:val="21"/>
                <w:szCs w:val="21"/>
              </w:rPr>
            </w:pPr>
            <w:r>
              <w:rPr>
                <w:sz w:val="21"/>
                <w:szCs w:val="21"/>
              </w:rPr>
              <w:t>50</w:t>
            </w:r>
          </w:p>
        </w:tc>
        <w:tc>
          <w:tcPr>
            <w:tcW w:w="1291" w:type="dxa"/>
            <w:vAlign w:val="center"/>
          </w:tcPr>
          <w:p>
            <w:pPr>
              <w:spacing w:line="240" w:lineRule="auto"/>
              <w:jc w:val="center"/>
              <w:rPr>
                <w:sz w:val="21"/>
                <w:szCs w:val="21"/>
              </w:rPr>
            </w:pPr>
            <w:r>
              <w:rPr>
                <w:sz w:val="21"/>
                <w:szCs w:val="21"/>
              </w:rPr>
              <w:t>教授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5</w:t>
            </w:r>
          </w:p>
        </w:tc>
        <w:tc>
          <w:tcPr>
            <w:tcW w:w="1338" w:type="dxa"/>
            <w:vAlign w:val="center"/>
          </w:tcPr>
          <w:p>
            <w:pPr>
              <w:spacing w:line="240" w:lineRule="auto"/>
              <w:jc w:val="center"/>
              <w:rPr>
                <w:sz w:val="21"/>
                <w:szCs w:val="21"/>
              </w:rPr>
            </w:pPr>
            <w:r>
              <w:rPr>
                <w:sz w:val="21"/>
                <w:szCs w:val="21"/>
              </w:rPr>
              <w:t>焦淑英</w:t>
            </w:r>
          </w:p>
        </w:tc>
        <w:tc>
          <w:tcPr>
            <w:tcW w:w="645" w:type="dxa"/>
            <w:vAlign w:val="center"/>
          </w:tcPr>
          <w:p>
            <w:pPr>
              <w:spacing w:line="240" w:lineRule="auto"/>
              <w:jc w:val="center"/>
              <w:rPr>
                <w:sz w:val="21"/>
                <w:szCs w:val="21"/>
              </w:rPr>
            </w:pPr>
            <w:r>
              <w:rPr>
                <w:sz w:val="21"/>
                <w:szCs w:val="21"/>
              </w:rPr>
              <w:t>44</w:t>
            </w:r>
          </w:p>
        </w:tc>
        <w:tc>
          <w:tcPr>
            <w:tcW w:w="1291" w:type="dxa"/>
            <w:vAlign w:val="center"/>
          </w:tcPr>
          <w:p>
            <w:pPr>
              <w:spacing w:line="240" w:lineRule="auto"/>
              <w:jc w:val="center"/>
              <w:rPr>
                <w:sz w:val="21"/>
                <w:szCs w:val="21"/>
              </w:rPr>
            </w:pPr>
            <w:r>
              <w:rPr>
                <w:sz w:val="21"/>
                <w:szCs w:val="21"/>
              </w:rPr>
              <w:t>教授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内蒙古农业大学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1168" w:type="dxa"/>
            <w:vAlign w:val="center"/>
          </w:tcPr>
          <w:p>
            <w:pPr>
              <w:spacing w:line="240" w:lineRule="auto"/>
              <w:jc w:val="center"/>
              <w:rPr>
                <w:sz w:val="21"/>
                <w:szCs w:val="21"/>
              </w:rPr>
            </w:pPr>
            <w:r>
              <w:rPr>
                <w:sz w:val="21"/>
                <w:szCs w:val="21"/>
              </w:rPr>
              <w:t>6</w:t>
            </w:r>
          </w:p>
        </w:tc>
        <w:tc>
          <w:tcPr>
            <w:tcW w:w="1338" w:type="dxa"/>
            <w:vAlign w:val="center"/>
          </w:tcPr>
          <w:p>
            <w:pPr>
              <w:spacing w:line="240" w:lineRule="auto"/>
              <w:jc w:val="center"/>
              <w:rPr>
                <w:sz w:val="21"/>
                <w:szCs w:val="21"/>
              </w:rPr>
            </w:pPr>
            <w:r>
              <w:rPr>
                <w:sz w:val="21"/>
                <w:szCs w:val="21"/>
              </w:rPr>
              <w:t>李光德</w:t>
            </w:r>
          </w:p>
        </w:tc>
        <w:tc>
          <w:tcPr>
            <w:tcW w:w="645" w:type="dxa"/>
            <w:vAlign w:val="center"/>
          </w:tcPr>
          <w:p>
            <w:pPr>
              <w:spacing w:line="240" w:lineRule="auto"/>
              <w:jc w:val="center"/>
              <w:rPr>
                <w:sz w:val="21"/>
                <w:szCs w:val="21"/>
              </w:rPr>
            </w:pPr>
            <w:r>
              <w:rPr>
                <w:sz w:val="21"/>
                <w:szCs w:val="21"/>
              </w:rPr>
              <w:t>59</w:t>
            </w:r>
          </w:p>
        </w:tc>
        <w:tc>
          <w:tcPr>
            <w:tcW w:w="1291" w:type="dxa"/>
            <w:vAlign w:val="center"/>
          </w:tcPr>
          <w:p>
            <w:pPr>
              <w:spacing w:line="240" w:lineRule="auto"/>
              <w:jc w:val="center"/>
              <w:rPr>
                <w:sz w:val="21"/>
                <w:szCs w:val="21"/>
              </w:rPr>
            </w:pPr>
            <w:r>
              <w:rPr>
                <w:sz w:val="21"/>
                <w:szCs w:val="21"/>
              </w:rPr>
              <w:t>副教授</w:t>
            </w:r>
          </w:p>
        </w:tc>
        <w:tc>
          <w:tcPr>
            <w:tcW w:w="860" w:type="dxa"/>
            <w:vAlign w:val="center"/>
          </w:tcPr>
          <w:p>
            <w:pPr>
              <w:spacing w:line="240" w:lineRule="auto"/>
              <w:jc w:val="center"/>
              <w:rPr>
                <w:sz w:val="21"/>
                <w:szCs w:val="21"/>
              </w:rPr>
            </w:pPr>
            <w:r>
              <w:rPr>
                <w:sz w:val="21"/>
                <w:szCs w:val="21"/>
              </w:rPr>
              <w:t>学士</w:t>
            </w:r>
          </w:p>
        </w:tc>
        <w:tc>
          <w:tcPr>
            <w:tcW w:w="2962"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7</w:t>
            </w:r>
          </w:p>
        </w:tc>
        <w:tc>
          <w:tcPr>
            <w:tcW w:w="1338" w:type="dxa"/>
            <w:vAlign w:val="center"/>
          </w:tcPr>
          <w:p>
            <w:pPr>
              <w:spacing w:line="240" w:lineRule="auto"/>
              <w:jc w:val="center"/>
              <w:rPr>
                <w:sz w:val="21"/>
                <w:szCs w:val="21"/>
              </w:rPr>
            </w:pPr>
            <w:r>
              <w:rPr>
                <w:sz w:val="21"/>
                <w:szCs w:val="21"/>
              </w:rPr>
              <w:t>王玉军</w:t>
            </w:r>
          </w:p>
        </w:tc>
        <w:tc>
          <w:tcPr>
            <w:tcW w:w="645" w:type="dxa"/>
            <w:vAlign w:val="center"/>
          </w:tcPr>
          <w:p>
            <w:pPr>
              <w:spacing w:line="240" w:lineRule="auto"/>
              <w:jc w:val="center"/>
              <w:rPr>
                <w:sz w:val="21"/>
                <w:szCs w:val="21"/>
              </w:rPr>
            </w:pPr>
            <w:r>
              <w:rPr>
                <w:sz w:val="21"/>
                <w:szCs w:val="21"/>
              </w:rPr>
              <w:t>59</w:t>
            </w:r>
          </w:p>
        </w:tc>
        <w:tc>
          <w:tcPr>
            <w:tcW w:w="1291" w:type="dxa"/>
            <w:vAlign w:val="center"/>
          </w:tcPr>
          <w:p>
            <w:pPr>
              <w:spacing w:line="240" w:lineRule="auto"/>
              <w:jc w:val="center"/>
              <w:rPr>
                <w:sz w:val="21"/>
                <w:szCs w:val="21"/>
              </w:rPr>
            </w:pPr>
            <w:r>
              <w:rPr>
                <w:sz w:val="21"/>
                <w:szCs w:val="21"/>
              </w:rPr>
              <w:t>副教授</w:t>
            </w:r>
          </w:p>
        </w:tc>
        <w:tc>
          <w:tcPr>
            <w:tcW w:w="860" w:type="dxa"/>
            <w:vAlign w:val="center"/>
          </w:tcPr>
          <w:p>
            <w:pPr>
              <w:spacing w:line="240" w:lineRule="auto"/>
              <w:jc w:val="center"/>
              <w:rPr>
                <w:sz w:val="21"/>
                <w:szCs w:val="21"/>
              </w:rPr>
            </w:pPr>
            <w:r>
              <w:rPr>
                <w:sz w:val="21"/>
                <w:szCs w:val="21"/>
              </w:rPr>
              <w:t>学士</w:t>
            </w:r>
          </w:p>
        </w:tc>
        <w:tc>
          <w:tcPr>
            <w:tcW w:w="2962" w:type="dxa"/>
            <w:vAlign w:val="center"/>
          </w:tcPr>
          <w:p>
            <w:pPr>
              <w:spacing w:line="240" w:lineRule="auto"/>
              <w:jc w:val="center"/>
              <w:rPr>
                <w:sz w:val="21"/>
                <w:szCs w:val="21"/>
              </w:rPr>
            </w:pPr>
            <w:r>
              <w:rPr>
                <w:sz w:val="21"/>
                <w:szCs w:val="21"/>
              </w:rPr>
              <w:t>青岛建工学院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8</w:t>
            </w:r>
          </w:p>
        </w:tc>
        <w:tc>
          <w:tcPr>
            <w:tcW w:w="1338" w:type="dxa"/>
            <w:vAlign w:val="center"/>
          </w:tcPr>
          <w:p>
            <w:pPr>
              <w:spacing w:line="240" w:lineRule="auto"/>
              <w:jc w:val="center"/>
              <w:rPr>
                <w:sz w:val="21"/>
                <w:szCs w:val="21"/>
              </w:rPr>
            </w:pPr>
            <w:r>
              <w:rPr>
                <w:sz w:val="21"/>
                <w:szCs w:val="21"/>
              </w:rPr>
              <w:t>徐玉新</w:t>
            </w:r>
          </w:p>
        </w:tc>
        <w:tc>
          <w:tcPr>
            <w:tcW w:w="645" w:type="dxa"/>
            <w:vAlign w:val="center"/>
          </w:tcPr>
          <w:p>
            <w:pPr>
              <w:spacing w:line="240" w:lineRule="auto"/>
              <w:jc w:val="center"/>
              <w:rPr>
                <w:sz w:val="21"/>
                <w:szCs w:val="21"/>
              </w:rPr>
            </w:pPr>
            <w:r>
              <w:rPr>
                <w:sz w:val="21"/>
                <w:szCs w:val="21"/>
              </w:rPr>
              <w:t>55</w:t>
            </w:r>
          </w:p>
        </w:tc>
        <w:tc>
          <w:tcPr>
            <w:tcW w:w="1291" w:type="dxa"/>
            <w:vAlign w:val="center"/>
          </w:tcPr>
          <w:p>
            <w:pPr>
              <w:spacing w:line="240" w:lineRule="auto"/>
              <w:jc w:val="center"/>
              <w:rPr>
                <w:sz w:val="21"/>
                <w:szCs w:val="21"/>
              </w:rPr>
            </w:pPr>
            <w:r>
              <w:rPr>
                <w:sz w:val="21"/>
                <w:szCs w:val="21"/>
              </w:rPr>
              <w:t>副教授</w:t>
            </w:r>
          </w:p>
        </w:tc>
        <w:tc>
          <w:tcPr>
            <w:tcW w:w="860" w:type="dxa"/>
            <w:vAlign w:val="center"/>
          </w:tcPr>
          <w:p>
            <w:pPr>
              <w:spacing w:line="240" w:lineRule="auto"/>
              <w:jc w:val="center"/>
              <w:rPr>
                <w:sz w:val="21"/>
                <w:szCs w:val="21"/>
              </w:rPr>
            </w:pPr>
            <w:r>
              <w:rPr>
                <w:sz w:val="21"/>
                <w:szCs w:val="21"/>
              </w:rPr>
              <w:t>硕士</w:t>
            </w:r>
          </w:p>
        </w:tc>
        <w:tc>
          <w:tcPr>
            <w:tcW w:w="2962"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1168" w:type="dxa"/>
            <w:vAlign w:val="center"/>
          </w:tcPr>
          <w:p>
            <w:pPr>
              <w:spacing w:line="240" w:lineRule="auto"/>
              <w:jc w:val="center"/>
              <w:rPr>
                <w:sz w:val="21"/>
                <w:szCs w:val="21"/>
              </w:rPr>
            </w:pPr>
            <w:r>
              <w:rPr>
                <w:sz w:val="21"/>
                <w:szCs w:val="21"/>
              </w:rPr>
              <w:t>9</w:t>
            </w:r>
          </w:p>
        </w:tc>
        <w:tc>
          <w:tcPr>
            <w:tcW w:w="1338" w:type="dxa"/>
            <w:vAlign w:val="center"/>
          </w:tcPr>
          <w:p>
            <w:pPr>
              <w:spacing w:line="240" w:lineRule="auto"/>
              <w:jc w:val="center"/>
              <w:rPr>
                <w:sz w:val="21"/>
                <w:szCs w:val="21"/>
              </w:rPr>
            </w:pPr>
            <w:r>
              <w:rPr>
                <w:sz w:val="21"/>
                <w:szCs w:val="21"/>
              </w:rPr>
              <w:t>孙淑娟</w:t>
            </w:r>
          </w:p>
        </w:tc>
        <w:tc>
          <w:tcPr>
            <w:tcW w:w="645" w:type="dxa"/>
            <w:vAlign w:val="center"/>
          </w:tcPr>
          <w:p>
            <w:pPr>
              <w:spacing w:line="240" w:lineRule="auto"/>
              <w:jc w:val="center"/>
              <w:rPr>
                <w:sz w:val="21"/>
                <w:szCs w:val="21"/>
              </w:rPr>
            </w:pPr>
            <w:r>
              <w:rPr>
                <w:sz w:val="21"/>
                <w:szCs w:val="21"/>
              </w:rPr>
              <w:t>49</w:t>
            </w:r>
          </w:p>
        </w:tc>
        <w:tc>
          <w:tcPr>
            <w:tcW w:w="1291" w:type="dxa"/>
            <w:vAlign w:val="center"/>
          </w:tcPr>
          <w:p>
            <w:pPr>
              <w:spacing w:line="240" w:lineRule="auto"/>
              <w:jc w:val="center"/>
              <w:rPr>
                <w:sz w:val="21"/>
                <w:szCs w:val="21"/>
              </w:rPr>
            </w:pPr>
            <w:r>
              <w:rPr>
                <w:sz w:val="21"/>
                <w:szCs w:val="21"/>
              </w:rPr>
              <w:t>副教授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南开大学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10</w:t>
            </w:r>
          </w:p>
        </w:tc>
        <w:tc>
          <w:tcPr>
            <w:tcW w:w="1338" w:type="dxa"/>
            <w:vAlign w:val="center"/>
          </w:tcPr>
          <w:p>
            <w:pPr>
              <w:spacing w:line="240" w:lineRule="auto"/>
              <w:jc w:val="center"/>
              <w:rPr>
                <w:sz w:val="21"/>
                <w:szCs w:val="21"/>
              </w:rPr>
            </w:pPr>
            <w:r>
              <w:rPr>
                <w:sz w:val="21"/>
                <w:szCs w:val="21"/>
              </w:rPr>
              <w:t>谢  慧</w:t>
            </w:r>
          </w:p>
        </w:tc>
        <w:tc>
          <w:tcPr>
            <w:tcW w:w="645" w:type="dxa"/>
            <w:vAlign w:val="center"/>
          </w:tcPr>
          <w:p>
            <w:pPr>
              <w:spacing w:line="240" w:lineRule="auto"/>
              <w:jc w:val="center"/>
              <w:rPr>
                <w:sz w:val="21"/>
                <w:szCs w:val="21"/>
              </w:rPr>
            </w:pPr>
            <w:r>
              <w:rPr>
                <w:sz w:val="21"/>
                <w:szCs w:val="21"/>
              </w:rPr>
              <w:t>49</w:t>
            </w:r>
          </w:p>
        </w:tc>
        <w:tc>
          <w:tcPr>
            <w:tcW w:w="1291" w:type="dxa"/>
            <w:vAlign w:val="center"/>
          </w:tcPr>
          <w:p>
            <w:pPr>
              <w:spacing w:line="240" w:lineRule="auto"/>
              <w:jc w:val="center"/>
              <w:rPr>
                <w:sz w:val="21"/>
                <w:szCs w:val="21"/>
              </w:rPr>
            </w:pPr>
            <w:r>
              <w:rPr>
                <w:sz w:val="21"/>
                <w:szCs w:val="21"/>
              </w:rPr>
              <w:t>副教授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11</w:t>
            </w:r>
          </w:p>
        </w:tc>
        <w:tc>
          <w:tcPr>
            <w:tcW w:w="1338" w:type="dxa"/>
            <w:vAlign w:val="center"/>
          </w:tcPr>
          <w:p>
            <w:pPr>
              <w:spacing w:line="240" w:lineRule="auto"/>
              <w:jc w:val="center"/>
              <w:rPr>
                <w:sz w:val="21"/>
                <w:szCs w:val="21"/>
              </w:rPr>
            </w:pPr>
            <w:r>
              <w:rPr>
                <w:sz w:val="21"/>
                <w:szCs w:val="21"/>
              </w:rPr>
              <w:t>王凤花</w:t>
            </w:r>
          </w:p>
        </w:tc>
        <w:tc>
          <w:tcPr>
            <w:tcW w:w="645" w:type="dxa"/>
            <w:vAlign w:val="center"/>
          </w:tcPr>
          <w:p>
            <w:pPr>
              <w:spacing w:line="240" w:lineRule="auto"/>
              <w:jc w:val="center"/>
              <w:rPr>
                <w:sz w:val="21"/>
                <w:szCs w:val="21"/>
              </w:rPr>
            </w:pPr>
            <w:r>
              <w:rPr>
                <w:sz w:val="21"/>
                <w:szCs w:val="21"/>
              </w:rPr>
              <w:t>42</w:t>
            </w:r>
          </w:p>
        </w:tc>
        <w:tc>
          <w:tcPr>
            <w:tcW w:w="1291" w:type="dxa"/>
            <w:vAlign w:val="center"/>
          </w:tcPr>
          <w:p>
            <w:pPr>
              <w:spacing w:line="240" w:lineRule="auto"/>
              <w:jc w:val="center"/>
              <w:rPr>
                <w:sz w:val="21"/>
                <w:szCs w:val="21"/>
              </w:rPr>
            </w:pPr>
            <w:r>
              <w:rPr>
                <w:sz w:val="21"/>
                <w:szCs w:val="21"/>
              </w:rPr>
              <w:t>副教授</w:t>
            </w:r>
          </w:p>
        </w:tc>
        <w:tc>
          <w:tcPr>
            <w:tcW w:w="860" w:type="dxa"/>
            <w:vAlign w:val="center"/>
          </w:tcPr>
          <w:p>
            <w:pPr>
              <w:spacing w:line="240" w:lineRule="auto"/>
              <w:jc w:val="center"/>
              <w:rPr>
                <w:sz w:val="21"/>
                <w:szCs w:val="21"/>
              </w:rPr>
            </w:pPr>
            <w:r>
              <w:rPr>
                <w:sz w:val="21"/>
                <w:szCs w:val="21"/>
              </w:rPr>
              <w:t>硕士</w:t>
            </w:r>
          </w:p>
        </w:tc>
        <w:tc>
          <w:tcPr>
            <w:tcW w:w="2962" w:type="dxa"/>
            <w:vAlign w:val="center"/>
          </w:tcPr>
          <w:p>
            <w:pPr>
              <w:spacing w:line="240" w:lineRule="auto"/>
              <w:jc w:val="center"/>
              <w:rPr>
                <w:sz w:val="21"/>
                <w:szCs w:val="21"/>
              </w:rPr>
            </w:pPr>
            <w:r>
              <w:rPr>
                <w:sz w:val="21"/>
                <w:szCs w:val="21"/>
              </w:rPr>
              <w:t>南开大学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1168" w:type="dxa"/>
            <w:vAlign w:val="center"/>
          </w:tcPr>
          <w:p>
            <w:pPr>
              <w:spacing w:line="240" w:lineRule="auto"/>
              <w:jc w:val="center"/>
              <w:rPr>
                <w:sz w:val="21"/>
                <w:szCs w:val="21"/>
              </w:rPr>
            </w:pPr>
            <w:r>
              <w:rPr>
                <w:sz w:val="21"/>
                <w:szCs w:val="21"/>
              </w:rPr>
              <w:t>12</w:t>
            </w:r>
          </w:p>
        </w:tc>
        <w:tc>
          <w:tcPr>
            <w:tcW w:w="1338" w:type="dxa"/>
            <w:vAlign w:val="center"/>
          </w:tcPr>
          <w:p>
            <w:pPr>
              <w:spacing w:line="240" w:lineRule="auto"/>
              <w:jc w:val="center"/>
              <w:rPr>
                <w:sz w:val="21"/>
                <w:szCs w:val="21"/>
              </w:rPr>
            </w:pPr>
            <w:r>
              <w:rPr>
                <w:sz w:val="21"/>
                <w:szCs w:val="21"/>
              </w:rPr>
              <w:t>杜仲坤</w:t>
            </w:r>
          </w:p>
        </w:tc>
        <w:tc>
          <w:tcPr>
            <w:tcW w:w="645" w:type="dxa"/>
            <w:vAlign w:val="center"/>
          </w:tcPr>
          <w:p>
            <w:pPr>
              <w:spacing w:line="240" w:lineRule="auto"/>
              <w:jc w:val="center"/>
              <w:rPr>
                <w:sz w:val="21"/>
                <w:szCs w:val="21"/>
              </w:rPr>
            </w:pPr>
            <w:r>
              <w:rPr>
                <w:sz w:val="21"/>
                <w:szCs w:val="21"/>
              </w:rPr>
              <w:t>35</w:t>
            </w:r>
          </w:p>
        </w:tc>
        <w:tc>
          <w:tcPr>
            <w:tcW w:w="1291" w:type="dxa"/>
            <w:vAlign w:val="center"/>
          </w:tcPr>
          <w:p>
            <w:pPr>
              <w:spacing w:line="240" w:lineRule="auto"/>
              <w:jc w:val="center"/>
              <w:rPr>
                <w:sz w:val="21"/>
                <w:szCs w:val="21"/>
              </w:rPr>
            </w:pPr>
            <w:r>
              <w:rPr>
                <w:sz w:val="21"/>
                <w:szCs w:val="21"/>
              </w:rPr>
              <w:t>副教授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南京大学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13</w:t>
            </w:r>
          </w:p>
        </w:tc>
        <w:tc>
          <w:tcPr>
            <w:tcW w:w="1338" w:type="dxa"/>
            <w:vAlign w:val="center"/>
          </w:tcPr>
          <w:p>
            <w:pPr>
              <w:spacing w:line="240" w:lineRule="auto"/>
              <w:jc w:val="center"/>
              <w:rPr>
                <w:sz w:val="21"/>
                <w:szCs w:val="21"/>
              </w:rPr>
            </w:pPr>
            <w:r>
              <w:rPr>
                <w:sz w:val="21"/>
                <w:szCs w:val="21"/>
              </w:rPr>
              <w:t>宋佩佩</w:t>
            </w:r>
          </w:p>
        </w:tc>
        <w:tc>
          <w:tcPr>
            <w:tcW w:w="645" w:type="dxa"/>
            <w:vAlign w:val="center"/>
          </w:tcPr>
          <w:p>
            <w:pPr>
              <w:spacing w:line="240" w:lineRule="auto"/>
              <w:jc w:val="center"/>
              <w:rPr>
                <w:sz w:val="21"/>
                <w:szCs w:val="21"/>
              </w:rPr>
            </w:pPr>
            <w:r>
              <w:rPr>
                <w:sz w:val="21"/>
                <w:szCs w:val="21"/>
              </w:rPr>
              <w:t>34</w:t>
            </w:r>
          </w:p>
        </w:tc>
        <w:tc>
          <w:tcPr>
            <w:tcW w:w="1291" w:type="dxa"/>
            <w:vAlign w:val="center"/>
          </w:tcPr>
          <w:p>
            <w:pPr>
              <w:spacing w:line="240" w:lineRule="auto"/>
              <w:jc w:val="center"/>
              <w:rPr>
                <w:sz w:val="21"/>
                <w:szCs w:val="21"/>
              </w:rPr>
            </w:pPr>
            <w:r>
              <w:rPr>
                <w:sz w:val="21"/>
                <w:szCs w:val="21"/>
              </w:rPr>
              <w:t>副教授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湖南大学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14</w:t>
            </w:r>
          </w:p>
        </w:tc>
        <w:tc>
          <w:tcPr>
            <w:tcW w:w="1338" w:type="dxa"/>
            <w:vAlign w:val="center"/>
          </w:tcPr>
          <w:p>
            <w:pPr>
              <w:spacing w:line="240" w:lineRule="auto"/>
              <w:jc w:val="center"/>
              <w:rPr>
                <w:sz w:val="21"/>
                <w:szCs w:val="21"/>
              </w:rPr>
            </w:pPr>
            <w:r>
              <w:rPr>
                <w:sz w:val="21"/>
                <w:szCs w:val="21"/>
              </w:rPr>
              <w:t>李  冰</w:t>
            </w:r>
          </w:p>
        </w:tc>
        <w:tc>
          <w:tcPr>
            <w:tcW w:w="645" w:type="dxa"/>
            <w:vAlign w:val="center"/>
          </w:tcPr>
          <w:p>
            <w:pPr>
              <w:spacing w:line="240" w:lineRule="auto"/>
              <w:jc w:val="center"/>
              <w:rPr>
                <w:sz w:val="21"/>
                <w:szCs w:val="21"/>
              </w:rPr>
            </w:pPr>
            <w:r>
              <w:rPr>
                <w:sz w:val="21"/>
                <w:szCs w:val="21"/>
              </w:rPr>
              <w:t>33</w:t>
            </w:r>
          </w:p>
        </w:tc>
        <w:tc>
          <w:tcPr>
            <w:tcW w:w="1291" w:type="dxa"/>
            <w:vAlign w:val="center"/>
          </w:tcPr>
          <w:p>
            <w:pPr>
              <w:spacing w:line="240" w:lineRule="auto"/>
              <w:jc w:val="center"/>
              <w:rPr>
                <w:sz w:val="21"/>
                <w:szCs w:val="21"/>
              </w:rPr>
            </w:pPr>
            <w:r>
              <w:rPr>
                <w:sz w:val="21"/>
                <w:szCs w:val="21"/>
              </w:rPr>
              <w:t>副教授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南开大学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15</w:t>
            </w:r>
          </w:p>
        </w:tc>
        <w:tc>
          <w:tcPr>
            <w:tcW w:w="1338" w:type="dxa"/>
            <w:vAlign w:val="center"/>
          </w:tcPr>
          <w:p>
            <w:pPr>
              <w:spacing w:line="240" w:lineRule="auto"/>
              <w:jc w:val="center"/>
              <w:rPr>
                <w:sz w:val="21"/>
                <w:szCs w:val="21"/>
              </w:rPr>
            </w:pPr>
            <w:r>
              <w:rPr>
                <w:sz w:val="21"/>
                <w:szCs w:val="21"/>
              </w:rPr>
              <w:t>时连辉</w:t>
            </w:r>
          </w:p>
        </w:tc>
        <w:tc>
          <w:tcPr>
            <w:tcW w:w="645" w:type="dxa"/>
            <w:vAlign w:val="center"/>
          </w:tcPr>
          <w:p>
            <w:pPr>
              <w:spacing w:line="240" w:lineRule="auto"/>
              <w:jc w:val="center"/>
              <w:rPr>
                <w:sz w:val="21"/>
                <w:szCs w:val="21"/>
              </w:rPr>
            </w:pPr>
            <w:r>
              <w:rPr>
                <w:sz w:val="21"/>
                <w:szCs w:val="21"/>
              </w:rPr>
              <w:t>52</w:t>
            </w:r>
          </w:p>
        </w:tc>
        <w:tc>
          <w:tcPr>
            <w:tcW w:w="1291" w:type="dxa"/>
            <w:vAlign w:val="center"/>
          </w:tcPr>
          <w:p>
            <w:pPr>
              <w:spacing w:line="240" w:lineRule="auto"/>
              <w:jc w:val="center"/>
              <w:rPr>
                <w:sz w:val="21"/>
                <w:szCs w:val="21"/>
              </w:rPr>
            </w:pPr>
            <w:r>
              <w:rPr>
                <w:sz w:val="21"/>
                <w:szCs w:val="21"/>
              </w:rPr>
              <w:t>副教授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16</w:t>
            </w:r>
          </w:p>
        </w:tc>
        <w:tc>
          <w:tcPr>
            <w:tcW w:w="1338" w:type="dxa"/>
            <w:vAlign w:val="center"/>
          </w:tcPr>
          <w:p>
            <w:pPr>
              <w:spacing w:line="240" w:lineRule="auto"/>
              <w:jc w:val="center"/>
              <w:rPr>
                <w:sz w:val="21"/>
                <w:szCs w:val="21"/>
              </w:rPr>
            </w:pPr>
            <w:r>
              <w:rPr>
                <w:sz w:val="21"/>
                <w:szCs w:val="21"/>
              </w:rPr>
              <w:t>刘艳丽</w:t>
            </w:r>
          </w:p>
        </w:tc>
        <w:tc>
          <w:tcPr>
            <w:tcW w:w="645" w:type="dxa"/>
            <w:vAlign w:val="center"/>
          </w:tcPr>
          <w:p>
            <w:pPr>
              <w:spacing w:line="240" w:lineRule="auto"/>
              <w:jc w:val="center"/>
              <w:rPr>
                <w:sz w:val="21"/>
                <w:szCs w:val="21"/>
              </w:rPr>
            </w:pPr>
            <w:r>
              <w:rPr>
                <w:sz w:val="21"/>
                <w:szCs w:val="21"/>
              </w:rPr>
              <w:t>46</w:t>
            </w:r>
          </w:p>
        </w:tc>
        <w:tc>
          <w:tcPr>
            <w:tcW w:w="1291" w:type="dxa"/>
            <w:vAlign w:val="center"/>
          </w:tcPr>
          <w:p>
            <w:pPr>
              <w:spacing w:line="240" w:lineRule="auto"/>
              <w:jc w:val="center"/>
              <w:rPr>
                <w:sz w:val="21"/>
                <w:szCs w:val="21"/>
              </w:rPr>
            </w:pPr>
            <w:r>
              <w:rPr>
                <w:sz w:val="21"/>
                <w:szCs w:val="21"/>
              </w:rPr>
              <w:t>副教授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南京农业大学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17</w:t>
            </w:r>
          </w:p>
        </w:tc>
        <w:tc>
          <w:tcPr>
            <w:tcW w:w="1338" w:type="dxa"/>
            <w:vAlign w:val="center"/>
          </w:tcPr>
          <w:p>
            <w:pPr>
              <w:spacing w:line="240" w:lineRule="auto"/>
              <w:jc w:val="center"/>
              <w:rPr>
                <w:sz w:val="21"/>
                <w:szCs w:val="21"/>
              </w:rPr>
            </w:pPr>
            <w:r>
              <w:rPr>
                <w:sz w:val="21"/>
                <w:szCs w:val="21"/>
              </w:rPr>
              <w:t>李恕艳</w:t>
            </w:r>
          </w:p>
        </w:tc>
        <w:tc>
          <w:tcPr>
            <w:tcW w:w="645" w:type="dxa"/>
            <w:vAlign w:val="center"/>
          </w:tcPr>
          <w:p>
            <w:pPr>
              <w:spacing w:line="240" w:lineRule="auto"/>
              <w:jc w:val="center"/>
              <w:rPr>
                <w:sz w:val="21"/>
                <w:szCs w:val="21"/>
              </w:rPr>
            </w:pPr>
            <w:r>
              <w:rPr>
                <w:sz w:val="21"/>
                <w:szCs w:val="21"/>
              </w:rPr>
              <w:t>34</w:t>
            </w:r>
          </w:p>
        </w:tc>
        <w:tc>
          <w:tcPr>
            <w:tcW w:w="1291" w:type="dxa"/>
            <w:vAlign w:val="center"/>
          </w:tcPr>
          <w:p>
            <w:pPr>
              <w:spacing w:line="240" w:lineRule="auto"/>
              <w:jc w:val="center"/>
              <w:rPr>
                <w:sz w:val="21"/>
                <w:szCs w:val="21"/>
              </w:rPr>
            </w:pPr>
            <w:r>
              <w:rPr>
                <w:sz w:val="21"/>
                <w:szCs w:val="21"/>
              </w:rPr>
              <w:t>校聘副教授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中国农业大学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18</w:t>
            </w:r>
          </w:p>
        </w:tc>
        <w:tc>
          <w:tcPr>
            <w:tcW w:w="1338" w:type="dxa"/>
            <w:vAlign w:val="center"/>
          </w:tcPr>
          <w:p>
            <w:pPr>
              <w:spacing w:line="240" w:lineRule="auto"/>
              <w:jc w:val="center"/>
              <w:rPr>
                <w:sz w:val="21"/>
                <w:szCs w:val="21"/>
              </w:rPr>
            </w:pPr>
            <w:r>
              <w:rPr>
                <w:sz w:val="21"/>
                <w:szCs w:val="21"/>
              </w:rPr>
              <w:t>李  明</w:t>
            </w:r>
          </w:p>
        </w:tc>
        <w:tc>
          <w:tcPr>
            <w:tcW w:w="645" w:type="dxa"/>
            <w:vAlign w:val="center"/>
          </w:tcPr>
          <w:p>
            <w:pPr>
              <w:spacing w:line="240" w:lineRule="auto"/>
              <w:jc w:val="center"/>
              <w:rPr>
                <w:sz w:val="21"/>
                <w:szCs w:val="21"/>
              </w:rPr>
            </w:pPr>
            <w:r>
              <w:rPr>
                <w:sz w:val="21"/>
                <w:szCs w:val="21"/>
              </w:rPr>
              <w:t>34</w:t>
            </w:r>
          </w:p>
        </w:tc>
        <w:tc>
          <w:tcPr>
            <w:tcW w:w="1291" w:type="dxa"/>
            <w:vAlign w:val="center"/>
          </w:tcPr>
          <w:p>
            <w:pPr>
              <w:spacing w:line="240" w:lineRule="auto"/>
              <w:jc w:val="center"/>
              <w:rPr>
                <w:sz w:val="21"/>
                <w:szCs w:val="21"/>
              </w:rPr>
            </w:pPr>
            <w:r>
              <w:rPr>
                <w:sz w:val="21"/>
                <w:szCs w:val="21"/>
              </w:rPr>
              <w:t>副教授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南开大学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19</w:t>
            </w:r>
          </w:p>
        </w:tc>
        <w:tc>
          <w:tcPr>
            <w:tcW w:w="1338" w:type="dxa"/>
            <w:vAlign w:val="center"/>
          </w:tcPr>
          <w:p>
            <w:pPr>
              <w:spacing w:line="240" w:lineRule="auto"/>
              <w:jc w:val="center"/>
              <w:rPr>
                <w:sz w:val="21"/>
                <w:szCs w:val="21"/>
              </w:rPr>
            </w:pPr>
            <w:r>
              <w:rPr>
                <w:sz w:val="21"/>
                <w:szCs w:val="21"/>
              </w:rPr>
              <w:t>杨仲康</w:t>
            </w:r>
          </w:p>
        </w:tc>
        <w:tc>
          <w:tcPr>
            <w:tcW w:w="645" w:type="dxa"/>
            <w:vAlign w:val="center"/>
          </w:tcPr>
          <w:p>
            <w:pPr>
              <w:spacing w:line="240" w:lineRule="auto"/>
              <w:jc w:val="center"/>
              <w:rPr>
                <w:sz w:val="21"/>
                <w:szCs w:val="21"/>
              </w:rPr>
            </w:pPr>
            <w:r>
              <w:rPr>
                <w:sz w:val="21"/>
                <w:szCs w:val="21"/>
              </w:rPr>
              <w:t>32</w:t>
            </w:r>
          </w:p>
        </w:tc>
        <w:tc>
          <w:tcPr>
            <w:tcW w:w="1291" w:type="dxa"/>
            <w:vAlign w:val="center"/>
          </w:tcPr>
          <w:p>
            <w:pPr>
              <w:spacing w:line="240" w:lineRule="auto"/>
              <w:jc w:val="center"/>
              <w:rPr>
                <w:sz w:val="21"/>
                <w:szCs w:val="21"/>
              </w:rPr>
            </w:pPr>
            <w:r>
              <w:rPr>
                <w:sz w:val="21"/>
                <w:szCs w:val="21"/>
              </w:rPr>
              <w:t>校聘副教授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中国科学技术大学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20</w:t>
            </w:r>
          </w:p>
        </w:tc>
        <w:tc>
          <w:tcPr>
            <w:tcW w:w="1338" w:type="dxa"/>
            <w:vAlign w:val="center"/>
          </w:tcPr>
          <w:p>
            <w:pPr>
              <w:spacing w:line="240" w:lineRule="auto"/>
              <w:jc w:val="center"/>
              <w:rPr>
                <w:sz w:val="21"/>
                <w:szCs w:val="21"/>
              </w:rPr>
            </w:pPr>
            <w:r>
              <w:rPr>
                <w:sz w:val="21"/>
                <w:szCs w:val="21"/>
              </w:rPr>
              <w:t>孔文佳</w:t>
            </w:r>
          </w:p>
        </w:tc>
        <w:tc>
          <w:tcPr>
            <w:tcW w:w="645" w:type="dxa"/>
            <w:vAlign w:val="center"/>
          </w:tcPr>
          <w:p>
            <w:pPr>
              <w:spacing w:line="240" w:lineRule="auto"/>
              <w:jc w:val="center"/>
              <w:rPr>
                <w:sz w:val="21"/>
                <w:szCs w:val="21"/>
              </w:rPr>
            </w:pPr>
            <w:r>
              <w:rPr>
                <w:sz w:val="21"/>
                <w:szCs w:val="21"/>
              </w:rPr>
              <w:t>29</w:t>
            </w:r>
          </w:p>
        </w:tc>
        <w:tc>
          <w:tcPr>
            <w:tcW w:w="1291" w:type="dxa"/>
            <w:vAlign w:val="center"/>
          </w:tcPr>
          <w:p>
            <w:pPr>
              <w:spacing w:line="240" w:lineRule="auto"/>
              <w:jc w:val="center"/>
              <w:rPr>
                <w:sz w:val="21"/>
                <w:szCs w:val="21"/>
              </w:rPr>
            </w:pPr>
            <w:r>
              <w:rPr>
                <w:sz w:val="21"/>
                <w:szCs w:val="21"/>
              </w:rPr>
              <w:t>校聘副教授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山东大学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21</w:t>
            </w:r>
          </w:p>
        </w:tc>
        <w:tc>
          <w:tcPr>
            <w:tcW w:w="1338" w:type="dxa"/>
            <w:vAlign w:val="center"/>
          </w:tcPr>
          <w:p>
            <w:pPr>
              <w:spacing w:line="240" w:lineRule="auto"/>
              <w:jc w:val="center"/>
              <w:rPr>
                <w:sz w:val="21"/>
                <w:szCs w:val="21"/>
              </w:rPr>
            </w:pPr>
            <w:r>
              <w:rPr>
                <w:sz w:val="21"/>
                <w:szCs w:val="21"/>
              </w:rPr>
              <w:t>王兰君</w:t>
            </w:r>
          </w:p>
        </w:tc>
        <w:tc>
          <w:tcPr>
            <w:tcW w:w="645" w:type="dxa"/>
            <w:vAlign w:val="center"/>
          </w:tcPr>
          <w:p>
            <w:pPr>
              <w:spacing w:line="240" w:lineRule="auto"/>
              <w:jc w:val="center"/>
              <w:rPr>
                <w:sz w:val="21"/>
                <w:szCs w:val="21"/>
              </w:rPr>
            </w:pPr>
            <w:r>
              <w:rPr>
                <w:sz w:val="21"/>
                <w:szCs w:val="21"/>
              </w:rPr>
              <w:t>31</w:t>
            </w:r>
          </w:p>
        </w:tc>
        <w:tc>
          <w:tcPr>
            <w:tcW w:w="1291" w:type="dxa"/>
            <w:vAlign w:val="center"/>
          </w:tcPr>
          <w:p>
            <w:pPr>
              <w:spacing w:line="240" w:lineRule="auto"/>
              <w:jc w:val="center"/>
              <w:rPr>
                <w:sz w:val="21"/>
                <w:szCs w:val="21"/>
              </w:rPr>
            </w:pPr>
            <w:r>
              <w:rPr>
                <w:sz w:val="21"/>
                <w:szCs w:val="21"/>
              </w:rPr>
              <w:t>校聘副教授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22</w:t>
            </w:r>
          </w:p>
        </w:tc>
        <w:tc>
          <w:tcPr>
            <w:tcW w:w="1338" w:type="dxa"/>
            <w:vAlign w:val="center"/>
          </w:tcPr>
          <w:p>
            <w:pPr>
              <w:spacing w:line="240" w:lineRule="auto"/>
              <w:jc w:val="center"/>
              <w:rPr>
                <w:sz w:val="21"/>
                <w:szCs w:val="21"/>
              </w:rPr>
            </w:pPr>
            <w:r>
              <w:rPr>
                <w:sz w:val="21"/>
                <w:szCs w:val="21"/>
              </w:rPr>
              <w:t>靖宪月</w:t>
            </w:r>
          </w:p>
        </w:tc>
        <w:tc>
          <w:tcPr>
            <w:tcW w:w="645" w:type="dxa"/>
            <w:vAlign w:val="center"/>
          </w:tcPr>
          <w:p>
            <w:pPr>
              <w:spacing w:line="240" w:lineRule="auto"/>
              <w:jc w:val="center"/>
              <w:rPr>
                <w:sz w:val="21"/>
                <w:szCs w:val="21"/>
              </w:rPr>
            </w:pPr>
            <w:r>
              <w:rPr>
                <w:sz w:val="21"/>
                <w:szCs w:val="21"/>
              </w:rPr>
              <w:t>30</w:t>
            </w:r>
          </w:p>
        </w:tc>
        <w:tc>
          <w:tcPr>
            <w:tcW w:w="1291" w:type="dxa"/>
            <w:vAlign w:val="center"/>
          </w:tcPr>
          <w:p>
            <w:pPr>
              <w:spacing w:line="240" w:lineRule="auto"/>
              <w:jc w:val="center"/>
              <w:rPr>
                <w:sz w:val="21"/>
                <w:szCs w:val="21"/>
              </w:rPr>
            </w:pPr>
            <w:r>
              <w:rPr>
                <w:sz w:val="21"/>
                <w:szCs w:val="21"/>
              </w:rPr>
              <w:t>校聘副教授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福建农林大学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23</w:t>
            </w:r>
          </w:p>
        </w:tc>
        <w:tc>
          <w:tcPr>
            <w:tcW w:w="1338" w:type="dxa"/>
            <w:vAlign w:val="center"/>
          </w:tcPr>
          <w:p>
            <w:pPr>
              <w:spacing w:line="240" w:lineRule="auto"/>
              <w:jc w:val="center"/>
              <w:rPr>
                <w:sz w:val="21"/>
                <w:szCs w:val="21"/>
              </w:rPr>
            </w:pPr>
            <w:r>
              <w:rPr>
                <w:sz w:val="21"/>
                <w:szCs w:val="21"/>
              </w:rPr>
              <w:t>孙丰霞</w:t>
            </w:r>
          </w:p>
        </w:tc>
        <w:tc>
          <w:tcPr>
            <w:tcW w:w="645" w:type="dxa"/>
            <w:vAlign w:val="center"/>
          </w:tcPr>
          <w:p>
            <w:pPr>
              <w:spacing w:line="240" w:lineRule="auto"/>
              <w:jc w:val="center"/>
              <w:rPr>
                <w:sz w:val="21"/>
                <w:szCs w:val="21"/>
              </w:rPr>
            </w:pPr>
            <w:r>
              <w:rPr>
                <w:sz w:val="21"/>
                <w:szCs w:val="21"/>
              </w:rPr>
              <w:t>43</w:t>
            </w:r>
          </w:p>
        </w:tc>
        <w:tc>
          <w:tcPr>
            <w:tcW w:w="1291" w:type="dxa"/>
            <w:vAlign w:val="center"/>
          </w:tcPr>
          <w:p>
            <w:pPr>
              <w:spacing w:line="240" w:lineRule="auto"/>
              <w:jc w:val="center"/>
              <w:rPr>
                <w:sz w:val="21"/>
                <w:szCs w:val="21"/>
              </w:rPr>
            </w:pPr>
            <w:r>
              <w:rPr>
                <w:sz w:val="21"/>
                <w:szCs w:val="21"/>
              </w:rPr>
              <w:t>讲师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1168" w:type="dxa"/>
            <w:vAlign w:val="center"/>
          </w:tcPr>
          <w:p>
            <w:pPr>
              <w:spacing w:line="240" w:lineRule="auto"/>
              <w:jc w:val="center"/>
              <w:rPr>
                <w:sz w:val="21"/>
                <w:szCs w:val="21"/>
              </w:rPr>
            </w:pPr>
            <w:r>
              <w:rPr>
                <w:sz w:val="21"/>
                <w:szCs w:val="21"/>
              </w:rPr>
              <w:t>24</w:t>
            </w:r>
          </w:p>
        </w:tc>
        <w:tc>
          <w:tcPr>
            <w:tcW w:w="1338" w:type="dxa"/>
            <w:vAlign w:val="center"/>
          </w:tcPr>
          <w:p>
            <w:pPr>
              <w:spacing w:line="240" w:lineRule="auto"/>
              <w:jc w:val="center"/>
              <w:rPr>
                <w:sz w:val="21"/>
                <w:szCs w:val="21"/>
              </w:rPr>
            </w:pPr>
            <w:r>
              <w:rPr>
                <w:sz w:val="21"/>
                <w:szCs w:val="21"/>
              </w:rPr>
              <w:t>张艳慧</w:t>
            </w:r>
          </w:p>
        </w:tc>
        <w:tc>
          <w:tcPr>
            <w:tcW w:w="645" w:type="dxa"/>
            <w:vAlign w:val="center"/>
          </w:tcPr>
          <w:p>
            <w:pPr>
              <w:spacing w:line="240" w:lineRule="auto"/>
              <w:jc w:val="center"/>
              <w:rPr>
                <w:sz w:val="21"/>
                <w:szCs w:val="21"/>
              </w:rPr>
            </w:pPr>
            <w:r>
              <w:rPr>
                <w:sz w:val="21"/>
                <w:szCs w:val="21"/>
              </w:rPr>
              <w:t>42</w:t>
            </w:r>
          </w:p>
        </w:tc>
        <w:tc>
          <w:tcPr>
            <w:tcW w:w="1291" w:type="dxa"/>
            <w:vAlign w:val="center"/>
          </w:tcPr>
          <w:p>
            <w:pPr>
              <w:spacing w:line="240" w:lineRule="auto"/>
              <w:jc w:val="center"/>
              <w:rPr>
                <w:sz w:val="21"/>
                <w:szCs w:val="21"/>
              </w:rPr>
            </w:pPr>
            <w:r>
              <w:rPr>
                <w:sz w:val="21"/>
                <w:szCs w:val="21"/>
              </w:rPr>
              <w:t>讲师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中科院海洋所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25</w:t>
            </w:r>
          </w:p>
        </w:tc>
        <w:tc>
          <w:tcPr>
            <w:tcW w:w="1338" w:type="dxa"/>
            <w:vAlign w:val="center"/>
          </w:tcPr>
          <w:p>
            <w:pPr>
              <w:spacing w:line="240" w:lineRule="auto"/>
              <w:jc w:val="center"/>
              <w:rPr>
                <w:sz w:val="21"/>
                <w:szCs w:val="21"/>
              </w:rPr>
            </w:pPr>
            <w:r>
              <w:rPr>
                <w:sz w:val="21"/>
                <w:szCs w:val="21"/>
              </w:rPr>
              <w:t>陈阳阳</w:t>
            </w:r>
          </w:p>
        </w:tc>
        <w:tc>
          <w:tcPr>
            <w:tcW w:w="645" w:type="dxa"/>
            <w:vAlign w:val="center"/>
          </w:tcPr>
          <w:p>
            <w:pPr>
              <w:spacing w:line="240" w:lineRule="auto"/>
              <w:jc w:val="center"/>
              <w:rPr>
                <w:sz w:val="21"/>
                <w:szCs w:val="21"/>
              </w:rPr>
            </w:pPr>
            <w:r>
              <w:rPr>
                <w:sz w:val="21"/>
                <w:szCs w:val="21"/>
              </w:rPr>
              <w:t>33</w:t>
            </w:r>
          </w:p>
        </w:tc>
        <w:tc>
          <w:tcPr>
            <w:tcW w:w="1291" w:type="dxa"/>
            <w:vAlign w:val="center"/>
          </w:tcPr>
          <w:p>
            <w:pPr>
              <w:spacing w:line="240" w:lineRule="auto"/>
              <w:jc w:val="center"/>
              <w:rPr>
                <w:sz w:val="21"/>
                <w:szCs w:val="21"/>
              </w:rPr>
            </w:pPr>
            <w:r>
              <w:rPr>
                <w:sz w:val="21"/>
                <w:szCs w:val="21"/>
              </w:rPr>
              <w:t>讲师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中国海洋大学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8" w:type="dxa"/>
            <w:vAlign w:val="center"/>
          </w:tcPr>
          <w:p>
            <w:pPr>
              <w:spacing w:line="240" w:lineRule="auto"/>
              <w:jc w:val="center"/>
              <w:rPr>
                <w:sz w:val="21"/>
                <w:szCs w:val="21"/>
              </w:rPr>
            </w:pPr>
            <w:r>
              <w:rPr>
                <w:sz w:val="21"/>
                <w:szCs w:val="21"/>
              </w:rPr>
              <w:t>26</w:t>
            </w:r>
          </w:p>
        </w:tc>
        <w:tc>
          <w:tcPr>
            <w:tcW w:w="1338" w:type="dxa"/>
            <w:vAlign w:val="center"/>
          </w:tcPr>
          <w:p>
            <w:pPr>
              <w:spacing w:line="240" w:lineRule="auto"/>
              <w:jc w:val="center"/>
              <w:rPr>
                <w:sz w:val="21"/>
                <w:szCs w:val="21"/>
              </w:rPr>
            </w:pPr>
            <w:r>
              <w:rPr>
                <w:sz w:val="21"/>
                <w:szCs w:val="21"/>
              </w:rPr>
              <w:t>邵慧娟</w:t>
            </w:r>
          </w:p>
        </w:tc>
        <w:tc>
          <w:tcPr>
            <w:tcW w:w="645" w:type="dxa"/>
            <w:vAlign w:val="center"/>
          </w:tcPr>
          <w:p>
            <w:pPr>
              <w:spacing w:line="240" w:lineRule="auto"/>
              <w:jc w:val="center"/>
              <w:rPr>
                <w:sz w:val="21"/>
                <w:szCs w:val="21"/>
              </w:rPr>
            </w:pPr>
            <w:r>
              <w:rPr>
                <w:sz w:val="21"/>
                <w:szCs w:val="21"/>
              </w:rPr>
              <w:t>30</w:t>
            </w:r>
          </w:p>
        </w:tc>
        <w:tc>
          <w:tcPr>
            <w:tcW w:w="1291" w:type="dxa"/>
            <w:vAlign w:val="center"/>
          </w:tcPr>
          <w:p>
            <w:pPr>
              <w:spacing w:line="240" w:lineRule="auto"/>
              <w:jc w:val="center"/>
              <w:rPr>
                <w:sz w:val="21"/>
                <w:szCs w:val="21"/>
              </w:rPr>
            </w:pPr>
            <w:r>
              <w:rPr>
                <w:sz w:val="21"/>
                <w:szCs w:val="21"/>
              </w:rPr>
              <w:t>讲师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岐阜大学（日本）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1168" w:type="dxa"/>
            <w:vAlign w:val="center"/>
          </w:tcPr>
          <w:p>
            <w:pPr>
              <w:spacing w:line="240" w:lineRule="auto"/>
              <w:jc w:val="center"/>
              <w:rPr>
                <w:sz w:val="21"/>
                <w:szCs w:val="21"/>
              </w:rPr>
            </w:pPr>
            <w:r>
              <w:rPr>
                <w:sz w:val="21"/>
                <w:szCs w:val="21"/>
              </w:rPr>
              <w:t>27</w:t>
            </w:r>
          </w:p>
        </w:tc>
        <w:tc>
          <w:tcPr>
            <w:tcW w:w="1338" w:type="dxa"/>
            <w:vAlign w:val="center"/>
          </w:tcPr>
          <w:p>
            <w:pPr>
              <w:spacing w:line="240" w:lineRule="auto"/>
              <w:jc w:val="center"/>
              <w:rPr>
                <w:sz w:val="21"/>
                <w:szCs w:val="21"/>
              </w:rPr>
            </w:pPr>
            <w:r>
              <w:rPr>
                <w:sz w:val="21"/>
                <w:szCs w:val="21"/>
              </w:rPr>
              <w:t>李艳强</w:t>
            </w:r>
          </w:p>
        </w:tc>
        <w:tc>
          <w:tcPr>
            <w:tcW w:w="645" w:type="dxa"/>
            <w:vAlign w:val="center"/>
          </w:tcPr>
          <w:p>
            <w:pPr>
              <w:spacing w:line="240" w:lineRule="auto"/>
              <w:jc w:val="center"/>
              <w:rPr>
                <w:sz w:val="21"/>
                <w:szCs w:val="21"/>
              </w:rPr>
            </w:pPr>
            <w:r>
              <w:rPr>
                <w:sz w:val="21"/>
                <w:szCs w:val="21"/>
              </w:rPr>
              <w:t>34</w:t>
            </w:r>
          </w:p>
        </w:tc>
        <w:tc>
          <w:tcPr>
            <w:tcW w:w="1291" w:type="dxa"/>
            <w:vAlign w:val="center"/>
          </w:tcPr>
          <w:p>
            <w:pPr>
              <w:spacing w:line="240" w:lineRule="auto"/>
              <w:jc w:val="center"/>
              <w:rPr>
                <w:sz w:val="21"/>
                <w:szCs w:val="21"/>
              </w:rPr>
            </w:pPr>
            <w:r>
              <w:rPr>
                <w:sz w:val="21"/>
                <w:szCs w:val="21"/>
              </w:rPr>
              <w:t>讲师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中科院地理科学与资源研究所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1168" w:type="dxa"/>
            <w:vAlign w:val="center"/>
          </w:tcPr>
          <w:p>
            <w:pPr>
              <w:spacing w:line="240" w:lineRule="auto"/>
              <w:jc w:val="center"/>
              <w:rPr>
                <w:sz w:val="21"/>
                <w:szCs w:val="21"/>
              </w:rPr>
            </w:pPr>
            <w:r>
              <w:rPr>
                <w:sz w:val="21"/>
                <w:szCs w:val="21"/>
              </w:rPr>
              <w:t>28</w:t>
            </w:r>
          </w:p>
        </w:tc>
        <w:tc>
          <w:tcPr>
            <w:tcW w:w="1338" w:type="dxa"/>
            <w:vAlign w:val="center"/>
          </w:tcPr>
          <w:p>
            <w:pPr>
              <w:spacing w:line="240" w:lineRule="auto"/>
              <w:jc w:val="center"/>
              <w:rPr>
                <w:sz w:val="21"/>
                <w:szCs w:val="21"/>
              </w:rPr>
            </w:pPr>
            <w:r>
              <w:rPr>
                <w:sz w:val="21"/>
                <w:szCs w:val="21"/>
              </w:rPr>
              <w:t>李课臣</w:t>
            </w:r>
          </w:p>
        </w:tc>
        <w:tc>
          <w:tcPr>
            <w:tcW w:w="645" w:type="dxa"/>
            <w:vAlign w:val="center"/>
          </w:tcPr>
          <w:p>
            <w:pPr>
              <w:spacing w:line="240" w:lineRule="auto"/>
              <w:jc w:val="center"/>
              <w:rPr>
                <w:sz w:val="21"/>
                <w:szCs w:val="21"/>
              </w:rPr>
            </w:pPr>
            <w:r>
              <w:rPr>
                <w:sz w:val="21"/>
                <w:szCs w:val="21"/>
              </w:rPr>
              <w:t>29</w:t>
            </w:r>
          </w:p>
        </w:tc>
        <w:tc>
          <w:tcPr>
            <w:tcW w:w="1291" w:type="dxa"/>
            <w:vAlign w:val="center"/>
          </w:tcPr>
          <w:p>
            <w:pPr>
              <w:spacing w:line="240" w:lineRule="auto"/>
              <w:jc w:val="center"/>
              <w:rPr>
                <w:sz w:val="21"/>
                <w:szCs w:val="21"/>
              </w:rPr>
            </w:pPr>
            <w:r>
              <w:rPr>
                <w:sz w:val="21"/>
                <w:szCs w:val="21"/>
              </w:rPr>
              <w:t>讲师</w:t>
            </w:r>
          </w:p>
        </w:tc>
        <w:tc>
          <w:tcPr>
            <w:tcW w:w="860" w:type="dxa"/>
            <w:vAlign w:val="center"/>
          </w:tcPr>
          <w:p>
            <w:pPr>
              <w:spacing w:line="240" w:lineRule="auto"/>
              <w:jc w:val="center"/>
              <w:rPr>
                <w:sz w:val="21"/>
                <w:szCs w:val="21"/>
              </w:rPr>
            </w:pPr>
            <w:r>
              <w:rPr>
                <w:sz w:val="21"/>
                <w:szCs w:val="21"/>
              </w:rPr>
              <w:t>博士</w:t>
            </w:r>
          </w:p>
        </w:tc>
        <w:tc>
          <w:tcPr>
            <w:tcW w:w="2962" w:type="dxa"/>
            <w:vAlign w:val="center"/>
          </w:tcPr>
          <w:p>
            <w:pPr>
              <w:spacing w:line="240" w:lineRule="auto"/>
              <w:jc w:val="center"/>
              <w:rPr>
                <w:sz w:val="21"/>
                <w:szCs w:val="21"/>
              </w:rPr>
            </w:pPr>
            <w:r>
              <w:rPr>
                <w:sz w:val="21"/>
                <w:szCs w:val="21"/>
              </w:rPr>
              <w:t>兰州大学</w:t>
            </w:r>
          </w:p>
        </w:tc>
      </w:tr>
    </w:tbl>
    <w:p>
      <w:pPr>
        <w:pStyle w:val="7"/>
        <w:ind w:firstLine="480"/>
      </w:pPr>
      <w:r>
        <w:t>4. 实习基地</w:t>
      </w:r>
    </w:p>
    <w:p>
      <w:pPr>
        <w:ind w:firstLine="480"/>
      </w:pPr>
      <w:r>
        <w:t>经过多年的发展，环境科学专业逐渐形成了稳定实习教学基地。</w:t>
      </w:r>
    </w:p>
    <w:p>
      <w:pPr>
        <w:ind w:firstLine="480"/>
      </w:pPr>
      <w:r>
        <w:t>泰安环境监测站、泰安污水处理厂（1-3厂）、新泰污水处理厂、泰安热电厂、泰山水泥股份公司、济南炼油厂、泰安垃圾填埋厂、泰安垃圾发电厂、莱芜钢铁集团、泰山钢铁集团、山东省环境保护监测中心站、山东省农业环境保护监测站等。</w:t>
      </w:r>
    </w:p>
    <w:p>
      <w:pPr>
        <w:ind w:firstLine="480"/>
      </w:pPr>
      <w:r>
        <w:t>挂牌泰安市环境保护监测站、泰安市公安局、山东泉林集团、山东恒诚检测科技有限公司。</w:t>
      </w:r>
    </w:p>
    <w:p>
      <w:pPr>
        <w:ind w:firstLine="480"/>
      </w:pPr>
      <w:r>
        <w:t>这些实习基地的建设增加了学术社会实践的机会，提高了学术融入了解社会的能力，有利于培养综合性人才。</w:t>
      </w:r>
    </w:p>
    <w:p>
      <w:pPr>
        <w:pStyle w:val="7"/>
        <w:ind w:firstLine="480"/>
      </w:pPr>
      <w:r>
        <w:t>5. 现代教学技术应用</w:t>
      </w:r>
    </w:p>
    <w:p>
      <w:pPr>
        <w:ind w:firstLine="480"/>
      </w:pPr>
      <w:r>
        <w:t>本专业重视现代教学技术应用，鼓励老师应用多媒体、雨课堂、网络、微信平台、短信平台、QQ平台、网络课程等方式进行教学。</w:t>
      </w:r>
    </w:p>
    <w:p>
      <w:pPr>
        <w:ind w:firstLine="480"/>
      </w:pPr>
      <w:r>
        <w:t>目前本专业全部课程采用多媒体教学。为了提高教学效果，要求教师认真准备多媒体课件，内容丰富，图文并茂，格式活泼，提高学生学习的积极性和热情。</w:t>
      </w:r>
    </w:p>
    <w:p>
      <w:pPr>
        <w:ind w:firstLine="480"/>
      </w:pPr>
      <w:r>
        <w:t>随着微信平台、QQ平台、雨课堂的应用，鼓励教师采用现代网络平台开展教学，将课程大纲、教学内容上传到平台，并与学生开展互动，及时解决学生学习中遇到的问题，同时在课堂上让学生利用手机学习，降低了学生上课玩手机对学习的影响。</w:t>
      </w:r>
    </w:p>
    <w:p>
      <w:pPr>
        <w:ind w:firstLine="480"/>
      </w:pPr>
      <w:r>
        <w:t>此外，由王军教授负责，由杜仲坤、谢慧、王玉军、李光德、孙丰霞主讲的《环境监测》视频课程已经在智慧树平台开放。</w:t>
      </w:r>
    </w:p>
    <w:p>
      <w:pPr>
        <w:ind w:firstLine="480"/>
      </w:pPr>
      <w:r>
        <w:t>疫情影响下，2022年学校在春秋两季两次执行封控管理，封校期间，教师利用智慧树、腾讯会议开展线上教学，教学任务保质保量完成。</w:t>
      </w:r>
    </w:p>
    <w:p>
      <w:pPr>
        <w:pStyle w:val="5"/>
        <w:spacing w:before="93" w:after="93"/>
        <w:ind w:firstLine="560"/>
      </w:pPr>
      <w:bookmarkStart w:id="136" w:name="_Toc1087"/>
      <w:r>
        <w:t>四、培养机制与特色（产学研协同育人机制、合作办学、教学管理等）</w:t>
      </w:r>
      <w:bookmarkEnd w:id="136"/>
    </w:p>
    <w:p>
      <w:pPr>
        <w:pStyle w:val="7"/>
        <w:ind w:firstLine="480"/>
      </w:pPr>
      <w:r>
        <w:t>1. 产学研协同育人机制</w:t>
      </w:r>
    </w:p>
    <w:p>
      <w:pPr>
        <w:ind w:firstLine="480"/>
      </w:pPr>
      <w:r>
        <w:t>本专业借助广泛的社会资源、优良的教学条件、老师的科研课题及国家、学校大学生研究训练项目开展产学研协同育人机制。本专业学生在校期间通过专业认识实习、专业综合实习、创业实践、毕业实习等多个实习环节，能够参观、学习以及参与实习基地、企业、事业单位的部分工作。同时邀请环境保护局、环境监测站及公司等人员到学校为学生讲授国家有关环保政策、法律、技术等层面的新动态、新知识。提高学生对未来工作的认识。校内的的实验室、仪器设备及相关软件为学生理论课及实验操作技能提供了良好条件。专业老师承担了国家级、省部级及各级国土部门的课题和项目，部分学生参与到课题中。老师也将课题研究进展带进课堂，既丰富了教学内容，又提高了学生的学习兴趣。部分同学还申请了国家及学校大学生研究训练课题等，通过课题研究，提高了研究创新能力。</w:t>
      </w:r>
    </w:p>
    <w:p>
      <w:pPr>
        <w:pStyle w:val="7"/>
        <w:ind w:firstLine="480"/>
      </w:pPr>
      <w:r>
        <w:t>2. 教学管理</w:t>
      </w:r>
    </w:p>
    <w:p>
      <w:pPr>
        <w:ind w:firstLine="480"/>
      </w:pPr>
      <w:r>
        <w:t>山东农业大学建有完备的教学运行管理、课程与专业建设管理、实践教学管理、实验室管理、教材建设与管理、学籍管理、教学质量管理等相关制度。</w:t>
      </w:r>
    </w:p>
    <w:p>
      <w:pPr>
        <w:ind w:firstLine="480"/>
      </w:pPr>
      <w:r>
        <w:t>资环学院在课程任务计划、听课、教学档案管理等方面有非常规范的管理规程。</w:t>
      </w:r>
    </w:p>
    <w:p>
      <w:pPr>
        <w:ind w:firstLine="480"/>
      </w:pPr>
      <w:r>
        <w:t>学科内部有集体备课、学科会议等，另外还制定了每门课程至少有两位任课老师的制度，便于保障教学运行的正常秩序。</w:t>
      </w:r>
    </w:p>
    <w:p>
      <w:pPr>
        <w:ind w:firstLine="480"/>
      </w:pPr>
      <w:r>
        <w:t>环境科学专业在教学过程中均严格执行各项管理制度和计划。</w:t>
      </w:r>
    </w:p>
    <w:p>
      <w:pPr>
        <w:pStyle w:val="5"/>
        <w:spacing w:before="93" w:after="93"/>
        <w:ind w:firstLine="560"/>
      </w:pPr>
      <w:bookmarkStart w:id="137" w:name="_Toc19052"/>
      <w:r>
        <w:t>五、培养质量（毕业生就业率、就业专业对口率、毕业生发展情况、就业单位满意率、社会对专业的评价、学生就读该专业的意愿等）</w:t>
      </w:r>
      <w:bookmarkEnd w:id="137"/>
    </w:p>
    <w:p>
      <w:pPr>
        <w:pStyle w:val="7"/>
        <w:ind w:firstLine="480"/>
      </w:pPr>
      <w:r>
        <w:t>1. 毕业生就业率</w:t>
      </w:r>
    </w:p>
    <w:p>
      <w:pPr>
        <w:ind w:firstLine="480"/>
      </w:pPr>
      <w:r>
        <w:t>本专业2022届毕业生共计56人，其中男生27人，占48.21%，女生29人，占51.79%；省内生源49人，占87.50%，省外生源7人，占12.50%，省外生源主要集中在江苏省、浙江省、湖北省、陕西省。从民族结构看，2022届毕业生以汉族为主，共54人，占96.43%；少数民族共2人，占3.57%。</w:t>
      </w:r>
    </w:p>
    <w:p>
      <w:pPr>
        <w:ind w:firstLine="480"/>
      </w:pPr>
      <w:r>
        <w:t xml:space="preserve">截止2022年8月31日，毕业生就业44人，就业率为78.51%，其中男生就业20人，就业率为74.07%，女生就业24人，就业率为82.76%。毕业生留鲁就业的28人，占已就业总人数的63.64%，其中到泰安城市就业人数最多，占29.55%。出省就业共16人，占36.36%，主要流向江苏省、广东省、北京市等省份。 </w:t>
      </w:r>
    </w:p>
    <w:p>
      <w:pPr>
        <w:spacing w:line="240" w:lineRule="auto"/>
        <w:jc w:val="center"/>
        <w:rPr>
          <w:b/>
          <w:bCs/>
          <w:sz w:val="21"/>
          <w:szCs w:val="21"/>
        </w:rPr>
      </w:pPr>
      <w:r>
        <w:rPr>
          <w:b/>
          <w:bCs/>
          <w:sz w:val="21"/>
          <w:szCs w:val="21"/>
        </w:rPr>
        <w:t>表4  毕业生就业方式统计表</w:t>
      </w:r>
    </w:p>
    <w:tbl>
      <w:tblPr>
        <w:tblStyle w:val="17"/>
        <w:tblW w:w="4999" w:type="pct"/>
        <w:tblInd w:w="0" w:type="dxa"/>
        <w:tblLayout w:type="autofit"/>
        <w:tblCellMar>
          <w:top w:w="0" w:type="dxa"/>
          <w:left w:w="0" w:type="dxa"/>
          <w:bottom w:w="0" w:type="dxa"/>
          <w:right w:w="0" w:type="dxa"/>
        </w:tblCellMar>
      </w:tblPr>
      <w:tblGrid>
        <w:gridCol w:w="1261"/>
        <w:gridCol w:w="1263"/>
        <w:gridCol w:w="1263"/>
        <w:gridCol w:w="1263"/>
        <w:gridCol w:w="1263"/>
        <w:gridCol w:w="1296"/>
        <w:gridCol w:w="1264"/>
      </w:tblGrid>
      <w:tr>
        <w:tblPrEx>
          <w:tblCellMar>
            <w:top w:w="0" w:type="dxa"/>
            <w:left w:w="0" w:type="dxa"/>
            <w:bottom w:w="0" w:type="dxa"/>
            <w:right w:w="0" w:type="dxa"/>
          </w:tblCellMar>
        </w:tblPrEx>
        <w:trPr>
          <w:trHeight w:val="370" w:hRule="atLeast"/>
        </w:trPr>
        <w:tc>
          <w:tcPr>
            <w:tcW w:w="71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就业方式</w:t>
            </w:r>
          </w:p>
        </w:tc>
        <w:tc>
          <w:tcPr>
            <w:tcW w:w="71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国内升学</w:t>
            </w:r>
          </w:p>
        </w:tc>
        <w:tc>
          <w:tcPr>
            <w:tcW w:w="71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出国（境）</w:t>
            </w:r>
          </w:p>
        </w:tc>
        <w:tc>
          <w:tcPr>
            <w:tcW w:w="71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协议就业</w:t>
            </w:r>
          </w:p>
        </w:tc>
        <w:tc>
          <w:tcPr>
            <w:tcW w:w="71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劳动合同</w:t>
            </w:r>
          </w:p>
        </w:tc>
        <w:tc>
          <w:tcPr>
            <w:tcW w:w="71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其他形式就业</w:t>
            </w:r>
          </w:p>
        </w:tc>
        <w:tc>
          <w:tcPr>
            <w:tcW w:w="71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待就业</w:t>
            </w:r>
          </w:p>
        </w:tc>
      </w:tr>
      <w:tr>
        <w:tblPrEx>
          <w:tblCellMar>
            <w:top w:w="0" w:type="dxa"/>
            <w:left w:w="0" w:type="dxa"/>
            <w:bottom w:w="0" w:type="dxa"/>
            <w:right w:w="0" w:type="dxa"/>
          </w:tblCellMar>
        </w:tblPrEx>
        <w:trPr>
          <w:trHeight w:val="686" w:hRule="atLeast"/>
        </w:trPr>
        <w:tc>
          <w:tcPr>
            <w:tcW w:w="71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人数</w:t>
            </w:r>
          </w:p>
          <w:p>
            <w:pPr>
              <w:spacing w:line="240" w:lineRule="auto"/>
              <w:jc w:val="center"/>
              <w:rPr>
                <w:sz w:val="21"/>
                <w:szCs w:val="21"/>
              </w:rPr>
            </w:pPr>
            <w:r>
              <w:rPr>
                <w:sz w:val="21"/>
                <w:szCs w:val="21"/>
              </w:rPr>
              <w:t>（比例）</w:t>
            </w:r>
          </w:p>
        </w:tc>
        <w:tc>
          <w:tcPr>
            <w:tcW w:w="71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19</w:t>
            </w:r>
          </w:p>
          <w:p>
            <w:pPr>
              <w:spacing w:line="240" w:lineRule="auto"/>
              <w:jc w:val="center"/>
              <w:rPr>
                <w:sz w:val="21"/>
                <w:szCs w:val="21"/>
              </w:rPr>
            </w:pPr>
            <w:r>
              <w:rPr>
                <w:sz w:val="21"/>
                <w:szCs w:val="21"/>
              </w:rPr>
              <w:t>（33.93%）</w:t>
            </w:r>
          </w:p>
        </w:tc>
        <w:tc>
          <w:tcPr>
            <w:tcW w:w="71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1</w:t>
            </w:r>
          </w:p>
          <w:p>
            <w:pPr>
              <w:spacing w:line="240" w:lineRule="auto"/>
              <w:jc w:val="center"/>
              <w:rPr>
                <w:sz w:val="21"/>
                <w:szCs w:val="21"/>
              </w:rPr>
            </w:pPr>
            <w:r>
              <w:rPr>
                <w:sz w:val="21"/>
                <w:szCs w:val="21"/>
              </w:rPr>
              <w:t>（1.79%）</w:t>
            </w:r>
          </w:p>
        </w:tc>
        <w:tc>
          <w:tcPr>
            <w:tcW w:w="71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6</w:t>
            </w:r>
          </w:p>
          <w:p>
            <w:pPr>
              <w:spacing w:line="240" w:lineRule="auto"/>
              <w:jc w:val="center"/>
              <w:rPr>
                <w:sz w:val="21"/>
                <w:szCs w:val="21"/>
              </w:rPr>
            </w:pPr>
            <w:r>
              <w:rPr>
                <w:sz w:val="21"/>
                <w:szCs w:val="21"/>
              </w:rPr>
              <w:t>（10.71%）</w:t>
            </w:r>
          </w:p>
        </w:tc>
        <w:tc>
          <w:tcPr>
            <w:tcW w:w="71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1</w:t>
            </w:r>
          </w:p>
          <w:p>
            <w:pPr>
              <w:spacing w:line="240" w:lineRule="auto"/>
              <w:jc w:val="center"/>
              <w:rPr>
                <w:sz w:val="21"/>
                <w:szCs w:val="21"/>
              </w:rPr>
            </w:pPr>
            <w:r>
              <w:rPr>
                <w:sz w:val="21"/>
                <w:szCs w:val="21"/>
              </w:rPr>
              <w:t>（1.79%）</w:t>
            </w:r>
          </w:p>
        </w:tc>
        <w:tc>
          <w:tcPr>
            <w:tcW w:w="71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17</w:t>
            </w:r>
          </w:p>
          <w:p>
            <w:pPr>
              <w:spacing w:line="240" w:lineRule="auto"/>
              <w:jc w:val="center"/>
              <w:rPr>
                <w:sz w:val="21"/>
                <w:szCs w:val="21"/>
              </w:rPr>
            </w:pPr>
            <w:r>
              <w:rPr>
                <w:sz w:val="21"/>
                <w:szCs w:val="21"/>
              </w:rPr>
              <w:t>（30.36%）</w:t>
            </w:r>
          </w:p>
        </w:tc>
        <w:tc>
          <w:tcPr>
            <w:tcW w:w="71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12</w:t>
            </w:r>
          </w:p>
          <w:p>
            <w:pPr>
              <w:spacing w:line="240" w:lineRule="auto"/>
              <w:jc w:val="center"/>
              <w:rPr>
                <w:sz w:val="21"/>
                <w:szCs w:val="21"/>
              </w:rPr>
            </w:pPr>
            <w:r>
              <w:rPr>
                <w:sz w:val="21"/>
                <w:szCs w:val="21"/>
              </w:rPr>
              <w:t>（21.43%）</w:t>
            </w:r>
          </w:p>
        </w:tc>
      </w:tr>
    </w:tbl>
    <w:p>
      <w:pPr>
        <w:ind w:firstLine="480"/>
      </w:pPr>
      <w:r>
        <w:t>毕业生国内升学19人，升学率33.93%，其中考入</w:t>
      </w:r>
      <w:r>
        <w:rPr>
          <w:rFonts w:hint="eastAsia"/>
        </w:rPr>
        <w:t>“</w:t>
      </w:r>
      <w:r>
        <w:t>双一流</w:t>
      </w:r>
      <w:r>
        <w:rPr>
          <w:rFonts w:hint="eastAsia"/>
        </w:rPr>
        <w:t>”</w:t>
      </w:r>
      <w:r>
        <w:t>大学12人，占国内升学总人数的63.16%。从升学专业来看，跨专业升学的0人。升学学校主要是中国科学院大学、北京林业大学、山东农业大学等。毕业生国外（出境）升学1人，升学率1.79%，升学学校是中国澳门城市大学。近年来，由于公务员、事业编考试时间滞后，当年毕业即考取的学生较少。随着国家机构改革，公务员、事业编名额减少，学生要逐步转变观念，到公司、企业等单位就业。未就业毕业生12人，通过调研发现，未就业原因主要是二战考研，占未就业毕业生的41.67%，其次是准备公务员事业编考试，占未就业毕业生的16.67%，就业期望值过高，占未就业毕业生的16.67%。</w:t>
      </w:r>
    </w:p>
    <w:p>
      <w:pPr>
        <w:pStyle w:val="7"/>
        <w:ind w:firstLine="480"/>
      </w:pPr>
      <w:r>
        <w:t>2. 就业专业对口率</w:t>
      </w:r>
    </w:p>
    <w:p>
      <w:pPr>
        <w:ind w:firstLine="480"/>
      </w:pPr>
      <w:r>
        <w:t>2022年本专业毕业生当前所在工作单位或者所从事工作岗位与所学专业对口率较高的共15人，占已就业总人数的62.50%。主要集中在山东巨源生态环境工程有限公司、泰安川源环保设备有限公司、山东鑫汉环保科技有限公司、青岛汇君环境能源工程有限公司、泰安天御环保科技有限公司。</w:t>
      </w:r>
    </w:p>
    <w:p>
      <w:pPr>
        <w:ind w:firstLine="480"/>
      </w:pPr>
      <w:r>
        <w:t>近年来本专业学生毕业后70%左右从事了有关环境科学与工程领域的工作。有的同学毕业后直接到环境保护局工作，有的到了有关环保公司工作，还有的考取环境学科的研究生，最终从事与环境保护有关的科研和实践工作。同学们基本上把学到的专业知识用到工作中。其余同学通过考公务员、事业编、大学生村官、选调生等到政府部门、农村基层等工作，虽然不是直接从事专业业务，但大多与本专业有一定联系，专业知识在日常工作中也发挥了一定作用。</w:t>
      </w:r>
    </w:p>
    <w:p>
      <w:pPr>
        <w:ind w:firstLine="480"/>
      </w:pPr>
      <w:r>
        <w:t>本专业学生基于在学校打下的良好业务基础和综合素质，毕业后发展良好。到环境保护局工作的毕业生参加工作一般从科员做起，经过几年锻炼，基本成为单位规划科、监测站、监察队、环境评估中心等业务部门的骨干，有的发展为部门领导或局领导。攻读硕士研究生的同学，有的研究生毕业后继续读博，有的参加工作，都有了更好的起点，最终到有关大学、科研院所、环境保护部、省环保厅及市县环境保护局工作，均成为业务骨干或领导。而到有关环境治理公司工作的，几年之后基本成为业务经理。有的具有一定积累和经验后，自己创业，取得了较好的成绩。</w:t>
      </w:r>
    </w:p>
    <w:p>
      <w:pPr>
        <w:pStyle w:val="7"/>
        <w:ind w:firstLine="480"/>
      </w:pPr>
      <w:r>
        <w:t>3. 就业单位满意率</w:t>
      </w:r>
    </w:p>
    <w:p>
      <w:pPr>
        <w:ind w:firstLine="480"/>
      </w:pPr>
      <w:r>
        <w:t>2022年就业单位满意率为100%。</w:t>
      </w:r>
    </w:p>
    <w:p>
      <w:pPr>
        <w:ind w:firstLine="480"/>
      </w:pPr>
      <w:r>
        <w:t>本专业学生就业去向主要为攻读研究生、环保局和环境有关公司等。由于学生在大学期间掌握了较扎实的理论知识，硬件、软件进行了较多的实践操作，总体业务能力较强。有关大学对我专业考取的学生认为基础理论掌握较好，有一定的研究能力，能较快地进入研究角色。环保局、环境监测站等对我专业学生评价较高，学生到环境部门参加工作后，很快适应工作，几个月就能较好地独立开展工作。而有关公司认为学生大部分学生较快地开展技术工作，有的学生半年后就能独自承担很多工作，有的学生二、三年即成为公司中层干部。因此，有关单位对我专业学生总体满意。</w:t>
      </w:r>
    </w:p>
    <w:p>
      <w:pPr>
        <w:pStyle w:val="7"/>
        <w:ind w:firstLine="480"/>
      </w:pPr>
      <w:r>
        <w:t>4. 社会对专业的评价</w:t>
      </w:r>
    </w:p>
    <w:p>
      <w:pPr>
        <w:ind w:firstLine="480"/>
      </w:pPr>
      <w:r>
        <w:t>2022年社会对专业的评价为100%。</w:t>
      </w:r>
    </w:p>
    <w:p>
      <w:pPr>
        <w:ind w:firstLine="480"/>
      </w:pPr>
      <w:r>
        <w:t>由于本业良好的师资条件、学生较强的就业能力及较好的就业状况，本专业在国内同行专业具有较高的声誉。大家反映山东农业大学的学生基础扎实、诚实肯干、敢于吃苦、乐于助人、讲究团队协作。</w:t>
      </w:r>
    </w:p>
    <w:p>
      <w:pPr>
        <w:pStyle w:val="7"/>
        <w:ind w:firstLine="480"/>
      </w:pPr>
      <w:r>
        <w:t>5. 学生就读该专业的意愿</w:t>
      </w:r>
    </w:p>
    <w:p>
      <w:pPr>
        <w:ind w:firstLine="480"/>
      </w:pPr>
      <w:r>
        <w:t>2022级省内外本科生的一次录取率及报到率100%。</w:t>
      </w:r>
    </w:p>
    <w:p>
      <w:pPr>
        <w:ind w:firstLine="480"/>
      </w:pPr>
      <w:r>
        <w:t>环境科学专业是山东农业大学重点建设学科，前身为1985年设立的农业环境保护专科专业，是全国农业院校较早成立环境保护专业的学校之一。环境科学专业依托我校农学、生物等传统学科的优势并结合环境科学专业主要研究与应用领域，在环境监测与评价、土壤污染与防治、农村生态环境建设、农产品质量检测、农业面源污染与防治等领域有较强的优势和特色。</w:t>
      </w:r>
    </w:p>
    <w:p>
      <w:pPr>
        <w:ind w:firstLine="480"/>
      </w:pPr>
      <w:r>
        <w:t>国家的环境现状于形势并不乐观，急需环境各方面的专业人才。由于获得了社会的认可，学生对读该专业的意愿比较强，每年新生基本为第一志愿。</w:t>
      </w:r>
    </w:p>
    <w:p>
      <w:pPr>
        <w:pStyle w:val="5"/>
        <w:spacing w:before="93" w:after="93"/>
        <w:ind w:firstLine="560"/>
      </w:pPr>
      <w:bookmarkStart w:id="138" w:name="_Toc25032"/>
      <w:r>
        <w:t>六、毕业生就业创业（创业情况、采取的措施、典型案例等）</w:t>
      </w:r>
      <w:bookmarkEnd w:id="138"/>
    </w:p>
    <w:p>
      <w:pPr>
        <w:ind w:firstLine="480"/>
      </w:pPr>
      <w:r>
        <w:t>本专业毕业生就业创业良好。大部分同学毕业后到国土部门或有关公司工作。到公司就业，实际上就是创业。通过在公司就业、工作、锻炼，逐步积累经验、资本，资源、资本、经验、机会等具备条件时，学生即可独立创业。许多到公司就业的同学已逐渐成长为公司骨干、部门经理、副总经理等。有的已经独立出来创业，开设公司，并逐步在同行中得到认可。</w:t>
      </w:r>
    </w:p>
    <w:p>
      <w:pPr>
        <w:ind w:firstLine="480"/>
      </w:pPr>
      <w:r>
        <w:t>本专业以</w:t>
      </w:r>
      <w:r>
        <w:rPr>
          <w:rFonts w:hint="eastAsia"/>
        </w:rPr>
        <w:t>“</w:t>
      </w:r>
      <w:r>
        <w:t>山东省高校农业环境重点实验室</w:t>
      </w:r>
      <w:r>
        <w:rPr>
          <w:rFonts w:hint="eastAsia"/>
        </w:rPr>
        <w:t>”</w:t>
      </w:r>
      <w:r>
        <w:t>、</w:t>
      </w:r>
      <w:r>
        <w:rPr>
          <w:rFonts w:hint="eastAsia"/>
        </w:rPr>
        <w:t>“</w:t>
      </w:r>
      <w:r>
        <w:t>山东省农业环境污染控制工程技术研究中心</w:t>
      </w:r>
      <w:r>
        <w:rPr>
          <w:rFonts w:hint="eastAsia"/>
        </w:rPr>
        <w:t>”</w:t>
      </w:r>
      <w:r>
        <w:t>等创新平台为依托，高质量开展实验教学、教学实习、毕业实习、大学生科技创新实践等。</w:t>
      </w:r>
    </w:p>
    <w:p>
      <w:pPr>
        <w:ind w:firstLine="480"/>
      </w:pPr>
      <w:r>
        <w:t>鼓励大学生开展创业实践。本专业与环保局、环境监测站、环境监测公司、垃圾处理厂、固废处理中心及大型综合性企业等有较好的业务往来与合作关系。每年学生利用假期到环保局、监测站和有关公司实习、创业。</w:t>
      </w:r>
    </w:p>
    <w:p>
      <w:pPr>
        <w:ind w:firstLine="480"/>
      </w:pPr>
      <w:r>
        <w:t>学院在泮河校区建立了创新创业中心，环境科学专业学生成立了室内气体污染物含量测定与吸附创业项目团队及PM2.5空气质量检测与防护团队，阅味创意文化传播公司等。经过训练，大学生的创业实践能力得以提高。</w:t>
      </w:r>
    </w:p>
    <w:p>
      <w:pPr>
        <w:spacing w:line="240" w:lineRule="auto"/>
        <w:jc w:val="center"/>
        <w:rPr>
          <w:b/>
          <w:bCs/>
          <w:sz w:val="21"/>
          <w:szCs w:val="21"/>
        </w:rPr>
      </w:pPr>
      <w:r>
        <w:rPr>
          <w:b/>
          <w:bCs/>
          <w:sz w:val="21"/>
          <w:szCs w:val="21"/>
        </w:rPr>
        <w:t>表5  环境科学专业自主创业的案例</w:t>
      </w:r>
    </w:p>
    <w:tbl>
      <w:tblPr>
        <w:tblStyle w:val="17"/>
        <w:tblW w:w="83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3"/>
        <w:gridCol w:w="1483"/>
        <w:gridCol w:w="3664"/>
        <w:gridCol w:w="16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3" w:type="dxa"/>
            <w:vAlign w:val="center"/>
          </w:tcPr>
          <w:p>
            <w:pPr>
              <w:spacing w:line="240" w:lineRule="auto"/>
              <w:jc w:val="center"/>
              <w:rPr>
                <w:b/>
                <w:bCs/>
                <w:sz w:val="21"/>
                <w:szCs w:val="21"/>
              </w:rPr>
            </w:pPr>
            <w:r>
              <w:rPr>
                <w:b/>
                <w:bCs/>
                <w:sz w:val="21"/>
                <w:szCs w:val="21"/>
              </w:rPr>
              <w:t>毕业时间</w:t>
            </w:r>
          </w:p>
        </w:tc>
        <w:tc>
          <w:tcPr>
            <w:tcW w:w="1483" w:type="dxa"/>
            <w:vAlign w:val="center"/>
          </w:tcPr>
          <w:p>
            <w:pPr>
              <w:spacing w:line="240" w:lineRule="auto"/>
              <w:jc w:val="center"/>
              <w:rPr>
                <w:b/>
                <w:bCs/>
                <w:sz w:val="21"/>
                <w:szCs w:val="21"/>
              </w:rPr>
            </w:pPr>
            <w:r>
              <w:rPr>
                <w:b/>
                <w:bCs/>
                <w:sz w:val="21"/>
                <w:szCs w:val="21"/>
              </w:rPr>
              <w:t>姓  名</w:t>
            </w:r>
          </w:p>
        </w:tc>
        <w:tc>
          <w:tcPr>
            <w:tcW w:w="3664" w:type="dxa"/>
            <w:vAlign w:val="center"/>
          </w:tcPr>
          <w:p>
            <w:pPr>
              <w:spacing w:line="240" w:lineRule="auto"/>
              <w:jc w:val="center"/>
              <w:rPr>
                <w:b/>
                <w:bCs/>
                <w:sz w:val="21"/>
                <w:szCs w:val="21"/>
              </w:rPr>
            </w:pPr>
            <w:r>
              <w:rPr>
                <w:b/>
                <w:bCs/>
                <w:sz w:val="21"/>
                <w:szCs w:val="21"/>
              </w:rPr>
              <w:t>工作单位</w:t>
            </w:r>
          </w:p>
        </w:tc>
        <w:tc>
          <w:tcPr>
            <w:tcW w:w="1679" w:type="dxa"/>
            <w:vAlign w:val="center"/>
          </w:tcPr>
          <w:p>
            <w:pPr>
              <w:spacing w:line="240" w:lineRule="auto"/>
              <w:jc w:val="center"/>
              <w:rPr>
                <w:b/>
                <w:bCs/>
                <w:sz w:val="21"/>
                <w:szCs w:val="21"/>
              </w:rPr>
            </w:pPr>
            <w:r>
              <w:rPr>
                <w:b/>
                <w:bCs/>
                <w:sz w:val="21"/>
                <w:szCs w:val="21"/>
              </w:rPr>
              <w:t>职位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3" w:type="dxa"/>
            <w:vAlign w:val="center"/>
          </w:tcPr>
          <w:p>
            <w:pPr>
              <w:spacing w:line="240" w:lineRule="auto"/>
              <w:jc w:val="center"/>
              <w:rPr>
                <w:sz w:val="21"/>
                <w:szCs w:val="21"/>
              </w:rPr>
            </w:pPr>
            <w:r>
              <w:rPr>
                <w:sz w:val="21"/>
                <w:szCs w:val="21"/>
              </w:rPr>
              <w:t>2006</w:t>
            </w:r>
          </w:p>
        </w:tc>
        <w:tc>
          <w:tcPr>
            <w:tcW w:w="1483" w:type="dxa"/>
            <w:vAlign w:val="center"/>
          </w:tcPr>
          <w:p>
            <w:pPr>
              <w:spacing w:line="240" w:lineRule="auto"/>
              <w:jc w:val="center"/>
              <w:rPr>
                <w:sz w:val="21"/>
                <w:szCs w:val="21"/>
              </w:rPr>
            </w:pPr>
            <w:r>
              <w:rPr>
                <w:sz w:val="21"/>
                <w:szCs w:val="21"/>
              </w:rPr>
              <w:t>于敬海</w:t>
            </w:r>
          </w:p>
        </w:tc>
        <w:tc>
          <w:tcPr>
            <w:tcW w:w="3664" w:type="dxa"/>
            <w:vAlign w:val="center"/>
          </w:tcPr>
          <w:p>
            <w:pPr>
              <w:spacing w:line="240" w:lineRule="auto"/>
              <w:jc w:val="center"/>
              <w:rPr>
                <w:sz w:val="21"/>
                <w:szCs w:val="21"/>
              </w:rPr>
            </w:pPr>
            <w:r>
              <w:rPr>
                <w:sz w:val="21"/>
                <w:szCs w:val="21"/>
              </w:rPr>
              <w:t>大连静海水处理有限公司</w:t>
            </w:r>
          </w:p>
        </w:tc>
        <w:tc>
          <w:tcPr>
            <w:tcW w:w="1679" w:type="dxa"/>
            <w:vAlign w:val="center"/>
          </w:tcPr>
          <w:p>
            <w:pPr>
              <w:spacing w:line="240" w:lineRule="auto"/>
              <w:jc w:val="center"/>
              <w:rPr>
                <w:sz w:val="21"/>
                <w:szCs w:val="21"/>
              </w:rPr>
            </w:pPr>
            <w:r>
              <w:rPr>
                <w:sz w:val="21"/>
                <w:szCs w:val="21"/>
              </w:rPr>
              <w:t>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3" w:type="dxa"/>
            <w:vAlign w:val="center"/>
          </w:tcPr>
          <w:p>
            <w:pPr>
              <w:spacing w:line="240" w:lineRule="auto"/>
              <w:jc w:val="center"/>
              <w:rPr>
                <w:sz w:val="21"/>
                <w:szCs w:val="21"/>
              </w:rPr>
            </w:pPr>
            <w:r>
              <w:rPr>
                <w:sz w:val="21"/>
                <w:szCs w:val="21"/>
              </w:rPr>
              <w:t>1998</w:t>
            </w:r>
          </w:p>
        </w:tc>
        <w:tc>
          <w:tcPr>
            <w:tcW w:w="1483" w:type="dxa"/>
            <w:vAlign w:val="center"/>
          </w:tcPr>
          <w:p>
            <w:pPr>
              <w:spacing w:line="240" w:lineRule="auto"/>
              <w:jc w:val="center"/>
              <w:rPr>
                <w:sz w:val="21"/>
                <w:szCs w:val="21"/>
              </w:rPr>
            </w:pPr>
            <w:r>
              <w:rPr>
                <w:sz w:val="21"/>
                <w:szCs w:val="21"/>
              </w:rPr>
              <w:t>郭良进</w:t>
            </w:r>
          </w:p>
        </w:tc>
        <w:tc>
          <w:tcPr>
            <w:tcW w:w="3664" w:type="dxa"/>
            <w:vAlign w:val="center"/>
          </w:tcPr>
          <w:p>
            <w:pPr>
              <w:spacing w:line="240" w:lineRule="auto"/>
              <w:jc w:val="center"/>
              <w:rPr>
                <w:sz w:val="21"/>
                <w:szCs w:val="21"/>
              </w:rPr>
            </w:pPr>
            <w:r>
              <w:rPr>
                <w:sz w:val="21"/>
                <w:szCs w:val="21"/>
              </w:rPr>
              <w:t>山东泉林嘉有肥料有限公司</w:t>
            </w:r>
          </w:p>
        </w:tc>
        <w:tc>
          <w:tcPr>
            <w:tcW w:w="1679" w:type="dxa"/>
            <w:vAlign w:val="center"/>
          </w:tcPr>
          <w:p>
            <w:pPr>
              <w:spacing w:line="240" w:lineRule="auto"/>
              <w:jc w:val="center"/>
              <w:rPr>
                <w:sz w:val="21"/>
                <w:szCs w:val="21"/>
              </w:rPr>
            </w:pPr>
            <w:r>
              <w:rPr>
                <w:sz w:val="21"/>
                <w:szCs w:val="21"/>
              </w:rPr>
              <w:t>总经理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3" w:type="dxa"/>
            <w:vAlign w:val="center"/>
          </w:tcPr>
          <w:p>
            <w:pPr>
              <w:spacing w:line="240" w:lineRule="auto"/>
              <w:jc w:val="center"/>
              <w:rPr>
                <w:sz w:val="21"/>
                <w:szCs w:val="21"/>
              </w:rPr>
            </w:pPr>
            <w:r>
              <w:rPr>
                <w:sz w:val="21"/>
                <w:szCs w:val="21"/>
              </w:rPr>
              <w:t>1991</w:t>
            </w:r>
          </w:p>
        </w:tc>
        <w:tc>
          <w:tcPr>
            <w:tcW w:w="1483" w:type="dxa"/>
            <w:vAlign w:val="center"/>
          </w:tcPr>
          <w:p>
            <w:pPr>
              <w:spacing w:line="240" w:lineRule="auto"/>
              <w:jc w:val="center"/>
              <w:rPr>
                <w:sz w:val="21"/>
                <w:szCs w:val="21"/>
              </w:rPr>
            </w:pPr>
            <w:r>
              <w:rPr>
                <w:sz w:val="21"/>
                <w:szCs w:val="21"/>
              </w:rPr>
              <w:t>张  文</w:t>
            </w:r>
          </w:p>
        </w:tc>
        <w:tc>
          <w:tcPr>
            <w:tcW w:w="3664" w:type="dxa"/>
            <w:vAlign w:val="center"/>
          </w:tcPr>
          <w:p>
            <w:pPr>
              <w:spacing w:line="240" w:lineRule="auto"/>
              <w:jc w:val="center"/>
              <w:rPr>
                <w:sz w:val="21"/>
                <w:szCs w:val="21"/>
              </w:rPr>
            </w:pPr>
            <w:r>
              <w:rPr>
                <w:sz w:val="21"/>
                <w:szCs w:val="21"/>
              </w:rPr>
              <w:t>济南市汇通环保开发公司</w:t>
            </w:r>
          </w:p>
        </w:tc>
        <w:tc>
          <w:tcPr>
            <w:tcW w:w="1679" w:type="dxa"/>
            <w:vAlign w:val="center"/>
          </w:tcPr>
          <w:p>
            <w:pPr>
              <w:spacing w:line="240" w:lineRule="auto"/>
              <w:jc w:val="center"/>
              <w:rPr>
                <w:sz w:val="21"/>
                <w:szCs w:val="21"/>
              </w:rPr>
            </w:pPr>
            <w:r>
              <w:rPr>
                <w:sz w:val="21"/>
                <w:szCs w:val="21"/>
              </w:rPr>
              <w:t>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3" w:type="dxa"/>
            <w:vAlign w:val="center"/>
          </w:tcPr>
          <w:p>
            <w:pPr>
              <w:spacing w:line="240" w:lineRule="auto"/>
              <w:jc w:val="center"/>
              <w:rPr>
                <w:sz w:val="21"/>
                <w:szCs w:val="21"/>
              </w:rPr>
            </w:pPr>
            <w:r>
              <w:rPr>
                <w:sz w:val="21"/>
                <w:szCs w:val="21"/>
              </w:rPr>
              <w:t>1994</w:t>
            </w:r>
          </w:p>
        </w:tc>
        <w:tc>
          <w:tcPr>
            <w:tcW w:w="1483" w:type="dxa"/>
            <w:vAlign w:val="center"/>
          </w:tcPr>
          <w:p>
            <w:pPr>
              <w:spacing w:line="240" w:lineRule="auto"/>
              <w:jc w:val="center"/>
              <w:rPr>
                <w:sz w:val="21"/>
                <w:szCs w:val="21"/>
              </w:rPr>
            </w:pPr>
            <w:r>
              <w:rPr>
                <w:sz w:val="21"/>
                <w:szCs w:val="21"/>
              </w:rPr>
              <w:t>卢新刚</w:t>
            </w:r>
          </w:p>
        </w:tc>
        <w:tc>
          <w:tcPr>
            <w:tcW w:w="3664" w:type="dxa"/>
            <w:vAlign w:val="center"/>
          </w:tcPr>
          <w:p>
            <w:pPr>
              <w:spacing w:line="240" w:lineRule="auto"/>
              <w:jc w:val="center"/>
              <w:rPr>
                <w:sz w:val="21"/>
                <w:szCs w:val="21"/>
              </w:rPr>
            </w:pPr>
            <w:r>
              <w:rPr>
                <w:sz w:val="21"/>
                <w:szCs w:val="21"/>
              </w:rPr>
              <w:t>淄博市周村鑫星炊事机械厂</w:t>
            </w:r>
          </w:p>
        </w:tc>
        <w:tc>
          <w:tcPr>
            <w:tcW w:w="1679" w:type="dxa"/>
            <w:vAlign w:val="center"/>
          </w:tcPr>
          <w:p>
            <w:pPr>
              <w:spacing w:line="240" w:lineRule="auto"/>
              <w:jc w:val="center"/>
              <w:rPr>
                <w:sz w:val="21"/>
                <w:szCs w:val="21"/>
              </w:rPr>
            </w:pPr>
            <w:r>
              <w:rPr>
                <w:sz w:val="21"/>
                <w:szCs w:val="21"/>
              </w:rPr>
              <w:t>厂长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3" w:type="dxa"/>
            <w:vAlign w:val="center"/>
          </w:tcPr>
          <w:p>
            <w:pPr>
              <w:spacing w:line="240" w:lineRule="auto"/>
              <w:jc w:val="center"/>
              <w:rPr>
                <w:sz w:val="21"/>
                <w:szCs w:val="21"/>
              </w:rPr>
            </w:pPr>
            <w:r>
              <w:rPr>
                <w:sz w:val="21"/>
                <w:szCs w:val="21"/>
              </w:rPr>
              <w:t>2002</w:t>
            </w:r>
          </w:p>
        </w:tc>
        <w:tc>
          <w:tcPr>
            <w:tcW w:w="1483" w:type="dxa"/>
            <w:vAlign w:val="center"/>
          </w:tcPr>
          <w:p>
            <w:pPr>
              <w:spacing w:line="240" w:lineRule="auto"/>
              <w:jc w:val="center"/>
              <w:rPr>
                <w:sz w:val="21"/>
                <w:szCs w:val="21"/>
              </w:rPr>
            </w:pPr>
            <w:r>
              <w:rPr>
                <w:sz w:val="21"/>
                <w:szCs w:val="21"/>
              </w:rPr>
              <w:t>常宝健</w:t>
            </w:r>
          </w:p>
        </w:tc>
        <w:tc>
          <w:tcPr>
            <w:tcW w:w="3664" w:type="dxa"/>
            <w:vAlign w:val="center"/>
          </w:tcPr>
          <w:p>
            <w:pPr>
              <w:spacing w:line="240" w:lineRule="auto"/>
              <w:jc w:val="center"/>
              <w:rPr>
                <w:sz w:val="21"/>
                <w:szCs w:val="21"/>
              </w:rPr>
            </w:pPr>
            <w:r>
              <w:rPr>
                <w:sz w:val="21"/>
                <w:szCs w:val="21"/>
              </w:rPr>
              <w:t>北京德国耶拿分析仪器股份公司</w:t>
            </w:r>
          </w:p>
        </w:tc>
        <w:tc>
          <w:tcPr>
            <w:tcW w:w="1679" w:type="dxa"/>
            <w:vAlign w:val="center"/>
          </w:tcPr>
          <w:p>
            <w:pPr>
              <w:spacing w:line="240" w:lineRule="auto"/>
              <w:jc w:val="center"/>
              <w:rPr>
                <w:sz w:val="21"/>
                <w:szCs w:val="21"/>
              </w:rPr>
            </w:pPr>
            <w:r>
              <w:rPr>
                <w:sz w:val="21"/>
                <w:szCs w:val="21"/>
              </w:rPr>
              <w:t>业务经理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3" w:type="dxa"/>
            <w:vAlign w:val="center"/>
          </w:tcPr>
          <w:p>
            <w:pPr>
              <w:spacing w:line="240" w:lineRule="auto"/>
              <w:jc w:val="center"/>
              <w:rPr>
                <w:sz w:val="21"/>
                <w:szCs w:val="21"/>
              </w:rPr>
            </w:pPr>
            <w:r>
              <w:rPr>
                <w:sz w:val="21"/>
                <w:szCs w:val="21"/>
              </w:rPr>
              <w:t>2003</w:t>
            </w:r>
          </w:p>
        </w:tc>
        <w:tc>
          <w:tcPr>
            <w:tcW w:w="1483" w:type="dxa"/>
            <w:vAlign w:val="center"/>
          </w:tcPr>
          <w:p>
            <w:pPr>
              <w:spacing w:line="240" w:lineRule="auto"/>
              <w:jc w:val="center"/>
              <w:rPr>
                <w:sz w:val="21"/>
                <w:szCs w:val="21"/>
              </w:rPr>
            </w:pPr>
            <w:r>
              <w:rPr>
                <w:sz w:val="21"/>
                <w:szCs w:val="21"/>
              </w:rPr>
              <w:t>于建海</w:t>
            </w:r>
          </w:p>
        </w:tc>
        <w:tc>
          <w:tcPr>
            <w:tcW w:w="3664" w:type="dxa"/>
            <w:vAlign w:val="center"/>
          </w:tcPr>
          <w:p>
            <w:pPr>
              <w:spacing w:line="240" w:lineRule="auto"/>
              <w:jc w:val="center"/>
              <w:rPr>
                <w:sz w:val="21"/>
                <w:szCs w:val="21"/>
              </w:rPr>
            </w:pPr>
            <w:r>
              <w:rPr>
                <w:sz w:val="21"/>
                <w:szCs w:val="21"/>
              </w:rPr>
              <w:t>龙口市海能肥料有限公司</w:t>
            </w:r>
          </w:p>
        </w:tc>
        <w:tc>
          <w:tcPr>
            <w:tcW w:w="1679" w:type="dxa"/>
            <w:vAlign w:val="center"/>
          </w:tcPr>
          <w:p>
            <w:pPr>
              <w:spacing w:line="240" w:lineRule="auto"/>
              <w:jc w:val="center"/>
              <w:rPr>
                <w:sz w:val="21"/>
                <w:szCs w:val="21"/>
              </w:rPr>
            </w:pPr>
            <w:r>
              <w:rPr>
                <w:sz w:val="21"/>
                <w:szCs w:val="21"/>
              </w:rPr>
              <w:t>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3" w:type="dxa"/>
            <w:vAlign w:val="center"/>
          </w:tcPr>
          <w:p>
            <w:pPr>
              <w:spacing w:line="240" w:lineRule="auto"/>
              <w:jc w:val="center"/>
              <w:rPr>
                <w:sz w:val="21"/>
                <w:szCs w:val="21"/>
              </w:rPr>
            </w:pPr>
            <w:r>
              <w:rPr>
                <w:sz w:val="21"/>
                <w:szCs w:val="21"/>
              </w:rPr>
              <w:t>2003</w:t>
            </w:r>
          </w:p>
        </w:tc>
        <w:tc>
          <w:tcPr>
            <w:tcW w:w="1483" w:type="dxa"/>
            <w:vAlign w:val="center"/>
          </w:tcPr>
          <w:p>
            <w:pPr>
              <w:spacing w:line="240" w:lineRule="auto"/>
              <w:jc w:val="center"/>
              <w:rPr>
                <w:sz w:val="21"/>
                <w:szCs w:val="21"/>
              </w:rPr>
            </w:pPr>
            <w:r>
              <w:rPr>
                <w:sz w:val="21"/>
                <w:szCs w:val="21"/>
              </w:rPr>
              <w:t>宋金利</w:t>
            </w:r>
          </w:p>
        </w:tc>
        <w:tc>
          <w:tcPr>
            <w:tcW w:w="3664" w:type="dxa"/>
            <w:vAlign w:val="center"/>
          </w:tcPr>
          <w:p>
            <w:pPr>
              <w:spacing w:line="240" w:lineRule="auto"/>
              <w:jc w:val="center"/>
              <w:rPr>
                <w:sz w:val="21"/>
                <w:szCs w:val="21"/>
              </w:rPr>
            </w:pPr>
            <w:r>
              <w:rPr>
                <w:sz w:val="21"/>
                <w:szCs w:val="21"/>
              </w:rPr>
              <w:t>太阳纸业老挝公司</w:t>
            </w:r>
          </w:p>
        </w:tc>
        <w:tc>
          <w:tcPr>
            <w:tcW w:w="1679" w:type="dxa"/>
            <w:vAlign w:val="center"/>
          </w:tcPr>
          <w:p>
            <w:pPr>
              <w:spacing w:line="240" w:lineRule="auto"/>
              <w:jc w:val="center"/>
              <w:rPr>
                <w:sz w:val="21"/>
                <w:szCs w:val="21"/>
              </w:rPr>
            </w:pPr>
            <w:r>
              <w:rPr>
                <w:sz w:val="21"/>
                <w:szCs w:val="21"/>
              </w:rPr>
              <w:t>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3" w:type="dxa"/>
            <w:vAlign w:val="center"/>
          </w:tcPr>
          <w:p>
            <w:pPr>
              <w:spacing w:line="240" w:lineRule="auto"/>
              <w:jc w:val="center"/>
              <w:rPr>
                <w:sz w:val="21"/>
                <w:szCs w:val="21"/>
              </w:rPr>
            </w:pPr>
            <w:r>
              <w:rPr>
                <w:sz w:val="21"/>
                <w:szCs w:val="21"/>
              </w:rPr>
              <w:t>2003</w:t>
            </w:r>
          </w:p>
        </w:tc>
        <w:tc>
          <w:tcPr>
            <w:tcW w:w="1483" w:type="dxa"/>
            <w:vAlign w:val="center"/>
          </w:tcPr>
          <w:p>
            <w:pPr>
              <w:spacing w:line="240" w:lineRule="auto"/>
              <w:jc w:val="center"/>
              <w:rPr>
                <w:sz w:val="21"/>
                <w:szCs w:val="21"/>
              </w:rPr>
            </w:pPr>
            <w:r>
              <w:rPr>
                <w:sz w:val="21"/>
                <w:szCs w:val="21"/>
              </w:rPr>
              <w:t>宋明明</w:t>
            </w:r>
          </w:p>
        </w:tc>
        <w:tc>
          <w:tcPr>
            <w:tcW w:w="3664" w:type="dxa"/>
            <w:vAlign w:val="center"/>
          </w:tcPr>
          <w:p>
            <w:pPr>
              <w:spacing w:line="240" w:lineRule="auto"/>
              <w:jc w:val="center"/>
              <w:rPr>
                <w:sz w:val="21"/>
                <w:szCs w:val="21"/>
              </w:rPr>
            </w:pPr>
            <w:r>
              <w:rPr>
                <w:sz w:val="21"/>
                <w:szCs w:val="21"/>
              </w:rPr>
              <w:t>烟台市农业生产资料总公司</w:t>
            </w:r>
          </w:p>
        </w:tc>
        <w:tc>
          <w:tcPr>
            <w:tcW w:w="1679" w:type="dxa"/>
            <w:vAlign w:val="center"/>
          </w:tcPr>
          <w:p>
            <w:pPr>
              <w:spacing w:line="240" w:lineRule="auto"/>
              <w:jc w:val="center"/>
              <w:rPr>
                <w:sz w:val="21"/>
                <w:szCs w:val="21"/>
              </w:rPr>
            </w:pPr>
            <w:r>
              <w:rPr>
                <w:sz w:val="21"/>
                <w:szCs w:val="21"/>
              </w:rPr>
              <w:t>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3" w:type="dxa"/>
            <w:vAlign w:val="center"/>
          </w:tcPr>
          <w:p>
            <w:pPr>
              <w:spacing w:line="240" w:lineRule="auto"/>
              <w:jc w:val="center"/>
              <w:rPr>
                <w:sz w:val="21"/>
                <w:szCs w:val="21"/>
              </w:rPr>
            </w:pPr>
            <w:r>
              <w:rPr>
                <w:sz w:val="21"/>
                <w:szCs w:val="21"/>
              </w:rPr>
              <w:t>2004</w:t>
            </w:r>
          </w:p>
        </w:tc>
        <w:tc>
          <w:tcPr>
            <w:tcW w:w="1483" w:type="dxa"/>
            <w:vAlign w:val="center"/>
          </w:tcPr>
          <w:p>
            <w:pPr>
              <w:spacing w:line="240" w:lineRule="auto"/>
              <w:jc w:val="center"/>
              <w:rPr>
                <w:sz w:val="21"/>
                <w:szCs w:val="21"/>
              </w:rPr>
            </w:pPr>
            <w:r>
              <w:rPr>
                <w:sz w:val="21"/>
                <w:szCs w:val="21"/>
              </w:rPr>
              <w:t>田始猛</w:t>
            </w:r>
          </w:p>
        </w:tc>
        <w:tc>
          <w:tcPr>
            <w:tcW w:w="3664" w:type="dxa"/>
            <w:vAlign w:val="center"/>
          </w:tcPr>
          <w:p>
            <w:pPr>
              <w:spacing w:line="240" w:lineRule="auto"/>
              <w:jc w:val="center"/>
              <w:rPr>
                <w:sz w:val="21"/>
                <w:szCs w:val="21"/>
              </w:rPr>
            </w:pPr>
            <w:r>
              <w:rPr>
                <w:sz w:val="21"/>
                <w:szCs w:val="21"/>
              </w:rPr>
              <w:t>兖矿鲁南化工有限公司</w:t>
            </w:r>
          </w:p>
        </w:tc>
        <w:tc>
          <w:tcPr>
            <w:tcW w:w="1679" w:type="dxa"/>
            <w:vAlign w:val="center"/>
          </w:tcPr>
          <w:p>
            <w:pPr>
              <w:spacing w:line="240" w:lineRule="auto"/>
              <w:jc w:val="center"/>
              <w:rPr>
                <w:sz w:val="21"/>
                <w:szCs w:val="21"/>
              </w:rPr>
            </w:pPr>
            <w:r>
              <w:rPr>
                <w:sz w:val="21"/>
                <w:szCs w:val="21"/>
              </w:rPr>
              <w:t>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3" w:type="dxa"/>
            <w:vAlign w:val="center"/>
          </w:tcPr>
          <w:p>
            <w:pPr>
              <w:spacing w:line="240" w:lineRule="auto"/>
              <w:jc w:val="center"/>
              <w:rPr>
                <w:sz w:val="21"/>
                <w:szCs w:val="21"/>
              </w:rPr>
            </w:pPr>
            <w:r>
              <w:rPr>
                <w:sz w:val="21"/>
                <w:szCs w:val="21"/>
              </w:rPr>
              <w:t>2004</w:t>
            </w:r>
          </w:p>
        </w:tc>
        <w:tc>
          <w:tcPr>
            <w:tcW w:w="1483" w:type="dxa"/>
            <w:vAlign w:val="center"/>
          </w:tcPr>
          <w:p>
            <w:pPr>
              <w:spacing w:line="240" w:lineRule="auto"/>
              <w:jc w:val="center"/>
              <w:rPr>
                <w:sz w:val="21"/>
                <w:szCs w:val="21"/>
              </w:rPr>
            </w:pPr>
            <w:r>
              <w:rPr>
                <w:sz w:val="21"/>
                <w:szCs w:val="21"/>
              </w:rPr>
              <w:t>张玉帅</w:t>
            </w:r>
          </w:p>
        </w:tc>
        <w:tc>
          <w:tcPr>
            <w:tcW w:w="3664" w:type="dxa"/>
            <w:vAlign w:val="center"/>
          </w:tcPr>
          <w:p>
            <w:pPr>
              <w:spacing w:line="240" w:lineRule="auto"/>
              <w:jc w:val="center"/>
              <w:rPr>
                <w:sz w:val="21"/>
                <w:szCs w:val="21"/>
              </w:rPr>
            </w:pPr>
            <w:r>
              <w:rPr>
                <w:sz w:val="21"/>
                <w:szCs w:val="21"/>
              </w:rPr>
              <w:t>梅州佳禾农业生态园</w:t>
            </w:r>
          </w:p>
        </w:tc>
        <w:tc>
          <w:tcPr>
            <w:tcW w:w="1679" w:type="dxa"/>
            <w:vAlign w:val="center"/>
          </w:tcPr>
          <w:p>
            <w:pPr>
              <w:spacing w:line="240" w:lineRule="auto"/>
              <w:jc w:val="center"/>
              <w:rPr>
                <w:sz w:val="21"/>
                <w:szCs w:val="21"/>
              </w:rPr>
            </w:pPr>
            <w:r>
              <w:rPr>
                <w:sz w:val="21"/>
                <w:szCs w:val="21"/>
              </w:rPr>
              <w:t>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3" w:type="dxa"/>
            <w:vAlign w:val="center"/>
          </w:tcPr>
          <w:p>
            <w:pPr>
              <w:spacing w:line="240" w:lineRule="auto"/>
              <w:jc w:val="center"/>
              <w:rPr>
                <w:sz w:val="21"/>
                <w:szCs w:val="21"/>
              </w:rPr>
            </w:pPr>
            <w:r>
              <w:rPr>
                <w:sz w:val="21"/>
                <w:szCs w:val="21"/>
              </w:rPr>
              <w:t>2009</w:t>
            </w:r>
          </w:p>
        </w:tc>
        <w:tc>
          <w:tcPr>
            <w:tcW w:w="1483" w:type="dxa"/>
            <w:vAlign w:val="center"/>
          </w:tcPr>
          <w:p>
            <w:pPr>
              <w:spacing w:line="240" w:lineRule="auto"/>
              <w:jc w:val="center"/>
              <w:rPr>
                <w:sz w:val="21"/>
                <w:szCs w:val="21"/>
              </w:rPr>
            </w:pPr>
            <w:r>
              <w:rPr>
                <w:sz w:val="21"/>
                <w:szCs w:val="21"/>
              </w:rPr>
              <w:t>冯常磊</w:t>
            </w:r>
          </w:p>
        </w:tc>
        <w:tc>
          <w:tcPr>
            <w:tcW w:w="3664" w:type="dxa"/>
            <w:vAlign w:val="center"/>
          </w:tcPr>
          <w:p>
            <w:pPr>
              <w:spacing w:line="240" w:lineRule="auto"/>
              <w:jc w:val="center"/>
              <w:rPr>
                <w:sz w:val="21"/>
                <w:szCs w:val="21"/>
              </w:rPr>
            </w:pPr>
            <w:r>
              <w:rPr>
                <w:sz w:val="21"/>
                <w:szCs w:val="21"/>
              </w:rPr>
              <w:t>山东鑫汉环保科技有限公司</w:t>
            </w:r>
          </w:p>
        </w:tc>
        <w:tc>
          <w:tcPr>
            <w:tcW w:w="1679" w:type="dxa"/>
            <w:vAlign w:val="center"/>
          </w:tcPr>
          <w:p>
            <w:pPr>
              <w:spacing w:line="240" w:lineRule="auto"/>
              <w:jc w:val="center"/>
              <w:rPr>
                <w:sz w:val="21"/>
                <w:szCs w:val="21"/>
              </w:rPr>
            </w:pPr>
            <w:r>
              <w:rPr>
                <w:sz w:val="21"/>
                <w:szCs w:val="21"/>
              </w:rPr>
              <w:t>总经理</w:t>
            </w:r>
          </w:p>
        </w:tc>
      </w:tr>
    </w:tbl>
    <w:p>
      <w:pPr>
        <w:ind w:firstLine="480"/>
      </w:pPr>
      <w:r>
        <w:t>以2006届环境科学毕业生于敬海同学为例，在大学期间该同学思路比较活跃，善于创新和组建社会团体等组织，建立了绿领一族、环保协会等。走向社会后，结合自己的专业知识，成立了大连静海水处理有限公司，并和大连理工大学环境学院教授开展技术合作，为大连的环境保护事业做出了贡献。</w:t>
      </w:r>
    </w:p>
    <w:p>
      <w:pPr>
        <w:pStyle w:val="5"/>
        <w:spacing w:before="93" w:after="93"/>
        <w:ind w:firstLine="560"/>
      </w:pPr>
      <w:bookmarkStart w:id="139" w:name="_Toc10804"/>
      <w:r>
        <w:t>七、专业发展趋势及建议</w:t>
      </w:r>
      <w:bookmarkEnd w:id="139"/>
    </w:p>
    <w:p>
      <w:pPr>
        <w:ind w:firstLine="480"/>
      </w:pPr>
      <w:r>
        <w:t>随着我国的高等教育的蓬勃发展，如何培养出更符合时代特色和社会需求的人才也是高等教育的最重要任务。党的十八大，将生态文明建设作为十大任务之一。而且我国的社会经济发展对环境保护的要求也越来越高。</w:t>
      </w:r>
    </w:p>
    <w:p>
      <w:pPr>
        <w:ind w:firstLine="480"/>
      </w:pPr>
      <w:r>
        <w:t>根据社会需求，经过反复论证确定了环境科学专业的2个专业方向，即环境生物生态学方向及环境监测与评价方向。</w:t>
      </w:r>
    </w:p>
    <w:p>
      <w:pPr>
        <w:ind w:firstLine="480"/>
      </w:pPr>
      <w:r>
        <w:t>在我国的当前的环境形势下，急需环境方面的专业人才，尤其是大气、水和土壤污染治理与修复方面，尤其在党的</w:t>
      </w:r>
      <w:r>
        <w:rPr>
          <w:rFonts w:hint="eastAsia"/>
        </w:rPr>
        <w:t>“</w:t>
      </w:r>
      <w:r>
        <w:t>十九大</w:t>
      </w:r>
      <w:r>
        <w:rPr>
          <w:rFonts w:hint="eastAsia"/>
        </w:rPr>
        <w:t>”</w:t>
      </w:r>
      <w:r>
        <w:t>报告中对生态环境保护及其重视，加上2017年度</w:t>
      </w:r>
      <w:r>
        <w:rPr>
          <w:rFonts w:hint="eastAsia"/>
        </w:rPr>
        <w:t>“</w:t>
      </w:r>
      <w:r>
        <w:t>环保风暴</w:t>
      </w:r>
      <w:r>
        <w:rPr>
          <w:rFonts w:hint="eastAsia"/>
        </w:rPr>
        <w:t>”</w:t>
      </w:r>
      <w:r>
        <w:t>，促使各监测、评价及生产型企业对本专业学生需求极大，为同学们提供了充分的就业空间。从国家的政策层面到环境现实看，本专业学生具有较广阔的发展前景。</w:t>
      </w:r>
    </w:p>
    <w:p>
      <w:pPr>
        <w:ind w:firstLine="480"/>
      </w:pPr>
      <w:r>
        <w:t>本专业理论性与实践性均较强。除了课堂上加强理论知识的传授、实验室进行操作训练，还要多与环保部门的业务工作联系，多为学生提供实践、实习的机会，以提高学生将来的就业能力和竞争力。另外，学校、学院应为学生提供更多的就业信息和渠道，提高就业水平。</w:t>
      </w:r>
    </w:p>
    <w:p>
      <w:pPr>
        <w:ind w:firstLine="480"/>
      </w:pPr>
      <w:r>
        <w:t>环境科学专业是研究人类活动与其环境质量之间相互关专业的科学，是由自然科学、社会人文科学、工程技术科学等多学科相互交叉渗透的综合性强的新兴学科。随着对环境问题研究的深入，所涉及的学科范围将不断扩大。为此，环境科学专业各专业所培养的学生必须具有适应环境科学学科发展和社会、经济可持续发展的知识、应用型人才能力和个性化素质要求，即应该专业统掌握环境类相应专业的基本理论和实践技能，具有较强的独立获取知识、了解环境科学与技术的理论前沿及发展动态的能力和开拓创新精神。学生毕业后经过进一步锻炼，应该能够胜任环境工程师、环境评价师和环境管理等工作。</w:t>
      </w:r>
    </w:p>
    <w:p>
      <w:pPr>
        <w:ind w:firstLine="480"/>
      </w:pPr>
      <w:r>
        <w:t>基于环境科学专业培养知识、能力与素质协调发展的高级专门人才的培养目标和社会对人才需求的变化趋势，环境科学专业需制定好适应学科发展需要的近期发展规划，多方位、多途径挖掘内部潜力，进一步加强软、硬件建设，争取成为校重点建设专业。同时提高专业教师在专业建设中的参与积极性和工作主动性，深入进行教学改革、努力提高教学质量，依据科学的合理的培养模式为社会培养更多的合格人才。</w:t>
      </w:r>
    </w:p>
    <w:p>
      <w:pPr>
        <w:pStyle w:val="5"/>
        <w:spacing w:before="93" w:after="93"/>
        <w:ind w:firstLine="560"/>
      </w:pPr>
      <w:bookmarkStart w:id="140" w:name="_Toc224"/>
      <w:r>
        <w:t>八、存在的问题及整改措施</w:t>
      </w:r>
      <w:bookmarkEnd w:id="140"/>
    </w:p>
    <w:p>
      <w:pPr>
        <w:pStyle w:val="7"/>
        <w:ind w:firstLine="480"/>
      </w:pPr>
      <w:bookmarkStart w:id="141" w:name="_Toc439226703"/>
      <w:bookmarkStart w:id="142" w:name="_Toc439256179"/>
      <w:bookmarkStart w:id="143" w:name="_Toc439254686"/>
      <w:bookmarkStart w:id="144" w:name="_Toc439228918"/>
      <w:r>
        <w:t>1. 存在的问题</w:t>
      </w:r>
      <w:bookmarkEnd w:id="141"/>
      <w:bookmarkEnd w:id="142"/>
      <w:bookmarkEnd w:id="143"/>
      <w:bookmarkEnd w:id="144"/>
    </w:p>
    <w:p>
      <w:pPr>
        <w:ind w:firstLine="480"/>
      </w:pPr>
      <w:r>
        <w:t>师资力量有待进一步加强。本专业专职教师28人，承担了环境科学、环境工程专业、环境生态工程专业及部分农业资源与环境专业的课程，共计100多门课程的教学，任务繁重。此外还有环境科与工程一级硕士学位点、资源与环境领域工程硕士学位点的教学任务。由于整体环境科学专业教学任务繁重，任课教师进行留学深造的机会及时间有限，缺乏同行之间的学习交流，从而导致在教学过程中对专业领域的新技术、新方法无法完全熟悉，对国内及国际上最新的专业研究现状没有深入的了解。从长远的角度和发展的眼光看，应引进高水平博士研究生及高水平学科带头人充实教师队伍。</w:t>
      </w:r>
    </w:p>
    <w:p>
      <w:pPr>
        <w:ind w:firstLine="480"/>
      </w:pPr>
      <w:r>
        <w:t>学科带头人少。师资队伍中还存在的问题就是学科带头人缺少，从长远看，一是引进在国内或国外有所建树的学科带头人，二是，倾力培养自己的学科带头人。同时也努力提高硕士和博士点的培养和研究水平，形成综合立体的人才培养体系。</w:t>
      </w:r>
    </w:p>
    <w:p>
      <w:pPr>
        <w:ind w:firstLine="480"/>
      </w:pPr>
      <w:r>
        <w:t>实验场地和仪器设备有待进一步增加。环境科学专业是一实践性较强的专业，学生需要通过动手实验、研究来学习和领会环境行业相关工作、研究的方法和原理，目前场所紧张，仪器设备较国内一流大学还有一定差距。</w:t>
      </w:r>
    </w:p>
    <w:p>
      <w:pPr>
        <w:ind w:firstLine="480"/>
      </w:pPr>
      <w:r>
        <w:t>学生就业率有待提高。近年来学生考研热，考研竞争压力增大，部分在考研竞争中被淘汰的学生不愿意选择就业，而选择待业或继续复习考研。</w:t>
      </w:r>
    </w:p>
    <w:p>
      <w:pPr>
        <w:pStyle w:val="7"/>
        <w:ind w:firstLine="480"/>
      </w:pPr>
      <w:bookmarkStart w:id="145" w:name="_Toc439254687"/>
      <w:bookmarkStart w:id="146" w:name="_Toc439256180"/>
      <w:bookmarkStart w:id="147" w:name="_Toc439228919"/>
      <w:bookmarkStart w:id="148" w:name="_Toc439226704"/>
      <w:r>
        <w:t>2. 整改措施</w:t>
      </w:r>
      <w:bookmarkEnd w:id="145"/>
      <w:bookmarkEnd w:id="146"/>
      <w:bookmarkEnd w:id="147"/>
      <w:bookmarkEnd w:id="148"/>
    </w:p>
    <w:p>
      <w:pPr>
        <w:ind w:firstLine="480"/>
      </w:pPr>
      <w:r>
        <w:t>加强师资队伍建设。未来3年本专业需新增老师3-6名，充实教学队伍，争取在十四五期间达到博士点要求（40人），申请博士点。在今后教学过程中，我们将用以下方法进行改进：采用</w:t>
      </w:r>
      <w:r>
        <w:rPr>
          <w:rFonts w:hint="eastAsia"/>
        </w:rPr>
        <w:t>“</w:t>
      </w:r>
      <w:r>
        <w:t>请进来，送出去</w:t>
      </w:r>
      <w:r>
        <w:rPr>
          <w:rFonts w:hint="eastAsia"/>
        </w:rPr>
        <w:t>”</w:t>
      </w:r>
      <w:r>
        <w:t>的方法保证教学团队的高质量，每年邀请3-4位国内外知名学者来我系进行科研及教学交流，同时鼓励青年教师参加国内或国际的访问学者计划，增加青年教师参加国际学术会议的机会，保证教师业务能力不断提高。</w:t>
      </w:r>
    </w:p>
    <w:p>
      <w:pPr>
        <w:ind w:firstLine="480"/>
      </w:pPr>
      <w:r>
        <w:t>加强实验室建设。今后应新建1－2个教学实验室，增加和更新实验设备，增加引进专业的实验室管理人员，确保各相关仪器设备运转完好率达到100％，并且积极联系相关企业如环保公司、监测公司等用作实践教学，而且加大试验和实践课程，重视对学生实践能力的培养和训练。拓展学生就业渠道。</w:t>
      </w:r>
    </w:p>
    <w:p>
      <w:pPr>
        <w:ind w:firstLine="480"/>
      </w:pPr>
      <w:r>
        <w:t>加强学生就业思想教育，转变就业观念，扩展就业渠道与途径。鼓励更多的学生考取研究生进一步深造。另外，鼓励学生出国留学，开阔视野，提高就业竞争力，毕业后进入国际化公司工作。部分同学也可以自主创业。</w:t>
      </w:r>
    </w:p>
    <w:p>
      <w:r>
        <w:br w:type="page"/>
      </w:r>
    </w:p>
    <w:p>
      <w:pPr>
        <w:pStyle w:val="4"/>
        <w:ind w:firstLine="600"/>
      </w:pPr>
      <w:bookmarkStart w:id="149" w:name="_Toc13347"/>
      <w:r>
        <w:rPr>
          <w:rFonts w:hint="eastAsia"/>
          <w:lang w:val="en-US"/>
        </w:rPr>
        <w:t>专业十三：</w:t>
      </w:r>
      <w:r>
        <w:t>环境生态工程</w:t>
      </w:r>
      <w:bookmarkEnd w:id="149"/>
    </w:p>
    <w:p>
      <w:pPr>
        <w:pStyle w:val="5"/>
        <w:spacing w:before="93" w:after="93"/>
        <w:ind w:firstLine="560"/>
      </w:pPr>
      <w:bookmarkStart w:id="150" w:name="_Toc13342"/>
      <w:r>
        <w:t>一、人才培养目标</w:t>
      </w:r>
      <w:bookmarkEnd w:id="150"/>
    </w:p>
    <w:p>
      <w:pPr>
        <w:ind w:firstLine="480" w:firstLineChars="200"/>
        <w:rPr>
          <w:szCs w:val="24"/>
        </w:rPr>
      </w:pPr>
      <w:r>
        <w:rPr>
          <w:kern w:val="0"/>
          <w:szCs w:val="24"/>
        </w:rPr>
        <w:t>本专业培养德、智、体、美、劳全面发展，</w:t>
      </w:r>
      <w:r>
        <w:rPr>
          <w:szCs w:val="24"/>
        </w:rPr>
        <w:t>思想政治素质高，</w:t>
      </w:r>
      <w:r>
        <w:rPr>
          <w:kern w:val="0"/>
          <w:szCs w:val="24"/>
        </w:rPr>
        <w:t>具备环境生态学基本理论，掌握生态学、环境科学和工程设计等基础知识，具有环境生态保护和工程治理基本技能，具有环境生态管理与保护、环境监测与评估、环境生态工程规划和设计、环境生态修复与建设、资源循环利用、生态农业园区规划设计与建设管理等核心能力和实践能力，富有创新精神、创业意识和创新创业能力，毕业后能够在环保、农业、林业、国土资源、水利等领域从事环境生态工程工作的</w:t>
      </w:r>
      <w:r>
        <w:rPr>
          <w:szCs w:val="24"/>
        </w:rPr>
        <w:t>创新型、专业型高级专门人才，可以在环境生态学、环境学、生态学、资源环境学等领域继续深造发展,</w:t>
      </w:r>
      <w:r>
        <w:t xml:space="preserve"> 为地方和国家经济建设、生态建设提供更好的智力支撑。</w:t>
      </w:r>
    </w:p>
    <w:p>
      <w:pPr>
        <w:pStyle w:val="5"/>
        <w:spacing w:before="93" w:after="93"/>
        <w:ind w:firstLine="560"/>
      </w:pPr>
      <w:bookmarkStart w:id="151" w:name="_Toc8939"/>
      <w:r>
        <w:t>二、培养能力（专业设置情况、在校生规模、课程设置情况、创新创业教育等）</w:t>
      </w:r>
      <w:bookmarkEnd w:id="151"/>
    </w:p>
    <w:p>
      <w:pPr>
        <w:pStyle w:val="7"/>
        <w:ind w:firstLine="480"/>
      </w:pPr>
      <w:r>
        <w:t>1.专业设置情况</w:t>
      </w:r>
    </w:p>
    <w:p>
      <w:pPr>
        <w:ind w:firstLine="480" w:firstLineChars="200"/>
      </w:pPr>
      <w:r>
        <w:t>环境生态工程专业于2016年开始本科生招生，2020年为第一届毕业生，本科学制为4年，学习年限为3－8年，按要求完成学业者授予工学学士学位。从2019年开始与环境科学、环境工程专业合并进行环境大类招生。</w:t>
      </w:r>
    </w:p>
    <w:p>
      <w:pPr>
        <w:pStyle w:val="7"/>
        <w:ind w:firstLine="480"/>
      </w:pPr>
      <w:r>
        <w:t>2.在校生规模</w:t>
      </w:r>
    </w:p>
    <w:p>
      <w:pPr>
        <w:pStyle w:val="7"/>
        <w:ind w:firstLine="480"/>
        <w:rPr>
          <w:rFonts w:eastAsia="宋体"/>
        </w:rPr>
      </w:pPr>
      <w:r>
        <w:rPr>
          <w:rFonts w:eastAsia="宋体"/>
        </w:rPr>
        <w:t>从2016-2018年，每年招收2个班级，学生人数在50人左右。2019年环境大类招生开始，每年分流环生专业人数为30人左右。目前环境生态工程专业2019-2021级三个年级在校生92人。</w:t>
      </w:r>
    </w:p>
    <w:p>
      <w:pPr>
        <w:pStyle w:val="7"/>
        <w:ind w:firstLine="480"/>
      </w:pPr>
      <w:r>
        <w:t>3.课程设置情况</w:t>
      </w:r>
    </w:p>
    <w:p>
      <w:pPr>
        <w:ind w:firstLine="480" w:firstLineChars="200"/>
      </w:pPr>
      <w:r>
        <w:t>环境生态工程专业培养方案中教学进程包括通识教育课、专业基础课、专业核心课、专业方向课、拓展教育课、实践教学环节六部分内容。其中通识教育课、专业基础课、专业核心课为必修课程；专业方向课、拓展教育课为选修课程；实践教学环节为实践类教学过程。毕业总学分不少于170学分。其中，必修课总学分 149.5学分、选修课20.5学分、实践教学学分（含操作性实验课17.5学分和实践33.5学分）51，占总学分30%。</w:t>
      </w:r>
    </w:p>
    <w:p>
      <w:pPr>
        <w:ind w:firstLine="480" w:firstLineChars="200"/>
      </w:pPr>
      <w:r>
        <w:t>通识教育课是我校全体学生必须修读的思想政治类、公共体育类、语言类、计算机应用类课程；专业基础课是按专业学科类别设计的基础类、专业基础类课程，是学生专业核心课程的基础；专业核心课是培养学生专业技能和专业素养的一组课程，是业务培养的核心内容；拓展教育课是各专业根据专业研究优势和特色开设的一组课程，由学生根据个人专业兴趣和业务培养需要，依据自身特点从中选修部分课程；专业方向课是满足学生个性发展需要的一部分课程，学生根据个人兴趣、考研需求等因素，从中选修部分课程。所以本专业人才培养方案适应素质教育与培养创新人才的要求，有利于学生的个性发展。</w:t>
      </w:r>
    </w:p>
    <w:p>
      <w:pPr>
        <w:ind w:firstLine="480" w:firstLineChars="200"/>
      </w:pPr>
      <w:r>
        <w:t>重点加强环境生态工程学、环境科学概论、普通生态学、农业生态学、资源循环科学与工程概论、土壤学、环境生态工程学、环境监测与评价、农业废弃物资源化利用工程、湿地生态工程、水污染生态控制工程、农业生态学、污染土壤修复工程、生态恢复与重建工程、草地建植与管理利用工程、环境工程CAD草地生态学、农业园区规划设计与管理、景观生态学的教学内容，改革教学方法和手段，加强精品课程和教材建设，构建一套适应人才培养要求的创新课程体系。</w:t>
      </w:r>
    </w:p>
    <w:p>
      <w:pPr>
        <w:pStyle w:val="7"/>
        <w:ind w:firstLine="480"/>
      </w:pPr>
      <w:r>
        <w:t>4.创新创业教育</w:t>
      </w:r>
    </w:p>
    <w:p>
      <w:pPr>
        <w:ind w:firstLine="480" w:firstLineChars="200"/>
      </w:pPr>
      <w:r>
        <w:t>大学生就业成为全社会普遍关注的问题，如何提高学生的就业率就成为环境生态工程专业办学亟需解决的首要问题，为提高环境生态工程专业学生的就业率，需改革现有的人才培养模式，把专业教育和创新创业教育有效地结合起来，以创新创业教育提高学生的创新意识和创新思维，培养学生的创业能力，以创新创业带动就业，从而提高环境生态工程的就业率，提高草业科学专业的人才培养质量，为我国环境保护和生态恢复提供强有力的人才保障和智力支持。</w:t>
      </w:r>
    </w:p>
    <w:p>
      <w:pPr>
        <w:ind w:firstLine="480" w:firstLineChars="200"/>
      </w:pPr>
      <w:r>
        <w:t>学院积极重视大学生创新创业教育，把创新创业教育作为深化教育教学改革的重要内容纳入教学计划，在人才培养方案中加入创业教育内容，完善创新创业教育体系；坚持</w:t>
      </w:r>
      <w:r>
        <w:rPr>
          <w:rFonts w:hint="eastAsia"/>
        </w:rPr>
        <w:t>“</w:t>
      </w:r>
      <w:r>
        <w:t>全力支持、全程指导、全员覆盖</w:t>
      </w:r>
      <w:r>
        <w:rPr>
          <w:rFonts w:hint="eastAsia"/>
        </w:rPr>
        <w:t>”</w:t>
      </w:r>
      <w:r>
        <w:t>理念，实施课堂教育、专家传道、课外实践</w:t>
      </w:r>
      <w:r>
        <w:rPr>
          <w:rFonts w:hint="eastAsia"/>
        </w:rPr>
        <w:t>“</w:t>
      </w:r>
      <w:r>
        <w:t>三位一体</w:t>
      </w:r>
      <w:r>
        <w:rPr>
          <w:rFonts w:hint="eastAsia"/>
        </w:rPr>
        <w:t>”</w:t>
      </w:r>
      <w:r>
        <w:t>的教育模式，组织指导教师，专门对学生创新创业进行指导，并对优秀指导教师进行适当奖励；积极为大学生创新创业搭建平台，鼓励大学生申报国家级大学生创新创业训练计划项目、大学生创新创业引领计划（SIEG）项目、大学生研究训练计划（SRT）项目，组织大学生创新创业团队参加</w:t>
      </w:r>
      <w:r>
        <w:rPr>
          <w:rFonts w:hint="eastAsia"/>
        </w:rPr>
        <w:t>“</w:t>
      </w:r>
      <w:r>
        <w:t>挑战杯</w:t>
      </w:r>
      <w:r>
        <w:rPr>
          <w:rFonts w:hint="eastAsia"/>
        </w:rPr>
        <w:t>”</w:t>
      </w:r>
      <w:r>
        <w:t>大学生创业计划大赛、泰安市大学生科技创新行动计划和学风建设精品工程等大学生创新创业实践活动；积极为学生开展创新创业活动提供支持，设立专项经费支持大学生开展国家大学生创新创业训练计划项目、参加大学生创业计划大赛等活动，拨付专项资金，为创业团队购买甲醛测定仪、实验台、空气净化器等仪器设备；加强实验室开放管理，从实验场所、仪器设备使用等方面给予全力支持，尽力协调，保证大学生创新创业活动的应用。</w:t>
      </w:r>
    </w:p>
    <w:p>
      <w:pPr>
        <w:pStyle w:val="5"/>
        <w:spacing w:before="93" w:after="93"/>
        <w:ind w:firstLine="560"/>
      </w:pPr>
      <w:bookmarkStart w:id="152" w:name="_Toc29498"/>
      <w:r>
        <w:t>三、培养条件（教学经费投入、教学设备、教师队伍建设、实习基地、现代教学技术应用等）</w:t>
      </w:r>
      <w:bookmarkEnd w:id="152"/>
    </w:p>
    <w:p>
      <w:pPr>
        <w:pStyle w:val="7"/>
        <w:ind w:firstLine="480"/>
      </w:pPr>
      <w:r>
        <w:t>1.教学经费投入</w:t>
      </w:r>
    </w:p>
    <w:p>
      <w:pPr>
        <w:ind w:firstLine="480" w:firstLineChars="200"/>
      </w:pPr>
      <w:r>
        <w:t>近年来，专业加大教学保证仪器设备、软件及日常教学等各种教学投入，保证教学，提高质量。</w:t>
      </w:r>
    </w:p>
    <w:p>
      <w:pPr>
        <w:ind w:firstLine="480" w:firstLineChars="200"/>
      </w:pPr>
      <w:r>
        <w:t>近5年共投资560多万元新购置仪器设备、实验标本及新建、改建实验室。其中仪器设备共投资512.23万元，改造实验室2个，新建实验室1个，共投资48万元，极大改善了教学条件和实验条件。日常教学投入也进一步加大，如教学实习、实验室维护、维修、日常实验材料购置等，近3年共投入约10万元支付日常教学需要。</w:t>
      </w:r>
    </w:p>
    <w:p>
      <w:pPr>
        <w:pStyle w:val="7"/>
        <w:ind w:firstLine="480"/>
      </w:pPr>
      <w:r>
        <w:t>2.教学设备</w:t>
      </w:r>
    </w:p>
    <w:p>
      <w:pPr>
        <w:ind w:firstLine="480" w:firstLineChars="200"/>
      </w:pPr>
      <w:r>
        <w:t>环境类专业在南校区拥有多间实验室，主要承担环境监测实验、环境工程实验、环境化学实验、环境生物学实验、气象学实验、污水处理模型、大气污染控制模型、固体废物处理模型等等环境类课程的实验教学。</w:t>
      </w:r>
    </w:p>
    <w:p>
      <w:pPr>
        <w:ind w:firstLine="480" w:firstLineChars="200"/>
      </w:pPr>
      <w:r>
        <w:t>近年来学院购置的用于环境类专业教学的设备包括：数字电热恒温鼓风干燥箱、分光光度计、微控数显电热板、液氮罐、台式恒温水浴振荡器、六联电动搅拌机、高压蒸气灭菌锅、生化培养箱、台式高速冷冻离心机、电导率仪、气相色谱仪、总有机碳/总氮分析仪、水质快速测测仪、红外测油仪、多功能声级计、实时信号分析仪、浊度仪、大气综合采样器、板式静电除尘器、一体化洗涤喷淋塔、活性炭气体吸附装置、固体废料风力分选实验装置、垃圾填埋模拟装置、臭氧处理装置、全自动微型压力气浮实验装置、反渗透实验装置、污泥比阻测定装置、多功能厌氧生物反应器。</w:t>
      </w:r>
    </w:p>
    <w:p>
      <w:pPr>
        <w:ind w:firstLine="480" w:firstLineChars="200"/>
      </w:pPr>
      <w:r>
        <w:t>为该专业学生的实验实习奠定了良好的物质基础，设备运转完好率达到100％，充分保证了各层次实验教学的需要，使实验开出率达到100％。</w:t>
      </w:r>
    </w:p>
    <w:p>
      <w:pPr>
        <w:pStyle w:val="7"/>
        <w:ind w:firstLine="480"/>
      </w:pPr>
      <w:r>
        <w:t>3.师资队伍建设</w:t>
      </w:r>
    </w:p>
    <w:p>
      <w:pPr>
        <w:ind w:firstLine="480" w:firstLineChars="200"/>
      </w:pPr>
      <w:r>
        <w:t>环境生态工程专业依托于环境科学与环境工程专业，虽然属于新上专业，但环境类雄厚的师资力量为环境生态工程专业高质量的教育教学工作提供了基础。</w:t>
      </w:r>
    </w:p>
    <w:p>
      <w:pPr>
        <w:ind w:firstLine="480" w:firstLineChars="200"/>
      </w:pPr>
      <w:r>
        <w:t>环境类专业目前本拥有专业教师28人，其中教授6人，副教授17人，讲师5人。从年龄结构上看，50岁以上6人，41-50岁10人，31-40岁9人，30岁以下3人，可以看出，本学科师资是以中青年为主的。2017-2021年度引进青年教师9人，来自中国科学院地理科学与资源研究所、中国科学技术大学、日本岐阜大学、湖南大学、南开大学、中国农业大学、中国海洋大学、山东大学等高校和科研院所，补充了新鲜力量。</w:t>
      </w:r>
    </w:p>
    <w:p>
      <w:pPr>
        <w:ind w:firstLine="422"/>
        <w:jc w:val="center"/>
        <w:rPr>
          <w:b/>
          <w:bCs/>
          <w:sz w:val="21"/>
          <w:szCs w:val="21"/>
        </w:rPr>
      </w:pPr>
      <w:r>
        <w:rPr>
          <w:b/>
          <w:bCs/>
          <w:sz w:val="21"/>
          <w:szCs w:val="21"/>
        </w:rPr>
        <w:t>表1  环境科学专业师资队伍情况</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7"/>
        <w:gridCol w:w="1466"/>
        <w:gridCol w:w="725"/>
        <w:gridCol w:w="1350"/>
        <w:gridCol w:w="1096"/>
        <w:gridCol w:w="31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tblHeader/>
          <w:jc w:val="center"/>
        </w:trPr>
        <w:tc>
          <w:tcPr>
            <w:tcW w:w="705" w:type="pct"/>
          </w:tcPr>
          <w:p>
            <w:pPr>
              <w:jc w:val="center"/>
              <w:rPr>
                <w:b/>
                <w:bCs/>
                <w:sz w:val="21"/>
                <w:szCs w:val="21"/>
              </w:rPr>
            </w:pPr>
            <w:r>
              <w:rPr>
                <w:b/>
                <w:bCs/>
                <w:sz w:val="21"/>
                <w:szCs w:val="21"/>
              </w:rPr>
              <w:t>序号</w:t>
            </w:r>
          </w:p>
        </w:tc>
        <w:tc>
          <w:tcPr>
            <w:tcW w:w="809" w:type="pct"/>
          </w:tcPr>
          <w:p>
            <w:pPr>
              <w:jc w:val="center"/>
              <w:rPr>
                <w:b/>
                <w:bCs/>
                <w:sz w:val="21"/>
                <w:szCs w:val="21"/>
              </w:rPr>
            </w:pPr>
            <w:r>
              <w:rPr>
                <w:b/>
                <w:bCs/>
                <w:sz w:val="21"/>
                <w:szCs w:val="21"/>
              </w:rPr>
              <w:t>姓  名</w:t>
            </w:r>
          </w:p>
        </w:tc>
        <w:tc>
          <w:tcPr>
            <w:tcW w:w="400" w:type="pct"/>
          </w:tcPr>
          <w:p>
            <w:pPr>
              <w:jc w:val="center"/>
              <w:rPr>
                <w:b/>
                <w:bCs/>
                <w:sz w:val="21"/>
                <w:szCs w:val="21"/>
              </w:rPr>
            </w:pPr>
            <w:r>
              <w:rPr>
                <w:b/>
                <w:bCs/>
                <w:sz w:val="21"/>
                <w:szCs w:val="21"/>
              </w:rPr>
              <w:t>年龄</w:t>
            </w:r>
          </w:p>
        </w:tc>
        <w:tc>
          <w:tcPr>
            <w:tcW w:w="745" w:type="pct"/>
          </w:tcPr>
          <w:p>
            <w:pPr>
              <w:jc w:val="center"/>
              <w:rPr>
                <w:b/>
                <w:bCs/>
                <w:sz w:val="21"/>
                <w:szCs w:val="21"/>
              </w:rPr>
            </w:pPr>
            <w:r>
              <w:rPr>
                <w:b/>
                <w:bCs/>
                <w:sz w:val="21"/>
                <w:szCs w:val="21"/>
              </w:rPr>
              <w:t>职  称</w:t>
            </w:r>
          </w:p>
        </w:tc>
        <w:tc>
          <w:tcPr>
            <w:tcW w:w="605" w:type="pct"/>
          </w:tcPr>
          <w:p>
            <w:pPr>
              <w:jc w:val="center"/>
              <w:rPr>
                <w:b/>
                <w:bCs/>
                <w:sz w:val="21"/>
                <w:szCs w:val="21"/>
              </w:rPr>
            </w:pPr>
            <w:r>
              <w:rPr>
                <w:b/>
                <w:bCs/>
                <w:sz w:val="21"/>
                <w:szCs w:val="21"/>
              </w:rPr>
              <w:t>学位</w:t>
            </w:r>
          </w:p>
        </w:tc>
        <w:tc>
          <w:tcPr>
            <w:tcW w:w="1734" w:type="pct"/>
          </w:tcPr>
          <w:p>
            <w:pPr>
              <w:jc w:val="center"/>
              <w:rPr>
                <w:b/>
                <w:bCs/>
                <w:sz w:val="21"/>
                <w:szCs w:val="21"/>
              </w:rPr>
            </w:pPr>
            <w:r>
              <w:rPr>
                <w:b/>
                <w:bCs/>
                <w:sz w:val="21"/>
                <w:szCs w:val="21"/>
              </w:rPr>
              <w:t>毕业院校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705" w:type="pct"/>
          </w:tcPr>
          <w:p>
            <w:pPr>
              <w:jc w:val="center"/>
              <w:rPr>
                <w:sz w:val="21"/>
                <w:szCs w:val="21"/>
              </w:rPr>
            </w:pPr>
            <w:r>
              <w:rPr>
                <w:sz w:val="21"/>
                <w:szCs w:val="21"/>
              </w:rPr>
              <w:t>1</w:t>
            </w:r>
          </w:p>
        </w:tc>
        <w:tc>
          <w:tcPr>
            <w:tcW w:w="809" w:type="pct"/>
          </w:tcPr>
          <w:p>
            <w:pPr>
              <w:jc w:val="center"/>
              <w:rPr>
                <w:sz w:val="21"/>
                <w:szCs w:val="21"/>
              </w:rPr>
            </w:pPr>
            <w:r>
              <w:rPr>
                <w:sz w:val="21"/>
                <w:szCs w:val="21"/>
              </w:rPr>
              <w:t>朱鲁生</w:t>
            </w:r>
          </w:p>
        </w:tc>
        <w:tc>
          <w:tcPr>
            <w:tcW w:w="400" w:type="pct"/>
          </w:tcPr>
          <w:p>
            <w:pPr>
              <w:jc w:val="center"/>
              <w:rPr>
                <w:sz w:val="21"/>
                <w:szCs w:val="21"/>
              </w:rPr>
            </w:pPr>
            <w:r>
              <w:rPr>
                <w:sz w:val="21"/>
                <w:szCs w:val="21"/>
              </w:rPr>
              <w:t>58</w:t>
            </w:r>
          </w:p>
        </w:tc>
        <w:tc>
          <w:tcPr>
            <w:tcW w:w="745" w:type="pct"/>
          </w:tcPr>
          <w:p>
            <w:pPr>
              <w:jc w:val="center"/>
              <w:rPr>
                <w:sz w:val="21"/>
                <w:szCs w:val="21"/>
              </w:rPr>
            </w:pPr>
            <w:r>
              <w:rPr>
                <w:sz w:val="21"/>
                <w:szCs w:val="21"/>
              </w:rPr>
              <w:t>教授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浙江大学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5" w:type="pct"/>
          </w:tcPr>
          <w:p>
            <w:pPr>
              <w:jc w:val="center"/>
              <w:rPr>
                <w:sz w:val="21"/>
                <w:szCs w:val="21"/>
              </w:rPr>
            </w:pPr>
            <w:r>
              <w:rPr>
                <w:sz w:val="21"/>
                <w:szCs w:val="21"/>
              </w:rPr>
              <w:t>2</w:t>
            </w:r>
          </w:p>
        </w:tc>
        <w:tc>
          <w:tcPr>
            <w:tcW w:w="809" w:type="pct"/>
          </w:tcPr>
          <w:p>
            <w:pPr>
              <w:jc w:val="center"/>
              <w:rPr>
                <w:sz w:val="21"/>
                <w:szCs w:val="21"/>
              </w:rPr>
            </w:pPr>
            <w:r>
              <w:rPr>
                <w:sz w:val="21"/>
                <w:szCs w:val="21"/>
              </w:rPr>
              <w:t>王金花</w:t>
            </w:r>
          </w:p>
        </w:tc>
        <w:tc>
          <w:tcPr>
            <w:tcW w:w="400" w:type="pct"/>
          </w:tcPr>
          <w:p>
            <w:pPr>
              <w:jc w:val="center"/>
              <w:rPr>
                <w:sz w:val="21"/>
                <w:szCs w:val="21"/>
              </w:rPr>
            </w:pPr>
            <w:r>
              <w:rPr>
                <w:sz w:val="21"/>
                <w:szCs w:val="21"/>
              </w:rPr>
              <w:t>43</w:t>
            </w:r>
          </w:p>
        </w:tc>
        <w:tc>
          <w:tcPr>
            <w:tcW w:w="745" w:type="pct"/>
          </w:tcPr>
          <w:p>
            <w:pPr>
              <w:jc w:val="center"/>
              <w:rPr>
                <w:sz w:val="21"/>
                <w:szCs w:val="21"/>
              </w:rPr>
            </w:pPr>
            <w:r>
              <w:rPr>
                <w:sz w:val="21"/>
                <w:szCs w:val="21"/>
              </w:rPr>
              <w:t>教授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上海交通大学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5" w:type="pct"/>
          </w:tcPr>
          <w:p>
            <w:pPr>
              <w:jc w:val="center"/>
              <w:rPr>
                <w:sz w:val="21"/>
                <w:szCs w:val="21"/>
              </w:rPr>
            </w:pPr>
            <w:r>
              <w:rPr>
                <w:sz w:val="21"/>
                <w:szCs w:val="21"/>
              </w:rPr>
              <w:t>3</w:t>
            </w:r>
          </w:p>
        </w:tc>
        <w:tc>
          <w:tcPr>
            <w:tcW w:w="809" w:type="pct"/>
          </w:tcPr>
          <w:p>
            <w:pPr>
              <w:jc w:val="center"/>
              <w:rPr>
                <w:sz w:val="21"/>
                <w:szCs w:val="21"/>
              </w:rPr>
            </w:pPr>
            <w:r>
              <w:rPr>
                <w:sz w:val="21"/>
                <w:szCs w:val="21"/>
              </w:rPr>
              <w:t>王  军</w:t>
            </w:r>
          </w:p>
        </w:tc>
        <w:tc>
          <w:tcPr>
            <w:tcW w:w="400" w:type="pct"/>
          </w:tcPr>
          <w:p>
            <w:pPr>
              <w:jc w:val="center"/>
              <w:rPr>
                <w:sz w:val="21"/>
                <w:szCs w:val="21"/>
              </w:rPr>
            </w:pPr>
            <w:r>
              <w:rPr>
                <w:sz w:val="21"/>
                <w:szCs w:val="21"/>
              </w:rPr>
              <w:t>44</w:t>
            </w:r>
          </w:p>
        </w:tc>
        <w:tc>
          <w:tcPr>
            <w:tcW w:w="745" w:type="pct"/>
          </w:tcPr>
          <w:p>
            <w:pPr>
              <w:jc w:val="center"/>
              <w:rPr>
                <w:sz w:val="21"/>
                <w:szCs w:val="21"/>
              </w:rPr>
            </w:pPr>
            <w:r>
              <w:rPr>
                <w:sz w:val="21"/>
                <w:szCs w:val="21"/>
              </w:rPr>
              <w:t>教授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5" w:type="pct"/>
          </w:tcPr>
          <w:p>
            <w:pPr>
              <w:jc w:val="center"/>
              <w:rPr>
                <w:sz w:val="21"/>
                <w:szCs w:val="21"/>
              </w:rPr>
            </w:pPr>
            <w:r>
              <w:rPr>
                <w:sz w:val="21"/>
                <w:szCs w:val="21"/>
              </w:rPr>
              <w:t>4</w:t>
            </w:r>
          </w:p>
        </w:tc>
        <w:tc>
          <w:tcPr>
            <w:tcW w:w="809" w:type="pct"/>
          </w:tcPr>
          <w:p>
            <w:pPr>
              <w:jc w:val="center"/>
              <w:rPr>
                <w:sz w:val="21"/>
                <w:szCs w:val="21"/>
              </w:rPr>
            </w:pPr>
            <w:r>
              <w:rPr>
                <w:sz w:val="21"/>
                <w:szCs w:val="21"/>
              </w:rPr>
              <w:t>付伟章</w:t>
            </w:r>
          </w:p>
        </w:tc>
        <w:tc>
          <w:tcPr>
            <w:tcW w:w="400" w:type="pct"/>
          </w:tcPr>
          <w:p>
            <w:pPr>
              <w:jc w:val="center"/>
              <w:rPr>
                <w:sz w:val="21"/>
                <w:szCs w:val="21"/>
              </w:rPr>
            </w:pPr>
            <w:r>
              <w:rPr>
                <w:sz w:val="21"/>
                <w:szCs w:val="21"/>
              </w:rPr>
              <w:t>49</w:t>
            </w:r>
          </w:p>
        </w:tc>
        <w:tc>
          <w:tcPr>
            <w:tcW w:w="745" w:type="pct"/>
          </w:tcPr>
          <w:p>
            <w:pPr>
              <w:jc w:val="center"/>
              <w:rPr>
                <w:sz w:val="21"/>
                <w:szCs w:val="21"/>
              </w:rPr>
            </w:pPr>
            <w:r>
              <w:rPr>
                <w:sz w:val="21"/>
                <w:szCs w:val="21"/>
              </w:rPr>
              <w:t>教授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5" w:type="pct"/>
          </w:tcPr>
          <w:p>
            <w:pPr>
              <w:jc w:val="center"/>
              <w:rPr>
                <w:sz w:val="21"/>
                <w:szCs w:val="21"/>
              </w:rPr>
            </w:pPr>
            <w:r>
              <w:rPr>
                <w:sz w:val="21"/>
                <w:szCs w:val="21"/>
              </w:rPr>
              <w:t>5</w:t>
            </w:r>
          </w:p>
        </w:tc>
        <w:tc>
          <w:tcPr>
            <w:tcW w:w="809" w:type="pct"/>
          </w:tcPr>
          <w:p>
            <w:pPr>
              <w:jc w:val="center"/>
              <w:rPr>
                <w:sz w:val="21"/>
                <w:szCs w:val="21"/>
              </w:rPr>
            </w:pPr>
            <w:r>
              <w:rPr>
                <w:sz w:val="21"/>
                <w:szCs w:val="21"/>
              </w:rPr>
              <w:t>焦树英</w:t>
            </w:r>
          </w:p>
        </w:tc>
        <w:tc>
          <w:tcPr>
            <w:tcW w:w="400" w:type="pct"/>
          </w:tcPr>
          <w:p>
            <w:pPr>
              <w:jc w:val="center"/>
              <w:rPr>
                <w:sz w:val="21"/>
                <w:szCs w:val="21"/>
              </w:rPr>
            </w:pPr>
            <w:r>
              <w:rPr>
                <w:sz w:val="21"/>
                <w:szCs w:val="21"/>
              </w:rPr>
              <w:t>43</w:t>
            </w:r>
          </w:p>
        </w:tc>
        <w:tc>
          <w:tcPr>
            <w:tcW w:w="745" w:type="pct"/>
          </w:tcPr>
          <w:p>
            <w:pPr>
              <w:jc w:val="center"/>
              <w:rPr>
                <w:sz w:val="21"/>
                <w:szCs w:val="21"/>
              </w:rPr>
            </w:pPr>
            <w:r>
              <w:rPr>
                <w:sz w:val="21"/>
                <w:szCs w:val="21"/>
              </w:rPr>
              <w:t>教授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内蒙古农业大学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705" w:type="pct"/>
          </w:tcPr>
          <w:p>
            <w:pPr>
              <w:jc w:val="center"/>
              <w:rPr>
                <w:sz w:val="21"/>
                <w:szCs w:val="21"/>
              </w:rPr>
            </w:pPr>
            <w:r>
              <w:rPr>
                <w:sz w:val="21"/>
                <w:szCs w:val="21"/>
              </w:rPr>
              <w:t>6</w:t>
            </w:r>
          </w:p>
        </w:tc>
        <w:tc>
          <w:tcPr>
            <w:tcW w:w="809" w:type="pct"/>
          </w:tcPr>
          <w:p>
            <w:pPr>
              <w:jc w:val="center"/>
              <w:rPr>
                <w:sz w:val="21"/>
                <w:szCs w:val="21"/>
              </w:rPr>
            </w:pPr>
            <w:r>
              <w:rPr>
                <w:sz w:val="21"/>
                <w:szCs w:val="21"/>
              </w:rPr>
              <w:t>李兆磊</w:t>
            </w:r>
          </w:p>
        </w:tc>
        <w:tc>
          <w:tcPr>
            <w:tcW w:w="400" w:type="pct"/>
          </w:tcPr>
          <w:p>
            <w:pPr>
              <w:jc w:val="center"/>
              <w:rPr>
                <w:sz w:val="21"/>
                <w:szCs w:val="21"/>
              </w:rPr>
            </w:pPr>
            <w:r>
              <w:rPr>
                <w:sz w:val="21"/>
                <w:szCs w:val="21"/>
              </w:rPr>
              <w:t>37</w:t>
            </w:r>
          </w:p>
        </w:tc>
        <w:tc>
          <w:tcPr>
            <w:tcW w:w="745" w:type="pct"/>
          </w:tcPr>
          <w:p>
            <w:pPr>
              <w:jc w:val="center"/>
              <w:rPr>
                <w:sz w:val="21"/>
                <w:szCs w:val="21"/>
              </w:rPr>
            </w:pPr>
            <w:r>
              <w:rPr>
                <w:sz w:val="21"/>
                <w:szCs w:val="21"/>
              </w:rPr>
              <w:t>教授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中国科学院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705" w:type="pct"/>
          </w:tcPr>
          <w:p>
            <w:pPr>
              <w:jc w:val="center"/>
              <w:rPr>
                <w:sz w:val="21"/>
                <w:szCs w:val="21"/>
              </w:rPr>
            </w:pPr>
            <w:r>
              <w:rPr>
                <w:sz w:val="21"/>
                <w:szCs w:val="21"/>
              </w:rPr>
              <w:t>7</w:t>
            </w:r>
          </w:p>
        </w:tc>
        <w:tc>
          <w:tcPr>
            <w:tcW w:w="809" w:type="pct"/>
          </w:tcPr>
          <w:p>
            <w:pPr>
              <w:jc w:val="center"/>
              <w:rPr>
                <w:sz w:val="21"/>
                <w:szCs w:val="21"/>
              </w:rPr>
            </w:pPr>
            <w:r>
              <w:rPr>
                <w:sz w:val="21"/>
                <w:szCs w:val="21"/>
              </w:rPr>
              <w:t>李光德</w:t>
            </w:r>
          </w:p>
        </w:tc>
        <w:tc>
          <w:tcPr>
            <w:tcW w:w="400" w:type="pct"/>
          </w:tcPr>
          <w:p>
            <w:pPr>
              <w:jc w:val="center"/>
              <w:rPr>
                <w:sz w:val="21"/>
                <w:szCs w:val="21"/>
              </w:rPr>
            </w:pPr>
            <w:r>
              <w:rPr>
                <w:sz w:val="21"/>
                <w:szCs w:val="21"/>
              </w:rPr>
              <w:t>59</w:t>
            </w:r>
          </w:p>
        </w:tc>
        <w:tc>
          <w:tcPr>
            <w:tcW w:w="745" w:type="pct"/>
          </w:tcPr>
          <w:p>
            <w:pPr>
              <w:jc w:val="center"/>
              <w:rPr>
                <w:sz w:val="21"/>
                <w:szCs w:val="21"/>
              </w:rPr>
            </w:pPr>
            <w:r>
              <w:rPr>
                <w:sz w:val="21"/>
                <w:szCs w:val="21"/>
              </w:rPr>
              <w:t>副教授</w:t>
            </w:r>
          </w:p>
        </w:tc>
        <w:tc>
          <w:tcPr>
            <w:tcW w:w="605" w:type="pct"/>
          </w:tcPr>
          <w:p>
            <w:pPr>
              <w:jc w:val="center"/>
              <w:rPr>
                <w:sz w:val="21"/>
                <w:szCs w:val="21"/>
              </w:rPr>
            </w:pPr>
            <w:r>
              <w:rPr>
                <w:sz w:val="21"/>
                <w:szCs w:val="21"/>
              </w:rPr>
              <w:t>学士</w:t>
            </w:r>
          </w:p>
        </w:tc>
        <w:tc>
          <w:tcPr>
            <w:tcW w:w="1734" w:type="pct"/>
          </w:tcPr>
          <w:p>
            <w:pPr>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5" w:type="pct"/>
          </w:tcPr>
          <w:p>
            <w:pPr>
              <w:jc w:val="center"/>
              <w:rPr>
                <w:sz w:val="21"/>
                <w:szCs w:val="21"/>
              </w:rPr>
            </w:pPr>
            <w:r>
              <w:rPr>
                <w:sz w:val="21"/>
                <w:szCs w:val="21"/>
              </w:rPr>
              <w:t>8</w:t>
            </w:r>
          </w:p>
        </w:tc>
        <w:tc>
          <w:tcPr>
            <w:tcW w:w="809" w:type="pct"/>
          </w:tcPr>
          <w:p>
            <w:pPr>
              <w:jc w:val="center"/>
              <w:rPr>
                <w:sz w:val="21"/>
                <w:szCs w:val="21"/>
              </w:rPr>
            </w:pPr>
            <w:r>
              <w:rPr>
                <w:sz w:val="21"/>
                <w:szCs w:val="21"/>
              </w:rPr>
              <w:t>王玉军</w:t>
            </w:r>
          </w:p>
        </w:tc>
        <w:tc>
          <w:tcPr>
            <w:tcW w:w="400" w:type="pct"/>
          </w:tcPr>
          <w:p>
            <w:pPr>
              <w:jc w:val="center"/>
              <w:rPr>
                <w:sz w:val="21"/>
                <w:szCs w:val="21"/>
              </w:rPr>
            </w:pPr>
            <w:r>
              <w:rPr>
                <w:sz w:val="21"/>
                <w:szCs w:val="21"/>
              </w:rPr>
              <w:t>58</w:t>
            </w:r>
          </w:p>
        </w:tc>
        <w:tc>
          <w:tcPr>
            <w:tcW w:w="745" w:type="pct"/>
          </w:tcPr>
          <w:p>
            <w:pPr>
              <w:jc w:val="center"/>
              <w:rPr>
                <w:sz w:val="21"/>
                <w:szCs w:val="21"/>
              </w:rPr>
            </w:pPr>
            <w:r>
              <w:rPr>
                <w:sz w:val="21"/>
                <w:szCs w:val="21"/>
              </w:rPr>
              <w:t>副教授</w:t>
            </w:r>
          </w:p>
        </w:tc>
        <w:tc>
          <w:tcPr>
            <w:tcW w:w="605" w:type="pct"/>
          </w:tcPr>
          <w:p>
            <w:pPr>
              <w:jc w:val="center"/>
              <w:rPr>
                <w:sz w:val="21"/>
                <w:szCs w:val="21"/>
              </w:rPr>
            </w:pPr>
            <w:r>
              <w:rPr>
                <w:sz w:val="21"/>
                <w:szCs w:val="21"/>
              </w:rPr>
              <w:t>学士</w:t>
            </w:r>
          </w:p>
        </w:tc>
        <w:tc>
          <w:tcPr>
            <w:tcW w:w="1734" w:type="pct"/>
          </w:tcPr>
          <w:p>
            <w:pPr>
              <w:jc w:val="center"/>
              <w:rPr>
                <w:sz w:val="21"/>
                <w:szCs w:val="21"/>
              </w:rPr>
            </w:pPr>
            <w:r>
              <w:rPr>
                <w:sz w:val="21"/>
                <w:szCs w:val="21"/>
              </w:rPr>
              <w:t>青岛建工学院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5" w:type="pct"/>
          </w:tcPr>
          <w:p>
            <w:pPr>
              <w:jc w:val="center"/>
              <w:rPr>
                <w:sz w:val="21"/>
                <w:szCs w:val="21"/>
              </w:rPr>
            </w:pPr>
            <w:r>
              <w:rPr>
                <w:sz w:val="21"/>
                <w:szCs w:val="21"/>
              </w:rPr>
              <w:t>9</w:t>
            </w:r>
          </w:p>
        </w:tc>
        <w:tc>
          <w:tcPr>
            <w:tcW w:w="809" w:type="pct"/>
          </w:tcPr>
          <w:p>
            <w:pPr>
              <w:jc w:val="center"/>
              <w:rPr>
                <w:sz w:val="21"/>
                <w:szCs w:val="21"/>
              </w:rPr>
            </w:pPr>
            <w:r>
              <w:rPr>
                <w:sz w:val="21"/>
                <w:szCs w:val="21"/>
              </w:rPr>
              <w:t>徐玉新</w:t>
            </w:r>
          </w:p>
        </w:tc>
        <w:tc>
          <w:tcPr>
            <w:tcW w:w="400" w:type="pct"/>
          </w:tcPr>
          <w:p>
            <w:pPr>
              <w:jc w:val="center"/>
              <w:rPr>
                <w:sz w:val="21"/>
                <w:szCs w:val="21"/>
              </w:rPr>
            </w:pPr>
            <w:r>
              <w:rPr>
                <w:sz w:val="21"/>
                <w:szCs w:val="21"/>
              </w:rPr>
              <w:t>55</w:t>
            </w:r>
          </w:p>
        </w:tc>
        <w:tc>
          <w:tcPr>
            <w:tcW w:w="745" w:type="pct"/>
          </w:tcPr>
          <w:p>
            <w:pPr>
              <w:jc w:val="center"/>
              <w:rPr>
                <w:sz w:val="21"/>
                <w:szCs w:val="21"/>
              </w:rPr>
            </w:pPr>
            <w:r>
              <w:rPr>
                <w:sz w:val="21"/>
                <w:szCs w:val="21"/>
              </w:rPr>
              <w:t>副教授</w:t>
            </w:r>
          </w:p>
        </w:tc>
        <w:tc>
          <w:tcPr>
            <w:tcW w:w="605" w:type="pct"/>
          </w:tcPr>
          <w:p>
            <w:pPr>
              <w:jc w:val="center"/>
              <w:rPr>
                <w:sz w:val="21"/>
                <w:szCs w:val="21"/>
              </w:rPr>
            </w:pPr>
            <w:r>
              <w:rPr>
                <w:sz w:val="21"/>
                <w:szCs w:val="21"/>
              </w:rPr>
              <w:t>硕士</w:t>
            </w:r>
          </w:p>
        </w:tc>
        <w:tc>
          <w:tcPr>
            <w:tcW w:w="1734" w:type="pct"/>
          </w:tcPr>
          <w:p>
            <w:pPr>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5" w:type="pct"/>
          </w:tcPr>
          <w:p>
            <w:pPr>
              <w:jc w:val="center"/>
              <w:rPr>
                <w:sz w:val="21"/>
                <w:szCs w:val="21"/>
              </w:rPr>
            </w:pPr>
            <w:r>
              <w:rPr>
                <w:sz w:val="21"/>
                <w:szCs w:val="21"/>
              </w:rPr>
              <w:t>10</w:t>
            </w:r>
          </w:p>
        </w:tc>
        <w:tc>
          <w:tcPr>
            <w:tcW w:w="809" w:type="pct"/>
          </w:tcPr>
          <w:p>
            <w:pPr>
              <w:jc w:val="center"/>
              <w:rPr>
                <w:sz w:val="21"/>
                <w:szCs w:val="21"/>
              </w:rPr>
            </w:pPr>
            <w:r>
              <w:rPr>
                <w:sz w:val="21"/>
                <w:szCs w:val="21"/>
              </w:rPr>
              <w:t>任中兴</w:t>
            </w:r>
          </w:p>
        </w:tc>
        <w:tc>
          <w:tcPr>
            <w:tcW w:w="400" w:type="pct"/>
          </w:tcPr>
          <w:p>
            <w:pPr>
              <w:jc w:val="center"/>
              <w:rPr>
                <w:sz w:val="21"/>
                <w:szCs w:val="21"/>
              </w:rPr>
            </w:pPr>
            <w:r>
              <w:rPr>
                <w:sz w:val="21"/>
                <w:szCs w:val="21"/>
              </w:rPr>
              <w:t>59</w:t>
            </w:r>
          </w:p>
        </w:tc>
        <w:tc>
          <w:tcPr>
            <w:tcW w:w="745" w:type="pct"/>
          </w:tcPr>
          <w:p>
            <w:pPr>
              <w:jc w:val="center"/>
              <w:rPr>
                <w:sz w:val="21"/>
                <w:szCs w:val="21"/>
              </w:rPr>
            </w:pPr>
            <w:r>
              <w:rPr>
                <w:sz w:val="21"/>
                <w:szCs w:val="21"/>
              </w:rPr>
              <w:t>副教授</w:t>
            </w:r>
          </w:p>
        </w:tc>
        <w:tc>
          <w:tcPr>
            <w:tcW w:w="605" w:type="pct"/>
          </w:tcPr>
          <w:p>
            <w:pPr>
              <w:jc w:val="center"/>
              <w:rPr>
                <w:sz w:val="21"/>
                <w:szCs w:val="21"/>
              </w:rPr>
            </w:pPr>
            <w:r>
              <w:rPr>
                <w:sz w:val="21"/>
                <w:szCs w:val="21"/>
              </w:rPr>
              <w:t>学士</w:t>
            </w:r>
          </w:p>
        </w:tc>
        <w:tc>
          <w:tcPr>
            <w:tcW w:w="1734" w:type="pct"/>
          </w:tcPr>
          <w:p>
            <w:pPr>
              <w:jc w:val="center"/>
              <w:rPr>
                <w:sz w:val="21"/>
                <w:szCs w:val="21"/>
              </w:rPr>
            </w:pPr>
            <w:r>
              <w:rPr>
                <w:sz w:val="21"/>
                <w:szCs w:val="21"/>
              </w:rPr>
              <w:t>南京气象学院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705" w:type="pct"/>
          </w:tcPr>
          <w:p>
            <w:pPr>
              <w:jc w:val="center"/>
              <w:rPr>
                <w:sz w:val="21"/>
                <w:szCs w:val="21"/>
              </w:rPr>
            </w:pPr>
            <w:r>
              <w:rPr>
                <w:sz w:val="21"/>
                <w:szCs w:val="21"/>
              </w:rPr>
              <w:t>11</w:t>
            </w:r>
          </w:p>
        </w:tc>
        <w:tc>
          <w:tcPr>
            <w:tcW w:w="809" w:type="pct"/>
          </w:tcPr>
          <w:p>
            <w:pPr>
              <w:jc w:val="center"/>
              <w:rPr>
                <w:sz w:val="21"/>
                <w:szCs w:val="21"/>
              </w:rPr>
            </w:pPr>
            <w:r>
              <w:rPr>
                <w:sz w:val="21"/>
                <w:szCs w:val="21"/>
              </w:rPr>
              <w:t>孙淑娟</w:t>
            </w:r>
          </w:p>
        </w:tc>
        <w:tc>
          <w:tcPr>
            <w:tcW w:w="400" w:type="pct"/>
          </w:tcPr>
          <w:p>
            <w:pPr>
              <w:jc w:val="center"/>
              <w:rPr>
                <w:sz w:val="21"/>
                <w:szCs w:val="21"/>
              </w:rPr>
            </w:pPr>
            <w:r>
              <w:rPr>
                <w:sz w:val="21"/>
                <w:szCs w:val="21"/>
              </w:rPr>
              <w:t>48</w:t>
            </w:r>
          </w:p>
        </w:tc>
        <w:tc>
          <w:tcPr>
            <w:tcW w:w="745" w:type="pct"/>
          </w:tcPr>
          <w:p>
            <w:pPr>
              <w:jc w:val="center"/>
              <w:rPr>
                <w:sz w:val="21"/>
                <w:szCs w:val="21"/>
              </w:rPr>
            </w:pPr>
            <w:r>
              <w:rPr>
                <w:sz w:val="21"/>
                <w:szCs w:val="21"/>
              </w:rPr>
              <w:t>副教授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南开大学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5" w:type="pct"/>
          </w:tcPr>
          <w:p>
            <w:pPr>
              <w:jc w:val="center"/>
              <w:rPr>
                <w:sz w:val="21"/>
                <w:szCs w:val="21"/>
              </w:rPr>
            </w:pPr>
            <w:r>
              <w:rPr>
                <w:sz w:val="21"/>
                <w:szCs w:val="21"/>
              </w:rPr>
              <w:t>12</w:t>
            </w:r>
          </w:p>
        </w:tc>
        <w:tc>
          <w:tcPr>
            <w:tcW w:w="809" w:type="pct"/>
          </w:tcPr>
          <w:p>
            <w:pPr>
              <w:jc w:val="center"/>
              <w:rPr>
                <w:sz w:val="21"/>
                <w:szCs w:val="21"/>
              </w:rPr>
            </w:pPr>
            <w:r>
              <w:rPr>
                <w:sz w:val="21"/>
                <w:szCs w:val="21"/>
              </w:rPr>
              <w:t>谢  慧</w:t>
            </w:r>
          </w:p>
        </w:tc>
        <w:tc>
          <w:tcPr>
            <w:tcW w:w="400" w:type="pct"/>
          </w:tcPr>
          <w:p>
            <w:pPr>
              <w:jc w:val="center"/>
              <w:rPr>
                <w:sz w:val="21"/>
                <w:szCs w:val="21"/>
              </w:rPr>
            </w:pPr>
            <w:r>
              <w:rPr>
                <w:sz w:val="21"/>
                <w:szCs w:val="21"/>
              </w:rPr>
              <w:t>48</w:t>
            </w:r>
          </w:p>
        </w:tc>
        <w:tc>
          <w:tcPr>
            <w:tcW w:w="745" w:type="pct"/>
          </w:tcPr>
          <w:p>
            <w:pPr>
              <w:jc w:val="center"/>
              <w:rPr>
                <w:sz w:val="21"/>
                <w:szCs w:val="21"/>
              </w:rPr>
            </w:pPr>
            <w:r>
              <w:rPr>
                <w:sz w:val="21"/>
                <w:szCs w:val="21"/>
              </w:rPr>
              <w:t>副教授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5" w:type="pct"/>
          </w:tcPr>
          <w:p>
            <w:pPr>
              <w:jc w:val="center"/>
              <w:rPr>
                <w:sz w:val="21"/>
                <w:szCs w:val="21"/>
              </w:rPr>
            </w:pPr>
            <w:r>
              <w:rPr>
                <w:sz w:val="21"/>
                <w:szCs w:val="21"/>
              </w:rPr>
              <w:t>13</w:t>
            </w:r>
          </w:p>
        </w:tc>
        <w:tc>
          <w:tcPr>
            <w:tcW w:w="809" w:type="pct"/>
          </w:tcPr>
          <w:p>
            <w:pPr>
              <w:jc w:val="center"/>
              <w:rPr>
                <w:sz w:val="21"/>
                <w:szCs w:val="21"/>
              </w:rPr>
            </w:pPr>
            <w:r>
              <w:rPr>
                <w:sz w:val="21"/>
                <w:szCs w:val="21"/>
              </w:rPr>
              <w:t>王凤花</w:t>
            </w:r>
          </w:p>
        </w:tc>
        <w:tc>
          <w:tcPr>
            <w:tcW w:w="400" w:type="pct"/>
          </w:tcPr>
          <w:p>
            <w:pPr>
              <w:jc w:val="center"/>
              <w:rPr>
                <w:sz w:val="21"/>
                <w:szCs w:val="21"/>
              </w:rPr>
            </w:pPr>
            <w:r>
              <w:rPr>
                <w:sz w:val="21"/>
                <w:szCs w:val="21"/>
              </w:rPr>
              <w:t>41</w:t>
            </w:r>
          </w:p>
        </w:tc>
        <w:tc>
          <w:tcPr>
            <w:tcW w:w="745" w:type="pct"/>
          </w:tcPr>
          <w:p>
            <w:pPr>
              <w:jc w:val="center"/>
              <w:rPr>
                <w:sz w:val="21"/>
                <w:szCs w:val="21"/>
              </w:rPr>
            </w:pPr>
            <w:r>
              <w:rPr>
                <w:sz w:val="21"/>
                <w:szCs w:val="21"/>
              </w:rPr>
              <w:t>副教授</w:t>
            </w:r>
          </w:p>
        </w:tc>
        <w:tc>
          <w:tcPr>
            <w:tcW w:w="605" w:type="pct"/>
          </w:tcPr>
          <w:p>
            <w:pPr>
              <w:jc w:val="center"/>
              <w:rPr>
                <w:sz w:val="21"/>
                <w:szCs w:val="21"/>
              </w:rPr>
            </w:pPr>
            <w:r>
              <w:rPr>
                <w:sz w:val="21"/>
                <w:szCs w:val="21"/>
              </w:rPr>
              <w:t>硕士</w:t>
            </w:r>
          </w:p>
        </w:tc>
        <w:tc>
          <w:tcPr>
            <w:tcW w:w="1734" w:type="pct"/>
          </w:tcPr>
          <w:p>
            <w:pPr>
              <w:jc w:val="center"/>
              <w:rPr>
                <w:sz w:val="21"/>
                <w:szCs w:val="21"/>
              </w:rPr>
            </w:pPr>
            <w:r>
              <w:rPr>
                <w:sz w:val="21"/>
                <w:szCs w:val="21"/>
              </w:rPr>
              <w:t>南开大学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5" w:type="pct"/>
          </w:tcPr>
          <w:p>
            <w:pPr>
              <w:jc w:val="center"/>
              <w:rPr>
                <w:sz w:val="21"/>
                <w:szCs w:val="21"/>
              </w:rPr>
            </w:pPr>
            <w:r>
              <w:rPr>
                <w:sz w:val="21"/>
                <w:szCs w:val="21"/>
              </w:rPr>
              <w:t>14</w:t>
            </w:r>
          </w:p>
        </w:tc>
        <w:tc>
          <w:tcPr>
            <w:tcW w:w="809" w:type="pct"/>
          </w:tcPr>
          <w:p>
            <w:pPr>
              <w:jc w:val="center"/>
              <w:rPr>
                <w:sz w:val="21"/>
                <w:szCs w:val="21"/>
              </w:rPr>
            </w:pPr>
            <w:r>
              <w:rPr>
                <w:sz w:val="21"/>
                <w:szCs w:val="21"/>
              </w:rPr>
              <w:t>杜仲坤</w:t>
            </w:r>
          </w:p>
        </w:tc>
        <w:tc>
          <w:tcPr>
            <w:tcW w:w="400" w:type="pct"/>
          </w:tcPr>
          <w:p>
            <w:pPr>
              <w:jc w:val="center"/>
              <w:rPr>
                <w:sz w:val="21"/>
                <w:szCs w:val="21"/>
              </w:rPr>
            </w:pPr>
            <w:r>
              <w:rPr>
                <w:sz w:val="21"/>
                <w:szCs w:val="21"/>
              </w:rPr>
              <w:t>34</w:t>
            </w:r>
          </w:p>
        </w:tc>
        <w:tc>
          <w:tcPr>
            <w:tcW w:w="745" w:type="pct"/>
          </w:tcPr>
          <w:p>
            <w:pPr>
              <w:jc w:val="center"/>
              <w:rPr>
                <w:sz w:val="21"/>
                <w:szCs w:val="21"/>
              </w:rPr>
            </w:pPr>
            <w:r>
              <w:rPr>
                <w:sz w:val="21"/>
                <w:szCs w:val="21"/>
              </w:rPr>
              <w:t>副教授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南京大学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705" w:type="pct"/>
          </w:tcPr>
          <w:p>
            <w:pPr>
              <w:jc w:val="center"/>
              <w:rPr>
                <w:sz w:val="21"/>
                <w:szCs w:val="21"/>
              </w:rPr>
            </w:pPr>
            <w:r>
              <w:rPr>
                <w:sz w:val="21"/>
                <w:szCs w:val="21"/>
              </w:rPr>
              <w:t>15</w:t>
            </w:r>
          </w:p>
        </w:tc>
        <w:tc>
          <w:tcPr>
            <w:tcW w:w="809" w:type="pct"/>
          </w:tcPr>
          <w:p>
            <w:pPr>
              <w:jc w:val="center"/>
              <w:rPr>
                <w:sz w:val="21"/>
                <w:szCs w:val="21"/>
              </w:rPr>
            </w:pPr>
            <w:r>
              <w:rPr>
                <w:sz w:val="21"/>
                <w:szCs w:val="21"/>
              </w:rPr>
              <w:t>宋佩佩</w:t>
            </w:r>
          </w:p>
        </w:tc>
        <w:tc>
          <w:tcPr>
            <w:tcW w:w="400" w:type="pct"/>
          </w:tcPr>
          <w:p>
            <w:pPr>
              <w:jc w:val="center"/>
              <w:rPr>
                <w:sz w:val="21"/>
                <w:szCs w:val="21"/>
              </w:rPr>
            </w:pPr>
            <w:r>
              <w:rPr>
                <w:sz w:val="21"/>
                <w:szCs w:val="21"/>
              </w:rPr>
              <w:t>33</w:t>
            </w:r>
          </w:p>
        </w:tc>
        <w:tc>
          <w:tcPr>
            <w:tcW w:w="745" w:type="pct"/>
          </w:tcPr>
          <w:p>
            <w:pPr>
              <w:jc w:val="center"/>
              <w:rPr>
                <w:sz w:val="21"/>
                <w:szCs w:val="21"/>
              </w:rPr>
            </w:pPr>
            <w:r>
              <w:rPr>
                <w:sz w:val="21"/>
                <w:szCs w:val="21"/>
              </w:rPr>
              <w:t>副教授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湖南大学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5" w:type="pct"/>
          </w:tcPr>
          <w:p>
            <w:pPr>
              <w:jc w:val="center"/>
              <w:rPr>
                <w:sz w:val="21"/>
                <w:szCs w:val="21"/>
              </w:rPr>
            </w:pPr>
            <w:r>
              <w:rPr>
                <w:sz w:val="21"/>
                <w:szCs w:val="21"/>
              </w:rPr>
              <w:t>16</w:t>
            </w:r>
          </w:p>
        </w:tc>
        <w:tc>
          <w:tcPr>
            <w:tcW w:w="809" w:type="pct"/>
          </w:tcPr>
          <w:p>
            <w:pPr>
              <w:jc w:val="center"/>
              <w:rPr>
                <w:sz w:val="21"/>
                <w:szCs w:val="21"/>
              </w:rPr>
            </w:pPr>
            <w:r>
              <w:rPr>
                <w:sz w:val="21"/>
                <w:szCs w:val="21"/>
              </w:rPr>
              <w:t>李</w:t>
            </w:r>
            <w:r>
              <w:rPr>
                <w:rFonts w:hint="eastAsia"/>
                <w:sz w:val="21"/>
                <w:szCs w:val="21"/>
              </w:rPr>
              <w:t xml:space="preserve">  </w:t>
            </w:r>
            <w:r>
              <w:rPr>
                <w:sz w:val="21"/>
                <w:szCs w:val="21"/>
              </w:rPr>
              <w:t>冰</w:t>
            </w:r>
          </w:p>
        </w:tc>
        <w:tc>
          <w:tcPr>
            <w:tcW w:w="400" w:type="pct"/>
          </w:tcPr>
          <w:p>
            <w:pPr>
              <w:jc w:val="center"/>
              <w:rPr>
                <w:sz w:val="21"/>
                <w:szCs w:val="21"/>
              </w:rPr>
            </w:pPr>
            <w:r>
              <w:rPr>
                <w:sz w:val="21"/>
                <w:szCs w:val="21"/>
              </w:rPr>
              <w:t>32</w:t>
            </w:r>
          </w:p>
        </w:tc>
        <w:tc>
          <w:tcPr>
            <w:tcW w:w="745" w:type="pct"/>
          </w:tcPr>
          <w:p>
            <w:pPr>
              <w:jc w:val="center"/>
              <w:rPr>
                <w:sz w:val="21"/>
                <w:szCs w:val="21"/>
              </w:rPr>
            </w:pPr>
            <w:r>
              <w:rPr>
                <w:sz w:val="21"/>
                <w:szCs w:val="21"/>
              </w:rPr>
              <w:t>副教授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南开大学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5" w:type="pct"/>
          </w:tcPr>
          <w:p>
            <w:pPr>
              <w:jc w:val="center"/>
              <w:rPr>
                <w:sz w:val="21"/>
                <w:szCs w:val="21"/>
              </w:rPr>
            </w:pPr>
            <w:r>
              <w:rPr>
                <w:sz w:val="21"/>
                <w:szCs w:val="21"/>
              </w:rPr>
              <w:t>17</w:t>
            </w:r>
          </w:p>
        </w:tc>
        <w:tc>
          <w:tcPr>
            <w:tcW w:w="809" w:type="pct"/>
          </w:tcPr>
          <w:p>
            <w:pPr>
              <w:jc w:val="center"/>
              <w:rPr>
                <w:sz w:val="21"/>
                <w:szCs w:val="21"/>
              </w:rPr>
            </w:pPr>
            <w:r>
              <w:rPr>
                <w:sz w:val="21"/>
                <w:szCs w:val="21"/>
              </w:rPr>
              <w:t>时连辉</w:t>
            </w:r>
          </w:p>
        </w:tc>
        <w:tc>
          <w:tcPr>
            <w:tcW w:w="400" w:type="pct"/>
          </w:tcPr>
          <w:p>
            <w:pPr>
              <w:jc w:val="center"/>
              <w:rPr>
                <w:sz w:val="21"/>
                <w:szCs w:val="21"/>
              </w:rPr>
            </w:pPr>
            <w:r>
              <w:rPr>
                <w:sz w:val="21"/>
                <w:szCs w:val="21"/>
              </w:rPr>
              <w:t>51</w:t>
            </w:r>
          </w:p>
        </w:tc>
        <w:tc>
          <w:tcPr>
            <w:tcW w:w="745" w:type="pct"/>
          </w:tcPr>
          <w:p>
            <w:pPr>
              <w:jc w:val="center"/>
              <w:rPr>
                <w:sz w:val="21"/>
                <w:szCs w:val="21"/>
              </w:rPr>
            </w:pPr>
            <w:r>
              <w:rPr>
                <w:sz w:val="21"/>
                <w:szCs w:val="21"/>
              </w:rPr>
              <w:t>副教授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5" w:type="pct"/>
          </w:tcPr>
          <w:p>
            <w:pPr>
              <w:jc w:val="center"/>
              <w:rPr>
                <w:sz w:val="21"/>
                <w:szCs w:val="21"/>
              </w:rPr>
            </w:pPr>
            <w:r>
              <w:rPr>
                <w:sz w:val="21"/>
                <w:szCs w:val="21"/>
              </w:rPr>
              <w:t>18</w:t>
            </w:r>
          </w:p>
        </w:tc>
        <w:tc>
          <w:tcPr>
            <w:tcW w:w="809" w:type="pct"/>
          </w:tcPr>
          <w:p>
            <w:pPr>
              <w:jc w:val="center"/>
              <w:rPr>
                <w:sz w:val="21"/>
                <w:szCs w:val="21"/>
              </w:rPr>
            </w:pPr>
            <w:r>
              <w:rPr>
                <w:sz w:val="21"/>
                <w:szCs w:val="21"/>
              </w:rPr>
              <w:t>刘艳丽</w:t>
            </w:r>
          </w:p>
        </w:tc>
        <w:tc>
          <w:tcPr>
            <w:tcW w:w="400" w:type="pct"/>
          </w:tcPr>
          <w:p>
            <w:pPr>
              <w:jc w:val="center"/>
              <w:rPr>
                <w:sz w:val="21"/>
                <w:szCs w:val="21"/>
              </w:rPr>
            </w:pPr>
            <w:r>
              <w:rPr>
                <w:sz w:val="21"/>
                <w:szCs w:val="21"/>
              </w:rPr>
              <w:t>45</w:t>
            </w:r>
          </w:p>
        </w:tc>
        <w:tc>
          <w:tcPr>
            <w:tcW w:w="745" w:type="pct"/>
          </w:tcPr>
          <w:p>
            <w:pPr>
              <w:jc w:val="center"/>
              <w:rPr>
                <w:sz w:val="21"/>
                <w:szCs w:val="21"/>
              </w:rPr>
            </w:pPr>
            <w:r>
              <w:rPr>
                <w:sz w:val="21"/>
                <w:szCs w:val="21"/>
              </w:rPr>
              <w:t>副教授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南京农业大学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705" w:type="pct"/>
          </w:tcPr>
          <w:p>
            <w:pPr>
              <w:jc w:val="center"/>
              <w:rPr>
                <w:sz w:val="21"/>
                <w:szCs w:val="21"/>
              </w:rPr>
            </w:pPr>
            <w:r>
              <w:rPr>
                <w:sz w:val="21"/>
                <w:szCs w:val="21"/>
              </w:rPr>
              <w:t>19</w:t>
            </w:r>
          </w:p>
        </w:tc>
        <w:tc>
          <w:tcPr>
            <w:tcW w:w="809" w:type="pct"/>
          </w:tcPr>
          <w:p>
            <w:pPr>
              <w:jc w:val="center"/>
              <w:rPr>
                <w:sz w:val="21"/>
                <w:szCs w:val="21"/>
              </w:rPr>
            </w:pPr>
            <w:r>
              <w:rPr>
                <w:sz w:val="21"/>
                <w:szCs w:val="21"/>
              </w:rPr>
              <w:t>李</w:t>
            </w:r>
            <w:r>
              <w:rPr>
                <w:rFonts w:hint="eastAsia"/>
                <w:sz w:val="21"/>
                <w:szCs w:val="21"/>
              </w:rPr>
              <w:t xml:space="preserve">  </w:t>
            </w:r>
            <w:r>
              <w:rPr>
                <w:sz w:val="21"/>
                <w:szCs w:val="21"/>
              </w:rPr>
              <w:t>明</w:t>
            </w:r>
          </w:p>
        </w:tc>
        <w:tc>
          <w:tcPr>
            <w:tcW w:w="400" w:type="pct"/>
          </w:tcPr>
          <w:p>
            <w:pPr>
              <w:jc w:val="center"/>
              <w:rPr>
                <w:sz w:val="21"/>
                <w:szCs w:val="21"/>
              </w:rPr>
            </w:pPr>
            <w:r>
              <w:rPr>
                <w:sz w:val="21"/>
                <w:szCs w:val="21"/>
              </w:rPr>
              <w:t>33</w:t>
            </w:r>
          </w:p>
        </w:tc>
        <w:tc>
          <w:tcPr>
            <w:tcW w:w="745" w:type="pct"/>
          </w:tcPr>
          <w:p>
            <w:pPr>
              <w:jc w:val="center"/>
              <w:rPr>
                <w:sz w:val="21"/>
                <w:szCs w:val="21"/>
              </w:rPr>
            </w:pPr>
            <w:r>
              <w:rPr>
                <w:sz w:val="21"/>
                <w:szCs w:val="21"/>
              </w:rPr>
              <w:t>副教授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南开大学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705" w:type="pct"/>
          </w:tcPr>
          <w:p>
            <w:pPr>
              <w:jc w:val="center"/>
              <w:rPr>
                <w:sz w:val="21"/>
                <w:szCs w:val="21"/>
              </w:rPr>
            </w:pPr>
            <w:r>
              <w:rPr>
                <w:sz w:val="21"/>
                <w:szCs w:val="21"/>
              </w:rPr>
              <w:t>20</w:t>
            </w:r>
          </w:p>
        </w:tc>
        <w:tc>
          <w:tcPr>
            <w:tcW w:w="809" w:type="pct"/>
          </w:tcPr>
          <w:p>
            <w:pPr>
              <w:jc w:val="center"/>
              <w:rPr>
                <w:sz w:val="21"/>
                <w:szCs w:val="21"/>
              </w:rPr>
            </w:pPr>
            <w:r>
              <w:rPr>
                <w:sz w:val="21"/>
                <w:szCs w:val="21"/>
              </w:rPr>
              <w:t>杨仲康</w:t>
            </w:r>
          </w:p>
        </w:tc>
        <w:tc>
          <w:tcPr>
            <w:tcW w:w="400" w:type="pct"/>
          </w:tcPr>
          <w:p>
            <w:pPr>
              <w:jc w:val="center"/>
              <w:rPr>
                <w:sz w:val="21"/>
                <w:szCs w:val="21"/>
              </w:rPr>
            </w:pPr>
            <w:r>
              <w:rPr>
                <w:sz w:val="21"/>
                <w:szCs w:val="21"/>
              </w:rPr>
              <w:t>31</w:t>
            </w:r>
          </w:p>
        </w:tc>
        <w:tc>
          <w:tcPr>
            <w:tcW w:w="745" w:type="pct"/>
          </w:tcPr>
          <w:p>
            <w:pPr>
              <w:jc w:val="center"/>
              <w:rPr>
                <w:sz w:val="21"/>
                <w:szCs w:val="21"/>
              </w:rPr>
            </w:pPr>
            <w:r>
              <w:rPr>
                <w:sz w:val="21"/>
                <w:szCs w:val="21"/>
              </w:rPr>
              <w:t>副教授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中国科学技术大学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705" w:type="pct"/>
          </w:tcPr>
          <w:p>
            <w:pPr>
              <w:jc w:val="center"/>
              <w:rPr>
                <w:sz w:val="21"/>
                <w:szCs w:val="21"/>
              </w:rPr>
            </w:pPr>
            <w:r>
              <w:rPr>
                <w:sz w:val="21"/>
                <w:szCs w:val="21"/>
              </w:rPr>
              <w:t>21</w:t>
            </w:r>
          </w:p>
        </w:tc>
        <w:tc>
          <w:tcPr>
            <w:tcW w:w="809" w:type="pct"/>
          </w:tcPr>
          <w:p>
            <w:pPr>
              <w:jc w:val="center"/>
              <w:rPr>
                <w:sz w:val="21"/>
                <w:szCs w:val="21"/>
              </w:rPr>
            </w:pPr>
            <w:r>
              <w:rPr>
                <w:sz w:val="21"/>
                <w:szCs w:val="21"/>
              </w:rPr>
              <w:t>李恕艳</w:t>
            </w:r>
          </w:p>
        </w:tc>
        <w:tc>
          <w:tcPr>
            <w:tcW w:w="400" w:type="pct"/>
          </w:tcPr>
          <w:p>
            <w:pPr>
              <w:jc w:val="center"/>
              <w:rPr>
                <w:sz w:val="21"/>
                <w:szCs w:val="21"/>
              </w:rPr>
            </w:pPr>
            <w:r>
              <w:rPr>
                <w:sz w:val="21"/>
                <w:szCs w:val="21"/>
              </w:rPr>
              <w:t>33</w:t>
            </w:r>
          </w:p>
        </w:tc>
        <w:tc>
          <w:tcPr>
            <w:tcW w:w="745" w:type="pct"/>
          </w:tcPr>
          <w:p>
            <w:pPr>
              <w:jc w:val="center"/>
              <w:rPr>
                <w:sz w:val="21"/>
                <w:szCs w:val="21"/>
              </w:rPr>
            </w:pPr>
            <w:r>
              <w:rPr>
                <w:sz w:val="21"/>
                <w:szCs w:val="21"/>
              </w:rPr>
              <w:t>副教授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中国农业大学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5" w:type="pct"/>
          </w:tcPr>
          <w:p>
            <w:pPr>
              <w:jc w:val="center"/>
              <w:rPr>
                <w:sz w:val="21"/>
                <w:szCs w:val="21"/>
              </w:rPr>
            </w:pPr>
            <w:r>
              <w:rPr>
                <w:sz w:val="21"/>
                <w:szCs w:val="21"/>
              </w:rPr>
              <w:t>22</w:t>
            </w:r>
          </w:p>
        </w:tc>
        <w:tc>
          <w:tcPr>
            <w:tcW w:w="809" w:type="pct"/>
          </w:tcPr>
          <w:p>
            <w:pPr>
              <w:jc w:val="center"/>
              <w:rPr>
                <w:sz w:val="21"/>
                <w:szCs w:val="21"/>
              </w:rPr>
            </w:pPr>
            <w:r>
              <w:rPr>
                <w:sz w:val="21"/>
                <w:szCs w:val="21"/>
              </w:rPr>
              <w:t>王兰君</w:t>
            </w:r>
          </w:p>
        </w:tc>
        <w:tc>
          <w:tcPr>
            <w:tcW w:w="400" w:type="pct"/>
          </w:tcPr>
          <w:p>
            <w:pPr>
              <w:jc w:val="center"/>
              <w:rPr>
                <w:sz w:val="21"/>
                <w:szCs w:val="21"/>
              </w:rPr>
            </w:pPr>
            <w:r>
              <w:rPr>
                <w:sz w:val="21"/>
                <w:szCs w:val="21"/>
              </w:rPr>
              <w:t>29</w:t>
            </w:r>
          </w:p>
        </w:tc>
        <w:tc>
          <w:tcPr>
            <w:tcW w:w="745" w:type="pct"/>
          </w:tcPr>
          <w:p>
            <w:pPr>
              <w:jc w:val="center"/>
              <w:rPr>
                <w:sz w:val="21"/>
                <w:szCs w:val="21"/>
              </w:rPr>
            </w:pPr>
            <w:r>
              <w:rPr>
                <w:sz w:val="21"/>
                <w:szCs w:val="21"/>
              </w:rPr>
              <w:t>副教授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5" w:type="pct"/>
          </w:tcPr>
          <w:p>
            <w:pPr>
              <w:jc w:val="center"/>
              <w:rPr>
                <w:sz w:val="21"/>
                <w:szCs w:val="21"/>
              </w:rPr>
            </w:pPr>
            <w:r>
              <w:rPr>
                <w:sz w:val="21"/>
                <w:szCs w:val="21"/>
              </w:rPr>
              <w:t>23</w:t>
            </w:r>
          </w:p>
        </w:tc>
        <w:tc>
          <w:tcPr>
            <w:tcW w:w="809" w:type="pct"/>
          </w:tcPr>
          <w:p>
            <w:pPr>
              <w:jc w:val="center"/>
              <w:rPr>
                <w:sz w:val="21"/>
                <w:szCs w:val="21"/>
              </w:rPr>
            </w:pPr>
            <w:r>
              <w:rPr>
                <w:sz w:val="21"/>
                <w:szCs w:val="21"/>
              </w:rPr>
              <w:t>孔文佳</w:t>
            </w:r>
          </w:p>
        </w:tc>
        <w:tc>
          <w:tcPr>
            <w:tcW w:w="400" w:type="pct"/>
          </w:tcPr>
          <w:p>
            <w:pPr>
              <w:jc w:val="center"/>
              <w:rPr>
                <w:sz w:val="21"/>
                <w:szCs w:val="21"/>
              </w:rPr>
            </w:pPr>
            <w:r>
              <w:rPr>
                <w:sz w:val="21"/>
                <w:szCs w:val="21"/>
              </w:rPr>
              <w:t>29</w:t>
            </w:r>
          </w:p>
        </w:tc>
        <w:tc>
          <w:tcPr>
            <w:tcW w:w="745" w:type="pct"/>
          </w:tcPr>
          <w:p>
            <w:pPr>
              <w:jc w:val="center"/>
              <w:rPr>
                <w:sz w:val="21"/>
                <w:szCs w:val="21"/>
              </w:rPr>
            </w:pPr>
            <w:r>
              <w:rPr>
                <w:sz w:val="21"/>
                <w:szCs w:val="21"/>
              </w:rPr>
              <w:t>副教授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山东大学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5" w:type="pct"/>
          </w:tcPr>
          <w:p>
            <w:pPr>
              <w:jc w:val="center"/>
              <w:rPr>
                <w:sz w:val="21"/>
                <w:szCs w:val="21"/>
              </w:rPr>
            </w:pPr>
            <w:r>
              <w:rPr>
                <w:sz w:val="21"/>
                <w:szCs w:val="21"/>
              </w:rPr>
              <w:t>24</w:t>
            </w:r>
          </w:p>
        </w:tc>
        <w:tc>
          <w:tcPr>
            <w:tcW w:w="809" w:type="pct"/>
          </w:tcPr>
          <w:p>
            <w:pPr>
              <w:jc w:val="center"/>
              <w:rPr>
                <w:sz w:val="21"/>
                <w:szCs w:val="21"/>
              </w:rPr>
            </w:pPr>
            <w:r>
              <w:rPr>
                <w:sz w:val="21"/>
                <w:szCs w:val="21"/>
              </w:rPr>
              <w:t>孙丰霞</w:t>
            </w:r>
          </w:p>
        </w:tc>
        <w:tc>
          <w:tcPr>
            <w:tcW w:w="400" w:type="pct"/>
          </w:tcPr>
          <w:p>
            <w:pPr>
              <w:jc w:val="center"/>
              <w:rPr>
                <w:sz w:val="21"/>
                <w:szCs w:val="21"/>
              </w:rPr>
            </w:pPr>
            <w:r>
              <w:rPr>
                <w:sz w:val="21"/>
                <w:szCs w:val="21"/>
              </w:rPr>
              <w:t>42</w:t>
            </w:r>
          </w:p>
        </w:tc>
        <w:tc>
          <w:tcPr>
            <w:tcW w:w="745" w:type="pct"/>
          </w:tcPr>
          <w:p>
            <w:pPr>
              <w:jc w:val="center"/>
              <w:rPr>
                <w:sz w:val="21"/>
                <w:szCs w:val="21"/>
              </w:rPr>
            </w:pPr>
            <w:r>
              <w:rPr>
                <w:sz w:val="21"/>
                <w:szCs w:val="21"/>
              </w:rPr>
              <w:t>讲师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5" w:type="pct"/>
          </w:tcPr>
          <w:p>
            <w:pPr>
              <w:jc w:val="center"/>
              <w:rPr>
                <w:sz w:val="21"/>
                <w:szCs w:val="21"/>
              </w:rPr>
            </w:pPr>
            <w:r>
              <w:rPr>
                <w:sz w:val="21"/>
                <w:szCs w:val="21"/>
              </w:rPr>
              <w:t>25</w:t>
            </w:r>
          </w:p>
        </w:tc>
        <w:tc>
          <w:tcPr>
            <w:tcW w:w="809" w:type="pct"/>
          </w:tcPr>
          <w:p>
            <w:pPr>
              <w:jc w:val="center"/>
              <w:rPr>
                <w:sz w:val="21"/>
                <w:szCs w:val="21"/>
              </w:rPr>
            </w:pPr>
            <w:r>
              <w:rPr>
                <w:sz w:val="21"/>
                <w:szCs w:val="21"/>
              </w:rPr>
              <w:t>张艳慧</w:t>
            </w:r>
          </w:p>
        </w:tc>
        <w:tc>
          <w:tcPr>
            <w:tcW w:w="400" w:type="pct"/>
          </w:tcPr>
          <w:p>
            <w:pPr>
              <w:jc w:val="center"/>
              <w:rPr>
                <w:sz w:val="21"/>
                <w:szCs w:val="21"/>
              </w:rPr>
            </w:pPr>
            <w:r>
              <w:rPr>
                <w:sz w:val="21"/>
                <w:szCs w:val="21"/>
              </w:rPr>
              <w:t>41</w:t>
            </w:r>
          </w:p>
        </w:tc>
        <w:tc>
          <w:tcPr>
            <w:tcW w:w="745" w:type="pct"/>
          </w:tcPr>
          <w:p>
            <w:pPr>
              <w:jc w:val="center"/>
              <w:rPr>
                <w:sz w:val="21"/>
                <w:szCs w:val="21"/>
              </w:rPr>
            </w:pPr>
            <w:r>
              <w:rPr>
                <w:sz w:val="21"/>
                <w:szCs w:val="21"/>
              </w:rPr>
              <w:t>讲师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中科院海洋所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5" w:type="pct"/>
          </w:tcPr>
          <w:p>
            <w:pPr>
              <w:jc w:val="center"/>
              <w:rPr>
                <w:sz w:val="21"/>
                <w:szCs w:val="21"/>
              </w:rPr>
            </w:pPr>
            <w:r>
              <w:rPr>
                <w:sz w:val="21"/>
                <w:szCs w:val="21"/>
              </w:rPr>
              <w:t>26</w:t>
            </w:r>
          </w:p>
        </w:tc>
        <w:tc>
          <w:tcPr>
            <w:tcW w:w="809" w:type="pct"/>
          </w:tcPr>
          <w:p>
            <w:pPr>
              <w:jc w:val="center"/>
              <w:rPr>
                <w:sz w:val="21"/>
                <w:szCs w:val="21"/>
              </w:rPr>
            </w:pPr>
            <w:r>
              <w:rPr>
                <w:sz w:val="21"/>
                <w:szCs w:val="21"/>
              </w:rPr>
              <w:t>陈阳阳</w:t>
            </w:r>
          </w:p>
        </w:tc>
        <w:tc>
          <w:tcPr>
            <w:tcW w:w="400" w:type="pct"/>
          </w:tcPr>
          <w:p>
            <w:pPr>
              <w:jc w:val="center"/>
              <w:rPr>
                <w:sz w:val="21"/>
                <w:szCs w:val="21"/>
              </w:rPr>
            </w:pPr>
            <w:r>
              <w:rPr>
                <w:sz w:val="21"/>
                <w:szCs w:val="21"/>
              </w:rPr>
              <w:t>32</w:t>
            </w:r>
          </w:p>
        </w:tc>
        <w:tc>
          <w:tcPr>
            <w:tcW w:w="745" w:type="pct"/>
          </w:tcPr>
          <w:p>
            <w:pPr>
              <w:jc w:val="center"/>
              <w:rPr>
                <w:sz w:val="21"/>
                <w:szCs w:val="21"/>
              </w:rPr>
            </w:pPr>
            <w:r>
              <w:rPr>
                <w:sz w:val="21"/>
                <w:szCs w:val="21"/>
              </w:rPr>
              <w:t>讲师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中国海洋大学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705" w:type="pct"/>
          </w:tcPr>
          <w:p>
            <w:pPr>
              <w:jc w:val="center"/>
              <w:rPr>
                <w:sz w:val="21"/>
                <w:szCs w:val="21"/>
              </w:rPr>
            </w:pPr>
            <w:r>
              <w:rPr>
                <w:sz w:val="21"/>
                <w:szCs w:val="21"/>
              </w:rPr>
              <w:t>27</w:t>
            </w:r>
          </w:p>
        </w:tc>
        <w:tc>
          <w:tcPr>
            <w:tcW w:w="809" w:type="pct"/>
          </w:tcPr>
          <w:p>
            <w:pPr>
              <w:jc w:val="center"/>
              <w:rPr>
                <w:sz w:val="21"/>
                <w:szCs w:val="21"/>
              </w:rPr>
            </w:pPr>
            <w:r>
              <w:rPr>
                <w:sz w:val="21"/>
                <w:szCs w:val="21"/>
              </w:rPr>
              <w:t>邵慧娟</w:t>
            </w:r>
          </w:p>
        </w:tc>
        <w:tc>
          <w:tcPr>
            <w:tcW w:w="400" w:type="pct"/>
          </w:tcPr>
          <w:p>
            <w:pPr>
              <w:jc w:val="center"/>
              <w:rPr>
                <w:sz w:val="21"/>
                <w:szCs w:val="21"/>
              </w:rPr>
            </w:pPr>
            <w:r>
              <w:rPr>
                <w:sz w:val="21"/>
                <w:szCs w:val="21"/>
              </w:rPr>
              <w:t>29</w:t>
            </w:r>
          </w:p>
        </w:tc>
        <w:tc>
          <w:tcPr>
            <w:tcW w:w="745" w:type="pct"/>
          </w:tcPr>
          <w:p>
            <w:pPr>
              <w:jc w:val="center"/>
              <w:rPr>
                <w:sz w:val="21"/>
                <w:szCs w:val="21"/>
              </w:rPr>
            </w:pPr>
            <w:r>
              <w:rPr>
                <w:sz w:val="21"/>
                <w:szCs w:val="21"/>
              </w:rPr>
              <w:t>讲师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岐阜大学（日本）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05" w:type="pct"/>
          </w:tcPr>
          <w:p>
            <w:pPr>
              <w:jc w:val="center"/>
              <w:rPr>
                <w:sz w:val="21"/>
                <w:szCs w:val="21"/>
              </w:rPr>
            </w:pPr>
            <w:r>
              <w:rPr>
                <w:sz w:val="21"/>
                <w:szCs w:val="21"/>
              </w:rPr>
              <w:t>28</w:t>
            </w:r>
          </w:p>
        </w:tc>
        <w:tc>
          <w:tcPr>
            <w:tcW w:w="809" w:type="pct"/>
          </w:tcPr>
          <w:p>
            <w:pPr>
              <w:jc w:val="center"/>
              <w:rPr>
                <w:sz w:val="21"/>
                <w:szCs w:val="21"/>
              </w:rPr>
            </w:pPr>
            <w:r>
              <w:rPr>
                <w:sz w:val="21"/>
                <w:szCs w:val="21"/>
              </w:rPr>
              <w:t>李艳强</w:t>
            </w:r>
          </w:p>
        </w:tc>
        <w:tc>
          <w:tcPr>
            <w:tcW w:w="400" w:type="pct"/>
          </w:tcPr>
          <w:p>
            <w:pPr>
              <w:jc w:val="center"/>
              <w:rPr>
                <w:sz w:val="21"/>
                <w:szCs w:val="21"/>
              </w:rPr>
            </w:pPr>
            <w:r>
              <w:rPr>
                <w:sz w:val="21"/>
                <w:szCs w:val="21"/>
              </w:rPr>
              <w:t>33</w:t>
            </w:r>
          </w:p>
        </w:tc>
        <w:tc>
          <w:tcPr>
            <w:tcW w:w="745" w:type="pct"/>
          </w:tcPr>
          <w:p>
            <w:pPr>
              <w:jc w:val="center"/>
              <w:rPr>
                <w:sz w:val="21"/>
                <w:szCs w:val="21"/>
              </w:rPr>
            </w:pPr>
            <w:r>
              <w:rPr>
                <w:sz w:val="21"/>
                <w:szCs w:val="21"/>
              </w:rPr>
              <w:t>讲师</w:t>
            </w:r>
          </w:p>
        </w:tc>
        <w:tc>
          <w:tcPr>
            <w:tcW w:w="605" w:type="pct"/>
          </w:tcPr>
          <w:p>
            <w:pPr>
              <w:jc w:val="center"/>
              <w:rPr>
                <w:sz w:val="21"/>
                <w:szCs w:val="21"/>
              </w:rPr>
            </w:pPr>
            <w:r>
              <w:rPr>
                <w:sz w:val="21"/>
                <w:szCs w:val="21"/>
              </w:rPr>
              <w:t>博士</w:t>
            </w:r>
          </w:p>
        </w:tc>
        <w:tc>
          <w:tcPr>
            <w:tcW w:w="1734" w:type="pct"/>
          </w:tcPr>
          <w:p>
            <w:pPr>
              <w:jc w:val="center"/>
              <w:rPr>
                <w:sz w:val="21"/>
                <w:szCs w:val="21"/>
              </w:rPr>
            </w:pPr>
            <w:r>
              <w:rPr>
                <w:sz w:val="21"/>
                <w:szCs w:val="21"/>
              </w:rPr>
              <w:t>中科院地理科学与资源研究所</w:t>
            </w:r>
          </w:p>
        </w:tc>
      </w:tr>
    </w:tbl>
    <w:p/>
    <w:p>
      <w:pPr>
        <w:pStyle w:val="7"/>
        <w:ind w:firstLine="480"/>
      </w:pPr>
      <w:r>
        <w:t>4.实习基地</w:t>
      </w:r>
    </w:p>
    <w:p>
      <w:pPr>
        <w:ind w:firstLine="480" w:firstLineChars="200"/>
      </w:pPr>
      <w:r>
        <w:t>环境类专业经过多年的建设，逐渐形成了稳定的教学实习基地。</w:t>
      </w:r>
    </w:p>
    <w:p>
      <w:pPr>
        <w:ind w:firstLine="480" w:firstLineChars="200"/>
      </w:pPr>
      <w:r>
        <w:t>环境生态工程作为新上专业，可以在现有挂牌的实践基地进行实践教学，实践基地有多名合作导师能够对学生的学习进行指导，基地为本专业本科生培养提供了良好的实践实习场所和机会，能够更好的使学生得到锻炼并提高学生的能动性。本专业拥有济南天润红叶谷有限责任公司和泰安市环境保护监测站两个挂牌实践基地。另外，本专业还拥有金正大生态工程集团股份有限公司、山东农大肥业科技有限公司等多处实习、实践基地可供学生实践学习。</w:t>
      </w:r>
    </w:p>
    <w:p>
      <w:pPr>
        <w:ind w:firstLine="480" w:firstLineChars="200"/>
      </w:pPr>
      <w:r>
        <w:t>这些实习基地的建设增加了学术社会实践的机会，提高了学术融入了解社会的能力，有利于培养综合性人才。</w:t>
      </w:r>
    </w:p>
    <w:p>
      <w:pPr>
        <w:pStyle w:val="7"/>
        <w:ind w:firstLine="480"/>
      </w:pPr>
      <w:r>
        <w:t>5.现代教学技术应用</w:t>
      </w:r>
    </w:p>
    <w:p>
      <w:pPr>
        <w:ind w:firstLine="480" w:firstLineChars="200"/>
      </w:pPr>
      <w:r>
        <w:t>现代教育技术就是运用现代教育理论和现代信息技术，通过对教与学的过程和教与学的资源的设计，开发利用，评价和管理，以实现教学优化的理论与实践。教师要给学生传授丰富而又广阔的知识，靠传统的教学方法，速度慢、范围窄，限制了信息量的扩充。现代教育技术信息量大，给学生丰富的最新的知识，有利于调动学生渴求知识的欲望，从而有效的提高教学效率。随着现代新媒体的不断出现和兴起，也鼓励老师应用多媒体、网络、微信平台、QQ平台、慕课(IMOOC)、腾讯课堂、雨课堂等方式进行教学。</w:t>
      </w:r>
    </w:p>
    <w:p>
      <w:pPr>
        <w:pStyle w:val="5"/>
        <w:spacing w:before="93" w:after="93"/>
        <w:ind w:firstLine="560"/>
      </w:pPr>
      <w:bookmarkStart w:id="153" w:name="_Toc11097"/>
      <w:r>
        <w:t>四、培养机制与特色（产学研协同育人机制、合作办学、教学管理等）</w:t>
      </w:r>
      <w:bookmarkEnd w:id="153"/>
    </w:p>
    <w:p>
      <w:pPr>
        <w:pStyle w:val="7"/>
        <w:ind w:firstLine="480"/>
      </w:pPr>
      <w:r>
        <w:t>1.产学研协同育人机制</w:t>
      </w:r>
    </w:p>
    <w:p>
      <w:pPr>
        <w:ind w:firstLine="480" w:firstLineChars="200"/>
      </w:pPr>
      <w:r>
        <w:t>主要以校企合作为主轴，健全学校、企业、行业联动平台和联动机制；</w:t>
      </w:r>
      <w:r>
        <w:rPr>
          <w:rFonts w:hint="eastAsia"/>
        </w:rPr>
        <w:t>“</w:t>
      </w:r>
      <w:r>
        <w:t>产学研用立体推进</w:t>
      </w:r>
      <w:r>
        <w:rPr>
          <w:rFonts w:hint="eastAsia"/>
        </w:rPr>
        <w:t>”</w:t>
      </w:r>
      <w:r>
        <w:t>是</w:t>
      </w:r>
      <w:r>
        <w:rPr>
          <w:rFonts w:hint="eastAsia"/>
        </w:rPr>
        <w:t>“</w:t>
      </w:r>
      <w:r>
        <w:t>行动+目标</w:t>
      </w:r>
      <w:r>
        <w:rPr>
          <w:rFonts w:hint="eastAsia"/>
        </w:rPr>
        <w:t>”</w:t>
      </w:r>
      <w:r>
        <w:t>，主要以人才培养为核心，实现生产、教学、创新研发、应用服务多项功能和目标。主要内容包括：（1）培养复合式、创新型、高素质、高技能人才（培养目标）；（2）突破机制体制的障碍（工作难点）；（3）搭建立体化推进的协同育人平台和多样化的协同育人路径（工作重点）。</w:t>
      </w:r>
    </w:p>
    <w:p>
      <w:pPr>
        <w:pStyle w:val="7"/>
        <w:ind w:firstLine="480"/>
      </w:pPr>
      <w:r>
        <w:t>2.合作办学</w:t>
      </w:r>
    </w:p>
    <w:p>
      <w:pPr>
        <w:ind w:firstLine="480" w:firstLineChars="200"/>
      </w:pPr>
      <w:r>
        <w:t>大学毕业生既要具有扎实的专业理论知识，又要有较强的操作技能，还要符合用人单位的需要。学生在校学习期间，通过实习实训虽然可以获得一定的操作技能，但那仅仅是一种静态的</w:t>
      </w:r>
      <w:r>
        <w:fldChar w:fldCharType="begin"/>
      </w:r>
      <w:r>
        <w:instrText xml:space="preserve"> HYPERLINK "https://www.baidu.com/s?wd=%E6%93%8D%E4%BD%9C%E8%A7%84%E7%A8%8B&amp;tn=44039180_cpr&amp;fenlei=mv6quAkxTZn0IZRqIHckPjm4nH00T1d9n1NBuh79PAFhujbvnW0d0AP8IA3qPjfsn1bkrjKxmLKz0ZNzUjdCIZwsrBtEXh9GuA7EQhF9pywdQhPEUiqkIyN1IA-EUBtdPj6srjcknWb" \t "_blank" </w:instrText>
      </w:r>
      <w:r>
        <w:fldChar w:fldCharType="separate"/>
      </w:r>
      <w:r>
        <w:t>操作规程</w:t>
      </w:r>
      <w:r>
        <w:fldChar w:fldCharType="end"/>
      </w:r>
      <w:r>
        <w:t>，是一些分散的实习课题，与企业的实际工作环境不可能完全相同，与实际生产产品的要求还相差甚远，加之学校的设备条件和原材料有限，不可能使每一个学生都达到一种娴熟的程度。因此，专业联系多家相关企业，在学生大四的时候去企业实习锻炼，为更好的就业打下基础。</w:t>
      </w:r>
    </w:p>
    <w:p>
      <w:pPr>
        <w:pStyle w:val="7"/>
        <w:ind w:firstLine="480"/>
      </w:pPr>
      <w:r>
        <w:t>3.教学管理</w:t>
      </w:r>
    </w:p>
    <w:p>
      <w:pPr>
        <w:ind w:firstLine="480" w:firstLineChars="200"/>
      </w:pPr>
      <w:r>
        <w:t>由于在编制的教学计划中充分考虑了师资、教材等影响教学计划执行的因素，因此一直能够严格按照教学计划执行，没有发生大的变动。</w:t>
      </w:r>
    </w:p>
    <w:p>
      <w:pPr>
        <w:ind w:firstLine="480" w:firstLineChars="200"/>
      </w:pPr>
      <w:r>
        <w:t>为保证教学计划能够严格执行，学院里成立了以院长、教学副院长和各系主任为成员的检查小组，并制定了检查制度，从而保证教学计划得以很好的执行。</w:t>
      </w:r>
    </w:p>
    <w:p>
      <w:pPr>
        <w:ind w:firstLine="480" w:firstLineChars="200"/>
      </w:pPr>
      <w:r>
        <w:t>由于思想重视，措施得力，因此教学计划得到严格执行。如不得已确有改动，也会按照规定及时送教务处报批。</w:t>
      </w:r>
    </w:p>
    <w:p>
      <w:pPr>
        <w:pStyle w:val="5"/>
        <w:spacing w:before="93" w:after="93"/>
        <w:ind w:firstLine="560"/>
      </w:pPr>
      <w:bookmarkStart w:id="154" w:name="_Toc19012"/>
      <w:r>
        <w:t>五、培养质量（毕业生就业率、就业专业对口率、毕业生发展情况、就业单位满意率、社会对专业的评价、学生就读该专业的意愿等）</w:t>
      </w:r>
      <w:bookmarkEnd w:id="154"/>
    </w:p>
    <w:p>
      <w:pPr>
        <w:ind w:firstLine="480" w:firstLineChars="200"/>
      </w:pPr>
      <w:r>
        <w:t>（一）毕业生规模</w:t>
      </w:r>
    </w:p>
    <w:p>
      <w:pPr>
        <w:ind w:firstLine="480" w:firstLineChars="200"/>
      </w:pPr>
      <w:r>
        <w:t>资环学院环境生态工程专业2022届本科毕业生共有59人，其中男生31人，占比52.54</w:t>
      </w:r>
      <w:r>
        <w:rPr>
          <w:color w:val="000000"/>
        </w:rPr>
        <w:t>%</w:t>
      </w:r>
      <w:r>
        <w:t>；女生28人，占比47.46%。</w:t>
      </w:r>
    </w:p>
    <w:p>
      <w:pPr>
        <w:ind w:firstLine="480" w:firstLineChars="200"/>
      </w:pPr>
      <w:r>
        <w:t>（二）就业方式</w:t>
      </w:r>
    </w:p>
    <w:p>
      <w:pPr>
        <w:ind w:firstLine="480" w:firstLineChars="200"/>
      </w:pPr>
      <w:r>
        <w:t>2022届环境生态工程专业毕业生总体就业率达89.83%，就业流向分为升学、企业就业、灵活就业和自主创业。其中升学29人，占49.15%；企业就业24人，占40.68%%。</w:t>
      </w:r>
    </w:p>
    <w:p>
      <w:pPr>
        <w:ind w:firstLine="480" w:firstLineChars="200"/>
      </w:pPr>
    </w:p>
    <w:p>
      <w:pPr>
        <w:spacing w:line="240" w:lineRule="auto"/>
        <w:jc w:val="center"/>
        <w:rPr>
          <w:b/>
          <w:bCs/>
          <w:sz w:val="21"/>
          <w:szCs w:val="21"/>
        </w:rPr>
      </w:pPr>
      <w:r>
        <w:rPr>
          <w:b/>
          <w:bCs/>
          <w:sz w:val="21"/>
          <w:szCs w:val="21"/>
        </w:rPr>
        <w:t>资环学院环境工程专业2021届毕业生整体就业情况一览表</w:t>
      </w:r>
    </w:p>
    <w:tbl>
      <w:tblPr>
        <w:tblStyle w:val="17"/>
        <w:tblW w:w="83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1716"/>
        <w:gridCol w:w="753"/>
        <w:gridCol w:w="1368"/>
        <w:gridCol w:w="1601"/>
        <w:gridCol w:w="1606"/>
        <w:gridCol w:w="12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716" w:type="dxa"/>
            <w:shd w:val="clear" w:color="auto" w:fill="auto"/>
            <w:vAlign w:val="center"/>
          </w:tcPr>
          <w:p>
            <w:pPr>
              <w:spacing w:line="240" w:lineRule="auto"/>
              <w:jc w:val="center"/>
              <w:rPr>
                <w:b/>
                <w:bCs/>
                <w:sz w:val="21"/>
                <w:szCs w:val="21"/>
              </w:rPr>
            </w:pPr>
            <w:r>
              <w:rPr>
                <w:b/>
                <w:bCs/>
                <w:sz w:val="21"/>
                <w:szCs w:val="21"/>
              </w:rPr>
              <w:t>就业类型</w:t>
            </w:r>
          </w:p>
        </w:tc>
        <w:tc>
          <w:tcPr>
            <w:tcW w:w="753" w:type="dxa"/>
            <w:shd w:val="clear" w:color="auto" w:fill="auto"/>
            <w:vAlign w:val="center"/>
          </w:tcPr>
          <w:p>
            <w:pPr>
              <w:spacing w:line="240" w:lineRule="auto"/>
              <w:jc w:val="center"/>
              <w:rPr>
                <w:b/>
                <w:bCs/>
                <w:sz w:val="21"/>
                <w:szCs w:val="21"/>
              </w:rPr>
            </w:pPr>
            <w:r>
              <w:rPr>
                <w:b/>
                <w:bCs/>
                <w:sz w:val="21"/>
                <w:szCs w:val="21"/>
              </w:rPr>
              <w:t>升学</w:t>
            </w:r>
          </w:p>
        </w:tc>
        <w:tc>
          <w:tcPr>
            <w:tcW w:w="1368" w:type="dxa"/>
            <w:shd w:val="clear" w:color="auto" w:fill="auto"/>
            <w:vAlign w:val="center"/>
          </w:tcPr>
          <w:p>
            <w:pPr>
              <w:spacing w:line="240" w:lineRule="auto"/>
              <w:jc w:val="center"/>
              <w:rPr>
                <w:b/>
                <w:bCs/>
                <w:sz w:val="21"/>
                <w:szCs w:val="21"/>
              </w:rPr>
            </w:pPr>
            <w:r>
              <w:rPr>
                <w:b/>
                <w:bCs/>
                <w:sz w:val="21"/>
                <w:szCs w:val="21"/>
              </w:rPr>
              <w:t>企业就业</w:t>
            </w:r>
          </w:p>
        </w:tc>
        <w:tc>
          <w:tcPr>
            <w:tcW w:w="1601" w:type="dxa"/>
            <w:shd w:val="clear" w:color="auto" w:fill="auto"/>
            <w:vAlign w:val="center"/>
          </w:tcPr>
          <w:p>
            <w:pPr>
              <w:spacing w:line="240" w:lineRule="auto"/>
              <w:jc w:val="center"/>
              <w:rPr>
                <w:b/>
                <w:bCs/>
                <w:sz w:val="21"/>
                <w:szCs w:val="21"/>
              </w:rPr>
            </w:pPr>
            <w:r>
              <w:rPr>
                <w:b/>
                <w:bCs/>
                <w:sz w:val="21"/>
                <w:szCs w:val="21"/>
              </w:rPr>
              <w:t>公务员就业</w:t>
            </w:r>
          </w:p>
        </w:tc>
        <w:tc>
          <w:tcPr>
            <w:tcW w:w="1606" w:type="dxa"/>
          </w:tcPr>
          <w:p>
            <w:pPr>
              <w:spacing w:line="240" w:lineRule="auto"/>
              <w:jc w:val="center"/>
              <w:rPr>
                <w:b/>
                <w:bCs/>
                <w:sz w:val="21"/>
                <w:szCs w:val="21"/>
              </w:rPr>
            </w:pPr>
            <w:r>
              <w:rPr>
                <w:b/>
                <w:bCs/>
                <w:sz w:val="21"/>
                <w:szCs w:val="21"/>
              </w:rPr>
              <w:t>中国500强企业</w:t>
            </w:r>
          </w:p>
        </w:tc>
        <w:tc>
          <w:tcPr>
            <w:tcW w:w="1298" w:type="dxa"/>
            <w:vAlign w:val="center"/>
          </w:tcPr>
          <w:p>
            <w:pPr>
              <w:spacing w:line="240" w:lineRule="auto"/>
              <w:jc w:val="center"/>
              <w:rPr>
                <w:b/>
                <w:bCs/>
                <w:sz w:val="21"/>
                <w:szCs w:val="21"/>
              </w:rPr>
            </w:pPr>
            <w:r>
              <w:rPr>
                <w:b/>
                <w:bCs/>
                <w:sz w:val="21"/>
                <w:szCs w:val="21"/>
              </w:rPr>
              <w:t>总就业率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716" w:type="dxa"/>
            <w:shd w:val="clear" w:color="auto" w:fill="auto"/>
            <w:vAlign w:val="center"/>
          </w:tcPr>
          <w:p>
            <w:pPr>
              <w:spacing w:line="240" w:lineRule="auto"/>
              <w:jc w:val="center"/>
              <w:rPr>
                <w:sz w:val="21"/>
                <w:szCs w:val="21"/>
              </w:rPr>
            </w:pPr>
            <w:r>
              <w:rPr>
                <w:sz w:val="21"/>
                <w:szCs w:val="21"/>
              </w:rPr>
              <w:t>人数</w:t>
            </w:r>
          </w:p>
        </w:tc>
        <w:tc>
          <w:tcPr>
            <w:tcW w:w="753" w:type="dxa"/>
            <w:shd w:val="clear" w:color="auto" w:fill="auto"/>
            <w:vAlign w:val="center"/>
          </w:tcPr>
          <w:p>
            <w:pPr>
              <w:spacing w:line="240" w:lineRule="auto"/>
              <w:jc w:val="center"/>
              <w:rPr>
                <w:sz w:val="21"/>
                <w:szCs w:val="21"/>
              </w:rPr>
            </w:pPr>
            <w:r>
              <w:rPr>
                <w:sz w:val="21"/>
                <w:szCs w:val="21"/>
              </w:rPr>
              <w:t>29</w:t>
            </w:r>
          </w:p>
        </w:tc>
        <w:tc>
          <w:tcPr>
            <w:tcW w:w="1368" w:type="dxa"/>
            <w:shd w:val="clear" w:color="auto" w:fill="auto"/>
            <w:vAlign w:val="center"/>
          </w:tcPr>
          <w:p>
            <w:pPr>
              <w:spacing w:line="240" w:lineRule="auto"/>
              <w:jc w:val="center"/>
              <w:rPr>
                <w:sz w:val="21"/>
                <w:szCs w:val="21"/>
              </w:rPr>
            </w:pPr>
            <w:r>
              <w:rPr>
                <w:sz w:val="21"/>
                <w:szCs w:val="21"/>
              </w:rPr>
              <w:t>24</w:t>
            </w:r>
          </w:p>
        </w:tc>
        <w:tc>
          <w:tcPr>
            <w:tcW w:w="1601" w:type="dxa"/>
            <w:shd w:val="clear" w:color="auto" w:fill="auto"/>
            <w:vAlign w:val="center"/>
          </w:tcPr>
          <w:p>
            <w:pPr>
              <w:spacing w:line="240" w:lineRule="auto"/>
              <w:jc w:val="center"/>
              <w:rPr>
                <w:sz w:val="21"/>
                <w:szCs w:val="21"/>
              </w:rPr>
            </w:pPr>
          </w:p>
        </w:tc>
        <w:tc>
          <w:tcPr>
            <w:tcW w:w="1606" w:type="dxa"/>
          </w:tcPr>
          <w:p>
            <w:pPr>
              <w:spacing w:line="240" w:lineRule="auto"/>
              <w:jc w:val="center"/>
              <w:rPr>
                <w:sz w:val="21"/>
                <w:szCs w:val="21"/>
              </w:rPr>
            </w:pPr>
          </w:p>
        </w:tc>
        <w:tc>
          <w:tcPr>
            <w:tcW w:w="1298" w:type="dxa"/>
            <w:vAlign w:val="center"/>
          </w:tcPr>
          <w:p>
            <w:pPr>
              <w:spacing w:line="240" w:lineRule="auto"/>
              <w:jc w:val="center"/>
              <w:rPr>
                <w:sz w:val="21"/>
                <w:szCs w:val="21"/>
              </w:rPr>
            </w:pPr>
            <w:r>
              <w:rPr>
                <w:sz w:val="21"/>
                <w:szCs w:val="21"/>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1716" w:type="dxa"/>
            <w:shd w:val="clear" w:color="auto" w:fill="auto"/>
            <w:vAlign w:val="center"/>
          </w:tcPr>
          <w:p>
            <w:pPr>
              <w:spacing w:line="240" w:lineRule="auto"/>
              <w:jc w:val="center"/>
              <w:rPr>
                <w:sz w:val="21"/>
                <w:szCs w:val="21"/>
              </w:rPr>
            </w:pPr>
            <w:r>
              <w:rPr>
                <w:sz w:val="21"/>
                <w:szCs w:val="21"/>
              </w:rPr>
              <w:t>比例</w:t>
            </w:r>
          </w:p>
        </w:tc>
        <w:tc>
          <w:tcPr>
            <w:tcW w:w="753" w:type="dxa"/>
            <w:shd w:val="clear" w:color="auto" w:fill="auto"/>
            <w:vAlign w:val="center"/>
          </w:tcPr>
          <w:p>
            <w:pPr>
              <w:spacing w:line="240" w:lineRule="auto"/>
              <w:jc w:val="center"/>
              <w:rPr>
                <w:sz w:val="21"/>
                <w:szCs w:val="21"/>
              </w:rPr>
            </w:pPr>
            <w:r>
              <w:rPr>
                <w:sz w:val="21"/>
                <w:szCs w:val="21"/>
              </w:rPr>
              <w:t>49.15％</w:t>
            </w:r>
          </w:p>
        </w:tc>
        <w:tc>
          <w:tcPr>
            <w:tcW w:w="1368" w:type="dxa"/>
            <w:shd w:val="clear" w:color="auto" w:fill="auto"/>
            <w:vAlign w:val="center"/>
          </w:tcPr>
          <w:p>
            <w:pPr>
              <w:spacing w:line="240" w:lineRule="auto"/>
              <w:jc w:val="center"/>
              <w:rPr>
                <w:sz w:val="21"/>
                <w:szCs w:val="21"/>
              </w:rPr>
            </w:pPr>
            <w:r>
              <w:rPr>
                <w:sz w:val="21"/>
                <w:szCs w:val="21"/>
              </w:rPr>
              <w:t>40.68％</w:t>
            </w:r>
          </w:p>
        </w:tc>
        <w:tc>
          <w:tcPr>
            <w:tcW w:w="1601" w:type="dxa"/>
            <w:shd w:val="clear" w:color="auto" w:fill="auto"/>
            <w:vAlign w:val="center"/>
          </w:tcPr>
          <w:p>
            <w:pPr>
              <w:spacing w:line="240" w:lineRule="auto"/>
              <w:jc w:val="center"/>
              <w:rPr>
                <w:sz w:val="21"/>
                <w:szCs w:val="21"/>
              </w:rPr>
            </w:pPr>
          </w:p>
        </w:tc>
        <w:tc>
          <w:tcPr>
            <w:tcW w:w="1606" w:type="dxa"/>
          </w:tcPr>
          <w:p>
            <w:pPr>
              <w:spacing w:line="240" w:lineRule="auto"/>
              <w:jc w:val="center"/>
              <w:rPr>
                <w:sz w:val="21"/>
                <w:szCs w:val="21"/>
              </w:rPr>
            </w:pPr>
          </w:p>
        </w:tc>
        <w:tc>
          <w:tcPr>
            <w:tcW w:w="1298" w:type="dxa"/>
            <w:vAlign w:val="center"/>
          </w:tcPr>
          <w:p>
            <w:pPr>
              <w:spacing w:line="240" w:lineRule="auto"/>
              <w:jc w:val="center"/>
              <w:rPr>
                <w:sz w:val="21"/>
                <w:szCs w:val="21"/>
              </w:rPr>
            </w:pPr>
            <w:r>
              <w:rPr>
                <w:sz w:val="21"/>
                <w:szCs w:val="21"/>
              </w:rPr>
              <w:t>89.83%</w:t>
            </w:r>
          </w:p>
        </w:tc>
      </w:tr>
    </w:tbl>
    <w:p>
      <w:pPr>
        <w:ind w:firstLine="480" w:firstLineChars="200"/>
      </w:pPr>
    </w:p>
    <w:p>
      <w:pPr>
        <w:ind w:firstLine="480" w:firstLineChars="200"/>
      </w:pPr>
      <w:r>
        <w:t>（三）就业行业流向</w:t>
      </w:r>
    </w:p>
    <w:p>
      <w:pPr>
        <w:ind w:firstLine="480" w:firstLineChars="200"/>
      </w:pPr>
      <w:r>
        <w:t>就业行业流向有公司签约和回生源地的人力资源保障局。就业单位满意率100%。社会对专业评价非常高。本专业学生就业去向主要为攻读研究生、环保企业或事业单位等。由于学生在大学期间掌握了较扎实的理论知识，硬件、软件进行了较多的实践操作，总体业务能力较强。用人单位对我专业考取的学生普遍反映为基础理论掌握较好，有一定的研究能力，能较快地进入研究角色。环保部门对我专业学生评价较高，学生到环保企业或事业单位工作后，很快能适应工作，几个月就能较好地独立开展工作，有的学生半年后就能独自承担项目，有的学生二、三年即成为公司中层干部。</w:t>
      </w:r>
    </w:p>
    <w:p>
      <w:pPr>
        <w:ind w:firstLine="480" w:firstLineChars="200"/>
      </w:pPr>
      <w:r>
        <w:t>（四）考研情况</w:t>
      </w:r>
    </w:p>
    <w:p>
      <w:pPr>
        <w:ind w:firstLine="480" w:firstLineChars="200"/>
      </w:pPr>
      <w:r>
        <w:t>环境生态工程2022届毕业生共有29人考研。其中有多人考取985、211高校。</w:t>
      </w:r>
    </w:p>
    <w:p>
      <w:pPr>
        <w:pStyle w:val="5"/>
        <w:spacing w:before="93" w:after="93"/>
        <w:ind w:firstLine="560"/>
      </w:pPr>
      <w:bookmarkStart w:id="155" w:name="_Toc4191"/>
      <w:r>
        <w:t>六、毕业生就业创业（创业情况、采取的措施、典型案例等）</w:t>
      </w:r>
      <w:bookmarkEnd w:id="155"/>
    </w:p>
    <w:p>
      <w:pPr>
        <w:ind w:firstLine="480" w:firstLineChars="200"/>
      </w:pPr>
      <w:r>
        <w:t>高校毕业生人数不断增长、就业结构性矛盾依然存在，加上毕业生就业期望值与现实存在差距，高校毕业生就业形势仍不乐观。环境生态工程专业在做好常规学生就业指导工作的同时，采取邀请企业、机关等到学校围绕企业文化、用人环境、岗位发展空间等内容进行宣讲，让学生在听讲中了解用人单位情况，获取就业信息，为方便意向双方进一步沟通，缩短上岗适应期。给用人单位、毕业生搭建有效沟通平台，提前培养正确就业观等措施，帮助毕业生顺利就业。</w:t>
      </w:r>
    </w:p>
    <w:p>
      <w:pPr>
        <w:ind w:firstLine="480" w:firstLineChars="200"/>
      </w:pPr>
      <w:r>
        <w:t>另一方面，结合用人单位的人才需求和大学生的兴趣爱好，专业教师给予一定专业指导，帮助大学生进行创业创新活动。</w:t>
      </w:r>
    </w:p>
    <w:p>
      <w:pPr>
        <w:pStyle w:val="5"/>
        <w:spacing w:before="93" w:after="93"/>
        <w:ind w:firstLine="560"/>
      </w:pPr>
      <w:bookmarkStart w:id="156" w:name="_Toc11112"/>
      <w:r>
        <w:t>七、专业发展趋势及建议</w:t>
      </w:r>
      <w:bookmarkEnd w:id="156"/>
    </w:p>
    <w:p>
      <w:pPr>
        <w:ind w:firstLine="480" w:firstLineChars="200"/>
      </w:pPr>
      <w:r>
        <w:t>环境生态工程专业的核心是以生态学的理论知识解决环境中的问题，党的十八大，将生态文明建设作为十大任务之一。而且我国的社会经济发展对环境保护的要求也越来越高。在我国当前的环境生态形势下，如何培养出更符合时代特色和社会需求的人才也是高等教育的最重要任务。尤其在党的</w:t>
      </w:r>
      <w:r>
        <w:rPr>
          <w:rFonts w:hint="eastAsia"/>
        </w:rPr>
        <w:t>“</w:t>
      </w:r>
      <w:r>
        <w:t>十九大</w:t>
      </w:r>
      <w:r>
        <w:rPr>
          <w:rFonts w:hint="eastAsia"/>
        </w:rPr>
        <w:t>”</w:t>
      </w:r>
      <w:r>
        <w:t>报告中对生态环境保护及其重视，加上2017年度</w:t>
      </w:r>
      <w:r>
        <w:rPr>
          <w:rFonts w:hint="eastAsia"/>
        </w:rPr>
        <w:t>“</w:t>
      </w:r>
      <w:r>
        <w:t>环保风暴</w:t>
      </w:r>
      <w:r>
        <w:rPr>
          <w:rFonts w:hint="eastAsia"/>
        </w:rPr>
        <w:t>”</w:t>
      </w:r>
      <w:r>
        <w:t>，促使各监测、评价、生态恢复及生产型企业对本专业学生需求极大，为同学们提供了充分的就业空间。从国家的政策层面到环境生态现实看，本专业学生具有较广阔的发展前景。</w:t>
      </w:r>
    </w:p>
    <w:p>
      <w:pPr>
        <w:ind w:firstLine="480" w:firstLineChars="200"/>
      </w:pPr>
      <w:r>
        <w:t>本专业理论性与实践性均较强。除了课堂上加强理论知识的传授、实验室进行操作训练，还要多与环保部门的业务工作联系，多为学生提供实践、实习的机会，以提高学生将来的就业能力和竞争力。另外，学校、学院应为学生提供更多的就业信息和渠道，提高就业水平。</w:t>
      </w:r>
    </w:p>
    <w:p>
      <w:pPr>
        <w:ind w:firstLine="480" w:firstLineChars="200"/>
      </w:pPr>
      <w:r>
        <w:t>基于环境生态工程专业培养知识、能力与素质协调发展的高级专门人才的培养目标和社会对人才需求的变化趋势，环境境生态工程专业专业需制定好适应学科发展需要的近期发展规划，多方位、多途径挖掘内部潜力，进一步加强软、硬件建设，争取成为校重点建设专业。同时提高专业教师在专业建设中的参与积极性和工作主动性，深入进行教学改革、努力提高教学质量，依据科学的合理的培养模式为社会培养更多的合格人才。</w:t>
      </w:r>
    </w:p>
    <w:p>
      <w:pPr>
        <w:pStyle w:val="5"/>
        <w:spacing w:before="93" w:after="93"/>
        <w:ind w:firstLine="560"/>
      </w:pPr>
      <w:bookmarkStart w:id="157" w:name="_Toc20593"/>
      <w:r>
        <w:t>八、存在的问题及整改措施</w:t>
      </w:r>
      <w:bookmarkEnd w:id="157"/>
    </w:p>
    <w:p>
      <w:pPr>
        <w:pStyle w:val="7"/>
        <w:ind w:firstLine="480"/>
      </w:pPr>
      <w:r>
        <w:t>1. 存在的问题</w:t>
      </w:r>
    </w:p>
    <w:p>
      <w:pPr>
        <w:ind w:firstLine="480" w:firstLineChars="200"/>
      </w:pPr>
      <w:r>
        <w:t>师资力量有待进一步加强。环境类专职教师28人，承担了环境科学、环境工程专业、环境生态工程专业及部分农业资源与环境专业的课程，共计100多门课程的教学，任务繁重。此外还有环境科与工程一级硕士学位点、资源与环境领域工程硕士学位点的教学任务。由于整体环境科学专业教学任务繁重，任课教师进行留学深造的机会及时间有限，缺乏同行之间的学习交流，从而导致在教学过程中对专业领域的新技术、新方法无法完全熟悉，对国内及国际上最新的专业研究现状没有深入的了解。从长远的角度和发展的眼光看，应引进高水平博士研究生及高水平学科带头人充实教师队伍。</w:t>
      </w:r>
    </w:p>
    <w:p>
      <w:pPr>
        <w:ind w:firstLine="480" w:firstLineChars="200"/>
      </w:pPr>
      <w:r>
        <w:t>学科带头人少。师资队伍中还存在的问题就是学科带头人缺少，从长远看，一是引进在国内或国外有所建树的学科带头人，二是，倾力培养自己的学科带头人。同时也努力提高硕士和博士点的培养和研究水平，形成综合立体的人才培养体系。</w:t>
      </w:r>
    </w:p>
    <w:p>
      <w:pPr>
        <w:ind w:firstLine="480" w:firstLineChars="200"/>
      </w:pPr>
      <w:r>
        <w:t>实验场地和仪器设备有待进一步增加。环境科学专业是一实践性较强的专业，学生需要通过动手实验、研究来学习和领会环境行业相关工作、研究的方法和原理，目前场所紧张，仪器设备较国内一流大学还有一定差距。</w:t>
      </w:r>
    </w:p>
    <w:p>
      <w:pPr>
        <w:ind w:firstLine="480" w:firstLineChars="200"/>
      </w:pPr>
      <w:r>
        <w:t>学生就业率有待提高。近年来学生考研热，考研竞争压力增大，部分在考研竞争中被淘汰的学生不愿意选择就业，而选择待业或继续复习考研。</w:t>
      </w:r>
    </w:p>
    <w:p>
      <w:pPr>
        <w:pStyle w:val="7"/>
        <w:ind w:firstLine="480"/>
      </w:pPr>
      <w:r>
        <w:t>2. 整改措施</w:t>
      </w:r>
    </w:p>
    <w:p>
      <w:pPr>
        <w:ind w:firstLine="480" w:firstLineChars="200"/>
      </w:pPr>
      <w:r>
        <w:t>加强师资队伍建设。未来3年本专业需新增老师5－10名，充实教学队伍。在今后教学过程中，我们将用以下方法进行改进：采用</w:t>
      </w:r>
      <w:r>
        <w:rPr>
          <w:rFonts w:hint="eastAsia"/>
        </w:rPr>
        <w:t>“</w:t>
      </w:r>
      <w:r>
        <w:t>请进来，送出去</w:t>
      </w:r>
      <w:r>
        <w:rPr>
          <w:rFonts w:hint="eastAsia"/>
        </w:rPr>
        <w:t>”</w:t>
      </w:r>
      <w:r>
        <w:t>的方法保证教学团队的高质量，每年邀请3-4位国内外知名学者来我系进行科研及教学交流，同时鼓励青年教师参加国内或国际的访问学者计划，增加青年教师参加国际学术会议的机会，保证教师业务能力不断提高。</w:t>
      </w:r>
    </w:p>
    <w:p>
      <w:pPr>
        <w:ind w:firstLine="480" w:firstLineChars="200"/>
      </w:pPr>
      <w:r>
        <w:t>加强实验室建设。今后应新建1－2个教学实验室，增加和更新实验设备，增加引进专业的实验室管理人员，确保各相关仪器设备运转完好率达到100％，并且积极联系相关企业如环保公司、监测公司等用作实践教学，而且加大试验和实践课程，重视对学生实践能力的培养和训练。拓展学生就业渠道。</w:t>
      </w:r>
    </w:p>
    <w:p>
      <w:pPr>
        <w:ind w:firstLine="480" w:firstLineChars="200"/>
      </w:pPr>
      <w:r>
        <w:t>加强学生就业思想教育，转变就业观念，扩展就业渠道与途径。鼓励更多的学生考取研究生进一步深造。另外，鼓励学生出国留学，开阔视野，提高就业竞争力，毕业后进入国际化公司工作。部分同学也可以自主创业。</w:t>
      </w:r>
    </w:p>
    <w:p>
      <w:r>
        <w:br w:type="page"/>
      </w:r>
    </w:p>
    <w:p>
      <w:pPr>
        <w:pStyle w:val="4"/>
        <w:ind w:firstLine="600"/>
      </w:pPr>
      <w:bookmarkStart w:id="158" w:name="_Toc2788"/>
      <w:bookmarkStart w:id="159" w:name="_Toc20148"/>
      <w:bookmarkStart w:id="160" w:name="_Toc6846"/>
      <w:bookmarkStart w:id="161" w:name="_Toc10845"/>
      <w:r>
        <w:t>专业十</w:t>
      </w:r>
      <w:r>
        <w:rPr>
          <w:rFonts w:hint="eastAsia"/>
          <w:lang w:val="en-US"/>
        </w:rPr>
        <w:t>四</w:t>
      </w:r>
      <w:r>
        <w:t>：农业资源与环境</w:t>
      </w:r>
      <w:bookmarkEnd w:id="158"/>
      <w:bookmarkEnd w:id="159"/>
      <w:bookmarkEnd w:id="160"/>
      <w:bookmarkEnd w:id="161"/>
      <w:bookmarkStart w:id="162" w:name="_Toc10865"/>
    </w:p>
    <w:p>
      <w:pPr>
        <w:pStyle w:val="5"/>
        <w:spacing w:before="93" w:after="93"/>
        <w:ind w:firstLine="560"/>
      </w:pPr>
      <w:r>
        <w:t>一、人才培养目标</w:t>
      </w:r>
      <w:bookmarkEnd w:id="162"/>
    </w:p>
    <w:p>
      <w:pPr>
        <w:ind w:firstLine="480" w:firstLineChars="200"/>
      </w:pPr>
      <w:bookmarkStart w:id="163" w:name="_Toc32417"/>
      <w:r>
        <w:t>本专业培养德、智、体、美全面发展，思想政治素质高，具备农业资源与环境方面的基本理论，掌握农业资源的利用与管理、农业环境保护、土壤改良与培肥、生态农业建设等方面的基础知识，具有植物营养诊断、土壤调查、精准施肥与灌溉、肥料生产工艺、化肥营销等基本技能，农业资源调查评价与信息化管理、农业废弃物综合利用、土壤农化分析、土壤污染修复、农产品产地环境监测与评价等核心技能和实践能力，以及富有创新精神、创业意识和创新创业能力，毕业后能够在行政事业、农业生产、生态环境、农资企业等单位从事农业资源管理及利用、新型肥料研制、农业环境保护、生态农业、资源遥感与信息技术等方面教学、科研、科技推广、经营管理等工作的创新型、专业型高级专门人才，可以在国内外科研院所和高校的农业资源与环境领域继续深造。</w:t>
      </w:r>
    </w:p>
    <w:p>
      <w:pPr>
        <w:pStyle w:val="5"/>
        <w:spacing w:before="93" w:after="93"/>
        <w:ind w:firstLine="560"/>
      </w:pPr>
      <w:r>
        <w:t>二</w:t>
      </w:r>
      <w:r>
        <w:rPr>
          <w:rFonts w:hint="eastAsia"/>
        </w:rPr>
        <w:t>、</w:t>
      </w:r>
      <w:r>
        <w:t>培养能力（专业设置情况、在校生规模、课程设置情况、创新创业教育等）</w:t>
      </w:r>
      <w:bookmarkEnd w:id="163"/>
    </w:p>
    <w:p>
      <w:pPr>
        <w:pStyle w:val="6"/>
        <w:ind w:firstLine="480"/>
      </w:pPr>
      <w:r>
        <w:t>1.</w:t>
      </w:r>
      <w:r>
        <w:rPr>
          <w:rFonts w:hint="eastAsia"/>
        </w:rPr>
        <w:t xml:space="preserve"> </w:t>
      </w:r>
      <w:r>
        <w:t>专业设置情况</w:t>
      </w:r>
    </w:p>
    <w:p>
      <w:pPr>
        <w:ind w:firstLine="480" w:firstLineChars="200"/>
      </w:pPr>
      <w:r>
        <w:t>当前，中国农业资源利用率较低、环境问题较为突出，存在水土流失、土层浅薄、土壤有机质不足、土壤退化等障碍因素以及环境污染等一系列问题，严重影响到农产品数量和质量安全，潜在危害人体健康。协调好国民经济发展与农业资源环境的良好关系，提高农业资源的利用效率，创造良好的生态环境，是资源与环境学院专业人才培养面向的社会需求。农业资源与环境作为一级学科，为我国土壤学、植物营养学、农业生态环境保护三个学科方向、10多个行业方向持续培养各级人才，在促进我国农业现代化建设、生态文明建设、人民生活水平和质量的提高等方面显示出越来越大的优势。</w:t>
      </w:r>
      <w:r>
        <w:rPr>
          <w:rFonts w:hint="eastAsia"/>
        </w:rPr>
        <w:t>“</w:t>
      </w:r>
      <w:r>
        <w:t>农业资源与环境专业</w:t>
      </w:r>
      <w:r>
        <w:rPr>
          <w:rFonts w:hint="eastAsia"/>
        </w:rPr>
        <w:t>”</w:t>
      </w:r>
      <w:r>
        <w:t>是由原</w:t>
      </w:r>
      <w:r>
        <w:rPr>
          <w:rFonts w:hint="eastAsia"/>
        </w:rPr>
        <w:t>“</w:t>
      </w:r>
      <w:r>
        <w:t>土壤农业化学专业</w:t>
      </w:r>
      <w:r>
        <w:rPr>
          <w:rFonts w:hint="eastAsia"/>
        </w:rPr>
        <w:t>”</w:t>
      </w:r>
      <w:r>
        <w:t>、</w:t>
      </w:r>
      <w:r>
        <w:rPr>
          <w:rFonts w:hint="eastAsia"/>
        </w:rPr>
        <w:t>“</w:t>
      </w:r>
      <w:r>
        <w:t>土壤与植物营养专业</w:t>
      </w:r>
      <w:r>
        <w:rPr>
          <w:rFonts w:hint="eastAsia"/>
        </w:rPr>
        <w:t>”</w:t>
      </w:r>
      <w:r>
        <w:t>演变而来。山东农业大学</w:t>
      </w:r>
      <w:r>
        <w:rPr>
          <w:rFonts w:hint="eastAsia"/>
        </w:rPr>
        <w:t>“</w:t>
      </w:r>
      <w:r>
        <w:t>土壤农业化学</w:t>
      </w:r>
      <w:r>
        <w:rPr>
          <w:rFonts w:hint="eastAsia"/>
        </w:rPr>
        <w:t>”</w:t>
      </w:r>
      <w:r>
        <w:t>专业成立于1948年，至目前为止，已有70年的办学历史，已有50余届毕业学生，已为社会培养五千多余名科研、教学、管理和应用人才。</w:t>
      </w:r>
    </w:p>
    <w:p>
      <w:pPr>
        <w:ind w:firstLine="480" w:firstLineChars="200"/>
      </w:pPr>
      <w:r>
        <w:t>经过近几十年无数前辈的深入探索和建设，结合全国兄弟院校农业资源与环境专业建设经验和立足山东省的地区特点，根据国家提出了建设节约型社会、和谐社会的目标和全面贯彻和落实</w:t>
      </w:r>
      <w:r>
        <w:rPr>
          <w:rFonts w:hint="eastAsia"/>
        </w:rPr>
        <w:t>“</w:t>
      </w:r>
      <w:r>
        <w:t>青山绿水就是金山银山</w:t>
      </w:r>
      <w:r>
        <w:rPr>
          <w:rFonts w:hint="eastAsia"/>
        </w:rPr>
        <w:t>”</w:t>
      </w:r>
      <w:r>
        <w:t>的战略部署和山东提出了</w:t>
      </w:r>
      <w:r>
        <w:rPr>
          <w:rFonts w:hint="eastAsia"/>
        </w:rPr>
        <w:t>“</w:t>
      </w:r>
      <w:r>
        <w:t>服务山东新旧动能专业转换</w:t>
      </w:r>
      <w:r>
        <w:rPr>
          <w:rFonts w:hint="eastAsia"/>
        </w:rPr>
        <w:t>”</w:t>
      </w:r>
      <w:r>
        <w:t>的建设要求，农业资源与环境专业目前主要发展方向为土壤化学、土壤生态环境、土肥资源高效利用、土壤退化修复、新型肥料研制与应用。师资力量不断提升，专业目标进一步明确，教学水平不断提高，基本形成了以土壤生态学、植物营养学、新型肥料研制与应用为方向的专业特色。专业建设是教学建设的重要方面，不仅体现办学规模、办学水平、教育教学改革力度，还直接影响教师和学生的未来生存。因此，通过引导、培训广大专业教师，积极投入教学和教学改革，以提高本科教学质量为核心，使本科生的综合能力得到巨大提高，提高了本科生的竞争力，为我国东部沿海地区生态环境建设和产业结构调整、有效恢复退化生态系统和我国东部沿海地区种植业的健康发展培养更多更优秀的人才。此外，为了不断的适应国家需求的变换，我们还需要不断地进一步完善专业建设规划，发挥和挖掘专业老师教育、科研创新的巨大潜力，办好农业资源与环境专业，增强本科毕业生的行业竞争力，提高山东农业大学农业资源与环境专业在全国的影响力，为山东农业大发展乃至国家世界农业大发展贡献应有的力量。</w:t>
      </w:r>
    </w:p>
    <w:p>
      <w:pPr>
        <w:pStyle w:val="6"/>
        <w:ind w:firstLine="480"/>
      </w:pPr>
      <w:r>
        <w:t>2.</w:t>
      </w:r>
      <w:r>
        <w:rPr>
          <w:rFonts w:hint="eastAsia"/>
        </w:rPr>
        <w:t xml:space="preserve"> </w:t>
      </w:r>
      <w:r>
        <w:t>在校生规模</w:t>
      </w:r>
    </w:p>
    <w:p>
      <w:pPr>
        <w:ind w:firstLine="480" w:firstLineChars="200"/>
      </w:pPr>
      <w:r>
        <w:t>2022级在校生78人，2021级在校生78人，2020级本科生72人，2019级本科生78人，目前本专业在校生总计306人。</w:t>
      </w:r>
    </w:p>
    <w:p>
      <w:pPr>
        <w:pStyle w:val="6"/>
        <w:ind w:firstLine="480"/>
      </w:pPr>
      <w:r>
        <w:t>3.</w:t>
      </w:r>
      <w:r>
        <w:rPr>
          <w:rFonts w:hint="eastAsia"/>
        </w:rPr>
        <w:t xml:space="preserve"> </w:t>
      </w:r>
      <w:r>
        <w:t>课程设置情况</w:t>
      </w:r>
    </w:p>
    <w:p>
      <w:pPr>
        <w:spacing w:line="390" w:lineRule="exact"/>
        <w:ind w:firstLine="480" w:firstLineChars="200"/>
      </w:pPr>
      <w:r>
        <w:t>2022年根据山东农业大学的安排，对农业资源与环境专业培养方案进行了修订与优化。农业资源与环境专业培养方案中教学进程包括通识教育课、通识教育选修、学科基础课、专业核心课、专业方向课、实践教学环节六部分内容。总共170个学分。其中，必修课总学分100.6、选修课学分26、实践教学学分【实验课15.9学分（含选修），实践30.5学分】46.4，占总学分27.3%。通识教育课是我校全体学生必须修读的思想政治类、公共体育类、语言类、计算机应用类课程；通识教育选修课程是理工农医科专业学生修读社科类课程；学科基础课是按专业学科类别设计的基础类、专业基础类课程，是学生专业核心课程的基础；专业核心课是培养学生专业技能和专业素养的一组课程，是业务培养的核心内容；专业方向课是各专业根据专业研究优势和特色开设的一组课程，由学生根据个人专业兴趣和业务培养需要，依据自身特点从中选修部分课程，满足学生个性发展需要的部分课程。经过前期对2021,2020,2019级学生的问卷调查，广泛征求本专业教师建议，与课程相关单位多次沟通，协调。2022新修订的培养方案将原方案中的必修课</w:t>
      </w:r>
      <w:r>
        <w:rPr>
          <w:rFonts w:hint="eastAsia"/>
        </w:rPr>
        <w:t>“</w:t>
      </w:r>
      <w:r>
        <w:t>遗传学</w:t>
      </w:r>
      <w:r>
        <w:rPr>
          <w:rFonts w:hint="eastAsia"/>
        </w:rPr>
        <w:t>”</w:t>
      </w:r>
      <w:r>
        <w:t>（3.0学分）及</w:t>
      </w:r>
      <w:r>
        <w:rPr>
          <w:rFonts w:hint="eastAsia"/>
        </w:rPr>
        <w:t>“</w:t>
      </w:r>
      <w:r>
        <w:t>遗传学实验</w:t>
      </w:r>
      <w:r>
        <w:rPr>
          <w:rFonts w:hint="eastAsia"/>
        </w:rPr>
        <w:t>”</w:t>
      </w:r>
      <w:r>
        <w:t>（0.8学分）删除，增加专业实践性更强的</w:t>
      </w:r>
      <w:r>
        <w:rPr>
          <w:rFonts w:hint="eastAsia"/>
        </w:rPr>
        <w:t>“</w:t>
      </w:r>
      <w:r>
        <w:t>作物生产学</w:t>
      </w:r>
      <w:r>
        <w:rPr>
          <w:rFonts w:hint="eastAsia"/>
        </w:rPr>
        <w:t>”</w:t>
      </w:r>
      <w:r>
        <w:t>（2.0学分）和专业性更强的</w:t>
      </w:r>
      <w:r>
        <w:rPr>
          <w:rFonts w:hint="eastAsia"/>
        </w:rPr>
        <w:t>“</w:t>
      </w:r>
      <w:r>
        <w:t>物理化学胶体化学</w:t>
      </w:r>
      <w:r>
        <w:rPr>
          <w:rFonts w:hint="eastAsia"/>
        </w:rPr>
        <w:t>”</w:t>
      </w:r>
      <w:r>
        <w:t>及其实验（3.1学分）。将专业核心课</w:t>
      </w:r>
      <w:r>
        <w:rPr>
          <w:rFonts w:hint="eastAsia"/>
        </w:rPr>
        <w:t>“</w:t>
      </w:r>
      <w:r>
        <w:t>土壤农化分析2</w:t>
      </w:r>
      <w:r>
        <w:rPr>
          <w:rFonts w:hint="eastAsia"/>
        </w:rPr>
        <w:t>”</w:t>
      </w:r>
      <w:r>
        <w:t>及其实验改为为</w:t>
      </w:r>
      <w:r>
        <w:rPr>
          <w:rFonts w:hint="eastAsia"/>
        </w:rPr>
        <w:t>“</w:t>
      </w:r>
      <w:r>
        <w:t>肥料及农产品质量分析</w:t>
      </w:r>
      <w:r>
        <w:rPr>
          <w:rFonts w:hint="eastAsia"/>
        </w:rPr>
        <w:t>”</w:t>
      </w:r>
      <w:r>
        <w:t>，根据实践需求调整了部分实验项目及学时。方向选修课增加了</w:t>
      </w:r>
      <w:r>
        <w:rPr>
          <w:rFonts w:hint="eastAsia"/>
        </w:rPr>
        <w:t>“</w:t>
      </w:r>
      <w:r>
        <w:t>园艺学概论</w:t>
      </w:r>
      <w:r>
        <w:rPr>
          <w:rFonts w:hint="eastAsia"/>
        </w:rPr>
        <w:t>”</w:t>
      </w:r>
      <w:r>
        <w:t>、</w:t>
      </w:r>
      <w:r>
        <w:rPr>
          <w:rFonts w:hint="eastAsia"/>
        </w:rPr>
        <w:t>“</w:t>
      </w:r>
      <w:r>
        <w:t>植物化学保护</w:t>
      </w:r>
      <w:r>
        <w:rPr>
          <w:rFonts w:hint="eastAsia"/>
        </w:rPr>
        <w:t>”</w:t>
      </w:r>
      <w:r>
        <w:t>及</w:t>
      </w:r>
      <w:r>
        <w:rPr>
          <w:rFonts w:hint="eastAsia"/>
        </w:rPr>
        <w:t>“</w:t>
      </w:r>
      <w:r>
        <w:t>信息检索与利用</w:t>
      </w:r>
      <w:r>
        <w:rPr>
          <w:rFonts w:hint="eastAsia"/>
        </w:rPr>
        <w:t>”</w:t>
      </w:r>
      <w:r>
        <w:t>，为了配合其他专业实验室限制引起的课程后置，平衡各学期的课业负担，将部分专业性强的选修课前提到3、4学期，</w:t>
      </w:r>
      <w:r>
        <w:rPr>
          <w:rFonts w:hint="eastAsia"/>
        </w:rPr>
        <w:t>“</w:t>
      </w:r>
      <w:r>
        <w:t>土壤学</w:t>
      </w:r>
      <w:r>
        <w:rPr>
          <w:rFonts w:hint="eastAsia"/>
        </w:rPr>
        <w:t>”</w:t>
      </w:r>
      <w:r>
        <w:t>从第四学期提前到第三学期，</w:t>
      </w:r>
      <w:r>
        <w:rPr>
          <w:rFonts w:hint="eastAsia"/>
        </w:rPr>
        <w:t>“</w:t>
      </w:r>
      <w:r>
        <w:t>农业资源与环境学</w:t>
      </w:r>
      <w:r>
        <w:rPr>
          <w:rFonts w:hint="eastAsia"/>
        </w:rPr>
        <w:t>”</w:t>
      </w:r>
      <w:r>
        <w:t>提前到第二学期。新修订的培养方案经过学科教师四次开会修订讨论，所以更加符合素质教育与培养创新人才的要求，有利于学生的全面培养及个性发展。</w:t>
      </w:r>
    </w:p>
    <w:p>
      <w:pPr>
        <w:spacing w:line="390" w:lineRule="exact"/>
        <w:ind w:firstLine="480" w:firstLineChars="200"/>
      </w:pPr>
      <w:r>
        <w:t>重点加强土壤物理化学胶体化学、生态学、土壤学、植物营养学、作物学栽培学、灌溉与排水工程学、土壤质量调查与规划等课程建设。以强化土壤化学、土壤生态环境、土肥资源高效利用、土壤退化与修复、新型肥料研制、营养诊断与施肥技术应用方向为专业核心技术，更新教学内容，改革教学方法和手段，加强精品课程和教材建设，构建一套适应人才培养要求的创新课程体系。</w:t>
      </w:r>
    </w:p>
    <w:p>
      <w:pPr>
        <w:pStyle w:val="6"/>
        <w:spacing w:line="390" w:lineRule="exact"/>
        <w:ind w:firstLine="480"/>
      </w:pPr>
      <w:r>
        <w:t>4.</w:t>
      </w:r>
      <w:r>
        <w:rPr>
          <w:rFonts w:hint="eastAsia"/>
        </w:rPr>
        <w:t xml:space="preserve"> </w:t>
      </w:r>
      <w:r>
        <w:t>创新创业教育</w:t>
      </w:r>
    </w:p>
    <w:p>
      <w:pPr>
        <w:spacing w:line="390" w:lineRule="exact"/>
        <w:ind w:firstLine="480" w:firstLineChars="200"/>
      </w:pPr>
      <w:r>
        <w:t>学院积极重视大学生创新创业教育，把创新创业教育作为深化教育教学改革的重要内容纳入教学计划，在人才培养方案中加入创业教育内容，完善创新创业教育体系；坚持</w:t>
      </w:r>
      <w:r>
        <w:rPr>
          <w:rFonts w:hint="eastAsia"/>
        </w:rPr>
        <w:t>“</w:t>
      </w:r>
      <w:r>
        <w:t>全力支持、全程指导、全员覆盖</w:t>
      </w:r>
      <w:r>
        <w:rPr>
          <w:rFonts w:hint="eastAsia"/>
        </w:rPr>
        <w:t>”</w:t>
      </w:r>
      <w:r>
        <w:t>理念，实施课堂教育、专家传道、课外实践</w:t>
      </w:r>
      <w:r>
        <w:rPr>
          <w:rFonts w:hint="eastAsia"/>
        </w:rPr>
        <w:t>“</w:t>
      </w:r>
      <w:r>
        <w:t>三位一体</w:t>
      </w:r>
      <w:r>
        <w:rPr>
          <w:rFonts w:hint="eastAsia"/>
        </w:rPr>
        <w:t>”</w:t>
      </w:r>
      <w:r>
        <w:t>的教育模式，组织指导教师，专门对学生创新创业进行指导，并对优秀指导教师进行适当奖励；积极为大学生创新创业搭建平台，鼓励大学生申报国家级大学生创新创业训练计划项目、大学生创新创业引领计划（SIEG）项目、大学生研究训练计划（SRT）项目，组织大学生农业资源与环境专业实践技能大赛、</w:t>
      </w:r>
      <w:bookmarkStart w:id="164" w:name="_Hlk86504692"/>
      <w:r>
        <w:rPr>
          <w:rFonts w:hint="eastAsia"/>
        </w:rPr>
        <w:t>“</w:t>
      </w:r>
      <w:r>
        <w:t>互联网+</w:t>
      </w:r>
      <w:r>
        <w:rPr>
          <w:rFonts w:hint="eastAsia"/>
        </w:rPr>
        <w:t>”</w:t>
      </w:r>
      <w:r>
        <w:t>大学生创新创业大赛</w:t>
      </w:r>
      <w:bookmarkEnd w:id="164"/>
      <w:r>
        <w:t>、</w:t>
      </w:r>
      <w:r>
        <w:rPr>
          <w:rFonts w:hint="eastAsia"/>
        </w:rPr>
        <w:t>“</w:t>
      </w:r>
      <w:r>
        <w:t>挑战杯</w:t>
      </w:r>
      <w:r>
        <w:rPr>
          <w:rFonts w:hint="eastAsia"/>
        </w:rPr>
        <w:t>”</w:t>
      </w:r>
      <w:r>
        <w:t>华夏天信山东省大学生创新创业大赛等；积极为学生开展创新创业活动提供支持，设立专项经费支持大学生开展国家大学生创新创业训练计划项目、参加大学生创业计划大赛等活动，拨付专项资金，为创业团队购买相关的测定仪、实验台等仪器设备；加强实验室开放管理，从实验场所、仪器设备使用等方面给予全力支持，尽力协调，保证大学生创新创业活动的应用。</w:t>
      </w:r>
    </w:p>
    <w:p>
      <w:pPr>
        <w:spacing w:line="390" w:lineRule="exact"/>
        <w:ind w:firstLine="480" w:firstLineChars="200"/>
      </w:pPr>
      <w:r>
        <w:t>2021-2022年本专业立项的国家级创新实践项目6项，创新训练项目3项，取得了较好的成绩；在这一时期，设立农业资源与环境专业SRT项目22项，在活动资金充裕的前提下，各组较好的完成了研究工作，不仅巩固了课堂的专业知识，而且锻炼提高了团队协作能力，增强了自身综合素质。</w:t>
      </w:r>
    </w:p>
    <w:p>
      <w:pPr>
        <w:spacing w:line="390" w:lineRule="exact"/>
        <w:ind w:firstLine="480" w:firstLineChars="200"/>
      </w:pPr>
      <w:r>
        <w:t>学院结合资源利用、环境保护和绿色生态农业等专业特色和行业需求，成立水培花卉、有机肥、阳台农业、</w:t>
      </w:r>
      <w:r>
        <w:rPr>
          <w:rFonts w:hint="eastAsia"/>
        </w:rPr>
        <w:t>“</w:t>
      </w:r>
      <w:r>
        <w:t>抗逆性包膜控释肥-开拓科技兴农新时代</w:t>
      </w:r>
      <w:r>
        <w:rPr>
          <w:rFonts w:hint="eastAsia"/>
        </w:rPr>
        <w:t>”</w:t>
      </w:r>
      <w:r>
        <w:t>、</w:t>
      </w:r>
      <w:r>
        <w:rPr>
          <w:rFonts w:hint="eastAsia"/>
        </w:rPr>
        <w:t>“</w:t>
      </w:r>
      <w:r>
        <w:t>植物源材料包膜控释肥助力农业碳减排</w:t>
      </w:r>
      <w:r>
        <w:rPr>
          <w:rFonts w:hint="eastAsia"/>
        </w:rPr>
        <w:t>”</w:t>
      </w:r>
      <w:r>
        <w:t>等多个创新创业项目，打造出以盛一体化生态育苗毯助力乡村产业振兴、高效水溶肥助力乡村振兴、轻简化自制堆肥技术助力乡村生态振兴、新型大棚种植技术助力乡村振兴等，逐步形成以</w:t>
      </w:r>
      <w:r>
        <w:rPr>
          <w:rFonts w:hint="eastAsia"/>
        </w:rPr>
        <w:t>“</w:t>
      </w:r>
      <w:r>
        <w:t>绿色、环保、安全</w:t>
      </w:r>
      <w:r>
        <w:rPr>
          <w:rFonts w:hint="eastAsia"/>
        </w:rPr>
        <w:t>”</w:t>
      </w:r>
      <w:r>
        <w:t>为特色的学院品牌。14支团队中，山东维伦文化传媒有限公司、泰安市利农普利信息服务有限公司和临沂市河东区尚东种植专业合作社家已注册为公司。</w:t>
      </w:r>
    </w:p>
    <w:p>
      <w:pPr>
        <w:spacing w:line="390" w:lineRule="exact"/>
        <w:ind w:firstLine="480" w:firstLineChars="200"/>
      </w:pPr>
      <w:bookmarkStart w:id="165" w:name="_Toc26280"/>
      <w:r>
        <w:rPr>
          <w:rFonts w:hint="eastAsia"/>
        </w:rPr>
        <w:t>学院鼓励创业团队积极参与国家及省市级创新创业大赛，通过参与比赛不断完善创业项目内容，改进创项目思路，锻炼自身创新创业能力。学院也借此建立健全学院双创工作服务平台，为学生提供更全面的创业信息和项目指导。第八届中国国际“互联网+”大学生创新创业大赛中，获得国家级金奖1项，铜奖1项，在第八届山东省大学生创新创业大赛中获得一等奖2项，二等奖1项，三等奖2项；在第八届山东省“互联网+”大学生创新创业大赛中，获金奖5项，银奖1项，铜奖一项；在第十三届“挑战杯”建设银行山东省大学生创业计划竞赛中获银奖一项，铜奖1项。本专业120余名同学直接参加了各个项目。通过这些项目的建立、运行和管理，巩固了专业知识，加强了与人交流的能力，夯实了专业基础知识，提供了学生的综合素质，开拓了社会视野，发现了自己的短板，为以后自己综合素质的提高奠定了基础和方向。</w:t>
      </w:r>
    </w:p>
    <w:p>
      <w:pPr>
        <w:spacing w:line="390" w:lineRule="exact"/>
        <w:ind w:firstLine="480" w:firstLineChars="200"/>
      </w:pPr>
      <w:r>
        <w:t>三、培养条件（教学经费投入、教学设备、教师队伍建设、实习基地、现代教学技术应用等）</w:t>
      </w:r>
      <w:bookmarkEnd w:id="165"/>
    </w:p>
    <w:p>
      <w:pPr>
        <w:pStyle w:val="6"/>
        <w:ind w:firstLine="480"/>
      </w:pPr>
      <w:r>
        <w:t>1.</w:t>
      </w:r>
      <w:r>
        <w:rPr>
          <w:rFonts w:hint="eastAsia"/>
        </w:rPr>
        <w:t xml:space="preserve"> </w:t>
      </w:r>
      <w:r>
        <w:t>教学经费投入</w:t>
      </w:r>
    </w:p>
    <w:p>
      <w:pPr>
        <w:ind w:firstLine="480" w:firstLineChars="200"/>
      </w:pPr>
      <w:r>
        <w:t>依托农业资源与环境高水平专业参加服务新旧动能专业群建设专项经费，购买价值180万元教学科研仪器设备，如消煮炉、定氮仪、火焰光度计、原子吸收分光光度计等教学急需仪器设备。完成了仪器的采购、按照与调试工作。另外，完成的了两门慕课，在线运行正常。投资100余万元，用于学生实习、教学研究、各个实验室的试剂购买与教学仪器设备的维护与运转。</w:t>
      </w:r>
    </w:p>
    <w:p>
      <w:pPr>
        <w:ind w:firstLine="480" w:firstLineChars="200"/>
      </w:pPr>
      <w:r>
        <w:t>设备购置后，改善了实践教学的硬件条件，缓解了学生实验仪器不足的压力，提高了实验项目的水平和层次，提升了实验仪器设备档次和水平，提高了实验室建设整体水平，初步形成资源环境监测分析技术较为完整的教学实验平台，全面提高了专业核心技能培养的质量。</w:t>
      </w:r>
    </w:p>
    <w:p>
      <w:pPr>
        <w:spacing w:line="240" w:lineRule="auto"/>
        <w:jc w:val="center"/>
        <w:rPr>
          <w:b/>
          <w:bCs/>
          <w:sz w:val="21"/>
          <w:szCs w:val="21"/>
        </w:rPr>
      </w:pPr>
      <w:r>
        <w:rPr>
          <w:b/>
          <w:bCs/>
          <w:sz w:val="21"/>
          <w:szCs w:val="21"/>
        </w:rPr>
        <w:t>表1  日常教学投入</w:t>
      </w:r>
    </w:p>
    <w:tbl>
      <w:tblPr>
        <w:tblStyle w:val="17"/>
        <w:tblW w:w="8841"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3"/>
        <w:gridCol w:w="1513"/>
        <w:gridCol w:w="1513"/>
        <w:gridCol w:w="1513"/>
        <w:gridCol w:w="1513"/>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1513" w:type="dxa"/>
            <w:vAlign w:val="center"/>
          </w:tcPr>
          <w:p>
            <w:pPr>
              <w:spacing w:line="240" w:lineRule="auto"/>
              <w:jc w:val="center"/>
              <w:rPr>
                <w:b/>
                <w:bCs/>
                <w:sz w:val="21"/>
                <w:szCs w:val="21"/>
              </w:rPr>
            </w:pPr>
            <w:r>
              <w:rPr>
                <w:b/>
                <w:bCs/>
                <w:sz w:val="21"/>
                <w:szCs w:val="21"/>
              </w:rPr>
              <w:t>年份</w:t>
            </w:r>
          </w:p>
        </w:tc>
        <w:tc>
          <w:tcPr>
            <w:tcW w:w="1513" w:type="dxa"/>
            <w:vAlign w:val="center"/>
          </w:tcPr>
          <w:p>
            <w:pPr>
              <w:spacing w:line="240" w:lineRule="auto"/>
              <w:jc w:val="center"/>
              <w:rPr>
                <w:b/>
                <w:bCs/>
                <w:sz w:val="21"/>
                <w:szCs w:val="21"/>
              </w:rPr>
            </w:pPr>
            <w:r>
              <w:rPr>
                <w:b/>
                <w:bCs/>
                <w:sz w:val="21"/>
                <w:szCs w:val="21"/>
              </w:rPr>
              <w:t>2019</w:t>
            </w:r>
          </w:p>
        </w:tc>
        <w:tc>
          <w:tcPr>
            <w:tcW w:w="1513" w:type="dxa"/>
            <w:vAlign w:val="center"/>
          </w:tcPr>
          <w:p>
            <w:pPr>
              <w:spacing w:line="240" w:lineRule="auto"/>
              <w:jc w:val="center"/>
              <w:rPr>
                <w:b/>
                <w:bCs/>
                <w:sz w:val="21"/>
                <w:szCs w:val="21"/>
              </w:rPr>
            </w:pPr>
            <w:r>
              <w:rPr>
                <w:b/>
                <w:bCs/>
                <w:sz w:val="21"/>
                <w:szCs w:val="21"/>
              </w:rPr>
              <w:t>2020</w:t>
            </w:r>
          </w:p>
        </w:tc>
        <w:tc>
          <w:tcPr>
            <w:tcW w:w="1513" w:type="dxa"/>
            <w:vAlign w:val="center"/>
          </w:tcPr>
          <w:p>
            <w:pPr>
              <w:spacing w:line="240" w:lineRule="auto"/>
              <w:jc w:val="center"/>
              <w:rPr>
                <w:b/>
                <w:bCs/>
                <w:sz w:val="21"/>
                <w:szCs w:val="21"/>
              </w:rPr>
            </w:pPr>
            <w:r>
              <w:rPr>
                <w:b/>
                <w:bCs/>
                <w:sz w:val="21"/>
                <w:szCs w:val="21"/>
              </w:rPr>
              <w:t>2021</w:t>
            </w:r>
          </w:p>
        </w:tc>
        <w:tc>
          <w:tcPr>
            <w:tcW w:w="1513" w:type="dxa"/>
            <w:vAlign w:val="center"/>
          </w:tcPr>
          <w:p>
            <w:pPr>
              <w:spacing w:line="240" w:lineRule="auto"/>
              <w:jc w:val="center"/>
              <w:rPr>
                <w:b/>
                <w:bCs/>
                <w:sz w:val="21"/>
                <w:szCs w:val="21"/>
              </w:rPr>
            </w:pPr>
            <w:r>
              <w:rPr>
                <w:b/>
                <w:bCs/>
                <w:sz w:val="21"/>
                <w:szCs w:val="21"/>
              </w:rPr>
              <w:t>2022</w:t>
            </w:r>
          </w:p>
        </w:tc>
        <w:tc>
          <w:tcPr>
            <w:tcW w:w="1276" w:type="dxa"/>
            <w:vAlign w:val="center"/>
          </w:tcPr>
          <w:p>
            <w:pPr>
              <w:spacing w:line="240" w:lineRule="auto"/>
              <w:jc w:val="center"/>
              <w:rPr>
                <w:b/>
                <w:bCs/>
                <w:sz w:val="21"/>
                <w:szCs w:val="21"/>
              </w:rPr>
            </w:pPr>
            <w:r>
              <w:rPr>
                <w:b/>
                <w:bCs/>
                <w:sz w:val="21"/>
                <w:szCs w:val="21"/>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1513" w:type="dxa"/>
            <w:vAlign w:val="center"/>
          </w:tcPr>
          <w:p>
            <w:pPr>
              <w:spacing w:line="240" w:lineRule="auto"/>
              <w:jc w:val="center"/>
              <w:rPr>
                <w:sz w:val="21"/>
                <w:szCs w:val="21"/>
              </w:rPr>
            </w:pPr>
            <w:r>
              <w:rPr>
                <w:sz w:val="21"/>
                <w:szCs w:val="21"/>
              </w:rPr>
              <w:t>金额（元）</w:t>
            </w:r>
          </w:p>
        </w:tc>
        <w:tc>
          <w:tcPr>
            <w:tcW w:w="1513" w:type="dxa"/>
            <w:vAlign w:val="center"/>
          </w:tcPr>
          <w:p>
            <w:pPr>
              <w:spacing w:line="240" w:lineRule="auto"/>
              <w:jc w:val="center"/>
              <w:rPr>
                <w:sz w:val="21"/>
                <w:szCs w:val="21"/>
              </w:rPr>
            </w:pPr>
            <w:r>
              <w:rPr>
                <w:sz w:val="21"/>
                <w:szCs w:val="21"/>
              </w:rPr>
              <w:t>51479</w:t>
            </w:r>
          </w:p>
        </w:tc>
        <w:tc>
          <w:tcPr>
            <w:tcW w:w="1513" w:type="dxa"/>
            <w:vAlign w:val="center"/>
          </w:tcPr>
          <w:p>
            <w:pPr>
              <w:spacing w:line="240" w:lineRule="auto"/>
              <w:jc w:val="center"/>
              <w:rPr>
                <w:sz w:val="21"/>
                <w:szCs w:val="21"/>
              </w:rPr>
            </w:pPr>
            <w:r>
              <w:rPr>
                <w:sz w:val="21"/>
                <w:szCs w:val="21"/>
              </w:rPr>
              <w:t>50055</w:t>
            </w:r>
          </w:p>
        </w:tc>
        <w:tc>
          <w:tcPr>
            <w:tcW w:w="1513" w:type="dxa"/>
            <w:vAlign w:val="center"/>
          </w:tcPr>
          <w:p>
            <w:pPr>
              <w:spacing w:line="240" w:lineRule="auto"/>
              <w:jc w:val="center"/>
              <w:rPr>
                <w:sz w:val="21"/>
                <w:szCs w:val="21"/>
              </w:rPr>
            </w:pPr>
            <w:r>
              <w:rPr>
                <w:sz w:val="21"/>
                <w:szCs w:val="21"/>
              </w:rPr>
              <w:t>51211</w:t>
            </w:r>
          </w:p>
        </w:tc>
        <w:tc>
          <w:tcPr>
            <w:tcW w:w="1513" w:type="dxa"/>
            <w:vAlign w:val="center"/>
          </w:tcPr>
          <w:p>
            <w:pPr>
              <w:spacing w:line="240" w:lineRule="auto"/>
              <w:jc w:val="center"/>
              <w:rPr>
                <w:sz w:val="21"/>
                <w:szCs w:val="21"/>
              </w:rPr>
            </w:pPr>
            <w:r>
              <w:rPr>
                <w:sz w:val="21"/>
                <w:szCs w:val="21"/>
              </w:rPr>
              <w:t>51020</w:t>
            </w:r>
          </w:p>
        </w:tc>
        <w:tc>
          <w:tcPr>
            <w:tcW w:w="1276" w:type="dxa"/>
            <w:vAlign w:val="center"/>
          </w:tcPr>
          <w:p>
            <w:pPr>
              <w:spacing w:line="240" w:lineRule="auto"/>
              <w:jc w:val="center"/>
              <w:rPr>
                <w:sz w:val="21"/>
                <w:szCs w:val="21"/>
              </w:rPr>
            </w:pPr>
            <w:r>
              <w:rPr>
                <w:sz w:val="21"/>
                <w:szCs w:val="21"/>
              </w:rPr>
              <w:t>203765</w:t>
            </w:r>
          </w:p>
        </w:tc>
      </w:tr>
    </w:tbl>
    <w:p>
      <w:pPr>
        <w:pStyle w:val="6"/>
        <w:keepNext w:val="0"/>
        <w:keepLines w:val="0"/>
        <w:pageBreakBefore w:val="0"/>
        <w:widowControl w:val="0"/>
        <w:kinsoku/>
        <w:wordWrap/>
        <w:overflowPunct/>
        <w:topLinePunct w:val="0"/>
        <w:autoSpaceDE/>
        <w:autoSpaceDN/>
        <w:bidi w:val="0"/>
        <w:adjustRightInd/>
        <w:snapToGrid/>
        <w:spacing w:line="380" w:lineRule="exact"/>
        <w:ind w:firstLine="480"/>
        <w:textAlignment w:val="auto"/>
      </w:pPr>
      <w:r>
        <w:t>2.</w:t>
      </w:r>
      <w:r>
        <w:rPr>
          <w:rFonts w:hint="eastAsia"/>
        </w:rPr>
        <w:t xml:space="preserve"> </w:t>
      </w:r>
      <w:r>
        <w:t>教学设备</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pPr>
      <w:r>
        <w:t>近年来，依托农业资源与环境高水平专业群建设专项，先后投资购置了元素分析仪、根系扫描仪、荧光仪等大量的农业资源与环境专业实验装备，为该专业学生的实验实习奠定了良好的物质基础，设备运转完好率达到100％，充分保证了各层次实验教学的需要，使实验开出率达到100％。完善农业气象实验室和农业气象观测站，增加学生对气象数据观测和使用技能。</w:t>
      </w:r>
    </w:p>
    <w:p>
      <w:pPr>
        <w:pStyle w:val="6"/>
        <w:keepNext w:val="0"/>
        <w:keepLines w:val="0"/>
        <w:pageBreakBefore w:val="0"/>
        <w:widowControl w:val="0"/>
        <w:kinsoku/>
        <w:wordWrap/>
        <w:overflowPunct/>
        <w:topLinePunct w:val="0"/>
        <w:autoSpaceDE/>
        <w:autoSpaceDN/>
        <w:bidi w:val="0"/>
        <w:adjustRightInd/>
        <w:snapToGrid/>
        <w:spacing w:line="380" w:lineRule="exact"/>
        <w:ind w:firstLine="480"/>
        <w:textAlignment w:val="auto"/>
      </w:pPr>
      <w:r>
        <w:t>3.</w:t>
      </w:r>
      <w:r>
        <w:rPr>
          <w:rFonts w:hint="eastAsia"/>
        </w:rPr>
        <w:t xml:space="preserve"> </w:t>
      </w:r>
      <w:r>
        <w:t>师资队伍</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pPr>
      <w:r>
        <w:t>农业资源与环境专业现有专任教师35名，2022年从中国科学院大学引进一名博士后王超，山东农业大学毕业博士生曲兆鸣，二人入职即被聘为副教授。</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pPr>
      <w:r>
        <w:t>（1）学历结构：博士33人，硕士1人，学士1人，博士占比94.3%。</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pPr>
      <w:r>
        <w:t>（2）职称结构：教授13人，副教授18人，讲师4人。</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pPr>
      <w:r>
        <w:t>（3）年龄结构：50岁之上9人，40-50岁9人，30-40岁16人，30岁以下1人，平均年龄41.5岁。</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pPr>
      <w:r>
        <w:t>（4）学缘结构：教师队伍中任课教师博士毕业院校分别为德国亚琛工业大学、新加坡南阳理工大学、中国科学院南京土壤研究所、中国科学院沈阳应用生态研究所、中国科学院植物研究所、中国科学院发育所、浙江大学、山东大学、中国农业大学、南京农业大学、沈阳农业大学、中北大学、山东农业大学、内蒙古农业大学、湖南农业大学，学源结构合理。</w:t>
      </w:r>
    </w:p>
    <w:p>
      <w:pPr>
        <w:spacing w:line="240" w:lineRule="auto"/>
        <w:jc w:val="center"/>
        <w:rPr>
          <w:b/>
          <w:bCs/>
          <w:sz w:val="21"/>
          <w:szCs w:val="21"/>
        </w:rPr>
      </w:pPr>
      <w:r>
        <w:rPr>
          <w:b/>
          <w:bCs/>
          <w:sz w:val="21"/>
          <w:szCs w:val="21"/>
        </w:rPr>
        <w:t>表2  农业资源与环境专业师资队伍情况</w:t>
      </w:r>
    </w:p>
    <w:tbl>
      <w:tblPr>
        <w:tblStyle w:val="17"/>
        <w:tblW w:w="87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3"/>
        <w:gridCol w:w="1096"/>
        <w:gridCol w:w="791"/>
        <w:gridCol w:w="1279"/>
        <w:gridCol w:w="943"/>
        <w:gridCol w:w="36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blHeader/>
          <w:jc w:val="center"/>
        </w:trPr>
        <w:tc>
          <w:tcPr>
            <w:tcW w:w="943" w:type="dxa"/>
            <w:vAlign w:val="center"/>
          </w:tcPr>
          <w:p>
            <w:pPr>
              <w:spacing w:line="240" w:lineRule="auto"/>
              <w:jc w:val="center"/>
              <w:rPr>
                <w:b/>
                <w:bCs/>
                <w:sz w:val="21"/>
                <w:szCs w:val="21"/>
              </w:rPr>
            </w:pPr>
            <w:r>
              <w:rPr>
                <w:b/>
                <w:bCs/>
                <w:sz w:val="21"/>
                <w:szCs w:val="21"/>
              </w:rPr>
              <w:t>序号</w:t>
            </w:r>
          </w:p>
        </w:tc>
        <w:tc>
          <w:tcPr>
            <w:tcW w:w="1096" w:type="dxa"/>
            <w:vAlign w:val="center"/>
          </w:tcPr>
          <w:p>
            <w:pPr>
              <w:spacing w:line="240" w:lineRule="auto"/>
              <w:jc w:val="center"/>
              <w:rPr>
                <w:b/>
                <w:bCs/>
                <w:sz w:val="21"/>
                <w:szCs w:val="21"/>
              </w:rPr>
            </w:pPr>
            <w:r>
              <w:rPr>
                <w:b/>
                <w:bCs/>
                <w:sz w:val="21"/>
                <w:szCs w:val="21"/>
              </w:rPr>
              <w:t>姓  名</w:t>
            </w:r>
          </w:p>
        </w:tc>
        <w:tc>
          <w:tcPr>
            <w:tcW w:w="791" w:type="dxa"/>
            <w:vAlign w:val="center"/>
          </w:tcPr>
          <w:p>
            <w:pPr>
              <w:spacing w:line="240" w:lineRule="auto"/>
              <w:jc w:val="center"/>
              <w:rPr>
                <w:b/>
                <w:bCs/>
                <w:sz w:val="21"/>
                <w:szCs w:val="21"/>
              </w:rPr>
            </w:pPr>
            <w:r>
              <w:rPr>
                <w:b/>
                <w:bCs/>
                <w:sz w:val="21"/>
                <w:szCs w:val="21"/>
              </w:rPr>
              <w:t>年龄</w:t>
            </w:r>
          </w:p>
        </w:tc>
        <w:tc>
          <w:tcPr>
            <w:tcW w:w="1279" w:type="dxa"/>
            <w:vAlign w:val="center"/>
          </w:tcPr>
          <w:p>
            <w:pPr>
              <w:spacing w:line="240" w:lineRule="auto"/>
              <w:jc w:val="center"/>
              <w:rPr>
                <w:b/>
                <w:bCs/>
                <w:sz w:val="21"/>
                <w:szCs w:val="21"/>
              </w:rPr>
            </w:pPr>
            <w:r>
              <w:rPr>
                <w:b/>
                <w:bCs/>
                <w:sz w:val="21"/>
                <w:szCs w:val="21"/>
              </w:rPr>
              <w:t>职 称</w:t>
            </w:r>
          </w:p>
        </w:tc>
        <w:tc>
          <w:tcPr>
            <w:tcW w:w="943" w:type="dxa"/>
            <w:vAlign w:val="center"/>
          </w:tcPr>
          <w:p>
            <w:pPr>
              <w:spacing w:line="240" w:lineRule="auto"/>
              <w:jc w:val="center"/>
              <w:rPr>
                <w:b/>
                <w:bCs/>
                <w:sz w:val="21"/>
                <w:szCs w:val="21"/>
              </w:rPr>
            </w:pPr>
            <w:r>
              <w:rPr>
                <w:b/>
                <w:bCs/>
                <w:sz w:val="21"/>
                <w:szCs w:val="21"/>
              </w:rPr>
              <w:t>学位</w:t>
            </w:r>
          </w:p>
        </w:tc>
        <w:tc>
          <w:tcPr>
            <w:tcW w:w="3694" w:type="dxa"/>
            <w:vAlign w:val="center"/>
          </w:tcPr>
          <w:p>
            <w:pPr>
              <w:spacing w:line="240" w:lineRule="auto"/>
              <w:jc w:val="center"/>
              <w:rPr>
                <w:b/>
                <w:bCs/>
                <w:sz w:val="21"/>
                <w:szCs w:val="21"/>
              </w:rPr>
            </w:pPr>
            <w:r>
              <w:rPr>
                <w:b/>
                <w:bCs/>
                <w:sz w:val="21"/>
                <w:szCs w:val="21"/>
              </w:rPr>
              <w:t>毕业院校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1</w:t>
            </w:r>
          </w:p>
        </w:tc>
        <w:tc>
          <w:tcPr>
            <w:tcW w:w="1096" w:type="dxa"/>
            <w:vAlign w:val="center"/>
          </w:tcPr>
          <w:p>
            <w:pPr>
              <w:spacing w:line="240" w:lineRule="auto"/>
              <w:jc w:val="center"/>
              <w:rPr>
                <w:sz w:val="21"/>
                <w:szCs w:val="21"/>
              </w:rPr>
            </w:pPr>
            <w:r>
              <w:rPr>
                <w:sz w:val="21"/>
                <w:szCs w:val="21"/>
              </w:rPr>
              <w:t>张  民</w:t>
            </w:r>
          </w:p>
        </w:tc>
        <w:tc>
          <w:tcPr>
            <w:tcW w:w="791" w:type="dxa"/>
            <w:vAlign w:val="center"/>
          </w:tcPr>
          <w:p>
            <w:pPr>
              <w:spacing w:line="240" w:lineRule="auto"/>
              <w:jc w:val="center"/>
              <w:rPr>
                <w:sz w:val="21"/>
                <w:szCs w:val="21"/>
              </w:rPr>
            </w:pPr>
            <w:r>
              <w:rPr>
                <w:sz w:val="21"/>
                <w:szCs w:val="21"/>
              </w:rPr>
              <w:t>64</w:t>
            </w:r>
          </w:p>
        </w:tc>
        <w:tc>
          <w:tcPr>
            <w:tcW w:w="1279" w:type="dxa"/>
            <w:vAlign w:val="center"/>
          </w:tcPr>
          <w:p>
            <w:pPr>
              <w:spacing w:line="240" w:lineRule="auto"/>
              <w:jc w:val="center"/>
              <w:rPr>
                <w:sz w:val="21"/>
                <w:szCs w:val="21"/>
              </w:rPr>
            </w:pPr>
            <w:r>
              <w:rPr>
                <w:sz w:val="21"/>
                <w:szCs w:val="21"/>
              </w:rPr>
              <w:t>教  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中国科学院南京土壤研究所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2</w:t>
            </w:r>
          </w:p>
        </w:tc>
        <w:tc>
          <w:tcPr>
            <w:tcW w:w="1096" w:type="dxa"/>
            <w:vAlign w:val="center"/>
          </w:tcPr>
          <w:p>
            <w:pPr>
              <w:spacing w:line="240" w:lineRule="auto"/>
              <w:jc w:val="center"/>
              <w:rPr>
                <w:sz w:val="21"/>
                <w:szCs w:val="21"/>
              </w:rPr>
            </w:pPr>
            <w:r>
              <w:rPr>
                <w:sz w:val="21"/>
                <w:szCs w:val="21"/>
              </w:rPr>
              <w:t>李絮花</w:t>
            </w:r>
          </w:p>
        </w:tc>
        <w:tc>
          <w:tcPr>
            <w:tcW w:w="791" w:type="dxa"/>
            <w:vAlign w:val="center"/>
          </w:tcPr>
          <w:p>
            <w:pPr>
              <w:spacing w:line="240" w:lineRule="auto"/>
              <w:jc w:val="center"/>
              <w:rPr>
                <w:sz w:val="21"/>
                <w:szCs w:val="21"/>
              </w:rPr>
            </w:pPr>
            <w:r>
              <w:rPr>
                <w:sz w:val="21"/>
                <w:szCs w:val="21"/>
              </w:rPr>
              <w:t>58</w:t>
            </w:r>
          </w:p>
        </w:tc>
        <w:tc>
          <w:tcPr>
            <w:tcW w:w="1279" w:type="dxa"/>
            <w:vAlign w:val="center"/>
          </w:tcPr>
          <w:p>
            <w:pPr>
              <w:spacing w:line="240" w:lineRule="auto"/>
              <w:jc w:val="center"/>
              <w:rPr>
                <w:sz w:val="21"/>
                <w:szCs w:val="21"/>
              </w:rPr>
            </w:pPr>
            <w:r>
              <w:rPr>
                <w:sz w:val="21"/>
                <w:szCs w:val="21"/>
              </w:rPr>
              <w:t>教  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3</w:t>
            </w:r>
          </w:p>
        </w:tc>
        <w:tc>
          <w:tcPr>
            <w:tcW w:w="1096" w:type="dxa"/>
            <w:vAlign w:val="center"/>
          </w:tcPr>
          <w:p>
            <w:pPr>
              <w:spacing w:line="240" w:lineRule="auto"/>
              <w:jc w:val="center"/>
              <w:rPr>
                <w:sz w:val="21"/>
                <w:szCs w:val="21"/>
              </w:rPr>
            </w:pPr>
            <w:r>
              <w:rPr>
                <w:sz w:val="21"/>
                <w:szCs w:val="21"/>
              </w:rPr>
              <w:t>诸葛玉平</w:t>
            </w:r>
          </w:p>
        </w:tc>
        <w:tc>
          <w:tcPr>
            <w:tcW w:w="791" w:type="dxa"/>
            <w:vAlign w:val="center"/>
          </w:tcPr>
          <w:p>
            <w:pPr>
              <w:spacing w:line="240" w:lineRule="auto"/>
              <w:jc w:val="center"/>
              <w:rPr>
                <w:sz w:val="21"/>
                <w:szCs w:val="21"/>
              </w:rPr>
            </w:pPr>
            <w:r>
              <w:rPr>
                <w:sz w:val="21"/>
                <w:szCs w:val="21"/>
              </w:rPr>
              <w:t>53</w:t>
            </w:r>
          </w:p>
        </w:tc>
        <w:tc>
          <w:tcPr>
            <w:tcW w:w="1279" w:type="dxa"/>
            <w:vAlign w:val="center"/>
          </w:tcPr>
          <w:p>
            <w:pPr>
              <w:spacing w:line="240" w:lineRule="auto"/>
              <w:jc w:val="center"/>
              <w:rPr>
                <w:sz w:val="21"/>
                <w:szCs w:val="21"/>
              </w:rPr>
            </w:pPr>
            <w:r>
              <w:rPr>
                <w:sz w:val="21"/>
                <w:szCs w:val="21"/>
              </w:rPr>
              <w:t>教  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沈阳农业大学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4</w:t>
            </w:r>
          </w:p>
        </w:tc>
        <w:tc>
          <w:tcPr>
            <w:tcW w:w="1096" w:type="dxa"/>
            <w:vAlign w:val="center"/>
          </w:tcPr>
          <w:p>
            <w:pPr>
              <w:spacing w:line="240" w:lineRule="auto"/>
              <w:jc w:val="center"/>
              <w:rPr>
                <w:sz w:val="21"/>
                <w:szCs w:val="21"/>
              </w:rPr>
            </w:pPr>
            <w:r>
              <w:rPr>
                <w:sz w:val="21"/>
                <w:szCs w:val="21"/>
              </w:rPr>
              <w:t>陈为峰</w:t>
            </w:r>
          </w:p>
        </w:tc>
        <w:tc>
          <w:tcPr>
            <w:tcW w:w="791" w:type="dxa"/>
            <w:vAlign w:val="center"/>
          </w:tcPr>
          <w:p>
            <w:pPr>
              <w:spacing w:line="240" w:lineRule="auto"/>
              <w:jc w:val="center"/>
              <w:rPr>
                <w:sz w:val="21"/>
                <w:szCs w:val="21"/>
              </w:rPr>
            </w:pPr>
            <w:r>
              <w:rPr>
                <w:sz w:val="21"/>
                <w:szCs w:val="21"/>
              </w:rPr>
              <w:t>53</w:t>
            </w:r>
          </w:p>
        </w:tc>
        <w:tc>
          <w:tcPr>
            <w:tcW w:w="1279" w:type="dxa"/>
            <w:vAlign w:val="center"/>
          </w:tcPr>
          <w:p>
            <w:pPr>
              <w:spacing w:line="240" w:lineRule="auto"/>
              <w:jc w:val="center"/>
              <w:rPr>
                <w:sz w:val="21"/>
                <w:szCs w:val="21"/>
              </w:rPr>
            </w:pPr>
            <w:r>
              <w:rPr>
                <w:sz w:val="21"/>
                <w:szCs w:val="21"/>
              </w:rPr>
              <w:t>教  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5</w:t>
            </w:r>
          </w:p>
        </w:tc>
        <w:tc>
          <w:tcPr>
            <w:tcW w:w="1096" w:type="dxa"/>
            <w:vAlign w:val="center"/>
          </w:tcPr>
          <w:p>
            <w:pPr>
              <w:spacing w:line="240" w:lineRule="auto"/>
              <w:jc w:val="center"/>
              <w:rPr>
                <w:sz w:val="21"/>
                <w:szCs w:val="21"/>
              </w:rPr>
            </w:pPr>
            <w:r>
              <w:rPr>
                <w:sz w:val="21"/>
                <w:szCs w:val="21"/>
              </w:rPr>
              <w:t>李成亮</w:t>
            </w:r>
          </w:p>
        </w:tc>
        <w:tc>
          <w:tcPr>
            <w:tcW w:w="791" w:type="dxa"/>
            <w:vAlign w:val="center"/>
          </w:tcPr>
          <w:p>
            <w:pPr>
              <w:spacing w:line="240" w:lineRule="auto"/>
              <w:jc w:val="center"/>
              <w:rPr>
                <w:sz w:val="21"/>
                <w:szCs w:val="21"/>
              </w:rPr>
            </w:pPr>
            <w:r>
              <w:rPr>
                <w:sz w:val="21"/>
                <w:szCs w:val="21"/>
              </w:rPr>
              <w:t>46</w:t>
            </w:r>
          </w:p>
        </w:tc>
        <w:tc>
          <w:tcPr>
            <w:tcW w:w="1279" w:type="dxa"/>
            <w:vAlign w:val="center"/>
          </w:tcPr>
          <w:p>
            <w:pPr>
              <w:spacing w:line="240" w:lineRule="auto"/>
              <w:jc w:val="center"/>
              <w:rPr>
                <w:sz w:val="21"/>
                <w:szCs w:val="21"/>
              </w:rPr>
            </w:pPr>
            <w:r>
              <w:rPr>
                <w:sz w:val="21"/>
                <w:szCs w:val="21"/>
              </w:rPr>
              <w:t>教  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德国亚琛工业大学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6</w:t>
            </w:r>
          </w:p>
        </w:tc>
        <w:tc>
          <w:tcPr>
            <w:tcW w:w="1096" w:type="dxa"/>
            <w:vAlign w:val="center"/>
          </w:tcPr>
          <w:p>
            <w:pPr>
              <w:spacing w:line="240" w:lineRule="auto"/>
              <w:jc w:val="center"/>
              <w:rPr>
                <w:sz w:val="21"/>
                <w:szCs w:val="21"/>
              </w:rPr>
            </w:pPr>
            <w:r>
              <w:rPr>
                <w:sz w:val="21"/>
                <w:szCs w:val="21"/>
              </w:rPr>
              <w:t>杨越超</w:t>
            </w:r>
          </w:p>
        </w:tc>
        <w:tc>
          <w:tcPr>
            <w:tcW w:w="791" w:type="dxa"/>
            <w:vAlign w:val="center"/>
          </w:tcPr>
          <w:p>
            <w:pPr>
              <w:spacing w:line="240" w:lineRule="auto"/>
              <w:jc w:val="center"/>
              <w:rPr>
                <w:sz w:val="21"/>
                <w:szCs w:val="21"/>
              </w:rPr>
            </w:pPr>
            <w:r>
              <w:rPr>
                <w:sz w:val="21"/>
                <w:szCs w:val="21"/>
              </w:rPr>
              <w:t>48</w:t>
            </w:r>
          </w:p>
        </w:tc>
        <w:tc>
          <w:tcPr>
            <w:tcW w:w="1279" w:type="dxa"/>
            <w:vAlign w:val="center"/>
          </w:tcPr>
          <w:p>
            <w:pPr>
              <w:spacing w:line="240" w:lineRule="auto"/>
              <w:jc w:val="center"/>
              <w:rPr>
                <w:sz w:val="21"/>
                <w:szCs w:val="21"/>
              </w:rPr>
            </w:pPr>
            <w:r>
              <w:rPr>
                <w:sz w:val="21"/>
                <w:szCs w:val="21"/>
              </w:rPr>
              <w:t>教  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7</w:t>
            </w:r>
          </w:p>
        </w:tc>
        <w:tc>
          <w:tcPr>
            <w:tcW w:w="1096" w:type="dxa"/>
            <w:vAlign w:val="center"/>
          </w:tcPr>
          <w:p>
            <w:pPr>
              <w:spacing w:line="240" w:lineRule="auto"/>
              <w:jc w:val="center"/>
              <w:rPr>
                <w:sz w:val="21"/>
                <w:szCs w:val="21"/>
              </w:rPr>
            </w:pPr>
            <w:r>
              <w:rPr>
                <w:sz w:val="21"/>
                <w:szCs w:val="21"/>
              </w:rPr>
              <w:t>骆洪义</w:t>
            </w:r>
          </w:p>
        </w:tc>
        <w:tc>
          <w:tcPr>
            <w:tcW w:w="791" w:type="dxa"/>
            <w:vAlign w:val="center"/>
          </w:tcPr>
          <w:p>
            <w:pPr>
              <w:spacing w:line="240" w:lineRule="auto"/>
              <w:jc w:val="center"/>
              <w:rPr>
                <w:sz w:val="21"/>
                <w:szCs w:val="21"/>
              </w:rPr>
            </w:pPr>
            <w:r>
              <w:rPr>
                <w:sz w:val="21"/>
                <w:szCs w:val="21"/>
              </w:rPr>
              <w:t>57</w:t>
            </w:r>
          </w:p>
        </w:tc>
        <w:tc>
          <w:tcPr>
            <w:tcW w:w="1279" w:type="dxa"/>
            <w:vAlign w:val="center"/>
          </w:tcPr>
          <w:p>
            <w:pPr>
              <w:spacing w:line="240" w:lineRule="auto"/>
              <w:jc w:val="center"/>
              <w:rPr>
                <w:sz w:val="21"/>
                <w:szCs w:val="21"/>
              </w:rPr>
            </w:pPr>
            <w:r>
              <w:rPr>
                <w:sz w:val="21"/>
                <w:szCs w:val="21"/>
              </w:rPr>
              <w:t>教  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新加坡南阳理工大学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8</w:t>
            </w:r>
          </w:p>
        </w:tc>
        <w:tc>
          <w:tcPr>
            <w:tcW w:w="1096" w:type="dxa"/>
            <w:vAlign w:val="center"/>
          </w:tcPr>
          <w:p>
            <w:pPr>
              <w:spacing w:line="240" w:lineRule="auto"/>
              <w:jc w:val="center"/>
              <w:rPr>
                <w:sz w:val="21"/>
                <w:szCs w:val="21"/>
              </w:rPr>
            </w:pPr>
            <w:r>
              <w:rPr>
                <w:sz w:val="21"/>
                <w:szCs w:val="21"/>
              </w:rPr>
              <w:t>宋付朋</w:t>
            </w:r>
          </w:p>
        </w:tc>
        <w:tc>
          <w:tcPr>
            <w:tcW w:w="791" w:type="dxa"/>
            <w:vAlign w:val="center"/>
          </w:tcPr>
          <w:p>
            <w:pPr>
              <w:spacing w:line="240" w:lineRule="auto"/>
              <w:jc w:val="center"/>
              <w:rPr>
                <w:sz w:val="21"/>
                <w:szCs w:val="21"/>
              </w:rPr>
            </w:pPr>
            <w:r>
              <w:rPr>
                <w:sz w:val="21"/>
                <w:szCs w:val="21"/>
              </w:rPr>
              <w:t>50</w:t>
            </w:r>
          </w:p>
        </w:tc>
        <w:tc>
          <w:tcPr>
            <w:tcW w:w="1279" w:type="dxa"/>
            <w:vAlign w:val="center"/>
          </w:tcPr>
          <w:p>
            <w:pPr>
              <w:spacing w:line="240" w:lineRule="auto"/>
              <w:jc w:val="center"/>
              <w:rPr>
                <w:sz w:val="21"/>
                <w:szCs w:val="21"/>
              </w:rPr>
            </w:pPr>
            <w:r>
              <w:rPr>
                <w:sz w:val="21"/>
                <w:szCs w:val="21"/>
              </w:rPr>
              <w:t>教  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9</w:t>
            </w:r>
          </w:p>
        </w:tc>
        <w:tc>
          <w:tcPr>
            <w:tcW w:w="1096" w:type="dxa"/>
            <w:vAlign w:val="center"/>
          </w:tcPr>
          <w:p>
            <w:pPr>
              <w:spacing w:line="240" w:lineRule="auto"/>
              <w:jc w:val="center"/>
              <w:rPr>
                <w:sz w:val="21"/>
                <w:szCs w:val="21"/>
              </w:rPr>
            </w:pPr>
            <w:r>
              <w:rPr>
                <w:sz w:val="21"/>
                <w:szCs w:val="21"/>
              </w:rPr>
              <w:t>崔秀敏</w:t>
            </w:r>
          </w:p>
        </w:tc>
        <w:tc>
          <w:tcPr>
            <w:tcW w:w="791" w:type="dxa"/>
            <w:vAlign w:val="center"/>
          </w:tcPr>
          <w:p>
            <w:pPr>
              <w:spacing w:line="240" w:lineRule="auto"/>
              <w:jc w:val="center"/>
              <w:rPr>
                <w:sz w:val="21"/>
                <w:szCs w:val="21"/>
              </w:rPr>
            </w:pPr>
            <w:r>
              <w:rPr>
                <w:sz w:val="21"/>
                <w:szCs w:val="21"/>
              </w:rPr>
              <w:t>45</w:t>
            </w:r>
          </w:p>
        </w:tc>
        <w:tc>
          <w:tcPr>
            <w:tcW w:w="1279" w:type="dxa"/>
            <w:vAlign w:val="center"/>
          </w:tcPr>
          <w:p>
            <w:pPr>
              <w:spacing w:line="240" w:lineRule="auto"/>
              <w:jc w:val="center"/>
              <w:rPr>
                <w:sz w:val="21"/>
                <w:szCs w:val="21"/>
              </w:rPr>
            </w:pPr>
            <w:r>
              <w:rPr>
                <w:sz w:val="21"/>
                <w:szCs w:val="21"/>
              </w:rPr>
              <w:t>教  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10</w:t>
            </w:r>
          </w:p>
        </w:tc>
        <w:tc>
          <w:tcPr>
            <w:tcW w:w="1096" w:type="dxa"/>
            <w:vAlign w:val="center"/>
          </w:tcPr>
          <w:p>
            <w:pPr>
              <w:spacing w:line="240" w:lineRule="auto"/>
              <w:jc w:val="center"/>
              <w:rPr>
                <w:sz w:val="21"/>
                <w:szCs w:val="21"/>
              </w:rPr>
            </w:pPr>
            <w:r>
              <w:rPr>
                <w:sz w:val="21"/>
                <w:szCs w:val="21"/>
              </w:rPr>
              <w:t>董元杰</w:t>
            </w:r>
          </w:p>
        </w:tc>
        <w:tc>
          <w:tcPr>
            <w:tcW w:w="791" w:type="dxa"/>
            <w:vAlign w:val="center"/>
          </w:tcPr>
          <w:p>
            <w:pPr>
              <w:spacing w:line="240" w:lineRule="auto"/>
              <w:jc w:val="center"/>
              <w:rPr>
                <w:sz w:val="21"/>
                <w:szCs w:val="21"/>
              </w:rPr>
            </w:pPr>
            <w:r>
              <w:rPr>
                <w:sz w:val="21"/>
                <w:szCs w:val="21"/>
              </w:rPr>
              <w:t>45</w:t>
            </w:r>
          </w:p>
        </w:tc>
        <w:tc>
          <w:tcPr>
            <w:tcW w:w="1279" w:type="dxa"/>
            <w:vAlign w:val="center"/>
          </w:tcPr>
          <w:p>
            <w:pPr>
              <w:spacing w:line="240" w:lineRule="auto"/>
              <w:jc w:val="center"/>
              <w:rPr>
                <w:sz w:val="21"/>
                <w:szCs w:val="21"/>
              </w:rPr>
            </w:pPr>
            <w:r>
              <w:rPr>
                <w:sz w:val="21"/>
                <w:szCs w:val="21"/>
              </w:rPr>
              <w:t>教  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11</w:t>
            </w:r>
          </w:p>
        </w:tc>
        <w:tc>
          <w:tcPr>
            <w:tcW w:w="1096" w:type="dxa"/>
            <w:vAlign w:val="center"/>
          </w:tcPr>
          <w:p>
            <w:pPr>
              <w:spacing w:line="240" w:lineRule="auto"/>
              <w:jc w:val="center"/>
              <w:rPr>
                <w:sz w:val="21"/>
                <w:szCs w:val="21"/>
              </w:rPr>
            </w:pPr>
            <w:r>
              <w:rPr>
                <w:sz w:val="21"/>
                <w:szCs w:val="21"/>
              </w:rPr>
              <w:t>解志红</w:t>
            </w:r>
          </w:p>
        </w:tc>
        <w:tc>
          <w:tcPr>
            <w:tcW w:w="791" w:type="dxa"/>
            <w:vAlign w:val="center"/>
          </w:tcPr>
          <w:p>
            <w:pPr>
              <w:spacing w:line="240" w:lineRule="auto"/>
              <w:jc w:val="center"/>
              <w:rPr>
                <w:sz w:val="21"/>
                <w:szCs w:val="21"/>
              </w:rPr>
            </w:pPr>
            <w:r>
              <w:rPr>
                <w:sz w:val="21"/>
                <w:szCs w:val="21"/>
              </w:rPr>
              <w:t>46</w:t>
            </w:r>
          </w:p>
        </w:tc>
        <w:tc>
          <w:tcPr>
            <w:tcW w:w="1279" w:type="dxa"/>
            <w:vAlign w:val="center"/>
          </w:tcPr>
          <w:p>
            <w:pPr>
              <w:spacing w:line="240" w:lineRule="auto"/>
              <w:jc w:val="center"/>
              <w:rPr>
                <w:sz w:val="21"/>
                <w:szCs w:val="21"/>
              </w:rPr>
            </w:pPr>
            <w:r>
              <w:rPr>
                <w:sz w:val="21"/>
                <w:szCs w:val="21"/>
              </w:rPr>
              <w:t>教  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中国农业大学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12</w:t>
            </w:r>
          </w:p>
        </w:tc>
        <w:tc>
          <w:tcPr>
            <w:tcW w:w="1096" w:type="dxa"/>
            <w:vAlign w:val="center"/>
          </w:tcPr>
          <w:p>
            <w:pPr>
              <w:spacing w:line="240" w:lineRule="auto"/>
              <w:jc w:val="center"/>
              <w:rPr>
                <w:sz w:val="21"/>
                <w:szCs w:val="21"/>
              </w:rPr>
            </w:pPr>
            <w:r>
              <w:rPr>
                <w:sz w:val="21"/>
                <w:szCs w:val="21"/>
              </w:rPr>
              <w:t>李文庆</w:t>
            </w:r>
          </w:p>
        </w:tc>
        <w:tc>
          <w:tcPr>
            <w:tcW w:w="791" w:type="dxa"/>
            <w:vAlign w:val="center"/>
          </w:tcPr>
          <w:p>
            <w:pPr>
              <w:spacing w:line="240" w:lineRule="auto"/>
              <w:jc w:val="center"/>
              <w:rPr>
                <w:sz w:val="21"/>
                <w:szCs w:val="21"/>
              </w:rPr>
            </w:pPr>
            <w:r>
              <w:rPr>
                <w:sz w:val="21"/>
                <w:szCs w:val="21"/>
              </w:rPr>
              <w:t>57</w:t>
            </w:r>
          </w:p>
        </w:tc>
        <w:tc>
          <w:tcPr>
            <w:tcW w:w="1279" w:type="dxa"/>
            <w:vAlign w:val="center"/>
          </w:tcPr>
          <w:p>
            <w:pPr>
              <w:spacing w:line="240" w:lineRule="auto"/>
              <w:jc w:val="center"/>
              <w:rPr>
                <w:sz w:val="21"/>
                <w:szCs w:val="21"/>
              </w:rPr>
            </w:pPr>
            <w:r>
              <w:rPr>
                <w:sz w:val="21"/>
                <w:szCs w:val="21"/>
              </w:rPr>
              <w:t>副教授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13</w:t>
            </w:r>
          </w:p>
        </w:tc>
        <w:tc>
          <w:tcPr>
            <w:tcW w:w="1096" w:type="dxa"/>
            <w:vAlign w:val="center"/>
          </w:tcPr>
          <w:p>
            <w:pPr>
              <w:spacing w:line="240" w:lineRule="auto"/>
              <w:jc w:val="center"/>
              <w:rPr>
                <w:sz w:val="21"/>
                <w:szCs w:val="21"/>
              </w:rPr>
            </w:pPr>
            <w:r>
              <w:rPr>
                <w:sz w:val="21"/>
                <w:szCs w:val="21"/>
              </w:rPr>
              <w:t>杨守祥</w:t>
            </w:r>
          </w:p>
        </w:tc>
        <w:tc>
          <w:tcPr>
            <w:tcW w:w="791" w:type="dxa"/>
            <w:vAlign w:val="center"/>
          </w:tcPr>
          <w:p>
            <w:pPr>
              <w:spacing w:line="240" w:lineRule="auto"/>
              <w:jc w:val="center"/>
              <w:rPr>
                <w:sz w:val="21"/>
                <w:szCs w:val="21"/>
              </w:rPr>
            </w:pPr>
            <w:r>
              <w:rPr>
                <w:sz w:val="21"/>
                <w:szCs w:val="21"/>
              </w:rPr>
              <w:t>59</w:t>
            </w:r>
          </w:p>
        </w:tc>
        <w:tc>
          <w:tcPr>
            <w:tcW w:w="1279" w:type="dxa"/>
            <w:vAlign w:val="center"/>
          </w:tcPr>
          <w:p>
            <w:pPr>
              <w:spacing w:line="240" w:lineRule="auto"/>
              <w:jc w:val="center"/>
              <w:rPr>
                <w:sz w:val="21"/>
                <w:szCs w:val="21"/>
              </w:rPr>
            </w:pPr>
            <w:r>
              <w:rPr>
                <w:sz w:val="21"/>
                <w:szCs w:val="21"/>
              </w:rPr>
              <w:t>副教授</w:t>
            </w:r>
          </w:p>
        </w:tc>
        <w:tc>
          <w:tcPr>
            <w:tcW w:w="943" w:type="dxa"/>
            <w:vAlign w:val="center"/>
          </w:tcPr>
          <w:p>
            <w:pPr>
              <w:spacing w:line="240" w:lineRule="auto"/>
              <w:jc w:val="center"/>
              <w:rPr>
                <w:sz w:val="21"/>
                <w:szCs w:val="21"/>
              </w:rPr>
            </w:pPr>
            <w:r>
              <w:rPr>
                <w:sz w:val="21"/>
                <w:szCs w:val="21"/>
              </w:rPr>
              <w:t>学士</w:t>
            </w:r>
          </w:p>
        </w:tc>
        <w:tc>
          <w:tcPr>
            <w:tcW w:w="3694"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14</w:t>
            </w:r>
          </w:p>
        </w:tc>
        <w:tc>
          <w:tcPr>
            <w:tcW w:w="1096" w:type="dxa"/>
            <w:vAlign w:val="center"/>
          </w:tcPr>
          <w:p>
            <w:pPr>
              <w:spacing w:line="240" w:lineRule="auto"/>
              <w:jc w:val="center"/>
              <w:rPr>
                <w:sz w:val="21"/>
                <w:szCs w:val="21"/>
              </w:rPr>
            </w:pPr>
            <w:r>
              <w:rPr>
                <w:sz w:val="21"/>
                <w:szCs w:val="21"/>
              </w:rPr>
              <w:t>陈宝成</w:t>
            </w:r>
          </w:p>
        </w:tc>
        <w:tc>
          <w:tcPr>
            <w:tcW w:w="791" w:type="dxa"/>
            <w:vAlign w:val="center"/>
          </w:tcPr>
          <w:p>
            <w:pPr>
              <w:spacing w:line="240" w:lineRule="auto"/>
              <w:jc w:val="center"/>
              <w:rPr>
                <w:sz w:val="21"/>
                <w:szCs w:val="21"/>
              </w:rPr>
            </w:pPr>
            <w:r>
              <w:rPr>
                <w:sz w:val="21"/>
                <w:szCs w:val="21"/>
              </w:rPr>
              <w:t>53</w:t>
            </w:r>
          </w:p>
        </w:tc>
        <w:tc>
          <w:tcPr>
            <w:tcW w:w="1279" w:type="dxa"/>
            <w:vAlign w:val="center"/>
          </w:tcPr>
          <w:p>
            <w:pPr>
              <w:spacing w:line="240" w:lineRule="auto"/>
              <w:jc w:val="center"/>
              <w:rPr>
                <w:sz w:val="21"/>
                <w:szCs w:val="21"/>
              </w:rPr>
            </w:pPr>
            <w:r>
              <w:rPr>
                <w:sz w:val="21"/>
                <w:szCs w:val="21"/>
              </w:rPr>
              <w:t>教授</w:t>
            </w:r>
          </w:p>
        </w:tc>
        <w:tc>
          <w:tcPr>
            <w:tcW w:w="943" w:type="dxa"/>
            <w:vAlign w:val="center"/>
          </w:tcPr>
          <w:p>
            <w:pPr>
              <w:spacing w:line="240" w:lineRule="auto"/>
              <w:jc w:val="center"/>
              <w:rPr>
                <w:sz w:val="21"/>
                <w:szCs w:val="21"/>
              </w:rPr>
            </w:pPr>
            <w:r>
              <w:rPr>
                <w:sz w:val="21"/>
                <w:szCs w:val="21"/>
              </w:rPr>
              <w:t>硕士</w:t>
            </w:r>
          </w:p>
        </w:tc>
        <w:tc>
          <w:tcPr>
            <w:tcW w:w="3694"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15</w:t>
            </w:r>
          </w:p>
        </w:tc>
        <w:tc>
          <w:tcPr>
            <w:tcW w:w="1096" w:type="dxa"/>
            <w:vAlign w:val="center"/>
          </w:tcPr>
          <w:p>
            <w:pPr>
              <w:spacing w:line="240" w:lineRule="auto"/>
              <w:jc w:val="center"/>
              <w:rPr>
                <w:sz w:val="21"/>
                <w:szCs w:val="21"/>
              </w:rPr>
            </w:pPr>
            <w:r>
              <w:rPr>
                <w:sz w:val="21"/>
                <w:szCs w:val="21"/>
              </w:rPr>
              <w:t>孔凡美</w:t>
            </w:r>
          </w:p>
        </w:tc>
        <w:tc>
          <w:tcPr>
            <w:tcW w:w="791" w:type="dxa"/>
            <w:vAlign w:val="center"/>
          </w:tcPr>
          <w:p>
            <w:pPr>
              <w:spacing w:line="240" w:lineRule="auto"/>
              <w:jc w:val="center"/>
              <w:rPr>
                <w:sz w:val="21"/>
                <w:szCs w:val="21"/>
              </w:rPr>
            </w:pPr>
            <w:r>
              <w:rPr>
                <w:sz w:val="21"/>
                <w:szCs w:val="21"/>
              </w:rPr>
              <w:t>44</w:t>
            </w:r>
          </w:p>
        </w:tc>
        <w:tc>
          <w:tcPr>
            <w:tcW w:w="1279" w:type="dxa"/>
            <w:vAlign w:val="center"/>
          </w:tcPr>
          <w:p>
            <w:pPr>
              <w:spacing w:line="240" w:lineRule="auto"/>
              <w:jc w:val="center"/>
              <w:rPr>
                <w:sz w:val="21"/>
                <w:szCs w:val="21"/>
              </w:rPr>
            </w:pPr>
            <w:r>
              <w:rPr>
                <w:sz w:val="21"/>
                <w:szCs w:val="21"/>
              </w:rPr>
              <w:t>副教授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16</w:t>
            </w:r>
          </w:p>
        </w:tc>
        <w:tc>
          <w:tcPr>
            <w:tcW w:w="1096" w:type="dxa"/>
            <w:vAlign w:val="center"/>
          </w:tcPr>
          <w:p>
            <w:pPr>
              <w:spacing w:line="240" w:lineRule="auto"/>
              <w:jc w:val="center"/>
              <w:rPr>
                <w:sz w:val="21"/>
                <w:szCs w:val="21"/>
              </w:rPr>
            </w:pPr>
            <w:r>
              <w:rPr>
                <w:sz w:val="21"/>
                <w:szCs w:val="21"/>
              </w:rPr>
              <w:t>申天琳</w:t>
            </w:r>
          </w:p>
        </w:tc>
        <w:tc>
          <w:tcPr>
            <w:tcW w:w="791" w:type="dxa"/>
            <w:vAlign w:val="center"/>
          </w:tcPr>
          <w:p>
            <w:pPr>
              <w:spacing w:line="240" w:lineRule="auto"/>
              <w:jc w:val="center"/>
              <w:rPr>
                <w:sz w:val="21"/>
                <w:szCs w:val="21"/>
              </w:rPr>
            </w:pPr>
            <w:r>
              <w:rPr>
                <w:sz w:val="21"/>
                <w:szCs w:val="21"/>
              </w:rPr>
              <w:t>37</w:t>
            </w:r>
          </w:p>
        </w:tc>
        <w:tc>
          <w:tcPr>
            <w:tcW w:w="1279" w:type="dxa"/>
            <w:vAlign w:val="center"/>
          </w:tcPr>
          <w:p>
            <w:pPr>
              <w:spacing w:line="240" w:lineRule="auto"/>
              <w:jc w:val="center"/>
              <w:rPr>
                <w:sz w:val="21"/>
                <w:szCs w:val="21"/>
              </w:rPr>
            </w:pPr>
            <w:r>
              <w:rPr>
                <w:sz w:val="21"/>
                <w:szCs w:val="21"/>
              </w:rPr>
              <w:t>教授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山东大学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17</w:t>
            </w:r>
          </w:p>
        </w:tc>
        <w:tc>
          <w:tcPr>
            <w:tcW w:w="1096" w:type="dxa"/>
            <w:vAlign w:val="center"/>
          </w:tcPr>
          <w:p>
            <w:pPr>
              <w:spacing w:line="240" w:lineRule="auto"/>
              <w:jc w:val="center"/>
              <w:rPr>
                <w:sz w:val="21"/>
                <w:szCs w:val="21"/>
              </w:rPr>
            </w:pPr>
            <w:r>
              <w:rPr>
                <w:sz w:val="21"/>
                <w:szCs w:val="21"/>
              </w:rPr>
              <w:t>程冬冬</w:t>
            </w:r>
          </w:p>
        </w:tc>
        <w:tc>
          <w:tcPr>
            <w:tcW w:w="791" w:type="dxa"/>
            <w:vAlign w:val="center"/>
          </w:tcPr>
          <w:p>
            <w:pPr>
              <w:spacing w:line="240" w:lineRule="auto"/>
              <w:jc w:val="center"/>
              <w:rPr>
                <w:sz w:val="21"/>
                <w:szCs w:val="21"/>
              </w:rPr>
            </w:pPr>
            <w:r>
              <w:rPr>
                <w:sz w:val="21"/>
                <w:szCs w:val="21"/>
              </w:rPr>
              <w:t>39</w:t>
            </w:r>
          </w:p>
        </w:tc>
        <w:tc>
          <w:tcPr>
            <w:tcW w:w="1279" w:type="dxa"/>
            <w:vAlign w:val="center"/>
          </w:tcPr>
          <w:p>
            <w:pPr>
              <w:spacing w:line="240" w:lineRule="auto"/>
              <w:jc w:val="center"/>
              <w:rPr>
                <w:sz w:val="21"/>
                <w:szCs w:val="21"/>
              </w:rPr>
            </w:pPr>
            <w:r>
              <w:rPr>
                <w:sz w:val="21"/>
                <w:szCs w:val="21"/>
              </w:rPr>
              <w:t>副教授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中北大学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18</w:t>
            </w:r>
          </w:p>
        </w:tc>
        <w:tc>
          <w:tcPr>
            <w:tcW w:w="1096" w:type="dxa"/>
            <w:vAlign w:val="center"/>
          </w:tcPr>
          <w:p>
            <w:pPr>
              <w:spacing w:line="240" w:lineRule="auto"/>
              <w:jc w:val="center"/>
              <w:rPr>
                <w:sz w:val="21"/>
                <w:szCs w:val="21"/>
              </w:rPr>
            </w:pPr>
            <w:r>
              <w:rPr>
                <w:sz w:val="21"/>
                <w:szCs w:val="21"/>
              </w:rPr>
              <w:t>李永强</w:t>
            </w:r>
          </w:p>
        </w:tc>
        <w:tc>
          <w:tcPr>
            <w:tcW w:w="791" w:type="dxa"/>
            <w:vAlign w:val="center"/>
          </w:tcPr>
          <w:p>
            <w:pPr>
              <w:spacing w:line="240" w:lineRule="auto"/>
              <w:jc w:val="center"/>
              <w:rPr>
                <w:sz w:val="21"/>
                <w:szCs w:val="21"/>
              </w:rPr>
            </w:pPr>
            <w:r>
              <w:rPr>
                <w:sz w:val="21"/>
                <w:szCs w:val="21"/>
              </w:rPr>
              <w:t>46</w:t>
            </w:r>
          </w:p>
        </w:tc>
        <w:tc>
          <w:tcPr>
            <w:tcW w:w="1279" w:type="dxa"/>
            <w:vAlign w:val="center"/>
          </w:tcPr>
          <w:p>
            <w:pPr>
              <w:spacing w:line="240" w:lineRule="auto"/>
              <w:jc w:val="center"/>
              <w:rPr>
                <w:sz w:val="21"/>
                <w:szCs w:val="21"/>
              </w:rPr>
            </w:pPr>
            <w:r>
              <w:rPr>
                <w:sz w:val="21"/>
                <w:szCs w:val="21"/>
              </w:rPr>
              <w:t>副教授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内蒙古农业大学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19</w:t>
            </w:r>
          </w:p>
        </w:tc>
        <w:tc>
          <w:tcPr>
            <w:tcW w:w="1096" w:type="dxa"/>
            <w:vAlign w:val="center"/>
          </w:tcPr>
          <w:p>
            <w:pPr>
              <w:spacing w:line="240" w:lineRule="auto"/>
              <w:jc w:val="center"/>
              <w:rPr>
                <w:sz w:val="21"/>
                <w:szCs w:val="21"/>
              </w:rPr>
            </w:pPr>
            <w:r>
              <w:rPr>
                <w:sz w:val="21"/>
                <w:szCs w:val="21"/>
              </w:rPr>
              <w:t>娄燕宏</w:t>
            </w:r>
          </w:p>
        </w:tc>
        <w:tc>
          <w:tcPr>
            <w:tcW w:w="791" w:type="dxa"/>
            <w:vAlign w:val="center"/>
          </w:tcPr>
          <w:p>
            <w:pPr>
              <w:spacing w:line="240" w:lineRule="auto"/>
              <w:jc w:val="center"/>
              <w:rPr>
                <w:sz w:val="21"/>
                <w:szCs w:val="21"/>
              </w:rPr>
            </w:pPr>
            <w:r>
              <w:rPr>
                <w:sz w:val="21"/>
                <w:szCs w:val="21"/>
              </w:rPr>
              <w:t>37</w:t>
            </w:r>
          </w:p>
        </w:tc>
        <w:tc>
          <w:tcPr>
            <w:tcW w:w="1279" w:type="dxa"/>
            <w:vAlign w:val="center"/>
          </w:tcPr>
          <w:p>
            <w:pPr>
              <w:spacing w:line="240" w:lineRule="auto"/>
              <w:jc w:val="center"/>
              <w:rPr>
                <w:sz w:val="21"/>
                <w:szCs w:val="21"/>
              </w:rPr>
            </w:pPr>
            <w:r>
              <w:rPr>
                <w:sz w:val="21"/>
                <w:szCs w:val="21"/>
              </w:rPr>
              <w:t>副教授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湖南农业大学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20</w:t>
            </w:r>
          </w:p>
        </w:tc>
        <w:tc>
          <w:tcPr>
            <w:tcW w:w="1096" w:type="dxa"/>
            <w:vAlign w:val="center"/>
          </w:tcPr>
          <w:p>
            <w:pPr>
              <w:spacing w:line="240" w:lineRule="auto"/>
              <w:jc w:val="center"/>
              <w:rPr>
                <w:sz w:val="21"/>
                <w:szCs w:val="21"/>
              </w:rPr>
            </w:pPr>
            <w:r>
              <w:rPr>
                <w:sz w:val="21"/>
                <w:szCs w:val="21"/>
              </w:rPr>
              <w:t>刘之广</w:t>
            </w:r>
          </w:p>
        </w:tc>
        <w:tc>
          <w:tcPr>
            <w:tcW w:w="791" w:type="dxa"/>
            <w:vAlign w:val="center"/>
          </w:tcPr>
          <w:p>
            <w:pPr>
              <w:spacing w:line="240" w:lineRule="auto"/>
              <w:jc w:val="center"/>
              <w:rPr>
                <w:sz w:val="21"/>
                <w:szCs w:val="21"/>
              </w:rPr>
            </w:pPr>
            <w:r>
              <w:rPr>
                <w:sz w:val="21"/>
                <w:szCs w:val="21"/>
              </w:rPr>
              <w:t>35</w:t>
            </w:r>
          </w:p>
        </w:tc>
        <w:tc>
          <w:tcPr>
            <w:tcW w:w="1279" w:type="dxa"/>
            <w:vAlign w:val="center"/>
          </w:tcPr>
          <w:p>
            <w:pPr>
              <w:spacing w:line="240" w:lineRule="auto"/>
              <w:jc w:val="center"/>
              <w:rPr>
                <w:sz w:val="21"/>
                <w:szCs w:val="21"/>
              </w:rPr>
            </w:pPr>
            <w:r>
              <w:rPr>
                <w:sz w:val="21"/>
                <w:szCs w:val="21"/>
              </w:rPr>
              <w:t>副教授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21</w:t>
            </w:r>
          </w:p>
        </w:tc>
        <w:tc>
          <w:tcPr>
            <w:tcW w:w="1096" w:type="dxa"/>
            <w:vAlign w:val="center"/>
          </w:tcPr>
          <w:p>
            <w:pPr>
              <w:spacing w:line="240" w:lineRule="auto"/>
              <w:jc w:val="center"/>
              <w:rPr>
                <w:sz w:val="21"/>
                <w:szCs w:val="21"/>
              </w:rPr>
            </w:pPr>
            <w:r>
              <w:rPr>
                <w:sz w:val="21"/>
                <w:szCs w:val="21"/>
              </w:rPr>
              <w:t>杨全刚</w:t>
            </w:r>
          </w:p>
        </w:tc>
        <w:tc>
          <w:tcPr>
            <w:tcW w:w="791" w:type="dxa"/>
            <w:vAlign w:val="center"/>
          </w:tcPr>
          <w:p>
            <w:pPr>
              <w:spacing w:line="240" w:lineRule="auto"/>
              <w:jc w:val="center"/>
              <w:rPr>
                <w:sz w:val="21"/>
                <w:szCs w:val="21"/>
              </w:rPr>
            </w:pPr>
            <w:r>
              <w:rPr>
                <w:sz w:val="21"/>
                <w:szCs w:val="21"/>
              </w:rPr>
              <w:t>47</w:t>
            </w:r>
          </w:p>
        </w:tc>
        <w:tc>
          <w:tcPr>
            <w:tcW w:w="1279" w:type="dxa"/>
            <w:vAlign w:val="center"/>
          </w:tcPr>
          <w:p>
            <w:pPr>
              <w:spacing w:line="240" w:lineRule="auto"/>
              <w:jc w:val="center"/>
              <w:rPr>
                <w:sz w:val="21"/>
                <w:szCs w:val="21"/>
              </w:rPr>
            </w:pPr>
            <w:r>
              <w:rPr>
                <w:sz w:val="21"/>
                <w:szCs w:val="21"/>
              </w:rPr>
              <w:t>副教授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22</w:t>
            </w:r>
          </w:p>
        </w:tc>
        <w:tc>
          <w:tcPr>
            <w:tcW w:w="1096" w:type="dxa"/>
            <w:vAlign w:val="center"/>
          </w:tcPr>
          <w:p>
            <w:pPr>
              <w:spacing w:line="240" w:lineRule="auto"/>
              <w:jc w:val="center"/>
              <w:rPr>
                <w:sz w:val="21"/>
                <w:szCs w:val="21"/>
              </w:rPr>
            </w:pPr>
            <w:r>
              <w:rPr>
                <w:sz w:val="21"/>
                <w:szCs w:val="21"/>
              </w:rPr>
              <w:t>潘  红</w:t>
            </w:r>
          </w:p>
        </w:tc>
        <w:tc>
          <w:tcPr>
            <w:tcW w:w="791" w:type="dxa"/>
            <w:vAlign w:val="center"/>
          </w:tcPr>
          <w:p>
            <w:pPr>
              <w:spacing w:line="240" w:lineRule="auto"/>
              <w:jc w:val="center"/>
              <w:rPr>
                <w:sz w:val="21"/>
                <w:szCs w:val="21"/>
              </w:rPr>
            </w:pPr>
            <w:r>
              <w:rPr>
                <w:sz w:val="21"/>
                <w:szCs w:val="21"/>
              </w:rPr>
              <w:t>32</w:t>
            </w:r>
          </w:p>
        </w:tc>
        <w:tc>
          <w:tcPr>
            <w:tcW w:w="1279" w:type="dxa"/>
            <w:vAlign w:val="center"/>
          </w:tcPr>
          <w:p>
            <w:pPr>
              <w:spacing w:line="240" w:lineRule="auto"/>
              <w:jc w:val="center"/>
              <w:rPr>
                <w:sz w:val="21"/>
                <w:szCs w:val="21"/>
              </w:rPr>
            </w:pPr>
            <w:r>
              <w:rPr>
                <w:sz w:val="21"/>
                <w:szCs w:val="21"/>
              </w:rPr>
              <w:t>副教授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浙江大学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23</w:t>
            </w:r>
          </w:p>
        </w:tc>
        <w:tc>
          <w:tcPr>
            <w:tcW w:w="1096" w:type="dxa"/>
            <w:vAlign w:val="center"/>
          </w:tcPr>
          <w:p>
            <w:pPr>
              <w:spacing w:line="240" w:lineRule="auto"/>
              <w:jc w:val="center"/>
              <w:rPr>
                <w:sz w:val="21"/>
                <w:szCs w:val="21"/>
              </w:rPr>
            </w:pPr>
            <w:r>
              <w:rPr>
                <w:sz w:val="21"/>
                <w:szCs w:val="21"/>
              </w:rPr>
              <w:t>解加卓</w:t>
            </w:r>
          </w:p>
        </w:tc>
        <w:tc>
          <w:tcPr>
            <w:tcW w:w="791" w:type="dxa"/>
            <w:vAlign w:val="center"/>
          </w:tcPr>
          <w:p>
            <w:pPr>
              <w:spacing w:line="240" w:lineRule="auto"/>
              <w:jc w:val="center"/>
              <w:rPr>
                <w:sz w:val="21"/>
                <w:szCs w:val="21"/>
              </w:rPr>
            </w:pPr>
            <w:r>
              <w:rPr>
                <w:sz w:val="21"/>
                <w:szCs w:val="21"/>
              </w:rPr>
              <w:t>31</w:t>
            </w:r>
          </w:p>
        </w:tc>
        <w:tc>
          <w:tcPr>
            <w:tcW w:w="1279" w:type="dxa"/>
            <w:vAlign w:val="center"/>
          </w:tcPr>
          <w:p>
            <w:pPr>
              <w:spacing w:line="240" w:lineRule="auto"/>
              <w:jc w:val="center"/>
              <w:rPr>
                <w:sz w:val="21"/>
                <w:szCs w:val="21"/>
              </w:rPr>
            </w:pPr>
            <w:r>
              <w:rPr>
                <w:sz w:val="21"/>
                <w:szCs w:val="21"/>
              </w:rPr>
              <w:t>副教授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24</w:t>
            </w:r>
          </w:p>
        </w:tc>
        <w:tc>
          <w:tcPr>
            <w:tcW w:w="1096" w:type="dxa"/>
            <w:vAlign w:val="center"/>
          </w:tcPr>
          <w:p>
            <w:pPr>
              <w:spacing w:line="240" w:lineRule="auto"/>
              <w:jc w:val="center"/>
              <w:rPr>
                <w:sz w:val="21"/>
                <w:szCs w:val="21"/>
              </w:rPr>
            </w:pPr>
            <w:r>
              <w:rPr>
                <w:sz w:val="21"/>
                <w:szCs w:val="21"/>
              </w:rPr>
              <w:t>张淑刚</w:t>
            </w:r>
          </w:p>
        </w:tc>
        <w:tc>
          <w:tcPr>
            <w:tcW w:w="791" w:type="dxa"/>
            <w:vAlign w:val="center"/>
          </w:tcPr>
          <w:p>
            <w:pPr>
              <w:spacing w:line="240" w:lineRule="auto"/>
              <w:jc w:val="center"/>
              <w:rPr>
                <w:sz w:val="21"/>
                <w:szCs w:val="21"/>
              </w:rPr>
            </w:pPr>
            <w:r>
              <w:rPr>
                <w:sz w:val="21"/>
                <w:szCs w:val="21"/>
              </w:rPr>
              <w:t>31</w:t>
            </w:r>
          </w:p>
        </w:tc>
        <w:tc>
          <w:tcPr>
            <w:tcW w:w="1279" w:type="dxa"/>
            <w:vAlign w:val="center"/>
          </w:tcPr>
          <w:p>
            <w:pPr>
              <w:spacing w:line="240" w:lineRule="auto"/>
              <w:jc w:val="center"/>
              <w:rPr>
                <w:sz w:val="21"/>
                <w:szCs w:val="21"/>
              </w:rPr>
            </w:pPr>
            <w:r>
              <w:rPr>
                <w:sz w:val="21"/>
                <w:szCs w:val="21"/>
              </w:rPr>
              <w:t>副教授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25</w:t>
            </w:r>
          </w:p>
        </w:tc>
        <w:tc>
          <w:tcPr>
            <w:tcW w:w="1096" w:type="dxa"/>
            <w:vAlign w:val="center"/>
          </w:tcPr>
          <w:p>
            <w:pPr>
              <w:spacing w:line="240" w:lineRule="auto"/>
              <w:jc w:val="center"/>
              <w:rPr>
                <w:sz w:val="21"/>
                <w:szCs w:val="21"/>
              </w:rPr>
            </w:pPr>
            <w:r>
              <w:rPr>
                <w:sz w:val="21"/>
                <w:szCs w:val="21"/>
              </w:rPr>
              <w:t>张小村</w:t>
            </w:r>
          </w:p>
        </w:tc>
        <w:tc>
          <w:tcPr>
            <w:tcW w:w="791" w:type="dxa"/>
            <w:vAlign w:val="center"/>
          </w:tcPr>
          <w:p>
            <w:pPr>
              <w:spacing w:line="240" w:lineRule="auto"/>
              <w:jc w:val="center"/>
              <w:rPr>
                <w:sz w:val="21"/>
                <w:szCs w:val="21"/>
              </w:rPr>
            </w:pPr>
            <w:r>
              <w:rPr>
                <w:sz w:val="21"/>
                <w:szCs w:val="21"/>
              </w:rPr>
              <w:t>44</w:t>
            </w:r>
          </w:p>
        </w:tc>
        <w:tc>
          <w:tcPr>
            <w:tcW w:w="1279" w:type="dxa"/>
            <w:vAlign w:val="center"/>
          </w:tcPr>
          <w:p>
            <w:pPr>
              <w:spacing w:line="240" w:lineRule="auto"/>
              <w:jc w:val="center"/>
              <w:rPr>
                <w:sz w:val="21"/>
                <w:szCs w:val="21"/>
              </w:rPr>
            </w:pPr>
            <w:r>
              <w:rPr>
                <w:sz w:val="21"/>
                <w:szCs w:val="21"/>
              </w:rPr>
              <w:t>副教授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26</w:t>
            </w:r>
          </w:p>
        </w:tc>
        <w:tc>
          <w:tcPr>
            <w:tcW w:w="1096" w:type="dxa"/>
            <w:vAlign w:val="center"/>
          </w:tcPr>
          <w:p>
            <w:pPr>
              <w:spacing w:line="240" w:lineRule="auto"/>
              <w:jc w:val="center"/>
              <w:rPr>
                <w:sz w:val="21"/>
                <w:szCs w:val="21"/>
              </w:rPr>
            </w:pPr>
            <w:r>
              <w:rPr>
                <w:sz w:val="21"/>
                <w:szCs w:val="21"/>
              </w:rPr>
              <w:t>姚媛媛</w:t>
            </w:r>
          </w:p>
        </w:tc>
        <w:tc>
          <w:tcPr>
            <w:tcW w:w="791" w:type="dxa"/>
            <w:vAlign w:val="center"/>
          </w:tcPr>
          <w:p>
            <w:pPr>
              <w:spacing w:line="240" w:lineRule="auto"/>
              <w:jc w:val="center"/>
              <w:rPr>
                <w:sz w:val="21"/>
                <w:szCs w:val="21"/>
              </w:rPr>
            </w:pPr>
            <w:r>
              <w:rPr>
                <w:sz w:val="21"/>
                <w:szCs w:val="21"/>
              </w:rPr>
              <w:t>32</w:t>
            </w:r>
          </w:p>
        </w:tc>
        <w:tc>
          <w:tcPr>
            <w:tcW w:w="1279" w:type="dxa"/>
            <w:vAlign w:val="center"/>
          </w:tcPr>
          <w:p>
            <w:pPr>
              <w:spacing w:line="240" w:lineRule="auto"/>
              <w:jc w:val="center"/>
              <w:rPr>
                <w:sz w:val="21"/>
                <w:szCs w:val="21"/>
              </w:rPr>
            </w:pPr>
            <w:r>
              <w:rPr>
                <w:sz w:val="21"/>
                <w:szCs w:val="21"/>
              </w:rPr>
              <w:t>副教授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27</w:t>
            </w:r>
          </w:p>
        </w:tc>
        <w:tc>
          <w:tcPr>
            <w:tcW w:w="1096" w:type="dxa"/>
            <w:vAlign w:val="center"/>
          </w:tcPr>
          <w:p>
            <w:pPr>
              <w:spacing w:line="240" w:lineRule="auto"/>
              <w:jc w:val="center"/>
              <w:rPr>
                <w:sz w:val="21"/>
                <w:szCs w:val="21"/>
              </w:rPr>
            </w:pPr>
            <w:r>
              <w:rPr>
                <w:sz w:val="21"/>
                <w:szCs w:val="21"/>
              </w:rPr>
              <w:t>王  会</w:t>
            </w:r>
          </w:p>
        </w:tc>
        <w:tc>
          <w:tcPr>
            <w:tcW w:w="791" w:type="dxa"/>
            <w:vAlign w:val="center"/>
          </w:tcPr>
          <w:p>
            <w:pPr>
              <w:spacing w:line="240" w:lineRule="auto"/>
              <w:jc w:val="center"/>
              <w:rPr>
                <w:sz w:val="21"/>
                <w:szCs w:val="21"/>
              </w:rPr>
            </w:pPr>
            <w:r>
              <w:rPr>
                <w:sz w:val="21"/>
                <w:szCs w:val="21"/>
              </w:rPr>
              <w:t>33</w:t>
            </w:r>
          </w:p>
        </w:tc>
        <w:tc>
          <w:tcPr>
            <w:tcW w:w="1279" w:type="dxa"/>
            <w:vAlign w:val="center"/>
          </w:tcPr>
          <w:p>
            <w:pPr>
              <w:spacing w:line="240" w:lineRule="auto"/>
              <w:jc w:val="center"/>
              <w:rPr>
                <w:sz w:val="21"/>
                <w:szCs w:val="21"/>
              </w:rPr>
            </w:pPr>
            <w:r>
              <w:rPr>
                <w:sz w:val="21"/>
                <w:szCs w:val="21"/>
              </w:rPr>
              <w:t>副教授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中国科学院沈阳应用生态研究所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28</w:t>
            </w:r>
          </w:p>
        </w:tc>
        <w:tc>
          <w:tcPr>
            <w:tcW w:w="1096" w:type="dxa"/>
            <w:vAlign w:val="center"/>
          </w:tcPr>
          <w:p>
            <w:pPr>
              <w:spacing w:line="240" w:lineRule="auto"/>
              <w:jc w:val="center"/>
              <w:rPr>
                <w:sz w:val="21"/>
                <w:szCs w:val="21"/>
              </w:rPr>
            </w:pPr>
            <w:r>
              <w:rPr>
                <w:sz w:val="21"/>
                <w:szCs w:val="21"/>
              </w:rPr>
              <w:t>胡国庆</w:t>
            </w:r>
          </w:p>
        </w:tc>
        <w:tc>
          <w:tcPr>
            <w:tcW w:w="791" w:type="dxa"/>
            <w:vAlign w:val="center"/>
          </w:tcPr>
          <w:p>
            <w:pPr>
              <w:spacing w:line="240" w:lineRule="auto"/>
              <w:jc w:val="center"/>
              <w:rPr>
                <w:sz w:val="21"/>
                <w:szCs w:val="21"/>
              </w:rPr>
            </w:pPr>
            <w:r>
              <w:rPr>
                <w:sz w:val="21"/>
                <w:szCs w:val="21"/>
              </w:rPr>
              <w:t>37</w:t>
            </w:r>
          </w:p>
        </w:tc>
        <w:tc>
          <w:tcPr>
            <w:tcW w:w="1279" w:type="dxa"/>
            <w:vAlign w:val="center"/>
          </w:tcPr>
          <w:p>
            <w:pPr>
              <w:spacing w:line="240" w:lineRule="auto"/>
              <w:jc w:val="center"/>
              <w:rPr>
                <w:sz w:val="21"/>
                <w:szCs w:val="21"/>
              </w:rPr>
            </w:pPr>
            <w:r>
              <w:rPr>
                <w:sz w:val="21"/>
                <w:szCs w:val="21"/>
              </w:rPr>
              <w:t>副教授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中国科学院沈阳应用生态研究所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29</w:t>
            </w:r>
          </w:p>
        </w:tc>
        <w:tc>
          <w:tcPr>
            <w:tcW w:w="1096" w:type="dxa"/>
            <w:vAlign w:val="center"/>
          </w:tcPr>
          <w:p>
            <w:pPr>
              <w:spacing w:line="240" w:lineRule="auto"/>
              <w:jc w:val="center"/>
              <w:rPr>
                <w:sz w:val="21"/>
                <w:szCs w:val="21"/>
              </w:rPr>
            </w:pPr>
            <w:r>
              <w:rPr>
                <w:sz w:val="21"/>
                <w:szCs w:val="21"/>
              </w:rPr>
              <w:t>郑文魁</w:t>
            </w:r>
          </w:p>
        </w:tc>
        <w:tc>
          <w:tcPr>
            <w:tcW w:w="791" w:type="dxa"/>
            <w:vAlign w:val="center"/>
          </w:tcPr>
          <w:p>
            <w:pPr>
              <w:spacing w:line="240" w:lineRule="auto"/>
              <w:jc w:val="center"/>
              <w:rPr>
                <w:sz w:val="21"/>
                <w:szCs w:val="21"/>
              </w:rPr>
            </w:pPr>
            <w:r>
              <w:rPr>
                <w:sz w:val="21"/>
                <w:szCs w:val="21"/>
              </w:rPr>
              <w:t>33</w:t>
            </w:r>
          </w:p>
        </w:tc>
        <w:tc>
          <w:tcPr>
            <w:tcW w:w="1279" w:type="dxa"/>
            <w:vAlign w:val="center"/>
          </w:tcPr>
          <w:p>
            <w:pPr>
              <w:spacing w:line="240" w:lineRule="auto"/>
              <w:jc w:val="center"/>
              <w:rPr>
                <w:sz w:val="21"/>
                <w:szCs w:val="21"/>
              </w:rPr>
            </w:pPr>
            <w:r>
              <w:rPr>
                <w:sz w:val="21"/>
                <w:szCs w:val="21"/>
              </w:rPr>
              <w:t>讲  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山东农业大学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30</w:t>
            </w:r>
          </w:p>
        </w:tc>
        <w:tc>
          <w:tcPr>
            <w:tcW w:w="1096" w:type="dxa"/>
            <w:vAlign w:val="center"/>
          </w:tcPr>
          <w:p>
            <w:pPr>
              <w:spacing w:line="240" w:lineRule="auto"/>
              <w:jc w:val="center"/>
              <w:rPr>
                <w:sz w:val="21"/>
                <w:szCs w:val="21"/>
              </w:rPr>
            </w:pPr>
            <w:r>
              <w:rPr>
                <w:sz w:val="21"/>
                <w:szCs w:val="21"/>
              </w:rPr>
              <w:t>宋希亮</w:t>
            </w:r>
          </w:p>
        </w:tc>
        <w:tc>
          <w:tcPr>
            <w:tcW w:w="791" w:type="dxa"/>
            <w:vAlign w:val="center"/>
          </w:tcPr>
          <w:p>
            <w:pPr>
              <w:spacing w:line="240" w:lineRule="auto"/>
              <w:jc w:val="center"/>
              <w:rPr>
                <w:sz w:val="21"/>
                <w:szCs w:val="21"/>
              </w:rPr>
            </w:pPr>
            <w:r>
              <w:rPr>
                <w:sz w:val="21"/>
                <w:szCs w:val="21"/>
              </w:rPr>
              <w:t>34</w:t>
            </w:r>
          </w:p>
        </w:tc>
        <w:tc>
          <w:tcPr>
            <w:tcW w:w="1279" w:type="dxa"/>
            <w:vAlign w:val="center"/>
          </w:tcPr>
          <w:p>
            <w:pPr>
              <w:spacing w:line="240" w:lineRule="auto"/>
              <w:jc w:val="center"/>
              <w:rPr>
                <w:sz w:val="21"/>
                <w:szCs w:val="21"/>
              </w:rPr>
            </w:pPr>
            <w:r>
              <w:rPr>
                <w:sz w:val="21"/>
                <w:szCs w:val="21"/>
              </w:rPr>
              <w:t>讲  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中国科学院植物研究所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31</w:t>
            </w:r>
          </w:p>
        </w:tc>
        <w:tc>
          <w:tcPr>
            <w:tcW w:w="1096" w:type="dxa"/>
            <w:vAlign w:val="center"/>
          </w:tcPr>
          <w:p>
            <w:pPr>
              <w:spacing w:line="240" w:lineRule="auto"/>
              <w:jc w:val="center"/>
              <w:rPr>
                <w:sz w:val="21"/>
                <w:szCs w:val="21"/>
              </w:rPr>
            </w:pPr>
            <w:r>
              <w:rPr>
                <w:sz w:val="21"/>
                <w:szCs w:val="21"/>
              </w:rPr>
              <w:t>王丹丹</w:t>
            </w:r>
          </w:p>
        </w:tc>
        <w:tc>
          <w:tcPr>
            <w:tcW w:w="791" w:type="dxa"/>
            <w:vAlign w:val="center"/>
          </w:tcPr>
          <w:p>
            <w:pPr>
              <w:spacing w:line="240" w:lineRule="auto"/>
              <w:jc w:val="center"/>
              <w:rPr>
                <w:sz w:val="21"/>
                <w:szCs w:val="21"/>
              </w:rPr>
            </w:pPr>
            <w:r>
              <w:rPr>
                <w:sz w:val="21"/>
                <w:szCs w:val="21"/>
              </w:rPr>
              <w:t>33</w:t>
            </w:r>
          </w:p>
        </w:tc>
        <w:tc>
          <w:tcPr>
            <w:tcW w:w="1279" w:type="dxa"/>
            <w:vAlign w:val="center"/>
          </w:tcPr>
          <w:p>
            <w:pPr>
              <w:spacing w:line="240" w:lineRule="auto"/>
              <w:jc w:val="center"/>
              <w:rPr>
                <w:sz w:val="21"/>
                <w:szCs w:val="21"/>
              </w:rPr>
            </w:pPr>
            <w:r>
              <w:rPr>
                <w:sz w:val="21"/>
                <w:szCs w:val="21"/>
              </w:rPr>
              <w:t>讲  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南京农业大学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32</w:t>
            </w:r>
          </w:p>
        </w:tc>
        <w:tc>
          <w:tcPr>
            <w:tcW w:w="1096" w:type="dxa"/>
            <w:vAlign w:val="center"/>
          </w:tcPr>
          <w:p>
            <w:pPr>
              <w:spacing w:line="240" w:lineRule="auto"/>
              <w:jc w:val="center"/>
              <w:rPr>
                <w:sz w:val="21"/>
                <w:szCs w:val="21"/>
              </w:rPr>
            </w:pPr>
            <w:r>
              <w:rPr>
                <w:sz w:val="21"/>
                <w:szCs w:val="21"/>
              </w:rPr>
              <w:t>冯浩杰</w:t>
            </w:r>
          </w:p>
        </w:tc>
        <w:tc>
          <w:tcPr>
            <w:tcW w:w="791" w:type="dxa"/>
            <w:vAlign w:val="center"/>
          </w:tcPr>
          <w:p>
            <w:pPr>
              <w:spacing w:line="240" w:lineRule="auto"/>
              <w:jc w:val="center"/>
              <w:rPr>
                <w:sz w:val="21"/>
                <w:szCs w:val="21"/>
              </w:rPr>
            </w:pPr>
            <w:r>
              <w:rPr>
                <w:sz w:val="21"/>
                <w:szCs w:val="21"/>
              </w:rPr>
              <w:t>32</w:t>
            </w:r>
          </w:p>
        </w:tc>
        <w:tc>
          <w:tcPr>
            <w:tcW w:w="1279" w:type="dxa"/>
            <w:vAlign w:val="center"/>
          </w:tcPr>
          <w:p>
            <w:pPr>
              <w:spacing w:line="240" w:lineRule="auto"/>
              <w:jc w:val="center"/>
              <w:rPr>
                <w:sz w:val="21"/>
                <w:szCs w:val="21"/>
              </w:rPr>
            </w:pPr>
            <w:r>
              <w:rPr>
                <w:sz w:val="21"/>
                <w:szCs w:val="21"/>
              </w:rPr>
              <w:t>讲  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中国农业大学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33</w:t>
            </w:r>
          </w:p>
        </w:tc>
        <w:tc>
          <w:tcPr>
            <w:tcW w:w="1096" w:type="dxa"/>
            <w:vAlign w:val="center"/>
          </w:tcPr>
          <w:p>
            <w:pPr>
              <w:spacing w:line="240" w:lineRule="auto"/>
              <w:jc w:val="center"/>
              <w:rPr>
                <w:sz w:val="21"/>
                <w:szCs w:val="21"/>
              </w:rPr>
            </w:pPr>
            <w:r>
              <w:rPr>
                <w:sz w:val="21"/>
                <w:szCs w:val="21"/>
              </w:rPr>
              <w:t>殷志秋</w:t>
            </w:r>
          </w:p>
        </w:tc>
        <w:tc>
          <w:tcPr>
            <w:tcW w:w="791" w:type="dxa"/>
            <w:vAlign w:val="center"/>
          </w:tcPr>
          <w:p>
            <w:pPr>
              <w:spacing w:line="240" w:lineRule="auto"/>
              <w:jc w:val="center"/>
              <w:rPr>
                <w:sz w:val="21"/>
                <w:szCs w:val="21"/>
              </w:rPr>
            </w:pPr>
            <w:r>
              <w:rPr>
                <w:sz w:val="21"/>
                <w:szCs w:val="21"/>
              </w:rPr>
              <w:t>33</w:t>
            </w:r>
          </w:p>
        </w:tc>
        <w:tc>
          <w:tcPr>
            <w:tcW w:w="1279" w:type="dxa"/>
            <w:vAlign w:val="center"/>
          </w:tcPr>
          <w:p>
            <w:pPr>
              <w:spacing w:line="240" w:lineRule="auto"/>
              <w:jc w:val="center"/>
              <w:rPr>
                <w:sz w:val="21"/>
                <w:szCs w:val="21"/>
              </w:rPr>
            </w:pPr>
            <w:r>
              <w:rPr>
                <w:sz w:val="21"/>
                <w:szCs w:val="21"/>
              </w:rPr>
              <w:t>副教授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南开大学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34</w:t>
            </w:r>
          </w:p>
        </w:tc>
        <w:tc>
          <w:tcPr>
            <w:tcW w:w="1096" w:type="dxa"/>
            <w:vAlign w:val="center"/>
          </w:tcPr>
          <w:p>
            <w:pPr>
              <w:spacing w:line="240" w:lineRule="auto"/>
              <w:jc w:val="center"/>
              <w:rPr>
                <w:sz w:val="21"/>
                <w:szCs w:val="21"/>
              </w:rPr>
            </w:pPr>
            <w:r>
              <w:rPr>
                <w:sz w:val="21"/>
                <w:szCs w:val="21"/>
              </w:rPr>
              <w:t>王</w:t>
            </w:r>
            <w:r>
              <w:rPr>
                <w:rFonts w:hint="eastAsia"/>
                <w:sz w:val="21"/>
                <w:szCs w:val="21"/>
              </w:rPr>
              <w:t xml:space="preserve">  </w:t>
            </w:r>
            <w:r>
              <w:rPr>
                <w:sz w:val="21"/>
                <w:szCs w:val="21"/>
              </w:rPr>
              <w:t>超</w:t>
            </w:r>
          </w:p>
        </w:tc>
        <w:tc>
          <w:tcPr>
            <w:tcW w:w="791" w:type="dxa"/>
            <w:vAlign w:val="center"/>
          </w:tcPr>
          <w:p>
            <w:pPr>
              <w:spacing w:line="240" w:lineRule="auto"/>
              <w:jc w:val="center"/>
              <w:rPr>
                <w:sz w:val="21"/>
                <w:szCs w:val="21"/>
              </w:rPr>
            </w:pPr>
            <w:r>
              <w:rPr>
                <w:sz w:val="21"/>
                <w:szCs w:val="21"/>
              </w:rPr>
              <w:t>32</w:t>
            </w:r>
          </w:p>
        </w:tc>
        <w:tc>
          <w:tcPr>
            <w:tcW w:w="1279" w:type="dxa"/>
            <w:vAlign w:val="center"/>
          </w:tcPr>
          <w:p>
            <w:pPr>
              <w:spacing w:line="240" w:lineRule="auto"/>
              <w:jc w:val="center"/>
              <w:rPr>
                <w:sz w:val="21"/>
                <w:szCs w:val="21"/>
              </w:rPr>
            </w:pPr>
            <w:r>
              <w:rPr>
                <w:sz w:val="21"/>
                <w:szCs w:val="21"/>
              </w:rPr>
              <w:t>副教授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中国科学院大学发育所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943" w:type="dxa"/>
            <w:vAlign w:val="center"/>
          </w:tcPr>
          <w:p>
            <w:pPr>
              <w:spacing w:line="240" w:lineRule="auto"/>
              <w:jc w:val="center"/>
              <w:rPr>
                <w:sz w:val="21"/>
                <w:szCs w:val="21"/>
              </w:rPr>
            </w:pPr>
            <w:r>
              <w:rPr>
                <w:sz w:val="21"/>
                <w:szCs w:val="21"/>
              </w:rPr>
              <w:t>35</w:t>
            </w:r>
          </w:p>
        </w:tc>
        <w:tc>
          <w:tcPr>
            <w:tcW w:w="1096" w:type="dxa"/>
            <w:vAlign w:val="center"/>
          </w:tcPr>
          <w:p>
            <w:pPr>
              <w:spacing w:line="240" w:lineRule="auto"/>
              <w:jc w:val="center"/>
              <w:rPr>
                <w:sz w:val="21"/>
                <w:szCs w:val="21"/>
              </w:rPr>
            </w:pPr>
            <w:r>
              <w:rPr>
                <w:sz w:val="21"/>
                <w:szCs w:val="21"/>
              </w:rPr>
              <w:t>曲兆鸣</w:t>
            </w:r>
          </w:p>
        </w:tc>
        <w:tc>
          <w:tcPr>
            <w:tcW w:w="791" w:type="dxa"/>
            <w:vAlign w:val="center"/>
          </w:tcPr>
          <w:p>
            <w:pPr>
              <w:spacing w:line="240" w:lineRule="auto"/>
              <w:jc w:val="center"/>
              <w:rPr>
                <w:sz w:val="21"/>
                <w:szCs w:val="21"/>
              </w:rPr>
            </w:pPr>
            <w:r>
              <w:rPr>
                <w:sz w:val="21"/>
                <w:szCs w:val="21"/>
              </w:rPr>
              <w:t>29</w:t>
            </w:r>
          </w:p>
        </w:tc>
        <w:tc>
          <w:tcPr>
            <w:tcW w:w="1279" w:type="dxa"/>
            <w:vAlign w:val="center"/>
          </w:tcPr>
          <w:p>
            <w:pPr>
              <w:spacing w:line="240" w:lineRule="auto"/>
              <w:jc w:val="center"/>
              <w:rPr>
                <w:sz w:val="21"/>
                <w:szCs w:val="21"/>
              </w:rPr>
            </w:pPr>
            <w:r>
              <w:rPr>
                <w:sz w:val="21"/>
                <w:szCs w:val="21"/>
              </w:rPr>
              <w:t>副教授</w:t>
            </w:r>
          </w:p>
        </w:tc>
        <w:tc>
          <w:tcPr>
            <w:tcW w:w="943" w:type="dxa"/>
            <w:vAlign w:val="center"/>
          </w:tcPr>
          <w:p>
            <w:pPr>
              <w:spacing w:line="240" w:lineRule="auto"/>
              <w:jc w:val="center"/>
              <w:rPr>
                <w:sz w:val="21"/>
                <w:szCs w:val="21"/>
              </w:rPr>
            </w:pPr>
            <w:r>
              <w:rPr>
                <w:sz w:val="21"/>
                <w:szCs w:val="21"/>
              </w:rPr>
              <w:t>博士</w:t>
            </w:r>
          </w:p>
        </w:tc>
        <w:tc>
          <w:tcPr>
            <w:tcW w:w="3694" w:type="dxa"/>
            <w:vAlign w:val="center"/>
          </w:tcPr>
          <w:p>
            <w:pPr>
              <w:spacing w:line="240" w:lineRule="auto"/>
              <w:jc w:val="center"/>
              <w:rPr>
                <w:sz w:val="21"/>
                <w:szCs w:val="21"/>
              </w:rPr>
            </w:pPr>
            <w:r>
              <w:rPr>
                <w:sz w:val="21"/>
                <w:szCs w:val="21"/>
              </w:rPr>
              <w:t>山东农业大学</w:t>
            </w:r>
          </w:p>
        </w:tc>
      </w:tr>
    </w:tbl>
    <w:p>
      <w:pPr>
        <w:ind w:firstLine="480" w:firstLineChars="200"/>
      </w:pPr>
      <w:r>
        <w:t>所有教师均具有教师资格证书或者经过岗前培训，专业技术职称、学历和年龄结构都比较合理。能较好承担农业资源与环境专业的专业基础课和专业课的理论教学、实验教学、实习教学和毕业论文指导等教学工作。为了专业更全面发展，今后5年内，拟引进高学历、高水平人才1-2人，迫切需要引进植物营养分子生物学方面的学科带头人1-2名，同时做好本专业青年教师的培养工作，以</w:t>
      </w:r>
      <w:r>
        <w:rPr>
          <w:rFonts w:hint="eastAsia"/>
        </w:rPr>
        <w:t>“</w:t>
      </w:r>
      <w:r>
        <w:t>土肥资源高效利用国家工程实验室</w:t>
      </w:r>
      <w:r>
        <w:rPr>
          <w:rFonts w:hint="eastAsia"/>
        </w:rPr>
        <w:t>”</w:t>
      </w:r>
      <w:r>
        <w:t>、</w:t>
      </w:r>
      <w:r>
        <w:rPr>
          <w:rFonts w:hint="eastAsia"/>
        </w:rPr>
        <w:t>“</w:t>
      </w:r>
      <w:r>
        <w:t>国家缓控释肥技术研究中心</w:t>
      </w:r>
      <w:r>
        <w:rPr>
          <w:rFonts w:hint="eastAsia"/>
        </w:rPr>
        <w:t>”</w:t>
      </w:r>
      <w:r>
        <w:t>和</w:t>
      </w:r>
      <w:r>
        <w:rPr>
          <w:rFonts w:hint="eastAsia"/>
        </w:rPr>
        <w:t>“</w:t>
      </w:r>
      <w:r>
        <w:t>功能性生物肥料国家地方联合工程实验室</w:t>
      </w:r>
      <w:r>
        <w:rPr>
          <w:rFonts w:hint="eastAsia"/>
        </w:rPr>
        <w:t>”</w:t>
      </w:r>
      <w:r>
        <w:t>三个国家级平台，</w:t>
      </w:r>
      <w:r>
        <w:rPr>
          <w:rFonts w:hint="eastAsia"/>
        </w:rPr>
        <w:t>“</w:t>
      </w:r>
      <w:r>
        <w:t>山东省农业环境重点实验室</w:t>
      </w:r>
      <w:r>
        <w:rPr>
          <w:rFonts w:hint="eastAsia"/>
        </w:rPr>
        <w:t>”</w:t>
      </w:r>
      <w:r>
        <w:t>和</w:t>
      </w:r>
      <w:r>
        <w:rPr>
          <w:rFonts w:hint="eastAsia"/>
        </w:rPr>
        <w:t>“</w:t>
      </w:r>
      <w:r>
        <w:t>山东省控释肥工程技术研究中心</w:t>
      </w:r>
      <w:r>
        <w:rPr>
          <w:rFonts w:hint="eastAsia"/>
        </w:rPr>
        <w:t>”</w:t>
      </w:r>
      <w:r>
        <w:t>2个省级平台为依托。通过国外内交流和国际合作培养等方式提高了教师的教学能力和科研水平。经过几年发展，逐渐建成一支以中青年教师为主体，素质高、能力强、教学经验丰富、科研成效突出、德才兼备的专业骨干教师梯队。</w:t>
      </w:r>
    </w:p>
    <w:p>
      <w:pPr>
        <w:pStyle w:val="6"/>
        <w:ind w:firstLine="480"/>
      </w:pPr>
      <w:r>
        <w:t>4.</w:t>
      </w:r>
      <w:r>
        <w:rPr>
          <w:rFonts w:hint="eastAsia"/>
        </w:rPr>
        <w:t xml:space="preserve"> </w:t>
      </w:r>
      <w:r>
        <w:t>实习基地</w:t>
      </w:r>
    </w:p>
    <w:p>
      <w:pPr>
        <w:ind w:firstLine="480" w:firstLineChars="200"/>
      </w:pPr>
      <w:r>
        <w:t>充分利用本专业优秀教师多年的科研成果优势，将成果转让给企业，通过企业的产业化和推广应用，获得了显著的社会效益、生态效益和经济效益。在多年合作的基础上，在金正大生态工程集团股份有限公司、山东农大肥业科技有限公司、山东省质量监督检察院、滨州市华盈花木科技有限公司、山东宝源生物有限公司、山东土秀才生物科技有限公司等建立了科研实践教学基地。利用企事业单位和行政部门的资源和生产过程，将社会资源转化为教学资源，利用观摩、课程实习、实践实习、毕业生产实习等形式，为大学生综合实践环节提供良好的平台和物质保证。</w:t>
      </w:r>
    </w:p>
    <w:p>
      <w:pPr>
        <w:pStyle w:val="6"/>
        <w:ind w:firstLine="480"/>
      </w:pPr>
      <w:r>
        <w:t>5.</w:t>
      </w:r>
      <w:r>
        <w:rPr>
          <w:rFonts w:hint="eastAsia"/>
        </w:rPr>
        <w:t xml:space="preserve"> </w:t>
      </w:r>
      <w:r>
        <w:t>现代教学技术应用</w:t>
      </w:r>
    </w:p>
    <w:p>
      <w:pPr>
        <w:ind w:firstLine="480" w:firstLineChars="200"/>
      </w:pPr>
      <w:r>
        <w:t>在目前的教学条件下，绝大部分教师充分利用多媒体进行教学，知识点清晰，教授效果好。传统的板书也是良好的教学方式之一，对于部分课程的特点也是适用的，因此可以继续发扬。</w:t>
      </w:r>
    </w:p>
    <w:p>
      <w:pPr>
        <w:ind w:firstLine="480" w:firstLineChars="200"/>
      </w:pPr>
      <w:r>
        <w:t>此外，当前网络交流软件（QQ和微信等）在学生中较为流行，因此建议教师在日常教学活动中使用这些软件，例如布置作业、下达通知等，增加学生的参与度，提高他们学习的积极性。同时，组织培训老师使用腾讯会议、雨课堂、智慧树等在线平台，提高学生参与度，增强教学效果。鼓励教师采用现代网络平台开展教学，将课程大纲、教学内容上传到教学平台，并与学生开展互动，及时解决学生学习中遇到的问题。鼓励教师积极开展慕课(MOOCs)和金课建设。目前本专业已经完成了《土壤肥料学》和《土壤学》建设，且于2019年9月份开始在线运行。此外，《馒头山野外土壤综合实习虚拟仿真项目》已经申报国家级虚拟仿真项目，目前在积极建设中。日常教学中，引导学生积极使用网络教学资源、虚拟仿真教学项目，为学院开创虚拟仿真教学先例冲锋陷阵。</w:t>
      </w:r>
    </w:p>
    <w:p>
      <w:pPr>
        <w:pStyle w:val="5"/>
        <w:spacing w:before="93" w:after="93"/>
        <w:ind w:firstLine="560"/>
      </w:pPr>
      <w:bookmarkStart w:id="166" w:name="_Toc30082"/>
      <w:r>
        <w:t>四、培养机制与特色（产学研协同育人机制、合作办学、教学管理等）</w:t>
      </w:r>
      <w:bookmarkEnd w:id="166"/>
    </w:p>
    <w:p>
      <w:pPr>
        <w:pStyle w:val="6"/>
        <w:ind w:firstLine="480"/>
      </w:pPr>
      <w:r>
        <w:t>1.</w:t>
      </w:r>
      <w:r>
        <w:rPr>
          <w:rFonts w:hint="eastAsia"/>
        </w:rPr>
        <w:t xml:space="preserve"> </w:t>
      </w:r>
      <w:r>
        <w:t>产学研协同育人机制</w:t>
      </w:r>
    </w:p>
    <w:p>
      <w:pPr>
        <w:ind w:firstLine="480" w:firstLineChars="200"/>
      </w:pPr>
      <w:r>
        <w:t>学院积极探索产学研结合模式，以校企结合与产学研互惠互利为基础，完善校企、校地合作体制，完善政产学研用合作的运行、管理和保障机制，为高校与社会共建的人才培养模式奠定基础，实现人才的共同培养和成果共享。</w:t>
      </w:r>
    </w:p>
    <w:p>
      <w:pPr>
        <w:ind w:firstLine="480" w:firstLineChars="200"/>
      </w:pPr>
      <w:r>
        <w:t>优势互补，搭建共育共享的实践教学平台。调研资源与环境的主导产业和部门的合作需求，加强与地方政府、事业单位和企业的交流与沟通，与金正大生态工程有限公司、山东农大肥业科技有限公司、泰安市土地局、泰安市公安局、高密市土地局、烟台宝源生物科技有限公司等地方政府管理部门、企业单位共同成立多家协同创新平台。2019年1月与山东农大肥业科技有限公司联合建立农业部腐植酸类肥料重点实验室，利用平台资源优势，教师与地方政府和企业在科技研发、技术改造、产品升级、业务培训和技术推广等方面开展合作，互相提高科技创新能力；教师科研团队积极吸纳本科生参与，利用科研资源转化为教学资源，为大学生实践技能锻炼提供良好的实践条件，提升大学生的科技创新能力与水平；鼓励教师将最新科研成果应用于教学过程，丰富专业教学内容，更新专业知识，开拓学生视野，利用专题讨论、学术报告等形式，传播新知识、新技术；利用企事业单位和行政部门的资源和生产过程，将社会资源转化为教学资源，利用观摩、课程实习、综合实习、毕业生产实习等形式，为大学生实践环节提供良好的平台和保证。此外，2019年联合金正大生态工程集团股份有限公司申报我校或山东省的教研项目，题目为</w:t>
      </w:r>
      <w:r>
        <w:rPr>
          <w:rFonts w:hint="eastAsia"/>
        </w:rPr>
        <w:t>“</w:t>
      </w:r>
      <w:r>
        <w:t>基于国家级校企共建科研平台的拔尖创新型人才培养模式研究</w:t>
      </w:r>
      <w:r>
        <w:rPr>
          <w:rFonts w:hint="eastAsia"/>
        </w:rPr>
        <w:t>”</w:t>
      </w:r>
      <w:r>
        <w:t>，研究成果将有助于全面提高本专业大学生的实践能力和创新能力。每年均有40人左右的专业硕士研究生在金正大实习实践6个月。</w:t>
      </w:r>
    </w:p>
    <w:p>
      <w:pPr>
        <w:ind w:firstLine="480" w:firstLineChars="200"/>
      </w:pPr>
      <w:r>
        <w:t>山东农业大学与山东农大肥业科技有限公司有着多年的良好合作，在实践教学和科研中都取得了突出的成绩。自建厂以来，该企业就成为学校大学生专业实习的重要实习单位，学院每年根据专业的实践教学计划，安排学生到该企业进行教学实习和毕业生产实习。多年来，基地已接收专业学生进行教学实习和毕业生产实践达到17届5000多人次；每年每学期至少两个班约60人进行《土壤肥料学》、《植物营养学》、《施肥原理与施肥技术》、《肥料加工与制造》等课程的教学实习；因基地距学校的距离较近，形成了信息技术、人员交流与合作的优势。学校与山农大科技肥业有限责任公司在人才培养等方面进行了长期深层次的合作。从2002年开始，双方签订了山东农业大学校外教学科研基地协议书，把基地建成了学生的实习基地、教师的挂职锻炼基地、科技成果的转化和推广基地。学校教师经常深入企业，为企业提供智力支持，帮助企业进行生产技术创新、产品创制和升级、业务人员知识培训、产品宣传和售后服务等，在合作过程中，教师自身科研创新能力不断提升，提高了教学水平。企业每年接受学生实习、就业，为学生提供实习条件，在山东农业大学设立奖学金和科研基金，激发了学生学习和教师科研的热情。学院每年组织学生到公司进行教学实习、毕业生产实习，使学生亲历生产第一线，直接了解产品的生产工艺、产品质量检验和产品加工中的问题等，缩短了课堂到生产实际的过程；学生直接参与产品销售和售后服务，了解了产品的销售状况和产品在使用中的实际问题，促进学生理论联系实际，增强分析问题和利用专业知识解决实际问题的能力。对于表现出色的学生，可以直接留在企业就业，促进了学生的就业，也为企业节约了人才招聘的成本。学院与山东农大肥业科技有限公司共建博士后科研工作站，加强专业人才的培养；企业在学院设立青年教师科研基金和本科生奖学金，资助青年教师和优秀学子开展科学研究；学院聘请山东农大肥业科技有限公司技术人员为本科生开展专题讲座，把企业的技术、经验面对面传授给学生，加速大学生接触社会、适应社会的进程。另外，以企业为依托，申报</w:t>
      </w:r>
      <w:r>
        <w:rPr>
          <w:rFonts w:hint="eastAsia"/>
        </w:rPr>
        <w:t>“</w:t>
      </w:r>
      <w:r>
        <w:t>山东省重大科技创新工程</w:t>
      </w:r>
      <w:r>
        <w:rPr>
          <w:rFonts w:hint="eastAsia"/>
        </w:rPr>
        <w:t>”</w:t>
      </w:r>
      <w:r>
        <w:t>，</w:t>
      </w:r>
      <w:r>
        <w:rPr>
          <w:rFonts w:hint="eastAsia"/>
        </w:rPr>
        <w:t>“</w:t>
      </w:r>
      <w:r>
        <w:t>山东省重点研发计划</w:t>
      </w:r>
      <w:r>
        <w:rPr>
          <w:rFonts w:hint="eastAsia"/>
        </w:rPr>
        <w:t>”</w:t>
      </w:r>
      <w:r>
        <w:t>等项目3项，合计经费5000万元.这些项目与技术的合作，促进了应用型人才质量的快速提高。在合作过程中，企业和学院初步实现了人才培养的共建和共享，也为建设更高层次的校外实践教育基地积累了经验，打下了良好的基础。</w:t>
      </w:r>
    </w:p>
    <w:p>
      <w:pPr>
        <w:ind w:firstLine="480" w:firstLineChars="200"/>
      </w:pPr>
      <w:r>
        <w:t>健全机构，完善机制，确保产学研合作育人模式顺利实施。以学院为牵头单位成立合作办学工作委员会，由学院负责人任主任，分管教学院长、合作单位负责人、专业负责人、主要专业带头人任副主任，主要核心课程和课程群负责人、专业带头人、兼职教师、指导教师任委员，负责产学研合作体制建设工作，完善组织保障。建立健全产学研合作的规章制度，完善政策制度保障；完善激励机制，制定奖励办法；明确产学研各方责权利，形成资源共享、利益共享、成果共享、风险分担的机制；制定经费筹措办法，确保必要的经费投入。建立定期协调与研讨机制，定期召开例会，进行合作办学交流、沟通、协商，制定产学研合作的规定，签订有关的合作协议，组织产学研合作实施等。</w:t>
      </w:r>
    </w:p>
    <w:p>
      <w:pPr>
        <w:pStyle w:val="6"/>
        <w:ind w:firstLine="480"/>
      </w:pPr>
      <w:r>
        <w:t>2.</w:t>
      </w:r>
      <w:r>
        <w:rPr>
          <w:rFonts w:hint="eastAsia"/>
        </w:rPr>
        <w:t xml:space="preserve"> </w:t>
      </w:r>
      <w:r>
        <w:t>合作办学</w:t>
      </w:r>
    </w:p>
    <w:p>
      <w:pPr>
        <w:ind w:firstLine="480" w:firstLineChars="200"/>
      </w:pPr>
      <w:r>
        <w:t>积极参与校际间其他合作，每年组织多名本科生赴台湾相关大学进行交流学和合作培养，同时也接收安徽农业大学农业资源与环境专业的学生来本校进行交流与合作培养。</w:t>
      </w:r>
    </w:p>
    <w:p>
      <w:pPr>
        <w:pStyle w:val="6"/>
        <w:ind w:firstLine="480"/>
      </w:pPr>
      <w:r>
        <w:t>3.</w:t>
      </w:r>
      <w:r>
        <w:rPr>
          <w:rFonts w:hint="eastAsia"/>
        </w:rPr>
        <w:t xml:space="preserve"> </w:t>
      </w:r>
      <w:r>
        <w:t>教学管理</w:t>
      </w:r>
    </w:p>
    <w:p>
      <w:pPr>
        <w:ind w:firstLine="480" w:firstLineChars="200"/>
      </w:pPr>
      <w:r>
        <w:t>按照国家教育部的要求，遵从山东省教育厅的指导，严格执行学校教务处的具体规定，是提高高等教育质量的重要保证。</w:t>
      </w:r>
    </w:p>
    <w:p>
      <w:pPr>
        <w:ind w:firstLine="480" w:firstLineChars="200"/>
      </w:pPr>
      <w:r>
        <w:t>山东农业大学建有完备的教学运行管理、课程与专业建设管理、实践教学管理、实验室管理、教材建设与管理、学籍管理、教学质量管理等相关制度。</w:t>
      </w:r>
    </w:p>
    <w:p>
      <w:pPr>
        <w:ind w:firstLine="480" w:firstLineChars="200"/>
      </w:pPr>
      <w:r>
        <w:t>资环学院在课程任务计划、听课、督导、教学档案管理等方面有非常规范的管理规程。</w:t>
      </w:r>
    </w:p>
    <w:p>
      <w:pPr>
        <w:ind w:firstLine="480" w:firstLineChars="200"/>
      </w:pPr>
      <w:r>
        <w:t>学科内部有集体备课、学科会议等，每门课程组建至少有2位任课老师的课程小组制度，以防任何一位教师出差或请假时，保障教学秩序正常运行。</w:t>
      </w:r>
    </w:p>
    <w:p>
      <w:pPr>
        <w:pStyle w:val="5"/>
        <w:spacing w:before="93" w:after="93"/>
        <w:ind w:firstLine="560"/>
      </w:pPr>
      <w:bookmarkStart w:id="167" w:name="_Toc22036"/>
      <w:r>
        <w:t>五、培养质量（毕业生就业率、就业专业对口率、毕业生发展情况、就业单位满意率、社会对专业的评价、学生就读该专业的意愿等）</w:t>
      </w:r>
      <w:bookmarkEnd w:id="167"/>
    </w:p>
    <w:p>
      <w:pPr>
        <w:pStyle w:val="6"/>
        <w:ind w:firstLine="480"/>
      </w:pPr>
      <w:r>
        <w:t>1.</w:t>
      </w:r>
      <w:r>
        <w:rPr>
          <w:rFonts w:hint="eastAsia"/>
        </w:rPr>
        <w:t xml:space="preserve"> </w:t>
      </w:r>
      <w:r>
        <w:t>毕业生就业率</w:t>
      </w:r>
    </w:p>
    <w:p>
      <w:pPr>
        <w:ind w:firstLine="480" w:firstLineChars="200"/>
      </w:pPr>
      <w:r>
        <w:t>受疫情影响，2022届毕业生就业率为90.9%， 2021届毕业生就业率为93.2%，2020届就业率为90.1%。</w:t>
      </w:r>
    </w:p>
    <w:p>
      <w:pPr>
        <w:ind w:firstLine="480" w:firstLineChars="200"/>
      </w:pPr>
      <w:r>
        <w:t>近几年来，本专业学生平均就业率约为92%。2022年毕业92名毕业生，56位学生考取研究生，占总人数60.9%，到公司、企业或自主创业的26人，占比28.3%。待就业10人（二战考研或考公考事业编），占10.8%。受疫情影响，2022年公务员、事业编考试时间普遍滞后，应届毕业生考取比例较少。随着国家机构改革，公务员、事业编名额减少，同时各大商业公司也相应提高了规范和待遇，学生要转变就业观念，到公司、企业等单位就业形势将大有改观。</w:t>
      </w:r>
    </w:p>
    <w:p>
      <w:pPr>
        <w:pStyle w:val="6"/>
        <w:ind w:firstLine="480"/>
      </w:pPr>
      <w:r>
        <w:t>2.</w:t>
      </w:r>
      <w:r>
        <w:rPr>
          <w:rFonts w:hint="eastAsia"/>
        </w:rPr>
        <w:t xml:space="preserve"> </w:t>
      </w:r>
      <w:r>
        <w:t>就业专业对口率</w:t>
      </w:r>
    </w:p>
    <w:p>
      <w:pPr>
        <w:ind w:firstLine="480" w:firstLineChars="200"/>
      </w:pPr>
      <w:r>
        <w:t>2022年本专业就业对口率为86%以上。</w:t>
      </w:r>
    </w:p>
    <w:p>
      <w:pPr>
        <w:ind w:firstLine="480" w:firstLineChars="200"/>
      </w:pPr>
      <w:r>
        <w:t>近年来本专业学生毕业后，80%以上从事与农业资源利用与管理相关的工作。毕业生直接到肥料企业工作的较多，另外一些通过考取事业编到农业局工作，有的到农资公司工作，每年50%—60%左右的毕业生考取土壤学、植物营养学、生态学等相近学科的研究生，最终从事与土壤学、农业资源利用、环境保护有关的科研和实践工作。同学们基本上把学到的专业知识用于工作实践。其余同学通过考公务员、事业编、大学生村官、选调生等到政府部门、农村基层等工作，即使不是直接从事专业业务，但大多有一定联系。</w:t>
      </w:r>
    </w:p>
    <w:p>
      <w:pPr>
        <w:pStyle w:val="6"/>
        <w:ind w:firstLine="480"/>
      </w:pPr>
      <w:r>
        <w:t>3.</w:t>
      </w:r>
      <w:r>
        <w:rPr>
          <w:rFonts w:hint="eastAsia"/>
        </w:rPr>
        <w:t xml:space="preserve"> </w:t>
      </w:r>
      <w:r>
        <w:t>毕业生发展情况</w:t>
      </w:r>
    </w:p>
    <w:p>
      <w:pPr>
        <w:ind w:firstLine="480" w:firstLineChars="200"/>
      </w:pPr>
      <w:r>
        <w:t>本专业学生基于在学校打下的良好业务基础和综合素质，毕业后发展良好。到肥料企业、农业农村局、环境保护局等行政单位工作的毕业生参加工作一般从科员做起，经过几年锻炼，大都成长为农业农村厅、山东省发改委、地市农科院等业务部门的骨干力量，甚至发展为部门领导。攻读研究生的学生，部分毕业后继续读博，部分参加工作，均有了更高的起点。最终到科研院所、市县级事业单位均成为业务骨干。到五洲丰、金正大、农大肥业、史丹利、青岛根源、驻商等肥料企业工作的毕业生，经过几年的锻炼很快成为业务主管或部门经理。个别毕业生积累一定的经验和资源后，自主创业，取得了良好的经济效益及社会效益。</w:t>
      </w:r>
    </w:p>
    <w:p>
      <w:pPr>
        <w:pStyle w:val="6"/>
        <w:ind w:firstLine="480"/>
      </w:pPr>
      <w:r>
        <w:t>4.</w:t>
      </w:r>
      <w:r>
        <w:rPr>
          <w:rFonts w:hint="eastAsia"/>
        </w:rPr>
        <w:t xml:space="preserve"> </w:t>
      </w:r>
      <w:r>
        <w:t>就业单位满意率</w:t>
      </w:r>
    </w:p>
    <w:p>
      <w:pPr>
        <w:ind w:firstLine="480" w:firstLineChars="200"/>
      </w:pPr>
      <w:r>
        <w:t>2022年就业单位满意率为100%。</w:t>
      </w:r>
    </w:p>
    <w:p>
      <w:pPr>
        <w:ind w:firstLine="480" w:firstLineChars="200"/>
      </w:pPr>
      <w:r>
        <w:t>本专业学生就业去向主要为攻读研究生、科技示范园、肥料生产和销售公司等。由于学生在大学期间掌握扎实的理论知识，硬件、软件进行充分的实践操作，业务能力较强。国内大学对我专业生源评价普遍高：基础理论扎实，研究创新能力强，能很快进入研究角色。企事业单位等对我专业毕业生评价较高，适应能力强，能独立自主开展工作。而就业公司普遍认为我专业培养的毕业生能够较快地开展技术工作，半年后就能独自承担任务，有的毕业生二、三年即成为公司中层主管。因此，就业单位对我专业毕业生总体满意。</w:t>
      </w:r>
    </w:p>
    <w:p>
      <w:pPr>
        <w:pStyle w:val="6"/>
        <w:ind w:firstLine="480"/>
      </w:pPr>
      <w:r>
        <w:t>5.</w:t>
      </w:r>
      <w:r>
        <w:rPr>
          <w:rFonts w:hint="eastAsia"/>
        </w:rPr>
        <w:t xml:space="preserve"> </w:t>
      </w:r>
      <w:r>
        <w:t>社会对专业的评价</w:t>
      </w:r>
    </w:p>
    <w:p>
      <w:pPr>
        <w:ind w:firstLine="480" w:firstLineChars="200"/>
      </w:pPr>
      <w:r>
        <w:t>2022年社会对专业的评价为100%。</w:t>
      </w:r>
    </w:p>
    <w:p>
      <w:pPr>
        <w:ind w:firstLine="480" w:firstLineChars="200"/>
      </w:pPr>
      <w:r>
        <w:t>由于本业良好的师资条件、学生较强的就业能力及较好的就业状况，本专业在国内同行专业具有较高的声誉。考取中国农大、浙江大学、华中农大、华南农大等学校的毕业生，均反映山东农业大学的学生基础扎实、诚实肯干、敢于吃苦、乐于助人、讲究团队协作，并且继续深造攻读博士的比例较高。</w:t>
      </w:r>
    </w:p>
    <w:p>
      <w:pPr>
        <w:pStyle w:val="6"/>
        <w:ind w:firstLine="480"/>
      </w:pPr>
      <w:r>
        <w:t>6.</w:t>
      </w:r>
      <w:r>
        <w:rPr>
          <w:rFonts w:hint="eastAsia"/>
        </w:rPr>
        <w:t xml:space="preserve"> </w:t>
      </w:r>
      <w:r>
        <w:t>学生就读该专业的意愿</w:t>
      </w:r>
    </w:p>
    <w:p>
      <w:pPr>
        <w:ind w:firstLine="480" w:firstLineChars="200"/>
      </w:pPr>
      <w:r>
        <w:t>2022级计划招生80人，实际报到78人。省内外本科生的一次录取率及报到率97.5%。仅有2名同学未报到，且是外地生源。</w:t>
      </w:r>
    </w:p>
    <w:p>
      <w:pPr>
        <w:ind w:firstLine="480" w:firstLineChars="200"/>
      </w:pPr>
      <w:r>
        <w:t>农业资源与环境专业是山东农业大学较早建立的学科之一，具有70多年的发展历史。是由原</w:t>
      </w:r>
      <w:r>
        <w:rPr>
          <w:rFonts w:hint="eastAsia"/>
        </w:rPr>
        <w:t>“</w:t>
      </w:r>
      <w:r>
        <w:t>土壤农化专业</w:t>
      </w:r>
      <w:r>
        <w:rPr>
          <w:rFonts w:hint="eastAsia"/>
        </w:rPr>
        <w:t>”</w:t>
      </w:r>
      <w:r>
        <w:t>、</w:t>
      </w:r>
      <w:r>
        <w:rPr>
          <w:rFonts w:hint="eastAsia"/>
        </w:rPr>
        <w:t>“</w:t>
      </w:r>
      <w:r>
        <w:t>土壤与植物营养专业</w:t>
      </w:r>
      <w:r>
        <w:rPr>
          <w:rFonts w:hint="eastAsia"/>
        </w:rPr>
        <w:t>”</w:t>
      </w:r>
      <w:r>
        <w:t>演变而来。山东农业大学</w:t>
      </w:r>
      <w:r>
        <w:rPr>
          <w:rFonts w:hint="eastAsia"/>
        </w:rPr>
        <w:t>“</w:t>
      </w:r>
      <w:r>
        <w:t>土壤农业化学</w:t>
      </w:r>
      <w:r>
        <w:rPr>
          <w:rFonts w:hint="eastAsia"/>
        </w:rPr>
        <w:t>”</w:t>
      </w:r>
      <w:r>
        <w:t>专业成立于1948年，2005年被批准为山东农业大学首批品牌建设专业，2008年又被批准为省级特色专业，2010年被批准为国家级特色专业，2012年获山东省的应用基础型特色名校工程项目建设重点专业建设，2014年获得山东省高水平应用型专业群建设，2017年获得山东省新旧动能转化专业群建设。2018年获国家及省首批高水平建设学科。经过多年的投入和建设，目前专业建设在硬件条件、软件条件和建设环境等方面都有了极大改善，为本科生的良好培养奠定了基础。本专业培养具备农业资源与环境方面的基本理论、基本知识和基本技能，能在农业土肥、土地、环保、农资等部门或单位从事农业资源管理及利用、农业环境保护、生态农业、资源遥感与信息技术的教学、科研、管理等工作的应用型、复合型高级专门人才。</w:t>
      </w:r>
    </w:p>
    <w:p>
      <w:pPr>
        <w:ind w:firstLine="480" w:firstLineChars="200"/>
      </w:pPr>
      <w:r>
        <w:t>本专业学生主要学习农业资源的管理及利用、农业环境保护、农业生态、资源信息技术等方面的基本理论和基本知识，受到农业资源调查与规划、土壤肥力和植物营养与施肥技术、环境监测与评价、肥料的生产与营销、计算机应用技术等方面的基本训练，具有农业资源高效和可持续利用、对农业资源和环境进行信息化管理等方面的基本能力。国家农业发展战略急需农业资源与环境各方面的专业人才。由于本专业获得了社会认可，学生对就读该专业的意愿比较强，每年新生95%以上为第一志愿。</w:t>
      </w:r>
    </w:p>
    <w:p>
      <w:pPr>
        <w:pStyle w:val="5"/>
        <w:spacing w:before="93" w:after="93"/>
        <w:ind w:firstLine="560"/>
      </w:pPr>
      <w:bookmarkStart w:id="168" w:name="_Toc10028"/>
      <w:r>
        <w:t>六、毕业生就业创业（创业情况、采取的措施、典型案例等）</w:t>
      </w:r>
      <w:bookmarkEnd w:id="168"/>
    </w:p>
    <w:p>
      <w:pPr>
        <w:ind w:firstLine="480" w:firstLineChars="200"/>
      </w:pPr>
      <w:r>
        <w:t>近年来，高校毕业生人数不断增长、就业结构性矛盾依然存在，加上毕业生就业期望值与现实存在差距，高校毕业生就业形势仍不乐观。农业资源与环境专业在做好常规学生就业指导工作的同时，一方面，采取邀请企业、机关等人力资源管理人员到学校围绕企业文化、用人环境、岗位发展空间等内容进行宣讲，让学生在听讲中了解用人单位情况，获取就业信息，为方便意向双方进一步沟通，缩短上岗适应期。给用人单位、毕业生搭建有效沟通平台，提前培养正确就业观等措施，帮助毕业生顺利就业。另一方面，结合用人单位的人才需求和大学生的兴趣爱好，专业教师给予一定专业指导，帮助大学生进行创业创新活动，并取得了较好的成绩。</w:t>
      </w:r>
    </w:p>
    <w:p>
      <w:pPr>
        <w:spacing w:line="240" w:lineRule="auto"/>
        <w:jc w:val="center"/>
        <w:rPr>
          <w:b/>
          <w:bCs/>
          <w:sz w:val="21"/>
          <w:szCs w:val="21"/>
        </w:rPr>
      </w:pPr>
      <w:r>
        <w:rPr>
          <w:b/>
          <w:bCs/>
          <w:sz w:val="21"/>
          <w:szCs w:val="21"/>
        </w:rPr>
        <w:t>表3 农业资源与环境专业师生的大学生创业创新活动典型案例</w:t>
      </w:r>
    </w:p>
    <w:tbl>
      <w:tblPr>
        <w:tblStyle w:val="17"/>
        <w:tblW w:w="5000" w:type="pct"/>
        <w:jc w:val="center"/>
        <w:shd w:val="clear" w:color="000000" w:fill="auto"/>
        <w:tblLayout w:type="autofit"/>
        <w:tblCellMar>
          <w:top w:w="0" w:type="dxa"/>
          <w:left w:w="28" w:type="dxa"/>
          <w:bottom w:w="0" w:type="dxa"/>
          <w:right w:w="28" w:type="dxa"/>
        </w:tblCellMar>
      </w:tblPr>
      <w:tblGrid>
        <w:gridCol w:w="30"/>
        <w:gridCol w:w="397"/>
        <w:gridCol w:w="36"/>
        <w:gridCol w:w="1505"/>
        <w:gridCol w:w="41"/>
        <w:gridCol w:w="2617"/>
        <w:gridCol w:w="48"/>
        <w:gridCol w:w="511"/>
        <w:gridCol w:w="52"/>
        <w:gridCol w:w="846"/>
        <w:gridCol w:w="201"/>
        <w:gridCol w:w="869"/>
        <w:gridCol w:w="57"/>
        <w:gridCol w:w="1629"/>
        <w:gridCol w:w="62"/>
      </w:tblGrid>
      <w:tr>
        <w:tblPrEx>
          <w:shd w:val="clear" w:color="000000" w:fill="auto"/>
          <w:tblCellMar>
            <w:top w:w="0" w:type="dxa"/>
            <w:left w:w="28" w:type="dxa"/>
            <w:bottom w:w="0" w:type="dxa"/>
            <w:right w:w="28" w:type="dxa"/>
          </w:tblCellMar>
        </w:tblPrEx>
        <w:trPr>
          <w:gridAfter w:val="1"/>
          <w:wAfter w:w="35" w:type="pct"/>
          <w:trHeight w:val="270" w:hRule="atLeast"/>
          <w:tblHeader/>
          <w:jc w:val="center"/>
        </w:trPr>
        <w:tc>
          <w:tcPr>
            <w:tcW w:w="240" w:type="pct"/>
            <w:gridSpan w:val="2"/>
            <w:tcBorders>
              <w:top w:val="single" w:color="auto" w:sz="4" w:space="0"/>
              <w:left w:val="single" w:color="auto" w:sz="4" w:space="0"/>
              <w:right w:val="single" w:color="auto" w:sz="4" w:space="0"/>
            </w:tcBorders>
            <w:shd w:val="clear" w:color="000000" w:fill="auto"/>
            <w:vAlign w:val="center"/>
          </w:tcPr>
          <w:p>
            <w:pPr>
              <w:spacing w:line="240" w:lineRule="auto"/>
              <w:jc w:val="center"/>
              <w:rPr>
                <w:b/>
                <w:bCs/>
                <w:sz w:val="21"/>
                <w:szCs w:val="21"/>
              </w:rPr>
            </w:pPr>
            <w:r>
              <w:rPr>
                <w:b/>
                <w:bCs/>
                <w:sz w:val="21"/>
                <w:szCs w:val="21"/>
              </w:rPr>
              <w:t>编</w:t>
            </w:r>
          </w:p>
        </w:tc>
        <w:tc>
          <w:tcPr>
            <w:tcW w:w="865" w:type="pct"/>
            <w:gridSpan w:val="2"/>
            <w:vMerge w:val="restart"/>
            <w:tcBorders>
              <w:top w:val="single" w:color="auto" w:sz="4" w:space="0"/>
              <w:left w:val="single" w:color="auto" w:sz="4" w:space="0"/>
              <w:right w:val="single" w:color="auto" w:sz="4" w:space="0"/>
            </w:tcBorders>
            <w:shd w:val="clear" w:color="000000" w:fill="auto"/>
            <w:vAlign w:val="center"/>
          </w:tcPr>
          <w:p>
            <w:pPr>
              <w:spacing w:line="240" w:lineRule="auto"/>
              <w:jc w:val="center"/>
              <w:rPr>
                <w:b/>
                <w:bCs/>
                <w:sz w:val="21"/>
                <w:szCs w:val="21"/>
              </w:rPr>
            </w:pPr>
            <w:r>
              <w:rPr>
                <w:b/>
                <w:bCs/>
                <w:sz w:val="21"/>
                <w:szCs w:val="21"/>
              </w:rPr>
              <w:t>项目名称</w:t>
            </w:r>
          </w:p>
        </w:tc>
        <w:tc>
          <w:tcPr>
            <w:tcW w:w="2424" w:type="pct"/>
            <w:gridSpan w:val="7"/>
            <w:tcBorders>
              <w:top w:val="single" w:color="auto" w:sz="4" w:space="0"/>
              <w:left w:val="nil"/>
              <w:bottom w:val="single" w:color="auto" w:sz="4" w:space="0"/>
              <w:right w:val="single" w:color="auto" w:sz="4" w:space="0"/>
            </w:tcBorders>
            <w:shd w:val="clear" w:color="000000" w:fill="auto"/>
            <w:vAlign w:val="center"/>
          </w:tcPr>
          <w:p>
            <w:pPr>
              <w:spacing w:line="240" w:lineRule="auto"/>
              <w:jc w:val="center"/>
              <w:rPr>
                <w:b/>
                <w:bCs/>
                <w:sz w:val="21"/>
                <w:szCs w:val="21"/>
              </w:rPr>
            </w:pPr>
            <w:r>
              <w:rPr>
                <w:b/>
                <w:bCs/>
                <w:sz w:val="21"/>
                <w:szCs w:val="21"/>
              </w:rPr>
              <w:t>负责人及参与人</w:t>
            </w:r>
          </w:p>
        </w:tc>
        <w:tc>
          <w:tcPr>
            <w:tcW w:w="488" w:type="pct"/>
            <w:vMerge w:val="restart"/>
            <w:tcBorders>
              <w:top w:val="single" w:color="auto" w:sz="4" w:space="0"/>
              <w:left w:val="single" w:color="auto" w:sz="4" w:space="0"/>
              <w:right w:val="single" w:color="auto" w:sz="4" w:space="0"/>
            </w:tcBorders>
            <w:shd w:val="clear" w:color="000000" w:fill="auto"/>
            <w:vAlign w:val="center"/>
          </w:tcPr>
          <w:p>
            <w:pPr>
              <w:spacing w:line="240" w:lineRule="auto"/>
              <w:jc w:val="center"/>
              <w:rPr>
                <w:b/>
                <w:bCs/>
                <w:sz w:val="21"/>
                <w:szCs w:val="21"/>
              </w:rPr>
            </w:pPr>
            <w:r>
              <w:rPr>
                <w:b/>
                <w:bCs/>
                <w:sz w:val="21"/>
                <w:szCs w:val="21"/>
              </w:rPr>
              <w:t>指导</w:t>
            </w:r>
          </w:p>
          <w:p>
            <w:pPr>
              <w:spacing w:line="240" w:lineRule="auto"/>
              <w:jc w:val="center"/>
              <w:rPr>
                <w:b/>
                <w:bCs/>
                <w:sz w:val="21"/>
                <w:szCs w:val="21"/>
              </w:rPr>
            </w:pPr>
            <w:r>
              <w:rPr>
                <w:b/>
                <w:bCs/>
                <w:sz w:val="21"/>
                <w:szCs w:val="21"/>
              </w:rPr>
              <w:t>教师</w:t>
            </w:r>
          </w:p>
        </w:tc>
        <w:tc>
          <w:tcPr>
            <w:tcW w:w="947" w:type="pct"/>
            <w:gridSpan w:val="2"/>
            <w:vMerge w:val="restart"/>
            <w:tcBorders>
              <w:top w:val="single" w:color="auto" w:sz="4" w:space="0"/>
              <w:left w:val="single" w:color="auto" w:sz="4" w:space="0"/>
              <w:right w:val="single" w:color="auto" w:sz="4" w:space="0"/>
            </w:tcBorders>
            <w:shd w:val="clear" w:color="000000" w:fill="auto"/>
            <w:vAlign w:val="center"/>
          </w:tcPr>
          <w:p>
            <w:pPr>
              <w:spacing w:line="240" w:lineRule="auto"/>
              <w:jc w:val="center"/>
              <w:rPr>
                <w:b/>
                <w:bCs/>
                <w:sz w:val="21"/>
                <w:szCs w:val="21"/>
              </w:rPr>
            </w:pPr>
            <w:r>
              <w:rPr>
                <w:b/>
                <w:bCs/>
                <w:sz w:val="21"/>
                <w:szCs w:val="21"/>
              </w:rPr>
              <w:t>奖项</w:t>
            </w:r>
          </w:p>
        </w:tc>
      </w:tr>
      <w:tr>
        <w:tblPrEx>
          <w:shd w:val="clear" w:color="000000" w:fill="auto"/>
          <w:tblCellMar>
            <w:top w:w="0" w:type="dxa"/>
            <w:left w:w="28" w:type="dxa"/>
            <w:bottom w:w="0" w:type="dxa"/>
            <w:right w:w="28" w:type="dxa"/>
          </w:tblCellMar>
        </w:tblPrEx>
        <w:trPr>
          <w:gridAfter w:val="1"/>
          <w:wAfter w:w="35" w:type="pct"/>
          <w:trHeight w:val="270" w:hRule="atLeast"/>
          <w:tblHeader/>
          <w:jc w:val="center"/>
        </w:trPr>
        <w:tc>
          <w:tcPr>
            <w:tcW w:w="240" w:type="pct"/>
            <w:gridSpan w:val="2"/>
            <w:tcBorders>
              <w:left w:val="single" w:color="auto" w:sz="4" w:space="0"/>
              <w:bottom w:val="single" w:color="auto" w:sz="4" w:space="0"/>
              <w:right w:val="single" w:color="auto" w:sz="4" w:space="0"/>
            </w:tcBorders>
            <w:shd w:val="clear" w:color="000000" w:fill="auto"/>
            <w:vAlign w:val="center"/>
          </w:tcPr>
          <w:p>
            <w:pPr>
              <w:spacing w:line="240" w:lineRule="auto"/>
              <w:jc w:val="center"/>
              <w:rPr>
                <w:b/>
                <w:bCs/>
                <w:sz w:val="21"/>
                <w:szCs w:val="21"/>
              </w:rPr>
            </w:pPr>
            <w:r>
              <w:rPr>
                <w:b/>
                <w:bCs/>
                <w:sz w:val="21"/>
                <w:szCs w:val="21"/>
              </w:rPr>
              <w:t>号</w:t>
            </w:r>
          </w:p>
        </w:tc>
        <w:tc>
          <w:tcPr>
            <w:tcW w:w="865" w:type="pct"/>
            <w:gridSpan w:val="2"/>
            <w:vMerge w:val="continue"/>
            <w:tcBorders>
              <w:left w:val="single" w:color="auto" w:sz="4" w:space="0"/>
              <w:bottom w:val="single" w:color="auto" w:sz="4" w:space="0"/>
              <w:right w:val="single" w:color="auto" w:sz="4" w:space="0"/>
            </w:tcBorders>
            <w:shd w:val="clear" w:color="000000" w:fill="auto"/>
            <w:vAlign w:val="center"/>
          </w:tcPr>
          <w:p>
            <w:pPr>
              <w:spacing w:line="240" w:lineRule="auto"/>
              <w:jc w:val="center"/>
              <w:rPr>
                <w:b/>
                <w:bCs/>
                <w:sz w:val="21"/>
                <w:szCs w:val="21"/>
              </w:rPr>
            </w:pPr>
          </w:p>
        </w:tc>
        <w:tc>
          <w:tcPr>
            <w:tcW w:w="1493" w:type="pct"/>
            <w:gridSpan w:val="2"/>
            <w:tcBorders>
              <w:top w:val="single" w:color="auto" w:sz="4" w:space="0"/>
              <w:left w:val="nil"/>
              <w:bottom w:val="single" w:color="auto" w:sz="4" w:space="0"/>
              <w:right w:val="single" w:color="auto" w:sz="4" w:space="0"/>
            </w:tcBorders>
            <w:shd w:val="clear" w:color="000000" w:fill="auto"/>
            <w:vAlign w:val="center"/>
          </w:tcPr>
          <w:p>
            <w:pPr>
              <w:spacing w:line="240" w:lineRule="auto"/>
              <w:jc w:val="center"/>
              <w:rPr>
                <w:b/>
                <w:bCs/>
                <w:sz w:val="21"/>
                <w:szCs w:val="21"/>
              </w:rPr>
            </w:pPr>
            <w:r>
              <w:rPr>
                <w:b/>
                <w:bCs/>
                <w:sz w:val="21"/>
                <w:szCs w:val="21"/>
              </w:rPr>
              <w:t>姓名</w:t>
            </w:r>
          </w:p>
        </w:tc>
        <w:tc>
          <w:tcPr>
            <w:tcW w:w="314" w:type="pct"/>
            <w:gridSpan w:val="2"/>
            <w:tcBorders>
              <w:top w:val="single" w:color="auto" w:sz="4" w:space="0"/>
              <w:left w:val="nil"/>
              <w:bottom w:val="single" w:color="auto" w:sz="4" w:space="0"/>
              <w:right w:val="single" w:color="auto" w:sz="4" w:space="0"/>
            </w:tcBorders>
            <w:shd w:val="clear" w:color="000000" w:fill="auto"/>
            <w:vAlign w:val="center"/>
          </w:tcPr>
          <w:p>
            <w:pPr>
              <w:spacing w:line="240" w:lineRule="auto"/>
              <w:jc w:val="center"/>
              <w:rPr>
                <w:b/>
                <w:bCs/>
                <w:sz w:val="21"/>
                <w:szCs w:val="21"/>
              </w:rPr>
            </w:pPr>
            <w:r>
              <w:rPr>
                <w:b/>
                <w:bCs/>
                <w:sz w:val="21"/>
                <w:szCs w:val="21"/>
              </w:rPr>
              <w:t>年级</w:t>
            </w:r>
          </w:p>
        </w:tc>
        <w:tc>
          <w:tcPr>
            <w:tcW w:w="617" w:type="pct"/>
            <w:gridSpan w:val="3"/>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b/>
                <w:bCs/>
                <w:sz w:val="21"/>
                <w:szCs w:val="21"/>
              </w:rPr>
            </w:pPr>
            <w:r>
              <w:rPr>
                <w:b/>
                <w:bCs/>
                <w:sz w:val="21"/>
                <w:szCs w:val="21"/>
              </w:rPr>
              <w:t>专业</w:t>
            </w:r>
          </w:p>
        </w:tc>
        <w:tc>
          <w:tcPr>
            <w:tcW w:w="488" w:type="pct"/>
            <w:vMerge w:val="continue"/>
            <w:tcBorders>
              <w:left w:val="single" w:color="auto" w:sz="4" w:space="0"/>
              <w:bottom w:val="single" w:color="auto" w:sz="4" w:space="0"/>
              <w:right w:val="single" w:color="auto" w:sz="4" w:space="0"/>
            </w:tcBorders>
            <w:shd w:val="clear" w:color="000000" w:fill="auto"/>
            <w:vAlign w:val="center"/>
          </w:tcPr>
          <w:p>
            <w:pPr>
              <w:spacing w:line="240" w:lineRule="auto"/>
              <w:jc w:val="center"/>
              <w:rPr>
                <w:b/>
                <w:bCs/>
                <w:sz w:val="21"/>
                <w:szCs w:val="21"/>
              </w:rPr>
            </w:pPr>
          </w:p>
        </w:tc>
        <w:tc>
          <w:tcPr>
            <w:tcW w:w="947" w:type="pct"/>
            <w:gridSpan w:val="2"/>
            <w:vMerge w:val="continue"/>
            <w:tcBorders>
              <w:left w:val="single" w:color="auto" w:sz="4" w:space="0"/>
              <w:bottom w:val="single" w:color="auto" w:sz="4" w:space="0"/>
              <w:right w:val="single" w:color="auto" w:sz="4" w:space="0"/>
            </w:tcBorders>
            <w:shd w:val="clear" w:color="000000" w:fill="auto"/>
            <w:vAlign w:val="center"/>
          </w:tcPr>
          <w:p>
            <w:pPr>
              <w:spacing w:line="240" w:lineRule="auto"/>
              <w:jc w:val="center"/>
              <w:rPr>
                <w:b/>
                <w:bCs/>
                <w:sz w:val="21"/>
                <w:szCs w:val="21"/>
              </w:rPr>
            </w:pPr>
          </w:p>
        </w:tc>
      </w:tr>
      <w:tr>
        <w:tblPrEx>
          <w:shd w:val="clear" w:color="000000" w:fill="auto"/>
          <w:tblCellMar>
            <w:top w:w="0" w:type="dxa"/>
            <w:left w:w="28" w:type="dxa"/>
            <w:bottom w:w="0" w:type="dxa"/>
            <w:right w:w="28" w:type="dxa"/>
          </w:tblCellMar>
        </w:tblPrEx>
        <w:trPr>
          <w:gridAfter w:val="1"/>
          <w:wAfter w:w="35" w:type="pct"/>
          <w:trHeight w:val="270" w:hRule="atLeast"/>
          <w:jc w:val="center"/>
        </w:trPr>
        <w:tc>
          <w:tcPr>
            <w:tcW w:w="240"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1</w:t>
            </w:r>
          </w:p>
        </w:tc>
        <w:tc>
          <w:tcPr>
            <w:tcW w:w="865"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p>
        </w:tc>
        <w:tc>
          <w:tcPr>
            <w:tcW w:w="1493" w:type="pct"/>
            <w:gridSpan w:val="2"/>
            <w:tcBorders>
              <w:top w:val="nil"/>
              <w:left w:val="nil"/>
              <w:bottom w:val="single" w:color="auto" w:sz="4" w:space="0"/>
              <w:right w:val="single" w:color="auto" w:sz="4" w:space="0"/>
            </w:tcBorders>
            <w:shd w:val="clear" w:color="000000" w:fill="auto"/>
            <w:vAlign w:val="center"/>
          </w:tcPr>
          <w:p>
            <w:pPr>
              <w:spacing w:line="240" w:lineRule="auto"/>
              <w:jc w:val="center"/>
              <w:rPr>
                <w:sz w:val="21"/>
                <w:szCs w:val="21"/>
              </w:rPr>
            </w:pPr>
          </w:p>
        </w:tc>
        <w:tc>
          <w:tcPr>
            <w:tcW w:w="314" w:type="pct"/>
            <w:gridSpan w:val="2"/>
            <w:tcBorders>
              <w:top w:val="single" w:color="auto" w:sz="4" w:space="0"/>
              <w:left w:val="nil"/>
              <w:bottom w:val="single" w:color="auto" w:sz="4" w:space="0"/>
              <w:right w:val="single" w:color="auto" w:sz="4" w:space="0"/>
            </w:tcBorders>
            <w:shd w:val="clear" w:color="000000" w:fill="auto"/>
            <w:vAlign w:val="center"/>
          </w:tcPr>
          <w:p>
            <w:pPr>
              <w:spacing w:line="240" w:lineRule="auto"/>
              <w:jc w:val="center"/>
              <w:rPr>
                <w:sz w:val="21"/>
                <w:szCs w:val="21"/>
              </w:rPr>
            </w:pPr>
          </w:p>
        </w:tc>
        <w:tc>
          <w:tcPr>
            <w:tcW w:w="617" w:type="pct"/>
            <w:gridSpan w:val="3"/>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p>
        </w:tc>
        <w:tc>
          <w:tcPr>
            <w:tcW w:w="488" w:type="pct"/>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p>
        </w:tc>
        <w:tc>
          <w:tcPr>
            <w:tcW w:w="947"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p>
        </w:tc>
      </w:tr>
      <w:tr>
        <w:tblPrEx>
          <w:shd w:val="clear" w:color="000000" w:fill="ECECEC" w:themeFill="accent3" w:themeFillTint="33"/>
          <w:tblCellMar>
            <w:top w:w="0" w:type="dxa"/>
            <w:left w:w="28" w:type="dxa"/>
            <w:bottom w:w="0" w:type="dxa"/>
            <w:right w:w="28" w:type="dxa"/>
          </w:tblCellMar>
        </w:tblPrEx>
        <w:trPr>
          <w:gridBefore w:val="1"/>
          <w:wBefore w:w="17" w:type="pct"/>
          <w:trHeight w:val="270" w:hRule="atLeast"/>
          <w:jc w:val="center"/>
        </w:trPr>
        <w:tc>
          <w:tcPr>
            <w:tcW w:w="243" w:type="pct"/>
            <w:gridSpan w:val="2"/>
            <w:tcBorders>
              <w:top w:val="nil"/>
              <w:left w:val="single" w:color="auto" w:sz="4" w:space="0"/>
              <w:bottom w:val="single" w:color="auto" w:sz="4" w:space="0"/>
              <w:right w:val="single" w:color="auto" w:sz="4" w:space="0"/>
            </w:tcBorders>
            <w:shd w:val="clear" w:color="000000" w:fill="ECECEC" w:themeFill="accent3" w:themeFillTint="33"/>
            <w:vAlign w:val="center"/>
          </w:tcPr>
          <w:p>
            <w:pPr>
              <w:widowControl/>
              <w:jc w:val="center"/>
              <w:rPr>
                <w:color w:val="000000"/>
                <w:kern w:val="0"/>
                <w:sz w:val="18"/>
                <w:szCs w:val="18"/>
              </w:rPr>
            </w:pPr>
            <w:r>
              <w:rPr>
                <w:rFonts w:hint="eastAsia"/>
                <w:color w:val="000000"/>
                <w:kern w:val="0"/>
                <w:sz w:val="18"/>
                <w:szCs w:val="18"/>
              </w:rPr>
              <w:t>1</w:t>
            </w:r>
          </w:p>
        </w:tc>
        <w:tc>
          <w:tcPr>
            <w:tcW w:w="868" w:type="pct"/>
            <w:gridSpan w:val="2"/>
            <w:tcBorders>
              <w:top w:val="nil"/>
              <w:left w:val="single" w:color="auto" w:sz="4" w:space="0"/>
              <w:bottom w:val="single" w:color="auto" w:sz="4" w:space="0"/>
              <w:right w:val="single" w:color="auto" w:sz="4" w:space="0"/>
            </w:tcBorders>
            <w:shd w:val="clear" w:color="000000" w:fill="ECECEC" w:themeFill="accent3" w:themeFillTint="33"/>
            <w:vAlign w:val="center"/>
          </w:tcPr>
          <w:p>
            <w:pPr>
              <w:widowControl/>
              <w:jc w:val="center"/>
              <w:rPr>
                <w:color w:val="000000"/>
                <w:kern w:val="0"/>
                <w:sz w:val="18"/>
                <w:szCs w:val="18"/>
              </w:rPr>
            </w:pPr>
            <w:r>
              <w:rPr>
                <w:rFonts w:hint="eastAsia"/>
                <w:color w:val="000000"/>
                <w:kern w:val="0"/>
                <w:sz w:val="18"/>
                <w:szCs w:val="18"/>
              </w:rPr>
              <w:t>秸衣锁肥——秸秆基聚氨酯包膜肥料开拓者</w:t>
            </w:r>
          </w:p>
        </w:tc>
        <w:tc>
          <w:tcPr>
            <w:tcW w:w="1497" w:type="pct"/>
            <w:gridSpan w:val="2"/>
            <w:tcBorders>
              <w:top w:val="nil"/>
              <w:left w:val="nil"/>
              <w:bottom w:val="single" w:color="auto" w:sz="4" w:space="0"/>
              <w:right w:val="single" w:color="auto" w:sz="4" w:space="0"/>
            </w:tcBorders>
            <w:shd w:val="clear" w:color="000000" w:fill="ECECEC" w:themeFill="accent3" w:themeFillTint="33"/>
            <w:vAlign w:val="center"/>
          </w:tcPr>
          <w:p>
            <w:pPr>
              <w:widowControl/>
              <w:jc w:val="center"/>
              <w:rPr>
                <w:color w:val="000000"/>
                <w:kern w:val="0"/>
                <w:sz w:val="18"/>
                <w:szCs w:val="18"/>
              </w:rPr>
            </w:pPr>
            <w:r>
              <w:rPr>
                <w:rFonts w:hint="eastAsia"/>
                <w:color w:val="000000"/>
                <w:kern w:val="0"/>
                <w:sz w:val="18"/>
                <w:szCs w:val="18"/>
              </w:rPr>
              <w:t>董晶晶、代佳颖、石若琳、张天骄、鄂高阳、陈思宇、王硕、刘翔、王景湄、张可欣、郭蕾、崔昊、陈硕、张泽茜、谷天溟</w:t>
            </w:r>
          </w:p>
        </w:tc>
        <w:tc>
          <w:tcPr>
            <w:tcW w:w="316" w:type="pct"/>
            <w:gridSpan w:val="2"/>
            <w:tcBorders>
              <w:top w:val="single" w:color="auto" w:sz="4" w:space="0"/>
              <w:left w:val="nil"/>
              <w:bottom w:val="single" w:color="auto" w:sz="4" w:space="0"/>
              <w:right w:val="single" w:color="auto" w:sz="4" w:space="0"/>
            </w:tcBorders>
            <w:shd w:val="clear" w:color="000000" w:fill="ECECEC" w:themeFill="accent3" w:themeFillTint="33"/>
            <w:vAlign w:val="center"/>
          </w:tcPr>
          <w:p>
            <w:pPr>
              <w:widowControl/>
              <w:jc w:val="center"/>
              <w:rPr>
                <w:color w:val="000000"/>
                <w:kern w:val="0"/>
                <w:sz w:val="18"/>
                <w:szCs w:val="18"/>
              </w:rPr>
            </w:pPr>
            <w:r>
              <w:rPr>
                <w:rFonts w:hint="eastAsia"/>
                <w:color w:val="000000"/>
                <w:kern w:val="0"/>
                <w:sz w:val="18"/>
                <w:szCs w:val="18"/>
              </w:rPr>
              <w:t>2</w:t>
            </w:r>
            <w:r>
              <w:rPr>
                <w:color w:val="000000"/>
                <w:kern w:val="0"/>
                <w:sz w:val="18"/>
                <w:szCs w:val="18"/>
              </w:rPr>
              <w:t>018</w:t>
            </w:r>
          </w:p>
        </w:tc>
        <w:tc>
          <w:tcPr>
            <w:tcW w:w="475" w:type="pct"/>
            <w:tcBorders>
              <w:top w:val="single" w:color="auto" w:sz="4" w:space="0"/>
              <w:left w:val="single" w:color="auto" w:sz="4" w:space="0"/>
              <w:bottom w:val="single" w:color="auto" w:sz="4" w:space="0"/>
              <w:right w:val="single" w:color="auto" w:sz="4" w:space="0"/>
            </w:tcBorders>
            <w:shd w:val="clear" w:color="000000" w:fill="ECECEC" w:themeFill="accent3" w:themeFillTint="33"/>
            <w:vAlign w:val="center"/>
          </w:tcPr>
          <w:p>
            <w:pPr>
              <w:widowControl/>
              <w:jc w:val="center"/>
              <w:rPr>
                <w:color w:val="000000"/>
                <w:kern w:val="0"/>
                <w:sz w:val="18"/>
                <w:szCs w:val="18"/>
              </w:rPr>
            </w:pPr>
            <w:r>
              <w:rPr>
                <w:color w:val="000000"/>
                <w:kern w:val="0"/>
                <w:sz w:val="18"/>
                <w:szCs w:val="18"/>
              </w:rPr>
              <w:t>农业资源与环境</w:t>
            </w:r>
          </w:p>
        </w:tc>
        <w:tc>
          <w:tcPr>
            <w:tcW w:w="633" w:type="pct"/>
            <w:gridSpan w:val="3"/>
            <w:tcBorders>
              <w:top w:val="single" w:color="auto" w:sz="4" w:space="0"/>
              <w:left w:val="single" w:color="auto" w:sz="4" w:space="0"/>
              <w:bottom w:val="single" w:color="auto" w:sz="4" w:space="0"/>
              <w:right w:val="single" w:color="auto" w:sz="4" w:space="0"/>
            </w:tcBorders>
            <w:shd w:val="clear" w:color="000000" w:fill="ECECEC" w:themeFill="accent3" w:themeFillTint="33"/>
            <w:vAlign w:val="center"/>
          </w:tcPr>
          <w:p>
            <w:pPr>
              <w:widowControl/>
              <w:jc w:val="center"/>
              <w:rPr>
                <w:color w:val="000000"/>
                <w:kern w:val="0"/>
                <w:sz w:val="18"/>
                <w:szCs w:val="18"/>
              </w:rPr>
            </w:pPr>
            <w:r>
              <w:rPr>
                <w:color w:val="000000"/>
                <w:kern w:val="0"/>
                <w:sz w:val="18"/>
                <w:szCs w:val="18"/>
              </w:rPr>
              <w:t>刘之广</w:t>
            </w:r>
          </w:p>
        </w:tc>
        <w:tc>
          <w:tcPr>
            <w:tcW w:w="950" w:type="pct"/>
            <w:gridSpan w:val="2"/>
            <w:tcBorders>
              <w:top w:val="nil"/>
              <w:left w:val="single" w:color="auto" w:sz="4" w:space="0"/>
              <w:bottom w:val="single" w:color="auto" w:sz="4" w:space="0"/>
              <w:right w:val="single" w:color="auto" w:sz="4" w:space="0"/>
            </w:tcBorders>
            <w:shd w:val="clear" w:color="000000" w:fill="ECECEC" w:themeFill="accent3" w:themeFillTint="33"/>
            <w:vAlign w:val="center"/>
          </w:tcPr>
          <w:p>
            <w:pPr>
              <w:widowControl/>
              <w:jc w:val="center"/>
              <w:rPr>
                <w:color w:val="000000"/>
                <w:kern w:val="0"/>
                <w:szCs w:val="21"/>
              </w:rPr>
            </w:pPr>
            <w:bookmarkStart w:id="169" w:name="OLE_LINK4"/>
            <w:bookmarkStart w:id="170" w:name="OLE_LINK5"/>
            <w:r>
              <w:rPr>
                <w:rFonts w:hint="eastAsia" w:ascii="仿宋_GB2312" w:hAnsi="仿宋_GB2312" w:eastAsia="仿宋_GB2312" w:cs="仿宋_GB2312"/>
                <w:color w:val="0D0D0D" w:themeColor="text1" w:themeTint="F2"/>
                <w:szCs w:val="21"/>
                <w14:textFill>
                  <w14:solidFill>
                    <w14:schemeClr w14:val="tx1">
                      <w14:lumMod w14:val="95000"/>
                      <w14:lumOff w14:val="5000"/>
                    </w14:schemeClr>
                  </w14:solidFill>
                </w14:textFill>
              </w:rPr>
              <w:t>第八届中国国际“互联网+”大学生创新创业大赛</w:t>
            </w:r>
            <w:bookmarkEnd w:id="169"/>
            <w:bookmarkEnd w:id="170"/>
            <w:r>
              <w:rPr>
                <w:rFonts w:hint="eastAsia" w:ascii="仿宋_GB2312" w:hAnsi="仿宋_GB2312" w:eastAsia="仿宋_GB2312" w:cs="仿宋_GB2312"/>
                <w:color w:val="0D0D0D" w:themeColor="text1" w:themeTint="F2"/>
                <w:szCs w:val="21"/>
                <w14:textFill>
                  <w14:solidFill>
                    <w14:schemeClr w14:val="tx1">
                      <w14:lumMod w14:val="95000"/>
                      <w14:lumOff w14:val="5000"/>
                    </w14:schemeClr>
                  </w14:solidFill>
                </w14:textFill>
              </w:rPr>
              <w:t>金奖</w:t>
            </w:r>
          </w:p>
        </w:tc>
      </w:tr>
      <w:tr>
        <w:tblPrEx>
          <w:shd w:val="clear" w:color="000000" w:fill="ECECEC" w:themeFill="accent3" w:themeFillTint="33"/>
          <w:tblCellMar>
            <w:top w:w="0" w:type="dxa"/>
            <w:left w:w="28" w:type="dxa"/>
            <w:bottom w:w="0" w:type="dxa"/>
            <w:right w:w="28" w:type="dxa"/>
          </w:tblCellMar>
        </w:tblPrEx>
        <w:trPr>
          <w:gridBefore w:val="1"/>
          <w:wBefore w:w="17" w:type="pct"/>
          <w:trHeight w:val="270" w:hRule="atLeast"/>
          <w:jc w:val="center"/>
        </w:trPr>
        <w:tc>
          <w:tcPr>
            <w:tcW w:w="243" w:type="pct"/>
            <w:gridSpan w:val="2"/>
            <w:tcBorders>
              <w:top w:val="nil"/>
              <w:left w:val="single" w:color="auto" w:sz="4" w:space="0"/>
              <w:bottom w:val="single" w:color="auto" w:sz="4" w:space="0"/>
              <w:right w:val="single" w:color="auto" w:sz="4" w:space="0"/>
            </w:tcBorders>
            <w:shd w:val="clear" w:color="000000" w:fill="ECECEC" w:themeFill="accent3" w:themeFillTint="33"/>
            <w:vAlign w:val="center"/>
          </w:tcPr>
          <w:p>
            <w:pPr>
              <w:widowControl/>
              <w:jc w:val="center"/>
              <w:rPr>
                <w:color w:val="000000"/>
                <w:kern w:val="0"/>
                <w:sz w:val="18"/>
                <w:szCs w:val="18"/>
              </w:rPr>
            </w:pPr>
            <w:r>
              <w:rPr>
                <w:rFonts w:hint="eastAsia"/>
                <w:color w:val="000000"/>
                <w:kern w:val="0"/>
                <w:sz w:val="18"/>
                <w:szCs w:val="18"/>
              </w:rPr>
              <w:t>2</w:t>
            </w:r>
          </w:p>
        </w:tc>
        <w:tc>
          <w:tcPr>
            <w:tcW w:w="868" w:type="pct"/>
            <w:gridSpan w:val="2"/>
            <w:tcBorders>
              <w:top w:val="nil"/>
              <w:left w:val="single" w:color="auto" w:sz="4" w:space="0"/>
              <w:bottom w:val="single" w:color="auto" w:sz="4" w:space="0"/>
              <w:right w:val="single" w:color="auto" w:sz="4" w:space="0"/>
            </w:tcBorders>
            <w:shd w:val="clear" w:color="000000" w:fill="ECECEC" w:themeFill="accent3" w:themeFillTint="33"/>
            <w:vAlign w:val="center"/>
          </w:tcPr>
          <w:p>
            <w:pPr>
              <w:widowControl/>
              <w:jc w:val="center"/>
              <w:rPr>
                <w:color w:val="000000"/>
                <w:kern w:val="0"/>
                <w:sz w:val="18"/>
                <w:szCs w:val="18"/>
              </w:rPr>
            </w:pPr>
            <w:r>
              <w:rPr>
                <w:rFonts w:hint="eastAsia"/>
                <w:color w:val="000000"/>
                <w:kern w:val="0"/>
                <w:sz w:val="18"/>
                <w:szCs w:val="18"/>
              </w:rPr>
              <w:t>肥料“芯片”——绿色包膜控释肥膜材增效剂开创者</w:t>
            </w:r>
          </w:p>
        </w:tc>
        <w:tc>
          <w:tcPr>
            <w:tcW w:w="1497" w:type="pct"/>
            <w:gridSpan w:val="2"/>
            <w:tcBorders>
              <w:top w:val="nil"/>
              <w:left w:val="nil"/>
              <w:bottom w:val="single" w:color="auto" w:sz="4" w:space="0"/>
              <w:right w:val="single" w:color="auto" w:sz="4" w:space="0"/>
            </w:tcBorders>
            <w:shd w:val="clear" w:color="000000" w:fill="ECECEC" w:themeFill="accent3" w:themeFillTint="33"/>
            <w:vAlign w:val="center"/>
          </w:tcPr>
          <w:p>
            <w:pPr>
              <w:widowControl/>
              <w:jc w:val="center"/>
              <w:rPr>
                <w:color w:val="000000"/>
                <w:kern w:val="0"/>
                <w:sz w:val="18"/>
                <w:szCs w:val="18"/>
              </w:rPr>
            </w:pPr>
            <w:r>
              <w:rPr>
                <w:rFonts w:hint="eastAsia"/>
                <w:color w:val="000000"/>
                <w:kern w:val="0"/>
                <w:sz w:val="18"/>
                <w:szCs w:val="18"/>
              </w:rPr>
              <w:t>于震、陈登论、张衍鹏、王泽坤、高之琳、李俊银、刘成豪、王德馨、王晓悦、刘燕、张廷、韩美琪、张依诺、岳东晓、马晓晓</w:t>
            </w:r>
          </w:p>
        </w:tc>
        <w:tc>
          <w:tcPr>
            <w:tcW w:w="316" w:type="pct"/>
            <w:gridSpan w:val="2"/>
            <w:tcBorders>
              <w:top w:val="single" w:color="auto" w:sz="4" w:space="0"/>
              <w:left w:val="nil"/>
              <w:bottom w:val="single" w:color="auto" w:sz="4" w:space="0"/>
              <w:right w:val="single" w:color="auto" w:sz="4" w:space="0"/>
            </w:tcBorders>
            <w:shd w:val="clear" w:color="000000" w:fill="ECECEC" w:themeFill="accent3" w:themeFillTint="33"/>
            <w:vAlign w:val="center"/>
          </w:tcPr>
          <w:p>
            <w:pPr>
              <w:widowControl/>
              <w:jc w:val="center"/>
              <w:rPr>
                <w:color w:val="000000"/>
                <w:kern w:val="0"/>
                <w:sz w:val="18"/>
                <w:szCs w:val="18"/>
              </w:rPr>
            </w:pPr>
            <w:r>
              <w:rPr>
                <w:rFonts w:hint="eastAsia"/>
                <w:color w:val="000000"/>
                <w:kern w:val="0"/>
                <w:sz w:val="18"/>
                <w:szCs w:val="18"/>
              </w:rPr>
              <w:t>2</w:t>
            </w:r>
            <w:r>
              <w:rPr>
                <w:color w:val="000000"/>
                <w:kern w:val="0"/>
                <w:sz w:val="18"/>
                <w:szCs w:val="18"/>
              </w:rPr>
              <w:t>020</w:t>
            </w:r>
          </w:p>
        </w:tc>
        <w:tc>
          <w:tcPr>
            <w:tcW w:w="475" w:type="pct"/>
            <w:tcBorders>
              <w:top w:val="single" w:color="auto" w:sz="4" w:space="0"/>
              <w:left w:val="single" w:color="auto" w:sz="4" w:space="0"/>
              <w:bottom w:val="single" w:color="auto" w:sz="4" w:space="0"/>
              <w:right w:val="single" w:color="auto" w:sz="4" w:space="0"/>
            </w:tcBorders>
            <w:shd w:val="clear" w:color="000000" w:fill="ECECEC" w:themeFill="accent3" w:themeFillTint="33"/>
            <w:vAlign w:val="center"/>
          </w:tcPr>
          <w:p>
            <w:pPr>
              <w:widowControl/>
              <w:jc w:val="center"/>
              <w:rPr>
                <w:color w:val="000000"/>
                <w:kern w:val="0"/>
                <w:sz w:val="18"/>
                <w:szCs w:val="18"/>
              </w:rPr>
            </w:pPr>
            <w:r>
              <w:rPr>
                <w:color w:val="000000"/>
                <w:kern w:val="0"/>
                <w:sz w:val="18"/>
                <w:szCs w:val="18"/>
              </w:rPr>
              <w:t>农业资源与环境</w:t>
            </w:r>
          </w:p>
        </w:tc>
        <w:tc>
          <w:tcPr>
            <w:tcW w:w="633" w:type="pct"/>
            <w:gridSpan w:val="3"/>
            <w:tcBorders>
              <w:top w:val="single" w:color="auto" w:sz="4" w:space="0"/>
              <w:left w:val="single" w:color="auto" w:sz="4" w:space="0"/>
              <w:bottom w:val="single" w:color="auto" w:sz="4" w:space="0"/>
              <w:right w:val="single" w:color="auto" w:sz="4" w:space="0"/>
            </w:tcBorders>
            <w:shd w:val="clear" w:color="000000" w:fill="ECECEC" w:themeFill="accent3" w:themeFillTint="33"/>
            <w:vAlign w:val="center"/>
          </w:tcPr>
          <w:p>
            <w:pPr>
              <w:widowControl/>
              <w:jc w:val="center"/>
              <w:rPr>
                <w:color w:val="000000"/>
                <w:kern w:val="0"/>
                <w:sz w:val="18"/>
                <w:szCs w:val="18"/>
              </w:rPr>
            </w:pPr>
            <w:r>
              <w:rPr>
                <w:color w:val="000000"/>
                <w:kern w:val="0"/>
                <w:sz w:val="18"/>
                <w:szCs w:val="18"/>
              </w:rPr>
              <w:t>杨越超</w:t>
            </w:r>
          </w:p>
        </w:tc>
        <w:tc>
          <w:tcPr>
            <w:tcW w:w="950" w:type="pct"/>
            <w:gridSpan w:val="2"/>
            <w:tcBorders>
              <w:top w:val="nil"/>
              <w:left w:val="single" w:color="auto" w:sz="4" w:space="0"/>
              <w:bottom w:val="single" w:color="auto" w:sz="4" w:space="0"/>
              <w:right w:val="single" w:color="auto" w:sz="4" w:space="0"/>
            </w:tcBorders>
            <w:shd w:val="clear" w:color="000000" w:fill="ECECEC" w:themeFill="accent3" w:themeFillTint="33"/>
            <w:vAlign w:val="center"/>
          </w:tcPr>
          <w:p>
            <w:pPr>
              <w:widowControl/>
              <w:jc w:val="center"/>
              <w:rPr>
                <w:color w:val="000000"/>
                <w:kern w:val="0"/>
                <w:szCs w:val="21"/>
              </w:rPr>
            </w:pPr>
            <w:r>
              <w:rPr>
                <w:rFonts w:hint="eastAsia" w:ascii="仿宋_GB2312" w:hAnsi="仿宋_GB2312" w:eastAsia="仿宋_GB2312" w:cs="仿宋_GB2312"/>
                <w:color w:val="0D0D0D" w:themeColor="text1" w:themeTint="F2"/>
                <w:szCs w:val="21"/>
                <w14:textFill>
                  <w14:solidFill>
                    <w14:schemeClr w14:val="tx1">
                      <w14:lumMod w14:val="95000"/>
                      <w14:lumOff w14:val="5000"/>
                    </w14:schemeClr>
                  </w14:solidFill>
                </w14:textFill>
              </w:rPr>
              <w:t>第八届中国国际“互联网+”大学生创新创业大赛铜奖</w:t>
            </w:r>
          </w:p>
        </w:tc>
      </w:tr>
      <w:tr>
        <w:tblPrEx>
          <w:shd w:val="clear" w:color="000000" w:fill="auto"/>
          <w:tblCellMar>
            <w:top w:w="0" w:type="dxa"/>
            <w:left w:w="28" w:type="dxa"/>
            <w:bottom w:w="0" w:type="dxa"/>
            <w:right w:w="28" w:type="dxa"/>
          </w:tblCellMar>
        </w:tblPrEx>
        <w:trPr>
          <w:gridAfter w:val="1"/>
          <w:wAfter w:w="35" w:type="pct"/>
          <w:trHeight w:val="270" w:hRule="atLeast"/>
          <w:jc w:val="center"/>
        </w:trPr>
        <w:tc>
          <w:tcPr>
            <w:tcW w:w="240"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rFonts w:hint="eastAsia"/>
                <w:sz w:val="21"/>
                <w:szCs w:val="21"/>
              </w:rPr>
              <w:t>3</w:t>
            </w:r>
          </w:p>
        </w:tc>
        <w:tc>
          <w:tcPr>
            <w:tcW w:w="865"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抗逆型包膜控释肥—开拓科技兴农新时代</w:t>
            </w:r>
          </w:p>
        </w:tc>
        <w:tc>
          <w:tcPr>
            <w:tcW w:w="1493" w:type="pct"/>
            <w:gridSpan w:val="2"/>
            <w:tcBorders>
              <w:top w:val="nil"/>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杜龙旭、田虹雨、代佳颖、段建杭、李建坤</w:t>
            </w:r>
          </w:p>
        </w:tc>
        <w:tc>
          <w:tcPr>
            <w:tcW w:w="314" w:type="pct"/>
            <w:gridSpan w:val="2"/>
            <w:tcBorders>
              <w:top w:val="single" w:color="auto" w:sz="4" w:space="0"/>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2019</w:t>
            </w:r>
          </w:p>
        </w:tc>
        <w:tc>
          <w:tcPr>
            <w:tcW w:w="617" w:type="pct"/>
            <w:gridSpan w:val="3"/>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农业资源与环境</w:t>
            </w:r>
          </w:p>
        </w:tc>
        <w:tc>
          <w:tcPr>
            <w:tcW w:w="488" w:type="pct"/>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刘之广</w:t>
            </w:r>
          </w:p>
        </w:tc>
        <w:tc>
          <w:tcPr>
            <w:tcW w:w="947"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第八届山东省科技创新大赛省级一等奖</w:t>
            </w:r>
          </w:p>
        </w:tc>
      </w:tr>
      <w:tr>
        <w:tblPrEx>
          <w:shd w:val="clear" w:color="000000" w:fill="auto"/>
          <w:tblCellMar>
            <w:top w:w="0" w:type="dxa"/>
            <w:left w:w="28" w:type="dxa"/>
            <w:bottom w:w="0" w:type="dxa"/>
            <w:right w:w="28" w:type="dxa"/>
          </w:tblCellMar>
        </w:tblPrEx>
        <w:trPr>
          <w:gridAfter w:val="1"/>
          <w:wAfter w:w="35" w:type="pct"/>
          <w:trHeight w:val="270" w:hRule="atLeast"/>
          <w:jc w:val="center"/>
        </w:trPr>
        <w:tc>
          <w:tcPr>
            <w:tcW w:w="240"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4</w:t>
            </w:r>
          </w:p>
        </w:tc>
        <w:tc>
          <w:tcPr>
            <w:tcW w:w="865"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植物源材料包膜控释肥助力农业碳减排</w:t>
            </w:r>
          </w:p>
        </w:tc>
        <w:tc>
          <w:tcPr>
            <w:tcW w:w="1493" w:type="pct"/>
            <w:gridSpan w:val="2"/>
            <w:tcBorders>
              <w:top w:val="nil"/>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于震、张衍鹏、王嘉莹、马晓晓、姚瑞琪</w:t>
            </w:r>
          </w:p>
        </w:tc>
        <w:tc>
          <w:tcPr>
            <w:tcW w:w="314" w:type="pct"/>
            <w:gridSpan w:val="2"/>
            <w:tcBorders>
              <w:top w:val="single" w:color="auto" w:sz="4" w:space="0"/>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2020</w:t>
            </w:r>
          </w:p>
        </w:tc>
        <w:tc>
          <w:tcPr>
            <w:tcW w:w="617" w:type="pct"/>
            <w:gridSpan w:val="3"/>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农业资源与环境</w:t>
            </w:r>
          </w:p>
        </w:tc>
        <w:tc>
          <w:tcPr>
            <w:tcW w:w="488" w:type="pct"/>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杨越超</w:t>
            </w:r>
          </w:p>
        </w:tc>
        <w:tc>
          <w:tcPr>
            <w:tcW w:w="947"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第八届山东省科技创新大赛省级一等奖</w:t>
            </w:r>
          </w:p>
        </w:tc>
      </w:tr>
      <w:tr>
        <w:tblPrEx>
          <w:shd w:val="clear" w:color="000000" w:fill="auto"/>
          <w:tblCellMar>
            <w:top w:w="0" w:type="dxa"/>
            <w:left w:w="28" w:type="dxa"/>
            <w:bottom w:w="0" w:type="dxa"/>
            <w:right w:w="28" w:type="dxa"/>
          </w:tblCellMar>
        </w:tblPrEx>
        <w:trPr>
          <w:gridAfter w:val="1"/>
          <w:wAfter w:w="35" w:type="pct"/>
          <w:trHeight w:val="270" w:hRule="atLeast"/>
          <w:jc w:val="center"/>
        </w:trPr>
        <w:tc>
          <w:tcPr>
            <w:tcW w:w="240"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5</w:t>
            </w:r>
          </w:p>
        </w:tc>
        <w:tc>
          <w:tcPr>
            <w:tcW w:w="865"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果业提质有妙招-就地分散式堆肥</w:t>
            </w:r>
          </w:p>
        </w:tc>
        <w:tc>
          <w:tcPr>
            <w:tcW w:w="1493" w:type="pct"/>
            <w:gridSpan w:val="2"/>
            <w:tcBorders>
              <w:top w:val="nil"/>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孙筱斐、赵桐 、王德馨、高志琳、李时鑫</w:t>
            </w:r>
          </w:p>
        </w:tc>
        <w:tc>
          <w:tcPr>
            <w:tcW w:w="314" w:type="pct"/>
            <w:gridSpan w:val="2"/>
            <w:tcBorders>
              <w:top w:val="single" w:color="auto" w:sz="4" w:space="0"/>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2019</w:t>
            </w:r>
          </w:p>
        </w:tc>
        <w:tc>
          <w:tcPr>
            <w:tcW w:w="617" w:type="pct"/>
            <w:gridSpan w:val="3"/>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农业资源与环境</w:t>
            </w:r>
          </w:p>
        </w:tc>
        <w:tc>
          <w:tcPr>
            <w:tcW w:w="488" w:type="pct"/>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时连辉</w:t>
            </w:r>
          </w:p>
        </w:tc>
        <w:tc>
          <w:tcPr>
            <w:tcW w:w="947"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第八届山东省科技创新大赛省级二等奖</w:t>
            </w:r>
          </w:p>
        </w:tc>
      </w:tr>
      <w:tr>
        <w:tblPrEx>
          <w:shd w:val="clear" w:color="000000" w:fill="auto"/>
          <w:tblCellMar>
            <w:top w:w="0" w:type="dxa"/>
            <w:left w:w="28" w:type="dxa"/>
            <w:bottom w:w="0" w:type="dxa"/>
            <w:right w:w="28" w:type="dxa"/>
          </w:tblCellMar>
        </w:tblPrEx>
        <w:trPr>
          <w:gridAfter w:val="1"/>
          <w:wAfter w:w="35" w:type="pct"/>
          <w:trHeight w:val="270" w:hRule="atLeast"/>
          <w:jc w:val="center"/>
        </w:trPr>
        <w:tc>
          <w:tcPr>
            <w:tcW w:w="240"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6</w:t>
            </w:r>
          </w:p>
        </w:tc>
        <w:tc>
          <w:tcPr>
            <w:tcW w:w="865"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蔬菜种子丸粒化直播技术赋能农业绿色发展</w:t>
            </w:r>
          </w:p>
        </w:tc>
        <w:tc>
          <w:tcPr>
            <w:tcW w:w="1493" w:type="pct"/>
            <w:gridSpan w:val="2"/>
            <w:tcBorders>
              <w:top w:val="nil"/>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刘安然、高峰、孟宇晗、王钦、张欣然</w:t>
            </w:r>
          </w:p>
        </w:tc>
        <w:tc>
          <w:tcPr>
            <w:tcW w:w="314" w:type="pct"/>
            <w:gridSpan w:val="2"/>
            <w:tcBorders>
              <w:top w:val="single" w:color="auto" w:sz="4" w:space="0"/>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2019</w:t>
            </w:r>
          </w:p>
        </w:tc>
        <w:tc>
          <w:tcPr>
            <w:tcW w:w="617" w:type="pct"/>
            <w:gridSpan w:val="3"/>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农业资源与环境</w:t>
            </w:r>
          </w:p>
        </w:tc>
        <w:tc>
          <w:tcPr>
            <w:tcW w:w="488" w:type="pct"/>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刘之广</w:t>
            </w:r>
          </w:p>
        </w:tc>
        <w:tc>
          <w:tcPr>
            <w:tcW w:w="947"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第八届山东省科技创新大赛省级三等奖</w:t>
            </w:r>
          </w:p>
        </w:tc>
      </w:tr>
      <w:tr>
        <w:tblPrEx>
          <w:shd w:val="clear" w:color="000000" w:fill="auto"/>
          <w:tblCellMar>
            <w:top w:w="0" w:type="dxa"/>
            <w:left w:w="28" w:type="dxa"/>
            <w:bottom w:w="0" w:type="dxa"/>
            <w:right w:w="28" w:type="dxa"/>
          </w:tblCellMar>
        </w:tblPrEx>
        <w:trPr>
          <w:gridAfter w:val="1"/>
          <w:wAfter w:w="35" w:type="pct"/>
          <w:trHeight w:val="270" w:hRule="atLeast"/>
          <w:jc w:val="center"/>
        </w:trPr>
        <w:tc>
          <w:tcPr>
            <w:tcW w:w="240"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7</w:t>
            </w:r>
          </w:p>
        </w:tc>
        <w:tc>
          <w:tcPr>
            <w:tcW w:w="865"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盐碱有稻—改良盐碱地育秧行业领跑者</w:t>
            </w:r>
          </w:p>
        </w:tc>
        <w:tc>
          <w:tcPr>
            <w:tcW w:w="1493" w:type="pct"/>
            <w:gridSpan w:val="2"/>
            <w:tcBorders>
              <w:top w:val="nil"/>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马雨彤、李珊、王润楠、张依诺、陈硕</w:t>
            </w:r>
          </w:p>
        </w:tc>
        <w:tc>
          <w:tcPr>
            <w:tcW w:w="314" w:type="pct"/>
            <w:gridSpan w:val="2"/>
            <w:tcBorders>
              <w:top w:val="single" w:color="auto" w:sz="4" w:space="0"/>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2019</w:t>
            </w:r>
          </w:p>
        </w:tc>
        <w:tc>
          <w:tcPr>
            <w:tcW w:w="617" w:type="pct"/>
            <w:gridSpan w:val="3"/>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农业资源与环境</w:t>
            </w:r>
          </w:p>
        </w:tc>
        <w:tc>
          <w:tcPr>
            <w:tcW w:w="488" w:type="pct"/>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杨越超</w:t>
            </w:r>
          </w:p>
        </w:tc>
        <w:tc>
          <w:tcPr>
            <w:tcW w:w="947"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第八届山东省科技创新大赛省级三等奖</w:t>
            </w:r>
          </w:p>
        </w:tc>
      </w:tr>
      <w:tr>
        <w:tblPrEx>
          <w:shd w:val="clear" w:color="000000" w:fill="auto"/>
          <w:tblCellMar>
            <w:top w:w="0" w:type="dxa"/>
            <w:left w:w="28" w:type="dxa"/>
            <w:bottom w:w="0" w:type="dxa"/>
            <w:right w:w="28" w:type="dxa"/>
          </w:tblCellMar>
        </w:tblPrEx>
        <w:trPr>
          <w:gridAfter w:val="1"/>
          <w:wAfter w:w="35" w:type="pct"/>
          <w:trHeight w:val="270" w:hRule="atLeast"/>
          <w:jc w:val="center"/>
        </w:trPr>
        <w:tc>
          <w:tcPr>
            <w:tcW w:w="240"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8</w:t>
            </w:r>
          </w:p>
        </w:tc>
        <w:tc>
          <w:tcPr>
            <w:tcW w:w="865"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秸秆基聚氨酯包膜肥料助力农业固碳减排、稳粮增收</w:t>
            </w:r>
          </w:p>
        </w:tc>
        <w:tc>
          <w:tcPr>
            <w:tcW w:w="1493" w:type="pct"/>
            <w:gridSpan w:val="2"/>
            <w:tcBorders>
              <w:top w:val="nil"/>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董晶晶、代佳颖、陈思宇、石若琳、段建行、张可欣、杜龙旭、郭蕾、崔昊、陈硕、鄂高阳、邱丽雪、杨云博、孙瑶、杨阳</w:t>
            </w:r>
          </w:p>
        </w:tc>
        <w:tc>
          <w:tcPr>
            <w:tcW w:w="314" w:type="pct"/>
            <w:gridSpan w:val="2"/>
            <w:tcBorders>
              <w:top w:val="single" w:color="auto" w:sz="4" w:space="0"/>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2018</w:t>
            </w:r>
          </w:p>
        </w:tc>
        <w:tc>
          <w:tcPr>
            <w:tcW w:w="617" w:type="pct"/>
            <w:gridSpan w:val="3"/>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农业资源与环境</w:t>
            </w:r>
          </w:p>
        </w:tc>
        <w:tc>
          <w:tcPr>
            <w:tcW w:w="488" w:type="pct"/>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刘之广</w:t>
            </w:r>
          </w:p>
        </w:tc>
        <w:tc>
          <w:tcPr>
            <w:tcW w:w="947"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第八届山东省</w:t>
            </w:r>
            <w:r>
              <w:rPr>
                <w:rFonts w:hint="eastAsia"/>
                <w:sz w:val="21"/>
                <w:szCs w:val="21"/>
              </w:rPr>
              <w:t>“</w:t>
            </w:r>
            <w:r>
              <w:rPr>
                <w:sz w:val="21"/>
                <w:szCs w:val="21"/>
              </w:rPr>
              <w:t>互联网+</w:t>
            </w:r>
            <w:r>
              <w:rPr>
                <w:rFonts w:hint="eastAsia"/>
                <w:sz w:val="21"/>
                <w:szCs w:val="21"/>
              </w:rPr>
              <w:t>”</w:t>
            </w:r>
            <w:r>
              <w:rPr>
                <w:sz w:val="21"/>
                <w:szCs w:val="21"/>
              </w:rPr>
              <w:t>大学生创新创业大赛，省级金奖</w:t>
            </w:r>
          </w:p>
        </w:tc>
      </w:tr>
      <w:tr>
        <w:tblPrEx>
          <w:shd w:val="clear" w:color="000000" w:fill="auto"/>
          <w:tblCellMar>
            <w:top w:w="0" w:type="dxa"/>
            <w:left w:w="28" w:type="dxa"/>
            <w:bottom w:w="0" w:type="dxa"/>
            <w:right w:w="28" w:type="dxa"/>
          </w:tblCellMar>
        </w:tblPrEx>
        <w:trPr>
          <w:gridAfter w:val="1"/>
          <w:wAfter w:w="35" w:type="pct"/>
          <w:trHeight w:val="270" w:hRule="atLeast"/>
          <w:jc w:val="center"/>
        </w:trPr>
        <w:tc>
          <w:tcPr>
            <w:tcW w:w="240"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9</w:t>
            </w:r>
          </w:p>
        </w:tc>
        <w:tc>
          <w:tcPr>
            <w:tcW w:w="865"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点膜成金—高性能植物源膜材增效剂引领者</w:t>
            </w:r>
          </w:p>
        </w:tc>
        <w:tc>
          <w:tcPr>
            <w:tcW w:w="1493" w:type="pct"/>
            <w:gridSpan w:val="2"/>
            <w:tcBorders>
              <w:top w:val="nil"/>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于震、张依诺、刘成豪、陈登论、王德馨、王晓悦、李俊银、吴金鹏、韩美琪、张衍鹏、王泽坤、刘文烁、王芊惠、闫玉颖、鄂高阳</w:t>
            </w:r>
          </w:p>
        </w:tc>
        <w:tc>
          <w:tcPr>
            <w:tcW w:w="314" w:type="pct"/>
            <w:gridSpan w:val="2"/>
            <w:tcBorders>
              <w:top w:val="single" w:color="auto" w:sz="4" w:space="0"/>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2020</w:t>
            </w:r>
          </w:p>
        </w:tc>
        <w:tc>
          <w:tcPr>
            <w:tcW w:w="617" w:type="pct"/>
            <w:gridSpan w:val="3"/>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农业资源与环境</w:t>
            </w:r>
          </w:p>
        </w:tc>
        <w:tc>
          <w:tcPr>
            <w:tcW w:w="488" w:type="pct"/>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杨越超</w:t>
            </w:r>
          </w:p>
        </w:tc>
        <w:tc>
          <w:tcPr>
            <w:tcW w:w="947"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第八届山东省</w:t>
            </w:r>
            <w:r>
              <w:rPr>
                <w:rFonts w:hint="eastAsia"/>
                <w:sz w:val="21"/>
                <w:szCs w:val="21"/>
              </w:rPr>
              <w:t>“</w:t>
            </w:r>
            <w:r>
              <w:rPr>
                <w:sz w:val="21"/>
                <w:szCs w:val="21"/>
              </w:rPr>
              <w:t>互联网+</w:t>
            </w:r>
            <w:r>
              <w:rPr>
                <w:rFonts w:hint="eastAsia"/>
                <w:sz w:val="21"/>
                <w:szCs w:val="21"/>
              </w:rPr>
              <w:t>”</w:t>
            </w:r>
            <w:r>
              <w:rPr>
                <w:sz w:val="21"/>
                <w:szCs w:val="21"/>
              </w:rPr>
              <w:t>大学生创新创业大赛，省级金奖</w:t>
            </w:r>
          </w:p>
        </w:tc>
      </w:tr>
      <w:tr>
        <w:tblPrEx>
          <w:shd w:val="clear" w:color="000000" w:fill="auto"/>
          <w:tblCellMar>
            <w:top w:w="0" w:type="dxa"/>
            <w:left w:w="28" w:type="dxa"/>
            <w:bottom w:w="0" w:type="dxa"/>
            <w:right w:w="28" w:type="dxa"/>
          </w:tblCellMar>
        </w:tblPrEx>
        <w:trPr>
          <w:gridAfter w:val="1"/>
          <w:wAfter w:w="35" w:type="pct"/>
          <w:trHeight w:val="270" w:hRule="atLeast"/>
          <w:jc w:val="center"/>
        </w:trPr>
        <w:tc>
          <w:tcPr>
            <w:tcW w:w="240"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10</w:t>
            </w:r>
          </w:p>
        </w:tc>
        <w:tc>
          <w:tcPr>
            <w:tcW w:w="865"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蔬菜种子丸粒化直播技术赋能农业绿色发展</w:t>
            </w:r>
          </w:p>
        </w:tc>
        <w:tc>
          <w:tcPr>
            <w:tcW w:w="1493" w:type="pct"/>
            <w:gridSpan w:val="2"/>
            <w:tcBorders>
              <w:top w:val="nil"/>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张天骄、王景湄、 刘安然、 刘翔、 王硕、 鄂高阳、 董晶晶 、王林珂 、祁琬婷、 李本航 、 吴凯笛 、张可欣、 房文慧、 陈硕 、 谷天溟</w:t>
            </w:r>
          </w:p>
        </w:tc>
        <w:tc>
          <w:tcPr>
            <w:tcW w:w="314" w:type="pct"/>
            <w:gridSpan w:val="2"/>
            <w:tcBorders>
              <w:top w:val="single" w:color="auto" w:sz="4" w:space="0"/>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2020</w:t>
            </w:r>
          </w:p>
        </w:tc>
        <w:tc>
          <w:tcPr>
            <w:tcW w:w="617" w:type="pct"/>
            <w:gridSpan w:val="3"/>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农业资源与环境</w:t>
            </w:r>
          </w:p>
        </w:tc>
        <w:tc>
          <w:tcPr>
            <w:tcW w:w="488" w:type="pct"/>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刘之广</w:t>
            </w:r>
          </w:p>
        </w:tc>
        <w:tc>
          <w:tcPr>
            <w:tcW w:w="947"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第八届山东省</w:t>
            </w:r>
            <w:r>
              <w:rPr>
                <w:rFonts w:hint="eastAsia"/>
                <w:sz w:val="21"/>
                <w:szCs w:val="21"/>
              </w:rPr>
              <w:t>“</w:t>
            </w:r>
            <w:r>
              <w:rPr>
                <w:sz w:val="21"/>
                <w:szCs w:val="21"/>
              </w:rPr>
              <w:t>互联网+</w:t>
            </w:r>
            <w:r>
              <w:rPr>
                <w:rFonts w:hint="eastAsia"/>
                <w:sz w:val="21"/>
                <w:szCs w:val="21"/>
              </w:rPr>
              <w:t>”</w:t>
            </w:r>
            <w:r>
              <w:rPr>
                <w:sz w:val="21"/>
                <w:szCs w:val="21"/>
              </w:rPr>
              <w:t>大学生创新创业大赛，省级金奖</w:t>
            </w:r>
          </w:p>
        </w:tc>
      </w:tr>
      <w:tr>
        <w:tblPrEx>
          <w:shd w:val="clear" w:color="000000" w:fill="auto"/>
          <w:tblCellMar>
            <w:top w:w="0" w:type="dxa"/>
            <w:left w:w="28" w:type="dxa"/>
            <w:bottom w:w="0" w:type="dxa"/>
            <w:right w:w="28" w:type="dxa"/>
          </w:tblCellMar>
        </w:tblPrEx>
        <w:trPr>
          <w:gridAfter w:val="1"/>
          <w:wAfter w:w="35" w:type="pct"/>
          <w:trHeight w:val="1294" w:hRule="atLeast"/>
          <w:jc w:val="center"/>
        </w:trPr>
        <w:tc>
          <w:tcPr>
            <w:tcW w:w="240"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11</w:t>
            </w:r>
          </w:p>
        </w:tc>
        <w:tc>
          <w:tcPr>
            <w:tcW w:w="865"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兴果俺帮-自制有机肥引领者</w:t>
            </w:r>
          </w:p>
        </w:tc>
        <w:tc>
          <w:tcPr>
            <w:tcW w:w="1493" w:type="pct"/>
            <w:gridSpan w:val="2"/>
            <w:tcBorders>
              <w:top w:val="nil"/>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刘占伟、高之琳、何嘉莉、李明翰、宁心琮、郇欣锦、徐慧中、孙筱斐、李时鑫、于小棠</w:t>
            </w:r>
          </w:p>
        </w:tc>
        <w:tc>
          <w:tcPr>
            <w:tcW w:w="314" w:type="pct"/>
            <w:gridSpan w:val="2"/>
            <w:tcBorders>
              <w:top w:val="single" w:color="auto" w:sz="4" w:space="0"/>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2016</w:t>
            </w:r>
          </w:p>
        </w:tc>
        <w:tc>
          <w:tcPr>
            <w:tcW w:w="617" w:type="pct"/>
            <w:gridSpan w:val="3"/>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农业资源与环境</w:t>
            </w:r>
          </w:p>
        </w:tc>
        <w:tc>
          <w:tcPr>
            <w:tcW w:w="488" w:type="pct"/>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时连辉、刘然</w:t>
            </w:r>
          </w:p>
        </w:tc>
        <w:tc>
          <w:tcPr>
            <w:tcW w:w="947"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第八届山东省</w:t>
            </w:r>
            <w:r>
              <w:rPr>
                <w:rFonts w:hint="eastAsia"/>
                <w:sz w:val="21"/>
                <w:szCs w:val="21"/>
              </w:rPr>
              <w:t>“</w:t>
            </w:r>
            <w:r>
              <w:rPr>
                <w:sz w:val="21"/>
                <w:szCs w:val="21"/>
              </w:rPr>
              <w:t>互联网+</w:t>
            </w:r>
            <w:r>
              <w:rPr>
                <w:rFonts w:hint="eastAsia"/>
                <w:sz w:val="21"/>
                <w:szCs w:val="21"/>
              </w:rPr>
              <w:t>”</w:t>
            </w:r>
            <w:r>
              <w:rPr>
                <w:sz w:val="21"/>
                <w:szCs w:val="21"/>
              </w:rPr>
              <w:t>大学生创新创业大赛，省级金奖</w:t>
            </w:r>
          </w:p>
        </w:tc>
      </w:tr>
      <w:tr>
        <w:tblPrEx>
          <w:shd w:val="clear" w:color="000000" w:fill="auto"/>
          <w:tblCellMar>
            <w:top w:w="0" w:type="dxa"/>
            <w:left w:w="28" w:type="dxa"/>
            <w:bottom w:w="0" w:type="dxa"/>
            <w:right w:w="28" w:type="dxa"/>
          </w:tblCellMar>
        </w:tblPrEx>
        <w:trPr>
          <w:gridAfter w:val="1"/>
          <w:wAfter w:w="35" w:type="pct"/>
          <w:trHeight w:val="1398" w:hRule="atLeast"/>
          <w:jc w:val="center"/>
        </w:trPr>
        <w:tc>
          <w:tcPr>
            <w:tcW w:w="240"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12</w:t>
            </w:r>
          </w:p>
        </w:tc>
        <w:tc>
          <w:tcPr>
            <w:tcW w:w="865"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聚合态缓释复合肥-智能肥料的新起点</w:t>
            </w:r>
          </w:p>
        </w:tc>
        <w:tc>
          <w:tcPr>
            <w:tcW w:w="1493" w:type="pct"/>
            <w:gridSpan w:val="2"/>
            <w:tcBorders>
              <w:top w:val="nil"/>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李俊银、朱岩、刘铭尚、李金玺、刘子涵、周彤彤、杜俊岩、陈登论、姚瑞琪，唐亚福、王卓如、杨阳</w:t>
            </w:r>
          </w:p>
        </w:tc>
        <w:tc>
          <w:tcPr>
            <w:tcW w:w="314" w:type="pct"/>
            <w:gridSpan w:val="2"/>
            <w:tcBorders>
              <w:top w:val="single" w:color="auto" w:sz="4" w:space="0"/>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2019</w:t>
            </w:r>
          </w:p>
        </w:tc>
        <w:tc>
          <w:tcPr>
            <w:tcW w:w="617" w:type="pct"/>
            <w:gridSpan w:val="3"/>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农业资源与环境</w:t>
            </w:r>
          </w:p>
        </w:tc>
        <w:tc>
          <w:tcPr>
            <w:tcW w:w="488" w:type="pct"/>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程冬冬、侯善民、王亚楠、薛松、王华云、杨越超</w:t>
            </w:r>
          </w:p>
        </w:tc>
        <w:tc>
          <w:tcPr>
            <w:tcW w:w="947"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第八届山东省</w:t>
            </w:r>
            <w:r>
              <w:rPr>
                <w:rFonts w:hint="eastAsia"/>
                <w:sz w:val="21"/>
                <w:szCs w:val="21"/>
              </w:rPr>
              <w:t>“</w:t>
            </w:r>
            <w:r>
              <w:rPr>
                <w:sz w:val="21"/>
                <w:szCs w:val="21"/>
              </w:rPr>
              <w:t>互联网+</w:t>
            </w:r>
            <w:r>
              <w:rPr>
                <w:rFonts w:hint="eastAsia"/>
                <w:sz w:val="21"/>
                <w:szCs w:val="21"/>
              </w:rPr>
              <w:t>”</w:t>
            </w:r>
            <w:r>
              <w:rPr>
                <w:sz w:val="21"/>
                <w:szCs w:val="21"/>
              </w:rPr>
              <w:t>大学生创新创业大赛，省级金奖</w:t>
            </w:r>
          </w:p>
        </w:tc>
      </w:tr>
      <w:tr>
        <w:tblPrEx>
          <w:shd w:val="clear" w:color="000000" w:fill="auto"/>
          <w:tblCellMar>
            <w:top w:w="0" w:type="dxa"/>
            <w:left w:w="28" w:type="dxa"/>
            <w:bottom w:w="0" w:type="dxa"/>
            <w:right w:w="28" w:type="dxa"/>
          </w:tblCellMar>
        </w:tblPrEx>
        <w:trPr>
          <w:gridAfter w:val="1"/>
          <w:wAfter w:w="35" w:type="pct"/>
          <w:trHeight w:val="270" w:hRule="atLeast"/>
          <w:jc w:val="center"/>
        </w:trPr>
        <w:tc>
          <w:tcPr>
            <w:tcW w:w="240"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13</w:t>
            </w:r>
          </w:p>
        </w:tc>
        <w:tc>
          <w:tcPr>
            <w:tcW w:w="865"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农田卫士—金盾顿</w:t>
            </w:r>
          </w:p>
        </w:tc>
        <w:tc>
          <w:tcPr>
            <w:tcW w:w="1493" w:type="pct"/>
            <w:gridSpan w:val="2"/>
            <w:tcBorders>
              <w:top w:val="nil"/>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李亚平、李旭、康锡瑞、李辉、张进、郭振鑫、邵祺</w:t>
            </w:r>
          </w:p>
        </w:tc>
        <w:tc>
          <w:tcPr>
            <w:tcW w:w="314" w:type="pct"/>
            <w:gridSpan w:val="2"/>
            <w:tcBorders>
              <w:top w:val="single" w:color="auto" w:sz="4" w:space="0"/>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2021</w:t>
            </w:r>
          </w:p>
        </w:tc>
        <w:tc>
          <w:tcPr>
            <w:tcW w:w="617" w:type="pct"/>
            <w:gridSpan w:val="3"/>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农业资源与环境</w:t>
            </w:r>
          </w:p>
        </w:tc>
        <w:tc>
          <w:tcPr>
            <w:tcW w:w="488" w:type="pct"/>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诸葛玉平、娄燕宏、刘真真</w:t>
            </w:r>
          </w:p>
        </w:tc>
        <w:tc>
          <w:tcPr>
            <w:tcW w:w="947"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第八届山东省</w:t>
            </w:r>
            <w:r>
              <w:rPr>
                <w:rFonts w:hint="eastAsia"/>
                <w:sz w:val="21"/>
                <w:szCs w:val="21"/>
              </w:rPr>
              <w:t>“</w:t>
            </w:r>
            <w:r>
              <w:rPr>
                <w:sz w:val="21"/>
                <w:szCs w:val="21"/>
              </w:rPr>
              <w:t>互联网+</w:t>
            </w:r>
            <w:r>
              <w:rPr>
                <w:rFonts w:hint="eastAsia"/>
                <w:sz w:val="21"/>
                <w:szCs w:val="21"/>
              </w:rPr>
              <w:t>”</w:t>
            </w:r>
            <w:r>
              <w:rPr>
                <w:sz w:val="21"/>
                <w:szCs w:val="21"/>
              </w:rPr>
              <w:t>大学生创新创业大赛，省级银奖</w:t>
            </w:r>
          </w:p>
        </w:tc>
      </w:tr>
      <w:tr>
        <w:tblPrEx>
          <w:shd w:val="clear" w:color="000000" w:fill="auto"/>
          <w:tblCellMar>
            <w:top w:w="0" w:type="dxa"/>
            <w:left w:w="28" w:type="dxa"/>
            <w:bottom w:w="0" w:type="dxa"/>
            <w:right w:w="28" w:type="dxa"/>
          </w:tblCellMar>
        </w:tblPrEx>
        <w:trPr>
          <w:gridAfter w:val="1"/>
          <w:wAfter w:w="35" w:type="pct"/>
          <w:trHeight w:val="270" w:hRule="atLeast"/>
          <w:jc w:val="center"/>
        </w:trPr>
        <w:tc>
          <w:tcPr>
            <w:tcW w:w="240"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14</w:t>
            </w:r>
          </w:p>
        </w:tc>
        <w:tc>
          <w:tcPr>
            <w:tcW w:w="865"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果粒金—大颗粒功能型缓释肥行业领跑者</w:t>
            </w:r>
          </w:p>
        </w:tc>
        <w:tc>
          <w:tcPr>
            <w:tcW w:w="1493" w:type="pct"/>
            <w:gridSpan w:val="2"/>
            <w:tcBorders>
              <w:top w:val="nil"/>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李俊银、朱岩、刘铭尚、李金玺、刘子涵、周彤彤、杜俊岩、陈登论、姚瑞琪、唐亚福</w:t>
            </w:r>
          </w:p>
        </w:tc>
        <w:tc>
          <w:tcPr>
            <w:tcW w:w="314" w:type="pct"/>
            <w:gridSpan w:val="2"/>
            <w:tcBorders>
              <w:top w:val="single" w:color="auto" w:sz="4" w:space="0"/>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2019</w:t>
            </w:r>
          </w:p>
        </w:tc>
        <w:tc>
          <w:tcPr>
            <w:tcW w:w="617" w:type="pct"/>
            <w:gridSpan w:val="3"/>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农业资源与环境</w:t>
            </w:r>
          </w:p>
        </w:tc>
        <w:tc>
          <w:tcPr>
            <w:tcW w:w="488" w:type="pct"/>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程冬冬、侯善民、王亚楠、薛松、杨越超</w:t>
            </w:r>
          </w:p>
        </w:tc>
        <w:tc>
          <w:tcPr>
            <w:tcW w:w="947"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第八届山东省</w:t>
            </w:r>
            <w:r>
              <w:rPr>
                <w:rFonts w:hint="eastAsia"/>
                <w:sz w:val="21"/>
                <w:szCs w:val="21"/>
              </w:rPr>
              <w:t>“</w:t>
            </w:r>
            <w:r>
              <w:rPr>
                <w:sz w:val="21"/>
                <w:szCs w:val="21"/>
              </w:rPr>
              <w:t>互联网+</w:t>
            </w:r>
            <w:r>
              <w:rPr>
                <w:rFonts w:hint="eastAsia"/>
                <w:sz w:val="21"/>
                <w:szCs w:val="21"/>
              </w:rPr>
              <w:t>”</w:t>
            </w:r>
            <w:r>
              <w:rPr>
                <w:sz w:val="21"/>
                <w:szCs w:val="21"/>
              </w:rPr>
              <w:t>大学生创新创业大赛，省级铜奖</w:t>
            </w:r>
          </w:p>
        </w:tc>
      </w:tr>
      <w:tr>
        <w:tblPrEx>
          <w:shd w:val="clear" w:color="000000" w:fill="auto"/>
          <w:tblCellMar>
            <w:top w:w="0" w:type="dxa"/>
            <w:left w:w="28" w:type="dxa"/>
            <w:bottom w:w="0" w:type="dxa"/>
            <w:right w:w="28" w:type="dxa"/>
          </w:tblCellMar>
        </w:tblPrEx>
        <w:trPr>
          <w:gridAfter w:val="1"/>
          <w:wAfter w:w="35" w:type="pct"/>
          <w:trHeight w:val="270" w:hRule="atLeast"/>
          <w:jc w:val="center"/>
        </w:trPr>
        <w:tc>
          <w:tcPr>
            <w:tcW w:w="240"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15</w:t>
            </w:r>
          </w:p>
        </w:tc>
        <w:tc>
          <w:tcPr>
            <w:tcW w:w="865"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点膜成金一植物源包膜控释肥助力乡村产业振兴</w:t>
            </w:r>
          </w:p>
        </w:tc>
        <w:tc>
          <w:tcPr>
            <w:tcW w:w="1493" w:type="pct"/>
            <w:gridSpan w:val="2"/>
            <w:tcBorders>
              <w:top w:val="nil"/>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张依诺、王润楠、于震、张衍鹏、陈登论、黄儒雅、杨铭传、王亚豪、孙荣臻、王雅琳</w:t>
            </w:r>
          </w:p>
        </w:tc>
        <w:tc>
          <w:tcPr>
            <w:tcW w:w="314" w:type="pct"/>
            <w:gridSpan w:val="2"/>
            <w:tcBorders>
              <w:top w:val="single" w:color="auto" w:sz="4" w:space="0"/>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2019</w:t>
            </w:r>
          </w:p>
        </w:tc>
        <w:tc>
          <w:tcPr>
            <w:tcW w:w="617" w:type="pct"/>
            <w:gridSpan w:val="3"/>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农业资源与环境</w:t>
            </w:r>
          </w:p>
        </w:tc>
        <w:tc>
          <w:tcPr>
            <w:tcW w:w="488" w:type="pct"/>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杨越超、薛松、王亚南</w:t>
            </w:r>
          </w:p>
        </w:tc>
        <w:tc>
          <w:tcPr>
            <w:tcW w:w="947"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第十三届</w:t>
            </w:r>
            <w:r>
              <w:rPr>
                <w:rFonts w:hint="eastAsia"/>
                <w:sz w:val="21"/>
                <w:szCs w:val="21"/>
              </w:rPr>
              <w:t>“</w:t>
            </w:r>
            <w:r>
              <w:rPr>
                <w:sz w:val="21"/>
                <w:szCs w:val="21"/>
              </w:rPr>
              <w:t>挑战杯</w:t>
            </w:r>
            <w:r>
              <w:rPr>
                <w:rFonts w:hint="eastAsia"/>
                <w:sz w:val="21"/>
                <w:szCs w:val="21"/>
              </w:rPr>
              <w:t>”</w:t>
            </w:r>
            <w:r>
              <w:rPr>
                <w:sz w:val="21"/>
                <w:szCs w:val="21"/>
              </w:rPr>
              <w:t>建设银行山东省大学生创业计划竞赛，省级银奖</w:t>
            </w:r>
          </w:p>
        </w:tc>
      </w:tr>
      <w:tr>
        <w:tblPrEx>
          <w:tblCellMar>
            <w:top w:w="0" w:type="dxa"/>
            <w:left w:w="28" w:type="dxa"/>
            <w:bottom w:w="0" w:type="dxa"/>
            <w:right w:w="28" w:type="dxa"/>
          </w:tblCellMar>
        </w:tblPrEx>
        <w:trPr>
          <w:gridAfter w:val="1"/>
          <w:wAfter w:w="35" w:type="pct"/>
          <w:trHeight w:val="270" w:hRule="atLeast"/>
          <w:jc w:val="center"/>
        </w:trPr>
        <w:tc>
          <w:tcPr>
            <w:tcW w:w="240"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16</w:t>
            </w:r>
          </w:p>
        </w:tc>
        <w:tc>
          <w:tcPr>
            <w:tcW w:w="865"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秸秆基聚氨酯包膜肥料助力农业固碳、减排、稳粮、增收</w:t>
            </w:r>
          </w:p>
        </w:tc>
        <w:tc>
          <w:tcPr>
            <w:tcW w:w="1493" w:type="pct"/>
            <w:gridSpan w:val="2"/>
            <w:tcBorders>
              <w:top w:val="nil"/>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董晶晶、田虹雨、孙晓、王选淇、崔静、于小晶、马国华、代佳颖、杜龙旭、陈琪</w:t>
            </w:r>
          </w:p>
        </w:tc>
        <w:tc>
          <w:tcPr>
            <w:tcW w:w="314" w:type="pct"/>
            <w:gridSpan w:val="2"/>
            <w:tcBorders>
              <w:top w:val="single" w:color="auto" w:sz="4" w:space="0"/>
              <w:left w:val="nil"/>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2018</w:t>
            </w:r>
          </w:p>
        </w:tc>
        <w:tc>
          <w:tcPr>
            <w:tcW w:w="617" w:type="pct"/>
            <w:gridSpan w:val="3"/>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农业资源与环境</w:t>
            </w:r>
          </w:p>
        </w:tc>
        <w:tc>
          <w:tcPr>
            <w:tcW w:w="488" w:type="pct"/>
            <w:tcBorders>
              <w:top w:val="single" w:color="auto" w:sz="4" w:space="0"/>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刘之广</w:t>
            </w:r>
          </w:p>
        </w:tc>
        <w:tc>
          <w:tcPr>
            <w:tcW w:w="947" w:type="pct"/>
            <w:gridSpan w:val="2"/>
            <w:tcBorders>
              <w:top w:val="nil"/>
              <w:left w:val="single" w:color="auto" w:sz="4" w:space="0"/>
              <w:bottom w:val="single" w:color="auto" w:sz="4" w:space="0"/>
              <w:right w:val="single" w:color="auto" w:sz="4" w:space="0"/>
            </w:tcBorders>
            <w:shd w:val="clear" w:color="000000" w:fill="auto"/>
            <w:vAlign w:val="center"/>
          </w:tcPr>
          <w:p>
            <w:pPr>
              <w:spacing w:line="240" w:lineRule="auto"/>
              <w:jc w:val="center"/>
              <w:rPr>
                <w:sz w:val="21"/>
                <w:szCs w:val="21"/>
              </w:rPr>
            </w:pPr>
            <w:r>
              <w:rPr>
                <w:sz w:val="21"/>
                <w:szCs w:val="21"/>
              </w:rPr>
              <w:t>第十三届</w:t>
            </w:r>
            <w:r>
              <w:rPr>
                <w:rFonts w:hint="eastAsia"/>
                <w:sz w:val="21"/>
                <w:szCs w:val="21"/>
              </w:rPr>
              <w:t>“</w:t>
            </w:r>
            <w:r>
              <w:rPr>
                <w:sz w:val="21"/>
                <w:szCs w:val="21"/>
              </w:rPr>
              <w:t>挑战杯</w:t>
            </w:r>
            <w:r>
              <w:rPr>
                <w:rFonts w:hint="eastAsia"/>
                <w:sz w:val="21"/>
                <w:szCs w:val="21"/>
              </w:rPr>
              <w:t>”</w:t>
            </w:r>
            <w:r>
              <w:rPr>
                <w:sz w:val="21"/>
                <w:szCs w:val="21"/>
              </w:rPr>
              <w:t>建设银行山东省大学生创业计划竞赛，省级铜奖</w:t>
            </w:r>
          </w:p>
        </w:tc>
      </w:tr>
    </w:tbl>
    <w:p>
      <w:pPr>
        <w:spacing w:line="300" w:lineRule="auto"/>
        <w:jc w:val="center"/>
        <w:rPr>
          <w:rFonts w:eastAsia="仿宋_GB2312"/>
          <w:szCs w:val="24"/>
        </w:rPr>
      </w:pPr>
    </w:p>
    <w:p>
      <w:pPr>
        <w:pStyle w:val="5"/>
        <w:spacing w:before="93" w:after="93"/>
        <w:ind w:firstLine="560"/>
      </w:pPr>
      <w:bookmarkStart w:id="171" w:name="_Toc19690"/>
      <w:r>
        <w:t>七、专业发展趋势及建议</w:t>
      </w:r>
      <w:bookmarkEnd w:id="171"/>
    </w:p>
    <w:p>
      <w:pPr>
        <w:ind w:firstLine="480" w:firstLineChars="200"/>
      </w:pPr>
      <w:r>
        <w:t>资源与环境是国民经济和社会发展的重要基础，也是建设和谐社会的重要保障。当前，中国的农业资源与环境问题十分突出，表现在：（1）农业资源数量相对不足，人均土地面积相当于世界平均数的1/3，人均耕地、林地、牧草地分别只占世界平均数的47%、18%、33%。淡水资源人均仅为世界平均水平的1/4、美国的1/5，是全球13个人均水资源最贫乏的国家之一；（2）土壤生产力水平较低，土壤资源与水资源在空间分布上不匹配，严重影响土壤生产力的提高。中低产田约占耕地总量的2/3；（3）农业自然环境恶化，由于自然环境的变化和人们长期破坏性干预和不科学管理，土壤荒漠化、次生盐碱化、水土流失、土壤污染等严重；（4）人们对美好生活的迫切需要，随着人们生活水平的提高，个人收入的改善，在物质生活满足的基础上，迫切需要追求山清水美的居住环境和生活环境。山东省是我国的人口大省、农业大省，耕地、淡水等农业资源尤为紧缺，后备资源严重不足。土壤存在果园土壤酸化、设施土壤盐渍化、土壤板结、肥力不均等障碍因素。大量化肥、农药的投入，造成土壤养分失调、环境污染等系列问题，严重影响到农产品质量安全，危害人体健康。另一方面，国家提出建设节约型社会、和谐社会的目标和全面贯彻和落实科学发展观的战略部署；响应国家的</w:t>
      </w:r>
      <w:r>
        <w:rPr>
          <w:rFonts w:hint="eastAsia"/>
        </w:rPr>
        <w:t>“</w:t>
      </w:r>
      <w:r>
        <w:t>青山绿水</w:t>
      </w:r>
      <w:r>
        <w:rPr>
          <w:rFonts w:hint="eastAsia"/>
        </w:rPr>
        <w:t>”</w:t>
      </w:r>
      <w:r>
        <w:t>建设要求，如何协调好国民经济发展与农业资源环境的关系，提高农业资源的利用效率，创造良好的生态环境，是摆在我们面前的重大问题。社会经济发展的艰巨任务及资源与环境面临的问题对社会经济发展所带来的巨大压力既为农业资源与环境专业人才的培养提出了严峻的挑战，同时也带来了很大的机遇。</w:t>
      </w:r>
    </w:p>
    <w:p>
      <w:pPr>
        <w:ind w:firstLine="480" w:firstLineChars="200"/>
      </w:pPr>
      <w:bookmarkStart w:id="172" w:name="OLE_LINK6"/>
      <w:r>
        <w:t>农业资源与环境专业培养具备农业资源与环境方面的基本理论、基本知识和基本技能，能够从事农业资源管理及利用、农业环境保护的教学、科研、管理等工作的高级科学技术人才。学生在农业资源与环境的技术与管理方面形成较强的业务能力及综合素质，在发挥土壤农化方面已有的专业优势基础上，做到</w:t>
      </w:r>
      <w:r>
        <w:rPr>
          <w:rFonts w:hint="eastAsia"/>
        </w:rPr>
        <w:t>“</w:t>
      </w:r>
      <w:r>
        <w:t>适度拓宽、保持特色</w:t>
      </w:r>
      <w:r>
        <w:rPr>
          <w:rFonts w:hint="eastAsia"/>
        </w:rPr>
        <w:t>”</w:t>
      </w:r>
      <w:r>
        <w:t>，培养的专业学生既掌握以土壤资源、肥料资源为主的农业资源理论和技术，又兼顾水资源、生物资源等知识，既可发挥土壤农化专业已有特色，又拓宽了专业领域，既要掌握环境科学的理论框架，同时在土壤资源开发、肥料资源高效利用、农业环境监测、农业生态建设等农业环境理论与技能方面形成核心竞争力。在行业面上，适应农业资源与环境的技术与管理部门工作的要求，同时具有开展农业资源利用与环境保护深入研究的厚实基础。</w:t>
      </w:r>
      <w:bookmarkEnd w:id="172"/>
    </w:p>
    <w:p>
      <w:pPr>
        <w:ind w:firstLine="480" w:firstLineChars="200"/>
      </w:pPr>
      <w:r>
        <w:t>资源科学与环境科学是两个新兴的学科，涉及内容广，综合性强。随着国家对资源与环境的高度重视，学科发展迅速。因而在未来一个阶段内，需要相当数量的掌握资源科学与环境科学基本理论及实践应用技能的复合应用型人才。农业产业结构的调整增加了果菜等经济作物的种植面积，无公害农产品、绿色食品及有机食品的生产为土壤管理、植物营养与施肥、农业化学品的应用带来了新的挑战和机遇，正在进行的全国土壤养分详查、配方施肥、</w:t>
      </w:r>
      <w:r>
        <w:rPr>
          <w:rFonts w:hint="eastAsia"/>
        </w:rPr>
        <w:t>“</w:t>
      </w:r>
      <w:r>
        <w:t>一控两减三基</w:t>
      </w:r>
      <w:r>
        <w:rPr>
          <w:rFonts w:hint="eastAsia"/>
        </w:rPr>
        <w:t>”</w:t>
      </w:r>
      <w:r>
        <w:t>国策给农业资源与环境专业的人才需求带来新的增长点，农业资源与环境专业的人才具有广阔的应用前景。</w:t>
      </w:r>
    </w:p>
    <w:p>
      <w:pPr>
        <w:pStyle w:val="5"/>
        <w:spacing w:before="93" w:after="93"/>
        <w:ind w:firstLine="560"/>
      </w:pPr>
      <w:bookmarkStart w:id="173" w:name="_Toc31819"/>
      <w:r>
        <w:t>八、存在的问题及整改措施</w:t>
      </w:r>
      <w:bookmarkEnd w:id="173"/>
    </w:p>
    <w:p>
      <w:pPr>
        <w:pStyle w:val="6"/>
        <w:ind w:firstLine="480"/>
      </w:pPr>
      <w:r>
        <w:t>1.</w:t>
      </w:r>
      <w:r>
        <w:rPr>
          <w:rFonts w:hint="eastAsia"/>
        </w:rPr>
        <w:t xml:space="preserve"> </w:t>
      </w:r>
      <w:r>
        <w:t>存在问题</w:t>
      </w:r>
    </w:p>
    <w:p>
      <w:pPr>
        <w:ind w:firstLine="480" w:firstLineChars="200"/>
      </w:pPr>
      <w:r>
        <w:t>由于本专业是一个发展历史较长的专业，在专业建设中面对不断出现的新挑战，专业建设的整体实力和部属院校的同类专业相比还有一定的差距，主要表现在以下几个方面：</w:t>
      </w:r>
    </w:p>
    <w:p>
      <w:pPr>
        <w:ind w:firstLine="480" w:firstLineChars="200"/>
      </w:pPr>
      <w:r>
        <w:t>（1）师资队伍的建设需要进一步加强</w:t>
      </w:r>
    </w:p>
    <w:p>
      <w:pPr>
        <w:ind w:firstLine="480" w:firstLineChars="200"/>
      </w:pPr>
      <w:r>
        <w:t>目前人才培养多元化和国际化的趋势变化对农业资源与环境师资队伍的结构性、业务素质和能力提出了更高的要求。为适应培养不同规格、目标的适应现代化资源与环境行业企业发展的国际化人才需要，教师需要不断更新知识结构，不断深入了解社会和行业企业趋势变化，加强社会实践能力，提高专业技能；同时要不断开拓专业视野、拓展知识领域，引领学科和专业的方向，指导行业和企业的发展。因此，需要通过</w:t>
      </w:r>
      <w:r>
        <w:rPr>
          <w:rFonts w:hint="eastAsia"/>
        </w:rPr>
        <w:t>“</w:t>
      </w:r>
      <w:r>
        <w:t>引育并举</w:t>
      </w:r>
      <w:r>
        <w:rPr>
          <w:rFonts w:hint="eastAsia"/>
        </w:rPr>
        <w:t>”</w:t>
      </w:r>
      <w:r>
        <w:t>的方式提升师资队伍建设水平。</w:t>
      </w:r>
    </w:p>
    <w:p>
      <w:pPr>
        <w:ind w:firstLine="480" w:firstLineChars="200"/>
      </w:pPr>
      <w:r>
        <w:t>（2）人才培养的模式有待进一步完善</w:t>
      </w:r>
    </w:p>
    <w:p>
      <w:pPr>
        <w:ind w:firstLine="480" w:firstLineChars="200"/>
      </w:pPr>
      <w:r>
        <w:t>现代社会的快速发展对农业资源与环境专业人才技能的需求提出了更高的要求，大学生成才的目标和就业趋向趋于多元化，因此需要进一步完善人才培养模式。同时，随着资源与环境行业企业的发展，社会教育教学资源不断丰富，为资源与环境专业人才培养的社会化进程提供了条件。行业企业对人才培养、聘用、竞争的效益日渐突出，使行业企业参与高校专业人才培养的积极性不断提高，学校和社会共同培养专业人才的条件已经具备，需要探索适应不同途径共同培养专业人才的共建共享人才培养模式。</w:t>
      </w:r>
    </w:p>
    <w:p>
      <w:pPr>
        <w:ind w:firstLine="480" w:firstLineChars="200"/>
      </w:pPr>
      <w:r>
        <w:t>（3）课程体系建设需要进一步优化和提升</w:t>
      </w:r>
    </w:p>
    <w:p>
      <w:pPr>
        <w:ind w:firstLine="480" w:firstLineChars="200"/>
      </w:pPr>
      <w:r>
        <w:t>农业资源与环境专业内涵的不断拓展，行业领域的不断扩大，对专业的人才培养课程体系提出了新的挑战，原有课程体系已不能完全承载新的专业人才培养的要求，无法完全适应新人才培养模式的培养任务，需要进一步优化整合课程体系，强化专业核心课程的地位，突出区域、行业和传统专业特色，照顾学生个性发展。同时要不断加强课程建设水平，充分发挥课程传授专业技能的主阵地作用，以优质的课程承载专业的核心技能，提高专业人才的培养水平。</w:t>
      </w:r>
    </w:p>
    <w:p>
      <w:pPr>
        <w:ind w:firstLine="480" w:firstLineChars="200"/>
      </w:pPr>
      <w:r>
        <w:t>（4）科研实践实训条件需要进一步改善</w:t>
      </w:r>
    </w:p>
    <w:p>
      <w:pPr>
        <w:ind w:firstLine="480" w:firstLineChars="200"/>
      </w:pPr>
      <w:r>
        <w:t>本科实验室相对缺少，实验安排较为困难，生均占有面积少，不利于发挥学院的培养优势。同时由于财力、物力所限，建设经费投入明显不足，实验室的仪器设备数量相对短缺、陈旧、落后，学生实验实训条件还处在最低的保障水平。因此，迫切需要进一步加大实验实训条件改善建设的力度，以提升专业人才培养质量。</w:t>
      </w:r>
    </w:p>
    <w:p>
      <w:pPr>
        <w:ind w:firstLine="480" w:firstLineChars="200"/>
      </w:pPr>
      <w:r>
        <w:t>（5）专业实验人员的配置与管理亟待改善</w:t>
      </w:r>
    </w:p>
    <w:p>
      <w:pPr>
        <w:ind w:firstLine="480" w:firstLineChars="200"/>
      </w:pPr>
      <w:r>
        <w:t>本科生实验比较集中（仅6-8周），实验课期间，需要实验员到岗到位，才能保证紧密排列的实验保质保量完成。但是本专业某些实验员学历较低，责任心淡薄，无视学院领导和任课教师的强烈要求，经常无故缺岗缺勤，导致实验过程中经常性试剂、缺试材，凑合、应付，严重影响教学秩序正常运转。</w:t>
      </w:r>
    </w:p>
    <w:p>
      <w:pPr>
        <w:ind w:firstLine="480" w:firstLineChars="200"/>
      </w:pPr>
      <w:r>
        <w:t>（6）青年教师用于教研学习的时间不足</w:t>
      </w:r>
    </w:p>
    <w:p>
      <w:pPr>
        <w:ind w:firstLine="480" w:firstLineChars="200"/>
      </w:pPr>
      <w:r>
        <w:t>近几年，本专业青年教师引进力度在增加，有些教师重科研、轻教学，平时上课或实验随便叫人代替，用在提高教学质量上的时间有限，导致学生反映课堂教学效果较差。而且本专业新进教师大都是应届毕业，缺乏一线教学经验和专业课培训，工作后外出学习的机会很少，到生产一线进行施肥营养诊断的经历更少。上课照本宣科，不能理论联系实践。因此，迫切需要加大培训力度和帮扶提升。</w:t>
      </w:r>
    </w:p>
    <w:p>
      <w:pPr>
        <w:pStyle w:val="6"/>
        <w:ind w:firstLine="480"/>
      </w:pPr>
      <w:r>
        <w:t>2.</w:t>
      </w:r>
      <w:r>
        <w:rPr>
          <w:rFonts w:hint="eastAsia"/>
        </w:rPr>
        <w:t xml:space="preserve"> </w:t>
      </w:r>
      <w:r>
        <w:t>整改措施</w:t>
      </w:r>
    </w:p>
    <w:p>
      <w:pPr>
        <w:ind w:firstLine="480" w:firstLineChars="200"/>
      </w:pPr>
      <w:r>
        <w:t>加强师资队伍建设。未来5年本专业引进在农业资源与环境领域具有较强影响力的高科技人才1-2名，提高本专业在国内外的影响力和话语权。同时，需新增老师3－5名，充实教学队伍。今后教学过程中，我们将用以下方法进行改进：采用</w:t>
      </w:r>
      <w:r>
        <w:rPr>
          <w:rFonts w:hint="eastAsia"/>
        </w:rPr>
        <w:t>“</w:t>
      </w:r>
      <w:r>
        <w:t>请进来，送出去</w:t>
      </w:r>
      <w:r>
        <w:rPr>
          <w:rFonts w:hint="eastAsia"/>
        </w:rPr>
        <w:t>”</w:t>
      </w:r>
      <w:r>
        <w:t>的方法保证教学团队的高质量，每年邀请3-4位国内外知名学者来我系进行科研及教学交流，同时鼓励青年教师参加国内或国际的访问学者计划，增加青年教师参加国际学术会议的机会，保证教师业务能力不断提高。</w:t>
      </w:r>
    </w:p>
    <w:p>
      <w:pPr>
        <w:ind w:firstLine="480" w:firstLineChars="200"/>
      </w:pPr>
      <w:r>
        <w:t>强化实验室建设。今后应新建1－2个教学实验室，更新实验设备，使设备运转完好率达到100％，并且积极联系相关企事业单位如农业局、农产品质量监测公司、肥料生产销售公司等用作实践教学，而且加大实习和实践课程，重视对学生实践能力的培养和训练。</w:t>
      </w:r>
    </w:p>
    <w:p>
      <w:pPr>
        <w:ind w:firstLine="480" w:firstLineChars="200"/>
      </w:pPr>
      <w:r>
        <w:t>深化野外综合实习。今后应加强学生的专业综合实习，以技能培养为目标，打破传统学科式教学方法，与社会企事业和科研单位联合教学，采用适应不同课程类型特点的</w:t>
      </w:r>
      <w:r>
        <w:rPr>
          <w:rFonts w:hint="eastAsia"/>
        </w:rPr>
        <w:t>“</w:t>
      </w:r>
      <w:r>
        <w:t>现场教学</w:t>
      </w:r>
      <w:r>
        <w:rPr>
          <w:rFonts w:hint="eastAsia"/>
        </w:rPr>
        <w:t>”</w:t>
      </w:r>
      <w:r>
        <w:t>、</w:t>
      </w:r>
      <w:r>
        <w:rPr>
          <w:rFonts w:hint="eastAsia"/>
        </w:rPr>
        <w:t>“</w:t>
      </w:r>
      <w:r>
        <w:t>生产性实习</w:t>
      </w:r>
      <w:r>
        <w:rPr>
          <w:rFonts w:hint="eastAsia"/>
        </w:rPr>
        <w:t>”</w:t>
      </w:r>
      <w:r>
        <w:t>、</w:t>
      </w:r>
      <w:r>
        <w:rPr>
          <w:rFonts w:hint="eastAsia"/>
        </w:rPr>
        <w:t>“</w:t>
      </w:r>
      <w:r>
        <w:t>实景模拟</w:t>
      </w:r>
      <w:r>
        <w:rPr>
          <w:rFonts w:hint="eastAsia"/>
        </w:rPr>
        <w:t>”</w:t>
      </w:r>
      <w:r>
        <w:t>等教学方法，提高教学效果。</w:t>
      </w:r>
    </w:p>
    <w:p>
      <w:pPr>
        <w:ind w:firstLine="480" w:firstLineChars="200"/>
      </w:pPr>
      <w:r>
        <w:t>拓展学生就业渠道。加强学生就业思想教育，转变就业观念，不再以考公务员、考事业编，到国家政府部门为就业目标。积极到各大农资生产销售公司、大农场等实体单位就业，从基层做起，从一线做起，一步一个脚印。鼓励有研究兴趣的学生考取研究生。另外，鼓励学生出国留学，开阔视野，提高就业竞争力，毕业后进入国际化公司工作。部分在校有创业实践的学生可行自主创业。</w:t>
      </w:r>
    </w:p>
    <w:p>
      <w:pPr>
        <w:ind w:firstLine="480" w:firstLineChars="200"/>
      </w:pPr>
      <w:r>
        <w:br w:type="page"/>
      </w:r>
    </w:p>
    <w:p>
      <w:pPr>
        <w:pStyle w:val="4"/>
        <w:ind w:firstLine="600"/>
      </w:pPr>
      <w:bookmarkStart w:id="174" w:name="_Toc11672"/>
      <w:bookmarkStart w:id="175" w:name="_Toc13787"/>
      <w:bookmarkStart w:id="176" w:name="_Toc439256182"/>
      <w:bookmarkStart w:id="177" w:name="_Toc12680"/>
      <w:bookmarkStart w:id="178" w:name="_Toc29951"/>
      <w:bookmarkStart w:id="179" w:name="_Toc584"/>
      <w:bookmarkStart w:id="180" w:name="_Toc26078"/>
      <w:r>
        <w:t>专业</w:t>
      </w:r>
      <w:r>
        <w:rPr>
          <w:rFonts w:hint="eastAsia"/>
          <w:lang w:val="en-US"/>
        </w:rPr>
        <w:t>十五</w:t>
      </w:r>
      <w:r>
        <w:t>：土地资源管理</w:t>
      </w:r>
      <w:bookmarkEnd w:id="174"/>
      <w:bookmarkEnd w:id="175"/>
      <w:bookmarkEnd w:id="176"/>
      <w:bookmarkEnd w:id="177"/>
      <w:bookmarkEnd w:id="178"/>
      <w:bookmarkEnd w:id="179"/>
      <w:bookmarkEnd w:id="180"/>
    </w:p>
    <w:p>
      <w:pPr>
        <w:pStyle w:val="5"/>
        <w:spacing w:before="93" w:after="93"/>
        <w:ind w:firstLine="560"/>
      </w:pPr>
      <w:r>
        <w:t>一、培养目标</w:t>
      </w:r>
    </w:p>
    <w:p>
      <w:pPr>
        <w:ind w:firstLine="482"/>
      </w:pPr>
      <w:r>
        <w:t>土地资源管理专业培养德、智、体、美、劳全面发展，政治素质高，知识和能力结构适应社会经济发展需要的，具备现代管理学、经济学、资源学、地理学的基本理论，掌握土地资源管理方面的基础知识，具有测量、制图、计算机等基本技能，土地调查评价规划整治、数字国土与信息技术、土地资产经营与管理等核心技能和实践能力，以及富有创新精神、创业意识和创新创业能力，毕业后能够在各级自然资源和规划、住房与城乡建设、生态环境、农业农村等部门以及高校和科研院所、相关企事业单位从事土地调查评估、土地利用规划、土地整治、土地信息、不动产管理、土地管理政策法规等工作的创新型、专业型高级专门人才。毕业5年后可成为土地资源管理的高级技术或管理人才，可以在国内外高校和科研院所的土地资源管理、自然地理、人文地理、地图学与地理信息工程、农业资源与环境等领域继续深造。本专业基本学制为4年，学习年限为3-8年，按要求完成学业且符合学位授予条件者授予管理学士学位。</w:t>
      </w:r>
    </w:p>
    <w:p>
      <w:pPr>
        <w:pStyle w:val="5"/>
        <w:spacing w:before="93" w:after="93"/>
        <w:ind w:firstLine="560"/>
      </w:pPr>
      <w:bookmarkStart w:id="181" w:name="_Toc439256183"/>
      <w:bookmarkStart w:id="182" w:name="_Toc439226707"/>
      <w:bookmarkStart w:id="183" w:name="_Toc439254690"/>
      <w:bookmarkStart w:id="184" w:name="_Toc439228922"/>
      <w:r>
        <w:t>二、培养能力</w:t>
      </w:r>
      <w:bookmarkEnd w:id="181"/>
      <w:bookmarkEnd w:id="182"/>
      <w:bookmarkEnd w:id="183"/>
      <w:bookmarkEnd w:id="184"/>
    </w:p>
    <w:p>
      <w:pPr>
        <w:pStyle w:val="7"/>
        <w:ind w:firstLine="480"/>
      </w:pPr>
      <w:r>
        <w:t>1. 专业设置情况</w:t>
      </w:r>
    </w:p>
    <w:p>
      <w:pPr>
        <w:ind w:firstLine="480"/>
      </w:pPr>
      <w:r>
        <w:t>始建于1985年土地资源专科，1993年在土壤与农业化学本科专业设土地管理方向，1994年升为本科，1998年更名为土地资源管理。随着国际交流增加，2011年与英国皇家农业大学不动产管理本科专业联合申请中英合作办学土地资源管理专业，2012年获教育部批准，2013年开始招生。本专业2011年获批山东省重点学科，2020年获批山东省和国家一流本科专业建设点。</w:t>
      </w:r>
    </w:p>
    <w:p>
      <w:pPr>
        <w:ind w:firstLine="480"/>
      </w:pPr>
      <w:r>
        <w:t>土地资源管理专业是全国建立最早、招生最早的同类专业之一，具有本科-硕士-博士-博士后完整的人才培养体系。1985年在土壤学硕士点招收土地资源方向硕士生，2000年获批土地资源管理硕士点，2009年在农业资源利用一级学科博士点下自设</w:t>
      </w:r>
      <w:r>
        <w:rPr>
          <w:rFonts w:hint="eastAsia"/>
        </w:rPr>
        <w:t>“</w:t>
      </w:r>
      <w:r>
        <w:t>土地资源利用</w:t>
      </w:r>
      <w:r>
        <w:rPr>
          <w:rFonts w:hint="eastAsia"/>
        </w:rPr>
        <w:t>”</w:t>
      </w:r>
      <w:r>
        <w:t>二级博士点，招收博士和博士后。2010年获批公共管理一级学科硕士授予点。</w:t>
      </w:r>
    </w:p>
    <w:p>
      <w:pPr>
        <w:pStyle w:val="7"/>
        <w:ind w:firstLine="480"/>
      </w:pPr>
      <w:r>
        <w:t>2. 在校生规模</w:t>
      </w:r>
    </w:p>
    <w:p>
      <w:pPr>
        <w:ind w:firstLine="480"/>
      </w:pPr>
      <w:r>
        <w:t>土地资源管理专业按照学校招生计划，每年招生60名学生。近年来，随着高考改革、大类招生、专业分流及二次调专业等，每年招生人数、最终人数有变化。目前在校生各级规模不同，如表1。2019年与地理信息科学合并为地理类招生，大二分流后土地资源管理专业49名。2020年山东省高考改革后，本专业单独招生，计划招生60名，实际招生59-64名，稳中有升。目前，本专业在校生共232名。</w:t>
      </w:r>
    </w:p>
    <w:p>
      <w:pPr>
        <w:jc w:val="center"/>
        <w:rPr>
          <w:b/>
          <w:bCs/>
          <w:sz w:val="21"/>
          <w:szCs w:val="21"/>
        </w:rPr>
      </w:pPr>
    </w:p>
    <w:p>
      <w:pPr>
        <w:jc w:val="center"/>
        <w:rPr>
          <w:b/>
          <w:bCs/>
          <w:sz w:val="21"/>
          <w:szCs w:val="21"/>
        </w:rPr>
      </w:pPr>
      <w:r>
        <w:rPr>
          <w:b/>
          <w:bCs/>
          <w:sz w:val="21"/>
          <w:szCs w:val="21"/>
        </w:rPr>
        <w:t>表1  土地资源专业在校生规模</w:t>
      </w:r>
    </w:p>
    <w:tbl>
      <w:tblPr>
        <w:tblStyle w:val="18"/>
        <w:tblW w:w="500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3"/>
        <w:gridCol w:w="1454"/>
        <w:gridCol w:w="1454"/>
        <w:gridCol w:w="1454"/>
        <w:gridCol w:w="1454"/>
        <w:gridCol w:w="14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999" w:type="pct"/>
            <w:vAlign w:val="center"/>
          </w:tcPr>
          <w:p>
            <w:pPr>
              <w:spacing w:line="240" w:lineRule="auto"/>
              <w:jc w:val="center"/>
              <w:rPr>
                <w:sz w:val="21"/>
                <w:szCs w:val="21"/>
              </w:rPr>
            </w:pPr>
            <w:r>
              <w:rPr>
                <w:sz w:val="21"/>
                <w:szCs w:val="21"/>
              </w:rPr>
              <w:t>年级</w:t>
            </w:r>
          </w:p>
        </w:tc>
        <w:tc>
          <w:tcPr>
            <w:tcW w:w="801" w:type="pct"/>
            <w:vAlign w:val="center"/>
          </w:tcPr>
          <w:p>
            <w:pPr>
              <w:spacing w:line="240" w:lineRule="auto"/>
              <w:jc w:val="center"/>
              <w:rPr>
                <w:sz w:val="21"/>
                <w:szCs w:val="21"/>
              </w:rPr>
            </w:pPr>
            <w:r>
              <w:rPr>
                <w:sz w:val="21"/>
                <w:szCs w:val="21"/>
              </w:rPr>
              <w:t>2019</w:t>
            </w:r>
          </w:p>
        </w:tc>
        <w:tc>
          <w:tcPr>
            <w:tcW w:w="801" w:type="pct"/>
            <w:vAlign w:val="center"/>
          </w:tcPr>
          <w:p>
            <w:pPr>
              <w:spacing w:line="240" w:lineRule="auto"/>
              <w:jc w:val="center"/>
              <w:rPr>
                <w:sz w:val="21"/>
                <w:szCs w:val="21"/>
              </w:rPr>
            </w:pPr>
            <w:r>
              <w:rPr>
                <w:sz w:val="21"/>
                <w:szCs w:val="21"/>
              </w:rPr>
              <w:t>2020</w:t>
            </w:r>
          </w:p>
        </w:tc>
        <w:tc>
          <w:tcPr>
            <w:tcW w:w="801" w:type="pct"/>
            <w:vAlign w:val="center"/>
          </w:tcPr>
          <w:p>
            <w:pPr>
              <w:spacing w:line="240" w:lineRule="auto"/>
              <w:jc w:val="center"/>
              <w:rPr>
                <w:sz w:val="21"/>
                <w:szCs w:val="21"/>
              </w:rPr>
            </w:pPr>
            <w:r>
              <w:rPr>
                <w:sz w:val="21"/>
                <w:szCs w:val="21"/>
              </w:rPr>
              <w:t>2021</w:t>
            </w:r>
          </w:p>
        </w:tc>
        <w:tc>
          <w:tcPr>
            <w:tcW w:w="801" w:type="pct"/>
            <w:vAlign w:val="center"/>
          </w:tcPr>
          <w:p>
            <w:pPr>
              <w:spacing w:line="240" w:lineRule="auto"/>
              <w:jc w:val="center"/>
              <w:rPr>
                <w:sz w:val="21"/>
                <w:szCs w:val="21"/>
              </w:rPr>
            </w:pPr>
            <w:r>
              <w:rPr>
                <w:sz w:val="21"/>
                <w:szCs w:val="21"/>
              </w:rPr>
              <w:t>2022</w:t>
            </w:r>
          </w:p>
        </w:tc>
        <w:tc>
          <w:tcPr>
            <w:tcW w:w="795" w:type="pct"/>
            <w:vAlign w:val="center"/>
          </w:tcPr>
          <w:p>
            <w:pPr>
              <w:spacing w:line="240" w:lineRule="auto"/>
              <w:jc w:val="center"/>
              <w:rPr>
                <w:sz w:val="21"/>
                <w:szCs w:val="21"/>
              </w:rPr>
            </w:pPr>
            <w:r>
              <w:rPr>
                <w:sz w:val="21"/>
                <w:szCs w:val="21"/>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999" w:type="pct"/>
            <w:vAlign w:val="center"/>
          </w:tcPr>
          <w:p>
            <w:pPr>
              <w:spacing w:line="240" w:lineRule="auto"/>
              <w:jc w:val="center"/>
              <w:rPr>
                <w:sz w:val="21"/>
                <w:szCs w:val="21"/>
              </w:rPr>
            </w:pPr>
            <w:r>
              <w:rPr>
                <w:sz w:val="21"/>
                <w:szCs w:val="21"/>
              </w:rPr>
              <w:t>土地资源管理</w:t>
            </w:r>
          </w:p>
        </w:tc>
        <w:tc>
          <w:tcPr>
            <w:tcW w:w="801" w:type="pct"/>
            <w:vAlign w:val="center"/>
          </w:tcPr>
          <w:p>
            <w:pPr>
              <w:spacing w:line="240" w:lineRule="auto"/>
              <w:jc w:val="center"/>
              <w:rPr>
                <w:sz w:val="21"/>
                <w:szCs w:val="21"/>
              </w:rPr>
            </w:pPr>
            <w:r>
              <w:rPr>
                <w:sz w:val="21"/>
                <w:szCs w:val="21"/>
              </w:rPr>
              <w:t>49</w:t>
            </w:r>
          </w:p>
        </w:tc>
        <w:tc>
          <w:tcPr>
            <w:tcW w:w="801" w:type="pct"/>
            <w:vAlign w:val="center"/>
          </w:tcPr>
          <w:p>
            <w:pPr>
              <w:spacing w:line="240" w:lineRule="auto"/>
              <w:jc w:val="center"/>
              <w:rPr>
                <w:sz w:val="21"/>
                <w:szCs w:val="21"/>
              </w:rPr>
            </w:pPr>
            <w:r>
              <w:rPr>
                <w:sz w:val="21"/>
                <w:szCs w:val="21"/>
              </w:rPr>
              <w:t>59</w:t>
            </w:r>
          </w:p>
        </w:tc>
        <w:tc>
          <w:tcPr>
            <w:tcW w:w="801" w:type="pct"/>
            <w:vAlign w:val="center"/>
          </w:tcPr>
          <w:p>
            <w:pPr>
              <w:spacing w:line="240" w:lineRule="auto"/>
              <w:jc w:val="center"/>
              <w:rPr>
                <w:sz w:val="21"/>
                <w:szCs w:val="21"/>
              </w:rPr>
            </w:pPr>
            <w:r>
              <w:rPr>
                <w:sz w:val="21"/>
                <w:szCs w:val="21"/>
              </w:rPr>
              <w:t>60</w:t>
            </w:r>
          </w:p>
        </w:tc>
        <w:tc>
          <w:tcPr>
            <w:tcW w:w="801" w:type="pct"/>
            <w:vAlign w:val="center"/>
          </w:tcPr>
          <w:p>
            <w:pPr>
              <w:spacing w:line="240" w:lineRule="auto"/>
              <w:jc w:val="center"/>
              <w:rPr>
                <w:sz w:val="21"/>
                <w:szCs w:val="21"/>
              </w:rPr>
            </w:pPr>
            <w:r>
              <w:rPr>
                <w:sz w:val="21"/>
                <w:szCs w:val="21"/>
              </w:rPr>
              <w:t>64</w:t>
            </w:r>
          </w:p>
        </w:tc>
        <w:tc>
          <w:tcPr>
            <w:tcW w:w="795" w:type="pct"/>
            <w:vAlign w:val="center"/>
          </w:tcPr>
          <w:p>
            <w:pPr>
              <w:spacing w:line="240" w:lineRule="auto"/>
              <w:jc w:val="center"/>
              <w:rPr>
                <w:sz w:val="21"/>
                <w:szCs w:val="21"/>
              </w:rPr>
            </w:pPr>
            <w:r>
              <w:rPr>
                <w:sz w:val="21"/>
                <w:szCs w:val="21"/>
              </w:rPr>
              <w:t>232</w:t>
            </w:r>
          </w:p>
        </w:tc>
      </w:tr>
    </w:tbl>
    <w:p>
      <w:pPr>
        <w:rPr>
          <w:b/>
          <w:bCs/>
          <w:sz w:val="21"/>
          <w:szCs w:val="21"/>
        </w:rPr>
      </w:pPr>
    </w:p>
    <w:p>
      <w:pPr>
        <w:pStyle w:val="7"/>
        <w:ind w:firstLine="480"/>
      </w:pPr>
      <w:r>
        <w:t>3. 课程体系</w:t>
      </w:r>
    </w:p>
    <w:p>
      <w:pPr>
        <w:ind w:firstLine="480"/>
      </w:pPr>
      <w:r>
        <w:t>土地资源管理为公共管理学科下的二级学科，学生需要掌握管理学、法学、经济学等有关知识。同时，土地资源管理还需要资源学、地理学、土壤学、地理信息技术和遥感技术等。因此，土地资源管理是一门交叉学科，课程涉及主干学科为公共管理学、土地科学与技术、遥感科学与技术。</w:t>
      </w:r>
    </w:p>
    <w:p>
      <w:pPr>
        <w:ind w:firstLine="480"/>
      </w:pPr>
      <w:r>
        <w:t>土地资源管理专业主要课程包括土地资源学、土地管理学、土地经济学、土地资源调查、土地资源评价、土地规划学、土地整治、不动产估价、土地法学、地理信息系统、测绘学C、基础遥感等。主要实践环节为地质地貌学、测绘学C、地籍测量、土地资源调查、土地资源评价、3S技术、土地整治等。毕业总学分不少于170学分。必修课总学分139学分、选修课学分31学分，实验学分（16.0学分）和实践环节学分（31.5学分）共47.5学分，占总学分27.94%。</w:t>
      </w:r>
    </w:p>
    <w:p>
      <w:pPr>
        <w:pStyle w:val="7"/>
        <w:ind w:firstLine="480"/>
      </w:pPr>
      <w:r>
        <w:t>4. 创新创业教育</w:t>
      </w:r>
    </w:p>
    <w:p>
      <w:pPr>
        <w:ind w:firstLine="480"/>
      </w:pPr>
      <w:r>
        <w:t>本专业非常重视学生的创新创业教育、训练，鼓励大学生积极开展创新创业，近几年取得了一定成效。</w:t>
      </w:r>
    </w:p>
    <w:p>
      <w:pPr>
        <w:ind w:firstLine="480"/>
      </w:pPr>
      <w:r>
        <w:t>鼓励大学生开展创新科研训练。鼓励大学生积极申报各级科研训练项目、参加各种竞赛、发表学术论文、获取技能证书等，在老师指导下开展土地规划、土地评价、土地整治和土地政策等土地资源管理有关研究，如学校大学生研究训练计划（SRT）、山东省和国家大学生创新创业训练计划项目，全国各类GIS比赛、全国不动产估价技能大赛、全国土地利用规划大赛、全国土地整治与生态修复工程创新大赛、全国大学生挑战杯创新设计大赛、程序设计大赛等。近3年，学生共承担27项学校大学生研究训练计划，省级、国家大学生创新创业训练计划3项，获全国大学生土地利用规划技能大赛、全国大学生不动产估价技能大赛、全国大学生土地整治与生态修复工程创新大赛、中国高校地理科学展示大赛、全国大学生英语竞赛等国家级、省级等奖励100余项，发表论文10余篇。通过研究训练，学生的创新能力有了较大提高。</w:t>
      </w:r>
    </w:p>
    <w:p>
      <w:pPr>
        <w:spacing w:line="380" w:lineRule="exact"/>
        <w:ind w:firstLine="480"/>
      </w:pPr>
      <w:r>
        <w:t>鼓励大学生开展创业实践。本专业与山东省国土空间规划院、地方自然资源和规划部门、土地整治公司、测绘公司、土地评估公司、地理信息公司等有较多的业务往来与良好的合作关系。每年学生利用假期到自然资源和规划部门及有关公司企业实习、创业。另外，学院建设了大学生创业驿站，部分土地资源管理学生利用课余时间在驿站创业、实践。经过训练，本专业大学生的专业实践能力和创业能力得以提高，毕业后能很快地适应专业工作和社会工作。</w:t>
      </w:r>
    </w:p>
    <w:p>
      <w:pPr>
        <w:pStyle w:val="5"/>
        <w:spacing w:before="93" w:after="93"/>
        <w:ind w:firstLine="560"/>
      </w:pPr>
      <w:bookmarkStart w:id="185" w:name="_Toc439228923"/>
      <w:bookmarkStart w:id="186" w:name="_Toc439256184"/>
      <w:bookmarkStart w:id="187" w:name="_Toc439226708"/>
      <w:bookmarkStart w:id="188" w:name="_Toc439254691"/>
      <w:r>
        <w:t>三、培养条件</w:t>
      </w:r>
      <w:bookmarkEnd w:id="185"/>
      <w:bookmarkEnd w:id="186"/>
      <w:bookmarkEnd w:id="187"/>
      <w:bookmarkEnd w:id="188"/>
    </w:p>
    <w:p>
      <w:pPr>
        <w:pStyle w:val="7"/>
        <w:spacing w:line="380" w:lineRule="exact"/>
        <w:ind w:firstLine="480"/>
      </w:pPr>
      <w:r>
        <w:t>1. 教学经费投入</w:t>
      </w:r>
    </w:p>
    <w:p>
      <w:pPr>
        <w:spacing w:line="380" w:lineRule="exact"/>
        <w:ind w:firstLine="480"/>
      </w:pPr>
      <w:r>
        <w:t>近年来，专业加大教学保证仪器设备、软件及日常教学等各种教学投入，保证教学，提高质量。</w:t>
      </w:r>
    </w:p>
    <w:p>
      <w:pPr>
        <w:spacing w:line="380" w:lineRule="exact"/>
        <w:ind w:firstLine="480"/>
      </w:pPr>
      <w:r>
        <w:t>近5年共投资160多万元新购置仪器设备、实验标本及新建、改建实验室。其中仪器设备共投资140余万元，购置电脑、岩石矿物标本、探地雷达、无人机、无人机相机、图形工作站和RTK等设备，以及遥感影像、电子地图</w:t>
      </w:r>
      <w:bookmarkStart w:id="189" w:name="OLE_LINK374"/>
      <w:bookmarkStart w:id="190" w:name="OLE_LINK375"/>
      <w:bookmarkStart w:id="191" w:name="OLE_LINK373"/>
      <w:r>
        <w:t>、SuperMap Deskpro6</w:t>
      </w:r>
      <w:bookmarkEnd w:id="189"/>
      <w:bookmarkEnd w:id="190"/>
      <w:bookmarkEnd w:id="191"/>
      <w:r>
        <w:t>、MapGIS K9农用地分等定级软件等。改造实验室2个，新建实验室1个，共投资27万元，极大改善了教学条件和实验条件。日常教学投入也进一步加大，如实验室维护、维修、日常实验材料购置等，近3年共投入20余万元，满足了日常教学需要。</w:t>
      </w:r>
    </w:p>
    <w:p>
      <w:pPr>
        <w:pStyle w:val="7"/>
        <w:spacing w:line="380" w:lineRule="exact"/>
        <w:ind w:firstLine="480"/>
      </w:pPr>
      <w:r>
        <w:t>2. 教学设备</w:t>
      </w:r>
    </w:p>
    <w:p>
      <w:pPr>
        <w:spacing w:line="380" w:lineRule="exact"/>
        <w:ind w:firstLine="480"/>
      </w:pPr>
      <w:r>
        <w:t>本专业建有土地制图、土地信息、土地评价、地学基础和土地规划5个专业及专业基础实验室。实验室大型教学试验仪器、设备有：全站仪、彩色扫描仪、GPS定位系统、探地雷达、光谱仪、手持GPS、红外测距仪、彩色喷墨绘图仪、RTK、求积仪、航空立体判读仪及200余台电脑、多功能实验台多媒体讲桌、投影机、服务器、交换机等。专业教学系统、软件，如南方CASS、ArcGIS、MapGISK9、SuperMap Deskpro6最新版本等。实验室、教学设施设备的投入，极大改善了教学条件，保证学生基本实验教学要求。目前硬、软件实验条件基本能满足单人操作要求。</w:t>
      </w:r>
    </w:p>
    <w:p>
      <w:pPr>
        <w:pStyle w:val="7"/>
        <w:spacing w:line="380" w:lineRule="exact"/>
        <w:ind w:firstLine="480"/>
      </w:pPr>
      <w:r>
        <w:t>3. 教师队伍建设</w:t>
      </w:r>
    </w:p>
    <w:p>
      <w:pPr>
        <w:spacing w:line="380" w:lineRule="exact"/>
        <w:ind w:firstLine="480"/>
      </w:pPr>
      <w:r>
        <w:t>土地资源管理专业共有专职教师24名，2名教学辅助老师。其中教授6名，副教授7名，讲师8名；博导4人，硕导11人。教师均具有博士学位。师资职称结构、年龄结构、学缘结构如表2。19名教师承担了土地资源管理、土地资源管理中外合作、地理信息科学3个专业、80多门专业课程的理论教学和实验教学。每门课由教授、副教授和讲师组成，形成课程教学队伍。全体教师责任感强，团队精神好，教学经验丰富，教学能力较强，教学水平较高，基本能够满足教学要求。实验教学辅助人员经验丰富，基本能够胜任实验教学要求。</w:t>
      </w:r>
    </w:p>
    <w:p>
      <w:pPr>
        <w:jc w:val="center"/>
        <w:rPr>
          <w:b/>
          <w:bCs/>
          <w:sz w:val="21"/>
          <w:szCs w:val="21"/>
          <w:lang w:val="zh-CN"/>
        </w:rPr>
      </w:pPr>
      <w:r>
        <w:rPr>
          <w:b/>
          <w:bCs/>
          <w:sz w:val="21"/>
          <w:szCs w:val="21"/>
        </w:rPr>
        <w:t>表2  土地管理专业师资队伍情况</w:t>
      </w:r>
    </w:p>
    <w:tbl>
      <w:tblPr>
        <w:tblStyle w:val="1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342"/>
        <w:gridCol w:w="1575"/>
        <w:gridCol w:w="1530"/>
        <w:gridCol w:w="1648"/>
        <w:gridCol w:w="296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blHeader/>
          <w:jc w:val="center"/>
        </w:trPr>
        <w:tc>
          <w:tcPr>
            <w:tcW w:w="740" w:type="pct"/>
            <w:vAlign w:val="center"/>
          </w:tcPr>
          <w:p>
            <w:pPr>
              <w:spacing w:line="240" w:lineRule="auto"/>
              <w:jc w:val="center"/>
              <w:rPr>
                <w:b/>
                <w:bCs/>
                <w:sz w:val="21"/>
                <w:szCs w:val="21"/>
              </w:rPr>
            </w:pPr>
            <w:r>
              <w:rPr>
                <w:b/>
                <w:bCs/>
                <w:sz w:val="21"/>
                <w:szCs w:val="21"/>
              </w:rPr>
              <w:t>序号</w:t>
            </w:r>
          </w:p>
        </w:tc>
        <w:tc>
          <w:tcPr>
            <w:tcW w:w="869" w:type="pct"/>
            <w:vAlign w:val="center"/>
          </w:tcPr>
          <w:p>
            <w:pPr>
              <w:spacing w:line="240" w:lineRule="auto"/>
              <w:jc w:val="center"/>
              <w:rPr>
                <w:b/>
                <w:bCs/>
                <w:sz w:val="21"/>
                <w:szCs w:val="21"/>
              </w:rPr>
            </w:pPr>
            <w:r>
              <w:rPr>
                <w:b/>
                <w:bCs/>
                <w:sz w:val="21"/>
                <w:szCs w:val="21"/>
              </w:rPr>
              <w:t>姓  名</w:t>
            </w:r>
          </w:p>
        </w:tc>
        <w:tc>
          <w:tcPr>
            <w:tcW w:w="844" w:type="pct"/>
            <w:vAlign w:val="center"/>
          </w:tcPr>
          <w:p>
            <w:pPr>
              <w:spacing w:line="240" w:lineRule="auto"/>
              <w:jc w:val="center"/>
              <w:rPr>
                <w:b/>
                <w:bCs/>
                <w:sz w:val="21"/>
                <w:szCs w:val="21"/>
              </w:rPr>
            </w:pPr>
            <w:r>
              <w:rPr>
                <w:b/>
                <w:bCs/>
                <w:sz w:val="21"/>
                <w:szCs w:val="21"/>
              </w:rPr>
              <w:t>职称</w:t>
            </w:r>
          </w:p>
        </w:tc>
        <w:tc>
          <w:tcPr>
            <w:tcW w:w="909" w:type="pct"/>
            <w:vAlign w:val="center"/>
          </w:tcPr>
          <w:p>
            <w:pPr>
              <w:spacing w:line="240" w:lineRule="auto"/>
              <w:jc w:val="center"/>
              <w:rPr>
                <w:b/>
                <w:bCs/>
                <w:sz w:val="21"/>
                <w:szCs w:val="21"/>
              </w:rPr>
            </w:pPr>
            <w:r>
              <w:rPr>
                <w:b/>
                <w:bCs/>
                <w:sz w:val="21"/>
                <w:szCs w:val="21"/>
              </w:rPr>
              <w:t>学位</w:t>
            </w:r>
          </w:p>
        </w:tc>
        <w:tc>
          <w:tcPr>
            <w:tcW w:w="1636" w:type="pct"/>
            <w:vAlign w:val="center"/>
          </w:tcPr>
          <w:p>
            <w:pPr>
              <w:spacing w:line="240" w:lineRule="auto"/>
              <w:jc w:val="center"/>
              <w:rPr>
                <w:b/>
                <w:bCs/>
                <w:sz w:val="21"/>
                <w:szCs w:val="21"/>
              </w:rPr>
            </w:pPr>
            <w:r>
              <w:rPr>
                <w:b/>
                <w:bCs/>
                <w:sz w:val="21"/>
                <w:szCs w:val="21"/>
              </w:rPr>
              <w:t>学缘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1</w:t>
            </w:r>
          </w:p>
        </w:tc>
        <w:tc>
          <w:tcPr>
            <w:tcW w:w="869" w:type="pct"/>
            <w:vAlign w:val="center"/>
          </w:tcPr>
          <w:p>
            <w:pPr>
              <w:spacing w:line="240" w:lineRule="auto"/>
              <w:jc w:val="center"/>
              <w:rPr>
                <w:sz w:val="21"/>
                <w:szCs w:val="21"/>
              </w:rPr>
            </w:pPr>
            <w:r>
              <w:rPr>
                <w:sz w:val="21"/>
                <w:szCs w:val="21"/>
              </w:rPr>
              <w:t>赵庚星</w:t>
            </w:r>
          </w:p>
        </w:tc>
        <w:tc>
          <w:tcPr>
            <w:tcW w:w="844" w:type="pct"/>
            <w:vAlign w:val="center"/>
          </w:tcPr>
          <w:p>
            <w:pPr>
              <w:spacing w:line="240" w:lineRule="auto"/>
              <w:jc w:val="center"/>
              <w:rPr>
                <w:sz w:val="21"/>
                <w:szCs w:val="21"/>
              </w:rPr>
            </w:pPr>
            <w:r>
              <w:rPr>
                <w:sz w:val="21"/>
                <w:szCs w:val="21"/>
              </w:rPr>
              <w:t>教授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rPr>
              <w:t>浙江大学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2</w:t>
            </w:r>
          </w:p>
        </w:tc>
        <w:tc>
          <w:tcPr>
            <w:tcW w:w="869" w:type="pct"/>
            <w:vAlign w:val="center"/>
          </w:tcPr>
          <w:p>
            <w:pPr>
              <w:spacing w:line="240" w:lineRule="auto"/>
              <w:jc w:val="center"/>
              <w:rPr>
                <w:sz w:val="21"/>
                <w:szCs w:val="21"/>
              </w:rPr>
            </w:pPr>
            <w:r>
              <w:rPr>
                <w:sz w:val="21"/>
                <w:szCs w:val="21"/>
              </w:rPr>
              <w:t>李新举</w:t>
            </w:r>
          </w:p>
        </w:tc>
        <w:tc>
          <w:tcPr>
            <w:tcW w:w="844" w:type="pct"/>
            <w:vAlign w:val="center"/>
          </w:tcPr>
          <w:p>
            <w:pPr>
              <w:spacing w:line="240" w:lineRule="auto"/>
              <w:jc w:val="center"/>
              <w:rPr>
                <w:sz w:val="21"/>
                <w:szCs w:val="21"/>
              </w:rPr>
            </w:pPr>
            <w:r>
              <w:rPr>
                <w:sz w:val="21"/>
                <w:szCs w:val="21"/>
              </w:rPr>
              <w:t>教授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rPr>
              <w:t>中国矿业大学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3</w:t>
            </w:r>
          </w:p>
        </w:tc>
        <w:tc>
          <w:tcPr>
            <w:tcW w:w="869" w:type="pct"/>
            <w:vAlign w:val="center"/>
          </w:tcPr>
          <w:p>
            <w:pPr>
              <w:spacing w:line="240" w:lineRule="auto"/>
              <w:jc w:val="center"/>
              <w:rPr>
                <w:sz w:val="21"/>
                <w:szCs w:val="21"/>
              </w:rPr>
            </w:pPr>
            <w:r>
              <w:rPr>
                <w:sz w:val="21"/>
                <w:szCs w:val="21"/>
              </w:rPr>
              <w:t>齐  伟</w:t>
            </w:r>
          </w:p>
        </w:tc>
        <w:tc>
          <w:tcPr>
            <w:tcW w:w="844" w:type="pct"/>
            <w:vAlign w:val="center"/>
          </w:tcPr>
          <w:p>
            <w:pPr>
              <w:spacing w:line="240" w:lineRule="auto"/>
              <w:jc w:val="center"/>
              <w:rPr>
                <w:sz w:val="21"/>
                <w:szCs w:val="21"/>
              </w:rPr>
            </w:pPr>
            <w:r>
              <w:rPr>
                <w:sz w:val="21"/>
                <w:szCs w:val="21"/>
              </w:rPr>
              <w:t>教授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rPr>
              <w:t>中国农业大学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4</w:t>
            </w:r>
          </w:p>
        </w:tc>
        <w:tc>
          <w:tcPr>
            <w:tcW w:w="869" w:type="pct"/>
            <w:vAlign w:val="center"/>
          </w:tcPr>
          <w:p>
            <w:pPr>
              <w:spacing w:line="240" w:lineRule="auto"/>
              <w:jc w:val="center"/>
              <w:rPr>
                <w:sz w:val="21"/>
                <w:szCs w:val="21"/>
              </w:rPr>
            </w:pPr>
            <w:r>
              <w:rPr>
                <w:sz w:val="21"/>
                <w:szCs w:val="21"/>
              </w:rPr>
              <w:t>王瑷玲</w:t>
            </w:r>
          </w:p>
        </w:tc>
        <w:tc>
          <w:tcPr>
            <w:tcW w:w="844" w:type="pct"/>
            <w:vAlign w:val="center"/>
          </w:tcPr>
          <w:p>
            <w:pPr>
              <w:spacing w:line="240" w:lineRule="auto"/>
              <w:jc w:val="center"/>
              <w:rPr>
                <w:sz w:val="21"/>
                <w:szCs w:val="21"/>
              </w:rPr>
            </w:pPr>
            <w:r>
              <w:rPr>
                <w:sz w:val="21"/>
                <w:szCs w:val="21"/>
              </w:rPr>
              <w:t>教授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rPr>
              <w:t>山东农业大学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5</w:t>
            </w:r>
          </w:p>
        </w:tc>
        <w:tc>
          <w:tcPr>
            <w:tcW w:w="869" w:type="pct"/>
            <w:vAlign w:val="center"/>
          </w:tcPr>
          <w:p>
            <w:pPr>
              <w:spacing w:line="240" w:lineRule="auto"/>
              <w:jc w:val="center"/>
              <w:rPr>
                <w:sz w:val="21"/>
                <w:szCs w:val="21"/>
              </w:rPr>
            </w:pPr>
            <w:r>
              <w:rPr>
                <w:sz w:val="21"/>
                <w:szCs w:val="21"/>
              </w:rPr>
              <w:t>李玉环</w:t>
            </w:r>
          </w:p>
        </w:tc>
        <w:tc>
          <w:tcPr>
            <w:tcW w:w="844" w:type="pct"/>
            <w:vAlign w:val="center"/>
          </w:tcPr>
          <w:p>
            <w:pPr>
              <w:spacing w:line="240" w:lineRule="auto"/>
              <w:jc w:val="center"/>
              <w:rPr>
                <w:sz w:val="21"/>
                <w:szCs w:val="21"/>
              </w:rPr>
            </w:pPr>
            <w:r>
              <w:rPr>
                <w:sz w:val="21"/>
                <w:szCs w:val="21"/>
              </w:rPr>
              <w:t>教授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rPr>
              <w:t>山东科技大学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6</w:t>
            </w:r>
          </w:p>
        </w:tc>
        <w:tc>
          <w:tcPr>
            <w:tcW w:w="869" w:type="pct"/>
            <w:vAlign w:val="center"/>
          </w:tcPr>
          <w:p>
            <w:pPr>
              <w:spacing w:line="240" w:lineRule="auto"/>
              <w:jc w:val="center"/>
              <w:rPr>
                <w:sz w:val="21"/>
                <w:szCs w:val="21"/>
              </w:rPr>
            </w:pPr>
            <w:r>
              <w:rPr>
                <w:sz w:val="21"/>
                <w:szCs w:val="21"/>
              </w:rPr>
              <w:t>朱西存</w:t>
            </w:r>
          </w:p>
        </w:tc>
        <w:tc>
          <w:tcPr>
            <w:tcW w:w="844" w:type="pct"/>
            <w:vAlign w:val="center"/>
          </w:tcPr>
          <w:p>
            <w:pPr>
              <w:spacing w:line="240" w:lineRule="auto"/>
              <w:jc w:val="center"/>
              <w:rPr>
                <w:sz w:val="21"/>
                <w:szCs w:val="21"/>
              </w:rPr>
            </w:pPr>
            <w:r>
              <w:rPr>
                <w:sz w:val="21"/>
                <w:szCs w:val="21"/>
              </w:rPr>
              <w:t>教授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rPr>
              <w:t>山东农业大学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7</w:t>
            </w:r>
          </w:p>
        </w:tc>
        <w:tc>
          <w:tcPr>
            <w:tcW w:w="869" w:type="pct"/>
            <w:vAlign w:val="center"/>
          </w:tcPr>
          <w:p>
            <w:pPr>
              <w:spacing w:line="240" w:lineRule="auto"/>
              <w:jc w:val="center"/>
              <w:rPr>
                <w:sz w:val="21"/>
                <w:szCs w:val="21"/>
              </w:rPr>
            </w:pPr>
            <w:r>
              <w:rPr>
                <w:sz w:val="21"/>
                <w:szCs w:val="21"/>
              </w:rPr>
              <w:t>李贻学</w:t>
            </w:r>
          </w:p>
        </w:tc>
        <w:tc>
          <w:tcPr>
            <w:tcW w:w="844" w:type="pct"/>
            <w:vAlign w:val="center"/>
          </w:tcPr>
          <w:p>
            <w:pPr>
              <w:spacing w:line="240" w:lineRule="auto"/>
              <w:jc w:val="center"/>
              <w:rPr>
                <w:sz w:val="21"/>
                <w:szCs w:val="21"/>
              </w:rPr>
            </w:pPr>
            <w:r>
              <w:rPr>
                <w:sz w:val="21"/>
                <w:szCs w:val="21"/>
              </w:rPr>
              <w:t>副教授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rPr>
              <w:t>山东农业大学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8</w:t>
            </w:r>
          </w:p>
        </w:tc>
        <w:tc>
          <w:tcPr>
            <w:tcW w:w="869" w:type="pct"/>
            <w:vAlign w:val="center"/>
          </w:tcPr>
          <w:p>
            <w:pPr>
              <w:spacing w:line="240" w:lineRule="auto"/>
              <w:jc w:val="center"/>
              <w:rPr>
                <w:sz w:val="21"/>
                <w:szCs w:val="21"/>
              </w:rPr>
            </w:pPr>
            <w:r>
              <w:rPr>
                <w:sz w:val="21"/>
                <w:szCs w:val="21"/>
              </w:rPr>
              <w:t>高明秀</w:t>
            </w:r>
          </w:p>
        </w:tc>
        <w:tc>
          <w:tcPr>
            <w:tcW w:w="844" w:type="pct"/>
            <w:vAlign w:val="center"/>
          </w:tcPr>
          <w:p>
            <w:pPr>
              <w:spacing w:line="240" w:lineRule="auto"/>
              <w:jc w:val="center"/>
              <w:rPr>
                <w:sz w:val="21"/>
                <w:szCs w:val="21"/>
              </w:rPr>
            </w:pPr>
            <w:r>
              <w:rPr>
                <w:sz w:val="21"/>
                <w:szCs w:val="21"/>
              </w:rPr>
              <w:t>副教授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rPr>
              <w:t>山东农业大学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9</w:t>
            </w:r>
          </w:p>
        </w:tc>
        <w:tc>
          <w:tcPr>
            <w:tcW w:w="869" w:type="pct"/>
            <w:vAlign w:val="center"/>
          </w:tcPr>
          <w:p>
            <w:pPr>
              <w:spacing w:line="240" w:lineRule="auto"/>
              <w:jc w:val="center"/>
              <w:rPr>
                <w:sz w:val="21"/>
                <w:szCs w:val="21"/>
              </w:rPr>
            </w:pPr>
            <w:r>
              <w:rPr>
                <w:sz w:val="21"/>
                <w:szCs w:val="21"/>
              </w:rPr>
              <w:t>王瑞燕</w:t>
            </w:r>
          </w:p>
        </w:tc>
        <w:tc>
          <w:tcPr>
            <w:tcW w:w="844" w:type="pct"/>
            <w:vAlign w:val="center"/>
          </w:tcPr>
          <w:p>
            <w:pPr>
              <w:spacing w:line="240" w:lineRule="auto"/>
              <w:jc w:val="center"/>
              <w:rPr>
                <w:sz w:val="21"/>
                <w:szCs w:val="21"/>
              </w:rPr>
            </w:pPr>
            <w:r>
              <w:rPr>
                <w:sz w:val="21"/>
                <w:szCs w:val="21"/>
              </w:rPr>
              <w:t>副教授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rPr>
              <w:t>山东农业大学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10</w:t>
            </w:r>
          </w:p>
        </w:tc>
        <w:tc>
          <w:tcPr>
            <w:tcW w:w="869" w:type="pct"/>
            <w:vAlign w:val="center"/>
          </w:tcPr>
          <w:p>
            <w:pPr>
              <w:spacing w:line="240" w:lineRule="auto"/>
              <w:jc w:val="center"/>
              <w:rPr>
                <w:sz w:val="21"/>
                <w:szCs w:val="21"/>
              </w:rPr>
            </w:pPr>
            <w:r>
              <w:rPr>
                <w:sz w:val="21"/>
                <w:szCs w:val="21"/>
              </w:rPr>
              <w:t>王  凌</w:t>
            </w:r>
          </w:p>
        </w:tc>
        <w:tc>
          <w:tcPr>
            <w:tcW w:w="844" w:type="pct"/>
            <w:vAlign w:val="center"/>
          </w:tcPr>
          <w:p>
            <w:pPr>
              <w:spacing w:line="240" w:lineRule="auto"/>
              <w:jc w:val="center"/>
              <w:rPr>
                <w:sz w:val="21"/>
                <w:szCs w:val="21"/>
              </w:rPr>
            </w:pPr>
            <w:r>
              <w:rPr>
                <w:sz w:val="21"/>
                <w:szCs w:val="21"/>
              </w:rPr>
              <w:t>副教授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rPr>
              <w:t>山东农业大学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11</w:t>
            </w:r>
          </w:p>
        </w:tc>
        <w:tc>
          <w:tcPr>
            <w:tcW w:w="869" w:type="pct"/>
            <w:vAlign w:val="center"/>
          </w:tcPr>
          <w:p>
            <w:pPr>
              <w:spacing w:line="240" w:lineRule="auto"/>
              <w:jc w:val="center"/>
              <w:rPr>
                <w:sz w:val="21"/>
                <w:szCs w:val="21"/>
              </w:rPr>
            </w:pPr>
            <w:r>
              <w:rPr>
                <w:sz w:val="21"/>
                <w:szCs w:val="21"/>
              </w:rPr>
              <w:t>陈红艳</w:t>
            </w:r>
          </w:p>
        </w:tc>
        <w:tc>
          <w:tcPr>
            <w:tcW w:w="844" w:type="pct"/>
            <w:vAlign w:val="center"/>
          </w:tcPr>
          <w:p>
            <w:pPr>
              <w:spacing w:line="240" w:lineRule="auto"/>
              <w:jc w:val="center"/>
              <w:rPr>
                <w:sz w:val="21"/>
                <w:szCs w:val="21"/>
              </w:rPr>
            </w:pPr>
            <w:r>
              <w:rPr>
                <w:sz w:val="21"/>
                <w:szCs w:val="21"/>
              </w:rPr>
              <w:t>副教授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rPr>
              <w:t>山东农业大学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12</w:t>
            </w:r>
          </w:p>
        </w:tc>
        <w:tc>
          <w:tcPr>
            <w:tcW w:w="869" w:type="pct"/>
            <w:vAlign w:val="center"/>
          </w:tcPr>
          <w:p>
            <w:pPr>
              <w:spacing w:line="240" w:lineRule="auto"/>
              <w:jc w:val="center"/>
              <w:rPr>
                <w:sz w:val="21"/>
                <w:szCs w:val="21"/>
              </w:rPr>
            </w:pPr>
            <w:r>
              <w:rPr>
                <w:sz w:val="21"/>
                <w:szCs w:val="21"/>
              </w:rPr>
              <w:t>牛蓓蓓</w:t>
            </w:r>
          </w:p>
        </w:tc>
        <w:tc>
          <w:tcPr>
            <w:tcW w:w="844" w:type="pct"/>
            <w:vAlign w:val="center"/>
          </w:tcPr>
          <w:p>
            <w:pPr>
              <w:spacing w:line="240" w:lineRule="auto"/>
              <w:jc w:val="center"/>
              <w:rPr>
                <w:sz w:val="21"/>
                <w:szCs w:val="21"/>
              </w:rPr>
            </w:pPr>
            <w:r>
              <w:rPr>
                <w:sz w:val="21"/>
                <w:szCs w:val="21"/>
              </w:rPr>
              <w:t>副教授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rPr>
              <w:t>武汉大学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13</w:t>
            </w:r>
          </w:p>
        </w:tc>
        <w:tc>
          <w:tcPr>
            <w:tcW w:w="869" w:type="pct"/>
            <w:vAlign w:val="center"/>
          </w:tcPr>
          <w:p>
            <w:pPr>
              <w:spacing w:line="240" w:lineRule="auto"/>
              <w:jc w:val="center"/>
              <w:rPr>
                <w:sz w:val="21"/>
                <w:szCs w:val="21"/>
              </w:rPr>
            </w:pPr>
            <w:r>
              <w:rPr>
                <w:sz w:val="21"/>
                <w:szCs w:val="21"/>
              </w:rPr>
              <w:t>徐冬云</w:t>
            </w:r>
          </w:p>
        </w:tc>
        <w:tc>
          <w:tcPr>
            <w:tcW w:w="844" w:type="pct"/>
            <w:vAlign w:val="center"/>
          </w:tcPr>
          <w:p>
            <w:pPr>
              <w:spacing w:line="240" w:lineRule="auto"/>
              <w:jc w:val="center"/>
              <w:rPr>
                <w:sz w:val="21"/>
                <w:szCs w:val="21"/>
              </w:rPr>
            </w:pPr>
            <w:r>
              <w:rPr>
                <w:sz w:val="21"/>
                <w:szCs w:val="21"/>
              </w:rPr>
              <w:t>副教授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rPr>
              <w:t>浙江大学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14</w:t>
            </w:r>
          </w:p>
        </w:tc>
        <w:tc>
          <w:tcPr>
            <w:tcW w:w="869" w:type="pct"/>
            <w:vAlign w:val="center"/>
          </w:tcPr>
          <w:p>
            <w:pPr>
              <w:spacing w:line="240" w:lineRule="auto"/>
              <w:jc w:val="center"/>
              <w:rPr>
                <w:sz w:val="21"/>
                <w:szCs w:val="21"/>
              </w:rPr>
            </w:pPr>
            <w:r>
              <w:rPr>
                <w:sz w:val="21"/>
                <w:szCs w:val="21"/>
              </w:rPr>
              <w:t>荆肇睿</w:t>
            </w:r>
          </w:p>
        </w:tc>
        <w:tc>
          <w:tcPr>
            <w:tcW w:w="844" w:type="pct"/>
            <w:vAlign w:val="center"/>
          </w:tcPr>
          <w:p>
            <w:pPr>
              <w:spacing w:line="240" w:lineRule="auto"/>
              <w:jc w:val="center"/>
              <w:rPr>
                <w:sz w:val="21"/>
                <w:szCs w:val="21"/>
              </w:rPr>
            </w:pPr>
            <w:r>
              <w:rPr>
                <w:sz w:val="21"/>
                <w:szCs w:val="21"/>
              </w:rPr>
              <w:t>副教授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shd w:val="clear" w:color="auto" w:fill="FFFFFF"/>
              </w:rPr>
            </w:pPr>
            <w:r>
              <w:rPr>
                <w:sz w:val="21"/>
                <w:szCs w:val="21"/>
                <w:shd w:val="clear" w:color="auto" w:fill="FFFFFF"/>
              </w:rPr>
              <w:t>中国地质大学（北京）</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15</w:t>
            </w:r>
          </w:p>
        </w:tc>
        <w:tc>
          <w:tcPr>
            <w:tcW w:w="869" w:type="pct"/>
            <w:vAlign w:val="center"/>
          </w:tcPr>
          <w:p>
            <w:pPr>
              <w:spacing w:line="240" w:lineRule="auto"/>
              <w:jc w:val="center"/>
              <w:rPr>
                <w:sz w:val="21"/>
                <w:szCs w:val="21"/>
              </w:rPr>
            </w:pPr>
            <w:r>
              <w:rPr>
                <w:sz w:val="21"/>
                <w:szCs w:val="21"/>
              </w:rPr>
              <w:t>常春艳</w:t>
            </w:r>
          </w:p>
        </w:tc>
        <w:tc>
          <w:tcPr>
            <w:tcW w:w="844" w:type="pct"/>
            <w:vAlign w:val="center"/>
          </w:tcPr>
          <w:p>
            <w:pPr>
              <w:spacing w:line="240" w:lineRule="auto"/>
              <w:jc w:val="center"/>
              <w:rPr>
                <w:sz w:val="21"/>
                <w:szCs w:val="21"/>
              </w:rPr>
            </w:pPr>
            <w:r>
              <w:rPr>
                <w:sz w:val="21"/>
                <w:szCs w:val="21"/>
              </w:rPr>
              <w:t>讲师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rPr>
              <w:t>山东农业大学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16</w:t>
            </w:r>
          </w:p>
        </w:tc>
        <w:tc>
          <w:tcPr>
            <w:tcW w:w="869" w:type="pct"/>
            <w:vAlign w:val="center"/>
          </w:tcPr>
          <w:p>
            <w:pPr>
              <w:spacing w:line="240" w:lineRule="auto"/>
              <w:jc w:val="center"/>
              <w:rPr>
                <w:sz w:val="21"/>
                <w:szCs w:val="21"/>
              </w:rPr>
            </w:pPr>
            <w:r>
              <w:rPr>
                <w:sz w:val="21"/>
                <w:szCs w:val="21"/>
              </w:rPr>
              <w:t>于新洋</w:t>
            </w:r>
          </w:p>
        </w:tc>
        <w:tc>
          <w:tcPr>
            <w:tcW w:w="844" w:type="pct"/>
            <w:vAlign w:val="center"/>
          </w:tcPr>
          <w:p>
            <w:pPr>
              <w:spacing w:line="240" w:lineRule="auto"/>
              <w:jc w:val="center"/>
              <w:rPr>
                <w:sz w:val="21"/>
                <w:szCs w:val="21"/>
              </w:rPr>
            </w:pPr>
            <w:r>
              <w:rPr>
                <w:sz w:val="21"/>
                <w:szCs w:val="21"/>
              </w:rPr>
              <w:t>讲师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rPr>
              <w:t>中国科学院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17</w:t>
            </w:r>
          </w:p>
        </w:tc>
        <w:tc>
          <w:tcPr>
            <w:tcW w:w="869" w:type="pct"/>
            <w:vAlign w:val="center"/>
          </w:tcPr>
          <w:p>
            <w:pPr>
              <w:spacing w:line="240" w:lineRule="auto"/>
              <w:jc w:val="center"/>
              <w:rPr>
                <w:sz w:val="21"/>
                <w:szCs w:val="21"/>
              </w:rPr>
            </w:pPr>
            <w:r>
              <w:rPr>
                <w:sz w:val="21"/>
                <w:szCs w:val="21"/>
              </w:rPr>
              <w:t>王卓然</w:t>
            </w:r>
          </w:p>
        </w:tc>
        <w:tc>
          <w:tcPr>
            <w:tcW w:w="844" w:type="pct"/>
            <w:vAlign w:val="center"/>
          </w:tcPr>
          <w:p>
            <w:pPr>
              <w:spacing w:line="240" w:lineRule="auto"/>
              <w:jc w:val="center"/>
              <w:rPr>
                <w:sz w:val="21"/>
                <w:szCs w:val="21"/>
              </w:rPr>
            </w:pPr>
            <w:r>
              <w:rPr>
                <w:sz w:val="21"/>
                <w:szCs w:val="21"/>
              </w:rPr>
              <w:t>讲师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rPr>
              <w:t>山东农业大学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18</w:t>
            </w:r>
          </w:p>
        </w:tc>
        <w:tc>
          <w:tcPr>
            <w:tcW w:w="869" w:type="pct"/>
            <w:vAlign w:val="center"/>
          </w:tcPr>
          <w:p>
            <w:pPr>
              <w:spacing w:line="240" w:lineRule="auto"/>
              <w:jc w:val="center"/>
              <w:rPr>
                <w:sz w:val="21"/>
                <w:szCs w:val="21"/>
              </w:rPr>
            </w:pPr>
            <w:r>
              <w:rPr>
                <w:sz w:val="21"/>
                <w:szCs w:val="21"/>
              </w:rPr>
              <w:t>赵</w:t>
            </w:r>
            <w:r>
              <w:rPr>
                <w:rFonts w:hint="eastAsia"/>
                <w:sz w:val="21"/>
                <w:szCs w:val="21"/>
              </w:rPr>
              <w:t xml:space="preserve">  </w:t>
            </w:r>
            <w:r>
              <w:rPr>
                <w:sz w:val="21"/>
                <w:szCs w:val="21"/>
              </w:rPr>
              <w:t>利</w:t>
            </w:r>
          </w:p>
        </w:tc>
        <w:tc>
          <w:tcPr>
            <w:tcW w:w="844" w:type="pct"/>
            <w:vAlign w:val="center"/>
          </w:tcPr>
          <w:p>
            <w:pPr>
              <w:spacing w:line="240" w:lineRule="auto"/>
              <w:jc w:val="center"/>
              <w:rPr>
                <w:sz w:val="21"/>
                <w:szCs w:val="21"/>
              </w:rPr>
            </w:pPr>
            <w:r>
              <w:rPr>
                <w:sz w:val="21"/>
                <w:szCs w:val="21"/>
              </w:rPr>
              <w:t>讲师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rPr>
              <w:t>中国石油大学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19</w:t>
            </w:r>
          </w:p>
        </w:tc>
        <w:tc>
          <w:tcPr>
            <w:tcW w:w="869" w:type="pct"/>
            <w:vAlign w:val="center"/>
          </w:tcPr>
          <w:p>
            <w:pPr>
              <w:spacing w:line="240" w:lineRule="auto"/>
              <w:jc w:val="center"/>
              <w:rPr>
                <w:sz w:val="21"/>
                <w:szCs w:val="21"/>
              </w:rPr>
            </w:pPr>
            <w:r>
              <w:rPr>
                <w:sz w:val="21"/>
                <w:szCs w:val="21"/>
              </w:rPr>
              <w:t>闵祥宇</w:t>
            </w:r>
          </w:p>
        </w:tc>
        <w:tc>
          <w:tcPr>
            <w:tcW w:w="844" w:type="pct"/>
            <w:vAlign w:val="center"/>
          </w:tcPr>
          <w:p>
            <w:pPr>
              <w:spacing w:line="240" w:lineRule="auto"/>
              <w:jc w:val="center"/>
              <w:rPr>
                <w:sz w:val="21"/>
                <w:szCs w:val="21"/>
              </w:rPr>
            </w:pPr>
            <w:r>
              <w:rPr>
                <w:sz w:val="21"/>
                <w:szCs w:val="21"/>
              </w:rPr>
              <w:t>讲师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rPr>
              <w:t>山东农业大学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20</w:t>
            </w:r>
          </w:p>
        </w:tc>
        <w:tc>
          <w:tcPr>
            <w:tcW w:w="869" w:type="pct"/>
            <w:vAlign w:val="center"/>
          </w:tcPr>
          <w:p>
            <w:pPr>
              <w:spacing w:line="240" w:lineRule="auto"/>
              <w:jc w:val="center"/>
              <w:rPr>
                <w:sz w:val="21"/>
                <w:szCs w:val="21"/>
              </w:rPr>
            </w:pPr>
            <w:r>
              <w:rPr>
                <w:sz w:val="21"/>
                <w:szCs w:val="21"/>
              </w:rPr>
              <w:t>宋</w:t>
            </w:r>
            <w:r>
              <w:rPr>
                <w:rFonts w:hint="eastAsia"/>
                <w:sz w:val="21"/>
                <w:szCs w:val="21"/>
              </w:rPr>
              <w:t xml:space="preserve">  </w:t>
            </w:r>
            <w:r>
              <w:rPr>
                <w:sz w:val="21"/>
                <w:szCs w:val="21"/>
              </w:rPr>
              <w:t>文</w:t>
            </w:r>
          </w:p>
        </w:tc>
        <w:tc>
          <w:tcPr>
            <w:tcW w:w="844" w:type="pct"/>
            <w:vAlign w:val="center"/>
          </w:tcPr>
          <w:p>
            <w:pPr>
              <w:spacing w:line="240" w:lineRule="auto"/>
              <w:jc w:val="center"/>
              <w:rPr>
                <w:sz w:val="21"/>
                <w:szCs w:val="21"/>
              </w:rPr>
            </w:pPr>
            <w:r>
              <w:rPr>
                <w:sz w:val="21"/>
                <w:szCs w:val="21"/>
              </w:rPr>
              <w:t>讲师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shd w:val="clear" w:color="auto" w:fill="FFFFFF"/>
              </w:rPr>
              <w:t>中国地质大学（北京）</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21</w:t>
            </w:r>
          </w:p>
        </w:tc>
        <w:tc>
          <w:tcPr>
            <w:tcW w:w="869" w:type="pct"/>
            <w:vAlign w:val="center"/>
          </w:tcPr>
          <w:p>
            <w:pPr>
              <w:spacing w:line="240" w:lineRule="auto"/>
              <w:jc w:val="center"/>
              <w:rPr>
                <w:sz w:val="21"/>
                <w:szCs w:val="21"/>
              </w:rPr>
            </w:pPr>
            <w:r>
              <w:rPr>
                <w:sz w:val="21"/>
                <w:szCs w:val="21"/>
              </w:rPr>
              <w:t>王莹莹</w:t>
            </w:r>
          </w:p>
        </w:tc>
        <w:tc>
          <w:tcPr>
            <w:tcW w:w="844" w:type="pct"/>
            <w:vAlign w:val="center"/>
          </w:tcPr>
          <w:p>
            <w:pPr>
              <w:spacing w:line="240" w:lineRule="auto"/>
              <w:jc w:val="center"/>
              <w:rPr>
                <w:sz w:val="21"/>
                <w:szCs w:val="21"/>
              </w:rPr>
            </w:pPr>
            <w:r>
              <w:rPr>
                <w:sz w:val="21"/>
                <w:szCs w:val="21"/>
              </w:rPr>
              <w:t>讲师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shd w:val="clear" w:color="auto" w:fill="FFFFFF"/>
              </w:rPr>
            </w:pPr>
            <w:r>
              <w:rPr>
                <w:sz w:val="21"/>
                <w:szCs w:val="21"/>
              </w:rPr>
              <w:t>中国科学院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22</w:t>
            </w:r>
          </w:p>
        </w:tc>
        <w:tc>
          <w:tcPr>
            <w:tcW w:w="869" w:type="pct"/>
            <w:vAlign w:val="center"/>
          </w:tcPr>
          <w:p>
            <w:pPr>
              <w:spacing w:line="240" w:lineRule="auto"/>
              <w:jc w:val="center"/>
              <w:rPr>
                <w:sz w:val="21"/>
                <w:szCs w:val="21"/>
              </w:rPr>
            </w:pPr>
            <w:r>
              <w:rPr>
                <w:sz w:val="21"/>
                <w:szCs w:val="21"/>
              </w:rPr>
              <w:t>李俊颖</w:t>
            </w:r>
          </w:p>
        </w:tc>
        <w:tc>
          <w:tcPr>
            <w:tcW w:w="844" w:type="pct"/>
            <w:vAlign w:val="center"/>
          </w:tcPr>
          <w:p>
            <w:pPr>
              <w:spacing w:line="240" w:lineRule="auto"/>
              <w:jc w:val="center"/>
              <w:rPr>
                <w:sz w:val="21"/>
                <w:szCs w:val="21"/>
              </w:rPr>
            </w:pPr>
            <w:r>
              <w:rPr>
                <w:sz w:val="21"/>
                <w:szCs w:val="21"/>
              </w:rPr>
              <w:t>讲师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shd w:val="clear" w:color="auto" w:fill="FFFFFF"/>
              </w:rPr>
            </w:pPr>
            <w:r>
              <w:rPr>
                <w:sz w:val="21"/>
                <w:szCs w:val="21"/>
                <w:shd w:val="clear" w:color="auto" w:fill="FFFFFF"/>
              </w:rPr>
              <w:t>中国地质大学（北京）</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23</w:t>
            </w:r>
          </w:p>
        </w:tc>
        <w:tc>
          <w:tcPr>
            <w:tcW w:w="869" w:type="pct"/>
            <w:vAlign w:val="center"/>
          </w:tcPr>
          <w:p>
            <w:pPr>
              <w:spacing w:line="240" w:lineRule="auto"/>
              <w:jc w:val="center"/>
              <w:rPr>
                <w:sz w:val="21"/>
                <w:szCs w:val="21"/>
              </w:rPr>
            </w:pPr>
            <w:r>
              <w:rPr>
                <w:sz w:val="21"/>
                <w:szCs w:val="21"/>
              </w:rPr>
              <w:t>张</w:t>
            </w:r>
            <w:r>
              <w:rPr>
                <w:rFonts w:hint="eastAsia"/>
                <w:sz w:val="21"/>
                <w:szCs w:val="21"/>
              </w:rPr>
              <w:t xml:space="preserve">  </w:t>
            </w:r>
            <w:r>
              <w:rPr>
                <w:sz w:val="21"/>
                <w:szCs w:val="21"/>
              </w:rPr>
              <w:t>鹏</w:t>
            </w:r>
          </w:p>
        </w:tc>
        <w:tc>
          <w:tcPr>
            <w:tcW w:w="844" w:type="pct"/>
            <w:vAlign w:val="center"/>
          </w:tcPr>
          <w:p>
            <w:pPr>
              <w:spacing w:line="240" w:lineRule="auto"/>
              <w:jc w:val="center"/>
              <w:rPr>
                <w:sz w:val="21"/>
                <w:szCs w:val="21"/>
              </w:rPr>
            </w:pPr>
            <w:r>
              <w:rPr>
                <w:sz w:val="21"/>
                <w:szCs w:val="21"/>
              </w:rPr>
              <w:t>讲师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shd w:val="clear" w:color="auto" w:fill="FFFFFF"/>
              </w:rPr>
            </w:pPr>
            <w:r>
              <w:rPr>
                <w:sz w:val="21"/>
                <w:szCs w:val="21"/>
              </w:rPr>
              <w:t>中国科学院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40" w:type="pct"/>
            <w:vAlign w:val="center"/>
          </w:tcPr>
          <w:p>
            <w:pPr>
              <w:spacing w:line="240" w:lineRule="auto"/>
              <w:jc w:val="center"/>
              <w:rPr>
                <w:sz w:val="21"/>
                <w:szCs w:val="21"/>
              </w:rPr>
            </w:pPr>
            <w:r>
              <w:rPr>
                <w:sz w:val="21"/>
                <w:szCs w:val="21"/>
              </w:rPr>
              <w:t>24</w:t>
            </w:r>
          </w:p>
        </w:tc>
        <w:tc>
          <w:tcPr>
            <w:tcW w:w="869" w:type="pct"/>
            <w:vAlign w:val="center"/>
          </w:tcPr>
          <w:p>
            <w:pPr>
              <w:spacing w:line="240" w:lineRule="auto"/>
              <w:jc w:val="center"/>
              <w:rPr>
                <w:sz w:val="21"/>
                <w:szCs w:val="21"/>
              </w:rPr>
            </w:pPr>
            <w:r>
              <w:rPr>
                <w:sz w:val="21"/>
                <w:szCs w:val="21"/>
              </w:rPr>
              <w:t>刘亚秋</w:t>
            </w:r>
          </w:p>
        </w:tc>
        <w:tc>
          <w:tcPr>
            <w:tcW w:w="844" w:type="pct"/>
            <w:vAlign w:val="center"/>
          </w:tcPr>
          <w:p>
            <w:pPr>
              <w:spacing w:line="240" w:lineRule="auto"/>
              <w:jc w:val="center"/>
              <w:rPr>
                <w:sz w:val="21"/>
                <w:szCs w:val="21"/>
              </w:rPr>
            </w:pPr>
            <w:r>
              <w:rPr>
                <w:sz w:val="21"/>
                <w:szCs w:val="21"/>
              </w:rPr>
              <w:t>讲师</w:t>
            </w:r>
          </w:p>
        </w:tc>
        <w:tc>
          <w:tcPr>
            <w:tcW w:w="909" w:type="pct"/>
            <w:vAlign w:val="center"/>
          </w:tcPr>
          <w:p>
            <w:pPr>
              <w:spacing w:line="240" w:lineRule="auto"/>
              <w:jc w:val="center"/>
              <w:rPr>
                <w:sz w:val="21"/>
                <w:szCs w:val="21"/>
              </w:rPr>
            </w:pPr>
            <w:r>
              <w:rPr>
                <w:sz w:val="21"/>
                <w:szCs w:val="21"/>
              </w:rPr>
              <w:t>博士</w:t>
            </w:r>
          </w:p>
        </w:tc>
        <w:tc>
          <w:tcPr>
            <w:tcW w:w="1636" w:type="pct"/>
            <w:vAlign w:val="center"/>
          </w:tcPr>
          <w:p>
            <w:pPr>
              <w:spacing w:line="240" w:lineRule="auto"/>
              <w:jc w:val="center"/>
              <w:rPr>
                <w:sz w:val="21"/>
                <w:szCs w:val="21"/>
              </w:rPr>
            </w:pPr>
            <w:r>
              <w:rPr>
                <w:sz w:val="21"/>
                <w:szCs w:val="21"/>
              </w:rPr>
              <w:t>山东农业大学</w:t>
            </w:r>
          </w:p>
        </w:tc>
      </w:tr>
    </w:tbl>
    <w:p>
      <w:pPr>
        <w:pStyle w:val="7"/>
        <w:ind w:firstLine="480"/>
      </w:pPr>
      <w:r>
        <w:t>4. 实习基地</w:t>
      </w:r>
    </w:p>
    <w:p>
      <w:pPr>
        <w:ind w:firstLine="480"/>
      </w:pPr>
      <w:r>
        <w:t>本专业与高密市、莒南县、岱岳区等自然资源和规划局、鲁商乡发展集团、山东金田勘察设计有限公司、山东正衡土地房地产评估勘测有限公司和山东亿华天产业发展集团有限公司等单位签订协议，建立了校外教学实习基地。校外教学基地均备有指导教师，为学生的专业课实习及毕业实习提供了良好的场所、创造了良好的条件。配合地质学、土地规划学、土地资源调查、土地整治、遥感等课程，本专业还建野外实习路线，包括济南、肥城、黄前等10余条教学实习路线。老师每年带领学生实地考察地质、地形、土壤、土地利用、土地整治、土地规划等情况，深化课堂教学内容。除此之外，与20余家山东省土地规划公司、土地整治公司、土地测绘公司、土地评估公司、地理信息公司等建立了良好的合作关系。</w:t>
      </w:r>
    </w:p>
    <w:p>
      <w:pPr>
        <w:pStyle w:val="7"/>
        <w:ind w:firstLine="480"/>
      </w:pPr>
      <w:r>
        <w:t>5. 现代教学技术应用</w:t>
      </w:r>
    </w:p>
    <w:p>
      <w:pPr>
        <w:ind w:firstLine="480"/>
      </w:pPr>
      <w:r>
        <w:t>本专业重视现代教学技术应用，鼓励老师应用多媒体技术，采用雨课堂、智慧树、腾讯课堂、中国大学慕课(MOOC)等教学平台，并做到与传统教学有机结合。</w:t>
      </w:r>
    </w:p>
    <w:p>
      <w:pPr>
        <w:ind w:firstLine="480"/>
      </w:pPr>
      <w:r>
        <w:t>目前本专业90%以上课程采用多媒体教学。为了提高教学效果，要求教师认真准备多媒体课件，内容丰富，图文并茂，格式活泼，提高学生学习的积极性和热情。</w:t>
      </w:r>
    </w:p>
    <w:p>
      <w:pPr>
        <w:ind w:firstLine="480"/>
      </w:pPr>
      <w:r>
        <w:t>随着雨课堂、智慧树、学堂在线、中国大学慕课(MOOC)等教学平台的应用，鼓励教师采用现代网络平台开展教学，将课程大纲、教学内容上传到平台，并与学生开展互动，及时解决学生学习中遇到的问题。目前《不动产估价》幕课已建成，并在山东省高校在线开放课程平台上线。鼓励老师们开展一流课程、慕课(MOOC)等课程建设。</w:t>
      </w:r>
    </w:p>
    <w:p>
      <w:pPr>
        <w:pStyle w:val="5"/>
        <w:spacing w:before="93" w:after="93"/>
        <w:ind w:firstLine="560"/>
      </w:pPr>
      <w:bookmarkStart w:id="192" w:name="_Toc439228924"/>
      <w:bookmarkStart w:id="193" w:name="_Toc439226709"/>
      <w:bookmarkStart w:id="194" w:name="_Toc439256185"/>
      <w:bookmarkStart w:id="195" w:name="_Toc439254692"/>
      <w:r>
        <w:t>四、培养机制与特色</w:t>
      </w:r>
      <w:bookmarkEnd w:id="192"/>
      <w:bookmarkEnd w:id="193"/>
      <w:bookmarkEnd w:id="194"/>
      <w:bookmarkEnd w:id="195"/>
    </w:p>
    <w:p>
      <w:pPr>
        <w:ind w:firstLine="480"/>
      </w:pPr>
      <w:r>
        <w:t>本专业借助广泛的社会资源、优良的教学条件、老师的科研课题及国家、学校大学生研究训练项目开展产学研协同育人机制。每年带领学生到校外教学基地、有关公司考察实习，推荐学生利用节假日去实习。同时邀请省自然资源厅、市县自然资源和规划局及公司等专家到学校为学生讲授国家有关土地政策、资源部门开展的工作及对学生的业务要求等，提高学生对专业、未来工作的认识。校内的土地制图、土地信息等实验室、仪器设备及相关软件为学生理论课及实验操作技能提供了良好条件。专业老师承担了国家级、省部级及各级自然资源部门的课题和项目，部分学生参与到课题中。老师也将课题研究进展带进课堂，既丰富了教学内容，又提高了学生的学习兴趣。部分同学还申请了国家、山东省及学校大学生研究训练课题等，通过课题研究，提高了研究创新能力。</w:t>
      </w:r>
    </w:p>
    <w:p>
      <w:pPr>
        <w:ind w:firstLine="480"/>
      </w:pPr>
      <w:r>
        <w:t>本专业与英国皇家农业大学合办土地资源管理项目，培养的学生不仅能掌握和普通土地资源管理专业学生一样的专业知识，毕业后考研、出国、就业，而且了解国际及国内房地产商务环境、掌握市场规律，能从事房地产与土地经营、投资、评估和管理等工作，具有国际视野，能满足社会对于国际型土地资源管理、房地产经营管理人才的需求。</w:t>
      </w:r>
    </w:p>
    <w:p>
      <w:pPr>
        <w:ind w:firstLine="480"/>
      </w:pPr>
      <w:r>
        <w:t>另外，本专业还与自然资源部门、有关公司联合办学，相互考察学习，部门、公司人员也经常到学校为学生上课、做报告，取得了良好的合作办学效果。</w:t>
      </w:r>
    </w:p>
    <w:p>
      <w:pPr>
        <w:pStyle w:val="5"/>
        <w:spacing w:before="93" w:after="93"/>
        <w:ind w:firstLine="560"/>
      </w:pPr>
      <w:bookmarkStart w:id="196" w:name="_Toc439226710"/>
      <w:bookmarkStart w:id="197" w:name="_Toc439228925"/>
      <w:bookmarkStart w:id="198" w:name="_Toc439256186"/>
      <w:bookmarkStart w:id="199" w:name="_Toc439254693"/>
      <w:r>
        <w:t>五、培养质量</w:t>
      </w:r>
      <w:bookmarkEnd w:id="196"/>
      <w:bookmarkEnd w:id="197"/>
      <w:bookmarkEnd w:id="198"/>
      <w:bookmarkEnd w:id="199"/>
    </w:p>
    <w:p>
      <w:pPr>
        <w:pStyle w:val="7"/>
        <w:ind w:firstLine="480"/>
      </w:pPr>
      <w:r>
        <w:t>1. 毕业生就业率</w:t>
      </w:r>
    </w:p>
    <w:p>
      <w:pPr>
        <w:ind w:firstLine="480"/>
      </w:pPr>
      <w:r>
        <w:t>2022年，土地资源管理专业毕业总体就业率为87.01%。本专业毕业生每年有部分同学出国留学，近几年受国内国际疫情等影响，原计划出国留学同学放弃申请。另外，2021年国家考研调剂政策变化，不能跨学科门类调剂，本专业考取研究生调剂受到限制。因此，近2年就业率受到一定程度影响。</w:t>
      </w:r>
    </w:p>
    <w:p>
      <w:pPr>
        <w:ind w:firstLine="480"/>
      </w:pPr>
      <w:r>
        <w:t>近5年土地资源管理专业学生平均就业率90%以上，就业水平高。每年大约30%－40%的同学考取研究生，40%左右到有关土地公司工作，其余学生考取公务员、事业编、村官、创业、出国留学等不同形式。近年来，由于公务员、事业编制考试竞争激烈，各地考试时间不同，当年毕业即考取的学生较少。有的学生毕业后半年考取，有的可能第二年考取，最终自然资源部门工作的学生能占到同级同学的30%。随着国家机构改革，公务员、事业编名额减少，引导学生逐步转变观念，到公司、企业等单位就业。</w:t>
      </w:r>
    </w:p>
    <w:p>
      <w:pPr>
        <w:pStyle w:val="7"/>
        <w:ind w:firstLine="480"/>
      </w:pPr>
      <w:r>
        <w:t>2. 就业专业对口率</w:t>
      </w:r>
    </w:p>
    <w:p>
      <w:pPr>
        <w:ind w:firstLine="480"/>
      </w:pPr>
      <w:r>
        <w:t>2022年本专业就业对口率为80%。</w:t>
      </w:r>
    </w:p>
    <w:p>
      <w:pPr>
        <w:ind w:firstLine="480"/>
      </w:pPr>
      <w:r>
        <w:t>近年来本专业学生毕业后80%以上从事了有关土地资源管理的工作。有的同学毕业后直接到自然资源和规划局工作，有的到了有关土地公司工作，还有的考取土地有关的研究生，最终从事与土地有关的科研和实践工作。同学们基本上把学到的专业知识应用到工作中。其余同学通过考公务员、事业编、大学生村官、选调生等到政府部门、农村基层等工作，虽然不是直接从事土地业务，但大多与土地资源管理有一定联系，专业知识在日常工作中也发挥了一定作用。</w:t>
      </w:r>
    </w:p>
    <w:p>
      <w:pPr>
        <w:pStyle w:val="7"/>
        <w:ind w:firstLine="480"/>
      </w:pPr>
      <w:r>
        <w:t>3. 毕业生发展情况</w:t>
      </w:r>
    </w:p>
    <w:p>
      <w:pPr>
        <w:ind w:firstLine="480"/>
      </w:pPr>
      <w:r>
        <w:t>2022年土地资源管理专业67名同学毕业，其中考研升学19人，协议就业16人，应征义务兵1人，其他形式就业31人。</w:t>
      </w:r>
    </w:p>
    <w:p>
      <w:pPr>
        <w:ind w:firstLine="480"/>
      </w:pPr>
      <w:r>
        <w:t>本专业学生基于在学校打下的良好业务基础和综合素质，毕业后发展良好。到自然资源和规划局的毕业生参加工作一般从科员做起，经过几年锻炼，基本成为单位规划科、地籍科、评估中心、整治中心等业务部门的骨干，有的发展为部门领导或单位领导。攻读硕士研究生的同学，有的研究生毕业后继续读博，有的参加工作，都有了更好的起点，最终到有关大学、科研院所、自然资源部、省自然资源厅及市县自然资源局工作，均成为业务骨干或领导。而到有关土地公司工作的，几年之后基本成为业务经理。有的具有一定积累和经验后，自己创业，取得了较好的成绩。</w:t>
      </w:r>
    </w:p>
    <w:p>
      <w:pPr>
        <w:pStyle w:val="7"/>
        <w:ind w:firstLine="480"/>
      </w:pPr>
      <w:r>
        <w:t>4. 就业单位满意率</w:t>
      </w:r>
    </w:p>
    <w:p>
      <w:pPr>
        <w:ind w:firstLine="480"/>
      </w:pPr>
      <w:r>
        <w:t>2022年就业单位满意率为100%。</w:t>
      </w:r>
    </w:p>
    <w:p>
      <w:pPr>
        <w:ind w:firstLine="480"/>
      </w:pPr>
      <w:r>
        <w:t>本专业学生就业去向主要为攻读研究生、自然资源部门和土地有关公司等。由于学生在大学期间掌握了较扎实的理论知识，硬件、软件进行了较多的实践操作，总体业务能力较强。有关大学对我专业考取的研究生认为基础理论掌握较好，有一定的研究能力，能较快地进入研究角色。自然资源部门对我专业学生评价较高，学生到自然资源部门参加工作后，很快适应工作，几个月就能较好地独立开展工作。而有关公司认为大部分学生较快地开展技术工作，有的学生半年后就能独自承担项目，有的学生二、三年即成为公司中层干部。因此，有关单位对我专业学生总体满意。</w:t>
      </w:r>
    </w:p>
    <w:p>
      <w:pPr>
        <w:pStyle w:val="7"/>
        <w:ind w:firstLine="480"/>
      </w:pPr>
      <w:r>
        <w:t>5. 社会对专业的评价</w:t>
      </w:r>
    </w:p>
    <w:p>
      <w:pPr>
        <w:ind w:firstLine="480"/>
      </w:pPr>
      <w:r>
        <w:t>2022年社会对专业的评价为100%。</w:t>
      </w:r>
    </w:p>
    <w:p>
      <w:pPr>
        <w:ind w:firstLine="480"/>
      </w:pPr>
      <w:r>
        <w:t>由于本业良好的师资条件、学生较强的就业能力及较好的就业状况，本专业在国内同行专业具有较高的声誉。2018年全国共有89所土地资源管理专业的大学参与排名，山东农业大学土地资源管理专业排名第19位。多年来在山东省排名第一。2020年获批山东省和国家一流本科专业建设点。</w:t>
      </w:r>
    </w:p>
    <w:p>
      <w:pPr>
        <w:pStyle w:val="7"/>
        <w:ind w:firstLine="480"/>
      </w:pPr>
      <w:r>
        <w:t>6. 学生就读该专业的意愿</w:t>
      </w:r>
    </w:p>
    <w:p>
      <w:pPr>
        <w:ind w:firstLine="480"/>
      </w:pPr>
      <w:r>
        <w:t>2022年土地资源管理专业的一次录取率为100%，报到率为100%。</w:t>
      </w:r>
    </w:p>
    <w:p>
      <w:pPr>
        <w:ind w:firstLine="480"/>
      </w:pPr>
      <w:r>
        <w:t>土地资源涉及国家的粮食安全与经济发展，在国民经济中具有重要地位。因此，国家对土地资源非常重视，自然资源部门保护耕地和保障发展的任务非常艰巨，业务工作非常多。同时，每年还会出现很多新的土地问题，国家进行自然资源领域改革，需要研究和解决。因此，社会对该专业人才需要巨大，学生就业状况良好。因此，学生对读该专业的意愿比较强，每年新生基本为第一志愿。</w:t>
      </w:r>
    </w:p>
    <w:p>
      <w:pPr>
        <w:pStyle w:val="5"/>
        <w:spacing w:before="93" w:after="93"/>
        <w:ind w:firstLine="560"/>
      </w:pPr>
      <w:r>
        <w:t>六、毕业生就业创业</w:t>
      </w:r>
    </w:p>
    <w:p>
      <w:pPr>
        <w:ind w:firstLine="480"/>
      </w:pPr>
      <w:r>
        <w:t>本专业毕业生就业创业良好。大部分同学毕业后到自然资源部门或有关公司工作。到公司就业，实际上就是创业。通过在公司就业、工作、锻炼，逐步积累经验、资本，资源、资本、经验、机会等具备条件时，学生即可独立创业。许多到公司就业的同学已逐渐成长为公司骨干、部门经理、副总经理等。有的已经独立出来创业，开设公司，并逐步在同行中得到认可。</w:t>
      </w:r>
    </w:p>
    <w:p>
      <w:pPr>
        <w:ind w:firstLine="480"/>
      </w:pPr>
      <w:r>
        <w:t>与农学、蔬菜等专业学生毕业后即可自己创业不同，本专业需要有机构资质、人员资质等各种条件。因此，刚毕业的学生一般不具备创业条件。本专业鼓励学生先就业积累经验、资本，等条件具备了再独立创业。本专业毕业生创业典型较多，如山东国建土地房地产评估测绘有限公司总经理许艳霞、山东德昀土地房地产评估咨询有限公司总经理张纯涛、山东恒博地产评估勘测规划设计有限公司总经理李修峰等。他们的公司在同行中享有较高的声誉，每年也接收本专业毕业的学生。</w:t>
      </w:r>
    </w:p>
    <w:p>
      <w:pPr>
        <w:pStyle w:val="5"/>
        <w:spacing w:before="93" w:after="93"/>
        <w:ind w:firstLine="560"/>
      </w:pPr>
      <w:r>
        <w:t>七、专业发展趋势及建议</w:t>
      </w:r>
    </w:p>
    <w:p>
      <w:pPr>
        <w:ind w:firstLine="480"/>
      </w:pPr>
      <w:r>
        <w:t>土地不仅是资源，还是资本、资产，是生态、环境的要素之一。因此，土地一直是社会经济发展的基础，各国都非常重视。尤其我国人均土地资源少，正处于城镇化、社会经济快速发展时期，土地问题突出。因此，需进一步加强土地资源管理，保护耕地、保障发展，国土资源管理任务艰巨，工作繁多，对专业人才需求旺盛。尤其，我国将进一步加强土地整治与生态修复，实施不动产统一登记，定期开展国土资源调查、土地利用规划修编、城市土地集约利用评价、城镇基准地价评估、自然资源资产价值核算等工作，而所有工作都需要建设数据库。全省140多个县级部门均设有自然资源部门，乡镇设有自然资源管理所，土地有关的土地规划、土地评估、土地整治、土地测绘等公司600余家。因此，本专业具有较广阔的发展前景，具有较强的社会需求。</w:t>
      </w:r>
    </w:p>
    <w:p>
      <w:pPr>
        <w:ind w:firstLine="480"/>
      </w:pPr>
      <w:r>
        <w:t>本专业理论性与实践性均较强。除了课堂上加强理论知识的传授、实验室进行操作训练，还要多与自然资源、农业农村、生态环境等部门以及土地规划、土地评估、土地整治等有关公司的业务工作联系，多为学生提供实践、实习、了解社会的机会，以提高学生将来的就业能力和竞争力。另外，学校、学院应为学生提供更多的就业信息和渠道，提高就业水平。</w:t>
      </w:r>
    </w:p>
    <w:p>
      <w:pPr>
        <w:pStyle w:val="5"/>
        <w:spacing w:before="93" w:after="93"/>
        <w:ind w:firstLine="560"/>
      </w:pPr>
      <w:r>
        <w:t>八、存在的问题及拟采取的对策措施</w:t>
      </w:r>
    </w:p>
    <w:p>
      <w:pPr>
        <w:pStyle w:val="7"/>
        <w:ind w:firstLine="480"/>
      </w:pPr>
      <w:r>
        <w:t>1. 存在的问题</w:t>
      </w:r>
    </w:p>
    <w:p>
      <w:pPr>
        <w:ind w:firstLine="480"/>
      </w:pPr>
      <w:r>
        <w:t>师资力量需加强。本学科专职教师24人，其中4名教师在5年内退休，承担了土地资源管理、中英土地资源管理、地理信息科学、土地整治工程等4个本科专业的80多门课程的教学，任务繁重。由于教学任务繁重，任课教师进行留学深造和国内交流的机会及时间有限，缺乏同行之间的学习交流，从而导致在教学过程中对专业领域的新技术、新方法无法完全熟悉。对国内及国际上最新的专业研究现状没有深入的了解。</w:t>
      </w:r>
    </w:p>
    <w:p>
      <w:pPr>
        <w:ind w:firstLine="480"/>
      </w:pPr>
      <w:r>
        <w:t>实验实践条件需改善。本专业虽然建立了多处教学科研基地，购置了大量试验仪器设备，但相对学生数量，教学基地、实验室、仪器设备不够，尤其实验室、先进仪器设备不足，影响了部分课程的实验教学和效果。</w:t>
      </w:r>
    </w:p>
    <w:p>
      <w:pPr>
        <w:pStyle w:val="7"/>
        <w:ind w:firstLine="480"/>
      </w:pPr>
      <w:r>
        <w:t>2. 拟采取的对策措施</w:t>
      </w:r>
    </w:p>
    <w:p>
      <w:pPr>
        <w:ind w:firstLine="480"/>
      </w:pPr>
      <w:r>
        <w:t>加强师资队伍建设。未来5年本学科需新增老师10-15名，充实教学队伍。在今后教学过程中，我们将用以下方法进行改进：采用</w:t>
      </w:r>
      <w:r>
        <w:rPr>
          <w:rFonts w:hint="eastAsia"/>
        </w:rPr>
        <w:t>“</w:t>
      </w:r>
      <w:r>
        <w:t>请进来，送出去</w:t>
      </w:r>
      <w:r>
        <w:rPr>
          <w:rFonts w:hint="eastAsia"/>
        </w:rPr>
        <w:t>”</w:t>
      </w:r>
      <w:r>
        <w:t>的方法保证教学团队的高质量，每年邀请3－4位国内外知名学者来我系进行科研及教学交流，同时鼓励青年教师参加国内或国际的访问学者计划，增加青年教师参加国际学术会议的机会，保证教师业务能力不断提高。</w:t>
      </w:r>
    </w:p>
    <w:p>
      <w:pPr>
        <w:ind w:firstLine="480"/>
      </w:pPr>
      <w:r>
        <w:t>加强实验室建设。今后应新建1－2个教学实验室，增加和更新实验设备，使设备运转完好率达到100％，并且积极联系相关企业如土地整治公司、土地评估公司、土地规划公司、土地测绘公司等用于实践教学，而且加大试验和实践课程，重视对学生实践能力的培养和训练。</w:t>
      </w:r>
    </w:p>
    <w:p>
      <w:pPr>
        <w:ind w:firstLine="480"/>
      </w:pPr>
      <w:r>
        <w:t>拓展学生就业渠道。加强学生就业思想教育，转变就业观念，不再以考公务员、考事业编，到国家政府部门为就业单位目标。应积极到土地评估、土地整治、土地测绘等公司就业，从基层做起，逐渐成长。鼓励更多的学生考取研究生进一步深造。另外，鼓励学生出国留学，开阔视野，提高就业竞争力，毕业后进入国际化公司工作。部分同学也可以自主创业。</w:t>
      </w:r>
    </w:p>
    <w:p>
      <w:pPr>
        <w:ind w:firstLine="480"/>
      </w:pP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pPr>
      <w:bookmarkStart w:id="200" w:name="_Toc23039"/>
      <w:r>
        <w:t>专业</w:t>
      </w:r>
      <w:r>
        <w:rPr>
          <w:rFonts w:hint="eastAsia"/>
          <w:lang w:val="en-US"/>
        </w:rPr>
        <w:t>十五</w:t>
      </w:r>
      <w:r>
        <w:t>：土地资源管理（中英合作）</w:t>
      </w:r>
      <w:bookmarkEnd w:id="200"/>
    </w:p>
    <w:p>
      <w:pPr>
        <w:pStyle w:val="5"/>
        <w:spacing w:before="93" w:after="93"/>
        <w:ind w:firstLine="560"/>
      </w:pPr>
      <w:r>
        <w:t>一、培养目标与规格</w:t>
      </w:r>
    </w:p>
    <w:p>
      <w:pPr>
        <w:ind w:firstLine="480"/>
      </w:pPr>
      <w:r>
        <w:rPr>
          <w:rFonts w:eastAsiaTheme="minorEastAsia"/>
          <w:kern w:val="0"/>
          <w:szCs w:val="28"/>
        </w:rPr>
        <w:t>本专业是由山东农业大学与英国皇家农业大学共同设置与管理的中外合作办学项目。培养</w:t>
      </w:r>
      <w:r>
        <w:t>德、智、体、美、劳全面发展，思想政治素质高，</w:t>
      </w:r>
      <w:r>
        <w:rPr>
          <w:rFonts w:eastAsiaTheme="minorEastAsia"/>
          <w:kern w:val="0"/>
          <w:szCs w:val="28"/>
        </w:rPr>
        <w:t>具有较高的英语水平，在土地资源管理与不动产经营领域具有坚实的现代管理学、经济学及资源学的基本知识和理论，具备土地资源调查、评价、整治、规划与管理，遥感技术、全球定位技术和地理信息技术应用，不动产投资、评估、营销和代理等核心技能和实践能力，熟悉国家及国际土地利用与管理的有关理论、政策和不动产商务环境，具有创新精神、创业意识和创新创业能力，毕业后能够在</w:t>
      </w:r>
      <w:r>
        <w:t>各级自然资源、城建、房地产、学校、科研部门以及相关领域</w:t>
      </w:r>
      <w:r>
        <w:rPr>
          <w:rFonts w:eastAsiaTheme="minorEastAsia"/>
          <w:kern w:val="0"/>
          <w:szCs w:val="28"/>
        </w:rPr>
        <w:t>从事土地管理、不动产与土地经营、投资、评估和管理的创新型、专业型的国际化复合型人才，</w:t>
      </w:r>
      <w:r>
        <w:t>可以在国内外自然资源管理、自然地理、人文地理、地图学与地理信息工程、房动产商务等领域继续深造</w:t>
      </w:r>
      <w:r>
        <w:rPr>
          <w:rFonts w:eastAsiaTheme="minorEastAsia"/>
          <w:kern w:val="0"/>
          <w:szCs w:val="28"/>
        </w:rPr>
        <w:t>。</w:t>
      </w:r>
      <w:r>
        <w:t>本专业基本学制为4年，学习年限为3-8年。2020级及之前的学生</w:t>
      </w:r>
      <w:r>
        <w:rPr>
          <w:rFonts w:eastAsiaTheme="minorEastAsia"/>
          <w:kern w:val="0"/>
          <w:szCs w:val="28"/>
        </w:rPr>
        <w:t>按要求完成学业且符合学位授予条件者授予山东农业大学管理学学士学位，</w:t>
      </w:r>
      <w:r>
        <w:t>自2021级学生开始，</w:t>
      </w:r>
      <w:r>
        <w:rPr>
          <w:rFonts w:eastAsiaTheme="minorEastAsia"/>
          <w:kern w:val="0"/>
          <w:szCs w:val="28"/>
        </w:rPr>
        <w:t>按要求完成学业且符合学位授予条件者授予山东农业</w:t>
      </w:r>
      <w:r>
        <w:rPr>
          <w:rFonts w:eastAsiaTheme="minorEastAsia"/>
          <w:spacing w:val="-6"/>
          <w:kern w:val="0"/>
          <w:szCs w:val="28"/>
        </w:rPr>
        <w:t>大学管理学学士学位和英国皇家农业大学不</w:t>
      </w:r>
      <w:r>
        <w:rPr>
          <w:rFonts w:eastAsiaTheme="minorEastAsia"/>
          <w:kern w:val="0"/>
          <w:szCs w:val="28"/>
        </w:rPr>
        <w:t>动产专业荣誉理学学士学位</w:t>
      </w:r>
      <w:r>
        <w:t>。</w:t>
      </w:r>
    </w:p>
    <w:p>
      <w:pPr>
        <w:pStyle w:val="5"/>
        <w:spacing w:before="93" w:after="93"/>
        <w:ind w:firstLine="560"/>
      </w:pPr>
      <w:r>
        <w:t>二、培养能力（专业设置情况、在校生规模、课程体系、创新创业教育等）</w:t>
      </w:r>
    </w:p>
    <w:p>
      <w:pPr>
        <w:pStyle w:val="7"/>
        <w:ind w:firstLine="480"/>
      </w:pPr>
      <w:r>
        <w:t>1. 专业设置情况</w:t>
      </w:r>
    </w:p>
    <w:p>
      <w:pPr>
        <w:ind w:firstLine="480"/>
      </w:pPr>
      <w:r>
        <w:t>土地资源管理本科专业是山东农业大学特色专业，始建于1985年土地资源专科专业，每年招生30名。1993年升为本科专业，1994年招收本科生30名。随着对土地资源管理人才需求增加，逐步扩大招生规模到60名、90名。2011年本专业获批为山东省重点学科。随着国际交流增加，2011年与英国皇家农业大学农村土地与地产管理本科专业联合申请中英合作办学土地资源管理专业，2012年获教育部批准，2013年开始招生，目前已招生10批，毕业6批，2021年教育部批准我校土地资源管理（中英合作）专业变更为外方颁发证书。</w:t>
      </w:r>
    </w:p>
    <w:p>
      <w:pPr>
        <w:ind w:firstLine="480"/>
      </w:pPr>
      <w:r>
        <w:t>土地资源管理专业是全国建立最早、招生最早的同类专业之一。于1985年在土壤学硕士点招收土地资源方向硕士生，2000年获批土地资源管理硕士点，2009年在农业资源利用一级学科博士点下自设</w:t>
      </w:r>
      <w:r>
        <w:rPr>
          <w:rFonts w:hint="eastAsia"/>
        </w:rPr>
        <w:t>“</w:t>
      </w:r>
      <w:r>
        <w:t>土地资源利用</w:t>
      </w:r>
      <w:r>
        <w:rPr>
          <w:rFonts w:hint="eastAsia"/>
        </w:rPr>
        <w:t>”</w:t>
      </w:r>
      <w:r>
        <w:t>二级博士点，并开始招收博士和博士后。2010年获得公共管理一级学科硕士授予点。目前该专业为国家级</w:t>
      </w:r>
      <w:r>
        <w:rPr>
          <w:rFonts w:hint="eastAsia"/>
        </w:rPr>
        <w:t>“</w:t>
      </w:r>
      <w:r>
        <w:t>一流</w:t>
      </w:r>
      <w:r>
        <w:rPr>
          <w:rFonts w:hint="eastAsia"/>
        </w:rPr>
        <w:t>”</w:t>
      </w:r>
      <w:r>
        <w:t>专业、山东省重点学科、校级特色专业，为自然资源系统输送了大批业务骨干和管理人员。</w:t>
      </w:r>
    </w:p>
    <w:p>
      <w:pPr>
        <w:pStyle w:val="7"/>
        <w:ind w:firstLine="480"/>
      </w:pPr>
      <w:r>
        <w:t>2. 在校生规模</w:t>
      </w:r>
    </w:p>
    <w:p>
      <w:pPr>
        <w:ind w:firstLine="480"/>
      </w:pPr>
      <w:r>
        <w:t>土地资源管理（中英合作）专业2013年开始招生，每年计划招生100名学生，2013年和2014年实际招生分别为74和72人。在办学3年、社会具有一定影响力后，招生规模有较大幅度增加，2015级125人，2016级126人，2017级101人，2018级143人。为实现专业内涵式发展、切实保障并提高培养质量，控制招生规模为100名左右。2019年在校生为105人，2020年在校生118人，2021年在校生94人，2022年在校生142人。目前，该专业在校生459名。</w:t>
      </w:r>
    </w:p>
    <w:p>
      <w:pPr>
        <w:pStyle w:val="7"/>
        <w:spacing w:line="390" w:lineRule="exact"/>
        <w:ind w:firstLine="482"/>
      </w:pPr>
      <w:r>
        <w:t>3. 课程体系</w:t>
      </w:r>
    </w:p>
    <w:p>
      <w:pPr>
        <w:spacing w:line="390" w:lineRule="exact"/>
        <w:ind w:firstLine="482"/>
      </w:pPr>
      <w:r>
        <w:t>主要课程包括：</w:t>
      </w:r>
      <w:r>
        <w:rPr>
          <w:szCs w:val="28"/>
        </w:rPr>
        <w:t>*商务金融管理（*为英方课程，下同），*评估，*地产经济学，*不动产市场、交易和分析，*规划方法与实践，*商务与不动产金融及税务，*个人与专业发展技能及就业能力，*不动产管理，*不动产代理与营销，*当代不动产与社会问题，*实践管理，*法定估价，*综合项目，*商业不动产管理，*开发与开发估价，土地资源学，土地利用规划学，土地管理学，土地资源调查与评价，土地整治学，地籍测量，不动产评估，中外土地法学，地理信息系统，遥感基础与图像处理等。</w:t>
      </w:r>
      <w:r>
        <w:t>课程共179学分，全部为必修课。其中，课程学分144.5，实践环节学分</w:t>
      </w:r>
      <w:r>
        <w:rPr>
          <w:rFonts w:eastAsiaTheme="minorEastAsia"/>
          <w:kern w:val="0"/>
          <w:szCs w:val="28"/>
        </w:rPr>
        <w:t>（含操作性实验课11学分和实践34.5学分）45.5分，实验学分和实践环节学分占总学分25.42%。</w:t>
      </w:r>
    </w:p>
    <w:p>
      <w:pPr>
        <w:pStyle w:val="7"/>
        <w:spacing w:line="390" w:lineRule="exact"/>
        <w:ind w:firstLine="482"/>
      </w:pPr>
      <w:r>
        <w:t>4. 创新创业教育</w:t>
      </w:r>
    </w:p>
    <w:p>
      <w:pPr>
        <w:spacing w:line="390" w:lineRule="exact"/>
        <w:ind w:firstLine="482"/>
      </w:pPr>
      <w:r>
        <w:t>本专业非常重视学生的创新创业教育、训练，鼓励大学生积极开展创新创业，近几年取得了一定成效。</w:t>
      </w:r>
    </w:p>
    <w:p>
      <w:pPr>
        <w:spacing w:line="390" w:lineRule="exact"/>
        <w:ind w:firstLine="482"/>
      </w:pPr>
      <w:r>
        <w:t>鼓励学生积极申报学校大学生研究训练计划（SRT），开展土地整治、土地规划、土地评价、土地政策等土地资源管理有关研究，发表学术论文、获取技能证书、参加各种竞赛，如全国各类GIS比赛、全国不动产估价技能大赛、全国大学生挑战杯创新设计大赛、程序设计大赛等，开辟第二课堂活动，制定了学生第二课堂活动学分认定办法。近3年，学生共承担30多项学校大学生研究训练计划，国家大学生创新创业训练计划3项，近3年获全国大学生不动产估价，土地整治设计，土地利用规划技能大赛、中国高校地理科学展示大赛、全国大学生不动产估价技能赛等国家级、省级等奖励近80项，</w:t>
      </w:r>
      <w:r>
        <w:rPr>
          <w:rFonts w:hint="eastAsia"/>
        </w:rPr>
        <w:t>其中第八届山东省科技创新大赛省级二等奖、三等奖各1项，第二届全国大学生土地整治与生态修复工程创新设计大赛特等奖、一等奖和二等奖各1项。通过研究训练，学生的创新能力有了较大提高。</w:t>
      </w:r>
    </w:p>
    <w:p>
      <w:pPr>
        <w:spacing w:line="390" w:lineRule="exact"/>
        <w:ind w:firstLine="482"/>
      </w:pPr>
      <w:r>
        <w:t>鼓励大学生开展创业实践。本专业与自然资源局、土地整治公司、测绘公司、土地评估公司等有较好的业务往来与合作关系。每年学生利用假期到自然资源局和有关公司实习、创业。另外，学院建设了大学生创业驿站，部分土地资源管理学生利用业余时间在驿站创业。经过训练，大学生的创业实践能力得以提高。</w:t>
      </w:r>
    </w:p>
    <w:p>
      <w:pPr>
        <w:pStyle w:val="5"/>
        <w:spacing w:before="93" w:after="93"/>
        <w:ind w:firstLine="560"/>
      </w:pPr>
      <w:r>
        <w:t>三、培养条件（教学经费投入、教学设备、教师队伍建设、实习基地、现代教学技术应用等）</w:t>
      </w:r>
    </w:p>
    <w:p>
      <w:pPr>
        <w:pStyle w:val="7"/>
        <w:ind w:firstLine="480"/>
      </w:pPr>
      <w:r>
        <w:t>1. 教学经费投入</w:t>
      </w:r>
    </w:p>
    <w:p>
      <w:pPr>
        <w:ind w:firstLine="480"/>
      </w:pPr>
      <w:r>
        <w:t>近年来，专业加大教学保证仪器设备、软件及日常教学等各种教学投入，保证教学，提高质量。</w:t>
      </w:r>
    </w:p>
    <w:p>
      <w:pPr>
        <w:ind w:firstLine="480"/>
      </w:pPr>
      <w:r>
        <w:t>近6年共投资150多万元新购置仪器设备、实验标本及新建、改建实验室。其中仪器设备共投资123.47万元，购置岩石矿物标本90元余件，经费7.79万，购置遥感影像、电子地图8.25万元，购置SuperMap Deskpro 6系统14.95万元，购置MapGIS K9系统及二调、规划、基本农田和农用地分等定级模块（60个用户）共18.80万元，购置探地雷达1台6万美元，购置电脑65台等。同时，改造实验室2个，新建实验室1个，共投资27万元，极大改善了教学条件和实验条件。日常教学投入也进一步加大，如实验室维护、维修、日常实验材料购置等，近3年共投入17.14万元，满足了日常教学需要。</w:t>
      </w:r>
    </w:p>
    <w:p>
      <w:pPr>
        <w:pStyle w:val="7"/>
        <w:ind w:firstLine="480"/>
      </w:pPr>
      <w:r>
        <w:t>2. 教学设备</w:t>
      </w:r>
    </w:p>
    <w:p>
      <w:pPr>
        <w:ind w:firstLine="480"/>
      </w:pPr>
      <w:r>
        <w:t>本专业建有土地制图、土地信息、土地评价、地学基础和土地规划5个专业基础实验室。实验室大型教学试验仪器、设备有：全站仪、彩色扫描仪、GPS定位系统、探地雷达、光谱仪、手持GPS、红外测距仪、彩色喷墨绘图仪、RTK、求积仪、航空立体判读仪及近200台电脑、多功能实验台多媒体讲桌、投影机、塔式服务器、交换机等。拥有多个专业教学系统、软件，如南方CASS、ENVI、ArcGIS、MapGIS K9等。实验室、教学设施设备的投入，极大改善了教学条件，保证学生基本实验教学要求。目前硬、软件实验条件基本能满足单人操作要求。</w:t>
      </w:r>
    </w:p>
    <w:p>
      <w:pPr>
        <w:pStyle w:val="7"/>
        <w:ind w:firstLine="480"/>
      </w:pPr>
      <w:r>
        <w:t>3. 教师队伍建设</w:t>
      </w:r>
    </w:p>
    <w:p>
      <w:pPr>
        <w:ind w:firstLine="480"/>
      </w:pPr>
      <w:r>
        <w:t>土地资源管理专业共有专职教师24名，2名教学辅助老师。其中教授6名，副教授9名，讲师9名；博导5人，硕导16人。教师均具有博士学位。师资职称结构、年龄结构、学缘结构如表2。教师们承担了本专业课程的理论教学和实验教学。每门课由教授、副教授和讲师组成，形成课程教学队伍。全体教师责任感强，团队精神好，教学经验丰富，教学能力较强，教学水平较高，基本能够满足教学要求。实验教学辅助人员经验丰富，基本能够胜任实验教学要求。</w:t>
      </w:r>
    </w:p>
    <w:p>
      <w:pPr>
        <w:ind w:firstLine="480"/>
      </w:pPr>
      <w:r>
        <w:t>除中方教师外，土地资源管理（中英合作）配有外方专职教师19名，2021-2022学年选派14名外方教师为该专业上课，其中副教授以上3人，讲师11人。外籍教师不仅教学态度严谨，而且教学方法丰富多样，通过案例教学、课堂讨论、课堂答辩、演示教学等手段使学生接触和了解了境外教育机构的互动和启发式教学方法，拓宽了学生的思路，提高了学习的兴趣和理论联系实际的能力，使教与学良性互动，保证了课堂教学质量。</w:t>
      </w:r>
    </w:p>
    <w:p>
      <w:pPr>
        <w:spacing w:line="240" w:lineRule="auto"/>
        <w:ind w:firstLine="422"/>
        <w:jc w:val="center"/>
        <w:rPr>
          <w:b/>
          <w:bCs/>
          <w:sz w:val="21"/>
          <w:szCs w:val="21"/>
          <w:lang w:val="zh-CN"/>
        </w:rPr>
      </w:pPr>
      <w:r>
        <w:rPr>
          <w:b/>
          <w:bCs/>
          <w:sz w:val="21"/>
          <w:szCs w:val="21"/>
        </w:rPr>
        <w:t>表2  土地管理专业师资队伍情况</w:t>
      </w:r>
    </w:p>
    <w:tbl>
      <w:tblPr>
        <w:tblStyle w:val="17"/>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66"/>
        <w:gridCol w:w="1502"/>
        <w:gridCol w:w="1551"/>
        <w:gridCol w:w="1035"/>
        <w:gridCol w:w="1453"/>
        <w:gridCol w:w="264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478" w:type="pct"/>
            <w:vAlign w:val="center"/>
          </w:tcPr>
          <w:p>
            <w:pPr>
              <w:spacing w:line="240" w:lineRule="auto"/>
              <w:jc w:val="center"/>
              <w:rPr>
                <w:b/>
                <w:bCs/>
                <w:sz w:val="21"/>
                <w:szCs w:val="21"/>
              </w:rPr>
            </w:pPr>
            <w:r>
              <w:rPr>
                <w:b/>
                <w:bCs/>
                <w:sz w:val="21"/>
                <w:szCs w:val="21"/>
              </w:rPr>
              <w:t>序号</w:t>
            </w:r>
          </w:p>
        </w:tc>
        <w:tc>
          <w:tcPr>
            <w:tcW w:w="829" w:type="pct"/>
            <w:vAlign w:val="center"/>
          </w:tcPr>
          <w:p>
            <w:pPr>
              <w:spacing w:line="240" w:lineRule="auto"/>
              <w:jc w:val="center"/>
              <w:rPr>
                <w:b/>
                <w:bCs/>
                <w:sz w:val="21"/>
                <w:szCs w:val="21"/>
              </w:rPr>
            </w:pPr>
            <w:r>
              <w:rPr>
                <w:b/>
                <w:bCs/>
                <w:sz w:val="21"/>
                <w:szCs w:val="21"/>
              </w:rPr>
              <w:t>姓  名</w:t>
            </w:r>
          </w:p>
        </w:tc>
        <w:tc>
          <w:tcPr>
            <w:tcW w:w="856" w:type="pct"/>
            <w:vAlign w:val="center"/>
          </w:tcPr>
          <w:p>
            <w:pPr>
              <w:spacing w:line="240" w:lineRule="auto"/>
              <w:jc w:val="center"/>
              <w:rPr>
                <w:b/>
                <w:bCs/>
                <w:sz w:val="21"/>
                <w:szCs w:val="21"/>
              </w:rPr>
            </w:pPr>
            <w:r>
              <w:rPr>
                <w:b/>
                <w:bCs/>
                <w:sz w:val="21"/>
                <w:szCs w:val="21"/>
              </w:rPr>
              <w:t>职称</w:t>
            </w:r>
          </w:p>
        </w:tc>
        <w:tc>
          <w:tcPr>
            <w:tcW w:w="571" w:type="pct"/>
            <w:vAlign w:val="center"/>
          </w:tcPr>
          <w:p>
            <w:pPr>
              <w:spacing w:line="240" w:lineRule="auto"/>
              <w:jc w:val="center"/>
              <w:rPr>
                <w:b/>
                <w:bCs/>
                <w:sz w:val="21"/>
                <w:szCs w:val="21"/>
              </w:rPr>
            </w:pPr>
            <w:r>
              <w:rPr>
                <w:b/>
                <w:bCs/>
                <w:sz w:val="21"/>
                <w:szCs w:val="21"/>
              </w:rPr>
              <w:t>年龄</w:t>
            </w:r>
          </w:p>
        </w:tc>
        <w:tc>
          <w:tcPr>
            <w:tcW w:w="802" w:type="pct"/>
            <w:vAlign w:val="center"/>
          </w:tcPr>
          <w:p>
            <w:pPr>
              <w:spacing w:line="240" w:lineRule="auto"/>
              <w:jc w:val="center"/>
              <w:rPr>
                <w:b/>
                <w:bCs/>
                <w:sz w:val="21"/>
                <w:szCs w:val="21"/>
              </w:rPr>
            </w:pPr>
            <w:r>
              <w:rPr>
                <w:b/>
                <w:bCs/>
                <w:sz w:val="21"/>
                <w:szCs w:val="21"/>
              </w:rPr>
              <w:t>学位</w:t>
            </w:r>
          </w:p>
        </w:tc>
        <w:tc>
          <w:tcPr>
            <w:tcW w:w="1462" w:type="pct"/>
            <w:vAlign w:val="center"/>
          </w:tcPr>
          <w:p>
            <w:pPr>
              <w:spacing w:line="240" w:lineRule="auto"/>
              <w:jc w:val="center"/>
              <w:rPr>
                <w:b/>
                <w:bCs/>
                <w:sz w:val="21"/>
                <w:szCs w:val="21"/>
              </w:rPr>
            </w:pPr>
            <w:r>
              <w:rPr>
                <w:b/>
                <w:bCs/>
                <w:sz w:val="21"/>
                <w:szCs w:val="21"/>
              </w:rPr>
              <w:t>学缘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1</w:t>
            </w:r>
          </w:p>
        </w:tc>
        <w:tc>
          <w:tcPr>
            <w:tcW w:w="829" w:type="pct"/>
            <w:vAlign w:val="center"/>
          </w:tcPr>
          <w:p>
            <w:pPr>
              <w:spacing w:line="240" w:lineRule="auto"/>
              <w:jc w:val="center"/>
              <w:rPr>
                <w:sz w:val="21"/>
                <w:szCs w:val="21"/>
              </w:rPr>
            </w:pPr>
            <w:r>
              <w:rPr>
                <w:sz w:val="21"/>
                <w:szCs w:val="21"/>
              </w:rPr>
              <w:t>赵庚星</w:t>
            </w:r>
          </w:p>
        </w:tc>
        <w:tc>
          <w:tcPr>
            <w:tcW w:w="856" w:type="pct"/>
            <w:vAlign w:val="center"/>
          </w:tcPr>
          <w:p>
            <w:pPr>
              <w:spacing w:line="240" w:lineRule="auto"/>
              <w:jc w:val="center"/>
              <w:rPr>
                <w:sz w:val="21"/>
                <w:szCs w:val="21"/>
              </w:rPr>
            </w:pPr>
            <w:r>
              <w:rPr>
                <w:sz w:val="21"/>
                <w:szCs w:val="21"/>
              </w:rPr>
              <w:t>教授</w:t>
            </w:r>
          </w:p>
        </w:tc>
        <w:tc>
          <w:tcPr>
            <w:tcW w:w="571" w:type="pct"/>
            <w:vAlign w:val="center"/>
          </w:tcPr>
          <w:p>
            <w:pPr>
              <w:spacing w:line="240" w:lineRule="auto"/>
              <w:jc w:val="center"/>
              <w:rPr>
                <w:sz w:val="21"/>
                <w:szCs w:val="21"/>
              </w:rPr>
            </w:pPr>
            <w:r>
              <w:rPr>
                <w:sz w:val="21"/>
                <w:szCs w:val="21"/>
              </w:rPr>
              <w:t>58</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浙江大学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2</w:t>
            </w:r>
          </w:p>
        </w:tc>
        <w:tc>
          <w:tcPr>
            <w:tcW w:w="829" w:type="pct"/>
            <w:vAlign w:val="center"/>
          </w:tcPr>
          <w:p>
            <w:pPr>
              <w:spacing w:line="240" w:lineRule="auto"/>
              <w:jc w:val="center"/>
              <w:rPr>
                <w:sz w:val="21"/>
                <w:szCs w:val="21"/>
              </w:rPr>
            </w:pPr>
            <w:r>
              <w:rPr>
                <w:sz w:val="21"/>
                <w:szCs w:val="21"/>
              </w:rPr>
              <w:t>李新举</w:t>
            </w:r>
          </w:p>
        </w:tc>
        <w:tc>
          <w:tcPr>
            <w:tcW w:w="856" w:type="pct"/>
            <w:vAlign w:val="center"/>
          </w:tcPr>
          <w:p>
            <w:pPr>
              <w:spacing w:line="240" w:lineRule="auto"/>
              <w:jc w:val="center"/>
              <w:rPr>
                <w:sz w:val="21"/>
                <w:szCs w:val="21"/>
              </w:rPr>
            </w:pPr>
            <w:r>
              <w:rPr>
                <w:sz w:val="21"/>
                <w:szCs w:val="21"/>
              </w:rPr>
              <w:t>教授</w:t>
            </w:r>
          </w:p>
        </w:tc>
        <w:tc>
          <w:tcPr>
            <w:tcW w:w="571" w:type="pct"/>
            <w:vAlign w:val="center"/>
          </w:tcPr>
          <w:p>
            <w:pPr>
              <w:spacing w:line="240" w:lineRule="auto"/>
              <w:jc w:val="center"/>
              <w:rPr>
                <w:sz w:val="21"/>
                <w:szCs w:val="21"/>
              </w:rPr>
            </w:pPr>
            <w:r>
              <w:rPr>
                <w:sz w:val="21"/>
                <w:szCs w:val="21"/>
              </w:rPr>
              <w:t>57</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中国矿业大学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3</w:t>
            </w:r>
          </w:p>
        </w:tc>
        <w:tc>
          <w:tcPr>
            <w:tcW w:w="829" w:type="pct"/>
            <w:vAlign w:val="center"/>
          </w:tcPr>
          <w:p>
            <w:pPr>
              <w:spacing w:line="240" w:lineRule="auto"/>
              <w:jc w:val="center"/>
              <w:rPr>
                <w:sz w:val="21"/>
                <w:szCs w:val="21"/>
              </w:rPr>
            </w:pPr>
            <w:r>
              <w:rPr>
                <w:sz w:val="21"/>
                <w:szCs w:val="21"/>
              </w:rPr>
              <w:t>齐  伟</w:t>
            </w:r>
          </w:p>
        </w:tc>
        <w:tc>
          <w:tcPr>
            <w:tcW w:w="856" w:type="pct"/>
            <w:vAlign w:val="center"/>
          </w:tcPr>
          <w:p>
            <w:pPr>
              <w:spacing w:line="240" w:lineRule="auto"/>
              <w:jc w:val="center"/>
              <w:rPr>
                <w:sz w:val="21"/>
                <w:szCs w:val="21"/>
              </w:rPr>
            </w:pPr>
            <w:r>
              <w:rPr>
                <w:sz w:val="21"/>
                <w:szCs w:val="21"/>
              </w:rPr>
              <w:t>教授</w:t>
            </w:r>
          </w:p>
        </w:tc>
        <w:tc>
          <w:tcPr>
            <w:tcW w:w="571" w:type="pct"/>
            <w:vAlign w:val="center"/>
          </w:tcPr>
          <w:p>
            <w:pPr>
              <w:spacing w:line="240" w:lineRule="auto"/>
              <w:jc w:val="center"/>
              <w:rPr>
                <w:sz w:val="21"/>
                <w:szCs w:val="21"/>
              </w:rPr>
            </w:pPr>
            <w:r>
              <w:rPr>
                <w:sz w:val="21"/>
                <w:szCs w:val="21"/>
              </w:rPr>
              <w:t>52</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中国农业大学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4</w:t>
            </w:r>
          </w:p>
        </w:tc>
        <w:tc>
          <w:tcPr>
            <w:tcW w:w="829" w:type="pct"/>
            <w:vAlign w:val="center"/>
          </w:tcPr>
          <w:p>
            <w:pPr>
              <w:spacing w:line="240" w:lineRule="auto"/>
              <w:jc w:val="center"/>
              <w:rPr>
                <w:sz w:val="21"/>
                <w:szCs w:val="21"/>
              </w:rPr>
            </w:pPr>
            <w:r>
              <w:rPr>
                <w:sz w:val="21"/>
                <w:szCs w:val="21"/>
              </w:rPr>
              <w:t>王瑷玲</w:t>
            </w:r>
          </w:p>
        </w:tc>
        <w:tc>
          <w:tcPr>
            <w:tcW w:w="856" w:type="pct"/>
            <w:vAlign w:val="center"/>
          </w:tcPr>
          <w:p>
            <w:pPr>
              <w:spacing w:line="240" w:lineRule="auto"/>
              <w:jc w:val="center"/>
              <w:rPr>
                <w:sz w:val="21"/>
                <w:szCs w:val="21"/>
              </w:rPr>
            </w:pPr>
            <w:r>
              <w:rPr>
                <w:sz w:val="21"/>
                <w:szCs w:val="21"/>
              </w:rPr>
              <w:t>教授</w:t>
            </w:r>
          </w:p>
        </w:tc>
        <w:tc>
          <w:tcPr>
            <w:tcW w:w="571" w:type="pct"/>
            <w:vAlign w:val="center"/>
          </w:tcPr>
          <w:p>
            <w:pPr>
              <w:spacing w:line="240" w:lineRule="auto"/>
              <w:jc w:val="center"/>
              <w:rPr>
                <w:sz w:val="21"/>
                <w:szCs w:val="21"/>
              </w:rPr>
            </w:pPr>
            <w:r>
              <w:rPr>
                <w:sz w:val="21"/>
                <w:szCs w:val="21"/>
              </w:rPr>
              <w:t>50</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山东农业大学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5</w:t>
            </w:r>
          </w:p>
        </w:tc>
        <w:tc>
          <w:tcPr>
            <w:tcW w:w="829" w:type="pct"/>
            <w:vAlign w:val="center"/>
          </w:tcPr>
          <w:p>
            <w:pPr>
              <w:spacing w:line="240" w:lineRule="auto"/>
              <w:jc w:val="center"/>
              <w:rPr>
                <w:sz w:val="21"/>
                <w:szCs w:val="21"/>
              </w:rPr>
            </w:pPr>
            <w:r>
              <w:rPr>
                <w:sz w:val="21"/>
                <w:szCs w:val="21"/>
              </w:rPr>
              <w:t>李玉环</w:t>
            </w:r>
          </w:p>
        </w:tc>
        <w:tc>
          <w:tcPr>
            <w:tcW w:w="856" w:type="pct"/>
            <w:vAlign w:val="center"/>
          </w:tcPr>
          <w:p>
            <w:pPr>
              <w:spacing w:line="240" w:lineRule="auto"/>
              <w:jc w:val="center"/>
              <w:rPr>
                <w:sz w:val="21"/>
                <w:szCs w:val="21"/>
              </w:rPr>
            </w:pPr>
            <w:r>
              <w:rPr>
                <w:sz w:val="21"/>
                <w:szCs w:val="21"/>
              </w:rPr>
              <w:t>教授</w:t>
            </w:r>
          </w:p>
        </w:tc>
        <w:tc>
          <w:tcPr>
            <w:tcW w:w="571" w:type="pct"/>
            <w:vAlign w:val="center"/>
          </w:tcPr>
          <w:p>
            <w:pPr>
              <w:spacing w:line="240" w:lineRule="auto"/>
              <w:jc w:val="center"/>
              <w:rPr>
                <w:sz w:val="21"/>
                <w:szCs w:val="21"/>
              </w:rPr>
            </w:pPr>
            <w:r>
              <w:rPr>
                <w:sz w:val="21"/>
                <w:szCs w:val="21"/>
              </w:rPr>
              <w:t>57</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山东科技大学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6</w:t>
            </w:r>
          </w:p>
        </w:tc>
        <w:tc>
          <w:tcPr>
            <w:tcW w:w="829" w:type="pct"/>
            <w:vAlign w:val="center"/>
          </w:tcPr>
          <w:p>
            <w:pPr>
              <w:spacing w:line="240" w:lineRule="auto"/>
              <w:jc w:val="center"/>
              <w:rPr>
                <w:sz w:val="21"/>
                <w:szCs w:val="21"/>
              </w:rPr>
            </w:pPr>
            <w:r>
              <w:rPr>
                <w:sz w:val="21"/>
                <w:szCs w:val="21"/>
              </w:rPr>
              <w:t>李贻学</w:t>
            </w:r>
          </w:p>
        </w:tc>
        <w:tc>
          <w:tcPr>
            <w:tcW w:w="856" w:type="pct"/>
            <w:vAlign w:val="center"/>
          </w:tcPr>
          <w:p>
            <w:pPr>
              <w:spacing w:line="240" w:lineRule="auto"/>
              <w:jc w:val="center"/>
              <w:rPr>
                <w:sz w:val="21"/>
                <w:szCs w:val="21"/>
              </w:rPr>
            </w:pPr>
            <w:r>
              <w:rPr>
                <w:sz w:val="21"/>
                <w:szCs w:val="21"/>
              </w:rPr>
              <w:t>副教授</w:t>
            </w:r>
          </w:p>
        </w:tc>
        <w:tc>
          <w:tcPr>
            <w:tcW w:w="571" w:type="pct"/>
            <w:vAlign w:val="center"/>
          </w:tcPr>
          <w:p>
            <w:pPr>
              <w:spacing w:line="240" w:lineRule="auto"/>
              <w:jc w:val="center"/>
              <w:rPr>
                <w:sz w:val="21"/>
                <w:szCs w:val="21"/>
              </w:rPr>
            </w:pPr>
            <w:r>
              <w:rPr>
                <w:sz w:val="21"/>
                <w:szCs w:val="21"/>
              </w:rPr>
              <w:t>56</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山东农业大学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7</w:t>
            </w:r>
          </w:p>
        </w:tc>
        <w:tc>
          <w:tcPr>
            <w:tcW w:w="829" w:type="pct"/>
            <w:vAlign w:val="center"/>
          </w:tcPr>
          <w:p>
            <w:pPr>
              <w:spacing w:line="240" w:lineRule="auto"/>
              <w:jc w:val="center"/>
              <w:rPr>
                <w:sz w:val="21"/>
                <w:szCs w:val="21"/>
              </w:rPr>
            </w:pPr>
            <w:r>
              <w:rPr>
                <w:sz w:val="21"/>
                <w:szCs w:val="21"/>
              </w:rPr>
              <w:t>高明秀</w:t>
            </w:r>
          </w:p>
        </w:tc>
        <w:tc>
          <w:tcPr>
            <w:tcW w:w="856" w:type="pct"/>
            <w:vAlign w:val="center"/>
          </w:tcPr>
          <w:p>
            <w:pPr>
              <w:spacing w:line="240" w:lineRule="auto"/>
              <w:jc w:val="center"/>
              <w:rPr>
                <w:sz w:val="21"/>
                <w:szCs w:val="21"/>
              </w:rPr>
            </w:pPr>
            <w:r>
              <w:rPr>
                <w:sz w:val="21"/>
                <w:szCs w:val="21"/>
              </w:rPr>
              <w:t>副教授</w:t>
            </w:r>
          </w:p>
        </w:tc>
        <w:tc>
          <w:tcPr>
            <w:tcW w:w="571" w:type="pct"/>
            <w:vAlign w:val="center"/>
          </w:tcPr>
          <w:p>
            <w:pPr>
              <w:spacing w:line="240" w:lineRule="auto"/>
              <w:jc w:val="center"/>
              <w:rPr>
                <w:sz w:val="21"/>
                <w:szCs w:val="21"/>
              </w:rPr>
            </w:pPr>
            <w:r>
              <w:rPr>
                <w:sz w:val="21"/>
                <w:szCs w:val="21"/>
              </w:rPr>
              <w:t>51</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山东农业大学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8</w:t>
            </w:r>
          </w:p>
        </w:tc>
        <w:tc>
          <w:tcPr>
            <w:tcW w:w="829" w:type="pct"/>
            <w:vAlign w:val="center"/>
          </w:tcPr>
          <w:p>
            <w:pPr>
              <w:spacing w:line="240" w:lineRule="auto"/>
              <w:jc w:val="center"/>
              <w:rPr>
                <w:sz w:val="21"/>
                <w:szCs w:val="21"/>
              </w:rPr>
            </w:pPr>
            <w:r>
              <w:rPr>
                <w:sz w:val="21"/>
                <w:szCs w:val="21"/>
              </w:rPr>
              <w:t>朱西存</w:t>
            </w:r>
          </w:p>
        </w:tc>
        <w:tc>
          <w:tcPr>
            <w:tcW w:w="856" w:type="pct"/>
            <w:vAlign w:val="center"/>
          </w:tcPr>
          <w:p>
            <w:pPr>
              <w:spacing w:line="240" w:lineRule="auto"/>
              <w:jc w:val="center"/>
              <w:rPr>
                <w:sz w:val="21"/>
                <w:szCs w:val="21"/>
              </w:rPr>
            </w:pPr>
            <w:r>
              <w:rPr>
                <w:sz w:val="21"/>
                <w:szCs w:val="21"/>
              </w:rPr>
              <w:t>副教授</w:t>
            </w:r>
          </w:p>
        </w:tc>
        <w:tc>
          <w:tcPr>
            <w:tcW w:w="571" w:type="pct"/>
            <w:vAlign w:val="center"/>
          </w:tcPr>
          <w:p>
            <w:pPr>
              <w:spacing w:line="240" w:lineRule="auto"/>
              <w:jc w:val="center"/>
              <w:rPr>
                <w:sz w:val="21"/>
                <w:szCs w:val="21"/>
              </w:rPr>
            </w:pPr>
            <w:r>
              <w:rPr>
                <w:sz w:val="21"/>
                <w:szCs w:val="21"/>
              </w:rPr>
              <w:t>52</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山东师范大学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9</w:t>
            </w:r>
          </w:p>
        </w:tc>
        <w:tc>
          <w:tcPr>
            <w:tcW w:w="829" w:type="pct"/>
            <w:vAlign w:val="center"/>
          </w:tcPr>
          <w:p>
            <w:pPr>
              <w:spacing w:line="240" w:lineRule="auto"/>
              <w:jc w:val="center"/>
              <w:rPr>
                <w:sz w:val="21"/>
                <w:szCs w:val="21"/>
              </w:rPr>
            </w:pPr>
            <w:r>
              <w:rPr>
                <w:sz w:val="21"/>
                <w:szCs w:val="21"/>
              </w:rPr>
              <w:t>王瑞燕</w:t>
            </w:r>
          </w:p>
        </w:tc>
        <w:tc>
          <w:tcPr>
            <w:tcW w:w="856" w:type="pct"/>
            <w:vAlign w:val="center"/>
          </w:tcPr>
          <w:p>
            <w:pPr>
              <w:spacing w:line="240" w:lineRule="auto"/>
              <w:jc w:val="center"/>
              <w:rPr>
                <w:sz w:val="21"/>
                <w:szCs w:val="21"/>
              </w:rPr>
            </w:pPr>
            <w:r>
              <w:rPr>
                <w:sz w:val="21"/>
                <w:szCs w:val="21"/>
              </w:rPr>
              <w:t>副教授</w:t>
            </w:r>
          </w:p>
        </w:tc>
        <w:tc>
          <w:tcPr>
            <w:tcW w:w="571" w:type="pct"/>
            <w:vAlign w:val="center"/>
          </w:tcPr>
          <w:p>
            <w:pPr>
              <w:spacing w:line="240" w:lineRule="auto"/>
              <w:jc w:val="center"/>
              <w:rPr>
                <w:sz w:val="21"/>
                <w:szCs w:val="21"/>
              </w:rPr>
            </w:pPr>
            <w:r>
              <w:rPr>
                <w:sz w:val="21"/>
                <w:szCs w:val="21"/>
              </w:rPr>
              <w:t>43</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山东农业大学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10</w:t>
            </w:r>
          </w:p>
        </w:tc>
        <w:tc>
          <w:tcPr>
            <w:tcW w:w="829" w:type="pct"/>
            <w:vAlign w:val="center"/>
          </w:tcPr>
          <w:p>
            <w:pPr>
              <w:spacing w:line="240" w:lineRule="auto"/>
              <w:jc w:val="center"/>
              <w:rPr>
                <w:sz w:val="21"/>
                <w:szCs w:val="21"/>
              </w:rPr>
            </w:pPr>
            <w:r>
              <w:rPr>
                <w:sz w:val="21"/>
                <w:szCs w:val="21"/>
              </w:rPr>
              <w:t>王  凌</w:t>
            </w:r>
          </w:p>
        </w:tc>
        <w:tc>
          <w:tcPr>
            <w:tcW w:w="856" w:type="pct"/>
            <w:vAlign w:val="center"/>
          </w:tcPr>
          <w:p>
            <w:pPr>
              <w:spacing w:line="240" w:lineRule="auto"/>
              <w:jc w:val="center"/>
              <w:rPr>
                <w:sz w:val="21"/>
                <w:szCs w:val="21"/>
              </w:rPr>
            </w:pPr>
            <w:r>
              <w:rPr>
                <w:sz w:val="21"/>
                <w:szCs w:val="21"/>
              </w:rPr>
              <w:t>副教授</w:t>
            </w:r>
          </w:p>
        </w:tc>
        <w:tc>
          <w:tcPr>
            <w:tcW w:w="571" w:type="pct"/>
            <w:vAlign w:val="center"/>
          </w:tcPr>
          <w:p>
            <w:pPr>
              <w:spacing w:line="240" w:lineRule="auto"/>
              <w:jc w:val="center"/>
              <w:rPr>
                <w:sz w:val="21"/>
                <w:szCs w:val="21"/>
              </w:rPr>
            </w:pPr>
            <w:r>
              <w:rPr>
                <w:sz w:val="21"/>
                <w:szCs w:val="21"/>
              </w:rPr>
              <w:t>47</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山东师范大学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11</w:t>
            </w:r>
          </w:p>
        </w:tc>
        <w:tc>
          <w:tcPr>
            <w:tcW w:w="829" w:type="pct"/>
            <w:vAlign w:val="center"/>
          </w:tcPr>
          <w:p>
            <w:pPr>
              <w:spacing w:line="240" w:lineRule="auto"/>
              <w:jc w:val="center"/>
              <w:rPr>
                <w:sz w:val="21"/>
                <w:szCs w:val="21"/>
              </w:rPr>
            </w:pPr>
            <w:r>
              <w:rPr>
                <w:sz w:val="21"/>
                <w:szCs w:val="21"/>
              </w:rPr>
              <w:t>陈红艳</w:t>
            </w:r>
          </w:p>
        </w:tc>
        <w:tc>
          <w:tcPr>
            <w:tcW w:w="856" w:type="pct"/>
            <w:vAlign w:val="center"/>
          </w:tcPr>
          <w:p>
            <w:pPr>
              <w:spacing w:line="240" w:lineRule="auto"/>
              <w:jc w:val="center"/>
              <w:rPr>
                <w:sz w:val="21"/>
                <w:szCs w:val="21"/>
              </w:rPr>
            </w:pPr>
            <w:r>
              <w:rPr>
                <w:sz w:val="21"/>
                <w:szCs w:val="21"/>
              </w:rPr>
              <w:t>副教授</w:t>
            </w:r>
          </w:p>
        </w:tc>
        <w:tc>
          <w:tcPr>
            <w:tcW w:w="571" w:type="pct"/>
            <w:vAlign w:val="center"/>
          </w:tcPr>
          <w:p>
            <w:pPr>
              <w:spacing w:line="240" w:lineRule="auto"/>
              <w:jc w:val="center"/>
              <w:rPr>
                <w:sz w:val="21"/>
                <w:szCs w:val="21"/>
              </w:rPr>
            </w:pPr>
            <w:r>
              <w:rPr>
                <w:sz w:val="21"/>
                <w:szCs w:val="21"/>
              </w:rPr>
              <w:t>43</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山东农业大学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12</w:t>
            </w:r>
          </w:p>
        </w:tc>
        <w:tc>
          <w:tcPr>
            <w:tcW w:w="829" w:type="pct"/>
            <w:vAlign w:val="center"/>
          </w:tcPr>
          <w:p>
            <w:pPr>
              <w:spacing w:line="240" w:lineRule="auto"/>
              <w:jc w:val="center"/>
              <w:rPr>
                <w:sz w:val="21"/>
                <w:szCs w:val="21"/>
              </w:rPr>
            </w:pPr>
            <w:r>
              <w:rPr>
                <w:sz w:val="21"/>
                <w:szCs w:val="21"/>
              </w:rPr>
              <w:t>牛蓓蓓</w:t>
            </w:r>
          </w:p>
        </w:tc>
        <w:tc>
          <w:tcPr>
            <w:tcW w:w="856" w:type="pct"/>
            <w:vAlign w:val="center"/>
          </w:tcPr>
          <w:p>
            <w:pPr>
              <w:spacing w:line="240" w:lineRule="auto"/>
              <w:jc w:val="center"/>
              <w:rPr>
                <w:sz w:val="21"/>
                <w:szCs w:val="21"/>
              </w:rPr>
            </w:pPr>
            <w:r>
              <w:rPr>
                <w:sz w:val="21"/>
                <w:szCs w:val="21"/>
              </w:rPr>
              <w:t>副教授</w:t>
            </w:r>
          </w:p>
        </w:tc>
        <w:tc>
          <w:tcPr>
            <w:tcW w:w="571" w:type="pct"/>
            <w:vAlign w:val="center"/>
          </w:tcPr>
          <w:p>
            <w:pPr>
              <w:spacing w:line="240" w:lineRule="auto"/>
              <w:jc w:val="center"/>
              <w:rPr>
                <w:sz w:val="21"/>
                <w:szCs w:val="21"/>
              </w:rPr>
            </w:pPr>
            <w:r>
              <w:rPr>
                <w:sz w:val="21"/>
                <w:szCs w:val="21"/>
              </w:rPr>
              <w:t>36</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武汉大学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13</w:t>
            </w:r>
          </w:p>
        </w:tc>
        <w:tc>
          <w:tcPr>
            <w:tcW w:w="829" w:type="pct"/>
            <w:vAlign w:val="center"/>
          </w:tcPr>
          <w:p>
            <w:pPr>
              <w:spacing w:line="240" w:lineRule="auto"/>
              <w:jc w:val="center"/>
              <w:rPr>
                <w:sz w:val="21"/>
                <w:szCs w:val="21"/>
              </w:rPr>
            </w:pPr>
            <w:r>
              <w:rPr>
                <w:sz w:val="21"/>
                <w:szCs w:val="21"/>
              </w:rPr>
              <w:t>徐冬云</w:t>
            </w:r>
          </w:p>
        </w:tc>
        <w:tc>
          <w:tcPr>
            <w:tcW w:w="856" w:type="pct"/>
            <w:vAlign w:val="center"/>
          </w:tcPr>
          <w:p>
            <w:pPr>
              <w:spacing w:line="240" w:lineRule="auto"/>
              <w:jc w:val="center"/>
              <w:rPr>
                <w:sz w:val="21"/>
                <w:szCs w:val="21"/>
              </w:rPr>
            </w:pPr>
            <w:r>
              <w:rPr>
                <w:sz w:val="21"/>
                <w:szCs w:val="21"/>
              </w:rPr>
              <w:t>副教授</w:t>
            </w:r>
          </w:p>
        </w:tc>
        <w:tc>
          <w:tcPr>
            <w:tcW w:w="571" w:type="pct"/>
            <w:vAlign w:val="center"/>
          </w:tcPr>
          <w:p>
            <w:pPr>
              <w:spacing w:line="240" w:lineRule="auto"/>
              <w:jc w:val="center"/>
              <w:rPr>
                <w:sz w:val="21"/>
                <w:szCs w:val="21"/>
              </w:rPr>
            </w:pPr>
            <w:r>
              <w:rPr>
                <w:sz w:val="21"/>
                <w:szCs w:val="21"/>
              </w:rPr>
              <w:t>32</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浙江大学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14</w:t>
            </w:r>
          </w:p>
        </w:tc>
        <w:tc>
          <w:tcPr>
            <w:tcW w:w="829" w:type="pct"/>
            <w:vAlign w:val="center"/>
          </w:tcPr>
          <w:p>
            <w:pPr>
              <w:spacing w:line="240" w:lineRule="auto"/>
              <w:jc w:val="center"/>
              <w:rPr>
                <w:sz w:val="21"/>
                <w:szCs w:val="21"/>
              </w:rPr>
            </w:pPr>
            <w:r>
              <w:rPr>
                <w:sz w:val="21"/>
                <w:szCs w:val="21"/>
              </w:rPr>
              <w:t>常春艳</w:t>
            </w:r>
          </w:p>
        </w:tc>
        <w:tc>
          <w:tcPr>
            <w:tcW w:w="856" w:type="pct"/>
            <w:vAlign w:val="center"/>
          </w:tcPr>
          <w:p>
            <w:pPr>
              <w:spacing w:line="240" w:lineRule="auto"/>
              <w:jc w:val="center"/>
              <w:rPr>
                <w:sz w:val="21"/>
                <w:szCs w:val="21"/>
              </w:rPr>
            </w:pPr>
            <w:r>
              <w:rPr>
                <w:sz w:val="21"/>
                <w:szCs w:val="21"/>
              </w:rPr>
              <w:t>讲师</w:t>
            </w:r>
          </w:p>
        </w:tc>
        <w:tc>
          <w:tcPr>
            <w:tcW w:w="571" w:type="pct"/>
            <w:vAlign w:val="center"/>
          </w:tcPr>
          <w:p>
            <w:pPr>
              <w:spacing w:line="240" w:lineRule="auto"/>
              <w:jc w:val="center"/>
              <w:rPr>
                <w:sz w:val="21"/>
                <w:szCs w:val="21"/>
              </w:rPr>
            </w:pPr>
            <w:r>
              <w:rPr>
                <w:sz w:val="21"/>
                <w:szCs w:val="21"/>
              </w:rPr>
              <w:t>37</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山东农业大学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15</w:t>
            </w:r>
          </w:p>
        </w:tc>
        <w:tc>
          <w:tcPr>
            <w:tcW w:w="829" w:type="pct"/>
            <w:vAlign w:val="center"/>
          </w:tcPr>
          <w:p>
            <w:pPr>
              <w:spacing w:line="240" w:lineRule="auto"/>
              <w:jc w:val="center"/>
              <w:rPr>
                <w:sz w:val="21"/>
                <w:szCs w:val="21"/>
              </w:rPr>
            </w:pPr>
            <w:r>
              <w:rPr>
                <w:sz w:val="21"/>
                <w:szCs w:val="21"/>
              </w:rPr>
              <w:t>于新洋</w:t>
            </w:r>
          </w:p>
        </w:tc>
        <w:tc>
          <w:tcPr>
            <w:tcW w:w="856" w:type="pct"/>
            <w:vAlign w:val="center"/>
          </w:tcPr>
          <w:p>
            <w:pPr>
              <w:spacing w:line="240" w:lineRule="auto"/>
              <w:jc w:val="center"/>
              <w:rPr>
                <w:sz w:val="21"/>
                <w:szCs w:val="21"/>
              </w:rPr>
            </w:pPr>
            <w:r>
              <w:rPr>
                <w:sz w:val="21"/>
                <w:szCs w:val="21"/>
              </w:rPr>
              <w:t>讲师</w:t>
            </w:r>
          </w:p>
        </w:tc>
        <w:tc>
          <w:tcPr>
            <w:tcW w:w="571" w:type="pct"/>
            <w:vAlign w:val="center"/>
          </w:tcPr>
          <w:p>
            <w:pPr>
              <w:spacing w:line="240" w:lineRule="auto"/>
              <w:jc w:val="center"/>
              <w:rPr>
                <w:sz w:val="21"/>
                <w:szCs w:val="21"/>
              </w:rPr>
            </w:pPr>
            <w:r>
              <w:rPr>
                <w:sz w:val="21"/>
                <w:szCs w:val="21"/>
              </w:rPr>
              <w:t>36</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中国科学院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16</w:t>
            </w:r>
          </w:p>
        </w:tc>
        <w:tc>
          <w:tcPr>
            <w:tcW w:w="829" w:type="pct"/>
            <w:vAlign w:val="center"/>
          </w:tcPr>
          <w:p>
            <w:pPr>
              <w:spacing w:line="240" w:lineRule="auto"/>
              <w:jc w:val="center"/>
              <w:rPr>
                <w:sz w:val="21"/>
                <w:szCs w:val="21"/>
              </w:rPr>
            </w:pPr>
            <w:r>
              <w:rPr>
                <w:sz w:val="21"/>
                <w:szCs w:val="21"/>
              </w:rPr>
              <w:t>王卓然</w:t>
            </w:r>
          </w:p>
        </w:tc>
        <w:tc>
          <w:tcPr>
            <w:tcW w:w="856" w:type="pct"/>
            <w:vAlign w:val="center"/>
          </w:tcPr>
          <w:p>
            <w:pPr>
              <w:spacing w:line="240" w:lineRule="auto"/>
              <w:jc w:val="center"/>
              <w:rPr>
                <w:sz w:val="21"/>
                <w:szCs w:val="21"/>
              </w:rPr>
            </w:pPr>
            <w:r>
              <w:rPr>
                <w:sz w:val="21"/>
                <w:szCs w:val="21"/>
              </w:rPr>
              <w:t>讲师</w:t>
            </w:r>
          </w:p>
        </w:tc>
        <w:tc>
          <w:tcPr>
            <w:tcW w:w="571" w:type="pct"/>
            <w:vAlign w:val="center"/>
          </w:tcPr>
          <w:p>
            <w:pPr>
              <w:spacing w:line="240" w:lineRule="auto"/>
              <w:jc w:val="center"/>
              <w:rPr>
                <w:sz w:val="21"/>
                <w:szCs w:val="21"/>
              </w:rPr>
            </w:pPr>
            <w:r>
              <w:rPr>
                <w:sz w:val="21"/>
                <w:szCs w:val="21"/>
              </w:rPr>
              <w:t>33</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山东农业大学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17</w:t>
            </w:r>
          </w:p>
        </w:tc>
        <w:tc>
          <w:tcPr>
            <w:tcW w:w="829" w:type="pct"/>
            <w:vAlign w:val="center"/>
          </w:tcPr>
          <w:p>
            <w:pPr>
              <w:spacing w:line="240" w:lineRule="auto"/>
              <w:jc w:val="center"/>
              <w:rPr>
                <w:sz w:val="21"/>
                <w:szCs w:val="21"/>
              </w:rPr>
            </w:pPr>
            <w:r>
              <w:rPr>
                <w:sz w:val="21"/>
                <w:szCs w:val="21"/>
              </w:rPr>
              <w:t>赵</w:t>
            </w:r>
            <w:r>
              <w:rPr>
                <w:rFonts w:hint="eastAsia"/>
                <w:sz w:val="21"/>
                <w:szCs w:val="21"/>
              </w:rPr>
              <w:t xml:space="preserve">  </w:t>
            </w:r>
            <w:r>
              <w:rPr>
                <w:sz w:val="21"/>
                <w:szCs w:val="21"/>
              </w:rPr>
              <w:t>利</w:t>
            </w:r>
          </w:p>
        </w:tc>
        <w:tc>
          <w:tcPr>
            <w:tcW w:w="856" w:type="pct"/>
            <w:vAlign w:val="center"/>
          </w:tcPr>
          <w:p>
            <w:pPr>
              <w:spacing w:line="240" w:lineRule="auto"/>
              <w:jc w:val="center"/>
              <w:rPr>
                <w:sz w:val="21"/>
                <w:szCs w:val="21"/>
              </w:rPr>
            </w:pPr>
            <w:r>
              <w:rPr>
                <w:sz w:val="21"/>
                <w:szCs w:val="21"/>
              </w:rPr>
              <w:t>讲师</w:t>
            </w:r>
          </w:p>
        </w:tc>
        <w:tc>
          <w:tcPr>
            <w:tcW w:w="571" w:type="pct"/>
            <w:vAlign w:val="center"/>
          </w:tcPr>
          <w:p>
            <w:pPr>
              <w:spacing w:line="240" w:lineRule="auto"/>
              <w:jc w:val="center"/>
              <w:rPr>
                <w:sz w:val="21"/>
                <w:szCs w:val="21"/>
              </w:rPr>
            </w:pPr>
            <w:r>
              <w:rPr>
                <w:sz w:val="21"/>
                <w:szCs w:val="21"/>
              </w:rPr>
              <w:t>34</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中国石油大学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18</w:t>
            </w:r>
          </w:p>
        </w:tc>
        <w:tc>
          <w:tcPr>
            <w:tcW w:w="829" w:type="pct"/>
            <w:vAlign w:val="center"/>
          </w:tcPr>
          <w:p>
            <w:pPr>
              <w:spacing w:line="240" w:lineRule="auto"/>
              <w:jc w:val="center"/>
              <w:rPr>
                <w:sz w:val="21"/>
                <w:szCs w:val="21"/>
              </w:rPr>
            </w:pPr>
            <w:r>
              <w:rPr>
                <w:sz w:val="21"/>
                <w:szCs w:val="21"/>
              </w:rPr>
              <w:t>闵祥宇</w:t>
            </w:r>
          </w:p>
        </w:tc>
        <w:tc>
          <w:tcPr>
            <w:tcW w:w="856" w:type="pct"/>
            <w:vAlign w:val="center"/>
          </w:tcPr>
          <w:p>
            <w:pPr>
              <w:spacing w:line="240" w:lineRule="auto"/>
              <w:jc w:val="center"/>
              <w:rPr>
                <w:sz w:val="21"/>
                <w:szCs w:val="21"/>
              </w:rPr>
            </w:pPr>
            <w:r>
              <w:rPr>
                <w:sz w:val="21"/>
                <w:szCs w:val="21"/>
              </w:rPr>
              <w:t>讲师</w:t>
            </w:r>
          </w:p>
        </w:tc>
        <w:tc>
          <w:tcPr>
            <w:tcW w:w="571" w:type="pct"/>
            <w:vAlign w:val="center"/>
          </w:tcPr>
          <w:p>
            <w:pPr>
              <w:spacing w:line="240" w:lineRule="auto"/>
              <w:jc w:val="center"/>
              <w:rPr>
                <w:sz w:val="21"/>
                <w:szCs w:val="21"/>
              </w:rPr>
            </w:pPr>
            <w:r>
              <w:rPr>
                <w:sz w:val="21"/>
                <w:szCs w:val="21"/>
              </w:rPr>
              <w:t>31</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山东农业大学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19</w:t>
            </w:r>
          </w:p>
        </w:tc>
        <w:tc>
          <w:tcPr>
            <w:tcW w:w="829" w:type="pct"/>
            <w:vAlign w:val="center"/>
          </w:tcPr>
          <w:p>
            <w:pPr>
              <w:spacing w:line="240" w:lineRule="auto"/>
              <w:jc w:val="center"/>
              <w:rPr>
                <w:sz w:val="21"/>
                <w:szCs w:val="21"/>
              </w:rPr>
            </w:pPr>
            <w:r>
              <w:rPr>
                <w:sz w:val="21"/>
                <w:szCs w:val="21"/>
              </w:rPr>
              <w:t>宋</w:t>
            </w:r>
            <w:r>
              <w:rPr>
                <w:rFonts w:hint="eastAsia"/>
                <w:sz w:val="21"/>
                <w:szCs w:val="21"/>
              </w:rPr>
              <w:t xml:space="preserve">  </w:t>
            </w:r>
            <w:r>
              <w:rPr>
                <w:sz w:val="21"/>
                <w:szCs w:val="21"/>
              </w:rPr>
              <w:t>文</w:t>
            </w:r>
          </w:p>
        </w:tc>
        <w:tc>
          <w:tcPr>
            <w:tcW w:w="856" w:type="pct"/>
            <w:vAlign w:val="center"/>
          </w:tcPr>
          <w:p>
            <w:pPr>
              <w:spacing w:line="240" w:lineRule="auto"/>
              <w:jc w:val="center"/>
              <w:rPr>
                <w:sz w:val="21"/>
                <w:szCs w:val="21"/>
              </w:rPr>
            </w:pPr>
            <w:r>
              <w:rPr>
                <w:sz w:val="21"/>
                <w:szCs w:val="21"/>
              </w:rPr>
              <w:t>讲师</w:t>
            </w:r>
          </w:p>
        </w:tc>
        <w:tc>
          <w:tcPr>
            <w:tcW w:w="571" w:type="pct"/>
            <w:vAlign w:val="center"/>
          </w:tcPr>
          <w:p>
            <w:pPr>
              <w:spacing w:line="240" w:lineRule="auto"/>
              <w:jc w:val="center"/>
              <w:rPr>
                <w:sz w:val="21"/>
                <w:szCs w:val="21"/>
              </w:rPr>
            </w:pPr>
            <w:r>
              <w:rPr>
                <w:sz w:val="21"/>
                <w:szCs w:val="21"/>
              </w:rPr>
              <w:t>32</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shd w:val="clear" w:color="auto" w:fill="FFFFFF"/>
              </w:rPr>
              <w:t>中国地质大学（北京）</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20</w:t>
            </w:r>
          </w:p>
        </w:tc>
        <w:tc>
          <w:tcPr>
            <w:tcW w:w="829" w:type="pct"/>
            <w:vAlign w:val="center"/>
          </w:tcPr>
          <w:p>
            <w:pPr>
              <w:spacing w:line="240" w:lineRule="auto"/>
              <w:jc w:val="center"/>
              <w:rPr>
                <w:sz w:val="21"/>
                <w:szCs w:val="21"/>
              </w:rPr>
            </w:pPr>
            <w:r>
              <w:rPr>
                <w:sz w:val="21"/>
                <w:szCs w:val="21"/>
              </w:rPr>
              <w:t>李俊颖</w:t>
            </w:r>
          </w:p>
        </w:tc>
        <w:tc>
          <w:tcPr>
            <w:tcW w:w="856" w:type="pct"/>
            <w:vAlign w:val="center"/>
          </w:tcPr>
          <w:p>
            <w:pPr>
              <w:spacing w:line="240" w:lineRule="auto"/>
              <w:jc w:val="center"/>
              <w:rPr>
                <w:sz w:val="21"/>
                <w:szCs w:val="21"/>
              </w:rPr>
            </w:pPr>
            <w:r>
              <w:rPr>
                <w:sz w:val="21"/>
                <w:szCs w:val="21"/>
              </w:rPr>
              <w:t>讲师</w:t>
            </w:r>
          </w:p>
        </w:tc>
        <w:tc>
          <w:tcPr>
            <w:tcW w:w="571" w:type="pct"/>
            <w:vAlign w:val="center"/>
          </w:tcPr>
          <w:p>
            <w:pPr>
              <w:spacing w:line="240" w:lineRule="auto"/>
              <w:jc w:val="center"/>
              <w:rPr>
                <w:sz w:val="21"/>
                <w:szCs w:val="21"/>
              </w:rPr>
            </w:pPr>
            <w:r>
              <w:rPr>
                <w:sz w:val="21"/>
                <w:szCs w:val="21"/>
              </w:rPr>
              <w:t>31</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shd w:val="clear" w:color="auto" w:fill="FFFFFF"/>
              </w:rPr>
              <w:t>中国地质大学（北京）</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21</w:t>
            </w:r>
          </w:p>
        </w:tc>
        <w:tc>
          <w:tcPr>
            <w:tcW w:w="829" w:type="pct"/>
            <w:vAlign w:val="center"/>
          </w:tcPr>
          <w:p>
            <w:pPr>
              <w:spacing w:line="240" w:lineRule="auto"/>
              <w:jc w:val="center"/>
              <w:rPr>
                <w:sz w:val="21"/>
                <w:szCs w:val="21"/>
              </w:rPr>
            </w:pPr>
            <w:r>
              <w:rPr>
                <w:sz w:val="21"/>
                <w:szCs w:val="21"/>
              </w:rPr>
              <w:t>王莹莹</w:t>
            </w:r>
          </w:p>
        </w:tc>
        <w:tc>
          <w:tcPr>
            <w:tcW w:w="856" w:type="pct"/>
            <w:vAlign w:val="center"/>
          </w:tcPr>
          <w:p>
            <w:pPr>
              <w:spacing w:line="240" w:lineRule="auto"/>
              <w:jc w:val="center"/>
              <w:rPr>
                <w:sz w:val="21"/>
                <w:szCs w:val="21"/>
              </w:rPr>
            </w:pPr>
            <w:r>
              <w:rPr>
                <w:sz w:val="21"/>
                <w:szCs w:val="21"/>
              </w:rPr>
              <w:t>讲师</w:t>
            </w:r>
          </w:p>
        </w:tc>
        <w:tc>
          <w:tcPr>
            <w:tcW w:w="571" w:type="pct"/>
            <w:vAlign w:val="center"/>
          </w:tcPr>
          <w:p>
            <w:pPr>
              <w:spacing w:line="240" w:lineRule="auto"/>
              <w:jc w:val="center"/>
              <w:rPr>
                <w:sz w:val="21"/>
                <w:szCs w:val="21"/>
              </w:rPr>
            </w:pPr>
            <w:r>
              <w:rPr>
                <w:sz w:val="21"/>
                <w:szCs w:val="21"/>
              </w:rPr>
              <w:t>35</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shd w:val="clear" w:color="auto" w:fill="FFFFFF"/>
              </w:rPr>
            </w:pPr>
            <w:r>
              <w:rPr>
                <w:sz w:val="21"/>
                <w:szCs w:val="21"/>
              </w:rPr>
              <w:t>中国科学院大学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22</w:t>
            </w:r>
          </w:p>
        </w:tc>
        <w:tc>
          <w:tcPr>
            <w:tcW w:w="829" w:type="pct"/>
            <w:vAlign w:val="center"/>
          </w:tcPr>
          <w:p>
            <w:pPr>
              <w:spacing w:line="240" w:lineRule="auto"/>
              <w:jc w:val="center"/>
              <w:rPr>
                <w:sz w:val="21"/>
                <w:szCs w:val="21"/>
              </w:rPr>
            </w:pPr>
            <w:r>
              <w:rPr>
                <w:sz w:val="21"/>
                <w:szCs w:val="21"/>
              </w:rPr>
              <w:t>张</w:t>
            </w:r>
            <w:r>
              <w:rPr>
                <w:rFonts w:hint="eastAsia"/>
                <w:sz w:val="21"/>
                <w:szCs w:val="21"/>
              </w:rPr>
              <w:t xml:space="preserve">  </w:t>
            </w:r>
            <w:r>
              <w:rPr>
                <w:sz w:val="21"/>
                <w:szCs w:val="21"/>
              </w:rPr>
              <w:t>鹏</w:t>
            </w:r>
          </w:p>
        </w:tc>
        <w:tc>
          <w:tcPr>
            <w:tcW w:w="856" w:type="pct"/>
            <w:vAlign w:val="center"/>
          </w:tcPr>
          <w:p>
            <w:pPr>
              <w:spacing w:line="240" w:lineRule="auto"/>
              <w:jc w:val="center"/>
              <w:rPr>
                <w:sz w:val="21"/>
                <w:szCs w:val="21"/>
              </w:rPr>
            </w:pPr>
            <w:r>
              <w:rPr>
                <w:sz w:val="21"/>
                <w:szCs w:val="21"/>
              </w:rPr>
              <w:t>讲师</w:t>
            </w:r>
          </w:p>
        </w:tc>
        <w:tc>
          <w:tcPr>
            <w:tcW w:w="571" w:type="pct"/>
            <w:vAlign w:val="center"/>
          </w:tcPr>
          <w:p>
            <w:pPr>
              <w:spacing w:line="240" w:lineRule="auto"/>
              <w:jc w:val="center"/>
              <w:rPr>
                <w:sz w:val="21"/>
                <w:szCs w:val="21"/>
              </w:rPr>
            </w:pPr>
            <w:r>
              <w:rPr>
                <w:sz w:val="21"/>
                <w:szCs w:val="21"/>
              </w:rPr>
              <w:t>32</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中国科学院大学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23</w:t>
            </w:r>
          </w:p>
        </w:tc>
        <w:tc>
          <w:tcPr>
            <w:tcW w:w="829" w:type="pct"/>
            <w:vAlign w:val="center"/>
          </w:tcPr>
          <w:p>
            <w:pPr>
              <w:spacing w:line="240" w:lineRule="auto"/>
              <w:jc w:val="center"/>
              <w:rPr>
                <w:sz w:val="21"/>
                <w:szCs w:val="21"/>
              </w:rPr>
            </w:pPr>
            <w:r>
              <w:rPr>
                <w:sz w:val="21"/>
                <w:szCs w:val="21"/>
              </w:rPr>
              <w:t>荆肇瑞</w:t>
            </w:r>
          </w:p>
        </w:tc>
        <w:tc>
          <w:tcPr>
            <w:tcW w:w="856" w:type="pct"/>
            <w:vAlign w:val="center"/>
          </w:tcPr>
          <w:p>
            <w:pPr>
              <w:spacing w:line="240" w:lineRule="auto"/>
              <w:jc w:val="center"/>
              <w:rPr>
                <w:sz w:val="21"/>
                <w:szCs w:val="21"/>
              </w:rPr>
            </w:pPr>
            <w:r>
              <w:rPr>
                <w:sz w:val="21"/>
                <w:szCs w:val="21"/>
              </w:rPr>
              <w:t>副教授</w:t>
            </w:r>
          </w:p>
        </w:tc>
        <w:tc>
          <w:tcPr>
            <w:tcW w:w="571" w:type="pct"/>
            <w:vAlign w:val="center"/>
          </w:tcPr>
          <w:p>
            <w:pPr>
              <w:spacing w:line="240" w:lineRule="auto"/>
              <w:jc w:val="center"/>
              <w:rPr>
                <w:sz w:val="21"/>
                <w:szCs w:val="21"/>
              </w:rPr>
            </w:pPr>
            <w:r>
              <w:rPr>
                <w:sz w:val="21"/>
                <w:szCs w:val="21"/>
              </w:rPr>
              <w:t>30</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中国地质大学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8" w:type="pct"/>
            <w:vAlign w:val="center"/>
          </w:tcPr>
          <w:p>
            <w:pPr>
              <w:spacing w:line="240" w:lineRule="auto"/>
              <w:jc w:val="center"/>
              <w:rPr>
                <w:sz w:val="21"/>
                <w:szCs w:val="21"/>
              </w:rPr>
            </w:pPr>
            <w:r>
              <w:rPr>
                <w:sz w:val="21"/>
                <w:szCs w:val="21"/>
              </w:rPr>
              <w:t>24</w:t>
            </w:r>
          </w:p>
        </w:tc>
        <w:tc>
          <w:tcPr>
            <w:tcW w:w="829" w:type="pct"/>
            <w:vAlign w:val="center"/>
          </w:tcPr>
          <w:p>
            <w:pPr>
              <w:spacing w:line="240" w:lineRule="auto"/>
              <w:jc w:val="center"/>
              <w:rPr>
                <w:sz w:val="21"/>
                <w:szCs w:val="21"/>
              </w:rPr>
            </w:pPr>
            <w:r>
              <w:rPr>
                <w:sz w:val="21"/>
                <w:szCs w:val="21"/>
              </w:rPr>
              <w:t>刘亚秋</w:t>
            </w:r>
          </w:p>
        </w:tc>
        <w:tc>
          <w:tcPr>
            <w:tcW w:w="856" w:type="pct"/>
            <w:vAlign w:val="center"/>
          </w:tcPr>
          <w:p>
            <w:pPr>
              <w:spacing w:line="240" w:lineRule="auto"/>
              <w:jc w:val="center"/>
              <w:rPr>
                <w:sz w:val="21"/>
                <w:szCs w:val="21"/>
              </w:rPr>
            </w:pPr>
            <w:r>
              <w:rPr>
                <w:sz w:val="21"/>
                <w:szCs w:val="21"/>
              </w:rPr>
              <w:t>讲师</w:t>
            </w:r>
          </w:p>
        </w:tc>
        <w:tc>
          <w:tcPr>
            <w:tcW w:w="571" w:type="pct"/>
            <w:vAlign w:val="center"/>
          </w:tcPr>
          <w:p>
            <w:pPr>
              <w:spacing w:line="240" w:lineRule="auto"/>
              <w:jc w:val="center"/>
              <w:rPr>
                <w:sz w:val="21"/>
                <w:szCs w:val="21"/>
              </w:rPr>
            </w:pPr>
            <w:r>
              <w:rPr>
                <w:sz w:val="21"/>
                <w:szCs w:val="21"/>
              </w:rPr>
              <w:t>32</w:t>
            </w:r>
          </w:p>
        </w:tc>
        <w:tc>
          <w:tcPr>
            <w:tcW w:w="802" w:type="pct"/>
            <w:vAlign w:val="center"/>
          </w:tcPr>
          <w:p>
            <w:pPr>
              <w:spacing w:line="240" w:lineRule="auto"/>
              <w:jc w:val="center"/>
              <w:rPr>
                <w:sz w:val="21"/>
                <w:szCs w:val="21"/>
              </w:rPr>
            </w:pPr>
            <w:r>
              <w:rPr>
                <w:sz w:val="21"/>
                <w:szCs w:val="21"/>
              </w:rPr>
              <w:t>博士</w:t>
            </w:r>
          </w:p>
        </w:tc>
        <w:tc>
          <w:tcPr>
            <w:tcW w:w="1462" w:type="pct"/>
            <w:vAlign w:val="center"/>
          </w:tcPr>
          <w:p>
            <w:pPr>
              <w:spacing w:line="240" w:lineRule="auto"/>
              <w:jc w:val="center"/>
              <w:rPr>
                <w:sz w:val="21"/>
                <w:szCs w:val="21"/>
              </w:rPr>
            </w:pPr>
            <w:r>
              <w:rPr>
                <w:sz w:val="21"/>
                <w:szCs w:val="21"/>
              </w:rPr>
              <w:t>山东农业大学</w:t>
            </w:r>
          </w:p>
        </w:tc>
      </w:tr>
    </w:tbl>
    <w:p>
      <w:pPr>
        <w:spacing w:line="240" w:lineRule="auto"/>
        <w:ind w:firstLine="422"/>
        <w:jc w:val="center"/>
        <w:rPr>
          <w:b/>
          <w:bCs/>
          <w:sz w:val="21"/>
          <w:szCs w:val="21"/>
        </w:rPr>
      </w:pPr>
    </w:p>
    <w:p>
      <w:pPr>
        <w:spacing w:line="240" w:lineRule="auto"/>
        <w:ind w:firstLine="422"/>
        <w:jc w:val="center"/>
        <w:rPr>
          <w:b/>
          <w:bCs/>
          <w:sz w:val="21"/>
          <w:szCs w:val="21"/>
          <w:lang w:val="zh-CN"/>
        </w:rPr>
      </w:pPr>
      <w:r>
        <w:rPr>
          <w:b/>
          <w:bCs/>
          <w:sz w:val="21"/>
          <w:szCs w:val="21"/>
        </w:rPr>
        <w:t>表3  土地管理（中英合作）专业外方师资队伍情况</w:t>
      </w:r>
    </w:p>
    <w:tbl>
      <w:tblPr>
        <w:tblStyle w:val="17"/>
        <w:tblW w:w="4997"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763"/>
        <w:gridCol w:w="2452"/>
        <w:gridCol w:w="1441"/>
        <w:gridCol w:w="1245"/>
        <w:gridCol w:w="1424"/>
        <w:gridCol w:w="173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blHeader/>
          <w:jc w:val="center"/>
        </w:trPr>
        <w:tc>
          <w:tcPr>
            <w:tcW w:w="421" w:type="pct"/>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b/>
                <w:bCs/>
                <w:sz w:val="21"/>
                <w:szCs w:val="21"/>
              </w:rPr>
            </w:pPr>
            <w:r>
              <w:rPr>
                <w:b/>
                <w:bCs/>
                <w:sz w:val="21"/>
                <w:szCs w:val="21"/>
              </w:rPr>
              <w:t>序号</w:t>
            </w:r>
          </w:p>
        </w:tc>
        <w:tc>
          <w:tcPr>
            <w:tcW w:w="1353" w:type="pct"/>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b/>
                <w:bCs/>
                <w:sz w:val="21"/>
                <w:szCs w:val="21"/>
              </w:rPr>
            </w:pPr>
            <w:r>
              <w:rPr>
                <w:b/>
                <w:bCs/>
                <w:sz w:val="21"/>
                <w:szCs w:val="21"/>
              </w:rPr>
              <w:t>姓名</w:t>
            </w:r>
          </w:p>
        </w:tc>
        <w:tc>
          <w:tcPr>
            <w:tcW w:w="795" w:type="pct"/>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b/>
                <w:bCs/>
                <w:sz w:val="21"/>
                <w:szCs w:val="21"/>
              </w:rPr>
            </w:pPr>
            <w:r>
              <w:rPr>
                <w:b/>
                <w:bCs/>
                <w:sz w:val="21"/>
                <w:szCs w:val="21"/>
              </w:rPr>
              <w:t>国籍</w:t>
            </w:r>
          </w:p>
        </w:tc>
        <w:tc>
          <w:tcPr>
            <w:tcW w:w="687" w:type="pct"/>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b/>
                <w:bCs/>
                <w:sz w:val="21"/>
                <w:szCs w:val="21"/>
              </w:rPr>
            </w:pPr>
            <w:r>
              <w:rPr>
                <w:b/>
                <w:bCs/>
                <w:sz w:val="21"/>
                <w:szCs w:val="21"/>
              </w:rPr>
              <w:t>学位</w:t>
            </w:r>
          </w:p>
        </w:tc>
        <w:tc>
          <w:tcPr>
            <w:tcW w:w="786" w:type="pct"/>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b/>
                <w:bCs/>
                <w:sz w:val="21"/>
                <w:szCs w:val="21"/>
              </w:rPr>
            </w:pPr>
            <w:r>
              <w:rPr>
                <w:b/>
                <w:bCs/>
                <w:sz w:val="21"/>
                <w:szCs w:val="21"/>
              </w:rPr>
              <w:t>职称②</w:t>
            </w:r>
          </w:p>
        </w:tc>
        <w:tc>
          <w:tcPr>
            <w:tcW w:w="955" w:type="pct"/>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b/>
                <w:bCs/>
                <w:sz w:val="21"/>
                <w:szCs w:val="21"/>
              </w:rPr>
            </w:pPr>
            <w:r>
              <w:rPr>
                <w:b/>
                <w:bCs/>
                <w:sz w:val="21"/>
                <w:szCs w:val="21"/>
              </w:rPr>
              <w:t>护照号</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1"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1</w:t>
            </w:r>
          </w:p>
        </w:tc>
        <w:tc>
          <w:tcPr>
            <w:tcW w:w="1353"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Henry John Stephen Finch</w:t>
            </w:r>
          </w:p>
        </w:tc>
        <w:tc>
          <w:tcPr>
            <w:tcW w:w="79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英国</w:t>
            </w:r>
          </w:p>
        </w:tc>
        <w:tc>
          <w:tcPr>
            <w:tcW w:w="687"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硕士</w:t>
            </w:r>
          </w:p>
        </w:tc>
        <w:tc>
          <w:tcPr>
            <w:tcW w:w="78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教授</w:t>
            </w:r>
          </w:p>
        </w:tc>
        <w:tc>
          <w:tcPr>
            <w:tcW w:w="95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535817126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1"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2</w:t>
            </w:r>
          </w:p>
        </w:tc>
        <w:tc>
          <w:tcPr>
            <w:tcW w:w="1353"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Robert Keith Jones</w:t>
            </w:r>
          </w:p>
        </w:tc>
        <w:tc>
          <w:tcPr>
            <w:tcW w:w="79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英国</w:t>
            </w:r>
          </w:p>
        </w:tc>
        <w:tc>
          <w:tcPr>
            <w:tcW w:w="687"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硕士</w:t>
            </w:r>
          </w:p>
        </w:tc>
        <w:tc>
          <w:tcPr>
            <w:tcW w:w="78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讲师</w:t>
            </w:r>
          </w:p>
        </w:tc>
        <w:tc>
          <w:tcPr>
            <w:tcW w:w="95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515563775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1"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3</w:t>
            </w:r>
          </w:p>
        </w:tc>
        <w:tc>
          <w:tcPr>
            <w:tcW w:w="1353"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Marek Kozlowski</w:t>
            </w:r>
          </w:p>
        </w:tc>
        <w:tc>
          <w:tcPr>
            <w:tcW w:w="79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澳大利亚</w:t>
            </w:r>
          </w:p>
        </w:tc>
        <w:tc>
          <w:tcPr>
            <w:tcW w:w="687"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博士</w:t>
            </w:r>
          </w:p>
        </w:tc>
        <w:tc>
          <w:tcPr>
            <w:tcW w:w="78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讲师</w:t>
            </w:r>
          </w:p>
        </w:tc>
        <w:tc>
          <w:tcPr>
            <w:tcW w:w="95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N7517509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1"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4</w:t>
            </w:r>
          </w:p>
        </w:tc>
        <w:tc>
          <w:tcPr>
            <w:tcW w:w="1353"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Deepak Kumar Pathak</w:t>
            </w:r>
          </w:p>
        </w:tc>
        <w:tc>
          <w:tcPr>
            <w:tcW w:w="79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英国</w:t>
            </w:r>
          </w:p>
        </w:tc>
        <w:tc>
          <w:tcPr>
            <w:tcW w:w="687"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硕士</w:t>
            </w:r>
          </w:p>
        </w:tc>
        <w:tc>
          <w:tcPr>
            <w:tcW w:w="78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讲师</w:t>
            </w:r>
          </w:p>
        </w:tc>
        <w:tc>
          <w:tcPr>
            <w:tcW w:w="95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523442855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1"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5</w:t>
            </w:r>
          </w:p>
        </w:tc>
        <w:tc>
          <w:tcPr>
            <w:tcW w:w="1353"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Amir Ebrahim Pirooz Far</w:t>
            </w:r>
          </w:p>
        </w:tc>
        <w:tc>
          <w:tcPr>
            <w:tcW w:w="79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英国</w:t>
            </w:r>
          </w:p>
        </w:tc>
        <w:tc>
          <w:tcPr>
            <w:tcW w:w="687"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博士</w:t>
            </w:r>
          </w:p>
        </w:tc>
        <w:tc>
          <w:tcPr>
            <w:tcW w:w="78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教授</w:t>
            </w:r>
          </w:p>
        </w:tc>
        <w:tc>
          <w:tcPr>
            <w:tcW w:w="95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537465406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1"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6</w:t>
            </w:r>
          </w:p>
        </w:tc>
        <w:tc>
          <w:tcPr>
            <w:tcW w:w="1353"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William Henry Pige Leschallas</w:t>
            </w:r>
          </w:p>
        </w:tc>
        <w:tc>
          <w:tcPr>
            <w:tcW w:w="79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英国</w:t>
            </w:r>
          </w:p>
        </w:tc>
        <w:tc>
          <w:tcPr>
            <w:tcW w:w="687"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学士</w:t>
            </w:r>
          </w:p>
        </w:tc>
        <w:tc>
          <w:tcPr>
            <w:tcW w:w="78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讲师</w:t>
            </w:r>
          </w:p>
        </w:tc>
        <w:tc>
          <w:tcPr>
            <w:tcW w:w="95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526899858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1"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7</w:t>
            </w:r>
          </w:p>
        </w:tc>
        <w:tc>
          <w:tcPr>
            <w:tcW w:w="1353"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Prezemyslaw Piotr Rosinski</w:t>
            </w:r>
          </w:p>
        </w:tc>
        <w:tc>
          <w:tcPr>
            <w:tcW w:w="79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英国</w:t>
            </w:r>
          </w:p>
        </w:tc>
        <w:tc>
          <w:tcPr>
            <w:tcW w:w="687"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硕士</w:t>
            </w:r>
          </w:p>
        </w:tc>
        <w:tc>
          <w:tcPr>
            <w:tcW w:w="78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讲师</w:t>
            </w:r>
          </w:p>
        </w:tc>
        <w:tc>
          <w:tcPr>
            <w:tcW w:w="95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529744576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1"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8</w:t>
            </w:r>
          </w:p>
        </w:tc>
        <w:tc>
          <w:tcPr>
            <w:tcW w:w="1353"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Fawaz Khaled</w:t>
            </w:r>
          </w:p>
        </w:tc>
        <w:tc>
          <w:tcPr>
            <w:tcW w:w="79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叙利亚</w:t>
            </w:r>
          </w:p>
        </w:tc>
        <w:tc>
          <w:tcPr>
            <w:tcW w:w="687"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博士</w:t>
            </w:r>
          </w:p>
        </w:tc>
        <w:tc>
          <w:tcPr>
            <w:tcW w:w="78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教授</w:t>
            </w:r>
          </w:p>
        </w:tc>
        <w:tc>
          <w:tcPr>
            <w:tcW w:w="95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760190969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1"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9</w:t>
            </w:r>
          </w:p>
        </w:tc>
        <w:tc>
          <w:tcPr>
            <w:tcW w:w="1353"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Nicola Diana Cannon</w:t>
            </w:r>
          </w:p>
        </w:tc>
        <w:tc>
          <w:tcPr>
            <w:tcW w:w="79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英国</w:t>
            </w:r>
          </w:p>
        </w:tc>
        <w:tc>
          <w:tcPr>
            <w:tcW w:w="687"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博士</w:t>
            </w:r>
          </w:p>
        </w:tc>
        <w:tc>
          <w:tcPr>
            <w:tcW w:w="78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讲师</w:t>
            </w:r>
          </w:p>
        </w:tc>
        <w:tc>
          <w:tcPr>
            <w:tcW w:w="95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503205575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1"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10</w:t>
            </w:r>
          </w:p>
        </w:tc>
        <w:tc>
          <w:tcPr>
            <w:tcW w:w="1353"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Michael Dennis Slark</w:t>
            </w:r>
          </w:p>
        </w:tc>
        <w:tc>
          <w:tcPr>
            <w:tcW w:w="79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英国</w:t>
            </w:r>
          </w:p>
        </w:tc>
        <w:tc>
          <w:tcPr>
            <w:tcW w:w="687"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硕士</w:t>
            </w:r>
          </w:p>
        </w:tc>
        <w:tc>
          <w:tcPr>
            <w:tcW w:w="78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讲师</w:t>
            </w:r>
          </w:p>
        </w:tc>
        <w:tc>
          <w:tcPr>
            <w:tcW w:w="95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557801454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1"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11</w:t>
            </w:r>
          </w:p>
        </w:tc>
        <w:tc>
          <w:tcPr>
            <w:tcW w:w="1353"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Lewis, David</w:t>
            </w:r>
          </w:p>
        </w:tc>
        <w:tc>
          <w:tcPr>
            <w:tcW w:w="79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英国</w:t>
            </w:r>
          </w:p>
        </w:tc>
        <w:tc>
          <w:tcPr>
            <w:tcW w:w="687"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硕士</w:t>
            </w:r>
          </w:p>
        </w:tc>
        <w:tc>
          <w:tcPr>
            <w:tcW w:w="78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教授</w:t>
            </w:r>
          </w:p>
        </w:tc>
        <w:tc>
          <w:tcPr>
            <w:tcW w:w="95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111568340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1"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12</w:t>
            </w:r>
          </w:p>
        </w:tc>
        <w:tc>
          <w:tcPr>
            <w:tcW w:w="1353"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Phil Staddon</w:t>
            </w:r>
          </w:p>
        </w:tc>
        <w:tc>
          <w:tcPr>
            <w:tcW w:w="79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英国</w:t>
            </w:r>
          </w:p>
        </w:tc>
        <w:tc>
          <w:tcPr>
            <w:tcW w:w="687"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博士</w:t>
            </w:r>
          </w:p>
        </w:tc>
        <w:tc>
          <w:tcPr>
            <w:tcW w:w="78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讲师</w:t>
            </w:r>
          </w:p>
        </w:tc>
        <w:tc>
          <w:tcPr>
            <w:tcW w:w="95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561804151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1"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13</w:t>
            </w:r>
          </w:p>
        </w:tc>
        <w:tc>
          <w:tcPr>
            <w:tcW w:w="1353"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Farrokh Shahriary</w:t>
            </w:r>
          </w:p>
        </w:tc>
        <w:tc>
          <w:tcPr>
            <w:tcW w:w="79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英国</w:t>
            </w:r>
          </w:p>
        </w:tc>
        <w:tc>
          <w:tcPr>
            <w:tcW w:w="687"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硕士</w:t>
            </w:r>
          </w:p>
        </w:tc>
        <w:tc>
          <w:tcPr>
            <w:tcW w:w="78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讲师</w:t>
            </w:r>
          </w:p>
        </w:tc>
        <w:tc>
          <w:tcPr>
            <w:tcW w:w="95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556889790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421"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14</w:t>
            </w:r>
          </w:p>
        </w:tc>
        <w:tc>
          <w:tcPr>
            <w:tcW w:w="1353"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Alexandra Faith Thompson</w:t>
            </w:r>
          </w:p>
        </w:tc>
        <w:tc>
          <w:tcPr>
            <w:tcW w:w="79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英国</w:t>
            </w:r>
          </w:p>
        </w:tc>
        <w:tc>
          <w:tcPr>
            <w:tcW w:w="687"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硕士</w:t>
            </w:r>
          </w:p>
        </w:tc>
        <w:tc>
          <w:tcPr>
            <w:tcW w:w="78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讲师</w:t>
            </w:r>
          </w:p>
        </w:tc>
        <w:tc>
          <w:tcPr>
            <w:tcW w:w="95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518352809</w:t>
            </w:r>
          </w:p>
        </w:tc>
      </w:tr>
    </w:tbl>
    <w:p>
      <w:pPr>
        <w:pStyle w:val="7"/>
        <w:ind w:firstLine="480"/>
      </w:pPr>
      <w:r>
        <w:t>4. 实习基地</w:t>
      </w:r>
    </w:p>
    <w:p>
      <w:pPr>
        <w:ind w:firstLine="480"/>
      </w:pPr>
      <w:r>
        <w:t>本专业与高密市、莒南县、平邑县、岱岳区等4地自然资源局和山东省煤田地质局第三勘探队签订协议，建立了校外教学实习基地。校外教学基地均备有指导教师，为学生的专业课实习及毕业实习提供了良好的场所、创造了良好的条件。配合地质学、土地规划学、土地资源调查、土地整治、遥感等课程，本专业还建野外实习路线，包括济南、肥城、黄前等10余条教学实习路线。每年带学生实地考察地质、地形、土壤、土地利用、土地整治、土地规划等情况，深化课堂教学内容。除此之外，与10余家山东省土地整治公司、土地测绘公司、土地评估公司、地理信息公司等建立了良好的合作关系。</w:t>
      </w:r>
    </w:p>
    <w:p>
      <w:pPr>
        <w:pStyle w:val="7"/>
        <w:ind w:firstLine="480"/>
      </w:pPr>
      <w:r>
        <w:t>5. 现代教学技术应用</w:t>
      </w:r>
    </w:p>
    <w:p>
      <w:pPr>
        <w:ind w:firstLine="480"/>
      </w:pPr>
      <w:r>
        <w:t>本专业重视现代教学技术应用，鼓励老师应用多媒体、网络、微信平台、短信平台、QQ平台、雨课堂、慕课(MOOC)等方式进行教学。</w:t>
      </w:r>
    </w:p>
    <w:p>
      <w:pPr>
        <w:ind w:firstLine="480"/>
      </w:pPr>
      <w:r>
        <w:t>目前本专业90%以上课程采用多媒体教学。为了提高教学效果，要求教师认真准备多媒体课件，内容丰富，图文并茂，格式活泼，提高学生学习的积极性和热情。</w:t>
      </w:r>
    </w:p>
    <w:p>
      <w:pPr>
        <w:ind w:firstLine="480"/>
      </w:pPr>
      <w:r>
        <w:t>随着微信、QQ平台的应用，鼓励教师采用现代网络平台开展教学，将课程大纲、教学内容上传到平台，并与学生开展互动，及时解决学生学习中遇到的问题。鼓励老师们开展慕课(MOOC)、雨课堂建设，目前《不动产估价》幕课已建设上线。</w:t>
      </w:r>
    </w:p>
    <w:p>
      <w:pPr>
        <w:pStyle w:val="5"/>
        <w:spacing w:before="93" w:after="93"/>
        <w:ind w:firstLine="560"/>
      </w:pPr>
      <w:r>
        <w:t>四、培养机制与特色（产学研协同育人机制、合作办学、教学管理等）</w:t>
      </w:r>
    </w:p>
    <w:p>
      <w:pPr>
        <w:pStyle w:val="7"/>
        <w:ind w:firstLine="480"/>
      </w:pPr>
      <w:r>
        <w:t>1. 产学研协同育人机制</w:t>
      </w:r>
    </w:p>
    <w:p>
      <w:pPr>
        <w:ind w:firstLine="480"/>
      </w:pPr>
      <w:r>
        <w:t>本专业借助广泛的社会资源、优良的教学条件、老师的科研课题及国家、学校大学生研究训练项目开展产学研协同育人机制。带领学生到校外教学基地、有关公司考察实习，推荐学生利用节假日去实习。邀请省自然资源厅、市县自然资源局及公司等人员到学校为学生讲授国家有关土地政策、自然资源部门开展的工作及对学生的业务要求等，提高学生对未来工作的认识。专业老师承担了国家级、省部级及各级自然部门的课题和项目，部分学生参与到课题中；老师也将课题研究进展带进课堂，既丰富了教学内容，又提高了学生的学习兴趣。部分同学还申请了国家及学校大学生研究训练课题等，通过课题研究，提高了研究创新能力。</w:t>
      </w:r>
    </w:p>
    <w:p>
      <w:pPr>
        <w:pStyle w:val="7"/>
        <w:ind w:firstLine="480"/>
      </w:pPr>
      <w:r>
        <w:t>2. 合作办学</w:t>
      </w:r>
    </w:p>
    <w:p>
      <w:pPr>
        <w:ind w:firstLine="480"/>
      </w:pPr>
      <w:r>
        <w:t>土地资源管理（中英合作）专业人才培养目标和方案紧扣国际行业需要。本项目培养的学生不仅能掌握和普通土地资源管理专业学生一样的专业知识，毕业后考研、出国、就业，而且了解国际及国内房地产商务环境、掌握市场规律，能从事房地产与土地经营、投资、评估和管理等工作，具有国际视野，能满足当前社会对于国际型土地资源管理、房地产经营管理人才的需求。</w:t>
      </w:r>
    </w:p>
    <w:p>
      <w:pPr>
        <w:ind w:firstLine="480"/>
      </w:pPr>
      <w:r>
        <w:t>除中外合作办学，本专业还与自然资源部门、有关公司联合办学，相互考察学习，部门、公司人员也经常到学校为学生上课、做报告，取得了良好的合作办学效果。</w:t>
      </w:r>
    </w:p>
    <w:p>
      <w:pPr>
        <w:pStyle w:val="7"/>
        <w:ind w:firstLine="480"/>
      </w:pPr>
      <w:r>
        <w:t>3. 加强英语教学</w:t>
      </w:r>
    </w:p>
    <w:p>
      <w:pPr>
        <w:ind w:firstLine="480"/>
      </w:pPr>
      <w:r>
        <w:t>强化英语教学，学生英语应用能力显著提高。根据双方共同制定的教学计划，新生入学后第一学年主要进行英语强化学习，使学生能熟练掌握并运用英语来学习英方课程打好基础，为此，我们首先在教学资源上实行了优化配置，英语师资向本专业适当倾斜，从校内选派有留学经历或获得相应英语讲课竞赛奖项的英语教师授课，二是推行小班教学，加强英语口语表达练习，提高课堂效果。对2020级及其以前的学生，第一学年的最后四周，由英方派教师到学校给学生做口语和听力强化训练，然后进行英语水平考试（难度相当于雅思6.0）；对2021级及其以后的双学位学生，尤其强调英语学习和水平，会在每年的6月底或7月初安排类似于雅思6.5难度的学术英语考试，在今年2021级的考试中，通过率为100%。</w:t>
      </w:r>
    </w:p>
    <w:p>
      <w:pPr>
        <w:pStyle w:val="5"/>
        <w:spacing w:before="93" w:after="93"/>
        <w:ind w:firstLine="560"/>
      </w:pPr>
      <w:r>
        <w:t>五、培养质量（毕业生就业率、就业专业对口率、毕业生发展情况、就业单位满意率、社会对专业的评价、学生就读该专业的意愿等）</w:t>
      </w:r>
    </w:p>
    <w:p>
      <w:pPr>
        <w:pStyle w:val="7"/>
        <w:ind w:firstLine="480"/>
      </w:pPr>
      <w:r>
        <w:t>1. 毕业生就业率</w:t>
      </w:r>
    </w:p>
    <w:p>
      <w:pPr>
        <w:pageBreakBefore w:val="0"/>
        <w:widowControl w:val="0"/>
        <w:kinsoku/>
        <w:wordWrap/>
        <w:overflowPunct/>
        <w:topLinePunct w:val="0"/>
        <w:autoSpaceDE/>
        <w:autoSpaceDN/>
        <w:bidi w:val="0"/>
        <w:adjustRightInd/>
        <w:snapToGrid/>
        <w:spacing w:line="390" w:lineRule="exact"/>
        <w:ind w:firstLine="480"/>
        <w:textAlignment w:val="auto"/>
      </w:pPr>
      <w:r>
        <w:t>2022年，</w:t>
      </w:r>
      <w:r>
        <w:rPr>
          <w:spacing w:val="-6"/>
        </w:rPr>
        <w:t>中英土地资源管理专业毕业总体就业率为91.55%，</w:t>
      </w:r>
      <w:r>
        <w:t>比往年同期有所下降。</w:t>
      </w:r>
    </w:p>
    <w:p>
      <w:pPr>
        <w:pageBreakBefore w:val="0"/>
        <w:widowControl w:val="0"/>
        <w:kinsoku/>
        <w:wordWrap/>
        <w:overflowPunct/>
        <w:topLinePunct w:val="0"/>
        <w:autoSpaceDE/>
        <w:autoSpaceDN/>
        <w:bidi w:val="0"/>
        <w:adjustRightInd/>
        <w:snapToGrid/>
        <w:spacing w:line="390" w:lineRule="exact"/>
        <w:ind w:firstLine="480"/>
        <w:textAlignment w:val="auto"/>
      </w:pPr>
      <w:r>
        <w:t>其中，41.55%的同学考取研究生和出国深造，34%左右到有关土地公司工作，其余学生考取公务员、事业编、村官、创业等不同形式。近年来，由于公务员、事业编制考试时间滞后，当年毕业即考取的学生较少。有的学生毕业后半年考取，有的可能第二年考取，最终自然资源部门工作的学生能占到同级同学的35%左右。随着国家机构改革，公务员、事业编名额减少，学生要逐步转变观念，到公司、企业等单位就业。</w:t>
      </w:r>
    </w:p>
    <w:p>
      <w:pPr>
        <w:pStyle w:val="7"/>
        <w:pageBreakBefore w:val="0"/>
        <w:widowControl w:val="0"/>
        <w:kinsoku/>
        <w:wordWrap/>
        <w:overflowPunct/>
        <w:topLinePunct w:val="0"/>
        <w:autoSpaceDE/>
        <w:autoSpaceDN/>
        <w:bidi w:val="0"/>
        <w:adjustRightInd/>
        <w:snapToGrid/>
        <w:spacing w:line="390" w:lineRule="exact"/>
        <w:ind w:firstLine="480"/>
        <w:textAlignment w:val="auto"/>
      </w:pPr>
      <w:r>
        <w:t>2. 就业专业对口率</w:t>
      </w:r>
    </w:p>
    <w:p>
      <w:pPr>
        <w:pageBreakBefore w:val="0"/>
        <w:widowControl w:val="0"/>
        <w:kinsoku/>
        <w:wordWrap/>
        <w:overflowPunct/>
        <w:topLinePunct w:val="0"/>
        <w:autoSpaceDE/>
        <w:autoSpaceDN/>
        <w:bidi w:val="0"/>
        <w:adjustRightInd/>
        <w:snapToGrid/>
        <w:spacing w:line="390" w:lineRule="exact"/>
        <w:ind w:firstLine="480"/>
        <w:textAlignment w:val="auto"/>
      </w:pPr>
      <w:r>
        <w:t>2022年本专业就业对口率为63.21%。</w:t>
      </w:r>
    </w:p>
    <w:p>
      <w:pPr>
        <w:pageBreakBefore w:val="0"/>
        <w:widowControl w:val="0"/>
        <w:kinsoku/>
        <w:wordWrap/>
        <w:overflowPunct/>
        <w:topLinePunct w:val="0"/>
        <w:autoSpaceDE/>
        <w:autoSpaceDN/>
        <w:bidi w:val="0"/>
        <w:adjustRightInd/>
        <w:snapToGrid/>
        <w:spacing w:line="390" w:lineRule="exact"/>
        <w:ind w:firstLine="480"/>
        <w:textAlignment w:val="auto"/>
      </w:pPr>
      <w:r>
        <w:t>近年来本专业学生毕业后60%以上从事了有关土地资源管理的工作。有的同学毕业后考取了国内或国外的研究生，有的直接到自然资源部门工作，有的到了有关土地公司工作，最终从事与土地或房地产有关的科研和实践工作。同学们基本上把学到的专业知识应用到工作中。其余同学通过考公务员、事业编、大学生村官、选调生等到政府部门、农村基层等工作，虽然不是直接从事土地业务，但大多与土地资源管理有一定联系，专业知识在日常工作中也发挥了一定作用。</w:t>
      </w:r>
    </w:p>
    <w:p>
      <w:pPr>
        <w:pStyle w:val="7"/>
        <w:pageBreakBefore w:val="0"/>
        <w:widowControl w:val="0"/>
        <w:kinsoku/>
        <w:wordWrap/>
        <w:overflowPunct/>
        <w:topLinePunct w:val="0"/>
        <w:autoSpaceDE/>
        <w:autoSpaceDN/>
        <w:bidi w:val="0"/>
        <w:adjustRightInd/>
        <w:snapToGrid/>
        <w:spacing w:line="390" w:lineRule="exact"/>
        <w:ind w:firstLine="480"/>
        <w:textAlignment w:val="auto"/>
      </w:pPr>
      <w:r>
        <w:t>3. 毕业生发展情况</w:t>
      </w:r>
    </w:p>
    <w:p>
      <w:pPr>
        <w:pageBreakBefore w:val="0"/>
        <w:widowControl w:val="0"/>
        <w:kinsoku/>
        <w:wordWrap/>
        <w:overflowPunct/>
        <w:topLinePunct w:val="0"/>
        <w:autoSpaceDE/>
        <w:autoSpaceDN/>
        <w:bidi w:val="0"/>
        <w:adjustRightInd/>
        <w:snapToGrid/>
        <w:spacing w:line="390" w:lineRule="exact"/>
        <w:ind w:firstLine="480"/>
        <w:textAlignment w:val="auto"/>
      </w:pPr>
      <w:r>
        <w:t>2022年本专业有142名同学毕业，其中考研51人，出国留学8人，协议就业10人，其他录用形式61人。</w:t>
      </w:r>
    </w:p>
    <w:p>
      <w:pPr>
        <w:pageBreakBefore w:val="0"/>
        <w:widowControl w:val="0"/>
        <w:kinsoku/>
        <w:wordWrap/>
        <w:overflowPunct/>
        <w:topLinePunct w:val="0"/>
        <w:autoSpaceDE/>
        <w:autoSpaceDN/>
        <w:bidi w:val="0"/>
        <w:adjustRightInd/>
        <w:snapToGrid/>
        <w:spacing w:line="390" w:lineRule="exact"/>
        <w:ind w:firstLine="480"/>
        <w:textAlignment w:val="auto"/>
      </w:pPr>
      <w:r>
        <w:t>本专业学生基于在学校打下的良好业务基础和综合素质，毕业后发展良好。自然资源局的毕业生参加工作一般从科员做起，经过几年锻炼，基本成为单位规划科、地籍科、评估中心、整治中心等业务部门的骨干，有的发展为部门领导或局领导。攻读硕士研究生的同学，有的研究生毕业后继续读博，有的参加工作，都有了更好的起点，最终到有关大学、科研院所、自然资源部、省自然资源厅及市县自然资源局工作，均成为业务骨干或领导。而到有关土地公司工作的，几年之后基本成为业务经理。有的具有一定积累和经验后，自己创业，取得了较好的成绩。</w:t>
      </w:r>
    </w:p>
    <w:p>
      <w:pPr>
        <w:pStyle w:val="7"/>
        <w:pageBreakBefore w:val="0"/>
        <w:widowControl w:val="0"/>
        <w:kinsoku/>
        <w:wordWrap/>
        <w:overflowPunct/>
        <w:topLinePunct w:val="0"/>
        <w:autoSpaceDE/>
        <w:autoSpaceDN/>
        <w:bidi w:val="0"/>
        <w:adjustRightInd/>
        <w:snapToGrid/>
        <w:spacing w:line="390" w:lineRule="exact"/>
        <w:ind w:firstLine="480"/>
        <w:textAlignment w:val="auto"/>
      </w:pPr>
      <w:r>
        <w:t>4. 就业单位满意率</w:t>
      </w:r>
    </w:p>
    <w:p>
      <w:pPr>
        <w:pageBreakBefore w:val="0"/>
        <w:widowControl w:val="0"/>
        <w:kinsoku/>
        <w:wordWrap/>
        <w:overflowPunct/>
        <w:topLinePunct w:val="0"/>
        <w:autoSpaceDE/>
        <w:autoSpaceDN/>
        <w:bidi w:val="0"/>
        <w:adjustRightInd/>
        <w:snapToGrid/>
        <w:spacing w:line="390" w:lineRule="exact"/>
        <w:ind w:firstLine="482"/>
        <w:textAlignment w:val="auto"/>
      </w:pPr>
      <w:r>
        <w:t>2022年就业单位满意率为100%。</w:t>
      </w:r>
    </w:p>
    <w:p>
      <w:pPr>
        <w:pageBreakBefore w:val="0"/>
        <w:widowControl w:val="0"/>
        <w:kinsoku/>
        <w:wordWrap/>
        <w:overflowPunct/>
        <w:topLinePunct w:val="0"/>
        <w:autoSpaceDE/>
        <w:autoSpaceDN/>
        <w:bidi w:val="0"/>
        <w:adjustRightInd/>
        <w:snapToGrid/>
        <w:spacing w:line="390" w:lineRule="exact"/>
        <w:ind w:firstLine="482"/>
        <w:textAlignment w:val="auto"/>
      </w:pPr>
      <w:r>
        <w:t>本专业学生就业去向主要为攻读研究生、出国留学、自然资源局和土地有关公司等。由于学生在大学期间掌握了较扎实的理论知识，硬件、软件进行了较多的实践操作，总体业务能力较强。有关大学对我专业考取的研究生认为基础理论掌握较好，有一定的研究能力，能较快地进入研究角色。自然资源局对我专业学生评价较高，学生到自然资源局参加工作后，很快适应工作，几个月就能较好地独立开展工作。而有关公司认为大部分学生较快地开展技术工作，有的学生半年后就能独自承担项目，有的学生二、三年即成为公司中层干部。因此，有关单位对我专业学生总体满意。</w:t>
      </w:r>
    </w:p>
    <w:p>
      <w:pPr>
        <w:pStyle w:val="7"/>
        <w:pageBreakBefore w:val="0"/>
        <w:widowControl w:val="0"/>
        <w:kinsoku/>
        <w:wordWrap/>
        <w:overflowPunct/>
        <w:topLinePunct w:val="0"/>
        <w:autoSpaceDE/>
        <w:autoSpaceDN/>
        <w:bidi w:val="0"/>
        <w:adjustRightInd/>
        <w:snapToGrid/>
        <w:spacing w:line="390" w:lineRule="exact"/>
        <w:ind w:firstLine="482"/>
        <w:textAlignment w:val="auto"/>
      </w:pPr>
      <w:r>
        <w:t>5. 社会对专业的评价</w:t>
      </w:r>
    </w:p>
    <w:p>
      <w:pPr>
        <w:pageBreakBefore w:val="0"/>
        <w:widowControl w:val="0"/>
        <w:kinsoku/>
        <w:wordWrap/>
        <w:overflowPunct/>
        <w:topLinePunct w:val="0"/>
        <w:autoSpaceDE/>
        <w:autoSpaceDN/>
        <w:bidi w:val="0"/>
        <w:adjustRightInd/>
        <w:snapToGrid/>
        <w:spacing w:line="390" w:lineRule="exact"/>
        <w:ind w:firstLine="482"/>
        <w:textAlignment w:val="auto"/>
      </w:pPr>
      <w:r>
        <w:t>2022年社会对专业的评价为100%。</w:t>
      </w:r>
    </w:p>
    <w:p>
      <w:pPr>
        <w:pageBreakBefore w:val="0"/>
        <w:widowControl w:val="0"/>
        <w:kinsoku/>
        <w:wordWrap/>
        <w:overflowPunct/>
        <w:topLinePunct w:val="0"/>
        <w:autoSpaceDE/>
        <w:autoSpaceDN/>
        <w:bidi w:val="0"/>
        <w:adjustRightInd/>
        <w:snapToGrid/>
        <w:spacing w:line="390" w:lineRule="exact"/>
        <w:ind w:firstLine="482"/>
        <w:textAlignment w:val="auto"/>
      </w:pPr>
      <w:r>
        <w:t>该专业自2013年开始招生以来，社会接受度和欢迎度持续较高，每年报名火爆，但为保证教学培养质量，招生规模稳中略升。共报到学生958名，其中2013级74人，2014级72人，2015级125人，2016级126人，2017级101人，2018级143人，2019级105人，2020级118人，2021级94人，2022级142人。通过合作办学，邀请外国专家讲学、作专题学术报告，中英双方交流频繁，激发了教师力求掌握最新学术动态、探讨学术问题的合作欲望，使他们活跃在国际学术舞台，进一步拓宽了视野，结交了国际朋友，扩展了我校的国际影响。</w:t>
      </w:r>
    </w:p>
    <w:p>
      <w:pPr>
        <w:pStyle w:val="7"/>
        <w:pageBreakBefore w:val="0"/>
        <w:widowControl w:val="0"/>
        <w:kinsoku/>
        <w:wordWrap/>
        <w:overflowPunct/>
        <w:topLinePunct w:val="0"/>
        <w:autoSpaceDE/>
        <w:autoSpaceDN/>
        <w:bidi w:val="0"/>
        <w:adjustRightInd/>
        <w:snapToGrid/>
        <w:spacing w:line="390" w:lineRule="exact"/>
        <w:ind w:firstLine="480"/>
        <w:textAlignment w:val="auto"/>
      </w:pPr>
      <w:r>
        <w:t>6. 学生就读该专业的意愿</w:t>
      </w:r>
    </w:p>
    <w:p>
      <w:pPr>
        <w:pageBreakBefore w:val="0"/>
        <w:widowControl w:val="0"/>
        <w:kinsoku/>
        <w:wordWrap/>
        <w:overflowPunct/>
        <w:topLinePunct w:val="0"/>
        <w:autoSpaceDE/>
        <w:autoSpaceDN/>
        <w:bidi w:val="0"/>
        <w:adjustRightInd/>
        <w:snapToGrid/>
        <w:spacing w:line="390" w:lineRule="exact"/>
        <w:ind w:firstLine="480"/>
        <w:textAlignment w:val="auto"/>
      </w:pPr>
      <w:r>
        <w:t>2022级土地资源管理(中英合作) 一次录取率为100%，报到率为99.16%。</w:t>
      </w:r>
    </w:p>
    <w:p>
      <w:pPr>
        <w:pageBreakBefore w:val="0"/>
        <w:widowControl w:val="0"/>
        <w:kinsoku/>
        <w:wordWrap/>
        <w:overflowPunct/>
        <w:topLinePunct w:val="0"/>
        <w:autoSpaceDE/>
        <w:autoSpaceDN/>
        <w:bidi w:val="0"/>
        <w:adjustRightInd/>
        <w:snapToGrid/>
        <w:spacing w:line="390" w:lineRule="exact"/>
        <w:ind w:firstLine="480"/>
        <w:textAlignment w:val="auto"/>
      </w:pPr>
      <w:r>
        <w:t>该专业培养出的人才既掌握土地资源调查与评价、土地规划与利用、房地产开发与经营等方面的现代化技术手段，又了解国际及国内房地产商务环境、掌握市场规律，是真正的复合型人才。因此，社会对该专业人才需要巨大，学生就业状况良好，学生对读该专业的意愿比较强，每年新生全部为第一志愿。</w:t>
      </w:r>
    </w:p>
    <w:p>
      <w:pPr>
        <w:pStyle w:val="5"/>
        <w:pageBreakBefore w:val="0"/>
        <w:widowControl w:val="0"/>
        <w:kinsoku/>
        <w:wordWrap/>
        <w:overflowPunct/>
        <w:topLinePunct w:val="0"/>
        <w:autoSpaceDE/>
        <w:autoSpaceDN/>
        <w:bidi w:val="0"/>
        <w:adjustRightInd/>
        <w:snapToGrid/>
        <w:spacing w:before="93" w:after="93" w:line="390" w:lineRule="exact"/>
        <w:ind w:firstLine="560"/>
        <w:textAlignment w:val="auto"/>
      </w:pPr>
      <w:r>
        <w:t>六、毕业生就业创业（创业情况、采取的措施、典型案例等）</w:t>
      </w:r>
    </w:p>
    <w:p>
      <w:pPr>
        <w:pageBreakBefore w:val="0"/>
        <w:widowControl w:val="0"/>
        <w:kinsoku/>
        <w:wordWrap/>
        <w:overflowPunct/>
        <w:topLinePunct w:val="0"/>
        <w:autoSpaceDE/>
        <w:autoSpaceDN/>
        <w:bidi w:val="0"/>
        <w:adjustRightInd/>
        <w:snapToGrid/>
        <w:spacing w:line="390" w:lineRule="exact"/>
        <w:ind w:firstLine="480"/>
        <w:textAlignment w:val="auto"/>
      </w:pPr>
      <w:r>
        <w:t>中英合作土地资源管理专业的学生能够掌握与普通土地资源管理专业相同的知识和技能，毕业后可考取国内相关专业研究生，也可在各级自然、城建、房地产、估价所、学校、科研部门以及相关领域从事土地调查评估、土地利用规划、土地整治、地籍管理、土地管理政策法规等工作。另外，该专业学生将具有较高的英语水平，掌握国际有关土地利用与管理和房地产经营商务等理论和技术，能从事土地管理、房地产与土地经营、投资、评估和管理等方面的国际工作。学生完成本科学业后，除可以像其他学院学生一样报考中国各高校相关专业的研究生外，如本人愿意，英语测试通过相关条件，还可以进入英国皇家农业大学攻读硕士学位（一年），也可攻读MBA（一年半）。同时，合作专业的学习经历、较高的英语水平也为申请英国其他大学、美国等西方国家的大学研究生增加竞争力。出国深造的学校有英国利物浦大学、曼彻斯特大学、墨尔本大学、爱丁堡大学、香港理工大学等多所国际知名高校；国内读研的学校有中国农业大学、南京农业大学、中科院地理所/遥感所、北京师范大学、中国矿业大学等许多知名高校。</w:t>
      </w:r>
    </w:p>
    <w:p>
      <w:pPr>
        <w:pStyle w:val="5"/>
        <w:pageBreakBefore w:val="0"/>
        <w:widowControl w:val="0"/>
        <w:kinsoku/>
        <w:wordWrap/>
        <w:overflowPunct/>
        <w:topLinePunct w:val="0"/>
        <w:autoSpaceDE/>
        <w:autoSpaceDN/>
        <w:bidi w:val="0"/>
        <w:adjustRightInd/>
        <w:snapToGrid/>
        <w:spacing w:before="93" w:after="93" w:line="390" w:lineRule="exact"/>
        <w:ind w:firstLine="560"/>
        <w:textAlignment w:val="auto"/>
      </w:pPr>
      <w:r>
        <w:t>七、专业发展趋势及建议</w:t>
      </w:r>
    </w:p>
    <w:p>
      <w:pPr>
        <w:pageBreakBefore w:val="0"/>
        <w:widowControl w:val="0"/>
        <w:kinsoku/>
        <w:wordWrap/>
        <w:overflowPunct/>
        <w:topLinePunct w:val="0"/>
        <w:autoSpaceDE/>
        <w:autoSpaceDN/>
        <w:bidi w:val="0"/>
        <w:adjustRightInd/>
        <w:snapToGrid/>
        <w:spacing w:line="390" w:lineRule="exact"/>
        <w:ind w:firstLine="480"/>
        <w:textAlignment w:val="auto"/>
      </w:pPr>
      <w:r>
        <w:t>我国人均土地资源少，正处于城镇化、社会经济快速发展时期，未来我国将进一步加强土地整治，实施不动产统一登记，定期开展自然资源调查、土地利用规划修编、城市土地集约利用评价、城镇基准地价评估等工作，对土地资源管理专业人才的需求依然旺盛；当前我国房地产业得到了快速发展、大型房地产企业已经进入英国、美国等国际房地产市场情况下，中英土地资源管理专业可为国家培养急需的土地资源管理、房地产等国际化复合型人才。因此本专业具有较广阔的发展前景。</w:t>
      </w:r>
    </w:p>
    <w:p>
      <w:pPr>
        <w:pageBreakBefore w:val="0"/>
        <w:widowControl w:val="0"/>
        <w:kinsoku/>
        <w:wordWrap/>
        <w:overflowPunct/>
        <w:topLinePunct w:val="0"/>
        <w:autoSpaceDE/>
        <w:autoSpaceDN/>
        <w:bidi w:val="0"/>
        <w:adjustRightInd/>
        <w:snapToGrid/>
        <w:spacing w:line="390" w:lineRule="exact"/>
        <w:ind w:firstLine="480"/>
        <w:textAlignment w:val="auto"/>
      </w:pPr>
      <w:r>
        <w:t>本专业理论性与实践性均较强。除了课堂上加强理论知识的传授、实验室进行操作训练，还要多与自然部门的业务工作联系，多为学生提供实践、实习的机会，以提高学生将来的就业能力和竞争力。另外，学校、学院应为学生提供更多的就业信息和渠道，提高就业水平。</w:t>
      </w:r>
    </w:p>
    <w:p>
      <w:pPr>
        <w:pStyle w:val="5"/>
        <w:pageBreakBefore w:val="0"/>
        <w:widowControl w:val="0"/>
        <w:kinsoku/>
        <w:wordWrap/>
        <w:overflowPunct/>
        <w:topLinePunct w:val="0"/>
        <w:autoSpaceDE/>
        <w:autoSpaceDN/>
        <w:bidi w:val="0"/>
        <w:adjustRightInd/>
        <w:snapToGrid/>
        <w:spacing w:before="93" w:after="93" w:line="390" w:lineRule="exact"/>
        <w:ind w:firstLine="560"/>
        <w:textAlignment w:val="auto"/>
      </w:pPr>
      <w:r>
        <w:t>八、存在的问题及拟采取的对策措施</w:t>
      </w:r>
    </w:p>
    <w:p>
      <w:pPr>
        <w:pStyle w:val="7"/>
        <w:pageBreakBefore w:val="0"/>
        <w:widowControl w:val="0"/>
        <w:kinsoku/>
        <w:wordWrap/>
        <w:overflowPunct/>
        <w:topLinePunct w:val="0"/>
        <w:autoSpaceDE/>
        <w:autoSpaceDN/>
        <w:bidi w:val="0"/>
        <w:adjustRightInd/>
        <w:snapToGrid/>
        <w:spacing w:line="390" w:lineRule="exact"/>
        <w:ind w:firstLine="480"/>
        <w:textAlignment w:val="auto"/>
      </w:pPr>
      <w:r>
        <w:t>1.师资合作和交流有待加强</w:t>
      </w:r>
    </w:p>
    <w:p>
      <w:pPr>
        <w:pageBreakBefore w:val="0"/>
        <w:widowControl w:val="0"/>
        <w:kinsoku/>
        <w:wordWrap/>
        <w:overflowPunct/>
        <w:topLinePunct w:val="0"/>
        <w:autoSpaceDE/>
        <w:autoSpaceDN/>
        <w:bidi w:val="0"/>
        <w:adjustRightInd/>
        <w:snapToGrid/>
        <w:spacing w:line="390" w:lineRule="exact"/>
        <w:ind w:firstLine="480"/>
        <w:textAlignment w:val="auto"/>
      </w:pPr>
      <w:r>
        <w:t>虽是中英合作专业，该专业学生的确也学习了两个专业相应的优势课程，但师资间相互合作和交流较少。应制定政策，提供机会，加强双方教师的交流和合作，推进双方相互了解和合作，更好地为中英土地资源管理专业的教学提供服务。</w:t>
      </w:r>
    </w:p>
    <w:p>
      <w:pPr>
        <w:pageBreakBefore w:val="0"/>
        <w:widowControl w:val="0"/>
        <w:kinsoku/>
        <w:wordWrap/>
        <w:overflowPunct/>
        <w:topLinePunct w:val="0"/>
        <w:autoSpaceDE/>
        <w:autoSpaceDN/>
        <w:bidi w:val="0"/>
        <w:adjustRightInd/>
        <w:snapToGrid/>
        <w:spacing w:line="390" w:lineRule="exact"/>
        <w:ind w:firstLine="480"/>
        <w:textAlignment w:val="auto"/>
        <w:rPr>
          <w:rFonts w:eastAsia="黑体"/>
        </w:rPr>
      </w:pPr>
      <w:r>
        <w:t>2.</w:t>
      </w:r>
      <w:r>
        <w:rPr>
          <w:rFonts w:eastAsia="黑体"/>
        </w:rPr>
        <w:t>中英双方知识体系之间的衔接、协调性不够</w:t>
      </w:r>
    </w:p>
    <w:p>
      <w:pPr>
        <w:pageBreakBefore w:val="0"/>
        <w:widowControl w:val="0"/>
        <w:kinsoku/>
        <w:wordWrap/>
        <w:overflowPunct/>
        <w:topLinePunct w:val="0"/>
        <w:autoSpaceDE/>
        <w:autoSpaceDN/>
        <w:bidi w:val="0"/>
        <w:adjustRightInd/>
        <w:snapToGrid/>
        <w:spacing w:line="390" w:lineRule="exact"/>
        <w:ind w:firstLine="480"/>
        <w:textAlignment w:val="auto"/>
        <w:rPr>
          <w:color w:val="000000" w:themeColor="text1"/>
          <w:szCs w:val="24"/>
          <w14:textFill>
            <w14:solidFill>
              <w14:schemeClr w14:val="tx1"/>
            </w14:solidFill>
          </w14:textFill>
        </w:rPr>
      </w:pPr>
      <w:r>
        <w:t>土地资源管理（中英合作）专业教学中，中英方教师应加强交流、互换课件，协调教学内容和重点，加强知识体系的衔接。</w:t>
      </w: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pPr>
      <w:bookmarkStart w:id="201" w:name="_Toc24961"/>
      <w:bookmarkStart w:id="202" w:name="_Toc11564"/>
      <w:bookmarkStart w:id="203" w:name="_Toc30695"/>
      <w:bookmarkStart w:id="204" w:name="_Toc22569"/>
      <w:bookmarkStart w:id="205" w:name="_Toc17952"/>
      <w:r>
        <w:rPr>
          <w:rFonts w:hint="eastAsia"/>
          <w:lang w:val="en-US"/>
        </w:rPr>
        <w:t>专业十六：</w:t>
      </w:r>
      <w: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instrText xml:space="preserve">ADDIN CNKISM.UserStyle</w:instrText>
      </w:r>
      <w:r>
        <w:fldChar w:fldCharType="end"/>
      </w:r>
      <w:bookmarkEnd w:id="201"/>
      <w:bookmarkEnd w:id="202"/>
      <w:bookmarkEnd w:id="203"/>
      <w:r>
        <w:t>生态学</w:t>
      </w:r>
      <w:bookmarkEnd w:id="204"/>
      <w:bookmarkEnd w:id="205"/>
    </w:p>
    <w:p>
      <w:pPr>
        <w:pStyle w:val="5"/>
        <w:spacing w:before="93" w:after="93"/>
        <w:ind w:firstLine="560"/>
      </w:pPr>
      <w:r>
        <w:t>一、培养目标与规格</w:t>
      </w:r>
    </w:p>
    <w:p>
      <w:pPr>
        <w:pStyle w:val="7"/>
        <w:ind w:firstLine="480"/>
      </w:pPr>
      <w:r>
        <w:t>1. 培养目标</w:t>
      </w:r>
    </w:p>
    <w:p>
      <w:pPr>
        <w:snapToGrid w:val="0"/>
        <w:ind w:firstLine="480"/>
      </w:pPr>
      <w:r>
        <w:t>本专业培养具备生态学的基本理论、基本知识和基本技能，能在林业、环保、工矿企业、高校、科研院所及规划设计部门从事生态学调查、生态环境监测与评价、生态工程规划与设计、城乡景观生态规划与管理、自然保护区规划与管理等教学科研、产业开发和行政管理等工作的应用型复合型高级专门人才。</w:t>
      </w:r>
    </w:p>
    <w:p>
      <w:pPr>
        <w:pStyle w:val="7"/>
        <w:ind w:firstLine="480"/>
      </w:pPr>
      <w:r>
        <w:t>2. 培养规格</w:t>
      </w:r>
    </w:p>
    <w:p>
      <w:pPr>
        <w:snapToGrid w:val="0"/>
        <w:ind w:firstLine="480"/>
      </w:pPr>
      <w:r>
        <w:t>（1）具备扎实的生物学、生态学、环境科学的基本理论、基本知识；</w:t>
      </w:r>
    </w:p>
    <w:p>
      <w:pPr>
        <w:snapToGrid w:val="0"/>
        <w:ind w:firstLine="480"/>
      </w:pPr>
      <w:r>
        <w:t xml:space="preserve">（2）具备自主学习能力、创新能力、团队协作能力、沟通交流能力、组织领导能力、适应社会发展需求能力和社会责任感； </w:t>
      </w:r>
    </w:p>
    <w:p>
      <w:pPr>
        <w:snapToGrid w:val="0"/>
        <w:ind w:firstLine="480"/>
      </w:pPr>
      <w:r>
        <w:t>（3）了解生态学学科理论前沿、应用前景和最新发展动态，以及熟悉生态工程规划设计、生态科技发展和产业开发趋势及动态；</w:t>
      </w:r>
    </w:p>
    <w:p>
      <w:pPr>
        <w:snapToGrid w:val="0"/>
        <w:ind w:firstLine="480"/>
      </w:pPr>
      <w:r>
        <w:t>（4）熟悉国家环境保护、自然资源合理利用、可持续发展、知识产权等有关政策和法规，分析并解决实际问题，具有一定的从事科学研究和实际工作能力；</w:t>
      </w:r>
    </w:p>
    <w:p>
      <w:pPr>
        <w:snapToGrid w:val="0"/>
        <w:ind w:firstLine="480"/>
      </w:pPr>
      <w:r>
        <w:t>（5）有较强的调查研究与决策、组织与管理、口头与文字表达能力，具有独立分析和解决问题的能力及获取知识、信息处理和创新的基本能力；</w:t>
      </w:r>
    </w:p>
    <w:p>
      <w:pPr>
        <w:snapToGrid w:val="0"/>
        <w:ind w:firstLine="480"/>
      </w:pPr>
      <w:r>
        <w:t>（6）能在科研机构、高等院校、企事业单位及行政管理部门等从事生态规划与管理、生态监测与评价、生态恢复、生态工程设计与施工、生态产业开发、生态环境咨询和知识传播等科研、教学和管理工作。</w:t>
      </w:r>
    </w:p>
    <w:p>
      <w:pPr>
        <w:pStyle w:val="5"/>
        <w:spacing w:before="93" w:after="93"/>
        <w:ind w:firstLine="560"/>
      </w:pPr>
      <w:r>
        <w:t>二、培养能力（专业基本情况、在校生规模、课程体系、创新创业教育等）</w:t>
      </w:r>
    </w:p>
    <w:p>
      <w:pPr>
        <w:pStyle w:val="7"/>
        <w:ind w:firstLine="480"/>
      </w:pPr>
      <w:r>
        <w:t>1. 专业基本情况</w:t>
      </w:r>
    </w:p>
    <w:p>
      <w:pPr>
        <w:snapToGrid w:val="0"/>
        <w:ind w:firstLine="480"/>
      </w:pPr>
      <w:r>
        <w:t>生态学本科专业2013年招生。生态学科2002年开始在作物生物学一级博士点下设农业生态学博士点；2006年在生物学以及博士点中下设生态学二级学科博士点；2011年调整为生态学一级学科博士点，下设植物生态学、农业生态学、污染生态学、林业生态工程和恢复生态学5个方向；2012年获批生态学博士后科研流动站。本专业已形成</w:t>
      </w:r>
      <w:r>
        <w:rPr>
          <w:rFonts w:hint="eastAsia"/>
        </w:rPr>
        <w:t>“</w:t>
      </w:r>
      <w:r>
        <w:t>本科-硕士-博士-博士后</w:t>
      </w:r>
      <w:r>
        <w:rPr>
          <w:rFonts w:hint="eastAsia"/>
        </w:rPr>
        <w:t>”</w:t>
      </w:r>
      <w:r>
        <w:t>四个层次健全的人才培养体系。</w:t>
      </w:r>
    </w:p>
    <w:p>
      <w:pPr>
        <w:snapToGrid w:val="0"/>
        <w:ind w:firstLine="480"/>
      </w:pPr>
      <w:r>
        <w:t>本专业基本学制为4年，学习年限为3-8年。按要求完成学业且符合学位授予条件者授予理学学士学位。</w:t>
      </w:r>
    </w:p>
    <w:p>
      <w:pPr>
        <w:pStyle w:val="7"/>
        <w:ind w:firstLine="480"/>
      </w:pPr>
      <w:r>
        <w:t>2. 在校生规模</w:t>
      </w:r>
    </w:p>
    <w:p>
      <w:pPr>
        <w:snapToGrid w:val="0"/>
        <w:ind w:firstLine="480"/>
      </w:pPr>
      <w:r>
        <w:t>本专业每年计划招生1个班，25-30人。截止2022年10月底，在校生人数89人</w:t>
      </w:r>
      <w:r>
        <w:rPr>
          <w:rFonts w:eastAsia="仿宋_GB2312"/>
          <w:szCs w:val="24"/>
        </w:rPr>
        <w:t>。</w:t>
      </w:r>
    </w:p>
    <w:p>
      <w:pPr>
        <w:pStyle w:val="7"/>
        <w:ind w:firstLine="480"/>
      </w:pPr>
      <w:r>
        <w:t>3. 课程体系</w:t>
      </w:r>
    </w:p>
    <w:p>
      <w:pPr>
        <w:snapToGrid w:val="0"/>
        <w:ind w:firstLine="480"/>
      </w:pPr>
      <w:r>
        <w:t>本专业课程体系包括通识必修课、通识选修课、学科基础课、专业核心课、专业分流课、专业拓展教育课和实践环节7个层次。</w:t>
      </w:r>
    </w:p>
    <w:p>
      <w:pPr>
        <w:snapToGrid w:val="0"/>
        <w:ind w:firstLine="480"/>
      </w:pPr>
      <w:r>
        <w:t>通识必修课：思想道德修养与法律基础、马克思主义基本原理、中国近现代史纲要、毛泽东思想和中国特色社会主义理论体系概论、大学英语B1-B4、大学生心理健康教育、形势与政策 1-2、计算机文化基础、计算机文化基础实验、普通体育课1-2。</w:t>
      </w:r>
    </w:p>
    <w:p>
      <w:pPr>
        <w:snapToGrid w:val="0"/>
        <w:ind w:firstLine="480"/>
      </w:pPr>
      <w:r>
        <w:t>通识选修课：计算机模块课程、体育模块课程、素质教育模块课程、创新创业模块课程。</w:t>
      </w:r>
    </w:p>
    <w:p>
      <w:pPr>
        <w:snapToGrid w:val="0"/>
        <w:ind w:firstLine="480"/>
      </w:pPr>
      <w:r>
        <w:t>学科基础课：高等数学C、线性代数、概率统计、无机及分析化学1、有机化学1-2、有机化学、基础化学实验1-2、生物化学B、植物生理学B、植物生理学实验B、3S技术基础、植物学、植物学实验、普通动物学B、普通动物学B、测量学B、分子生物学B、气象学、土壤学、生态学、树木学、生态试验设计与统计分析、计算机辅助设计（平面）。</w:t>
      </w:r>
    </w:p>
    <w:p>
      <w:pPr>
        <w:snapToGrid w:val="0"/>
        <w:ind w:firstLine="480"/>
      </w:pPr>
      <w:r>
        <w:t>专业核心课：污染生态学、保护生物学、生态工程学、景观生态学、应用生态学（含创新创业教育）、微生物生态学、生态工程规划、生态环境监测与评价。</w:t>
      </w:r>
    </w:p>
    <w:p>
      <w:pPr>
        <w:snapToGrid w:val="0"/>
        <w:ind w:firstLine="480"/>
      </w:pPr>
      <w:r>
        <w:t>专业分流课：城市生态学、恢复生态学、自然保护区规划与管理、生态毒理学、3S技术应用、全球生态学、湿地生态学、生物入侵及其防控、林火生态、环境生态学、生态学专业英语、生态经济学、生态旅游与管理、生态学研究方法、生态环境管理学。</w:t>
      </w:r>
    </w:p>
    <w:p>
      <w:pPr>
        <w:snapToGrid w:val="0"/>
        <w:ind w:firstLine="480"/>
      </w:pPr>
      <w:r>
        <w:t>专业拓展教育课：生态学专业研究进展、职业发展与就业创业指导课。</w:t>
      </w:r>
    </w:p>
    <w:p>
      <w:pPr>
        <w:snapToGrid w:val="0"/>
        <w:ind w:firstLine="480"/>
      </w:pPr>
      <w:r>
        <w:t>实践环节：包括基础实践、专业实践和综合实践，主要实践环节包括专业认知、土壤学教学实习、树木学教学实习、生态学综合教学实习1、生态工程学和生态环境监测与评价综合教学实习2、生态工程规划综合教学实习3、应用生态学综合教学实习4、创新创业实践、毕业（生产）实习及报告、毕业论文（设计）。</w:t>
      </w:r>
    </w:p>
    <w:p>
      <w:pPr>
        <w:snapToGrid w:val="0"/>
        <w:ind w:firstLine="480"/>
      </w:pPr>
      <w:r>
        <w:t>学分总体安排：（1）课程学分：课程共135.5学分，其中，必修课102.5学分，占课程总学分的75.6%；选修课33学分，占课程总学分的24.4%。（2）实践教学环节学分：总学分为34.5学分，占毕业总学分的20.3%。</w:t>
      </w:r>
    </w:p>
    <w:p>
      <w:pPr>
        <w:pStyle w:val="7"/>
        <w:ind w:firstLine="480"/>
      </w:pPr>
      <w:r>
        <w:t>4. 创新创业教育</w:t>
      </w:r>
    </w:p>
    <w:p>
      <w:pPr>
        <w:snapToGrid w:val="0"/>
        <w:ind w:firstLine="480"/>
      </w:pPr>
      <w:r>
        <w:t>生态学专业高度重视学生的创新创业教育，从入学伊始就加强专业方面的教育，指导学生认识和了解专业，熟悉学科的发展方向，以及在生态文明和美丽中国建设过程中的作用。每年通过开设创业指导课程加强创新创业方面的教育、培训与指导；从二年级开始，借助学校SRT项目、泰安市大学生创业项目、国家创新创业项目来拓展专业知识和实践能力，提升科学研究和创业技能。</w:t>
      </w:r>
    </w:p>
    <w:p>
      <w:pPr>
        <w:snapToGrid w:val="0"/>
        <w:ind w:firstLine="480"/>
      </w:pPr>
      <w:r>
        <w:t>本专业学生接受现代生态学、生态规划与恢复、生物多样性保护、环境监测与评价、生态工程规划与设计、生态环境管理等的基本训练，具有组织管理生物生产、科学研究、生态产业开发，以及独立获取知识和技能、分析解决生态环境相关问题的基本能力。</w:t>
      </w:r>
    </w:p>
    <w:p>
      <w:pPr>
        <w:pStyle w:val="5"/>
        <w:spacing w:before="93" w:after="93"/>
        <w:ind w:firstLine="560"/>
      </w:pPr>
      <w:r>
        <w:t>三、培养条件</w:t>
      </w:r>
    </w:p>
    <w:p>
      <w:pPr>
        <w:pStyle w:val="7"/>
        <w:ind w:firstLine="480"/>
      </w:pPr>
      <w:r>
        <w:t>1. 教学经费投入</w:t>
      </w:r>
    </w:p>
    <w:p>
      <w:pPr>
        <w:snapToGrid w:val="0"/>
        <w:ind w:firstLine="480"/>
      </w:pPr>
      <w:r>
        <w:t>本专业年均投入教学经费（主要用于教学日常运行、教学改革、课程建设费用、教材建设、专业建设、校内外实践实习、教学研讨、教学差旅、图书资料购置、学生活动及其他用于教学的费用等）共计28万元，生均经费3146元。</w:t>
      </w:r>
    </w:p>
    <w:p>
      <w:pPr>
        <w:pStyle w:val="7"/>
        <w:ind w:firstLine="480"/>
      </w:pPr>
      <w:r>
        <w:t>2. 教学设备</w:t>
      </w:r>
    </w:p>
    <w:p>
      <w:pPr>
        <w:snapToGrid w:val="0"/>
        <w:ind w:firstLine="480"/>
      </w:pPr>
      <w:r>
        <w:t>生态学专业拥有生态学、林业生态工程、生态工程规划设计等3个功能实验室，还有山东农业大学生态与环境重点实验室、泰山森林系统生态国家定位观测研究站等2个科技平台和山东省药乡林场山东农业大学大学生实习基地。此外学校拥有的作物生物学国家重点实验室、山东省土壤侵蚀与生态修复重点实验室等创新平台的资源也可为本专业人才培养提供平台支撑。本专业拥有三维激光扫描系统、地物光谱仪、总有机碳分析仪、连续流动分析仪、光合作用仪等各种大型仪器设备395件，总价值约1.5亿元。可以满足学生开展教学实习、科技创新、创新创业等的需求。</w:t>
      </w:r>
    </w:p>
    <w:p>
      <w:pPr>
        <w:pStyle w:val="7"/>
        <w:ind w:firstLine="480"/>
      </w:pPr>
      <w:r>
        <w:t>3. 教师队伍建设</w:t>
      </w:r>
    </w:p>
    <w:p>
      <w:pPr>
        <w:snapToGrid w:val="0"/>
        <w:ind w:firstLine="480"/>
      </w:pPr>
      <w:r>
        <w:t>师资队伍建设是学科、专业发展的关键。在专业建设中始终坚持人才优先发展战略，目前已形成了一支学缘结构、年龄结构、职称结构合理的高水平师资队伍。本专业现有专职教师13人，其中教授3人，副教授8人，讲师2人，全部拥有博士学位。13名教师中，博士生导师3人，硕士生导师11人。50岁以上教师3人，40-30岁教师1人，30-40岁教师9人，队伍具有高学历、年轻化、专业化的特点。</w:t>
      </w:r>
    </w:p>
    <w:p>
      <w:pPr>
        <w:pStyle w:val="7"/>
        <w:ind w:firstLine="480"/>
      </w:pPr>
      <w:r>
        <w:t>4. 校内外实践与实习基地</w:t>
      </w:r>
    </w:p>
    <w:p>
      <w:pPr>
        <w:snapToGrid w:val="0"/>
        <w:ind w:firstLine="480"/>
      </w:pPr>
      <w:r>
        <w:t>按照</w:t>
      </w:r>
      <w:r>
        <w:rPr>
          <w:rFonts w:hint="eastAsia"/>
        </w:rPr>
        <w:t>“</w:t>
      </w:r>
      <w:r>
        <w:t>校内功能实验室+校内实训基地+＋校外综合实践基地</w:t>
      </w:r>
      <w:r>
        <w:rPr>
          <w:rFonts w:hint="eastAsia"/>
        </w:rPr>
        <w:t>”</w:t>
      </w:r>
      <w:r>
        <w:t>的模式加强实践能力的培养。结合部分课程的实践教学周期长的特点，把部分试验与实践内容引入到日常生活中，优化提升了生态学教学资源；充分利用学院的校内林学站等校内实训基地，以及生态功能实验室，建立创新创业基地；积极拓展校外实践与实习基地建设工作，多渠道筹建和发展实践教学场所，建成了集教学、科研和生产示范为一体的校内外专业综合实践教学基地。</w:t>
      </w:r>
    </w:p>
    <w:p>
      <w:pPr>
        <w:snapToGrid w:val="0"/>
        <w:ind w:firstLine="480"/>
        <w:rPr>
          <w:color w:val="FF0000"/>
        </w:rPr>
      </w:pPr>
      <w:r>
        <w:t>（1）校内多功能功能实验室。充分利用现有的生态学、林业生态工程、生态工程规划设计等功能实验室，按照专业培养方案开展实验教学，并与学校SRT项目、泰安市大学生创业项目、国家创新创业项目实现有机结合，培养学生的创新理念，指导创业团队的创业过程，并及时总结，以典型团队的示范作用带动全体同学的创新创业能力的提升。</w:t>
      </w:r>
    </w:p>
    <w:p>
      <w:pPr>
        <w:snapToGrid w:val="0"/>
        <w:ind w:firstLine="480"/>
      </w:pPr>
      <w:r>
        <w:t>（2）校内实训基地。依托山东农业大学南校区林学试验站，建成多个高标准实验温室，并完善了水、电、路等设施；优化了试验站内的植物种植园，形成认知与试验一体的生态学试验基地。</w:t>
      </w:r>
    </w:p>
    <w:p>
      <w:pPr>
        <w:snapToGrid w:val="0"/>
        <w:ind w:firstLine="480"/>
      </w:pPr>
      <w:r>
        <w:t>（3）校外综合实习基地：主要有山东省药乡林场(泰山森林生态定位系统研究站)、泰山风景名胜区管理委员会山东省泰山省级自然保护区等地，对应培养方案中的相关课程，与实习单位建立了良好的合作关系，同时加大基地建设力度，配备了水文、土壤、气象和生物观测设施等，可满足综合实习需求。</w:t>
      </w:r>
    </w:p>
    <w:p>
      <w:pPr>
        <w:snapToGrid w:val="0"/>
        <w:ind w:firstLine="480"/>
        <w:rPr>
          <w:rFonts w:eastAsia="黑体"/>
          <w:szCs w:val="24"/>
        </w:rPr>
      </w:pPr>
      <w:r>
        <w:rPr>
          <w:rFonts w:eastAsia="黑体"/>
          <w:szCs w:val="24"/>
        </w:rPr>
        <w:t>5. 现代教学技术应用</w:t>
      </w:r>
    </w:p>
    <w:p>
      <w:pPr>
        <w:snapToGrid w:val="0"/>
        <w:ind w:firstLine="480"/>
      </w:pPr>
      <w:r>
        <w:t>生态学专业办学时间短，相关的现代教学技术运用，包括精品课程和案例库正在启动中。学校在精品课程建设过程中，根据课程特点及培育重点情况给予每门课程1-3万的资助费用。</w:t>
      </w:r>
    </w:p>
    <w:p>
      <w:pPr>
        <w:pStyle w:val="5"/>
        <w:spacing w:before="93" w:after="93"/>
        <w:ind w:firstLine="560"/>
      </w:pPr>
      <w:r>
        <w:t>四、培养机制与特色</w:t>
      </w:r>
    </w:p>
    <w:p>
      <w:pPr>
        <w:pStyle w:val="7"/>
        <w:ind w:firstLine="480"/>
      </w:pPr>
      <w:r>
        <w:t>1. 优化教学体系和方法</w:t>
      </w:r>
    </w:p>
    <w:p>
      <w:pPr>
        <w:snapToGrid w:val="0"/>
        <w:ind w:firstLine="480"/>
      </w:pPr>
      <w:r>
        <w:t>根据农业院校的特点和地域特征，对生态学课程内容进行相应调整，增加城市生态学、湿地生态学和恢复生态学相关研究内容。依托我校最大的特色学科是农业学科群，属于生命科学学科群的组成部分。为了让学生有更好的就业方向，生态学专业课程设置侧重生态环境类课程的设置，着力解决城市、农村生态破坏问题，走城镇生态环境保护的就业方向。另外，当前就业形势严峻，生态学专业本科生考研录取率相当高，增加生态环境类的课程内容，有利于将来学生科研水平的提升。生态环境类课程的性质要求学生接近自然，体验和感悟理论和实践的相结合之处，这与农业院校生态学专业办学思路相契合。因此，其在教学计划上运用生态学原理、环境经济学原理和系统分析论方法，研究生态系统、生物与周围环境之间关系。</w:t>
      </w:r>
    </w:p>
    <w:p>
      <w:pPr>
        <w:snapToGrid w:val="0"/>
        <w:ind w:firstLine="480"/>
        <w:rPr>
          <w:rFonts w:eastAsia="黑体"/>
          <w:color w:val="FF0000"/>
          <w:szCs w:val="24"/>
        </w:rPr>
      </w:pPr>
      <w:r>
        <w:t>对于不同的生态学专业课程，由于课程内容、体系和特点的不同，采用多样化的教学模式与教学手段。教学中提倡启发式教学方法，结合交互式教学模式、探究式教学模式和情景体验式教学模式等方法开展教学。</w:t>
      </w:r>
    </w:p>
    <w:p>
      <w:pPr>
        <w:pStyle w:val="7"/>
        <w:ind w:firstLine="480"/>
      </w:pPr>
      <w:r>
        <w:t>2. 强调学生实践能力的培养</w:t>
      </w:r>
    </w:p>
    <w:p>
      <w:pPr>
        <w:snapToGrid w:val="0"/>
        <w:ind w:firstLine="480"/>
      </w:pPr>
      <w:r>
        <w:t>生态学专业主要培养学生具备生态学专业扎实和宽厚的理论知识、系统的研究方向和坚实的实践技能，熟悉所从事研究方面的科学理论和技术的最新发展和动向。生态学专业本科生教育注重理论与实践的结合，侧重于应用实践型人才的培养。由于生态环境问题较复杂，这就需要通过实地调研、反复试验及综合分析才能得出有效的解决方案。在加强基础理论学习、拓宽基础平台的基础上，着力加强实践教学环节。依托学校、学院两级部门的优势，结合专业自身特点，建立学科与主管部门、行业、企业的多方联动机制，将市场对人才的需求作为根本，以人才培养为核心，改革人才培养模式，将人才培养置贯穿于教学、生产实践、创新研发和应用服务体系之中，推进产学研用协同育人机制，培养创新型、高素质、高技能的复合式人才。</w:t>
      </w:r>
    </w:p>
    <w:p>
      <w:pPr>
        <w:snapToGrid w:val="0"/>
        <w:spacing w:line="390" w:lineRule="exact"/>
        <w:ind w:firstLine="480"/>
      </w:pPr>
      <w:r>
        <w:t>结合市场发展，创新人才培养模式，从3年级开始注重培养学生的科研技能、动手技能、规划设计与方案编制、生态环境监测技能，同时专业教师积极主动联系相关对口单位，如山东京青农业科技有限公司、山东和正环保工程有限公司、长城梅地亚文化产业集团有限公司、威海泰和林业规划设计有限公司等，结合单位需求，选派专业技能高的学生到单位实习，实现生产、教学、创新研发、应用服务多项功能和目标。</w:t>
      </w:r>
    </w:p>
    <w:p>
      <w:pPr>
        <w:pStyle w:val="7"/>
        <w:spacing w:line="390" w:lineRule="exact"/>
        <w:ind w:firstLine="480"/>
      </w:pPr>
      <w:r>
        <w:t>3. 合作办学与联合培养</w:t>
      </w:r>
    </w:p>
    <w:p>
      <w:pPr>
        <w:snapToGrid w:val="0"/>
        <w:spacing w:line="390" w:lineRule="exact"/>
        <w:ind w:firstLine="480"/>
      </w:pPr>
      <w:r>
        <w:t>学院聘请了美国纽约州立大学、美国密西西比州立大学、美国农业部国家土壤侵蚀重点实验室、台湾屏东科技大学的教授或博士担任本院讲座或兼职教授，每年来我院进行为期20－30天的授课讲学；与美国密西西比州立大学、加拿大UBC大学相关学科达成了长期合作培养意向。除了选派学生外，借助于学院与美国普度大学、密西西比州立大学、等高等学府的交流合作，以及讲座教授的定期降雪，拓展了学生们的视野。</w:t>
      </w:r>
    </w:p>
    <w:p>
      <w:pPr>
        <w:pStyle w:val="7"/>
        <w:spacing w:line="390" w:lineRule="exact"/>
        <w:ind w:firstLine="482"/>
      </w:pPr>
      <w:r>
        <w:t>4. 教学管理</w:t>
      </w:r>
    </w:p>
    <w:p>
      <w:pPr>
        <w:snapToGrid w:val="0"/>
        <w:spacing w:line="390" w:lineRule="exact"/>
        <w:ind w:firstLine="482"/>
        <w:rPr>
          <w:rFonts w:eastAsia="黑体"/>
        </w:rPr>
      </w:pPr>
      <w:r>
        <w:rPr>
          <w:rFonts w:eastAsia="黑体"/>
        </w:rPr>
        <w:t>（1）教学计划统筹安排制度</w:t>
      </w:r>
    </w:p>
    <w:p>
      <w:pPr>
        <w:snapToGrid w:val="0"/>
        <w:spacing w:line="390" w:lineRule="exact"/>
        <w:ind w:firstLine="482"/>
      </w:pPr>
      <w:r>
        <w:t>根据本科人才培养方案和学校教务处安排，在上一学期期末即下达下一学期的教学计划，专业教师统一研讨，综合安排并上报每个教师的教学计划；新学期开学前一周，正式落实教学计划，各任课教师提交教学计划、教学日历和教案等工作。</w:t>
      </w:r>
    </w:p>
    <w:p>
      <w:pPr>
        <w:snapToGrid w:val="0"/>
        <w:spacing w:line="390" w:lineRule="exact"/>
        <w:ind w:firstLine="482"/>
        <w:rPr>
          <w:rFonts w:eastAsia="黑体"/>
        </w:rPr>
      </w:pPr>
      <w:r>
        <w:rPr>
          <w:rFonts w:eastAsia="黑体"/>
        </w:rPr>
        <w:t>（2）青年教师导师制</w:t>
      </w:r>
    </w:p>
    <w:p>
      <w:pPr>
        <w:snapToGrid w:val="0"/>
        <w:spacing w:line="390" w:lineRule="exact"/>
        <w:ind w:firstLine="482"/>
      </w:pPr>
      <w:r>
        <w:t>根据专业师资队伍建设情况，为发挥老教师的传帮带作用，每位有经验的老教师负责指导一位青年教师的教学活动，形成以老带新，以新促老的师资队伍帮扶体制。以此促进新进教师尽快熟悉业务。</w:t>
      </w:r>
    </w:p>
    <w:p>
      <w:pPr>
        <w:snapToGrid w:val="0"/>
        <w:spacing w:line="390" w:lineRule="exact"/>
        <w:ind w:firstLine="482"/>
        <w:rPr>
          <w:rFonts w:eastAsia="黑体"/>
        </w:rPr>
      </w:pPr>
      <w:r>
        <w:rPr>
          <w:rFonts w:eastAsia="黑体"/>
        </w:rPr>
        <w:t>（3）集体备课制度</w:t>
      </w:r>
    </w:p>
    <w:p>
      <w:pPr>
        <w:snapToGrid w:val="0"/>
        <w:spacing w:line="390" w:lineRule="exact"/>
        <w:ind w:firstLine="482"/>
      </w:pPr>
      <w:r>
        <w:t>全体专业教师每周安排2小时的时间，共同研讨和交流课程教学的内容、教学手段和方法等方面的经验与教训，形成各门课程之间的无缝对接，共同提高教学质量。</w:t>
      </w:r>
    </w:p>
    <w:p>
      <w:pPr>
        <w:snapToGrid w:val="0"/>
        <w:spacing w:line="390" w:lineRule="exact"/>
        <w:ind w:firstLine="482"/>
        <w:rPr>
          <w:rFonts w:eastAsia="黑体"/>
        </w:rPr>
      </w:pPr>
      <w:r>
        <w:rPr>
          <w:rFonts w:eastAsia="黑体"/>
        </w:rPr>
        <w:t>（4）听课与评课制度</w:t>
      </w:r>
    </w:p>
    <w:p>
      <w:pPr>
        <w:snapToGrid w:val="0"/>
        <w:spacing w:line="390" w:lineRule="exact"/>
        <w:ind w:firstLine="482"/>
      </w:pPr>
      <w:r>
        <w:t>每学期由校院两级督导，学院领导、系主任及专业主任组织多次随机听课。在期中教学检查时统一进行讲评，同时以系、院为单位进行评课，分析讲课过程中存在的问题与对策，提高每位教师的授课水平。</w:t>
      </w:r>
    </w:p>
    <w:p>
      <w:pPr>
        <w:snapToGrid w:val="0"/>
        <w:spacing w:line="390" w:lineRule="exact"/>
        <w:ind w:firstLine="482"/>
        <w:rPr>
          <w:rFonts w:eastAsia="黑体"/>
        </w:rPr>
      </w:pPr>
      <w:r>
        <w:rPr>
          <w:rFonts w:eastAsia="黑体"/>
        </w:rPr>
        <w:t>（5）教研活动</w:t>
      </w:r>
    </w:p>
    <w:p>
      <w:pPr>
        <w:snapToGrid w:val="0"/>
        <w:spacing w:line="390" w:lineRule="exact"/>
        <w:ind w:firstLine="482"/>
      </w:pPr>
      <w:r>
        <w:t>每年学院、学校定期组织青年教师比赛及优秀教学名师公开课观摩活动，要求每位教师积极参加观摩课，鼓励每位青年教师积极参与讲课比赛。通过讲课比赛和观摩教学活动，提升专业教师教学技能和授课水平。</w:t>
      </w:r>
    </w:p>
    <w:p>
      <w:pPr>
        <w:pStyle w:val="5"/>
        <w:spacing w:before="93" w:after="93"/>
        <w:ind w:firstLine="560"/>
      </w:pPr>
      <w:r>
        <w:t>五、培养质量</w:t>
      </w:r>
    </w:p>
    <w:p>
      <w:pPr>
        <w:pStyle w:val="7"/>
        <w:ind w:firstLine="480"/>
      </w:pPr>
      <w:r>
        <w:t>1. 毕业生就业率</w:t>
      </w:r>
    </w:p>
    <w:p>
      <w:pPr>
        <w:snapToGrid w:val="0"/>
        <w:ind w:firstLine="482"/>
      </w:pPr>
      <w:r>
        <w:t>生态学专业2022年毕业生51人，国内外考研升学29人，考研率56.7%；就业8人，毕业生去向落实率为72.55%。</w:t>
      </w:r>
    </w:p>
    <w:p>
      <w:pPr>
        <w:snapToGrid w:val="0"/>
        <w:ind w:firstLine="480"/>
        <w:rPr>
          <w:rFonts w:eastAsia="黑体"/>
          <w:szCs w:val="24"/>
        </w:rPr>
      </w:pPr>
      <w:r>
        <w:rPr>
          <w:rFonts w:eastAsia="黑体"/>
          <w:szCs w:val="24"/>
        </w:rPr>
        <w:t>2. 就业专业对口率</w:t>
      </w:r>
    </w:p>
    <w:p>
      <w:pPr>
        <w:snapToGrid w:val="0"/>
        <w:ind w:firstLine="480"/>
      </w:pPr>
      <w:r>
        <w:t>2022年毕业51人，对口专业考研率78.4%；省内外就业的8人中，集中于公务员、事业编、态环境类公司；总体上就业专业对口率（考研与行业从业者）为50%以上。</w:t>
      </w:r>
    </w:p>
    <w:p>
      <w:pPr>
        <w:snapToGrid w:val="0"/>
        <w:ind w:firstLine="480"/>
        <w:rPr>
          <w:rFonts w:eastAsia="黑体"/>
          <w:szCs w:val="24"/>
        </w:rPr>
      </w:pPr>
      <w:r>
        <w:rPr>
          <w:rFonts w:eastAsia="黑体"/>
          <w:szCs w:val="24"/>
        </w:rPr>
        <w:t>3. 毕业生发展情况与就业单位满意率</w:t>
      </w:r>
    </w:p>
    <w:p>
      <w:pPr>
        <w:snapToGrid w:val="0"/>
        <w:ind w:firstLine="480"/>
      </w:pPr>
      <w:r>
        <w:t>毕业生中考取研究生进入包括中国农业大学、南京林业大学、北京林业大学、山东农业大学等高校、科研院所深造。研究生入学以来，各高等院校与科研院所学位点反馈表明，学生的专业知识与团队合作状况良好，已有多家科研院所和高校向本专业争夺应届推免生。进入公司从事生态监测、生态技术服务和生态产品研发等从业者经过培训，一致受到用人单位的好评，有的已成为用人单位的技术骨干。公务员、事业编及其他从业者在基层工作，已开拓了自己的工作局面，取得了不错的成绩。整体上，各毕业生均在自己的岗位上学有所用，发展势头良好，就业单位满意率100%。</w:t>
      </w:r>
    </w:p>
    <w:p>
      <w:pPr>
        <w:snapToGrid w:val="0"/>
        <w:ind w:firstLine="480"/>
        <w:rPr>
          <w:rFonts w:eastAsia="黑体"/>
          <w:szCs w:val="24"/>
        </w:rPr>
      </w:pPr>
      <w:r>
        <w:rPr>
          <w:rFonts w:eastAsia="黑体"/>
          <w:szCs w:val="24"/>
        </w:rPr>
        <w:t>4. 社会对专业的评价</w:t>
      </w:r>
    </w:p>
    <w:p>
      <w:pPr>
        <w:snapToGrid w:val="0"/>
        <w:ind w:firstLine="480"/>
      </w:pPr>
      <w:r>
        <w:t>随着国家生态文明、美丽中国建设战略的实施，树立和践行绿水青山就是金山银山的理念，坚持节约资源和保护环境的基本国策不断深入人心。特别是习近平同志在党的十九大报告中</w:t>
      </w:r>
      <w:r>
        <w:rPr>
          <w:rFonts w:hint="eastAsia"/>
        </w:rPr>
        <w:t>“</w:t>
      </w:r>
      <w:r>
        <w:t>加快生态文明体制改革，建设美丽中国</w:t>
      </w:r>
      <w:r>
        <w:rPr>
          <w:rFonts w:hint="eastAsia"/>
        </w:rPr>
        <w:t>”</w:t>
      </w:r>
      <w:r>
        <w:t>部分明确指出，</w:t>
      </w:r>
      <w:r>
        <w:rPr>
          <w:rFonts w:hint="eastAsia"/>
        </w:rPr>
        <w:t>“</w:t>
      </w:r>
      <w:r>
        <w:t>我们要建设的现代化是人与自然和谐共生的现代化，既要创造更多物质财富和精神财富以满足人民日益增长的美好生活需要，也要提供更多优质生态产品以满足人民日益增长的优美生态环境需要。</w:t>
      </w:r>
      <w:r>
        <w:rPr>
          <w:rFonts w:hint="eastAsia"/>
        </w:rPr>
        <w:t>”</w:t>
      </w:r>
      <w:r>
        <w:t>进一步明确了推进绿色发展、着力解决突出环境问题、加大生态系统保护力度和改革生态环境监管体制四大举措，生态保护与生态建设受到高度重视，社会上对生态专业的认识更加深刻，作为一个关系国计民生的公益性专业，社会对本专业的认可率与满意率较高，可达95%以上。</w:t>
      </w:r>
    </w:p>
    <w:p>
      <w:pPr>
        <w:snapToGrid w:val="0"/>
        <w:ind w:firstLine="480"/>
        <w:rPr>
          <w:rFonts w:eastAsia="黑体"/>
          <w:szCs w:val="24"/>
        </w:rPr>
      </w:pPr>
      <w:r>
        <w:rPr>
          <w:rFonts w:eastAsia="黑体"/>
          <w:szCs w:val="24"/>
        </w:rPr>
        <w:t>5. 学生就读该专业的意愿</w:t>
      </w:r>
    </w:p>
    <w:p>
      <w:pPr>
        <w:snapToGrid w:val="0"/>
        <w:ind w:firstLine="480"/>
      </w:pPr>
      <w:r>
        <w:t>本专业近年来在市场需求方面发展势头迅猛，成为不少学生报考首选专业。在对2017年以来入学新生的调查中，学生就读本专业的意愿强烈，一志愿报考率占90%左右，报到率达到94.7%。总体来看，本专业保持人数稳定在1个班建制规模。2022年生态学专业以省外招生为主，计划招生25名，在对该级新生的入学教育中，所有新生均表现出对本专业的极大热情。随着生态文明建设的不断深入和绿色发展理念的普及，生态学专业的报考意愿必将逐年上升。</w:t>
      </w:r>
    </w:p>
    <w:p>
      <w:pPr>
        <w:pStyle w:val="5"/>
        <w:spacing w:before="93" w:after="93"/>
        <w:ind w:firstLine="560"/>
      </w:pPr>
      <w:r>
        <w:t>六、毕业生就业创业</w:t>
      </w:r>
    </w:p>
    <w:p>
      <w:pPr>
        <w:snapToGrid w:val="0"/>
        <w:ind w:firstLine="480"/>
        <w:rPr>
          <w:rFonts w:eastAsia="黑体"/>
          <w:szCs w:val="24"/>
        </w:rPr>
      </w:pPr>
      <w:r>
        <w:rPr>
          <w:rFonts w:eastAsia="黑体"/>
          <w:szCs w:val="24"/>
        </w:rPr>
        <w:t>1. 创业情况</w:t>
      </w:r>
    </w:p>
    <w:p>
      <w:pPr>
        <w:snapToGrid w:val="0"/>
        <w:ind w:firstLine="480"/>
      </w:pPr>
      <w:r>
        <w:t>学院为营造浓郁的创新创业氛围，先后举办</w:t>
      </w:r>
      <w:r>
        <w:rPr>
          <w:rFonts w:hint="eastAsia"/>
        </w:rPr>
        <w:t>“</w:t>
      </w:r>
      <w:r>
        <w:t>新思路</w:t>
      </w:r>
      <w:r>
        <w:rPr>
          <w:rFonts w:hint="eastAsia"/>
        </w:rPr>
        <w:t>”</w:t>
      </w:r>
      <w:r>
        <w:t>大学生创意大赛、创青春大赛、</w:t>
      </w:r>
      <w:r>
        <w:rPr>
          <w:rFonts w:hint="eastAsia"/>
        </w:rPr>
        <w:t>“</w:t>
      </w:r>
      <w:r>
        <w:t>学业规划设计大赛</w:t>
      </w:r>
      <w:r>
        <w:rPr>
          <w:rFonts w:hint="eastAsia"/>
        </w:rPr>
        <w:t>”</w:t>
      </w:r>
      <w:r>
        <w:t>，组建创新创业团队，高度重视大学生创业孵化基地建设，成立多个大学生创意的工作室，为大学生创新创业工作打造各类工作、宣传平台。</w:t>
      </w:r>
    </w:p>
    <w:p>
      <w:pPr>
        <w:snapToGrid w:val="0"/>
        <w:spacing w:line="390" w:lineRule="exact"/>
        <w:ind w:firstLine="480"/>
        <w:rPr>
          <w:rFonts w:eastAsia="黑体"/>
          <w:szCs w:val="24"/>
        </w:rPr>
      </w:pPr>
      <w:r>
        <w:rPr>
          <w:rFonts w:eastAsia="黑体"/>
          <w:szCs w:val="24"/>
        </w:rPr>
        <w:t>2. 采取的措施</w:t>
      </w:r>
    </w:p>
    <w:p>
      <w:pPr>
        <w:snapToGrid w:val="0"/>
        <w:spacing w:line="390" w:lineRule="exact"/>
        <w:ind w:firstLine="480"/>
      </w:pPr>
      <w:r>
        <w:t>鉴于国家提出的</w:t>
      </w:r>
      <w:r>
        <w:rPr>
          <w:rFonts w:hint="eastAsia"/>
        </w:rPr>
        <w:t>“</w:t>
      </w:r>
      <w:r>
        <w:t>大众创业、万众创新</w:t>
      </w:r>
      <w:r>
        <w:rPr>
          <w:rFonts w:hint="eastAsia"/>
        </w:rPr>
        <w:t>”</w:t>
      </w:r>
      <w:r>
        <w:t>理念，借助于学院平台，本专业拟进一步加强在创新创业方面的培训，提升学生的创新创业能力。</w:t>
      </w:r>
    </w:p>
    <w:p>
      <w:pPr>
        <w:snapToGrid w:val="0"/>
        <w:spacing w:line="390" w:lineRule="exact"/>
        <w:ind w:firstLine="480"/>
      </w:pPr>
      <w:r>
        <w:t>（1）结合林学院教工党员</w:t>
      </w:r>
      <w:r>
        <w:rPr>
          <w:rFonts w:hint="eastAsia"/>
        </w:rPr>
        <w:t>“</w:t>
      </w:r>
      <w:r>
        <w:t>五帮扶</w:t>
      </w:r>
      <w:r>
        <w:rPr>
          <w:rFonts w:hint="eastAsia"/>
        </w:rPr>
        <w:t>”</w:t>
      </w:r>
      <w:r>
        <w:t>活动与学校的创新人才培养方案，加强对专业拔尖大学生创新能力的帮扶，从学习、科研、实践等方面精心指导，个性化培养，使之成为创新型人才。</w:t>
      </w:r>
    </w:p>
    <w:p>
      <w:pPr>
        <w:snapToGrid w:val="0"/>
        <w:spacing w:line="390" w:lineRule="exact"/>
        <w:ind w:firstLine="480"/>
      </w:pPr>
      <w:r>
        <w:t>（2）结合林学院教工党员</w:t>
      </w:r>
      <w:r>
        <w:rPr>
          <w:rFonts w:hint="eastAsia"/>
        </w:rPr>
        <w:t>“</w:t>
      </w:r>
      <w:r>
        <w:t>五帮扶</w:t>
      </w:r>
      <w:r>
        <w:rPr>
          <w:rFonts w:hint="eastAsia"/>
        </w:rPr>
        <w:t>”</w:t>
      </w:r>
      <w:r>
        <w:t>活动，加强对富有创新精神和强烈创业意愿同学的帮扶，为学生创造良好的双创条件，在创业思路、核心技术、创业实践等方面加强指导，积极培养孵化，培养具有双创精神的大学生。</w:t>
      </w:r>
    </w:p>
    <w:p>
      <w:pPr>
        <w:snapToGrid w:val="0"/>
        <w:spacing w:line="390" w:lineRule="exact"/>
        <w:ind w:firstLine="480"/>
      </w:pPr>
      <w:r>
        <w:t>（3）在学校及学院的支持下，积极组织学生参加各类型专业竞赛，如全国大学生环境生态科技创新大赛，通过周密组织和指导，调动学生积极性，培养学生的创新精神。</w:t>
      </w:r>
    </w:p>
    <w:p>
      <w:pPr>
        <w:pStyle w:val="5"/>
        <w:spacing w:before="93" w:after="93" w:line="390" w:lineRule="exact"/>
        <w:ind w:firstLine="560"/>
      </w:pPr>
      <w:r>
        <w:t>七、专业人才社会需求分析及专业发展趋势分析</w:t>
      </w:r>
    </w:p>
    <w:p>
      <w:pPr>
        <w:snapToGrid w:val="0"/>
        <w:spacing w:line="390" w:lineRule="exact"/>
        <w:ind w:firstLine="480"/>
      </w:pPr>
      <w:r>
        <w:t>生态学专业是一门致力于社会公益与国家生态环境建设的专业。随着我国经济社会的发展，人民群众对良好生态环境的需求逐渐增长，对大气污染、水环境安全等环境问题也愈发关注。十八大以来，党和国家不断推进生态文明建设，在近期的十九大报告中也专门提出了</w:t>
      </w:r>
      <w:r>
        <w:rPr>
          <w:rFonts w:hint="eastAsia"/>
        </w:rPr>
        <w:t>“</w:t>
      </w:r>
      <w:r>
        <w:t>加快生态文明体制改革，建设美丽中国</w:t>
      </w:r>
      <w:r>
        <w:rPr>
          <w:rFonts w:hint="eastAsia"/>
        </w:rPr>
        <w:t>”</w:t>
      </w:r>
      <w:r>
        <w:t>的重要内容，在绿色发展、环境治理、生态系统保护和生态环境监管体制等方面做出了重要论述，这对于我国生态学科的发展具有重要的推进意义。面对国家发展和人民美好生活的需求，生态学专业发展和人才培养迎来了了新的机遇和挑战，相关职能部门和企事业单位对具有生态学专业背景的高层次人才的需求将稳步增加。</w:t>
      </w:r>
    </w:p>
    <w:p>
      <w:pPr>
        <w:snapToGrid w:val="0"/>
        <w:spacing w:line="390" w:lineRule="exact"/>
        <w:ind w:firstLine="480"/>
      </w:pPr>
      <w:r>
        <w:t>本专业紧紧依托生态学专业办学要求，围绕国家及山东省生态文明建设与生态经济发展需要，结合自身的相对优势，跟踪和把握学术前沿，注重创新与突破，加强交叉与融合，形成方向更加凝练、特色更加鲜明，优势更加突出的专业，培养具备生态学、生物学、环境科学学、生态环境管理等方面的知识，能在环境保护、林业、等部门从事生态修复、生态工程和生态环境管理等方面的</w:t>
      </w:r>
      <w:r>
        <w:rPr>
          <w:rFonts w:hint="eastAsia"/>
        </w:rPr>
        <w:t>“</w:t>
      </w:r>
      <w:r>
        <w:t>厚基础、宽口径、精专业、强能力、高素质、广适应</w:t>
      </w:r>
      <w:r>
        <w:rPr>
          <w:rFonts w:hint="eastAsia"/>
        </w:rPr>
        <w:t>”</w:t>
      </w:r>
      <w:r>
        <w:t>的规划、设计、施工及生态环境建设的高级技术人才。</w:t>
      </w:r>
    </w:p>
    <w:p>
      <w:pPr>
        <w:snapToGrid w:val="0"/>
        <w:spacing w:line="390" w:lineRule="exact"/>
        <w:ind w:firstLine="480"/>
      </w:pPr>
      <w:r>
        <w:t>本专业作为多学科综合和交叉性学科，其主要任务是解决我国及山东省在山地植被恢复与重建、湿地生态修复、人工林生态服务功能评价与精准提升、区域生态资源评估与合理开发利用等方面所提出的关键理论与技术问题，在生态环境建设、生态安全和生态资源开发与保护等方面有着宽广的研究和应用领域。</w:t>
      </w:r>
    </w:p>
    <w:p>
      <w:pPr>
        <w:pStyle w:val="5"/>
        <w:spacing w:before="93" w:after="93"/>
        <w:ind w:firstLine="560"/>
      </w:pPr>
      <w:r>
        <w:t>八、存在的问题及拟采取的对策措施</w:t>
      </w:r>
    </w:p>
    <w:p>
      <w:pPr>
        <w:snapToGrid w:val="0"/>
        <w:ind w:firstLine="480"/>
        <w:rPr>
          <w:rFonts w:eastAsia="黑体"/>
          <w:szCs w:val="24"/>
        </w:rPr>
      </w:pPr>
      <w:r>
        <w:rPr>
          <w:rFonts w:eastAsia="黑体"/>
          <w:szCs w:val="24"/>
        </w:rPr>
        <w:t>1. 存在问题</w:t>
      </w:r>
    </w:p>
    <w:p>
      <w:pPr>
        <w:snapToGrid w:val="0"/>
        <w:ind w:firstLine="480"/>
      </w:pPr>
      <w:r>
        <w:t>（1）在学校总体人才培养方案与模式体系下构建的学科人才培养方案缺乏灵活性，难以适应社会所需。人才培养方案需要进一步与社会需求、学生需求协调。</w:t>
      </w:r>
    </w:p>
    <w:p>
      <w:pPr>
        <w:snapToGrid w:val="0"/>
        <w:ind w:firstLine="480"/>
      </w:pPr>
      <w:r>
        <w:t>（2）高层次师资人才引进力度仍需加强。</w:t>
      </w:r>
    </w:p>
    <w:p>
      <w:pPr>
        <w:snapToGrid w:val="0"/>
        <w:ind w:firstLine="480"/>
      </w:pPr>
      <w:r>
        <w:t>（3）招生规模小，生源质量下降。</w:t>
      </w:r>
    </w:p>
    <w:p>
      <w:pPr>
        <w:snapToGrid w:val="0"/>
        <w:ind w:firstLine="480"/>
      </w:pPr>
      <w:r>
        <w:t>（4）教育资源紧缺，实验及实习平台建设经费不足，仪器配置不完备。</w:t>
      </w:r>
    </w:p>
    <w:p>
      <w:pPr>
        <w:snapToGrid w:val="0"/>
        <w:ind w:firstLine="480"/>
      </w:pPr>
      <w:r>
        <w:t>（5）对外合作办学渠道不足，需要大力开发。</w:t>
      </w:r>
    </w:p>
    <w:p>
      <w:pPr>
        <w:snapToGrid w:val="0"/>
        <w:ind w:firstLine="480"/>
      </w:pPr>
      <w:r>
        <w:t>（6）教学实践与实习基地初步建成，但整体数量和类型偏少，不能适应实践教学的新需求。</w:t>
      </w:r>
    </w:p>
    <w:p>
      <w:pPr>
        <w:snapToGrid w:val="0"/>
        <w:ind w:firstLine="480"/>
        <w:rPr>
          <w:rFonts w:eastAsia="黑体"/>
          <w:szCs w:val="24"/>
        </w:rPr>
      </w:pPr>
      <w:r>
        <w:rPr>
          <w:rFonts w:eastAsia="黑体"/>
          <w:szCs w:val="24"/>
        </w:rPr>
        <w:t>2. 拟采取的对策措施</w:t>
      </w:r>
    </w:p>
    <w:p>
      <w:pPr>
        <w:snapToGrid w:val="0"/>
        <w:ind w:firstLine="480"/>
      </w:pPr>
      <w:r>
        <w:t>（1）完善提升人才培养方案。根据新时期的人才需求，构建以</w:t>
      </w:r>
      <w:r>
        <w:rPr>
          <w:rFonts w:hint="eastAsia"/>
        </w:rPr>
        <w:t>“</w:t>
      </w:r>
      <w:r>
        <w:t>厚基础、宽口径、强能力、高素质、广适应</w:t>
      </w:r>
      <w:r>
        <w:rPr>
          <w:rFonts w:hint="eastAsia"/>
        </w:rPr>
        <w:t>”</w:t>
      </w:r>
      <w:r>
        <w:t>为原则，以生态建设的人才需求为导向，完善提升人才培养体系和模式，注重培养学生的生态文明意识、综合素质、创新精神和创业能力，夯实生物学、生态学和环境科学的专业技能。</w:t>
      </w:r>
    </w:p>
    <w:p>
      <w:pPr>
        <w:snapToGrid w:val="0"/>
        <w:ind w:firstLine="480"/>
      </w:pPr>
      <w:r>
        <w:t>（2）实施人才精准培养工程，扩大就业渠道和机会。根据市场和学生需求，设置多个方向人才培养模式，重点训练学生的理论和实践能力，强化学生的专业技能，保证学生学有所用、学有所能、学有所长，扩大就业渠道和机会，提高学生的专业就业对口率和就业的可持续性。</w:t>
      </w:r>
    </w:p>
    <w:p>
      <w:pPr>
        <w:snapToGrid w:val="0"/>
        <w:ind w:firstLine="480"/>
      </w:pPr>
      <w:r>
        <w:t>（3）加强师资引进。引进3-4名高层次人才，充实教师队伍，优化师资的学历、职称、年龄及学缘结构，建设一支高水平、高学历、数量足、治学严谨、教育观念新、创新意识强的师资队伍。</w:t>
      </w:r>
    </w:p>
    <w:p>
      <w:pPr>
        <w:snapToGrid w:val="0"/>
        <w:ind w:firstLine="480"/>
      </w:pPr>
      <w:r>
        <w:t>（4）扩大招生规模，提高生源质量。力争尽快恢复生态学专业在山东省内的招生计划，按照每年2个教学班，40-60人的规模招生。在高考前，利用学校和学院的平台广泛宣传，提高专业的知名度，吸引优秀生源报考。专业进入学院的合作办学与交流的计划，每年推荐2-4人国外攻读学位。</w:t>
      </w:r>
    </w:p>
    <w:p>
      <w:pPr>
        <w:snapToGrid w:val="0"/>
        <w:ind w:firstLine="480"/>
      </w:pPr>
      <w:r>
        <w:t>（5）积极争取校级、省级课题或项目，加快对本专业平台建设力度，稳定经费，添置仪器设备，为学生创造更为先进的实习、实验平台。</w:t>
      </w:r>
    </w:p>
    <w:p>
      <w:pPr>
        <w:snapToGrid w:val="0"/>
        <w:ind w:firstLine="480"/>
      </w:pPr>
      <w:r>
        <w:t>（6）争取院校两级支持，积极推进对外交流、联系与合作，争取更多的合作办学、交流访学机会，完善学分互认等机制，帮助和鼓励学生走出去。</w:t>
      </w:r>
    </w:p>
    <w:p>
      <w:pPr>
        <w:snapToGrid w:val="0"/>
        <w:ind w:firstLine="480"/>
      </w:pPr>
      <w:r>
        <w:t>（7）积极开展与企业、高校、科研院所、地方政府、行业部门的合作，注重单位和社会需求的新变化，开拓专业与学生的发展空间，提升实践教学效果。</w:t>
      </w:r>
    </w:p>
    <w:p>
      <w:pPr>
        <w:ind w:firstLine="480"/>
      </w:pP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pPr>
      <w:bookmarkStart w:id="206" w:name="_Toc22815"/>
      <w:bookmarkStart w:id="207" w:name="_Toc13027"/>
      <w:r>
        <w:t>专业</w:t>
      </w:r>
      <w:r>
        <w:rPr>
          <w:rFonts w:hint="eastAsia"/>
          <w:lang w:val="en-US"/>
        </w:rPr>
        <w:t>十七</w:t>
      </w:r>
      <w:r>
        <w:t>：木材科学与工程</w:t>
      </w:r>
      <w:bookmarkEnd w:id="206"/>
      <w:bookmarkEnd w:id="207"/>
    </w:p>
    <w:p>
      <w:pPr>
        <w:pStyle w:val="5"/>
        <w:spacing w:before="93" w:after="93"/>
        <w:ind w:firstLine="560"/>
      </w:pPr>
      <w:r>
        <w:t>一、培养目标与规格</w:t>
      </w:r>
    </w:p>
    <w:p>
      <w:pPr>
        <w:ind w:firstLine="480"/>
      </w:pPr>
      <w:r>
        <w:t>木材科学与工程专业培养的毕业生具备扎实的数学、物理、化学等基础理论知识，掌握生物质木材材料科学与工程、设计艺术学学科的基本理论、基本知识，掌握生物质材料物化性质分析方法及应用技术，掌握家居设计、造型艺术设计方法，具有生物质材料结构识别、复合材料制造、木制品及家具生产、林木产品性能检测、智能家居设计的基本能力，熟悉我国林业、生物质材料加工和家居制造业、环境保护的方针、政策和法规，了解国内外生物质材料科学与加工技术的理论前沿、应用前景及发展动态，掌握文献检索、资料查询的基本方法，具有一定的科学研究和实际工作能力，有较强的调查研究与决策、组织与管理、口头与文字表达能力，具有独立获取知识、信息处理和创新的基本能力，能胜任在</w:t>
      </w:r>
      <w:r>
        <w:rPr>
          <w:szCs w:val="24"/>
        </w:rPr>
        <w:t>科研院所、质监局、海关、林业局、家居企业等单位从事</w:t>
      </w:r>
      <w:r>
        <w:t>与本行业有关的教学、科研、技术开发与推广、经营管理工作，有创新、创造和敬业精神的应用型、复合型高素质专门人才。</w:t>
      </w:r>
    </w:p>
    <w:p>
      <w:pPr>
        <w:pStyle w:val="5"/>
        <w:spacing w:before="93" w:after="93"/>
        <w:ind w:firstLine="560"/>
      </w:pPr>
      <w:r>
        <w:t>二、培养能力</w:t>
      </w:r>
    </w:p>
    <w:p>
      <w:pPr>
        <w:pStyle w:val="7"/>
        <w:ind w:firstLine="480"/>
      </w:pPr>
      <w:r>
        <w:t>1. 专业基本情况</w:t>
      </w:r>
    </w:p>
    <w:p>
      <w:pPr>
        <w:snapToGrid w:val="0"/>
        <w:ind w:firstLine="480"/>
        <w:rPr>
          <w:szCs w:val="24"/>
        </w:rPr>
      </w:pPr>
      <w:r>
        <w:rPr>
          <w:szCs w:val="24"/>
        </w:rPr>
        <w:t>山东农业大学木材科学与工程专业始建于2006年，是目前山东省唯一的木材科学与工程专业。2012年，山东省林业厅与山东农业大学共建木材科学与工程学科，为该专业注入了新的活力。同年，依托该专业成立了山东省木材科学研究所。山东省木材工业工程技术中心和山东省人造板及家具质量检测站也正在筹建申报中。目前，该专业发展良好，社会需求旺盛，招生规模不断扩大，就业形势好（学生就业率100%）。</w:t>
      </w:r>
    </w:p>
    <w:p>
      <w:pPr>
        <w:pStyle w:val="7"/>
        <w:ind w:firstLine="480"/>
      </w:pPr>
      <w:r>
        <w:t>2. 在校生规模</w:t>
      </w:r>
    </w:p>
    <w:p>
      <w:pPr>
        <w:snapToGrid w:val="0"/>
        <w:ind w:firstLine="480"/>
        <w:rPr>
          <w:szCs w:val="24"/>
        </w:rPr>
      </w:pPr>
      <w:r>
        <w:rPr>
          <w:szCs w:val="24"/>
        </w:rPr>
        <w:t>本专业在2019级、2020级、2021级和2022级的在校本科生分别为35人、21人、20人和25人，共计101人。</w:t>
      </w:r>
    </w:p>
    <w:p>
      <w:pPr>
        <w:pStyle w:val="7"/>
        <w:ind w:firstLine="480"/>
      </w:pPr>
      <w:r>
        <w:t>3. 课程体系</w:t>
      </w:r>
    </w:p>
    <w:p>
      <w:pPr>
        <w:snapToGrid w:val="0"/>
        <w:ind w:firstLine="480"/>
        <w:rPr>
          <w:szCs w:val="24"/>
        </w:rPr>
      </w:pPr>
      <w:r>
        <w:rPr>
          <w:szCs w:val="24"/>
        </w:rPr>
        <w:t>专业分为生物质材料科学与工程、智能家居设计两个专业方向，要求学生掌握木质材料科学及其加工利用的专业知识；能根据材料性能和制品要求制定先进合理的技术工艺；解决材料利用中的工程、设备等方面的技术问题；掌握家居环境设计的基本原理、基本技能，能在材料工程、家居设计相关领域从事科学研究、生产技术管理﹑产品设计开发和市场营销等工作。</w:t>
      </w:r>
    </w:p>
    <w:p>
      <w:pPr>
        <w:snapToGrid w:val="0"/>
        <w:ind w:firstLine="480"/>
        <w:rPr>
          <w:szCs w:val="24"/>
        </w:rPr>
      </w:pPr>
      <w:r>
        <w:rPr>
          <w:szCs w:val="24"/>
        </w:rPr>
        <w:t>主要课程：</w:t>
      </w:r>
      <w:r>
        <w:t>木材学、胶粘剂与涂料、生物质复合材料学、生物质材料化学与改性、热工学、工程力学、家居及产品设计、机械设计制造基础、生物质材料切削原理与刀具、生物质制品生产工艺学、电工与电子技术、工程制图、人体工程学、造型原理、美学基础、计算机辅助设计</w:t>
      </w:r>
      <w:r>
        <w:rPr>
          <w:szCs w:val="24"/>
        </w:rPr>
        <w:t>、室内设计等。</w:t>
      </w:r>
    </w:p>
    <w:p>
      <w:pPr>
        <w:snapToGrid w:val="0"/>
        <w:spacing w:line="390" w:lineRule="exact"/>
        <w:ind w:firstLine="482"/>
        <w:rPr>
          <w:szCs w:val="24"/>
        </w:rPr>
      </w:pPr>
      <w:r>
        <w:rPr>
          <w:szCs w:val="24"/>
        </w:rPr>
        <w:t>主要实践环节：包括专业认识实习、专业课综合实习一（木制品制造工艺）、专业课综合实习二（材料制造工艺学或家居设计）、专业课综合实习三（制造装备）、专业课程设计、创业实践、毕业（生产）实习及报告、毕业论文（设计）等。</w:t>
      </w:r>
    </w:p>
    <w:p>
      <w:pPr>
        <w:pStyle w:val="7"/>
        <w:spacing w:line="390" w:lineRule="exact"/>
        <w:ind w:firstLine="482"/>
      </w:pPr>
      <w:r>
        <w:t>4. 创新创业教育</w:t>
      </w:r>
    </w:p>
    <w:p>
      <w:pPr>
        <w:snapToGrid w:val="0"/>
        <w:spacing w:line="390" w:lineRule="exact"/>
        <w:ind w:firstLine="482"/>
        <w:rPr>
          <w:szCs w:val="24"/>
        </w:rPr>
      </w:pPr>
      <w:r>
        <w:rPr>
          <w:szCs w:val="24"/>
        </w:rPr>
        <w:t>以创新创业为灵魂，以绿色、协调、创新、发展、共享为理念，借助产品设计、制造、销售载体，贯穿实验教学、实习教学、大学生研究训练（SRT）、木文化创业团队、木文化技能比赛、创业实践等环节，建设微型工厂化的实验室、成立公司制运行的创业团队、开展SRT项目、参加全国木文化技能大赛、践行创业实践活动，循序渐渐，按照阶梯式模式培养大学生的创新创业能力。栋梁之材木文化创业团队，2018年5月获得</w:t>
      </w:r>
      <w:r>
        <w:rPr>
          <w:rFonts w:hint="eastAsia"/>
          <w:szCs w:val="24"/>
        </w:rPr>
        <w:t>“</w:t>
      </w:r>
      <w:r>
        <w:rPr>
          <w:szCs w:val="24"/>
        </w:rPr>
        <w:t>山东农业大学五四青年团队</w:t>
      </w:r>
      <w:r>
        <w:rPr>
          <w:rFonts w:hint="eastAsia"/>
          <w:szCs w:val="24"/>
        </w:rPr>
        <w:t>”</w:t>
      </w:r>
      <w:r>
        <w:rPr>
          <w:szCs w:val="24"/>
        </w:rPr>
        <w:t>荣誉称号；2018年6月，李川、庞艳芳、鹿新、王继霖、刘鑫、杨志星、李淑婷获得2018年</w:t>
      </w:r>
      <w:r>
        <w:rPr>
          <w:rFonts w:hint="eastAsia"/>
          <w:szCs w:val="24"/>
        </w:rPr>
        <w:t>“</w:t>
      </w:r>
      <w:r>
        <w:rPr>
          <w:szCs w:val="24"/>
        </w:rPr>
        <w:t>创青春</w:t>
      </w:r>
      <w:r>
        <w:rPr>
          <w:rFonts w:hint="eastAsia"/>
          <w:szCs w:val="24"/>
        </w:rPr>
        <w:t>”</w:t>
      </w:r>
      <w:r>
        <w:rPr>
          <w:szCs w:val="24"/>
        </w:rPr>
        <w:t>·海尔山东省大学生创业大赛</w:t>
      </w:r>
      <w:r>
        <w:rPr>
          <w:rFonts w:hint="eastAsia"/>
          <w:szCs w:val="24"/>
        </w:rPr>
        <w:t>“</w:t>
      </w:r>
      <w:r>
        <w:rPr>
          <w:szCs w:val="24"/>
        </w:rPr>
        <w:t>金奖</w:t>
      </w:r>
      <w:r>
        <w:rPr>
          <w:rFonts w:hint="eastAsia"/>
          <w:szCs w:val="24"/>
        </w:rPr>
        <w:t>”</w:t>
      </w:r>
      <w:r>
        <w:rPr>
          <w:szCs w:val="24"/>
        </w:rPr>
        <w:t>。2019年11月，姜永强、庞艳芳等先后获得2019年，</w:t>
      </w:r>
      <w:r>
        <w:rPr>
          <w:rFonts w:hint="eastAsia"/>
          <w:szCs w:val="24"/>
        </w:rPr>
        <w:t>“</w:t>
      </w:r>
      <w:r>
        <w:rPr>
          <w:szCs w:val="24"/>
        </w:rPr>
        <w:t>创客中国</w:t>
      </w:r>
      <w:r>
        <w:rPr>
          <w:rFonts w:hint="eastAsia"/>
          <w:szCs w:val="24"/>
        </w:rPr>
        <w:t>”</w:t>
      </w:r>
      <w:r>
        <w:rPr>
          <w:szCs w:val="24"/>
        </w:rPr>
        <w:t>创新创业大赛东部赛区创客组一等奖、全国决赛创客组三等奖，2021年10月，焦彦锋、许智荣、程洪清、刘家晨、孙飞洋、贾葛西贝等团队的设计作品：梦幻彩虹（通顶木门），获得2021</w:t>
      </w:r>
      <w:r>
        <w:rPr>
          <w:rFonts w:hint="eastAsia"/>
          <w:szCs w:val="24"/>
        </w:rPr>
        <w:t>“</w:t>
      </w:r>
      <w:r>
        <w:rPr>
          <w:szCs w:val="24"/>
        </w:rPr>
        <w:t>祥云杯</w:t>
      </w:r>
      <w:r>
        <w:rPr>
          <w:rFonts w:hint="eastAsia"/>
          <w:szCs w:val="24"/>
        </w:rPr>
        <w:t>”</w:t>
      </w:r>
      <w:r>
        <w:rPr>
          <w:szCs w:val="24"/>
        </w:rPr>
        <w:t xml:space="preserve">木门定制+原创设计大赛高校组优秀作品奖。 </w:t>
      </w:r>
    </w:p>
    <w:p>
      <w:pPr>
        <w:pStyle w:val="5"/>
        <w:spacing w:before="93" w:after="93"/>
        <w:ind w:firstLine="560"/>
      </w:pPr>
      <w:r>
        <w:t>三、培养条件（教学经费投入、教学设备、教师队伍建设、实习基地、现代教学技术应用等）</w:t>
      </w:r>
    </w:p>
    <w:p>
      <w:pPr>
        <w:pStyle w:val="7"/>
        <w:spacing w:line="390" w:lineRule="exact"/>
        <w:ind w:firstLine="482"/>
      </w:pPr>
      <w:r>
        <w:t>1. 教学经费投入</w:t>
      </w:r>
    </w:p>
    <w:p>
      <w:pPr>
        <w:snapToGrid w:val="0"/>
        <w:spacing w:line="390" w:lineRule="exact"/>
        <w:ind w:firstLine="482"/>
        <w:rPr>
          <w:szCs w:val="24"/>
        </w:rPr>
      </w:pPr>
      <w:r>
        <w:rPr>
          <w:szCs w:val="24"/>
        </w:rPr>
        <w:t>山东农业大学对该专业实验室建设的先期投入为本项目实施奠定了良好基础。山东农业大学高度重视该专业的实验教学条件建设，2012年专门拨款160万元用于该专业实验室的基础条件建设，2013-2017年又先后借助林业生态工程、名校工程、应用型专业培育，以及中央财政支持地方高校发展专项等建设项目，先后投资320万元用于该专业部分实验室的常规设备购置。</w:t>
      </w:r>
    </w:p>
    <w:p>
      <w:pPr>
        <w:pStyle w:val="7"/>
        <w:spacing w:line="390" w:lineRule="exact"/>
        <w:ind w:firstLine="482"/>
      </w:pPr>
      <w:r>
        <w:t xml:space="preserve">2. 教学设备 </w:t>
      </w:r>
    </w:p>
    <w:p>
      <w:pPr>
        <w:snapToGrid w:val="0"/>
        <w:spacing w:line="390" w:lineRule="exact"/>
        <w:ind w:firstLine="482"/>
        <w:rPr>
          <w:szCs w:val="24"/>
        </w:rPr>
      </w:pPr>
      <w:r>
        <w:rPr>
          <w:szCs w:val="24"/>
        </w:rPr>
        <w:t>该专业现设有国内一流的专业教学实验室12个，实验室面积达1200余平方米，投入经费500余万元，设备达200多件。另设有1个省级研究所（山东省木材科学研究所）和10个校企合作研究中心（山东新港集团研发中心等）；从事实验教学的专兼职教师20人，专职实验管理人员5人；开设实验项目121个，涉及30门课程，年受益学生240人；实验项目开出率90％，实验室和主要实验仪器设备利用率100％。</w:t>
      </w:r>
    </w:p>
    <w:p>
      <w:pPr>
        <w:pStyle w:val="7"/>
        <w:spacing w:line="390" w:lineRule="exact"/>
        <w:ind w:firstLine="482"/>
      </w:pPr>
      <w:r>
        <w:t>3. 教师队伍建设</w:t>
      </w:r>
    </w:p>
    <w:p>
      <w:pPr>
        <w:snapToGrid w:val="0"/>
        <w:spacing w:line="390" w:lineRule="exact"/>
        <w:ind w:firstLine="482"/>
        <w:rPr>
          <w:szCs w:val="24"/>
        </w:rPr>
      </w:pPr>
      <w:r>
        <w:rPr>
          <w:szCs w:val="24"/>
        </w:rPr>
        <w:t>本专业现有专业教师8人，其中，教授2人，副教授5人，讲师1人；专业教师全部具有博士学位，其中，获得国外博士学位的教师3人，博士生导师2人，具有海外留学经历的教师5人，教师年龄结构为40-49岁4人，30-39岁4人。</w:t>
      </w:r>
    </w:p>
    <w:p>
      <w:pPr>
        <w:pStyle w:val="7"/>
        <w:ind w:firstLine="480"/>
      </w:pPr>
      <w:r>
        <w:t>4. 实习基地</w:t>
      </w:r>
    </w:p>
    <w:p>
      <w:pPr>
        <w:snapToGrid w:val="0"/>
        <w:ind w:firstLine="480"/>
        <w:rPr>
          <w:szCs w:val="24"/>
        </w:rPr>
      </w:pPr>
      <w:r>
        <w:rPr>
          <w:szCs w:val="24"/>
        </w:rPr>
        <w:t>积极与省内外行业企业联系，建立了广泛的校企合作实习实践基地，包括：①山东京博木基材料有限公司、②山东鑫迪家居装饰有限公司、③山东新港企业集团有限公司、④鲁丽集团有限公司、⑤青岛一木集团有限公司、⑥喜之林家具有限公司、⑦上海左尚明舍家具有限公司、⑧广东联邦家私集团、⑨天津欧派集成家居有限公司、⑩北京天坛股份有限公司等。</w:t>
      </w:r>
    </w:p>
    <w:p>
      <w:pPr>
        <w:pStyle w:val="7"/>
        <w:ind w:firstLine="480"/>
      </w:pPr>
      <w:r>
        <w:t>5. 现代教学技术应用</w:t>
      </w:r>
    </w:p>
    <w:p>
      <w:pPr>
        <w:snapToGrid w:val="0"/>
        <w:ind w:firstLine="480"/>
        <w:rPr>
          <w:szCs w:val="24"/>
        </w:rPr>
      </w:pPr>
      <w:r>
        <w:rPr>
          <w:szCs w:val="24"/>
        </w:rPr>
        <w:t>本专业核心课程全部采用多媒体授课，已建成省级一流本科课程一门，获全国生态文明信息化教学成果三等奖一项，申请全国和省部级教研项目7项，发表教研论文10余篇。专人教师中有两人获全国微课教学比赛一等奖、一人获山东省青年教师教学比赛三等奖、两人获山东农业大学青年教师讲课技能比赛一等奖、一人获山东农业大学青年教师讲课技能比赛三等奖。师资教学经验丰富、水平突出，信息化技术利用娴熟，教学成果丰硕。</w:t>
      </w:r>
    </w:p>
    <w:p>
      <w:pPr>
        <w:pStyle w:val="5"/>
        <w:spacing w:before="93" w:after="93"/>
        <w:ind w:firstLine="560"/>
      </w:pPr>
      <w:r>
        <w:t xml:space="preserve">四、培养机制与特色（产学研协同育人机制、合作办学、 教学管理等） </w:t>
      </w:r>
    </w:p>
    <w:p>
      <w:pPr>
        <w:pStyle w:val="7"/>
        <w:ind w:firstLine="480"/>
      </w:pPr>
      <w:r>
        <w:t>1. 产学研协同育人机制</w:t>
      </w:r>
    </w:p>
    <w:p>
      <w:pPr>
        <w:snapToGrid w:val="0"/>
        <w:ind w:firstLine="480"/>
        <w:rPr>
          <w:szCs w:val="24"/>
        </w:rPr>
      </w:pPr>
      <w:r>
        <w:rPr>
          <w:szCs w:val="24"/>
        </w:rPr>
        <w:t>本专业积极与企业联系，进行产学研协同创新的人才培养机制。其中，与上述实习实践基地单位建立了广泛密切的合作并建立了系统的产学研人才培养方案。2018年以来，以山东省林业科技创新团队项目和山东省高校青年科技创新团队项目为依托，由本专业教师担任首席专家和团队负责人，与山东霞光集团、山东乐得仕软木发展有限公司、山东千森木业有限公司等联合开展产学研合作，让本科生、硕士生和博士生到企业开展针对性的科研攻关，既推动了项目合作，又培养了人才，使学生得到了理论与实践有机结合、实践动手能力提升等全方位锻炼。</w:t>
      </w:r>
    </w:p>
    <w:p>
      <w:pPr>
        <w:pStyle w:val="7"/>
        <w:ind w:firstLine="480"/>
      </w:pPr>
      <w:r>
        <w:t>2. 合作办学</w:t>
      </w:r>
    </w:p>
    <w:p>
      <w:pPr>
        <w:snapToGrid w:val="0"/>
        <w:ind w:firstLine="480"/>
        <w:rPr>
          <w:szCs w:val="24"/>
        </w:rPr>
      </w:pPr>
      <w:r>
        <w:rPr>
          <w:szCs w:val="24"/>
        </w:rPr>
        <w:t>本专业不断更新教育观念，加强国内交流，积极开展校企、校地合作，全力推动开放办学，在开放办学中逐步形成学科特色品牌。通过</w:t>
      </w:r>
      <w:r>
        <w:rPr>
          <w:rFonts w:hint="eastAsia"/>
          <w:szCs w:val="24"/>
        </w:rPr>
        <w:t>“</w:t>
      </w:r>
      <w:r>
        <w:rPr>
          <w:szCs w:val="24"/>
        </w:rPr>
        <w:t>引进来</w:t>
      </w:r>
      <w:r>
        <w:rPr>
          <w:rFonts w:hint="eastAsia"/>
          <w:szCs w:val="24"/>
        </w:rPr>
        <w:t>”</w:t>
      </w:r>
      <w:r>
        <w:rPr>
          <w:szCs w:val="24"/>
        </w:rPr>
        <w:t>、</w:t>
      </w:r>
      <w:r>
        <w:rPr>
          <w:rFonts w:hint="eastAsia"/>
          <w:szCs w:val="24"/>
        </w:rPr>
        <w:t>“</w:t>
      </w:r>
      <w:r>
        <w:rPr>
          <w:szCs w:val="24"/>
        </w:rPr>
        <w:t>走出去</w:t>
      </w:r>
      <w:r>
        <w:rPr>
          <w:rFonts w:hint="eastAsia"/>
          <w:szCs w:val="24"/>
        </w:rPr>
        <w:t>”</w:t>
      </w:r>
      <w:r>
        <w:rPr>
          <w:szCs w:val="24"/>
        </w:rPr>
        <w:t>战略，创新思路，注重内涵，不断拓展国际合作领域和项目交流渠道，与美国密西西比州立大学建立了</w:t>
      </w:r>
      <w:r>
        <w:rPr>
          <w:rFonts w:hint="eastAsia"/>
          <w:szCs w:val="24"/>
        </w:rPr>
        <w:t>“</w:t>
      </w:r>
      <w:r>
        <w:rPr>
          <w:szCs w:val="24"/>
        </w:rPr>
        <w:t>3+2</w:t>
      </w:r>
      <w:r>
        <w:rPr>
          <w:rFonts w:hint="eastAsia"/>
          <w:szCs w:val="24"/>
        </w:rPr>
        <w:t>”</w:t>
      </w:r>
      <w:r>
        <w:rPr>
          <w:szCs w:val="24"/>
        </w:rPr>
        <w:t>联合培养的机制，引入国外优质教育资源和成熟办学理念，积极合作并发展学校学科建设，进一步优化专业体系，提高教育教学质量和学生创新创业能力，为毕业生国外深造、国内考研以及就业奠定了良好基础。</w:t>
      </w:r>
    </w:p>
    <w:p>
      <w:pPr>
        <w:pStyle w:val="7"/>
        <w:ind w:firstLine="480"/>
      </w:pPr>
      <w:r>
        <w:t>3. 教学管理</w:t>
      </w:r>
    </w:p>
    <w:p>
      <w:pPr>
        <w:snapToGrid w:val="0"/>
        <w:ind w:firstLine="480"/>
        <w:rPr>
          <w:rFonts w:eastAsia="仿宋_GB2312"/>
          <w:szCs w:val="24"/>
        </w:rPr>
      </w:pPr>
      <w:r>
        <w:rPr>
          <w:szCs w:val="24"/>
        </w:rPr>
        <w:t>本专业积极落实学校制定的教学管理制度，严格执行学院专业建设管理规章制度、教授指导委员会工作细则、大学生科技创新和创业工作计划、听课制度、教师学生教学质量评价制度、教学质量与成果奖励办法、毕业生就业跟踪调查制度等。积极建立有效的激励机制，带动教师全员参与本科生</w:t>
      </w:r>
      <w:r>
        <w:rPr>
          <w:rFonts w:hint="eastAsia"/>
          <w:szCs w:val="24"/>
        </w:rPr>
        <w:t>“</w:t>
      </w:r>
      <w:r>
        <w:rPr>
          <w:szCs w:val="24"/>
        </w:rPr>
        <w:t>班主任负责制</w:t>
      </w:r>
      <w:r>
        <w:rPr>
          <w:rFonts w:hint="eastAsia"/>
          <w:szCs w:val="24"/>
        </w:rPr>
        <w:t>”</w:t>
      </w:r>
      <w:r>
        <w:rPr>
          <w:szCs w:val="24"/>
        </w:rPr>
        <w:t>、</w:t>
      </w:r>
      <w:r>
        <w:rPr>
          <w:rFonts w:hint="eastAsia"/>
          <w:szCs w:val="24"/>
        </w:rPr>
        <w:t>“</w:t>
      </w:r>
      <w:r>
        <w:rPr>
          <w:szCs w:val="24"/>
        </w:rPr>
        <w:t>本科生导师制</w:t>
      </w:r>
      <w:r>
        <w:rPr>
          <w:rFonts w:hint="eastAsia"/>
          <w:szCs w:val="24"/>
        </w:rPr>
        <w:t>”</w:t>
      </w:r>
      <w:r>
        <w:rPr>
          <w:szCs w:val="24"/>
        </w:rPr>
        <w:t>、</w:t>
      </w:r>
      <w:r>
        <w:rPr>
          <w:rFonts w:hint="eastAsia"/>
          <w:szCs w:val="24"/>
        </w:rPr>
        <w:t>“</w:t>
      </w:r>
      <w:r>
        <w:rPr>
          <w:szCs w:val="24"/>
        </w:rPr>
        <w:t>科研导师制</w:t>
      </w:r>
      <w:r>
        <w:rPr>
          <w:rFonts w:hint="eastAsia"/>
          <w:szCs w:val="24"/>
        </w:rPr>
        <w:t>”</w:t>
      </w:r>
      <w:r>
        <w:rPr>
          <w:szCs w:val="24"/>
        </w:rPr>
        <w:t>等计划，以保障本专业教学高质量的顺利进行。</w:t>
      </w:r>
    </w:p>
    <w:p>
      <w:pPr>
        <w:pStyle w:val="5"/>
        <w:spacing w:before="93" w:after="93"/>
        <w:ind w:firstLine="560"/>
      </w:pPr>
      <w:r>
        <w:t xml:space="preserve">五、培养质量（毕业生就业率、就业专业对口率、毕业生发展情况、就业单位满意率、社会对专业的评价、学生就读该专业的意愿等） </w:t>
      </w:r>
    </w:p>
    <w:p>
      <w:pPr>
        <w:pStyle w:val="7"/>
        <w:ind w:firstLine="480"/>
      </w:pPr>
      <w:r>
        <w:t>1. 社会对专业的评价</w:t>
      </w:r>
    </w:p>
    <w:p>
      <w:pPr>
        <w:snapToGrid w:val="0"/>
        <w:ind w:firstLine="480"/>
        <w:rPr>
          <w:szCs w:val="24"/>
        </w:rPr>
      </w:pPr>
      <w:r>
        <w:rPr>
          <w:szCs w:val="24"/>
        </w:rPr>
        <w:t>本专业教学质量高，特别是实践教学及创新创业特色突出。培养的人才不但具备扎实的专业理论基础，更以操作能力强、适应性强而著称，深受用人单位的欢迎，得到全国行业的普遍认可。。每年，针对本专业的毕业生，至少组织两场专业招聘会，学生就业率连续三年保持100%，单位满意率100%。</w:t>
      </w:r>
    </w:p>
    <w:p>
      <w:pPr>
        <w:pStyle w:val="7"/>
        <w:ind w:firstLine="480"/>
      </w:pPr>
      <w:r>
        <w:t>2. 毕业生情况</w:t>
      </w:r>
    </w:p>
    <w:p>
      <w:pPr>
        <w:snapToGrid w:val="0"/>
        <w:ind w:firstLine="480"/>
        <w:rPr>
          <w:szCs w:val="24"/>
        </w:rPr>
      </w:pPr>
      <w:r>
        <w:rPr>
          <w:szCs w:val="24"/>
        </w:rPr>
        <w:t>截止2022年8月31日，2022届毕业生就业率达100%（全校第一个就业率达100%的专业），就业专业对口率100%。毕业生主要从事科学研究、家居设计、工艺开发、市场营销等工作。</w:t>
      </w:r>
    </w:p>
    <w:p>
      <w:pPr>
        <w:pStyle w:val="7"/>
        <w:ind w:firstLine="480"/>
      </w:pPr>
      <w:r>
        <w:t>3. 本科生报到情况</w:t>
      </w:r>
    </w:p>
    <w:p>
      <w:pPr>
        <w:snapToGrid w:val="0"/>
        <w:ind w:firstLine="480"/>
        <w:rPr>
          <w:szCs w:val="24"/>
        </w:rPr>
      </w:pPr>
      <w:r>
        <w:rPr>
          <w:szCs w:val="24"/>
        </w:rPr>
        <w:t>2019-2022级木材科学与工程专业本科生录取率为100%，报到率为100%。</w:t>
      </w:r>
    </w:p>
    <w:p>
      <w:pPr>
        <w:pStyle w:val="5"/>
        <w:spacing w:before="93" w:after="93"/>
        <w:ind w:firstLine="560"/>
      </w:pPr>
      <w:r>
        <w:t xml:space="preserve">六、毕业生就业创业（创业情况、釆取的措施、典型案例等） </w:t>
      </w:r>
    </w:p>
    <w:p>
      <w:pPr>
        <w:snapToGrid w:val="0"/>
        <w:ind w:firstLine="480"/>
        <w:rPr>
          <w:szCs w:val="24"/>
        </w:rPr>
      </w:pPr>
      <w:r>
        <w:rPr>
          <w:szCs w:val="24"/>
        </w:rPr>
        <w:t>近几年，受到国家</w:t>
      </w:r>
      <w:r>
        <w:rPr>
          <w:rFonts w:hint="eastAsia"/>
          <w:szCs w:val="24"/>
        </w:rPr>
        <w:t>“</w:t>
      </w:r>
      <w:r>
        <w:rPr>
          <w:szCs w:val="24"/>
        </w:rPr>
        <w:t>大众创业、万众创新</w:t>
      </w:r>
      <w:r>
        <w:rPr>
          <w:rFonts w:hint="eastAsia"/>
          <w:szCs w:val="24"/>
        </w:rPr>
        <w:t>”</w:t>
      </w:r>
      <w:r>
        <w:rPr>
          <w:szCs w:val="24"/>
        </w:rPr>
        <w:t>及学校创新创业教育政策的影响，大学生创业积极性日渐提高。本专业毕业生未毕业就先创业、一毕业就创业的同学日益增多。</w:t>
      </w:r>
    </w:p>
    <w:p>
      <w:pPr>
        <w:pStyle w:val="5"/>
        <w:spacing w:before="93" w:after="93"/>
        <w:ind w:firstLine="560"/>
      </w:pPr>
      <w:r>
        <w:t xml:space="preserve">七、专业人才社会需求分析及专业发展趋势分析   </w:t>
      </w:r>
    </w:p>
    <w:p>
      <w:pPr>
        <w:pStyle w:val="7"/>
        <w:ind w:firstLine="480"/>
      </w:pPr>
      <w:r>
        <w:t>1. 专业发展趋势</w:t>
      </w:r>
    </w:p>
    <w:p>
      <w:pPr>
        <w:snapToGrid w:val="0"/>
        <w:ind w:firstLine="480"/>
        <w:rPr>
          <w:szCs w:val="24"/>
        </w:rPr>
      </w:pPr>
      <w:r>
        <w:rPr>
          <w:szCs w:val="24"/>
        </w:rPr>
        <w:t>围绕《中国制造2025》的行动纲领和乡村振兴战略规划，全面总结学科专业</w:t>
      </w:r>
      <w:r>
        <w:rPr>
          <w:rFonts w:hint="eastAsia"/>
          <w:szCs w:val="24"/>
        </w:rPr>
        <w:t>“</w:t>
      </w:r>
      <w:r>
        <w:rPr>
          <w:szCs w:val="24"/>
        </w:rPr>
        <w:t>十三五</w:t>
      </w:r>
      <w:r>
        <w:rPr>
          <w:rFonts w:hint="eastAsia"/>
          <w:szCs w:val="24"/>
        </w:rPr>
        <w:t>”</w:t>
      </w:r>
      <w:r>
        <w:rPr>
          <w:szCs w:val="24"/>
        </w:rPr>
        <w:t>发展规划实施的成绩与经验、存在的问题与原因，分析国内外高等教育现状和发展趋势，主动对接国家、行业、区域发展战略需求，把握学科前沿及发展趋势，促进学科交叉与融合，以学科建设为龙头，以师资队伍建设为关健，以提升科学研究水平为重点，以提高人才培养质量为核心，以装备优良的学科基地为平台，以改革创新为动力，瞄准国家和地方经济建设以及社会发展的主战场，立足山东省、辐射全国、服务地方，早日建成社会影响力、学科影响力较强的省级特色学科。</w:t>
      </w:r>
    </w:p>
    <w:p>
      <w:pPr>
        <w:pStyle w:val="7"/>
        <w:ind w:firstLine="480"/>
      </w:pPr>
      <w:r>
        <w:t>2. 建议</w:t>
      </w:r>
    </w:p>
    <w:p>
      <w:pPr>
        <w:snapToGrid w:val="0"/>
        <w:ind w:firstLine="480"/>
        <w:rPr>
          <w:szCs w:val="24"/>
        </w:rPr>
      </w:pPr>
      <w:r>
        <w:rPr>
          <w:szCs w:val="24"/>
        </w:rPr>
        <w:t>立足山东省木材工业产业，以材料科学和家居设计为支撑点，努力建设省级特色专业。组建一支水平高、学历高、治学严谨、年龄与学缘结构合理、协作意识强、教学特长和研究方向互补的高水平特色学科团队。以卓越工程师为学生培养目标，强化实践教学，注重技能训练，确保就业率100%。积极拓展专业社会服务功能，在山东省木业产业界树立良好口碑，为产业发展建功立业。</w:t>
      </w:r>
    </w:p>
    <w:p>
      <w:pPr>
        <w:pStyle w:val="5"/>
        <w:spacing w:before="93" w:after="93"/>
        <w:ind w:firstLine="560"/>
      </w:pPr>
      <w:r>
        <w:t xml:space="preserve">八、存在的问题及拟釆取的对策措施    </w:t>
      </w:r>
    </w:p>
    <w:p>
      <w:pPr>
        <w:pStyle w:val="7"/>
        <w:ind w:firstLine="480"/>
      </w:pPr>
      <w:r>
        <w:t>1. 不足与存在问题</w:t>
      </w:r>
    </w:p>
    <w:p>
      <w:pPr>
        <w:snapToGrid w:val="0"/>
        <w:ind w:firstLine="480"/>
        <w:rPr>
          <w:szCs w:val="24"/>
        </w:rPr>
      </w:pPr>
      <w:r>
        <w:rPr>
          <w:szCs w:val="24"/>
        </w:rPr>
        <w:t>与企业开展实质性合作的数量有待进一步加强。</w:t>
      </w:r>
    </w:p>
    <w:p>
      <w:pPr>
        <w:pStyle w:val="7"/>
        <w:ind w:firstLine="480"/>
      </w:pPr>
      <w:r>
        <w:t xml:space="preserve">2. 整改措施 </w:t>
      </w:r>
    </w:p>
    <w:p>
      <w:pPr>
        <w:snapToGrid w:val="0"/>
        <w:ind w:firstLine="480"/>
        <w:rPr>
          <w:szCs w:val="24"/>
        </w:rPr>
      </w:pPr>
      <w:r>
        <w:rPr>
          <w:szCs w:val="24"/>
        </w:rPr>
        <w:t>教师走向企业，为企业解决实际问题，联合开发项目。</w:t>
      </w:r>
    </w:p>
    <w:p>
      <w:pPr>
        <w:pStyle w:val="7"/>
        <w:ind w:firstLine="480"/>
      </w:pPr>
      <w:r>
        <w:t>3. 招生问题</w:t>
      </w:r>
    </w:p>
    <w:p>
      <w:pPr>
        <w:ind w:firstLine="480"/>
        <w:rPr>
          <w:szCs w:val="24"/>
        </w:rPr>
      </w:pPr>
      <w:r>
        <w:rPr>
          <w:szCs w:val="24"/>
        </w:rPr>
        <w:t>鉴于山东省是木材加工产业全国大省及对高素质专门人才迫切需求的产业背景，建议木材科学与工程专业本科生全部在山东省内招生。</w:t>
      </w: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pPr>
      <w:bookmarkStart w:id="208" w:name="_Toc30995"/>
      <w:r>
        <w:rPr>
          <w:rFonts w:hint="eastAsia"/>
          <w:lang w:val="en-US"/>
        </w:rPr>
        <w:t>专业十八：</w:t>
      </w:r>
      <w:r>
        <w:t>风景园林</w:t>
      </w:r>
      <w:bookmarkEnd w:id="208"/>
    </w:p>
    <w:p>
      <w:pPr>
        <w:pStyle w:val="5"/>
        <w:spacing w:before="93" w:after="93"/>
        <w:ind w:firstLine="560"/>
      </w:pPr>
      <w:r>
        <w:rPr>
          <w:rFonts w:hint="eastAsia"/>
        </w:rPr>
        <w:t>一、</w:t>
      </w:r>
      <w:r>
        <w:t>培养目标</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80" w:firstLineChars="200"/>
      </w:pPr>
      <w:r>
        <w:t>风景园林专业培养从事国土与区域、风景名胜区、风景游览区、城市绿地系统和城市各类绿地及环境规划设计、施工与管理、监理等方面的高级工程技术人才。学生可获风景园林绿地规划与设计、风景名胜区规划、区域规划、城市景观规划与设计、风景园林建筑设计、风景园林工程、园林植物种植设计等领域的基本理论和基本知识；受到绘画技法、制图方法、风景园林表现技法、风景园林艺术理论、规划设计方法等方面的综合训练；具有运用所学科学理论、艺术理论、设计理论进行各类生态规划、区域规划和风景园林规划与设计、施工与组织管理、园林工程监理的基本能力。</w:t>
      </w:r>
    </w:p>
    <w:p>
      <w:pPr>
        <w:pStyle w:val="5"/>
        <w:spacing w:before="93" w:after="93"/>
        <w:ind w:firstLine="560"/>
      </w:pPr>
      <w:r>
        <w:rPr>
          <w:rFonts w:hint="eastAsia"/>
        </w:rPr>
        <w:t>二、</w:t>
      </w:r>
      <w:r>
        <w:t>培养能力</w:t>
      </w:r>
    </w:p>
    <w:p>
      <w:pPr>
        <w:pStyle w:val="6"/>
        <w:ind w:firstLine="480"/>
      </w:pPr>
      <w:r>
        <w:t>1</w:t>
      </w:r>
      <w:r>
        <w:rPr>
          <w:rFonts w:hint="eastAsia"/>
        </w:rPr>
        <w:t>.</w:t>
      </w:r>
      <w:r>
        <w:t xml:space="preserve"> 专业设置：</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80" w:firstLineChars="200"/>
        <w:rPr>
          <w:sz w:val="23"/>
          <w:szCs w:val="23"/>
        </w:rPr>
      </w:pPr>
      <w:r>
        <w:t>风景园林专业在2011年设置，当年招生60人。至2013级开始接受转专业学生，增设一个班（30人）；2019几开始招生三个班，接受转专业1个班，共四个班。至今，现有在校生393人</w:t>
      </w:r>
    </w:p>
    <w:p>
      <w:pPr>
        <w:pStyle w:val="6"/>
        <w:ind w:firstLine="480"/>
      </w:pPr>
      <w:r>
        <w:t>2</w:t>
      </w:r>
      <w:r>
        <w:rPr>
          <w:rFonts w:hint="eastAsia"/>
        </w:rPr>
        <w:t>.</w:t>
      </w:r>
      <w:r>
        <w:t xml:space="preserve"> 在校生规模：</w:t>
      </w:r>
    </w:p>
    <w:tbl>
      <w:tblPr>
        <w:tblStyle w:val="17"/>
        <w:tblW w:w="0" w:type="auto"/>
        <w:tblInd w:w="28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52"/>
        <w:gridCol w:w="2841"/>
        <w:gridCol w:w="284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552" w:type="dxa"/>
            <w:vAlign w:val="center"/>
          </w:tcPr>
          <w:p>
            <w:pPr>
              <w:jc w:val="center"/>
              <w:rPr>
                <w:sz w:val="21"/>
                <w:szCs w:val="21"/>
              </w:rPr>
            </w:pPr>
            <w:r>
              <w:rPr>
                <w:sz w:val="21"/>
                <w:szCs w:val="21"/>
              </w:rPr>
              <w:t>年级</w:t>
            </w:r>
          </w:p>
        </w:tc>
        <w:tc>
          <w:tcPr>
            <w:tcW w:w="2841" w:type="dxa"/>
            <w:vAlign w:val="center"/>
          </w:tcPr>
          <w:p>
            <w:pPr>
              <w:jc w:val="center"/>
              <w:rPr>
                <w:sz w:val="21"/>
                <w:szCs w:val="21"/>
              </w:rPr>
            </w:pPr>
            <w:r>
              <w:rPr>
                <w:sz w:val="21"/>
                <w:szCs w:val="21"/>
              </w:rPr>
              <w:t>班数</w:t>
            </w:r>
          </w:p>
        </w:tc>
        <w:tc>
          <w:tcPr>
            <w:tcW w:w="2841" w:type="dxa"/>
            <w:vAlign w:val="center"/>
          </w:tcPr>
          <w:p>
            <w:pPr>
              <w:jc w:val="center"/>
              <w:rPr>
                <w:sz w:val="21"/>
                <w:szCs w:val="21"/>
              </w:rPr>
            </w:pPr>
            <w:r>
              <w:rPr>
                <w:sz w:val="21"/>
                <w:szCs w:val="21"/>
              </w:rPr>
              <w:t>人数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52" w:type="dxa"/>
            <w:vAlign w:val="center"/>
          </w:tcPr>
          <w:p>
            <w:pPr>
              <w:jc w:val="center"/>
              <w:rPr>
                <w:sz w:val="21"/>
                <w:szCs w:val="21"/>
              </w:rPr>
            </w:pPr>
            <w:r>
              <w:rPr>
                <w:sz w:val="21"/>
                <w:szCs w:val="21"/>
              </w:rPr>
              <w:t>2019级</w:t>
            </w:r>
          </w:p>
        </w:tc>
        <w:tc>
          <w:tcPr>
            <w:tcW w:w="2841" w:type="dxa"/>
            <w:vAlign w:val="center"/>
          </w:tcPr>
          <w:p>
            <w:pPr>
              <w:jc w:val="center"/>
              <w:rPr>
                <w:sz w:val="21"/>
                <w:szCs w:val="21"/>
              </w:rPr>
            </w:pPr>
            <w:r>
              <w:rPr>
                <w:sz w:val="21"/>
                <w:szCs w:val="21"/>
              </w:rPr>
              <w:t>4</w:t>
            </w:r>
          </w:p>
        </w:tc>
        <w:tc>
          <w:tcPr>
            <w:tcW w:w="2841" w:type="dxa"/>
            <w:vAlign w:val="center"/>
          </w:tcPr>
          <w:p>
            <w:pPr>
              <w:jc w:val="center"/>
              <w:rPr>
                <w:sz w:val="21"/>
                <w:szCs w:val="21"/>
              </w:rPr>
            </w:pPr>
            <w:r>
              <w:rPr>
                <w:sz w:val="21"/>
                <w:szCs w:val="21"/>
              </w:rPr>
              <w:t>119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52" w:type="dxa"/>
            <w:vAlign w:val="center"/>
          </w:tcPr>
          <w:p>
            <w:pPr>
              <w:jc w:val="center"/>
              <w:rPr>
                <w:sz w:val="21"/>
                <w:szCs w:val="21"/>
              </w:rPr>
            </w:pPr>
            <w:r>
              <w:rPr>
                <w:sz w:val="21"/>
                <w:szCs w:val="21"/>
              </w:rPr>
              <w:t>2020级</w:t>
            </w:r>
          </w:p>
        </w:tc>
        <w:tc>
          <w:tcPr>
            <w:tcW w:w="2841" w:type="dxa"/>
            <w:vAlign w:val="center"/>
          </w:tcPr>
          <w:p>
            <w:pPr>
              <w:jc w:val="center"/>
              <w:rPr>
                <w:sz w:val="21"/>
                <w:szCs w:val="21"/>
              </w:rPr>
            </w:pPr>
            <w:r>
              <w:rPr>
                <w:sz w:val="21"/>
                <w:szCs w:val="21"/>
              </w:rPr>
              <w:t>3</w:t>
            </w:r>
          </w:p>
        </w:tc>
        <w:tc>
          <w:tcPr>
            <w:tcW w:w="2841" w:type="dxa"/>
            <w:vAlign w:val="center"/>
          </w:tcPr>
          <w:p>
            <w:pPr>
              <w:jc w:val="center"/>
              <w:rPr>
                <w:sz w:val="21"/>
                <w:szCs w:val="21"/>
              </w:rPr>
            </w:pPr>
            <w:r>
              <w:rPr>
                <w:sz w:val="21"/>
                <w:szCs w:val="21"/>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52" w:type="dxa"/>
            <w:vAlign w:val="center"/>
          </w:tcPr>
          <w:p>
            <w:pPr>
              <w:jc w:val="center"/>
              <w:rPr>
                <w:sz w:val="21"/>
                <w:szCs w:val="21"/>
              </w:rPr>
            </w:pPr>
            <w:r>
              <w:rPr>
                <w:sz w:val="21"/>
                <w:szCs w:val="21"/>
              </w:rPr>
              <w:t>2021级</w:t>
            </w:r>
          </w:p>
        </w:tc>
        <w:tc>
          <w:tcPr>
            <w:tcW w:w="2841" w:type="dxa"/>
            <w:vAlign w:val="center"/>
          </w:tcPr>
          <w:p>
            <w:pPr>
              <w:jc w:val="center"/>
              <w:rPr>
                <w:sz w:val="21"/>
                <w:szCs w:val="21"/>
              </w:rPr>
            </w:pPr>
            <w:r>
              <w:rPr>
                <w:sz w:val="21"/>
                <w:szCs w:val="21"/>
              </w:rPr>
              <w:t>2</w:t>
            </w:r>
          </w:p>
        </w:tc>
        <w:tc>
          <w:tcPr>
            <w:tcW w:w="2841" w:type="dxa"/>
            <w:vAlign w:val="center"/>
          </w:tcPr>
          <w:p>
            <w:pPr>
              <w:jc w:val="center"/>
              <w:rPr>
                <w:sz w:val="21"/>
                <w:szCs w:val="21"/>
              </w:rPr>
            </w:pPr>
            <w:r>
              <w:rPr>
                <w:sz w:val="21"/>
                <w:szCs w:val="21"/>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52" w:type="dxa"/>
            <w:vAlign w:val="center"/>
          </w:tcPr>
          <w:p>
            <w:pPr>
              <w:jc w:val="center"/>
              <w:rPr>
                <w:sz w:val="21"/>
                <w:szCs w:val="21"/>
              </w:rPr>
            </w:pPr>
            <w:r>
              <w:rPr>
                <w:sz w:val="21"/>
                <w:szCs w:val="21"/>
              </w:rPr>
              <w:t>2022级</w:t>
            </w:r>
          </w:p>
        </w:tc>
        <w:tc>
          <w:tcPr>
            <w:tcW w:w="2841" w:type="dxa"/>
            <w:vAlign w:val="center"/>
          </w:tcPr>
          <w:p>
            <w:pPr>
              <w:jc w:val="center"/>
              <w:rPr>
                <w:sz w:val="21"/>
                <w:szCs w:val="21"/>
              </w:rPr>
            </w:pPr>
            <w:r>
              <w:rPr>
                <w:sz w:val="21"/>
                <w:szCs w:val="21"/>
              </w:rPr>
              <w:t>3</w:t>
            </w:r>
          </w:p>
        </w:tc>
        <w:tc>
          <w:tcPr>
            <w:tcW w:w="2841" w:type="dxa"/>
            <w:vAlign w:val="center"/>
          </w:tcPr>
          <w:p>
            <w:pPr>
              <w:jc w:val="center"/>
              <w:rPr>
                <w:sz w:val="21"/>
                <w:szCs w:val="21"/>
              </w:rPr>
            </w:pPr>
            <w:r>
              <w:rPr>
                <w:sz w:val="21"/>
                <w:szCs w:val="21"/>
              </w:rPr>
              <w:t>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52" w:type="dxa"/>
            <w:vAlign w:val="center"/>
          </w:tcPr>
          <w:p>
            <w:pPr>
              <w:jc w:val="center"/>
              <w:rPr>
                <w:sz w:val="21"/>
                <w:szCs w:val="21"/>
              </w:rPr>
            </w:pPr>
            <w:r>
              <w:rPr>
                <w:sz w:val="21"/>
                <w:szCs w:val="21"/>
              </w:rPr>
              <w:t>合计</w:t>
            </w:r>
          </w:p>
        </w:tc>
        <w:tc>
          <w:tcPr>
            <w:tcW w:w="2841" w:type="dxa"/>
            <w:vAlign w:val="center"/>
          </w:tcPr>
          <w:p>
            <w:pPr>
              <w:jc w:val="center"/>
              <w:rPr>
                <w:sz w:val="21"/>
                <w:szCs w:val="21"/>
              </w:rPr>
            </w:pPr>
            <w:r>
              <w:rPr>
                <w:sz w:val="21"/>
                <w:szCs w:val="21"/>
              </w:rPr>
              <w:t>12</w:t>
            </w:r>
          </w:p>
        </w:tc>
        <w:tc>
          <w:tcPr>
            <w:tcW w:w="2841" w:type="dxa"/>
            <w:vAlign w:val="center"/>
          </w:tcPr>
          <w:p>
            <w:pPr>
              <w:jc w:val="center"/>
              <w:rPr>
                <w:sz w:val="21"/>
                <w:szCs w:val="21"/>
              </w:rPr>
            </w:pPr>
            <w:r>
              <w:rPr>
                <w:sz w:val="21"/>
                <w:szCs w:val="21"/>
              </w:rPr>
              <w:t>369</w:t>
            </w:r>
          </w:p>
        </w:tc>
      </w:tr>
    </w:tbl>
    <w:p>
      <w:pPr>
        <w:pStyle w:val="6"/>
        <w:ind w:firstLine="480"/>
      </w:pPr>
      <w:r>
        <w:t>3</w:t>
      </w:r>
      <w:r>
        <w:rPr>
          <w:rFonts w:hint="eastAsia"/>
        </w:rPr>
        <w:t>.</w:t>
      </w:r>
      <w:r>
        <w:t xml:space="preserve"> 课程设置：</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80" w:firstLineChars="200"/>
      </w:pPr>
      <w:r>
        <w:t>风景园林专业现行培养方案中出了学校规定的平台课外，另外有学科基础课、专业核心课、专业方向课和专业拓展课几大板块，课程设置如下：</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80" w:firstLineChars="200"/>
      </w:pPr>
      <w:r>
        <w:t>（1）学科基础课</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80" w:firstLineChars="200"/>
      </w:pPr>
      <w:r>
        <w:t>高等数学C、基础素描、园林植物基础、造型基础1、制图基础1、色彩基础、测量学C、景观建筑构造、造型基础2、制图基础2、园林艺术原理、景观设计表达、城市规划原理、园林树木学B、花卉学B、城市绿地系统规划、计算机辅助设计（2维）、风景园林建筑设计1、风景园林植物景观规划设计、中外园林史、风景园林建筑设计2、园林树木栽培学、风景区规划。</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80" w:firstLineChars="200"/>
      </w:pPr>
      <w:r>
        <w:t>（2）专业核心课</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80" w:firstLineChars="200"/>
      </w:pPr>
      <w:r>
        <w:t>风景园林工程1—2；风景园林规划设计1—2。</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80" w:firstLineChars="200"/>
      </w:pPr>
      <w:r>
        <w:t>（3）专业方向课</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80" w:firstLineChars="200"/>
      </w:pPr>
      <w:r>
        <w:t>钢笔风景画、中国传统造园理论、盆景艺术、普通生态学B、计算机辅助设计（概念设计）、计算机辅助设计（三维）、西方现代园林设计、旅游规划原理、风景园林工程项目管理、风景园林专业英语、插花艺术。</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80" w:firstLineChars="200"/>
      </w:pPr>
      <w:r>
        <w:t>（4）专业拓展课</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80" w:firstLineChars="200"/>
      </w:pPr>
      <w:r>
        <w:t>风景园林学科前沿专题讲座、大学生生涯规划、大学生创新创业教育、大学生就业指导。</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80" w:firstLineChars="200"/>
      </w:pPr>
      <w:r>
        <w:t>毕业总学分170学分，其中必修课总学149.5学分、选修课学分20.5学分，实验和实践环节学分共59.5学分，占总学分35%</w:t>
      </w:r>
    </w:p>
    <w:p>
      <w:pPr>
        <w:pStyle w:val="6"/>
        <w:ind w:firstLine="480"/>
      </w:pPr>
      <w:r>
        <w:t>4</w:t>
      </w:r>
      <w:r>
        <w:rPr>
          <w:rFonts w:hint="eastAsia"/>
        </w:rPr>
        <w:t>.</w:t>
      </w:r>
      <w:r>
        <w:t xml:space="preserve"> 创新创业教育：</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1"/>
      </w:pPr>
      <w:r>
        <w:t>大学生创新创业中心实验室（SRT实验室）：位于林学院综合实验中心，先后承担了多项设计任务，在山东省和全国竞赛中获得多项成绩。极大锻炼了本科生的创新能力，并激发了学院其他专业学生创新创业意识，学院本科生的创新创业热情空前高涨。为更好的发挥创新实验室职责，学院指定专人对实验室进行管理，并制订了详细的实验室开放管理条例，学院将继续对大学生创新实验室加大投入，使更多的本科生投入到自主创新创业中来。本中心以培养学生实践技能和创新意识为目标，继续完善大学生科技创新实验室，提升大学生创新性实验水平，积极申报国家大学生科技创新实验计划、泰安市大学生科技创新计划、山东省及全国大学生设计竞赛、国际大学生设计竞赛、校SRT项目等，每年申报立项SRT项目5项以上，参与学生20人/次以上。对SRT实验室和创业基地实行学院管理的模式，学院将成立大学生创新创业平台管理办公室，挂靠学院实验教学中心，建立严格的仪器设备管理制度，确保实验设备正常运行。</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1"/>
      </w:pPr>
      <w:r>
        <w:t>学校与潍坊青华园林设计公司连续6年，举办</w:t>
      </w:r>
      <w:r>
        <w:rPr>
          <w:rFonts w:hint="eastAsia"/>
        </w:rPr>
        <w:t>“</w:t>
      </w:r>
      <w:r>
        <w:t>青华杯</w:t>
      </w:r>
      <w:r>
        <w:rPr>
          <w:rFonts w:hint="eastAsia"/>
        </w:rPr>
        <w:t>”</w:t>
      </w:r>
      <w:r>
        <w:t>大学生设计竞赛。学生还参加其他国内外设计竞赛，包括国际风景师联合会（IFLA）大学设计竞赛、ILIA艾景奖国际大学生设计竞赛、园冶杯国际大学生设计竞赛、山东省高校美术与设计专业师生基本功比赛等大型赛事活动，在上述竞赛活动中取得了很好的成绩。</w:t>
      </w:r>
    </w:p>
    <w:p>
      <w:pPr>
        <w:pStyle w:val="5"/>
        <w:spacing w:before="93" w:after="93"/>
        <w:ind w:firstLine="560"/>
      </w:pPr>
      <w:r>
        <w:t>三</w:t>
      </w:r>
      <w:r>
        <w:rPr>
          <w:rFonts w:hint="eastAsia"/>
        </w:rPr>
        <w:t>、</w:t>
      </w:r>
      <w:r>
        <w:t>培养条件</w:t>
      </w:r>
    </w:p>
    <w:p>
      <w:pPr>
        <w:pStyle w:val="6"/>
        <w:ind w:firstLine="480"/>
      </w:pPr>
      <w:r>
        <w:t>1</w:t>
      </w:r>
      <w:r>
        <w:rPr>
          <w:rFonts w:hint="eastAsia"/>
        </w:rPr>
        <w:t>.</w:t>
      </w:r>
      <w:r>
        <w:t xml:space="preserve"> 教学经费投入</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80" w:firstLineChars="200"/>
      </w:pPr>
      <w:r>
        <w:t>在教学经费投入环节，2018年投入50万元，用于风景园林规划设计专业绘图教室建设及教学设备更新。</w:t>
      </w:r>
    </w:p>
    <w:p>
      <w:pPr>
        <w:pStyle w:val="6"/>
        <w:ind w:firstLine="480"/>
      </w:pPr>
      <w:r>
        <w:t>2</w:t>
      </w:r>
      <w:r>
        <w:rPr>
          <w:rFonts w:hint="eastAsia"/>
        </w:rPr>
        <w:t>.</w:t>
      </w:r>
      <w:r>
        <w:t xml:space="preserve"> 教学设备</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80" w:firstLineChars="200"/>
      </w:pPr>
      <w:r>
        <w:t>专业及实践教学方面，成立了山东农业大学绘画制图中心，现有专业绘图教室8个；计算机辅助教学实验室、大学生创新创业中心；风景园林建筑及工程实验室正在筹建中，计划投入经费300万元。满足风景园林专业的实践教学环节。重点保证每个学生都有良好的教学实验、综合实习、课程设计和毕业设计条件。</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另外，大学生创新创业中心，位于林学院实验楼上，是风景园林专业学生参与社会实践的场地，由牛兰永老师负责。筹建工程模型室，完善模型制作仪器与制作工具，进行工程模型的展示与演示。筹建大学生作品展览展示室。</w:t>
      </w:r>
    </w:p>
    <w:p>
      <w:pPr>
        <w:pStyle w:val="6"/>
        <w:ind w:firstLine="480"/>
      </w:pPr>
      <w:r>
        <w:t>3</w:t>
      </w:r>
      <w:r>
        <w:rPr>
          <w:rFonts w:hint="eastAsia"/>
        </w:rPr>
        <w:t>.</w:t>
      </w:r>
      <w:r>
        <w:t xml:space="preserve"> 教师队伍建设</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1"/>
      </w:pPr>
      <w:r>
        <w:t>风景园林规划设计方向共有师资20人，在校学生369人，师生比1：18.5，教师年平均本科教学工作量400学时以上。教师队伍中具有博士学位4人，具有硕士学位14人，本科2人。教授1人：王洪涛；副教授13人：刘兵、邢黎峰、于东明、陈东田、赵春仙、贾宁、张俊霞、张馨文、贾艳艳、马琳、高慧、于斌、乔姝函。讲师6人：姚仲晓、赵明远、李龙飞、李源、黄宝玉、王鹏。</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1"/>
      </w:pPr>
      <w:r>
        <w:t>在风景园林植物应用方向，共有师资13人。具有博士学位8人，具有硕士学位9人。教授4人，为臧德奎、郭先锋、于晓艳。副教授8人：樊金会、王延玲、马燕、国静、徐宗大，讲师1人：亓帅。</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b/>
          <w:bCs/>
          <w:sz w:val="21"/>
          <w:szCs w:val="21"/>
        </w:rPr>
      </w:pPr>
      <w:r>
        <w:rPr>
          <w:b/>
          <w:bCs/>
          <w:sz w:val="21"/>
          <w:szCs w:val="21"/>
        </w:rPr>
        <w:t>风景园林规划设计方向教师承担教学课程一览表</w:t>
      </w:r>
    </w:p>
    <w:tbl>
      <w:tblPr>
        <w:tblStyle w:val="1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59"/>
        <w:gridCol w:w="1276"/>
        <w:gridCol w:w="708"/>
        <w:gridCol w:w="4253"/>
        <w:gridCol w:w="13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b/>
                <w:bCs/>
                <w:sz w:val="21"/>
                <w:szCs w:val="21"/>
              </w:rPr>
            </w:pPr>
            <w:r>
              <w:rPr>
                <w:b/>
                <w:bCs/>
                <w:sz w:val="21"/>
                <w:szCs w:val="21"/>
              </w:rPr>
              <w:t>姓</w:t>
            </w:r>
            <w:r>
              <w:rPr>
                <w:rFonts w:hint="eastAsia"/>
                <w:b/>
                <w:bCs/>
                <w:sz w:val="21"/>
                <w:szCs w:val="21"/>
              </w:rPr>
              <w:t xml:space="preserve">  </w:t>
            </w:r>
            <w:r>
              <w:rPr>
                <w:b/>
                <w:bCs/>
                <w:sz w:val="21"/>
                <w:szCs w:val="21"/>
              </w:rPr>
              <w:t>名</w:t>
            </w:r>
          </w:p>
        </w:tc>
        <w:tc>
          <w:tcPr>
            <w:tcW w:w="127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b/>
                <w:bCs/>
                <w:sz w:val="21"/>
                <w:szCs w:val="21"/>
              </w:rPr>
            </w:pPr>
            <w:r>
              <w:rPr>
                <w:b/>
                <w:bCs/>
                <w:sz w:val="21"/>
                <w:szCs w:val="21"/>
              </w:rPr>
              <w:t>职称</w:t>
            </w:r>
          </w:p>
        </w:tc>
        <w:tc>
          <w:tcPr>
            <w:tcW w:w="708"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b/>
                <w:bCs/>
                <w:sz w:val="21"/>
                <w:szCs w:val="21"/>
              </w:rPr>
            </w:pPr>
            <w:r>
              <w:rPr>
                <w:b/>
                <w:bCs/>
                <w:sz w:val="21"/>
                <w:szCs w:val="21"/>
              </w:rPr>
              <w:t>学位</w:t>
            </w:r>
          </w:p>
        </w:tc>
        <w:tc>
          <w:tcPr>
            <w:tcW w:w="4253"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b/>
                <w:bCs/>
                <w:sz w:val="21"/>
                <w:szCs w:val="21"/>
              </w:rPr>
            </w:pPr>
            <w:r>
              <w:rPr>
                <w:b/>
                <w:bCs/>
                <w:sz w:val="21"/>
                <w:szCs w:val="21"/>
              </w:rPr>
              <w:t>主讲课程</w:t>
            </w:r>
          </w:p>
        </w:tc>
        <w:tc>
          <w:tcPr>
            <w:tcW w:w="132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b/>
                <w:bCs/>
                <w:sz w:val="21"/>
                <w:szCs w:val="21"/>
              </w:rPr>
            </w:pPr>
            <w:r>
              <w:rPr>
                <w:b/>
                <w:bCs/>
                <w:sz w:val="21"/>
                <w:szCs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王洪涛</w:t>
            </w:r>
          </w:p>
        </w:tc>
        <w:tc>
          <w:tcPr>
            <w:tcW w:w="127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教授</w:t>
            </w:r>
          </w:p>
        </w:tc>
        <w:tc>
          <w:tcPr>
            <w:tcW w:w="708"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硕士</w:t>
            </w:r>
          </w:p>
        </w:tc>
        <w:tc>
          <w:tcPr>
            <w:tcW w:w="4253"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风景园林规划设计、专业英语</w:t>
            </w:r>
          </w:p>
        </w:tc>
        <w:tc>
          <w:tcPr>
            <w:tcW w:w="132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刘</w:t>
            </w:r>
            <w:r>
              <w:rPr>
                <w:rFonts w:hint="eastAsia"/>
                <w:sz w:val="21"/>
                <w:szCs w:val="21"/>
              </w:rPr>
              <w:t xml:space="preserve">  </w:t>
            </w:r>
            <w:r>
              <w:rPr>
                <w:sz w:val="21"/>
                <w:szCs w:val="21"/>
              </w:rPr>
              <w:t>兵</w:t>
            </w:r>
          </w:p>
        </w:tc>
        <w:tc>
          <w:tcPr>
            <w:tcW w:w="127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副教授</w:t>
            </w:r>
          </w:p>
        </w:tc>
        <w:tc>
          <w:tcPr>
            <w:tcW w:w="708"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博士</w:t>
            </w:r>
          </w:p>
        </w:tc>
        <w:tc>
          <w:tcPr>
            <w:tcW w:w="4253"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风景园林植物景观规划设计、中外园林史</w:t>
            </w:r>
          </w:p>
        </w:tc>
        <w:tc>
          <w:tcPr>
            <w:tcW w:w="132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于东明</w:t>
            </w:r>
          </w:p>
        </w:tc>
        <w:tc>
          <w:tcPr>
            <w:tcW w:w="127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副教授</w:t>
            </w:r>
          </w:p>
        </w:tc>
        <w:tc>
          <w:tcPr>
            <w:tcW w:w="708"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博士</w:t>
            </w:r>
          </w:p>
        </w:tc>
        <w:tc>
          <w:tcPr>
            <w:tcW w:w="4253"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风景园林规划设计、风景园林工程</w:t>
            </w:r>
          </w:p>
        </w:tc>
        <w:tc>
          <w:tcPr>
            <w:tcW w:w="132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邢黎峰</w:t>
            </w:r>
          </w:p>
        </w:tc>
        <w:tc>
          <w:tcPr>
            <w:tcW w:w="127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副教授</w:t>
            </w:r>
          </w:p>
        </w:tc>
        <w:tc>
          <w:tcPr>
            <w:tcW w:w="708"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硕士</w:t>
            </w:r>
          </w:p>
        </w:tc>
        <w:tc>
          <w:tcPr>
            <w:tcW w:w="4253"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计算机辅助设计</w:t>
            </w:r>
          </w:p>
        </w:tc>
        <w:tc>
          <w:tcPr>
            <w:tcW w:w="132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陈东田</w:t>
            </w:r>
          </w:p>
        </w:tc>
        <w:tc>
          <w:tcPr>
            <w:tcW w:w="127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副教授</w:t>
            </w:r>
          </w:p>
        </w:tc>
        <w:tc>
          <w:tcPr>
            <w:tcW w:w="708"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硕士</w:t>
            </w:r>
          </w:p>
        </w:tc>
        <w:tc>
          <w:tcPr>
            <w:tcW w:w="4253"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风景园林规划设计、旅游规划原理</w:t>
            </w:r>
          </w:p>
        </w:tc>
        <w:tc>
          <w:tcPr>
            <w:tcW w:w="132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赵春仙</w:t>
            </w:r>
          </w:p>
        </w:tc>
        <w:tc>
          <w:tcPr>
            <w:tcW w:w="127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副教授</w:t>
            </w:r>
          </w:p>
        </w:tc>
        <w:tc>
          <w:tcPr>
            <w:tcW w:w="708"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硕士</w:t>
            </w:r>
          </w:p>
        </w:tc>
        <w:tc>
          <w:tcPr>
            <w:tcW w:w="4253"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风景园林规划设计</w:t>
            </w:r>
          </w:p>
        </w:tc>
        <w:tc>
          <w:tcPr>
            <w:tcW w:w="132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贾</w:t>
            </w:r>
            <w:r>
              <w:rPr>
                <w:rFonts w:hint="eastAsia"/>
                <w:sz w:val="21"/>
                <w:szCs w:val="21"/>
              </w:rPr>
              <w:t xml:space="preserve">  </w:t>
            </w:r>
            <w:r>
              <w:rPr>
                <w:sz w:val="21"/>
                <w:szCs w:val="21"/>
              </w:rPr>
              <w:t>宁</w:t>
            </w:r>
          </w:p>
        </w:tc>
        <w:tc>
          <w:tcPr>
            <w:tcW w:w="127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副教授</w:t>
            </w:r>
          </w:p>
        </w:tc>
        <w:tc>
          <w:tcPr>
            <w:tcW w:w="708"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硕士</w:t>
            </w:r>
          </w:p>
        </w:tc>
        <w:tc>
          <w:tcPr>
            <w:tcW w:w="4253"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计算机辅助设计</w:t>
            </w:r>
          </w:p>
        </w:tc>
        <w:tc>
          <w:tcPr>
            <w:tcW w:w="132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张俊霞</w:t>
            </w:r>
          </w:p>
        </w:tc>
        <w:tc>
          <w:tcPr>
            <w:tcW w:w="127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副教授</w:t>
            </w:r>
          </w:p>
        </w:tc>
        <w:tc>
          <w:tcPr>
            <w:tcW w:w="708"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博士</w:t>
            </w:r>
          </w:p>
        </w:tc>
        <w:tc>
          <w:tcPr>
            <w:tcW w:w="4253"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风景园林规划设计、中外园林史</w:t>
            </w:r>
          </w:p>
        </w:tc>
        <w:tc>
          <w:tcPr>
            <w:tcW w:w="132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张馨文</w:t>
            </w:r>
          </w:p>
        </w:tc>
        <w:tc>
          <w:tcPr>
            <w:tcW w:w="127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副教授</w:t>
            </w:r>
          </w:p>
        </w:tc>
        <w:tc>
          <w:tcPr>
            <w:tcW w:w="708"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硕士</w:t>
            </w:r>
          </w:p>
        </w:tc>
        <w:tc>
          <w:tcPr>
            <w:tcW w:w="4253"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风景园林规划设计、美术</w:t>
            </w:r>
          </w:p>
        </w:tc>
        <w:tc>
          <w:tcPr>
            <w:tcW w:w="132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spacing w:line="240" w:lineRule="auto"/>
              <w:jc w:val="center"/>
              <w:rPr>
                <w:sz w:val="21"/>
                <w:szCs w:val="21"/>
              </w:rPr>
            </w:pPr>
            <w:r>
              <w:rPr>
                <w:sz w:val="21"/>
                <w:szCs w:val="21"/>
              </w:rPr>
              <w:t>贾艳艳</w:t>
            </w:r>
          </w:p>
        </w:tc>
        <w:tc>
          <w:tcPr>
            <w:tcW w:w="1276" w:type="dxa"/>
            <w:shd w:val="clear" w:color="auto" w:fill="auto"/>
            <w:vAlign w:val="center"/>
          </w:tcPr>
          <w:p>
            <w:pPr>
              <w:spacing w:line="240" w:lineRule="auto"/>
              <w:jc w:val="center"/>
              <w:rPr>
                <w:sz w:val="21"/>
                <w:szCs w:val="21"/>
              </w:rPr>
            </w:pPr>
            <w:r>
              <w:rPr>
                <w:sz w:val="21"/>
                <w:szCs w:val="21"/>
              </w:rPr>
              <w:t>副教授</w:t>
            </w:r>
          </w:p>
        </w:tc>
        <w:tc>
          <w:tcPr>
            <w:tcW w:w="708" w:type="dxa"/>
            <w:shd w:val="clear" w:color="auto" w:fill="auto"/>
            <w:vAlign w:val="center"/>
          </w:tcPr>
          <w:p>
            <w:pPr>
              <w:spacing w:line="240" w:lineRule="auto"/>
              <w:jc w:val="center"/>
              <w:rPr>
                <w:sz w:val="21"/>
                <w:szCs w:val="21"/>
              </w:rPr>
            </w:pPr>
            <w:r>
              <w:rPr>
                <w:sz w:val="21"/>
                <w:szCs w:val="21"/>
              </w:rPr>
              <w:t>博士</w:t>
            </w:r>
          </w:p>
        </w:tc>
        <w:tc>
          <w:tcPr>
            <w:tcW w:w="4253" w:type="dxa"/>
            <w:shd w:val="clear" w:color="auto" w:fill="auto"/>
            <w:vAlign w:val="center"/>
          </w:tcPr>
          <w:p>
            <w:pPr>
              <w:spacing w:line="240" w:lineRule="auto"/>
              <w:jc w:val="center"/>
              <w:rPr>
                <w:sz w:val="21"/>
                <w:szCs w:val="21"/>
              </w:rPr>
            </w:pPr>
            <w:r>
              <w:rPr>
                <w:sz w:val="21"/>
                <w:szCs w:val="21"/>
              </w:rPr>
              <w:t>风景园林与景观生态、园林工程</w:t>
            </w:r>
          </w:p>
        </w:tc>
        <w:tc>
          <w:tcPr>
            <w:tcW w:w="1326" w:type="dxa"/>
            <w:shd w:val="clear" w:color="auto" w:fill="auto"/>
            <w:vAlign w:val="center"/>
          </w:tcPr>
          <w:p>
            <w:pPr>
              <w:spacing w:line="240" w:lineRule="auto"/>
              <w:jc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于</w:t>
            </w:r>
            <w:r>
              <w:rPr>
                <w:rFonts w:hint="eastAsia"/>
                <w:sz w:val="21"/>
                <w:szCs w:val="21"/>
              </w:rPr>
              <w:t xml:space="preserve">  </w:t>
            </w:r>
            <w:r>
              <w:rPr>
                <w:sz w:val="21"/>
                <w:szCs w:val="21"/>
              </w:rPr>
              <w:t>斌</w:t>
            </w:r>
          </w:p>
        </w:tc>
        <w:tc>
          <w:tcPr>
            <w:tcW w:w="127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副教授</w:t>
            </w:r>
          </w:p>
        </w:tc>
        <w:tc>
          <w:tcPr>
            <w:tcW w:w="708"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硕士</w:t>
            </w:r>
          </w:p>
        </w:tc>
        <w:tc>
          <w:tcPr>
            <w:tcW w:w="4253"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平面构成、美术</w:t>
            </w:r>
          </w:p>
        </w:tc>
        <w:tc>
          <w:tcPr>
            <w:tcW w:w="132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乔姝函</w:t>
            </w:r>
          </w:p>
        </w:tc>
        <w:tc>
          <w:tcPr>
            <w:tcW w:w="127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副教授</w:t>
            </w:r>
          </w:p>
        </w:tc>
        <w:tc>
          <w:tcPr>
            <w:tcW w:w="708"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硕士</w:t>
            </w:r>
          </w:p>
        </w:tc>
        <w:tc>
          <w:tcPr>
            <w:tcW w:w="4253"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公共艺术设计、美术、设计表达</w:t>
            </w:r>
          </w:p>
        </w:tc>
        <w:tc>
          <w:tcPr>
            <w:tcW w:w="132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李龙飞</w:t>
            </w:r>
          </w:p>
        </w:tc>
        <w:tc>
          <w:tcPr>
            <w:tcW w:w="127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讲师</w:t>
            </w:r>
          </w:p>
        </w:tc>
        <w:tc>
          <w:tcPr>
            <w:tcW w:w="708"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博士</w:t>
            </w:r>
          </w:p>
        </w:tc>
        <w:tc>
          <w:tcPr>
            <w:tcW w:w="4253"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制图基础、建筑设计</w:t>
            </w:r>
          </w:p>
        </w:tc>
        <w:tc>
          <w:tcPr>
            <w:tcW w:w="132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姚仲晓</w:t>
            </w:r>
          </w:p>
        </w:tc>
        <w:tc>
          <w:tcPr>
            <w:tcW w:w="127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讲师</w:t>
            </w:r>
          </w:p>
        </w:tc>
        <w:tc>
          <w:tcPr>
            <w:tcW w:w="708"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学士</w:t>
            </w:r>
          </w:p>
        </w:tc>
        <w:tc>
          <w:tcPr>
            <w:tcW w:w="4253"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风景园林共工程、制图基础</w:t>
            </w:r>
          </w:p>
        </w:tc>
        <w:tc>
          <w:tcPr>
            <w:tcW w:w="132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赵明远</w:t>
            </w:r>
          </w:p>
        </w:tc>
        <w:tc>
          <w:tcPr>
            <w:tcW w:w="127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讲师</w:t>
            </w:r>
          </w:p>
        </w:tc>
        <w:tc>
          <w:tcPr>
            <w:tcW w:w="708"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硕士</w:t>
            </w:r>
          </w:p>
        </w:tc>
        <w:tc>
          <w:tcPr>
            <w:tcW w:w="4253"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公共艺术设计、设计初步</w:t>
            </w:r>
          </w:p>
        </w:tc>
        <w:tc>
          <w:tcPr>
            <w:tcW w:w="132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马</w:t>
            </w:r>
            <w:r>
              <w:rPr>
                <w:rFonts w:hint="eastAsia"/>
                <w:sz w:val="21"/>
                <w:szCs w:val="21"/>
              </w:rPr>
              <w:t xml:space="preserve">  </w:t>
            </w:r>
            <w:r>
              <w:rPr>
                <w:sz w:val="21"/>
                <w:szCs w:val="21"/>
              </w:rPr>
              <w:t>琳</w:t>
            </w:r>
          </w:p>
        </w:tc>
        <w:tc>
          <w:tcPr>
            <w:tcW w:w="127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副教授</w:t>
            </w:r>
          </w:p>
        </w:tc>
        <w:tc>
          <w:tcPr>
            <w:tcW w:w="708"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博士</w:t>
            </w:r>
          </w:p>
        </w:tc>
        <w:tc>
          <w:tcPr>
            <w:tcW w:w="4253"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城市规划原理、园林艺术原理</w:t>
            </w:r>
          </w:p>
        </w:tc>
        <w:tc>
          <w:tcPr>
            <w:tcW w:w="132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高</w:t>
            </w:r>
            <w:r>
              <w:rPr>
                <w:rFonts w:hint="eastAsia"/>
                <w:sz w:val="21"/>
                <w:szCs w:val="21"/>
              </w:rPr>
              <w:t xml:space="preserve">  </w:t>
            </w:r>
            <w:r>
              <w:rPr>
                <w:sz w:val="21"/>
                <w:szCs w:val="21"/>
              </w:rPr>
              <w:t>慧</w:t>
            </w:r>
          </w:p>
        </w:tc>
        <w:tc>
          <w:tcPr>
            <w:tcW w:w="127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副教授</w:t>
            </w:r>
          </w:p>
        </w:tc>
        <w:tc>
          <w:tcPr>
            <w:tcW w:w="708"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硕士</w:t>
            </w:r>
          </w:p>
        </w:tc>
        <w:tc>
          <w:tcPr>
            <w:tcW w:w="4253"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建筑设计、城市规划原理</w:t>
            </w:r>
          </w:p>
        </w:tc>
        <w:tc>
          <w:tcPr>
            <w:tcW w:w="132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李</w:t>
            </w:r>
            <w:r>
              <w:rPr>
                <w:rFonts w:hint="eastAsia"/>
                <w:sz w:val="21"/>
                <w:szCs w:val="21"/>
              </w:rPr>
              <w:t xml:space="preserve">  </w:t>
            </w:r>
            <w:r>
              <w:rPr>
                <w:sz w:val="21"/>
                <w:szCs w:val="21"/>
              </w:rPr>
              <w:t>源</w:t>
            </w:r>
          </w:p>
        </w:tc>
        <w:tc>
          <w:tcPr>
            <w:tcW w:w="127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讲师</w:t>
            </w:r>
          </w:p>
        </w:tc>
        <w:tc>
          <w:tcPr>
            <w:tcW w:w="708"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硕士</w:t>
            </w:r>
          </w:p>
        </w:tc>
        <w:tc>
          <w:tcPr>
            <w:tcW w:w="4253"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设计初步、城市规划原理</w:t>
            </w:r>
          </w:p>
        </w:tc>
        <w:tc>
          <w:tcPr>
            <w:tcW w:w="132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8" w:hRule="atLeast"/>
          <w:jc w:val="center"/>
        </w:trPr>
        <w:tc>
          <w:tcPr>
            <w:tcW w:w="959"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黄宝玉</w:t>
            </w:r>
          </w:p>
        </w:tc>
        <w:tc>
          <w:tcPr>
            <w:tcW w:w="127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讲师</w:t>
            </w:r>
          </w:p>
        </w:tc>
        <w:tc>
          <w:tcPr>
            <w:tcW w:w="708"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硕士</w:t>
            </w:r>
          </w:p>
        </w:tc>
        <w:tc>
          <w:tcPr>
            <w:tcW w:w="4253"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r>
              <w:rPr>
                <w:sz w:val="21"/>
                <w:szCs w:val="21"/>
              </w:rPr>
              <w:t>建筑设计、城市规划原理</w:t>
            </w:r>
          </w:p>
        </w:tc>
        <w:tc>
          <w:tcPr>
            <w:tcW w:w="1326" w:type="dxa"/>
            <w:shd w:val="clear" w:color="auto" w:fill="auto"/>
            <w:vAlign w:val="center"/>
          </w:tcPr>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sz w:val="21"/>
                <w:szCs w:val="21"/>
              </w:rPr>
            </w:pPr>
          </w:p>
        </w:tc>
      </w:tr>
    </w:tbl>
    <w:p>
      <w:pPr>
        <w:pStyle w:val="6"/>
        <w:ind w:firstLine="480"/>
      </w:pPr>
      <w:r>
        <w:t>4</w:t>
      </w:r>
      <w:r>
        <w:rPr>
          <w:rFonts w:hint="eastAsia"/>
        </w:rPr>
        <w:t>.</w:t>
      </w:r>
      <w:r>
        <w:t xml:space="preserve"> 实习基地</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1"/>
      </w:pPr>
      <w:r>
        <w:t>校内教学实习基地（山东省城乡风景园林工程技术研究中心）：该中心成立于2010年，设主任1名，副主任2人，技术人员若干。中心除正常承担林学专业教学实习任务外，承担我院教师承担的几十项规划设计课题，取得了较好的社会效益和经济效益，在科研教学示范及人才培养中发挥着重要作用。</w:t>
      </w:r>
    </w:p>
    <w:p>
      <w:pPr>
        <w:pStyle w:val="6"/>
        <w:ind w:firstLine="480"/>
      </w:pPr>
      <w:r>
        <w:t>5</w:t>
      </w:r>
      <w:r>
        <w:rPr>
          <w:rFonts w:hint="eastAsia"/>
        </w:rPr>
        <w:t>.</w:t>
      </w:r>
      <w:r>
        <w:t xml:space="preserve"> 现代教学技术应用等</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0"/>
      </w:pPr>
      <w:r>
        <w:t>现代教学技术应用方面，主要采用多媒体教学。</w:t>
      </w:r>
    </w:p>
    <w:p>
      <w:pPr>
        <w:pStyle w:val="5"/>
        <w:spacing w:before="93" w:after="93"/>
        <w:ind w:firstLine="560"/>
      </w:pPr>
      <w:r>
        <w:t>四</w:t>
      </w:r>
      <w:r>
        <w:rPr>
          <w:rFonts w:hint="eastAsia"/>
        </w:rPr>
        <w:t>、</w:t>
      </w:r>
      <w:r>
        <w:t>培养机制与特色</w:t>
      </w:r>
    </w:p>
    <w:p>
      <w:pPr>
        <w:pStyle w:val="6"/>
        <w:ind w:firstLine="480"/>
      </w:pPr>
      <w:r>
        <w:t>1</w:t>
      </w:r>
      <w:r>
        <w:rPr>
          <w:rFonts w:hint="eastAsia"/>
        </w:rPr>
        <w:t>.</w:t>
      </w:r>
      <w:r>
        <w:t xml:space="preserve"> 产学研协同育人机制</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1"/>
      </w:pPr>
      <w:r>
        <w:t>建立专业人才培养方案的动态完善机制。重点加强对课程体系的优化，做到三个结合：必修课与选修课有机结合；理论课程体系与实践教学体系有机结合；第一课堂与第二课堂有机结合。始终把课堂教学、实验课教学、生产实践三段教学环节紧密结合，注重理论联系实际和学生创新能力的培养。</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1"/>
      </w:pPr>
      <w:r>
        <w:t>（1）在课程体系上，依据理论课程之间内在的逻辑关系进一步完善课程分类管理。为了更新教学内容，不断加强教材建设的力度，鼓励本专业教师根据自己多年的教学和科研成果，主编或参编全国统编教材。</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1"/>
      </w:pPr>
      <w:r>
        <w:t xml:space="preserve">（2）在原有课程建设的基础上，现有邢黎峰的《计算机辅助设计》成功省级精品课程1门； </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1"/>
      </w:pPr>
      <w:r>
        <w:t>（3）积极开展教学改革与教学法研究，建立主干课程多媒体资源库2-3个。</w:t>
      </w:r>
    </w:p>
    <w:p>
      <w:pPr>
        <w:pStyle w:val="6"/>
        <w:ind w:firstLine="480"/>
      </w:pPr>
      <w:r>
        <w:t>2</w:t>
      </w:r>
      <w:r>
        <w:rPr>
          <w:rFonts w:hint="eastAsia"/>
        </w:rPr>
        <w:t>.</w:t>
      </w:r>
      <w:r>
        <w:t xml:space="preserve"> 合作办学</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1"/>
      </w:pPr>
      <w:r>
        <w:t>启动与美国佛罗里达大学</w:t>
      </w:r>
      <w:r>
        <w:rPr>
          <w:rFonts w:hint="eastAsia"/>
        </w:rPr>
        <w:t>“</w:t>
      </w:r>
      <w:r>
        <w:t>2+1+1</w:t>
      </w:r>
      <w:r>
        <w:rPr>
          <w:rFonts w:hint="eastAsia"/>
        </w:rPr>
        <w:t>”</w:t>
      </w:r>
      <w:r>
        <w:t>本科生合作培养项目，加强与台湾中国文化大学的合作，推动本科教育合作模式的进程，为风景园林专业学生拓宽发展渠道；定期邀请相关专家来校为本科生讲学，积极寻求教学、科研与师资培养方面的合作。</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1"/>
      </w:pPr>
      <w:r>
        <w:t>加强科研教学团队建设，增强承担或参与重大规划设计研究的能力和水平，加强社会服务能力。重点依托山东省城乡风景园林工程技术研究中心，承担地方政府或企事业单位的委托规划设计项目，提升教师的规划设计能力，拓宽学生的实践活动渠道和空间。</w:t>
      </w:r>
    </w:p>
    <w:p>
      <w:pPr>
        <w:pStyle w:val="6"/>
        <w:ind w:firstLine="480"/>
      </w:pPr>
      <w:r>
        <w:t>3</w:t>
      </w:r>
      <w:r>
        <w:rPr>
          <w:rFonts w:hint="eastAsia"/>
        </w:rPr>
        <w:t>.</w:t>
      </w:r>
      <w:r>
        <w:t xml:space="preserve"> 教学管理</w:t>
      </w:r>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80" w:firstLineChars="200"/>
      </w:pPr>
      <w:r>
        <w:t>专业现有教学管理人员2人，其中1人为副高级职称，1人为硕士学位。</w:t>
      </w:r>
      <w:bookmarkStart w:id="209" w:name="OLE_LINK3"/>
      <w:r>
        <w:t>建有以学院教授委员会委员和退休老教师为成员的教学指导委员会，负责专业建设与发展、人才培养方案制修订和教学计划制定、教学质量检查指导等工作。</w:t>
      </w:r>
      <w:bookmarkEnd w:id="209"/>
      <w:r>
        <w:t>教学管理人员熟悉高等教育规律和有关法规文件，能够密切配合、团结协作完成教学管理工作任务。教学管理人员素质高、能力强，在学院专业建设、教学改革、日常教学管理中发挥了重要作用。强化教学过程管理，注重教师教学精力投入和完善教学细微环节，确保教学秩序的正常运行。不管是课堂教学、实验教学，还是教学实习、毕业实习等实践教学，以及考试等环节均维持了良好的教学秩序，近5年未发生过任何教学事故和教学管理事故。严格调停课规定，制定了详细的调停课制度和审批程序。严格领导听课制度，对听课制度做了详细规定，要求系主任和专业主任每学期听课次数不少于4次8学时，系所负责人不少于2次4学时，并填写听课证和听课记录表，把发现的问题及时反馈给相关教师。严格教学档案管理，教学日历、课程教学大纲、课程论文、毕业论文、考试试卷等教学档案由院资料室统一装订，进行分类整理，专门归档。按照专人专管、专橱专放、严格借阅的原则，专门购买了新档案橱进行论文材料档案存放，由教学秘书专人管理，并制定了论文材料档案查询、出借的手续和规定。</w:t>
      </w:r>
    </w:p>
    <w:p>
      <w:pPr>
        <w:pStyle w:val="5"/>
        <w:spacing w:before="93" w:after="93"/>
        <w:ind w:firstLine="560"/>
      </w:pPr>
      <w:r>
        <w:rPr>
          <w:rFonts w:hint="eastAsia"/>
        </w:rPr>
        <w:t>五、</w:t>
      </w:r>
      <w:r>
        <w:t>培养质量</w:t>
      </w:r>
    </w:p>
    <w:p>
      <w:pPr>
        <w:pStyle w:val="6"/>
        <w:ind w:firstLine="480"/>
      </w:pPr>
      <w:r>
        <w:t>1</w:t>
      </w:r>
      <w:r>
        <w:rPr>
          <w:rFonts w:hint="eastAsia"/>
        </w:rPr>
        <w:t>.</w:t>
      </w:r>
      <w:r>
        <w:t xml:space="preserve"> 毕业生就业率</w:t>
      </w:r>
    </w:p>
    <w:p>
      <w:pPr>
        <w:ind w:right="120" w:rightChars="50" w:firstLine="480" w:firstLineChars="200"/>
        <w:rPr>
          <w:color w:val="000000"/>
        </w:rPr>
      </w:pPr>
      <w:r>
        <w:rPr>
          <w:color w:val="000000"/>
        </w:rPr>
        <w:t>2016届毕业生69人，升学24人，出国学习1人。签约6人，劳动合同38人，就业率100%。</w:t>
      </w:r>
    </w:p>
    <w:p>
      <w:pPr>
        <w:ind w:right="120" w:rightChars="50" w:firstLine="480" w:firstLineChars="200"/>
        <w:rPr>
          <w:color w:val="000000"/>
        </w:rPr>
      </w:pPr>
      <w:r>
        <w:rPr>
          <w:color w:val="000000"/>
        </w:rPr>
        <w:t>2018届毕业生87人，升学27人，出国学习4人。签约39人，劳动合同12人，就业率94.3%。</w:t>
      </w:r>
    </w:p>
    <w:p>
      <w:pPr>
        <w:ind w:right="120" w:rightChars="50" w:firstLine="480" w:firstLineChars="200"/>
        <w:rPr>
          <w:color w:val="000000"/>
        </w:rPr>
      </w:pPr>
      <w:r>
        <w:rPr>
          <w:color w:val="000000"/>
        </w:rPr>
        <w:t>2019届毕业生88人，升学35人，签约46人，就业率92.03%。</w:t>
      </w:r>
    </w:p>
    <w:p>
      <w:pPr>
        <w:ind w:right="120" w:rightChars="50" w:firstLine="480" w:firstLineChars="200"/>
        <w:rPr>
          <w:color w:val="000000"/>
        </w:rPr>
      </w:pPr>
      <w:bookmarkStart w:id="210" w:name="_Hlk84336759"/>
      <w:r>
        <w:rPr>
          <w:color w:val="000000"/>
        </w:rPr>
        <w:t>2020届毕业生87人，升学42人，签约40人，就业率94.25%。</w:t>
      </w:r>
    </w:p>
    <w:bookmarkEnd w:id="210"/>
    <w:p>
      <w:pPr>
        <w:ind w:right="120" w:rightChars="50" w:firstLine="480" w:firstLineChars="200"/>
      </w:pPr>
      <w:r>
        <w:t>2021届毕业生80人，升学49人，签约24人，就业率91.25%。</w:t>
      </w:r>
    </w:p>
    <w:p>
      <w:pPr>
        <w:pStyle w:val="6"/>
        <w:ind w:firstLine="480"/>
      </w:pPr>
      <w:r>
        <w:t>2</w:t>
      </w:r>
      <w:r>
        <w:rPr>
          <w:rFonts w:hint="eastAsia"/>
        </w:rPr>
        <w:t>.</w:t>
      </w:r>
      <w:r>
        <w:t xml:space="preserve"> 就业专业对口率</w:t>
      </w:r>
    </w:p>
    <w:p>
      <w:pPr>
        <w:ind w:right="120" w:rightChars="50" w:firstLine="480" w:firstLineChars="200"/>
        <w:rPr>
          <w:color w:val="000000"/>
        </w:rPr>
      </w:pPr>
      <w:r>
        <w:rPr>
          <w:color w:val="000000"/>
        </w:rPr>
        <w:t>就业专业对口率90%以上。</w:t>
      </w:r>
    </w:p>
    <w:p>
      <w:pPr>
        <w:pStyle w:val="6"/>
        <w:ind w:firstLine="480"/>
      </w:pPr>
      <w:r>
        <w:t>3</w:t>
      </w:r>
      <w:r>
        <w:rPr>
          <w:rFonts w:hint="eastAsia"/>
        </w:rPr>
        <w:t>.</w:t>
      </w:r>
      <w:r>
        <w:t xml:space="preserve"> 毕业生发展情况</w:t>
      </w:r>
    </w:p>
    <w:p>
      <w:pPr>
        <w:ind w:right="120" w:rightChars="50" w:firstLine="480" w:firstLineChars="200"/>
        <w:rPr>
          <w:rFonts w:eastAsia="仿宋_GB2312"/>
        </w:rPr>
      </w:pPr>
      <w:r>
        <w:rPr>
          <w:color w:val="000000"/>
        </w:rPr>
        <w:t>前两届学生发展状况良好，近二届毕业生，暂无统计。</w:t>
      </w:r>
    </w:p>
    <w:p>
      <w:pPr>
        <w:pStyle w:val="6"/>
        <w:ind w:firstLine="480"/>
      </w:pPr>
      <w:r>
        <w:t>4</w:t>
      </w:r>
      <w:r>
        <w:rPr>
          <w:rFonts w:hint="eastAsia"/>
        </w:rPr>
        <w:t>.</w:t>
      </w:r>
      <w:r>
        <w:t xml:space="preserve"> 就业单位满意率</w:t>
      </w:r>
    </w:p>
    <w:p>
      <w:pPr>
        <w:ind w:right="120" w:rightChars="50" w:firstLine="480" w:firstLineChars="200"/>
        <w:rPr>
          <w:color w:val="000000"/>
        </w:rPr>
      </w:pPr>
      <w:r>
        <w:rPr>
          <w:color w:val="000000"/>
        </w:rPr>
        <w:t>仅有7届毕业生，就业单位反馈的信息良好，暂无数据统计。</w:t>
      </w:r>
    </w:p>
    <w:p>
      <w:pPr>
        <w:pStyle w:val="6"/>
        <w:ind w:firstLine="480"/>
      </w:pPr>
      <w:r>
        <w:t>5</w:t>
      </w:r>
      <w:r>
        <w:rPr>
          <w:rFonts w:hint="eastAsia"/>
        </w:rPr>
        <w:t>.</w:t>
      </w:r>
      <w:r>
        <w:t xml:space="preserve"> 社会对专业的评价</w:t>
      </w:r>
    </w:p>
    <w:p>
      <w:pPr>
        <w:ind w:right="120" w:rightChars="50" w:firstLine="480" w:firstLineChars="200"/>
        <w:rPr>
          <w:color w:val="000000"/>
        </w:rPr>
      </w:pPr>
      <w:r>
        <w:rPr>
          <w:color w:val="000000"/>
        </w:rPr>
        <w:t>社会对该专业的反应良好，第一志愿报考率名列山东农业大学前茅。</w:t>
      </w:r>
    </w:p>
    <w:p>
      <w:pPr>
        <w:pStyle w:val="6"/>
        <w:ind w:firstLine="480"/>
      </w:pPr>
      <w:r>
        <w:t>6</w:t>
      </w:r>
      <w:r>
        <w:rPr>
          <w:rFonts w:hint="eastAsia"/>
        </w:rPr>
        <w:t>.</w:t>
      </w:r>
      <w:r>
        <w:t xml:space="preserve"> 学生就读该专业的意愿</w:t>
      </w:r>
    </w:p>
    <w:p>
      <w:pPr>
        <w:ind w:right="120" w:rightChars="50" w:firstLine="480" w:firstLineChars="200"/>
        <w:rPr>
          <w:color w:val="000000"/>
        </w:rPr>
      </w:pPr>
      <w:r>
        <w:rPr>
          <w:color w:val="000000"/>
        </w:rPr>
        <w:t>从大学一年级第二学期转专业情况看，就读风景园林专业意愿很高。</w:t>
      </w:r>
    </w:p>
    <w:p>
      <w:pPr>
        <w:pStyle w:val="5"/>
        <w:spacing w:before="93" w:after="93"/>
        <w:ind w:firstLine="560"/>
      </w:pPr>
      <w:r>
        <w:t>六</w:t>
      </w:r>
      <w:r>
        <w:rPr>
          <w:rFonts w:hint="eastAsia"/>
        </w:rPr>
        <w:t>、</w:t>
      </w:r>
      <w:r>
        <w:t>毕业生就业创业</w:t>
      </w:r>
    </w:p>
    <w:p>
      <w:pPr>
        <w:pStyle w:val="6"/>
        <w:ind w:firstLine="480"/>
      </w:pPr>
      <w:r>
        <w:t>1</w:t>
      </w:r>
      <w:r>
        <w:rPr>
          <w:rFonts w:hint="eastAsia"/>
        </w:rPr>
        <w:t>.</w:t>
      </w:r>
      <w:r>
        <w:t xml:space="preserve"> 创业情况</w:t>
      </w:r>
    </w:p>
    <w:p>
      <w:pPr>
        <w:ind w:right="120" w:rightChars="50" w:firstLine="480" w:firstLineChars="200"/>
        <w:rPr>
          <w:color w:val="000000"/>
        </w:rPr>
      </w:pPr>
      <w:r>
        <w:rPr>
          <w:color w:val="000000"/>
        </w:rPr>
        <w:t>有个别学生自主创业，暂无数据统计。</w:t>
      </w:r>
    </w:p>
    <w:p>
      <w:pPr>
        <w:pStyle w:val="6"/>
        <w:ind w:firstLine="480"/>
      </w:pPr>
      <w:r>
        <w:t>2</w:t>
      </w:r>
      <w:r>
        <w:rPr>
          <w:rFonts w:hint="eastAsia"/>
        </w:rPr>
        <w:t>.</w:t>
      </w:r>
      <w:r>
        <w:t xml:space="preserve"> 采取的措施</w:t>
      </w:r>
    </w:p>
    <w:p>
      <w:pPr>
        <w:rPr>
          <w:rFonts w:eastAsia="仿宋_GB2312"/>
        </w:rPr>
      </w:pPr>
      <w:r>
        <w:rPr>
          <w:rFonts w:eastAsia="仿宋_GB2312"/>
        </w:rPr>
        <w:t xml:space="preserve">    </w:t>
      </w:r>
      <w:r>
        <w:rPr>
          <w:color w:val="000000"/>
        </w:rPr>
        <w:t>暂无。</w:t>
      </w:r>
    </w:p>
    <w:p>
      <w:pPr>
        <w:pStyle w:val="6"/>
        <w:ind w:firstLine="480"/>
      </w:pPr>
      <w:r>
        <w:t>3</w:t>
      </w:r>
      <w:r>
        <w:rPr>
          <w:rFonts w:hint="eastAsia"/>
        </w:rPr>
        <w:t>.</w:t>
      </w:r>
      <w:r>
        <w:t xml:space="preserve"> 典型案例等</w:t>
      </w:r>
    </w:p>
    <w:p>
      <w:pPr>
        <w:ind w:firstLine="480" w:firstLineChars="200"/>
        <w:rPr>
          <w:color w:val="000000"/>
        </w:rPr>
      </w:pPr>
      <w:r>
        <w:rPr>
          <w:color w:val="000000"/>
        </w:rPr>
        <w:t>升学方面，历届毕业生的考研率逐年增高，2018届有45人考取硕士研究生。考取的学校有天津大学、清华大学、北京大学、北京林业大学等国内一流大学。</w:t>
      </w:r>
    </w:p>
    <w:p>
      <w:pPr>
        <w:pStyle w:val="5"/>
        <w:spacing w:before="93" w:after="93"/>
        <w:ind w:firstLine="560"/>
      </w:pPr>
      <w:r>
        <w:rPr>
          <w:rFonts w:hint="eastAsia"/>
        </w:rPr>
        <w:t>七、</w:t>
      </w:r>
      <w:r>
        <w:t>专业发展趋势及建议</w:t>
      </w:r>
    </w:p>
    <w:p>
      <w:pPr>
        <w:pStyle w:val="6"/>
        <w:ind w:firstLine="480"/>
      </w:pPr>
      <w:r>
        <w:t>1</w:t>
      </w:r>
      <w:r>
        <w:rPr>
          <w:rFonts w:hint="eastAsia"/>
        </w:rPr>
        <w:t>.</w:t>
      </w:r>
      <w:r>
        <w:t xml:space="preserve"> 对专业培养计划和课程教学大纲的追踪和修订</w:t>
      </w:r>
    </w:p>
    <w:p>
      <w:pPr>
        <w:ind w:right="120" w:rightChars="50" w:firstLine="482" w:firstLineChars="200"/>
        <w:rPr>
          <w:b/>
          <w:bCs/>
          <w:color w:val="000000"/>
        </w:rPr>
      </w:pPr>
      <w:r>
        <w:rPr>
          <w:b/>
          <w:bCs/>
          <w:color w:val="000000"/>
        </w:rPr>
        <w:t>（1）对专业培养计划的追踪和修订</w:t>
      </w:r>
    </w:p>
    <w:p>
      <w:pPr>
        <w:ind w:right="120" w:rightChars="50" w:firstLine="480" w:firstLineChars="200"/>
        <w:rPr>
          <w:color w:val="000000"/>
        </w:rPr>
      </w:pPr>
      <w:r>
        <w:rPr>
          <w:color w:val="000000"/>
        </w:rPr>
        <w:t>我校风景园林专业开设八年，目前国内开设风景园林专业的院校230多所，这些院校的一些新的经验和计划，值得借鉴。需要根据社会对人才的专业化需要和学校师资的具体情况，进行相应的调整。为此，需要对专业培养计划进行追踪，积累修订的基础资料。</w:t>
      </w:r>
    </w:p>
    <w:p>
      <w:pPr>
        <w:ind w:right="120" w:rightChars="50" w:firstLine="482" w:firstLineChars="200"/>
        <w:rPr>
          <w:b/>
          <w:bCs/>
          <w:color w:val="000000"/>
        </w:rPr>
      </w:pPr>
      <w:r>
        <w:rPr>
          <w:b/>
          <w:bCs/>
          <w:color w:val="000000"/>
        </w:rPr>
        <w:t>（2）对课程教学大纲的追踪和修订</w:t>
      </w:r>
    </w:p>
    <w:p>
      <w:pPr>
        <w:ind w:right="120" w:rightChars="50" w:firstLine="480" w:firstLineChars="200"/>
        <w:rPr>
          <w:color w:val="000000"/>
        </w:rPr>
      </w:pPr>
      <w:r>
        <w:rPr>
          <w:color w:val="000000"/>
        </w:rPr>
        <w:t>由于课程教学大纲的制定，是在开设专业的同时制定的。在教学过程中，一定有其不合适的地方，比如教学内容的不合适，教学时间安排的不合适，这些都有必要进行追踪，及时修订和调整，保证教学大纲与学科发展高度一致。做到与时俱进。</w:t>
      </w:r>
    </w:p>
    <w:p>
      <w:pPr>
        <w:pStyle w:val="6"/>
        <w:ind w:firstLine="480"/>
      </w:pPr>
      <w:r>
        <w:t>2</w:t>
      </w:r>
      <w:r>
        <w:rPr>
          <w:rFonts w:hint="eastAsia"/>
        </w:rPr>
        <w:t>.</w:t>
      </w:r>
      <w:r>
        <w:t xml:space="preserve"> 师资建设规划与建议</w:t>
      </w:r>
    </w:p>
    <w:p>
      <w:pPr>
        <w:ind w:right="120" w:rightChars="50" w:firstLine="480" w:firstLineChars="200"/>
        <w:rPr>
          <w:color w:val="000000"/>
        </w:rPr>
      </w:pPr>
      <w:r>
        <w:rPr>
          <w:color w:val="000000"/>
        </w:rPr>
        <w:t>专业建设的好坏，主要在于有没有一支高水平的师资队伍。围绕风景园林专业的师资建设，具体规划建议如下：</w:t>
      </w:r>
    </w:p>
    <w:p>
      <w:pPr>
        <w:ind w:right="120" w:rightChars="50" w:firstLine="482" w:firstLineChars="200"/>
        <w:rPr>
          <w:b/>
          <w:bCs/>
          <w:color w:val="000000"/>
        </w:rPr>
      </w:pPr>
      <w:r>
        <w:rPr>
          <w:b/>
          <w:bCs/>
          <w:color w:val="000000"/>
        </w:rPr>
        <w:t>（1）师资结构</w:t>
      </w:r>
    </w:p>
    <w:p>
      <w:pPr>
        <w:ind w:right="120" w:rightChars="50" w:firstLine="480" w:firstLineChars="200"/>
        <w:rPr>
          <w:color w:val="000000"/>
        </w:rPr>
      </w:pPr>
      <w:r>
        <w:rPr>
          <w:color w:val="000000"/>
        </w:rPr>
        <w:t>风景园林规划设计方向共有师资20人，在校学生369人，师生比1：18.5。根据十四五规划的进人计划，引进城市规划专业的博士一人、风景园林学博士一人。在满足师生比的前提下，要满足教学体系框架需求，主要包括：风景园林历史与理论、风景园林规划设计、风景园林工程、风景园林建筑设计、风景园林植物景观规划设计、城乡规划以及风景园林设计表达等几个方面。</w:t>
      </w:r>
    </w:p>
    <w:p>
      <w:pPr>
        <w:ind w:right="120" w:rightChars="50" w:firstLine="482" w:firstLineChars="200"/>
        <w:rPr>
          <w:b/>
          <w:bCs/>
          <w:color w:val="000000"/>
        </w:rPr>
      </w:pPr>
      <w:r>
        <w:rPr>
          <w:b/>
          <w:bCs/>
          <w:color w:val="000000"/>
        </w:rPr>
        <w:t>（2）师资引进</w:t>
      </w:r>
    </w:p>
    <w:p>
      <w:pPr>
        <w:ind w:right="120" w:rightChars="50" w:firstLine="480" w:firstLineChars="200"/>
        <w:rPr>
          <w:color w:val="000000"/>
        </w:rPr>
      </w:pPr>
      <w:r>
        <w:rPr>
          <w:color w:val="000000"/>
        </w:rPr>
        <w:t>加大师资引进力度上，学校制定相应政策。</w:t>
      </w:r>
    </w:p>
    <w:p>
      <w:pPr>
        <w:ind w:right="120" w:rightChars="50" w:firstLine="480" w:firstLineChars="200"/>
        <w:rPr>
          <w:color w:val="000000"/>
        </w:rPr>
      </w:pPr>
      <w:r>
        <w:rPr>
          <w:color w:val="000000"/>
        </w:rPr>
        <w:t>对城市规划与设计、建筑设计与理论的博士研究生和优秀的硕士生，吸引他们到学校工作，为他们的发展创造优越的环境。</w:t>
      </w:r>
    </w:p>
    <w:p>
      <w:pPr>
        <w:ind w:right="120" w:rightChars="50" w:firstLine="482" w:firstLineChars="200"/>
        <w:rPr>
          <w:b/>
          <w:bCs/>
          <w:color w:val="000000"/>
        </w:rPr>
      </w:pPr>
      <w:r>
        <w:rPr>
          <w:b/>
          <w:bCs/>
          <w:color w:val="000000"/>
        </w:rPr>
        <w:t>（3）师资培训</w:t>
      </w:r>
    </w:p>
    <w:p>
      <w:pPr>
        <w:ind w:right="120" w:rightChars="50" w:firstLine="480" w:firstLineChars="200"/>
        <w:rPr>
          <w:color w:val="000000"/>
        </w:rPr>
      </w:pPr>
      <w:r>
        <w:rPr>
          <w:color w:val="000000"/>
        </w:rPr>
        <w:t>加强教师培训，对年轻老师，利用学科建设专项资金，派出去进修，去国外和国内知名大学的建筑系、城市规划系和风景园林系进修，或者攻读学位，提升他们的业务能力，开拓他们的视野。计划2017年-2018年派出高慧、于斌、乔姝函、赵明远等年轻老师出去进修或攻读博士学位。</w:t>
      </w:r>
    </w:p>
    <w:p>
      <w:pPr>
        <w:ind w:right="120" w:rightChars="50" w:firstLine="482" w:firstLineChars="200"/>
        <w:rPr>
          <w:b/>
          <w:bCs/>
          <w:color w:val="000000"/>
        </w:rPr>
      </w:pPr>
      <w:r>
        <w:rPr>
          <w:b/>
          <w:bCs/>
          <w:color w:val="000000"/>
        </w:rPr>
        <w:t>（4）积极与设计公司和工程企业合作。</w:t>
      </w:r>
    </w:p>
    <w:p>
      <w:pPr>
        <w:ind w:right="120" w:rightChars="50" w:firstLine="480" w:firstLineChars="200"/>
        <w:rPr>
          <w:color w:val="000000"/>
        </w:rPr>
      </w:pPr>
      <w:r>
        <w:rPr>
          <w:color w:val="000000"/>
        </w:rPr>
        <w:t>在引进高层次人才的同时，也需要引进设计公司的高级人才和工程企业的高级人才，来学校授课或交流，将活生生的工程实践进展带进学校，带进课堂，提高学生对专业、对社会的了解。专业建设与社会直接建立起密切的联系。</w:t>
      </w:r>
    </w:p>
    <w:p>
      <w:pPr>
        <w:pStyle w:val="6"/>
        <w:ind w:firstLine="480"/>
      </w:pPr>
      <w:r>
        <w:t>3</w:t>
      </w:r>
      <w:r>
        <w:rPr>
          <w:rFonts w:hint="eastAsia"/>
        </w:rPr>
        <w:t>.</w:t>
      </w:r>
      <w:r>
        <w:t xml:space="preserve"> 实验教学中心建设规划</w:t>
      </w:r>
    </w:p>
    <w:p>
      <w:pPr>
        <w:ind w:right="120" w:rightChars="50" w:firstLine="482" w:firstLineChars="200"/>
        <w:rPr>
          <w:b/>
          <w:bCs/>
          <w:color w:val="000000"/>
        </w:rPr>
      </w:pPr>
      <w:r>
        <w:rPr>
          <w:b/>
          <w:bCs/>
          <w:color w:val="000000"/>
        </w:rPr>
        <w:t>（1）扩大绘画制图中心的面积。增加绘画制图中心的房间数。</w:t>
      </w:r>
    </w:p>
    <w:p>
      <w:pPr>
        <w:ind w:right="120" w:rightChars="50" w:firstLine="480" w:firstLineChars="200"/>
        <w:rPr>
          <w:color w:val="000000"/>
        </w:rPr>
      </w:pPr>
      <w:r>
        <w:rPr>
          <w:color w:val="000000"/>
        </w:rPr>
        <w:t>通过增加房间建设，满足众多学生绘画制图的需求，满足实践教学培养的要求。在面积上保证教学环节的需要。</w:t>
      </w:r>
    </w:p>
    <w:p>
      <w:pPr>
        <w:ind w:right="120" w:rightChars="50" w:firstLine="482" w:firstLineChars="200"/>
        <w:rPr>
          <w:b/>
          <w:bCs/>
          <w:color w:val="000000"/>
        </w:rPr>
      </w:pPr>
      <w:r>
        <w:rPr>
          <w:b/>
          <w:bCs/>
          <w:color w:val="000000"/>
        </w:rPr>
        <w:t>（2）提升绘画制图中心的设备质量。</w:t>
      </w:r>
    </w:p>
    <w:p>
      <w:pPr>
        <w:ind w:right="120" w:rightChars="50" w:firstLine="480" w:firstLineChars="200"/>
        <w:rPr>
          <w:color w:val="000000"/>
        </w:rPr>
      </w:pPr>
      <w:r>
        <w:rPr>
          <w:color w:val="000000"/>
        </w:rPr>
        <w:t>更换现有绘图桌椅，建设标准化的桌椅，配备多媒体设备。更方便学生进行制图和设计。也有助于教学演示与讲评。</w:t>
      </w:r>
    </w:p>
    <w:p>
      <w:pPr>
        <w:ind w:right="120" w:rightChars="50" w:firstLine="482" w:firstLineChars="200"/>
        <w:rPr>
          <w:b/>
          <w:bCs/>
          <w:color w:val="000000"/>
        </w:rPr>
      </w:pPr>
      <w:r>
        <w:rPr>
          <w:b/>
          <w:bCs/>
          <w:color w:val="000000"/>
        </w:rPr>
        <w:t>（3）组建工程模型实验室</w:t>
      </w:r>
    </w:p>
    <w:p>
      <w:pPr>
        <w:ind w:right="120" w:rightChars="50" w:firstLine="480" w:firstLineChars="200"/>
        <w:rPr>
          <w:color w:val="000000"/>
        </w:rPr>
      </w:pPr>
      <w:r>
        <w:rPr>
          <w:color w:val="000000"/>
        </w:rPr>
        <w:t>针对多年以来缺乏工程模型实验室的现状，组建工程模型实验室。一方面，进行工程演示实验，比如地形设计、喷泉设计展示。另一方面，学生可以提高动手操作能力，亲自制作工程和建筑模型。</w:t>
      </w:r>
    </w:p>
    <w:p>
      <w:pPr>
        <w:ind w:right="120" w:rightChars="50" w:firstLine="482" w:firstLineChars="200"/>
        <w:rPr>
          <w:b/>
          <w:bCs/>
          <w:color w:val="000000"/>
        </w:rPr>
      </w:pPr>
      <w:r>
        <w:rPr>
          <w:b/>
          <w:bCs/>
          <w:color w:val="000000"/>
        </w:rPr>
        <w:t>（4）提高南校区图书馆机房计算机硬件配置</w:t>
      </w:r>
    </w:p>
    <w:p>
      <w:pPr>
        <w:ind w:right="120" w:rightChars="50" w:firstLine="480" w:firstLineChars="200"/>
        <w:rPr>
          <w:color w:val="000000"/>
        </w:rPr>
      </w:pPr>
      <w:r>
        <w:rPr>
          <w:color w:val="000000"/>
        </w:rPr>
        <w:t>由于软件日新月异，绘图软件更新很快，普通机房的计算机运行速度偏慢。建议更新南校区图书馆机房的计算机硬件配置。提高计算机的作图能力。</w:t>
      </w:r>
    </w:p>
    <w:p>
      <w:pPr>
        <w:ind w:right="120" w:rightChars="50" w:firstLine="482" w:firstLineChars="200"/>
        <w:rPr>
          <w:b/>
          <w:bCs/>
          <w:color w:val="000000"/>
        </w:rPr>
      </w:pPr>
      <w:r>
        <w:rPr>
          <w:b/>
          <w:bCs/>
          <w:color w:val="000000"/>
        </w:rPr>
        <w:t>（5）突出实践教学的地位</w:t>
      </w:r>
    </w:p>
    <w:p>
      <w:pPr>
        <w:ind w:right="120" w:rightChars="50" w:firstLine="480" w:firstLineChars="200"/>
        <w:rPr>
          <w:color w:val="000000"/>
        </w:rPr>
      </w:pPr>
      <w:r>
        <w:rPr>
          <w:color w:val="000000"/>
        </w:rPr>
        <w:t>在实践教学环节，借助大学生创新创业平台，让学生积极参与社会工程实践年活动，参与社会工程竞赛。尤其是省里、全国和国际的一系列方案竞赛，提升学生的工程实践热情，扩大专业教学与其他院校的互动，寻找差距与不足。形成良性的实践教学循环。同时也要学院和学校制定相应的学生实践环节参与政策与资助政策。</w:t>
      </w:r>
    </w:p>
    <w:p>
      <w:pPr>
        <w:pStyle w:val="5"/>
        <w:spacing w:before="93" w:after="93"/>
        <w:ind w:firstLine="560"/>
      </w:pPr>
      <w:r>
        <w:rPr>
          <w:rFonts w:hint="eastAsia"/>
        </w:rPr>
        <w:t>八、</w:t>
      </w:r>
      <w:r>
        <w:t>存在的问题及整改措施</w:t>
      </w:r>
    </w:p>
    <w:p>
      <w:pPr>
        <w:pStyle w:val="6"/>
        <w:ind w:firstLine="480"/>
      </w:pPr>
      <w:r>
        <w:t>1</w:t>
      </w:r>
      <w:r>
        <w:rPr>
          <w:rFonts w:hint="eastAsia"/>
        </w:rPr>
        <w:t>.</w:t>
      </w:r>
      <w:r>
        <w:t xml:space="preserve"> 师资力量建设方面存在的问题</w:t>
      </w:r>
    </w:p>
    <w:p>
      <w:pPr>
        <w:ind w:right="120" w:rightChars="50" w:firstLine="482" w:firstLineChars="200"/>
        <w:rPr>
          <w:b/>
          <w:bCs/>
          <w:color w:val="000000"/>
        </w:rPr>
      </w:pPr>
      <w:r>
        <w:rPr>
          <w:b/>
          <w:bCs/>
          <w:color w:val="000000"/>
        </w:rPr>
        <w:t>（1）师资力量</w:t>
      </w:r>
    </w:p>
    <w:p>
      <w:pPr>
        <w:ind w:right="120" w:rightChars="50" w:firstLine="480" w:firstLineChars="200"/>
        <w:rPr>
          <w:color w:val="000000"/>
        </w:rPr>
      </w:pPr>
      <w:r>
        <w:rPr>
          <w:color w:val="000000"/>
        </w:rPr>
        <w:t>风景园林系的师资力量少于国内同类院校，一位老师同时讲授多门课程的现象成为常规。师资力量的缺失，对于教学目标的实现具有一定程度的影响。另外，对于培养方案的精准落实也具有不良影响。针对这种情况，2016年春秋两个学期内的部分核心课程实行了联合授课的形式，主要通过组织部分骨干教师组成联合教学小组，对部分核心课程实行分段授课和分班授课两种形式，在形式上基本能够实现小班上课，这对于教学质量的提高具有重要作用。这种联合授课的形式将在风景园林专业核心课程的教学中逐步推广，以期对风景园林系的教学起到明显的推动作用。</w:t>
      </w:r>
    </w:p>
    <w:p>
      <w:pPr>
        <w:ind w:right="120" w:rightChars="50" w:firstLine="482" w:firstLineChars="200"/>
        <w:rPr>
          <w:b/>
          <w:bCs/>
          <w:color w:val="000000"/>
        </w:rPr>
      </w:pPr>
      <w:r>
        <w:rPr>
          <w:b/>
          <w:bCs/>
          <w:color w:val="000000"/>
        </w:rPr>
        <w:t>（2）教师团队结构建设</w:t>
      </w:r>
    </w:p>
    <w:p>
      <w:pPr>
        <w:ind w:right="120" w:rightChars="50" w:firstLine="480" w:firstLineChars="200"/>
        <w:rPr>
          <w:color w:val="000000"/>
        </w:rPr>
      </w:pPr>
      <w:r>
        <w:rPr>
          <w:color w:val="000000"/>
        </w:rPr>
        <w:t>教师团队的学历背景是学科构建的重要影响因素，决定这学科发展方向学科特色。风景园林专业目前有20位专业教师，主要学历背景为风景园林，一位教师拥有城市规划学历背景、一位教师建筑学学历背景，在团队结构方面存在严重不足。对于这一现状的改善，在院系两级多次讨论和论证的基础上提出了两套解决方案：一是外派个别老师外出进修；二是结合十三五规划，是针对性的引进人才，以弥补学科结构的不足。</w:t>
      </w:r>
    </w:p>
    <w:p>
      <w:pPr>
        <w:pStyle w:val="6"/>
        <w:ind w:firstLine="480"/>
      </w:pPr>
      <w:r>
        <w:t>2</w:t>
      </w:r>
      <w:r>
        <w:rPr>
          <w:rFonts w:hint="eastAsia"/>
        </w:rPr>
        <w:t>.</w:t>
      </w:r>
      <w:r>
        <w:t xml:space="preserve"> 教学方面存在的问题</w:t>
      </w:r>
    </w:p>
    <w:p>
      <w:pPr>
        <w:ind w:right="120" w:rightChars="50" w:firstLine="482" w:firstLineChars="200"/>
        <w:rPr>
          <w:b/>
          <w:bCs/>
          <w:color w:val="000000"/>
        </w:rPr>
      </w:pPr>
      <w:r>
        <w:rPr>
          <w:b/>
          <w:bCs/>
          <w:color w:val="000000"/>
        </w:rPr>
        <w:t>（1）课堂教学</w:t>
      </w:r>
    </w:p>
    <w:p>
      <w:pPr>
        <w:ind w:right="120" w:rightChars="50" w:firstLine="480" w:firstLineChars="200"/>
        <w:rPr>
          <w:color w:val="000000"/>
        </w:rPr>
      </w:pPr>
      <w:r>
        <w:rPr>
          <w:color w:val="000000"/>
        </w:rPr>
        <w:t>风景园林专业相对于山东农大其他的农科类专业而言是一个年轻专业，在培养方案、教学大纲等方面存在不足，但由于近几年的教学方案及大纲的不断优化，风景园林专业课堂教学呈现一种积极向上整体风貌，课堂教学效果良好、秩序良好。</w:t>
      </w:r>
    </w:p>
    <w:p>
      <w:pPr>
        <w:ind w:right="120" w:rightChars="50" w:firstLine="480" w:firstLineChars="200"/>
        <w:rPr>
          <w:color w:val="000000"/>
        </w:rPr>
      </w:pPr>
      <w:r>
        <w:rPr>
          <w:color w:val="000000"/>
        </w:rPr>
        <w:t>尽管如此，风景园林专业的课堂教学仍存在一些问题，主要表现在如下几个方面：培养方案跟国内发展较早的同类专业相比仍然有优化空间，拟在将来的培养方案调整中，继续强化主干课程的主导地位，合理调配各教学环节的衔接，科学制定教学大纲，最终形成专业优势突出、专业特色突出、更能适应社会需求的多元化专业建设模式；注重不同课程教学方法的探索，根据社会需求、参考学生需求，制定更加适合专业优势发挥的教学方案，以期达到理想的教学效果；紧密结合学校教学管理部门出台的相关政策，完善教学自我评价体系和自我监督体系，使课堂教学益在主客观条件充分结合的前提下达到最佳。</w:t>
      </w:r>
    </w:p>
    <w:p>
      <w:pPr>
        <w:ind w:right="120" w:rightChars="50" w:firstLine="482" w:firstLineChars="200"/>
        <w:rPr>
          <w:b/>
          <w:bCs/>
          <w:color w:val="000000"/>
        </w:rPr>
      </w:pPr>
      <w:r>
        <w:rPr>
          <w:b/>
          <w:bCs/>
          <w:color w:val="000000"/>
        </w:rPr>
        <w:t>（2）实践教学</w:t>
      </w:r>
    </w:p>
    <w:p>
      <w:pPr>
        <w:ind w:right="120" w:rightChars="50" w:firstLine="480" w:firstLineChars="200"/>
        <w:rPr>
          <w:color w:val="000000"/>
        </w:rPr>
      </w:pPr>
      <w:r>
        <w:rPr>
          <w:color w:val="000000"/>
        </w:rPr>
        <w:t>实践教学是个农业院校内给应用型学科的重要环节，遵循国家政策主导、按照学校办学理念，风景园林专业教学将实践教学贯彻于培养方案和教学大纲的始终。对于学生实践能力的培养主要表现在以下几个方面：</w:t>
      </w:r>
    </w:p>
    <w:p>
      <w:pPr>
        <w:ind w:right="120" w:rightChars="50" w:firstLine="482" w:firstLineChars="200"/>
        <w:rPr>
          <w:b/>
          <w:bCs/>
          <w:color w:val="000000"/>
        </w:rPr>
      </w:pPr>
      <w:r>
        <w:rPr>
          <w:b/>
          <w:bCs/>
          <w:color w:val="000000"/>
        </w:rPr>
        <w:t>强化学生专业思维能力</w:t>
      </w:r>
    </w:p>
    <w:p>
      <w:pPr>
        <w:ind w:right="120" w:rightChars="50" w:firstLine="480" w:firstLineChars="200"/>
        <w:rPr>
          <w:color w:val="000000"/>
        </w:rPr>
      </w:pPr>
      <w:r>
        <w:rPr>
          <w:color w:val="000000"/>
        </w:rPr>
        <w:t>通过基础理论课程的讲授，帮助学生初步建立专业思维。围绕风景园林的专业特点，突出设计课程思维的重要性，从生活中常见的风景园林景观入手，逐步培养学生的空间想象能力和发散性思维能力。</w:t>
      </w:r>
    </w:p>
    <w:p>
      <w:pPr>
        <w:ind w:right="120" w:rightChars="50" w:firstLine="482" w:firstLineChars="200"/>
        <w:rPr>
          <w:b/>
          <w:bCs/>
          <w:color w:val="000000"/>
        </w:rPr>
      </w:pPr>
      <w:r>
        <w:rPr>
          <w:b/>
          <w:bCs/>
          <w:color w:val="000000"/>
        </w:rPr>
        <w:t>强化学生的专业识别能力</w:t>
      </w:r>
    </w:p>
    <w:p>
      <w:pPr>
        <w:ind w:right="120" w:rightChars="50" w:firstLine="480" w:firstLineChars="200"/>
        <w:rPr>
          <w:color w:val="000000"/>
        </w:rPr>
      </w:pPr>
      <w:r>
        <w:rPr>
          <w:color w:val="000000"/>
        </w:rPr>
        <w:t>在初步建立专业思维的基础上，通过外出实习，实地讲解，强化学生对景观的识别能力和评价能力的培养，从而提高学生后期的专业课学习的起点。</w:t>
      </w:r>
    </w:p>
    <w:p>
      <w:pPr>
        <w:ind w:right="120" w:rightChars="50" w:firstLine="482" w:firstLineChars="200"/>
        <w:rPr>
          <w:b/>
          <w:bCs/>
          <w:color w:val="000000"/>
        </w:rPr>
      </w:pPr>
      <w:r>
        <w:rPr>
          <w:b/>
          <w:bCs/>
          <w:color w:val="000000"/>
        </w:rPr>
        <w:t>强化学生的专业基础操作能力</w:t>
      </w:r>
    </w:p>
    <w:p>
      <w:pPr>
        <w:ind w:right="120" w:rightChars="50" w:firstLine="480" w:firstLineChars="200"/>
        <w:rPr>
          <w:color w:val="000000"/>
        </w:rPr>
      </w:pPr>
      <w:r>
        <w:rPr>
          <w:color w:val="000000"/>
        </w:rPr>
        <w:t>对于学生专业基础操作能力的培养主要体现在平时的专业绘图和模型制作两个方面。在制图过程中，严格各种规范、强化常规制图、鼓励设计创新。</w:t>
      </w:r>
    </w:p>
    <w:p>
      <w:pPr>
        <w:ind w:right="120" w:rightChars="50" w:firstLine="480" w:firstLineChars="200"/>
        <w:rPr>
          <w:color w:val="000000"/>
        </w:rPr>
      </w:pPr>
      <w:r>
        <w:rPr>
          <w:color w:val="000000"/>
        </w:rPr>
        <w:br w:type="page"/>
      </w:r>
    </w:p>
    <w:p>
      <w:pPr>
        <w:pStyle w:val="4"/>
        <w:ind w:firstLine="600"/>
      </w:pPr>
      <w:bookmarkStart w:id="211" w:name="_Toc24900"/>
      <w:r>
        <w:t>专业</w:t>
      </w:r>
      <w:r>
        <w:rPr>
          <w:rFonts w:hint="eastAsia"/>
          <w:lang w:val="en-US"/>
        </w:rPr>
        <w:t>十九</w:t>
      </w:r>
      <w:r>
        <w:t>：水土保持与荒漠化防治</w:t>
      </w:r>
      <w:bookmarkEnd w:id="211"/>
    </w:p>
    <w:p>
      <w:pPr>
        <w:pStyle w:val="5"/>
        <w:spacing w:before="93" w:after="93"/>
        <w:ind w:firstLine="560"/>
      </w:pPr>
      <w:bookmarkStart w:id="212" w:name="_Toc28812"/>
      <w:r>
        <w:t>一、培养目标</w:t>
      </w:r>
      <w:bookmarkEnd w:id="212"/>
      <w:r>
        <w:t>与规格</w:t>
      </w:r>
    </w:p>
    <w:p>
      <w:pPr>
        <w:pStyle w:val="6"/>
        <w:ind w:firstLine="480"/>
      </w:pPr>
      <w:r>
        <w:t>1.培养目标</w:t>
      </w:r>
    </w:p>
    <w:p>
      <w:pPr>
        <w:ind w:firstLine="480" w:firstLineChars="200"/>
      </w:pPr>
      <w:r>
        <w:t>本专业培养适应经济社会发展与环境生态建设需要，具备生物学、水土保持、荒漠化防治、小型水利工程技术、生态学、林学、环境科学等水土保持与荒漠化防治所必需的基本理论、方法和专业技能，能在水利、水土保持、国土资源、林业、环境保护、农业等部门从事水土保持与荒漠化防治、生态工程及生产建设项目水土保持的规划设计、施工及预防、监测工作的应用型、复合型高级专门人才。</w:t>
      </w:r>
    </w:p>
    <w:p>
      <w:pPr>
        <w:ind w:firstLine="480" w:firstLineChars="200"/>
        <w:outlineLvl w:val="2"/>
        <w:rPr>
          <w:rFonts w:eastAsia="黑体"/>
          <w:kern w:val="0"/>
          <w:szCs w:val="20"/>
        </w:rPr>
      </w:pPr>
      <w:r>
        <w:rPr>
          <w:rFonts w:eastAsia="黑体"/>
          <w:kern w:val="0"/>
          <w:szCs w:val="20"/>
        </w:rPr>
        <w:t>2.培养规格</w:t>
      </w:r>
    </w:p>
    <w:p>
      <w:pPr>
        <w:ind w:firstLine="480" w:firstLineChars="200"/>
      </w:pPr>
      <w:r>
        <w:t>（1）具备人文科学和自然科学基础、外语、计算机应用能力；</w:t>
      </w:r>
    </w:p>
    <w:p>
      <w:pPr>
        <w:ind w:firstLine="480" w:firstLineChars="200"/>
      </w:pPr>
      <w:r>
        <w:t>（2）具备自主学习能力、创新能力、团队协作能力、沟通交流能力、组织领导能力、适应社会发展需求能力和社会责任感；</w:t>
      </w:r>
    </w:p>
    <w:p>
      <w:pPr>
        <w:ind w:firstLine="480" w:firstLineChars="200"/>
      </w:pPr>
      <w:r>
        <w:t>（3）熟悉国内外水利水电工程发展现状、趋势，具有较好的科研素养，能够运用所学专业知识和技术规范（规程），分析并解决实际问题与科学研究的基本能力；</w:t>
      </w:r>
    </w:p>
    <w:p>
      <w:pPr>
        <w:ind w:firstLine="480" w:firstLineChars="200"/>
      </w:pPr>
      <w:r>
        <w:t>（4）具备德智体美全面发展素养和求实创新能力，能在水利、水保、国土资源、林业、环境保护、农业等部门从事水土保持与荒漠化防治、生态工程及生产建设项目水土保持的规划、设计、施工、预防、监测与评价、管理及科学研究等方面工作。</w:t>
      </w:r>
    </w:p>
    <w:p>
      <w:pPr>
        <w:pStyle w:val="5"/>
        <w:spacing w:before="93" w:after="93"/>
        <w:ind w:firstLine="560"/>
      </w:pPr>
      <w:bookmarkStart w:id="213" w:name="_Toc2081"/>
      <w:r>
        <w:t>二、培养能力</w:t>
      </w:r>
      <w:bookmarkEnd w:id="213"/>
      <w:r>
        <w:t>（专业基本情况、在校生规模、课程体系、创新创业教育等）</w:t>
      </w:r>
    </w:p>
    <w:p>
      <w:pPr>
        <w:ind w:firstLine="480" w:firstLineChars="200"/>
        <w:outlineLvl w:val="2"/>
        <w:rPr>
          <w:rFonts w:eastAsia="黑体"/>
          <w:kern w:val="0"/>
          <w:szCs w:val="20"/>
        </w:rPr>
      </w:pPr>
      <w:r>
        <w:rPr>
          <w:rFonts w:eastAsia="黑体"/>
          <w:kern w:val="0"/>
          <w:szCs w:val="20"/>
        </w:rPr>
        <w:t>1.专业基本情况</w:t>
      </w:r>
    </w:p>
    <w:p>
      <w:pPr>
        <w:ind w:firstLine="480" w:firstLineChars="200"/>
      </w:pPr>
      <w:r>
        <w:t>水土保持与荒漠化防治专业1991年招收专科，1998年招收本科，2002年开始招收硕士研究生。2004年依托森林培育博士点招收林业生态工程方向博士、2011年依托生态学博士点招收恢复生态方向博士。2018年林学专业获得一级学科博士授权点，水土保持与荒漠化防治专业作为二级授权点招收博士。2011年水土保持学科被批准为山东省重点学科。本专业已形成</w:t>
      </w:r>
      <w:r>
        <w:rPr>
          <w:rFonts w:hint="eastAsia"/>
        </w:rPr>
        <w:t>“</w:t>
      </w:r>
      <w:r>
        <w:t>本科-硕士-博士</w:t>
      </w:r>
      <w:r>
        <w:rPr>
          <w:rFonts w:hint="eastAsia"/>
        </w:rPr>
        <w:t>”</w:t>
      </w:r>
      <w:r>
        <w:t>三个层次健全的人才培养体系。</w:t>
      </w:r>
    </w:p>
    <w:p>
      <w:pPr>
        <w:ind w:firstLine="480" w:firstLineChars="200"/>
      </w:pPr>
      <w:r>
        <w:t>本专业基本学制为4年，学习年限为3-8年。按要求完成学业且符合学位授予条件者授予农学学士学位。</w:t>
      </w:r>
    </w:p>
    <w:p>
      <w:pPr>
        <w:ind w:firstLine="480" w:firstLineChars="200"/>
        <w:outlineLvl w:val="2"/>
        <w:rPr>
          <w:rFonts w:eastAsia="黑体"/>
          <w:kern w:val="0"/>
          <w:szCs w:val="20"/>
        </w:rPr>
      </w:pPr>
      <w:r>
        <w:rPr>
          <w:rFonts w:eastAsia="黑体"/>
          <w:kern w:val="0"/>
          <w:szCs w:val="20"/>
        </w:rPr>
        <w:t>2.在校生规模</w:t>
      </w:r>
    </w:p>
    <w:p>
      <w:pPr>
        <w:ind w:firstLine="480" w:firstLineChars="200"/>
      </w:pPr>
      <w:r>
        <w:t>2019年招生1个班，招生人数24人。2020年招生1个班，招生人数32人，截止2022年9月底，在校生人数116人。</w:t>
      </w:r>
    </w:p>
    <w:p>
      <w:pPr>
        <w:ind w:firstLine="480" w:firstLineChars="200"/>
        <w:outlineLvl w:val="2"/>
        <w:rPr>
          <w:rFonts w:eastAsia="黑体"/>
          <w:kern w:val="0"/>
          <w:szCs w:val="20"/>
        </w:rPr>
      </w:pPr>
      <w:r>
        <w:rPr>
          <w:rFonts w:eastAsia="黑体"/>
          <w:kern w:val="0"/>
          <w:szCs w:val="20"/>
        </w:rPr>
        <w:t>3.课程体系</w:t>
      </w:r>
    </w:p>
    <w:p>
      <w:pPr>
        <w:ind w:firstLine="480" w:firstLineChars="200"/>
      </w:pPr>
      <w:r>
        <w:t>本专业课程体系包括通识必修课、通识选修课、学科基础课、专业核心课、专业方向课、专业拓展教育课和实践环节7个层次。</w:t>
      </w:r>
    </w:p>
    <w:p>
      <w:pPr>
        <w:spacing w:line="410" w:lineRule="exact"/>
        <w:ind w:firstLine="480" w:firstLineChars="200"/>
      </w:pPr>
      <w:r>
        <w:t>通识必修课：思想道德修养与法律基础、马克思主义基本原理、中国近现代史纲要、毛泽东思想和中国特色社会主义理论体系概论、大学英语B1-B4、大学生心理健康教育、形势与政策1-2、大学计算机基础、大学计算机基础实验、普通体育课1-2。</w:t>
      </w:r>
    </w:p>
    <w:p>
      <w:pPr>
        <w:spacing w:line="410" w:lineRule="exact"/>
        <w:ind w:firstLine="480" w:firstLineChars="200"/>
      </w:pPr>
      <w:r>
        <w:t>通识选修课：计算机类、体育类、创新创业类、心理健康教育类、艺术审美类、人文社科类。</w:t>
      </w:r>
    </w:p>
    <w:p>
      <w:pPr>
        <w:spacing w:line="410" w:lineRule="exact"/>
        <w:ind w:firstLine="480" w:firstLineChars="200"/>
      </w:pPr>
      <w:r>
        <w:t>学科基础课：高等数学C、线性代数、概率统计、无机及分析化学1-2、有机化学、基础化学实验1-2、植物学、植物学实验（植物解剖）、植物学实验（植物分类）、植物生理学B、植物生理学实验B、林业试验设计与统计分析、气象学、土壤学、地质地貌学、测量学B、工程制图、树木学、水土保持计算机辅助设计、水土保持计算机辅助设计实验、土壤侵蚀原理、水力学B、普通生态学、风沙物理学、水文与水资源学</w:t>
      </w:r>
    </w:p>
    <w:p>
      <w:pPr>
        <w:spacing w:line="410" w:lineRule="exact"/>
        <w:ind w:firstLine="480" w:firstLineChars="200"/>
      </w:pPr>
      <w:r>
        <w:t>专业核心课：水土保持林学、水土保持工程学、荒漠化防治工程学、水土保持监测与评价、开发建设项目水土保持、水土保持规划学、水土保持信息技术。</w:t>
      </w:r>
    </w:p>
    <w:p>
      <w:pPr>
        <w:spacing w:line="410" w:lineRule="exact"/>
        <w:ind w:firstLine="480" w:firstLineChars="200"/>
      </w:pPr>
      <w:r>
        <w:t>专业方向课：水保工程管理与概估算、水土保持专业英语、农地水土保持、农田防护林学、水工建筑设计与施工、工程地质与土力学、水土保持灌草植物栽培、种苗学、测树学、水土保持法律法规、沙漠学、景观生态学、恢复生态学</w:t>
      </w:r>
    </w:p>
    <w:p>
      <w:pPr>
        <w:spacing w:line="410" w:lineRule="exact"/>
        <w:ind w:firstLine="480" w:firstLineChars="200"/>
      </w:pPr>
      <w:r>
        <w:t>专业拓展课：前沿专题讲座、大学生生涯规划、大学生创新创业教育、大学生就业指导</w:t>
      </w:r>
    </w:p>
    <w:p>
      <w:pPr>
        <w:spacing w:line="410" w:lineRule="exact"/>
        <w:ind w:firstLine="480" w:firstLineChars="200"/>
      </w:pPr>
      <w:r>
        <w:t>实践环节：包括基础实践、专业实践和综合实践，主要实践环节包括专业认识实习、树木学认识实习、测量学B教学实习、工程制图实习、水土保持林学课程设计、荒漠化防治课程设计、开发建设项目水土保持课程设计、水土保持工程学课程设计、水土保持规划课程设计、水土保持信息技术实习、综合教学实习Ⅰ、综合教学实习Ⅱ、创新创业实践、毕业（生产）实习及报告、毕业论文（设计）。</w:t>
      </w:r>
    </w:p>
    <w:p>
      <w:pPr>
        <w:spacing w:line="410" w:lineRule="exact"/>
        <w:ind w:firstLine="480" w:firstLineChars="200"/>
      </w:pPr>
      <w:r>
        <w:t>学分总体安排：（1）毕业总学分不少于170学分；（2）课程学分：共计116.5学分，占总学时的68.5%；（3）实验和实践教学环节总学分53.5学分，占总学分的31.5%。</w:t>
      </w:r>
    </w:p>
    <w:p>
      <w:pPr>
        <w:spacing w:line="410" w:lineRule="exact"/>
        <w:ind w:firstLine="480" w:firstLineChars="200"/>
        <w:outlineLvl w:val="2"/>
        <w:rPr>
          <w:rFonts w:eastAsia="黑体"/>
          <w:kern w:val="0"/>
          <w:szCs w:val="20"/>
        </w:rPr>
      </w:pPr>
      <w:r>
        <w:rPr>
          <w:rFonts w:eastAsia="黑体"/>
          <w:kern w:val="0"/>
          <w:szCs w:val="20"/>
        </w:rPr>
        <w:t>4.创新创业教育</w:t>
      </w:r>
    </w:p>
    <w:p>
      <w:pPr>
        <w:spacing w:line="410" w:lineRule="exact"/>
        <w:ind w:firstLine="480" w:firstLineChars="200"/>
      </w:pPr>
      <w:r>
        <w:t>水土保持与荒漠化防治专业高度重视创新创业教育工作，每年通过开创创业指导课程加强创新创业方面的教育、培训与指导。从入学伊始就加强专业方面的教育，指导学生认识专业、认识实验室；从二年级开始，借助学校SRT项目、泰安市大学生创业项目、</w:t>
      </w:r>
      <w:r>
        <w:rPr>
          <w:spacing w:val="-6"/>
        </w:rPr>
        <w:t>国家创新创业项目来拓展专业知识和专业研究，提升专业创新意识</w:t>
      </w:r>
      <w:r>
        <w:t>和创业技能。</w:t>
      </w:r>
    </w:p>
    <w:p>
      <w:pPr>
        <w:spacing w:line="410" w:lineRule="exact"/>
        <w:ind w:firstLine="480" w:firstLineChars="200"/>
      </w:pPr>
      <w:bookmarkStart w:id="214" w:name="_Toc15027"/>
      <w:r>
        <w:t>本专业学生接受进行水土保持、小流域综合治理、荒漠化防治、生产建设项目水土保持方案编制、水土保持监测、规划设计的基本训练，具有组织管理水土保持与荒漠化防治生产、开展科学试验研究、独立获取知识和分析、解决问题的基本能力。</w:t>
      </w:r>
    </w:p>
    <w:p>
      <w:pPr>
        <w:pStyle w:val="5"/>
        <w:spacing w:before="93" w:after="93"/>
        <w:ind w:firstLine="560"/>
      </w:pPr>
      <w:r>
        <w:t>三、培养条件</w:t>
      </w:r>
      <w:bookmarkEnd w:id="214"/>
    </w:p>
    <w:p>
      <w:pPr>
        <w:ind w:firstLine="480" w:firstLineChars="200"/>
        <w:outlineLvl w:val="2"/>
        <w:rPr>
          <w:rFonts w:eastAsia="黑体"/>
          <w:kern w:val="0"/>
          <w:szCs w:val="20"/>
        </w:rPr>
      </w:pPr>
      <w:r>
        <w:rPr>
          <w:rFonts w:eastAsia="黑体"/>
          <w:kern w:val="0"/>
          <w:szCs w:val="20"/>
        </w:rPr>
        <w:t>1.教学经费投入</w:t>
      </w:r>
    </w:p>
    <w:p>
      <w:pPr>
        <w:ind w:firstLine="480" w:firstLineChars="200"/>
        <w:rPr>
          <w:color w:val="FF0000"/>
        </w:rPr>
      </w:pPr>
      <w:r>
        <w:t>本专业2022年投入教学经费（主要用于教学日常运行、教学改革、课程建设费用、教材建设、专业建设、校内外实践实习、教学研讨、教学差旅、图书资料购置、学生活动及其他用于教学的费用等）</w:t>
      </w:r>
      <w:r>
        <w:rPr>
          <w:color w:val="000000"/>
        </w:rPr>
        <w:t>共计36.18万元，生均经费3118.9元。</w:t>
      </w:r>
    </w:p>
    <w:p>
      <w:pPr>
        <w:ind w:firstLine="480" w:firstLineChars="200"/>
        <w:outlineLvl w:val="2"/>
        <w:rPr>
          <w:rFonts w:eastAsia="黑体"/>
          <w:kern w:val="0"/>
          <w:szCs w:val="20"/>
        </w:rPr>
      </w:pPr>
      <w:r>
        <w:rPr>
          <w:rFonts w:eastAsia="黑体"/>
          <w:kern w:val="0"/>
          <w:szCs w:val="20"/>
        </w:rPr>
        <w:t>2.教学设备</w:t>
      </w:r>
    </w:p>
    <w:p>
      <w:pPr>
        <w:ind w:firstLine="480" w:firstLineChars="200"/>
      </w:pPr>
      <w:r>
        <w:rPr>
          <w:color w:val="000000"/>
        </w:rPr>
        <w:t>水土保持与荒漠化防治专业拥有水土保持规划设计、水土保持生态修复、水土保持监测与评价及土壤生态-物理-化学4个功能实验室，1个240平方米的人工降雨大厅，还有国家林业局泰山森林系统生态定位研究站、水利部水保监测站点</w:t>
      </w:r>
      <w:r>
        <w:rPr>
          <w:rFonts w:hint="eastAsia"/>
          <w:color w:val="000000"/>
        </w:rPr>
        <w:t>“</w:t>
      </w:r>
      <w:r>
        <w:rPr>
          <w:color w:val="000000"/>
        </w:rPr>
        <w:t>山东省泰安市药乡坡面径</w:t>
      </w:r>
      <w:r>
        <w:t>流观测场</w:t>
      </w:r>
      <w:r>
        <w:rPr>
          <w:rFonts w:hint="eastAsia"/>
        </w:rPr>
        <w:t>”</w:t>
      </w:r>
      <w:r>
        <w:t>、徂徕山林场水土保持监测站点等3个科技平台和1个水利部莱芜市栖龙湾水土保持科技园区。此外，山东省药乡林场山东农业大学大学生实习基地也为本专业的综合实习提供了良好的试验场地。本专业拥有三维激光扫描系统、地物光谱仪、马尔文激光粒度仪、人工模拟降雨系统等教学仪器设备600余台件，可以满足教学实习、科技创新、创新创业等的需求。</w:t>
      </w:r>
    </w:p>
    <w:p>
      <w:pPr>
        <w:ind w:firstLine="480" w:firstLineChars="200"/>
        <w:outlineLvl w:val="2"/>
        <w:rPr>
          <w:rFonts w:eastAsia="黑体"/>
          <w:kern w:val="0"/>
          <w:szCs w:val="20"/>
        </w:rPr>
      </w:pPr>
      <w:r>
        <w:rPr>
          <w:rFonts w:eastAsia="黑体"/>
          <w:kern w:val="0"/>
          <w:szCs w:val="20"/>
        </w:rPr>
        <w:t>3.教师队伍建设</w:t>
      </w:r>
    </w:p>
    <w:p>
      <w:pPr>
        <w:ind w:firstLine="480" w:firstLineChars="200"/>
        <w:rPr>
          <w:color w:val="000000"/>
        </w:rPr>
      </w:pPr>
      <w:r>
        <w:t>学术队伍建设是学科、专业发展的关键。在专业建设中始终坚持人才优先发展战略，形成了一支队伍稳定，结构合理的高水平师资队伍。</w:t>
      </w:r>
      <w:r>
        <w:rPr>
          <w:color w:val="000000"/>
        </w:rPr>
        <w:t>本专业现有专职教师11人，其中教授5人，副教授3人，讲师3人，全部具有博士学位。11名教师中，博士生导师2人，硕士生导师8人。50岁以上教师4人，40－50岁的教师1人，40岁以下教师6人，队伍具有高学历、年轻化、专业化的特点。</w:t>
      </w:r>
    </w:p>
    <w:p>
      <w:pPr>
        <w:ind w:firstLine="480" w:firstLineChars="200"/>
        <w:outlineLvl w:val="2"/>
        <w:rPr>
          <w:rFonts w:eastAsia="黑体"/>
          <w:kern w:val="0"/>
          <w:szCs w:val="20"/>
        </w:rPr>
      </w:pPr>
      <w:r>
        <w:rPr>
          <w:rFonts w:eastAsia="黑体"/>
          <w:kern w:val="0"/>
          <w:szCs w:val="20"/>
        </w:rPr>
        <w:t>4.校内外实践与实习基地完善、覆盖类型齐全</w:t>
      </w:r>
    </w:p>
    <w:p>
      <w:pPr>
        <w:ind w:firstLine="480" w:firstLineChars="200"/>
      </w:pPr>
      <w:r>
        <w:t>按照</w:t>
      </w:r>
      <w:r>
        <w:rPr>
          <w:rFonts w:hint="eastAsia"/>
        </w:rPr>
        <w:t>“</w:t>
      </w:r>
      <w:r>
        <w:t>校内实习基地+人工模拟环境基地＋校外综合实习基地</w:t>
      </w:r>
      <w:r>
        <w:rPr>
          <w:rFonts w:hint="eastAsia"/>
        </w:rPr>
        <w:t>”</w:t>
      </w:r>
      <w:r>
        <w:t>的模式加强教学基地建设。优化提升了人工大棚、优化了校内水土保持植物种植园，改造提升了人工降雨大厅，建立创新创业基地，并对校外基地的功能、类型进行分类，建成了集教学、科研和生产示范为一体的校内专业综合实践教学基地。</w:t>
      </w:r>
    </w:p>
    <w:p>
      <w:pPr>
        <w:ind w:firstLine="480" w:firstLineChars="200"/>
      </w:pPr>
      <w:r>
        <w:t>（1）校内实习基地。依托林学试验站，建成大、小两个温棚，并改造了水、电、路、试验区等设施；优化了水土保持植物种植园，形成认知与试验一体的水土保持试验基地。</w:t>
      </w:r>
    </w:p>
    <w:p>
      <w:pPr>
        <w:ind w:firstLine="480" w:firstLineChars="200"/>
      </w:pPr>
      <w:r>
        <w:t>（2）人工模拟降雨大厅。完成240平方米的人工降雨大厅进行改造提升，并利用人工模拟降雨大厅及其外围林地空间建立创新创业基地与森林水文科学试验观测基地，利于提高同学们的创新创业能力。</w:t>
      </w:r>
    </w:p>
    <w:p>
      <w:pPr>
        <w:ind w:firstLine="480" w:firstLineChars="200"/>
      </w:pPr>
      <w:r>
        <w:t>（3）校外综合实习基地：主要有山东省药乡林场(泰山森林生态定位系统研究站)、莱芜市栖龙湾水土保持科技示范园等地，野外径流小区、坡面径流场、测流堰等观测设施齐全、水土保持措施齐全、类型多样，可满足综合实习需求。</w:t>
      </w:r>
    </w:p>
    <w:p>
      <w:pPr>
        <w:ind w:firstLine="480" w:firstLineChars="200"/>
        <w:outlineLvl w:val="2"/>
        <w:rPr>
          <w:rFonts w:eastAsia="黑体"/>
          <w:kern w:val="0"/>
          <w:szCs w:val="20"/>
        </w:rPr>
      </w:pPr>
      <w:r>
        <w:rPr>
          <w:rFonts w:eastAsia="黑体"/>
          <w:kern w:val="0"/>
          <w:szCs w:val="20"/>
        </w:rPr>
        <w:t>5.现代教学技术应用</w:t>
      </w:r>
    </w:p>
    <w:p>
      <w:pPr>
        <w:ind w:firstLine="480" w:firstLineChars="200"/>
      </w:pPr>
      <w:r>
        <w:t>水土保持与荒漠化防治专业已在林学院网站上开展了相关的网络建设活动，包括教学师资、学科专业、科研、人才培养等多方面的介绍。《农田防护林学》、《水土保持林学》已建成省级精品课程，《土壤侵蚀原理》、《水土保持草本植物栽培》等课程已建成校内精品课程群培养课程。《水土保持原理》、《林业生态工程》网课上网，其他各门课程均已按精品课程方式进行培育。学校在精品课程建设过程中，根据课程特点及培育重点情况给予每门课程1-3万的资助费用。</w:t>
      </w:r>
    </w:p>
    <w:p>
      <w:pPr>
        <w:pStyle w:val="5"/>
        <w:spacing w:before="93" w:after="93"/>
        <w:ind w:firstLine="560"/>
      </w:pPr>
      <w:bookmarkStart w:id="215" w:name="_Toc7099"/>
      <w:r>
        <w:t>四、培养机制与特色</w:t>
      </w:r>
      <w:bookmarkEnd w:id="215"/>
    </w:p>
    <w:p>
      <w:pPr>
        <w:ind w:firstLine="480" w:firstLineChars="200"/>
        <w:outlineLvl w:val="2"/>
        <w:rPr>
          <w:rFonts w:eastAsia="黑体"/>
          <w:kern w:val="0"/>
          <w:szCs w:val="20"/>
        </w:rPr>
      </w:pPr>
      <w:r>
        <w:rPr>
          <w:rFonts w:eastAsia="黑体"/>
          <w:kern w:val="0"/>
          <w:szCs w:val="20"/>
        </w:rPr>
        <w:t>1.产学研协同育人机制</w:t>
      </w:r>
    </w:p>
    <w:p>
      <w:pPr>
        <w:spacing w:line="410" w:lineRule="exact"/>
        <w:ind w:firstLine="480" w:firstLineChars="200"/>
      </w:pPr>
      <w:r>
        <w:t>依托学校、学院两级部门的优势，结合专业自身特点，建立学科与主管部门、行业、企业的多方联动机制，将市场对人才的需求作为根本，以人才培养为核心，改革人才培养模式，将人才培养置贯穿于教学、生产实践、创新研发和应用服务体系之中，推进产学研用协同育人机制，培养创新型、高素质、高技能的复合式人才。</w:t>
      </w:r>
    </w:p>
    <w:p>
      <w:pPr>
        <w:spacing w:line="410" w:lineRule="exact"/>
        <w:ind w:firstLine="480" w:firstLineChars="200"/>
      </w:pPr>
      <w:r>
        <w:t>结合市场发展，创新人才培养模式，在3年级后期注重培养学生的科研技能、动手技能、规划设计与方案编制、水土保持监测技能，同时专业教师积极主动联系相关对口单位，如东营新汇集团、山东龙邦工程设计有限公司、山东绿之缘环境工程设计院有限公司、山东众川工程设计咨询有限公司，结合单位需求，选派专业技能高的学生到单位实习，实现生产、教学、创新研发、应用服务多项功能和目标。</w:t>
      </w:r>
    </w:p>
    <w:p>
      <w:pPr>
        <w:spacing w:line="410" w:lineRule="exact"/>
        <w:ind w:firstLine="480" w:firstLineChars="200"/>
        <w:outlineLvl w:val="2"/>
        <w:rPr>
          <w:rFonts w:eastAsia="黑体"/>
          <w:kern w:val="0"/>
          <w:szCs w:val="20"/>
        </w:rPr>
      </w:pPr>
      <w:r>
        <w:rPr>
          <w:rFonts w:eastAsia="黑体"/>
          <w:kern w:val="0"/>
          <w:szCs w:val="20"/>
        </w:rPr>
        <w:t>2.合作办学</w:t>
      </w:r>
    </w:p>
    <w:p>
      <w:pPr>
        <w:spacing w:line="410" w:lineRule="exact"/>
        <w:ind w:firstLine="480" w:firstLineChars="200"/>
        <w:rPr>
          <w:color w:val="000000"/>
        </w:rPr>
      </w:pPr>
      <w:r>
        <w:rPr>
          <w:color w:val="000000"/>
        </w:rPr>
        <w:t>借助于学院与美国普度大学、密西西比州立大学、台湾屏东科技大学等高等学府的交流合作，2022年度，台湾屏东科技大学的李锦育讲座教授进行为期30天的网上授课讲学，拓展了学生们的视野。</w:t>
      </w:r>
    </w:p>
    <w:p>
      <w:pPr>
        <w:spacing w:line="410" w:lineRule="exact"/>
        <w:ind w:firstLine="480" w:firstLineChars="200"/>
        <w:outlineLvl w:val="2"/>
        <w:rPr>
          <w:rFonts w:eastAsia="黑体"/>
          <w:kern w:val="0"/>
          <w:szCs w:val="20"/>
        </w:rPr>
      </w:pPr>
      <w:r>
        <w:rPr>
          <w:rFonts w:eastAsia="黑体"/>
          <w:kern w:val="0"/>
          <w:szCs w:val="20"/>
        </w:rPr>
        <w:t>3.教学管理</w:t>
      </w:r>
    </w:p>
    <w:p>
      <w:pPr>
        <w:spacing w:line="410" w:lineRule="exact"/>
        <w:ind w:firstLine="480" w:firstLineChars="200"/>
      </w:pPr>
      <w:r>
        <w:t>（1）建立教学计划预安排、落实安排制度</w:t>
      </w:r>
    </w:p>
    <w:p>
      <w:pPr>
        <w:spacing w:line="410" w:lineRule="exact"/>
        <w:ind w:firstLine="480" w:firstLineChars="200"/>
      </w:pPr>
      <w:r>
        <w:t xml:space="preserve">根据教务处安排，在上一学期期末即下达下一学期的教学计划，专业内进行讨论，综合安排并上报每个教师的教学工作计划；开学一周前，正式教学计划落实，各教师做好教学计划、教学日历和教案等工作。 </w:t>
      </w:r>
    </w:p>
    <w:p>
      <w:pPr>
        <w:spacing w:line="410" w:lineRule="exact"/>
        <w:ind w:firstLine="480" w:firstLineChars="200"/>
      </w:pPr>
      <w:r>
        <w:t>（2）建立听课与评课制度。每学期由校院两级督导、院领导、系主任及专业主任组织多次随机听课，在期中教学检查时统一进行讲评，同时以系、院为单位进行评课，分析讲课过程中存在的问题，提高每位教师的讲课水平。</w:t>
      </w:r>
    </w:p>
    <w:p>
      <w:pPr>
        <w:spacing w:line="410" w:lineRule="exact"/>
        <w:ind w:firstLine="480" w:firstLineChars="200"/>
      </w:pPr>
      <w:r>
        <w:t>（3）参与学院、学校组织的讲课比赛。每年学院、学校组织青年教师比赛及优秀教学名师公开课观摩活动，要求每位青年教师积极参与讲课比赛，提升教学技能；每位教师积极参加观摩课，比照自己的不足，提高讲课水平。</w:t>
      </w:r>
    </w:p>
    <w:p>
      <w:pPr>
        <w:ind w:firstLine="480" w:firstLineChars="200"/>
      </w:pPr>
      <w:r>
        <w:t>（4）建立青年教师导师制。根据专业内人才引进情况，为每位青年教师配备有经验的老教师，组织新老挂钩，以老带新，以新促老。帮助新老师熟悉业务，协助老教师</w:t>
      </w:r>
      <w:r>
        <w:fldChar w:fldCharType="begin"/>
      </w:r>
      <w:r>
        <w:instrText xml:space="preserve"> HYPERLINK "http://www.5ykj.com/Article/" \t "_blank" </w:instrText>
      </w:r>
      <w:r>
        <w:fldChar w:fldCharType="separate"/>
      </w:r>
      <w:r>
        <w:t>总结</w:t>
      </w:r>
      <w:r>
        <w:fldChar w:fldCharType="end"/>
      </w:r>
      <w:r>
        <w:t>教学经验。</w:t>
      </w:r>
    </w:p>
    <w:p>
      <w:pPr>
        <w:pStyle w:val="5"/>
        <w:spacing w:before="93" w:after="93"/>
        <w:ind w:firstLine="560"/>
      </w:pPr>
      <w:bookmarkStart w:id="216" w:name="_Toc8287"/>
      <w:r>
        <w:t>五、培养质量</w:t>
      </w:r>
      <w:bookmarkEnd w:id="216"/>
    </w:p>
    <w:p>
      <w:pPr>
        <w:ind w:firstLine="480" w:firstLineChars="200"/>
        <w:outlineLvl w:val="2"/>
        <w:rPr>
          <w:rFonts w:eastAsia="黑体"/>
          <w:kern w:val="0"/>
          <w:szCs w:val="20"/>
        </w:rPr>
      </w:pPr>
      <w:r>
        <w:rPr>
          <w:rFonts w:eastAsia="黑体"/>
          <w:kern w:val="0"/>
          <w:szCs w:val="20"/>
        </w:rPr>
        <w:t>1.毕业生就业率</w:t>
      </w:r>
    </w:p>
    <w:p>
      <w:pPr>
        <w:ind w:firstLine="480" w:firstLineChars="200"/>
        <w:rPr>
          <w:color w:val="000000"/>
        </w:rPr>
      </w:pPr>
      <w:r>
        <w:rPr>
          <w:color w:val="000000"/>
        </w:rPr>
        <w:t>水土保持与荒漠化防治专业2022年毕业生31人，考研升学20人，考研率64.5%；就业6人，待业5人（进行二战或考公），毕业生就业率总体为80.65%。</w:t>
      </w:r>
    </w:p>
    <w:p>
      <w:pPr>
        <w:ind w:firstLine="480" w:firstLineChars="200"/>
        <w:outlineLvl w:val="2"/>
        <w:rPr>
          <w:rFonts w:eastAsia="黑体"/>
          <w:color w:val="000000"/>
          <w:kern w:val="0"/>
          <w:szCs w:val="20"/>
        </w:rPr>
      </w:pPr>
      <w:r>
        <w:rPr>
          <w:rFonts w:eastAsia="黑体"/>
          <w:color w:val="000000"/>
          <w:kern w:val="0"/>
          <w:szCs w:val="20"/>
        </w:rPr>
        <w:t>2.就业专业对口率</w:t>
      </w:r>
    </w:p>
    <w:p>
      <w:pPr>
        <w:ind w:firstLine="480" w:firstLineChars="200"/>
        <w:rPr>
          <w:color w:val="000000"/>
        </w:rPr>
      </w:pPr>
      <w:r>
        <w:rPr>
          <w:color w:val="000000"/>
        </w:rPr>
        <w:t>2022年毕业31人，对口专业考研率100%；就业6人中，主要从事水土保持设计、咨询等公司从事水土保持方案编制、小流域规划设计、水土保持监测等；总体上就业专业对口率（考研与水保从业者）为100%。</w:t>
      </w:r>
    </w:p>
    <w:p>
      <w:pPr>
        <w:ind w:firstLine="480" w:firstLineChars="200"/>
        <w:outlineLvl w:val="2"/>
        <w:rPr>
          <w:rFonts w:eastAsia="黑体"/>
          <w:kern w:val="0"/>
          <w:szCs w:val="20"/>
        </w:rPr>
      </w:pPr>
      <w:r>
        <w:rPr>
          <w:rFonts w:eastAsia="黑体"/>
          <w:kern w:val="0"/>
          <w:szCs w:val="20"/>
        </w:rPr>
        <w:t>3.毕业生发展情况与就业单位满意率</w:t>
      </w:r>
    </w:p>
    <w:p>
      <w:pPr>
        <w:ind w:firstLine="480" w:firstLineChars="200"/>
        <w:rPr>
          <w:color w:val="000000"/>
        </w:rPr>
      </w:pPr>
      <w:r>
        <w:rPr>
          <w:color w:val="000000"/>
        </w:rPr>
        <w:t>毕业生中考研者均已进入中科院植物所、中科院新疆生态与地理研究所、西北农林科技大学、北京林业大学、山东农业大学、南京林业大学、中国林业科学研究院等高等学校、科研院所进行深造，发展状况良好，各高等院校与科研院所对学生的专业知识与吃苦耐劳、勤于钻研的精神反馈良好。进入公司从事水保方案编制、水土保持监测等从业者经过培训，已成为公司的主力，受到公司的一致好评。公务员、事业编及其他从业者在基层工作，已开拓了自己的工作局面，取得了不错的成绩。整体上，各毕业生均在自己的岗位上有所发展，就业单位满意率100%。</w:t>
      </w:r>
    </w:p>
    <w:p>
      <w:pPr>
        <w:ind w:firstLine="480" w:firstLineChars="200"/>
        <w:outlineLvl w:val="2"/>
        <w:rPr>
          <w:rFonts w:eastAsia="黑体"/>
          <w:kern w:val="0"/>
          <w:szCs w:val="20"/>
        </w:rPr>
      </w:pPr>
      <w:r>
        <w:rPr>
          <w:rFonts w:eastAsia="黑体"/>
          <w:kern w:val="0"/>
          <w:szCs w:val="20"/>
        </w:rPr>
        <w:t>4.社会对专业的评价</w:t>
      </w:r>
    </w:p>
    <w:p>
      <w:pPr>
        <w:ind w:firstLine="480" w:firstLineChars="200"/>
      </w:pPr>
      <w:r>
        <w:t>随着国家生态文明、美丽中国建设进程的提速，以及习近平总书记在不同的场合多次提到的</w:t>
      </w:r>
      <w:r>
        <w:rPr>
          <w:rFonts w:hint="eastAsia"/>
        </w:rPr>
        <w:t>“</w:t>
      </w:r>
      <w:r>
        <w:t>既要绿水青山，也要金山银山；宁要绿水青山，不要金山银山</w:t>
      </w:r>
      <w:r>
        <w:rPr>
          <w:rFonts w:hint="eastAsia"/>
        </w:rPr>
        <w:t>”</w:t>
      </w:r>
      <w:r>
        <w:t>理念的普及，加之十九大报告中提出的</w:t>
      </w:r>
      <w:r>
        <w:rPr>
          <w:rFonts w:hint="eastAsia"/>
        </w:rPr>
        <w:t>“</w:t>
      </w:r>
      <w:r>
        <w:t>开展国土绿化行动，推进荒漠化、石漠化、水土流失综合治理，强化湿地保护和恢复，加强地质灾害防治</w:t>
      </w:r>
      <w:r>
        <w:rPr>
          <w:rFonts w:hint="eastAsia"/>
        </w:rPr>
        <w:t>”</w:t>
      </w:r>
      <w:r>
        <w:t>要求，水土保持、荒漠化防治、小流域治理等受到明显的重视，社会上反响热烈，对专业的认识逐渐加深，认为本专业是</w:t>
      </w:r>
      <w:r>
        <w:rPr>
          <w:rFonts w:hint="eastAsia"/>
        </w:rPr>
        <w:t>“</w:t>
      </w:r>
      <w:r>
        <w:t>利在当代，功在千秋</w:t>
      </w:r>
      <w:r>
        <w:rPr>
          <w:rFonts w:hint="eastAsia"/>
        </w:rPr>
        <w:t>”</w:t>
      </w:r>
      <w:r>
        <w:t>之伟业，是一项关系国计民生的公益性专业，是与生产、生活紧密结合的专业。</w:t>
      </w:r>
      <w:r>
        <w:rPr>
          <w:color w:val="000000"/>
        </w:rPr>
        <w:t>社会对本专业的认可率与满意率较高，可达98%。</w:t>
      </w:r>
    </w:p>
    <w:p>
      <w:pPr>
        <w:ind w:firstLine="480" w:firstLineChars="200"/>
        <w:outlineLvl w:val="2"/>
        <w:rPr>
          <w:rFonts w:eastAsia="黑体"/>
          <w:kern w:val="0"/>
          <w:szCs w:val="20"/>
        </w:rPr>
      </w:pPr>
      <w:r>
        <w:rPr>
          <w:rFonts w:eastAsia="黑体"/>
          <w:kern w:val="0"/>
          <w:szCs w:val="20"/>
        </w:rPr>
        <w:t>5.学生就读该专业的意愿</w:t>
      </w:r>
    </w:p>
    <w:p>
      <w:pPr>
        <w:ind w:firstLine="480" w:firstLineChars="200"/>
        <w:rPr>
          <w:color w:val="000000"/>
        </w:rPr>
      </w:pPr>
      <w:r>
        <w:rPr>
          <w:color w:val="000000"/>
        </w:rPr>
        <w:t>本专业近年来在市场需求方面表现良好，成为不少学生报考首选之专业。在对2022年入学新生的调查中，学生就读本专业的意愿表现不俗；而且目前本专业面向全国16个省、自治区招生(省内不招生)，本科生的一次录取率达到100%，报到率达到100%。在进入专业学习一年后的转专业浪潮中，2021级本专业既有转出，也有转入，2021招生30人。总体来看，本专业保持人数在30人左右。</w:t>
      </w:r>
    </w:p>
    <w:p>
      <w:pPr>
        <w:pStyle w:val="5"/>
        <w:spacing w:before="93" w:after="93"/>
        <w:ind w:firstLine="560"/>
      </w:pPr>
      <w:bookmarkStart w:id="217" w:name="_Toc9581"/>
      <w:r>
        <w:t>六、毕业生就业创业</w:t>
      </w:r>
      <w:bookmarkEnd w:id="217"/>
    </w:p>
    <w:p>
      <w:pPr>
        <w:ind w:firstLine="480" w:firstLineChars="200"/>
        <w:outlineLvl w:val="2"/>
        <w:rPr>
          <w:rFonts w:eastAsia="黑体"/>
          <w:kern w:val="0"/>
          <w:szCs w:val="20"/>
        </w:rPr>
      </w:pPr>
      <w:r>
        <w:rPr>
          <w:rFonts w:eastAsia="黑体"/>
          <w:kern w:val="0"/>
          <w:szCs w:val="20"/>
        </w:rPr>
        <w:t>1.创业情况</w:t>
      </w:r>
    </w:p>
    <w:p>
      <w:pPr>
        <w:ind w:firstLine="480" w:firstLineChars="200"/>
        <w:rPr>
          <w:color w:val="000000"/>
        </w:rPr>
      </w:pPr>
      <w:r>
        <w:rPr>
          <w:color w:val="000000"/>
        </w:rPr>
        <w:t>学院为营造浓郁的创新创业氛围，先后举办</w:t>
      </w:r>
      <w:r>
        <w:rPr>
          <w:rFonts w:hint="eastAsia"/>
          <w:color w:val="000000"/>
        </w:rPr>
        <w:t>“</w:t>
      </w:r>
      <w:r>
        <w:rPr>
          <w:color w:val="000000"/>
        </w:rPr>
        <w:t>新思路</w:t>
      </w:r>
      <w:r>
        <w:rPr>
          <w:rFonts w:hint="eastAsia"/>
          <w:color w:val="000000"/>
        </w:rPr>
        <w:t>”</w:t>
      </w:r>
      <w:r>
        <w:rPr>
          <w:color w:val="000000"/>
        </w:rPr>
        <w:t>大学生创意大赛、创青春大赛、</w:t>
      </w:r>
      <w:r>
        <w:rPr>
          <w:rFonts w:hint="eastAsia"/>
          <w:color w:val="000000"/>
        </w:rPr>
        <w:t>“</w:t>
      </w:r>
      <w:r>
        <w:rPr>
          <w:color w:val="000000"/>
        </w:rPr>
        <w:t>学业规划设计大赛</w:t>
      </w:r>
      <w:r>
        <w:rPr>
          <w:rFonts w:hint="eastAsia"/>
          <w:color w:val="000000"/>
        </w:rPr>
        <w:t>”</w:t>
      </w:r>
      <w:r>
        <w:rPr>
          <w:color w:val="000000"/>
        </w:rPr>
        <w:t>、</w:t>
      </w:r>
      <w:r>
        <w:rPr>
          <w:rFonts w:hint="eastAsia"/>
          <w:color w:val="000000"/>
        </w:rPr>
        <w:t>“</w:t>
      </w:r>
      <w:r>
        <w:rPr>
          <w:color w:val="000000"/>
        </w:rPr>
        <w:t>水保杯</w:t>
      </w:r>
      <w:r>
        <w:rPr>
          <w:rFonts w:hint="eastAsia"/>
          <w:color w:val="000000"/>
        </w:rPr>
        <w:t>”</w:t>
      </w:r>
      <w:r>
        <w:rPr>
          <w:color w:val="000000"/>
        </w:rPr>
        <w:t>水土保持设计大赛，组建创新创业团队，高度重视大学生创业孵化基地建设，成立多个大学生创意的工作室，为大学生创新创业工作打造各类工作、宣传平台。截至2022年9月底，2022年度除考研外，共有6名学生就业，占本专业毕业生人数的19%。</w:t>
      </w:r>
    </w:p>
    <w:p>
      <w:pPr>
        <w:ind w:firstLine="480" w:firstLineChars="200"/>
        <w:outlineLvl w:val="2"/>
        <w:rPr>
          <w:rFonts w:eastAsia="黑体"/>
          <w:kern w:val="0"/>
          <w:szCs w:val="20"/>
        </w:rPr>
      </w:pPr>
      <w:r>
        <w:rPr>
          <w:rFonts w:eastAsia="黑体"/>
          <w:kern w:val="0"/>
          <w:szCs w:val="20"/>
        </w:rPr>
        <w:t>2.采取的措施</w:t>
      </w:r>
    </w:p>
    <w:p>
      <w:pPr>
        <w:ind w:firstLine="480" w:firstLineChars="200"/>
      </w:pPr>
      <w:r>
        <w:t>鉴于国家提出的</w:t>
      </w:r>
      <w:r>
        <w:rPr>
          <w:rFonts w:hint="eastAsia"/>
        </w:rPr>
        <w:t>“</w:t>
      </w:r>
      <w:r>
        <w:t>大众创业、万众创新</w:t>
      </w:r>
      <w:r>
        <w:rPr>
          <w:rFonts w:hint="eastAsia"/>
        </w:rPr>
        <w:t>”</w:t>
      </w:r>
      <w:r>
        <w:t>理念，借助于学院平台，本专业拟加强在创新创业方面的举措，提升学生的创新创业能力。(1)结合林学院教工党员</w:t>
      </w:r>
      <w:r>
        <w:rPr>
          <w:rFonts w:hint="eastAsia"/>
        </w:rPr>
        <w:t>“</w:t>
      </w:r>
      <w:r>
        <w:t>五帮扶</w:t>
      </w:r>
      <w:r>
        <w:rPr>
          <w:rFonts w:hint="eastAsia"/>
        </w:rPr>
        <w:t>”</w:t>
      </w:r>
      <w:r>
        <w:t>活动与学校的创新人才培养方案，加强对专业拔尖大学生创新能力的帮扶，从学习、科研、实践等方面精心指导，个性化培养，使之成为创新型人才。(2)结合林学院教工党员</w:t>
      </w:r>
      <w:r>
        <w:rPr>
          <w:rFonts w:hint="eastAsia"/>
        </w:rPr>
        <w:t>“</w:t>
      </w:r>
      <w:r>
        <w:t>五帮扶</w:t>
      </w:r>
      <w:r>
        <w:rPr>
          <w:rFonts w:hint="eastAsia"/>
        </w:rPr>
        <w:t>”</w:t>
      </w:r>
      <w:r>
        <w:t>活动，加强对富有创新精神和强烈创业意愿同学的帮扶，在创业思路、核心技术、创业实践等方面加强指导，积极培养孵化，培养具有双创精神的大学生。(3)在学院的支持下，开展水土保持设计技能大赛，积极培养学生的创新精神。(4)在学院支持下，积极改造提升人工降雨大厅等创新创业平台，建立森林水文等野外观测设施平台，提升学生的创新创业能力。</w:t>
      </w:r>
    </w:p>
    <w:p>
      <w:pPr>
        <w:pStyle w:val="5"/>
        <w:spacing w:before="93" w:after="93"/>
        <w:ind w:firstLine="560"/>
      </w:pPr>
      <w:bookmarkStart w:id="218" w:name="_Toc32454"/>
      <w:r>
        <w:t>七、专业人才社会需求分析及专业发展趋势</w:t>
      </w:r>
      <w:bookmarkEnd w:id="218"/>
      <w:r>
        <w:t>分析</w:t>
      </w:r>
    </w:p>
    <w:p>
      <w:pPr>
        <w:ind w:firstLine="480" w:firstLineChars="200"/>
      </w:pPr>
      <w:r>
        <w:t>水土保持与荒漠化专业是我国</w:t>
      </w:r>
      <w:r>
        <w:rPr>
          <w:rFonts w:hint="eastAsia"/>
        </w:rPr>
        <w:t>“</w:t>
      </w:r>
      <w:r>
        <w:t>自然保护与环境生态类</w:t>
      </w:r>
      <w:r>
        <w:rPr>
          <w:rFonts w:hint="eastAsia"/>
        </w:rPr>
        <w:t>”</w:t>
      </w:r>
      <w:r>
        <w:t>三个专业之一，是一门致力于社会公益与国家生态环境建设的专业。水土保持与荒漠化防治是生态文明建设的重要内容，我国生态环境恶劣，水土流失是头号生态环境问题，荒漠化是地球的癌症，以防治水土流失为核心的</w:t>
      </w:r>
      <w:r>
        <w:rPr>
          <w:rFonts w:hint="eastAsia"/>
        </w:rPr>
        <w:t>“</w:t>
      </w:r>
      <w:r>
        <w:t>水土保持是中国的基本国策</w:t>
      </w:r>
      <w:r>
        <w:rPr>
          <w:rFonts w:hint="eastAsia"/>
        </w:rPr>
        <w:t>”</w:t>
      </w:r>
      <w:r>
        <w:t>之一，也是我国生态文明建设的基础和保证。党和政府将水土保持与荒漠化防治作为生态环境建设的中心任务和目标，也是十九大报告提出的</w:t>
      </w:r>
      <w:r>
        <w:rPr>
          <w:rFonts w:hint="eastAsia"/>
        </w:rPr>
        <w:t>“</w:t>
      </w:r>
      <w:r>
        <w:t>加快生态文明体制改革，建设美丽中国</w:t>
      </w:r>
      <w:r>
        <w:rPr>
          <w:rFonts w:hint="eastAsia"/>
        </w:rPr>
        <w:t>”</w:t>
      </w:r>
      <w:r>
        <w:t>的重要内容。因此，治理水土流失，保护生态环境，加强生态文明建设为水土保持与荒漠化防治的专业发展和人才培养提供了新的机遇和挑战，水土保持与荒漠化防治人才需求将稳步增加。</w:t>
      </w:r>
    </w:p>
    <w:p>
      <w:pPr>
        <w:ind w:firstLine="480" w:firstLineChars="200"/>
      </w:pPr>
      <w:r>
        <w:t>本专业紧紧依托农学门类自然保护与环境生态类专业办学要求，围绕生态文明建设与生态经济发展需要，结合自身的相对优势，跟踪和把握学术前沿，注重创新与突破，加强交叉与融合，形成方向更加凝练、特色更加鲜明，优势更加突出的专业，培养具备生物学、生态学、森林培育学、水利水保工程等方面的知识，能在水保、水利水电、林业、环境保护、国土资源、农业等部门从事水土保持与荒漠化防治的</w:t>
      </w:r>
      <w:r>
        <w:rPr>
          <w:rFonts w:hint="eastAsia"/>
        </w:rPr>
        <w:t>“</w:t>
      </w:r>
      <w:r>
        <w:t>厚基础、宽口径、精专业、强能力、高素质、广适应</w:t>
      </w:r>
      <w:r>
        <w:rPr>
          <w:rFonts w:hint="eastAsia"/>
        </w:rPr>
        <w:t>”</w:t>
      </w:r>
      <w:r>
        <w:t>的规划、设计、施工及生态环境建设的高级工程技术人才。</w:t>
      </w:r>
    </w:p>
    <w:p>
      <w:pPr>
        <w:ind w:firstLine="480" w:firstLineChars="200"/>
      </w:pPr>
      <w:r>
        <w:t>本专业作为多学科综合和交叉性学科，其主要任务是解决我国对水土资源保护、改良和合理利用、荒漠化防治与沙区资源合理开发利用所提出的关键理论与技术问题，在生态环境建设、生态安全和水土资源开发与保护等方面有着宽广的研究和应用领域。</w:t>
      </w:r>
    </w:p>
    <w:p>
      <w:pPr>
        <w:pStyle w:val="5"/>
        <w:spacing w:before="93" w:after="93"/>
        <w:ind w:firstLine="560"/>
      </w:pPr>
      <w:bookmarkStart w:id="219" w:name="_Toc5345"/>
      <w:r>
        <w:t>八、存在的问题及拟采取的对策措施</w:t>
      </w:r>
      <w:bookmarkEnd w:id="219"/>
    </w:p>
    <w:p>
      <w:pPr>
        <w:ind w:firstLine="480" w:firstLineChars="200"/>
        <w:outlineLvl w:val="2"/>
        <w:rPr>
          <w:rFonts w:eastAsia="黑体"/>
          <w:kern w:val="0"/>
          <w:szCs w:val="20"/>
        </w:rPr>
      </w:pPr>
      <w:r>
        <w:rPr>
          <w:rFonts w:eastAsia="黑体"/>
          <w:kern w:val="0"/>
          <w:szCs w:val="20"/>
        </w:rPr>
        <w:t>1.存在问题</w:t>
      </w:r>
    </w:p>
    <w:p>
      <w:pPr>
        <w:ind w:firstLine="480" w:firstLineChars="200"/>
      </w:pPr>
      <w:r>
        <w:t>（1）人才培养与社会需求、学生需求存在偏差，在学校总体人才培养方案与模式体系下构建的学科人才培养方案缺乏灵活性，难以适应社会所需。</w:t>
      </w:r>
    </w:p>
    <w:p>
      <w:pPr>
        <w:ind w:firstLine="480" w:firstLineChars="200"/>
      </w:pPr>
      <w:r>
        <w:t>（2）就业质量与人才培养目标存在偏差，目前专业仍以高考研率带动，直接就业的专业对口率较低，毕业生可持续发展能力较差。</w:t>
      </w:r>
    </w:p>
    <w:p>
      <w:pPr>
        <w:ind w:firstLine="480" w:firstLineChars="200"/>
      </w:pPr>
      <w:r>
        <w:t>（3）高层次师资人才引进与发展支持环境之间存在矛盾。</w:t>
      </w:r>
    </w:p>
    <w:p>
      <w:pPr>
        <w:ind w:firstLine="480" w:firstLineChars="200"/>
      </w:pPr>
      <w:r>
        <w:t>（4）教育资源紧缺，平台建设经费不持续不稳定，仪器更新换代较为滞后。</w:t>
      </w:r>
    </w:p>
    <w:p>
      <w:pPr>
        <w:ind w:firstLine="480" w:firstLineChars="200"/>
      </w:pPr>
      <w:r>
        <w:t>（5）对外合作办学渠道仍需进一步扩大和畅通，现有交流名额仍受限制等。</w:t>
      </w:r>
    </w:p>
    <w:p>
      <w:pPr>
        <w:ind w:firstLine="480" w:firstLineChars="200"/>
      </w:pPr>
      <w:r>
        <w:t>（6）产学研协同育人机制初步形成，尚需进一步强化推进。</w:t>
      </w:r>
    </w:p>
    <w:p>
      <w:pPr>
        <w:ind w:firstLine="480" w:firstLineChars="200"/>
        <w:outlineLvl w:val="2"/>
        <w:rPr>
          <w:rFonts w:eastAsia="黑体"/>
          <w:kern w:val="0"/>
          <w:szCs w:val="20"/>
        </w:rPr>
      </w:pPr>
      <w:r>
        <w:rPr>
          <w:rFonts w:eastAsia="黑体"/>
          <w:kern w:val="0"/>
          <w:szCs w:val="20"/>
        </w:rPr>
        <w:t>2.拟采取的对策措施</w:t>
      </w:r>
    </w:p>
    <w:p>
      <w:pPr>
        <w:ind w:firstLine="480" w:firstLineChars="200"/>
      </w:pPr>
      <w:r>
        <w:t>（1）完善提升培养方案。构建以</w:t>
      </w:r>
      <w:r>
        <w:rPr>
          <w:rFonts w:hint="eastAsia"/>
        </w:rPr>
        <w:t>“</w:t>
      </w:r>
      <w:r>
        <w:t>厚基础、宽口径、强能力、高素质、广适应</w:t>
      </w:r>
      <w:r>
        <w:rPr>
          <w:rFonts w:hint="eastAsia"/>
        </w:rPr>
        <w:t>”</w:t>
      </w:r>
      <w:r>
        <w:t>为原则，以社会需要为导向，学生发展为目标的多样化人才培养体系，完善提升人才培养模式，注重培养学生的生态文明意识、综合素质、创新精神和创业能力，夯实生物学、工程学和环境科学的专业技能。</w:t>
      </w:r>
    </w:p>
    <w:p>
      <w:pPr>
        <w:ind w:firstLine="480" w:firstLineChars="200"/>
      </w:pPr>
      <w:r>
        <w:t>（2）实施定向培养，扩大就业渠道和机会。根据市场和学生需求，设置多个定向培养模式，重点培养学生基础理论和实践能力，提高学生的专业技能，使学生学有所用、学有所能、学有所长，扩大就业渠道和机会，提高学生的专业就业对口率和就业的可持续性。</w:t>
      </w:r>
    </w:p>
    <w:p>
      <w:pPr>
        <w:ind w:firstLine="480" w:firstLineChars="200"/>
      </w:pPr>
      <w:r>
        <w:t>（3）加强师资引进。引进2-3名高层次人才，充实教师队伍，优化师资的学历、职称、年龄及学缘结构，建设一支高水平、高学历、数量足、治学严谨、教育观念新、创新意识强的师资队伍。</w:t>
      </w:r>
    </w:p>
    <w:p>
      <w:pPr>
        <w:ind w:firstLine="480" w:firstLineChars="200"/>
      </w:pPr>
      <w:r>
        <w:t>（4）积极争取校级、省级课题或项目，加快对本专业平台建设力度，稳定经费，更新仪器设备，为学生创造更为先进的平台。</w:t>
      </w:r>
    </w:p>
    <w:p>
      <w:pPr>
        <w:ind w:firstLine="480" w:firstLineChars="200"/>
      </w:pPr>
      <w:r>
        <w:t>（5）争取院校两级支持，积极推进对外交流、联系与合作，争取更多的合作办学、交流访学机会。</w:t>
      </w:r>
    </w:p>
    <w:p>
      <w:pPr>
        <w:ind w:firstLine="480" w:firstLineChars="200"/>
      </w:pPr>
      <w:r>
        <w:t>（6）积极开展与企业、高校、科研院所、地方政府、行业部门的合作，注重发挥校友会的作用，开拓专业与学生的发展空间，推进产学研用协同育人机制。</w:t>
      </w:r>
    </w:p>
    <w:p>
      <w:pPr>
        <w:pStyle w:val="6"/>
        <w:ind w:firstLine="480"/>
      </w:pP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rPr>
          <w:lang w:val="en-US"/>
        </w:rPr>
      </w:pPr>
      <w:bookmarkStart w:id="220" w:name="_Toc6111"/>
      <w:bookmarkStart w:id="221" w:name="_Toc21349"/>
      <w:r>
        <w:rPr>
          <w:rFonts w:hint="eastAsia"/>
          <w:lang w:val="en-US"/>
        </w:rPr>
        <w:t>专业二十：</w:t>
      </w:r>
      <w:r>
        <w:rPr>
          <w:lang w:val="en-US"/>
        </w:rPr>
        <w:t>蚕学</w:t>
      </w:r>
      <w:bookmarkEnd w:id="220"/>
    </w:p>
    <w:p>
      <w:pPr>
        <w:autoSpaceDE w:val="0"/>
        <w:autoSpaceDN w:val="0"/>
        <w:adjustRightInd w:val="0"/>
        <w:ind w:firstLine="480" w:firstLineChars="200"/>
        <w:jc w:val="left"/>
        <w:rPr>
          <w:rFonts w:eastAsia="黑体"/>
          <w:bCs/>
          <w:sz w:val="30"/>
          <w:szCs w:val="30"/>
        </w:rPr>
      </w:pPr>
      <w:r>
        <w:rPr>
          <w:bCs/>
          <w:szCs w:val="24"/>
        </w:rPr>
        <w:t>为更好地适应我国当前</w:t>
      </w:r>
      <w:r>
        <w:rPr>
          <w:bCs/>
          <w:kern w:val="0"/>
          <w:szCs w:val="24"/>
        </w:rPr>
        <w:t>经济社会发展需求，蚕学专业立足学科特点，紧扣行业发展形势和人才需求现状，积极开展教学研究和科学研究，适度调整专业培养方案，持续更新教学内容，不断革新教学手段，着力突出办学特色，全面提高人才培养质量。现将2022年人才培养状况汇报如下：</w:t>
      </w:r>
    </w:p>
    <w:p>
      <w:pPr>
        <w:pStyle w:val="5"/>
        <w:spacing w:before="93" w:after="93"/>
        <w:ind w:firstLine="560"/>
      </w:pPr>
      <w:r>
        <w:t>一、培养目标</w:t>
      </w:r>
      <w:bookmarkEnd w:id="221"/>
      <w:r>
        <w:t>与规格</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本专业以生物科学与蚕学为背景和理论基础，以现代生物技术为主要手段，以特定生物资源（桑蚕及其他资源昆虫、资源微生物等）的开发利用为主要教学研究内容，培养具有扎实的生物学理论知识和茧丝绸行业技能的应用型、复合型高级专门人才。</w:t>
      </w:r>
    </w:p>
    <w:p>
      <w:pPr>
        <w:pStyle w:val="5"/>
        <w:keepLines w:val="0"/>
        <w:pageBreakBefore w:val="0"/>
        <w:widowControl w:val="0"/>
        <w:kinsoku/>
        <w:wordWrap/>
        <w:overflowPunct/>
        <w:topLinePunct w:val="0"/>
        <w:autoSpaceDE/>
        <w:autoSpaceDN/>
        <w:bidi w:val="0"/>
        <w:adjustRightInd/>
        <w:snapToGrid/>
        <w:spacing w:before="93" w:after="93" w:line="390" w:lineRule="exact"/>
        <w:ind w:firstLine="560"/>
        <w:textAlignment w:val="auto"/>
      </w:pPr>
      <w:bookmarkStart w:id="222" w:name="_Toc7007"/>
      <w:r>
        <w:t>二、培养能力</w:t>
      </w:r>
      <w:bookmarkEnd w:id="222"/>
      <w:r>
        <w:t>（专业基本情况、在校生规模、课程体系、创新创业教育等）</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1.专业基本情况</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本专业始建于1906年山东高等农业学堂的蚕科。经过一百余年的发展，现已发展成为以现代蚕业技术为优势和特色，以资源昆虫、资源微生物和发育遗传学等为重要研究方向的新型学科。蚕学专业现为我国北方唯一、在全国具有明显优势和特色的本科专业点，为国家级特色专业，拥有国家级教学名师和家蚕病理学国家级教学团队，是教育部、农业部批准的首批农科教合作人才培养基地。</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2.在校生规模</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本专业目前在校生25人（目前仅有2020级和2021级），是国内拥有蚕学本科教学的四所高校之一，招生省份主要为山东、广西、四川、云南、贵州、河南等。近年来主要在蚕桑主产区安排招生计划。</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3.课程体系</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本专业学生主要学习生物科学和蚕业科学等方面的基本理论和基本知识，包括植物学、微生物学、植物生理学、生物化学、分子生物学、遗传学、普通昆虫学、蚕体解剖生理学、家蚕遗传育种学、家蚕病理学、桑树栽培及育种学、养蚕学、蚕种学、桑树病虫害防治学、丝茧学、蚕桑生物技术、蚕业经济管理、蚕业资源利用、昆虫生产学等课程。依据新形势对高校人才培养的新要求，目前执行的最新人才培养方案中重点加强了数学、化学、生命科学、人文社科、外语和计算机的教学，专业课有针对性地增加了现代蚕业技术、生物技术和蚕桑新用途开发等方面的课程。</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4.创新创业教育</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长期以来，本专业一贯重视学生实践动手能力的培养，注重大学生创新创业教育，积极引导学生参与创新创业，其中成立于2010年的山东农业大学林学院</w:t>
      </w:r>
      <w:r>
        <w:rPr>
          <w:rFonts w:hint="eastAsia"/>
        </w:rPr>
        <w:t>“</w:t>
      </w:r>
      <w:r>
        <w:t>新丝路</w:t>
      </w:r>
      <w:r>
        <w:rPr>
          <w:rFonts w:hint="eastAsia"/>
        </w:rPr>
        <w:t>”</w:t>
      </w:r>
      <w:r>
        <w:t>创业中心就是以本专业学生为核心的校内知名创新创业团队。专业鼓励学生参加学校SRT项目、国家大学生创新计划项目、大学生创业团队以及各类创业竞赛活动，专业多次被评为山东农业大学实践教学先进集体，是教育部实践教学改革试点单位，2012年被列为首批农科教合作人才培养基地建设点。2009级王传振同学等成立了集产品研发、生产、销售、管理为一体的</w:t>
      </w:r>
      <w:r>
        <w:rPr>
          <w:rFonts w:hint="eastAsia"/>
        </w:rPr>
        <w:t>“</w:t>
      </w:r>
      <w:r>
        <w:t>新丝路</w:t>
      </w:r>
      <w:r>
        <w:rPr>
          <w:rFonts w:hint="eastAsia"/>
        </w:rPr>
        <w:t>”</w:t>
      </w:r>
      <w:r>
        <w:t>创业实践中心。经过几年的运行，日前运行良好，硕果累累，已入选国家级大学生创新创业实践项目；2011级刘枝玉同学负责的创新团队《斯邦生物科技有限责任公司》获得了2014年</w:t>
      </w:r>
      <w:r>
        <w:rPr>
          <w:rFonts w:hint="eastAsia"/>
        </w:rPr>
        <w:t>“</w:t>
      </w:r>
      <w:r>
        <w:t>创青春</w:t>
      </w:r>
      <w:r>
        <w:rPr>
          <w:rFonts w:hint="eastAsia"/>
        </w:rPr>
        <w:t>”</w:t>
      </w:r>
      <w:r>
        <w:t>青岛银行山东省大学生创业大赛铜奖；2012级张娇娇同学负责的大学生创意团队《华瑞生物科技有限公司》，在第二届山东省创业大赛总决赛中荣获二等奖，创造了山东省高校系统在本次大赛中的最好成绩；2013级李美琪同学负责的大学生创意团队《绿唯生物科技有限公司》荣获山东省金奖，主持的微生物源新型绿色防腐保鲜剂研发项目获山东省创业大赛二等奖，并获得多项泰安市创业大赛奖励。2014级陆欢同学主持的国家大学生创新创业训练计划项目</w:t>
      </w:r>
      <w:r>
        <w:rPr>
          <w:rFonts w:hint="eastAsia"/>
        </w:rPr>
        <w:t>“</w:t>
      </w:r>
      <w:r>
        <w:t>桑叶超微粉的制备与应用</w:t>
      </w:r>
      <w:r>
        <w:rPr>
          <w:rFonts w:hint="eastAsia"/>
        </w:rPr>
        <w:t>”</w:t>
      </w:r>
      <w:r>
        <w:t>参加了</w:t>
      </w:r>
      <w:r>
        <w:rPr>
          <w:rFonts w:hint="eastAsia"/>
        </w:rPr>
        <w:t>“</w:t>
      </w:r>
      <w:r>
        <w:t>第四届全国大学生植物生产类创新论坛会议</w:t>
      </w:r>
      <w:r>
        <w:rPr>
          <w:rFonts w:hint="eastAsia"/>
        </w:rPr>
        <w:t>”</w:t>
      </w:r>
      <w:r>
        <w:t>成果展。2015级鱼笑笑、韦彬琳同学获山东省农林类大学生创新创业大赛企业组二等奖。2016级赵麦同学成立贵州长丰农业科技有限公司，开展创业活动。2021年，杨永飞、何芳等同学以专业多年研究成果为技术支撑，精心打造的项目</w:t>
      </w:r>
      <w:r>
        <w:rPr>
          <w:rFonts w:hint="eastAsia"/>
        </w:rPr>
        <w:t>“</w:t>
      </w:r>
      <w:r>
        <w:t>慧养----蚕桑产业振兴的实践者</w:t>
      </w:r>
      <w:r>
        <w:rPr>
          <w:rFonts w:hint="eastAsia"/>
        </w:rPr>
        <w:t>”</w:t>
      </w:r>
      <w:r>
        <w:t>获山东省第七届</w:t>
      </w:r>
      <w:r>
        <w:rPr>
          <w:rFonts w:hint="eastAsia"/>
        </w:rPr>
        <w:t>“</w:t>
      </w:r>
      <w:r>
        <w:t>互联网+</w:t>
      </w:r>
      <w:r>
        <w:rPr>
          <w:rFonts w:hint="eastAsia"/>
        </w:rPr>
        <w:t>”</w:t>
      </w:r>
      <w:r>
        <w:t>大学生创新创业大赛金奖、中国国际</w:t>
      </w:r>
      <w:r>
        <w:rPr>
          <w:rFonts w:hint="eastAsia"/>
        </w:rPr>
        <w:t>“</w:t>
      </w:r>
      <w:r>
        <w:t>互联网+</w:t>
      </w:r>
      <w:r>
        <w:rPr>
          <w:rFonts w:hint="eastAsia"/>
        </w:rPr>
        <w:t>”</w:t>
      </w:r>
      <w:r>
        <w:t>大学生创新创业大赛铜奖。</w:t>
      </w:r>
      <w:bookmarkStart w:id="223" w:name="_Toc27395"/>
    </w:p>
    <w:p>
      <w:pPr>
        <w:pStyle w:val="5"/>
        <w:keepLines w:val="0"/>
        <w:pageBreakBefore w:val="0"/>
        <w:widowControl w:val="0"/>
        <w:kinsoku/>
        <w:wordWrap/>
        <w:overflowPunct/>
        <w:topLinePunct w:val="0"/>
        <w:autoSpaceDE/>
        <w:autoSpaceDN/>
        <w:bidi w:val="0"/>
        <w:adjustRightInd/>
        <w:snapToGrid/>
        <w:spacing w:before="93" w:after="93" w:line="390" w:lineRule="exact"/>
        <w:ind w:firstLine="560"/>
        <w:textAlignment w:val="auto"/>
      </w:pPr>
      <w:r>
        <w:t>三、培养条件</w:t>
      </w:r>
      <w:bookmarkEnd w:id="223"/>
      <w:r>
        <w:t xml:space="preserve">（教学经费投入、教学设备、教师队伍建设、实习基地、现代教学技术应用等） </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1</w:t>
      </w:r>
      <w:r>
        <w:rPr>
          <w:rFonts w:hint="eastAsia"/>
        </w:rPr>
        <w:t>.</w:t>
      </w:r>
      <w:r>
        <w:t>教学经费投入</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本专业先后投入包括国家特色专业80万、国家教学团队30万、泰山学者建设经费共330万，与林学院共建经费450万，以及专业教师部分科研经费共计约1000多万元。</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 xml:space="preserve">2.教学设备 </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本专业现有独立研究室4个，本科生教学实验室4个，与林学院其他学科共用研究室3个、省级实验教学中心1个、多媒体互动实验室1个，与动科院共建山东省动物科学重点实验室及山东农业大学重点实验室各1个、学生创新创业实践加工制作间3间。新建人工饲料养蚕车间1处、高规格蚕菜大棚1座、玻璃温室大棚1座。目前本专业拥有约2000多万元的仪器设备，其中包括蚕桑生理生化、蚕桑病害检测及防控、家蚕人工饲料、桑、蚕、丝资源利用、蚕桑生物技术、微生物资源利用等教学实习所需的常规仪器设备，能够很好的满足本科生教学实习和科学研究的需要。</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3.教师队伍建设</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本专业现有专业教师6人，全部具有博士学位，其中教授2人，副教授2人，讲师2人，博士生导师2人，硕士生导师6人；2位教师具有海外留学经历，1位教师有国内进修经历；教师年龄结构为，50岁以上2人，40～50岁1人，30～40岁3人。专业教师汇中，现有国家现代农业产业技术体系岗位科学家1人，山东省现代农业产业技术体系岗位科学家2人，山东省现代农业产业技术体系试验站站长1人，科研力量雄厚。</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4.实习基地</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本专业在新校区建有国内一流的教学科研基地1处，其中桑园20亩（包括喷灌桑园、桑品种园等），2400平方米实习与科研楼1栋，多功能养蚕大棚1座，人工饲料养蚕示范基地1处，该基地现为教育部、农业部批准的农科教合作人才培养基地。建有山东泰安丝绸集团有限公司校外实践教学基地，以及莒县丝绸公司、新泰市丝绸公司、广通蚕种集团等多处校外实习点。</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rFonts w:eastAsia="黑体"/>
        </w:rPr>
      </w:pPr>
      <w:r>
        <w:rPr>
          <w:rFonts w:eastAsia="黑体"/>
        </w:rPr>
        <w:t>5.现代教学技术应用</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本专业核心课程全部采用多媒体授课，建有《家蚕病理学》省级精品课程、《蚕桑学》课程群网、蚕病防治信息网等可供广大同学使用学习。此外，本专业正在积极筹建《家蚕病理学》一流课程、慕课及微课建设，拟进一步加强现代技术及互联网技术的应用。</w:t>
      </w:r>
    </w:p>
    <w:p>
      <w:pPr>
        <w:pStyle w:val="5"/>
        <w:keepLines w:val="0"/>
        <w:pageBreakBefore w:val="0"/>
        <w:widowControl w:val="0"/>
        <w:kinsoku/>
        <w:wordWrap/>
        <w:overflowPunct/>
        <w:topLinePunct w:val="0"/>
        <w:autoSpaceDE/>
        <w:autoSpaceDN/>
        <w:bidi w:val="0"/>
        <w:adjustRightInd/>
        <w:snapToGrid/>
        <w:spacing w:before="93" w:after="93" w:line="390" w:lineRule="exact"/>
        <w:ind w:firstLine="560"/>
        <w:textAlignment w:val="auto"/>
      </w:pPr>
      <w:r>
        <w:t xml:space="preserve">四、培养机制与特色（产学研协同育人机制、合作办学、教学管理等） </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1.产学研协同育人机制</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本专业一贯坚持产学研协同育人机制，率先创建了全国首个蚕桑</w:t>
      </w:r>
      <w:r>
        <w:rPr>
          <w:rFonts w:hint="eastAsia"/>
        </w:rPr>
        <w:t>“</w:t>
      </w:r>
      <w:r>
        <w:t>产学研</w:t>
      </w:r>
      <w:r>
        <w:rPr>
          <w:rFonts w:hint="eastAsia"/>
        </w:rPr>
        <w:t>”</w:t>
      </w:r>
      <w:r>
        <w:t>一体化的校内实践教学基地，并创立了以教学实习为中心，以科研促教学和生产，以生产保证教学和科研的实习基地运行模式。在校外基地建设方面，创立了一条与生产单位紧密联合、签订合同、互惠互利建设人才培养基地的新模式。人才培养过程中实施具有专业特色的</w:t>
      </w:r>
      <w:r>
        <w:rPr>
          <w:rFonts w:hint="eastAsia"/>
        </w:rPr>
        <w:t>“</w:t>
      </w:r>
      <w:r>
        <w:t>三层次四阶段实践教学体系</w:t>
      </w:r>
      <w:r>
        <w:rPr>
          <w:rFonts w:hint="eastAsia"/>
        </w:rPr>
        <w:t>”</w:t>
      </w:r>
      <w:r>
        <w:t>。即根据总体培养方案及各实践环节的目的要求和不同年级学生的特点，将各实践教学内容分为三个层次、若干模块、贯穿于一上一下、二上二下、三上至四上及四下共四个阶段来完成。近年来，根据国家对大学生创新创业教育的发展需要，在坚持开展实践教学的基础上，加大对学生创新创业方面的引导培训，形成了创新</w:t>
      </w:r>
      <w:r>
        <w:rPr>
          <w:rFonts w:hint="eastAsia"/>
        </w:rPr>
        <w:t>“</w:t>
      </w:r>
      <w:r>
        <w:t>四位一体</w:t>
      </w:r>
      <w:r>
        <w:rPr>
          <w:rFonts w:hint="eastAsia"/>
        </w:rPr>
        <w:t>”</w:t>
      </w:r>
      <w:r>
        <w:t>人才培养模式。</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本专业针对山东省新的招生政策，及时调整招生省份，将招生计划主要安排在国内蚕茧主产区。2019年起，成立的林学院大学生蚕桑科研兴趣小组，学生基本均进入科研训练，情况良好。结合学生兴趣实行导师制，对有科研兴趣的同学提供试验研究条件和具体指导，本活动对切实提高学生科研素质和专业宣传效果良好。目前，大二的学生全部参加国家大学生训练计划项目或校内SRT项目及其他科研训练等，极大提高了学生的科研能力。</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2.合作办学</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本专业不断更新教育观念，加强国内交流，积极开展校企、校地合作，全力推动开放办学，在开放办学中逐步形成学科特色品牌。通过</w:t>
      </w:r>
      <w:r>
        <w:rPr>
          <w:rFonts w:hint="eastAsia"/>
        </w:rPr>
        <w:t>“</w:t>
      </w:r>
      <w:r>
        <w:t>引进来</w:t>
      </w:r>
      <w:r>
        <w:rPr>
          <w:rFonts w:hint="eastAsia"/>
        </w:rPr>
        <w:t>”</w:t>
      </w:r>
      <w:r>
        <w:t>、</w:t>
      </w:r>
      <w:r>
        <w:rPr>
          <w:rFonts w:hint="eastAsia"/>
        </w:rPr>
        <w:t>“</w:t>
      </w:r>
      <w:r>
        <w:t>走出去</w:t>
      </w:r>
      <w:r>
        <w:rPr>
          <w:rFonts w:hint="eastAsia"/>
        </w:rPr>
        <w:t>”</w:t>
      </w:r>
      <w:r>
        <w:t>战略，创新思路，注重内涵，不断拓展国际合作领域和交流项目渠道，引入国外优质教育资源和成熟办学理念，积极合作并发展学校学科建设，进一步优化专业体系，提高教育教学质量和学生创新创业能力，为毕业生国外求学、考研以及就业奠定了良好基础。</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3.教学管理</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本专业积极落实学校制定的教学管理制度，严格执行学院专业建设管理规章制度、教授指导委员会工作细则、大学生科技创新和创业工作计划、院长及系主任随堂听课制度、教师学生教学质量评价制度、教学质量与成果奖励办法、毕业生就业跟踪调查制度等。积极建立有效的激励机制，带动教师全员参与本科生</w:t>
      </w:r>
      <w:r>
        <w:rPr>
          <w:rFonts w:hint="eastAsia"/>
        </w:rPr>
        <w:t>“</w:t>
      </w:r>
      <w:r>
        <w:t>班主任负责制</w:t>
      </w:r>
      <w:r>
        <w:rPr>
          <w:rFonts w:hint="eastAsia"/>
        </w:rPr>
        <w:t>”</w:t>
      </w:r>
      <w:r>
        <w:t>、</w:t>
      </w:r>
      <w:r>
        <w:rPr>
          <w:rFonts w:hint="eastAsia"/>
        </w:rPr>
        <w:t>“</w:t>
      </w:r>
      <w:r>
        <w:t>本科生导师制</w:t>
      </w:r>
      <w:r>
        <w:rPr>
          <w:rFonts w:hint="eastAsia"/>
        </w:rPr>
        <w:t>”</w:t>
      </w:r>
      <w:r>
        <w:t>、</w:t>
      </w:r>
      <w:r>
        <w:rPr>
          <w:rFonts w:hint="eastAsia"/>
        </w:rPr>
        <w:t>“</w:t>
      </w:r>
      <w:r>
        <w:t>科研导师制</w:t>
      </w:r>
      <w:r>
        <w:rPr>
          <w:rFonts w:hint="eastAsia"/>
        </w:rPr>
        <w:t>”</w:t>
      </w:r>
      <w:r>
        <w:t>等计划，以保障本专业教学高质量的顺利进行。</w:t>
      </w:r>
    </w:p>
    <w:p>
      <w:pPr>
        <w:pStyle w:val="5"/>
        <w:keepLines w:val="0"/>
        <w:pageBreakBefore w:val="0"/>
        <w:widowControl w:val="0"/>
        <w:kinsoku/>
        <w:wordWrap/>
        <w:overflowPunct/>
        <w:topLinePunct w:val="0"/>
        <w:autoSpaceDE/>
        <w:autoSpaceDN/>
        <w:bidi w:val="0"/>
        <w:adjustRightInd/>
        <w:snapToGrid/>
        <w:spacing w:before="93" w:after="93" w:line="390" w:lineRule="exact"/>
        <w:ind w:firstLine="560"/>
        <w:textAlignment w:val="auto"/>
      </w:pPr>
      <w:r>
        <w:t xml:space="preserve">五、培养质量（毕业生就业率、就业专业对口率、毕业生发展情况、就业单位满意率、社会对专业的评价、学生就读该专业的意愿等） </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1.社会对专业的评价</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本专业教学质量高，特别是实践教学及创新创业特色突出。培养的人才不但具备扎实的专业理论基础，更以操作能力强、适应性强而著称，深受用人单位的欢迎，得到全国蚕业界同行的普遍认可。</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2.毕业生情况</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rPr>
          <w:color w:val="000000"/>
        </w:rPr>
      </w:pPr>
      <w:r>
        <w:t>毕业生就业范围遍及蚕丝业及相近专业、公务员及行政工作、教师及科研工作等各个行业。本年度蚕学专业共毕业13人，就业率为100%。其中考研率为55%，上线率为100%，就读率为100%，4位同学被浙江大学、西南大学、苏州大学录取。考研学生的专业</w:t>
      </w:r>
      <w:r>
        <w:rPr>
          <w:color w:val="000000"/>
        </w:rPr>
        <w:t>对口率为100%。其他的同学就业去向主要为广西、江苏和山东，专业对口率为66.67%。</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3.学生就读该专业的意愿</w:t>
      </w:r>
    </w:p>
    <w:p>
      <w:pPr>
        <w:keepLines w:val="0"/>
        <w:pageBreakBefore w:val="0"/>
        <w:widowControl w:val="0"/>
        <w:kinsoku/>
        <w:wordWrap/>
        <w:overflowPunct/>
        <w:topLinePunct w:val="0"/>
        <w:autoSpaceDE/>
        <w:autoSpaceDN/>
        <w:bidi w:val="0"/>
        <w:adjustRightInd/>
        <w:snapToGrid/>
        <w:spacing w:line="390" w:lineRule="exact"/>
        <w:ind w:firstLine="480"/>
        <w:textAlignment w:val="auto"/>
        <w:rPr>
          <w:color w:val="000000"/>
        </w:rPr>
      </w:pPr>
      <w:r>
        <w:t>2018级本科生除2人因参军办理延期入学外，其他同学全部报到，报到率</w:t>
      </w:r>
      <w:r>
        <w:rPr>
          <w:color w:val="000000"/>
        </w:rPr>
        <w:t>92%。2019级按照学科门类招生，林学大类的报到率名列学校前茅。2020年本专业招生生源地主要为省外国内主要蚕区，学生报到率81.8%（18人报道，招生计划22人）。2021年学校决定暂停招生。</w:t>
      </w:r>
    </w:p>
    <w:p>
      <w:pPr>
        <w:keepLines w:val="0"/>
        <w:pageBreakBefore w:val="0"/>
        <w:widowControl w:val="0"/>
        <w:kinsoku/>
        <w:wordWrap/>
        <w:overflowPunct/>
        <w:topLinePunct w:val="0"/>
        <w:autoSpaceDE/>
        <w:autoSpaceDN/>
        <w:bidi w:val="0"/>
        <w:adjustRightInd/>
        <w:snapToGrid/>
        <w:spacing w:line="390" w:lineRule="exact"/>
        <w:ind w:firstLine="480"/>
        <w:textAlignment w:val="auto"/>
        <w:rPr>
          <w:color w:val="000000"/>
        </w:rPr>
      </w:pPr>
      <w:r>
        <w:rPr>
          <w:color w:val="000000"/>
        </w:rPr>
        <w:t>学校转专业条件一直较为宽松，学生跨学科、跨专业情况非常普遍。2018年以前在学校按专业招生的情况下，转出专业的学生比例基本上稳定在30%左右，多数学生了解专业后对专业的认可度较高，但是专业转入人数较少。2019年，学校分大类招生，专业分流后选择蚕学专业的人数较少，仅为13人。2020年，转专业率为38%。</w:t>
      </w:r>
    </w:p>
    <w:p>
      <w:pPr>
        <w:pStyle w:val="5"/>
        <w:keepLines w:val="0"/>
        <w:pageBreakBefore w:val="0"/>
        <w:widowControl w:val="0"/>
        <w:kinsoku/>
        <w:wordWrap/>
        <w:overflowPunct/>
        <w:topLinePunct w:val="0"/>
        <w:autoSpaceDE/>
        <w:autoSpaceDN/>
        <w:bidi w:val="0"/>
        <w:adjustRightInd/>
        <w:snapToGrid/>
        <w:spacing w:before="93" w:after="93" w:line="390" w:lineRule="exact"/>
        <w:ind w:firstLine="560"/>
        <w:textAlignment w:val="auto"/>
      </w:pPr>
      <w:r>
        <w:t xml:space="preserve">六、毕业生就业创业（创业情况、釆取的措施、典型案例等） </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1.创业情况</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近几年，受到国家</w:t>
      </w:r>
      <w:r>
        <w:rPr>
          <w:rFonts w:hint="eastAsia"/>
        </w:rPr>
        <w:t>“</w:t>
      </w:r>
      <w:r>
        <w:t>大众创业、万众创新</w:t>
      </w:r>
      <w:r>
        <w:rPr>
          <w:rFonts w:hint="eastAsia"/>
        </w:rPr>
        <w:t>”</w:t>
      </w:r>
      <w:r>
        <w:t>及学校创新创业教育政策的影响，大学生创业积极性日渐提高。蚕学毕业生未毕业就先创业、一毕业就创业的同学日益增多，近五年来每届基本上均有一位同学就业后开展创业活动。</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本专业开设有创新创业实践课。多数学生在校期间也参加林学院</w:t>
      </w:r>
      <w:r>
        <w:rPr>
          <w:rFonts w:hint="eastAsia"/>
        </w:rPr>
        <w:t>“</w:t>
      </w:r>
      <w:r>
        <w:t>新丝路</w:t>
      </w:r>
      <w:r>
        <w:rPr>
          <w:rFonts w:hint="eastAsia"/>
        </w:rPr>
        <w:t>”</w:t>
      </w:r>
      <w:r>
        <w:t>大学生创新团队，积极参加团队活动，自主开展产品研发、加工及推广活动，在活动中学生各个方面的能力均得到了很好地锻炼和提高，也较好地激发了学生的创业热情。学院及专业也积极推荐学生参加各种创新创业比赛。</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2.典型案例</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本专业的大学生新丝路创业团队运营10余年，现已由2015级彭远坤注册成立泰安市泰山区新丝路生物科技有限公司。2013届王传振同学毕业后，选择回到家乡夏津县自主创业，现已创立夏津县新丝路生态农业有限公司，并成立夏津县桑树种植合作社，带领乡亲们发展桑蚕产业，共同致富，其事迹先后被《人民网》、《中国日报》、《人民政协报》等国家级主流媒体相继报道。2018年起，王传振已经转移到青岛继续在专业领域的创业发展，其中新拓展的蚕桑研学效果良好。</w:t>
      </w:r>
    </w:p>
    <w:p>
      <w:pPr>
        <w:pStyle w:val="5"/>
        <w:keepLines w:val="0"/>
        <w:pageBreakBefore w:val="0"/>
        <w:widowControl w:val="0"/>
        <w:kinsoku/>
        <w:wordWrap/>
        <w:overflowPunct/>
        <w:topLinePunct w:val="0"/>
        <w:autoSpaceDE/>
        <w:autoSpaceDN/>
        <w:bidi w:val="0"/>
        <w:adjustRightInd/>
        <w:snapToGrid/>
        <w:spacing w:before="93" w:after="93" w:line="390" w:lineRule="exact"/>
        <w:ind w:firstLine="560"/>
        <w:textAlignment w:val="auto"/>
      </w:pPr>
      <w:r>
        <w:t xml:space="preserve">七、专业人才社会需求分析及专业发展趋势分析   </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1.国民经济发展和国家战略的需要</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丝绸是中国古老文化的象征，中国古老的丝绸业为中华民族文化织绣了光辉的篇章，对促进世界人类文明的发展作出了不可磨灭的贡献。2017年、2018年的中央一号文件均明确提出，利用最先进的蚕桑生产及开发技术提升蚕桑业的发展质量，推进农村的经济建设、文化建设和生态建设，加快农业农村现代化，蚕桑行业是</w:t>
      </w:r>
      <w:r>
        <w:rPr>
          <w:rFonts w:hint="eastAsia"/>
        </w:rPr>
        <w:t>“</w:t>
      </w:r>
      <w:r>
        <w:t>一二三产</w:t>
      </w:r>
      <w:r>
        <w:rPr>
          <w:rFonts w:hint="eastAsia"/>
        </w:rPr>
        <w:t>”</w:t>
      </w:r>
      <w:r>
        <w:t>融合发展的典范。目前，在国内许多地方，蚕桑行业是农村精准脱贫的主导项目。2019年的中国双创周上，李克强总理为作为我国年度十大颠覆性成果的家蚕人工饲料育技术点赞。在现代农业条件下，古老的民族产业依然散发勃勃生机。由工业和信息化部、农业农村部、商务部等六部联合下发的《蚕桑丝绸产业高质量发展行动计划（2021-2025年）》提出，探索产业转型新模式，开创新时代蚕桑丝绸产业发展新局面，上下游协同发展，丝绸文化持续增强。这也为我国的蚕桑发展指明了方向，我校的人工饲料养蚕技术、省力化蚕桑生产技术和计划中的重点任务高度契合。</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2.蚕桑科技人才培养的需要</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我国的茧丝绸产量占世界的80%左右，随着</w:t>
      </w:r>
      <w:r>
        <w:rPr>
          <w:rFonts w:hint="eastAsia"/>
        </w:rPr>
        <w:t>“</w:t>
      </w:r>
      <w:r>
        <w:t>一带一路</w:t>
      </w:r>
      <w:r>
        <w:rPr>
          <w:rFonts w:hint="eastAsia"/>
        </w:rPr>
        <w:t>”</w:t>
      </w:r>
      <w:r>
        <w:t>国家战略的实施，养蚕业迎来了新的发展高潮。2020年秋，虽然受新冠疫情影响，但是蚕茧生产迅速恢复，蚕茧价格持续上涨，涨幅超80%，各生产单位急需专业人才。另据农业农村部种调研结果，我国每年需要蚕桑技术人员在2000人以上，而全国每年蚕学毕业生只有100人左右，研究生40-50人，供需矛盾十分突出。并且蚕桑技术人员老龄化严重，青黄不接。在我校春季举办的2020年农林水毕业生就业市场就有37家高校研究所和企事业单位提供150多个蚕学工作岗位，毕业生供不应求。目前，计划在我校招聘本专业毕业生的单位需求人数维持在50人以上，更有许多企业多年来一直未能招聘到毕业生。</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3.多元化现代蚕丝业发展的需要</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现代蚕丝业已不仅仅局限于种桑养蚕缫丝织绸制衣，而向更宽广的领域拓展，以求更高价值的综合经济效益和社会效益。现在，蚕业资源的开发与利用已经成为行业内外人士关注的热点。生物科学、医药科学、食品科学等开始与蚕丝科学交叉、渗透，桑叶保健食品、桑叶饲料、蚕粪提取叶绿素，蚕蛾保健食品，丝肽护肤用品等都已形成产业化规模经营，特别是蚕丝组织工程材料研究成果的日益累计，展现出更加广阔的发展应用前景。</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4.现代生命科学研究的需要</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随着2022年</w:t>
      </w:r>
      <w:r>
        <w:rPr>
          <w:rFonts w:hint="eastAsia"/>
        </w:rPr>
        <w:t>“</w:t>
      </w:r>
      <w:r>
        <w:t>千蚕计划</w:t>
      </w:r>
      <w:r>
        <w:rPr>
          <w:rFonts w:hint="eastAsia"/>
        </w:rPr>
        <w:t>”</w:t>
      </w:r>
      <w:r>
        <w:t>泛基因组工作的完成，家蚕作为模式生物在现代生命科学研究领域的重要作用日益突出，家蚕作为实验动物，在经典遗传学、动物遗传学、发育生物学、细胞生物学、昆虫免疫学、鳞翅目害虫防治、环境监测乃至医药学等研究领域受到广泛的关注，目前包括美国、日本、国内清华大学、中国医科大学、中国科学院上海植生所等在内的许多国内外知名高校和院所都在从事以桑、蚕、丝作为实验材料的各项研究工作。人工饲料育蚕也进入了空间站。</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以上种种情况表明新世纪的蚕丝业将有更大的发展空间，急需一支能创新、善创业的蚕学人才队伍，今后本专业的毕业生将有更大的发展空间和广阔的发展前景。</w:t>
      </w:r>
    </w:p>
    <w:p>
      <w:pPr>
        <w:pStyle w:val="5"/>
        <w:keepLines w:val="0"/>
        <w:pageBreakBefore w:val="0"/>
        <w:widowControl w:val="0"/>
        <w:kinsoku/>
        <w:wordWrap/>
        <w:overflowPunct/>
        <w:topLinePunct w:val="0"/>
        <w:autoSpaceDE/>
        <w:autoSpaceDN/>
        <w:bidi w:val="0"/>
        <w:adjustRightInd/>
        <w:snapToGrid/>
        <w:spacing w:before="93" w:after="93" w:line="390" w:lineRule="exact"/>
        <w:ind w:firstLine="560"/>
        <w:textAlignment w:val="auto"/>
      </w:pPr>
      <w:r>
        <w:t xml:space="preserve">八、存在的问题及拟釆取的对策措施    </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本专业经过多年的招生和建设，已经形成了较为稳定的人才培养模式，入选国家特色专业，拥有国家教学团队、国家教学名师和农业部农科教合作人才培养基地。但是随着经济社会和现代蚕业的快速发展，对本专业的人才培养模式将不断提出新的要求。</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因此我们需要进一步完善人才培养方案和课程设置，强化专业特色，并注重个性化培养。同时加强实践技能培训，充分发挥校内和校外教学实践基地的作用，使学生得到更多的实践锻炼，使广大毕业生能更贴近社会需求。针对师资队伍不足及老龄化现象，尽快补充蚕桑资源新用途开发、昆虫生产学、微生物资源与应用等研究领域的师资，满足现代蚕丝业与生物科学、医药科学、食品科学等的交叉融合，探索出一套具较强可操作性的蚕学专业拔尖创新型和应用型人才相结合的新培养模式。</w:t>
      </w:r>
    </w:p>
    <w:p>
      <w:pPr>
        <w:keepLines w:val="0"/>
        <w:pageBreakBefore w:val="0"/>
        <w:widowControl w:val="0"/>
        <w:kinsoku/>
        <w:wordWrap/>
        <w:overflowPunct/>
        <w:topLinePunct w:val="0"/>
        <w:autoSpaceDE/>
        <w:autoSpaceDN/>
        <w:bidi w:val="0"/>
        <w:adjustRightInd/>
        <w:snapToGrid/>
        <w:spacing w:line="390" w:lineRule="exact"/>
        <w:ind w:firstLine="480" w:firstLineChars="200"/>
        <w:textAlignment w:val="auto"/>
      </w:pPr>
      <w:r>
        <w:t>目前的招生政策，给予家长及考生巨大的选择自主权，学校的转专业政策也充分尊重学生的个性发展需求，有利于人才的培养。新形势下专业也积极主动求变，调整培养方案，开展科研创新创业活动，扩大专业影响，以期能够吸引学生，但是收效甚微。造成这种情况的原因很多，正如报告前文所述，这并不是由于人才培养质量差、专业实力不济、学生就业形势不好及行业不需要人才等而导致的，而是社会认知和导向所致。新招生政策的出台，对传统优势学科挑战巨大，本专业可能是最早受到冲击的一批，下一步整个农科类专业、农业类院校可能都会受到影响，最终影响到国家的农业生产。我们除了积极做好学生培养教育及就业帮扶外，还需要学校、上级部门乃至国家也从政策及导向上给予更多的帮助。</w:t>
      </w:r>
    </w:p>
    <w:p>
      <w:r>
        <w:br w:type="page"/>
      </w:r>
    </w:p>
    <w:p>
      <w:pPr>
        <w:pStyle w:val="4"/>
        <w:ind w:firstLine="600"/>
      </w:pPr>
      <w:bookmarkStart w:id="224" w:name="_Toc10441"/>
      <w:bookmarkStart w:id="225" w:name="_Toc17213"/>
      <w:bookmarkStart w:id="226" w:name="_Toc17954"/>
      <w:bookmarkStart w:id="227" w:name="_Toc5551"/>
      <w:bookmarkStart w:id="228" w:name="_Toc2105"/>
      <w:r>
        <w:rPr>
          <w:rFonts w:hint="eastAsia"/>
        </w:rPr>
        <w:t>专业</w:t>
      </w:r>
      <w:r>
        <w:rPr>
          <w:rFonts w:hint="eastAsia"/>
          <w:lang w:val="en-US"/>
        </w:rPr>
        <w:t>二十一</w:t>
      </w:r>
      <w:r>
        <w:rPr>
          <w:rFonts w:hint="eastAsia"/>
        </w:rPr>
        <w:t>：林学</w:t>
      </w:r>
      <w:bookmarkEnd w:id="224"/>
      <w:bookmarkEnd w:id="225"/>
      <w:bookmarkEnd w:id="226"/>
      <w:bookmarkEnd w:id="227"/>
      <w:bookmarkEnd w:id="228"/>
    </w:p>
    <w:p>
      <w:pPr>
        <w:pStyle w:val="5"/>
        <w:spacing w:before="93" w:after="93"/>
        <w:ind w:firstLine="560"/>
      </w:pPr>
      <w:r>
        <w:rPr>
          <w:rFonts w:hint="eastAsia"/>
        </w:rPr>
        <w:t>一、培养目标与规格</w:t>
      </w:r>
    </w:p>
    <w:p>
      <w:pPr>
        <w:ind w:firstLine="480"/>
        <w:rPr>
          <w:szCs w:val="24"/>
        </w:rPr>
      </w:pPr>
      <w:r>
        <w:rPr>
          <w:rFonts w:hint="eastAsia"/>
          <w:szCs w:val="24"/>
        </w:rPr>
        <w:t>林学专业是国家级一流本科专业。本专业培养具有林木育种、森林培育、林木病虫害防治、森林资源调查规划与管理、林业信息技术、林业经济管理、生态环境建设、野生植物资源开发利用等方面的知识，能够在林业、水利、园林、农业、环境保护等行政或企业单位从事生产管理工作，以及在林业企业、大中专院校及科研院所从事林业技术研发与应用、教学、科研、管理等工作的应用型复合型高级专门人才。</w:t>
      </w:r>
    </w:p>
    <w:p>
      <w:pPr>
        <w:pStyle w:val="5"/>
        <w:spacing w:before="93" w:after="93"/>
        <w:ind w:firstLine="560"/>
      </w:pPr>
      <w:r>
        <w:rPr>
          <w:rFonts w:hint="eastAsia"/>
        </w:rPr>
        <w:t>二、培养能力</w:t>
      </w:r>
    </w:p>
    <w:p>
      <w:pPr>
        <w:pStyle w:val="7"/>
        <w:ind w:firstLine="480"/>
      </w:pPr>
      <w:r>
        <w:rPr>
          <w:rFonts w:hint="eastAsia"/>
        </w:rPr>
        <w:t>1. 专业基本情况</w:t>
      </w:r>
    </w:p>
    <w:p>
      <w:pPr>
        <w:ind w:firstLine="480"/>
        <w:rPr>
          <w:szCs w:val="24"/>
        </w:rPr>
      </w:pPr>
      <w:r>
        <w:rPr>
          <w:szCs w:val="24"/>
        </w:rPr>
        <w:t>林学专业始建于1906年，是山东农业大学三个百年专业之一，现为</w:t>
      </w:r>
      <w:r>
        <w:rPr>
          <w:rFonts w:hint="eastAsia"/>
          <w:szCs w:val="24"/>
        </w:rPr>
        <w:t>国家级一流本科专业</w:t>
      </w:r>
      <w:r>
        <w:rPr>
          <w:szCs w:val="24"/>
        </w:rPr>
        <w:t>。1982年开始招收硕士研究生，2003年获批设立森林培育学科博士学位授予点，2006年获批林学一级学科硕士学位授予点，2011年获批生态学一级博士点和一级硕士点</w:t>
      </w:r>
      <w:r>
        <w:rPr>
          <w:rFonts w:hint="eastAsia"/>
          <w:szCs w:val="24"/>
        </w:rPr>
        <w:t>，2018年获批林学一级博士点，2019获批国家级一流本科专业。</w:t>
      </w:r>
      <w:r>
        <w:rPr>
          <w:szCs w:val="24"/>
        </w:rPr>
        <w:t>1999年，山东省林业学校林学专业并入林学院。目前，林学专业拥有林学和生态学2个博士后科研流动站，林学、生态学2个一级学科博士学位授权点，林学、生态学2个一级学科硕士学位授权点，森林培育、林木遗传育种、森林经理3个硕士学位授权点</w:t>
      </w:r>
      <w:r>
        <w:rPr>
          <w:rFonts w:hint="eastAsia"/>
          <w:szCs w:val="24"/>
        </w:rPr>
        <w:t>、</w:t>
      </w:r>
      <w:r>
        <w:rPr>
          <w:szCs w:val="24"/>
        </w:rPr>
        <w:t>1个国家林业局重点学科（林学）和1个山东省重点学科（森林培育学科），使本专业形成了从本科到硕士、博士及博士后各层次的、完善的人才培养体系。</w:t>
      </w:r>
    </w:p>
    <w:p>
      <w:pPr>
        <w:pStyle w:val="7"/>
        <w:ind w:firstLine="480"/>
      </w:pPr>
      <w:r>
        <w:rPr>
          <w:rFonts w:hint="eastAsia"/>
        </w:rPr>
        <w:t>2</w:t>
      </w:r>
      <w:r>
        <w:t>.</w:t>
      </w:r>
      <w:r>
        <w:rPr>
          <w:rFonts w:hint="eastAsia"/>
        </w:rPr>
        <w:t xml:space="preserve"> 在校生规模</w:t>
      </w:r>
    </w:p>
    <w:p>
      <w:pPr>
        <w:ind w:firstLine="480"/>
        <w:rPr>
          <w:szCs w:val="24"/>
        </w:rPr>
      </w:pPr>
      <w:r>
        <w:rPr>
          <w:rFonts w:hint="eastAsia"/>
          <w:szCs w:val="24"/>
        </w:rPr>
        <w:t>2019-20</w:t>
      </w:r>
      <w:r>
        <w:rPr>
          <w:szCs w:val="24"/>
        </w:rPr>
        <w:t>2</w:t>
      </w:r>
      <w:r>
        <w:rPr>
          <w:rFonts w:hint="eastAsia"/>
          <w:szCs w:val="24"/>
        </w:rPr>
        <w:t>1年，每年招生2</w:t>
      </w:r>
      <w:r>
        <w:rPr>
          <w:szCs w:val="24"/>
        </w:rPr>
        <w:t>-</w:t>
      </w:r>
      <w:r>
        <w:rPr>
          <w:rFonts w:hint="eastAsia"/>
          <w:szCs w:val="24"/>
        </w:rPr>
        <w:t>3个班，在校生人数分别为84、98、80人。2022年林学招新农科实验班</w:t>
      </w:r>
      <w:r>
        <w:rPr>
          <w:szCs w:val="24"/>
        </w:rPr>
        <w:t>90</w:t>
      </w:r>
      <w:r>
        <w:rPr>
          <w:rFonts w:hint="eastAsia"/>
          <w:szCs w:val="24"/>
        </w:rPr>
        <w:t>人，新生报到率97.8</w:t>
      </w:r>
      <w:r>
        <w:rPr>
          <w:szCs w:val="24"/>
        </w:rPr>
        <w:t>%</w:t>
      </w:r>
      <w:r>
        <w:rPr>
          <w:rFonts w:hint="eastAsia"/>
          <w:szCs w:val="24"/>
        </w:rPr>
        <w:t>。</w:t>
      </w:r>
    </w:p>
    <w:p>
      <w:pPr>
        <w:pStyle w:val="7"/>
        <w:ind w:firstLine="480"/>
      </w:pPr>
      <w:r>
        <w:rPr>
          <w:rFonts w:hint="eastAsia"/>
        </w:rPr>
        <w:t>3</w:t>
      </w:r>
      <w:r>
        <w:t>.</w:t>
      </w:r>
      <w:r>
        <w:rPr>
          <w:rFonts w:hint="eastAsia"/>
        </w:rPr>
        <w:t xml:space="preserve"> 课程设置情况</w:t>
      </w:r>
    </w:p>
    <w:p>
      <w:pPr>
        <w:ind w:firstLine="480"/>
        <w:rPr>
          <w:szCs w:val="24"/>
        </w:rPr>
      </w:pPr>
      <w:r>
        <w:rPr>
          <w:rFonts w:hint="eastAsia"/>
          <w:szCs w:val="24"/>
        </w:rPr>
        <w:t>主要课程：植物学、植物生理学、树木学、生物技术、生态学、林木遗传育种学、森林培育学、森林经理学、经济林栽培学、林业经济管理、林木病虫害防治学、森林防火等。</w:t>
      </w:r>
    </w:p>
    <w:p>
      <w:pPr>
        <w:ind w:firstLine="480"/>
        <w:rPr>
          <w:szCs w:val="24"/>
        </w:rPr>
      </w:pPr>
      <w:r>
        <w:rPr>
          <w:rFonts w:hint="eastAsia"/>
          <w:szCs w:val="24"/>
        </w:rPr>
        <w:t>主要实践环节：林学专业综合实习、创新创业计划、森林有害生物防治学教学、实习森林培育课程设计等。</w:t>
      </w:r>
    </w:p>
    <w:p>
      <w:pPr>
        <w:ind w:firstLine="480"/>
        <w:rPr>
          <w:szCs w:val="24"/>
        </w:rPr>
      </w:pPr>
      <w:r>
        <w:rPr>
          <w:rFonts w:hint="eastAsia"/>
          <w:szCs w:val="24"/>
        </w:rPr>
        <w:t>学分：必修课总学139学分、选修课学分31学分，实验学分（19.35学分）和实践环节学分（34.5学分）共53.85学分，占总学分31.68%。</w:t>
      </w:r>
    </w:p>
    <w:p>
      <w:pPr>
        <w:pStyle w:val="7"/>
        <w:ind w:firstLine="480"/>
      </w:pPr>
      <w:r>
        <w:rPr>
          <w:rFonts w:hint="eastAsia"/>
        </w:rPr>
        <w:t>4</w:t>
      </w:r>
      <w:r>
        <w:t>.</w:t>
      </w:r>
      <w:r>
        <w:rPr>
          <w:rFonts w:hint="eastAsia"/>
        </w:rPr>
        <w:t xml:space="preserve"> 创新创业教育</w:t>
      </w:r>
    </w:p>
    <w:p>
      <w:pPr>
        <w:ind w:firstLine="480"/>
        <w:rPr>
          <w:szCs w:val="24"/>
        </w:rPr>
      </w:pPr>
      <w:r>
        <w:rPr>
          <w:rFonts w:hint="eastAsia"/>
          <w:szCs w:val="24"/>
        </w:rPr>
        <w:t>林学是应用型学科，在生产实践中需要学生具有较强的专业技能。为加强学生专业实践技能与社会需求的有效结合，在专业培养方案中设置了《植物组织培养》作为学生们创新创业实践教育课程。通过基本操作实验、综合实验、设计实验等多种实验类型的综合操作，把植物组织培养实验组织成连续的、系统的设计型实验。同时，学生可以根据林业发展重大问题以及自己的兴趣和条件，选择不同项目，在指导老师指导下，以独立或小组合作的形式，进行创业实践以更好的掌握直接经验为主要任务，进而培养学生创新精神和实践能力，全面提升学生个体创新实践能力。</w:t>
      </w:r>
    </w:p>
    <w:p>
      <w:pPr>
        <w:pStyle w:val="5"/>
        <w:spacing w:before="93" w:after="93"/>
        <w:ind w:firstLine="560"/>
      </w:pPr>
      <w:bookmarkStart w:id="229" w:name="_Toc13391"/>
      <w:r>
        <w:rPr>
          <w:rFonts w:hint="eastAsia"/>
        </w:rPr>
        <w:t>三、培养条件</w:t>
      </w:r>
      <w:bookmarkEnd w:id="229"/>
    </w:p>
    <w:p>
      <w:pPr>
        <w:pStyle w:val="7"/>
        <w:ind w:firstLine="480"/>
        <w:rPr>
          <w:kern w:val="0"/>
          <w:szCs w:val="24"/>
        </w:rPr>
      </w:pPr>
      <w:r>
        <w:rPr>
          <w:rFonts w:hint="eastAsia"/>
          <w:kern w:val="0"/>
          <w:szCs w:val="24"/>
        </w:rPr>
        <w:t>1</w:t>
      </w:r>
      <w:r>
        <w:rPr>
          <w:kern w:val="0"/>
          <w:szCs w:val="24"/>
        </w:rPr>
        <w:t>.</w:t>
      </w:r>
      <w:r>
        <w:rPr>
          <w:rFonts w:hint="eastAsia"/>
          <w:kern w:val="0"/>
          <w:szCs w:val="24"/>
        </w:rPr>
        <w:t xml:space="preserve"> 教学经费投入</w:t>
      </w:r>
    </w:p>
    <w:p>
      <w:pPr>
        <w:ind w:firstLine="480"/>
        <w:rPr>
          <w:szCs w:val="24"/>
        </w:rPr>
      </w:pPr>
      <w:r>
        <w:rPr>
          <w:rFonts w:hint="eastAsia"/>
          <w:szCs w:val="24"/>
        </w:rPr>
        <w:t>近5年来，结合山东省名校建设工程重点建设专业、山东省特色专业、中央财政支持地方高校发展项目、省级重点学科群共享平台等项目以及山东省高水平应用型重点专业的建设，林学专业共投入建设资金785万元，建设成立了林学教学实验中心。林学院也不断加大对林学专业的投入，年均教学经费投入47万元，用于建设和改善林学专业的课程教学和实践教学条件，重点建设了森林培育实验室、林木遗传育种实验室、树木组织培养实验室、树木学实验室以及林学实验站、药乡林场等教学实习基地，补充了一批教学研究设备，全面改善了办学条件。积极申报省级教育专项资金-林学学科功能实验室条件提升等项目，为专业建设争取新的资金投入。</w:t>
      </w:r>
    </w:p>
    <w:p>
      <w:pPr>
        <w:pStyle w:val="7"/>
        <w:keepNext w:val="0"/>
        <w:keepLines w:val="0"/>
        <w:ind w:firstLine="480"/>
        <w:rPr>
          <w:kern w:val="0"/>
          <w:szCs w:val="24"/>
        </w:rPr>
      </w:pPr>
      <w:r>
        <w:rPr>
          <w:rFonts w:hint="eastAsia"/>
          <w:kern w:val="0"/>
          <w:szCs w:val="24"/>
        </w:rPr>
        <w:t>2</w:t>
      </w:r>
      <w:r>
        <w:rPr>
          <w:kern w:val="0"/>
          <w:szCs w:val="24"/>
        </w:rPr>
        <w:t>.</w:t>
      </w:r>
      <w:r>
        <w:rPr>
          <w:rFonts w:hint="eastAsia"/>
          <w:kern w:val="0"/>
          <w:szCs w:val="24"/>
        </w:rPr>
        <w:t xml:space="preserve"> 教学设备</w:t>
      </w:r>
    </w:p>
    <w:p>
      <w:pPr>
        <w:ind w:firstLine="480"/>
        <w:rPr>
          <w:szCs w:val="24"/>
        </w:rPr>
      </w:pPr>
      <w:r>
        <w:rPr>
          <w:rFonts w:hint="eastAsia"/>
          <w:szCs w:val="24"/>
        </w:rPr>
        <w:t>现有仪器设备887台（件），总价547.6万元。林学实验教学中心下设森林培育实验室、林木遗传育种实验室、树木组织培养实验室、木材科学实验室、树木学实验室等11个实验室和树木标本及木材标本2个标本室，总面积1650㎡。其中，树木标本室经过百余年的建设，现有鉴定腊叶标本115科，450余属，近2000种，26000余份；种子标本700余瓶。标本产地范围几遍全国。</w:t>
      </w:r>
    </w:p>
    <w:p>
      <w:pPr>
        <w:pStyle w:val="7"/>
        <w:keepNext w:val="0"/>
        <w:keepLines w:val="0"/>
        <w:ind w:firstLine="480"/>
        <w:rPr>
          <w:kern w:val="0"/>
          <w:szCs w:val="24"/>
        </w:rPr>
      </w:pPr>
      <w:r>
        <w:rPr>
          <w:rFonts w:hint="eastAsia"/>
          <w:kern w:val="0"/>
          <w:szCs w:val="24"/>
        </w:rPr>
        <w:t>3</w:t>
      </w:r>
      <w:r>
        <w:rPr>
          <w:kern w:val="0"/>
          <w:szCs w:val="24"/>
        </w:rPr>
        <w:t>.</w:t>
      </w:r>
      <w:r>
        <w:rPr>
          <w:rFonts w:hint="eastAsia"/>
          <w:kern w:val="0"/>
          <w:szCs w:val="24"/>
        </w:rPr>
        <w:t xml:space="preserve"> 实习基地</w:t>
      </w:r>
    </w:p>
    <w:p>
      <w:pPr>
        <w:ind w:firstLine="480"/>
        <w:rPr>
          <w:szCs w:val="24"/>
        </w:rPr>
      </w:pPr>
      <w:r>
        <w:rPr>
          <w:rFonts w:hint="eastAsia"/>
          <w:szCs w:val="24"/>
        </w:rPr>
        <w:t>为了满足林学专业本科教学实习特别是综合教学实习的需求，林学专业加大了校外教学实习基地的建设力度，分别建立了山地林场（山东省药乡林场）、自然保护区（泰山林场）、森林公园（淄博原山国家森林公园）、速生丰产林和农林复合经营基地（菏泽鄄城国有第一林场）、沿海防护林建设基地（日照大沙洼林场）、林业企业（山东省光合园林、烟台龙口复发中记公司、临邑盛源家具公司）等6种类型的校外教学实习基地，目前已基本形成了林学专业主干课程的校外教学实习基地群。药乡林场是近几年林学院重点建设的精品校外实习基地，2014年入选教育部国家大学生实践基地，2018年入选全国林业硕士专业学位研究生示范性专业实践基地，每年林学专业森林培育学、林木育种学等核心课程均到该林场进行为期1个月的实习，在多年的合作过程中，药乡林场已经形成了完善的学生实习生活设施和实习基地设施。山东济南光合园林集团是园林花卉苗木实习内容的代表基地，其特色为以国内外优质园林绿化苗木的引种驯化、繁殖生产为主，生产的苗木结合承担的工程自产自用。东营盐生植物园和寿光盐碱地试验站是困难立地植被恢复型代表基地，其特色为引种驯化培育国内外各种耐盐性强的植物以及盐碱地改良与绿化。淄博原山国家森林公园是森林旅游观光型代表基地，其特色为森林公园管理的相关内容。日照滨海国家森林公园是沿海海防林实习内容的代表基地，其特色为滨海森林旅游资源开发和海防林研究与建设。烟台龙口复发中记公司以经济林开发为特色，集经济林生产、加工一体化，生产、加工、销售一条龙服务，是林学专业经济林课程的代表基地。菏泽鄄城国有第一林场以速生丰产林经营和农林复合经营为特色，也是林学专业重要的校外实习基地之一，目前该林场已经形成了资源圃、采穗圃、苗圃与林场于一体，兼具生产、科研和加工利用的新型林场。</w:t>
      </w:r>
    </w:p>
    <w:p>
      <w:pPr>
        <w:pStyle w:val="7"/>
        <w:keepNext w:val="0"/>
        <w:keepLines w:val="0"/>
        <w:ind w:firstLine="480"/>
        <w:rPr>
          <w:kern w:val="0"/>
          <w:szCs w:val="24"/>
        </w:rPr>
      </w:pPr>
      <w:r>
        <w:rPr>
          <w:rFonts w:hint="eastAsia"/>
          <w:kern w:val="0"/>
          <w:szCs w:val="24"/>
        </w:rPr>
        <w:t>4</w:t>
      </w:r>
      <w:r>
        <w:rPr>
          <w:kern w:val="0"/>
          <w:szCs w:val="24"/>
        </w:rPr>
        <w:t>.</w:t>
      </w:r>
      <w:r>
        <w:rPr>
          <w:rFonts w:hint="eastAsia"/>
          <w:kern w:val="0"/>
          <w:szCs w:val="24"/>
        </w:rPr>
        <w:t xml:space="preserve"> 师资队伍</w:t>
      </w:r>
    </w:p>
    <w:p>
      <w:pPr>
        <w:ind w:firstLine="480"/>
        <w:rPr>
          <w:szCs w:val="24"/>
        </w:rPr>
      </w:pPr>
      <w:r>
        <w:rPr>
          <w:rFonts w:hint="eastAsia"/>
          <w:szCs w:val="24"/>
        </w:rPr>
        <w:t>林学专业现有专任教师19名。其中，教授8名，副教授2名，讲师9名；教师中具有博士学位的有18人。教学团队形成了老中青搭配的格局，其中，50岁以上5名，40-50岁2名，30-40岁9名，30岁以下1名；50岁以下教师全部具有博士学位。海外留学归国人员</w:t>
      </w:r>
      <w:r>
        <w:rPr>
          <w:szCs w:val="24"/>
        </w:rPr>
        <w:t>2</w:t>
      </w:r>
      <w:r>
        <w:rPr>
          <w:rFonts w:hint="eastAsia"/>
          <w:szCs w:val="24"/>
        </w:rPr>
        <w:t>名，有海外留学经历的教师5名。专任教师先后获得国家科技进步二等奖1项、省部级科技进步一等奖2项、二等奖7项；获国家级教学成果二等奖1项、省级教学成果一等奖1项，</w:t>
      </w:r>
      <w:r>
        <w:rPr>
          <w:szCs w:val="24"/>
        </w:rPr>
        <w:t>1</w:t>
      </w:r>
      <w:r>
        <w:rPr>
          <w:rFonts w:hint="eastAsia"/>
          <w:szCs w:val="24"/>
        </w:rPr>
        <w:t>人被国家林业和草原局授予“</w:t>
      </w:r>
      <w:r>
        <w:rPr>
          <w:rFonts w:hint="eastAsia"/>
        </w:rPr>
        <w:t>全国林业和草原教学名</w:t>
      </w:r>
      <w:r>
        <w:rPr>
          <w:rFonts w:hint="eastAsia"/>
          <w:szCs w:val="24"/>
        </w:rPr>
        <w:t>师”，</w:t>
      </w:r>
      <w:r>
        <w:rPr>
          <w:szCs w:val="24"/>
        </w:rPr>
        <w:t>1</w:t>
      </w:r>
      <w:r>
        <w:rPr>
          <w:rFonts w:hint="eastAsia"/>
          <w:szCs w:val="24"/>
        </w:rPr>
        <w:t>人获评国家林草局领军人才，</w:t>
      </w:r>
      <w:r>
        <w:rPr>
          <w:szCs w:val="24"/>
        </w:rPr>
        <w:t>1</w:t>
      </w:r>
      <w:r>
        <w:rPr>
          <w:rFonts w:hint="eastAsia"/>
          <w:szCs w:val="24"/>
        </w:rPr>
        <w:t>人获批泰山学者青年专家</w:t>
      </w:r>
      <w:r>
        <w:rPr>
          <w:szCs w:val="24"/>
        </w:rPr>
        <w:t xml:space="preserve"> </w:t>
      </w:r>
      <w:r>
        <w:rPr>
          <w:rFonts w:hint="eastAsia"/>
          <w:szCs w:val="24"/>
        </w:rPr>
        <w:t>，</w:t>
      </w:r>
      <w:r>
        <w:rPr>
          <w:szCs w:val="24"/>
        </w:rPr>
        <w:t>1</w:t>
      </w:r>
      <w:r>
        <w:rPr>
          <w:rFonts w:hint="eastAsia"/>
          <w:szCs w:val="24"/>
        </w:rPr>
        <w:t>人当选省教指委林草类专业委员会主任委员。近3年立项国家和省部级课题100余项；获批国家发明专利和实用新型专利30余项；获得植物新品种权和审定林木良种</w:t>
      </w:r>
      <w:r>
        <w:rPr>
          <w:szCs w:val="24"/>
        </w:rPr>
        <w:t>20</w:t>
      </w:r>
      <w:r>
        <w:rPr>
          <w:rFonts w:hint="eastAsia"/>
          <w:szCs w:val="24"/>
        </w:rPr>
        <w:t>余个；编写教材或专著14部；发表学术论文180余篇，其中SCI/EI收录30余篇。</w:t>
      </w:r>
    </w:p>
    <w:p>
      <w:pPr>
        <w:pStyle w:val="7"/>
        <w:keepNext w:val="0"/>
        <w:keepLines w:val="0"/>
        <w:ind w:firstLine="480"/>
        <w:rPr>
          <w:kern w:val="0"/>
          <w:szCs w:val="24"/>
        </w:rPr>
      </w:pPr>
      <w:r>
        <w:rPr>
          <w:rFonts w:hint="eastAsia"/>
          <w:kern w:val="0"/>
          <w:szCs w:val="24"/>
        </w:rPr>
        <w:t>5</w:t>
      </w:r>
      <w:r>
        <w:rPr>
          <w:kern w:val="0"/>
          <w:szCs w:val="24"/>
        </w:rPr>
        <w:t>.</w:t>
      </w:r>
      <w:r>
        <w:rPr>
          <w:rFonts w:hint="eastAsia"/>
          <w:kern w:val="0"/>
          <w:szCs w:val="24"/>
        </w:rPr>
        <w:t xml:space="preserve"> 现代教学技术应用</w:t>
      </w:r>
    </w:p>
    <w:p>
      <w:pPr>
        <w:ind w:firstLine="480"/>
        <w:rPr>
          <w:szCs w:val="24"/>
        </w:rPr>
      </w:pPr>
      <w:r>
        <w:rPr>
          <w:rFonts w:hint="eastAsia"/>
          <w:szCs w:val="24"/>
        </w:rPr>
        <w:t>组织专业人员和相关课程群骨干教师开展了《森林培育》、《林木遗传育种》、《森林资源》、《森林植物》等课程群的课程网络平台建设，包含电子教案、多媒体课件、试题库、网络课程、师生在线交流板块等要素，促进教学资源的共享，强化学生的自主学习能力。其中《森林培育》2019年获批省级一流课程。</w:t>
      </w:r>
    </w:p>
    <w:p>
      <w:pPr>
        <w:pStyle w:val="5"/>
        <w:spacing w:before="93" w:after="93"/>
        <w:ind w:firstLine="560"/>
      </w:pPr>
      <w:r>
        <w:rPr>
          <w:rFonts w:hint="eastAsia"/>
        </w:rPr>
        <w:t>四、培养机制与特色</w:t>
      </w:r>
    </w:p>
    <w:p>
      <w:pPr>
        <w:pStyle w:val="7"/>
        <w:keepNext w:val="0"/>
        <w:keepLines w:val="0"/>
        <w:ind w:firstLine="480"/>
        <w:rPr>
          <w:kern w:val="0"/>
          <w:szCs w:val="24"/>
        </w:rPr>
      </w:pPr>
      <w:r>
        <w:rPr>
          <w:rFonts w:hint="eastAsia"/>
          <w:kern w:val="0"/>
          <w:szCs w:val="24"/>
        </w:rPr>
        <w:t>1. 产学研协同育人机制</w:t>
      </w:r>
    </w:p>
    <w:p>
      <w:pPr>
        <w:ind w:firstLine="480"/>
        <w:rPr>
          <w:szCs w:val="24"/>
        </w:rPr>
      </w:pPr>
      <w:r>
        <w:rPr>
          <w:rFonts w:hint="eastAsia"/>
          <w:szCs w:val="24"/>
        </w:rPr>
        <w:t>以新时代全国高等学校本科教育工作会议精神为指导思想，以开展新农科专业建设，培养符合社会主义新时期经济社会发展需求的林学专业人才，依托学校、学院两级部门的优势，结合专业自身特点，建立学科与主管部门、行业、企业的多方联动机制，将市场对人才的需求作为根本，以人才培养为核心，改革人才培养模式，通过建立导师制将人才培养置贯穿于教学、生产实践、创新研发和应用服务体系之中，推进产学研用协同育人机制，培养创新型、高素质、高技能的复合式人才。结合市场发展，创新人才培养模式，在3年级后期注重培养学生的科研技能、动手技能、规划设计与方案编制、水土保持监测技能，同时专业教师积极主动联系相关对口单位，选派专业技能高的学生到单位实习，实现生产、教学、创新研发、应用服务多项功能和目标。</w:t>
      </w:r>
    </w:p>
    <w:p>
      <w:pPr>
        <w:snapToGrid w:val="0"/>
        <w:ind w:firstLine="480"/>
        <w:rPr>
          <w:rFonts w:eastAsia="黑体"/>
          <w:bCs/>
          <w:kern w:val="0"/>
          <w:szCs w:val="24"/>
        </w:rPr>
      </w:pPr>
      <w:r>
        <w:rPr>
          <w:rFonts w:hint="eastAsia" w:eastAsia="黑体"/>
          <w:bCs/>
          <w:kern w:val="0"/>
          <w:szCs w:val="24"/>
        </w:rPr>
        <w:t>2. 合作办学</w:t>
      </w:r>
    </w:p>
    <w:p>
      <w:pPr>
        <w:snapToGrid w:val="0"/>
        <w:ind w:firstLine="480"/>
        <w:rPr>
          <w:szCs w:val="24"/>
        </w:rPr>
      </w:pPr>
      <w:r>
        <w:rPr>
          <w:rFonts w:hint="eastAsia"/>
          <w:szCs w:val="24"/>
        </w:rPr>
        <w:t>为培养具有国际意识与国际竞争力的人才，使专业课程体系、教学方法、教学手段与教学管理适应国际经济一体化发展的需要，借助国家和省级资助出国留学人员计划，引进国外大学的优秀教学研究成果、资源和经验，充实专业教育教学，丰富办学层次。全面提升与美国密西西比州立大学林学院“3+1+N”的人才培养合作，推动本科教育合作模式的进程，为林学专业学生拓宽发展渠道；继续保持并发展与美国佛罗里达大学、佐治亚州立大学林学院、瑞典农业科技大学林学院关系，定期邀请相关专家来校为本科生讲学，积极寻求教学、科研与师资培养方面的合作。</w:t>
      </w:r>
    </w:p>
    <w:p>
      <w:pPr>
        <w:ind w:firstLine="480"/>
        <w:rPr>
          <w:rFonts w:eastAsia="黑体"/>
          <w:bCs/>
          <w:kern w:val="0"/>
          <w:szCs w:val="24"/>
        </w:rPr>
      </w:pPr>
      <w:r>
        <w:rPr>
          <w:rFonts w:hint="eastAsia" w:eastAsia="黑体"/>
          <w:bCs/>
          <w:kern w:val="0"/>
          <w:szCs w:val="24"/>
        </w:rPr>
        <w:t>3. 教学管理</w:t>
      </w:r>
    </w:p>
    <w:p>
      <w:pPr>
        <w:ind w:firstLine="480"/>
        <w:rPr>
          <w:szCs w:val="24"/>
        </w:rPr>
      </w:pPr>
      <w:r>
        <w:rPr>
          <w:rFonts w:hint="eastAsia"/>
          <w:szCs w:val="24"/>
        </w:rPr>
        <w:t>在理论教学环节中，本专业按照学校的统一部署与安排，先后完成了基础课、核心课和特色课教学大纲的编写工作，明确各课程基本概念，基本理论和基本技能的结构体系。在每学期开学前，按要求编写教学日历；严格调停课审批制度；建立中期教学检查和教研活动制度。严格遵守学校下达的各项课程考试规章制度，改革和规范考试环节，在命题、试卷、监考、督考、阅卷、试卷的分析及装订严格把关，并按学校统一要求规范操作，并对部分课程实行了教考分离，取得了良好的效果。在课堂教学中，要求教师做到备课充分、突出重点、以身作则。为了保证课堂秩序，制定了严格的课堂考勤制度，保证了课堂教学效果和教学质量。</w:t>
      </w:r>
    </w:p>
    <w:p>
      <w:pPr>
        <w:ind w:firstLine="480"/>
        <w:rPr>
          <w:szCs w:val="24"/>
        </w:rPr>
      </w:pPr>
      <w:r>
        <w:rPr>
          <w:rFonts w:hint="eastAsia"/>
          <w:szCs w:val="24"/>
        </w:rPr>
        <w:t>在实践环节中，对各实践环节和单列的实验课程编写了详尽的实践教学大纲和要求，建立了课程论文、实验报告等实践环节的格式规范及考核要求。以上这些教学运行规范，为教学活动的正常进行提供了保障。</w:t>
      </w:r>
    </w:p>
    <w:p>
      <w:pPr>
        <w:ind w:firstLine="480"/>
        <w:rPr>
          <w:szCs w:val="24"/>
        </w:rPr>
      </w:pPr>
      <w:r>
        <w:rPr>
          <w:rFonts w:hint="eastAsia"/>
          <w:szCs w:val="24"/>
        </w:rPr>
        <w:t>毕业实习环节是人才培养的最后一个环节，也是关系到人才培养质量的关键环节。本专业每年按照毕业实习大纲要求，重点对毕业实习重新制定新的实习计划，并制定了毕业论文开题报告、论文写作模板。要求做到选题符合实际，答辩严格执行学校的规章制度。本科专业严格检查毕业实习和毕业论文环节，要求必需每生1题，完成毕业论文后经查重合格后进入答辩，严把论文质量关。鼓励教师根据自己的研究项目给毕业生下达实习任务和毕业论文题目，这一要求充分保证了毕业生的培养质量。</w:t>
      </w:r>
    </w:p>
    <w:p>
      <w:pPr>
        <w:ind w:firstLine="480"/>
        <w:rPr>
          <w:szCs w:val="24"/>
        </w:rPr>
      </w:pPr>
      <w:r>
        <w:rPr>
          <w:rFonts w:hint="eastAsia"/>
          <w:szCs w:val="24"/>
        </w:rPr>
        <w:t>为了加强业务教师与学生的联系和接触，除专业主任外，本专业多年来一直实行由专业主任、教授和有关领导兼任班主任制度。自学生入校起，年富力强、专业水平高、综合能力强的专业课老师就担任学生的班主任，以便加强对学生业务学习的指导。在四年级的上学期，结合学生的就业去向和教师的相关研究项目，为学生选择、制定导师，这是学生管理的重要组成部分，是落实学分制的根本措施，是实施素质教育、培养多样化人才的有效途径，是学生教育与管理工作的一项重大改革。</w:t>
      </w:r>
    </w:p>
    <w:p>
      <w:pPr>
        <w:ind w:firstLine="480"/>
        <w:rPr>
          <w:szCs w:val="24"/>
        </w:rPr>
      </w:pPr>
      <w:r>
        <w:rPr>
          <w:rFonts w:hint="eastAsia"/>
          <w:szCs w:val="24"/>
        </w:rPr>
        <w:t>结合专业特点，大力开展丰富多彩的第二课堂活动。主要包括：社会实践活动、科技创新、普法宣传、青年志愿者活动、环保宣传、学习经验交流、大学生演讲比赛、走进军营等活动。特别是组织学生参加全国、省大学生挑战杯科技创业竞赛活动，在“创青春”山东省大学生创业大赛等中获奖8项，使学生得到全面训练与综合素质的提高。因此通过各种第二课堂活动，有力地推动了学生创新活动开展，丰富了校园文化生活，促进学生成才。</w:t>
      </w:r>
    </w:p>
    <w:p>
      <w:pPr>
        <w:pStyle w:val="5"/>
        <w:spacing w:before="93" w:after="93"/>
        <w:ind w:firstLine="560"/>
      </w:pPr>
      <w:r>
        <w:rPr>
          <w:rFonts w:hint="eastAsia"/>
        </w:rPr>
        <w:t>五、培养质量</w:t>
      </w:r>
    </w:p>
    <w:p>
      <w:pPr>
        <w:pStyle w:val="7"/>
        <w:ind w:firstLine="480"/>
      </w:pPr>
      <w:r>
        <w:rPr>
          <w:rFonts w:hint="eastAsia"/>
        </w:rPr>
        <w:t>1. 毕业生就业率及专业对口率</w:t>
      </w:r>
    </w:p>
    <w:p>
      <w:pPr>
        <w:ind w:firstLine="480"/>
        <w:rPr>
          <w:szCs w:val="24"/>
        </w:rPr>
      </w:pPr>
      <w:r>
        <w:rPr>
          <w:szCs w:val="24"/>
        </w:rPr>
        <w:t>202</w:t>
      </w:r>
      <w:r>
        <w:rPr>
          <w:rFonts w:hint="eastAsia"/>
          <w:szCs w:val="24"/>
        </w:rPr>
        <w:t>2届林学专业毕业生人数52人，就业43人，就业率82.69</w:t>
      </w:r>
      <w:r>
        <w:rPr>
          <w:szCs w:val="24"/>
        </w:rPr>
        <w:t>%</w:t>
      </w:r>
      <w:r>
        <w:rPr>
          <w:rFonts w:hint="eastAsia"/>
          <w:szCs w:val="24"/>
        </w:rPr>
        <w:t>，其中9人因复习考研或考公务员暂时未就业。考研33人，考研率</w:t>
      </w:r>
      <w:r>
        <w:rPr>
          <w:szCs w:val="24"/>
        </w:rPr>
        <w:t>6</w:t>
      </w:r>
      <w:r>
        <w:rPr>
          <w:rFonts w:hint="eastAsia"/>
          <w:szCs w:val="24"/>
        </w:rPr>
        <w:t>3.46</w:t>
      </w:r>
      <w:r>
        <w:rPr>
          <w:szCs w:val="24"/>
        </w:rPr>
        <w:t>%</w:t>
      </w:r>
      <w:r>
        <w:rPr>
          <w:rFonts w:hint="eastAsia"/>
          <w:szCs w:val="24"/>
        </w:rPr>
        <w:t>；与用人单位签约9人，自主创业1人，就业专业对口率60</w:t>
      </w:r>
      <w:r>
        <w:rPr>
          <w:szCs w:val="24"/>
        </w:rPr>
        <w:t>%</w:t>
      </w:r>
      <w:r>
        <w:rPr>
          <w:rFonts w:hint="eastAsia"/>
          <w:szCs w:val="24"/>
        </w:rPr>
        <w:t>。</w:t>
      </w:r>
    </w:p>
    <w:p>
      <w:pPr>
        <w:pStyle w:val="7"/>
        <w:ind w:firstLine="480"/>
      </w:pPr>
      <w:r>
        <w:rPr>
          <w:rFonts w:hint="eastAsia"/>
        </w:rPr>
        <w:t>2. 毕业生发展情况及社会评价</w:t>
      </w:r>
    </w:p>
    <w:p>
      <w:pPr>
        <w:snapToGrid w:val="0"/>
        <w:ind w:firstLine="480"/>
        <w:rPr>
          <w:szCs w:val="24"/>
        </w:rPr>
      </w:pPr>
      <w:r>
        <w:rPr>
          <w:rFonts w:hint="eastAsia"/>
          <w:szCs w:val="24"/>
        </w:rPr>
        <w:t>由于国家对林业行业的重视，大批林业科研项目需要高水平专业技术人才承担，这也促使林学专业毕业生考取研究生继续深造的规模效应。纵览林学专业毕业生去向，可以发现社会对林学专业人才需求是旺盛的、多样的。另外，国家对林业的重视，极大带动了林业产业的发展，社会对林学专业人才的需求更加旺盛，毕业生发展情况良好。</w:t>
      </w:r>
    </w:p>
    <w:p>
      <w:pPr>
        <w:pStyle w:val="7"/>
        <w:ind w:firstLine="480"/>
      </w:pPr>
      <w:r>
        <w:rPr>
          <w:rFonts w:hint="eastAsia"/>
        </w:rPr>
        <w:t>3. 学生就读该专业的意愿</w:t>
      </w:r>
    </w:p>
    <w:p>
      <w:pPr>
        <w:snapToGrid w:val="0"/>
        <w:ind w:firstLine="480"/>
        <w:rPr>
          <w:szCs w:val="24"/>
        </w:rPr>
      </w:pPr>
      <w:r>
        <w:rPr>
          <w:rFonts w:hint="eastAsia"/>
          <w:szCs w:val="24"/>
        </w:rPr>
        <w:t>2022年林学专业招生新农科实验班</w:t>
      </w:r>
      <w:r>
        <w:rPr>
          <w:szCs w:val="24"/>
        </w:rPr>
        <w:t>90</w:t>
      </w:r>
      <w:r>
        <w:rPr>
          <w:rFonts w:hint="eastAsia"/>
          <w:szCs w:val="24"/>
        </w:rPr>
        <w:t>人，录取率97.8%。2021级林学专业招生新农科实验班</w:t>
      </w:r>
      <w:r>
        <w:rPr>
          <w:szCs w:val="24"/>
        </w:rPr>
        <w:t>90</w:t>
      </w:r>
      <w:r>
        <w:rPr>
          <w:rFonts w:hint="eastAsia"/>
          <w:szCs w:val="24"/>
        </w:rPr>
        <w:t>人，林学专业录取率100%。整体看学生就读该专业的意愿良好。</w:t>
      </w:r>
      <w:bookmarkStart w:id="230" w:name="_Toc1376"/>
    </w:p>
    <w:p>
      <w:pPr>
        <w:pStyle w:val="5"/>
        <w:spacing w:before="93" w:after="93"/>
        <w:ind w:firstLine="560"/>
      </w:pPr>
      <w:r>
        <w:rPr>
          <w:rFonts w:hint="eastAsia"/>
        </w:rPr>
        <w:t>六、毕业生就业创业</w:t>
      </w:r>
      <w:bookmarkEnd w:id="230"/>
    </w:p>
    <w:p>
      <w:pPr>
        <w:ind w:firstLine="480"/>
        <w:rPr>
          <w:szCs w:val="24"/>
        </w:rPr>
      </w:pPr>
      <w:r>
        <w:rPr>
          <w:rFonts w:hint="eastAsia"/>
          <w:szCs w:val="24"/>
        </w:rPr>
        <w:t>2022届从事自主创业1人。</w:t>
      </w:r>
    </w:p>
    <w:p>
      <w:pPr>
        <w:pStyle w:val="5"/>
        <w:spacing w:before="93" w:after="93"/>
        <w:ind w:firstLine="560"/>
      </w:pPr>
      <w:r>
        <w:rPr>
          <w:rFonts w:hint="eastAsia"/>
        </w:rPr>
        <w:t>七、专业发展趋势及建议</w:t>
      </w:r>
    </w:p>
    <w:p>
      <w:pPr>
        <w:pStyle w:val="7"/>
        <w:ind w:firstLine="480"/>
      </w:pPr>
      <w:r>
        <w:rPr>
          <w:rFonts w:hint="eastAsia"/>
        </w:rPr>
        <w:t>1</w:t>
      </w:r>
      <w:r>
        <w:t>.</w:t>
      </w:r>
      <w:r>
        <w:rPr>
          <w:rFonts w:hint="eastAsia"/>
        </w:rPr>
        <w:t xml:space="preserve"> 专业发展趋势</w:t>
      </w:r>
    </w:p>
    <w:p>
      <w:pPr>
        <w:ind w:firstLine="482"/>
        <w:rPr>
          <w:szCs w:val="24"/>
        </w:rPr>
      </w:pPr>
      <w:r>
        <w:rPr>
          <w:rFonts w:hint="eastAsia"/>
          <w:szCs w:val="24"/>
        </w:rPr>
        <w:t>党的十八以来，党和国家审时度势，把生态文明建设提到前所未有的高度，“金山银山就是绿水青山”。中央林业工作会议也指出，在生态文明建设中林业具有首要地位。推动林学应用基础研究的发展将为生态文明建设奠定创新基础，培养大批优秀的林学专业人才，将为生态文明建设提供人才和智力保障。同时，国家和山东省提出的乡村振兴战略、农业供给侧改革和新旧动能转换等战略工程，对建设现代化林业的产业、科研和人才培养体系提出了明确的要求，指明了发展的方向，也带来了前所未有的机遇。当前，林学专业与生物科学、信息科学不断交叉融合，产业体系更加健全，研究手段更加先进，学生所学知识更加丰富。</w:t>
      </w:r>
    </w:p>
    <w:p>
      <w:pPr>
        <w:ind w:firstLine="482"/>
        <w:rPr>
          <w:szCs w:val="24"/>
        </w:rPr>
      </w:pPr>
      <w:r>
        <w:rPr>
          <w:rFonts w:hint="eastAsia"/>
          <w:szCs w:val="24"/>
        </w:rPr>
        <w:t>林业属于专业性较强的行业之一，国家和各省市自治区、各地市县区林业管理部门对林学专业毕业生的需求总量较大且稳中增长。大力发展生态文明建设对于林业科学研究提出了更高的要求，林业科研从业人员的数量也因此增加。乡村振兴战略、农业供给侧改革和新旧动能转换对农林业的产业发展提出了新的要求，在此背景下，符合新时代要求的科技型、创新型企业的发展对于林学专业优秀毕业生的需求量大幅增长。为了更好的服务山东农业农村现代化建设，山东省今年把林学专业招生设置为提前批次招生的新农科实验班。由此可见，林学专业毕业生的社会需求正处在黄金时期，且表现出持续增长的趋势。</w:t>
      </w:r>
    </w:p>
    <w:p>
      <w:pPr>
        <w:pStyle w:val="7"/>
        <w:ind w:firstLine="482"/>
      </w:pPr>
      <w:r>
        <w:rPr>
          <w:rFonts w:hint="eastAsia"/>
        </w:rPr>
        <w:t>2. 建议</w:t>
      </w:r>
    </w:p>
    <w:p>
      <w:pPr>
        <w:ind w:firstLine="482"/>
        <w:rPr>
          <w:szCs w:val="24"/>
        </w:rPr>
      </w:pPr>
      <w:r>
        <w:rPr>
          <w:rFonts w:hint="eastAsia"/>
          <w:szCs w:val="24"/>
        </w:rPr>
        <w:t>在稳定现有师资基础上，重点培育科研型、教学型高水平师资，着力培养青年学术骨干，组建创新型教学团队，全面提高教育教学质量。通过师资队伍结构调整，力争在省级优秀教学团队和教学名师培育方面有所突破。</w:t>
      </w:r>
    </w:p>
    <w:p>
      <w:pPr>
        <w:ind w:firstLine="482"/>
        <w:rPr>
          <w:szCs w:val="24"/>
        </w:rPr>
      </w:pPr>
      <w:r>
        <w:rPr>
          <w:rFonts w:hint="eastAsia"/>
          <w:szCs w:val="24"/>
        </w:rPr>
        <w:t>为改善办学条件，须增补部分仪器设备，新购置的仪器设备将考虑到以下需要：对于常规仪器设备，重点购置和成套配置实验教学尚缺乏的常规仪器设备，解决仪器设备陈旧老化、数量不足、部分实验无法开出的问题，达到小型仪器设备每人1台，重要仪器每小组1台，大型仪器设备每班1台，满足大学生教学实验、综合实习、课程设计、毕业实习的需要。</w:t>
      </w:r>
    </w:p>
    <w:p>
      <w:pPr>
        <w:ind w:firstLine="482"/>
        <w:rPr>
          <w:szCs w:val="24"/>
        </w:rPr>
      </w:pPr>
      <w:r>
        <w:rPr>
          <w:rFonts w:hint="eastAsia"/>
          <w:szCs w:val="24"/>
        </w:rPr>
        <w:t>进一步加强校内教学基地建设，完善实习基础设施，建立良好的校内教学基地管理运行机制。根据互相促进、互相受益、互相提高的原则，与企业和地方政府联合建设精品校外实习基地。</w:t>
      </w:r>
    </w:p>
    <w:p>
      <w:pPr>
        <w:ind w:firstLine="482"/>
        <w:rPr>
          <w:szCs w:val="24"/>
        </w:rPr>
      </w:pPr>
      <w:r>
        <w:rPr>
          <w:rFonts w:hint="eastAsia"/>
          <w:szCs w:val="24"/>
        </w:rPr>
        <w:t>建立专业人才培养方案的动态完善机制。重点加强对课程体系的优化，做到三个结合：必修课与选修课有机结合；理论课程体系与实践教学体系有机结合；第一课堂与第二课堂有机结合。始终把课堂教学、实验课教学、生产实践三段教学环节紧密结合，注重理论联系实际和学生创新能力的培养。</w:t>
      </w:r>
    </w:p>
    <w:p>
      <w:pPr>
        <w:ind w:firstLine="482"/>
        <w:rPr>
          <w:szCs w:val="24"/>
        </w:rPr>
      </w:pPr>
      <w:r>
        <w:rPr>
          <w:rFonts w:hint="eastAsia"/>
          <w:szCs w:val="24"/>
        </w:rPr>
        <w:t>以培养学生实践技能和创新意识为目标，搭建大学生科研训练实验室和创业基地。完善大学生科研训练（SRT）实验室，创建珍稀苗木繁育与开发大学生创业基地，积极申报国家大学生科技创新实验计划、泰安市大学生科技创新计划、校SRT项目等国际交流与合作；加强与美国密西西比州立大学林学院的合作，推动本科教育合作模式的进程，为林学专业学生拓宽发展渠道；继续保持并发展与美国佛罗里达大学、佐治亚州立大学林学院、瑞典农业科技大学林学院关系，定期邀请相关专家来校为本科生讲学，积极寻求教学、科研与师资培养的合作。</w:t>
      </w:r>
      <w:bookmarkStart w:id="231" w:name="_Toc22785"/>
    </w:p>
    <w:p>
      <w:pPr>
        <w:pStyle w:val="5"/>
        <w:spacing w:before="93" w:after="93"/>
        <w:ind w:firstLine="560"/>
      </w:pPr>
      <w:r>
        <w:rPr>
          <w:rFonts w:hint="eastAsia"/>
        </w:rPr>
        <w:t>八、存在的问题及</w:t>
      </w:r>
      <w:bookmarkEnd w:id="231"/>
      <w:r>
        <w:rPr>
          <w:rFonts w:hint="eastAsia"/>
        </w:rPr>
        <w:t>整改措施</w:t>
      </w:r>
    </w:p>
    <w:p>
      <w:pPr>
        <w:pStyle w:val="7"/>
        <w:ind w:firstLine="482"/>
      </w:pPr>
      <w:r>
        <w:rPr>
          <w:rFonts w:hint="eastAsia"/>
        </w:rPr>
        <w:t>1. 存在的问题</w:t>
      </w:r>
    </w:p>
    <w:p>
      <w:pPr>
        <w:ind w:firstLine="482"/>
      </w:pPr>
      <w:r>
        <w:rPr>
          <w:rFonts w:hint="eastAsia"/>
        </w:rPr>
        <w:t>（1）教学条件</w:t>
      </w:r>
    </w:p>
    <w:p>
      <w:pPr>
        <w:ind w:firstLine="482"/>
      </w:pPr>
      <w:r>
        <w:rPr>
          <w:rFonts w:hint="eastAsia"/>
        </w:rPr>
        <w:t>引用国外优秀教材数量少，探索开展双语教学的课程较少；精品课程建设起步晚，主干课程网络多媒体资源库匮乏；教研课题立项少，课程教学与人才培养模式探索不足。实验室开放性不足，学生课外学习辅助手段少，缺乏面向本科生的自主实验设计和实验场所；大学生科技创新创业基地不足，校企联合培养机制尚未完全建立，导致大学生科研创新意识不强，自主创新创业能力较差。</w:t>
      </w:r>
    </w:p>
    <w:p>
      <w:pPr>
        <w:ind w:firstLine="482"/>
      </w:pPr>
      <w:r>
        <w:rPr>
          <w:rFonts w:hint="eastAsia"/>
        </w:rPr>
        <w:t>（2）师资队伍建设</w:t>
      </w:r>
    </w:p>
    <w:p>
      <w:pPr>
        <w:ind w:firstLine="482"/>
      </w:pPr>
      <w:r>
        <w:rPr>
          <w:rFonts w:hint="eastAsia"/>
        </w:rPr>
        <w:t>师资队伍职称结构和年龄结构不合理，专业师资中间力量偏少；海外留学人员偏少，国际交流不充分；教学型人才和梯队亟待培养。</w:t>
      </w:r>
    </w:p>
    <w:p>
      <w:pPr>
        <w:pStyle w:val="7"/>
        <w:ind w:firstLine="482"/>
      </w:pPr>
      <w:r>
        <w:rPr>
          <w:rFonts w:hint="eastAsia"/>
        </w:rPr>
        <w:t>2. 整改措施：</w:t>
      </w:r>
    </w:p>
    <w:p>
      <w:pPr>
        <w:ind w:firstLine="482"/>
      </w:pPr>
      <w:r>
        <w:rPr>
          <w:rFonts w:hint="eastAsia"/>
        </w:rPr>
        <w:t>（1）教材建设：本着突出重点、责任到人、提高质量，注重特色、推行精品，丰富品种、优化配套的原则精神，建立符合专业实际的适应21世纪人才培养需要的教材体系。着重抓好专业基础课和专业主干课的教材建设，在此基础上，重点加强具有学科优势的课程教材编写与修订工作，努力打造精品教材，进一步提升教材整体质量。设计、选用一套合理、教学效果良好、符合教学规律的教学方式方法，进一步提高教学质量。</w:t>
      </w:r>
    </w:p>
    <w:p>
      <w:pPr>
        <w:ind w:firstLine="482"/>
      </w:pPr>
      <w:r>
        <w:rPr>
          <w:rFonts w:hint="eastAsia"/>
        </w:rPr>
        <w:t>（2）专业教学实验室：实行统一管理，统一经费使用、仪器设备购置、实验课安排，实现实验室资源共享。实验室管理实行责任制，签订安全管理责任书。根据实验教学任务，落实授课教师，根据课程的性质和要求，准备相应的仪器设备及实验材料，以确保实验教学保质保量完成。专业实验室实行开放运行机制，为学生毕业实习和毕业论文、综合教学实习、大学生第二课堂全面开放。同时，满足学生创新型和研究型实验的需要。建立严格的仪器设备管理制度，每台仪器设备有管理人员具体负责，确保实验设备完好率100%。学院组织教学督导组对实验、实习教学进行监督和评估，重点考核仪器使用率、实验开出率、实验室开放效果等。</w:t>
      </w:r>
    </w:p>
    <w:p>
      <w:pPr>
        <w:ind w:firstLine="482"/>
      </w:pPr>
      <w:r>
        <w:rPr>
          <w:rFonts w:hint="eastAsia"/>
        </w:rPr>
        <w:t>（3）校内外教学基地建设：进一步完善实习基础设施，建立良好的校内外教学基地管理运行机制。根据互相促进、互相受益、互相提高的原则，与企业和地方政府联合建设精品校外实习基地。采取四条措施保障基地的运转：①项目带动。即根据地方经济建设需要，推广本专业老师的科研成果，如新品种、新技术，解决基地生产中存在的问题。②利益驱动。按照互惠互利共同发展的原则，加强校外实践教学基地建设。③政策调动。为了发挥教师在校外基地建设中的作用，本专业在工作量计算、年终考核等方面制定了优惠政策，使教师主动地投入到校外基地建设。④组织保证。让教师在校外教学基地兼职，采用“技术+行政”的方式，搞好校外教学基地的建设。</w:t>
      </w:r>
    </w:p>
    <w:p>
      <w:pPr>
        <w:ind w:firstLine="482"/>
      </w:pPr>
      <w:r>
        <w:rPr>
          <w:rFonts w:hint="eastAsia"/>
        </w:rPr>
        <w:t>（4）大学生创新实验室：以培养学生实践技能和创新意识为目标，继续完善大学生科技创新实验室，提升大学生创新性实验水平，积极申报国家大学生科技创新实验计划、泰安市大学生科技创新计划、校SRT项目等，力争每年申报立项SRT项目5项以上，参与学生20人/次以上。对SRT实验室和创业基地实行学院管理的模式，学院将成立大学生创新创业平台管理办公室，挂靠学院实验教学中心，建立严格的仪器设备管理制度，每台仪器设备有管理人员具体负责，每年拨专款对仪器进行维修，确保实验设备正常运行。</w:t>
      </w:r>
    </w:p>
    <w:p>
      <w:pPr>
        <w:ind w:firstLine="482"/>
      </w:pPr>
      <w:r>
        <w:rPr>
          <w:rFonts w:hint="eastAsia"/>
        </w:rPr>
        <w:t>（5）借助国家和山东省人才建设工程，面向国内外公开招聘高层次人才1-2人，作为领军人物带动学科发展和专业建设。通过网上发布或专家推荐等方式，公开招聘具有良好林学教育背景的35岁以下教师3-5人，重点引进森林培育、森林经理、生态学、林木育种等专业人才，优化师资年龄结构。利用国家和山东省资助出国留学人员选拔等多种途径，选派2-3名优秀教师到国内外高水平大学或科研院所研修学习。落实学校对引进高层次人才的待遇及相关政策，给与住房、科研经费、实验室建设等方面的优惠，解决配偶工作和子女入学要求。对引进的年轻教师，尽量满足其工作和生活要求，可提供相应大小的住房，为其提供合适的办公条件和科研条件，使其能全力以赴投入到工作当中，开创工作新局面。</w:t>
      </w:r>
    </w:p>
    <w:p>
      <w:pPr>
        <w:ind w:firstLine="480"/>
      </w:pPr>
    </w:p>
    <w:p>
      <w:pPr>
        <w:pStyle w:val="2"/>
        <w:ind w:left="480"/>
      </w:pP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pPr>
      <w:bookmarkStart w:id="232" w:name="_Toc2036"/>
      <w:bookmarkStart w:id="233" w:name="_Toc29722"/>
      <w:bookmarkStart w:id="234" w:name="_Toc9701"/>
      <w:bookmarkStart w:id="235" w:name="_Toc17022"/>
      <w:bookmarkStart w:id="236" w:name="_Toc10442"/>
      <w:bookmarkStart w:id="237" w:name="_Toc5533"/>
      <w:bookmarkStart w:id="238" w:name="_Toc15344"/>
      <w:r>
        <w:rPr>
          <w:rFonts w:hint="eastAsia"/>
          <w:lang w:val="en-US"/>
        </w:rPr>
        <w:t>专业二十二：</w:t>
      </w:r>
      <w:r>
        <w:t>园林</w:t>
      </w:r>
      <w:bookmarkEnd w:id="232"/>
      <w:bookmarkEnd w:id="233"/>
      <w:bookmarkEnd w:id="234"/>
      <w:bookmarkEnd w:id="235"/>
      <w:bookmarkEnd w:id="236"/>
      <w:bookmarkEnd w:id="237"/>
    </w:p>
    <w:p>
      <w:pPr>
        <w:pStyle w:val="5"/>
        <w:spacing w:before="93" w:after="93"/>
        <w:ind w:firstLine="560"/>
      </w:pPr>
      <w:r>
        <w:t>一、培养目标</w:t>
      </w:r>
      <w:bookmarkEnd w:id="238"/>
      <w:r>
        <w:t>与规格</w:t>
      </w:r>
    </w:p>
    <w:p>
      <w:pPr>
        <w:ind w:firstLine="480"/>
        <w:rPr>
          <w:rFonts w:eastAsia="黑体"/>
          <w:bCs/>
          <w:kern w:val="0"/>
          <w:szCs w:val="24"/>
          <w:lang w:val="zh-CN"/>
        </w:rPr>
      </w:pPr>
      <w:bookmarkStart w:id="239" w:name="_Toc439228935"/>
      <w:bookmarkStart w:id="240" w:name="_Toc439256196"/>
      <w:bookmarkStart w:id="241" w:name="_Toc439226720"/>
      <w:bookmarkStart w:id="242" w:name="_Toc439254703"/>
      <w:r>
        <w:rPr>
          <w:rFonts w:eastAsia="黑体"/>
          <w:bCs/>
          <w:kern w:val="0"/>
          <w:szCs w:val="24"/>
          <w:lang w:val="zh-CN"/>
        </w:rPr>
        <w:t>1. 培养目标：</w:t>
      </w:r>
    </w:p>
    <w:p>
      <w:pPr>
        <w:ind w:firstLine="480"/>
      </w:pPr>
      <w:r>
        <w:t>本专业主要培养具有生态学、园林植物与观赏园艺、风景园林规划与设计、园林施工与养护等方面的知识和技能，</w:t>
      </w:r>
      <w:bookmarkEnd w:id="239"/>
      <w:bookmarkEnd w:id="240"/>
      <w:bookmarkEnd w:id="241"/>
      <w:bookmarkEnd w:id="242"/>
      <w:r>
        <w:t>能在城市建设、园林与林业部门、园林与花卉公司以及大专院校和科研院所从事风景区、森林公园、城镇各类园林绿地的规划、设计、施工、园林植物繁育栽培、养护、管理及科研工作的应用型、复合型高级专门人才。</w:t>
      </w:r>
    </w:p>
    <w:p>
      <w:pPr>
        <w:ind w:firstLine="480"/>
        <w:rPr>
          <w:rFonts w:eastAsia="黑体"/>
          <w:bCs/>
          <w:kern w:val="0"/>
          <w:szCs w:val="24"/>
          <w:lang w:val="zh-CN"/>
        </w:rPr>
      </w:pPr>
      <w:r>
        <w:rPr>
          <w:rFonts w:eastAsia="黑体"/>
          <w:bCs/>
          <w:kern w:val="0"/>
          <w:szCs w:val="24"/>
          <w:lang w:val="zh-CN"/>
        </w:rPr>
        <w:t>2.培养规格：</w:t>
      </w:r>
    </w:p>
    <w:p>
      <w:pPr>
        <w:ind w:firstLine="480"/>
      </w:pPr>
      <w:r>
        <w:t>要求毕业生具备自然科学和人文科学基础、外语、计算机应用能力；具备创新意识、创新能力、自主学习能力、团队协作能力、管理能力和社会责任感；熟练掌握园林植物与观赏园艺专业知识，能够从事园林植物的栽培养护、新品种培育、花卉生产与销售及园林植物应用等方面的工作和研究；具备风景园林规划设计、园林工程施工和管理的知识，能够完成各类城镇园林绿地、风景区、森林公园等的规划、设计、施工、管理等工作。</w:t>
      </w:r>
    </w:p>
    <w:p>
      <w:pPr>
        <w:pStyle w:val="5"/>
        <w:spacing w:before="93" w:after="93"/>
        <w:ind w:firstLine="560"/>
      </w:pPr>
      <w:bookmarkStart w:id="243" w:name="_Toc15078"/>
      <w:r>
        <w:t>二、培养能力</w:t>
      </w:r>
      <w:bookmarkEnd w:id="243"/>
    </w:p>
    <w:p>
      <w:pPr>
        <w:pStyle w:val="7"/>
        <w:ind w:firstLine="480"/>
      </w:pPr>
      <w:r>
        <w:t>1. 专业基本情况</w:t>
      </w:r>
    </w:p>
    <w:p>
      <w:pPr>
        <w:ind w:firstLine="480"/>
      </w:pPr>
      <w:r>
        <w:t>山东农业大学园林专业是山东省创办最早的园林专业，1985年开始招生，2003年获得园林植物观赏园艺硕士学位授予权，2004年开始一本招生，2005年被确定为山东农业大学首批特色专业，2006年被批准为山东省唯一的省级园林重点学科，2010年被批准为山东省特色专业，2011年获批风景园林学一级学科硕士点，2018年获批风景园林专业硕士学位点，依托林学一级学科博士点招收城市林业方向博士研究生，形成了</w:t>
      </w:r>
      <w:r>
        <w:rPr>
          <w:rFonts w:hint="eastAsia"/>
        </w:rPr>
        <w:t>“</w:t>
      </w:r>
      <w:r>
        <w:t>本-硕-博</w:t>
      </w:r>
      <w:r>
        <w:rPr>
          <w:rFonts w:hint="eastAsia"/>
        </w:rPr>
        <w:t>”</w:t>
      </w:r>
      <w:r>
        <w:t>人才培养体系。2020年，园林专业获批山东省一流本科专业建设点。</w:t>
      </w:r>
    </w:p>
    <w:p>
      <w:pPr>
        <w:pStyle w:val="7"/>
        <w:ind w:firstLine="480"/>
      </w:pPr>
      <w:r>
        <w:t>2. 在校生规模</w:t>
      </w:r>
    </w:p>
    <w:p>
      <w:pPr>
        <w:ind w:firstLine="480"/>
      </w:pPr>
      <w:r>
        <w:t>目前，本专业在校生共9个自然班，共计259人；其中2019级2个班，63人；2020级2个班，37人；2021级2个班，70人；2022级3个班，89人。</w:t>
      </w:r>
    </w:p>
    <w:p>
      <w:pPr>
        <w:pStyle w:val="7"/>
        <w:ind w:firstLine="480"/>
      </w:pPr>
      <w:r>
        <w:t>3. 课程体系</w:t>
      </w:r>
    </w:p>
    <w:p>
      <w:pPr>
        <w:ind w:firstLine="480"/>
      </w:pPr>
      <w:bookmarkStart w:id="244" w:name="_Toc439226721"/>
      <w:bookmarkStart w:id="245" w:name="_Toc439254704"/>
      <w:bookmarkStart w:id="246" w:name="_Toc439228936"/>
      <w:bookmarkStart w:id="247" w:name="_Toc439256197"/>
      <w:r>
        <w:t>目前本专业在校生所使用的培养方案为2018版和2022版两套培养方案，其中2018版方案适用于2019级、2020级和2021级，2022版培养方案为今年新制定，适用于2022级。两版培养方案最大区别在于2018版培养方案按照大类进行培养，即一年级只开设林学大类基础课，至二年级学生开始设专业课；2022版培养方案恢复园林专业独立培养体系，并对之前课程进行了调整，包括课程设置及学时。两版培养方案骨干课程包括园林树木学、花卉学、园林工程学、园林规划设计、园林设计初步、园林植物遗传育种、中外园林史、园林植物造景、园林建筑设计、计算机辅助设计、城市规划原理、园林苗圃学、园林树木栽培与养护等。主要实践环节包含基础实习、专业课综合实习、课程论文及课程设计、创新创业实践、毕业实习及报告及毕业论文或设计等。</w:t>
      </w:r>
      <w:bookmarkEnd w:id="244"/>
      <w:bookmarkEnd w:id="245"/>
      <w:bookmarkEnd w:id="246"/>
      <w:bookmarkEnd w:id="247"/>
      <w:r>
        <w:t>培养方案总学分为170学分，其中2018版培养方案必修课总学139学分、选修课学分31学分，实验学分（18.4学分）和实践环节学分（35.5学分）共53学分，占总学分31.2%。</w:t>
      </w:r>
    </w:p>
    <w:p>
      <w:pPr>
        <w:pStyle w:val="7"/>
        <w:ind w:firstLine="480"/>
      </w:pPr>
      <w:bookmarkStart w:id="248" w:name="_Toc439254705"/>
      <w:bookmarkStart w:id="249" w:name="_Toc439228937"/>
      <w:bookmarkStart w:id="250" w:name="_Toc439256198"/>
      <w:bookmarkStart w:id="251" w:name="_Toc439226722"/>
      <w:r>
        <w:t>4. 创新创业教育</w:t>
      </w:r>
      <w:bookmarkEnd w:id="248"/>
      <w:bookmarkEnd w:id="249"/>
      <w:bookmarkEnd w:id="250"/>
      <w:bookmarkEnd w:id="251"/>
    </w:p>
    <w:p>
      <w:pPr>
        <w:ind w:firstLine="480"/>
      </w:pPr>
      <w:bookmarkStart w:id="252" w:name="_Toc439226723"/>
      <w:bookmarkStart w:id="253" w:name="_Toc439228938"/>
      <w:bookmarkStart w:id="254" w:name="_Toc439256199"/>
      <w:bookmarkStart w:id="255" w:name="_Toc439254706"/>
      <w:r>
        <w:t>园林专业一贯高度重视对学生实践动手能力的培养，注重大学生创新创业教育，积极引导学生参与创新创业，鼓励学生参加学校SRT项目、国家大学生创新计划项目、大学生创业团队等各类创业实践活动。学生可以根据具体情况和自己的兴趣爱好选择规划设计或园林工程施工方向的创新创业实践，也可以选择植物生产、植物研究方向，或其它方向的创新创业实践。到目前为止，本专业学生已在学院帮助下成立了</w:t>
      </w:r>
      <w:r>
        <w:rPr>
          <w:rFonts w:hint="eastAsia"/>
        </w:rPr>
        <w:t>“</w:t>
      </w:r>
      <w:r>
        <w:t>水缘花</w:t>
      </w:r>
      <w:r>
        <w:rPr>
          <w:rFonts w:hint="eastAsia"/>
        </w:rPr>
        <w:t>”</w:t>
      </w:r>
      <w:r>
        <w:t>水培花卉中心，</w:t>
      </w:r>
      <w:r>
        <w:rPr>
          <w:rFonts w:hint="eastAsia"/>
        </w:rPr>
        <w:t>“</w:t>
      </w:r>
      <w:r>
        <w:t>花艺设计工作室</w:t>
      </w:r>
      <w:r>
        <w:rPr>
          <w:rFonts w:hint="eastAsia"/>
        </w:rPr>
        <w:t>”</w:t>
      </w:r>
      <w:r>
        <w:t>、</w:t>
      </w:r>
      <w:r>
        <w:rPr>
          <w:rFonts w:hint="eastAsia"/>
        </w:rPr>
        <w:t>“</w:t>
      </w:r>
      <w:r>
        <w:t>花香坊</w:t>
      </w:r>
      <w:r>
        <w:rPr>
          <w:rFonts w:hint="eastAsia"/>
        </w:rPr>
        <w:t>”</w:t>
      </w:r>
      <w:r>
        <w:t>芳草健康保健创业中心等多个创新创业工作室，大大提升了学生创新实践能力。</w:t>
      </w:r>
      <w:bookmarkEnd w:id="252"/>
      <w:bookmarkEnd w:id="253"/>
      <w:bookmarkEnd w:id="254"/>
      <w:bookmarkEnd w:id="255"/>
    </w:p>
    <w:p>
      <w:pPr>
        <w:pStyle w:val="5"/>
        <w:spacing w:before="93" w:after="93"/>
        <w:ind w:firstLine="560"/>
      </w:pPr>
      <w:bookmarkStart w:id="256" w:name="_Toc21154"/>
      <w:r>
        <w:t>三、培养条件</w:t>
      </w:r>
      <w:bookmarkEnd w:id="256"/>
    </w:p>
    <w:p>
      <w:pPr>
        <w:pStyle w:val="7"/>
        <w:ind w:firstLine="480"/>
      </w:pPr>
      <w:r>
        <w:t>1. 教学经费投入</w:t>
      </w:r>
    </w:p>
    <w:p>
      <w:pPr>
        <w:ind w:firstLine="480"/>
      </w:pPr>
      <w:r>
        <w:t>园林植物与景观设计实验教学中心获得2013年度中央财政支持地方高校发展项目支持，建设资金共计210万元，2016年已完成全部建设项目的招标工作。林学院也不断加大对园林专业的教学投入，2019年底耗资30万元的现代化玻璃温室建成，温室已于2020年投入使用，用于本专业花卉学、园林苗圃学等课程实验，大大改善了园林专业的课程教学和实践教学条件。</w:t>
      </w:r>
    </w:p>
    <w:p>
      <w:pPr>
        <w:pStyle w:val="7"/>
        <w:ind w:firstLine="480"/>
      </w:pPr>
      <w:r>
        <w:t>2. 教学设备</w:t>
      </w:r>
    </w:p>
    <w:p>
      <w:pPr>
        <w:ind w:firstLine="480"/>
      </w:pPr>
      <w:r>
        <w:t>本专业现设有园林树木花卉实验室、园林植物标本室、绘画制图实验室和数字景观实验室等4个实验室和1个园林植物（室外）实训基地，共有仪器设备433台（件），总价453.7万元。</w:t>
      </w:r>
    </w:p>
    <w:p>
      <w:pPr>
        <w:pStyle w:val="7"/>
        <w:ind w:firstLine="480"/>
      </w:pPr>
      <w:r>
        <w:t>3. 教师队伍建设</w:t>
      </w:r>
    </w:p>
    <w:p>
      <w:pPr>
        <w:ind w:firstLine="480"/>
      </w:pPr>
      <w:r>
        <w:t>目前，本专业教师包括园林系和风景园林系两个系的老师，共有33人。其中：教授4人，副教授18人，讲师11人，具有博士学位者有19人，具有硕士学位者13人；55岁以上5人，50-54岁5人，45-49岁5人，40-44岁6人，30-40岁12人；具有海外留学经历的教师4人；国务院政府特贴专家2人，山东省有突出贡献中青年专家1人。</w:t>
      </w:r>
    </w:p>
    <w:p>
      <w:pPr>
        <w:pStyle w:val="7"/>
        <w:ind w:firstLine="480"/>
      </w:pPr>
      <w:r>
        <w:t>4. 实习基地</w:t>
      </w:r>
    </w:p>
    <w:p>
      <w:pPr>
        <w:ind w:firstLine="480"/>
      </w:pPr>
      <w:r>
        <w:t>为了满足本科教学实习的需求，本专业不断加大校外教学实习基地的建设力度，先后在胜利油田胜大园林、光合园林、原山森林公园、泰安市药乡林场、威海园林集团等建立了多个校外教学实习基地。另外，2012-2015年投资30余万元建成了集教学性和景观性于一体的校内</w:t>
      </w:r>
      <w:r>
        <w:rPr>
          <w:rFonts w:hint="eastAsia"/>
        </w:rPr>
        <w:t>“</w:t>
      </w:r>
      <w:r>
        <w:t>园林实训基地</w:t>
      </w:r>
      <w:r>
        <w:rPr>
          <w:rFonts w:hint="eastAsia"/>
        </w:rPr>
        <w:t>”</w:t>
      </w:r>
      <w:r>
        <w:t>，引种了园林绿化中应用较多或应用潜力较大的各类植物180种(包括草本植物90种，灌木50种，乔木40种)。目前，基地可满足《花卉学》、《园林树木学》、《园林苗圃学》、《园林树木栽培与养护》、《园林植物遗传育种》、《盆景艺术》、《插花艺术》等多门课程的实践教学需求，一次性承担90人次的实践教学任务，还可为部分大学生创新创业项目提供实验场地和实验材料，增强大学生的创新创业能力。</w:t>
      </w:r>
    </w:p>
    <w:p>
      <w:pPr>
        <w:pStyle w:val="7"/>
        <w:ind w:firstLine="480"/>
      </w:pPr>
      <w:r>
        <w:t>5. 现代教学技术应用</w:t>
      </w:r>
    </w:p>
    <w:p>
      <w:pPr>
        <w:ind w:firstLine="480"/>
      </w:pPr>
      <w:r>
        <w:t>本专业一直高度重视多媒体课件和电子教案的规范化建设，先后有3位教师获山东省或学校多媒体课件比赛一等奖。每门课程都建设和完善了规范化的多媒体课件和电子教案，并建立了树木学和花卉学形态电子图片库。目前，园林花卉学慕课建设正在积极申报全国高等农林院校</w:t>
      </w:r>
      <w:r>
        <w:rPr>
          <w:rFonts w:hint="eastAsia"/>
        </w:rPr>
        <w:t>“</w:t>
      </w:r>
      <w:r>
        <w:t>十三五</w:t>
      </w:r>
      <w:r>
        <w:rPr>
          <w:rFonts w:hint="eastAsia"/>
        </w:rPr>
        <w:t>”</w:t>
      </w:r>
      <w:r>
        <w:t>数字化项目。2018年，购置了教学智能一体机和智能无人航拍机，为本科教学提供了新的技术支持。</w:t>
      </w:r>
    </w:p>
    <w:p>
      <w:pPr>
        <w:pStyle w:val="5"/>
        <w:spacing w:before="93" w:after="93"/>
        <w:ind w:firstLine="560"/>
      </w:pPr>
      <w:bookmarkStart w:id="257" w:name="_Toc13825"/>
      <w:r>
        <w:t>四、培养机制与特色</w:t>
      </w:r>
      <w:bookmarkEnd w:id="257"/>
    </w:p>
    <w:p>
      <w:pPr>
        <w:pStyle w:val="7"/>
        <w:ind w:firstLine="480"/>
      </w:pPr>
      <w:r>
        <w:t>1. 产学研协同育人机制</w:t>
      </w:r>
    </w:p>
    <w:p>
      <w:pPr>
        <w:ind w:firstLine="480"/>
      </w:pPr>
      <w:r>
        <w:t>以市场需求为根本，以人才培养为核心，改革人才培养模式，将人才培养贯穿于教学、生产实践、创新研发和应用服务体系之中，推进产学研协同育人机制建设。本专业从2年级下半学期开始，根据学生的具体情况和兴趣爱好，对学生开展科研训练、生产实践和规划设计的分类培养工作。同时，专业教师也积极主动帮学生联系对口单位参加实习实践，实现了教学、科研、生产和应用服务协同育人的功能和目标。</w:t>
      </w:r>
    </w:p>
    <w:p>
      <w:pPr>
        <w:pStyle w:val="7"/>
        <w:ind w:firstLine="480"/>
      </w:pPr>
      <w:r>
        <w:t>2. 合作办学</w:t>
      </w:r>
    </w:p>
    <w:p>
      <w:pPr>
        <w:ind w:firstLine="480"/>
      </w:pPr>
      <w:r>
        <w:t>本专业不断更新教育理念，逐步加强与国内外的合作与交流。从2013年开始，每年选派部分优秀学生赴台湾中国文化大学的开展为期半年的学习，推动了园林本科教育合作模式的进程，为园林专业学生拓宽了发展渠道；定期邀请相关专家来校为本专业学生讲学，积极寻求教学、科研与师资培养方面的合作；聘请美国密西西比州立大学毕桂红教授为客座教授，定期来校进行学术报告和交流。</w:t>
      </w:r>
    </w:p>
    <w:p>
      <w:pPr>
        <w:pStyle w:val="7"/>
        <w:ind w:firstLine="480"/>
      </w:pPr>
      <w:r>
        <w:t>3. 教学管理</w:t>
      </w:r>
    </w:p>
    <w:p>
      <w:pPr>
        <w:ind w:firstLine="480"/>
      </w:pPr>
      <w:r>
        <w:t>本专业积极按照学院安排，按时完成教务处和学院下达的各项教学工作，如教学日历和实习计划的撰写和上交、教学任务落实、命题阅卷、试卷装订和成绩报送等；编写了详尽的实践教学大纲和要求，建立了课程论文、实验报告等实践环节的格式规范及考核要求；大部分学科基础课和专业核心课都配备了2名以上的教师进行授课，保证学生可以全面掌握课程知识；每年按照毕业实习大纲要求制定毕业实习计划，并提前半年开展毕业论文选题工作。</w:t>
      </w:r>
    </w:p>
    <w:p>
      <w:pPr>
        <w:ind w:firstLine="480"/>
      </w:pPr>
      <w:r>
        <w:t>按照学校和学院的部署安排，每周二下午第二大节为集体教研时间，系里组织老师们对教学、实践、学生创新创业等方面进行讨论，集思广益提升专业教师教学与实践水平。</w:t>
      </w:r>
    </w:p>
    <w:p>
      <w:pPr>
        <w:ind w:firstLine="480"/>
      </w:pPr>
      <w:r>
        <w:t>在提升教师讲课水平方面，为每名新进教师配备了业务水平精湛的老教师，充分发挥老教师</w:t>
      </w:r>
      <w:r>
        <w:rPr>
          <w:rFonts w:hint="eastAsia"/>
        </w:rPr>
        <w:t>“</w:t>
      </w:r>
      <w:r>
        <w:t>传、帮、带</w:t>
      </w:r>
      <w:r>
        <w:rPr>
          <w:rFonts w:hint="eastAsia"/>
        </w:rPr>
        <w:t>”</w:t>
      </w:r>
      <w:r>
        <w:t>的作用，为青年教师制定了个性化的发展计划，从教学、科研两方面对青年教师进行指导，取得了显著效果。青年教师跟随老教师上课，学习讲课内容和上课方法，为以后独立讲课奠定基础。</w:t>
      </w:r>
    </w:p>
    <w:p>
      <w:pPr>
        <w:pStyle w:val="5"/>
        <w:spacing w:before="93" w:after="93"/>
        <w:ind w:firstLine="560"/>
      </w:pPr>
      <w:bookmarkStart w:id="258" w:name="_Toc4831"/>
      <w:r>
        <w:t>五、培养质量</w:t>
      </w:r>
      <w:bookmarkEnd w:id="258"/>
    </w:p>
    <w:p>
      <w:pPr>
        <w:pStyle w:val="7"/>
        <w:ind w:firstLine="480"/>
      </w:pPr>
      <w:r>
        <w:t>1. 毕业生就业率及专业对口率</w:t>
      </w:r>
    </w:p>
    <w:p>
      <w:pPr>
        <w:ind w:firstLine="480"/>
      </w:pPr>
      <w:r>
        <w:t xml:space="preserve">2022届园林毕业生共97人，就业率77.326%。其中，升学49人，占毕业生总人数的50.52%，其余学生也均与用人单位签订了劳动合同。就业专业对口率约为53。85%，主要签约单位为园林工程公司、事业单位和园林设计院等。 </w:t>
      </w:r>
    </w:p>
    <w:p>
      <w:pPr>
        <w:pStyle w:val="7"/>
        <w:ind w:firstLine="480"/>
      </w:pPr>
      <w:r>
        <w:t>2. 毕业生发展情况</w:t>
      </w:r>
    </w:p>
    <w:p>
      <w:pPr>
        <w:ind w:firstLine="480"/>
      </w:pPr>
      <w:r>
        <w:t>毕业生中升学者考入北京林业大学、中国农业大学、华中农业大学、南京农业大学、西北农林科技大学、山东农业大学等高校进行深造，发展状况良好。各高校和科研院所对前几届本校考取的学生的专业知识、吃苦耐劳、刻苦钻研精神等反馈良好。进入公司从事园林设计、工程施工管理等从业者经过培训，已成为公司主力。</w:t>
      </w:r>
    </w:p>
    <w:p>
      <w:pPr>
        <w:pStyle w:val="7"/>
        <w:ind w:firstLine="480"/>
      </w:pPr>
      <w:r>
        <w:t>3. 就业单位满意率及社会对专业的评价</w:t>
      </w:r>
    </w:p>
    <w:p>
      <w:pPr>
        <w:ind w:firstLine="480"/>
      </w:pPr>
      <w:r>
        <w:t>本专业一直立于山东省园林发展的最前沿，引领了山东园林行业的发展，社会影响力强，是山东省最好的园林教学科研基地，目前正逐步进入我国园林教育主流领域。本专业学生基础扎实，实践能力强，受到就业单位的一致好评，就业单位满意率高达95%。</w:t>
      </w:r>
    </w:p>
    <w:p>
      <w:pPr>
        <w:pStyle w:val="7"/>
        <w:ind w:firstLine="480"/>
      </w:pPr>
      <w:r>
        <w:t>4. 学生就读该专业的意愿</w:t>
      </w:r>
    </w:p>
    <w:p>
      <w:pPr>
        <w:ind w:firstLine="480"/>
      </w:pPr>
      <w:r>
        <w:t>园林专业一直是学校招生的热门专业，每年山东省内外本科生的一次录取率及报到率均为100%。此外，园林专业还是学生二次选择专业的热门专业，每年有大量成绩优秀的学生想通过转专业转到园林专业学习，专业每年根据情况择优录取学生进入园林专业。所以，学生就读本专业的意愿非常强烈。</w:t>
      </w:r>
    </w:p>
    <w:p>
      <w:pPr>
        <w:pStyle w:val="5"/>
        <w:spacing w:before="93" w:after="93"/>
        <w:ind w:firstLine="560"/>
      </w:pPr>
      <w:bookmarkStart w:id="259" w:name="_Toc4933"/>
      <w:r>
        <w:t>六、毕业生就业创业</w:t>
      </w:r>
      <w:bookmarkEnd w:id="259"/>
    </w:p>
    <w:p>
      <w:pPr>
        <w:ind w:firstLine="480"/>
      </w:pPr>
      <w:r>
        <w:t>园林专业就业率较高，故大部分同学选择就业，以提升自己的专业技能，为后期自主创业奠定基础。由于园林专业特点，极少数同学会在毕业之后立即创业，往往需要一段时间的积累，才能积累足够的经验进行创业活动，故近几届毕业的学生尚无自主创业的案例，但往届毕业生中不乏非常优秀的创业典范。如威海园林建设集团董事长戚海峰为园林系89届校友，他捐资100万元在林学院设立</w:t>
      </w:r>
      <w:r>
        <w:rPr>
          <w:rFonts w:hint="eastAsia"/>
        </w:rPr>
        <w:t>“</w:t>
      </w:r>
      <w:r>
        <w:t>威海园林-爱林</w:t>
      </w:r>
      <w:r>
        <w:rPr>
          <w:rFonts w:hint="eastAsia"/>
        </w:rPr>
        <w:t>”</w:t>
      </w:r>
      <w:r>
        <w:t>奖学金，用于奖励和资助林学院学林爱林、品学兼优的本科学生，为园林学子树立了良好的榜样。2019年戚海峰同志被评为</w:t>
      </w:r>
      <w:r>
        <w:rPr>
          <w:rFonts w:hint="eastAsia"/>
        </w:rPr>
        <w:t>“</w:t>
      </w:r>
      <w:r>
        <w:t>山东农业大学杰出校友</w:t>
      </w:r>
      <w:r>
        <w:rPr>
          <w:rFonts w:hint="eastAsia"/>
        </w:rPr>
        <w:t>”</w:t>
      </w:r>
      <w:r>
        <w:t>，2022年同为威海园林建设集团的郑书文同志（90届园林专业学生）同样被评为</w:t>
      </w:r>
      <w:r>
        <w:rPr>
          <w:rFonts w:hint="eastAsia"/>
        </w:rPr>
        <w:t>“</w:t>
      </w:r>
      <w:r>
        <w:t>山东农业大学杰出校友</w:t>
      </w:r>
      <w:r>
        <w:rPr>
          <w:rFonts w:hint="eastAsia"/>
        </w:rPr>
        <w:t>”</w:t>
      </w:r>
      <w:r>
        <w:t>。</w:t>
      </w:r>
    </w:p>
    <w:p>
      <w:pPr>
        <w:ind w:firstLine="480"/>
      </w:pPr>
      <w:r>
        <w:t>在加强毕业生就业创业方面，园林专业也采取了多种措施，鼓励学生进行创业活动：（1）教职工发挥自身优势，与各园林公司、花卉企业、设计院等单位洽谈，向单位推荐优秀毕业生；（2）结合林学院教工党员</w:t>
      </w:r>
      <w:r>
        <w:rPr>
          <w:rFonts w:hint="eastAsia"/>
        </w:rPr>
        <w:t>“</w:t>
      </w:r>
      <w:r>
        <w:t>五帮扶</w:t>
      </w:r>
      <w:r>
        <w:rPr>
          <w:rFonts w:hint="eastAsia"/>
        </w:rPr>
        <w:t>”</w:t>
      </w:r>
      <w:r>
        <w:t>活动，对有创新精神和创业意愿同学进行一对一帮扶，在创业思路、核心技术、创业实践等方面加强指导，积极培养孵化，培养具有创业精神的大学生；（3）加强对学生的引导，鼓励学生到工程公司、花卉公司去就业，避免学生一窝蜂扎堆应聘设计岗位的现象。</w:t>
      </w:r>
    </w:p>
    <w:p>
      <w:pPr>
        <w:pStyle w:val="5"/>
        <w:spacing w:before="93" w:after="93"/>
        <w:ind w:firstLine="560"/>
      </w:pPr>
      <w:bookmarkStart w:id="260" w:name="_Toc2367"/>
      <w:r>
        <w:t>七、专业人才社会需求分析及专业发展趋势</w:t>
      </w:r>
      <w:bookmarkEnd w:id="260"/>
      <w:r>
        <w:t>分析</w:t>
      </w:r>
    </w:p>
    <w:p>
      <w:pPr>
        <w:pStyle w:val="7"/>
        <w:ind w:firstLine="480"/>
      </w:pPr>
      <w:r>
        <w:t>1. 专业人才社会需求分析</w:t>
      </w:r>
    </w:p>
    <w:p>
      <w:pPr>
        <w:spacing w:line="390" w:lineRule="exact"/>
        <w:ind w:firstLine="480"/>
      </w:pPr>
      <w:r>
        <w:t>随着国家生态文明建设的发展，以及习近平总书记在不同的场合多次提到</w:t>
      </w:r>
      <w:r>
        <w:rPr>
          <w:rFonts w:hint="eastAsia"/>
        </w:rPr>
        <w:t>“</w:t>
      </w:r>
      <w:r>
        <w:t>既要绿水青山，也要金山银山；宁要绿水青山，不要金山银山；绿水青山就是金山银山</w:t>
      </w:r>
      <w:r>
        <w:rPr>
          <w:rFonts w:hint="eastAsia"/>
        </w:rPr>
        <w:t>”</w:t>
      </w:r>
      <w:r>
        <w:t>，园林专业将迎来一个新的发展机遇，同时也对园林专业人才提出了新的要求。</w:t>
      </w:r>
    </w:p>
    <w:p>
      <w:pPr>
        <w:spacing w:line="390" w:lineRule="exact"/>
        <w:ind w:firstLine="480"/>
      </w:pPr>
      <w:r>
        <w:t>（1）园林设计要更注重生态学原理。园林在为人们提供优美的游憩场所的同时更要肩负起调节气候、改善生态环境的功能，这就需要设计师在设计园林绿地时要充分遵循生态原则，使园林植物最大程度地发挥生态效益，改善生态环境。所以，园林设计师要具备生态学的理论基础，尤其是保护生态和恢复生态等方面的知识。</w:t>
      </w:r>
    </w:p>
    <w:p>
      <w:pPr>
        <w:spacing w:line="390" w:lineRule="exact"/>
        <w:ind w:firstLine="480"/>
      </w:pPr>
      <w:r>
        <w:t>（2）社会需要综合型园林人才。</w:t>
      </w:r>
      <w:r>
        <w:rPr>
          <w:rFonts w:hint="eastAsia"/>
        </w:rPr>
        <w:t>“</w:t>
      </w:r>
      <w:r>
        <w:t>高级复合型科学技术人才</w:t>
      </w:r>
      <w:r>
        <w:rPr>
          <w:rFonts w:hint="eastAsia"/>
        </w:rPr>
        <w:t>”</w:t>
      </w:r>
      <w:r>
        <w:t>是园林专业从创建之日起就一以贯之的专业定位和人才培养目标。综合性的培养模式是园林专业本科生不断拓宽就业市场、提高就业竞争实力的重要前提。这种综合性体现在知识结构、专业技能、专业素质的综合性上。在综合性的专业素质上，园林专业培养的学生还应该具有以社会责任感、团队合作精神、创新精神、包容精神和审美能力为重点的综合素质。</w:t>
      </w:r>
    </w:p>
    <w:p>
      <w:pPr>
        <w:spacing w:line="390" w:lineRule="exact"/>
        <w:ind w:firstLine="480"/>
      </w:pPr>
      <w:r>
        <w:t>（3）强化专业基础与多学科融合：专业基础是专业建设和拓展专业领域的根本，是复合人才和高端人才培养的重要环节。综合性的培养目标离不开宽厚的专业基础，只有掌握了各个领域的专业基础课知识，才有可能成为真正的高级复合型人才。园林植物领域的高端人才需要有气象学、土壤学、生态学、植物生理学、有机化学、数理统计、高等数学等方面的专业基础；园林设计领域的高端人才需要有绘画、美学、力学、地理学、历史学、文学等方面的专业基础，只有加强多学科融合，园林专业才能焕发新的活力。</w:t>
      </w:r>
    </w:p>
    <w:p>
      <w:pPr>
        <w:pStyle w:val="7"/>
        <w:spacing w:line="390" w:lineRule="exact"/>
        <w:ind w:firstLine="480"/>
      </w:pPr>
      <w:r>
        <w:t>2. 专业发展趋势分析</w:t>
      </w:r>
    </w:p>
    <w:p>
      <w:pPr>
        <w:spacing w:line="390" w:lineRule="exact"/>
        <w:ind w:firstLine="480"/>
      </w:pPr>
      <w:r>
        <w:t>随着国家对生态环境的重视和国民经济持续快速增长、城市化进程加快和房地产业兴起、旅游及休闲度假产业崛起、环境保护意识提高，再加上重大基础设施建设如交通建设对园林绿化和环境建设等配套项目的拉动，中国园林产业高速发展的外部条件已基本成熟，中国园林产业已进入快速发展阶段。近年来，不管是城市还是乡村，都投入巨资进行环境建设，从住宅区的开发到城市公园的增多，园林行业需要的人才越来越多。行业的兴盛，预示着专业人才—即既懂园林绿化景观设计和花卉苗木养护，又懂</w:t>
      </w:r>
      <w:r>
        <w:rPr>
          <w:rFonts w:hint="eastAsia"/>
        </w:rPr>
        <w:t>“</w:t>
      </w:r>
      <w:r>
        <w:t>绿色经济</w:t>
      </w:r>
      <w:r>
        <w:rPr>
          <w:rFonts w:hint="eastAsia"/>
        </w:rPr>
        <w:t>”</w:t>
      </w:r>
      <w:r>
        <w:t>经营管理的园林专业毕业生，将成为社会需求旺盛的专业人才。随着我国开设园林专业的院校数量和招生规模不断扩大，开设园林专业的院校也呈多元化趋势。不但农林院校、工科院校和综合院校中的园林专业数量显著增加，就连部分民族类、艺术类和师范类院校也相继开设了园林专业。这些院校在人才培养模式、课程体系、师资力量、教学科研硬件设施等方面都存在显著差异。</w:t>
      </w:r>
    </w:p>
    <w:p>
      <w:pPr>
        <w:pStyle w:val="5"/>
        <w:spacing w:before="93" w:after="93"/>
        <w:ind w:firstLine="560"/>
      </w:pPr>
      <w:bookmarkStart w:id="261" w:name="_Toc19774"/>
      <w:r>
        <w:t>八、存在的问题及整改措施</w:t>
      </w:r>
      <w:bookmarkEnd w:id="261"/>
    </w:p>
    <w:p>
      <w:pPr>
        <w:pStyle w:val="7"/>
        <w:spacing w:line="380" w:lineRule="exact"/>
        <w:ind w:firstLine="480"/>
      </w:pPr>
      <w:r>
        <w:t>1. 存在问题</w:t>
      </w:r>
    </w:p>
    <w:p>
      <w:pPr>
        <w:spacing w:line="380" w:lineRule="exact"/>
        <w:ind w:firstLine="480"/>
      </w:pPr>
      <w:r>
        <w:t>（1）师资结构不合理，高层次人才匮乏：从年龄结构上看，本专业植物方向的教师12名，55岁以上2人，50-54岁的2人，40-49岁2人，存在老龄化明显、中坚力量缺乏的现象。另外，本专业大多数教师大部分为</w:t>
      </w:r>
      <w:r>
        <w:rPr>
          <w:rFonts w:hint="eastAsia"/>
        </w:rPr>
        <w:t>“</w:t>
      </w:r>
      <w:r>
        <w:t>本土教育</w:t>
      </w:r>
      <w:r>
        <w:rPr>
          <w:rFonts w:hint="eastAsia"/>
        </w:rPr>
        <w:t>”</w:t>
      </w:r>
      <w:r>
        <w:t>，具有海外留学经历的教师数量少，缺乏在国内、尤其是国际上具有影响力的学科带头人。</w:t>
      </w:r>
    </w:p>
    <w:p>
      <w:pPr>
        <w:spacing w:line="380" w:lineRule="exact"/>
        <w:ind w:firstLine="480"/>
      </w:pPr>
      <w:r>
        <w:t>（2）校内外基地建设有待完善</w:t>
      </w:r>
    </w:p>
    <w:p>
      <w:pPr>
        <w:spacing w:line="380" w:lineRule="exact"/>
        <w:ind w:firstLine="480"/>
      </w:pPr>
      <w:r>
        <w:t>近10年来，随着经费投入的加大，本专业的校内外基地建设有了长足发展，目前拥有制图绘画中心、大学生创新创业中心、园林实训基地等本科教学平台。但就目前来看，这些平台的作用发挥还不够充分，比如：大学生创新创业中心的优秀产品因缺乏商标等原因无法公开、大范围销售；注册成立的水缘花水培花卉公司因学生法人流动性大而经营不畅等。</w:t>
      </w:r>
    </w:p>
    <w:p>
      <w:pPr>
        <w:spacing w:line="380" w:lineRule="exact"/>
        <w:ind w:firstLine="480"/>
      </w:pPr>
      <w:r>
        <w:t>（3）招生改为大类招生之后，林学大类大一基础课打通，园林专业很多原来在大一开设的基础课如美术1，美术2，设计初步1等只能在大二开设，导致学生大二课程非常紧张，例如美术1和美术2原来分别在第一学期和第二学期两个学期开设，现在只能在第三学期一个学期学完两门课程，使得教学质量无法得到保证。</w:t>
      </w:r>
    </w:p>
    <w:p>
      <w:pPr>
        <w:pStyle w:val="7"/>
        <w:spacing w:line="380" w:lineRule="exact"/>
        <w:ind w:firstLine="480"/>
      </w:pPr>
      <w:r>
        <w:t>2. 整改措施</w:t>
      </w:r>
    </w:p>
    <w:p>
      <w:pPr>
        <w:spacing w:line="380" w:lineRule="exact"/>
        <w:ind w:firstLine="480"/>
      </w:pPr>
      <w:r>
        <w:t>（1）改善人才引进的措施，提高条件、待遇，积极联系、吸引知名专家学者回归，力争2年内引进1名专业领军人才和学科带头人；加强对青年师资及新引进师资的培养，每年选派1-2名教师进行国内、外学术交流或进修，追踪学科前沿，把握学术发展方向，提升教学、科研能力。</w:t>
      </w:r>
    </w:p>
    <w:p>
      <w:pPr>
        <w:spacing w:line="380" w:lineRule="exact"/>
        <w:ind w:firstLine="480"/>
      </w:pPr>
      <w:r>
        <w:t>（2）进一步加大与省内外相关单位、企业的联系，加强实践教学基地的建设，组织学生分批到基地进行实习，增强学生的实践能力，巩固所学的理论知识；搭建就业实习平台，为学生提供在企业实习机会，形成真正的职业能力。在科研单位的实践实习，能培养他们认真的科研态度，养成良好的科研习惯，拓宽专业知识，使专业知识更具有前沿性和时效性，在以后的工作中更具竞争力。</w:t>
      </w:r>
    </w:p>
    <w:p>
      <w:pPr>
        <w:ind w:firstLine="480"/>
      </w:pP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pPr>
      <w:bookmarkStart w:id="262" w:name="_Toc19904"/>
      <w:bookmarkStart w:id="263" w:name="_Toc7766"/>
      <w:bookmarkStart w:id="264" w:name="_Toc16386"/>
      <w:bookmarkStart w:id="265" w:name="_Toc27004"/>
      <w:bookmarkStart w:id="266" w:name="_Toc16715"/>
      <w:r>
        <w:t>专业二十</w:t>
      </w:r>
      <w:r>
        <w:rPr>
          <w:rFonts w:hint="eastAsia"/>
          <w:lang w:val="en-US"/>
        </w:rPr>
        <w:t>三</w:t>
      </w:r>
      <w:r>
        <w:t>：园艺</w:t>
      </w:r>
      <w:bookmarkEnd w:id="262"/>
      <w:bookmarkEnd w:id="263"/>
      <w:bookmarkEnd w:id="264"/>
      <w:bookmarkEnd w:id="265"/>
      <w:bookmarkEnd w:id="266"/>
    </w:p>
    <w:p>
      <w:pPr>
        <w:pStyle w:val="5"/>
        <w:spacing w:before="93" w:after="93"/>
        <w:ind w:firstLine="560"/>
      </w:pPr>
      <w:r>
        <w:t>一、人才培养目标</w:t>
      </w:r>
    </w:p>
    <w:p>
      <w:pPr>
        <w:ind w:firstLine="480"/>
        <w:rPr>
          <w:color w:val="000000"/>
        </w:rPr>
      </w:pPr>
      <w:r>
        <w:rPr>
          <w:color w:val="000000"/>
        </w:rPr>
        <w:t>本专业培养</w:t>
      </w:r>
      <w:r>
        <w:rPr>
          <w:rFonts w:hint="eastAsia"/>
          <w:color w:val="000000"/>
        </w:rPr>
        <w:t>“</w:t>
      </w:r>
      <w:r>
        <w:rPr>
          <w:color w:val="000000"/>
        </w:rPr>
        <w:t>德、智、体</w:t>
      </w:r>
      <w:r>
        <w:rPr>
          <w:rFonts w:hint="eastAsia"/>
          <w:color w:val="000000"/>
        </w:rPr>
        <w:t>”</w:t>
      </w:r>
      <w:r>
        <w:rPr>
          <w:color w:val="000000"/>
        </w:rPr>
        <w:t>全面发展，具有较广泛的人文科学、自然科学知识，具有较强的外语、计算机应用能力，具备园艺学系统理论知识和技能、自主学习能力、团队协作和组织协调能力，以及较强的创新意识和社会责任感，能在果树、蔬菜、观赏园艺、设施园艺及其它相关专业方向领域从事科学研究，技术推广、经营管理等工作的专业型、创新型高级专门人才。</w:t>
      </w:r>
    </w:p>
    <w:p>
      <w:pPr>
        <w:pStyle w:val="5"/>
        <w:spacing w:before="93" w:after="93"/>
        <w:ind w:firstLine="560"/>
      </w:pPr>
      <w:r>
        <w:t>二、培养能力（专业设置情况、在校生规模、课程设置情况、创新创业教育等）</w:t>
      </w:r>
    </w:p>
    <w:p>
      <w:pPr>
        <w:ind w:firstLine="480"/>
        <w:rPr>
          <w:color w:val="000000" w:themeColor="text1"/>
          <w14:textFill>
            <w14:solidFill>
              <w14:schemeClr w14:val="tx1"/>
            </w14:solidFill>
          </w14:textFill>
        </w:rPr>
      </w:pPr>
      <w:r>
        <w:rPr>
          <w:color w:val="000000"/>
        </w:rPr>
        <w:t>园艺专业是教育部在1998年对全国的学科专业进行结构调整，将果树、蔬菜、观赏园艺、茶学等二级学科专业合并为园艺一级学科专业。园艺专业1999年成为山东省教育厅的首批试点专业，2001年为山东省重中之重强化建设学科；2004年中国管理科学院科学研究所对全国所有本科专业评估中，我校园艺本科专业以综合实力名列第一，为全国A++专业；2006年园艺专业成为省级特色专业，2008年成为</w:t>
      </w:r>
      <w:r>
        <w:rPr>
          <w:rFonts w:hint="eastAsia"/>
          <w:color w:val="000000"/>
        </w:rPr>
        <w:t>“</w:t>
      </w:r>
      <w:r>
        <w:rPr>
          <w:color w:val="000000"/>
        </w:rPr>
        <w:t>国家级第一类特色专业</w:t>
      </w:r>
      <w:r>
        <w:rPr>
          <w:rFonts w:hint="eastAsia"/>
          <w:color w:val="000000"/>
        </w:rPr>
        <w:t>”</w:t>
      </w:r>
      <w:r>
        <w:rPr>
          <w:color w:val="000000"/>
        </w:rPr>
        <w:t>，2012年成为山东省名校工程重点建设专业，园艺学科本科专业是学校植物生产类专业中的优势特色专业，2018年园艺专业被山东省教育厅批准为新旧动能转换专业对接企业重点建设专业，2019年成为山东省一流本科专业、国家一流本科建设专业。</w:t>
      </w:r>
      <w:r>
        <w:rPr>
          <w:color w:val="000000" w:themeColor="text1"/>
          <w14:textFill>
            <w14:solidFill>
              <w14:schemeClr w14:val="tx1"/>
            </w14:solidFill>
          </w14:textFill>
        </w:rPr>
        <w:t>2022年本专业在校生规模936人，2022年招收本科生309人（其中 24 人转至齐鲁学堂，</w:t>
      </w:r>
      <w:r>
        <w:rPr>
          <w:color w:val="000000" w:themeColor="text1"/>
          <w:spacing w:val="-6"/>
          <w14:textFill>
            <w14:solidFill>
              <w14:schemeClr w14:val="tx1"/>
            </w14:solidFill>
          </w14:textFill>
        </w:rPr>
        <w:t>38人为3+2转段，1人为教务处招生双学位），毕业</w:t>
      </w:r>
      <w:r>
        <w:rPr>
          <w:color w:val="000000" w:themeColor="text1"/>
          <w14:textFill>
            <w14:solidFill>
              <w14:schemeClr w14:val="tx1"/>
            </w14:solidFill>
          </w14:textFill>
        </w:rPr>
        <w:t>生人数为279人。</w:t>
      </w:r>
    </w:p>
    <w:p>
      <w:pPr>
        <w:ind w:firstLine="480"/>
        <w:rPr>
          <w:color w:val="000000" w:themeColor="text1"/>
          <w14:textFill>
            <w14:solidFill>
              <w14:schemeClr w14:val="tx1"/>
            </w14:solidFill>
          </w14:textFill>
        </w:rPr>
      </w:pPr>
      <w:r>
        <w:rPr>
          <w:color w:val="000000"/>
        </w:rPr>
        <w:t>园艺专业以</w:t>
      </w:r>
      <w:r>
        <w:rPr>
          <w:rFonts w:hint="eastAsia"/>
          <w:color w:val="000000"/>
        </w:rPr>
        <w:t>“</w:t>
      </w:r>
      <w:r>
        <w:rPr>
          <w:color w:val="000000"/>
        </w:rPr>
        <w:t>宽厚基础与专业素能并重</w:t>
      </w:r>
      <w:r>
        <w:rPr>
          <w:rFonts w:hint="eastAsia"/>
          <w:color w:val="000000"/>
        </w:rPr>
        <w:t>”</w:t>
      </w:r>
      <w:r>
        <w:rPr>
          <w:color w:val="000000"/>
        </w:rPr>
        <w:t>为人才培养目标，强化专业条件建设，大力进行教学改革研究。进一步优化完善了课程体系，制定了以生物学、园艺学、经营管理学和人文社科四大学科相融合、</w:t>
      </w:r>
      <w:r>
        <w:rPr>
          <w:rFonts w:hint="eastAsia"/>
          <w:color w:val="000000"/>
        </w:rPr>
        <w:t>“</w:t>
      </w:r>
      <w:r>
        <w:rPr>
          <w:color w:val="000000"/>
        </w:rPr>
        <w:t>平台加模块</w:t>
      </w:r>
      <w:r>
        <w:rPr>
          <w:rFonts w:hint="eastAsia"/>
          <w:color w:val="000000"/>
        </w:rPr>
        <w:t>”</w:t>
      </w:r>
      <w:r>
        <w:rPr>
          <w:color w:val="000000"/>
        </w:rPr>
        <w:t>新的园艺专业课程体系，创建了</w:t>
      </w:r>
      <w:r>
        <w:rPr>
          <w:rFonts w:hint="eastAsia"/>
          <w:color w:val="000000"/>
        </w:rPr>
        <w:t>“</w:t>
      </w:r>
      <w:r>
        <w:rPr>
          <w:color w:val="000000"/>
        </w:rPr>
        <w:t>课内课外、校内校外、四条分支、四个阶段、相互交叉、组建模块</w:t>
      </w:r>
      <w:r>
        <w:rPr>
          <w:rFonts w:hint="eastAsia"/>
          <w:color w:val="000000"/>
        </w:rPr>
        <w:t>”</w:t>
      </w:r>
      <w:r>
        <w:rPr>
          <w:color w:val="000000"/>
        </w:rPr>
        <w:t>的实践教学新模式。充分利用现代生物技术、信息技术改造、整合、提升传统园艺专业的特色；立足专业特点，学生全程实施本科导师制，注重加强学生的创新创业能力的培养。一是转变教育理念，培养学生创新、创业意识。加强大学生创造型思维的训练，紧密结合专业课程，融入创业知识体系。二是实施丰富多彩的创业教育实践活动，培养学生创新创业能力。每年定期举办园艺讲坛，为学生组织高质量的创业报告、企业家论坛和成功校友创业事迹报告会。鼓励学生积极参加科研创新实践活动。引导学生在学习阶段积极参加学院教师的科研课题，科研实验室、省重点实验室全部面向学生开放，接纳一部分优秀学生参加课题的研究，在导师的指导下从事科研创新活动和开展科学研究</w:t>
      </w:r>
      <w:r>
        <w:rPr>
          <w:color w:val="000000" w:themeColor="text1"/>
          <w14:textFill>
            <w14:solidFill>
              <w14:schemeClr w14:val="tx1"/>
            </w14:solidFill>
          </w14:textFill>
        </w:rPr>
        <w:t>。组织学生积极参加挑战杯、SRT等科技学术作品大赛等。三是充分发挥各实践</w:t>
      </w:r>
      <w:r>
        <w:rPr>
          <w:color w:val="000000"/>
        </w:rPr>
        <w:t>创新载体的作用，为学生创新创业学习提供保障。在校内设立青春创业试验田，从教师科研用地中开辟出部分试验田，专门用于学生模拟创业实践。在校外积极建设就业科研实践教学基地，建立产、学、研一体化教育模式，与企业开展合作教育。利用寒暑假选派优秀学生到企业实习、训练，全面提高了学生创业的综合素质。</w:t>
      </w:r>
      <w:r>
        <w:rPr>
          <w:color w:val="000000" w:themeColor="text1"/>
          <w14:textFill>
            <w14:solidFill>
              <w14:schemeClr w14:val="tx1"/>
            </w14:solidFill>
          </w14:textFill>
        </w:rPr>
        <w:t>2021-2022年度，2019级园艺专业王文涛等同学的山农酥梨——一种好梨，一亩万</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利</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项目，2019级园艺专业盛夏薇等同学的良辰莓景——打造中国首个特色俱乐部模式推动草莓产业振兴项目，均获得了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建行杯</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第八届山东省</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互联网+</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大学生创新创业大赛金奖。其中，山农酥梨项目已入围国赛，进行国赛金银奖争夺。2020级园艺专业曹菁洳等同学的开启食用菊的华丽转变项目获得了第八届山东省大学生科技创新大赛二等奖的好成绩。</w:t>
      </w:r>
    </w:p>
    <w:p>
      <w:pPr>
        <w:pStyle w:val="5"/>
        <w:spacing w:before="93" w:after="93"/>
        <w:ind w:firstLine="560"/>
      </w:pPr>
      <w:r>
        <w:t>三、培养条件（教学经费投入、教学设备、教师队伍建设、实习基地、现代教学技术应用等）</w:t>
      </w:r>
    </w:p>
    <w:p>
      <w:pPr>
        <w:ind w:firstLine="480"/>
        <w:rPr>
          <w:color w:val="000000"/>
        </w:rPr>
      </w:pPr>
      <w:r>
        <w:rPr>
          <w:color w:val="000000"/>
        </w:rPr>
        <w:t>园艺专业建设了一支注重学科交叉和知识融合、学历层次高、创新能力强的高水平师资队伍。现有专职教师73名，其中中国工程院院士1人；长江学者特聘教授1人，国务院学位委员会委员（含学科评议组委员）1人；教育部教学指导委员会委员（含学科组成员）1人；泰山学者攀登计划2人，泰山学者特聘教授4人；博士生导师22人。2人是山东省教学名师，2人获得山东省高校十大优秀教师称号；园艺专业教学团队被评为山东省教学团队，</w:t>
      </w:r>
      <w:r>
        <w:rPr>
          <w:rFonts w:hint="eastAsia"/>
          <w:color w:val="000000"/>
        </w:rPr>
        <w:t>“</w:t>
      </w:r>
      <w:r>
        <w:rPr>
          <w:color w:val="000000"/>
        </w:rPr>
        <w:t>普通园艺学</w:t>
      </w:r>
      <w:r>
        <w:rPr>
          <w:rFonts w:hint="eastAsia"/>
          <w:color w:val="000000"/>
        </w:rPr>
        <w:t>”</w:t>
      </w:r>
      <w:r>
        <w:rPr>
          <w:color w:val="000000"/>
        </w:rPr>
        <w:t>课程是国家精品课程和国家精品共享课程。2015年果树园艺学在全校率先进行慕课建设并应用于教学，取得了初步成效，本年度完成了果树育种学与蔬菜园艺学的慕课制作，搭建了虚拟仿真实验教学平台，建成虚拟仿真实验项目1个。</w:t>
      </w:r>
    </w:p>
    <w:p>
      <w:pPr>
        <w:ind w:firstLine="480"/>
        <w:rPr>
          <w:color w:val="000000"/>
        </w:rPr>
      </w:pPr>
      <w:r>
        <w:rPr>
          <w:color w:val="000000"/>
        </w:rPr>
        <w:t>为更好地为园艺专业教学服务，设立了园艺实验教学中心，是建立在园艺一级学科层面、集教学、科研实验仪器设备资源为一体、统管共用、资源共享的综合性实验中心。实验教学中心分为7个功能实验室和3个仪器分析室，实验室面积约1200m</w:t>
      </w:r>
      <w:r>
        <w:rPr>
          <w:color w:val="000000"/>
          <w:vertAlign w:val="superscript"/>
        </w:rPr>
        <w:t>2</w:t>
      </w:r>
      <w:r>
        <w:rPr>
          <w:color w:val="000000"/>
        </w:rPr>
        <w:t>。山东省和学校</w:t>
      </w:r>
      <w:r>
        <w:rPr>
          <w:rFonts w:hint="eastAsia"/>
          <w:color w:val="000000"/>
        </w:rPr>
        <w:t>“</w:t>
      </w:r>
      <w:r>
        <w:rPr>
          <w:color w:val="000000"/>
        </w:rPr>
        <w:t>十五</w:t>
      </w:r>
      <w:r>
        <w:rPr>
          <w:rFonts w:hint="eastAsia"/>
          <w:color w:val="000000"/>
        </w:rPr>
        <w:t>”</w:t>
      </w:r>
      <w:r>
        <w:rPr>
          <w:color w:val="000000"/>
        </w:rPr>
        <w:t>重点学科建设，</w:t>
      </w:r>
      <w:r>
        <w:rPr>
          <w:rFonts w:hint="eastAsia"/>
          <w:color w:val="000000"/>
        </w:rPr>
        <w:t>“</w:t>
      </w:r>
      <w:r>
        <w:rPr>
          <w:color w:val="000000"/>
        </w:rPr>
        <w:t>十一五</w:t>
      </w:r>
      <w:r>
        <w:rPr>
          <w:rFonts w:hint="eastAsia"/>
          <w:color w:val="000000"/>
        </w:rPr>
        <w:t>”</w:t>
      </w:r>
      <w:r>
        <w:rPr>
          <w:color w:val="000000"/>
        </w:rPr>
        <w:t>国家、省重点学科、重点实验室建设，中央财政与地方共建园艺学基础实验室和山东省骨干学科建设等项目建设，相继为实验教学中心投资3000余万元。中心购置了一批具有国际先进水平的仪器设备，设备总值达到2600余万元，构建起了以生命科学提升传统园艺学科的新型实验平台，使实验设备总值达到生均1.2万元。2008年，中心被批准为山东省和国家级实验教学示范中心（农业生物学国家级实验教学示范中心--园艺）。</w:t>
      </w:r>
      <w:r>
        <w:rPr>
          <w:color w:val="000000" w:themeColor="text1"/>
          <w14:textFill>
            <w14:solidFill>
              <w14:schemeClr w14:val="tx1"/>
            </w14:solidFill>
          </w14:textFill>
        </w:rPr>
        <w:t>本年度在山东省新旧动能转换专业对接企业项目支持下，园艺实验教学中心新增设备近30万元，</w:t>
      </w:r>
      <w:r>
        <w:rPr>
          <w:color w:val="000000"/>
        </w:rPr>
        <w:t>南校区30亩实验用地投入本科教学使用。</w:t>
      </w:r>
    </w:p>
    <w:p>
      <w:pPr>
        <w:ind w:firstLine="480"/>
        <w:rPr>
          <w:color w:val="000000"/>
        </w:rPr>
      </w:pPr>
      <w:r>
        <w:rPr>
          <w:color w:val="000000"/>
        </w:rPr>
        <w:t>隶属于实验教学中心的园艺实验站，是学校建设最好、管理最为规范的实验站园之一。占地140余亩，有日光温室25栋13000m</w:t>
      </w:r>
      <w:r>
        <w:rPr>
          <w:color w:val="000000"/>
          <w:vertAlign w:val="superscript"/>
        </w:rPr>
        <w:t>2</w:t>
      </w:r>
      <w:r>
        <w:rPr>
          <w:color w:val="000000"/>
        </w:rPr>
        <w:t>（2019年新建6栋），大拱棚6栋1800m</w:t>
      </w:r>
      <w:r>
        <w:rPr>
          <w:color w:val="000000"/>
          <w:vertAlign w:val="superscript"/>
        </w:rPr>
        <w:t>2</w:t>
      </w:r>
      <w:r>
        <w:rPr>
          <w:color w:val="000000"/>
        </w:rPr>
        <w:t>，拥有果、菜、花、茶名贵品种资源300余种，为学生学习、研究和教师科研提供了大量素材和便利条件。2019年，学校、学院相继投资150多万元，加强了站园内道路整修、排水设施的改造、土壤改良和资源引进等工作，2020年近30亩果树基地投入本科教学使用。</w:t>
      </w:r>
    </w:p>
    <w:p>
      <w:pPr>
        <w:ind w:firstLine="480"/>
        <w:rPr>
          <w:color w:val="000000"/>
        </w:rPr>
      </w:pPr>
      <w:r>
        <w:rPr>
          <w:color w:val="000000"/>
        </w:rPr>
        <w:t>学院教学经费近年来逐年增加。本着厉行节约、保证质量的原则，能够满足基本教学要求，对于培养学生实践创新能了发挥了十分重要的作用。</w:t>
      </w:r>
    </w:p>
    <w:p>
      <w:pPr>
        <w:pStyle w:val="5"/>
        <w:spacing w:before="93" w:after="93"/>
        <w:ind w:firstLine="560"/>
      </w:pPr>
      <w:r>
        <w:t>四、培养机制与特色（产学研协同育人机制、合作办学、教学管理等）</w:t>
      </w:r>
    </w:p>
    <w:p>
      <w:pPr>
        <w:ind w:firstLine="480"/>
        <w:rPr>
          <w:color w:val="000000"/>
        </w:rPr>
      </w:pPr>
      <w:r>
        <w:rPr>
          <w:color w:val="000000"/>
        </w:rPr>
        <w:t>结合双一流学科建设，建立起了与社会需求相适应的特色化园艺人才培养模式。将社会对园艺人才的需求作为切入点，结合地方区域经济社会发展状况，按照学生的潜质与兴趣实施分类特色培养，塑造适合社会需要的各类合格人才，实现培养策略从</w:t>
      </w:r>
      <w:r>
        <w:rPr>
          <w:rFonts w:hint="eastAsia"/>
          <w:color w:val="000000"/>
        </w:rPr>
        <w:t>“</w:t>
      </w:r>
      <w:r>
        <w:rPr>
          <w:color w:val="000000"/>
        </w:rPr>
        <w:t>厚基础、宽口径</w:t>
      </w:r>
      <w:r>
        <w:rPr>
          <w:rFonts w:hint="eastAsia"/>
          <w:color w:val="000000"/>
        </w:rPr>
        <w:t>”</w:t>
      </w:r>
      <w:r>
        <w:rPr>
          <w:color w:val="000000"/>
        </w:rPr>
        <w:t>向</w:t>
      </w:r>
      <w:r>
        <w:rPr>
          <w:rFonts w:hint="eastAsia"/>
          <w:color w:val="000000"/>
        </w:rPr>
        <w:t>“</w:t>
      </w:r>
      <w:r>
        <w:rPr>
          <w:color w:val="000000"/>
        </w:rPr>
        <w:t>前期厚基础，后期增特色</w:t>
      </w:r>
      <w:r>
        <w:rPr>
          <w:rFonts w:hint="eastAsia"/>
          <w:color w:val="000000"/>
        </w:rPr>
        <w:t>”</w:t>
      </w:r>
      <w:r>
        <w:rPr>
          <w:color w:val="000000"/>
        </w:rPr>
        <w:t>的方向转变。根据培养模式的变化，进一步强化了专业教学条件，优化了师资队伍结构，完善了专业人才培养方案和课程体系，同时加强教改教法研究；建立专业建设和运行的长效机制，完善了专业教学质量监控评价体系。</w:t>
      </w:r>
    </w:p>
    <w:p>
      <w:pPr>
        <w:ind w:firstLine="480"/>
        <w:rPr>
          <w:color w:val="000000"/>
        </w:rPr>
      </w:pPr>
      <w:r>
        <w:rPr>
          <w:color w:val="000000"/>
        </w:rPr>
        <w:t>多年来，山东农业大学园艺专业与园艺企业、地方农业科研院所始终保持密切合作关系，近年来，以农业部构建的现代农业产业技术体系为结合点，已开始探索教育系统与农业系统的合作共建实践教学平台的新体制。通过加强学校与农业部现代农业产业技术体系综合实验站、农业科学院所、农业企业、地方所属的农业场站与农业推广部门等单位的合作，已初步建立了一批与行业紧密联系的高质量、稳定的校外实习基地，逐步探索高校与行业和地方合作办学途径，创新与行业优势结合的高水平农科人才培养模式，以及提高人才实践能力培养的新机制。</w:t>
      </w:r>
    </w:p>
    <w:p>
      <w:pPr>
        <w:pStyle w:val="5"/>
        <w:spacing w:before="93" w:after="93"/>
        <w:ind w:firstLine="560"/>
      </w:pPr>
      <w:r>
        <w:t>五、培养质量（毕业生就业率、就业专业对口率、毕业生发展情况、就业单位满意率、社会对专业的评价、学生就读该专业的意愿等）</w:t>
      </w:r>
    </w:p>
    <w:p>
      <w:pPr>
        <w:ind w:firstLine="480"/>
        <w:rPr>
          <w:color w:val="000000" w:themeColor="text1"/>
          <w14:textFill>
            <w14:solidFill>
              <w14:schemeClr w14:val="tx1"/>
            </w14:solidFill>
          </w14:textFill>
        </w:rPr>
      </w:pPr>
      <w:r>
        <w:rPr>
          <w:color w:val="000000"/>
        </w:rPr>
        <w:t>园艺学院本科人才培养基于当前产业和社会需求，面向</w:t>
      </w:r>
      <w:r>
        <w:rPr>
          <w:rFonts w:hint="eastAsia"/>
          <w:color w:val="000000"/>
        </w:rPr>
        <w:t>“</w:t>
      </w:r>
      <w:r>
        <w:rPr>
          <w:color w:val="000000"/>
        </w:rPr>
        <w:t>三农</w:t>
      </w:r>
      <w:r>
        <w:rPr>
          <w:rFonts w:hint="eastAsia"/>
          <w:color w:val="000000"/>
        </w:rPr>
        <w:t>”</w:t>
      </w:r>
      <w:r>
        <w:rPr>
          <w:color w:val="000000"/>
        </w:rPr>
        <w:t>，造就适应农业现代化建设需要的创新应用型高级专门人才。科学构建人才的知识和能力结构，体现</w:t>
      </w:r>
      <w:r>
        <w:rPr>
          <w:rFonts w:hint="eastAsia"/>
          <w:color w:val="000000"/>
        </w:rPr>
        <w:t>“</w:t>
      </w:r>
      <w:r>
        <w:rPr>
          <w:color w:val="000000"/>
        </w:rPr>
        <w:t>厚基础、广适应、强能力、高素质、专业化</w:t>
      </w:r>
      <w:r>
        <w:rPr>
          <w:rFonts w:hint="eastAsia"/>
          <w:color w:val="000000"/>
        </w:rPr>
        <w:t>”</w:t>
      </w:r>
      <w:r>
        <w:rPr>
          <w:color w:val="000000"/>
        </w:rPr>
        <w:t>，重视基础知识和实践能力的同步提高，增强毕业生的就业能力和创新创业能力。毕业生就业是高校人才培养的末端环节，也是衡量高校人才培养质量的重要指标。多年来，园艺科学与工程学院依托园艺学的国内一流学科优势，始终坚持将学生就业工作作为重要民生工程去全力推进，作为反馈生源选拔、教学改革、人才培养的重要依据去系统思考，作为学生需求、单位需求、社会需求的综合反映去科学研判，按照《山东农业大学关于切实做好2020年毕业生就业工作的意见》的文件要求，牢记主体责任，建章立制、多措并举，广泛发动教师力量参与，全力强化学生主角意识构建，建立了</w:t>
      </w:r>
      <w:r>
        <w:rPr>
          <w:rFonts w:hint="eastAsia"/>
          <w:color w:val="000000"/>
        </w:rPr>
        <w:t>“</w:t>
      </w:r>
      <w:r>
        <w:rPr>
          <w:color w:val="000000"/>
        </w:rPr>
        <w:t>全员参与、层级负责、目标管理</w:t>
      </w:r>
      <w:r>
        <w:rPr>
          <w:rFonts w:hint="eastAsia"/>
          <w:color w:val="000000"/>
        </w:rPr>
        <w:t>”</w:t>
      </w:r>
      <w:r>
        <w:rPr>
          <w:color w:val="000000"/>
        </w:rPr>
        <w:t>的全员就业工作格局。</w:t>
      </w:r>
      <w:bookmarkStart w:id="267" w:name="_Hlk118183033"/>
      <w:r>
        <w:rPr>
          <w:color w:val="000000"/>
        </w:rPr>
        <w:t>毕业生就业工作成效显著</w:t>
      </w:r>
      <w:r>
        <w:rPr>
          <w:color w:val="000000" w:themeColor="text1"/>
          <w14:textFill>
            <w14:solidFill>
              <w14:schemeClr w14:val="tx1"/>
            </w14:solidFill>
          </w14:textFill>
        </w:rPr>
        <w:t>。2022届园艺专业毕业生总体就业率达到86.02 %，考研率61.8%，有 11个宿舍整体考取研究生，就业专业对口率95%以上，就业单位与社会对本专业学生有良好的评价。</w:t>
      </w:r>
    </w:p>
    <w:bookmarkEnd w:id="267"/>
    <w:p>
      <w:pPr>
        <w:pStyle w:val="5"/>
        <w:spacing w:before="93" w:after="93"/>
        <w:ind w:firstLine="560"/>
      </w:pPr>
      <w:r>
        <w:t>六、</w:t>
      </w:r>
      <w:bookmarkStart w:id="268" w:name="_Hlk118183119"/>
      <w:r>
        <w:t>毕业生就业创业（创业情况、采取的措施、典型案例等）</w:t>
      </w:r>
    </w:p>
    <w:p>
      <w:pPr>
        <w:ind w:firstLine="480"/>
        <w:rPr>
          <w:color w:val="000000"/>
        </w:rPr>
      </w:pPr>
      <w:bookmarkStart w:id="269" w:name="_Hlk84340345"/>
      <w:r>
        <w:rPr>
          <w:color w:val="000000"/>
        </w:rPr>
        <w:t>学院十分重视大学生创新创业教育，2021-2022学年，新上大学生创新创业计划项目3项，其中国家级2项，省级1项；新上省级创新创业计划项目3项；在中国国际互联网+创新创业比赛中获得省级金奖2项，铜奖2项。2022年，学院首批公费农科生共30名同学顺利毕业，奔赴全省县域农村基层，为基层农技推广队伍注入新鲜血液，服务乡村振兴。</w:t>
      </w:r>
    </w:p>
    <w:bookmarkEnd w:id="268"/>
    <w:bookmarkEnd w:id="269"/>
    <w:p>
      <w:pPr>
        <w:pStyle w:val="5"/>
        <w:spacing w:before="93" w:after="93"/>
        <w:ind w:firstLine="560"/>
      </w:pPr>
      <w:r>
        <w:t>七、专业发展趋势及建议</w:t>
      </w:r>
    </w:p>
    <w:p>
      <w:pPr>
        <w:ind w:firstLine="480"/>
        <w:rPr>
          <w:color w:val="000000"/>
        </w:rPr>
      </w:pPr>
      <w:r>
        <w:rPr>
          <w:color w:val="000000"/>
        </w:rPr>
        <w:t>1.社会对园艺人才的需求呈现出多样化与特色化趋势，要求我们应进一步完善园艺专业特色化人才培养模式，达到学校四型人才培养的要求。</w:t>
      </w:r>
    </w:p>
    <w:p>
      <w:pPr>
        <w:ind w:firstLine="480"/>
        <w:rPr>
          <w:color w:val="000000"/>
        </w:rPr>
      </w:pPr>
      <w:r>
        <w:rPr>
          <w:color w:val="000000"/>
        </w:rPr>
        <w:t>2.培养模式和课程体系还不能适应新农科建设与专业认证的要求，需要根据一流专业建设，新农科建设的需要优化课程体系，更新课程内容，提高课程质量，建设一流课程。</w:t>
      </w:r>
    </w:p>
    <w:p>
      <w:pPr>
        <w:ind w:firstLine="480"/>
        <w:rPr>
          <w:color w:val="000000"/>
        </w:rPr>
      </w:pPr>
      <w:r>
        <w:rPr>
          <w:color w:val="000000"/>
        </w:rPr>
        <w:t>3.随着社会经济的发展，园艺产业在品种、栽培模式与组织经营方式等方面更新换代加快，现有的实训条件不能满足高质量园艺人才的需要，必须根据园艺科研与产业新的发展形势更新完善实训条件。</w:t>
      </w:r>
    </w:p>
    <w:p>
      <w:pPr>
        <w:ind w:firstLine="480"/>
        <w:rPr>
          <w:color w:val="000000"/>
        </w:rPr>
      </w:pPr>
      <w:r>
        <w:rPr>
          <w:color w:val="000000"/>
        </w:rPr>
        <w:t>4.产学研与社会服务的管理运行机制尚待进一步完善。目前园艺学院已初步建立了一批与行业紧密联系的高质量、稳定的校外实习基地，但对于高校与行业和地方合作办学的途径，以及提高人才实践能力培养的机制需要进一步探索完善。</w:t>
      </w:r>
    </w:p>
    <w:p>
      <w:pPr>
        <w:pStyle w:val="5"/>
        <w:spacing w:before="93" w:after="93"/>
        <w:ind w:firstLine="560"/>
      </w:pPr>
      <w:r>
        <w:t>八、存在的问题及整改措施</w:t>
      </w:r>
    </w:p>
    <w:p>
      <w:pPr>
        <w:ind w:firstLine="480"/>
        <w:rPr>
          <w:color w:val="000000"/>
        </w:rPr>
      </w:pPr>
      <w:r>
        <w:rPr>
          <w:color w:val="000000"/>
        </w:rPr>
        <w:t>新农科建设对专业人才培养提出了更高的要求，未来应结合一流专业建设，不断优化人才培养模式，打造金课，培育更多的国家与省级一流课程。</w:t>
      </w:r>
    </w:p>
    <w:p>
      <w:pPr>
        <w:ind w:firstLine="480"/>
        <w:rPr>
          <w:color w:val="000000"/>
        </w:rPr>
      </w:pPr>
      <w:r>
        <w:rPr>
          <w:color w:val="000000"/>
        </w:rPr>
        <w:t>专业课程建设中实践教学与理论教学相比还有差距，实践教学改革的难度较大，涉及实践教学条件建设及运行机制等多方面的因素，实践教学质量有待进一步提高。学生的创新创业意识以及创业能力有待进一步提高，自主创业学生的比例太低。</w:t>
      </w:r>
    </w:p>
    <w:p>
      <w:pPr>
        <w:ind w:firstLine="480"/>
        <w:rPr>
          <w:color w:val="000000"/>
        </w:rPr>
      </w:pPr>
      <w:r>
        <w:rPr>
          <w:color w:val="000000"/>
        </w:rPr>
        <w:t>改进措施是按照相关要求，根据专业特点，加大投入力度，不断加强本科专业加强实验室、实验基地建设室建设，改革完善实验教学条件。</w:t>
      </w:r>
    </w:p>
    <w:p>
      <w:pPr>
        <w:ind w:firstLine="480"/>
        <w:rPr>
          <w:color w:val="000000"/>
        </w:rPr>
      </w:pPr>
      <w:r>
        <w:rPr>
          <w:color w:val="000000"/>
        </w:rPr>
        <w:t>重视实践教学基地建设模式创新，不断完善校内、外教学实习基地建设，建立科研资源转化为教学资源的管理机制，发挥学科平台对本科人才培养的支撑作用。遴选更多现代化的的园艺产业化龙头企业作为学生的实习、实训与就业、创业基地，切实提高学生的创新创业能力。</w:t>
      </w:r>
    </w:p>
    <w:p>
      <w:pPr>
        <w:ind w:firstLine="480" w:firstLineChars="200"/>
        <w:rPr>
          <w:color w:val="000000" w:themeColor="text1"/>
          <w:szCs w:val="24"/>
          <w14:textFill>
            <w14:solidFill>
              <w14:schemeClr w14:val="tx1"/>
            </w14:solidFill>
          </w14:textFill>
        </w:rPr>
      </w:pP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pPr>
      <w:bookmarkStart w:id="270" w:name="_Toc13604"/>
      <w:r>
        <w:t>专业二十</w:t>
      </w:r>
      <w:r>
        <w:rPr>
          <w:rFonts w:hint="eastAsia"/>
          <w:lang w:val="en-US"/>
        </w:rPr>
        <w:t>四</w:t>
      </w:r>
      <w:r>
        <w:t>：设施农业科学与工程</w:t>
      </w:r>
      <w:bookmarkEnd w:id="270"/>
    </w:p>
    <w:p>
      <w:pPr>
        <w:pStyle w:val="5"/>
        <w:spacing w:before="93" w:after="93"/>
        <w:ind w:firstLine="560"/>
      </w:pPr>
      <w:r>
        <w:t>一、培养目标与规格</w:t>
      </w:r>
    </w:p>
    <w:p>
      <w:pPr>
        <w:ind w:firstLine="480"/>
      </w:pPr>
      <w:r>
        <w:t>本专业旨在培养具有一定人文科学素养、农业基础知识、计算机和外语应用技能，掌握坚实的农业生物学、工程学和生态学基础理论及系统的农业设施设计建造、设施环境调控、设施植物生产等知识与技能，能在设施农业相关部门或单位从事设施结构设计与建造、设施环境调控技术与装备开发、设施作物种植与经营管理，以及设施农业科学与工程领域教学、科研、技术推广等工作的高素质创新性、专业型人才。</w:t>
      </w:r>
    </w:p>
    <w:p>
      <w:pPr>
        <w:pStyle w:val="5"/>
        <w:spacing w:before="93" w:after="93"/>
        <w:ind w:firstLine="560"/>
      </w:pPr>
      <w:r>
        <w:t>二、培养能力（专业基本情况、在校生规模、课程体系、创新创业教育等）</w:t>
      </w:r>
    </w:p>
    <w:p>
      <w:pPr>
        <w:ind w:firstLine="480"/>
      </w:pPr>
      <w:r>
        <w:t>本专业2003年10月经教育部批准设立，依托山东农业大学园艺科学与工程学院，2004年开始招生，2016年列入山东省一流学科（园艺）建设专业，2018年列入山东省教育服务新旧动能转换专业对接产业建设专业，2019年列入山东省一流建设专业，目前已形成从本科教育到硕士、博士教育再到博士后教育的完整培养体系。</w:t>
      </w:r>
    </w:p>
    <w:p>
      <w:pPr>
        <w:ind w:firstLine="480"/>
      </w:pPr>
      <w:r>
        <w:t>设施农业科学与工程专业设置以来，每年招收1-2个班。自2019年（级）开始，实行按植物生产类大类招生，一年后再选择专业。目前该专业2019-2021级在校本科生共有71名，其中2019级25名、2020级20名、2021级26名，2022级学生入校后尚未选择专业。</w:t>
      </w:r>
    </w:p>
    <w:p>
      <w:pPr>
        <w:ind w:firstLine="480"/>
      </w:pPr>
      <w:r>
        <w:t>设施农业科学与工程专业人才培养方案突出</w:t>
      </w:r>
      <w:r>
        <w:rPr>
          <w:rFonts w:hint="eastAsia"/>
        </w:rPr>
        <w:t>“</w:t>
      </w:r>
      <w:r>
        <w:t>厚基础、宽口径、重实践、强能力</w:t>
      </w:r>
      <w:r>
        <w:rPr>
          <w:rFonts w:hint="eastAsia"/>
        </w:rPr>
        <w:t>”</w:t>
      </w:r>
      <w:r>
        <w:t>目标要求，并伴随教育教学实践和经济社会发展对人才需求的变化而不断完善，目前执行的是2018年修订版。该培养方案进一步优化了教育教学体系，制定了通识教育、专业教育、拓展教育三大模块融合的课程体系，创建了课内课外、校内校外、阶段实施、相互交叉的实践教学模式。课程总学分170学分，包括必修课136学分、选修课34学分，其中实验实践课51.8学分，占总学分30.5%。通识课程必修28学分、选修14学分，专业教育课程学科基础课必修51.3学分、专业核心课必修21.7学分，拓展教育课程专业方向课选修18学分、专业拓展课必修3.5学分、学科交叉课必修2学分。该专业核心课程包括：农业设施设计基础、设施建筑材料、工程施工与概预算、温室设计与建造、设施环境与调控、设施果树学、设施蔬菜学、设施花卉学、农业园区规划设计与管理等。按照基础、专业、综合三个层次构建独立的实践教学体系，均为必修，三者学分分别为6.5、8和17，其中，基础实践包括军事训练、劳动、社会实践与调查报告等，专业实践包括设施农业生产认识实习、设施教学实习、课程论文与设计、设施综合实习等，综合实践包括创新创业实践、毕业实习及报告、毕业论文（设计）等。</w:t>
      </w:r>
    </w:p>
    <w:p>
      <w:pPr>
        <w:ind w:firstLine="480"/>
      </w:pPr>
      <w:r>
        <w:t>设施农业科学与工程专业属于应用类专业，在培养过程中注重提高学生创新创业能力。在理论教学和实践教学体系分别开设</w:t>
      </w:r>
      <w:r>
        <w:rPr>
          <w:rFonts w:hint="eastAsia"/>
        </w:rPr>
        <w:t>“</w:t>
      </w:r>
      <w:r>
        <w:t>大学生创新创业教育</w:t>
      </w:r>
      <w:r>
        <w:rPr>
          <w:rFonts w:hint="eastAsia"/>
        </w:rPr>
        <w:t>”</w:t>
      </w:r>
      <w:r>
        <w:t>、</w:t>
      </w:r>
      <w:r>
        <w:rPr>
          <w:rFonts w:hint="eastAsia"/>
        </w:rPr>
        <w:t>“</w:t>
      </w:r>
      <w:r>
        <w:t>大学生就业指导</w:t>
      </w:r>
      <w:r>
        <w:rPr>
          <w:rFonts w:hint="eastAsia"/>
        </w:rPr>
        <w:t>”</w:t>
      </w:r>
      <w:r>
        <w:t>、</w:t>
      </w:r>
      <w:r>
        <w:rPr>
          <w:rFonts w:hint="eastAsia"/>
        </w:rPr>
        <w:t>“</w:t>
      </w:r>
      <w:r>
        <w:t>创新创业实践</w:t>
      </w:r>
      <w:r>
        <w:rPr>
          <w:rFonts w:hint="eastAsia"/>
        </w:rPr>
        <w:t>”</w:t>
      </w:r>
      <w:r>
        <w:t>等课程，并强化社会调查、专业实践、科技创新等实践教学环节，将创新创业教育融入本科生教育全过程。一是充分发挥校内资源优势，为学生创新创业实践创造条件：实施本科生导师制，学生利用课余时间参与专业教师的科研课题，在导师指导下从事科技创新活动；开展丰富多彩的创业教育实践，鼓励大学生参加SRT、</w:t>
      </w:r>
      <w:r>
        <w:rPr>
          <w:rFonts w:hint="eastAsia"/>
        </w:rPr>
        <w:t>“</w:t>
      </w:r>
      <w:r>
        <w:t>挑战杯</w:t>
      </w:r>
      <w:r>
        <w:rPr>
          <w:rFonts w:hint="eastAsia"/>
        </w:rPr>
        <w:t>”</w:t>
      </w:r>
      <w:r>
        <w:t>科技创新竞赛、</w:t>
      </w:r>
      <w:r>
        <w:rPr>
          <w:rFonts w:hint="eastAsia"/>
        </w:rPr>
        <w:t>“</w:t>
      </w:r>
      <w:r>
        <w:t>互联网+</w:t>
      </w:r>
      <w:r>
        <w:rPr>
          <w:rFonts w:hint="eastAsia"/>
        </w:rPr>
        <w:t>”</w:t>
      </w:r>
      <w:r>
        <w:t>创新创业大赛等活动；校内园艺实验站设立大学生青春创业田，专门用于学生模拟创业实践。二是开展校企、校所、校地合作，充分利用社会资源协同育人：开展设施农业名企进校园活动，聘任企业老总为创新创业导师，定期对学生开展创新创业教育，传授创新创业经验；建立校外大学生教学科研实践育人基地，利用寒暑假选派优秀学生到基地顶岗实习和专业训练，全面提升学生创新创业素质。</w:t>
      </w:r>
    </w:p>
    <w:p>
      <w:pPr>
        <w:pStyle w:val="5"/>
        <w:spacing w:before="93" w:after="93"/>
        <w:ind w:firstLine="560"/>
      </w:pPr>
      <w:r>
        <w:t>三、培养条件（教学经费投入、教学设备、教师队伍建设、实习基地、现代教学技术应用等）</w:t>
      </w:r>
    </w:p>
    <w:p>
      <w:pPr>
        <w:ind w:firstLine="480"/>
      </w:pPr>
      <w:r>
        <w:t>本专业依托山东农业大学园艺科学与工程学院，园艺学科拥有园艺学一级学科博士点和博士后科研流动站，果树学为国家级重点学科，蔬菜学为省级重点学科，园艺学科为山东省</w:t>
      </w:r>
      <w:r>
        <w:rPr>
          <w:rFonts w:hint="eastAsia"/>
        </w:rPr>
        <w:t>“</w:t>
      </w:r>
      <w:r>
        <w:t>十三五</w:t>
      </w:r>
      <w:r>
        <w:rPr>
          <w:rFonts w:hint="eastAsia"/>
        </w:rPr>
        <w:t>”</w:t>
      </w:r>
      <w:r>
        <w:t>一流学科和</w:t>
      </w:r>
      <w:r>
        <w:rPr>
          <w:rFonts w:hint="eastAsia"/>
        </w:rPr>
        <w:t>“</w:t>
      </w:r>
      <w:r>
        <w:t>十四五</w:t>
      </w:r>
      <w:r>
        <w:rPr>
          <w:rFonts w:hint="eastAsia"/>
        </w:rPr>
        <w:t>”</w:t>
      </w:r>
      <w:r>
        <w:t>优势特色学科、全国第四轮学科评估B+学科。园艺科学与工程学院拥有国家苹果工程技术研究中心、农业农村部黄淮地区园艺作物生物学与种质创制重点实验室、农业农村部黄淮海设施农业工程科学观测实验站、山东省果蔬优质高效生产协同创新中心、山东省中日设施园艺合作研究中心、山东省中日韩菊花合作研究中心等研发平台，并与其他学院共建作物生物学国家重点实验室、山东省园艺机械与装备重点实验室，与其他单位共建山东省设施蔬菜技术创新中心等科研平台。多年来，学校、学院均非常重视专业教学条件建设，设施、设备较完善。</w:t>
      </w:r>
    </w:p>
    <w:p>
      <w:pPr>
        <w:ind w:firstLine="480"/>
      </w:pPr>
      <w:r>
        <w:t>本专业师资力量主要来于园艺科学与工程学院，部分来于机械与电子工程学院、水利土木工程学院、信息科学与工程学院等相关学院。在设施园艺领域，本年度引进优秀博士2人，入选农业农村部青年农业科研杰出人才1人。为加强设施农业科学与工程专业建设，学院组建设施园艺系，目前该系共有教师10人，其中教授2人、副教授6人，全部教师具有博士学位，专业方向涵盖设施蔬菜、设施果树、设施花卉、设施结构与环境、农业园区规划设计等。</w:t>
      </w:r>
    </w:p>
    <w:p>
      <w:pPr>
        <w:ind w:firstLine="480"/>
      </w:pPr>
      <w:r>
        <w:t>为满足本科生实验实践教学需要，学院在校内设立园艺学实验教学中心，购置了一大批具有国际先进水平的仪器设备，仪器总值超过2200万元。实验教学中心设有设施农业科学与工程专业实验室，由学院统一管理，可随时对学生开放使用。在泮河校区建有园艺实验站，占地200余亩，拥有现代化日光温室20余栋、塑料大棚和网室20余栋，以及人工气候室、根窖等现代化设施，为教学提供了良好条件。此外，学院还先后在北京京鹏温室、山东安信种苗、济南伟丽种业、东营双福花卉、寿光蔬菜产业集团等单位建立校外教学实践基地20余处，为设施农业科学与工程专业实践教学奠定了良好基础。</w:t>
      </w:r>
    </w:p>
    <w:p>
      <w:pPr>
        <w:ind w:firstLine="480"/>
      </w:pPr>
      <w:r>
        <w:t>不断加强设施农业科学与工程专业教育教学方法研究。本年度，专业教师先后承担教育部产学合作协同育人项目</w:t>
      </w:r>
      <w:r>
        <w:rPr>
          <w:rFonts w:hint="eastAsia"/>
        </w:rPr>
        <w:t>“</w:t>
      </w:r>
      <w:r>
        <w:t>《设施花卉学》课程思政建设探索</w:t>
      </w:r>
      <w:r>
        <w:rPr>
          <w:rFonts w:hint="eastAsia"/>
        </w:rPr>
        <w:t>”</w:t>
      </w:r>
      <w:r>
        <w:t>、校级教改项目</w:t>
      </w:r>
      <w:r>
        <w:rPr>
          <w:rFonts w:hint="eastAsia"/>
        </w:rPr>
        <w:t>“</w:t>
      </w:r>
      <w:r>
        <w:t>新农科新工科融合形势下设施建筑材料专业课程的整合优化与体系创新</w:t>
      </w:r>
      <w:r>
        <w:rPr>
          <w:rFonts w:hint="eastAsia"/>
        </w:rPr>
        <w:t>”</w:t>
      </w:r>
      <w:r>
        <w:t>等多项课题。大力推进教育教学方法改革，加大现代教学技术的研发和应用，《工厂化育苗原理与技术》、《设施环境与调控》等被评为校级一流课程，有多门课程实现了线上线下结合教学模式。</w:t>
      </w:r>
    </w:p>
    <w:p>
      <w:pPr>
        <w:pStyle w:val="5"/>
        <w:spacing w:before="93" w:after="93"/>
        <w:ind w:firstLine="560"/>
      </w:pPr>
      <w:r>
        <w:t>四、培养机制与特色（产学研协同育人机制、合作办学、教学管理等）</w:t>
      </w:r>
    </w:p>
    <w:p>
      <w:pPr>
        <w:ind w:firstLine="480"/>
      </w:pPr>
      <w:r>
        <w:t>以满足社会对设施农业科学与工程专业的人才需求为出发点，以提高人才培养质量为目标，秉持</w:t>
      </w:r>
      <w:r>
        <w:rPr>
          <w:rFonts w:hint="eastAsia"/>
        </w:rPr>
        <w:t>“</w:t>
      </w:r>
      <w:r>
        <w:t>以本为本</w:t>
      </w:r>
      <w:r>
        <w:rPr>
          <w:rFonts w:hint="eastAsia"/>
        </w:rPr>
        <w:t>”</w:t>
      </w:r>
      <w:r>
        <w:t>、</w:t>
      </w:r>
      <w:r>
        <w:rPr>
          <w:rFonts w:hint="eastAsia"/>
        </w:rPr>
        <w:t>“</w:t>
      </w:r>
      <w:r>
        <w:t>全面质量管理</w:t>
      </w:r>
      <w:r>
        <w:rPr>
          <w:rFonts w:hint="eastAsia"/>
        </w:rPr>
        <w:t>”</w:t>
      </w:r>
      <w:r>
        <w:t>教育理念，不断健全设施农业科学与工程本科专业教育教学体系，形成了相对完善的培养机制和育人特色。</w:t>
      </w:r>
    </w:p>
    <w:p>
      <w:pPr>
        <w:ind w:firstLine="480"/>
      </w:pPr>
      <w:r>
        <w:t>统筹推进校地、校所、校企育人要素和创新资源共享互动，实现了行业优质资源转化为教学资源、行业特色转化为专业特色，建立了产学研协同、学科与专业一体化建设的育人机制。推进实践教学改革，形成了</w:t>
      </w:r>
      <w:r>
        <w:rPr>
          <w:rFonts w:hint="eastAsia"/>
        </w:rPr>
        <w:t>“</w:t>
      </w:r>
      <w:r>
        <w:t>课内课外、校内校外、分段实施、交叉融合的</w:t>
      </w:r>
      <w:r>
        <w:rPr>
          <w:rFonts w:hint="eastAsia"/>
        </w:rPr>
        <w:t>“</w:t>
      </w:r>
      <w:r>
        <w:t>三三式</w:t>
      </w:r>
      <w:r>
        <w:rPr>
          <w:rFonts w:hint="eastAsia"/>
        </w:rPr>
        <w:t>”</w:t>
      </w:r>
      <w:r>
        <w:t>实践教学体系。学校、学院通过与地方政府、农业科研院所、农业科技园区、设施农业企业等共建校外科技创新平台和教学实践基地，不断创新完善产、学、研一体化协同育人机制。近年来，以农业农村部现代农业产业技术体系为纽带，不断探索教育系统与农业系统协同育人体制，通过加强学校与农业农村部现代农业产业技术体系综合试验站的联系，合作共建一批与行业结合紧密、硬件设施完备、师资力量强大的校外教学实践基地，共同探索农业高校与农业行业合作办学新途径。</w:t>
      </w:r>
    </w:p>
    <w:p>
      <w:pPr>
        <w:ind w:firstLine="480"/>
      </w:pPr>
      <w:r>
        <w:t>进一步完善教学管理制度，构建</w:t>
      </w:r>
      <w:r>
        <w:rPr>
          <w:rFonts w:hint="eastAsia"/>
        </w:rPr>
        <w:t>“</w:t>
      </w:r>
      <w:r>
        <w:t>全员、全过程、全方位、多层次、立体化</w:t>
      </w:r>
      <w:r>
        <w:rPr>
          <w:rFonts w:hint="eastAsia"/>
        </w:rPr>
        <w:t>”</w:t>
      </w:r>
      <w:r>
        <w:t>质量监控体系。按照</w:t>
      </w:r>
      <w:r>
        <w:rPr>
          <w:rFonts w:hint="eastAsia"/>
        </w:rPr>
        <w:t>“</w:t>
      </w:r>
      <w:r>
        <w:t>前期宽口径厚基础，后期定方向强专业</w:t>
      </w:r>
      <w:r>
        <w:rPr>
          <w:rFonts w:hint="eastAsia"/>
        </w:rPr>
        <w:t>”</w:t>
      </w:r>
      <w:r>
        <w:t>要求，不断修订完善专业人才培养方案。落实教授为本科生上课制、新进教师导师制、听课制、集体教研活动制等制度，为学生提供高质量的师资保障。强化教学督导组督导、学生和同行评价等教学过程管理，实行教学事故一票否决、教学质量与考核评聘挂钩等制度，让教师将更多的精力投入到教学工作中。加强学生学习过程管理，实施学业导师制，严肃课堂纪律，严格考试管理。</w:t>
      </w:r>
    </w:p>
    <w:p>
      <w:pPr>
        <w:pStyle w:val="5"/>
        <w:spacing w:before="93" w:after="93"/>
        <w:ind w:firstLine="560"/>
      </w:pPr>
      <w:r>
        <w:t>五、培养质量（毕业生就业率、就业专业对口率、毕业生发展情况、就业单位满意率、社会对专业的评价、学生就读该专业的意愿等）</w:t>
      </w:r>
    </w:p>
    <w:p>
      <w:pPr>
        <w:ind w:firstLine="480"/>
      </w:pPr>
      <w:r>
        <w:t>设施农业科学与工程专业人才培养目标面向设施农业产业和经济社会发展需求，服务</w:t>
      </w:r>
      <w:r>
        <w:rPr>
          <w:rFonts w:hint="eastAsia"/>
        </w:rPr>
        <w:t>“</w:t>
      </w:r>
      <w:r>
        <w:t>三农</w:t>
      </w:r>
      <w:r>
        <w:rPr>
          <w:rFonts w:hint="eastAsia"/>
        </w:rPr>
        <w:t>”</w:t>
      </w:r>
      <w:r>
        <w:t>，始终将人才培养质量放在重中之重位置，通过多管齐下、多措并举，有效提升了人才培养质量。本专业2018-2021届毕业生当年平均就业率超过90%、考研率超过45%。2022届毕业生共16人，其中省内生源10人，省外6人，截止8月31日，就业率87.5 %，考研率43.75%，就业者专业对口率达85%以上。</w:t>
      </w:r>
    </w:p>
    <w:p>
      <w:pPr>
        <w:ind w:firstLine="480"/>
      </w:pPr>
      <w:r>
        <w:t>通过走访、调查和校友会信息反馈，就业单位和社会对本专业毕业生评价良好。深造院校和用人单位均表示，该专业毕业生勤奋好学、吃苦耐劳、专业知识扎实、综合素质较高、社会适应能力较强。用人单位评价毕业生的业务素质，</w:t>
      </w:r>
      <w:r>
        <w:rPr>
          <w:rFonts w:hint="eastAsia"/>
        </w:rPr>
        <w:t>“</w:t>
      </w:r>
      <w:r>
        <w:t>非常好</w:t>
      </w:r>
      <w:r>
        <w:rPr>
          <w:rFonts w:hint="eastAsia"/>
        </w:rPr>
        <w:t>”</w:t>
      </w:r>
      <w:r>
        <w:t>占30％，</w:t>
      </w:r>
      <w:r>
        <w:rPr>
          <w:rFonts w:hint="eastAsia"/>
        </w:rPr>
        <w:t>“</w:t>
      </w:r>
      <w:r>
        <w:t>较好</w:t>
      </w:r>
      <w:r>
        <w:rPr>
          <w:rFonts w:hint="eastAsia"/>
        </w:rPr>
        <w:t>”</w:t>
      </w:r>
      <w:r>
        <w:t>占60％，总体评价：</w:t>
      </w:r>
      <w:r>
        <w:rPr>
          <w:rFonts w:hint="eastAsia"/>
        </w:rPr>
        <w:t>“</w:t>
      </w:r>
      <w:r>
        <w:t>业务素质高，动手能力强，关键时候顶得上，长远发展留得住</w:t>
      </w:r>
      <w:r>
        <w:rPr>
          <w:rFonts w:hint="eastAsia"/>
        </w:rPr>
        <w:t>”</w:t>
      </w:r>
      <w:r>
        <w:t>。到企事业单位就职的学生，毕业5-10年后升职到中层管理或技术岗位的约占60%以上，毕业生对该专业的个人满意度也较高。</w:t>
      </w:r>
    </w:p>
    <w:p>
      <w:pPr>
        <w:pStyle w:val="5"/>
        <w:spacing w:before="93" w:after="93"/>
        <w:ind w:firstLine="560"/>
      </w:pPr>
      <w:r>
        <w:t>六、毕业生就业创业（创业情况、采取的措施、典型案例等）</w:t>
      </w:r>
    </w:p>
    <w:p>
      <w:pPr>
        <w:ind w:firstLine="480"/>
      </w:pPr>
      <w:r>
        <w:t>设施农业科学与工程专业在人才培养过程中，始终秉承</w:t>
      </w:r>
      <w:r>
        <w:rPr>
          <w:rFonts w:hint="eastAsia"/>
        </w:rPr>
        <w:t>“</w:t>
      </w:r>
      <w:r>
        <w:t>学用结合、学以实为贵</w:t>
      </w:r>
      <w:r>
        <w:rPr>
          <w:rFonts w:hint="eastAsia"/>
        </w:rPr>
        <w:t>”</w:t>
      </w:r>
      <w:r>
        <w:t>的办学理念，强化实践育人，通过创新产学研协同育人机制，创立</w:t>
      </w:r>
      <w:r>
        <w:rPr>
          <w:rFonts w:hint="eastAsia"/>
        </w:rPr>
        <w:t>“</w:t>
      </w:r>
      <w:r>
        <w:t>课内课外、校内校外、分段实施、交叉融合</w:t>
      </w:r>
      <w:r>
        <w:rPr>
          <w:rFonts w:hint="eastAsia"/>
        </w:rPr>
        <w:t>”</w:t>
      </w:r>
      <w:r>
        <w:t>实践教学模式，构建</w:t>
      </w:r>
      <w:r>
        <w:rPr>
          <w:rFonts w:hint="eastAsia"/>
        </w:rPr>
        <w:t>“</w:t>
      </w:r>
      <w:r>
        <w:t>三三式</w:t>
      </w:r>
      <w:r>
        <w:rPr>
          <w:rFonts w:hint="eastAsia"/>
        </w:rPr>
        <w:t>”</w:t>
      </w:r>
      <w:r>
        <w:t>实践教学体系，提高学生创新创业技能。采取的措施具体可概括为</w:t>
      </w:r>
      <w:r>
        <w:rPr>
          <w:rFonts w:hint="eastAsia"/>
        </w:rPr>
        <w:t>“</w:t>
      </w:r>
      <w:r>
        <w:t>三结合</w:t>
      </w:r>
      <w:r>
        <w:rPr>
          <w:rFonts w:hint="eastAsia"/>
        </w:rPr>
        <w:t>”</w:t>
      </w:r>
      <w:r>
        <w:t>、</w:t>
      </w:r>
      <w:r>
        <w:rPr>
          <w:rFonts w:hint="eastAsia"/>
        </w:rPr>
        <w:t>“</w:t>
      </w:r>
      <w:r>
        <w:t>三层次</w:t>
      </w:r>
      <w:r>
        <w:rPr>
          <w:rFonts w:hint="eastAsia"/>
        </w:rPr>
        <w:t>”</w:t>
      </w:r>
      <w:r>
        <w:t>、</w:t>
      </w:r>
      <w:r>
        <w:rPr>
          <w:rFonts w:hint="eastAsia"/>
        </w:rPr>
        <w:t>“</w:t>
      </w:r>
      <w:r>
        <w:t>三阶段</w:t>
      </w:r>
      <w:r>
        <w:rPr>
          <w:rFonts w:hint="eastAsia"/>
        </w:rPr>
        <w:t>”</w:t>
      </w:r>
      <w:r>
        <w:t>。</w:t>
      </w:r>
    </w:p>
    <w:p>
      <w:pPr>
        <w:ind w:firstLine="480"/>
      </w:pPr>
      <w:r>
        <w:rPr>
          <w:rFonts w:hint="eastAsia"/>
        </w:rPr>
        <w:t>“</w:t>
      </w:r>
      <w:r>
        <w:t>三结合</w:t>
      </w:r>
      <w:r>
        <w:rPr>
          <w:rFonts w:hint="eastAsia"/>
        </w:rPr>
        <w:t>”</w:t>
      </w:r>
      <w:r>
        <w:t>，即教学与科研结合、教学与生产结合、教学与社会实践结合。教学与科研结合，就是学生利用课余时间参与教师承担的科研课题，从中学习专业知识技能与科研方法；教学与生产结合，就是把教学与专业实践结合，让学生在生产实践中掌握专业知识和技能；教学与社会实践结合，就是让学生走出校门，开展社会调查和社会服务，学习专业知识，提高应用能力。</w:t>
      </w:r>
      <w:r>
        <w:rPr>
          <w:rFonts w:hint="eastAsia"/>
        </w:rPr>
        <w:t>“</w:t>
      </w:r>
      <w:r>
        <w:t>三层次</w:t>
      </w:r>
      <w:r>
        <w:rPr>
          <w:rFonts w:hint="eastAsia"/>
        </w:rPr>
        <w:t>”</w:t>
      </w:r>
      <w:r>
        <w:t>，即按照基础实践、专业实践、综合实践三个层次设计实践教学内容。基础实践包括军事训练、劳动课、社会调查等，专业实践包括认知实习、教学实习、课程论文（设计）、科研训练等，综合实践包括创新创业实践、毕业实习、毕业论文（设计）等。</w:t>
      </w:r>
      <w:r>
        <w:rPr>
          <w:rFonts w:hint="eastAsia"/>
        </w:rPr>
        <w:t>“</w:t>
      </w:r>
      <w:r>
        <w:t>三阶段</w:t>
      </w:r>
      <w:r>
        <w:rPr>
          <w:rFonts w:hint="eastAsia"/>
        </w:rPr>
        <w:t>”</w:t>
      </w:r>
      <w:r>
        <w:t>，即把培养过程划分为校内</w:t>
      </w:r>
      <w:r>
        <w:rPr>
          <w:rFonts w:hint="eastAsia"/>
        </w:rPr>
        <w:t>“</w:t>
      </w:r>
      <w:r>
        <w:t>基础阶段</w:t>
      </w:r>
      <w:r>
        <w:rPr>
          <w:rFonts w:hint="eastAsia"/>
        </w:rPr>
        <w:t>”</w:t>
      </w:r>
      <w:r>
        <w:t>、校内教学基地</w:t>
      </w:r>
      <w:r>
        <w:rPr>
          <w:rFonts w:hint="eastAsia"/>
        </w:rPr>
        <w:t>“</w:t>
      </w:r>
      <w:r>
        <w:t>课内外结合阶段</w:t>
      </w:r>
      <w:r>
        <w:rPr>
          <w:rFonts w:hint="eastAsia"/>
        </w:rPr>
        <w:t>”</w:t>
      </w:r>
      <w:r>
        <w:t>、校外教学基地</w:t>
      </w:r>
      <w:r>
        <w:rPr>
          <w:rFonts w:hint="eastAsia"/>
        </w:rPr>
        <w:t>“</w:t>
      </w:r>
      <w:r>
        <w:t>与生产实践结合阶段</w:t>
      </w:r>
      <w:r>
        <w:rPr>
          <w:rFonts w:hint="eastAsia"/>
        </w:rPr>
        <w:t>”</w:t>
      </w:r>
      <w:r>
        <w:t>。</w:t>
      </w:r>
    </w:p>
    <w:p>
      <w:pPr>
        <w:ind w:firstLine="480"/>
      </w:pPr>
      <w:r>
        <w:t>具体做法，一是实施导师制，为每名本科生配备1名专业教师，负责专业思想教育、学业规划指导、职业生涯设计、创新创业培养等工作，指导开展专业实践和科研训练。二是积极组织学生参加SRT、</w:t>
      </w:r>
      <w:r>
        <w:rPr>
          <w:rFonts w:hint="eastAsia"/>
        </w:rPr>
        <w:t>“</w:t>
      </w:r>
      <w:r>
        <w:t>挑战杯</w:t>
      </w:r>
      <w:r>
        <w:rPr>
          <w:rFonts w:hint="eastAsia"/>
        </w:rPr>
        <w:t>”</w:t>
      </w:r>
      <w:r>
        <w:t>科技创新竞赛、</w:t>
      </w:r>
      <w:r>
        <w:rPr>
          <w:rFonts w:hint="eastAsia"/>
        </w:rPr>
        <w:t>“</w:t>
      </w:r>
      <w:r>
        <w:t>互联网+</w:t>
      </w:r>
      <w:r>
        <w:rPr>
          <w:rFonts w:hint="eastAsia"/>
        </w:rPr>
        <w:t>”</w:t>
      </w:r>
      <w:r>
        <w:t>创新创业大赛等科技创新活动，设立校内青春创业试验田，实行模拟承包制，提高学生创新创业本领。三是不定期举办创新创业论坛，通过</w:t>
      </w:r>
      <w:r>
        <w:rPr>
          <w:rFonts w:hint="eastAsia"/>
        </w:rPr>
        <w:t>“</w:t>
      </w:r>
      <w:r>
        <w:t>名企进校园</w:t>
      </w:r>
      <w:r>
        <w:rPr>
          <w:rFonts w:hint="eastAsia"/>
        </w:rPr>
        <w:t>”</w:t>
      </w:r>
      <w:r>
        <w:t>、</w:t>
      </w:r>
      <w:r>
        <w:rPr>
          <w:rFonts w:hint="eastAsia"/>
        </w:rPr>
        <w:t>“</w:t>
      </w:r>
      <w:r>
        <w:t>校友创业事迹报告会</w:t>
      </w:r>
      <w:r>
        <w:rPr>
          <w:rFonts w:hint="eastAsia"/>
        </w:rPr>
        <w:t>”</w:t>
      </w:r>
      <w:r>
        <w:t>等形式，传授创业经验，增强学生专业自信和创新创业意识；四是统筹推进校地、校所、校企合作，积极拓展校外教学实践育人基地，为创新创业教育提供场所。近年来，设施农业科学与工程专业不断拓展校企、校地、校所合作广度和深度，探索形成了产教融合、互融共促、互惠共赢的协同育人模式，结出了丰硕成果。</w:t>
      </w:r>
    </w:p>
    <w:p>
      <w:pPr>
        <w:ind w:firstLine="480"/>
      </w:pPr>
      <w:r>
        <w:t>通过创新完善实践育人模式，学生创新创业能力得到明显提升。2022届毕业生中，刘胜钧同学立志学农爱农，毕业后选择西部计划，回到家乡贵州用所学知识服务当地农业发展；陈梦飞、王熠同学立志从戎报国，完成学业后毅然参军入伍，到祖国最需要地方用青春书写荣光。</w:t>
      </w:r>
    </w:p>
    <w:p>
      <w:pPr>
        <w:pStyle w:val="5"/>
        <w:spacing w:before="93" w:after="93"/>
        <w:ind w:firstLine="560"/>
      </w:pPr>
      <w:r>
        <w:t>七、专业发展趋势及建议</w:t>
      </w:r>
    </w:p>
    <w:p>
      <w:pPr>
        <w:ind w:firstLine="480"/>
      </w:pPr>
      <w:r>
        <w:t>设施农业是现代农业的重要标志，代表未来农业发展方向。我国设施农业生产规模和产量均居世界首位，为满足农产品周年供应和消费者多元化需求发挥了不可替代的作用，也成为新时代农民脱贫致富与乡村振兴的支柱产业。但与发达国家相比，我国设施农业在生产水平和产品质量等方面仍存在较大差距，尤其表现为从业人员素质低、专业化人才严重不足、自主创新能力弱。现阶段，我国设施农业正由粗放型向集约型和质量效益型转变。尤其近年来，国家对设施农业高度重视，大量社会资本投向设施农业，为设施农业发展带来了强大动力，加快了产业提档升级和现代化进程。实现设施农业高质量快速发展，迫切需要一大批掌握现代设施农业科学与技术的高素质人才。与此同时，设施农业是生物、环境、工程等多学科交叉融合的新兴学科，是多种高新技术集聚的平台，如计算机控制、物联网、生物技术、物理化学技术、新材料、新能源等，将来设施农业与相关学科关系越来越紧密，仅掌握某一学科的知识与技能，难以满足设施农业未来发展需求。</w:t>
      </w:r>
    </w:p>
    <w:p>
      <w:pPr>
        <w:ind w:firstLine="480"/>
      </w:pPr>
      <w:r>
        <w:t>目前，全国约有40余所高校设立设施农业科学与工程本科专业，其中以农业院校为主，主要依托这些院校的园艺学科，部分依托农业工程学科、资源环境学科等。由于大多数高校属于地方院校，因此专业定位主要立足当地资源优势，服务区域产业和经济社会发展，体现了一定的地域特性。另一方面，尽管各高校在制定专业教学计划和人才培养方案时都考虑到学科交叉的特点，但由于师资力量、场地条件等限制，课程设置更多侧重设施种植领域，环境工程方向薄弱，设施养殖方面更少，因此造成本专业毕业生知识面较窄，与社会对人才需求存在一定偏差。</w:t>
      </w:r>
    </w:p>
    <w:p>
      <w:pPr>
        <w:ind w:firstLine="480"/>
      </w:pPr>
      <w:r>
        <w:t>山东是我国的设施农业大省，对全国设施农业发展具有引领和示范带动作用，以服务区域经济社会发展为目标，结合我校实际，提出2点专业发展建议：</w:t>
      </w:r>
    </w:p>
    <w:p>
      <w:pPr>
        <w:ind w:firstLine="480"/>
      </w:pPr>
      <w:r>
        <w:t>（1）未来设施农业必将得到进一步快速发展，尤其高质量发展步伐加快，对专业化高层次人才需求越来越旺盛，必须加大设施农业科学与工程专业人才培养力度，满足社会需求。</w:t>
      </w:r>
    </w:p>
    <w:p>
      <w:pPr>
        <w:ind w:firstLine="480"/>
      </w:pPr>
      <w:r>
        <w:t>（2）目前设施农业科学与工程专业人才培养方案尚不够完善，亟需加强设施设计建造、设施环境调控、设施养殖等方向的专业人才培养能力。</w:t>
      </w:r>
    </w:p>
    <w:p>
      <w:pPr>
        <w:pStyle w:val="5"/>
        <w:spacing w:before="93" w:after="93"/>
        <w:ind w:firstLine="560"/>
      </w:pPr>
      <w:r>
        <w:t>八、存在的问题及拟采取的对策措施</w:t>
      </w:r>
    </w:p>
    <w:p>
      <w:pPr>
        <w:pStyle w:val="6"/>
        <w:ind w:firstLine="480"/>
      </w:pPr>
      <w:r>
        <w:t>1. 学生专业认识不够端正，学习动力不足</w:t>
      </w:r>
    </w:p>
    <w:p>
      <w:pPr>
        <w:ind w:firstLine="480"/>
      </w:pPr>
      <w:r>
        <w:t>设施农业具有广阔发展前景。无论现在和将来，设施农业科学与工程专业人才需求均十分旺盛。但是，由于我国设施农业科学与工程专业设置较晚，社会对本专业的熟悉程度和认知度尚低；另一方面，部分学生将专业、系、学科混为一谈，片面认为我校园艺专业办学实力强于设施农业科学与工程专业，因此出现选专业时向园艺一边倒的现象。此外，受现行教育体制和社会环境影响，大多数学生专业思想淡漠，学习动力不足，制约人才培养质量。</w:t>
      </w:r>
    </w:p>
    <w:p>
      <w:pPr>
        <w:ind w:firstLine="480"/>
      </w:pPr>
      <w:r>
        <w:t>为此，要加强对学生的专业教育，增强学习信心。新生入校后，应积极主动开展工作，向学生介绍学科、专业相关知识，使他们正确认识所学的专业，树立学农爱农思想，强化强农兴农担当；学生培养过程中，要通过社会实践、产业调研、邀请专家和企业家进校作报告、带领学生外出参观实习等途径，让学生了解专业科技和产业发展状况以及对人才需求，增强专业兴趣，提高学习动力。</w:t>
      </w:r>
    </w:p>
    <w:p>
      <w:pPr>
        <w:pStyle w:val="6"/>
        <w:ind w:firstLine="480"/>
      </w:pPr>
      <w:r>
        <w:t>2. 学校教学条件尚不能完全满足人才培养需要</w:t>
      </w:r>
    </w:p>
    <w:p>
      <w:pPr>
        <w:ind w:firstLine="480"/>
      </w:pPr>
      <w:r>
        <w:t>我校设施农业科学与工程专业依托园艺科学与工程学院，虽然园艺学科总体实力强，在全国具有明显优势和竞争力，但和其它兄弟院校一样，工程科学、环境科学方面师资力量不足，高层次人才缺乏。此外，设施农业科学与工程专业理论性和实践性都很强，人才培养要求良好的实验室、温室等场地条件。然而，由于本科生扩招、教学经费不足、土地空间有限等原因，目前校内实验、实习条件仍受到较大制约，难以满足人才培养需要。</w:t>
      </w:r>
    </w:p>
    <w:p>
      <w:pPr>
        <w:ind w:firstLine="480"/>
      </w:pPr>
      <w:r>
        <w:t>为此，一是通过引进来、送出去，强化师资力量。进一步整合学院内部以及机械与电子工程、水利土木工程、信息科学与工程等相关学院教师，承担专业教学任务；采取特事特办、一事一议方法，吸引高水平人才来校工作；选拔部分优秀青年教师，到国内外高校和科研院所进修。二是加大经费投入，改善办学条件。进一步加强校内实习实践基地建设；继续强化校企、校所、校地合作，充分利用社会资源拓展办学空间，弥补校内资源不足。</w:t>
      </w:r>
    </w:p>
    <w:p>
      <w:pPr>
        <w:ind w:firstLine="480"/>
      </w:pP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pPr>
      <w:bookmarkStart w:id="271" w:name="_Toc23968"/>
      <w:r>
        <w:rPr>
          <w:lang w:val="en-US"/>
        </w:rPr>
        <w:t>专业二十</w:t>
      </w:r>
      <w:r>
        <w:rPr>
          <w:rFonts w:hint="eastAsia"/>
          <w:lang w:val="en-US"/>
        </w:rPr>
        <w:t>五</w:t>
      </w:r>
      <w:r>
        <w:rPr>
          <w:lang w:val="en-US"/>
        </w:rPr>
        <w:t>：</w:t>
      </w:r>
      <w:r>
        <w:t>茶学</w:t>
      </w:r>
      <w:bookmarkEnd w:id="271"/>
    </w:p>
    <w:p>
      <w:pPr>
        <w:pStyle w:val="5"/>
        <w:spacing w:before="93" w:after="93"/>
        <w:ind w:firstLine="560"/>
      </w:pPr>
      <w:r>
        <w:t>一、培养目标与规格</w:t>
      </w:r>
    </w:p>
    <w:p>
      <w:pPr>
        <w:ind w:firstLine="480"/>
      </w:pPr>
      <w:r>
        <w:t>立足于现有基础，挖掘现有资源，同时大力补充引进专业人才，进一步培育特色，加强和完善茶学模块的建设和教学。本专业培养</w:t>
      </w:r>
      <w:r>
        <w:rPr>
          <w:rFonts w:hint="eastAsia"/>
        </w:rPr>
        <w:t>“</w:t>
      </w:r>
      <w:r>
        <w:t>德、智、体、美</w:t>
      </w:r>
      <w:r>
        <w:rPr>
          <w:rFonts w:hint="eastAsia"/>
        </w:rPr>
        <w:t>”</w:t>
      </w:r>
      <w:r>
        <w:t>全面发展，具有较广泛的自然科学、人文社会科学知识，具有科学的世界观和方法论，具有较强的外语、计算机应用能力，具备茶学系统理论知识和技能，熟悉国内外茶叶产业和茶叶科技发展现状、趋势以及茶叶标准、技术规范，具有良好的政治思想素养和职业道德规范，毕业后能在农业、工业、商贸等领域或部门从事茶学有关的生产技术应用与推广，产品质量控制、新产品研发与技术创新、产品营销与企业管理、教学与科研等方面工作的高素质创新型、专业型人才。本专业基本学制为4年，学习年限为3-8年，按要求完成学业且符合学位授予条件者授予农学学士学位。</w:t>
      </w:r>
    </w:p>
    <w:p>
      <w:pPr>
        <w:ind w:firstLine="480"/>
      </w:pPr>
      <w:r>
        <w:t>具体分为以下5个子目标：</w:t>
      </w:r>
    </w:p>
    <w:p>
      <w:pPr>
        <w:ind w:firstLine="480"/>
      </w:pPr>
      <w:r>
        <w:t>1. 具备崇高的思想道德修养和强烈的社会责任感，具有宽阔的人文社会科学、自然科学领域的基础知识。</w:t>
      </w:r>
    </w:p>
    <w:p>
      <w:pPr>
        <w:ind w:firstLine="480"/>
      </w:pPr>
      <w:r>
        <w:t>2. 具有扎实的茶学系统基础理论知识和实践能力，掌握茶叶资源开发与利用、茶叶生产与加工、茶树病虫害科学防治等方面的知识与技能。</w:t>
      </w:r>
    </w:p>
    <w:p>
      <w:pPr>
        <w:ind w:firstLine="480"/>
      </w:pPr>
      <w:r>
        <w:t>3. 具备农业可持续发展的意识和基本知识，了解茶学学科前沿和发展趋势，熟悉国家对农业领域和茶叶方向的有关方针、政策和法规。</w:t>
      </w:r>
    </w:p>
    <w:p>
      <w:pPr>
        <w:ind w:firstLine="480"/>
      </w:pPr>
      <w:r>
        <w:t>4. 具有较强的实践能力、创新精神、团队合作意思、管理能力以及国际化视野。</w:t>
      </w:r>
    </w:p>
    <w:p>
      <w:pPr>
        <w:ind w:firstLine="480"/>
      </w:pPr>
      <w:r>
        <w:t>5. 能够在科技、经济、文化和健康等领域从事行政管理、茶叶教学研究、国内外茶叶贸易和文化交流等部门从事工作的高层次专业人才。</w:t>
      </w:r>
    </w:p>
    <w:p>
      <w:pPr>
        <w:pStyle w:val="5"/>
        <w:spacing w:before="93" w:after="93"/>
        <w:ind w:firstLine="560"/>
      </w:pPr>
      <w:r>
        <w:t>二、培养能力（专业基本情况、在校生规模、课程体系、创新创业教育等）</w:t>
      </w:r>
    </w:p>
    <w:p>
      <w:pPr>
        <w:pStyle w:val="6"/>
        <w:ind w:firstLine="480"/>
      </w:pPr>
      <w:r>
        <w:t>1. 专业基本情况</w:t>
      </w:r>
    </w:p>
    <w:p>
      <w:pPr>
        <w:ind w:firstLine="480"/>
      </w:pPr>
      <w:r>
        <w:t>茶学专业创建于上世纪五十年代，是以茶树种植和茶叶加工、流通与消费全产业链为对象，涉及</w:t>
      </w:r>
      <w:r>
        <w:rPr>
          <w:rFonts w:hint="eastAsia"/>
        </w:rPr>
        <w:t>“</w:t>
      </w:r>
      <w:r>
        <w:t>农、工、经、管、文</w:t>
      </w:r>
      <w:r>
        <w:rPr>
          <w:rFonts w:hint="eastAsia"/>
        </w:rPr>
        <w:t>”</w:t>
      </w:r>
      <w:r>
        <w:t>多学科融合应用的我国传统而独具特色的专业。直至今日，世界上仅我国高等院校设有此专业。2012年教育部进行专业调整时将原有茶学专业设为园艺一级学科下的特设专业（代码090107T）。</w:t>
      </w:r>
    </w:p>
    <w:p>
      <w:pPr>
        <w:ind w:firstLine="480"/>
      </w:pPr>
      <w:r>
        <w:t>为适应山东以及北方茶产业发展对茶学专业人才的需求，我校于2002年开始在园艺专业中开设茶学方向，成为江北茶区最早设立茶学本科及以上学历教育的高等院校，填补了山东省茶学高等教育的空白。2012年由山东省教育厅批准单独设立茶学专业，2013年正式招生。经过十多年的发展，茶学系已成为茶学专业人才培养、茶叶科技创新以及技术成果推广的重要基地，学科自成立以来，受到省、市各级领导的高度重视，韩寓群省长、王裕宴副省长、陆懋曾政协主席等领导都曾视察茶学教学科研条件，并与茶学系老师和学生亲切交流。</w:t>
      </w:r>
    </w:p>
    <w:p>
      <w:pPr>
        <w:pStyle w:val="6"/>
        <w:ind w:firstLine="480"/>
      </w:pPr>
      <w:r>
        <w:t>2. 在校生规模</w:t>
      </w:r>
    </w:p>
    <w:p>
      <w:pPr>
        <w:ind w:firstLine="480"/>
      </w:pPr>
      <w:r>
        <w:t>现有在校茶学专业学生（2019－2021级）75人（备注：2022级按园艺大类招生，暂未确定茶学专业人数）。19级茶学班24人，20级茶学班28人，21级茶学班23人。</w:t>
      </w:r>
    </w:p>
    <w:p>
      <w:pPr>
        <w:pStyle w:val="6"/>
        <w:ind w:firstLine="480"/>
      </w:pPr>
      <w:r>
        <w:t>3. 课程体系</w:t>
      </w:r>
    </w:p>
    <w:p>
      <w:pPr>
        <w:ind w:firstLine="480"/>
      </w:pPr>
      <w:r>
        <w:t>茶学研究对象的茶栽培和利用，包括茶树种植业，还包括茶叶加工业、茶叶流通业和茶文化业。我国是世界茶的发源地，也是世界茶园面积第一和产量第一的产茶大国，茶在我国农村是一种重要的经济作物，为我国8000万茶农带来经济收入，同时茶产业还有茶叶加工、茶叶销售、茶文化等产业，整个产业所创造的产值高达570亿元。茶学专业培养具备农业生物科学、食品科学和茶学等方面的基本理论、基本知识和基本技能的人才，主要学习有关茶的品种选育，栽培管理、茶成分保健、加工销售以及茶文化创意等。专业培养出来的人才能在农业、工业、商贸等领域或部门从事与茶学有关的技术与设计、推广与开发、经营与管理、教学与科研等工作的高级技术型人才和应用型人才。</w:t>
      </w:r>
    </w:p>
    <w:p>
      <w:pPr>
        <w:ind w:firstLine="480"/>
      </w:pPr>
      <w:r>
        <w:t>山东农业大学茶学专业以创新、创业高素质专业人才培养为目标，奉行</w:t>
      </w:r>
      <w:r>
        <w:rPr>
          <w:rFonts w:hint="eastAsia"/>
        </w:rPr>
        <w:t>“</w:t>
      </w:r>
      <w:r>
        <w:t>知行合一</w:t>
      </w:r>
      <w:r>
        <w:rPr>
          <w:rFonts w:hint="eastAsia"/>
        </w:rPr>
        <w:t>”</w:t>
      </w:r>
      <w:r>
        <w:t>的理念，注重学生人生观、价值观、科学素质、人文情怀的全面培养。在课程体系构建上，坚持</w:t>
      </w:r>
      <w:r>
        <w:rPr>
          <w:rFonts w:hint="eastAsia"/>
        </w:rPr>
        <w:t>“</w:t>
      </w:r>
      <w:r>
        <w:t>宽厚基础与专业素能并重</w:t>
      </w:r>
      <w:r>
        <w:rPr>
          <w:rFonts w:hint="eastAsia"/>
        </w:rPr>
        <w:t>”</w:t>
      </w:r>
      <w:r>
        <w:t>的原则，不断完善课程体系和实践环节，制定了以自然科学、经营管理学和人文社科等多学科为基础平台，以专业知识和技能为重点，搭建</w:t>
      </w:r>
      <w:r>
        <w:rPr>
          <w:rFonts w:hint="eastAsia"/>
        </w:rPr>
        <w:t>“</w:t>
      </w:r>
      <w:r>
        <w:t>平台加模块</w:t>
      </w:r>
      <w:r>
        <w:rPr>
          <w:rFonts w:hint="eastAsia"/>
        </w:rPr>
        <w:t>”</w:t>
      </w:r>
      <w:r>
        <w:t>的茶学专业课程体系。同时创建了</w:t>
      </w:r>
      <w:r>
        <w:rPr>
          <w:rFonts w:hint="eastAsia"/>
        </w:rPr>
        <w:t>“</w:t>
      </w:r>
      <w:r>
        <w:t>课内课外、校内校外</w:t>
      </w:r>
      <w:r>
        <w:rPr>
          <w:rFonts w:hint="eastAsia"/>
        </w:rPr>
        <w:t>”</w:t>
      </w:r>
      <w:r>
        <w:t>相结合，</w:t>
      </w:r>
      <w:r>
        <w:rPr>
          <w:rFonts w:hint="eastAsia"/>
        </w:rPr>
        <w:t>“</w:t>
      </w:r>
      <w:r>
        <w:t>分阶段、多形式</w:t>
      </w:r>
      <w:r>
        <w:rPr>
          <w:rFonts w:hint="eastAsia"/>
        </w:rPr>
        <w:t>”</w:t>
      </w:r>
      <w:r>
        <w:t>的实践教学模式。</w:t>
      </w:r>
    </w:p>
    <w:p>
      <w:pPr>
        <w:ind w:firstLine="480"/>
      </w:pPr>
      <w:r>
        <w:t>茶学专业总学分为170，专业总学时为2720，实践教学环节学分占总学分比例为28.76%。</w:t>
      </w:r>
    </w:p>
    <w:p>
      <w:pPr>
        <w:ind w:firstLine="480"/>
      </w:pPr>
      <w:r>
        <w:t>通识课程有：《思想道德修养与法律基础》、《马克思主义基本原理》《中国近现代史纲要》、《毛泽东思想和中国特色社会主义理论体系概论》、《大学英语1-4》等。</w:t>
      </w:r>
    </w:p>
    <w:p>
      <w:pPr>
        <w:ind w:firstLine="480"/>
      </w:pPr>
      <w:r>
        <w:t>基础课程有：《高等数学》、《普通化学》、《生物化学》、《植物学》、《遗传学》、《植物学实验》、《植物生理学》等。</w:t>
      </w:r>
    </w:p>
    <w:p>
      <w:pPr>
        <w:ind w:firstLine="480"/>
      </w:pPr>
      <w:r>
        <w:t>专业核心课程有：主要课程包括：茶树育种学、茶树栽培学、茶叶加工学、茶叶审评学、茶叶生物化学、茶树病虫害防治学、茶学实验技术、茶文化学、茶叶综合利用、茶叶市场营销学、茶学研究法、茶艺学、茶馆经营管理、茶叶机械学等</w:t>
      </w:r>
    </w:p>
    <w:p>
      <w:pPr>
        <w:pStyle w:val="6"/>
        <w:ind w:firstLine="480"/>
      </w:pPr>
      <w:r>
        <w:t>4. 创新创业教育</w:t>
      </w:r>
    </w:p>
    <w:p>
      <w:pPr>
        <w:ind w:firstLine="480"/>
      </w:pPr>
      <w:r>
        <w:t>在创新创业教育方面，立足专业和社会需求开展创新创业教育，将创新创业教育纳入人才培养体系，开设了大学生生涯规划、大学生创新创业教育、大学生就业指导等课程。通过系统的创新创业教育，涌现出张守权等一批大学生创新创业之星，引领更多同学投身创业,促进创业带动就业。</w:t>
      </w:r>
    </w:p>
    <w:p>
      <w:pPr>
        <w:ind w:firstLine="480"/>
      </w:pPr>
      <w:r>
        <w:t>本专业学生在读期间，全程实施本科导师制，引导学生利用课余时间积极参科研活动、创业实践和文化创意活动。作物生物学国家重点实验室、山东省中日设施园艺合作研究中心、泰安市茶叶工程技术中心等院系科研实验室、省重点实验室、专业实验室全部面向专业学生开放，学生依托科研实验室进行自主的科研实践（如SRT），依托</w:t>
      </w:r>
      <w:r>
        <w:rPr>
          <w:rFonts w:hint="eastAsia"/>
        </w:rPr>
        <w:t>“</w:t>
      </w:r>
      <w:r>
        <w:t>茶叶加工实验室</w:t>
      </w:r>
      <w:r>
        <w:rPr>
          <w:rFonts w:hint="eastAsia"/>
        </w:rPr>
        <w:t>”</w:t>
      </w:r>
      <w:r>
        <w:t>、</w:t>
      </w:r>
      <w:r>
        <w:rPr>
          <w:rFonts w:hint="eastAsia"/>
        </w:rPr>
        <w:t>“</w:t>
      </w:r>
      <w:r>
        <w:t>大益爱心茶室</w:t>
      </w:r>
      <w:r>
        <w:rPr>
          <w:rFonts w:hint="eastAsia"/>
        </w:rPr>
        <w:t>”</w:t>
      </w:r>
      <w:r>
        <w:t>建立了</w:t>
      </w:r>
      <w:r>
        <w:rPr>
          <w:rFonts w:hint="eastAsia"/>
        </w:rPr>
        <w:t>“</w:t>
      </w:r>
      <w:r>
        <w:t>茗风创业团队</w:t>
      </w:r>
      <w:r>
        <w:rPr>
          <w:rFonts w:hint="eastAsia"/>
        </w:rPr>
        <w:t>”</w:t>
      </w:r>
      <w:r>
        <w:t>、茶馆经营创业实践基地和</w:t>
      </w:r>
      <w:r>
        <w:rPr>
          <w:rFonts w:hint="eastAsia"/>
        </w:rPr>
        <w:t>“</w:t>
      </w:r>
      <w:r>
        <w:t>艺蘅茶艺社</w:t>
      </w:r>
      <w:r>
        <w:rPr>
          <w:rFonts w:hint="eastAsia"/>
        </w:rPr>
        <w:t>”</w:t>
      </w:r>
      <w:r>
        <w:t>茶文化学生社团，为学生在校内进行科研实践、模拟创业和文化创意系列活动提供了有利条件。</w:t>
      </w:r>
      <w:r>
        <w:rPr>
          <w:rFonts w:hint="eastAsia"/>
        </w:rPr>
        <w:t>“</w:t>
      </w:r>
      <w:r>
        <w:t>茗风创业团队</w:t>
      </w:r>
      <w:r>
        <w:rPr>
          <w:rFonts w:hint="eastAsia"/>
        </w:rPr>
        <w:t>”</w:t>
      </w:r>
      <w:r>
        <w:t>获得了2018年</w:t>
      </w:r>
      <w:r>
        <w:rPr>
          <w:rFonts w:hint="eastAsia"/>
        </w:rPr>
        <w:t>“</w:t>
      </w:r>
      <w:r>
        <w:t>创青春</w:t>
      </w:r>
      <w:r>
        <w:rPr>
          <w:rFonts w:hint="eastAsia"/>
        </w:rPr>
        <w:t>”</w:t>
      </w:r>
      <w:r>
        <w:t>大学生创业大赛金奖，</w:t>
      </w:r>
      <w:r>
        <w:rPr>
          <w:rFonts w:hint="eastAsia"/>
        </w:rPr>
        <w:t>“</w:t>
      </w:r>
      <w:r>
        <w:t>小茶人创业团队</w:t>
      </w:r>
      <w:r>
        <w:rPr>
          <w:rFonts w:hint="eastAsia"/>
        </w:rPr>
        <w:t>”</w:t>
      </w:r>
      <w:r>
        <w:t>获得了2018年</w:t>
      </w:r>
      <w:r>
        <w:rPr>
          <w:rFonts w:hint="eastAsia"/>
        </w:rPr>
        <w:t>“</w:t>
      </w:r>
      <w:r>
        <w:t>创青春</w:t>
      </w:r>
      <w:r>
        <w:rPr>
          <w:rFonts w:hint="eastAsia"/>
        </w:rPr>
        <w:t>”</w:t>
      </w:r>
      <w:r>
        <w:t>大学生创业大赛银奖，研发了系列花香型茶糖果，深受市场好评。</w:t>
      </w:r>
    </w:p>
    <w:p>
      <w:pPr>
        <w:ind w:firstLine="480"/>
      </w:pPr>
      <w:r>
        <w:t>通过产学研合作方式，在校外建立有多个科研实践教学基地，选派专业学生到企业实习、训练，全面提高学生的专业技能和综合素质，培养科技创新、实干创业、文化创意的意识和能力。</w:t>
      </w:r>
    </w:p>
    <w:p>
      <w:pPr>
        <w:spacing w:line="240" w:lineRule="auto"/>
        <w:jc w:val="center"/>
        <w:rPr>
          <w:b/>
          <w:bCs/>
          <w:sz w:val="21"/>
          <w:szCs w:val="21"/>
        </w:rPr>
      </w:pPr>
      <w:r>
        <w:rPr>
          <w:b/>
          <w:bCs/>
          <w:sz w:val="21"/>
          <w:szCs w:val="21"/>
        </w:rPr>
        <w:drawing>
          <wp:inline distT="0" distB="0" distL="114300" distR="114300">
            <wp:extent cx="5878195" cy="2105660"/>
            <wp:effectExtent l="0" t="0" r="8255" b="8890"/>
            <wp:docPr id="46" name="图片 5" descr="微信图片_2021102614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descr="微信图片_20211026140325"/>
                    <pic:cNvPicPr>
                      <a:picLocks noChangeAspect="1"/>
                    </pic:cNvPicPr>
                  </pic:nvPicPr>
                  <pic:blipFill>
                    <a:blip r:embed="rId68"/>
                    <a:stretch>
                      <a:fillRect/>
                    </a:stretch>
                  </pic:blipFill>
                  <pic:spPr>
                    <a:xfrm>
                      <a:off x="0" y="0"/>
                      <a:ext cx="5878195" cy="2105660"/>
                    </a:xfrm>
                    <a:prstGeom prst="rect">
                      <a:avLst/>
                    </a:prstGeom>
                    <a:noFill/>
                    <a:ln>
                      <a:noFill/>
                    </a:ln>
                  </pic:spPr>
                </pic:pic>
              </a:graphicData>
            </a:graphic>
          </wp:inline>
        </w:drawing>
      </w:r>
    </w:p>
    <w:p>
      <w:pPr>
        <w:jc w:val="center"/>
        <w:rPr>
          <w:b/>
          <w:bCs/>
          <w:sz w:val="21"/>
          <w:szCs w:val="21"/>
        </w:rPr>
      </w:pPr>
      <w:r>
        <w:rPr>
          <w:b/>
          <w:bCs/>
          <w:sz w:val="21"/>
          <w:szCs w:val="21"/>
        </w:rPr>
        <w:t>茶学专业的科研实践教学平台</w:t>
      </w:r>
    </w:p>
    <w:p>
      <w:pPr>
        <w:pStyle w:val="5"/>
        <w:spacing w:before="93" w:after="93"/>
        <w:ind w:firstLine="560"/>
      </w:pPr>
      <w:r>
        <w:t>三、培养条件（教学经费投入、教学设备、教师队伍建设、实习基地、现代教学技术应用等）</w:t>
      </w:r>
    </w:p>
    <w:p>
      <w:pPr>
        <w:pStyle w:val="6"/>
        <w:ind w:firstLine="480"/>
      </w:pPr>
      <w:r>
        <w:t>1. 教学经费投入及设备</w:t>
      </w:r>
    </w:p>
    <w:p>
      <w:pPr>
        <w:ind w:firstLine="480"/>
      </w:pPr>
      <w:r>
        <w:t>按照教学计划和学生人数，学校持续投入教学运行经费，主要用于日常教学运行、实验教学、实习实践教学、教学改革、课程建设、仪器设备购置和维修等，保障教学效果和专业建设水平。在山东省和学校</w:t>
      </w:r>
      <w:r>
        <w:rPr>
          <w:rFonts w:hint="eastAsia"/>
        </w:rPr>
        <w:t>“</w:t>
      </w:r>
      <w:r>
        <w:t>十五</w:t>
      </w:r>
      <w:r>
        <w:rPr>
          <w:rFonts w:hint="eastAsia"/>
        </w:rPr>
        <w:t>”</w:t>
      </w:r>
      <w:r>
        <w:t>重点学科建设，</w:t>
      </w:r>
      <w:r>
        <w:rPr>
          <w:rFonts w:hint="eastAsia"/>
        </w:rPr>
        <w:t>“</w:t>
      </w:r>
      <w:r>
        <w:t>十一五</w:t>
      </w:r>
      <w:r>
        <w:rPr>
          <w:rFonts w:hint="eastAsia"/>
        </w:rPr>
        <w:t>”</w:t>
      </w:r>
      <w:r>
        <w:t>国家、省重点学科、重点实验室建设，中央财政与地方共建园艺学基础实验室和山东省骨干学科建设、双一流学科建设等项目建经费的支持下，茶学专业所在的园艺科学与工程学院，为了更好地服务园艺一级学科下设的本科实践教学（如：园艺、茶学、蔬菜、设施农业与工程、观赏园艺），学院设立了本科实验教学中心，集教学、科研实验仪器设备资源为一体、统管共用、资源共享的综合性实验中心。该中分为7个功能实验室和3个仪器分析室，实验室面积约1200m2。中心不仅购置了一批具有国际先进水平的生理、生化等通用分析仪器设备，同时还为茶学专业购置了茶叶加工、审评检验、茶文化教学等专用设备，其设备总值达到2600余万元，能很好满足茶学专业进行茶树品种、栽培、茶叶加工、审评检验、茶艺创作等方面的校内实践教学的要求。</w:t>
      </w:r>
    </w:p>
    <w:p>
      <w:pPr>
        <w:pStyle w:val="6"/>
        <w:ind w:firstLine="480"/>
      </w:pPr>
      <w:r>
        <w:t>2. 教师队伍建设</w:t>
      </w:r>
    </w:p>
    <w:p>
      <w:pPr>
        <w:ind w:firstLine="480"/>
      </w:pPr>
      <w:r>
        <w:t>茶学专业高度重视师资队伍建设，不断完善人才引进培养机制，切实优化师资队伍结构，努力形成一支适应经济社会发展需要和学科发展需求、注重学科交叉和知识融合、学历层次高、创新能力强、素质优良、结构合理的高水平师资团队。茶学专业教师10人，博士9人，硕士1人，专业课教师中的硕博所占比例为100%；本专业任课教师近5年主持省部级及以上教改项目1项；近3年，专业课教师中教授给本科生上课比例达到100%。聘请了陈宗懋、束怀瑞两位院士为兼职教授。教师中1人获霍英东教师奖，校级杰出教师奖。师资力量雄厚，专业教学团队结构合理、整体素质水平高。专业课教师都具有较高专业水平和较强业务能力，且所授课程与他们的科研方向紧密结合，保证本专业学生能学到各门课程最全面的理论知识和了解到农业领域和茶学方向最前沿的科学动态。在教学和科研方面，本专业为各位老师创造优质的教学环境和科研条件，通过各种奖励机制提高每位教师的工作积极性，培养了一批教育观念先进、专业知识结构优化、思想道德高尚的优秀师资队伍，满足了本专业人才培养的需要。</w:t>
      </w:r>
    </w:p>
    <w:p>
      <w:pPr>
        <w:pStyle w:val="6"/>
        <w:ind w:firstLine="480"/>
      </w:pPr>
      <w:r>
        <w:t>3. 实习基地</w:t>
      </w:r>
    </w:p>
    <w:p>
      <w:pPr>
        <w:ind w:firstLine="480"/>
      </w:pPr>
      <w:r>
        <w:t>茶学专业立足山东茶产业实际并结合全国茶产业发展现状对学生进行生产实践培训。茶学专业坚持开放办学，在山东省主要产茶区日照（山东浏园生态农业有限公司、日照淞晨茶业工贸有限公司）、临沂（松山春茶叶专业合作社）、泰安(山东泰茶农业发展有限公司、泰安市长寿桥工贸有限公司、泰安市瑞山祥和茗茶有限公司、泰安市东兴农业发展有限公司)、济南（山东德龙煜腾文化传播有限公司、山东省天园茶叶有限公司）、青岛等地市建有教学科研实践育人基地。为学生学习实践茶叶生产、销售、茶文化等提供了实践基地，提升了学生实训培养能力，保障茶学专业人才培养质量。</w:t>
      </w:r>
    </w:p>
    <w:p>
      <w:pPr>
        <w:pStyle w:val="6"/>
        <w:ind w:firstLine="480"/>
      </w:pPr>
      <w:r>
        <w:t>4. 现代技术教学应用</w:t>
      </w:r>
    </w:p>
    <w:p>
      <w:pPr>
        <w:ind w:firstLine="480"/>
      </w:pPr>
      <w:r>
        <w:t>从培养茶学专业培养目标入手，在教学上已形成适应社会需求</w:t>
      </w:r>
      <w:r>
        <w:rPr>
          <w:rFonts w:hint="eastAsia"/>
        </w:rPr>
        <w:t>“</w:t>
      </w:r>
      <w:r>
        <w:t>平台＋模块</w:t>
      </w:r>
      <w:r>
        <w:rPr>
          <w:rFonts w:hint="eastAsia"/>
        </w:rPr>
        <w:t>”</w:t>
      </w:r>
      <w:r>
        <w:t>的课程体系，并充分利用现代信息技术和生物技术、改造、整合、提升传统茶学专业的特色。应用现代多媒体计算机系统不断完善和丰富的茶学知识教学数据库，为本专业师生提供学习、借鉴、参考、交流、引用的教学平台，充分运用图形、图像、声音、视频、三维动画等多媒体形式进行互动教学，提高了学生自主学习的积极性；应用现代网络平台等方式进行辅助教学，利用茶学专业微信平台（如中国茶叶学会、中国茶叶、茶与生信等）和APP（中国茶叶协会app等）提升专业学生对茶学科技动态和产业发展现状的了解和认识，认识全国茶业界的学术大师和产业领军人才的研究领域和研究进展，提高学生学习的积极性和热情。在课堂上，为学生引入</w:t>
      </w:r>
      <w:r>
        <w:rPr>
          <w:rFonts w:hint="eastAsia"/>
        </w:rPr>
        <w:t>“</w:t>
      </w:r>
      <w:r>
        <w:t>思维导图</w:t>
      </w:r>
      <w:r>
        <w:rPr>
          <w:rFonts w:hint="eastAsia"/>
        </w:rPr>
        <w:t>”</w:t>
      </w:r>
      <w:r>
        <w:t>和</w:t>
      </w:r>
      <w:r>
        <w:rPr>
          <w:rFonts w:hint="eastAsia"/>
        </w:rPr>
        <w:t>“</w:t>
      </w:r>
      <w:r>
        <w:t>图像法快速阅读和记忆</w:t>
      </w:r>
      <w:r>
        <w:rPr>
          <w:rFonts w:hint="eastAsia"/>
        </w:rPr>
        <w:t>”</w:t>
      </w:r>
      <w:r>
        <w:t>等先进学习方法，培养学生良好的思维模式，提高学生的学习效率。同时针对茶学专业不同课程的特点，探索出</w:t>
      </w:r>
      <w:r>
        <w:rPr>
          <w:rFonts w:hint="eastAsia"/>
        </w:rPr>
        <w:t>“</w:t>
      </w:r>
      <w:r>
        <w:t>科学知识点+应用实例讲解</w:t>
      </w:r>
      <w:r>
        <w:rPr>
          <w:rFonts w:hint="eastAsia"/>
        </w:rPr>
        <w:t>”</w:t>
      </w:r>
      <w:r>
        <w:t>、</w:t>
      </w:r>
      <w:r>
        <w:rPr>
          <w:rFonts w:hint="eastAsia"/>
        </w:rPr>
        <w:t>“</w:t>
      </w:r>
      <w:r>
        <w:t>技术知识点+实践训练</w:t>
      </w:r>
      <w:r>
        <w:rPr>
          <w:rFonts w:hint="eastAsia"/>
        </w:rPr>
        <w:t>”</w:t>
      </w:r>
      <w:r>
        <w:t>、</w:t>
      </w:r>
      <w:r>
        <w:rPr>
          <w:rFonts w:hint="eastAsia"/>
        </w:rPr>
        <w:t>“</w:t>
      </w:r>
      <w:r>
        <w:t>文化素材+创作训练</w:t>
      </w:r>
      <w:r>
        <w:rPr>
          <w:rFonts w:hint="eastAsia"/>
        </w:rPr>
        <w:t>”</w:t>
      </w:r>
      <w:r>
        <w:t>三种教学有效模式，能使学生做到</w:t>
      </w:r>
      <w:r>
        <w:rPr>
          <w:rFonts w:hint="eastAsia"/>
        </w:rPr>
        <w:t>“</w:t>
      </w:r>
      <w:r>
        <w:t>学以致用</w:t>
      </w:r>
      <w:r>
        <w:rPr>
          <w:rFonts w:hint="eastAsia"/>
        </w:rPr>
        <w:t>”</w:t>
      </w:r>
      <w:r>
        <w:t>、</w:t>
      </w:r>
      <w:r>
        <w:rPr>
          <w:rFonts w:hint="eastAsia"/>
        </w:rPr>
        <w:t>“</w:t>
      </w:r>
      <w:r>
        <w:t>知行合一</w:t>
      </w:r>
      <w:r>
        <w:rPr>
          <w:rFonts w:hint="eastAsia"/>
        </w:rPr>
        <w:t>”</w:t>
      </w:r>
      <w:r>
        <w:t>，从而达到培养出创新、创业高素质人才的目标。</w:t>
      </w:r>
    </w:p>
    <w:p>
      <w:pPr>
        <w:pStyle w:val="5"/>
        <w:spacing w:before="93" w:after="93"/>
        <w:ind w:firstLine="560"/>
      </w:pPr>
      <w:r>
        <w:t>四、培养机制与特色（产学研协同育人机制、合作办学、教育管理等）</w:t>
      </w:r>
    </w:p>
    <w:p>
      <w:pPr>
        <w:pStyle w:val="6"/>
        <w:ind w:firstLine="480"/>
      </w:pPr>
      <w:r>
        <w:t>1. 产学研协通育人机制</w:t>
      </w:r>
    </w:p>
    <w:p>
      <w:pPr>
        <w:ind w:firstLine="480"/>
      </w:pPr>
      <w:r>
        <w:t>茶学专业借助广泛的社会资源，优良的教育教学条件，教师的科研课题及国家、学校大学生研究训练项目开展学研协同育人机制。茶学专业人才的培养秉承</w:t>
      </w:r>
      <w:r>
        <w:rPr>
          <w:rFonts w:hint="eastAsia"/>
        </w:rPr>
        <w:t>“</w:t>
      </w:r>
      <w:r>
        <w:t>多学科交叉融合，产学研协同培养</w:t>
      </w:r>
      <w:r>
        <w:rPr>
          <w:rFonts w:hint="eastAsia"/>
        </w:rPr>
        <w:t>”</w:t>
      </w:r>
      <w:r>
        <w:t>的机制和</w:t>
      </w:r>
      <w:r>
        <w:rPr>
          <w:rFonts w:hint="eastAsia"/>
        </w:rPr>
        <w:t>“</w:t>
      </w:r>
      <w:r>
        <w:t>知行合一</w:t>
      </w:r>
      <w:r>
        <w:rPr>
          <w:rFonts w:hint="eastAsia"/>
        </w:rPr>
        <w:t>”</w:t>
      </w:r>
      <w:r>
        <w:t>的教育理念，对学生进行全程导师制管理。多学科交叉融合是茶学专业课程设置的特色之一，因茶学专业课程涉及茶科技、茶经济和茶文化，涵盖了多个领域的不同学科。为了学生更好地掌握不同领域学科的专业知识并应用于茶学实践，除引进不同学科背景的专业教师外，我校茶学专业还与本校机电学院、经管学院、外语学院、文法学院和体艺学院开展了学科融合，主要方式有：第一，其它学院教师为茶学专业学生讲授专业课程，如：《茶叶机械学》、《茶叶经营管理》、《茶学专业英语》等；第二，邀请其它学院教师参与指导茶文化创作活动，如编创团体茶艺节目《谢师茶艺》、《灵岩禅韵》、《大碗茶情》、《泰山茶礼》、《风雅华夏》等。</w:t>
      </w:r>
    </w:p>
    <w:p>
      <w:pPr>
        <w:ind w:firstLine="480"/>
      </w:pPr>
      <w:r>
        <w:t>产学研协同是茶学专业人才培养的有效途径。山东农业大学茶学专业自成立以来，就以茶产业需求为导向，同时结合地方区域经济社会发展状况，按照学生的潜质与兴趣实施分类特色培养，塑造适合社会需要的各类合格人才，实现培养人才类型与产业需求同步，从知识型人才培养向创新、创业型人才培养转变，从技术型人才培养向复合型人才培养转变。</w:t>
      </w:r>
    </w:p>
    <w:p>
      <w:pPr>
        <w:ind w:firstLine="480"/>
      </w:pPr>
      <w:r>
        <w:t>多年来，山东农业大学茶学系教师通过科技服务活动，与山东茶企建立了广泛而密切合作关系，并在在山东省主要产茶区日照（山东浏园生态农业有限公司、日照淞晨茶业工贸有限公司）、临沂（松山春茶叶专业合作社）、泰安(山东泰茶农业发展有限公司、泰安市长寿桥工贸有限公司、泰安市瑞山祥和茗茶有限公司)、济南（山东德龙煜腾文化传播有限公司、山东省天园茶叶有限公司）等地市建立了教学科研实践育人基地。同时在国内茶叶主产省浙江、安徽、湖南、福建、云南等以及国内茶叶消费大中城市如北京、上海等茶叶企业、公司、科研院所、农技推广部门等建立有广泛的联系，每年都有学生利用假期到上述地区进行研修活动。目前茶学专业已初步建立了一批与行业紧密联系的高质量、稳定的校外实习基地，逐步探索了高校与行业、地方协同培养茶学专业人才途径。经实践表明：产学研协同培养有利于将高校创新与行业优势相结合，是一种高水平的创新创业农科人才培养模式。</w:t>
      </w:r>
    </w:p>
    <w:p>
      <w:pPr>
        <w:pStyle w:val="6"/>
        <w:ind w:firstLine="480"/>
      </w:pPr>
      <w:r>
        <w:t>2. 教育管理</w:t>
      </w:r>
    </w:p>
    <w:p>
      <w:pPr>
        <w:ind w:firstLine="480"/>
      </w:pPr>
      <w:r>
        <w:t>茶学专业人才培养始终坚持</w:t>
      </w:r>
      <w:r>
        <w:rPr>
          <w:rFonts w:hint="eastAsia"/>
        </w:rPr>
        <w:t>“</w:t>
      </w:r>
      <w:r>
        <w:t>知行合一</w:t>
      </w:r>
      <w:r>
        <w:rPr>
          <w:rFonts w:hint="eastAsia"/>
        </w:rPr>
        <w:t>”</w:t>
      </w:r>
      <w:r>
        <w:t>的教育理念，不仅在教学方法上探索出将知识和文化素材转化为专业智慧、专业技能和文化创作能力的三种教学模式（即</w:t>
      </w:r>
      <w:r>
        <w:rPr>
          <w:rFonts w:hint="eastAsia"/>
        </w:rPr>
        <w:t>“</w:t>
      </w:r>
      <w:r>
        <w:t>科学知识点+应用实例讲解</w:t>
      </w:r>
      <w:r>
        <w:rPr>
          <w:rFonts w:hint="eastAsia"/>
        </w:rPr>
        <w:t>”</w:t>
      </w:r>
      <w:r>
        <w:t>、</w:t>
      </w:r>
      <w:r>
        <w:rPr>
          <w:rFonts w:hint="eastAsia"/>
        </w:rPr>
        <w:t>“</w:t>
      </w:r>
      <w:r>
        <w:t>技术知识点+实践训练</w:t>
      </w:r>
      <w:r>
        <w:rPr>
          <w:rFonts w:hint="eastAsia"/>
        </w:rPr>
        <w:t>”</w:t>
      </w:r>
      <w:r>
        <w:t>、</w:t>
      </w:r>
      <w:r>
        <w:rPr>
          <w:rFonts w:hint="eastAsia"/>
        </w:rPr>
        <w:t>“</w:t>
      </w:r>
      <w:r>
        <w:t>文化素材+创作训练</w:t>
      </w:r>
      <w:r>
        <w:rPr>
          <w:rFonts w:hint="eastAsia"/>
        </w:rPr>
        <w:t>”</w:t>
      </w:r>
      <w:r>
        <w:t>），同时还通过指导学生开展系列科技创新、实干创业和文化创意活动（如：SRT项目、茗风创业、大益爱心茶室自主经营、研茶致学茶艺大赛、无我茶会以及校外等诸多茶事活动），为学生用知识长才干搭建了平台、提供了途径和方法。</w:t>
      </w:r>
    </w:p>
    <w:p>
      <w:pPr>
        <w:pStyle w:val="5"/>
        <w:spacing w:before="93" w:after="93"/>
        <w:ind w:firstLine="560"/>
      </w:pPr>
      <w:r>
        <w:t>五、培养质量（毕业生就业率、就业专业对口率、毕业生发展情况、就业单位满意率、社会对专业的评价、学生就读该专业的意愿等）</w:t>
      </w:r>
    </w:p>
    <w:p>
      <w:pPr>
        <w:pStyle w:val="6"/>
        <w:ind w:firstLine="480"/>
      </w:pPr>
      <w:r>
        <w:t>1. 毕业生就业率及就业专业对口率</w:t>
      </w:r>
    </w:p>
    <w:p>
      <w:pPr>
        <w:ind w:firstLine="480"/>
      </w:pPr>
      <w:r>
        <w:rPr>
          <w:bCs/>
        </w:rPr>
        <w:t>截止2022年12月31日，茶学专业2022届毕业生20人，实现就业20人，总体就业率达到</w:t>
      </w:r>
      <w:r>
        <w:t>100</w:t>
      </w:r>
      <w:r>
        <w:rPr>
          <w:bCs/>
        </w:rPr>
        <w:t>%。毕业生的就业方式包括签订就业劳动合同、其他录用形式就业、协议就业、升学、出国就业和自由职业、自主创业等七种就业方式。从统计的相关就业率数据看，考取研究生的17人，其他形式录用就业3人。</w:t>
      </w:r>
      <w:r>
        <w:t>毕业生国内升学17人，升学率85%，其中考入</w:t>
      </w:r>
      <w:r>
        <w:rPr>
          <w:rFonts w:hint="eastAsia"/>
        </w:rPr>
        <w:t>“</w:t>
      </w:r>
      <w:r>
        <w:t>双一流</w:t>
      </w:r>
      <w:r>
        <w:rPr>
          <w:rFonts w:hint="eastAsia"/>
        </w:rPr>
        <w:t>”</w:t>
      </w:r>
      <w:r>
        <w:t>大学7人，占国内升学总人数的41.18%。升学学校主要是安徽农业大学（6人）、华中农业大学（4人）、西北农林科技大学（2人）、中国农业大学（1人）、湖南农业大学（1人）、山东农业大学（1人）、浙江农林大学（1人）、山西农业大学（1人）等。</w:t>
      </w:r>
    </w:p>
    <w:p>
      <w:pPr>
        <w:pStyle w:val="6"/>
        <w:ind w:firstLine="480"/>
      </w:pPr>
      <w:r>
        <w:t>2. 毕业生发展情况</w:t>
      </w:r>
    </w:p>
    <w:p>
      <w:pPr>
        <w:ind w:firstLine="480"/>
        <w:rPr>
          <w:b/>
          <w:bCs/>
          <w:sz w:val="21"/>
          <w:szCs w:val="21"/>
        </w:rPr>
      </w:pPr>
      <w:r>
        <w:t>近年来，随着国家对农业的重视，茶产业成为农村增收、农民致富的特色产业，此外，茶产业还有茶叶加工、流通、文化等二、三产业，因此，茶学专业毕业生就业渠道较为广泛。专业学生毕业进入茶业相关科研单位。部分毕业生致力于茶叶科技的研究，选择进一步深造，攻读硕士博士学位，毕业后在中国农业科学院茶叶研究所、浙江大学等高等院校、研究所等从事茶学方面的教学和科研工作；二毕业生进入各级农业行政管理部门及乡村的管理工作机关，如农业厅、局果茶站，质量技术监督局、商品检验检疫局等部门工作，如毕业生考入山东省农业农村厅从事茶叶技术推广工作；三进入企事业单位从事茶叶栽培、加工、运输及营销工作；茶厂的技术指导和组织生产管理工作；各级茶馆、茶叶专卖店的营销及组织管理工作；茶叶进出口公司的进出口业务管理工作；独立从事茶叶及其它经济作物的生产、管理、经营与销售等。我校本科毕业有选择在企业单位担作技术或</w:t>
      </w:r>
      <w:r>
        <w:rPr>
          <w:rFonts w:hint="eastAsia"/>
        </w:rPr>
        <w:t>“</w:t>
      </w:r>
      <w:r>
        <w:t>技术＋管理</w:t>
      </w:r>
      <w:r>
        <w:rPr>
          <w:rFonts w:hint="eastAsia"/>
        </w:rPr>
        <w:t>”</w:t>
      </w:r>
      <w:r>
        <w:t>工作的学生，或者在原有企业发展良好而成为单位技术或管理骨干，也有选择进入自主创业的学生。</w:t>
      </w:r>
    </w:p>
    <w:p>
      <w:pPr>
        <w:pStyle w:val="6"/>
        <w:ind w:firstLine="480"/>
      </w:pPr>
      <w:r>
        <w:t>3. 就业单位满意率</w:t>
      </w:r>
    </w:p>
    <w:p>
      <w:pPr>
        <w:ind w:firstLine="480"/>
      </w:pPr>
      <w:r>
        <w:t>本专业学生就业去向主要为攻读研究生、出国留学、农业资源局和茶叶有关公司等。由于本专业学生在大学期间掌握了扎实的茶学专业基础知识和人文科学知识，培养了较强的科研素养和生产实践技能，总体从业素质较强。相关高校对本专业考取的研究生评价总体水平较高，具有独立思考科研能力。我校学生能够积极适应工作环境和人际交往，开展相关茶叶生产、经营和茶文化推广工作并且达到公司等用人单位的标准和要求。因此，相关单位对本专业毕业学生总体满意。</w:t>
      </w:r>
    </w:p>
    <w:p>
      <w:pPr>
        <w:pStyle w:val="6"/>
        <w:ind w:firstLine="480"/>
      </w:pPr>
      <w:r>
        <w:t>4. 社会对本专业的评价</w:t>
      </w:r>
    </w:p>
    <w:p>
      <w:pPr>
        <w:ind w:firstLine="480"/>
      </w:pPr>
      <w:r>
        <w:t>随着我国茶产业的发展，茶文化国际化，对茶叶专业人才的需求也激增。由于本专业良好的师资条件，学生较强的就业能力以及较好的就业状况，本专业在国内同行专业具有较高的声誉。国内大型的茶叶工厂非常欢迎本专业的就业生前往就业。对于继续考研深造的毕业生，华中农业大学、南京农业大学、华南农业大学、安徽农业大学、湖南农业大学、中国农业科学院茶叶研究所等涉茶大学及科研院所非常欢迎本专业学生前往报考研究生。目前社会就业单位和研究生招生单位对我校茶学专业毕业生有着一致好评，认为：学生理论基础知识扎实，专业素质高，技能过硬，踏实肯干，有较强的创新和创业能力。</w:t>
      </w:r>
    </w:p>
    <w:p>
      <w:pPr>
        <w:pStyle w:val="6"/>
        <w:ind w:firstLine="480"/>
      </w:pPr>
      <w:r>
        <w:t>5. 学生就读该专业的志愿</w:t>
      </w:r>
    </w:p>
    <w:p>
      <w:pPr>
        <w:ind w:firstLine="480"/>
      </w:pPr>
      <w:r>
        <w:t>茶学专业就业方向主要在农业、工业、商贸等领域或部门从事与茶学有关的技术与设计、推广与开发、经营与管理、教学与科研等工作，有着良好就业前景，目前在读学生的学习兴趣高，动力足，有些学生对专业有着极高的热爱程度，除认真学习各门课程外，还在课外进行了大量的专业实践活动，不断提高灵活运用所学知识，解决实际问题的能力和茶学专业技能的水平。在校本科生参加全国的炒茶比赛、茶艺大赛、评茶比赛等活动均获得佳绩，</w:t>
      </w:r>
      <w:r>
        <w:rPr>
          <w:rFonts w:hint="eastAsia"/>
        </w:rPr>
        <w:t>“</w:t>
      </w:r>
      <w:r>
        <w:t>茗风创业团队</w:t>
      </w:r>
      <w:r>
        <w:rPr>
          <w:rFonts w:hint="eastAsia"/>
        </w:rPr>
        <w:t>”</w:t>
      </w:r>
      <w:r>
        <w:t>成员加工的绿茶、红茶产品形成学校的品牌产品。</w:t>
      </w:r>
    </w:p>
    <w:p>
      <w:pPr>
        <w:pStyle w:val="5"/>
        <w:spacing w:before="93" w:after="93"/>
        <w:ind w:firstLine="560"/>
      </w:pPr>
      <w:r>
        <w:t>六、毕业生就业创业（创业情况、采取的措施、典型案例等）</w:t>
      </w:r>
    </w:p>
    <w:p>
      <w:pPr>
        <w:ind w:firstLine="480"/>
      </w:pPr>
      <w:r>
        <w:t>为培养学生的创新创业能力，茶学专业开设了创业实践课程，鼓励学生创业就业。同时，园艺学院领导和教师积极联系各用人单位，召开专业的专场招聘会，为学生搭建良好的就业桥梁。园艺学院通过专题讲座、毕业生谈话等形式引导毕业生树立正确的择业观和就业观，通过开设职业生涯规划和课程指导课程，帮助茶学专业毕业生确立个人发展目标，挖掘毕业生个人潜力，通过分析自身能力、才华和性格特点，找到准确的职业定位，在此基础上，通过职业规划课程，帮助毕业生掌握面试技巧，职业生涯规划和简历书写等技能。园艺学院通过多种途径，拓宽毕业生获取就业信息的渠道，学院积极与各用人单位联系，利用线上线下等多种途径发布企业的相关信息以及相关服务信息，帮助毕业生及时了解就业动态。针对就业困难的毕业生，茶学专业的老师进行一对一指导，帮助其分析就业形势，推荐就业企业，及时解决毕业生找工作困难的现实问题。</w:t>
      </w:r>
    </w:p>
    <w:p>
      <w:pPr>
        <w:ind w:firstLine="480"/>
      </w:pPr>
      <w:r>
        <w:t>茶学专业和茶学方向毕业生大部分毕业后到农业部门或有关公司工作，毕业生通过在公司就业、工作、锻炼，逐步积累经验、资本、资源，到达一定程度时，便可开始独自创业。本专业学生在校期间，依托</w:t>
      </w:r>
      <w:r>
        <w:rPr>
          <w:rFonts w:hint="eastAsia"/>
        </w:rPr>
        <w:t>“</w:t>
      </w:r>
      <w:r>
        <w:t>茗风创业团队</w:t>
      </w:r>
      <w:r>
        <w:rPr>
          <w:rFonts w:hint="eastAsia"/>
        </w:rPr>
        <w:t>”</w:t>
      </w:r>
      <w:r>
        <w:t>的茶叶加工与营销和</w:t>
      </w:r>
      <w:r>
        <w:rPr>
          <w:rFonts w:hint="eastAsia"/>
        </w:rPr>
        <w:t>“</w:t>
      </w:r>
      <w:r>
        <w:t>大益爱心茶室</w:t>
      </w:r>
      <w:r>
        <w:rPr>
          <w:rFonts w:hint="eastAsia"/>
        </w:rPr>
        <w:t>”</w:t>
      </w:r>
      <w:r>
        <w:t>的茶馆经营锻炼，培养了较强的创业意识，积累了一些创业经验和面对创业问题的处理方法，部分创业团队成员毕业后实现顺利创业。例如，2008级学生张守权、李战在校期间为茗风茶业创业中心创始人，2012年毕业后注册创立了泰安市泰山区吃茶去茶业有限公司，研发了</w:t>
      </w:r>
      <w:r>
        <w:rPr>
          <w:rFonts w:hint="eastAsia"/>
        </w:rPr>
        <w:t>“</w:t>
      </w:r>
      <w:r>
        <w:t>泰山谦玉</w:t>
      </w:r>
      <w:r>
        <w:rPr>
          <w:rFonts w:hint="eastAsia"/>
        </w:rPr>
        <w:t>”</w:t>
      </w:r>
      <w:r>
        <w:t>、</w:t>
      </w:r>
      <w:r>
        <w:rPr>
          <w:rFonts w:hint="eastAsia"/>
        </w:rPr>
        <w:t>“</w:t>
      </w:r>
      <w:r>
        <w:t>泰山学子</w:t>
      </w:r>
      <w:r>
        <w:rPr>
          <w:rFonts w:hint="eastAsia"/>
        </w:rPr>
        <w:t>”</w:t>
      </w:r>
      <w:r>
        <w:t>等拥有自主知识产权的茶叶品牌，加工出具有典型山东茶地域特色的绿茶、红茶产品，深受消费者的喜爱。另外，一些签订劳动就业合同就业的学生，在原有单位工作几年后也有相当一部分人选择了自主创业，如：张勇、林乃敏、李丹阳等分别创立了茶叶公司（产销一体化）、茶文化工作室（茶文化推广、茶艺培训和特色茶销售）和茶馆等。</w:t>
      </w:r>
    </w:p>
    <w:p>
      <w:pPr>
        <w:pStyle w:val="5"/>
        <w:spacing w:before="93" w:after="93"/>
        <w:ind w:firstLine="560"/>
      </w:pPr>
      <w:r>
        <w:t>七、专业人才社会需求分析及专业发展趋势分析</w:t>
      </w:r>
    </w:p>
    <w:p>
      <w:pPr>
        <w:ind w:firstLine="480"/>
      </w:pPr>
      <w:r>
        <w:t>茶是世界三大无酒精饮料之一，它健康、天然的特质深受人的喜爱，当代人们爱茶、喝茶、品茶已成一种时尚，茶已成为当代人健康生活中不可或缺的食品，而品茶则已成为人们提高生活情趣、修身养性的一种生活方式。作为惠及全球160多个国家30亿人口的</w:t>
      </w:r>
      <w:r>
        <w:rPr>
          <w:rFonts w:hint="eastAsia"/>
        </w:rPr>
        <w:t>“</w:t>
      </w:r>
      <w:r>
        <w:t>世界之饮</w:t>
      </w:r>
      <w:r>
        <w:rPr>
          <w:rFonts w:hint="eastAsia"/>
        </w:rPr>
        <w:t>”</w:t>
      </w:r>
      <w:r>
        <w:t>,茶受到了世界各国人民的广泛追捧和喜爱。以宏观视野透视中国茶产业和茶文化发展态势,</w:t>
      </w:r>
      <w:r>
        <w:rPr>
          <w:rFonts w:hint="eastAsia"/>
        </w:rPr>
        <w:t>“</w:t>
      </w:r>
      <w:r>
        <w:t>茶为国饮</w:t>
      </w:r>
      <w:r>
        <w:rPr>
          <w:rFonts w:hint="eastAsia"/>
        </w:rPr>
        <w:t>”</w:t>
      </w:r>
      <w:r>
        <w:t>早已纳入政协提案，倡导</w:t>
      </w:r>
      <w:r>
        <w:rPr>
          <w:rFonts w:hint="eastAsia"/>
        </w:rPr>
        <w:t>“</w:t>
      </w:r>
      <w:r>
        <w:t>全民饮茶</w:t>
      </w:r>
      <w:r>
        <w:rPr>
          <w:rFonts w:hint="eastAsia"/>
        </w:rPr>
        <w:t>”</w:t>
      </w:r>
      <w:r>
        <w:t>已成为业界共识，</w:t>
      </w:r>
      <w:r>
        <w:rPr>
          <w:rFonts w:hint="eastAsia"/>
        </w:rPr>
        <w:t>“</w:t>
      </w:r>
      <w:r>
        <w:t>全民饮茶日</w:t>
      </w:r>
      <w:r>
        <w:rPr>
          <w:rFonts w:hint="eastAsia"/>
        </w:rPr>
        <w:t>”</w:t>
      </w:r>
      <w:r>
        <w:t>更是被设立成为杭州市的法定节日，我国正在迎来</w:t>
      </w:r>
      <w:r>
        <w:rPr>
          <w:rFonts w:hint="eastAsia"/>
        </w:rPr>
        <w:t>“</w:t>
      </w:r>
      <w:r>
        <w:t>人人饮茶，人人学茶</w:t>
      </w:r>
      <w:r>
        <w:rPr>
          <w:rFonts w:hint="eastAsia"/>
        </w:rPr>
        <w:t>”</w:t>
      </w:r>
      <w:r>
        <w:t>的时代。而茶和茶文化也在乡村振兴、精准扶贫、产业兴旺、生态美好、健康中国、文化中国 等重大战略中发挥着越来越重要的作用。</w:t>
      </w:r>
    </w:p>
    <w:p>
      <w:pPr>
        <w:ind w:firstLine="480"/>
      </w:pPr>
      <w:r>
        <w:t>茶学专业是我国传统而具有特色的专业，它是依托我国传统而具优势的茶产业而存在。众所周知，我国是世界茶的发源地，从神农氏发现茶后，茶被我们的祖先驯化栽培和利用，成为中国的国饮，也深为世界人们所喜爱，所以茶的发现也被誉为</w:t>
      </w:r>
      <w:r>
        <w:rPr>
          <w:rFonts w:hint="eastAsia"/>
        </w:rPr>
        <w:t>“</w:t>
      </w:r>
      <w:r>
        <w:t>继四大发明后，中国对世界文明的最大贡献</w:t>
      </w:r>
      <w:r>
        <w:rPr>
          <w:rFonts w:hint="eastAsia"/>
        </w:rPr>
        <w:t>”</w:t>
      </w:r>
      <w:r>
        <w:t>；目前我国茶产业居世界前列，茶园面积和茶叶产量居世界第一，它是我国农村经济结构调整、产业效益提升的重要经济作物之一，也是我国传统而具优势的出口农产品。</w:t>
      </w:r>
    </w:p>
    <w:p>
      <w:pPr>
        <w:ind w:firstLine="480"/>
      </w:pPr>
      <w:r>
        <w:t>茶学专业的毕业生所从事的茶叶行业，具有很大的市场前景，随着我国爱好饮茶人数的增加，中国的茶叶市场十分巨大。在这个知识经济时代的21世纪，人们越来越注重茶叶产品的科技含量及附加值。由于人们对保健茶、有机茶越来越重视，茶叶市场的竞争也是越来越激烈。近几年来，茶文化已经走出国门，进入广阔的东、西欧市场，茶叶贸易的前景逐年变好。特别是随着我国贸易的转型，茶叶市场越来越需要具有高技术含量的茶叶商品。因此，茶产业在当下和未来将是一个既传统而大有可为的产业，具体表现在以下几个方面：</w:t>
      </w:r>
    </w:p>
    <w:p>
      <w:pPr>
        <w:ind w:firstLine="480"/>
      </w:pPr>
      <w:r>
        <w:t>1. 茶叶的保健功能将进一步拓展其消费市场。《神农本草》称</w:t>
      </w:r>
      <w:r>
        <w:rPr>
          <w:rFonts w:hint="eastAsia"/>
        </w:rPr>
        <w:t>“</w:t>
      </w:r>
      <w:r>
        <w:t>茶味苦，饮之使人益思、少卧、轻身、名目</w:t>
      </w:r>
      <w:r>
        <w:rPr>
          <w:rFonts w:hint="eastAsia"/>
        </w:rPr>
        <w:t>”</w:t>
      </w:r>
      <w:r>
        <w:t>，陆羽《茶经》中说：</w:t>
      </w:r>
      <w:r>
        <w:rPr>
          <w:rFonts w:hint="eastAsia"/>
        </w:rPr>
        <w:t>“</w:t>
      </w:r>
      <w:r>
        <w:t>茶之为用，味至寒，为饮最宜，精行俭德之人，若热渴凝闷、脑疼目涩、四肢烦、百节不舒，聊四五啜，与醍醐甘露抗衡也。</w:t>
      </w:r>
      <w:r>
        <w:rPr>
          <w:rFonts w:hint="eastAsia"/>
        </w:rPr>
        <w:t>”</w:t>
      </w:r>
      <w:r>
        <w:t>。据现代科学分析和鉴定，茶叶中含有450多种对人体有益的化学成分，如叶绿素、维生素、类脂、咖啡碱、茶多酚、脂多糖等对人体有很好的营养价值和保健作用。历史医学典籍和现代科技都证明：茶叶具有降血压、降血脂、预防心脑血管疾病及防癌抗癌等功效，茶叶既有天然保健的作用，又有医药功能，这将成为人们选择茶叶作为健康饮品的依据，并将带来巨大的消费市场。</w:t>
      </w:r>
    </w:p>
    <w:p>
      <w:pPr>
        <w:ind w:firstLine="480"/>
      </w:pPr>
      <w:r>
        <w:t>2. 随着人们饮茶习惯的改变和现代农业一二三产的融合，茶叶企业创新能力不断提升，茶叶产业实现高附加值，茶产业的效益将进一步提高。例如，茶树种植业在为加工业提供原料的基础上还将成为人们观光旅游的目的地，成为休闲观光农业的重要组成部分。很多茶叶种植地区充分利用茶产区得天独厚的自然环境和茶文化历史资源，将休闲农业与茶产业相结合，打造了一批以茶文化、茶事体验活动、地方特色文化等为主题的休闲农业与乡村旅游景点，实现了产业融合和茶园可持续发展。</w:t>
      </w:r>
    </w:p>
    <w:p>
      <w:pPr>
        <w:ind w:firstLine="480"/>
      </w:pPr>
      <w:r>
        <w:t>3. 茶叶综合利用使茶叶的用途更为广泛。目前利用茶及茶生化成分的综合利用也已经将深入到人们生活的方方面面，茶不仅作为饮料而被消费，而且被运用到食品添加剂、医药、化工和日常生活用品等多个领域，茶叶市场陆续出现了袋泡茶、保健食品、护肤面膜等多样化的茶产品，显示了良好的应用前景。</w:t>
      </w:r>
    </w:p>
    <w:p>
      <w:pPr>
        <w:ind w:firstLine="480"/>
      </w:pPr>
      <w:r>
        <w:t>4. 随着人们生活水平的提高，茶产业的文化特质在消费中的独特作用将得到进一步彰显。具有深厚文化底蕴的中华茶文化是我国传统文化的代表之一，它集儒释道精神于一体，与</w:t>
      </w:r>
      <w:r>
        <w:rPr>
          <w:rFonts w:hint="eastAsia"/>
        </w:rPr>
        <w:t>“</w:t>
      </w:r>
      <w:r>
        <w:t>六艺</w:t>
      </w:r>
      <w:r>
        <w:rPr>
          <w:rFonts w:hint="eastAsia"/>
        </w:rPr>
        <w:t>”</w:t>
      </w:r>
      <w:r>
        <w:t>相通，与民俗相融。目前我国的茶文化得到广为传播，并走向世界，这将有助于弘扬我国的传统文化，有利于增强文化自信。</w:t>
      </w:r>
    </w:p>
    <w:p>
      <w:pPr>
        <w:ind w:firstLine="480"/>
      </w:pPr>
      <w:r>
        <w:t>5. 随着经济和现代智能时代的到来，人们将有更多的休暇时光，而品茶能有助于人们度过美好的休暇时光，并在品茶中感悟人生的哲理、感受生活的美好。当下，茶已成为当代人的一种生活方式，茶文化创意产业也必将在未来成为提高人们生活质量和人文素养的重要产业。</w:t>
      </w:r>
    </w:p>
    <w:p>
      <w:pPr>
        <w:ind w:firstLine="480"/>
      </w:pPr>
      <w:r>
        <w:t>综上所述，茶产业是一个传统而具蓬勃发展的朝阳产业，未来对茶学专业人才的需求量大。另外，随着现代科技发展和社会发展的变化，茶产业正在进入一个快速发展的时期，呈现出一二三产融合，产业重点由一产向二、三产业转移的趋势。随着茶产业发展趋势的变化，社会对茶学专业人才的需求也随之发展了变化，由过去单一强调的技术型人才，逐渐过度到</w:t>
      </w:r>
      <w:r>
        <w:rPr>
          <w:rFonts w:hint="eastAsia"/>
        </w:rPr>
        <w:t>“</w:t>
      </w:r>
      <w:r>
        <w:t>技术＋管理</w:t>
      </w:r>
      <w:r>
        <w:rPr>
          <w:rFonts w:hint="eastAsia"/>
        </w:rPr>
        <w:t>”</w:t>
      </w:r>
      <w:r>
        <w:t>复合型人才，要求专业学生还要具备一定的经营管理和文化创意能力，并具有较强的综合素养。</w:t>
      </w:r>
    </w:p>
    <w:p>
      <w:pPr>
        <w:pStyle w:val="5"/>
        <w:spacing w:before="93" w:after="93"/>
        <w:ind w:firstLine="560"/>
      </w:pPr>
      <w:r>
        <w:t>八、存在的问题及拟采取的对策措施</w:t>
      </w:r>
    </w:p>
    <w:p>
      <w:pPr>
        <w:ind w:firstLine="480"/>
      </w:pPr>
      <w:r>
        <w:t>茶学专业理论性和实践性均较强，除了课堂上的理论知识的传授、实验室进行的操作训练，还要多与农业领域茶叶部门的业务工作联系，多为在校学生提供实践、实习的机会，同时学院应为学生提供更多的就业信息和渠道，以提高茶学专业毕业生将来的就业能力和竞争力。我校为了更好地适应茶产业未来发展趋势和社会对人才的要求，为此提出如下举措：</w:t>
      </w:r>
    </w:p>
    <w:p>
      <w:pPr>
        <w:ind w:firstLine="480"/>
      </w:pPr>
      <w:r>
        <w:t>1.准确把握人才培养定位。严格贯彻落实《普通高校本科专业类教学质量国家标准》，专业人才培养目标符合茶学专业办学定位与办学特色，与经济社会发展需求相吻合。但是，在与当今社会发展需求相比，与国内同学科的发展趋势相比，还有一些地方需要不断改善。人才培养方案要根据专业发展定位、专业人才社会需求变化定期修订完善。因此，我校今后的教学活动必须在认真调研和科学论证的基础上，科学制定出完整的实施性方案，解决高技术人才的理论、知识和技能的结构比例调整问题，进一步优化茶学专业特色化人才培养模式，创新型人才突出培养学生的一流前沿科技创新能力，应用型人才强调培养一流的生产实践指导能力。</w:t>
      </w:r>
    </w:p>
    <w:p>
      <w:pPr>
        <w:ind w:firstLine="480"/>
      </w:pPr>
      <w:r>
        <w:t>2.大力加强教学资源建设。积极培育金课课程，建成1-2门国家级或省级优质线上线下课程，出版2-3本规划教材。整合资源，加强教学实践基地建设，加强虚拟仿真实验项目建设。茶学专业目前专业建设经费不足，特别是实习、科研基地条件较差，基础设施不完善，生产工具也比较落后，难以适应现代化农业对专业技术人培养的需要。因此，加大专业建设经费投入，改善办学条件，积极推进教育服务供给方式变革，更好地服务课堂教学，服务学生自主学习，是新时期茶学专业建设发展要解决的重要问题。</w:t>
      </w:r>
    </w:p>
    <w:p>
      <w:pPr>
        <w:ind w:firstLine="480"/>
      </w:pPr>
      <w:r>
        <w:t>3.全面建设高水平师资队伍。师资队伍整体水平不能满足创建国内一流专业的要求，我校坚持引育结合，一方面加大从国内外引进高端人才的力度，引进高端人才1-2人，另一方面，强化自有教师尤其是青年教师培养，建立新入职教师跟班助教制度，完善名师传帮带机制，强化青年教师的培养与国内外培训，整体提升教师队伍的教育教学水平，造就一批具有现代教育理念、教学态度积极端正、教学手段先进科学、教学效果生动、教学改革成效显著的教学名师团队，培养富有创新精神的高水平高素质的专业学科带头人。</w:t>
      </w:r>
    </w:p>
    <w:p>
      <w:pPr>
        <w:ind w:firstLine="480"/>
      </w:pPr>
      <w:r>
        <w:t>4.不断深化教学管理改革。课程管理单一，致使某些学科教育难以适应山东省社会发展的需要和学生多样化的要求。因此，更新教学观念，注重因材施教，依托信息技术改进教学方式，积极推广小班化教学、混合式教学、翻转课堂。坚持教学相长，注重启发式、互动式、探究式教学、引导学生主动思考、积极提问、自主探究。融合运用传统和现代科技技术手段，大力推进智慧教室、智慧实验室应用，开展研究型、项目化、合作式学习，构建线上线下相结合的教学模式，推动课堂革命。</w:t>
      </w:r>
    </w:p>
    <w:p>
      <w:pPr>
        <w:ind w:firstLine="480"/>
      </w:pPr>
      <w:r>
        <w:t>5.深度构建协同育人机制。积极推进校企、校地、校所、校校深度合作，建立产教融合、协同育人的人才培养模式。特别是加强国际交流合作，鼓励学生海外访学，切实提高茶学专业教育的国际化水平。</w:t>
      </w:r>
    </w:p>
    <w:p>
      <w:pPr>
        <w:ind w:firstLine="480"/>
      </w:pPr>
      <w:r>
        <w:t>6.全面提高人才培养质量。坚持以学生为中心，促进学生全面发展，强化科研育人功能，激发茶学系学生专业学习兴趣，增强创新精神、实践能力和社会责任感。建立健全内部质量监控机制，对主要教学环节有明确的质量要求和过程监控，并定期进行质量评价。充分考虑我校教学和实习单位工作实际，优化实习过程管理，提升实习效果。进一步强化实践育人，深化产教融合、校企合作，建设一批对区域和茶叶产业发展具有较强支撑作用的高水平应用专业型人才。</w:t>
      </w:r>
    </w:p>
    <w:p>
      <w:pPr>
        <w:ind w:firstLine="480"/>
      </w:pP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pPr>
      <w:bookmarkStart w:id="272" w:name="_Toc24066"/>
      <w:bookmarkStart w:id="273" w:name="_Toc23819"/>
      <w:r>
        <w:rPr>
          <w:rFonts w:hint="eastAsia"/>
          <w:lang w:val="en-US"/>
        </w:rPr>
        <w:t>专业二十六：</w:t>
      </w:r>
      <w:r>
        <w:t>动物科学</w:t>
      </w:r>
      <w:bookmarkEnd w:id="272"/>
    </w:p>
    <w:p>
      <w:pPr>
        <w:pStyle w:val="5"/>
        <w:spacing w:before="93" w:after="93" w:line="410" w:lineRule="exact"/>
        <w:ind w:firstLine="560"/>
      </w:pPr>
      <w:r>
        <w:t>一、培养目标与规格</w:t>
      </w:r>
      <w:bookmarkEnd w:id="273"/>
    </w:p>
    <w:p>
      <w:pPr>
        <w:spacing w:line="410" w:lineRule="exact"/>
        <w:ind w:firstLine="480"/>
        <w:rPr>
          <w:color w:val="000000"/>
        </w:rPr>
      </w:pPr>
      <w:r>
        <w:rPr>
          <w:color w:val="000000"/>
        </w:rPr>
        <w:t>本专业培养德、智、体、美、劳全面发展，具有人文科学、自然科学基础和外语、计算机应用能力，具备动物科学基本理论和动物生产基本技能，具备创新精神和实践能力，具备自主学习、团队协作和组织协调能力，能在动物科学专业及相关领域的企事业单位、行政管理部门及教学、科研等单位从事管理、生产、经营、教学、科研与技术推广等工作，具有创新创业能力的复合型高级专业人才。本专业毕业生经过5年左右的职业历练，将达成以下培养目标：（1）树立正确的世界观、人生观和价值观，有深厚的爱国情怀，具有人文科学、自然科学基础和良好的外语、计算机应用能力；（2）具备自主学习、团队协作和组织协调能力，以及较强的创新创业意识和社会责任感；（3）熟悉国内外动物科学专业及相关领域发展现状、趋势，能够应用专业知识、技能和技术规范分析并解决生产中较复杂问题，服务三农，为乡村振兴助力；（4）能在动物科学专业及相关领域从事管理、生产、教学、科研、经营、推广等方面的工作，具有开拓创新精神，具备持续提升的能力。</w:t>
      </w:r>
    </w:p>
    <w:p>
      <w:pPr>
        <w:pStyle w:val="5"/>
        <w:spacing w:before="93" w:after="93" w:line="410" w:lineRule="exact"/>
        <w:ind w:firstLine="560"/>
      </w:pPr>
      <w:bookmarkStart w:id="274" w:name="_Toc28502"/>
      <w:r>
        <w:t>二、培养能力</w:t>
      </w:r>
      <w:bookmarkEnd w:id="274"/>
    </w:p>
    <w:p>
      <w:pPr>
        <w:spacing w:line="410" w:lineRule="exact"/>
        <w:ind w:firstLine="482"/>
        <w:rPr>
          <w:color w:val="000000"/>
        </w:rPr>
      </w:pPr>
      <w:r>
        <w:rPr>
          <w:rFonts w:hint="eastAsia" w:eastAsia="黑体"/>
          <w:bCs/>
          <w:color w:val="000000"/>
        </w:rPr>
        <w:t>1. 专业设置情况：</w:t>
      </w:r>
      <w:r>
        <w:rPr>
          <w:color w:val="000000"/>
        </w:rPr>
        <w:t>动物科学专业是山东农业大学具有悠久办学历史的本科专业之一。该专业的前身为始建于1949年畜牧专业，1986年以畜牧专业为依托设立饲料科学专科专业，1995年设立动物营养与饲料科学本科专业，1998年经原畜牧与动物营养与饲料科学两个本科专业合并成为新的动物科学专业。山东农业大学动物科学专业自2001年起被确定为山东省高校招生热门专业，2005年入选山东农业大学品牌建设专业，2006年入选山东省高等学校特色专业建设点，2007年入选教育部第二类特色专业建设点。2016年入选山东省双一流学科建设（植物与动物学）。国家一流专业。本专业已经建立了一只年龄与学历结构合理、研究实力雄厚、富有合作意识和团队精神的师资队伍。该学科现设有畜牧学博士后科研流动站（2009年），畜牧学博士学位授权点（2018），畜牧学一级学科硕士学位授权点（2006年）以及农业硕士（养殖领域）专业学位授权点（2000年）。是农业农村部</w:t>
      </w:r>
      <w:r>
        <w:rPr>
          <w:rFonts w:hint="eastAsia"/>
          <w:color w:val="000000"/>
        </w:rPr>
        <w:t>“</w:t>
      </w:r>
      <w:r>
        <w:rPr>
          <w:color w:val="000000"/>
        </w:rPr>
        <w:t>非粮饲料资源高效利用重点实验室（部省共建）</w:t>
      </w:r>
      <w:r>
        <w:rPr>
          <w:rFonts w:hint="eastAsia"/>
          <w:color w:val="000000"/>
        </w:rPr>
        <w:t>”</w:t>
      </w:r>
      <w:r>
        <w:rPr>
          <w:color w:val="000000"/>
        </w:rPr>
        <w:t>、山东省重点实验室</w:t>
      </w:r>
      <w:r>
        <w:rPr>
          <w:rFonts w:hint="eastAsia"/>
          <w:color w:val="000000"/>
        </w:rPr>
        <w:t>“</w:t>
      </w:r>
      <w:r>
        <w:rPr>
          <w:color w:val="000000"/>
        </w:rPr>
        <w:t>动物生物工程与疫病防治重点实验室</w:t>
      </w:r>
      <w:r>
        <w:rPr>
          <w:rFonts w:hint="eastAsia"/>
          <w:color w:val="000000"/>
        </w:rPr>
        <w:t>”</w:t>
      </w:r>
      <w:r>
        <w:rPr>
          <w:color w:val="000000"/>
        </w:rPr>
        <w:t>、山东省</w:t>
      </w:r>
      <w:r>
        <w:rPr>
          <w:rFonts w:hint="eastAsia"/>
          <w:color w:val="000000"/>
        </w:rPr>
        <w:t>“</w:t>
      </w:r>
      <w:r>
        <w:rPr>
          <w:color w:val="000000"/>
        </w:rPr>
        <w:t>绿色低碳畜牧业技术协同创新中心</w:t>
      </w:r>
      <w:r>
        <w:rPr>
          <w:rFonts w:hint="eastAsia"/>
          <w:color w:val="000000"/>
        </w:rPr>
        <w:t>”</w:t>
      </w:r>
      <w:r>
        <w:rPr>
          <w:color w:val="000000"/>
        </w:rPr>
        <w:t>、山东省</w:t>
      </w:r>
      <w:r>
        <w:rPr>
          <w:rFonts w:hint="eastAsia"/>
          <w:color w:val="000000"/>
        </w:rPr>
        <w:t>“</w:t>
      </w:r>
      <w:r>
        <w:rPr>
          <w:color w:val="000000"/>
        </w:rPr>
        <w:t>教育服务新旧动能转换专业对接产业项目</w:t>
      </w:r>
      <w:r>
        <w:rPr>
          <w:rFonts w:hint="eastAsia"/>
          <w:color w:val="000000"/>
        </w:rPr>
        <w:t>”</w:t>
      </w:r>
      <w:r>
        <w:rPr>
          <w:color w:val="000000"/>
        </w:rPr>
        <w:t>的学科，山东省重点学科</w:t>
      </w:r>
      <w:r>
        <w:rPr>
          <w:rFonts w:hint="eastAsia"/>
          <w:color w:val="000000"/>
        </w:rPr>
        <w:t>“</w:t>
      </w:r>
      <w:r>
        <w:rPr>
          <w:color w:val="000000"/>
        </w:rPr>
        <w:t>动物生殖与育种生物技术</w:t>
      </w:r>
      <w:r>
        <w:rPr>
          <w:rFonts w:hint="eastAsia"/>
          <w:color w:val="000000"/>
        </w:rPr>
        <w:t>”</w:t>
      </w:r>
      <w:r>
        <w:rPr>
          <w:color w:val="000000"/>
        </w:rPr>
        <w:t>的重要组成部分。本专业基本学制为4年，学习年限为3-6年。</w:t>
      </w:r>
    </w:p>
    <w:p>
      <w:pPr>
        <w:spacing w:line="410" w:lineRule="exact"/>
        <w:ind w:firstLine="482"/>
      </w:pPr>
      <w:r>
        <w:rPr>
          <w:rFonts w:eastAsia="黑体"/>
          <w:bCs/>
          <w:color w:val="000000"/>
        </w:rPr>
        <w:t>2. 在校生规模：</w:t>
      </w:r>
      <w:r>
        <w:t>截至到2022年9月30日，本专业的在校生为393人。其中，2019级76人，2020级112人，2021级104人，2022级101人。</w:t>
      </w:r>
    </w:p>
    <w:p>
      <w:pPr>
        <w:spacing w:line="410" w:lineRule="exact"/>
        <w:ind w:firstLine="482"/>
        <w:rPr>
          <w:color w:val="000000"/>
        </w:rPr>
      </w:pPr>
      <w:r>
        <w:rPr>
          <w:rFonts w:eastAsia="黑体"/>
          <w:bCs/>
          <w:color w:val="000000"/>
        </w:rPr>
        <w:t>3. 课程体系：</w:t>
      </w:r>
      <w:r>
        <w:t>本专业目前正在使用的培养方案是2018年新修订的，课程体</w:t>
      </w:r>
      <w:r>
        <w:rPr>
          <w:color w:val="000000"/>
        </w:rPr>
        <w:t>系包括通识教育课、学科基础课、专业核心课与拓展教育课四大类别。通识教育课包括14门必修课和14学分选修课，合计42学分；学科基础课包括9门理论课和9门实验课，合计43.8学分；专业核心课安排了17门本专业的必修课和5门实验课，合计34.5学分。主要课程包括：《思想道德修养与法律基础》、《马克思主义基本原理》、《中国近现代史纲要》、《毛泽东思想和中国特色社会主义理论体系概论》、《化学》、《动物生物化学》、《动物生物化学实验》、《动物生理学》、《动物解剖学》、《生物统计学》、《动物组织胚胎学》、《畜牧微生物学》、《动物遗传学》、《动物遗传学实验》、《细胞与分子生物学》、《动物营养与饲料学》、《畜禽环境卫生与牧场设计》、《动物育种学》、《动物繁殖学》、《动物生产学》、《基础化学实验》、《动物生物化学实验》、《动物生理学实验》。实践教学环节包括课程试验、基础实践、专业实践、综合实践三部分，共51.3学分，占总学分的30.2%，包括牧场设计教学实习、动物营养与饲料教学实习、动物繁殖育种教学实习、动物生产I教学实习、动物生产II教学实习、动物繁殖育种课程论文、动物生产课程论文、动物营养与饲料课程论文、创业实践、毕业实习、毕业论文（设计）等。</w:t>
      </w:r>
    </w:p>
    <w:p>
      <w:pPr>
        <w:spacing w:line="410" w:lineRule="exact"/>
        <w:ind w:firstLine="482"/>
        <w:rPr>
          <w:color w:val="000000"/>
        </w:rPr>
      </w:pPr>
      <w:r>
        <w:rPr>
          <w:rFonts w:eastAsia="黑体"/>
          <w:bCs/>
          <w:color w:val="000000"/>
        </w:rPr>
        <w:t>4. 创新创业教育：</w:t>
      </w:r>
      <w:r>
        <w:rPr>
          <w:color w:val="000000"/>
        </w:rPr>
        <w:t>本专业在抓学生课堂学习的同时，非常重视大学生创新创业教育，在课程体系中设置了《动物科学学科前沿专题讲座》、《职业发展与就业创业指导课》等课程，邀请畜牧生产、研究、经营管理等各个层面的专家进行专题报告。目前，已与山东新希望六和、山东和美华集团、山东安池农牧科技有限公司、山东省畜牧总站、华夏维康集团、山东玖瑞农业集团等20余家企、事业单位建立了长期联系，每年邀请企业董事长、总经理、技术总监、生产负责人、行业主管领导等到校为学生开展专题讲座，并与学生面对面交流，专题涵盖畜禽育种、饲养、饲料、环境控制及废弃物处理等各个环节，有力的促进了学生了解生产、熟悉行业。通过实践实习、参与老师课题项目、学生SRT项目以及创业项目等的训练，学生的实践能力和创新能力得到了有力的提高。本年度，考察和筛选了20余家企业单位作为本科生实践基地，7-9月完成了2020级动物科学专业为期2个月的专业实践教学工作，顶岗实习和带岗实习使学生对生产一线有了充分的认真，在实习中了解了产业，熟悉了生产，起到了非常好的效果。</w:t>
      </w:r>
    </w:p>
    <w:p>
      <w:pPr>
        <w:ind w:firstLine="480"/>
        <w:rPr>
          <w:color w:val="000000"/>
        </w:rPr>
      </w:pPr>
    </w:p>
    <w:p>
      <w:pPr>
        <w:spacing w:line="240" w:lineRule="auto"/>
        <w:jc w:val="center"/>
        <w:rPr>
          <w:rFonts w:eastAsiaTheme="minorEastAsia"/>
          <w:snapToGrid w:val="0"/>
          <w:color w:val="000000"/>
          <w:w w:val="0"/>
          <w:kern w:val="0"/>
          <w:sz w:val="0"/>
          <w:szCs w:val="0"/>
          <w:u w:color="000000"/>
          <w:shd w:val="clear" w:color="000000" w:fill="000000"/>
        </w:rPr>
      </w:pPr>
      <w:r>
        <w:rPr>
          <w:rFonts w:eastAsia="Times New Roman"/>
          <w:snapToGrid w:val="0"/>
          <w:color w:val="000000"/>
          <w:w w:val="0"/>
          <w:kern w:val="0"/>
          <w:sz w:val="0"/>
          <w:szCs w:val="0"/>
          <w:u w:color="000000"/>
          <w:shd w:val="clear" w:color="000000" w:fill="000000"/>
        </w:rPr>
        <w:t xml:space="preserve"> </w:t>
      </w:r>
      <w:r>
        <w:rPr>
          <w:color w:val="000000"/>
        </w:rPr>
        <w:drawing>
          <wp:inline distT="0" distB="0" distL="0" distR="0">
            <wp:extent cx="2878455" cy="2159635"/>
            <wp:effectExtent l="0" t="0" r="17145" b="12065"/>
            <wp:docPr id="47" name="图片 47" descr="E:\教学工作\专业实践\2020级\微信图片_2022082011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E:\教学工作\专业实践\2020级\微信图片_20220820115005.jpg"/>
                    <pic:cNvPicPr>
                      <a:picLocks noChangeAspect="1" noChangeArrowheads="1"/>
                    </pic:cNvPicPr>
                  </pic:nvPicPr>
                  <pic:blipFill>
                    <a:blip r:embed="rId69" cstate="print"/>
                    <a:srcRect/>
                    <a:stretch>
                      <a:fillRect/>
                    </a:stretch>
                  </pic:blipFill>
                  <pic:spPr>
                    <a:xfrm>
                      <a:off x="0" y="0"/>
                      <a:ext cx="2878551" cy="2160000"/>
                    </a:xfrm>
                    <a:prstGeom prst="rect">
                      <a:avLst/>
                    </a:prstGeom>
                    <a:noFill/>
                    <a:ln w="9525">
                      <a:noFill/>
                      <a:miter lim="800000"/>
                      <a:headEnd/>
                      <a:tailEnd/>
                    </a:ln>
                  </pic:spPr>
                </pic:pic>
              </a:graphicData>
            </a:graphic>
          </wp:inline>
        </w:drawing>
      </w:r>
      <w:r>
        <w:rPr>
          <w:rFonts w:eastAsia="Times New Roman"/>
          <w:snapToGrid w:val="0"/>
          <w:color w:val="000000"/>
          <w:w w:val="0"/>
          <w:kern w:val="0"/>
          <w:sz w:val="0"/>
          <w:szCs w:val="0"/>
          <w:u w:color="000000"/>
          <w:shd w:val="clear" w:color="000000" w:fill="000000"/>
        </w:rPr>
        <w:t xml:space="preserve"> </w:t>
      </w:r>
      <w:r>
        <w:rPr>
          <w:rFonts w:eastAsiaTheme="minorEastAsia"/>
          <w:snapToGrid w:val="0"/>
          <w:color w:val="000000"/>
          <w:w w:val="0"/>
          <w:kern w:val="0"/>
          <w:sz w:val="0"/>
          <w:szCs w:val="0"/>
          <w:u w:color="000000"/>
          <w:shd w:val="clear" w:color="000000" w:fill="000000"/>
        </w:rPr>
        <w:t xml:space="preserve">            </w:t>
      </w:r>
      <w:r>
        <w:rPr>
          <w:rFonts w:eastAsia="Times New Roman"/>
          <w:color w:val="000000"/>
          <w:w w:val="0"/>
          <w:kern w:val="0"/>
          <w:sz w:val="0"/>
          <w:szCs w:val="0"/>
          <w:u w:color="000000"/>
          <w:shd w:val="clear" w:color="000000" w:fill="000000"/>
        </w:rPr>
        <w:drawing>
          <wp:inline distT="0" distB="0" distL="0" distR="0">
            <wp:extent cx="1621790" cy="2159635"/>
            <wp:effectExtent l="0" t="0" r="16510" b="12065"/>
            <wp:docPr id="48" name="图片 48" descr="E:\教学工作\专业实践\2020级\mmexport1661229098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E:\教学工作\专业实践\2020级\mmexport1661229098825.jpg"/>
                    <pic:cNvPicPr>
                      <a:picLocks noChangeAspect="1" noChangeArrowheads="1"/>
                    </pic:cNvPicPr>
                  </pic:nvPicPr>
                  <pic:blipFill>
                    <a:blip r:embed="rId70" cstate="print"/>
                    <a:srcRect/>
                    <a:stretch>
                      <a:fillRect/>
                    </a:stretch>
                  </pic:blipFill>
                  <pic:spPr>
                    <a:xfrm>
                      <a:off x="0" y="0"/>
                      <a:ext cx="1622276" cy="2160000"/>
                    </a:xfrm>
                    <a:prstGeom prst="rect">
                      <a:avLst/>
                    </a:prstGeom>
                    <a:noFill/>
                    <a:ln w="9525">
                      <a:noFill/>
                      <a:miter lim="800000"/>
                      <a:headEnd/>
                      <a:tailEnd/>
                    </a:ln>
                  </pic:spPr>
                </pic:pic>
              </a:graphicData>
            </a:graphic>
          </wp:inline>
        </w:drawing>
      </w:r>
    </w:p>
    <w:p>
      <w:pPr>
        <w:spacing w:line="240" w:lineRule="auto"/>
        <w:jc w:val="center"/>
        <w:rPr>
          <w:color w:val="000000"/>
        </w:rPr>
      </w:pPr>
    </w:p>
    <w:p>
      <w:pPr>
        <w:pStyle w:val="5"/>
        <w:spacing w:before="93" w:after="93"/>
        <w:ind w:firstLine="560"/>
      </w:pPr>
      <w:bookmarkStart w:id="275" w:name="_Toc13460"/>
      <w:r>
        <w:t>三、培养条件</w:t>
      </w:r>
      <w:bookmarkEnd w:id="275"/>
    </w:p>
    <w:p>
      <w:pPr>
        <w:spacing w:line="390" w:lineRule="exact"/>
        <w:ind w:firstLine="482"/>
        <w:rPr>
          <w:color w:val="000000"/>
        </w:rPr>
      </w:pPr>
      <w:r>
        <w:rPr>
          <w:rFonts w:eastAsia="黑体"/>
          <w:bCs/>
          <w:color w:val="000000"/>
        </w:rPr>
        <w:t>1. 教学经费投入：</w:t>
      </w:r>
      <w:r>
        <w:rPr>
          <w:color w:val="000000"/>
        </w:rPr>
        <w:t>按照教学计划和学生人数，学校持续投入教学运行经费，主要用于日常教学运行、实验教学、实习实践教学、教学改革、课程建设、仪器设备购置和维修等，保障教学效果和专业建设水平。2021-2022年度全院教学经费投入共计200余万元，用于本专业的教学经费约为70万元。</w:t>
      </w:r>
    </w:p>
    <w:p>
      <w:pPr>
        <w:ind w:firstLine="482"/>
        <w:rPr>
          <w:color w:val="000000"/>
        </w:rPr>
      </w:pPr>
      <w:r>
        <w:rPr>
          <w:rFonts w:eastAsia="黑体"/>
          <w:bCs/>
          <w:color w:val="000000"/>
        </w:rPr>
        <w:t>2. 教学设备：</w:t>
      </w:r>
      <w:r>
        <w:rPr>
          <w:color w:val="000000"/>
        </w:rPr>
        <w:t>实践与动手能力是动物科学专业学生培养的重点环节。通过以强化实践教学，提高实践教学质量为龙头，促进了学生动手能力培养质量的不断提高。设立了动物科学实验教学中心，中心设有基础兽医学实验室、预防兽医学实验室、临床兽医学实验室、动物营养与饲料科学实验室、动物遗传育种与繁殖学实验室、水产养殖学实验室、兽药制药工程实验室、动物检疫实验室等8个综合实验室，拥有2个校内实践教学基地。2008年被评为</w:t>
      </w:r>
      <w:r>
        <w:rPr>
          <w:rFonts w:hint="eastAsia"/>
          <w:color w:val="000000"/>
        </w:rPr>
        <w:t>“</w:t>
      </w:r>
      <w:r>
        <w:rPr>
          <w:color w:val="000000"/>
        </w:rPr>
        <w:t>山东省普通高等学校实验教学示范中心</w:t>
      </w:r>
      <w:r>
        <w:rPr>
          <w:rFonts w:hint="eastAsia"/>
          <w:color w:val="000000"/>
        </w:rPr>
        <w:t>”</w:t>
      </w:r>
      <w:r>
        <w:rPr>
          <w:color w:val="000000"/>
        </w:rPr>
        <w:t>，2009年被教育部、财政部批准为</w:t>
      </w:r>
      <w:r>
        <w:rPr>
          <w:rFonts w:hint="eastAsia"/>
          <w:color w:val="000000"/>
        </w:rPr>
        <w:t>“</w:t>
      </w:r>
      <w:r>
        <w:rPr>
          <w:color w:val="000000"/>
        </w:rPr>
        <w:t>国家级实验教学示范中心建设单位</w:t>
      </w:r>
      <w:r>
        <w:rPr>
          <w:rFonts w:hint="eastAsia"/>
          <w:color w:val="000000"/>
        </w:rPr>
        <w:t>”</w:t>
      </w:r>
      <w:r>
        <w:rPr>
          <w:color w:val="000000"/>
        </w:rPr>
        <w:t>。目前，实验中心用于本科教学的仪器设备共计2800余台（套）。设备总值1600余万元，其中本专业专用仪器设备总值约650万元。</w:t>
      </w:r>
    </w:p>
    <w:p>
      <w:pPr>
        <w:ind w:firstLine="482"/>
        <w:rPr>
          <w:color w:val="000000"/>
        </w:rPr>
      </w:pPr>
      <w:r>
        <w:rPr>
          <w:rFonts w:eastAsia="黑体"/>
          <w:bCs/>
          <w:color w:val="000000"/>
        </w:rPr>
        <w:t>3. 教师队伍建设：</w:t>
      </w:r>
      <w:r>
        <w:rPr>
          <w:color w:val="000000"/>
        </w:rPr>
        <w:t>本专业已经建立了一支年龄与学历结构合理、研究实力雄厚、富有合作意识和团队精神的师资队伍。现有专任教师49人，其中，教授20人，副教授20人，有国家杰青1人，国家级有突出贡献的中青年专家2人，国家</w:t>
      </w:r>
      <w:r>
        <w:rPr>
          <w:rFonts w:hint="eastAsia"/>
          <w:color w:val="000000"/>
        </w:rPr>
        <w:t>“</w:t>
      </w:r>
      <w:r>
        <w:rPr>
          <w:color w:val="000000"/>
        </w:rPr>
        <w:t>百千万人才工程</w:t>
      </w:r>
      <w:r>
        <w:rPr>
          <w:rFonts w:hint="eastAsia"/>
          <w:color w:val="000000"/>
        </w:rPr>
        <w:t>”</w:t>
      </w:r>
      <w:r>
        <w:rPr>
          <w:color w:val="000000"/>
        </w:rPr>
        <w:t>人，</w:t>
      </w:r>
      <w:r>
        <w:rPr>
          <w:rFonts w:hint="eastAsia"/>
          <w:color w:val="000000"/>
        </w:rPr>
        <w:t>“</w:t>
      </w:r>
      <w:r>
        <w:rPr>
          <w:color w:val="000000"/>
        </w:rPr>
        <w:t>国家海外高层次人才</w:t>
      </w:r>
      <w:r>
        <w:rPr>
          <w:rFonts w:hint="eastAsia"/>
          <w:color w:val="000000"/>
        </w:rPr>
        <w:t>”</w:t>
      </w:r>
      <w:r>
        <w:rPr>
          <w:color w:val="000000"/>
        </w:rPr>
        <w:t>青年专家1人，泰山学者2人，泰山产业领军人才1人，4人入选国家现代农业产业技术体系科学家岗位，2人入选山东省农业产业技术首席，7人入选山东省农业产业技术岗位专家，2人入选山东省农业产业技术试验站长。专任教师中，98%拥有博士学位，20余人具有国外学习与合作研究经历。目前，所有教授均承担本科生课程。</w:t>
      </w:r>
    </w:p>
    <w:p>
      <w:pPr>
        <w:ind w:firstLine="482"/>
        <w:rPr>
          <w:color w:val="000000"/>
        </w:rPr>
      </w:pPr>
      <w:r>
        <w:rPr>
          <w:rFonts w:eastAsia="黑体"/>
          <w:bCs/>
          <w:color w:val="000000"/>
        </w:rPr>
        <w:t>4. 实践基地建设：</w:t>
      </w:r>
      <w:r>
        <w:rPr>
          <w:color w:val="000000"/>
        </w:rPr>
        <w:t>根据专业特点，结合专业教师与产业和企业结合紧密的优势，不断建设校外实践实习基地，提升学生实践实训培养能力，保障人才培养质量。目前，本专业针对学生实践和实习需要，已联合省内外企业合作建立教学科研实践育人基地85家，与这些实践教学基地已建立长期稳定的联系，能够完全保障本专业课程实习、实践教学需要。结合实践教学基地建设，安排青年教师带队开展本科生实践学习，所有青年教师入职后必须到企业实践锻炼半年，了解生产现状，更好的开展教学和人才培养工作。强化教师与企业的联系，企业出题目、校企联合攻关，通过联合申报课题、合作研发等方式共同解决生产中的难题，多种形式开展技术服务，促进产业技术提升和发展。</w:t>
      </w:r>
    </w:p>
    <w:p>
      <w:pPr>
        <w:ind w:firstLine="482"/>
        <w:rPr>
          <w:color w:val="000000"/>
        </w:rPr>
      </w:pPr>
      <w:r>
        <w:rPr>
          <w:rFonts w:eastAsia="黑体"/>
          <w:bCs/>
          <w:color w:val="000000"/>
        </w:rPr>
        <w:t>5. 信息化建设：</w:t>
      </w:r>
      <w:r>
        <w:rPr>
          <w:color w:val="000000"/>
        </w:rPr>
        <w:t>在传统教学过程的基础上，运用现代教育技术学的优势，以多媒体技术和网络技术为核心的信息技术提升传统教学模式，在教学过程中，充分利用现代教学技术（雨课堂）进行授课，丰富了教学手段，提高了教学效果，部分课程如动物生理学已完成视频教学材料的录制。在本学年应对新冠疫情开展线上教学的基础上，本专业教师进一步熟练了腾讯课堂等线上教学软件的应用，结合线上教学的实际需要，进一步发挥了在线教学技术支持</w:t>
      </w:r>
      <w:r>
        <w:t>志愿者团队的作用，在其他老师有需要时通过电话、微信视频乃至一对一现场演示等方式为其提供具体性指导和帮助，</w:t>
      </w:r>
      <w:r>
        <w:rPr>
          <w:color w:val="000000"/>
        </w:rPr>
        <w:t>有力的保障了教学效果。</w:t>
      </w:r>
    </w:p>
    <w:p>
      <w:pPr>
        <w:pStyle w:val="5"/>
        <w:spacing w:before="93" w:after="93"/>
        <w:ind w:firstLine="560"/>
      </w:pPr>
      <w:bookmarkStart w:id="276" w:name="_Toc16103"/>
      <w:r>
        <w:t>四、培养机制与特色</w:t>
      </w:r>
      <w:bookmarkEnd w:id="276"/>
    </w:p>
    <w:p>
      <w:pPr>
        <w:ind w:firstLine="480"/>
        <w:rPr>
          <w:color w:val="000000"/>
        </w:rPr>
      </w:pPr>
      <w:r>
        <w:rPr>
          <w:color w:val="000000"/>
        </w:rPr>
        <w:t>根据</w:t>
      </w:r>
      <w:r>
        <w:rPr>
          <w:rFonts w:hint="eastAsia"/>
          <w:color w:val="000000"/>
        </w:rPr>
        <w:t>“</w:t>
      </w:r>
      <w:r>
        <w:rPr>
          <w:color w:val="000000"/>
        </w:rPr>
        <w:t>新农科</w:t>
      </w:r>
      <w:r>
        <w:rPr>
          <w:rFonts w:hint="eastAsia"/>
          <w:color w:val="000000"/>
        </w:rPr>
        <w:t>”</w:t>
      </w:r>
      <w:r>
        <w:rPr>
          <w:color w:val="000000"/>
        </w:rPr>
        <w:t>创新型专业人才培养的要求以及畜牧业装备化、智能化的新业态人才需求，经过多年实践和完善，依据</w:t>
      </w:r>
      <w:r>
        <w:rPr>
          <w:rFonts w:hint="eastAsia"/>
          <w:color w:val="000000"/>
        </w:rPr>
        <w:t>“</w:t>
      </w:r>
      <w:r>
        <w:rPr>
          <w:color w:val="000000"/>
        </w:rPr>
        <w:t>供需反转、互融互促</w:t>
      </w:r>
      <w:r>
        <w:rPr>
          <w:rFonts w:hint="eastAsia"/>
          <w:color w:val="000000"/>
        </w:rPr>
        <w:t>”</w:t>
      </w:r>
      <w:r>
        <w:rPr>
          <w:color w:val="000000"/>
        </w:rPr>
        <w:t>的育人新理念，强化顶层设计，不断完善人才培养方案，优化课程体系，设立实践学期，将企业育人资源前移，从师资、课程、平台等多方面入手强化企业育人参与度，实现人才培养供给侧和产业需求侧无缝衔接。联合企业设立产教学院，建立校企合作班，共享师资、共建课程、共建平台，实现校内和校外育人资源的</w:t>
      </w:r>
      <w:r>
        <w:rPr>
          <w:rFonts w:hint="eastAsia"/>
          <w:color w:val="000000"/>
        </w:rPr>
        <w:t>“</w:t>
      </w:r>
      <w:r>
        <w:rPr>
          <w:color w:val="000000"/>
        </w:rPr>
        <w:t>两翼共振</w:t>
      </w:r>
      <w:r>
        <w:rPr>
          <w:rFonts w:hint="eastAsia"/>
          <w:color w:val="000000"/>
        </w:rPr>
        <w:t>”</w:t>
      </w:r>
      <w:r>
        <w:rPr>
          <w:color w:val="000000"/>
        </w:rPr>
        <w:t>，有效推动实践教学平台对人才培养的支撑，综合形成了产教融合的</w:t>
      </w:r>
      <w:r>
        <w:rPr>
          <w:rFonts w:hint="eastAsia"/>
          <w:color w:val="000000"/>
        </w:rPr>
        <w:t>“</w:t>
      </w:r>
      <w:r>
        <w:rPr>
          <w:color w:val="000000"/>
        </w:rPr>
        <w:t>六阶段三融合三提升</w:t>
      </w:r>
      <w:r>
        <w:rPr>
          <w:rFonts w:hint="eastAsia"/>
          <w:color w:val="000000"/>
        </w:rPr>
        <w:t>”</w:t>
      </w:r>
      <w:r>
        <w:rPr>
          <w:color w:val="000000"/>
        </w:rPr>
        <w:t>的人才培养模式。以增设的实践学期为依托，建立了</w:t>
      </w:r>
      <w:r>
        <w:rPr>
          <w:rFonts w:hint="eastAsia"/>
          <w:color w:val="000000"/>
        </w:rPr>
        <w:t>“</w:t>
      </w:r>
      <w:r>
        <w:rPr>
          <w:color w:val="000000"/>
        </w:rPr>
        <w:t>基础理论—认知实践—专业基础理论—专业实践—专业理论—生产实践</w:t>
      </w:r>
      <w:r>
        <w:rPr>
          <w:rFonts w:hint="eastAsia"/>
          <w:color w:val="000000"/>
        </w:rPr>
        <w:t>”</w:t>
      </w:r>
      <w:r>
        <w:rPr>
          <w:color w:val="000000"/>
        </w:rPr>
        <w:t>六阶段培养路径；校企联合举办各类专业技能大赛</w:t>
      </w:r>
      <w:r>
        <w:rPr>
          <w:rFonts w:hint="eastAsia"/>
          <w:color w:val="000000"/>
        </w:rPr>
        <w:t>“</w:t>
      </w:r>
      <w:r>
        <w:rPr>
          <w:color w:val="000000"/>
        </w:rPr>
        <w:t>课赛融合</w:t>
      </w:r>
      <w:r>
        <w:rPr>
          <w:rFonts w:hint="eastAsia"/>
          <w:color w:val="000000"/>
        </w:rPr>
        <w:t>”</w:t>
      </w:r>
      <w:r>
        <w:rPr>
          <w:color w:val="000000"/>
        </w:rPr>
        <w:t>，校企共建虚拟仿真实验课程、线上线下混合式教学</w:t>
      </w:r>
      <w:r>
        <w:rPr>
          <w:rFonts w:hint="eastAsia"/>
          <w:color w:val="000000"/>
        </w:rPr>
        <w:t>“</w:t>
      </w:r>
      <w:r>
        <w:rPr>
          <w:color w:val="000000"/>
        </w:rPr>
        <w:t>虚实融合</w:t>
      </w:r>
      <w:r>
        <w:rPr>
          <w:rFonts w:hint="eastAsia"/>
          <w:color w:val="000000"/>
        </w:rPr>
        <w:t>”</w:t>
      </w:r>
      <w:r>
        <w:rPr>
          <w:color w:val="000000"/>
        </w:rPr>
        <w:t>，校企合作开展专业实践课程、横向科研项目</w:t>
      </w:r>
      <w:r>
        <w:rPr>
          <w:rFonts w:hint="eastAsia"/>
          <w:color w:val="000000"/>
        </w:rPr>
        <w:t>“</w:t>
      </w:r>
      <w:r>
        <w:rPr>
          <w:color w:val="000000"/>
        </w:rPr>
        <w:t>科教融合</w:t>
      </w:r>
      <w:r>
        <w:rPr>
          <w:rFonts w:hint="eastAsia"/>
          <w:color w:val="000000"/>
        </w:rPr>
        <w:t>”</w:t>
      </w:r>
      <w:r>
        <w:rPr>
          <w:color w:val="000000"/>
        </w:rPr>
        <w:t>；促进学生基础能力、实践创新能力和服务三农综合能力的</w:t>
      </w:r>
      <w:r>
        <w:rPr>
          <w:rFonts w:hint="eastAsia"/>
          <w:color w:val="000000"/>
        </w:rPr>
        <w:t>“</w:t>
      </w:r>
      <w:r>
        <w:rPr>
          <w:color w:val="000000"/>
        </w:rPr>
        <w:t>三提升</w:t>
      </w:r>
      <w:r>
        <w:rPr>
          <w:rFonts w:hint="eastAsia"/>
          <w:color w:val="000000"/>
        </w:rPr>
        <w:t>”</w:t>
      </w:r>
      <w:r>
        <w:rPr>
          <w:color w:val="000000"/>
        </w:rPr>
        <w:t>，解决了专业人才培养能力与产业需求不能完全匹配的问题。</w:t>
      </w:r>
    </w:p>
    <w:p>
      <w:pPr>
        <w:ind w:firstLine="480"/>
        <w:rPr>
          <w:color w:val="000000"/>
        </w:rPr>
      </w:pPr>
      <w:r>
        <w:rPr>
          <w:color w:val="000000"/>
        </w:rPr>
        <w:t>采用</w:t>
      </w:r>
      <w:r>
        <w:rPr>
          <w:rFonts w:hint="eastAsia"/>
          <w:color w:val="000000"/>
        </w:rPr>
        <w:t>“</w:t>
      </w:r>
      <w:r>
        <w:rPr>
          <w:color w:val="000000"/>
        </w:rPr>
        <w:t>辅导员-班主任-班主任助理-班委</w:t>
      </w:r>
      <w:r>
        <w:rPr>
          <w:rFonts w:hint="eastAsia"/>
          <w:color w:val="000000"/>
        </w:rPr>
        <w:t>”</w:t>
      </w:r>
      <w:r>
        <w:rPr>
          <w:color w:val="000000"/>
        </w:rPr>
        <w:t>四级联合实现对班级的管理，从思想、专业、生活等方面全方位进行管理。学生通过课堂笔记、讨论等形式回归课堂，教学效果非常显著。</w:t>
      </w:r>
    </w:p>
    <w:p>
      <w:pPr>
        <w:ind w:firstLine="480"/>
        <w:rPr>
          <w:color w:val="000000"/>
        </w:rPr>
      </w:pPr>
      <w:r>
        <w:rPr>
          <w:color w:val="000000"/>
        </w:rPr>
        <w:t>发挥企业在育人中的作用，从大一开始，为每个班级遴选一家行业内知名企业建立</w:t>
      </w:r>
      <w:r>
        <w:rPr>
          <w:rFonts w:hint="eastAsia"/>
          <w:color w:val="000000"/>
        </w:rPr>
        <w:t>“</w:t>
      </w:r>
      <w:r>
        <w:rPr>
          <w:color w:val="000000"/>
        </w:rPr>
        <w:t>校企合作</w:t>
      </w:r>
      <w:r>
        <w:rPr>
          <w:rFonts w:hint="eastAsia"/>
          <w:color w:val="000000"/>
        </w:rPr>
        <w:t>”</w:t>
      </w:r>
      <w:r>
        <w:rPr>
          <w:color w:val="000000"/>
        </w:rPr>
        <w:t>班，定期举行技术讲座、企业现场交流、团队拓展等多种形式的活动，提升学生对专业的兴趣和创新能力、增强凝聚力；根据专业实践需要，遴选符合行业发展趋势、技术先进、条件优良的企业作为实践教育基地，大三上学期开展为期两个月的集中实践，配备企业和校内</w:t>
      </w:r>
      <w:r>
        <w:rPr>
          <w:rFonts w:hint="eastAsia"/>
          <w:color w:val="000000"/>
        </w:rPr>
        <w:t>“</w:t>
      </w:r>
      <w:r>
        <w:rPr>
          <w:color w:val="000000"/>
        </w:rPr>
        <w:t>双导师</w:t>
      </w:r>
      <w:r>
        <w:rPr>
          <w:rFonts w:hint="eastAsia"/>
          <w:color w:val="000000"/>
        </w:rPr>
        <w:t>”</w:t>
      </w:r>
      <w:r>
        <w:rPr>
          <w:color w:val="000000"/>
        </w:rPr>
        <w:t>，指导学生现场顶岗实践，在生产中发现问题并解决问题，增强学生实践动手能力的同时提升对行业和产业的认知。2021-2022学年先后通过企业专人到校讲座交流、班主任带队到企业实践实训等形式开展10余次学生与企业的互动，实现学生和企业的双向了解，有力促进了学生对行业的认知和实践能力的提高，保障了人才培养质量需求。</w:t>
      </w:r>
    </w:p>
    <w:p>
      <w:pPr>
        <w:pStyle w:val="5"/>
        <w:spacing w:before="93" w:after="93"/>
        <w:ind w:firstLine="560"/>
      </w:pPr>
      <w:bookmarkStart w:id="277" w:name="_Toc26232"/>
      <w:r>
        <w:t>五、培养质量</w:t>
      </w:r>
      <w:bookmarkEnd w:id="277"/>
    </w:p>
    <w:p>
      <w:pPr>
        <w:ind w:firstLine="480"/>
        <w:rPr>
          <w:color w:val="000000"/>
        </w:rPr>
      </w:pPr>
      <w:r>
        <w:rPr>
          <w:color w:val="000000"/>
        </w:rPr>
        <w:t>整体办学水平实现了飞跃，集中表现在三个方面：</w:t>
      </w:r>
    </w:p>
    <w:p>
      <w:pPr>
        <w:ind w:firstLine="480"/>
        <w:rPr>
          <w:color w:val="000000"/>
        </w:rPr>
      </w:pPr>
      <w:r>
        <w:rPr>
          <w:color w:val="000000"/>
        </w:rPr>
        <w:t>（1）本专业受到社会的广泛认可。2001年被确定为山东省高校招生热门专业，学生报考积积极性持续提高，社会效益显著；</w:t>
      </w:r>
    </w:p>
    <w:p>
      <w:pPr>
        <w:ind w:firstLine="480"/>
        <w:rPr>
          <w:color w:val="000000"/>
        </w:rPr>
      </w:pPr>
      <w:r>
        <w:rPr>
          <w:color w:val="000000"/>
        </w:rPr>
        <w:t>（2）毕业生就业率维持高水平。截止2022年8月31日，毕业生就业49人，毕业去向落实率为85.96%，其中男生就业27人，毕业去向落实率为84.38%，女生就业22人，毕业去向落实率为88.00%；毕业生留鲁就业的30人，占已就业总人数的61.22%，出省就业共19人，占38.78%，主要流向广东省、湖北省、江苏省等省份；</w:t>
      </w:r>
    </w:p>
    <w:p>
      <w:pPr>
        <w:ind w:firstLine="480"/>
        <w:rPr>
          <w:color w:val="000000"/>
        </w:rPr>
      </w:pPr>
      <w:r>
        <w:rPr>
          <w:color w:val="000000"/>
        </w:rPr>
        <w:t>（3）人才培养质量持续提高。本专业毕业生当年考取研究生35人，升学率61.40%，其中考入</w:t>
      </w:r>
      <w:r>
        <w:rPr>
          <w:rFonts w:hint="eastAsia"/>
          <w:color w:val="000000"/>
        </w:rPr>
        <w:t>“</w:t>
      </w:r>
      <w:r>
        <w:rPr>
          <w:color w:val="000000"/>
        </w:rPr>
        <w:t>双一流</w:t>
      </w:r>
      <w:r>
        <w:rPr>
          <w:rFonts w:hint="eastAsia"/>
          <w:color w:val="000000"/>
        </w:rPr>
        <w:t>”</w:t>
      </w:r>
      <w:r>
        <w:rPr>
          <w:color w:val="000000"/>
        </w:rPr>
        <w:t>大学9人，占国内升学总人数的25.71%，升学学校主要包括中国农业科学院、中国农业大学、山东农业大学等；</w:t>
      </w:r>
    </w:p>
    <w:p>
      <w:pPr>
        <w:ind w:firstLine="480"/>
        <w:rPr>
          <w:color w:val="000000"/>
        </w:rPr>
      </w:pPr>
      <w:r>
        <w:rPr>
          <w:color w:val="000000"/>
        </w:rPr>
        <w:t>（4）专业人才质量获得用人单位好评。依托产教融合的</w:t>
      </w:r>
      <w:r>
        <w:rPr>
          <w:rFonts w:hint="eastAsia"/>
          <w:color w:val="000000"/>
        </w:rPr>
        <w:t>“</w:t>
      </w:r>
      <w:r>
        <w:rPr>
          <w:color w:val="000000"/>
        </w:rPr>
        <w:t>六阶段三融合三提升</w:t>
      </w:r>
      <w:r>
        <w:rPr>
          <w:rFonts w:hint="eastAsia"/>
          <w:color w:val="000000"/>
        </w:rPr>
        <w:t>”</w:t>
      </w:r>
      <w:r>
        <w:rPr>
          <w:color w:val="000000"/>
        </w:rPr>
        <w:t>的人才培养模式，本专业培养毕业生在对接生产和实践、创新能力上获得了包括新希望六和、中慧、牧原等国内知名企业的高度认可，历届毕业生在各自的岗位取得了卓著成绩，成为我国畜牧行业的中坚力量，为我国畜牧业的腾飞做出了应有贡献，获得用人单位的一致好评。</w:t>
      </w:r>
    </w:p>
    <w:p>
      <w:pPr>
        <w:pStyle w:val="5"/>
        <w:spacing w:before="93" w:after="93"/>
        <w:ind w:firstLine="560"/>
      </w:pPr>
      <w:bookmarkStart w:id="278" w:name="_Toc24093"/>
      <w:r>
        <w:t>六、毕业生就业创业</w:t>
      </w:r>
      <w:bookmarkEnd w:id="278"/>
    </w:p>
    <w:p>
      <w:pPr>
        <w:ind w:firstLine="480"/>
        <w:rPr>
          <w:color w:val="000000"/>
        </w:rPr>
      </w:pPr>
      <w:r>
        <w:rPr>
          <w:color w:val="000000"/>
        </w:rPr>
        <w:t>本专业注重学生创新创业教育，在课程设置及日常教学中对学生进行潜移默化的培养和教育。如，本专业开设的《动物科学学科前沿专题讲座》是面向动物科学专业的必修课，是为加深学生对畜牧产业发展的了解而专门设置的一门课程。本课程通过邀请畜牧生产、研究、经营管理等各个层面的专家进行专题报告。目前，已与山东和美华集团、华夏维康及图案、山东玖瑞农业集团、天聚安普瑞禽业科技有限公司、华牧天元农牧有限公司、山东安池农牧科技有限公司等10余家企业建立了长期联系，每年邀请企业董事长、总经理、技术总监、生产负责人等到校为学生开展专题讲座，并与学生面对面交流，专题涵盖畜禽育种、饲养、饲料、环境控制及废弃物处理等各个环节，有力的推动了学生了解生产，同时也扩大了企业在学生中的影响力。结合此类课程的开设以及各类型的企业招聘宣讲，本专业学生对行业和产业的认知不断强化，企业提供的就业岗位与毕业生人数3:1以上，毕业生就业前景好。本年度，学生参加学校</w:t>
      </w:r>
      <w:r>
        <w:rPr>
          <w:rFonts w:hint="eastAsia"/>
          <w:szCs w:val="24"/>
        </w:rPr>
        <w:t>“</w:t>
      </w:r>
      <w:r>
        <w:rPr>
          <w:szCs w:val="24"/>
        </w:rPr>
        <w:t>互联网+</w:t>
      </w:r>
      <w:r>
        <w:rPr>
          <w:rFonts w:hint="eastAsia"/>
          <w:szCs w:val="24"/>
        </w:rPr>
        <w:t>”</w:t>
      </w:r>
      <w:r>
        <w:rPr>
          <w:szCs w:val="24"/>
        </w:rPr>
        <w:t>大学生创新创业大赛和山东省</w:t>
      </w:r>
      <w:r>
        <w:rPr>
          <w:rFonts w:hint="eastAsia"/>
          <w:szCs w:val="24"/>
        </w:rPr>
        <w:t>“</w:t>
      </w:r>
      <w:r>
        <w:rPr>
          <w:szCs w:val="24"/>
        </w:rPr>
        <w:t>互联网+</w:t>
      </w:r>
      <w:r>
        <w:rPr>
          <w:rFonts w:hint="eastAsia"/>
          <w:szCs w:val="24"/>
        </w:rPr>
        <w:t>”</w:t>
      </w:r>
      <w:r>
        <w:rPr>
          <w:szCs w:val="24"/>
        </w:rPr>
        <w:t>大学生创新创业大赛等创新创业项目80余人次，获得</w:t>
      </w:r>
      <w:r>
        <w:rPr>
          <w:rFonts w:hint="eastAsia"/>
          <w:szCs w:val="24"/>
        </w:rPr>
        <w:t>“</w:t>
      </w:r>
      <w:r>
        <w:rPr>
          <w:szCs w:val="24"/>
        </w:rPr>
        <w:t>建行杯</w:t>
      </w:r>
      <w:r>
        <w:rPr>
          <w:rFonts w:hint="eastAsia"/>
          <w:szCs w:val="24"/>
        </w:rPr>
        <w:t>”</w:t>
      </w:r>
      <w:r>
        <w:rPr>
          <w:szCs w:val="24"/>
        </w:rPr>
        <w:t>第八届山东省</w:t>
      </w:r>
      <w:r>
        <w:rPr>
          <w:rFonts w:hint="eastAsia"/>
          <w:szCs w:val="24"/>
        </w:rPr>
        <w:t>“</w:t>
      </w:r>
      <w:r>
        <w:rPr>
          <w:szCs w:val="24"/>
        </w:rPr>
        <w:t>互联网+</w:t>
      </w:r>
      <w:r>
        <w:rPr>
          <w:rFonts w:hint="eastAsia"/>
          <w:szCs w:val="24"/>
        </w:rPr>
        <w:t>”</w:t>
      </w:r>
      <w:r>
        <w:rPr>
          <w:szCs w:val="24"/>
        </w:rPr>
        <w:t>大学生创新创业大赛（产业命题赛道）铜奖在内的奖励多项。</w:t>
      </w:r>
    </w:p>
    <w:p>
      <w:pPr>
        <w:pStyle w:val="5"/>
        <w:spacing w:before="93" w:after="93"/>
        <w:ind w:firstLine="560"/>
      </w:pPr>
      <w:bookmarkStart w:id="279" w:name="_Toc9812"/>
      <w:r>
        <w:t>七、专业发展趋势及建议</w:t>
      </w:r>
      <w:bookmarkEnd w:id="279"/>
    </w:p>
    <w:p>
      <w:pPr>
        <w:ind w:firstLine="480"/>
        <w:rPr>
          <w:color w:val="000000"/>
        </w:rPr>
      </w:pPr>
      <w:r>
        <w:rPr>
          <w:color w:val="000000"/>
        </w:rPr>
        <w:t>环保畜牧业、精准畜牧业、智慧畜牧业是未来的发展趋势，对动物科学专业提出了更高的要求。要求学生具有国际化视野，具有管理和使用智能化装备的能力，能够利用互联网技术开展创业和销售，能够了解优质畜产品生产与加工的技术与发展方向，了解整个产业链的关键环节。因此，在未来的专业建设中亟待充实物联网、互联网+、养殖场废弃物综合处理与利用、机械电子设备、食品加工等领域的知识点，拓展相关生产实践场所，进一步拓宽学生的创业就业和适应社会发展的能力。</w:t>
      </w:r>
    </w:p>
    <w:p>
      <w:pPr>
        <w:pStyle w:val="5"/>
        <w:spacing w:before="93" w:after="93"/>
        <w:ind w:firstLine="560"/>
      </w:pPr>
      <w:bookmarkStart w:id="280" w:name="_Toc4527"/>
      <w:r>
        <w:t>八、存在的问题及拟采取的对策措施</w:t>
      </w:r>
      <w:bookmarkEnd w:id="280"/>
    </w:p>
    <w:p>
      <w:pPr>
        <w:ind w:firstLine="480"/>
        <w:rPr>
          <w:color w:val="000000"/>
        </w:rPr>
      </w:pPr>
      <w:r>
        <w:rPr>
          <w:color w:val="000000"/>
        </w:rPr>
        <w:t>1. 通过</w:t>
      </w:r>
      <w:r>
        <w:rPr>
          <w:rFonts w:hint="eastAsia"/>
          <w:color w:val="000000"/>
        </w:rPr>
        <w:t>“</w:t>
      </w:r>
      <w:r>
        <w:rPr>
          <w:color w:val="000000"/>
        </w:rPr>
        <w:t>检查笔记</w:t>
      </w:r>
      <w:r>
        <w:rPr>
          <w:rFonts w:hint="eastAsia"/>
          <w:color w:val="000000"/>
        </w:rPr>
        <w:t>”</w:t>
      </w:r>
      <w:r>
        <w:rPr>
          <w:color w:val="000000"/>
        </w:rPr>
        <w:t>、</w:t>
      </w:r>
      <w:r>
        <w:rPr>
          <w:rFonts w:hint="eastAsia"/>
          <w:color w:val="000000"/>
        </w:rPr>
        <w:t>“</w:t>
      </w:r>
      <w:r>
        <w:rPr>
          <w:color w:val="000000"/>
        </w:rPr>
        <w:t>手机入袋</w:t>
      </w:r>
      <w:r>
        <w:rPr>
          <w:rFonts w:hint="eastAsia"/>
          <w:color w:val="000000"/>
        </w:rPr>
        <w:t>”</w:t>
      </w:r>
      <w:r>
        <w:rPr>
          <w:color w:val="000000"/>
        </w:rPr>
        <w:t>等措施，已在督促学生学习及课堂纪律方面取得了较理想的效果，将在今后的教学中继续推进和创新相关工作做法，进一步提升教学效果和人才培养质量。</w:t>
      </w:r>
    </w:p>
    <w:p>
      <w:pPr>
        <w:ind w:firstLine="480"/>
        <w:rPr>
          <w:color w:val="000000"/>
        </w:rPr>
      </w:pPr>
      <w:r>
        <w:rPr>
          <w:color w:val="000000"/>
        </w:rPr>
        <w:t>2. 因学时设置要求，当前课程理论课程设置学时较少，难以满足学生通过课堂学习掌握所有知识点，需要更好的指导和引导学生利用课余时间有针对性地对相关知识进行学习。</w:t>
      </w:r>
    </w:p>
    <w:p>
      <w:pPr>
        <w:ind w:firstLine="480"/>
        <w:rPr>
          <w:color w:val="000000"/>
        </w:rPr>
      </w:pPr>
      <w:r>
        <w:rPr>
          <w:color w:val="000000"/>
        </w:rPr>
        <w:t>3. 根据当前产业发展的趋势与特点，需要在课程设置与教学中进一步加强与其他相关专业之间的交叉、融合。例如，需要加强与信息技术、机电一体化及食品科学与工程专业、农业经济管理等专业的结合，更好的满足扩充学生知识面、推动人才培养质量的要求。</w:t>
      </w:r>
    </w:p>
    <w:p>
      <w:pPr>
        <w:ind w:firstLine="480"/>
      </w:pPr>
      <w:r>
        <w:t>4. 校内实践实训条件与当前先进畜禽养殖生产工艺和模式不能完全匹配，需要争取和申请上级主管部门及学校、社会等方面的持续支持，进行相关设施和条件的改造升级和提升，以更好的服务高质量人才培养需要。</w:t>
      </w:r>
    </w:p>
    <w:p>
      <w:pPr>
        <w:ind w:firstLine="480"/>
      </w:pP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pPr>
      <w:bookmarkStart w:id="281" w:name="_Toc6952"/>
      <w:bookmarkStart w:id="282" w:name="_Toc7563"/>
      <w:r>
        <w:rPr>
          <w:rFonts w:hint="eastAsia"/>
          <w:lang w:val="en-US"/>
        </w:rPr>
        <w:t>专业二十七：</w:t>
      </w:r>
      <w:r>
        <w:t>动物医学</w:t>
      </w:r>
      <w:bookmarkEnd w:id="281"/>
      <w:bookmarkEnd w:id="282"/>
    </w:p>
    <w:p>
      <w:pPr>
        <w:pStyle w:val="5"/>
        <w:spacing w:before="93" w:after="93"/>
        <w:ind w:firstLine="560"/>
      </w:pPr>
      <w:bookmarkStart w:id="283" w:name="_Toc29764"/>
      <w:r>
        <w:t>一、人才培养目标</w:t>
      </w:r>
      <w:bookmarkEnd w:id="283"/>
      <w:r>
        <w:t>与规格</w:t>
      </w:r>
    </w:p>
    <w:p>
      <w:pPr>
        <w:ind w:firstLine="480"/>
        <w:rPr>
          <w:rFonts w:eastAsiaTheme="minorEastAsia"/>
        </w:rPr>
      </w:pPr>
      <w:r>
        <w:rPr>
          <w:rFonts w:eastAsiaTheme="minorEastAsia"/>
          <w:lang w:val="zh-CN"/>
        </w:rPr>
        <w:t>动物医学</w:t>
      </w:r>
      <w:r>
        <w:rPr>
          <w:rFonts w:eastAsiaTheme="minorEastAsia"/>
        </w:rPr>
        <w:t>专业是国家级特色专业，具有兽医学一级学科博士学位授予权。本专业培养具有成为专业高素质人才所具备的基础兽医学、预防兽医学和临床兽医学的基本理论、基本知识和基本技能，德智体美全面发展的、具有创新意识和创业精神的应用型专门人才。本专业人才掌握较强的兽医学知识和技能，具备动物疾病检测、诊断、保健和治疗能力，具备动物生产、饲料加工、新型兽药等的研发与营销能力，能够从事企、事业单位的兽医业务、公共卫生与管理，具有一定的知识传播和教学能力。</w:t>
      </w:r>
    </w:p>
    <w:p>
      <w:pPr>
        <w:pStyle w:val="5"/>
        <w:spacing w:before="93" w:after="93"/>
        <w:ind w:firstLine="560"/>
      </w:pPr>
      <w:bookmarkStart w:id="284" w:name="_Toc20170"/>
      <w:bookmarkStart w:id="285" w:name="_Toc18704"/>
      <w:bookmarkStart w:id="286" w:name="_Toc29152"/>
      <w:bookmarkStart w:id="287" w:name="_Toc25344"/>
      <w:bookmarkStart w:id="288" w:name="_Toc5391"/>
      <w:r>
        <w:t>二、培养能力</w:t>
      </w:r>
      <w:bookmarkEnd w:id="284"/>
      <w:bookmarkEnd w:id="285"/>
      <w:bookmarkEnd w:id="286"/>
      <w:bookmarkEnd w:id="287"/>
      <w:r>
        <w:t>（专业设置情况、在校生规模、课程设置情况、创新创业教育等）</w:t>
      </w:r>
      <w:bookmarkEnd w:id="288"/>
    </w:p>
    <w:p>
      <w:pPr>
        <w:ind w:firstLine="480"/>
        <w:rPr>
          <w:rFonts w:eastAsiaTheme="minorEastAsia"/>
        </w:rPr>
      </w:pPr>
      <w:bookmarkStart w:id="289" w:name="_Toc7941"/>
      <w:bookmarkStart w:id="290" w:name="_Toc12068"/>
      <w:bookmarkStart w:id="291" w:name="_Toc29132"/>
      <w:bookmarkStart w:id="292" w:name="_Toc289"/>
      <w:bookmarkStart w:id="293" w:name="_Toc24852"/>
      <w:r>
        <w:rPr>
          <w:rStyle w:val="27"/>
        </w:rPr>
        <w:t>1.专业设置情况：</w:t>
      </w:r>
      <w:r>
        <w:rPr>
          <w:rFonts w:eastAsiaTheme="minorEastAsia"/>
        </w:rPr>
        <w:t>动物医学专业是我校具有悠久办学历史的本科专业之一，前身为始建于1949年兽医专业，1998年更名为动物医学专业。2001年被确定为山东省高校招生热门专业，2007年和2009年先后被评为山东农业大学特色专业和山东省高等学校品牌专业，2010年被教育部批准为国家级特色专业。动物医学专业现拥有兽医一级学科博士学位授予权；博士后流动站和一级学科硕士学位授予权；拥有国家级本科教学实验中心；3个二级学科中，基础兽医为山东省强化重点学科，预防兽医为山东省重点学科和</w:t>
      </w:r>
      <w:r>
        <w:rPr>
          <w:rFonts w:hint="eastAsia" w:eastAsiaTheme="minorEastAsia"/>
        </w:rPr>
        <w:t>“</w:t>
      </w:r>
      <w:r>
        <w:t>泰山学者</w:t>
      </w:r>
      <w:r>
        <w:rPr>
          <w:rFonts w:hint="eastAsia"/>
        </w:rPr>
        <w:t>”</w:t>
      </w:r>
      <w:r>
        <w:rPr>
          <w:rFonts w:eastAsiaTheme="minorEastAsia"/>
        </w:rPr>
        <w:t>首批设岗学科，临床兽医为校级重点学科，动物生物技术与疫病控制实验室为山东省重点实验室。</w:t>
      </w:r>
    </w:p>
    <w:p>
      <w:pPr>
        <w:ind w:firstLine="480"/>
        <w:rPr>
          <w:rFonts w:eastAsiaTheme="minorEastAsia"/>
          <w:color w:val="FF0000"/>
        </w:rPr>
      </w:pPr>
      <w:r>
        <w:rPr>
          <w:rStyle w:val="27"/>
        </w:rPr>
        <w:t>2.在校生规模：</w:t>
      </w:r>
      <w:r>
        <w:rPr>
          <w:rFonts w:eastAsiaTheme="minorEastAsia"/>
        </w:rPr>
        <w:t>截至到2022年11月，本专业的在校生为1023人（2019级235人，2020级216人，2021级216人，2019级3+2培养模式68人，2020级3+2培养模式72人，2022级226人）。</w:t>
      </w:r>
    </w:p>
    <w:p>
      <w:pPr>
        <w:ind w:firstLine="480"/>
        <w:rPr>
          <w:rFonts w:eastAsiaTheme="minorEastAsia"/>
        </w:rPr>
      </w:pPr>
      <w:r>
        <w:rPr>
          <w:rStyle w:val="27"/>
        </w:rPr>
        <w:t>3.课程设置情况：</w:t>
      </w:r>
      <w:r>
        <w:rPr>
          <w:rFonts w:eastAsiaTheme="minorEastAsia"/>
        </w:rPr>
        <w:t>（本专业正在使用的培养方案中的课程设置情况，如果之前修订过培养方案，把修改完善的部分加以说明）</w:t>
      </w:r>
    </w:p>
    <w:p>
      <w:pPr>
        <w:ind w:firstLine="480"/>
        <w:rPr>
          <w:rFonts w:eastAsia="仿宋_GB2312"/>
          <w:color w:val="000000"/>
          <w:kern w:val="0"/>
          <w:szCs w:val="21"/>
        </w:rPr>
      </w:pPr>
      <w:r>
        <w:rPr>
          <w:rFonts w:eastAsiaTheme="minorEastAsia"/>
        </w:rPr>
        <w:t>本专业目前正在使用的培养方案是2019年学制改为五年制后新修订的，该方案的课程体系包括通识必修课、通识选修课、学科基础课、专业核心课、拓展教育课、专业方向课、基础实践、专业实践与综合实践共200学分（教学进程表见附件）。</w:t>
      </w:r>
    </w:p>
    <w:p>
      <w:pPr>
        <w:pStyle w:val="5"/>
        <w:spacing w:before="93" w:after="93"/>
        <w:ind w:firstLine="560"/>
      </w:pPr>
      <w:r>
        <w:t>三、培养条件</w:t>
      </w:r>
      <w:bookmarkEnd w:id="289"/>
      <w:bookmarkEnd w:id="290"/>
      <w:bookmarkEnd w:id="291"/>
      <w:bookmarkEnd w:id="292"/>
      <w:r>
        <w:t>（教学经费投入、教学设备、教师队伍建设、实习基地、现代教学技术应用等）</w:t>
      </w:r>
      <w:bookmarkEnd w:id="293"/>
    </w:p>
    <w:p>
      <w:pPr>
        <w:ind w:firstLine="480"/>
        <w:rPr>
          <w:rFonts w:eastAsiaTheme="minorEastAsia"/>
        </w:rPr>
      </w:pPr>
      <w:r>
        <w:rPr>
          <w:rStyle w:val="27"/>
        </w:rPr>
        <w:t>1.教学经费投入：</w:t>
      </w:r>
      <w:r>
        <w:rPr>
          <w:rFonts w:eastAsiaTheme="minorEastAsia"/>
        </w:rPr>
        <w:t>教学经费投入</w:t>
      </w:r>
      <w:r>
        <w:rPr>
          <w:rFonts w:eastAsiaTheme="minorEastAsia"/>
          <w:color w:val="000000" w:themeColor="text1"/>
          <w14:textFill>
            <w14:solidFill>
              <w14:schemeClr w14:val="tx1"/>
            </w14:solidFill>
          </w14:textFill>
        </w:rPr>
        <w:t>4000</w:t>
      </w:r>
      <w:r>
        <w:rPr>
          <w:rFonts w:eastAsiaTheme="minorEastAsia"/>
        </w:rPr>
        <w:t>万元。</w:t>
      </w:r>
    </w:p>
    <w:p>
      <w:pPr>
        <w:ind w:firstLine="480"/>
        <w:rPr>
          <w:rFonts w:eastAsiaTheme="minorEastAsia"/>
        </w:rPr>
      </w:pPr>
      <w:r>
        <w:rPr>
          <w:rStyle w:val="27"/>
        </w:rPr>
        <w:t>2.教学设备：</w:t>
      </w:r>
      <w:r>
        <w:rPr>
          <w:rFonts w:eastAsiaTheme="minorEastAsia"/>
        </w:rPr>
        <w:t>动物医学专业现有固定仪器设备有</w:t>
      </w:r>
      <w:r>
        <w:rPr>
          <w:rFonts w:eastAsiaTheme="minorEastAsia"/>
          <w:color w:val="000000" w:themeColor="text1"/>
          <w14:textFill>
            <w14:solidFill>
              <w14:schemeClr w14:val="tx1"/>
            </w14:solidFill>
          </w14:textFill>
        </w:rPr>
        <w:t>400台（件）</w:t>
      </w:r>
      <w:r>
        <w:rPr>
          <w:rFonts w:eastAsiaTheme="minorEastAsia"/>
        </w:rPr>
        <w:t>。</w:t>
      </w:r>
    </w:p>
    <w:p>
      <w:pPr>
        <w:ind w:firstLine="480"/>
        <w:rPr>
          <w:rFonts w:eastAsiaTheme="minorEastAsia"/>
        </w:rPr>
      </w:pPr>
      <w:r>
        <w:rPr>
          <w:rFonts w:eastAsia="黑体"/>
          <w:szCs w:val="24"/>
        </w:rPr>
        <w:t>3.教师队伍建设：</w:t>
      </w:r>
      <w:r>
        <w:rPr>
          <w:rFonts w:eastAsiaTheme="minorEastAsia"/>
        </w:rPr>
        <w:t>经多年的师资队伍建设，本专业已经基本建立了一支年龄与学历结构合理、研究实力较为雄厚、富有合作意识和团队精神的专业师资队伍。为动物医学专业开设课程的教师59人，其中45岁以下人数43人，教授20人，副教授28人，讲师10人，56人具有博士学位。</w:t>
      </w:r>
    </w:p>
    <w:p>
      <w:pPr>
        <w:ind w:firstLine="480"/>
        <w:rPr>
          <w:rFonts w:eastAsia="仿宋_GB2312"/>
          <w:color w:val="000000"/>
          <w:szCs w:val="21"/>
        </w:rPr>
      </w:pPr>
      <w:r>
        <w:rPr>
          <w:rFonts w:eastAsia="黑体"/>
          <w:szCs w:val="24"/>
        </w:rPr>
        <w:t>4.实习基地：</w:t>
      </w:r>
      <w:r>
        <w:rPr>
          <w:rFonts w:eastAsiaTheme="minorEastAsia"/>
        </w:rPr>
        <w:t>2022年新增校外实践教学基地6个，目前校外实践教学基地达61个；校内实习基地4个，包括畜牧兽医科研实验站、山东农业大学动物医院、心仪宠物医院和华云检测技术中心。</w:t>
      </w:r>
    </w:p>
    <w:p>
      <w:pPr>
        <w:ind w:firstLine="480"/>
        <w:rPr>
          <w:rFonts w:eastAsiaTheme="minorEastAsia"/>
        </w:rPr>
      </w:pPr>
      <w:r>
        <w:rPr>
          <w:rFonts w:eastAsia="黑体"/>
          <w:szCs w:val="24"/>
        </w:rPr>
        <w:t>5.现代教学技术应用：</w:t>
      </w:r>
      <w:r>
        <w:rPr>
          <w:rFonts w:eastAsiaTheme="minorEastAsia"/>
        </w:rPr>
        <w:t>在传统教学过程的基础上，运用现代教育技术学的优势，以多媒体技术和网络技术为核心的信息技术（慕课建设）已深入我们的教学工作中。</w:t>
      </w:r>
    </w:p>
    <w:p>
      <w:pPr>
        <w:pStyle w:val="5"/>
        <w:spacing w:before="93" w:after="93"/>
        <w:ind w:firstLine="560"/>
      </w:pPr>
      <w:bookmarkStart w:id="294" w:name="_Toc26337"/>
      <w:bookmarkStart w:id="295" w:name="_Toc3008"/>
      <w:bookmarkStart w:id="296" w:name="_Toc26734"/>
      <w:bookmarkStart w:id="297" w:name="_Toc5424"/>
      <w:bookmarkStart w:id="298" w:name="_Toc26522"/>
      <w:r>
        <w:t>四、培养机制与特色</w:t>
      </w:r>
      <w:bookmarkEnd w:id="294"/>
      <w:bookmarkEnd w:id="295"/>
      <w:bookmarkEnd w:id="296"/>
      <w:bookmarkEnd w:id="297"/>
      <w:r>
        <w:t>（产学研协同育人机制、合作办学、教学管理等）</w:t>
      </w:r>
      <w:bookmarkEnd w:id="298"/>
    </w:p>
    <w:p>
      <w:pPr>
        <w:ind w:firstLine="480"/>
        <w:rPr>
          <w:rFonts w:eastAsiaTheme="minorEastAsia"/>
        </w:rPr>
      </w:pPr>
      <w:r>
        <w:rPr>
          <w:rFonts w:eastAsia="黑体"/>
          <w:szCs w:val="24"/>
        </w:rPr>
        <w:t>1.产学研协同育人机制：</w:t>
      </w:r>
      <w:r>
        <w:rPr>
          <w:rFonts w:eastAsiaTheme="minorEastAsia"/>
        </w:rPr>
        <w:t>动物医学专业是国家级特色专业，该专业经过多年教学改革和长期探索与建设，形成了</w:t>
      </w:r>
      <w:r>
        <w:rPr>
          <w:rFonts w:hint="eastAsia" w:eastAsiaTheme="minorEastAsia"/>
        </w:rPr>
        <w:t>“</w:t>
      </w:r>
      <w:r>
        <w:rPr>
          <w:rFonts w:eastAsiaTheme="minorEastAsia"/>
        </w:rPr>
        <w:t>层次+模块</w:t>
      </w:r>
      <w:r>
        <w:rPr>
          <w:rFonts w:hint="eastAsia" w:eastAsiaTheme="minorEastAsia"/>
        </w:rPr>
        <w:t>”</w:t>
      </w:r>
      <w:r>
        <w:rPr>
          <w:rFonts w:eastAsiaTheme="minorEastAsia"/>
        </w:rPr>
        <w:t>的实践教学体系，结合国家级实验教学示范中心建设，进行开放性实验教学探索，培养学生独立解决生产实际问题的能力。</w:t>
      </w:r>
    </w:p>
    <w:p>
      <w:pPr>
        <w:ind w:firstLine="480"/>
        <w:rPr>
          <w:rFonts w:eastAsiaTheme="minorEastAsia"/>
        </w:rPr>
      </w:pPr>
      <w:r>
        <w:rPr>
          <w:rFonts w:eastAsia="黑体"/>
          <w:szCs w:val="24"/>
        </w:rPr>
        <w:t>2.合作办学：</w:t>
      </w:r>
      <w:r>
        <w:rPr>
          <w:rFonts w:eastAsiaTheme="minorEastAsia"/>
        </w:rPr>
        <w:t>与潍坊畜牧兽医职业技术学院合作的</w:t>
      </w:r>
      <w:r>
        <w:rPr>
          <w:rFonts w:hint="eastAsia" w:eastAsiaTheme="minorEastAsia"/>
        </w:rPr>
        <w:t>“</w:t>
      </w:r>
      <w:r>
        <w:rPr>
          <w:rFonts w:eastAsiaTheme="minorEastAsia"/>
        </w:rPr>
        <w:t>3+2</w:t>
      </w:r>
      <w:r>
        <w:rPr>
          <w:rFonts w:hint="eastAsia" w:eastAsiaTheme="minorEastAsia"/>
        </w:rPr>
        <w:t>”</w:t>
      </w:r>
      <w:r>
        <w:rPr>
          <w:rFonts w:eastAsiaTheme="minorEastAsia"/>
        </w:rPr>
        <w:t>模式人才工程。同时，学院不断加大与众多大型企业的友好合作力度，深化校企合作办学，先后举办了</w:t>
      </w:r>
      <w:r>
        <w:rPr>
          <w:rFonts w:hint="eastAsia" w:eastAsiaTheme="minorEastAsia"/>
        </w:rPr>
        <w:t>“</w:t>
      </w:r>
      <w:r>
        <w:rPr>
          <w:rFonts w:eastAsiaTheme="minorEastAsia"/>
        </w:rPr>
        <w:t>生泰尔班</w:t>
      </w:r>
      <w:r>
        <w:rPr>
          <w:rFonts w:hint="eastAsia" w:eastAsiaTheme="minorEastAsia"/>
        </w:rPr>
        <w:t>”</w:t>
      </w:r>
      <w:r>
        <w:rPr>
          <w:rFonts w:eastAsiaTheme="minorEastAsia"/>
        </w:rPr>
        <w:t>、</w:t>
      </w:r>
      <w:r>
        <w:rPr>
          <w:rFonts w:hint="eastAsia" w:eastAsiaTheme="minorEastAsia"/>
        </w:rPr>
        <w:t>“</w:t>
      </w:r>
      <w:r>
        <w:rPr>
          <w:rFonts w:eastAsiaTheme="minorEastAsia"/>
        </w:rPr>
        <w:t>荣昌班</w:t>
      </w:r>
      <w:r>
        <w:rPr>
          <w:rFonts w:hint="eastAsia" w:eastAsiaTheme="minorEastAsia"/>
        </w:rPr>
        <w:t>”</w:t>
      </w:r>
      <w:r>
        <w:rPr>
          <w:rFonts w:eastAsiaTheme="minorEastAsia"/>
        </w:rPr>
        <w:t>、</w:t>
      </w:r>
      <w:r>
        <w:rPr>
          <w:rFonts w:hint="eastAsia" w:eastAsiaTheme="minorEastAsia"/>
        </w:rPr>
        <w:t>“</w:t>
      </w:r>
      <w:r>
        <w:rPr>
          <w:rFonts w:eastAsiaTheme="minorEastAsia"/>
        </w:rPr>
        <w:t>新希望六合实践班</w:t>
      </w:r>
      <w:r>
        <w:rPr>
          <w:rFonts w:hint="eastAsia" w:eastAsiaTheme="minorEastAsia"/>
        </w:rPr>
        <w:t>”</w:t>
      </w:r>
      <w:r>
        <w:rPr>
          <w:rFonts w:eastAsiaTheme="minorEastAsia"/>
        </w:rPr>
        <w:t>、</w:t>
      </w:r>
      <w:r>
        <w:rPr>
          <w:rFonts w:hint="eastAsia" w:eastAsiaTheme="minorEastAsia"/>
        </w:rPr>
        <w:t>“</w:t>
      </w:r>
      <w:r>
        <w:rPr>
          <w:rFonts w:eastAsiaTheme="minorEastAsia"/>
        </w:rPr>
        <w:t>和美华班</w:t>
      </w:r>
      <w:r>
        <w:rPr>
          <w:rFonts w:hint="eastAsia" w:eastAsiaTheme="minorEastAsia"/>
        </w:rPr>
        <w:t>”</w:t>
      </w:r>
      <w:r>
        <w:rPr>
          <w:rFonts w:eastAsiaTheme="minorEastAsia"/>
        </w:rPr>
        <w:t>、</w:t>
      </w:r>
      <w:r>
        <w:rPr>
          <w:rFonts w:hint="eastAsia" w:eastAsiaTheme="minorEastAsia"/>
        </w:rPr>
        <w:t>“</w:t>
      </w:r>
      <w:r>
        <w:rPr>
          <w:rFonts w:eastAsiaTheme="minorEastAsia"/>
        </w:rPr>
        <w:t>正大班</w:t>
      </w:r>
      <w:r>
        <w:rPr>
          <w:rFonts w:hint="eastAsia" w:eastAsiaTheme="minorEastAsia"/>
        </w:rPr>
        <w:t>”</w:t>
      </w:r>
      <w:r>
        <w:rPr>
          <w:rFonts w:eastAsiaTheme="minorEastAsia"/>
        </w:rPr>
        <w:t>等五个校企合作班。建立校外实践教学基地61个，校内基地4个。完全满足了学生的实践要求。2022年，分别与山东农牧（泰安）有限公司、泰安新科饲料有限公司、山东明骏生态农业科技有限公司、日照众诚益民禽业有限公司、山东兰陵农业投资集团有限公司、东营市惠泽农业科技有限公司等6家行业知名企业开展合作，为企业培养了急需的专业技术人才。</w:t>
      </w:r>
    </w:p>
    <w:p>
      <w:pPr>
        <w:ind w:firstLine="480"/>
        <w:rPr>
          <w:rFonts w:eastAsiaTheme="minorEastAsia"/>
        </w:rPr>
      </w:pPr>
      <w:r>
        <w:rPr>
          <w:rFonts w:eastAsia="黑体"/>
          <w:szCs w:val="24"/>
        </w:rPr>
        <w:t>3.教学管理：</w:t>
      </w:r>
      <w:r>
        <w:rPr>
          <w:rFonts w:eastAsiaTheme="minorEastAsia"/>
        </w:rPr>
        <w:t>有一支教学管理经验丰富，且利用现代技术、科学管理的管理队伍；教学过程实行严格的授课制度，按照教学大纲进行授课与实习，不随意调停课，对年轻教师进行定期听课，带动其快速成长。</w:t>
      </w:r>
    </w:p>
    <w:p>
      <w:pPr>
        <w:pStyle w:val="5"/>
        <w:spacing w:before="93" w:after="93"/>
        <w:ind w:firstLine="560"/>
      </w:pPr>
      <w:bookmarkStart w:id="299" w:name="_Toc4806"/>
      <w:bookmarkStart w:id="300" w:name="_Toc26427"/>
      <w:bookmarkStart w:id="301" w:name="_Toc21190"/>
      <w:bookmarkStart w:id="302" w:name="_Toc17733"/>
      <w:bookmarkStart w:id="303" w:name="_Toc26731"/>
      <w:r>
        <w:t>五、培养质量</w:t>
      </w:r>
      <w:bookmarkEnd w:id="299"/>
      <w:bookmarkEnd w:id="300"/>
      <w:bookmarkEnd w:id="301"/>
      <w:bookmarkEnd w:id="302"/>
      <w:r>
        <w:t>（毕业生就业率、就业专业对口率、毕业生发展情况、就业单位满意率、社会对专业的评价、学生就读该专业的意愿等）</w:t>
      </w:r>
      <w:bookmarkEnd w:id="303"/>
    </w:p>
    <w:p>
      <w:pPr>
        <w:ind w:firstLine="480"/>
        <w:rPr>
          <w:rFonts w:eastAsiaTheme="minorEastAsia"/>
        </w:rPr>
      </w:pPr>
      <w:r>
        <w:rPr>
          <w:rFonts w:eastAsia="黑体"/>
          <w:szCs w:val="24"/>
        </w:rPr>
        <w:t>1.毕业生就业率：</w:t>
      </w:r>
      <w:r>
        <w:rPr>
          <w:rFonts w:eastAsiaTheme="minorEastAsia"/>
        </w:rPr>
        <w:t>2022届毕业生就业率为88.51%（262/296），比2021年提高5%。</w:t>
      </w:r>
    </w:p>
    <w:p>
      <w:pPr>
        <w:ind w:firstLine="480"/>
        <w:rPr>
          <w:rFonts w:eastAsia="黑体"/>
          <w:szCs w:val="24"/>
        </w:rPr>
      </w:pPr>
      <w:r>
        <w:rPr>
          <w:rFonts w:eastAsia="黑体"/>
          <w:szCs w:val="24"/>
        </w:rPr>
        <w:t>2.就业专业对口率：</w:t>
      </w:r>
      <w:r>
        <w:rPr>
          <w:rFonts w:eastAsiaTheme="minorEastAsia"/>
        </w:rPr>
        <w:t>不包括升学、出国（境）、应征入伍毕业生，2022届毕业生就业的专业对口人数为76人，专业对口率达85.39%（76/89）。</w:t>
      </w:r>
    </w:p>
    <w:p>
      <w:pPr>
        <w:ind w:firstLine="480"/>
        <w:rPr>
          <w:rFonts w:eastAsiaTheme="minorEastAsia"/>
        </w:rPr>
      </w:pPr>
      <w:r>
        <w:rPr>
          <w:rFonts w:eastAsia="黑体"/>
          <w:szCs w:val="24"/>
        </w:rPr>
        <w:t>3.毕业生发展情况：</w:t>
      </w:r>
      <w:r>
        <w:rPr>
          <w:rFonts w:eastAsiaTheme="minorEastAsia"/>
        </w:rPr>
        <w:t>2022届毕业生296人，就业262人，就业率为88.51%，其中考研173人，考研率为58.45%，就业89人，其中自主创业1人，在山东省单位就业率为50.39%，比2021年下降16.71%。</w:t>
      </w:r>
    </w:p>
    <w:p>
      <w:pPr>
        <w:ind w:firstLine="480"/>
        <w:rPr>
          <w:rFonts w:eastAsiaTheme="minorEastAsia"/>
        </w:rPr>
      </w:pPr>
      <w:r>
        <w:rPr>
          <w:rFonts w:eastAsia="黑体"/>
          <w:szCs w:val="24"/>
        </w:rPr>
        <w:t>4.就业单位满意率：</w:t>
      </w:r>
      <w:r>
        <w:rPr>
          <w:rFonts w:eastAsiaTheme="minorEastAsia"/>
        </w:rPr>
        <w:t>学院与各企业保持良好沟通，在毕业生进入企业工作后，定期与企业交流，反馈信息，企业对学院毕业生吃苦耐劳、踏实肯干的工作品质表示肯定。从社会调查和毕业生所在单位反映的情况看，我院毕业生热爱所学专业，具有综合素质高，专业知识牢，动手能力强，敬业精神好的特点，对毕业生满意度颇高。</w:t>
      </w:r>
    </w:p>
    <w:p>
      <w:pPr>
        <w:ind w:firstLine="480"/>
        <w:rPr>
          <w:rFonts w:eastAsiaTheme="minorEastAsia"/>
        </w:rPr>
      </w:pPr>
      <w:r>
        <w:rPr>
          <w:rFonts w:eastAsia="黑体"/>
          <w:szCs w:val="24"/>
        </w:rPr>
        <w:t>5.社会对专业的评价：</w:t>
      </w:r>
      <w:r>
        <w:rPr>
          <w:rFonts w:eastAsiaTheme="minorEastAsia"/>
        </w:rPr>
        <w:t>动物医学专业是山东农业大学的传统优势专业，具有雄厚的办学基础、优秀的师资队伍、丰富的办学经验、完善的办学条件、卓越的学科建设和雄厚的科研实力，在全国同类专业领域内具有鲜明的办学特色和明显的办学优势，几十年来该专业为国家培养了数以千计的高级专业人才。毕业生社会声誉良好，他们为农业产业结构调整、推动地方经济发展，带动农民致富发挥了重要作用，绝大多数成为了我国畜牧行业领域的中坚力量，为山东省乃至全国的畜牧业发展做出了突出贡献，受到了社会的普遍欢迎。</w:t>
      </w:r>
    </w:p>
    <w:p>
      <w:pPr>
        <w:ind w:firstLine="480"/>
        <w:rPr>
          <w:rFonts w:eastAsia="仿宋_GB2312"/>
        </w:rPr>
      </w:pPr>
      <w:r>
        <w:rPr>
          <w:rFonts w:eastAsia="黑体"/>
          <w:szCs w:val="24"/>
        </w:rPr>
        <w:t>6.学生就读该专业的意愿：</w:t>
      </w:r>
      <w:r>
        <w:rPr>
          <w:rFonts w:eastAsiaTheme="minorEastAsia"/>
        </w:rPr>
        <w:t>2022级省内外本科生的一次录取率为100%，报到率为98.69%。</w:t>
      </w:r>
    </w:p>
    <w:p>
      <w:pPr>
        <w:pStyle w:val="5"/>
        <w:spacing w:before="93" w:after="93"/>
        <w:ind w:firstLine="560"/>
      </w:pPr>
      <w:bookmarkStart w:id="304" w:name="_Toc25386"/>
      <w:bookmarkStart w:id="305" w:name="_Toc18260"/>
      <w:bookmarkStart w:id="306" w:name="_Toc23710"/>
      <w:bookmarkStart w:id="307" w:name="_Toc31662"/>
      <w:bookmarkStart w:id="308" w:name="_Toc20543"/>
      <w:r>
        <w:t>六、毕业生就业创业</w:t>
      </w:r>
      <w:bookmarkEnd w:id="304"/>
      <w:bookmarkEnd w:id="305"/>
      <w:bookmarkEnd w:id="306"/>
      <w:bookmarkEnd w:id="307"/>
      <w:r>
        <w:t>（创业情况、采取的措施、典型案例等）</w:t>
      </w:r>
      <w:bookmarkEnd w:id="308"/>
    </w:p>
    <w:p>
      <w:pPr>
        <w:ind w:firstLine="480"/>
        <w:rPr>
          <w:rFonts w:eastAsiaTheme="minorEastAsia"/>
        </w:rPr>
      </w:pPr>
      <w:r>
        <w:rPr>
          <w:rFonts w:eastAsiaTheme="minorEastAsia"/>
        </w:rPr>
        <w:t>为培养学生的创业创新能力，本专业开设了创业实践课，鼓励学生就业创业。同时学院领导和教师积极联系各用人单位，召开专业的专场招聘会，为学生积极搭建良好的就业桥梁。</w:t>
      </w:r>
    </w:p>
    <w:p>
      <w:pPr>
        <w:ind w:firstLine="480"/>
        <w:rPr>
          <w:rFonts w:eastAsiaTheme="minorEastAsia"/>
        </w:rPr>
      </w:pPr>
      <w:r>
        <w:rPr>
          <w:rFonts w:eastAsiaTheme="minorEastAsia"/>
        </w:rPr>
        <w:t>学院引导毕业生树立正确的择业观就业观，通过开设的职业生涯规划与指导课程，帮助毕业生确立个人发展目标，挖掘个人潜力，通过分析了解自身能力、才华和性格特点，充分发挥自己的潜能，把握关键；通过职业规划课程，帮助学生掌握面试技巧，职业生涯规划和简历书写等技能。</w:t>
      </w:r>
    </w:p>
    <w:p>
      <w:pPr>
        <w:ind w:firstLine="480"/>
        <w:rPr>
          <w:rFonts w:eastAsiaTheme="minorEastAsia"/>
        </w:rPr>
      </w:pPr>
      <w:r>
        <w:rPr>
          <w:rFonts w:eastAsiaTheme="minorEastAsia"/>
        </w:rPr>
        <w:t>针对今年动物医学专业毕业生就业形势，学院通过多种途径，拓宽毕业生获取就业信息的渠道。学院积极与各用人单位联系，举办校园招聘活动和企业宣讲，为学生搭建良好的就业桥梁；利用线上线下两种途径发布企业的招聘信息及相关服务信息，帮助学生及时了解专业就业动态，更好的择业就业。针对就业困难的学生，老师进行一对一指导，帮助其分析就业形势，推荐就业企业，及时解决实际困难。</w:t>
      </w:r>
    </w:p>
    <w:p>
      <w:pPr>
        <w:ind w:firstLine="480"/>
        <w:rPr>
          <w:rFonts w:eastAsia="黑体"/>
          <w:szCs w:val="24"/>
        </w:rPr>
      </w:pPr>
      <w:r>
        <w:rPr>
          <w:rFonts w:eastAsia="黑体"/>
          <w:szCs w:val="24"/>
        </w:rPr>
        <w:t>1.扎实开展分类教育指导</w:t>
      </w:r>
    </w:p>
    <w:p>
      <w:pPr>
        <w:ind w:firstLine="480"/>
        <w:rPr>
          <w:rFonts w:eastAsiaTheme="minorEastAsia"/>
        </w:rPr>
      </w:pPr>
      <w:r>
        <w:rPr>
          <w:rFonts w:eastAsiaTheme="minorEastAsia"/>
        </w:rPr>
        <w:t>（1）针对拟二战考研毕业生</w:t>
      </w:r>
    </w:p>
    <w:p>
      <w:pPr>
        <w:ind w:firstLine="480"/>
        <w:rPr>
          <w:rFonts w:eastAsiaTheme="minorEastAsia"/>
        </w:rPr>
      </w:pPr>
      <w:r>
        <w:rPr>
          <w:rFonts w:eastAsiaTheme="minorEastAsia"/>
        </w:rPr>
        <w:t>主动与有</w:t>
      </w:r>
      <w:r>
        <w:rPr>
          <w:rFonts w:hint="eastAsia" w:eastAsiaTheme="minorEastAsia"/>
        </w:rPr>
        <w:t>“</w:t>
      </w:r>
      <w:r>
        <w:rPr>
          <w:rFonts w:eastAsiaTheme="minorEastAsia"/>
        </w:rPr>
        <w:t>二战</w:t>
      </w:r>
      <w:r>
        <w:rPr>
          <w:rFonts w:hint="eastAsia" w:eastAsiaTheme="minorEastAsia"/>
        </w:rPr>
        <w:t>”</w:t>
      </w:r>
      <w:r>
        <w:rPr>
          <w:rFonts w:eastAsiaTheme="minorEastAsia"/>
        </w:rPr>
        <w:t>想法的学生沟通，帮其分析原因。针对复习考试过程中没有出现较大失误的学生，建议其关注调剂信息。通过介绍往年实例和当下考研压力进行分析，建议其能当年升学的一定尽量不要</w:t>
      </w:r>
      <w:r>
        <w:rPr>
          <w:rFonts w:hint="eastAsia" w:eastAsiaTheme="minorEastAsia"/>
        </w:rPr>
        <w:t>“</w:t>
      </w:r>
      <w:r>
        <w:rPr>
          <w:rFonts w:eastAsiaTheme="minorEastAsia"/>
        </w:rPr>
        <w:t>二战</w:t>
      </w:r>
      <w:r>
        <w:rPr>
          <w:rFonts w:hint="eastAsia" w:eastAsiaTheme="minorEastAsia"/>
        </w:rPr>
        <w:t>”</w:t>
      </w:r>
      <w:r>
        <w:rPr>
          <w:rFonts w:eastAsiaTheme="minorEastAsia"/>
        </w:rPr>
        <w:t>。帮一部分学生分析今年研究生的扩招形势，鼓励其积极准备调剂，争取把握住机会。</w:t>
      </w:r>
    </w:p>
    <w:p>
      <w:pPr>
        <w:ind w:firstLine="480"/>
        <w:rPr>
          <w:rFonts w:eastAsiaTheme="minorEastAsia"/>
        </w:rPr>
      </w:pPr>
      <w:r>
        <w:rPr>
          <w:rFonts w:eastAsiaTheme="minorEastAsia"/>
        </w:rPr>
        <w:t>学院组建由党委副书记、教学副院长、团委辅导员、毕业生班长、团支部书记的信息发布渠道，第一时间转发调剂信息；通过微信公众号连续推送4期，共计30条考研调剂信息，为需求学生提供更多选择、提高录取率。</w:t>
      </w:r>
    </w:p>
    <w:p>
      <w:pPr>
        <w:ind w:firstLine="480"/>
        <w:rPr>
          <w:rFonts w:eastAsiaTheme="minorEastAsia"/>
        </w:rPr>
      </w:pPr>
      <w:r>
        <w:rPr>
          <w:rFonts w:eastAsiaTheme="minorEastAsia"/>
        </w:rPr>
        <w:t>（2）针对</w:t>
      </w:r>
      <w:r>
        <w:rPr>
          <w:rFonts w:hint="eastAsia" w:eastAsiaTheme="minorEastAsia"/>
        </w:rPr>
        <w:t>“</w:t>
      </w:r>
      <w:r>
        <w:rPr>
          <w:rFonts w:eastAsiaTheme="minorEastAsia"/>
        </w:rPr>
        <w:t>西部计划</w:t>
      </w:r>
      <w:r>
        <w:rPr>
          <w:rFonts w:hint="eastAsia" w:eastAsiaTheme="minorEastAsia"/>
        </w:rPr>
        <w:t>”“</w:t>
      </w:r>
      <w:r>
        <w:rPr>
          <w:rFonts w:eastAsiaTheme="minorEastAsia"/>
        </w:rPr>
        <w:t>三支一扶</w:t>
      </w:r>
      <w:r>
        <w:rPr>
          <w:rFonts w:hint="eastAsia" w:eastAsiaTheme="minorEastAsia"/>
        </w:rPr>
        <w:t>”“</w:t>
      </w:r>
      <w:r>
        <w:rPr>
          <w:rFonts w:eastAsiaTheme="minorEastAsia"/>
        </w:rPr>
        <w:t>特岗教师</w:t>
      </w:r>
      <w:r>
        <w:rPr>
          <w:rFonts w:hint="eastAsia" w:eastAsiaTheme="minorEastAsia"/>
        </w:rPr>
        <w:t>”</w:t>
      </w:r>
      <w:r>
        <w:rPr>
          <w:rFonts w:eastAsiaTheme="minorEastAsia"/>
        </w:rPr>
        <w:t>等基层就业项目和征兵入伍等方面</w:t>
      </w:r>
    </w:p>
    <w:p>
      <w:pPr>
        <w:ind w:firstLine="480"/>
        <w:rPr>
          <w:rFonts w:eastAsiaTheme="minorEastAsia"/>
        </w:rPr>
      </w:pPr>
      <w:r>
        <w:rPr>
          <w:rFonts w:eastAsiaTheme="minorEastAsia"/>
        </w:rPr>
        <w:t>一是及时转发相关政策岗位信息累计13条，实现毕业生全覆盖。二是根据摸排毕业就业生意向，目前已筛选出参军入伍、西部计划意向学生各1名，通过定期联系督促，坚定学生选择。</w:t>
      </w:r>
    </w:p>
    <w:p>
      <w:pPr>
        <w:ind w:firstLine="480"/>
        <w:rPr>
          <w:rFonts w:eastAsiaTheme="minorEastAsia"/>
        </w:rPr>
      </w:pPr>
      <w:r>
        <w:rPr>
          <w:rFonts w:eastAsiaTheme="minorEastAsia"/>
        </w:rPr>
        <w:t>（3）积极发挥党员、学生干部促就业作用方面</w:t>
      </w:r>
    </w:p>
    <w:p>
      <w:pPr>
        <w:ind w:firstLine="480"/>
        <w:rPr>
          <w:rFonts w:eastAsiaTheme="minorEastAsia"/>
        </w:rPr>
      </w:pPr>
      <w:r>
        <w:rPr>
          <w:rFonts w:eastAsiaTheme="minorEastAsia"/>
        </w:rPr>
        <w:t>积极发动党员、学生干部队伍当好火车头、带好火车身。</w:t>
      </w:r>
    </w:p>
    <w:p>
      <w:pPr>
        <w:ind w:firstLine="480"/>
        <w:rPr>
          <w:rFonts w:eastAsiaTheme="minorEastAsia"/>
        </w:rPr>
      </w:pPr>
      <w:r>
        <w:rPr>
          <w:rFonts w:eastAsiaTheme="minorEastAsia"/>
        </w:rPr>
        <w:t>①较好得发挥榜样示范引领作用。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4"/>
        <w:gridCol w:w="1102"/>
        <w:gridCol w:w="2226"/>
        <w:gridCol w:w="1892"/>
        <w:gridCol w:w="20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9" w:type="pct"/>
            <w:shd w:val="clear" w:color="auto" w:fill="auto"/>
            <w:vAlign w:val="center"/>
          </w:tcPr>
          <w:p>
            <w:pPr>
              <w:jc w:val="center"/>
              <w:rPr>
                <w:rFonts w:eastAsiaTheme="minorEastAsia"/>
                <w:b/>
                <w:bCs/>
                <w:sz w:val="21"/>
                <w:szCs w:val="21"/>
              </w:rPr>
            </w:pPr>
            <w:r>
              <w:rPr>
                <w:rFonts w:eastAsiaTheme="minorEastAsia"/>
                <w:b/>
                <w:bCs/>
                <w:sz w:val="21"/>
                <w:szCs w:val="21"/>
              </w:rPr>
              <w:t>类别</w:t>
            </w:r>
          </w:p>
        </w:tc>
        <w:tc>
          <w:tcPr>
            <w:tcW w:w="608" w:type="pct"/>
            <w:shd w:val="clear" w:color="auto" w:fill="auto"/>
            <w:vAlign w:val="center"/>
          </w:tcPr>
          <w:p>
            <w:pPr>
              <w:jc w:val="center"/>
              <w:rPr>
                <w:rFonts w:eastAsiaTheme="minorEastAsia"/>
                <w:b/>
                <w:bCs/>
                <w:sz w:val="21"/>
                <w:szCs w:val="21"/>
              </w:rPr>
            </w:pPr>
            <w:r>
              <w:rPr>
                <w:rFonts w:eastAsiaTheme="minorEastAsia"/>
                <w:b/>
                <w:bCs/>
                <w:sz w:val="21"/>
                <w:szCs w:val="21"/>
              </w:rPr>
              <w:t>总人数</w:t>
            </w:r>
          </w:p>
        </w:tc>
        <w:tc>
          <w:tcPr>
            <w:tcW w:w="1228" w:type="pct"/>
            <w:shd w:val="clear" w:color="auto" w:fill="auto"/>
            <w:vAlign w:val="center"/>
          </w:tcPr>
          <w:p>
            <w:pPr>
              <w:jc w:val="center"/>
              <w:rPr>
                <w:rFonts w:eastAsiaTheme="minorEastAsia"/>
                <w:b/>
                <w:bCs/>
                <w:sz w:val="21"/>
                <w:szCs w:val="21"/>
              </w:rPr>
            </w:pPr>
            <w:r>
              <w:rPr>
                <w:rFonts w:eastAsiaTheme="minorEastAsia"/>
                <w:b/>
                <w:bCs/>
                <w:sz w:val="21"/>
                <w:szCs w:val="21"/>
              </w:rPr>
              <w:t>考取研究生（人）</w:t>
            </w:r>
          </w:p>
        </w:tc>
        <w:tc>
          <w:tcPr>
            <w:tcW w:w="1044" w:type="pct"/>
            <w:shd w:val="clear" w:color="auto" w:fill="auto"/>
            <w:vAlign w:val="center"/>
          </w:tcPr>
          <w:p>
            <w:pPr>
              <w:jc w:val="center"/>
              <w:rPr>
                <w:rFonts w:eastAsiaTheme="minorEastAsia"/>
                <w:b/>
                <w:bCs/>
                <w:sz w:val="21"/>
                <w:szCs w:val="21"/>
              </w:rPr>
            </w:pPr>
            <w:r>
              <w:rPr>
                <w:rFonts w:eastAsiaTheme="minorEastAsia"/>
                <w:b/>
                <w:bCs/>
                <w:sz w:val="21"/>
                <w:szCs w:val="21"/>
              </w:rPr>
              <w:t>签约企业（人）</w:t>
            </w:r>
          </w:p>
        </w:tc>
        <w:tc>
          <w:tcPr>
            <w:tcW w:w="1138" w:type="pct"/>
            <w:shd w:val="clear" w:color="auto" w:fill="auto"/>
            <w:vAlign w:val="center"/>
          </w:tcPr>
          <w:p>
            <w:pPr>
              <w:jc w:val="center"/>
              <w:rPr>
                <w:rFonts w:eastAsiaTheme="minorEastAsia"/>
                <w:b/>
                <w:bCs/>
                <w:sz w:val="21"/>
                <w:szCs w:val="21"/>
              </w:rPr>
            </w:pPr>
            <w:r>
              <w:rPr>
                <w:rFonts w:eastAsiaTheme="minorEastAsia"/>
                <w:b/>
                <w:bCs/>
                <w:sz w:val="21"/>
                <w:szCs w:val="21"/>
              </w:rPr>
              <w:t>备考公务员（人）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9" w:type="pct"/>
            <w:shd w:val="clear" w:color="auto" w:fill="auto"/>
            <w:vAlign w:val="center"/>
          </w:tcPr>
          <w:p>
            <w:pPr>
              <w:jc w:val="center"/>
              <w:rPr>
                <w:rFonts w:eastAsiaTheme="minorEastAsia"/>
                <w:sz w:val="21"/>
                <w:szCs w:val="21"/>
              </w:rPr>
            </w:pPr>
            <w:r>
              <w:rPr>
                <w:rFonts w:eastAsiaTheme="minorEastAsia"/>
                <w:sz w:val="21"/>
                <w:szCs w:val="21"/>
              </w:rPr>
              <w:t>党员</w:t>
            </w:r>
          </w:p>
        </w:tc>
        <w:tc>
          <w:tcPr>
            <w:tcW w:w="608" w:type="pct"/>
            <w:shd w:val="clear" w:color="auto" w:fill="auto"/>
            <w:vAlign w:val="center"/>
          </w:tcPr>
          <w:p>
            <w:pPr>
              <w:jc w:val="center"/>
              <w:rPr>
                <w:rFonts w:eastAsiaTheme="minorEastAsia"/>
                <w:sz w:val="21"/>
                <w:szCs w:val="21"/>
              </w:rPr>
            </w:pPr>
            <w:r>
              <w:rPr>
                <w:rFonts w:eastAsiaTheme="minorEastAsia"/>
                <w:sz w:val="21"/>
                <w:szCs w:val="21"/>
              </w:rPr>
              <w:t>45</w:t>
            </w:r>
          </w:p>
        </w:tc>
        <w:tc>
          <w:tcPr>
            <w:tcW w:w="1228" w:type="pct"/>
            <w:shd w:val="clear" w:color="auto" w:fill="auto"/>
            <w:vAlign w:val="center"/>
          </w:tcPr>
          <w:p>
            <w:pPr>
              <w:jc w:val="center"/>
              <w:rPr>
                <w:rFonts w:eastAsiaTheme="minorEastAsia"/>
                <w:sz w:val="21"/>
                <w:szCs w:val="21"/>
              </w:rPr>
            </w:pPr>
            <w:r>
              <w:rPr>
                <w:rFonts w:eastAsiaTheme="minorEastAsia"/>
                <w:sz w:val="21"/>
                <w:szCs w:val="21"/>
              </w:rPr>
              <w:t>39</w:t>
            </w:r>
          </w:p>
        </w:tc>
        <w:tc>
          <w:tcPr>
            <w:tcW w:w="1044" w:type="pct"/>
            <w:shd w:val="clear" w:color="auto" w:fill="auto"/>
            <w:vAlign w:val="center"/>
          </w:tcPr>
          <w:p>
            <w:pPr>
              <w:jc w:val="center"/>
              <w:rPr>
                <w:rFonts w:eastAsiaTheme="minorEastAsia"/>
                <w:sz w:val="21"/>
                <w:szCs w:val="21"/>
              </w:rPr>
            </w:pPr>
            <w:r>
              <w:rPr>
                <w:rFonts w:eastAsiaTheme="minorEastAsia"/>
                <w:sz w:val="21"/>
                <w:szCs w:val="21"/>
              </w:rPr>
              <w:t>5</w:t>
            </w:r>
          </w:p>
        </w:tc>
        <w:tc>
          <w:tcPr>
            <w:tcW w:w="1138" w:type="pct"/>
            <w:shd w:val="clear" w:color="auto" w:fill="auto"/>
            <w:vAlign w:val="center"/>
          </w:tcPr>
          <w:p>
            <w:pPr>
              <w:jc w:val="center"/>
              <w:rPr>
                <w:rFonts w:eastAsiaTheme="minorEastAsia"/>
                <w:sz w:val="21"/>
                <w:szCs w:val="21"/>
              </w:rPr>
            </w:pPr>
            <w:r>
              <w:rPr>
                <w:rFonts w:eastAsiaTheme="minorEastAsia"/>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9" w:type="pct"/>
            <w:shd w:val="clear" w:color="auto" w:fill="auto"/>
            <w:vAlign w:val="center"/>
          </w:tcPr>
          <w:p>
            <w:pPr>
              <w:jc w:val="center"/>
              <w:rPr>
                <w:rFonts w:eastAsiaTheme="minorEastAsia"/>
                <w:sz w:val="21"/>
                <w:szCs w:val="21"/>
              </w:rPr>
            </w:pPr>
            <w:r>
              <w:rPr>
                <w:rFonts w:eastAsiaTheme="minorEastAsia"/>
                <w:sz w:val="21"/>
                <w:szCs w:val="21"/>
              </w:rPr>
              <w:t>班团</w:t>
            </w:r>
          </w:p>
        </w:tc>
        <w:tc>
          <w:tcPr>
            <w:tcW w:w="608" w:type="pct"/>
            <w:shd w:val="clear" w:color="auto" w:fill="auto"/>
            <w:vAlign w:val="center"/>
          </w:tcPr>
          <w:p>
            <w:pPr>
              <w:jc w:val="center"/>
              <w:rPr>
                <w:rFonts w:eastAsiaTheme="minorEastAsia"/>
                <w:sz w:val="21"/>
                <w:szCs w:val="21"/>
              </w:rPr>
            </w:pPr>
            <w:r>
              <w:rPr>
                <w:rFonts w:eastAsiaTheme="minorEastAsia"/>
                <w:sz w:val="21"/>
                <w:szCs w:val="21"/>
              </w:rPr>
              <w:t>20</w:t>
            </w:r>
          </w:p>
        </w:tc>
        <w:tc>
          <w:tcPr>
            <w:tcW w:w="1228" w:type="pct"/>
            <w:shd w:val="clear" w:color="auto" w:fill="auto"/>
            <w:vAlign w:val="center"/>
          </w:tcPr>
          <w:p>
            <w:pPr>
              <w:jc w:val="center"/>
              <w:rPr>
                <w:rFonts w:eastAsiaTheme="minorEastAsia"/>
                <w:sz w:val="21"/>
                <w:szCs w:val="21"/>
              </w:rPr>
            </w:pPr>
            <w:r>
              <w:rPr>
                <w:rFonts w:eastAsiaTheme="minorEastAsia"/>
                <w:sz w:val="21"/>
                <w:szCs w:val="21"/>
              </w:rPr>
              <w:t>12</w:t>
            </w:r>
          </w:p>
        </w:tc>
        <w:tc>
          <w:tcPr>
            <w:tcW w:w="1044" w:type="pct"/>
            <w:shd w:val="clear" w:color="auto" w:fill="auto"/>
            <w:vAlign w:val="center"/>
          </w:tcPr>
          <w:p>
            <w:pPr>
              <w:jc w:val="center"/>
              <w:rPr>
                <w:rFonts w:eastAsiaTheme="minorEastAsia"/>
                <w:sz w:val="21"/>
                <w:szCs w:val="21"/>
              </w:rPr>
            </w:pPr>
            <w:r>
              <w:rPr>
                <w:rFonts w:eastAsiaTheme="minorEastAsia"/>
                <w:sz w:val="21"/>
                <w:szCs w:val="21"/>
              </w:rPr>
              <w:t>2</w:t>
            </w:r>
          </w:p>
        </w:tc>
        <w:tc>
          <w:tcPr>
            <w:tcW w:w="1138" w:type="pct"/>
            <w:shd w:val="clear" w:color="auto" w:fill="auto"/>
            <w:vAlign w:val="center"/>
          </w:tcPr>
          <w:p>
            <w:pPr>
              <w:jc w:val="center"/>
              <w:rPr>
                <w:rFonts w:eastAsiaTheme="minorEastAsia"/>
                <w:sz w:val="21"/>
                <w:szCs w:val="21"/>
              </w:rPr>
            </w:pPr>
            <w:r>
              <w:rPr>
                <w:rFonts w:eastAsiaTheme="minorEastAsia"/>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979" w:type="pct"/>
            <w:shd w:val="clear" w:color="auto" w:fill="auto"/>
            <w:vAlign w:val="center"/>
          </w:tcPr>
          <w:p>
            <w:pPr>
              <w:jc w:val="center"/>
              <w:rPr>
                <w:rFonts w:eastAsiaTheme="minorEastAsia"/>
                <w:sz w:val="21"/>
                <w:szCs w:val="21"/>
              </w:rPr>
            </w:pPr>
            <w:r>
              <w:rPr>
                <w:rFonts w:eastAsiaTheme="minorEastAsia"/>
                <w:sz w:val="21"/>
                <w:szCs w:val="21"/>
              </w:rPr>
              <w:t>学生会</w:t>
            </w:r>
          </w:p>
        </w:tc>
        <w:tc>
          <w:tcPr>
            <w:tcW w:w="608" w:type="pct"/>
            <w:shd w:val="clear" w:color="auto" w:fill="auto"/>
            <w:vAlign w:val="center"/>
          </w:tcPr>
          <w:p>
            <w:pPr>
              <w:jc w:val="center"/>
              <w:rPr>
                <w:rFonts w:eastAsiaTheme="minorEastAsia"/>
                <w:sz w:val="21"/>
                <w:szCs w:val="21"/>
              </w:rPr>
            </w:pPr>
            <w:r>
              <w:rPr>
                <w:rFonts w:eastAsiaTheme="minorEastAsia"/>
                <w:sz w:val="21"/>
                <w:szCs w:val="21"/>
              </w:rPr>
              <w:t>13</w:t>
            </w:r>
          </w:p>
        </w:tc>
        <w:tc>
          <w:tcPr>
            <w:tcW w:w="1228" w:type="pct"/>
            <w:shd w:val="clear" w:color="auto" w:fill="auto"/>
            <w:vAlign w:val="center"/>
          </w:tcPr>
          <w:p>
            <w:pPr>
              <w:jc w:val="center"/>
              <w:rPr>
                <w:rFonts w:eastAsiaTheme="minorEastAsia"/>
                <w:sz w:val="21"/>
                <w:szCs w:val="21"/>
              </w:rPr>
            </w:pPr>
            <w:r>
              <w:rPr>
                <w:rFonts w:eastAsiaTheme="minorEastAsia"/>
                <w:sz w:val="21"/>
                <w:szCs w:val="21"/>
              </w:rPr>
              <w:t>10</w:t>
            </w:r>
          </w:p>
        </w:tc>
        <w:tc>
          <w:tcPr>
            <w:tcW w:w="1044" w:type="pct"/>
            <w:shd w:val="clear" w:color="auto" w:fill="auto"/>
            <w:vAlign w:val="center"/>
          </w:tcPr>
          <w:p>
            <w:pPr>
              <w:jc w:val="center"/>
              <w:rPr>
                <w:rFonts w:eastAsiaTheme="minorEastAsia"/>
                <w:sz w:val="21"/>
                <w:szCs w:val="21"/>
              </w:rPr>
            </w:pPr>
            <w:r>
              <w:rPr>
                <w:rFonts w:eastAsiaTheme="minorEastAsia"/>
                <w:sz w:val="21"/>
                <w:szCs w:val="21"/>
              </w:rPr>
              <w:t>3</w:t>
            </w:r>
          </w:p>
        </w:tc>
        <w:tc>
          <w:tcPr>
            <w:tcW w:w="1138" w:type="pct"/>
            <w:shd w:val="clear" w:color="auto" w:fill="auto"/>
            <w:vAlign w:val="center"/>
          </w:tcPr>
          <w:p>
            <w:pPr>
              <w:jc w:val="center"/>
              <w:rPr>
                <w:rFonts w:eastAsiaTheme="minorEastAsia"/>
                <w:sz w:val="21"/>
                <w:szCs w:val="21"/>
              </w:rPr>
            </w:pPr>
            <w:r>
              <w:rPr>
                <w:rFonts w:eastAsiaTheme="minorEastAsia"/>
                <w:sz w:val="21"/>
                <w:szCs w:val="21"/>
              </w:rPr>
              <w:t>0</w:t>
            </w:r>
          </w:p>
        </w:tc>
      </w:tr>
    </w:tbl>
    <w:p>
      <w:pPr>
        <w:ind w:firstLine="480"/>
        <w:rPr>
          <w:rFonts w:eastAsiaTheme="minorEastAsia"/>
        </w:rPr>
      </w:pPr>
      <w:r>
        <w:rPr>
          <w:rFonts w:eastAsiaTheme="minorEastAsia"/>
        </w:rPr>
        <w:t>②出台《党员、学生干部就业工作联系帮扶一览表》，实现帮扶人和帮扶对象</w:t>
      </w:r>
      <w:r>
        <w:rPr>
          <w:rFonts w:hint="eastAsia" w:eastAsiaTheme="minorEastAsia"/>
        </w:rPr>
        <w:t>“</w:t>
      </w:r>
      <w:r>
        <w:rPr>
          <w:rFonts w:eastAsiaTheme="minorEastAsia"/>
        </w:rPr>
        <w:t>结对子</w:t>
      </w:r>
      <w:r>
        <w:rPr>
          <w:rFonts w:hint="eastAsia" w:eastAsiaTheme="minorEastAsia"/>
        </w:rPr>
        <w:t>”</w:t>
      </w:r>
      <w:r>
        <w:rPr>
          <w:rFonts w:eastAsiaTheme="minorEastAsia"/>
        </w:rPr>
        <w:t>，通过</w:t>
      </w:r>
      <w:r>
        <w:rPr>
          <w:rFonts w:hint="eastAsia" w:eastAsiaTheme="minorEastAsia"/>
        </w:rPr>
        <w:t>“</w:t>
      </w:r>
      <w:r>
        <w:rPr>
          <w:rFonts w:eastAsiaTheme="minorEastAsia"/>
        </w:rPr>
        <w:t>包干到户</w:t>
      </w:r>
      <w:r>
        <w:rPr>
          <w:rFonts w:hint="eastAsia" w:eastAsiaTheme="minorEastAsia"/>
        </w:rPr>
        <w:t>”</w:t>
      </w:r>
      <w:r>
        <w:rPr>
          <w:rFonts w:eastAsiaTheme="minorEastAsia"/>
        </w:rPr>
        <w:t>提高帮扶针对性和实效性。组建</w:t>
      </w:r>
      <w:r>
        <w:rPr>
          <w:rFonts w:hint="eastAsia" w:eastAsiaTheme="minorEastAsia"/>
        </w:rPr>
        <w:t>“</w:t>
      </w:r>
      <w:r>
        <w:rPr>
          <w:rFonts w:eastAsiaTheme="minorEastAsia"/>
        </w:rPr>
        <w:t>防疫情、促就业先锋小组</w:t>
      </w:r>
      <w:r>
        <w:rPr>
          <w:rFonts w:hint="eastAsia" w:eastAsiaTheme="minorEastAsia"/>
        </w:rPr>
        <w:t>”</w:t>
      </w:r>
      <w:r>
        <w:rPr>
          <w:rFonts w:eastAsiaTheme="minorEastAsia"/>
        </w:rPr>
        <w:t>，确保信息发布及时到位、帮扶效果有保障。</w:t>
      </w:r>
    </w:p>
    <w:p>
      <w:pPr>
        <w:ind w:firstLine="480"/>
        <w:rPr>
          <w:rFonts w:eastAsia="黑体"/>
          <w:szCs w:val="24"/>
        </w:rPr>
      </w:pPr>
      <w:r>
        <w:rPr>
          <w:rFonts w:eastAsia="黑体"/>
          <w:szCs w:val="24"/>
        </w:rPr>
        <w:t>2.精心做好信息服务和就业平台搭建工作</w:t>
      </w:r>
    </w:p>
    <w:p>
      <w:pPr>
        <w:ind w:firstLine="480"/>
        <w:rPr>
          <w:rFonts w:eastAsiaTheme="minorEastAsia"/>
        </w:rPr>
      </w:pPr>
      <w:r>
        <w:rPr>
          <w:rFonts w:eastAsiaTheme="minorEastAsia"/>
        </w:rPr>
        <w:t>由于疫情惊呼，学院引导学生积极参加</w:t>
      </w:r>
      <w:r>
        <w:rPr>
          <w:rFonts w:hint="eastAsia" w:eastAsiaTheme="minorEastAsia"/>
        </w:rPr>
        <w:t>“</w:t>
      </w:r>
      <w:r>
        <w:rPr>
          <w:rFonts w:eastAsiaTheme="minorEastAsia"/>
        </w:rPr>
        <w:t>山东农业大学2022年线上招聘会</w:t>
      </w:r>
      <w:r>
        <w:rPr>
          <w:rFonts w:hint="eastAsia" w:eastAsiaTheme="minorEastAsia"/>
        </w:rPr>
        <w:t>”</w:t>
      </w:r>
      <w:r>
        <w:rPr>
          <w:rFonts w:eastAsiaTheme="minorEastAsia"/>
        </w:rPr>
        <w:t>、</w:t>
      </w:r>
      <w:r>
        <w:rPr>
          <w:rFonts w:hint="eastAsia"/>
        </w:rPr>
        <w:t>“</w:t>
      </w:r>
      <w:r>
        <w:t>就选山东</w:t>
      </w:r>
      <w:r>
        <w:rPr>
          <w:rFonts w:hint="eastAsia"/>
        </w:rPr>
        <w:t>”</w:t>
      </w:r>
      <w:r>
        <w:t>、</w:t>
      </w:r>
      <w:r>
        <w:rPr>
          <w:rFonts w:hint="eastAsia"/>
        </w:rPr>
        <w:t>“</w:t>
      </w:r>
      <w:r>
        <w:t>青鸟计划</w:t>
      </w:r>
      <w:r>
        <w:rPr>
          <w:rFonts w:hint="eastAsia"/>
        </w:rPr>
        <w:t>”</w:t>
      </w:r>
      <w:r>
        <w:t>等促就业活动，加强就业信息和就业政策搜集发布工作，目前累计</w:t>
      </w:r>
      <w:r>
        <w:rPr>
          <w:rFonts w:eastAsiaTheme="minorEastAsia"/>
        </w:rPr>
        <w:t>发布各类招聘信息300条，组织参与10场空中宣讲会，累计签约76名。其中，20位签约学生已成功考取研究生，为毕业就业提供了更多选择。</w:t>
      </w:r>
    </w:p>
    <w:p>
      <w:pPr>
        <w:ind w:firstLine="480"/>
        <w:rPr>
          <w:rFonts w:eastAsia="黑体"/>
          <w:szCs w:val="24"/>
        </w:rPr>
      </w:pPr>
      <w:r>
        <w:rPr>
          <w:rFonts w:eastAsia="黑体"/>
          <w:szCs w:val="24"/>
        </w:rPr>
        <w:t>3.贴近做好特殊就业群体就业帮扶工作</w:t>
      </w:r>
    </w:p>
    <w:p>
      <w:pPr>
        <w:ind w:firstLine="480"/>
        <w:rPr>
          <w:rFonts w:eastAsiaTheme="minorEastAsia"/>
        </w:rPr>
      </w:pPr>
      <w:r>
        <w:rPr>
          <w:rFonts w:eastAsiaTheme="minorEastAsia"/>
        </w:rPr>
        <w:t>学院针对家庭经济困难、少数民族等就业困难群体和湖北籍毕业生开展了针对性促就业帮扶工作，取得一定成效。</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63"/>
        <w:gridCol w:w="1783"/>
        <w:gridCol w:w="2514"/>
        <w:gridCol w:w="26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39" w:type="pct"/>
            <w:shd w:val="clear" w:color="auto" w:fill="auto"/>
          </w:tcPr>
          <w:p>
            <w:pPr>
              <w:jc w:val="center"/>
              <w:rPr>
                <w:rFonts w:eastAsiaTheme="minorEastAsia"/>
                <w:b/>
                <w:bCs/>
                <w:sz w:val="21"/>
                <w:szCs w:val="21"/>
              </w:rPr>
            </w:pPr>
            <w:r>
              <w:rPr>
                <w:rFonts w:eastAsiaTheme="minorEastAsia"/>
                <w:b/>
                <w:bCs/>
                <w:sz w:val="21"/>
                <w:szCs w:val="21"/>
              </w:rPr>
              <w:t>类别</w:t>
            </w:r>
          </w:p>
        </w:tc>
        <w:tc>
          <w:tcPr>
            <w:tcW w:w="984" w:type="pct"/>
            <w:shd w:val="clear" w:color="auto" w:fill="auto"/>
          </w:tcPr>
          <w:p>
            <w:pPr>
              <w:jc w:val="center"/>
              <w:rPr>
                <w:rFonts w:eastAsiaTheme="minorEastAsia"/>
                <w:b/>
                <w:bCs/>
                <w:sz w:val="21"/>
                <w:szCs w:val="21"/>
              </w:rPr>
            </w:pPr>
            <w:r>
              <w:rPr>
                <w:rFonts w:eastAsiaTheme="minorEastAsia"/>
                <w:b/>
                <w:bCs/>
                <w:sz w:val="21"/>
                <w:szCs w:val="21"/>
              </w:rPr>
              <w:t>总人数</w:t>
            </w:r>
          </w:p>
        </w:tc>
        <w:tc>
          <w:tcPr>
            <w:tcW w:w="1387" w:type="pct"/>
            <w:shd w:val="clear" w:color="auto" w:fill="auto"/>
          </w:tcPr>
          <w:p>
            <w:pPr>
              <w:jc w:val="center"/>
              <w:rPr>
                <w:rFonts w:eastAsiaTheme="minorEastAsia"/>
                <w:b/>
                <w:bCs/>
                <w:sz w:val="21"/>
                <w:szCs w:val="21"/>
              </w:rPr>
            </w:pPr>
            <w:r>
              <w:rPr>
                <w:rFonts w:eastAsiaTheme="minorEastAsia"/>
                <w:b/>
                <w:bCs/>
                <w:sz w:val="21"/>
                <w:szCs w:val="21"/>
              </w:rPr>
              <w:t>考取研究生（人）</w:t>
            </w:r>
          </w:p>
        </w:tc>
        <w:tc>
          <w:tcPr>
            <w:tcW w:w="1488" w:type="pct"/>
            <w:shd w:val="clear" w:color="auto" w:fill="auto"/>
          </w:tcPr>
          <w:p>
            <w:pPr>
              <w:jc w:val="center"/>
              <w:rPr>
                <w:rFonts w:eastAsiaTheme="minorEastAsia"/>
                <w:b/>
                <w:bCs/>
                <w:sz w:val="21"/>
                <w:szCs w:val="21"/>
              </w:rPr>
            </w:pPr>
            <w:r>
              <w:rPr>
                <w:rFonts w:eastAsiaTheme="minorEastAsia"/>
                <w:b/>
                <w:bCs/>
                <w:sz w:val="21"/>
                <w:szCs w:val="21"/>
              </w:rPr>
              <w:t>签约企业（人）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39" w:type="pct"/>
            <w:shd w:val="clear" w:color="auto" w:fill="auto"/>
          </w:tcPr>
          <w:p>
            <w:pPr>
              <w:ind w:firstLine="480"/>
              <w:rPr>
                <w:rFonts w:eastAsiaTheme="minorEastAsia"/>
                <w:sz w:val="21"/>
                <w:szCs w:val="21"/>
              </w:rPr>
            </w:pPr>
            <w:r>
              <w:rPr>
                <w:rFonts w:eastAsiaTheme="minorEastAsia"/>
                <w:sz w:val="21"/>
                <w:szCs w:val="21"/>
              </w:rPr>
              <w:t>贫困生</w:t>
            </w:r>
          </w:p>
        </w:tc>
        <w:tc>
          <w:tcPr>
            <w:tcW w:w="984" w:type="pct"/>
            <w:shd w:val="clear" w:color="auto" w:fill="auto"/>
          </w:tcPr>
          <w:p>
            <w:pPr>
              <w:ind w:firstLine="480"/>
              <w:rPr>
                <w:rFonts w:eastAsiaTheme="minorEastAsia"/>
                <w:sz w:val="21"/>
                <w:szCs w:val="21"/>
              </w:rPr>
            </w:pPr>
            <w:r>
              <w:rPr>
                <w:rFonts w:eastAsiaTheme="minorEastAsia"/>
                <w:sz w:val="21"/>
                <w:szCs w:val="21"/>
              </w:rPr>
              <w:t>76</w:t>
            </w:r>
          </w:p>
        </w:tc>
        <w:tc>
          <w:tcPr>
            <w:tcW w:w="1387" w:type="pct"/>
            <w:shd w:val="clear" w:color="auto" w:fill="auto"/>
          </w:tcPr>
          <w:p>
            <w:pPr>
              <w:ind w:firstLine="480"/>
              <w:rPr>
                <w:rFonts w:eastAsiaTheme="minorEastAsia"/>
                <w:sz w:val="21"/>
                <w:szCs w:val="21"/>
              </w:rPr>
            </w:pPr>
            <w:r>
              <w:rPr>
                <w:rFonts w:eastAsiaTheme="minorEastAsia"/>
                <w:sz w:val="21"/>
                <w:szCs w:val="21"/>
              </w:rPr>
              <w:t>46</w:t>
            </w:r>
          </w:p>
        </w:tc>
        <w:tc>
          <w:tcPr>
            <w:tcW w:w="1488" w:type="pct"/>
            <w:shd w:val="clear" w:color="auto" w:fill="auto"/>
          </w:tcPr>
          <w:p>
            <w:pPr>
              <w:ind w:firstLine="480"/>
              <w:rPr>
                <w:rFonts w:eastAsiaTheme="minorEastAsia"/>
                <w:sz w:val="21"/>
                <w:szCs w:val="21"/>
              </w:rPr>
            </w:pPr>
            <w:r>
              <w:rPr>
                <w:rFonts w:eastAsiaTheme="minorEastAsia"/>
                <w:sz w:val="21"/>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9" w:type="pct"/>
            <w:shd w:val="clear" w:color="auto" w:fill="auto"/>
          </w:tcPr>
          <w:p>
            <w:pPr>
              <w:ind w:firstLine="480"/>
              <w:rPr>
                <w:rFonts w:eastAsiaTheme="minorEastAsia"/>
                <w:sz w:val="21"/>
                <w:szCs w:val="21"/>
              </w:rPr>
            </w:pPr>
            <w:r>
              <w:rPr>
                <w:rFonts w:eastAsiaTheme="minorEastAsia"/>
                <w:sz w:val="21"/>
                <w:szCs w:val="21"/>
              </w:rPr>
              <w:t>少数民族</w:t>
            </w:r>
          </w:p>
        </w:tc>
        <w:tc>
          <w:tcPr>
            <w:tcW w:w="984" w:type="pct"/>
            <w:shd w:val="clear" w:color="auto" w:fill="auto"/>
          </w:tcPr>
          <w:p>
            <w:pPr>
              <w:ind w:firstLine="480"/>
              <w:rPr>
                <w:rFonts w:eastAsiaTheme="minorEastAsia"/>
                <w:sz w:val="21"/>
                <w:szCs w:val="21"/>
              </w:rPr>
            </w:pPr>
            <w:r>
              <w:rPr>
                <w:rFonts w:eastAsiaTheme="minorEastAsia"/>
                <w:sz w:val="21"/>
                <w:szCs w:val="21"/>
              </w:rPr>
              <w:t>16</w:t>
            </w:r>
          </w:p>
        </w:tc>
        <w:tc>
          <w:tcPr>
            <w:tcW w:w="1387" w:type="pct"/>
            <w:shd w:val="clear" w:color="auto" w:fill="auto"/>
          </w:tcPr>
          <w:p>
            <w:pPr>
              <w:ind w:firstLine="480"/>
              <w:rPr>
                <w:rFonts w:eastAsiaTheme="minorEastAsia"/>
                <w:sz w:val="21"/>
                <w:szCs w:val="21"/>
              </w:rPr>
            </w:pPr>
            <w:r>
              <w:rPr>
                <w:rFonts w:eastAsiaTheme="minorEastAsia"/>
                <w:sz w:val="21"/>
                <w:szCs w:val="21"/>
              </w:rPr>
              <w:t>4</w:t>
            </w:r>
          </w:p>
        </w:tc>
        <w:tc>
          <w:tcPr>
            <w:tcW w:w="1488" w:type="pct"/>
            <w:shd w:val="clear" w:color="auto" w:fill="auto"/>
          </w:tcPr>
          <w:p>
            <w:pPr>
              <w:ind w:firstLine="480"/>
              <w:rPr>
                <w:rFonts w:eastAsiaTheme="minorEastAsia"/>
                <w:sz w:val="21"/>
                <w:szCs w:val="21"/>
              </w:rPr>
            </w:pPr>
            <w:r>
              <w:rPr>
                <w:rFonts w:eastAsiaTheme="minorEastAsia"/>
                <w:sz w:val="21"/>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39" w:type="pct"/>
            <w:shd w:val="clear" w:color="auto" w:fill="auto"/>
          </w:tcPr>
          <w:p>
            <w:pPr>
              <w:ind w:firstLine="480"/>
              <w:rPr>
                <w:rFonts w:eastAsiaTheme="minorEastAsia"/>
                <w:sz w:val="21"/>
                <w:szCs w:val="21"/>
              </w:rPr>
            </w:pPr>
            <w:r>
              <w:rPr>
                <w:rFonts w:eastAsiaTheme="minorEastAsia"/>
                <w:sz w:val="21"/>
                <w:szCs w:val="21"/>
              </w:rPr>
              <w:t>湖北籍学生</w:t>
            </w:r>
          </w:p>
        </w:tc>
        <w:tc>
          <w:tcPr>
            <w:tcW w:w="984" w:type="pct"/>
            <w:shd w:val="clear" w:color="auto" w:fill="auto"/>
          </w:tcPr>
          <w:p>
            <w:pPr>
              <w:ind w:firstLine="480"/>
              <w:rPr>
                <w:rFonts w:eastAsiaTheme="minorEastAsia"/>
                <w:sz w:val="21"/>
                <w:szCs w:val="21"/>
              </w:rPr>
            </w:pPr>
            <w:r>
              <w:rPr>
                <w:rFonts w:eastAsiaTheme="minorEastAsia"/>
                <w:sz w:val="21"/>
                <w:szCs w:val="21"/>
              </w:rPr>
              <w:t>4</w:t>
            </w:r>
          </w:p>
        </w:tc>
        <w:tc>
          <w:tcPr>
            <w:tcW w:w="1387" w:type="pct"/>
            <w:shd w:val="clear" w:color="auto" w:fill="auto"/>
          </w:tcPr>
          <w:p>
            <w:pPr>
              <w:ind w:firstLine="480"/>
              <w:rPr>
                <w:rFonts w:eastAsiaTheme="minorEastAsia"/>
                <w:sz w:val="21"/>
                <w:szCs w:val="21"/>
              </w:rPr>
            </w:pPr>
            <w:r>
              <w:rPr>
                <w:rFonts w:eastAsiaTheme="minorEastAsia"/>
                <w:sz w:val="21"/>
                <w:szCs w:val="21"/>
              </w:rPr>
              <w:t>3</w:t>
            </w:r>
          </w:p>
        </w:tc>
        <w:tc>
          <w:tcPr>
            <w:tcW w:w="1488" w:type="pct"/>
            <w:shd w:val="clear" w:color="auto" w:fill="auto"/>
          </w:tcPr>
          <w:p>
            <w:pPr>
              <w:ind w:firstLine="480"/>
              <w:rPr>
                <w:rFonts w:eastAsiaTheme="minorEastAsia"/>
                <w:sz w:val="21"/>
                <w:szCs w:val="21"/>
              </w:rPr>
            </w:pPr>
            <w:r>
              <w:rPr>
                <w:rFonts w:eastAsiaTheme="minorEastAsia"/>
                <w:sz w:val="21"/>
                <w:szCs w:val="21"/>
              </w:rPr>
              <w:t>1</w:t>
            </w:r>
          </w:p>
        </w:tc>
      </w:tr>
    </w:tbl>
    <w:p>
      <w:pPr>
        <w:ind w:firstLine="480"/>
        <w:rPr>
          <w:rFonts w:eastAsiaTheme="minorEastAsia"/>
        </w:rPr>
      </w:pPr>
      <w:r>
        <w:rPr>
          <w:rFonts w:eastAsia="黑体"/>
          <w:szCs w:val="24"/>
        </w:rPr>
        <w:t>4.积极选树就业典型</w:t>
      </w:r>
    </w:p>
    <w:p>
      <w:pPr>
        <w:ind w:firstLine="480"/>
        <w:rPr>
          <w:rFonts w:eastAsiaTheme="minorEastAsia"/>
        </w:rPr>
      </w:pPr>
      <w:r>
        <w:rPr>
          <w:rFonts w:eastAsiaTheme="minorEastAsia"/>
        </w:rPr>
        <w:t>学院积极挖掘就业典型，产生辐射效应。目前，毕业生王亚琪和仲绍宇已分别签约牧原集团和禾丰集团等上市公司，就业意向明确、就业选择坚定，产生了一定的促就业成效。</w:t>
      </w:r>
    </w:p>
    <w:p>
      <w:pPr>
        <w:ind w:firstLine="480"/>
        <w:rPr>
          <w:rFonts w:eastAsia="黑体"/>
          <w:szCs w:val="24"/>
        </w:rPr>
      </w:pPr>
      <w:r>
        <w:rPr>
          <w:rFonts w:eastAsia="黑体"/>
          <w:szCs w:val="24"/>
        </w:rPr>
        <w:t>5.着力发挥家校共育促就业</w:t>
      </w:r>
    </w:p>
    <w:p>
      <w:pPr>
        <w:ind w:firstLine="480"/>
        <w:rPr>
          <w:rFonts w:eastAsiaTheme="minorEastAsia"/>
        </w:rPr>
      </w:pPr>
      <w:r>
        <w:rPr>
          <w:rFonts w:eastAsiaTheme="minorEastAsia"/>
        </w:rPr>
        <w:t>就业辅导员已累计与200位学生家长通过电话形式进行沟通、畅通家校育人渠道，通过向家长介绍就业形势、解读就业政策，助力毕业生顺利毕业、高效就业。</w:t>
      </w:r>
    </w:p>
    <w:p>
      <w:pPr>
        <w:pStyle w:val="5"/>
        <w:spacing w:before="93" w:after="93"/>
        <w:ind w:firstLine="560"/>
      </w:pPr>
      <w:bookmarkStart w:id="309" w:name="_Toc9117"/>
      <w:r>
        <w:t>七、专业发展趋势及建议</w:t>
      </w:r>
      <w:bookmarkEnd w:id="309"/>
    </w:p>
    <w:p>
      <w:pPr>
        <w:ind w:firstLine="480"/>
        <w:rPr>
          <w:rFonts w:eastAsiaTheme="minorEastAsia"/>
        </w:rPr>
      </w:pPr>
      <w:r>
        <w:rPr>
          <w:rFonts w:eastAsiaTheme="minorEastAsia"/>
        </w:rPr>
        <w:t>改革开放以来，我国的畜牧业由过去从属于农业的</w:t>
      </w:r>
      <w:r>
        <w:rPr>
          <w:rFonts w:hint="eastAsia" w:eastAsiaTheme="minorEastAsia"/>
        </w:rPr>
        <w:t>“</w:t>
      </w:r>
      <w:r>
        <w:rPr>
          <w:rFonts w:eastAsiaTheme="minorEastAsia"/>
        </w:rPr>
        <w:t>庭院经济</w:t>
      </w:r>
      <w:r>
        <w:rPr>
          <w:rFonts w:hint="eastAsia" w:eastAsiaTheme="minorEastAsia"/>
        </w:rPr>
        <w:t>”</w:t>
      </w:r>
      <w:r>
        <w:rPr>
          <w:rFonts w:eastAsiaTheme="minorEastAsia"/>
        </w:rPr>
        <w:t>迅速向产业化、规模化和集约化方向发展，并且已经迅速成为我国国民经济中的支柱产业。现代化畜牧业在提高人们生活水平的同时，也给人类生活也带来了一些新的问题，如动物疫病流行特点不断发生改变，食品安全和环境保护问题日益突出。兽医工作已从过去诊疗动物疫病的单一目标发展到保护动物健康、保障食品安全和人类健康以及环境保护等多个方面，所以社会上对动物医学专业人才不但需求量越来越大，而且对专业人才培养质量的要求也越来越高。</w:t>
      </w:r>
    </w:p>
    <w:p>
      <w:pPr>
        <w:ind w:firstLine="480"/>
        <w:rPr>
          <w:rFonts w:eastAsiaTheme="minorEastAsia"/>
        </w:rPr>
      </w:pPr>
      <w:r>
        <w:fldChar w:fldCharType="begin"/>
      </w:r>
      <w:r>
        <w:instrText xml:space="preserve"> HYPERLINK "http://www.baidu.com/s?wd=%E5%8A%A8%E7%89%A9%E5%8C%BB%E5%AD%A6%E4%B8%93%E4%B8%9A&amp;hl_tag=textlink&amp;tn=SE_hldp01350_v6v6zkg6" \t "_blank" </w:instrText>
      </w:r>
      <w:r>
        <w:fldChar w:fldCharType="separate"/>
      </w:r>
      <w:r>
        <w:rPr>
          <w:rFonts w:eastAsiaTheme="minorEastAsia"/>
        </w:rPr>
        <w:t>动物医学专业</w:t>
      </w:r>
      <w:r>
        <w:rPr>
          <w:rFonts w:eastAsiaTheme="minorEastAsia"/>
        </w:rPr>
        <w:fldChar w:fldCharType="end"/>
      </w:r>
      <w:r>
        <w:rPr>
          <w:rFonts w:eastAsiaTheme="minorEastAsia"/>
        </w:rPr>
        <w:t>（即传统上所说的</w:t>
      </w:r>
      <w:r>
        <w:fldChar w:fldCharType="begin"/>
      </w:r>
      <w:r>
        <w:instrText xml:space="preserve"> HYPERLINK "http://www.baidu.com/s?wd=%E5%85%BD%E5%8C%BB%E4%B8%93%E4%B8%9A&amp;hl_tag=textlink&amp;tn=SE_hldp01350_v6v6zkg6" \t "_blank" </w:instrText>
      </w:r>
      <w:r>
        <w:fldChar w:fldCharType="separate"/>
      </w:r>
      <w:r>
        <w:rPr>
          <w:rFonts w:eastAsiaTheme="minorEastAsia"/>
        </w:rPr>
        <w:t>兽医专业</w:t>
      </w:r>
      <w:r>
        <w:rPr>
          <w:rFonts w:eastAsiaTheme="minorEastAsia"/>
        </w:rPr>
        <w:fldChar w:fldCharType="end"/>
      </w:r>
      <w:r>
        <w:rPr>
          <w:rFonts w:eastAsiaTheme="minorEastAsia"/>
        </w:rPr>
        <w:t>），不但面向畜牧生产、兽医诊疗及兽药生产等企业，承担着保障畜禽在规模化、集约化、标准化生产方式下的健康安全，而且还要面向公共卫生、食品卫生、伴侣动物及观赏动物的医疗保健及环境保护等诸多领域，承担着动物检疫、动物食品卫生、兽药生产、环境卫生、人畜共患病防治等重要的社会责任。在当今社会的发展中，社会上对动物医学专业毕业生的就业形势非常看好，且具有极其广阔的发展前景。学生毕业后可以从事畜禽疾病的诊断与防治、伴侣动物医疗保健和畜牧兽医行政管理、进出口动物及其产品的检验检疫、饲料工业、食品安全、实验动物和公共卫生等方面的工作。</w:t>
      </w:r>
    </w:p>
    <w:p>
      <w:pPr>
        <w:ind w:firstLine="480"/>
        <w:rPr>
          <w:rFonts w:eastAsiaTheme="minorEastAsia"/>
        </w:rPr>
      </w:pPr>
      <w:r>
        <w:rPr>
          <w:rFonts w:eastAsiaTheme="minorEastAsia"/>
        </w:rPr>
        <w:t>本专业应进一步加强学科建设，不断提高人才培养质量和办学水平，以满足社会上对高级动物医学专业人才的需求。</w:t>
      </w:r>
    </w:p>
    <w:p>
      <w:pPr>
        <w:pStyle w:val="5"/>
        <w:spacing w:before="93" w:after="93"/>
        <w:ind w:firstLine="560"/>
      </w:pPr>
      <w:bookmarkStart w:id="310" w:name="_Toc27615"/>
      <w:r>
        <w:t>八、存在的问题及整改措施</w:t>
      </w:r>
      <w:bookmarkEnd w:id="310"/>
    </w:p>
    <w:p>
      <w:pPr>
        <w:ind w:firstLine="480"/>
        <w:rPr>
          <w:rFonts w:eastAsiaTheme="minorEastAsia"/>
        </w:rPr>
      </w:pPr>
      <w:r>
        <w:rPr>
          <w:rFonts w:eastAsiaTheme="minorEastAsia"/>
        </w:rPr>
        <w:t>学生数量多，师-生比低，教学条件不足；部分课程设置及布局与社会需求和当前产业发展脱节；与生产一线结合不紧密。今后需进一步引进人才，加强师资力量，加强条件建设，增加社会需要的课程，加强就业引导，提高学生的创新创业能力，在学科建设上进一步加大人才吸引力度，努力打造国内一流学科。</w:t>
      </w: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pPr>
      <w:bookmarkStart w:id="311" w:name="_Toc775"/>
      <w:bookmarkStart w:id="312" w:name="_Toc11319"/>
      <w:bookmarkStart w:id="313" w:name="_Toc439256210"/>
      <w:bookmarkStart w:id="314" w:name="_Toc20550"/>
      <w:bookmarkStart w:id="315" w:name="_Toc25397"/>
      <w:bookmarkStart w:id="316" w:name="_Toc2133"/>
      <w:bookmarkStart w:id="317" w:name="_Toc19692"/>
      <w:bookmarkStart w:id="318" w:name="_Toc1575"/>
      <w:bookmarkStart w:id="319" w:name="_Toc21075"/>
      <w:r>
        <w:t>专业二十</w:t>
      </w:r>
      <w:r>
        <w:rPr>
          <w:rFonts w:hint="eastAsia"/>
          <w:lang w:val="en-US"/>
        </w:rPr>
        <w:t>八</w:t>
      </w:r>
      <w:r>
        <w:t>：水产养殖学</w:t>
      </w:r>
      <w:bookmarkEnd w:id="311"/>
      <w:bookmarkEnd w:id="312"/>
      <w:bookmarkEnd w:id="313"/>
      <w:bookmarkEnd w:id="314"/>
      <w:bookmarkEnd w:id="315"/>
      <w:bookmarkEnd w:id="316"/>
      <w:bookmarkEnd w:id="317"/>
      <w:bookmarkEnd w:id="318"/>
      <w:bookmarkEnd w:id="319"/>
    </w:p>
    <w:p>
      <w:pPr>
        <w:pStyle w:val="5"/>
        <w:spacing w:before="93" w:after="93"/>
        <w:ind w:firstLine="560"/>
        <w:rPr>
          <w:lang w:val="zh-CN"/>
        </w:rPr>
      </w:pPr>
      <w:bookmarkStart w:id="320" w:name="_Toc1874"/>
      <w:r>
        <w:t>一、</w:t>
      </w:r>
      <w:r>
        <w:rPr>
          <w:lang w:val="zh-CN"/>
        </w:rPr>
        <w:t>人才培养目标</w:t>
      </w:r>
      <w:bookmarkEnd w:id="320"/>
    </w:p>
    <w:p>
      <w:pPr>
        <w:ind w:firstLine="480" w:firstLineChars="200"/>
      </w:pPr>
      <w:bookmarkStart w:id="321" w:name="_Toc19797"/>
      <w:r>
        <w:t>水产养殖学专业是山东省一流本科专业，隶属山东省教育服务新旧动能转换专业对接产业项目核心专业群，拥有本科、硕士、博士的完整人才培养体系。本专业在综合性人才培养，淡水遗传育种、病害防治及水产动物营养饲料等方面具有较强的学科优势。本专业培养具有坚实的现代水产养殖学基础知识，熟悉水产生物品种培育、科学养殖、疾病防治等知识和技能的复合型、应用型高级专业技术人才。毕业生可从事水产及相关领域教学与研究、产业化开发、现代水产科技企业的经营与管理等工作。</w:t>
      </w:r>
    </w:p>
    <w:p>
      <w:pPr>
        <w:pStyle w:val="5"/>
        <w:spacing w:before="93" w:after="93"/>
        <w:ind w:firstLine="560"/>
        <w:rPr>
          <w:lang w:val="zh-CN"/>
        </w:rPr>
      </w:pPr>
      <w:r>
        <w:t>二、</w:t>
      </w:r>
      <w:r>
        <w:rPr>
          <w:lang w:val="zh-CN"/>
        </w:rPr>
        <w:t>培养能力（专业设置情况、在校生规模、课程设置情况、创新创业教育等）</w:t>
      </w:r>
      <w:bookmarkEnd w:id="321"/>
    </w:p>
    <w:p>
      <w:pPr>
        <w:ind w:firstLine="480" w:firstLineChars="200"/>
        <w:outlineLvl w:val="3"/>
        <w:rPr>
          <w:rFonts w:eastAsia="黑体"/>
          <w:bCs/>
          <w:kern w:val="0"/>
          <w:szCs w:val="24"/>
          <w:lang w:val="zh-CN"/>
        </w:rPr>
      </w:pPr>
      <w:r>
        <w:rPr>
          <w:rFonts w:eastAsia="黑体"/>
          <w:bCs/>
          <w:kern w:val="0"/>
          <w:szCs w:val="24"/>
          <w:lang w:val="zh-CN"/>
        </w:rPr>
        <w:t>1.专业设置情况</w:t>
      </w:r>
    </w:p>
    <w:p>
      <w:pPr>
        <w:ind w:firstLine="480" w:firstLineChars="200"/>
      </w:pPr>
      <w:r>
        <w:t>1989年设立淡水养殖专业（专科），1997年设立水产养殖学专业（本科），专业基本学制为4年，学习期限为3-8年。按要求完成学业且符合授予条件者授予农学学士学位。</w:t>
      </w:r>
    </w:p>
    <w:p>
      <w:pPr>
        <w:ind w:firstLine="480" w:firstLineChars="200"/>
        <w:outlineLvl w:val="3"/>
        <w:rPr>
          <w:rFonts w:eastAsia="黑体"/>
          <w:bCs/>
          <w:kern w:val="0"/>
          <w:szCs w:val="24"/>
          <w:lang w:val="zh-CN"/>
        </w:rPr>
      </w:pPr>
      <w:r>
        <w:rPr>
          <w:rFonts w:eastAsia="黑体"/>
          <w:bCs/>
          <w:kern w:val="0"/>
          <w:szCs w:val="24"/>
          <w:lang w:val="zh-CN"/>
        </w:rPr>
        <w:t>2.在校生规模</w:t>
      </w:r>
    </w:p>
    <w:p>
      <w:pPr>
        <w:ind w:firstLine="480" w:firstLineChars="200"/>
      </w:pPr>
      <w:r>
        <w:t>目前，大学一年级19人，大学二年级15人，大学三年级12人，大学四年级13人。2021-2022年度，专业在校生规模比上一年度有较大程度下降。</w:t>
      </w:r>
    </w:p>
    <w:p>
      <w:pPr>
        <w:ind w:firstLine="480" w:firstLineChars="200"/>
        <w:outlineLvl w:val="3"/>
        <w:rPr>
          <w:rFonts w:eastAsia="黑体"/>
          <w:bCs/>
          <w:kern w:val="0"/>
          <w:szCs w:val="24"/>
          <w:lang w:val="zh-CN"/>
        </w:rPr>
      </w:pPr>
      <w:r>
        <w:rPr>
          <w:rFonts w:eastAsia="黑体"/>
          <w:bCs/>
          <w:kern w:val="0"/>
          <w:szCs w:val="24"/>
          <w:lang w:val="zh-CN"/>
        </w:rPr>
        <w:t>3.课程设置情况</w:t>
      </w:r>
    </w:p>
    <w:p>
      <w:pPr>
        <w:ind w:firstLine="480" w:firstLineChars="200"/>
      </w:pPr>
      <w:r>
        <w:t>专业课程体系包括通识教育课程、专业教育课程、专业方向课程和拓展教育课程四大类别。主要课程包括：水产动物遗传学、水产动物育种学、鱼类生理学、养殖水域生态学、水产动物组织胚胎学、水生生物学、鱼类学、水产动物营养与饲料学、动物微生物学、水产动物病害学、生物化学、养殖水化学、淡水鱼类增养殖学、海水养殖学、特种水产养殖学、生物饵料培养、鱼类学实验、水生生物学实验、海水养殖学实验、水产动物病害学实验等。其中《动物微生物学》为校级精品课程。《海水养殖学实习》和《淡水鱼类增养殖学实习》是与《海水养殖学》和《淡水鱼类增养殖学》配套的2个实习课程，深入生产一线，将课堂所学知识与实际生产紧密结合到一起。《城市渔业》是为适应当前休闲渔业迅速发展的需要而开设的一门课程。毕业总学分不少于170学分。其中，必修课总学分97.1、选修课学分21、实践教学学分51.9（含操作性实验课学分和实践学分，其中理论课所含的实验实训学分按所占理论课学时进行换算），占总学分30.5%。</w:t>
      </w:r>
    </w:p>
    <w:p>
      <w:pPr>
        <w:ind w:firstLine="480" w:firstLineChars="200"/>
        <w:rPr>
          <w:rFonts w:eastAsia="黑体"/>
          <w:bCs/>
          <w:kern w:val="0"/>
          <w:szCs w:val="24"/>
          <w:lang w:val="zh-CN"/>
        </w:rPr>
      </w:pPr>
      <w:r>
        <w:rPr>
          <w:rFonts w:eastAsia="黑体"/>
          <w:bCs/>
          <w:kern w:val="0"/>
          <w:szCs w:val="24"/>
          <w:lang w:val="zh-CN"/>
        </w:rPr>
        <w:t>4.实践教学体系按照基础、专业、综合三个层次构建</w:t>
      </w:r>
    </w:p>
    <w:p>
      <w:pPr>
        <w:ind w:firstLine="480" w:firstLineChars="200"/>
      </w:pPr>
      <w:r>
        <w:t>基础实践课主要是《思政社会实践》、《军事理论及实践》、《劳动》等课程。专业实践主要是《水产养殖生产实习》等课程。综合实践主要是《创新创业实践》、《毕业（生产）实习及报告》、《毕业论文（设计）》共3门课程。</w:t>
      </w:r>
    </w:p>
    <w:p>
      <w:pPr>
        <w:ind w:firstLine="480" w:firstLineChars="200"/>
        <w:outlineLvl w:val="3"/>
        <w:rPr>
          <w:rFonts w:eastAsia="黑体"/>
          <w:bCs/>
          <w:kern w:val="0"/>
          <w:szCs w:val="24"/>
          <w:lang w:val="zh-CN"/>
        </w:rPr>
      </w:pPr>
      <w:r>
        <w:rPr>
          <w:rFonts w:eastAsia="黑体"/>
          <w:bCs/>
          <w:kern w:val="0"/>
          <w:szCs w:val="24"/>
          <w:lang w:val="zh-CN"/>
        </w:rPr>
        <w:t>5.创新创业教育</w:t>
      </w:r>
    </w:p>
    <w:p>
      <w:pPr>
        <w:ind w:firstLine="480" w:firstLineChars="200"/>
      </w:pPr>
      <w:r>
        <w:t>水产养殖学专业十分重视大学生创新创业教育，将创新创业教育纳入到人才培养体系，开设了《职业发展与就业创业指导课》，定期从管理部门、企业聘请专家学者授课。在实践环节设置了科研训练计划（SRT）、科技竞赛计划（全国水族造景大赛）和创业训练计划（七彩水族创业训练营）等多个项目以第二课堂活动项目的形式滚动开设，学生可以根据个人兴趣及自身发展需要有选择地参加，以取得成果申请学分。同时，为加强对学生的学业和成长的指导，全面推行本科生导师制，本科生进研究所、教授带本科生做课题渐成风气。2021-2022年度，学生参加科技社团、SRT、创新创业等各类项目10项，参加学生人数占学生人数28%以上；1个团队成功申请到校级和国家级SRT计划项目。</w:t>
      </w:r>
    </w:p>
    <w:p>
      <w:pPr>
        <w:pStyle w:val="5"/>
        <w:spacing w:before="93" w:after="93"/>
        <w:ind w:firstLine="560"/>
        <w:rPr>
          <w:lang w:val="zh-CN"/>
        </w:rPr>
      </w:pPr>
      <w:bookmarkStart w:id="322" w:name="_Toc12842"/>
      <w:r>
        <w:t>三、</w:t>
      </w:r>
      <w:r>
        <w:rPr>
          <w:lang w:val="zh-CN"/>
        </w:rPr>
        <w:t>培养条件（教学经费投入、教学设备、教师队伍建设、实习基地、现代教学技术应用等）</w:t>
      </w:r>
      <w:bookmarkEnd w:id="322"/>
    </w:p>
    <w:p>
      <w:pPr>
        <w:ind w:firstLine="480" w:firstLineChars="200"/>
      </w:pPr>
      <w:r>
        <w:t>1.教育经费投入：继续加大对本科教学的投入，进一步改善办学条件，优化教学环境。2021-2022年度，本科教学经费总投入150余万元，生均约2.5万元，这在原来的基础极大地提高本科教学、科研设备的现代化水平。</w:t>
      </w:r>
    </w:p>
    <w:p>
      <w:pPr>
        <w:ind w:firstLine="480" w:firstLineChars="200"/>
      </w:pPr>
      <w:r>
        <w:t>2.教学设备：水产养殖专业现有固定仪器设备650台（件），近5年投入价值800余万元，总值1200多万元。2021-2022年度投入150余万元。</w:t>
      </w:r>
    </w:p>
    <w:p>
      <w:pPr>
        <w:ind w:firstLine="480" w:firstLineChars="200"/>
      </w:pPr>
      <w:r>
        <w:t>3.教师队伍建设：经多年的师资队伍建设，本专业已经基本建立了一支年龄与学历结构合理、研究实力较雄厚、富有创新与开拓进取精神、合作意识强和团队精神突出的专业师资队伍。为水产养殖专业开设课程的专职教师39人，教授13人，副教授18人，讲师9人；31人具有博士学位，5人具有硕士学位，教师队伍中有13人毕业于</w:t>
      </w:r>
      <w:r>
        <w:rPr>
          <w:rFonts w:hint="eastAsia"/>
        </w:rPr>
        <w:t>“</w:t>
      </w:r>
      <w:r>
        <w:t>985</w:t>
      </w:r>
      <w:r>
        <w:rPr>
          <w:rFonts w:hint="eastAsia"/>
        </w:rPr>
        <w:t>”</w:t>
      </w:r>
      <w:r>
        <w:t>或</w:t>
      </w:r>
      <w:r>
        <w:rPr>
          <w:rFonts w:hint="eastAsia"/>
        </w:rPr>
        <w:t>“</w:t>
      </w:r>
      <w:r>
        <w:t>211</w:t>
      </w:r>
      <w:r>
        <w:rPr>
          <w:rFonts w:hint="eastAsia"/>
        </w:rPr>
        <w:t>”</w:t>
      </w:r>
      <w:r>
        <w:t>大学；其中51-60岁的有5人，41-50岁的有12人。31-40岁的有17人，30岁以下的有5人。</w:t>
      </w:r>
    </w:p>
    <w:p>
      <w:pPr>
        <w:ind w:firstLine="480" w:firstLineChars="200"/>
      </w:pPr>
      <w:r>
        <w:t>2020年度水产养殖学专业被评为省级一流专业建设点。近五年来，水产系主持了国家自然科学基金、山东省农业良种工程、山东省现代农业产业体系、山东省重点研发计划、山东省自然科学基金、山东省优秀中青年科学家奖励基金等项目28项，年到位经费在130万元以上。主要以青虾、南美白对虾、罗非鱼、鲤鱼为研究对象，在青虾健康养殖、罗非鱼性别控制和饲料营养、贝类病害防治等方面做出了较大成就。目前，水产系建有鱼类养殖和良种繁育研究基地1个，拥有1000 m</w:t>
      </w:r>
      <w:r>
        <w:rPr>
          <w:vertAlign w:val="superscript"/>
        </w:rPr>
        <w:t>2</w:t>
      </w:r>
      <w:r>
        <w:t>的养殖水面和1套全自动化的水循环养殖系统，可为水产专业的本科生提供良好的实践教学和科研场所。2014年水生生物学二级学科硕士点开始招收硕士研究生，毕业生将获得理学硕士学位。2020年，设立渔业发展专业硕士点。2021在生物学一级学科博士点设水生生物学二级博士点。</w:t>
      </w:r>
    </w:p>
    <w:p>
      <w:pPr>
        <w:ind w:firstLine="480" w:firstLineChars="200"/>
      </w:pPr>
      <w:r>
        <w:t>4.实习基地：目前，共有日照市欣慧水产有限责任公司，烟台天虹渔业科技有限公司，泰安市水产研究所，微山县特种水产养殖试验场，东平县宝岛农业科技有限公司，山东微山湖韵现代渔业庄园有限公司，泰安市岱岳区温泉水产养殖试验场，泗水县虹鳟鱼良种场等教学基地16处（表1）。通过建立教学基地，增加学生的校外实践活动时间，提升学生的培养质量，也使学校与企业由短期松散合作走向长期稳定合作。</w:t>
      </w:r>
    </w:p>
    <w:p>
      <w:pPr>
        <w:jc w:val="center"/>
        <w:rPr>
          <w:b/>
          <w:sz w:val="21"/>
          <w:szCs w:val="21"/>
        </w:rPr>
      </w:pPr>
      <w:r>
        <w:rPr>
          <w:b/>
          <w:sz w:val="21"/>
          <w:szCs w:val="21"/>
        </w:rPr>
        <w:t>表1  专业建设的实践教学基地</w:t>
      </w:r>
    </w:p>
    <w:tbl>
      <w:tblPr>
        <w:tblStyle w:val="1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5"/>
        <w:gridCol w:w="4187"/>
        <w:gridCol w:w="1950"/>
        <w:gridCol w:w="19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27" w:type="pct"/>
            <w:vAlign w:val="center"/>
          </w:tcPr>
          <w:p>
            <w:pPr>
              <w:jc w:val="center"/>
              <w:rPr>
                <w:b/>
                <w:bCs/>
                <w:sz w:val="21"/>
                <w:szCs w:val="21"/>
              </w:rPr>
            </w:pPr>
            <w:r>
              <w:rPr>
                <w:b/>
                <w:bCs/>
                <w:sz w:val="21"/>
                <w:szCs w:val="21"/>
              </w:rPr>
              <w:t>序号</w:t>
            </w:r>
          </w:p>
        </w:tc>
        <w:tc>
          <w:tcPr>
            <w:tcW w:w="2310" w:type="pct"/>
            <w:vAlign w:val="center"/>
          </w:tcPr>
          <w:p>
            <w:pPr>
              <w:jc w:val="center"/>
              <w:rPr>
                <w:b/>
                <w:bCs/>
                <w:sz w:val="21"/>
                <w:szCs w:val="21"/>
              </w:rPr>
            </w:pPr>
            <w:r>
              <w:rPr>
                <w:b/>
                <w:bCs/>
                <w:sz w:val="21"/>
                <w:szCs w:val="21"/>
              </w:rPr>
              <w:t>实践教学基地名称</w:t>
            </w:r>
          </w:p>
        </w:tc>
        <w:tc>
          <w:tcPr>
            <w:tcW w:w="1076" w:type="pct"/>
            <w:vAlign w:val="center"/>
          </w:tcPr>
          <w:p>
            <w:pPr>
              <w:jc w:val="center"/>
              <w:rPr>
                <w:b/>
                <w:bCs/>
                <w:sz w:val="21"/>
                <w:szCs w:val="21"/>
              </w:rPr>
            </w:pPr>
            <w:r>
              <w:rPr>
                <w:b/>
                <w:bCs/>
                <w:sz w:val="21"/>
                <w:szCs w:val="21"/>
              </w:rPr>
              <w:t>基地性质</w:t>
            </w:r>
          </w:p>
        </w:tc>
        <w:tc>
          <w:tcPr>
            <w:tcW w:w="1085" w:type="pct"/>
            <w:vAlign w:val="center"/>
          </w:tcPr>
          <w:p>
            <w:pPr>
              <w:jc w:val="center"/>
              <w:rPr>
                <w:b/>
                <w:bCs/>
                <w:sz w:val="21"/>
                <w:szCs w:val="21"/>
              </w:rPr>
            </w:pPr>
            <w:r>
              <w:rPr>
                <w:b/>
                <w:bCs/>
                <w:sz w:val="21"/>
                <w:szCs w:val="21"/>
              </w:rPr>
              <w:t>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27" w:type="pct"/>
            <w:vAlign w:val="center"/>
          </w:tcPr>
          <w:p>
            <w:pPr>
              <w:jc w:val="center"/>
              <w:rPr>
                <w:sz w:val="21"/>
                <w:szCs w:val="21"/>
              </w:rPr>
            </w:pPr>
            <w:r>
              <w:rPr>
                <w:sz w:val="21"/>
                <w:szCs w:val="21"/>
              </w:rPr>
              <w:t>1</w:t>
            </w:r>
          </w:p>
        </w:tc>
        <w:tc>
          <w:tcPr>
            <w:tcW w:w="2310" w:type="pct"/>
            <w:vAlign w:val="center"/>
          </w:tcPr>
          <w:p>
            <w:pPr>
              <w:jc w:val="center"/>
              <w:rPr>
                <w:sz w:val="21"/>
                <w:szCs w:val="21"/>
              </w:rPr>
            </w:pPr>
            <w:r>
              <w:rPr>
                <w:sz w:val="21"/>
                <w:szCs w:val="21"/>
              </w:rPr>
              <w:t>泰安市水产研究所</w:t>
            </w:r>
          </w:p>
        </w:tc>
        <w:tc>
          <w:tcPr>
            <w:tcW w:w="1076" w:type="pct"/>
            <w:vAlign w:val="center"/>
          </w:tcPr>
          <w:p>
            <w:pPr>
              <w:jc w:val="center"/>
              <w:rPr>
                <w:sz w:val="21"/>
                <w:szCs w:val="21"/>
              </w:rPr>
            </w:pPr>
            <w:r>
              <w:rPr>
                <w:sz w:val="21"/>
                <w:szCs w:val="21"/>
              </w:rPr>
              <w:t>校级</w:t>
            </w:r>
          </w:p>
        </w:tc>
        <w:tc>
          <w:tcPr>
            <w:tcW w:w="1085" w:type="pct"/>
            <w:vAlign w:val="center"/>
          </w:tcPr>
          <w:p>
            <w:pPr>
              <w:jc w:val="center"/>
              <w:rPr>
                <w:sz w:val="21"/>
                <w:szCs w:val="21"/>
              </w:rPr>
            </w:pPr>
            <w:r>
              <w:rPr>
                <w:sz w:val="21"/>
                <w:szCs w:val="21"/>
              </w:rPr>
              <w:t>2004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27" w:type="pct"/>
            <w:vAlign w:val="center"/>
          </w:tcPr>
          <w:p>
            <w:pPr>
              <w:jc w:val="center"/>
              <w:rPr>
                <w:sz w:val="21"/>
                <w:szCs w:val="21"/>
              </w:rPr>
            </w:pPr>
            <w:r>
              <w:rPr>
                <w:sz w:val="21"/>
                <w:szCs w:val="21"/>
              </w:rPr>
              <w:t>2</w:t>
            </w:r>
          </w:p>
        </w:tc>
        <w:tc>
          <w:tcPr>
            <w:tcW w:w="2310" w:type="pct"/>
            <w:vAlign w:val="center"/>
          </w:tcPr>
          <w:p>
            <w:pPr>
              <w:jc w:val="center"/>
              <w:rPr>
                <w:sz w:val="21"/>
                <w:szCs w:val="21"/>
              </w:rPr>
            </w:pPr>
            <w:r>
              <w:rPr>
                <w:sz w:val="21"/>
                <w:szCs w:val="21"/>
              </w:rPr>
              <w:t>泗水县虹鳟鱼良种场</w:t>
            </w:r>
          </w:p>
        </w:tc>
        <w:tc>
          <w:tcPr>
            <w:tcW w:w="1076" w:type="pct"/>
            <w:vAlign w:val="center"/>
          </w:tcPr>
          <w:p>
            <w:pPr>
              <w:jc w:val="center"/>
              <w:rPr>
                <w:sz w:val="21"/>
                <w:szCs w:val="21"/>
              </w:rPr>
            </w:pPr>
            <w:r>
              <w:rPr>
                <w:sz w:val="21"/>
                <w:szCs w:val="21"/>
              </w:rPr>
              <w:t>院级</w:t>
            </w:r>
          </w:p>
        </w:tc>
        <w:tc>
          <w:tcPr>
            <w:tcW w:w="1085" w:type="pct"/>
            <w:vAlign w:val="center"/>
          </w:tcPr>
          <w:p>
            <w:pPr>
              <w:jc w:val="center"/>
              <w:rPr>
                <w:sz w:val="21"/>
                <w:szCs w:val="21"/>
              </w:rPr>
            </w:pPr>
            <w:r>
              <w:rPr>
                <w:sz w:val="21"/>
                <w:szCs w:val="21"/>
              </w:rPr>
              <w:t>2004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27" w:type="pct"/>
            <w:vAlign w:val="center"/>
          </w:tcPr>
          <w:p>
            <w:pPr>
              <w:jc w:val="center"/>
              <w:rPr>
                <w:sz w:val="21"/>
                <w:szCs w:val="21"/>
              </w:rPr>
            </w:pPr>
            <w:r>
              <w:rPr>
                <w:sz w:val="21"/>
                <w:szCs w:val="21"/>
              </w:rPr>
              <w:t>3</w:t>
            </w:r>
          </w:p>
        </w:tc>
        <w:tc>
          <w:tcPr>
            <w:tcW w:w="2310" w:type="pct"/>
            <w:vAlign w:val="center"/>
          </w:tcPr>
          <w:p>
            <w:pPr>
              <w:jc w:val="center"/>
              <w:rPr>
                <w:sz w:val="21"/>
                <w:szCs w:val="21"/>
              </w:rPr>
            </w:pPr>
            <w:r>
              <w:rPr>
                <w:sz w:val="21"/>
                <w:szCs w:val="21"/>
              </w:rPr>
              <w:t>微山县特种水产养殖试验场</w:t>
            </w:r>
          </w:p>
        </w:tc>
        <w:tc>
          <w:tcPr>
            <w:tcW w:w="1076" w:type="pct"/>
            <w:vAlign w:val="center"/>
          </w:tcPr>
          <w:p>
            <w:pPr>
              <w:jc w:val="center"/>
              <w:rPr>
                <w:sz w:val="21"/>
                <w:szCs w:val="21"/>
              </w:rPr>
            </w:pPr>
            <w:r>
              <w:rPr>
                <w:sz w:val="21"/>
                <w:szCs w:val="21"/>
              </w:rPr>
              <w:t>院级</w:t>
            </w:r>
          </w:p>
        </w:tc>
        <w:tc>
          <w:tcPr>
            <w:tcW w:w="1085" w:type="pct"/>
            <w:vAlign w:val="center"/>
          </w:tcPr>
          <w:p>
            <w:pPr>
              <w:jc w:val="center"/>
              <w:rPr>
                <w:sz w:val="21"/>
                <w:szCs w:val="21"/>
              </w:rPr>
            </w:pPr>
            <w:r>
              <w:rPr>
                <w:sz w:val="21"/>
                <w:szCs w:val="21"/>
              </w:rPr>
              <w:t>2006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27" w:type="pct"/>
            <w:vAlign w:val="center"/>
          </w:tcPr>
          <w:p>
            <w:pPr>
              <w:jc w:val="center"/>
              <w:rPr>
                <w:sz w:val="21"/>
                <w:szCs w:val="21"/>
              </w:rPr>
            </w:pPr>
            <w:r>
              <w:rPr>
                <w:sz w:val="21"/>
                <w:szCs w:val="21"/>
              </w:rPr>
              <w:t>4</w:t>
            </w:r>
          </w:p>
        </w:tc>
        <w:tc>
          <w:tcPr>
            <w:tcW w:w="2310" w:type="pct"/>
            <w:vAlign w:val="center"/>
          </w:tcPr>
          <w:p>
            <w:pPr>
              <w:jc w:val="center"/>
              <w:rPr>
                <w:sz w:val="21"/>
                <w:szCs w:val="21"/>
              </w:rPr>
            </w:pPr>
            <w:r>
              <w:rPr>
                <w:sz w:val="21"/>
                <w:szCs w:val="21"/>
              </w:rPr>
              <w:t>山东微山湖韵现代渔业庄园有限公司</w:t>
            </w:r>
          </w:p>
        </w:tc>
        <w:tc>
          <w:tcPr>
            <w:tcW w:w="1076" w:type="pct"/>
            <w:vAlign w:val="center"/>
          </w:tcPr>
          <w:p>
            <w:pPr>
              <w:jc w:val="center"/>
              <w:rPr>
                <w:sz w:val="21"/>
                <w:szCs w:val="21"/>
              </w:rPr>
            </w:pPr>
            <w:r>
              <w:rPr>
                <w:sz w:val="21"/>
                <w:szCs w:val="21"/>
              </w:rPr>
              <w:t>校级</w:t>
            </w:r>
          </w:p>
        </w:tc>
        <w:tc>
          <w:tcPr>
            <w:tcW w:w="1085" w:type="pct"/>
            <w:vAlign w:val="center"/>
          </w:tcPr>
          <w:p>
            <w:pPr>
              <w:jc w:val="center"/>
              <w:rPr>
                <w:sz w:val="21"/>
                <w:szCs w:val="21"/>
              </w:rPr>
            </w:pPr>
            <w:r>
              <w:rPr>
                <w:sz w:val="21"/>
                <w:szCs w:val="21"/>
              </w:rPr>
              <w:t>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27" w:type="pct"/>
            <w:vAlign w:val="center"/>
          </w:tcPr>
          <w:p>
            <w:pPr>
              <w:jc w:val="center"/>
              <w:rPr>
                <w:sz w:val="21"/>
                <w:szCs w:val="21"/>
              </w:rPr>
            </w:pPr>
            <w:r>
              <w:rPr>
                <w:sz w:val="21"/>
                <w:szCs w:val="21"/>
              </w:rPr>
              <w:t>5</w:t>
            </w:r>
          </w:p>
        </w:tc>
        <w:tc>
          <w:tcPr>
            <w:tcW w:w="2310" w:type="pct"/>
            <w:vAlign w:val="center"/>
          </w:tcPr>
          <w:p>
            <w:pPr>
              <w:jc w:val="center"/>
              <w:rPr>
                <w:sz w:val="21"/>
                <w:szCs w:val="21"/>
              </w:rPr>
            </w:pPr>
            <w:r>
              <w:rPr>
                <w:sz w:val="21"/>
                <w:szCs w:val="21"/>
              </w:rPr>
              <w:t>兖州市滨阳生物科技有限公司</w:t>
            </w:r>
          </w:p>
        </w:tc>
        <w:tc>
          <w:tcPr>
            <w:tcW w:w="1076" w:type="pct"/>
            <w:vAlign w:val="center"/>
          </w:tcPr>
          <w:p>
            <w:pPr>
              <w:jc w:val="center"/>
              <w:rPr>
                <w:sz w:val="21"/>
                <w:szCs w:val="21"/>
              </w:rPr>
            </w:pPr>
            <w:r>
              <w:rPr>
                <w:sz w:val="21"/>
                <w:szCs w:val="21"/>
              </w:rPr>
              <w:t>院级</w:t>
            </w:r>
          </w:p>
        </w:tc>
        <w:tc>
          <w:tcPr>
            <w:tcW w:w="1085" w:type="pct"/>
            <w:vAlign w:val="center"/>
          </w:tcPr>
          <w:p>
            <w:pPr>
              <w:jc w:val="center"/>
              <w:rPr>
                <w:sz w:val="21"/>
                <w:szCs w:val="21"/>
              </w:rPr>
            </w:pPr>
            <w:r>
              <w:rPr>
                <w:sz w:val="21"/>
                <w:szCs w:val="21"/>
              </w:rPr>
              <w:t>2010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27" w:type="pct"/>
            <w:vAlign w:val="center"/>
          </w:tcPr>
          <w:p>
            <w:pPr>
              <w:jc w:val="center"/>
              <w:rPr>
                <w:sz w:val="21"/>
                <w:szCs w:val="21"/>
              </w:rPr>
            </w:pPr>
            <w:r>
              <w:rPr>
                <w:sz w:val="21"/>
                <w:szCs w:val="21"/>
              </w:rPr>
              <w:t>6</w:t>
            </w:r>
          </w:p>
        </w:tc>
        <w:tc>
          <w:tcPr>
            <w:tcW w:w="2310" w:type="pct"/>
            <w:vAlign w:val="center"/>
          </w:tcPr>
          <w:p>
            <w:pPr>
              <w:jc w:val="center"/>
              <w:rPr>
                <w:sz w:val="21"/>
                <w:szCs w:val="21"/>
              </w:rPr>
            </w:pPr>
            <w:r>
              <w:rPr>
                <w:sz w:val="21"/>
                <w:szCs w:val="21"/>
              </w:rPr>
              <w:t>山东宝来利来有限公司</w:t>
            </w:r>
          </w:p>
        </w:tc>
        <w:tc>
          <w:tcPr>
            <w:tcW w:w="1076" w:type="pct"/>
            <w:vAlign w:val="center"/>
          </w:tcPr>
          <w:p>
            <w:pPr>
              <w:jc w:val="center"/>
              <w:rPr>
                <w:sz w:val="21"/>
                <w:szCs w:val="21"/>
              </w:rPr>
            </w:pPr>
            <w:r>
              <w:rPr>
                <w:sz w:val="21"/>
                <w:szCs w:val="21"/>
              </w:rPr>
              <w:t>院级</w:t>
            </w:r>
          </w:p>
        </w:tc>
        <w:tc>
          <w:tcPr>
            <w:tcW w:w="1085" w:type="pct"/>
            <w:vAlign w:val="center"/>
          </w:tcPr>
          <w:p>
            <w:pPr>
              <w:jc w:val="center"/>
              <w:rPr>
                <w:sz w:val="21"/>
                <w:szCs w:val="21"/>
              </w:rPr>
            </w:pPr>
            <w:r>
              <w:rPr>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27" w:type="pct"/>
            <w:vAlign w:val="center"/>
          </w:tcPr>
          <w:p>
            <w:pPr>
              <w:jc w:val="center"/>
              <w:rPr>
                <w:sz w:val="21"/>
                <w:szCs w:val="21"/>
              </w:rPr>
            </w:pPr>
            <w:r>
              <w:rPr>
                <w:sz w:val="21"/>
                <w:szCs w:val="21"/>
              </w:rPr>
              <w:t>7</w:t>
            </w:r>
          </w:p>
        </w:tc>
        <w:tc>
          <w:tcPr>
            <w:tcW w:w="2310" w:type="pct"/>
            <w:vAlign w:val="center"/>
          </w:tcPr>
          <w:p>
            <w:pPr>
              <w:jc w:val="center"/>
              <w:rPr>
                <w:sz w:val="21"/>
                <w:szCs w:val="21"/>
              </w:rPr>
            </w:pPr>
            <w:r>
              <w:rPr>
                <w:sz w:val="21"/>
                <w:szCs w:val="21"/>
              </w:rPr>
              <w:t>烟台天虹渔业科技有限公司</w:t>
            </w:r>
          </w:p>
        </w:tc>
        <w:tc>
          <w:tcPr>
            <w:tcW w:w="1076" w:type="pct"/>
            <w:vAlign w:val="center"/>
          </w:tcPr>
          <w:p>
            <w:pPr>
              <w:jc w:val="center"/>
              <w:rPr>
                <w:sz w:val="21"/>
                <w:szCs w:val="21"/>
              </w:rPr>
            </w:pPr>
            <w:r>
              <w:rPr>
                <w:sz w:val="21"/>
                <w:szCs w:val="21"/>
              </w:rPr>
              <w:t>校级</w:t>
            </w:r>
          </w:p>
        </w:tc>
        <w:tc>
          <w:tcPr>
            <w:tcW w:w="1085" w:type="pct"/>
            <w:vAlign w:val="center"/>
          </w:tcPr>
          <w:p>
            <w:pPr>
              <w:jc w:val="center"/>
              <w:rPr>
                <w:sz w:val="21"/>
                <w:szCs w:val="21"/>
              </w:rPr>
            </w:pPr>
            <w:r>
              <w:rPr>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27" w:type="pct"/>
            <w:vAlign w:val="center"/>
          </w:tcPr>
          <w:p>
            <w:pPr>
              <w:jc w:val="center"/>
              <w:rPr>
                <w:sz w:val="21"/>
                <w:szCs w:val="21"/>
              </w:rPr>
            </w:pPr>
            <w:r>
              <w:rPr>
                <w:sz w:val="21"/>
                <w:szCs w:val="21"/>
              </w:rPr>
              <w:t>8</w:t>
            </w:r>
          </w:p>
        </w:tc>
        <w:tc>
          <w:tcPr>
            <w:tcW w:w="2310" w:type="pct"/>
            <w:vAlign w:val="center"/>
          </w:tcPr>
          <w:p>
            <w:pPr>
              <w:jc w:val="center"/>
              <w:rPr>
                <w:sz w:val="21"/>
                <w:szCs w:val="21"/>
              </w:rPr>
            </w:pPr>
            <w:r>
              <w:rPr>
                <w:sz w:val="21"/>
                <w:szCs w:val="21"/>
              </w:rPr>
              <w:t>东平县宝岛农业科技有限公司</w:t>
            </w:r>
          </w:p>
        </w:tc>
        <w:tc>
          <w:tcPr>
            <w:tcW w:w="1076" w:type="pct"/>
            <w:vAlign w:val="center"/>
          </w:tcPr>
          <w:p>
            <w:pPr>
              <w:jc w:val="center"/>
              <w:rPr>
                <w:sz w:val="21"/>
                <w:szCs w:val="21"/>
              </w:rPr>
            </w:pPr>
            <w:r>
              <w:rPr>
                <w:sz w:val="21"/>
                <w:szCs w:val="21"/>
              </w:rPr>
              <w:t>校级</w:t>
            </w:r>
          </w:p>
        </w:tc>
        <w:tc>
          <w:tcPr>
            <w:tcW w:w="1085" w:type="pct"/>
            <w:vAlign w:val="center"/>
          </w:tcPr>
          <w:p>
            <w:pPr>
              <w:jc w:val="center"/>
              <w:rPr>
                <w:sz w:val="21"/>
                <w:szCs w:val="21"/>
              </w:rPr>
            </w:pPr>
            <w:r>
              <w:rPr>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27" w:type="pct"/>
            <w:vAlign w:val="center"/>
          </w:tcPr>
          <w:p>
            <w:pPr>
              <w:jc w:val="center"/>
              <w:rPr>
                <w:sz w:val="21"/>
                <w:szCs w:val="21"/>
              </w:rPr>
            </w:pPr>
            <w:r>
              <w:rPr>
                <w:sz w:val="21"/>
                <w:szCs w:val="21"/>
              </w:rPr>
              <w:t>9</w:t>
            </w:r>
          </w:p>
        </w:tc>
        <w:tc>
          <w:tcPr>
            <w:tcW w:w="2310" w:type="pct"/>
            <w:vAlign w:val="center"/>
          </w:tcPr>
          <w:p>
            <w:pPr>
              <w:jc w:val="center"/>
              <w:rPr>
                <w:sz w:val="21"/>
                <w:szCs w:val="21"/>
              </w:rPr>
            </w:pPr>
            <w:r>
              <w:rPr>
                <w:sz w:val="21"/>
                <w:szCs w:val="21"/>
              </w:rPr>
              <w:t>山东绿都生物科技有限公司</w:t>
            </w:r>
          </w:p>
        </w:tc>
        <w:tc>
          <w:tcPr>
            <w:tcW w:w="1076" w:type="pct"/>
            <w:vAlign w:val="center"/>
          </w:tcPr>
          <w:p>
            <w:pPr>
              <w:jc w:val="center"/>
              <w:rPr>
                <w:sz w:val="21"/>
                <w:szCs w:val="21"/>
              </w:rPr>
            </w:pPr>
            <w:r>
              <w:rPr>
                <w:sz w:val="21"/>
                <w:szCs w:val="21"/>
              </w:rPr>
              <w:t>院级</w:t>
            </w:r>
          </w:p>
        </w:tc>
        <w:tc>
          <w:tcPr>
            <w:tcW w:w="1085" w:type="pct"/>
            <w:vAlign w:val="center"/>
          </w:tcPr>
          <w:p>
            <w:pPr>
              <w:jc w:val="center"/>
              <w:rPr>
                <w:sz w:val="21"/>
                <w:szCs w:val="21"/>
              </w:rPr>
            </w:pPr>
            <w:r>
              <w:rPr>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27" w:type="pct"/>
            <w:vAlign w:val="center"/>
          </w:tcPr>
          <w:p>
            <w:pPr>
              <w:jc w:val="center"/>
              <w:rPr>
                <w:sz w:val="21"/>
                <w:szCs w:val="21"/>
              </w:rPr>
            </w:pPr>
            <w:r>
              <w:rPr>
                <w:sz w:val="21"/>
                <w:szCs w:val="21"/>
              </w:rPr>
              <w:t>10</w:t>
            </w:r>
          </w:p>
        </w:tc>
        <w:tc>
          <w:tcPr>
            <w:tcW w:w="2310" w:type="pct"/>
            <w:vAlign w:val="center"/>
          </w:tcPr>
          <w:p>
            <w:pPr>
              <w:jc w:val="center"/>
              <w:rPr>
                <w:sz w:val="21"/>
                <w:szCs w:val="21"/>
              </w:rPr>
            </w:pPr>
            <w:r>
              <w:rPr>
                <w:sz w:val="21"/>
                <w:szCs w:val="21"/>
              </w:rPr>
              <w:t>日照市欣慧水产有限责任公司</w:t>
            </w:r>
          </w:p>
        </w:tc>
        <w:tc>
          <w:tcPr>
            <w:tcW w:w="1076" w:type="pct"/>
            <w:vAlign w:val="center"/>
          </w:tcPr>
          <w:p>
            <w:pPr>
              <w:jc w:val="center"/>
              <w:rPr>
                <w:sz w:val="21"/>
                <w:szCs w:val="21"/>
              </w:rPr>
            </w:pPr>
            <w:r>
              <w:rPr>
                <w:sz w:val="21"/>
                <w:szCs w:val="21"/>
              </w:rPr>
              <w:t>校级</w:t>
            </w:r>
          </w:p>
        </w:tc>
        <w:tc>
          <w:tcPr>
            <w:tcW w:w="1085" w:type="pct"/>
            <w:vAlign w:val="center"/>
          </w:tcPr>
          <w:p>
            <w:pPr>
              <w:jc w:val="center"/>
              <w:rPr>
                <w:sz w:val="21"/>
                <w:szCs w:val="21"/>
              </w:rPr>
            </w:pPr>
            <w:r>
              <w:rPr>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27" w:type="pct"/>
            <w:vAlign w:val="center"/>
          </w:tcPr>
          <w:p>
            <w:pPr>
              <w:jc w:val="center"/>
              <w:rPr>
                <w:sz w:val="21"/>
                <w:szCs w:val="21"/>
              </w:rPr>
            </w:pPr>
            <w:r>
              <w:rPr>
                <w:sz w:val="21"/>
                <w:szCs w:val="21"/>
              </w:rPr>
              <w:t>11</w:t>
            </w:r>
          </w:p>
        </w:tc>
        <w:tc>
          <w:tcPr>
            <w:tcW w:w="2310" w:type="pct"/>
            <w:vAlign w:val="center"/>
          </w:tcPr>
          <w:p>
            <w:pPr>
              <w:jc w:val="center"/>
              <w:rPr>
                <w:sz w:val="21"/>
                <w:szCs w:val="21"/>
              </w:rPr>
            </w:pPr>
            <w:r>
              <w:rPr>
                <w:sz w:val="21"/>
                <w:szCs w:val="21"/>
              </w:rPr>
              <w:t>泰安市岱岳区温泉水产养殖试验场</w:t>
            </w:r>
          </w:p>
        </w:tc>
        <w:tc>
          <w:tcPr>
            <w:tcW w:w="1076" w:type="pct"/>
            <w:vAlign w:val="center"/>
          </w:tcPr>
          <w:p>
            <w:pPr>
              <w:jc w:val="center"/>
              <w:rPr>
                <w:sz w:val="21"/>
                <w:szCs w:val="21"/>
              </w:rPr>
            </w:pPr>
            <w:r>
              <w:rPr>
                <w:sz w:val="21"/>
                <w:szCs w:val="21"/>
              </w:rPr>
              <w:t>院级</w:t>
            </w:r>
          </w:p>
        </w:tc>
        <w:tc>
          <w:tcPr>
            <w:tcW w:w="1085" w:type="pct"/>
            <w:vAlign w:val="center"/>
          </w:tcPr>
          <w:p>
            <w:pPr>
              <w:jc w:val="center"/>
              <w:rPr>
                <w:sz w:val="21"/>
                <w:szCs w:val="21"/>
              </w:rPr>
            </w:pPr>
            <w:r>
              <w:rPr>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27" w:type="pct"/>
            <w:vAlign w:val="center"/>
          </w:tcPr>
          <w:p>
            <w:pPr>
              <w:jc w:val="center"/>
              <w:rPr>
                <w:sz w:val="21"/>
                <w:szCs w:val="21"/>
              </w:rPr>
            </w:pPr>
            <w:r>
              <w:rPr>
                <w:sz w:val="21"/>
                <w:szCs w:val="21"/>
              </w:rPr>
              <w:t>12</w:t>
            </w:r>
          </w:p>
        </w:tc>
        <w:tc>
          <w:tcPr>
            <w:tcW w:w="2310" w:type="pct"/>
            <w:vAlign w:val="center"/>
          </w:tcPr>
          <w:p>
            <w:pPr>
              <w:jc w:val="center"/>
              <w:rPr>
                <w:sz w:val="21"/>
                <w:szCs w:val="21"/>
              </w:rPr>
            </w:pPr>
            <w:r>
              <w:rPr>
                <w:sz w:val="21"/>
                <w:szCs w:val="21"/>
              </w:rPr>
              <w:t>山东通威饲料有限公司</w:t>
            </w:r>
          </w:p>
        </w:tc>
        <w:tc>
          <w:tcPr>
            <w:tcW w:w="1076" w:type="pct"/>
            <w:vAlign w:val="center"/>
          </w:tcPr>
          <w:p>
            <w:pPr>
              <w:jc w:val="center"/>
              <w:rPr>
                <w:sz w:val="21"/>
                <w:szCs w:val="21"/>
              </w:rPr>
            </w:pPr>
            <w:r>
              <w:rPr>
                <w:sz w:val="21"/>
                <w:szCs w:val="21"/>
              </w:rPr>
              <w:t>院级</w:t>
            </w:r>
          </w:p>
        </w:tc>
        <w:tc>
          <w:tcPr>
            <w:tcW w:w="1085" w:type="pct"/>
            <w:vAlign w:val="center"/>
          </w:tcPr>
          <w:p>
            <w:pPr>
              <w:jc w:val="center"/>
              <w:rPr>
                <w:sz w:val="21"/>
                <w:szCs w:val="21"/>
              </w:rPr>
            </w:pPr>
            <w:r>
              <w:rPr>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27" w:type="pct"/>
            <w:vAlign w:val="center"/>
          </w:tcPr>
          <w:p>
            <w:pPr>
              <w:jc w:val="center"/>
              <w:rPr>
                <w:sz w:val="21"/>
                <w:szCs w:val="21"/>
              </w:rPr>
            </w:pPr>
            <w:r>
              <w:rPr>
                <w:sz w:val="21"/>
                <w:szCs w:val="21"/>
              </w:rPr>
              <w:t>13</w:t>
            </w:r>
          </w:p>
        </w:tc>
        <w:tc>
          <w:tcPr>
            <w:tcW w:w="2310" w:type="pct"/>
            <w:vAlign w:val="center"/>
          </w:tcPr>
          <w:p>
            <w:pPr>
              <w:jc w:val="center"/>
              <w:rPr>
                <w:sz w:val="21"/>
                <w:szCs w:val="21"/>
              </w:rPr>
            </w:pPr>
            <w:r>
              <w:rPr>
                <w:sz w:val="21"/>
                <w:szCs w:val="21"/>
              </w:rPr>
              <w:t>高青县水产局</w:t>
            </w:r>
          </w:p>
        </w:tc>
        <w:tc>
          <w:tcPr>
            <w:tcW w:w="1076" w:type="pct"/>
            <w:vAlign w:val="center"/>
          </w:tcPr>
          <w:p>
            <w:pPr>
              <w:jc w:val="center"/>
              <w:rPr>
                <w:sz w:val="21"/>
                <w:szCs w:val="21"/>
              </w:rPr>
            </w:pPr>
            <w:r>
              <w:rPr>
                <w:sz w:val="21"/>
                <w:szCs w:val="21"/>
              </w:rPr>
              <w:t>校级</w:t>
            </w:r>
          </w:p>
        </w:tc>
        <w:tc>
          <w:tcPr>
            <w:tcW w:w="1085" w:type="pct"/>
            <w:vAlign w:val="center"/>
          </w:tcPr>
          <w:p>
            <w:pPr>
              <w:jc w:val="center"/>
              <w:rPr>
                <w:sz w:val="21"/>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27" w:type="pct"/>
            <w:vAlign w:val="center"/>
          </w:tcPr>
          <w:p>
            <w:pPr>
              <w:jc w:val="center"/>
              <w:rPr>
                <w:sz w:val="21"/>
                <w:szCs w:val="21"/>
              </w:rPr>
            </w:pPr>
            <w:r>
              <w:rPr>
                <w:sz w:val="21"/>
                <w:szCs w:val="21"/>
              </w:rPr>
              <w:t>14</w:t>
            </w:r>
          </w:p>
        </w:tc>
        <w:tc>
          <w:tcPr>
            <w:tcW w:w="2310" w:type="pct"/>
            <w:vAlign w:val="center"/>
          </w:tcPr>
          <w:p>
            <w:pPr>
              <w:jc w:val="center"/>
              <w:rPr>
                <w:sz w:val="21"/>
                <w:szCs w:val="21"/>
              </w:rPr>
            </w:pPr>
            <w:r>
              <w:rPr>
                <w:sz w:val="21"/>
                <w:szCs w:val="21"/>
              </w:rPr>
              <w:t>鱼台县水产局</w:t>
            </w:r>
          </w:p>
        </w:tc>
        <w:tc>
          <w:tcPr>
            <w:tcW w:w="1076" w:type="pct"/>
            <w:vAlign w:val="center"/>
          </w:tcPr>
          <w:p>
            <w:pPr>
              <w:jc w:val="center"/>
              <w:rPr>
                <w:sz w:val="21"/>
                <w:szCs w:val="21"/>
              </w:rPr>
            </w:pPr>
            <w:r>
              <w:rPr>
                <w:sz w:val="21"/>
                <w:szCs w:val="21"/>
              </w:rPr>
              <w:t>院级</w:t>
            </w:r>
          </w:p>
        </w:tc>
        <w:tc>
          <w:tcPr>
            <w:tcW w:w="1085" w:type="pct"/>
            <w:vAlign w:val="center"/>
          </w:tcPr>
          <w:p>
            <w:pPr>
              <w:jc w:val="center"/>
              <w:rPr>
                <w:sz w:val="21"/>
                <w:szCs w:val="21"/>
              </w:rPr>
            </w:pPr>
            <w:r>
              <w:rPr>
                <w:sz w:val="21"/>
                <w:szCs w:val="21"/>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27" w:type="pct"/>
            <w:vAlign w:val="center"/>
          </w:tcPr>
          <w:p>
            <w:pPr>
              <w:jc w:val="center"/>
              <w:rPr>
                <w:sz w:val="21"/>
                <w:szCs w:val="21"/>
              </w:rPr>
            </w:pPr>
            <w:r>
              <w:rPr>
                <w:sz w:val="21"/>
                <w:szCs w:val="21"/>
              </w:rPr>
              <w:t>15</w:t>
            </w:r>
          </w:p>
        </w:tc>
        <w:tc>
          <w:tcPr>
            <w:tcW w:w="2310" w:type="pct"/>
            <w:vAlign w:val="center"/>
          </w:tcPr>
          <w:p>
            <w:pPr>
              <w:jc w:val="center"/>
              <w:rPr>
                <w:sz w:val="21"/>
                <w:szCs w:val="21"/>
              </w:rPr>
            </w:pPr>
            <w:r>
              <w:rPr>
                <w:sz w:val="21"/>
                <w:szCs w:val="21"/>
              </w:rPr>
              <w:t>高青县水产局</w:t>
            </w:r>
          </w:p>
        </w:tc>
        <w:tc>
          <w:tcPr>
            <w:tcW w:w="1076" w:type="pct"/>
            <w:vAlign w:val="center"/>
          </w:tcPr>
          <w:p>
            <w:pPr>
              <w:jc w:val="center"/>
              <w:rPr>
                <w:sz w:val="21"/>
                <w:szCs w:val="21"/>
              </w:rPr>
            </w:pPr>
            <w:r>
              <w:rPr>
                <w:sz w:val="21"/>
                <w:szCs w:val="21"/>
              </w:rPr>
              <w:t>校级</w:t>
            </w:r>
          </w:p>
        </w:tc>
        <w:tc>
          <w:tcPr>
            <w:tcW w:w="1085" w:type="pct"/>
            <w:vAlign w:val="center"/>
          </w:tcPr>
          <w:p>
            <w:pPr>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27" w:type="pct"/>
            <w:vAlign w:val="center"/>
          </w:tcPr>
          <w:p>
            <w:pPr>
              <w:jc w:val="center"/>
              <w:rPr>
                <w:sz w:val="21"/>
                <w:szCs w:val="21"/>
              </w:rPr>
            </w:pPr>
            <w:r>
              <w:rPr>
                <w:sz w:val="21"/>
                <w:szCs w:val="21"/>
              </w:rPr>
              <w:t>16</w:t>
            </w:r>
          </w:p>
        </w:tc>
        <w:tc>
          <w:tcPr>
            <w:tcW w:w="2310" w:type="pct"/>
            <w:vAlign w:val="center"/>
          </w:tcPr>
          <w:p>
            <w:pPr>
              <w:jc w:val="center"/>
              <w:rPr>
                <w:sz w:val="21"/>
                <w:szCs w:val="21"/>
              </w:rPr>
            </w:pPr>
            <w:r>
              <w:rPr>
                <w:sz w:val="21"/>
                <w:szCs w:val="21"/>
              </w:rPr>
              <w:t>东营市惠泽农业科技有限公司</w:t>
            </w:r>
          </w:p>
        </w:tc>
        <w:tc>
          <w:tcPr>
            <w:tcW w:w="1076" w:type="pct"/>
            <w:vAlign w:val="center"/>
          </w:tcPr>
          <w:p>
            <w:pPr>
              <w:jc w:val="center"/>
              <w:rPr>
                <w:sz w:val="21"/>
                <w:szCs w:val="21"/>
              </w:rPr>
            </w:pPr>
            <w:r>
              <w:rPr>
                <w:sz w:val="21"/>
                <w:szCs w:val="21"/>
              </w:rPr>
              <w:t>院级</w:t>
            </w:r>
          </w:p>
        </w:tc>
        <w:tc>
          <w:tcPr>
            <w:tcW w:w="1085" w:type="pct"/>
            <w:vAlign w:val="center"/>
          </w:tcPr>
          <w:p>
            <w:pPr>
              <w:jc w:val="center"/>
              <w:rPr>
                <w:sz w:val="21"/>
                <w:szCs w:val="21"/>
              </w:rPr>
            </w:pPr>
            <w:r>
              <w:rPr>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27" w:type="pct"/>
            <w:vAlign w:val="center"/>
          </w:tcPr>
          <w:p>
            <w:pPr>
              <w:jc w:val="center"/>
              <w:rPr>
                <w:sz w:val="21"/>
                <w:szCs w:val="21"/>
              </w:rPr>
            </w:pPr>
            <w:r>
              <w:rPr>
                <w:sz w:val="21"/>
                <w:szCs w:val="21"/>
              </w:rPr>
              <w:t>17</w:t>
            </w:r>
          </w:p>
        </w:tc>
        <w:tc>
          <w:tcPr>
            <w:tcW w:w="2310" w:type="pct"/>
            <w:vAlign w:val="center"/>
          </w:tcPr>
          <w:p>
            <w:pPr>
              <w:jc w:val="center"/>
              <w:rPr>
                <w:sz w:val="21"/>
                <w:szCs w:val="21"/>
              </w:rPr>
            </w:pPr>
            <w:r>
              <w:rPr>
                <w:sz w:val="21"/>
                <w:szCs w:val="21"/>
              </w:rPr>
              <w:t>山东兰陵农业投资集团有限公司</w:t>
            </w:r>
          </w:p>
        </w:tc>
        <w:tc>
          <w:tcPr>
            <w:tcW w:w="1076" w:type="pct"/>
            <w:vAlign w:val="center"/>
          </w:tcPr>
          <w:p>
            <w:pPr>
              <w:jc w:val="center"/>
              <w:rPr>
                <w:sz w:val="21"/>
                <w:szCs w:val="21"/>
              </w:rPr>
            </w:pPr>
            <w:r>
              <w:rPr>
                <w:sz w:val="21"/>
                <w:szCs w:val="21"/>
              </w:rPr>
              <w:t>院级</w:t>
            </w:r>
          </w:p>
        </w:tc>
        <w:tc>
          <w:tcPr>
            <w:tcW w:w="1085" w:type="pct"/>
            <w:vAlign w:val="center"/>
          </w:tcPr>
          <w:p>
            <w:pPr>
              <w:jc w:val="center"/>
              <w:rPr>
                <w:sz w:val="21"/>
                <w:szCs w:val="21"/>
              </w:rPr>
            </w:pPr>
            <w:r>
              <w:rPr>
                <w:sz w:val="21"/>
                <w:szCs w:val="21"/>
              </w:rPr>
              <w:t>2022</w:t>
            </w:r>
          </w:p>
        </w:tc>
      </w:tr>
    </w:tbl>
    <w:p>
      <w:pPr>
        <w:ind w:firstLine="480" w:firstLineChars="200"/>
        <w:outlineLvl w:val="3"/>
        <w:rPr>
          <w:rFonts w:eastAsia="黑体"/>
          <w:bCs/>
          <w:kern w:val="0"/>
          <w:szCs w:val="24"/>
          <w:lang w:val="zh-CN"/>
        </w:rPr>
      </w:pPr>
      <w:r>
        <w:rPr>
          <w:rFonts w:eastAsia="黑体"/>
          <w:bCs/>
          <w:kern w:val="0"/>
          <w:szCs w:val="24"/>
          <w:lang w:val="zh-CN"/>
        </w:rPr>
        <w:t>5.现代教学技术应用</w:t>
      </w:r>
    </w:p>
    <w:p>
      <w:pPr>
        <w:ind w:firstLine="480" w:firstLineChars="200"/>
      </w:pPr>
      <w:r>
        <w:t>在课堂教学过程中充分运用现代教育技术学的优势，以多媒体技术、互联网技术为核心的现代信息技术已深入水产养殖学的教学、社会实践和综合创新能力提高的人才培养工作中。</w:t>
      </w:r>
    </w:p>
    <w:p>
      <w:pPr>
        <w:pStyle w:val="5"/>
        <w:spacing w:before="93" w:after="93"/>
        <w:ind w:firstLine="560"/>
        <w:rPr>
          <w:lang w:val="zh-CN"/>
        </w:rPr>
      </w:pPr>
      <w:bookmarkStart w:id="323" w:name="_Toc13629"/>
      <w:r>
        <w:t>四、</w:t>
      </w:r>
      <w:r>
        <w:rPr>
          <w:lang w:val="zh-CN"/>
        </w:rPr>
        <w:t>培养机制与特色（产学研协同育人机制、合作办学、教学管理等）</w:t>
      </w:r>
      <w:bookmarkEnd w:id="323"/>
    </w:p>
    <w:p>
      <w:pPr>
        <w:ind w:firstLine="480" w:firstLineChars="200"/>
        <w:outlineLvl w:val="3"/>
        <w:rPr>
          <w:rFonts w:eastAsia="黑体"/>
          <w:bCs/>
          <w:kern w:val="0"/>
          <w:szCs w:val="24"/>
          <w:lang w:val="zh-CN"/>
        </w:rPr>
      </w:pPr>
      <w:r>
        <w:rPr>
          <w:rFonts w:eastAsia="黑体"/>
          <w:bCs/>
          <w:kern w:val="0"/>
          <w:szCs w:val="24"/>
          <w:lang w:val="zh-CN"/>
        </w:rPr>
        <w:t>1.创新产学研协同育人机制</w:t>
      </w:r>
    </w:p>
    <w:p>
      <w:pPr>
        <w:ind w:firstLine="480" w:firstLineChars="200"/>
      </w:pPr>
      <w:r>
        <w:t>促进校企合作、产学研结合，建设合作人才培养基地，探索高校与科研机构、水产企业、用人单位等联合培养人才的新途径。包括开展校地合作、校企合作等多种形式的合作办学模式，建立产学研有机结合的办学机制。</w:t>
      </w:r>
    </w:p>
    <w:p>
      <w:pPr>
        <w:ind w:firstLine="480" w:firstLineChars="200"/>
      </w:pPr>
      <w:r>
        <w:t>在校外，本着</w:t>
      </w:r>
      <w:r>
        <w:rPr>
          <w:rFonts w:hint="eastAsia"/>
        </w:rPr>
        <w:t>“</w:t>
      </w:r>
      <w:r>
        <w:t>互惠互利、共同发展</w:t>
      </w:r>
      <w:r>
        <w:rPr>
          <w:rFonts w:hint="eastAsia"/>
        </w:rPr>
        <w:t>”</w:t>
      </w:r>
      <w:r>
        <w:t>的原则，与15家企业、水产局等联合建立实践教学基地，搭建了</w:t>
      </w:r>
      <w:r>
        <w:rPr>
          <w:rFonts w:hint="eastAsia"/>
        </w:rPr>
        <w:t>“</w:t>
      </w:r>
      <w:r>
        <w:t>水产养殖实践应用平台</w:t>
      </w:r>
      <w:r>
        <w:rPr>
          <w:rFonts w:hint="eastAsia"/>
        </w:rPr>
        <w:t>”</w:t>
      </w:r>
      <w:r>
        <w:t>。每年约有10余人次学生到企业参加实习和实践。</w:t>
      </w:r>
      <w:r>
        <w:rPr>
          <w:rFonts w:hint="eastAsia"/>
        </w:rPr>
        <w:t>“</w:t>
      </w:r>
      <w:r>
        <w:t>实践应用平台</w:t>
      </w:r>
      <w:r>
        <w:rPr>
          <w:rFonts w:hint="eastAsia"/>
        </w:rPr>
        <w:t>”</w:t>
      </w:r>
      <w:r>
        <w:t>建设实现了学校与企业的紧密联合，企业为教师提供了社会服务能力的平台，专家、教授深入生产一线，能够准确及时把握社会需求，实现社会需求与科研的同步发展；企业为学生提供了实践的平台，促进了学生创新和创业能力的提高，提高应用型人才的培养质量；同时，教师为企业提供新技术，学生为产品的研发和企业的创新注入活力，推动了企业的持续健康发展。</w:t>
      </w:r>
    </w:p>
    <w:p>
      <w:pPr>
        <w:ind w:firstLine="480" w:firstLineChars="200"/>
        <w:outlineLvl w:val="3"/>
        <w:rPr>
          <w:rFonts w:eastAsia="黑体"/>
          <w:bCs/>
          <w:kern w:val="0"/>
          <w:szCs w:val="24"/>
          <w:lang w:val="zh-CN"/>
        </w:rPr>
      </w:pPr>
      <w:r>
        <w:rPr>
          <w:rFonts w:eastAsia="黑体"/>
          <w:bCs/>
          <w:kern w:val="0"/>
          <w:szCs w:val="24"/>
          <w:lang w:val="zh-CN"/>
        </w:rPr>
        <w:t>2.改革课堂教学方式，提高教学质量</w:t>
      </w:r>
    </w:p>
    <w:p>
      <w:pPr>
        <w:ind w:firstLine="480" w:firstLineChars="200"/>
      </w:pPr>
      <w:r>
        <w:t>通过改革课堂教学模式，让大学生成为课堂的主人，主动提问、主动质疑、主动找错误、找答案，而不是以往那种只会被动的接收老师满堂灌的知识。</w:t>
      </w:r>
    </w:p>
    <w:p>
      <w:pPr>
        <w:ind w:firstLine="480" w:firstLineChars="200"/>
      </w:pPr>
      <w:r>
        <w:t>在教学管理方面，多年来一直实施着导师负责制的人才培养模式。每个大学生入学时有班主任和辅导员的帮助，二年级开始又为每个大学生配备了导师。导师负责大学生在校期间的一切学习活动和课外活动，本科选课、选择实习地点、选择社会实践与创新性和创业实践基地等，在择业和考研方面导师都给予及时的帮助、指导、建议和引导。</w:t>
      </w:r>
    </w:p>
    <w:p>
      <w:pPr>
        <w:ind w:firstLine="480" w:firstLineChars="200"/>
      </w:pPr>
      <w:r>
        <w:t>改革单一考试、只考察死记硬背知识的缺陷，在期末考试的基础上，增加对课堂表现的重视，纳入对知识面的考察，考察学生课外阅读能力、查阅文献能力，通过实施创新能力培养体系的这一环节，培养大学生 创新思维广度，使大学生逐渐具备思路广、创意丰富、内外联想等优秀素质。</w:t>
      </w:r>
    </w:p>
    <w:p>
      <w:pPr>
        <w:ind w:firstLine="480" w:firstLineChars="200"/>
        <w:outlineLvl w:val="3"/>
        <w:rPr>
          <w:rFonts w:eastAsia="黑体"/>
          <w:bCs/>
          <w:kern w:val="0"/>
          <w:szCs w:val="24"/>
          <w:lang w:val="zh-CN"/>
        </w:rPr>
      </w:pPr>
      <w:r>
        <w:rPr>
          <w:rFonts w:eastAsia="黑体"/>
          <w:bCs/>
          <w:kern w:val="0"/>
          <w:szCs w:val="24"/>
          <w:lang w:val="zh-CN"/>
        </w:rPr>
        <w:t>3.改革考试方式，提高大学生创新思维的广度</w:t>
      </w:r>
    </w:p>
    <w:p>
      <w:pPr>
        <w:ind w:firstLine="480" w:firstLineChars="200"/>
      </w:pPr>
      <w:r>
        <w:t>改革单一考试、只考察死记硬背知识的缺陷，在期末考试的基础上，增加对课堂表现的重视，纳入对知识面的考察，考察学生课外阅读能力、查阅文献能力，通过实施创新能力培养体系的这一环节，培养大学生 创新思维广度，使大学生逐渐具备思路广、创意丰富、内外联想等优秀素质。</w:t>
      </w:r>
    </w:p>
    <w:p>
      <w:pPr>
        <w:ind w:firstLine="480" w:firstLineChars="200"/>
        <w:outlineLvl w:val="3"/>
        <w:rPr>
          <w:rFonts w:eastAsia="黑体"/>
          <w:bCs/>
          <w:kern w:val="0"/>
          <w:szCs w:val="24"/>
          <w:lang w:val="zh-CN"/>
        </w:rPr>
      </w:pPr>
      <w:r>
        <w:rPr>
          <w:rFonts w:eastAsia="黑体"/>
          <w:bCs/>
          <w:kern w:val="0"/>
          <w:szCs w:val="24"/>
          <w:lang w:val="zh-CN"/>
        </w:rPr>
        <w:t>4.改革实验教学环节，增加自主设计实验内容，提高大学生创新思维的深度</w:t>
      </w:r>
    </w:p>
    <w:p>
      <w:pPr>
        <w:ind w:firstLine="480" w:firstLineChars="200"/>
      </w:pPr>
      <w:r>
        <w:t>改革实验教学环节，重视学生主动参与实验的能力培养，在一些实验教学环节中，增加自主设计实验内容的考察，预先给出实验目标，让学生通过自主设计的实验来达到和实现这些目标。实施创新能力培养体系这一环节后，逐渐提高了大学生的积极性和主动性，使大学生具备了思考问题的细致入微性，增加了创新思维的深度，增加了分析问题周到细致，判断问题准确入微的能力。</w:t>
      </w:r>
    </w:p>
    <w:p>
      <w:pPr>
        <w:ind w:firstLine="480" w:firstLineChars="200"/>
        <w:outlineLvl w:val="3"/>
        <w:rPr>
          <w:rFonts w:eastAsia="黑体"/>
          <w:bCs/>
          <w:kern w:val="0"/>
          <w:szCs w:val="24"/>
          <w:lang w:val="zh-CN"/>
        </w:rPr>
      </w:pPr>
      <w:r>
        <w:rPr>
          <w:rFonts w:eastAsia="黑体"/>
          <w:bCs/>
          <w:kern w:val="0"/>
          <w:szCs w:val="24"/>
          <w:lang w:val="zh-CN"/>
        </w:rPr>
        <w:t>5.重视毕业实习环节，提高大学生创业能力</w:t>
      </w:r>
    </w:p>
    <w:p>
      <w:pPr>
        <w:ind w:firstLine="480" w:firstLineChars="200"/>
      </w:pPr>
      <w:r>
        <w:t>重视大学生在校期间的课外活动，重视毕业实习环节，利用多种渠道培养和提高大学生创新思维的力度，使大学生能够具备思维时空穿透力，敢为人先，准确地把握时机，实施自己的毕业设计理念。评价优秀论文时，充分考察学生的各方面能力和素质。</w:t>
      </w:r>
    </w:p>
    <w:p>
      <w:pPr>
        <w:pStyle w:val="5"/>
        <w:spacing w:before="93" w:after="93"/>
        <w:ind w:firstLine="560"/>
        <w:rPr>
          <w:lang w:val="zh-CN"/>
        </w:rPr>
      </w:pPr>
      <w:bookmarkStart w:id="324" w:name="_Toc21698"/>
      <w:r>
        <w:t>五、</w:t>
      </w:r>
      <w:r>
        <w:rPr>
          <w:lang w:val="zh-CN"/>
        </w:rPr>
        <w:t>培养质量（毕业生就业率、就业专业对口率、毕业生发展情况、就业单位满意率、社会对专业的评价、学生就读该专业的意愿等）</w:t>
      </w:r>
      <w:bookmarkEnd w:id="324"/>
    </w:p>
    <w:p>
      <w:pPr>
        <w:ind w:firstLine="480" w:firstLineChars="200"/>
      </w:pPr>
      <w:r>
        <w:t>本专业2022届毕业生共计29人。截止2022年8月31日，毕业生就业28人，毕业去向落实率为96.55%，其中毕业生留鲁就业17人，占总人数的58.62%，升学人数16人，占总人数的55.17%，企业就业12，占总人数的42.38%。</w:t>
      </w:r>
    </w:p>
    <w:p>
      <w:pPr>
        <w:ind w:firstLine="480" w:firstLineChars="200"/>
      </w:pPr>
      <w:r>
        <w:t>毕业生当前所在工作单位或者所从事工作岗位与所学专业对口率较高的共22人，占总人数的75.8%。主要集中在无锡通威生物科技有限公司特种料分公司、广东湛江正大水产有限公司等。</w:t>
      </w:r>
    </w:p>
    <w:p>
      <w:pPr>
        <w:ind w:firstLine="480" w:firstLineChars="200"/>
      </w:pPr>
      <w:r>
        <w:t>社会对专业的评价：一直以来，水产专业毕业生有约一半考取了中国海洋大学等高校的研究生，在各市、县水产管理部门、利洋、通威、宝来利来、东方海洋等公司任职的水产专业毕业生也得到了用人单位的广泛好评。本专业培养的毕业生在各自的岗位取得了优异成绩，许多已成为我国水产养殖行业的中坚力量，获得了用人单位的好评，也为我国水产养殖业的发展做出了巨大贡献。</w:t>
      </w:r>
    </w:p>
    <w:p>
      <w:pPr>
        <w:ind w:firstLine="480" w:firstLineChars="200"/>
      </w:pPr>
      <w:r>
        <w:t>多年来水产养殖学专业为著名大学和科研院所输送了高质量的研究生人才，为山东蓝色海洋经济、水产业、教育科研、管理和社会主义新农村建设输入了高质量的有创新和开拓能力的本科生人才。学生就读该专业的意愿：随着就业渠道的拓宽，学生就读水产养殖学专业的意愿逐渐增强。</w:t>
      </w:r>
    </w:p>
    <w:p>
      <w:pPr>
        <w:ind w:firstLine="480" w:firstLineChars="200"/>
      </w:pPr>
      <w:r>
        <w:t>就业单位满意率：对2021届毕业生进行了跟踪调查。统计结果显示，有40.0%的人月收入在 2001-3000元，有30.0%的人月收入集中在3001-4000元，有30.0%的人月收入在4001-5000元及以上。毕业生对就业现状满意度达80%以上。</w:t>
      </w:r>
    </w:p>
    <w:p>
      <w:pPr>
        <w:pStyle w:val="5"/>
        <w:spacing w:before="93" w:after="93"/>
        <w:ind w:firstLine="560"/>
        <w:rPr>
          <w:lang w:val="zh-CN"/>
        </w:rPr>
      </w:pPr>
      <w:bookmarkStart w:id="325" w:name="_Toc935"/>
      <w:r>
        <w:t>六、</w:t>
      </w:r>
      <w:r>
        <w:rPr>
          <w:lang w:val="zh-CN"/>
        </w:rPr>
        <w:t>毕业生就业创业（创业情况、采取的措施、典型案例等）</w:t>
      </w:r>
      <w:bookmarkEnd w:id="325"/>
    </w:p>
    <w:p>
      <w:pPr>
        <w:ind w:firstLine="480" w:firstLineChars="200"/>
      </w:pPr>
      <w:r>
        <w:t>学院高度重视毕业生的就业创业工作，设立了学生就业指导与服务中心，由专职人员负责就业市场开拓、就业指导与咨询，采取各种措施存进学生的就业创业。</w:t>
      </w:r>
    </w:p>
    <w:p>
      <w:pPr>
        <w:ind w:firstLine="480" w:firstLineChars="200"/>
        <w:outlineLvl w:val="3"/>
        <w:rPr>
          <w:rFonts w:eastAsia="黑体"/>
          <w:bCs/>
          <w:kern w:val="0"/>
          <w:szCs w:val="24"/>
          <w:lang w:val="zh-CN"/>
        </w:rPr>
      </w:pPr>
      <w:r>
        <w:rPr>
          <w:rFonts w:eastAsia="黑体"/>
          <w:bCs/>
          <w:kern w:val="0"/>
          <w:szCs w:val="24"/>
          <w:lang w:val="zh-CN"/>
        </w:rPr>
        <w:t>1. 2022届水产专业毕业生就业基本情况</w:t>
      </w:r>
    </w:p>
    <w:p>
      <w:pPr>
        <w:ind w:firstLine="480" w:firstLineChars="200"/>
      </w:pPr>
      <w:r>
        <w:t>截止2022年8月31日，毕业生就业28人，毕业去向落实率为96.55%，其中毕业生留鲁就业17人，占总人数的58.62%；升学人数16人，占总人数的55.17%；企业就业12，占总人数的42.38%。</w:t>
      </w:r>
    </w:p>
    <w:p>
      <w:pPr>
        <w:ind w:firstLine="480" w:firstLineChars="200"/>
        <w:rPr>
          <w:rFonts w:eastAsia="黑体"/>
          <w:bCs/>
          <w:kern w:val="0"/>
          <w:szCs w:val="24"/>
          <w:lang w:val="zh-CN"/>
        </w:rPr>
      </w:pPr>
      <w:r>
        <w:rPr>
          <w:rFonts w:eastAsia="黑体"/>
          <w:bCs/>
          <w:kern w:val="0"/>
          <w:szCs w:val="24"/>
          <w:lang w:val="zh-CN"/>
        </w:rPr>
        <w:t>2.</w:t>
      </w:r>
      <w:r>
        <w:rPr>
          <w:rFonts w:hint="eastAsia" w:eastAsia="黑体"/>
          <w:bCs/>
          <w:kern w:val="0"/>
          <w:szCs w:val="24"/>
        </w:rPr>
        <w:t xml:space="preserve"> </w:t>
      </w:r>
      <w:r>
        <w:rPr>
          <w:rFonts w:eastAsia="黑体"/>
          <w:bCs/>
          <w:kern w:val="0"/>
          <w:szCs w:val="24"/>
          <w:lang w:val="zh-CN"/>
        </w:rPr>
        <w:t>全员发动，提高毕业生就业创业比例</w:t>
      </w:r>
    </w:p>
    <w:p>
      <w:pPr>
        <w:ind w:firstLine="480" w:firstLineChars="200"/>
      </w:pPr>
      <w:r>
        <w:t>在2022届毕业生就业工作中，进一步加强校企合作力度，建立了一批与水产产业紧密相关的大学生就业创业实践基地。同时主动加强了与畜牧类、食品类、制药类省内外企业的联系，学院累计联系用人单位400余家，到校举办校园招聘专场和参加校园周末招聘会的单位累计达百余家，为学生提供了上千个用工岗位和招聘信息，实现供求比例15:1以上，极大了满足了水产类人才的求职需求。</w:t>
      </w:r>
    </w:p>
    <w:p>
      <w:pPr>
        <w:ind w:firstLine="480" w:firstLineChars="200"/>
      </w:pPr>
      <w:r>
        <w:t>专业教师根据自己在教学科研中与企业的联系，积极为毕业生提供实习岗位，通过实习促进就业。并邀请企业到学校参加招聘会和专场招聘，为毕业生提供就业岗位。此外，专业教师通过长期跟企业联系，熟悉企业对毕业生的需求和对毕业生综合素质的要求，把这些信息传递给毕业生，指导毕业生就业工作，积极传授毕业生如何主动就业之道。学院上下形成了领导、辅导员、专业教师三位一体的就业指导工作联动体系，充分发挥专业教师的就业指导作用。教师不仅讲授专业知识，而且传授职业发展素质修养，介绍本学科领域最新发展趋势及职业优势，引导毕业生合理定位自身职业，通过言传身教方式引导毕业生求职就业。</w:t>
      </w:r>
    </w:p>
    <w:p>
      <w:pPr>
        <w:ind w:firstLine="480" w:firstLineChars="200"/>
        <w:outlineLvl w:val="3"/>
        <w:rPr>
          <w:rFonts w:eastAsia="黑体"/>
          <w:bCs/>
          <w:kern w:val="0"/>
          <w:szCs w:val="24"/>
          <w:lang w:val="zh-CN"/>
        </w:rPr>
      </w:pPr>
      <w:r>
        <w:rPr>
          <w:rFonts w:eastAsia="黑体"/>
          <w:bCs/>
          <w:kern w:val="0"/>
          <w:szCs w:val="24"/>
          <w:lang w:val="zh-CN"/>
        </w:rPr>
        <w:t>3.</w:t>
      </w:r>
      <w:r>
        <w:rPr>
          <w:rFonts w:hint="eastAsia" w:eastAsia="黑体"/>
          <w:bCs/>
          <w:kern w:val="0"/>
          <w:szCs w:val="24"/>
        </w:rPr>
        <w:t xml:space="preserve"> </w:t>
      </w:r>
      <w:r>
        <w:rPr>
          <w:rFonts w:eastAsia="黑体"/>
          <w:bCs/>
          <w:kern w:val="0"/>
          <w:szCs w:val="24"/>
          <w:lang w:val="zh-CN"/>
        </w:rPr>
        <w:t>加强毕业生思想教育工作，引导毕业生积极就业</w:t>
      </w:r>
    </w:p>
    <w:p>
      <w:pPr>
        <w:ind w:firstLine="480" w:firstLineChars="200"/>
      </w:pPr>
      <w:r>
        <w:t>2021年全省海洋生产总值14942.1亿元，比上年增长15.7%，高于地区生产总值增速1.6个百分点；占地区生产总值的18.0%，比上年提高0.2个百分点；对全省经济和全国海洋经济增长的贡献率分别达到19.7%和18.7%。海洋经济进入总量增长和效率提升新阶段。</w:t>
      </w:r>
    </w:p>
    <w:p>
      <w:pPr>
        <w:ind w:firstLine="480" w:firstLineChars="200"/>
      </w:pPr>
      <w:r>
        <w:t>近年来，山东水产养殖业绿色发展水平不断提升，科学构建绿色发展总体布局。按照</w:t>
      </w:r>
      <w:r>
        <w:rPr>
          <w:rFonts w:hint="eastAsia"/>
        </w:rPr>
        <w:t>“</w:t>
      </w:r>
      <w:r>
        <w:t>多规合一</w:t>
      </w:r>
      <w:r>
        <w:rPr>
          <w:rFonts w:hint="eastAsia"/>
        </w:rPr>
        <w:t>”</w:t>
      </w:r>
      <w:r>
        <w:t>的要求，统筹生产发展与环境保护，加快编制养殖水域滩涂规划，全省108个水产养殖主产县区、15个设区市已完成规划发布工作。同时，大力开展水产优良品种选育和推广工作，着力打造生态渔业发展新模式。全省现有国家级水产原良种场15家，居全国首位。</w:t>
      </w:r>
    </w:p>
    <w:p>
      <w:pPr>
        <w:ind w:firstLine="480" w:firstLineChars="200"/>
      </w:pPr>
      <w:r>
        <w:t>毕业生教育工作，既是就业工作的重要内容，也是大学生思想教育工作的重要组成部分。学院积极做好毕业生就业思想状况调研分析，掌握毕业生的思想动态，并以此为依据通过多种形式的教育活动，把解决毕业生思想问题与解决实际问题相结合，为毕业生做好事、办实事；极做好就业困难毕业生就业指导工作，加强学生思想政治教育和心理健康教育，把引导毕业生树立正确价值观和就业观，积极面向基层就业作为当前毕业生思想教育指导工作的重要内容，引导学生客观、理性、辨证地认识就业形势，合理调整就业预期，进一步转变就业观念，引导学生认清严峻的就业形势，激发学生的生存忧患意识和个体发展意识，树立</w:t>
      </w:r>
      <w:r>
        <w:rPr>
          <w:rFonts w:hint="eastAsia"/>
        </w:rPr>
        <w:t>“</w:t>
      </w:r>
      <w:r>
        <w:t>行行可建功、处处能立业、劳动最光荣</w:t>
      </w:r>
      <w:r>
        <w:rPr>
          <w:rFonts w:hint="eastAsia"/>
        </w:rPr>
        <w:t>”</w:t>
      </w:r>
      <w:r>
        <w:t xml:space="preserve">的职业观念。 </w:t>
      </w:r>
    </w:p>
    <w:p>
      <w:pPr>
        <w:ind w:firstLine="480" w:firstLineChars="200"/>
        <w:outlineLvl w:val="3"/>
        <w:rPr>
          <w:rFonts w:eastAsia="黑体"/>
          <w:bCs/>
          <w:kern w:val="0"/>
          <w:szCs w:val="24"/>
          <w:lang w:val="zh-CN"/>
        </w:rPr>
      </w:pPr>
      <w:r>
        <w:rPr>
          <w:rFonts w:hint="eastAsia" w:eastAsia="黑体"/>
          <w:bCs/>
          <w:kern w:val="0"/>
          <w:szCs w:val="24"/>
        </w:rPr>
        <w:t>4</w:t>
      </w:r>
      <w:r>
        <w:rPr>
          <w:rFonts w:eastAsia="黑体"/>
          <w:bCs/>
          <w:kern w:val="0"/>
          <w:szCs w:val="24"/>
          <w:lang w:val="zh-CN"/>
        </w:rPr>
        <w:t>.</w:t>
      </w:r>
      <w:r>
        <w:rPr>
          <w:rFonts w:hint="eastAsia" w:eastAsia="黑体"/>
          <w:bCs/>
          <w:kern w:val="0"/>
          <w:szCs w:val="24"/>
        </w:rPr>
        <w:t xml:space="preserve"> </w:t>
      </w:r>
      <w:r>
        <w:rPr>
          <w:rFonts w:eastAsia="黑体"/>
          <w:bCs/>
          <w:kern w:val="0"/>
          <w:szCs w:val="24"/>
          <w:lang w:val="zh-CN"/>
        </w:rPr>
        <w:t>分类指导，实现最大限度的就业</w:t>
      </w:r>
    </w:p>
    <w:p>
      <w:pPr>
        <w:ind w:firstLine="480" w:firstLineChars="200"/>
      </w:pPr>
      <w:r>
        <w:t>毕业生一进入大四，学院即安排就业辅导员对毕业生进行初步就业摸排，对考研、就业、考公务员等就业意向进行逐一摸排，并形成班级分析报告。在摸排基础上，学院按照</w:t>
      </w:r>
      <w:r>
        <w:rPr>
          <w:rFonts w:hint="eastAsia"/>
        </w:rPr>
        <w:t>“</w:t>
      </w:r>
      <w:r>
        <w:t>明确目标、突出重点、分步实施、分类指导</w:t>
      </w:r>
      <w:r>
        <w:rPr>
          <w:rFonts w:hint="eastAsia"/>
        </w:rPr>
        <w:t>”</w:t>
      </w:r>
      <w:r>
        <w:t>的原则，有针对性地开展内容丰富、形式多样且实效性强的就业指导讲座和咨询活动。</w:t>
      </w:r>
    </w:p>
    <w:p>
      <w:pPr>
        <w:pStyle w:val="5"/>
        <w:spacing w:before="93" w:after="93"/>
        <w:ind w:firstLine="560"/>
        <w:rPr>
          <w:lang w:val="zh-CN"/>
        </w:rPr>
      </w:pPr>
      <w:bookmarkStart w:id="326" w:name="_Toc30600"/>
      <w:r>
        <w:t>七、</w:t>
      </w:r>
      <w:r>
        <w:rPr>
          <w:lang w:val="zh-CN"/>
        </w:rPr>
        <w:t>专业发展趋势及建议</w:t>
      </w:r>
      <w:bookmarkEnd w:id="326"/>
    </w:p>
    <w:p>
      <w:pPr>
        <w:ind w:firstLine="480" w:firstLineChars="200"/>
        <w:outlineLvl w:val="3"/>
        <w:rPr>
          <w:rFonts w:eastAsia="黑体"/>
          <w:bCs/>
          <w:kern w:val="0"/>
          <w:szCs w:val="24"/>
          <w:lang w:val="zh-CN"/>
        </w:rPr>
      </w:pPr>
      <w:r>
        <w:rPr>
          <w:rFonts w:eastAsia="黑体"/>
          <w:bCs/>
          <w:kern w:val="0"/>
          <w:szCs w:val="24"/>
          <w:lang w:val="zh-CN"/>
        </w:rPr>
        <w:t>1.</w:t>
      </w:r>
      <w:r>
        <w:rPr>
          <w:rFonts w:hint="eastAsia" w:eastAsia="黑体"/>
          <w:bCs/>
          <w:kern w:val="0"/>
          <w:szCs w:val="24"/>
        </w:rPr>
        <w:t xml:space="preserve"> </w:t>
      </w:r>
      <w:r>
        <w:rPr>
          <w:rFonts w:eastAsia="黑体"/>
          <w:bCs/>
          <w:kern w:val="0"/>
          <w:szCs w:val="24"/>
          <w:lang w:val="zh-CN"/>
        </w:rPr>
        <w:t>我国水产养殖业迅猛发展</w:t>
      </w:r>
    </w:p>
    <w:p>
      <w:pPr>
        <w:ind w:firstLine="480" w:firstLineChars="200"/>
      </w:pPr>
      <w:r>
        <w:t>我国的水产养殖业发展迅速，在全世界水产养殖业中占有重要地位，目前，每10条淡水养殖鱼中有7条是由中国的池塘养殖提供的。改革开放以来，经历了30余年的快速发展，我国的水产业开始进入迅速发展阶段，并进入向现代水产养殖业转型、增殖、增效、升级发展的关键时期。近年来水产业一直被誉为朝阳产业，带开发拓展的领地较多。而且，许多大型农业、水产业纷纷开始新上水产板块，急需大量的水产类大学毕业生，已经连续多年处于人才供不应求的局面。</w:t>
      </w:r>
    </w:p>
    <w:p>
      <w:pPr>
        <w:ind w:firstLine="480" w:firstLineChars="200"/>
      </w:pPr>
      <w:r>
        <w:t>水产养殖业也是渔民增收和脱贫致富的重要产业。一些大型企业拓展产生的水产品加工以及副产品开发加工成为保健品的产业已成为新的产业增长点，如南方用虾蟹类贝壳加工的第六元素、鱼皮加工的护肤品、鱼油加工的不饱和脂肪酸、海参加工的保健品等。为应对当今社会对水产养殖类专门人才的急需状况，需要尽快扩大招生和提高办学质量。</w:t>
      </w:r>
    </w:p>
    <w:p>
      <w:pPr>
        <w:ind w:firstLine="480" w:firstLineChars="200"/>
        <w:outlineLvl w:val="3"/>
        <w:rPr>
          <w:rFonts w:eastAsia="黑体"/>
          <w:bCs/>
          <w:kern w:val="0"/>
          <w:szCs w:val="24"/>
          <w:lang w:val="zh-CN"/>
        </w:rPr>
      </w:pPr>
      <w:r>
        <w:rPr>
          <w:rFonts w:eastAsia="黑体"/>
          <w:bCs/>
          <w:kern w:val="0"/>
          <w:szCs w:val="24"/>
          <w:lang w:val="zh-CN"/>
        </w:rPr>
        <w:t>2.</w:t>
      </w:r>
      <w:r>
        <w:rPr>
          <w:rFonts w:hint="eastAsia" w:eastAsia="黑体"/>
          <w:bCs/>
          <w:kern w:val="0"/>
          <w:szCs w:val="24"/>
        </w:rPr>
        <w:t xml:space="preserve"> </w:t>
      </w:r>
      <w:r>
        <w:rPr>
          <w:rFonts w:eastAsia="黑体"/>
          <w:bCs/>
          <w:kern w:val="0"/>
          <w:szCs w:val="24"/>
          <w:lang w:val="zh-CN"/>
        </w:rPr>
        <w:t>发展现代水产业和应对当前水产</w:t>
      </w:r>
      <w:r>
        <w:rPr>
          <w:rFonts w:eastAsia="黑体"/>
          <w:bCs/>
          <w:spacing w:val="-6"/>
          <w:kern w:val="0"/>
          <w:szCs w:val="24"/>
          <w:lang w:val="zh-CN"/>
        </w:rPr>
        <w:t>业的转型升级亟需水产养殖专业的</w:t>
      </w:r>
      <w:r>
        <w:rPr>
          <w:rFonts w:eastAsia="黑体"/>
          <w:bCs/>
          <w:kern w:val="0"/>
          <w:szCs w:val="24"/>
          <w:lang w:val="zh-CN"/>
        </w:rPr>
        <w:t>复合型人才</w:t>
      </w:r>
    </w:p>
    <w:p>
      <w:pPr>
        <w:ind w:firstLine="480" w:firstLineChars="200"/>
      </w:pPr>
      <w:r>
        <w:t>当前，我国水产业正处于提质、增效、转型、升级的关键时期，随着人们生活水平的提高，不仅需要保障水产品的有效供给；更要确保水产品的质量安全。在这种新的要求、挑战和新形势下，要加快推进水产业的转型升级和基本建设，亟需在我国水产健康养殖科学技术水平、水产品加工、水质调控，循环水高效利用、生态养殖、水产品质量安全和国际贸易等方面加强知识更新和融合；亟需迅速提高质量，严格把控，对掌握了水产养殖科学知识的高层次专业人才的社会需求，将会更加的迫切。</w:t>
      </w:r>
    </w:p>
    <w:p>
      <w:pPr>
        <w:ind w:firstLine="480" w:firstLineChars="200"/>
        <w:outlineLvl w:val="3"/>
        <w:rPr>
          <w:rFonts w:eastAsia="黑体"/>
          <w:bCs/>
          <w:kern w:val="0"/>
          <w:szCs w:val="24"/>
          <w:lang w:val="zh-CN"/>
        </w:rPr>
      </w:pPr>
      <w:r>
        <w:rPr>
          <w:rFonts w:eastAsia="黑体"/>
          <w:bCs/>
          <w:kern w:val="0"/>
          <w:szCs w:val="24"/>
          <w:lang w:val="zh-CN"/>
        </w:rPr>
        <w:t>3.</w:t>
      </w:r>
      <w:r>
        <w:rPr>
          <w:rFonts w:hint="eastAsia" w:eastAsia="黑体"/>
          <w:bCs/>
          <w:kern w:val="0"/>
          <w:szCs w:val="24"/>
        </w:rPr>
        <w:t xml:space="preserve"> </w:t>
      </w:r>
      <w:r>
        <w:rPr>
          <w:rFonts w:eastAsia="黑体"/>
          <w:bCs/>
          <w:kern w:val="0"/>
          <w:szCs w:val="24"/>
          <w:lang w:val="zh-CN"/>
        </w:rPr>
        <w:t>水产养殖学专业持续向好发展</w:t>
      </w:r>
    </w:p>
    <w:p>
      <w:pPr>
        <w:ind w:firstLine="480" w:firstLineChars="200"/>
      </w:pPr>
      <w:r>
        <w:t>水产养殖专业是为适应我国水产养殖业快速发展，保障水产动物健康养殖，降低养殖风险，提升水产养殖业科技水平，合理用药，保证水产品质量安全，满足社会对水产养殖业人才的大量需求等而在1989年设置的专业。从最初的淡水养殖二年制的专科班，1998年升为本科班，专业也从以往的淡水养殖专业拓展到如今的涵盖淡水养殖、海水养殖、鱼虾贝蟹类等特种养殖、大型名贵观赏鱼养殖和城市渔业、工厂化养殖、生态养殖和循环农业以及水产观光垂钓旅游业等。主要培养适应当前世界经济全球化、信息化、集约化、机械化和向现代化方向发展的新型社会主义建设人才；培养基础扎实、知识面宽、适应性强、有创新意识、团队合作精神强的德、智、体、美、劳全面发展的高等水产养殖业人才。通过培养使学生系统地掌握水产养殖专业的基本理论、基本知识和基本技能，具有从事水产类相关企业与科学研究能力、能在今后所从事的研究与开发、生产、检验、流通、实践和管理等领域从事各类工作的科学技术人才。2020年度，水产养殖学专业被评为省级一流专业建设点。</w:t>
      </w:r>
    </w:p>
    <w:p>
      <w:pPr>
        <w:pStyle w:val="5"/>
        <w:spacing w:before="93" w:after="93"/>
        <w:ind w:firstLine="560"/>
        <w:rPr>
          <w:lang w:val="zh-CN"/>
        </w:rPr>
      </w:pPr>
      <w:bookmarkStart w:id="327" w:name="_Toc24423"/>
      <w:r>
        <w:t>八、</w:t>
      </w:r>
      <w:r>
        <w:rPr>
          <w:lang w:val="zh-CN"/>
        </w:rPr>
        <w:t>存在的问题及整改措施</w:t>
      </w:r>
      <w:bookmarkEnd w:id="327"/>
    </w:p>
    <w:p>
      <w:pPr>
        <w:ind w:firstLine="480" w:firstLineChars="200"/>
      </w:pPr>
      <w:r>
        <w:t>自1989年水产养殖学专业建立以来，水产专业积极以学科建设为基础，以师资队伍建设为关键，以体制机制建设为保障，强力推进专业建设工作，大力提升人才培养质量，在人才培养、科学研究、社会服务、文化传承和管理水平等方面取得了明显的成效，但是，与当今社会发展需求对相比，与国内外同学科的发展趋势相比，还有一些地方需要不断完善。</w:t>
      </w:r>
    </w:p>
    <w:p>
      <w:pPr>
        <w:ind w:firstLine="480" w:firstLineChars="200"/>
      </w:pPr>
      <w:r>
        <w:t>专业的学科结构和实力水平有待提高。学科结构和实力水平还不能完全适应国家发展的战略需求。下一步，将紧紧围绕学校的办学定位，强化学科分类建设，完善富有特色的学科体系。建立适应山东经济社会发展的专业设置与调整机制，进一步优化学科专业结构。正确处理学科和专业的关系，将学科优势转化为教学优势。</w:t>
      </w:r>
    </w:p>
    <w:p>
      <w:pPr>
        <w:ind w:firstLine="480" w:firstLineChars="200"/>
      </w:pPr>
      <w:r>
        <w:t>近年来，本专业科研和教学水平显著提升，专业教师积极参与教学改革和人才培养模式改革，积极建立教学、科研、实践和育人基地，充分扩大了大学与社会融合培养人才的机会，在大学生社会实践能力培养，尤其是大学生创业创新能力培养方面凸显出其积极的作用。</w:t>
      </w:r>
    </w:p>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pPr>
      <w:bookmarkStart w:id="328" w:name="_Toc31102"/>
      <w:bookmarkStart w:id="329" w:name="_Toc32692"/>
      <w:r>
        <w:rPr>
          <w:rFonts w:hint="eastAsia"/>
          <w:lang w:val="en-US"/>
        </w:rPr>
        <w:t>专业二十九：</w:t>
      </w:r>
      <w:r>
        <w:t>机械设计制造及其自动化</w:t>
      </w:r>
      <w:bookmarkEnd w:id="328"/>
    </w:p>
    <w:p>
      <w:pPr>
        <w:pStyle w:val="5"/>
        <w:spacing w:before="93" w:after="93"/>
        <w:ind w:firstLine="560"/>
      </w:pPr>
      <w:r>
        <w:t>一、培养目标与规格</w:t>
      </w:r>
      <w:bookmarkEnd w:id="329"/>
    </w:p>
    <w:p>
      <w:pPr>
        <w:ind w:firstLine="480" w:firstLineChars="200"/>
      </w:pPr>
      <w:r>
        <w:rPr>
          <w:color w:val="000000"/>
          <w:kern w:val="0"/>
          <w:szCs w:val="24"/>
        </w:rPr>
        <w:t>本专业以机械设计与制造为基础，融入计算机科学、信息技术、自动控制技术等学科，运用先进设计制造技术理论与方法，实现机械产品智能化的设计与制造。培养具有较强的技术应用能力、先进工程意识和合作创新精神的应用型高级工程技术人才，系统地掌握现代机械设计制造基础理论和专业知识，可在装备制造领域从事机械产品的设计与智能化制造、技术运用与改造、生产运行管理等方面工作。具备从事本专业业务工作和适应相邻专业业务工作的能力与素质。</w:t>
      </w:r>
    </w:p>
    <w:p>
      <w:pPr>
        <w:pStyle w:val="5"/>
        <w:spacing w:before="93" w:after="93"/>
        <w:ind w:firstLine="560"/>
      </w:pPr>
      <w:bookmarkStart w:id="330" w:name="_Toc26342"/>
      <w:r>
        <w:t>二、培养能力（专业基本情况、在校生规模、课程体系、创新创业教育等）</w:t>
      </w:r>
      <w:bookmarkEnd w:id="330"/>
    </w:p>
    <w:p>
      <w:pPr>
        <w:ind w:firstLine="480" w:firstLineChars="200"/>
      </w:pPr>
      <w:r>
        <w:t>山东农业大学</w:t>
      </w:r>
      <w:r>
        <w:rPr>
          <w:bCs/>
        </w:rPr>
        <w:t>机械设计制造及其自动化</w:t>
      </w:r>
      <w:r>
        <w:t>专业于2017年批准开始招生。目前，该专业在校生</w:t>
      </w:r>
      <w:r>
        <w:rPr>
          <w:color w:val="000000" w:themeColor="text1"/>
          <w14:textFill>
            <w14:solidFill>
              <w14:schemeClr w14:val="tx1"/>
            </w14:solidFill>
          </w14:textFill>
        </w:rPr>
        <w:t>149</w:t>
      </w:r>
      <w:r>
        <w:t>人，每年级学生人数如表1所示。</w:t>
      </w:r>
    </w:p>
    <w:p>
      <w:pPr>
        <w:jc w:val="center"/>
        <w:rPr>
          <w:b/>
          <w:bCs/>
          <w:sz w:val="21"/>
          <w:szCs w:val="21"/>
        </w:rPr>
      </w:pPr>
      <w:r>
        <w:rPr>
          <w:b/>
          <w:bCs/>
          <w:sz w:val="21"/>
          <w:szCs w:val="21"/>
        </w:rPr>
        <w:t>表1  机械设计制造及其自动化在校生人数情况（人）</w:t>
      </w:r>
    </w:p>
    <w:tbl>
      <w:tblPr>
        <w:tblStyle w:val="17"/>
        <w:tblW w:w="73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6"/>
        <w:gridCol w:w="1866"/>
        <w:gridCol w:w="1827"/>
        <w:gridCol w:w="18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866" w:type="dxa"/>
            <w:vAlign w:val="center"/>
          </w:tcPr>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2019级</w:t>
            </w:r>
          </w:p>
        </w:tc>
        <w:tc>
          <w:tcPr>
            <w:tcW w:w="1866" w:type="dxa"/>
          </w:tcPr>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2020级</w:t>
            </w:r>
          </w:p>
        </w:tc>
        <w:tc>
          <w:tcPr>
            <w:tcW w:w="1827" w:type="dxa"/>
            <w:vAlign w:val="center"/>
          </w:tcPr>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2021级</w:t>
            </w:r>
          </w:p>
        </w:tc>
        <w:tc>
          <w:tcPr>
            <w:tcW w:w="1827" w:type="dxa"/>
            <w:vAlign w:val="center"/>
          </w:tcPr>
          <w:p>
            <w:pPr>
              <w:jc w:val="center"/>
              <w:rPr>
                <w:b/>
                <w:bCs/>
                <w:color w:val="000000" w:themeColor="text1"/>
                <w:sz w:val="21"/>
                <w:szCs w:val="21"/>
                <w:lang w:val="zh-CN"/>
                <w14:textFill>
                  <w14:solidFill>
                    <w14:schemeClr w14:val="tx1"/>
                  </w14:solidFill>
                </w14:textFill>
              </w:rPr>
            </w:pPr>
            <w:r>
              <w:rPr>
                <w:b/>
                <w:bCs/>
                <w:color w:val="000000" w:themeColor="text1"/>
                <w:sz w:val="21"/>
                <w:szCs w:val="21"/>
                <w:lang w:val="zh-CN"/>
                <w14:textFill>
                  <w14:solidFill>
                    <w14:schemeClr w14:val="tx1"/>
                  </w14:solidFill>
                </w14:textFill>
              </w:rPr>
              <w:t>总人数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866" w:type="dxa"/>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78</w:t>
            </w:r>
          </w:p>
        </w:tc>
        <w:tc>
          <w:tcPr>
            <w:tcW w:w="1866" w:type="dxa"/>
          </w:tcPr>
          <w:p>
            <w:pPr>
              <w:ind w:firstLine="630" w:firstLineChars="30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27</w:t>
            </w:r>
          </w:p>
        </w:tc>
        <w:tc>
          <w:tcPr>
            <w:tcW w:w="1827" w:type="dxa"/>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44</w:t>
            </w:r>
          </w:p>
        </w:tc>
        <w:tc>
          <w:tcPr>
            <w:tcW w:w="1827" w:type="dxa"/>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149</w:t>
            </w:r>
          </w:p>
        </w:tc>
      </w:tr>
    </w:tbl>
    <w:p>
      <w:pPr>
        <w:ind w:firstLine="480" w:firstLineChars="200"/>
      </w:pPr>
      <w:r>
        <w:t>该专业主干学科为：机械工程</w:t>
      </w:r>
    </w:p>
    <w:p>
      <w:pPr>
        <w:ind w:firstLine="480" w:firstLineChars="200"/>
        <w:rPr>
          <w:bCs/>
        </w:rPr>
      </w:pPr>
      <w:r>
        <w:t>核心课程：理论力学、材料力学、机械制图与CAD、机械制造基础、工程材料学、机械原理、机械设计、电工学、单片机原理与应用、</w:t>
      </w:r>
      <w:r>
        <w:rPr>
          <w:bCs/>
        </w:rPr>
        <w:t>液压与气压传动</w:t>
      </w:r>
      <w:r>
        <w:t>、工程测试与信号处理、</w:t>
      </w:r>
      <w:r>
        <w:rPr>
          <w:bCs/>
        </w:rPr>
        <w:t>互换性与技术测量、机械制造工艺学</w:t>
      </w:r>
      <w:r>
        <w:t>、机电一体化技术、数控技术等。</w:t>
      </w:r>
    </w:p>
    <w:p>
      <w:pPr>
        <w:ind w:firstLine="480" w:firstLineChars="200"/>
      </w:pPr>
      <w:r>
        <w:t>主要实践课程：金工实习、机械制造工艺实习、机械设计课程设计、数控技术课程设计、创新创业实践，毕业实习及报告等。</w:t>
      </w:r>
    </w:p>
    <w:p>
      <w:pPr>
        <w:ind w:firstLine="480" w:firstLineChars="200"/>
      </w:pPr>
      <w:r>
        <w:t>学分总体安排：毕业总学分不少于170学分。</w:t>
      </w:r>
    </w:p>
    <w:p>
      <w:pPr>
        <w:ind w:firstLine="480" w:firstLineChars="200"/>
      </w:pPr>
      <w:r>
        <w:t>必修课总学139学分、选修课学分31学分，实验学分（15.5学分）和实践环节学分（36.5学分）共52学分，占总学分31%。</w:t>
      </w:r>
    </w:p>
    <w:p>
      <w:pPr>
        <w:ind w:firstLine="480" w:firstLineChars="200"/>
        <w:rPr>
          <w:color w:val="000000" w:themeColor="text1"/>
          <w14:textFill>
            <w14:solidFill>
              <w14:schemeClr w14:val="tx1"/>
            </w14:solidFill>
          </w14:textFill>
        </w:rPr>
      </w:pPr>
      <w:r>
        <w:t>本专业极为重视大学生的创新创业工作，本年度对科创实践教学体系的软硬件功能又进行了改革与提升，创建了以创新、科技竞赛为载体的科技创新能力实训实践平台与综合创新实践实验室，通过制定相关规章制度与创新培养实训模式，形成了大学生</w:t>
      </w:r>
      <w:r>
        <w:rPr>
          <w:rFonts w:hint="eastAsia"/>
        </w:rPr>
        <w:t>“</w:t>
      </w:r>
      <w:r>
        <w:t>普惠制</w:t>
      </w:r>
      <w:r>
        <w:rPr>
          <w:rFonts w:hint="eastAsia"/>
        </w:rPr>
        <w:t>”</w:t>
      </w:r>
      <w:r>
        <w:t>全员参与科创实践的新局面；组建稳定的、高水平、精通科创实践教育规律的大学生科创实践教学师资队伍，结合学科特点与不同年级学生专业知识掌握程度，组织不同层次的科技竞赛，以创新、科技竞赛为载体，构建全员实践科创新机制。以赛促教、以赛促学，以赛促练，大学生实践能力、创新能力和团队协作能力得到极大提升。在各类科技竞赛中获得较好成绩，人才培养质量及毕业生社会美誉度逐年大幅提升。</w:t>
      </w:r>
      <w:r>
        <w:rPr>
          <w:color w:val="000000" w:themeColor="text1"/>
          <w14:textFill>
            <w14:solidFill>
              <w14:schemeClr w14:val="tx1"/>
            </w14:solidFill>
          </w14:textFill>
        </w:rPr>
        <w:t>本年度学生参加中国机器人大赛，中国工程机器人暨国际公开赛，山东省大学生机电产品设计大赛，山东省大学生移动互联创新创业大赛，山东省三维创新设计大赛，</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挑战杯</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大赛，山东省创新创业大赛互联网+大学生创新创业大赛，山东省大学生科技创新大赛等，并取得优异成绩，获得多项奖励。</w:t>
      </w:r>
    </w:p>
    <w:p>
      <w:pPr>
        <w:pStyle w:val="5"/>
        <w:spacing w:before="93" w:after="93"/>
        <w:ind w:firstLine="560"/>
      </w:pPr>
      <w:bookmarkStart w:id="331" w:name="_Toc7679"/>
      <w:r>
        <w:t>三、培养条件（教学经费投入、教学设备、教师队伍建设、实习基地、现代教学技术应用等）</w:t>
      </w:r>
      <w:bookmarkEnd w:id="331"/>
    </w:p>
    <w:p>
      <w:pPr>
        <w:ind w:firstLine="480" w:firstLineChars="200"/>
      </w:pPr>
      <w:r>
        <w:t>近年来，</w:t>
      </w:r>
      <w:r>
        <w:rPr>
          <w:bCs/>
        </w:rPr>
        <w:t>机械设计制造及其自动化专业</w:t>
      </w:r>
      <w:r>
        <w:t>借助山东省</w:t>
      </w:r>
      <w:r>
        <w:rPr>
          <w:rFonts w:hint="eastAsia"/>
        </w:rPr>
        <w:t>“</w:t>
      </w:r>
      <w:r>
        <w:t>双一流</w:t>
      </w:r>
      <w:r>
        <w:rPr>
          <w:rFonts w:hint="eastAsia"/>
        </w:rPr>
        <w:t>”</w:t>
      </w:r>
      <w:r>
        <w:t>建设工程，学校共投入700万元用于机械电子实验教学中心与机械工程实验中心实验室改造、专业设备的购置和更新。依托我院国家级实验教学师范中心（农业机械化及自动化）、虚拟仿真实验教学示范中心及国家创业型人才培养方案创新实验区平台，依托我院电工电子实验教学中心与机械工程实验教学中心开展教学科研工作。2016年，学校投入200万元用于建设虚拟仿真实验教学示范中心，2018年该中心已经建成并投入使用。为培养大学生的动手能力、成立并建设大学生创新创业训练中心。学院对实验室资源进行整合，充分发挥机电专业仪器设备使用效能，建设现代农机具展览中心。</w:t>
      </w:r>
    </w:p>
    <w:p>
      <w:pPr>
        <w:ind w:firstLine="480" w:firstLineChars="200"/>
      </w:pPr>
      <w:r>
        <w:t>在学校各级领导的关怀下，</w:t>
      </w:r>
      <w:r>
        <w:rPr>
          <w:bCs/>
        </w:rPr>
        <w:t>机械设计制造及其自动化专业</w:t>
      </w:r>
      <w:r>
        <w:t>的实验室面积得到大幅度提高，实验条件得到极大改善，目前与本专业相关的实验室面积达4000平米左右。另外，学院自筹资金，购买了大量机械电子工程专业书籍近100套，学术期刊20余部，经过多年的建设与完善，教学实验条件完全满足教学的要求。</w:t>
      </w:r>
    </w:p>
    <w:p>
      <w:pPr>
        <w:ind w:firstLine="480" w:firstLineChars="200"/>
        <w:rPr>
          <w:color w:val="000000" w:themeColor="text1"/>
          <w14:textFill>
            <w14:solidFill>
              <w14:schemeClr w14:val="tx1"/>
            </w14:solidFill>
          </w14:textFill>
        </w:rPr>
      </w:pPr>
      <w:r>
        <w:t>强化师资队伍建设，教学科研水平提高。</w:t>
      </w:r>
      <w:r>
        <w:rPr>
          <w:color w:val="000000" w:themeColor="text1"/>
          <w14:textFill>
            <w14:solidFill>
              <w14:schemeClr w14:val="tx1"/>
            </w14:solidFill>
          </w14:textFill>
        </w:rPr>
        <w:t>本年度周凯和任龙龙老师分别在山东农业大学博士后流动站和在上海交通大学博士后流动站进行博士后研究，牛子孺老师作为访问学者到企业交流学习。机制专业专职教师共25人，实验人员共4人，师资队伍具体人员概况如表2所示。</w:t>
      </w:r>
    </w:p>
    <w:p>
      <w:pPr>
        <w:jc w:val="center"/>
        <w:rPr>
          <w:b/>
          <w:bCs/>
          <w:sz w:val="21"/>
          <w:szCs w:val="21"/>
        </w:rPr>
      </w:pPr>
      <w:r>
        <w:rPr>
          <w:b/>
          <w:bCs/>
          <w:sz w:val="21"/>
          <w:szCs w:val="21"/>
        </w:rPr>
        <w:t>表2 机械设计制造及其自动化专业师资队伍</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9"/>
        <w:gridCol w:w="839"/>
        <w:gridCol w:w="721"/>
        <w:gridCol w:w="1013"/>
        <w:gridCol w:w="1843"/>
        <w:gridCol w:w="35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tblHeader/>
          <w:jc w:val="center"/>
        </w:trPr>
        <w:tc>
          <w:tcPr>
            <w:tcW w:w="612" w:type="pct"/>
            <w:vAlign w:val="center"/>
          </w:tcPr>
          <w:p>
            <w:pPr>
              <w:jc w:val="center"/>
              <w:rPr>
                <w:b/>
                <w:bCs/>
                <w:sz w:val="21"/>
                <w:szCs w:val="21"/>
              </w:rPr>
            </w:pPr>
            <w:r>
              <w:rPr>
                <w:b/>
                <w:bCs/>
                <w:sz w:val="21"/>
                <w:szCs w:val="21"/>
              </w:rPr>
              <w:t>姓</w:t>
            </w:r>
            <w:r>
              <w:rPr>
                <w:rFonts w:hint="eastAsia"/>
                <w:b/>
                <w:bCs/>
                <w:sz w:val="21"/>
                <w:szCs w:val="21"/>
              </w:rPr>
              <w:t xml:space="preserve">  </w:t>
            </w:r>
            <w:r>
              <w:rPr>
                <w:b/>
                <w:bCs/>
                <w:sz w:val="21"/>
                <w:szCs w:val="21"/>
              </w:rPr>
              <w:t>名</w:t>
            </w:r>
          </w:p>
        </w:tc>
        <w:tc>
          <w:tcPr>
            <w:tcW w:w="463" w:type="pct"/>
            <w:vAlign w:val="center"/>
          </w:tcPr>
          <w:p>
            <w:pPr>
              <w:jc w:val="center"/>
              <w:rPr>
                <w:b/>
                <w:bCs/>
                <w:sz w:val="21"/>
                <w:szCs w:val="21"/>
              </w:rPr>
            </w:pPr>
            <w:r>
              <w:rPr>
                <w:b/>
                <w:bCs/>
                <w:sz w:val="21"/>
                <w:szCs w:val="21"/>
              </w:rPr>
              <w:t>性别</w:t>
            </w:r>
          </w:p>
        </w:tc>
        <w:tc>
          <w:tcPr>
            <w:tcW w:w="398" w:type="pct"/>
            <w:vAlign w:val="center"/>
          </w:tcPr>
          <w:p>
            <w:pPr>
              <w:jc w:val="center"/>
              <w:rPr>
                <w:b/>
                <w:bCs/>
                <w:sz w:val="21"/>
                <w:szCs w:val="21"/>
              </w:rPr>
            </w:pPr>
            <w:r>
              <w:rPr>
                <w:b/>
                <w:bCs/>
                <w:sz w:val="21"/>
                <w:szCs w:val="21"/>
              </w:rPr>
              <w:t>年龄</w:t>
            </w:r>
          </w:p>
        </w:tc>
        <w:tc>
          <w:tcPr>
            <w:tcW w:w="559" w:type="pct"/>
            <w:vAlign w:val="center"/>
          </w:tcPr>
          <w:p>
            <w:pPr>
              <w:jc w:val="center"/>
              <w:rPr>
                <w:b/>
                <w:bCs/>
                <w:sz w:val="21"/>
                <w:szCs w:val="21"/>
              </w:rPr>
            </w:pPr>
            <w:r>
              <w:rPr>
                <w:b/>
                <w:bCs/>
                <w:sz w:val="21"/>
                <w:szCs w:val="21"/>
              </w:rPr>
              <w:t>职称</w:t>
            </w:r>
          </w:p>
        </w:tc>
        <w:tc>
          <w:tcPr>
            <w:tcW w:w="1017" w:type="pct"/>
            <w:vAlign w:val="center"/>
          </w:tcPr>
          <w:p>
            <w:pPr>
              <w:jc w:val="center"/>
              <w:rPr>
                <w:b/>
                <w:bCs/>
                <w:sz w:val="21"/>
                <w:szCs w:val="21"/>
              </w:rPr>
            </w:pPr>
            <w:r>
              <w:rPr>
                <w:b/>
                <w:bCs/>
                <w:sz w:val="21"/>
                <w:szCs w:val="21"/>
              </w:rPr>
              <w:t>学历/毕业院校</w:t>
            </w:r>
          </w:p>
        </w:tc>
        <w:tc>
          <w:tcPr>
            <w:tcW w:w="1948" w:type="pct"/>
            <w:vAlign w:val="center"/>
          </w:tcPr>
          <w:p>
            <w:pPr>
              <w:jc w:val="center"/>
              <w:rPr>
                <w:b/>
                <w:bCs/>
                <w:sz w:val="21"/>
                <w:szCs w:val="21"/>
              </w:rPr>
            </w:pPr>
            <w:r>
              <w:rPr>
                <w:b/>
                <w:bCs/>
                <w:sz w:val="21"/>
                <w:szCs w:val="21"/>
              </w:rPr>
              <w:t>主讲课程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宋月鹏</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51</w:t>
            </w:r>
          </w:p>
        </w:tc>
        <w:tc>
          <w:tcPr>
            <w:tcW w:w="559" w:type="pct"/>
            <w:vAlign w:val="center"/>
          </w:tcPr>
          <w:p>
            <w:pPr>
              <w:jc w:val="center"/>
              <w:rPr>
                <w:sz w:val="21"/>
                <w:szCs w:val="21"/>
              </w:rPr>
            </w:pPr>
            <w:r>
              <w:rPr>
                <w:sz w:val="21"/>
                <w:szCs w:val="21"/>
              </w:rPr>
              <w:t>教授</w:t>
            </w:r>
          </w:p>
        </w:tc>
        <w:tc>
          <w:tcPr>
            <w:tcW w:w="1017" w:type="pct"/>
            <w:vAlign w:val="center"/>
          </w:tcPr>
          <w:p>
            <w:pPr>
              <w:jc w:val="center"/>
              <w:rPr>
                <w:sz w:val="21"/>
                <w:szCs w:val="21"/>
              </w:rPr>
            </w:pPr>
            <w:r>
              <w:rPr>
                <w:sz w:val="21"/>
                <w:szCs w:val="21"/>
              </w:rPr>
              <w:t>博士后/中科院</w:t>
            </w:r>
          </w:p>
        </w:tc>
        <w:tc>
          <w:tcPr>
            <w:tcW w:w="1948" w:type="pct"/>
            <w:vAlign w:val="center"/>
          </w:tcPr>
          <w:p>
            <w:pPr>
              <w:jc w:val="center"/>
              <w:rPr>
                <w:sz w:val="21"/>
                <w:szCs w:val="21"/>
              </w:rPr>
            </w:pPr>
            <w:r>
              <w:rPr>
                <w:sz w:val="21"/>
                <w:szCs w:val="21"/>
              </w:rPr>
              <w:t>工程材料学、机械制造基础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许令峰</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52</w:t>
            </w:r>
          </w:p>
        </w:tc>
        <w:tc>
          <w:tcPr>
            <w:tcW w:w="559" w:type="pct"/>
            <w:vAlign w:val="center"/>
          </w:tcPr>
          <w:p>
            <w:pPr>
              <w:jc w:val="center"/>
              <w:rPr>
                <w:sz w:val="21"/>
                <w:szCs w:val="21"/>
              </w:rPr>
            </w:pPr>
            <w:r>
              <w:rPr>
                <w:sz w:val="21"/>
                <w:szCs w:val="21"/>
              </w:rPr>
              <w:t>副教授</w:t>
            </w:r>
          </w:p>
        </w:tc>
        <w:tc>
          <w:tcPr>
            <w:tcW w:w="1017" w:type="pct"/>
            <w:vAlign w:val="center"/>
          </w:tcPr>
          <w:p>
            <w:pPr>
              <w:jc w:val="center"/>
              <w:rPr>
                <w:sz w:val="21"/>
                <w:szCs w:val="21"/>
              </w:rPr>
            </w:pPr>
            <w:r>
              <w:rPr>
                <w:sz w:val="21"/>
                <w:szCs w:val="21"/>
              </w:rPr>
              <w:t>博士/北科大</w:t>
            </w:r>
          </w:p>
        </w:tc>
        <w:tc>
          <w:tcPr>
            <w:tcW w:w="1948" w:type="pct"/>
            <w:vAlign w:val="center"/>
          </w:tcPr>
          <w:p>
            <w:pPr>
              <w:jc w:val="center"/>
              <w:rPr>
                <w:sz w:val="21"/>
                <w:szCs w:val="21"/>
              </w:rPr>
            </w:pPr>
            <w:r>
              <w:rPr>
                <w:sz w:val="21"/>
                <w:szCs w:val="21"/>
              </w:rPr>
              <w:t>工程材料学、机械设计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冯天涛</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43</w:t>
            </w:r>
          </w:p>
        </w:tc>
        <w:tc>
          <w:tcPr>
            <w:tcW w:w="559" w:type="pct"/>
            <w:vAlign w:val="center"/>
          </w:tcPr>
          <w:p>
            <w:pPr>
              <w:jc w:val="center"/>
              <w:rPr>
                <w:sz w:val="21"/>
                <w:szCs w:val="21"/>
              </w:rPr>
            </w:pPr>
            <w:r>
              <w:rPr>
                <w:sz w:val="21"/>
                <w:szCs w:val="21"/>
              </w:rPr>
              <w:t>讲师</w:t>
            </w:r>
          </w:p>
        </w:tc>
        <w:tc>
          <w:tcPr>
            <w:tcW w:w="1017" w:type="pct"/>
            <w:vAlign w:val="center"/>
          </w:tcPr>
          <w:p>
            <w:pPr>
              <w:jc w:val="center"/>
              <w:rPr>
                <w:sz w:val="21"/>
                <w:szCs w:val="21"/>
              </w:rPr>
            </w:pPr>
            <w:r>
              <w:rPr>
                <w:sz w:val="21"/>
                <w:szCs w:val="21"/>
              </w:rPr>
              <w:t>博士/山农大</w:t>
            </w:r>
          </w:p>
        </w:tc>
        <w:tc>
          <w:tcPr>
            <w:tcW w:w="1948" w:type="pct"/>
            <w:vAlign w:val="center"/>
          </w:tcPr>
          <w:p>
            <w:pPr>
              <w:jc w:val="center"/>
              <w:rPr>
                <w:sz w:val="21"/>
                <w:szCs w:val="21"/>
              </w:rPr>
            </w:pPr>
            <w:r>
              <w:rPr>
                <w:sz w:val="21"/>
                <w:szCs w:val="21"/>
              </w:rPr>
              <w:t>机械制造工艺学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赵立新</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57</w:t>
            </w:r>
          </w:p>
        </w:tc>
        <w:tc>
          <w:tcPr>
            <w:tcW w:w="559" w:type="pct"/>
            <w:vAlign w:val="center"/>
          </w:tcPr>
          <w:p>
            <w:pPr>
              <w:jc w:val="center"/>
              <w:rPr>
                <w:color w:val="0070C0"/>
                <w:sz w:val="21"/>
                <w:szCs w:val="21"/>
              </w:rPr>
            </w:pPr>
            <w:r>
              <w:rPr>
                <w:color w:val="000000" w:themeColor="text1"/>
                <w:sz w:val="21"/>
                <w:szCs w:val="21"/>
                <w14:textFill>
                  <w14:solidFill>
                    <w14:schemeClr w14:val="tx1"/>
                  </w14:solidFill>
                </w14:textFill>
              </w:rPr>
              <w:t>教授</w:t>
            </w:r>
          </w:p>
        </w:tc>
        <w:tc>
          <w:tcPr>
            <w:tcW w:w="1017" w:type="pct"/>
            <w:vAlign w:val="center"/>
          </w:tcPr>
          <w:p>
            <w:pPr>
              <w:jc w:val="center"/>
              <w:rPr>
                <w:sz w:val="21"/>
                <w:szCs w:val="21"/>
              </w:rPr>
            </w:pPr>
            <w:r>
              <w:rPr>
                <w:sz w:val="21"/>
                <w:szCs w:val="21"/>
              </w:rPr>
              <w:t>硕士/山科大</w:t>
            </w:r>
          </w:p>
        </w:tc>
        <w:tc>
          <w:tcPr>
            <w:tcW w:w="1948" w:type="pct"/>
            <w:vAlign w:val="center"/>
          </w:tcPr>
          <w:p>
            <w:pPr>
              <w:jc w:val="center"/>
              <w:rPr>
                <w:sz w:val="21"/>
                <w:szCs w:val="21"/>
              </w:rPr>
            </w:pPr>
            <w:r>
              <w:rPr>
                <w:sz w:val="21"/>
                <w:szCs w:val="21"/>
              </w:rPr>
              <w:t>机械原理、机械设计，书法学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刘贤喜</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60</w:t>
            </w:r>
          </w:p>
        </w:tc>
        <w:tc>
          <w:tcPr>
            <w:tcW w:w="559" w:type="pct"/>
            <w:vAlign w:val="center"/>
          </w:tcPr>
          <w:p>
            <w:pPr>
              <w:jc w:val="center"/>
              <w:rPr>
                <w:sz w:val="21"/>
                <w:szCs w:val="21"/>
              </w:rPr>
            </w:pPr>
            <w:r>
              <w:rPr>
                <w:sz w:val="21"/>
                <w:szCs w:val="21"/>
              </w:rPr>
              <w:t>教授</w:t>
            </w:r>
          </w:p>
        </w:tc>
        <w:tc>
          <w:tcPr>
            <w:tcW w:w="1017" w:type="pct"/>
            <w:vAlign w:val="center"/>
          </w:tcPr>
          <w:p>
            <w:pPr>
              <w:jc w:val="center"/>
              <w:rPr>
                <w:sz w:val="21"/>
                <w:szCs w:val="21"/>
              </w:rPr>
            </w:pPr>
            <w:r>
              <w:rPr>
                <w:sz w:val="21"/>
                <w:szCs w:val="21"/>
              </w:rPr>
              <w:t>博士/中国农大</w:t>
            </w:r>
          </w:p>
        </w:tc>
        <w:tc>
          <w:tcPr>
            <w:tcW w:w="1948" w:type="pct"/>
            <w:vAlign w:val="center"/>
          </w:tcPr>
          <w:p>
            <w:pPr>
              <w:jc w:val="center"/>
              <w:rPr>
                <w:sz w:val="21"/>
                <w:szCs w:val="21"/>
              </w:rPr>
            </w:pPr>
            <w:r>
              <w:rPr>
                <w:sz w:val="21"/>
                <w:szCs w:val="21"/>
              </w:rPr>
              <w:t>创新学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王金星</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51</w:t>
            </w:r>
          </w:p>
        </w:tc>
        <w:tc>
          <w:tcPr>
            <w:tcW w:w="559" w:type="pct"/>
            <w:vAlign w:val="center"/>
          </w:tcPr>
          <w:p>
            <w:pPr>
              <w:jc w:val="center"/>
              <w:rPr>
                <w:sz w:val="21"/>
                <w:szCs w:val="21"/>
              </w:rPr>
            </w:pPr>
            <w:r>
              <w:rPr>
                <w:sz w:val="21"/>
                <w:szCs w:val="21"/>
              </w:rPr>
              <w:t>教授</w:t>
            </w:r>
          </w:p>
        </w:tc>
        <w:tc>
          <w:tcPr>
            <w:tcW w:w="1017" w:type="pct"/>
            <w:vAlign w:val="center"/>
          </w:tcPr>
          <w:p>
            <w:pPr>
              <w:jc w:val="center"/>
              <w:rPr>
                <w:sz w:val="21"/>
                <w:szCs w:val="21"/>
              </w:rPr>
            </w:pPr>
            <w:r>
              <w:rPr>
                <w:sz w:val="21"/>
                <w:szCs w:val="21"/>
              </w:rPr>
              <w:t>博士/华中科大</w:t>
            </w:r>
          </w:p>
        </w:tc>
        <w:tc>
          <w:tcPr>
            <w:tcW w:w="1948" w:type="pct"/>
            <w:vAlign w:val="center"/>
          </w:tcPr>
          <w:p>
            <w:pPr>
              <w:jc w:val="center"/>
              <w:rPr>
                <w:sz w:val="21"/>
                <w:szCs w:val="21"/>
              </w:rPr>
            </w:pPr>
            <w:r>
              <w:rPr>
                <w:sz w:val="21"/>
                <w:szCs w:val="21"/>
              </w:rPr>
              <w:t>公差与技术测量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郭</w:t>
            </w:r>
            <w:r>
              <w:rPr>
                <w:rFonts w:hint="eastAsia"/>
                <w:sz w:val="21"/>
                <w:szCs w:val="21"/>
              </w:rPr>
              <w:t xml:space="preserve">  </w:t>
            </w:r>
            <w:r>
              <w:rPr>
                <w:sz w:val="21"/>
                <w:szCs w:val="21"/>
              </w:rPr>
              <w:t>晶</w:t>
            </w:r>
          </w:p>
        </w:tc>
        <w:tc>
          <w:tcPr>
            <w:tcW w:w="463" w:type="pct"/>
            <w:vAlign w:val="center"/>
          </w:tcPr>
          <w:p>
            <w:pPr>
              <w:jc w:val="center"/>
              <w:rPr>
                <w:sz w:val="21"/>
                <w:szCs w:val="21"/>
              </w:rPr>
            </w:pPr>
            <w:r>
              <w:rPr>
                <w:sz w:val="21"/>
                <w:szCs w:val="21"/>
              </w:rPr>
              <w:t>女</w:t>
            </w:r>
          </w:p>
        </w:tc>
        <w:tc>
          <w:tcPr>
            <w:tcW w:w="398" w:type="pct"/>
            <w:vAlign w:val="center"/>
          </w:tcPr>
          <w:p>
            <w:pPr>
              <w:jc w:val="center"/>
              <w:rPr>
                <w:sz w:val="21"/>
                <w:szCs w:val="21"/>
              </w:rPr>
            </w:pPr>
            <w:r>
              <w:rPr>
                <w:sz w:val="21"/>
                <w:szCs w:val="21"/>
              </w:rPr>
              <w:t>43</w:t>
            </w:r>
          </w:p>
        </w:tc>
        <w:tc>
          <w:tcPr>
            <w:tcW w:w="559"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教授</w:t>
            </w:r>
          </w:p>
        </w:tc>
        <w:tc>
          <w:tcPr>
            <w:tcW w:w="1017" w:type="pct"/>
            <w:vAlign w:val="center"/>
          </w:tcPr>
          <w:p>
            <w:pPr>
              <w:jc w:val="center"/>
              <w:rPr>
                <w:sz w:val="21"/>
                <w:szCs w:val="21"/>
              </w:rPr>
            </w:pPr>
            <w:r>
              <w:rPr>
                <w:sz w:val="21"/>
                <w:szCs w:val="21"/>
              </w:rPr>
              <w:t>博士/山大</w:t>
            </w:r>
          </w:p>
        </w:tc>
        <w:tc>
          <w:tcPr>
            <w:tcW w:w="1948" w:type="pct"/>
            <w:vAlign w:val="center"/>
          </w:tcPr>
          <w:p>
            <w:pPr>
              <w:jc w:val="center"/>
              <w:rPr>
                <w:sz w:val="21"/>
                <w:szCs w:val="21"/>
              </w:rPr>
            </w:pPr>
            <w:r>
              <w:rPr>
                <w:sz w:val="21"/>
                <w:szCs w:val="21"/>
              </w:rPr>
              <w:t>理论力学，材料力学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玄冠涛</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43</w:t>
            </w:r>
          </w:p>
        </w:tc>
        <w:tc>
          <w:tcPr>
            <w:tcW w:w="559"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副教授</w:t>
            </w:r>
          </w:p>
        </w:tc>
        <w:tc>
          <w:tcPr>
            <w:tcW w:w="1017" w:type="pct"/>
            <w:vAlign w:val="center"/>
          </w:tcPr>
          <w:p>
            <w:pPr>
              <w:jc w:val="center"/>
              <w:rPr>
                <w:sz w:val="21"/>
                <w:szCs w:val="21"/>
              </w:rPr>
            </w:pPr>
            <w:r>
              <w:rPr>
                <w:sz w:val="21"/>
                <w:szCs w:val="21"/>
              </w:rPr>
              <w:t>博士/山农大</w:t>
            </w:r>
          </w:p>
        </w:tc>
        <w:tc>
          <w:tcPr>
            <w:tcW w:w="1948" w:type="pct"/>
            <w:vAlign w:val="center"/>
          </w:tcPr>
          <w:p>
            <w:pPr>
              <w:jc w:val="center"/>
              <w:rPr>
                <w:sz w:val="21"/>
                <w:szCs w:val="21"/>
              </w:rPr>
            </w:pPr>
            <w:r>
              <w:rPr>
                <w:sz w:val="21"/>
                <w:szCs w:val="21"/>
              </w:rPr>
              <w:t>机械制图与CAD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樊桂菊</w:t>
            </w:r>
          </w:p>
        </w:tc>
        <w:tc>
          <w:tcPr>
            <w:tcW w:w="463" w:type="pct"/>
            <w:vAlign w:val="center"/>
          </w:tcPr>
          <w:p>
            <w:pPr>
              <w:jc w:val="center"/>
              <w:rPr>
                <w:sz w:val="21"/>
                <w:szCs w:val="21"/>
              </w:rPr>
            </w:pPr>
            <w:r>
              <w:rPr>
                <w:sz w:val="21"/>
                <w:szCs w:val="21"/>
              </w:rPr>
              <w:t>女</w:t>
            </w:r>
          </w:p>
        </w:tc>
        <w:tc>
          <w:tcPr>
            <w:tcW w:w="398" w:type="pct"/>
            <w:vAlign w:val="center"/>
          </w:tcPr>
          <w:p>
            <w:pPr>
              <w:jc w:val="center"/>
              <w:rPr>
                <w:sz w:val="21"/>
                <w:szCs w:val="21"/>
              </w:rPr>
            </w:pPr>
            <w:r>
              <w:rPr>
                <w:sz w:val="21"/>
                <w:szCs w:val="21"/>
              </w:rPr>
              <w:t>43</w:t>
            </w:r>
          </w:p>
        </w:tc>
        <w:tc>
          <w:tcPr>
            <w:tcW w:w="559" w:type="pct"/>
            <w:vAlign w:val="center"/>
          </w:tcPr>
          <w:p>
            <w:pPr>
              <w:jc w:val="center"/>
              <w:rPr>
                <w:sz w:val="21"/>
                <w:szCs w:val="21"/>
              </w:rPr>
            </w:pPr>
            <w:r>
              <w:rPr>
                <w:sz w:val="21"/>
                <w:szCs w:val="21"/>
              </w:rPr>
              <w:t>副教授</w:t>
            </w:r>
          </w:p>
        </w:tc>
        <w:tc>
          <w:tcPr>
            <w:tcW w:w="1017" w:type="pct"/>
            <w:vAlign w:val="center"/>
          </w:tcPr>
          <w:p>
            <w:pPr>
              <w:jc w:val="center"/>
              <w:rPr>
                <w:sz w:val="21"/>
                <w:szCs w:val="21"/>
              </w:rPr>
            </w:pPr>
            <w:r>
              <w:rPr>
                <w:sz w:val="21"/>
                <w:szCs w:val="21"/>
              </w:rPr>
              <w:t>博士/山农大</w:t>
            </w:r>
          </w:p>
        </w:tc>
        <w:tc>
          <w:tcPr>
            <w:tcW w:w="1948" w:type="pct"/>
            <w:vAlign w:val="center"/>
          </w:tcPr>
          <w:p>
            <w:pPr>
              <w:jc w:val="center"/>
              <w:rPr>
                <w:sz w:val="21"/>
                <w:szCs w:val="21"/>
              </w:rPr>
            </w:pPr>
            <w:r>
              <w:rPr>
                <w:sz w:val="21"/>
                <w:szCs w:val="21"/>
              </w:rPr>
              <w:t>材料力学，理论力学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苑</w:t>
            </w:r>
            <w:r>
              <w:rPr>
                <w:rFonts w:hint="eastAsia"/>
                <w:sz w:val="21"/>
                <w:szCs w:val="21"/>
              </w:rPr>
              <w:t xml:space="preserve">  </w:t>
            </w:r>
            <w:r>
              <w:rPr>
                <w:sz w:val="21"/>
                <w:szCs w:val="21"/>
              </w:rPr>
              <w:t>进</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50</w:t>
            </w:r>
          </w:p>
        </w:tc>
        <w:tc>
          <w:tcPr>
            <w:tcW w:w="559" w:type="pct"/>
            <w:vAlign w:val="center"/>
          </w:tcPr>
          <w:p>
            <w:pPr>
              <w:jc w:val="center"/>
              <w:rPr>
                <w:sz w:val="21"/>
                <w:szCs w:val="21"/>
              </w:rPr>
            </w:pPr>
            <w:r>
              <w:rPr>
                <w:sz w:val="21"/>
                <w:szCs w:val="21"/>
              </w:rPr>
              <w:t>教授</w:t>
            </w:r>
          </w:p>
        </w:tc>
        <w:tc>
          <w:tcPr>
            <w:tcW w:w="1017" w:type="pct"/>
            <w:vAlign w:val="center"/>
          </w:tcPr>
          <w:p>
            <w:pPr>
              <w:jc w:val="center"/>
              <w:rPr>
                <w:sz w:val="21"/>
                <w:szCs w:val="21"/>
              </w:rPr>
            </w:pPr>
            <w:r>
              <w:rPr>
                <w:sz w:val="21"/>
                <w:szCs w:val="21"/>
              </w:rPr>
              <w:t>博士后/上海交大</w:t>
            </w:r>
          </w:p>
        </w:tc>
        <w:tc>
          <w:tcPr>
            <w:tcW w:w="1948" w:type="pct"/>
            <w:vAlign w:val="center"/>
          </w:tcPr>
          <w:p>
            <w:pPr>
              <w:jc w:val="center"/>
              <w:rPr>
                <w:sz w:val="21"/>
                <w:szCs w:val="21"/>
              </w:rPr>
            </w:pPr>
            <w:r>
              <w:rPr>
                <w:sz w:val="21"/>
                <w:szCs w:val="21"/>
              </w:rPr>
              <w:t>机电一体化，精细农业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刘雪美</w:t>
            </w:r>
          </w:p>
        </w:tc>
        <w:tc>
          <w:tcPr>
            <w:tcW w:w="463" w:type="pct"/>
            <w:vAlign w:val="center"/>
          </w:tcPr>
          <w:p>
            <w:pPr>
              <w:jc w:val="center"/>
              <w:rPr>
                <w:sz w:val="21"/>
                <w:szCs w:val="21"/>
              </w:rPr>
            </w:pPr>
            <w:r>
              <w:rPr>
                <w:sz w:val="21"/>
                <w:szCs w:val="21"/>
              </w:rPr>
              <w:t>女</w:t>
            </w:r>
          </w:p>
        </w:tc>
        <w:tc>
          <w:tcPr>
            <w:tcW w:w="398" w:type="pct"/>
            <w:vAlign w:val="center"/>
          </w:tcPr>
          <w:p>
            <w:pPr>
              <w:jc w:val="center"/>
              <w:rPr>
                <w:sz w:val="21"/>
                <w:szCs w:val="21"/>
              </w:rPr>
            </w:pPr>
            <w:r>
              <w:rPr>
                <w:sz w:val="21"/>
                <w:szCs w:val="21"/>
              </w:rPr>
              <w:t>49</w:t>
            </w:r>
          </w:p>
        </w:tc>
        <w:tc>
          <w:tcPr>
            <w:tcW w:w="559" w:type="pct"/>
            <w:vAlign w:val="center"/>
          </w:tcPr>
          <w:p>
            <w:pPr>
              <w:jc w:val="center"/>
              <w:rPr>
                <w:sz w:val="21"/>
                <w:szCs w:val="21"/>
              </w:rPr>
            </w:pPr>
            <w:r>
              <w:rPr>
                <w:sz w:val="21"/>
                <w:szCs w:val="21"/>
              </w:rPr>
              <w:t>教授</w:t>
            </w:r>
          </w:p>
        </w:tc>
        <w:tc>
          <w:tcPr>
            <w:tcW w:w="1017" w:type="pct"/>
            <w:vAlign w:val="center"/>
          </w:tcPr>
          <w:p>
            <w:pPr>
              <w:jc w:val="center"/>
              <w:rPr>
                <w:sz w:val="21"/>
                <w:szCs w:val="21"/>
              </w:rPr>
            </w:pPr>
            <w:r>
              <w:rPr>
                <w:sz w:val="21"/>
                <w:szCs w:val="21"/>
              </w:rPr>
              <w:t>博士/山农大</w:t>
            </w:r>
          </w:p>
        </w:tc>
        <w:tc>
          <w:tcPr>
            <w:tcW w:w="1948" w:type="pct"/>
            <w:vAlign w:val="center"/>
          </w:tcPr>
          <w:p>
            <w:pPr>
              <w:jc w:val="center"/>
              <w:rPr>
                <w:sz w:val="21"/>
                <w:szCs w:val="21"/>
              </w:rPr>
            </w:pPr>
            <w:r>
              <w:rPr>
                <w:sz w:val="21"/>
                <w:szCs w:val="21"/>
              </w:rPr>
              <w:t>机械制图与CAD，Solidworks建模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邵园园</w:t>
            </w:r>
          </w:p>
        </w:tc>
        <w:tc>
          <w:tcPr>
            <w:tcW w:w="463" w:type="pct"/>
            <w:vAlign w:val="center"/>
          </w:tcPr>
          <w:p>
            <w:pPr>
              <w:jc w:val="center"/>
              <w:rPr>
                <w:sz w:val="21"/>
                <w:szCs w:val="21"/>
              </w:rPr>
            </w:pPr>
            <w:r>
              <w:rPr>
                <w:sz w:val="21"/>
                <w:szCs w:val="21"/>
              </w:rPr>
              <w:t>女</w:t>
            </w:r>
          </w:p>
        </w:tc>
        <w:tc>
          <w:tcPr>
            <w:tcW w:w="398" w:type="pct"/>
            <w:vAlign w:val="center"/>
          </w:tcPr>
          <w:p>
            <w:pPr>
              <w:jc w:val="center"/>
              <w:rPr>
                <w:sz w:val="21"/>
                <w:szCs w:val="21"/>
              </w:rPr>
            </w:pPr>
            <w:r>
              <w:rPr>
                <w:sz w:val="21"/>
                <w:szCs w:val="21"/>
              </w:rPr>
              <w:t>42</w:t>
            </w:r>
          </w:p>
        </w:tc>
        <w:tc>
          <w:tcPr>
            <w:tcW w:w="559" w:type="pct"/>
            <w:vAlign w:val="center"/>
          </w:tcPr>
          <w:p>
            <w:pPr>
              <w:jc w:val="center"/>
              <w:rPr>
                <w:color w:val="0070C0"/>
                <w:sz w:val="21"/>
                <w:szCs w:val="21"/>
              </w:rPr>
            </w:pPr>
            <w:r>
              <w:rPr>
                <w:color w:val="000000" w:themeColor="text1"/>
                <w:sz w:val="21"/>
                <w:szCs w:val="21"/>
                <w14:textFill>
                  <w14:solidFill>
                    <w14:schemeClr w14:val="tx1"/>
                  </w14:solidFill>
                </w14:textFill>
              </w:rPr>
              <w:t>副教授</w:t>
            </w:r>
          </w:p>
        </w:tc>
        <w:tc>
          <w:tcPr>
            <w:tcW w:w="1017" w:type="pct"/>
            <w:vAlign w:val="center"/>
          </w:tcPr>
          <w:p>
            <w:pPr>
              <w:jc w:val="center"/>
              <w:rPr>
                <w:sz w:val="21"/>
                <w:szCs w:val="21"/>
              </w:rPr>
            </w:pPr>
            <w:r>
              <w:rPr>
                <w:sz w:val="21"/>
                <w:szCs w:val="21"/>
              </w:rPr>
              <w:t>硕士/山大</w:t>
            </w:r>
          </w:p>
        </w:tc>
        <w:tc>
          <w:tcPr>
            <w:tcW w:w="1948" w:type="pct"/>
            <w:vAlign w:val="center"/>
          </w:tcPr>
          <w:p>
            <w:pPr>
              <w:jc w:val="center"/>
              <w:rPr>
                <w:sz w:val="21"/>
                <w:szCs w:val="21"/>
              </w:rPr>
            </w:pPr>
            <w:r>
              <w:rPr>
                <w:sz w:val="21"/>
                <w:szCs w:val="21"/>
              </w:rPr>
              <w:t>机械设计，机械原理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郑继周</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45</w:t>
            </w:r>
          </w:p>
        </w:tc>
        <w:tc>
          <w:tcPr>
            <w:tcW w:w="559" w:type="pct"/>
            <w:vAlign w:val="center"/>
          </w:tcPr>
          <w:p>
            <w:pPr>
              <w:jc w:val="center"/>
              <w:rPr>
                <w:sz w:val="21"/>
                <w:szCs w:val="21"/>
              </w:rPr>
            </w:pPr>
            <w:r>
              <w:rPr>
                <w:sz w:val="21"/>
                <w:szCs w:val="21"/>
              </w:rPr>
              <w:t>副教授</w:t>
            </w:r>
          </w:p>
        </w:tc>
        <w:tc>
          <w:tcPr>
            <w:tcW w:w="1017" w:type="pct"/>
            <w:vAlign w:val="center"/>
          </w:tcPr>
          <w:p>
            <w:pPr>
              <w:jc w:val="center"/>
              <w:rPr>
                <w:sz w:val="21"/>
                <w:szCs w:val="21"/>
              </w:rPr>
            </w:pPr>
            <w:r>
              <w:rPr>
                <w:sz w:val="21"/>
                <w:szCs w:val="21"/>
              </w:rPr>
              <w:t>博士/山大</w:t>
            </w:r>
          </w:p>
        </w:tc>
        <w:tc>
          <w:tcPr>
            <w:tcW w:w="1948" w:type="pct"/>
            <w:vAlign w:val="center"/>
          </w:tcPr>
          <w:p>
            <w:pPr>
              <w:jc w:val="center"/>
              <w:rPr>
                <w:sz w:val="21"/>
                <w:szCs w:val="21"/>
              </w:rPr>
            </w:pPr>
            <w:r>
              <w:rPr>
                <w:sz w:val="21"/>
                <w:szCs w:val="21"/>
              </w:rPr>
              <w:t>机械工程控制，材料力学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田富洋</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43</w:t>
            </w:r>
          </w:p>
        </w:tc>
        <w:tc>
          <w:tcPr>
            <w:tcW w:w="559" w:type="pct"/>
            <w:vAlign w:val="center"/>
          </w:tcPr>
          <w:p>
            <w:pPr>
              <w:jc w:val="center"/>
              <w:rPr>
                <w:sz w:val="21"/>
                <w:szCs w:val="21"/>
              </w:rPr>
            </w:pPr>
            <w:r>
              <w:rPr>
                <w:sz w:val="21"/>
                <w:szCs w:val="21"/>
              </w:rPr>
              <w:t>副教授</w:t>
            </w:r>
          </w:p>
        </w:tc>
        <w:tc>
          <w:tcPr>
            <w:tcW w:w="1017" w:type="pct"/>
            <w:vAlign w:val="center"/>
          </w:tcPr>
          <w:p>
            <w:pPr>
              <w:jc w:val="center"/>
              <w:rPr>
                <w:sz w:val="21"/>
                <w:szCs w:val="21"/>
              </w:rPr>
            </w:pPr>
            <w:r>
              <w:rPr>
                <w:sz w:val="21"/>
                <w:szCs w:val="21"/>
              </w:rPr>
              <w:t>博士/南航</w:t>
            </w:r>
          </w:p>
        </w:tc>
        <w:tc>
          <w:tcPr>
            <w:tcW w:w="1948" w:type="pct"/>
            <w:vAlign w:val="center"/>
          </w:tcPr>
          <w:p>
            <w:pPr>
              <w:jc w:val="center"/>
              <w:rPr>
                <w:sz w:val="21"/>
                <w:szCs w:val="21"/>
              </w:rPr>
            </w:pPr>
            <w:r>
              <w:rPr>
                <w:sz w:val="21"/>
                <w:szCs w:val="21"/>
              </w:rPr>
              <w:t>机械制图，机械原理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范国强</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46</w:t>
            </w:r>
          </w:p>
        </w:tc>
        <w:tc>
          <w:tcPr>
            <w:tcW w:w="559" w:type="pct"/>
            <w:vAlign w:val="center"/>
          </w:tcPr>
          <w:p>
            <w:pPr>
              <w:jc w:val="center"/>
              <w:rPr>
                <w:sz w:val="21"/>
                <w:szCs w:val="21"/>
              </w:rPr>
            </w:pPr>
            <w:r>
              <w:rPr>
                <w:sz w:val="21"/>
                <w:szCs w:val="21"/>
              </w:rPr>
              <w:t>副教授</w:t>
            </w:r>
          </w:p>
        </w:tc>
        <w:tc>
          <w:tcPr>
            <w:tcW w:w="1017" w:type="pct"/>
            <w:vAlign w:val="center"/>
          </w:tcPr>
          <w:p>
            <w:pPr>
              <w:jc w:val="center"/>
              <w:rPr>
                <w:sz w:val="21"/>
                <w:szCs w:val="21"/>
              </w:rPr>
            </w:pPr>
            <w:r>
              <w:rPr>
                <w:sz w:val="21"/>
                <w:szCs w:val="21"/>
              </w:rPr>
              <w:t>博士/山大</w:t>
            </w:r>
          </w:p>
        </w:tc>
        <w:tc>
          <w:tcPr>
            <w:tcW w:w="1948" w:type="pct"/>
            <w:vAlign w:val="center"/>
          </w:tcPr>
          <w:p>
            <w:pPr>
              <w:jc w:val="center"/>
              <w:rPr>
                <w:sz w:val="21"/>
                <w:szCs w:val="21"/>
              </w:rPr>
            </w:pPr>
            <w:r>
              <w:rPr>
                <w:sz w:val="21"/>
                <w:szCs w:val="21"/>
              </w:rPr>
              <w:t>机械设计，人机工程学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张开兴</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38</w:t>
            </w:r>
          </w:p>
        </w:tc>
        <w:tc>
          <w:tcPr>
            <w:tcW w:w="559" w:type="pct"/>
            <w:vAlign w:val="center"/>
          </w:tcPr>
          <w:p>
            <w:pPr>
              <w:jc w:val="center"/>
              <w:rPr>
                <w:sz w:val="21"/>
                <w:szCs w:val="21"/>
              </w:rPr>
            </w:pPr>
            <w:r>
              <w:rPr>
                <w:sz w:val="21"/>
                <w:szCs w:val="21"/>
              </w:rPr>
              <w:t>副教授</w:t>
            </w:r>
          </w:p>
        </w:tc>
        <w:tc>
          <w:tcPr>
            <w:tcW w:w="1017" w:type="pct"/>
            <w:vAlign w:val="center"/>
          </w:tcPr>
          <w:p>
            <w:pPr>
              <w:jc w:val="center"/>
              <w:rPr>
                <w:sz w:val="21"/>
                <w:szCs w:val="21"/>
              </w:rPr>
            </w:pPr>
            <w:r>
              <w:rPr>
                <w:sz w:val="21"/>
                <w:szCs w:val="21"/>
              </w:rPr>
              <w:t>博士/西北工大</w:t>
            </w:r>
          </w:p>
        </w:tc>
        <w:tc>
          <w:tcPr>
            <w:tcW w:w="1948" w:type="pct"/>
            <w:vAlign w:val="center"/>
          </w:tcPr>
          <w:p>
            <w:pPr>
              <w:jc w:val="center"/>
              <w:rPr>
                <w:sz w:val="21"/>
                <w:szCs w:val="21"/>
              </w:rPr>
            </w:pPr>
            <w:r>
              <w:rPr>
                <w:sz w:val="21"/>
                <w:szCs w:val="21"/>
              </w:rPr>
              <w:t>金属切削原理与刀具，虚拟仪器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王玉亮</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43</w:t>
            </w:r>
          </w:p>
        </w:tc>
        <w:tc>
          <w:tcPr>
            <w:tcW w:w="559" w:type="pct"/>
            <w:vAlign w:val="center"/>
          </w:tcPr>
          <w:p>
            <w:pPr>
              <w:jc w:val="center"/>
              <w:rPr>
                <w:color w:val="0070C0"/>
                <w:sz w:val="21"/>
                <w:szCs w:val="21"/>
              </w:rPr>
            </w:pPr>
            <w:r>
              <w:rPr>
                <w:color w:val="000000" w:themeColor="text1"/>
                <w:sz w:val="21"/>
                <w:szCs w:val="21"/>
                <w14:textFill>
                  <w14:solidFill>
                    <w14:schemeClr w14:val="tx1"/>
                  </w14:solidFill>
                </w14:textFill>
              </w:rPr>
              <w:t>副教授</w:t>
            </w:r>
          </w:p>
        </w:tc>
        <w:tc>
          <w:tcPr>
            <w:tcW w:w="1017" w:type="pct"/>
            <w:vAlign w:val="center"/>
          </w:tcPr>
          <w:p>
            <w:pPr>
              <w:jc w:val="center"/>
              <w:rPr>
                <w:sz w:val="21"/>
                <w:szCs w:val="21"/>
              </w:rPr>
            </w:pPr>
            <w:r>
              <w:rPr>
                <w:sz w:val="21"/>
                <w:szCs w:val="21"/>
              </w:rPr>
              <w:t>博士/南航</w:t>
            </w:r>
          </w:p>
        </w:tc>
        <w:tc>
          <w:tcPr>
            <w:tcW w:w="1948" w:type="pct"/>
            <w:vAlign w:val="center"/>
          </w:tcPr>
          <w:p>
            <w:pPr>
              <w:jc w:val="center"/>
              <w:rPr>
                <w:sz w:val="21"/>
                <w:szCs w:val="21"/>
              </w:rPr>
            </w:pPr>
            <w:r>
              <w:rPr>
                <w:sz w:val="21"/>
                <w:szCs w:val="21"/>
              </w:rPr>
              <w:t>机电一体化，现代设计及制造技术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陈兆英</w:t>
            </w:r>
          </w:p>
        </w:tc>
        <w:tc>
          <w:tcPr>
            <w:tcW w:w="463" w:type="pct"/>
            <w:vAlign w:val="center"/>
          </w:tcPr>
          <w:p>
            <w:pPr>
              <w:jc w:val="center"/>
              <w:rPr>
                <w:sz w:val="21"/>
                <w:szCs w:val="21"/>
              </w:rPr>
            </w:pPr>
            <w:r>
              <w:rPr>
                <w:sz w:val="21"/>
                <w:szCs w:val="21"/>
              </w:rPr>
              <w:t>女</w:t>
            </w:r>
          </w:p>
        </w:tc>
        <w:tc>
          <w:tcPr>
            <w:tcW w:w="398" w:type="pct"/>
            <w:vAlign w:val="center"/>
          </w:tcPr>
          <w:p>
            <w:pPr>
              <w:jc w:val="center"/>
              <w:rPr>
                <w:sz w:val="21"/>
                <w:szCs w:val="21"/>
              </w:rPr>
            </w:pPr>
            <w:r>
              <w:rPr>
                <w:sz w:val="21"/>
                <w:szCs w:val="21"/>
              </w:rPr>
              <w:t>44</w:t>
            </w:r>
          </w:p>
        </w:tc>
        <w:tc>
          <w:tcPr>
            <w:tcW w:w="559" w:type="pct"/>
            <w:vAlign w:val="center"/>
          </w:tcPr>
          <w:p>
            <w:pPr>
              <w:jc w:val="center"/>
              <w:rPr>
                <w:sz w:val="21"/>
                <w:szCs w:val="21"/>
              </w:rPr>
            </w:pPr>
            <w:r>
              <w:rPr>
                <w:sz w:val="21"/>
                <w:szCs w:val="21"/>
              </w:rPr>
              <w:t>讲师</w:t>
            </w:r>
          </w:p>
        </w:tc>
        <w:tc>
          <w:tcPr>
            <w:tcW w:w="1017" w:type="pct"/>
            <w:vAlign w:val="center"/>
          </w:tcPr>
          <w:p>
            <w:pPr>
              <w:jc w:val="center"/>
              <w:rPr>
                <w:sz w:val="21"/>
                <w:szCs w:val="21"/>
              </w:rPr>
            </w:pPr>
            <w:r>
              <w:rPr>
                <w:sz w:val="21"/>
                <w:szCs w:val="21"/>
              </w:rPr>
              <w:t>硕士/南航</w:t>
            </w:r>
          </w:p>
        </w:tc>
        <w:tc>
          <w:tcPr>
            <w:tcW w:w="1948" w:type="pct"/>
            <w:vAlign w:val="center"/>
          </w:tcPr>
          <w:p>
            <w:pPr>
              <w:jc w:val="center"/>
              <w:rPr>
                <w:sz w:val="21"/>
                <w:szCs w:val="21"/>
              </w:rPr>
            </w:pPr>
            <w:r>
              <w:rPr>
                <w:sz w:val="21"/>
                <w:szCs w:val="21"/>
              </w:rPr>
              <w:t>数控技术，机电一体化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牛子孺</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43</w:t>
            </w:r>
          </w:p>
        </w:tc>
        <w:tc>
          <w:tcPr>
            <w:tcW w:w="559" w:type="pct"/>
            <w:vAlign w:val="center"/>
          </w:tcPr>
          <w:p>
            <w:pPr>
              <w:jc w:val="center"/>
              <w:rPr>
                <w:color w:val="0070C0"/>
                <w:sz w:val="21"/>
                <w:szCs w:val="21"/>
              </w:rPr>
            </w:pPr>
            <w:r>
              <w:rPr>
                <w:color w:val="000000" w:themeColor="text1"/>
                <w:sz w:val="21"/>
                <w:szCs w:val="21"/>
                <w14:textFill>
                  <w14:solidFill>
                    <w14:schemeClr w14:val="tx1"/>
                  </w14:solidFill>
                </w14:textFill>
              </w:rPr>
              <w:t>副教授</w:t>
            </w:r>
          </w:p>
        </w:tc>
        <w:tc>
          <w:tcPr>
            <w:tcW w:w="1017" w:type="pct"/>
            <w:vAlign w:val="center"/>
          </w:tcPr>
          <w:p>
            <w:pPr>
              <w:jc w:val="center"/>
              <w:rPr>
                <w:sz w:val="21"/>
                <w:szCs w:val="21"/>
              </w:rPr>
            </w:pPr>
            <w:r>
              <w:rPr>
                <w:sz w:val="21"/>
                <w:szCs w:val="21"/>
              </w:rPr>
              <w:t>博士/武汉理工</w:t>
            </w:r>
          </w:p>
        </w:tc>
        <w:tc>
          <w:tcPr>
            <w:tcW w:w="1948" w:type="pct"/>
            <w:vAlign w:val="center"/>
          </w:tcPr>
          <w:p>
            <w:pPr>
              <w:jc w:val="center"/>
              <w:rPr>
                <w:sz w:val="21"/>
                <w:szCs w:val="21"/>
              </w:rPr>
            </w:pPr>
            <w:r>
              <w:rPr>
                <w:sz w:val="21"/>
                <w:szCs w:val="21"/>
              </w:rPr>
              <w:t>机械原理，机械设计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周长安</w:t>
            </w:r>
          </w:p>
        </w:tc>
        <w:tc>
          <w:tcPr>
            <w:tcW w:w="463"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男</w:t>
            </w:r>
          </w:p>
        </w:tc>
        <w:tc>
          <w:tcPr>
            <w:tcW w:w="398" w:type="pct"/>
            <w:vAlign w:val="center"/>
          </w:tcPr>
          <w:p>
            <w:pPr>
              <w:jc w:val="center"/>
              <w:rPr>
                <w:sz w:val="21"/>
                <w:szCs w:val="21"/>
              </w:rPr>
            </w:pPr>
            <w:r>
              <w:rPr>
                <w:sz w:val="21"/>
                <w:szCs w:val="21"/>
              </w:rPr>
              <w:t>33</w:t>
            </w:r>
          </w:p>
        </w:tc>
        <w:tc>
          <w:tcPr>
            <w:tcW w:w="559"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副教授</w:t>
            </w:r>
          </w:p>
        </w:tc>
        <w:tc>
          <w:tcPr>
            <w:tcW w:w="1017" w:type="pct"/>
            <w:vAlign w:val="center"/>
          </w:tcPr>
          <w:p>
            <w:pPr>
              <w:jc w:val="center"/>
              <w:rPr>
                <w:sz w:val="21"/>
                <w:szCs w:val="21"/>
              </w:rPr>
            </w:pPr>
            <w:r>
              <w:rPr>
                <w:sz w:val="21"/>
                <w:szCs w:val="21"/>
              </w:rPr>
              <w:t>博士/山东大学</w:t>
            </w:r>
          </w:p>
        </w:tc>
        <w:tc>
          <w:tcPr>
            <w:tcW w:w="1948" w:type="pct"/>
            <w:vAlign w:val="center"/>
          </w:tcPr>
          <w:p>
            <w:pPr>
              <w:jc w:val="center"/>
              <w:rPr>
                <w:sz w:val="21"/>
                <w:szCs w:val="21"/>
              </w:rPr>
            </w:pPr>
            <w:r>
              <w:rPr>
                <w:sz w:val="21"/>
                <w:szCs w:val="21"/>
              </w:rPr>
              <w:t>先进制造技术，特种加工工艺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周</w:t>
            </w:r>
            <w:r>
              <w:rPr>
                <w:rFonts w:hint="eastAsia"/>
                <w:sz w:val="21"/>
                <w:szCs w:val="21"/>
              </w:rPr>
              <w:t xml:space="preserve">  </w:t>
            </w:r>
            <w:r>
              <w:rPr>
                <w:sz w:val="21"/>
                <w:szCs w:val="21"/>
              </w:rPr>
              <w:t>凯</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35</w:t>
            </w:r>
          </w:p>
        </w:tc>
        <w:tc>
          <w:tcPr>
            <w:tcW w:w="559" w:type="pct"/>
            <w:vAlign w:val="center"/>
          </w:tcPr>
          <w:p>
            <w:pPr>
              <w:jc w:val="center"/>
              <w:rPr>
                <w:sz w:val="21"/>
                <w:szCs w:val="21"/>
              </w:rPr>
            </w:pPr>
            <w:r>
              <w:rPr>
                <w:sz w:val="21"/>
                <w:szCs w:val="21"/>
              </w:rPr>
              <w:t>讲师</w:t>
            </w:r>
          </w:p>
        </w:tc>
        <w:tc>
          <w:tcPr>
            <w:tcW w:w="1017" w:type="pct"/>
            <w:vAlign w:val="center"/>
          </w:tcPr>
          <w:p>
            <w:pPr>
              <w:jc w:val="center"/>
              <w:rPr>
                <w:sz w:val="21"/>
                <w:szCs w:val="21"/>
              </w:rPr>
            </w:pPr>
            <w:r>
              <w:rPr>
                <w:sz w:val="21"/>
                <w:szCs w:val="21"/>
              </w:rPr>
              <w:t>博士/哈工大</w:t>
            </w:r>
          </w:p>
        </w:tc>
        <w:tc>
          <w:tcPr>
            <w:tcW w:w="1948" w:type="pct"/>
            <w:vAlign w:val="center"/>
          </w:tcPr>
          <w:p>
            <w:pPr>
              <w:jc w:val="center"/>
              <w:rPr>
                <w:sz w:val="21"/>
                <w:szCs w:val="21"/>
              </w:rPr>
            </w:pPr>
            <w:r>
              <w:rPr>
                <w:sz w:val="21"/>
                <w:szCs w:val="21"/>
              </w:rPr>
              <w:t>机械原理、机械设计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高</w:t>
            </w:r>
            <w:r>
              <w:rPr>
                <w:rFonts w:hint="eastAsia"/>
                <w:sz w:val="21"/>
                <w:szCs w:val="21"/>
              </w:rPr>
              <w:t xml:space="preserve">  </w:t>
            </w:r>
            <w:r>
              <w:rPr>
                <w:sz w:val="21"/>
                <w:szCs w:val="21"/>
              </w:rPr>
              <w:t>明</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43</w:t>
            </w:r>
          </w:p>
        </w:tc>
        <w:tc>
          <w:tcPr>
            <w:tcW w:w="559" w:type="pct"/>
            <w:vAlign w:val="center"/>
          </w:tcPr>
          <w:p>
            <w:pPr>
              <w:jc w:val="center"/>
              <w:rPr>
                <w:sz w:val="21"/>
                <w:szCs w:val="21"/>
              </w:rPr>
            </w:pPr>
            <w:r>
              <w:rPr>
                <w:sz w:val="21"/>
                <w:szCs w:val="21"/>
              </w:rPr>
              <w:t>讲师</w:t>
            </w:r>
          </w:p>
        </w:tc>
        <w:tc>
          <w:tcPr>
            <w:tcW w:w="1017" w:type="pct"/>
            <w:vAlign w:val="center"/>
          </w:tcPr>
          <w:p>
            <w:pPr>
              <w:jc w:val="center"/>
              <w:rPr>
                <w:sz w:val="21"/>
                <w:szCs w:val="21"/>
              </w:rPr>
            </w:pPr>
            <w:r>
              <w:rPr>
                <w:sz w:val="21"/>
                <w:szCs w:val="21"/>
              </w:rPr>
              <w:t>博士/天津大学</w:t>
            </w:r>
          </w:p>
        </w:tc>
        <w:tc>
          <w:tcPr>
            <w:tcW w:w="1948" w:type="pct"/>
            <w:vAlign w:val="center"/>
          </w:tcPr>
          <w:p>
            <w:pPr>
              <w:jc w:val="center"/>
              <w:rPr>
                <w:sz w:val="21"/>
                <w:szCs w:val="21"/>
              </w:rPr>
            </w:pPr>
            <w:r>
              <w:rPr>
                <w:sz w:val="21"/>
                <w:szCs w:val="21"/>
              </w:rPr>
              <w:t>理论力学，材料力学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李天华</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46</w:t>
            </w:r>
          </w:p>
        </w:tc>
        <w:tc>
          <w:tcPr>
            <w:tcW w:w="559" w:type="pct"/>
            <w:vAlign w:val="center"/>
          </w:tcPr>
          <w:p>
            <w:pPr>
              <w:jc w:val="center"/>
              <w:rPr>
                <w:sz w:val="21"/>
                <w:szCs w:val="21"/>
              </w:rPr>
            </w:pPr>
            <w:r>
              <w:rPr>
                <w:sz w:val="21"/>
                <w:szCs w:val="21"/>
              </w:rPr>
              <w:t>教授</w:t>
            </w:r>
          </w:p>
        </w:tc>
        <w:tc>
          <w:tcPr>
            <w:tcW w:w="1017" w:type="pct"/>
            <w:vAlign w:val="center"/>
          </w:tcPr>
          <w:p>
            <w:pPr>
              <w:jc w:val="center"/>
              <w:rPr>
                <w:sz w:val="21"/>
                <w:szCs w:val="21"/>
              </w:rPr>
            </w:pPr>
            <w:r>
              <w:rPr>
                <w:sz w:val="21"/>
                <w:szCs w:val="21"/>
              </w:rPr>
              <w:t>硕士/山大</w:t>
            </w:r>
          </w:p>
        </w:tc>
        <w:tc>
          <w:tcPr>
            <w:tcW w:w="1948" w:type="pct"/>
            <w:vAlign w:val="center"/>
          </w:tcPr>
          <w:p>
            <w:pPr>
              <w:jc w:val="center"/>
              <w:rPr>
                <w:sz w:val="21"/>
                <w:szCs w:val="21"/>
              </w:rPr>
            </w:pPr>
            <w:r>
              <w:rPr>
                <w:sz w:val="21"/>
                <w:szCs w:val="21"/>
              </w:rPr>
              <w:t>可编程控制器及应用，单片机原理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张传洋</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55</w:t>
            </w:r>
          </w:p>
        </w:tc>
        <w:tc>
          <w:tcPr>
            <w:tcW w:w="559" w:type="pct"/>
            <w:vAlign w:val="center"/>
          </w:tcPr>
          <w:p>
            <w:pPr>
              <w:jc w:val="center"/>
              <w:rPr>
                <w:sz w:val="21"/>
                <w:szCs w:val="21"/>
              </w:rPr>
            </w:pPr>
            <w:r>
              <w:rPr>
                <w:sz w:val="21"/>
                <w:szCs w:val="21"/>
              </w:rPr>
              <w:t>副教授</w:t>
            </w:r>
          </w:p>
        </w:tc>
        <w:tc>
          <w:tcPr>
            <w:tcW w:w="1017" w:type="pct"/>
            <w:vAlign w:val="center"/>
          </w:tcPr>
          <w:p>
            <w:pPr>
              <w:jc w:val="center"/>
              <w:rPr>
                <w:sz w:val="21"/>
                <w:szCs w:val="21"/>
              </w:rPr>
            </w:pPr>
            <w:r>
              <w:rPr>
                <w:sz w:val="21"/>
                <w:szCs w:val="21"/>
              </w:rPr>
              <w:t>硕士/山科大</w:t>
            </w:r>
          </w:p>
        </w:tc>
        <w:tc>
          <w:tcPr>
            <w:tcW w:w="1948" w:type="pct"/>
            <w:vAlign w:val="center"/>
          </w:tcPr>
          <w:p>
            <w:pPr>
              <w:jc w:val="center"/>
              <w:rPr>
                <w:sz w:val="21"/>
                <w:szCs w:val="21"/>
              </w:rPr>
            </w:pPr>
            <w:r>
              <w:rPr>
                <w:sz w:val="21"/>
                <w:szCs w:val="21"/>
              </w:rPr>
              <w:t>电工学，模拟电子技术基础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李</w:t>
            </w:r>
            <w:r>
              <w:rPr>
                <w:rFonts w:hint="eastAsia"/>
                <w:sz w:val="21"/>
                <w:szCs w:val="21"/>
              </w:rPr>
              <w:t xml:space="preserve">  </w:t>
            </w:r>
            <w:r>
              <w:rPr>
                <w:sz w:val="21"/>
                <w:szCs w:val="21"/>
              </w:rPr>
              <w:t>扬</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40</w:t>
            </w:r>
          </w:p>
        </w:tc>
        <w:tc>
          <w:tcPr>
            <w:tcW w:w="559" w:type="pct"/>
            <w:vAlign w:val="center"/>
          </w:tcPr>
          <w:p>
            <w:pPr>
              <w:jc w:val="center"/>
              <w:rPr>
                <w:color w:val="FF0000"/>
                <w:sz w:val="21"/>
                <w:szCs w:val="21"/>
              </w:rPr>
            </w:pPr>
            <w:r>
              <w:rPr>
                <w:color w:val="000000" w:themeColor="text1"/>
                <w:sz w:val="21"/>
                <w:szCs w:val="21"/>
                <w14:textFill>
                  <w14:solidFill>
                    <w14:schemeClr w14:val="tx1"/>
                  </w14:solidFill>
                </w14:textFill>
              </w:rPr>
              <w:t>副教授</w:t>
            </w:r>
          </w:p>
        </w:tc>
        <w:tc>
          <w:tcPr>
            <w:tcW w:w="1017" w:type="pct"/>
            <w:vAlign w:val="center"/>
          </w:tcPr>
          <w:p>
            <w:pPr>
              <w:jc w:val="center"/>
              <w:rPr>
                <w:sz w:val="21"/>
                <w:szCs w:val="21"/>
              </w:rPr>
            </w:pPr>
            <w:r>
              <w:rPr>
                <w:sz w:val="21"/>
                <w:szCs w:val="21"/>
              </w:rPr>
              <w:t>博士/中国海大</w:t>
            </w:r>
          </w:p>
        </w:tc>
        <w:tc>
          <w:tcPr>
            <w:tcW w:w="1948" w:type="pct"/>
            <w:vAlign w:val="center"/>
          </w:tcPr>
          <w:p>
            <w:pPr>
              <w:jc w:val="center"/>
              <w:rPr>
                <w:sz w:val="21"/>
                <w:szCs w:val="21"/>
              </w:rPr>
            </w:pPr>
            <w:r>
              <w:rPr>
                <w:sz w:val="21"/>
                <w:szCs w:val="21"/>
              </w:rPr>
              <w:t>电工电子技术、自动化控制原理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王冉冉</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43</w:t>
            </w:r>
          </w:p>
        </w:tc>
        <w:tc>
          <w:tcPr>
            <w:tcW w:w="559" w:type="pct"/>
            <w:vAlign w:val="center"/>
          </w:tcPr>
          <w:p>
            <w:pPr>
              <w:jc w:val="center"/>
              <w:rPr>
                <w:sz w:val="21"/>
                <w:szCs w:val="21"/>
              </w:rPr>
            </w:pPr>
            <w:r>
              <w:rPr>
                <w:sz w:val="21"/>
                <w:szCs w:val="21"/>
              </w:rPr>
              <w:t>副教授</w:t>
            </w:r>
          </w:p>
        </w:tc>
        <w:tc>
          <w:tcPr>
            <w:tcW w:w="1017" w:type="pct"/>
            <w:vAlign w:val="center"/>
          </w:tcPr>
          <w:p>
            <w:pPr>
              <w:jc w:val="center"/>
              <w:rPr>
                <w:sz w:val="21"/>
                <w:szCs w:val="21"/>
              </w:rPr>
            </w:pPr>
            <w:r>
              <w:rPr>
                <w:sz w:val="21"/>
                <w:szCs w:val="21"/>
              </w:rPr>
              <w:t>博士/山农大</w:t>
            </w:r>
          </w:p>
        </w:tc>
        <w:tc>
          <w:tcPr>
            <w:tcW w:w="1948" w:type="pct"/>
            <w:vAlign w:val="center"/>
          </w:tcPr>
          <w:p>
            <w:pPr>
              <w:jc w:val="center"/>
              <w:rPr>
                <w:sz w:val="21"/>
                <w:szCs w:val="21"/>
              </w:rPr>
            </w:pPr>
            <w:r>
              <w:rPr>
                <w:sz w:val="21"/>
                <w:szCs w:val="21"/>
              </w:rPr>
              <w:t>模拟电子技术基础、数字电子技术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束</w:t>
            </w:r>
            <w:r>
              <w:rPr>
                <w:rFonts w:hint="eastAsia"/>
                <w:sz w:val="21"/>
                <w:szCs w:val="21"/>
              </w:rPr>
              <w:t xml:space="preserve">  </w:t>
            </w:r>
            <w:r>
              <w:rPr>
                <w:sz w:val="21"/>
                <w:szCs w:val="21"/>
              </w:rPr>
              <w:t>钰</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39</w:t>
            </w:r>
          </w:p>
        </w:tc>
        <w:tc>
          <w:tcPr>
            <w:tcW w:w="559" w:type="pct"/>
            <w:vAlign w:val="center"/>
          </w:tcPr>
          <w:p>
            <w:pPr>
              <w:jc w:val="center"/>
              <w:rPr>
                <w:sz w:val="21"/>
                <w:szCs w:val="21"/>
              </w:rPr>
            </w:pPr>
            <w:r>
              <w:rPr>
                <w:sz w:val="21"/>
                <w:szCs w:val="21"/>
              </w:rPr>
              <w:t>实验师</w:t>
            </w:r>
          </w:p>
        </w:tc>
        <w:tc>
          <w:tcPr>
            <w:tcW w:w="1017" w:type="pct"/>
            <w:vAlign w:val="center"/>
          </w:tcPr>
          <w:p>
            <w:pPr>
              <w:jc w:val="center"/>
              <w:rPr>
                <w:sz w:val="21"/>
                <w:szCs w:val="21"/>
              </w:rPr>
            </w:pPr>
            <w:r>
              <w:rPr>
                <w:sz w:val="21"/>
                <w:szCs w:val="21"/>
              </w:rPr>
              <w:t>硕士/天津理工</w:t>
            </w:r>
          </w:p>
        </w:tc>
        <w:tc>
          <w:tcPr>
            <w:tcW w:w="1948" w:type="pct"/>
            <w:vAlign w:val="center"/>
          </w:tcPr>
          <w:p>
            <w:pPr>
              <w:jc w:val="center"/>
              <w:rPr>
                <w:sz w:val="21"/>
                <w:szCs w:val="21"/>
              </w:rPr>
            </w:pPr>
            <w:r>
              <w:rPr>
                <w:sz w:val="21"/>
                <w:szCs w:val="21"/>
              </w:rPr>
              <w:t>实验员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尹</w:t>
            </w:r>
            <w:r>
              <w:rPr>
                <w:rFonts w:hint="eastAsia"/>
                <w:sz w:val="21"/>
                <w:szCs w:val="21"/>
              </w:rPr>
              <w:t xml:space="preserve">  </w:t>
            </w:r>
            <w:r>
              <w:rPr>
                <w:sz w:val="21"/>
                <w:szCs w:val="21"/>
              </w:rPr>
              <w:t>力</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34</w:t>
            </w:r>
          </w:p>
        </w:tc>
        <w:tc>
          <w:tcPr>
            <w:tcW w:w="559" w:type="pct"/>
            <w:vAlign w:val="center"/>
          </w:tcPr>
          <w:p>
            <w:pPr>
              <w:jc w:val="center"/>
              <w:rPr>
                <w:sz w:val="21"/>
                <w:szCs w:val="21"/>
              </w:rPr>
            </w:pPr>
            <w:r>
              <w:rPr>
                <w:sz w:val="21"/>
                <w:szCs w:val="21"/>
              </w:rPr>
              <w:t>实验师</w:t>
            </w:r>
          </w:p>
        </w:tc>
        <w:tc>
          <w:tcPr>
            <w:tcW w:w="1017" w:type="pct"/>
            <w:vAlign w:val="center"/>
          </w:tcPr>
          <w:p>
            <w:pPr>
              <w:jc w:val="center"/>
              <w:rPr>
                <w:sz w:val="21"/>
                <w:szCs w:val="21"/>
              </w:rPr>
            </w:pPr>
            <w:r>
              <w:rPr>
                <w:sz w:val="21"/>
                <w:szCs w:val="21"/>
              </w:rPr>
              <w:t>硕士/俄国立农大</w:t>
            </w:r>
          </w:p>
        </w:tc>
        <w:tc>
          <w:tcPr>
            <w:tcW w:w="1948" w:type="pct"/>
            <w:vAlign w:val="center"/>
          </w:tcPr>
          <w:p>
            <w:pPr>
              <w:jc w:val="center"/>
              <w:rPr>
                <w:sz w:val="21"/>
                <w:szCs w:val="21"/>
              </w:rPr>
            </w:pPr>
            <w:r>
              <w:rPr>
                <w:sz w:val="21"/>
                <w:szCs w:val="21"/>
              </w:rPr>
              <w:t>实验员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张</w:t>
            </w:r>
            <w:r>
              <w:rPr>
                <w:rFonts w:hint="eastAsia"/>
                <w:sz w:val="21"/>
                <w:szCs w:val="21"/>
              </w:rPr>
              <w:t xml:space="preserve">  </w:t>
            </w:r>
            <w:r>
              <w:rPr>
                <w:sz w:val="21"/>
                <w:szCs w:val="21"/>
              </w:rPr>
              <w:t>军</w:t>
            </w:r>
          </w:p>
        </w:tc>
        <w:tc>
          <w:tcPr>
            <w:tcW w:w="463" w:type="pct"/>
            <w:vAlign w:val="center"/>
          </w:tcPr>
          <w:p>
            <w:pPr>
              <w:jc w:val="center"/>
              <w:rPr>
                <w:sz w:val="21"/>
                <w:szCs w:val="21"/>
              </w:rPr>
            </w:pPr>
            <w:r>
              <w:rPr>
                <w:sz w:val="21"/>
                <w:szCs w:val="21"/>
              </w:rPr>
              <w:t>男</w:t>
            </w:r>
          </w:p>
        </w:tc>
        <w:tc>
          <w:tcPr>
            <w:tcW w:w="398" w:type="pct"/>
            <w:vAlign w:val="center"/>
          </w:tcPr>
          <w:p>
            <w:pPr>
              <w:jc w:val="center"/>
              <w:rPr>
                <w:sz w:val="21"/>
                <w:szCs w:val="21"/>
              </w:rPr>
            </w:pPr>
            <w:r>
              <w:rPr>
                <w:sz w:val="21"/>
                <w:szCs w:val="21"/>
              </w:rPr>
              <w:t>60</w:t>
            </w:r>
          </w:p>
        </w:tc>
        <w:tc>
          <w:tcPr>
            <w:tcW w:w="559" w:type="pct"/>
            <w:vAlign w:val="center"/>
          </w:tcPr>
          <w:p>
            <w:pPr>
              <w:spacing w:line="240" w:lineRule="auto"/>
              <w:jc w:val="center"/>
              <w:rPr>
                <w:sz w:val="21"/>
                <w:szCs w:val="21"/>
              </w:rPr>
            </w:pPr>
            <w:r>
              <w:rPr>
                <w:sz w:val="21"/>
                <w:szCs w:val="21"/>
              </w:rPr>
              <w:t>高级实验师</w:t>
            </w:r>
          </w:p>
        </w:tc>
        <w:tc>
          <w:tcPr>
            <w:tcW w:w="1017" w:type="pct"/>
            <w:vAlign w:val="center"/>
          </w:tcPr>
          <w:p>
            <w:pPr>
              <w:jc w:val="center"/>
              <w:rPr>
                <w:sz w:val="21"/>
                <w:szCs w:val="21"/>
              </w:rPr>
            </w:pPr>
            <w:r>
              <w:rPr>
                <w:sz w:val="21"/>
                <w:szCs w:val="21"/>
              </w:rPr>
              <w:t>本科/山农大</w:t>
            </w:r>
          </w:p>
        </w:tc>
        <w:tc>
          <w:tcPr>
            <w:tcW w:w="1948" w:type="pct"/>
            <w:vAlign w:val="center"/>
          </w:tcPr>
          <w:p>
            <w:pPr>
              <w:jc w:val="center"/>
              <w:rPr>
                <w:sz w:val="21"/>
                <w:szCs w:val="21"/>
              </w:rPr>
            </w:pPr>
            <w:r>
              <w:rPr>
                <w:sz w:val="21"/>
                <w:szCs w:val="21"/>
              </w:rPr>
              <w:t>实验员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12" w:type="pct"/>
            <w:vAlign w:val="center"/>
          </w:tcPr>
          <w:p>
            <w:pPr>
              <w:jc w:val="center"/>
              <w:rPr>
                <w:sz w:val="21"/>
                <w:szCs w:val="21"/>
              </w:rPr>
            </w:pPr>
            <w:r>
              <w:rPr>
                <w:sz w:val="21"/>
                <w:szCs w:val="21"/>
              </w:rPr>
              <w:t>施国英</w:t>
            </w:r>
          </w:p>
        </w:tc>
        <w:tc>
          <w:tcPr>
            <w:tcW w:w="463" w:type="pct"/>
            <w:vAlign w:val="center"/>
          </w:tcPr>
          <w:p>
            <w:pPr>
              <w:jc w:val="center"/>
              <w:rPr>
                <w:sz w:val="21"/>
                <w:szCs w:val="21"/>
              </w:rPr>
            </w:pPr>
            <w:r>
              <w:rPr>
                <w:sz w:val="21"/>
                <w:szCs w:val="21"/>
              </w:rPr>
              <w:t>女</w:t>
            </w:r>
          </w:p>
        </w:tc>
        <w:tc>
          <w:tcPr>
            <w:tcW w:w="398" w:type="pct"/>
            <w:vAlign w:val="center"/>
          </w:tcPr>
          <w:p>
            <w:pPr>
              <w:jc w:val="center"/>
              <w:rPr>
                <w:sz w:val="21"/>
                <w:szCs w:val="21"/>
              </w:rPr>
            </w:pPr>
            <w:r>
              <w:rPr>
                <w:sz w:val="21"/>
                <w:szCs w:val="21"/>
              </w:rPr>
              <w:t>42</w:t>
            </w:r>
          </w:p>
        </w:tc>
        <w:tc>
          <w:tcPr>
            <w:tcW w:w="559" w:type="pct"/>
            <w:vAlign w:val="center"/>
          </w:tcPr>
          <w:p>
            <w:pPr>
              <w:jc w:val="center"/>
              <w:rPr>
                <w:sz w:val="21"/>
                <w:szCs w:val="21"/>
              </w:rPr>
            </w:pPr>
            <w:r>
              <w:rPr>
                <w:sz w:val="21"/>
                <w:szCs w:val="21"/>
              </w:rPr>
              <w:t>实验师</w:t>
            </w:r>
          </w:p>
        </w:tc>
        <w:tc>
          <w:tcPr>
            <w:tcW w:w="1017" w:type="pct"/>
            <w:vAlign w:val="center"/>
          </w:tcPr>
          <w:p>
            <w:pPr>
              <w:jc w:val="center"/>
              <w:rPr>
                <w:sz w:val="21"/>
                <w:szCs w:val="21"/>
              </w:rPr>
            </w:pPr>
            <w:r>
              <w:rPr>
                <w:sz w:val="21"/>
                <w:szCs w:val="21"/>
              </w:rPr>
              <w:t>硕士/山大</w:t>
            </w:r>
          </w:p>
        </w:tc>
        <w:tc>
          <w:tcPr>
            <w:tcW w:w="1948" w:type="pct"/>
            <w:vAlign w:val="center"/>
          </w:tcPr>
          <w:p>
            <w:pPr>
              <w:jc w:val="center"/>
              <w:rPr>
                <w:sz w:val="21"/>
                <w:szCs w:val="21"/>
              </w:rPr>
            </w:pPr>
            <w:r>
              <w:rPr>
                <w:sz w:val="21"/>
                <w:szCs w:val="21"/>
              </w:rPr>
              <w:t>实验员</w:t>
            </w:r>
          </w:p>
        </w:tc>
      </w:tr>
    </w:tbl>
    <w:p>
      <w:pPr>
        <w:ind w:firstLine="480" w:firstLineChars="200"/>
      </w:pPr>
      <w:r>
        <w:t>专职教师中，正教授8名，副教授</w:t>
      </w:r>
      <w:r>
        <w:rPr>
          <w:color w:val="000000" w:themeColor="text1"/>
          <w14:textFill>
            <w14:solidFill>
              <w14:schemeClr w14:val="tx1"/>
            </w14:solidFill>
          </w14:textFill>
        </w:rPr>
        <w:t>14</w:t>
      </w:r>
      <w:r>
        <w:t>名，讲师4名，山东省现代农业和林业岗位专家3名，平均年龄45岁，具有博士学位占76.1%，专业拥有合理的学缘及学历结构，师资力量建设为本专业的快速发展奠定了坚实的基础。</w:t>
      </w:r>
    </w:p>
    <w:p>
      <w:pPr>
        <w:ind w:firstLine="480" w:firstLineChars="200"/>
      </w:pPr>
      <w:r>
        <w:t>开展以创新、科技竞赛为载体的实践教学体系改革与实践，主要内容包括：</w:t>
      </w:r>
    </w:p>
    <w:p>
      <w:pPr>
        <w:ind w:firstLine="480" w:firstLineChars="200"/>
      </w:pPr>
      <w:r>
        <w:t>（1）创建基于工程专业认证的层次多样、内容丰富、</w:t>
      </w:r>
      <w:r>
        <w:rPr>
          <w:rFonts w:hint="eastAsia"/>
        </w:rPr>
        <w:t>“</w:t>
      </w:r>
      <w:r>
        <w:t>3+1+X</w:t>
      </w:r>
      <w:r>
        <w:rPr>
          <w:rFonts w:hint="eastAsia"/>
        </w:rPr>
        <w:t>”</w:t>
      </w:r>
      <w:r>
        <w:t>的创新课程体系，构建适应新时代发展需求的大学生科创实践教学体系；</w:t>
      </w:r>
    </w:p>
    <w:p>
      <w:pPr>
        <w:ind w:firstLine="480" w:firstLineChars="200"/>
      </w:pPr>
      <w:r>
        <w:t>（2）搭建功能齐全、分层次多维度、实战效果好的大学生科技创新能力实训实践平台，创建定位准确、面向对象广、集群式大学生科创实践实验室；</w:t>
      </w:r>
    </w:p>
    <w:p>
      <w:pPr>
        <w:ind w:firstLine="480" w:firstLineChars="200"/>
      </w:pPr>
      <w:r>
        <w:t>（3）发挥优势，统筹管理，根据不同学生的个性需求，通过</w:t>
      </w:r>
      <w:r>
        <w:rPr>
          <w:rFonts w:hint="eastAsia"/>
        </w:rPr>
        <w:t>“</w:t>
      </w:r>
      <w:r>
        <w:t>师生双选</w:t>
      </w:r>
      <w:r>
        <w:rPr>
          <w:rFonts w:hint="eastAsia"/>
        </w:rPr>
        <w:t>”</w:t>
      </w:r>
      <w:r>
        <w:t>等手段，形成以创新、科技竞赛为载体的多种实践训练模块；</w:t>
      </w:r>
    </w:p>
    <w:p>
      <w:pPr>
        <w:ind w:firstLine="480" w:firstLineChars="200"/>
      </w:pPr>
      <w:r>
        <w:t>（4）结合学科特点与不同年级学生专业知识掌握程度，组织不同层次的科技竞赛，构建</w:t>
      </w:r>
      <w:r>
        <w:rPr>
          <w:rFonts w:hint="eastAsia"/>
        </w:rPr>
        <w:t>“</w:t>
      </w:r>
      <w:r>
        <w:t>普惠制</w:t>
      </w:r>
      <w:r>
        <w:rPr>
          <w:rFonts w:hint="eastAsia"/>
        </w:rPr>
        <w:t>”</w:t>
      </w:r>
      <w:r>
        <w:t>全员实践科创新体制；</w:t>
      </w:r>
    </w:p>
    <w:p>
      <w:pPr>
        <w:ind w:firstLine="480" w:firstLineChars="200"/>
      </w:pPr>
      <w:r>
        <w:t>（5）依托校内外优质师资资源，组建一支高水平的科创理论教学与实践指导教师队伍。注重年轻教师的教学科研能力的培养与提高，积极创造条件，结合我院的</w:t>
      </w:r>
      <w:r>
        <w:rPr>
          <w:rFonts w:hint="eastAsia"/>
        </w:rPr>
        <w:t>“</w:t>
      </w:r>
      <w:r>
        <w:t>青蓝工程</w:t>
      </w:r>
      <w:r>
        <w:rPr>
          <w:rFonts w:hint="eastAsia"/>
        </w:rPr>
        <w:t>”</w:t>
      </w:r>
      <w:r>
        <w:t>，指定富有经验的老教师结对子，帮扶新进青年教师尽快掌握授课内容，提高授课技能。大学生全员参与实践科创已蔚然成风，在各类科技竞赛中获得优良成绩，科创实践能力、人才培养质量得到大幅提升。</w:t>
      </w:r>
    </w:p>
    <w:p>
      <w:pPr>
        <w:ind w:firstLine="480" w:firstLineChars="200"/>
        <w:rPr>
          <w:color w:val="000000" w:themeColor="text1"/>
          <w14:textFill>
            <w14:solidFill>
              <w14:schemeClr w14:val="tx1"/>
            </w14:solidFill>
          </w14:textFill>
        </w:rPr>
      </w:pPr>
      <w:r>
        <w:t>积极创造条件，帮助教师参加国家及学校举办的各类讲课技能、多媒体大赛，指导大学生科技创新实践，</w:t>
      </w:r>
      <w:r>
        <w:rPr>
          <w:color w:val="000000" w:themeColor="text1"/>
          <w14:textFill>
            <w14:solidFill>
              <w14:schemeClr w14:val="tx1"/>
            </w14:solidFill>
          </w14:textFill>
        </w:rPr>
        <w:t>专业教师教学科研能力有了较大提高，获得较好效果。参加国内外学术会议20人次，申请各类专利或著作权共50项，发表学术论文40余篇，其中SCI/EI等收录30篇。</w:t>
      </w:r>
    </w:p>
    <w:p>
      <w:pPr>
        <w:ind w:firstLine="480" w:firstLineChars="200"/>
      </w:pPr>
      <w:r>
        <w:t>专业任课教师极为重视现代教学技术在课堂教学中的应用，通过参加国家及山东省多媒体课件比赛、微课比赛、一流课程评比及学校举办的青年教师讲课技能大赛等方式，努力提高自身素质及课堂教学技能。王金星主持的教研项目获得山东省重点项目资助，张开兴老师获评山东农业大学第八届学生心目中的十大优秀教师，</w:t>
      </w:r>
      <w:r>
        <w:rPr>
          <w:color w:val="000000" w:themeColor="text1"/>
          <w14:textFill>
            <w14:solidFill>
              <w14:schemeClr w14:val="tx1"/>
            </w14:solidFill>
          </w14:textFill>
        </w:rPr>
        <w:t>郭晶老师获评山东农业大学最美教师，高明老师获评十佳班主任。教学手段上，充分利用多媒体教室、一体化教室、实训基地以及实训中心等一</w:t>
      </w:r>
      <w:r>
        <w:t>切有利条件来辅助教学。改革教学方式，安排教学团队内每位教师根据各自研究的内容进行讲授，对于开阔学生的眼界、紧跟世界智能化制造发展潮流是极为重要的手段，现代教学技术应用能力得到大幅度提高，教学质量、学生评价均较过去有较大提高。</w:t>
      </w:r>
    </w:p>
    <w:p>
      <w:pPr>
        <w:pStyle w:val="5"/>
        <w:spacing w:before="93" w:after="93"/>
        <w:ind w:firstLine="560"/>
      </w:pPr>
      <w:bookmarkStart w:id="332" w:name="_Toc17946"/>
      <w:r>
        <w:t>四、培养机制与特色（产学研协同育人机制、合作办学、教学管理等）</w:t>
      </w:r>
      <w:bookmarkEnd w:id="332"/>
    </w:p>
    <w:p>
      <w:pPr>
        <w:ind w:firstLine="480" w:firstLineChars="200"/>
      </w:pPr>
      <w:r>
        <w:t>在多年的专业建设过程中，我们一直秉承</w:t>
      </w:r>
      <w:r>
        <w:rPr>
          <w:rFonts w:hint="eastAsia"/>
        </w:rPr>
        <w:t>“</w:t>
      </w:r>
      <w:r>
        <w:t>立足山东，面向全国，服务国家机电行业；立足基层，面向生产、建设、管理和服务第一线</w:t>
      </w:r>
      <w:r>
        <w:rPr>
          <w:rFonts w:hint="eastAsia"/>
        </w:rPr>
        <w:t>”</w:t>
      </w:r>
      <w:r>
        <w:t>的办学定位；坚持</w:t>
      </w:r>
      <w:r>
        <w:rPr>
          <w:rFonts w:hint="eastAsia"/>
        </w:rPr>
        <w:t>“</w:t>
      </w:r>
      <w:r>
        <w:t>以学为本，以体为用，理论联系实践</w:t>
      </w:r>
      <w:r>
        <w:rPr>
          <w:rFonts w:hint="eastAsia"/>
        </w:rPr>
        <w:t>”</w:t>
      </w:r>
      <w:r>
        <w:t>的专业指导思想；以</w:t>
      </w:r>
      <w:r>
        <w:rPr>
          <w:rFonts w:hint="eastAsia"/>
        </w:rPr>
        <w:t>“</w:t>
      </w:r>
      <w:r>
        <w:t>教、学、做、知识、能力、素质</w:t>
      </w:r>
      <w:r>
        <w:rPr>
          <w:rFonts w:hint="eastAsia"/>
        </w:rPr>
        <w:t>”</w:t>
      </w:r>
      <w:r>
        <w:t>六位一体教学方法为突破口，加强对师资、授课、实验等教学条件的管理与完善；以</w:t>
      </w:r>
      <w:r>
        <w:rPr>
          <w:rFonts w:hint="eastAsia"/>
        </w:rPr>
        <w:t>“</w:t>
      </w:r>
      <w:r>
        <w:t>校企合作办学、重视国际交流、提高学术氛围、强化学生素质</w:t>
      </w:r>
      <w:r>
        <w:rPr>
          <w:rFonts w:hint="eastAsia"/>
        </w:rPr>
        <w:t>”</w:t>
      </w:r>
      <w:r>
        <w:t>为原则，强化办学特色。</w:t>
      </w:r>
    </w:p>
    <w:p>
      <w:pPr>
        <w:ind w:firstLine="480" w:firstLineChars="200"/>
        <w:rPr>
          <w:color w:val="000000" w:themeColor="text1"/>
          <w:kern w:val="0"/>
          <w:szCs w:val="24"/>
          <w14:textFill>
            <w14:solidFill>
              <w14:schemeClr w14:val="tx1"/>
            </w14:solidFill>
          </w14:textFill>
        </w:rPr>
      </w:pPr>
      <w:r>
        <w:rPr>
          <w:color w:val="000000" w:themeColor="text1"/>
          <w:szCs w:val="24"/>
          <w14:textFill>
            <w14:solidFill>
              <w14:schemeClr w14:val="tx1"/>
            </w14:solidFill>
          </w14:textFill>
        </w:rPr>
        <w:t>2022年，选派多名骨干教师到校外教学科研就业实践基地进行技术服务。</w:t>
      </w:r>
      <w:r>
        <w:rPr>
          <w:color w:val="000000" w:themeColor="text1"/>
          <w14:textFill>
            <w14:solidFill>
              <w14:schemeClr w14:val="tx1"/>
            </w14:solidFill>
          </w14:textFill>
        </w:rPr>
        <w:t>充分发挥山东省现代农业岗位专家优势，王金星教授、宋月鹏教授到相关企业进行技术交流合作50余人次，达成多项合作意向，形成产学研课题多项。王</w:t>
      </w:r>
      <w:r>
        <w:rPr>
          <w:color w:val="000000" w:themeColor="text1"/>
          <w:szCs w:val="24"/>
          <w14:textFill>
            <w14:solidFill>
              <w14:schemeClr w14:val="tx1"/>
            </w14:solidFill>
          </w14:textFill>
        </w:rPr>
        <w:t>金星同志作为山东省科技特派员组建一支百名党员专家联百村团队，作为国家苹果产业体系岗位科学家培训果农100余人。宋月鹏同志组建一支百名党员专家联百村团队，在蒙阴县和广西百色田阳县进行索轨车智能输运系统技术示范推广工作，建立青年红色筑梦之旅实践基地1处。苑进受山东省农技推广站委托培训农技推广人员100人次。刘雪美为东平县农机局培训新型农民100人次。范国强老师</w:t>
      </w:r>
      <w:r>
        <w:rPr>
          <w:color w:val="000000" w:themeColor="text1"/>
          <w:kern w:val="0"/>
          <w:szCs w:val="24"/>
          <w14:textFill>
            <w14:solidFill>
              <w14:schemeClr w14:val="tx1"/>
            </w14:solidFill>
          </w14:textFill>
        </w:rPr>
        <w:t>与泰安意美特机械有限公司签订产学研长期合作，受聘于新泰市科技局，担任泰安意美特机械有限公司科技副总经理，主要从事畜牧机械研发、制造与推广。2022年为泰安意美特机械有限公司培养3位技术人员，申请3项专利，开发4款新机型，制定4项团体标准。担任莱州市农机专家顾问，为莱州市农机制造厂家提供技术支持，先后为3家企业提供技术服务。</w:t>
      </w:r>
    </w:p>
    <w:p>
      <w:pPr>
        <w:spacing w:line="390" w:lineRule="exact"/>
        <w:ind w:firstLine="480" w:firstLineChars="200"/>
      </w:pPr>
      <w:r>
        <w:t>组织骨干教师参加多个协同创新中心的组建与建设工作，</w:t>
      </w:r>
      <w:r>
        <w:rPr>
          <w:color w:val="000000" w:themeColor="text1"/>
          <w14:textFill>
            <w14:solidFill>
              <w14:schemeClr w14:val="tx1"/>
            </w14:solidFill>
          </w14:textFill>
        </w:rPr>
        <w:t>如宋月鹏教授、王金星教授、苑进教授参与山东果蔬优质高效生产协同创新中心建设，被聘任为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园艺机械装备与设施环境调控创新团队</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成员，多名专业骨干教师参与</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农业装备产业技术创新联盟</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，多名教师参与各类国内农业装备展览、学术会议等40余人次。</w:t>
      </w:r>
      <w:r>
        <w:t>合作办学方面，聘任校外13位专家及校内8名骨干教师为</w:t>
      </w:r>
      <w:r>
        <w:rPr>
          <w:rFonts w:hint="eastAsia"/>
        </w:rPr>
        <w:t>“</w:t>
      </w:r>
      <w:r>
        <w:t>大学生卓越工程师班</w:t>
      </w:r>
      <w:r>
        <w:rPr>
          <w:rFonts w:hint="eastAsia"/>
        </w:rPr>
        <w:t>”</w:t>
      </w:r>
      <w:r>
        <w:t>指导教师：</w:t>
      </w:r>
    </w:p>
    <w:p>
      <w:pPr>
        <w:spacing w:line="390" w:lineRule="exact"/>
        <w:ind w:firstLine="480" w:firstLineChars="200"/>
      </w:pPr>
      <w:r>
        <w:t>校外导师：</w:t>
      </w:r>
    </w:p>
    <w:p>
      <w:pPr>
        <w:spacing w:line="390" w:lineRule="exact"/>
        <w:ind w:firstLine="480" w:firstLineChars="200"/>
      </w:pPr>
      <w:r>
        <w:t>泰安华鲁锻压机床有限公司董事长：刘庆印；</w:t>
      </w:r>
    </w:p>
    <w:p>
      <w:pPr>
        <w:spacing w:line="390" w:lineRule="exact"/>
        <w:ind w:firstLine="480" w:firstLineChars="200"/>
      </w:pPr>
      <w:r>
        <w:t>中国重汽集团泰安五岳专用汽车有限公司副总经理：宫学民、总工李耐文；</w:t>
      </w:r>
    </w:p>
    <w:p>
      <w:pPr>
        <w:spacing w:line="390" w:lineRule="exact"/>
        <w:ind w:firstLine="480" w:firstLineChars="200"/>
      </w:pPr>
      <w:r>
        <w:t>泰安嘉和重工股份有限公司总经理：安宝峰、总工姚庆昌；</w:t>
      </w:r>
    </w:p>
    <w:p>
      <w:pPr>
        <w:spacing w:line="390" w:lineRule="exact"/>
        <w:ind w:firstLine="480" w:firstLineChars="200"/>
      </w:pPr>
      <w:r>
        <w:t>泰安海威数控机床有限公司总经理：吴士奎；</w:t>
      </w:r>
    </w:p>
    <w:p>
      <w:pPr>
        <w:spacing w:line="390" w:lineRule="exact"/>
        <w:ind w:firstLine="480" w:firstLineChars="200"/>
      </w:pPr>
      <w:r>
        <w:t>泰安大源机械有限公司总经理：张增堂；</w:t>
      </w:r>
    </w:p>
    <w:p>
      <w:pPr>
        <w:spacing w:line="390" w:lineRule="exact"/>
        <w:ind w:firstLine="480" w:firstLineChars="200"/>
      </w:pPr>
      <w:r>
        <w:t>山东恒通膨胀节制造有限公司董事长：王焕庆；</w:t>
      </w:r>
    </w:p>
    <w:p>
      <w:pPr>
        <w:spacing w:line="390" w:lineRule="exact"/>
        <w:ind w:firstLine="480" w:firstLineChars="200"/>
      </w:pPr>
      <w:r>
        <w:t>国泰集团董事长：杨学东；</w:t>
      </w:r>
    </w:p>
    <w:p>
      <w:pPr>
        <w:spacing w:line="390" w:lineRule="exact"/>
        <w:ind w:firstLine="480" w:firstLineChars="200"/>
      </w:pPr>
      <w:r>
        <w:t>泰安市电气行业协会副秘书长：胡鹏；</w:t>
      </w:r>
    </w:p>
    <w:p>
      <w:pPr>
        <w:spacing w:line="390" w:lineRule="exact"/>
        <w:ind w:firstLine="480" w:firstLineChars="200"/>
      </w:pPr>
      <w:r>
        <w:t>山东华兴机械股份有限公司副总经理：王勇；</w:t>
      </w:r>
    </w:p>
    <w:p>
      <w:pPr>
        <w:spacing w:line="390" w:lineRule="exact"/>
        <w:ind w:firstLine="480" w:firstLineChars="200"/>
      </w:pPr>
      <w:r>
        <w:t>山东五征集团有限公司副总经理：吴长民；</w:t>
      </w:r>
    </w:p>
    <w:p>
      <w:pPr>
        <w:spacing w:line="390" w:lineRule="exact"/>
        <w:ind w:firstLine="480" w:firstLineChars="200"/>
      </w:pPr>
      <w:r>
        <w:t>山东爱普电气设备有限公司副总经理：李忠；</w:t>
      </w:r>
    </w:p>
    <w:p>
      <w:pPr>
        <w:spacing w:line="390" w:lineRule="exact"/>
        <w:ind w:firstLine="480" w:firstLineChars="200"/>
      </w:pPr>
      <w:r>
        <w:t>校内导师：王金星、苑进、牛子孺、范国强、张开兴、田富洋、李天华</w:t>
      </w:r>
    </w:p>
    <w:p>
      <w:pPr>
        <w:spacing w:line="390" w:lineRule="exact"/>
        <w:ind w:firstLine="480" w:firstLineChars="200"/>
      </w:pPr>
      <w:r>
        <w:t>在教学管理方面，首先采取的措施是加强学科建设，重视人才培养模式：根据学科和社会发展的需要，适时进行专业设置和专业方向的调整，增强专业的适应性，重视人才培养模式，把素质教育、创新教育贯穿于人才培养的全过程，坚持通识教育与专业教育并重，学问修养与人格修养并重，知识、能力与素质并重；其次在对</w:t>
      </w:r>
      <w:r>
        <w:rPr>
          <w:rFonts w:hint="eastAsia"/>
        </w:rPr>
        <w:t>“</w:t>
      </w:r>
      <w:r>
        <w:t>教</w:t>
      </w:r>
      <w:r>
        <w:rPr>
          <w:rFonts w:hint="eastAsia"/>
        </w:rPr>
        <w:t>”</w:t>
      </w:r>
      <w:r>
        <w:t>的管理的基础上，加强对</w:t>
      </w:r>
      <w:r>
        <w:rPr>
          <w:rFonts w:hint="eastAsia"/>
        </w:rPr>
        <w:t>“</w:t>
      </w:r>
      <w:r>
        <w:t>学</w:t>
      </w:r>
      <w:r>
        <w:rPr>
          <w:rFonts w:hint="eastAsia"/>
        </w:rPr>
        <w:t>”</w:t>
      </w:r>
      <w:r>
        <w:t>的管理：努力为学生营造一个宽松的学习环境，尊重学生身心发展规律，坚持以人为本。论文格式。任何一项教学管理制度、措施都要有利于充分调动学生的积极性和创造性，有利于培养学生的创新精神和实践能力；再次，加强对</w:t>
      </w:r>
      <w:r>
        <w:rPr>
          <w:color w:val="000000" w:themeColor="text1"/>
          <w14:textFill>
            <w14:solidFill>
              <w14:schemeClr w14:val="tx1"/>
            </w14:solidFill>
          </w14:textFill>
        </w:rPr>
        <w:t>教学</w:t>
      </w:r>
      <w:r>
        <w:t>质量的管理：严格执行教学计划与管理制度，重点对教学过程中的教案、教学大纲、教学日历等资料文件加强管理，定期组织教学方面的研讨会，提高广大教师的教学质量；最后，加强教学过程控制：组织各级督导深入课堂，并定期反馈，把教书育人、科研育人、管理育人、服务育人、环境育人有机结合起来。</w:t>
      </w:r>
    </w:p>
    <w:p>
      <w:pPr>
        <w:pStyle w:val="5"/>
        <w:spacing w:before="93" w:after="93"/>
        <w:ind w:firstLine="560"/>
      </w:pPr>
      <w:bookmarkStart w:id="333" w:name="_Toc27464"/>
      <w:r>
        <w:t>五、培养质量（毕业生就业率、就业专业对口率、毕业生发展情况、就业单位满意率、社会对专业的评价、学生就读该专业的意愿等）</w:t>
      </w:r>
      <w:bookmarkEnd w:id="333"/>
    </w:p>
    <w:p>
      <w:pPr>
        <w:adjustRightInd w:val="0"/>
        <w:snapToGrid w:val="0"/>
        <w:ind w:firstLine="480" w:firstLineChars="200"/>
        <w:rPr>
          <w:bCs/>
          <w:szCs w:val="24"/>
        </w:rPr>
      </w:pPr>
      <w:bookmarkStart w:id="334" w:name="_Toc21041"/>
      <w:r>
        <w:rPr>
          <w:bCs/>
          <w:szCs w:val="24"/>
        </w:rPr>
        <w:t>截止2022年8月31日，毕业生就业70人，毕业去向落实率为93.3%，其中男生就业65人，毕业去向落实率为94.2%，女生就业5人，毕业去向落实率为83.3%。毕业生留鲁就业的55人，占已就业总人数的78.5%，其中到泰安就业人数最多，占24.28%。出省就业共20人，占26.6%，主要流向北京、江苏省、浙江省等省份。</w:t>
      </w:r>
    </w:p>
    <w:p>
      <w:pPr>
        <w:jc w:val="center"/>
        <w:rPr>
          <w:b/>
          <w:bCs/>
          <w:sz w:val="21"/>
          <w:szCs w:val="21"/>
        </w:rPr>
      </w:pPr>
      <w:r>
        <w:rPr>
          <w:b/>
          <w:bCs/>
          <w:sz w:val="21"/>
          <w:szCs w:val="21"/>
        </w:rPr>
        <w:t>表3.毕业生毕业去向落实情况统计表</w:t>
      </w:r>
    </w:p>
    <w:tbl>
      <w:tblPr>
        <w:tblStyle w:val="17"/>
        <w:tblW w:w="8573" w:type="dxa"/>
        <w:tblInd w:w="20" w:type="dxa"/>
        <w:tblLayout w:type="fixed"/>
        <w:tblCellMar>
          <w:top w:w="0" w:type="dxa"/>
          <w:left w:w="0" w:type="dxa"/>
          <w:bottom w:w="0" w:type="dxa"/>
          <w:right w:w="0" w:type="dxa"/>
        </w:tblCellMar>
      </w:tblPr>
      <w:tblGrid>
        <w:gridCol w:w="1464"/>
        <w:gridCol w:w="1380"/>
        <w:gridCol w:w="1283"/>
        <w:gridCol w:w="1082"/>
        <w:gridCol w:w="1777"/>
        <w:gridCol w:w="1587"/>
      </w:tblGrid>
      <w:tr>
        <w:tblPrEx>
          <w:tblCellMar>
            <w:top w:w="0" w:type="dxa"/>
            <w:left w:w="0" w:type="dxa"/>
            <w:bottom w:w="0" w:type="dxa"/>
            <w:right w:w="0" w:type="dxa"/>
          </w:tblCellMar>
        </w:tblPrEx>
        <w:trPr>
          <w:trHeight w:val="381" w:hRule="atLeast"/>
        </w:trPr>
        <w:tc>
          <w:tcPr>
            <w:tcW w:w="146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专业名称</w:t>
            </w:r>
          </w:p>
        </w:tc>
        <w:tc>
          <w:tcPr>
            <w:tcW w:w="13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落实就业人数</w:t>
            </w:r>
          </w:p>
          <w:p>
            <w:pPr>
              <w:spacing w:line="240" w:lineRule="auto"/>
              <w:jc w:val="center"/>
              <w:rPr>
                <w:b/>
                <w:bCs/>
                <w:sz w:val="21"/>
                <w:szCs w:val="21"/>
              </w:rPr>
            </w:pPr>
            <w:r>
              <w:rPr>
                <w:b/>
                <w:bCs/>
                <w:sz w:val="21"/>
                <w:szCs w:val="21"/>
              </w:rPr>
              <w:t>（人）</w:t>
            </w:r>
          </w:p>
        </w:tc>
        <w:tc>
          <w:tcPr>
            <w:tcW w:w="12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男生</w:t>
            </w:r>
          </w:p>
          <w:p>
            <w:pPr>
              <w:spacing w:line="240" w:lineRule="auto"/>
              <w:jc w:val="center"/>
              <w:rPr>
                <w:b/>
                <w:bCs/>
                <w:sz w:val="21"/>
                <w:szCs w:val="21"/>
              </w:rPr>
            </w:pPr>
            <w:r>
              <w:rPr>
                <w:b/>
                <w:bCs/>
                <w:sz w:val="21"/>
                <w:szCs w:val="21"/>
              </w:rPr>
              <w:t>毕业去向</w:t>
            </w:r>
          </w:p>
          <w:p>
            <w:pPr>
              <w:spacing w:line="240" w:lineRule="auto"/>
              <w:jc w:val="center"/>
              <w:rPr>
                <w:b/>
                <w:bCs/>
                <w:sz w:val="21"/>
                <w:szCs w:val="21"/>
              </w:rPr>
            </w:pPr>
            <w:r>
              <w:rPr>
                <w:b/>
                <w:bCs/>
                <w:sz w:val="21"/>
                <w:szCs w:val="21"/>
              </w:rPr>
              <w:t>落实率</w:t>
            </w:r>
          </w:p>
        </w:tc>
        <w:tc>
          <w:tcPr>
            <w:tcW w:w="108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女生</w:t>
            </w:r>
          </w:p>
          <w:p>
            <w:pPr>
              <w:spacing w:line="240" w:lineRule="auto"/>
              <w:jc w:val="center"/>
              <w:rPr>
                <w:b/>
                <w:bCs/>
                <w:sz w:val="21"/>
                <w:szCs w:val="21"/>
              </w:rPr>
            </w:pPr>
            <w:r>
              <w:rPr>
                <w:b/>
                <w:bCs/>
                <w:sz w:val="21"/>
                <w:szCs w:val="21"/>
              </w:rPr>
              <w:t>毕业去向</w:t>
            </w:r>
          </w:p>
          <w:p>
            <w:pPr>
              <w:spacing w:line="240" w:lineRule="auto"/>
              <w:jc w:val="center"/>
              <w:rPr>
                <w:b/>
                <w:bCs/>
                <w:sz w:val="21"/>
                <w:szCs w:val="21"/>
              </w:rPr>
            </w:pPr>
            <w:r>
              <w:rPr>
                <w:b/>
                <w:bCs/>
                <w:sz w:val="21"/>
                <w:szCs w:val="21"/>
              </w:rPr>
              <w:t>落实率</w:t>
            </w:r>
          </w:p>
        </w:tc>
        <w:tc>
          <w:tcPr>
            <w:tcW w:w="177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留鲁就业人数</w:t>
            </w:r>
          </w:p>
          <w:p>
            <w:pPr>
              <w:spacing w:line="240" w:lineRule="auto"/>
              <w:jc w:val="center"/>
              <w:rPr>
                <w:b/>
                <w:bCs/>
                <w:sz w:val="21"/>
                <w:szCs w:val="21"/>
              </w:rPr>
            </w:pPr>
            <w:r>
              <w:rPr>
                <w:b/>
                <w:bCs/>
                <w:sz w:val="21"/>
                <w:szCs w:val="21"/>
              </w:rPr>
              <w:t>（比例）</w:t>
            </w:r>
          </w:p>
        </w:tc>
        <w:tc>
          <w:tcPr>
            <w:tcW w:w="158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省外就业人数</w:t>
            </w:r>
          </w:p>
          <w:p>
            <w:pPr>
              <w:spacing w:line="240" w:lineRule="auto"/>
              <w:jc w:val="center"/>
              <w:rPr>
                <w:b/>
                <w:bCs/>
                <w:sz w:val="21"/>
                <w:szCs w:val="21"/>
              </w:rPr>
            </w:pPr>
            <w:r>
              <w:rPr>
                <w:b/>
                <w:bCs/>
                <w:sz w:val="21"/>
                <w:szCs w:val="21"/>
              </w:rPr>
              <w:t>（比例）</w:t>
            </w:r>
          </w:p>
        </w:tc>
      </w:tr>
      <w:tr>
        <w:tblPrEx>
          <w:tblCellMar>
            <w:top w:w="0" w:type="dxa"/>
            <w:left w:w="0" w:type="dxa"/>
            <w:bottom w:w="0" w:type="dxa"/>
            <w:right w:w="0" w:type="dxa"/>
          </w:tblCellMar>
        </w:tblPrEx>
        <w:trPr>
          <w:trHeight w:val="712" w:hRule="atLeast"/>
        </w:trPr>
        <w:tc>
          <w:tcPr>
            <w:tcW w:w="146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机械设计制造及自动化</w:t>
            </w:r>
          </w:p>
        </w:tc>
        <w:tc>
          <w:tcPr>
            <w:tcW w:w="13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70</w:t>
            </w:r>
          </w:p>
        </w:tc>
        <w:tc>
          <w:tcPr>
            <w:tcW w:w="128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94.2%</w:t>
            </w:r>
          </w:p>
        </w:tc>
        <w:tc>
          <w:tcPr>
            <w:tcW w:w="10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83.3%</w:t>
            </w:r>
          </w:p>
        </w:tc>
        <w:tc>
          <w:tcPr>
            <w:tcW w:w="177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55(78.5%)</w:t>
            </w:r>
          </w:p>
        </w:tc>
        <w:tc>
          <w:tcPr>
            <w:tcW w:w="158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20(26.6%)</w:t>
            </w:r>
          </w:p>
        </w:tc>
      </w:tr>
    </w:tbl>
    <w:p>
      <w:pPr>
        <w:adjustRightInd w:val="0"/>
        <w:snapToGrid w:val="0"/>
        <w:ind w:firstLine="480" w:firstLineChars="200"/>
        <w:rPr>
          <w:szCs w:val="24"/>
        </w:rPr>
      </w:pPr>
      <w:r>
        <w:rPr>
          <w:szCs w:val="24"/>
        </w:rPr>
        <w:t>毕业生毕业去向主要包括升学、出国（境）、协议就业、劳动合同就业、应征义务兵、科研助理、国家基层项目、自主创业、其他录用形式就业、自由职业、暂不就业（不就业拟升学和其他暂不就业）、待就业等多种方式就业，本专业毕业去向中升学方式就业人数最多，其次是协议就业方式。毕业生总体就业方式如下表所示。</w:t>
      </w:r>
    </w:p>
    <w:p>
      <w:pPr>
        <w:jc w:val="center"/>
        <w:rPr>
          <w:b/>
          <w:bCs/>
          <w:sz w:val="21"/>
          <w:szCs w:val="21"/>
        </w:rPr>
      </w:pPr>
      <w:r>
        <w:rPr>
          <w:b/>
          <w:bCs/>
          <w:sz w:val="21"/>
          <w:szCs w:val="21"/>
        </w:rPr>
        <w:t>表4.毕业生就业方式统计表</w:t>
      </w:r>
    </w:p>
    <w:tbl>
      <w:tblPr>
        <w:tblStyle w:val="17"/>
        <w:tblW w:w="8620" w:type="dxa"/>
        <w:tblInd w:w="20" w:type="dxa"/>
        <w:tblLayout w:type="fixed"/>
        <w:tblCellMar>
          <w:top w:w="0" w:type="dxa"/>
          <w:left w:w="0" w:type="dxa"/>
          <w:bottom w:w="0" w:type="dxa"/>
          <w:right w:w="0" w:type="dxa"/>
        </w:tblCellMar>
      </w:tblPr>
      <w:tblGrid>
        <w:gridCol w:w="1545"/>
        <w:gridCol w:w="1171"/>
        <w:gridCol w:w="965"/>
        <w:gridCol w:w="1134"/>
        <w:gridCol w:w="993"/>
        <w:gridCol w:w="633"/>
        <w:gridCol w:w="1404"/>
        <w:gridCol w:w="775"/>
      </w:tblGrid>
      <w:tr>
        <w:tblPrEx>
          <w:tblCellMar>
            <w:top w:w="0" w:type="dxa"/>
            <w:left w:w="0" w:type="dxa"/>
            <w:bottom w:w="0" w:type="dxa"/>
            <w:right w:w="0" w:type="dxa"/>
          </w:tblCellMar>
        </w:tblPrEx>
        <w:trPr>
          <w:trHeight w:val="617" w:hRule="atLeast"/>
        </w:trPr>
        <w:tc>
          <w:tcPr>
            <w:tcW w:w="154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就业方式</w:t>
            </w:r>
          </w:p>
        </w:tc>
        <w:tc>
          <w:tcPr>
            <w:tcW w:w="117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国内</w:t>
            </w:r>
          </w:p>
          <w:p>
            <w:pPr>
              <w:spacing w:line="240" w:lineRule="auto"/>
              <w:jc w:val="center"/>
              <w:rPr>
                <w:b/>
                <w:bCs/>
                <w:sz w:val="21"/>
                <w:szCs w:val="21"/>
              </w:rPr>
            </w:pPr>
            <w:r>
              <w:rPr>
                <w:b/>
                <w:bCs/>
                <w:sz w:val="21"/>
                <w:szCs w:val="21"/>
              </w:rPr>
              <w:t>升学</w:t>
            </w:r>
          </w:p>
        </w:tc>
        <w:tc>
          <w:tcPr>
            <w:tcW w:w="96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出国</w:t>
            </w:r>
          </w:p>
        </w:tc>
        <w:tc>
          <w:tcPr>
            <w:tcW w:w="113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协议就业</w:t>
            </w:r>
          </w:p>
        </w:tc>
        <w:tc>
          <w:tcPr>
            <w:tcW w:w="9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劳动合同</w:t>
            </w:r>
          </w:p>
        </w:tc>
        <w:tc>
          <w:tcPr>
            <w:tcW w:w="63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自主创业</w:t>
            </w:r>
          </w:p>
        </w:tc>
        <w:tc>
          <w:tcPr>
            <w:tcW w:w="140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其他录用形式就业</w:t>
            </w:r>
          </w:p>
        </w:tc>
        <w:tc>
          <w:tcPr>
            <w:tcW w:w="7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待就业</w:t>
            </w:r>
          </w:p>
        </w:tc>
      </w:tr>
      <w:tr>
        <w:tblPrEx>
          <w:tblCellMar>
            <w:top w:w="0" w:type="dxa"/>
            <w:left w:w="0" w:type="dxa"/>
            <w:bottom w:w="0" w:type="dxa"/>
            <w:right w:w="0" w:type="dxa"/>
          </w:tblCellMar>
        </w:tblPrEx>
        <w:trPr>
          <w:trHeight w:val="657" w:hRule="atLeast"/>
        </w:trPr>
        <w:tc>
          <w:tcPr>
            <w:tcW w:w="154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人数</w:t>
            </w:r>
          </w:p>
          <w:p>
            <w:pPr>
              <w:spacing w:line="240" w:lineRule="auto"/>
              <w:jc w:val="center"/>
              <w:rPr>
                <w:sz w:val="21"/>
                <w:szCs w:val="21"/>
              </w:rPr>
            </w:pPr>
            <w:r>
              <w:rPr>
                <w:sz w:val="21"/>
                <w:szCs w:val="21"/>
              </w:rPr>
              <w:t>（比例）</w:t>
            </w:r>
          </w:p>
        </w:tc>
        <w:tc>
          <w:tcPr>
            <w:tcW w:w="117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21</w:t>
            </w:r>
          </w:p>
          <w:p>
            <w:pPr>
              <w:spacing w:line="240" w:lineRule="auto"/>
              <w:jc w:val="center"/>
              <w:rPr>
                <w:sz w:val="21"/>
                <w:szCs w:val="21"/>
              </w:rPr>
            </w:pPr>
            <w:r>
              <w:rPr>
                <w:sz w:val="21"/>
                <w:szCs w:val="21"/>
              </w:rPr>
              <w:t>(30%)</w:t>
            </w:r>
          </w:p>
        </w:tc>
        <w:tc>
          <w:tcPr>
            <w:tcW w:w="96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1</w:t>
            </w:r>
          </w:p>
          <w:p>
            <w:pPr>
              <w:spacing w:line="240" w:lineRule="auto"/>
              <w:jc w:val="center"/>
              <w:rPr>
                <w:sz w:val="21"/>
                <w:szCs w:val="21"/>
              </w:rPr>
            </w:pPr>
            <w:r>
              <w:rPr>
                <w:sz w:val="21"/>
                <w:szCs w:val="21"/>
              </w:rPr>
              <w:t>（1.33%）</w:t>
            </w:r>
          </w:p>
        </w:tc>
        <w:tc>
          <w:tcPr>
            <w:tcW w:w="113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22</w:t>
            </w:r>
          </w:p>
          <w:p>
            <w:pPr>
              <w:spacing w:line="240" w:lineRule="auto"/>
              <w:jc w:val="center"/>
              <w:rPr>
                <w:sz w:val="21"/>
                <w:szCs w:val="21"/>
              </w:rPr>
            </w:pPr>
            <w:r>
              <w:rPr>
                <w:sz w:val="21"/>
                <w:szCs w:val="21"/>
              </w:rPr>
              <w:t>(31.42)</w:t>
            </w:r>
          </w:p>
        </w:tc>
        <w:tc>
          <w:tcPr>
            <w:tcW w:w="9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1</w:t>
            </w:r>
          </w:p>
          <w:p>
            <w:pPr>
              <w:spacing w:line="240" w:lineRule="auto"/>
              <w:jc w:val="center"/>
              <w:rPr>
                <w:sz w:val="21"/>
                <w:szCs w:val="21"/>
              </w:rPr>
            </w:pPr>
            <w:r>
              <w:rPr>
                <w:sz w:val="21"/>
                <w:szCs w:val="21"/>
              </w:rPr>
              <w:t>（1.4%）</w:t>
            </w:r>
          </w:p>
        </w:tc>
        <w:tc>
          <w:tcPr>
            <w:tcW w:w="63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w:t>
            </w:r>
          </w:p>
        </w:tc>
        <w:tc>
          <w:tcPr>
            <w:tcW w:w="140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27</w:t>
            </w:r>
          </w:p>
          <w:p>
            <w:pPr>
              <w:spacing w:line="240" w:lineRule="auto"/>
              <w:jc w:val="center"/>
              <w:rPr>
                <w:sz w:val="21"/>
                <w:szCs w:val="21"/>
              </w:rPr>
            </w:pPr>
            <w:r>
              <w:rPr>
                <w:sz w:val="21"/>
                <w:szCs w:val="21"/>
              </w:rPr>
              <w:t>（36%）</w:t>
            </w:r>
          </w:p>
        </w:tc>
        <w:tc>
          <w:tcPr>
            <w:tcW w:w="77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5</w:t>
            </w:r>
          </w:p>
          <w:p>
            <w:pPr>
              <w:spacing w:line="240" w:lineRule="auto"/>
              <w:jc w:val="center"/>
              <w:rPr>
                <w:sz w:val="21"/>
                <w:szCs w:val="21"/>
              </w:rPr>
            </w:pPr>
            <w:r>
              <w:rPr>
                <w:sz w:val="21"/>
                <w:szCs w:val="21"/>
              </w:rPr>
              <w:t>(6.67%)</w:t>
            </w:r>
          </w:p>
        </w:tc>
      </w:tr>
    </w:tbl>
    <w:p>
      <w:pPr>
        <w:adjustRightInd w:val="0"/>
        <w:snapToGrid w:val="0"/>
        <w:ind w:firstLine="480" w:firstLineChars="200"/>
        <w:rPr>
          <w:szCs w:val="24"/>
        </w:rPr>
      </w:pPr>
      <w:r>
        <w:rPr>
          <w:szCs w:val="24"/>
        </w:rPr>
        <w:t>毕业生就业单位性质显示，其他企业就业人数最多，占已就业人数的79.17%，其次是国有企业就业，占比20%。</w:t>
      </w:r>
    </w:p>
    <w:p>
      <w:pPr>
        <w:jc w:val="center"/>
        <w:rPr>
          <w:b/>
          <w:bCs/>
          <w:sz w:val="21"/>
          <w:szCs w:val="21"/>
        </w:rPr>
      </w:pPr>
      <w:r>
        <w:rPr>
          <w:b/>
          <w:bCs/>
          <w:sz w:val="21"/>
          <w:szCs w:val="21"/>
        </w:rPr>
        <w:t>表5.毕业生就业单位性质统计表</w:t>
      </w:r>
    </w:p>
    <w:tbl>
      <w:tblPr>
        <w:tblStyle w:val="17"/>
        <w:tblW w:w="8860" w:type="dxa"/>
        <w:tblInd w:w="23" w:type="dxa"/>
        <w:tblLayout w:type="fixed"/>
        <w:tblCellMar>
          <w:top w:w="0" w:type="dxa"/>
          <w:left w:w="0" w:type="dxa"/>
          <w:bottom w:w="0" w:type="dxa"/>
          <w:right w:w="0" w:type="dxa"/>
        </w:tblCellMar>
      </w:tblPr>
      <w:tblGrid>
        <w:gridCol w:w="988"/>
        <w:gridCol w:w="923"/>
        <w:gridCol w:w="1039"/>
        <w:gridCol w:w="750"/>
        <w:gridCol w:w="761"/>
        <w:gridCol w:w="1052"/>
        <w:gridCol w:w="873"/>
        <w:gridCol w:w="640"/>
        <w:gridCol w:w="927"/>
        <w:gridCol w:w="907"/>
      </w:tblGrid>
      <w:tr>
        <w:tblPrEx>
          <w:tblCellMar>
            <w:top w:w="0" w:type="dxa"/>
            <w:left w:w="0" w:type="dxa"/>
            <w:bottom w:w="0" w:type="dxa"/>
            <w:right w:w="0" w:type="dxa"/>
          </w:tblCellMar>
        </w:tblPrEx>
        <w:trPr>
          <w:trHeight w:val="801" w:hRule="atLeast"/>
        </w:trPr>
        <w:tc>
          <w:tcPr>
            <w:tcW w:w="98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单位</w:t>
            </w:r>
          </w:p>
          <w:p>
            <w:pPr>
              <w:spacing w:line="240" w:lineRule="auto"/>
              <w:jc w:val="center"/>
              <w:rPr>
                <w:b/>
                <w:bCs/>
                <w:sz w:val="21"/>
                <w:szCs w:val="21"/>
              </w:rPr>
            </w:pPr>
            <w:r>
              <w:rPr>
                <w:b/>
                <w:bCs/>
                <w:sz w:val="21"/>
                <w:szCs w:val="21"/>
              </w:rPr>
              <w:t>性质</w:t>
            </w:r>
          </w:p>
        </w:tc>
        <w:tc>
          <w:tcPr>
            <w:tcW w:w="92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国有</w:t>
            </w:r>
          </w:p>
          <w:p>
            <w:pPr>
              <w:spacing w:line="240" w:lineRule="auto"/>
              <w:jc w:val="center"/>
              <w:rPr>
                <w:b/>
                <w:bCs/>
                <w:sz w:val="21"/>
                <w:szCs w:val="21"/>
              </w:rPr>
            </w:pPr>
            <w:r>
              <w:rPr>
                <w:b/>
                <w:bCs/>
                <w:sz w:val="21"/>
                <w:szCs w:val="21"/>
              </w:rPr>
              <w:t>企业</w:t>
            </w:r>
          </w:p>
        </w:tc>
        <w:tc>
          <w:tcPr>
            <w:tcW w:w="103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外资</w:t>
            </w:r>
          </w:p>
          <w:p>
            <w:pPr>
              <w:spacing w:line="240" w:lineRule="auto"/>
              <w:jc w:val="center"/>
              <w:rPr>
                <w:b/>
                <w:bCs/>
                <w:sz w:val="21"/>
                <w:szCs w:val="21"/>
              </w:rPr>
            </w:pPr>
            <w:r>
              <w:rPr>
                <w:b/>
                <w:bCs/>
                <w:sz w:val="21"/>
                <w:szCs w:val="21"/>
              </w:rPr>
              <w:t>企业</w:t>
            </w:r>
          </w:p>
        </w:tc>
        <w:tc>
          <w:tcPr>
            <w:tcW w:w="75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国家</w:t>
            </w:r>
          </w:p>
          <w:p>
            <w:pPr>
              <w:spacing w:line="240" w:lineRule="auto"/>
              <w:jc w:val="center"/>
              <w:rPr>
                <w:b/>
                <w:bCs/>
                <w:sz w:val="21"/>
                <w:szCs w:val="21"/>
              </w:rPr>
            </w:pPr>
            <w:r>
              <w:rPr>
                <w:b/>
                <w:bCs/>
                <w:sz w:val="21"/>
                <w:szCs w:val="21"/>
              </w:rPr>
              <w:t>公务员</w:t>
            </w:r>
          </w:p>
        </w:tc>
        <w:tc>
          <w:tcPr>
            <w:tcW w:w="76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地方</w:t>
            </w:r>
          </w:p>
          <w:p>
            <w:pPr>
              <w:spacing w:line="240" w:lineRule="auto"/>
              <w:jc w:val="center"/>
              <w:rPr>
                <w:b/>
                <w:bCs/>
                <w:sz w:val="21"/>
                <w:szCs w:val="21"/>
              </w:rPr>
            </w:pPr>
            <w:r>
              <w:rPr>
                <w:b/>
                <w:bCs/>
                <w:sz w:val="21"/>
                <w:szCs w:val="21"/>
              </w:rPr>
              <w:t>公务员</w:t>
            </w:r>
          </w:p>
        </w:tc>
        <w:tc>
          <w:tcPr>
            <w:tcW w:w="105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事业</w:t>
            </w:r>
          </w:p>
          <w:p>
            <w:pPr>
              <w:spacing w:line="240" w:lineRule="auto"/>
              <w:jc w:val="center"/>
              <w:rPr>
                <w:b/>
                <w:bCs/>
                <w:sz w:val="21"/>
                <w:szCs w:val="21"/>
              </w:rPr>
            </w:pPr>
            <w:r>
              <w:rPr>
                <w:b/>
                <w:bCs/>
                <w:sz w:val="21"/>
                <w:szCs w:val="21"/>
              </w:rPr>
              <w:t>单位</w:t>
            </w:r>
          </w:p>
        </w:tc>
        <w:tc>
          <w:tcPr>
            <w:tcW w:w="87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选调生</w:t>
            </w:r>
          </w:p>
        </w:tc>
        <w:tc>
          <w:tcPr>
            <w:tcW w:w="64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三支</w:t>
            </w:r>
          </w:p>
          <w:p>
            <w:pPr>
              <w:spacing w:line="240" w:lineRule="auto"/>
              <w:jc w:val="center"/>
              <w:rPr>
                <w:b/>
                <w:bCs/>
                <w:sz w:val="21"/>
                <w:szCs w:val="21"/>
              </w:rPr>
            </w:pPr>
            <w:r>
              <w:rPr>
                <w:b/>
                <w:bCs/>
                <w:sz w:val="21"/>
                <w:szCs w:val="21"/>
              </w:rPr>
              <w:t>一扶</w:t>
            </w:r>
          </w:p>
        </w:tc>
        <w:tc>
          <w:tcPr>
            <w:tcW w:w="9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西部</w:t>
            </w:r>
          </w:p>
          <w:p>
            <w:pPr>
              <w:spacing w:line="240" w:lineRule="auto"/>
              <w:jc w:val="center"/>
              <w:rPr>
                <w:b/>
                <w:bCs/>
                <w:sz w:val="21"/>
                <w:szCs w:val="21"/>
              </w:rPr>
            </w:pPr>
            <w:r>
              <w:rPr>
                <w:b/>
                <w:bCs/>
                <w:sz w:val="21"/>
                <w:szCs w:val="21"/>
              </w:rPr>
              <w:t>志愿者</w:t>
            </w:r>
          </w:p>
        </w:tc>
        <w:tc>
          <w:tcPr>
            <w:tcW w:w="90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中国500强企业</w:t>
            </w:r>
          </w:p>
        </w:tc>
      </w:tr>
      <w:tr>
        <w:tblPrEx>
          <w:tblCellMar>
            <w:top w:w="0" w:type="dxa"/>
            <w:left w:w="0" w:type="dxa"/>
            <w:bottom w:w="0" w:type="dxa"/>
            <w:right w:w="0" w:type="dxa"/>
          </w:tblCellMar>
        </w:tblPrEx>
        <w:tc>
          <w:tcPr>
            <w:tcW w:w="98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sz w:val="21"/>
                <w:szCs w:val="21"/>
              </w:rPr>
            </w:pPr>
            <w:r>
              <w:rPr>
                <w:sz w:val="21"/>
                <w:szCs w:val="21"/>
              </w:rPr>
              <w:t>人数</w:t>
            </w:r>
          </w:p>
          <w:p>
            <w:pPr>
              <w:spacing w:line="240" w:lineRule="auto"/>
              <w:jc w:val="center"/>
              <w:rPr>
                <w:sz w:val="21"/>
                <w:szCs w:val="21"/>
              </w:rPr>
            </w:pPr>
            <w:r>
              <w:rPr>
                <w:sz w:val="21"/>
                <w:szCs w:val="21"/>
              </w:rPr>
              <w:t>（比例）</w:t>
            </w:r>
          </w:p>
        </w:tc>
        <w:tc>
          <w:tcPr>
            <w:tcW w:w="92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6</w:t>
            </w:r>
          </w:p>
          <w:p>
            <w:pPr>
              <w:spacing w:line="240" w:lineRule="auto"/>
              <w:jc w:val="center"/>
              <w:rPr>
                <w:sz w:val="21"/>
                <w:szCs w:val="21"/>
              </w:rPr>
            </w:pPr>
            <w:r>
              <w:rPr>
                <w:sz w:val="21"/>
                <w:szCs w:val="21"/>
              </w:rPr>
              <w:t>（12.5%）</w:t>
            </w:r>
          </w:p>
        </w:tc>
        <w:tc>
          <w:tcPr>
            <w:tcW w:w="103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1</w:t>
            </w:r>
          </w:p>
          <w:p>
            <w:pPr>
              <w:spacing w:line="240" w:lineRule="auto"/>
              <w:jc w:val="center"/>
              <w:rPr>
                <w:sz w:val="21"/>
                <w:szCs w:val="21"/>
              </w:rPr>
            </w:pPr>
            <w:r>
              <w:rPr>
                <w:sz w:val="21"/>
                <w:szCs w:val="21"/>
              </w:rPr>
              <w:t>（2.08%）</w:t>
            </w:r>
          </w:p>
        </w:tc>
        <w:tc>
          <w:tcPr>
            <w:tcW w:w="75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w:t>
            </w:r>
          </w:p>
        </w:tc>
        <w:tc>
          <w:tcPr>
            <w:tcW w:w="76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w:t>
            </w:r>
          </w:p>
        </w:tc>
        <w:tc>
          <w:tcPr>
            <w:tcW w:w="105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w:t>
            </w:r>
          </w:p>
        </w:tc>
        <w:tc>
          <w:tcPr>
            <w:tcW w:w="87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w:t>
            </w:r>
          </w:p>
        </w:tc>
        <w:tc>
          <w:tcPr>
            <w:tcW w:w="64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w:t>
            </w:r>
          </w:p>
        </w:tc>
        <w:tc>
          <w:tcPr>
            <w:tcW w:w="92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1</w:t>
            </w:r>
          </w:p>
          <w:p>
            <w:pPr>
              <w:spacing w:line="240" w:lineRule="auto"/>
              <w:jc w:val="center"/>
              <w:rPr>
                <w:sz w:val="21"/>
                <w:szCs w:val="21"/>
              </w:rPr>
            </w:pPr>
            <w:r>
              <w:rPr>
                <w:sz w:val="21"/>
                <w:szCs w:val="21"/>
              </w:rPr>
              <w:t>（2.08%）</w:t>
            </w:r>
          </w:p>
        </w:tc>
        <w:tc>
          <w:tcPr>
            <w:tcW w:w="90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w:t>
            </w:r>
          </w:p>
        </w:tc>
      </w:tr>
    </w:tbl>
    <w:p>
      <w:pPr>
        <w:adjustRightInd w:val="0"/>
        <w:snapToGrid w:val="0"/>
        <w:ind w:firstLine="480" w:firstLineChars="200"/>
        <w:rPr>
          <w:szCs w:val="24"/>
        </w:rPr>
      </w:pPr>
      <w:r>
        <w:rPr>
          <w:szCs w:val="24"/>
        </w:rPr>
        <w:t>毕业生国内升学21人，国外升学1人，升学率29.3%，其中考入</w:t>
      </w:r>
      <w:r>
        <w:rPr>
          <w:rFonts w:hint="eastAsia"/>
          <w:szCs w:val="24"/>
        </w:rPr>
        <w:t>“</w:t>
      </w:r>
      <w:r>
        <w:rPr>
          <w:szCs w:val="24"/>
        </w:rPr>
        <w:t>双一流</w:t>
      </w:r>
      <w:r>
        <w:rPr>
          <w:rFonts w:hint="eastAsia"/>
          <w:szCs w:val="24"/>
        </w:rPr>
        <w:t>”</w:t>
      </w:r>
      <w:r>
        <w:rPr>
          <w:szCs w:val="24"/>
        </w:rPr>
        <w:t>大学12人，占国内升学总人数的57.14%。升学学校主要是山东农业大学、中国海洋大学、北京化工大学等。</w:t>
      </w:r>
    </w:p>
    <w:p>
      <w:pPr>
        <w:jc w:val="center"/>
        <w:rPr>
          <w:b/>
          <w:bCs/>
          <w:sz w:val="21"/>
          <w:szCs w:val="21"/>
        </w:rPr>
      </w:pPr>
      <w:r>
        <w:rPr>
          <w:b/>
          <w:bCs/>
          <w:sz w:val="21"/>
          <w:szCs w:val="21"/>
        </w:rPr>
        <w:t>表6.国内升学学校前5位统计表</w:t>
      </w:r>
    </w:p>
    <w:tbl>
      <w:tblPr>
        <w:tblStyle w:val="17"/>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1"/>
        <w:gridCol w:w="3254"/>
        <w:gridCol w:w="2165"/>
        <w:gridCol w:w="20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exact"/>
        </w:trPr>
        <w:tc>
          <w:tcPr>
            <w:tcW w:w="1487" w:type="dxa"/>
            <w:vAlign w:val="center"/>
          </w:tcPr>
          <w:p>
            <w:pPr>
              <w:spacing w:line="240" w:lineRule="auto"/>
              <w:jc w:val="center"/>
              <w:rPr>
                <w:b/>
                <w:bCs/>
                <w:sz w:val="21"/>
                <w:szCs w:val="21"/>
              </w:rPr>
            </w:pPr>
            <w:r>
              <w:rPr>
                <w:b/>
                <w:bCs/>
                <w:sz w:val="21"/>
                <w:szCs w:val="21"/>
              </w:rPr>
              <w:t>序号</w:t>
            </w:r>
          </w:p>
        </w:tc>
        <w:tc>
          <w:tcPr>
            <w:tcW w:w="3270" w:type="dxa"/>
            <w:vAlign w:val="center"/>
          </w:tcPr>
          <w:p>
            <w:pPr>
              <w:spacing w:line="240" w:lineRule="auto"/>
              <w:jc w:val="center"/>
              <w:rPr>
                <w:b/>
                <w:bCs/>
                <w:sz w:val="21"/>
                <w:szCs w:val="21"/>
              </w:rPr>
            </w:pPr>
            <w:r>
              <w:rPr>
                <w:b/>
                <w:bCs/>
                <w:sz w:val="21"/>
                <w:szCs w:val="21"/>
              </w:rPr>
              <w:t>升学学校名称</w:t>
            </w:r>
          </w:p>
        </w:tc>
        <w:tc>
          <w:tcPr>
            <w:tcW w:w="2175" w:type="dxa"/>
            <w:vAlign w:val="center"/>
          </w:tcPr>
          <w:p>
            <w:pPr>
              <w:spacing w:line="240" w:lineRule="auto"/>
              <w:jc w:val="center"/>
              <w:rPr>
                <w:b/>
                <w:bCs/>
                <w:sz w:val="21"/>
                <w:szCs w:val="21"/>
              </w:rPr>
            </w:pPr>
            <w:r>
              <w:rPr>
                <w:b/>
                <w:bCs/>
                <w:sz w:val="21"/>
                <w:szCs w:val="21"/>
              </w:rPr>
              <w:t>升学人数</w:t>
            </w:r>
          </w:p>
        </w:tc>
        <w:tc>
          <w:tcPr>
            <w:tcW w:w="2055" w:type="dxa"/>
            <w:vAlign w:val="center"/>
          </w:tcPr>
          <w:p>
            <w:pPr>
              <w:spacing w:line="240" w:lineRule="auto"/>
              <w:jc w:val="center"/>
              <w:rPr>
                <w:b/>
                <w:bCs/>
                <w:sz w:val="21"/>
                <w:szCs w:val="21"/>
              </w:rPr>
            </w:pPr>
            <w:r>
              <w:rPr>
                <w:b/>
                <w:bCs/>
                <w:sz w:val="21"/>
                <w:szCs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487" w:type="dxa"/>
            <w:vAlign w:val="center"/>
          </w:tcPr>
          <w:p>
            <w:pPr>
              <w:spacing w:line="240" w:lineRule="auto"/>
              <w:jc w:val="center"/>
              <w:rPr>
                <w:sz w:val="21"/>
                <w:szCs w:val="21"/>
              </w:rPr>
            </w:pPr>
            <w:r>
              <w:rPr>
                <w:sz w:val="21"/>
                <w:szCs w:val="21"/>
              </w:rPr>
              <w:t>1</w:t>
            </w:r>
          </w:p>
        </w:tc>
        <w:tc>
          <w:tcPr>
            <w:tcW w:w="3270" w:type="dxa"/>
            <w:vAlign w:val="center"/>
          </w:tcPr>
          <w:p>
            <w:pPr>
              <w:spacing w:line="240" w:lineRule="auto"/>
              <w:jc w:val="center"/>
              <w:rPr>
                <w:sz w:val="21"/>
                <w:szCs w:val="21"/>
              </w:rPr>
            </w:pPr>
            <w:r>
              <w:rPr>
                <w:sz w:val="21"/>
                <w:szCs w:val="21"/>
              </w:rPr>
              <w:t>山东农业大学</w:t>
            </w:r>
          </w:p>
        </w:tc>
        <w:tc>
          <w:tcPr>
            <w:tcW w:w="2175" w:type="dxa"/>
            <w:vAlign w:val="center"/>
          </w:tcPr>
          <w:p>
            <w:pPr>
              <w:spacing w:line="240" w:lineRule="auto"/>
              <w:jc w:val="center"/>
              <w:rPr>
                <w:sz w:val="21"/>
                <w:szCs w:val="21"/>
              </w:rPr>
            </w:pPr>
            <w:r>
              <w:rPr>
                <w:sz w:val="21"/>
                <w:szCs w:val="21"/>
              </w:rPr>
              <w:t>8</w:t>
            </w:r>
          </w:p>
        </w:tc>
        <w:tc>
          <w:tcPr>
            <w:tcW w:w="2055" w:type="dxa"/>
            <w:vAlign w:val="center"/>
          </w:tcPr>
          <w:p>
            <w:pPr>
              <w:spacing w:line="240" w:lineRule="auto"/>
              <w:jc w:val="center"/>
              <w:rPr>
                <w:sz w:val="21"/>
                <w:szCs w:val="21"/>
              </w:rPr>
            </w:pPr>
            <w:r>
              <w:rPr>
                <w:sz w:val="21"/>
                <w:szCs w:val="21"/>
              </w:rPr>
              <w:t>38.09%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487" w:type="dxa"/>
            <w:vAlign w:val="center"/>
          </w:tcPr>
          <w:p>
            <w:pPr>
              <w:spacing w:line="240" w:lineRule="auto"/>
              <w:jc w:val="center"/>
              <w:rPr>
                <w:sz w:val="21"/>
                <w:szCs w:val="21"/>
              </w:rPr>
            </w:pPr>
            <w:r>
              <w:rPr>
                <w:sz w:val="21"/>
                <w:szCs w:val="21"/>
              </w:rPr>
              <w:t>2</w:t>
            </w:r>
          </w:p>
        </w:tc>
        <w:tc>
          <w:tcPr>
            <w:tcW w:w="3270" w:type="dxa"/>
            <w:vAlign w:val="center"/>
          </w:tcPr>
          <w:p>
            <w:pPr>
              <w:spacing w:line="240" w:lineRule="auto"/>
              <w:jc w:val="center"/>
              <w:rPr>
                <w:sz w:val="21"/>
                <w:szCs w:val="21"/>
              </w:rPr>
            </w:pPr>
            <w:r>
              <w:rPr>
                <w:sz w:val="21"/>
                <w:szCs w:val="21"/>
              </w:rPr>
              <w:t>山东大学</w:t>
            </w:r>
          </w:p>
        </w:tc>
        <w:tc>
          <w:tcPr>
            <w:tcW w:w="2175" w:type="dxa"/>
            <w:vAlign w:val="center"/>
          </w:tcPr>
          <w:p>
            <w:pPr>
              <w:spacing w:line="240" w:lineRule="auto"/>
              <w:jc w:val="center"/>
              <w:rPr>
                <w:sz w:val="21"/>
                <w:szCs w:val="21"/>
              </w:rPr>
            </w:pPr>
            <w:r>
              <w:rPr>
                <w:sz w:val="21"/>
                <w:szCs w:val="21"/>
              </w:rPr>
              <w:t>1</w:t>
            </w:r>
          </w:p>
        </w:tc>
        <w:tc>
          <w:tcPr>
            <w:tcW w:w="2055" w:type="dxa"/>
            <w:vAlign w:val="center"/>
          </w:tcPr>
          <w:p>
            <w:pPr>
              <w:spacing w:line="240" w:lineRule="auto"/>
              <w:jc w:val="center"/>
              <w:rPr>
                <w:sz w:val="21"/>
                <w:szCs w:val="21"/>
              </w:rPr>
            </w:pPr>
            <w:r>
              <w:rPr>
                <w:sz w:val="21"/>
                <w:szCs w:val="21"/>
              </w:rPr>
              <w:t>4.76%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487" w:type="dxa"/>
            <w:vAlign w:val="center"/>
          </w:tcPr>
          <w:p>
            <w:pPr>
              <w:spacing w:line="240" w:lineRule="auto"/>
              <w:jc w:val="center"/>
              <w:rPr>
                <w:sz w:val="21"/>
                <w:szCs w:val="21"/>
              </w:rPr>
            </w:pPr>
            <w:r>
              <w:rPr>
                <w:sz w:val="21"/>
                <w:szCs w:val="21"/>
              </w:rPr>
              <w:t>3</w:t>
            </w:r>
          </w:p>
        </w:tc>
        <w:tc>
          <w:tcPr>
            <w:tcW w:w="3270" w:type="dxa"/>
            <w:vAlign w:val="center"/>
          </w:tcPr>
          <w:p>
            <w:pPr>
              <w:spacing w:line="240" w:lineRule="auto"/>
              <w:jc w:val="center"/>
              <w:rPr>
                <w:sz w:val="21"/>
                <w:szCs w:val="21"/>
              </w:rPr>
            </w:pPr>
            <w:r>
              <w:rPr>
                <w:sz w:val="21"/>
                <w:szCs w:val="21"/>
              </w:rPr>
              <w:t>西安电子科技大学</w:t>
            </w:r>
          </w:p>
        </w:tc>
        <w:tc>
          <w:tcPr>
            <w:tcW w:w="2175" w:type="dxa"/>
            <w:vAlign w:val="center"/>
          </w:tcPr>
          <w:p>
            <w:pPr>
              <w:spacing w:line="240" w:lineRule="auto"/>
              <w:jc w:val="center"/>
              <w:rPr>
                <w:sz w:val="21"/>
                <w:szCs w:val="21"/>
              </w:rPr>
            </w:pPr>
            <w:r>
              <w:rPr>
                <w:sz w:val="21"/>
                <w:szCs w:val="21"/>
              </w:rPr>
              <w:t>1</w:t>
            </w:r>
          </w:p>
        </w:tc>
        <w:tc>
          <w:tcPr>
            <w:tcW w:w="2055" w:type="dxa"/>
            <w:vAlign w:val="center"/>
          </w:tcPr>
          <w:p>
            <w:pPr>
              <w:spacing w:line="240" w:lineRule="auto"/>
              <w:jc w:val="center"/>
              <w:rPr>
                <w:sz w:val="21"/>
                <w:szCs w:val="21"/>
              </w:rPr>
            </w:pPr>
            <w:r>
              <w:rPr>
                <w:sz w:val="21"/>
                <w:szCs w:val="21"/>
              </w:rPr>
              <w:t>4.76%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487" w:type="dxa"/>
            <w:vAlign w:val="center"/>
          </w:tcPr>
          <w:p>
            <w:pPr>
              <w:spacing w:line="240" w:lineRule="auto"/>
              <w:jc w:val="center"/>
              <w:rPr>
                <w:sz w:val="21"/>
                <w:szCs w:val="21"/>
              </w:rPr>
            </w:pPr>
            <w:r>
              <w:rPr>
                <w:sz w:val="21"/>
                <w:szCs w:val="21"/>
              </w:rPr>
              <w:t>4</w:t>
            </w:r>
          </w:p>
        </w:tc>
        <w:tc>
          <w:tcPr>
            <w:tcW w:w="3270" w:type="dxa"/>
            <w:vAlign w:val="center"/>
          </w:tcPr>
          <w:p>
            <w:pPr>
              <w:spacing w:line="240" w:lineRule="auto"/>
              <w:jc w:val="center"/>
              <w:rPr>
                <w:sz w:val="21"/>
                <w:szCs w:val="21"/>
              </w:rPr>
            </w:pPr>
            <w:r>
              <w:rPr>
                <w:sz w:val="21"/>
                <w:szCs w:val="21"/>
              </w:rPr>
              <w:t>中国石油大学(华东)</w:t>
            </w:r>
          </w:p>
        </w:tc>
        <w:tc>
          <w:tcPr>
            <w:tcW w:w="2175" w:type="dxa"/>
            <w:vAlign w:val="center"/>
          </w:tcPr>
          <w:p>
            <w:pPr>
              <w:spacing w:line="240" w:lineRule="auto"/>
              <w:jc w:val="center"/>
              <w:rPr>
                <w:sz w:val="21"/>
                <w:szCs w:val="21"/>
              </w:rPr>
            </w:pPr>
            <w:r>
              <w:rPr>
                <w:sz w:val="21"/>
                <w:szCs w:val="21"/>
              </w:rPr>
              <w:t>1</w:t>
            </w:r>
          </w:p>
        </w:tc>
        <w:tc>
          <w:tcPr>
            <w:tcW w:w="2055" w:type="dxa"/>
            <w:vAlign w:val="center"/>
          </w:tcPr>
          <w:p>
            <w:pPr>
              <w:spacing w:line="240" w:lineRule="auto"/>
              <w:jc w:val="center"/>
              <w:rPr>
                <w:sz w:val="21"/>
                <w:szCs w:val="21"/>
              </w:rPr>
            </w:pPr>
            <w:r>
              <w:rPr>
                <w:sz w:val="21"/>
                <w:szCs w:val="21"/>
              </w:rPr>
              <w:t>4.76%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487" w:type="dxa"/>
            <w:vAlign w:val="center"/>
          </w:tcPr>
          <w:p>
            <w:pPr>
              <w:spacing w:line="240" w:lineRule="auto"/>
              <w:jc w:val="center"/>
              <w:rPr>
                <w:sz w:val="21"/>
                <w:szCs w:val="21"/>
              </w:rPr>
            </w:pPr>
            <w:r>
              <w:rPr>
                <w:sz w:val="21"/>
                <w:szCs w:val="21"/>
              </w:rPr>
              <w:t>5</w:t>
            </w:r>
          </w:p>
        </w:tc>
        <w:tc>
          <w:tcPr>
            <w:tcW w:w="3270" w:type="dxa"/>
            <w:vAlign w:val="center"/>
          </w:tcPr>
          <w:p>
            <w:pPr>
              <w:spacing w:line="240" w:lineRule="auto"/>
              <w:jc w:val="center"/>
              <w:rPr>
                <w:sz w:val="21"/>
                <w:szCs w:val="21"/>
              </w:rPr>
            </w:pPr>
            <w:r>
              <w:rPr>
                <w:sz w:val="21"/>
                <w:szCs w:val="21"/>
              </w:rPr>
              <w:t>中国农业大学</w:t>
            </w:r>
          </w:p>
        </w:tc>
        <w:tc>
          <w:tcPr>
            <w:tcW w:w="2175" w:type="dxa"/>
            <w:vAlign w:val="center"/>
          </w:tcPr>
          <w:p>
            <w:pPr>
              <w:spacing w:line="240" w:lineRule="auto"/>
              <w:jc w:val="center"/>
              <w:rPr>
                <w:sz w:val="21"/>
                <w:szCs w:val="21"/>
              </w:rPr>
            </w:pPr>
            <w:r>
              <w:rPr>
                <w:sz w:val="21"/>
                <w:szCs w:val="21"/>
              </w:rPr>
              <w:t>1</w:t>
            </w:r>
          </w:p>
        </w:tc>
        <w:tc>
          <w:tcPr>
            <w:tcW w:w="2055" w:type="dxa"/>
            <w:vAlign w:val="center"/>
          </w:tcPr>
          <w:p>
            <w:pPr>
              <w:spacing w:line="240" w:lineRule="auto"/>
              <w:jc w:val="center"/>
              <w:rPr>
                <w:sz w:val="21"/>
                <w:szCs w:val="21"/>
              </w:rPr>
            </w:pPr>
            <w:r>
              <w:rPr>
                <w:sz w:val="21"/>
                <w:szCs w:val="21"/>
              </w:rPr>
              <w:t>4.76%</w:t>
            </w:r>
          </w:p>
        </w:tc>
      </w:tr>
    </w:tbl>
    <w:p>
      <w:pPr>
        <w:adjustRightInd w:val="0"/>
        <w:snapToGrid w:val="0"/>
        <w:ind w:firstLine="480" w:firstLineChars="200"/>
        <w:rPr>
          <w:szCs w:val="24"/>
        </w:rPr>
      </w:pPr>
      <w:r>
        <w:rPr>
          <w:szCs w:val="24"/>
        </w:rPr>
        <w:t>毕业生当前所在工作单位或者所从事工作岗位与所学专业对口率较高的共33人，占已就业总人数的70.21%。主要集中在豪迈集团股份有限公司，中铁建工集团山东有限公司，北汽福田汽车股份有限公司时代领航卡车工厂，日照魏牌汽车有限公司。</w:t>
      </w:r>
    </w:p>
    <w:p>
      <w:pPr>
        <w:ind w:firstLine="420" w:firstLineChars="175"/>
        <w:jc w:val="left"/>
        <w:outlineLvl w:val="2"/>
        <w:rPr>
          <w:kern w:val="0"/>
          <w:szCs w:val="24"/>
        </w:rPr>
      </w:pPr>
      <w:r>
        <w:rPr>
          <w:kern w:val="0"/>
          <w:szCs w:val="24"/>
        </w:rPr>
        <w:t>社会对机械设计制造及其自动化专业的评价和要求是：</w:t>
      </w:r>
      <w:r>
        <w:rPr>
          <w:color w:val="000000"/>
          <w:kern w:val="0"/>
          <w:szCs w:val="24"/>
        </w:rPr>
        <w:t>毕业生较系统地掌握现代机械设计制造基础理论和专业知识，可在装备制造领域从事机械产品的设计与智能化制造、技术运用与改造、生产运行管理等方面工作。具备从事本专业业务工作和适应相邻专业业务工作的能力与素质。</w:t>
      </w:r>
    </w:p>
    <w:p>
      <w:pPr>
        <w:ind w:firstLine="480" w:firstLineChars="200"/>
        <w:jc w:val="left"/>
        <w:rPr>
          <w:color w:val="000000"/>
          <w:kern w:val="0"/>
          <w:szCs w:val="24"/>
        </w:rPr>
      </w:pPr>
      <w:r>
        <w:rPr>
          <w:color w:val="000000"/>
          <w:kern w:val="0"/>
          <w:szCs w:val="24"/>
        </w:rPr>
        <w:t>机械设计制造及其自动化专业的毕业生应获得的知识和能力：</w:t>
      </w:r>
    </w:p>
    <w:p>
      <w:pPr>
        <w:ind w:firstLine="480" w:firstLineChars="200"/>
        <w:jc w:val="left"/>
        <w:rPr>
          <w:color w:val="000000"/>
          <w:kern w:val="0"/>
          <w:szCs w:val="24"/>
        </w:rPr>
      </w:pPr>
      <w:r>
        <w:rPr>
          <w:color w:val="000000"/>
          <w:kern w:val="0"/>
          <w:szCs w:val="24"/>
        </w:rPr>
        <w:t xml:space="preserve">（1）较系统地掌握机械设计制造及其自动化专业的理论基础知识、先进设计制造技术与装备、研究方法和手段，具有较强的实践能力、技术应用能力、先进工程意识和合作创新精神； </w:t>
      </w:r>
    </w:p>
    <w:p>
      <w:pPr>
        <w:ind w:firstLine="480" w:firstLineChars="200"/>
        <w:jc w:val="left"/>
        <w:rPr>
          <w:color w:val="000000"/>
          <w:kern w:val="0"/>
          <w:szCs w:val="24"/>
        </w:rPr>
      </w:pPr>
      <w:r>
        <w:rPr>
          <w:color w:val="000000"/>
          <w:kern w:val="0"/>
          <w:szCs w:val="24"/>
        </w:rPr>
        <w:t>（2）具有较扎实的自然科学基础、较好的人文、艺术和社会科学基础，具备在相关领域较为独立的研究能力；</w:t>
      </w:r>
    </w:p>
    <w:p>
      <w:pPr>
        <w:ind w:firstLine="480" w:firstLineChars="200"/>
        <w:rPr>
          <w:color w:val="000000"/>
          <w:kern w:val="0"/>
          <w:szCs w:val="24"/>
        </w:rPr>
      </w:pPr>
      <w:r>
        <w:rPr>
          <w:color w:val="000000"/>
          <w:kern w:val="0"/>
          <w:szCs w:val="24"/>
        </w:rPr>
        <w:t xml:space="preserve">（3）具有健康的体魄和良好的心理素质，具备较强的组织管理能力、团队合作和协同创新能力，具有国际化视野，了解国内外本专业的科学前沿及发展趋势； </w:t>
      </w:r>
    </w:p>
    <w:p>
      <w:pPr>
        <w:ind w:firstLine="480" w:firstLineChars="200"/>
        <w:rPr>
          <w:color w:val="000000"/>
          <w:kern w:val="0"/>
          <w:szCs w:val="24"/>
        </w:rPr>
      </w:pPr>
      <w:r>
        <w:rPr>
          <w:color w:val="000000"/>
          <w:kern w:val="0"/>
          <w:szCs w:val="24"/>
        </w:rPr>
        <w:t>（4）具有良好的个人修养和社会道德，学风严谨，爱岗敬业，精通业务，能够在工作岗位上发挥积极作用；</w:t>
      </w:r>
    </w:p>
    <w:p>
      <w:pPr>
        <w:ind w:firstLine="480" w:firstLineChars="200"/>
        <w:rPr>
          <w:color w:val="000000"/>
          <w:kern w:val="0"/>
          <w:szCs w:val="24"/>
        </w:rPr>
      </w:pPr>
      <w:r>
        <w:rPr>
          <w:color w:val="000000"/>
          <w:kern w:val="0"/>
          <w:szCs w:val="24"/>
        </w:rPr>
        <w:t>（5）具备自主学习、终身学习、个人素质与知识的提升能力，具备跨领域、跨专业学习和工作的适应能力。</w:t>
      </w:r>
    </w:p>
    <w:p>
      <w:pPr>
        <w:pStyle w:val="5"/>
        <w:spacing w:before="93" w:after="93"/>
        <w:ind w:firstLine="560"/>
      </w:pPr>
      <w:r>
        <w:rPr>
          <w:rFonts w:hint="eastAsia"/>
        </w:rPr>
        <w:t>六、</w:t>
      </w:r>
      <w:r>
        <w:t>毕业生就业创业（创业情况、采取的措施、典型案例等）</w:t>
      </w:r>
      <w:bookmarkEnd w:id="334"/>
    </w:p>
    <w:p>
      <w:pPr>
        <w:pStyle w:val="30"/>
        <w:shd w:val="clear" w:color="auto" w:fill="auto"/>
        <w:spacing w:line="400" w:lineRule="exact"/>
        <w:rPr>
          <w:rFonts w:ascii="Times New Roman" w:hAnsi="Times New Roman" w:cs="Times New Roman"/>
          <w:sz w:val="24"/>
          <w:szCs w:val="24"/>
        </w:rPr>
      </w:pPr>
      <w:r>
        <w:rPr>
          <w:rFonts w:ascii="Times New Roman" w:hAnsi="Times New Roman" w:cs="Times New Roman"/>
          <w:color w:val="000000"/>
          <w:sz w:val="24"/>
          <w:szCs w:val="24"/>
          <w:lang w:val="en-US"/>
        </w:rPr>
        <w:t>机械设计制造及其自动化</w:t>
      </w:r>
      <w:r>
        <w:rPr>
          <w:rFonts w:ascii="Times New Roman" w:hAnsi="Times New Roman" w:cs="Times New Roman"/>
          <w:color w:val="000000"/>
          <w:sz w:val="24"/>
          <w:szCs w:val="24"/>
        </w:rPr>
        <w:t>专业极为重视毕业生就业创业工作，在学院党委、 团委及学生会的大力支持下，多名</w:t>
      </w:r>
      <w:r>
        <w:rPr>
          <w:rFonts w:ascii="Times New Roman" w:hAnsi="Times New Roman" w:cs="Times New Roman"/>
          <w:color w:val="000000"/>
          <w:sz w:val="24"/>
          <w:szCs w:val="24"/>
          <w:lang w:val="en-US"/>
        </w:rPr>
        <w:t>机制</w:t>
      </w:r>
      <w:r>
        <w:rPr>
          <w:rFonts w:ascii="Times New Roman" w:hAnsi="Times New Roman" w:cs="Times New Roman"/>
          <w:color w:val="000000"/>
          <w:sz w:val="24"/>
          <w:szCs w:val="24"/>
        </w:rPr>
        <w:t>专业学生</w:t>
      </w:r>
      <w:r>
        <w:rPr>
          <w:rFonts w:ascii="Times New Roman" w:hAnsi="Times New Roman" w:cs="Times New Roman"/>
          <w:color w:val="000000"/>
          <w:sz w:val="24"/>
          <w:szCs w:val="24"/>
          <w:lang w:val="en-US"/>
        </w:rPr>
        <w:t>在</w:t>
      </w:r>
      <w:r>
        <w:rPr>
          <w:rFonts w:ascii="Times New Roman" w:hAnsi="Times New Roman" w:cs="Times New Roman"/>
          <w:color w:val="000000"/>
          <w:sz w:val="24"/>
          <w:szCs w:val="24"/>
        </w:rPr>
        <w:t>大学期间进行创业尝试，可以预期，随着我国各级政府自主创业</w:t>
      </w:r>
      <w:r>
        <w:rPr>
          <w:rFonts w:ascii="Times New Roman" w:hAnsi="Times New Roman" w:cs="Times New Roman"/>
          <w:color w:val="000000" w:themeColor="text1"/>
          <w:sz w:val="24"/>
          <w:szCs w:val="24"/>
          <w14:textFill>
            <w14:solidFill>
              <w14:schemeClr w14:val="tx1"/>
            </w14:solidFill>
          </w14:textFill>
        </w:rPr>
        <w:t>，万众创新政策的</w:t>
      </w:r>
      <w:r>
        <w:rPr>
          <w:rFonts w:ascii="Times New Roman" w:hAnsi="Times New Roman" w:cs="Times New Roman"/>
          <w:color w:val="000000"/>
          <w:sz w:val="24"/>
          <w:szCs w:val="24"/>
        </w:rPr>
        <w:t>实施，毕业生的自主创业也备受关注。</w:t>
      </w:r>
    </w:p>
    <w:p>
      <w:pPr>
        <w:pStyle w:val="30"/>
        <w:shd w:val="clear" w:color="auto" w:fill="auto"/>
        <w:spacing w:line="400" w:lineRule="exact"/>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sz w:val="24"/>
          <w:szCs w:val="24"/>
        </w:rPr>
        <w:t>为了促进毕业生就业创业工作，机电学院釆取多种措施，确保每个毕业生都能够顺利就业，由于措施得当，2003年以来，连续1</w:t>
      </w:r>
      <w:r>
        <w:rPr>
          <w:rFonts w:ascii="Times New Roman" w:hAnsi="Times New Roman" w:cs="Times New Roman"/>
          <w:color w:val="000000"/>
          <w:sz w:val="24"/>
          <w:szCs w:val="24"/>
          <w:lang w:val="en-US"/>
        </w:rPr>
        <w:t>8</w:t>
      </w:r>
      <w:r>
        <w:rPr>
          <w:rFonts w:ascii="Times New Roman" w:hAnsi="Times New Roman" w:cs="Times New Roman"/>
          <w:color w:val="000000"/>
          <w:sz w:val="24"/>
          <w:szCs w:val="24"/>
        </w:rPr>
        <w:t>年机电学院被学校评为招生就业先进单位光荣称号。202</w:t>
      </w:r>
      <w:r>
        <w:rPr>
          <w:rFonts w:ascii="Times New Roman" w:hAnsi="Times New Roman" w:cs="Times New Roman"/>
          <w:color w:val="000000"/>
          <w:sz w:val="24"/>
          <w:szCs w:val="24"/>
          <w:lang w:val="en-US"/>
        </w:rPr>
        <w:t>2</w:t>
      </w:r>
      <w:r>
        <w:rPr>
          <w:rFonts w:ascii="Times New Roman" w:hAnsi="Times New Roman" w:cs="Times New Roman"/>
          <w:color w:val="000000"/>
          <w:sz w:val="24"/>
          <w:szCs w:val="24"/>
        </w:rPr>
        <w:t>年,针对国内外经济社会发展形势对毕业生就业提出严峻考验的现实，</w:t>
      </w:r>
      <w:r>
        <w:rPr>
          <w:rFonts w:ascii="Times New Roman" w:hAnsi="Times New Roman" w:cs="Times New Roman"/>
          <w:color w:val="000000"/>
          <w:sz w:val="24"/>
          <w:szCs w:val="24"/>
          <w:lang w:val="en-US"/>
        </w:rPr>
        <w:t>机械设计制造及其自动化</w:t>
      </w:r>
      <w:r>
        <w:rPr>
          <w:rFonts w:ascii="Times New Roman" w:hAnsi="Times New Roman" w:cs="Times New Roman"/>
          <w:color w:val="000000"/>
          <w:sz w:val="24"/>
          <w:szCs w:val="24"/>
        </w:rPr>
        <w:t>专业</w:t>
      </w:r>
      <w:r>
        <w:rPr>
          <w:rFonts w:ascii="Times New Roman" w:hAnsi="Times New Roman" w:cs="Times New Roman"/>
          <w:color w:val="000000"/>
          <w:sz w:val="24"/>
          <w:szCs w:val="24"/>
          <w:lang w:val="en-US"/>
        </w:rPr>
        <w:t>各位老师</w:t>
      </w:r>
      <w:r>
        <w:rPr>
          <w:rFonts w:ascii="Times New Roman" w:hAnsi="Times New Roman" w:cs="Times New Roman"/>
          <w:color w:val="000000"/>
          <w:sz w:val="24"/>
          <w:szCs w:val="24"/>
        </w:rPr>
        <w:t>，在学院党委、行政及团委各级领导带领下，开拓创新，充分发挥专业优势，确保</w:t>
      </w:r>
      <w:r>
        <w:rPr>
          <w:rFonts w:ascii="Times New Roman" w:hAnsi="Times New Roman" w:cs="Times New Roman"/>
          <w:color w:val="000000"/>
          <w:sz w:val="24"/>
          <w:szCs w:val="24"/>
          <w:lang w:val="en-US"/>
        </w:rPr>
        <w:t>了机械设计制造及其自动化专业</w:t>
      </w:r>
      <w:r>
        <w:rPr>
          <w:rFonts w:ascii="Times New Roman" w:hAnsi="Times New Roman" w:cs="Times New Roman"/>
          <w:color w:val="000000"/>
          <w:sz w:val="24"/>
          <w:szCs w:val="24"/>
        </w:rPr>
        <w:t>毕业生就业率</w:t>
      </w:r>
      <w:r>
        <w:rPr>
          <w:rFonts w:ascii="Times New Roman" w:hAnsi="Times New Roman" w:cs="Times New Roman"/>
          <w:color w:val="000000"/>
          <w:sz w:val="24"/>
          <w:szCs w:val="24"/>
          <w:lang w:val="en-US"/>
        </w:rPr>
        <w:t>达到</w:t>
      </w:r>
      <w:r>
        <w:rPr>
          <w:rFonts w:ascii="Times New Roman" w:hAnsi="Times New Roman" w:cs="Times New Roman"/>
          <w:color w:val="000000" w:themeColor="text1"/>
          <w:sz w:val="24"/>
          <w:szCs w:val="24"/>
          <w14:textFill>
            <w14:solidFill>
              <w14:schemeClr w14:val="tx1"/>
            </w14:solidFill>
          </w14:textFill>
        </w:rPr>
        <w:t>9</w:t>
      </w:r>
      <w:r>
        <w:rPr>
          <w:rFonts w:ascii="Times New Roman" w:hAnsi="Times New Roman" w:cs="Times New Roman"/>
          <w:color w:val="000000" w:themeColor="text1"/>
          <w:sz w:val="24"/>
          <w:szCs w:val="24"/>
          <w:lang w:val="en-US"/>
          <w14:textFill>
            <w14:solidFill>
              <w14:schemeClr w14:val="tx1"/>
            </w14:solidFill>
          </w14:textFill>
        </w:rPr>
        <w:t>4</w:t>
      </w:r>
      <w:r>
        <w:rPr>
          <w:rFonts w:ascii="Times New Roman" w:hAnsi="Times New Roman" w:cs="Times New Roman"/>
          <w:color w:val="000000" w:themeColor="text1"/>
          <w:sz w:val="24"/>
          <w:szCs w:val="24"/>
          <w14:textFill>
            <w14:solidFill>
              <w14:schemeClr w14:val="tx1"/>
            </w14:solidFill>
          </w14:textFill>
        </w:rPr>
        <w:t>% 以上，具体措施包括：</w:t>
      </w:r>
    </w:p>
    <w:p>
      <w:pPr>
        <w:pStyle w:val="30"/>
        <w:shd w:val="clear" w:color="auto" w:fill="auto"/>
        <w:spacing w:line="400" w:lineRule="exact"/>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狠抓学风建设是根本。学风从根本上决定就业。学院把学风建设与就业相结合，实行教学、就业相促进，强化实践与创新，大力提高核心竞争力。主要实施高端论坛、制度规范、磐石工稈、精品工稈、文化熏陶等9大工稈，夯实、引领、示范、保障优良学风建设，实现了学风建设和就业工作的双赢。</w:t>
      </w:r>
    </w:p>
    <w:p>
      <w:pPr>
        <w:pStyle w:val="30"/>
        <w:shd w:val="clear" w:color="auto" w:fill="auto"/>
        <w:spacing w:line="400" w:lineRule="exact"/>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2</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做好思想工作是关键。每年有近二百家单位招聘，提供几千个岗位。但到大城市、大企业去</w:t>
      </w:r>
      <w:r>
        <w:rPr>
          <w:rFonts w:ascii="Times New Roman" w:hAnsi="Times New Roman" w:cs="Times New Roman"/>
          <w:color w:val="000000" w:themeColor="text1"/>
          <w:sz w:val="24"/>
          <w:szCs w:val="24"/>
          <w:lang w:val="en-US"/>
          <w14:textFill>
            <w14:solidFill>
              <w14:schemeClr w14:val="tx1"/>
            </w14:solidFill>
          </w14:textFill>
        </w:rPr>
        <w:t>工</w:t>
      </w:r>
      <w:r>
        <w:rPr>
          <w:rFonts w:ascii="Times New Roman" w:hAnsi="Times New Roman" w:cs="Times New Roman"/>
          <w:color w:val="000000" w:themeColor="text1"/>
          <w:sz w:val="24"/>
          <w:szCs w:val="24"/>
          <w14:textFill>
            <w14:solidFill>
              <w14:schemeClr w14:val="tx1"/>
            </w14:solidFill>
          </w14:textFill>
        </w:rPr>
        <w:t>作的观念，仍然是制约就业的关键。因此，学院把做好就业教育作为提高签约的关键，重点抓住毕业生择业的</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 xml:space="preserve"> 2个关键时期</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，即</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思考就业</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的萌动期，这时强化就业理念教育；</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准备就业</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的启动期，这时我们把往届生的就业给学生全面分析，引导毕业生树立正确的就业观，做好不同的择业准备；</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快速签约</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的黄金期，这时开展</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知名校友、企业农大行</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，对未签约者进行</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授业解惑</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 xml:space="preserve">，同时开展个性化订单式 </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一盯一一帮一</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帮扶，做学生的好参谋、好朋友。</w:t>
      </w:r>
    </w:p>
    <w:p>
      <w:pPr>
        <w:pStyle w:val="30"/>
        <w:shd w:val="clear" w:color="auto" w:fill="auto"/>
        <w:spacing w:line="400" w:lineRule="exact"/>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3</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拓展就业市场是前提。有较大部分学生是通过校内招聘就业的，学院重视就业市场的拓展，不但巩固老朋友，还要结识新朋友。对五征、雷沃重工、科乐收农业机械有限公司、泰开集团、歌尔声学等这样的招聘大户，像亲戚一样经常要走动；利用参加会议、外出实习等机会，结识了长城汽车、奇瑞汽车、吉利汽车、北汽福田、中烟集团等一大批新朋友，慢慢成为好朋友、老朋友。</w:t>
      </w:r>
    </w:p>
    <w:p>
      <w:pPr>
        <w:pStyle w:val="30"/>
        <w:shd w:val="clear" w:color="auto" w:fill="auto"/>
        <w:spacing w:line="400" w:lineRule="exact"/>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4</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浓厚就业氛围是保障。积极向上的就业氛围，是推动就业的重要保障，学院非常重视营造积极向上的就业氛围。实行</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院领导联系专业促就业</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就业红娘评选</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就业喜报</w:t>
      </w:r>
      <w:r>
        <w:rPr>
          <w:rFonts w:hint="eastAsia"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，党员干部带头就业等措施，营造浓厚的就业氛围。</w:t>
      </w:r>
    </w:p>
    <w:p>
      <w:pPr>
        <w:pStyle w:val="30"/>
        <w:shd w:val="clear" w:color="auto" w:fill="auto"/>
        <w:tabs>
          <w:tab w:val="left" w:pos="588"/>
        </w:tabs>
        <w:spacing w:line="400" w:lineRule="exact"/>
        <w:ind w:firstLine="480" w:firstLineChars="200"/>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lang w:val="en-US"/>
          <w14:textFill>
            <w14:solidFill>
              <w14:schemeClr w14:val="tx1"/>
            </w14:solidFill>
          </w14:textFill>
        </w:rPr>
        <w:t>5</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分类指导是有效途径。把毕业生分成就业、考研等不同类型。针对签约者，帮助他们到单位顶岗实习；对考研的，尝试调整了学习型宿舍；针对报考</w:t>
      </w:r>
      <w:r>
        <w:rPr>
          <w:rFonts w:ascii="Times New Roman" w:hAnsi="Times New Roman" w:cs="Times New Roman"/>
          <w:color w:val="000000" w:themeColor="text1"/>
          <w:sz w:val="24"/>
          <w:szCs w:val="24"/>
          <w:lang w:val="en-US"/>
          <w14:textFill>
            <w14:solidFill>
              <w14:schemeClr w14:val="tx1"/>
            </w14:solidFill>
          </w14:textFill>
        </w:rPr>
        <w:t>一流</w:t>
      </w:r>
      <w:r>
        <w:rPr>
          <w:rFonts w:ascii="Times New Roman" w:hAnsi="Times New Roman" w:cs="Times New Roman"/>
          <w:color w:val="000000" w:themeColor="text1"/>
          <w:sz w:val="24"/>
          <w:szCs w:val="24"/>
          <w14:textFill>
            <w14:solidFill>
              <w14:schemeClr w14:val="tx1"/>
            </w14:solidFill>
          </w14:textFill>
        </w:rPr>
        <w:t>高校学生扎堆现象，专门召开协调会，动员学生报考我校的同时，避免自我淘汰，指导学生主动分流；对报考公务员的，邀请教师进行指导，近年来考研、考公务员成功率逐年提高, 成为学院就业新得增长点。</w:t>
      </w:r>
    </w:p>
    <w:p>
      <w:pPr>
        <w:pStyle w:val="30"/>
        <w:shd w:val="clear" w:color="auto" w:fill="auto"/>
        <w:tabs>
          <w:tab w:val="left" w:pos="592"/>
        </w:tabs>
        <w:spacing w:line="400" w:lineRule="exact"/>
        <w:ind w:firstLine="480" w:firstLineChars="200"/>
        <w:rPr>
          <w:rFonts w:ascii="Times New Roman" w:hAnsi="Times New Roman" w:cs="Times New Roman"/>
          <w:sz w:val="24"/>
          <w:szCs w:val="24"/>
        </w:rPr>
      </w:pPr>
      <w:r>
        <w:rPr>
          <w:rFonts w:ascii="Times New Roman" w:hAnsi="Times New Roman" w:cs="Times New Roman"/>
          <w:color w:val="000000"/>
          <w:sz w:val="24"/>
          <w:szCs w:val="24"/>
          <w:lang w:val="en-US"/>
        </w:rPr>
        <w:t>6</w:t>
      </w:r>
      <w:r>
        <w:rPr>
          <w:rFonts w:hint="eastAsia" w:ascii="Times New Roman" w:hAnsi="Times New Roman" w:cs="Times New Roman"/>
          <w:color w:val="000000"/>
          <w:sz w:val="24"/>
          <w:szCs w:val="24"/>
          <w:lang w:val="en-US" w:eastAsia="zh-CN"/>
        </w:rPr>
        <w:t>.</w:t>
      </w:r>
      <w:r>
        <w:rPr>
          <w:rFonts w:ascii="Times New Roman" w:hAnsi="Times New Roman" w:cs="Times New Roman"/>
          <w:color w:val="000000"/>
          <w:sz w:val="24"/>
          <w:szCs w:val="24"/>
        </w:rPr>
        <w:t>畅通就业渠道是基础。充分利用院网、新媒体、就业</w:t>
      </w:r>
      <w:r>
        <w:rPr>
          <w:rFonts w:ascii="Times New Roman" w:hAnsi="Times New Roman" w:cs="Times New Roman"/>
          <w:color w:val="000000"/>
          <w:sz w:val="24"/>
          <w:szCs w:val="24"/>
          <w:lang w:val="en-US" w:bidi="en-US"/>
        </w:rPr>
        <w:t>APP、</w:t>
      </w:r>
      <w:r>
        <w:rPr>
          <w:rFonts w:ascii="Times New Roman" w:hAnsi="Times New Roman" w:cs="Times New Roman"/>
          <w:color w:val="000000"/>
          <w:sz w:val="24"/>
          <w:szCs w:val="24"/>
        </w:rPr>
        <w:t>班级就业信息员等渠道，把就业信息及时快捷的传递到毕业生。学生会还设立了</w:t>
      </w:r>
      <w:r>
        <w:rPr>
          <w:rFonts w:hint="eastAsia" w:ascii="Times New Roman" w:hAnsi="Times New Roman" w:cs="Times New Roman"/>
          <w:color w:val="000000"/>
          <w:sz w:val="24"/>
          <w:szCs w:val="24"/>
        </w:rPr>
        <w:t>“</w:t>
      </w:r>
      <w:r>
        <w:rPr>
          <w:rFonts w:ascii="Times New Roman" w:hAnsi="Times New Roman" w:cs="Times New Roman"/>
          <w:color w:val="000000"/>
          <w:sz w:val="24"/>
          <w:szCs w:val="24"/>
        </w:rPr>
        <w:t>考研与就业服务部</w:t>
      </w:r>
      <w:r>
        <w:rPr>
          <w:rFonts w:hint="eastAsia" w:ascii="Times New Roman" w:hAnsi="Times New Roman" w:cs="Times New Roman"/>
          <w:color w:val="000000"/>
          <w:sz w:val="24"/>
          <w:szCs w:val="24"/>
        </w:rPr>
        <w:t>”</w:t>
      </w:r>
      <w:r>
        <w:rPr>
          <w:rFonts w:ascii="Times New Roman" w:hAnsi="Times New Roman" w:cs="Times New Roman"/>
          <w:color w:val="000000"/>
          <w:sz w:val="24"/>
          <w:szCs w:val="24"/>
        </w:rPr>
        <w:t xml:space="preserve">，协助辅导员老师关注山东大学等其他高校的相关就业信息。学院在毕业生公寓楼门口制作了 </w:t>
      </w:r>
      <w:r>
        <w:rPr>
          <w:rFonts w:hint="eastAsia" w:ascii="Times New Roman" w:hAnsi="Times New Roman" w:cs="Times New Roman"/>
          <w:color w:val="000000"/>
          <w:sz w:val="24"/>
          <w:szCs w:val="24"/>
        </w:rPr>
        <w:t>“</w:t>
      </w:r>
      <w:r>
        <w:rPr>
          <w:rFonts w:ascii="Times New Roman" w:hAnsi="Times New Roman" w:cs="Times New Roman"/>
          <w:color w:val="000000"/>
          <w:sz w:val="24"/>
          <w:szCs w:val="24"/>
        </w:rPr>
        <w:t>毕业生就业信息专栏</w:t>
      </w:r>
      <w:r>
        <w:rPr>
          <w:rFonts w:hint="eastAsia" w:ascii="Times New Roman" w:hAnsi="Times New Roman" w:cs="Times New Roman"/>
          <w:color w:val="000000"/>
          <w:sz w:val="24"/>
          <w:szCs w:val="24"/>
        </w:rPr>
        <w:t>”</w:t>
      </w:r>
      <w:r>
        <w:rPr>
          <w:rFonts w:ascii="Times New Roman" w:hAnsi="Times New Roman" w:cs="Times New Roman"/>
          <w:color w:val="000000"/>
          <w:sz w:val="24"/>
          <w:szCs w:val="24"/>
        </w:rPr>
        <w:t>，有校内、校外招聘信息等六大板块，定期更新，极大地方便了毕业生获取就业信息。</w:t>
      </w:r>
    </w:p>
    <w:p>
      <w:pPr>
        <w:pStyle w:val="5"/>
        <w:spacing w:before="93" w:after="93"/>
        <w:ind w:firstLine="560"/>
      </w:pPr>
      <w:bookmarkStart w:id="335" w:name="_Toc19789"/>
      <w:r>
        <w:t>七、专业发展趋势及建议</w:t>
      </w:r>
      <w:bookmarkEnd w:id="335"/>
    </w:p>
    <w:p>
      <w:pPr>
        <w:ind w:firstLine="480" w:firstLineChars="200"/>
      </w:pPr>
      <w:r>
        <w:t>随着我国经济科技的高速发展，目前正面临着经济发展转型、结构调整及重视发展质量的巨大机遇和挑战，随着国内企业对自动化、智能化生产技术要求不断提高，外向型经济的迅速发展，低水平的劳动者已远不能适应经济和社会发展的需要，知识已成为企业竞争的优势和资本，目前电子技术与计算机技术的迅速发展，触发了机械工程领域的一场深刻革命，促进了机械技术与微电子技术及信息技术的高度结合，现代企业自动化、智能化的应用程度越来越高，自动化的机电设备，数控机床不断增加，柔性制造、工业机械手和机器人、生产过程自动化的应用越来越广泛。迫切需要具有机械设计制造与自动化方面综合知识结构及运用能力的技术人才，以适应当前我国传统机械工业改造、产业结构调整和技术升级的重大需要。因此长远来看，机电结合业已成为机械工业发展的必然趋势，是我国从制造大国向制造强国迈进的必由之路。国务院下发的《中国制造2025》文件中，明确了今后十年工业发展的方向，其中，智能化制造、互联网+及工业4.0等领域是中国制造的重中之重。</w:t>
      </w:r>
    </w:p>
    <w:p>
      <w:pPr>
        <w:spacing w:line="390" w:lineRule="exact"/>
        <w:ind w:firstLine="480" w:firstLineChars="200"/>
      </w:pPr>
      <w:r>
        <w:t>山东省是我国重要的机械制造及出口基地，制造业已经形成门类齐全、规模较大、且具有一定技术水平的核心产业体系，其中涵盖了汽车制造、内燃机制造及零部件、农业装备、工程机械、石油机械、风电产业、电子器件等众多产业。因此，在未来的经济社会发展规划中，把现代装备制造业作为全省重点培育和发展的优势产业，壮大优势产业群，延伸产业链，推进科技创新、成果转化和高新技术产业化，形成具有自主创新能力的现代装备制造业和研发转化基地，促进地区产业结构优化升级。其中建设装备制造业、引进技术和自主开发相结合，提高成套设备研发能力，发展光机电一体化设备、精密成型加工设备、柔性制造设备、数控机床、智能机械设备、农业机械、重型机械、电工电气、机械基础件、仪器仪表、工程机械、模具、汽车及零部件制造等产业是必然趋势，这就为机械设计制造及其自动化专业毕业生提供了广阔的就业市场，同时，也对该专业人才培养质量提出了更高的要求。</w:t>
      </w:r>
    </w:p>
    <w:p>
      <w:pPr>
        <w:spacing w:line="390" w:lineRule="exact"/>
        <w:ind w:firstLine="480" w:firstLineChars="200"/>
      </w:pPr>
      <w:r>
        <w:t>基于以上分析，机械设计制造及其自动化专业培养的学生应与时俱进，紧跟时代发展潮流，以提高学生创新创业技能为突破口，强化实践教学环节，加强教师师德师风建设和授课技能培训，提高教学质量，促进学生的分类培养目标实现，对机械设计制造及其自动化专业今后的发展提出如下建议：</w:t>
      </w:r>
    </w:p>
    <w:p>
      <w:pPr>
        <w:spacing w:line="390" w:lineRule="exact"/>
        <w:ind w:firstLine="480" w:firstLineChars="200"/>
      </w:pPr>
      <w:r>
        <w:t>1</w:t>
      </w:r>
      <w:r>
        <w:rPr>
          <w:rFonts w:hint="eastAsia"/>
          <w:lang w:eastAsia="zh-CN"/>
        </w:rPr>
        <w:t>.</w:t>
      </w:r>
      <w:r>
        <w:t>加强专业建设力度，改革人才培养模式，瞄准世界机电领域先进技术，以工学结合确立专业人才培养模式，以专业能力和科学素养构建专业核心课程；</w:t>
      </w:r>
    </w:p>
    <w:p>
      <w:pPr>
        <w:spacing w:line="390" w:lineRule="exact"/>
        <w:ind w:firstLine="480" w:firstLineChars="200"/>
      </w:pPr>
      <w:r>
        <w:t>2</w:t>
      </w:r>
      <w:r>
        <w:rPr>
          <w:rFonts w:hint="eastAsia"/>
          <w:lang w:eastAsia="zh-CN"/>
        </w:rPr>
        <w:t>.</w:t>
      </w:r>
      <w:r>
        <w:t>注重师资队伍建设，打造一支专兼结合、师德高尚、技能过硬、国内外具有一定知名度的优秀专业教学团队；</w:t>
      </w:r>
    </w:p>
    <w:p>
      <w:pPr>
        <w:spacing w:line="390" w:lineRule="exact"/>
        <w:ind w:firstLine="480" w:firstLineChars="200"/>
      </w:pPr>
      <w:r>
        <w:t>3</w:t>
      </w:r>
      <w:r>
        <w:rPr>
          <w:rFonts w:hint="eastAsia"/>
          <w:lang w:eastAsia="zh-CN"/>
        </w:rPr>
        <w:t>.</w:t>
      </w:r>
      <w:r>
        <w:t>在学校规划统一指导下，按照</w:t>
      </w:r>
      <w:r>
        <w:rPr>
          <w:rFonts w:hint="eastAsia"/>
        </w:rPr>
        <w:t>“</w:t>
      </w:r>
      <w:r>
        <w:t>教育定位准确，教学方法独特，培养模式先进，专业特色鲜明，人才质量优良</w:t>
      </w:r>
      <w:r>
        <w:rPr>
          <w:rFonts w:hint="eastAsia"/>
        </w:rPr>
        <w:t>”</w:t>
      </w:r>
      <w:r>
        <w:t>的要求，为适应人才市场需求和提高就业竞争力，全面提高教学质量，坚持</w:t>
      </w:r>
      <w:r>
        <w:rPr>
          <w:rFonts w:hint="eastAsia"/>
        </w:rPr>
        <w:t>“</w:t>
      </w:r>
      <w:r>
        <w:t>以学生为本，以完善知识结构为导向、以强化理论实践技能为依托、以机电产品设计生产为核心</w:t>
      </w:r>
      <w:r>
        <w:rPr>
          <w:rFonts w:hint="eastAsia"/>
        </w:rPr>
        <w:t>”</w:t>
      </w:r>
      <w:r>
        <w:t>的原则，将</w:t>
      </w:r>
      <w:r>
        <w:rPr>
          <w:rFonts w:hint="eastAsia"/>
        </w:rPr>
        <w:t>“</w:t>
      </w:r>
      <w:r>
        <w:t>机械设计制造及其自动化专业</w:t>
      </w:r>
      <w:r>
        <w:rPr>
          <w:rFonts w:hint="eastAsia"/>
        </w:rPr>
        <w:t>”</w:t>
      </w:r>
      <w:r>
        <w:t>专业建成精品专业；</w:t>
      </w:r>
    </w:p>
    <w:p>
      <w:pPr>
        <w:spacing w:line="390" w:lineRule="exact"/>
        <w:ind w:firstLine="480" w:firstLineChars="200"/>
      </w:pPr>
      <w:r>
        <w:t>4</w:t>
      </w:r>
      <w:r>
        <w:rPr>
          <w:rFonts w:hint="eastAsia"/>
          <w:lang w:eastAsia="zh-CN"/>
        </w:rPr>
        <w:t>.</w:t>
      </w:r>
      <w:r>
        <w:t>以</w:t>
      </w:r>
      <w:r>
        <w:rPr>
          <w:rFonts w:hint="eastAsia"/>
        </w:rPr>
        <w:t>“</w:t>
      </w:r>
      <w:r>
        <w:t>教、学、做、知识、能力、素质</w:t>
      </w:r>
      <w:r>
        <w:rPr>
          <w:rFonts w:hint="eastAsia"/>
        </w:rPr>
        <w:t>”</w:t>
      </w:r>
      <w:r>
        <w:t>六位一体的教学方法为突破口，突出课程改革，培养合格的高素质技能型人才，创造条件，鼓励学生参加各类机电大赛，提高其实践技能；</w:t>
      </w:r>
    </w:p>
    <w:p>
      <w:pPr>
        <w:spacing w:line="390" w:lineRule="exact"/>
        <w:ind w:firstLine="480" w:firstLineChars="200"/>
      </w:pPr>
      <w:r>
        <w:t>5</w:t>
      </w:r>
      <w:r>
        <w:rPr>
          <w:rFonts w:hint="eastAsia"/>
          <w:lang w:eastAsia="zh-CN"/>
        </w:rPr>
        <w:t>.</w:t>
      </w:r>
      <w:r>
        <w:t>加强校内外实验室及实训基地建设，通过购买、自制等手段充实实验仪器设备，提高实验室综合利用率，制定相关规章制度，强化校企合作内容，整合各种资源，着力建设集资源共享、学生实训、技术服务于一体的教学科研保障体系。</w:t>
      </w:r>
    </w:p>
    <w:p>
      <w:pPr>
        <w:pStyle w:val="5"/>
        <w:spacing w:before="93" w:after="93"/>
        <w:ind w:firstLine="560"/>
      </w:pPr>
      <w:bookmarkStart w:id="336" w:name="_Toc29412"/>
      <w:r>
        <w:t>八、存在的问题及拟采取的对策措施</w:t>
      </w:r>
      <w:bookmarkEnd w:id="336"/>
    </w:p>
    <w:p>
      <w:pPr>
        <w:ind w:firstLine="480" w:firstLineChars="200"/>
      </w:pPr>
      <w:r>
        <w:t>存在的问题主要有：1、教师教学重理论知识讲授、轻实践教学，同时，教学精力投入不足，重视科研忽视教学的现象极为普遍；2、教学内容不能紧跟国内外机电行业发展潮流，对新技术的了解还有所欠缺；3、对学生教学效果评价体系还不完善，期末考试占本课程考核成绩比重过大。</w:t>
      </w:r>
    </w:p>
    <w:p>
      <w:pPr>
        <w:ind w:firstLine="480" w:firstLineChars="200"/>
      </w:pPr>
      <w:r>
        <w:t>今后，随着新培养方案的实施，机械设计制造及其自动化专业将与时俱进，从以下几个方面进行建设与改革，努力提高学生创新创业能力与适应社会能力。</w:t>
      </w:r>
    </w:p>
    <w:p>
      <w:pPr>
        <w:ind w:firstLine="480" w:firstLineChars="200"/>
        <w:outlineLvl w:val="3"/>
        <w:rPr>
          <w:rFonts w:eastAsia="黑体"/>
          <w:bCs/>
          <w:kern w:val="0"/>
          <w:szCs w:val="24"/>
        </w:rPr>
      </w:pPr>
      <w:r>
        <w:rPr>
          <w:rFonts w:eastAsia="黑体"/>
          <w:bCs/>
          <w:kern w:val="0"/>
          <w:szCs w:val="24"/>
        </w:rPr>
        <w:t>1</w:t>
      </w:r>
      <w:r>
        <w:rPr>
          <w:rFonts w:hint="eastAsia" w:eastAsia="黑体"/>
          <w:bCs/>
          <w:kern w:val="0"/>
          <w:szCs w:val="24"/>
          <w:lang w:eastAsia="zh-CN"/>
        </w:rPr>
        <w:t>.</w:t>
      </w:r>
      <w:r>
        <w:rPr>
          <w:rFonts w:eastAsia="黑体"/>
          <w:bCs/>
          <w:kern w:val="0"/>
          <w:szCs w:val="24"/>
        </w:rPr>
        <w:t>转变教学观念</w:t>
      </w:r>
    </w:p>
    <w:p>
      <w:pPr>
        <w:ind w:firstLine="480" w:firstLineChars="200"/>
      </w:pPr>
      <w:r>
        <w:t>教师的教育理念、知识与能力结构、教学能力等将直接影响到专业教学的结果。树立现代教育理念、转变教学观念是专业教学改革的关键。</w:t>
      </w:r>
    </w:p>
    <w:p>
      <w:pPr>
        <w:ind w:firstLine="480" w:firstLineChars="200"/>
      </w:pPr>
      <w:r>
        <w:t>教师在专业教学中要打破学科界限和原有的知识体系，要以理论性过程性知识传授为主、以陈述性应用性知识传授为辅，要以知识传授为主，以技能传授为辅，重视学生的学习态度、方法和职业意识的形成。因此，教师要在专业教学中建立基于能力本位的教育观，在专业教学过程中体现以知识应用能力为基础；建立基于理论性、过程性的课程观；建立基于多元智能理论的人才观，使教学内容、教学方法、教学过程适合社会的要求和发展需要；建立基于行动导向的教学观，采用以学生为主体、以教学项目为载体、以行动为导向的有效教学方法。</w:t>
      </w:r>
    </w:p>
    <w:p>
      <w:pPr>
        <w:ind w:firstLine="480" w:firstLineChars="200"/>
        <w:outlineLvl w:val="3"/>
        <w:rPr>
          <w:rFonts w:eastAsia="黑体"/>
          <w:bCs/>
          <w:kern w:val="0"/>
          <w:szCs w:val="24"/>
        </w:rPr>
      </w:pPr>
      <w:r>
        <w:rPr>
          <w:rFonts w:eastAsia="黑体"/>
          <w:bCs/>
          <w:kern w:val="0"/>
          <w:szCs w:val="24"/>
        </w:rPr>
        <w:t>2</w:t>
      </w:r>
      <w:r>
        <w:rPr>
          <w:rFonts w:hint="eastAsia" w:eastAsia="黑体"/>
          <w:bCs/>
          <w:kern w:val="0"/>
          <w:szCs w:val="24"/>
          <w:lang w:eastAsia="zh-CN"/>
        </w:rPr>
        <w:t>.</w:t>
      </w:r>
      <w:r>
        <w:rPr>
          <w:rFonts w:eastAsia="黑体"/>
          <w:bCs/>
          <w:kern w:val="0"/>
          <w:szCs w:val="24"/>
        </w:rPr>
        <w:t>重组教学内容</w:t>
      </w:r>
    </w:p>
    <w:p>
      <w:pPr>
        <w:ind w:firstLine="480" w:firstLineChars="200"/>
      </w:pPr>
      <w:r>
        <w:t>打破学科界限，以应用及创新能力体系为基础确定课程内容；围绕掌握本专业国内外发展动态来组织相应的知识、技能和态度，设计相应的理论研究与实践活动；通过设计工程实践情景，培养学生在较为复杂的工作关系中做出判断并采取相应行动的综合职业能力。</w:t>
      </w:r>
    </w:p>
    <w:p>
      <w:pPr>
        <w:ind w:firstLine="480" w:firstLineChars="200"/>
        <w:outlineLvl w:val="3"/>
        <w:rPr>
          <w:rFonts w:eastAsia="黑体"/>
          <w:bCs/>
          <w:kern w:val="0"/>
          <w:szCs w:val="24"/>
        </w:rPr>
      </w:pPr>
      <w:r>
        <w:rPr>
          <w:rFonts w:eastAsia="黑体"/>
          <w:bCs/>
          <w:kern w:val="0"/>
          <w:szCs w:val="24"/>
        </w:rPr>
        <w:t>3</w:t>
      </w:r>
      <w:r>
        <w:rPr>
          <w:rFonts w:hint="eastAsia" w:eastAsia="黑体"/>
          <w:bCs/>
          <w:kern w:val="0"/>
          <w:szCs w:val="24"/>
          <w:lang w:eastAsia="zh-CN"/>
        </w:rPr>
        <w:t>.</w:t>
      </w:r>
      <w:r>
        <w:rPr>
          <w:rFonts w:eastAsia="黑体"/>
          <w:bCs/>
          <w:kern w:val="0"/>
          <w:szCs w:val="24"/>
        </w:rPr>
        <w:t>改革教学方法</w:t>
      </w:r>
    </w:p>
    <w:p>
      <w:pPr>
        <w:ind w:firstLine="480" w:firstLineChars="200"/>
      </w:pPr>
      <w:r>
        <w:t>根据教学内容，选用合适有效的教学方法，针对学生的特点，组织教学项目，配以现代化教学技术，合理运用教学环境，在</w:t>
      </w:r>
      <w:r>
        <w:rPr>
          <w:rFonts w:hint="eastAsia"/>
        </w:rPr>
        <w:t>“</w:t>
      </w:r>
      <w:r>
        <w:t>生产情景</w:t>
      </w:r>
      <w:r>
        <w:rPr>
          <w:rFonts w:hint="eastAsia"/>
        </w:rPr>
        <w:t>”</w:t>
      </w:r>
      <w:r>
        <w:t>中强化动手操作，在教学中强调师生互动。在改革教学方法方面建议重点注意以下方面：</w:t>
      </w:r>
    </w:p>
    <w:p>
      <w:pPr>
        <w:ind w:firstLine="480" w:firstLineChars="200"/>
      </w:pPr>
      <w:r>
        <w:t>创新教学方式，提高教学效果：摒弃传统的以教师、课堂、教材为中心教学方式，倡导以学生为主体，凸显教学互动，培养学生自主学习和创新的能力。促进个性发展的教学方式</w:t>
      </w:r>
    </w:p>
    <w:p>
      <w:pPr>
        <w:ind w:firstLine="480" w:firstLineChars="200"/>
      </w:pPr>
      <w:r>
        <w:t>设置</w:t>
      </w:r>
      <w:r>
        <w:rPr>
          <w:rFonts w:hint="eastAsia"/>
        </w:rPr>
        <w:t>“</w:t>
      </w:r>
      <w:r>
        <w:t>生产情景</w:t>
      </w:r>
      <w:r>
        <w:rPr>
          <w:rFonts w:hint="eastAsia"/>
        </w:rPr>
        <w:t>”</w:t>
      </w:r>
      <w:r>
        <w:t>，培养职业习惯；根据课程内容，创新</w:t>
      </w:r>
      <w:r>
        <w:rPr>
          <w:rFonts w:hint="eastAsia"/>
        </w:rPr>
        <w:t>“</w:t>
      </w:r>
      <w:r>
        <w:t>生产情景</w:t>
      </w:r>
      <w:r>
        <w:rPr>
          <w:rFonts w:hint="eastAsia"/>
        </w:rPr>
        <w:t>”</w:t>
      </w:r>
      <w:r>
        <w:t>，进行理论实践一体化教学、学习过程行动化、做到讲练结合、练中有奖、学在链中、是学生体验职业活动，真正掌握使用的生产技能，提高职业能力</w:t>
      </w:r>
    </w:p>
    <w:p>
      <w:pPr>
        <w:ind w:firstLine="480" w:firstLineChars="200"/>
        <w:rPr>
          <w:color w:val="000000" w:themeColor="text1"/>
          <w14:textFill>
            <w14:solidFill>
              <w14:schemeClr w14:val="tx1"/>
            </w14:solidFill>
          </w14:textFill>
        </w:rPr>
      </w:pPr>
      <w:r>
        <w:t>运用技术手段，扩展教学资源：充分利用现代教学技术，推广多媒体和仿真教学，开发和利用网络资源，使得难以理解的知</w:t>
      </w:r>
      <w:r>
        <w:rPr>
          <w:color w:val="000000" w:themeColor="text1"/>
          <w14:textFill>
            <w14:solidFill>
              <w14:schemeClr w14:val="tx1"/>
            </w14:solidFill>
          </w14:textFill>
        </w:rPr>
        <w:t>识和经验能形象、直观的展现在学生面前，同时也可以丰富学生的学习方式和学生资源</w:t>
      </w:r>
    </w:p>
    <w:p>
      <w:pPr>
        <w:ind w:firstLine="480" w:firstLineChars="200"/>
        <w:outlineLvl w:val="3"/>
        <w:rPr>
          <w:rFonts w:eastAsia="黑体"/>
          <w:bCs/>
          <w:kern w:val="0"/>
          <w:szCs w:val="24"/>
        </w:rPr>
      </w:pPr>
      <w:r>
        <w:rPr>
          <w:rFonts w:eastAsia="黑体"/>
          <w:bCs/>
          <w:kern w:val="0"/>
          <w:szCs w:val="24"/>
        </w:rPr>
        <w:t>4</w:t>
      </w:r>
      <w:r>
        <w:rPr>
          <w:rFonts w:hint="eastAsia" w:eastAsia="黑体"/>
          <w:bCs/>
          <w:kern w:val="0"/>
          <w:szCs w:val="24"/>
          <w:lang w:eastAsia="zh-CN"/>
        </w:rPr>
        <w:t>.</w:t>
      </w:r>
      <w:r>
        <w:rPr>
          <w:rFonts w:eastAsia="黑体"/>
          <w:bCs/>
          <w:kern w:val="0"/>
          <w:szCs w:val="24"/>
        </w:rPr>
        <w:t>创新教学评价</w:t>
      </w:r>
    </w:p>
    <w:p>
      <w:pPr>
        <w:ind w:firstLine="480" w:firstLineChars="200"/>
      </w:pPr>
      <w:r>
        <w:t>要改变传统的教学评价方式，重视过程性评价，注意过程性评价和终结性评价的有机结合，在学业评价中充分考虑机电产品创新设计技能掌握程度和评价本身对职业能力形成的促进作用。</w:t>
      </w:r>
    </w:p>
    <w:p>
      <w:pPr>
        <w:ind w:firstLine="480" w:firstLineChars="200"/>
        <w:outlineLvl w:val="3"/>
        <w:rPr>
          <w:rFonts w:eastAsia="黑体"/>
          <w:bCs/>
          <w:kern w:val="0"/>
          <w:szCs w:val="24"/>
        </w:rPr>
      </w:pPr>
      <w:r>
        <w:rPr>
          <w:rFonts w:eastAsia="黑体"/>
          <w:bCs/>
          <w:kern w:val="0"/>
          <w:szCs w:val="24"/>
        </w:rPr>
        <w:t>5</w:t>
      </w:r>
      <w:r>
        <w:rPr>
          <w:rFonts w:hint="eastAsia" w:eastAsia="黑体"/>
          <w:bCs/>
          <w:kern w:val="0"/>
          <w:szCs w:val="24"/>
          <w:lang w:eastAsia="zh-CN"/>
        </w:rPr>
        <w:t>.</w:t>
      </w:r>
      <w:r>
        <w:rPr>
          <w:rFonts w:eastAsia="黑体"/>
          <w:bCs/>
          <w:kern w:val="0"/>
          <w:szCs w:val="24"/>
        </w:rPr>
        <w:t>重视学生实践技能的培养与训练</w:t>
      </w:r>
    </w:p>
    <w:p>
      <w:pPr>
        <w:ind w:firstLine="480" w:firstLineChars="200"/>
      </w:pPr>
      <w:r>
        <w:t>专业实训室的建设除符合一般的教学要求外，还要尽可能创设</w:t>
      </w:r>
      <w:r>
        <w:rPr>
          <w:rFonts w:hint="eastAsia"/>
        </w:rPr>
        <w:t>“</w:t>
      </w:r>
      <w:r>
        <w:t>生产情景</w:t>
      </w:r>
      <w:r>
        <w:rPr>
          <w:rFonts w:hint="eastAsia"/>
        </w:rPr>
        <w:t>”</w:t>
      </w:r>
      <w:r>
        <w:t>；教学设施配置合理，要配有符合要求的教学对象；教学工位要符合课程内容和在学人数的要求；在熟练区域边要配有独立的讲解区，讲解区内的设施要符合教学要求；要具有职业技能训练的必备条件；要具有安全、卫生、规范的劳动环境和条件。</w:t>
      </w:r>
    </w:p>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pPr>
      <w:bookmarkStart w:id="337" w:name="_Toc5219"/>
      <w:r>
        <w:rPr>
          <w:rFonts w:hint="eastAsia"/>
          <w:lang w:val="en-US"/>
        </w:rPr>
        <w:t>专业三十：</w:t>
      </w:r>
      <w:r>
        <w:t>机械电子工程</w:t>
      </w:r>
      <w:bookmarkEnd w:id="337"/>
    </w:p>
    <w:p>
      <w:pPr>
        <w:pStyle w:val="5"/>
        <w:spacing w:before="93" w:after="93"/>
        <w:ind w:firstLine="560"/>
      </w:pPr>
      <w:r>
        <w:t>一、培养目标与规格</w:t>
      </w:r>
    </w:p>
    <w:p>
      <w:pPr>
        <w:ind w:firstLine="480" w:firstLineChars="200"/>
      </w:pPr>
      <w:r>
        <w:t>本专业培养具有机械设计制造、电工电子技术、自动控制、信息处理与计算机CAD/CAM/CAE等方面的知识与技能，具备光、机、电一体化的综合知识结构及创新实践能力，适应当前机械技术、微电子技术及信息技术高度融合的现代工业发展需要，能在机械装备、制造工程自动化、工程设计研究等领域从事设计、制造、维修等工作的创新应用型高级专门人才。</w:t>
      </w:r>
    </w:p>
    <w:p>
      <w:pPr>
        <w:pStyle w:val="5"/>
        <w:spacing w:before="93" w:after="93"/>
        <w:ind w:firstLine="560"/>
      </w:pPr>
      <w:r>
        <w:t>二、培养能力（专业基本情况、在校生规模、课程体系、创新创业教育等）</w:t>
      </w:r>
    </w:p>
    <w:p>
      <w:pPr>
        <w:ind w:firstLine="480" w:firstLineChars="200"/>
      </w:pPr>
      <w:r>
        <w:t>我校机电工程专业始建于2003年，2004年开始招生，到目前已历19载。目前，该专业在校生436人，每年级学生人数如表1所示。</w:t>
      </w:r>
    </w:p>
    <w:p>
      <w:pPr>
        <w:jc w:val="center"/>
        <w:rPr>
          <w:b/>
          <w:bCs/>
          <w:sz w:val="21"/>
          <w:szCs w:val="21"/>
        </w:rPr>
      </w:pPr>
      <w:r>
        <w:rPr>
          <w:b/>
          <w:bCs/>
          <w:sz w:val="21"/>
          <w:szCs w:val="21"/>
        </w:rPr>
        <w:t>表1  机械与电子工程专业在校生人数情况（人）</w:t>
      </w:r>
    </w:p>
    <w:tbl>
      <w:tblPr>
        <w:tblStyle w:val="17"/>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7"/>
        <w:gridCol w:w="1817"/>
        <w:gridCol w:w="1332"/>
        <w:gridCol w:w="2305"/>
        <w:gridCol w:w="1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3" w:type="pct"/>
            <w:vAlign w:val="center"/>
          </w:tcPr>
          <w:p>
            <w:pPr>
              <w:jc w:val="center"/>
              <w:rPr>
                <w:b/>
                <w:bCs/>
                <w:sz w:val="21"/>
                <w:szCs w:val="21"/>
              </w:rPr>
            </w:pPr>
            <w:r>
              <w:rPr>
                <w:b/>
                <w:bCs/>
                <w:sz w:val="21"/>
                <w:szCs w:val="21"/>
              </w:rPr>
              <w:t>2019级</w:t>
            </w:r>
          </w:p>
        </w:tc>
        <w:tc>
          <w:tcPr>
            <w:tcW w:w="1003" w:type="pct"/>
            <w:vAlign w:val="center"/>
          </w:tcPr>
          <w:p>
            <w:pPr>
              <w:jc w:val="center"/>
              <w:rPr>
                <w:b/>
                <w:bCs/>
                <w:sz w:val="21"/>
                <w:szCs w:val="21"/>
              </w:rPr>
            </w:pPr>
            <w:r>
              <w:rPr>
                <w:b/>
                <w:bCs/>
                <w:sz w:val="21"/>
                <w:szCs w:val="21"/>
              </w:rPr>
              <w:t>2020级</w:t>
            </w:r>
          </w:p>
        </w:tc>
        <w:tc>
          <w:tcPr>
            <w:tcW w:w="735" w:type="pct"/>
            <w:vAlign w:val="center"/>
          </w:tcPr>
          <w:p>
            <w:pPr>
              <w:jc w:val="center"/>
              <w:rPr>
                <w:b/>
                <w:bCs/>
                <w:sz w:val="21"/>
                <w:szCs w:val="21"/>
              </w:rPr>
            </w:pPr>
            <w:r>
              <w:rPr>
                <w:b/>
                <w:bCs/>
                <w:sz w:val="21"/>
                <w:szCs w:val="21"/>
              </w:rPr>
              <w:t>2021级</w:t>
            </w:r>
          </w:p>
        </w:tc>
        <w:tc>
          <w:tcPr>
            <w:tcW w:w="1272" w:type="pct"/>
            <w:vAlign w:val="center"/>
          </w:tcPr>
          <w:p>
            <w:pPr>
              <w:jc w:val="center"/>
              <w:rPr>
                <w:b/>
                <w:bCs/>
                <w:sz w:val="21"/>
                <w:szCs w:val="21"/>
              </w:rPr>
            </w:pPr>
            <w:r>
              <w:rPr>
                <w:b/>
                <w:bCs/>
                <w:sz w:val="21"/>
                <w:szCs w:val="21"/>
              </w:rPr>
              <w:t>2022级</w:t>
            </w:r>
          </w:p>
        </w:tc>
        <w:tc>
          <w:tcPr>
            <w:tcW w:w="984" w:type="pct"/>
            <w:vAlign w:val="center"/>
          </w:tcPr>
          <w:p>
            <w:pPr>
              <w:jc w:val="center"/>
              <w:rPr>
                <w:b/>
                <w:bCs/>
                <w:sz w:val="21"/>
                <w:szCs w:val="21"/>
                <w:lang w:val="zh-CN"/>
              </w:rPr>
            </w:pPr>
            <w:r>
              <w:rPr>
                <w:b/>
                <w:bCs/>
                <w:sz w:val="21"/>
                <w:szCs w:val="21"/>
                <w:lang w:val="zh-CN"/>
              </w:rPr>
              <w:t>总人数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3" w:type="pct"/>
            <w:vAlign w:val="center"/>
          </w:tcPr>
          <w:p>
            <w:pPr>
              <w:jc w:val="center"/>
              <w:rPr>
                <w:sz w:val="21"/>
                <w:szCs w:val="21"/>
              </w:rPr>
            </w:pPr>
            <w:r>
              <w:rPr>
                <w:sz w:val="21"/>
                <w:szCs w:val="21"/>
              </w:rPr>
              <w:t>124</w:t>
            </w:r>
          </w:p>
        </w:tc>
        <w:tc>
          <w:tcPr>
            <w:tcW w:w="1003" w:type="pct"/>
            <w:vAlign w:val="center"/>
          </w:tcPr>
          <w:p>
            <w:pPr>
              <w:jc w:val="center"/>
              <w:rPr>
                <w:sz w:val="21"/>
                <w:szCs w:val="21"/>
              </w:rPr>
            </w:pPr>
            <w:r>
              <w:rPr>
                <w:sz w:val="21"/>
                <w:szCs w:val="21"/>
              </w:rPr>
              <w:t>80</w:t>
            </w:r>
          </w:p>
        </w:tc>
        <w:tc>
          <w:tcPr>
            <w:tcW w:w="735" w:type="pct"/>
            <w:vAlign w:val="center"/>
          </w:tcPr>
          <w:p>
            <w:pPr>
              <w:jc w:val="center"/>
              <w:rPr>
                <w:sz w:val="21"/>
                <w:szCs w:val="21"/>
              </w:rPr>
            </w:pPr>
            <w:r>
              <w:rPr>
                <w:sz w:val="21"/>
                <w:szCs w:val="21"/>
              </w:rPr>
              <w:t>52</w:t>
            </w:r>
          </w:p>
        </w:tc>
        <w:tc>
          <w:tcPr>
            <w:tcW w:w="1272" w:type="pct"/>
            <w:vAlign w:val="center"/>
          </w:tcPr>
          <w:p>
            <w:pPr>
              <w:jc w:val="center"/>
              <w:rPr>
                <w:sz w:val="21"/>
                <w:szCs w:val="21"/>
              </w:rPr>
            </w:pPr>
            <w:r>
              <w:rPr>
                <w:sz w:val="21"/>
                <w:szCs w:val="21"/>
              </w:rPr>
              <w:t>180机械大类招生</w:t>
            </w:r>
          </w:p>
        </w:tc>
        <w:tc>
          <w:tcPr>
            <w:tcW w:w="984" w:type="pct"/>
            <w:vAlign w:val="center"/>
          </w:tcPr>
          <w:p>
            <w:pPr>
              <w:jc w:val="center"/>
              <w:rPr>
                <w:sz w:val="21"/>
                <w:szCs w:val="21"/>
              </w:rPr>
            </w:pPr>
            <w:r>
              <w:rPr>
                <w:sz w:val="21"/>
                <w:szCs w:val="21"/>
              </w:rPr>
              <w:t>436</w:t>
            </w:r>
          </w:p>
        </w:tc>
      </w:tr>
    </w:tbl>
    <w:p>
      <w:pPr>
        <w:ind w:firstLine="480" w:firstLineChars="200"/>
      </w:pPr>
      <w:r>
        <w:t>该专业主干学科为：机械设计及理论、机械制造及自动化、机械电子工程</w:t>
      </w:r>
    </w:p>
    <w:p>
      <w:pPr>
        <w:ind w:firstLine="480" w:firstLineChars="200"/>
      </w:pPr>
      <w:r>
        <w:t>主要课程：理论力学、材料力学、机械制图与CAD、机械制造基础、工程材料学、机械原理、机械设计、电工学、模拟电子技术，数字电子技术、单片机原理与应用、可编程控制器及应用、工程测试与信号处理、机械控制工程、机电一体化技术、数控技术等。</w:t>
      </w:r>
    </w:p>
    <w:p>
      <w:pPr>
        <w:ind w:firstLine="480" w:firstLineChars="200"/>
      </w:pPr>
      <w:r>
        <w:t>主要实践课程：金工实习、机械制造工艺实习、机械设计课程设计、过程控制系统课程设计、创业实践，毕业实习等。</w:t>
      </w:r>
    </w:p>
    <w:p>
      <w:pPr>
        <w:ind w:firstLine="480" w:firstLineChars="200"/>
      </w:pPr>
      <w:r>
        <w:t>学分总体安排：毕业总学分不少于170学分。</w:t>
      </w:r>
    </w:p>
    <w:p>
      <w:pPr>
        <w:ind w:firstLine="480" w:firstLineChars="200"/>
      </w:pPr>
      <w:r>
        <w:t>必修课总学139学分、选修课学分31学分，实验学分（16.5学分）和实践环节学分（34.5学分）共51学分，占总学分30%。</w:t>
      </w:r>
    </w:p>
    <w:p>
      <w:pPr>
        <w:ind w:firstLine="480" w:firstLineChars="200"/>
      </w:pPr>
      <w:r>
        <w:t>该专业极为重视大学生的创新创业工作，以学院层级式、阶梯式创新创业工作为基础，以卓越工程师培养计划为契机，在不同年级开展不同类型创新创业活动，如在大一年级学生开展模型设计大赛，大二年级学生定向培训，根据个人兴趣爱好及所学课程，指导学生进入教师科研团队，同时，组建科技兴趣小组，鼓励并扶持大三年级学生参加各种科技创新竞赛，如山东省大学生科技文化艺术节大学生机器人大赛、全国大学生英语竞赛、中国机器人大赛暨ROBOCUP公开赛等，并取得优异成绩，2022年机电专业近百名学生在各类国家级、省部级等竞赛中获奖。</w:t>
      </w:r>
    </w:p>
    <w:p>
      <w:pPr>
        <w:pStyle w:val="5"/>
        <w:spacing w:before="93" w:after="93"/>
        <w:ind w:firstLine="560"/>
      </w:pPr>
      <w:r>
        <w:t>三、培养条件（教学经费投入、教学设备、教师队伍建设、实习基地、现代教学技术应用等）</w:t>
      </w:r>
    </w:p>
    <w:p>
      <w:pPr>
        <w:ind w:firstLine="480" w:firstLineChars="200"/>
      </w:pPr>
      <w:r>
        <w:t>机械电子工程专业借助山东省</w:t>
      </w:r>
      <w:r>
        <w:rPr>
          <w:rFonts w:hint="eastAsia"/>
        </w:rPr>
        <w:t>“</w:t>
      </w:r>
      <w:r>
        <w:t>双一流</w:t>
      </w:r>
      <w:r>
        <w:rPr>
          <w:rFonts w:hint="eastAsia"/>
        </w:rPr>
        <w:t>”</w:t>
      </w:r>
      <w:r>
        <w:t>建设工程、东营国家级农业高新技术示范区建设，学校共投入700万元用于机械电子实验教学中心与机械工程实验中心实验室改造、专业设备的购置和更新。依托我院国家级实验教学师范中心（农业机械化及自动化）、虚拟仿真实验教学示范中心及国家创业型人才培养方案创新实验区平台，依托我院电工电子实验教学中心与机械工程实验教学中心开展教学科研工作。2016年，学校投入200万元用于建设虚拟仿真实验教学示范中心，2018年该中心已经建成并投入使用。为培养大学生的动手能力、成立并建设大学生创新创业训练中心。学院对实验室资源进行整合，充分发挥机电专业仪器设备使用效能，建设现代农机具展览中心。</w:t>
      </w:r>
    </w:p>
    <w:p>
      <w:pPr>
        <w:ind w:firstLine="480" w:firstLineChars="200"/>
      </w:pPr>
      <w:r>
        <w:t>在学校各级领导的关怀下，机电工程专业的实验室面积得到大幅度提高，实验条件得到极大改善，目前与本专业相关的实验室面积达4000平米左右。另外，学院自筹资金，购买了大量机械电子工程专业书籍近100套，学术期刊20余部，经过多年的建设与完善，教学实验条件完全满足教学的要求。</w:t>
      </w:r>
    </w:p>
    <w:p>
      <w:pPr>
        <w:ind w:firstLine="480" w:firstLineChars="200"/>
      </w:pPr>
      <w:r>
        <w:t>截止到2022年10月，机电专业专职教师共26人，实验人员共4人，师资队伍具体人员概况如表2所示。</w:t>
      </w:r>
    </w:p>
    <w:p>
      <w:pPr>
        <w:jc w:val="center"/>
        <w:rPr>
          <w:b/>
          <w:bCs/>
          <w:sz w:val="21"/>
          <w:szCs w:val="21"/>
        </w:rPr>
      </w:pPr>
      <w:r>
        <w:rPr>
          <w:b/>
          <w:bCs/>
          <w:sz w:val="21"/>
          <w:szCs w:val="21"/>
        </w:rPr>
        <w:t>表2  机械电子工程师资队伍</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5"/>
        <w:gridCol w:w="783"/>
        <w:gridCol w:w="680"/>
        <w:gridCol w:w="1169"/>
        <w:gridCol w:w="1796"/>
        <w:gridCol w:w="36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2" w:hRule="atLeast"/>
          <w:tblHeader/>
          <w:jc w:val="center"/>
        </w:trPr>
        <w:tc>
          <w:tcPr>
            <w:tcW w:w="527" w:type="pct"/>
            <w:vAlign w:val="center"/>
          </w:tcPr>
          <w:p>
            <w:pPr>
              <w:jc w:val="center"/>
              <w:rPr>
                <w:b/>
                <w:bCs/>
                <w:sz w:val="21"/>
                <w:szCs w:val="21"/>
              </w:rPr>
            </w:pPr>
            <w:r>
              <w:rPr>
                <w:b/>
                <w:bCs/>
                <w:sz w:val="21"/>
                <w:szCs w:val="21"/>
              </w:rPr>
              <w:t>姓</w:t>
            </w:r>
            <w:r>
              <w:rPr>
                <w:rFonts w:hint="eastAsia"/>
                <w:b/>
                <w:bCs/>
                <w:sz w:val="21"/>
                <w:szCs w:val="21"/>
              </w:rPr>
              <w:t xml:space="preserve">  </w:t>
            </w:r>
            <w:r>
              <w:rPr>
                <w:b/>
                <w:bCs/>
                <w:sz w:val="21"/>
                <w:szCs w:val="21"/>
              </w:rPr>
              <w:t>名</w:t>
            </w:r>
          </w:p>
        </w:tc>
        <w:tc>
          <w:tcPr>
            <w:tcW w:w="432" w:type="pct"/>
            <w:vAlign w:val="center"/>
          </w:tcPr>
          <w:p>
            <w:pPr>
              <w:jc w:val="center"/>
              <w:rPr>
                <w:b/>
                <w:bCs/>
                <w:sz w:val="21"/>
                <w:szCs w:val="21"/>
              </w:rPr>
            </w:pPr>
            <w:r>
              <w:rPr>
                <w:b/>
                <w:bCs/>
                <w:sz w:val="21"/>
                <w:szCs w:val="21"/>
              </w:rPr>
              <w:t>性别</w:t>
            </w:r>
          </w:p>
        </w:tc>
        <w:tc>
          <w:tcPr>
            <w:tcW w:w="375" w:type="pct"/>
            <w:vAlign w:val="center"/>
          </w:tcPr>
          <w:p>
            <w:pPr>
              <w:jc w:val="center"/>
              <w:rPr>
                <w:b/>
                <w:bCs/>
                <w:sz w:val="21"/>
                <w:szCs w:val="21"/>
              </w:rPr>
            </w:pPr>
            <w:r>
              <w:rPr>
                <w:b/>
                <w:bCs/>
                <w:sz w:val="21"/>
                <w:szCs w:val="21"/>
              </w:rPr>
              <w:t>年龄</w:t>
            </w:r>
          </w:p>
        </w:tc>
        <w:tc>
          <w:tcPr>
            <w:tcW w:w="645" w:type="pct"/>
            <w:vAlign w:val="center"/>
          </w:tcPr>
          <w:p>
            <w:pPr>
              <w:jc w:val="center"/>
              <w:rPr>
                <w:b/>
                <w:bCs/>
                <w:sz w:val="21"/>
                <w:szCs w:val="21"/>
              </w:rPr>
            </w:pPr>
            <w:r>
              <w:rPr>
                <w:b/>
                <w:bCs/>
                <w:sz w:val="21"/>
                <w:szCs w:val="21"/>
              </w:rPr>
              <w:t>职称</w:t>
            </w:r>
          </w:p>
        </w:tc>
        <w:tc>
          <w:tcPr>
            <w:tcW w:w="991" w:type="pct"/>
            <w:vAlign w:val="center"/>
          </w:tcPr>
          <w:p>
            <w:pPr>
              <w:jc w:val="center"/>
              <w:rPr>
                <w:b/>
                <w:bCs/>
                <w:sz w:val="21"/>
                <w:szCs w:val="21"/>
              </w:rPr>
            </w:pPr>
            <w:r>
              <w:rPr>
                <w:b/>
                <w:bCs/>
                <w:sz w:val="21"/>
                <w:szCs w:val="21"/>
              </w:rPr>
              <w:t>学历/毕业院校</w:t>
            </w:r>
          </w:p>
        </w:tc>
        <w:tc>
          <w:tcPr>
            <w:tcW w:w="2026" w:type="pct"/>
            <w:vAlign w:val="center"/>
          </w:tcPr>
          <w:p>
            <w:pPr>
              <w:jc w:val="center"/>
              <w:rPr>
                <w:b/>
                <w:bCs/>
                <w:sz w:val="21"/>
                <w:szCs w:val="21"/>
              </w:rPr>
            </w:pPr>
            <w:r>
              <w:rPr>
                <w:b/>
                <w:bCs/>
                <w:sz w:val="21"/>
                <w:szCs w:val="21"/>
              </w:rPr>
              <w:t>主讲课程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1" w:hRule="exact"/>
          <w:jc w:val="center"/>
        </w:trPr>
        <w:tc>
          <w:tcPr>
            <w:tcW w:w="527" w:type="pct"/>
            <w:vAlign w:val="center"/>
          </w:tcPr>
          <w:p>
            <w:pPr>
              <w:jc w:val="center"/>
              <w:rPr>
                <w:sz w:val="21"/>
                <w:szCs w:val="21"/>
              </w:rPr>
            </w:pPr>
            <w:r>
              <w:rPr>
                <w:sz w:val="21"/>
                <w:szCs w:val="21"/>
              </w:rPr>
              <w:t>宋月鹏</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51</w:t>
            </w:r>
          </w:p>
        </w:tc>
        <w:tc>
          <w:tcPr>
            <w:tcW w:w="645" w:type="pct"/>
            <w:vAlign w:val="center"/>
          </w:tcPr>
          <w:p>
            <w:pPr>
              <w:jc w:val="center"/>
              <w:rPr>
                <w:sz w:val="21"/>
                <w:szCs w:val="21"/>
              </w:rPr>
            </w:pPr>
            <w:r>
              <w:rPr>
                <w:sz w:val="21"/>
                <w:szCs w:val="21"/>
              </w:rPr>
              <w:t>教授</w:t>
            </w:r>
          </w:p>
        </w:tc>
        <w:tc>
          <w:tcPr>
            <w:tcW w:w="991" w:type="pct"/>
            <w:vAlign w:val="center"/>
          </w:tcPr>
          <w:p>
            <w:pPr>
              <w:jc w:val="center"/>
              <w:rPr>
                <w:sz w:val="21"/>
                <w:szCs w:val="21"/>
              </w:rPr>
            </w:pPr>
            <w:r>
              <w:rPr>
                <w:sz w:val="21"/>
                <w:szCs w:val="21"/>
              </w:rPr>
              <w:t>博士后/中科院</w:t>
            </w:r>
          </w:p>
        </w:tc>
        <w:tc>
          <w:tcPr>
            <w:tcW w:w="2026" w:type="pct"/>
            <w:vAlign w:val="center"/>
          </w:tcPr>
          <w:p>
            <w:pPr>
              <w:jc w:val="center"/>
              <w:rPr>
                <w:sz w:val="21"/>
                <w:szCs w:val="21"/>
              </w:rPr>
            </w:pPr>
            <w:r>
              <w:rPr>
                <w:sz w:val="21"/>
                <w:szCs w:val="21"/>
              </w:rPr>
              <w:t>工程材料学、机械制造基础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许令峰</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52</w:t>
            </w:r>
          </w:p>
        </w:tc>
        <w:tc>
          <w:tcPr>
            <w:tcW w:w="645" w:type="pct"/>
            <w:vAlign w:val="center"/>
          </w:tcPr>
          <w:p>
            <w:pPr>
              <w:jc w:val="center"/>
              <w:rPr>
                <w:sz w:val="21"/>
                <w:szCs w:val="21"/>
              </w:rPr>
            </w:pPr>
            <w:r>
              <w:rPr>
                <w:sz w:val="21"/>
                <w:szCs w:val="21"/>
              </w:rPr>
              <w:t>副教授</w:t>
            </w:r>
          </w:p>
        </w:tc>
        <w:tc>
          <w:tcPr>
            <w:tcW w:w="991" w:type="pct"/>
            <w:vAlign w:val="center"/>
          </w:tcPr>
          <w:p>
            <w:pPr>
              <w:jc w:val="center"/>
              <w:rPr>
                <w:sz w:val="21"/>
                <w:szCs w:val="21"/>
              </w:rPr>
            </w:pPr>
            <w:r>
              <w:rPr>
                <w:sz w:val="21"/>
                <w:szCs w:val="21"/>
              </w:rPr>
              <w:t>博士/北科大</w:t>
            </w:r>
          </w:p>
        </w:tc>
        <w:tc>
          <w:tcPr>
            <w:tcW w:w="2026" w:type="pct"/>
            <w:vAlign w:val="center"/>
          </w:tcPr>
          <w:p>
            <w:pPr>
              <w:jc w:val="center"/>
              <w:rPr>
                <w:sz w:val="21"/>
                <w:szCs w:val="21"/>
              </w:rPr>
            </w:pPr>
            <w:r>
              <w:rPr>
                <w:sz w:val="21"/>
                <w:szCs w:val="21"/>
              </w:rPr>
              <w:t>工程材料学、机械设计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赵立新</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57</w:t>
            </w:r>
          </w:p>
        </w:tc>
        <w:tc>
          <w:tcPr>
            <w:tcW w:w="645" w:type="pct"/>
            <w:vAlign w:val="center"/>
          </w:tcPr>
          <w:p>
            <w:pPr>
              <w:jc w:val="center"/>
              <w:rPr>
                <w:color w:val="0070C0"/>
                <w:sz w:val="21"/>
                <w:szCs w:val="21"/>
              </w:rPr>
            </w:pPr>
            <w:r>
              <w:rPr>
                <w:color w:val="000000" w:themeColor="text1"/>
                <w:sz w:val="21"/>
                <w:szCs w:val="21"/>
                <w14:textFill>
                  <w14:solidFill>
                    <w14:schemeClr w14:val="tx1"/>
                  </w14:solidFill>
                </w14:textFill>
              </w:rPr>
              <w:t>教授</w:t>
            </w:r>
          </w:p>
        </w:tc>
        <w:tc>
          <w:tcPr>
            <w:tcW w:w="991" w:type="pct"/>
            <w:vAlign w:val="center"/>
          </w:tcPr>
          <w:p>
            <w:pPr>
              <w:jc w:val="center"/>
              <w:rPr>
                <w:sz w:val="21"/>
                <w:szCs w:val="21"/>
              </w:rPr>
            </w:pPr>
            <w:r>
              <w:rPr>
                <w:sz w:val="21"/>
                <w:szCs w:val="21"/>
              </w:rPr>
              <w:t>硕士/山科大</w:t>
            </w:r>
          </w:p>
        </w:tc>
        <w:tc>
          <w:tcPr>
            <w:tcW w:w="2026" w:type="pct"/>
            <w:vAlign w:val="center"/>
          </w:tcPr>
          <w:p>
            <w:pPr>
              <w:jc w:val="center"/>
              <w:rPr>
                <w:sz w:val="21"/>
                <w:szCs w:val="21"/>
              </w:rPr>
            </w:pPr>
            <w:r>
              <w:rPr>
                <w:sz w:val="21"/>
                <w:szCs w:val="21"/>
              </w:rPr>
              <w:t>机械原理、机械设计，书法学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刘贤喜</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60</w:t>
            </w:r>
          </w:p>
        </w:tc>
        <w:tc>
          <w:tcPr>
            <w:tcW w:w="645" w:type="pct"/>
            <w:vAlign w:val="center"/>
          </w:tcPr>
          <w:p>
            <w:pPr>
              <w:jc w:val="center"/>
              <w:rPr>
                <w:sz w:val="21"/>
                <w:szCs w:val="21"/>
              </w:rPr>
            </w:pPr>
            <w:r>
              <w:rPr>
                <w:sz w:val="21"/>
                <w:szCs w:val="21"/>
              </w:rPr>
              <w:t>教授</w:t>
            </w:r>
          </w:p>
        </w:tc>
        <w:tc>
          <w:tcPr>
            <w:tcW w:w="991" w:type="pct"/>
            <w:vAlign w:val="center"/>
          </w:tcPr>
          <w:p>
            <w:pPr>
              <w:jc w:val="center"/>
              <w:rPr>
                <w:sz w:val="21"/>
                <w:szCs w:val="21"/>
              </w:rPr>
            </w:pPr>
            <w:r>
              <w:rPr>
                <w:sz w:val="21"/>
                <w:szCs w:val="21"/>
              </w:rPr>
              <w:t>博士/中国农大</w:t>
            </w:r>
          </w:p>
        </w:tc>
        <w:tc>
          <w:tcPr>
            <w:tcW w:w="2026" w:type="pct"/>
            <w:vAlign w:val="center"/>
          </w:tcPr>
          <w:p>
            <w:pPr>
              <w:jc w:val="center"/>
              <w:rPr>
                <w:sz w:val="21"/>
                <w:szCs w:val="21"/>
              </w:rPr>
            </w:pPr>
            <w:r>
              <w:rPr>
                <w:sz w:val="21"/>
                <w:szCs w:val="21"/>
              </w:rPr>
              <w:t>创新学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王金星</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51</w:t>
            </w:r>
          </w:p>
        </w:tc>
        <w:tc>
          <w:tcPr>
            <w:tcW w:w="645" w:type="pct"/>
            <w:vAlign w:val="center"/>
          </w:tcPr>
          <w:p>
            <w:pPr>
              <w:jc w:val="center"/>
              <w:rPr>
                <w:sz w:val="21"/>
                <w:szCs w:val="21"/>
              </w:rPr>
            </w:pPr>
            <w:r>
              <w:rPr>
                <w:sz w:val="21"/>
                <w:szCs w:val="21"/>
              </w:rPr>
              <w:t>教授</w:t>
            </w:r>
          </w:p>
        </w:tc>
        <w:tc>
          <w:tcPr>
            <w:tcW w:w="991" w:type="pct"/>
            <w:vAlign w:val="center"/>
          </w:tcPr>
          <w:p>
            <w:pPr>
              <w:jc w:val="center"/>
              <w:rPr>
                <w:sz w:val="21"/>
                <w:szCs w:val="21"/>
              </w:rPr>
            </w:pPr>
            <w:r>
              <w:rPr>
                <w:sz w:val="21"/>
                <w:szCs w:val="21"/>
              </w:rPr>
              <w:t>博士/华中科大</w:t>
            </w:r>
          </w:p>
        </w:tc>
        <w:tc>
          <w:tcPr>
            <w:tcW w:w="2026" w:type="pct"/>
            <w:vAlign w:val="center"/>
          </w:tcPr>
          <w:p>
            <w:pPr>
              <w:jc w:val="center"/>
              <w:rPr>
                <w:sz w:val="21"/>
                <w:szCs w:val="21"/>
              </w:rPr>
            </w:pPr>
            <w:r>
              <w:rPr>
                <w:sz w:val="21"/>
                <w:szCs w:val="21"/>
              </w:rPr>
              <w:t>公差与技术测量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郭</w:t>
            </w:r>
            <w:r>
              <w:rPr>
                <w:rFonts w:hint="eastAsia"/>
                <w:sz w:val="21"/>
                <w:szCs w:val="21"/>
              </w:rPr>
              <w:t xml:space="preserve">  </w:t>
            </w:r>
            <w:r>
              <w:rPr>
                <w:sz w:val="21"/>
                <w:szCs w:val="21"/>
              </w:rPr>
              <w:t>晶</w:t>
            </w:r>
          </w:p>
        </w:tc>
        <w:tc>
          <w:tcPr>
            <w:tcW w:w="432" w:type="pct"/>
            <w:vAlign w:val="center"/>
          </w:tcPr>
          <w:p>
            <w:pPr>
              <w:jc w:val="center"/>
              <w:rPr>
                <w:sz w:val="21"/>
                <w:szCs w:val="21"/>
              </w:rPr>
            </w:pPr>
            <w:r>
              <w:rPr>
                <w:sz w:val="21"/>
                <w:szCs w:val="21"/>
              </w:rPr>
              <w:t>女</w:t>
            </w:r>
          </w:p>
        </w:tc>
        <w:tc>
          <w:tcPr>
            <w:tcW w:w="375" w:type="pct"/>
            <w:vAlign w:val="center"/>
          </w:tcPr>
          <w:p>
            <w:pPr>
              <w:jc w:val="center"/>
              <w:rPr>
                <w:sz w:val="21"/>
                <w:szCs w:val="21"/>
              </w:rPr>
            </w:pPr>
            <w:r>
              <w:rPr>
                <w:sz w:val="21"/>
                <w:szCs w:val="21"/>
              </w:rPr>
              <w:t>43</w:t>
            </w:r>
          </w:p>
        </w:tc>
        <w:tc>
          <w:tcPr>
            <w:tcW w:w="645"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教授</w:t>
            </w:r>
          </w:p>
        </w:tc>
        <w:tc>
          <w:tcPr>
            <w:tcW w:w="991" w:type="pct"/>
            <w:vAlign w:val="center"/>
          </w:tcPr>
          <w:p>
            <w:pPr>
              <w:jc w:val="center"/>
              <w:rPr>
                <w:sz w:val="21"/>
                <w:szCs w:val="21"/>
              </w:rPr>
            </w:pPr>
            <w:r>
              <w:rPr>
                <w:sz w:val="21"/>
                <w:szCs w:val="21"/>
              </w:rPr>
              <w:t>博士/山大</w:t>
            </w:r>
          </w:p>
        </w:tc>
        <w:tc>
          <w:tcPr>
            <w:tcW w:w="2026" w:type="pct"/>
            <w:vAlign w:val="center"/>
          </w:tcPr>
          <w:p>
            <w:pPr>
              <w:jc w:val="center"/>
              <w:rPr>
                <w:sz w:val="21"/>
                <w:szCs w:val="21"/>
              </w:rPr>
            </w:pPr>
            <w:r>
              <w:rPr>
                <w:sz w:val="21"/>
                <w:szCs w:val="21"/>
              </w:rPr>
              <w:t>理论力学，材料力学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62" w:hRule="exact"/>
          <w:jc w:val="center"/>
        </w:trPr>
        <w:tc>
          <w:tcPr>
            <w:tcW w:w="527" w:type="pct"/>
            <w:vAlign w:val="center"/>
          </w:tcPr>
          <w:p>
            <w:pPr>
              <w:jc w:val="center"/>
              <w:rPr>
                <w:sz w:val="21"/>
                <w:szCs w:val="21"/>
              </w:rPr>
            </w:pPr>
            <w:r>
              <w:rPr>
                <w:sz w:val="21"/>
                <w:szCs w:val="21"/>
              </w:rPr>
              <w:t>玄冠涛</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43</w:t>
            </w:r>
          </w:p>
        </w:tc>
        <w:tc>
          <w:tcPr>
            <w:tcW w:w="645"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副教授</w:t>
            </w:r>
          </w:p>
        </w:tc>
        <w:tc>
          <w:tcPr>
            <w:tcW w:w="991" w:type="pct"/>
            <w:vAlign w:val="center"/>
          </w:tcPr>
          <w:p>
            <w:pPr>
              <w:jc w:val="center"/>
              <w:rPr>
                <w:sz w:val="21"/>
                <w:szCs w:val="21"/>
              </w:rPr>
            </w:pPr>
            <w:r>
              <w:rPr>
                <w:sz w:val="21"/>
                <w:szCs w:val="21"/>
              </w:rPr>
              <w:t>博士/山农大</w:t>
            </w:r>
          </w:p>
        </w:tc>
        <w:tc>
          <w:tcPr>
            <w:tcW w:w="2026" w:type="pct"/>
            <w:vAlign w:val="center"/>
          </w:tcPr>
          <w:p>
            <w:pPr>
              <w:jc w:val="center"/>
              <w:rPr>
                <w:sz w:val="21"/>
                <w:szCs w:val="21"/>
              </w:rPr>
            </w:pPr>
            <w:r>
              <w:rPr>
                <w:sz w:val="21"/>
                <w:szCs w:val="21"/>
              </w:rPr>
              <w:t>机械制图与CAD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樊桂菊</w:t>
            </w:r>
          </w:p>
        </w:tc>
        <w:tc>
          <w:tcPr>
            <w:tcW w:w="432" w:type="pct"/>
            <w:vAlign w:val="center"/>
          </w:tcPr>
          <w:p>
            <w:pPr>
              <w:jc w:val="center"/>
              <w:rPr>
                <w:sz w:val="21"/>
                <w:szCs w:val="21"/>
              </w:rPr>
            </w:pPr>
            <w:r>
              <w:rPr>
                <w:sz w:val="21"/>
                <w:szCs w:val="21"/>
              </w:rPr>
              <w:t>女</w:t>
            </w:r>
          </w:p>
        </w:tc>
        <w:tc>
          <w:tcPr>
            <w:tcW w:w="375" w:type="pct"/>
            <w:vAlign w:val="center"/>
          </w:tcPr>
          <w:p>
            <w:pPr>
              <w:jc w:val="center"/>
              <w:rPr>
                <w:sz w:val="21"/>
                <w:szCs w:val="21"/>
              </w:rPr>
            </w:pPr>
            <w:r>
              <w:rPr>
                <w:sz w:val="21"/>
                <w:szCs w:val="21"/>
              </w:rPr>
              <w:t>43</w:t>
            </w:r>
          </w:p>
        </w:tc>
        <w:tc>
          <w:tcPr>
            <w:tcW w:w="645" w:type="pct"/>
            <w:vAlign w:val="center"/>
          </w:tcPr>
          <w:p>
            <w:pPr>
              <w:jc w:val="center"/>
              <w:rPr>
                <w:sz w:val="21"/>
                <w:szCs w:val="21"/>
              </w:rPr>
            </w:pPr>
            <w:r>
              <w:rPr>
                <w:sz w:val="21"/>
                <w:szCs w:val="21"/>
              </w:rPr>
              <w:t>副教授</w:t>
            </w:r>
          </w:p>
        </w:tc>
        <w:tc>
          <w:tcPr>
            <w:tcW w:w="991" w:type="pct"/>
            <w:vAlign w:val="center"/>
          </w:tcPr>
          <w:p>
            <w:pPr>
              <w:jc w:val="center"/>
              <w:rPr>
                <w:sz w:val="21"/>
                <w:szCs w:val="21"/>
              </w:rPr>
            </w:pPr>
            <w:r>
              <w:rPr>
                <w:sz w:val="21"/>
                <w:szCs w:val="21"/>
              </w:rPr>
              <w:t>博士/山农大</w:t>
            </w:r>
          </w:p>
        </w:tc>
        <w:tc>
          <w:tcPr>
            <w:tcW w:w="2026" w:type="pct"/>
            <w:vAlign w:val="center"/>
          </w:tcPr>
          <w:p>
            <w:pPr>
              <w:jc w:val="center"/>
              <w:rPr>
                <w:sz w:val="21"/>
                <w:szCs w:val="21"/>
              </w:rPr>
            </w:pPr>
            <w:r>
              <w:rPr>
                <w:sz w:val="21"/>
                <w:szCs w:val="21"/>
              </w:rPr>
              <w:t>材料力学，理论力学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苑</w:t>
            </w:r>
            <w:r>
              <w:rPr>
                <w:rFonts w:hint="eastAsia"/>
                <w:sz w:val="21"/>
                <w:szCs w:val="21"/>
              </w:rPr>
              <w:t xml:space="preserve">  </w:t>
            </w:r>
            <w:r>
              <w:rPr>
                <w:sz w:val="21"/>
                <w:szCs w:val="21"/>
              </w:rPr>
              <w:t>进</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50</w:t>
            </w:r>
          </w:p>
        </w:tc>
        <w:tc>
          <w:tcPr>
            <w:tcW w:w="645" w:type="pct"/>
            <w:vAlign w:val="center"/>
          </w:tcPr>
          <w:p>
            <w:pPr>
              <w:jc w:val="center"/>
              <w:rPr>
                <w:sz w:val="21"/>
                <w:szCs w:val="21"/>
              </w:rPr>
            </w:pPr>
            <w:r>
              <w:rPr>
                <w:sz w:val="21"/>
                <w:szCs w:val="21"/>
              </w:rPr>
              <w:t>教授</w:t>
            </w:r>
          </w:p>
        </w:tc>
        <w:tc>
          <w:tcPr>
            <w:tcW w:w="991" w:type="pct"/>
            <w:vAlign w:val="center"/>
          </w:tcPr>
          <w:p>
            <w:pPr>
              <w:jc w:val="center"/>
              <w:rPr>
                <w:sz w:val="21"/>
                <w:szCs w:val="21"/>
              </w:rPr>
            </w:pPr>
            <w:r>
              <w:rPr>
                <w:sz w:val="21"/>
                <w:szCs w:val="21"/>
              </w:rPr>
              <w:t>博士后/上海交大</w:t>
            </w:r>
          </w:p>
        </w:tc>
        <w:tc>
          <w:tcPr>
            <w:tcW w:w="2026" w:type="pct"/>
            <w:vAlign w:val="center"/>
          </w:tcPr>
          <w:p>
            <w:pPr>
              <w:jc w:val="center"/>
              <w:rPr>
                <w:sz w:val="21"/>
                <w:szCs w:val="21"/>
              </w:rPr>
            </w:pPr>
            <w:r>
              <w:rPr>
                <w:sz w:val="21"/>
                <w:szCs w:val="21"/>
              </w:rPr>
              <w:t>机电一体化，精细农业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刘雪美</w:t>
            </w:r>
          </w:p>
        </w:tc>
        <w:tc>
          <w:tcPr>
            <w:tcW w:w="432" w:type="pct"/>
            <w:vAlign w:val="center"/>
          </w:tcPr>
          <w:p>
            <w:pPr>
              <w:jc w:val="center"/>
              <w:rPr>
                <w:sz w:val="21"/>
                <w:szCs w:val="21"/>
              </w:rPr>
            </w:pPr>
            <w:r>
              <w:rPr>
                <w:sz w:val="21"/>
                <w:szCs w:val="21"/>
              </w:rPr>
              <w:t>女</w:t>
            </w:r>
          </w:p>
        </w:tc>
        <w:tc>
          <w:tcPr>
            <w:tcW w:w="375" w:type="pct"/>
            <w:vAlign w:val="center"/>
          </w:tcPr>
          <w:p>
            <w:pPr>
              <w:jc w:val="center"/>
              <w:rPr>
                <w:sz w:val="21"/>
                <w:szCs w:val="21"/>
              </w:rPr>
            </w:pPr>
            <w:r>
              <w:rPr>
                <w:sz w:val="21"/>
                <w:szCs w:val="21"/>
              </w:rPr>
              <w:t>49</w:t>
            </w:r>
          </w:p>
        </w:tc>
        <w:tc>
          <w:tcPr>
            <w:tcW w:w="645" w:type="pct"/>
            <w:vAlign w:val="center"/>
          </w:tcPr>
          <w:p>
            <w:pPr>
              <w:jc w:val="center"/>
              <w:rPr>
                <w:sz w:val="21"/>
                <w:szCs w:val="21"/>
              </w:rPr>
            </w:pPr>
            <w:r>
              <w:rPr>
                <w:sz w:val="21"/>
                <w:szCs w:val="21"/>
              </w:rPr>
              <w:t>教授</w:t>
            </w:r>
          </w:p>
        </w:tc>
        <w:tc>
          <w:tcPr>
            <w:tcW w:w="991" w:type="pct"/>
            <w:vAlign w:val="center"/>
          </w:tcPr>
          <w:p>
            <w:pPr>
              <w:jc w:val="center"/>
              <w:rPr>
                <w:sz w:val="21"/>
                <w:szCs w:val="21"/>
              </w:rPr>
            </w:pPr>
            <w:r>
              <w:rPr>
                <w:sz w:val="21"/>
                <w:szCs w:val="21"/>
              </w:rPr>
              <w:t>博士/山农大</w:t>
            </w:r>
          </w:p>
        </w:tc>
        <w:tc>
          <w:tcPr>
            <w:tcW w:w="2026" w:type="pct"/>
            <w:vAlign w:val="center"/>
          </w:tcPr>
          <w:p>
            <w:pPr>
              <w:jc w:val="center"/>
              <w:rPr>
                <w:sz w:val="21"/>
                <w:szCs w:val="21"/>
              </w:rPr>
            </w:pPr>
            <w:r>
              <w:rPr>
                <w:sz w:val="21"/>
                <w:szCs w:val="21"/>
              </w:rPr>
              <w:t>机械制图与CAD，Solidworks建模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邵园园</w:t>
            </w:r>
          </w:p>
        </w:tc>
        <w:tc>
          <w:tcPr>
            <w:tcW w:w="432" w:type="pct"/>
            <w:vAlign w:val="center"/>
          </w:tcPr>
          <w:p>
            <w:pPr>
              <w:jc w:val="center"/>
              <w:rPr>
                <w:sz w:val="21"/>
                <w:szCs w:val="21"/>
              </w:rPr>
            </w:pPr>
            <w:r>
              <w:rPr>
                <w:sz w:val="21"/>
                <w:szCs w:val="21"/>
              </w:rPr>
              <w:t>女</w:t>
            </w:r>
          </w:p>
        </w:tc>
        <w:tc>
          <w:tcPr>
            <w:tcW w:w="375" w:type="pct"/>
            <w:vAlign w:val="center"/>
          </w:tcPr>
          <w:p>
            <w:pPr>
              <w:jc w:val="center"/>
              <w:rPr>
                <w:sz w:val="21"/>
                <w:szCs w:val="21"/>
              </w:rPr>
            </w:pPr>
            <w:r>
              <w:rPr>
                <w:sz w:val="21"/>
                <w:szCs w:val="21"/>
              </w:rPr>
              <w:t>42</w:t>
            </w:r>
          </w:p>
        </w:tc>
        <w:tc>
          <w:tcPr>
            <w:tcW w:w="645" w:type="pct"/>
            <w:vAlign w:val="center"/>
          </w:tcPr>
          <w:p>
            <w:pPr>
              <w:jc w:val="center"/>
              <w:rPr>
                <w:color w:val="0070C0"/>
                <w:sz w:val="21"/>
                <w:szCs w:val="21"/>
              </w:rPr>
            </w:pPr>
            <w:r>
              <w:rPr>
                <w:color w:val="000000" w:themeColor="text1"/>
                <w:sz w:val="21"/>
                <w:szCs w:val="21"/>
                <w14:textFill>
                  <w14:solidFill>
                    <w14:schemeClr w14:val="tx1"/>
                  </w14:solidFill>
                </w14:textFill>
              </w:rPr>
              <w:t>副教授</w:t>
            </w:r>
          </w:p>
        </w:tc>
        <w:tc>
          <w:tcPr>
            <w:tcW w:w="991" w:type="pct"/>
            <w:vAlign w:val="center"/>
          </w:tcPr>
          <w:p>
            <w:pPr>
              <w:jc w:val="center"/>
              <w:rPr>
                <w:sz w:val="21"/>
                <w:szCs w:val="21"/>
              </w:rPr>
            </w:pPr>
            <w:r>
              <w:rPr>
                <w:sz w:val="21"/>
                <w:szCs w:val="21"/>
              </w:rPr>
              <w:t>硕士/山大</w:t>
            </w:r>
          </w:p>
        </w:tc>
        <w:tc>
          <w:tcPr>
            <w:tcW w:w="2026" w:type="pct"/>
            <w:vAlign w:val="center"/>
          </w:tcPr>
          <w:p>
            <w:pPr>
              <w:jc w:val="center"/>
              <w:rPr>
                <w:sz w:val="21"/>
                <w:szCs w:val="21"/>
              </w:rPr>
            </w:pPr>
            <w:r>
              <w:rPr>
                <w:sz w:val="21"/>
                <w:szCs w:val="21"/>
              </w:rPr>
              <w:t>机械设计，机械原理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郑继周</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45</w:t>
            </w:r>
          </w:p>
        </w:tc>
        <w:tc>
          <w:tcPr>
            <w:tcW w:w="645" w:type="pct"/>
            <w:vAlign w:val="center"/>
          </w:tcPr>
          <w:p>
            <w:pPr>
              <w:jc w:val="center"/>
              <w:rPr>
                <w:sz w:val="21"/>
                <w:szCs w:val="21"/>
              </w:rPr>
            </w:pPr>
            <w:r>
              <w:rPr>
                <w:sz w:val="21"/>
                <w:szCs w:val="21"/>
              </w:rPr>
              <w:t>副教授</w:t>
            </w:r>
          </w:p>
        </w:tc>
        <w:tc>
          <w:tcPr>
            <w:tcW w:w="991" w:type="pct"/>
            <w:vAlign w:val="center"/>
          </w:tcPr>
          <w:p>
            <w:pPr>
              <w:jc w:val="center"/>
              <w:rPr>
                <w:sz w:val="21"/>
                <w:szCs w:val="21"/>
              </w:rPr>
            </w:pPr>
            <w:r>
              <w:rPr>
                <w:sz w:val="21"/>
                <w:szCs w:val="21"/>
              </w:rPr>
              <w:t>博士/山大</w:t>
            </w:r>
          </w:p>
        </w:tc>
        <w:tc>
          <w:tcPr>
            <w:tcW w:w="2026" w:type="pct"/>
            <w:vAlign w:val="center"/>
          </w:tcPr>
          <w:p>
            <w:pPr>
              <w:jc w:val="center"/>
              <w:rPr>
                <w:sz w:val="21"/>
                <w:szCs w:val="21"/>
              </w:rPr>
            </w:pPr>
            <w:r>
              <w:rPr>
                <w:sz w:val="21"/>
                <w:szCs w:val="21"/>
              </w:rPr>
              <w:t>机械工程控制，材料力学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田富洋</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43</w:t>
            </w:r>
          </w:p>
        </w:tc>
        <w:tc>
          <w:tcPr>
            <w:tcW w:w="645" w:type="pct"/>
            <w:vAlign w:val="center"/>
          </w:tcPr>
          <w:p>
            <w:pPr>
              <w:jc w:val="center"/>
              <w:rPr>
                <w:sz w:val="21"/>
                <w:szCs w:val="21"/>
              </w:rPr>
            </w:pPr>
            <w:r>
              <w:rPr>
                <w:sz w:val="21"/>
                <w:szCs w:val="21"/>
              </w:rPr>
              <w:t>副教授</w:t>
            </w:r>
          </w:p>
        </w:tc>
        <w:tc>
          <w:tcPr>
            <w:tcW w:w="991" w:type="pct"/>
            <w:vAlign w:val="center"/>
          </w:tcPr>
          <w:p>
            <w:pPr>
              <w:jc w:val="center"/>
              <w:rPr>
                <w:sz w:val="21"/>
                <w:szCs w:val="21"/>
              </w:rPr>
            </w:pPr>
            <w:r>
              <w:rPr>
                <w:sz w:val="21"/>
                <w:szCs w:val="21"/>
              </w:rPr>
              <w:t>博士/南航</w:t>
            </w:r>
          </w:p>
        </w:tc>
        <w:tc>
          <w:tcPr>
            <w:tcW w:w="2026" w:type="pct"/>
            <w:vAlign w:val="center"/>
          </w:tcPr>
          <w:p>
            <w:pPr>
              <w:jc w:val="center"/>
              <w:rPr>
                <w:sz w:val="21"/>
                <w:szCs w:val="21"/>
              </w:rPr>
            </w:pPr>
            <w:r>
              <w:rPr>
                <w:sz w:val="21"/>
                <w:szCs w:val="21"/>
              </w:rPr>
              <w:t>机械制图，机械原理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范国强</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46</w:t>
            </w:r>
          </w:p>
        </w:tc>
        <w:tc>
          <w:tcPr>
            <w:tcW w:w="645" w:type="pct"/>
            <w:vAlign w:val="center"/>
          </w:tcPr>
          <w:p>
            <w:pPr>
              <w:jc w:val="center"/>
              <w:rPr>
                <w:sz w:val="21"/>
                <w:szCs w:val="21"/>
              </w:rPr>
            </w:pPr>
            <w:r>
              <w:rPr>
                <w:sz w:val="21"/>
                <w:szCs w:val="21"/>
              </w:rPr>
              <w:t>副教授</w:t>
            </w:r>
          </w:p>
        </w:tc>
        <w:tc>
          <w:tcPr>
            <w:tcW w:w="991" w:type="pct"/>
            <w:vAlign w:val="center"/>
          </w:tcPr>
          <w:p>
            <w:pPr>
              <w:jc w:val="center"/>
              <w:rPr>
                <w:sz w:val="21"/>
                <w:szCs w:val="21"/>
              </w:rPr>
            </w:pPr>
            <w:r>
              <w:rPr>
                <w:sz w:val="21"/>
                <w:szCs w:val="21"/>
              </w:rPr>
              <w:t>博士/山大</w:t>
            </w:r>
          </w:p>
        </w:tc>
        <w:tc>
          <w:tcPr>
            <w:tcW w:w="2026" w:type="pct"/>
            <w:vAlign w:val="center"/>
          </w:tcPr>
          <w:p>
            <w:pPr>
              <w:jc w:val="center"/>
              <w:rPr>
                <w:sz w:val="21"/>
                <w:szCs w:val="21"/>
              </w:rPr>
            </w:pPr>
            <w:r>
              <w:rPr>
                <w:sz w:val="21"/>
                <w:szCs w:val="21"/>
              </w:rPr>
              <w:t>机械设计，人机工程学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张开兴</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38</w:t>
            </w:r>
          </w:p>
        </w:tc>
        <w:tc>
          <w:tcPr>
            <w:tcW w:w="645" w:type="pct"/>
            <w:vAlign w:val="center"/>
          </w:tcPr>
          <w:p>
            <w:pPr>
              <w:jc w:val="center"/>
              <w:rPr>
                <w:sz w:val="21"/>
                <w:szCs w:val="21"/>
              </w:rPr>
            </w:pPr>
            <w:r>
              <w:rPr>
                <w:sz w:val="21"/>
                <w:szCs w:val="21"/>
              </w:rPr>
              <w:t>副教授</w:t>
            </w:r>
          </w:p>
        </w:tc>
        <w:tc>
          <w:tcPr>
            <w:tcW w:w="991" w:type="pct"/>
            <w:vAlign w:val="center"/>
          </w:tcPr>
          <w:p>
            <w:pPr>
              <w:jc w:val="center"/>
              <w:rPr>
                <w:sz w:val="21"/>
                <w:szCs w:val="21"/>
              </w:rPr>
            </w:pPr>
            <w:r>
              <w:rPr>
                <w:sz w:val="21"/>
                <w:szCs w:val="21"/>
              </w:rPr>
              <w:t>博士/西北工大</w:t>
            </w:r>
          </w:p>
        </w:tc>
        <w:tc>
          <w:tcPr>
            <w:tcW w:w="2026" w:type="pct"/>
            <w:vAlign w:val="center"/>
          </w:tcPr>
          <w:p>
            <w:pPr>
              <w:jc w:val="center"/>
              <w:rPr>
                <w:sz w:val="21"/>
                <w:szCs w:val="21"/>
              </w:rPr>
            </w:pPr>
            <w:r>
              <w:rPr>
                <w:sz w:val="21"/>
                <w:szCs w:val="21"/>
              </w:rPr>
              <w:t>金属切削原理与刀具，虚拟仪器</w:t>
            </w:r>
          </w:p>
          <w:p>
            <w:pPr>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王玉亮</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43</w:t>
            </w:r>
          </w:p>
        </w:tc>
        <w:tc>
          <w:tcPr>
            <w:tcW w:w="645" w:type="pct"/>
            <w:vAlign w:val="center"/>
          </w:tcPr>
          <w:p>
            <w:pPr>
              <w:jc w:val="center"/>
              <w:rPr>
                <w:color w:val="0070C0"/>
                <w:sz w:val="21"/>
                <w:szCs w:val="21"/>
              </w:rPr>
            </w:pPr>
            <w:r>
              <w:rPr>
                <w:color w:val="000000" w:themeColor="text1"/>
                <w:sz w:val="21"/>
                <w:szCs w:val="21"/>
                <w14:textFill>
                  <w14:solidFill>
                    <w14:schemeClr w14:val="tx1"/>
                  </w14:solidFill>
                </w14:textFill>
              </w:rPr>
              <w:t>副教授</w:t>
            </w:r>
          </w:p>
        </w:tc>
        <w:tc>
          <w:tcPr>
            <w:tcW w:w="991" w:type="pct"/>
            <w:vAlign w:val="center"/>
          </w:tcPr>
          <w:p>
            <w:pPr>
              <w:jc w:val="center"/>
              <w:rPr>
                <w:sz w:val="21"/>
                <w:szCs w:val="21"/>
              </w:rPr>
            </w:pPr>
            <w:r>
              <w:rPr>
                <w:sz w:val="21"/>
                <w:szCs w:val="21"/>
              </w:rPr>
              <w:t>博士/南航</w:t>
            </w:r>
          </w:p>
        </w:tc>
        <w:tc>
          <w:tcPr>
            <w:tcW w:w="2026" w:type="pct"/>
            <w:vAlign w:val="center"/>
          </w:tcPr>
          <w:p>
            <w:pPr>
              <w:jc w:val="center"/>
              <w:rPr>
                <w:sz w:val="21"/>
                <w:szCs w:val="21"/>
              </w:rPr>
            </w:pPr>
            <w:r>
              <w:rPr>
                <w:sz w:val="21"/>
                <w:szCs w:val="21"/>
              </w:rPr>
              <w:t>机电一体化，现代设计及制造技术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陈兆英</w:t>
            </w:r>
          </w:p>
        </w:tc>
        <w:tc>
          <w:tcPr>
            <w:tcW w:w="432" w:type="pct"/>
            <w:vAlign w:val="center"/>
          </w:tcPr>
          <w:p>
            <w:pPr>
              <w:jc w:val="center"/>
              <w:rPr>
                <w:sz w:val="21"/>
                <w:szCs w:val="21"/>
              </w:rPr>
            </w:pPr>
            <w:r>
              <w:rPr>
                <w:sz w:val="21"/>
                <w:szCs w:val="21"/>
              </w:rPr>
              <w:t>女</w:t>
            </w:r>
          </w:p>
        </w:tc>
        <w:tc>
          <w:tcPr>
            <w:tcW w:w="375" w:type="pct"/>
            <w:vAlign w:val="center"/>
          </w:tcPr>
          <w:p>
            <w:pPr>
              <w:jc w:val="center"/>
              <w:rPr>
                <w:sz w:val="21"/>
                <w:szCs w:val="21"/>
              </w:rPr>
            </w:pPr>
            <w:r>
              <w:rPr>
                <w:sz w:val="21"/>
                <w:szCs w:val="21"/>
              </w:rPr>
              <w:t>44</w:t>
            </w:r>
          </w:p>
        </w:tc>
        <w:tc>
          <w:tcPr>
            <w:tcW w:w="645" w:type="pct"/>
            <w:vAlign w:val="center"/>
          </w:tcPr>
          <w:p>
            <w:pPr>
              <w:jc w:val="center"/>
              <w:rPr>
                <w:sz w:val="21"/>
                <w:szCs w:val="21"/>
              </w:rPr>
            </w:pPr>
            <w:r>
              <w:rPr>
                <w:sz w:val="21"/>
                <w:szCs w:val="21"/>
              </w:rPr>
              <w:t>讲师</w:t>
            </w:r>
          </w:p>
        </w:tc>
        <w:tc>
          <w:tcPr>
            <w:tcW w:w="991" w:type="pct"/>
            <w:vAlign w:val="center"/>
          </w:tcPr>
          <w:p>
            <w:pPr>
              <w:jc w:val="center"/>
              <w:rPr>
                <w:sz w:val="21"/>
                <w:szCs w:val="21"/>
              </w:rPr>
            </w:pPr>
            <w:r>
              <w:rPr>
                <w:sz w:val="21"/>
                <w:szCs w:val="21"/>
              </w:rPr>
              <w:t>硕士/南航</w:t>
            </w:r>
          </w:p>
        </w:tc>
        <w:tc>
          <w:tcPr>
            <w:tcW w:w="2026" w:type="pct"/>
            <w:vAlign w:val="center"/>
          </w:tcPr>
          <w:p>
            <w:pPr>
              <w:jc w:val="center"/>
              <w:rPr>
                <w:sz w:val="21"/>
                <w:szCs w:val="21"/>
              </w:rPr>
            </w:pPr>
            <w:r>
              <w:rPr>
                <w:sz w:val="21"/>
                <w:szCs w:val="21"/>
              </w:rPr>
              <w:t>数控技术，机电一体化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牛子孺</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43</w:t>
            </w:r>
          </w:p>
        </w:tc>
        <w:tc>
          <w:tcPr>
            <w:tcW w:w="645" w:type="pct"/>
            <w:vAlign w:val="center"/>
          </w:tcPr>
          <w:p>
            <w:pPr>
              <w:jc w:val="center"/>
              <w:rPr>
                <w:color w:val="0070C0"/>
                <w:sz w:val="21"/>
                <w:szCs w:val="21"/>
              </w:rPr>
            </w:pPr>
            <w:r>
              <w:rPr>
                <w:color w:val="000000" w:themeColor="text1"/>
                <w:sz w:val="21"/>
                <w:szCs w:val="21"/>
                <w14:textFill>
                  <w14:solidFill>
                    <w14:schemeClr w14:val="tx1"/>
                  </w14:solidFill>
                </w14:textFill>
              </w:rPr>
              <w:t>副教授</w:t>
            </w:r>
          </w:p>
        </w:tc>
        <w:tc>
          <w:tcPr>
            <w:tcW w:w="991" w:type="pct"/>
            <w:vAlign w:val="center"/>
          </w:tcPr>
          <w:p>
            <w:pPr>
              <w:jc w:val="center"/>
              <w:rPr>
                <w:sz w:val="21"/>
                <w:szCs w:val="21"/>
              </w:rPr>
            </w:pPr>
            <w:r>
              <w:rPr>
                <w:sz w:val="21"/>
                <w:szCs w:val="21"/>
              </w:rPr>
              <w:t>博士/武汉理工</w:t>
            </w:r>
          </w:p>
        </w:tc>
        <w:tc>
          <w:tcPr>
            <w:tcW w:w="2026" w:type="pct"/>
            <w:vAlign w:val="center"/>
          </w:tcPr>
          <w:p>
            <w:pPr>
              <w:jc w:val="center"/>
              <w:rPr>
                <w:sz w:val="21"/>
                <w:szCs w:val="21"/>
              </w:rPr>
            </w:pPr>
            <w:r>
              <w:rPr>
                <w:sz w:val="21"/>
                <w:szCs w:val="21"/>
              </w:rPr>
              <w:t>机械原理，机械设计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周长安</w:t>
            </w:r>
          </w:p>
        </w:tc>
        <w:tc>
          <w:tcPr>
            <w:tcW w:w="432"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男</w:t>
            </w:r>
          </w:p>
        </w:tc>
        <w:tc>
          <w:tcPr>
            <w:tcW w:w="375" w:type="pct"/>
            <w:vAlign w:val="center"/>
          </w:tcPr>
          <w:p>
            <w:pPr>
              <w:jc w:val="center"/>
              <w:rPr>
                <w:sz w:val="21"/>
                <w:szCs w:val="21"/>
              </w:rPr>
            </w:pPr>
            <w:r>
              <w:rPr>
                <w:sz w:val="21"/>
                <w:szCs w:val="21"/>
              </w:rPr>
              <w:t>33</w:t>
            </w:r>
          </w:p>
        </w:tc>
        <w:tc>
          <w:tcPr>
            <w:tcW w:w="645"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副教授</w:t>
            </w:r>
          </w:p>
        </w:tc>
        <w:tc>
          <w:tcPr>
            <w:tcW w:w="991" w:type="pct"/>
            <w:vAlign w:val="center"/>
          </w:tcPr>
          <w:p>
            <w:pPr>
              <w:jc w:val="center"/>
              <w:rPr>
                <w:sz w:val="21"/>
                <w:szCs w:val="21"/>
              </w:rPr>
            </w:pPr>
            <w:r>
              <w:rPr>
                <w:sz w:val="21"/>
                <w:szCs w:val="21"/>
              </w:rPr>
              <w:t>博士/山东大学</w:t>
            </w:r>
          </w:p>
        </w:tc>
        <w:tc>
          <w:tcPr>
            <w:tcW w:w="2026" w:type="pct"/>
            <w:vAlign w:val="center"/>
          </w:tcPr>
          <w:p>
            <w:pPr>
              <w:jc w:val="center"/>
              <w:rPr>
                <w:sz w:val="21"/>
                <w:szCs w:val="21"/>
              </w:rPr>
            </w:pPr>
            <w:r>
              <w:rPr>
                <w:sz w:val="21"/>
                <w:szCs w:val="21"/>
              </w:rPr>
              <w:t>先进制造技术，特种加工工艺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周</w:t>
            </w:r>
            <w:r>
              <w:rPr>
                <w:rFonts w:hint="eastAsia"/>
                <w:sz w:val="21"/>
                <w:szCs w:val="21"/>
              </w:rPr>
              <w:t xml:space="preserve">  </w:t>
            </w:r>
            <w:r>
              <w:rPr>
                <w:sz w:val="21"/>
                <w:szCs w:val="21"/>
              </w:rPr>
              <w:t>凯</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35</w:t>
            </w:r>
          </w:p>
        </w:tc>
        <w:tc>
          <w:tcPr>
            <w:tcW w:w="645" w:type="pct"/>
            <w:vAlign w:val="center"/>
          </w:tcPr>
          <w:p>
            <w:pPr>
              <w:jc w:val="center"/>
              <w:rPr>
                <w:sz w:val="21"/>
                <w:szCs w:val="21"/>
              </w:rPr>
            </w:pPr>
            <w:r>
              <w:rPr>
                <w:sz w:val="21"/>
                <w:szCs w:val="21"/>
              </w:rPr>
              <w:t>讲师</w:t>
            </w:r>
          </w:p>
        </w:tc>
        <w:tc>
          <w:tcPr>
            <w:tcW w:w="991" w:type="pct"/>
            <w:vAlign w:val="center"/>
          </w:tcPr>
          <w:p>
            <w:pPr>
              <w:jc w:val="center"/>
              <w:rPr>
                <w:sz w:val="21"/>
                <w:szCs w:val="21"/>
              </w:rPr>
            </w:pPr>
            <w:r>
              <w:rPr>
                <w:sz w:val="21"/>
                <w:szCs w:val="21"/>
              </w:rPr>
              <w:t>博士/哈工大</w:t>
            </w:r>
          </w:p>
        </w:tc>
        <w:tc>
          <w:tcPr>
            <w:tcW w:w="2026" w:type="pct"/>
            <w:vAlign w:val="center"/>
          </w:tcPr>
          <w:p>
            <w:pPr>
              <w:jc w:val="center"/>
              <w:rPr>
                <w:sz w:val="21"/>
                <w:szCs w:val="21"/>
              </w:rPr>
            </w:pPr>
            <w:r>
              <w:rPr>
                <w:sz w:val="21"/>
                <w:szCs w:val="21"/>
              </w:rPr>
              <w:t>机械原理、机械设计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高</w:t>
            </w:r>
            <w:r>
              <w:rPr>
                <w:rFonts w:hint="eastAsia"/>
                <w:sz w:val="21"/>
                <w:szCs w:val="21"/>
              </w:rPr>
              <w:t xml:space="preserve">  </w:t>
            </w:r>
            <w:r>
              <w:rPr>
                <w:sz w:val="21"/>
                <w:szCs w:val="21"/>
              </w:rPr>
              <w:t>明</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43</w:t>
            </w:r>
          </w:p>
        </w:tc>
        <w:tc>
          <w:tcPr>
            <w:tcW w:w="645" w:type="pct"/>
            <w:vAlign w:val="center"/>
          </w:tcPr>
          <w:p>
            <w:pPr>
              <w:jc w:val="center"/>
              <w:rPr>
                <w:sz w:val="21"/>
                <w:szCs w:val="21"/>
              </w:rPr>
            </w:pPr>
            <w:r>
              <w:rPr>
                <w:sz w:val="21"/>
                <w:szCs w:val="21"/>
              </w:rPr>
              <w:t>讲师</w:t>
            </w:r>
          </w:p>
        </w:tc>
        <w:tc>
          <w:tcPr>
            <w:tcW w:w="991" w:type="pct"/>
            <w:vAlign w:val="center"/>
          </w:tcPr>
          <w:p>
            <w:pPr>
              <w:jc w:val="center"/>
              <w:rPr>
                <w:sz w:val="21"/>
                <w:szCs w:val="21"/>
              </w:rPr>
            </w:pPr>
            <w:r>
              <w:rPr>
                <w:sz w:val="21"/>
                <w:szCs w:val="21"/>
              </w:rPr>
              <w:t>博士/天津大学</w:t>
            </w:r>
          </w:p>
        </w:tc>
        <w:tc>
          <w:tcPr>
            <w:tcW w:w="2026" w:type="pct"/>
            <w:vAlign w:val="center"/>
          </w:tcPr>
          <w:p>
            <w:pPr>
              <w:jc w:val="center"/>
              <w:rPr>
                <w:sz w:val="21"/>
                <w:szCs w:val="21"/>
              </w:rPr>
            </w:pPr>
            <w:r>
              <w:rPr>
                <w:sz w:val="21"/>
                <w:szCs w:val="21"/>
              </w:rPr>
              <w:t>理论力学，材料力学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鹿</w:t>
            </w:r>
            <w:r>
              <w:rPr>
                <w:rFonts w:hint="eastAsia"/>
                <w:sz w:val="21"/>
                <w:szCs w:val="21"/>
              </w:rPr>
              <w:t xml:space="preserve">  </w:t>
            </w:r>
            <w:r>
              <w:rPr>
                <w:sz w:val="21"/>
                <w:szCs w:val="21"/>
              </w:rPr>
              <w:t>瑶</w:t>
            </w:r>
          </w:p>
        </w:tc>
        <w:tc>
          <w:tcPr>
            <w:tcW w:w="432" w:type="pct"/>
            <w:vAlign w:val="center"/>
          </w:tcPr>
          <w:p>
            <w:pPr>
              <w:jc w:val="center"/>
              <w:rPr>
                <w:sz w:val="21"/>
                <w:szCs w:val="21"/>
              </w:rPr>
            </w:pPr>
            <w:r>
              <w:rPr>
                <w:sz w:val="21"/>
                <w:szCs w:val="21"/>
              </w:rPr>
              <w:t>女</w:t>
            </w:r>
          </w:p>
        </w:tc>
        <w:tc>
          <w:tcPr>
            <w:tcW w:w="375" w:type="pct"/>
            <w:vAlign w:val="center"/>
          </w:tcPr>
          <w:p>
            <w:pPr>
              <w:jc w:val="center"/>
              <w:rPr>
                <w:sz w:val="21"/>
                <w:szCs w:val="21"/>
              </w:rPr>
            </w:pPr>
            <w:r>
              <w:rPr>
                <w:sz w:val="21"/>
                <w:szCs w:val="21"/>
              </w:rPr>
              <w:t>33</w:t>
            </w:r>
          </w:p>
        </w:tc>
        <w:tc>
          <w:tcPr>
            <w:tcW w:w="645" w:type="pct"/>
            <w:vAlign w:val="center"/>
          </w:tcPr>
          <w:p>
            <w:pPr>
              <w:jc w:val="center"/>
              <w:rPr>
                <w:sz w:val="21"/>
                <w:szCs w:val="21"/>
              </w:rPr>
            </w:pPr>
            <w:r>
              <w:rPr>
                <w:sz w:val="21"/>
                <w:szCs w:val="21"/>
              </w:rPr>
              <w:t>副教授</w:t>
            </w:r>
          </w:p>
        </w:tc>
        <w:tc>
          <w:tcPr>
            <w:tcW w:w="991" w:type="pct"/>
            <w:vAlign w:val="center"/>
          </w:tcPr>
          <w:p>
            <w:pPr>
              <w:jc w:val="center"/>
              <w:rPr>
                <w:sz w:val="21"/>
                <w:szCs w:val="21"/>
              </w:rPr>
            </w:pPr>
            <w:r>
              <w:rPr>
                <w:sz w:val="21"/>
                <w:szCs w:val="21"/>
              </w:rPr>
              <w:t>博士/中国农大</w:t>
            </w:r>
          </w:p>
        </w:tc>
        <w:tc>
          <w:tcPr>
            <w:tcW w:w="2026" w:type="pct"/>
            <w:vAlign w:val="center"/>
          </w:tcPr>
          <w:p>
            <w:pPr>
              <w:jc w:val="center"/>
              <w:rPr>
                <w:sz w:val="21"/>
                <w:szCs w:val="21"/>
              </w:rPr>
            </w:pPr>
            <w:r>
              <w:rPr>
                <w:sz w:val="21"/>
                <w:szCs w:val="21"/>
              </w:rPr>
              <w:t>C语言程序设计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孙林林</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33</w:t>
            </w:r>
          </w:p>
        </w:tc>
        <w:tc>
          <w:tcPr>
            <w:tcW w:w="645" w:type="pct"/>
            <w:vAlign w:val="center"/>
          </w:tcPr>
          <w:p>
            <w:pPr>
              <w:jc w:val="center"/>
              <w:rPr>
                <w:sz w:val="21"/>
                <w:szCs w:val="21"/>
              </w:rPr>
            </w:pPr>
            <w:r>
              <w:rPr>
                <w:sz w:val="21"/>
                <w:szCs w:val="21"/>
              </w:rPr>
              <w:t>副教授</w:t>
            </w:r>
          </w:p>
        </w:tc>
        <w:tc>
          <w:tcPr>
            <w:tcW w:w="991" w:type="pct"/>
            <w:vAlign w:val="center"/>
          </w:tcPr>
          <w:p>
            <w:pPr>
              <w:jc w:val="center"/>
              <w:rPr>
                <w:sz w:val="21"/>
                <w:szCs w:val="21"/>
              </w:rPr>
            </w:pPr>
            <w:r>
              <w:rPr>
                <w:sz w:val="21"/>
                <w:szCs w:val="21"/>
              </w:rPr>
              <w:t>博士/北京理工</w:t>
            </w:r>
          </w:p>
        </w:tc>
        <w:tc>
          <w:tcPr>
            <w:tcW w:w="2026" w:type="pct"/>
            <w:vAlign w:val="center"/>
          </w:tcPr>
          <w:p>
            <w:pPr>
              <w:jc w:val="center"/>
              <w:rPr>
                <w:sz w:val="21"/>
                <w:szCs w:val="21"/>
              </w:rPr>
            </w:pPr>
            <w:r>
              <w:rPr>
                <w:sz w:val="21"/>
                <w:szCs w:val="21"/>
              </w:rPr>
              <w:t>机械设计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李天华</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46</w:t>
            </w:r>
          </w:p>
        </w:tc>
        <w:tc>
          <w:tcPr>
            <w:tcW w:w="645" w:type="pct"/>
            <w:vAlign w:val="center"/>
          </w:tcPr>
          <w:p>
            <w:pPr>
              <w:jc w:val="center"/>
              <w:rPr>
                <w:sz w:val="21"/>
                <w:szCs w:val="21"/>
              </w:rPr>
            </w:pPr>
            <w:r>
              <w:rPr>
                <w:sz w:val="21"/>
                <w:szCs w:val="21"/>
              </w:rPr>
              <w:t>教授</w:t>
            </w:r>
          </w:p>
        </w:tc>
        <w:tc>
          <w:tcPr>
            <w:tcW w:w="991" w:type="pct"/>
            <w:vAlign w:val="center"/>
          </w:tcPr>
          <w:p>
            <w:pPr>
              <w:jc w:val="center"/>
              <w:rPr>
                <w:sz w:val="21"/>
                <w:szCs w:val="21"/>
              </w:rPr>
            </w:pPr>
            <w:r>
              <w:rPr>
                <w:sz w:val="21"/>
                <w:szCs w:val="21"/>
              </w:rPr>
              <w:t>博士/山东农大</w:t>
            </w:r>
          </w:p>
        </w:tc>
        <w:tc>
          <w:tcPr>
            <w:tcW w:w="2026" w:type="pct"/>
            <w:vAlign w:val="center"/>
          </w:tcPr>
          <w:p>
            <w:pPr>
              <w:jc w:val="center"/>
              <w:rPr>
                <w:sz w:val="21"/>
                <w:szCs w:val="21"/>
              </w:rPr>
            </w:pPr>
            <w:r>
              <w:rPr>
                <w:sz w:val="21"/>
                <w:szCs w:val="21"/>
              </w:rPr>
              <w:t>可编程控制器及应用，单片机原理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张传洋</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55</w:t>
            </w:r>
          </w:p>
        </w:tc>
        <w:tc>
          <w:tcPr>
            <w:tcW w:w="645" w:type="pct"/>
            <w:vAlign w:val="center"/>
          </w:tcPr>
          <w:p>
            <w:pPr>
              <w:jc w:val="center"/>
              <w:rPr>
                <w:sz w:val="21"/>
                <w:szCs w:val="21"/>
              </w:rPr>
            </w:pPr>
            <w:r>
              <w:rPr>
                <w:sz w:val="21"/>
                <w:szCs w:val="21"/>
              </w:rPr>
              <w:t>副教授</w:t>
            </w:r>
          </w:p>
        </w:tc>
        <w:tc>
          <w:tcPr>
            <w:tcW w:w="991" w:type="pct"/>
            <w:vAlign w:val="center"/>
          </w:tcPr>
          <w:p>
            <w:pPr>
              <w:jc w:val="center"/>
              <w:rPr>
                <w:sz w:val="21"/>
                <w:szCs w:val="21"/>
              </w:rPr>
            </w:pPr>
            <w:r>
              <w:rPr>
                <w:sz w:val="21"/>
                <w:szCs w:val="21"/>
              </w:rPr>
              <w:t>硕士/山科大</w:t>
            </w:r>
          </w:p>
        </w:tc>
        <w:tc>
          <w:tcPr>
            <w:tcW w:w="2026" w:type="pct"/>
            <w:vAlign w:val="center"/>
          </w:tcPr>
          <w:p>
            <w:pPr>
              <w:jc w:val="center"/>
              <w:rPr>
                <w:sz w:val="21"/>
                <w:szCs w:val="21"/>
              </w:rPr>
            </w:pPr>
            <w:r>
              <w:rPr>
                <w:sz w:val="21"/>
                <w:szCs w:val="21"/>
              </w:rPr>
              <w:t>电工学，模拟电子技术基础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李</w:t>
            </w:r>
            <w:r>
              <w:rPr>
                <w:rFonts w:hint="eastAsia"/>
                <w:sz w:val="21"/>
                <w:szCs w:val="21"/>
              </w:rPr>
              <w:t xml:space="preserve">  </w:t>
            </w:r>
            <w:r>
              <w:rPr>
                <w:sz w:val="21"/>
                <w:szCs w:val="21"/>
              </w:rPr>
              <w:t>扬</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40</w:t>
            </w:r>
          </w:p>
        </w:tc>
        <w:tc>
          <w:tcPr>
            <w:tcW w:w="645" w:type="pct"/>
            <w:vAlign w:val="center"/>
          </w:tcPr>
          <w:p>
            <w:pPr>
              <w:jc w:val="center"/>
              <w:rPr>
                <w:color w:val="FF0000"/>
                <w:sz w:val="21"/>
                <w:szCs w:val="21"/>
              </w:rPr>
            </w:pPr>
            <w:r>
              <w:rPr>
                <w:color w:val="000000" w:themeColor="text1"/>
                <w:sz w:val="21"/>
                <w:szCs w:val="21"/>
                <w14:textFill>
                  <w14:solidFill>
                    <w14:schemeClr w14:val="tx1"/>
                  </w14:solidFill>
                </w14:textFill>
              </w:rPr>
              <w:t>副教授</w:t>
            </w:r>
          </w:p>
        </w:tc>
        <w:tc>
          <w:tcPr>
            <w:tcW w:w="991" w:type="pct"/>
            <w:vAlign w:val="center"/>
          </w:tcPr>
          <w:p>
            <w:pPr>
              <w:jc w:val="center"/>
              <w:rPr>
                <w:sz w:val="21"/>
                <w:szCs w:val="21"/>
              </w:rPr>
            </w:pPr>
            <w:r>
              <w:rPr>
                <w:sz w:val="21"/>
                <w:szCs w:val="21"/>
              </w:rPr>
              <w:t>博士/中国海大</w:t>
            </w:r>
          </w:p>
        </w:tc>
        <w:tc>
          <w:tcPr>
            <w:tcW w:w="2026" w:type="pct"/>
            <w:vAlign w:val="center"/>
          </w:tcPr>
          <w:p>
            <w:pPr>
              <w:jc w:val="center"/>
              <w:rPr>
                <w:sz w:val="21"/>
                <w:szCs w:val="21"/>
              </w:rPr>
            </w:pPr>
            <w:r>
              <w:rPr>
                <w:sz w:val="21"/>
                <w:szCs w:val="21"/>
              </w:rPr>
              <w:t>电工电子技术、自动化控制原理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王冉冉</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43</w:t>
            </w:r>
          </w:p>
        </w:tc>
        <w:tc>
          <w:tcPr>
            <w:tcW w:w="645" w:type="pct"/>
            <w:vAlign w:val="center"/>
          </w:tcPr>
          <w:p>
            <w:pPr>
              <w:jc w:val="center"/>
              <w:rPr>
                <w:sz w:val="21"/>
                <w:szCs w:val="21"/>
              </w:rPr>
            </w:pPr>
            <w:r>
              <w:rPr>
                <w:sz w:val="21"/>
                <w:szCs w:val="21"/>
              </w:rPr>
              <w:t>副教授</w:t>
            </w:r>
          </w:p>
        </w:tc>
        <w:tc>
          <w:tcPr>
            <w:tcW w:w="991" w:type="pct"/>
            <w:vAlign w:val="center"/>
          </w:tcPr>
          <w:p>
            <w:pPr>
              <w:jc w:val="center"/>
              <w:rPr>
                <w:sz w:val="21"/>
                <w:szCs w:val="21"/>
              </w:rPr>
            </w:pPr>
            <w:r>
              <w:rPr>
                <w:sz w:val="21"/>
                <w:szCs w:val="21"/>
              </w:rPr>
              <w:t>博士/山农大</w:t>
            </w:r>
          </w:p>
        </w:tc>
        <w:tc>
          <w:tcPr>
            <w:tcW w:w="2026" w:type="pct"/>
            <w:vAlign w:val="center"/>
          </w:tcPr>
          <w:p>
            <w:pPr>
              <w:jc w:val="center"/>
              <w:rPr>
                <w:sz w:val="21"/>
                <w:szCs w:val="21"/>
              </w:rPr>
            </w:pPr>
            <w:r>
              <w:rPr>
                <w:sz w:val="21"/>
                <w:szCs w:val="21"/>
              </w:rPr>
              <w:t>模拟电子技术基础、数字电子技术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束</w:t>
            </w:r>
            <w:r>
              <w:rPr>
                <w:rFonts w:hint="eastAsia"/>
                <w:sz w:val="21"/>
                <w:szCs w:val="21"/>
              </w:rPr>
              <w:t xml:space="preserve">  </w:t>
            </w:r>
            <w:r>
              <w:rPr>
                <w:sz w:val="21"/>
                <w:szCs w:val="21"/>
              </w:rPr>
              <w:t>钰</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39</w:t>
            </w:r>
          </w:p>
        </w:tc>
        <w:tc>
          <w:tcPr>
            <w:tcW w:w="645" w:type="pct"/>
            <w:vAlign w:val="center"/>
          </w:tcPr>
          <w:p>
            <w:pPr>
              <w:jc w:val="center"/>
              <w:rPr>
                <w:sz w:val="21"/>
                <w:szCs w:val="21"/>
              </w:rPr>
            </w:pPr>
            <w:r>
              <w:rPr>
                <w:sz w:val="21"/>
                <w:szCs w:val="21"/>
              </w:rPr>
              <w:t>实验师</w:t>
            </w:r>
          </w:p>
        </w:tc>
        <w:tc>
          <w:tcPr>
            <w:tcW w:w="991" w:type="pct"/>
            <w:vAlign w:val="center"/>
          </w:tcPr>
          <w:p>
            <w:pPr>
              <w:jc w:val="center"/>
              <w:rPr>
                <w:sz w:val="21"/>
                <w:szCs w:val="21"/>
              </w:rPr>
            </w:pPr>
            <w:r>
              <w:rPr>
                <w:sz w:val="21"/>
                <w:szCs w:val="21"/>
              </w:rPr>
              <w:t>硕士/天津理工</w:t>
            </w:r>
          </w:p>
        </w:tc>
        <w:tc>
          <w:tcPr>
            <w:tcW w:w="2026" w:type="pct"/>
            <w:vAlign w:val="center"/>
          </w:tcPr>
          <w:p>
            <w:pPr>
              <w:jc w:val="center"/>
              <w:rPr>
                <w:sz w:val="21"/>
                <w:szCs w:val="21"/>
              </w:rPr>
            </w:pPr>
            <w:r>
              <w:rPr>
                <w:sz w:val="21"/>
                <w:szCs w:val="21"/>
              </w:rPr>
              <w:t>实验员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尹</w:t>
            </w:r>
            <w:r>
              <w:rPr>
                <w:rFonts w:hint="eastAsia"/>
                <w:sz w:val="21"/>
                <w:szCs w:val="21"/>
              </w:rPr>
              <w:t xml:space="preserve">  </w:t>
            </w:r>
            <w:r>
              <w:rPr>
                <w:sz w:val="21"/>
                <w:szCs w:val="21"/>
              </w:rPr>
              <w:t>力</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34</w:t>
            </w:r>
          </w:p>
        </w:tc>
        <w:tc>
          <w:tcPr>
            <w:tcW w:w="645" w:type="pct"/>
            <w:vAlign w:val="center"/>
          </w:tcPr>
          <w:p>
            <w:pPr>
              <w:jc w:val="center"/>
              <w:rPr>
                <w:sz w:val="21"/>
                <w:szCs w:val="21"/>
              </w:rPr>
            </w:pPr>
            <w:r>
              <w:rPr>
                <w:sz w:val="21"/>
                <w:szCs w:val="21"/>
              </w:rPr>
              <w:t>实验师</w:t>
            </w:r>
          </w:p>
        </w:tc>
        <w:tc>
          <w:tcPr>
            <w:tcW w:w="991" w:type="pct"/>
            <w:vAlign w:val="center"/>
          </w:tcPr>
          <w:p>
            <w:pPr>
              <w:jc w:val="center"/>
              <w:rPr>
                <w:sz w:val="21"/>
                <w:szCs w:val="21"/>
              </w:rPr>
            </w:pPr>
            <w:r>
              <w:rPr>
                <w:sz w:val="21"/>
                <w:szCs w:val="21"/>
              </w:rPr>
              <w:t>硕士/俄国立农大</w:t>
            </w:r>
          </w:p>
        </w:tc>
        <w:tc>
          <w:tcPr>
            <w:tcW w:w="2026" w:type="pct"/>
            <w:vAlign w:val="center"/>
          </w:tcPr>
          <w:p>
            <w:pPr>
              <w:jc w:val="center"/>
              <w:rPr>
                <w:sz w:val="21"/>
                <w:szCs w:val="21"/>
              </w:rPr>
            </w:pPr>
            <w:r>
              <w:rPr>
                <w:sz w:val="21"/>
                <w:szCs w:val="21"/>
              </w:rPr>
              <w:t>实验员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张</w:t>
            </w:r>
            <w:r>
              <w:rPr>
                <w:rFonts w:hint="eastAsia"/>
                <w:sz w:val="21"/>
                <w:szCs w:val="21"/>
              </w:rPr>
              <w:t xml:space="preserve">  </w:t>
            </w:r>
            <w:r>
              <w:rPr>
                <w:sz w:val="21"/>
                <w:szCs w:val="21"/>
              </w:rPr>
              <w:t>军</w:t>
            </w:r>
          </w:p>
        </w:tc>
        <w:tc>
          <w:tcPr>
            <w:tcW w:w="432" w:type="pct"/>
            <w:vAlign w:val="center"/>
          </w:tcPr>
          <w:p>
            <w:pPr>
              <w:jc w:val="center"/>
              <w:rPr>
                <w:sz w:val="21"/>
                <w:szCs w:val="21"/>
              </w:rPr>
            </w:pPr>
            <w:r>
              <w:rPr>
                <w:sz w:val="21"/>
                <w:szCs w:val="21"/>
              </w:rPr>
              <w:t>男</w:t>
            </w:r>
          </w:p>
        </w:tc>
        <w:tc>
          <w:tcPr>
            <w:tcW w:w="375" w:type="pct"/>
            <w:vAlign w:val="center"/>
          </w:tcPr>
          <w:p>
            <w:pPr>
              <w:jc w:val="center"/>
              <w:rPr>
                <w:sz w:val="21"/>
                <w:szCs w:val="21"/>
              </w:rPr>
            </w:pPr>
            <w:r>
              <w:rPr>
                <w:sz w:val="21"/>
                <w:szCs w:val="21"/>
              </w:rPr>
              <w:t>60</w:t>
            </w:r>
          </w:p>
        </w:tc>
        <w:tc>
          <w:tcPr>
            <w:tcW w:w="645" w:type="pct"/>
            <w:vAlign w:val="center"/>
          </w:tcPr>
          <w:p>
            <w:pPr>
              <w:jc w:val="center"/>
              <w:rPr>
                <w:sz w:val="21"/>
                <w:szCs w:val="21"/>
              </w:rPr>
            </w:pPr>
            <w:r>
              <w:rPr>
                <w:sz w:val="21"/>
                <w:szCs w:val="21"/>
              </w:rPr>
              <w:t>高级实验师</w:t>
            </w:r>
          </w:p>
        </w:tc>
        <w:tc>
          <w:tcPr>
            <w:tcW w:w="991" w:type="pct"/>
            <w:vAlign w:val="center"/>
          </w:tcPr>
          <w:p>
            <w:pPr>
              <w:jc w:val="center"/>
              <w:rPr>
                <w:sz w:val="21"/>
                <w:szCs w:val="21"/>
              </w:rPr>
            </w:pPr>
            <w:r>
              <w:rPr>
                <w:sz w:val="21"/>
                <w:szCs w:val="21"/>
              </w:rPr>
              <w:t>本科/山农大</w:t>
            </w:r>
          </w:p>
        </w:tc>
        <w:tc>
          <w:tcPr>
            <w:tcW w:w="2026" w:type="pct"/>
            <w:vAlign w:val="center"/>
          </w:tcPr>
          <w:p>
            <w:pPr>
              <w:jc w:val="center"/>
              <w:rPr>
                <w:sz w:val="21"/>
                <w:szCs w:val="21"/>
              </w:rPr>
            </w:pPr>
            <w:r>
              <w:rPr>
                <w:sz w:val="21"/>
                <w:szCs w:val="21"/>
              </w:rPr>
              <w:t>实验员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527" w:type="pct"/>
            <w:vAlign w:val="center"/>
          </w:tcPr>
          <w:p>
            <w:pPr>
              <w:jc w:val="center"/>
              <w:rPr>
                <w:sz w:val="21"/>
                <w:szCs w:val="21"/>
              </w:rPr>
            </w:pPr>
            <w:r>
              <w:rPr>
                <w:sz w:val="21"/>
                <w:szCs w:val="21"/>
              </w:rPr>
              <w:t>施国英</w:t>
            </w:r>
          </w:p>
        </w:tc>
        <w:tc>
          <w:tcPr>
            <w:tcW w:w="432" w:type="pct"/>
            <w:vAlign w:val="center"/>
          </w:tcPr>
          <w:p>
            <w:pPr>
              <w:jc w:val="center"/>
              <w:rPr>
                <w:sz w:val="21"/>
                <w:szCs w:val="21"/>
              </w:rPr>
            </w:pPr>
            <w:r>
              <w:rPr>
                <w:sz w:val="21"/>
                <w:szCs w:val="21"/>
              </w:rPr>
              <w:t>女</w:t>
            </w:r>
          </w:p>
        </w:tc>
        <w:tc>
          <w:tcPr>
            <w:tcW w:w="375" w:type="pct"/>
            <w:vAlign w:val="center"/>
          </w:tcPr>
          <w:p>
            <w:pPr>
              <w:jc w:val="center"/>
              <w:rPr>
                <w:sz w:val="21"/>
                <w:szCs w:val="21"/>
              </w:rPr>
            </w:pPr>
            <w:r>
              <w:rPr>
                <w:sz w:val="21"/>
                <w:szCs w:val="21"/>
              </w:rPr>
              <w:t>42</w:t>
            </w:r>
          </w:p>
        </w:tc>
        <w:tc>
          <w:tcPr>
            <w:tcW w:w="645" w:type="pct"/>
            <w:vAlign w:val="center"/>
          </w:tcPr>
          <w:p>
            <w:pPr>
              <w:jc w:val="center"/>
              <w:rPr>
                <w:sz w:val="21"/>
                <w:szCs w:val="21"/>
              </w:rPr>
            </w:pPr>
            <w:r>
              <w:rPr>
                <w:sz w:val="21"/>
                <w:szCs w:val="21"/>
              </w:rPr>
              <w:t>实验师</w:t>
            </w:r>
          </w:p>
        </w:tc>
        <w:tc>
          <w:tcPr>
            <w:tcW w:w="991" w:type="pct"/>
            <w:vAlign w:val="center"/>
          </w:tcPr>
          <w:p>
            <w:pPr>
              <w:jc w:val="center"/>
              <w:rPr>
                <w:sz w:val="21"/>
                <w:szCs w:val="21"/>
              </w:rPr>
            </w:pPr>
            <w:r>
              <w:rPr>
                <w:sz w:val="21"/>
                <w:szCs w:val="21"/>
              </w:rPr>
              <w:t>硕士/山大</w:t>
            </w:r>
          </w:p>
        </w:tc>
        <w:tc>
          <w:tcPr>
            <w:tcW w:w="2026" w:type="pct"/>
            <w:vAlign w:val="center"/>
          </w:tcPr>
          <w:p>
            <w:pPr>
              <w:jc w:val="center"/>
              <w:rPr>
                <w:sz w:val="21"/>
                <w:szCs w:val="21"/>
              </w:rPr>
            </w:pPr>
            <w:r>
              <w:rPr>
                <w:sz w:val="21"/>
                <w:szCs w:val="21"/>
              </w:rPr>
              <w:t>实验员</w:t>
            </w:r>
          </w:p>
        </w:tc>
      </w:tr>
    </w:tbl>
    <w:p/>
    <w:p>
      <w:pPr>
        <w:ind w:firstLine="480" w:firstLineChars="200"/>
      </w:pPr>
      <w:r>
        <w:t>专职教师中，正教授8名，副教授16名，讲师4名，国家级现代农业体系岗位科学家1人，山东省现代农业岗位专家1名，平均年龄45岁，具有博士学位占78.2%，专业拥有合理的学缘及学历结构，师资力量建设为本专业的快速发展奠定了坚实的基础。</w:t>
      </w:r>
    </w:p>
    <w:p>
      <w:pPr>
        <w:ind w:firstLine="480" w:firstLineChars="200"/>
      </w:pPr>
      <w:r>
        <w:t>注重教学改革、提升教学质量，宋月鹏教授主持的</w:t>
      </w:r>
      <w:r>
        <w:rPr>
          <w:rFonts w:hint="eastAsia"/>
        </w:rPr>
        <w:t>“</w:t>
      </w:r>
      <w:r>
        <w:t>以创新、科技竞赛为载体的农业工程类大学生实践教学体系改革与构建</w:t>
      </w:r>
      <w:r>
        <w:rPr>
          <w:rFonts w:hint="eastAsia"/>
        </w:rPr>
        <w:t>”</w:t>
      </w:r>
      <w:r>
        <w:t>获得山东省省级教学成果一等奖。开展以创新、科技竞赛为载体的实践教学体系改革与实践，主要内容包括：</w:t>
      </w:r>
    </w:p>
    <w:p>
      <w:pPr>
        <w:ind w:firstLine="480" w:firstLineChars="200"/>
      </w:pPr>
      <w:r>
        <w:t>（1）创建基于工程专业认证的层次多样、内容丰富、</w:t>
      </w:r>
      <w:r>
        <w:rPr>
          <w:rFonts w:hint="eastAsia"/>
        </w:rPr>
        <w:t>“</w:t>
      </w:r>
      <w:r>
        <w:t>3+1+X</w:t>
      </w:r>
      <w:r>
        <w:rPr>
          <w:rFonts w:hint="eastAsia"/>
        </w:rPr>
        <w:t>”</w:t>
      </w:r>
      <w:r>
        <w:t>的创新课程体系，构建适应新时代发展需求的大学生科创实践教学体系；</w:t>
      </w:r>
    </w:p>
    <w:p>
      <w:pPr>
        <w:ind w:firstLine="480" w:firstLineChars="200"/>
      </w:pPr>
      <w:r>
        <w:t>（2）搭建功能齐全、分层次多维度、实战效果好的大学生科技创新能力实训实践平台，创建定位准确、面向对象广、集群式大学生科创实践实验室；</w:t>
      </w:r>
    </w:p>
    <w:p>
      <w:pPr>
        <w:ind w:firstLine="480" w:firstLineChars="200"/>
      </w:pPr>
      <w:r>
        <w:t>（3）发挥优势，统筹管理，根据不同学生的个性需求，通过</w:t>
      </w:r>
      <w:r>
        <w:rPr>
          <w:rFonts w:hint="eastAsia"/>
        </w:rPr>
        <w:t>“</w:t>
      </w:r>
      <w:r>
        <w:t>师生双选</w:t>
      </w:r>
      <w:r>
        <w:rPr>
          <w:rFonts w:hint="eastAsia"/>
        </w:rPr>
        <w:t>”</w:t>
      </w:r>
      <w:r>
        <w:t>等手段，形成以创新、科技竞赛为载体的多种实践训练模块；</w:t>
      </w:r>
    </w:p>
    <w:p>
      <w:pPr>
        <w:ind w:firstLine="480" w:firstLineChars="200"/>
      </w:pPr>
      <w:r>
        <w:t>（4）结合学科特点与不同年级学生专业知识掌握程度，组织不同层次的科技竞赛，构建</w:t>
      </w:r>
      <w:r>
        <w:rPr>
          <w:rFonts w:hint="eastAsia"/>
        </w:rPr>
        <w:t>“</w:t>
      </w:r>
      <w:r>
        <w:t>普惠制</w:t>
      </w:r>
      <w:r>
        <w:rPr>
          <w:rFonts w:hint="eastAsia"/>
        </w:rPr>
        <w:t>”</w:t>
      </w:r>
      <w:r>
        <w:t>全员实践科创新体制；</w:t>
      </w:r>
    </w:p>
    <w:p>
      <w:pPr>
        <w:ind w:firstLine="480" w:firstLineChars="200"/>
      </w:pPr>
      <w:r>
        <w:t>（5）依托校内外优质师资资源，组建一支高水平的科创理论教学与实践指导教师队伍。注重年轻教师的教学科研能力的培养与提高，积极创造条件，结合我院的</w:t>
      </w:r>
      <w:r>
        <w:rPr>
          <w:rFonts w:hint="eastAsia"/>
        </w:rPr>
        <w:t>“</w:t>
      </w:r>
      <w:r>
        <w:t>青蓝工程</w:t>
      </w:r>
      <w:r>
        <w:rPr>
          <w:rFonts w:hint="eastAsia"/>
        </w:rPr>
        <w:t>”</w:t>
      </w:r>
      <w:r>
        <w:t>，指定富有经验的老教师结对子，帮扶新进青年教师尽快掌握授课内容，提高授课技能。2022年任龙龙老师获得山东农业大学教学质量奖，大学生全员参与实践科创已蔚然成风，在各类科技竞赛中获得优良成绩，科创实践能力、人才培养质量得到大幅提升。</w:t>
      </w:r>
    </w:p>
    <w:p>
      <w:pPr>
        <w:ind w:firstLine="480" w:firstLineChars="200"/>
      </w:pPr>
      <w:r>
        <w:t>积极创造条件，帮助教师参加学校及国家举办的各类讲课技能、多媒体大赛，指导大学生科技创新实践，专业教师教学科研能力有了加大提高，获得较好效果。参加国内外学术会议20人次，申请各类专利或著作权共50余项，发表学术论文40余篇，其中SCI/EI等收录30篇。</w:t>
      </w:r>
    </w:p>
    <w:p>
      <w:pPr>
        <w:ind w:firstLine="480" w:firstLineChars="200"/>
      </w:pPr>
      <w:r>
        <w:t>专业任课教师极为重视现代教学技术在课堂教学中的应用，通过参加山东省多媒体课件比赛、微课比赛及学校举办的青年教师讲课技能大赛等方式，努力提高自身素质及课堂教学技能。王金星主持的教研项目获得山东省重点项目资助，张开兴老师获评山东农业大学第八届学生心目中的十大优秀教师，郭晶老师获评山东农业大学最美教师，高明老师获评十佳班主任。教学手段上，充分利用多媒体教室、一体化教室、实训基地以及实训中心等一切有利条件来辅助教学。改革教学方式，安排教学团队内每位教师根据各自研究的内容进行讲授，对于开阔学生的眼界、紧跟世界智能化制造发展潮流是极为重要的手段，现代教学技术应用能力得到大幅度提高，教学质量、学生评价均较过去有较大提高。教学手段上，充分利用多媒体教室、一体化教室、实训基地以及实训中心等一切有利条件来辅助教学。改革教学方式，如对于该专业的《机械电子研究进展》课程，安排教学团队内每位教师根据各自研究的内容进行讲授，这对于开阔学生的眼界、紧跟世界机电发展潮流是极为重要的手段，现代教学技术应用能力得到大幅度提高，教学质量、学生评价均较过去有较大提高。</w:t>
      </w:r>
    </w:p>
    <w:p>
      <w:pPr>
        <w:pStyle w:val="5"/>
        <w:spacing w:before="93" w:after="93"/>
        <w:ind w:firstLine="560"/>
      </w:pPr>
      <w:r>
        <w:t>四、培养机制与特色（产学研协同育人机制、合作办学、教学管理等）</w:t>
      </w:r>
    </w:p>
    <w:p>
      <w:pPr>
        <w:ind w:firstLine="480" w:firstLineChars="200"/>
      </w:pPr>
      <w:r>
        <w:t>在多年的专业建设过程中，我们一直秉承</w:t>
      </w:r>
      <w:r>
        <w:rPr>
          <w:rFonts w:hint="eastAsia"/>
        </w:rPr>
        <w:t>“</w:t>
      </w:r>
      <w:r>
        <w:t>立足山东，面向全国，服务国家机电行业；立足基层，面向生产、建设、管理和服务第一线</w:t>
      </w:r>
      <w:r>
        <w:rPr>
          <w:rFonts w:hint="eastAsia"/>
        </w:rPr>
        <w:t>”</w:t>
      </w:r>
      <w:r>
        <w:t>的办学定位；坚持</w:t>
      </w:r>
      <w:r>
        <w:rPr>
          <w:rFonts w:hint="eastAsia"/>
        </w:rPr>
        <w:t>“</w:t>
      </w:r>
      <w:r>
        <w:t>以学为本，以体为用，理论联系实践</w:t>
      </w:r>
      <w:r>
        <w:rPr>
          <w:rFonts w:hint="eastAsia"/>
        </w:rPr>
        <w:t>”</w:t>
      </w:r>
      <w:r>
        <w:t>的专业指导思想；以</w:t>
      </w:r>
      <w:r>
        <w:rPr>
          <w:rFonts w:hint="eastAsia"/>
        </w:rPr>
        <w:t>“</w:t>
      </w:r>
      <w:r>
        <w:t>教、学、做、知识、能力、素质</w:t>
      </w:r>
      <w:r>
        <w:rPr>
          <w:rFonts w:hint="eastAsia"/>
        </w:rPr>
        <w:t>”</w:t>
      </w:r>
      <w:r>
        <w:t>六位一体教学方法为突破口，加强对师资、授课、实验等教学条件的管理与完善；以</w:t>
      </w:r>
      <w:r>
        <w:rPr>
          <w:rFonts w:hint="eastAsia"/>
        </w:rPr>
        <w:t>“</w:t>
      </w:r>
      <w:r>
        <w:t>校企合作办学、重视国际交流、提高学术氛围、强化学生素质</w:t>
      </w:r>
      <w:r>
        <w:rPr>
          <w:rFonts w:hint="eastAsia"/>
        </w:rPr>
        <w:t>”</w:t>
      </w:r>
      <w:r>
        <w:t>为原则，强化办学特色。</w:t>
      </w:r>
    </w:p>
    <w:p>
      <w:pPr>
        <w:ind w:firstLine="480" w:firstLineChars="200"/>
      </w:pPr>
      <w:r>
        <w:t>2022年，选派多名骨干教师到校外教学科研就业实践基地进行技术服务。充分发挥国家级、省级现代农业岗位专家优势，王金星教授、宋月鹏教授到相关企业进行技术交流合作50余人次，达成多项合作意向，形成产学研课题多项。王金星同志作为山东省科技特派员组建一支百名党员专家联百村团队，作为国家苹果产业体系岗位科学家培训果农100余人。宋月鹏同志组建一支百名党员专家联百村团队，在蒙阴县和广西百色田阳县进行索轨车智能输运系统技术示范推广工作，建立青年红色筑梦之旅实践基地1处。苑进受山东省农技推广站委托培训农技推广人员100人次。刘雪美为东平县农机局培训新型农民100人次。范国强老师与泰安意美特机械有限公司签订产学研长期合作，受聘于新泰市科技局，担任泰安意美特机械有限公司科技副总经理，主要从事畜牧机械研发、制造与推广。2022年为泰安意美特机械有限公司培养3位技术人员，申请3项专利，开发4款新机型，制定4项团体标准。担任莱州市农机专家顾问，为莱州市农机制造厂家提供技术支持，先后为3家企业提供技术服务。</w:t>
      </w:r>
    </w:p>
    <w:p>
      <w:pPr>
        <w:ind w:firstLine="480" w:firstLineChars="200"/>
      </w:pPr>
      <w:r>
        <w:t>组织骨干教师参加多个协同创新中心的组建与建设工作，如宋月鹏教授、王金星教授、苑进教授参与山东果蔬优质高效生产协同创新中心建设，被聘任为</w:t>
      </w:r>
      <w:r>
        <w:rPr>
          <w:rFonts w:hint="eastAsia"/>
        </w:rPr>
        <w:t>“</w:t>
      </w:r>
      <w:r>
        <w:t>园艺机械装备与设施环境调控创新团队</w:t>
      </w:r>
      <w:r>
        <w:rPr>
          <w:rFonts w:hint="eastAsia"/>
        </w:rPr>
        <w:t>”</w:t>
      </w:r>
      <w:r>
        <w:t>成员，多名专业骨干教师参与</w:t>
      </w:r>
      <w:r>
        <w:rPr>
          <w:rFonts w:hint="eastAsia"/>
        </w:rPr>
        <w:t>“</w:t>
      </w:r>
      <w:r>
        <w:t>农业装备产业技术创新联盟</w:t>
      </w:r>
      <w:r>
        <w:rPr>
          <w:rFonts w:hint="eastAsia"/>
        </w:rPr>
        <w:t>”</w:t>
      </w:r>
      <w:r>
        <w:t>，多名教师参与各类国内农业装备展览、学术会议等40余人次。合作办学方面，聘任校外13位专家及校内8名骨干教师为</w:t>
      </w:r>
      <w:r>
        <w:rPr>
          <w:rFonts w:hint="eastAsia"/>
        </w:rPr>
        <w:t>“</w:t>
      </w:r>
      <w:r>
        <w:t>大学生卓越工程师班</w:t>
      </w:r>
      <w:r>
        <w:rPr>
          <w:rFonts w:hint="eastAsia"/>
        </w:rPr>
        <w:t>”</w:t>
      </w:r>
      <w:r>
        <w:t>指导教师：</w:t>
      </w:r>
    </w:p>
    <w:p>
      <w:pPr>
        <w:ind w:firstLine="480" w:firstLineChars="200"/>
      </w:pPr>
      <w:r>
        <w:t>校外导师：</w:t>
      </w:r>
    </w:p>
    <w:p>
      <w:pPr>
        <w:ind w:firstLine="480" w:firstLineChars="200"/>
      </w:pPr>
      <w:r>
        <w:t>泰安华鲁锻压机床有限公司董事长：刘庆印；</w:t>
      </w:r>
    </w:p>
    <w:p>
      <w:pPr>
        <w:ind w:firstLine="480" w:firstLineChars="200"/>
      </w:pPr>
      <w:r>
        <w:t>中国重汽集团泰安五岳专用汽车有限公司副总经理：宫学民、总工李耐文；</w:t>
      </w:r>
    </w:p>
    <w:p>
      <w:pPr>
        <w:ind w:firstLine="480" w:firstLineChars="200"/>
      </w:pPr>
      <w:r>
        <w:t>泰安嘉和重工股份有限公司总经理：安宝峰、总工姚庆昌；</w:t>
      </w:r>
    </w:p>
    <w:p>
      <w:pPr>
        <w:ind w:firstLine="480" w:firstLineChars="200"/>
      </w:pPr>
      <w:r>
        <w:t>泰安海威数控机床有限公司总经理：吴士奎；</w:t>
      </w:r>
    </w:p>
    <w:p>
      <w:pPr>
        <w:ind w:firstLine="480" w:firstLineChars="200"/>
      </w:pPr>
      <w:r>
        <w:t>泰安大源机械有限公司总经理：张增堂；</w:t>
      </w:r>
    </w:p>
    <w:p>
      <w:pPr>
        <w:ind w:firstLine="480" w:firstLineChars="200"/>
      </w:pPr>
      <w:r>
        <w:t>山东恒通膨胀节制造有限公司董事长：王焕庆；</w:t>
      </w:r>
    </w:p>
    <w:p>
      <w:pPr>
        <w:ind w:firstLine="480" w:firstLineChars="200"/>
      </w:pPr>
      <w:r>
        <w:t>国泰集团董事长：杨学东；</w:t>
      </w:r>
    </w:p>
    <w:p>
      <w:pPr>
        <w:ind w:firstLine="480" w:firstLineChars="200"/>
      </w:pPr>
      <w:r>
        <w:t>泰安市电气行业协会副秘书长：胡鹏；</w:t>
      </w:r>
    </w:p>
    <w:p>
      <w:pPr>
        <w:ind w:firstLine="480" w:firstLineChars="200"/>
      </w:pPr>
      <w:r>
        <w:t>山东华兴机械股份有限公司副总经理：王勇；</w:t>
      </w:r>
    </w:p>
    <w:p>
      <w:pPr>
        <w:ind w:firstLine="480" w:firstLineChars="200"/>
      </w:pPr>
      <w:r>
        <w:t>山东五征集团有限公司副总经理：吴长民；</w:t>
      </w:r>
    </w:p>
    <w:p>
      <w:pPr>
        <w:ind w:firstLine="480" w:firstLineChars="200"/>
      </w:pPr>
      <w:r>
        <w:t>山东爱普电气设备有限公司副总经理：李忠；</w:t>
      </w:r>
    </w:p>
    <w:p>
      <w:pPr>
        <w:ind w:firstLine="480" w:firstLineChars="200"/>
      </w:pPr>
      <w:r>
        <w:t>校内导师：王金星、苑进、牛子孺、范国强、张开兴、田富洋、李天华</w:t>
      </w:r>
    </w:p>
    <w:p>
      <w:pPr>
        <w:ind w:firstLine="480" w:firstLineChars="200"/>
      </w:pPr>
      <w:r>
        <w:t>在教学管理方面，首先采取的措施是加强学科建设，重视人才培养模式：根据学科和社会发展的需要，适时进行专业设置和专业方向的调整，增强专业的适应性，重视人才培养模式，把素质教育、创新教育贯穿于人才培养的全过程，坚持通识教育与专业教育并重，学问修养与人格修养并重，知识、能力与素质并重；其次在对</w:t>
      </w:r>
      <w:r>
        <w:rPr>
          <w:rFonts w:hint="eastAsia"/>
        </w:rPr>
        <w:t>“</w:t>
      </w:r>
      <w:r>
        <w:t>教</w:t>
      </w:r>
      <w:r>
        <w:rPr>
          <w:rFonts w:hint="eastAsia"/>
        </w:rPr>
        <w:t>”</w:t>
      </w:r>
      <w:r>
        <w:t>的管理的基础上，加强对</w:t>
      </w:r>
      <w:r>
        <w:rPr>
          <w:rFonts w:hint="eastAsia"/>
        </w:rPr>
        <w:t>“</w:t>
      </w:r>
      <w:r>
        <w:t>学</w:t>
      </w:r>
      <w:r>
        <w:rPr>
          <w:rFonts w:hint="eastAsia"/>
        </w:rPr>
        <w:t>”</w:t>
      </w:r>
      <w:r>
        <w:t>的管理：努力为学生营造一个宽松的学习环境，尊重学生身心发展规律，坚持以人为本。论文格式。任何一项教学管理制度、措施都要有利于充分调动学生的积极性和创造性，有利于培养学生的创新精神和实践能力；再次，加强对学教质量的管理：严格执行教学计划与管理制度，重点对教学过程中的教案、教学大纲、教学日历等资料文件加强管理，定期组织教学方面的研讨会，提高广大教师的教学质量；最后，加强教学过程控制：组织各级督导深入课堂，并定期反馈，把教书育人、科研育人、管理育人、服务育人、环境育人有机结合起来。</w:t>
      </w:r>
    </w:p>
    <w:p>
      <w:pPr>
        <w:pStyle w:val="5"/>
        <w:spacing w:before="93" w:after="93"/>
        <w:ind w:firstLine="560"/>
      </w:pPr>
      <w:r>
        <w:t>五、培养质量（毕业生就业率、就业专业对口率、毕业生发展情况、就业单位满意率、社会对专业的评价、学生就读该专业的意愿等）</w:t>
      </w:r>
    </w:p>
    <w:p>
      <w:pPr>
        <w:ind w:firstLine="480" w:firstLineChars="200"/>
        <w:rPr>
          <w:rFonts w:eastAsia="黑体"/>
        </w:rPr>
      </w:pPr>
      <w:r>
        <w:rPr>
          <w:rFonts w:eastAsia="黑体"/>
        </w:rPr>
        <w:t>1.毕业生生源结构</w:t>
      </w:r>
    </w:p>
    <w:p>
      <w:pPr>
        <w:ind w:firstLine="480" w:firstLineChars="200"/>
      </w:pPr>
      <w:r>
        <w:t>2022届毕业生共有504人，其中机电专业有87人，其中男生74人，占85.06%，女生13人，占14.9%，省内生源83人，占95.4%，省外生源4人，占4.6%，省外生源主要集中在安徽省。从民族结构来看，2022届毕业生以汉族为主，共87人，占100%，无少数民族，是学院近年来毕业生人数比较多的一届，为学院的就业工作带来了较大的压力。</w:t>
      </w:r>
    </w:p>
    <w:p>
      <w:pPr>
        <w:jc w:val="center"/>
        <w:rPr>
          <w:b/>
          <w:bCs/>
          <w:sz w:val="21"/>
          <w:szCs w:val="21"/>
        </w:rPr>
      </w:pPr>
      <w:r>
        <w:rPr>
          <w:b/>
          <w:bCs/>
          <w:sz w:val="21"/>
          <w:szCs w:val="21"/>
        </w:rPr>
        <w:t>表3.毕业生生源结构统计表</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43"/>
        <w:gridCol w:w="716"/>
        <w:gridCol w:w="1190"/>
        <w:gridCol w:w="1180"/>
        <w:gridCol w:w="1148"/>
        <w:gridCol w:w="1139"/>
        <w:gridCol w:w="1137"/>
        <w:gridCol w:w="11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4" w:hRule="atLeast"/>
          <w:jc w:val="center"/>
        </w:trPr>
        <w:tc>
          <w:tcPr>
            <w:tcW w:w="645" w:type="pct"/>
            <w:vAlign w:val="center"/>
          </w:tcPr>
          <w:p>
            <w:pPr>
              <w:spacing w:line="240" w:lineRule="auto"/>
              <w:jc w:val="center"/>
              <w:rPr>
                <w:b/>
                <w:bCs/>
                <w:sz w:val="21"/>
                <w:szCs w:val="21"/>
              </w:rPr>
            </w:pPr>
            <w:r>
              <w:rPr>
                <w:b/>
                <w:bCs/>
                <w:sz w:val="21"/>
                <w:szCs w:val="21"/>
              </w:rPr>
              <w:t>专业名称</w:t>
            </w:r>
          </w:p>
        </w:tc>
        <w:tc>
          <w:tcPr>
            <w:tcW w:w="404" w:type="pct"/>
            <w:vAlign w:val="center"/>
          </w:tcPr>
          <w:p>
            <w:pPr>
              <w:spacing w:line="240" w:lineRule="auto"/>
              <w:jc w:val="center"/>
              <w:rPr>
                <w:b/>
                <w:bCs/>
                <w:sz w:val="21"/>
                <w:szCs w:val="21"/>
              </w:rPr>
            </w:pPr>
            <w:r>
              <w:rPr>
                <w:b/>
                <w:bCs/>
                <w:sz w:val="21"/>
                <w:szCs w:val="21"/>
              </w:rPr>
              <w:t>生源人数</w:t>
            </w:r>
          </w:p>
        </w:tc>
        <w:tc>
          <w:tcPr>
            <w:tcW w:w="672" w:type="pct"/>
            <w:vAlign w:val="center"/>
          </w:tcPr>
          <w:p>
            <w:pPr>
              <w:spacing w:line="240" w:lineRule="auto"/>
              <w:jc w:val="center"/>
              <w:rPr>
                <w:b/>
                <w:bCs/>
                <w:sz w:val="21"/>
                <w:szCs w:val="21"/>
              </w:rPr>
            </w:pPr>
            <w:r>
              <w:rPr>
                <w:b/>
                <w:bCs/>
                <w:sz w:val="21"/>
                <w:szCs w:val="21"/>
              </w:rPr>
              <w:t>男生数量</w:t>
            </w:r>
          </w:p>
          <w:p>
            <w:pPr>
              <w:spacing w:line="240" w:lineRule="auto"/>
              <w:jc w:val="center"/>
              <w:rPr>
                <w:b/>
                <w:bCs/>
                <w:sz w:val="21"/>
                <w:szCs w:val="21"/>
              </w:rPr>
            </w:pPr>
            <w:r>
              <w:rPr>
                <w:b/>
                <w:bCs/>
                <w:sz w:val="21"/>
                <w:szCs w:val="21"/>
              </w:rPr>
              <w:t>（比例）</w:t>
            </w:r>
          </w:p>
        </w:tc>
        <w:tc>
          <w:tcPr>
            <w:tcW w:w="666" w:type="pct"/>
            <w:vAlign w:val="center"/>
          </w:tcPr>
          <w:p>
            <w:pPr>
              <w:spacing w:line="240" w:lineRule="auto"/>
              <w:jc w:val="center"/>
              <w:rPr>
                <w:b/>
                <w:bCs/>
                <w:sz w:val="21"/>
                <w:szCs w:val="21"/>
              </w:rPr>
            </w:pPr>
            <w:r>
              <w:rPr>
                <w:b/>
                <w:bCs/>
                <w:sz w:val="21"/>
                <w:szCs w:val="21"/>
              </w:rPr>
              <w:t>女生数量</w:t>
            </w:r>
          </w:p>
          <w:p>
            <w:pPr>
              <w:spacing w:line="240" w:lineRule="auto"/>
              <w:jc w:val="center"/>
              <w:rPr>
                <w:b/>
                <w:bCs/>
                <w:sz w:val="21"/>
                <w:szCs w:val="21"/>
              </w:rPr>
            </w:pPr>
            <w:r>
              <w:rPr>
                <w:b/>
                <w:bCs/>
                <w:sz w:val="21"/>
                <w:szCs w:val="21"/>
              </w:rPr>
              <w:t>(比例）</w:t>
            </w:r>
          </w:p>
        </w:tc>
        <w:tc>
          <w:tcPr>
            <w:tcW w:w="648" w:type="pct"/>
            <w:vAlign w:val="center"/>
          </w:tcPr>
          <w:p>
            <w:pPr>
              <w:spacing w:line="240" w:lineRule="auto"/>
              <w:jc w:val="center"/>
              <w:rPr>
                <w:b/>
                <w:bCs/>
                <w:sz w:val="21"/>
                <w:szCs w:val="21"/>
              </w:rPr>
            </w:pPr>
            <w:r>
              <w:rPr>
                <w:b/>
                <w:bCs/>
                <w:sz w:val="21"/>
                <w:szCs w:val="21"/>
              </w:rPr>
              <w:t>省内人数</w:t>
            </w:r>
          </w:p>
          <w:p>
            <w:pPr>
              <w:spacing w:line="240" w:lineRule="auto"/>
              <w:jc w:val="center"/>
              <w:rPr>
                <w:b/>
                <w:bCs/>
                <w:sz w:val="21"/>
                <w:szCs w:val="21"/>
              </w:rPr>
            </w:pPr>
            <w:r>
              <w:rPr>
                <w:b/>
                <w:bCs/>
                <w:sz w:val="21"/>
                <w:szCs w:val="21"/>
              </w:rPr>
              <w:t>（比例）</w:t>
            </w:r>
          </w:p>
        </w:tc>
        <w:tc>
          <w:tcPr>
            <w:tcW w:w="643" w:type="pct"/>
            <w:vAlign w:val="center"/>
          </w:tcPr>
          <w:p>
            <w:pPr>
              <w:spacing w:line="240" w:lineRule="auto"/>
              <w:jc w:val="center"/>
              <w:rPr>
                <w:b/>
                <w:bCs/>
                <w:sz w:val="21"/>
                <w:szCs w:val="21"/>
              </w:rPr>
            </w:pPr>
            <w:r>
              <w:rPr>
                <w:b/>
                <w:bCs/>
                <w:sz w:val="21"/>
                <w:szCs w:val="21"/>
              </w:rPr>
              <w:t>省外人数</w:t>
            </w:r>
          </w:p>
          <w:p>
            <w:pPr>
              <w:spacing w:line="240" w:lineRule="auto"/>
              <w:jc w:val="center"/>
              <w:rPr>
                <w:b/>
                <w:bCs/>
                <w:sz w:val="21"/>
                <w:szCs w:val="21"/>
              </w:rPr>
            </w:pPr>
            <w:r>
              <w:rPr>
                <w:b/>
                <w:bCs/>
                <w:sz w:val="21"/>
                <w:szCs w:val="21"/>
              </w:rPr>
              <w:t>（比例）</w:t>
            </w:r>
          </w:p>
        </w:tc>
        <w:tc>
          <w:tcPr>
            <w:tcW w:w="642" w:type="pct"/>
            <w:vAlign w:val="center"/>
          </w:tcPr>
          <w:p>
            <w:pPr>
              <w:spacing w:line="240" w:lineRule="auto"/>
              <w:jc w:val="center"/>
              <w:rPr>
                <w:b/>
                <w:bCs/>
                <w:sz w:val="21"/>
                <w:szCs w:val="21"/>
              </w:rPr>
            </w:pPr>
            <w:r>
              <w:rPr>
                <w:b/>
                <w:bCs/>
                <w:sz w:val="21"/>
                <w:szCs w:val="21"/>
              </w:rPr>
              <w:t>汉族人数</w:t>
            </w:r>
          </w:p>
          <w:p>
            <w:pPr>
              <w:spacing w:line="240" w:lineRule="auto"/>
              <w:jc w:val="center"/>
              <w:rPr>
                <w:b/>
                <w:bCs/>
                <w:sz w:val="21"/>
                <w:szCs w:val="21"/>
              </w:rPr>
            </w:pPr>
            <w:r>
              <w:rPr>
                <w:b/>
                <w:bCs/>
                <w:sz w:val="21"/>
                <w:szCs w:val="21"/>
              </w:rPr>
              <w:t>(比例)</w:t>
            </w:r>
          </w:p>
        </w:tc>
        <w:tc>
          <w:tcPr>
            <w:tcW w:w="676" w:type="pct"/>
            <w:vAlign w:val="center"/>
          </w:tcPr>
          <w:p>
            <w:pPr>
              <w:spacing w:line="240" w:lineRule="auto"/>
              <w:jc w:val="center"/>
              <w:rPr>
                <w:b/>
                <w:bCs/>
                <w:sz w:val="21"/>
                <w:szCs w:val="21"/>
              </w:rPr>
            </w:pPr>
            <w:r>
              <w:rPr>
                <w:b/>
                <w:bCs/>
                <w:sz w:val="21"/>
                <w:szCs w:val="21"/>
              </w:rPr>
              <w:t>少数民族</w:t>
            </w:r>
          </w:p>
          <w:p>
            <w:pPr>
              <w:spacing w:line="240" w:lineRule="auto"/>
              <w:jc w:val="center"/>
              <w:rPr>
                <w:b/>
                <w:bCs/>
                <w:sz w:val="21"/>
                <w:szCs w:val="21"/>
              </w:rPr>
            </w:pPr>
            <w:r>
              <w:rPr>
                <w:b/>
                <w:bCs/>
                <w:sz w:val="21"/>
                <w:szCs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9" w:hRule="atLeast"/>
          <w:jc w:val="center"/>
        </w:trPr>
        <w:tc>
          <w:tcPr>
            <w:tcW w:w="645" w:type="pct"/>
            <w:vAlign w:val="center"/>
          </w:tcPr>
          <w:p>
            <w:pPr>
              <w:spacing w:line="240" w:lineRule="auto"/>
              <w:jc w:val="center"/>
              <w:rPr>
                <w:sz w:val="21"/>
                <w:szCs w:val="21"/>
              </w:rPr>
            </w:pPr>
            <w:r>
              <w:rPr>
                <w:sz w:val="21"/>
                <w:szCs w:val="21"/>
              </w:rPr>
              <w:t>机械电子</w:t>
            </w:r>
          </w:p>
          <w:p>
            <w:pPr>
              <w:spacing w:line="240" w:lineRule="auto"/>
              <w:jc w:val="center"/>
              <w:rPr>
                <w:sz w:val="21"/>
                <w:szCs w:val="21"/>
              </w:rPr>
            </w:pPr>
            <w:r>
              <w:rPr>
                <w:sz w:val="21"/>
                <w:szCs w:val="21"/>
              </w:rPr>
              <w:t>工程</w:t>
            </w:r>
          </w:p>
        </w:tc>
        <w:tc>
          <w:tcPr>
            <w:tcW w:w="404" w:type="pct"/>
            <w:vAlign w:val="center"/>
          </w:tcPr>
          <w:p>
            <w:pPr>
              <w:spacing w:line="240" w:lineRule="auto"/>
              <w:jc w:val="center"/>
              <w:rPr>
                <w:sz w:val="21"/>
                <w:szCs w:val="21"/>
              </w:rPr>
            </w:pPr>
            <w:r>
              <w:rPr>
                <w:sz w:val="21"/>
                <w:szCs w:val="21"/>
              </w:rPr>
              <w:t>87</w:t>
            </w:r>
          </w:p>
        </w:tc>
        <w:tc>
          <w:tcPr>
            <w:tcW w:w="672" w:type="pct"/>
            <w:vAlign w:val="center"/>
          </w:tcPr>
          <w:p>
            <w:pPr>
              <w:spacing w:line="240" w:lineRule="auto"/>
              <w:jc w:val="center"/>
              <w:rPr>
                <w:sz w:val="21"/>
                <w:szCs w:val="21"/>
              </w:rPr>
            </w:pPr>
            <w:r>
              <w:rPr>
                <w:sz w:val="21"/>
                <w:szCs w:val="21"/>
              </w:rPr>
              <w:t xml:space="preserve">74 </w:t>
            </w:r>
          </w:p>
          <w:p>
            <w:pPr>
              <w:spacing w:line="240" w:lineRule="auto"/>
              <w:jc w:val="center"/>
              <w:rPr>
                <w:sz w:val="21"/>
                <w:szCs w:val="21"/>
              </w:rPr>
            </w:pPr>
            <w:r>
              <w:rPr>
                <w:sz w:val="21"/>
                <w:szCs w:val="21"/>
              </w:rPr>
              <w:t>(85.06%)</w:t>
            </w:r>
          </w:p>
        </w:tc>
        <w:tc>
          <w:tcPr>
            <w:tcW w:w="666" w:type="pct"/>
            <w:vAlign w:val="center"/>
          </w:tcPr>
          <w:p>
            <w:pPr>
              <w:spacing w:line="240" w:lineRule="auto"/>
              <w:jc w:val="center"/>
              <w:rPr>
                <w:sz w:val="21"/>
                <w:szCs w:val="21"/>
              </w:rPr>
            </w:pPr>
            <w:r>
              <w:rPr>
                <w:sz w:val="21"/>
                <w:szCs w:val="21"/>
              </w:rPr>
              <w:t xml:space="preserve">13  </w:t>
            </w:r>
          </w:p>
          <w:p>
            <w:pPr>
              <w:spacing w:line="240" w:lineRule="auto"/>
              <w:jc w:val="center"/>
              <w:rPr>
                <w:sz w:val="21"/>
                <w:szCs w:val="21"/>
              </w:rPr>
            </w:pPr>
            <w:r>
              <w:rPr>
                <w:sz w:val="21"/>
                <w:szCs w:val="21"/>
              </w:rPr>
              <w:t>(14.9%)</w:t>
            </w:r>
          </w:p>
        </w:tc>
        <w:tc>
          <w:tcPr>
            <w:tcW w:w="648" w:type="pct"/>
            <w:vAlign w:val="center"/>
          </w:tcPr>
          <w:p>
            <w:pPr>
              <w:spacing w:line="240" w:lineRule="auto"/>
              <w:jc w:val="center"/>
              <w:rPr>
                <w:sz w:val="21"/>
                <w:szCs w:val="21"/>
              </w:rPr>
            </w:pPr>
            <w:r>
              <w:rPr>
                <w:sz w:val="21"/>
                <w:szCs w:val="21"/>
              </w:rPr>
              <w:t xml:space="preserve">83 </w:t>
            </w:r>
          </w:p>
          <w:p>
            <w:pPr>
              <w:spacing w:line="240" w:lineRule="auto"/>
              <w:jc w:val="center"/>
              <w:rPr>
                <w:sz w:val="21"/>
                <w:szCs w:val="21"/>
              </w:rPr>
            </w:pPr>
            <w:r>
              <w:rPr>
                <w:sz w:val="21"/>
                <w:szCs w:val="21"/>
              </w:rPr>
              <w:t>(95.4%)</w:t>
            </w:r>
          </w:p>
        </w:tc>
        <w:tc>
          <w:tcPr>
            <w:tcW w:w="643" w:type="pct"/>
            <w:vAlign w:val="center"/>
          </w:tcPr>
          <w:p>
            <w:pPr>
              <w:spacing w:line="240" w:lineRule="auto"/>
              <w:jc w:val="center"/>
              <w:rPr>
                <w:sz w:val="21"/>
                <w:szCs w:val="21"/>
              </w:rPr>
            </w:pPr>
            <w:r>
              <w:rPr>
                <w:sz w:val="21"/>
                <w:szCs w:val="21"/>
              </w:rPr>
              <w:t>4</w:t>
            </w:r>
          </w:p>
          <w:p>
            <w:pPr>
              <w:spacing w:line="240" w:lineRule="auto"/>
              <w:jc w:val="center"/>
              <w:rPr>
                <w:sz w:val="21"/>
                <w:szCs w:val="21"/>
              </w:rPr>
            </w:pPr>
            <w:r>
              <w:rPr>
                <w:sz w:val="21"/>
                <w:szCs w:val="21"/>
              </w:rPr>
              <w:t>(4.6%)</w:t>
            </w:r>
          </w:p>
        </w:tc>
        <w:tc>
          <w:tcPr>
            <w:tcW w:w="642" w:type="pct"/>
            <w:vAlign w:val="center"/>
          </w:tcPr>
          <w:p>
            <w:pPr>
              <w:spacing w:line="240" w:lineRule="auto"/>
              <w:jc w:val="center"/>
              <w:rPr>
                <w:sz w:val="21"/>
                <w:szCs w:val="21"/>
              </w:rPr>
            </w:pPr>
            <w:r>
              <w:rPr>
                <w:sz w:val="21"/>
                <w:szCs w:val="21"/>
              </w:rPr>
              <w:t xml:space="preserve">87 </w:t>
            </w:r>
          </w:p>
          <w:p>
            <w:pPr>
              <w:spacing w:line="240" w:lineRule="auto"/>
              <w:jc w:val="center"/>
              <w:rPr>
                <w:sz w:val="21"/>
                <w:szCs w:val="21"/>
              </w:rPr>
            </w:pPr>
            <w:r>
              <w:rPr>
                <w:sz w:val="21"/>
                <w:szCs w:val="21"/>
              </w:rPr>
              <w:t>(100%)</w:t>
            </w:r>
          </w:p>
        </w:tc>
        <w:tc>
          <w:tcPr>
            <w:tcW w:w="676" w:type="pct"/>
            <w:vAlign w:val="center"/>
          </w:tcPr>
          <w:p>
            <w:pPr>
              <w:spacing w:line="240" w:lineRule="auto"/>
              <w:jc w:val="center"/>
              <w:rPr>
                <w:sz w:val="21"/>
                <w:szCs w:val="21"/>
              </w:rPr>
            </w:pPr>
            <w:r>
              <w:rPr>
                <w:sz w:val="21"/>
                <w:szCs w:val="21"/>
              </w:rPr>
              <w:t>0</w:t>
            </w:r>
          </w:p>
        </w:tc>
      </w:tr>
    </w:tbl>
    <w:p>
      <w:pPr>
        <w:ind w:firstLine="480" w:firstLineChars="200"/>
        <w:rPr>
          <w:rFonts w:eastAsia="黑体"/>
        </w:rPr>
      </w:pPr>
      <w:r>
        <w:rPr>
          <w:rFonts w:eastAsia="黑体"/>
        </w:rPr>
        <w:t>2.毕业生就业情况</w:t>
      </w:r>
    </w:p>
    <w:p>
      <w:pPr>
        <w:ind w:firstLine="480" w:firstLineChars="200"/>
      </w:pPr>
      <w:r>
        <w:t>（1）就业概况</w:t>
      </w:r>
    </w:p>
    <w:p>
      <w:pPr>
        <w:ind w:firstLine="480" w:firstLineChars="200"/>
      </w:pPr>
      <w:r>
        <w:t>截止2022年8月31日，毕业生就业77人，就业率为88.51%，其中男生就业64人，就业率为86.49%，女生就业13人，就业率为100%。毕业生留鲁就业的43人，占已就业总人数的84.31%，其中到泰安城市就业人数最多，占14.49%，出省就业共8人，占已就业总人数的15.69%。</w:t>
      </w:r>
    </w:p>
    <w:p>
      <w:pPr>
        <w:jc w:val="center"/>
        <w:rPr>
          <w:b/>
          <w:bCs/>
          <w:sz w:val="21"/>
          <w:szCs w:val="21"/>
        </w:rPr>
      </w:pPr>
      <w:r>
        <w:rPr>
          <w:b/>
          <w:bCs/>
          <w:sz w:val="21"/>
          <w:szCs w:val="21"/>
        </w:rPr>
        <w:t>表4.毕业生整体就业情况统计表</w:t>
      </w:r>
    </w:p>
    <w:tbl>
      <w:tblPr>
        <w:tblStyle w:val="17"/>
        <w:tblW w:w="5013"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427"/>
        <w:gridCol w:w="824"/>
        <w:gridCol w:w="842"/>
        <w:gridCol w:w="1041"/>
        <w:gridCol w:w="1059"/>
        <w:gridCol w:w="1901"/>
        <w:gridCol w:w="17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44" w:hRule="atLeast"/>
          <w:jc w:val="center"/>
        </w:trPr>
        <w:tc>
          <w:tcPr>
            <w:tcW w:w="804" w:type="pct"/>
            <w:vAlign w:val="center"/>
          </w:tcPr>
          <w:p>
            <w:pPr>
              <w:spacing w:line="240" w:lineRule="auto"/>
              <w:jc w:val="center"/>
              <w:rPr>
                <w:b/>
                <w:bCs/>
                <w:sz w:val="21"/>
                <w:szCs w:val="21"/>
              </w:rPr>
            </w:pPr>
            <w:r>
              <w:rPr>
                <w:b/>
                <w:bCs/>
                <w:sz w:val="21"/>
                <w:szCs w:val="21"/>
              </w:rPr>
              <w:t>专业名称</w:t>
            </w:r>
          </w:p>
        </w:tc>
        <w:tc>
          <w:tcPr>
            <w:tcW w:w="464" w:type="pct"/>
            <w:vAlign w:val="center"/>
          </w:tcPr>
          <w:p>
            <w:pPr>
              <w:spacing w:line="240" w:lineRule="auto"/>
              <w:jc w:val="center"/>
              <w:rPr>
                <w:b/>
                <w:bCs/>
                <w:sz w:val="21"/>
                <w:szCs w:val="21"/>
              </w:rPr>
            </w:pPr>
            <w:r>
              <w:rPr>
                <w:b/>
                <w:bCs/>
                <w:sz w:val="21"/>
                <w:szCs w:val="21"/>
              </w:rPr>
              <w:t>就业</w:t>
            </w:r>
          </w:p>
          <w:p>
            <w:pPr>
              <w:spacing w:line="240" w:lineRule="auto"/>
              <w:jc w:val="center"/>
              <w:rPr>
                <w:b/>
                <w:bCs/>
                <w:sz w:val="21"/>
                <w:szCs w:val="21"/>
              </w:rPr>
            </w:pPr>
            <w:r>
              <w:rPr>
                <w:b/>
                <w:bCs/>
                <w:sz w:val="21"/>
                <w:szCs w:val="21"/>
              </w:rPr>
              <w:t>人数</w:t>
            </w:r>
          </w:p>
        </w:tc>
        <w:tc>
          <w:tcPr>
            <w:tcW w:w="474" w:type="pct"/>
            <w:vAlign w:val="center"/>
          </w:tcPr>
          <w:p>
            <w:pPr>
              <w:spacing w:line="240" w:lineRule="auto"/>
              <w:jc w:val="center"/>
              <w:rPr>
                <w:b/>
                <w:bCs/>
                <w:sz w:val="21"/>
                <w:szCs w:val="21"/>
              </w:rPr>
            </w:pPr>
            <w:r>
              <w:rPr>
                <w:b/>
                <w:bCs/>
                <w:sz w:val="21"/>
                <w:szCs w:val="21"/>
              </w:rPr>
              <w:t>就业率</w:t>
            </w:r>
          </w:p>
        </w:tc>
        <w:tc>
          <w:tcPr>
            <w:tcW w:w="586" w:type="pct"/>
            <w:vAlign w:val="center"/>
          </w:tcPr>
          <w:p>
            <w:pPr>
              <w:spacing w:line="240" w:lineRule="auto"/>
              <w:jc w:val="center"/>
              <w:rPr>
                <w:b/>
                <w:bCs/>
                <w:sz w:val="21"/>
                <w:szCs w:val="21"/>
              </w:rPr>
            </w:pPr>
            <w:r>
              <w:rPr>
                <w:b/>
                <w:bCs/>
                <w:sz w:val="21"/>
                <w:szCs w:val="21"/>
              </w:rPr>
              <w:t>男生</w:t>
            </w:r>
          </w:p>
          <w:p>
            <w:pPr>
              <w:spacing w:line="240" w:lineRule="auto"/>
              <w:jc w:val="center"/>
              <w:rPr>
                <w:b/>
                <w:bCs/>
                <w:sz w:val="21"/>
                <w:szCs w:val="21"/>
              </w:rPr>
            </w:pPr>
            <w:r>
              <w:rPr>
                <w:b/>
                <w:bCs/>
                <w:sz w:val="21"/>
                <w:szCs w:val="21"/>
              </w:rPr>
              <w:t>就业率</w:t>
            </w:r>
          </w:p>
        </w:tc>
        <w:tc>
          <w:tcPr>
            <w:tcW w:w="596" w:type="pct"/>
            <w:vAlign w:val="center"/>
          </w:tcPr>
          <w:p>
            <w:pPr>
              <w:spacing w:line="240" w:lineRule="auto"/>
              <w:jc w:val="center"/>
              <w:rPr>
                <w:b/>
                <w:bCs/>
                <w:sz w:val="21"/>
                <w:szCs w:val="21"/>
              </w:rPr>
            </w:pPr>
            <w:r>
              <w:rPr>
                <w:b/>
                <w:bCs/>
                <w:sz w:val="21"/>
                <w:szCs w:val="21"/>
              </w:rPr>
              <w:t>女生</w:t>
            </w:r>
          </w:p>
          <w:p>
            <w:pPr>
              <w:spacing w:line="240" w:lineRule="auto"/>
              <w:jc w:val="center"/>
              <w:rPr>
                <w:b/>
                <w:bCs/>
                <w:sz w:val="21"/>
                <w:szCs w:val="21"/>
              </w:rPr>
            </w:pPr>
            <w:r>
              <w:rPr>
                <w:b/>
                <w:bCs/>
                <w:sz w:val="21"/>
                <w:szCs w:val="21"/>
              </w:rPr>
              <w:t>就业率</w:t>
            </w:r>
          </w:p>
        </w:tc>
        <w:tc>
          <w:tcPr>
            <w:tcW w:w="1070" w:type="pct"/>
            <w:vAlign w:val="center"/>
          </w:tcPr>
          <w:p>
            <w:pPr>
              <w:spacing w:line="240" w:lineRule="auto"/>
              <w:jc w:val="center"/>
              <w:rPr>
                <w:b/>
                <w:bCs/>
                <w:sz w:val="21"/>
                <w:szCs w:val="21"/>
              </w:rPr>
            </w:pPr>
            <w:r>
              <w:rPr>
                <w:b/>
                <w:bCs/>
                <w:sz w:val="21"/>
                <w:szCs w:val="21"/>
              </w:rPr>
              <w:t>留鲁就业人数</w:t>
            </w:r>
          </w:p>
          <w:p>
            <w:pPr>
              <w:spacing w:line="240" w:lineRule="auto"/>
              <w:jc w:val="center"/>
              <w:rPr>
                <w:b/>
                <w:bCs/>
                <w:sz w:val="21"/>
                <w:szCs w:val="21"/>
              </w:rPr>
            </w:pPr>
            <w:r>
              <w:rPr>
                <w:b/>
                <w:bCs/>
                <w:sz w:val="21"/>
                <w:szCs w:val="21"/>
              </w:rPr>
              <w:t>（比例）</w:t>
            </w:r>
          </w:p>
        </w:tc>
        <w:tc>
          <w:tcPr>
            <w:tcW w:w="1004" w:type="pct"/>
            <w:vAlign w:val="center"/>
          </w:tcPr>
          <w:p>
            <w:pPr>
              <w:spacing w:line="240" w:lineRule="auto"/>
              <w:jc w:val="center"/>
              <w:rPr>
                <w:b/>
                <w:bCs/>
                <w:sz w:val="21"/>
                <w:szCs w:val="21"/>
              </w:rPr>
            </w:pPr>
            <w:r>
              <w:rPr>
                <w:b/>
                <w:bCs/>
                <w:sz w:val="21"/>
                <w:szCs w:val="21"/>
              </w:rPr>
              <w:t>省外就业人数</w:t>
            </w:r>
          </w:p>
          <w:p>
            <w:pPr>
              <w:spacing w:line="240" w:lineRule="auto"/>
              <w:jc w:val="center"/>
              <w:rPr>
                <w:b/>
                <w:bCs/>
                <w:sz w:val="21"/>
                <w:szCs w:val="21"/>
              </w:rPr>
            </w:pPr>
            <w:r>
              <w:rPr>
                <w:b/>
                <w:bCs/>
                <w:sz w:val="21"/>
                <w:szCs w:val="21"/>
              </w:rPr>
              <w:t>（比例）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04" w:type="pct"/>
            <w:vAlign w:val="center"/>
          </w:tcPr>
          <w:p>
            <w:pPr>
              <w:spacing w:line="240" w:lineRule="auto"/>
              <w:jc w:val="center"/>
              <w:rPr>
                <w:sz w:val="21"/>
                <w:szCs w:val="21"/>
              </w:rPr>
            </w:pPr>
            <w:r>
              <w:rPr>
                <w:sz w:val="21"/>
                <w:szCs w:val="21"/>
              </w:rPr>
              <w:t>机械电子工程</w:t>
            </w:r>
          </w:p>
        </w:tc>
        <w:tc>
          <w:tcPr>
            <w:tcW w:w="464" w:type="pct"/>
            <w:vAlign w:val="center"/>
          </w:tcPr>
          <w:p>
            <w:pPr>
              <w:spacing w:line="240" w:lineRule="auto"/>
              <w:jc w:val="center"/>
              <w:rPr>
                <w:sz w:val="21"/>
                <w:szCs w:val="21"/>
              </w:rPr>
            </w:pPr>
            <w:r>
              <w:rPr>
                <w:sz w:val="21"/>
                <w:szCs w:val="21"/>
              </w:rPr>
              <w:t>77</w:t>
            </w:r>
          </w:p>
        </w:tc>
        <w:tc>
          <w:tcPr>
            <w:tcW w:w="474" w:type="pct"/>
            <w:vAlign w:val="center"/>
          </w:tcPr>
          <w:p>
            <w:pPr>
              <w:spacing w:line="240" w:lineRule="auto"/>
              <w:jc w:val="center"/>
              <w:rPr>
                <w:sz w:val="21"/>
                <w:szCs w:val="21"/>
              </w:rPr>
            </w:pPr>
            <w:r>
              <w:rPr>
                <w:sz w:val="21"/>
                <w:szCs w:val="21"/>
              </w:rPr>
              <w:t>88.51%</w:t>
            </w:r>
          </w:p>
        </w:tc>
        <w:tc>
          <w:tcPr>
            <w:tcW w:w="586" w:type="pct"/>
            <w:vAlign w:val="center"/>
          </w:tcPr>
          <w:p>
            <w:pPr>
              <w:spacing w:line="240" w:lineRule="auto"/>
              <w:jc w:val="center"/>
              <w:rPr>
                <w:sz w:val="21"/>
                <w:szCs w:val="21"/>
              </w:rPr>
            </w:pPr>
            <w:r>
              <w:rPr>
                <w:sz w:val="21"/>
                <w:szCs w:val="21"/>
              </w:rPr>
              <w:t>86.49%</w:t>
            </w:r>
          </w:p>
        </w:tc>
        <w:tc>
          <w:tcPr>
            <w:tcW w:w="596" w:type="pct"/>
            <w:vAlign w:val="center"/>
          </w:tcPr>
          <w:p>
            <w:pPr>
              <w:spacing w:line="240" w:lineRule="auto"/>
              <w:jc w:val="center"/>
              <w:rPr>
                <w:sz w:val="21"/>
                <w:szCs w:val="21"/>
              </w:rPr>
            </w:pPr>
            <w:r>
              <w:rPr>
                <w:sz w:val="21"/>
                <w:szCs w:val="21"/>
              </w:rPr>
              <w:t>100%</w:t>
            </w:r>
          </w:p>
        </w:tc>
        <w:tc>
          <w:tcPr>
            <w:tcW w:w="1070" w:type="pct"/>
            <w:vAlign w:val="center"/>
          </w:tcPr>
          <w:p>
            <w:pPr>
              <w:spacing w:line="240" w:lineRule="auto"/>
              <w:jc w:val="center"/>
              <w:rPr>
                <w:sz w:val="21"/>
                <w:szCs w:val="21"/>
              </w:rPr>
            </w:pPr>
            <w:r>
              <w:rPr>
                <w:sz w:val="21"/>
                <w:szCs w:val="21"/>
              </w:rPr>
              <w:t>43</w:t>
            </w:r>
          </w:p>
          <w:p>
            <w:pPr>
              <w:spacing w:line="240" w:lineRule="auto"/>
              <w:jc w:val="center"/>
              <w:rPr>
                <w:sz w:val="21"/>
                <w:szCs w:val="21"/>
              </w:rPr>
            </w:pPr>
            <w:r>
              <w:rPr>
                <w:sz w:val="21"/>
                <w:szCs w:val="21"/>
              </w:rPr>
              <w:t>（84.31%）</w:t>
            </w:r>
          </w:p>
        </w:tc>
        <w:tc>
          <w:tcPr>
            <w:tcW w:w="1004" w:type="pct"/>
            <w:vAlign w:val="center"/>
          </w:tcPr>
          <w:p>
            <w:pPr>
              <w:spacing w:line="240" w:lineRule="auto"/>
              <w:jc w:val="center"/>
              <w:rPr>
                <w:sz w:val="21"/>
                <w:szCs w:val="21"/>
              </w:rPr>
            </w:pPr>
            <w:r>
              <w:rPr>
                <w:sz w:val="21"/>
                <w:szCs w:val="21"/>
              </w:rPr>
              <w:t>8</w:t>
            </w:r>
          </w:p>
          <w:p>
            <w:pPr>
              <w:spacing w:line="240" w:lineRule="auto"/>
              <w:jc w:val="center"/>
              <w:rPr>
                <w:sz w:val="21"/>
                <w:szCs w:val="21"/>
              </w:rPr>
            </w:pPr>
            <w:r>
              <w:rPr>
                <w:sz w:val="21"/>
                <w:szCs w:val="21"/>
              </w:rPr>
              <w:t>（15.69%）</w:t>
            </w:r>
          </w:p>
        </w:tc>
      </w:tr>
    </w:tbl>
    <w:p>
      <w:pPr>
        <w:ind w:firstLine="480" w:firstLineChars="200"/>
      </w:pPr>
      <w:r>
        <w:t>（2）就业方式</w:t>
      </w:r>
    </w:p>
    <w:p>
      <w:pPr>
        <w:ind w:firstLine="480" w:firstLineChars="200"/>
      </w:pPr>
      <w:r>
        <w:t>毕业生就业方式主要包括升学、出国（境）、协议就业、自主创业及其他等多种方式就业，其中协议就业方式就业人数较多。毕业生总体就业方式如下表所示。</w:t>
      </w:r>
      <w:bookmarkStart w:id="338" w:name="_Hlk82722034"/>
    </w:p>
    <w:p>
      <w:pPr>
        <w:jc w:val="center"/>
        <w:rPr>
          <w:b/>
          <w:bCs/>
          <w:sz w:val="21"/>
          <w:szCs w:val="21"/>
        </w:rPr>
      </w:pPr>
    </w:p>
    <w:p>
      <w:pPr>
        <w:jc w:val="center"/>
        <w:rPr>
          <w:b/>
          <w:bCs/>
          <w:sz w:val="21"/>
          <w:szCs w:val="21"/>
        </w:rPr>
      </w:pPr>
      <w:r>
        <w:rPr>
          <w:b/>
          <w:bCs/>
          <w:sz w:val="21"/>
          <w:szCs w:val="21"/>
        </w:rPr>
        <w:t>表5.毕业生就业方式统计表</w:t>
      </w:r>
    </w:p>
    <w:tbl>
      <w:tblPr>
        <w:tblStyle w:val="17"/>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025"/>
        <w:gridCol w:w="1130"/>
        <w:gridCol w:w="1088"/>
        <w:gridCol w:w="1081"/>
        <w:gridCol w:w="1122"/>
        <w:gridCol w:w="1102"/>
        <w:gridCol w:w="1102"/>
        <w:gridCol w:w="120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9" w:hRule="atLeast"/>
          <w:jc w:val="center"/>
        </w:trPr>
        <w:tc>
          <w:tcPr>
            <w:tcW w:w="579" w:type="pct"/>
            <w:vAlign w:val="center"/>
          </w:tcPr>
          <w:p>
            <w:pPr>
              <w:spacing w:line="240" w:lineRule="auto"/>
              <w:jc w:val="center"/>
              <w:rPr>
                <w:b/>
                <w:bCs/>
                <w:sz w:val="21"/>
                <w:szCs w:val="21"/>
              </w:rPr>
            </w:pPr>
            <w:r>
              <w:rPr>
                <w:b/>
                <w:bCs/>
                <w:sz w:val="21"/>
                <w:szCs w:val="21"/>
              </w:rPr>
              <w:t>就业方式</w:t>
            </w:r>
          </w:p>
        </w:tc>
        <w:tc>
          <w:tcPr>
            <w:tcW w:w="638" w:type="pct"/>
            <w:vAlign w:val="center"/>
          </w:tcPr>
          <w:p>
            <w:pPr>
              <w:spacing w:line="240" w:lineRule="auto"/>
              <w:jc w:val="center"/>
              <w:rPr>
                <w:b/>
                <w:bCs/>
                <w:sz w:val="21"/>
                <w:szCs w:val="21"/>
              </w:rPr>
            </w:pPr>
            <w:r>
              <w:rPr>
                <w:b/>
                <w:bCs/>
                <w:sz w:val="21"/>
                <w:szCs w:val="21"/>
              </w:rPr>
              <w:t>国内</w:t>
            </w:r>
          </w:p>
          <w:p>
            <w:pPr>
              <w:spacing w:line="240" w:lineRule="auto"/>
              <w:jc w:val="center"/>
              <w:rPr>
                <w:b/>
                <w:bCs/>
                <w:sz w:val="21"/>
                <w:szCs w:val="21"/>
              </w:rPr>
            </w:pPr>
            <w:r>
              <w:rPr>
                <w:b/>
                <w:bCs/>
                <w:sz w:val="21"/>
                <w:szCs w:val="21"/>
              </w:rPr>
              <w:t>升学</w:t>
            </w:r>
          </w:p>
        </w:tc>
        <w:tc>
          <w:tcPr>
            <w:tcW w:w="614" w:type="pct"/>
            <w:vAlign w:val="center"/>
          </w:tcPr>
          <w:p>
            <w:pPr>
              <w:spacing w:line="240" w:lineRule="auto"/>
              <w:jc w:val="center"/>
              <w:rPr>
                <w:b/>
                <w:bCs/>
                <w:sz w:val="21"/>
                <w:szCs w:val="21"/>
              </w:rPr>
            </w:pPr>
            <w:r>
              <w:rPr>
                <w:b/>
                <w:bCs/>
                <w:sz w:val="21"/>
                <w:szCs w:val="21"/>
              </w:rPr>
              <w:t>出国</w:t>
            </w:r>
          </w:p>
        </w:tc>
        <w:tc>
          <w:tcPr>
            <w:tcW w:w="610" w:type="pct"/>
            <w:vAlign w:val="center"/>
          </w:tcPr>
          <w:p>
            <w:pPr>
              <w:spacing w:line="240" w:lineRule="auto"/>
              <w:jc w:val="center"/>
              <w:rPr>
                <w:b/>
                <w:bCs/>
                <w:sz w:val="21"/>
                <w:szCs w:val="21"/>
              </w:rPr>
            </w:pPr>
            <w:r>
              <w:rPr>
                <w:b/>
                <w:bCs/>
                <w:sz w:val="21"/>
                <w:szCs w:val="21"/>
              </w:rPr>
              <w:t>协议就业</w:t>
            </w:r>
          </w:p>
        </w:tc>
        <w:tc>
          <w:tcPr>
            <w:tcW w:w="633" w:type="pct"/>
            <w:vAlign w:val="center"/>
          </w:tcPr>
          <w:p>
            <w:pPr>
              <w:spacing w:line="240" w:lineRule="auto"/>
              <w:jc w:val="center"/>
              <w:rPr>
                <w:b/>
                <w:bCs/>
                <w:sz w:val="21"/>
                <w:szCs w:val="21"/>
              </w:rPr>
            </w:pPr>
            <w:r>
              <w:rPr>
                <w:b/>
                <w:bCs/>
                <w:sz w:val="21"/>
                <w:szCs w:val="21"/>
              </w:rPr>
              <w:t>自主创业</w:t>
            </w:r>
          </w:p>
        </w:tc>
        <w:tc>
          <w:tcPr>
            <w:tcW w:w="622" w:type="pct"/>
            <w:vAlign w:val="center"/>
          </w:tcPr>
          <w:p>
            <w:pPr>
              <w:spacing w:line="240" w:lineRule="auto"/>
              <w:jc w:val="center"/>
              <w:rPr>
                <w:b/>
                <w:bCs/>
                <w:sz w:val="21"/>
                <w:szCs w:val="21"/>
              </w:rPr>
            </w:pPr>
            <w:r>
              <w:rPr>
                <w:b/>
                <w:bCs/>
                <w:sz w:val="21"/>
                <w:szCs w:val="21"/>
              </w:rPr>
              <w:t>劳动合同</w:t>
            </w:r>
          </w:p>
        </w:tc>
        <w:tc>
          <w:tcPr>
            <w:tcW w:w="622" w:type="pct"/>
            <w:vAlign w:val="center"/>
          </w:tcPr>
          <w:p>
            <w:pPr>
              <w:spacing w:line="240" w:lineRule="auto"/>
              <w:jc w:val="center"/>
              <w:rPr>
                <w:b/>
                <w:bCs/>
                <w:sz w:val="21"/>
                <w:szCs w:val="21"/>
              </w:rPr>
            </w:pPr>
            <w:r>
              <w:rPr>
                <w:b/>
                <w:bCs/>
                <w:sz w:val="21"/>
                <w:szCs w:val="21"/>
              </w:rPr>
              <w:t>待就业</w:t>
            </w:r>
          </w:p>
        </w:tc>
        <w:tc>
          <w:tcPr>
            <w:tcW w:w="677" w:type="pct"/>
            <w:vAlign w:val="center"/>
          </w:tcPr>
          <w:p>
            <w:pPr>
              <w:spacing w:line="240" w:lineRule="auto"/>
              <w:jc w:val="center"/>
              <w:rPr>
                <w:b/>
                <w:bCs/>
                <w:sz w:val="21"/>
                <w:szCs w:val="21"/>
              </w:rPr>
            </w:pPr>
            <w:r>
              <w:rPr>
                <w:b/>
                <w:bCs/>
                <w:sz w:val="21"/>
                <w:szCs w:val="21"/>
              </w:rPr>
              <w:t>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4" w:hRule="atLeast"/>
          <w:jc w:val="center"/>
        </w:trPr>
        <w:tc>
          <w:tcPr>
            <w:tcW w:w="579" w:type="pct"/>
            <w:vAlign w:val="center"/>
          </w:tcPr>
          <w:p>
            <w:pPr>
              <w:spacing w:line="240" w:lineRule="auto"/>
              <w:jc w:val="center"/>
              <w:rPr>
                <w:sz w:val="21"/>
                <w:szCs w:val="21"/>
              </w:rPr>
            </w:pPr>
            <w:r>
              <w:rPr>
                <w:sz w:val="21"/>
                <w:szCs w:val="21"/>
              </w:rPr>
              <w:t>人数</w:t>
            </w:r>
          </w:p>
          <w:p>
            <w:pPr>
              <w:spacing w:line="240" w:lineRule="auto"/>
              <w:jc w:val="center"/>
              <w:rPr>
                <w:sz w:val="21"/>
                <w:szCs w:val="21"/>
              </w:rPr>
            </w:pPr>
            <w:r>
              <w:rPr>
                <w:sz w:val="21"/>
                <w:szCs w:val="21"/>
              </w:rPr>
              <w:t>（比例）</w:t>
            </w:r>
          </w:p>
        </w:tc>
        <w:tc>
          <w:tcPr>
            <w:tcW w:w="638" w:type="pct"/>
            <w:vAlign w:val="center"/>
          </w:tcPr>
          <w:p>
            <w:pPr>
              <w:spacing w:line="240" w:lineRule="auto"/>
              <w:jc w:val="center"/>
              <w:rPr>
                <w:sz w:val="21"/>
                <w:szCs w:val="21"/>
              </w:rPr>
            </w:pPr>
            <w:r>
              <w:rPr>
                <w:sz w:val="21"/>
                <w:szCs w:val="21"/>
              </w:rPr>
              <w:t>26</w:t>
            </w:r>
          </w:p>
          <w:p>
            <w:pPr>
              <w:spacing w:line="240" w:lineRule="auto"/>
              <w:jc w:val="center"/>
              <w:rPr>
                <w:sz w:val="21"/>
                <w:szCs w:val="21"/>
              </w:rPr>
            </w:pPr>
            <w:r>
              <w:rPr>
                <w:sz w:val="21"/>
                <w:szCs w:val="21"/>
              </w:rPr>
              <w:t>（29.89%）</w:t>
            </w:r>
          </w:p>
        </w:tc>
        <w:tc>
          <w:tcPr>
            <w:tcW w:w="614" w:type="pct"/>
            <w:vAlign w:val="center"/>
          </w:tcPr>
          <w:p>
            <w:pPr>
              <w:spacing w:line="240" w:lineRule="auto"/>
              <w:jc w:val="center"/>
              <w:rPr>
                <w:sz w:val="21"/>
                <w:szCs w:val="21"/>
              </w:rPr>
            </w:pPr>
            <w:r>
              <w:rPr>
                <w:sz w:val="21"/>
                <w:szCs w:val="21"/>
              </w:rPr>
              <w:t>0</w:t>
            </w:r>
          </w:p>
        </w:tc>
        <w:tc>
          <w:tcPr>
            <w:tcW w:w="610" w:type="pct"/>
            <w:vAlign w:val="center"/>
          </w:tcPr>
          <w:p>
            <w:pPr>
              <w:spacing w:line="240" w:lineRule="auto"/>
              <w:jc w:val="center"/>
              <w:rPr>
                <w:sz w:val="21"/>
                <w:szCs w:val="21"/>
              </w:rPr>
            </w:pPr>
            <w:r>
              <w:rPr>
                <w:sz w:val="21"/>
                <w:szCs w:val="21"/>
              </w:rPr>
              <w:t>26</w:t>
            </w:r>
          </w:p>
          <w:p>
            <w:pPr>
              <w:spacing w:line="240" w:lineRule="auto"/>
              <w:jc w:val="center"/>
              <w:rPr>
                <w:sz w:val="21"/>
                <w:szCs w:val="21"/>
              </w:rPr>
            </w:pPr>
            <w:r>
              <w:rPr>
                <w:sz w:val="21"/>
                <w:szCs w:val="21"/>
              </w:rPr>
              <w:t>（29.89%）</w:t>
            </w:r>
          </w:p>
        </w:tc>
        <w:tc>
          <w:tcPr>
            <w:tcW w:w="633" w:type="pct"/>
            <w:vAlign w:val="center"/>
          </w:tcPr>
          <w:p>
            <w:pPr>
              <w:spacing w:line="240" w:lineRule="auto"/>
              <w:jc w:val="center"/>
              <w:rPr>
                <w:sz w:val="21"/>
                <w:szCs w:val="21"/>
              </w:rPr>
            </w:pPr>
            <w:r>
              <w:rPr>
                <w:sz w:val="21"/>
                <w:szCs w:val="21"/>
              </w:rPr>
              <w:t>0</w:t>
            </w:r>
          </w:p>
        </w:tc>
        <w:tc>
          <w:tcPr>
            <w:tcW w:w="622" w:type="pct"/>
            <w:vAlign w:val="center"/>
          </w:tcPr>
          <w:p>
            <w:pPr>
              <w:spacing w:line="240" w:lineRule="auto"/>
              <w:jc w:val="center"/>
              <w:rPr>
                <w:sz w:val="21"/>
                <w:szCs w:val="21"/>
              </w:rPr>
            </w:pPr>
            <w:r>
              <w:rPr>
                <w:sz w:val="21"/>
                <w:szCs w:val="21"/>
              </w:rPr>
              <w:t>1</w:t>
            </w:r>
          </w:p>
          <w:p>
            <w:pPr>
              <w:spacing w:line="240" w:lineRule="auto"/>
              <w:jc w:val="center"/>
              <w:rPr>
                <w:sz w:val="21"/>
                <w:szCs w:val="21"/>
              </w:rPr>
            </w:pPr>
            <w:r>
              <w:rPr>
                <w:sz w:val="21"/>
                <w:szCs w:val="21"/>
              </w:rPr>
              <w:t>（1.15%）</w:t>
            </w:r>
          </w:p>
        </w:tc>
        <w:tc>
          <w:tcPr>
            <w:tcW w:w="622" w:type="pct"/>
            <w:vAlign w:val="center"/>
          </w:tcPr>
          <w:p>
            <w:pPr>
              <w:spacing w:line="240" w:lineRule="auto"/>
              <w:jc w:val="center"/>
              <w:rPr>
                <w:sz w:val="21"/>
                <w:szCs w:val="21"/>
              </w:rPr>
            </w:pPr>
            <w:r>
              <w:rPr>
                <w:sz w:val="21"/>
                <w:szCs w:val="21"/>
              </w:rPr>
              <w:t>10</w:t>
            </w:r>
          </w:p>
          <w:p>
            <w:pPr>
              <w:spacing w:line="240" w:lineRule="auto"/>
              <w:jc w:val="center"/>
              <w:rPr>
                <w:sz w:val="21"/>
                <w:szCs w:val="21"/>
              </w:rPr>
            </w:pPr>
            <w:r>
              <w:rPr>
                <w:sz w:val="21"/>
                <w:szCs w:val="21"/>
              </w:rPr>
              <w:t>（11.49%）</w:t>
            </w:r>
          </w:p>
        </w:tc>
        <w:tc>
          <w:tcPr>
            <w:tcW w:w="677" w:type="pct"/>
            <w:vAlign w:val="center"/>
          </w:tcPr>
          <w:p>
            <w:pPr>
              <w:spacing w:line="240" w:lineRule="auto"/>
              <w:jc w:val="center"/>
              <w:rPr>
                <w:sz w:val="21"/>
                <w:szCs w:val="21"/>
              </w:rPr>
            </w:pPr>
            <w:r>
              <w:rPr>
                <w:sz w:val="21"/>
                <w:szCs w:val="21"/>
              </w:rPr>
              <w:t>24</w:t>
            </w:r>
          </w:p>
          <w:p>
            <w:pPr>
              <w:spacing w:line="240" w:lineRule="auto"/>
              <w:jc w:val="center"/>
              <w:rPr>
                <w:sz w:val="21"/>
                <w:szCs w:val="21"/>
              </w:rPr>
            </w:pPr>
            <w:r>
              <w:rPr>
                <w:sz w:val="21"/>
                <w:szCs w:val="21"/>
              </w:rPr>
              <w:t>（27.59%）</w:t>
            </w:r>
          </w:p>
        </w:tc>
      </w:tr>
      <w:bookmarkEnd w:id="338"/>
    </w:tbl>
    <w:p>
      <w:pPr>
        <w:ind w:firstLine="480" w:firstLineChars="200"/>
      </w:pPr>
      <w:r>
        <w:t>（3）就业流向</w:t>
      </w:r>
    </w:p>
    <w:p>
      <w:pPr>
        <w:ind w:firstLine="480" w:firstLineChars="200"/>
      </w:pPr>
      <w:r>
        <w:t>说明：本部分已就业总人数，不包含升学、出国（境）和应征入伍。</w:t>
      </w:r>
    </w:p>
    <w:p>
      <w:pPr>
        <w:ind w:firstLine="480" w:firstLineChars="200"/>
      </w:pPr>
      <w:r>
        <w:t>毕业生就业单位性质显示，其他企业就业人数最多，约占已就业人数的86.27</w:t>
      </w:r>
      <w:r>
        <w:drawing>
          <wp:inline distT="0" distB="0" distL="0" distR="0">
            <wp:extent cx="76200" cy="13335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76200" cy="133350"/>
                    </a:xfrm>
                    <a:prstGeom prst="rect">
                      <a:avLst/>
                    </a:prstGeom>
                    <a:noFill/>
                    <a:ln>
                      <a:noFill/>
                    </a:ln>
                  </pic:spPr>
                </pic:pic>
              </a:graphicData>
            </a:graphic>
          </wp:inline>
        </w:drawing>
      </w:r>
      <w:r>
        <w:t>，其次是国有企业就业，约占7.84</w:t>
      </w:r>
      <w:r>
        <w:drawing>
          <wp:inline distT="0" distB="0" distL="0" distR="0">
            <wp:extent cx="76200" cy="13335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76200" cy="133350"/>
                    </a:xfrm>
                    <a:prstGeom prst="rect">
                      <a:avLst/>
                    </a:prstGeom>
                    <a:noFill/>
                    <a:ln>
                      <a:noFill/>
                    </a:ln>
                    <a:effectLst/>
                  </pic:spPr>
                </pic:pic>
              </a:graphicData>
            </a:graphic>
          </wp:inline>
        </w:drawing>
      </w:r>
      <w:r>
        <w:t>，中国500强企业就业，约占11.69</w:t>
      </w:r>
      <w:r>
        <w:drawing>
          <wp:inline distT="0" distB="0" distL="0" distR="0">
            <wp:extent cx="76200" cy="13335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76200" cy="133350"/>
                    </a:xfrm>
                    <a:prstGeom prst="rect">
                      <a:avLst/>
                    </a:prstGeom>
                    <a:noFill/>
                    <a:ln>
                      <a:noFill/>
                    </a:ln>
                  </pic:spPr>
                </pic:pic>
              </a:graphicData>
            </a:graphic>
          </wp:inline>
        </w:drawing>
      </w:r>
      <w:r>
        <w:t>。</w:t>
      </w:r>
    </w:p>
    <w:p>
      <w:pPr>
        <w:jc w:val="center"/>
        <w:rPr>
          <w:b/>
          <w:bCs/>
          <w:sz w:val="21"/>
          <w:szCs w:val="21"/>
        </w:rPr>
      </w:pPr>
      <w:r>
        <w:rPr>
          <w:b/>
          <w:bCs/>
          <w:sz w:val="21"/>
          <w:szCs w:val="21"/>
        </w:rPr>
        <w:t>表26.毕业生就业单位性质统计表</w:t>
      </w:r>
    </w:p>
    <w:tbl>
      <w:tblPr>
        <w:tblStyle w:val="17"/>
        <w:tblW w:w="920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28"/>
        <w:gridCol w:w="837"/>
        <w:gridCol w:w="925"/>
        <w:gridCol w:w="538"/>
        <w:gridCol w:w="775"/>
        <w:gridCol w:w="837"/>
        <w:gridCol w:w="813"/>
        <w:gridCol w:w="562"/>
        <w:gridCol w:w="700"/>
        <w:gridCol w:w="637"/>
        <w:gridCol w:w="862"/>
        <w:gridCol w:w="88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86" w:hRule="atLeast"/>
          <w:jc w:val="center"/>
        </w:trPr>
        <w:tc>
          <w:tcPr>
            <w:tcW w:w="828" w:type="dxa"/>
            <w:vAlign w:val="center"/>
          </w:tcPr>
          <w:p>
            <w:pPr>
              <w:spacing w:line="240" w:lineRule="auto"/>
              <w:jc w:val="center"/>
              <w:rPr>
                <w:b/>
                <w:bCs/>
                <w:sz w:val="21"/>
                <w:szCs w:val="21"/>
              </w:rPr>
            </w:pPr>
            <w:r>
              <w:rPr>
                <w:b/>
                <w:bCs/>
                <w:sz w:val="21"/>
                <w:szCs w:val="21"/>
              </w:rPr>
              <w:t>单位</w:t>
            </w:r>
          </w:p>
          <w:p>
            <w:pPr>
              <w:spacing w:line="240" w:lineRule="auto"/>
              <w:jc w:val="center"/>
              <w:rPr>
                <w:b/>
                <w:bCs/>
                <w:sz w:val="21"/>
                <w:szCs w:val="21"/>
              </w:rPr>
            </w:pPr>
            <w:r>
              <w:rPr>
                <w:b/>
                <w:bCs/>
                <w:sz w:val="21"/>
                <w:szCs w:val="21"/>
              </w:rPr>
              <w:t>性质</w:t>
            </w:r>
          </w:p>
        </w:tc>
        <w:tc>
          <w:tcPr>
            <w:tcW w:w="837" w:type="dxa"/>
            <w:vAlign w:val="center"/>
          </w:tcPr>
          <w:p>
            <w:pPr>
              <w:spacing w:line="240" w:lineRule="auto"/>
              <w:jc w:val="center"/>
              <w:rPr>
                <w:b/>
                <w:bCs/>
                <w:sz w:val="21"/>
                <w:szCs w:val="21"/>
              </w:rPr>
            </w:pPr>
            <w:r>
              <w:rPr>
                <w:b/>
                <w:bCs/>
                <w:sz w:val="21"/>
                <w:szCs w:val="21"/>
              </w:rPr>
              <w:t>国有</w:t>
            </w:r>
          </w:p>
          <w:p>
            <w:pPr>
              <w:spacing w:line="240" w:lineRule="auto"/>
              <w:jc w:val="center"/>
              <w:rPr>
                <w:b/>
                <w:bCs/>
                <w:sz w:val="21"/>
                <w:szCs w:val="21"/>
              </w:rPr>
            </w:pPr>
            <w:r>
              <w:rPr>
                <w:b/>
                <w:bCs/>
                <w:sz w:val="21"/>
                <w:szCs w:val="21"/>
              </w:rPr>
              <w:t>企业</w:t>
            </w:r>
          </w:p>
        </w:tc>
        <w:tc>
          <w:tcPr>
            <w:tcW w:w="925" w:type="dxa"/>
            <w:vAlign w:val="center"/>
          </w:tcPr>
          <w:p>
            <w:pPr>
              <w:spacing w:line="240" w:lineRule="auto"/>
              <w:jc w:val="center"/>
              <w:rPr>
                <w:b/>
                <w:bCs/>
                <w:sz w:val="21"/>
                <w:szCs w:val="21"/>
              </w:rPr>
            </w:pPr>
            <w:r>
              <w:rPr>
                <w:b/>
                <w:bCs/>
                <w:sz w:val="21"/>
                <w:szCs w:val="21"/>
              </w:rPr>
              <w:t>外资</w:t>
            </w:r>
          </w:p>
          <w:p>
            <w:pPr>
              <w:spacing w:line="240" w:lineRule="auto"/>
              <w:jc w:val="center"/>
              <w:rPr>
                <w:b/>
                <w:bCs/>
                <w:sz w:val="21"/>
                <w:szCs w:val="21"/>
              </w:rPr>
            </w:pPr>
            <w:r>
              <w:rPr>
                <w:b/>
                <w:bCs/>
                <w:sz w:val="21"/>
                <w:szCs w:val="21"/>
              </w:rPr>
              <w:t>企业</w:t>
            </w:r>
          </w:p>
        </w:tc>
        <w:tc>
          <w:tcPr>
            <w:tcW w:w="538" w:type="dxa"/>
            <w:vAlign w:val="center"/>
          </w:tcPr>
          <w:p>
            <w:pPr>
              <w:spacing w:line="240" w:lineRule="auto"/>
              <w:jc w:val="center"/>
              <w:rPr>
                <w:b/>
                <w:bCs/>
                <w:sz w:val="21"/>
                <w:szCs w:val="21"/>
              </w:rPr>
            </w:pPr>
            <w:r>
              <w:rPr>
                <w:b/>
                <w:bCs/>
                <w:sz w:val="21"/>
                <w:szCs w:val="21"/>
              </w:rPr>
              <w:t>国家</w:t>
            </w:r>
          </w:p>
          <w:p>
            <w:pPr>
              <w:spacing w:line="240" w:lineRule="auto"/>
              <w:jc w:val="center"/>
              <w:rPr>
                <w:b/>
                <w:bCs/>
                <w:sz w:val="21"/>
                <w:szCs w:val="21"/>
              </w:rPr>
            </w:pPr>
            <w:r>
              <w:rPr>
                <w:b/>
                <w:bCs/>
                <w:sz w:val="21"/>
                <w:szCs w:val="21"/>
              </w:rPr>
              <w:t>公务员</w:t>
            </w:r>
          </w:p>
        </w:tc>
        <w:tc>
          <w:tcPr>
            <w:tcW w:w="775" w:type="dxa"/>
            <w:vAlign w:val="center"/>
          </w:tcPr>
          <w:p>
            <w:pPr>
              <w:spacing w:line="240" w:lineRule="auto"/>
              <w:jc w:val="center"/>
              <w:rPr>
                <w:b/>
                <w:bCs/>
                <w:sz w:val="21"/>
                <w:szCs w:val="21"/>
              </w:rPr>
            </w:pPr>
            <w:r>
              <w:rPr>
                <w:b/>
                <w:bCs/>
                <w:sz w:val="21"/>
                <w:szCs w:val="21"/>
              </w:rPr>
              <w:t>地方</w:t>
            </w:r>
          </w:p>
          <w:p>
            <w:pPr>
              <w:spacing w:line="240" w:lineRule="auto"/>
              <w:jc w:val="center"/>
              <w:rPr>
                <w:b/>
                <w:bCs/>
                <w:sz w:val="21"/>
                <w:szCs w:val="21"/>
              </w:rPr>
            </w:pPr>
            <w:r>
              <w:rPr>
                <w:b/>
                <w:bCs/>
                <w:sz w:val="21"/>
                <w:szCs w:val="21"/>
              </w:rPr>
              <w:t>公务员</w:t>
            </w:r>
          </w:p>
        </w:tc>
        <w:tc>
          <w:tcPr>
            <w:tcW w:w="837" w:type="dxa"/>
            <w:vAlign w:val="center"/>
          </w:tcPr>
          <w:p>
            <w:pPr>
              <w:spacing w:line="240" w:lineRule="auto"/>
              <w:jc w:val="center"/>
              <w:rPr>
                <w:b/>
                <w:bCs/>
                <w:sz w:val="21"/>
                <w:szCs w:val="21"/>
              </w:rPr>
            </w:pPr>
            <w:r>
              <w:rPr>
                <w:b/>
                <w:bCs/>
                <w:sz w:val="21"/>
                <w:szCs w:val="21"/>
              </w:rPr>
              <w:t>事业</w:t>
            </w:r>
          </w:p>
          <w:p>
            <w:pPr>
              <w:spacing w:line="240" w:lineRule="auto"/>
              <w:jc w:val="center"/>
              <w:rPr>
                <w:b/>
                <w:bCs/>
                <w:sz w:val="21"/>
                <w:szCs w:val="21"/>
              </w:rPr>
            </w:pPr>
            <w:r>
              <w:rPr>
                <w:b/>
                <w:bCs/>
                <w:sz w:val="21"/>
                <w:szCs w:val="21"/>
              </w:rPr>
              <w:t>单位</w:t>
            </w:r>
          </w:p>
        </w:tc>
        <w:tc>
          <w:tcPr>
            <w:tcW w:w="813" w:type="dxa"/>
            <w:vAlign w:val="center"/>
          </w:tcPr>
          <w:p>
            <w:pPr>
              <w:spacing w:line="240" w:lineRule="auto"/>
              <w:jc w:val="center"/>
              <w:rPr>
                <w:b/>
                <w:bCs/>
                <w:sz w:val="21"/>
                <w:szCs w:val="21"/>
              </w:rPr>
            </w:pPr>
            <w:r>
              <w:rPr>
                <w:b/>
                <w:bCs/>
                <w:sz w:val="21"/>
                <w:szCs w:val="21"/>
              </w:rPr>
              <w:t>选调生</w:t>
            </w:r>
          </w:p>
        </w:tc>
        <w:tc>
          <w:tcPr>
            <w:tcW w:w="562" w:type="dxa"/>
            <w:vAlign w:val="center"/>
          </w:tcPr>
          <w:p>
            <w:pPr>
              <w:spacing w:line="240" w:lineRule="auto"/>
              <w:jc w:val="center"/>
              <w:rPr>
                <w:b/>
                <w:bCs/>
                <w:sz w:val="21"/>
                <w:szCs w:val="21"/>
              </w:rPr>
            </w:pPr>
            <w:r>
              <w:rPr>
                <w:b/>
                <w:bCs/>
                <w:sz w:val="21"/>
                <w:szCs w:val="21"/>
              </w:rPr>
              <w:t>三支</w:t>
            </w:r>
          </w:p>
          <w:p>
            <w:pPr>
              <w:spacing w:line="240" w:lineRule="auto"/>
              <w:jc w:val="center"/>
              <w:rPr>
                <w:b/>
                <w:bCs/>
                <w:sz w:val="21"/>
                <w:szCs w:val="21"/>
              </w:rPr>
            </w:pPr>
            <w:r>
              <w:rPr>
                <w:b/>
                <w:bCs/>
                <w:sz w:val="21"/>
                <w:szCs w:val="21"/>
              </w:rPr>
              <w:t>一扶</w:t>
            </w:r>
          </w:p>
        </w:tc>
        <w:tc>
          <w:tcPr>
            <w:tcW w:w="700" w:type="dxa"/>
            <w:vAlign w:val="center"/>
          </w:tcPr>
          <w:p>
            <w:pPr>
              <w:spacing w:line="240" w:lineRule="auto"/>
              <w:jc w:val="center"/>
              <w:rPr>
                <w:b/>
                <w:bCs/>
                <w:sz w:val="21"/>
                <w:szCs w:val="21"/>
              </w:rPr>
            </w:pPr>
            <w:r>
              <w:rPr>
                <w:b/>
                <w:bCs/>
                <w:sz w:val="21"/>
                <w:szCs w:val="21"/>
              </w:rPr>
              <w:t>西部</w:t>
            </w:r>
          </w:p>
          <w:p>
            <w:pPr>
              <w:spacing w:line="240" w:lineRule="auto"/>
              <w:jc w:val="center"/>
              <w:rPr>
                <w:b/>
                <w:bCs/>
                <w:sz w:val="21"/>
                <w:szCs w:val="21"/>
              </w:rPr>
            </w:pPr>
            <w:r>
              <w:rPr>
                <w:b/>
                <w:bCs/>
                <w:sz w:val="21"/>
                <w:szCs w:val="21"/>
              </w:rPr>
              <w:t>志愿者</w:t>
            </w:r>
          </w:p>
        </w:tc>
        <w:tc>
          <w:tcPr>
            <w:tcW w:w="637" w:type="dxa"/>
            <w:vAlign w:val="center"/>
          </w:tcPr>
          <w:p>
            <w:pPr>
              <w:spacing w:line="240" w:lineRule="auto"/>
              <w:jc w:val="center"/>
              <w:rPr>
                <w:b/>
                <w:bCs/>
                <w:sz w:val="21"/>
                <w:szCs w:val="21"/>
              </w:rPr>
            </w:pPr>
            <w:r>
              <w:rPr>
                <w:b/>
                <w:bCs/>
                <w:sz w:val="21"/>
                <w:szCs w:val="21"/>
              </w:rPr>
              <w:t>世界500强企业</w:t>
            </w:r>
          </w:p>
        </w:tc>
        <w:tc>
          <w:tcPr>
            <w:tcW w:w="862" w:type="dxa"/>
            <w:vAlign w:val="center"/>
          </w:tcPr>
          <w:p>
            <w:pPr>
              <w:spacing w:line="240" w:lineRule="auto"/>
              <w:jc w:val="center"/>
              <w:rPr>
                <w:b/>
                <w:bCs/>
                <w:sz w:val="21"/>
                <w:szCs w:val="21"/>
              </w:rPr>
            </w:pPr>
            <w:r>
              <w:rPr>
                <w:b/>
                <w:bCs/>
                <w:sz w:val="21"/>
                <w:szCs w:val="21"/>
              </w:rPr>
              <w:t>中国500强企业</w:t>
            </w:r>
          </w:p>
        </w:tc>
        <w:tc>
          <w:tcPr>
            <w:tcW w:w="889" w:type="dxa"/>
            <w:vAlign w:val="center"/>
          </w:tcPr>
          <w:p>
            <w:pPr>
              <w:spacing w:line="240" w:lineRule="auto"/>
              <w:jc w:val="center"/>
              <w:rPr>
                <w:b/>
                <w:bCs/>
                <w:sz w:val="21"/>
                <w:szCs w:val="21"/>
              </w:rPr>
            </w:pPr>
            <w:r>
              <w:rPr>
                <w:b/>
                <w:bCs/>
                <w:sz w:val="21"/>
                <w:szCs w:val="21"/>
              </w:rPr>
              <w:t>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28" w:type="dxa"/>
            <w:vAlign w:val="center"/>
          </w:tcPr>
          <w:p>
            <w:pPr>
              <w:spacing w:line="240" w:lineRule="auto"/>
              <w:jc w:val="center"/>
              <w:rPr>
                <w:sz w:val="21"/>
                <w:szCs w:val="21"/>
              </w:rPr>
            </w:pPr>
            <w:r>
              <w:rPr>
                <w:sz w:val="21"/>
                <w:szCs w:val="21"/>
              </w:rPr>
              <w:t>人数</w:t>
            </w:r>
          </w:p>
          <w:p>
            <w:pPr>
              <w:spacing w:line="240" w:lineRule="auto"/>
              <w:jc w:val="center"/>
              <w:rPr>
                <w:sz w:val="21"/>
                <w:szCs w:val="21"/>
              </w:rPr>
            </w:pPr>
            <w:r>
              <w:rPr>
                <w:sz w:val="21"/>
                <w:szCs w:val="21"/>
              </w:rPr>
              <w:t>（比例）</w:t>
            </w:r>
          </w:p>
        </w:tc>
        <w:tc>
          <w:tcPr>
            <w:tcW w:w="837" w:type="dxa"/>
            <w:vAlign w:val="center"/>
          </w:tcPr>
          <w:p>
            <w:pPr>
              <w:spacing w:line="240" w:lineRule="auto"/>
              <w:jc w:val="center"/>
              <w:rPr>
                <w:sz w:val="20"/>
                <w:szCs w:val="20"/>
              </w:rPr>
            </w:pPr>
            <w:r>
              <w:rPr>
                <w:sz w:val="20"/>
                <w:szCs w:val="20"/>
              </w:rPr>
              <w:t>4</w:t>
            </w:r>
          </w:p>
          <w:p>
            <w:pPr>
              <w:spacing w:line="240" w:lineRule="auto"/>
              <w:jc w:val="center"/>
              <w:rPr>
                <w:sz w:val="20"/>
                <w:szCs w:val="20"/>
              </w:rPr>
            </w:pPr>
            <w:r>
              <w:rPr>
                <w:sz w:val="20"/>
                <w:szCs w:val="20"/>
              </w:rPr>
              <w:t>（7.84%）</w:t>
            </w:r>
          </w:p>
        </w:tc>
        <w:tc>
          <w:tcPr>
            <w:tcW w:w="925" w:type="dxa"/>
            <w:vAlign w:val="center"/>
          </w:tcPr>
          <w:p>
            <w:pPr>
              <w:spacing w:line="240" w:lineRule="auto"/>
              <w:jc w:val="center"/>
              <w:rPr>
                <w:sz w:val="20"/>
                <w:szCs w:val="20"/>
              </w:rPr>
            </w:pPr>
            <w:r>
              <w:rPr>
                <w:sz w:val="20"/>
                <w:szCs w:val="20"/>
              </w:rPr>
              <w:t>1</w:t>
            </w:r>
          </w:p>
          <w:p>
            <w:pPr>
              <w:spacing w:line="240" w:lineRule="auto"/>
              <w:jc w:val="center"/>
              <w:rPr>
                <w:sz w:val="20"/>
                <w:szCs w:val="20"/>
              </w:rPr>
            </w:pPr>
            <w:r>
              <w:rPr>
                <w:sz w:val="20"/>
                <w:szCs w:val="20"/>
              </w:rPr>
              <w:t>（2.00%）</w:t>
            </w:r>
          </w:p>
        </w:tc>
        <w:tc>
          <w:tcPr>
            <w:tcW w:w="538" w:type="dxa"/>
            <w:vAlign w:val="center"/>
          </w:tcPr>
          <w:p>
            <w:pPr>
              <w:spacing w:line="240" w:lineRule="auto"/>
              <w:jc w:val="center"/>
              <w:rPr>
                <w:sz w:val="20"/>
                <w:szCs w:val="20"/>
              </w:rPr>
            </w:pPr>
            <w:r>
              <w:rPr>
                <w:sz w:val="20"/>
                <w:szCs w:val="20"/>
              </w:rPr>
              <w:t>0</w:t>
            </w:r>
          </w:p>
        </w:tc>
        <w:tc>
          <w:tcPr>
            <w:tcW w:w="775" w:type="dxa"/>
            <w:vAlign w:val="center"/>
          </w:tcPr>
          <w:p>
            <w:pPr>
              <w:spacing w:line="240" w:lineRule="auto"/>
              <w:jc w:val="center"/>
              <w:rPr>
                <w:sz w:val="20"/>
                <w:szCs w:val="20"/>
              </w:rPr>
            </w:pPr>
            <w:r>
              <w:rPr>
                <w:sz w:val="20"/>
                <w:szCs w:val="20"/>
              </w:rPr>
              <w:t>1</w:t>
            </w:r>
          </w:p>
          <w:p>
            <w:pPr>
              <w:spacing w:line="240" w:lineRule="auto"/>
              <w:jc w:val="center"/>
              <w:rPr>
                <w:sz w:val="20"/>
                <w:szCs w:val="20"/>
              </w:rPr>
            </w:pPr>
            <w:r>
              <w:rPr>
                <w:rFonts w:hint="eastAsia"/>
                <w:sz w:val="20"/>
                <w:szCs w:val="20"/>
              </w:rPr>
              <w:t>(</w:t>
            </w:r>
            <w:r>
              <w:rPr>
                <w:sz w:val="20"/>
                <w:szCs w:val="20"/>
              </w:rPr>
              <w:t>2.00%</w:t>
            </w:r>
            <w:r>
              <w:rPr>
                <w:rFonts w:hint="eastAsia"/>
                <w:sz w:val="20"/>
                <w:szCs w:val="20"/>
              </w:rPr>
              <w:t>)</w:t>
            </w:r>
          </w:p>
        </w:tc>
        <w:tc>
          <w:tcPr>
            <w:tcW w:w="837" w:type="dxa"/>
            <w:vAlign w:val="center"/>
          </w:tcPr>
          <w:p>
            <w:pPr>
              <w:spacing w:line="240" w:lineRule="auto"/>
              <w:jc w:val="center"/>
              <w:rPr>
                <w:sz w:val="20"/>
                <w:szCs w:val="20"/>
              </w:rPr>
            </w:pPr>
            <w:r>
              <w:rPr>
                <w:sz w:val="20"/>
                <w:szCs w:val="20"/>
              </w:rPr>
              <w:t>1</w:t>
            </w:r>
          </w:p>
          <w:p>
            <w:pPr>
              <w:spacing w:line="240" w:lineRule="auto"/>
              <w:jc w:val="center"/>
              <w:rPr>
                <w:sz w:val="20"/>
                <w:szCs w:val="20"/>
              </w:rPr>
            </w:pPr>
            <w:r>
              <w:rPr>
                <w:sz w:val="20"/>
                <w:szCs w:val="20"/>
              </w:rPr>
              <w:t>（2.00%）</w:t>
            </w:r>
          </w:p>
        </w:tc>
        <w:tc>
          <w:tcPr>
            <w:tcW w:w="813" w:type="dxa"/>
            <w:vAlign w:val="center"/>
          </w:tcPr>
          <w:p>
            <w:pPr>
              <w:spacing w:line="240" w:lineRule="auto"/>
              <w:jc w:val="center"/>
              <w:rPr>
                <w:sz w:val="20"/>
                <w:szCs w:val="20"/>
              </w:rPr>
            </w:pPr>
            <w:r>
              <w:rPr>
                <w:sz w:val="20"/>
                <w:szCs w:val="20"/>
              </w:rPr>
              <w:t>1</w:t>
            </w:r>
          </w:p>
          <w:p>
            <w:pPr>
              <w:spacing w:line="240" w:lineRule="auto"/>
              <w:jc w:val="center"/>
              <w:rPr>
                <w:sz w:val="20"/>
                <w:szCs w:val="20"/>
              </w:rPr>
            </w:pPr>
            <w:r>
              <w:rPr>
                <w:rFonts w:hint="eastAsia"/>
                <w:sz w:val="20"/>
                <w:szCs w:val="20"/>
              </w:rPr>
              <w:t>(</w:t>
            </w:r>
            <w:r>
              <w:rPr>
                <w:sz w:val="20"/>
                <w:szCs w:val="20"/>
              </w:rPr>
              <w:t>2.00%</w:t>
            </w:r>
            <w:r>
              <w:rPr>
                <w:rFonts w:hint="eastAsia"/>
                <w:sz w:val="20"/>
                <w:szCs w:val="20"/>
              </w:rPr>
              <w:t>)</w:t>
            </w:r>
          </w:p>
        </w:tc>
        <w:tc>
          <w:tcPr>
            <w:tcW w:w="562" w:type="dxa"/>
            <w:vAlign w:val="center"/>
          </w:tcPr>
          <w:p>
            <w:pPr>
              <w:spacing w:line="240" w:lineRule="auto"/>
              <w:jc w:val="center"/>
              <w:rPr>
                <w:sz w:val="20"/>
                <w:szCs w:val="20"/>
              </w:rPr>
            </w:pPr>
            <w:r>
              <w:rPr>
                <w:sz w:val="20"/>
                <w:szCs w:val="20"/>
              </w:rPr>
              <w:t>0</w:t>
            </w:r>
          </w:p>
        </w:tc>
        <w:tc>
          <w:tcPr>
            <w:tcW w:w="700" w:type="dxa"/>
            <w:vAlign w:val="center"/>
          </w:tcPr>
          <w:p>
            <w:pPr>
              <w:spacing w:line="240" w:lineRule="auto"/>
              <w:jc w:val="center"/>
              <w:rPr>
                <w:sz w:val="20"/>
                <w:szCs w:val="20"/>
              </w:rPr>
            </w:pPr>
            <w:r>
              <w:rPr>
                <w:sz w:val="20"/>
                <w:szCs w:val="20"/>
              </w:rPr>
              <w:t>0</w:t>
            </w:r>
          </w:p>
        </w:tc>
        <w:tc>
          <w:tcPr>
            <w:tcW w:w="637" w:type="dxa"/>
            <w:vAlign w:val="center"/>
          </w:tcPr>
          <w:p>
            <w:pPr>
              <w:spacing w:line="240" w:lineRule="auto"/>
              <w:jc w:val="center"/>
              <w:rPr>
                <w:sz w:val="20"/>
                <w:szCs w:val="20"/>
              </w:rPr>
            </w:pPr>
            <w:r>
              <w:rPr>
                <w:sz w:val="20"/>
                <w:szCs w:val="20"/>
              </w:rPr>
              <w:t>0</w:t>
            </w:r>
          </w:p>
        </w:tc>
        <w:tc>
          <w:tcPr>
            <w:tcW w:w="862" w:type="dxa"/>
            <w:vAlign w:val="center"/>
          </w:tcPr>
          <w:p>
            <w:pPr>
              <w:spacing w:line="240" w:lineRule="auto"/>
              <w:jc w:val="center"/>
              <w:rPr>
                <w:sz w:val="20"/>
                <w:szCs w:val="20"/>
              </w:rPr>
            </w:pPr>
            <w:r>
              <w:rPr>
                <w:sz w:val="20"/>
                <w:szCs w:val="20"/>
              </w:rPr>
              <w:t>9</w:t>
            </w:r>
          </w:p>
          <w:p>
            <w:pPr>
              <w:spacing w:line="240" w:lineRule="auto"/>
              <w:jc w:val="center"/>
              <w:rPr>
                <w:sz w:val="20"/>
                <w:szCs w:val="20"/>
              </w:rPr>
            </w:pPr>
            <w:r>
              <w:rPr>
                <w:rFonts w:hint="eastAsia"/>
                <w:sz w:val="20"/>
                <w:szCs w:val="20"/>
              </w:rPr>
              <w:t>(</w:t>
            </w:r>
            <w:r>
              <w:rPr>
                <w:sz w:val="20"/>
                <w:szCs w:val="20"/>
              </w:rPr>
              <w:t>17.64%</w:t>
            </w:r>
            <w:r>
              <w:rPr>
                <w:rFonts w:hint="eastAsia"/>
                <w:sz w:val="20"/>
                <w:szCs w:val="20"/>
              </w:rPr>
              <w:t>)</w:t>
            </w:r>
          </w:p>
        </w:tc>
        <w:tc>
          <w:tcPr>
            <w:tcW w:w="889" w:type="dxa"/>
            <w:vAlign w:val="center"/>
          </w:tcPr>
          <w:p>
            <w:pPr>
              <w:spacing w:line="240" w:lineRule="auto"/>
              <w:jc w:val="center"/>
              <w:rPr>
                <w:sz w:val="20"/>
                <w:szCs w:val="20"/>
              </w:rPr>
            </w:pPr>
            <w:r>
              <w:rPr>
                <w:sz w:val="20"/>
                <w:szCs w:val="20"/>
              </w:rPr>
              <w:t>44</w:t>
            </w:r>
          </w:p>
          <w:p>
            <w:pPr>
              <w:spacing w:line="240" w:lineRule="auto"/>
              <w:jc w:val="center"/>
              <w:rPr>
                <w:sz w:val="20"/>
                <w:szCs w:val="20"/>
              </w:rPr>
            </w:pPr>
            <w:r>
              <w:rPr>
                <w:rFonts w:hint="eastAsia"/>
                <w:sz w:val="20"/>
                <w:szCs w:val="20"/>
              </w:rPr>
              <w:t>(</w:t>
            </w:r>
            <w:r>
              <w:rPr>
                <w:sz w:val="20"/>
                <w:szCs w:val="20"/>
              </w:rPr>
              <w:t>86.27%</w:t>
            </w:r>
            <w:r>
              <w:rPr>
                <w:rFonts w:hint="eastAsia"/>
                <w:sz w:val="20"/>
                <w:szCs w:val="20"/>
              </w:rPr>
              <w:t>)</w:t>
            </w:r>
          </w:p>
        </w:tc>
      </w:tr>
    </w:tbl>
    <w:p>
      <w:pPr>
        <w:ind w:firstLine="480" w:firstLineChars="200"/>
      </w:pPr>
      <w:r>
        <w:t>（4）考研情况</w:t>
      </w:r>
    </w:p>
    <w:p>
      <w:pPr>
        <w:ind w:firstLine="480" w:firstLineChars="200"/>
      </w:pPr>
      <w:r>
        <w:t>毕业生国内升学26人，升学率29.89</w:t>
      </w:r>
      <w:r>
        <w:drawing>
          <wp:inline distT="0" distB="0" distL="0" distR="0">
            <wp:extent cx="76200" cy="13335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76200" cy="133350"/>
                    </a:xfrm>
                    <a:prstGeom prst="rect">
                      <a:avLst/>
                    </a:prstGeom>
                    <a:noFill/>
                    <a:ln>
                      <a:noFill/>
                    </a:ln>
                  </pic:spPr>
                </pic:pic>
              </a:graphicData>
            </a:graphic>
          </wp:inline>
        </w:drawing>
      </w:r>
      <w:r>
        <w:t>，其中考入</w:t>
      </w:r>
      <w:r>
        <w:rPr>
          <w:rFonts w:hint="eastAsia"/>
        </w:rPr>
        <w:t>“</w:t>
      </w:r>
      <w:r>
        <w:t>双一流</w:t>
      </w:r>
      <w:r>
        <w:rPr>
          <w:rFonts w:hint="eastAsia"/>
        </w:rPr>
        <w:t>”</w:t>
      </w:r>
      <w:r>
        <w:t>大学6人，占国内升学总人数的23.1%。升学学校主要是山东农业大学、燕山大学、中国科学院大学等。</w:t>
      </w:r>
    </w:p>
    <w:p>
      <w:pPr>
        <w:jc w:val="center"/>
        <w:rPr>
          <w:b/>
          <w:bCs/>
          <w:sz w:val="21"/>
          <w:szCs w:val="21"/>
        </w:rPr>
      </w:pPr>
      <w:r>
        <w:rPr>
          <w:b/>
          <w:bCs/>
          <w:sz w:val="21"/>
          <w:szCs w:val="21"/>
        </w:rPr>
        <w:t>表27.国内升学学校前5位统计表</w:t>
      </w:r>
    </w:p>
    <w:tbl>
      <w:tblPr>
        <w:tblStyle w:val="1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544"/>
        <w:gridCol w:w="3479"/>
        <w:gridCol w:w="1950"/>
        <w:gridCol w:w="187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72" w:type="pct"/>
            <w:vAlign w:val="center"/>
          </w:tcPr>
          <w:p>
            <w:pPr>
              <w:jc w:val="center"/>
              <w:rPr>
                <w:b/>
                <w:bCs/>
                <w:sz w:val="21"/>
                <w:szCs w:val="21"/>
              </w:rPr>
            </w:pPr>
            <w:r>
              <w:rPr>
                <w:b/>
                <w:bCs/>
                <w:sz w:val="21"/>
                <w:szCs w:val="21"/>
              </w:rPr>
              <w:t>序号</w:t>
            </w:r>
          </w:p>
        </w:tc>
        <w:tc>
          <w:tcPr>
            <w:tcW w:w="1964" w:type="pct"/>
            <w:vAlign w:val="center"/>
          </w:tcPr>
          <w:p>
            <w:pPr>
              <w:jc w:val="center"/>
              <w:rPr>
                <w:b/>
                <w:bCs/>
                <w:sz w:val="21"/>
                <w:szCs w:val="21"/>
              </w:rPr>
            </w:pPr>
            <w:r>
              <w:rPr>
                <w:b/>
                <w:bCs/>
                <w:sz w:val="21"/>
                <w:szCs w:val="21"/>
              </w:rPr>
              <w:t>升学学校名称</w:t>
            </w:r>
          </w:p>
        </w:tc>
        <w:tc>
          <w:tcPr>
            <w:tcW w:w="1101" w:type="pct"/>
            <w:vAlign w:val="center"/>
          </w:tcPr>
          <w:p>
            <w:pPr>
              <w:jc w:val="center"/>
              <w:rPr>
                <w:b/>
                <w:bCs/>
                <w:sz w:val="21"/>
                <w:szCs w:val="21"/>
              </w:rPr>
            </w:pPr>
            <w:r>
              <w:rPr>
                <w:b/>
                <w:bCs/>
                <w:sz w:val="21"/>
                <w:szCs w:val="21"/>
              </w:rPr>
              <w:t>升学人数</w:t>
            </w:r>
          </w:p>
        </w:tc>
        <w:tc>
          <w:tcPr>
            <w:tcW w:w="1060" w:type="pct"/>
            <w:vAlign w:val="center"/>
          </w:tcPr>
          <w:p>
            <w:pPr>
              <w:jc w:val="center"/>
              <w:rPr>
                <w:b/>
                <w:bCs/>
                <w:sz w:val="21"/>
                <w:szCs w:val="21"/>
              </w:rPr>
            </w:pPr>
            <w:r>
              <w:rPr>
                <w:b/>
                <w:bCs/>
                <w:sz w:val="21"/>
                <w:szCs w:val="21"/>
              </w:rPr>
              <w:t>比例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72" w:type="pct"/>
            <w:vAlign w:val="center"/>
          </w:tcPr>
          <w:p>
            <w:pPr>
              <w:jc w:val="center"/>
              <w:rPr>
                <w:sz w:val="21"/>
                <w:szCs w:val="21"/>
              </w:rPr>
            </w:pPr>
            <w:r>
              <w:rPr>
                <w:sz w:val="21"/>
                <w:szCs w:val="21"/>
              </w:rPr>
              <w:t>1</w:t>
            </w:r>
          </w:p>
        </w:tc>
        <w:tc>
          <w:tcPr>
            <w:tcW w:w="1964" w:type="pct"/>
            <w:vAlign w:val="center"/>
          </w:tcPr>
          <w:p>
            <w:pPr>
              <w:jc w:val="center"/>
              <w:rPr>
                <w:sz w:val="21"/>
                <w:szCs w:val="21"/>
              </w:rPr>
            </w:pPr>
            <w:r>
              <w:rPr>
                <w:sz w:val="21"/>
                <w:szCs w:val="21"/>
              </w:rPr>
              <w:t>山东农业大学</w:t>
            </w:r>
          </w:p>
        </w:tc>
        <w:tc>
          <w:tcPr>
            <w:tcW w:w="1101" w:type="pct"/>
            <w:vAlign w:val="center"/>
          </w:tcPr>
          <w:p>
            <w:pPr>
              <w:jc w:val="center"/>
              <w:rPr>
                <w:sz w:val="21"/>
                <w:szCs w:val="21"/>
              </w:rPr>
            </w:pPr>
            <w:r>
              <w:rPr>
                <w:sz w:val="21"/>
                <w:szCs w:val="21"/>
              </w:rPr>
              <w:t>10</w:t>
            </w:r>
          </w:p>
        </w:tc>
        <w:tc>
          <w:tcPr>
            <w:tcW w:w="1060" w:type="pct"/>
            <w:vAlign w:val="center"/>
          </w:tcPr>
          <w:p>
            <w:pPr>
              <w:jc w:val="center"/>
              <w:rPr>
                <w:sz w:val="21"/>
                <w:szCs w:val="21"/>
              </w:rPr>
            </w:pPr>
            <w:r>
              <w:rPr>
                <w:sz w:val="21"/>
                <w:szCs w:val="21"/>
              </w:rPr>
              <w:t>38.46%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72" w:type="pct"/>
            <w:vAlign w:val="center"/>
          </w:tcPr>
          <w:p>
            <w:pPr>
              <w:jc w:val="center"/>
              <w:rPr>
                <w:sz w:val="21"/>
                <w:szCs w:val="21"/>
              </w:rPr>
            </w:pPr>
            <w:r>
              <w:rPr>
                <w:sz w:val="21"/>
                <w:szCs w:val="21"/>
              </w:rPr>
              <w:t>2</w:t>
            </w:r>
          </w:p>
        </w:tc>
        <w:tc>
          <w:tcPr>
            <w:tcW w:w="1964" w:type="pct"/>
            <w:vAlign w:val="center"/>
          </w:tcPr>
          <w:p>
            <w:pPr>
              <w:jc w:val="center"/>
              <w:rPr>
                <w:sz w:val="21"/>
                <w:szCs w:val="21"/>
              </w:rPr>
            </w:pPr>
            <w:r>
              <w:rPr>
                <w:sz w:val="21"/>
                <w:szCs w:val="21"/>
              </w:rPr>
              <w:t>燕山大学</w:t>
            </w:r>
          </w:p>
        </w:tc>
        <w:tc>
          <w:tcPr>
            <w:tcW w:w="1101" w:type="pct"/>
            <w:vAlign w:val="center"/>
          </w:tcPr>
          <w:p>
            <w:pPr>
              <w:jc w:val="center"/>
              <w:rPr>
                <w:sz w:val="21"/>
                <w:szCs w:val="21"/>
              </w:rPr>
            </w:pPr>
            <w:r>
              <w:rPr>
                <w:sz w:val="21"/>
                <w:szCs w:val="21"/>
              </w:rPr>
              <w:t>2</w:t>
            </w:r>
          </w:p>
        </w:tc>
        <w:tc>
          <w:tcPr>
            <w:tcW w:w="1060" w:type="pct"/>
            <w:vAlign w:val="center"/>
          </w:tcPr>
          <w:p>
            <w:pPr>
              <w:jc w:val="center"/>
              <w:rPr>
                <w:sz w:val="21"/>
                <w:szCs w:val="21"/>
              </w:rPr>
            </w:pPr>
            <w:r>
              <w:rPr>
                <w:sz w:val="21"/>
                <w:szCs w:val="21"/>
              </w:rPr>
              <w:t>7.69%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72" w:type="pct"/>
            <w:vAlign w:val="center"/>
          </w:tcPr>
          <w:p>
            <w:pPr>
              <w:jc w:val="center"/>
              <w:rPr>
                <w:sz w:val="21"/>
                <w:szCs w:val="21"/>
              </w:rPr>
            </w:pPr>
            <w:r>
              <w:rPr>
                <w:sz w:val="21"/>
                <w:szCs w:val="21"/>
              </w:rPr>
              <w:t>3</w:t>
            </w:r>
          </w:p>
        </w:tc>
        <w:tc>
          <w:tcPr>
            <w:tcW w:w="1964" w:type="pct"/>
            <w:vAlign w:val="center"/>
          </w:tcPr>
          <w:p>
            <w:pPr>
              <w:jc w:val="center"/>
              <w:rPr>
                <w:sz w:val="21"/>
                <w:szCs w:val="21"/>
              </w:rPr>
            </w:pPr>
            <w:r>
              <w:rPr>
                <w:sz w:val="21"/>
                <w:szCs w:val="21"/>
              </w:rPr>
              <w:t>中国科学院大学</w:t>
            </w:r>
          </w:p>
        </w:tc>
        <w:tc>
          <w:tcPr>
            <w:tcW w:w="1101" w:type="pct"/>
            <w:vAlign w:val="center"/>
          </w:tcPr>
          <w:p>
            <w:pPr>
              <w:jc w:val="center"/>
              <w:rPr>
                <w:sz w:val="21"/>
                <w:szCs w:val="21"/>
              </w:rPr>
            </w:pPr>
            <w:r>
              <w:rPr>
                <w:sz w:val="21"/>
                <w:szCs w:val="21"/>
              </w:rPr>
              <w:t>1</w:t>
            </w:r>
          </w:p>
        </w:tc>
        <w:tc>
          <w:tcPr>
            <w:tcW w:w="1060" w:type="pct"/>
            <w:vAlign w:val="center"/>
          </w:tcPr>
          <w:p>
            <w:pPr>
              <w:jc w:val="center"/>
              <w:rPr>
                <w:sz w:val="21"/>
                <w:szCs w:val="21"/>
              </w:rPr>
            </w:pPr>
            <w:r>
              <w:rPr>
                <w:sz w:val="21"/>
                <w:szCs w:val="21"/>
              </w:rPr>
              <w:t>3.85%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72" w:type="pct"/>
            <w:vAlign w:val="center"/>
          </w:tcPr>
          <w:p>
            <w:pPr>
              <w:jc w:val="center"/>
              <w:rPr>
                <w:sz w:val="21"/>
                <w:szCs w:val="21"/>
              </w:rPr>
            </w:pPr>
            <w:r>
              <w:rPr>
                <w:sz w:val="21"/>
                <w:szCs w:val="21"/>
              </w:rPr>
              <w:t>4</w:t>
            </w:r>
          </w:p>
        </w:tc>
        <w:tc>
          <w:tcPr>
            <w:tcW w:w="1964" w:type="pct"/>
            <w:vAlign w:val="center"/>
          </w:tcPr>
          <w:p>
            <w:pPr>
              <w:jc w:val="center"/>
              <w:rPr>
                <w:sz w:val="21"/>
                <w:szCs w:val="21"/>
              </w:rPr>
            </w:pPr>
            <w:r>
              <w:rPr>
                <w:sz w:val="21"/>
                <w:szCs w:val="21"/>
              </w:rPr>
              <w:t>中国地质大学(武汉)</w:t>
            </w:r>
          </w:p>
        </w:tc>
        <w:tc>
          <w:tcPr>
            <w:tcW w:w="1101" w:type="pct"/>
            <w:vAlign w:val="center"/>
          </w:tcPr>
          <w:p>
            <w:pPr>
              <w:jc w:val="center"/>
              <w:rPr>
                <w:sz w:val="21"/>
                <w:szCs w:val="21"/>
              </w:rPr>
            </w:pPr>
            <w:r>
              <w:rPr>
                <w:sz w:val="21"/>
                <w:szCs w:val="21"/>
              </w:rPr>
              <w:t>1</w:t>
            </w:r>
          </w:p>
        </w:tc>
        <w:tc>
          <w:tcPr>
            <w:tcW w:w="1060" w:type="pct"/>
            <w:vAlign w:val="center"/>
          </w:tcPr>
          <w:p>
            <w:pPr>
              <w:jc w:val="center"/>
              <w:rPr>
                <w:sz w:val="21"/>
                <w:szCs w:val="21"/>
              </w:rPr>
            </w:pPr>
            <w:r>
              <w:rPr>
                <w:sz w:val="21"/>
                <w:szCs w:val="21"/>
              </w:rPr>
              <w:t>3.85%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72" w:type="pct"/>
            <w:vAlign w:val="center"/>
          </w:tcPr>
          <w:p>
            <w:pPr>
              <w:jc w:val="center"/>
              <w:rPr>
                <w:sz w:val="21"/>
                <w:szCs w:val="21"/>
              </w:rPr>
            </w:pPr>
            <w:r>
              <w:rPr>
                <w:sz w:val="21"/>
                <w:szCs w:val="21"/>
              </w:rPr>
              <w:t>5</w:t>
            </w:r>
          </w:p>
        </w:tc>
        <w:tc>
          <w:tcPr>
            <w:tcW w:w="1964" w:type="pct"/>
            <w:vAlign w:val="center"/>
          </w:tcPr>
          <w:p>
            <w:pPr>
              <w:jc w:val="center"/>
              <w:rPr>
                <w:sz w:val="21"/>
                <w:szCs w:val="21"/>
              </w:rPr>
            </w:pPr>
            <w:r>
              <w:rPr>
                <w:sz w:val="21"/>
                <w:szCs w:val="21"/>
              </w:rPr>
              <w:t>山东大学</w:t>
            </w:r>
          </w:p>
        </w:tc>
        <w:tc>
          <w:tcPr>
            <w:tcW w:w="1101" w:type="pct"/>
            <w:vAlign w:val="center"/>
          </w:tcPr>
          <w:p>
            <w:pPr>
              <w:jc w:val="center"/>
              <w:rPr>
                <w:sz w:val="21"/>
                <w:szCs w:val="21"/>
              </w:rPr>
            </w:pPr>
            <w:r>
              <w:rPr>
                <w:sz w:val="21"/>
                <w:szCs w:val="21"/>
              </w:rPr>
              <w:t>1</w:t>
            </w:r>
          </w:p>
        </w:tc>
        <w:tc>
          <w:tcPr>
            <w:tcW w:w="1060" w:type="pct"/>
            <w:vAlign w:val="center"/>
          </w:tcPr>
          <w:p>
            <w:pPr>
              <w:jc w:val="center"/>
              <w:rPr>
                <w:sz w:val="21"/>
                <w:szCs w:val="21"/>
              </w:rPr>
            </w:pPr>
            <w:r>
              <w:rPr>
                <w:sz w:val="21"/>
                <w:szCs w:val="21"/>
              </w:rPr>
              <w:t>3.85%</w:t>
            </w:r>
          </w:p>
        </w:tc>
      </w:tr>
    </w:tbl>
    <w:p>
      <w:pPr>
        <w:ind w:firstLine="480" w:firstLineChars="200"/>
      </w:pPr>
      <w:r>
        <w:t>（5）就业工作的专业对口情况</w:t>
      </w:r>
    </w:p>
    <w:p>
      <w:pPr>
        <w:ind w:firstLine="480" w:firstLineChars="200"/>
      </w:pPr>
      <w:r>
        <w:t>说明：本部分已就业总人数，不包括升学、出国（境）、应征入伍等。</w:t>
      </w:r>
    </w:p>
    <w:p>
      <w:pPr>
        <w:ind w:firstLine="480" w:firstLineChars="200"/>
      </w:pPr>
      <w:r>
        <w:t>毕业生当前所在工作单位或者所从事工作岗位与所学专业对口率较高的共24人，占已就业总人数的47.06%。主要集中在豪迈集团、北汽福田汽车股份有限公司时代领航卡车工厂、日照魏牌汽车有限公司、山东恒瑞德电力设备有限公司、长城汽车股份有限公司等省内外企业。</w:t>
      </w:r>
    </w:p>
    <w:p>
      <w:pPr>
        <w:jc w:val="center"/>
        <w:rPr>
          <w:b/>
          <w:bCs/>
          <w:sz w:val="21"/>
          <w:szCs w:val="21"/>
        </w:rPr>
      </w:pPr>
      <w:r>
        <w:rPr>
          <w:b/>
          <w:bCs/>
          <w:sz w:val="21"/>
          <w:szCs w:val="21"/>
        </w:rPr>
        <w:t>表28.毕业生专业对口情况统计表</w:t>
      </w:r>
    </w:p>
    <w:tbl>
      <w:tblPr>
        <w:tblStyle w:val="1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709"/>
        <w:gridCol w:w="2424"/>
        <w:gridCol w:w="1930"/>
        <w:gridCol w:w="178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30" w:type="pct"/>
            <w:vAlign w:val="center"/>
          </w:tcPr>
          <w:p>
            <w:pPr>
              <w:jc w:val="center"/>
              <w:rPr>
                <w:b/>
                <w:bCs/>
                <w:sz w:val="21"/>
                <w:szCs w:val="21"/>
              </w:rPr>
            </w:pPr>
            <w:r>
              <w:rPr>
                <w:b/>
                <w:bCs/>
                <w:sz w:val="21"/>
                <w:szCs w:val="21"/>
              </w:rPr>
              <w:t>就业方式</w:t>
            </w:r>
          </w:p>
        </w:tc>
        <w:tc>
          <w:tcPr>
            <w:tcW w:w="1369" w:type="pct"/>
            <w:vAlign w:val="center"/>
          </w:tcPr>
          <w:p>
            <w:pPr>
              <w:jc w:val="center"/>
              <w:rPr>
                <w:b/>
                <w:bCs/>
                <w:sz w:val="21"/>
                <w:szCs w:val="21"/>
              </w:rPr>
            </w:pPr>
            <w:r>
              <w:rPr>
                <w:b/>
                <w:bCs/>
                <w:sz w:val="21"/>
                <w:szCs w:val="21"/>
              </w:rPr>
              <w:t>企业就业</w:t>
            </w:r>
          </w:p>
        </w:tc>
        <w:tc>
          <w:tcPr>
            <w:tcW w:w="1090" w:type="pct"/>
            <w:vAlign w:val="center"/>
          </w:tcPr>
          <w:p>
            <w:pPr>
              <w:jc w:val="center"/>
              <w:rPr>
                <w:b/>
                <w:bCs/>
                <w:sz w:val="21"/>
                <w:szCs w:val="21"/>
              </w:rPr>
            </w:pPr>
            <w:r>
              <w:rPr>
                <w:b/>
                <w:bCs/>
                <w:sz w:val="21"/>
                <w:szCs w:val="21"/>
              </w:rPr>
              <w:t>其他</w:t>
            </w:r>
          </w:p>
        </w:tc>
        <w:tc>
          <w:tcPr>
            <w:tcW w:w="1010" w:type="pct"/>
            <w:vAlign w:val="center"/>
          </w:tcPr>
          <w:p>
            <w:pPr>
              <w:jc w:val="center"/>
              <w:rPr>
                <w:b/>
                <w:bCs/>
                <w:sz w:val="21"/>
                <w:szCs w:val="21"/>
              </w:rPr>
            </w:pPr>
            <w:r>
              <w:rPr>
                <w:b/>
                <w:bCs/>
                <w:sz w:val="21"/>
                <w:szCs w:val="21"/>
              </w:rPr>
              <w:t>合计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30" w:type="pct"/>
            <w:vAlign w:val="center"/>
          </w:tcPr>
          <w:p>
            <w:pPr>
              <w:jc w:val="center"/>
              <w:rPr>
                <w:sz w:val="21"/>
                <w:szCs w:val="21"/>
              </w:rPr>
            </w:pPr>
            <w:r>
              <w:rPr>
                <w:sz w:val="21"/>
                <w:szCs w:val="21"/>
              </w:rPr>
              <w:t>对口就业人数</w:t>
            </w:r>
          </w:p>
        </w:tc>
        <w:tc>
          <w:tcPr>
            <w:tcW w:w="1369" w:type="pct"/>
            <w:vAlign w:val="center"/>
          </w:tcPr>
          <w:p>
            <w:pPr>
              <w:jc w:val="center"/>
              <w:rPr>
                <w:sz w:val="21"/>
                <w:szCs w:val="21"/>
              </w:rPr>
            </w:pPr>
            <w:r>
              <w:rPr>
                <w:sz w:val="21"/>
                <w:szCs w:val="21"/>
              </w:rPr>
              <w:t>24</w:t>
            </w:r>
          </w:p>
        </w:tc>
        <w:tc>
          <w:tcPr>
            <w:tcW w:w="1090" w:type="pct"/>
            <w:vAlign w:val="center"/>
          </w:tcPr>
          <w:p>
            <w:pPr>
              <w:jc w:val="center"/>
              <w:rPr>
                <w:sz w:val="21"/>
                <w:szCs w:val="21"/>
              </w:rPr>
            </w:pPr>
            <w:r>
              <w:rPr>
                <w:sz w:val="21"/>
                <w:szCs w:val="21"/>
              </w:rPr>
              <w:t>27</w:t>
            </w:r>
          </w:p>
        </w:tc>
        <w:tc>
          <w:tcPr>
            <w:tcW w:w="1010" w:type="pct"/>
            <w:vAlign w:val="center"/>
          </w:tcPr>
          <w:p>
            <w:pPr>
              <w:jc w:val="center"/>
              <w:rPr>
                <w:sz w:val="21"/>
                <w:szCs w:val="21"/>
              </w:rPr>
            </w:pPr>
            <w:r>
              <w:rPr>
                <w:sz w:val="21"/>
                <w:szCs w:val="21"/>
              </w:rPr>
              <w:t>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30" w:type="pct"/>
            <w:vAlign w:val="center"/>
          </w:tcPr>
          <w:p>
            <w:pPr>
              <w:jc w:val="center"/>
              <w:rPr>
                <w:sz w:val="21"/>
                <w:szCs w:val="21"/>
              </w:rPr>
            </w:pPr>
            <w:r>
              <w:rPr>
                <w:sz w:val="21"/>
                <w:szCs w:val="21"/>
              </w:rPr>
              <w:t>占比</w:t>
            </w:r>
          </w:p>
        </w:tc>
        <w:tc>
          <w:tcPr>
            <w:tcW w:w="1369" w:type="pct"/>
            <w:vAlign w:val="center"/>
          </w:tcPr>
          <w:p>
            <w:pPr>
              <w:jc w:val="center"/>
              <w:rPr>
                <w:sz w:val="21"/>
                <w:szCs w:val="21"/>
              </w:rPr>
            </w:pPr>
            <w:r>
              <w:rPr>
                <w:sz w:val="21"/>
                <w:szCs w:val="21"/>
              </w:rPr>
              <w:t>47.06%</w:t>
            </w:r>
          </w:p>
        </w:tc>
        <w:tc>
          <w:tcPr>
            <w:tcW w:w="1090" w:type="pct"/>
            <w:vAlign w:val="center"/>
          </w:tcPr>
          <w:p>
            <w:pPr>
              <w:jc w:val="center"/>
              <w:rPr>
                <w:sz w:val="21"/>
                <w:szCs w:val="21"/>
              </w:rPr>
            </w:pPr>
            <w:r>
              <w:rPr>
                <w:sz w:val="21"/>
                <w:szCs w:val="21"/>
              </w:rPr>
              <w:t>52.94%</w:t>
            </w:r>
          </w:p>
        </w:tc>
        <w:tc>
          <w:tcPr>
            <w:tcW w:w="1010" w:type="pct"/>
            <w:vAlign w:val="center"/>
          </w:tcPr>
          <w:p>
            <w:pPr>
              <w:jc w:val="center"/>
              <w:rPr>
                <w:sz w:val="21"/>
                <w:szCs w:val="21"/>
              </w:rPr>
            </w:pPr>
            <w:r>
              <w:rPr>
                <w:sz w:val="21"/>
                <w:szCs w:val="21"/>
              </w:rPr>
              <w:t>60.92%</w:t>
            </w:r>
          </w:p>
        </w:tc>
      </w:tr>
    </w:tbl>
    <w:p>
      <w:pPr>
        <w:ind w:firstLine="480" w:firstLineChars="200"/>
        <w:rPr>
          <w:rFonts w:eastAsia="黑体"/>
        </w:rPr>
      </w:pPr>
    </w:p>
    <w:p>
      <w:pPr>
        <w:ind w:firstLine="480" w:firstLineChars="200"/>
        <w:rPr>
          <w:rFonts w:eastAsia="黑体"/>
        </w:rPr>
      </w:pPr>
      <w:r>
        <w:rPr>
          <w:rFonts w:eastAsia="黑体"/>
        </w:rPr>
        <w:t>3.未就业毕业生情况</w:t>
      </w:r>
    </w:p>
    <w:p>
      <w:pPr>
        <w:ind w:firstLine="480" w:firstLineChars="200"/>
      </w:pPr>
      <w:r>
        <w:t>未就业毕业生10人，通过调研发现，未就业原因主要是待就业，占未就业毕业生的90%，其次是不就业拟升学，占未就业毕业生的10%。</w:t>
      </w:r>
    </w:p>
    <w:p>
      <w:pPr>
        <w:jc w:val="center"/>
        <w:rPr>
          <w:b/>
          <w:bCs/>
          <w:sz w:val="21"/>
          <w:szCs w:val="21"/>
        </w:rPr>
      </w:pPr>
      <w:r>
        <w:rPr>
          <w:b/>
          <w:bCs/>
          <w:sz w:val="21"/>
          <w:szCs w:val="21"/>
        </w:rPr>
        <w:t>表29.毕业生未就业原因统计表</w:t>
      </w:r>
    </w:p>
    <w:tbl>
      <w:tblPr>
        <w:tblStyle w:val="17"/>
        <w:tblW w:w="8700" w:type="dxa"/>
        <w:tblInd w:w="23" w:type="dxa"/>
        <w:tblLayout w:type="fixed"/>
        <w:tblCellMar>
          <w:top w:w="0" w:type="dxa"/>
          <w:left w:w="0" w:type="dxa"/>
          <w:bottom w:w="0" w:type="dxa"/>
          <w:right w:w="0" w:type="dxa"/>
        </w:tblCellMar>
      </w:tblPr>
      <w:tblGrid>
        <w:gridCol w:w="1113"/>
        <w:gridCol w:w="3177"/>
        <w:gridCol w:w="2055"/>
        <w:gridCol w:w="2355"/>
      </w:tblGrid>
      <w:tr>
        <w:tblPrEx>
          <w:tblCellMar>
            <w:top w:w="0" w:type="dxa"/>
            <w:left w:w="0" w:type="dxa"/>
            <w:bottom w:w="0" w:type="dxa"/>
            <w:right w:w="0" w:type="dxa"/>
          </w:tblCellMar>
        </w:tblPrEx>
        <w:trPr>
          <w:trHeight w:val="340" w:hRule="atLeast"/>
        </w:trPr>
        <w:tc>
          <w:tcPr>
            <w:tcW w:w="1113"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b/>
                <w:bCs/>
                <w:sz w:val="21"/>
                <w:szCs w:val="21"/>
              </w:rPr>
            </w:pPr>
            <w:r>
              <w:rPr>
                <w:b/>
                <w:bCs/>
                <w:sz w:val="21"/>
                <w:szCs w:val="21"/>
              </w:rPr>
              <w:t>序号</w:t>
            </w:r>
          </w:p>
        </w:tc>
        <w:tc>
          <w:tcPr>
            <w:tcW w:w="3177"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b/>
                <w:bCs/>
                <w:sz w:val="21"/>
                <w:szCs w:val="21"/>
              </w:rPr>
            </w:pPr>
            <w:r>
              <w:rPr>
                <w:b/>
                <w:bCs/>
                <w:sz w:val="21"/>
                <w:szCs w:val="21"/>
              </w:rPr>
              <w:t>未就业原因</w:t>
            </w:r>
          </w:p>
        </w:tc>
        <w:tc>
          <w:tcPr>
            <w:tcW w:w="2055"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b/>
                <w:bCs/>
                <w:sz w:val="21"/>
                <w:szCs w:val="21"/>
              </w:rPr>
            </w:pPr>
            <w:r>
              <w:rPr>
                <w:b/>
                <w:bCs/>
                <w:sz w:val="21"/>
                <w:szCs w:val="21"/>
              </w:rPr>
              <w:t>人数</w:t>
            </w:r>
          </w:p>
        </w:tc>
        <w:tc>
          <w:tcPr>
            <w:tcW w:w="2355"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b/>
                <w:bCs/>
                <w:sz w:val="21"/>
                <w:szCs w:val="21"/>
              </w:rPr>
            </w:pPr>
            <w:r>
              <w:rPr>
                <w:b/>
                <w:bCs/>
                <w:sz w:val="21"/>
                <w:szCs w:val="21"/>
              </w:rPr>
              <w:t>占未就业毕业生比例</w:t>
            </w:r>
          </w:p>
        </w:tc>
      </w:tr>
      <w:tr>
        <w:tblPrEx>
          <w:tblCellMar>
            <w:top w:w="0" w:type="dxa"/>
            <w:left w:w="0" w:type="dxa"/>
            <w:bottom w:w="0" w:type="dxa"/>
            <w:right w:w="0" w:type="dxa"/>
          </w:tblCellMar>
        </w:tblPrEx>
        <w:trPr>
          <w:trHeight w:val="340" w:hRule="atLeast"/>
        </w:trPr>
        <w:tc>
          <w:tcPr>
            <w:tcW w:w="1113"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sz w:val="21"/>
                <w:szCs w:val="21"/>
              </w:rPr>
            </w:pPr>
            <w:r>
              <w:rPr>
                <w:sz w:val="21"/>
                <w:szCs w:val="21"/>
              </w:rPr>
              <w:t>1</w:t>
            </w:r>
          </w:p>
        </w:tc>
        <w:tc>
          <w:tcPr>
            <w:tcW w:w="3177"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sz w:val="21"/>
                <w:szCs w:val="21"/>
              </w:rPr>
            </w:pPr>
            <w:r>
              <w:rPr>
                <w:sz w:val="21"/>
                <w:szCs w:val="21"/>
              </w:rPr>
              <w:t>求职中</w:t>
            </w:r>
          </w:p>
        </w:tc>
        <w:tc>
          <w:tcPr>
            <w:tcW w:w="2055"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sz w:val="21"/>
                <w:szCs w:val="21"/>
              </w:rPr>
            </w:pPr>
            <w:r>
              <w:rPr>
                <w:sz w:val="21"/>
                <w:szCs w:val="21"/>
              </w:rPr>
              <w:t>9</w:t>
            </w:r>
          </w:p>
        </w:tc>
        <w:tc>
          <w:tcPr>
            <w:tcW w:w="2355"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sz w:val="21"/>
                <w:szCs w:val="21"/>
              </w:rPr>
            </w:pPr>
            <w:r>
              <w:rPr>
                <w:sz w:val="21"/>
                <w:szCs w:val="21"/>
              </w:rPr>
              <w:t>90%</w:t>
            </w:r>
          </w:p>
        </w:tc>
      </w:tr>
      <w:tr>
        <w:tblPrEx>
          <w:tblCellMar>
            <w:top w:w="0" w:type="dxa"/>
            <w:left w:w="0" w:type="dxa"/>
            <w:bottom w:w="0" w:type="dxa"/>
            <w:right w:w="0" w:type="dxa"/>
          </w:tblCellMar>
        </w:tblPrEx>
        <w:trPr>
          <w:trHeight w:val="340" w:hRule="atLeast"/>
        </w:trPr>
        <w:tc>
          <w:tcPr>
            <w:tcW w:w="1113"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sz w:val="21"/>
                <w:szCs w:val="21"/>
              </w:rPr>
            </w:pPr>
            <w:r>
              <w:rPr>
                <w:sz w:val="21"/>
                <w:szCs w:val="21"/>
              </w:rPr>
              <w:t>2</w:t>
            </w:r>
          </w:p>
        </w:tc>
        <w:tc>
          <w:tcPr>
            <w:tcW w:w="3177"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sz w:val="21"/>
                <w:szCs w:val="21"/>
              </w:rPr>
            </w:pPr>
            <w:r>
              <w:rPr>
                <w:sz w:val="21"/>
                <w:szCs w:val="21"/>
              </w:rPr>
              <w:t>不就业拟升学</w:t>
            </w:r>
          </w:p>
        </w:tc>
        <w:tc>
          <w:tcPr>
            <w:tcW w:w="2055"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sz w:val="21"/>
                <w:szCs w:val="21"/>
              </w:rPr>
            </w:pPr>
            <w:r>
              <w:rPr>
                <w:sz w:val="21"/>
                <w:szCs w:val="21"/>
              </w:rPr>
              <w:t>1</w:t>
            </w:r>
          </w:p>
        </w:tc>
        <w:tc>
          <w:tcPr>
            <w:tcW w:w="2355" w:type="dxa"/>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pPr>
              <w:jc w:val="center"/>
              <w:rPr>
                <w:sz w:val="21"/>
                <w:szCs w:val="21"/>
              </w:rPr>
            </w:pPr>
            <w:r>
              <w:rPr>
                <w:sz w:val="21"/>
                <w:szCs w:val="21"/>
              </w:rPr>
              <w:t>10%</w:t>
            </w:r>
          </w:p>
        </w:tc>
      </w:tr>
    </w:tbl>
    <w:p>
      <w:pPr>
        <w:ind w:firstLine="480" w:firstLineChars="200"/>
      </w:pPr>
      <w:r>
        <w:t>针对性举措：</w:t>
      </w:r>
    </w:p>
    <w:p>
      <w:pPr>
        <w:ind w:firstLine="480" w:firstLineChars="200"/>
      </w:pPr>
      <w:r>
        <w:t>（1）摸底调查，分类指导。通过各毕业班学生党支部及班干开展摸底调查，了解今年毕业生的准确数据和详细信息，并对收集到的信息整理分类，分为经济困难类、就业资源缺乏类、缺乏自信类、形象能力不强类、表达能力较差类等，针对不同类别，进行分类指导。有针对性的推荐其就业，并建立就业、考研、考公等交流平台，实时跟踪服务，切实为学生考研就业保驾护航。</w:t>
      </w:r>
    </w:p>
    <w:p>
      <w:pPr>
        <w:ind w:firstLine="480" w:firstLineChars="200"/>
      </w:pPr>
      <w:r>
        <w:t>（2）在毕业生择业的关键期，学院按照就业摸排精准化、就业指导人本化、就业帮扶目标化的原则，积极为考研同学开展考研备考、面试技巧、调剂技巧等辅导报告会。</w:t>
      </w:r>
    </w:p>
    <w:p>
      <w:pPr>
        <w:ind w:firstLine="480" w:firstLineChars="200"/>
      </w:pPr>
      <w:r>
        <w:t>（3）对未确定目标或目标定位不准的毕业生，重点关注，帮助毕业生理性分析原因，对他们最希望得到的帮扶等问题进行全面调查，结合毕业生求职意愿、就业能力及学院毕业生近几年就业规律和特点进行帮扶指导，合理确定求职择业目标。</w:t>
      </w:r>
    </w:p>
    <w:p>
      <w:pPr>
        <w:ind w:firstLine="480" w:firstLineChars="200"/>
      </w:pPr>
      <w:r>
        <w:t>（4）积极沟通，争取家庭支持。就业不仅是学校工作，个人问题也是家庭问题，毕业生的就业往往对其家庭来说更加迫切。我院要求各班制作好家庭联系表，班主任经常性与毕业生家长联系，了解毕业生的质家庭状况，了解家长对孩子的就业希望，向家长讲解就业形势，及时反馈学生的学习、就业情况。通过沟通交流，争取到毕业生家长的理解支持，一定程度减轻毕业生的就业心理压力。</w:t>
      </w:r>
    </w:p>
    <w:p>
      <w:pPr>
        <w:ind w:firstLine="480" w:firstLineChars="200"/>
      </w:pPr>
      <w:r>
        <w:t>目前我国正面临着经济发展转型、结构调整及重视发展质量的巨大机遇和挑战，如何在与世界他国融合中完成自我升级，机—电结合业已成为我国制造业发展的必然趋势，因此，对机电工程专业人才的需求将极为迫切，因此，机电专业招生就业情况好于其他专业。根据中国人事科学研究院最新发布的《中国人才报告》预计：全国对机电一体化技术人才的需求比较旺盛，全国机电应用型人才的年市场需求量在500万人左右，且每年以10%的速度增长，而目前全国开设机电及相关专业的高职院校有600余所，每年培养大约15万的机电一体化高技能人才，全国300余所开设机电及相关专业的本科院校年毕业生大约为10万，其他途径培养的大约30万人，人才需求量缺口巨大，仅数控技术岗位人才需求量缺口就达30万人。</w:t>
      </w:r>
    </w:p>
    <w:p>
      <w:pPr>
        <w:ind w:firstLine="480" w:firstLineChars="200"/>
      </w:pPr>
      <w:r>
        <w:t>正是看到了这一极有发展潜力的方向，学生考取本专业意愿极为强烈，从2004年本专业就实现一本第一志愿招生，且录取分数线高于招生提档线5分以上，学生的综合素质有较好的基础，这为本专业学生培养质量提高奠定坚实基础。</w:t>
      </w:r>
    </w:p>
    <w:p>
      <w:pPr>
        <w:ind w:firstLine="480" w:firstLineChars="200"/>
      </w:pPr>
      <w:r>
        <w:t>通过调研，机械电子工程专业从事的职业岗位(群)有机械设计制造、电工电子、计算机网络、机电一体化控制等方面，机电产品性能及机电设备安装、调试、运行、检测与使用维修方面，机电一体化产品的设计开发、制造及设备控制、生产组织管理，可承担电子、机械、信息、及其交叉领域中的相关技术工作。稳定而熟练的操作工是完成生产任务的基本保障，而要使产品在生产过程中具有高质量，设备维护人员又是重要的一方面，具有更熟练的操作技能或更宽的知识面或有复合技能的人更会受到企业的欢迎。</w:t>
      </w:r>
    </w:p>
    <w:p>
      <w:pPr>
        <w:ind w:firstLine="480" w:firstLineChars="200"/>
      </w:pPr>
      <w:r>
        <w:t>社会对专业的评价及要求是：机电一体化技术专业毕业生应能很快适应生产第一线的工艺设计与编制、加工制造、供配电设施的安全运营保障、自动化生产的数控程序编制及自动控制操作、检测、检验、调试、机电设备的科学管理、故障诊断与维修等技术含量较高的工作岗位，成为能动手实干的工程技术人员和主力军。</w:t>
      </w:r>
    </w:p>
    <w:p>
      <w:pPr>
        <w:ind w:firstLine="480" w:firstLineChars="200"/>
      </w:pPr>
      <w:r>
        <w:t>机电工程专业职业岗位(群)及工作任务的知识、能力和素质的要求是：</w:t>
      </w:r>
    </w:p>
    <w:p>
      <w:pPr>
        <w:ind w:firstLine="480" w:firstLineChars="200"/>
        <w:rPr>
          <w:rFonts w:eastAsia="黑体"/>
        </w:rPr>
      </w:pPr>
      <w:r>
        <w:rPr>
          <w:rFonts w:eastAsia="黑体"/>
        </w:rPr>
        <w:t>1.知识结构</w:t>
      </w:r>
    </w:p>
    <w:p>
      <w:pPr>
        <w:ind w:firstLine="480" w:firstLineChars="200"/>
      </w:pPr>
      <w:r>
        <w:t>（1）具有必须的文化基础知识；</w:t>
      </w:r>
    </w:p>
    <w:p>
      <w:pPr>
        <w:ind w:firstLine="480" w:firstLineChars="200"/>
      </w:pPr>
      <w:r>
        <w:t>（2）掌握机械制图、机械设计、机械制造、电工与电子技术等基础知识；</w:t>
      </w:r>
    </w:p>
    <w:p>
      <w:pPr>
        <w:ind w:firstLine="480" w:firstLineChars="200"/>
      </w:pPr>
      <w:r>
        <w:t>（3）掌握至少一种计算机编程语言，具有计算机原理和应用方面的知识；</w:t>
      </w:r>
    </w:p>
    <w:p>
      <w:pPr>
        <w:ind w:firstLine="480" w:firstLineChars="200"/>
      </w:pPr>
      <w:r>
        <w:t>（4）掌握机械、电子、气、液等技术在机电一体化设备中应用的知识；</w:t>
      </w:r>
    </w:p>
    <w:p>
      <w:pPr>
        <w:ind w:firstLine="480" w:firstLineChars="200"/>
      </w:pPr>
      <w:r>
        <w:t>（5）掌握自动化控制方面的知识；</w:t>
      </w:r>
    </w:p>
    <w:p>
      <w:pPr>
        <w:ind w:firstLine="480" w:firstLineChars="200"/>
      </w:pPr>
      <w:r>
        <w:t>（6）掌握机电一体化设备的安装、调试、运行、检测和维修等方面的知识；</w:t>
      </w:r>
    </w:p>
    <w:p>
      <w:pPr>
        <w:ind w:firstLine="480" w:firstLineChars="200"/>
        <w:rPr>
          <w:rFonts w:eastAsia="黑体"/>
        </w:rPr>
      </w:pPr>
      <w:r>
        <w:rPr>
          <w:rFonts w:eastAsia="黑体"/>
        </w:rPr>
        <w:t>2.能力结构</w:t>
      </w:r>
    </w:p>
    <w:p>
      <w:pPr>
        <w:ind w:firstLine="480" w:firstLineChars="200"/>
      </w:pPr>
      <w:r>
        <w:t>（1）具有机电一体化设备常见故障的诊断与维修能力，初步具有机电一体化产品和系统的设计、制造、使用、维护和研究开发的综合能力</w:t>
      </w:r>
    </w:p>
    <w:p>
      <w:pPr>
        <w:ind w:firstLine="480" w:firstLineChars="200"/>
      </w:pPr>
      <w:r>
        <w:t>（2）具有数控技术应用方面的知识和数控设备的基本操作能力；</w:t>
      </w:r>
    </w:p>
    <w:p>
      <w:pPr>
        <w:ind w:firstLine="480" w:firstLineChars="200"/>
      </w:pPr>
      <w:r>
        <w:t>（3）具有熟练使用至少一种计算机辅助设计或制造软件的能力；</w:t>
      </w:r>
    </w:p>
    <w:p>
      <w:pPr>
        <w:ind w:firstLine="480" w:firstLineChars="200"/>
      </w:pPr>
      <w:r>
        <w:t>（4）具有机电产品制造工程的技术经济分析与企业设备生产组织管理的基本能力和收集机电行业发展和机电产品信息的能力；</w:t>
      </w:r>
    </w:p>
    <w:p>
      <w:pPr>
        <w:ind w:firstLine="480" w:firstLineChars="200"/>
      </w:pPr>
      <w:r>
        <w:t>（5）具有一定的外语水平，能够借助工具书阅读本专业外文资料，具有一定的自学、写作与语言表达能力，有一定的公关与适应环境的能力。</w:t>
      </w:r>
    </w:p>
    <w:p>
      <w:pPr>
        <w:ind w:firstLine="480" w:firstLineChars="200"/>
        <w:rPr>
          <w:rFonts w:eastAsia="黑体"/>
        </w:rPr>
      </w:pPr>
      <w:r>
        <w:rPr>
          <w:rFonts w:eastAsia="黑体"/>
        </w:rPr>
        <w:t>3.素质结构</w:t>
      </w:r>
    </w:p>
    <w:p>
      <w:pPr>
        <w:ind w:firstLine="480" w:firstLineChars="200"/>
      </w:pPr>
      <w:r>
        <w:t>（1）初步具备机电专业一种外语听、说、读、写的基础能力；</w:t>
      </w:r>
    </w:p>
    <w:p>
      <w:pPr>
        <w:ind w:firstLine="480" w:firstLineChars="200"/>
      </w:pPr>
      <w:r>
        <w:t>（2）具备一定的实际工作经验，具有较强的安全生产、环境保护、节约资源和创新的意识：</w:t>
      </w:r>
    </w:p>
    <w:p>
      <w:pPr>
        <w:ind w:firstLine="480" w:firstLineChars="200"/>
      </w:pPr>
      <w:r>
        <w:t>（3）具有优良的职业道德、团队合作精神和人际交流能力；</w:t>
      </w:r>
    </w:p>
    <w:p>
      <w:pPr>
        <w:ind w:firstLine="480" w:firstLineChars="200"/>
      </w:pPr>
      <w:r>
        <w:t>（4）具有获取、分析和处理信息的能力；</w:t>
      </w:r>
    </w:p>
    <w:p>
      <w:pPr>
        <w:ind w:firstLine="480" w:firstLineChars="200"/>
      </w:pPr>
      <w:r>
        <w:t>（5）具有自主学习，适应职业变化的能力。</w:t>
      </w:r>
    </w:p>
    <w:p>
      <w:pPr>
        <w:pStyle w:val="5"/>
        <w:spacing w:before="93" w:after="93"/>
        <w:ind w:firstLine="560"/>
      </w:pPr>
      <w:r>
        <w:t>六、毕业生就业创业（创业情况、采取的措施、典型案例等）</w:t>
      </w:r>
    </w:p>
    <w:p>
      <w:pPr>
        <w:ind w:firstLine="480" w:firstLineChars="200"/>
      </w:pPr>
      <w:r>
        <w:t>多年来，机电工程专业极为重视毕业生就业创业工作，在学院党委、团委及学生会的大力支持下，多名机电专业学生大学期间进行创业尝试，但是，受到传统思想观念束缚，大部分毕业生自主创业积极性不高，2016年已有多名机电专业毕业生选择自主创业，可以预期，随着我国各级政府对自主创业，万众创新政策的实施，毕业生的自主创业也备受关注。</w:t>
      </w:r>
    </w:p>
    <w:p>
      <w:pPr>
        <w:ind w:firstLine="480" w:firstLineChars="200"/>
      </w:pPr>
      <w:r>
        <w:t>为了促进毕业生就业创业工作，机电学院采取多种措施，确保每个毕业生都能够顺利就业，由于措施得当，2003年以来，连续15年机电学院被学校评为招生就业先进单位光荣称号，2022年，针对国内外经济社会发展形势对毕业生就业提出严峻考验的现实，机电专业各专职教师，在学院党委、行政及团委各级领导带领下，开拓创新，充分发挥专业优势，确保机电专业毕业生就业率稳定在95%以上，具体措施包括：</w:t>
      </w:r>
    </w:p>
    <w:p>
      <w:pPr>
        <w:ind w:firstLine="480" w:firstLineChars="200"/>
      </w:pPr>
      <w:r>
        <w:t>1.狠抓学风建设是根本。学风从根本上决定就业。学院把学风建设与就业相结合，实行教学、就业相促进，强化实践与创新，大力提高核心竞争力。主要实施高端论坛、制度规范、磐石工程、精品工程、文化熏陶等9大工程，夯实、引领、示范、保障优良学风建设，实现了学风建设和就业工作的双赢。</w:t>
      </w:r>
    </w:p>
    <w:p>
      <w:pPr>
        <w:ind w:firstLine="480" w:firstLineChars="200"/>
      </w:pPr>
      <w:r>
        <w:t>2.做好思想工作是关键。每年有近二百家单位招聘，提供几千个岗位。但到大城市、大企业去工作的观念，仍然是制约就业的关键。因此，学院把做好就业教育作为提高签约的关键，重点抓住毕业生择业的</w:t>
      </w:r>
      <w:r>
        <w:rPr>
          <w:rFonts w:hint="eastAsia"/>
        </w:rPr>
        <w:t>“</w:t>
      </w:r>
      <w:r>
        <w:t>三个关键时期</w:t>
      </w:r>
      <w:r>
        <w:rPr>
          <w:rFonts w:hint="eastAsia"/>
        </w:rPr>
        <w:t>”</w:t>
      </w:r>
      <w:r>
        <w:t>，即</w:t>
      </w:r>
      <w:r>
        <w:rPr>
          <w:rFonts w:hint="eastAsia"/>
        </w:rPr>
        <w:t>“</w:t>
      </w:r>
      <w:r>
        <w:t>思考就业</w:t>
      </w:r>
      <w:r>
        <w:rPr>
          <w:rFonts w:hint="eastAsia"/>
        </w:rPr>
        <w:t>”</w:t>
      </w:r>
      <w:r>
        <w:t>的萌动期，这时强化就业理念教育；</w:t>
      </w:r>
      <w:r>
        <w:rPr>
          <w:rFonts w:hint="eastAsia"/>
        </w:rPr>
        <w:t>“</w:t>
      </w:r>
      <w:r>
        <w:t>准备就业</w:t>
      </w:r>
      <w:r>
        <w:rPr>
          <w:rFonts w:hint="eastAsia"/>
        </w:rPr>
        <w:t>”</w:t>
      </w:r>
      <w:r>
        <w:t>的启动期，这时我们把往届生的就业去给学生向全面分析，引导毕业生树立正确的就业观，做好不同的择业准备；快速签约的黄金期，这时开展</w:t>
      </w:r>
      <w:r>
        <w:rPr>
          <w:rFonts w:hint="eastAsia"/>
        </w:rPr>
        <w:t>“</w:t>
      </w:r>
      <w:r>
        <w:t>知名校友、企业农大行</w:t>
      </w:r>
      <w:r>
        <w:rPr>
          <w:rFonts w:hint="eastAsia"/>
        </w:rPr>
        <w:t>”</w:t>
      </w:r>
      <w:r>
        <w:t>，对未签约者进行</w:t>
      </w:r>
      <w:r>
        <w:rPr>
          <w:rFonts w:hint="eastAsia"/>
        </w:rPr>
        <w:t>“</w:t>
      </w:r>
      <w:r>
        <w:t>授业解惑</w:t>
      </w:r>
      <w:r>
        <w:rPr>
          <w:rFonts w:hint="eastAsia"/>
        </w:rPr>
        <w:t>”</w:t>
      </w:r>
      <w:r>
        <w:t>，同时开展个性化订单式</w:t>
      </w:r>
      <w:r>
        <w:rPr>
          <w:rFonts w:hint="eastAsia"/>
        </w:rPr>
        <w:t>“</w:t>
      </w:r>
      <w:r>
        <w:t>一盯一、一帮一</w:t>
      </w:r>
      <w:r>
        <w:rPr>
          <w:rFonts w:hint="eastAsia"/>
        </w:rPr>
        <w:t>”</w:t>
      </w:r>
      <w:r>
        <w:t>帮扶，做学生的好参谋、好朋友。</w:t>
      </w:r>
    </w:p>
    <w:p>
      <w:pPr>
        <w:ind w:firstLine="480" w:firstLineChars="200"/>
      </w:pPr>
      <w:r>
        <w:t>3.拓展就业市场是前提。有较大部分学生是通过校内招聘就业的，学院重视就业市场的拓展，不但巩固老朋友，还要结识新朋友。对五征、福田、歌尔声学等这样的招聘大户，向亲戚一样经常要走动；利用参加会议、外出实习等机会，结识了长城汽车、奇瑞汽车、吉利汽车、北汽福田、中烟集团等一大批新朋友，慢慢成为好朋友、老朋友。</w:t>
      </w:r>
    </w:p>
    <w:p>
      <w:pPr>
        <w:ind w:firstLine="480" w:firstLineChars="200"/>
      </w:pPr>
      <w:r>
        <w:t>4.浓厚就业氛围是保障。积极向上的就业氛围，是推动就业的重要保障，学院非常重视营造积极向上的就业氛围。实行</w:t>
      </w:r>
      <w:r>
        <w:rPr>
          <w:rFonts w:hint="eastAsia"/>
        </w:rPr>
        <w:t>“</w:t>
      </w:r>
      <w:r>
        <w:t>院领导联系专业促就业</w:t>
      </w:r>
      <w:r>
        <w:rPr>
          <w:rFonts w:hint="eastAsia"/>
        </w:rPr>
        <w:t>”</w:t>
      </w:r>
      <w:r>
        <w:t>、</w:t>
      </w:r>
      <w:r>
        <w:rPr>
          <w:rFonts w:hint="eastAsia"/>
        </w:rPr>
        <w:t>“</w:t>
      </w:r>
      <w:r>
        <w:t>就业红娘评选</w:t>
      </w:r>
      <w:r>
        <w:rPr>
          <w:rFonts w:hint="eastAsia"/>
        </w:rPr>
        <w:t>”</w:t>
      </w:r>
      <w:r>
        <w:t>、</w:t>
      </w:r>
      <w:r>
        <w:rPr>
          <w:rFonts w:hint="eastAsia"/>
        </w:rPr>
        <w:t>“</w:t>
      </w:r>
      <w:r>
        <w:t>就业喜报</w:t>
      </w:r>
      <w:r>
        <w:rPr>
          <w:rFonts w:hint="eastAsia"/>
        </w:rPr>
        <w:t>”</w:t>
      </w:r>
      <w:r>
        <w:t>，党员干部带头就业等措施，营造浓厚的就业氛围。</w:t>
      </w:r>
    </w:p>
    <w:p>
      <w:pPr>
        <w:ind w:firstLine="480" w:firstLineChars="200"/>
      </w:pPr>
      <w:r>
        <w:t>5.分类指导是有效途径。把毕业生分成就业、考研等不同类型。针对签约者，帮助他们到单位顶岗实习；对考研的，尝试调整了学习型宿舍；针对报考211、985高校学生扎堆现象，专门召开协调会，动员学生报考我校的同时，避免自我淘汰，指导学生主动分流；对报考公务员的邀请教师进行指导，近年来考研、考公务员成功率逐年提高，成为学院就业心得增长点。</w:t>
      </w:r>
    </w:p>
    <w:p>
      <w:pPr>
        <w:ind w:firstLine="480" w:firstLineChars="200"/>
      </w:pPr>
      <w:r>
        <w:t>6.畅通就业渠道是基础。充分利用院网、新媒体、就业APP、班级就业信息员等渠道，把就业信息及时快捷的传递到毕业生。学生会还设立了</w:t>
      </w:r>
      <w:r>
        <w:rPr>
          <w:rFonts w:hint="eastAsia"/>
        </w:rPr>
        <w:t>“</w:t>
      </w:r>
      <w:r>
        <w:t>考研与就业服务部</w:t>
      </w:r>
      <w:r>
        <w:rPr>
          <w:rFonts w:hint="eastAsia"/>
        </w:rPr>
        <w:t>”</w:t>
      </w:r>
      <w:r>
        <w:t>，协助辅导员老师关注山东大学等其他高校的相关就业信息。学院在毕业生公寓楼门口制作了</w:t>
      </w:r>
      <w:r>
        <w:rPr>
          <w:rFonts w:hint="eastAsia"/>
        </w:rPr>
        <w:t>“</w:t>
      </w:r>
      <w:r>
        <w:t>毕业生就业信息专栏</w:t>
      </w:r>
      <w:r>
        <w:rPr>
          <w:rFonts w:hint="eastAsia"/>
        </w:rPr>
        <w:t>”</w:t>
      </w:r>
      <w:r>
        <w:t>，有校内、校外招聘信息等六大板块，每周二上午8：00前定期更新，极大地方便了毕业生获取就业信息。</w:t>
      </w:r>
    </w:p>
    <w:p>
      <w:pPr>
        <w:ind w:firstLine="480" w:firstLineChars="200"/>
      </w:pPr>
      <w:r>
        <w:t>2021年10月9日，机电学院在此举办机电类就业市场。招聘会现场，共有烟台港集团有限公司、迈赫机器人自动化股份有限公司，山东泰开变压器有限公司等30多家大中型公司应邀前来招聘。设置职位包含机械电子工程、农业机械化及其自动化、自动化、电气工程及其自动化、车辆工程、交通运输等专业共1100个。吸引了我校毕业生和非毕业生以及其他学院同学共800余人次。招聘会上，用人单位借助展板、展牌、海报等向我校师生介绍其公司的发展历程、经营理念、规章制度等基本信息，使毕业生在短时间内对公司的基本状况有所了解。通过现场的咨询环节，各企业就同学们比较关心的问题，譬如工作内容、薪酬待遇等，一一做了细致的解答，同时也向毕业生传达本企业的用人要求，做到学生与用人单位达到双选的目的。</w:t>
      </w:r>
    </w:p>
    <w:p>
      <w:pPr>
        <w:ind w:firstLine="480" w:firstLineChars="200"/>
      </w:pPr>
      <w:r>
        <w:t>记者看到，有不少毕业生现场填写报名表、递交简历。</w:t>
      </w:r>
      <w:r>
        <w:rPr>
          <w:rFonts w:hint="eastAsia"/>
        </w:rPr>
        <w:t>“</w:t>
      </w:r>
      <w:r>
        <w:t>虽然之前找到了一份工作，但不是很满意，恰好这次看到有心仪的单位。所以想试试。</w:t>
      </w:r>
      <w:r>
        <w:rPr>
          <w:rFonts w:hint="eastAsia"/>
        </w:rPr>
        <w:t>”</w:t>
      </w:r>
      <w:r>
        <w:t>现场一个刚刚投简历给烟台港集团的同学对记者解释说。</w:t>
      </w:r>
    </w:p>
    <w:p>
      <w:pPr>
        <w:ind w:firstLine="480" w:firstLineChars="200"/>
      </w:pPr>
      <w:r>
        <w:t>不仅仅针对毕业生，招聘会对在校学生也起到了一定的指引和激励作用。相对于往年，近年来企业更加青睐于肯吃苦、专业基础扎实的同学。部分企业对外语水平也有一定的要求。</w:t>
      </w:r>
      <w:r>
        <w:rPr>
          <w:rFonts w:hint="eastAsia"/>
        </w:rPr>
        <w:t>“</w:t>
      </w:r>
      <w:r>
        <w:t>虽然只有大二，但是可以从学长学姐的求职中发现自己的不足，通过对企业用人要求的解读更加明白自己未来的奋斗方向。</w:t>
      </w:r>
      <w:r>
        <w:rPr>
          <w:rFonts w:hint="eastAsia"/>
        </w:rPr>
        <w:t>”</w:t>
      </w:r>
      <w:r>
        <w:t>记者在招聘会现场随机采访时。</w:t>
      </w:r>
    </w:p>
    <w:p>
      <w:pPr>
        <w:pStyle w:val="5"/>
        <w:spacing w:before="93" w:after="93"/>
        <w:ind w:firstLine="560"/>
      </w:pPr>
      <w:r>
        <w:t>七、专业发展趋势及建议</w:t>
      </w:r>
    </w:p>
    <w:p>
      <w:pPr>
        <w:ind w:firstLine="480" w:firstLineChars="200"/>
      </w:pPr>
      <w:r>
        <w:t>随着我国经济科技的高速发展，目前正面临着经济发展转型、结构调整及重视发展质量的巨大机遇和挑战，随着国内企业对自动化、智能化生产技术要求不断提高，外向型经济的迅速发展，低水平的劳动者已远不能适应经济和社会发展的需要，知识已成为企业竞争的优势和资本，目前电子技术与计算机技术的迅速发展，触发了机械工程领域的一场深刻革命，促进了机械技术与微电子技术及信息技术的高度结合，现代企业自动化、智能化的应用程度越来越高，自动化的机电设备，数控机床不断增加，柔性制造、工业机械手和机器人、生产过程自动化的应用越来越广泛。迫切需要具备光、机、电一体化方面综合知识结构及运用能力的机电工程技术人才，以适应当前我国传统机械工业改造、产业结构调整和技术升级的重大需要。因此长远来看，机—电结合业已成为机械工业发展的必然趋势，是我国从制造大国向制造强国迈进的必由之路。今年国务院下发的《中国制造2025》文件中，明确了今后十年工业发展的方向，其中，智能化制造、互联网+及工业4.0等领域是中国制造的重中之重。</w:t>
      </w:r>
    </w:p>
    <w:p>
      <w:pPr>
        <w:ind w:firstLine="480" w:firstLineChars="200"/>
      </w:pPr>
      <w:r>
        <w:t>山东省是我国重要的机械制造及出口基地，制造业已经形成门类齐全、规模较大、且具有一定技术水平的核心产业体系，其中涵盖了汽车制造、内燃机制造及零部件、农业装备、工程机械、石油机械、风电产业、电子器件等众多产业。因此，在未来的经济社会发展规划中，把现代装备制造业作为全省重点培育和发展的优势产业，壮大优势产业群，延伸产业链，推进科技创新、成果转化和高新技术产业化，形成具有自主创新能力的现代装备制造业和研发转化基地，促进地区产业结构优化升级。其中建设装备制造业、引进技术和自主开发相结合，提高成套设备研发能力，发展光机电一体化设备、精密成型加工设备、柔性制造设备、数控机床、智能机械设备、农业机械、重型机械、电工电气、机械基础件、仪器仪表、工程机械、模具、汽车及零部件制造等产业是必然趋势，这就为机电一体化技术专业毕业生提供了广阔的就业市场，同时，也对机电专业人才培养质量提出了更高的要求。</w:t>
      </w:r>
    </w:p>
    <w:p>
      <w:pPr>
        <w:ind w:firstLine="480" w:firstLineChars="200"/>
      </w:pPr>
      <w:r>
        <w:t>基于以上分析，机电专业培养的学生应与时俱进，紧跟时代发展潮流，以提高学生创新创业技能为突破口，强化实践教学环节，加强教师师德师风建设和授课技能培训，提高教学质量，促进学生的分类培养目标实现，对机电专业今后的发展提出如下建议：</w:t>
      </w:r>
    </w:p>
    <w:p>
      <w:pPr>
        <w:ind w:firstLine="480" w:firstLineChars="200"/>
      </w:pPr>
      <w:r>
        <w:t>1.加强专业建设力度，改革人才培养模式，瞄准世界机电领域先进技术，以工学结合确立专业人才培养模式，以专业能力和科学素养构建专业核心课程；</w:t>
      </w:r>
    </w:p>
    <w:p>
      <w:pPr>
        <w:ind w:firstLine="480" w:firstLineChars="200"/>
      </w:pPr>
      <w:r>
        <w:t>2.注重师资队伍建设，打造一支专兼结合、师德高尚、技能过硬、国内外具有一定知名度的优秀专业教学团队；</w:t>
      </w:r>
    </w:p>
    <w:p>
      <w:pPr>
        <w:ind w:firstLine="480" w:firstLineChars="200"/>
      </w:pPr>
      <w:r>
        <w:t>3.在学校规划统一指导下，按照</w:t>
      </w:r>
      <w:r>
        <w:rPr>
          <w:rFonts w:hint="eastAsia"/>
        </w:rPr>
        <w:t>“</w:t>
      </w:r>
      <w:r>
        <w:t>教育定位准确，教学方法独特，培养模式先进，专业特色鲜明，人才质量优良</w:t>
      </w:r>
      <w:r>
        <w:rPr>
          <w:rFonts w:hint="eastAsia"/>
        </w:rPr>
        <w:t>”</w:t>
      </w:r>
      <w:r>
        <w:t>的要求，为适应人才市场需求和提高就业竞争力，全面提高教学质量，坚持</w:t>
      </w:r>
      <w:r>
        <w:rPr>
          <w:rFonts w:hint="eastAsia"/>
        </w:rPr>
        <w:t>“</w:t>
      </w:r>
      <w:r>
        <w:t>以学生为本，以完善知识结构为导向、以强化理论实践技能为依托、以机电产品设计生产为核心</w:t>
      </w:r>
      <w:r>
        <w:rPr>
          <w:rFonts w:hint="eastAsia"/>
        </w:rPr>
        <w:t>”</w:t>
      </w:r>
      <w:r>
        <w:t>的原则，将</w:t>
      </w:r>
      <w:r>
        <w:rPr>
          <w:rFonts w:hint="eastAsia"/>
        </w:rPr>
        <w:t>“</w:t>
      </w:r>
      <w:r>
        <w:t>机械电子工程</w:t>
      </w:r>
      <w:r>
        <w:rPr>
          <w:rFonts w:hint="eastAsia"/>
        </w:rPr>
        <w:t>”</w:t>
      </w:r>
      <w:r>
        <w:t>专业建成精品专业；</w:t>
      </w:r>
    </w:p>
    <w:p>
      <w:pPr>
        <w:ind w:firstLine="480" w:firstLineChars="200"/>
      </w:pPr>
      <w:r>
        <w:t>4.以</w:t>
      </w:r>
      <w:r>
        <w:rPr>
          <w:rFonts w:hint="eastAsia"/>
        </w:rPr>
        <w:t>“</w:t>
      </w:r>
      <w:r>
        <w:t>教、学、做、知识、能力、素质</w:t>
      </w:r>
      <w:r>
        <w:rPr>
          <w:rFonts w:hint="eastAsia"/>
        </w:rPr>
        <w:t>”</w:t>
      </w:r>
      <w:r>
        <w:t>六位一体的教学方法为突破口，突出课程改革，培养合格的高素质技能型人才，创造条件，鼓励学生参加各类机电大赛，提高其实践技能；</w:t>
      </w:r>
    </w:p>
    <w:p>
      <w:pPr>
        <w:ind w:firstLine="480" w:firstLineChars="200"/>
      </w:pPr>
      <w:r>
        <w:t>5.加强校内外实验室及实训基地建设，通过购买、自制等手段充实实验仪器设备，提高实验室综合利用率，制定相关规章制度，强化校企合作内容，整合各种资源，着力建设集资源共享、学生实训、技术服务于一体的教学科研保障体系。</w:t>
      </w:r>
    </w:p>
    <w:p>
      <w:pPr>
        <w:pStyle w:val="5"/>
        <w:spacing w:before="93" w:after="93"/>
        <w:ind w:firstLine="560"/>
      </w:pPr>
      <w:r>
        <w:t>八、存在的问题及拟采取的对策措施</w:t>
      </w:r>
    </w:p>
    <w:p>
      <w:pPr>
        <w:ind w:firstLine="480" w:firstLineChars="200"/>
      </w:pPr>
      <w:r>
        <w:t>存在的问题主要有：1.教师教学观念落后，只重视理论知识讲授、轻视实践教学，同时，教学精力投入不足，重视科研忽视教学的现象极为普遍；2.教学内容陈旧，不能紧跟国内外机电行业发展潮流，对新技术了解较少；3.教学方法主要以课堂讲授为主，实践教学欠缺；4.对学生教学效果评价体系还不完善，期末考试占本课程考核成绩比重过大。</w:t>
      </w:r>
    </w:p>
    <w:p>
      <w:pPr>
        <w:ind w:firstLine="480" w:firstLineChars="200"/>
      </w:pPr>
      <w:r>
        <w:t>今后，随着新培养方案的实施，机电专业将与时俱进，从以下几个方面进行建设与改革，努力提高学生创新创业能力与适应社会能力。</w:t>
      </w:r>
    </w:p>
    <w:p>
      <w:pPr>
        <w:pStyle w:val="6"/>
        <w:ind w:firstLine="480"/>
      </w:pPr>
      <w:r>
        <w:t>1.转变教学观念</w:t>
      </w:r>
    </w:p>
    <w:p>
      <w:pPr>
        <w:ind w:firstLine="480" w:firstLineChars="200"/>
      </w:pPr>
      <w:r>
        <w:t>教师的教育理念、知识与能力结构、教学能力等将直接影响到专业教学的结果。树立现代教育理念、转变教学观念是专业教学改革的关键。</w:t>
      </w:r>
    </w:p>
    <w:p>
      <w:pPr>
        <w:ind w:firstLine="480" w:firstLineChars="200"/>
      </w:pPr>
      <w:r>
        <w:t>教师在专业教学中要打破学科界限和原有的知识体系，要以理论性过程性知识传授为主、以陈述性应用性知识传授为辅，要以知识传授为主，以技能传授为辅，重视学生的学习态度、方法和职业意识的形成。因此，教师要在专业教学中建立基于能力本位的教育观，在专业教学过程中体现以知识应用能力为基础；建立基于理论性、过程性的课程观；建立基于多元智能理论的人才观，使教学内容、教学方法、教学过程适合社会的要求和发展需要；建立基于行动导向的教学观，采用以学生为主体、以教学项目为载体、以行动为导向的有效教学方法。</w:t>
      </w:r>
    </w:p>
    <w:p>
      <w:pPr>
        <w:pStyle w:val="6"/>
        <w:ind w:firstLine="480"/>
      </w:pPr>
      <w:r>
        <w:t>2.重组教学内容</w:t>
      </w:r>
    </w:p>
    <w:p>
      <w:pPr>
        <w:ind w:firstLine="480" w:firstLineChars="200"/>
      </w:pPr>
      <w:r>
        <w:t>打破学科界限，以应用及创新能力体系为基础确定课程内容；围绕掌握本专业国内外发展动态来组织相应的知识、技能和态度，设计相应的理论研究与实践活动；通过设计工程实践情景，培养学生在较为复杂的工作关系中做出判断并采取相应行动的综合职业能力。</w:t>
      </w:r>
    </w:p>
    <w:p>
      <w:pPr>
        <w:pStyle w:val="6"/>
        <w:ind w:firstLine="480"/>
      </w:pPr>
      <w:r>
        <w:t>3.改革教学方法</w:t>
      </w:r>
    </w:p>
    <w:p>
      <w:pPr>
        <w:ind w:firstLine="480" w:firstLineChars="200"/>
      </w:pPr>
      <w:r>
        <w:t>根据教学内容，选用合适有效的教学方法，针对学生的特点，组织教学项目，配以现代化教学技术，合理运用教学环境，在</w:t>
      </w:r>
      <w:r>
        <w:rPr>
          <w:rFonts w:hint="eastAsia"/>
        </w:rPr>
        <w:t>“</w:t>
      </w:r>
      <w:r>
        <w:t>生产情景</w:t>
      </w:r>
      <w:r>
        <w:rPr>
          <w:rFonts w:hint="eastAsia"/>
        </w:rPr>
        <w:t>”</w:t>
      </w:r>
      <w:r>
        <w:t>中强化动手操作，在教学中强调师生互动。在改革教学方法方面建议重点注意以下方面：</w:t>
      </w:r>
    </w:p>
    <w:p>
      <w:pPr>
        <w:ind w:firstLine="480" w:firstLineChars="200"/>
      </w:pPr>
      <w:r>
        <w:t>创新教学方式，提高教学效果：摒弃传统的以教师、课堂、教材为中心教学方式，倡导以学生为主体，凸显教学互动，培养学生自主学习和创新的能力。促进个性发展的教学方式</w:t>
      </w:r>
    </w:p>
    <w:p>
      <w:pPr>
        <w:ind w:firstLine="480" w:firstLineChars="200"/>
      </w:pPr>
      <w:r>
        <w:t>设置</w:t>
      </w:r>
      <w:r>
        <w:rPr>
          <w:rFonts w:hint="eastAsia"/>
        </w:rPr>
        <w:t>“</w:t>
      </w:r>
      <w:r>
        <w:t>生产情景</w:t>
      </w:r>
      <w:r>
        <w:rPr>
          <w:rFonts w:hint="eastAsia"/>
        </w:rPr>
        <w:t>”</w:t>
      </w:r>
      <w:r>
        <w:t>，培养职业习惯；根据课程内容，创新</w:t>
      </w:r>
      <w:r>
        <w:rPr>
          <w:rFonts w:hint="eastAsia"/>
        </w:rPr>
        <w:t>“</w:t>
      </w:r>
      <w:r>
        <w:t>生产情景</w:t>
      </w:r>
      <w:r>
        <w:rPr>
          <w:rFonts w:hint="eastAsia"/>
        </w:rPr>
        <w:t>”</w:t>
      </w:r>
      <w:r>
        <w:t>，进行理论实践一体化教学、学习过程行动化、做到讲练结合、练中有奖、学在链中、是学生体验职业活动，真正掌握使用的生产技能，提高职业能力</w:t>
      </w:r>
    </w:p>
    <w:p>
      <w:pPr>
        <w:ind w:firstLine="480" w:firstLineChars="200"/>
      </w:pPr>
      <w:r>
        <w:t>运用技术手段，扩展教学资源：充分利用现代教学技术，推广多媒体和仿真教学，开发和利用网络资源，使得难以理解的知识和经验能直接，形象，直观的展现在学生面前，同时也可以丰富学生的学习方式和学生资源</w:t>
      </w:r>
    </w:p>
    <w:p>
      <w:pPr>
        <w:pStyle w:val="6"/>
        <w:ind w:firstLine="480"/>
      </w:pPr>
      <w:r>
        <w:t>4.创新教学评价</w:t>
      </w:r>
    </w:p>
    <w:p>
      <w:pPr>
        <w:ind w:firstLine="480" w:firstLineChars="200"/>
      </w:pPr>
      <w:r>
        <w:t>要改变传统的教学评价方式，重视过程性评价，注意过程性评价和终结性评价的有机结合，在学业评价中充分考虑机电产品创新设计技能掌握程度和评价本身对职业能力形成的促进作用。</w:t>
      </w:r>
    </w:p>
    <w:p>
      <w:pPr>
        <w:pStyle w:val="6"/>
        <w:ind w:firstLine="480"/>
      </w:pPr>
      <w:r>
        <w:t>5.重视学生实践技能的培养与训练</w:t>
      </w:r>
    </w:p>
    <w:p>
      <w:pPr>
        <w:ind w:firstLine="480" w:firstLineChars="200"/>
      </w:pPr>
      <w:r>
        <w:t>专业实训室的建设除符合一般的教学要求外，还要尽可能创设</w:t>
      </w:r>
      <w:r>
        <w:rPr>
          <w:rFonts w:hint="eastAsia"/>
        </w:rPr>
        <w:t>“</w:t>
      </w:r>
      <w:r>
        <w:t>生产情景</w:t>
      </w:r>
      <w:r>
        <w:rPr>
          <w:rFonts w:hint="eastAsia"/>
        </w:rPr>
        <w:t>”</w:t>
      </w:r>
      <w:r>
        <w:t>；教学设施配置合理，要配有符合要求的教学对象；教学工位要符合课程内容和在学人数的要求；在熟练区域边要配有独立的讲解区，讲解区内的设施要符合教学要求；要具有职业技能训练的必备条件；要具有安全、卫生、规范的劳动环境和条件。</w:t>
      </w:r>
    </w:p>
    <w:p>
      <w:pPr>
        <w:adjustRightInd w:val="0"/>
        <w:snapToGrid w:val="0"/>
        <w:spacing w:line="360" w:lineRule="auto"/>
        <w:jc w:val="center"/>
        <w:rPr>
          <w:rFonts w:eastAsia="黑体"/>
          <w:b/>
          <w:bCs/>
          <w:kern w:val="44"/>
          <w:sz w:val="36"/>
          <w:szCs w:val="36"/>
        </w:rPr>
      </w:pP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pPr>
      <w:bookmarkStart w:id="339" w:name="_Toc31675"/>
      <w:bookmarkStart w:id="340" w:name="_Toc4947"/>
      <w:bookmarkStart w:id="341" w:name="_Toc23982"/>
      <w:bookmarkStart w:id="342" w:name="_Toc12212"/>
      <w:r>
        <w:t>专业三十</w:t>
      </w:r>
      <w:r>
        <w:rPr>
          <w:rFonts w:hint="eastAsia"/>
          <w:lang w:val="en-US"/>
        </w:rPr>
        <w:t>一</w:t>
      </w:r>
      <w:r>
        <w:t>：车辆工程</w:t>
      </w:r>
      <w:bookmarkEnd w:id="339"/>
      <w:bookmarkEnd w:id="340"/>
      <w:bookmarkEnd w:id="341"/>
      <w:bookmarkEnd w:id="342"/>
    </w:p>
    <w:p>
      <w:pPr>
        <w:pStyle w:val="5"/>
        <w:spacing w:before="93" w:after="93"/>
        <w:ind w:firstLine="560"/>
      </w:pPr>
      <w:r>
        <w:t>一、人才培养目标</w:t>
      </w:r>
    </w:p>
    <w:p>
      <w:pPr>
        <w:pStyle w:val="6"/>
        <w:adjustRightInd w:val="0"/>
        <w:snapToGrid w:val="0"/>
        <w:ind w:firstLine="480"/>
        <w:rPr>
          <w:rFonts w:eastAsia="宋体"/>
          <w:color w:val="000000"/>
        </w:rPr>
      </w:pPr>
      <w:r>
        <w:rPr>
          <w:rFonts w:eastAsia="宋体"/>
          <w:color w:val="000000"/>
        </w:rPr>
        <w:t>本专业紧密结合国家和山东省汽车产业对人才的需求，着力培养具有扎实的机械工程、电气工程与控制工程等基础知识，具备现代车辆、新能源汽车设计制造和生产管理等方面的基本理论、基本知识和应用技能，能在车辆工程领域相关部门从事车辆设计与制造、车辆改装、性能测试、生产管理、经营销售、科技开发和教学等方面工作的应用型高级专门人才。</w:t>
      </w:r>
    </w:p>
    <w:p>
      <w:pPr>
        <w:pStyle w:val="5"/>
        <w:spacing w:before="93" w:after="93"/>
        <w:ind w:firstLine="560"/>
      </w:pPr>
      <w:r>
        <w:t>二、培养能力（专业设置情况、在校生规模、课程设置情况、创新创业教育等）</w:t>
      </w:r>
    </w:p>
    <w:p>
      <w:pPr>
        <w:pStyle w:val="6"/>
        <w:adjustRightInd w:val="0"/>
        <w:snapToGrid w:val="0"/>
        <w:ind w:firstLine="480"/>
        <w:rPr>
          <w:rFonts w:eastAsia="宋体"/>
          <w:color w:val="000000"/>
        </w:rPr>
      </w:pPr>
      <w:r>
        <w:rPr>
          <w:rFonts w:eastAsia="宋体"/>
          <w:color w:val="000000"/>
        </w:rPr>
        <w:t>山东农业大学车辆工程本科专业于2007年批准开始招生，至今共培养12届本科毕业生700余名。现有在校生124人，每年级学生人数如表1所示。</w:t>
      </w:r>
    </w:p>
    <w:p>
      <w:pPr>
        <w:spacing w:line="240" w:lineRule="auto"/>
        <w:jc w:val="center"/>
        <w:rPr>
          <w:b/>
          <w:bCs/>
          <w:sz w:val="21"/>
          <w:szCs w:val="21"/>
        </w:rPr>
      </w:pPr>
      <w:r>
        <w:rPr>
          <w:b/>
          <w:bCs/>
          <w:sz w:val="21"/>
          <w:szCs w:val="21"/>
        </w:rPr>
        <w:t>表1  车辆工程专业在校生人数情况（人）</w:t>
      </w:r>
    </w:p>
    <w:tbl>
      <w:tblPr>
        <w:tblStyle w:val="17"/>
        <w:tblW w:w="487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8"/>
        <w:gridCol w:w="2262"/>
        <w:gridCol w:w="2266"/>
        <w:gridCol w:w="2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09" w:type="pct"/>
            <w:vAlign w:val="center"/>
          </w:tcPr>
          <w:p>
            <w:pPr>
              <w:spacing w:line="240" w:lineRule="auto"/>
              <w:jc w:val="center"/>
              <w:rPr>
                <w:b/>
                <w:bCs/>
                <w:sz w:val="21"/>
                <w:szCs w:val="21"/>
              </w:rPr>
            </w:pPr>
            <w:r>
              <w:rPr>
                <w:b/>
                <w:bCs/>
                <w:sz w:val="21"/>
                <w:szCs w:val="21"/>
              </w:rPr>
              <w:t>2019级</w:t>
            </w:r>
          </w:p>
        </w:tc>
        <w:tc>
          <w:tcPr>
            <w:tcW w:w="1279" w:type="pct"/>
            <w:vAlign w:val="center"/>
          </w:tcPr>
          <w:p>
            <w:pPr>
              <w:spacing w:line="240" w:lineRule="auto"/>
              <w:jc w:val="center"/>
              <w:rPr>
                <w:b/>
                <w:bCs/>
                <w:sz w:val="21"/>
                <w:szCs w:val="21"/>
              </w:rPr>
            </w:pPr>
            <w:r>
              <w:rPr>
                <w:b/>
                <w:bCs/>
                <w:sz w:val="21"/>
                <w:szCs w:val="21"/>
              </w:rPr>
              <w:t>2020级</w:t>
            </w:r>
          </w:p>
        </w:tc>
        <w:tc>
          <w:tcPr>
            <w:tcW w:w="1281" w:type="pct"/>
            <w:vAlign w:val="center"/>
          </w:tcPr>
          <w:p>
            <w:pPr>
              <w:spacing w:line="240" w:lineRule="auto"/>
              <w:jc w:val="center"/>
              <w:rPr>
                <w:b/>
                <w:bCs/>
                <w:sz w:val="21"/>
                <w:szCs w:val="21"/>
              </w:rPr>
            </w:pPr>
            <w:r>
              <w:rPr>
                <w:b/>
                <w:bCs/>
                <w:sz w:val="21"/>
                <w:szCs w:val="21"/>
              </w:rPr>
              <w:t>2021级</w:t>
            </w:r>
          </w:p>
        </w:tc>
        <w:tc>
          <w:tcPr>
            <w:tcW w:w="1229" w:type="pct"/>
            <w:vAlign w:val="center"/>
          </w:tcPr>
          <w:p>
            <w:pPr>
              <w:spacing w:line="240" w:lineRule="auto"/>
              <w:jc w:val="center"/>
              <w:rPr>
                <w:b/>
                <w:bCs/>
                <w:sz w:val="21"/>
                <w:szCs w:val="21"/>
              </w:rPr>
            </w:pPr>
            <w:r>
              <w:rPr>
                <w:b/>
                <w:bCs/>
                <w:sz w:val="21"/>
                <w:szCs w:val="21"/>
              </w:rPr>
              <w:t>总人数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09" w:type="pct"/>
            <w:vAlign w:val="center"/>
          </w:tcPr>
          <w:p>
            <w:pPr>
              <w:spacing w:line="240" w:lineRule="auto"/>
              <w:jc w:val="center"/>
              <w:rPr>
                <w:sz w:val="21"/>
                <w:szCs w:val="21"/>
              </w:rPr>
            </w:pPr>
            <w:r>
              <w:rPr>
                <w:sz w:val="21"/>
                <w:szCs w:val="21"/>
              </w:rPr>
              <w:t>34</w:t>
            </w:r>
          </w:p>
        </w:tc>
        <w:tc>
          <w:tcPr>
            <w:tcW w:w="1279" w:type="pct"/>
            <w:vAlign w:val="center"/>
          </w:tcPr>
          <w:p>
            <w:pPr>
              <w:spacing w:line="240" w:lineRule="auto"/>
              <w:jc w:val="center"/>
              <w:rPr>
                <w:sz w:val="21"/>
                <w:szCs w:val="21"/>
              </w:rPr>
            </w:pPr>
            <w:r>
              <w:rPr>
                <w:sz w:val="21"/>
                <w:szCs w:val="21"/>
              </w:rPr>
              <w:t>49</w:t>
            </w:r>
          </w:p>
        </w:tc>
        <w:tc>
          <w:tcPr>
            <w:tcW w:w="1281" w:type="pct"/>
            <w:vAlign w:val="center"/>
          </w:tcPr>
          <w:p>
            <w:pPr>
              <w:spacing w:line="240" w:lineRule="auto"/>
              <w:jc w:val="center"/>
              <w:rPr>
                <w:sz w:val="21"/>
                <w:szCs w:val="21"/>
              </w:rPr>
            </w:pPr>
            <w:r>
              <w:rPr>
                <w:sz w:val="21"/>
                <w:szCs w:val="21"/>
              </w:rPr>
              <w:t>41</w:t>
            </w:r>
          </w:p>
        </w:tc>
        <w:tc>
          <w:tcPr>
            <w:tcW w:w="1229" w:type="pct"/>
            <w:vAlign w:val="center"/>
          </w:tcPr>
          <w:p>
            <w:pPr>
              <w:spacing w:line="240" w:lineRule="auto"/>
              <w:jc w:val="center"/>
              <w:rPr>
                <w:sz w:val="21"/>
                <w:szCs w:val="21"/>
              </w:rPr>
            </w:pPr>
            <w:r>
              <w:rPr>
                <w:sz w:val="21"/>
                <w:szCs w:val="21"/>
              </w:rPr>
              <w:t>124</w:t>
            </w:r>
          </w:p>
        </w:tc>
      </w:tr>
    </w:tbl>
    <w:p>
      <w:pPr>
        <w:pStyle w:val="6"/>
        <w:adjustRightInd w:val="0"/>
        <w:snapToGrid w:val="0"/>
        <w:ind w:firstLine="480"/>
        <w:rPr>
          <w:rFonts w:eastAsia="宋体"/>
          <w:color w:val="000000"/>
        </w:rPr>
      </w:pPr>
      <w:r>
        <w:rPr>
          <w:rFonts w:eastAsia="宋体"/>
          <w:color w:val="000000"/>
        </w:rPr>
        <w:t>该专业主干学科为：机械工程</w:t>
      </w:r>
    </w:p>
    <w:p>
      <w:pPr>
        <w:pStyle w:val="6"/>
        <w:adjustRightInd w:val="0"/>
        <w:snapToGrid w:val="0"/>
        <w:ind w:firstLine="480"/>
        <w:rPr>
          <w:rFonts w:eastAsia="宋体"/>
          <w:color w:val="000000"/>
        </w:rPr>
      </w:pPr>
      <w:r>
        <w:rPr>
          <w:rFonts w:eastAsia="宋体"/>
          <w:color w:val="000000"/>
        </w:rPr>
        <w:t>主要课程：机械设计基础、理论力学、材料力学、机械制图与CAD、互换性与技术测量、气压与液压传动</w:t>
      </w:r>
      <w:r>
        <w:rPr>
          <w:rFonts w:eastAsia="宋体"/>
          <w:color w:val="000000"/>
          <w:szCs w:val="24"/>
        </w:rPr>
        <w:t>、汽车零件可靠性设计、现代设计与制造技术、单片机原理与应用、电工与电子技术、汽车试验学、现代汽车构造、汽车理论、热工基础与内燃机原理、汽车电器与电控技术、汽车设计、汽车制造工艺学、车辆CAD/CAM/CAE技术、汽车故障诊断与检测、汽车维</w:t>
      </w:r>
      <w:r>
        <w:rPr>
          <w:rFonts w:eastAsia="宋体"/>
          <w:color w:val="000000"/>
        </w:rPr>
        <w:t>修工程、电动汽车技术等。</w:t>
      </w:r>
    </w:p>
    <w:p>
      <w:pPr>
        <w:pStyle w:val="6"/>
        <w:adjustRightInd w:val="0"/>
        <w:snapToGrid w:val="0"/>
        <w:ind w:firstLine="480"/>
        <w:rPr>
          <w:rFonts w:eastAsia="宋体"/>
          <w:color w:val="000000"/>
        </w:rPr>
      </w:pPr>
      <w:r>
        <w:rPr>
          <w:rFonts w:eastAsia="宋体"/>
          <w:color w:val="000000"/>
        </w:rPr>
        <w:t>主要实践课程：金工实习、汽车制造工艺综合实训、机械制图测绘与CAD实践、汽车设计综合实训、汽车构造综合实训、创业实践、机械设计课程设计、毕业实习等。</w:t>
      </w:r>
    </w:p>
    <w:p>
      <w:pPr>
        <w:pStyle w:val="6"/>
        <w:adjustRightInd w:val="0"/>
        <w:snapToGrid w:val="0"/>
        <w:ind w:firstLine="480"/>
        <w:rPr>
          <w:rFonts w:eastAsia="宋体"/>
          <w:color w:val="000000"/>
        </w:rPr>
      </w:pPr>
      <w:r>
        <w:rPr>
          <w:rFonts w:eastAsia="宋体"/>
          <w:color w:val="000000"/>
        </w:rPr>
        <w:t>学分总体安排：课程总学分为135.5学分；其中必修课102.5学分，占课程总学分的75.6%；选修课33学分，占课程总学分的24.4%。实践教学环节总学分为34.5学分，占毕业总学分的20.3%。</w:t>
      </w:r>
    </w:p>
    <w:p>
      <w:pPr>
        <w:pStyle w:val="6"/>
        <w:adjustRightInd w:val="0"/>
        <w:snapToGrid w:val="0"/>
        <w:ind w:firstLine="480"/>
        <w:rPr>
          <w:rFonts w:eastAsia="宋体"/>
          <w:color w:val="000000"/>
        </w:rPr>
      </w:pPr>
      <w:r>
        <w:rPr>
          <w:rFonts w:eastAsia="宋体"/>
          <w:color w:val="000000"/>
        </w:rPr>
        <w:t>该专业极为重视大学生的创新创业工作，以学院层级式、阶梯式创新创业工作为基础，以卓越工程师培养计划为契机，在不同年级开展不同类型创新创业活动，如在大一年级学生开展模型设计大赛，大二年级学生定向培训，根据个人兴趣爱好及所学课程，指导学生进入教师科研团队，同时，组建科技兴趣小组，鼓励并扶持大三年级学生参加各种科技创新竞赛，如山东省大学生科技文化艺术节大学生机器人大赛、全国恩智浦智能车竞赛、中国机器人大赛暨ROBOCUP公开赛、全国大学生电子设计竞赛等，并取得优异成绩。</w:t>
      </w:r>
    </w:p>
    <w:p>
      <w:pPr>
        <w:pStyle w:val="5"/>
        <w:spacing w:before="93" w:after="93"/>
        <w:ind w:firstLine="560"/>
      </w:pPr>
      <w:r>
        <w:t>三、培养条件（教学经费投入、教学设备、教师队伍建设、实习基地、现代教学技术应用等）</w:t>
      </w:r>
    </w:p>
    <w:p>
      <w:pPr>
        <w:pStyle w:val="6"/>
        <w:adjustRightInd w:val="0"/>
        <w:snapToGrid w:val="0"/>
        <w:ind w:firstLine="480"/>
        <w:rPr>
          <w:rFonts w:eastAsia="宋体"/>
          <w:color w:val="000000"/>
        </w:rPr>
      </w:pPr>
      <w:r>
        <w:rPr>
          <w:rFonts w:eastAsia="宋体"/>
          <w:color w:val="000000"/>
        </w:rPr>
        <w:t>2021 -2022学年，车辆工程专业借助我院国家级实验教学师范中心（农业机械化及自动化）、虚拟仿真实验教学示范中心及国家创业型人才培养方案创新实验区平台，依托我院电工电子实验教学中心与机械工程实验教学中心开展教学科研工作。</w:t>
      </w:r>
    </w:p>
    <w:p>
      <w:pPr>
        <w:pStyle w:val="6"/>
        <w:adjustRightInd w:val="0"/>
        <w:snapToGrid w:val="0"/>
        <w:ind w:firstLine="480"/>
        <w:rPr>
          <w:rFonts w:eastAsia="宋体"/>
          <w:color w:val="000000"/>
        </w:rPr>
      </w:pPr>
      <w:r>
        <w:rPr>
          <w:rFonts w:eastAsia="宋体"/>
          <w:color w:val="000000"/>
        </w:rPr>
        <w:t>在学校各级领导的关怀下，车辆工程专业的实验室面积得到大幅度提高，实验条件得到极大改善，目前与本专业相关的实验室面积达4000平米左右。拥有汽车综合检测线、汽车性能虚拟仿真实验室、变速器拆装实验室、汽车电控实验室、电控发动机综合实验室、马力实验室等实验室。2022年采购新能源汽车一辆，进一步改善了实验条件。另外，学院自筹资金，购买了大量车辆工程专业书籍近100套，学术期刊20余部，经过多年的建设与完善，教学实验条件完全满足教学的要求。</w:t>
      </w:r>
    </w:p>
    <w:p>
      <w:pPr>
        <w:pStyle w:val="6"/>
        <w:adjustRightInd w:val="0"/>
        <w:snapToGrid w:val="0"/>
        <w:ind w:firstLine="480"/>
        <w:rPr>
          <w:rFonts w:eastAsia="宋体"/>
          <w:color w:val="000000"/>
        </w:rPr>
      </w:pPr>
      <w:r>
        <w:rPr>
          <w:rFonts w:eastAsia="宋体"/>
          <w:color w:val="000000"/>
        </w:rPr>
        <w:t>强化师资建设与教学科研水平提高，针对师资力量薄弱，为促进车辆工程专业长足发展，近年来引进专业教师多名，截止到2022年9月，车辆工程专业专职教师共21人，实验人员共4人，师资队伍具体人员概况如表1所示。</w:t>
      </w:r>
    </w:p>
    <w:p>
      <w:pPr>
        <w:spacing w:line="240" w:lineRule="auto"/>
        <w:jc w:val="center"/>
        <w:rPr>
          <w:b/>
          <w:bCs/>
          <w:sz w:val="21"/>
          <w:szCs w:val="21"/>
        </w:rPr>
      </w:pPr>
      <w:r>
        <w:rPr>
          <w:b/>
          <w:bCs/>
          <w:sz w:val="21"/>
          <w:szCs w:val="21"/>
        </w:rPr>
        <w:t>表1  车辆工程师资队伍</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9"/>
        <w:gridCol w:w="650"/>
        <w:gridCol w:w="744"/>
        <w:gridCol w:w="913"/>
        <w:gridCol w:w="1719"/>
        <w:gridCol w:w="40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546" w:type="pct"/>
            <w:vAlign w:val="center"/>
          </w:tcPr>
          <w:p>
            <w:pPr>
              <w:spacing w:line="240" w:lineRule="auto"/>
              <w:jc w:val="center"/>
              <w:rPr>
                <w:b/>
                <w:bCs/>
                <w:sz w:val="21"/>
                <w:szCs w:val="21"/>
              </w:rPr>
            </w:pPr>
            <w:r>
              <w:rPr>
                <w:b/>
                <w:bCs/>
                <w:sz w:val="21"/>
                <w:szCs w:val="21"/>
              </w:rPr>
              <w:t>姓  名</w:t>
            </w:r>
          </w:p>
        </w:tc>
        <w:tc>
          <w:tcPr>
            <w:tcW w:w="359" w:type="pct"/>
            <w:vAlign w:val="center"/>
          </w:tcPr>
          <w:p>
            <w:pPr>
              <w:spacing w:line="240" w:lineRule="auto"/>
              <w:jc w:val="center"/>
              <w:rPr>
                <w:b/>
                <w:bCs/>
                <w:sz w:val="21"/>
                <w:szCs w:val="21"/>
              </w:rPr>
            </w:pPr>
            <w:r>
              <w:rPr>
                <w:b/>
                <w:bCs/>
                <w:sz w:val="21"/>
                <w:szCs w:val="21"/>
              </w:rPr>
              <w:t>性别</w:t>
            </w:r>
          </w:p>
        </w:tc>
        <w:tc>
          <w:tcPr>
            <w:tcW w:w="411" w:type="pct"/>
            <w:vAlign w:val="center"/>
          </w:tcPr>
          <w:p>
            <w:pPr>
              <w:spacing w:line="240" w:lineRule="auto"/>
              <w:jc w:val="center"/>
              <w:rPr>
                <w:b/>
                <w:bCs/>
                <w:sz w:val="21"/>
                <w:szCs w:val="21"/>
              </w:rPr>
            </w:pPr>
            <w:r>
              <w:rPr>
                <w:b/>
                <w:bCs/>
                <w:sz w:val="21"/>
                <w:szCs w:val="21"/>
              </w:rPr>
              <w:t>年龄</w:t>
            </w:r>
          </w:p>
        </w:tc>
        <w:tc>
          <w:tcPr>
            <w:tcW w:w="504" w:type="pct"/>
            <w:vAlign w:val="center"/>
          </w:tcPr>
          <w:p>
            <w:pPr>
              <w:spacing w:line="240" w:lineRule="auto"/>
              <w:jc w:val="center"/>
              <w:rPr>
                <w:b/>
                <w:bCs/>
                <w:sz w:val="21"/>
                <w:szCs w:val="21"/>
              </w:rPr>
            </w:pPr>
            <w:r>
              <w:rPr>
                <w:b/>
                <w:bCs/>
                <w:sz w:val="21"/>
                <w:szCs w:val="21"/>
              </w:rPr>
              <w:t>职称</w:t>
            </w:r>
          </w:p>
        </w:tc>
        <w:tc>
          <w:tcPr>
            <w:tcW w:w="949" w:type="pct"/>
            <w:vAlign w:val="center"/>
          </w:tcPr>
          <w:p>
            <w:pPr>
              <w:spacing w:line="240" w:lineRule="auto"/>
              <w:jc w:val="center"/>
              <w:rPr>
                <w:b/>
                <w:bCs/>
                <w:sz w:val="21"/>
                <w:szCs w:val="21"/>
              </w:rPr>
            </w:pPr>
            <w:r>
              <w:rPr>
                <w:b/>
                <w:bCs/>
                <w:sz w:val="21"/>
                <w:szCs w:val="21"/>
              </w:rPr>
              <w:t>学历/毕业院校</w:t>
            </w:r>
          </w:p>
        </w:tc>
        <w:tc>
          <w:tcPr>
            <w:tcW w:w="2231" w:type="pct"/>
            <w:vAlign w:val="center"/>
          </w:tcPr>
          <w:p>
            <w:pPr>
              <w:spacing w:line="240" w:lineRule="auto"/>
              <w:jc w:val="center"/>
              <w:rPr>
                <w:b/>
                <w:bCs/>
                <w:sz w:val="21"/>
                <w:szCs w:val="21"/>
              </w:rPr>
            </w:pPr>
            <w:r>
              <w:rPr>
                <w:b/>
                <w:bCs/>
                <w:sz w:val="21"/>
                <w:szCs w:val="21"/>
              </w:rPr>
              <w:t>主讲课程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苏国秀</w:t>
            </w:r>
          </w:p>
        </w:tc>
        <w:tc>
          <w:tcPr>
            <w:tcW w:w="359" w:type="pct"/>
            <w:vAlign w:val="center"/>
          </w:tcPr>
          <w:p>
            <w:pPr>
              <w:spacing w:line="240" w:lineRule="auto"/>
              <w:jc w:val="center"/>
              <w:rPr>
                <w:sz w:val="21"/>
                <w:szCs w:val="21"/>
              </w:rPr>
            </w:pPr>
            <w:r>
              <w:rPr>
                <w:sz w:val="21"/>
                <w:szCs w:val="21"/>
              </w:rPr>
              <w:t>女</w:t>
            </w:r>
          </w:p>
        </w:tc>
        <w:tc>
          <w:tcPr>
            <w:tcW w:w="411" w:type="pct"/>
            <w:vAlign w:val="center"/>
          </w:tcPr>
          <w:p>
            <w:pPr>
              <w:spacing w:line="240" w:lineRule="auto"/>
              <w:jc w:val="center"/>
              <w:rPr>
                <w:sz w:val="21"/>
                <w:szCs w:val="21"/>
              </w:rPr>
            </w:pPr>
            <w:r>
              <w:rPr>
                <w:sz w:val="21"/>
                <w:szCs w:val="21"/>
              </w:rPr>
              <w:t>45</w:t>
            </w:r>
          </w:p>
        </w:tc>
        <w:tc>
          <w:tcPr>
            <w:tcW w:w="504" w:type="pct"/>
            <w:vAlign w:val="center"/>
          </w:tcPr>
          <w:p>
            <w:pPr>
              <w:spacing w:line="240" w:lineRule="auto"/>
              <w:jc w:val="center"/>
              <w:rPr>
                <w:sz w:val="21"/>
                <w:szCs w:val="21"/>
              </w:rPr>
            </w:pPr>
            <w:r>
              <w:rPr>
                <w:sz w:val="21"/>
                <w:szCs w:val="21"/>
              </w:rPr>
              <w:t>讲师</w:t>
            </w:r>
          </w:p>
        </w:tc>
        <w:tc>
          <w:tcPr>
            <w:tcW w:w="949" w:type="pct"/>
            <w:vAlign w:val="center"/>
          </w:tcPr>
          <w:p>
            <w:pPr>
              <w:spacing w:line="240" w:lineRule="auto"/>
              <w:jc w:val="center"/>
              <w:rPr>
                <w:sz w:val="21"/>
                <w:szCs w:val="21"/>
              </w:rPr>
            </w:pPr>
            <w:r>
              <w:rPr>
                <w:sz w:val="21"/>
                <w:szCs w:val="21"/>
              </w:rPr>
              <w:t>硕士/山科大</w:t>
            </w:r>
          </w:p>
        </w:tc>
        <w:tc>
          <w:tcPr>
            <w:tcW w:w="2231" w:type="pct"/>
            <w:vAlign w:val="center"/>
          </w:tcPr>
          <w:p>
            <w:pPr>
              <w:spacing w:line="240" w:lineRule="auto"/>
              <w:jc w:val="center"/>
              <w:rPr>
                <w:sz w:val="21"/>
                <w:szCs w:val="21"/>
              </w:rPr>
            </w:pPr>
            <w:r>
              <w:rPr>
                <w:sz w:val="21"/>
                <w:szCs w:val="21"/>
              </w:rPr>
              <w:t>液压与气压传动 、CAD/CAM技术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张万枝</w:t>
            </w:r>
          </w:p>
        </w:tc>
        <w:tc>
          <w:tcPr>
            <w:tcW w:w="359" w:type="pct"/>
            <w:vAlign w:val="center"/>
          </w:tcPr>
          <w:p>
            <w:pPr>
              <w:spacing w:line="240" w:lineRule="auto"/>
              <w:jc w:val="center"/>
              <w:rPr>
                <w:sz w:val="21"/>
                <w:szCs w:val="21"/>
              </w:rPr>
            </w:pPr>
            <w:r>
              <w:rPr>
                <w:sz w:val="21"/>
                <w:szCs w:val="21"/>
              </w:rPr>
              <w:t>男</w:t>
            </w:r>
          </w:p>
        </w:tc>
        <w:tc>
          <w:tcPr>
            <w:tcW w:w="411" w:type="pct"/>
            <w:vAlign w:val="center"/>
          </w:tcPr>
          <w:p>
            <w:pPr>
              <w:spacing w:line="240" w:lineRule="auto"/>
              <w:jc w:val="center"/>
              <w:rPr>
                <w:sz w:val="21"/>
                <w:szCs w:val="21"/>
              </w:rPr>
            </w:pPr>
            <w:r>
              <w:rPr>
                <w:sz w:val="21"/>
                <w:szCs w:val="21"/>
              </w:rPr>
              <w:t>33</w:t>
            </w:r>
          </w:p>
        </w:tc>
        <w:tc>
          <w:tcPr>
            <w:tcW w:w="504" w:type="pct"/>
            <w:vAlign w:val="center"/>
          </w:tcPr>
          <w:p>
            <w:pPr>
              <w:spacing w:line="240" w:lineRule="auto"/>
              <w:jc w:val="center"/>
              <w:rPr>
                <w:sz w:val="21"/>
                <w:szCs w:val="21"/>
              </w:rPr>
            </w:pPr>
            <w:r>
              <w:rPr>
                <w:sz w:val="21"/>
                <w:szCs w:val="21"/>
              </w:rPr>
              <w:t>副教授</w:t>
            </w:r>
          </w:p>
        </w:tc>
        <w:tc>
          <w:tcPr>
            <w:tcW w:w="949" w:type="pct"/>
            <w:vAlign w:val="center"/>
          </w:tcPr>
          <w:p>
            <w:pPr>
              <w:spacing w:line="240" w:lineRule="auto"/>
              <w:jc w:val="center"/>
              <w:rPr>
                <w:sz w:val="21"/>
                <w:szCs w:val="21"/>
              </w:rPr>
            </w:pPr>
            <w:r>
              <w:rPr>
                <w:sz w:val="21"/>
                <w:szCs w:val="21"/>
              </w:rPr>
              <w:t>博士/山大</w:t>
            </w:r>
          </w:p>
        </w:tc>
        <w:tc>
          <w:tcPr>
            <w:tcW w:w="2231" w:type="pct"/>
            <w:vAlign w:val="center"/>
          </w:tcPr>
          <w:p>
            <w:pPr>
              <w:spacing w:line="240" w:lineRule="auto"/>
              <w:jc w:val="center"/>
              <w:rPr>
                <w:sz w:val="21"/>
                <w:szCs w:val="21"/>
              </w:rPr>
            </w:pPr>
            <w:r>
              <w:rPr>
                <w:sz w:val="21"/>
                <w:szCs w:val="21"/>
              </w:rPr>
              <w:t>车辆工程专业英语、汽车电器与电控技术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穆桂脂</w:t>
            </w:r>
          </w:p>
        </w:tc>
        <w:tc>
          <w:tcPr>
            <w:tcW w:w="359" w:type="pct"/>
            <w:vAlign w:val="center"/>
          </w:tcPr>
          <w:p>
            <w:pPr>
              <w:spacing w:line="240" w:lineRule="auto"/>
              <w:jc w:val="center"/>
              <w:rPr>
                <w:sz w:val="21"/>
                <w:szCs w:val="21"/>
              </w:rPr>
            </w:pPr>
            <w:r>
              <w:rPr>
                <w:sz w:val="21"/>
                <w:szCs w:val="21"/>
              </w:rPr>
              <w:t>女</w:t>
            </w:r>
          </w:p>
        </w:tc>
        <w:tc>
          <w:tcPr>
            <w:tcW w:w="411" w:type="pct"/>
            <w:vAlign w:val="center"/>
          </w:tcPr>
          <w:p>
            <w:pPr>
              <w:spacing w:line="240" w:lineRule="auto"/>
              <w:jc w:val="center"/>
              <w:rPr>
                <w:sz w:val="21"/>
                <w:szCs w:val="21"/>
              </w:rPr>
            </w:pPr>
            <w:r>
              <w:rPr>
                <w:sz w:val="21"/>
                <w:szCs w:val="21"/>
              </w:rPr>
              <w:t>40</w:t>
            </w:r>
          </w:p>
        </w:tc>
        <w:tc>
          <w:tcPr>
            <w:tcW w:w="504" w:type="pct"/>
            <w:vAlign w:val="center"/>
          </w:tcPr>
          <w:p>
            <w:pPr>
              <w:spacing w:line="240" w:lineRule="auto"/>
              <w:jc w:val="center"/>
              <w:rPr>
                <w:sz w:val="21"/>
                <w:szCs w:val="21"/>
              </w:rPr>
            </w:pPr>
            <w:r>
              <w:rPr>
                <w:sz w:val="21"/>
                <w:szCs w:val="21"/>
              </w:rPr>
              <w:t>讲师</w:t>
            </w:r>
          </w:p>
        </w:tc>
        <w:tc>
          <w:tcPr>
            <w:tcW w:w="949" w:type="pct"/>
            <w:vAlign w:val="center"/>
          </w:tcPr>
          <w:p>
            <w:pPr>
              <w:spacing w:line="240" w:lineRule="auto"/>
              <w:jc w:val="center"/>
              <w:rPr>
                <w:sz w:val="21"/>
                <w:szCs w:val="21"/>
              </w:rPr>
            </w:pPr>
            <w:r>
              <w:rPr>
                <w:sz w:val="21"/>
                <w:szCs w:val="21"/>
              </w:rPr>
              <w:t>硕士/江苏大学</w:t>
            </w:r>
          </w:p>
        </w:tc>
        <w:tc>
          <w:tcPr>
            <w:tcW w:w="2231" w:type="pct"/>
            <w:vAlign w:val="center"/>
          </w:tcPr>
          <w:p>
            <w:pPr>
              <w:spacing w:line="240" w:lineRule="auto"/>
              <w:jc w:val="center"/>
              <w:rPr>
                <w:sz w:val="21"/>
                <w:szCs w:val="21"/>
              </w:rPr>
            </w:pPr>
            <w:r>
              <w:rPr>
                <w:sz w:val="21"/>
                <w:szCs w:val="21"/>
              </w:rPr>
              <w:t>汽车检测与诊断技术、汽车排放与污染</w:t>
            </w:r>
          </w:p>
          <w:p>
            <w:pPr>
              <w:spacing w:line="240" w:lineRule="auto"/>
              <w:jc w:val="center"/>
              <w:rPr>
                <w:sz w:val="21"/>
                <w:szCs w:val="21"/>
              </w:rPr>
            </w:pPr>
            <w:r>
              <w:rPr>
                <w:sz w:val="21"/>
                <w:szCs w:val="21"/>
              </w:rPr>
              <w:t>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邹亮亮</w:t>
            </w:r>
          </w:p>
        </w:tc>
        <w:tc>
          <w:tcPr>
            <w:tcW w:w="359" w:type="pct"/>
            <w:vAlign w:val="center"/>
          </w:tcPr>
          <w:p>
            <w:pPr>
              <w:spacing w:line="240" w:lineRule="auto"/>
              <w:jc w:val="center"/>
              <w:rPr>
                <w:sz w:val="21"/>
                <w:szCs w:val="21"/>
              </w:rPr>
            </w:pPr>
            <w:r>
              <w:rPr>
                <w:sz w:val="21"/>
                <w:szCs w:val="21"/>
              </w:rPr>
              <w:t>男</w:t>
            </w:r>
          </w:p>
        </w:tc>
        <w:tc>
          <w:tcPr>
            <w:tcW w:w="411" w:type="pct"/>
            <w:vAlign w:val="center"/>
          </w:tcPr>
          <w:p>
            <w:pPr>
              <w:spacing w:line="240" w:lineRule="auto"/>
              <w:jc w:val="center"/>
              <w:rPr>
                <w:sz w:val="21"/>
                <w:szCs w:val="21"/>
              </w:rPr>
            </w:pPr>
            <w:r>
              <w:rPr>
                <w:sz w:val="21"/>
                <w:szCs w:val="21"/>
              </w:rPr>
              <w:t>36</w:t>
            </w:r>
          </w:p>
        </w:tc>
        <w:tc>
          <w:tcPr>
            <w:tcW w:w="504" w:type="pct"/>
            <w:vAlign w:val="center"/>
          </w:tcPr>
          <w:p>
            <w:pPr>
              <w:spacing w:line="240" w:lineRule="auto"/>
              <w:jc w:val="center"/>
              <w:rPr>
                <w:sz w:val="21"/>
                <w:szCs w:val="21"/>
              </w:rPr>
            </w:pPr>
            <w:r>
              <w:rPr>
                <w:sz w:val="21"/>
                <w:szCs w:val="21"/>
              </w:rPr>
              <w:t>讲师</w:t>
            </w:r>
          </w:p>
        </w:tc>
        <w:tc>
          <w:tcPr>
            <w:tcW w:w="949" w:type="pct"/>
            <w:vAlign w:val="center"/>
          </w:tcPr>
          <w:p>
            <w:pPr>
              <w:spacing w:line="240" w:lineRule="auto"/>
              <w:jc w:val="center"/>
              <w:rPr>
                <w:sz w:val="21"/>
                <w:szCs w:val="21"/>
              </w:rPr>
            </w:pPr>
            <w:r>
              <w:rPr>
                <w:sz w:val="21"/>
                <w:szCs w:val="21"/>
              </w:rPr>
              <w:t>硕士/长安大学</w:t>
            </w:r>
          </w:p>
        </w:tc>
        <w:tc>
          <w:tcPr>
            <w:tcW w:w="2231" w:type="pct"/>
            <w:vAlign w:val="center"/>
          </w:tcPr>
          <w:p>
            <w:pPr>
              <w:spacing w:line="240" w:lineRule="auto"/>
              <w:jc w:val="center"/>
              <w:rPr>
                <w:sz w:val="21"/>
                <w:szCs w:val="21"/>
              </w:rPr>
            </w:pPr>
            <w:r>
              <w:rPr>
                <w:sz w:val="21"/>
                <w:szCs w:val="21"/>
              </w:rPr>
              <w:t>汽车理论、汽车试验学、内燃机原理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张婷婷</w:t>
            </w:r>
          </w:p>
        </w:tc>
        <w:tc>
          <w:tcPr>
            <w:tcW w:w="359" w:type="pct"/>
            <w:vAlign w:val="center"/>
          </w:tcPr>
          <w:p>
            <w:pPr>
              <w:spacing w:line="240" w:lineRule="auto"/>
              <w:jc w:val="center"/>
              <w:rPr>
                <w:sz w:val="21"/>
                <w:szCs w:val="21"/>
              </w:rPr>
            </w:pPr>
            <w:r>
              <w:rPr>
                <w:sz w:val="21"/>
                <w:szCs w:val="21"/>
              </w:rPr>
              <w:t>女</w:t>
            </w:r>
          </w:p>
        </w:tc>
        <w:tc>
          <w:tcPr>
            <w:tcW w:w="411" w:type="pct"/>
            <w:vAlign w:val="center"/>
          </w:tcPr>
          <w:p>
            <w:pPr>
              <w:spacing w:line="240" w:lineRule="auto"/>
              <w:jc w:val="center"/>
              <w:rPr>
                <w:sz w:val="21"/>
                <w:szCs w:val="21"/>
              </w:rPr>
            </w:pPr>
            <w:r>
              <w:rPr>
                <w:sz w:val="21"/>
                <w:szCs w:val="21"/>
              </w:rPr>
              <w:t>32</w:t>
            </w:r>
          </w:p>
        </w:tc>
        <w:tc>
          <w:tcPr>
            <w:tcW w:w="504" w:type="pct"/>
            <w:vAlign w:val="center"/>
          </w:tcPr>
          <w:p>
            <w:pPr>
              <w:spacing w:line="240" w:lineRule="auto"/>
              <w:jc w:val="center"/>
              <w:rPr>
                <w:sz w:val="21"/>
                <w:szCs w:val="21"/>
              </w:rPr>
            </w:pPr>
            <w:r>
              <w:rPr>
                <w:sz w:val="21"/>
                <w:szCs w:val="21"/>
              </w:rPr>
              <w:t>讲师</w:t>
            </w:r>
          </w:p>
        </w:tc>
        <w:tc>
          <w:tcPr>
            <w:tcW w:w="949" w:type="pct"/>
            <w:vAlign w:val="center"/>
          </w:tcPr>
          <w:p>
            <w:pPr>
              <w:spacing w:line="240" w:lineRule="auto"/>
              <w:jc w:val="center"/>
              <w:rPr>
                <w:sz w:val="21"/>
                <w:szCs w:val="21"/>
              </w:rPr>
            </w:pPr>
            <w:r>
              <w:rPr>
                <w:sz w:val="21"/>
                <w:szCs w:val="21"/>
              </w:rPr>
              <w:t>博士/武汉理工</w:t>
            </w:r>
          </w:p>
        </w:tc>
        <w:tc>
          <w:tcPr>
            <w:tcW w:w="2231" w:type="pct"/>
            <w:vAlign w:val="center"/>
          </w:tcPr>
          <w:p>
            <w:pPr>
              <w:spacing w:line="240" w:lineRule="auto"/>
              <w:jc w:val="center"/>
              <w:rPr>
                <w:sz w:val="21"/>
                <w:szCs w:val="21"/>
              </w:rPr>
            </w:pPr>
            <w:r>
              <w:rPr>
                <w:sz w:val="21"/>
                <w:szCs w:val="21"/>
              </w:rPr>
              <w:t>汽车工业企业管理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李玉华</w:t>
            </w:r>
          </w:p>
        </w:tc>
        <w:tc>
          <w:tcPr>
            <w:tcW w:w="359" w:type="pct"/>
            <w:vAlign w:val="center"/>
          </w:tcPr>
          <w:p>
            <w:pPr>
              <w:spacing w:line="240" w:lineRule="auto"/>
              <w:jc w:val="center"/>
              <w:rPr>
                <w:sz w:val="21"/>
                <w:szCs w:val="21"/>
              </w:rPr>
            </w:pPr>
            <w:r>
              <w:rPr>
                <w:sz w:val="21"/>
                <w:szCs w:val="21"/>
              </w:rPr>
              <w:t>男</w:t>
            </w:r>
          </w:p>
        </w:tc>
        <w:tc>
          <w:tcPr>
            <w:tcW w:w="411" w:type="pct"/>
            <w:vAlign w:val="center"/>
          </w:tcPr>
          <w:p>
            <w:pPr>
              <w:spacing w:line="240" w:lineRule="auto"/>
              <w:jc w:val="center"/>
              <w:rPr>
                <w:sz w:val="21"/>
                <w:szCs w:val="21"/>
              </w:rPr>
            </w:pPr>
            <w:r>
              <w:rPr>
                <w:sz w:val="21"/>
                <w:szCs w:val="21"/>
              </w:rPr>
              <w:t>38</w:t>
            </w:r>
          </w:p>
        </w:tc>
        <w:tc>
          <w:tcPr>
            <w:tcW w:w="504" w:type="pct"/>
            <w:vAlign w:val="center"/>
          </w:tcPr>
          <w:p>
            <w:pPr>
              <w:spacing w:line="240" w:lineRule="auto"/>
              <w:jc w:val="center"/>
              <w:rPr>
                <w:sz w:val="21"/>
                <w:szCs w:val="21"/>
              </w:rPr>
            </w:pPr>
            <w:r>
              <w:rPr>
                <w:sz w:val="21"/>
                <w:szCs w:val="21"/>
              </w:rPr>
              <w:t>副教授</w:t>
            </w:r>
          </w:p>
        </w:tc>
        <w:tc>
          <w:tcPr>
            <w:tcW w:w="949" w:type="pct"/>
            <w:vAlign w:val="center"/>
          </w:tcPr>
          <w:p>
            <w:pPr>
              <w:spacing w:line="240" w:lineRule="auto"/>
              <w:jc w:val="center"/>
              <w:rPr>
                <w:sz w:val="21"/>
                <w:szCs w:val="21"/>
              </w:rPr>
            </w:pPr>
            <w:r>
              <w:rPr>
                <w:sz w:val="21"/>
                <w:szCs w:val="21"/>
              </w:rPr>
              <w:t>硕士/重庆大学</w:t>
            </w:r>
          </w:p>
        </w:tc>
        <w:tc>
          <w:tcPr>
            <w:tcW w:w="2231" w:type="pct"/>
            <w:vAlign w:val="center"/>
          </w:tcPr>
          <w:p>
            <w:pPr>
              <w:spacing w:line="240" w:lineRule="auto"/>
              <w:jc w:val="center"/>
              <w:rPr>
                <w:sz w:val="21"/>
                <w:szCs w:val="21"/>
              </w:rPr>
            </w:pPr>
            <w:r>
              <w:rPr>
                <w:sz w:val="21"/>
                <w:szCs w:val="21"/>
              </w:rPr>
              <w:t>汽车制造工艺学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傅生辉</w:t>
            </w:r>
          </w:p>
        </w:tc>
        <w:tc>
          <w:tcPr>
            <w:tcW w:w="359" w:type="pct"/>
            <w:vAlign w:val="center"/>
          </w:tcPr>
          <w:p>
            <w:pPr>
              <w:spacing w:line="240" w:lineRule="auto"/>
              <w:jc w:val="center"/>
              <w:rPr>
                <w:sz w:val="21"/>
                <w:szCs w:val="21"/>
              </w:rPr>
            </w:pPr>
            <w:r>
              <w:rPr>
                <w:sz w:val="21"/>
                <w:szCs w:val="21"/>
              </w:rPr>
              <w:t>男</w:t>
            </w:r>
          </w:p>
        </w:tc>
        <w:tc>
          <w:tcPr>
            <w:tcW w:w="411" w:type="pct"/>
            <w:vAlign w:val="center"/>
          </w:tcPr>
          <w:p>
            <w:pPr>
              <w:spacing w:line="240" w:lineRule="auto"/>
              <w:jc w:val="center"/>
              <w:rPr>
                <w:sz w:val="21"/>
                <w:szCs w:val="21"/>
              </w:rPr>
            </w:pPr>
            <w:r>
              <w:rPr>
                <w:sz w:val="21"/>
                <w:szCs w:val="21"/>
              </w:rPr>
              <w:t>34</w:t>
            </w:r>
          </w:p>
        </w:tc>
        <w:tc>
          <w:tcPr>
            <w:tcW w:w="504" w:type="pct"/>
            <w:vAlign w:val="center"/>
          </w:tcPr>
          <w:p>
            <w:pPr>
              <w:spacing w:line="240" w:lineRule="auto"/>
              <w:jc w:val="center"/>
              <w:rPr>
                <w:sz w:val="21"/>
                <w:szCs w:val="21"/>
              </w:rPr>
            </w:pPr>
            <w:r>
              <w:rPr>
                <w:sz w:val="21"/>
                <w:szCs w:val="21"/>
              </w:rPr>
              <w:t>副教授</w:t>
            </w:r>
          </w:p>
        </w:tc>
        <w:tc>
          <w:tcPr>
            <w:tcW w:w="949" w:type="pct"/>
            <w:vAlign w:val="center"/>
          </w:tcPr>
          <w:p>
            <w:pPr>
              <w:spacing w:line="240" w:lineRule="auto"/>
              <w:jc w:val="center"/>
              <w:rPr>
                <w:sz w:val="21"/>
                <w:szCs w:val="21"/>
              </w:rPr>
            </w:pPr>
            <w:r>
              <w:rPr>
                <w:sz w:val="21"/>
                <w:szCs w:val="21"/>
              </w:rPr>
              <w:t>博士/中国农业大学</w:t>
            </w:r>
          </w:p>
        </w:tc>
        <w:tc>
          <w:tcPr>
            <w:tcW w:w="2231" w:type="pct"/>
            <w:vAlign w:val="center"/>
          </w:tcPr>
          <w:p>
            <w:pPr>
              <w:spacing w:line="240" w:lineRule="auto"/>
              <w:jc w:val="center"/>
              <w:rPr>
                <w:sz w:val="21"/>
                <w:szCs w:val="21"/>
              </w:rPr>
            </w:pPr>
            <w:r>
              <w:rPr>
                <w:sz w:val="21"/>
                <w:szCs w:val="21"/>
              </w:rPr>
              <w:t>车身结构与设计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杨延强</w:t>
            </w:r>
          </w:p>
        </w:tc>
        <w:tc>
          <w:tcPr>
            <w:tcW w:w="359" w:type="pct"/>
            <w:vAlign w:val="center"/>
          </w:tcPr>
          <w:p>
            <w:pPr>
              <w:spacing w:line="240" w:lineRule="auto"/>
              <w:jc w:val="center"/>
              <w:rPr>
                <w:sz w:val="21"/>
                <w:szCs w:val="21"/>
              </w:rPr>
            </w:pPr>
            <w:r>
              <w:rPr>
                <w:sz w:val="21"/>
                <w:szCs w:val="21"/>
              </w:rPr>
              <w:t>男</w:t>
            </w:r>
          </w:p>
        </w:tc>
        <w:tc>
          <w:tcPr>
            <w:tcW w:w="411" w:type="pct"/>
            <w:vAlign w:val="center"/>
          </w:tcPr>
          <w:p>
            <w:pPr>
              <w:spacing w:line="240" w:lineRule="auto"/>
              <w:jc w:val="center"/>
              <w:rPr>
                <w:sz w:val="21"/>
                <w:szCs w:val="21"/>
              </w:rPr>
            </w:pPr>
            <w:r>
              <w:rPr>
                <w:sz w:val="21"/>
                <w:szCs w:val="21"/>
              </w:rPr>
              <w:t>40</w:t>
            </w:r>
          </w:p>
        </w:tc>
        <w:tc>
          <w:tcPr>
            <w:tcW w:w="504" w:type="pct"/>
            <w:vAlign w:val="center"/>
          </w:tcPr>
          <w:p>
            <w:pPr>
              <w:spacing w:line="240" w:lineRule="auto"/>
              <w:jc w:val="center"/>
              <w:rPr>
                <w:sz w:val="21"/>
                <w:szCs w:val="21"/>
              </w:rPr>
            </w:pPr>
            <w:r>
              <w:rPr>
                <w:sz w:val="21"/>
                <w:szCs w:val="21"/>
              </w:rPr>
              <w:t>讲师</w:t>
            </w:r>
          </w:p>
        </w:tc>
        <w:tc>
          <w:tcPr>
            <w:tcW w:w="949" w:type="pct"/>
            <w:vAlign w:val="center"/>
          </w:tcPr>
          <w:p>
            <w:pPr>
              <w:spacing w:line="240" w:lineRule="auto"/>
              <w:jc w:val="center"/>
              <w:rPr>
                <w:sz w:val="21"/>
                <w:szCs w:val="21"/>
              </w:rPr>
            </w:pPr>
            <w:r>
              <w:rPr>
                <w:sz w:val="21"/>
                <w:szCs w:val="21"/>
              </w:rPr>
              <w:t>博士/山理工</w:t>
            </w:r>
          </w:p>
        </w:tc>
        <w:tc>
          <w:tcPr>
            <w:tcW w:w="2231" w:type="pct"/>
            <w:vAlign w:val="center"/>
          </w:tcPr>
          <w:p>
            <w:pPr>
              <w:spacing w:line="240" w:lineRule="auto"/>
              <w:jc w:val="center"/>
              <w:rPr>
                <w:sz w:val="21"/>
                <w:szCs w:val="21"/>
              </w:rPr>
            </w:pPr>
            <w:r>
              <w:rPr>
                <w:sz w:val="21"/>
                <w:szCs w:val="21"/>
              </w:rPr>
              <w:t>汽车新能源技术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宋月鹏</w:t>
            </w:r>
          </w:p>
        </w:tc>
        <w:tc>
          <w:tcPr>
            <w:tcW w:w="359" w:type="pct"/>
            <w:vAlign w:val="center"/>
          </w:tcPr>
          <w:p>
            <w:pPr>
              <w:spacing w:line="240" w:lineRule="auto"/>
              <w:jc w:val="center"/>
              <w:rPr>
                <w:sz w:val="21"/>
                <w:szCs w:val="21"/>
              </w:rPr>
            </w:pPr>
            <w:r>
              <w:rPr>
                <w:sz w:val="21"/>
                <w:szCs w:val="21"/>
              </w:rPr>
              <w:t>男</w:t>
            </w:r>
          </w:p>
        </w:tc>
        <w:tc>
          <w:tcPr>
            <w:tcW w:w="411" w:type="pct"/>
            <w:vAlign w:val="center"/>
          </w:tcPr>
          <w:p>
            <w:pPr>
              <w:spacing w:line="240" w:lineRule="auto"/>
              <w:jc w:val="center"/>
              <w:rPr>
                <w:sz w:val="21"/>
                <w:szCs w:val="21"/>
              </w:rPr>
            </w:pPr>
            <w:r>
              <w:rPr>
                <w:sz w:val="21"/>
                <w:szCs w:val="21"/>
              </w:rPr>
              <w:t>52</w:t>
            </w:r>
          </w:p>
        </w:tc>
        <w:tc>
          <w:tcPr>
            <w:tcW w:w="504" w:type="pct"/>
            <w:vAlign w:val="center"/>
          </w:tcPr>
          <w:p>
            <w:pPr>
              <w:spacing w:line="240" w:lineRule="auto"/>
              <w:jc w:val="center"/>
              <w:rPr>
                <w:sz w:val="21"/>
                <w:szCs w:val="21"/>
              </w:rPr>
            </w:pPr>
            <w:r>
              <w:rPr>
                <w:sz w:val="21"/>
                <w:szCs w:val="21"/>
              </w:rPr>
              <w:t>教授</w:t>
            </w:r>
          </w:p>
        </w:tc>
        <w:tc>
          <w:tcPr>
            <w:tcW w:w="949" w:type="pct"/>
            <w:vAlign w:val="center"/>
          </w:tcPr>
          <w:p>
            <w:pPr>
              <w:spacing w:line="240" w:lineRule="auto"/>
              <w:jc w:val="center"/>
              <w:rPr>
                <w:sz w:val="21"/>
                <w:szCs w:val="21"/>
              </w:rPr>
            </w:pPr>
            <w:r>
              <w:rPr>
                <w:sz w:val="21"/>
                <w:szCs w:val="21"/>
              </w:rPr>
              <w:t>博士后/中科院</w:t>
            </w:r>
          </w:p>
        </w:tc>
        <w:tc>
          <w:tcPr>
            <w:tcW w:w="2231" w:type="pct"/>
            <w:vAlign w:val="center"/>
          </w:tcPr>
          <w:p>
            <w:pPr>
              <w:spacing w:line="240" w:lineRule="auto"/>
              <w:jc w:val="center"/>
              <w:rPr>
                <w:sz w:val="21"/>
                <w:szCs w:val="21"/>
              </w:rPr>
            </w:pPr>
            <w:r>
              <w:rPr>
                <w:sz w:val="21"/>
                <w:szCs w:val="21"/>
              </w:rPr>
              <w:t>工程材料学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许令峰</w:t>
            </w:r>
          </w:p>
        </w:tc>
        <w:tc>
          <w:tcPr>
            <w:tcW w:w="359" w:type="pct"/>
            <w:vAlign w:val="center"/>
          </w:tcPr>
          <w:p>
            <w:pPr>
              <w:spacing w:line="240" w:lineRule="auto"/>
              <w:jc w:val="center"/>
              <w:rPr>
                <w:sz w:val="21"/>
                <w:szCs w:val="21"/>
              </w:rPr>
            </w:pPr>
            <w:r>
              <w:rPr>
                <w:sz w:val="21"/>
                <w:szCs w:val="21"/>
              </w:rPr>
              <w:t>男</w:t>
            </w:r>
          </w:p>
        </w:tc>
        <w:tc>
          <w:tcPr>
            <w:tcW w:w="411" w:type="pct"/>
            <w:vAlign w:val="center"/>
          </w:tcPr>
          <w:p>
            <w:pPr>
              <w:spacing w:line="240" w:lineRule="auto"/>
              <w:jc w:val="center"/>
              <w:rPr>
                <w:sz w:val="21"/>
                <w:szCs w:val="21"/>
              </w:rPr>
            </w:pPr>
            <w:r>
              <w:rPr>
                <w:sz w:val="21"/>
                <w:szCs w:val="21"/>
              </w:rPr>
              <w:t>52</w:t>
            </w:r>
          </w:p>
        </w:tc>
        <w:tc>
          <w:tcPr>
            <w:tcW w:w="504" w:type="pct"/>
            <w:vAlign w:val="center"/>
          </w:tcPr>
          <w:p>
            <w:pPr>
              <w:spacing w:line="240" w:lineRule="auto"/>
              <w:jc w:val="center"/>
              <w:rPr>
                <w:sz w:val="21"/>
                <w:szCs w:val="21"/>
              </w:rPr>
            </w:pPr>
            <w:r>
              <w:rPr>
                <w:sz w:val="21"/>
                <w:szCs w:val="21"/>
              </w:rPr>
              <w:t>副教授</w:t>
            </w:r>
          </w:p>
        </w:tc>
        <w:tc>
          <w:tcPr>
            <w:tcW w:w="949" w:type="pct"/>
            <w:vAlign w:val="center"/>
          </w:tcPr>
          <w:p>
            <w:pPr>
              <w:spacing w:line="240" w:lineRule="auto"/>
              <w:jc w:val="center"/>
              <w:rPr>
                <w:sz w:val="21"/>
                <w:szCs w:val="21"/>
              </w:rPr>
            </w:pPr>
            <w:r>
              <w:rPr>
                <w:sz w:val="21"/>
                <w:szCs w:val="21"/>
              </w:rPr>
              <w:t>博士/北科大</w:t>
            </w:r>
          </w:p>
        </w:tc>
        <w:tc>
          <w:tcPr>
            <w:tcW w:w="2231" w:type="pct"/>
            <w:vAlign w:val="center"/>
          </w:tcPr>
          <w:p>
            <w:pPr>
              <w:spacing w:line="240" w:lineRule="auto"/>
              <w:jc w:val="center"/>
              <w:rPr>
                <w:sz w:val="21"/>
                <w:szCs w:val="21"/>
              </w:rPr>
            </w:pPr>
            <w:r>
              <w:rPr>
                <w:sz w:val="21"/>
                <w:szCs w:val="21"/>
              </w:rPr>
              <w:t>机械原理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冯天涛</w:t>
            </w:r>
          </w:p>
        </w:tc>
        <w:tc>
          <w:tcPr>
            <w:tcW w:w="359" w:type="pct"/>
            <w:vAlign w:val="center"/>
          </w:tcPr>
          <w:p>
            <w:pPr>
              <w:spacing w:line="240" w:lineRule="auto"/>
              <w:jc w:val="center"/>
              <w:rPr>
                <w:sz w:val="21"/>
                <w:szCs w:val="21"/>
              </w:rPr>
            </w:pPr>
            <w:r>
              <w:rPr>
                <w:sz w:val="21"/>
                <w:szCs w:val="21"/>
              </w:rPr>
              <w:t>男</w:t>
            </w:r>
          </w:p>
        </w:tc>
        <w:tc>
          <w:tcPr>
            <w:tcW w:w="411" w:type="pct"/>
            <w:vAlign w:val="center"/>
          </w:tcPr>
          <w:p>
            <w:pPr>
              <w:spacing w:line="240" w:lineRule="auto"/>
              <w:jc w:val="center"/>
              <w:rPr>
                <w:sz w:val="21"/>
                <w:szCs w:val="21"/>
              </w:rPr>
            </w:pPr>
            <w:r>
              <w:rPr>
                <w:sz w:val="21"/>
                <w:szCs w:val="21"/>
              </w:rPr>
              <w:t>43</w:t>
            </w:r>
          </w:p>
        </w:tc>
        <w:tc>
          <w:tcPr>
            <w:tcW w:w="504" w:type="pct"/>
            <w:vAlign w:val="center"/>
          </w:tcPr>
          <w:p>
            <w:pPr>
              <w:spacing w:line="240" w:lineRule="auto"/>
              <w:jc w:val="center"/>
              <w:rPr>
                <w:sz w:val="21"/>
                <w:szCs w:val="21"/>
              </w:rPr>
            </w:pPr>
            <w:r>
              <w:rPr>
                <w:sz w:val="21"/>
                <w:szCs w:val="21"/>
              </w:rPr>
              <w:t>讲师</w:t>
            </w:r>
          </w:p>
        </w:tc>
        <w:tc>
          <w:tcPr>
            <w:tcW w:w="949" w:type="pct"/>
            <w:vAlign w:val="center"/>
          </w:tcPr>
          <w:p>
            <w:pPr>
              <w:spacing w:line="240" w:lineRule="auto"/>
              <w:jc w:val="center"/>
              <w:rPr>
                <w:sz w:val="21"/>
                <w:szCs w:val="21"/>
              </w:rPr>
            </w:pPr>
            <w:r>
              <w:rPr>
                <w:sz w:val="21"/>
                <w:szCs w:val="21"/>
              </w:rPr>
              <w:t>博士/山农大</w:t>
            </w:r>
          </w:p>
        </w:tc>
        <w:tc>
          <w:tcPr>
            <w:tcW w:w="2231" w:type="pct"/>
            <w:vAlign w:val="center"/>
          </w:tcPr>
          <w:p>
            <w:pPr>
              <w:spacing w:line="240" w:lineRule="auto"/>
              <w:jc w:val="center"/>
              <w:rPr>
                <w:sz w:val="21"/>
                <w:szCs w:val="21"/>
              </w:rPr>
            </w:pPr>
            <w:r>
              <w:rPr>
                <w:sz w:val="21"/>
                <w:szCs w:val="21"/>
              </w:rPr>
              <w:t>机械制造工艺学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王金星</w:t>
            </w:r>
          </w:p>
        </w:tc>
        <w:tc>
          <w:tcPr>
            <w:tcW w:w="359" w:type="pct"/>
            <w:vAlign w:val="center"/>
          </w:tcPr>
          <w:p>
            <w:pPr>
              <w:spacing w:line="240" w:lineRule="auto"/>
              <w:jc w:val="center"/>
              <w:rPr>
                <w:sz w:val="21"/>
                <w:szCs w:val="21"/>
              </w:rPr>
            </w:pPr>
            <w:r>
              <w:rPr>
                <w:sz w:val="21"/>
                <w:szCs w:val="21"/>
              </w:rPr>
              <w:t>男</w:t>
            </w:r>
          </w:p>
        </w:tc>
        <w:tc>
          <w:tcPr>
            <w:tcW w:w="411" w:type="pct"/>
            <w:vAlign w:val="center"/>
          </w:tcPr>
          <w:p>
            <w:pPr>
              <w:spacing w:line="240" w:lineRule="auto"/>
              <w:jc w:val="center"/>
              <w:rPr>
                <w:sz w:val="21"/>
                <w:szCs w:val="21"/>
              </w:rPr>
            </w:pPr>
            <w:r>
              <w:rPr>
                <w:sz w:val="21"/>
                <w:szCs w:val="21"/>
              </w:rPr>
              <w:t>52</w:t>
            </w:r>
          </w:p>
        </w:tc>
        <w:tc>
          <w:tcPr>
            <w:tcW w:w="504" w:type="pct"/>
            <w:vAlign w:val="center"/>
          </w:tcPr>
          <w:p>
            <w:pPr>
              <w:spacing w:line="240" w:lineRule="auto"/>
              <w:jc w:val="center"/>
              <w:rPr>
                <w:sz w:val="21"/>
                <w:szCs w:val="21"/>
              </w:rPr>
            </w:pPr>
            <w:r>
              <w:rPr>
                <w:sz w:val="21"/>
                <w:szCs w:val="21"/>
              </w:rPr>
              <w:t>教授</w:t>
            </w:r>
          </w:p>
        </w:tc>
        <w:tc>
          <w:tcPr>
            <w:tcW w:w="949" w:type="pct"/>
            <w:vAlign w:val="center"/>
          </w:tcPr>
          <w:p>
            <w:pPr>
              <w:spacing w:line="240" w:lineRule="auto"/>
              <w:jc w:val="center"/>
              <w:rPr>
                <w:sz w:val="21"/>
                <w:szCs w:val="21"/>
              </w:rPr>
            </w:pPr>
            <w:r>
              <w:rPr>
                <w:sz w:val="21"/>
                <w:szCs w:val="21"/>
              </w:rPr>
              <w:t>博士/华中科大</w:t>
            </w:r>
          </w:p>
        </w:tc>
        <w:tc>
          <w:tcPr>
            <w:tcW w:w="2231" w:type="pct"/>
            <w:vAlign w:val="center"/>
          </w:tcPr>
          <w:p>
            <w:pPr>
              <w:spacing w:line="240" w:lineRule="auto"/>
              <w:jc w:val="center"/>
              <w:rPr>
                <w:sz w:val="21"/>
                <w:szCs w:val="21"/>
              </w:rPr>
            </w:pPr>
            <w:r>
              <w:rPr>
                <w:sz w:val="21"/>
                <w:szCs w:val="21"/>
              </w:rPr>
              <w:t>公差与技术测量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郭  晶</w:t>
            </w:r>
          </w:p>
        </w:tc>
        <w:tc>
          <w:tcPr>
            <w:tcW w:w="359" w:type="pct"/>
            <w:vAlign w:val="center"/>
          </w:tcPr>
          <w:p>
            <w:pPr>
              <w:spacing w:line="240" w:lineRule="auto"/>
              <w:jc w:val="center"/>
              <w:rPr>
                <w:sz w:val="21"/>
                <w:szCs w:val="21"/>
              </w:rPr>
            </w:pPr>
            <w:r>
              <w:rPr>
                <w:sz w:val="21"/>
                <w:szCs w:val="21"/>
              </w:rPr>
              <w:t>女</w:t>
            </w:r>
          </w:p>
        </w:tc>
        <w:tc>
          <w:tcPr>
            <w:tcW w:w="411" w:type="pct"/>
            <w:vAlign w:val="center"/>
          </w:tcPr>
          <w:p>
            <w:pPr>
              <w:spacing w:line="240" w:lineRule="auto"/>
              <w:jc w:val="center"/>
              <w:rPr>
                <w:sz w:val="21"/>
                <w:szCs w:val="21"/>
              </w:rPr>
            </w:pPr>
            <w:r>
              <w:rPr>
                <w:sz w:val="21"/>
                <w:szCs w:val="21"/>
              </w:rPr>
              <w:t>43</w:t>
            </w:r>
          </w:p>
        </w:tc>
        <w:tc>
          <w:tcPr>
            <w:tcW w:w="504" w:type="pct"/>
            <w:vAlign w:val="center"/>
          </w:tcPr>
          <w:p>
            <w:pPr>
              <w:spacing w:line="240" w:lineRule="auto"/>
              <w:jc w:val="center"/>
              <w:rPr>
                <w:sz w:val="21"/>
                <w:szCs w:val="21"/>
              </w:rPr>
            </w:pPr>
            <w:r>
              <w:rPr>
                <w:sz w:val="21"/>
                <w:szCs w:val="21"/>
              </w:rPr>
              <w:t>教授</w:t>
            </w:r>
          </w:p>
        </w:tc>
        <w:tc>
          <w:tcPr>
            <w:tcW w:w="949" w:type="pct"/>
            <w:vAlign w:val="center"/>
          </w:tcPr>
          <w:p>
            <w:pPr>
              <w:spacing w:line="240" w:lineRule="auto"/>
              <w:jc w:val="center"/>
              <w:rPr>
                <w:sz w:val="21"/>
                <w:szCs w:val="21"/>
              </w:rPr>
            </w:pPr>
            <w:r>
              <w:rPr>
                <w:sz w:val="21"/>
                <w:szCs w:val="21"/>
              </w:rPr>
              <w:t>博士/山大</w:t>
            </w:r>
          </w:p>
        </w:tc>
        <w:tc>
          <w:tcPr>
            <w:tcW w:w="2231" w:type="pct"/>
            <w:vAlign w:val="center"/>
          </w:tcPr>
          <w:p>
            <w:pPr>
              <w:spacing w:line="240" w:lineRule="auto"/>
              <w:jc w:val="center"/>
              <w:rPr>
                <w:sz w:val="21"/>
                <w:szCs w:val="21"/>
              </w:rPr>
            </w:pPr>
            <w:r>
              <w:rPr>
                <w:sz w:val="21"/>
                <w:szCs w:val="21"/>
              </w:rPr>
              <w:t>理论力学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刘雪美</w:t>
            </w:r>
          </w:p>
        </w:tc>
        <w:tc>
          <w:tcPr>
            <w:tcW w:w="359" w:type="pct"/>
            <w:vAlign w:val="center"/>
          </w:tcPr>
          <w:p>
            <w:pPr>
              <w:spacing w:line="240" w:lineRule="auto"/>
              <w:jc w:val="center"/>
              <w:rPr>
                <w:sz w:val="21"/>
                <w:szCs w:val="21"/>
              </w:rPr>
            </w:pPr>
            <w:r>
              <w:rPr>
                <w:sz w:val="21"/>
                <w:szCs w:val="21"/>
              </w:rPr>
              <w:t>女</w:t>
            </w:r>
          </w:p>
        </w:tc>
        <w:tc>
          <w:tcPr>
            <w:tcW w:w="411" w:type="pct"/>
            <w:vAlign w:val="center"/>
          </w:tcPr>
          <w:p>
            <w:pPr>
              <w:spacing w:line="240" w:lineRule="auto"/>
              <w:jc w:val="center"/>
              <w:rPr>
                <w:sz w:val="21"/>
                <w:szCs w:val="21"/>
              </w:rPr>
            </w:pPr>
            <w:r>
              <w:rPr>
                <w:sz w:val="21"/>
                <w:szCs w:val="21"/>
              </w:rPr>
              <w:t>44</w:t>
            </w:r>
          </w:p>
        </w:tc>
        <w:tc>
          <w:tcPr>
            <w:tcW w:w="504" w:type="pct"/>
            <w:vAlign w:val="center"/>
          </w:tcPr>
          <w:p>
            <w:pPr>
              <w:spacing w:line="240" w:lineRule="auto"/>
              <w:jc w:val="center"/>
              <w:rPr>
                <w:sz w:val="21"/>
                <w:szCs w:val="21"/>
              </w:rPr>
            </w:pPr>
            <w:r>
              <w:rPr>
                <w:sz w:val="21"/>
                <w:szCs w:val="21"/>
              </w:rPr>
              <w:t>教授</w:t>
            </w:r>
          </w:p>
        </w:tc>
        <w:tc>
          <w:tcPr>
            <w:tcW w:w="949" w:type="pct"/>
            <w:vAlign w:val="center"/>
          </w:tcPr>
          <w:p>
            <w:pPr>
              <w:spacing w:line="240" w:lineRule="auto"/>
              <w:jc w:val="center"/>
              <w:rPr>
                <w:sz w:val="21"/>
                <w:szCs w:val="21"/>
              </w:rPr>
            </w:pPr>
            <w:r>
              <w:rPr>
                <w:sz w:val="21"/>
                <w:szCs w:val="21"/>
              </w:rPr>
              <w:t>博士/山农大</w:t>
            </w:r>
          </w:p>
        </w:tc>
        <w:tc>
          <w:tcPr>
            <w:tcW w:w="2231" w:type="pct"/>
            <w:vAlign w:val="center"/>
          </w:tcPr>
          <w:p>
            <w:pPr>
              <w:spacing w:line="240" w:lineRule="auto"/>
              <w:jc w:val="center"/>
              <w:rPr>
                <w:sz w:val="21"/>
                <w:szCs w:val="21"/>
              </w:rPr>
            </w:pPr>
            <w:r>
              <w:rPr>
                <w:sz w:val="21"/>
                <w:szCs w:val="21"/>
              </w:rPr>
              <w:t>Solidworks建模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邵园园</w:t>
            </w:r>
          </w:p>
        </w:tc>
        <w:tc>
          <w:tcPr>
            <w:tcW w:w="359" w:type="pct"/>
            <w:vAlign w:val="center"/>
          </w:tcPr>
          <w:p>
            <w:pPr>
              <w:spacing w:line="240" w:lineRule="auto"/>
              <w:jc w:val="center"/>
              <w:rPr>
                <w:sz w:val="21"/>
                <w:szCs w:val="21"/>
              </w:rPr>
            </w:pPr>
            <w:r>
              <w:rPr>
                <w:sz w:val="21"/>
                <w:szCs w:val="21"/>
              </w:rPr>
              <w:t>女</w:t>
            </w:r>
          </w:p>
        </w:tc>
        <w:tc>
          <w:tcPr>
            <w:tcW w:w="411" w:type="pct"/>
            <w:vAlign w:val="center"/>
          </w:tcPr>
          <w:p>
            <w:pPr>
              <w:spacing w:line="240" w:lineRule="auto"/>
              <w:jc w:val="center"/>
              <w:rPr>
                <w:sz w:val="21"/>
                <w:szCs w:val="21"/>
              </w:rPr>
            </w:pPr>
            <w:r>
              <w:rPr>
                <w:sz w:val="21"/>
                <w:szCs w:val="21"/>
              </w:rPr>
              <w:t>41</w:t>
            </w:r>
          </w:p>
        </w:tc>
        <w:tc>
          <w:tcPr>
            <w:tcW w:w="504" w:type="pct"/>
            <w:vAlign w:val="center"/>
          </w:tcPr>
          <w:p>
            <w:pPr>
              <w:spacing w:line="240" w:lineRule="auto"/>
              <w:jc w:val="center"/>
              <w:rPr>
                <w:sz w:val="21"/>
                <w:szCs w:val="21"/>
              </w:rPr>
            </w:pPr>
            <w:r>
              <w:rPr>
                <w:sz w:val="21"/>
                <w:szCs w:val="21"/>
              </w:rPr>
              <w:t>副教授</w:t>
            </w:r>
          </w:p>
        </w:tc>
        <w:tc>
          <w:tcPr>
            <w:tcW w:w="949" w:type="pct"/>
            <w:vAlign w:val="center"/>
          </w:tcPr>
          <w:p>
            <w:pPr>
              <w:spacing w:line="240" w:lineRule="auto"/>
              <w:jc w:val="center"/>
              <w:rPr>
                <w:sz w:val="21"/>
                <w:szCs w:val="21"/>
              </w:rPr>
            </w:pPr>
            <w:r>
              <w:rPr>
                <w:sz w:val="21"/>
                <w:szCs w:val="21"/>
              </w:rPr>
              <w:t>硕士/山大</w:t>
            </w:r>
          </w:p>
        </w:tc>
        <w:tc>
          <w:tcPr>
            <w:tcW w:w="2231" w:type="pct"/>
            <w:vAlign w:val="center"/>
          </w:tcPr>
          <w:p>
            <w:pPr>
              <w:spacing w:line="240" w:lineRule="auto"/>
              <w:jc w:val="center"/>
              <w:rPr>
                <w:sz w:val="21"/>
                <w:szCs w:val="21"/>
              </w:rPr>
            </w:pPr>
            <w:r>
              <w:rPr>
                <w:sz w:val="21"/>
                <w:szCs w:val="21"/>
              </w:rPr>
              <w:t>机械设计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郑继周</w:t>
            </w:r>
          </w:p>
        </w:tc>
        <w:tc>
          <w:tcPr>
            <w:tcW w:w="359" w:type="pct"/>
            <w:vAlign w:val="center"/>
          </w:tcPr>
          <w:p>
            <w:pPr>
              <w:spacing w:line="240" w:lineRule="auto"/>
              <w:jc w:val="center"/>
              <w:rPr>
                <w:sz w:val="21"/>
                <w:szCs w:val="21"/>
              </w:rPr>
            </w:pPr>
            <w:r>
              <w:rPr>
                <w:sz w:val="21"/>
                <w:szCs w:val="21"/>
              </w:rPr>
              <w:t>男</w:t>
            </w:r>
          </w:p>
        </w:tc>
        <w:tc>
          <w:tcPr>
            <w:tcW w:w="411" w:type="pct"/>
            <w:vAlign w:val="center"/>
          </w:tcPr>
          <w:p>
            <w:pPr>
              <w:spacing w:line="240" w:lineRule="auto"/>
              <w:jc w:val="center"/>
              <w:rPr>
                <w:sz w:val="21"/>
                <w:szCs w:val="21"/>
              </w:rPr>
            </w:pPr>
            <w:r>
              <w:rPr>
                <w:sz w:val="21"/>
                <w:szCs w:val="21"/>
              </w:rPr>
              <w:t>44</w:t>
            </w:r>
          </w:p>
        </w:tc>
        <w:tc>
          <w:tcPr>
            <w:tcW w:w="504" w:type="pct"/>
            <w:vAlign w:val="center"/>
          </w:tcPr>
          <w:p>
            <w:pPr>
              <w:spacing w:line="240" w:lineRule="auto"/>
              <w:jc w:val="center"/>
              <w:rPr>
                <w:sz w:val="21"/>
                <w:szCs w:val="21"/>
              </w:rPr>
            </w:pPr>
            <w:r>
              <w:rPr>
                <w:sz w:val="21"/>
                <w:szCs w:val="21"/>
              </w:rPr>
              <w:t>副教授</w:t>
            </w:r>
          </w:p>
        </w:tc>
        <w:tc>
          <w:tcPr>
            <w:tcW w:w="949" w:type="pct"/>
            <w:vAlign w:val="center"/>
          </w:tcPr>
          <w:p>
            <w:pPr>
              <w:spacing w:line="240" w:lineRule="auto"/>
              <w:jc w:val="center"/>
              <w:rPr>
                <w:sz w:val="21"/>
                <w:szCs w:val="21"/>
              </w:rPr>
            </w:pPr>
            <w:r>
              <w:rPr>
                <w:sz w:val="21"/>
                <w:szCs w:val="21"/>
              </w:rPr>
              <w:t>博士/山大</w:t>
            </w:r>
          </w:p>
        </w:tc>
        <w:tc>
          <w:tcPr>
            <w:tcW w:w="2231" w:type="pct"/>
            <w:vAlign w:val="center"/>
          </w:tcPr>
          <w:p>
            <w:pPr>
              <w:spacing w:line="240" w:lineRule="auto"/>
              <w:jc w:val="center"/>
              <w:rPr>
                <w:sz w:val="21"/>
                <w:szCs w:val="21"/>
              </w:rPr>
            </w:pPr>
            <w:r>
              <w:rPr>
                <w:sz w:val="21"/>
                <w:szCs w:val="21"/>
              </w:rPr>
              <w:t>材料力学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范国强</w:t>
            </w:r>
          </w:p>
        </w:tc>
        <w:tc>
          <w:tcPr>
            <w:tcW w:w="359" w:type="pct"/>
            <w:vAlign w:val="center"/>
          </w:tcPr>
          <w:p>
            <w:pPr>
              <w:spacing w:line="240" w:lineRule="auto"/>
              <w:jc w:val="center"/>
              <w:rPr>
                <w:sz w:val="21"/>
                <w:szCs w:val="21"/>
              </w:rPr>
            </w:pPr>
            <w:r>
              <w:rPr>
                <w:sz w:val="21"/>
                <w:szCs w:val="21"/>
              </w:rPr>
              <w:t>男</w:t>
            </w:r>
          </w:p>
        </w:tc>
        <w:tc>
          <w:tcPr>
            <w:tcW w:w="411" w:type="pct"/>
            <w:vAlign w:val="center"/>
          </w:tcPr>
          <w:p>
            <w:pPr>
              <w:spacing w:line="240" w:lineRule="auto"/>
              <w:jc w:val="center"/>
              <w:rPr>
                <w:sz w:val="21"/>
                <w:szCs w:val="21"/>
              </w:rPr>
            </w:pPr>
            <w:r>
              <w:rPr>
                <w:sz w:val="21"/>
                <w:szCs w:val="21"/>
              </w:rPr>
              <w:t>46</w:t>
            </w:r>
          </w:p>
        </w:tc>
        <w:tc>
          <w:tcPr>
            <w:tcW w:w="504" w:type="pct"/>
            <w:vAlign w:val="center"/>
          </w:tcPr>
          <w:p>
            <w:pPr>
              <w:spacing w:line="240" w:lineRule="auto"/>
              <w:jc w:val="center"/>
              <w:rPr>
                <w:sz w:val="21"/>
                <w:szCs w:val="21"/>
              </w:rPr>
            </w:pPr>
            <w:r>
              <w:rPr>
                <w:sz w:val="21"/>
                <w:szCs w:val="21"/>
              </w:rPr>
              <w:t>副教授</w:t>
            </w:r>
          </w:p>
        </w:tc>
        <w:tc>
          <w:tcPr>
            <w:tcW w:w="949" w:type="pct"/>
            <w:vAlign w:val="center"/>
          </w:tcPr>
          <w:p>
            <w:pPr>
              <w:spacing w:line="240" w:lineRule="auto"/>
              <w:jc w:val="center"/>
              <w:rPr>
                <w:sz w:val="21"/>
                <w:szCs w:val="21"/>
              </w:rPr>
            </w:pPr>
            <w:r>
              <w:rPr>
                <w:sz w:val="21"/>
                <w:szCs w:val="21"/>
              </w:rPr>
              <w:t>博士/山大</w:t>
            </w:r>
          </w:p>
        </w:tc>
        <w:tc>
          <w:tcPr>
            <w:tcW w:w="2231" w:type="pct"/>
            <w:vAlign w:val="center"/>
          </w:tcPr>
          <w:p>
            <w:pPr>
              <w:spacing w:line="240" w:lineRule="auto"/>
              <w:jc w:val="center"/>
              <w:rPr>
                <w:sz w:val="21"/>
                <w:szCs w:val="21"/>
              </w:rPr>
            </w:pPr>
            <w:r>
              <w:rPr>
                <w:sz w:val="21"/>
                <w:szCs w:val="21"/>
              </w:rPr>
              <w:t>机械设计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王玉亮</w:t>
            </w:r>
          </w:p>
        </w:tc>
        <w:tc>
          <w:tcPr>
            <w:tcW w:w="359" w:type="pct"/>
            <w:vAlign w:val="center"/>
          </w:tcPr>
          <w:p>
            <w:pPr>
              <w:spacing w:line="240" w:lineRule="auto"/>
              <w:jc w:val="center"/>
              <w:rPr>
                <w:sz w:val="21"/>
                <w:szCs w:val="21"/>
              </w:rPr>
            </w:pPr>
            <w:r>
              <w:rPr>
                <w:sz w:val="21"/>
                <w:szCs w:val="21"/>
              </w:rPr>
              <w:t>男</w:t>
            </w:r>
          </w:p>
        </w:tc>
        <w:tc>
          <w:tcPr>
            <w:tcW w:w="411" w:type="pct"/>
            <w:vAlign w:val="center"/>
          </w:tcPr>
          <w:p>
            <w:pPr>
              <w:spacing w:line="240" w:lineRule="auto"/>
              <w:jc w:val="center"/>
              <w:rPr>
                <w:sz w:val="21"/>
                <w:szCs w:val="21"/>
              </w:rPr>
            </w:pPr>
            <w:r>
              <w:rPr>
                <w:sz w:val="21"/>
                <w:szCs w:val="21"/>
              </w:rPr>
              <w:t>42</w:t>
            </w:r>
          </w:p>
        </w:tc>
        <w:tc>
          <w:tcPr>
            <w:tcW w:w="504" w:type="pct"/>
            <w:vAlign w:val="center"/>
          </w:tcPr>
          <w:p>
            <w:pPr>
              <w:spacing w:line="240" w:lineRule="auto"/>
              <w:jc w:val="center"/>
              <w:rPr>
                <w:sz w:val="21"/>
                <w:szCs w:val="21"/>
              </w:rPr>
            </w:pPr>
            <w:r>
              <w:rPr>
                <w:sz w:val="21"/>
                <w:szCs w:val="21"/>
              </w:rPr>
              <w:t>副教授</w:t>
            </w:r>
          </w:p>
        </w:tc>
        <w:tc>
          <w:tcPr>
            <w:tcW w:w="949" w:type="pct"/>
            <w:vAlign w:val="center"/>
          </w:tcPr>
          <w:p>
            <w:pPr>
              <w:spacing w:line="240" w:lineRule="auto"/>
              <w:jc w:val="center"/>
              <w:rPr>
                <w:sz w:val="21"/>
                <w:szCs w:val="21"/>
              </w:rPr>
            </w:pPr>
            <w:r>
              <w:rPr>
                <w:sz w:val="21"/>
                <w:szCs w:val="21"/>
              </w:rPr>
              <w:t>博士/南航</w:t>
            </w:r>
          </w:p>
        </w:tc>
        <w:tc>
          <w:tcPr>
            <w:tcW w:w="2231" w:type="pct"/>
            <w:vAlign w:val="center"/>
          </w:tcPr>
          <w:p>
            <w:pPr>
              <w:spacing w:line="240" w:lineRule="auto"/>
              <w:jc w:val="center"/>
              <w:rPr>
                <w:sz w:val="21"/>
                <w:szCs w:val="21"/>
              </w:rPr>
            </w:pPr>
            <w:r>
              <w:rPr>
                <w:sz w:val="21"/>
                <w:szCs w:val="21"/>
              </w:rPr>
              <w:t>机电一体化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李天华</w:t>
            </w:r>
          </w:p>
        </w:tc>
        <w:tc>
          <w:tcPr>
            <w:tcW w:w="359" w:type="pct"/>
            <w:vAlign w:val="center"/>
          </w:tcPr>
          <w:p>
            <w:pPr>
              <w:spacing w:line="240" w:lineRule="auto"/>
              <w:jc w:val="center"/>
              <w:rPr>
                <w:sz w:val="21"/>
                <w:szCs w:val="21"/>
              </w:rPr>
            </w:pPr>
            <w:r>
              <w:rPr>
                <w:sz w:val="21"/>
                <w:szCs w:val="21"/>
              </w:rPr>
              <w:t>男</w:t>
            </w:r>
          </w:p>
        </w:tc>
        <w:tc>
          <w:tcPr>
            <w:tcW w:w="411" w:type="pct"/>
            <w:vAlign w:val="center"/>
          </w:tcPr>
          <w:p>
            <w:pPr>
              <w:spacing w:line="240" w:lineRule="auto"/>
              <w:jc w:val="center"/>
              <w:rPr>
                <w:sz w:val="21"/>
                <w:szCs w:val="21"/>
              </w:rPr>
            </w:pPr>
            <w:r>
              <w:rPr>
                <w:sz w:val="21"/>
                <w:szCs w:val="21"/>
              </w:rPr>
              <w:t>45</w:t>
            </w:r>
          </w:p>
        </w:tc>
        <w:tc>
          <w:tcPr>
            <w:tcW w:w="504" w:type="pct"/>
            <w:vAlign w:val="center"/>
          </w:tcPr>
          <w:p>
            <w:pPr>
              <w:spacing w:line="240" w:lineRule="auto"/>
              <w:jc w:val="center"/>
              <w:rPr>
                <w:sz w:val="21"/>
                <w:szCs w:val="21"/>
              </w:rPr>
            </w:pPr>
            <w:r>
              <w:rPr>
                <w:sz w:val="21"/>
                <w:szCs w:val="21"/>
              </w:rPr>
              <w:t>教授</w:t>
            </w:r>
          </w:p>
        </w:tc>
        <w:tc>
          <w:tcPr>
            <w:tcW w:w="949" w:type="pct"/>
            <w:vAlign w:val="center"/>
          </w:tcPr>
          <w:p>
            <w:pPr>
              <w:spacing w:line="240" w:lineRule="auto"/>
              <w:jc w:val="center"/>
              <w:rPr>
                <w:sz w:val="21"/>
                <w:szCs w:val="21"/>
              </w:rPr>
            </w:pPr>
            <w:r>
              <w:rPr>
                <w:sz w:val="21"/>
                <w:szCs w:val="21"/>
              </w:rPr>
              <w:t>硕士/山大</w:t>
            </w:r>
          </w:p>
        </w:tc>
        <w:tc>
          <w:tcPr>
            <w:tcW w:w="2231" w:type="pct"/>
            <w:vAlign w:val="center"/>
          </w:tcPr>
          <w:p>
            <w:pPr>
              <w:spacing w:line="240" w:lineRule="auto"/>
              <w:jc w:val="center"/>
              <w:rPr>
                <w:sz w:val="21"/>
                <w:szCs w:val="21"/>
              </w:rPr>
            </w:pPr>
            <w:r>
              <w:rPr>
                <w:sz w:val="21"/>
                <w:szCs w:val="21"/>
              </w:rPr>
              <w:t>单片机原理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张传洋</w:t>
            </w:r>
          </w:p>
        </w:tc>
        <w:tc>
          <w:tcPr>
            <w:tcW w:w="359" w:type="pct"/>
            <w:vAlign w:val="center"/>
          </w:tcPr>
          <w:p>
            <w:pPr>
              <w:spacing w:line="240" w:lineRule="auto"/>
              <w:jc w:val="center"/>
              <w:rPr>
                <w:sz w:val="21"/>
                <w:szCs w:val="21"/>
              </w:rPr>
            </w:pPr>
            <w:r>
              <w:rPr>
                <w:sz w:val="21"/>
                <w:szCs w:val="21"/>
              </w:rPr>
              <w:t>男</w:t>
            </w:r>
          </w:p>
        </w:tc>
        <w:tc>
          <w:tcPr>
            <w:tcW w:w="411" w:type="pct"/>
            <w:vAlign w:val="center"/>
          </w:tcPr>
          <w:p>
            <w:pPr>
              <w:spacing w:line="240" w:lineRule="auto"/>
              <w:jc w:val="center"/>
              <w:rPr>
                <w:sz w:val="21"/>
                <w:szCs w:val="21"/>
              </w:rPr>
            </w:pPr>
            <w:r>
              <w:rPr>
                <w:sz w:val="21"/>
                <w:szCs w:val="21"/>
              </w:rPr>
              <w:t>54</w:t>
            </w:r>
          </w:p>
        </w:tc>
        <w:tc>
          <w:tcPr>
            <w:tcW w:w="504" w:type="pct"/>
            <w:vAlign w:val="center"/>
          </w:tcPr>
          <w:p>
            <w:pPr>
              <w:spacing w:line="240" w:lineRule="auto"/>
              <w:jc w:val="center"/>
              <w:rPr>
                <w:sz w:val="21"/>
                <w:szCs w:val="21"/>
              </w:rPr>
            </w:pPr>
            <w:r>
              <w:rPr>
                <w:sz w:val="21"/>
                <w:szCs w:val="21"/>
              </w:rPr>
              <w:t>副教授</w:t>
            </w:r>
          </w:p>
        </w:tc>
        <w:tc>
          <w:tcPr>
            <w:tcW w:w="949" w:type="pct"/>
            <w:vAlign w:val="center"/>
          </w:tcPr>
          <w:p>
            <w:pPr>
              <w:spacing w:line="240" w:lineRule="auto"/>
              <w:jc w:val="center"/>
              <w:rPr>
                <w:sz w:val="21"/>
                <w:szCs w:val="21"/>
              </w:rPr>
            </w:pPr>
            <w:r>
              <w:rPr>
                <w:sz w:val="21"/>
                <w:szCs w:val="21"/>
              </w:rPr>
              <w:t>硕士/山科大</w:t>
            </w:r>
          </w:p>
        </w:tc>
        <w:tc>
          <w:tcPr>
            <w:tcW w:w="2231" w:type="pct"/>
            <w:vAlign w:val="center"/>
          </w:tcPr>
          <w:p>
            <w:pPr>
              <w:spacing w:line="240" w:lineRule="auto"/>
              <w:jc w:val="center"/>
              <w:rPr>
                <w:sz w:val="21"/>
                <w:szCs w:val="21"/>
              </w:rPr>
            </w:pPr>
            <w:r>
              <w:rPr>
                <w:sz w:val="21"/>
                <w:szCs w:val="21"/>
              </w:rPr>
              <w:t>电工学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李  扬</w:t>
            </w:r>
          </w:p>
        </w:tc>
        <w:tc>
          <w:tcPr>
            <w:tcW w:w="359" w:type="pct"/>
            <w:vAlign w:val="center"/>
          </w:tcPr>
          <w:p>
            <w:pPr>
              <w:spacing w:line="240" w:lineRule="auto"/>
              <w:jc w:val="center"/>
              <w:rPr>
                <w:sz w:val="21"/>
                <w:szCs w:val="21"/>
              </w:rPr>
            </w:pPr>
            <w:r>
              <w:rPr>
                <w:sz w:val="21"/>
                <w:szCs w:val="21"/>
              </w:rPr>
              <w:t>男</w:t>
            </w:r>
          </w:p>
        </w:tc>
        <w:tc>
          <w:tcPr>
            <w:tcW w:w="411" w:type="pct"/>
            <w:vAlign w:val="center"/>
          </w:tcPr>
          <w:p>
            <w:pPr>
              <w:spacing w:line="240" w:lineRule="auto"/>
              <w:jc w:val="center"/>
              <w:rPr>
                <w:sz w:val="21"/>
                <w:szCs w:val="21"/>
              </w:rPr>
            </w:pPr>
            <w:r>
              <w:rPr>
                <w:sz w:val="21"/>
                <w:szCs w:val="21"/>
              </w:rPr>
              <w:t>39</w:t>
            </w:r>
          </w:p>
        </w:tc>
        <w:tc>
          <w:tcPr>
            <w:tcW w:w="504" w:type="pct"/>
            <w:vAlign w:val="center"/>
          </w:tcPr>
          <w:p>
            <w:pPr>
              <w:spacing w:line="240" w:lineRule="auto"/>
              <w:jc w:val="center"/>
              <w:rPr>
                <w:sz w:val="21"/>
                <w:szCs w:val="21"/>
              </w:rPr>
            </w:pPr>
            <w:r>
              <w:rPr>
                <w:sz w:val="21"/>
                <w:szCs w:val="21"/>
              </w:rPr>
              <w:t>副教授</w:t>
            </w:r>
          </w:p>
        </w:tc>
        <w:tc>
          <w:tcPr>
            <w:tcW w:w="949" w:type="pct"/>
            <w:vAlign w:val="center"/>
          </w:tcPr>
          <w:p>
            <w:pPr>
              <w:spacing w:line="240" w:lineRule="auto"/>
              <w:jc w:val="center"/>
              <w:rPr>
                <w:sz w:val="21"/>
                <w:szCs w:val="21"/>
              </w:rPr>
            </w:pPr>
            <w:r>
              <w:rPr>
                <w:sz w:val="21"/>
                <w:szCs w:val="21"/>
              </w:rPr>
              <w:t>博士/中国海大</w:t>
            </w:r>
          </w:p>
        </w:tc>
        <w:tc>
          <w:tcPr>
            <w:tcW w:w="2231" w:type="pct"/>
            <w:vAlign w:val="center"/>
          </w:tcPr>
          <w:p>
            <w:pPr>
              <w:spacing w:line="240" w:lineRule="auto"/>
              <w:jc w:val="center"/>
              <w:rPr>
                <w:sz w:val="21"/>
                <w:szCs w:val="21"/>
              </w:rPr>
            </w:pPr>
            <w:r>
              <w:rPr>
                <w:sz w:val="21"/>
                <w:szCs w:val="21"/>
              </w:rPr>
              <w:t>电工电子技术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李玉道</w:t>
            </w:r>
          </w:p>
        </w:tc>
        <w:tc>
          <w:tcPr>
            <w:tcW w:w="359" w:type="pct"/>
            <w:vAlign w:val="center"/>
          </w:tcPr>
          <w:p>
            <w:pPr>
              <w:spacing w:line="240" w:lineRule="auto"/>
              <w:jc w:val="center"/>
              <w:rPr>
                <w:sz w:val="21"/>
                <w:szCs w:val="21"/>
              </w:rPr>
            </w:pPr>
            <w:r>
              <w:rPr>
                <w:sz w:val="21"/>
                <w:szCs w:val="21"/>
              </w:rPr>
              <w:t>男</w:t>
            </w:r>
          </w:p>
        </w:tc>
        <w:tc>
          <w:tcPr>
            <w:tcW w:w="411" w:type="pct"/>
            <w:vAlign w:val="center"/>
          </w:tcPr>
          <w:p>
            <w:pPr>
              <w:spacing w:line="240" w:lineRule="auto"/>
              <w:jc w:val="center"/>
              <w:rPr>
                <w:sz w:val="21"/>
                <w:szCs w:val="21"/>
              </w:rPr>
            </w:pPr>
            <w:r>
              <w:rPr>
                <w:sz w:val="21"/>
                <w:szCs w:val="21"/>
              </w:rPr>
              <w:t>36</w:t>
            </w:r>
          </w:p>
        </w:tc>
        <w:tc>
          <w:tcPr>
            <w:tcW w:w="504" w:type="pct"/>
            <w:vAlign w:val="center"/>
          </w:tcPr>
          <w:p>
            <w:pPr>
              <w:spacing w:line="240" w:lineRule="auto"/>
              <w:jc w:val="center"/>
              <w:rPr>
                <w:sz w:val="21"/>
                <w:szCs w:val="21"/>
              </w:rPr>
            </w:pPr>
            <w:r>
              <w:rPr>
                <w:sz w:val="21"/>
                <w:szCs w:val="21"/>
              </w:rPr>
              <w:t>高级实验师</w:t>
            </w:r>
          </w:p>
        </w:tc>
        <w:tc>
          <w:tcPr>
            <w:tcW w:w="949" w:type="pct"/>
            <w:vAlign w:val="center"/>
          </w:tcPr>
          <w:p>
            <w:pPr>
              <w:spacing w:line="240" w:lineRule="auto"/>
              <w:jc w:val="center"/>
              <w:rPr>
                <w:sz w:val="21"/>
                <w:szCs w:val="21"/>
              </w:rPr>
            </w:pPr>
            <w:r>
              <w:rPr>
                <w:sz w:val="21"/>
                <w:szCs w:val="21"/>
              </w:rPr>
              <w:t>博士/山东农大</w:t>
            </w:r>
          </w:p>
        </w:tc>
        <w:tc>
          <w:tcPr>
            <w:tcW w:w="2231" w:type="pct"/>
            <w:vAlign w:val="center"/>
          </w:tcPr>
          <w:p>
            <w:pPr>
              <w:spacing w:line="240" w:lineRule="auto"/>
              <w:jc w:val="center"/>
              <w:rPr>
                <w:sz w:val="21"/>
                <w:szCs w:val="21"/>
              </w:rPr>
            </w:pPr>
            <w:r>
              <w:rPr>
                <w:sz w:val="21"/>
                <w:szCs w:val="21"/>
              </w:rPr>
              <w:t>实验员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束</w:t>
            </w:r>
            <w:r>
              <w:rPr>
                <w:rFonts w:hint="eastAsia"/>
                <w:sz w:val="21"/>
                <w:szCs w:val="21"/>
              </w:rPr>
              <w:t xml:space="preserve">  </w:t>
            </w:r>
            <w:r>
              <w:rPr>
                <w:sz w:val="21"/>
                <w:szCs w:val="21"/>
              </w:rPr>
              <w:t>钰</w:t>
            </w:r>
          </w:p>
        </w:tc>
        <w:tc>
          <w:tcPr>
            <w:tcW w:w="359" w:type="pct"/>
            <w:vAlign w:val="center"/>
          </w:tcPr>
          <w:p>
            <w:pPr>
              <w:spacing w:line="240" w:lineRule="auto"/>
              <w:jc w:val="center"/>
              <w:rPr>
                <w:sz w:val="21"/>
                <w:szCs w:val="21"/>
              </w:rPr>
            </w:pPr>
            <w:r>
              <w:rPr>
                <w:sz w:val="21"/>
                <w:szCs w:val="21"/>
              </w:rPr>
              <w:t>男</w:t>
            </w:r>
          </w:p>
        </w:tc>
        <w:tc>
          <w:tcPr>
            <w:tcW w:w="411" w:type="pct"/>
            <w:vAlign w:val="center"/>
          </w:tcPr>
          <w:p>
            <w:pPr>
              <w:spacing w:line="240" w:lineRule="auto"/>
              <w:jc w:val="center"/>
              <w:rPr>
                <w:sz w:val="21"/>
                <w:szCs w:val="21"/>
              </w:rPr>
            </w:pPr>
            <w:r>
              <w:rPr>
                <w:sz w:val="21"/>
                <w:szCs w:val="21"/>
              </w:rPr>
              <w:t>33</w:t>
            </w:r>
          </w:p>
        </w:tc>
        <w:tc>
          <w:tcPr>
            <w:tcW w:w="504" w:type="pct"/>
            <w:vAlign w:val="center"/>
          </w:tcPr>
          <w:p>
            <w:pPr>
              <w:spacing w:line="240" w:lineRule="auto"/>
              <w:jc w:val="center"/>
              <w:rPr>
                <w:sz w:val="21"/>
                <w:szCs w:val="21"/>
              </w:rPr>
            </w:pPr>
            <w:r>
              <w:rPr>
                <w:sz w:val="21"/>
                <w:szCs w:val="21"/>
              </w:rPr>
              <w:t>实验员</w:t>
            </w:r>
          </w:p>
        </w:tc>
        <w:tc>
          <w:tcPr>
            <w:tcW w:w="949" w:type="pct"/>
            <w:vAlign w:val="center"/>
          </w:tcPr>
          <w:p>
            <w:pPr>
              <w:spacing w:line="240" w:lineRule="auto"/>
              <w:jc w:val="center"/>
              <w:rPr>
                <w:sz w:val="21"/>
                <w:szCs w:val="21"/>
              </w:rPr>
            </w:pPr>
            <w:r>
              <w:rPr>
                <w:sz w:val="21"/>
                <w:szCs w:val="21"/>
              </w:rPr>
              <w:t>硕士/山农大</w:t>
            </w:r>
          </w:p>
        </w:tc>
        <w:tc>
          <w:tcPr>
            <w:tcW w:w="2231" w:type="pct"/>
            <w:vAlign w:val="center"/>
          </w:tcPr>
          <w:p>
            <w:pPr>
              <w:spacing w:line="240" w:lineRule="auto"/>
              <w:jc w:val="center"/>
              <w:rPr>
                <w:sz w:val="21"/>
                <w:szCs w:val="21"/>
              </w:rPr>
            </w:pPr>
            <w:r>
              <w:rPr>
                <w:sz w:val="21"/>
                <w:szCs w:val="21"/>
              </w:rPr>
              <w:t>实验员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张广玲</w:t>
            </w:r>
          </w:p>
        </w:tc>
        <w:tc>
          <w:tcPr>
            <w:tcW w:w="359" w:type="pct"/>
            <w:vAlign w:val="center"/>
          </w:tcPr>
          <w:p>
            <w:pPr>
              <w:spacing w:line="240" w:lineRule="auto"/>
              <w:jc w:val="center"/>
              <w:rPr>
                <w:sz w:val="21"/>
                <w:szCs w:val="21"/>
              </w:rPr>
            </w:pPr>
            <w:r>
              <w:rPr>
                <w:sz w:val="21"/>
                <w:szCs w:val="21"/>
              </w:rPr>
              <w:t>女</w:t>
            </w:r>
          </w:p>
        </w:tc>
        <w:tc>
          <w:tcPr>
            <w:tcW w:w="411" w:type="pct"/>
            <w:vAlign w:val="center"/>
          </w:tcPr>
          <w:p>
            <w:pPr>
              <w:spacing w:line="240" w:lineRule="auto"/>
              <w:jc w:val="center"/>
              <w:rPr>
                <w:sz w:val="21"/>
                <w:szCs w:val="21"/>
              </w:rPr>
            </w:pPr>
            <w:r>
              <w:rPr>
                <w:sz w:val="21"/>
                <w:szCs w:val="21"/>
              </w:rPr>
              <w:t>34</w:t>
            </w:r>
          </w:p>
        </w:tc>
        <w:tc>
          <w:tcPr>
            <w:tcW w:w="504" w:type="pct"/>
            <w:vAlign w:val="center"/>
          </w:tcPr>
          <w:p>
            <w:pPr>
              <w:spacing w:line="240" w:lineRule="auto"/>
              <w:jc w:val="center"/>
              <w:rPr>
                <w:sz w:val="21"/>
                <w:szCs w:val="21"/>
              </w:rPr>
            </w:pPr>
            <w:r>
              <w:rPr>
                <w:sz w:val="21"/>
                <w:szCs w:val="21"/>
              </w:rPr>
              <w:t>实验员</w:t>
            </w:r>
          </w:p>
        </w:tc>
        <w:tc>
          <w:tcPr>
            <w:tcW w:w="949" w:type="pct"/>
            <w:vAlign w:val="center"/>
          </w:tcPr>
          <w:p>
            <w:pPr>
              <w:spacing w:line="240" w:lineRule="auto"/>
              <w:jc w:val="center"/>
              <w:rPr>
                <w:sz w:val="21"/>
                <w:szCs w:val="21"/>
              </w:rPr>
            </w:pPr>
            <w:r>
              <w:rPr>
                <w:sz w:val="21"/>
                <w:szCs w:val="21"/>
              </w:rPr>
              <w:t>硕士/山农大</w:t>
            </w:r>
          </w:p>
        </w:tc>
        <w:tc>
          <w:tcPr>
            <w:tcW w:w="2231" w:type="pct"/>
            <w:vAlign w:val="center"/>
          </w:tcPr>
          <w:p>
            <w:pPr>
              <w:spacing w:line="240" w:lineRule="auto"/>
              <w:jc w:val="center"/>
              <w:rPr>
                <w:sz w:val="21"/>
                <w:szCs w:val="21"/>
              </w:rPr>
            </w:pPr>
            <w:r>
              <w:rPr>
                <w:sz w:val="21"/>
                <w:szCs w:val="21"/>
              </w:rPr>
              <w:t>实验员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46" w:type="pct"/>
            <w:vAlign w:val="center"/>
          </w:tcPr>
          <w:p>
            <w:pPr>
              <w:spacing w:line="240" w:lineRule="auto"/>
              <w:jc w:val="center"/>
              <w:rPr>
                <w:sz w:val="21"/>
                <w:szCs w:val="21"/>
              </w:rPr>
            </w:pPr>
            <w:r>
              <w:rPr>
                <w:sz w:val="21"/>
                <w:szCs w:val="21"/>
              </w:rPr>
              <w:t>刘树峰</w:t>
            </w:r>
          </w:p>
        </w:tc>
        <w:tc>
          <w:tcPr>
            <w:tcW w:w="359" w:type="pct"/>
            <w:vAlign w:val="center"/>
          </w:tcPr>
          <w:p>
            <w:pPr>
              <w:spacing w:line="240" w:lineRule="auto"/>
              <w:jc w:val="center"/>
              <w:rPr>
                <w:sz w:val="21"/>
                <w:szCs w:val="21"/>
              </w:rPr>
            </w:pPr>
            <w:r>
              <w:rPr>
                <w:sz w:val="21"/>
                <w:szCs w:val="21"/>
              </w:rPr>
              <w:t>男</w:t>
            </w:r>
          </w:p>
        </w:tc>
        <w:tc>
          <w:tcPr>
            <w:tcW w:w="411" w:type="pct"/>
            <w:vAlign w:val="center"/>
          </w:tcPr>
          <w:p>
            <w:pPr>
              <w:spacing w:line="240" w:lineRule="auto"/>
              <w:jc w:val="center"/>
              <w:rPr>
                <w:sz w:val="21"/>
                <w:szCs w:val="21"/>
              </w:rPr>
            </w:pPr>
            <w:r>
              <w:rPr>
                <w:sz w:val="21"/>
                <w:szCs w:val="21"/>
              </w:rPr>
              <w:t>31</w:t>
            </w:r>
          </w:p>
        </w:tc>
        <w:tc>
          <w:tcPr>
            <w:tcW w:w="504" w:type="pct"/>
            <w:vAlign w:val="center"/>
          </w:tcPr>
          <w:p>
            <w:pPr>
              <w:spacing w:line="240" w:lineRule="auto"/>
              <w:jc w:val="center"/>
              <w:rPr>
                <w:sz w:val="21"/>
                <w:szCs w:val="21"/>
              </w:rPr>
            </w:pPr>
            <w:r>
              <w:rPr>
                <w:sz w:val="21"/>
                <w:szCs w:val="21"/>
              </w:rPr>
              <w:t>实验员</w:t>
            </w:r>
          </w:p>
        </w:tc>
        <w:tc>
          <w:tcPr>
            <w:tcW w:w="949" w:type="pct"/>
            <w:vAlign w:val="center"/>
          </w:tcPr>
          <w:p>
            <w:pPr>
              <w:spacing w:line="240" w:lineRule="auto"/>
              <w:jc w:val="center"/>
              <w:rPr>
                <w:sz w:val="21"/>
                <w:szCs w:val="21"/>
              </w:rPr>
            </w:pPr>
            <w:r>
              <w:rPr>
                <w:sz w:val="21"/>
                <w:szCs w:val="21"/>
              </w:rPr>
              <w:t>硕士/山农大</w:t>
            </w:r>
          </w:p>
        </w:tc>
        <w:tc>
          <w:tcPr>
            <w:tcW w:w="2231" w:type="pct"/>
            <w:vAlign w:val="center"/>
          </w:tcPr>
          <w:p>
            <w:pPr>
              <w:spacing w:line="240" w:lineRule="auto"/>
              <w:jc w:val="center"/>
              <w:rPr>
                <w:sz w:val="21"/>
                <w:szCs w:val="21"/>
              </w:rPr>
            </w:pPr>
            <w:r>
              <w:rPr>
                <w:sz w:val="21"/>
                <w:szCs w:val="21"/>
              </w:rPr>
              <w:t>实验员</w:t>
            </w:r>
          </w:p>
        </w:tc>
      </w:tr>
    </w:tbl>
    <w:p>
      <w:pPr>
        <w:pStyle w:val="6"/>
        <w:adjustRightInd w:val="0"/>
        <w:snapToGrid w:val="0"/>
        <w:ind w:firstLine="480"/>
        <w:rPr>
          <w:rFonts w:eastAsia="宋体"/>
          <w:color w:val="000000"/>
        </w:rPr>
      </w:pPr>
      <w:r>
        <w:rPr>
          <w:rFonts w:eastAsia="宋体"/>
          <w:color w:val="000000"/>
        </w:rPr>
        <w:t>专职教师中，正教授5名，副教授10名，讲师6名，国家现代农业产业技术体系岗位科学家1名，山东省现代农业产业技术体系岗位专家4名，平均年龄40岁左右，具有博士学位约占70%，专业拥有合理的学缘及学历结构，师资力量建设为本专业的快速发展奠定了坚实的基础。</w:t>
      </w:r>
    </w:p>
    <w:p>
      <w:pPr>
        <w:pStyle w:val="6"/>
        <w:adjustRightInd w:val="0"/>
        <w:snapToGrid w:val="0"/>
        <w:ind w:firstLine="480"/>
        <w:rPr>
          <w:rFonts w:eastAsia="宋体"/>
          <w:color w:val="000000"/>
        </w:rPr>
      </w:pPr>
      <w:r>
        <w:rPr>
          <w:rFonts w:eastAsia="宋体"/>
          <w:color w:val="000000"/>
        </w:rPr>
        <w:t>注重年轻教师的教学科研能力的培养与提高，积极创造条件，结合我院的</w:t>
      </w:r>
      <w:r>
        <w:rPr>
          <w:rFonts w:hint="eastAsia" w:eastAsia="宋体"/>
          <w:color w:val="000000"/>
        </w:rPr>
        <w:t>“</w:t>
      </w:r>
      <w:r>
        <w:rPr>
          <w:rFonts w:eastAsia="宋体"/>
          <w:color w:val="000000"/>
        </w:rPr>
        <w:t>青蓝工程</w:t>
      </w:r>
      <w:r>
        <w:rPr>
          <w:rFonts w:hint="eastAsia" w:eastAsia="宋体"/>
          <w:color w:val="000000"/>
        </w:rPr>
        <w:t>”</w:t>
      </w:r>
      <w:r>
        <w:rPr>
          <w:rFonts w:eastAsia="宋体"/>
          <w:color w:val="000000"/>
        </w:rPr>
        <w:t>，指定富有经验的老教师结对子，帮扶新进青年教师尽快掌握授课内容，提高授课技能。2022年，学院举办了多次教学观摩活动以及教学研讨会，旨在提高青年教师的教学质量，并邀请郭晶教授对青年教师进行教学专业导航。</w:t>
      </w:r>
    </w:p>
    <w:p>
      <w:pPr>
        <w:pStyle w:val="6"/>
        <w:adjustRightInd w:val="0"/>
        <w:snapToGrid w:val="0"/>
        <w:ind w:firstLine="480"/>
        <w:rPr>
          <w:rFonts w:eastAsia="宋体"/>
          <w:color w:val="000000"/>
        </w:rPr>
      </w:pPr>
      <w:r>
        <w:rPr>
          <w:rFonts w:eastAsia="宋体"/>
          <w:color w:val="000000"/>
        </w:rPr>
        <w:t>积极创造条件，帮助教师参加学校及国家举办的各类讲课技能、多媒体大赛，指导大学生科技创新实践，专业教师教学科研能力有了较大提高，获得较好效果。张婷婷获2022年山东农业大学优秀学士学位论文指导教师荣誉称号，傅生辉获2022年山东省自然科学青年基金资助。参加国内外学术会议10人次，申请各类专利或著作权共20余项，发表学术论文30余篇，其中SCI/EI等收录15余篇。</w:t>
      </w:r>
    </w:p>
    <w:p>
      <w:pPr>
        <w:pStyle w:val="6"/>
        <w:adjustRightInd w:val="0"/>
        <w:snapToGrid w:val="0"/>
        <w:ind w:firstLine="480"/>
        <w:rPr>
          <w:rFonts w:eastAsia="宋体"/>
          <w:color w:val="000000"/>
        </w:rPr>
      </w:pPr>
      <w:r>
        <w:rPr>
          <w:rFonts w:eastAsia="宋体"/>
          <w:color w:val="000000"/>
        </w:rPr>
        <w:t>专业任课教师极为重视现代教学技术在课堂教学中的应用，通过参加山东省多媒体课件比赛、微课比赛及学校举办的青年教师讲课技能大赛等方式，努力提高自身素质及课堂教学技能。教学手段上，充分利用多媒体教室、一体化教室、实训基地以及实训中心等一切有利条件来辅助教学。改革教学方式，如对于该专业的《车辆工程学科前沿专题讲座》课程，安排教学团队内每位教师根据各自研究的内容进行讲授，这对于开阔学生的眼界、紧跟世界机电发展潮流是极为重要的手段，现代教学技术应用能力得到大幅度提高，教学质量、学生评价均较过去有较大提高。</w:t>
      </w:r>
    </w:p>
    <w:p>
      <w:pPr>
        <w:pStyle w:val="5"/>
        <w:spacing w:before="93" w:after="93"/>
        <w:ind w:firstLine="560"/>
      </w:pPr>
      <w:r>
        <w:t>四、培养机制与特色（产学研协同育人机制、合作办学、教学管理等）</w:t>
      </w:r>
    </w:p>
    <w:p>
      <w:pPr>
        <w:pStyle w:val="6"/>
        <w:adjustRightInd w:val="0"/>
        <w:snapToGrid w:val="0"/>
        <w:ind w:firstLine="480"/>
        <w:rPr>
          <w:rFonts w:eastAsia="宋体"/>
          <w:color w:val="000000"/>
        </w:rPr>
      </w:pPr>
      <w:r>
        <w:rPr>
          <w:rFonts w:eastAsia="宋体"/>
          <w:color w:val="000000"/>
        </w:rPr>
        <w:t>在多年的专业建设过程中，我们一直秉承</w:t>
      </w:r>
      <w:r>
        <w:rPr>
          <w:rFonts w:hint="eastAsia" w:eastAsia="宋体"/>
          <w:color w:val="000000"/>
        </w:rPr>
        <w:t>“</w:t>
      </w:r>
      <w:r>
        <w:rPr>
          <w:rFonts w:eastAsia="宋体"/>
          <w:color w:val="000000"/>
        </w:rPr>
        <w:t>立足山东，面向全国，服务国家机电行业；立足基层，面向生产、建设、管理和服务第一线</w:t>
      </w:r>
      <w:r>
        <w:rPr>
          <w:rFonts w:hint="eastAsia" w:eastAsia="宋体"/>
          <w:color w:val="000000"/>
        </w:rPr>
        <w:t>”</w:t>
      </w:r>
      <w:r>
        <w:rPr>
          <w:rFonts w:eastAsia="宋体"/>
          <w:color w:val="000000"/>
        </w:rPr>
        <w:t>的办学定位；坚持</w:t>
      </w:r>
      <w:r>
        <w:rPr>
          <w:rFonts w:hint="eastAsia" w:eastAsia="宋体"/>
          <w:color w:val="000000"/>
        </w:rPr>
        <w:t>“</w:t>
      </w:r>
      <w:r>
        <w:rPr>
          <w:rFonts w:eastAsia="宋体"/>
          <w:color w:val="000000"/>
        </w:rPr>
        <w:t>以学为本，以体为用，理论联系实践</w:t>
      </w:r>
      <w:r>
        <w:rPr>
          <w:rFonts w:hint="eastAsia" w:eastAsia="宋体"/>
          <w:color w:val="000000"/>
        </w:rPr>
        <w:t>”</w:t>
      </w:r>
      <w:r>
        <w:rPr>
          <w:rFonts w:eastAsia="宋体"/>
          <w:color w:val="000000"/>
        </w:rPr>
        <w:t>的专业指导思想；以</w:t>
      </w:r>
      <w:r>
        <w:rPr>
          <w:rFonts w:hint="eastAsia" w:eastAsia="宋体"/>
          <w:color w:val="000000"/>
        </w:rPr>
        <w:t>“</w:t>
      </w:r>
      <w:r>
        <w:rPr>
          <w:rFonts w:eastAsia="宋体"/>
          <w:color w:val="000000"/>
        </w:rPr>
        <w:t>教、学、做、知识、能力、素质</w:t>
      </w:r>
      <w:r>
        <w:rPr>
          <w:rFonts w:hint="eastAsia" w:eastAsia="宋体"/>
          <w:color w:val="000000"/>
        </w:rPr>
        <w:t>”</w:t>
      </w:r>
      <w:r>
        <w:rPr>
          <w:rFonts w:eastAsia="宋体"/>
          <w:color w:val="000000"/>
        </w:rPr>
        <w:t>六位一体教学方法为突破口，加强对师资、授课、实验等教学条件的管理与完善；以</w:t>
      </w:r>
      <w:r>
        <w:rPr>
          <w:rFonts w:hint="eastAsia" w:eastAsia="宋体"/>
          <w:color w:val="000000"/>
        </w:rPr>
        <w:t>“</w:t>
      </w:r>
      <w:r>
        <w:rPr>
          <w:rFonts w:eastAsia="宋体"/>
          <w:color w:val="000000"/>
        </w:rPr>
        <w:t>校企合作办学、重视国际交流、提高学术氛围、强化学生素质</w:t>
      </w:r>
      <w:r>
        <w:rPr>
          <w:rFonts w:hint="eastAsia" w:eastAsia="宋体"/>
          <w:color w:val="000000"/>
        </w:rPr>
        <w:t>”</w:t>
      </w:r>
      <w:r>
        <w:rPr>
          <w:rFonts w:eastAsia="宋体"/>
          <w:color w:val="000000"/>
        </w:rPr>
        <w:t>为原则，强化办学特色。</w:t>
      </w:r>
    </w:p>
    <w:p>
      <w:pPr>
        <w:pStyle w:val="6"/>
        <w:adjustRightInd w:val="0"/>
        <w:snapToGrid w:val="0"/>
        <w:ind w:firstLine="480"/>
        <w:rPr>
          <w:rFonts w:eastAsia="宋体"/>
          <w:color w:val="000000"/>
        </w:rPr>
      </w:pPr>
      <w:r>
        <w:rPr>
          <w:rFonts w:eastAsia="宋体"/>
          <w:color w:val="000000"/>
        </w:rPr>
        <w:t>车辆工程专业建设过程中，极为重视产学研协同育人机制的构建与实施，首先选派多名骨干教师到相关高校、企业及科研院所进行博士后工作，强化与这些单位的合作关系，如张万枝副教授在农业农村部南京农业机械化研究所博士后工作站学习。其次，组织骨干教师参加多个协同创新中心的组建与建设工作，如吕钊钦教授入选</w:t>
      </w:r>
      <w:r>
        <w:rPr>
          <w:rFonts w:hint="eastAsia" w:eastAsia="宋体"/>
          <w:color w:val="000000"/>
        </w:rPr>
        <w:t>“</w:t>
      </w:r>
      <w:r>
        <w:rPr>
          <w:rFonts w:eastAsia="宋体"/>
          <w:color w:val="000000"/>
        </w:rPr>
        <w:t>山东省泰山产业领军人才工程核心成员</w:t>
      </w:r>
      <w:r>
        <w:rPr>
          <w:rFonts w:hint="eastAsia" w:eastAsia="宋体"/>
          <w:color w:val="000000"/>
        </w:rPr>
        <w:t>”</w:t>
      </w:r>
      <w:r>
        <w:rPr>
          <w:rFonts w:eastAsia="宋体"/>
          <w:color w:val="000000"/>
        </w:rPr>
        <w:t>，王金星教授、刘雪美教授被聘为山东省小麦玉米周年高产高效生产协同创新中心团队成员，王金星教授、宋月鹏教授、吕钊钦教授参与山东果蔬优质高效生产协同创新中心建设，被聘任为</w:t>
      </w:r>
      <w:r>
        <w:rPr>
          <w:rFonts w:hint="eastAsia" w:eastAsia="宋体"/>
          <w:color w:val="000000"/>
        </w:rPr>
        <w:t>“</w:t>
      </w:r>
      <w:r>
        <w:rPr>
          <w:rFonts w:eastAsia="宋体"/>
          <w:color w:val="000000"/>
        </w:rPr>
        <w:t>园艺机械装备与设施环境调控创新团队</w:t>
      </w:r>
      <w:r>
        <w:rPr>
          <w:rFonts w:hint="eastAsia" w:eastAsia="宋体"/>
          <w:color w:val="000000"/>
        </w:rPr>
        <w:t>”</w:t>
      </w:r>
      <w:r>
        <w:rPr>
          <w:rFonts w:eastAsia="宋体"/>
          <w:color w:val="000000"/>
        </w:rPr>
        <w:t>成员。再次，多名专业骨干教师参与</w:t>
      </w:r>
      <w:r>
        <w:rPr>
          <w:rFonts w:hint="eastAsia" w:eastAsia="宋体"/>
          <w:color w:val="000000"/>
        </w:rPr>
        <w:t>“</w:t>
      </w:r>
      <w:r>
        <w:rPr>
          <w:rFonts w:eastAsia="宋体"/>
          <w:color w:val="000000"/>
        </w:rPr>
        <w:t>农业装备产业技术创新联盟</w:t>
      </w:r>
      <w:r>
        <w:rPr>
          <w:rFonts w:hint="eastAsia" w:eastAsia="宋体"/>
          <w:color w:val="000000"/>
        </w:rPr>
        <w:t>”</w:t>
      </w:r>
      <w:r>
        <w:rPr>
          <w:rFonts w:eastAsia="宋体"/>
          <w:color w:val="000000"/>
        </w:rPr>
        <w:t>建设工作，如完成</w:t>
      </w:r>
      <w:r>
        <w:rPr>
          <w:rFonts w:hint="eastAsia" w:eastAsia="宋体"/>
          <w:color w:val="000000"/>
        </w:rPr>
        <w:t>“</w:t>
      </w:r>
      <w:r>
        <w:rPr>
          <w:rFonts w:eastAsia="宋体"/>
          <w:color w:val="000000"/>
        </w:rPr>
        <w:t>山东农业大学智能化农业装备工程研究中心</w:t>
      </w:r>
      <w:r>
        <w:rPr>
          <w:rFonts w:hint="eastAsia" w:eastAsia="宋体"/>
          <w:color w:val="000000"/>
        </w:rPr>
        <w:t>”</w:t>
      </w:r>
      <w:r>
        <w:rPr>
          <w:rFonts w:eastAsia="宋体"/>
          <w:color w:val="000000"/>
        </w:rPr>
        <w:t>筹备及建设工作，多名教师参与各类国内农业装备展览、学术会议等50余次。然后，选派多名骨干教师到校外教学科研就业实践基地进行技术服务。最后，充分发挥山东省现代农业岗位专家优势，薯类岗位专家张万枝副教授、水稻岗位专家刘双喜副教授、果树岗位专家宋月鹏教授深入到相关企业进行技术交流合作50余人次，达成多项合作意向，形成产学研课题多项。</w:t>
      </w:r>
    </w:p>
    <w:p>
      <w:pPr>
        <w:pStyle w:val="6"/>
        <w:adjustRightInd w:val="0"/>
        <w:snapToGrid w:val="0"/>
        <w:ind w:firstLine="480"/>
        <w:rPr>
          <w:rFonts w:eastAsia="宋体"/>
          <w:color w:val="000000"/>
        </w:rPr>
      </w:pPr>
      <w:r>
        <w:rPr>
          <w:rFonts w:eastAsia="宋体"/>
          <w:color w:val="000000"/>
        </w:rPr>
        <w:t>合作办学方面，聘任校外15位专家及校内11名骨干教师为</w:t>
      </w:r>
      <w:r>
        <w:rPr>
          <w:rFonts w:hint="eastAsia" w:eastAsia="宋体"/>
          <w:color w:val="000000"/>
        </w:rPr>
        <w:t>“</w:t>
      </w:r>
      <w:r>
        <w:rPr>
          <w:rFonts w:eastAsia="宋体"/>
          <w:color w:val="000000"/>
        </w:rPr>
        <w:t>大学生卓越工程师班</w:t>
      </w:r>
      <w:r>
        <w:rPr>
          <w:rFonts w:hint="eastAsia" w:eastAsia="宋体"/>
          <w:color w:val="000000"/>
        </w:rPr>
        <w:t>”</w:t>
      </w:r>
      <w:r>
        <w:rPr>
          <w:rFonts w:eastAsia="宋体"/>
          <w:color w:val="000000"/>
        </w:rPr>
        <w:t>指导教师：</w:t>
      </w:r>
    </w:p>
    <w:p>
      <w:pPr>
        <w:pStyle w:val="6"/>
        <w:adjustRightInd w:val="0"/>
        <w:snapToGrid w:val="0"/>
        <w:ind w:firstLine="480"/>
        <w:rPr>
          <w:rFonts w:eastAsia="宋体"/>
          <w:color w:val="000000"/>
        </w:rPr>
      </w:pPr>
      <w:r>
        <w:rPr>
          <w:rFonts w:eastAsia="宋体"/>
          <w:color w:val="000000"/>
        </w:rPr>
        <w:t>校外导师：</w:t>
      </w:r>
    </w:p>
    <w:p>
      <w:pPr>
        <w:ind w:firstLine="480"/>
      </w:pPr>
      <w:r>
        <w:t>济南赢氢动力科技有限公司董事长：于蓬；</w:t>
      </w:r>
    </w:p>
    <w:p>
      <w:pPr>
        <w:ind w:firstLine="480"/>
      </w:pPr>
      <w:r>
        <w:t>中国航天科技集团泰安航天特种车有限公司研发技术部部长：刘庆；</w:t>
      </w:r>
    </w:p>
    <w:p>
      <w:pPr>
        <w:pStyle w:val="6"/>
        <w:adjustRightInd w:val="0"/>
        <w:snapToGrid w:val="0"/>
        <w:ind w:firstLine="480"/>
        <w:rPr>
          <w:rFonts w:eastAsia="宋体"/>
          <w:color w:val="000000"/>
        </w:rPr>
      </w:pPr>
      <w:r>
        <w:rPr>
          <w:rFonts w:eastAsia="宋体"/>
          <w:color w:val="000000"/>
        </w:rPr>
        <w:t>泰安华鲁锻压机床有限公司董事长：刘庆印；</w:t>
      </w:r>
    </w:p>
    <w:p>
      <w:pPr>
        <w:pStyle w:val="6"/>
        <w:adjustRightInd w:val="0"/>
        <w:snapToGrid w:val="0"/>
        <w:ind w:firstLine="480"/>
        <w:rPr>
          <w:rFonts w:eastAsia="宋体"/>
          <w:color w:val="000000"/>
        </w:rPr>
      </w:pPr>
      <w:r>
        <w:rPr>
          <w:rFonts w:eastAsia="宋体"/>
          <w:color w:val="000000"/>
        </w:rPr>
        <w:t>中国重汽集团泰安五岳专用汽车有限公司副总经理：宫学民、总工李耐文；</w:t>
      </w:r>
    </w:p>
    <w:p>
      <w:pPr>
        <w:pStyle w:val="6"/>
        <w:adjustRightInd w:val="0"/>
        <w:snapToGrid w:val="0"/>
        <w:ind w:firstLine="480"/>
        <w:rPr>
          <w:rFonts w:eastAsia="宋体"/>
          <w:color w:val="000000"/>
        </w:rPr>
      </w:pPr>
      <w:r>
        <w:rPr>
          <w:rFonts w:eastAsia="宋体"/>
          <w:color w:val="000000"/>
        </w:rPr>
        <w:t>泰安嘉和重工股份有限公司总经理：安宝峰、总工姚庆昌；</w:t>
      </w:r>
    </w:p>
    <w:p>
      <w:pPr>
        <w:pStyle w:val="6"/>
        <w:adjustRightInd w:val="0"/>
        <w:snapToGrid w:val="0"/>
        <w:ind w:firstLine="480"/>
        <w:rPr>
          <w:rFonts w:eastAsia="宋体"/>
          <w:color w:val="000000"/>
        </w:rPr>
      </w:pPr>
      <w:r>
        <w:rPr>
          <w:rFonts w:eastAsia="宋体"/>
          <w:color w:val="000000"/>
        </w:rPr>
        <w:t>泰安海威数控机床有限公司总经理：吴士奎；</w:t>
      </w:r>
    </w:p>
    <w:p>
      <w:pPr>
        <w:pStyle w:val="6"/>
        <w:adjustRightInd w:val="0"/>
        <w:snapToGrid w:val="0"/>
        <w:ind w:firstLine="480"/>
        <w:rPr>
          <w:rFonts w:eastAsia="宋体"/>
          <w:color w:val="000000"/>
        </w:rPr>
      </w:pPr>
      <w:r>
        <w:rPr>
          <w:rFonts w:eastAsia="宋体"/>
          <w:color w:val="000000"/>
        </w:rPr>
        <w:t>泰安大源机械有限公司总经理：张增堂；</w:t>
      </w:r>
    </w:p>
    <w:p>
      <w:pPr>
        <w:pStyle w:val="6"/>
        <w:adjustRightInd w:val="0"/>
        <w:snapToGrid w:val="0"/>
        <w:ind w:firstLine="480"/>
        <w:rPr>
          <w:rFonts w:eastAsia="宋体"/>
          <w:color w:val="000000"/>
        </w:rPr>
      </w:pPr>
      <w:r>
        <w:rPr>
          <w:rFonts w:eastAsia="宋体"/>
          <w:color w:val="000000"/>
        </w:rPr>
        <w:t>山东恒通膨胀节制造有限公司董事长：王焕庆；</w:t>
      </w:r>
    </w:p>
    <w:p>
      <w:pPr>
        <w:pStyle w:val="6"/>
        <w:adjustRightInd w:val="0"/>
        <w:snapToGrid w:val="0"/>
        <w:ind w:firstLine="480"/>
        <w:rPr>
          <w:rFonts w:eastAsia="宋体"/>
          <w:color w:val="000000"/>
        </w:rPr>
      </w:pPr>
      <w:r>
        <w:rPr>
          <w:rFonts w:eastAsia="宋体"/>
          <w:color w:val="000000"/>
        </w:rPr>
        <w:t>国泰集团董事长：杨学东；</w:t>
      </w:r>
    </w:p>
    <w:p>
      <w:pPr>
        <w:pStyle w:val="6"/>
        <w:adjustRightInd w:val="0"/>
        <w:snapToGrid w:val="0"/>
        <w:ind w:firstLine="480"/>
        <w:rPr>
          <w:rFonts w:eastAsia="宋体"/>
          <w:color w:val="000000"/>
        </w:rPr>
      </w:pPr>
      <w:r>
        <w:rPr>
          <w:rFonts w:eastAsia="宋体"/>
          <w:color w:val="000000"/>
        </w:rPr>
        <w:t>泰安市电气行业协会副秘书长：胡鹏；</w:t>
      </w:r>
    </w:p>
    <w:p>
      <w:pPr>
        <w:pStyle w:val="6"/>
        <w:adjustRightInd w:val="0"/>
        <w:snapToGrid w:val="0"/>
        <w:ind w:firstLine="480"/>
        <w:rPr>
          <w:rFonts w:eastAsia="宋体"/>
          <w:color w:val="000000"/>
        </w:rPr>
      </w:pPr>
      <w:r>
        <w:rPr>
          <w:rFonts w:eastAsia="宋体"/>
          <w:color w:val="000000"/>
        </w:rPr>
        <w:t>山东华兴机械股份有限公司副总经理：王勇；</w:t>
      </w:r>
    </w:p>
    <w:p>
      <w:pPr>
        <w:pStyle w:val="6"/>
        <w:adjustRightInd w:val="0"/>
        <w:snapToGrid w:val="0"/>
        <w:ind w:firstLine="480"/>
        <w:rPr>
          <w:rFonts w:eastAsia="宋体"/>
          <w:color w:val="000000"/>
        </w:rPr>
      </w:pPr>
      <w:r>
        <w:rPr>
          <w:rFonts w:eastAsia="宋体"/>
          <w:color w:val="000000"/>
        </w:rPr>
        <w:t>山东五征集团有限公司副总经理：吴长民；</w:t>
      </w:r>
    </w:p>
    <w:p>
      <w:pPr>
        <w:pStyle w:val="6"/>
        <w:adjustRightInd w:val="0"/>
        <w:snapToGrid w:val="0"/>
        <w:ind w:firstLine="480"/>
        <w:rPr>
          <w:rFonts w:eastAsia="宋体"/>
          <w:color w:val="000000"/>
        </w:rPr>
      </w:pPr>
      <w:r>
        <w:rPr>
          <w:rFonts w:eastAsia="宋体"/>
          <w:color w:val="000000"/>
        </w:rPr>
        <w:t>山东爱普电气设备有限公司副总经理：李忠。</w:t>
      </w:r>
    </w:p>
    <w:p>
      <w:pPr>
        <w:pStyle w:val="6"/>
        <w:adjustRightInd w:val="0"/>
        <w:snapToGrid w:val="0"/>
        <w:ind w:firstLine="480"/>
        <w:rPr>
          <w:rFonts w:eastAsia="宋体"/>
          <w:color w:val="000000"/>
        </w:rPr>
      </w:pPr>
      <w:r>
        <w:rPr>
          <w:rFonts w:eastAsia="宋体"/>
          <w:color w:val="000000"/>
        </w:rPr>
        <w:t>校内导师：</w:t>
      </w:r>
    </w:p>
    <w:p>
      <w:pPr>
        <w:pStyle w:val="6"/>
        <w:adjustRightInd w:val="0"/>
        <w:snapToGrid w:val="0"/>
        <w:ind w:firstLine="480"/>
        <w:rPr>
          <w:rFonts w:eastAsia="宋体"/>
          <w:color w:val="000000"/>
        </w:rPr>
      </w:pPr>
      <w:r>
        <w:rPr>
          <w:rFonts w:eastAsia="宋体"/>
          <w:color w:val="000000"/>
        </w:rPr>
        <w:t>王金星、宋月鹏、田富洋、宋占华、郭晶、张万枝、李玉华、穆桂脂、邹亮亮、张婷婷、傅生辉</w:t>
      </w:r>
    </w:p>
    <w:p>
      <w:pPr>
        <w:pStyle w:val="6"/>
        <w:adjustRightInd w:val="0"/>
        <w:snapToGrid w:val="0"/>
        <w:ind w:firstLine="480"/>
        <w:rPr>
          <w:rFonts w:eastAsia="宋体"/>
          <w:color w:val="000000"/>
        </w:rPr>
      </w:pPr>
      <w:r>
        <w:rPr>
          <w:rFonts w:eastAsia="宋体"/>
          <w:color w:val="000000"/>
        </w:rPr>
        <w:t>在教学管理方面，根据学科和社会发展的需要，适时进行专业设置和专业方向的调整，增强专业的适应性，重视人才培养模式，把素质教育、创新教育贯穿于人才培养的全过程，坚持通识教育与专业教育并重，学问修养与人格修养并重，知识、能力与素质并重。严格执行教学计划与管理制度，重点对教学过程中的教案、教学大纲、教学日历等资料文件加强管理，定期组织教学方面的研讨会，提高广大教师的教学质量。多年来，专业教学工作一直按计划更新进行，教学文件的完备率达100%，无教学事故。努力为学生营造一个宽松的学习环境，尊重学生身心发展规律，坚持以人为本。论文格式。任何一项教学管理制度、措施都要有利于充分调动学生的积极性和创造性，有利于培养学生的创新精神和实践能力。根据汽车技术的发展及对人才需求的变化以及专业发展的实际情况，不断对课程大纲及培养方案进行修订完善，相应调整教学内容，使其适应专业人才培养目标。</w:t>
      </w:r>
    </w:p>
    <w:p>
      <w:pPr>
        <w:pStyle w:val="5"/>
        <w:spacing w:before="93" w:after="93"/>
        <w:ind w:firstLine="560"/>
      </w:pPr>
      <w:r>
        <w:t>五、培养质量（毕业生就业率、就业专业对口率、毕业生发展情况、就业单位满意率、社会对专业的评价、学生就读该专业的意愿等）</w:t>
      </w:r>
    </w:p>
    <w:p>
      <w:pPr>
        <w:pStyle w:val="6"/>
        <w:adjustRightInd w:val="0"/>
        <w:snapToGrid w:val="0"/>
        <w:ind w:firstLine="480"/>
        <w:rPr>
          <w:rFonts w:eastAsia="宋体"/>
          <w:color w:val="000000"/>
        </w:rPr>
      </w:pPr>
      <w:r>
        <w:rPr>
          <w:rFonts w:eastAsia="宋体"/>
          <w:color w:val="000000"/>
        </w:rPr>
        <w:t>迄今为止，我校车辆工程专业共向国内外相关领域输送了700多名优秀毕业生。毕业生就业率、考研率一直维持在较高水平。2022年，车辆工程专业就业情况如表2所示。2022年，车辆工程专业就业情况较好，考研与企业就业是当前大学生就业的两个主渠道，占到了毕业生的九成多，考研率30.16%。就今年毕业生就业去向来看，大部分学生主要从事汽车设计、制造等工作，就业专业对口率达到90%以上。2022年研究生推免中，苏家凯同学推免至东北大学、王文浩推免至大连理工大学。</w:t>
      </w:r>
    </w:p>
    <w:p>
      <w:pPr>
        <w:spacing w:line="240" w:lineRule="auto"/>
        <w:jc w:val="center"/>
        <w:rPr>
          <w:b/>
          <w:bCs/>
          <w:sz w:val="21"/>
          <w:szCs w:val="21"/>
        </w:rPr>
      </w:pPr>
      <w:r>
        <w:rPr>
          <w:b/>
          <w:bCs/>
          <w:sz w:val="21"/>
          <w:szCs w:val="21"/>
        </w:rPr>
        <w:t>表2  车辆工程专业2021届毕业生就业情况一览表</w:t>
      </w:r>
    </w:p>
    <w:tbl>
      <w:tblPr>
        <w:tblStyle w:val="17"/>
        <w:tblW w:w="4997" w:type="pct"/>
        <w:jc w:val="center"/>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3"/>
        <w:gridCol w:w="685"/>
        <w:gridCol w:w="729"/>
        <w:gridCol w:w="878"/>
        <w:gridCol w:w="918"/>
        <w:gridCol w:w="651"/>
        <w:gridCol w:w="638"/>
        <w:gridCol w:w="1063"/>
        <w:gridCol w:w="468"/>
        <w:gridCol w:w="727"/>
        <w:gridCol w:w="986"/>
      </w:tblGrid>
      <w:tr>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4" w:type="pct"/>
            <w:vAlign w:val="center"/>
          </w:tcPr>
          <w:p>
            <w:pPr>
              <w:spacing w:line="240" w:lineRule="auto"/>
              <w:jc w:val="center"/>
              <w:rPr>
                <w:b/>
                <w:bCs/>
                <w:sz w:val="21"/>
                <w:szCs w:val="21"/>
              </w:rPr>
            </w:pPr>
            <w:r>
              <w:rPr>
                <w:b/>
                <w:bCs/>
                <w:sz w:val="21"/>
                <w:szCs w:val="21"/>
              </w:rPr>
              <w:t>专    业</w:t>
            </w:r>
          </w:p>
        </w:tc>
        <w:tc>
          <w:tcPr>
            <w:tcW w:w="378" w:type="pct"/>
            <w:vAlign w:val="center"/>
          </w:tcPr>
          <w:p>
            <w:pPr>
              <w:spacing w:line="240" w:lineRule="auto"/>
              <w:jc w:val="center"/>
              <w:rPr>
                <w:b/>
                <w:bCs/>
                <w:sz w:val="21"/>
                <w:szCs w:val="21"/>
              </w:rPr>
            </w:pPr>
            <w:r>
              <w:rPr>
                <w:b/>
                <w:bCs/>
                <w:sz w:val="21"/>
                <w:szCs w:val="21"/>
              </w:rPr>
              <w:t>人数</w:t>
            </w:r>
          </w:p>
        </w:tc>
        <w:tc>
          <w:tcPr>
            <w:tcW w:w="402" w:type="pct"/>
            <w:vAlign w:val="center"/>
          </w:tcPr>
          <w:p>
            <w:pPr>
              <w:spacing w:line="240" w:lineRule="auto"/>
              <w:jc w:val="center"/>
              <w:rPr>
                <w:b/>
                <w:bCs/>
                <w:sz w:val="21"/>
                <w:szCs w:val="21"/>
              </w:rPr>
            </w:pPr>
            <w:r>
              <w:rPr>
                <w:b/>
                <w:bCs/>
                <w:sz w:val="21"/>
                <w:szCs w:val="21"/>
              </w:rPr>
              <w:t>考研人数</w:t>
            </w:r>
          </w:p>
        </w:tc>
        <w:tc>
          <w:tcPr>
            <w:tcW w:w="484" w:type="pct"/>
            <w:vAlign w:val="center"/>
          </w:tcPr>
          <w:p>
            <w:pPr>
              <w:spacing w:line="240" w:lineRule="auto"/>
              <w:jc w:val="center"/>
              <w:rPr>
                <w:b/>
                <w:bCs/>
                <w:sz w:val="21"/>
                <w:szCs w:val="21"/>
              </w:rPr>
            </w:pPr>
            <w:r>
              <w:rPr>
                <w:b/>
                <w:bCs/>
                <w:sz w:val="21"/>
                <w:szCs w:val="21"/>
              </w:rPr>
              <w:t>专业</w:t>
            </w:r>
          </w:p>
          <w:p>
            <w:pPr>
              <w:spacing w:line="240" w:lineRule="auto"/>
              <w:jc w:val="center"/>
              <w:rPr>
                <w:b/>
                <w:bCs/>
                <w:sz w:val="21"/>
                <w:szCs w:val="21"/>
              </w:rPr>
            </w:pPr>
            <w:r>
              <w:rPr>
                <w:b/>
                <w:bCs/>
                <w:sz w:val="21"/>
                <w:szCs w:val="21"/>
              </w:rPr>
              <w:t>考研率</w:t>
            </w:r>
          </w:p>
        </w:tc>
        <w:tc>
          <w:tcPr>
            <w:tcW w:w="506" w:type="pct"/>
            <w:vAlign w:val="center"/>
          </w:tcPr>
          <w:p>
            <w:pPr>
              <w:spacing w:line="240" w:lineRule="auto"/>
              <w:jc w:val="center"/>
              <w:rPr>
                <w:b/>
                <w:bCs/>
                <w:sz w:val="21"/>
                <w:szCs w:val="21"/>
              </w:rPr>
            </w:pPr>
            <w:r>
              <w:rPr>
                <w:b/>
                <w:bCs/>
                <w:sz w:val="21"/>
                <w:szCs w:val="21"/>
              </w:rPr>
              <w:t>已签约公务员</w:t>
            </w:r>
          </w:p>
        </w:tc>
        <w:tc>
          <w:tcPr>
            <w:tcW w:w="359" w:type="pct"/>
            <w:vAlign w:val="center"/>
          </w:tcPr>
          <w:p>
            <w:pPr>
              <w:spacing w:line="240" w:lineRule="auto"/>
              <w:jc w:val="center"/>
              <w:rPr>
                <w:b/>
                <w:bCs/>
                <w:sz w:val="21"/>
                <w:szCs w:val="21"/>
              </w:rPr>
            </w:pPr>
            <w:r>
              <w:rPr>
                <w:b/>
                <w:bCs/>
                <w:sz w:val="21"/>
                <w:szCs w:val="21"/>
              </w:rPr>
              <w:t>网上签约</w:t>
            </w:r>
          </w:p>
        </w:tc>
        <w:tc>
          <w:tcPr>
            <w:tcW w:w="352" w:type="pct"/>
            <w:vAlign w:val="center"/>
          </w:tcPr>
          <w:p>
            <w:pPr>
              <w:spacing w:line="240" w:lineRule="auto"/>
              <w:jc w:val="center"/>
              <w:rPr>
                <w:b/>
                <w:bCs/>
                <w:sz w:val="21"/>
                <w:szCs w:val="21"/>
              </w:rPr>
            </w:pPr>
            <w:r>
              <w:rPr>
                <w:b/>
                <w:bCs/>
                <w:sz w:val="21"/>
                <w:szCs w:val="21"/>
              </w:rPr>
              <w:t>合同</w:t>
            </w:r>
          </w:p>
          <w:p>
            <w:pPr>
              <w:spacing w:line="240" w:lineRule="auto"/>
              <w:jc w:val="center"/>
              <w:rPr>
                <w:b/>
                <w:bCs/>
                <w:sz w:val="21"/>
                <w:szCs w:val="21"/>
              </w:rPr>
            </w:pPr>
            <w:r>
              <w:rPr>
                <w:b/>
                <w:bCs/>
                <w:sz w:val="21"/>
                <w:szCs w:val="21"/>
              </w:rPr>
              <w:t>就业</w:t>
            </w:r>
          </w:p>
        </w:tc>
        <w:tc>
          <w:tcPr>
            <w:tcW w:w="586" w:type="pct"/>
            <w:vAlign w:val="center"/>
          </w:tcPr>
          <w:p>
            <w:pPr>
              <w:spacing w:line="240" w:lineRule="auto"/>
              <w:jc w:val="center"/>
              <w:rPr>
                <w:b/>
                <w:bCs/>
                <w:sz w:val="21"/>
                <w:szCs w:val="21"/>
              </w:rPr>
            </w:pPr>
            <w:r>
              <w:rPr>
                <w:b/>
                <w:bCs/>
                <w:sz w:val="21"/>
                <w:szCs w:val="21"/>
              </w:rPr>
              <w:t>非派遣省外就业</w:t>
            </w:r>
          </w:p>
        </w:tc>
        <w:tc>
          <w:tcPr>
            <w:tcW w:w="258" w:type="pct"/>
            <w:vAlign w:val="center"/>
          </w:tcPr>
          <w:p>
            <w:pPr>
              <w:spacing w:line="240" w:lineRule="auto"/>
              <w:jc w:val="center"/>
              <w:rPr>
                <w:b/>
                <w:bCs/>
                <w:sz w:val="21"/>
                <w:szCs w:val="21"/>
              </w:rPr>
            </w:pPr>
            <w:r>
              <w:rPr>
                <w:b/>
                <w:bCs/>
                <w:sz w:val="21"/>
                <w:szCs w:val="21"/>
              </w:rPr>
              <w:t>出国</w:t>
            </w:r>
          </w:p>
        </w:tc>
        <w:tc>
          <w:tcPr>
            <w:tcW w:w="401" w:type="pct"/>
            <w:vAlign w:val="center"/>
          </w:tcPr>
          <w:p>
            <w:pPr>
              <w:spacing w:line="240" w:lineRule="auto"/>
              <w:jc w:val="center"/>
              <w:rPr>
                <w:b/>
                <w:bCs/>
                <w:sz w:val="21"/>
                <w:szCs w:val="21"/>
              </w:rPr>
            </w:pPr>
            <w:r>
              <w:rPr>
                <w:b/>
                <w:bCs/>
                <w:sz w:val="21"/>
                <w:szCs w:val="21"/>
              </w:rPr>
              <w:t>自主创业</w:t>
            </w:r>
          </w:p>
        </w:tc>
        <w:tc>
          <w:tcPr>
            <w:tcW w:w="544" w:type="pct"/>
            <w:vAlign w:val="center"/>
          </w:tcPr>
          <w:p>
            <w:pPr>
              <w:spacing w:line="240" w:lineRule="auto"/>
              <w:jc w:val="center"/>
              <w:rPr>
                <w:b/>
                <w:bCs/>
                <w:sz w:val="21"/>
                <w:szCs w:val="21"/>
              </w:rPr>
            </w:pPr>
            <w:r>
              <w:rPr>
                <w:b/>
                <w:bCs/>
                <w:sz w:val="21"/>
                <w:szCs w:val="21"/>
              </w:rPr>
              <w:t>专业</w:t>
            </w:r>
          </w:p>
          <w:p>
            <w:pPr>
              <w:spacing w:line="240" w:lineRule="auto"/>
              <w:jc w:val="center"/>
              <w:rPr>
                <w:b/>
                <w:bCs/>
                <w:sz w:val="21"/>
                <w:szCs w:val="21"/>
              </w:rPr>
            </w:pPr>
            <w:r>
              <w:rPr>
                <w:b/>
                <w:bCs/>
                <w:sz w:val="21"/>
                <w:szCs w:val="21"/>
              </w:rPr>
              <w:t>就业率</w:t>
            </w:r>
          </w:p>
        </w:tc>
      </w:tr>
      <w:tr>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724" w:type="pct"/>
            <w:vAlign w:val="center"/>
          </w:tcPr>
          <w:p>
            <w:pPr>
              <w:spacing w:line="240" w:lineRule="auto"/>
              <w:jc w:val="center"/>
              <w:rPr>
                <w:sz w:val="21"/>
                <w:szCs w:val="21"/>
              </w:rPr>
            </w:pPr>
            <w:r>
              <w:rPr>
                <w:sz w:val="21"/>
                <w:szCs w:val="21"/>
              </w:rPr>
              <w:t>车辆工程</w:t>
            </w:r>
          </w:p>
        </w:tc>
        <w:tc>
          <w:tcPr>
            <w:tcW w:w="378" w:type="pct"/>
            <w:vAlign w:val="center"/>
          </w:tcPr>
          <w:p>
            <w:pPr>
              <w:spacing w:line="240" w:lineRule="auto"/>
              <w:jc w:val="center"/>
              <w:rPr>
                <w:sz w:val="21"/>
                <w:szCs w:val="21"/>
              </w:rPr>
            </w:pPr>
            <w:r>
              <w:rPr>
                <w:sz w:val="21"/>
                <w:szCs w:val="21"/>
              </w:rPr>
              <w:t>63</w:t>
            </w:r>
          </w:p>
        </w:tc>
        <w:tc>
          <w:tcPr>
            <w:tcW w:w="402" w:type="pct"/>
            <w:vAlign w:val="center"/>
          </w:tcPr>
          <w:p>
            <w:pPr>
              <w:spacing w:line="240" w:lineRule="auto"/>
              <w:jc w:val="center"/>
              <w:rPr>
                <w:sz w:val="21"/>
                <w:szCs w:val="21"/>
              </w:rPr>
            </w:pPr>
            <w:r>
              <w:rPr>
                <w:sz w:val="21"/>
                <w:szCs w:val="21"/>
              </w:rPr>
              <w:t>19</w:t>
            </w:r>
          </w:p>
        </w:tc>
        <w:tc>
          <w:tcPr>
            <w:tcW w:w="484" w:type="pct"/>
            <w:vAlign w:val="center"/>
          </w:tcPr>
          <w:p>
            <w:pPr>
              <w:spacing w:line="240" w:lineRule="auto"/>
              <w:jc w:val="center"/>
              <w:rPr>
                <w:sz w:val="21"/>
                <w:szCs w:val="21"/>
              </w:rPr>
            </w:pPr>
            <w:r>
              <w:rPr>
                <w:sz w:val="21"/>
                <w:szCs w:val="21"/>
              </w:rPr>
              <w:t>30.16%</w:t>
            </w:r>
          </w:p>
        </w:tc>
        <w:tc>
          <w:tcPr>
            <w:tcW w:w="506" w:type="pct"/>
            <w:vAlign w:val="center"/>
          </w:tcPr>
          <w:p>
            <w:pPr>
              <w:spacing w:line="240" w:lineRule="auto"/>
              <w:jc w:val="center"/>
              <w:rPr>
                <w:sz w:val="21"/>
                <w:szCs w:val="21"/>
              </w:rPr>
            </w:pPr>
            <w:r>
              <w:rPr>
                <w:sz w:val="21"/>
                <w:szCs w:val="21"/>
              </w:rPr>
              <w:t>0</w:t>
            </w:r>
          </w:p>
        </w:tc>
        <w:tc>
          <w:tcPr>
            <w:tcW w:w="359" w:type="pct"/>
            <w:vAlign w:val="center"/>
          </w:tcPr>
          <w:p>
            <w:pPr>
              <w:spacing w:line="240" w:lineRule="auto"/>
              <w:jc w:val="center"/>
              <w:rPr>
                <w:sz w:val="21"/>
                <w:szCs w:val="21"/>
              </w:rPr>
            </w:pPr>
            <w:r>
              <w:rPr>
                <w:sz w:val="21"/>
                <w:szCs w:val="21"/>
              </w:rPr>
              <w:t>39</w:t>
            </w:r>
          </w:p>
        </w:tc>
        <w:tc>
          <w:tcPr>
            <w:tcW w:w="352" w:type="pct"/>
            <w:vAlign w:val="center"/>
          </w:tcPr>
          <w:p>
            <w:pPr>
              <w:spacing w:line="240" w:lineRule="auto"/>
              <w:jc w:val="center"/>
              <w:rPr>
                <w:sz w:val="21"/>
                <w:szCs w:val="21"/>
              </w:rPr>
            </w:pPr>
            <w:r>
              <w:rPr>
                <w:sz w:val="21"/>
                <w:szCs w:val="21"/>
              </w:rPr>
              <w:t>0</w:t>
            </w:r>
          </w:p>
        </w:tc>
        <w:tc>
          <w:tcPr>
            <w:tcW w:w="586" w:type="pct"/>
            <w:vAlign w:val="center"/>
          </w:tcPr>
          <w:p>
            <w:pPr>
              <w:spacing w:line="240" w:lineRule="auto"/>
              <w:jc w:val="center"/>
              <w:rPr>
                <w:sz w:val="21"/>
                <w:szCs w:val="21"/>
              </w:rPr>
            </w:pPr>
            <w:r>
              <w:rPr>
                <w:sz w:val="21"/>
                <w:szCs w:val="21"/>
              </w:rPr>
              <w:t>0</w:t>
            </w:r>
          </w:p>
        </w:tc>
        <w:tc>
          <w:tcPr>
            <w:tcW w:w="258" w:type="pct"/>
            <w:vAlign w:val="center"/>
          </w:tcPr>
          <w:p>
            <w:pPr>
              <w:spacing w:line="240" w:lineRule="auto"/>
              <w:jc w:val="center"/>
              <w:rPr>
                <w:sz w:val="21"/>
                <w:szCs w:val="21"/>
              </w:rPr>
            </w:pPr>
            <w:r>
              <w:rPr>
                <w:sz w:val="21"/>
                <w:szCs w:val="21"/>
              </w:rPr>
              <w:t>0</w:t>
            </w:r>
          </w:p>
        </w:tc>
        <w:tc>
          <w:tcPr>
            <w:tcW w:w="401" w:type="pct"/>
            <w:vAlign w:val="center"/>
          </w:tcPr>
          <w:p>
            <w:pPr>
              <w:spacing w:line="240" w:lineRule="auto"/>
              <w:jc w:val="center"/>
              <w:rPr>
                <w:sz w:val="21"/>
                <w:szCs w:val="21"/>
              </w:rPr>
            </w:pPr>
            <w:r>
              <w:rPr>
                <w:sz w:val="21"/>
                <w:szCs w:val="21"/>
              </w:rPr>
              <w:t>0</w:t>
            </w:r>
          </w:p>
        </w:tc>
        <w:tc>
          <w:tcPr>
            <w:tcW w:w="544" w:type="pct"/>
            <w:vAlign w:val="center"/>
          </w:tcPr>
          <w:p>
            <w:pPr>
              <w:spacing w:line="240" w:lineRule="auto"/>
              <w:jc w:val="center"/>
              <w:rPr>
                <w:sz w:val="21"/>
                <w:szCs w:val="21"/>
              </w:rPr>
            </w:pPr>
            <w:r>
              <w:rPr>
                <w:sz w:val="21"/>
                <w:szCs w:val="21"/>
              </w:rPr>
              <w:t>92.06%</w:t>
            </w:r>
          </w:p>
        </w:tc>
      </w:tr>
    </w:tbl>
    <w:p>
      <w:pPr>
        <w:pStyle w:val="6"/>
        <w:adjustRightInd w:val="0"/>
        <w:snapToGrid w:val="0"/>
        <w:ind w:firstLine="480"/>
        <w:rPr>
          <w:rFonts w:eastAsia="宋体"/>
          <w:color w:val="000000"/>
        </w:rPr>
      </w:pPr>
      <w:r>
        <w:rPr>
          <w:rFonts w:eastAsia="宋体"/>
          <w:color w:val="000000"/>
        </w:rPr>
        <w:t>一直以来，国家发展政策中都把发展汽车产业作为支柱产业，强调自主品牌的发展，山东省已经成为汽车大省。根据中国汽车产业发展对汽车专业人才的需求和现在我校的办学条件和办学思想，经学校申报、省教育厅和国家教育部批准开办此专业。汽车作为大综合产业，对人才的需求一直都保持高位状态。在中国，汽车人才的缺口一直位居各供需职位前列，一边是中国汽车市场的高速发展，双千万市场前景广阔；另一边却是各厂家求贤若渴，千方百计找人。</w:t>
      </w:r>
    </w:p>
    <w:p>
      <w:pPr>
        <w:pStyle w:val="6"/>
        <w:adjustRightInd w:val="0"/>
        <w:snapToGrid w:val="0"/>
        <w:ind w:firstLine="480"/>
        <w:rPr>
          <w:rFonts w:eastAsia="宋体"/>
          <w:color w:val="000000"/>
        </w:rPr>
      </w:pPr>
      <w:r>
        <w:rPr>
          <w:rFonts w:eastAsia="宋体"/>
          <w:color w:val="000000"/>
        </w:rPr>
        <w:t>通过调研，车辆工程专业的毕业生可以从事铁道机车车辆、城市轨道交通地铁及轻轨车辆、动车组、公路汽车的研究教育、设计制造、运用管理等，可参与城市交通系统的规划、设计、建设、运营、管理等；可以进入汽车整车制造企业、汽车零部件制造企业、工程机械生产企业、车辆相关的研究所以及汽车、机械相关行业各技术部门，从事汽车设计、制造、试验与检测、汽车营销和汽车制造管理工作；可在国家机关和交通运输管理部门从事相关的规划管理工作，也可在贸易和保险部门从事汽车贸易和保险业务工作，还可在高等院校从事教学与科研工作。</w:t>
      </w:r>
    </w:p>
    <w:p>
      <w:pPr>
        <w:pStyle w:val="6"/>
        <w:adjustRightInd w:val="0"/>
        <w:snapToGrid w:val="0"/>
        <w:ind w:firstLine="480"/>
        <w:rPr>
          <w:rFonts w:eastAsia="宋体"/>
          <w:color w:val="000000"/>
        </w:rPr>
      </w:pPr>
      <w:r>
        <w:rPr>
          <w:rFonts w:eastAsia="宋体"/>
          <w:color w:val="000000"/>
        </w:rPr>
        <w:t>社会对专业的评价及要求是：车辆工程的毕业生能很快的融入汽车及相关企业的生产、销售以及研发等工作中，用人单位对我专业毕业生的思想道德品质、毕业生对环境的适应能力、毕业生的团队合作精神、毕业生的专业知识结构、毕业生的敬业精神、毕业生在工作中解决实际问题的能力、毕业生的学习和创新能力、毕业生对单位的贡献、毕业生的组织协调能力、毕业生的动手能力和吃苦精神、毕业生的再学习能力等方面都给出了很高的评价。</w:t>
      </w:r>
    </w:p>
    <w:p>
      <w:pPr>
        <w:pStyle w:val="6"/>
        <w:adjustRightInd w:val="0"/>
        <w:snapToGrid w:val="0"/>
        <w:ind w:firstLine="480"/>
        <w:rPr>
          <w:rFonts w:eastAsia="宋体"/>
          <w:color w:val="000000"/>
        </w:rPr>
      </w:pPr>
      <w:r>
        <w:rPr>
          <w:rFonts w:eastAsia="宋体"/>
          <w:color w:val="000000"/>
        </w:rPr>
        <w:t>车辆工程专业职业岗位(群)及工作任务的知识、能力和素质的要求是：</w:t>
      </w:r>
    </w:p>
    <w:p>
      <w:pPr>
        <w:pStyle w:val="6"/>
        <w:adjustRightInd w:val="0"/>
        <w:snapToGrid w:val="0"/>
        <w:ind w:firstLine="480"/>
        <w:rPr>
          <w:rFonts w:eastAsia="宋体"/>
          <w:color w:val="000000"/>
        </w:rPr>
      </w:pPr>
      <w:r>
        <w:rPr>
          <w:rFonts w:eastAsia="宋体"/>
          <w:color w:val="000000"/>
        </w:rPr>
        <w:t>（1）有较扎实的自然科学基础，较好的人文、艺术和社会科学基础及正确的运用本国语言、文字的表达能力；</w:t>
      </w:r>
    </w:p>
    <w:p>
      <w:pPr>
        <w:pStyle w:val="6"/>
        <w:adjustRightInd w:val="0"/>
        <w:snapToGrid w:val="0"/>
        <w:ind w:firstLine="480"/>
        <w:rPr>
          <w:rFonts w:eastAsia="宋体"/>
          <w:color w:val="000000"/>
        </w:rPr>
      </w:pPr>
      <w:r>
        <w:rPr>
          <w:rFonts w:eastAsia="宋体"/>
          <w:color w:val="000000"/>
        </w:rPr>
        <w:t>（2）较系统的掌握本专业领域宽广的理论基础知识，主要包括力学、机械学、电工与电子技术、机械工程材料、机械设计工程学、机械制造基础、自动化基础、市场经济及企业管理等知识；</w:t>
      </w:r>
    </w:p>
    <w:p>
      <w:pPr>
        <w:pStyle w:val="6"/>
        <w:adjustRightInd w:val="0"/>
        <w:snapToGrid w:val="0"/>
        <w:ind w:firstLine="480"/>
        <w:rPr>
          <w:rFonts w:eastAsia="宋体"/>
          <w:color w:val="000000"/>
        </w:rPr>
      </w:pPr>
      <w:r>
        <w:rPr>
          <w:rFonts w:eastAsia="宋体"/>
          <w:color w:val="000000"/>
        </w:rPr>
        <w:t>（3）具有本专业必需的工程制图、分析计算、试验测试、文献检索和生产工艺操作等基本技能；</w:t>
      </w:r>
    </w:p>
    <w:p>
      <w:pPr>
        <w:pStyle w:val="6"/>
        <w:adjustRightInd w:val="0"/>
        <w:snapToGrid w:val="0"/>
        <w:ind w:firstLine="480"/>
        <w:rPr>
          <w:rFonts w:eastAsia="宋体"/>
          <w:color w:val="000000"/>
        </w:rPr>
      </w:pPr>
      <w:r>
        <w:rPr>
          <w:rFonts w:eastAsia="宋体"/>
          <w:color w:val="000000"/>
        </w:rPr>
        <w:t>（4）具有本专业领域内车辆工程方向所必要的专业知识，了解其科学前沿及发展趋势；</w:t>
      </w:r>
    </w:p>
    <w:p>
      <w:pPr>
        <w:pStyle w:val="6"/>
        <w:adjustRightInd w:val="0"/>
        <w:snapToGrid w:val="0"/>
        <w:ind w:firstLine="480"/>
        <w:rPr>
          <w:rFonts w:eastAsia="宋体"/>
          <w:color w:val="000000"/>
        </w:rPr>
      </w:pPr>
      <w:r>
        <w:rPr>
          <w:rFonts w:eastAsia="宋体"/>
          <w:color w:val="000000"/>
        </w:rPr>
        <w:t>（5）掌握文献检索、资料查阅的基本方法，具有初步的科学研究、科技开发及组织管理能力；</w:t>
      </w:r>
    </w:p>
    <w:p>
      <w:pPr>
        <w:pStyle w:val="6"/>
        <w:adjustRightInd w:val="0"/>
        <w:snapToGrid w:val="0"/>
        <w:ind w:firstLine="480"/>
        <w:rPr>
          <w:rFonts w:eastAsia="宋体"/>
          <w:color w:val="000000"/>
        </w:rPr>
      </w:pPr>
      <w:r>
        <w:rPr>
          <w:rFonts w:eastAsia="宋体"/>
          <w:color w:val="000000"/>
        </w:rPr>
        <w:t>（6）具有较强的自学能力和创新能力。</w:t>
      </w:r>
    </w:p>
    <w:p>
      <w:pPr>
        <w:pStyle w:val="5"/>
        <w:spacing w:before="93" w:after="93"/>
        <w:ind w:firstLine="560"/>
      </w:pPr>
      <w:r>
        <w:t>六、毕业生就业创业（创业情况、采取的措施、典型案例等）</w:t>
      </w:r>
    </w:p>
    <w:p>
      <w:pPr>
        <w:pStyle w:val="6"/>
        <w:adjustRightInd w:val="0"/>
        <w:snapToGrid w:val="0"/>
        <w:ind w:firstLine="480"/>
        <w:rPr>
          <w:rFonts w:eastAsia="宋体"/>
          <w:color w:val="000000"/>
        </w:rPr>
      </w:pPr>
      <w:r>
        <w:rPr>
          <w:rFonts w:eastAsia="宋体"/>
          <w:color w:val="000000"/>
        </w:rPr>
        <w:t>为了促进毕业生就业创业工作，机电学院采取多种措施，确保每个毕业生都能够顺利就业，由于措施得当，连续多年机电学院被学校评为招生就业先进单位光荣称号，2022年，针对新冠疫情影响及国内外经济社会发展形势对毕业生就业提出严峻考验的现实，车辆工程专业各专职教师，在学院党委、行政及团委各级领导带领下，开拓创新，充分发挥专业优势，采用线上线下多种平台，确保车辆工程专业毕业生就业率稳定在90%以上，具体措施包括：</w:t>
      </w:r>
    </w:p>
    <w:p>
      <w:pPr>
        <w:pStyle w:val="6"/>
        <w:adjustRightInd w:val="0"/>
        <w:snapToGrid w:val="0"/>
        <w:ind w:firstLine="480"/>
        <w:rPr>
          <w:rFonts w:eastAsia="宋体"/>
          <w:color w:val="000000"/>
        </w:rPr>
      </w:pPr>
      <w:r>
        <w:rPr>
          <w:rFonts w:eastAsia="宋体"/>
          <w:color w:val="000000"/>
        </w:rPr>
        <w:t>1.狠抓学风建设是根本。学风从根本上决定就业。学院把学风建设与就业相结合，实行教学、就业相促进，强化实践与创新，大力提高核心竞争力。主要实施高端论坛、制度规范、磐石工程、精品工程、文化熏陶等9大工程，夯实、引领、示范、保障优良学风建设，实现了学风建设和就业工作的双赢。</w:t>
      </w:r>
    </w:p>
    <w:p>
      <w:pPr>
        <w:pStyle w:val="6"/>
        <w:adjustRightInd w:val="0"/>
        <w:snapToGrid w:val="0"/>
        <w:ind w:firstLine="480"/>
        <w:rPr>
          <w:rFonts w:eastAsia="宋体"/>
          <w:color w:val="000000"/>
        </w:rPr>
      </w:pPr>
      <w:r>
        <w:rPr>
          <w:rFonts w:eastAsia="宋体"/>
          <w:color w:val="000000"/>
        </w:rPr>
        <w:t>2.做好思想工作是关键。每年有近二百家单位招聘，提供几千个岗位。但到大城市、大企业去工作的观念，仍然是制约就业的关键。因此，学院把做好就业教育作为提高签约的关键，重点抓住毕业生择业的</w:t>
      </w:r>
      <w:r>
        <w:rPr>
          <w:rFonts w:hint="eastAsia" w:eastAsia="宋体"/>
          <w:color w:val="000000"/>
        </w:rPr>
        <w:t>“</w:t>
      </w:r>
      <w:r>
        <w:rPr>
          <w:rFonts w:eastAsia="宋体"/>
          <w:color w:val="000000"/>
        </w:rPr>
        <w:t>三个关键时期</w:t>
      </w:r>
      <w:r>
        <w:rPr>
          <w:rFonts w:hint="eastAsia" w:eastAsia="宋体"/>
          <w:color w:val="000000"/>
        </w:rPr>
        <w:t>”</w:t>
      </w:r>
      <w:r>
        <w:rPr>
          <w:rFonts w:eastAsia="宋体"/>
          <w:color w:val="000000"/>
        </w:rPr>
        <w:t>，即</w:t>
      </w:r>
      <w:r>
        <w:rPr>
          <w:rFonts w:hint="eastAsia" w:eastAsia="宋体"/>
          <w:color w:val="000000"/>
        </w:rPr>
        <w:t>“</w:t>
      </w:r>
      <w:r>
        <w:rPr>
          <w:rFonts w:eastAsia="宋体"/>
          <w:color w:val="000000"/>
        </w:rPr>
        <w:t>思考就业</w:t>
      </w:r>
      <w:r>
        <w:rPr>
          <w:rFonts w:hint="eastAsia" w:eastAsia="宋体"/>
          <w:color w:val="000000"/>
        </w:rPr>
        <w:t>”</w:t>
      </w:r>
      <w:r>
        <w:rPr>
          <w:rFonts w:eastAsia="宋体"/>
          <w:color w:val="000000"/>
        </w:rPr>
        <w:t>的萌动期，这时强化就业理念教育；</w:t>
      </w:r>
      <w:r>
        <w:rPr>
          <w:rFonts w:hint="eastAsia" w:eastAsia="宋体"/>
          <w:color w:val="000000"/>
        </w:rPr>
        <w:t>“</w:t>
      </w:r>
      <w:r>
        <w:rPr>
          <w:rFonts w:eastAsia="宋体"/>
          <w:color w:val="000000"/>
        </w:rPr>
        <w:t>准备就业</w:t>
      </w:r>
      <w:r>
        <w:rPr>
          <w:rFonts w:hint="eastAsia" w:eastAsia="宋体"/>
          <w:color w:val="000000"/>
        </w:rPr>
        <w:t>”</w:t>
      </w:r>
      <w:r>
        <w:rPr>
          <w:rFonts w:eastAsia="宋体"/>
          <w:color w:val="000000"/>
        </w:rPr>
        <w:t>的启动期，这时我们把往届生的就业去给学生向全面分析，引导毕业生树立正确的就业观，做好不同的择业准备；快速签约</w:t>
      </w:r>
      <w:r>
        <w:rPr>
          <w:rFonts w:hint="eastAsia" w:eastAsia="宋体"/>
          <w:color w:val="000000"/>
        </w:rPr>
        <w:t>”</w:t>
      </w:r>
      <w:r>
        <w:rPr>
          <w:rFonts w:eastAsia="宋体"/>
          <w:color w:val="000000"/>
        </w:rPr>
        <w:t>的黄金期，这时开展</w:t>
      </w:r>
      <w:r>
        <w:rPr>
          <w:rFonts w:hint="eastAsia" w:eastAsia="宋体"/>
          <w:color w:val="000000"/>
        </w:rPr>
        <w:t>“</w:t>
      </w:r>
      <w:r>
        <w:rPr>
          <w:rFonts w:eastAsia="宋体"/>
          <w:color w:val="000000"/>
        </w:rPr>
        <w:t>知名校友、企业农大行</w:t>
      </w:r>
      <w:r>
        <w:rPr>
          <w:rFonts w:hint="eastAsia" w:eastAsia="宋体"/>
          <w:color w:val="000000"/>
        </w:rPr>
        <w:t>”</w:t>
      </w:r>
      <w:r>
        <w:rPr>
          <w:rFonts w:eastAsia="宋体"/>
          <w:color w:val="000000"/>
        </w:rPr>
        <w:t>，对未签约者进行</w:t>
      </w:r>
      <w:r>
        <w:rPr>
          <w:rFonts w:hint="eastAsia" w:eastAsia="宋体"/>
          <w:color w:val="000000"/>
        </w:rPr>
        <w:t>“</w:t>
      </w:r>
      <w:r>
        <w:rPr>
          <w:rFonts w:eastAsia="宋体"/>
          <w:color w:val="000000"/>
        </w:rPr>
        <w:t>授业解惑</w:t>
      </w:r>
      <w:r>
        <w:rPr>
          <w:rFonts w:hint="eastAsia" w:eastAsia="宋体"/>
          <w:color w:val="000000"/>
        </w:rPr>
        <w:t>”</w:t>
      </w:r>
      <w:r>
        <w:rPr>
          <w:rFonts w:eastAsia="宋体"/>
          <w:color w:val="000000"/>
        </w:rPr>
        <w:t>，同时开展个性化订单式</w:t>
      </w:r>
      <w:r>
        <w:rPr>
          <w:rFonts w:hint="eastAsia" w:eastAsia="宋体"/>
          <w:color w:val="000000"/>
        </w:rPr>
        <w:t>“</w:t>
      </w:r>
      <w:r>
        <w:rPr>
          <w:rFonts w:eastAsia="宋体"/>
          <w:color w:val="000000"/>
        </w:rPr>
        <w:t>一盯一 一帮一</w:t>
      </w:r>
      <w:r>
        <w:rPr>
          <w:rFonts w:hint="eastAsia" w:eastAsia="宋体"/>
          <w:color w:val="000000"/>
        </w:rPr>
        <w:t>”</w:t>
      </w:r>
      <w:r>
        <w:rPr>
          <w:rFonts w:eastAsia="宋体"/>
          <w:color w:val="000000"/>
        </w:rPr>
        <w:t>帮扶，做学生的好参谋、好朋友。</w:t>
      </w:r>
    </w:p>
    <w:p>
      <w:pPr>
        <w:pStyle w:val="6"/>
        <w:adjustRightInd w:val="0"/>
        <w:snapToGrid w:val="0"/>
        <w:ind w:firstLine="480"/>
        <w:rPr>
          <w:rFonts w:eastAsia="宋体"/>
          <w:color w:val="000000"/>
        </w:rPr>
      </w:pPr>
      <w:r>
        <w:rPr>
          <w:rFonts w:eastAsia="宋体"/>
          <w:color w:val="000000"/>
        </w:rPr>
        <w:t>3.拓展就业市场是前提。有较大部分学生是通过校内招聘就业的，学院重视就业市场的拓展，不但巩固老朋友，还要结识新朋友。对五征、福田、中国重汽等这样的招聘大户，向亲戚一样经常要走动；利用参加会议、外出实习等机会，结识了中国重汽、长城汽车、奇瑞汽车、吉利汽车、北汽福田、中烟集团等一大批新朋友，慢慢成为好朋友、老朋友。</w:t>
      </w:r>
    </w:p>
    <w:p>
      <w:pPr>
        <w:pStyle w:val="6"/>
        <w:adjustRightInd w:val="0"/>
        <w:snapToGrid w:val="0"/>
        <w:ind w:firstLine="480"/>
        <w:rPr>
          <w:rFonts w:eastAsia="宋体"/>
          <w:color w:val="000000"/>
        </w:rPr>
      </w:pPr>
      <w:r>
        <w:rPr>
          <w:rFonts w:eastAsia="宋体"/>
          <w:color w:val="000000"/>
        </w:rPr>
        <w:t>4.浓厚就业氛围是保障。积极向上的就业氛围，是推动就业的重要保障，学院非常重视营造积极向上的就业氛围。实行</w:t>
      </w:r>
      <w:r>
        <w:rPr>
          <w:rFonts w:hint="eastAsia" w:eastAsia="宋体"/>
          <w:color w:val="000000"/>
        </w:rPr>
        <w:t>“</w:t>
      </w:r>
      <w:r>
        <w:rPr>
          <w:rFonts w:eastAsia="宋体"/>
          <w:color w:val="000000"/>
        </w:rPr>
        <w:t>院领导联系专业促就业</w:t>
      </w:r>
      <w:r>
        <w:rPr>
          <w:rFonts w:hint="eastAsia" w:eastAsia="宋体"/>
          <w:color w:val="000000"/>
        </w:rPr>
        <w:t>”</w:t>
      </w:r>
      <w:r>
        <w:rPr>
          <w:rFonts w:eastAsia="宋体"/>
          <w:color w:val="000000"/>
        </w:rPr>
        <w:t>、</w:t>
      </w:r>
      <w:r>
        <w:rPr>
          <w:rFonts w:hint="eastAsia" w:eastAsia="宋体"/>
          <w:color w:val="000000"/>
        </w:rPr>
        <w:t>“</w:t>
      </w:r>
      <w:r>
        <w:rPr>
          <w:rFonts w:eastAsia="宋体"/>
          <w:color w:val="000000"/>
        </w:rPr>
        <w:t>就业红娘评选</w:t>
      </w:r>
      <w:r>
        <w:rPr>
          <w:rFonts w:hint="eastAsia" w:eastAsia="宋体"/>
          <w:color w:val="000000"/>
        </w:rPr>
        <w:t>”</w:t>
      </w:r>
      <w:r>
        <w:rPr>
          <w:rFonts w:eastAsia="宋体"/>
          <w:color w:val="000000"/>
        </w:rPr>
        <w:t>、</w:t>
      </w:r>
      <w:r>
        <w:rPr>
          <w:rFonts w:hint="eastAsia" w:eastAsia="宋体"/>
          <w:color w:val="000000"/>
        </w:rPr>
        <w:t>“</w:t>
      </w:r>
      <w:r>
        <w:rPr>
          <w:rFonts w:eastAsia="宋体"/>
          <w:color w:val="000000"/>
        </w:rPr>
        <w:t>就业喜报</w:t>
      </w:r>
      <w:r>
        <w:rPr>
          <w:rFonts w:hint="eastAsia" w:eastAsia="宋体"/>
          <w:color w:val="000000"/>
        </w:rPr>
        <w:t>”</w:t>
      </w:r>
      <w:r>
        <w:rPr>
          <w:rFonts w:eastAsia="宋体"/>
          <w:color w:val="000000"/>
        </w:rPr>
        <w:t>，党员干部带头就业等措施，营造浓厚的就业氛围。</w:t>
      </w:r>
    </w:p>
    <w:p>
      <w:pPr>
        <w:pStyle w:val="6"/>
        <w:adjustRightInd w:val="0"/>
        <w:snapToGrid w:val="0"/>
        <w:ind w:firstLine="480"/>
        <w:rPr>
          <w:rFonts w:eastAsia="宋体"/>
          <w:color w:val="000000"/>
        </w:rPr>
      </w:pPr>
      <w:r>
        <w:rPr>
          <w:rFonts w:eastAsia="宋体"/>
          <w:color w:val="000000"/>
        </w:rPr>
        <w:t>5.分类指导是有效途径。把毕业生分成就业、考研等不同类型。针对签约者，帮助他们到单位顶岗实习；对考研的，尝试调整了学习型宿舍；针对报考211、985高校学生扎堆现象，专门召开协调会，动员学生报考我校的同时，避免自我淘汰，指导学生主动分流；对报考公务员的邀请教师进行指导，近年来考研、考公务员成功率逐年提高，成为学院就业心得增长点。</w:t>
      </w:r>
    </w:p>
    <w:p>
      <w:pPr>
        <w:pStyle w:val="6"/>
        <w:adjustRightInd w:val="0"/>
        <w:snapToGrid w:val="0"/>
        <w:ind w:firstLine="480"/>
        <w:rPr>
          <w:rFonts w:eastAsia="宋体"/>
          <w:color w:val="000000"/>
        </w:rPr>
      </w:pPr>
      <w:r>
        <w:rPr>
          <w:rFonts w:eastAsia="宋体"/>
          <w:color w:val="000000"/>
        </w:rPr>
        <w:t>6.畅通就业渠道是基础。充分利用院网、新媒体、就业APP、班级就业信息员等渠道，把就业信息及时快捷的传递到毕业生。学生会还设立了</w:t>
      </w:r>
      <w:r>
        <w:rPr>
          <w:rFonts w:hint="eastAsia" w:eastAsia="宋体"/>
          <w:color w:val="000000"/>
        </w:rPr>
        <w:t>“</w:t>
      </w:r>
      <w:r>
        <w:rPr>
          <w:rFonts w:eastAsia="宋体"/>
          <w:color w:val="000000"/>
        </w:rPr>
        <w:t>考研与就业服务部</w:t>
      </w:r>
      <w:r>
        <w:rPr>
          <w:rFonts w:hint="eastAsia" w:eastAsia="宋体"/>
          <w:color w:val="000000"/>
        </w:rPr>
        <w:t>”</w:t>
      </w:r>
      <w:r>
        <w:rPr>
          <w:rFonts w:eastAsia="宋体"/>
          <w:color w:val="000000"/>
        </w:rPr>
        <w:t>，协助辅导员老师关注山东大学等其他高校的相关就业信息。学院在毕业生公寓楼门口制作了</w:t>
      </w:r>
      <w:r>
        <w:rPr>
          <w:rFonts w:hint="eastAsia" w:eastAsia="宋体"/>
          <w:color w:val="000000"/>
        </w:rPr>
        <w:t>“</w:t>
      </w:r>
      <w:r>
        <w:rPr>
          <w:rFonts w:eastAsia="宋体"/>
          <w:color w:val="000000"/>
        </w:rPr>
        <w:t>毕业生就业信息专栏</w:t>
      </w:r>
      <w:r>
        <w:rPr>
          <w:rFonts w:hint="eastAsia" w:eastAsia="宋体"/>
          <w:color w:val="000000"/>
        </w:rPr>
        <w:t>”</w:t>
      </w:r>
      <w:r>
        <w:rPr>
          <w:rFonts w:eastAsia="宋体"/>
          <w:color w:val="000000"/>
        </w:rPr>
        <w:t>，有校内、校外招聘信息等六大板块，每周二上午8：00前定期更新，极大地方便了毕业生获取就业信息。</w:t>
      </w:r>
    </w:p>
    <w:p>
      <w:pPr>
        <w:pStyle w:val="6"/>
        <w:adjustRightInd w:val="0"/>
        <w:snapToGrid w:val="0"/>
        <w:ind w:firstLine="480"/>
        <w:rPr>
          <w:rFonts w:eastAsia="宋体"/>
          <w:color w:val="000000"/>
        </w:rPr>
      </w:pPr>
      <w:r>
        <w:rPr>
          <w:rFonts w:eastAsia="宋体"/>
          <w:color w:val="000000"/>
        </w:rPr>
        <w:t>典型案例：</w:t>
      </w:r>
    </w:p>
    <w:p>
      <w:pPr>
        <w:pStyle w:val="6"/>
        <w:adjustRightInd w:val="0"/>
        <w:snapToGrid w:val="0"/>
        <w:ind w:firstLine="480"/>
        <w:rPr>
          <w:rFonts w:eastAsia="宋体"/>
          <w:color w:val="000000"/>
        </w:rPr>
      </w:pPr>
      <w:r>
        <w:rPr>
          <w:rFonts w:eastAsia="宋体"/>
          <w:color w:val="000000"/>
        </w:rPr>
        <w:t>案例1：举办多场</w:t>
      </w:r>
      <w:r>
        <w:rPr>
          <w:rFonts w:hint="eastAsia" w:eastAsia="宋体"/>
          <w:color w:val="000000"/>
        </w:rPr>
        <w:t>“</w:t>
      </w:r>
      <w:r>
        <w:rPr>
          <w:rFonts w:eastAsia="宋体"/>
          <w:color w:val="000000"/>
        </w:rPr>
        <w:t>创新创业</w:t>
      </w:r>
      <w:r>
        <w:rPr>
          <w:rFonts w:hint="eastAsia" w:eastAsia="宋体"/>
          <w:color w:val="000000"/>
        </w:rPr>
        <w:t>”</w:t>
      </w:r>
      <w:r>
        <w:rPr>
          <w:rFonts w:eastAsia="宋体"/>
          <w:color w:val="000000"/>
        </w:rPr>
        <w:t>活动</w:t>
      </w:r>
    </w:p>
    <w:p>
      <w:pPr>
        <w:pStyle w:val="6"/>
        <w:adjustRightInd w:val="0"/>
        <w:snapToGrid w:val="0"/>
        <w:ind w:firstLine="480"/>
        <w:rPr>
          <w:rFonts w:eastAsia="宋体"/>
          <w:color w:val="000000"/>
        </w:rPr>
      </w:pPr>
      <w:r>
        <w:rPr>
          <w:rFonts w:eastAsia="宋体"/>
          <w:color w:val="000000"/>
        </w:rPr>
        <w:t>为营造大学生积极从事科技创新活动的浓厚氛围，培养学生的创新精神、探索意识和实践能力，2021年10月-11月，由学工处、校团委、教务处、研究生处、科技处主办，机械与电子工程学院承办了第八届</w:t>
      </w:r>
      <w:r>
        <w:rPr>
          <w:rFonts w:hint="eastAsia" w:eastAsia="宋体"/>
          <w:color w:val="000000"/>
        </w:rPr>
        <w:t>“</w:t>
      </w:r>
      <w:r>
        <w:rPr>
          <w:rFonts w:eastAsia="宋体"/>
          <w:color w:val="000000"/>
        </w:rPr>
        <w:t>新生力</w:t>
      </w:r>
      <w:r>
        <w:rPr>
          <w:rFonts w:hint="eastAsia" w:eastAsia="宋体"/>
          <w:color w:val="000000"/>
        </w:rPr>
        <w:t>”</w:t>
      </w:r>
      <w:r>
        <w:rPr>
          <w:rFonts w:eastAsia="宋体"/>
          <w:color w:val="000000"/>
        </w:rPr>
        <w:t xml:space="preserve">山东农业大学大学生科技创新大赛。  </w:t>
      </w:r>
    </w:p>
    <w:p>
      <w:pPr>
        <w:pStyle w:val="6"/>
        <w:adjustRightInd w:val="0"/>
        <w:snapToGrid w:val="0"/>
        <w:ind w:firstLine="480"/>
        <w:rPr>
          <w:rFonts w:eastAsia="宋体"/>
          <w:color w:val="000000"/>
        </w:rPr>
      </w:pPr>
      <w:r>
        <w:rPr>
          <w:rFonts w:eastAsia="宋体"/>
          <w:color w:val="000000"/>
        </w:rPr>
        <w:t>案例2：机电学院举办多个针对车辆工程专业的专场招聘会</w:t>
      </w:r>
    </w:p>
    <w:p>
      <w:pPr>
        <w:pStyle w:val="6"/>
        <w:adjustRightInd w:val="0"/>
        <w:snapToGrid w:val="0"/>
        <w:ind w:firstLine="480"/>
        <w:rPr>
          <w:rFonts w:eastAsia="宋体"/>
          <w:color w:val="000000"/>
        </w:rPr>
      </w:pPr>
      <w:r>
        <w:rPr>
          <w:rFonts w:eastAsia="宋体"/>
          <w:color w:val="000000"/>
        </w:rPr>
        <w:t>2022年5月8日，学院通过线上宣讲和线下简历投递的方式举办2022届毕业生招聘会，共吸引山东五征、豪迈集团、泰开集团等16家优质企业参加。</w:t>
      </w:r>
    </w:p>
    <w:p>
      <w:pPr>
        <w:pStyle w:val="6"/>
        <w:adjustRightInd w:val="0"/>
        <w:snapToGrid w:val="0"/>
        <w:ind w:firstLine="480"/>
        <w:rPr>
          <w:rFonts w:eastAsia="宋体"/>
          <w:color w:val="000000"/>
        </w:rPr>
      </w:pPr>
      <w:r>
        <w:rPr>
          <w:rFonts w:eastAsia="宋体"/>
          <w:color w:val="000000"/>
        </w:rPr>
        <w:t>2022年3月10日，机电学院2022届毕业生新学期线上招聘宣讲会顺利召开，吸引包括豪迈集团、北汽福田、长城汽车、中国青建等来自全国各地18家优质企业参加。</w:t>
      </w:r>
    </w:p>
    <w:p>
      <w:pPr>
        <w:pStyle w:val="6"/>
        <w:adjustRightInd w:val="0"/>
        <w:snapToGrid w:val="0"/>
        <w:ind w:firstLine="480"/>
        <w:rPr>
          <w:rFonts w:eastAsia="宋体"/>
          <w:color w:val="000000"/>
        </w:rPr>
      </w:pPr>
      <w:r>
        <w:rPr>
          <w:rFonts w:eastAsia="宋体"/>
          <w:color w:val="000000"/>
        </w:rPr>
        <w:t>2021年12月27-28日，机电学院举办2022届毕业生招聘双选会。本次招聘会共有47家企业参与，提供了200多个工作岗位。</w:t>
      </w:r>
    </w:p>
    <w:p>
      <w:pPr>
        <w:pStyle w:val="6"/>
        <w:adjustRightInd w:val="0"/>
        <w:snapToGrid w:val="0"/>
        <w:ind w:firstLine="480"/>
        <w:rPr>
          <w:rFonts w:eastAsia="宋体"/>
          <w:color w:val="000000"/>
        </w:rPr>
      </w:pPr>
      <w:r>
        <w:rPr>
          <w:rFonts w:eastAsia="宋体"/>
          <w:color w:val="000000"/>
        </w:rPr>
        <w:t>案例3：校企培养基地建立</w:t>
      </w:r>
    </w:p>
    <w:p>
      <w:pPr>
        <w:pStyle w:val="6"/>
        <w:adjustRightInd w:val="0"/>
        <w:snapToGrid w:val="0"/>
        <w:ind w:firstLine="480"/>
        <w:rPr>
          <w:rFonts w:eastAsia="宋体"/>
          <w:color w:val="000000"/>
        </w:rPr>
      </w:pPr>
      <w:r>
        <w:rPr>
          <w:rFonts w:eastAsia="宋体"/>
          <w:color w:val="000000"/>
        </w:rPr>
        <w:t>2021年12月18日，学院在龙口市亨嘉智能装备有限公司设立教学科研实践育人基地，学校纪委书记、监察专员张明志出席揭牌仪式，并与龙口市政协副主席杨成显共同为基地揭牌。王金星副院长与龙口市亨嘉智能装备有限公司总经理王建鹏在共建</w:t>
      </w:r>
      <w:r>
        <w:rPr>
          <w:rFonts w:hint="eastAsia" w:eastAsia="宋体"/>
          <w:color w:val="000000"/>
        </w:rPr>
        <w:t>“</w:t>
      </w:r>
      <w:r>
        <w:rPr>
          <w:rFonts w:eastAsia="宋体"/>
          <w:color w:val="000000"/>
        </w:rPr>
        <w:t>教学科研实践育人</w:t>
      </w:r>
      <w:r>
        <w:rPr>
          <w:rFonts w:hint="eastAsia" w:eastAsia="宋体"/>
          <w:color w:val="000000"/>
        </w:rPr>
        <w:t>”</w:t>
      </w:r>
      <w:r>
        <w:rPr>
          <w:rFonts w:eastAsia="宋体"/>
          <w:color w:val="000000"/>
        </w:rPr>
        <w:t>合作协议上签字。在揭牌仪式上，学院党委书记刘希山介绍学院教育教学、科学研究、社会服务和基地共建等有关情况。刘希山表示，机械与电子工程学院在响应毛主席</w:t>
      </w:r>
      <w:r>
        <w:rPr>
          <w:rFonts w:hint="eastAsia" w:eastAsia="宋体"/>
          <w:color w:val="000000"/>
        </w:rPr>
        <w:t>“</w:t>
      </w:r>
      <w:r>
        <w:rPr>
          <w:rFonts w:eastAsia="宋体"/>
          <w:color w:val="000000"/>
        </w:rPr>
        <w:t>农业的根本出路在于机械化</w:t>
      </w:r>
      <w:r>
        <w:rPr>
          <w:rFonts w:hint="eastAsia" w:eastAsia="宋体"/>
          <w:color w:val="000000"/>
        </w:rPr>
        <w:t>”</w:t>
      </w:r>
      <w:r>
        <w:rPr>
          <w:rFonts w:eastAsia="宋体"/>
          <w:color w:val="000000"/>
        </w:rPr>
        <w:t>著名论断的同时，深入贯彻习近平总书记关于</w:t>
      </w:r>
      <w:r>
        <w:rPr>
          <w:rFonts w:hint="eastAsia" w:eastAsia="宋体"/>
          <w:color w:val="000000"/>
        </w:rPr>
        <w:t>“</w:t>
      </w:r>
      <w:r>
        <w:rPr>
          <w:rFonts w:eastAsia="宋体"/>
          <w:color w:val="000000"/>
        </w:rPr>
        <w:t>大力推进农业机械化、智能化</w:t>
      </w:r>
      <w:r>
        <w:rPr>
          <w:rFonts w:hint="eastAsia" w:eastAsia="宋体"/>
          <w:color w:val="000000"/>
        </w:rPr>
        <w:t>”</w:t>
      </w:r>
      <w:r>
        <w:rPr>
          <w:rFonts w:eastAsia="宋体"/>
          <w:color w:val="000000"/>
        </w:rPr>
        <w:t>的重要论述精神，抢抓机遇，乘势而上。学院在实现农业机械化的过程中更注重信息化和智能化双翼的腾飞。当前，作为立国之本、强国之基，中国制造业正在全球经济深度变革背景下，依靠数字化赋能和创新驱动迈向高质量发展，并以开放合作的胸怀，与世界分享中国制造的新机遇。面对新的发展机遇，学院坚持需求导向、问题导向、效果导向，下定决心、保持恒心、找准重心，把提高人才培养质量和科技创新能力作为学院办学的着力点，深刻把握装备科技创新发展大势，加强产学研推用深度融合。学院将充分发挥高校的科研和人才优势，推动农业机械化、信息化、智能化向全程全面高质高效方向发展的同时，面向装备制造业为实现工业自动化的转型升级提供有力支撑。龙口市亨嘉智能装备有限公司是集生产、销售、科研于一体的科技型企业，公司以</w:t>
      </w:r>
      <w:r>
        <w:rPr>
          <w:rFonts w:hint="eastAsia" w:eastAsia="宋体"/>
          <w:color w:val="000000"/>
        </w:rPr>
        <w:t>“</w:t>
      </w:r>
      <w:r>
        <w:rPr>
          <w:rFonts w:eastAsia="宋体"/>
          <w:color w:val="000000"/>
        </w:rPr>
        <w:t>为用户创造价值，为员工创造机会，为社会创造效益</w:t>
      </w:r>
      <w:r>
        <w:rPr>
          <w:rFonts w:hint="eastAsia" w:eastAsia="宋体"/>
          <w:color w:val="000000"/>
        </w:rPr>
        <w:t>”</w:t>
      </w:r>
      <w:r>
        <w:rPr>
          <w:rFonts w:eastAsia="宋体"/>
          <w:color w:val="000000"/>
        </w:rPr>
        <w:t>为经营理念，建立了一支懂技术、善管理、精服务的高效工作团队。公司一直致力于高档数控机床和数控机床重点功能部件的研究开发，公司主导产品主要技术指标达到了同类产品国际先进水平，具有良好的性价比，产品畅销海内外。按照共建协议，双方将在本科生实践锻炼、研究生联合培养、科研合作和学生就业等诸多方面，进一步建立长期合作关系和长效合作机制，发挥各自优势，实现资源共享的</w:t>
      </w:r>
      <w:r>
        <w:rPr>
          <w:rFonts w:hint="eastAsia" w:eastAsia="宋体"/>
          <w:color w:val="000000"/>
        </w:rPr>
        <w:t>“</w:t>
      </w:r>
      <w:r>
        <w:rPr>
          <w:rFonts w:eastAsia="宋体"/>
          <w:color w:val="000000"/>
        </w:rPr>
        <w:t>双赢战略</w:t>
      </w:r>
      <w:r>
        <w:rPr>
          <w:rFonts w:hint="eastAsia" w:eastAsia="宋体"/>
          <w:color w:val="000000"/>
        </w:rPr>
        <w:t>”</w:t>
      </w:r>
      <w:r>
        <w:rPr>
          <w:rFonts w:eastAsia="宋体"/>
          <w:color w:val="000000"/>
        </w:rPr>
        <w:t>，续写双方</w:t>
      </w:r>
      <w:r>
        <w:rPr>
          <w:rFonts w:hint="eastAsia" w:eastAsia="宋体"/>
          <w:color w:val="000000"/>
        </w:rPr>
        <w:t>“</w:t>
      </w:r>
      <w:r>
        <w:rPr>
          <w:rFonts w:eastAsia="宋体"/>
          <w:color w:val="000000"/>
        </w:rPr>
        <w:t>强强合作，共创辉煌</w:t>
      </w:r>
      <w:r>
        <w:rPr>
          <w:rFonts w:hint="eastAsia" w:eastAsia="宋体"/>
          <w:color w:val="000000"/>
        </w:rPr>
        <w:t>”</w:t>
      </w:r>
      <w:r>
        <w:rPr>
          <w:rFonts w:eastAsia="宋体"/>
          <w:color w:val="000000"/>
        </w:rPr>
        <w:t>的新篇章。</w:t>
      </w:r>
    </w:p>
    <w:p>
      <w:pPr>
        <w:pStyle w:val="5"/>
        <w:spacing w:before="93" w:after="93"/>
        <w:ind w:firstLine="560"/>
      </w:pPr>
      <w:r>
        <w:t>七、专业发展趋势及建议</w:t>
      </w:r>
    </w:p>
    <w:p>
      <w:pPr>
        <w:pStyle w:val="6"/>
        <w:adjustRightInd w:val="0"/>
        <w:snapToGrid w:val="0"/>
        <w:ind w:firstLine="480"/>
        <w:rPr>
          <w:rFonts w:eastAsia="宋体"/>
          <w:color w:val="000000"/>
        </w:rPr>
      </w:pPr>
      <w:r>
        <w:rPr>
          <w:rFonts w:eastAsia="宋体"/>
          <w:color w:val="000000"/>
        </w:rPr>
        <w:t>随着中国经济的高速增长，人们购买力的提高，中国市场对各类汽车的需求量亦会持续增加。作为体现重工及科技实力的综合性支柱产业，国家对汽车产业的扶持亦将持续。近几年来各大汽车厂商均加大了在市场方面的投入，在各个层级的市场均产生了白热化的竞争态势；特别是中国自主品牌的加入，更是使得未来几年汽车销售市场狼烟四起。汽车行业的发展在一定程度上体现了人才的竞争，汽车制造行业对人才的需求最为迫切，其次为汽车维修和汽车销售。可见汽车行业人才市场是一个追逐技术和营销人才的市场。国务院下发的《中国制造2025》文件中，明确了今后十年工业发展的方向，其中，智能化制造、互联网+及工业4.0等领域是中国制造的重中之重，而对于汽车产业，新能源汽车、无人驾驶汽车、智能网联汽车等是未来的发展趋势。</w:t>
      </w:r>
    </w:p>
    <w:p>
      <w:pPr>
        <w:pStyle w:val="6"/>
        <w:adjustRightInd w:val="0"/>
        <w:snapToGrid w:val="0"/>
        <w:spacing w:line="420" w:lineRule="exact"/>
        <w:ind w:firstLine="480"/>
        <w:rPr>
          <w:rFonts w:eastAsia="宋体"/>
          <w:color w:val="000000"/>
        </w:rPr>
      </w:pPr>
      <w:r>
        <w:rPr>
          <w:rFonts w:eastAsia="宋体"/>
          <w:color w:val="000000"/>
        </w:rPr>
        <w:t>山东省是我国重要的机械制造及出口基地，制造业已经形成门类齐全、规模较大、且具有一定技术水平的核心产业体系，其中涵盖了汽车制造、内燃机制造及零部件、农业装备、工程机械、石油机械、风电产业、电子器件等众多产业。因此，在未来的经济社会发展规划中，把现代装备制造业作为全省重点培育和发展的优势产业，壮大优势产业群，延伸产业链，推进科技创新、成果转化和高新技术产业化，形成具有自主创新能力的现代装备制造业和研发转化基地，促进地区产业结构优化升级。</w:t>
      </w:r>
    </w:p>
    <w:p>
      <w:pPr>
        <w:pStyle w:val="6"/>
        <w:adjustRightInd w:val="0"/>
        <w:snapToGrid w:val="0"/>
        <w:spacing w:line="420" w:lineRule="exact"/>
        <w:ind w:firstLine="480"/>
        <w:rPr>
          <w:rFonts w:eastAsia="宋体"/>
          <w:color w:val="000000"/>
        </w:rPr>
      </w:pPr>
      <w:r>
        <w:rPr>
          <w:rFonts w:eastAsia="宋体"/>
          <w:color w:val="000000"/>
        </w:rPr>
        <w:t>基于以上分析，车辆工程专业培养的学生应与时俱进，紧跟时代发展潮流，以提高学生创新创业技能为突破口，强化实践教学环节，加强教师师德师风建设和授课技能培训，提高教学质量，促进学生的分类培养目标实现，对本专业今后的发展提出如下建议：</w:t>
      </w:r>
    </w:p>
    <w:p>
      <w:pPr>
        <w:pStyle w:val="6"/>
        <w:adjustRightInd w:val="0"/>
        <w:snapToGrid w:val="0"/>
        <w:spacing w:line="420" w:lineRule="exact"/>
        <w:ind w:firstLine="480"/>
        <w:rPr>
          <w:rFonts w:eastAsia="宋体"/>
          <w:color w:val="000000"/>
        </w:rPr>
      </w:pPr>
      <w:r>
        <w:rPr>
          <w:rFonts w:eastAsia="宋体"/>
          <w:color w:val="000000"/>
        </w:rPr>
        <w:t>1.加强专业建设力度，改革人才培养模式，瞄准世界汽车产业领域先进技术，以工学结合确立专业人才培养模式，以专业能力和科学素养构建专业核心课程；</w:t>
      </w:r>
    </w:p>
    <w:p>
      <w:pPr>
        <w:pStyle w:val="6"/>
        <w:adjustRightInd w:val="0"/>
        <w:snapToGrid w:val="0"/>
        <w:spacing w:line="420" w:lineRule="exact"/>
        <w:ind w:firstLine="480"/>
        <w:rPr>
          <w:rFonts w:eastAsia="宋体"/>
          <w:color w:val="000000"/>
        </w:rPr>
      </w:pPr>
      <w:r>
        <w:rPr>
          <w:rFonts w:eastAsia="宋体"/>
          <w:color w:val="000000"/>
        </w:rPr>
        <w:t>2.注重师资队伍建设，打造一支专兼结合、师德高尚、技能过硬、国内外具有一定知名度的优秀专业教学团队；</w:t>
      </w:r>
    </w:p>
    <w:p>
      <w:pPr>
        <w:pStyle w:val="6"/>
        <w:adjustRightInd w:val="0"/>
        <w:snapToGrid w:val="0"/>
        <w:spacing w:line="420" w:lineRule="exact"/>
        <w:ind w:firstLine="480"/>
        <w:rPr>
          <w:rFonts w:eastAsia="宋体"/>
          <w:color w:val="000000"/>
        </w:rPr>
      </w:pPr>
      <w:r>
        <w:rPr>
          <w:rFonts w:eastAsia="宋体"/>
          <w:color w:val="000000"/>
        </w:rPr>
        <w:t>3.在学校规划统一指导下，按照</w:t>
      </w:r>
      <w:r>
        <w:rPr>
          <w:rFonts w:hint="eastAsia" w:eastAsia="宋体"/>
          <w:color w:val="000000"/>
        </w:rPr>
        <w:t>“</w:t>
      </w:r>
      <w:r>
        <w:rPr>
          <w:rFonts w:eastAsia="宋体"/>
          <w:color w:val="000000"/>
        </w:rPr>
        <w:t>教育定位准确，教学方法独特，培养模式先进，专业特色鲜明，人才质量优良</w:t>
      </w:r>
      <w:r>
        <w:rPr>
          <w:rFonts w:hint="eastAsia" w:eastAsia="宋体"/>
          <w:color w:val="000000"/>
        </w:rPr>
        <w:t>”</w:t>
      </w:r>
      <w:r>
        <w:rPr>
          <w:rFonts w:eastAsia="宋体"/>
          <w:color w:val="000000"/>
        </w:rPr>
        <w:t>的要求，为适应人才市场需求和提高就业竞争力，全面提高教学质量，坚持</w:t>
      </w:r>
      <w:r>
        <w:rPr>
          <w:rFonts w:hint="eastAsia" w:eastAsia="宋体"/>
          <w:color w:val="000000"/>
        </w:rPr>
        <w:t>“</w:t>
      </w:r>
      <w:r>
        <w:rPr>
          <w:rFonts w:eastAsia="宋体"/>
          <w:color w:val="000000"/>
        </w:rPr>
        <w:t>以学生为本，以完善知识结构为导向、以强化理论实践技能为依托、以汽车设计生产为核心</w:t>
      </w:r>
      <w:r>
        <w:rPr>
          <w:rFonts w:hint="eastAsia" w:eastAsia="宋体"/>
          <w:color w:val="000000"/>
        </w:rPr>
        <w:t>”</w:t>
      </w:r>
      <w:r>
        <w:rPr>
          <w:rFonts w:eastAsia="宋体"/>
          <w:color w:val="000000"/>
        </w:rPr>
        <w:t>的原则，将</w:t>
      </w:r>
      <w:r>
        <w:rPr>
          <w:rFonts w:hint="eastAsia" w:eastAsia="宋体"/>
          <w:color w:val="000000"/>
        </w:rPr>
        <w:t>“</w:t>
      </w:r>
      <w:r>
        <w:rPr>
          <w:rFonts w:eastAsia="宋体"/>
          <w:color w:val="000000"/>
        </w:rPr>
        <w:t>车辆工程</w:t>
      </w:r>
      <w:r>
        <w:rPr>
          <w:rFonts w:hint="eastAsia" w:eastAsia="宋体"/>
          <w:color w:val="000000"/>
        </w:rPr>
        <w:t>”</w:t>
      </w:r>
      <w:r>
        <w:rPr>
          <w:rFonts w:eastAsia="宋体"/>
          <w:color w:val="000000"/>
        </w:rPr>
        <w:t>专业建成精品专业；</w:t>
      </w:r>
    </w:p>
    <w:p>
      <w:pPr>
        <w:pStyle w:val="6"/>
        <w:adjustRightInd w:val="0"/>
        <w:snapToGrid w:val="0"/>
        <w:spacing w:line="420" w:lineRule="exact"/>
        <w:ind w:firstLine="480"/>
        <w:rPr>
          <w:rFonts w:eastAsia="宋体"/>
          <w:color w:val="000000"/>
        </w:rPr>
      </w:pPr>
      <w:r>
        <w:rPr>
          <w:rFonts w:eastAsia="宋体"/>
          <w:color w:val="000000"/>
        </w:rPr>
        <w:t>4.以</w:t>
      </w:r>
      <w:r>
        <w:rPr>
          <w:rFonts w:hint="eastAsia" w:eastAsia="宋体"/>
          <w:color w:val="000000"/>
        </w:rPr>
        <w:t>“</w:t>
      </w:r>
      <w:r>
        <w:rPr>
          <w:rFonts w:eastAsia="宋体"/>
          <w:color w:val="000000"/>
        </w:rPr>
        <w:t>教、学、做、知识、能力、素质</w:t>
      </w:r>
      <w:r>
        <w:rPr>
          <w:rFonts w:hint="eastAsia" w:eastAsia="宋体"/>
          <w:color w:val="000000"/>
        </w:rPr>
        <w:t>”</w:t>
      </w:r>
      <w:r>
        <w:rPr>
          <w:rFonts w:eastAsia="宋体"/>
          <w:color w:val="000000"/>
        </w:rPr>
        <w:t>六位一体的教学方法为突破口，突出课程改革，培养合格的高素质技能型人才，创造条件，鼓励学生参加各类机电大赛，提高其实践技能；</w:t>
      </w:r>
    </w:p>
    <w:p>
      <w:pPr>
        <w:pStyle w:val="6"/>
        <w:adjustRightInd w:val="0"/>
        <w:snapToGrid w:val="0"/>
        <w:spacing w:line="420" w:lineRule="exact"/>
        <w:ind w:firstLine="480"/>
        <w:rPr>
          <w:rFonts w:eastAsia="宋体"/>
          <w:color w:val="000000"/>
        </w:rPr>
      </w:pPr>
      <w:r>
        <w:rPr>
          <w:rFonts w:eastAsia="宋体"/>
          <w:color w:val="000000"/>
        </w:rPr>
        <w:t>5.加强校内外实验室及实训基地建设，通过购买、自制等手段充实实验仪器设备，提高实验室综合利用率，制定相关规章制度，强化校企合作内容，整合各种资源，着力建设集资源共享、学生实训、技术服务于一体的教学科研保障体系。</w:t>
      </w:r>
    </w:p>
    <w:p>
      <w:pPr>
        <w:pStyle w:val="5"/>
        <w:spacing w:before="93" w:after="93"/>
        <w:ind w:firstLine="560"/>
      </w:pPr>
      <w:r>
        <w:t>八、存在的问题及整改措施</w:t>
      </w:r>
    </w:p>
    <w:p>
      <w:pPr>
        <w:pStyle w:val="6"/>
        <w:adjustRightInd w:val="0"/>
        <w:snapToGrid w:val="0"/>
        <w:ind w:firstLine="480"/>
        <w:rPr>
          <w:rFonts w:eastAsia="宋体"/>
          <w:color w:val="000000"/>
        </w:rPr>
      </w:pPr>
      <w:r>
        <w:rPr>
          <w:rFonts w:eastAsia="宋体"/>
          <w:color w:val="000000"/>
        </w:rPr>
        <w:t>存在的问题主要有：1、教师队伍整体比较年轻，缺乏实践经验，过于重视理论知识讲授、轻视实践教学；2、年轻教师重视科研忽视教学，教学水平有待进一步提高；3、教学内容陈旧，不能紧跟国内外汽车行业发展潮流，对新技术了解较少；4、教学方法主要以课堂讲授为主，实践教学欠缺；5、对学生教学效果评价体系还不完善，期末考试占本课程考核成绩比重过大。</w:t>
      </w:r>
    </w:p>
    <w:p>
      <w:pPr>
        <w:pStyle w:val="6"/>
        <w:adjustRightInd w:val="0"/>
        <w:snapToGrid w:val="0"/>
        <w:ind w:firstLine="480"/>
        <w:rPr>
          <w:rFonts w:eastAsia="宋体"/>
          <w:color w:val="000000"/>
        </w:rPr>
      </w:pPr>
      <w:r>
        <w:rPr>
          <w:rFonts w:eastAsia="宋体"/>
          <w:color w:val="000000"/>
        </w:rPr>
        <w:t>今后，随着新培养方案的实施，车辆工程专业将与时俱进，从以下几个方面进行建设与改革，努力提高学生创新创业能力与适应社会能力。</w:t>
      </w:r>
    </w:p>
    <w:p>
      <w:pPr>
        <w:pStyle w:val="7"/>
        <w:ind w:firstLine="480"/>
      </w:pPr>
      <w:r>
        <w:t>1.转变教学观念</w:t>
      </w:r>
    </w:p>
    <w:p>
      <w:pPr>
        <w:pStyle w:val="6"/>
        <w:adjustRightInd w:val="0"/>
        <w:snapToGrid w:val="0"/>
        <w:ind w:firstLine="480"/>
        <w:rPr>
          <w:rFonts w:eastAsia="宋体"/>
          <w:color w:val="000000"/>
        </w:rPr>
      </w:pPr>
      <w:r>
        <w:rPr>
          <w:rFonts w:eastAsia="宋体"/>
          <w:color w:val="000000"/>
        </w:rPr>
        <w:t>教师的教育理念、知识与能力结构、教学能力等将直接影响到专业教学的结果。树立现代教育理念、转变教学观念是专业教学改革的关键。</w:t>
      </w:r>
    </w:p>
    <w:p>
      <w:pPr>
        <w:pStyle w:val="6"/>
        <w:adjustRightInd w:val="0"/>
        <w:snapToGrid w:val="0"/>
        <w:ind w:firstLine="480"/>
        <w:rPr>
          <w:rFonts w:eastAsia="宋体"/>
          <w:color w:val="000000"/>
        </w:rPr>
      </w:pPr>
      <w:r>
        <w:rPr>
          <w:rFonts w:eastAsia="宋体"/>
          <w:color w:val="000000"/>
        </w:rPr>
        <w:t>教师在专业教学中要打破学科界限和原有的知识体系，要以理论性过程性知识传授为主、以陈述性应用性知识传授为辅，要以知识传授为主，以技能传授为辅，重视学生的学习态度、方法和职业意识的形成。因此，教师要在专业教学中建立基于能力本位的教育观，在专业教学过程中体现以知识应用能力为基础；建立基于理论性、过程性的课程观；建立基于多元智能理论的人才观，使教学内容、教学方法、教学过程适合社会的要求和发展需要；建立基于行动导向的教学观，采用以学生为主体、以教学项目为载体、以行动为导向的有效教学方法。</w:t>
      </w:r>
    </w:p>
    <w:p>
      <w:pPr>
        <w:pStyle w:val="7"/>
        <w:ind w:firstLine="480"/>
      </w:pPr>
      <w:r>
        <w:t>2.重组教学内容</w:t>
      </w:r>
    </w:p>
    <w:p>
      <w:pPr>
        <w:pStyle w:val="6"/>
        <w:adjustRightInd w:val="0"/>
        <w:snapToGrid w:val="0"/>
        <w:ind w:firstLine="480"/>
        <w:rPr>
          <w:rFonts w:eastAsia="宋体"/>
          <w:color w:val="000000"/>
        </w:rPr>
      </w:pPr>
      <w:r>
        <w:rPr>
          <w:rFonts w:eastAsia="宋体"/>
          <w:color w:val="000000"/>
        </w:rPr>
        <w:t>打破学科界限，以应用及创新能力体系为基础确定课程内容；围绕掌握本专业国内外发展动态来组织相应的知识、技能和态度，设计相应的理论研究与实践活动；通过设计工程实践情景，培养学生在较为复杂的工作关系中做出判断并采取相应行动的综合职业能力。</w:t>
      </w:r>
    </w:p>
    <w:p>
      <w:pPr>
        <w:pStyle w:val="7"/>
        <w:ind w:firstLine="480"/>
      </w:pPr>
      <w:r>
        <w:t>3.改革教学方法</w:t>
      </w:r>
    </w:p>
    <w:p>
      <w:pPr>
        <w:pStyle w:val="6"/>
        <w:adjustRightInd w:val="0"/>
        <w:snapToGrid w:val="0"/>
        <w:ind w:firstLine="480"/>
        <w:rPr>
          <w:rFonts w:eastAsia="宋体"/>
          <w:color w:val="000000"/>
        </w:rPr>
      </w:pPr>
      <w:r>
        <w:rPr>
          <w:rFonts w:eastAsia="宋体"/>
          <w:color w:val="000000"/>
        </w:rPr>
        <w:t>根据教学内容，选用合适有效的教学方法，针对学生的特点，组织教学项目，配以现代化教学技术，合理运用教学环境，在</w:t>
      </w:r>
      <w:r>
        <w:rPr>
          <w:rFonts w:hint="eastAsia" w:eastAsia="宋体"/>
          <w:color w:val="000000"/>
        </w:rPr>
        <w:t>“</w:t>
      </w:r>
      <w:r>
        <w:rPr>
          <w:rFonts w:eastAsia="宋体"/>
          <w:color w:val="000000"/>
        </w:rPr>
        <w:t>生产情景</w:t>
      </w:r>
      <w:r>
        <w:rPr>
          <w:rFonts w:hint="eastAsia" w:eastAsia="宋体"/>
          <w:color w:val="000000"/>
        </w:rPr>
        <w:t>”</w:t>
      </w:r>
      <w:r>
        <w:rPr>
          <w:rFonts w:eastAsia="宋体"/>
          <w:color w:val="000000"/>
        </w:rPr>
        <w:t>中强化动手操作，在教学中强调师生互动。在改革教学方法方面建议重点注意以下方面：</w:t>
      </w:r>
    </w:p>
    <w:p>
      <w:pPr>
        <w:pStyle w:val="6"/>
        <w:adjustRightInd w:val="0"/>
        <w:snapToGrid w:val="0"/>
        <w:ind w:firstLine="480"/>
        <w:rPr>
          <w:rFonts w:eastAsia="宋体"/>
          <w:color w:val="000000"/>
        </w:rPr>
      </w:pPr>
      <w:r>
        <w:rPr>
          <w:rFonts w:eastAsia="宋体"/>
          <w:color w:val="000000"/>
        </w:rPr>
        <w:t>创新教学方式，提高教学效果：摒弃传统的以教师、课堂、教材为中心教学方式，倡导以学生为主体，凸显教学互动，培养学生自主学习和创新的能力。促进个性发展的教学方式。</w:t>
      </w:r>
    </w:p>
    <w:p>
      <w:pPr>
        <w:pStyle w:val="6"/>
        <w:adjustRightInd w:val="0"/>
        <w:snapToGrid w:val="0"/>
        <w:ind w:firstLine="480"/>
        <w:rPr>
          <w:rFonts w:eastAsia="宋体"/>
          <w:color w:val="000000"/>
        </w:rPr>
      </w:pPr>
      <w:r>
        <w:rPr>
          <w:rFonts w:eastAsia="宋体"/>
          <w:color w:val="000000"/>
        </w:rPr>
        <w:t>设置</w:t>
      </w:r>
      <w:r>
        <w:rPr>
          <w:rFonts w:hint="eastAsia" w:eastAsia="宋体"/>
          <w:color w:val="000000"/>
        </w:rPr>
        <w:t>“</w:t>
      </w:r>
      <w:r>
        <w:rPr>
          <w:rFonts w:eastAsia="宋体"/>
          <w:color w:val="000000"/>
        </w:rPr>
        <w:t>生产情景</w:t>
      </w:r>
      <w:r>
        <w:rPr>
          <w:rFonts w:hint="eastAsia" w:eastAsia="宋体"/>
          <w:color w:val="000000"/>
        </w:rPr>
        <w:t>”</w:t>
      </w:r>
      <w:r>
        <w:rPr>
          <w:rFonts w:eastAsia="宋体"/>
          <w:color w:val="000000"/>
        </w:rPr>
        <w:t>，培养职业习惯；根据课程内容，创新</w:t>
      </w:r>
      <w:r>
        <w:rPr>
          <w:rFonts w:hint="eastAsia" w:eastAsia="宋体"/>
          <w:color w:val="000000"/>
        </w:rPr>
        <w:t>“</w:t>
      </w:r>
      <w:r>
        <w:rPr>
          <w:rFonts w:eastAsia="宋体"/>
          <w:color w:val="000000"/>
        </w:rPr>
        <w:t>生产情景</w:t>
      </w:r>
      <w:r>
        <w:rPr>
          <w:rFonts w:hint="eastAsia" w:eastAsia="宋体"/>
          <w:color w:val="000000"/>
        </w:rPr>
        <w:t>”</w:t>
      </w:r>
      <w:r>
        <w:rPr>
          <w:rFonts w:eastAsia="宋体"/>
          <w:color w:val="000000"/>
        </w:rPr>
        <w:t>，进行理论实践一体化教学、学习过程行动化、做到讲练结合、练中有奖、学在链中、是学生体验职业活动，真正掌握使用的生产技能，提高职业能力。</w:t>
      </w:r>
    </w:p>
    <w:p>
      <w:pPr>
        <w:pStyle w:val="6"/>
        <w:adjustRightInd w:val="0"/>
        <w:snapToGrid w:val="0"/>
        <w:ind w:firstLine="480"/>
        <w:rPr>
          <w:rFonts w:eastAsia="宋体"/>
          <w:color w:val="000000"/>
        </w:rPr>
      </w:pPr>
      <w:r>
        <w:rPr>
          <w:rFonts w:eastAsia="宋体"/>
          <w:color w:val="000000"/>
        </w:rPr>
        <w:t>运用技术手段，扩展教学资源：充分利用现代教学技术，推广多媒体和仿真教学，开发和利用网络资源 ，使得难以理解的知识和经验能直接，形象，直观的展现在学生面前，同时也可以丰富学生的学习方式和学生资源。</w:t>
      </w:r>
    </w:p>
    <w:p>
      <w:pPr>
        <w:pStyle w:val="7"/>
        <w:ind w:firstLine="480"/>
      </w:pPr>
      <w:r>
        <w:t>4.创新教学评价</w:t>
      </w:r>
    </w:p>
    <w:p>
      <w:pPr>
        <w:pStyle w:val="6"/>
        <w:adjustRightInd w:val="0"/>
        <w:snapToGrid w:val="0"/>
        <w:ind w:firstLine="480"/>
        <w:rPr>
          <w:rFonts w:eastAsia="宋体"/>
          <w:color w:val="000000"/>
        </w:rPr>
      </w:pPr>
      <w:r>
        <w:rPr>
          <w:rFonts w:eastAsia="宋体"/>
          <w:color w:val="000000"/>
        </w:rPr>
        <w:t>要改变传统的教学评价方式，重视过程性评价，注意过程性评价和终结性评价的有机结合，在学业评价中充分考虑机电产品创新设计技能掌握程度和评价本身对职业能力形成的促进作用。</w:t>
      </w:r>
    </w:p>
    <w:p>
      <w:pPr>
        <w:pStyle w:val="7"/>
        <w:ind w:firstLine="480"/>
      </w:pPr>
      <w:r>
        <w:t>5.重视学生实践技能的培养与训练</w:t>
      </w:r>
    </w:p>
    <w:p>
      <w:pPr>
        <w:pStyle w:val="6"/>
        <w:adjustRightInd w:val="0"/>
        <w:snapToGrid w:val="0"/>
        <w:ind w:firstLine="480"/>
        <w:rPr>
          <w:rFonts w:eastAsia="宋体"/>
          <w:color w:val="000000"/>
        </w:rPr>
      </w:pPr>
      <w:r>
        <w:rPr>
          <w:rFonts w:eastAsia="宋体"/>
          <w:color w:val="000000"/>
        </w:rPr>
        <w:t>专业实训室的建设除符合一般的教学要求外，还要尽可能创设</w:t>
      </w:r>
      <w:r>
        <w:rPr>
          <w:rFonts w:hint="eastAsia" w:eastAsia="宋体"/>
          <w:color w:val="000000"/>
        </w:rPr>
        <w:t>“</w:t>
      </w:r>
      <w:r>
        <w:rPr>
          <w:rFonts w:eastAsia="宋体"/>
          <w:color w:val="000000"/>
        </w:rPr>
        <w:t>生产情景</w:t>
      </w:r>
      <w:r>
        <w:rPr>
          <w:rFonts w:hint="eastAsia" w:eastAsia="宋体"/>
          <w:color w:val="000000"/>
        </w:rPr>
        <w:t>”</w:t>
      </w:r>
      <w:r>
        <w:rPr>
          <w:rFonts w:eastAsia="宋体"/>
          <w:color w:val="000000"/>
        </w:rPr>
        <w:t>；教学设施配置合理，要配有符合要求的教学对象；教学工位要符合课程内容和在学人数的要求；在熟练区域边要配有独立的讲解区，讲解区内的设施要符合教学要求；要具有职业技能训练的必备条件；要具有安全、卫生、规范的劳动环境和条件。</w:t>
      </w:r>
    </w:p>
    <w:p>
      <w:pPr>
        <w:ind w:firstLine="480"/>
      </w:pPr>
      <w:r>
        <w:br w:type="page"/>
      </w:r>
    </w:p>
    <w:p>
      <w:pPr>
        <w:pStyle w:val="4"/>
        <w:ind w:firstLine="600"/>
      </w:pPr>
      <w:bookmarkStart w:id="343" w:name="_Toc20463"/>
      <w:bookmarkStart w:id="344" w:name="_Toc22989"/>
      <w:bookmarkStart w:id="345" w:name="_Toc10522"/>
      <w:bookmarkStart w:id="346" w:name="_Toc17070"/>
      <w:bookmarkStart w:id="347" w:name="_Toc26148"/>
      <w:bookmarkStart w:id="348" w:name="_Toc612"/>
      <w:bookmarkStart w:id="349" w:name="_Toc564"/>
      <w:r>
        <w:t>专业三十</w:t>
      </w:r>
      <w:r>
        <w:rPr>
          <w:rFonts w:hint="eastAsia"/>
          <w:lang w:val="en-US"/>
        </w:rPr>
        <w:t>二</w:t>
      </w:r>
      <w:r>
        <w:t>：电气工程及其自动化</w:t>
      </w:r>
      <w:bookmarkEnd w:id="343"/>
      <w:bookmarkEnd w:id="344"/>
      <w:bookmarkEnd w:id="345"/>
      <w:bookmarkEnd w:id="346"/>
      <w:bookmarkEnd w:id="347"/>
      <w:bookmarkEnd w:id="348"/>
      <w:bookmarkEnd w:id="349"/>
    </w:p>
    <w:p>
      <w:pPr>
        <w:pStyle w:val="5"/>
        <w:spacing w:before="93" w:after="93"/>
        <w:ind w:firstLine="560"/>
      </w:pPr>
      <w:bookmarkStart w:id="350" w:name="_Toc22460"/>
      <w:r>
        <w:t>一、培养目标</w:t>
      </w:r>
      <w:bookmarkEnd w:id="350"/>
      <w:r>
        <w:t>与规格</w:t>
      </w:r>
    </w:p>
    <w:p>
      <w:pPr>
        <w:keepNext/>
        <w:keepLines/>
        <w:ind w:firstLine="480" w:firstLineChars="200"/>
        <w:outlineLvl w:val="3"/>
        <w:rPr>
          <w:rFonts w:eastAsia="黑体"/>
        </w:rPr>
      </w:pPr>
      <w:r>
        <w:rPr>
          <w:rFonts w:eastAsia="黑体"/>
        </w:rPr>
        <w:t>1.培养目标</w:t>
      </w:r>
    </w:p>
    <w:p>
      <w:pPr>
        <w:ind w:firstLine="480" w:firstLineChars="200"/>
      </w:pPr>
      <w:r>
        <w:t xml:space="preserve">本专业培养在思想道德、科学文化、身体心理等方面的素质得到全面发展，具有电工技术、电子技术、自动控制、信息处理、计算机技术的基本理论、基本知识和技能，能在工业与电气工程有关的电力、电力电子、建筑电气、智能化控制、电子与计算机等技术领域从事工程设计与施工、系统分析与运行、研制开发、经济管理等方面工作的应用型复合型高级专门人才。 </w:t>
      </w:r>
    </w:p>
    <w:p>
      <w:pPr>
        <w:ind w:firstLine="480" w:firstLineChars="200"/>
      </w:pPr>
      <w:r>
        <w:t xml:space="preserve">本专业学生毕业后要求具备以下能力： </w:t>
      </w:r>
    </w:p>
    <w:p>
      <w:pPr>
        <w:ind w:firstLine="480" w:firstLineChars="200"/>
      </w:pPr>
      <w:r>
        <w:t xml:space="preserve">（1）具有良好的工程职业道德、追求卓越的态度、爱国敬业和艰苦奋斗精神、较强的社会责任感和较好的人文素养； </w:t>
      </w:r>
    </w:p>
    <w:p>
      <w:pPr>
        <w:ind w:firstLine="480" w:firstLineChars="200"/>
      </w:pPr>
      <w:r>
        <w:t>（2）掌握较扎实的高等数学、大学物理等自然科学基础知识，具有较好的人文社会科学和管理科学能力，具有外语运用能力；</w:t>
      </w:r>
    </w:p>
    <w:p>
      <w:pPr>
        <w:ind w:firstLine="480" w:firstLineChars="200"/>
      </w:pPr>
      <w:r>
        <w:t xml:space="preserve">（3）具有良好的质量、安全、效益、环境、职业健康和服务意识； </w:t>
      </w:r>
    </w:p>
    <w:p>
      <w:pPr>
        <w:ind w:firstLine="480" w:firstLineChars="200"/>
      </w:pPr>
      <w:r>
        <w:t xml:space="preserve">（4）系统地掌握电气工程学科的基础理论和基础知识，主要包括电路理论、电子技术、信息处理、控制理论、计算机软硬件基本原理与应用等； </w:t>
      </w:r>
    </w:p>
    <w:p>
      <w:pPr>
        <w:ind w:firstLine="480" w:firstLineChars="200"/>
      </w:pPr>
      <w:r>
        <w:t xml:space="preserve">（5）掌握电气工程相关的系统分析方法、设计方法和实验技术，具有分析、提出方案并解决工程实际问题的能力，能够参与生产及运作系统的设计，并具有运行和维护能力； </w:t>
      </w:r>
    </w:p>
    <w:p>
      <w:pPr>
        <w:ind w:firstLine="480" w:firstLineChars="200"/>
      </w:pPr>
      <w:r>
        <w:t xml:space="preserve">（6）具有较强的创新意识和进行产品开发和设计、技术改造与创新的初步能力，获得较好的工程实践训练，具有较熟练的计算机应用能力； </w:t>
      </w:r>
    </w:p>
    <w:p>
      <w:pPr>
        <w:ind w:firstLine="480" w:firstLineChars="200"/>
      </w:pPr>
      <w:r>
        <w:t xml:space="preserve">（7）具有本专业领域内1-2个专业方向的知识与技能，了解本专业学科前沿的发展趋势，了解本专业领域技术标准，相关行业的政策、法律和法规，具有信息获取和职业发展学习能力； </w:t>
      </w:r>
    </w:p>
    <w:p>
      <w:pPr>
        <w:ind w:firstLine="480" w:firstLineChars="200"/>
      </w:pPr>
      <w:r>
        <w:t xml:space="preserve">（8）具有较强的工作适应能力，较好的组织管理能力，较强的交流沟通和团队合作的能力，具备应对危机和突发事件的初步能力； </w:t>
      </w:r>
    </w:p>
    <w:p>
      <w:pPr>
        <w:ind w:firstLine="480" w:firstLineChars="200"/>
      </w:pPr>
      <w:r>
        <w:t>（9）具有一定的国际视野和跨文化环境下的交流、竞争与合作的初步能力。</w:t>
      </w:r>
    </w:p>
    <w:p>
      <w:pPr>
        <w:keepNext/>
        <w:keepLines/>
        <w:ind w:firstLine="480" w:firstLineChars="200"/>
        <w:outlineLvl w:val="3"/>
        <w:rPr>
          <w:rFonts w:eastAsia="黑体"/>
        </w:rPr>
      </w:pPr>
      <w:r>
        <w:rPr>
          <w:rFonts w:eastAsia="黑体"/>
        </w:rPr>
        <w:t>2.培养规格</w:t>
      </w:r>
    </w:p>
    <w:p>
      <w:pPr>
        <w:ind w:firstLine="480" w:firstLineChars="200"/>
      </w:pPr>
      <w:r>
        <w:t>基本规格：本专业学生主要学习电工技术、电子技术、信息控制、电力工程、计算机技术等方面较宽广的工程技术基础和一定的专业知识，学生受到电工电子、信息控制及计算机技术方面的基本训练，具有解决电气工程技术分析与控制技术问题的基本能力。</w:t>
      </w:r>
    </w:p>
    <w:p>
      <w:pPr>
        <w:ind w:firstLine="480" w:firstLineChars="200"/>
      </w:pPr>
      <w:r>
        <w:t>根据电气工程及其自动化专业的培养目标，本专业的培养标准分为12条，细化为37个指标条目，具体如下：</w:t>
      </w:r>
    </w:p>
    <w:p>
      <w:pPr>
        <w:ind w:firstLine="480" w:firstLineChars="200"/>
      </w:pPr>
      <w:r>
        <w:t>1工程知识：能够利用数学、工程和专业知识解决与电气工程及其自动化相关的复杂工程问题。</w:t>
      </w:r>
    </w:p>
    <w:p>
      <w:pPr>
        <w:ind w:firstLine="480" w:firstLineChars="200"/>
      </w:pPr>
      <w:r>
        <w:t>1.1 工程科学以数学、自然科学、数学和相关自然科学为基础，掌握电气技术的工程数学，如线性代数、复变函数与积分变换、概率论与数理统计，具有熟练的应用和计算能力。</w:t>
      </w:r>
    </w:p>
    <w:p>
      <w:pPr>
        <w:ind w:firstLine="480" w:firstLineChars="200"/>
      </w:pPr>
      <w:r>
        <w:t>1.2电气工程相关知识，包括电路原理、信息技术、控制理论、计算机技术等专业基础知识，侧重于应用工程技术知识解决实际工程问题。熟练掌握一门计算机语言的编程，具有在工程实践中应用的能力。</w:t>
      </w:r>
    </w:p>
    <w:p>
      <w:pPr>
        <w:ind w:firstLine="480" w:firstLineChars="200"/>
      </w:pPr>
      <w:r>
        <w:t>1.3 工程制图：熟悉电气工程相关标准，熟练掌握基本工程制图和一次、二次电气系统的表示方法。</w:t>
      </w:r>
    </w:p>
    <w:p>
      <w:pPr>
        <w:ind w:firstLine="480" w:firstLineChars="200"/>
      </w:pPr>
      <w:r>
        <w:t>学生在课程教学、实践教学以及毕业设计（论文）等环节中，受到解决电气工程相关的复杂工程问题的基本训练。</w:t>
      </w:r>
    </w:p>
    <w:p>
      <w:pPr>
        <w:ind w:firstLine="480" w:firstLineChars="200"/>
      </w:pPr>
      <w:r>
        <w:t>2问题分析：能够应用数学、自然科学和工程科学的基本原理，识别、表达、并通过文献研究分析复杂工程问题，以获得有效结论。</w:t>
      </w:r>
    </w:p>
    <w:p>
      <w:pPr>
        <w:spacing w:line="390" w:lineRule="exact"/>
        <w:ind w:firstLine="480" w:firstLineChars="200"/>
      </w:pPr>
      <w:r>
        <w:t>2.1理解并掌握应用数学、自然科学、电路、电子、控制技术等基本原理与方法，学会描述相关复杂工程应用问题，以获得有效结论。</w:t>
      </w:r>
    </w:p>
    <w:p>
      <w:pPr>
        <w:spacing w:line="390" w:lineRule="exact"/>
        <w:ind w:firstLine="480" w:firstLineChars="200"/>
      </w:pPr>
      <w:r>
        <w:t>2.2掌握多种文献检索工具，学会通过文献阅读分析电气、电子系统中的复杂工程问题。</w:t>
      </w:r>
    </w:p>
    <w:p>
      <w:pPr>
        <w:spacing w:line="390" w:lineRule="exact"/>
        <w:ind w:firstLine="480" w:firstLineChars="200"/>
      </w:pPr>
      <w:r>
        <w:t>2.3 要求学生能够在课程教学、实践教学以及毕业设计（论文）环节中，利用所学知识对相关复杂工程问题进行表述、分析与验证，初步具备一定的创新能力。</w:t>
      </w:r>
    </w:p>
    <w:p>
      <w:pPr>
        <w:spacing w:line="390" w:lineRule="exact"/>
        <w:ind w:firstLine="480" w:firstLineChars="200"/>
      </w:pPr>
      <w:r>
        <w:t>3设计/开发解决方案：能够设计针对复杂工程问题的解决方案，设计满足特定需求的系统、单元（部件）或工艺流程，并能够在设计环节中体现创新意识，考虑社会、健康、安全、法律、文化以及环境等因素。</w:t>
      </w:r>
    </w:p>
    <w:p>
      <w:pPr>
        <w:spacing w:line="390" w:lineRule="exact"/>
        <w:ind w:firstLine="480" w:firstLineChars="200"/>
      </w:pPr>
      <w:r>
        <w:t>3.1能参与工程解决方案的设计、开发，考虑成本、质量、环保性、安全性、可靠性、外形、适应性以及对环境的影响，找出、评估和选择完成工程任务所需的技术、工艺和方法，确定解决方案。</w:t>
      </w:r>
    </w:p>
    <w:p>
      <w:pPr>
        <w:spacing w:line="390" w:lineRule="exact"/>
        <w:ind w:firstLine="480" w:firstLineChars="200"/>
      </w:pPr>
      <w:r>
        <w:t>3.2能参与制定实施计划。</w:t>
      </w:r>
    </w:p>
    <w:p>
      <w:pPr>
        <w:spacing w:line="390" w:lineRule="exact"/>
        <w:ind w:firstLine="480" w:firstLineChars="200"/>
      </w:pPr>
      <w:r>
        <w:t>3.3能实施解决方案，完成工程任务，并参与相关评价。</w:t>
      </w:r>
    </w:p>
    <w:p>
      <w:pPr>
        <w:spacing w:line="390" w:lineRule="exact"/>
        <w:ind w:firstLine="480" w:firstLineChars="200"/>
      </w:pPr>
      <w:r>
        <w:t>3.4能参与改进建议的提出，并主动从结果反馈中学习。</w:t>
      </w:r>
    </w:p>
    <w:p>
      <w:pPr>
        <w:spacing w:line="390" w:lineRule="exact"/>
        <w:ind w:firstLine="480" w:firstLineChars="200"/>
      </w:pPr>
      <w:r>
        <w:t>3.5具有较强的创新意识和进行产品（工程项目）开发和设计、技术改造与创新的初步能力。</w:t>
      </w:r>
    </w:p>
    <w:p>
      <w:pPr>
        <w:spacing w:line="390" w:lineRule="exact"/>
        <w:ind w:firstLine="480" w:firstLineChars="200"/>
      </w:pPr>
      <w:r>
        <w:t>4科学研究：能够基于科学原理并采用科学方法对复杂工程问题进行研究。包括设计实验、分析与解释数据，并通过信息综合得到合理有效的结论。</w:t>
      </w:r>
    </w:p>
    <w:p>
      <w:pPr>
        <w:spacing w:line="390" w:lineRule="exact"/>
        <w:ind w:firstLine="480" w:firstLineChars="200"/>
      </w:pPr>
      <w:r>
        <w:t>4.1通过学习电工电子类基础课程，掌握电路原理、模拟电子技术、数字电子技术等课程知识，熟悉其实验方法和技术。</w:t>
      </w:r>
    </w:p>
    <w:p>
      <w:pPr>
        <w:spacing w:line="390" w:lineRule="exact"/>
        <w:ind w:firstLine="480" w:firstLineChars="200"/>
      </w:pPr>
      <w:r>
        <w:t>4.2通过学习电气工程类课程，掌握电力系统、电机系统、控制理论、运动控制技术、信号分析与处理技术、电力电子技术等课程知识，熟悉电力系统和电机系统的设计、运行方法。</w:t>
      </w:r>
    </w:p>
    <w:p>
      <w:pPr>
        <w:spacing w:line="390" w:lineRule="exact"/>
        <w:ind w:firstLine="480" w:firstLineChars="200"/>
      </w:pPr>
      <w:r>
        <w:t>4.3通过学习微机类课程，掌握微机原理与接口技术、DSP原理与应用、计算机控制技术等课程知识，熟悉微机应用系统、计算机控制系统、DSP系统的设计与开发技术。</w:t>
      </w:r>
    </w:p>
    <w:p>
      <w:pPr>
        <w:spacing w:line="390" w:lineRule="exact"/>
        <w:ind w:firstLine="480" w:firstLineChars="200"/>
      </w:pPr>
      <w:r>
        <w:t>4.4通过课程实验、认识实习、生产实习、专业实习、实用技术讲座、毕业设计、科研实践等环节，熟练掌握电气工程应用的场合、过程、方法、结论等相关技术。</w:t>
      </w:r>
    </w:p>
    <w:p>
      <w:pPr>
        <w:spacing w:line="390" w:lineRule="exact"/>
        <w:ind w:firstLine="480" w:firstLineChars="200"/>
      </w:pPr>
      <w:r>
        <w:t>5现代工具：能够针对复杂工程问题，开发、选择与使用恰当的技术、资源、现代工程工具和信息技术工具，包括对复杂工程问题的预测与模拟，并能够理解其局限性。</w:t>
      </w:r>
    </w:p>
    <w:p>
      <w:pPr>
        <w:spacing w:line="390" w:lineRule="exact"/>
        <w:ind w:firstLine="480" w:firstLineChars="200"/>
      </w:pPr>
      <w:r>
        <w:t>5.1具有初步对电气工程领域问题进行物理与数学建模的能力，并具有借用辅助工具（如测试工具、验证工具、计算工具和分析工具）予以解决的能力。</w:t>
      </w:r>
    </w:p>
    <w:p>
      <w:pPr>
        <w:spacing w:line="390" w:lineRule="exact"/>
        <w:ind w:firstLine="480" w:firstLineChars="200"/>
      </w:pPr>
      <w:r>
        <w:t>5.2具有初步的对电气工程领域问题的解决方案所达到指标的定量化估计的能力，即，指标满足的程度，以及实验或仿真与现实的一致性和误差分析等。</w:t>
      </w:r>
    </w:p>
    <w:p>
      <w:pPr>
        <w:spacing w:line="390" w:lineRule="exact"/>
        <w:ind w:firstLine="480" w:firstLineChars="200"/>
      </w:pPr>
      <w:r>
        <w:t>6工程与社会：能够基于电气电力工程建设相关背景知识进行经济效益、社会效益评价分析，能够理解和评价电气电力工程对环境、社会可持续发展的影响，并理解应承担的责任。</w:t>
      </w:r>
    </w:p>
    <w:p>
      <w:pPr>
        <w:spacing w:line="390" w:lineRule="exact"/>
        <w:ind w:firstLine="480" w:firstLineChars="200"/>
      </w:pPr>
      <w:r>
        <w:t>6.1理解和掌握社会、安全、健康、伦理、法律等方面的基本知识，并理解其与电气电力工程的相互关系。</w:t>
      </w:r>
    </w:p>
    <w:p>
      <w:pPr>
        <w:spacing w:line="390" w:lineRule="exact"/>
        <w:ind w:firstLine="480" w:firstLineChars="200"/>
      </w:pPr>
      <w:r>
        <w:t>6.2要求学生从人文与社会、健康与安全、伦理与法律等方面进行分析、比较与评价，能够在解决复杂工程问题的过程中体现应尽义务、操守与责任。</w:t>
      </w:r>
    </w:p>
    <w:p>
      <w:pPr>
        <w:spacing w:line="390" w:lineRule="exact"/>
        <w:ind w:firstLine="480" w:firstLineChars="200"/>
      </w:pPr>
      <w:r>
        <w:t>7环境和可持续发展：能够理解和评价针对复杂工程问题的工程实践对环境、社会可持续发展的影响。</w:t>
      </w:r>
    </w:p>
    <w:p>
      <w:pPr>
        <w:ind w:firstLine="480" w:firstLineChars="200"/>
      </w:pPr>
      <w:r>
        <w:t>7.1具有良好的质量、安全、服务和环保意识，了解电气工程领域对环境、社会造成的正反两方面的影响，能够在工程实践中尽量减少对环境、社会的负面影响，能承担有关健康、安全、环境保护等事务的责任。</w:t>
      </w:r>
    </w:p>
    <w:p>
      <w:pPr>
        <w:ind w:firstLine="480" w:firstLineChars="200"/>
      </w:pPr>
      <w:r>
        <w:t>7.2具有良好的专业素养，包括科学的思维方法和研究方法、求实创新意识、综合分析与管理决策素养。</w:t>
      </w:r>
    </w:p>
    <w:p>
      <w:pPr>
        <w:ind w:firstLine="480" w:firstLineChars="200"/>
      </w:pPr>
      <w:r>
        <w:t>8职业规范：具有人文社会科学素养、社会责任感，能够在工程实践中理解并遵守工程职业道德和规范，履行责任。</w:t>
      </w:r>
    </w:p>
    <w:p>
      <w:pPr>
        <w:ind w:firstLine="480" w:firstLineChars="200"/>
      </w:pPr>
      <w:r>
        <w:t>8.1 具有一定的质量、环境、职业健康安全和法律意识，具备良好的职业道德，体现对职业、社会、环境的责任。</w:t>
      </w:r>
    </w:p>
    <w:p>
      <w:pPr>
        <w:ind w:firstLine="480" w:firstLineChars="200"/>
      </w:pPr>
      <w:r>
        <w:t>8.2了解本专业领域的技术发展和技术标准，遵守所属职业体系的职业行为准则，按确定的相关标准和程序要求开展工作。</w:t>
      </w:r>
    </w:p>
    <w:p>
      <w:pPr>
        <w:ind w:firstLine="480" w:firstLineChars="200"/>
      </w:pPr>
      <w:r>
        <w:t>9个人和团队：能够在多学科背景下的团队中理解和承担个体、团队成员以及负责人的角色，并发挥相应的作用。</w:t>
      </w:r>
    </w:p>
    <w:p>
      <w:pPr>
        <w:ind w:firstLine="480" w:firstLineChars="200"/>
      </w:pPr>
      <w:r>
        <w:t xml:space="preserve">9.1 具有团队合作精神，善于与团队其他成员协作，能够冷静分析遇到的问题，不推卸责任并乐于帮助其他成员解决问题。 </w:t>
      </w:r>
    </w:p>
    <w:p>
      <w:pPr>
        <w:ind w:firstLine="480" w:firstLineChars="200"/>
      </w:pPr>
      <w:r>
        <w:t>9.2具有团队组织、支配和协调的领导能力，能够根据任务要求和人员特点组建团队，合理组织任务、人员和资源，形成管理计划和预算，在团队中发挥积极作用。</w:t>
      </w:r>
    </w:p>
    <w:p>
      <w:pPr>
        <w:ind w:firstLine="480" w:firstLineChars="200"/>
      </w:pPr>
      <w:r>
        <w:t>9.3具有良好人际交往技巧，能够理解他人需求和意愿，自信、灵活地应对各种环境下的人际交往。</w:t>
      </w:r>
    </w:p>
    <w:p>
      <w:pPr>
        <w:ind w:firstLine="480" w:firstLineChars="200"/>
      </w:pPr>
      <w:r>
        <w:t>9.4具有国际视野，在电气工程领域，具有较好的国际人际交往能力，以及竞争和合作的能力。</w:t>
      </w:r>
    </w:p>
    <w:p>
      <w:pPr>
        <w:ind w:firstLine="480" w:firstLineChars="200"/>
      </w:pPr>
      <w:r>
        <w:t>10沟通：能够就复杂工程问题与业界同行及社会公众进行有效沟通和交流，包括撰写报告和设计文稿、陈述发言、清晰表达或回应指令。并具备一定的国际视野，能够在跨文化背景下进行沟通和交流。</w:t>
      </w:r>
    </w:p>
    <w:p>
      <w:pPr>
        <w:ind w:firstLine="480" w:firstLineChars="200"/>
      </w:pPr>
      <w:r>
        <w:t>10.1具有在电气工程领域，根据对象类别制定交流战略和交流方式的能力。</w:t>
      </w:r>
    </w:p>
    <w:p>
      <w:pPr>
        <w:ind w:firstLine="480" w:firstLineChars="200"/>
      </w:pPr>
      <w:r>
        <w:t>10.2具有进行电气工程领域项目、工作文档、工程文件（如项目投标书、论证书、任务书、可行性分析报告、项目进展报告、项目总结报告等）的撰写、阐释、说明、辩论的能力。</w:t>
      </w:r>
    </w:p>
    <w:p>
      <w:pPr>
        <w:ind w:firstLine="480" w:firstLineChars="200"/>
      </w:pPr>
      <w:r>
        <w:t>10.3具有在电气工程领域，较好地应用图表、报告、多媒体、演讲等简洁表达方式，交流观点、方案等的能力。</w:t>
      </w:r>
    </w:p>
    <w:p>
      <w:pPr>
        <w:ind w:firstLine="480" w:firstLineChars="200"/>
      </w:pPr>
      <w:r>
        <w:t>10.4具有在电气工程领域，具有熟练使用电子邮件、PPT、音频视频等工具进行电子和多媒体交流的能力。</w:t>
      </w:r>
    </w:p>
    <w:p>
      <w:pPr>
        <w:ind w:firstLine="480" w:firstLineChars="200"/>
      </w:pPr>
      <w:r>
        <w:t>10.5具有在电气工程领域，较好使用电气工程领域技术术语、运用母语或英语，在跨文化背景下进行沟通与表达的能力，具有较好的与现场工作人员沟通的人际交流能力，具有良好的语言逻辑思维表达能力。</w:t>
      </w:r>
    </w:p>
    <w:p>
      <w:pPr>
        <w:ind w:firstLine="480" w:firstLineChars="200"/>
      </w:pPr>
      <w:r>
        <w:t>11项目管理：理解并掌握工程管理原理与经济决策方法，并能在多学科环境中应用。</w:t>
      </w:r>
    </w:p>
    <w:p>
      <w:pPr>
        <w:ind w:firstLine="480" w:firstLineChars="200"/>
      </w:pPr>
      <w:r>
        <w:t>11.1使用合适的管理方法，管理计划和预算，组织任务、人力和资源。</w:t>
      </w:r>
    </w:p>
    <w:p>
      <w:pPr>
        <w:ind w:firstLine="480" w:firstLineChars="200"/>
      </w:pPr>
      <w:r>
        <w:t>11.2具备应对危机与突发事件的初步能力，能够发现质量标准、程序和预算的变化，并采取恰当的行动。</w:t>
      </w:r>
    </w:p>
    <w:p>
      <w:pPr>
        <w:ind w:firstLine="480" w:firstLineChars="200"/>
      </w:pPr>
      <w:r>
        <w:t xml:space="preserve">11.3参与管理、协调工作团队，确保工作进度；参与评估项目，提出改进建议。 </w:t>
      </w:r>
    </w:p>
    <w:p>
      <w:pPr>
        <w:ind w:firstLine="480" w:firstLineChars="200"/>
      </w:pPr>
      <w:r>
        <w:t>12终身学习：具有较强的自主学习能力和终身学习的意识，不断学习和适应发展的能力。</w:t>
      </w:r>
    </w:p>
    <w:p>
      <w:pPr>
        <w:ind w:firstLine="480" w:firstLineChars="200"/>
      </w:pPr>
      <w:r>
        <w:t>12.1具有对新事物、新技术的求知欲望，能够自我激励，有为适应发展需要不断拓展知识、继续学习的能力。</w:t>
      </w:r>
    </w:p>
    <w:p>
      <w:pPr>
        <w:ind w:firstLine="480" w:firstLineChars="200"/>
      </w:pPr>
      <w:r>
        <w:t>12.2具有检查自身的发展需求，制定并实施自身职业发展计划的能力。</w:t>
      </w:r>
    </w:p>
    <w:p>
      <w:pPr>
        <w:pStyle w:val="5"/>
        <w:spacing w:before="93" w:after="93"/>
        <w:ind w:firstLine="560"/>
      </w:pPr>
      <w:bookmarkStart w:id="351" w:name="_Toc21198"/>
      <w:r>
        <w:t>二、培养能力（专业基本情况、在校生规模、课程体系、创新创业教育等）</w:t>
      </w:r>
      <w:bookmarkEnd w:id="351"/>
    </w:p>
    <w:p>
      <w:pPr>
        <w:ind w:firstLine="480" w:firstLineChars="200"/>
      </w:pPr>
      <w:r>
        <w:t>我校电气工程及其自动化专业的前身是1990年开始招生的建筑电气专科专业，本专业建设已有30余年的历史，2001年升格为本科专业,十多年来共培养合格本科毕业生18届2642余名，毕业生受到用人单位的好评，在山东省内得到了一定的信誉。教育部下发《教育部办公厅关于公布2021年度国家级和省级一流本科专业建设点名单的通知》（教高厅函〔2022〕14号），山东农业大学新增14个国家级、省级一流本科专业建设点。其中，我院电气工程及其自动化专业获批山东省一流本科专业建设点。目前，该专业在校生659人，每年级学生人数如表1所示。</w:t>
      </w:r>
    </w:p>
    <w:p>
      <w:pPr>
        <w:jc w:val="center"/>
        <w:rPr>
          <w:b/>
          <w:bCs/>
          <w:sz w:val="21"/>
          <w:szCs w:val="21"/>
        </w:rPr>
      </w:pPr>
      <w:r>
        <w:rPr>
          <w:b/>
          <w:bCs/>
          <w:sz w:val="21"/>
          <w:szCs w:val="21"/>
        </w:rPr>
        <w:t>表1  电气工程及其自动化专业在校生人数情况（人）</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8"/>
        <w:gridCol w:w="1859"/>
        <w:gridCol w:w="1859"/>
        <w:gridCol w:w="1859"/>
        <w:gridCol w:w="18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893" w:type="pct"/>
            <w:vAlign w:val="center"/>
          </w:tcPr>
          <w:p>
            <w:pPr>
              <w:adjustRightInd w:val="0"/>
              <w:snapToGrid w:val="0"/>
              <w:ind w:firstLine="422" w:firstLineChars="200"/>
              <w:jc w:val="center"/>
              <w:rPr>
                <w:b/>
                <w:bCs/>
                <w:sz w:val="21"/>
                <w:szCs w:val="21"/>
              </w:rPr>
            </w:pPr>
            <w:r>
              <w:rPr>
                <w:b/>
                <w:bCs/>
                <w:sz w:val="21"/>
                <w:szCs w:val="21"/>
              </w:rPr>
              <w:t>2019级</w:t>
            </w:r>
          </w:p>
        </w:tc>
        <w:tc>
          <w:tcPr>
            <w:tcW w:w="1026" w:type="pct"/>
            <w:vAlign w:val="center"/>
          </w:tcPr>
          <w:p>
            <w:pPr>
              <w:adjustRightInd w:val="0"/>
              <w:snapToGrid w:val="0"/>
              <w:ind w:firstLine="422" w:firstLineChars="200"/>
              <w:jc w:val="center"/>
              <w:rPr>
                <w:b/>
                <w:bCs/>
                <w:sz w:val="21"/>
                <w:szCs w:val="21"/>
              </w:rPr>
            </w:pPr>
            <w:r>
              <w:rPr>
                <w:b/>
                <w:bCs/>
                <w:sz w:val="21"/>
                <w:szCs w:val="21"/>
              </w:rPr>
              <w:t>2020级</w:t>
            </w:r>
          </w:p>
        </w:tc>
        <w:tc>
          <w:tcPr>
            <w:tcW w:w="1026" w:type="pct"/>
            <w:vAlign w:val="center"/>
          </w:tcPr>
          <w:p>
            <w:pPr>
              <w:adjustRightInd w:val="0"/>
              <w:snapToGrid w:val="0"/>
              <w:ind w:firstLine="422" w:firstLineChars="200"/>
              <w:jc w:val="center"/>
              <w:rPr>
                <w:b/>
                <w:bCs/>
                <w:sz w:val="21"/>
                <w:szCs w:val="21"/>
              </w:rPr>
            </w:pPr>
            <w:r>
              <w:rPr>
                <w:b/>
                <w:bCs/>
                <w:sz w:val="21"/>
                <w:szCs w:val="21"/>
              </w:rPr>
              <w:t>2021级</w:t>
            </w:r>
          </w:p>
        </w:tc>
        <w:tc>
          <w:tcPr>
            <w:tcW w:w="1026" w:type="pct"/>
            <w:vAlign w:val="center"/>
          </w:tcPr>
          <w:p>
            <w:pPr>
              <w:adjustRightInd w:val="0"/>
              <w:snapToGrid w:val="0"/>
              <w:ind w:firstLine="422" w:firstLineChars="200"/>
              <w:jc w:val="center"/>
              <w:rPr>
                <w:b/>
                <w:bCs/>
                <w:sz w:val="21"/>
                <w:szCs w:val="21"/>
              </w:rPr>
            </w:pPr>
            <w:r>
              <w:rPr>
                <w:b/>
                <w:bCs/>
                <w:sz w:val="21"/>
                <w:szCs w:val="21"/>
              </w:rPr>
              <w:t>2022级</w:t>
            </w:r>
          </w:p>
        </w:tc>
        <w:tc>
          <w:tcPr>
            <w:tcW w:w="1027" w:type="pct"/>
            <w:vAlign w:val="center"/>
          </w:tcPr>
          <w:p>
            <w:pPr>
              <w:adjustRightInd w:val="0"/>
              <w:snapToGrid w:val="0"/>
              <w:ind w:firstLine="422" w:firstLineChars="200"/>
              <w:jc w:val="center"/>
              <w:rPr>
                <w:b/>
                <w:bCs/>
                <w:sz w:val="21"/>
                <w:szCs w:val="21"/>
                <w:lang w:val="zh-CN"/>
              </w:rPr>
            </w:pPr>
            <w:r>
              <w:rPr>
                <w:b/>
                <w:bCs/>
                <w:sz w:val="21"/>
                <w:szCs w:val="21"/>
                <w:lang w:val="zh-CN"/>
              </w:rPr>
              <w:t>总人数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893" w:type="pct"/>
            <w:vAlign w:val="center"/>
          </w:tcPr>
          <w:p>
            <w:pPr>
              <w:adjustRightInd w:val="0"/>
              <w:snapToGrid w:val="0"/>
              <w:ind w:firstLine="420" w:firstLineChars="200"/>
              <w:jc w:val="center"/>
              <w:rPr>
                <w:sz w:val="21"/>
                <w:szCs w:val="21"/>
              </w:rPr>
            </w:pPr>
            <w:r>
              <w:rPr>
                <w:sz w:val="21"/>
                <w:szCs w:val="21"/>
              </w:rPr>
              <w:t>184</w:t>
            </w:r>
          </w:p>
        </w:tc>
        <w:tc>
          <w:tcPr>
            <w:tcW w:w="1026" w:type="pct"/>
            <w:vAlign w:val="center"/>
          </w:tcPr>
          <w:p>
            <w:pPr>
              <w:adjustRightInd w:val="0"/>
              <w:snapToGrid w:val="0"/>
              <w:ind w:firstLine="420" w:firstLineChars="200"/>
              <w:jc w:val="center"/>
              <w:rPr>
                <w:sz w:val="21"/>
                <w:szCs w:val="21"/>
              </w:rPr>
            </w:pPr>
            <w:r>
              <w:rPr>
                <w:sz w:val="21"/>
                <w:szCs w:val="21"/>
              </w:rPr>
              <w:t>186</w:t>
            </w:r>
          </w:p>
        </w:tc>
        <w:tc>
          <w:tcPr>
            <w:tcW w:w="1026" w:type="pct"/>
            <w:vAlign w:val="center"/>
          </w:tcPr>
          <w:p>
            <w:pPr>
              <w:adjustRightInd w:val="0"/>
              <w:snapToGrid w:val="0"/>
              <w:ind w:firstLine="420" w:firstLineChars="200"/>
              <w:jc w:val="center"/>
              <w:rPr>
                <w:sz w:val="21"/>
                <w:szCs w:val="21"/>
              </w:rPr>
            </w:pPr>
            <w:r>
              <w:rPr>
                <w:sz w:val="21"/>
                <w:szCs w:val="21"/>
              </w:rPr>
              <w:t>169</w:t>
            </w:r>
          </w:p>
        </w:tc>
        <w:tc>
          <w:tcPr>
            <w:tcW w:w="1026" w:type="pct"/>
            <w:vAlign w:val="center"/>
          </w:tcPr>
          <w:p>
            <w:pPr>
              <w:adjustRightInd w:val="0"/>
              <w:snapToGrid w:val="0"/>
              <w:ind w:firstLine="420" w:firstLineChars="200"/>
              <w:jc w:val="center"/>
              <w:rPr>
                <w:sz w:val="21"/>
                <w:szCs w:val="21"/>
              </w:rPr>
            </w:pPr>
            <w:r>
              <w:rPr>
                <w:sz w:val="21"/>
                <w:szCs w:val="21"/>
              </w:rPr>
              <w:t>120</w:t>
            </w:r>
          </w:p>
        </w:tc>
        <w:tc>
          <w:tcPr>
            <w:tcW w:w="1027" w:type="pct"/>
            <w:vAlign w:val="center"/>
          </w:tcPr>
          <w:p>
            <w:pPr>
              <w:adjustRightInd w:val="0"/>
              <w:snapToGrid w:val="0"/>
              <w:ind w:firstLine="420" w:firstLineChars="200"/>
              <w:jc w:val="center"/>
              <w:rPr>
                <w:sz w:val="21"/>
                <w:szCs w:val="21"/>
              </w:rPr>
            </w:pPr>
            <w:r>
              <w:rPr>
                <w:sz w:val="21"/>
                <w:szCs w:val="21"/>
              </w:rPr>
              <w:t>659</w:t>
            </w:r>
          </w:p>
        </w:tc>
      </w:tr>
    </w:tbl>
    <w:p>
      <w:pPr>
        <w:ind w:firstLine="480" w:firstLineChars="200"/>
      </w:pPr>
      <w:r>
        <w:t>该专业主干学科：电气工程、控制科学与工程、计算机科学与技术</w:t>
      </w:r>
    </w:p>
    <w:p>
      <w:pPr>
        <w:ind w:firstLine="480" w:firstLineChars="200"/>
      </w:pPr>
      <w:r>
        <w:t>主要课程：电路原理、模拟电子技术基础、数字电子技术基础、自动控制理论、电力电子技术、微机原理与应用、电机与拖动基础、高电压技术、电力系统分析、电力工程、继电保护与微机保护等。</w:t>
      </w:r>
    </w:p>
    <w:p>
      <w:pPr>
        <w:ind w:firstLine="480" w:firstLineChars="200"/>
      </w:pPr>
      <w:r>
        <w:t>主要实践课程：金工实习、认识实习、社会实践、课程设计、生产实习、毕业设计（论文）等。</w:t>
      </w:r>
    </w:p>
    <w:p>
      <w:pPr>
        <w:ind w:firstLine="480" w:firstLineChars="200"/>
      </w:pPr>
      <w:r>
        <w:t>学分总体安排：课程共170学分；必修课139学分，占课程总学分的81.8%；选修课31学分，占课程总学分的18.2%。实践教学环节总学分为50.5学分，占毕业总学分的29.7%。</w:t>
      </w:r>
    </w:p>
    <w:p>
      <w:pPr>
        <w:ind w:firstLine="480" w:firstLineChars="200"/>
      </w:pPr>
      <w:r>
        <w:t>该专业极为重视大学生的创新创业工作，以学院层级式、阶梯式创新创业工作为基础，在不同年级开展不同类型创新创业活动，如在大一年级学生开展模型设计大赛，大二年级学生定向培训，根据个人兴趣爱好及所学课程，指导学生进入教师科研团队，同时，组建科技兴趣小组，鼓励并扶持大三年级学生参加各种科技创新竞赛，如山东省大学生科技文化艺术节大学生机器人大赛、全国大学生电子设计竞赛、全国大学生英语竞赛、中国机器人大赛暨ROBOCUP公开赛等，并取得优异成绩，2021</w:t>
      </w:r>
      <w:r>
        <w:rPr>
          <w:i/>
          <w:iCs/>
        </w:rPr>
        <w:t>~</w:t>
      </w:r>
      <w:r>
        <w:t>2022年电气工程专业学生共取得各类奖励30余项。</w:t>
      </w:r>
    </w:p>
    <w:p>
      <w:pPr>
        <w:pStyle w:val="5"/>
        <w:spacing w:before="93" w:after="93"/>
        <w:ind w:firstLine="560"/>
      </w:pPr>
      <w:bookmarkStart w:id="352" w:name="_Toc29655"/>
      <w:r>
        <w:t>三、培养条件（教学经费投入、教学设备、教师队伍建设、实习基地、现代教学技术应用等）</w:t>
      </w:r>
      <w:bookmarkEnd w:id="352"/>
    </w:p>
    <w:p>
      <w:pPr>
        <w:spacing w:line="380" w:lineRule="exact"/>
        <w:ind w:firstLine="480" w:firstLineChars="200"/>
      </w:pPr>
      <w:r>
        <w:t>电气工程专业借助我院国家级实验教学师范中心（农业机械化及自动化）、虚拟仿真实验教学示范中心及国家创业型人才培养方案创新实验区平台，依托我院电工电子实验教学中心与机械工程实验教学中心开展教学科研工作。电气工程及其自动化专业可用实验室面积达2600平方米，实验设备总值980万元。拥有电路原理实验室，单片机实验室，电机与拖动实验室，电子技术实验室，自动控制、电力电子实验室，电气控制及PLC实验室、过程控制等实验室。另外，学院自筹资金，购买了大量电气工程专业书籍近100余套，学术期刊20余种，经过多年的建设与完善，教学实验条件完全满足教学的要求。</w:t>
      </w:r>
    </w:p>
    <w:p>
      <w:pPr>
        <w:ind w:firstLine="480" w:firstLineChars="200"/>
      </w:pPr>
      <w:r>
        <w:t>强化师资建设与教学科研水平提高，截止到2022年10月底，电气专业专职教师共19人，实验人员共4人，师资队伍具体人员概况如表2所示。专职教师中，正高级6名，副高级11名，中级6名，其中具有高级职称的人数占74%，45岁以下12名，占70%，学缘及学历结构合理，是具有活力的教学团队，基本满足本科教学要求。</w:t>
      </w:r>
    </w:p>
    <w:p>
      <w:pPr>
        <w:ind w:firstLine="422" w:firstLineChars="200"/>
        <w:jc w:val="center"/>
        <w:rPr>
          <w:b/>
          <w:bCs/>
          <w:sz w:val="21"/>
          <w:szCs w:val="21"/>
        </w:rPr>
      </w:pPr>
      <w:r>
        <w:rPr>
          <w:b/>
          <w:bCs/>
          <w:sz w:val="21"/>
          <w:szCs w:val="21"/>
        </w:rPr>
        <w:t>表2  教师队伍一览表</w:t>
      </w:r>
    </w:p>
    <w:tbl>
      <w:tblPr>
        <w:tblStyle w:val="17"/>
        <w:tblW w:w="90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1"/>
        <w:gridCol w:w="873"/>
        <w:gridCol w:w="489"/>
        <w:gridCol w:w="467"/>
        <w:gridCol w:w="1074"/>
        <w:gridCol w:w="870"/>
        <w:gridCol w:w="660"/>
        <w:gridCol w:w="1590"/>
        <w:gridCol w:w="26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exact"/>
          <w:tblHeader/>
          <w:jc w:val="center"/>
        </w:trPr>
        <w:tc>
          <w:tcPr>
            <w:tcW w:w="451" w:type="dxa"/>
            <w:vAlign w:val="center"/>
          </w:tcPr>
          <w:p>
            <w:pPr>
              <w:spacing w:line="300" w:lineRule="exact"/>
              <w:jc w:val="center"/>
              <w:rPr>
                <w:b/>
                <w:bCs/>
                <w:sz w:val="21"/>
                <w:szCs w:val="21"/>
              </w:rPr>
            </w:pPr>
            <w:r>
              <w:rPr>
                <w:b/>
                <w:bCs/>
                <w:sz w:val="21"/>
                <w:szCs w:val="21"/>
              </w:rPr>
              <w:t>序号</w:t>
            </w:r>
          </w:p>
        </w:tc>
        <w:tc>
          <w:tcPr>
            <w:tcW w:w="873" w:type="dxa"/>
            <w:vAlign w:val="center"/>
          </w:tcPr>
          <w:p>
            <w:pPr>
              <w:spacing w:line="300" w:lineRule="exact"/>
              <w:jc w:val="center"/>
              <w:rPr>
                <w:b/>
                <w:bCs/>
                <w:sz w:val="21"/>
                <w:szCs w:val="21"/>
              </w:rPr>
            </w:pPr>
            <w:r>
              <w:rPr>
                <w:b/>
                <w:bCs/>
                <w:sz w:val="21"/>
                <w:szCs w:val="21"/>
              </w:rPr>
              <w:t>姓  名</w:t>
            </w:r>
          </w:p>
        </w:tc>
        <w:tc>
          <w:tcPr>
            <w:tcW w:w="489" w:type="dxa"/>
            <w:vAlign w:val="center"/>
          </w:tcPr>
          <w:p>
            <w:pPr>
              <w:spacing w:line="300" w:lineRule="exact"/>
              <w:jc w:val="center"/>
              <w:rPr>
                <w:b/>
                <w:bCs/>
                <w:sz w:val="21"/>
                <w:szCs w:val="21"/>
              </w:rPr>
            </w:pPr>
            <w:r>
              <w:rPr>
                <w:b/>
                <w:bCs/>
                <w:sz w:val="21"/>
                <w:szCs w:val="21"/>
              </w:rPr>
              <w:t>性别</w:t>
            </w:r>
          </w:p>
        </w:tc>
        <w:tc>
          <w:tcPr>
            <w:tcW w:w="467" w:type="dxa"/>
            <w:vAlign w:val="center"/>
          </w:tcPr>
          <w:p>
            <w:pPr>
              <w:spacing w:line="300" w:lineRule="exact"/>
              <w:jc w:val="center"/>
              <w:rPr>
                <w:b/>
                <w:bCs/>
                <w:sz w:val="21"/>
                <w:szCs w:val="21"/>
              </w:rPr>
            </w:pPr>
            <w:r>
              <w:rPr>
                <w:b/>
                <w:bCs/>
                <w:sz w:val="21"/>
                <w:szCs w:val="21"/>
              </w:rPr>
              <w:t>年龄</w:t>
            </w:r>
          </w:p>
        </w:tc>
        <w:tc>
          <w:tcPr>
            <w:tcW w:w="1074" w:type="dxa"/>
            <w:vAlign w:val="center"/>
          </w:tcPr>
          <w:p>
            <w:pPr>
              <w:spacing w:line="300" w:lineRule="exact"/>
              <w:jc w:val="center"/>
              <w:rPr>
                <w:b/>
                <w:bCs/>
                <w:sz w:val="21"/>
                <w:szCs w:val="21"/>
              </w:rPr>
            </w:pPr>
            <w:r>
              <w:rPr>
                <w:b/>
                <w:bCs/>
                <w:sz w:val="21"/>
                <w:szCs w:val="21"/>
              </w:rPr>
              <w:t>专业技术职务</w:t>
            </w:r>
          </w:p>
        </w:tc>
        <w:tc>
          <w:tcPr>
            <w:tcW w:w="870" w:type="dxa"/>
            <w:vAlign w:val="center"/>
          </w:tcPr>
          <w:p>
            <w:pPr>
              <w:spacing w:line="300" w:lineRule="exact"/>
              <w:jc w:val="center"/>
              <w:rPr>
                <w:b/>
                <w:bCs/>
                <w:sz w:val="21"/>
                <w:szCs w:val="21"/>
              </w:rPr>
            </w:pPr>
            <w:r>
              <w:rPr>
                <w:b/>
                <w:bCs/>
                <w:sz w:val="21"/>
                <w:szCs w:val="21"/>
              </w:rPr>
              <w:t>学历</w:t>
            </w:r>
          </w:p>
        </w:tc>
        <w:tc>
          <w:tcPr>
            <w:tcW w:w="660" w:type="dxa"/>
            <w:vAlign w:val="center"/>
          </w:tcPr>
          <w:p>
            <w:pPr>
              <w:spacing w:line="300" w:lineRule="exact"/>
              <w:jc w:val="center"/>
              <w:rPr>
                <w:b/>
                <w:bCs/>
                <w:sz w:val="21"/>
                <w:szCs w:val="21"/>
              </w:rPr>
            </w:pPr>
            <w:r>
              <w:rPr>
                <w:b/>
                <w:bCs/>
                <w:sz w:val="21"/>
                <w:szCs w:val="21"/>
              </w:rPr>
              <w:t>学位</w:t>
            </w:r>
          </w:p>
        </w:tc>
        <w:tc>
          <w:tcPr>
            <w:tcW w:w="1590" w:type="dxa"/>
            <w:vAlign w:val="center"/>
          </w:tcPr>
          <w:p>
            <w:pPr>
              <w:spacing w:line="300" w:lineRule="exact"/>
              <w:jc w:val="center"/>
              <w:rPr>
                <w:b/>
                <w:bCs/>
                <w:sz w:val="21"/>
                <w:szCs w:val="21"/>
              </w:rPr>
            </w:pPr>
            <w:r>
              <w:rPr>
                <w:b/>
                <w:bCs/>
                <w:sz w:val="21"/>
                <w:szCs w:val="21"/>
              </w:rPr>
              <w:t>所学专业</w:t>
            </w:r>
          </w:p>
        </w:tc>
        <w:tc>
          <w:tcPr>
            <w:tcW w:w="2600" w:type="dxa"/>
            <w:vAlign w:val="center"/>
          </w:tcPr>
          <w:p>
            <w:pPr>
              <w:spacing w:line="300" w:lineRule="exact"/>
              <w:jc w:val="center"/>
              <w:rPr>
                <w:b/>
                <w:bCs/>
                <w:sz w:val="21"/>
                <w:szCs w:val="21"/>
              </w:rPr>
            </w:pPr>
            <w:r>
              <w:rPr>
                <w:b/>
                <w:bCs/>
                <w:sz w:val="21"/>
                <w:szCs w:val="21"/>
              </w:rPr>
              <w:t>任教课程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1</w:t>
            </w:r>
          </w:p>
        </w:tc>
        <w:tc>
          <w:tcPr>
            <w:tcW w:w="873" w:type="dxa"/>
            <w:vAlign w:val="center"/>
          </w:tcPr>
          <w:p>
            <w:pPr>
              <w:spacing w:line="300" w:lineRule="exact"/>
              <w:jc w:val="center"/>
              <w:rPr>
                <w:sz w:val="21"/>
                <w:szCs w:val="21"/>
              </w:rPr>
            </w:pPr>
            <w:r>
              <w:rPr>
                <w:sz w:val="21"/>
                <w:szCs w:val="21"/>
              </w:rPr>
              <w:t>侯加林</w:t>
            </w:r>
          </w:p>
        </w:tc>
        <w:tc>
          <w:tcPr>
            <w:tcW w:w="489" w:type="dxa"/>
            <w:vAlign w:val="center"/>
          </w:tcPr>
          <w:p>
            <w:pPr>
              <w:spacing w:line="300" w:lineRule="exact"/>
              <w:jc w:val="center"/>
              <w:rPr>
                <w:sz w:val="21"/>
                <w:szCs w:val="21"/>
              </w:rPr>
            </w:pPr>
            <w:r>
              <w:rPr>
                <w:sz w:val="21"/>
                <w:szCs w:val="21"/>
              </w:rPr>
              <w:t>男</w:t>
            </w:r>
          </w:p>
        </w:tc>
        <w:tc>
          <w:tcPr>
            <w:tcW w:w="467" w:type="dxa"/>
            <w:vAlign w:val="center"/>
          </w:tcPr>
          <w:p>
            <w:pPr>
              <w:spacing w:line="300" w:lineRule="exact"/>
              <w:jc w:val="center"/>
              <w:rPr>
                <w:sz w:val="21"/>
                <w:szCs w:val="21"/>
              </w:rPr>
            </w:pPr>
            <w:r>
              <w:rPr>
                <w:sz w:val="21"/>
                <w:szCs w:val="21"/>
              </w:rPr>
              <w:t>59</w:t>
            </w:r>
          </w:p>
        </w:tc>
        <w:tc>
          <w:tcPr>
            <w:tcW w:w="1074" w:type="dxa"/>
            <w:vAlign w:val="center"/>
          </w:tcPr>
          <w:p>
            <w:pPr>
              <w:spacing w:line="300" w:lineRule="exact"/>
              <w:jc w:val="center"/>
              <w:rPr>
                <w:sz w:val="21"/>
                <w:szCs w:val="21"/>
              </w:rPr>
            </w:pPr>
            <w:r>
              <w:rPr>
                <w:sz w:val="21"/>
                <w:szCs w:val="21"/>
              </w:rPr>
              <w:t>教  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博士</w:t>
            </w:r>
          </w:p>
        </w:tc>
        <w:tc>
          <w:tcPr>
            <w:tcW w:w="1590" w:type="dxa"/>
            <w:vAlign w:val="center"/>
          </w:tcPr>
          <w:p>
            <w:pPr>
              <w:spacing w:line="300" w:lineRule="exact"/>
              <w:rPr>
                <w:sz w:val="21"/>
                <w:szCs w:val="21"/>
              </w:rPr>
            </w:pPr>
            <w:r>
              <w:rPr>
                <w:sz w:val="21"/>
                <w:szCs w:val="21"/>
              </w:rPr>
              <w:t>农业机械化工程、电气工程</w:t>
            </w:r>
          </w:p>
        </w:tc>
        <w:tc>
          <w:tcPr>
            <w:tcW w:w="2600" w:type="dxa"/>
            <w:vAlign w:val="center"/>
          </w:tcPr>
          <w:p>
            <w:pPr>
              <w:spacing w:line="300" w:lineRule="exact"/>
              <w:ind w:right="-120" w:rightChars="-50"/>
              <w:rPr>
                <w:sz w:val="21"/>
                <w:szCs w:val="21"/>
              </w:rPr>
            </w:pPr>
            <w:r>
              <w:rPr>
                <w:sz w:val="21"/>
                <w:szCs w:val="21"/>
              </w:rPr>
              <w:t>电工学、电子学（模拟电子技术）、设施农业工程技术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2</w:t>
            </w:r>
          </w:p>
        </w:tc>
        <w:tc>
          <w:tcPr>
            <w:tcW w:w="873" w:type="dxa"/>
            <w:vAlign w:val="center"/>
          </w:tcPr>
          <w:p>
            <w:pPr>
              <w:spacing w:line="300" w:lineRule="exact"/>
              <w:jc w:val="center"/>
              <w:rPr>
                <w:sz w:val="21"/>
                <w:szCs w:val="21"/>
              </w:rPr>
            </w:pPr>
            <w:r>
              <w:rPr>
                <w:sz w:val="21"/>
                <w:szCs w:val="21"/>
              </w:rPr>
              <w:t>丁筱玲</w:t>
            </w:r>
          </w:p>
        </w:tc>
        <w:tc>
          <w:tcPr>
            <w:tcW w:w="489" w:type="dxa"/>
            <w:vAlign w:val="center"/>
          </w:tcPr>
          <w:p>
            <w:pPr>
              <w:spacing w:line="300" w:lineRule="exact"/>
              <w:jc w:val="center"/>
              <w:rPr>
                <w:sz w:val="21"/>
                <w:szCs w:val="21"/>
              </w:rPr>
            </w:pPr>
            <w:r>
              <w:rPr>
                <w:sz w:val="21"/>
                <w:szCs w:val="21"/>
              </w:rPr>
              <w:t>女</w:t>
            </w:r>
          </w:p>
        </w:tc>
        <w:tc>
          <w:tcPr>
            <w:tcW w:w="467" w:type="dxa"/>
            <w:vAlign w:val="center"/>
          </w:tcPr>
          <w:p>
            <w:pPr>
              <w:spacing w:line="300" w:lineRule="exact"/>
              <w:jc w:val="center"/>
              <w:rPr>
                <w:sz w:val="21"/>
                <w:szCs w:val="21"/>
              </w:rPr>
            </w:pPr>
            <w:r>
              <w:rPr>
                <w:sz w:val="21"/>
                <w:szCs w:val="21"/>
              </w:rPr>
              <w:t>56</w:t>
            </w:r>
          </w:p>
        </w:tc>
        <w:tc>
          <w:tcPr>
            <w:tcW w:w="1074" w:type="dxa"/>
            <w:vAlign w:val="center"/>
          </w:tcPr>
          <w:p>
            <w:pPr>
              <w:spacing w:line="300" w:lineRule="exact"/>
              <w:jc w:val="center"/>
              <w:rPr>
                <w:sz w:val="21"/>
                <w:szCs w:val="21"/>
              </w:rPr>
            </w:pPr>
            <w:r>
              <w:rPr>
                <w:sz w:val="21"/>
                <w:szCs w:val="21"/>
              </w:rPr>
              <w:t>教  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博士</w:t>
            </w:r>
          </w:p>
        </w:tc>
        <w:tc>
          <w:tcPr>
            <w:tcW w:w="1590" w:type="dxa"/>
            <w:vAlign w:val="center"/>
          </w:tcPr>
          <w:p>
            <w:pPr>
              <w:spacing w:line="300" w:lineRule="exact"/>
              <w:rPr>
                <w:sz w:val="21"/>
                <w:szCs w:val="21"/>
              </w:rPr>
            </w:pPr>
            <w:r>
              <w:rPr>
                <w:sz w:val="21"/>
                <w:szCs w:val="21"/>
              </w:rPr>
              <w:t>电气工程及其自动化</w:t>
            </w:r>
          </w:p>
        </w:tc>
        <w:tc>
          <w:tcPr>
            <w:tcW w:w="2600" w:type="dxa"/>
            <w:vAlign w:val="center"/>
          </w:tcPr>
          <w:p>
            <w:pPr>
              <w:spacing w:line="300" w:lineRule="exact"/>
              <w:rPr>
                <w:sz w:val="21"/>
                <w:szCs w:val="21"/>
              </w:rPr>
            </w:pPr>
            <w:r>
              <w:rPr>
                <w:sz w:val="21"/>
                <w:szCs w:val="21"/>
              </w:rPr>
              <w:t>电工学、电子学等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3</w:t>
            </w:r>
          </w:p>
        </w:tc>
        <w:tc>
          <w:tcPr>
            <w:tcW w:w="873" w:type="dxa"/>
            <w:vAlign w:val="center"/>
          </w:tcPr>
          <w:p>
            <w:pPr>
              <w:spacing w:line="300" w:lineRule="exact"/>
              <w:jc w:val="center"/>
              <w:rPr>
                <w:sz w:val="21"/>
                <w:szCs w:val="21"/>
              </w:rPr>
            </w:pPr>
            <w:r>
              <w:rPr>
                <w:sz w:val="21"/>
                <w:szCs w:val="21"/>
              </w:rPr>
              <w:t>苏  斐</w:t>
            </w:r>
          </w:p>
        </w:tc>
        <w:tc>
          <w:tcPr>
            <w:tcW w:w="489" w:type="dxa"/>
            <w:vAlign w:val="center"/>
          </w:tcPr>
          <w:p>
            <w:pPr>
              <w:spacing w:line="300" w:lineRule="exact"/>
              <w:jc w:val="center"/>
              <w:rPr>
                <w:sz w:val="21"/>
                <w:szCs w:val="21"/>
              </w:rPr>
            </w:pPr>
            <w:r>
              <w:rPr>
                <w:sz w:val="21"/>
                <w:szCs w:val="21"/>
              </w:rPr>
              <w:t>女</w:t>
            </w:r>
          </w:p>
        </w:tc>
        <w:tc>
          <w:tcPr>
            <w:tcW w:w="467" w:type="dxa"/>
            <w:vAlign w:val="center"/>
          </w:tcPr>
          <w:p>
            <w:pPr>
              <w:spacing w:line="300" w:lineRule="exact"/>
              <w:jc w:val="center"/>
              <w:rPr>
                <w:sz w:val="21"/>
                <w:szCs w:val="21"/>
              </w:rPr>
            </w:pPr>
            <w:r>
              <w:rPr>
                <w:sz w:val="21"/>
                <w:szCs w:val="21"/>
              </w:rPr>
              <w:t>31</w:t>
            </w:r>
          </w:p>
        </w:tc>
        <w:tc>
          <w:tcPr>
            <w:tcW w:w="1074" w:type="dxa"/>
            <w:vAlign w:val="center"/>
          </w:tcPr>
          <w:p>
            <w:pPr>
              <w:spacing w:line="300" w:lineRule="exact"/>
              <w:jc w:val="center"/>
              <w:rPr>
                <w:sz w:val="21"/>
                <w:szCs w:val="21"/>
              </w:rPr>
            </w:pPr>
            <w:r>
              <w:rPr>
                <w:sz w:val="21"/>
                <w:szCs w:val="21"/>
              </w:rPr>
              <w:t>教  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博士</w:t>
            </w:r>
          </w:p>
        </w:tc>
        <w:tc>
          <w:tcPr>
            <w:tcW w:w="1590" w:type="dxa"/>
            <w:vAlign w:val="center"/>
          </w:tcPr>
          <w:p>
            <w:pPr>
              <w:spacing w:line="300" w:lineRule="exact"/>
              <w:rPr>
                <w:sz w:val="21"/>
                <w:szCs w:val="21"/>
              </w:rPr>
            </w:pPr>
            <w:r>
              <w:rPr>
                <w:sz w:val="21"/>
                <w:szCs w:val="21"/>
              </w:rPr>
              <w:t>自动化</w:t>
            </w:r>
          </w:p>
        </w:tc>
        <w:tc>
          <w:tcPr>
            <w:tcW w:w="2600" w:type="dxa"/>
            <w:vAlign w:val="center"/>
          </w:tcPr>
          <w:p>
            <w:pPr>
              <w:spacing w:line="300" w:lineRule="exact"/>
              <w:rPr>
                <w:sz w:val="21"/>
                <w:szCs w:val="21"/>
              </w:rPr>
            </w:pPr>
            <w:r>
              <w:rPr>
                <w:sz w:val="21"/>
                <w:szCs w:val="21"/>
              </w:rPr>
              <w:t>控制理论、电子学等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4</w:t>
            </w:r>
          </w:p>
        </w:tc>
        <w:tc>
          <w:tcPr>
            <w:tcW w:w="873" w:type="dxa"/>
            <w:vAlign w:val="center"/>
          </w:tcPr>
          <w:p>
            <w:pPr>
              <w:spacing w:line="300" w:lineRule="exact"/>
              <w:jc w:val="center"/>
              <w:rPr>
                <w:sz w:val="21"/>
                <w:szCs w:val="21"/>
              </w:rPr>
            </w:pPr>
            <w:r>
              <w:rPr>
                <w:sz w:val="21"/>
                <w:szCs w:val="21"/>
              </w:rPr>
              <w:t>刘  平</w:t>
            </w:r>
          </w:p>
        </w:tc>
        <w:tc>
          <w:tcPr>
            <w:tcW w:w="489" w:type="dxa"/>
            <w:vAlign w:val="center"/>
          </w:tcPr>
          <w:p>
            <w:pPr>
              <w:spacing w:line="300" w:lineRule="exact"/>
              <w:jc w:val="center"/>
              <w:rPr>
                <w:sz w:val="21"/>
                <w:szCs w:val="21"/>
              </w:rPr>
            </w:pPr>
            <w:r>
              <w:rPr>
                <w:sz w:val="21"/>
                <w:szCs w:val="21"/>
              </w:rPr>
              <w:t>女</w:t>
            </w:r>
          </w:p>
        </w:tc>
        <w:tc>
          <w:tcPr>
            <w:tcW w:w="467" w:type="dxa"/>
            <w:vAlign w:val="center"/>
          </w:tcPr>
          <w:p>
            <w:pPr>
              <w:spacing w:line="300" w:lineRule="exact"/>
              <w:jc w:val="center"/>
              <w:rPr>
                <w:sz w:val="21"/>
                <w:szCs w:val="21"/>
              </w:rPr>
            </w:pPr>
            <w:r>
              <w:rPr>
                <w:sz w:val="21"/>
                <w:szCs w:val="21"/>
              </w:rPr>
              <w:t>36</w:t>
            </w:r>
          </w:p>
        </w:tc>
        <w:tc>
          <w:tcPr>
            <w:tcW w:w="1074" w:type="dxa"/>
            <w:vAlign w:val="center"/>
          </w:tcPr>
          <w:p>
            <w:pPr>
              <w:spacing w:line="300" w:lineRule="exact"/>
              <w:jc w:val="center"/>
              <w:rPr>
                <w:sz w:val="21"/>
                <w:szCs w:val="21"/>
              </w:rPr>
            </w:pPr>
            <w:r>
              <w:rPr>
                <w:sz w:val="21"/>
                <w:szCs w:val="21"/>
              </w:rPr>
              <w:t>教  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博士</w:t>
            </w:r>
          </w:p>
        </w:tc>
        <w:tc>
          <w:tcPr>
            <w:tcW w:w="1590" w:type="dxa"/>
            <w:vAlign w:val="center"/>
          </w:tcPr>
          <w:p>
            <w:pPr>
              <w:spacing w:line="300" w:lineRule="exact"/>
              <w:rPr>
                <w:sz w:val="21"/>
                <w:szCs w:val="21"/>
              </w:rPr>
            </w:pPr>
            <w:r>
              <w:rPr>
                <w:sz w:val="21"/>
                <w:szCs w:val="21"/>
              </w:rPr>
              <w:t>控制理论与控制工程</w:t>
            </w:r>
          </w:p>
        </w:tc>
        <w:tc>
          <w:tcPr>
            <w:tcW w:w="2600" w:type="dxa"/>
            <w:vAlign w:val="center"/>
          </w:tcPr>
          <w:p>
            <w:pPr>
              <w:spacing w:line="300" w:lineRule="exact"/>
              <w:rPr>
                <w:sz w:val="21"/>
                <w:szCs w:val="21"/>
              </w:rPr>
            </w:pPr>
            <w:r>
              <w:rPr>
                <w:sz w:val="21"/>
                <w:szCs w:val="21"/>
              </w:rPr>
              <w:t>控制理论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5</w:t>
            </w:r>
          </w:p>
        </w:tc>
        <w:tc>
          <w:tcPr>
            <w:tcW w:w="873" w:type="dxa"/>
            <w:vAlign w:val="center"/>
          </w:tcPr>
          <w:p>
            <w:pPr>
              <w:spacing w:line="300" w:lineRule="exact"/>
              <w:jc w:val="center"/>
              <w:rPr>
                <w:sz w:val="21"/>
                <w:szCs w:val="21"/>
              </w:rPr>
            </w:pPr>
            <w:r>
              <w:rPr>
                <w:sz w:val="21"/>
                <w:szCs w:val="21"/>
              </w:rPr>
              <w:t>闫银发</w:t>
            </w:r>
          </w:p>
        </w:tc>
        <w:tc>
          <w:tcPr>
            <w:tcW w:w="489" w:type="dxa"/>
            <w:vAlign w:val="center"/>
          </w:tcPr>
          <w:p>
            <w:pPr>
              <w:spacing w:line="300" w:lineRule="exact"/>
              <w:jc w:val="center"/>
              <w:rPr>
                <w:sz w:val="21"/>
                <w:szCs w:val="21"/>
              </w:rPr>
            </w:pPr>
            <w:r>
              <w:rPr>
                <w:sz w:val="21"/>
                <w:szCs w:val="21"/>
              </w:rPr>
              <w:t>男</w:t>
            </w:r>
          </w:p>
        </w:tc>
        <w:tc>
          <w:tcPr>
            <w:tcW w:w="467" w:type="dxa"/>
            <w:vAlign w:val="center"/>
          </w:tcPr>
          <w:p>
            <w:pPr>
              <w:spacing w:line="300" w:lineRule="exact"/>
              <w:jc w:val="center"/>
              <w:rPr>
                <w:sz w:val="21"/>
                <w:szCs w:val="21"/>
              </w:rPr>
            </w:pPr>
            <w:r>
              <w:rPr>
                <w:sz w:val="21"/>
                <w:szCs w:val="21"/>
              </w:rPr>
              <w:t>45</w:t>
            </w:r>
          </w:p>
        </w:tc>
        <w:tc>
          <w:tcPr>
            <w:tcW w:w="1074" w:type="dxa"/>
            <w:vAlign w:val="center"/>
          </w:tcPr>
          <w:p>
            <w:pPr>
              <w:spacing w:line="300" w:lineRule="exact"/>
              <w:jc w:val="center"/>
              <w:rPr>
                <w:sz w:val="21"/>
                <w:szCs w:val="21"/>
              </w:rPr>
            </w:pPr>
            <w:r>
              <w:rPr>
                <w:sz w:val="21"/>
                <w:szCs w:val="21"/>
              </w:rPr>
              <w:t>教  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博士</w:t>
            </w:r>
          </w:p>
        </w:tc>
        <w:tc>
          <w:tcPr>
            <w:tcW w:w="1590" w:type="dxa"/>
            <w:vAlign w:val="center"/>
          </w:tcPr>
          <w:p>
            <w:pPr>
              <w:spacing w:line="300" w:lineRule="exact"/>
              <w:rPr>
                <w:sz w:val="21"/>
                <w:szCs w:val="21"/>
              </w:rPr>
            </w:pPr>
            <w:r>
              <w:rPr>
                <w:sz w:val="21"/>
                <w:szCs w:val="21"/>
              </w:rPr>
              <w:t>控制理论与控制工程</w:t>
            </w:r>
          </w:p>
        </w:tc>
        <w:tc>
          <w:tcPr>
            <w:tcW w:w="2600" w:type="dxa"/>
            <w:vAlign w:val="center"/>
          </w:tcPr>
          <w:p>
            <w:pPr>
              <w:spacing w:line="300" w:lineRule="exact"/>
              <w:rPr>
                <w:sz w:val="21"/>
                <w:szCs w:val="21"/>
              </w:rPr>
            </w:pPr>
            <w:r>
              <w:rPr>
                <w:sz w:val="21"/>
                <w:szCs w:val="21"/>
              </w:rPr>
              <w:t>虚拟仪器及其程序设计、机械工程测试技术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6</w:t>
            </w:r>
          </w:p>
        </w:tc>
        <w:tc>
          <w:tcPr>
            <w:tcW w:w="873" w:type="dxa"/>
            <w:vAlign w:val="center"/>
          </w:tcPr>
          <w:p>
            <w:pPr>
              <w:spacing w:line="300" w:lineRule="exact"/>
              <w:jc w:val="center"/>
              <w:rPr>
                <w:sz w:val="21"/>
                <w:szCs w:val="21"/>
              </w:rPr>
            </w:pPr>
            <w:r>
              <w:rPr>
                <w:sz w:val="21"/>
                <w:szCs w:val="21"/>
              </w:rPr>
              <w:t>赵法起</w:t>
            </w:r>
          </w:p>
        </w:tc>
        <w:tc>
          <w:tcPr>
            <w:tcW w:w="489" w:type="dxa"/>
            <w:vAlign w:val="center"/>
          </w:tcPr>
          <w:p>
            <w:pPr>
              <w:spacing w:line="300" w:lineRule="exact"/>
              <w:jc w:val="center"/>
              <w:rPr>
                <w:sz w:val="21"/>
                <w:szCs w:val="21"/>
              </w:rPr>
            </w:pPr>
            <w:r>
              <w:rPr>
                <w:sz w:val="21"/>
                <w:szCs w:val="21"/>
              </w:rPr>
              <w:t>男</w:t>
            </w:r>
          </w:p>
        </w:tc>
        <w:tc>
          <w:tcPr>
            <w:tcW w:w="467" w:type="dxa"/>
            <w:vAlign w:val="center"/>
          </w:tcPr>
          <w:p>
            <w:pPr>
              <w:spacing w:line="300" w:lineRule="exact"/>
              <w:jc w:val="center"/>
              <w:rPr>
                <w:sz w:val="21"/>
                <w:szCs w:val="21"/>
              </w:rPr>
            </w:pPr>
            <w:r>
              <w:rPr>
                <w:sz w:val="21"/>
                <w:szCs w:val="21"/>
              </w:rPr>
              <w:t>56</w:t>
            </w:r>
          </w:p>
        </w:tc>
        <w:tc>
          <w:tcPr>
            <w:tcW w:w="1074" w:type="dxa"/>
            <w:vAlign w:val="center"/>
          </w:tcPr>
          <w:p>
            <w:pPr>
              <w:spacing w:line="300" w:lineRule="exact"/>
              <w:jc w:val="center"/>
              <w:rPr>
                <w:sz w:val="21"/>
                <w:szCs w:val="21"/>
              </w:rPr>
            </w:pPr>
            <w:r>
              <w:rPr>
                <w:sz w:val="21"/>
                <w:szCs w:val="21"/>
              </w:rPr>
              <w:t>副教授</w:t>
            </w:r>
          </w:p>
        </w:tc>
        <w:tc>
          <w:tcPr>
            <w:tcW w:w="870" w:type="dxa"/>
            <w:vAlign w:val="center"/>
          </w:tcPr>
          <w:p>
            <w:pPr>
              <w:spacing w:line="300" w:lineRule="exact"/>
              <w:ind w:left="-120" w:leftChars="-50" w:right="-120" w:rightChars="-50"/>
              <w:jc w:val="center"/>
              <w:rPr>
                <w:sz w:val="21"/>
                <w:szCs w:val="21"/>
              </w:rPr>
            </w:pPr>
            <w:r>
              <w:rPr>
                <w:sz w:val="21"/>
                <w:szCs w:val="21"/>
              </w:rPr>
              <w:t>本  科</w:t>
            </w:r>
          </w:p>
        </w:tc>
        <w:tc>
          <w:tcPr>
            <w:tcW w:w="660" w:type="dxa"/>
            <w:vAlign w:val="center"/>
          </w:tcPr>
          <w:p>
            <w:pPr>
              <w:spacing w:line="300" w:lineRule="exact"/>
              <w:jc w:val="center"/>
              <w:rPr>
                <w:sz w:val="21"/>
                <w:szCs w:val="21"/>
              </w:rPr>
            </w:pPr>
            <w:r>
              <w:rPr>
                <w:sz w:val="21"/>
                <w:szCs w:val="21"/>
              </w:rPr>
              <w:t>学士</w:t>
            </w:r>
          </w:p>
        </w:tc>
        <w:tc>
          <w:tcPr>
            <w:tcW w:w="1590" w:type="dxa"/>
            <w:vAlign w:val="center"/>
          </w:tcPr>
          <w:p>
            <w:pPr>
              <w:spacing w:line="300" w:lineRule="exact"/>
              <w:rPr>
                <w:sz w:val="21"/>
                <w:szCs w:val="21"/>
              </w:rPr>
            </w:pPr>
            <w:r>
              <w:rPr>
                <w:sz w:val="21"/>
                <w:szCs w:val="21"/>
              </w:rPr>
              <w:t>电气工程及其自动化</w:t>
            </w:r>
          </w:p>
        </w:tc>
        <w:tc>
          <w:tcPr>
            <w:tcW w:w="2600" w:type="dxa"/>
            <w:vAlign w:val="center"/>
          </w:tcPr>
          <w:p>
            <w:pPr>
              <w:spacing w:line="300" w:lineRule="exact"/>
              <w:rPr>
                <w:sz w:val="21"/>
                <w:szCs w:val="21"/>
              </w:rPr>
            </w:pPr>
            <w:r>
              <w:rPr>
                <w:sz w:val="21"/>
                <w:szCs w:val="21"/>
              </w:rPr>
              <w:t>电力工程、高电压技术、弱电工程等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7</w:t>
            </w:r>
          </w:p>
        </w:tc>
        <w:tc>
          <w:tcPr>
            <w:tcW w:w="873" w:type="dxa"/>
            <w:vAlign w:val="center"/>
          </w:tcPr>
          <w:p>
            <w:pPr>
              <w:spacing w:line="300" w:lineRule="exact"/>
              <w:jc w:val="center"/>
              <w:rPr>
                <w:sz w:val="21"/>
                <w:szCs w:val="21"/>
              </w:rPr>
            </w:pPr>
            <w:r>
              <w:rPr>
                <w:sz w:val="21"/>
                <w:szCs w:val="21"/>
              </w:rPr>
              <w:t>郗忠梅</w:t>
            </w:r>
          </w:p>
        </w:tc>
        <w:tc>
          <w:tcPr>
            <w:tcW w:w="489" w:type="dxa"/>
            <w:vAlign w:val="center"/>
          </w:tcPr>
          <w:p>
            <w:pPr>
              <w:spacing w:line="300" w:lineRule="exact"/>
              <w:jc w:val="center"/>
              <w:rPr>
                <w:sz w:val="21"/>
                <w:szCs w:val="21"/>
              </w:rPr>
            </w:pPr>
            <w:r>
              <w:rPr>
                <w:sz w:val="21"/>
                <w:szCs w:val="21"/>
              </w:rPr>
              <w:t>女</w:t>
            </w:r>
          </w:p>
        </w:tc>
        <w:tc>
          <w:tcPr>
            <w:tcW w:w="467" w:type="dxa"/>
            <w:vAlign w:val="center"/>
          </w:tcPr>
          <w:p>
            <w:pPr>
              <w:spacing w:line="300" w:lineRule="exact"/>
              <w:jc w:val="center"/>
              <w:rPr>
                <w:sz w:val="21"/>
                <w:szCs w:val="21"/>
              </w:rPr>
            </w:pPr>
            <w:r>
              <w:rPr>
                <w:sz w:val="21"/>
                <w:szCs w:val="21"/>
              </w:rPr>
              <w:t>48</w:t>
            </w:r>
          </w:p>
        </w:tc>
        <w:tc>
          <w:tcPr>
            <w:tcW w:w="1074" w:type="dxa"/>
            <w:vAlign w:val="center"/>
          </w:tcPr>
          <w:p>
            <w:pPr>
              <w:spacing w:line="300" w:lineRule="exact"/>
              <w:jc w:val="center"/>
              <w:rPr>
                <w:sz w:val="21"/>
                <w:szCs w:val="21"/>
              </w:rPr>
            </w:pPr>
            <w:r>
              <w:rPr>
                <w:sz w:val="21"/>
                <w:szCs w:val="21"/>
              </w:rPr>
              <w:t>副教授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博士</w:t>
            </w:r>
          </w:p>
        </w:tc>
        <w:tc>
          <w:tcPr>
            <w:tcW w:w="1590" w:type="dxa"/>
            <w:vAlign w:val="center"/>
          </w:tcPr>
          <w:p>
            <w:pPr>
              <w:spacing w:line="300" w:lineRule="exact"/>
              <w:rPr>
                <w:sz w:val="21"/>
                <w:szCs w:val="21"/>
              </w:rPr>
            </w:pPr>
            <w:r>
              <w:rPr>
                <w:sz w:val="21"/>
                <w:szCs w:val="21"/>
              </w:rPr>
              <w:t>电气工程及其自动化</w:t>
            </w:r>
          </w:p>
        </w:tc>
        <w:tc>
          <w:tcPr>
            <w:tcW w:w="2600" w:type="dxa"/>
            <w:vAlign w:val="center"/>
          </w:tcPr>
          <w:p>
            <w:pPr>
              <w:spacing w:line="300" w:lineRule="exact"/>
              <w:rPr>
                <w:sz w:val="21"/>
                <w:szCs w:val="21"/>
              </w:rPr>
            </w:pPr>
            <w:r>
              <w:rPr>
                <w:sz w:val="21"/>
                <w:szCs w:val="21"/>
              </w:rPr>
              <w:t>电力系统分析、电机与拖动、继电保护等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8</w:t>
            </w:r>
          </w:p>
        </w:tc>
        <w:tc>
          <w:tcPr>
            <w:tcW w:w="873" w:type="dxa"/>
            <w:vAlign w:val="center"/>
          </w:tcPr>
          <w:p>
            <w:pPr>
              <w:spacing w:line="300" w:lineRule="exact"/>
              <w:jc w:val="center"/>
              <w:rPr>
                <w:sz w:val="21"/>
                <w:szCs w:val="21"/>
              </w:rPr>
            </w:pPr>
            <w:r>
              <w:rPr>
                <w:sz w:val="21"/>
                <w:szCs w:val="21"/>
              </w:rPr>
              <w:t>刘双喜</w:t>
            </w:r>
          </w:p>
        </w:tc>
        <w:tc>
          <w:tcPr>
            <w:tcW w:w="489" w:type="dxa"/>
            <w:vAlign w:val="center"/>
          </w:tcPr>
          <w:p>
            <w:pPr>
              <w:spacing w:line="300" w:lineRule="exact"/>
              <w:jc w:val="center"/>
              <w:rPr>
                <w:sz w:val="21"/>
                <w:szCs w:val="21"/>
              </w:rPr>
            </w:pPr>
            <w:r>
              <w:rPr>
                <w:sz w:val="21"/>
                <w:szCs w:val="21"/>
              </w:rPr>
              <w:t>男</w:t>
            </w:r>
          </w:p>
        </w:tc>
        <w:tc>
          <w:tcPr>
            <w:tcW w:w="467" w:type="dxa"/>
            <w:vAlign w:val="center"/>
          </w:tcPr>
          <w:p>
            <w:pPr>
              <w:spacing w:line="300" w:lineRule="exact"/>
              <w:jc w:val="center"/>
              <w:rPr>
                <w:sz w:val="21"/>
                <w:szCs w:val="21"/>
              </w:rPr>
            </w:pPr>
            <w:r>
              <w:rPr>
                <w:sz w:val="21"/>
                <w:szCs w:val="21"/>
              </w:rPr>
              <w:t>43</w:t>
            </w:r>
          </w:p>
        </w:tc>
        <w:tc>
          <w:tcPr>
            <w:tcW w:w="1074" w:type="dxa"/>
            <w:vAlign w:val="center"/>
          </w:tcPr>
          <w:p>
            <w:pPr>
              <w:spacing w:line="300" w:lineRule="exact"/>
              <w:jc w:val="center"/>
              <w:rPr>
                <w:sz w:val="21"/>
                <w:szCs w:val="21"/>
              </w:rPr>
            </w:pPr>
            <w:r>
              <w:rPr>
                <w:sz w:val="21"/>
                <w:szCs w:val="21"/>
              </w:rPr>
              <w:t>副教授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博士</w:t>
            </w:r>
          </w:p>
        </w:tc>
        <w:tc>
          <w:tcPr>
            <w:tcW w:w="1590" w:type="dxa"/>
            <w:vAlign w:val="center"/>
          </w:tcPr>
          <w:p>
            <w:pPr>
              <w:spacing w:line="300" w:lineRule="exact"/>
              <w:rPr>
                <w:sz w:val="21"/>
                <w:szCs w:val="21"/>
              </w:rPr>
            </w:pPr>
            <w:r>
              <w:rPr>
                <w:sz w:val="21"/>
                <w:szCs w:val="21"/>
              </w:rPr>
              <w:t>电气工程及其自动化</w:t>
            </w:r>
          </w:p>
        </w:tc>
        <w:tc>
          <w:tcPr>
            <w:tcW w:w="2600" w:type="dxa"/>
            <w:vAlign w:val="center"/>
          </w:tcPr>
          <w:p>
            <w:pPr>
              <w:spacing w:line="300" w:lineRule="exact"/>
              <w:rPr>
                <w:sz w:val="21"/>
                <w:szCs w:val="21"/>
              </w:rPr>
            </w:pPr>
            <w:r>
              <w:rPr>
                <w:sz w:val="21"/>
                <w:szCs w:val="21"/>
              </w:rPr>
              <w:t>电磁场、电气测量、在线监测等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451" w:type="dxa"/>
            <w:vAlign w:val="center"/>
          </w:tcPr>
          <w:p>
            <w:pPr>
              <w:spacing w:line="300" w:lineRule="exact"/>
              <w:jc w:val="center"/>
              <w:rPr>
                <w:sz w:val="21"/>
                <w:szCs w:val="21"/>
              </w:rPr>
            </w:pPr>
            <w:r>
              <w:rPr>
                <w:sz w:val="21"/>
                <w:szCs w:val="21"/>
              </w:rPr>
              <w:t>9</w:t>
            </w:r>
          </w:p>
        </w:tc>
        <w:tc>
          <w:tcPr>
            <w:tcW w:w="873" w:type="dxa"/>
            <w:vAlign w:val="center"/>
          </w:tcPr>
          <w:p>
            <w:pPr>
              <w:spacing w:line="300" w:lineRule="exact"/>
              <w:jc w:val="center"/>
              <w:rPr>
                <w:sz w:val="21"/>
                <w:szCs w:val="21"/>
              </w:rPr>
            </w:pPr>
            <w:r>
              <w:rPr>
                <w:sz w:val="21"/>
                <w:szCs w:val="21"/>
              </w:rPr>
              <w:t>王冉冉</w:t>
            </w:r>
          </w:p>
        </w:tc>
        <w:tc>
          <w:tcPr>
            <w:tcW w:w="489" w:type="dxa"/>
            <w:vAlign w:val="center"/>
          </w:tcPr>
          <w:p>
            <w:pPr>
              <w:spacing w:line="300" w:lineRule="exact"/>
              <w:jc w:val="center"/>
              <w:rPr>
                <w:sz w:val="21"/>
                <w:szCs w:val="21"/>
              </w:rPr>
            </w:pPr>
            <w:r>
              <w:rPr>
                <w:sz w:val="21"/>
                <w:szCs w:val="21"/>
              </w:rPr>
              <w:t>男</w:t>
            </w:r>
          </w:p>
        </w:tc>
        <w:tc>
          <w:tcPr>
            <w:tcW w:w="467" w:type="dxa"/>
            <w:vAlign w:val="center"/>
          </w:tcPr>
          <w:p>
            <w:pPr>
              <w:spacing w:line="300" w:lineRule="exact"/>
              <w:jc w:val="center"/>
              <w:rPr>
                <w:sz w:val="21"/>
                <w:szCs w:val="21"/>
              </w:rPr>
            </w:pPr>
            <w:r>
              <w:rPr>
                <w:sz w:val="21"/>
                <w:szCs w:val="21"/>
              </w:rPr>
              <w:t>42</w:t>
            </w:r>
          </w:p>
        </w:tc>
        <w:tc>
          <w:tcPr>
            <w:tcW w:w="1074" w:type="dxa"/>
            <w:vAlign w:val="center"/>
          </w:tcPr>
          <w:p>
            <w:pPr>
              <w:spacing w:line="300" w:lineRule="exact"/>
              <w:jc w:val="center"/>
              <w:rPr>
                <w:sz w:val="21"/>
                <w:szCs w:val="21"/>
              </w:rPr>
            </w:pPr>
            <w:r>
              <w:rPr>
                <w:sz w:val="21"/>
                <w:szCs w:val="21"/>
              </w:rPr>
              <w:t>副教授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博士</w:t>
            </w:r>
          </w:p>
        </w:tc>
        <w:tc>
          <w:tcPr>
            <w:tcW w:w="1590" w:type="dxa"/>
            <w:vAlign w:val="center"/>
          </w:tcPr>
          <w:p>
            <w:pPr>
              <w:spacing w:line="300" w:lineRule="exact"/>
              <w:rPr>
                <w:sz w:val="21"/>
                <w:szCs w:val="21"/>
              </w:rPr>
            </w:pPr>
            <w:r>
              <w:rPr>
                <w:sz w:val="21"/>
                <w:szCs w:val="21"/>
              </w:rPr>
              <w:t>电气工程及其自动化</w:t>
            </w:r>
          </w:p>
        </w:tc>
        <w:tc>
          <w:tcPr>
            <w:tcW w:w="2600" w:type="dxa"/>
            <w:vAlign w:val="center"/>
          </w:tcPr>
          <w:p>
            <w:pPr>
              <w:spacing w:line="300" w:lineRule="exact"/>
              <w:rPr>
                <w:sz w:val="21"/>
                <w:szCs w:val="21"/>
              </w:rPr>
            </w:pPr>
            <w:r>
              <w:rPr>
                <w:sz w:val="21"/>
                <w:szCs w:val="21"/>
              </w:rPr>
              <w:t>可编程控制器及其应用、单片机原理与应用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10</w:t>
            </w:r>
          </w:p>
        </w:tc>
        <w:tc>
          <w:tcPr>
            <w:tcW w:w="873" w:type="dxa"/>
            <w:vAlign w:val="center"/>
          </w:tcPr>
          <w:p>
            <w:pPr>
              <w:spacing w:line="300" w:lineRule="exact"/>
              <w:jc w:val="center"/>
              <w:rPr>
                <w:sz w:val="21"/>
                <w:szCs w:val="21"/>
              </w:rPr>
            </w:pPr>
            <w:r>
              <w:rPr>
                <w:sz w:val="21"/>
                <w:szCs w:val="21"/>
              </w:rPr>
              <w:t>张传洋</w:t>
            </w:r>
          </w:p>
        </w:tc>
        <w:tc>
          <w:tcPr>
            <w:tcW w:w="489" w:type="dxa"/>
            <w:vAlign w:val="center"/>
          </w:tcPr>
          <w:p>
            <w:pPr>
              <w:spacing w:line="300" w:lineRule="exact"/>
              <w:jc w:val="center"/>
              <w:rPr>
                <w:sz w:val="21"/>
                <w:szCs w:val="21"/>
              </w:rPr>
            </w:pPr>
            <w:r>
              <w:rPr>
                <w:sz w:val="21"/>
                <w:szCs w:val="21"/>
              </w:rPr>
              <w:t>男</w:t>
            </w:r>
          </w:p>
        </w:tc>
        <w:tc>
          <w:tcPr>
            <w:tcW w:w="467" w:type="dxa"/>
            <w:vAlign w:val="center"/>
          </w:tcPr>
          <w:p>
            <w:pPr>
              <w:spacing w:line="300" w:lineRule="exact"/>
              <w:jc w:val="center"/>
              <w:rPr>
                <w:sz w:val="21"/>
                <w:szCs w:val="21"/>
              </w:rPr>
            </w:pPr>
            <w:r>
              <w:rPr>
                <w:sz w:val="21"/>
                <w:szCs w:val="21"/>
              </w:rPr>
              <w:t>54</w:t>
            </w:r>
          </w:p>
        </w:tc>
        <w:tc>
          <w:tcPr>
            <w:tcW w:w="1074" w:type="dxa"/>
            <w:vAlign w:val="center"/>
          </w:tcPr>
          <w:p>
            <w:pPr>
              <w:spacing w:line="300" w:lineRule="exact"/>
              <w:jc w:val="center"/>
              <w:rPr>
                <w:sz w:val="21"/>
                <w:szCs w:val="21"/>
              </w:rPr>
            </w:pPr>
            <w:r>
              <w:rPr>
                <w:sz w:val="21"/>
                <w:szCs w:val="21"/>
              </w:rPr>
              <w:t>副教授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硕士</w:t>
            </w:r>
          </w:p>
        </w:tc>
        <w:tc>
          <w:tcPr>
            <w:tcW w:w="1590" w:type="dxa"/>
            <w:vAlign w:val="center"/>
          </w:tcPr>
          <w:p>
            <w:pPr>
              <w:spacing w:line="300" w:lineRule="exact"/>
              <w:rPr>
                <w:sz w:val="21"/>
                <w:szCs w:val="21"/>
              </w:rPr>
            </w:pPr>
            <w:r>
              <w:rPr>
                <w:sz w:val="21"/>
                <w:szCs w:val="21"/>
              </w:rPr>
              <w:t>电气控制</w:t>
            </w:r>
          </w:p>
        </w:tc>
        <w:tc>
          <w:tcPr>
            <w:tcW w:w="2600" w:type="dxa"/>
            <w:vAlign w:val="center"/>
          </w:tcPr>
          <w:p>
            <w:pPr>
              <w:spacing w:line="300" w:lineRule="exact"/>
              <w:rPr>
                <w:sz w:val="21"/>
                <w:szCs w:val="21"/>
              </w:rPr>
            </w:pPr>
            <w:r>
              <w:rPr>
                <w:sz w:val="21"/>
                <w:szCs w:val="21"/>
              </w:rPr>
              <w:t>电子技术、控制理论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11</w:t>
            </w:r>
          </w:p>
        </w:tc>
        <w:tc>
          <w:tcPr>
            <w:tcW w:w="873" w:type="dxa"/>
            <w:vAlign w:val="center"/>
          </w:tcPr>
          <w:p>
            <w:pPr>
              <w:spacing w:line="300" w:lineRule="exact"/>
              <w:jc w:val="center"/>
              <w:rPr>
                <w:sz w:val="21"/>
                <w:szCs w:val="21"/>
              </w:rPr>
            </w:pPr>
            <w:r>
              <w:rPr>
                <w:sz w:val="21"/>
                <w:szCs w:val="21"/>
              </w:rPr>
              <w:t>李天华</w:t>
            </w:r>
          </w:p>
        </w:tc>
        <w:tc>
          <w:tcPr>
            <w:tcW w:w="489" w:type="dxa"/>
            <w:vAlign w:val="center"/>
          </w:tcPr>
          <w:p>
            <w:pPr>
              <w:spacing w:line="300" w:lineRule="exact"/>
              <w:jc w:val="center"/>
              <w:rPr>
                <w:sz w:val="21"/>
                <w:szCs w:val="21"/>
              </w:rPr>
            </w:pPr>
            <w:r>
              <w:rPr>
                <w:sz w:val="21"/>
                <w:szCs w:val="21"/>
              </w:rPr>
              <w:t>男</w:t>
            </w:r>
          </w:p>
        </w:tc>
        <w:tc>
          <w:tcPr>
            <w:tcW w:w="467" w:type="dxa"/>
            <w:vAlign w:val="center"/>
          </w:tcPr>
          <w:p>
            <w:pPr>
              <w:spacing w:line="300" w:lineRule="exact"/>
              <w:jc w:val="center"/>
              <w:rPr>
                <w:sz w:val="21"/>
                <w:szCs w:val="21"/>
              </w:rPr>
            </w:pPr>
            <w:r>
              <w:rPr>
                <w:sz w:val="21"/>
                <w:szCs w:val="21"/>
              </w:rPr>
              <w:t>44</w:t>
            </w:r>
          </w:p>
        </w:tc>
        <w:tc>
          <w:tcPr>
            <w:tcW w:w="1074" w:type="dxa"/>
            <w:vAlign w:val="center"/>
          </w:tcPr>
          <w:p>
            <w:pPr>
              <w:spacing w:line="300" w:lineRule="exact"/>
              <w:jc w:val="center"/>
              <w:rPr>
                <w:sz w:val="21"/>
                <w:szCs w:val="21"/>
              </w:rPr>
            </w:pPr>
            <w:r>
              <w:rPr>
                <w:sz w:val="21"/>
                <w:szCs w:val="21"/>
              </w:rPr>
              <w:t>教授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博士</w:t>
            </w:r>
          </w:p>
        </w:tc>
        <w:tc>
          <w:tcPr>
            <w:tcW w:w="1590" w:type="dxa"/>
            <w:vAlign w:val="center"/>
          </w:tcPr>
          <w:p>
            <w:pPr>
              <w:spacing w:line="300" w:lineRule="exact"/>
              <w:rPr>
                <w:sz w:val="21"/>
                <w:szCs w:val="21"/>
              </w:rPr>
            </w:pPr>
            <w:r>
              <w:rPr>
                <w:sz w:val="21"/>
                <w:szCs w:val="21"/>
              </w:rPr>
              <w:t>电气控制</w:t>
            </w:r>
          </w:p>
        </w:tc>
        <w:tc>
          <w:tcPr>
            <w:tcW w:w="2600" w:type="dxa"/>
            <w:vAlign w:val="center"/>
          </w:tcPr>
          <w:p>
            <w:pPr>
              <w:spacing w:line="300" w:lineRule="exact"/>
              <w:rPr>
                <w:sz w:val="21"/>
                <w:szCs w:val="21"/>
              </w:rPr>
            </w:pPr>
            <w:r>
              <w:rPr>
                <w:sz w:val="21"/>
                <w:szCs w:val="21"/>
              </w:rPr>
              <w:t>电子学、单片机原理与应用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12</w:t>
            </w:r>
          </w:p>
        </w:tc>
        <w:tc>
          <w:tcPr>
            <w:tcW w:w="873" w:type="dxa"/>
            <w:vAlign w:val="center"/>
          </w:tcPr>
          <w:p>
            <w:pPr>
              <w:spacing w:line="300" w:lineRule="exact"/>
              <w:jc w:val="center"/>
              <w:rPr>
                <w:sz w:val="21"/>
                <w:szCs w:val="21"/>
              </w:rPr>
            </w:pPr>
            <w:r>
              <w:rPr>
                <w:sz w:val="21"/>
                <w:szCs w:val="21"/>
              </w:rPr>
              <w:t>娄  伟</w:t>
            </w:r>
          </w:p>
        </w:tc>
        <w:tc>
          <w:tcPr>
            <w:tcW w:w="489" w:type="dxa"/>
            <w:vAlign w:val="center"/>
          </w:tcPr>
          <w:p>
            <w:pPr>
              <w:spacing w:line="300" w:lineRule="exact"/>
              <w:jc w:val="center"/>
              <w:rPr>
                <w:sz w:val="21"/>
                <w:szCs w:val="21"/>
              </w:rPr>
            </w:pPr>
            <w:r>
              <w:rPr>
                <w:sz w:val="21"/>
                <w:szCs w:val="21"/>
              </w:rPr>
              <w:t>男</w:t>
            </w:r>
          </w:p>
        </w:tc>
        <w:tc>
          <w:tcPr>
            <w:tcW w:w="467" w:type="dxa"/>
            <w:vAlign w:val="center"/>
          </w:tcPr>
          <w:p>
            <w:pPr>
              <w:spacing w:line="300" w:lineRule="exact"/>
              <w:jc w:val="center"/>
              <w:rPr>
                <w:sz w:val="21"/>
                <w:szCs w:val="21"/>
              </w:rPr>
            </w:pPr>
            <w:r>
              <w:rPr>
                <w:sz w:val="21"/>
                <w:szCs w:val="21"/>
              </w:rPr>
              <w:t>47</w:t>
            </w:r>
          </w:p>
        </w:tc>
        <w:tc>
          <w:tcPr>
            <w:tcW w:w="1074" w:type="dxa"/>
            <w:vAlign w:val="center"/>
          </w:tcPr>
          <w:p>
            <w:pPr>
              <w:spacing w:line="300" w:lineRule="exact"/>
              <w:jc w:val="center"/>
              <w:rPr>
                <w:sz w:val="21"/>
                <w:szCs w:val="21"/>
              </w:rPr>
            </w:pPr>
            <w:r>
              <w:rPr>
                <w:sz w:val="21"/>
                <w:szCs w:val="21"/>
              </w:rPr>
              <w:t>副教授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硕士</w:t>
            </w:r>
          </w:p>
        </w:tc>
        <w:tc>
          <w:tcPr>
            <w:tcW w:w="1590" w:type="dxa"/>
            <w:vAlign w:val="center"/>
          </w:tcPr>
          <w:p>
            <w:pPr>
              <w:spacing w:line="300" w:lineRule="exact"/>
              <w:rPr>
                <w:sz w:val="21"/>
                <w:szCs w:val="21"/>
              </w:rPr>
            </w:pPr>
            <w:r>
              <w:rPr>
                <w:sz w:val="21"/>
                <w:szCs w:val="21"/>
              </w:rPr>
              <w:t>电气控制</w:t>
            </w:r>
          </w:p>
        </w:tc>
        <w:tc>
          <w:tcPr>
            <w:tcW w:w="2600" w:type="dxa"/>
            <w:vAlign w:val="center"/>
          </w:tcPr>
          <w:p>
            <w:pPr>
              <w:spacing w:line="300" w:lineRule="exact"/>
              <w:rPr>
                <w:sz w:val="21"/>
                <w:szCs w:val="21"/>
              </w:rPr>
            </w:pPr>
            <w:r>
              <w:rPr>
                <w:sz w:val="21"/>
                <w:szCs w:val="21"/>
              </w:rPr>
              <w:t>电子技术、单片机技术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13</w:t>
            </w:r>
          </w:p>
        </w:tc>
        <w:tc>
          <w:tcPr>
            <w:tcW w:w="873" w:type="dxa"/>
            <w:vAlign w:val="center"/>
          </w:tcPr>
          <w:p>
            <w:pPr>
              <w:spacing w:line="300" w:lineRule="exact"/>
              <w:jc w:val="center"/>
              <w:rPr>
                <w:sz w:val="21"/>
                <w:szCs w:val="21"/>
              </w:rPr>
            </w:pPr>
            <w:r>
              <w:rPr>
                <w:sz w:val="21"/>
                <w:szCs w:val="21"/>
              </w:rPr>
              <w:t>席</w:t>
            </w:r>
            <w:r>
              <w:rPr>
                <w:rFonts w:hint="eastAsia"/>
                <w:sz w:val="21"/>
                <w:szCs w:val="21"/>
              </w:rPr>
              <w:t xml:space="preserve">  </w:t>
            </w:r>
            <w:r>
              <w:rPr>
                <w:sz w:val="21"/>
                <w:szCs w:val="21"/>
              </w:rPr>
              <w:t>芮</w:t>
            </w:r>
          </w:p>
        </w:tc>
        <w:tc>
          <w:tcPr>
            <w:tcW w:w="489" w:type="dxa"/>
            <w:vAlign w:val="center"/>
          </w:tcPr>
          <w:p>
            <w:pPr>
              <w:spacing w:line="300" w:lineRule="exact"/>
              <w:jc w:val="center"/>
              <w:rPr>
                <w:sz w:val="21"/>
                <w:szCs w:val="21"/>
              </w:rPr>
            </w:pPr>
            <w:r>
              <w:rPr>
                <w:sz w:val="21"/>
                <w:szCs w:val="21"/>
              </w:rPr>
              <w:t>女</w:t>
            </w:r>
          </w:p>
        </w:tc>
        <w:tc>
          <w:tcPr>
            <w:tcW w:w="467" w:type="dxa"/>
            <w:vAlign w:val="center"/>
          </w:tcPr>
          <w:p>
            <w:pPr>
              <w:spacing w:line="300" w:lineRule="exact"/>
              <w:jc w:val="center"/>
              <w:rPr>
                <w:sz w:val="21"/>
                <w:szCs w:val="21"/>
              </w:rPr>
            </w:pPr>
            <w:r>
              <w:rPr>
                <w:sz w:val="21"/>
                <w:szCs w:val="21"/>
              </w:rPr>
              <w:t>32</w:t>
            </w:r>
          </w:p>
        </w:tc>
        <w:tc>
          <w:tcPr>
            <w:tcW w:w="1074" w:type="dxa"/>
            <w:vAlign w:val="center"/>
          </w:tcPr>
          <w:p>
            <w:pPr>
              <w:spacing w:line="300" w:lineRule="exact"/>
              <w:jc w:val="center"/>
              <w:rPr>
                <w:sz w:val="21"/>
                <w:szCs w:val="21"/>
              </w:rPr>
            </w:pPr>
            <w:r>
              <w:rPr>
                <w:sz w:val="21"/>
                <w:szCs w:val="21"/>
              </w:rPr>
              <w:t>讲师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博士</w:t>
            </w:r>
          </w:p>
        </w:tc>
        <w:tc>
          <w:tcPr>
            <w:tcW w:w="1590" w:type="dxa"/>
            <w:vAlign w:val="center"/>
          </w:tcPr>
          <w:p>
            <w:pPr>
              <w:spacing w:line="300" w:lineRule="exact"/>
              <w:rPr>
                <w:sz w:val="21"/>
                <w:szCs w:val="21"/>
              </w:rPr>
            </w:pPr>
            <w:r>
              <w:rPr>
                <w:sz w:val="21"/>
                <w:szCs w:val="21"/>
              </w:rPr>
              <w:t>控制理论与控制工程</w:t>
            </w:r>
          </w:p>
        </w:tc>
        <w:tc>
          <w:tcPr>
            <w:tcW w:w="2600" w:type="dxa"/>
            <w:vAlign w:val="center"/>
          </w:tcPr>
          <w:p>
            <w:pPr>
              <w:spacing w:line="300" w:lineRule="exact"/>
              <w:rPr>
                <w:sz w:val="21"/>
                <w:szCs w:val="21"/>
              </w:rPr>
            </w:pPr>
            <w:r>
              <w:rPr>
                <w:sz w:val="21"/>
                <w:szCs w:val="21"/>
              </w:rPr>
              <w:t>数字图像处理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14</w:t>
            </w:r>
          </w:p>
        </w:tc>
        <w:tc>
          <w:tcPr>
            <w:tcW w:w="873" w:type="dxa"/>
            <w:vAlign w:val="center"/>
          </w:tcPr>
          <w:p>
            <w:pPr>
              <w:spacing w:line="300" w:lineRule="exact"/>
              <w:jc w:val="center"/>
              <w:rPr>
                <w:sz w:val="21"/>
                <w:szCs w:val="21"/>
              </w:rPr>
            </w:pPr>
            <w:r>
              <w:rPr>
                <w:sz w:val="21"/>
                <w:szCs w:val="21"/>
              </w:rPr>
              <w:t>李  扬</w:t>
            </w:r>
          </w:p>
        </w:tc>
        <w:tc>
          <w:tcPr>
            <w:tcW w:w="489" w:type="dxa"/>
            <w:vAlign w:val="center"/>
          </w:tcPr>
          <w:p>
            <w:pPr>
              <w:spacing w:line="300" w:lineRule="exact"/>
              <w:jc w:val="center"/>
              <w:rPr>
                <w:sz w:val="21"/>
                <w:szCs w:val="21"/>
              </w:rPr>
            </w:pPr>
            <w:r>
              <w:rPr>
                <w:sz w:val="21"/>
                <w:szCs w:val="21"/>
              </w:rPr>
              <w:t>男</w:t>
            </w:r>
          </w:p>
        </w:tc>
        <w:tc>
          <w:tcPr>
            <w:tcW w:w="467" w:type="dxa"/>
            <w:vAlign w:val="center"/>
          </w:tcPr>
          <w:p>
            <w:pPr>
              <w:spacing w:line="300" w:lineRule="exact"/>
              <w:jc w:val="center"/>
              <w:rPr>
                <w:sz w:val="21"/>
                <w:szCs w:val="21"/>
              </w:rPr>
            </w:pPr>
            <w:r>
              <w:rPr>
                <w:sz w:val="21"/>
                <w:szCs w:val="21"/>
              </w:rPr>
              <w:t>37</w:t>
            </w:r>
          </w:p>
        </w:tc>
        <w:tc>
          <w:tcPr>
            <w:tcW w:w="1074" w:type="dxa"/>
            <w:vAlign w:val="center"/>
          </w:tcPr>
          <w:p>
            <w:pPr>
              <w:spacing w:line="300" w:lineRule="exact"/>
              <w:jc w:val="center"/>
              <w:rPr>
                <w:sz w:val="21"/>
                <w:szCs w:val="21"/>
              </w:rPr>
            </w:pPr>
            <w:r>
              <w:rPr>
                <w:sz w:val="21"/>
                <w:szCs w:val="21"/>
              </w:rPr>
              <w:t>副教授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博士</w:t>
            </w:r>
          </w:p>
        </w:tc>
        <w:tc>
          <w:tcPr>
            <w:tcW w:w="1590" w:type="dxa"/>
            <w:vAlign w:val="center"/>
          </w:tcPr>
          <w:p>
            <w:pPr>
              <w:spacing w:line="300" w:lineRule="exact"/>
              <w:rPr>
                <w:sz w:val="21"/>
                <w:szCs w:val="21"/>
              </w:rPr>
            </w:pPr>
            <w:r>
              <w:rPr>
                <w:sz w:val="21"/>
                <w:szCs w:val="21"/>
              </w:rPr>
              <w:t>控制理论与控制工程</w:t>
            </w:r>
          </w:p>
        </w:tc>
        <w:tc>
          <w:tcPr>
            <w:tcW w:w="2600" w:type="dxa"/>
            <w:vAlign w:val="center"/>
          </w:tcPr>
          <w:p>
            <w:pPr>
              <w:spacing w:line="300" w:lineRule="exact"/>
              <w:rPr>
                <w:sz w:val="21"/>
                <w:szCs w:val="21"/>
              </w:rPr>
            </w:pPr>
            <w:r>
              <w:rPr>
                <w:sz w:val="21"/>
                <w:szCs w:val="21"/>
              </w:rPr>
              <w:t>控制理论  PLC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15</w:t>
            </w:r>
          </w:p>
        </w:tc>
        <w:tc>
          <w:tcPr>
            <w:tcW w:w="873" w:type="dxa"/>
            <w:vAlign w:val="center"/>
          </w:tcPr>
          <w:p>
            <w:pPr>
              <w:spacing w:line="300" w:lineRule="exact"/>
              <w:jc w:val="center"/>
              <w:rPr>
                <w:sz w:val="21"/>
                <w:szCs w:val="21"/>
              </w:rPr>
            </w:pPr>
            <w:r>
              <w:rPr>
                <w:sz w:val="21"/>
                <w:szCs w:val="21"/>
              </w:rPr>
              <w:t>刘莫尘</w:t>
            </w:r>
          </w:p>
        </w:tc>
        <w:tc>
          <w:tcPr>
            <w:tcW w:w="489" w:type="dxa"/>
            <w:vAlign w:val="center"/>
          </w:tcPr>
          <w:p>
            <w:pPr>
              <w:spacing w:line="300" w:lineRule="exact"/>
              <w:jc w:val="center"/>
              <w:rPr>
                <w:sz w:val="21"/>
                <w:szCs w:val="21"/>
              </w:rPr>
            </w:pPr>
            <w:r>
              <w:rPr>
                <w:sz w:val="21"/>
                <w:szCs w:val="21"/>
              </w:rPr>
              <w:t>女</w:t>
            </w:r>
          </w:p>
        </w:tc>
        <w:tc>
          <w:tcPr>
            <w:tcW w:w="467" w:type="dxa"/>
            <w:vAlign w:val="center"/>
          </w:tcPr>
          <w:p>
            <w:pPr>
              <w:spacing w:line="300" w:lineRule="exact"/>
              <w:jc w:val="center"/>
              <w:rPr>
                <w:sz w:val="21"/>
                <w:szCs w:val="21"/>
              </w:rPr>
            </w:pPr>
            <w:r>
              <w:rPr>
                <w:sz w:val="21"/>
                <w:szCs w:val="21"/>
              </w:rPr>
              <w:t>36</w:t>
            </w:r>
          </w:p>
        </w:tc>
        <w:tc>
          <w:tcPr>
            <w:tcW w:w="1074" w:type="dxa"/>
            <w:vAlign w:val="center"/>
          </w:tcPr>
          <w:p>
            <w:pPr>
              <w:spacing w:line="300" w:lineRule="exact"/>
              <w:jc w:val="center"/>
              <w:rPr>
                <w:sz w:val="21"/>
                <w:szCs w:val="21"/>
              </w:rPr>
            </w:pPr>
            <w:r>
              <w:rPr>
                <w:sz w:val="21"/>
                <w:szCs w:val="21"/>
              </w:rPr>
              <w:t>副教授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博士</w:t>
            </w:r>
          </w:p>
        </w:tc>
        <w:tc>
          <w:tcPr>
            <w:tcW w:w="1590" w:type="dxa"/>
            <w:vAlign w:val="center"/>
          </w:tcPr>
          <w:p>
            <w:pPr>
              <w:spacing w:line="300" w:lineRule="exact"/>
              <w:rPr>
                <w:sz w:val="21"/>
                <w:szCs w:val="21"/>
              </w:rPr>
            </w:pPr>
            <w:r>
              <w:rPr>
                <w:sz w:val="21"/>
                <w:szCs w:val="21"/>
              </w:rPr>
              <w:t>控制理论与控制工程</w:t>
            </w:r>
          </w:p>
        </w:tc>
        <w:tc>
          <w:tcPr>
            <w:tcW w:w="2600" w:type="dxa"/>
            <w:vAlign w:val="center"/>
          </w:tcPr>
          <w:p>
            <w:pPr>
              <w:spacing w:line="300" w:lineRule="exact"/>
              <w:rPr>
                <w:sz w:val="21"/>
                <w:szCs w:val="21"/>
              </w:rPr>
            </w:pPr>
            <w:r>
              <w:rPr>
                <w:sz w:val="21"/>
                <w:szCs w:val="21"/>
              </w:rPr>
              <w:t>电子技术、控制理论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16</w:t>
            </w:r>
          </w:p>
        </w:tc>
        <w:tc>
          <w:tcPr>
            <w:tcW w:w="873" w:type="dxa"/>
            <w:vAlign w:val="center"/>
          </w:tcPr>
          <w:p>
            <w:pPr>
              <w:spacing w:line="300" w:lineRule="exact"/>
              <w:jc w:val="center"/>
              <w:rPr>
                <w:sz w:val="21"/>
                <w:szCs w:val="21"/>
              </w:rPr>
            </w:pPr>
            <w:r>
              <w:rPr>
                <w:sz w:val="21"/>
                <w:szCs w:val="21"/>
              </w:rPr>
              <w:t>宋成宝</w:t>
            </w:r>
          </w:p>
        </w:tc>
        <w:tc>
          <w:tcPr>
            <w:tcW w:w="489" w:type="dxa"/>
            <w:vAlign w:val="center"/>
          </w:tcPr>
          <w:p>
            <w:pPr>
              <w:spacing w:line="300" w:lineRule="exact"/>
              <w:jc w:val="center"/>
              <w:rPr>
                <w:sz w:val="21"/>
                <w:szCs w:val="21"/>
              </w:rPr>
            </w:pPr>
            <w:r>
              <w:rPr>
                <w:sz w:val="21"/>
                <w:szCs w:val="21"/>
              </w:rPr>
              <w:t>女</w:t>
            </w:r>
          </w:p>
        </w:tc>
        <w:tc>
          <w:tcPr>
            <w:tcW w:w="467" w:type="dxa"/>
            <w:vAlign w:val="center"/>
          </w:tcPr>
          <w:p>
            <w:pPr>
              <w:spacing w:line="300" w:lineRule="exact"/>
              <w:jc w:val="center"/>
              <w:rPr>
                <w:sz w:val="21"/>
                <w:szCs w:val="21"/>
              </w:rPr>
            </w:pPr>
            <w:r>
              <w:rPr>
                <w:sz w:val="21"/>
                <w:szCs w:val="21"/>
              </w:rPr>
              <w:t>31</w:t>
            </w:r>
          </w:p>
        </w:tc>
        <w:tc>
          <w:tcPr>
            <w:tcW w:w="1074" w:type="dxa"/>
            <w:vAlign w:val="center"/>
          </w:tcPr>
          <w:p>
            <w:pPr>
              <w:spacing w:line="300" w:lineRule="exact"/>
              <w:jc w:val="center"/>
              <w:rPr>
                <w:sz w:val="21"/>
                <w:szCs w:val="21"/>
              </w:rPr>
            </w:pPr>
            <w:r>
              <w:rPr>
                <w:sz w:val="21"/>
                <w:szCs w:val="21"/>
              </w:rPr>
              <w:t>讲  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硕士</w:t>
            </w:r>
          </w:p>
        </w:tc>
        <w:tc>
          <w:tcPr>
            <w:tcW w:w="1590" w:type="dxa"/>
            <w:vAlign w:val="center"/>
          </w:tcPr>
          <w:p>
            <w:pPr>
              <w:spacing w:line="300" w:lineRule="exact"/>
              <w:rPr>
                <w:sz w:val="21"/>
                <w:szCs w:val="21"/>
              </w:rPr>
            </w:pPr>
            <w:r>
              <w:rPr>
                <w:sz w:val="21"/>
                <w:szCs w:val="21"/>
              </w:rPr>
              <w:t>电气工程</w:t>
            </w:r>
          </w:p>
        </w:tc>
        <w:tc>
          <w:tcPr>
            <w:tcW w:w="2600" w:type="dxa"/>
            <w:vAlign w:val="center"/>
          </w:tcPr>
          <w:p>
            <w:pPr>
              <w:spacing w:line="300" w:lineRule="exact"/>
              <w:rPr>
                <w:sz w:val="21"/>
                <w:szCs w:val="21"/>
              </w:rPr>
            </w:pPr>
            <w:r>
              <w:rPr>
                <w:sz w:val="21"/>
                <w:szCs w:val="21"/>
              </w:rPr>
              <w:t>电路、电力系统分析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17</w:t>
            </w:r>
          </w:p>
        </w:tc>
        <w:tc>
          <w:tcPr>
            <w:tcW w:w="873" w:type="dxa"/>
            <w:vAlign w:val="center"/>
          </w:tcPr>
          <w:p>
            <w:pPr>
              <w:spacing w:line="300" w:lineRule="exact"/>
              <w:jc w:val="center"/>
              <w:rPr>
                <w:sz w:val="21"/>
                <w:szCs w:val="21"/>
              </w:rPr>
            </w:pPr>
            <w:r>
              <w:rPr>
                <w:sz w:val="21"/>
                <w:szCs w:val="21"/>
              </w:rPr>
              <w:t>刘兴华</w:t>
            </w:r>
          </w:p>
        </w:tc>
        <w:tc>
          <w:tcPr>
            <w:tcW w:w="489" w:type="dxa"/>
            <w:vAlign w:val="center"/>
          </w:tcPr>
          <w:p>
            <w:pPr>
              <w:spacing w:line="300" w:lineRule="exact"/>
              <w:jc w:val="center"/>
              <w:rPr>
                <w:sz w:val="21"/>
                <w:szCs w:val="21"/>
              </w:rPr>
            </w:pPr>
            <w:r>
              <w:rPr>
                <w:sz w:val="21"/>
                <w:szCs w:val="21"/>
              </w:rPr>
              <w:t>男</w:t>
            </w:r>
          </w:p>
        </w:tc>
        <w:tc>
          <w:tcPr>
            <w:tcW w:w="467" w:type="dxa"/>
            <w:vAlign w:val="center"/>
          </w:tcPr>
          <w:p>
            <w:pPr>
              <w:spacing w:line="300" w:lineRule="exact"/>
              <w:jc w:val="center"/>
              <w:rPr>
                <w:sz w:val="21"/>
                <w:szCs w:val="21"/>
              </w:rPr>
            </w:pPr>
            <w:r>
              <w:rPr>
                <w:sz w:val="21"/>
                <w:szCs w:val="21"/>
              </w:rPr>
              <w:t>31</w:t>
            </w:r>
          </w:p>
        </w:tc>
        <w:tc>
          <w:tcPr>
            <w:tcW w:w="1074" w:type="dxa"/>
            <w:vAlign w:val="center"/>
          </w:tcPr>
          <w:p>
            <w:pPr>
              <w:spacing w:line="300" w:lineRule="exact"/>
              <w:jc w:val="center"/>
              <w:rPr>
                <w:sz w:val="21"/>
                <w:szCs w:val="21"/>
              </w:rPr>
            </w:pPr>
            <w:r>
              <w:rPr>
                <w:sz w:val="21"/>
                <w:szCs w:val="21"/>
              </w:rPr>
              <w:t>讲  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博士</w:t>
            </w:r>
          </w:p>
        </w:tc>
        <w:tc>
          <w:tcPr>
            <w:tcW w:w="1590" w:type="dxa"/>
            <w:vAlign w:val="center"/>
          </w:tcPr>
          <w:p>
            <w:pPr>
              <w:spacing w:line="300" w:lineRule="exact"/>
              <w:rPr>
                <w:sz w:val="21"/>
                <w:szCs w:val="21"/>
              </w:rPr>
            </w:pPr>
            <w:r>
              <w:rPr>
                <w:sz w:val="21"/>
                <w:szCs w:val="21"/>
              </w:rPr>
              <w:t>电气工程</w:t>
            </w:r>
          </w:p>
        </w:tc>
        <w:tc>
          <w:tcPr>
            <w:tcW w:w="2600" w:type="dxa"/>
            <w:vAlign w:val="center"/>
          </w:tcPr>
          <w:p>
            <w:pPr>
              <w:spacing w:line="300" w:lineRule="exact"/>
              <w:rPr>
                <w:sz w:val="21"/>
                <w:szCs w:val="21"/>
              </w:rPr>
            </w:pPr>
            <w:r>
              <w:rPr>
                <w:sz w:val="21"/>
                <w:szCs w:val="21"/>
              </w:rPr>
              <w:t>电路、电力系统分析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18</w:t>
            </w:r>
          </w:p>
        </w:tc>
        <w:tc>
          <w:tcPr>
            <w:tcW w:w="873" w:type="dxa"/>
            <w:vAlign w:val="center"/>
          </w:tcPr>
          <w:p>
            <w:pPr>
              <w:spacing w:line="300" w:lineRule="exact"/>
              <w:jc w:val="center"/>
              <w:rPr>
                <w:sz w:val="21"/>
                <w:szCs w:val="21"/>
              </w:rPr>
            </w:pPr>
            <w:r>
              <w:rPr>
                <w:sz w:val="21"/>
                <w:szCs w:val="21"/>
              </w:rPr>
              <w:t>胡安瑞</w:t>
            </w:r>
          </w:p>
        </w:tc>
        <w:tc>
          <w:tcPr>
            <w:tcW w:w="489" w:type="dxa"/>
            <w:vAlign w:val="center"/>
          </w:tcPr>
          <w:p>
            <w:pPr>
              <w:spacing w:line="300" w:lineRule="exact"/>
              <w:jc w:val="center"/>
              <w:rPr>
                <w:sz w:val="21"/>
                <w:szCs w:val="21"/>
              </w:rPr>
            </w:pPr>
            <w:r>
              <w:rPr>
                <w:sz w:val="21"/>
                <w:szCs w:val="21"/>
              </w:rPr>
              <w:t>男</w:t>
            </w:r>
          </w:p>
        </w:tc>
        <w:tc>
          <w:tcPr>
            <w:tcW w:w="467" w:type="dxa"/>
            <w:vAlign w:val="center"/>
          </w:tcPr>
          <w:p>
            <w:pPr>
              <w:spacing w:line="300" w:lineRule="exact"/>
              <w:jc w:val="center"/>
              <w:rPr>
                <w:sz w:val="21"/>
                <w:szCs w:val="21"/>
              </w:rPr>
            </w:pPr>
            <w:r>
              <w:rPr>
                <w:sz w:val="21"/>
                <w:szCs w:val="21"/>
              </w:rPr>
              <w:t>38</w:t>
            </w:r>
          </w:p>
        </w:tc>
        <w:tc>
          <w:tcPr>
            <w:tcW w:w="1074" w:type="dxa"/>
            <w:vAlign w:val="center"/>
          </w:tcPr>
          <w:p>
            <w:pPr>
              <w:spacing w:line="300" w:lineRule="exact"/>
              <w:jc w:val="center"/>
              <w:rPr>
                <w:sz w:val="21"/>
                <w:szCs w:val="21"/>
              </w:rPr>
            </w:pPr>
            <w:r>
              <w:rPr>
                <w:sz w:val="21"/>
                <w:szCs w:val="21"/>
              </w:rPr>
              <w:t>讲  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博士</w:t>
            </w:r>
          </w:p>
        </w:tc>
        <w:tc>
          <w:tcPr>
            <w:tcW w:w="1590" w:type="dxa"/>
            <w:vAlign w:val="center"/>
          </w:tcPr>
          <w:p>
            <w:pPr>
              <w:spacing w:line="300" w:lineRule="exact"/>
              <w:rPr>
                <w:sz w:val="21"/>
                <w:szCs w:val="21"/>
              </w:rPr>
            </w:pPr>
            <w:r>
              <w:rPr>
                <w:sz w:val="21"/>
                <w:szCs w:val="21"/>
              </w:rPr>
              <w:t>电气工程</w:t>
            </w:r>
          </w:p>
        </w:tc>
        <w:tc>
          <w:tcPr>
            <w:tcW w:w="2600" w:type="dxa"/>
            <w:vAlign w:val="center"/>
          </w:tcPr>
          <w:p>
            <w:pPr>
              <w:spacing w:line="300" w:lineRule="exact"/>
              <w:rPr>
                <w:sz w:val="21"/>
                <w:szCs w:val="21"/>
              </w:rPr>
            </w:pPr>
            <w:r>
              <w:rPr>
                <w:sz w:val="21"/>
                <w:szCs w:val="21"/>
              </w:rPr>
              <w:t>电力系统分析、电网规划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19</w:t>
            </w:r>
          </w:p>
        </w:tc>
        <w:tc>
          <w:tcPr>
            <w:tcW w:w="873" w:type="dxa"/>
            <w:vAlign w:val="center"/>
          </w:tcPr>
          <w:p>
            <w:pPr>
              <w:spacing w:line="300" w:lineRule="exact"/>
              <w:jc w:val="center"/>
              <w:rPr>
                <w:sz w:val="21"/>
                <w:szCs w:val="21"/>
              </w:rPr>
            </w:pPr>
            <w:r>
              <w:rPr>
                <w:sz w:val="21"/>
                <w:szCs w:val="21"/>
              </w:rPr>
              <w:t>张稳</w:t>
            </w:r>
          </w:p>
        </w:tc>
        <w:tc>
          <w:tcPr>
            <w:tcW w:w="489" w:type="dxa"/>
            <w:vAlign w:val="center"/>
          </w:tcPr>
          <w:p>
            <w:pPr>
              <w:spacing w:line="300" w:lineRule="exact"/>
              <w:jc w:val="center"/>
              <w:rPr>
                <w:sz w:val="21"/>
                <w:szCs w:val="21"/>
              </w:rPr>
            </w:pPr>
            <w:r>
              <w:rPr>
                <w:sz w:val="21"/>
                <w:szCs w:val="21"/>
              </w:rPr>
              <w:t>女</w:t>
            </w:r>
          </w:p>
        </w:tc>
        <w:tc>
          <w:tcPr>
            <w:tcW w:w="467" w:type="dxa"/>
            <w:vAlign w:val="center"/>
          </w:tcPr>
          <w:p>
            <w:pPr>
              <w:spacing w:line="300" w:lineRule="exact"/>
              <w:jc w:val="center"/>
              <w:rPr>
                <w:sz w:val="21"/>
                <w:szCs w:val="21"/>
              </w:rPr>
            </w:pPr>
            <w:r>
              <w:rPr>
                <w:sz w:val="21"/>
                <w:szCs w:val="21"/>
              </w:rPr>
              <w:t>33</w:t>
            </w:r>
          </w:p>
        </w:tc>
        <w:tc>
          <w:tcPr>
            <w:tcW w:w="1074" w:type="dxa"/>
            <w:vAlign w:val="center"/>
          </w:tcPr>
          <w:p>
            <w:pPr>
              <w:spacing w:line="300" w:lineRule="exact"/>
              <w:jc w:val="center"/>
              <w:rPr>
                <w:sz w:val="21"/>
                <w:szCs w:val="21"/>
              </w:rPr>
            </w:pPr>
            <w:r>
              <w:rPr>
                <w:sz w:val="21"/>
                <w:szCs w:val="21"/>
              </w:rPr>
              <w:t>副教授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博士</w:t>
            </w:r>
          </w:p>
        </w:tc>
        <w:tc>
          <w:tcPr>
            <w:tcW w:w="1590" w:type="dxa"/>
            <w:vAlign w:val="center"/>
          </w:tcPr>
          <w:p>
            <w:pPr>
              <w:spacing w:line="300" w:lineRule="exact"/>
              <w:rPr>
                <w:sz w:val="21"/>
                <w:szCs w:val="21"/>
              </w:rPr>
            </w:pPr>
            <w:r>
              <w:rPr>
                <w:sz w:val="21"/>
                <w:szCs w:val="21"/>
              </w:rPr>
              <w:t>电气工程</w:t>
            </w:r>
          </w:p>
        </w:tc>
        <w:tc>
          <w:tcPr>
            <w:tcW w:w="2600" w:type="dxa"/>
            <w:vAlign w:val="center"/>
          </w:tcPr>
          <w:p>
            <w:pPr>
              <w:spacing w:line="300" w:lineRule="exact"/>
              <w:rPr>
                <w:sz w:val="21"/>
                <w:szCs w:val="21"/>
              </w:rPr>
            </w:pPr>
            <w:r>
              <w:rPr>
                <w:sz w:val="21"/>
                <w:szCs w:val="21"/>
              </w:rPr>
              <w:t>电力电子、高电压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20</w:t>
            </w:r>
          </w:p>
        </w:tc>
        <w:tc>
          <w:tcPr>
            <w:tcW w:w="873" w:type="dxa"/>
            <w:vAlign w:val="center"/>
          </w:tcPr>
          <w:p>
            <w:pPr>
              <w:spacing w:line="300" w:lineRule="exact"/>
              <w:jc w:val="center"/>
              <w:rPr>
                <w:sz w:val="21"/>
                <w:szCs w:val="21"/>
              </w:rPr>
            </w:pPr>
            <w:r>
              <w:rPr>
                <w:sz w:val="21"/>
                <w:szCs w:val="21"/>
              </w:rPr>
              <w:t>张  军</w:t>
            </w:r>
          </w:p>
        </w:tc>
        <w:tc>
          <w:tcPr>
            <w:tcW w:w="489" w:type="dxa"/>
            <w:vAlign w:val="center"/>
          </w:tcPr>
          <w:p>
            <w:pPr>
              <w:spacing w:line="300" w:lineRule="exact"/>
              <w:jc w:val="center"/>
              <w:rPr>
                <w:sz w:val="21"/>
                <w:szCs w:val="21"/>
              </w:rPr>
            </w:pPr>
            <w:r>
              <w:rPr>
                <w:sz w:val="21"/>
                <w:szCs w:val="21"/>
              </w:rPr>
              <w:t>男</w:t>
            </w:r>
          </w:p>
        </w:tc>
        <w:tc>
          <w:tcPr>
            <w:tcW w:w="467" w:type="dxa"/>
            <w:vAlign w:val="center"/>
          </w:tcPr>
          <w:p>
            <w:pPr>
              <w:spacing w:line="300" w:lineRule="exact"/>
              <w:jc w:val="center"/>
              <w:rPr>
                <w:sz w:val="21"/>
                <w:szCs w:val="21"/>
              </w:rPr>
            </w:pPr>
            <w:r>
              <w:rPr>
                <w:sz w:val="21"/>
                <w:szCs w:val="21"/>
              </w:rPr>
              <w:t>59</w:t>
            </w:r>
          </w:p>
        </w:tc>
        <w:tc>
          <w:tcPr>
            <w:tcW w:w="1074" w:type="dxa"/>
            <w:vAlign w:val="center"/>
          </w:tcPr>
          <w:p>
            <w:pPr>
              <w:spacing w:line="300" w:lineRule="exact"/>
              <w:jc w:val="center"/>
              <w:rPr>
                <w:sz w:val="21"/>
                <w:szCs w:val="21"/>
              </w:rPr>
            </w:pPr>
            <w:r>
              <w:rPr>
                <w:sz w:val="21"/>
                <w:szCs w:val="21"/>
              </w:rPr>
              <w:t>高级实验师</w:t>
            </w:r>
          </w:p>
        </w:tc>
        <w:tc>
          <w:tcPr>
            <w:tcW w:w="870" w:type="dxa"/>
            <w:vAlign w:val="center"/>
          </w:tcPr>
          <w:p>
            <w:pPr>
              <w:spacing w:line="300" w:lineRule="exact"/>
              <w:ind w:left="-120" w:leftChars="-50" w:right="-120" w:rightChars="-50"/>
              <w:jc w:val="center"/>
              <w:rPr>
                <w:sz w:val="21"/>
                <w:szCs w:val="21"/>
              </w:rPr>
            </w:pPr>
            <w:r>
              <w:rPr>
                <w:sz w:val="21"/>
                <w:szCs w:val="21"/>
              </w:rPr>
              <w:t>本  科</w:t>
            </w:r>
          </w:p>
        </w:tc>
        <w:tc>
          <w:tcPr>
            <w:tcW w:w="660" w:type="dxa"/>
            <w:vAlign w:val="center"/>
          </w:tcPr>
          <w:p>
            <w:pPr>
              <w:spacing w:line="300" w:lineRule="exact"/>
              <w:jc w:val="center"/>
              <w:rPr>
                <w:sz w:val="21"/>
                <w:szCs w:val="21"/>
              </w:rPr>
            </w:pPr>
            <w:r>
              <w:rPr>
                <w:sz w:val="21"/>
                <w:szCs w:val="21"/>
              </w:rPr>
              <w:t>学士</w:t>
            </w:r>
          </w:p>
        </w:tc>
        <w:tc>
          <w:tcPr>
            <w:tcW w:w="1590" w:type="dxa"/>
            <w:vAlign w:val="center"/>
          </w:tcPr>
          <w:p>
            <w:pPr>
              <w:spacing w:line="300" w:lineRule="exact"/>
              <w:rPr>
                <w:sz w:val="21"/>
                <w:szCs w:val="21"/>
              </w:rPr>
            </w:pPr>
            <w:r>
              <w:rPr>
                <w:sz w:val="21"/>
                <w:szCs w:val="21"/>
              </w:rPr>
              <w:t>电气工程</w:t>
            </w:r>
          </w:p>
        </w:tc>
        <w:tc>
          <w:tcPr>
            <w:tcW w:w="2600" w:type="dxa"/>
            <w:vAlign w:val="center"/>
          </w:tcPr>
          <w:p>
            <w:pPr>
              <w:spacing w:line="300" w:lineRule="exact"/>
              <w:rPr>
                <w:sz w:val="21"/>
                <w:szCs w:val="21"/>
              </w:rPr>
            </w:pPr>
            <w:r>
              <w:rPr>
                <w:sz w:val="21"/>
                <w:szCs w:val="21"/>
              </w:rPr>
              <w:t>电力工程实验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21</w:t>
            </w:r>
          </w:p>
        </w:tc>
        <w:tc>
          <w:tcPr>
            <w:tcW w:w="873" w:type="dxa"/>
            <w:vAlign w:val="center"/>
          </w:tcPr>
          <w:p>
            <w:pPr>
              <w:spacing w:line="300" w:lineRule="exact"/>
              <w:jc w:val="center"/>
              <w:rPr>
                <w:sz w:val="21"/>
                <w:szCs w:val="21"/>
              </w:rPr>
            </w:pPr>
            <w:r>
              <w:rPr>
                <w:sz w:val="21"/>
                <w:szCs w:val="21"/>
              </w:rPr>
              <w:t>施国英</w:t>
            </w:r>
          </w:p>
        </w:tc>
        <w:tc>
          <w:tcPr>
            <w:tcW w:w="489" w:type="dxa"/>
            <w:vAlign w:val="center"/>
          </w:tcPr>
          <w:p>
            <w:pPr>
              <w:spacing w:line="300" w:lineRule="exact"/>
              <w:jc w:val="center"/>
              <w:rPr>
                <w:sz w:val="21"/>
                <w:szCs w:val="21"/>
              </w:rPr>
            </w:pPr>
            <w:r>
              <w:rPr>
                <w:sz w:val="21"/>
                <w:szCs w:val="21"/>
              </w:rPr>
              <w:t>女</w:t>
            </w:r>
          </w:p>
        </w:tc>
        <w:tc>
          <w:tcPr>
            <w:tcW w:w="467" w:type="dxa"/>
            <w:vAlign w:val="center"/>
          </w:tcPr>
          <w:p>
            <w:pPr>
              <w:spacing w:line="300" w:lineRule="exact"/>
              <w:jc w:val="center"/>
              <w:rPr>
                <w:sz w:val="21"/>
                <w:szCs w:val="21"/>
              </w:rPr>
            </w:pPr>
            <w:r>
              <w:rPr>
                <w:sz w:val="21"/>
                <w:szCs w:val="21"/>
              </w:rPr>
              <w:t>38</w:t>
            </w:r>
          </w:p>
        </w:tc>
        <w:tc>
          <w:tcPr>
            <w:tcW w:w="1074" w:type="dxa"/>
            <w:vAlign w:val="center"/>
          </w:tcPr>
          <w:p>
            <w:pPr>
              <w:spacing w:line="300" w:lineRule="exact"/>
              <w:jc w:val="center"/>
              <w:rPr>
                <w:sz w:val="21"/>
                <w:szCs w:val="21"/>
              </w:rPr>
            </w:pPr>
            <w:r>
              <w:rPr>
                <w:sz w:val="21"/>
                <w:szCs w:val="21"/>
              </w:rPr>
              <w:t>高级实验师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硕士</w:t>
            </w:r>
          </w:p>
        </w:tc>
        <w:tc>
          <w:tcPr>
            <w:tcW w:w="1590" w:type="dxa"/>
            <w:vAlign w:val="center"/>
          </w:tcPr>
          <w:p>
            <w:pPr>
              <w:spacing w:line="300" w:lineRule="exact"/>
              <w:rPr>
                <w:sz w:val="21"/>
                <w:szCs w:val="21"/>
              </w:rPr>
            </w:pPr>
            <w:r>
              <w:rPr>
                <w:sz w:val="21"/>
                <w:szCs w:val="21"/>
              </w:rPr>
              <w:t>电气工程</w:t>
            </w:r>
          </w:p>
        </w:tc>
        <w:tc>
          <w:tcPr>
            <w:tcW w:w="2600" w:type="dxa"/>
            <w:vAlign w:val="center"/>
          </w:tcPr>
          <w:p>
            <w:pPr>
              <w:spacing w:line="300" w:lineRule="exact"/>
              <w:rPr>
                <w:sz w:val="21"/>
                <w:szCs w:val="21"/>
              </w:rPr>
            </w:pPr>
            <w:r>
              <w:rPr>
                <w:sz w:val="21"/>
                <w:szCs w:val="21"/>
              </w:rPr>
              <w:t>电气、控制实验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22</w:t>
            </w:r>
          </w:p>
        </w:tc>
        <w:tc>
          <w:tcPr>
            <w:tcW w:w="873" w:type="dxa"/>
            <w:vAlign w:val="center"/>
          </w:tcPr>
          <w:p>
            <w:pPr>
              <w:spacing w:line="300" w:lineRule="exact"/>
              <w:jc w:val="center"/>
              <w:rPr>
                <w:sz w:val="21"/>
                <w:szCs w:val="21"/>
              </w:rPr>
            </w:pPr>
            <w:r>
              <w:rPr>
                <w:sz w:val="21"/>
                <w:szCs w:val="21"/>
              </w:rPr>
              <w:t>张观山</w:t>
            </w:r>
          </w:p>
        </w:tc>
        <w:tc>
          <w:tcPr>
            <w:tcW w:w="489" w:type="dxa"/>
            <w:vAlign w:val="center"/>
          </w:tcPr>
          <w:p>
            <w:pPr>
              <w:spacing w:line="300" w:lineRule="exact"/>
              <w:jc w:val="center"/>
              <w:rPr>
                <w:sz w:val="21"/>
                <w:szCs w:val="21"/>
              </w:rPr>
            </w:pPr>
            <w:r>
              <w:rPr>
                <w:sz w:val="21"/>
                <w:szCs w:val="21"/>
              </w:rPr>
              <w:t>男</w:t>
            </w:r>
          </w:p>
        </w:tc>
        <w:tc>
          <w:tcPr>
            <w:tcW w:w="467" w:type="dxa"/>
            <w:vAlign w:val="center"/>
          </w:tcPr>
          <w:p>
            <w:pPr>
              <w:spacing w:line="300" w:lineRule="exact"/>
              <w:jc w:val="center"/>
              <w:rPr>
                <w:sz w:val="21"/>
                <w:szCs w:val="21"/>
              </w:rPr>
            </w:pPr>
            <w:r>
              <w:rPr>
                <w:sz w:val="21"/>
                <w:szCs w:val="21"/>
              </w:rPr>
              <w:t>35</w:t>
            </w:r>
          </w:p>
        </w:tc>
        <w:tc>
          <w:tcPr>
            <w:tcW w:w="1074" w:type="dxa"/>
            <w:vAlign w:val="center"/>
          </w:tcPr>
          <w:p>
            <w:pPr>
              <w:spacing w:line="300" w:lineRule="exact"/>
              <w:jc w:val="center"/>
              <w:rPr>
                <w:sz w:val="21"/>
                <w:szCs w:val="21"/>
              </w:rPr>
            </w:pPr>
            <w:r>
              <w:rPr>
                <w:sz w:val="21"/>
                <w:szCs w:val="21"/>
              </w:rPr>
              <w:t>实验师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硕士</w:t>
            </w:r>
          </w:p>
        </w:tc>
        <w:tc>
          <w:tcPr>
            <w:tcW w:w="1590" w:type="dxa"/>
            <w:vAlign w:val="center"/>
          </w:tcPr>
          <w:p>
            <w:pPr>
              <w:spacing w:line="300" w:lineRule="exact"/>
              <w:rPr>
                <w:sz w:val="21"/>
                <w:szCs w:val="21"/>
              </w:rPr>
            </w:pPr>
            <w:r>
              <w:rPr>
                <w:sz w:val="21"/>
                <w:szCs w:val="21"/>
              </w:rPr>
              <w:t>电气工程</w:t>
            </w:r>
          </w:p>
        </w:tc>
        <w:tc>
          <w:tcPr>
            <w:tcW w:w="2600" w:type="dxa"/>
            <w:vAlign w:val="center"/>
          </w:tcPr>
          <w:p>
            <w:pPr>
              <w:spacing w:line="300" w:lineRule="exact"/>
              <w:rPr>
                <w:sz w:val="21"/>
                <w:szCs w:val="21"/>
              </w:rPr>
            </w:pPr>
            <w:r>
              <w:rPr>
                <w:sz w:val="21"/>
                <w:szCs w:val="21"/>
              </w:rPr>
              <w:t>电力工程实验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51" w:type="dxa"/>
            <w:vAlign w:val="center"/>
          </w:tcPr>
          <w:p>
            <w:pPr>
              <w:spacing w:line="300" w:lineRule="exact"/>
              <w:jc w:val="center"/>
              <w:rPr>
                <w:sz w:val="21"/>
                <w:szCs w:val="21"/>
              </w:rPr>
            </w:pPr>
            <w:r>
              <w:rPr>
                <w:sz w:val="21"/>
                <w:szCs w:val="21"/>
              </w:rPr>
              <w:t>23</w:t>
            </w:r>
          </w:p>
        </w:tc>
        <w:tc>
          <w:tcPr>
            <w:tcW w:w="873" w:type="dxa"/>
            <w:vAlign w:val="center"/>
          </w:tcPr>
          <w:p>
            <w:pPr>
              <w:spacing w:line="300" w:lineRule="exact"/>
              <w:jc w:val="center"/>
              <w:rPr>
                <w:sz w:val="21"/>
                <w:szCs w:val="21"/>
              </w:rPr>
            </w:pPr>
            <w:r>
              <w:rPr>
                <w:sz w:val="21"/>
                <w:szCs w:val="21"/>
              </w:rPr>
              <w:t>刘</w:t>
            </w:r>
            <w:r>
              <w:rPr>
                <w:rFonts w:hint="eastAsia"/>
                <w:sz w:val="21"/>
                <w:szCs w:val="21"/>
              </w:rPr>
              <w:t xml:space="preserve">  </w:t>
            </w:r>
            <w:r>
              <w:rPr>
                <w:sz w:val="21"/>
                <w:szCs w:val="21"/>
              </w:rPr>
              <w:t>林</w:t>
            </w:r>
          </w:p>
        </w:tc>
        <w:tc>
          <w:tcPr>
            <w:tcW w:w="489" w:type="dxa"/>
            <w:vAlign w:val="center"/>
          </w:tcPr>
          <w:p>
            <w:pPr>
              <w:spacing w:line="300" w:lineRule="exact"/>
              <w:jc w:val="center"/>
              <w:rPr>
                <w:sz w:val="21"/>
                <w:szCs w:val="21"/>
              </w:rPr>
            </w:pPr>
            <w:r>
              <w:rPr>
                <w:sz w:val="21"/>
                <w:szCs w:val="21"/>
              </w:rPr>
              <w:t>男</w:t>
            </w:r>
          </w:p>
        </w:tc>
        <w:tc>
          <w:tcPr>
            <w:tcW w:w="467" w:type="dxa"/>
            <w:vAlign w:val="center"/>
          </w:tcPr>
          <w:p>
            <w:pPr>
              <w:spacing w:line="300" w:lineRule="exact"/>
              <w:jc w:val="center"/>
              <w:rPr>
                <w:sz w:val="21"/>
                <w:szCs w:val="21"/>
              </w:rPr>
            </w:pPr>
            <w:r>
              <w:rPr>
                <w:sz w:val="21"/>
                <w:szCs w:val="21"/>
              </w:rPr>
              <w:t>33</w:t>
            </w:r>
          </w:p>
        </w:tc>
        <w:tc>
          <w:tcPr>
            <w:tcW w:w="1074" w:type="dxa"/>
            <w:vAlign w:val="center"/>
          </w:tcPr>
          <w:p>
            <w:pPr>
              <w:spacing w:line="300" w:lineRule="exact"/>
              <w:jc w:val="center"/>
              <w:rPr>
                <w:sz w:val="21"/>
                <w:szCs w:val="21"/>
              </w:rPr>
            </w:pPr>
            <w:r>
              <w:rPr>
                <w:sz w:val="21"/>
                <w:szCs w:val="21"/>
              </w:rPr>
              <w:t>实验师</w:t>
            </w:r>
          </w:p>
        </w:tc>
        <w:tc>
          <w:tcPr>
            <w:tcW w:w="870" w:type="dxa"/>
            <w:vAlign w:val="center"/>
          </w:tcPr>
          <w:p>
            <w:pPr>
              <w:spacing w:line="300" w:lineRule="exact"/>
              <w:ind w:left="-120" w:leftChars="-50" w:right="-120" w:rightChars="-50"/>
              <w:jc w:val="center"/>
              <w:rPr>
                <w:sz w:val="21"/>
                <w:szCs w:val="21"/>
              </w:rPr>
            </w:pPr>
            <w:r>
              <w:rPr>
                <w:sz w:val="21"/>
                <w:szCs w:val="21"/>
              </w:rPr>
              <w:t>研究生</w:t>
            </w:r>
          </w:p>
        </w:tc>
        <w:tc>
          <w:tcPr>
            <w:tcW w:w="660" w:type="dxa"/>
            <w:vAlign w:val="center"/>
          </w:tcPr>
          <w:p>
            <w:pPr>
              <w:spacing w:line="300" w:lineRule="exact"/>
              <w:jc w:val="center"/>
              <w:rPr>
                <w:sz w:val="21"/>
                <w:szCs w:val="21"/>
              </w:rPr>
            </w:pPr>
            <w:r>
              <w:rPr>
                <w:sz w:val="21"/>
                <w:szCs w:val="21"/>
              </w:rPr>
              <w:t>硕士</w:t>
            </w:r>
          </w:p>
        </w:tc>
        <w:tc>
          <w:tcPr>
            <w:tcW w:w="1590" w:type="dxa"/>
            <w:vAlign w:val="center"/>
          </w:tcPr>
          <w:p>
            <w:pPr>
              <w:spacing w:line="300" w:lineRule="exact"/>
              <w:rPr>
                <w:sz w:val="21"/>
                <w:szCs w:val="21"/>
              </w:rPr>
            </w:pPr>
            <w:r>
              <w:rPr>
                <w:sz w:val="21"/>
                <w:szCs w:val="21"/>
              </w:rPr>
              <w:t>电气工程</w:t>
            </w:r>
          </w:p>
        </w:tc>
        <w:tc>
          <w:tcPr>
            <w:tcW w:w="2600" w:type="dxa"/>
            <w:vAlign w:val="center"/>
          </w:tcPr>
          <w:p>
            <w:pPr>
              <w:spacing w:line="300" w:lineRule="exact"/>
              <w:rPr>
                <w:sz w:val="21"/>
                <w:szCs w:val="21"/>
              </w:rPr>
            </w:pPr>
            <w:r>
              <w:rPr>
                <w:sz w:val="21"/>
                <w:szCs w:val="21"/>
              </w:rPr>
              <w:t>电力工程实验</w:t>
            </w:r>
          </w:p>
        </w:tc>
      </w:tr>
    </w:tbl>
    <w:p>
      <w:pPr>
        <w:ind w:firstLine="480" w:firstLineChars="200"/>
      </w:pPr>
      <w:r>
        <w:t>注重年轻教师的教学科研能力的培养与提高，积极创造条件，结合我院的</w:t>
      </w:r>
      <w:r>
        <w:rPr>
          <w:rFonts w:hint="eastAsia"/>
        </w:rPr>
        <w:t>“</w:t>
      </w:r>
      <w:r>
        <w:t>青蓝工程</w:t>
      </w:r>
      <w:r>
        <w:rPr>
          <w:rFonts w:hint="eastAsia"/>
        </w:rPr>
        <w:t>”</w:t>
      </w:r>
      <w:r>
        <w:t>，指定富有经验的老教师结对子，帮扶新进青年教师尽快掌握授课内容，提高授课技能。教师中，赵法起老师负责指导新进博士教师1名；在读博士2名；电气系教师胡安瑞、刘兴华和张稳获评2023年度硕士生导师资格；电气工程系获得省校教研项目2项。学院积极创造条件，帮助教师参加学校及国家举办的各类讲课技能、多媒体大赛，指导大学生科技创新实践，专业教师教学科研能力有了加大提高，获得较好效果。</w:t>
      </w:r>
    </w:p>
    <w:p>
      <w:pPr>
        <w:ind w:firstLine="480" w:firstLineChars="200"/>
      </w:pPr>
      <w:r>
        <w:t xml:space="preserve">注重教学实习实践基地建设，与山东泰开集团、山东国信电力有限公司、山东朗云工业设计有限公司、青岛悟牛科技有限公司、济南祥辰科技有限公司、泰安市电力公司，泰安市热电厂等多家相关企业具有良好的合作关系。 </w:t>
      </w:r>
    </w:p>
    <w:p>
      <w:pPr>
        <w:ind w:firstLine="480" w:firstLineChars="200"/>
      </w:pPr>
      <w:r>
        <w:t>专业任课教师极为重视现代教学技术在课堂教学中的应用，通过参加山东省多媒体课件比赛、微课比赛及学校举办的青年教师讲课技能大赛等方式，努力提高自身素质及课堂教学技能。教学手段上，充分利用多媒体教室、一体化教室、实训基地以及实训中心等一切有利条件来辅助教学。</w:t>
      </w:r>
    </w:p>
    <w:p>
      <w:pPr>
        <w:pStyle w:val="5"/>
        <w:spacing w:before="93" w:after="93"/>
        <w:ind w:firstLine="560"/>
      </w:pPr>
      <w:bookmarkStart w:id="353" w:name="_Toc22323"/>
      <w:r>
        <w:t>四、培养机制与特色（产学研协同育人机制、合作办学、教学管理等）</w:t>
      </w:r>
      <w:bookmarkEnd w:id="353"/>
    </w:p>
    <w:p>
      <w:pPr>
        <w:ind w:firstLine="480" w:firstLineChars="200"/>
      </w:pPr>
      <w:r>
        <w:t>电气工程及其自动化专业建设始终以党的教育方针为指导，结合山东省社会经济发展实际，加强内涵建设，以应用为导向、以创新为动力，以特色和品牌求发展，努力探索人才培养新模式，着力提高人才培养质量；在办学理念上，以学科建设为龙头，以科学研究和技术开发为先导，坚持教学工作的中心地位，坚持突出重点，协调发展的原则，注重理论联系实际。明确</w:t>
      </w:r>
      <w:r>
        <w:rPr>
          <w:rFonts w:hint="eastAsia"/>
        </w:rPr>
        <w:t>“</w:t>
      </w:r>
      <w:r>
        <w:t>以强电为主，加强弱电，强弱电结合</w:t>
      </w:r>
      <w:r>
        <w:rPr>
          <w:rFonts w:hint="eastAsia"/>
        </w:rPr>
        <w:t>”</w:t>
      </w:r>
      <w:r>
        <w:t>的办学特色；立足山东，服务于区域经济和电气工程行业。重点做好师资队伍建设、做好实验室建设、课程体系建设等；拓宽面向，强化服务，扩大交流，向开放式办学模式转变。按照</w:t>
      </w:r>
      <w:r>
        <w:rPr>
          <w:rFonts w:hint="eastAsia"/>
        </w:rPr>
        <w:t>“</w:t>
      </w:r>
      <w:r>
        <w:t>高起点、高标准、高目标</w:t>
      </w:r>
      <w:r>
        <w:rPr>
          <w:rFonts w:hint="eastAsia"/>
        </w:rPr>
        <w:t>”</w:t>
      </w:r>
      <w:r>
        <w:t>的原则进行本专业的建设，提高本科教育质量，进一步提高本专业的就业竞争力。</w:t>
      </w:r>
    </w:p>
    <w:p>
      <w:pPr>
        <w:ind w:firstLine="480" w:firstLineChars="200"/>
      </w:pPr>
      <w:r>
        <w:t>电气工程专业建设过程中，极为重视产学研协同育人机制的构建与实施，首先选派多名骨干教师到相关企业及科研院所进行合作研发等工作，如骨干教师赵法起、王冉冉、刘双喜等到山东泰开集团变压器公司、高压开关公司、济南祥辰科技公司进行合作研究。</w:t>
      </w:r>
    </w:p>
    <w:p>
      <w:pPr>
        <w:ind w:firstLine="480" w:firstLineChars="200"/>
      </w:pPr>
      <w:r>
        <w:t>合作办学方面，聘任校外13位专家及校内8名骨干教师为</w:t>
      </w:r>
      <w:r>
        <w:rPr>
          <w:rFonts w:hint="eastAsia"/>
        </w:rPr>
        <w:t>“</w:t>
      </w:r>
      <w:r>
        <w:t>大学生卓越工程师班</w:t>
      </w:r>
      <w:r>
        <w:rPr>
          <w:rFonts w:hint="eastAsia"/>
        </w:rPr>
        <w:t>”</w:t>
      </w:r>
      <w:r>
        <w:t>指导教师：</w:t>
      </w:r>
    </w:p>
    <w:p>
      <w:pPr>
        <w:ind w:firstLine="480" w:firstLineChars="200"/>
      </w:pPr>
      <w:r>
        <w:t>校外导师：</w:t>
      </w:r>
    </w:p>
    <w:p>
      <w:pPr>
        <w:ind w:firstLine="480" w:firstLineChars="200"/>
      </w:pPr>
      <w:r>
        <w:t>泰安华鲁锻压机床有限公司董事长：刘庆印；</w:t>
      </w:r>
    </w:p>
    <w:p>
      <w:pPr>
        <w:ind w:firstLine="480" w:firstLineChars="200"/>
      </w:pPr>
      <w:r>
        <w:t>中国重汽集团泰安五岳专用汽车有限公司副总经理：宫学民、总工李耐文；</w:t>
      </w:r>
    </w:p>
    <w:p>
      <w:pPr>
        <w:ind w:firstLine="480" w:firstLineChars="200"/>
      </w:pPr>
      <w:r>
        <w:t>泰安嘉和重工股份有限公司总经理：安宝峰、总工姚庆昌；</w:t>
      </w:r>
    </w:p>
    <w:p>
      <w:pPr>
        <w:ind w:firstLine="480" w:firstLineChars="200"/>
      </w:pPr>
      <w:r>
        <w:t>泰安海威数控机床有限公司总经理：吴士奎；</w:t>
      </w:r>
    </w:p>
    <w:p>
      <w:pPr>
        <w:ind w:firstLine="480" w:firstLineChars="200"/>
      </w:pPr>
      <w:r>
        <w:t>泰安大源机械有限公司总经理：张增堂；</w:t>
      </w:r>
    </w:p>
    <w:p>
      <w:pPr>
        <w:ind w:firstLine="480" w:firstLineChars="200"/>
      </w:pPr>
      <w:r>
        <w:t>山东恒通膨胀节制造有限公司董事长：王焕庆；</w:t>
      </w:r>
    </w:p>
    <w:p>
      <w:pPr>
        <w:ind w:firstLine="480" w:firstLineChars="200"/>
      </w:pPr>
      <w:r>
        <w:t>国泰集团董事长：杨学东；</w:t>
      </w:r>
    </w:p>
    <w:p>
      <w:pPr>
        <w:ind w:firstLine="480" w:firstLineChars="200"/>
      </w:pPr>
      <w:r>
        <w:t>泰安市电气行业协会副秘书长：胡鹏；</w:t>
      </w:r>
    </w:p>
    <w:p>
      <w:pPr>
        <w:ind w:firstLine="480" w:firstLineChars="200"/>
      </w:pPr>
      <w:r>
        <w:t>山东华兴机械股份有限公司副总经理：王勇；</w:t>
      </w:r>
    </w:p>
    <w:p>
      <w:pPr>
        <w:ind w:firstLine="480" w:firstLineChars="200"/>
      </w:pPr>
      <w:r>
        <w:t>山东五征集团有限公司副总经理：吴长民；</w:t>
      </w:r>
    </w:p>
    <w:p>
      <w:pPr>
        <w:ind w:firstLine="480" w:firstLineChars="200"/>
      </w:pPr>
      <w:r>
        <w:t>山东爱普电气设备有限公司副总经理：李忠；</w:t>
      </w:r>
    </w:p>
    <w:p>
      <w:pPr>
        <w:ind w:firstLine="480" w:firstLineChars="200"/>
      </w:pPr>
      <w:r>
        <w:t>在教学管理方面，首先采取的措施是加强学科建设，重视人才培养模式：根据学科和社会发展的需要，适时进行专业设置和专业方向的调整，增强专业的适应性，重视人才培养模式，把素质教育、创新教育贯穿于人才培养的全过程，坚持通识教育与专业教育并重，学问修养与人格修养并重，知识、能力与素质并重；其次在对</w:t>
      </w:r>
      <w:r>
        <w:rPr>
          <w:rFonts w:hint="eastAsia"/>
        </w:rPr>
        <w:t>“</w:t>
      </w:r>
      <w:r>
        <w:t>教</w:t>
      </w:r>
      <w:r>
        <w:rPr>
          <w:rFonts w:hint="eastAsia"/>
        </w:rPr>
        <w:t>”</w:t>
      </w:r>
      <w:r>
        <w:t>的管理的基础上，加强对</w:t>
      </w:r>
      <w:r>
        <w:rPr>
          <w:rFonts w:hint="eastAsia"/>
        </w:rPr>
        <w:t>“</w:t>
      </w:r>
      <w:r>
        <w:t>学</w:t>
      </w:r>
      <w:r>
        <w:rPr>
          <w:rFonts w:hint="eastAsia"/>
        </w:rPr>
        <w:t>”</w:t>
      </w:r>
      <w:r>
        <w:t>的管理：努力为学生营造一个宽松的学习环境，尊重学生身心发展规律，坚持以人为本。论文格式。任何一项教学管理制度、措施都要有利于充分调动学生的积极性和创造性，有利于培养学生的创新精神和实践能力；再次，加强对学教质量的管理：严格执行教学计划与管理制度，重点对教学过程中的教案、教学大纲、教学日历等资料文件加强管理，定期组织教学方面的研讨会，提高广大教师的教学质量；最后，加强教学过程控制：组织各级督导深入课堂，并定期反馈，把教书育人、科研育人、管理育人、服务育人、环境育人有机结合起来。</w:t>
      </w:r>
    </w:p>
    <w:p>
      <w:pPr>
        <w:pStyle w:val="5"/>
        <w:spacing w:before="93" w:after="93"/>
        <w:ind w:firstLine="560"/>
      </w:pPr>
      <w:bookmarkStart w:id="354" w:name="_Toc8745"/>
      <w:r>
        <w:t>五、培养质量（毕业生就业率、就业专业对口率、毕业生发展情况、就业单位满意率、社会对专业的评价、学生就读该专业的意愿等）</w:t>
      </w:r>
      <w:bookmarkEnd w:id="354"/>
    </w:p>
    <w:p>
      <w:pPr>
        <w:ind w:firstLine="480" w:firstLineChars="200"/>
      </w:pPr>
      <w:r>
        <w:t>2005-2022年,18届毕业生考研率分别为22%、15%、10%、12%、19%、31%、18%、27%、35.9%、22.4%、22.5%、26.3%、29.7%、44.3%、44.7%、41.25%，、31%和39.4%；主要保送和考取的学校有华北电力大学、重庆大学、华中科技大学、西安电子科技大学、北京航空航天大学，南京航空航天大学、北京邮电大学、山东大学、北京交通大学等985、211国家级重点大学。</w:t>
      </w:r>
    </w:p>
    <w:p>
      <w:pPr>
        <w:spacing w:line="300" w:lineRule="exact"/>
        <w:jc w:val="center"/>
        <w:rPr>
          <w:b/>
          <w:bCs/>
          <w:sz w:val="21"/>
          <w:szCs w:val="21"/>
        </w:rPr>
      </w:pPr>
      <w:r>
        <w:rPr>
          <w:b/>
          <w:bCs/>
          <w:sz w:val="21"/>
          <w:szCs w:val="21"/>
        </w:rPr>
        <w:t>表3  电气工程及其自动化专业历年考研入取统计表</w:t>
      </w:r>
    </w:p>
    <w:tbl>
      <w:tblPr>
        <w:tblStyle w:val="17"/>
        <w:tblW w:w="9200" w:type="dxa"/>
        <w:tblInd w:w="-6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0"/>
        <w:gridCol w:w="760"/>
        <w:gridCol w:w="760"/>
        <w:gridCol w:w="760"/>
        <w:gridCol w:w="760"/>
        <w:gridCol w:w="760"/>
        <w:gridCol w:w="760"/>
        <w:gridCol w:w="760"/>
        <w:gridCol w:w="760"/>
        <w:gridCol w:w="760"/>
        <w:gridCol w:w="760"/>
        <w:gridCol w:w="7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dxa"/>
            <w:vAlign w:val="center"/>
          </w:tcPr>
          <w:p>
            <w:pPr>
              <w:spacing w:line="300" w:lineRule="exact"/>
              <w:jc w:val="center"/>
              <w:rPr>
                <w:b/>
                <w:bCs/>
                <w:sz w:val="21"/>
                <w:szCs w:val="21"/>
              </w:rPr>
            </w:pPr>
            <w:r>
              <w:rPr>
                <w:b/>
                <w:bCs/>
                <w:sz w:val="21"/>
                <w:szCs w:val="21"/>
              </w:rPr>
              <w:t>年份</w:t>
            </w:r>
          </w:p>
        </w:tc>
        <w:tc>
          <w:tcPr>
            <w:tcW w:w="760" w:type="dxa"/>
            <w:vAlign w:val="center"/>
          </w:tcPr>
          <w:p>
            <w:pPr>
              <w:spacing w:line="300" w:lineRule="exact"/>
              <w:jc w:val="center"/>
              <w:rPr>
                <w:b/>
                <w:bCs/>
                <w:sz w:val="21"/>
                <w:szCs w:val="21"/>
              </w:rPr>
            </w:pPr>
            <w:r>
              <w:rPr>
                <w:b/>
                <w:bCs/>
                <w:sz w:val="21"/>
                <w:szCs w:val="21"/>
              </w:rPr>
              <w:t>05</w:t>
            </w:r>
          </w:p>
        </w:tc>
        <w:tc>
          <w:tcPr>
            <w:tcW w:w="760" w:type="dxa"/>
            <w:vAlign w:val="center"/>
          </w:tcPr>
          <w:p>
            <w:pPr>
              <w:spacing w:line="300" w:lineRule="exact"/>
              <w:jc w:val="center"/>
              <w:rPr>
                <w:b/>
                <w:bCs/>
                <w:sz w:val="21"/>
                <w:szCs w:val="21"/>
              </w:rPr>
            </w:pPr>
            <w:r>
              <w:rPr>
                <w:b/>
                <w:bCs/>
                <w:sz w:val="21"/>
                <w:szCs w:val="21"/>
              </w:rPr>
              <w:t>06</w:t>
            </w:r>
          </w:p>
        </w:tc>
        <w:tc>
          <w:tcPr>
            <w:tcW w:w="760" w:type="dxa"/>
            <w:vAlign w:val="center"/>
          </w:tcPr>
          <w:p>
            <w:pPr>
              <w:spacing w:line="300" w:lineRule="exact"/>
              <w:jc w:val="center"/>
              <w:rPr>
                <w:b/>
                <w:bCs/>
                <w:sz w:val="21"/>
                <w:szCs w:val="21"/>
              </w:rPr>
            </w:pPr>
            <w:r>
              <w:rPr>
                <w:b/>
                <w:bCs/>
                <w:sz w:val="21"/>
                <w:szCs w:val="21"/>
              </w:rPr>
              <w:t>07</w:t>
            </w:r>
          </w:p>
        </w:tc>
        <w:tc>
          <w:tcPr>
            <w:tcW w:w="760" w:type="dxa"/>
            <w:vAlign w:val="center"/>
          </w:tcPr>
          <w:p>
            <w:pPr>
              <w:spacing w:line="300" w:lineRule="exact"/>
              <w:jc w:val="center"/>
              <w:rPr>
                <w:b/>
                <w:bCs/>
                <w:sz w:val="21"/>
                <w:szCs w:val="21"/>
              </w:rPr>
            </w:pPr>
            <w:r>
              <w:rPr>
                <w:b/>
                <w:bCs/>
                <w:sz w:val="21"/>
                <w:szCs w:val="21"/>
              </w:rPr>
              <w:t>08</w:t>
            </w:r>
          </w:p>
        </w:tc>
        <w:tc>
          <w:tcPr>
            <w:tcW w:w="760" w:type="dxa"/>
            <w:vAlign w:val="center"/>
          </w:tcPr>
          <w:p>
            <w:pPr>
              <w:spacing w:line="300" w:lineRule="exact"/>
              <w:jc w:val="center"/>
              <w:rPr>
                <w:b/>
                <w:bCs/>
                <w:sz w:val="21"/>
                <w:szCs w:val="21"/>
              </w:rPr>
            </w:pPr>
            <w:r>
              <w:rPr>
                <w:b/>
                <w:bCs/>
                <w:sz w:val="21"/>
                <w:szCs w:val="21"/>
              </w:rPr>
              <w:t>09</w:t>
            </w:r>
          </w:p>
        </w:tc>
        <w:tc>
          <w:tcPr>
            <w:tcW w:w="760" w:type="dxa"/>
            <w:vAlign w:val="center"/>
          </w:tcPr>
          <w:p>
            <w:pPr>
              <w:spacing w:line="300" w:lineRule="exact"/>
              <w:jc w:val="center"/>
              <w:rPr>
                <w:b/>
                <w:bCs/>
                <w:sz w:val="21"/>
                <w:szCs w:val="21"/>
              </w:rPr>
            </w:pPr>
            <w:r>
              <w:rPr>
                <w:b/>
                <w:bCs/>
                <w:sz w:val="21"/>
                <w:szCs w:val="21"/>
              </w:rPr>
              <w:t>10</w:t>
            </w:r>
          </w:p>
        </w:tc>
        <w:tc>
          <w:tcPr>
            <w:tcW w:w="760" w:type="dxa"/>
            <w:vAlign w:val="center"/>
          </w:tcPr>
          <w:p>
            <w:pPr>
              <w:spacing w:line="300" w:lineRule="exact"/>
              <w:jc w:val="center"/>
              <w:rPr>
                <w:b/>
                <w:bCs/>
                <w:sz w:val="21"/>
                <w:szCs w:val="21"/>
              </w:rPr>
            </w:pPr>
            <w:r>
              <w:rPr>
                <w:b/>
                <w:bCs/>
                <w:sz w:val="21"/>
                <w:szCs w:val="21"/>
              </w:rPr>
              <w:t>11</w:t>
            </w:r>
          </w:p>
        </w:tc>
        <w:tc>
          <w:tcPr>
            <w:tcW w:w="760" w:type="dxa"/>
            <w:vAlign w:val="center"/>
          </w:tcPr>
          <w:p>
            <w:pPr>
              <w:spacing w:line="300" w:lineRule="exact"/>
              <w:jc w:val="center"/>
              <w:rPr>
                <w:b/>
                <w:bCs/>
                <w:sz w:val="21"/>
                <w:szCs w:val="21"/>
              </w:rPr>
            </w:pPr>
            <w:r>
              <w:rPr>
                <w:b/>
                <w:bCs/>
                <w:sz w:val="21"/>
                <w:szCs w:val="21"/>
              </w:rPr>
              <w:t>12</w:t>
            </w:r>
          </w:p>
        </w:tc>
        <w:tc>
          <w:tcPr>
            <w:tcW w:w="760" w:type="dxa"/>
            <w:vAlign w:val="center"/>
          </w:tcPr>
          <w:p>
            <w:pPr>
              <w:spacing w:line="300" w:lineRule="exact"/>
              <w:jc w:val="center"/>
              <w:rPr>
                <w:b/>
                <w:bCs/>
                <w:sz w:val="21"/>
                <w:szCs w:val="21"/>
              </w:rPr>
            </w:pPr>
            <w:r>
              <w:rPr>
                <w:b/>
                <w:bCs/>
                <w:sz w:val="21"/>
                <w:szCs w:val="21"/>
              </w:rPr>
              <w:t>13</w:t>
            </w:r>
          </w:p>
        </w:tc>
        <w:tc>
          <w:tcPr>
            <w:tcW w:w="760" w:type="dxa"/>
            <w:vAlign w:val="center"/>
          </w:tcPr>
          <w:p>
            <w:pPr>
              <w:spacing w:line="300" w:lineRule="exact"/>
              <w:jc w:val="center"/>
              <w:rPr>
                <w:b/>
                <w:bCs/>
                <w:sz w:val="21"/>
                <w:szCs w:val="21"/>
              </w:rPr>
            </w:pPr>
            <w:r>
              <w:rPr>
                <w:b/>
                <w:bCs/>
                <w:sz w:val="21"/>
                <w:szCs w:val="21"/>
              </w:rPr>
              <w:t>14</w:t>
            </w:r>
          </w:p>
        </w:tc>
        <w:tc>
          <w:tcPr>
            <w:tcW w:w="760" w:type="dxa"/>
            <w:vAlign w:val="center"/>
          </w:tcPr>
          <w:p>
            <w:pPr>
              <w:spacing w:line="300" w:lineRule="exact"/>
              <w:jc w:val="center"/>
              <w:rPr>
                <w:b/>
                <w:bCs/>
                <w:sz w:val="21"/>
                <w:szCs w:val="21"/>
              </w:rPr>
            </w:pPr>
            <w:r>
              <w:rPr>
                <w:b/>
                <w:bCs/>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dxa"/>
            <w:vAlign w:val="center"/>
          </w:tcPr>
          <w:p>
            <w:pPr>
              <w:spacing w:line="300" w:lineRule="exact"/>
              <w:ind w:left="-48" w:leftChars="-20" w:right="-48" w:rightChars="-20"/>
              <w:jc w:val="center"/>
              <w:rPr>
                <w:sz w:val="21"/>
                <w:szCs w:val="21"/>
              </w:rPr>
            </w:pPr>
            <w:r>
              <w:rPr>
                <w:sz w:val="21"/>
                <w:szCs w:val="21"/>
              </w:rPr>
              <w:t>考研率</w:t>
            </w:r>
          </w:p>
        </w:tc>
        <w:tc>
          <w:tcPr>
            <w:tcW w:w="760" w:type="dxa"/>
            <w:vAlign w:val="center"/>
          </w:tcPr>
          <w:p>
            <w:pPr>
              <w:spacing w:line="300" w:lineRule="exact"/>
              <w:jc w:val="center"/>
              <w:rPr>
                <w:sz w:val="21"/>
                <w:szCs w:val="21"/>
              </w:rPr>
            </w:pPr>
            <w:r>
              <w:rPr>
                <w:sz w:val="21"/>
                <w:szCs w:val="21"/>
              </w:rPr>
              <w:t>22%</w:t>
            </w:r>
          </w:p>
        </w:tc>
        <w:tc>
          <w:tcPr>
            <w:tcW w:w="760" w:type="dxa"/>
            <w:vAlign w:val="center"/>
          </w:tcPr>
          <w:p>
            <w:pPr>
              <w:spacing w:line="300" w:lineRule="exact"/>
              <w:jc w:val="center"/>
              <w:rPr>
                <w:sz w:val="21"/>
                <w:szCs w:val="21"/>
              </w:rPr>
            </w:pPr>
            <w:r>
              <w:rPr>
                <w:sz w:val="21"/>
                <w:szCs w:val="21"/>
              </w:rPr>
              <w:t>15%</w:t>
            </w:r>
          </w:p>
        </w:tc>
        <w:tc>
          <w:tcPr>
            <w:tcW w:w="760" w:type="dxa"/>
            <w:vAlign w:val="center"/>
          </w:tcPr>
          <w:p>
            <w:pPr>
              <w:spacing w:line="300" w:lineRule="exact"/>
              <w:jc w:val="center"/>
              <w:rPr>
                <w:sz w:val="21"/>
                <w:szCs w:val="21"/>
              </w:rPr>
            </w:pPr>
            <w:r>
              <w:rPr>
                <w:sz w:val="21"/>
                <w:szCs w:val="21"/>
              </w:rPr>
              <w:t>10%</w:t>
            </w:r>
          </w:p>
        </w:tc>
        <w:tc>
          <w:tcPr>
            <w:tcW w:w="760" w:type="dxa"/>
            <w:vAlign w:val="center"/>
          </w:tcPr>
          <w:p>
            <w:pPr>
              <w:spacing w:line="300" w:lineRule="exact"/>
              <w:jc w:val="center"/>
              <w:rPr>
                <w:sz w:val="21"/>
                <w:szCs w:val="21"/>
              </w:rPr>
            </w:pPr>
            <w:r>
              <w:rPr>
                <w:sz w:val="21"/>
                <w:szCs w:val="21"/>
              </w:rPr>
              <w:t>12%</w:t>
            </w:r>
          </w:p>
        </w:tc>
        <w:tc>
          <w:tcPr>
            <w:tcW w:w="760" w:type="dxa"/>
            <w:vAlign w:val="center"/>
          </w:tcPr>
          <w:p>
            <w:pPr>
              <w:spacing w:line="300" w:lineRule="exact"/>
              <w:jc w:val="center"/>
              <w:rPr>
                <w:sz w:val="21"/>
                <w:szCs w:val="21"/>
              </w:rPr>
            </w:pPr>
            <w:r>
              <w:rPr>
                <w:sz w:val="21"/>
                <w:szCs w:val="21"/>
              </w:rPr>
              <w:t>19%</w:t>
            </w:r>
          </w:p>
        </w:tc>
        <w:tc>
          <w:tcPr>
            <w:tcW w:w="760" w:type="dxa"/>
            <w:vAlign w:val="center"/>
          </w:tcPr>
          <w:p>
            <w:pPr>
              <w:spacing w:line="300" w:lineRule="exact"/>
              <w:jc w:val="center"/>
              <w:rPr>
                <w:sz w:val="21"/>
                <w:szCs w:val="21"/>
              </w:rPr>
            </w:pPr>
            <w:r>
              <w:rPr>
                <w:sz w:val="21"/>
                <w:szCs w:val="21"/>
              </w:rPr>
              <w:t>31%</w:t>
            </w:r>
          </w:p>
        </w:tc>
        <w:tc>
          <w:tcPr>
            <w:tcW w:w="760" w:type="dxa"/>
            <w:vAlign w:val="center"/>
          </w:tcPr>
          <w:p>
            <w:pPr>
              <w:spacing w:line="300" w:lineRule="exact"/>
              <w:jc w:val="center"/>
              <w:rPr>
                <w:sz w:val="21"/>
                <w:szCs w:val="21"/>
              </w:rPr>
            </w:pPr>
            <w:r>
              <w:rPr>
                <w:sz w:val="21"/>
                <w:szCs w:val="21"/>
              </w:rPr>
              <w:t>18%</w:t>
            </w:r>
          </w:p>
        </w:tc>
        <w:tc>
          <w:tcPr>
            <w:tcW w:w="760" w:type="dxa"/>
            <w:vAlign w:val="center"/>
          </w:tcPr>
          <w:p>
            <w:pPr>
              <w:spacing w:line="300" w:lineRule="exact"/>
              <w:jc w:val="center"/>
              <w:rPr>
                <w:sz w:val="21"/>
                <w:szCs w:val="21"/>
              </w:rPr>
            </w:pPr>
            <w:r>
              <w:rPr>
                <w:sz w:val="21"/>
                <w:szCs w:val="21"/>
              </w:rPr>
              <w:t>27%</w:t>
            </w:r>
          </w:p>
        </w:tc>
        <w:tc>
          <w:tcPr>
            <w:tcW w:w="760" w:type="dxa"/>
            <w:vAlign w:val="center"/>
          </w:tcPr>
          <w:p>
            <w:pPr>
              <w:spacing w:line="300" w:lineRule="exact"/>
              <w:jc w:val="center"/>
              <w:rPr>
                <w:sz w:val="21"/>
                <w:szCs w:val="21"/>
              </w:rPr>
            </w:pPr>
            <w:r>
              <w:rPr>
                <w:sz w:val="21"/>
                <w:szCs w:val="21"/>
              </w:rPr>
              <w:t>35.9%</w:t>
            </w:r>
          </w:p>
        </w:tc>
        <w:tc>
          <w:tcPr>
            <w:tcW w:w="760" w:type="dxa"/>
            <w:vAlign w:val="center"/>
          </w:tcPr>
          <w:p>
            <w:pPr>
              <w:spacing w:line="300" w:lineRule="exact"/>
              <w:jc w:val="center"/>
              <w:rPr>
                <w:sz w:val="21"/>
                <w:szCs w:val="21"/>
              </w:rPr>
            </w:pPr>
            <w:r>
              <w:rPr>
                <w:sz w:val="21"/>
                <w:szCs w:val="21"/>
              </w:rPr>
              <w:t>22.4%</w:t>
            </w:r>
          </w:p>
        </w:tc>
        <w:tc>
          <w:tcPr>
            <w:tcW w:w="760" w:type="dxa"/>
            <w:vAlign w:val="center"/>
          </w:tcPr>
          <w:p>
            <w:pPr>
              <w:spacing w:line="300" w:lineRule="exact"/>
              <w:jc w:val="center"/>
              <w:rPr>
                <w:sz w:val="21"/>
                <w:szCs w:val="21"/>
              </w:rPr>
            </w:pPr>
            <w:r>
              <w:rPr>
                <w:sz w:val="21"/>
                <w:szCs w:val="21"/>
              </w:rPr>
              <w:t>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dxa"/>
            <w:vAlign w:val="center"/>
          </w:tcPr>
          <w:p>
            <w:pPr>
              <w:spacing w:line="300" w:lineRule="exact"/>
              <w:ind w:left="-48" w:leftChars="-20" w:right="-48" w:rightChars="-20"/>
              <w:jc w:val="center"/>
              <w:rPr>
                <w:sz w:val="21"/>
                <w:szCs w:val="21"/>
              </w:rPr>
            </w:pPr>
            <w:r>
              <w:rPr>
                <w:sz w:val="21"/>
                <w:szCs w:val="21"/>
              </w:rPr>
              <w:t>年份</w:t>
            </w:r>
          </w:p>
        </w:tc>
        <w:tc>
          <w:tcPr>
            <w:tcW w:w="760" w:type="dxa"/>
            <w:vAlign w:val="center"/>
          </w:tcPr>
          <w:p>
            <w:pPr>
              <w:spacing w:line="300" w:lineRule="exact"/>
              <w:jc w:val="center"/>
              <w:rPr>
                <w:sz w:val="21"/>
                <w:szCs w:val="21"/>
              </w:rPr>
            </w:pPr>
            <w:r>
              <w:rPr>
                <w:sz w:val="21"/>
                <w:szCs w:val="21"/>
              </w:rPr>
              <w:t>16</w:t>
            </w:r>
          </w:p>
        </w:tc>
        <w:tc>
          <w:tcPr>
            <w:tcW w:w="760" w:type="dxa"/>
            <w:vAlign w:val="center"/>
          </w:tcPr>
          <w:p>
            <w:pPr>
              <w:spacing w:line="300" w:lineRule="exact"/>
              <w:jc w:val="center"/>
              <w:rPr>
                <w:sz w:val="21"/>
                <w:szCs w:val="21"/>
              </w:rPr>
            </w:pPr>
            <w:r>
              <w:rPr>
                <w:sz w:val="21"/>
                <w:szCs w:val="21"/>
              </w:rPr>
              <w:t>17</w:t>
            </w:r>
          </w:p>
        </w:tc>
        <w:tc>
          <w:tcPr>
            <w:tcW w:w="760" w:type="dxa"/>
            <w:vAlign w:val="center"/>
          </w:tcPr>
          <w:p>
            <w:pPr>
              <w:spacing w:line="300" w:lineRule="exact"/>
              <w:jc w:val="center"/>
              <w:rPr>
                <w:sz w:val="21"/>
                <w:szCs w:val="21"/>
              </w:rPr>
            </w:pPr>
            <w:r>
              <w:rPr>
                <w:sz w:val="21"/>
                <w:szCs w:val="21"/>
              </w:rPr>
              <w:t>18</w:t>
            </w:r>
          </w:p>
        </w:tc>
        <w:tc>
          <w:tcPr>
            <w:tcW w:w="760" w:type="dxa"/>
            <w:vAlign w:val="center"/>
          </w:tcPr>
          <w:p>
            <w:pPr>
              <w:spacing w:line="300" w:lineRule="exact"/>
              <w:jc w:val="center"/>
              <w:rPr>
                <w:sz w:val="21"/>
                <w:szCs w:val="21"/>
              </w:rPr>
            </w:pPr>
            <w:r>
              <w:rPr>
                <w:sz w:val="21"/>
                <w:szCs w:val="21"/>
              </w:rPr>
              <w:t>19</w:t>
            </w:r>
          </w:p>
        </w:tc>
        <w:tc>
          <w:tcPr>
            <w:tcW w:w="760" w:type="dxa"/>
            <w:vAlign w:val="center"/>
          </w:tcPr>
          <w:p>
            <w:pPr>
              <w:spacing w:line="300" w:lineRule="exact"/>
              <w:jc w:val="center"/>
              <w:rPr>
                <w:sz w:val="21"/>
                <w:szCs w:val="21"/>
              </w:rPr>
            </w:pPr>
            <w:r>
              <w:rPr>
                <w:sz w:val="21"/>
                <w:szCs w:val="21"/>
              </w:rPr>
              <w:t>20</w:t>
            </w:r>
          </w:p>
        </w:tc>
        <w:tc>
          <w:tcPr>
            <w:tcW w:w="760" w:type="dxa"/>
            <w:vAlign w:val="center"/>
          </w:tcPr>
          <w:p>
            <w:pPr>
              <w:spacing w:line="300" w:lineRule="exact"/>
              <w:jc w:val="center"/>
              <w:rPr>
                <w:sz w:val="21"/>
                <w:szCs w:val="21"/>
              </w:rPr>
            </w:pPr>
            <w:r>
              <w:rPr>
                <w:sz w:val="21"/>
                <w:szCs w:val="21"/>
              </w:rPr>
              <w:t>21</w:t>
            </w:r>
          </w:p>
        </w:tc>
        <w:tc>
          <w:tcPr>
            <w:tcW w:w="760" w:type="dxa"/>
            <w:vAlign w:val="center"/>
          </w:tcPr>
          <w:p>
            <w:pPr>
              <w:spacing w:line="300" w:lineRule="exact"/>
              <w:jc w:val="center"/>
              <w:rPr>
                <w:sz w:val="21"/>
                <w:szCs w:val="21"/>
              </w:rPr>
            </w:pPr>
            <w:r>
              <w:rPr>
                <w:sz w:val="21"/>
                <w:szCs w:val="21"/>
              </w:rPr>
              <w:t>22</w:t>
            </w:r>
          </w:p>
        </w:tc>
        <w:tc>
          <w:tcPr>
            <w:tcW w:w="760" w:type="dxa"/>
            <w:vAlign w:val="center"/>
          </w:tcPr>
          <w:p>
            <w:pPr>
              <w:spacing w:line="300" w:lineRule="exact"/>
              <w:jc w:val="center"/>
              <w:rPr>
                <w:sz w:val="21"/>
                <w:szCs w:val="21"/>
              </w:rPr>
            </w:pPr>
          </w:p>
        </w:tc>
        <w:tc>
          <w:tcPr>
            <w:tcW w:w="760" w:type="dxa"/>
            <w:vAlign w:val="center"/>
          </w:tcPr>
          <w:p>
            <w:pPr>
              <w:spacing w:line="300" w:lineRule="exact"/>
              <w:jc w:val="center"/>
              <w:rPr>
                <w:sz w:val="21"/>
                <w:szCs w:val="21"/>
              </w:rPr>
            </w:pPr>
          </w:p>
        </w:tc>
        <w:tc>
          <w:tcPr>
            <w:tcW w:w="760" w:type="dxa"/>
            <w:vAlign w:val="center"/>
          </w:tcPr>
          <w:p>
            <w:pPr>
              <w:spacing w:line="300" w:lineRule="exact"/>
              <w:jc w:val="center"/>
              <w:rPr>
                <w:sz w:val="21"/>
                <w:szCs w:val="21"/>
              </w:rPr>
            </w:pPr>
          </w:p>
        </w:tc>
        <w:tc>
          <w:tcPr>
            <w:tcW w:w="760" w:type="dxa"/>
            <w:vAlign w:val="center"/>
          </w:tcPr>
          <w:p>
            <w:pPr>
              <w:spacing w:line="300" w:lineRule="exact"/>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dxa"/>
            <w:vAlign w:val="center"/>
          </w:tcPr>
          <w:p>
            <w:pPr>
              <w:spacing w:line="300" w:lineRule="exact"/>
              <w:ind w:left="-48" w:leftChars="-20" w:right="-48" w:rightChars="-20"/>
              <w:jc w:val="center"/>
              <w:rPr>
                <w:sz w:val="21"/>
                <w:szCs w:val="21"/>
              </w:rPr>
            </w:pPr>
            <w:r>
              <w:rPr>
                <w:sz w:val="21"/>
                <w:szCs w:val="21"/>
              </w:rPr>
              <w:t>考研率</w:t>
            </w:r>
          </w:p>
        </w:tc>
        <w:tc>
          <w:tcPr>
            <w:tcW w:w="760" w:type="dxa"/>
            <w:vAlign w:val="center"/>
          </w:tcPr>
          <w:p>
            <w:pPr>
              <w:spacing w:line="300" w:lineRule="exact"/>
              <w:jc w:val="center"/>
              <w:rPr>
                <w:sz w:val="21"/>
                <w:szCs w:val="21"/>
              </w:rPr>
            </w:pPr>
            <w:r>
              <w:rPr>
                <w:sz w:val="21"/>
                <w:szCs w:val="21"/>
              </w:rPr>
              <w:t>26.3%</w:t>
            </w:r>
          </w:p>
        </w:tc>
        <w:tc>
          <w:tcPr>
            <w:tcW w:w="760" w:type="dxa"/>
            <w:vAlign w:val="center"/>
          </w:tcPr>
          <w:p>
            <w:pPr>
              <w:spacing w:line="300" w:lineRule="exact"/>
              <w:jc w:val="center"/>
              <w:rPr>
                <w:sz w:val="21"/>
                <w:szCs w:val="21"/>
              </w:rPr>
            </w:pPr>
            <w:r>
              <w:rPr>
                <w:sz w:val="21"/>
                <w:szCs w:val="21"/>
              </w:rPr>
              <w:t>29.7%</w:t>
            </w:r>
          </w:p>
        </w:tc>
        <w:tc>
          <w:tcPr>
            <w:tcW w:w="760" w:type="dxa"/>
            <w:vAlign w:val="center"/>
          </w:tcPr>
          <w:p>
            <w:pPr>
              <w:spacing w:line="300" w:lineRule="exact"/>
              <w:jc w:val="center"/>
              <w:rPr>
                <w:sz w:val="21"/>
                <w:szCs w:val="21"/>
              </w:rPr>
            </w:pPr>
            <w:r>
              <w:rPr>
                <w:sz w:val="21"/>
                <w:szCs w:val="21"/>
              </w:rPr>
              <w:t>44.3%</w:t>
            </w:r>
          </w:p>
        </w:tc>
        <w:tc>
          <w:tcPr>
            <w:tcW w:w="760" w:type="dxa"/>
            <w:vAlign w:val="center"/>
          </w:tcPr>
          <w:p>
            <w:pPr>
              <w:spacing w:line="300" w:lineRule="exact"/>
              <w:jc w:val="center"/>
              <w:rPr>
                <w:sz w:val="21"/>
                <w:szCs w:val="21"/>
              </w:rPr>
            </w:pPr>
            <w:r>
              <w:rPr>
                <w:sz w:val="21"/>
                <w:szCs w:val="21"/>
              </w:rPr>
              <w:t>44.7%</w:t>
            </w:r>
          </w:p>
        </w:tc>
        <w:tc>
          <w:tcPr>
            <w:tcW w:w="760" w:type="dxa"/>
            <w:vAlign w:val="center"/>
          </w:tcPr>
          <w:p>
            <w:pPr>
              <w:spacing w:line="300" w:lineRule="exact"/>
              <w:jc w:val="center"/>
              <w:rPr>
                <w:sz w:val="21"/>
                <w:szCs w:val="21"/>
              </w:rPr>
            </w:pPr>
            <w:r>
              <w:rPr>
                <w:sz w:val="21"/>
                <w:szCs w:val="21"/>
              </w:rPr>
              <w:t>45.7%</w:t>
            </w:r>
          </w:p>
        </w:tc>
        <w:tc>
          <w:tcPr>
            <w:tcW w:w="760" w:type="dxa"/>
            <w:vAlign w:val="center"/>
          </w:tcPr>
          <w:p>
            <w:pPr>
              <w:spacing w:line="300" w:lineRule="exact"/>
              <w:jc w:val="center"/>
              <w:rPr>
                <w:sz w:val="21"/>
                <w:szCs w:val="21"/>
              </w:rPr>
            </w:pPr>
            <w:r>
              <w:rPr>
                <w:sz w:val="21"/>
                <w:szCs w:val="21"/>
              </w:rPr>
              <w:t>31%</w:t>
            </w:r>
          </w:p>
        </w:tc>
        <w:tc>
          <w:tcPr>
            <w:tcW w:w="760" w:type="dxa"/>
            <w:vAlign w:val="center"/>
          </w:tcPr>
          <w:p>
            <w:pPr>
              <w:spacing w:line="300" w:lineRule="exact"/>
              <w:jc w:val="center"/>
              <w:rPr>
                <w:sz w:val="21"/>
                <w:szCs w:val="21"/>
              </w:rPr>
            </w:pPr>
            <w:r>
              <w:rPr>
                <w:sz w:val="21"/>
                <w:szCs w:val="21"/>
              </w:rPr>
              <w:t>39.4</w:t>
            </w:r>
          </w:p>
        </w:tc>
        <w:tc>
          <w:tcPr>
            <w:tcW w:w="760" w:type="dxa"/>
            <w:vAlign w:val="center"/>
          </w:tcPr>
          <w:p>
            <w:pPr>
              <w:spacing w:line="300" w:lineRule="exact"/>
              <w:jc w:val="center"/>
              <w:rPr>
                <w:sz w:val="21"/>
                <w:szCs w:val="21"/>
              </w:rPr>
            </w:pPr>
          </w:p>
        </w:tc>
        <w:tc>
          <w:tcPr>
            <w:tcW w:w="760" w:type="dxa"/>
            <w:vAlign w:val="center"/>
          </w:tcPr>
          <w:p>
            <w:pPr>
              <w:spacing w:line="300" w:lineRule="exact"/>
              <w:jc w:val="center"/>
              <w:rPr>
                <w:sz w:val="21"/>
                <w:szCs w:val="21"/>
              </w:rPr>
            </w:pPr>
          </w:p>
        </w:tc>
        <w:tc>
          <w:tcPr>
            <w:tcW w:w="760" w:type="dxa"/>
            <w:vAlign w:val="center"/>
          </w:tcPr>
          <w:p>
            <w:pPr>
              <w:spacing w:line="300" w:lineRule="exact"/>
              <w:jc w:val="center"/>
              <w:rPr>
                <w:sz w:val="21"/>
                <w:szCs w:val="21"/>
              </w:rPr>
            </w:pPr>
          </w:p>
        </w:tc>
        <w:tc>
          <w:tcPr>
            <w:tcW w:w="760" w:type="dxa"/>
            <w:vAlign w:val="center"/>
          </w:tcPr>
          <w:p>
            <w:pPr>
              <w:spacing w:line="300" w:lineRule="exact"/>
              <w:jc w:val="center"/>
              <w:rPr>
                <w:sz w:val="21"/>
                <w:szCs w:val="21"/>
              </w:rPr>
            </w:pPr>
          </w:p>
        </w:tc>
      </w:tr>
    </w:tbl>
    <w:p>
      <w:pPr>
        <w:ind w:firstLine="480" w:firstLineChars="200"/>
      </w:pPr>
      <w:r>
        <w:t>毕业生主要就业去向是：国家电网县级及以上电业局、全省各地发电厂、热电厂、电器制造企业（鲁能电力设备公司、高低压开关厂、变压器厂等）、设计院、房地产开发及其他企事业单位等。总之，多年来本专业的毕业生受到了用人单位的好评，毕业生一次就业率较高。</w:t>
      </w:r>
    </w:p>
    <w:p>
      <w:pPr>
        <w:spacing w:line="300" w:lineRule="exact"/>
        <w:jc w:val="center"/>
        <w:rPr>
          <w:b/>
          <w:bCs/>
          <w:sz w:val="21"/>
          <w:szCs w:val="21"/>
        </w:rPr>
      </w:pPr>
      <w:r>
        <w:rPr>
          <w:b/>
          <w:bCs/>
          <w:sz w:val="21"/>
          <w:szCs w:val="21"/>
        </w:rPr>
        <w:t>表4  电气工程及其自动化毕业生近4年就业情况一览表</w:t>
      </w:r>
    </w:p>
    <w:tbl>
      <w:tblPr>
        <w:tblStyle w:val="17"/>
        <w:tblW w:w="91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573"/>
        <w:gridCol w:w="700"/>
        <w:gridCol w:w="701"/>
        <w:gridCol w:w="776"/>
        <w:gridCol w:w="625"/>
        <w:gridCol w:w="701"/>
        <w:gridCol w:w="964"/>
        <w:gridCol w:w="437"/>
        <w:gridCol w:w="618"/>
        <w:gridCol w:w="840"/>
        <w:gridCol w:w="644"/>
        <w:gridCol w:w="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vAlign w:val="center"/>
          </w:tcPr>
          <w:p>
            <w:pPr>
              <w:spacing w:line="300" w:lineRule="exact"/>
              <w:ind w:left="-48" w:leftChars="-20" w:right="-48" w:rightChars="-20"/>
              <w:jc w:val="center"/>
              <w:rPr>
                <w:b/>
                <w:bCs/>
                <w:sz w:val="21"/>
                <w:szCs w:val="21"/>
              </w:rPr>
            </w:pPr>
            <w:r>
              <w:rPr>
                <w:b/>
                <w:bCs/>
                <w:sz w:val="21"/>
                <w:szCs w:val="21"/>
              </w:rPr>
              <w:t>专  业</w:t>
            </w:r>
          </w:p>
        </w:tc>
        <w:tc>
          <w:tcPr>
            <w:tcW w:w="573" w:type="dxa"/>
            <w:vAlign w:val="center"/>
          </w:tcPr>
          <w:p>
            <w:pPr>
              <w:spacing w:line="300" w:lineRule="exact"/>
              <w:ind w:left="-48" w:leftChars="-20" w:right="-48" w:rightChars="-20"/>
              <w:jc w:val="center"/>
              <w:rPr>
                <w:b/>
                <w:bCs/>
                <w:sz w:val="21"/>
                <w:szCs w:val="21"/>
              </w:rPr>
            </w:pPr>
            <w:r>
              <w:rPr>
                <w:b/>
                <w:bCs/>
                <w:sz w:val="21"/>
                <w:szCs w:val="21"/>
              </w:rPr>
              <w:t>人数</w:t>
            </w:r>
          </w:p>
        </w:tc>
        <w:tc>
          <w:tcPr>
            <w:tcW w:w="700" w:type="dxa"/>
            <w:vAlign w:val="center"/>
          </w:tcPr>
          <w:p>
            <w:pPr>
              <w:spacing w:line="300" w:lineRule="exact"/>
              <w:ind w:left="-48" w:leftChars="-20" w:right="-48" w:rightChars="-20"/>
              <w:jc w:val="center"/>
              <w:rPr>
                <w:b/>
                <w:bCs/>
                <w:sz w:val="21"/>
                <w:szCs w:val="21"/>
              </w:rPr>
            </w:pPr>
            <w:r>
              <w:rPr>
                <w:b/>
                <w:bCs/>
                <w:sz w:val="21"/>
                <w:szCs w:val="21"/>
              </w:rPr>
              <w:t>考研录取数</w:t>
            </w:r>
          </w:p>
        </w:tc>
        <w:tc>
          <w:tcPr>
            <w:tcW w:w="701" w:type="dxa"/>
            <w:vAlign w:val="center"/>
          </w:tcPr>
          <w:p>
            <w:pPr>
              <w:spacing w:line="300" w:lineRule="exact"/>
              <w:ind w:left="-48" w:leftChars="-20" w:right="-48" w:rightChars="-20"/>
              <w:jc w:val="center"/>
              <w:rPr>
                <w:b/>
                <w:bCs/>
                <w:sz w:val="21"/>
                <w:szCs w:val="21"/>
              </w:rPr>
            </w:pPr>
            <w:r>
              <w:rPr>
                <w:b/>
                <w:bCs/>
                <w:sz w:val="21"/>
                <w:szCs w:val="21"/>
              </w:rPr>
              <w:t>专业</w:t>
            </w:r>
          </w:p>
          <w:p>
            <w:pPr>
              <w:spacing w:line="300" w:lineRule="exact"/>
              <w:ind w:left="-48" w:leftChars="-20" w:right="-48" w:rightChars="-20"/>
              <w:jc w:val="center"/>
              <w:rPr>
                <w:b/>
                <w:bCs/>
                <w:sz w:val="21"/>
                <w:szCs w:val="21"/>
              </w:rPr>
            </w:pPr>
            <w:r>
              <w:rPr>
                <w:b/>
                <w:bCs/>
                <w:sz w:val="21"/>
                <w:szCs w:val="21"/>
              </w:rPr>
              <w:t>考研率</w:t>
            </w:r>
          </w:p>
        </w:tc>
        <w:tc>
          <w:tcPr>
            <w:tcW w:w="776" w:type="dxa"/>
            <w:vAlign w:val="center"/>
          </w:tcPr>
          <w:p>
            <w:pPr>
              <w:spacing w:line="300" w:lineRule="exact"/>
              <w:ind w:left="-48" w:leftChars="-20" w:right="-48" w:rightChars="-20"/>
              <w:jc w:val="center"/>
              <w:rPr>
                <w:b/>
                <w:bCs/>
                <w:sz w:val="21"/>
                <w:szCs w:val="21"/>
              </w:rPr>
            </w:pPr>
            <w:r>
              <w:rPr>
                <w:b/>
                <w:bCs/>
                <w:sz w:val="21"/>
                <w:szCs w:val="21"/>
              </w:rPr>
              <w:t>已签约</w:t>
            </w:r>
          </w:p>
          <w:p>
            <w:pPr>
              <w:spacing w:line="300" w:lineRule="exact"/>
              <w:ind w:left="-48" w:leftChars="-20" w:right="-48" w:rightChars="-20"/>
              <w:jc w:val="center"/>
              <w:rPr>
                <w:b/>
                <w:bCs/>
                <w:sz w:val="21"/>
                <w:szCs w:val="21"/>
              </w:rPr>
            </w:pPr>
            <w:r>
              <w:rPr>
                <w:b/>
                <w:bCs/>
                <w:sz w:val="21"/>
                <w:szCs w:val="21"/>
              </w:rPr>
              <w:t>公务员</w:t>
            </w:r>
          </w:p>
        </w:tc>
        <w:tc>
          <w:tcPr>
            <w:tcW w:w="625" w:type="dxa"/>
            <w:vAlign w:val="center"/>
          </w:tcPr>
          <w:p>
            <w:pPr>
              <w:spacing w:line="300" w:lineRule="exact"/>
              <w:ind w:left="-48" w:leftChars="-20" w:right="-48" w:rightChars="-20"/>
              <w:jc w:val="center"/>
              <w:rPr>
                <w:b/>
                <w:bCs/>
                <w:sz w:val="21"/>
                <w:szCs w:val="21"/>
              </w:rPr>
            </w:pPr>
            <w:r>
              <w:rPr>
                <w:b/>
                <w:bCs/>
                <w:sz w:val="21"/>
                <w:szCs w:val="21"/>
              </w:rPr>
              <w:t>网上签约</w:t>
            </w:r>
          </w:p>
        </w:tc>
        <w:tc>
          <w:tcPr>
            <w:tcW w:w="701" w:type="dxa"/>
            <w:vAlign w:val="center"/>
          </w:tcPr>
          <w:p>
            <w:pPr>
              <w:spacing w:line="300" w:lineRule="exact"/>
              <w:ind w:left="-48" w:leftChars="-20" w:right="-48" w:rightChars="-20"/>
              <w:jc w:val="center"/>
              <w:rPr>
                <w:b/>
                <w:bCs/>
                <w:sz w:val="21"/>
                <w:szCs w:val="21"/>
              </w:rPr>
            </w:pPr>
            <w:r>
              <w:rPr>
                <w:b/>
                <w:bCs/>
                <w:sz w:val="21"/>
                <w:szCs w:val="21"/>
              </w:rPr>
              <w:t>合同</w:t>
            </w:r>
          </w:p>
          <w:p>
            <w:pPr>
              <w:spacing w:line="300" w:lineRule="exact"/>
              <w:ind w:left="-48" w:leftChars="-20" w:right="-48" w:rightChars="-20"/>
              <w:jc w:val="center"/>
              <w:rPr>
                <w:b/>
                <w:bCs/>
                <w:sz w:val="21"/>
                <w:szCs w:val="21"/>
              </w:rPr>
            </w:pPr>
            <w:r>
              <w:rPr>
                <w:b/>
                <w:bCs/>
                <w:sz w:val="21"/>
                <w:szCs w:val="21"/>
              </w:rPr>
              <w:t>就业</w:t>
            </w:r>
          </w:p>
        </w:tc>
        <w:tc>
          <w:tcPr>
            <w:tcW w:w="964" w:type="dxa"/>
            <w:vAlign w:val="center"/>
          </w:tcPr>
          <w:p>
            <w:pPr>
              <w:spacing w:line="300" w:lineRule="exact"/>
              <w:ind w:left="-48" w:leftChars="-20" w:right="-48" w:rightChars="-20"/>
              <w:jc w:val="center"/>
              <w:rPr>
                <w:b/>
                <w:bCs/>
                <w:sz w:val="21"/>
                <w:szCs w:val="21"/>
              </w:rPr>
            </w:pPr>
            <w:r>
              <w:rPr>
                <w:b/>
                <w:bCs/>
                <w:sz w:val="21"/>
                <w:szCs w:val="21"/>
              </w:rPr>
              <w:t>非派遣省外就业</w:t>
            </w:r>
          </w:p>
        </w:tc>
        <w:tc>
          <w:tcPr>
            <w:tcW w:w="437" w:type="dxa"/>
            <w:vAlign w:val="center"/>
          </w:tcPr>
          <w:p>
            <w:pPr>
              <w:spacing w:line="300" w:lineRule="exact"/>
              <w:ind w:left="-48" w:leftChars="-20" w:right="-48" w:rightChars="-20"/>
              <w:jc w:val="center"/>
              <w:rPr>
                <w:b/>
                <w:bCs/>
                <w:sz w:val="21"/>
                <w:szCs w:val="21"/>
              </w:rPr>
            </w:pPr>
            <w:r>
              <w:rPr>
                <w:b/>
                <w:bCs/>
                <w:sz w:val="21"/>
                <w:szCs w:val="21"/>
              </w:rPr>
              <w:t>出国</w:t>
            </w:r>
          </w:p>
        </w:tc>
        <w:tc>
          <w:tcPr>
            <w:tcW w:w="618" w:type="dxa"/>
            <w:vAlign w:val="center"/>
          </w:tcPr>
          <w:p>
            <w:pPr>
              <w:spacing w:line="300" w:lineRule="exact"/>
              <w:ind w:left="-48" w:leftChars="-20" w:right="-48" w:rightChars="-20"/>
              <w:jc w:val="center"/>
              <w:rPr>
                <w:b/>
                <w:bCs/>
                <w:sz w:val="21"/>
                <w:szCs w:val="21"/>
              </w:rPr>
            </w:pPr>
            <w:r>
              <w:rPr>
                <w:b/>
                <w:bCs/>
                <w:sz w:val="21"/>
                <w:szCs w:val="21"/>
              </w:rPr>
              <w:t>自主创业</w:t>
            </w:r>
          </w:p>
        </w:tc>
        <w:tc>
          <w:tcPr>
            <w:tcW w:w="840" w:type="dxa"/>
            <w:vAlign w:val="center"/>
          </w:tcPr>
          <w:p>
            <w:pPr>
              <w:spacing w:line="300" w:lineRule="exact"/>
              <w:ind w:left="-48" w:leftChars="-20" w:right="-48" w:rightChars="-20"/>
              <w:jc w:val="center"/>
              <w:rPr>
                <w:b/>
                <w:bCs/>
                <w:sz w:val="21"/>
                <w:szCs w:val="21"/>
              </w:rPr>
            </w:pPr>
            <w:r>
              <w:rPr>
                <w:b/>
                <w:bCs/>
                <w:sz w:val="21"/>
                <w:szCs w:val="21"/>
              </w:rPr>
              <w:t>网签就业率</w:t>
            </w:r>
          </w:p>
        </w:tc>
        <w:tc>
          <w:tcPr>
            <w:tcW w:w="644" w:type="dxa"/>
            <w:vAlign w:val="center"/>
          </w:tcPr>
          <w:p>
            <w:pPr>
              <w:spacing w:line="300" w:lineRule="exact"/>
              <w:ind w:left="-48" w:leftChars="-20" w:right="-48" w:rightChars="-20"/>
              <w:jc w:val="center"/>
              <w:rPr>
                <w:b/>
                <w:bCs/>
                <w:sz w:val="21"/>
                <w:szCs w:val="21"/>
              </w:rPr>
            </w:pPr>
            <w:r>
              <w:rPr>
                <w:b/>
                <w:bCs/>
                <w:sz w:val="21"/>
                <w:szCs w:val="21"/>
              </w:rPr>
              <w:t>灵活</w:t>
            </w:r>
          </w:p>
          <w:p>
            <w:pPr>
              <w:spacing w:line="300" w:lineRule="exact"/>
              <w:ind w:left="-48" w:leftChars="-20" w:right="-48" w:rightChars="-20"/>
              <w:jc w:val="center"/>
              <w:rPr>
                <w:b/>
                <w:bCs/>
                <w:sz w:val="21"/>
                <w:szCs w:val="21"/>
              </w:rPr>
            </w:pPr>
            <w:r>
              <w:rPr>
                <w:b/>
                <w:bCs/>
                <w:sz w:val="21"/>
                <w:szCs w:val="21"/>
              </w:rPr>
              <w:t>就业</w:t>
            </w:r>
          </w:p>
        </w:tc>
        <w:tc>
          <w:tcPr>
            <w:tcW w:w="701" w:type="dxa"/>
            <w:vAlign w:val="center"/>
          </w:tcPr>
          <w:p>
            <w:pPr>
              <w:spacing w:line="300" w:lineRule="exact"/>
              <w:ind w:left="-48" w:leftChars="-20" w:right="-48" w:rightChars="-20"/>
              <w:jc w:val="center"/>
              <w:rPr>
                <w:b/>
                <w:bCs/>
                <w:sz w:val="21"/>
                <w:szCs w:val="21"/>
              </w:rPr>
            </w:pPr>
            <w:r>
              <w:rPr>
                <w:b/>
                <w:bCs/>
                <w:sz w:val="21"/>
                <w:szCs w:val="21"/>
              </w:rPr>
              <w:t>专业</w:t>
            </w:r>
          </w:p>
          <w:p>
            <w:pPr>
              <w:spacing w:line="300" w:lineRule="exact"/>
              <w:ind w:left="-48" w:leftChars="-20" w:right="-48" w:rightChars="-20"/>
              <w:jc w:val="center"/>
              <w:rPr>
                <w:b/>
                <w:bCs/>
                <w:sz w:val="21"/>
                <w:szCs w:val="21"/>
              </w:rPr>
            </w:pPr>
            <w:r>
              <w:rPr>
                <w:b/>
                <w:bCs/>
                <w:sz w:val="21"/>
                <w:szCs w:val="21"/>
              </w:rPr>
              <w:t>就业率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vAlign w:val="center"/>
          </w:tcPr>
          <w:p>
            <w:pPr>
              <w:spacing w:line="300" w:lineRule="exact"/>
              <w:ind w:left="-48" w:leftChars="-20" w:right="-48" w:rightChars="-20"/>
              <w:jc w:val="center"/>
              <w:rPr>
                <w:sz w:val="21"/>
                <w:szCs w:val="21"/>
              </w:rPr>
            </w:pPr>
            <w:r>
              <w:rPr>
                <w:sz w:val="21"/>
                <w:szCs w:val="21"/>
              </w:rPr>
              <w:t>2018届</w:t>
            </w:r>
          </w:p>
        </w:tc>
        <w:tc>
          <w:tcPr>
            <w:tcW w:w="573" w:type="dxa"/>
            <w:vAlign w:val="center"/>
          </w:tcPr>
          <w:p>
            <w:pPr>
              <w:spacing w:line="300" w:lineRule="exact"/>
              <w:ind w:left="-48" w:leftChars="-20" w:right="-48" w:rightChars="-20"/>
              <w:jc w:val="center"/>
              <w:rPr>
                <w:sz w:val="21"/>
                <w:szCs w:val="21"/>
              </w:rPr>
            </w:pPr>
            <w:r>
              <w:rPr>
                <w:sz w:val="21"/>
                <w:szCs w:val="21"/>
              </w:rPr>
              <w:t>158</w:t>
            </w:r>
          </w:p>
        </w:tc>
        <w:tc>
          <w:tcPr>
            <w:tcW w:w="700" w:type="dxa"/>
            <w:vAlign w:val="center"/>
          </w:tcPr>
          <w:p>
            <w:pPr>
              <w:spacing w:line="300" w:lineRule="exact"/>
              <w:ind w:left="-48" w:leftChars="-20" w:right="-48" w:rightChars="-20"/>
              <w:jc w:val="center"/>
              <w:rPr>
                <w:sz w:val="21"/>
                <w:szCs w:val="21"/>
              </w:rPr>
            </w:pPr>
            <w:r>
              <w:rPr>
                <w:sz w:val="21"/>
                <w:szCs w:val="21"/>
              </w:rPr>
              <w:t>70</w:t>
            </w:r>
          </w:p>
        </w:tc>
        <w:tc>
          <w:tcPr>
            <w:tcW w:w="701" w:type="dxa"/>
            <w:vAlign w:val="center"/>
          </w:tcPr>
          <w:p>
            <w:pPr>
              <w:spacing w:line="300" w:lineRule="exact"/>
              <w:ind w:left="-48" w:leftChars="-20" w:right="-48" w:rightChars="-20"/>
              <w:jc w:val="center"/>
              <w:rPr>
                <w:sz w:val="21"/>
                <w:szCs w:val="21"/>
              </w:rPr>
            </w:pPr>
            <w:r>
              <w:rPr>
                <w:sz w:val="21"/>
                <w:szCs w:val="21"/>
              </w:rPr>
              <w:t>44.3%</w:t>
            </w:r>
          </w:p>
        </w:tc>
        <w:tc>
          <w:tcPr>
            <w:tcW w:w="776" w:type="dxa"/>
            <w:vAlign w:val="center"/>
          </w:tcPr>
          <w:p>
            <w:pPr>
              <w:spacing w:line="300" w:lineRule="exact"/>
              <w:ind w:left="-48" w:leftChars="-20" w:right="-48" w:rightChars="-20"/>
              <w:jc w:val="center"/>
              <w:rPr>
                <w:sz w:val="21"/>
                <w:szCs w:val="21"/>
              </w:rPr>
            </w:pPr>
            <w:r>
              <w:rPr>
                <w:sz w:val="21"/>
                <w:szCs w:val="21"/>
              </w:rPr>
              <w:t>0</w:t>
            </w:r>
          </w:p>
        </w:tc>
        <w:tc>
          <w:tcPr>
            <w:tcW w:w="625" w:type="dxa"/>
            <w:vAlign w:val="center"/>
          </w:tcPr>
          <w:p>
            <w:pPr>
              <w:spacing w:line="300" w:lineRule="exact"/>
              <w:ind w:left="-48" w:leftChars="-20" w:right="-48" w:rightChars="-20"/>
              <w:jc w:val="center"/>
              <w:rPr>
                <w:sz w:val="21"/>
                <w:szCs w:val="21"/>
              </w:rPr>
            </w:pPr>
            <w:r>
              <w:rPr>
                <w:sz w:val="21"/>
                <w:szCs w:val="21"/>
              </w:rPr>
              <w:t>73</w:t>
            </w:r>
          </w:p>
        </w:tc>
        <w:tc>
          <w:tcPr>
            <w:tcW w:w="701" w:type="dxa"/>
            <w:vAlign w:val="center"/>
          </w:tcPr>
          <w:p>
            <w:pPr>
              <w:spacing w:line="300" w:lineRule="exact"/>
              <w:ind w:left="-48" w:leftChars="-20" w:right="-48" w:rightChars="-20"/>
              <w:jc w:val="center"/>
              <w:rPr>
                <w:sz w:val="21"/>
                <w:szCs w:val="21"/>
              </w:rPr>
            </w:pPr>
            <w:r>
              <w:rPr>
                <w:sz w:val="21"/>
                <w:szCs w:val="21"/>
              </w:rPr>
              <w:t>10</w:t>
            </w:r>
          </w:p>
        </w:tc>
        <w:tc>
          <w:tcPr>
            <w:tcW w:w="964" w:type="dxa"/>
            <w:vAlign w:val="center"/>
          </w:tcPr>
          <w:p>
            <w:pPr>
              <w:spacing w:line="300" w:lineRule="exact"/>
              <w:ind w:left="-48" w:leftChars="-20" w:right="-48" w:rightChars="-20"/>
              <w:jc w:val="center"/>
              <w:rPr>
                <w:sz w:val="21"/>
                <w:szCs w:val="21"/>
              </w:rPr>
            </w:pPr>
            <w:r>
              <w:rPr>
                <w:sz w:val="21"/>
                <w:szCs w:val="21"/>
              </w:rPr>
              <w:t>5</w:t>
            </w:r>
          </w:p>
        </w:tc>
        <w:tc>
          <w:tcPr>
            <w:tcW w:w="437" w:type="dxa"/>
            <w:vAlign w:val="center"/>
          </w:tcPr>
          <w:p>
            <w:pPr>
              <w:spacing w:line="300" w:lineRule="exact"/>
              <w:ind w:left="-48" w:leftChars="-20" w:right="-48" w:rightChars="-20"/>
              <w:jc w:val="center"/>
              <w:rPr>
                <w:sz w:val="21"/>
                <w:szCs w:val="21"/>
              </w:rPr>
            </w:pPr>
            <w:r>
              <w:rPr>
                <w:sz w:val="21"/>
                <w:szCs w:val="21"/>
              </w:rPr>
              <w:t>1</w:t>
            </w:r>
          </w:p>
        </w:tc>
        <w:tc>
          <w:tcPr>
            <w:tcW w:w="618" w:type="dxa"/>
            <w:vAlign w:val="center"/>
          </w:tcPr>
          <w:p>
            <w:pPr>
              <w:spacing w:line="300" w:lineRule="exact"/>
              <w:ind w:left="-48" w:leftChars="-20" w:right="-48" w:rightChars="-20"/>
              <w:jc w:val="center"/>
              <w:rPr>
                <w:sz w:val="21"/>
                <w:szCs w:val="21"/>
              </w:rPr>
            </w:pPr>
            <w:r>
              <w:rPr>
                <w:sz w:val="21"/>
                <w:szCs w:val="21"/>
              </w:rPr>
              <w:t>0</w:t>
            </w:r>
          </w:p>
        </w:tc>
        <w:tc>
          <w:tcPr>
            <w:tcW w:w="840" w:type="dxa"/>
            <w:vAlign w:val="center"/>
          </w:tcPr>
          <w:p>
            <w:pPr>
              <w:spacing w:line="300" w:lineRule="exact"/>
              <w:ind w:left="-48" w:leftChars="-20" w:right="-48" w:rightChars="-20"/>
              <w:jc w:val="center"/>
              <w:rPr>
                <w:sz w:val="21"/>
                <w:szCs w:val="21"/>
              </w:rPr>
            </w:pPr>
            <w:r>
              <w:rPr>
                <w:sz w:val="21"/>
                <w:szCs w:val="21"/>
              </w:rPr>
              <w:t>96.8%</w:t>
            </w:r>
          </w:p>
        </w:tc>
        <w:tc>
          <w:tcPr>
            <w:tcW w:w="644" w:type="dxa"/>
            <w:vAlign w:val="center"/>
          </w:tcPr>
          <w:p>
            <w:pPr>
              <w:spacing w:line="300" w:lineRule="exact"/>
              <w:ind w:left="-48" w:leftChars="-20" w:right="-48" w:rightChars="-20"/>
              <w:jc w:val="center"/>
              <w:rPr>
                <w:sz w:val="21"/>
                <w:szCs w:val="21"/>
              </w:rPr>
            </w:pPr>
            <w:r>
              <w:rPr>
                <w:sz w:val="21"/>
                <w:szCs w:val="21"/>
              </w:rPr>
              <w:t>-</w:t>
            </w:r>
          </w:p>
        </w:tc>
        <w:tc>
          <w:tcPr>
            <w:tcW w:w="701" w:type="dxa"/>
            <w:vAlign w:val="center"/>
          </w:tcPr>
          <w:p>
            <w:pPr>
              <w:spacing w:line="300" w:lineRule="exact"/>
              <w:ind w:left="-48" w:leftChars="-20" w:right="-48" w:rightChars="-20"/>
              <w:jc w:val="center"/>
              <w:rPr>
                <w:sz w:val="21"/>
                <w:szCs w:val="21"/>
              </w:rPr>
            </w:pPr>
            <w:r>
              <w:rPr>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vAlign w:val="center"/>
          </w:tcPr>
          <w:p>
            <w:pPr>
              <w:spacing w:line="300" w:lineRule="exact"/>
              <w:ind w:left="-48" w:leftChars="-20" w:right="-48" w:rightChars="-20"/>
              <w:jc w:val="center"/>
              <w:rPr>
                <w:sz w:val="21"/>
                <w:szCs w:val="21"/>
              </w:rPr>
            </w:pPr>
            <w:r>
              <w:rPr>
                <w:sz w:val="21"/>
                <w:szCs w:val="21"/>
              </w:rPr>
              <w:t>2019届</w:t>
            </w:r>
          </w:p>
        </w:tc>
        <w:tc>
          <w:tcPr>
            <w:tcW w:w="573" w:type="dxa"/>
            <w:vAlign w:val="center"/>
          </w:tcPr>
          <w:p>
            <w:pPr>
              <w:spacing w:line="300" w:lineRule="exact"/>
              <w:ind w:left="-48" w:leftChars="-20" w:right="-48" w:rightChars="-20"/>
              <w:jc w:val="center"/>
              <w:rPr>
                <w:sz w:val="21"/>
                <w:szCs w:val="21"/>
              </w:rPr>
            </w:pPr>
            <w:r>
              <w:rPr>
                <w:sz w:val="21"/>
                <w:szCs w:val="21"/>
              </w:rPr>
              <w:t>138</w:t>
            </w:r>
          </w:p>
        </w:tc>
        <w:tc>
          <w:tcPr>
            <w:tcW w:w="700" w:type="dxa"/>
            <w:vAlign w:val="center"/>
          </w:tcPr>
          <w:p>
            <w:pPr>
              <w:spacing w:line="300" w:lineRule="exact"/>
              <w:ind w:left="-48" w:leftChars="-20" w:right="-48" w:rightChars="-20"/>
              <w:jc w:val="center"/>
              <w:rPr>
                <w:sz w:val="21"/>
                <w:szCs w:val="21"/>
              </w:rPr>
            </w:pPr>
            <w:r>
              <w:rPr>
                <w:sz w:val="21"/>
                <w:szCs w:val="21"/>
              </w:rPr>
              <w:t>61</w:t>
            </w:r>
          </w:p>
        </w:tc>
        <w:tc>
          <w:tcPr>
            <w:tcW w:w="701" w:type="dxa"/>
            <w:vAlign w:val="center"/>
          </w:tcPr>
          <w:p>
            <w:pPr>
              <w:spacing w:line="300" w:lineRule="exact"/>
              <w:ind w:left="-48" w:leftChars="-20" w:right="-48" w:rightChars="-20"/>
              <w:jc w:val="center"/>
              <w:rPr>
                <w:sz w:val="21"/>
                <w:szCs w:val="21"/>
              </w:rPr>
            </w:pPr>
            <w:r>
              <w:rPr>
                <w:sz w:val="21"/>
                <w:szCs w:val="21"/>
              </w:rPr>
              <w:t>44.7%</w:t>
            </w:r>
          </w:p>
        </w:tc>
        <w:tc>
          <w:tcPr>
            <w:tcW w:w="776" w:type="dxa"/>
            <w:vAlign w:val="center"/>
          </w:tcPr>
          <w:p>
            <w:pPr>
              <w:spacing w:line="300" w:lineRule="exact"/>
              <w:ind w:left="-48" w:leftChars="-20" w:right="-48" w:rightChars="-20"/>
              <w:jc w:val="center"/>
              <w:rPr>
                <w:sz w:val="21"/>
                <w:szCs w:val="21"/>
              </w:rPr>
            </w:pPr>
            <w:r>
              <w:rPr>
                <w:sz w:val="21"/>
                <w:szCs w:val="21"/>
              </w:rPr>
              <w:t>0</w:t>
            </w:r>
          </w:p>
        </w:tc>
        <w:tc>
          <w:tcPr>
            <w:tcW w:w="625" w:type="dxa"/>
            <w:vAlign w:val="center"/>
          </w:tcPr>
          <w:p>
            <w:pPr>
              <w:spacing w:line="300" w:lineRule="exact"/>
              <w:ind w:left="-48" w:leftChars="-20" w:right="-48" w:rightChars="-20"/>
              <w:jc w:val="center"/>
              <w:rPr>
                <w:sz w:val="21"/>
                <w:szCs w:val="21"/>
              </w:rPr>
            </w:pPr>
            <w:r>
              <w:rPr>
                <w:sz w:val="21"/>
                <w:szCs w:val="21"/>
              </w:rPr>
              <w:t>62</w:t>
            </w:r>
          </w:p>
        </w:tc>
        <w:tc>
          <w:tcPr>
            <w:tcW w:w="701" w:type="dxa"/>
            <w:vAlign w:val="center"/>
          </w:tcPr>
          <w:p>
            <w:pPr>
              <w:spacing w:line="300" w:lineRule="exact"/>
              <w:ind w:left="-48" w:leftChars="-20" w:right="-48" w:rightChars="-20"/>
              <w:jc w:val="center"/>
              <w:rPr>
                <w:sz w:val="21"/>
                <w:szCs w:val="21"/>
              </w:rPr>
            </w:pPr>
            <w:r>
              <w:rPr>
                <w:sz w:val="21"/>
                <w:szCs w:val="21"/>
              </w:rPr>
              <w:t>8</w:t>
            </w:r>
          </w:p>
        </w:tc>
        <w:tc>
          <w:tcPr>
            <w:tcW w:w="964" w:type="dxa"/>
            <w:vAlign w:val="center"/>
          </w:tcPr>
          <w:p>
            <w:pPr>
              <w:spacing w:line="300" w:lineRule="exact"/>
              <w:ind w:left="-48" w:leftChars="-20" w:right="-48" w:rightChars="-20"/>
              <w:jc w:val="center"/>
              <w:rPr>
                <w:sz w:val="21"/>
                <w:szCs w:val="21"/>
              </w:rPr>
            </w:pPr>
            <w:r>
              <w:rPr>
                <w:sz w:val="21"/>
                <w:szCs w:val="21"/>
              </w:rPr>
              <w:t>5</w:t>
            </w:r>
          </w:p>
        </w:tc>
        <w:tc>
          <w:tcPr>
            <w:tcW w:w="437" w:type="dxa"/>
            <w:vAlign w:val="center"/>
          </w:tcPr>
          <w:p>
            <w:pPr>
              <w:spacing w:line="300" w:lineRule="exact"/>
              <w:ind w:left="-48" w:leftChars="-20" w:right="-48" w:rightChars="-20"/>
              <w:jc w:val="center"/>
              <w:rPr>
                <w:sz w:val="21"/>
                <w:szCs w:val="21"/>
              </w:rPr>
            </w:pPr>
            <w:r>
              <w:rPr>
                <w:sz w:val="21"/>
                <w:szCs w:val="21"/>
              </w:rPr>
              <w:t>2</w:t>
            </w:r>
          </w:p>
        </w:tc>
        <w:tc>
          <w:tcPr>
            <w:tcW w:w="618" w:type="dxa"/>
            <w:vAlign w:val="center"/>
          </w:tcPr>
          <w:p>
            <w:pPr>
              <w:spacing w:line="300" w:lineRule="exact"/>
              <w:ind w:left="-48" w:leftChars="-20" w:right="-48" w:rightChars="-20"/>
              <w:jc w:val="center"/>
              <w:rPr>
                <w:sz w:val="21"/>
                <w:szCs w:val="21"/>
              </w:rPr>
            </w:pPr>
            <w:r>
              <w:rPr>
                <w:sz w:val="21"/>
                <w:szCs w:val="21"/>
              </w:rPr>
              <w:t>0</w:t>
            </w:r>
          </w:p>
        </w:tc>
        <w:tc>
          <w:tcPr>
            <w:tcW w:w="840" w:type="dxa"/>
            <w:vAlign w:val="center"/>
          </w:tcPr>
          <w:p>
            <w:pPr>
              <w:spacing w:line="300" w:lineRule="exact"/>
              <w:ind w:left="-48" w:leftChars="-20" w:right="-48" w:rightChars="-20"/>
              <w:jc w:val="center"/>
              <w:rPr>
                <w:sz w:val="21"/>
                <w:szCs w:val="21"/>
              </w:rPr>
            </w:pPr>
            <w:r>
              <w:rPr>
                <w:sz w:val="21"/>
                <w:szCs w:val="21"/>
              </w:rPr>
              <w:t>96.8%</w:t>
            </w:r>
          </w:p>
        </w:tc>
        <w:tc>
          <w:tcPr>
            <w:tcW w:w="644" w:type="dxa"/>
            <w:vAlign w:val="center"/>
          </w:tcPr>
          <w:p>
            <w:pPr>
              <w:spacing w:line="300" w:lineRule="exact"/>
              <w:ind w:left="-48" w:leftChars="-20" w:right="-48" w:rightChars="-20"/>
              <w:jc w:val="center"/>
              <w:rPr>
                <w:sz w:val="21"/>
                <w:szCs w:val="21"/>
              </w:rPr>
            </w:pPr>
            <w:r>
              <w:rPr>
                <w:sz w:val="21"/>
                <w:szCs w:val="21"/>
              </w:rPr>
              <w:t>-</w:t>
            </w:r>
          </w:p>
        </w:tc>
        <w:tc>
          <w:tcPr>
            <w:tcW w:w="701" w:type="dxa"/>
            <w:vAlign w:val="center"/>
          </w:tcPr>
          <w:p>
            <w:pPr>
              <w:spacing w:line="300" w:lineRule="exact"/>
              <w:ind w:left="-48" w:leftChars="-20" w:right="-48" w:rightChars="-20"/>
              <w:jc w:val="center"/>
              <w:rPr>
                <w:sz w:val="21"/>
                <w:szCs w:val="21"/>
              </w:rPr>
            </w:pPr>
            <w:r>
              <w:rPr>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vAlign w:val="center"/>
          </w:tcPr>
          <w:p>
            <w:pPr>
              <w:spacing w:line="300" w:lineRule="exact"/>
              <w:ind w:left="-48" w:leftChars="-20" w:right="-48" w:rightChars="-20"/>
              <w:jc w:val="center"/>
              <w:rPr>
                <w:sz w:val="21"/>
                <w:szCs w:val="21"/>
              </w:rPr>
            </w:pPr>
            <w:r>
              <w:rPr>
                <w:sz w:val="21"/>
                <w:szCs w:val="21"/>
              </w:rPr>
              <w:t>2020届</w:t>
            </w:r>
          </w:p>
        </w:tc>
        <w:tc>
          <w:tcPr>
            <w:tcW w:w="573" w:type="dxa"/>
            <w:vAlign w:val="center"/>
          </w:tcPr>
          <w:p>
            <w:pPr>
              <w:spacing w:line="300" w:lineRule="exact"/>
              <w:ind w:left="-48" w:leftChars="-20" w:right="-48" w:rightChars="-20"/>
              <w:jc w:val="center"/>
              <w:rPr>
                <w:sz w:val="21"/>
                <w:szCs w:val="21"/>
              </w:rPr>
            </w:pPr>
            <w:r>
              <w:rPr>
                <w:sz w:val="21"/>
                <w:szCs w:val="21"/>
              </w:rPr>
              <w:t>151</w:t>
            </w:r>
          </w:p>
        </w:tc>
        <w:tc>
          <w:tcPr>
            <w:tcW w:w="700" w:type="dxa"/>
            <w:vAlign w:val="center"/>
          </w:tcPr>
          <w:p>
            <w:pPr>
              <w:spacing w:line="300" w:lineRule="exact"/>
              <w:ind w:left="-48" w:leftChars="-20" w:right="-48" w:rightChars="-20"/>
              <w:jc w:val="center"/>
              <w:rPr>
                <w:sz w:val="21"/>
                <w:szCs w:val="21"/>
              </w:rPr>
            </w:pPr>
            <w:r>
              <w:rPr>
                <w:sz w:val="21"/>
                <w:szCs w:val="21"/>
              </w:rPr>
              <w:t>69</w:t>
            </w:r>
          </w:p>
        </w:tc>
        <w:tc>
          <w:tcPr>
            <w:tcW w:w="701" w:type="dxa"/>
            <w:vAlign w:val="center"/>
          </w:tcPr>
          <w:p>
            <w:pPr>
              <w:spacing w:line="300" w:lineRule="exact"/>
              <w:ind w:left="-48" w:leftChars="-20" w:right="-48" w:rightChars="-20"/>
              <w:jc w:val="center"/>
              <w:rPr>
                <w:sz w:val="21"/>
                <w:szCs w:val="21"/>
              </w:rPr>
            </w:pPr>
            <w:r>
              <w:rPr>
                <w:sz w:val="21"/>
                <w:szCs w:val="21"/>
              </w:rPr>
              <w:t>45.7%</w:t>
            </w:r>
          </w:p>
        </w:tc>
        <w:tc>
          <w:tcPr>
            <w:tcW w:w="776" w:type="dxa"/>
            <w:vAlign w:val="center"/>
          </w:tcPr>
          <w:p>
            <w:pPr>
              <w:spacing w:line="300" w:lineRule="exact"/>
              <w:ind w:left="-48" w:leftChars="-20" w:right="-48" w:rightChars="-20"/>
              <w:jc w:val="center"/>
              <w:rPr>
                <w:sz w:val="21"/>
                <w:szCs w:val="21"/>
              </w:rPr>
            </w:pPr>
            <w:r>
              <w:rPr>
                <w:sz w:val="21"/>
                <w:szCs w:val="21"/>
              </w:rPr>
              <w:t>0</w:t>
            </w:r>
          </w:p>
        </w:tc>
        <w:tc>
          <w:tcPr>
            <w:tcW w:w="625" w:type="dxa"/>
            <w:vAlign w:val="center"/>
          </w:tcPr>
          <w:p>
            <w:pPr>
              <w:spacing w:line="300" w:lineRule="exact"/>
              <w:ind w:left="-48" w:leftChars="-20" w:right="-48" w:rightChars="-20"/>
              <w:jc w:val="center"/>
              <w:rPr>
                <w:sz w:val="21"/>
                <w:szCs w:val="21"/>
              </w:rPr>
            </w:pPr>
            <w:r>
              <w:rPr>
                <w:sz w:val="21"/>
                <w:szCs w:val="21"/>
              </w:rPr>
              <w:t>53</w:t>
            </w:r>
          </w:p>
        </w:tc>
        <w:tc>
          <w:tcPr>
            <w:tcW w:w="701" w:type="dxa"/>
            <w:vAlign w:val="center"/>
          </w:tcPr>
          <w:p>
            <w:pPr>
              <w:spacing w:line="300" w:lineRule="exact"/>
              <w:ind w:left="-48" w:leftChars="-20" w:right="-48" w:rightChars="-20"/>
              <w:jc w:val="center"/>
              <w:rPr>
                <w:sz w:val="21"/>
                <w:szCs w:val="21"/>
              </w:rPr>
            </w:pPr>
            <w:r>
              <w:rPr>
                <w:sz w:val="21"/>
                <w:szCs w:val="21"/>
              </w:rPr>
              <w:t>14</w:t>
            </w:r>
          </w:p>
        </w:tc>
        <w:tc>
          <w:tcPr>
            <w:tcW w:w="964" w:type="dxa"/>
            <w:vAlign w:val="center"/>
          </w:tcPr>
          <w:p>
            <w:pPr>
              <w:spacing w:line="300" w:lineRule="exact"/>
              <w:ind w:left="-48" w:leftChars="-20" w:right="-48" w:rightChars="-20"/>
              <w:jc w:val="center"/>
              <w:rPr>
                <w:sz w:val="21"/>
                <w:szCs w:val="21"/>
              </w:rPr>
            </w:pPr>
            <w:r>
              <w:rPr>
                <w:sz w:val="21"/>
                <w:szCs w:val="21"/>
              </w:rPr>
              <w:t>10</w:t>
            </w:r>
          </w:p>
        </w:tc>
        <w:tc>
          <w:tcPr>
            <w:tcW w:w="437" w:type="dxa"/>
            <w:vAlign w:val="center"/>
          </w:tcPr>
          <w:p>
            <w:pPr>
              <w:spacing w:line="300" w:lineRule="exact"/>
              <w:ind w:left="-48" w:leftChars="-20" w:right="-48" w:rightChars="-20"/>
              <w:jc w:val="center"/>
              <w:rPr>
                <w:sz w:val="21"/>
                <w:szCs w:val="21"/>
              </w:rPr>
            </w:pPr>
            <w:r>
              <w:rPr>
                <w:sz w:val="21"/>
                <w:szCs w:val="21"/>
              </w:rPr>
              <w:t>0</w:t>
            </w:r>
          </w:p>
        </w:tc>
        <w:tc>
          <w:tcPr>
            <w:tcW w:w="618" w:type="dxa"/>
            <w:vAlign w:val="center"/>
          </w:tcPr>
          <w:p>
            <w:pPr>
              <w:spacing w:line="300" w:lineRule="exact"/>
              <w:ind w:left="-48" w:leftChars="-20" w:right="-48" w:rightChars="-20"/>
              <w:jc w:val="center"/>
              <w:rPr>
                <w:sz w:val="21"/>
                <w:szCs w:val="21"/>
              </w:rPr>
            </w:pPr>
            <w:r>
              <w:rPr>
                <w:sz w:val="21"/>
                <w:szCs w:val="21"/>
              </w:rPr>
              <w:t>0</w:t>
            </w:r>
          </w:p>
        </w:tc>
        <w:tc>
          <w:tcPr>
            <w:tcW w:w="840" w:type="dxa"/>
            <w:vAlign w:val="center"/>
          </w:tcPr>
          <w:p>
            <w:pPr>
              <w:spacing w:line="300" w:lineRule="exact"/>
              <w:ind w:left="-48" w:leftChars="-20" w:right="-48" w:rightChars="-20"/>
              <w:jc w:val="center"/>
              <w:rPr>
                <w:sz w:val="21"/>
                <w:szCs w:val="21"/>
              </w:rPr>
            </w:pPr>
            <w:r>
              <w:rPr>
                <w:sz w:val="21"/>
                <w:szCs w:val="21"/>
              </w:rPr>
              <w:t>97.3%</w:t>
            </w:r>
          </w:p>
        </w:tc>
        <w:tc>
          <w:tcPr>
            <w:tcW w:w="644" w:type="dxa"/>
            <w:vAlign w:val="center"/>
          </w:tcPr>
          <w:p>
            <w:pPr>
              <w:spacing w:line="300" w:lineRule="exact"/>
              <w:ind w:left="-48" w:leftChars="-20" w:right="-48" w:rightChars="-20"/>
              <w:jc w:val="center"/>
              <w:rPr>
                <w:sz w:val="21"/>
                <w:szCs w:val="21"/>
              </w:rPr>
            </w:pPr>
            <w:r>
              <w:rPr>
                <w:sz w:val="21"/>
                <w:szCs w:val="21"/>
              </w:rPr>
              <w:t>5</w:t>
            </w:r>
          </w:p>
        </w:tc>
        <w:tc>
          <w:tcPr>
            <w:tcW w:w="701" w:type="dxa"/>
            <w:vAlign w:val="center"/>
          </w:tcPr>
          <w:p>
            <w:pPr>
              <w:spacing w:line="300" w:lineRule="exact"/>
              <w:ind w:left="-48" w:leftChars="-20" w:right="-48" w:rightChars="-20"/>
              <w:jc w:val="center"/>
              <w:rPr>
                <w:sz w:val="21"/>
                <w:szCs w:val="21"/>
              </w:rPr>
            </w:pPr>
            <w:r>
              <w:rPr>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vAlign w:val="center"/>
          </w:tcPr>
          <w:p>
            <w:pPr>
              <w:spacing w:line="300" w:lineRule="exact"/>
              <w:ind w:left="-48" w:leftChars="-20" w:right="-48" w:rightChars="-20"/>
              <w:jc w:val="center"/>
              <w:rPr>
                <w:sz w:val="21"/>
                <w:szCs w:val="21"/>
              </w:rPr>
            </w:pPr>
            <w:r>
              <w:rPr>
                <w:sz w:val="21"/>
                <w:szCs w:val="21"/>
              </w:rPr>
              <w:t>2021届</w:t>
            </w:r>
          </w:p>
        </w:tc>
        <w:tc>
          <w:tcPr>
            <w:tcW w:w="573" w:type="dxa"/>
            <w:vAlign w:val="center"/>
          </w:tcPr>
          <w:p>
            <w:pPr>
              <w:spacing w:line="300" w:lineRule="exact"/>
              <w:ind w:left="-48" w:leftChars="-20" w:right="-48" w:rightChars="-20"/>
              <w:jc w:val="center"/>
              <w:rPr>
                <w:sz w:val="21"/>
                <w:szCs w:val="21"/>
              </w:rPr>
            </w:pPr>
            <w:r>
              <w:rPr>
                <w:sz w:val="21"/>
                <w:szCs w:val="21"/>
              </w:rPr>
              <w:t>132</w:t>
            </w:r>
          </w:p>
        </w:tc>
        <w:tc>
          <w:tcPr>
            <w:tcW w:w="700" w:type="dxa"/>
            <w:vAlign w:val="center"/>
          </w:tcPr>
          <w:p>
            <w:pPr>
              <w:spacing w:line="300" w:lineRule="exact"/>
              <w:ind w:left="-48" w:leftChars="-20" w:right="-48" w:rightChars="-20"/>
              <w:jc w:val="center"/>
              <w:rPr>
                <w:sz w:val="21"/>
                <w:szCs w:val="21"/>
              </w:rPr>
            </w:pPr>
            <w:r>
              <w:rPr>
                <w:sz w:val="21"/>
                <w:szCs w:val="21"/>
              </w:rPr>
              <w:t>40</w:t>
            </w:r>
          </w:p>
        </w:tc>
        <w:tc>
          <w:tcPr>
            <w:tcW w:w="701" w:type="dxa"/>
            <w:vAlign w:val="center"/>
          </w:tcPr>
          <w:p>
            <w:pPr>
              <w:spacing w:line="300" w:lineRule="exact"/>
              <w:ind w:left="-48" w:leftChars="-20" w:right="-48" w:rightChars="-20"/>
              <w:jc w:val="center"/>
              <w:rPr>
                <w:sz w:val="21"/>
                <w:szCs w:val="21"/>
              </w:rPr>
            </w:pPr>
            <w:r>
              <w:rPr>
                <w:sz w:val="21"/>
                <w:szCs w:val="21"/>
              </w:rPr>
              <w:t>31%</w:t>
            </w:r>
          </w:p>
        </w:tc>
        <w:tc>
          <w:tcPr>
            <w:tcW w:w="776" w:type="dxa"/>
            <w:vAlign w:val="center"/>
          </w:tcPr>
          <w:p>
            <w:pPr>
              <w:spacing w:line="300" w:lineRule="exact"/>
              <w:ind w:left="-48" w:leftChars="-20" w:right="-48" w:rightChars="-20"/>
              <w:jc w:val="center"/>
              <w:rPr>
                <w:sz w:val="21"/>
                <w:szCs w:val="21"/>
              </w:rPr>
            </w:pPr>
            <w:r>
              <w:rPr>
                <w:sz w:val="21"/>
                <w:szCs w:val="21"/>
              </w:rPr>
              <w:t>0</w:t>
            </w:r>
          </w:p>
        </w:tc>
        <w:tc>
          <w:tcPr>
            <w:tcW w:w="625" w:type="dxa"/>
            <w:vAlign w:val="center"/>
          </w:tcPr>
          <w:p>
            <w:pPr>
              <w:spacing w:line="300" w:lineRule="exact"/>
              <w:ind w:left="-48" w:leftChars="-20" w:right="-48" w:rightChars="-20"/>
              <w:jc w:val="center"/>
              <w:rPr>
                <w:sz w:val="21"/>
                <w:szCs w:val="21"/>
              </w:rPr>
            </w:pPr>
            <w:r>
              <w:rPr>
                <w:sz w:val="21"/>
                <w:szCs w:val="21"/>
              </w:rPr>
              <w:t>83</w:t>
            </w:r>
          </w:p>
        </w:tc>
        <w:tc>
          <w:tcPr>
            <w:tcW w:w="701" w:type="dxa"/>
            <w:vAlign w:val="center"/>
          </w:tcPr>
          <w:p>
            <w:pPr>
              <w:spacing w:line="300" w:lineRule="exact"/>
              <w:ind w:left="-48" w:leftChars="-20" w:right="-48" w:rightChars="-20"/>
              <w:jc w:val="center"/>
              <w:rPr>
                <w:sz w:val="21"/>
                <w:szCs w:val="21"/>
              </w:rPr>
            </w:pPr>
            <w:r>
              <w:rPr>
                <w:sz w:val="21"/>
                <w:szCs w:val="21"/>
              </w:rPr>
              <w:t>11</w:t>
            </w:r>
          </w:p>
        </w:tc>
        <w:tc>
          <w:tcPr>
            <w:tcW w:w="964" w:type="dxa"/>
            <w:vAlign w:val="center"/>
          </w:tcPr>
          <w:p>
            <w:pPr>
              <w:spacing w:line="300" w:lineRule="exact"/>
              <w:ind w:left="-48" w:leftChars="-20" w:right="-48" w:rightChars="-20"/>
              <w:jc w:val="center"/>
              <w:rPr>
                <w:sz w:val="21"/>
                <w:szCs w:val="21"/>
              </w:rPr>
            </w:pPr>
            <w:r>
              <w:rPr>
                <w:sz w:val="21"/>
                <w:szCs w:val="21"/>
              </w:rPr>
              <w:t>8</w:t>
            </w:r>
          </w:p>
        </w:tc>
        <w:tc>
          <w:tcPr>
            <w:tcW w:w="437" w:type="dxa"/>
            <w:vAlign w:val="center"/>
          </w:tcPr>
          <w:p>
            <w:pPr>
              <w:spacing w:line="300" w:lineRule="exact"/>
              <w:ind w:left="-48" w:leftChars="-20" w:right="-48" w:rightChars="-20"/>
              <w:jc w:val="center"/>
              <w:rPr>
                <w:sz w:val="21"/>
                <w:szCs w:val="21"/>
              </w:rPr>
            </w:pPr>
            <w:r>
              <w:rPr>
                <w:sz w:val="21"/>
                <w:szCs w:val="21"/>
              </w:rPr>
              <w:t>1</w:t>
            </w:r>
          </w:p>
        </w:tc>
        <w:tc>
          <w:tcPr>
            <w:tcW w:w="618" w:type="dxa"/>
            <w:vAlign w:val="center"/>
          </w:tcPr>
          <w:p>
            <w:pPr>
              <w:spacing w:line="300" w:lineRule="exact"/>
              <w:ind w:left="-48" w:leftChars="-20" w:right="-48" w:rightChars="-20"/>
              <w:jc w:val="center"/>
              <w:rPr>
                <w:sz w:val="21"/>
                <w:szCs w:val="21"/>
              </w:rPr>
            </w:pPr>
            <w:r>
              <w:rPr>
                <w:sz w:val="21"/>
                <w:szCs w:val="21"/>
              </w:rPr>
              <w:t>1</w:t>
            </w:r>
          </w:p>
        </w:tc>
        <w:tc>
          <w:tcPr>
            <w:tcW w:w="840" w:type="dxa"/>
            <w:vAlign w:val="center"/>
          </w:tcPr>
          <w:p>
            <w:pPr>
              <w:spacing w:line="300" w:lineRule="exact"/>
              <w:ind w:left="-48" w:leftChars="-20" w:right="-48" w:rightChars="-20"/>
              <w:jc w:val="center"/>
              <w:rPr>
                <w:sz w:val="21"/>
                <w:szCs w:val="21"/>
              </w:rPr>
            </w:pPr>
            <w:r>
              <w:rPr>
                <w:sz w:val="21"/>
                <w:szCs w:val="21"/>
              </w:rPr>
              <w:t>94.69%</w:t>
            </w:r>
          </w:p>
        </w:tc>
        <w:tc>
          <w:tcPr>
            <w:tcW w:w="644" w:type="dxa"/>
            <w:vAlign w:val="center"/>
          </w:tcPr>
          <w:p>
            <w:pPr>
              <w:spacing w:line="300" w:lineRule="exact"/>
              <w:ind w:left="-48" w:leftChars="-20" w:right="-48" w:rightChars="-20"/>
              <w:jc w:val="center"/>
              <w:rPr>
                <w:sz w:val="21"/>
                <w:szCs w:val="21"/>
              </w:rPr>
            </w:pPr>
          </w:p>
        </w:tc>
        <w:tc>
          <w:tcPr>
            <w:tcW w:w="701" w:type="dxa"/>
            <w:vAlign w:val="center"/>
          </w:tcPr>
          <w:p>
            <w:pPr>
              <w:spacing w:line="300" w:lineRule="exact"/>
              <w:ind w:left="-48" w:leftChars="-20" w:right="-48" w:rightChars="-20"/>
              <w:jc w:val="center"/>
              <w:rPr>
                <w:sz w:val="21"/>
                <w:szCs w:val="21"/>
              </w:rPr>
            </w:pPr>
            <w:r>
              <w:rPr>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vAlign w:val="center"/>
          </w:tcPr>
          <w:p>
            <w:pPr>
              <w:spacing w:line="300" w:lineRule="exact"/>
              <w:ind w:left="-48" w:leftChars="-20" w:right="-48" w:rightChars="-20"/>
              <w:jc w:val="center"/>
              <w:rPr>
                <w:sz w:val="21"/>
                <w:szCs w:val="21"/>
              </w:rPr>
            </w:pPr>
            <w:r>
              <w:rPr>
                <w:sz w:val="21"/>
                <w:szCs w:val="21"/>
              </w:rPr>
              <w:t>2022届</w:t>
            </w:r>
          </w:p>
        </w:tc>
        <w:tc>
          <w:tcPr>
            <w:tcW w:w="573" w:type="dxa"/>
            <w:vAlign w:val="center"/>
          </w:tcPr>
          <w:p>
            <w:pPr>
              <w:spacing w:line="300" w:lineRule="exact"/>
              <w:ind w:left="-48" w:leftChars="-20" w:right="-48" w:rightChars="-20"/>
              <w:jc w:val="center"/>
              <w:rPr>
                <w:sz w:val="21"/>
                <w:szCs w:val="21"/>
              </w:rPr>
            </w:pPr>
            <w:r>
              <w:rPr>
                <w:sz w:val="21"/>
                <w:szCs w:val="21"/>
              </w:rPr>
              <w:t>175</w:t>
            </w:r>
          </w:p>
        </w:tc>
        <w:tc>
          <w:tcPr>
            <w:tcW w:w="700" w:type="dxa"/>
            <w:vAlign w:val="center"/>
          </w:tcPr>
          <w:p>
            <w:pPr>
              <w:spacing w:line="300" w:lineRule="exact"/>
              <w:ind w:left="-48" w:leftChars="-20" w:right="-48" w:rightChars="-20"/>
              <w:jc w:val="center"/>
              <w:rPr>
                <w:sz w:val="21"/>
                <w:szCs w:val="21"/>
              </w:rPr>
            </w:pPr>
            <w:r>
              <w:rPr>
                <w:sz w:val="21"/>
                <w:szCs w:val="21"/>
              </w:rPr>
              <w:t>69</w:t>
            </w:r>
          </w:p>
        </w:tc>
        <w:tc>
          <w:tcPr>
            <w:tcW w:w="701" w:type="dxa"/>
            <w:vAlign w:val="center"/>
          </w:tcPr>
          <w:p>
            <w:pPr>
              <w:spacing w:line="300" w:lineRule="exact"/>
              <w:ind w:left="-48" w:leftChars="-20" w:right="-48" w:rightChars="-20"/>
              <w:jc w:val="center"/>
              <w:rPr>
                <w:sz w:val="21"/>
                <w:szCs w:val="21"/>
              </w:rPr>
            </w:pPr>
            <w:r>
              <w:rPr>
                <w:sz w:val="21"/>
                <w:szCs w:val="21"/>
              </w:rPr>
              <w:t>39.4</w:t>
            </w:r>
          </w:p>
        </w:tc>
        <w:tc>
          <w:tcPr>
            <w:tcW w:w="776" w:type="dxa"/>
            <w:vAlign w:val="center"/>
          </w:tcPr>
          <w:p>
            <w:pPr>
              <w:spacing w:line="300" w:lineRule="exact"/>
              <w:ind w:left="-48" w:leftChars="-20" w:right="-48" w:rightChars="-20"/>
              <w:jc w:val="center"/>
              <w:rPr>
                <w:sz w:val="21"/>
                <w:szCs w:val="21"/>
              </w:rPr>
            </w:pPr>
            <w:r>
              <w:rPr>
                <w:sz w:val="21"/>
                <w:szCs w:val="21"/>
              </w:rPr>
              <w:t>0</w:t>
            </w:r>
          </w:p>
        </w:tc>
        <w:tc>
          <w:tcPr>
            <w:tcW w:w="625" w:type="dxa"/>
            <w:vAlign w:val="center"/>
          </w:tcPr>
          <w:p>
            <w:pPr>
              <w:spacing w:line="300" w:lineRule="exact"/>
              <w:ind w:left="-48" w:leftChars="-20" w:right="-48" w:rightChars="-20"/>
              <w:jc w:val="center"/>
              <w:rPr>
                <w:sz w:val="21"/>
                <w:szCs w:val="21"/>
              </w:rPr>
            </w:pPr>
            <w:r>
              <w:rPr>
                <w:sz w:val="21"/>
                <w:szCs w:val="21"/>
              </w:rPr>
              <w:t>68</w:t>
            </w:r>
          </w:p>
        </w:tc>
        <w:tc>
          <w:tcPr>
            <w:tcW w:w="701" w:type="dxa"/>
            <w:vAlign w:val="center"/>
          </w:tcPr>
          <w:p>
            <w:pPr>
              <w:spacing w:line="300" w:lineRule="exact"/>
              <w:ind w:left="-48" w:leftChars="-20" w:right="-48" w:rightChars="-20"/>
              <w:jc w:val="center"/>
              <w:rPr>
                <w:sz w:val="21"/>
                <w:szCs w:val="21"/>
              </w:rPr>
            </w:pPr>
            <w:r>
              <w:rPr>
                <w:sz w:val="21"/>
                <w:szCs w:val="21"/>
              </w:rPr>
              <w:t>15</w:t>
            </w:r>
          </w:p>
        </w:tc>
        <w:tc>
          <w:tcPr>
            <w:tcW w:w="964" w:type="dxa"/>
            <w:vAlign w:val="center"/>
          </w:tcPr>
          <w:p>
            <w:pPr>
              <w:spacing w:line="300" w:lineRule="exact"/>
              <w:ind w:left="-48" w:leftChars="-20" w:right="-48" w:rightChars="-20"/>
              <w:jc w:val="center"/>
              <w:rPr>
                <w:sz w:val="21"/>
                <w:szCs w:val="21"/>
              </w:rPr>
            </w:pPr>
            <w:r>
              <w:rPr>
                <w:sz w:val="21"/>
                <w:szCs w:val="21"/>
              </w:rPr>
              <w:t>10</w:t>
            </w:r>
          </w:p>
        </w:tc>
        <w:tc>
          <w:tcPr>
            <w:tcW w:w="437" w:type="dxa"/>
            <w:vAlign w:val="center"/>
          </w:tcPr>
          <w:p>
            <w:pPr>
              <w:spacing w:line="300" w:lineRule="exact"/>
              <w:ind w:left="-48" w:leftChars="-20" w:right="-48" w:rightChars="-20"/>
              <w:jc w:val="center"/>
              <w:rPr>
                <w:sz w:val="21"/>
                <w:szCs w:val="21"/>
              </w:rPr>
            </w:pPr>
            <w:r>
              <w:rPr>
                <w:sz w:val="21"/>
                <w:szCs w:val="21"/>
              </w:rPr>
              <w:t>1</w:t>
            </w:r>
          </w:p>
        </w:tc>
        <w:tc>
          <w:tcPr>
            <w:tcW w:w="618" w:type="dxa"/>
            <w:vAlign w:val="center"/>
          </w:tcPr>
          <w:p>
            <w:pPr>
              <w:spacing w:line="300" w:lineRule="exact"/>
              <w:ind w:left="-48" w:leftChars="-20" w:right="-48" w:rightChars="-20"/>
              <w:jc w:val="center"/>
              <w:rPr>
                <w:sz w:val="21"/>
                <w:szCs w:val="21"/>
              </w:rPr>
            </w:pPr>
            <w:r>
              <w:rPr>
                <w:sz w:val="21"/>
                <w:szCs w:val="21"/>
              </w:rPr>
              <w:t>0</w:t>
            </w:r>
          </w:p>
        </w:tc>
        <w:tc>
          <w:tcPr>
            <w:tcW w:w="840" w:type="dxa"/>
            <w:vAlign w:val="center"/>
          </w:tcPr>
          <w:p>
            <w:pPr>
              <w:spacing w:line="300" w:lineRule="exact"/>
              <w:ind w:left="-48" w:leftChars="-20" w:right="-48" w:rightChars="-20"/>
              <w:jc w:val="center"/>
              <w:rPr>
                <w:sz w:val="21"/>
                <w:szCs w:val="21"/>
              </w:rPr>
            </w:pPr>
            <w:r>
              <w:rPr>
                <w:sz w:val="21"/>
                <w:szCs w:val="21"/>
              </w:rPr>
              <w:t>92.58</w:t>
            </w:r>
          </w:p>
        </w:tc>
        <w:tc>
          <w:tcPr>
            <w:tcW w:w="644" w:type="dxa"/>
            <w:vAlign w:val="center"/>
          </w:tcPr>
          <w:p>
            <w:pPr>
              <w:spacing w:line="300" w:lineRule="exact"/>
              <w:ind w:left="-48" w:leftChars="-20" w:right="-48" w:rightChars="-20"/>
              <w:jc w:val="center"/>
              <w:rPr>
                <w:sz w:val="21"/>
                <w:szCs w:val="21"/>
              </w:rPr>
            </w:pPr>
          </w:p>
        </w:tc>
        <w:tc>
          <w:tcPr>
            <w:tcW w:w="701" w:type="dxa"/>
            <w:vAlign w:val="center"/>
          </w:tcPr>
          <w:p>
            <w:pPr>
              <w:spacing w:line="300" w:lineRule="exact"/>
              <w:ind w:left="-48" w:leftChars="-20" w:right="-48" w:rightChars="-20"/>
              <w:jc w:val="center"/>
              <w:rPr>
                <w:sz w:val="21"/>
                <w:szCs w:val="21"/>
              </w:rPr>
            </w:pPr>
            <w:r>
              <w:rPr>
                <w:sz w:val="21"/>
                <w:szCs w:val="21"/>
              </w:rPr>
              <w:t>100%</w:t>
            </w:r>
          </w:p>
        </w:tc>
      </w:tr>
    </w:tbl>
    <w:p>
      <w:pPr>
        <w:ind w:firstLine="480" w:firstLineChars="200"/>
      </w:pPr>
      <w:r>
        <w:rPr>
          <w:color w:val="000000" w:themeColor="text1"/>
          <w14:textFill>
            <w14:solidFill>
              <w14:schemeClr w14:val="tx1"/>
            </w14:solidFill>
          </w14:textFill>
        </w:rPr>
        <w:t>迄今为止，我校电气工程专业共向国内外相关领域输送了2400</w:t>
      </w:r>
      <w:r>
        <w:t>多名优秀毕业生。毕业生首次就业率一直稳定在94.7%以上，考研率在20-44%，专业就业率在99%以上，就业单位对学生的满意率达到98%以上。电气工程及其自动化毕业生近5年就业情况如表4所示。</w:t>
      </w:r>
    </w:p>
    <w:p>
      <w:pPr>
        <w:ind w:firstLine="480" w:firstLineChars="200"/>
      </w:pPr>
      <w:r>
        <w:t>电气工程专业培养宽口径、复合型的高级工程技术人才，因此该专业毕业生在就业时呈现</w:t>
      </w:r>
      <w:r>
        <w:rPr>
          <w:rFonts w:hint="eastAsia"/>
        </w:rPr>
        <w:t>“</w:t>
      </w:r>
      <w:r>
        <w:t>点多、面宽、适应性强</w:t>
      </w:r>
      <w:r>
        <w:rPr>
          <w:rFonts w:hint="eastAsia"/>
        </w:rPr>
        <w:t>”</w:t>
      </w:r>
      <w:r>
        <w:t>的特点。一般来说，电气工程专业毕业生能够在电气工程相关的系统运行、自动控制、电力电子技术、信息处理、试验技术、研制开发、经济管理以及电子与计算机技术应用等领域担任重要工作，也能到各级发电厂、供电局、电网调度所、各类大、中型企业从事电力设计、建设、调试、生产、运行、管理、市场运营、科技开发和技术培训等工作，或从事电气设备的维护、检修、安装和调试等方面的工作。此外，该专业的毕业生还可从事其他行业中的电气技术工作。</w:t>
      </w:r>
    </w:p>
    <w:p>
      <w:pPr>
        <w:ind w:firstLine="480" w:firstLineChars="200"/>
      </w:pPr>
      <w:r>
        <w:t>人类社会发展到任何时候也离不开能源，能源是人类永恒的研究对象，而电能是利用最为方便的能源形式。因此，以电能为研究对象的电气工程专业有着十分强大的生命力。迄今为止，通信和计算机都主要以电作为信息的载体。因此，这些专业也都属于电类专业，电气工程实际上是其母体。电气工程的研究对象是电能，而电信息的检测、处理、控制等技术在电能从产生到利用的各个环节中都起着越来越重要的作用。因此，有关电信息的研究也成了电气工程的重要组成部分。近几十年来，有关电能的转换、控制在该专业所占的地位日益重要。电气工程专业的基础性也决定了其具有很强的学科交叉能力。电气工程和生命科学的交叉已经产生了生物医学工程专业，对生命中电磁现象的研究产生了一门生物电磁学。电气工程和材料科学的交叉形成了超导电工技术和纳米电工技术。电气工程和电子科学以及控制科学的交叉产生了电力电子技术，电力电子技术不但给电气工程的发展带来了极大的活力，同时电力电子技术也成为电气工程的重要分支。</w:t>
      </w:r>
    </w:p>
    <w:p>
      <w:pPr>
        <w:ind w:firstLine="480" w:firstLineChars="200"/>
      </w:pPr>
      <w:r>
        <w:t>在《中共中央关于制定国民经济和社会发展第十二个五年规划的建议》中，着重提出了将发展新能源，加强现代能源产业。事实上，现代能源产业与电气工程及其自动化专业有着密切关系。电气专业培养的就是在电能的发、送、配、用四个阶段从事设计、安装和维护人才。电气人才的主要工作包括维护发电机、安装检测变压器、设计输电线路和电能输送前的调整等。简单地说，有电的地方就有电气工程及其自动化专业毕业生的用武之地。所以整个社会对电气类人才需求旺盛，就业潜力巨大。</w:t>
      </w:r>
    </w:p>
    <w:p>
      <w:pPr>
        <w:ind w:firstLine="480" w:firstLineChars="200"/>
      </w:pPr>
      <w:r>
        <w:t>正是看到了这一极有发展潜力的方向，学生考取本专业意愿极为强烈，使我校本专业录取分数线逐年抬高，同时电气专业也成为我校典型转入专业之一.</w:t>
      </w:r>
    </w:p>
    <w:p>
      <w:pPr>
        <w:pStyle w:val="5"/>
        <w:spacing w:before="93" w:after="93"/>
        <w:ind w:firstLine="560"/>
      </w:pPr>
      <w:bookmarkStart w:id="355" w:name="_Toc18649"/>
      <w:r>
        <w:t>六、毕业生就业创业（创业情况、采取的措施、典型案例等）</w:t>
      </w:r>
      <w:bookmarkEnd w:id="355"/>
    </w:p>
    <w:p>
      <w:pPr>
        <w:ind w:firstLine="480" w:firstLineChars="200"/>
      </w:pPr>
      <w:r>
        <w:t>多年来，电气工程专业极为重视毕业生就业创业工作，在学院党委、团委及学生会的大力支持下，多名电气工程专业学生大学期间进行创业尝试，但是，受到传统思想观念束缚，大部分毕业生自主创业积极性不高，但是，2018年已有多名电气工程专业毕业生选择自主创业，可以预期，随着我国各级政府对自主创业，万众创新政策的实施，毕业生的自主创业也备受关注。</w:t>
      </w:r>
    </w:p>
    <w:p>
      <w:pPr>
        <w:ind w:firstLine="480" w:firstLineChars="200"/>
      </w:pPr>
      <w:r>
        <w:t>为了促进毕业生就业创业工作，机电学院采取多种措施，确保每个毕业生都能够顺利就业，由于措施得当，2003年以来，连续18年机电学院被学校评为招生就业先进单位光荣称号， 针对国内外经济社会发展形势对毕业生就业提出严峻考验的现实，电气工程专业各专职教师，在学院党委、行政及团委各级领导带领下，开拓创新，充分发挥专业优势，确保电气工程专业毕业生就业率稳定在95%以上，具体措施包括：</w:t>
      </w:r>
    </w:p>
    <w:p>
      <w:pPr>
        <w:ind w:firstLine="480" w:firstLineChars="200"/>
      </w:pPr>
      <w:r>
        <w:t>1.狠抓学风建设是根本。学风从根本上决定就业。学院把学风建设与就业相结合，实行教学、就业相促进，强化实践与创新，大力提高核心竞争力。主要实施高端论坛、制度规范、磐石工程、精品工程、文化熏陶等9大工程，夯实、引领、示范、保障优良学风建设，实现了学风建设和就业工作的双赢。</w:t>
      </w:r>
    </w:p>
    <w:p>
      <w:pPr>
        <w:ind w:firstLine="480" w:firstLineChars="200"/>
      </w:pPr>
      <w:r>
        <w:t>2.做好思想工作是关键。每年有近二百家单位招聘，提供几千个岗位。但到大城市、大企业去工作的观念，仍然是制约就业的关键。因此，学院把做好就业教育作为提高签约的关键，重点抓住毕业生择业的</w:t>
      </w:r>
      <w:r>
        <w:rPr>
          <w:rFonts w:hint="eastAsia"/>
        </w:rPr>
        <w:t>“</w:t>
      </w:r>
      <w:r>
        <w:t>三个关键时期</w:t>
      </w:r>
      <w:r>
        <w:rPr>
          <w:rFonts w:hint="eastAsia"/>
        </w:rPr>
        <w:t>”</w:t>
      </w:r>
      <w:r>
        <w:t>，即</w:t>
      </w:r>
      <w:r>
        <w:rPr>
          <w:rFonts w:hint="eastAsia"/>
        </w:rPr>
        <w:t>“</w:t>
      </w:r>
      <w:r>
        <w:t>思考就业</w:t>
      </w:r>
      <w:r>
        <w:rPr>
          <w:rFonts w:hint="eastAsia"/>
        </w:rPr>
        <w:t>”</w:t>
      </w:r>
      <w:r>
        <w:t>的萌动期，这时强化就业理念教育；</w:t>
      </w:r>
      <w:r>
        <w:rPr>
          <w:rFonts w:hint="eastAsia"/>
        </w:rPr>
        <w:t>“</w:t>
      </w:r>
      <w:r>
        <w:t>准备就业</w:t>
      </w:r>
      <w:r>
        <w:rPr>
          <w:rFonts w:hint="eastAsia"/>
        </w:rPr>
        <w:t>”</w:t>
      </w:r>
      <w:r>
        <w:t>的启动期，这时我们把往届生的就业去给学生向全面分析，引导毕业生树立正确的就业观，做好不同的择业准备；快速签约</w:t>
      </w:r>
      <w:r>
        <w:rPr>
          <w:rFonts w:hint="eastAsia"/>
        </w:rPr>
        <w:t>”</w:t>
      </w:r>
      <w:r>
        <w:t>的黄金期，这时开展</w:t>
      </w:r>
      <w:r>
        <w:rPr>
          <w:rFonts w:hint="eastAsia"/>
        </w:rPr>
        <w:t>“</w:t>
      </w:r>
      <w:r>
        <w:t>知名校友、企业农大行</w:t>
      </w:r>
      <w:r>
        <w:rPr>
          <w:rFonts w:hint="eastAsia"/>
        </w:rPr>
        <w:t>”</w:t>
      </w:r>
      <w:r>
        <w:t>，对未签约者进行</w:t>
      </w:r>
      <w:r>
        <w:rPr>
          <w:rFonts w:hint="eastAsia"/>
        </w:rPr>
        <w:t>“</w:t>
      </w:r>
      <w:r>
        <w:t>授业解惑</w:t>
      </w:r>
      <w:r>
        <w:rPr>
          <w:rFonts w:hint="eastAsia"/>
        </w:rPr>
        <w:t>”</w:t>
      </w:r>
      <w:r>
        <w:t>，同时开展个性化订单式</w:t>
      </w:r>
      <w:r>
        <w:rPr>
          <w:rFonts w:hint="eastAsia"/>
        </w:rPr>
        <w:t>“</w:t>
      </w:r>
      <w:r>
        <w:t>一盯一一帮一</w:t>
      </w:r>
      <w:r>
        <w:rPr>
          <w:rFonts w:hint="eastAsia"/>
        </w:rPr>
        <w:t>”</w:t>
      </w:r>
      <w:r>
        <w:t>帮扶，做学生的好参谋、好朋友。</w:t>
      </w:r>
    </w:p>
    <w:p>
      <w:pPr>
        <w:ind w:firstLine="480" w:firstLineChars="200"/>
      </w:pPr>
      <w:r>
        <w:t>3.拓展就业市场是前提。有较大部分学生是通过校内招聘就业的，学院重视就业市场的拓展，不但巩固老朋友，还要结识新朋友。对五征、福田、歌尔声学等这样的招聘大户，向亲戚一样经常要走动；利用参加会议、外出实习等机会，结识了长城汽车、奇瑞汽车、吉利汽车、北汽福田、中烟集团等一大批新朋友，慢慢成为好朋友、老朋友。</w:t>
      </w:r>
    </w:p>
    <w:p>
      <w:pPr>
        <w:ind w:firstLine="480" w:firstLineChars="200"/>
      </w:pPr>
      <w:r>
        <w:t>4.浓厚就业氛围是保障。积极向上的就业氛围，是推动就业的重要保障，学院非常重视营造积极向上的就业氛围。实行</w:t>
      </w:r>
      <w:r>
        <w:rPr>
          <w:rFonts w:hint="eastAsia"/>
        </w:rPr>
        <w:t>“</w:t>
      </w:r>
      <w:r>
        <w:t>院领导联系专业促就业</w:t>
      </w:r>
      <w:r>
        <w:rPr>
          <w:rFonts w:hint="eastAsia"/>
        </w:rPr>
        <w:t>”</w:t>
      </w:r>
      <w:r>
        <w:t>、</w:t>
      </w:r>
      <w:r>
        <w:rPr>
          <w:rFonts w:hint="eastAsia"/>
        </w:rPr>
        <w:t>“</w:t>
      </w:r>
      <w:r>
        <w:t>就业红娘评选</w:t>
      </w:r>
      <w:r>
        <w:rPr>
          <w:rFonts w:hint="eastAsia"/>
        </w:rPr>
        <w:t>”</w:t>
      </w:r>
      <w:r>
        <w:t>、</w:t>
      </w:r>
      <w:r>
        <w:rPr>
          <w:rFonts w:hint="eastAsia"/>
        </w:rPr>
        <w:t>“</w:t>
      </w:r>
      <w:r>
        <w:t>就业喜报</w:t>
      </w:r>
      <w:r>
        <w:rPr>
          <w:rFonts w:hint="eastAsia"/>
        </w:rPr>
        <w:t>”</w:t>
      </w:r>
      <w:r>
        <w:t>，党员干部带头就业等措施，营造浓厚的就业氛围。</w:t>
      </w:r>
    </w:p>
    <w:p>
      <w:pPr>
        <w:ind w:firstLine="480" w:firstLineChars="200"/>
      </w:pPr>
      <w:r>
        <w:t>5.分类指导是有效途径。把毕业生分成就业、考研等不同类型。针对签约者，帮助他们到单位顶岗实习；对考研的，尝试调整了学习型宿舍；针对报考211、985高校学生扎堆现象，专门召开协调会，动员学生报考我校的同时，避免自我淘汰，指导学生主动分流；对报考公务员的邀请教师进行指导，近年来考研、考公务员成功率逐年提高，成为学院就业心得增长点。</w:t>
      </w:r>
    </w:p>
    <w:p>
      <w:pPr>
        <w:ind w:firstLine="480" w:firstLineChars="200"/>
      </w:pPr>
      <w:r>
        <w:t>6.畅通就业渠道是基础。充分利用院网、新媒体、就业APP、班级就业信息员等渠道，把就业信息及时快捷的传递到毕业生。学生会还设立了</w:t>
      </w:r>
      <w:r>
        <w:rPr>
          <w:rFonts w:hint="eastAsia"/>
        </w:rPr>
        <w:t>“</w:t>
      </w:r>
      <w:r>
        <w:t>考研与就业服务部</w:t>
      </w:r>
      <w:r>
        <w:rPr>
          <w:rFonts w:hint="eastAsia"/>
        </w:rPr>
        <w:t>”</w:t>
      </w:r>
      <w:r>
        <w:t>，协助辅导员老师关注山东大学等其他高校的相关就业信息。学院在毕业生公寓楼门口制作了</w:t>
      </w:r>
      <w:r>
        <w:rPr>
          <w:rFonts w:hint="eastAsia"/>
        </w:rPr>
        <w:t>“</w:t>
      </w:r>
      <w:r>
        <w:t>毕业生就业信息专栏</w:t>
      </w:r>
      <w:r>
        <w:rPr>
          <w:rFonts w:hint="eastAsia"/>
        </w:rPr>
        <w:t>”</w:t>
      </w:r>
      <w:r>
        <w:t>，有校内、校外招聘信息等六大板块，每周二上午8：00前定期更新，极大地方便了毕业生获取就业信息。</w:t>
      </w:r>
    </w:p>
    <w:p>
      <w:pPr>
        <w:ind w:firstLine="480" w:firstLineChars="200"/>
      </w:pPr>
      <w:r>
        <w:t>典型案例：</w:t>
      </w:r>
    </w:p>
    <w:p>
      <w:pPr>
        <w:ind w:firstLine="480" w:firstLineChars="200"/>
      </w:pPr>
      <w:r>
        <w:t>案例1：融媒播报｜山东泰安：</w:t>
      </w:r>
      <w:r>
        <w:rPr>
          <w:rFonts w:hint="eastAsia"/>
        </w:rPr>
        <w:t>“</w:t>
      </w:r>
      <w:r>
        <w:t>00后</w:t>
      </w:r>
      <w:r>
        <w:rPr>
          <w:rFonts w:hint="eastAsia"/>
        </w:rPr>
        <w:t>”</w:t>
      </w:r>
      <w:r>
        <w:t>毕业生被泰安</w:t>
      </w:r>
      <w:r>
        <w:rPr>
          <w:rFonts w:hint="eastAsia"/>
        </w:rPr>
        <w:t>“</w:t>
      </w:r>
      <w:r>
        <w:t>圈粉</w:t>
      </w:r>
      <w:r>
        <w:rPr>
          <w:rFonts w:hint="eastAsia"/>
        </w:rPr>
        <w:t>”</w:t>
      </w:r>
      <w:r>
        <w:t xml:space="preserve"> </w:t>
      </w:r>
    </w:p>
    <w:p>
      <w:pPr>
        <w:ind w:firstLine="480" w:firstLineChars="200"/>
      </w:pPr>
      <w:r>
        <w:t>在各高校2022届本科毕业生中，</w:t>
      </w:r>
      <w:r>
        <w:rPr>
          <w:rFonts w:hint="eastAsia"/>
        </w:rPr>
        <w:t>“</w:t>
      </w:r>
      <w:r>
        <w:t>00后</w:t>
      </w:r>
      <w:r>
        <w:rPr>
          <w:rFonts w:hint="eastAsia"/>
        </w:rPr>
        <w:t>”</w:t>
      </w:r>
      <w:r>
        <w:t>大规模走出大学校园，正式进入人生的下一程。在全新的经济环境和时代背景下，出生于千禧之年的一代年轻人面对就业所作出的选择备受关注。在许多人眼中，</w:t>
      </w:r>
      <w:r>
        <w:rPr>
          <w:rFonts w:hint="eastAsia"/>
        </w:rPr>
        <w:t>“</w:t>
      </w:r>
      <w:r>
        <w:t>00后</w:t>
      </w:r>
      <w:r>
        <w:rPr>
          <w:rFonts w:hint="eastAsia"/>
        </w:rPr>
        <w:t>”</w:t>
      </w:r>
      <w:r>
        <w:t>充满韧劲、乐观向上，能够不断学习、自我成长，可以演绎新一代职场人的精彩故事。</w:t>
      </w:r>
    </w:p>
    <w:p>
      <w:pPr>
        <w:ind w:firstLine="480" w:firstLineChars="200"/>
      </w:pPr>
      <w:r>
        <w:t>近日，泰安日报社记者从几所驻泰高校了解到，2022年一些应届毕业生在找工作时更加青睐泰安当地的企业，其中不乏一些外地学生。他们留在泰安，一方面是出于对这座生活了几年的城市的热爱，另一方面则是因为在泰安建设新型工业化强市的浪潮中，他们看到了获得长远发展的机遇和希望。</w:t>
      </w:r>
    </w:p>
    <w:p>
      <w:pPr>
        <w:ind w:firstLine="482" w:firstLineChars="200"/>
        <w:rPr>
          <w:b/>
          <w:bCs/>
        </w:rPr>
      </w:pPr>
      <w:r>
        <w:rPr>
          <w:b/>
          <w:bCs/>
        </w:rPr>
        <w:t>首选就业城市就是泰安</w:t>
      </w:r>
    </w:p>
    <w:p>
      <w:pPr>
        <w:ind w:firstLine="480" w:firstLineChars="200"/>
      </w:pPr>
      <w:r>
        <w:t>2022年7月14日早上，山东农业大学机械与电子工程学院</w:t>
      </w:r>
      <w:r>
        <w:rPr>
          <w:rFonts w:hint="eastAsia"/>
        </w:rPr>
        <w:t>“</w:t>
      </w:r>
      <w:r>
        <w:t>00后</w:t>
      </w:r>
      <w:r>
        <w:rPr>
          <w:rFonts w:hint="eastAsia"/>
        </w:rPr>
        <w:t>”</w:t>
      </w:r>
      <w:r>
        <w:t>毕业生郭志澳坐上了从家乡菏泽到泰安的火车，这是他前往山东泰安一家企业报到的日子，也是他走出校园、正式步入职场的重要一天。</w:t>
      </w:r>
      <w:r>
        <w:rPr>
          <w:rFonts w:hint="eastAsia"/>
        </w:rPr>
        <w:t>“</w:t>
      </w:r>
      <w:r>
        <w:t>我现在既紧张又激动，以前坐火车都是从家回学校，今天的目的地却是我即将工作的地方，这也就意味着我将要完成从学生到职场人的身份转换，不过我相信选择泰安没有错。</w:t>
      </w:r>
      <w:r>
        <w:rPr>
          <w:rFonts w:hint="eastAsia"/>
        </w:rPr>
        <w:t>”</w:t>
      </w:r>
      <w:r>
        <w:t>在电话采访中，火车上嘈杂的背景音让郭志澳的声音显得更加坚定。</w:t>
      </w:r>
    </w:p>
    <w:p>
      <w:pPr>
        <w:ind w:firstLine="480" w:firstLineChars="200"/>
      </w:pPr>
      <w:r>
        <w:t>2018年，郭志澳来到山东农业大学求学，在机械与电子工程学院学习电气工程专业，4年的学习时光让他对泰安充满了感情。</w:t>
      </w:r>
      <w:r>
        <w:rPr>
          <w:rFonts w:hint="eastAsia"/>
        </w:rPr>
        <w:t>“</w:t>
      </w:r>
      <w:r>
        <w:t>我觉得泰安的人文环境、自然环境都很好，而且具有厚重的历史文化底蕴，是一个值得细细品读的城市，也是一个让我舍不得离开的城市。</w:t>
      </w:r>
      <w:r>
        <w:rPr>
          <w:rFonts w:hint="eastAsia"/>
        </w:rPr>
        <w:t>”</w:t>
      </w:r>
      <w:r>
        <w:t>郭志澳说，在学校时，他还参加了山东农业大学机电学院的学雷锋家电维修队，运用所学，帮助泰城市民义务维修一些家用电器，这些倾注了诸多情感、收获了快乐与成长的经历让他更加熟悉泰安、喜欢泰安。</w:t>
      </w:r>
    </w:p>
    <w:p>
      <w:pPr>
        <w:ind w:firstLine="480" w:firstLineChars="200"/>
      </w:pPr>
      <w:r>
        <w:rPr>
          <w:rFonts w:hint="eastAsia"/>
        </w:rPr>
        <w:t>“</w:t>
      </w:r>
      <w:r>
        <w:t>当面临毕业找工作时，我没有考虑一二线的大城市，首选的就是泰安，因为这里不仅有很多企业提供的工作岗位跟我的专业对口，还满足了我对未来生活的想象。</w:t>
      </w:r>
      <w:r>
        <w:rPr>
          <w:rFonts w:hint="eastAsia"/>
        </w:rPr>
        <w:t>”</w:t>
      </w:r>
      <w:r>
        <w:t>2022年4月份，郭志澳开始关注学校举办的各种招聘会，综合考虑了企业发展、福利待遇、工作前景等多个因素后，他将简历投向了泰安一家公司，并顺利通过了线上面试。</w:t>
      </w:r>
      <w:r>
        <w:rPr>
          <w:rFonts w:hint="eastAsia"/>
        </w:rPr>
        <w:t>“</w:t>
      </w:r>
      <w:r>
        <w:t>我应聘的工作是10千伏及以下的智能配网集成产品的研发设计、工艺改进、标准修订，具体在哪个车间、哪个岗位上还得在报到、完成体检之后听从公司的安排，不过我相信只要自己踏实肯干、勤恳认真，就一定能够在岗位上发光发热。</w:t>
      </w:r>
      <w:r>
        <w:rPr>
          <w:rFonts w:hint="eastAsia"/>
        </w:rPr>
        <w:t>”</w:t>
      </w:r>
      <w:r>
        <w:t>郭志澳说。</w:t>
      </w:r>
    </w:p>
    <w:p>
      <w:pPr>
        <w:ind w:firstLine="482" w:firstLineChars="200"/>
        <w:rPr>
          <w:b/>
          <w:bCs/>
        </w:rPr>
      </w:pPr>
      <w:r>
        <w:rPr>
          <w:b/>
          <w:bCs/>
        </w:rPr>
        <w:t>有信心在这里圆梦筑梦</w:t>
      </w:r>
    </w:p>
    <w:p>
      <w:pPr>
        <w:ind w:firstLine="480" w:firstLineChars="200"/>
      </w:pPr>
      <w:r>
        <w:t>在泰安另一家公司，同为山东农业大学机械与电子工程学院2022届毕业生的吴余献已经工作了22天，还在实习期的他负责公司机械部设备选型工作，主要是为公司的长距离带式输送机挑选性能稳定、性价比高的器件。</w:t>
      </w:r>
      <w:r>
        <w:rPr>
          <w:rFonts w:hint="eastAsia"/>
        </w:rPr>
        <w:t>“</w:t>
      </w:r>
      <w:r>
        <w:t>我在学校学习的专业是农业机械化及其自动化，当时学习到的机械设计、机械原理等专业知识，都能够在现在的工作岗位上得到应用，这让我觉得很有成就感。</w:t>
      </w:r>
      <w:r>
        <w:rPr>
          <w:rFonts w:hint="eastAsia"/>
        </w:rPr>
        <w:t>”</w:t>
      </w:r>
      <w:r>
        <w:t>谈及学习的专业时，吴余献用了</w:t>
      </w:r>
      <w:r>
        <w:rPr>
          <w:rFonts w:hint="eastAsia"/>
        </w:rPr>
        <w:t>“</w:t>
      </w:r>
      <w:r>
        <w:t>实用</w:t>
      </w:r>
      <w:r>
        <w:rPr>
          <w:rFonts w:hint="eastAsia"/>
        </w:rPr>
        <w:t>”</w:t>
      </w:r>
      <w:r>
        <w:t>一词来评价，在他毕业后找工作时，专业的</w:t>
      </w:r>
      <w:r>
        <w:rPr>
          <w:rFonts w:hint="eastAsia"/>
        </w:rPr>
        <w:t>“</w:t>
      </w:r>
      <w:r>
        <w:t>实用</w:t>
      </w:r>
      <w:r>
        <w:rPr>
          <w:rFonts w:hint="eastAsia"/>
        </w:rPr>
        <w:t>”</w:t>
      </w:r>
      <w:r>
        <w:t>得到了验证。</w:t>
      </w:r>
    </w:p>
    <w:p>
      <w:pPr>
        <w:ind w:firstLine="480" w:firstLineChars="200"/>
      </w:pPr>
      <w:r>
        <w:t>吴余献是重庆人，16年前跟随父母到山东德州生活，高中毕业后，来到泰安上大学。到了泰安之后，看着巍峨的泰山、优美的环境，他顿感这城市真没来错。4年的大学时光转瞬即逝，虽然吴余献在身边朋友的带动下也加入了</w:t>
      </w:r>
      <w:r>
        <w:rPr>
          <w:rFonts w:hint="eastAsia"/>
        </w:rPr>
        <w:t>“</w:t>
      </w:r>
      <w:r>
        <w:t>考研大军</w:t>
      </w:r>
      <w:r>
        <w:rPr>
          <w:rFonts w:hint="eastAsia"/>
        </w:rPr>
        <w:t>”</w:t>
      </w:r>
      <w:r>
        <w:t>，但他的潜意识里还是想选择就业。</w:t>
      </w:r>
      <w:r>
        <w:rPr>
          <w:rFonts w:hint="eastAsia"/>
        </w:rPr>
        <w:t>“</w:t>
      </w:r>
      <w:r>
        <w:t>提升学历确实很重要，但毕业人数一年比一年多，我还是想‘先下手为强’，当然这只是我个人的想法。</w:t>
      </w:r>
      <w:r>
        <w:rPr>
          <w:rFonts w:hint="eastAsia"/>
        </w:rPr>
        <w:t>”</w:t>
      </w:r>
      <w:r>
        <w:t>吴余献说。</w:t>
      </w:r>
    </w:p>
    <w:p>
      <w:pPr>
        <w:ind w:firstLine="480" w:firstLineChars="200"/>
      </w:pPr>
      <w:r>
        <w:t>找工作时，吴余献尤其注重公司所在的城市和工作氛围、环境。</w:t>
      </w:r>
      <w:r>
        <w:rPr>
          <w:rFonts w:hint="eastAsia"/>
        </w:rPr>
        <w:t>“</w:t>
      </w:r>
      <w:r>
        <w:t>这些对我来说很重要。我很喜欢泰安，所以在找工作的时候，把简历都投给了泰安的公司。</w:t>
      </w:r>
      <w:r>
        <w:rPr>
          <w:rFonts w:hint="eastAsia"/>
        </w:rPr>
        <w:t>”</w:t>
      </w:r>
      <w:r>
        <w:t>就这样，吴余献坚定地留在了泰安，并顺利进入公司工作，他对自己就业的城市和公司都十分满意。现在，吴余献正在加速适应工作环境，努力以较高的效率完成每日任务，为以后成为一名机械设计工程师打下坚实的基础。</w:t>
      </w:r>
    </w:p>
    <w:p>
      <w:pPr>
        <w:ind w:firstLine="480" w:firstLineChars="200"/>
      </w:pPr>
      <w:r>
        <w:rPr>
          <w:rFonts w:hint="eastAsia"/>
        </w:rPr>
        <w:t>“</w:t>
      </w:r>
      <w:r>
        <w:t>学校在就业方面为我们这届毕业生提供了许多帮助，老师们凭借着丰富的经验，针对工作岗位给我们提供相应的建议，也会根据大家的需求，积极对接泰安当地的企业，增加我们的就业机会。公司和城市迸发出的强劲活力以及不断向前的势头，让我对今后在泰安的发展更加充满信心和期待。</w:t>
      </w:r>
      <w:r>
        <w:rPr>
          <w:rFonts w:hint="eastAsia"/>
        </w:rPr>
        <w:t>”</w:t>
      </w:r>
      <w:r>
        <w:t>吴余献说，此外，泰安市政府为广大学子出台的各项就业关怀政策让他感受到了这座美丽城市的另一种温度，让他更有信心在这座城市筑梦圆梦。</w:t>
      </w:r>
    </w:p>
    <w:p>
      <w:pPr>
        <w:ind w:firstLine="482" w:firstLineChars="200"/>
        <w:rPr>
          <w:b/>
          <w:bCs/>
        </w:rPr>
      </w:pPr>
      <w:r>
        <w:rPr>
          <w:b/>
          <w:bCs/>
        </w:rPr>
        <w:t>泰安为学生提供更多就业机会</w:t>
      </w:r>
    </w:p>
    <w:p>
      <w:pPr>
        <w:ind w:firstLine="480" w:firstLineChars="200"/>
      </w:pPr>
      <w:r>
        <w:t>2022年3月份，泰安市新型工业化强市建设动员大会召开，旗帜鲜明地表明了市委、市政府推进新型工业化强市建设的信心和决心，动员全市上下登高望远、奋力争先，以工业经济的大发展，促进现代化强市建设开创新局面。</w:t>
      </w:r>
    </w:p>
    <w:p>
      <w:pPr>
        <w:ind w:firstLine="480" w:firstLineChars="200"/>
      </w:pPr>
      <w:r>
        <w:rPr>
          <w:rFonts w:hint="eastAsia"/>
        </w:rPr>
        <w:t>“</w:t>
      </w:r>
      <w:r>
        <w:t>新型工业化强市战略的实施给我们高校的毕业生提供了更多的就业、创业机会以及大展身手的空间，在与企业交流、沟通的过程中，我们能明显感受到企业目前更加需要对企业忠诚度高，且具有一定专业技术能力的应用型人才。</w:t>
      </w:r>
      <w:r>
        <w:rPr>
          <w:rFonts w:hint="eastAsia"/>
        </w:rPr>
        <w:t>”</w:t>
      </w:r>
      <w:r>
        <w:t>山东农业大学机电学院相关负责人告诉记者，2022年山东农业大学机电学院应届毕业生留泰率比去年提高了5%，这是一个能够体现学生愿意留在泰安的直观数据。</w:t>
      </w:r>
      <w:r>
        <w:rPr>
          <w:rFonts w:hint="eastAsia"/>
        </w:rPr>
        <w:t>“</w:t>
      </w:r>
      <w:r>
        <w:t>学生感受到了泰安的快速发展，觉得在这里工作、生活有奔头，自然更加愿意选择留在泰安奋斗。</w:t>
      </w:r>
      <w:r>
        <w:rPr>
          <w:rFonts w:hint="eastAsia"/>
        </w:rPr>
        <w:t>”</w:t>
      </w:r>
      <w:r>
        <w:t>该名负责人说。</w:t>
      </w:r>
    </w:p>
    <w:p>
      <w:pPr>
        <w:ind w:firstLine="480" w:firstLineChars="200"/>
      </w:pPr>
      <w:r>
        <w:t>近年来，山东农业大学机电学院与泰安当地企业的联系和交流变得更加密切。该学院主动服务泰安当地经济社会发展需求，与企业进行深度合作，实现优势互补、资源共享，不断提高应用型人才培养质量，在人才培养、科学研究、成果转化和学生就业等领域持续加强合作，实现互利共赢。</w:t>
      </w:r>
    </w:p>
    <w:p>
      <w:pPr>
        <w:ind w:firstLine="480" w:firstLineChars="200"/>
      </w:pPr>
      <w:r>
        <w:t>案例2：</w:t>
      </w:r>
      <w:bookmarkStart w:id="356" w:name="_Toc18945"/>
      <w:r>
        <w:t xml:space="preserve"> 人才振兴｜山东农业大学</w:t>
      </w:r>
      <w:r>
        <w:rPr>
          <w:rFonts w:hint="eastAsia"/>
        </w:rPr>
        <w:t>“</w:t>
      </w:r>
      <w:r>
        <w:t>牵手</w:t>
      </w:r>
      <w:r>
        <w:rPr>
          <w:rFonts w:hint="eastAsia"/>
        </w:rPr>
        <w:t>”</w:t>
      </w:r>
      <w:r>
        <w:t>泰安市泰山区校地融合共促乡村振兴</w:t>
      </w:r>
    </w:p>
    <w:p>
      <w:pPr>
        <w:ind w:firstLine="480" w:firstLineChars="200"/>
      </w:pPr>
      <w:r>
        <w:t>2022年6月24日，山东农业大学大学生思政教育实践基地揭牌暨校地合作共促乡村振兴活动启动仪式在泰安市泰山区省庄镇安家庄党性教育实践基地举行。仪式上，山东农业大学与泰山区省庄镇双方共同签订了</w:t>
      </w:r>
      <w:r>
        <w:rPr>
          <w:rFonts w:hint="eastAsia"/>
        </w:rPr>
        <w:t>“</w:t>
      </w:r>
      <w:r>
        <w:t>大学生思想政治教育实践基地共建协议书</w:t>
      </w:r>
      <w:r>
        <w:rPr>
          <w:rFonts w:hint="eastAsia"/>
        </w:rPr>
        <w:t>”</w:t>
      </w:r>
      <w:r>
        <w:t>。今后，山东农业大学将与泰山区加强校地合作，实现大学生思想政治教育与地方乡村振兴的融合推进。</w:t>
      </w:r>
    </w:p>
    <w:p>
      <w:pPr>
        <w:spacing w:line="240" w:lineRule="auto"/>
        <w:jc w:val="center"/>
        <w:rPr>
          <w:b/>
          <w:bCs/>
          <w:sz w:val="21"/>
          <w:szCs w:val="21"/>
        </w:rPr>
      </w:pPr>
      <w:r>
        <w:drawing>
          <wp:inline distT="0" distB="0" distL="0" distR="0">
            <wp:extent cx="3775710" cy="2499995"/>
            <wp:effectExtent l="0" t="0" r="15240" b="14605"/>
            <wp:docPr id="53" name="图片 53" descr="https://region-shandong-resource.xuexi.cn/image/1006/process/1b532f03075e45a0a4f2b56e4c817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https://region-shandong-resource.xuexi.cn/image/1006/process/1b532f03075e45a0a4f2b56e4c81781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3775710" cy="2499995"/>
                    </a:xfrm>
                    <a:prstGeom prst="rect">
                      <a:avLst/>
                    </a:prstGeom>
                    <a:noFill/>
                    <a:ln>
                      <a:noFill/>
                    </a:ln>
                  </pic:spPr>
                </pic:pic>
              </a:graphicData>
            </a:graphic>
          </wp:inline>
        </w:drawing>
      </w:r>
    </w:p>
    <w:p>
      <w:pPr>
        <w:ind w:firstLine="422" w:firstLineChars="200"/>
        <w:jc w:val="center"/>
        <w:rPr>
          <w:b/>
          <w:bCs/>
          <w:sz w:val="21"/>
          <w:szCs w:val="21"/>
        </w:rPr>
      </w:pPr>
      <w:r>
        <w:rPr>
          <w:b/>
          <w:bCs/>
          <w:sz w:val="21"/>
          <w:szCs w:val="21"/>
        </w:rPr>
        <w:t>山东农业大学教授为学生讲解新型微耕机的原理</w:t>
      </w:r>
    </w:p>
    <w:p>
      <w:pPr>
        <w:ind w:firstLine="480" w:firstLineChars="200"/>
      </w:pPr>
      <w:r>
        <w:t>乡村振兴战略是新时代做好</w:t>
      </w:r>
      <w:r>
        <w:rPr>
          <w:rFonts w:hint="eastAsia"/>
        </w:rPr>
        <w:t>“</w:t>
      </w:r>
      <w:r>
        <w:t>三农</w:t>
      </w:r>
      <w:r>
        <w:rPr>
          <w:rFonts w:hint="eastAsia"/>
        </w:rPr>
        <w:t>”</w:t>
      </w:r>
      <w:r>
        <w:t>工作的总抓手。近年来，泰山区聚焦</w:t>
      </w:r>
      <w:r>
        <w:rPr>
          <w:rFonts w:hint="eastAsia"/>
        </w:rPr>
        <w:t>“</w:t>
      </w:r>
      <w:r>
        <w:t>近城、环山、沿河、绕链</w:t>
      </w:r>
      <w:r>
        <w:rPr>
          <w:rFonts w:hint="eastAsia"/>
        </w:rPr>
        <w:t>”</w:t>
      </w:r>
      <w:r>
        <w:t>四大重点，实施</w:t>
      </w:r>
      <w:r>
        <w:rPr>
          <w:rFonts w:hint="eastAsia"/>
        </w:rPr>
        <w:t>“</w:t>
      </w:r>
      <w:r>
        <w:t>环境提升、产业培植、城乡互促、文化赋能</w:t>
      </w:r>
      <w:r>
        <w:rPr>
          <w:rFonts w:hint="eastAsia"/>
        </w:rPr>
        <w:t>”</w:t>
      </w:r>
      <w:r>
        <w:t>四大行动，奋力谱写乡村振兴</w:t>
      </w:r>
      <w:r>
        <w:rPr>
          <w:rFonts w:hint="eastAsia"/>
        </w:rPr>
        <w:t>“</w:t>
      </w:r>
      <w:r>
        <w:t>齐鲁样板</w:t>
      </w:r>
      <w:r>
        <w:rPr>
          <w:rFonts w:hint="eastAsia"/>
        </w:rPr>
        <w:t>”</w:t>
      </w:r>
      <w:r>
        <w:t>泰山篇章。目前，全区特色农业总产值突破60亿元，美丽庭院覆盖率、美丽乡村覆盖率分别达到25%、90%。</w:t>
      </w:r>
    </w:p>
    <w:p>
      <w:pPr>
        <w:ind w:firstLine="480" w:firstLineChars="200"/>
      </w:pPr>
      <w:r>
        <w:t>高校在加快乡村振兴战略中发挥着重要推动和支撑作用。作为一所以农业科学为优势，生命科学为特色，融农、理、工、管等于一体的多科性大学，山东农业大学建校110多年来，共为社会输送各类人才26万余人。近年来，山东农业大学在人才培养、农业科技、现代食品产业等领域，与泰山区保持着长期、良好的合作关系，为服务推进全区乡村振兴和经济社会高质量发展作出了突出贡献。</w:t>
      </w:r>
    </w:p>
    <w:p>
      <w:pPr>
        <w:ind w:firstLine="480" w:firstLineChars="200"/>
      </w:pPr>
      <w:r>
        <w:rPr>
          <w:rFonts w:hint="eastAsia"/>
        </w:rPr>
        <w:t>“</w:t>
      </w:r>
      <w:r>
        <w:t>本次活动的举办是进一步深化校地融合、实现资源共享的有力举措，标志着双方合作迈上了一个新台阶。</w:t>
      </w:r>
      <w:r>
        <w:rPr>
          <w:rFonts w:hint="eastAsia"/>
        </w:rPr>
        <w:t>”</w:t>
      </w:r>
      <w:r>
        <w:t>泰山区委副书记王冠祥说，泰山区将为山东农业大学大学生思政教育、社会实践服务提供广阔平台和便利条件，以此次活动为契机，抢抓发展机遇，在推动政产学研用等领域，加强与山东农业大学的交流对接，及时将高校最新科研成果转化为推动发展的新动能。</w:t>
      </w:r>
    </w:p>
    <w:p>
      <w:pPr>
        <w:ind w:firstLine="480" w:firstLineChars="200"/>
      </w:pPr>
      <w:r>
        <w:rPr>
          <w:rFonts w:hint="eastAsia"/>
        </w:rPr>
        <w:t>“</w:t>
      </w:r>
      <w:r>
        <w:t>一直以来，学校扎根齐鲁大地，努力培养更多知农爱农、强农兴农、担当民族复兴大任的时代新人。我们与省庄镇共建大学生思想政治教育实践基地，将思政小课堂与社会大课堂结合起来，让思政教育从校内延伸到校外，由课堂转向实践，基地的建立为思政教育拓展了乡村振兴、形势政策及爱国主义教育实践新渠道、新内容。</w:t>
      </w:r>
      <w:r>
        <w:rPr>
          <w:rFonts w:hint="eastAsia"/>
        </w:rPr>
        <w:t>”</w:t>
      </w:r>
      <w:r>
        <w:t>山东农业大学副校长林海说，学校将充分发挥学校专家学者智库力量，努力使省庄镇成为学校专家教授科研成果转化落地的试验田、大学生接受社会教育的大课堂，成为校地合作助力乡村振兴工作的示范点。</w:t>
      </w:r>
    </w:p>
    <w:p>
      <w:pPr>
        <w:ind w:firstLine="480" w:firstLineChars="200"/>
      </w:pPr>
      <w:r>
        <w:t>仪式结束后，山东农业大学师生在实践基地开展了第一次思政教育实践活动。专家教授带领学生到安家庄，为农民做技术指导、授课，并帮助农民学会使用学校赠送的新型微耕机。</w:t>
      </w:r>
      <w:r>
        <w:rPr>
          <w:rFonts w:hint="eastAsia"/>
        </w:rPr>
        <w:t>“</w:t>
      </w:r>
      <w:r>
        <w:t>通过本次活动，我深刻认识到了作为一名涉农大学生的使命与担当。在今后的学习中，我要做一个懂农业的时代新人，学习科学文化知识，利用所学知识帮助和服务于农民。同时要做一个爱农业的时代新人，多深入农村、深入一线，广泛开展社会调研，了解农村实际情况和农民所需，结合专业所学，为乡村振兴贡献青春力量。</w:t>
      </w:r>
      <w:r>
        <w:rPr>
          <w:rFonts w:hint="eastAsia"/>
        </w:rPr>
        <w:t>”</w:t>
      </w:r>
      <w:r>
        <w:t>山东农业大学机械与电子工程学院车辆工程专业2019级学生王文浩说。</w:t>
      </w:r>
    </w:p>
    <w:p>
      <w:pPr>
        <w:ind w:firstLine="480" w:firstLineChars="200"/>
      </w:pPr>
      <w:r>
        <w:t>案例3：机电学院举办2022年</w:t>
      </w:r>
      <w:r>
        <w:rPr>
          <w:rFonts w:hint="eastAsia"/>
        </w:rPr>
        <w:t>“</w:t>
      </w:r>
      <w:r>
        <w:t>云端</w:t>
      </w:r>
      <w:r>
        <w:rPr>
          <w:rFonts w:hint="eastAsia"/>
        </w:rPr>
        <w:t>”</w:t>
      </w:r>
      <w:r>
        <w:t>招生推介会</w:t>
      </w:r>
    </w:p>
    <w:p>
      <w:pPr>
        <w:ind w:firstLine="480" w:firstLineChars="200"/>
      </w:pPr>
      <w:r>
        <w:t>为加强与中学的交流合作，展示我校和学院办学实力，吸引更多优秀生源报考，6月21日，我院成功举办</w:t>
      </w:r>
      <w:r>
        <w:rPr>
          <w:rFonts w:hint="eastAsia"/>
        </w:rPr>
        <w:t>“</w:t>
      </w:r>
      <w:r>
        <w:t>云端</w:t>
      </w:r>
      <w:r>
        <w:rPr>
          <w:rFonts w:hint="eastAsia"/>
        </w:rPr>
        <w:t>”</w:t>
      </w:r>
      <w:r>
        <w:t>招生推介会，来自山东16地市及广东、广西、江苏、湖北、河南等11个省的72名高中校长、班主任和1000余名中学生应邀参加。学校副校长林海，学工委书记、学工处处长王群，机电学院党委书记刘希山，院长侯加林，副院长王金星、宋月鹏、赵志桓等出席活动，学院党委副书记肖秋生主持推介会。</w:t>
      </w:r>
    </w:p>
    <w:p>
      <w:pPr>
        <w:ind w:firstLine="480" w:firstLineChars="200"/>
      </w:pPr>
      <w:r>
        <w:t>副校长林海在推介会上致辞，对与会各位校长及嘉宾的到来表示热烈欢迎，对长期以来就学校发展所给予的关心、支持和帮助表示感谢，并介绍了学校的历史沿革、办学特色和人才培养成效，他希望通过推介会搭建起中学和高校对话沟通与合作发展的桥梁，凝聚起山东农业大学与各中学密切协作、共同发展的新共识，研究探索人才培养模式，提升招生宣传实效，不断扩大山东农业大学的知名度和影响力，吸引更多优秀的学子到山东农业大学学习深造。</w:t>
      </w:r>
    </w:p>
    <w:p>
      <w:pPr>
        <w:ind w:firstLine="480" w:firstLineChars="200"/>
      </w:pPr>
      <w:r>
        <w:t>案例4：泰开集团到学院开展毕业生专场招聘</w:t>
      </w:r>
    </w:p>
    <w:p>
      <w:pPr>
        <w:ind w:firstLine="480" w:firstLineChars="200"/>
      </w:pPr>
      <w:r>
        <w:t>为进一步深化校企合作，切实做好2022届毕业生的就业工作，为毕业生提供更优质的就业平台与岗位，6月9日下午，泰开集团专场招聘会于岱宗校区8号楼319举行，泰开集团人力资源部部长刘真、各分公司招聘负责人，机电学院党委副书记肖秋生、副院长王金星、电气系主任刘双喜、学院辅导员出席此次招聘会。</w:t>
      </w:r>
    </w:p>
    <w:p>
      <w:pPr>
        <w:spacing w:line="240" w:lineRule="auto"/>
        <w:jc w:val="center"/>
      </w:pPr>
      <w:r>
        <w:drawing>
          <wp:inline distT="0" distB="0" distL="0" distR="0">
            <wp:extent cx="3890010" cy="2589530"/>
            <wp:effectExtent l="0" t="0" r="15240" b="1270"/>
            <wp:docPr id="54" name="图片 54" descr="http://jdxy.sdau.edu.cn/_upload/article/images/38/d4/489781654519b40b9096e6db93ee/ac79b68f-5d12-48d8-bf5b-2b38d7e5d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http://jdxy.sdau.edu.cn/_upload/article/images/38/d4/489781654519b40b9096e6db93ee/ac79b68f-5d12-48d8-bf5b-2b38d7e5d645.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3890010" cy="2589530"/>
                    </a:xfrm>
                    <a:prstGeom prst="rect">
                      <a:avLst/>
                    </a:prstGeom>
                    <a:noFill/>
                    <a:ln>
                      <a:noFill/>
                    </a:ln>
                  </pic:spPr>
                </pic:pic>
              </a:graphicData>
            </a:graphic>
          </wp:inline>
        </w:drawing>
      </w:r>
    </w:p>
    <w:p>
      <w:pPr>
        <w:ind w:firstLine="480" w:firstLineChars="200"/>
      </w:pPr>
      <w:r>
        <w:t>会上，泰开集团人力资源代表从</w:t>
      </w:r>
      <w:r>
        <w:rPr>
          <w:rFonts w:hint="eastAsia"/>
        </w:rPr>
        <w:t>“</w:t>
      </w:r>
      <w:r>
        <w:t>集团简介</w:t>
      </w:r>
      <w:r>
        <w:rPr>
          <w:rFonts w:hint="eastAsia"/>
        </w:rPr>
        <w:t>”</w:t>
      </w:r>
      <w:r>
        <w:t>招聘计划</w:t>
      </w:r>
      <w:r>
        <w:rPr>
          <w:rFonts w:hint="eastAsia"/>
        </w:rPr>
        <w:t>”“</w:t>
      </w:r>
      <w:r>
        <w:t>发展前景</w:t>
      </w:r>
      <w:r>
        <w:rPr>
          <w:rFonts w:hint="eastAsia"/>
        </w:rPr>
        <w:t>”“</w:t>
      </w:r>
      <w:r>
        <w:t>薪酬保障</w:t>
      </w:r>
      <w:r>
        <w:rPr>
          <w:rFonts w:hint="eastAsia"/>
        </w:rPr>
        <w:t>”</w:t>
      </w:r>
      <w:r>
        <w:t>等方面详细介绍了集团信息，并现场对同学们的疑问进行解答。刘真部长详细介绍了集团技术、管理、营销三个成长通道以及人才评价体系，诚挚邀请广大毕业生加入泰开集团干事创业，实现人生价值。</w:t>
      </w:r>
    </w:p>
    <w:p>
      <w:pPr>
        <w:spacing w:line="240" w:lineRule="auto"/>
        <w:jc w:val="center"/>
      </w:pPr>
      <w:r>
        <w:drawing>
          <wp:inline distT="0" distB="0" distL="0" distR="0">
            <wp:extent cx="4762500" cy="3169920"/>
            <wp:effectExtent l="0" t="0" r="0" b="11430"/>
            <wp:docPr id="55" name="图片 55" descr="http://jdxy.sdau.edu.cn/_upload/article/images/38/d4/489781654519b40b9096e6db93ee/02edaa5a-43f2-4a0a-a46e-e39b1856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http://jdxy.sdau.edu.cn/_upload/article/images/38/d4/489781654519b40b9096e6db93ee/02edaa5a-43f2-4a0a-a46e-e39b1856502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4762500" cy="3169920"/>
                    </a:xfrm>
                    <a:prstGeom prst="rect">
                      <a:avLst/>
                    </a:prstGeom>
                    <a:noFill/>
                    <a:ln>
                      <a:noFill/>
                    </a:ln>
                  </pic:spPr>
                </pic:pic>
              </a:graphicData>
            </a:graphic>
          </wp:inline>
        </w:drawing>
      </w:r>
    </w:p>
    <w:p>
      <w:pPr>
        <w:spacing w:line="240" w:lineRule="auto"/>
        <w:jc w:val="center"/>
      </w:pPr>
      <w:r>
        <w:drawing>
          <wp:inline distT="0" distB="0" distL="0" distR="0">
            <wp:extent cx="4762500" cy="3169920"/>
            <wp:effectExtent l="0" t="0" r="0" b="11430"/>
            <wp:docPr id="56" name="图片 56" descr="http://jdxy.sdau.edu.cn/_upload/article/images/38/d4/489781654519b40b9096e6db93ee/5e8f5d37-74f3-4990-80ed-65b9c8280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http://jdxy.sdau.edu.cn/_upload/article/images/38/d4/489781654519b40b9096e6db93ee/5e8f5d37-74f3-4990-80ed-65b9c8280ed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4762500" cy="3169920"/>
                    </a:xfrm>
                    <a:prstGeom prst="rect">
                      <a:avLst/>
                    </a:prstGeom>
                    <a:noFill/>
                    <a:ln>
                      <a:noFill/>
                    </a:ln>
                  </pic:spPr>
                </pic:pic>
              </a:graphicData>
            </a:graphic>
          </wp:inline>
        </w:drawing>
      </w:r>
    </w:p>
    <w:p>
      <w:pPr>
        <w:spacing w:line="240" w:lineRule="auto"/>
        <w:jc w:val="center"/>
      </w:pPr>
      <w:r>
        <w:drawing>
          <wp:inline distT="0" distB="0" distL="0" distR="0">
            <wp:extent cx="4762500" cy="3169920"/>
            <wp:effectExtent l="0" t="0" r="0" b="11430"/>
            <wp:docPr id="57" name="图片 57" descr="http://jdxy.sdau.edu.cn/_upload/article/images/38/d4/489781654519b40b9096e6db93ee/5687cb52-34b4-4a0f-8f46-7b6e057416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http://jdxy.sdau.edu.cn/_upload/article/images/38/d4/489781654519b40b9096e6db93ee/5687cb52-34b4-4a0f-8f46-7b6e057416cf.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4762500" cy="3169920"/>
                    </a:xfrm>
                    <a:prstGeom prst="rect">
                      <a:avLst/>
                    </a:prstGeom>
                    <a:noFill/>
                    <a:ln>
                      <a:noFill/>
                    </a:ln>
                  </pic:spPr>
                </pic:pic>
              </a:graphicData>
            </a:graphic>
          </wp:inline>
        </w:drawing>
      </w:r>
    </w:p>
    <w:p>
      <w:pPr>
        <w:spacing w:line="240" w:lineRule="auto"/>
        <w:jc w:val="center"/>
      </w:pPr>
      <w:r>
        <w:drawing>
          <wp:inline distT="0" distB="0" distL="0" distR="0">
            <wp:extent cx="4762500" cy="3169920"/>
            <wp:effectExtent l="0" t="0" r="0" b="11430"/>
            <wp:docPr id="58" name="图片 58" descr="http://jdxy.sdau.edu.cn/_upload/article/images/38/d4/489781654519b40b9096e6db93ee/9805c923-2492-40b8-bdca-74f3bbd4a8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http://jdxy.sdau.edu.cn/_upload/article/images/38/d4/489781654519b40b9096e6db93ee/9805c923-2492-40b8-bdca-74f3bbd4a8c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4762500" cy="3169920"/>
                    </a:xfrm>
                    <a:prstGeom prst="rect">
                      <a:avLst/>
                    </a:prstGeom>
                    <a:noFill/>
                    <a:ln>
                      <a:noFill/>
                    </a:ln>
                  </pic:spPr>
                </pic:pic>
              </a:graphicData>
            </a:graphic>
          </wp:inline>
        </w:drawing>
      </w:r>
    </w:p>
    <w:p>
      <w:pPr>
        <w:ind w:firstLine="480" w:firstLineChars="200"/>
      </w:pPr>
      <w:r>
        <w:t xml:space="preserve">学院高度重视毕业生就业问题，充分抓住毕业生离校前的关键时期，为毕业生提供优质的就业岗位，满足毕业生的就业需求，努力为2022届毕业生做好就业服务工作。 </w:t>
      </w:r>
    </w:p>
    <w:p>
      <w:pPr>
        <w:ind w:firstLine="480" w:firstLineChars="200"/>
      </w:pPr>
      <w:r>
        <w:t>案例5：机电学院访企拓岗促就业专项行动成效显著</w:t>
      </w:r>
    </w:p>
    <w:p>
      <w:pPr>
        <w:ind w:firstLine="480" w:firstLineChars="200"/>
      </w:pPr>
      <w:r>
        <w:t>毕业生就业问题关乎国计，也关乎民生，更关乎高校的长远发展、高质量发展。今年全国高校毕业生规模首次突破千万大关，做好当前常态化疫情防控形势下的毕业生就业工作，实现更加充分、更高质量就业，成为摆在我们面前必须要解决好的问题。按照上级和学校访企拓岗促就业专项行动要求，机电学院立足自身办学资源，强化总体设计、精准施策，细化工作推进、周密部署，以用人单位大走访、社会需求大调查、优秀学生大推荐、毕业学生大跟踪为主要内容，采用实地为主、线上线下交流相结合的方式，扎实推动工作开展，取得了预期工作成效。</w:t>
      </w:r>
    </w:p>
    <w:p>
      <w:pPr>
        <w:ind w:firstLine="480" w:firstLineChars="200"/>
      </w:pPr>
      <w:r>
        <w:t>在</w:t>
      </w:r>
      <w:r>
        <w:rPr>
          <w:rFonts w:hint="eastAsia"/>
        </w:rPr>
        <w:t>“</w:t>
      </w:r>
      <w:r>
        <w:t>访</w:t>
      </w:r>
      <w:r>
        <w:rPr>
          <w:rFonts w:hint="eastAsia"/>
        </w:rPr>
        <w:t>”</w:t>
      </w:r>
      <w:r>
        <w:t>上立足于实，结交新朋友不忘老朋友。截至目前，学院访企拓岗促就业专项行动共涉及16家企业，涵盖济南、青岛、潍坊等7个地市。结交了新朋友，开辟了学生就业新途径，如恒瑞德电力设备、山东章鼓等9家企业就是新建立联系单位，已初步达成合作意向企业还有12家。深化与多年合作企业交流，加深了友谊，如泰开集团作为学院的友好单位，在毕业生就业、学生实习、合作项目研究等方面具有深厚的合作基础，利用访企拓岗专项行动进行深度交流，促成双方签订了院企全面合作协议，把多年形成的合作基础固化为校企合作机制，通过开展学生社会实践、实习实训和顶岗就业，研究生联合培养，协同创新和平台共建，设立</w:t>
      </w:r>
      <w:r>
        <w:rPr>
          <w:rFonts w:hint="eastAsia"/>
        </w:rPr>
        <w:t>“</w:t>
      </w:r>
      <w:r>
        <w:t>泰开奖学金</w:t>
      </w:r>
      <w:r>
        <w:rPr>
          <w:rFonts w:hint="eastAsia"/>
        </w:rPr>
        <w:t>”</w:t>
      </w:r>
      <w:r>
        <w:t>等形式深化产教融合，取得了实质性推进。</w:t>
      </w:r>
    </w:p>
    <w:p>
      <w:pPr>
        <w:ind w:firstLine="480" w:firstLineChars="200"/>
      </w:pPr>
      <w:r>
        <w:t>在</w:t>
      </w:r>
      <w:r>
        <w:rPr>
          <w:rFonts w:hint="eastAsia"/>
        </w:rPr>
        <w:t>“</w:t>
      </w:r>
      <w:r>
        <w:t>拓</w:t>
      </w:r>
      <w:r>
        <w:rPr>
          <w:rFonts w:hint="eastAsia"/>
        </w:rPr>
        <w:t>”</w:t>
      </w:r>
      <w:r>
        <w:t>上立足于快，抢机遇于变局中开新局。多年的就业工作经验表明，相当多的企业在毕业生离校前还有部分用人计划未完成，而离校前未实现就业的毕业生就业需求非常迫切，如何在企业和毕业生之间架起沟通桥梁至关重要，机遇稍纵即逝，我们在访企拓岗中立足于一个</w:t>
      </w:r>
      <w:r>
        <w:rPr>
          <w:rFonts w:hint="eastAsia"/>
        </w:rPr>
        <w:t>“</w:t>
      </w:r>
      <w:r>
        <w:t>快</w:t>
      </w:r>
      <w:r>
        <w:rPr>
          <w:rFonts w:hint="eastAsia"/>
        </w:rPr>
        <w:t>”</w:t>
      </w:r>
      <w:r>
        <w:t>字，利用学院项目合作企业、校友资源等途径迅速地深入企业推介毕业生就业。经过深入地</w:t>
      </w:r>
      <w:r>
        <w:rPr>
          <w:rFonts w:hint="eastAsia"/>
        </w:rPr>
        <w:t>“</w:t>
      </w:r>
      <w:r>
        <w:t>拓</w:t>
      </w:r>
      <w:r>
        <w:rPr>
          <w:rFonts w:hint="eastAsia"/>
        </w:rPr>
        <w:t>”</w:t>
      </w:r>
      <w:r>
        <w:t>，开辟了新路，目前泰山石膏、山东豪迈、歌尔股份等优质企业共为毕业生提供了326就业岗位，为毕业生的就业选择提供了广阔空间。2022届自动化专业毕业生高旭兴奋地说，</w:t>
      </w:r>
      <w:r>
        <w:rPr>
          <w:rFonts w:hint="eastAsia"/>
        </w:rPr>
        <w:t>“</w:t>
      </w:r>
      <w:r>
        <w:t>学院领导老师访企拓岗为我们的就业解决了困难，让我在离校前找到了心仪的就业单位，我成功签约中铁建工，真心感谢老师们的辛勤付出。</w:t>
      </w:r>
      <w:r>
        <w:rPr>
          <w:rFonts w:hint="eastAsia"/>
        </w:rPr>
        <w:t>”</w:t>
      </w:r>
    </w:p>
    <w:p>
      <w:pPr>
        <w:ind w:firstLine="480" w:firstLineChars="200"/>
      </w:pPr>
      <w:r>
        <w:t>在</w:t>
      </w:r>
      <w:r>
        <w:rPr>
          <w:rFonts w:hint="eastAsia"/>
        </w:rPr>
        <w:t>“</w:t>
      </w:r>
      <w:r>
        <w:t>促</w:t>
      </w:r>
      <w:r>
        <w:rPr>
          <w:rFonts w:hint="eastAsia"/>
        </w:rPr>
        <w:t>”</w:t>
      </w:r>
      <w:r>
        <w:t>上立足于准，力行双向互动实现就业。充分利用数据平台做好就业工作，全面精准掌握学生需求，在访企拓岗掌握企业用人需要基础上实现精准匹配，促进企业与毕业生双向互动，提高签约成功率。在访企拓岗前对未就业学生</w:t>
      </w:r>
      <w:r>
        <w:rPr>
          <w:rFonts w:hint="eastAsia"/>
        </w:rPr>
        <w:t>“</w:t>
      </w:r>
      <w:r>
        <w:t>一生一策</w:t>
      </w:r>
      <w:r>
        <w:rPr>
          <w:rFonts w:hint="eastAsia"/>
        </w:rPr>
        <w:t>”</w:t>
      </w:r>
      <w:r>
        <w:t>建立求职档案，以班级为单位汇编成册，针对特殊群体建立</w:t>
      </w:r>
      <w:r>
        <w:rPr>
          <w:rFonts w:hint="eastAsia"/>
        </w:rPr>
        <w:t>“</w:t>
      </w:r>
      <w:r>
        <w:t>重点帮扶档案</w:t>
      </w:r>
      <w:r>
        <w:rPr>
          <w:rFonts w:hint="eastAsia"/>
        </w:rPr>
        <w:t>”</w:t>
      </w:r>
      <w:r>
        <w:t>，更加准确直观了解毕业生就业动态和需求，分类识别与精准帮扶。线上线下相结合邀请用人单位与毕业生面对面交流，在实地深入企业的基础上，举办访企拓岗线上毕业生就业推介活动，5月27日学院通过腾讯线上会议的形式，在党委书记刘希山等领导老师的带领下，未就业毕业生与11家企业相聚在</w:t>
      </w:r>
      <w:r>
        <w:rPr>
          <w:rFonts w:hint="eastAsia"/>
        </w:rPr>
        <w:t>“</w:t>
      </w:r>
      <w:r>
        <w:t>云端</w:t>
      </w:r>
      <w:r>
        <w:rPr>
          <w:rFonts w:hint="eastAsia"/>
        </w:rPr>
        <w:t>”</w:t>
      </w:r>
      <w:r>
        <w:t xml:space="preserve">进行双向选择，26名毕业生达成就业意向。 </w:t>
      </w:r>
    </w:p>
    <w:p>
      <w:pPr>
        <w:ind w:firstLine="480" w:firstLineChars="200"/>
      </w:pPr>
      <w:r>
        <w:t>访企拓岗促就业专项行动在关键时期抢抓机遇，为进一步促进毕业生就业提供了平台，既解决了企业的用人需求，又为毕业生顺利走向社会、施展才华带来了机遇，得到企业和毕业生的认可与好评。扎实的工作也营造了浓厚的就业氛围，为学院毕业生就业带来实实在在的成效，目前学院毕业生就业率高位运行，排名位居全校前列。</w:t>
      </w:r>
    </w:p>
    <w:p>
      <w:pPr>
        <w:ind w:firstLine="480" w:firstLineChars="200"/>
      </w:pPr>
      <w:r>
        <w:t>案例6：机电学院举办2022届毕业生招聘</w:t>
      </w:r>
    </w:p>
    <w:p>
      <w:pPr>
        <w:spacing w:line="240" w:lineRule="auto"/>
        <w:jc w:val="center"/>
      </w:pPr>
      <w:r>
        <w:drawing>
          <wp:inline distT="0" distB="0" distL="114300" distR="114300">
            <wp:extent cx="4479925" cy="8273415"/>
            <wp:effectExtent l="0" t="0" r="15875" b="13335"/>
            <wp:docPr id="59" name="图片 59" descr="http://jdxy.sdau.edu.cn/_upload/article/images/24/bf/d2292d8d489fadb0fee433f015a0/c305dbb8-53e6-4ba7-a8ab-6ba8cc1a2a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http://jdxy.sdau.edu.cn/_upload/article/images/24/bf/d2292d8d489fadb0fee433f015a0/c305dbb8-53e6-4ba7-a8ab-6ba8cc1a2ae9.png"/>
                    <pic:cNvPicPr>
                      <a:picLocks noChangeAspect="1" noChangeArrowheads="1"/>
                    </pic:cNvPicPr>
                  </pic:nvPicPr>
                  <pic:blipFill>
                    <a:blip r:embed="rId77">
                      <a:extLst>
                        <a:ext uri="{28A0092B-C50C-407E-A947-70E740481C1C}">
                          <a14:useLocalDpi xmlns:a14="http://schemas.microsoft.com/office/drawing/2010/main" val="0"/>
                        </a:ext>
                      </a:extLst>
                    </a:blip>
                    <a:srcRect l="1" r="156" b="51633"/>
                    <a:stretch>
                      <a:fillRect/>
                    </a:stretch>
                  </pic:blipFill>
                  <pic:spPr>
                    <a:xfrm>
                      <a:off x="0" y="0"/>
                      <a:ext cx="4479925" cy="8273415"/>
                    </a:xfrm>
                    <a:prstGeom prst="rect">
                      <a:avLst/>
                    </a:prstGeom>
                    <a:noFill/>
                    <a:ln>
                      <a:noFill/>
                    </a:ln>
                  </pic:spPr>
                </pic:pic>
              </a:graphicData>
            </a:graphic>
          </wp:inline>
        </w:drawing>
      </w:r>
    </w:p>
    <w:p>
      <w:pPr>
        <w:rPr>
          <w:rFonts w:eastAsia="黑体"/>
          <w:kern w:val="0"/>
          <w:sz w:val="28"/>
          <w:szCs w:val="20"/>
        </w:rPr>
      </w:pPr>
      <w:r>
        <w:rPr>
          <w:rFonts w:eastAsia="黑体"/>
          <w:kern w:val="0"/>
          <w:sz w:val="28"/>
          <w:szCs w:val="20"/>
        </w:rPr>
        <w:br w:type="page"/>
      </w:r>
    </w:p>
    <w:p>
      <w:pPr>
        <w:pStyle w:val="5"/>
        <w:spacing w:before="93" w:after="93"/>
        <w:ind w:firstLine="560"/>
      </w:pPr>
      <w:r>
        <w:t>七、专业人才社会需求分析及专业发展趋势</w:t>
      </w:r>
      <w:bookmarkEnd w:id="356"/>
      <w:r>
        <w:t>分析</w:t>
      </w:r>
    </w:p>
    <w:p>
      <w:pPr>
        <w:keepNext/>
        <w:keepLines/>
        <w:ind w:firstLine="480" w:firstLineChars="200"/>
        <w:outlineLvl w:val="3"/>
        <w:rPr>
          <w:rFonts w:eastAsia="黑体"/>
        </w:rPr>
      </w:pPr>
      <w:r>
        <w:rPr>
          <w:rFonts w:eastAsia="黑体"/>
        </w:rPr>
        <w:t>1.专业人才社会需求分析</w:t>
      </w:r>
    </w:p>
    <w:p>
      <w:pPr>
        <w:ind w:firstLine="480" w:firstLineChars="200"/>
      </w:pPr>
      <w:r>
        <w:t>电力是发展生产和提高人类生活水平的重要物质基础，电力的应用在不断深化和发展,电气自动化是国民经济和人民生活现代化的重要标志。就目前国际国内水平而言，在今后相当长的时期内，电力的需求将不断增长，社会对电气工程及其自动化技术人才的需求量呈上升态势。随着我国经济的快速发展,现代化电气设备的广泛应用，工业生产的自动化程度越来越高，人工智能的发展,特别是电力电子技术和微机控制技术向着智能化方向发展，因此，企事业部门急需电气自动化技术专业的技术人才。进入二十一世纪，工业电气自动化已成为现代工业发展的基础和主导。社会对该专业人才特别是应用型人才有着极大的需求量。本专业正是培养这种既有实践技能又有一定理论知识的应用型专业人才。本专业的毕业生就业市场容量大，前景广阔，工作环境好，多年来一直被人才市场列为最受欢迎的专业之一，2022年秋季就业市场统计电气专业毕业生供求比为1:18。</w:t>
      </w:r>
    </w:p>
    <w:p>
      <w:pPr>
        <w:ind w:firstLine="480" w:firstLineChars="200"/>
      </w:pPr>
      <w:r>
        <w:t>通过对地方、行业经济发展和社会发展需要通过对用工信息的收集整理通过劳动信息网点的建立及用工单位对本专业学生的信息反馈电气专业仍为目前急需的热门专业人才需求量很大且呈逐年增长的趋势。随着现代化工业的快速发展电气自动化专业更显得尤为重要企业中原始的、简单的数控设备已在逐步淘汰取为代之的的是设备先进、技术精良的新型的现代化加工企业而适应现代化工业发展的需要就需要培养和造就一大批既有适应时代特点的具有专业理论知识又具有专业操作技能的复合型、实用型、现代型的电气自动化人才。</w:t>
      </w:r>
    </w:p>
    <w:p>
      <w:pPr>
        <w:keepNext/>
        <w:keepLines/>
        <w:ind w:firstLine="480" w:firstLineChars="200"/>
        <w:outlineLvl w:val="3"/>
        <w:rPr>
          <w:rFonts w:eastAsia="黑体"/>
        </w:rPr>
      </w:pPr>
      <w:r>
        <w:rPr>
          <w:rFonts w:eastAsia="黑体"/>
        </w:rPr>
        <w:t>2.专业发展趋势分析</w:t>
      </w:r>
    </w:p>
    <w:p>
      <w:pPr>
        <w:ind w:firstLine="480" w:firstLineChars="200"/>
      </w:pPr>
      <w:r>
        <w:t>推动新旧动能转换，是实现经济转型升级、经济可持续发展的关键。目前，随着新旧动能转换的不断深入，对技术技能人才的需求也越来越旺盛。因此，应加快高等教育改革，培养出符合新时代社会发展需要的技术人才，已成为目前经济社会发展的当务之急。</w:t>
      </w:r>
    </w:p>
    <w:p>
      <w:pPr>
        <w:ind w:firstLine="480" w:firstLineChars="200"/>
      </w:pPr>
      <w:r>
        <w:t>随着人类社会对煤，石油等化石能源开采力度的不断加大，几十年或一百多年后，这些能源将被消耗殆尽；另一方面，这些能源的燃烧所造成的环境问题也日益凸显，严重威胁着人类社会的可持续发展。因此，开发可再生新能源成为目前世界各国关注的焦点，太阳能、风能作为最清洁、无污染的可再生能源之一，由于其发电技术成熟，有着 美好的发展前景，受到了人们的重视。社会的发展，经济的持续增长，能源消耗的持续增加。面对日益严峻的能源问题，各国不得不加大力度开发后续能源。在各种各样的选择中，太阳能发电、风力发电已逐渐成为最值得考虑的选择。太阳能、风能资源是清洁的可再生能源，太阳能发电、风力发电是新能源中技术最成熟、最具规模开发条件和商业化发展前景的可再生能源技术，在远期有可能成为世界重要的替代能源。</w:t>
      </w:r>
    </w:p>
    <w:p>
      <w:pPr>
        <w:ind w:firstLine="480" w:firstLineChars="200"/>
      </w:pPr>
      <w:r>
        <w:t>世界上很多国家对风电的开发给予了高度重视及政策激励。风电装机规模不断增大，机组单机容，量也不断扩大，海上风电已经起步并逐步商业化。欧洲风能协会和绿色和平组织的《风力12：关于2020年风电达到世界电力总量12％的蓝图》正是基于此而出台的。中国风能资源丰富，主要集中在三北地区及东部沿海风能丰富带。设计、制造、建设及管理能力的逐步提高，使我国已经具备大规模发展风电的前提条件。</w:t>
      </w:r>
    </w:p>
    <w:p>
      <w:pPr>
        <w:ind w:firstLine="480" w:firstLineChars="200"/>
      </w:pPr>
      <w:r>
        <w:t>中国的风电装机容量预计至2020年达到3000万kw，按发电量计，届时风电将占中国总发电量的1.5％。</w:t>
      </w:r>
    </w:p>
    <w:p>
      <w:pPr>
        <w:ind w:firstLine="480" w:firstLineChars="200"/>
      </w:pPr>
      <w:r>
        <w:t>智能电网是电力系统的重大科技创新和发展方向。智能电网是一个现代电力系统，包括智能变电站、智能输电网络。更重要的是一个动态概念，需要适应不同经济发展时期实现电网安全可靠、经济高效运行，适应多种能源类型发电方式的需要。</w:t>
      </w:r>
    </w:p>
    <w:p>
      <w:pPr>
        <w:ind w:firstLine="480" w:firstLineChars="200"/>
      </w:pPr>
      <w:r>
        <w:t>电气工程及其自动化专业人才培养方面应加强以下几个方面：</w:t>
      </w:r>
    </w:p>
    <w:p>
      <w:pPr>
        <w:ind w:firstLine="480" w:firstLineChars="200"/>
      </w:pPr>
      <w:r>
        <w:t>1）新能源的开发利用</w:t>
      </w:r>
    </w:p>
    <w:p>
      <w:pPr>
        <w:ind w:firstLine="480" w:firstLineChars="200"/>
      </w:pPr>
      <w:r>
        <w:t>开发可再生新能源成为目前世界各国关注的焦点，太阳能、风能作为最清洁、无污染的可再生能源之一，是新能源中技术最成熟、最具规模开发条件和商业化发展前景的可再生能源技术，在远期有可能成为世界重要的替代能源。</w:t>
      </w:r>
    </w:p>
    <w:p>
      <w:pPr>
        <w:ind w:firstLine="480" w:firstLineChars="200"/>
      </w:pPr>
      <w:r>
        <w:t>2）智能控制</w:t>
      </w:r>
    </w:p>
    <w:p>
      <w:pPr>
        <w:ind w:firstLine="480" w:firstLineChars="200"/>
      </w:pPr>
      <w:r>
        <w:rPr>
          <w:rFonts w:hint="eastAsia"/>
        </w:rPr>
        <w:t>“</w:t>
      </w:r>
      <w:r>
        <w:t>中国制造2025</w:t>
      </w:r>
      <w:r>
        <w:rPr>
          <w:rFonts w:hint="eastAsia"/>
        </w:rPr>
        <w:t>”</w:t>
      </w:r>
      <w:r>
        <w:t>为我国制造业未来发展绘制了美好的蓝图，同时也对技术人才的供给规模、知识储备和技术能力提出了更高的要求，智能控制成为重要的技术基础。</w:t>
      </w:r>
    </w:p>
    <w:p>
      <w:pPr>
        <w:ind w:firstLine="480" w:firstLineChars="200"/>
      </w:pPr>
      <w:r>
        <w:t>智能电网是电力系统的重大科技创新和发展方向。智能电网是一个现代电力系统，包括智能变电站、智能输电网络。</w:t>
      </w:r>
    </w:p>
    <w:p>
      <w:pPr>
        <w:ind w:firstLine="480" w:firstLineChars="200"/>
      </w:pPr>
      <w:r>
        <w:t>基于以上分析，电气工程专业培养的学生应与时俱进，紧跟时代发展潮流，以提高学生创新创业技能为突破口，强化实践教学环节，加强教师师德师风建设和授课技能培训，提高教学质量，促进学生的分类培养目标实现，对电气工程专业今后的发展提出如下建议：</w:t>
      </w:r>
    </w:p>
    <w:p>
      <w:pPr>
        <w:ind w:firstLine="480" w:firstLineChars="200"/>
      </w:pPr>
      <w:r>
        <w:t>1.加强专业建设力度，改革人才培养模式，瞄准世界电气工程领域先进技术，以工学结合确立专业人才培养模式，以专业能力和科学素养构建专业核心课程；</w:t>
      </w:r>
    </w:p>
    <w:p>
      <w:pPr>
        <w:ind w:firstLine="480" w:firstLineChars="200"/>
      </w:pPr>
      <w:r>
        <w:t>2.注重师资队伍建设，打造一支专兼结合、师德高尚、技能过硬、国内外具有一定知名度的优秀专业教学团队；</w:t>
      </w:r>
    </w:p>
    <w:p>
      <w:pPr>
        <w:ind w:firstLine="480" w:firstLineChars="200"/>
      </w:pPr>
      <w:r>
        <w:t>3.在学校规划统一指导下，按照</w:t>
      </w:r>
      <w:r>
        <w:rPr>
          <w:rFonts w:hint="eastAsia"/>
        </w:rPr>
        <w:t>“</w:t>
      </w:r>
      <w:r>
        <w:t>教育定位准确，教学方法独特，培养模式先进，专业特色鲜明，人才质量优良</w:t>
      </w:r>
      <w:r>
        <w:rPr>
          <w:rFonts w:hint="eastAsia"/>
        </w:rPr>
        <w:t>”</w:t>
      </w:r>
      <w:r>
        <w:t>的要求，为适应人才市场需求和提高就业竞争力，全面提高教学质量；</w:t>
      </w:r>
    </w:p>
    <w:p>
      <w:pPr>
        <w:ind w:firstLine="480" w:firstLineChars="200"/>
      </w:pPr>
      <w:r>
        <w:t>4.以</w:t>
      </w:r>
      <w:r>
        <w:rPr>
          <w:rFonts w:hint="eastAsia"/>
        </w:rPr>
        <w:t>“</w:t>
      </w:r>
      <w:r>
        <w:t>教、学、做、知识、能力、素质</w:t>
      </w:r>
      <w:r>
        <w:rPr>
          <w:rFonts w:hint="eastAsia"/>
        </w:rPr>
        <w:t>”</w:t>
      </w:r>
      <w:r>
        <w:t>六位一体的教学方法为突破口，突出课程改革，培养合格的高素质技能型人才，创造条件，鼓励学生参加各类机电大赛，提高其实践技能；</w:t>
      </w:r>
    </w:p>
    <w:p>
      <w:pPr>
        <w:ind w:firstLine="480" w:firstLineChars="200"/>
      </w:pPr>
      <w:r>
        <w:t>5.加强校内外实验室及实训基地建设，通过购买、自制等手段充实实验仪器设备，提高实验室综合利用率，制定相关规章制度，强化校企合作内容，整合各种资源，着力建设集资源共享、学生实训、技术服务于一体的教学科研保障体系。</w:t>
      </w:r>
    </w:p>
    <w:p>
      <w:pPr>
        <w:pStyle w:val="5"/>
        <w:spacing w:before="93" w:after="93"/>
        <w:ind w:firstLine="560"/>
      </w:pPr>
      <w:bookmarkStart w:id="357" w:name="_Toc782"/>
      <w:r>
        <w:t>八、存在的问题及拟采取的对策措施</w:t>
      </w:r>
      <w:bookmarkEnd w:id="357"/>
    </w:p>
    <w:p>
      <w:pPr>
        <w:snapToGrid w:val="0"/>
        <w:ind w:firstLine="480" w:firstLineChars="200"/>
      </w:pPr>
      <w:r>
        <w:t>存在的问题主要有：</w:t>
      </w:r>
    </w:p>
    <w:p>
      <w:pPr>
        <w:snapToGrid w:val="0"/>
        <w:ind w:firstLine="480" w:firstLineChars="200"/>
      </w:pPr>
      <w:r>
        <w:t>1、部分教师存在重视理论知识讲授、轻视实践教学，同时，教学精力投入不足，重视科研忽视教学的现象；</w:t>
      </w:r>
    </w:p>
    <w:p>
      <w:pPr>
        <w:snapToGrid w:val="0"/>
        <w:ind w:firstLine="480" w:firstLineChars="200"/>
      </w:pPr>
      <w:r>
        <w:t>2、个别课程教学内容陈旧，不能紧跟国内外电气行业领域发展潮流，对新技术了解有所欠缺；</w:t>
      </w:r>
    </w:p>
    <w:p>
      <w:pPr>
        <w:snapToGrid w:val="0"/>
        <w:ind w:firstLine="480" w:firstLineChars="200"/>
      </w:pPr>
      <w:r>
        <w:t>3、教学方法主要以课堂讲授为主，教学手段单一；</w:t>
      </w:r>
    </w:p>
    <w:p>
      <w:pPr>
        <w:snapToGrid w:val="0"/>
        <w:ind w:firstLine="480" w:firstLineChars="200"/>
      </w:pPr>
      <w:r>
        <w:t>4、对学生教学效果评价体系尚不完善，难以量化。</w:t>
      </w:r>
    </w:p>
    <w:p>
      <w:pPr>
        <w:snapToGrid w:val="0"/>
        <w:ind w:firstLine="480" w:firstLineChars="200"/>
      </w:pPr>
      <w:r>
        <w:t>今后，随着新培养方案的实施，电气工程专业将与时俱进，从以下几个方面进行建设与改革，努力提高学生创新创业能力与适应社会能力。</w:t>
      </w:r>
    </w:p>
    <w:p>
      <w:pPr>
        <w:keepNext/>
        <w:keepLines/>
        <w:snapToGrid w:val="0"/>
        <w:ind w:firstLine="480" w:firstLineChars="200"/>
        <w:outlineLvl w:val="3"/>
        <w:rPr>
          <w:rFonts w:eastAsia="黑体"/>
        </w:rPr>
      </w:pPr>
      <w:r>
        <w:rPr>
          <w:rFonts w:eastAsia="黑体"/>
        </w:rPr>
        <w:t>1.转变教学观念,提升教学水平</w:t>
      </w:r>
    </w:p>
    <w:p>
      <w:pPr>
        <w:snapToGrid w:val="0"/>
        <w:ind w:firstLine="480" w:firstLineChars="200"/>
      </w:pPr>
      <w:r>
        <w:t>教师的教育理念、知识与能力结构、教学能力等将直接影响到专业教学的结果。树立现代教育理念、转变教学观念是专业教学改革的关键。</w:t>
      </w:r>
    </w:p>
    <w:p>
      <w:pPr>
        <w:snapToGrid w:val="0"/>
        <w:ind w:firstLine="480" w:firstLineChars="200"/>
      </w:pPr>
      <w:r>
        <w:t>教师在专业教学中要打破学科界限和原有的知识体系，要以理论性过程性知识传授为主、以陈述性应用性知识传授为辅，注重专业技能培养，重视学生的学习态度、方法和职业意识的形成。因此，教师要在专业教学中建立基于能力本位的教育观，在专业教学过程中体现以知识应用能力为基础；建立基于理论性、过程性的课程观；建立基于多元智能理论的人才观，使教学内容、教学方法、教学过程适合社会的要求和发展需要；建立基于行动导向的教学观，采用以学生为主体、以教学项目为载体、以行动为导向的有效教学方法。</w:t>
      </w:r>
    </w:p>
    <w:p>
      <w:pPr>
        <w:keepNext/>
        <w:keepLines/>
        <w:snapToGrid w:val="0"/>
        <w:ind w:firstLine="480" w:firstLineChars="200"/>
        <w:outlineLvl w:val="3"/>
        <w:rPr>
          <w:rFonts w:eastAsia="黑体"/>
        </w:rPr>
      </w:pPr>
      <w:r>
        <w:rPr>
          <w:rFonts w:eastAsia="黑体"/>
        </w:rPr>
        <w:t>2.重组教学内容，深化技能、应用能力培养</w:t>
      </w:r>
    </w:p>
    <w:p>
      <w:pPr>
        <w:snapToGrid w:val="0"/>
        <w:ind w:firstLine="480" w:firstLineChars="200"/>
      </w:pPr>
      <w:r>
        <w:t>打破学科界限，以应用及创新能力体系为基础确定课程内容；围绕掌握本专业国内外发展动态来组织相应的知识、技能和态度，设计相应的理论研究与实践活动；通过设计工程实践情景，培养学生在较为复杂的工作关系中做出判断并采取相应行动的综合职业能力。</w:t>
      </w:r>
    </w:p>
    <w:p>
      <w:pPr>
        <w:keepNext/>
        <w:keepLines/>
        <w:snapToGrid w:val="0"/>
        <w:ind w:firstLine="480" w:firstLineChars="200"/>
        <w:outlineLvl w:val="3"/>
        <w:rPr>
          <w:rFonts w:eastAsia="黑体"/>
        </w:rPr>
      </w:pPr>
      <w:r>
        <w:rPr>
          <w:rFonts w:eastAsia="黑体"/>
        </w:rPr>
        <w:t>3.改革教学方法，注重学以实为贵</w:t>
      </w:r>
    </w:p>
    <w:p>
      <w:pPr>
        <w:snapToGrid w:val="0"/>
        <w:ind w:firstLine="480" w:firstLineChars="200"/>
      </w:pPr>
      <w:r>
        <w:t>根据教学内容，选用合适有效的教学方法，针对学生的特点，组织教学项目，配以现代化教学技术，合理运用教学环境，在</w:t>
      </w:r>
      <w:r>
        <w:rPr>
          <w:rFonts w:hint="eastAsia"/>
        </w:rPr>
        <w:t>“</w:t>
      </w:r>
      <w:r>
        <w:t>生产情景</w:t>
      </w:r>
      <w:r>
        <w:rPr>
          <w:rFonts w:hint="eastAsia"/>
        </w:rPr>
        <w:t>”</w:t>
      </w:r>
      <w:r>
        <w:t>中强化动手操作，在教学中强调师生互动。在改革教学方法方面建议重点注意以下方面：</w:t>
      </w:r>
    </w:p>
    <w:p>
      <w:pPr>
        <w:snapToGrid w:val="0"/>
        <w:ind w:firstLine="480" w:firstLineChars="200"/>
      </w:pPr>
      <w:r>
        <w:t>●创新教学方式，提高教学效果：摒弃传统的以教师、课堂、教材为中心教学方式，倡导以学生为主体，凸显教学互动，培养学生自主学习和创新的能力。促进个性发展的教学方式</w:t>
      </w:r>
    </w:p>
    <w:p>
      <w:pPr>
        <w:snapToGrid w:val="0"/>
        <w:ind w:firstLine="480" w:firstLineChars="200"/>
      </w:pPr>
      <w:r>
        <w:t>●设置</w:t>
      </w:r>
      <w:r>
        <w:rPr>
          <w:rFonts w:hint="eastAsia"/>
        </w:rPr>
        <w:t>“</w:t>
      </w:r>
      <w:r>
        <w:t>生产情景</w:t>
      </w:r>
      <w:r>
        <w:rPr>
          <w:rFonts w:hint="eastAsia"/>
        </w:rPr>
        <w:t>”</w:t>
      </w:r>
      <w:r>
        <w:t>，培养职业习惯；根据课程内容，创新</w:t>
      </w:r>
      <w:r>
        <w:rPr>
          <w:rFonts w:hint="eastAsia"/>
        </w:rPr>
        <w:t>“</w:t>
      </w:r>
      <w:r>
        <w:t>生产情景</w:t>
      </w:r>
      <w:r>
        <w:rPr>
          <w:rFonts w:hint="eastAsia"/>
        </w:rPr>
        <w:t>”</w:t>
      </w:r>
      <w:r>
        <w:t>，进行理论实践一体化教学、学习过程行动化、做到讲练结合、练中有讲、学在练中、是学生体验职业活动，真正掌握使用的生产技能，提高职业能力</w:t>
      </w:r>
    </w:p>
    <w:p>
      <w:pPr>
        <w:snapToGrid w:val="0"/>
        <w:ind w:firstLine="480" w:firstLineChars="200"/>
      </w:pPr>
      <w:r>
        <w:t>●运用技术手段，扩展教学资源：充分利用现代教学技术，推广多媒体和仿真教学，开发和利用网络资源，使得难以理解的知识和经验能直接，形象，直观的展现在学生面前，同时也可以丰富学生的学习方式和学生资源</w:t>
      </w:r>
    </w:p>
    <w:p>
      <w:pPr>
        <w:keepNext/>
        <w:keepLines/>
        <w:snapToGrid w:val="0"/>
        <w:ind w:firstLine="480" w:firstLineChars="200"/>
        <w:outlineLvl w:val="3"/>
        <w:rPr>
          <w:rFonts w:eastAsia="黑体"/>
        </w:rPr>
      </w:pPr>
      <w:r>
        <w:rPr>
          <w:rFonts w:eastAsia="黑体"/>
        </w:rPr>
        <w:t>4.创新教学评价，合理评估教学效果</w:t>
      </w:r>
    </w:p>
    <w:p>
      <w:pPr>
        <w:snapToGrid w:val="0"/>
        <w:ind w:firstLine="480" w:firstLineChars="200"/>
      </w:pPr>
      <w:r>
        <w:t xml:space="preserve">要改变传统的教学评价方式，重视过程性评价，注意过程性评价和终结性评价的有机结合，在学业评价中充分考虑学生创新设计技能掌握程度和评价本身对职业能力形成的促进作用。 </w:t>
      </w:r>
    </w:p>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pPr>
      <w:bookmarkStart w:id="358" w:name="_Toc9231"/>
      <w:r>
        <w:rPr>
          <w:rFonts w:hint="eastAsia"/>
          <w:lang w:val="en-US"/>
        </w:rPr>
        <w:t>专业三十三：</w:t>
      </w:r>
      <w:r>
        <w:t>自动化</w:t>
      </w:r>
      <w:bookmarkEnd w:id="358"/>
    </w:p>
    <w:p>
      <w:pPr>
        <w:pStyle w:val="31"/>
        <w:spacing w:line="380" w:lineRule="exact"/>
        <w:ind w:firstLine="480"/>
        <w:rPr>
          <w:rFonts w:eastAsiaTheme="minorEastAsia"/>
        </w:rPr>
      </w:pPr>
      <w:r>
        <w:rPr>
          <w:rFonts w:eastAsiaTheme="minorEastAsia"/>
        </w:rPr>
        <w:t>自动化专业是省级本科一流专业建设点，专业师资力量雄厚，教学、科研条件先进，科研平台与实习基地健全。建有</w:t>
      </w:r>
      <w:bookmarkStart w:id="359" w:name="_Hlk57586166"/>
      <w:r>
        <w:rPr>
          <w:rFonts w:eastAsiaTheme="minorEastAsia"/>
        </w:rPr>
        <w:t>《数字电子技术》</w:t>
      </w:r>
      <w:bookmarkEnd w:id="359"/>
      <w:r>
        <w:rPr>
          <w:rFonts w:eastAsiaTheme="minorEastAsia"/>
        </w:rPr>
        <w:t>山东省一流课程、《数字电子技术》山东省精品课程和《模拟电子技术》、《自动控制原理》、《微机原理》、《计算机控制技术》、《过程控制》省级精品课程群课程。本专业依托国家级实验教学示范中心、山东省农业装备智能化工程实验室等多个教学科研平台和农业电气化与自动化二级学科博士学位授权点，建立20余家实践教学育人基地，形成以社会需求为目标、以创新发展为动力的</w:t>
      </w:r>
      <w:r>
        <w:rPr>
          <w:rFonts w:hint="eastAsia" w:eastAsiaTheme="minorEastAsia"/>
        </w:rPr>
        <w:t>“</w:t>
      </w:r>
      <w:r>
        <w:rPr>
          <w:rFonts w:eastAsiaTheme="minorEastAsia"/>
        </w:rPr>
        <w:t>产学研教</w:t>
      </w:r>
      <w:r>
        <w:rPr>
          <w:rFonts w:hint="eastAsia" w:eastAsiaTheme="minorEastAsia"/>
        </w:rPr>
        <w:t>”</w:t>
      </w:r>
      <w:r>
        <w:rPr>
          <w:rFonts w:eastAsiaTheme="minorEastAsia"/>
        </w:rPr>
        <w:t>协同育人机制。毕业生可在有关企业、科研单位、国家机关和高等院校从事自动控制及相关领域科研、</w:t>
      </w:r>
      <w:r>
        <w:t>设计、制造、管理、规划、营销、推广</w:t>
      </w:r>
      <w:r>
        <w:rPr>
          <w:rFonts w:eastAsiaTheme="minorEastAsia"/>
        </w:rPr>
        <w:t>和教学等工作，合格毕业生颁发工学学士学位。</w:t>
      </w:r>
    </w:p>
    <w:p>
      <w:pPr>
        <w:pStyle w:val="5"/>
        <w:spacing w:before="93" w:after="93" w:line="380" w:lineRule="exact"/>
        <w:ind w:firstLine="560"/>
      </w:pPr>
      <w:r>
        <w:rPr>
          <w:rFonts w:hint="eastAsia"/>
        </w:rPr>
        <w:t>一、</w:t>
      </w:r>
      <w:r>
        <w:t>人才培养目标</w:t>
      </w:r>
    </w:p>
    <w:p>
      <w:pPr>
        <w:pStyle w:val="31"/>
        <w:spacing w:line="380" w:lineRule="exact"/>
        <w:ind w:firstLine="480"/>
        <w:rPr>
          <w:rFonts w:eastAsiaTheme="minorEastAsia"/>
        </w:rPr>
      </w:pPr>
      <w:r>
        <w:rPr>
          <w:rFonts w:eastAsiaTheme="minorEastAsia"/>
        </w:rPr>
        <w:t>本专业培养具有智能控制、检测技术与自动化仪表、机器人与人工智能、嵌入式系统、电工电子技术、计算机技术与应用和网络技术等较宽广领域的工程技术基础和一定的专业知识，能在机器人、自动控制、人工智能、嵌入式系统、电力电子技术、检测与自动化仪表、电子与计算机技术、管理与决策等领域从事技术研发、系统设计、科技管理等工作。</w:t>
      </w:r>
    </w:p>
    <w:p>
      <w:pPr>
        <w:pStyle w:val="5"/>
        <w:spacing w:before="93" w:after="93" w:line="380" w:lineRule="exact"/>
        <w:ind w:firstLine="560"/>
      </w:pPr>
      <w:bookmarkStart w:id="360" w:name="_Toc30611"/>
      <w:r>
        <w:rPr>
          <w:rFonts w:hint="eastAsia"/>
        </w:rPr>
        <w:t>二、</w:t>
      </w:r>
      <w:r>
        <w:t>培养能力（专业设置情况、在校生规模、课程设置情况、创新创业教育等）</w:t>
      </w:r>
      <w:bookmarkEnd w:id="360"/>
    </w:p>
    <w:p>
      <w:pPr>
        <w:pStyle w:val="31"/>
        <w:spacing w:line="380" w:lineRule="exact"/>
        <w:ind w:firstLine="480"/>
        <w:rPr>
          <w:rFonts w:eastAsiaTheme="minorEastAsia"/>
        </w:rPr>
      </w:pPr>
      <w:r>
        <w:rPr>
          <w:rFonts w:eastAsiaTheme="minorEastAsia"/>
        </w:rPr>
        <w:t>我校自动化专业2005年开始招生，专业建设与发展已经历了18年，到目前已有14届毕业。目前，该专业1年级至4年级在校生139人，每年级学生人数如表1所示。</w:t>
      </w:r>
    </w:p>
    <w:p>
      <w:pPr>
        <w:pStyle w:val="31"/>
        <w:spacing w:line="400" w:lineRule="exact"/>
        <w:ind w:firstLine="0"/>
        <w:jc w:val="center"/>
        <w:rPr>
          <w:rFonts w:eastAsiaTheme="minorEastAsia"/>
          <w:b/>
          <w:bCs/>
          <w:sz w:val="21"/>
          <w:szCs w:val="21"/>
        </w:rPr>
      </w:pPr>
      <w:r>
        <w:rPr>
          <w:rFonts w:eastAsiaTheme="minorEastAsia"/>
          <w:b/>
          <w:bCs/>
          <w:sz w:val="21"/>
          <w:szCs w:val="21"/>
        </w:rPr>
        <w:t>表1  自动化专业在校生人数情况（人）</w:t>
      </w:r>
    </w:p>
    <w:tbl>
      <w:tblPr>
        <w:tblStyle w:val="17"/>
        <w:tblW w:w="80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4"/>
        <w:gridCol w:w="1615"/>
        <w:gridCol w:w="1615"/>
        <w:gridCol w:w="1615"/>
        <w:gridCol w:w="16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614" w:type="dxa"/>
            <w:vAlign w:val="center"/>
          </w:tcPr>
          <w:p>
            <w:pPr>
              <w:adjustRightInd w:val="0"/>
              <w:snapToGrid w:val="0"/>
              <w:ind w:firstLine="4" w:firstLineChars="2"/>
              <w:jc w:val="center"/>
              <w:rPr>
                <w:rFonts w:eastAsiaTheme="minorEastAsia"/>
                <w:b/>
                <w:bCs/>
                <w:sz w:val="21"/>
                <w:szCs w:val="21"/>
              </w:rPr>
            </w:pPr>
            <w:r>
              <w:rPr>
                <w:rFonts w:eastAsiaTheme="minorEastAsia"/>
                <w:b/>
                <w:bCs/>
                <w:sz w:val="21"/>
                <w:szCs w:val="21"/>
              </w:rPr>
              <w:t>2019级</w:t>
            </w:r>
          </w:p>
        </w:tc>
        <w:tc>
          <w:tcPr>
            <w:tcW w:w="1615" w:type="dxa"/>
            <w:vAlign w:val="center"/>
          </w:tcPr>
          <w:p>
            <w:pPr>
              <w:adjustRightInd w:val="0"/>
              <w:snapToGrid w:val="0"/>
              <w:ind w:firstLine="4" w:firstLineChars="2"/>
              <w:jc w:val="center"/>
              <w:rPr>
                <w:rFonts w:eastAsiaTheme="minorEastAsia"/>
                <w:b/>
                <w:bCs/>
                <w:sz w:val="21"/>
                <w:szCs w:val="21"/>
              </w:rPr>
            </w:pPr>
            <w:r>
              <w:rPr>
                <w:rFonts w:eastAsiaTheme="minorEastAsia"/>
                <w:b/>
                <w:bCs/>
                <w:sz w:val="21"/>
                <w:szCs w:val="21"/>
              </w:rPr>
              <w:t>2020级</w:t>
            </w:r>
          </w:p>
        </w:tc>
        <w:tc>
          <w:tcPr>
            <w:tcW w:w="1615" w:type="dxa"/>
            <w:vAlign w:val="center"/>
          </w:tcPr>
          <w:p>
            <w:pPr>
              <w:adjustRightInd w:val="0"/>
              <w:snapToGrid w:val="0"/>
              <w:ind w:firstLine="4" w:firstLineChars="2"/>
              <w:jc w:val="center"/>
              <w:rPr>
                <w:rFonts w:eastAsiaTheme="minorEastAsia"/>
                <w:b/>
                <w:bCs/>
                <w:sz w:val="21"/>
                <w:szCs w:val="21"/>
              </w:rPr>
            </w:pPr>
            <w:r>
              <w:rPr>
                <w:rFonts w:eastAsiaTheme="minorEastAsia"/>
                <w:b/>
                <w:bCs/>
                <w:sz w:val="21"/>
                <w:szCs w:val="21"/>
              </w:rPr>
              <w:t>2021级</w:t>
            </w:r>
          </w:p>
        </w:tc>
        <w:tc>
          <w:tcPr>
            <w:tcW w:w="1615" w:type="dxa"/>
            <w:vAlign w:val="center"/>
          </w:tcPr>
          <w:p>
            <w:pPr>
              <w:adjustRightInd w:val="0"/>
              <w:snapToGrid w:val="0"/>
              <w:jc w:val="center"/>
              <w:rPr>
                <w:rFonts w:eastAsiaTheme="minorEastAsia"/>
                <w:b/>
                <w:bCs/>
                <w:sz w:val="21"/>
                <w:szCs w:val="21"/>
              </w:rPr>
            </w:pPr>
            <w:r>
              <w:rPr>
                <w:rFonts w:eastAsiaTheme="minorEastAsia"/>
                <w:b/>
                <w:bCs/>
                <w:sz w:val="21"/>
                <w:szCs w:val="21"/>
              </w:rPr>
              <w:t>2022级</w:t>
            </w:r>
          </w:p>
        </w:tc>
        <w:tc>
          <w:tcPr>
            <w:tcW w:w="1615" w:type="dxa"/>
            <w:vAlign w:val="center"/>
          </w:tcPr>
          <w:p>
            <w:pPr>
              <w:adjustRightInd w:val="0"/>
              <w:snapToGrid w:val="0"/>
              <w:ind w:firstLine="4" w:firstLineChars="2"/>
              <w:jc w:val="center"/>
              <w:rPr>
                <w:rFonts w:eastAsiaTheme="minorEastAsia"/>
                <w:b/>
                <w:bCs/>
                <w:sz w:val="21"/>
                <w:szCs w:val="21"/>
                <w:lang w:val="zh-CN"/>
              </w:rPr>
            </w:pPr>
            <w:r>
              <w:rPr>
                <w:rFonts w:eastAsiaTheme="minorEastAsia"/>
                <w:b/>
                <w:bCs/>
                <w:sz w:val="21"/>
                <w:szCs w:val="21"/>
                <w:lang w:val="zh-CN"/>
              </w:rPr>
              <w:t>总人数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614" w:type="dxa"/>
            <w:vAlign w:val="center"/>
          </w:tcPr>
          <w:p>
            <w:pPr>
              <w:adjustRightInd w:val="0"/>
              <w:snapToGrid w:val="0"/>
              <w:ind w:firstLine="4" w:firstLineChars="2"/>
              <w:jc w:val="center"/>
              <w:rPr>
                <w:rFonts w:eastAsiaTheme="minorEastAsia"/>
                <w:sz w:val="21"/>
                <w:szCs w:val="21"/>
              </w:rPr>
            </w:pPr>
            <w:r>
              <w:rPr>
                <w:rFonts w:eastAsiaTheme="minorEastAsia"/>
                <w:sz w:val="21"/>
                <w:szCs w:val="21"/>
              </w:rPr>
              <w:t>49</w:t>
            </w:r>
          </w:p>
        </w:tc>
        <w:tc>
          <w:tcPr>
            <w:tcW w:w="1615" w:type="dxa"/>
            <w:vAlign w:val="center"/>
          </w:tcPr>
          <w:p>
            <w:pPr>
              <w:adjustRightInd w:val="0"/>
              <w:snapToGrid w:val="0"/>
              <w:ind w:firstLine="4" w:firstLineChars="2"/>
              <w:jc w:val="center"/>
              <w:rPr>
                <w:rFonts w:eastAsiaTheme="minorEastAsia"/>
                <w:sz w:val="21"/>
                <w:szCs w:val="21"/>
              </w:rPr>
            </w:pPr>
            <w:r>
              <w:rPr>
                <w:rFonts w:eastAsiaTheme="minorEastAsia"/>
                <w:sz w:val="21"/>
                <w:szCs w:val="21"/>
              </w:rPr>
              <w:t>37</w:t>
            </w:r>
          </w:p>
        </w:tc>
        <w:tc>
          <w:tcPr>
            <w:tcW w:w="1615" w:type="dxa"/>
            <w:vAlign w:val="center"/>
          </w:tcPr>
          <w:p>
            <w:pPr>
              <w:adjustRightInd w:val="0"/>
              <w:snapToGrid w:val="0"/>
              <w:ind w:firstLine="4" w:firstLineChars="2"/>
              <w:jc w:val="center"/>
              <w:rPr>
                <w:rFonts w:eastAsiaTheme="minorEastAsia"/>
                <w:sz w:val="21"/>
                <w:szCs w:val="21"/>
              </w:rPr>
            </w:pPr>
            <w:r>
              <w:rPr>
                <w:rFonts w:eastAsiaTheme="minorEastAsia"/>
                <w:sz w:val="21"/>
                <w:szCs w:val="21"/>
              </w:rPr>
              <w:t>26</w:t>
            </w:r>
          </w:p>
        </w:tc>
        <w:tc>
          <w:tcPr>
            <w:tcW w:w="1615" w:type="dxa"/>
            <w:vAlign w:val="center"/>
          </w:tcPr>
          <w:p>
            <w:pPr>
              <w:adjustRightInd w:val="0"/>
              <w:snapToGrid w:val="0"/>
              <w:jc w:val="center"/>
              <w:rPr>
                <w:rFonts w:eastAsiaTheme="minorEastAsia"/>
                <w:sz w:val="21"/>
                <w:szCs w:val="21"/>
              </w:rPr>
            </w:pPr>
            <w:r>
              <w:rPr>
                <w:rFonts w:eastAsiaTheme="minorEastAsia"/>
                <w:sz w:val="21"/>
                <w:szCs w:val="21"/>
              </w:rPr>
              <w:t>58</w:t>
            </w:r>
          </w:p>
        </w:tc>
        <w:tc>
          <w:tcPr>
            <w:tcW w:w="1615" w:type="dxa"/>
            <w:vAlign w:val="center"/>
          </w:tcPr>
          <w:p>
            <w:pPr>
              <w:adjustRightInd w:val="0"/>
              <w:snapToGrid w:val="0"/>
              <w:ind w:firstLine="4" w:firstLineChars="2"/>
              <w:jc w:val="center"/>
              <w:rPr>
                <w:rFonts w:eastAsiaTheme="minorEastAsia"/>
                <w:sz w:val="21"/>
                <w:szCs w:val="21"/>
              </w:rPr>
            </w:pPr>
            <w:r>
              <w:rPr>
                <w:rFonts w:eastAsiaTheme="minorEastAsia"/>
                <w:sz w:val="21"/>
                <w:szCs w:val="21"/>
              </w:rPr>
              <w:t>170</w:t>
            </w:r>
          </w:p>
        </w:tc>
      </w:tr>
    </w:tbl>
    <w:p>
      <w:pPr>
        <w:pStyle w:val="31"/>
        <w:spacing w:line="400" w:lineRule="exact"/>
        <w:ind w:firstLine="480"/>
        <w:rPr>
          <w:rFonts w:eastAsiaTheme="minorEastAsia"/>
        </w:rPr>
      </w:pPr>
      <w:r>
        <w:rPr>
          <w:rFonts w:eastAsiaTheme="minorEastAsia"/>
        </w:rPr>
        <w:t>该专业主干学科为：控制科学与工程</w:t>
      </w:r>
    </w:p>
    <w:p>
      <w:pPr>
        <w:pStyle w:val="31"/>
        <w:spacing w:line="400" w:lineRule="exact"/>
        <w:ind w:firstLine="480"/>
        <w:rPr>
          <w:rFonts w:eastAsiaTheme="minorEastAsia"/>
        </w:rPr>
      </w:pPr>
      <w:r>
        <w:rPr>
          <w:rFonts w:eastAsiaTheme="minorEastAsia"/>
        </w:rPr>
        <w:t>主要课程：电路原理、模拟电子技术基础、数字电子技术基础、自动控制原理、现代控制理论、现代电力电子技术、微机原理与应用、检测技术与自动化装置、电机与电力拖动基础、信号与系统、人工智能、过程控制、计算机控制、运动控制、数字图像处理等。</w:t>
      </w:r>
    </w:p>
    <w:p>
      <w:pPr>
        <w:pStyle w:val="31"/>
        <w:spacing w:line="400" w:lineRule="exact"/>
        <w:ind w:firstLine="480"/>
        <w:rPr>
          <w:rFonts w:eastAsiaTheme="minorEastAsia"/>
        </w:rPr>
      </w:pPr>
      <w:r>
        <w:rPr>
          <w:rFonts w:eastAsiaTheme="minorEastAsia"/>
        </w:rPr>
        <w:t>主要实践课程：金工实习、创业实践、综合训练、社会实践、课程设计、生产实习、毕业设计（论文）等。</w:t>
      </w:r>
    </w:p>
    <w:p>
      <w:pPr>
        <w:pStyle w:val="31"/>
        <w:spacing w:line="400" w:lineRule="exact"/>
        <w:ind w:firstLine="480"/>
        <w:rPr>
          <w:rFonts w:eastAsiaTheme="minorEastAsia"/>
        </w:rPr>
      </w:pPr>
      <w:r>
        <w:rPr>
          <w:rFonts w:eastAsiaTheme="minorEastAsia"/>
        </w:rPr>
        <w:t>学分总体安排：课程共139.5学分；必修课105学分，占总学分的75.3%；选修课34.5学分，占总学分的24.7%。实践教学环节总学分为46.5学分，占总学分的27.4%。</w:t>
      </w:r>
    </w:p>
    <w:p>
      <w:pPr>
        <w:pStyle w:val="31"/>
        <w:spacing w:line="380" w:lineRule="exact"/>
        <w:ind w:firstLine="482"/>
        <w:rPr>
          <w:rFonts w:eastAsiaTheme="minorEastAsia"/>
        </w:rPr>
      </w:pPr>
      <w:r>
        <w:rPr>
          <w:rFonts w:eastAsiaTheme="minorEastAsia"/>
        </w:rPr>
        <w:t>该专业极为重视大学生的创新创业工作，以学院层级式、阶梯式创新创业工作为基础，以卓越工程师培养计划为契机，在不同年级开展不同类型创新创业活动，积极组织成立学习性社团，开展丰富多彩的课余活动，结合专业学习，锻炼了学生的综合能力。目前已成立了</w:t>
      </w:r>
      <w:r>
        <w:rPr>
          <w:rFonts w:hint="eastAsia" w:eastAsiaTheme="minorEastAsia"/>
        </w:rPr>
        <w:t>“</w:t>
      </w:r>
      <w:r>
        <w:rPr>
          <w:rFonts w:eastAsiaTheme="minorEastAsia"/>
        </w:rPr>
        <w:t>学雷锋家电维修协会</w:t>
      </w:r>
      <w:r>
        <w:rPr>
          <w:rFonts w:hint="eastAsia" w:eastAsiaTheme="minorEastAsia"/>
        </w:rPr>
        <w:t>”</w:t>
      </w:r>
      <w:r>
        <w:rPr>
          <w:rFonts w:eastAsiaTheme="minorEastAsia"/>
        </w:rPr>
        <w:t>、</w:t>
      </w:r>
      <w:r>
        <w:rPr>
          <w:rFonts w:hint="eastAsia" w:eastAsiaTheme="minorEastAsia"/>
        </w:rPr>
        <w:t>“</w:t>
      </w:r>
      <w:r>
        <w:rPr>
          <w:rFonts w:eastAsiaTheme="minorEastAsia"/>
        </w:rPr>
        <w:t>自动化协会</w:t>
      </w:r>
      <w:r>
        <w:rPr>
          <w:rFonts w:hint="eastAsia" w:eastAsiaTheme="minorEastAsia"/>
        </w:rPr>
        <w:t>”</w:t>
      </w:r>
      <w:r>
        <w:rPr>
          <w:rFonts w:eastAsiaTheme="minorEastAsia"/>
        </w:rPr>
        <w:t>、</w:t>
      </w:r>
      <w:r>
        <w:rPr>
          <w:rFonts w:hint="eastAsia" w:eastAsiaTheme="minorEastAsia"/>
        </w:rPr>
        <w:t>“</w:t>
      </w:r>
      <w:r>
        <w:rPr>
          <w:rFonts w:eastAsiaTheme="minorEastAsia"/>
        </w:rPr>
        <w:t>智能车协会</w:t>
      </w:r>
      <w:r>
        <w:rPr>
          <w:rFonts w:hint="eastAsia" w:eastAsiaTheme="minorEastAsia"/>
        </w:rPr>
        <w:t>”</w:t>
      </w:r>
      <w:r>
        <w:rPr>
          <w:rFonts w:eastAsiaTheme="minorEastAsia"/>
        </w:rPr>
        <w:t>等学生社团，引导学生加入自己喜欢的社团，以老带新，培养学生的创新创业精神。如山东省大学生科技文化艺术节大学生机器人大赛、全国大学生英语竞赛、中国机器人大赛暨ROBOCUP公开赛、全国大学生</w:t>
      </w:r>
      <w:r>
        <w:rPr>
          <w:rFonts w:hint="eastAsia" w:eastAsiaTheme="minorEastAsia"/>
        </w:rPr>
        <w:t>“</w:t>
      </w:r>
      <w:r>
        <w:rPr>
          <w:rFonts w:eastAsiaTheme="minorEastAsia"/>
        </w:rPr>
        <w:t>飞思卡尔杯</w:t>
      </w:r>
      <w:r>
        <w:rPr>
          <w:rFonts w:hint="eastAsia" w:eastAsiaTheme="minorEastAsia"/>
        </w:rPr>
        <w:t>”</w:t>
      </w:r>
      <w:r>
        <w:rPr>
          <w:rFonts w:eastAsiaTheme="minorEastAsia"/>
        </w:rPr>
        <w:t>智能汽车竞赛、电子设计大赛等，并取得优异成绩。</w:t>
      </w:r>
    </w:p>
    <w:p>
      <w:pPr>
        <w:pStyle w:val="5"/>
        <w:spacing w:before="93" w:after="93"/>
        <w:ind w:firstLine="560"/>
      </w:pPr>
      <w:bookmarkStart w:id="361" w:name="_Toc2663"/>
      <w:r>
        <w:rPr>
          <w:rFonts w:hint="eastAsia"/>
        </w:rPr>
        <w:t>三、</w:t>
      </w:r>
      <w:r>
        <w:t>培养条件（教学经费投入、教学设备、教师队伍建设、实习基地、现代教学技术应用等）</w:t>
      </w:r>
      <w:bookmarkEnd w:id="361"/>
    </w:p>
    <w:p>
      <w:pPr>
        <w:pStyle w:val="31"/>
        <w:spacing w:line="400" w:lineRule="exact"/>
        <w:ind w:firstLine="482"/>
        <w:rPr>
          <w:rFonts w:eastAsiaTheme="minorEastAsia"/>
        </w:rPr>
      </w:pPr>
      <w:r>
        <w:rPr>
          <w:rFonts w:eastAsiaTheme="minorEastAsia"/>
        </w:rPr>
        <w:t>2017年，自动化专业借助我院国家级实验教学示范中心（农业机械化及自动化）、虚拟仿真实验教学示范中心及国家创业型人才培养方案创新实验区平台，依托我院电工电子实验教学中心与机械工程实验教学中心开展教学科研工作。学院利用教学经费300余万元，对实验室资源进行整合，充分发挥自动化专业仪器设备使用效能，建设虚拟仿真与虚拟实验中心。</w:t>
      </w:r>
    </w:p>
    <w:p>
      <w:pPr>
        <w:pStyle w:val="31"/>
        <w:spacing w:line="400" w:lineRule="exact"/>
        <w:ind w:firstLine="482"/>
        <w:rPr>
          <w:rFonts w:eastAsiaTheme="minorEastAsia"/>
        </w:rPr>
      </w:pPr>
      <w:r>
        <w:rPr>
          <w:rFonts w:eastAsiaTheme="minorEastAsia"/>
        </w:rPr>
        <w:t>在学校各级领导的关怀下，自动化专业的实验室面积得到大幅度提高，实验条件得到极大改善，目前与本专业相关的实验室面积达4000平米左右。另外，学院自筹资金，购买了大量自动化专业书籍近100套，学术期刊20余部，经过多年的建设与完善，教学实验条件完全满足教学的要求。</w:t>
      </w:r>
    </w:p>
    <w:p>
      <w:pPr>
        <w:pStyle w:val="31"/>
        <w:spacing w:line="400" w:lineRule="exact"/>
        <w:ind w:firstLine="482"/>
        <w:rPr>
          <w:rFonts w:eastAsiaTheme="minorEastAsia"/>
        </w:rPr>
      </w:pPr>
      <w:r>
        <w:rPr>
          <w:rFonts w:eastAsiaTheme="minorEastAsia"/>
        </w:rPr>
        <w:t>强化师资建设与教学科研水平提高，截止到2022年12月初，自动化专业专职教师共12人，师资队伍具体人员概况如表1所示。</w:t>
      </w:r>
    </w:p>
    <w:p>
      <w:pPr>
        <w:pStyle w:val="31"/>
        <w:spacing w:line="400" w:lineRule="exact"/>
        <w:ind w:firstLine="0"/>
        <w:jc w:val="center"/>
        <w:rPr>
          <w:rFonts w:eastAsiaTheme="minorEastAsia"/>
          <w:b/>
          <w:bCs/>
          <w:sz w:val="21"/>
          <w:szCs w:val="21"/>
        </w:rPr>
      </w:pPr>
      <w:r>
        <w:rPr>
          <w:rFonts w:eastAsiaTheme="minorEastAsia"/>
          <w:b/>
          <w:bCs/>
          <w:sz w:val="21"/>
          <w:szCs w:val="21"/>
        </w:rPr>
        <w:t>表1  自动化专业师资队伍</w:t>
      </w:r>
    </w:p>
    <w:tbl>
      <w:tblPr>
        <w:tblStyle w:val="17"/>
        <w:tblW w:w="9001" w:type="dxa"/>
        <w:tblInd w:w="1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82"/>
        <w:gridCol w:w="1148"/>
        <w:gridCol w:w="1204"/>
        <w:gridCol w:w="1246"/>
        <w:gridCol w:w="938"/>
        <w:gridCol w:w="358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82" w:type="dxa"/>
            <w:vAlign w:val="center"/>
          </w:tcPr>
          <w:p>
            <w:pPr>
              <w:jc w:val="center"/>
              <w:rPr>
                <w:rFonts w:eastAsiaTheme="minorEastAsia"/>
                <w:b/>
                <w:bCs/>
                <w:sz w:val="21"/>
                <w:szCs w:val="21"/>
              </w:rPr>
            </w:pPr>
            <w:r>
              <w:rPr>
                <w:rFonts w:eastAsiaTheme="minorEastAsia"/>
                <w:b/>
                <w:bCs/>
                <w:sz w:val="21"/>
                <w:szCs w:val="21"/>
              </w:rPr>
              <w:t>序号</w:t>
            </w:r>
          </w:p>
        </w:tc>
        <w:tc>
          <w:tcPr>
            <w:tcW w:w="1148" w:type="dxa"/>
            <w:vAlign w:val="center"/>
          </w:tcPr>
          <w:p>
            <w:pPr>
              <w:jc w:val="center"/>
              <w:rPr>
                <w:rFonts w:eastAsiaTheme="minorEastAsia"/>
                <w:b/>
                <w:bCs/>
                <w:sz w:val="21"/>
                <w:szCs w:val="21"/>
              </w:rPr>
            </w:pPr>
            <w:r>
              <w:rPr>
                <w:rFonts w:eastAsiaTheme="minorEastAsia"/>
                <w:b/>
                <w:bCs/>
                <w:sz w:val="21"/>
                <w:szCs w:val="21"/>
              </w:rPr>
              <w:t>姓  名</w:t>
            </w:r>
          </w:p>
        </w:tc>
        <w:tc>
          <w:tcPr>
            <w:tcW w:w="1204" w:type="dxa"/>
            <w:vAlign w:val="center"/>
          </w:tcPr>
          <w:p>
            <w:pPr>
              <w:jc w:val="center"/>
              <w:rPr>
                <w:rFonts w:eastAsiaTheme="minorEastAsia"/>
                <w:b/>
                <w:bCs/>
                <w:sz w:val="21"/>
                <w:szCs w:val="21"/>
              </w:rPr>
            </w:pPr>
            <w:r>
              <w:rPr>
                <w:rFonts w:eastAsiaTheme="minorEastAsia"/>
                <w:b/>
                <w:bCs/>
                <w:sz w:val="21"/>
                <w:szCs w:val="21"/>
              </w:rPr>
              <w:t>职  称</w:t>
            </w:r>
          </w:p>
        </w:tc>
        <w:tc>
          <w:tcPr>
            <w:tcW w:w="1246" w:type="dxa"/>
            <w:vAlign w:val="center"/>
          </w:tcPr>
          <w:p>
            <w:pPr>
              <w:jc w:val="center"/>
              <w:rPr>
                <w:rFonts w:eastAsiaTheme="minorEastAsia"/>
                <w:b/>
                <w:bCs/>
                <w:sz w:val="21"/>
                <w:szCs w:val="21"/>
              </w:rPr>
            </w:pPr>
            <w:r>
              <w:rPr>
                <w:rFonts w:eastAsiaTheme="minorEastAsia"/>
                <w:b/>
                <w:bCs/>
                <w:sz w:val="21"/>
                <w:szCs w:val="21"/>
              </w:rPr>
              <w:t>学位</w:t>
            </w:r>
          </w:p>
        </w:tc>
        <w:tc>
          <w:tcPr>
            <w:tcW w:w="938" w:type="dxa"/>
            <w:vAlign w:val="center"/>
          </w:tcPr>
          <w:p>
            <w:pPr>
              <w:jc w:val="center"/>
              <w:rPr>
                <w:rFonts w:eastAsiaTheme="minorEastAsia"/>
                <w:b/>
                <w:bCs/>
                <w:sz w:val="21"/>
                <w:szCs w:val="21"/>
              </w:rPr>
            </w:pPr>
            <w:r>
              <w:rPr>
                <w:rFonts w:eastAsiaTheme="minorEastAsia"/>
                <w:b/>
                <w:bCs/>
                <w:sz w:val="21"/>
                <w:szCs w:val="21"/>
              </w:rPr>
              <w:t>学历</w:t>
            </w:r>
          </w:p>
        </w:tc>
        <w:tc>
          <w:tcPr>
            <w:tcW w:w="3583" w:type="dxa"/>
            <w:vAlign w:val="center"/>
          </w:tcPr>
          <w:p>
            <w:pPr>
              <w:jc w:val="center"/>
              <w:rPr>
                <w:rFonts w:eastAsiaTheme="minorEastAsia"/>
                <w:b/>
                <w:bCs/>
                <w:sz w:val="21"/>
                <w:szCs w:val="21"/>
              </w:rPr>
            </w:pPr>
            <w:r>
              <w:rPr>
                <w:rFonts w:eastAsiaTheme="minorEastAsia"/>
                <w:b/>
                <w:bCs/>
                <w:sz w:val="21"/>
                <w:szCs w:val="21"/>
              </w:rPr>
              <w:t>讲授课程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82" w:type="dxa"/>
            <w:vAlign w:val="center"/>
          </w:tcPr>
          <w:p>
            <w:pPr>
              <w:jc w:val="center"/>
              <w:rPr>
                <w:rFonts w:eastAsiaTheme="minorEastAsia"/>
                <w:sz w:val="21"/>
                <w:szCs w:val="21"/>
              </w:rPr>
            </w:pPr>
            <w:r>
              <w:rPr>
                <w:rFonts w:eastAsiaTheme="minorEastAsia"/>
                <w:sz w:val="21"/>
                <w:szCs w:val="21"/>
              </w:rPr>
              <w:t>1</w:t>
            </w:r>
          </w:p>
        </w:tc>
        <w:tc>
          <w:tcPr>
            <w:tcW w:w="1148" w:type="dxa"/>
            <w:vAlign w:val="center"/>
          </w:tcPr>
          <w:p>
            <w:pPr>
              <w:jc w:val="center"/>
              <w:rPr>
                <w:rFonts w:eastAsiaTheme="minorEastAsia"/>
                <w:sz w:val="21"/>
                <w:szCs w:val="21"/>
              </w:rPr>
            </w:pPr>
            <w:r>
              <w:rPr>
                <w:rFonts w:eastAsiaTheme="minorEastAsia"/>
                <w:sz w:val="21"/>
                <w:szCs w:val="21"/>
              </w:rPr>
              <w:t>侯加林</w:t>
            </w:r>
          </w:p>
        </w:tc>
        <w:tc>
          <w:tcPr>
            <w:tcW w:w="1204" w:type="dxa"/>
            <w:vAlign w:val="center"/>
          </w:tcPr>
          <w:p>
            <w:pPr>
              <w:jc w:val="center"/>
              <w:rPr>
                <w:rFonts w:eastAsiaTheme="minorEastAsia"/>
                <w:sz w:val="21"/>
                <w:szCs w:val="21"/>
              </w:rPr>
            </w:pPr>
            <w:r>
              <w:rPr>
                <w:rFonts w:eastAsiaTheme="minorEastAsia"/>
                <w:sz w:val="21"/>
                <w:szCs w:val="21"/>
              </w:rPr>
              <w:t>教  授</w:t>
            </w:r>
          </w:p>
        </w:tc>
        <w:tc>
          <w:tcPr>
            <w:tcW w:w="1246" w:type="dxa"/>
            <w:vAlign w:val="center"/>
          </w:tcPr>
          <w:p>
            <w:pPr>
              <w:jc w:val="center"/>
              <w:rPr>
                <w:rFonts w:eastAsiaTheme="minorEastAsia"/>
                <w:sz w:val="21"/>
                <w:szCs w:val="21"/>
              </w:rPr>
            </w:pPr>
            <w:r>
              <w:rPr>
                <w:rFonts w:eastAsiaTheme="minorEastAsia"/>
                <w:sz w:val="21"/>
                <w:szCs w:val="21"/>
              </w:rPr>
              <w:t>研究生</w:t>
            </w:r>
          </w:p>
        </w:tc>
        <w:tc>
          <w:tcPr>
            <w:tcW w:w="938" w:type="dxa"/>
            <w:vAlign w:val="center"/>
          </w:tcPr>
          <w:p>
            <w:pPr>
              <w:jc w:val="center"/>
              <w:rPr>
                <w:rFonts w:eastAsiaTheme="minorEastAsia"/>
                <w:sz w:val="21"/>
                <w:szCs w:val="21"/>
              </w:rPr>
            </w:pPr>
            <w:r>
              <w:rPr>
                <w:rFonts w:eastAsiaTheme="minorEastAsia"/>
                <w:sz w:val="21"/>
                <w:szCs w:val="21"/>
              </w:rPr>
              <w:t>博士</w:t>
            </w:r>
          </w:p>
        </w:tc>
        <w:tc>
          <w:tcPr>
            <w:tcW w:w="3583" w:type="dxa"/>
            <w:vAlign w:val="center"/>
          </w:tcPr>
          <w:p>
            <w:pPr>
              <w:jc w:val="center"/>
              <w:rPr>
                <w:rFonts w:eastAsiaTheme="minorEastAsia"/>
                <w:sz w:val="21"/>
                <w:szCs w:val="21"/>
              </w:rPr>
            </w:pPr>
            <w:r>
              <w:rPr>
                <w:rFonts w:eastAsiaTheme="minorEastAsia"/>
                <w:sz w:val="21"/>
                <w:szCs w:val="21"/>
              </w:rPr>
              <w:t>模拟电子、数字电子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82" w:type="dxa"/>
            <w:vAlign w:val="center"/>
          </w:tcPr>
          <w:p>
            <w:pPr>
              <w:jc w:val="center"/>
              <w:rPr>
                <w:rFonts w:eastAsiaTheme="minorEastAsia"/>
                <w:sz w:val="21"/>
                <w:szCs w:val="21"/>
              </w:rPr>
            </w:pPr>
            <w:r>
              <w:rPr>
                <w:rFonts w:eastAsiaTheme="minorEastAsia"/>
                <w:sz w:val="21"/>
                <w:szCs w:val="21"/>
              </w:rPr>
              <w:t>2</w:t>
            </w:r>
          </w:p>
        </w:tc>
        <w:tc>
          <w:tcPr>
            <w:tcW w:w="1148" w:type="dxa"/>
            <w:vAlign w:val="center"/>
          </w:tcPr>
          <w:p>
            <w:pPr>
              <w:jc w:val="center"/>
              <w:rPr>
                <w:rFonts w:eastAsiaTheme="minorEastAsia"/>
                <w:sz w:val="21"/>
                <w:szCs w:val="21"/>
              </w:rPr>
            </w:pPr>
            <w:r>
              <w:rPr>
                <w:rFonts w:eastAsiaTheme="minorEastAsia"/>
                <w:sz w:val="21"/>
                <w:szCs w:val="21"/>
              </w:rPr>
              <w:t>张传洋</w:t>
            </w:r>
          </w:p>
        </w:tc>
        <w:tc>
          <w:tcPr>
            <w:tcW w:w="1204" w:type="dxa"/>
            <w:vAlign w:val="center"/>
          </w:tcPr>
          <w:p>
            <w:pPr>
              <w:jc w:val="center"/>
              <w:rPr>
                <w:rFonts w:eastAsiaTheme="minorEastAsia"/>
                <w:sz w:val="21"/>
                <w:szCs w:val="21"/>
              </w:rPr>
            </w:pPr>
            <w:r>
              <w:rPr>
                <w:rFonts w:eastAsiaTheme="minorEastAsia"/>
                <w:sz w:val="21"/>
                <w:szCs w:val="21"/>
              </w:rPr>
              <w:t>副教授</w:t>
            </w:r>
          </w:p>
        </w:tc>
        <w:tc>
          <w:tcPr>
            <w:tcW w:w="1246" w:type="dxa"/>
            <w:vAlign w:val="center"/>
          </w:tcPr>
          <w:p>
            <w:pPr>
              <w:jc w:val="center"/>
              <w:rPr>
                <w:rFonts w:eastAsiaTheme="minorEastAsia"/>
                <w:sz w:val="21"/>
                <w:szCs w:val="21"/>
              </w:rPr>
            </w:pPr>
            <w:r>
              <w:rPr>
                <w:rFonts w:eastAsiaTheme="minorEastAsia"/>
                <w:sz w:val="21"/>
                <w:szCs w:val="21"/>
              </w:rPr>
              <w:t>研究生</w:t>
            </w:r>
          </w:p>
        </w:tc>
        <w:tc>
          <w:tcPr>
            <w:tcW w:w="938" w:type="dxa"/>
            <w:vAlign w:val="center"/>
          </w:tcPr>
          <w:p>
            <w:pPr>
              <w:jc w:val="center"/>
              <w:rPr>
                <w:rFonts w:eastAsiaTheme="minorEastAsia"/>
                <w:sz w:val="21"/>
                <w:szCs w:val="21"/>
              </w:rPr>
            </w:pPr>
            <w:r>
              <w:rPr>
                <w:rFonts w:eastAsiaTheme="minorEastAsia"/>
                <w:sz w:val="21"/>
                <w:szCs w:val="21"/>
              </w:rPr>
              <w:t>硕士</w:t>
            </w:r>
          </w:p>
        </w:tc>
        <w:tc>
          <w:tcPr>
            <w:tcW w:w="3583" w:type="dxa"/>
            <w:vAlign w:val="center"/>
          </w:tcPr>
          <w:p>
            <w:pPr>
              <w:jc w:val="center"/>
              <w:rPr>
                <w:rFonts w:eastAsiaTheme="minorEastAsia"/>
                <w:sz w:val="21"/>
                <w:szCs w:val="21"/>
              </w:rPr>
            </w:pPr>
            <w:r>
              <w:rPr>
                <w:rFonts w:eastAsiaTheme="minorEastAsia"/>
                <w:sz w:val="21"/>
                <w:szCs w:val="21"/>
              </w:rPr>
              <w:t>计算机控制技术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82" w:type="dxa"/>
            <w:vAlign w:val="center"/>
          </w:tcPr>
          <w:p>
            <w:pPr>
              <w:jc w:val="center"/>
              <w:rPr>
                <w:rFonts w:eastAsiaTheme="minorEastAsia"/>
                <w:sz w:val="21"/>
                <w:szCs w:val="21"/>
              </w:rPr>
            </w:pPr>
            <w:r>
              <w:rPr>
                <w:rFonts w:eastAsiaTheme="minorEastAsia"/>
                <w:sz w:val="21"/>
                <w:szCs w:val="21"/>
              </w:rPr>
              <w:t>3</w:t>
            </w:r>
          </w:p>
        </w:tc>
        <w:tc>
          <w:tcPr>
            <w:tcW w:w="1148" w:type="dxa"/>
            <w:vAlign w:val="center"/>
          </w:tcPr>
          <w:p>
            <w:pPr>
              <w:jc w:val="center"/>
              <w:rPr>
                <w:rFonts w:eastAsiaTheme="minorEastAsia"/>
                <w:sz w:val="21"/>
                <w:szCs w:val="21"/>
              </w:rPr>
            </w:pPr>
            <w:r>
              <w:rPr>
                <w:rFonts w:eastAsiaTheme="minorEastAsia"/>
                <w:sz w:val="21"/>
                <w:szCs w:val="21"/>
              </w:rPr>
              <w:t>娄  伟</w:t>
            </w:r>
          </w:p>
        </w:tc>
        <w:tc>
          <w:tcPr>
            <w:tcW w:w="1204" w:type="dxa"/>
            <w:vAlign w:val="center"/>
          </w:tcPr>
          <w:p>
            <w:pPr>
              <w:jc w:val="center"/>
              <w:rPr>
                <w:rFonts w:eastAsiaTheme="minorEastAsia"/>
                <w:sz w:val="21"/>
                <w:szCs w:val="21"/>
              </w:rPr>
            </w:pPr>
            <w:r>
              <w:rPr>
                <w:rFonts w:eastAsiaTheme="minorEastAsia"/>
                <w:sz w:val="21"/>
                <w:szCs w:val="21"/>
              </w:rPr>
              <w:t>副教授</w:t>
            </w:r>
          </w:p>
        </w:tc>
        <w:tc>
          <w:tcPr>
            <w:tcW w:w="1246" w:type="dxa"/>
            <w:vAlign w:val="center"/>
          </w:tcPr>
          <w:p>
            <w:pPr>
              <w:jc w:val="center"/>
              <w:rPr>
                <w:rFonts w:eastAsiaTheme="minorEastAsia"/>
                <w:sz w:val="21"/>
                <w:szCs w:val="21"/>
              </w:rPr>
            </w:pPr>
            <w:r>
              <w:rPr>
                <w:rFonts w:eastAsiaTheme="minorEastAsia"/>
                <w:sz w:val="21"/>
                <w:szCs w:val="21"/>
              </w:rPr>
              <w:t>研究生</w:t>
            </w:r>
          </w:p>
        </w:tc>
        <w:tc>
          <w:tcPr>
            <w:tcW w:w="938" w:type="dxa"/>
            <w:vAlign w:val="center"/>
          </w:tcPr>
          <w:p>
            <w:pPr>
              <w:jc w:val="center"/>
              <w:rPr>
                <w:rFonts w:eastAsiaTheme="minorEastAsia"/>
                <w:sz w:val="21"/>
                <w:szCs w:val="21"/>
              </w:rPr>
            </w:pPr>
            <w:r>
              <w:rPr>
                <w:rFonts w:eastAsiaTheme="minorEastAsia"/>
                <w:sz w:val="21"/>
                <w:szCs w:val="21"/>
              </w:rPr>
              <w:t>硕士</w:t>
            </w:r>
          </w:p>
        </w:tc>
        <w:tc>
          <w:tcPr>
            <w:tcW w:w="3583" w:type="dxa"/>
            <w:vAlign w:val="center"/>
          </w:tcPr>
          <w:p>
            <w:pPr>
              <w:jc w:val="center"/>
              <w:rPr>
                <w:rFonts w:eastAsiaTheme="minorEastAsia"/>
                <w:sz w:val="21"/>
                <w:szCs w:val="21"/>
              </w:rPr>
            </w:pPr>
            <w:r>
              <w:rPr>
                <w:rFonts w:eastAsiaTheme="minorEastAsia"/>
                <w:sz w:val="21"/>
                <w:szCs w:val="21"/>
              </w:rPr>
              <w:t>微机原理与接口技术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82" w:type="dxa"/>
            <w:vAlign w:val="center"/>
          </w:tcPr>
          <w:p>
            <w:pPr>
              <w:jc w:val="center"/>
              <w:rPr>
                <w:rFonts w:eastAsiaTheme="minorEastAsia"/>
                <w:sz w:val="21"/>
                <w:szCs w:val="21"/>
              </w:rPr>
            </w:pPr>
            <w:r>
              <w:rPr>
                <w:rFonts w:eastAsiaTheme="minorEastAsia"/>
                <w:sz w:val="21"/>
                <w:szCs w:val="21"/>
              </w:rPr>
              <w:t>4</w:t>
            </w:r>
          </w:p>
        </w:tc>
        <w:tc>
          <w:tcPr>
            <w:tcW w:w="1148" w:type="dxa"/>
            <w:vAlign w:val="center"/>
          </w:tcPr>
          <w:p>
            <w:pPr>
              <w:jc w:val="center"/>
              <w:rPr>
                <w:rFonts w:eastAsiaTheme="minorEastAsia"/>
                <w:sz w:val="21"/>
                <w:szCs w:val="21"/>
              </w:rPr>
            </w:pPr>
            <w:r>
              <w:rPr>
                <w:rFonts w:eastAsiaTheme="minorEastAsia"/>
                <w:sz w:val="21"/>
                <w:szCs w:val="21"/>
              </w:rPr>
              <w:t>丁筱玲</w:t>
            </w:r>
          </w:p>
        </w:tc>
        <w:tc>
          <w:tcPr>
            <w:tcW w:w="1204" w:type="dxa"/>
            <w:vAlign w:val="center"/>
          </w:tcPr>
          <w:p>
            <w:pPr>
              <w:jc w:val="center"/>
              <w:rPr>
                <w:rFonts w:eastAsiaTheme="minorEastAsia"/>
                <w:sz w:val="21"/>
                <w:szCs w:val="21"/>
              </w:rPr>
            </w:pPr>
            <w:r>
              <w:rPr>
                <w:rFonts w:eastAsiaTheme="minorEastAsia"/>
                <w:sz w:val="21"/>
                <w:szCs w:val="21"/>
              </w:rPr>
              <w:t>教  授</w:t>
            </w:r>
          </w:p>
        </w:tc>
        <w:tc>
          <w:tcPr>
            <w:tcW w:w="1246" w:type="dxa"/>
            <w:vAlign w:val="center"/>
          </w:tcPr>
          <w:p>
            <w:pPr>
              <w:jc w:val="center"/>
              <w:rPr>
                <w:rFonts w:eastAsiaTheme="minorEastAsia"/>
                <w:sz w:val="21"/>
                <w:szCs w:val="21"/>
              </w:rPr>
            </w:pPr>
            <w:r>
              <w:rPr>
                <w:rFonts w:eastAsiaTheme="minorEastAsia"/>
                <w:sz w:val="21"/>
                <w:szCs w:val="21"/>
              </w:rPr>
              <w:t>研究生</w:t>
            </w:r>
          </w:p>
        </w:tc>
        <w:tc>
          <w:tcPr>
            <w:tcW w:w="938" w:type="dxa"/>
            <w:vAlign w:val="center"/>
          </w:tcPr>
          <w:p>
            <w:pPr>
              <w:jc w:val="center"/>
              <w:rPr>
                <w:rFonts w:eastAsiaTheme="minorEastAsia"/>
                <w:sz w:val="21"/>
                <w:szCs w:val="21"/>
              </w:rPr>
            </w:pPr>
            <w:r>
              <w:rPr>
                <w:rFonts w:eastAsiaTheme="minorEastAsia"/>
                <w:sz w:val="21"/>
                <w:szCs w:val="21"/>
              </w:rPr>
              <w:t>博士</w:t>
            </w:r>
          </w:p>
        </w:tc>
        <w:tc>
          <w:tcPr>
            <w:tcW w:w="3583" w:type="dxa"/>
            <w:vAlign w:val="center"/>
          </w:tcPr>
          <w:p>
            <w:pPr>
              <w:jc w:val="center"/>
              <w:rPr>
                <w:rFonts w:eastAsiaTheme="minorEastAsia"/>
                <w:sz w:val="21"/>
                <w:szCs w:val="21"/>
              </w:rPr>
            </w:pPr>
            <w:r>
              <w:rPr>
                <w:rFonts w:eastAsiaTheme="minorEastAsia"/>
                <w:sz w:val="21"/>
                <w:szCs w:val="21"/>
              </w:rPr>
              <w:t>模拟电子技术、单片机原理与应用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82" w:type="dxa"/>
            <w:vAlign w:val="center"/>
          </w:tcPr>
          <w:p>
            <w:pPr>
              <w:jc w:val="center"/>
              <w:rPr>
                <w:rFonts w:eastAsiaTheme="minorEastAsia"/>
                <w:sz w:val="21"/>
                <w:szCs w:val="21"/>
              </w:rPr>
            </w:pPr>
            <w:r>
              <w:rPr>
                <w:rFonts w:eastAsiaTheme="minorEastAsia"/>
                <w:sz w:val="21"/>
                <w:szCs w:val="21"/>
              </w:rPr>
              <w:t>5</w:t>
            </w:r>
          </w:p>
        </w:tc>
        <w:tc>
          <w:tcPr>
            <w:tcW w:w="1148" w:type="dxa"/>
            <w:vAlign w:val="center"/>
          </w:tcPr>
          <w:p>
            <w:pPr>
              <w:jc w:val="center"/>
              <w:rPr>
                <w:rFonts w:eastAsiaTheme="minorEastAsia"/>
                <w:sz w:val="21"/>
                <w:szCs w:val="21"/>
              </w:rPr>
            </w:pPr>
            <w:r>
              <w:rPr>
                <w:rFonts w:eastAsiaTheme="minorEastAsia"/>
                <w:sz w:val="21"/>
                <w:szCs w:val="21"/>
              </w:rPr>
              <w:t>闫银发</w:t>
            </w:r>
          </w:p>
        </w:tc>
        <w:tc>
          <w:tcPr>
            <w:tcW w:w="1204" w:type="dxa"/>
            <w:vAlign w:val="center"/>
          </w:tcPr>
          <w:p>
            <w:pPr>
              <w:jc w:val="center"/>
              <w:rPr>
                <w:rFonts w:eastAsiaTheme="minorEastAsia"/>
                <w:sz w:val="21"/>
                <w:szCs w:val="21"/>
              </w:rPr>
            </w:pPr>
            <w:r>
              <w:rPr>
                <w:rFonts w:eastAsiaTheme="minorEastAsia"/>
                <w:sz w:val="21"/>
                <w:szCs w:val="21"/>
              </w:rPr>
              <w:t>教  授</w:t>
            </w:r>
          </w:p>
        </w:tc>
        <w:tc>
          <w:tcPr>
            <w:tcW w:w="1246" w:type="dxa"/>
            <w:vAlign w:val="center"/>
          </w:tcPr>
          <w:p>
            <w:pPr>
              <w:jc w:val="center"/>
              <w:rPr>
                <w:rFonts w:eastAsiaTheme="minorEastAsia"/>
                <w:sz w:val="21"/>
                <w:szCs w:val="21"/>
              </w:rPr>
            </w:pPr>
            <w:r>
              <w:rPr>
                <w:rFonts w:eastAsiaTheme="minorEastAsia"/>
                <w:sz w:val="21"/>
                <w:szCs w:val="21"/>
              </w:rPr>
              <w:t>研究生</w:t>
            </w:r>
          </w:p>
        </w:tc>
        <w:tc>
          <w:tcPr>
            <w:tcW w:w="938" w:type="dxa"/>
            <w:vAlign w:val="center"/>
          </w:tcPr>
          <w:p>
            <w:pPr>
              <w:jc w:val="center"/>
              <w:rPr>
                <w:rFonts w:eastAsiaTheme="minorEastAsia"/>
                <w:sz w:val="21"/>
                <w:szCs w:val="21"/>
              </w:rPr>
            </w:pPr>
            <w:r>
              <w:rPr>
                <w:rFonts w:eastAsiaTheme="minorEastAsia"/>
                <w:sz w:val="21"/>
                <w:szCs w:val="21"/>
              </w:rPr>
              <w:t>博士</w:t>
            </w:r>
          </w:p>
        </w:tc>
        <w:tc>
          <w:tcPr>
            <w:tcW w:w="3583" w:type="dxa"/>
            <w:vAlign w:val="center"/>
          </w:tcPr>
          <w:p>
            <w:pPr>
              <w:jc w:val="center"/>
              <w:rPr>
                <w:rFonts w:eastAsiaTheme="minorEastAsia"/>
                <w:sz w:val="21"/>
                <w:szCs w:val="21"/>
              </w:rPr>
            </w:pPr>
            <w:r>
              <w:rPr>
                <w:rFonts w:eastAsiaTheme="minorEastAsia"/>
                <w:sz w:val="21"/>
                <w:szCs w:val="21"/>
              </w:rPr>
              <w:t>单片机原理与应用、Matlab技术应用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82" w:type="dxa"/>
            <w:vAlign w:val="center"/>
          </w:tcPr>
          <w:p>
            <w:pPr>
              <w:jc w:val="center"/>
              <w:rPr>
                <w:rFonts w:eastAsiaTheme="minorEastAsia"/>
                <w:sz w:val="21"/>
                <w:szCs w:val="21"/>
              </w:rPr>
            </w:pPr>
            <w:r>
              <w:rPr>
                <w:rFonts w:eastAsiaTheme="minorEastAsia"/>
                <w:sz w:val="21"/>
                <w:szCs w:val="21"/>
              </w:rPr>
              <w:t>6</w:t>
            </w:r>
          </w:p>
        </w:tc>
        <w:tc>
          <w:tcPr>
            <w:tcW w:w="1148" w:type="dxa"/>
            <w:vAlign w:val="center"/>
          </w:tcPr>
          <w:p>
            <w:pPr>
              <w:jc w:val="center"/>
              <w:rPr>
                <w:rFonts w:eastAsiaTheme="minorEastAsia"/>
                <w:sz w:val="21"/>
                <w:szCs w:val="21"/>
              </w:rPr>
            </w:pPr>
            <w:r>
              <w:rPr>
                <w:rFonts w:eastAsiaTheme="minorEastAsia"/>
                <w:sz w:val="21"/>
                <w:szCs w:val="21"/>
              </w:rPr>
              <w:t>李天华</w:t>
            </w:r>
          </w:p>
        </w:tc>
        <w:tc>
          <w:tcPr>
            <w:tcW w:w="1204" w:type="dxa"/>
            <w:vAlign w:val="center"/>
          </w:tcPr>
          <w:p>
            <w:pPr>
              <w:jc w:val="center"/>
              <w:rPr>
                <w:rFonts w:eastAsiaTheme="minorEastAsia"/>
                <w:sz w:val="21"/>
                <w:szCs w:val="21"/>
              </w:rPr>
            </w:pPr>
            <w:r>
              <w:rPr>
                <w:rFonts w:eastAsiaTheme="minorEastAsia"/>
                <w:sz w:val="21"/>
                <w:szCs w:val="21"/>
              </w:rPr>
              <w:t>教  授</w:t>
            </w:r>
          </w:p>
        </w:tc>
        <w:tc>
          <w:tcPr>
            <w:tcW w:w="1246" w:type="dxa"/>
            <w:vAlign w:val="center"/>
          </w:tcPr>
          <w:p>
            <w:pPr>
              <w:jc w:val="center"/>
              <w:rPr>
                <w:rFonts w:eastAsiaTheme="minorEastAsia"/>
                <w:sz w:val="21"/>
                <w:szCs w:val="21"/>
              </w:rPr>
            </w:pPr>
            <w:r>
              <w:rPr>
                <w:rFonts w:eastAsiaTheme="minorEastAsia"/>
                <w:sz w:val="21"/>
                <w:szCs w:val="21"/>
              </w:rPr>
              <w:t>研究生</w:t>
            </w:r>
          </w:p>
        </w:tc>
        <w:tc>
          <w:tcPr>
            <w:tcW w:w="938" w:type="dxa"/>
            <w:vAlign w:val="center"/>
          </w:tcPr>
          <w:p>
            <w:pPr>
              <w:jc w:val="center"/>
              <w:rPr>
                <w:rFonts w:eastAsiaTheme="minorEastAsia"/>
                <w:sz w:val="21"/>
                <w:szCs w:val="21"/>
              </w:rPr>
            </w:pPr>
            <w:r>
              <w:rPr>
                <w:rFonts w:eastAsiaTheme="minorEastAsia"/>
                <w:sz w:val="21"/>
                <w:szCs w:val="21"/>
              </w:rPr>
              <w:t>博士</w:t>
            </w:r>
          </w:p>
        </w:tc>
        <w:tc>
          <w:tcPr>
            <w:tcW w:w="3583" w:type="dxa"/>
            <w:vAlign w:val="center"/>
          </w:tcPr>
          <w:p>
            <w:pPr>
              <w:jc w:val="center"/>
              <w:rPr>
                <w:rFonts w:eastAsiaTheme="minorEastAsia"/>
                <w:sz w:val="21"/>
                <w:szCs w:val="21"/>
              </w:rPr>
            </w:pPr>
            <w:r>
              <w:rPr>
                <w:rFonts w:eastAsiaTheme="minorEastAsia"/>
                <w:sz w:val="21"/>
                <w:szCs w:val="21"/>
              </w:rPr>
              <w:t>单片机原理与应用、过程控制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82" w:type="dxa"/>
            <w:vAlign w:val="center"/>
          </w:tcPr>
          <w:p>
            <w:pPr>
              <w:jc w:val="center"/>
              <w:rPr>
                <w:rFonts w:eastAsiaTheme="minorEastAsia"/>
                <w:sz w:val="21"/>
                <w:szCs w:val="21"/>
              </w:rPr>
            </w:pPr>
            <w:r>
              <w:rPr>
                <w:rFonts w:eastAsiaTheme="minorEastAsia"/>
                <w:sz w:val="21"/>
                <w:szCs w:val="21"/>
              </w:rPr>
              <w:t>7</w:t>
            </w:r>
          </w:p>
        </w:tc>
        <w:tc>
          <w:tcPr>
            <w:tcW w:w="1148" w:type="dxa"/>
            <w:vAlign w:val="center"/>
          </w:tcPr>
          <w:p>
            <w:pPr>
              <w:jc w:val="center"/>
              <w:rPr>
                <w:rFonts w:eastAsiaTheme="minorEastAsia"/>
                <w:sz w:val="21"/>
                <w:szCs w:val="21"/>
              </w:rPr>
            </w:pPr>
            <w:r>
              <w:rPr>
                <w:rFonts w:eastAsiaTheme="minorEastAsia"/>
                <w:sz w:val="21"/>
                <w:szCs w:val="21"/>
              </w:rPr>
              <w:t>刘莫尘</w:t>
            </w:r>
          </w:p>
        </w:tc>
        <w:tc>
          <w:tcPr>
            <w:tcW w:w="1204" w:type="dxa"/>
            <w:vAlign w:val="center"/>
          </w:tcPr>
          <w:p>
            <w:pPr>
              <w:jc w:val="center"/>
              <w:rPr>
                <w:rFonts w:eastAsiaTheme="minorEastAsia"/>
                <w:sz w:val="21"/>
                <w:szCs w:val="21"/>
              </w:rPr>
            </w:pPr>
            <w:r>
              <w:rPr>
                <w:rFonts w:eastAsiaTheme="minorEastAsia"/>
                <w:sz w:val="21"/>
                <w:szCs w:val="21"/>
              </w:rPr>
              <w:t>副教授</w:t>
            </w:r>
          </w:p>
        </w:tc>
        <w:tc>
          <w:tcPr>
            <w:tcW w:w="1246" w:type="dxa"/>
            <w:vAlign w:val="center"/>
          </w:tcPr>
          <w:p>
            <w:pPr>
              <w:jc w:val="center"/>
              <w:rPr>
                <w:rFonts w:eastAsiaTheme="minorEastAsia"/>
                <w:sz w:val="21"/>
                <w:szCs w:val="21"/>
              </w:rPr>
            </w:pPr>
            <w:r>
              <w:rPr>
                <w:rFonts w:eastAsiaTheme="minorEastAsia"/>
                <w:sz w:val="21"/>
                <w:szCs w:val="21"/>
              </w:rPr>
              <w:t>研究生</w:t>
            </w:r>
          </w:p>
        </w:tc>
        <w:tc>
          <w:tcPr>
            <w:tcW w:w="938" w:type="dxa"/>
            <w:vAlign w:val="center"/>
          </w:tcPr>
          <w:p>
            <w:pPr>
              <w:jc w:val="center"/>
              <w:rPr>
                <w:rFonts w:eastAsiaTheme="minorEastAsia"/>
                <w:sz w:val="21"/>
                <w:szCs w:val="21"/>
              </w:rPr>
            </w:pPr>
            <w:r>
              <w:rPr>
                <w:rFonts w:eastAsiaTheme="minorEastAsia"/>
                <w:sz w:val="21"/>
                <w:szCs w:val="21"/>
              </w:rPr>
              <w:t>博士</w:t>
            </w:r>
          </w:p>
        </w:tc>
        <w:tc>
          <w:tcPr>
            <w:tcW w:w="3583" w:type="dxa"/>
            <w:vAlign w:val="center"/>
          </w:tcPr>
          <w:p>
            <w:pPr>
              <w:jc w:val="center"/>
              <w:rPr>
                <w:rFonts w:eastAsiaTheme="minorEastAsia"/>
                <w:sz w:val="21"/>
                <w:szCs w:val="21"/>
              </w:rPr>
            </w:pPr>
            <w:r>
              <w:rPr>
                <w:rFonts w:eastAsiaTheme="minorEastAsia"/>
                <w:sz w:val="21"/>
                <w:szCs w:val="21"/>
              </w:rPr>
              <w:t>现代控制理论、自动控制原理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82" w:type="dxa"/>
            <w:vAlign w:val="center"/>
          </w:tcPr>
          <w:p>
            <w:pPr>
              <w:jc w:val="center"/>
              <w:rPr>
                <w:rFonts w:eastAsiaTheme="minorEastAsia"/>
                <w:sz w:val="21"/>
                <w:szCs w:val="21"/>
              </w:rPr>
            </w:pPr>
            <w:r>
              <w:rPr>
                <w:rFonts w:eastAsiaTheme="minorEastAsia"/>
                <w:sz w:val="21"/>
                <w:szCs w:val="21"/>
              </w:rPr>
              <w:t>8</w:t>
            </w:r>
          </w:p>
        </w:tc>
        <w:tc>
          <w:tcPr>
            <w:tcW w:w="1148" w:type="dxa"/>
            <w:vAlign w:val="center"/>
          </w:tcPr>
          <w:p>
            <w:pPr>
              <w:jc w:val="center"/>
              <w:rPr>
                <w:rFonts w:eastAsiaTheme="minorEastAsia"/>
                <w:sz w:val="21"/>
                <w:szCs w:val="21"/>
              </w:rPr>
            </w:pPr>
            <w:r>
              <w:rPr>
                <w:rFonts w:eastAsiaTheme="minorEastAsia"/>
                <w:sz w:val="21"/>
                <w:szCs w:val="21"/>
              </w:rPr>
              <w:t>李  杨</w:t>
            </w:r>
          </w:p>
        </w:tc>
        <w:tc>
          <w:tcPr>
            <w:tcW w:w="1204" w:type="dxa"/>
            <w:vAlign w:val="center"/>
          </w:tcPr>
          <w:p>
            <w:pPr>
              <w:jc w:val="center"/>
              <w:rPr>
                <w:rFonts w:eastAsiaTheme="minorEastAsia"/>
                <w:sz w:val="21"/>
                <w:szCs w:val="21"/>
              </w:rPr>
            </w:pPr>
            <w:r>
              <w:rPr>
                <w:rFonts w:eastAsiaTheme="minorEastAsia"/>
                <w:sz w:val="21"/>
                <w:szCs w:val="21"/>
              </w:rPr>
              <w:t>副教授</w:t>
            </w:r>
          </w:p>
        </w:tc>
        <w:tc>
          <w:tcPr>
            <w:tcW w:w="1246" w:type="dxa"/>
            <w:vAlign w:val="center"/>
          </w:tcPr>
          <w:p>
            <w:pPr>
              <w:jc w:val="center"/>
              <w:rPr>
                <w:rFonts w:eastAsiaTheme="minorEastAsia"/>
                <w:sz w:val="21"/>
                <w:szCs w:val="21"/>
              </w:rPr>
            </w:pPr>
            <w:r>
              <w:rPr>
                <w:rFonts w:eastAsiaTheme="minorEastAsia"/>
                <w:sz w:val="21"/>
                <w:szCs w:val="21"/>
              </w:rPr>
              <w:t>研究生</w:t>
            </w:r>
          </w:p>
        </w:tc>
        <w:tc>
          <w:tcPr>
            <w:tcW w:w="938" w:type="dxa"/>
            <w:vAlign w:val="center"/>
          </w:tcPr>
          <w:p>
            <w:pPr>
              <w:jc w:val="center"/>
              <w:rPr>
                <w:rFonts w:eastAsiaTheme="minorEastAsia"/>
                <w:sz w:val="21"/>
                <w:szCs w:val="21"/>
              </w:rPr>
            </w:pPr>
            <w:r>
              <w:rPr>
                <w:rFonts w:eastAsiaTheme="minorEastAsia"/>
                <w:sz w:val="21"/>
                <w:szCs w:val="21"/>
              </w:rPr>
              <w:t>博士</w:t>
            </w:r>
          </w:p>
        </w:tc>
        <w:tc>
          <w:tcPr>
            <w:tcW w:w="3583" w:type="dxa"/>
            <w:vAlign w:val="center"/>
          </w:tcPr>
          <w:p>
            <w:pPr>
              <w:jc w:val="center"/>
              <w:rPr>
                <w:rFonts w:eastAsiaTheme="minorEastAsia"/>
                <w:sz w:val="21"/>
                <w:szCs w:val="21"/>
              </w:rPr>
            </w:pPr>
            <w:r>
              <w:rPr>
                <w:rFonts w:eastAsiaTheme="minorEastAsia"/>
                <w:sz w:val="21"/>
                <w:szCs w:val="21"/>
              </w:rPr>
              <w:t>电气控制技术与PLC、数字信号处理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82" w:type="dxa"/>
            <w:vAlign w:val="center"/>
          </w:tcPr>
          <w:p>
            <w:pPr>
              <w:jc w:val="center"/>
              <w:rPr>
                <w:rFonts w:eastAsiaTheme="minorEastAsia"/>
                <w:sz w:val="21"/>
                <w:szCs w:val="21"/>
              </w:rPr>
            </w:pPr>
            <w:r>
              <w:rPr>
                <w:rFonts w:eastAsiaTheme="minorEastAsia"/>
                <w:sz w:val="21"/>
                <w:szCs w:val="21"/>
              </w:rPr>
              <w:t>9</w:t>
            </w:r>
          </w:p>
        </w:tc>
        <w:tc>
          <w:tcPr>
            <w:tcW w:w="1148" w:type="dxa"/>
            <w:vAlign w:val="center"/>
          </w:tcPr>
          <w:p>
            <w:pPr>
              <w:jc w:val="center"/>
              <w:rPr>
                <w:rFonts w:eastAsiaTheme="minorEastAsia"/>
                <w:sz w:val="21"/>
                <w:szCs w:val="21"/>
              </w:rPr>
            </w:pPr>
            <w:r>
              <w:rPr>
                <w:rFonts w:eastAsiaTheme="minorEastAsia"/>
                <w:sz w:val="21"/>
                <w:szCs w:val="21"/>
              </w:rPr>
              <w:t>刘  平</w:t>
            </w:r>
          </w:p>
        </w:tc>
        <w:tc>
          <w:tcPr>
            <w:tcW w:w="1204" w:type="dxa"/>
            <w:vAlign w:val="center"/>
          </w:tcPr>
          <w:p>
            <w:pPr>
              <w:jc w:val="center"/>
              <w:rPr>
                <w:rFonts w:eastAsiaTheme="minorEastAsia"/>
                <w:sz w:val="21"/>
                <w:szCs w:val="21"/>
              </w:rPr>
            </w:pPr>
            <w:r>
              <w:rPr>
                <w:rFonts w:eastAsiaTheme="minorEastAsia"/>
                <w:sz w:val="21"/>
                <w:szCs w:val="21"/>
              </w:rPr>
              <w:t>教 授</w:t>
            </w:r>
          </w:p>
        </w:tc>
        <w:tc>
          <w:tcPr>
            <w:tcW w:w="1246" w:type="dxa"/>
            <w:vAlign w:val="center"/>
          </w:tcPr>
          <w:p>
            <w:pPr>
              <w:jc w:val="center"/>
              <w:rPr>
                <w:rFonts w:eastAsiaTheme="minorEastAsia"/>
                <w:sz w:val="21"/>
                <w:szCs w:val="21"/>
              </w:rPr>
            </w:pPr>
            <w:r>
              <w:rPr>
                <w:rFonts w:eastAsiaTheme="minorEastAsia"/>
                <w:sz w:val="21"/>
                <w:szCs w:val="21"/>
              </w:rPr>
              <w:t>研究生</w:t>
            </w:r>
          </w:p>
        </w:tc>
        <w:tc>
          <w:tcPr>
            <w:tcW w:w="938" w:type="dxa"/>
            <w:vAlign w:val="center"/>
          </w:tcPr>
          <w:p>
            <w:pPr>
              <w:jc w:val="center"/>
              <w:rPr>
                <w:rFonts w:eastAsiaTheme="minorEastAsia"/>
                <w:sz w:val="21"/>
                <w:szCs w:val="21"/>
              </w:rPr>
            </w:pPr>
            <w:r>
              <w:rPr>
                <w:rFonts w:eastAsiaTheme="minorEastAsia"/>
                <w:sz w:val="21"/>
                <w:szCs w:val="21"/>
              </w:rPr>
              <w:t>博士</w:t>
            </w:r>
          </w:p>
        </w:tc>
        <w:tc>
          <w:tcPr>
            <w:tcW w:w="3583" w:type="dxa"/>
            <w:vAlign w:val="center"/>
          </w:tcPr>
          <w:p>
            <w:pPr>
              <w:jc w:val="center"/>
              <w:rPr>
                <w:rFonts w:eastAsiaTheme="minorEastAsia"/>
                <w:sz w:val="21"/>
                <w:szCs w:val="21"/>
              </w:rPr>
            </w:pPr>
            <w:r>
              <w:rPr>
                <w:rFonts w:eastAsiaTheme="minorEastAsia"/>
                <w:sz w:val="21"/>
                <w:szCs w:val="21"/>
              </w:rPr>
              <w:t>自动控制原理、运动控制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82" w:type="dxa"/>
            <w:vAlign w:val="center"/>
          </w:tcPr>
          <w:p>
            <w:pPr>
              <w:jc w:val="center"/>
              <w:rPr>
                <w:rFonts w:eastAsiaTheme="minorEastAsia"/>
                <w:sz w:val="21"/>
                <w:szCs w:val="21"/>
              </w:rPr>
            </w:pPr>
            <w:r>
              <w:rPr>
                <w:rFonts w:eastAsiaTheme="minorEastAsia"/>
                <w:sz w:val="21"/>
                <w:szCs w:val="21"/>
              </w:rPr>
              <w:t>10</w:t>
            </w:r>
          </w:p>
        </w:tc>
        <w:tc>
          <w:tcPr>
            <w:tcW w:w="1148" w:type="dxa"/>
            <w:vAlign w:val="center"/>
          </w:tcPr>
          <w:p>
            <w:pPr>
              <w:jc w:val="center"/>
              <w:rPr>
                <w:rFonts w:eastAsiaTheme="minorEastAsia"/>
                <w:sz w:val="21"/>
                <w:szCs w:val="21"/>
              </w:rPr>
            </w:pPr>
            <w:r>
              <w:rPr>
                <w:rFonts w:eastAsiaTheme="minorEastAsia"/>
                <w:sz w:val="21"/>
                <w:szCs w:val="21"/>
              </w:rPr>
              <w:t>苏  斐</w:t>
            </w:r>
          </w:p>
        </w:tc>
        <w:tc>
          <w:tcPr>
            <w:tcW w:w="1204" w:type="dxa"/>
            <w:vAlign w:val="center"/>
          </w:tcPr>
          <w:p>
            <w:pPr>
              <w:jc w:val="center"/>
              <w:rPr>
                <w:rFonts w:eastAsiaTheme="minorEastAsia"/>
                <w:sz w:val="21"/>
                <w:szCs w:val="21"/>
              </w:rPr>
            </w:pPr>
            <w:r>
              <w:rPr>
                <w:rFonts w:eastAsiaTheme="minorEastAsia"/>
                <w:sz w:val="21"/>
                <w:szCs w:val="21"/>
              </w:rPr>
              <w:t>教 授</w:t>
            </w:r>
          </w:p>
        </w:tc>
        <w:tc>
          <w:tcPr>
            <w:tcW w:w="1246" w:type="dxa"/>
            <w:vAlign w:val="center"/>
          </w:tcPr>
          <w:p>
            <w:pPr>
              <w:jc w:val="center"/>
              <w:rPr>
                <w:rFonts w:eastAsiaTheme="minorEastAsia"/>
                <w:sz w:val="21"/>
                <w:szCs w:val="21"/>
              </w:rPr>
            </w:pPr>
            <w:r>
              <w:rPr>
                <w:rFonts w:eastAsiaTheme="minorEastAsia"/>
                <w:sz w:val="21"/>
                <w:szCs w:val="21"/>
              </w:rPr>
              <w:t>研究生</w:t>
            </w:r>
          </w:p>
        </w:tc>
        <w:tc>
          <w:tcPr>
            <w:tcW w:w="938" w:type="dxa"/>
            <w:vAlign w:val="center"/>
          </w:tcPr>
          <w:p>
            <w:pPr>
              <w:jc w:val="center"/>
              <w:rPr>
                <w:rFonts w:eastAsiaTheme="minorEastAsia"/>
                <w:sz w:val="21"/>
                <w:szCs w:val="21"/>
              </w:rPr>
            </w:pPr>
            <w:r>
              <w:rPr>
                <w:rFonts w:eastAsiaTheme="minorEastAsia"/>
                <w:sz w:val="21"/>
                <w:szCs w:val="21"/>
              </w:rPr>
              <w:t>博士</w:t>
            </w:r>
          </w:p>
        </w:tc>
        <w:tc>
          <w:tcPr>
            <w:tcW w:w="3583" w:type="dxa"/>
            <w:vAlign w:val="center"/>
          </w:tcPr>
          <w:p>
            <w:pPr>
              <w:jc w:val="center"/>
              <w:rPr>
                <w:rFonts w:eastAsiaTheme="minorEastAsia"/>
                <w:sz w:val="21"/>
                <w:szCs w:val="21"/>
              </w:rPr>
            </w:pPr>
            <w:r>
              <w:rPr>
                <w:rFonts w:eastAsiaTheme="minorEastAsia"/>
                <w:sz w:val="21"/>
                <w:szCs w:val="21"/>
              </w:rPr>
              <w:t>自动控制原理、数字电子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82" w:type="dxa"/>
            <w:vAlign w:val="center"/>
          </w:tcPr>
          <w:p>
            <w:pPr>
              <w:jc w:val="center"/>
              <w:rPr>
                <w:rFonts w:eastAsiaTheme="minorEastAsia"/>
                <w:sz w:val="21"/>
                <w:szCs w:val="21"/>
              </w:rPr>
            </w:pPr>
            <w:r>
              <w:rPr>
                <w:rFonts w:eastAsiaTheme="minorEastAsia"/>
                <w:sz w:val="21"/>
                <w:szCs w:val="21"/>
              </w:rPr>
              <w:t>11</w:t>
            </w:r>
          </w:p>
        </w:tc>
        <w:tc>
          <w:tcPr>
            <w:tcW w:w="1148" w:type="dxa"/>
            <w:vAlign w:val="center"/>
          </w:tcPr>
          <w:p>
            <w:pPr>
              <w:jc w:val="center"/>
              <w:rPr>
                <w:rFonts w:eastAsiaTheme="minorEastAsia"/>
                <w:sz w:val="21"/>
                <w:szCs w:val="21"/>
              </w:rPr>
            </w:pPr>
            <w:r>
              <w:rPr>
                <w:rFonts w:eastAsiaTheme="minorEastAsia"/>
                <w:sz w:val="21"/>
                <w:szCs w:val="21"/>
              </w:rPr>
              <w:t>龙晓军</w:t>
            </w:r>
          </w:p>
        </w:tc>
        <w:tc>
          <w:tcPr>
            <w:tcW w:w="1204" w:type="dxa"/>
            <w:vAlign w:val="center"/>
          </w:tcPr>
          <w:p>
            <w:pPr>
              <w:jc w:val="center"/>
              <w:rPr>
                <w:rFonts w:eastAsiaTheme="minorEastAsia"/>
                <w:sz w:val="21"/>
                <w:szCs w:val="21"/>
              </w:rPr>
            </w:pPr>
            <w:r>
              <w:rPr>
                <w:rFonts w:eastAsiaTheme="minorEastAsia"/>
                <w:sz w:val="21"/>
                <w:szCs w:val="21"/>
              </w:rPr>
              <w:t>副教授</w:t>
            </w:r>
          </w:p>
        </w:tc>
        <w:tc>
          <w:tcPr>
            <w:tcW w:w="1246" w:type="dxa"/>
            <w:vAlign w:val="center"/>
          </w:tcPr>
          <w:p>
            <w:pPr>
              <w:jc w:val="center"/>
              <w:rPr>
                <w:rFonts w:eastAsiaTheme="minorEastAsia"/>
                <w:sz w:val="21"/>
                <w:szCs w:val="21"/>
              </w:rPr>
            </w:pPr>
            <w:r>
              <w:rPr>
                <w:rFonts w:eastAsiaTheme="minorEastAsia"/>
                <w:sz w:val="21"/>
                <w:szCs w:val="21"/>
              </w:rPr>
              <w:t>研究生</w:t>
            </w:r>
          </w:p>
        </w:tc>
        <w:tc>
          <w:tcPr>
            <w:tcW w:w="938" w:type="dxa"/>
            <w:vAlign w:val="center"/>
          </w:tcPr>
          <w:p>
            <w:pPr>
              <w:jc w:val="center"/>
              <w:rPr>
                <w:rFonts w:eastAsiaTheme="minorEastAsia"/>
                <w:sz w:val="21"/>
                <w:szCs w:val="21"/>
              </w:rPr>
            </w:pPr>
            <w:r>
              <w:rPr>
                <w:rFonts w:eastAsiaTheme="minorEastAsia"/>
                <w:sz w:val="21"/>
                <w:szCs w:val="21"/>
              </w:rPr>
              <w:t>博士</w:t>
            </w:r>
          </w:p>
        </w:tc>
        <w:tc>
          <w:tcPr>
            <w:tcW w:w="3583" w:type="dxa"/>
            <w:vAlign w:val="center"/>
          </w:tcPr>
          <w:p>
            <w:pPr>
              <w:jc w:val="center"/>
              <w:rPr>
                <w:rFonts w:eastAsiaTheme="minorEastAsia"/>
                <w:sz w:val="21"/>
                <w:szCs w:val="21"/>
              </w:rPr>
            </w:pPr>
            <w:r>
              <w:rPr>
                <w:rFonts w:eastAsiaTheme="minorEastAsia"/>
                <w:sz w:val="21"/>
                <w:szCs w:val="21"/>
              </w:rPr>
              <w:t>自动控制系统、智能控制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29" w:hRule="atLeast"/>
        </w:trPr>
        <w:tc>
          <w:tcPr>
            <w:tcW w:w="882" w:type="dxa"/>
            <w:vAlign w:val="center"/>
          </w:tcPr>
          <w:p>
            <w:pPr>
              <w:jc w:val="center"/>
              <w:rPr>
                <w:rFonts w:eastAsiaTheme="minorEastAsia"/>
                <w:sz w:val="21"/>
                <w:szCs w:val="21"/>
              </w:rPr>
            </w:pPr>
            <w:r>
              <w:rPr>
                <w:rFonts w:eastAsiaTheme="minorEastAsia"/>
                <w:sz w:val="21"/>
                <w:szCs w:val="21"/>
              </w:rPr>
              <w:t>12</w:t>
            </w:r>
          </w:p>
        </w:tc>
        <w:tc>
          <w:tcPr>
            <w:tcW w:w="1148" w:type="dxa"/>
            <w:vAlign w:val="center"/>
          </w:tcPr>
          <w:p>
            <w:pPr>
              <w:jc w:val="center"/>
              <w:rPr>
                <w:rFonts w:eastAsiaTheme="minorEastAsia"/>
                <w:sz w:val="21"/>
                <w:szCs w:val="21"/>
              </w:rPr>
            </w:pPr>
            <w:r>
              <w:rPr>
                <w:rFonts w:eastAsiaTheme="minorEastAsia"/>
                <w:sz w:val="21"/>
                <w:szCs w:val="21"/>
              </w:rPr>
              <w:t>席</w:t>
            </w:r>
            <w:r>
              <w:rPr>
                <w:rFonts w:hint="eastAsia" w:eastAsiaTheme="minorEastAsia"/>
                <w:sz w:val="21"/>
                <w:szCs w:val="21"/>
              </w:rPr>
              <w:t xml:space="preserve">  </w:t>
            </w:r>
            <w:r>
              <w:rPr>
                <w:rFonts w:eastAsiaTheme="minorEastAsia"/>
                <w:sz w:val="21"/>
                <w:szCs w:val="21"/>
              </w:rPr>
              <w:t>芮</w:t>
            </w:r>
          </w:p>
        </w:tc>
        <w:tc>
          <w:tcPr>
            <w:tcW w:w="1204" w:type="dxa"/>
            <w:vAlign w:val="center"/>
          </w:tcPr>
          <w:p>
            <w:pPr>
              <w:jc w:val="center"/>
              <w:rPr>
                <w:rFonts w:eastAsiaTheme="minorEastAsia"/>
                <w:sz w:val="21"/>
                <w:szCs w:val="21"/>
              </w:rPr>
            </w:pPr>
            <w:r>
              <w:rPr>
                <w:rFonts w:eastAsiaTheme="minorEastAsia"/>
                <w:sz w:val="21"/>
                <w:szCs w:val="21"/>
              </w:rPr>
              <w:t>讲师</w:t>
            </w:r>
          </w:p>
        </w:tc>
        <w:tc>
          <w:tcPr>
            <w:tcW w:w="1246" w:type="dxa"/>
            <w:vAlign w:val="center"/>
          </w:tcPr>
          <w:p>
            <w:pPr>
              <w:jc w:val="center"/>
              <w:rPr>
                <w:rFonts w:eastAsiaTheme="minorEastAsia"/>
                <w:sz w:val="21"/>
                <w:szCs w:val="21"/>
              </w:rPr>
            </w:pPr>
            <w:r>
              <w:rPr>
                <w:rFonts w:eastAsiaTheme="minorEastAsia"/>
                <w:sz w:val="21"/>
                <w:szCs w:val="21"/>
              </w:rPr>
              <w:t>研究生</w:t>
            </w:r>
          </w:p>
        </w:tc>
        <w:tc>
          <w:tcPr>
            <w:tcW w:w="938" w:type="dxa"/>
            <w:vAlign w:val="center"/>
          </w:tcPr>
          <w:p>
            <w:pPr>
              <w:jc w:val="center"/>
              <w:rPr>
                <w:rFonts w:eastAsiaTheme="minorEastAsia"/>
                <w:sz w:val="21"/>
                <w:szCs w:val="21"/>
              </w:rPr>
            </w:pPr>
            <w:r>
              <w:rPr>
                <w:rFonts w:eastAsiaTheme="minorEastAsia"/>
                <w:sz w:val="21"/>
                <w:szCs w:val="21"/>
              </w:rPr>
              <w:t>博士</w:t>
            </w:r>
          </w:p>
        </w:tc>
        <w:tc>
          <w:tcPr>
            <w:tcW w:w="3583" w:type="dxa"/>
            <w:vAlign w:val="center"/>
          </w:tcPr>
          <w:p>
            <w:pPr>
              <w:spacing w:line="240" w:lineRule="auto"/>
              <w:jc w:val="center"/>
              <w:rPr>
                <w:rFonts w:eastAsiaTheme="minorEastAsia"/>
                <w:sz w:val="21"/>
                <w:szCs w:val="21"/>
              </w:rPr>
            </w:pPr>
            <w:r>
              <w:rPr>
                <w:rFonts w:eastAsiaTheme="minorEastAsia"/>
                <w:sz w:val="21"/>
                <w:szCs w:val="21"/>
              </w:rPr>
              <w:t>EDA技术、Matlab技术应用、数字图像处理</w:t>
            </w:r>
          </w:p>
        </w:tc>
      </w:tr>
    </w:tbl>
    <w:p>
      <w:pPr>
        <w:pStyle w:val="31"/>
        <w:spacing w:line="400" w:lineRule="exact"/>
        <w:ind w:firstLine="480"/>
        <w:rPr>
          <w:rFonts w:eastAsiaTheme="minorEastAsia"/>
        </w:rPr>
      </w:pPr>
      <w:r>
        <w:rPr>
          <w:rFonts w:eastAsiaTheme="minorEastAsia"/>
        </w:rPr>
        <w:t>专职教师中，正教授6名，副教授5名， 讲师1人，10人具有博士学位，国家现代农业产业技术体系岗位科学家1名，山东省现代农业产业技术体系岗位专家2名，山东省教学名师1名，全国农机十佳教师1人，专业拥有合理的学缘及学历结构，师资力量建设为本专业的快速发展奠定了坚实的基础。</w:t>
      </w:r>
    </w:p>
    <w:p>
      <w:pPr>
        <w:pStyle w:val="31"/>
        <w:spacing w:line="400" w:lineRule="exact"/>
        <w:ind w:firstLine="480"/>
        <w:rPr>
          <w:rFonts w:eastAsiaTheme="minorEastAsia"/>
        </w:rPr>
      </w:pPr>
      <w:r>
        <w:rPr>
          <w:rFonts w:eastAsiaTheme="minorEastAsia"/>
        </w:rPr>
        <w:t>注重年轻教师的教学科研能力的培养与提高，积极创造条件，结合我院的</w:t>
      </w:r>
      <w:r>
        <w:rPr>
          <w:rFonts w:hint="eastAsia" w:eastAsiaTheme="minorEastAsia"/>
        </w:rPr>
        <w:t>“</w:t>
      </w:r>
      <w:r>
        <w:rPr>
          <w:rFonts w:eastAsiaTheme="minorEastAsia"/>
        </w:rPr>
        <w:t>青蓝工程</w:t>
      </w:r>
      <w:r>
        <w:rPr>
          <w:rFonts w:hint="eastAsia" w:eastAsiaTheme="minorEastAsia"/>
        </w:rPr>
        <w:t>”</w:t>
      </w:r>
      <w:r>
        <w:rPr>
          <w:rFonts w:eastAsiaTheme="minorEastAsia"/>
        </w:rPr>
        <w:t>，指定富有经验的老教师帮扶新进青年教师尽快掌握授课内容，提高授课技能。2022年，邀请山东省教学名师侯加林教授对专业教师进行教学专业导航。侯加林教授结合自己从教三十多年的经历，从五个方面向一线专任教师传授了自己宝贵的教学经验：一是要有事业心，在教学投入方面下大工夫，同时要注意教学科研并重，还要一以贯之的坚持自己的教学风格和特色；二要有责任心，站稳讲台始终保持高尚的师德师风，坚守职业操守这根高校教师底线，从备课行课、仪容仪表、教姿教态、过程管控、课堂考勤、一身作则等方面严格要求自己；三要注意教法研究，教学过程中，贵在引导，妙在开窍，意在构建，努力掌握四项基本功：语言基本功、板书基本功、教姿基本功及处理内容基本功；四要做一些教学研究，努力提高自身素质，总结教学经验，凝练教学成果，虚心学习，不断进取；五要关爱学生，做学生的人生导师和进步引路人，用自己的行为影响学生，促进他们的成长成才。</w:t>
      </w:r>
    </w:p>
    <w:p>
      <w:pPr>
        <w:pStyle w:val="31"/>
        <w:spacing w:line="400" w:lineRule="exact"/>
        <w:ind w:firstLine="480"/>
        <w:rPr>
          <w:rFonts w:eastAsiaTheme="minorEastAsia"/>
        </w:rPr>
      </w:pPr>
      <w:r>
        <w:rPr>
          <w:rFonts w:eastAsiaTheme="minorEastAsia"/>
        </w:rPr>
        <w:t>积极创造条件，帮助教师参加学校及国家举办的各类讲课技能、多媒体大赛，指导大学生科技创新实践，专业教师教学科研能力持续提高，获得较好效果。李天华、刘平指导的本科毕业论文获山东农业大学优秀学士学位。参加国内外学术会议6人次，发表高水平学术论文20余篇，2022年新增科研项目6项。申请教研课题2项。</w:t>
      </w:r>
    </w:p>
    <w:p>
      <w:pPr>
        <w:pStyle w:val="31"/>
        <w:spacing w:line="400" w:lineRule="exact"/>
        <w:ind w:firstLine="480"/>
        <w:rPr>
          <w:rFonts w:eastAsiaTheme="minorEastAsia"/>
        </w:rPr>
      </w:pPr>
      <w:r>
        <w:rPr>
          <w:rFonts w:eastAsiaTheme="minorEastAsia"/>
        </w:rPr>
        <w:t>2022年，邀请多个国内知名科研院所和龙头企业知名专家，如山东理工大学的刁培松教授、山东农机院杨化伟研究员、大牧人机械（胶州）公司副总裁李修松博士等来校进行学术交流并做专业学术报告。</w:t>
      </w:r>
    </w:p>
    <w:p>
      <w:pPr>
        <w:pStyle w:val="31"/>
        <w:spacing w:line="400" w:lineRule="exact"/>
        <w:ind w:firstLine="480"/>
        <w:rPr>
          <w:rFonts w:eastAsiaTheme="minorEastAsia"/>
        </w:rPr>
      </w:pPr>
      <w:r>
        <w:rPr>
          <w:rFonts w:eastAsiaTheme="minorEastAsia"/>
        </w:rPr>
        <w:t>专业任课教师极为重视现代教学技术在课堂教学中的应用，积极参加校校青年教师讲课技能大赛等，努力提高自身素质及课堂教学技能。教学手段上，充分利用多媒体教室、一体化教室、实训基地以及实训中心等一切有利条件来辅助教学。</w:t>
      </w:r>
    </w:p>
    <w:p>
      <w:pPr>
        <w:pStyle w:val="5"/>
        <w:spacing w:before="93" w:after="93"/>
        <w:ind w:firstLine="560"/>
      </w:pPr>
      <w:bookmarkStart w:id="362" w:name="_Toc21299"/>
      <w:r>
        <w:rPr>
          <w:rFonts w:hint="eastAsia"/>
        </w:rPr>
        <w:t>四、</w:t>
      </w:r>
      <w:r>
        <w:t>培养机制与特色（产学研协同育人机制、合作办学、教学管理等）</w:t>
      </w:r>
      <w:bookmarkEnd w:id="362"/>
    </w:p>
    <w:p>
      <w:pPr>
        <w:pStyle w:val="31"/>
        <w:spacing w:line="400" w:lineRule="exact"/>
        <w:ind w:firstLine="480"/>
        <w:rPr>
          <w:rFonts w:eastAsiaTheme="minorEastAsia"/>
        </w:rPr>
      </w:pPr>
      <w:r>
        <w:rPr>
          <w:rFonts w:eastAsiaTheme="minorEastAsia"/>
        </w:rPr>
        <w:t>在多年的专业建设过程中，我们一直秉承</w:t>
      </w:r>
      <w:r>
        <w:rPr>
          <w:rFonts w:hint="eastAsia" w:eastAsiaTheme="minorEastAsia"/>
        </w:rPr>
        <w:t>“</w:t>
      </w:r>
      <w:r>
        <w:rPr>
          <w:rFonts w:eastAsiaTheme="minorEastAsia"/>
        </w:rPr>
        <w:t>立足山东，面向全国，服务国家自动化和智能化；立足基层，面向生产、建设、管理和服务第一线</w:t>
      </w:r>
      <w:r>
        <w:rPr>
          <w:rFonts w:hint="eastAsia" w:eastAsiaTheme="minorEastAsia"/>
        </w:rPr>
        <w:t>”</w:t>
      </w:r>
      <w:r>
        <w:rPr>
          <w:rFonts w:eastAsiaTheme="minorEastAsia"/>
        </w:rPr>
        <w:t>的办学定位；坚持</w:t>
      </w:r>
      <w:r>
        <w:rPr>
          <w:rFonts w:hint="eastAsia" w:eastAsiaTheme="minorEastAsia"/>
        </w:rPr>
        <w:t>“</w:t>
      </w:r>
      <w:r>
        <w:rPr>
          <w:rFonts w:eastAsiaTheme="minorEastAsia"/>
        </w:rPr>
        <w:t>以学为本，以体为用，理论联系实践</w:t>
      </w:r>
      <w:r>
        <w:rPr>
          <w:rFonts w:hint="eastAsia" w:eastAsiaTheme="minorEastAsia"/>
        </w:rPr>
        <w:t>”</w:t>
      </w:r>
      <w:r>
        <w:rPr>
          <w:rFonts w:eastAsiaTheme="minorEastAsia"/>
        </w:rPr>
        <w:t>的专业指导思想；以</w:t>
      </w:r>
      <w:r>
        <w:rPr>
          <w:rFonts w:hint="eastAsia" w:eastAsiaTheme="minorEastAsia"/>
        </w:rPr>
        <w:t>“</w:t>
      </w:r>
      <w:r>
        <w:rPr>
          <w:rFonts w:eastAsiaTheme="minorEastAsia"/>
        </w:rPr>
        <w:t>教、学、做、知识、能力、素质</w:t>
      </w:r>
      <w:r>
        <w:rPr>
          <w:rFonts w:hint="eastAsia" w:eastAsiaTheme="minorEastAsia"/>
        </w:rPr>
        <w:t>”</w:t>
      </w:r>
      <w:r>
        <w:rPr>
          <w:rFonts w:eastAsiaTheme="minorEastAsia"/>
        </w:rPr>
        <w:t>六位一体教学方法为突破口，加强对师资、授课、实验等教学条件的管理与完善；以</w:t>
      </w:r>
      <w:r>
        <w:rPr>
          <w:rFonts w:hint="eastAsia" w:eastAsiaTheme="minorEastAsia"/>
        </w:rPr>
        <w:t>“</w:t>
      </w:r>
      <w:r>
        <w:rPr>
          <w:rFonts w:eastAsiaTheme="minorEastAsia"/>
        </w:rPr>
        <w:t>校企合作办学、重视国际交流、提高学术氛围、强化学生素质</w:t>
      </w:r>
      <w:r>
        <w:rPr>
          <w:rFonts w:hint="eastAsia" w:eastAsiaTheme="minorEastAsia"/>
        </w:rPr>
        <w:t>”</w:t>
      </w:r>
      <w:r>
        <w:rPr>
          <w:rFonts w:eastAsiaTheme="minorEastAsia"/>
        </w:rPr>
        <w:t>为原则，强化办学特色。</w:t>
      </w:r>
    </w:p>
    <w:p>
      <w:pPr>
        <w:pStyle w:val="31"/>
        <w:spacing w:line="400" w:lineRule="exact"/>
        <w:ind w:firstLine="480"/>
        <w:rPr>
          <w:rFonts w:eastAsiaTheme="minorEastAsia"/>
        </w:rPr>
      </w:pPr>
      <w:r>
        <w:rPr>
          <w:rFonts w:eastAsiaTheme="minorEastAsia"/>
        </w:rPr>
        <w:t>自动化专业建设过程中，极为重视产学研协同育人机制的构建与实施，首先选派多名骨干教师到相关高校、企业及科研院所进行博士后工作，强化与有关单位的技术合作。多名专业骨干教师通过线上和线下相结合的方式，参加国内农业装备展览、学术会议等20余次。然后，选派多名骨干教师到校外教学科研就业实践基地进行技术服务，侯加林教授就大蒜、大葱生产全程机械化等到玛利亚、华龙等公司进行调研和技术交流，闫银发老师到潍坊海林、圣川机械有限公司、莒县海通等就配肥开沟施肥机、小蚕省力化机械化饲育等技术问题与企业负责人和技术人员进行了多次讨论。</w:t>
      </w:r>
    </w:p>
    <w:p>
      <w:pPr>
        <w:pStyle w:val="31"/>
        <w:spacing w:line="400" w:lineRule="exact"/>
        <w:ind w:firstLine="480"/>
        <w:rPr>
          <w:rFonts w:eastAsiaTheme="minorEastAsia"/>
        </w:rPr>
      </w:pPr>
      <w:r>
        <w:rPr>
          <w:rFonts w:eastAsiaTheme="minorEastAsia"/>
        </w:rPr>
        <w:t>合作办学方面，聘任校外13位专家及校内8名骨干教师为</w:t>
      </w:r>
      <w:r>
        <w:rPr>
          <w:rFonts w:hint="eastAsia" w:eastAsiaTheme="minorEastAsia"/>
        </w:rPr>
        <w:t>“</w:t>
      </w:r>
      <w:r>
        <w:rPr>
          <w:rFonts w:eastAsiaTheme="minorEastAsia"/>
        </w:rPr>
        <w:t>大学生卓越工程师班</w:t>
      </w:r>
      <w:r>
        <w:rPr>
          <w:rFonts w:hint="eastAsia" w:eastAsiaTheme="minorEastAsia"/>
        </w:rPr>
        <w:t>”</w:t>
      </w:r>
      <w:r>
        <w:rPr>
          <w:rFonts w:eastAsiaTheme="minorEastAsia"/>
        </w:rPr>
        <w:t>指导教师：</w:t>
      </w:r>
    </w:p>
    <w:p>
      <w:pPr>
        <w:pStyle w:val="31"/>
        <w:spacing w:line="400" w:lineRule="exact"/>
        <w:ind w:firstLine="480"/>
        <w:rPr>
          <w:rFonts w:eastAsiaTheme="minorEastAsia"/>
        </w:rPr>
      </w:pPr>
      <w:r>
        <w:rPr>
          <w:rFonts w:eastAsiaTheme="minorEastAsia"/>
        </w:rPr>
        <w:t>校外导师：</w:t>
      </w:r>
    </w:p>
    <w:p>
      <w:pPr>
        <w:pStyle w:val="31"/>
        <w:spacing w:line="400" w:lineRule="exact"/>
        <w:ind w:firstLine="480"/>
        <w:rPr>
          <w:rFonts w:eastAsiaTheme="minorEastAsia"/>
        </w:rPr>
      </w:pPr>
      <w:r>
        <w:rPr>
          <w:rFonts w:eastAsiaTheme="minorEastAsia"/>
        </w:rPr>
        <w:t>泰安华鲁锻压机床有限公司董事长：刘庆印；</w:t>
      </w:r>
    </w:p>
    <w:p>
      <w:pPr>
        <w:pStyle w:val="31"/>
        <w:spacing w:line="400" w:lineRule="exact"/>
        <w:ind w:firstLine="480"/>
        <w:rPr>
          <w:rFonts w:eastAsiaTheme="minorEastAsia"/>
        </w:rPr>
      </w:pPr>
      <w:r>
        <w:rPr>
          <w:rFonts w:eastAsiaTheme="minorEastAsia"/>
        </w:rPr>
        <w:t>中国重汽集团泰安五岳专用汽车有限公司副总经理：宫学民、总工李耐文；</w:t>
      </w:r>
    </w:p>
    <w:p>
      <w:pPr>
        <w:pStyle w:val="31"/>
        <w:spacing w:line="400" w:lineRule="exact"/>
        <w:ind w:firstLine="480"/>
        <w:rPr>
          <w:rFonts w:eastAsiaTheme="minorEastAsia"/>
        </w:rPr>
      </w:pPr>
      <w:r>
        <w:rPr>
          <w:rFonts w:eastAsiaTheme="minorEastAsia"/>
        </w:rPr>
        <w:t>泰安嘉和重工股份有限公司总经理：安宝峰、总工姚庆昌；</w:t>
      </w:r>
    </w:p>
    <w:p>
      <w:pPr>
        <w:pStyle w:val="31"/>
        <w:spacing w:line="400" w:lineRule="exact"/>
        <w:ind w:firstLine="480"/>
        <w:rPr>
          <w:rFonts w:eastAsiaTheme="minorEastAsia"/>
        </w:rPr>
      </w:pPr>
      <w:r>
        <w:rPr>
          <w:rFonts w:eastAsiaTheme="minorEastAsia"/>
        </w:rPr>
        <w:t>泰安海威数控机床有限公司总经理：吴士奎；</w:t>
      </w:r>
    </w:p>
    <w:p>
      <w:pPr>
        <w:pStyle w:val="31"/>
        <w:spacing w:line="400" w:lineRule="exact"/>
        <w:ind w:firstLine="480"/>
        <w:rPr>
          <w:rFonts w:eastAsiaTheme="minorEastAsia"/>
        </w:rPr>
      </w:pPr>
      <w:r>
        <w:rPr>
          <w:rFonts w:eastAsiaTheme="minorEastAsia"/>
        </w:rPr>
        <w:t>泰安大源机械有限公司总经理：张增堂；</w:t>
      </w:r>
    </w:p>
    <w:p>
      <w:pPr>
        <w:pStyle w:val="31"/>
        <w:spacing w:line="400" w:lineRule="exact"/>
        <w:ind w:firstLine="480"/>
        <w:rPr>
          <w:rFonts w:eastAsiaTheme="minorEastAsia"/>
        </w:rPr>
      </w:pPr>
      <w:r>
        <w:rPr>
          <w:rFonts w:eastAsiaTheme="minorEastAsia"/>
        </w:rPr>
        <w:t>山东恒通膨胀节制造有限公司董事长：王焕庆；</w:t>
      </w:r>
    </w:p>
    <w:p>
      <w:pPr>
        <w:pStyle w:val="31"/>
        <w:spacing w:line="400" w:lineRule="exact"/>
        <w:ind w:firstLine="480"/>
        <w:rPr>
          <w:rFonts w:eastAsiaTheme="minorEastAsia"/>
        </w:rPr>
      </w:pPr>
      <w:r>
        <w:rPr>
          <w:rFonts w:eastAsiaTheme="minorEastAsia"/>
        </w:rPr>
        <w:t>国泰集团董事长：杨学东；</w:t>
      </w:r>
    </w:p>
    <w:p>
      <w:pPr>
        <w:pStyle w:val="31"/>
        <w:spacing w:line="400" w:lineRule="exact"/>
        <w:ind w:firstLine="480"/>
        <w:rPr>
          <w:rFonts w:eastAsiaTheme="minorEastAsia"/>
        </w:rPr>
      </w:pPr>
      <w:r>
        <w:rPr>
          <w:rFonts w:eastAsiaTheme="minorEastAsia"/>
        </w:rPr>
        <w:t>泰安市电气行业协会副秘书长：胡鹏；</w:t>
      </w:r>
    </w:p>
    <w:p>
      <w:pPr>
        <w:pStyle w:val="31"/>
        <w:spacing w:line="400" w:lineRule="exact"/>
        <w:ind w:firstLine="480"/>
        <w:rPr>
          <w:rFonts w:eastAsiaTheme="minorEastAsia"/>
        </w:rPr>
      </w:pPr>
      <w:r>
        <w:rPr>
          <w:rFonts w:eastAsiaTheme="minorEastAsia"/>
        </w:rPr>
        <w:t>山东华兴机械股份有限公司副总经理：王勇；</w:t>
      </w:r>
    </w:p>
    <w:p>
      <w:pPr>
        <w:pStyle w:val="31"/>
        <w:spacing w:line="400" w:lineRule="exact"/>
        <w:ind w:firstLine="480"/>
        <w:rPr>
          <w:rFonts w:eastAsiaTheme="minorEastAsia"/>
        </w:rPr>
      </w:pPr>
      <w:r>
        <w:rPr>
          <w:rFonts w:eastAsiaTheme="minorEastAsia"/>
        </w:rPr>
        <w:t>山东五征集团有限公司副总经理：吴长民；</w:t>
      </w:r>
    </w:p>
    <w:p>
      <w:pPr>
        <w:pStyle w:val="31"/>
        <w:spacing w:line="400" w:lineRule="exact"/>
        <w:ind w:firstLine="480"/>
        <w:rPr>
          <w:rFonts w:eastAsiaTheme="minorEastAsia"/>
        </w:rPr>
      </w:pPr>
      <w:r>
        <w:rPr>
          <w:rFonts w:eastAsiaTheme="minorEastAsia"/>
        </w:rPr>
        <w:t>山东优宝特机器人有限公司总经理：范永；</w:t>
      </w:r>
    </w:p>
    <w:p>
      <w:pPr>
        <w:pStyle w:val="31"/>
        <w:spacing w:line="400" w:lineRule="exact"/>
        <w:ind w:firstLine="480"/>
        <w:rPr>
          <w:rFonts w:eastAsiaTheme="minorEastAsia"/>
        </w:rPr>
      </w:pPr>
      <w:r>
        <w:rPr>
          <w:rFonts w:eastAsiaTheme="minorEastAsia"/>
        </w:rPr>
        <w:t>校内导师：</w:t>
      </w:r>
    </w:p>
    <w:p>
      <w:pPr>
        <w:pStyle w:val="31"/>
        <w:spacing w:line="400" w:lineRule="exact"/>
        <w:ind w:firstLine="480"/>
        <w:rPr>
          <w:rFonts w:eastAsiaTheme="minorEastAsia"/>
        </w:rPr>
      </w:pPr>
      <w:r>
        <w:rPr>
          <w:rFonts w:eastAsiaTheme="minorEastAsia"/>
        </w:rPr>
        <w:t>苑进、刘雪美、刘双喜、王玉亮、宋占华、李玉道、田富洋、刘林、鹿瑶</w:t>
      </w:r>
    </w:p>
    <w:p>
      <w:pPr>
        <w:pStyle w:val="31"/>
        <w:spacing w:line="400" w:lineRule="exact"/>
        <w:ind w:firstLine="480"/>
        <w:rPr>
          <w:rFonts w:eastAsiaTheme="minorEastAsia"/>
        </w:rPr>
      </w:pPr>
      <w:r>
        <w:rPr>
          <w:rFonts w:eastAsiaTheme="minorEastAsia"/>
        </w:rPr>
        <w:t>在教学管理方面，首先采取的措施是加强学科建设，重视人才培养模式：根据学科和社会发展的需要，适时进行专业设置和专业方向的调整，增强专业的适应性，重视人才培养模式，把素质教育、创新教育贯穿于人才培养的全过程，坚持通识教育与专业教育并重，学问修养与人格修养并重，知识、能力与素质并重；其次在对</w:t>
      </w:r>
      <w:r>
        <w:rPr>
          <w:rFonts w:hint="eastAsia" w:eastAsiaTheme="minorEastAsia"/>
        </w:rPr>
        <w:t>“</w:t>
      </w:r>
      <w:r>
        <w:rPr>
          <w:rFonts w:eastAsiaTheme="minorEastAsia"/>
        </w:rPr>
        <w:t>教</w:t>
      </w:r>
      <w:r>
        <w:rPr>
          <w:rFonts w:hint="eastAsia" w:eastAsiaTheme="minorEastAsia"/>
        </w:rPr>
        <w:t>”</w:t>
      </w:r>
      <w:r>
        <w:rPr>
          <w:rFonts w:eastAsiaTheme="minorEastAsia"/>
        </w:rPr>
        <w:t>的管理的基础上，加强对</w:t>
      </w:r>
      <w:r>
        <w:rPr>
          <w:rFonts w:hint="eastAsia" w:eastAsiaTheme="minorEastAsia"/>
        </w:rPr>
        <w:t>“</w:t>
      </w:r>
      <w:r>
        <w:rPr>
          <w:rFonts w:eastAsiaTheme="minorEastAsia"/>
        </w:rPr>
        <w:t>学</w:t>
      </w:r>
      <w:r>
        <w:rPr>
          <w:rFonts w:hint="eastAsia" w:eastAsiaTheme="minorEastAsia"/>
        </w:rPr>
        <w:t>”</w:t>
      </w:r>
      <w:r>
        <w:rPr>
          <w:rFonts w:eastAsiaTheme="minorEastAsia"/>
        </w:rPr>
        <w:t>的管理：努力为学生营造一个宽松的学习环境，尊重学生身心发展规律，坚持以人为本。论文格式。任何一项教学管理制度、措施都要有利于充分调动学生的积极性和创造性，有利于培养学生的创新精神和实践能力；再次，加强对学教质量的管理：严格执行教学计划与管理制度，重点对教学过程中的教案、教学大纲、教学日历等资料文件加强管理，定期组织教学方面的研讨会，提高广大教师的教学质量；最后，加强教学过程控制：组织各级督导深入课堂，并定期反馈，把教书育人、科研育人、管理育人、服务育人、环境育人有机结合起来。</w:t>
      </w:r>
    </w:p>
    <w:p>
      <w:pPr>
        <w:pStyle w:val="5"/>
        <w:spacing w:before="93" w:after="93"/>
        <w:ind w:firstLine="560"/>
      </w:pPr>
      <w:bookmarkStart w:id="363" w:name="_Toc17442"/>
      <w:r>
        <w:t>五、培养质量（毕业生就业率、就业专业对口率、毕业生发展情况、就业单位满意率、社会对专业的评价、学生就读该专业的意愿等）</w:t>
      </w:r>
      <w:bookmarkEnd w:id="363"/>
    </w:p>
    <w:p>
      <w:pPr>
        <w:pStyle w:val="31"/>
        <w:spacing w:line="400" w:lineRule="exact"/>
        <w:ind w:firstLine="480"/>
        <w:rPr>
          <w:rFonts w:eastAsiaTheme="minorEastAsia"/>
        </w:rPr>
      </w:pPr>
      <w:r>
        <w:rPr>
          <w:rFonts w:eastAsiaTheme="minorEastAsia"/>
        </w:rPr>
        <w:t>迄今为止，我校自动化专业共向国内外相关领域输送了700多名优秀毕业生。毕业生首次就业率高达80%以上，考研率达36%，专业平均就业率在95%左右，就业单位对学生的满意率达到95%以上。2022年，自动化专业就业情况如表3所示。</w:t>
      </w:r>
    </w:p>
    <w:p>
      <w:pPr>
        <w:pStyle w:val="31"/>
        <w:spacing w:line="240" w:lineRule="auto"/>
        <w:ind w:firstLine="0"/>
        <w:jc w:val="center"/>
        <w:rPr>
          <w:rFonts w:eastAsiaTheme="minorEastAsia"/>
          <w:b/>
          <w:bCs/>
          <w:sz w:val="21"/>
          <w:szCs w:val="21"/>
        </w:rPr>
      </w:pPr>
      <w:r>
        <w:rPr>
          <w:rFonts w:eastAsiaTheme="minorEastAsia"/>
          <w:b/>
          <w:bCs/>
          <w:sz w:val="21"/>
          <w:szCs w:val="21"/>
        </w:rPr>
        <w:t>表3  自动化专业2022届毕业生就业情况一览表</w:t>
      </w:r>
    </w:p>
    <w:tbl>
      <w:tblPr>
        <w:tblStyle w:val="17"/>
        <w:tblW w:w="4996" w:type="pct"/>
        <w:jc w:val="center"/>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0"/>
        <w:gridCol w:w="744"/>
        <w:gridCol w:w="633"/>
        <w:gridCol w:w="864"/>
        <w:gridCol w:w="628"/>
        <w:gridCol w:w="513"/>
        <w:gridCol w:w="671"/>
        <w:gridCol w:w="863"/>
        <w:gridCol w:w="399"/>
        <w:gridCol w:w="504"/>
        <w:gridCol w:w="923"/>
        <w:gridCol w:w="515"/>
        <w:gridCol w:w="957"/>
      </w:tblGrid>
      <w:tr>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467" w:type="pct"/>
            <w:vAlign w:val="center"/>
          </w:tcPr>
          <w:p>
            <w:pPr>
              <w:adjustRightInd w:val="0"/>
              <w:snapToGrid w:val="0"/>
              <w:spacing w:line="240" w:lineRule="auto"/>
              <w:ind w:left="-120" w:leftChars="-50" w:right="-120" w:rightChars="-50"/>
              <w:jc w:val="center"/>
              <w:rPr>
                <w:rFonts w:eastAsiaTheme="minorEastAsia"/>
                <w:b/>
                <w:bCs/>
                <w:sz w:val="21"/>
                <w:szCs w:val="21"/>
              </w:rPr>
            </w:pPr>
            <w:r>
              <w:rPr>
                <w:rFonts w:eastAsiaTheme="minorEastAsia"/>
                <w:b/>
                <w:bCs/>
                <w:sz w:val="21"/>
                <w:szCs w:val="21"/>
              </w:rPr>
              <w:t>专  业</w:t>
            </w:r>
          </w:p>
        </w:tc>
        <w:tc>
          <w:tcPr>
            <w:tcW w:w="414" w:type="pct"/>
            <w:vAlign w:val="center"/>
          </w:tcPr>
          <w:p>
            <w:pPr>
              <w:adjustRightInd w:val="0"/>
              <w:snapToGrid w:val="0"/>
              <w:spacing w:line="240" w:lineRule="auto"/>
              <w:ind w:left="-120" w:leftChars="-50" w:right="-120" w:rightChars="-50"/>
              <w:jc w:val="center"/>
              <w:rPr>
                <w:rFonts w:eastAsiaTheme="minorEastAsia"/>
                <w:b/>
                <w:bCs/>
                <w:sz w:val="21"/>
                <w:szCs w:val="21"/>
              </w:rPr>
            </w:pPr>
            <w:r>
              <w:rPr>
                <w:rFonts w:eastAsiaTheme="minorEastAsia"/>
                <w:b/>
                <w:bCs/>
                <w:sz w:val="21"/>
                <w:szCs w:val="21"/>
              </w:rPr>
              <w:t>人数</w:t>
            </w:r>
          </w:p>
        </w:tc>
        <w:tc>
          <w:tcPr>
            <w:tcW w:w="353" w:type="pct"/>
            <w:vAlign w:val="center"/>
          </w:tcPr>
          <w:p>
            <w:pPr>
              <w:adjustRightInd w:val="0"/>
              <w:snapToGrid w:val="0"/>
              <w:spacing w:line="240" w:lineRule="auto"/>
              <w:ind w:left="-120" w:leftChars="-50" w:right="-120" w:rightChars="-50"/>
              <w:jc w:val="center"/>
              <w:rPr>
                <w:rFonts w:eastAsiaTheme="minorEastAsia"/>
                <w:b/>
                <w:bCs/>
                <w:sz w:val="21"/>
                <w:szCs w:val="21"/>
              </w:rPr>
            </w:pPr>
            <w:r>
              <w:rPr>
                <w:rFonts w:eastAsiaTheme="minorEastAsia"/>
                <w:b/>
                <w:bCs/>
                <w:sz w:val="21"/>
                <w:szCs w:val="21"/>
              </w:rPr>
              <w:t>考研</w:t>
            </w:r>
          </w:p>
          <w:p>
            <w:pPr>
              <w:adjustRightInd w:val="0"/>
              <w:snapToGrid w:val="0"/>
              <w:spacing w:line="240" w:lineRule="auto"/>
              <w:ind w:left="-120" w:leftChars="-50" w:right="-120" w:rightChars="-50"/>
              <w:jc w:val="center"/>
              <w:rPr>
                <w:rFonts w:eastAsiaTheme="minorEastAsia"/>
                <w:b/>
                <w:bCs/>
                <w:sz w:val="21"/>
                <w:szCs w:val="21"/>
              </w:rPr>
            </w:pPr>
            <w:r>
              <w:rPr>
                <w:rFonts w:eastAsiaTheme="minorEastAsia"/>
                <w:b/>
                <w:bCs/>
                <w:sz w:val="21"/>
                <w:szCs w:val="21"/>
              </w:rPr>
              <w:t>人数</w:t>
            </w:r>
          </w:p>
        </w:tc>
        <w:tc>
          <w:tcPr>
            <w:tcW w:w="430" w:type="pct"/>
            <w:vAlign w:val="center"/>
          </w:tcPr>
          <w:p>
            <w:pPr>
              <w:adjustRightInd w:val="0"/>
              <w:snapToGrid w:val="0"/>
              <w:spacing w:line="240" w:lineRule="auto"/>
              <w:ind w:left="-120" w:leftChars="-50" w:right="-120" w:rightChars="-50"/>
              <w:jc w:val="center"/>
              <w:rPr>
                <w:rFonts w:eastAsiaTheme="minorEastAsia"/>
                <w:b/>
                <w:bCs/>
                <w:sz w:val="21"/>
                <w:szCs w:val="21"/>
              </w:rPr>
            </w:pPr>
            <w:r>
              <w:rPr>
                <w:rFonts w:eastAsiaTheme="minorEastAsia"/>
                <w:b/>
                <w:bCs/>
                <w:sz w:val="21"/>
                <w:szCs w:val="21"/>
              </w:rPr>
              <w:t>专业</w:t>
            </w:r>
          </w:p>
          <w:p>
            <w:pPr>
              <w:adjustRightInd w:val="0"/>
              <w:snapToGrid w:val="0"/>
              <w:spacing w:line="240" w:lineRule="auto"/>
              <w:ind w:left="-120" w:leftChars="-50" w:right="-120" w:rightChars="-50"/>
              <w:jc w:val="center"/>
              <w:rPr>
                <w:rFonts w:eastAsiaTheme="minorEastAsia"/>
                <w:b/>
                <w:bCs/>
                <w:sz w:val="21"/>
                <w:szCs w:val="21"/>
              </w:rPr>
            </w:pPr>
            <w:r>
              <w:rPr>
                <w:rFonts w:eastAsiaTheme="minorEastAsia"/>
                <w:b/>
                <w:bCs/>
                <w:sz w:val="21"/>
                <w:szCs w:val="21"/>
              </w:rPr>
              <w:t>考研率</w:t>
            </w:r>
          </w:p>
        </w:tc>
        <w:tc>
          <w:tcPr>
            <w:tcW w:w="350" w:type="pct"/>
            <w:vAlign w:val="center"/>
          </w:tcPr>
          <w:p>
            <w:pPr>
              <w:adjustRightInd w:val="0"/>
              <w:snapToGrid w:val="0"/>
              <w:spacing w:line="240" w:lineRule="auto"/>
              <w:ind w:left="-120" w:leftChars="-50" w:right="-120" w:rightChars="-50"/>
              <w:jc w:val="center"/>
              <w:rPr>
                <w:rFonts w:eastAsiaTheme="minorEastAsia"/>
                <w:b/>
                <w:bCs/>
                <w:sz w:val="21"/>
                <w:szCs w:val="21"/>
              </w:rPr>
            </w:pPr>
            <w:r>
              <w:rPr>
                <w:rFonts w:eastAsiaTheme="minorEastAsia"/>
                <w:b/>
                <w:bCs/>
                <w:sz w:val="21"/>
                <w:szCs w:val="21"/>
              </w:rPr>
              <w:t>已签约公务员</w:t>
            </w:r>
          </w:p>
        </w:tc>
        <w:tc>
          <w:tcPr>
            <w:tcW w:w="287" w:type="pct"/>
            <w:vAlign w:val="center"/>
          </w:tcPr>
          <w:p>
            <w:pPr>
              <w:adjustRightInd w:val="0"/>
              <w:snapToGrid w:val="0"/>
              <w:spacing w:line="240" w:lineRule="auto"/>
              <w:ind w:left="-120" w:leftChars="-50" w:right="-120" w:rightChars="-50"/>
              <w:jc w:val="center"/>
              <w:rPr>
                <w:rFonts w:eastAsiaTheme="minorEastAsia"/>
                <w:b/>
                <w:bCs/>
                <w:sz w:val="21"/>
                <w:szCs w:val="21"/>
              </w:rPr>
            </w:pPr>
            <w:r>
              <w:rPr>
                <w:rFonts w:eastAsiaTheme="minorEastAsia"/>
                <w:b/>
                <w:bCs/>
                <w:sz w:val="21"/>
                <w:szCs w:val="21"/>
              </w:rPr>
              <w:t>网上签约</w:t>
            </w:r>
          </w:p>
        </w:tc>
        <w:tc>
          <w:tcPr>
            <w:tcW w:w="374" w:type="pct"/>
            <w:vAlign w:val="center"/>
          </w:tcPr>
          <w:p>
            <w:pPr>
              <w:adjustRightInd w:val="0"/>
              <w:snapToGrid w:val="0"/>
              <w:spacing w:line="240" w:lineRule="auto"/>
              <w:ind w:left="-120" w:leftChars="-50" w:right="-120" w:rightChars="-50"/>
              <w:jc w:val="center"/>
              <w:rPr>
                <w:rFonts w:eastAsiaTheme="minorEastAsia"/>
                <w:b/>
                <w:bCs/>
                <w:sz w:val="21"/>
                <w:szCs w:val="21"/>
              </w:rPr>
            </w:pPr>
            <w:r>
              <w:rPr>
                <w:rFonts w:eastAsiaTheme="minorEastAsia"/>
                <w:b/>
                <w:bCs/>
                <w:sz w:val="21"/>
                <w:szCs w:val="21"/>
              </w:rPr>
              <w:t>合同</w:t>
            </w:r>
          </w:p>
          <w:p>
            <w:pPr>
              <w:adjustRightInd w:val="0"/>
              <w:snapToGrid w:val="0"/>
              <w:spacing w:line="240" w:lineRule="auto"/>
              <w:ind w:left="-120" w:leftChars="-50" w:right="-120" w:rightChars="-50"/>
              <w:jc w:val="center"/>
              <w:rPr>
                <w:rFonts w:eastAsiaTheme="minorEastAsia"/>
                <w:b/>
                <w:bCs/>
                <w:sz w:val="21"/>
                <w:szCs w:val="21"/>
              </w:rPr>
            </w:pPr>
            <w:r>
              <w:rPr>
                <w:rFonts w:eastAsiaTheme="minorEastAsia"/>
                <w:b/>
                <w:bCs/>
                <w:sz w:val="21"/>
                <w:szCs w:val="21"/>
              </w:rPr>
              <w:t>就业</w:t>
            </w:r>
          </w:p>
        </w:tc>
        <w:tc>
          <w:tcPr>
            <w:tcW w:w="480" w:type="pct"/>
            <w:vAlign w:val="center"/>
          </w:tcPr>
          <w:p>
            <w:pPr>
              <w:adjustRightInd w:val="0"/>
              <w:snapToGrid w:val="0"/>
              <w:spacing w:line="240" w:lineRule="auto"/>
              <w:ind w:left="-120" w:leftChars="-50" w:right="-120" w:rightChars="-50"/>
              <w:jc w:val="center"/>
              <w:rPr>
                <w:rFonts w:eastAsiaTheme="minorEastAsia"/>
                <w:b/>
                <w:bCs/>
                <w:sz w:val="21"/>
                <w:szCs w:val="21"/>
              </w:rPr>
            </w:pPr>
            <w:r>
              <w:rPr>
                <w:rFonts w:eastAsiaTheme="minorEastAsia"/>
                <w:b/>
                <w:bCs/>
                <w:sz w:val="21"/>
                <w:szCs w:val="21"/>
              </w:rPr>
              <w:t>非派遣省外就业</w:t>
            </w:r>
          </w:p>
        </w:tc>
        <w:tc>
          <w:tcPr>
            <w:tcW w:w="224" w:type="pct"/>
            <w:vAlign w:val="center"/>
          </w:tcPr>
          <w:p>
            <w:pPr>
              <w:adjustRightInd w:val="0"/>
              <w:snapToGrid w:val="0"/>
              <w:spacing w:line="240" w:lineRule="auto"/>
              <w:ind w:left="-120" w:leftChars="-50" w:right="-120" w:rightChars="-50"/>
              <w:jc w:val="center"/>
              <w:rPr>
                <w:rFonts w:eastAsiaTheme="minorEastAsia"/>
                <w:b/>
                <w:bCs/>
                <w:sz w:val="21"/>
                <w:szCs w:val="21"/>
              </w:rPr>
            </w:pPr>
            <w:r>
              <w:rPr>
                <w:rFonts w:eastAsiaTheme="minorEastAsia"/>
                <w:b/>
                <w:bCs/>
                <w:sz w:val="21"/>
                <w:szCs w:val="21"/>
              </w:rPr>
              <w:t>出国</w:t>
            </w:r>
          </w:p>
        </w:tc>
        <w:tc>
          <w:tcPr>
            <w:tcW w:w="282" w:type="pct"/>
            <w:vAlign w:val="center"/>
          </w:tcPr>
          <w:p>
            <w:pPr>
              <w:adjustRightInd w:val="0"/>
              <w:snapToGrid w:val="0"/>
              <w:spacing w:line="240" w:lineRule="auto"/>
              <w:ind w:left="-120" w:leftChars="-50" w:right="-120" w:rightChars="-50"/>
              <w:jc w:val="center"/>
              <w:rPr>
                <w:rFonts w:eastAsiaTheme="minorEastAsia"/>
                <w:b/>
                <w:bCs/>
                <w:sz w:val="21"/>
                <w:szCs w:val="21"/>
              </w:rPr>
            </w:pPr>
            <w:r>
              <w:rPr>
                <w:rFonts w:eastAsiaTheme="minorEastAsia"/>
                <w:b/>
                <w:bCs/>
                <w:sz w:val="21"/>
                <w:szCs w:val="21"/>
              </w:rPr>
              <w:t>自主创业</w:t>
            </w:r>
          </w:p>
        </w:tc>
        <w:tc>
          <w:tcPr>
            <w:tcW w:w="513" w:type="pct"/>
            <w:vAlign w:val="center"/>
          </w:tcPr>
          <w:p>
            <w:pPr>
              <w:adjustRightInd w:val="0"/>
              <w:snapToGrid w:val="0"/>
              <w:spacing w:line="240" w:lineRule="auto"/>
              <w:ind w:left="-120" w:leftChars="-50" w:right="-120" w:rightChars="-50"/>
              <w:jc w:val="center"/>
              <w:rPr>
                <w:rFonts w:eastAsiaTheme="minorEastAsia"/>
                <w:b/>
                <w:bCs/>
                <w:sz w:val="21"/>
                <w:szCs w:val="21"/>
              </w:rPr>
            </w:pPr>
            <w:r>
              <w:rPr>
                <w:rFonts w:eastAsiaTheme="minorEastAsia"/>
                <w:b/>
                <w:bCs/>
                <w:sz w:val="21"/>
                <w:szCs w:val="21"/>
              </w:rPr>
              <w:t>专业签</w:t>
            </w:r>
          </w:p>
          <w:p>
            <w:pPr>
              <w:adjustRightInd w:val="0"/>
              <w:snapToGrid w:val="0"/>
              <w:spacing w:line="240" w:lineRule="auto"/>
              <w:ind w:left="-120" w:leftChars="-50" w:right="-120" w:rightChars="-50"/>
              <w:jc w:val="center"/>
              <w:rPr>
                <w:rFonts w:eastAsiaTheme="minorEastAsia"/>
                <w:b/>
                <w:bCs/>
                <w:sz w:val="21"/>
                <w:szCs w:val="21"/>
              </w:rPr>
            </w:pPr>
            <w:r>
              <w:rPr>
                <w:rFonts w:eastAsiaTheme="minorEastAsia"/>
                <w:b/>
                <w:bCs/>
                <w:sz w:val="21"/>
                <w:szCs w:val="21"/>
              </w:rPr>
              <w:t>约率</w:t>
            </w:r>
          </w:p>
        </w:tc>
        <w:tc>
          <w:tcPr>
            <w:tcW w:w="288" w:type="pct"/>
            <w:vAlign w:val="center"/>
          </w:tcPr>
          <w:p>
            <w:pPr>
              <w:adjustRightInd w:val="0"/>
              <w:snapToGrid w:val="0"/>
              <w:spacing w:line="240" w:lineRule="auto"/>
              <w:ind w:left="-120" w:leftChars="-50" w:right="-120" w:rightChars="-50"/>
              <w:jc w:val="center"/>
              <w:rPr>
                <w:rFonts w:eastAsiaTheme="minorEastAsia"/>
                <w:b/>
                <w:bCs/>
                <w:sz w:val="21"/>
                <w:szCs w:val="21"/>
              </w:rPr>
            </w:pPr>
            <w:r>
              <w:rPr>
                <w:rFonts w:eastAsiaTheme="minorEastAsia"/>
                <w:b/>
                <w:bCs/>
                <w:sz w:val="21"/>
                <w:szCs w:val="21"/>
              </w:rPr>
              <w:t>灵活</w:t>
            </w:r>
          </w:p>
          <w:p>
            <w:pPr>
              <w:adjustRightInd w:val="0"/>
              <w:snapToGrid w:val="0"/>
              <w:spacing w:line="240" w:lineRule="auto"/>
              <w:ind w:left="-120" w:leftChars="-50" w:right="-120" w:rightChars="-50"/>
              <w:jc w:val="center"/>
              <w:rPr>
                <w:rFonts w:eastAsiaTheme="minorEastAsia"/>
                <w:b/>
                <w:bCs/>
                <w:sz w:val="21"/>
                <w:szCs w:val="21"/>
              </w:rPr>
            </w:pPr>
            <w:r>
              <w:rPr>
                <w:rFonts w:eastAsiaTheme="minorEastAsia"/>
                <w:b/>
                <w:bCs/>
                <w:sz w:val="21"/>
                <w:szCs w:val="21"/>
              </w:rPr>
              <w:t>就业</w:t>
            </w:r>
          </w:p>
        </w:tc>
        <w:tc>
          <w:tcPr>
            <w:tcW w:w="531" w:type="pct"/>
            <w:vAlign w:val="center"/>
          </w:tcPr>
          <w:p>
            <w:pPr>
              <w:adjustRightInd w:val="0"/>
              <w:snapToGrid w:val="0"/>
              <w:spacing w:line="240" w:lineRule="auto"/>
              <w:ind w:left="-120" w:leftChars="-50" w:right="-120" w:rightChars="-50"/>
              <w:jc w:val="center"/>
              <w:rPr>
                <w:rFonts w:eastAsiaTheme="minorEastAsia"/>
                <w:b/>
                <w:bCs/>
                <w:sz w:val="21"/>
                <w:szCs w:val="21"/>
              </w:rPr>
            </w:pPr>
            <w:r>
              <w:rPr>
                <w:rFonts w:eastAsiaTheme="minorEastAsia"/>
                <w:b/>
                <w:bCs/>
                <w:sz w:val="21"/>
                <w:szCs w:val="21"/>
              </w:rPr>
              <w:t>专业就业率</w:t>
            </w:r>
          </w:p>
        </w:tc>
      </w:tr>
      <w:tr>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467" w:type="pct"/>
            <w:vAlign w:val="center"/>
          </w:tcPr>
          <w:p>
            <w:pPr>
              <w:spacing w:line="240" w:lineRule="auto"/>
              <w:ind w:left="-120" w:leftChars="-50" w:right="-120" w:rightChars="-50"/>
              <w:jc w:val="center"/>
              <w:rPr>
                <w:rFonts w:eastAsiaTheme="minorEastAsia"/>
                <w:sz w:val="21"/>
                <w:szCs w:val="21"/>
              </w:rPr>
            </w:pPr>
            <w:r>
              <w:rPr>
                <w:rFonts w:eastAsiaTheme="minorEastAsia"/>
                <w:sz w:val="21"/>
                <w:szCs w:val="21"/>
              </w:rPr>
              <w:t>自动化</w:t>
            </w:r>
          </w:p>
        </w:tc>
        <w:tc>
          <w:tcPr>
            <w:tcW w:w="414" w:type="pct"/>
            <w:vAlign w:val="center"/>
          </w:tcPr>
          <w:p>
            <w:pPr>
              <w:spacing w:line="240" w:lineRule="auto"/>
              <w:jc w:val="center"/>
              <w:rPr>
                <w:rFonts w:eastAsiaTheme="minorEastAsia"/>
                <w:sz w:val="21"/>
                <w:szCs w:val="21"/>
              </w:rPr>
            </w:pPr>
            <w:r>
              <w:rPr>
                <w:rFonts w:eastAsiaTheme="minorEastAsia"/>
                <w:sz w:val="21"/>
                <w:szCs w:val="21"/>
              </w:rPr>
              <w:t>51</w:t>
            </w:r>
          </w:p>
        </w:tc>
        <w:tc>
          <w:tcPr>
            <w:tcW w:w="353" w:type="pct"/>
            <w:vAlign w:val="center"/>
          </w:tcPr>
          <w:p>
            <w:pPr>
              <w:spacing w:line="240" w:lineRule="auto"/>
              <w:jc w:val="center"/>
              <w:rPr>
                <w:rFonts w:eastAsiaTheme="minorEastAsia"/>
                <w:sz w:val="21"/>
                <w:szCs w:val="21"/>
              </w:rPr>
            </w:pPr>
            <w:r>
              <w:rPr>
                <w:rFonts w:eastAsiaTheme="minorEastAsia"/>
                <w:sz w:val="21"/>
                <w:szCs w:val="21"/>
              </w:rPr>
              <w:t>20</w:t>
            </w:r>
          </w:p>
        </w:tc>
        <w:tc>
          <w:tcPr>
            <w:tcW w:w="430" w:type="pct"/>
            <w:vAlign w:val="center"/>
          </w:tcPr>
          <w:p>
            <w:pPr>
              <w:spacing w:line="240" w:lineRule="auto"/>
              <w:jc w:val="center"/>
              <w:rPr>
                <w:rFonts w:eastAsiaTheme="minorEastAsia"/>
                <w:sz w:val="21"/>
                <w:szCs w:val="21"/>
              </w:rPr>
            </w:pPr>
            <w:r>
              <w:rPr>
                <w:rFonts w:eastAsiaTheme="minorEastAsia"/>
                <w:sz w:val="21"/>
                <w:szCs w:val="21"/>
              </w:rPr>
              <w:t>36.36%</w:t>
            </w:r>
          </w:p>
        </w:tc>
        <w:tc>
          <w:tcPr>
            <w:tcW w:w="350" w:type="pct"/>
            <w:vAlign w:val="center"/>
          </w:tcPr>
          <w:p>
            <w:pPr>
              <w:spacing w:line="240" w:lineRule="auto"/>
              <w:jc w:val="center"/>
              <w:rPr>
                <w:rFonts w:eastAsiaTheme="minorEastAsia"/>
                <w:sz w:val="21"/>
                <w:szCs w:val="21"/>
              </w:rPr>
            </w:pPr>
            <w:r>
              <w:rPr>
                <w:rFonts w:eastAsiaTheme="minorEastAsia"/>
                <w:sz w:val="21"/>
                <w:szCs w:val="21"/>
              </w:rPr>
              <w:t>0</w:t>
            </w:r>
          </w:p>
        </w:tc>
        <w:tc>
          <w:tcPr>
            <w:tcW w:w="287" w:type="pct"/>
            <w:vAlign w:val="center"/>
          </w:tcPr>
          <w:p>
            <w:pPr>
              <w:spacing w:line="240" w:lineRule="auto"/>
              <w:jc w:val="center"/>
              <w:rPr>
                <w:rFonts w:eastAsiaTheme="minorEastAsia"/>
                <w:sz w:val="21"/>
                <w:szCs w:val="21"/>
              </w:rPr>
            </w:pPr>
            <w:r>
              <w:rPr>
                <w:rFonts w:eastAsiaTheme="minorEastAsia"/>
                <w:sz w:val="21"/>
                <w:szCs w:val="21"/>
              </w:rPr>
              <w:t>19</w:t>
            </w:r>
          </w:p>
        </w:tc>
        <w:tc>
          <w:tcPr>
            <w:tcW w:w="374" w:type="pct"/>
            <w:vAlign w:val="center"/>
          </w:tcPr>
          <w:p>
            <w:pPr>
              <w:spacing w:line="240" w:lineRule="auto"/>
              <w:jc w:val="center"/>
              <w:rPr>
                <w:rFonts w:eastAsiaTheme="minorEastAsia"/>
                <w:sz w:val="21"/>
                <w:szCs w:val="21"/>
              </w:rPr>
            </w:pPr>
            <w:r>
              <w:rPr>
                <w:rFonts w:eastAsiaTheme="minorEastAsia"/>
                <w:sz w:val="21"/>
                <w:szCs w:val="21"/>
              </w:rPr>
              <w:t>0</w:t>
            </w:r>
          </w:p>
        </w:tc>
        <w:tc>
          <w:tcPr>
            <w:tcW w:w="480" w:type="pct"/>
            <w:vAlign w:val="center"/>
          </w:tcPr>
          <w:p>
            <w:pPr>
              <w:spacing w:line="240" w:lineRule="auto"/>
              <w:jc w:val="center"/>
              <w:rPr>
                <w:rFonts w:eastAsiaTheme="minorEastAsia"/>
                <w:sz w:val="21"/>
                <w:szCs w:val="21"/>
              </w:rPr>
            </w:pPr>
            <w:r>
              <w:rPr>
                <w:rFonts w:eastAsiaTheme="minorEastAsia"/>
                <w:sz w:val="21"/>
                <w:szCs w:val="21"/>
              </w:rPr>
              <w:t>1</w:t>
            </w:r>
          </w:p>
        </w:tc>
        <w:tc>
          <w:tcPr>
            <w:tcW w:w="224" w:type="pct"/>
            <w:vAlign w:val="center"/>
          </w:tcPr>
          <w:p>
            <w:pPr>
              <w:spacing w:line="240" w:lineRule="auto"/>
              <w:jc w:val="center"/>
              <w:rPr>
                <w:rFonts w:eastAsiaTheme="minorEastAsia"/>
                <w:sz w:val="21"/>
                <w:szCs w:val="21"/>
              </w:rPr>
            </w:pPr>
            <w:r>
              <w:rPr>
                <w:rFonts w:eastAsiaTheme="minorEastAsia"/>
                <w:sz w:val="21"/>
                <w:szCs w:val="21"/>
              </w:rPr>
              <w:t>0</w:t>
            </w:r>
          </w:p>
        </w:tc>
        <w:tc>
          <w:tcPr>
            <w:tcW w:w="282" w:type="pct"/>
            <w:vAlign w:val="center"/>
          </w:tcPr>
          <w:p>
            <w:pPr>
              <w:spacing w:line="240" w:lineRule="auto"/>
              <w:jc w:val="center"/>
              <w:rPr>
                <w:rFonts w:eastAsiaTheme="minorEastAsia"/>
                <w:sz w:val="21"/>
                <w:szCs w:val="21"/>
              </w:rPr>
            </w:pPr>
            <w:r>
              <w:rPr>
                <w:rFonts w:eastAsiaTheme="minorEastAsia"/>
                <w:sz w:val="21"/>
                <w:szCs w:val="21"/>
              </w:rPr>
              <w:t>0</w:t>
            </w:r>
          </w:p>
        </w:tc>
        <w:tc>
          <w:tcPr>
            <w:tcW w:w="513" w:type="pct"/>
            <w:vAlign w:val="center"/>
          </w:tcPr>
          <w:p>
            <w:pPr>
              <w:spacing w:line="240" w:lineRule="auto"/>
              <w:ind w:left="-120" w:leftChars="-50" w:right="-120" w:rightChars="-50"/>
              <w:jc w:val="center"/>
              <w:rPr>
                <w:rFonts w:eastAsiaTheme="minorEastAsia"/>
                <w:sz w:val="21"/>
                <w:szCs w:val="21"/>
              </w:rPr>
            </w:pPr>
            <w:r>
              <w:rPr>
                <w:rFonts w:eastAsiaTheme="minorEastAsia"/>
                <w:sz w:val="21"/>
                <w:szCs w:val="21"/>
              </w:rPr>
              <w:t>92.73%</w:t>
            </w:r>
          </w:p>
        </w:tc>
        <w:tc>
          <w:tcPr>
            <w:tcW w:w="288" w:type="pct"/>
            <w:vAlign w:val="center"/>
          </w:tcPr>
          <w:p>
            <w:pPr>
              <w:spacing w:line="240" w:lineRule="auto"/>
              <w:ind w:left="-120" w:leftChars="-50" w:right="-120" w:rightChars="-50"/>
              <w:jc w:val="center"/>
              <w:rPr>
                <w:rFonts w:eastAsiaTheme="minorEastAsia"/>
                <w:sz w:val="21"/>
                <w:szCs w:val="21"/>
              </w:rPr>
            </w:pPr>
            <w:r>
              <w:rPr>
                <w:rFonts w:eastAsiaTheme="minorEastAsia"/>
                <w:sz w:val="21"/>
                <w:szCs w:val="21"/>
              </w:rPr>
              <w:t>12</w:t>
            </w:r>
          </w:p>
        </w:tc>
        <w:tc>
          <w:tcPr>
            <w:tcW w:w="531" w:type="pct"/>
            <w:vAlign w:val="center"/>
          </w:tcPr>
          <w:p>
            <w:pPr>
              <w:spacing w:line="240" w:lineRule="auto"/>
              <w:jc w:val="center"/>
              <w:rPr>
                <w:rFonts w:eastAsiaTheme="minorEastAsia"/>
                <w:sz w:val="21"/>
                <w:szCs w:val="21"/>
              </w:rPr>
            </w:pPr>
            <w:r>
              <w:rPr>
                <w:rFonts w:eastAsiaTheme="minorEastAsia"/>
                <w:sz w:val="21"/>
                <w:szCs w:val="21"/>
              </w:rPr>
              <w:t>92.73%</w:t>
            </w:r>
          </w:p>
        </w:tc>
      </w:tr>
    </w:tbl>
    <w:p>
      <w:pPr>
        <w:pStyle w:val="31"/>
        <w:spacing w:line="400" w:lineRule="exact"/>
        <w:ind w:firstLine="480"/>
        <w:rPr>
          <w:rFonts w:eastAsiaTheme="minorEastAsia"/>
        </w:rPr>
      </w:pPr>
      <w:r>
        <w:rPr>
          <w:rFonts w:eastAsiaTheme="minorEastAsia"/>
        </w:rPr>
        <w:t>2022年，自动化专业就业情况较好，考研与企业就业是当前大学生就业的两个主渠道，占到了毕业生的九成多，考研、出国升学率达36%。就今年毕业生就业去向来看，大部分学生主要从事自动化设计、维修等工作，就业专业对口率达到90%以上。</w:t>
      </w:r>
    </w:p>
    <w:p>
      <w:pPr>
        <w:pStyle w:val="31"/>
        <w:spacing w:line="400" w:lineRule="exact"/>
        <w:ind w:firstLine="480"/>
        <w:rPr>
          <w:rFonts w:eastAsiaTheme="minorEastAsia"/>
        </w:rPr>
      </w:pPr>
      <w:r>
        <w:rPr>
          <w:rFonts w:eastAsiaTheme="minorEastAsia"/>
        </w:rPr>
        <w:t>目前我国正面临着经济发展转型、结构调整及重视发展质量的巨大机遇和挑战，如何在与世界他国融合中完成自我升级，自动化已成为我国产业升级的必然趋势，因此，对自动化专业人才的需求将极为迫切，正是看到了这一极有发展潜力的方向，学生考取本专业意愿极为强烈，从2005年本专业就实现一本第一志愿招生，且录取分数线高于招生提档线15分以上，学生的综合素质有较好的基础，这为本专业学生培养质量提高奠定坚实基础。</w:t>
      </w:r>
    </w:p>
    <w:p>
      <w:pPr>
        <w:pStyle w:val="31"/>
        <w:spacing w:line="400" w:lineRule="exact"/>
        <w:ind w:firstLine="480"/>
        <w:rPr>
          <w:rFonts w:eastAsiaTheme="minorEastAsia"/>
        </w:rPr>
      </w:pPr>
      <w:r>
        <w:rPr>
          <w:rFonts w:eastAsiaTheme="minorEastAsia"/>
        </w:rPr>
        <w:t>社会对专业的评价及要求是：自动化专业毕业生应能很快适应自动化、智能化的要求，能够胜任自动化生产的数控程序编制及自动控制操作、检测、检验、调试、机电设备的科学管理、故障诊断与维修等技术含量较高的工作岗位，成为能动手实干的工程技术人员和主力军。</w:t>
      </w:r>
    </w:p>
    <w:p>
      <w:pPr>
        <w:pStyle w:val="31"/>
        <w:spacing w:line="400" w:lineRule="exact"/>
        <w:ind w:firstLine="480"/>
        <w:rPr>
          <w:rFonts w:eastAsiaTheme="minorEastAsia"/>
        </w:rPr>
      </w:pPr>
      <w:r>
        <w:rPr>
          <w:rFonts w:eastAsiaTheme="minorEastAsia"/>
        </w:rPr>
        <w:t>机电工程专业职业岗位(群)及工作任务的知识、能力和素质的要求是：</w:t>
      </w:r>
    </w:p>
    <w:p>
      <w:pPr>
        <w:pStyle w:val="31"/>
        <w:spacing w:line="400" w:lineRule="exact"/>
        <w:ind w:firstLine="480"/>
        <w:rPr>
          <w:rFonts w:eastAsiaTheme="minorEastAsia"/>
        </w:rPr>
      </w:pPr>
      <w:r>
        <w:rPr>
          <w:rFonts w:eastAsiaTheme="minorEastAsia"/>
        </w:rPr>
        <w:t>1.知识结构</w:t>
      </w:r>
    </w:p>
    <w:p>
      <w:pPr>
        <w:pStyle w:val="31"/>
        <w:spacing w:line="400" w:lineRule="exact"/>
        <w:ind w:firstLine="480"/>
        <w:rPr>
          <w:rFonts w:eastAsiaTheme="minorEastAsia"/>
        </w:rPr>
      </w:pPr>
      <w:r>
        <w:rPr>
          <w:rFonts w:eastAsiaTheme="minorEastAsia"/>
        </w:rPr>
        <w:t>(1)具有必须的文化基础知识；</w:t>
      </w:r>
    </w:p>
    <w:p>
      <w:pPr>
        <w:pStyle w:val="31"/>
        <w:spacing w:line="400" w:lineRule="exact"/>
        <w:ind w:firstLine="480"/>
        <w:rPr>
          <w:rFonts w:eastAsiaTheme="minorEastAsia"/>
        </w:rPr>
      </w:pPr>
      <w:r>
        <w:rPr>
          <w:rFonts w:eastAsiaTheme="minorEastAsia"/>
        </w:rPr>
        <w:t>(2)掌握自动控制、运动控制、过程控制、人工智能、计算机控制等基础知识；</w:t>
      </w:r>
    </w:p>
    <w:p>
      <w:pPr>
        <w:pStyle w:val="31"/>
        <w:spacing w:line="400" w:lineRule="exact"/>
        <w:ind w:firstLine="480"/>
        <w:rPr>
          <w:rFonts w:eastAsiaTheme="minorEastAsia"/>
        </w:rPr>
      </w:pPr>
      <w:r>
        <w:rPr>
          <w:rFonts w:eastAsiaTheme="minorEastAsia"/>
        </w:rPr>
        <w:t>(3)掌握至少一种高级计算机编程语言和汇编语言，具有嵌入式系统、计算机原理和应用方面的知识；</w:t>
      </w:r>
    </w:p>
    <w:p>
      <w:pPr>
        <w:pStyle w:val="31"/>
        <w:spacing w:line="400" w:lineRule="exact"/>
        <w:ind w:firstLine="480"/>
        <w:rPr>
          <w:rFonts w:eastAsiaTheme="minorEastAsia"/>
        </w:rPr>
      </w:pPr>
      <w:r>
        <w:rPr>
          <w:rFonts w:eastAsiaTheme="minorEastAsia"/>
        </w:rPr>
        <w:t>(4)掌握机械、电子、气、液等技术在自动化控制领域中应用的知识；</w:t>
      </w:r>
    </w:p>
    <w:p>
      <w:pPr>
        <w:pStyle w:val="31"/>
        <w:spacing w:line="400" w:lineRule="exact"/>
        <w:ind w:firstLine="480"/>
        <w:rPr>
          <w:rFonts w:eastAsiaTheme="minorEastAsia"/>
        </w:rPr>
      </w:pPr>
      <w:r>
        <w:rPr>
          <w:rFonts w:eastAsiaTheme="minorEastAsia"/>
        </w:rPr>
        <w:t xml:space="preserve">(5)掌握机电一体化方面的知识；    </w:t>
      </w:r>
    </w:p>
    <w:p>
      <w:pPr>
        <w:pStyle w:val="31"/>
        <w:spacing w:line="400" w:lineRule="exact"/>
        <w:ind w:firstLine="480"/>
        <w:rPr>
          <w:rFonts w:eastAsiaTheme="minorEastAsia"/>
        </w:rPr>
      </w:pPr>
      <w:r>
        <w:rPr>
          <w:rFonts w:eastAsiaTheme="minorEastAsia"/>
        </w:rPr>
        <w:t>(6)掌握设备的安装、调试、运行、检测和维修等方面的知识；</w:t>
      </w:r>
    </w:p>
    <w:p>
      <w:pPr>
        <w:pStyle w:val="31"/>
        <w:spacing w:line="400" w:lineRule="exact"/>
        <w:ind w:firstLine="480"/>
        <w:rPr>
          <w:rFonts w:eastAsiaTheme="minorEastAsia"/>
        </w:rPr>
      </w:pPr>
      <w:r>
        <w:rPr>
          <w:rFonts w:eastAsiaTheme="minorEastAsia"/>
        </w:rPr>
        <w:t>2.能力结构</w:t>
      </w:r>
    </w:p>
    <w:p>
      <w:pPr>
        <w:pStyle w:val="31"/>
        <w:spacing w:line="400" w:lineRule="exact"/>
        <w:ind w:firstLine="480"/>
        <w:rPr>
          <w:rFonts w:eastAsiaTheme="minorEastAsia"/>
        </w:rPr>
      </w:pPr>
      <w:r>
        <w:rPr>
          <w:rFonts w:eastAsiaTheme="minorEastAsia"/>
        </w:rPr>
        <w:t>(1)具有自动化领域、嵌入式系统领域的开发设计能力。</w:t>
      </w:r>
    </w:p>
    <w:p>
      <w:pPr>
        <w:pStyle w:val="31"/>
        <w:spacing w:line="400" w:lineRule="exact"/>
        <w:ind w:firstLine="480"/>
        <w:rPr>
          <w:rFonts w:eastAsiaTheme="minorEastAsia"/>
        </w:rPr>
      </w:pPr>
      <w:r>
        <w:rPr>
          <w:rFonts w:eastAsiaTheme="minorEastAsia"/>
        </w:rPr>
        <w:t>(2)具有自动化设备、检测设备、自动化仪表等的基本操作能力和维护能力；</w:t>
      </w:r>
    </w:p>
    <w:p>
      <w:pPr>
        <w:pStyle w:val="31"/>
        <w:spacing w:line="400" w:lineRule="exact"/>
        <w:ind w:firstLine="480"/>
        <w:rPr>
          <w:rFonts w:eastAsiaTheme="minorEastAsia"/>
        </w:rPr>
      </w:pPr>
      <w:r>
        <w:rPr>
          <w:rFonts w:eastAsiaTheme="minorEastAsia"/>
        </w:rPr>
        <w:t>(3)具有熟练使用至少一种计算机辅助设计、计算机仿真的能力；</w:t>
      </w:r>
    </w:p>
    <w:p>
      <w:pPr>
        <w:pStyle w:val="31"/>
        <w:spacing w:line="400" w:lineRule="exact"/>
        <w:ind w:firstLine="480"/>
        <w:rPr>
          <w:rFonts w:eastAsiaTheme="minorEastAsia"/>
        </w:rPr>
      </w:pPr>
      <w:r>
        <w:rPr>
          <w:rFonts w:eastAsiaTheme="minorEastAsia"/>
        </w:rPr>
        <w:t>(4)具有自动化工程的技术经济分析与企业设备生产组织管理的基本能力和收集本行业发展、新产品、新技术信息的能力；</w:t>
      </w:r>
    </w:p>
    <w:p>
      <w:pPr>
        <w:pStyle w:val="31"/>
        <w:spacing w:line="400" w:lineRule="exact"/>
        <w:ind w:firstLine="480"/>
        <w:rPr>
          <w:rFonts w:eastAsiaTheme="minorEastAsia"/>
        </w:rPr>
      </w:pPr>
      <w:r>
        <w:rPr>
          <w:rFonts w:eastAsiaTheme="minorEastAsia"/>
        </w:rPr>
        <w:t>(5)具有一定的外语水平，能够借助工具书阅读本专业外文资料，具有一定的自学、写作与语言表达能力，有一定的公关与适应环境的能力。</w:t>
      </w:r>
    </w:p>
    <w:p>
      <w:pPr>
        <w:pStyle w:val="31"/>
        <w:spacing w:line="400" w:lineRule="exact"/>
        <w:ind w:firstLine="480"/>
        <w:rPr>
          <w:rFonts w:eastAsiaTheme="minorEastAsia"/>
        </w:rPr>
      </w:pPr>
      <w:r>
        <w:rPr>
          <w:rFonts w:eastAsiaTheme="minorEastAsia"/>
        </w:rPr>
        <w:t>3.素质结构</w:t>
      </w:r>
    </w:p>
    <w:p>
      <w:pPr>
        <w:pStyle w:val="31"/>
        <w:spacing w:line="400" w:lineRule="exact"/>
        <w:ind w:firstLine="480"/>
        <w:rPr>
          <w:rFonts w:eastAsiaTheme="minorEastAsia"/>
        </w:rPr>
      </w:pPr>
      <w:r>
        <w:rPr>
          <w:rFonts w:eastAsiaTheme="minorEastAsia"/>
        </w:rPr>
        <w:t>(1)初步具备自动化专业一种外语听、说、读、写的基础能力；</w:t>
      </w:r>
    </w:p>
    <w:p>
      <w:pPr>
        <w:pStyle w:val="31"/>
        <w:spacing w:line="400" w:lineRule="exact"/>
        <w:ind w:firstLine="480"/>
        <w:rPr>
          <w:rFonts w:eastAsiaTheme="minorEastAsia"/>
        </w:rPr>
      </w:pPr>
      <w:r>
        <w:rPr>
          <w:rFonts w:eastAsiaTheme="minorEastAsia"/>
        </w:rPr>
        <w:t>(2)具备一定的实际工作经验，具有较强的安全生产、环境保护、节约资源和创新的意识：</w:t>
      </w:r>
    </w:p>
    <w:p>
      <w:pPr>
        <w:pStyle w:val="31"/>
        <w:spacing w:line="400" w:lineRule="exact"/>
        <w:ind w:firstLine="480"/>
        <w:rPr>
          <w:rFonts w:eastAsiaTheme="minorEastAsia"/>
        </w:rPr>
      </w:pPr>
      <w:r>
        <w:rPr>
          <w:rFonts w:eastAsiaTheme="minorEastAsia"/>
        </w:rPr>
        <w:t>(3)具有优良的职业道德、团队合作精神和人际交流能力；</w:t>
      </w:r>
    </w:p>
    <w:p>
      <w:pPr>
        <w:pStyle w:val="31"/>
        <w:spacing w:line="400" w:lineRule="exact"/>
        <w:ind w:firstLine="480"/>
        <w:rPr>
          <w:rFonts w:eastAsiaTheme="minorEastAsia"/>
        </w:rPr>
      </w:pPr>
      <w:r>
        <w:rPr>
          <w:rFonts w:eastAsiaTheme="minorEastAsia"/>
        </w:rPr>
        <w:t>(4)具有获取、分析和处理信息的能力；</w:t>
      </w:r>
    </w:p>
    <w:p>
      <w:pPr>
        <w:pStyle w:val="31"/>
        <w:spacing w:line="400" w:lineRule="exact"/>
        <w:ind w:firstLine="480"/>
        <w:rPr>
          <w:rFonts w:eastAsiaTheme="minorEastAsia"/>
        </w:rPr>
      </w:pPr>
      <w:r>
        <w:rPr>
          <w:rFonts w:eastAsiaTheme="minorEastAsia"/>
        </w:rPr>
        <w:t>(5)具有自主学习，适应职业变化的能力。</w:t>
      </w:r>
    </w:p>
    <w:p>
      <w:pPr>
        <w:pStyle w:val="5"/>
        <w:spacing w:before="93" w:after="93"/>
        <w:ind w:firstLine="560"/>
      </w:pPr>
      <w:bookmarkStart w:id="364" w:name="_Toc25039"/>
      <w:r>
        <w:rPr>
          <w:rFonts w:hint="eastAsia"/>
        </w:rPr>
        <w:t>六、</w:t>
      </w:r>
      <w:r>
        <w:t>毕业生就业创业（创业情况、采取的措施、典型案例等）</w:t>
      </w:r>
      <w:bookmarkEnd w:id="364"/>
    </w:p>
    <w:p>
      <w:pPr>
        <w:pStyle w:val="31"/>
        <w:spacing w:line="400" w:lineRule="exact"/>
        <w:ind w:firstLine="480"/>
        <w:rPr>
          <w:rFonts w:eastAsiaTheme="minorEastAsia"/>
        </w:rPr>
      </w:pPr>
      <w:r>
        <w:rPr>
          <w:rFonts w:eastAsiaTheme="minorEastAsia"/>
        </w:rPr>
        <w:t>多年来，自动化专业极为重视毕业生就业创业工作，在学院党委、团委及学生会的大力支持下，多名自动化专业学生大学期间进行创业尝试，但是，受到创业条件的限制，大部分毕业生自主创业积极性不高。</w:t>
      </w:r>
    </w:p>
    <w:p>
      <w:pPr>
        <w:pStyle w:val="31"/>
        <w:spacing w:line="400" w:lineRule="exact"/>
        <w:ind w:firstLine="480"/>
        <w:rPr>
          <w:rFonts w:eastAsiaTheme="minorEastAsia"/>
        </w:rPr>
      </w:pPr>
      <w:r>
        <w:rPr>
          <w:rFonts w:eastAsiaTheme="minorEastAsia"/>
        </w:rPr>
        <w:t>为了促进毕业生就业创业工作，机电学院采取多种措施，确保每个毕业生都能够顺利就业，由于措施得当，2003年以来，连续18年机电学院被学校评为招生就业先进单位光荣称号，2022年，针对国内外经济社会发展形势对毕业生就业提出严峻考验的现实，自动化专业各专职教师，在学院党委、行政及团委各级领导带领下，开拓创新，充分发挥专业优势，自动化专业毕业生就业率达92%，具体措施包括：</w:t>
      </w:r>
    </w:p>
    <w:p>
      <w:pPr>
        <w:pStyle w:val="31"/>
        <w:spacing w:line="400" w:lineRule="exact"/>
        <w:ind w:firstLine="480"/>
        <w:rPr>
          <w:rFonts w:eastAsiaTheme="minorEastAsia"/>
        </w:rPr>
      </w:pPr>
      <w:r>
        <w:rPr>
          <w:rFonts w:eastAsiaTheme="minorEastAsia"/>
        </w:rPr>
        <w:t>1.狠抓学风建设是根本。学风从根本上决定就业。学院把学风建设与就业相结合，实行教学、就业相促进，强化实践与创新，大力提高核心竞争力。主要实施高端论坛、制度规范、磐石工程、精品工程、文化熏陶等9大工程，夯实、引领、示范、保障优良学风建设，实现了学风建设和就业工作的双赢。</w:t>
      </w:r>
    </w:p>
    <w:p>
      <w:pPr>
        <w:pStyle w:val="31"/>
        <w:spacing w:line="400" w:lineRule="exact"/>
        <w:ind w:firstLine="480"/>
        <w:rPr>
          <w:rFonts w:eastAsiaTheme="minorEastAsia"/>
        </w:rPr>
      </w:pPr>
      <w:r>
        <w:rPr>
          <w:rFonts w:eastAsiaTheme="minorEastAsia"/>
        </w:rPr>
        <w:t>2.做好思想工作是关键。每年有近二百家单位招聘，提供几千个岗位。但到大城市、大企业去工作的观念，仍然是制约就业的关键。因此，学院把做好就业教育作为提高签约的关键，重点抓住毕业生择业的</w:t>
      </w:r>
      <w:r>
        <w:rPr>
          <w:rFonts w:hint="eastAsia" w:eastAsiaTheme="minorEastAsia"/>
        </w:rPr>
        <w:t>“</w:t>
      </w:r>
      <w:r>
        <w:rPr>
          <w:rFonts w:eastAsiaTheme="minorEastAsia"/>
        </w:rPr>
        <w:t>三个关键时期</w:t>
      </w:r>
      <w:r>
        <w:rPr>
          <w:rFonts w:hint="eastAsia" w:eastAsiaTheme="minorEastAsia"/>
        </w:rPr>
        <w:t>”</w:t>
      </w:r>
      <w:r>
        <w:rPr>
          <w:rFonts w:eastAsiaTheme="minorEastAsia"/>
        </w:rPr>
        <w:t>，即</w:t>
      </w:r>
      <w:r>
        <w:rPr>
          <w:rFonts w:hint="eastAsia" w:eastAsiaTheme="minorEastAsia"/>
        </w:rPr>
        <w:t>“</w:t>
      </w:r>
      <w:r>
        <w:rPr>
          <w:rFonts w:eastAsiaTheme="minorEastAsia"/>
        </w:rPr>
        <w:t>思考就业</w:t>
      </w:r>
      <w:r>
        <w:rPr>
          <w:rFonts w:hint="eastAsia" w:eastAsiaTheme="minorEastAsia"/>
        </w:rPr>
        <w:t>”</w:t>
      </w:r>
      <w:r>
        <w:rPr>
          <w:rFonts w:eastAsiaTheme="minorEastAsia"/>
        </w:rPr>
        <w:t>的萌动期，这时强化就业理念教育；</w:t>
      </w:r>
      <w:r>
        <w:rPr>
          <w:rFonts w:hint="eastAsia" w:eastAsiaTheme="minorEastAsia"/>
        </w:rPr>
        <w:t>“</w:t>
      </w:r>
      <w:r>
        <w:rPr>
          <w:rFonts w:eastAsiaTheme="minorEastAsia"/>
        </w:rPr>
        <w:t>准备就业</w:t>
      </w:r>
      <w:r>
        <w:rPr>
          <w:rFonts w:hint="eastAsia" w:eastAsiaTheme="minorEastAsia"/>
        </w:rPr>
        <w:t>”</w:t>
      </w:r>
      <w:r>
        <w:rPr>
          <w:rFonts w:eastAsiaTheme="minorEastAsia"/>
        </w:rPr>
        <w:t>的启动期，这时我们把往届生的就业去给学生向全面分析，引导毕业生树立正确的就业观，做好不同的择业准备；快速签约</w:t>
      </w:r>
      <w:r>
        <w:rPr>
          <w:rFonts w:hint="eastAsia" w:eastAsiaTheme="minorEastAsia"/>
        </w:rPr>
        <w:t>”</w:t>
      </w:r>
      <w:r>
        <w:rPr>
          <w:rFonts w:eastAsiaTheme="minorEastAsia"/>
        </w:rPr>
        <w:t>的黄金期，这时开展</w:t>
      </w:r>
      <w:r>
        <w:rPr>
          <w:rFonts w:hint="eastAsia" w:eastAsiaTheme="minorEastAsia"/>
        </w:rPr>
        <w:t>“</w:t>
      </w:r>
      <w:r>
        <w:rPr>
          <w:rFonts w:eastAsiaTheme="minorEastAsia"/>
        </w:rPr>
        <w:t>知名校友、企业农大行</w:t>
      </w:r>
      <w:r>
        <w:rPr>
          <w:rFonts w:hint="eastAsia" w:eastAsiaTheme="minorEastAsia"/>
        </w:rPr>
        <w:t>”</w:t>
      </w:r>
      <w:r>
        <w:rPr>
          <w:rFonts w:eastAsiaTheme="minorEastAsia"/>
        </w:rPr>
        <w:t>，对未签约者进行</w:t>
      </w:r>
      <w:r>
        <w:rPr>
          <w:rFonts w:hint="eastAsia" w:eastAsiaTheme="minorEastAsia"/>
        </w:rPr>
        <w:t>“</w:t>
      </w:r>
      <w:r>
        <w:rPr>
          <w:rFonts w:eastAsiaTheme="minorEastAsia"/>
        </w:rPr>
        <w:t>授业解惑</w:t>
      </w:r>
      <w:r>
        <w:rPr>
          <w:rFonts w:hint="eastAsia" w:eastAsiaTheme="minorEastAsia"/>
        </w:rPr>
        <w:t>”</w:t>
      </w:r>
      <w:r>
        <w:rPr>
          <w:rFonts w:eastAsiaTheme="minorEastAsia"/>
        </w:rPr>
        <w:t>，同时开展个性化订单式</w:t>
      </w:r>
      <w:r>
        <w:rPr>
          <w:rFonts w:hint="eastAsia" w:eastAsiaTheme="minorEastAsia"/>
        </w:rPr>
        <w:t>“</w:t>
      </w:r>
      <w:r>
        <w:rPr>
          <w:rFonts w:eastAsiaTheme="minorEastAsia"/>
        </w:rPr>
        <w:t>一盯一一帮一</w:t>
      </w:r>
      <w:r>
        <w:rPr>
          <w:rFonts w:hint="eastAsia" w:eastAsiaTheme="minorEastAsia"/>
        </w:rPr>
        <w:t>”</w:t>
      </w:r>
      <w:r>
        <w:rPr>
          <w:rFonts w:eastAsiaTheme="minorEastAsia"/>
        </w:rPr>
        <w:t>帮扶，做学生的好参谋、好朋友。</w:t>
      </w:r>
    </w:p>
    <w:p>
      <w:pPr>
        <w:pStyle w:val="31"/>
        <w:spacing w:line="400" w:lineRule="exact"/>
        <w:ind w:firstLine="480"/>
        <w:rPr>
          <w:rFonts w:eastAsiaTheme="minorEastAsia"/>
        </w:rPr>
      </w:pPr>
      <w:r>
        <w:rPr>
          <w:rFonts w:eastAsiaTheme="minorEastAsia"/>
        </w:rPr>
        <w:t>3.拓展就业市场是前提。有较大部分学生是通过校内招聘就业的，学院重视就业市场的拓展，不但巩固老朋友，还要结识新朋友。对泰开、五征、雷沃、歌尔声学等这样的招聘大户，向亲戚一样经常要走动；利用参加会议、外出实习等机会，结识了中国重汽、大牧人机械、中烟集团等一大批新朋友，慢慢成为好朋友、老朋友。</w:t>
      </w:r>
    </w:p>
    <w:p>
      <w:pPr>
        <w:pStyle w:val="31"/>
        <w:spacing w:line="400" w:lineRule="exact"/>
        <w:ind w:firstLine="480"/>
        <w:rPr>
          <w:rFonts w:eastAsiaTheme="minorEastAsia"/>
        </w:rPr>
      </w:pPr>
      <w:r>
        <w:rPr>
          <w:rFonts w:eastAsiaTheme="minorEastAsia"/>
        </w:rPr>
        <w:t>4.浓厚就业氛围是保障。积极向上的就业氛围，是推动就业的重要保障，学院非常重视营造积极向上的就业氛围。实行</w:t>
      </w:r>
      <w:r>
        <w:rPr>
          <w:rFonts w:hint="eastAsia" w:eastAsiaTheme="minorEastAsia"/>
        </w:rPr>
        <w:t>“</w:t>
      </w:r>
      <w:r>
        <w:rPr>
          <w:rFonts w:eastAsiaTheme="minorEastAsia"/>
        </w:rPr>
        <w:t>院领导联系专业促就业</w:t>
      </w:r>
      <w:r>
        <w:rPr>
          <w:rFonts w:hint="eastAsia" w:eastAsiaTheme="minorEastAsia"/>
        </w:rPr>
        <w:t>”</w:t>
      </w:r>
      <w:r>
        <w:rPr>
          <w:rFonts w:eastAsiaTheme="minorEastAsia"/>
        </w:rPr>
        <w:t>、</w:t>
      </w:r>
      <w:r>
        <w:rPr>
          <w:rFonts w:hint="eastAsia" w:eastAsiaTheme="minorEastAsia"/>
        </w:rPr>
        <w:t>“</w:t>
      </w:r>
      <w:r>
        <w:rPr>
          <w:rFonts w:eastAsiaTheme="minorEastAsia"/>
        </w:rPr>
        <w:t>就业红娘评选</w:t>
      </w:r>
      <w:r>
        <w:rPr>
          <w:rFonts w:hint="eastAsia" w:eastAsiaTheme="minorEastAsia"/>
        </w:rPr>
        <w:t>”</w:t>
      </w:r>
      <w:r>
        <w:rPr>
          <w:rFonts w:eastAsiaTheme="minorEastAsia"/>
        </w:rPr>
        <w:t>、</w:t>
      </w:r>
      <w:r>
        <w:rPr>
          <w:rFonts w:hint="eastAsia" w:eastAsiaTheme="minorEastAsia"/>
        </w:rPr>
        <w:t>“</w:t>
      </w:r>
      <w:r>
        <w:rPr>
          <w:rFonts w:eastAsiaTheme="minorEastAsia"/>
        </w:rPr>
        <w:t>就业喜报</w:t>
      </w:r>
      <w:r>
        <w:rPr>
          <w:rFonts w:hint="eastAsia" w:eastAsiaTheme="minorEastAsia"/>
        </w:rPr>
        <w:t>”</w:t>
      </w:r>
      <w:r>
        <w:rPr>
          <w:rFonts w:eastAsiaTheme="minorEastAsia"/>
        </w:rPr>
        <w:t>，党员干部带头就业等措施，营造浓厚的就业氛围。</w:t>
      </w:r>
    </w:p>
    <w:p>
      <w:pPr>
        <w:pStyle w:val="31"/>
        <w:spacing w:line="400" w:lineRule="exact"/>
        <w:ind w:firstLine="480"/>
        <w:rPr>
          <w:rFonts w:eastAsiaTheme="minorEastAsia"/>
        </w:rPr>
      </w:pPr>
      <w:r>
        <w:rPr>
          <w:rFonts w:eastAsiaTheme="minorEastAsia"/>
        </w:rPr>
        <w:t>5.分类指导是有效途径。把毕业生分成就业、考研等不同类型。针对签约者，帮助他们到单位顶岗实习；对考研的，尝试调整了学习型宿舍；针对报考211、985高校学生扎堆现象，专门召开协调会，动员学生报考我校的同时，避免自我淘汰，指导学生主动分流；对报考公务员的邀请教师进行指导，近年来考研、考公务员成功率逐年提高，成为学院就业心得增长点。</w:t>
      </w:r>
    </w:p>
    <w:p>
      <w:pPr>
        <w:pStyle w:val="31"/>
        <w:spacing w:line="400" w:lineRule="exact"/>
        <w:ind w:firstLine="480"/>
        <w:rPr>
          <w:rFonts w:eastAsiaTheme="minorEastAsia"/>
        </w:rPr>
      </w:pPr>
      <w:r>
        <w:rPr>
          <w:rFonts w:eastAsiaTheme="minorEastAsia"/>
        </w:rPr>
        <w:t>6.畅通就业渠道是基础。充分利用院网、新媒体、就业APP、班级就业信息员等渠道，把就业信息及时快捷的传递到毕业生。学生会还设立了</w:t>
      </w:r>
      <w:r>
        <w:rPr>
          <w:rFonts w:hint="eastAsia" w:eastAsiaTheme="minorEastAsia"/>
        </w:rPr>
        <w:t>“</w:t>
      </w:r>
      <w:r>
        <w:rPr>
          <w:rFonts w:eastAsiaTheme="minorEastAsia"/>
        </w:rPr>
        <w:t>考研与就业服务部</w:t>
      </w:r>
      <w:r>
        <w:rPr>
          <w:rFonts w:hint="eastAsia" w:eastAsiaTheme="minorEastAsia"/>
        </w:rPr>
        <w:t>”</w:t>
      </w:r>
      <w:r>
        <w:rPr>
          <w:rFonts w:eastAsiaTheme="minorEastAsia"/>
        </w:rPr>
        <w:t>，协助辅导员老师关注山东大学等其他高校的相关就业信息。学院在毕业生公寓楼门口制作了</w:t>
      </w:r>
      <w:r>
        <w:rPr>
          <w:rFonts w:hint="eastAsia" w:eastAsiaTheme="minorEastAsia"/>
        </w:rPr>
        <w:t>“</w:t>
      </w:r>
      <w:r>
        <w:rPr>
          <w:rFonts w:eastAsiaTheme="minorEastAsia"/>
        </w:rPr>
        <w:t>毕业生就业信息专栏</w:t>
      </w:r>
      <w:r>
        <w:rPr>
          <w:rFonts w:hint="eastAsia" w:eastAsiaTheme="minorEastAsia"/>
        </w:rPr>
        <w:t>”</w:t>
      </w:r>
      <w:r>
        <w:rPr>
          <w:rFonts w:eastAsiaTheme="minorEastAsia"/>
        </w:rPr>
        <w:t>，有校内、校外招聘信息等六大板块，每周二上午8：00前定期更新，极大地方便了毕业生获取就业信息。</w:t>
      </w:r>
    </w:p>
    <w:p>
      <w:pPr>
        <w:pStyle w:val="5"/>
        <w:spacing w:before="93" w:after="93"/>
        <w:ind w:firstLine="560"/>
      </w:pPr>
      <w:bookmarkStart w:id="365" w:name="_Toc9"/>
      <w:r>
        <w:rPr>
          <w:rFonts w:hint="eastAsia"/>
        </w:rPr>
        <w:t>七、</w:t>
      </w:r>
      <w:r>
        <w:t>专业发展趋势及建议</w:t>
      </w:r>
      <w:bookmarkEnd w:id="365"/>
    </w:p>
    <w:p>
      <w:pPr>
        <w:pStyle w:val="31"/>
        <w:spacing w:line="400" w:lineRule="exact"/>
        <w:ind w:firstLine="480"/>
        <w:rPr>
          <w:rFonts w:eastAsiaTheme="minorEastAsia"/>
        </w:rPr>
      </w:pPr>
      <w:r>
        <w:rPr>
          <w:rFonts w:eastAsiaTheme="minorEastAsia"/>
        </w:rPr>
        <w:t>随着我国经济科技的高速发展，目前正面临着经济发展转型、结构调整及重视发展质量的巨大机遇和挑战，随着国内企业对自动化、智能化生产技术要求不断提高，外向型经济的迅速发展，低水平的劳动者已远不能适应经济和社会发展的需要，知识已成为企业竞争的优势和资本，目前电子技术与计算机技术的迅速发展，触发了机械工程领域的一场深刻革命，促进了机械技术与微电子技术及信息技术的高度结合，现代企业自动化、智能化的应用程度越来越高，自动化的机电设备，数控机床不断增加，柔性制造、工业机械手和机器人、生产过程自动化的应用越来越广泛。迫切需要具备光、机、电一体化方面综合知识结构及运用能力的机电工程技术人才，以适应当前我国传统机械工业改造、产业结构调整和技术升级的重大需要。因此长远来看，机—电结合业已成为机械工业发展的必然趋势，是我国从制造大国向制造强国迈进的必由之路。今年国务院下发的《中国制造2025》文件中，明确了今后十年工业发展的方向，其中，智能化制造、互联网+及工业4.0等领域是中国制造的重中之重。</w:t>
      </w:r>
    </w:p>
    <w:p>
      <w:pPr>
        <w:pStyle w:val="31"/>
        <w:spacing w:line="400" w:lineRule="exact"/>
        <w:ind w:firstLine="480"/>
        <w:rPr>
          <w:rFonts w:eastAsiaTheme="minorEastAsia"/>
        </w:rPr>
      </w:pPr>
      <w:r>
        <w:rPr>
          <w:rFonts w:eastAsiaTheme="minorEastAsia"/>
        </w:rPr>
        <w:t>山东省是我国重要的机械制造及出口基地，制造业已经形成门类齐全、规模较大、且具有一定技术水平的核心产业体系，其中涵盖了汽车制造、内燃机制造及零部件、农业装备、工程机械、石油机械、风电产业、电子器件等众多产业。因此，在未来的经济社会发展规划中，把现代装备制造业作为全省重点培育和发展的优势产业，壮大优势产业群，延伸产业链，推进科技创新、成果转化和高新技术产业化，形成具有自主创新能力的现代装备制造业和研发转化基地，促进地区产业结构优化升级。其中建设装备制造业、引进技术和自主开发相结合，提高成套设备研发能力，发展光机电一体化设备、精密成型加工设备、柔性制造设备、数控机床、智能机械设备、农业机械、重型机械、电工电气、机械基础件、仪器仪表、工程机械、模具、汽车及零部件制造等产业是必然趋势，这就为机电一体化技术专业毕业生提供了广阔的就业市场，同时，也对自动化专业人才培养质量提出了更高的要求。</w:t>
      </w:r>
    </w:p>
    <w:p>
      <w:pPr>
        <w:pStyle w:val="31"/>
        <w:spacing w:line="400" w:lineRule="exact"/>
        <w:ind w:firstLine="480"/>
        <w:rPr>
          <w:rFonts w:eastAsiaTheme="minorEastAsia"/>
        </w:rPr>
      </w:pPr>
      <w:r>
        <w:rPr>
          <w:rFonts w:eastAsiaTheme="minorEastAsia"/>
        </w:rPr>
        <w:t>基于以上分析，自动化专业培养的学生应与时俱进，紧跟时代发展潮流，以提高学生创新创业技能为突破口，强化实践教学环节，加强教师师德师风建设和授课技能培训，提高教学质量，促进学生的分类培养目标实现，对自动化专业今后的发展提出如下建议：</w:t>
      </w:r>
    </w:p>
    <w:p>
      <w:pPr>
        <w:pStyle w:val="31"/>
        <w:spacing w:line="400" w:lineRule="exact"/>
        <w:ind w:firstLine="480"/>
        <w:rPr>
          <w:rFonts w:eastAsiaTheme="minorEastAsia"/>
        </w:rPr>
      </w:pPr>
      <w:r>
        <w:rPr>
          <w:rFonts w:eastAsiaTheme="minorEastAsia"/>
        </w:rPr>
        <w:t>1.加强专业建设力度，改革人才培养模式，瞄准世界自动化领域先进技术，以工学结合确立专业人才培养模式，以专业能力和科学素养构建专业核心课程；</w:t>
      </w:r>
    </w:p>
    <w:p>
      <w:pPr>
        <w:pStyle w:val="31"/>
        <w:spacing w:line="400" w:lineRule="exact"/>
        <w:ind w:firstLine="480"/>
        <w:rPr>
          <w:rFonts w:eastAsiaTheme="minorEastAsia"/>
        </w:rPr>
      </w:pPr>
      <w:r>
        <w:rPr>
          <w:rFonts w:eastAsiaTheme="minorEastAsia"/>
        </w:rPr>
        <w:t>2.注重师资队伍建设，打造一支专兼结合、师德高尚、技能过硬、国内外具有一定知名度的优秀专业教学团队；</w:t>
      </w:r>
    </w:p>
    <w:p>
      <w:pPr>
        <w:pStyle w:val="31"/>
        <w:spacing w:line="400" w:lineRule="exact"/>
        <w:ind w:firstLine="480"/>
        <w:rPr>
          <w:rFonts w:eastAsiaTheme="minorEastAsia"/>
        </w:rPr>
      </w:pPr>
      <w:r>
        <w:rPr>
          <w:rFonts w:eastAsiaTheme="minorEastAsia"/>
        </w:rPr>
        <w:t>3.在学校规划统一指导下，按照</w:t>
      </w:r>
      <w:r>
        <w:rPr>
          <w:rFonts w:hint="eastAsia" w:eastAsiaTheme="minorEastAsia"/>
        </w:rPr>
        <w:t>“</w:t>
      </w:r>
      <w:r>
        <w:rPr>
          <w:rFonts w:eastAsiaTheme="minorEastAsia"/>
        </w:rPr>
        <w:t>教育定位准确，教学方法独特，培养模式先进，专业特色鲜明，人才质量优良</w:t>
      </w:r>
      <w:r>
        <w:rPr>
          <w:rFonts w:hint="eastAsia" w:eastAsiaTheme="minorEastAsia"/>
        </w:rPr>
        <w:t>”</w:t>
      </w:r>
      <w:r>
        <w:rPr>
          <w:rFonts w:eastAsiaTheme="minorEastAsia"/>
        </w:rPr>
        <w:t>的要求，为适应人才市场需求和提高就业竞争力，全面提高教学质量，坚持</w:t>
      </w:r>
      <w:r>
        <w:rPr>
          <w:rFonts w:hint="eastAsia" w:eastAsiaTheme="minorEastAsia"/>
        </w:rPr>
        <w:t>“</w:t>
      </w:r>
      <w:r>
        <w:rPr>
          <w:rFonts w:eastAsiaTheme="minorEastAsia"/>
        </w:rPr>
        <w:t>以学生为本，以完善知识结构为导向，将</w:t>
      </w:r>
      <w:r>
        <w:rPr>
          <w:rFonts w:hint="eastAsia" w:eastAsiaTheme="minorEastAsia"/>
        </w:rPr>
        <w:t>“</w:t>
      </w:r>
      <w:r>
        <w:rPr>
          <w:rFonts w:eastAsiaTheme="minorEastAsia"/>
        </w:rPr>
        <w:t>自动化</w:t>
      </w:r>
      <w:r>
        <w:rPr>
          <w:rFonts w:hint="eastAsia" w:eastAsiaTheme="minorEastAsia"/>
        </w:rPr>
        <w:t>”</w:t>
      </w:r>
      <w:r>
        <w:rPr>
          <w:rFonts w:eastAsiaTheme="minorEastAsia"/>
        </w:rPr>
        <w:t>专业建成精品专业；</w:t>
      </w:r>
    </w:p>
    <w:p>
      <w:pPr>
        <w:pStyle w:val="31"/>
        <w:spacing w:line="400" w:lineRule="exact"/>
        <w:ind w:firstLine="480"/>
        <w:rPr>
          <w:rFonts w:eastAsiaTheme="minorEastAsia"/>
        </w:rPr>
      </w:pPr>
      <w:r>
        <w:rPr>
          <w:rFonts w:eastAsiaTheme="minorEastAsia"/>
        </w:rPr>
        <w:t>4.以</w:t>
      </w:r>
      <w:r>
        <w:rPr>
          <w:rFonts w:hint="eastAsia" w:eastAsiaTheme="minorEastAsia"/>
        </w:rPr>
        <w:t>“</w:t>
      </w:r>
      <w:r>
        <w:rPr>
          <w:rFonts w:eastAsiaTheme="minorEastAsia"/>
        </w:rPr>
        <w:t>教、学、做、知识、能力、素质</w:t>
      </w:r>
      <w:r>
        <w:rPr>
          <w:rFonts w:hint="eastAsia" w:eastAsiaTheme="minorEastAsia"/>
        </w:rPr>
        <w:t>”</w:t>
      </w:r>
      <w:r>
        <w:rPr>
          <w:rFonts w:eastAsiaTheme="minorEastAsia"/>
        </w:rPr>
        <w:t>六位一体的教学方法为突破口，突出课程改革，培养合格的高素质技能型人才，创造条件，鼓励学生参加电子设计大赛、智能车大赛、机器人大赛、嵌入式系统大赛，提高其实践技能；</w:t>
      </w:r>
    </w:p>
    <w:p>
      <w:pPr>
        <w:pStyle w:val="31"/>
        <w:spacing w:line="400" w:lineRule="exact"/>
        <w:ind w:firstLine="480"/>
        <w:rPr>
          <w:rFonts w:eastAsiaTheme="minorEastAsia"/>
        </w:rPr>
      </w:pPr>
      <w:r>
        <w:rPr>
          <w:rFonts w:eastAsiaTheme="minorEastAsia"/>
        </w:rPr>
        <w:t>5.加强校内外实验室及实训基地建设，通过购买、自制等手段充实实验仪器设备，提高实验室综合利用率，制定相关规章制度，强化校企合作内容，整合各种资源，着力建设集资源共享、学生实训、技术服务于一体的教学科研保障体系。</w:t>
      </w:r>
    </w:p>
    <w:p>
      <w:pPr>
        <w:pStyle w:val="5"/>
        <w:spacing w:before="93" w:after="93"/>
        <w:ind w:firstLine="560"/>
      </w:pPr>
      <w:bookmarkStart w:id="366" w:name="_Toc9610"/>
      <w:r>
        <w:rPr>
          <w:rFonts w:hint="eastAsia"/>
        </w:rPr>
        <w:t>八、</w:t>
      </w:r>
      <w:r>
        <w:t>存在的问题及整改措施</w:t>
      </w:r>
      <w:bookmarkEnd w:id="366"/>
    </w:p>
    <w:p>
      <w:pPr>
        <w:pStyle w:val="31"/>
        <w:spacing w:line="400" w:lineRule="exact"/>
        <w:ind w:firstLine="480"/>
        <w:rPr>
          <w:rFonts w:eastAsiaTheme="minorEastAsia"/>
        </w:rPr>
      </w:pPr>
      <w:r>
        <w:rPr>
          <w:rFonts w:eastAsiaTheme="minorEastAsia"/>
        </w:rPr>
        <w:t>存在的问题主要有：</w:t>
      </w:r>
    </w:p>
    <w:p>
      <w:pPr>
        <w:pStyle w:val="31"/>
        <w:spacing w:line="400" w:lineRule="exact"/>
        <w:ind w:firstLine="480"/>
        <w:rPr>
          <w:rFonts w:eastAsiaTheme="minorEastAsia"/>
        </w:rPr>
      </w:pPr>
      <w:r>
        <w:rPr>
          <w:rFonts w:eastAsiaTheme="minorEastAsia"/>
        </w:rPr>
        <w:t>（1）学生参加科技竞赛的经费不足</w:t>
      </w:r>
    </w:p>
    <w:p>
      <w:pPr>
        <w:pStyle w:val="31"/>
        <w:spacing w:line="400" w:lineRule="exact"/>
        <w:ind w:firstLine="480"/>
        <w:rPr>
          <w:rFonts w:eastAsiaTheme="minorEastAsia"/>
        </w:rPr>
      </w:pPr>
      <w:r>
        <w:rPr>
          <w:rFonts w:eastAsiaTheme="minorEastAsia"/>
        </w:rPr>
        <w:t>教育部、教育厅承办的大学生科技竞赛，大部分面向工科学生，而我们是农业大学，对竞赛的理解深度不够，重视程度不够，没有专门的经费支持竞赛，影响了学生课外科技的积极性和普及性。</w:t>
      </w:r>
    </w:p>
    <w:p>
      <w:pPr>
        <w:pStyle w:val="31"/>
        <w:spacing w:line="400" w:lineRule="exact"/>
        <w:ind w:firstLine="480"/>
        <w:rPr>
          <w:rFonts w:eastAsiaTheme="minorEastAsia"/>
        </w:rPr>
      </w:pPr>
      <w:r>
        <w:rPr>
          <w:rFonts w:eastAsiaTheme="minorEastAsia"/>
        </w:rPr>
        <w:t>建议学校制度相关制度，鼓励引导大学生的课外科技活动。</w:t>
      </w:r>
    </w:p>
    <w:p>
      <w:pPr>
        <w:pStyle w:val="31"/>
        <w:spacing w:line="400" w:lineRule="exact"/>
        <w:ind w:firstLine="480"/>
        <w:rPr>
          <w:rFonts w:eastAsiaTheme="minorEastAsia"/>
        </w:rPr>
      </w:pPr>
      <w:r>
        <w:rPr>
          <w:rFonts w:eastAsiaTheme="minorEastAsia"/>
        </w:rPr>
        <w:t>（2）教学研究精力投入不足</w:t>
      </w:r>
    </w:p>
    <w:p>
      <w:pPr>
        <w:pStyle w:val="31"/>
        <w:spacing w:line="400" w:lineRule="exact"/>
        <w:ind w:firstLine="480"/>
        <w:rPr>
          <w:rFonts w:eastAsiaTheme="minorEastAsia"/>
        </w:rPr>
      </w:pPr>
      <w:r>
        <w:rPr>
          <w:rFonts w:eastAsiaTheme="minorEastAsia"/>
        </w:rPr>
        <w:t>部分教师对教学研究的重视程度不够，狭隘地认为，教师的任务就是上课，从根本上没有意识到教师的四大功能。</w:t>
      </w:r>
    </w:p>
    <w:p>
      <w:pPr>
        <w:rPr>
          <w:rFonts w:eastAsiaTheme="minorEastAsia"/>
        </w:rPr>
      </w:pP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br w:type="page"/>
      </w:r>
    </w:p>
    <w:p>
      <w:pPr>
        <w:pStyle w:val="4"/>
        <w:ind w:firstLine="600"/>
      </w:pPr>
      <w:bookmarkStart w:id="367" w:name="_Toc12584"/>
      <w:bookmarkStart w:id="368" w:name="_Toc7775"/>
      <w:r>
        <w:t>专业</w:t>
      </w:r>
      <w:r>
        <w:rPr>
          <w:rFonts w:hint="eastAsia"/>
          <w:lang w:val="en-US"/>
        </w:rPr>
        <w:t>三十四</w:t>
      </w:r>
      <w:r>
        <w:t>：农业机械化及其自动化</w:t>
      </w:r>
      <w:bookmarkEnd w:id="367"/>
      <w:bookmarkEnd w:id="368"/>
    </w:p>
    <w:p>
      <w:pPr>
        <w:widowControl/>
        <w:ind w:firstLine="480"/>
      </w:pPr>
      <w:r>
        <w:t>农业机械化及其自动化专业是国家级本科一流专业建设点、国家级卓越农林人才教育培养计划改革试点专业、山东省高等学校特色专业、山东省高等教育名校建设工程重点建设专业、山东省高水平应用型重点建设专业和山东省卓越工程师教育培养计划建设专业，所依托学科（农业机械化工程）是山东省重点学科。专业师资力量雄厚，教学、科研条件先进，科研平台与实习基地健全。建有《农业机械学》国家级精品课程和资源共享课程、《创新创业》国家级一流本科课程和《农业机械学》山东省优秀教学团队。在</w:t>
      </w:r>
      <w:r>
        <w:rPr>
          <w:rFonts w:hint="eastAsia"/>
        </w:rPr>
        <w:t>“</w:t>
      </w:r>
      <w:r>
        <w:t>机械与电子、技术与管理、农机与农艺</w:t>
      </w:r>
      <w:r>
        <w:rPr>
          <w:rFonts w:hint="eastAsia"/>
        </w:rPr>
        <w:t>”</w:t>
      </w:r>
      <w:r>
        <w:t>三结合等方面形成了专业优势与特色，并充分利用现代工程技术和信息技术对专业进行改造和提升，着重培养学生的工程实践能力和科技创新能力，体现</w:t>
      </w:r>
      <w:r>
        <w:rPr>
          <w:rFonts w:hint="eastAsia"/>
        </w:rPr>
        <w:t>“</w:t>
      </w:r>
      <w:r>
        <w:t>厚基础、宽口径、强能力、高素质、广适应</w:t>
      </w:r>
      <w:r>
        <w:rPr>
          <w:rFonts w:hint="eastAsia"/>
        </w:rPr>
        <w:t>”</w:t>
      </w:r>
      <w:r>
        <w:t>的人才培养思想。毕业生可在有关企业、科研单位、国家机关和高等院校从事机械设计、制造、管理、规划、营销、推广、科研和教学等工作，合格毕业生颁发工学学士学位。</w:t>
      </w:r>
    </w:p>
    <w:p>
      <w:pPr>
        <w:pStyle w:val="5"/>
        <w:spacing w:before="93" w:after="93"/>
        <w:ind w:firstLine="560"/>
      </w:pPr>
      <w:bookmarkStart w:id="369" w:name="_Toc1723"/>
      <w:r>
        <w:t>一、培养目标</w:t>
      </w:r>
      <w:bookmarkEnd w:id="369"/>
      <w:r>
        <w:t>与规格</w:t>
      </w:r>
    </w:p>
    <w:p>
      <w:pPr>
        <w:ind w:firstLine="480"/>
      </w:pPr>
      <w:r>
        <w:t>本专业培养具有机械学、电工电子学、机电一体化技术、农学、经营管理学、农业机械装备的构造原理、使用维修与管理等基本知识技能，能在农业生产机械化系统规划设计、农业机械设计及制造、机械化生产、管理及服务等部门从事农业机械及其相关装备设计、试验鉴定与推广、农业机械化规划与管理、教学与科研、营销与服务等方面工作的应用型复合型高级专门人才。</w:t>
      </w:r>
    </w:p>
    <w:p>
      <w:pPr>
        <w:pStyle w:val="5"/>
        <w:spacing w:before="93" w:after="93"/>
        <w:ind w:firstLine="560"/>
      </w:pPr>
      <w:bookmarkStart w:id="370" w:name="_Toc31849"/>
      <w:r>
        <w:t>二、培养能力（专业基本情况、在校生规模、课程体系、创新创业教育等）</w:t>
      </w:r>
      <w:bookmarkEnd w:id="370"/>
    </w:p>
    <w:p>
      <w:pPr>
        <w:ind w:firstLine="480"/>
      </w:pPr>
      <w:r>
        <w:t>农业机械化及其自动化专业成立于1959年，1962年院系调整暂停招生；1976年重建并恢复招生以来，该专业共为社会培养了3800余名本科生。自2007年以来，第一志愿报考率100％，就业率一直名列学校前茅：平均一次性就业率95％以上，总体就业率98％以上。</w:t>
      </w:r>
      <w:r>
        <w:rPr>
          <w:lang w:val="zh-CN"/>
        </w:rPr>
        <w:t>目前，该专业在校生222</w:t>
      </w:r>
      <w:r>
        <w:t>人，每年级学生人数如表1所示。</w:t>
      </w:r>
    </w:p>
    <w:p>
      <w:pPr>
        <w:ind w:firstLine="422"/>
        <w:jc w:val="center"/>
        <w:rPr>
          <w:b/>
          <w:bCs/>
          <w:sz w:val="21"/>
          <w:szCs w:val="21"/>
        </w:rPr>
      </w:pPr>
      <w:r>
        <w:rPr>
          <w:b/>
          <w:bCs/>
          <w:sz w:val="21"/>
          <w:szCs w:val="21"/>
        </w:rPr>
        <w:t>表1  农业机械化及其自动化专业在校生人数情况（人）</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0"/>
        <w:gridCol w:w="1811"/>
        <w:gridCol w:w="1811"/>
        <w:gridCol w:w="1811"/>
        <w:gridCol w:w="18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9" w:type="pct"/>
            <w:vAlign w:val="center"/>
          </w:tcPr>
          <w:p>
            <w:pPr>
              <w:spacing w:line="240" w:lineRule="auto"/>
              <w:jc w:val="center"/>
              <w:rPr>
                <w:b/>
                <w:bCs/>
                <w:sz w:val="21"/>
                <w:szCs w:val="21"/>
              </w:rPr>
            </w:pPr>
            <w:r>
              <w:rPr>
                <w:b/>
                <w:bCs/>
                <w:sz w:val="21"/>
                <w:szCs w:val="21"/>
              </w:rPr>
              <w:t>2019级</w:t>
            </w:r>
          </w:p>
        </w:tc>
        <w:tc>
          <w:tcPr>
            <w:tcW w:w="999" w:type="pct"/>
            <w:vAlign w:val="center"/>
          </w:tcPr>
          <w:p>
            <w:pPr>
              <w:spacing w:line="240" w:lineRule="auto"/>
              <w:jc w:val="center"/>
              <w:rPr>
                <w:b/>
                <w:bCs/>
                <w:sz w:val="21"/>
                <w:szCs w:val="21"/>
              </w:rPr>
            </w:pPr>
            <w:r>
              <w:rPr>
                <w:b/>
                <w:bCs/>
                <w:sz w:val="21"/>
                <w:szCs w:val="21"/>
              </w:rPr>
              <w:t>2020级</w:t>
            </w:r>
          </w:p>
        </w:tc>
        <w:tc>
          <w:tcPr>
            <w:tcW w:w="999" w:type="pct"/>
            <w:vAlign w:val="center"/>
          </w:tcPr>
          <w:p>
            <w:pPr>
              <w:spacing w:line="240" w:lineRule="auto"/>
              <w:jc w:val="center"/>
              <w:rPr>
                <w:b/>
                <w:bCs/>
                <w:sz w:val="21"/>
                <w:szCs w:val="21"/>
              </w:rPr>
            </w:pPr>
            <w:r>
              <w:rPr>
                <w:b/>
                <w:bCs/>
                <w:sz w:val="21"/>
                <w:szCs w:val="21"/>
              </w:rPr>
              <w:t>2021级</w:t>
            </w:r>
          </w:p>
        </w:tc>
        <w:tc>
          <w:tcPr>
            <w:tcW w:w="999" w:type="pct"/>
            <w:vAlign w:val="center"/>
          </w:tcPr>
          <w:p>
            <w:pPr>
              <w:spacing w:line="240" w:lineRule="auto"/>
              <w:jc w:val="center"/>
              <w:rPr>
                <w:b/>
                <w:bCs/>
                <w:sz w:val="21"/>
                <w:szCs w:val="21"/>
              </w:rPr>
            </w:pPr>
            <w:r>
              <w:rPr>
                <w:b/>
                <w:bCs/>
                <w:sz w:val="21"/>
                <w:szCs w:val="21"/>
              </w:rPr>
              <w:t>2022级</w:t>
            </w:r>
          </w:p>
        </w:tc>
        <w:tc>
          <w:tcPr>
            <w:tcW w:w="1000" w:type="pct"/>
            <w:vAlign w:val="center"/>
          </w:tcPr>
          <w:p>
            <w:pPr>
              <w:spacing w:line="240" w:lineRule="auto"/>
              <w:jc w:val="center"/>
              <w:rPr>
                <w:b/>
                <w:bCs/>
                <w:sz w:val="21"/>
                <w:szCs w:val="21"/>
                <w:lang w:val="zh-CN"/>
              </w:rPr>
            </w:pPr>
            <w:r>
              <w:rPr>
                <w:b/>
                <w:bCs/>
                <w:sz w:val="21"/>
                <w:szCs w:val="21"/>
                <w:lang w:val="zh-CN"/>
              </w:rPr>
              <w:t>总人数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9" w:type="pct"/>
            <w:vAlign w:val="center"/>
          </w:tcPr>
          <w:p>
            <w:pPr>
              <w:spacing w:line="240" w:lineRule="auto"/>
              <w:jc w:val="center"/>
              <w:rPr>
                <w:sz w:val="21"/>
                <w:szCs w:val="21"/>
              </w:rPr>
            </w:pPr>
            <w:r>
              <w:rPr>
                <w:sz w:val="21"/>
                <w:szCs w:val="21"/>
              </w:rPr>
              <w:t>52</w:t>
            </w:r>
          </w:p>
        </w:tc>
        <w:tc>
          <w:tcPr>
            <w:tcW w:w="999" w:type="pct"/>
            <w:vAlign w:val="center"/>
          </w:tcPr>
          <w:p>
            <w:pPr>
              <w:spacing w:line="240" w:lineRule="auto"/>
              <w:jc w:val="center"/>
              <w:rPr>
                <w:sz w:val="21"/>
                <w:szCs w:val="21"/>
              </w:rPr>
            </w:pPr>
            <w:r>
              <w:rPr>
                <w:sz w:val="21"/>
                <w:szCs w:val="21"/>
              </w:rPr>
              <w:t>66</w:t>
            </w:r>
          </w:p>
        </w:tc>
        <w:tc>
          <w:tcPr>
            <w:tcW w:w="999" w:type="pct"/>
            <w:vAlign w:val="center"/>
          </w:tcPr>
          <w:p>
            <w:pPr>
              <w:spacing w:line="240" w:lineRule="auto"/>
              <w:jc w:val="center"/>
              <w:rPr>
                <w:sz w:val="21"/>
                <w:szCs w:val="21"/>
              </w:rPr>
            </w:pPr>
            <w:r>
              <w:rPr>
                <w:sz w:val="21"/>
                <w:szCs w:val="21"/>
              </w:rPr>
              <w:t>54</w:t>
            </w:r>
          </w:p>
        </w:tc>
        <w:tc>
          <w:tcPr>
            <w:tcW w:w="999" w:type="pct"/>
            <w:vAlign w:val="center"/>
          </w:tcPr>
          <w:p>
            <w:pPr>
              <w:spacing w:line="240" w:lineRule="auto"/>
              <w:jc w:val="center"/>
              <w:rPr>
                <w:sz w:val="21"/>
                <w:szCs w:val="21"/>
              </w:rPr>
            </w:pPr>
            <w:r>
              <w:rPr>
                <w:sz w:val="21"/>
                <w:szCs w:val="21"/>
              </w:rPr>
              <w:t>50</w:t>
            </w:r>
          </w:p>
        </w:tc>
        <w:tc>
          <w:tcPr>
            <w:tcW w:w="1000" w:type="pct"/>
            <w:vAlign w:val="center"/>
          </w:tcPr>
          <w:p>
            <w:pPr>
              <w:spacing w:line="240" w:lineRule="auto"/>
              <w:jc w:val="center"/>
              <w:rPr>
                <w:sz w:val="21"/>
                <w:szCs w:val="21"/>
              </w:rPr>
            </w:pPr>
            <w:r>
              <w:rPr>
                <w:sz w:val="21"/>
                <w:szCs w:val="21"/>
              </w:rPr>
              <w:t>222</w:t>
            </w:r>
          </w:p>
        </w:tc>
      </w:tr>
    </w:tbl>
    <w:p>
      <w:pPr>
        <w:ind w:firstLine="480"/>
      </w:pPr>
      <w:r>
        <w:t>该专业主干学科为：农业工程、机械工程</w:t>
      </w:r>
    </w:p>
    <w:p>
      <w:pPr>
        <w:ind w:firstLine="480"/>
      </w:pPr>
      <w:r>
        <w:t>主要课程：机械制图与CAD、理论力学、材料力学、机械原理、机械设计、互换性与技术测量、工程材料及成型技术、电工学、电子学、工程测试与信号处理、单片机原理与应用、机电一体化技术、传热学、流体力学与流体机械、农业工程概论、农业物料学（双语）、汽车拖拉机学、农业机械学、农业机械化管理学、精细农业等。</w:t>
      </w:r>
    </w:p>
    <w:p>
      <w:pPr>
        <w:ind w:firstLine="480"/>
      </w:pPr>
      <w:r>
        <w:t>主要实践环节：机械制图测绘与CAD实践、金工实习、汽车拖拉机拆装实习、机械制造工艺实习、机械设计课程设计、农业机械学课程设计、毕业实习、毕业论文等。</w:t>
      </w:r>
    </w:p>
    <w:p>
      <w:pPr>
        <w:ind w:firstLine="480"/>
      </w:pPr>
      <w:r>
        <w:t>学分总体安排：课程总学分为170学分；其中必修课139学分，占课程总学分的81.7%；选修课31学分，占课程总学分的19.3%；实践教学环节总学分为45学分，占总学分的26.5%。</w:t>
      </w:r>
    </w:p>
    <w:p>
      <w:pPr>
        <w:ind w:firstLine="480"/>
      </w:pPr>
      <w:r>
        <w:t>该专业极为重视大学生的创新创业工作，以学院层级式、阶梯式创新创业工作为基础，以卓越工程师培养计划为契机，在不同年级开展不同类型创新创业活动，如在大一年级学生开展模型设计大赛；大二年级学生定向培训，根据个人兴趣爱好及所学课程，指导学生进入教师科研团队，同时组建科技兴趣小组；鼓励并扶持大三年级学生参加各种科技创新竞赛，如全国大学生机械产品数字化设计大赛、全国智能农业装备大赛、全国信息技术应用大赛、全国大学生电子设计竞赛、全国三维数字化创新设计大赛、飞思卡尔智能车大赛、中国机器人大赛暨ROBOCUP公开赛、山东省科技创新大赛、</w:t>
      </w:r>
      <w:r>
        <w:rPr>
          <w:rFonts w:hint="eastAsia"/>
        </w:rPr>
        <w:t>“</w:t>
      </w:r>
      <w:r>
        <w:t>挑战杯</w:t>
      </w:r>
      <w:r>
        <w:rPr>
          <w:rFonts w:hint="eastAsia"/>
        </w:rPr>
        <w:t>”</w:t>
      </w:r>
      <w:r>
        <w:t>山东省大学生课外学术科技作品竞赛等，并取得优异成绩。同时，还成功申请国家级大学生创新创业训练计划项目、泰安市大学生科技创新项目与山东农业大学SRT计划项目。</w:t>
      </w:r>
    </w:p>
    <w:p>
      <w:pPr>
        <w:pStyle w:val="5"/>
        <w:spacing w:before="93" w:after="93"/>
        <w:ind w:firstLine="560"/>
      </w:pPr>
      <w:bookmarkStart w:id="371" w:name="_Toc412"/>
      <w:r>
        <w:t>三、培养条件（教学经费投入、教学设备、教师队伍建设、实习基地、现代教学技术应用等）</w:t>
      </w:r>
      <w:bookmarkEnd w:id="371"/>
    </w:p>
    <w:p>
      <w:pPr>
        <w:ind w:firstLine="480"/>
      </w:pPr>
      <w:r>
        <w:t>2022年，</w:t>
      </w:r>
      <w:r>
        <w:rPr>
          <w:lang w:val="zh-CN"/>
        </w:rPr>
        <w:t>农业机械化及其自动化专业依托学院山东省农业机械化工程重点学科、国家级一流本科专业建设点、山东省名校建设工程和国家级农业机械化及自动化实验教学师范中心、国家级农业机械化及其自动化虚拟仿真实验教学中心、国家级现代农业工程类专业创业型人才培养模式创新实验区、山东省园艺机械与装备重点实验室、山东省农业装备智能化工程实验室、农业生产机械装备国家工程研究中心（共建）、机械与电子工程学院机械工程实验教学中心及电工电子实验教学中心等平台开展教学科研工作。在学校各级领导的关怀下，农业机械化及其自动化专业的实验室面积得到大幅度提高，实验条件得到极大改善，目前与本专业相关的实验室面积达6000平米左右、仪器设备总值3200多万元。另外，学院自筹资金，购买了大量农业机械化及其自动化专业书籍350余套，学术期刊20余部，经过多年的建设与完善，教学实验条件完全满足教学的要求。</w:t>
      </w:r>
    </w:p>
    <w:p>
      <w:pPr>
        <w:ind w:firstLine="480"/>
        <w:rPr>
          <w:b/>
          <w:bCs/>
          <w:sz w:val="21"/>
          <w:szCs w:val="21"/>
        </w:rPr>
      </w:pPr>
      <w:r>
        <w:t>强化师资建设与教学科研水平提高，重视青年教师教学和科研能力培养，截止到2022年9月底，</w:t>
      </w:r>
      <w:r>
        <w:rPr>
          <w:lang w:val="zh-CN"/>
        </w:rPr>
        <w:t>农业机械化及其自动化</w:t>
      </w:r>
      <w:r>
        <w:t>专业专职教师共17人，实验人员共1人。师资队伍具体人员概况如表2所示。</w:t>
      </w:r>
      <w:r>
        <w:rPr>
          <w:b/>
          <w:bCs/>
          <w:sz w:val="21"/>
          <w:szCs w:val="21"/>
        </w:rPr>
        <w:br w:type="page"/>
      </w:r>
    </w:p>
    <w:p>
      <w:pPr>
        <w:ind w:firstLine="422"/>
        <w:jc w:val="center"/>
        <w:rPr>
          <w:b/>
          <w:bCs/>
          <w:sz w:val="21"/>
          <w:szCs w:val="21"/>
        </w:rPr>
      </w:pPr>
      <w:r>
        <w:rPr>
          <w:b/>
          <w:bCs/>
          <w:sz w:val="21"/>
          <w:szCs w:val="21"/>
        </w:rPr>
        <w:t>表2  农业机械化及其自动化专业师资队伍</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6"/>
        <w:gridCol w:w="958"/>
        <w:gridCol w:w="1047"/>
        <w:gridCol w:w="791"/>
        <w:gridCol w:w="1108"/>
        <w:gridCol w:w="44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Align w:val="center"/>
          </w:tcPr>
          <w:p>
            <w:pPr>
              <w:spacing w:line="240" w:lineRule="auto"/>
              <w:contextualSpacing/>
              <w:jc w:val="center"/>
              <w:rPr>
                <w:rFonts w:eastAsiaTheme="minorEastAsia"/>
                <w:b/>
                <w:bCs/>
                <w:sz w:val="21"/>
                <w:szCs w:val="21"/>
              </w:rPr>
            </w:pPr>
            <w:r>
              <w:rPr>
                <w:rFonts w:eastAsiaTheme="minorEastAsia"/>
                <w:b/>
                <w:bCs/>
                <w:sz w:val="21"/>
                <w:szCs w:val="21"/>
              </w:rPr>
              <w:t>序号</w:t>
            </w:r>
          </w:p>
        </w:tc>
        <w:tc>
          <w:tcPr>
            <w:tcW w:w="529" w:type="pct"/>
            <w:vAlign w:val="center"/>
          </w:tcPr>
          <w:p>
            <w:pPr>
              <w:spacing w:line="240" w:lineRule="auto"/>
              <w:contextualSpacing/>
              <w:jc w:val="center"/>
              <w:rPr>
                <w:rFonts w:eastAsiaTheme="minorEastAsia"/>
                <w:b/>
                <w:bCs/>
                <w:sz w:val="21"/>
                <w:szCs w:val="21"/>
              </w:rPr>
            </w:pPr>
            <w:r>
              <w:rPr>
                <w:rFonts w:eastAsiaTheme="minorEastAsia"/>
                <w:b/>
                <w:bCs/>
                <w:sz w:val="21"/>
                <w:szCs w:val="21"/>
              </w:rPr>
              <w:t>姓名</w:t>
            </w:r>
          </w:p>
        </w:tc>
        <w:tc>
          <w:tcPr>
            <w:tcW w:w="578" w:type="pct"/>
            <w:vAlign w:val="center"/>
          </w:tcPr>
          <w:p>
            <w:pPr>
              <w:spacing w:line="240" w:lineRule="auto"/>
              <w:contextualSpacing/>
              <w:jc w:val="center"/>
              <w:rPr>
                <w:rFonts w:eastAsiaTheme="minorEastAsia"/>
                <w:b/>
                <w:bCs/>
                <w:sz w:val="21"/>
                <w:szCs w:val="21"/>
              </w:rPr>
            </w:pPr>
            <w:r>
              <w:rPr>
                <w:rFonts w:eastAsiaTheme="minorEastAsia"/>
                <w:b/>
                <w:bCs/>
                <w:sz w:val="21"/>
                <w:szCs w:val="21"/>
              </w:rPr>
              <w:t>职称</w:t>
            </w:r>
          </w:p>
        </w:tc>
        <w:tc>
          <w:tcPr>
            <w:tcW w:w="437" w:type="pct"/>
            <w:vAlign w:val="center"/>
          </w:tcPr>
          <w:p>
            <w:pPr>
              <w:spacing w:line="240" w:lineRule="auto"/>
              <w:contextualSpacing/>
              <w:jc w:val="center"/>
              <w:rPr>
                <w:rFonts w:eastAsiaTheme="minorEastAsia"/>
                <w:b/>
                <w:bCs/>
                <w:sz w:val="21"/>
                <w:szCs w:val="21"/>
              </w:rPr>
            </w:pPr>
            <w:r>
              <w:rPr>
                <w:rFonts w:eastAsiaTheme="minorEastAsia"/>
                <w:b/>
                <w:bCs/>
                <w:sz w:val="21"/>
                <w:szCs w:val="21"/>
              </w:rPr>
              <w:t>学位</w:t>
            </w:r>
          </w:p>
        </w:tc>
        <w:tc>
          <w:tcPr>
            <w:tcW w:w="612" w:type="pct"/>
            <w:vAlign w:val="center"/>
          </w:tcPr>
          <w:p>
            <w:pPr>
              <w:spacing w:line="240" w:lineRule="auto"/>
              <w:contextualSpacing/>
              <w:jc w:val="center"/>
              <w:rPr>
                <w:rFonts w:eastAsiaTheme="minorEastAsia"/>
                <w:b/>
                <w:bCs/>
                <w:sz w:val="21"/>
                <w:szCs w:val="21"/>
              </w:rPr>
            </w:pPr>
            <w:r>
              <w:rPr>
                <w:rFonts w:eastAsiaTheme="minorEastAsia"/>
                <w:b/>
                <w:bCs/>
                <w:sz w:val="21"/>
                <w:szCs w:val="21"/>
              </w:rPr>
              <w:t>学历</w:t>
            </w:r>
          </w:p>
        </w:tc>
        <w:tc>
          <w:tcPr>
            <w:tcW w:w="2460" w:type="pct"/>
            <w:vAlign w:val="center"/>
          </w:tcPr>
          <w:p>
            <w:pPr>
              <w:spacing w:line="240" w:lineRule="auto"/>
              <w:contextualSpacing/>
              <w:jc w:val="center"/>
              <w:rPr>
                <w:rFonts w:eastAsiaTheme="minorEastAsia"/>
                <w:b/>
                <w:bCs/>
                <w:sz w:val="21"/>
                <w:szCs w:val="21"/>
              </w:rPr>
            </w:pPr>
            <w:r>
              <w:rPr>
                <w:rFonts w:eastAsiaTheme="minorEastAsia"/>
                <w:b/>
                <w:bCs/>
                <w:sz w:val="21"/>
                <w:szCs w:val="21"/>
              </w:rPr>
              <w:t>讲授课程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Align w:val="center"/>
          </w:tcPr>
          <w:p>
            <w:pPr>
              <w:spacing w:line="240" w:lineRule="auto"/>
              <w:contextualSpacing/>
              <w:jc w:val="center"/>
              <w:rPr>
                <w:rFonts w:eastAsiaTheme="minorEastAsia"/>
                <w:sz w:val="21"/>
                <w:szCs w:val="21"/>
              </w:rPr>
            </w:pPr>
            <w:r>
              <w:rPr>
                <w:rFonts w:eastAsiaTheme="minorEastAsia"/>
                <w:sz w:val="21"/>
                <w:szCs w:val="21"/>
              </w:rPr>
              <w:t>1</w:t>
            </w:r>
          </w:p>
        </w:tc>
        <w:tc>
          <w:tcPr>
            <w:tcW w:w="529" w:type="pct"/>
            <w:vAlign w:val="center"/>
          </w:tcPr>
          <w:p>
            <w:pPr>
              <w:spacing w:line="240" w:lineRule="auto"/>
              <w:contextualSpacing/>
              <w:jc w:val="center"/>
              <w:rPr>
                <w:rFonts w:eastAsiaTheme="minorEastAsia"/>
                <w:sz w:val="21"/>
                <w:szCs w:val="21"/>
              </w:rPr>
            </w:pPr>
            <w:r>
              <w:rPr>
                <w:rFonts w:eastAsiaTheme="minorEastAsia"/>
                <w:sz w:val="21"/>
                <w:szCs w:val="21"/>
              </w:rPr>
              <w:t>李法德</w:t>
            </w:r>
          </w:p>
        </w:tc>
        <w:tc>
          <w:tcPr>
            <w:tcW w:w="578" w:type="pct"/>
            <w:vAlign w:val="center"/>
          </w:tcPr>
          <w:p>
            <w:pPr>
              <w:spacing w:line="240" w:lineRule="auto"/>
              <w:contextualSpacing/>
              <w:jc w:val="center"/>
              <w:rPr>
                <w:rFonts w:eastAsiaTheme="minorEastAsia"/>
                <w:sz w:val="21"/>
                <w:szCs w:val="21"/>
              </w:rPr>
            </w:pPr>
            <w:r>
              <w:rPr>
                <w:rFonts w:eastAsiaTheme="minorEastAsia"/>
                <w:sz w:val="21"/>
                <w:szCs w:val="21"/>
              </w:rPr>
              <w:t>教授</w:t>
            </w:r>
          </w:p>
        </w:tc>
        <w:tc>
          <w:tcPr>
            <w:tcW w:w="437" w:type="pct"/>
            <w:vAlign w:val="center"/>
          </w:tcPr>
          <w:p>
            <w:pPr>
              <w:spacing w:line="240" w:lineRule="auto"/>
              <w:contextualSpacing/>
              <w:jc w:val="center"/>
              <w:rPr>
                <w:rFonts w:eastAsiaTheme="minorEastAsia"/>
                <w:sz w:val="21"/>
                <w:szCs w:val="21"/>
              </w:rPr>
            </w:pPr>
            <w:r>
              <w:rPr>
                <w:rFonts w:eastAsiaTheme="minorEastAsia"/>
                <w:sz w:val="21"/>
                <w:szCs w:val="21"/>
              </w:rPr>
              <w:t>博士</w:t>
            </w:r>
          </w:p>
        </w:tc>
        <w:tc>
          <w:tcPr>
            <w:tcW w:w="612" w:type="pct"/>
            <w:vAlign w:val="center"/>
          </w:tcPr>
          <w:p>
            <w:pPr>
              <w:adjustRightInd w:val="0"/>
              <w:snapToGrid w:val="0"/>
              <w:spacing w:line="240" w:lineRule="auto"/>
              <w:jc w:val="center"/>
              <w:rPr>
                <w:rFonts w:eastAsiaTheme="minorEastAsia"/>
                <w:sz w:val="21"/>
                <w:szCs w:val="21"/>
              </w:rPr>
            </w:pPr>
            <w:r>
              <w:rPr>
                <w:rFonts w:eastAsiaTheme="minorEastAsia"/>
                <w:sz w:val="21"/>
                <w:szCs w:val="21"/>
              </w:rPr>
              <w:t>研究生</w:t>
            </w:r>
          </w:p>
        </w:tc>
        <w:tc>
          <w:tcPr>
            <w:tcW w:w="2460" w:type="pct"/>
            <w:vAlign w:val="center"/>
          </w:tcPr>
          <w:p>
            <w:pPr>
              <w:spacing w:line="240" w:lineRule="auto"/>
              <w:contextualSpacing/>
              <w:jc w:val="center"/>
              <w:rPr>
                <w:rFonts w:eastAsiaTheme="minorEastAsia"/>
                <w:sz w:val="21"/>
                <w:szCs w:val="21"/>
              </w:rPr>
            </w:pPr>
            <w:r>
              <w:rPr>
                <w:rFonts w:eastAsiaTheme="minorEastAsia"/>
                <w:sz w:val="21"/>
                <w:szCs w:val="21"/>
              </w:rPr>
              <w:t>农业物料学、农产品加工工程、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Align w:val="center"/>
          </w:tcPr>
          <w:p>
            <w:pPr>
              <w:spacing w:line="240" w:lineRule="auto"/>
              <w:contextualSpacing/>
              <w:jc w:val="center"/>
              <w:rPr>
                <w:rFonts w:eastAsiaTheme="minorEastAsia"/>
                <w:sz w:val="21"/>
                <w:szCs w:val="21"/>
              </w:rPr>
            </w:pPr>
            <w:r>
              <w:rPr>
                <w:rFonts w:eastAsiaTheme="minorEastAsia"/>
                <w:sz w:val="21"/>
                <w:szCs w:val="21"/>
              </w:rPr>
              <w:t>2</w:t>
            </w:r>
          </w:p>
        </w:tc>
        <w:tc>
          <w:tcPr>
            <w:tcW w:w="529" w:type="pct"/>
            <w:vAlign w:val="center"/>
          </w:tcPr>
          <w:p>
            <w:pPr>
              <w:spacing w:line="240" w:lineRule="auto"/>
              <w:contextualSpacing/>
              <w:jc w:val="center"/>
              <w:rPr>
                <w:rFonts w:eastAsiaTheme="minorEastAsia"/>
                <w:sz w:val="21"/>
                <w:szCs w:val="21"/>
              </w:rPr>
            </w:pPr>
            <w:r>
              <w:rPr>
                <w:rFonts w:eastAsiaTheme="minorEastAsia"/>
                <w:sz w:val="21"/>
                <w:szCs w:val="21"/>
              </w:rPr>
              <w:t>宋月鹏</w:t>
            </w:r>
          </w:p>
        </w:tc>
        <w:tc>
          <w:tcPr>
            <w:tcW w:w="578" w:type="pct"/>
            <w:vAlign w:val="center"/>
          </w:tcPr>
          <w:p>
            <w:pPr>
              <w:spacing w:line="240" w:lineRule="auto"/>
              <w:contextualSpacing/>
              <w:jc w:val="center"/>
              <w:rPr>
                <w:rFonts w:eastAsiaTheme="minorEastAsia"/>
                <w:sz w:val="21"/>
                <w:szCs w:val="21"/>
              </w:rPr>
            </w:pPr>
            <w:r>
              <w:rPr>
                <w:rFonts w:eastAsiaTheme="minorEastAsia"/>
                <w:sz w:val="21"/>
                <w:szCs w:val="21"/>
              </w:rPr>
              <w:t>教授</w:t>
            </w:r>
          </w:p>
        </w:tc>
        <w:tc>
          <w:tcPr>
            <w:tcW w:w="437" w:type="pct"/>
            <w:vAlign w:val="center"/>
          </w:tcPr>
          <w:p>
            <w:pPr>
              <w:spacing w:line="240" w:lineRule="auto"/>
              <w:contextualSpacing/>
              <w:jc w:val="center"/>
              <w:rPr>
                <w:rFonts w:eastAsiaTheme="minorEastAsia"/>
                <w:sz w:val="21"/>
                <w:szCs w:val="21"/>
              </w:rPr>
            </w:pPr>
            <w:r>
              <w:rPr>
                <w:rFonts w:eastAsiaTheme="minorEastAsia"/>
                <w:sz w:val="21"/>
                <w:szCs w:val="21"/>
              </w:rPr>
              <w:t>博士</w:t>
            </w:r>
          </w:p>
        </w:tc>
        <w:tc>
          <w:tcPr>
            <w:tcW w:w="612" w:type="pct"/>
            <w:vAlign w:val="center"/>
          </w:tcPr>
          <w:p>
            <w:pPr>
              <w:spacing w:line="240" w:lineRule="auto"/>
              <w:contextualSpacing/>
              <w:jc w:val="center"/>
              <w:rPr>
                <w:rFonts w:eastAsiaTheme="minorEastAsia"/>
                <w:sz w:val="21"/>
                <w:szCs w:val="21"/>
              </w:rPr>
            </w:pPr>
            <w:r>
              <w:rPr>
                <w:rFonts w:eastAsiaTheme="minorEastAsia"/>
                <w:sz w:val="21"/>
                <w:szCs w:val="21"/>
              </w:rPr>
              <w:t>研究生</w:t>
            </w:r>
          </w:p>
        </w:tc>
        <w:tc>
          <w:tcPr>
            <w:tcW w:w="2460" w:type="pct"/>
            <w:vAlign w:val="center"/>
          </w:tcPr>
          <w:p>
            <w:pPr>
              <w:spacing w:line="240" w:lineRule="auto"/>
              <w:contextualSpacing/>
              <w:jc w:val="center"/>
              <w:rPr>
                <w:rFonts w:eastAsiaTheme="minorEastAsia"/>
                <w:sz w:val="21"/>
                <w:szCs w:val="21"/>
              </w:rPr>
            </w:pPr>
            <w:r>
              <w:rPr>
                <w:rFonts w:eastAsiaTheme="minorEastAsia"/>
                <w:sz w:val="21"/>
                <w:szCs w:val="21"/>
              </w:rPr>
              <w:t>金属工艺学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Align w:val="center"/>
          </w:tcPr>
          <w:p>
            <w:pPr>
              <w:spacing w:line="240" w:lineRule="auto"/>
              <w:contextualSpacing/>
              <w:jc w:val="center"/>
              <w:rPr>
                <w:rFonts w:eastAsiaTheme="minorEastAsia"/>
                <w:sz w:val="21"/>
                <w:szCs w:val="21"/>
              </w:rPr>
            </w:pPr>
            <w:r>
              <w:rPr>
                <w:rFonts w:eastAsiaTheme="minorEastAsia"/>
                <w:sz w:val="21"/>
                <w:szCs w:val="21"/>
              </w:rPr>
              <w:t>3</w:t>
            </w:r>
          </w:p>
        </w:tc>
        <w:tc>
          <w:tcPr>
            <w:tcW w:w="529" w:type="pct"/>
            <w:vAlign w:val="center"/>
          </w:tcPr>
          <w:p>
            <w:pPr>
              <w:spacing w:line="240" w:lineRule="auto"/>
              <w:contextualSpacing/>
              <w:jc w:val="center"/>
              <w:rPr>
                <w:rFonts w:eastAsiaTheme="minorEastAsia"/>
                <w:sz w:val="21"/>
                <w:szCs w:val="21"/>
              </w:rPr>
            </w:pPr>
            <w:r>
              <w:rPr>
                <w:rFonts w:eastAsiaTheme="minorEastAsia"/>
                <w:sz w:val="21"/>
                <w:szCs w:val="21"/>
              </w:rPr>
              <w:t>王金星</w:t>
            </w:r>
          </w:p>
        </w:tc>
        <w:tc>
          <w:tcPr>
            <w:tcW w:w="578" w:type="pct"/>
            <w:vAlign w:val="center"/>
          </w:tcPr>
          <w:p>
            <w:pPr>
              <w:spacing w:line="240" w:lineRule="auto"/>
              <w:contextualSpacing/>
              <w:jc w:val="center"/>
              <w:rPr>
                <w:rFonts w:eastAsiaTheme="minorEastAsia"/>
                <w:sz w:val="21"/>
                <w:szCs w:val="21"/>
              </w:rPr>
            </w:pPr>
            <w:r>
              <w:rPr>
                <w:rFonts w:eastAsiaTheme="minorEastAsia"/>
                <w:sz w:val="21"/>
                <w:szCs w:val="21"/>
              </w:rPr>
              <w:t>教授</w:t>
            </w:r>
          </w:p>
        </w:tc>
        <w:tc>
          <w:tcPr>
            <w:tcW w:w="437" w:type="pct"/>
            <w:vAlign w:val="center"/>
          </w:tcPr>
          <w:p>
            <w:pPr>
              <w:spacing w:line="240" w:lineRule="auto"/>
              <w:contextualSpacing/>
              <w:jc w:val="center"/>
              <w:rPr>
                <w:rFonts w:eastAsiaTheme="minorEastAsia"/>
                <w:sz w:val="21"/>
                <w:szCs w:val="21"/>
              </w:rPr>
            </w:pPr>
            <w:r>
              <w:rPr>
                <w:rFonts w:eastAsiaTheme="minorEastAsia"/>
                <w:sz w:val="21"/>
                <w:szCs w:val="21"/>
              </w:rPr>
              <w:t>博士</w:t>
            </w:r>
          </w:p>
        </w:tc>
        <w:tc>
          <w:tcPr>
            <w:tcW w:w="612" w:type="pct"/>
            <w:vAlign w:val="center"/>
          </w:tcPr>
          <w:p>
            <w:pPr>
              <w:spacing w:line="240" w:lineRule="auto"/>
              <w:contextualSpacing/>
              <w:jc w:val="center"/>
              <w:rPr>
                <w:rFonts w:eastAsiaTheme="minorEastAsia"/>
                <w:sz w:val="21"/>
                <w:szCs w:val="21"/>
              </w:rPr>
            </w:pPr>
            <w:r>
              <w:rPr>
                <w:rFonts w:eastAsiaTheme="minorEastAsia"/>
                <w:sz w:val="21"/>
                <w:szCs w:val="21"/>
              </w:rPr>
              <w:t>研究生</w:t>
            </w:r>
          </w:p>
        </w:tc>
        <w:tc>
          <w:tcPr>
            <w:tcW w:w="2460" w:type="pct"/>
            <w:vAlign w:val="center"/>
          </w:tcPr>
          <w:p>
            <w:pPr>
              <w:spacing w:line="240" w:lineRule="auto"/>
              <w:contextualSpacing/>
              <w:jc w:val="center"/>
              <w:rPr>
                <w:rFonts w:eastAsiaTheme="minorEastAsia"/>
                <w:sz w:val="21"/>
                <w:szCs w:val="21"/>
              </w:rPr>
            </w:pPr>
            <w:r>
              <w:rPr>
                <w:rFonts w:eastAsiaTheme="minorEastAsia"/>
                <w:sz w:val="21"/>
                <w:szCs w:val="21"/>
              </w:rPr>
              <w:t>互换性与技术测量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Align w:val="center"/>
          </w:tcPr>
          <w:p>
            <w:pPr>
              <w:spacing w:line="240" w:lineRule="auto"/>
              <w:contextualSpacing/>
              <w:jc w:val="center"/>
              <w:rPr>
                <w:rFonts w:eastAsiaTheme="minorEastAsia"/>
                <w:sz w:val="21"/>
                <w:szCs w:val="21"/>
              </w:rPr>
            </w:pPr>
            <w:r>
              <w:rPr>
                <w:rFonts w:eastAsiaTheme="minorEastAsia"/>
                <w:sz w:val="21"/>
                <w:szCs w:val="21"/>
              </w:rPr>
              <w:t>4</w:t>
            </w:r>
          </w:p>
        </w:tc>
        <w:tc>
          <w:tcPr>
            <w:tcW w:w="529" w:type="pct"/>
            <w:vAlign w:val="center"/>
          </w:tcPr>
          <w:p>
            <w:pPr>
              <w:spacing w:line="240" w:lineRule="auto"/>
              <w:contextualSpacing/>
              <w:jc w:val="center"/>
              <w:rPr>
                <w:rFonts w:eastAsiaTheme="minorEastAsia"/>
                <w:sz w:val="21"/>
                <w:szCs w:val="21"/>
              </w:rPr>
            </w:pPr>
            <w:r>
              <w:rPr>
                <w:rFonts w:eastAsiaTheme="minorEastAsia"/>
                <w:sz w:val="21"/>
                <w:szCs w:val="21"/>
              </w:rPr>
              <w:t>许令峰</w:t>
            </w:r>
          </w:p>
        </w:tc>
        <w:tc>
          <w:tcPr>
            <w:tcW w:w="578" w:type="pct"/>
            <w:vAlign w:val="center"/>
          </w:tcPr>
          <w:p>
            <w:pPr>
              <w:spacing w:line="240" w:lineRule="auto"/>
              <w:contextualSpacing/>
              <w:jc w:val="center"/>
              <w:rPr>
                <w:rFonts w:eastAsiaTheme="minorEastAsia"/>
                <w:sz w:val="21"/>
                <w:szCs w:val="21"/>
              </w:rPr>
            </w:pPr>
            <w:r>
              <w:rPr>
                <w:rFonts w:eastAsiaTheme="minorEastAsia"/>
                <w:sz w:val="21"/>
                <w:szCs w:val="21"/>
              </w:rPr>
              <w:t>副教授</w:t>
            </w:r>
          </w:p>
        </w:tc>
        <w:tc>
          <w:tcPr>
            <w:tcW w:w="437" w:type="pct"/>
            <w:vAlign w:val="center"/>
          </w:tcPr>
          <w:p>
            <w:pPr>
              <w:spacing w:line="240" w:lineRule="auto"/>
              <w:contextualSpacing/>
              <w:jc w:val="center"/>
              <w:rPr>
                <w:rFonts w:eastAsiaTheme="minorEastAsia"/>
                <w:sz w:val="21"/>
                <w:szCs w:val="21"/>
              </w:rPr>
            </w:pPr>
            <w:r>
              <w:rPr>
                <w:rFonts w:eastAsiaTheme="minorEastAsia"/>
                <w:sz w:val="21"/>
                <w:szCs w:val="21"/>
              </w:rPr>
              <w:t>博士</w:t>
            </w:r>
          </w:p>
        </w:tc>
        <w:tc>
          <w:tcPr>
            <w:tcW w:w="612" w:type="pct"/>
            <w:vAlign w:val="center"/>
          </w:tcPr>
          <w:p>
            <w:pPr>
              <w:spacing w:line="240" w:lineRule="auto"/>
              <w:contextualSpacing/>
              <w:jc w:val="center"/>
              <w:rPr>
                <w:rFonts w:eastAsiaTheme="minorEastAsia"/>
                <w:sz w:val="21"/>
                <w:szCs w:val="21"/>
              </w:rPr>
            </w:pPr>
            <w:r>
              <w:rPr>
                <w:rFonts w:eastAsiaTheme="minorEastAsia"/>
                <w:sz w:val="21"/>
                <w:szCs w:val="21"/>
              </w:rPr>
              <w:t>研究生</w:t>
            </w:r>
          </w:p>
        </w:tc>
        <w:tc>
          <w:tcPr>
            <w:tcW w:w="2460" w:type="pct"/>
            <w:vAlign w:val="center"/>
          </w:tcPr>
          <w:p>
            <w:pPr>
              <w:spacing w:line="240" w:lineRule="auto"/>
              <w:contextualSpacing/>
              <w:jc w:val="center"/>
              <w:rPr>
                <w:rFonts w:eastAsiaTheme="minorEastAsia"/>
                <w:sz w:val="21"/>
                <w:szCs w:val="21"/>
              </w:rPr>
            </w:pPr>
            <w:r>
              <w:rPr>
                <w:rFonts w:eastAsiaTheme="minorEastAsia"/>
                <w:sz w:val="21"/>
                <w:szCs w:val="21"/>
              </w:rPr>
              <w:t>工程材料及成型技术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Align w:val="center"/>
          </w:tcPr>
          <w:p>
            <w:pPr>
              <w:spacing w:line="240" w:lineRule="auto"/>
              <w:contextualSpacing/>
              <w:jc w:val="center"/>
              <w:rPr>
                <w:rFonts w:eastAsiaTheme="minorEastAsia"/>
                <w:sz w:val="21"/>
                <w:szCs w:val="21"/>
              </w:rPr>
            </w:pPr>
            <w:r>
              <w:rPr>
                <w:rFonts w:eastAsiaTheme="minorEastAsia"/>
                <w:sz w:val="21"/>
                <w:szCs w:val="21"/>
              </w:rPr>
              <w:t>5</w:t>
            </w:r>
          </w:p>
        </w:tc>
        <w:tc>
          <w:tcPr>
            <w:tcW w:w="529" w:type="pct"/>
            <w:vAlign w:val="center"/>
          </w:tcPr>
          <w:p>
            <w:pPr>
              <w:spacing w:line="240" w:lineRule="auto"/>
              <w:contextualSpacing/>
              <w:jc w:val="center"/>
              <w:rPr>
                <w:rFonts w:eastAsiaTheme="minorEastAsia"/>
                <w:sz w:val="21"/>
                <w:szCs w:val="21"/>
              </w:rPr>
            </w:pPr>
            <w:r>
              <w:rPr>
                <w:rFonts w:eastAsiaTheme="minorEastAsia"/>
                <w:sz w:val="21"/>
                <w:szCs w:val="21"/>
              </w:rPr>
              <w:t>耿爱军</w:t>
            </w:r>
          </w:p>
        </w:tc>
        <w:tc>
          <w:tcPr>
            <w:tcW w:w="578" w:type="pct"/>
            <w:vAlign w:val="center"/>
          </w:tcPr>
          <w:p>
            <w:pPr>
              <w:spacing w:line="240" w:lineRule="auto"/>
              <w:contextualSpacing/>
              <w:jc w:val="center"/>
              <w:rPr>
                <w:rFonts w:eastAsiaTheme="minorEastAsia"/>
                <w:sz w:val="21"/>
                <w:szCs w:val="21"/>
              </w:rPr>
            </w:pPr>
            <w:r>
              <w:rPr>
                <w:rFonts w:eastAsiaTheme="minorEastAsia"/>
                <w:sz w:val="21"/>
                <w:szCs w:val="21"/>
              </w:rPr>
              <w:t>副教授</w:t>
            </w:r>
          </w:p>
        </w:tc>
        <w:tc>
          <w:tcPr>
            <w:tcW w:w="437" w:type="pct"/>
            <w:vAlign w:val="center"/>
          </w:tcPr>
          <w:p>
            <w:pPr>
              <w:spacing w:line="240" w:lineRule="auto"/>
              <w:contextualSpacing/>
              <w:jc w:val="center"/>
              <w:rPr>
                <w:rFonts w:eastAsiaTheme="minorEastAsia"/>
                <w:sz w:val="21"/>
                <w:szCs w:val="21"/>
              </w:rPr>
            </w:pPr>
            <w:r>
              <w:rPr>
                <w:rFonts w:eastAsiaTheme="minorEastAsia"/>
                <w:sz w:val="21"/>
                <w:szCs w:val="21"/>
              </w:rPr>
              <w:t>博士</w:t>
            </w:r>
          </w:p>
        </w:tc>
        <w:tc>
          <w:tcPr>
            <w:tcW w:w="612" w:type="pct"/>
            <w:vAlign w:val="center"/>
          </w:tcPr>
          <w:p>
            <w:pPr>
              <w:spacing w:line="240" w:lineRule="auto"/>
              <w:contextualSpacing/>
              <w:jc w:val="center"/>
              <w:rPr>
                <w:rFonts w:eastAsiaTheme="minorEastAsia"/>
                <w:sz w:val="21"/>
                <w:szCs w:val="21"/>
              </w:rPr>
            </w:pPr>
            <w:r>
              <w:rPr>
                <w:rFonts w:eastAsiaTheme="minorEastAsia"/>
                <w:sz w:val="21"/>
                <w:szCs w:val="21"/>
              </w:rPr>
              <w:t>研究生</w:t>
            </w:r>
          </w:p>
        </w:tc>
        <w:tc>
          <w:tcPr>
            <w:tcW w:w="2460" w:type="pct"/>
            <w:vAlign w:val="center"/>
          </w:tcPr>
          <w:p>
            <w:pPr>
              <w:spacing w:line="240" w:lineRule="auto"/>
              <w:contextualSpacing/>
              <w:jc w:val="center"/>
              <w:rPr>
                <w:rFonts w:eastAsiaTheme="minorEastAsia"/>
                <w:sz w:val="21"/>
                <w:szCs w:val="21"/>
              </w:rPr>
            </w:pPr>
            <w:r>
              <w:rPr>
                <w:rFonts w:eastAsiaTheme="minorEastAsia"/>
                <w:sz w:val="21"/>
                <w:szCs w:val="21"/>
              </w:rPr>
              <w:t>农业工程概论、农业生产机械化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Align w:val="center"/>
          </w:tcPr>
          <w:p>
            <w:pPr>
              <w:spacing w:line="240" w:lineRule="auto"/>
              <w:contextualSpacing/>
              <w:jc w:val="center"/>
              <w:rPr>
                <w:rFonts w:eastAsiaTheme="minorEastAsia"/>
                <w:sz w:val="21"/>
                <w:szCs w:val="21"/>
              </w:rPr>
            </w:pPr>
            <w:r>
              <w:rPr>
                <w:rFonts w:eastAsiaTheme="minorEastAsia"/>
                <w:sz w:val="21"/>
                <w:szCs w:val="21"/>
              </w:rPr>
              <w:t>6</w:t>
            </w:r>
          </w:p>
        </w:tc>
        <w:tc>
          <w:tcPr>
            <w:tcW w:w="529" w:type="pct"/>
            <w:vAlign w:val="center"/>
          </w:tcPr>
          <w:p>
            <w:pPr>
              <w:spacing w:line="240" w:lineRule="auto"/>
              <w:contextualSpacing/>
              <w:jc w:val="center"/>
              <w:rPr>
                <w:rFonts w:eastAsiaTheme="minorEastAsia"/>
                <w:sz w:val="21"/>
                <w:szCs w:val="21"/>
              </w:rPr>
            </w:pPr>
            <w:r>
              <w:rPr>
                <w:rFonts w:eastAsiaTheme="minorEastAsia"/>
                <w:sz w:val="21"/>
                <w:szCs w:val="21"/>
              </w:rPr>
              <w:t>宋占华</w:t>
            </w:r>
          </w:p>
        </w:tc>
        <w:tc>
          <w:tcPr>
            <w:tcW w:w="578" w:type="pct"/>
            <w:vAlign w:val="center"/>
          </w:tcPr>
          <w:p>
            <w:pPr>
              <w:spacing w:line="240" w:lineRule="auto"/>
              <w:contextualSpacing/>
              <w:jc w:val="center"/>
              <w:rPr>
                <w:rFonts w:eastAsiaTheme="minorEastAsia"/>
                <w:sz w:val="21"/>
                <w:szCs w:val="21"/>
              </w:rPr>
            </w:pPr>
            <w:r>
              <w:rPr>
                <w:rFonts w:eastAsiaTheme="minorEastAsia"/>
                <w:sz w:val="21"/>
                <w:szCs w:val="21"/>
              </w:rPr>
              <w:t>副教授</w:t>
            </w:r>
          </w:p>
        </w:tc>
        <w:tc>
          <w:tcPr>
            <w:tcW w:w="437" w:type="pct"/>
            <w:vAlign w:val="center"/>
          </w:tcPr>
          <w:p>
            <w:pPr>
              <w:spacing w:line="240" w:lineRule="auto"/>
              <w:contextualSpacing/>
              <w:jc w:val="center"/>
              <w:rPr>
                <w:rFonts w:eastAsiaTheme="minorEastAsia"/>
                <w:sz w:val="21"/>
                <w:szCs w:val="21"/>
              </w:rPr>
            </w:pPr>
            <w:r>
              <w:rPr>
                <w:rFonts w:eastAsiaTheme="minorEastAsia"/>
                <w:sz w:val="21"/>
                <w:szCs w:val="21"/>
              </w:rPr>
              <w:t>博士</w:t>
            </w:r>
          </w:p>
        </w:tc>
        <w:tc>
          <w:tcPr>
            <w:tcW w:w="612" w:type="pct"/>
            <w:vAlign w:val="center"/>
          </w:tcPr>
          <w:p>
            <w:pPr>
              <w:spacing w:line="240" w:lineRule="auto"/>
              <w:contextualSpacing/>
              <w:jc w:val="center"/>
              <w:rPr>
                <w:rFonts w:eastAsiaTheme="minorEastAsia"/>
                <w:sz w:val="21"/>
                <w:szCs w:val="21"/>
              </w:rPr>
            </w:pPr>
            <w:r>
              <w:rPr>
                <w:rFonts w:eastAsiaTheme="minorEastAsia"/>
                <w:sz w:val="21"/>
                <w:szCs w:val="21"/>
              </w:rPr>
              <w:t>研究生</w:t>
            </w:r>
          </w:p>
        </w:tc>
        <w:tc>
          <w:tcPr>
            <w:tcW w:w="2460" w:type="pct"/>
            <w:vAlign w:val="center"/>
          </w:tcPr>
          <w:p>
            <w:pPr>
              <w:spacing w:line="240" w:lineRule="auto"/>
              <w:contextualSpacing/>
              <w:jc w:val="center"/>
              <w:rPr>
                <w:rFonts w:eastAsiaTheme="minorEastAsia"/>
                <w:sz w:val="21"/>
                <w:szCs w:val="21"/>
              </w:rPr>
            </w:pPr>
            <w:r>
              <w:rPr>
                <w:rFonts w:eastAsiaTheme="minorEastAsia"/>
                <w:sz w:val="21"/>
                <w:szCs w:val="21"/>
              </w:rPr>
              <w:t>农业物料学、农产品加工工程、特种农业机械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Align w:val="center"/>
          </w:tcPr>
          <w:p>
            <w:pPr>
              <w:spacing w:line="240" w:lineRule="auto"/>
              <w:contextualSpacing/>
              <w:jc w:val="center"/>
              <w:rPr>
                <w:rFonts w:eastAsiaTheme="minorEastAsia"/>
                <w:sz w:val="21"/>
                <w:szCs w:val="21"/>
              </w:rPr>
            </w:pPr>
            <w:r>
              <w:rPr>
                <w:rFonts w:eastAsiaTheme="minorEastAsia"/>
                <w:sz w:val="21"/>
                <w:szCs w:val="21"/>
              </w:rPr>
              <w:t>7</w:t>
            </w:r>
          </w:p>
        </w:tc>
        <w:tc>
          <w:tcPr>
            <w:tcW w:w="529" w:type="pct"/>
            <w:vAlign w:val="center"/>
          </w:tcPr>
          <w:p>
            <w:pPr>
              <w:spacing w:line="240" w:lineRule="auto"/>
              <w:contextualSpacing/>
              <w:jc w:val="center"/>
              <w:rPr>
                <w:rFonts w:eastAsiaTheme="minorEastAsia"/>
                <w:sz w:val="21"/>
                <w:szCs w:val="21"/>
              </w:rPr>
            </w:pPr>
            <w:r>
              <w:rPr>
                <w:rFonts w:eastAsiaTheme="minorEastAsia"/>
                <w:sz w:val="21"/>
                <w:szCs w:val="21"/>
              </w:rPr>
              <w:t>樊桂菊</w:t>
            </w:r>
          </w:p>
        </w:tc>
        <w:tc>
          <w:tcPr>
            <w:tcW w:w="578" w:type="pct"/>
            <w:vAlign w:val="center"/>
          </w:tcPr>
          <w:p>
            <w:pPr>
              <w:spacing w:line="240" w:lineRule="auto"/>
              <w:contextualSpacing/>
              <w:jc w:val="center"/>
              <w:rPr>
                <w:rFonts w:eastAsiaTheme="minorEastAsia"/>
                <w:sz w:val="21"/>
                <w:szCs w:val="21"/>
              </w:rPr>
            </w:pPr>
            <w:r>
              <w:rPr>
                <w:rFonts w:eastAsiaTheme="minorEastAsia"/>
                <w:sz w:val="21"/>
                <w:szCs w:val="21"/>
              </w:rPr>
              <w:t>副教授</w:t>
            </w:r>
          </w:p>
        </w:tc>
        <w:tc>
          <w:tcPr>
            <w:tcW w:w="437" w:type="pct"/>
            <w:vAlign w:val="center"/>
          </w:tcPr>
          <w:p>
            <w:pPr>
              <w:spacing w:line="240" w:lineRule="auto"/>
              <w:contextualSpacing/>
              <w:jc w:val="center"/>
              <w:rPr>
                <w:rFonts w:eastAsiaTheme="minorEastAsia"/>
                <w:sz w:val="21"/>
                <w:szCs w:val="21"/>
              </w:rPr>
            </w:pPr>
            <w:r>
              <w:rPr>
                <w:rFonts w:eastAsiaTheme="minorEastAsia"/>
                <w:sz w:val="21"/>
                <w:szCs w:val="21"/>
              </w:rPr>
              <w:t>博士</w:t>
            </w:r>
          </w:p>
        </w:tc>
        <w:tc>
          <w:tcPr>
            <w:tcW w:w="612" w:type="pct"/>
            <w:vAlign w:val="center"/>
          </w:tcPr>
          <w:p>
            <w:pPr>
              <w:spacing w:line="240" w:lineRule="auto"/>
              <w:contextualSpacing/>
              <w:jc w:val="center"/>
              <w:rPr>
                <w:rFonts w:eastAsiaTheme="minorEastAsia"/>
                <w:sz w:val="21"/>
                <w:szCs w:val="21"/>
              </w:rPr>
            </w:pPr>
            <w:r>
              <w:rPr>
                <w:rFonts w:eastAsiaTheme="minorEastAsia"/>
                <w:sz w:val="21"/>
                <w:szCs w:val="21"/>
              </w:rPr>
              <w:t>研究生</w:t>
            </w:r>
          </w:p>
        </w:tc>
        <w:tc>
          <w:tcPr>
            <w:tcW w:w="2460" w:type="pct"/>
            <w:vAlign w:val="center"/>
          </w:tcPr>
          <w:p>
            <w:pPr>
              <w:spacing w:line="240" w:lineRule="auto"/>
              <w:contextualSpacing/>
              <w:jc w:val="center"/>
              <w:rPr>
                <w:rFonts w:eastAsiaTheme="minorEastAsia"/>
                <w:sz w:val="21"/>
                <w:szCs w:val="21"/>
              </w:rPr>
            </w:pPr>
            <w:r>
              <w:rPr>
                <w:rFonts w:eastAsiaTheme="minorEastAsia"/>
                <w:sz w:val="21"/>
                <w:szCs w:val="21"/>
              </w:rPr>
              <w:t>理论力学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Align w:val="center"/>
          </w:tcPr>
          <w:p>
            <w:pPr>
              <w:spacing w:line="240" w:lineRule="auto"/>
              <w:contextualSpacing/>
              <w:jc w:val="center"/>
              <w:rPr>
                <w:rFonts w:eastAsiaTheme="minorEastAsia"/>
                <w:sz w:val="21"/>
                <w:szCs w:val="21"/>
              </w:rPr>
            </w:pPr>
            <w:r>
              <w:rPr>
                <w:rFonts w:eastAsiaTheme="minorEastAsia"/>
                <w:sz w:val="21"/>
                <w:szCs w:val="21"/>
              </w:rPr>
              <w:t>8</w:t>
            </w:r>
          </w:p>
        </w:tc>
        <w:tc>
          <w:tcPr>
            <w:tcW w:w="529" w:type="pct"/>
            <w:vAlign w:val="center"/>
          </w:tcPr>
          <w:p>
            <w:pPr>
              <w:spacing w:line="240" w:lineRule="auto"/>
              <w:contextualSpacing/>
              <w:jc w:val="center"/>
              <w:rPr>
                <w:rFonts w:eastAsiaTheme="minorEastAsia"/>
                <w:sz w:val="21"/>
                <w:szCs w:val="21"/>
              </w:rPr>
            </w:pPr>
            <w:r>
              <w:rPr>
                <w:rFonts w:eastAsiaTheme="minorEastAsia"/>
                <w:sz w:val="21"/>
                <w:szCs w:val="21"/>
              </w:rPr>
              <w:t>郑继周</w:t>
            </w:r>
          </w:p>
        </w:tc>
        <w:tc>
          <w:tcPr>
            <w:tcW w:w="578" w:type="pct"/>
            <w:vAlign w:val="center"/>
          </w:tcPr>
          <w:p>
            <w:pPr>
              <w:spacing w:line="240" w:lineRule="auto"/>
              <w:contextualSpacing/>
              <w:jc w:val="center"/>
              <w:rPr>
                <w:rFonts w:eastAsiaTheme="minorEastAsia"/>
                <w:sz w:val="21"/>
                <w:szCs w:val="21"/>
              </w:rPr>
            </w:pPr>
            <w:r>
              <w:rPr>
                <w:rFonts w:eastAsiaTheme="minorEastAsia"/>
                <w:sz w:val="21"/>
                <w:szCs w:val="21"/>
              </w:rPr>
              <w:t>副教授</w:t>
            </w:r>
          </w:p>
        </w:tc>
        <w:tc>
          <w:tcPr>
            <w:tcW w:w="437" w:type="pct"/>
            <w:vAlign w:val="center"/>
          </w:tcPr>
          <w:p>
            <w:pPr>
              <w:spacing w:line="240" w:lineRule="auto"/>
              <w:contextualSpacing/>
              <w:jc w:val="center"/>
              <w:rPr>
                <w:rFonts w:eastAsiaTheme="minorEastAsia"/>
                <w:sz w:val="21"/>
                <w:szCs w:val="21"/>
              </w:rPr>
            </w:pPr>
            <w:r>
              <w:rPr>
                <w:rFonts w:eastAsiaTheme="minorEastAsia"/>
                <w:sz w:val="21"/>
                <w:szCs w:val="21"/>
              </w:rPr>
              <w:t>博士</w:t>
            </w:r>
          </w:p>
        </w:tc>
        <w:tc>
          <w:tcPr>
            <w:tcW w:w="612" w:type="pct"/>
            <w:vAlign w:val="center"/>
          </w:tcPr>
          <w:p>
            <w:pPr>
              <w:spacing w:line="240" w:lineRule="auto"/>
              <w:contextualSpacing/>
              <w:jc w:val="center"/>
              <w:rPr>
                <w:rFonts w:eastAsiaTheme="minorEastAsia"/>
                <w:sz w:val="21"/>
                <w:szCs w:val="21"/>
              </w:rPr>
            </w:pPr>
            <w:r>
              <w:rPr>
                <w:rFonts w:eastAsiaTheme="minorEastAsia"/>
                <w:sz w:val="21"/>
                <w:szCs w:val="21"/>
              </w:rPr>
              <w:t>研究生</w:t>
            </w:r>
          </w:p>
        </w:tc>
        <w:tc>
          <w:tcPr>
            <w:tcW w:w="2460" w:type="pct"/>
            <w:vAlign w:val="center"/>
          </w:tcPr>
          <w:p>
            <w:pPr>
              <w:spacing w:line="240" w:lineRule="auto"/>
              <w:contextualSpacing/>
              <w:jc w:val="center"/>
              <w:rPr>
                <w:rFonts w:eastAsiaTheme="minorEastAsia"/>
                <w:sz w:val="21"/>
                <w:szCs w:val="21"/>
              </w:rPr>
            </w:pPr>
            <w:r>
              <w:rPr>
                <w:rFonts w:eastAsiaTheme="minorEastAsia"/>
                <w:sz w:val="21"/>
                <w:szCs w:val="21"/>
              </w:rPr>
              <w:t>材料力学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Align w:val="center"/>
          </w:tcPr>
          <w:p>
            <w:pPr>
              <w:spacing w:line="240" w:lineRule="auto"/>
              <w:contextualSpacing/>
              <w:jc w:val="center"/>
              <w:rPr>
                <w:rFonts w:eastAsiaTheme="minorEastAsia"/>
                <w:sz w:val="21"/>
                <w:szCs w:val="21"/>
              </w:rPr>
            </w:pPr>
            <w:r>
              <w:rPr>
                <w:rFonts w:eastAsiaTheme="minorEastAsia"/>
                <w:sz w:val="21"/>
                <w:szCs w:val="21"/>
              </w:rPr>
              <w:t>9</w:t>
            </w:r>
          </w:p>
        </w:tc>
        <w:tc>
          <w:tcPr>
            <w:tcW w:w="529" w:type="pct"/>
            <w:vAlign w:val="center"/>
          </w:tcPr>
          <w:p>
            <w:pPr>
              <w:spacing w:line="240" w:lineRule="auto"/>
              <w:contextualSpacing/>
              <w:jc w:val="center"/>
              <w:rPr>
                <w:rFonts w:eastAsiaTheme="minorEastAsia"/>
                <w:sz w:val="21"/>
                <w:szCs w:val="21"/>
              </w:rPr>
            </w:pPr>
            <w:r>
              <w:rPr>
                <w:rFonts w:eastAsiaTheme="minorEastAsia"/>
                <w:sz w:val="21"/>
                <w:szCs w:val="21"/>
              </w:rPr>
              <w:t>王光明</w:t>
            </w:r>
          </w:p>
        </w:tc>
        <w:tc>
          <w:tcPr>
            <w:tcW w:w="578" w:type="pct"/>
            <w:vAlign w:val="center"/>
          </w:tcPr>
          <w:p>
            <w:pPr>
              <w:spacing w:line="240" w:lineRule="auto"/>
              <w:contextualSpacing/>
              <w:jc w:val="center"/>
              <w:rPr>
                <w:rFonts w:eastAsiaTheme="minorEastAsia"/>
                <w:sz w:val="21"/>
                <w:szCs w:val="21"/>
              </w:rPr>
            </w:pPr>
            <w:r>
              <w:rPr>
                <w:rFonts w:eastAsiaTheme="minorEastAsia"/>
                <w:sz w:val="21"/>
                <w:szCs w:val="21"/>
              </w:rPr>
              <w:t>副教授</w:t>
            </w:r>
          </w:p>
        </w:tc>
        <w:tc>
          <w:tcPr>
            <w:tcW w:w="437" w:type="pct"/>
            <w:vAlign w:val="center"/>
          </w:tcPr>
          <w:p>
            <w:pPr>
              <w:spacing w:line="240" w:lineRule="auto"/>
              <w:contextualSpacing/>
              <w:jc w:val="center"/>
              <w:rPr>
                <w:rFonts w:eastAsiaTheme="minorEastAsia"/>
                <w:sz w:val="21"/>
                <w:szCs w:val="21"/>
              </w:rPr>
            </w:pPr>
            <w:r>
              <w:rPr>
                <w:rFonts w:eastAsiaTheme="minorEastAsia"/>
                <w:sz w:val="21"/>
                <w:szCs w:val="21"/>
              </w:rPr>
              <w:t>博士</w:t>
            </w:r>
          </w:p>
        </w:tc>
        <w:tc>
          <w:tcPr>
            <w:tcW w:w="612" w:type="pct"/>
            <w:vAlign w:val="center"/>
          </w:tcPr>
          <w:p>
            <w:pPr>
              <w:spacing w:line="240" w:lineRule="auto"/>
              <w:contextualSpacing/>
              <w:jc w:val="center"/>
              <w:rPr>
                <w:rFonts w:eastAsiaTheme="minorEastAsia"/>
                <w:sz w:val="21"/>
                <w:szCs w:val="21"/>
              </w:rPr>
            </w:pPr>
            <w:r>
              <w:rPr>
                <w:rFonts w:eastAsiaTheme="minorEastAsia"/>
                <w:sz w:val="21"/>
                <w:szCs w:val="21"/>
              </w:rPr>
              <w:t>研究生</w:t>
            </w:r>
          </w:p>
        </w:tc>
        <w:tc>
          <w:tcPr>
            <w:tcW w:w="2460" w:type="pct"/>
            <w:vAlign w:val="center"/>
          </w:tcPr>
          <w:p>
            <w:pPr>
              <w:spacing w:line="240" w:lineRule="auto"/>
              <w:contextualSpacing/>
              <w:jc w:val="center"/>
              <w:rPr>
                <w:rFonts w:eastAsiaTheme="minorEastAsia"/>
                <w:sz w:val="21"/>
                <w:szCs w:val="21"/>
              </w:rPr>
            </w:pPr>
            <w:r>
              <w:rPr>
                <w:rFonts w:eastAsiaTheme="minorEastAsia"/>
                <w:sz w:val="21"/>
                <w:szCs w:val="21"/>
              </w:rPr>
              <w:t>农药药械、农业机械学、精细农业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Align w:val="center"/>
          </w:tcPr>
          <w:p>
            <w:pPr>
              <w:spacing w:line="240" w:lineRule="auto"/>
              <w:contextualSpacing/>
              <w:jc w:val="center"/>
              <w:rPr>
                <w:rFonts w:eastAsiaTheme="minorEastAsia"/>
                <w:sz w:val="21"/>
                <w:szCs w:val="21"/>
              </w:rPr>
            </w:pPr>
            <w:r>
              <w:rPr>
                <w:rFonts w:eastAsiaTheme="minorEastAsia"/>
                <w:sz w:val="21"/>
                <w:szCs w:val="21"/>
              </w:rPr>
              <w:t>10</w:t>
            </w:r>
          </w:p>
        </w:tc>
        <w:tc>
          <w:tcPr>
            <w:tcW w:w="529" w:type="pct"/>
            <w:vAlign w:val="center"/>
          </w:tcPr>
          <w:p>
            <w:pPr>
              <w:spacing w:line="240" w:lineRule="auto"/>
              <w:contextualSpacing/>
              <w:jc w:val="center"/>
              <w:rPr>
                <w:rFonts w:eastAsiaTheme="minorEastAsia"/>
                <w:sz w:val="21"/>
                <w:szCs w:val="21"/>
              </w:rPr>
            </w:pPr>
            <w:r>
              <w:rPr>
                <w:rFonts w:eastAsiaTheme="minorEastAsia"/>
                <w:sz w:val="21"/>
                <w:szCs w:val="21"/>
              </w:rPr>
              <w:t>于镇伟</w:t>
            </w:r>
          </w:p>
        </w:tc>
        <w:tc>
          <w:tcPr>
            <w:tcW w:w="578" w:type="pct"/>
            <w:vAlign w:val="center"/>
          </w:tcPr>
          <w:p>
            <w:pPr>
              <w:spacing w:line="240" w:lineRule="auto"/>
              <w:contextualSpacing/>
              <w:jc w:val="center"/>
              <w:rPr>
                <w:rFonts w:eastAsiaTheme="minorEastAsia"/>
                <w:sz w:val="21"/>
                <w:szCs w:val="21"/>
              </w:rPr>
            </w:pPr>
            <w:r>
              <w:rPr>
                <w:rFonts w:eastAsiaTheme="minorEastAsia"/>
                <w:sz w:val="21"/>
                <w:szCs w:val="21"/>
              </w:rPr>
              <w:t>副教授</w:t>
            </w:r>
          </w:p>
        </w:tc>
        <w:tc>
          <w:tcPr>
            <w:tcW w:w="437" w:type="pct"/>
            <w:vAlign w:val="center"/>
          </w:tcPr>
          <w:p>
            <w:pPr>
              <w:spacing w:line="240" w:lineRule="auto"/>
              <w:contextualSpacing/>
              <w:jc w:val="center"/>
              <w:rPr>
                <w:rFonts w:eastAsiaTheme="minorEastAsia"/>
                <w:sz w:val="21"/>
                <w:szCs w:val="21"/>
              </w:rPr>
            </w:pPr>
            <w:r>
              <w:rPr>
                <w:rFonts w:eastAsiaTheme="minorEastAsia"/>
                <w:sz w:val="21"/>
                <w:szCs w:val="21"/>
              </w:rPr>
              <w:t>博士</w:t>
            </w:r>
          </w:p>
        </w:tc>
        <w:tc>
          <w:tcPr>
            <w:tcW w:w="612" w:type="pct"/>
            <w:vAlign w:val="center"/>
          </w:tcPr>
          <w:p>
            <w:pPr>
              <w:spacing w:line="240" w:lineRule="auto"/>
              <w:contextualSpacing/>
              <w:jc w:val="center"/>
              <w:rPr>
                <w:rFonts w:eastAsiaTheme="minorEastAsia"/>
                <w:sz w:val="21"/>
                <w:szCs w:val="21"/>
              </w:rPr>
            </w:pPr>
            <w:r>
              <w:rPr>
                <w:rFonts w:eastAsiaTheme="minorEastAsia"/>
                <w:sz w:val="21"/>
                <w:szCs w:val="21"/>
              </w:rPr>
              <w:t>研究生</w:t>
            </w:r>
          </w:p>
        </w:tc>
        <w:tc>
          <w:tcPr>
            <w:tcW w:w="2460" w:type="pct"/>
            <w:vAlign w:val="center"/>
          </w:tcPr>
          <w:p>
            <w:pPr>
              <w:spacing w:line="240" w:lineRule="auto"/>
              <w:contextualSpacing/>
              <w:jc w:val="center"/>
              <w:rPr>
                <w:rFonts w:eastAsiaTheme="minorEastAsia"/>
                <w:sz w:val="21"/>
                <w:szCs w:val="21"/>
              </w:rPr>
            </w:pPr>
            <w:r>
              <w:rPr>
                <w:rFonts w:eastAsiaTheme="minorEastAsia"/>
                <w:sz w:val="21"/>
                <w:szCs w:val="21"/>
              </w:rPr>
              <w:t>农产品加工工程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Align w:val="center"/>
          </w:tcPr>
          <w:p>
            <w:pPr>
              <w:spacing w:line="240" w:lineRule="auto"/>
              <w:contextualSpacing/>
              <w:jc w:val="center"/>
              <w:rPr>
                <w:rFonts w:eastAsiaTheme="minorEastAsia"/>
                <w:sz w:val="21"/>
                <w:szCs w:val="21"/>
              </w:rPr>
            </w:pPr>
            <w:r>
              <w:rPr>
                <w:rFonts w:eastAsiaTheme="minorEastAsia"/>
                <w:sz w:val="21"/>
                <w:szCs w:val="21"/>
              </w:rPr>
              <w:t>11</w:t>
            </w:r>
          </w:p>
        </w:tc>
        <w:tc>
          <w:tcPr>
            <w:tcW w:w="529" w:type="pct"/>
            <w:vAlign w:val="center"/>
          </w:tcPr>
          <w:p>
            <w:pPr>
              <w:spacing w:line="240" w:lineRule="auto"/>
              <w:contextualSpacing/>
              <w:jc w:val="center"/>
              <w:rPr>
                <w:rFonts w:eastAsiaTheme="minorEastAsia"/>
                <w:sz w:val="21"/>
                <w:szCs w:val="21"/>
              </w:rPr>
            </w:pPr>
            <w:r>
              <w:rPr>
                <w:rFonts w:eastAsiaTheme="minorEastAsia"/>
                <w:sz w:val="21"/>
                <w:szCs w:val="21"/>
              </w:rPr>
              <w:t>张宏建</w:t>
            </w:r>
          </w:p>
        </w:tc>
        <w:tc>
          <w:tcPr>
            <w:tcW w:w="578" w:type="pct"/>
            <w:vAlign w:val="center"/>
          </w:tcPr>
          <w:p>
            <w:pPr>
              <w:spacing w:line="240" w:lineRule="auto"/>
              <w:contextualSpacing/>
              <w:jc w:val="center"/>
              <w:rPr>
                <w:rFonts w:eastAsiaTheme="minorEastAsia"/>
                <w:sz w:val="21"/>
                <w:szCs w:val="21"/>
              </w:rPr>
            </w:pPr>
            <w:r>
              <w:rPr>
                <w:rFonts w:eastAsiaTheme="minorEastAsia"/>
                <w:sz w:val="21"/>
                <w:szCs w:val="21"/>
              </w:rPr>
              <w:t>副教授</w:t>
            </w:r>
          </w:p>
        </w:tc>
        <w:tc>
          <w:tcPr>
            <w:tcW w:w="437" w:type="pct"/>
            <w:vAlign w:val="center"/>
          </w:tcPr>
          <w:p>
            <w:pPr>
              <w:spacing w:line="240" w:lineRule="auto"/>
              <w:contextualSpacing/>
              <w:jc w:val="center"/>
              <w:rPr>
                <w:rFonts w:eastAsiaTheme="minorEastAsia"/>
                <w:sz w:val="21"/>
                <w:szCs w:val="21"/>
              </w:rPr>
            </w:pPr>
            <w:r>
              <w:rPr>
                <w:rFonts w:eastAsiaTheme="minorEastAsia"/>
                <w:sz w:val="21"/>
                <w:szCs w:val="21"/>
              </w:rPr>
              <w:t>博士</w:t>
            </w:r>
          </w:p>
        </w:tc>
        <w:tc>
          <w:tcPr>
            <w:tcW w:w="612" w:type="pct"/>
            <w:vAlign w:val="center"/>
          </w:tcPr>
          <w:p>
            <w:pPr>
              <w:spacing w:line="240" w:lineRule="auto"/>
              <w:contextualSpacing/>
              <w:jc w:val="center"/>
              <w:rPr>
                <w:rFonts w:eastAsiaTheme="minorEastAsia"/>
                <w:sz w:val="21"/>
                <w:szCs w:val="21"/>
              </w:rPr>
            </w:pPr>
            <w:r>
              <w:rPr>
                <w:rFonts w:eastAsiaTheme="minorEastAsia"/>
                <w:sz w:val="21"/>
                <w:szCs w:val="21"/>
              </w:rPr>
              <w:t>研究生</w:t>
            </w:r>
          </w:p>
        </w:tc>
        <w:tc>
          <w:tcPr>
            <w:tcW w:w="2460" w:type="pct"/>
            <w:vAlign w:val="center"/>
          </w:tcPr>
          <w:p>
            <w:pPr>
              <w:spacing w:line="240" w:lineRule="auto"/>
              <w:contextualSpacing/>
              <w:jc w:val="center"/>
              <w:rPr>
                <w:rFonts w:eastAsiaTheme="minorEastAsia"/>
                <w:sz w:val="21"/>
                <w:szCs w:val="21"/>
              </w:rPr>
            </w:pPr>
            <w:r>
              <w:rPr>
                <w:rFonts w:eastAsiaTheme="minorEastAsia"/>
                <w:sz w:val="21"/>
                <w:szCs w:val="21"/>
              </w:rPr>
              <w:t>流体力学与流体机械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Align w:val="center"/>
          </w:tcPr>
          <w:p>
            <w:pPr>
              <w:spacing w:line="240" w:lineRule="auto"/>
              <w:contextualSpacing/>
              <w:jc w:val="center"/>
              <w:rPr>
                <w:rFonts w:eastAsiaTheme="minorEastAsia"/>
                <w:sz w:val="21"/>
                <w:szCs w:val="21"/>
              </w:rPr>
            </w:pPr>
            <w:r>
              <w:rPr>
                <w:rFonts w:eastAsiaTheme="minorEastAsia"/>
                <w:sz w:val="21"/>
                <w:szCs w:val="21"/>
              </w:rPr>
              <w:t>12</w:t>
            </w:r>
          </w:p>
        </w:tc>
        <w:tc>
          <w:tcPr>
            <w:tcW w:w="529" w:type="pct"/>
            <w:vAlign w:val="center"/>
          </w:tcPr>
          <w:p>
            <w:pPr>
              <w:spacing w:line="240" w:lineRule="auto"/>
              <w:contextualSpacing/>
              <w:jc w:val="center"/>
              <w:rPr>
                <w:rFonts w:eastAsiaTheme="minorEastAsia"/>
                <w:sz w:val="21"/>
                <w:szCs w:val="21"/>
              </w:rPr>
            </w:pPr>
            <w:r>
              <w:rPr>
                <w:rFonts w:eastAsiaTheme="minorEastAsia"/>
                <w:sz w:val="21"/>
                <w:szCs w:val="21"/>
              </w:rPr>
              <w:t>张  姬</w:t>
            </w:r>
          </w:p>
        </w:tc>
        <w:tc>
          <w:tcPr>
            <w:tcW w:w="578" w:type="pct"/>
            <w:vAlign w:val="center"/>
          </w:tcPr>
          <w:p>
            <w:pPr>
              <w:spacing w:line="240" w:lineRule="auto"/>
              <w:contextualSpacing/>
              <w:jc w:val="center"/>
              <w:rPr>
                <w:rFonts w:eastAsiaTheme="minorEastAsia"/>
                <w:sz w:val="21"/>
                <w:szCs w:val="21"/>
              </w:rPr>
            </w:pPr>
            <w:r>
              <w:rPr>
                <w:rFonts w:eastAsiaTheme="minorEastAsia"/>
                <w:sz w:val="21"/>
                <w:szCs w:val="21"/>
              </w:rPr>
              <w:t>副教授</w:t>
            </w:r>
          </w:p>
        </w:tc>
        <w:tc>
          <w:tcPr>
            <w:tcW w:w="437" w:type="pct"/>
            <w:vAlign w:val="center"/>
          </w:tcPr>
          <w:p>
            <w:pPr>
              <w:spacing w:line="240" w:lineRule="auto"/>
              <w:contextualSpacing/>
              <w:jc w:val="center"/>
              <w:rPr>
                <w:rFonts w:eastAsiaTheme="minorEastAsia"/>
                <w:sz w:val="21"/>
                <w:szCs w:val="21"/>
              </w:rPr>
            </w:pPr>
            <w:r>
              <w:rPr>
                <w:rFonts w:eastAsiaTheme="minorEastAsia"/>
                <w:sz w:val="21"/>
                <w:szCs w:val="21"/>
              </w:rPr>
              <w:t>博士</w:t>
            </w:r>
          </w:p>
        </w:tc>
        <w:tc>
          <w:tcPr>
            <w:tcW w:w="612" w:type="pct"/>
            <w:vAlign w:val="center"/>
          </w:tcPr>
          <w:p>
            <w:pPr>
              <w:spacing w:line="240" w:lineRule="auto"/>
              <w:contextualSpacing/>
              <w:jc w:val="center"/>
              <w:rPr>
                <w:rFonts w:eastAsiaTheme="minorEastAsia"/>
                <w:sz w:val="21"/>
                <w:szCs w:val="21"/>
              </w:rPr>
            </w:pPr>
            <w:r>
              <w:rPr>
                <w:rFonts w:eastAsiaTheme="minorEastAsia"/>
                <w:sz w:val="21"/>
                <w:szCs w:val="21"/>
              </w:rPr>
              <w:t>研究生</w:t>
            </w:r>
          </w:p>
        </w:tc>
        <w:tc>
          <w:tcPr>
            <w:tcW w:w="2460" w:type="pct"/>
            <w:vAlign w:val="center"/>
          </w:tcPr>
          <w:p>
            <w:pPr>
              <w:spacing w:line="240" w:lineRule="auto"/>
              <w:contextualSpacing/>
              <w:jc w:val="center"/>
              <w:rPr>
                <w:rFonts w:eastAsiaTheme="minorEastAsia"/>
                <w:sz w:val="21"/>
                <w:szCs w:val="21"/>
              </w:rPr>
            </w:pPr>
            <w:r>
              <w:rPr>
                <w:rFonts w:eastAsiaTheme="minorEastAsia"/>
                <w:sz w:val="21"/>
                <w:szCs w:val="21"/>
              </w:rPr>
              <w:t>设施农业工程技术、茶叶机械、农业机械化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Align w:val="center"/>
          </w:tcPr>
          <w:p>
            <w:pPr>
              <w:spacing w:line="240" w:lineRule="auto"/>
              <w:contextualSpacing/>
              <w:jc w:val="center"/>
              <w:rPr>
                <w:rFonts w:eastAsiaTheme="minorEastAsia"/>
                <w:sz w:val="21"/>
                <w:szCs w:val="21"/>
              </w:rPr>
            </w:pPr>
            <w:r>
              <w:rPr>
                <w:rFonts w:eastAsiaTheme="minorEastAsia"/>
                <w:sz w:val="21"/>
                <w:szCs w:val="21"/>
              </w:rPr>
              <w:t>13</w:t>
            </w:r>
          </w:p>
        </w:tc>
        <w:tc>
          <w:tcPr>
            <w:tcW w:w="529" w:type="pct"/>
            <w:vAlign w:val="center"/>
          </w:tcPr>
          <w:p>
            <w:pPr>
              <w:spacing w:line="240" w:lineRule="auto"/>
              <w:contextualSpacing/>
              <w:jc w:val="center"/>
              <w:rPr>
                <w:rFonts w:eastAsiaTheme="minorEastAsia"/>
                <w:sz w:val="21"/>
                <w:szCs w:val="21"/>
              </w:rPr>
            </w:pPr>
            <w:r>
              <w:rPr>
                <w:rFonts w:eastAsiaTheme="minorEastAsia"/>
                <w:sz w:val="21"/>
                <w:szCs w:val="21"/>
              </w:rPr>
              <w:t>杨庆璐</w:t>
            </w:r>
          </w:p>
        </w:tc>
        <w:tc>
          <w:tcPr>
            <w:tcW w:w="578" w:type="pct"/>
            <w:vAlign w:val="center"/>
          </w:tcPr>
          <w:p>
            <w:pPr>
              <w:spacing w:line="240" w:lineRule="auto"/>
              <w:contextualSpacing/>
              <w:jc w:val="center"/>
              <w:rPr>
                <w:rFonts w:eastAsiaTheme="minorEastAsia"/>
                <w:sz w:val="21"/>
                <w:szCs w:val="21"/>
              </w:rPr>
            </w:pPr>
            <w:r>
              <w:rPr>
                <w:rFonts w:eastAsiaTheme="minorEastAsia"/>
                <w:sz w:val="21"/>
                <w:szCs w:val="21"/>
              </w:rPr>
              <w:t>副教授</w:t>
            </w:r>
          </w:p>
        </w:tc>
        <w:tc>
          <w:tcPr>
            <w:tcW w:w="437" w:type="pct"/>
            <w:vAlign w:val="center"/>
          </w:tcPr>
          <w:p>
            <w:pPr>
              <w:spacing w:line="240" w:lineRule="auto"/>
              <w:contextualSpacing/>
              <w:jc w:val="center"/>
              <w:rPr>
                <w:rFonts w:eastAsiaTheme="minorEastAsia"/>
                <w:sz w:val="21"/>
                <w:szCs w:val="21"/>
              </w:rPr>
            </w:pPr>
            <w:r>
              <w:rPr>
                <w:rFonts w:eastAsiaTheme="minorEastAsia"/>
                <w:sz w:val="21"/>
                <w:szCs w:val="21"/>
              </w:rPr>
              <w:t>博士</w:t>
            </w:r>
          </w:p>
        </w:tc>
        <w:tc>
          <w:tcPr>
            <w:tcW w:w="612" w:type="pct"/>
            <w:vAlign w:val="center"/>
          </w:tcPr>
          <w:p>
            <w:pPr>
              <w:spacing w:line="240" w:lineRule="auto"/>
              <w:contextualSpacing/>
              <w:jc w:val="center"/>
              <w:rPr>
                <w:rFonts w:eastAsiaTheme="minorEastAsia"/>
                <w:sz w:val="21"/>
                <w:szCs w:val="21"/>
              </w:rPr>
            </w:pPr>
            <w:r>
              <w:rPr>
                <w:rFonts w:eastAsiaTheme="minorEastAsia"/>
                <w:sz w:val="21"/>
                <w:szCs w:val="21"/>
              </w:rPr>
              <w:t>研究生</w:t>
            </w:r>
          </w:p>
        </w:tc>
        <w:tc>
          <w:tcPr>
            <w:tcW w:w="2460" w:type="pct"/>
            <w:vAlign w:val="center"/>
          </w:tcPr>
          <w:p>
            <w:pPr>
              <w:spacing w:line="240" w:lineRule="auto"/>
              <w:contextualSpacing/>
              <w:jc w:val="center"/>
              <w:rPr>
                <w:rFonts w:eastAsiaTheme="minorEastAsia"/>
                <w:sz w:val="21"/>
                <w:szCs w:val="21"/>
              </w:rPr>
            </w:pPr>
            <w:r>
              <w:rPr>
                <w:rFonts w:eastAsiaTheme="minorEastAsia"/>
                <w:sz w:val="21"/>
                <w:szCs w:val="21"/>
              </w:rPr>
              <w:t>农业机械学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Align w:val="center"/>
          </w:tcPr>
          <w:p>
            <w:pPr>
              <w:spacing w:line="240" w:lineRule="auto"/>
              <w:contextualSpacing/>
              <w:jc w:val="center"/>
              <w:rPr>
                <w:rFonts w:eastAsiaTheme="minorEastAsia"/>
                <w:sz w:val="21"/>
                <w:szCs w:val="21"/>
              </w:rPr>
            </w:pPr>
            <w:r>
              <w:rPr>
                <w:rFonts w:eastAsiaTheme="minorEastAsia"/>
                <w:sz w:val="21"/>
                <w:szCs w:val="21"/>
              </w:rPr>
              <w:t>14</w:t>
            </w:r>
          </w:p>
        </w:tc>
        <w:tc>
          <w:tcPr>
            <w:tcW w:w="529" w:type="pct"/>
            <w:vAlign w:val="center"/>
          </w:tcPr>
          <w:p>
            <w:pPr>
              <w:spacing w:line="240" w:lineRule="auto"/>
              <w:contextualSpacing/>
              <w:jc w:val="center"/>
              <w:rPr>
                <w:rFonts w:eastAsiaTheme="minorEastAsia"/>
                <w:sz w:val="21"/>
                <w:szCs w:val="21"/>
              </w:rPr>
            </w:pPr>
            <w:r>
              <w:rPr>
                <w:rFonts w:eastAsiaTheme="minorEastAsia"/>
                <w:sz w:val="21"/>
                <w:szCs w:val="21"/>
              </w:rPr>
              <w:t>张智龙</w:t>
            </w:r>
          </w:p>
        </w:tc>
        <w:tc>
          <w:tcPr>
            <w:tcW w:w="578" w:type="pct"/>
            <w:vAlign w:val="center"/>
          </w:tcPr>
          <w:p>
            <w:pPr>
              <w:spacing w:line="240" w:lineRule="auto"/>
              <w:contextualSpacing/>
              <w:jc w:val="center"/>
              <w:rPr>
                <w:rFonts w:eastAsiaTheme="minorEastAsia"/>
                <w:sz w:val="21"/>
                <w:szCs w:val="21"/>
              </w:rPr>
            </w:pPr>
            <w:r>
              <w:rPr>
                <w:rFonts w:eastAsiaTheme="minorEastAsia"/>
                <w:sz w:val="21"/>
                <w:szCs w:val="21"/>
              </w:rPr>
              <w:t>讲师</w:t>
            </w:r>
          </w:p>
        </w:tc>
        <w:tc>
          <w:tcPr>
            <w:tcW w:w="437" w:type="pct"/>
            <w:vAlign w:val="center"/>
          </w:tcPr>
          <w:p>
            <w:pPr>
              <w:spacing w:line="240" w:lineRule="auto"/>
              <w:contextualSpacing/>
              <w:jc w:val="center"/>
              <w:rPr>
                <w:rFonts w:eastAsiaTheme="minorEastAsia"/>
                <w:sz w:val="21"/>
                <w:szCs w:val="21"/>
              </w:rPr>
            </w:pPr>
            <w:r>
              <w:rPr>
                <w:rFonts w:eastAsiaTheme="minorEastAsia"/>
                <w:sz w:val="21"/>
                <w:szCs w:val="21"/>
              </w:rPr>
              <w:t>博士</w:t>
            </w:r>
          </w:p>
        </w:tc>
        <w:tc>
          <w:tcPr>
            <w:tcW w:w="612" w:type="pct"/>
            <w:vAlign w:val="center"/>
          </w:tcPr>
          <w:p>
            <w:pPr>
              <w:spacing w:line="240" w:lineRule="auto"/>
              <w:contextualSpacing/>
              <w:jc w:val="center"/>
              <w:rPr>
                <w:rFonts w:eastAsiaTheme="minorEastAsia"/>
                <w:sz w:val="21"/>
                <w:szCs w:val="21"/>
              </w:rPr>
            </w:pPr>
            <w:r>
              <w:rPr>
                <w:rFonts w:eastAsiaTheme="minorEastAsia"/>
                <w:sz w:val="21"/>
                <w:szCs w:val="21"/>
              </w:rPr>
              <w:t>研究生</w:t>
            </w:r>
          </w:p>
        </w:tc>
        <w:tc>
          <w:tcPr>
            <w:tcW w:w="2460" w:type="pct"/>
            <w:vAlign w:val="center"/>
          </w:tcPr>
          <w:p>
            <w:pPr>
              <w:spacing w:line="240" w:lineRule="auto"/>
              <w:contextualSpacing/>
              <w:jc w:val="center"/>
              <w:rPr>
                <w:rFonts w:eastAsiaTheme="minorEastAsia"/>
                <w:sz w:val="21"/>
                <w:szCs w:val="21"/>
              </w:rPr>
            </w:pPr>
            <w:r>
              <w:rPr>
                <w:rFonts w:eastAsiaTheme="minorEastAsia"/>
                <w:sz w:val="21"/>
                <w:szCs w:val="21"/>
              </w:rPr>
              <w:t>农业工程专业英语、农业机械化管理学、流体力学与流体机械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Align w:val="center"/>
          </w:tcPr>
          <w:p>
            <w:pPr>
              <w:spacing w:line="240" w:lineRule="auto"/>
              <w:contextualSpacing/>
              <w:jc w:val="center"/>
              <w:rPr>
                <w:rFonts w:eastAsiaTheme="minorEastAsia"/>
                <w:sz w:val="21"/>
                <w:szCs w:val="21"/>
              </w:rPr>
            </w:pPr>
            <w:r>
              <w:rPr>
                <w:rFonts w:eastAsiaTheme="minorEastAsia"/>
                <w:sz w:val="21"/>
                <w:szCs w:val="21"/>
              </w:rPr>
              <w:t>15</w:t>
            </w:r>
          </w:p>
        </w:tc>
        <w:tc>
          <w:tcPr>
            <w:tcW w:w="529" w:type="pct"/>
            <w:vAlign w:val="center"/>
          </w:tcPr>
          <w:p>
            <w:pPr>
              <w:spacing w:line="240" w:lineRule="auto"/>
              <w:contextualSpacing/>
              <w:jc w:val="center"/>
              <w:rPr>
                <w:rFonts w:eastAsiaTheme="minorEastAsia"/>
                <w:sz w:val="21"/>
                <w:szCs w:val="21"/>
              </w:rPr>
            </w:pPr>
            <w:r>
              <w:rPr>
                <w:rFonts w:eastAsiaTheme="minorEastAsia"/>
                <w:sz w:val="21"/>
                <w:szCs w:val="21"/>
              </w:rPr>
              <w:t>杨延强</w:t>
            </w:r>
          </w:p>
        </w:tc>
        <w:tc>
          <w:tcPr>
            <w:tcW w:w="578" w:type="pct"/>
            <w:vAlign w:val="center"/>
          </w:tcPr>
          <w:p>
            <w:pPr>
              <w:spacing w:line="240" w:lineRule="auto"/>
              <w:contextualSpacing/>
              <w:jc w:val="center"/>
              <w:rPr>
                <w:rFonts w:eastAsiaTheme="minorEastAsia"/>
                <w:sz w:val="21"/>
                <w:szCs w:val="21"/>
              </w:rPr>
            </w:pPr>
            <w:r>
              <w:rPr>
                <w:rFonts w:eastAsiaTheme="minorEastAsia"/>
                <w:sz w:val="21"/>
                <w:szCs w:val="21"/>
              </w:rPr>
              <w:t>讲师</w:t>
            </w:r>
          </w:p>
        </w:tc>
        <w:tc>
          <w:tcPr>
            <w:tcW w:w="437" w:type="pct"/>
            <w:vAlign w:val="center"/>
          </w:tcPr>
          <w:p>
            <w:pPr>
              <w:spacing w:line="240" w:lineRule="auto"/>
              <w:contextualSpacing/>
              <w:jc w:val="center"/>
              <w:rPr>
                <w:rFonts w:eastAsiaTheme="minorEastAsia"/>
                <w:sz w:val="21"/>
                <w:szCs w:val="21"/>
              </w:rPr>
            </w:pPr>
            <w:r>
              <w:rPr>
                <w:rFonts w:eastAsiaTheme="minorEastAsia"/>
                <w:sz w:val="21"/>
                <w:szCs w:val="21"/>
              </w:rPr>
              <w:t>博士</w:t>
            </w:r>
          </w:p>
        </w:tc>
        <w:tc>
          <w:tcPr>
            <w:tcW w:w="612" w:type="pct"/>
            <w:vAlign w:val="center"/>
          </w:tcPr>
          <w:p>
            <w:pPr>
              <w:spacing w:line="240" w:lineRule="auto"/>
              <w:contextualSpacing/>
              <w:jc w:val="center"/>
              <w:rPr>
                <w:rFonts w:eastAsiaTheme="minorEastAsia"/>
                <w:sz w:val="21"/>
                <w:szCs w:val="21"/>
              </w:rPr>
            </w:pPr>
            <w:r>
              <w:rPr>
                <w:rFonts w:eastAsiaTheme="minorEastAsia"/>
                <w:sz w:val="21"/>
                <w:szCs w:val="21"/>
              </w:rPr>
              <w:t>研究生</w:t>
            </w:r>
          </w:p>
        </w:tc>
        <w:tc>
          <w:tcPr>
            <w:tcW w:w="2460" w:type="pct"/>
            <w:vAlign w:val="center"/>
          </w:tcPr>
          <w:p>
            <w:pPr>
              <w:spacing w:line="240" w:lineRule="auto"/>
              <w:contextualSpacing/>
              <w:jc w:val="center"/>
              <w:rPr>
                <w:rFonts w:eastAsiaTheme="minorEastAsia"/>
                <w:sz w:val="21"/>
                <w:szCs w:val="21"/>
              </w:rPr>
            </w:pPr>
            <w:r>
              <w:rPr>
                <w:rFonts w:eastAsiaTheme="minorEastAsia"/>
                <w:sz w:val="21"/>
                <w:szCs w:val="21"/>
              </w:rPr>
              <w:t>拖拉机汽车学、液压与气压传动、传热学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Align w:val="center"/>
          </w:tcPr>
          <w:p>
            <w:pPr>
              <w:spacing w:line="240" w:lineRule="auto"/>
              <w:contextualSpacing/>
              <w:jc w:val="center"/>
              <w:rPr>
                <w:rFonts w:eastAsiaTheme="minorEastAsia"/>
                <w:sz w:val="21"/>
                <w:szCs w:val="21"/>
              </w:rPr>
            </w:pPr>
            <w:r>
              <w:rPr>
                <w:rFonts w:eastAsiaTheme="minorEastAsia"/>
                <w:sz w:val="21"/>
                <w:szCs w:val="21"/>
              </w:rPr>
              <w:t>16</w:t>
            </w:r>
          </w:p>
        </w:tc>
        <w:tc>
          <w:tcPr>
            <w:tcW w:w="529" w:type="pct"/>
            <w:vAlign w:val="center"/>
          </w:tcPr>
          <w:p>
            <w:pPr>
              <w:spacing w:line="240" w:lineRule="auto"/>
              <w:contextualSpacing/>
              <w:jc w:val="center"/>
              <w:rPr>
                <w:rFonts w:eastAsiaTheme="minorEastAsia"/>
                <w:sz w:val="21"/>
                <w:szCs w:val="21"/>
              </w:rPr>
            </w:pPr>
            <w:r>
              <w:rPr>
                <w:rFonts w:eastAsiaTheme="minorEastAsia"/>
                <w:sz w:val="21"/>
                <w:szCs w:val="21"/>
              </w:rPr>
              <w:t>郑文秀</w:t>
            </w:r>
          </w:p>
        </w:tc>
        <w:tc>
          <w:tcPr>
            <w:tcW w:w="578" w:type="pct"/>
            <w:vAlign w:val="center"/>
          </w:tcPr>
          <w:p>
            <w:pPr>
              <w:spacing w:line="240" w:lineRule="auto"/>
              <w:contextualSpacing/>
              <w:jc w:val="center"/>
              <w:rPr>
                <w:rFonts w:eastAsiaTheme="minorEastAsia"/>
                <w:sz w:val="21"/>
                <w:szCs w:val="21"/>
              </w:rPr>
            </w:pPr>
            <w:r>
              <w:rPr>
                <w:rFonts w:eastAsiaTheme="minorEastAsia"/>
                <w:sz w:val="21"/>
                <w:szCs w:val="21"/>
              </w:rPr>
              <w:t>讲师</w:t>
            </w:r>
          </w:p>
        </w:tc>
        <w:tc>
          <w:tcPr>
            <w:tcW w:w="437" w:type="pct"/>
            <w:vAlign w:val="center"/>
          </w:tcPr>
          <w:p>
            <w:pPr>
              <w:spacing w:line="240" w:lineRule="auto"/>
              <w:contextualSpacing/>
              <w:jc w:val="center"/>
              <w:rPr>
                <w:rFonts w:eastAsiaTheme="minorEastAsia"/>
                <w:sz w:val="21"/>
                <w:szCs w:val="21"/>
              </w:rPr>
            </w:pPr>
            <w:r>
              <w:rPr>
                <w:rFonts w:eastAsiaTheme="minorEastAsia"/>
                <w:sz w:val="21"/>
                <w:szCs w:val="21"/>
              </w:rPr>
              <w:t>博士</w:t>
            </w:r>
          </w:p>
        </w:tc>
        <w:tc>
          <w:tcPr>
            <w:tcW w:w="612" w:type="pct"/>
            <w:vAlign w:val="center"/>
          </w:tcPr>
          <w:p>
            <w:pPr>
              <w:spacing w:line="240" w:lineRule="auto"/>
              <w:contextualSpacing/>
              <w:jc w:val="center"/>
              <w:rPr>
                <w:rFonts w:eastAsiaTheme="minorEastAsia"/>
                <w:sz w:val="21"/>
                <w:szCs w:val="21"/>
              </w:rPr>
            </w:pPr>
            <w:r>
              <w:rPr>
                <w:rFonts w:eastAsiaTheme="minorEastAsia"/>
                <w:sz w:val="21"/>
                <w:szCs w:val="21"/>
              </w:rPr>
              <w:t>研究生</w:t>
            </w:r>
          </w:p>
        </w:tc>
        <w:tc>
          <w:tcPr>
            <w:tcW w:w="2460" w:type="pct"/>
            <w:vAlign w:val="center"/>
          </w:tcPr>
          <w:p>
            <w:pPr>
              <w:spacing w:line="240" w:lineRule="auto"/>
              <w:contextualSpacing/>
              <w:jc w:val="center"/>
              <w:rPr>
                <w:rFonts w:eastAsiaTheme="minorEastAsia"/>
                <w:sz w:val="21"/>
                <w:szCs w:val="21"/>
              </w:rPr>
            </w:pPr>
            <w:r>
              <w:rPr>
                <w:rFonts w:eastAsiaTheme="minorEastAsia"/>
                <w:sz w:val="21"/>
                <w:szCs w:val="21"/>
              </w:rPr>
              <w:t>农业生产机械化、食品工程原理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4" w:type="pct"/>
            <w:vAlign w:val="center"/>
          </w:tcPr>
          <w:p>
            <w:pPr>
              <w:spacing w:line="240" w:lineRule="auto"/>
              <w:contextualSpacing/>
              <w:jc w:val="center"/>
              <w:rPr>
                <w:rFonts w:eastAsiaTheme="minorEastAsia"/>
                <w:sz w:val="21"/>
                <w:szCs w:val="21"/>
              </w:rPr>
            </w:pPr>
            <w:r>
              <w:rPr>
                <w:rFonts w:eastAsiaTheme="minorEastAsia"/>
                <w:sz w:val="21"/>
                <w:szCs w:val="21"/>
              </w:rPr>
              <w:t>17</w:t>
            </w:r>
          </w:p>
        </w:tc>
        <w:tc>
          <w:tcPr>
            <w:tcW w:w="529" w:type="pct"/>
            <w:vAlign w:val="center"/>
          </w:tcPr>
          <w:p>
            <w:pPr>
              <w:spacing w:line="240" w:lineRule="auto"/>
              <w:contextualSpacing/>
              <w:jc w:val="center"/>
              <w:rPr>
                <w:rFonts w:eastAsiaTheme="minorEastAsia"/>
                <w:sz w:val="21"/>
                <w:szCs w:val="21"/>
              </w:rPr>
            </w:pPr>
            <w:r>
              <w:rPr>
                <w:rFonts w:eastAsiaTheme="minorEastAsia"/>
                <w:sz w:val="21"/>
                <w:szCs w:val="21"/>
              </w:rPr>
              <w:t>李玉道</w:t>
            </w:r>
          </w:p>
        </w:tc>
        <w:tc>
          <w:tcPr>
            <w:tcW w:w="578" w:type="pct"/>
            <w:vAlign w:val="center"/>
          </w:tcPr>
          <w:p>
            <w:pPr>
              <w:spacing w:line="240" w:lineRule="auto"/>
              <w:contextualSpacing/>
              <w:jc w:val="center"/>
              <w:rPr>
                <w:rFonts w:eastAsiaTheme="minorEastAsia"/>
                <w:sz w:val="21"/>
                <w:szCs w:val="21"/>
              </w:rPr>
            </w:pPr>
            <w:r>
              <w:rPr>
                <w:rFonts w:eastAsiaTheme="minorEastAsia"/>
                <w:sz w:val="21"/>
                <w:szCs w:val="21"/>
              </w:rPr>
              <w:t>高级实验师</w:t>
            </w:r>
          </w:p>
        </w:tc>
        <w:tc>
          <w:tcPr>
            <w:tcW w:w="437" w:type="pct"/>
            <w:vAlign w:val="center"/>
          </w:tcPr>
          <w:p>
            <w:pPr>
              <w:spacing w:line="240" w:lineRule="auto"/>
              <w:contextualSpacing/>
              <w:jc w:val="center"/>
              <w:rPr>
                <w:rFonts w:eastAsiaTheme="minorEastAsia"/>
                <w:sz w:val="21"/>
                <w:szCs w:val="21"/>
              </w:rPr>
            </w:pPr>
            <w:r>
              <w:rPr>
                <w:rFonts w:eastAsiaTheme="minorEastAsia"/>
                <w:sz w:val="21"/>
                <w:szCs w:val="21"/>
              </w:rPr>
              <w:t>博士</w:t>
            </w:r>
          </w:p>
        </w:tc>
        <w:tc>
          <w:tcPr>
            <w:tcW w:w="612" w:type="pct"/>
            <w:vAlign w:val="center"/>
          </w:tcPr>
          <w:p>
            <w:pPr>
              <w:spacing w:line="240" w:lineRule="auto"/>
              <w:contextualSpacing/>
              <w:jc w:val="center"/>
              <w:rPr>
                <w:rFonts w:eastAsiaTheme="minorEastAsia"/>
                <w:sz w:val="21"/>
                <w:szCs w:val="21"/>
              </w:rPr>
            </w:pPr>
            <w:r>
              <w:rPr>
                <w:rFonts w:eastAsiaTheme="minorEastAsia"/>
                <w:sz w:val="21"/>
                <w:szCs w:val="21"/>
              </w:rPr>
              <w:t>研究生</w:t>
            </w:r>
          </w:p>
        </w:tc>
        <w:tc>
          <w:tcPr>
            <w:tcW w:w="2460" w:type="pct"/>
            <w:vAlign w:val="center"/>
          </w:tcPr>
          <w:p>
            <w:pPr>
              <w:spacing w:line="240" w:lineRule="auto"/>
              <w:contextualSpacing/>
              <w:jc w:val="center"/>
              <w:rPr>
                <w:rFonts w:eastAsiaTheme="minorEastAsia"/>
                <w:sz w:val="21"/>
                <w:szCs w:val="21"/>
              </w:rPr>
            </w:pPr>
            <w:r>
              <w:rPr>
                <w:rFonts w:eastAsiaTheme="minorEastAsia"/>
                <w:sz w:val="21"/>
                <w:szCs w:val="21"/>
              </w:rPr>
              <w:t>农业物料学实验、流体力学与流体机械实验、农业机械实验学、农业机械课程设计</w:t>
            </w:r>
          </w:p>
        </w:tc>
      </w:tr>
    </w:tbl>
    <w:p>
      <w:pPr>
        <w:ind w:firstLine="480"/>
        <w:rPr>
          <w:lang w:val="zh-CN"/>
        </w:rPr>
      </w:pPr>
    </w:p>
    <w:p>
      <w:pPr>
        <w:ind w:firstLine="480"/>
      </w:pPr>
      <w:r>
        <w:rPr>
          <w:lang w:val="zh-CN"/>
        </w:rPr>
        <w:t>专职教师中，教授</w:t>
      </w:r>
      <w:r>
        <w:t>3名、副教授10名、讲师3名、高级实验师1名，</w:t>
      </w:r>
      <w:bookmarkStart w:id="372" w:name="_Hlk498087932"/>
      <w:r>
        <w:t>全国十佳农机教师1人，国家现代农业产业技术体系岗位专家</w:t>
      </w:r>
      <w:bookmarkEnd w:id="372"/>
      <w:r>
        <w:t>2名，山东省现代农业产业技术体系岗位专家1名，</w:t>
      </w:r>
      <w:bookmarkStart w:id="373" w:name="_Hlk529133974"/>
      <w:r>
        <w:t>山东省林业木本粮油树种提质增效关键技术研究创新团队机械化岗位专家1名</w:t>
      </w:r>
      <w:bookmarkEnd w:id="373"/>
      <w:r>
        <w:t>，专业拥有合理的学缘及学历结构</w:t>
      </w:r>
      <w:r>
        <w:rPr>
          <w:lang w:val="zh-CN"/>
        </w:rPr>
        <w:t>，师资力量建设为本专业的快速发展奠定了坚实的基础。</w:t>
      </w:r>
    </w:p>
    <w:p>
      <w:pPr>
        <w:ind w:firstLine="480"/>
        <w:rPr>
          <w:lang w:val="zh-CN"/>
        </w:rPr>
      </w:pPr>
      <w:r>
        <w:rPr>
          <w:lang w:val="zh-CN"/>
        </w:rPr>
        <w:t>注重年轻教师的教学科研能力的培养与提高，积极创造条件，结合我院的</w:t>
      </w:r>
      <w:r>
        <w:rPr>
          <w:rFonts w:hint="eastAsia"/>
          <w:lang w:val="zh-CN"/>
        </w:rPr>
        <w:t>“</w:t>
      </w:r>
      <w:r>
        <w:rPr>
          <w:lang w:val="zh-CN"/>
        </w:rPr>
        <w:t>青蓝工程</w:t>
      </w:r>
      <w:r>
        <w:rPr>
          <w:rFonts w:hint="eastAsia"/>
          <w:lang w:val="zh-CN"/>
        </w:rPr>
        <w:t>”</w:t>
      </w:r>
      <w:r>
        <w:rPr>
          <w:lang w:val="zh-CN"/>
        </w:rPr>
        <w:t>，指定富有经验的老教师结对子，帮扶新进青年教师尽快掌握授课内容，提高授课技能。</w:t>
      </w:r>
      <w:r>
        <w:t>2021-2022学年每学期，在周二下午固定时间开展全系教研活动，促使青年教师成长，促进教学水平提高。</w:t>
      </w:r>
    </w:p>
    <w:p>
      <w:pPr>
        <w:ind w:firstLine="480"/>
      </w:pPr>
      <w:r>
        <w:rPr>
          <w:lang w:val="zh-CN"/>
        </w:rPr>
        <w:t>积极创造条件，帮助教师参加学校及国家举办的各类讲课技能、多媒体大赛，指导大学生科技创新实践，专业教师教学科研能力有了更大提高，获得较好效果。参加国内外学术与展览会议</w:t>
      </w:r>
      <w:r>
        <w:t>30余人次，授权各类专利或著作权共60余项，发表学术论文40余篇，其中SCI/EI等收录20篇。</w:t>
      </w:r>
    </w:p>
    <w:p>
      <w:pPr>
        <w:ind w:firstLine="480"/>
        <w:rPr>
          <w:lang w:val="zh-CN"/>
        </w:rPr>
      </w:pPr>
      <w:r>
        <w:rPr>
          <w:lang w:val="zh-CN"/>
        </w:rPr>
        <w:t>专业任课教师极为重视现代教学技术在课堂教学中的应用，通过参加山东省多媒体课件比赛、微课比赛及学校举办的青年教师讲课技能大赛等方式，努力提高自身素质及课堂教学技能。为最大限度地释放教与学的能量，推动教学改革，学院组织专业老师采用雨课堂辅助教学，实现了混合式教学，师生多通道互动，取得了理想的教学效果。教学手段上，充分利用多媒体教室、一体化教室、实训基地以及实训中心等一切有利条件来辅助教学。</w:t>
      </w:r>
    </w:p>
    <w:p>
      <w:pPr>
        <w:pStyle w:val="5"/>
        <w:spacing w:before="93" w:after="93"/>
        <w:ind w:firstLine="560"/>
      </w:pPr>
      <w:bookmarkStart w:id="374" w:name="_Toc765"/>
      <w:r>
        <w:t>四、培养机制与特色（产学研协同育人机制、合作办学、教学管理等）</w:t>
      </w:r>
      <w:bookmarkEnd w:id="374"/>
    </w:p>
    <w:p>
      <w:pPr>
        <w:ind w:firstLine="480"/>
      </w:pPr>
      <w:r>
        <w:t>在多年的专业建设过程中，我们一直秉承</w:t>
      </w:r>
      <w:r>
        <w:rPr>
          <w:rFonts w:hint="eastAsia"/>
        </w:rPr>
        <w:t>“</w:t>
      </w:r>
      <w:r>
        <w:t>立足山东，面向全国，服务国家农机行业；立足基层，面向生产、建设、管理和服务第一线</w:t>
      </w:r>
      <w:r>
        <w:rPr>
          <w:rFonts w:hint="eastAsia"/>
        </w:rPr>
        <w:t>”</w:t>
      </w:r>
      <w:r>
        <w:t>的办学定位；坚持</w:t>
      </w:r>
      <w:r>
        <w:rPr>
          <w:rFonts w:hint="eastAsia"/>
        </w:rPr>
        <w:t>“</w:t>
      </w:r>
      <w:r>
        <w:t>以学为本，以体为用，理论联系实践</w:t>
      </w:r>
      <w:r>
        <w:rPr>
          <w:rFonts w:hint="eastAsia"/>
        </w:rPr>
        <w:t>”</w:t>
      </w:r>
      <w:r>
        <w:t>的专业指导思想；以</w:t>
      </w:r>
      <w:r>
        <w:rPr>
          <w:rFonts w:hint="eastAsia"/>
        </w:rPr>
        <w:t>“</w:t>
      </w:r>
      <w:r>
        <w:t>教、学、做、知识、能力、素质</w:t>
      </w:r>
      <w:r>
        <w:rPr>
          <w:rFonts w:hint="eastAsia"/>
        </w:rPr>
        <w:t>”</w:t>
      </w:r>
      <w:r>
        <w:t>六位一体教学方法为突破口，加强对师资、授课、实验等教学条件的管理与完善；以</w:t>
      </w:r>
      <w:r>
        <w:rPr>
          <w:rFonts w:hint="eastAsia"/>
        </w:rPr>
        <w:t>“</w:t>
      </w:r>
      <w:r>
        <w:t>校企合作办学、重视国际交流、提高学术氛围、强化学生素质</w:t>
      </w:r>
      <w:r>
        <w:rPr>
          <w:rFonts w:hint="eastAsia"/>
        </w:rPr>
        <w:t>”</w:t>
      </w:r>
      <w:r>
        <w:t>为原则，强化办学特色。</w:t>
      </w:r>
    </w:p>
    <w:p>
      <w:pPr>
        <w:ind w:firstLine="480"/>
      </w:pPr>
      <w:r>
        <w:t>农业机械化及其自动化专业建设过程中，极为重视产学研协同育人机制的构建与实施，首先选派多名骨干教师到相关高校、企业及科研院所进行博士后工作，强化与这些单位的合作关系。组织骨干教师参加多个协同创新中心的组建与建设工作，如李法德教授、耿爱军副教授被聘为山东省小麦玉米周年高产高效生产协同创新中心团队成员，李法德教授、宋占华副教授参与山东省果蔬优质高效生产协同创新中心建设，被聘任为</w:t>
      </w:r>
      <w:r>
        <w:rPr>
          <w:rFonts w:hint="eastAsia"/>
        </w:rPr>
        <w:t>“</w:t>
      </w:r>
      <w:r>
        <w:t>园艺机械装备与设施环境调控创新团队</w:t>
      </w:r>
      <w:r>
        <w:rPr>
          <w:rFonts w:hint="eastAsia"/>
        </w:rPr>
        <w:t>”</w:t>
      </w:r>
      <w:r>
        <w:t>成员。再次，多名专业骨干教师参与</w:t>
      </w:r>
      <w:r>
        <w:rPr>
          <w:rFonts w:hint="eastAsia"/>
        </w:rPr>
        <w:t>“</w:t>
      </w:r>
      <w:r>
        <w:t>农业装备产业技术创新联盟</w:t>
      </w:r>
      <w:r>
        <w:rPr>
          <w:rFonts w:hint="eastAsia"/>
        </w:rPr>
        <w:t>”</w:t>
      </w:r>
      <w:r>
        <w:t>建设工作，多名教师参与各类国内农业装备展览、学术会议。选派多名骨干教师到校外教学科研就业实践基地进行技术服务，李法德教授、王金星教授和宋月鹏教授多次分别为山东省蚕农和果农开展相关机械装备应用讲座，获得农民的一致好评。</w:t>
      </w:r>
    </w:p>
    <w:p>
      <w:pPr>
        <w:ind w:firstLine="480"/>
      </w:pPr>
      <w:r>
        <w:t>合作办学方面，聘任校外13位专家及校内8名骨干教师为</w:t>
      </w:r>
      <w:r>
        <w:rPr>
          <w:rFonts w:hint="eastAsia"/>
        </w:rPr>
        <w:t>“</w:t>
      </w:r>
      <w:r>
        <w:t>大学生卓越工程师班</w:t>
      </w:r>
      <w:r>
        <w:rPr>
          <w:rFonts w:hint="eastAsia"/>
        </w:rPr>
        <w:t>”</w:t>
      </w:r>
      <w:r>
        <w:t>指导教师。在山东五征集团有限公司、山东华兴机械股份有限公司、中国重汽集团泰安五岳专用汽车有限公司、泰安华鲁锻压机床有限公司等企业建立了教学实践基地，对学生进行联合培养。</w:t>
      </w:r>
    </w:p>
    <w:p>
      <w:pPr>
        <w:ind w:firstLine="480"/>
      </w:pPr>
      <w:r>
        <w:t>在教学管理方面，首先采取的措施是加强学科建设，重视人才培养模式：根据学科和社会发展的需要，适时进行专业设置和专业方向的调整，增强专业的适应性，重视人才培养模式，把素质教育、创新教育贯穿于人才培养的全过程，坚持通识教育与专业教育并重，学问修养与人格修养并重，知识、能力与素质并重；其次在对</w:t>
      </w:r>
      <w:r>
        <w:rPr>
          <w:rFonts w:hint="eastAsia"/>
        </w:rPr>
        <w:t>“</w:t>
      </w:r>
      <w:r>
        <w:t>教</w:t>
      </w:r>
      <w:r>
        <w:rPr>
          <w:rFonts w:hint="eastAsia"/>
        </w:rPr>
        <w:t>”</w:t>
      </w:r>
      <w:r>
        <w:t>的管理的基础上，加强对</w:t>
      </w:r>
      <w:r>
        <w:rPr>
          <w:rFonts w:hint="eastAsia"/>
        </w:rPr>
        <w:t>“</w:t>
      </w:r>
      <w:r>
        <w:t>学</w:t>
      </w:r>
      <w:r>
        <w:rPr>
          <w:rFonts w:hint="eastAsia"/>
        </w:rPr>
        <w:t>”</w:t>
      </w:r>
      <w:r>
        <w:t>的管理：努力为学生营造一个宽松的学习环境，尊重学生身心发展规律，坚持以人为本。任何一项教学管理制度、措施都要有利于充分调动学生的积极性和创造性，有利于培养学生的创新精神和实践能力；再次，加强对教学质量的管理：严格执行教学计划与管理制度，重点对教学过程中的教案、教学大纲、教学日历等资料文件加强管理，定期组织教学方面的研讨会，提高广大教师的教学质量；最后，加强教学过程控制：组织各级督导深入课堂，并定期反馈，把教书育人、科研育人、管理育人、服务育人、环境育人有机结合起来。</w:t>
      </w:r>
    </w:p>
    <w:p>
      <w:pPr>
        <w:pStyle w:val="5"/>
        <w:spacing w:before="93" w:after="93"/>
        <w:ind w:firstLine="560"/>
      </w:pPr>
      <w:bookmarkStart w:id="375" w:name="_Toc16609"/>
      <w:r>
        <w:t>五、培养质量（毕业生就业率、就业专业对口率、毕业生发展情况、就业单位满意率、社会对专业的评价、学生就读该专业的意愿等）</w:t>
      </w:r>
      <w:bookmarkEnd w:id="375"/>
    </w:p>
    <w:p>
      <w:pPr>
        <w:ind w:firstLine="480"/>
      </w:pPr>
      <w:r>
        <w:t>迄今为止，我校农业机械化及其自动化专业共向国内外相关领域输送了3800余名优秀毕业生。2022年，毕业生考研率为45%，总体就业率为100%，就业单位对学生的满意率达到98%以上。2022年，农业机械化及其自动化专业就业情况如表3所示。</w:t>
      </w:r>
    </w:p>
    <w:p>
      <w:pPr>
        <w:jc w:val="center"/>
        <w:rPr>
          <w:b/>
          <w:bCs/>
          <w:sz w:val="21"/>
          <w:szCs w:val="21"/>
        </w:rPr>
      </w:pPr>
      <w:r>
        <w:rPr>
          <w:b/>
          <w:bCs/>
          <w:sz w:val="21"/>
          <w:szCs w:val="21"/>
        </w:rPr>
        <w:t>表3 农业机械化及其自动化专业2022届毕业生就业情况一览表</w:t>
      </w:r>
    </w:p>
    <w:tbl>
      <w:tblPr>
        <w:tblStyle w:val="17"/>
        <w:tblW w:w="4521" w:type="pct"/>
        <w:jc w:val="center"/>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863"/>
        <w:gridCol w:w="864"/>
        <w:gridCol w:w="865"/>
        <w:gridCol w:w="864"/>
        <w:gridCol w:w="864"/>
        <w:gridCol w:w="864"/>
        <w:gridCol w:w="865"/>
        <w:gridCol w:w="873"/>
      </w:tblGrid>
      <w:tr>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776" w:type="pct"/>
            <w:vAlign w:val="center"/>
          </w:tcPr>
          <w:p>
            <w:pPr>
              <w:adjustRightInd w:val="0"/>
              <w:snapToGrid w:val="0"/>
              <w:spacing w:line="240" w:lineRule="auto"/>
              <w:jc w:val="center"/>
              <w:rPr>
                <w:b/>
                <w:bCs/>
                <w:sz w:val="21"/>
                <w:szCs w:val="21"/>
              </w:rPr>
            </w:pPr>
            <w:r>
              <w:rPr>
                <w:b/>
                <w:bCs/>
                <w:sz w:val="21"/>
                <w:szCs w:val="21"/>
              </w:rPr>
              <w:t>专业名称</w:t>
            </w:r>
          </w:p>
        </w:tc>
        <w:tc>
          <w:tcPr>
            <w:tcW w:w="527" w:type="pct"/>
            <w:vAlign w:val="center"/>
          </w:tcPr>
          <w:p>
            <w:pPr>
              <w:adjustRightInd w:val="0"/>
              <w:snapToGrid w:val="0"/>
              <w:spacing w:line="240" w:lineRule="auto"/>
              <w:jc w:val="center"/>
              <w:rPr>
                <w:b/>
                <w:bCs/>
                <w:sz w:val="21"/>
                <w:szCs w:val="21"/>
              </w:rPr>
            </w:pPr>
            <w:r>
              <w:rPr>
                <w:b/>
                <w:bCs/>
                <w:sz w:val="21"/>
                <w:szCs w:val="21"/>
              </w:rPr>
              <w:t>总人数</w:t>
            </w:r>
          </w:p>
        </w:tc>
        <w:tc>
          <w:tcPr>
            <w:tcW w:w="527" w:type="pct"/>
            <w:vAlign w:val="center"/>
          </w:tcPr>
          <w:p>
            <w:pPr>
              <w:adjustRightInd w:val="0"/>
              <w:snapToGrid w:val="0"/>
              <w:spacing w:line="240" w:lineRule="auto"/>
              <w:jc w:val="center"/>
              <w:rPr>
                <w:b/>
                <w:bCs/>
                <w:sz w:val="21"/>
                <w:szCs w:val="21"/>
              </w:rPr>
            </w:pPr>
            <w:r>
              <w:rPr>
                <w:b/>
                <w:bCs/>
                <w:sz w:val="21"/>
                <w:szCs w:val="21"/>
              </w:rPr>
              <w:t>升学人数</w:t>
            </w:r>
          </w:p>
        </w:tc>
        <w:tc>
          <w:tcPr>
            <w:tcW w:w="528" w:type="pct"/>
            <w:vAlign w:val="center"/>
          </w:tcPr>
          <w:p>
            <w:pPr>
              <w:adjustRightInd w:val="0"/>
              <w:snapToGrid w:val="0"/>
              <w:spacing w:line="240" w:lineRule="auto"/>
              <w:jc w:val="center"/>
              <w:rPr>
                <w:b/>
                <w:bCs/>
                <w:sz w:val="21"/>
                <w:szCs w:val="21"/>
              </w:rPr>
            </w:pPr>
            <w:r>
              <w:rPr>
                <w:b/>
                <w:bCs/>
                <w:sz w:val="21"/>
                <w:szCs w:val="21"/>
              </w:rPr>
              <w:t>考研率</w:t>
            </w:r>
          </w:p>
        </w:tc>
        <w:tc>
          <w:tcPr>
            <w:tcW w:w="527" w:type="pct"/>
            <w:vAlign w:val="center"/>
          </w:tcPr>
          <w:p>
            <w:pPr>
              <w:adjustRightInd w:val="0"/>
              <w:snapToGrid w:val="0"/>
              <w:spacing w:line="240" w:lineRule="auto"/>
              <w:jc w:val="center"/>
              <w:rPr>
                <w:b/>
                <w:bCs/>
                <w:sz w:val="21"/>
                <w:szCs w:val="21"/>
              </w:rPr>
            </w:pPr>
            <w:r>
              <w:rPr>
                <w:b/>
                <w:bCs/>
                <w:sz w:val="21"/>
                <w:szCs w:val="21"/>
              </w:rPr>
              <w:t>签约人数</w:t>
            </w:r>
          </w:p>
        </w:tc>
        <w:tc>
          <w:tcPr>
            <w:tcW w:w="527" w:type="pct"/>
            <w:vAlign w:val="center"/>
          </w:tcPr>
          <w:p>
            <w:pPr>
              <w:adjustRightInd w:val="0"/>
              <w:snapToGrid w:val="0"/>
              <w:spacing w:line="240" w:lineRule="auto"/>
              <w:jc w:val="center"/>
              <w:rPr>
                <w:b/>
                <w:bCs/>
                <w:sz w:val="21"/>
                <w:szCs w:val="21"/>
              </w:rPr>
            </w:pPr>
            <w:r>
              <w:rPr>
                <w:b/>
                <w:bCs/>
                <w:sz w:val="21"/>
                <w:szCs w:val="21"/>
              </w:rPr>
              <w:t>出国人数</w:t>
            </w:r>
          </w:p>
        </w:tc>
        <w:tc>
          <w:tcPr>
            <w:tcW w:w="527" w:type="pct"/>
            <w:vAlign w:val="center"/>
          </w:tcPr>
          <w:p>
            <w:pPr>
              <w:adjustRightInd w:val="0"/>
              <w:snapToGrid w:val="0"/>
              <w:spacing w:line="240" w:lineRule="auto"/>
              <w:jc w:val="center"/>
              <w:rPr>
                <w:b/>
                <w:bCs/>
                <w:sz w:val="21"/>
                <w:szCs w:val="21"/>
              </w:rPr>
            </w:pPr>
            <w:r>
              <w:rPr>
                <w:b/>
                <w:bCs/>
                <w:sz w:val="21"/>
                <w:szCs w:val="21"/>
              </w:rPr>
              <w:t>网签就业率</w:t>
            </w:r>
          </w:p>
        </w:tc>
        <w:tc>
          <w:tcPr>
            <w:tcW w:w="528" w:type="pct"/>
            <w:vAlign w:val="center"/>
          </w:tcPr>
          <w:p>
            <w:pPr>
              <w:adjustRightInd w:val="0"/>
              <w:snapToGrid w:val="0"/>
              <w:spacing w:line="240" w:lineRule="auto"/>
              <w:jc w:val="center"/>
              <w:rPr>
                <w:b/>
                <w:bCs/>
                <w:sz w:val="21"/>
                <w:szCs w:val="21"/>
              </w:rPr>
            </w:pPr>
            <w:r>
              <w:rPr>
                <w:b/>
                <w:bCs/>
                <w:sz w:val="21"/>
                <w:szCs w:val="21"/>
              </w:rPr>
              <w:t>劳动合同</w:t>
            </w:r>
          </w:p>
        </w:tc>
        <w:tc>
          <w:tcPr>
            <w:tcW w:w="533" w:type="pct"/>
            <w:vAlign w:val="center"/>
          </w:tcPr>
          <w:p>
            <w:pPr>
              <w:adjustRightInd w:val="0"/>
              <w:snapToGrid w:val="0"/>
              <w:spacing w:line="240" w:lineRule="auto"/>
              <w:jc w:val="center"/>
              <w:rPr>
                <w:b/>
                <w:bCs/>
                <w:sz w:val="21"/>
                <w:szCs w:val="21"/>
              </w:rPr>
            </w:pPr>
            <w:r>
              <w:rPr>
                <w:b/>
                <w:bCs/>
                <w:sz w:val="21"/>
                <w:szCs w:val="21"/>
              </w:rPr>
              <w:t>正式就业率</w:t>
            </w:r>
          </w:p>
        </w:tc>
      </w:tr>
      <w:tr>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76" w:type="pct"/>
            <w:vAlign w:val="center"/>
          </w:tcPr>
          <w:p>
            <w:pPr>
              <w:spacing w:line="240" w:lineRule="auto"/>
              <w:jc w:val="center"/>
              <w:rPr>
                <w:sz w:val="21"/>
                <w:szCs w:val="21"/>
              </w:rPr>
            </w:pPr>
            <w:r>
              <w:rPr>
                <w:sz w:val="21"/>
                <w:szCs w:val="21"/>
              </w:rPr>
              <w:t>农业机械化及其自动化</w:t>
            </w:r>
          </w:p>
        </w:tc>
        <w:tc>
          <w:tcPr>
            <w:tcW w:w="527" w:type="pct"/>
            <w:vAlign w:val="center"/>
          </w:tcPr>
          <w:p>
            <w:pPr>
              <w:spacing w:line="240" w:lineRule="auto"/>
              <w:jc w:val="center"/>
              <w:rPr>
                <w:sz w:val="21"/>
                <w:szCs w:val="21"/>
              </w:rPr>
            </w:pPr>
            <w:r>
              <w:rPr>
                <w:sz w:val="21"/>
                <w:szCs w:val="21"/>
              </w:rPr>
              <w:t>49</w:t>
            </w:r>
          </w:p>
        </w:tc>
        <w:tc>
          <w:tcPr>
            <w:tcW w:w="527" w:type="pct"/>
            <w:vAlign w:val="center"/>
          </w:tcPr>
          <w:p>
            <w:pPr>
              <w:spacing w:line="240" w:lineRule="auto"/>
              <w:jc w:val="center"/>
              <w:rPr>
                <w:sz w:val="21"/>
                <w:szCs w:val="21"/>
              </w:rPr>
            </w:pPr>
            <w:r>
              <w:rPr>
                <w:sz w:val="21"/>
                <w:szCs w:val="21"/>
              </w:rPr>
              <w:t>22</w:t>
            </w:r>
          </w:p>
        </w:tc>
        <w:tc>
          <w:tcPr>
            <w:tcW w:w="528" w:type="pct"/>
            <w:vAlign w:val="center"/>
          </w:tcPr>
          <w:p>
            <w:pPr>
              <w:spacing w:line="240" w:lineRule="auto"/>
              <w:jc w:val="center"/>
              <w:rPr>
                <w:sz w:val="21"/>
                <w:szCs w:val="21"/>
              </w:rPr>
            </w:pPr>
            <w:r>
              <w:rPr>
                <w:sz w:val="21"/>
                <w:szCs w:val="21"/>
              </w:rPr>
              <w:t>45%</w:t>
            </w:r>
          </w:p>
        </w:tc>
        <w:tc>
          <w:tcPr>
            <w:tcW w:w="527" w:type="pct"/>
            <w:vAlign w:val="center"/>
          </w:tcPr>
          <w:p>
            <w:pPr>
              <w:spacing w:line="240" w:lineRule="auto"/>
              <w:jc w:val="center"/>
              <w:rPr>
                <w:sz w:val="21"/>
                <w:szCs w:val="21"/>
              </w:rPr>
            </w:pPr>
            <w:r>
              <w:rPr>
                <w:sz w:val="21"/>
                <w:szCs w:val="21"/>
              </w:rPr>
              <w:t>49</w:t>
            </w:r>
          </w:p>
        </w:tc>
        <w:tc>
          <w:tcPr>
            <w:tcW w:w="527" w:type="pct"/>
            <w:vAlign w:val="center"/>
          </w:tcPr>
          <w:p>
            <w:pPr>
              <w:spacing w:line="240" w:lineRule="auto"/>
              <w:jc w:val="center"/>
              <w:rPr>
                <w:sz w:val="21"/>
                <w:szCs w:val="21"/>
              </w:rPr>
            </w:pPr>
            <w:r>
              <w:rPr>
                <w:sz w:val="21"/>
                <w:szCs w:val="21"/>
              </w:rPr>
              <w:t>0</w:t>
            </w:r>
          </w:p>
        </w:tc>
        <w:tc>
          <w:tcPr>
            <w:tcW w:w="527" w:type="pct"/>
            <w:vAlign w:val="center"/>
          </w:tcPr>
          <w:p>
            <w:pPr>
              <w:spacing w:line="240" w:lineRule="auto"/>
              <w:jc w:val="center"/>
              <w:rPr>
                <w:sz w:val="21"/>
                <w:szCs w:val="21"/>
              </w:rPr>
            </w:pPr>
            <w:r>
              <w:rPr>
                <w:sz w:val="21"/>
                <w:szCs w:val="21"/>
              </w:rPr>
              <w:t>100%</w:t>
            </w:r>
          </w:p>
        </w:tc>
        <w:tc>
          <w:tcPr>
            <w:tcW w:w="528" w:type="pct"/>
            <w:vAlign w:val="center"/>
          </w:tcPr>
          <w:p>
            <w:pPr>
              <w:spacing w:line="240" w:lineRule="auto"/>
              <w:jc w:val="center"/>
              <w:rPr>
                <w:sz w:val="21"/>
                <w:szCs w:val="21"/>
              </w:rPr>
            </w:pPr>
            <w:r>
              <w:rPr>
                <w:sz w:val="21"/>
                <w:szCs w:val="21"/>
              </w:rPr>
              <w:t>49</w:t>
            </w:r>
          </w:p>
        </w:tc>
        <w:tc>
          <w:tcPr>
            <w:tcW w:w="533" w:type="pct"/>
            <w:vAlign w:val="center"/>
          </w:tcPr>
          <w:p>
            <w:pPr>
              <w:spacing w:line="240" w:lineRule="auto"/>
              <w:jc w:val="center"/>
              <w:rPr>
                <w:sz w:val="21"/>
                <w:szCs w:val="21"/>
              </w:rPr>
            </w:pPr>
            <w:r>
              <w:rPr>
                <w:sz w:val="21"/>
                <w:szCs w:val="21"/>
              </w:rPr>
              <w:t>100%</w:t>
            </w:r>
          </w:p>
        </w:tc>
      </w:tr>
    </w:tbl>
    <w:p>
      <w:pPr>
        <w:ind w:firstLine="480"/>
      </w:pPr>
      <w:r>
        <w:t>2022年，农业机械化及其自动化专业就业情况较好，考研与企业就业是当前大学生就业的两个主渠道，占到了毕业生的九成多，考研上线率达45%。就今年毕业生就业去向来看，大部分学生主要从事农机设计、制造、推广、销售及管理等工作，就业专业对口率达到70%以上。</w:t>
      </w:r>
    </w:p>
    <w:p>
      <w:pPr>
        <w:ind w:firstLine="480"/>
      </w:pPr>
      <w:r>
        <w:t>随着新型经营主体经营方式的转变，多种形式规模经营，集约化、专业化、组织化、社会化相结合的新型农业经营体系不断涌现，上述经营方式对农机化提出了更高的要求。为此，国务院印发的《中国制造2025》把农业装备列为十大重点领域之一，并提出</w:t>
      </w:r>
      <w:r>
        <w:rPr>
          <w:rFonts w:hint="eastAsia"/>
        </w:rPr>
        <w:t>“</w:t>
      </w:r>
      <w:r>
        <w:t>重点发展粮、棉、油、糖等大宗粮食和战略性经济作物育、耕、种、管、收、运、贮等主要生产过程使用的先进农业装备，加快发展大型拖拉机及其复式作业机具、大型高效联合收割机等高端农业装备及关键核心零部件。</w:t>
      </w:r>
      <w:r>
        <w:rPr>
          <w:rFonts w:hint="eastAsia"/>
        </w:rPr>
        <w:t>“</w:t>
      </w:r>
      <w:r>
        <w:t>互联网+</w:t>
      </w:r>
      <w:r>
        <w:rPr>
          <w:rFonts w:hint="eastAsia"/>
        </w:rPr>
        <w:t>”</w:t>
      </w:r>
      <w:r>
        <w:t>行动计划和《中国制造2025》的实施，为农业装备产业发展提供了新契机，将有效促进农业装备研发、生产、销售、维修、服务、管理科技水平全方位提升。在研发方面，着重促进农业装备研发原始创新、集成创新和引进消化吸收再创新，以新理念、新材料、新工艺、新平台设计制造信息化、自动化、智能化农业装备新产品，以供给创新带动市场需求扩大。面向国家战略需求和国家大力推进农业机械化发展的良好机遇，农机装备的发展已成为我国制造业发展的重头戏。2021年，中国农业机械工业协会面向全行业发布《农机工业</w:t>
      </w:r>
      <w:r>
        <w:rPr>
          <w:rFonts w:hint="eastAsia"/>
        </w:rPr>
        <w:t>“</w:t>
      </w:r>
      <w:r>
        <w:t>十四五</w:t>
      </w:r>
      <w:r>
        <w:rPr>
          <w:rFonts w:hint="eastAsia"/>
        </w:rPr>
        <w:t>”</w:t>
      </w:r>
      <w:r>
        <w:t>发展规划（2021-2025）》提出在</w:t>
      </w:r>
      <w:r>
        <w:rPr>
          <w:rFonts w:hint="eastAsia"/>
        </w:rPr>
        <w:t>“</w:t>
      </w:r>
      <w:r>
        <w:t>十四五</w:t>
      </w:r>
      <w:r>
        <w:rPr>
          <w:rFonts w:hint="eastAsia"/>
        </w:rPr>
        <w:t>”</w:t>
      </w:r>
      <w:r>
        <w:t>期间，农机工业必将坚定不移地按照党的十九大提出的新时期国家发展的战略目标和任务，树立大农业观，以保障国家粮食安全为己任，努力推动农机工业向数量质量效益并重转型升级，加快推进向世界农机制造强国迈进的步伐，为我国农业和农村提供技术先进、品质优良和服务一流的农机装备，为推进我国农业机械化全程全面、高质高效发展提供支撑，为早日实现我国农业现代化做出更大贡献。</w:t>
      </w:r>
    </w:p>
    <w:p>
      <w:pPr>
        <w:ind w:firstLine="480"/>
      </w:pPr>
      <w:r>
        <w:t>农业经营方式的快速转变以及农业装备产业的发展，对农业机械化及其自动化专业人才的需求将极为迫切，农业机械化及其自动化专业招生就业情况好于其他专业。</w:t>
      </w:r>
    </w:p>
    <w:p>
      <w:pPr>
        <w:ind w:firstLine="480"/>
      </w:pPr>
      <w:r>
        <w:t>通过调研，农业机械化及其自动化专业从事的职业岗位（群）有农机设计制造、电工电子、计算机网络、机电一体化控制等方面，农机与机电产品性能及设备安装、调试、运行、检测与使用维修方面，农机与机电产品的设计开发、制造及设备控制、生产组织管理方面，可承担电子、机械、信息及其交叉领域的相关技术工作。稳定而熟练的操作工是完成生产任务的基本保障，而要使产品在生产过程中具有高质量，设备维护人员又是重要的一方面，具有更熟练的操作技能或更宽的知识面或有复合技能的人更会受到企业的欢迎。</w:t>
      </w:r>
    </w:p>
    <w:p>
      <w:pPr>
        <w:ind w:firstLine="480"/>
      </w:pPr>
      <w:r>
        <w:t>社会对专业的评价及要求是：农业机械化及其自动化专业毕业生应能很快适应生产第一线的工艺设计与编制、加工制造、自动化生产的数控程序编制及自动控制操作、检测、检验、调试、农机与机电设备的科学管理、故障诊断与维修等技术含量较高的工作岗位，成为能动手实干的工程技术人员和主力军。</w:t>
      </w:r>
    </w:p>
    <w:p>
      <w:pPr>
        <w:ind w:firstLine="480"/>
      </w:pPr>
      <w:r>
        <w:t>农业机械化及其自动化专业学生应获得的知识与能力：</w:t>
      </w:r>
    </w:p>
    <w:p>
      <w:pPr>
        <w:ind w:firstLine="480"/>
      </w:pPr>
      <w:r>
        <w:t>1. 具有较扎实的自然科学基础，较好的人文、艺术和社会科学基础，较强的计算机应用能力和外语综合应用能力；</w:t>
      </w:r>
    </w:p>
    <w:p>
      <w:pPr>
        <w:ind w:firstLine="480"/>
      </w:pPr>
      <w:r>
        <w:t>2. 掌握农学、机械学、电工电子学及经营管理方面的基本理论或基本知识，具有本专业必需的制图、设计、计算、测试、文献检索和基本工艺操作等基本技能，熟悉我国农业机械化发展的方针、政策和法规，了解本专业的科学前沿和发展趋势；</w:t>
      </w:r>
    </w:p>
    <w:p>
      <w:pPr>
        <w:ind w:firstLine="480"/>
      </w:pPr>
      <w:r>
        <w:t>3. 掌握农业机械及其自动化装备的设计、试验鉴定、选型配套、使用维修等方面的基本理论和基本知识；具有农业生产机械化系统的规划设计和经营管理的基本技能；</w:t>
      </w:r>
    </w:p>
    <w:p>
      <w:pPr>
        <w:ind w:firstLine="480"/>
      </w:pPr>
      <w:r>
        <w:t>4. 具有农业机械化及其自动化新技术、新工艺、新装备的研究、开发和推广的基本能力；</w:t>
      </w:r>
    </w:p>
    <w:p>
      <w:pPr>
        <w:ind w:firstLine="480"/>
      </w:pPr>
      <w:r>
        <w:t>5. 初步掌握企业生产过程的工艺设计、质量控制和新产品性能检测方法；</w:t>
      </w:r>
    </w:p>
    <w:p>
      <w:pPr>
        <w:ind w:firstLine="480"/>
      </w:pPr>
      <w:r>
        <w:t>6. 有较强的调查研究与决策、组织与管理、口头与文字表达能力；具有较强的自学能力、创新能力和较高的综合素质；具有一定的外语交流能力。</w:t>
      </w:r>
    </w:p>
    <w:p>
      <w:pPr>
        <w:pStyle w:val="5"/>
        <w:spacing w:before="93" w:after="93"/>
        <w:ind w:firstLine="560"/>
      </w:pPr>
      <w:bookmarkStart w:id="376" w:name="_Toc8785"/>
      <w:r>
        <w:t>六、毕业生就业创业（创业情况、采取的措施、典型案例等）</w:t>
      </w:r>
      <w:bookmarkEnd w:id="376"/>
    </w:p>
    <w:p>
      <w:pPr>
        <w:ind w:firstLine="480"/>
      </w:pPr>
      <w:r>
        <w:t>多年来，农业机械化及其自动化专业极为重视毕业生就业创业工作，在学院党委、团委及学生会的大力支持下，多名农机专业学生大学期间进行创业尝试，由于受到传统思想观念束缚，大部分毕业生自主创业积极性还有待进一步提升。但随着我国各级政府自主创业，万众创新政策的实施，毕业生的自主创业也备受关注。</w:t>
      </w:r>
    </w:p>
    <w:p>
      <w:pPr>
        <w:ind w:firstLine="480"/>
      </w:pPr>
      <w:r>
        <w:t>为了促进毕业生就业创业工作，机电学院采取多种措施，确保每个毕业生都能够顺利就业，由于措施得当，2003年以来，连续17年机电学院被学校评为招生就业先进单位光荣称号。2022年，针对国内外经济社会发展形势对毕业生就业提出严峻考验的现实，农业机械化及其自动化专业各专职教师，在学院党委、行政及团委各级领导带领下，开拓创新，充分发挥专业优势，农业机械化及其自动化专业毕业生就业率为100%，具体措施包括：</w:t>
      </w:r>
    </w:p>
    <w:p>
      <w:pPr>
        <w:ind w:firstLine="480"/>
      </w:pPr>
      <w:r>
        <w:t xml:space="preserve">1. </w:t>
      </w:r>
      <w:r>
        <w:rPr>
          <w:rStyle w:val="27"/>
        </w:rPr>
        <w:t>狠抓学风建设是根本</w:t>
      </w:r>
      <w:r>
        <w:t>。学风从根本上决定就业。学院把学风建设与就业相结合，实行教学、就业相促进，强化实践与创新，大力提高核心竞争力。主要实施高端论坛、制度规范、磐石工程、精品工程、文化熏陶等9大工程，夯实、引领、示范、保障优良学风建设，实现了学风建设和就业工作的双赢。</w:t>
      </w:r>
    </w:p>
    <w:p>
      <w:pPr>
        <w:ind w:firstLine="480"/>
      </w:pPr>
      <w:r>
        <w:t xml:space="preserve">2. </w:t>
      </w:r>
      <w:r>
        <w:rPr>
          <w:rStyle w:val="27"/>
        </w:rPr>
        <w:t>做好思想工作是关键</w:t>
      </w:r>
      <w:r>
        <w:t>。每年有近二百家单位招聘，提供几千个岗位。但到大城市、大企业去工作的观念，仍然是制约就业的关键。因此，学院把做好就业教育作为提高签约的关键，重点抓住毕业生择业的</w:t>
      </w:r>
      <w:r>
        <w:rPr>
          <w:rFonts w:hint="eastAsia"/>
        </w:rPr>
        <w:t>“</w:t>
      </w:r>
      <w:r>
        <w:t>三个关键时期</w:t>
      </w:r>
      <w:r>
        <w:rPr>
          <w:rFonts w:hint="eastAsia"/>
        </w:rPr>
        <w:t>”</w:t>
      </w:r>
      <w:r>
        <w:t>，即</w:t>
      </w:r>
      <w:r>
        <w:rPr>
          <w:rFonts w:hint="eastAsia"/>
        </w:rPr>
        <w:t>“</w:t>
      </w:r>
      <w:r>
        <w:t>思考就业</w:t>
      </w:r>
      <w:r>
        <w:rPr>
          <w:rFonts w:hint="eastAsia"/>
        </w:rPr>
        <w:t>”</w:t>
      </w:r>
      <w:r>
        <w:t>的萌动期，这时强化就业理念教育；</w:t>
      </w:r>
      <w:r>
        <w:rPr>
          <w:rFonts w:hint="eastAsia"/>
        </w:rPr>
        <w:t>“</w:t>
      </w:r>
      <w:r>
        <w:t>准备就业</w:t>
      </w:r>
      <w:r>
        <w:rPr>
          <w:rFonts w:hint="eastAsia"/>
        </w:rPr>
        <w:t>”</w:t>
      </w:r>
      <w:r>
        <w:t>的启动期，这时我们把往届生的就业给学生全面分析，引导毕业生树立正确的就业观，做好不同的择业准备；</w:t>
      </w:r>
      <w:r>
        <w:rPr>
          <w:rFonts w:hint="eastAsia"/>
        </w:rPr>
        <w:t>“</w:t>
      </w:r>
      <w:r>
        <w:t>快速签约</w:t>
      </w:r>
      <w:r>
        <w:rPr>
          <w:rFonts w:hint="eastAsia"/>
        </w:rPr>
        <w:t>”</w:t>
      </w:r>
      <w:r>
        <w:t>的黄金期，这时开展</w:t>
      </w:r>
      <w:r>
        <w:rPr>
          <w:rFonts w:hint="eastAsia"/>
        </w:rPr>
        <w:t>“</w:t>
      </w:r>
      <w:r>
        <w:t>知名校友、企业农大行</w:t>
      </w:r>
      <w:r>
        <w:rPr>
          <w:rFonts w:hint="eastAsia"/>
        </w:rPr>
        <w:t>”</w:t>
      </w:r>
      <w:r>
        <w:t>，对未签约者进行</w:t>
      </w:r>
      <w:r>
        <w:rPr>
          <w:rFonts w:hint="eastAsia"/>
        </w:rPr>
        <w:t>“</w:t>
      </w:r>
      <w:r>
        <w:t>授业解惑</w:t>
      </w:r>
      <w:r>
        <w:rPr>
          <w:rFonts w:hint="eastAsia"/>
        </w:rPr>
        <w:t>”</w:t>
      </w:r>
      <w:r>
        <w:t>，同时开展个性化订单式</w:t>
      </w:r>
      <w:r>
        <w:rPr>
          <w:rFonts w:hint="eastAsia"/>
        </w:rPr>
        <w:t>“</w:t>
      </w:r>
      <w:r>
        <w:t>一盯一一帮一</w:t>
      </w:r>
      <w:r>
        <w:rPr>
          <w:rFonts w:hint="eastAsia"/>
        </w:rPr>
        <w:t>”</w:t>
      </w:r>
      <w:r>
        <w:t>帮扶，做学生的好参谋、好朋友。</w:t>
      </w:r>
    </w:p>
    <w:p>
      <w:pPr>
        <w:ind w:firstLine="480"/>
      </w:pPr>
      <w:r>
        <w:t xml:space="preserve">3. </w:t>
      </w:r>
      <w:r>
        <w:rPr>
          <w:rStyle w:val="27"/>
        </w:rPr>
        <w:t>拓展就业市场是前提</w:t>
      </w:r>
      <w:r>
        <w:t>。有较大部分学生是通过校内招聘就业的，学院重视就业市场的拓展，不但巩固老朋友，还要结识新朋友。对五征、雷沃重工、科乐收农业机械有限公司、泰开集团、歌尔声学等这样的招聘大户，像亲戚一样经常要走动；利用参加会议、外出实习等机会，结识了长城汽车、奇瑞汽车、吉利汽车、北汽福田、中烟集团等一大批新朋友，慢慢成为好朋友、老朋友。</w:t>
      </w:r>
    </w:p>
    <w:p>
      <w:pPr>
        <w:ind w:firstLine="480"/>
      </w:pPr>
      <w:r>
        <w:t xml:space="preserve">4. </w:t>
      </w:r>
      <w:r>
        <w:rPr>
          <w:rStyle w:val="27"/>
        </w:rPr>
        <w:t>浓厚就业氛围是保障</w:t>
      </w:r>
      <w:r>
        <w:t>。积极向上的就业氛围，是推动就业的重要保障，学院非常重视营造积极向上的就业氛围。实行</w:t>
      </w:r>
      <w:r>
        <w:rPr>
          <w:rFonts w:hint="eastAsia"/>
        </w:rPr>
        <w:t>“</w:t>
      </w:r>
      <w:r>
        <w:t>院领导联系专业促就业</w:t>
      </w:r>
      <w:r>
        <w:rPr>
          <w:rFonts w:hint="eastAsia"/>
        </w:rPr>
        <w:t>”</w:t>
      </w:r>
      <w:r>
        <w:t>、</w:t>
      </w:r>
      <w:r>
        <w:rPr>
          <w:rFonts w:hint="eastAsia"/>
        </w:rPr>
        <w:t>“</w:t>
      </w:r>
      <w:r>
        <w:t>就业红娘评选</w:t>
      </w:r>
      <w:r>
        <w:rPr>
          <w:rFonts w:hint="eastAsia"/>
        </w:rPr>
        <w:t>”</w:t>
      </w:r>
      <w:r>
        <w:t>、</w:t>
      </w:r>
      <w:r>
        <w:rPr>
          <w:rFonts w:hint="eastAsia"/>
        </w:rPr>
        <w:t>“</w:t>
      </w:r>
      <w:r>
        <w:t>就业喜报</w:t>
      </w:r>
      <w:r>
        <w:rPr>
          <w:rFonts w:hint="eastAsia"/>
        </w:rPr>
        <w:t>”</w:t>
      </w:r>
      <w:r>
        <w:t>，党员干部带头就业等措施，营造浓厚的就业氛围。</w:t>
      </w:r>
    </w:p>
    <w:p>
      <w:pPr>
        <w:ind w:firstLine="480"/>
      </w:pPr>
      <w:r>
        <w:t xml:space="preserve">5. </w:t>
      </w:r>
      <w:r>
        <w:rPr>
          <w:rStyle w:val="27"/>
        </w:rPr>
        <w:t>分类指导是有效途径</w:t>
      </w:r>
      <w:r>
        <w:t>。把毕业生分成就业、考研等不同类型。针对签约者，帮助他们到单位顶岗实习；对考研的，尝试调整了学习型宿舍；针对报考211、985高校学生扎堆现象，专门召开协调会，动员学生报考我校的同时，避免自我淘汰，指导学生主动分流；对报考公务员的，邀请教师进行指导，近年来考研、考公务员成功率逐年提高，成为学院就业新得增长点。</w:t>
      </w:r>
    </w:p>
    <w:p>
      <w:pPr>
        <w:ind w:firstLine="480"/>
      </w:pPr>
      <w:r>
        <w:t xml:space="preserve">6. </w:t>
      </w:r>
      <w:r>
        <w:rPr>
          <w:rStyle w:val="27"/>
        </w:rPr>
        <w:t>畅通就业渠道是基础</w:t>
      </w:r>
      <w:r>
        <w:t>。充分利用院网、新媒体、就业APP、班级就业信息员等渠道，把就业信息及时快捷的传递到毕业生。学生会还设立了</w:t>
      </w:r>
      <w:r>
        <w:rPr>
          <w:rFonts w:hint="eastAsia"/>
        </w:rPr>
        <w:t>“</w:t>
      </w:r>
      <w:r>
        <w:t>考研与就业服务部</w:t>
      </w:r>
      <w:r>
        <w:rPr>
          <w:rFonts w:hint="eastAsia"/>
        </w:rPr>
        <w:t>”</w:t>
      </w:r>
      <w:r>
        <w:t>，协助辅导员老师关注山东大学等其他高校的相关就业信息。学院在毕业生公寓楼门口制作了</w:t>
      </w:r>
      <w:r>
        <w:rPr>
          <w:rFonts w:hint="eastAsia"/>
        </w:rPr>
        <w:t>“</w:t>
      </w:r>
      <w:r>
        <w:t>毕业生就业信息专栏</w:t>
      </w:r>
      <w:r>
        <w:rPr>
          <w:rFonts w:hint="eastAsia"/>
        </w:rPr>
        <w:t>”</w:t>
      </w:r>
      <w:r>
        <w:t>，有校内、校外招聘信息等六大板块，每周二上午8：00前定期更新，极大地方便了毕业生获取就业信息。</w:t>
      </w:r>
    </w:p>
    <w:p>
      <w:pPr>
        <w:pStyle w:val="5"/>
        <w:spacing w:before="93" w:after="93"/>
        <w:ind w:firstLine="560"/>
      </w:pPr>
      <w:bookmarkStart w:id="377" w:name="_Toc18715"/>
      <w:r>
        <w:t>七、专业人才社会需求分析及发展趋势及建议</w:t>
      </w:r>
      <w:bookmarkEnd w:id="377"/>
    </w:p>
    <w:p>
      <w:pPr>
        <w:ind w:firstLine="480"/>
      </w:pPr>
      <w:r>
        <w:t>近几年，党和国家相关政策大力强调加快农业科技创新，在智慧农业和农机装备等领域取得重大突破。2015年5月国务院正式印发了我国实施制造强国战略第一个十年的行动纲领</w:t>
      </w:r>
      <w:r>
        <w:rPr>
          <w:rFonts w:hint="eastAsia"/>
        </w:rPr>
        <w:t>“</w:t>
      </w:r>
      <w:r>
        <w:t>中国制造2025</w:t>
      </w:r>
      <w:r>
        <w:rPr>
          <w:rFonts w:hint="eastAsia"/>
        </w:rPr>
        <w:t>”</w:t>
      </w:r>
      <w:r>
        <w:t>。它明确提出，农机装备以提高农机装备信息收集、智能决策和精准作业能力，形成面向农业生产的信息化整体解决方案为发展目标，以满足大宗粮食和战略性经济作物生产过程所需要的先进农机装备为发展重点。科技部制定的</w:t>
      </w:r>
      <w:r>
        <w:rPr>
          <w:rFonts w:hint="eastAsia"/>
        </w:rPr>
        <w:t>“</w:t>
      </w:r>
      <w:r>
        <w:t>国家中长期科学与技术发展规划</w:t>
      </w:r>
      <w:r>
        <w:rPr>
          <w:rFonts w:hint="eastAsia"/>
        </w:rPr>
        <w:t>”</w:t>
      </w:r>
      <w:r>
        <w:t>中也把农业精确作业与信息化、多功能农业装备与设施等智能农业装备技术列入了优先发展领域。随着国家对农机补贴政策的调整，以及农业产业化适度规模经营的发展，为智能化农业装备产业发展提供了新契机。综上，智能农业装备技术已成为我国农机行业发展的国策。</w:t>
      </w:r>
    </w:p>
    <w:p>
      <w:pPr>
        <w:ind w:firstLine="480"/>
      </w:pPr>
      <w:r>
        <w:t>近年来，山东省农机化取得了很大的阶段性发展成果。一是农业机械化装备水平有了一定提升，主要农机产品整体质量和性能进一步提高。二是农业机械化水平大幅提高，在山东的农业生产中已稳据主导地位。三是农机化发展效益稳步增长。这为山东省农业装备的进一步发展提供了物资基础。山东省是农业生产和农机装备制造大省，但不是一个农机强省。从全国农业装备技术水平上看，山东省还处于中低端水平，主要表现在：中低端产品产能过剩，高附加值产品自给率低；产业集中度偏低，同质化竞争现象突出；发展方式相对粗放，质量和效益有待提高；自主创新能力不强，缺乏行业领先的核心技术；信息化、智能化水平低；节能、环保以及质量管理水平有待提高。山东省农业机械装备仍然难以形成规模化、标准化、机械化和智能化，在技术水平、产品功能和企业实力方面远落后于欧美等发达国家。我省的农业装备产业正进入快速发展的战略机遇期。长期以来，我省在智能化农业装备技术方面的研发投入还相对匮乏。智能化农业装备技术是我省农机化和农业创新驱动的重要抓手，因此加大农机装备及智能化技术研发的投入力度，是实现我省农业生产和农机制造业跨越式发展的重要支撑手段。这就为农业机械化及其自动化专业毕业生提供了广阔的就业市场，同时，也对农业机械化及其自动化专业人才培养质量提出了更高的要求。</w:t>
      </w:r>
    </w:p>
    <w:p>
      <w:pPr>
        <w:ind w:firstLine="480"/>
      </w:pPr>
      <w:r>
        <w:t>基于以上分析，农业机械化及其自动化专业培养的学生应与时俱进，紧跟时代发展潮流，以提高学生创新创业技能为突破口，强化实践教学环节，加强教师师德、师风建设和授课技能培训，提高教学质量，促进学生的分类培养目标实现，对农业机械化及其自动化专业今后的发展提出如下建议：</w:t>
      </w:r>
    </w:p>
    <w:p>
      <w:pPr>
        <w:ind w:firstLine="480"/>
      </w:pPr>
      <w:r>
        <w:t>1. 加强专业建设力度，改革人才培养模式，瞄准世界农机领域先进技术，以工学和农学结合确立专业人才培养模式，以专业能力和科学素养构建专业核心课程；</w:t>
      </w:r>
    </w:p>
    <w:p>
      <w:pPr>
        <w:ind w:firstLine="480"/>
      </w:pPr>
      <w:r>
        <w:t>2. 注重师资队伍建设，打造一支专兼结合、师德高尚、技能过硬、国内外具有一定知名度的优秀专业教学团队；</w:t>
      </w:r>
    </w:p>
    <w:p>
      <w:pPr>
        <w:ind w:firstLine="480"/>
      </w:pPr>
      <w:r>
        <w:t>3. 在学校规划统一指导下，按照</w:t>
      </w:r>
      <w:r>
        <w:rPr>
          <w:rFonts w:hint="eastAsia"/>
        </w:rPr>
        <w:t>“</w:t>
      </w:r>
      <w:r>
        <w:t>教育定位准确，教学方法独特，培养模式先进，专业特色鲜明，人才质量优良</w:t>
      </w:r>
      <w:r>
        <w:rPr>
          <w:rFonts w:hint="eastAsia"/>
        </w:rPr>
        <w:t>”</w:t>
      </w:r>
      <w:r>
        <w:t>的要求，为适应人才市场需求和提高就业竞争力，全面提高教学质量，坚持</w:t>
      </w:r>
      <w:r>
        <w:rPr>
          <w:rFonts w:hint="eastAsia"/>
        </w:rPr>
        <w:t>“</w:t>
      </w:r>
      <w:r>
        <w:t>以学生为本，以完善知识结构为导向、以强化理论实践技能为依托、以农机产品设计生产为核心</w:t>
      </w:r>
      <w:r>
        <w:rPr>
          <w:rFonts w:hint="eastAsia"/>
        </w:rPr>
        <w:t>”</w:t>
      </w:r>
      <w:r>
        <w:t>的原则，将农业机械化及其自动化专业建成国家级特色专业；</w:t>
      </w:r>
    </w:p>
    <w:p>
      <w:pPr>
        <w:ind w:firstLine="480"/>
      </w:pPr>
      <w:r>
        <w:t>4. 以</w:t>
      </w:r>
      <w:r>
        <w:rPr>
          <w:rFonts w:hint="eastAsia"/>
        </w:rPr>
        <w:t>“</w:t>
      </w:r>
      <w:r>
        <w:t>教、学、做、知识、能力、素质</w:t>
      </w:r>
      <w:r>
        <w:rPr>
          <w:rFonts w:hint="eastAsia"/>
        </w:rPr>
        <w:t>”</w:t>
      </w:r>
      <w:r>
        <w:t>六位一体的教学方法为突破口，突出课程改革，培养合格的高素质技能型人才，创造条件，鼓励学生参加各类机电大赛，提高其实践技能；</w:t>
      </w:r>
    </w:p>
    <w:p>
      <w:pPr>
        <w:ind w:firstLine="480"/>
      </w:pPr>
      <w:r>
        <w:t>5. 加强校内外实验室及实训基地建设，通过购买、自制等手段充实实验仪器设备，提高实验室综合利用率，制定相关规章制度，强化校企合作内容，整合各种资源，着力建设集资源共享、学生实训、技术服务于一体的教学科研保障体系。</w:t>
      </w:r>
    </w:p>
    <w:p>
      <w:pPr>
        <w:pStyle w:val="5"/>
        <w:spacing w:before="93" w:after="93"/>
        <w:ind w:firstLine="560"/>
      </w:pPr>
      <w:bookmarkStart w:id="378" w:name="_Toc24092"/>
      <w:r>
        <w:t>八、存在的问题及整改措施</w:t>
      </w:r>
      <w:bookmarkEnd w:id="378"/>
    </w:p>
    <w:p>
      <w:pPr>
        <w:pStyle w:val="6"/>
        <w:ind w:firstLine="480"/>
      </w:pPr>
      <w:r>
        <w:t>1. 学生参加科技竞赛的经费不足</w:t>
      </w:r>
    </w:p>
    <w:p>
      <w:pPr>
        <w:ind w:firstLine="480"/>
      </w:pPr>
      <w:r>
        <w:t>教育部、教育厅承办的大学生科技竞赛，大部分面向工科学生，而我们是农业大学，对竞赛的理解深度不够，还需进一步加强宣传力度，支持竞赛的专项经费还有待进一步提升，影响了学生课外科技的积极性和普及性。</w:t>
      </w:r>
    </w:p>
    <w:p>
      <w:pPr>
        <w:ind w:firstLine="480"/>
      </w:pPr>
      <w:r>
        <w:t>建议学校制定相关制度，鼓励引导大学生的课外科技活动。</w:t>
      </w:r>
    </w:p>
    <w:p>
      <w:pPr>
        <w:pStyle w:val="6"/>
        <w:ind w:firstLine="480"/>
      </w:pPr>
      <w:r>
        <w:t>2. 教学研究精力投入不足</w:t>
      </w:r>
    </w:p>
    <w:p>
      <w:pPr>
        <w:ind w:firstLine="480"/>
      </w:pPr>
      <w:r>
        <w:t>部分教师对教学研究的重视程度不够，狭隘地认为，教师的任务就是上课，从根本上没有意识到教师的四大功能。</w:t>
      </w:r>
    </w:p>
    <w:p>
      <w:pPr>
        <w:ind w:firstLine="480"/>
      </w:pPr>
      <w:r>
        <w:t>建议学校从数量和资金方面，加大教研课题的设置。</w:t>
      </w:r>
    </w:p>
    <w:p>
      <w:pPr>
        <w:pStyle w:val="6"/>
        <w:ind w:firstLine="480"/>
      </w:pPr>
      <w:r>
        <w:t>3. 对学生教学效果评价体系还不完善</w:t>
      </w:r>
    </w:p>
    <w:p>
      <w:pPr>
        <w:ind w:firstLine="480"/>
      </w:pPr>
      <w:r>
        <w:t>要改变传统的教学评价方式，重视过程性评价，注意过程性评价和终结性评价的有机结合，在学业评价中充分考虑科技创新设计技能掌握程度和评价本身对职业能力形成的促进作用。</w:t>
      </w:r>
    </w:p>
    <w:p>
      <w:pPr>
        <w:rPr>
          <w:rFonts w:eastAsiaTheme="minorEastAsia"/>
        </w:rPr>
      </w:pPr>
      <w:r>
        <w:rPr>
          <w:rFonts w:eastAsiaTheme="minorEastAsia"/>
        </w:rPr>
        <w:br w:type="page"/>
      </w:r>
    </w:p>
    <w:p>
      <w:pPr>
        <w:pStyle w:val="4"/>
        <w:ind w:firstLine="600"/>
      </w:pPr>
      <w:bookmarkStart w:id="379" w:name="_Toc30488"/>
      <w:bookmarkStart w:id="380" w:name="_Toc9550"/>
      <w:bookmarkStart w:id="381" w:name="_Toc27734"/>
      <w:bookmarkStart w:id="382" w:name="_Toc12780"/>
      <w:bookmarkStart w:id="383" w:name="_Toc19451"/>
      <w:r>
        <w:t>专业三十</w:t>
      </w:r>
      <w:r>
        <w:rPr>
          <w:rFonts w:hint="eastAsia"/>
          <w:lang w:val="en-US"/>
        </w:rPr>
        <w:t>五</w:t>
      </w:r>
      <w:r>
        <w:t>：经济学</w:t>
      </w:r>
      <w:bookmarkEnd w:id="379"/>
      <w:bookmarkEnd w:id="380"/>
      <w:bookmarkEnd w:id="381"/>
      <w:bookmarkEnd w:id="382"/>
      <w:bookmarkEnd w:id="383"/>
    </w:p>
    <w:p>
      <w:pPr>
        <w:pStyle w:val="5"/>
        <w:spacing w:before="93" w:after="93"/>
        <w:ind w:firstLine="560"/>
      </w:pPr>
      <w:bookmarkStart w:id="384" w:name="_Toc14759"/>
      <w:r>
        <w:t>一、人才培养目标</w:t>
      </w:r>
      <w:bookmarkEnd w:id="384"/>
      <w:r>
        <w:t>与规格</w:t>
      </w:r>
    </w:p>
    <w:p>
      <w:pPr>
        <w:ind w:firstLine="480" w:firstLineChars="200"/>
      </w:pPr>
      <w:r>
        <w:t>本专业培养具备比较扎实的马克思主义经济学理论基础，熟悉现代西方经济学理论，比较熟练地掌握现代经济分析方法，知识面较宽且具有向经济学相关领域扩展渗透的知识和技能，能在综合经济管理部门、政策研究部门、金融机构和企业从事经济分析、预测、规划和经济管理工作的复合型高级专门人才。</w:t>
      </w:r>
    </w:p>
    <w:p>
      <w:pPr>
        <w:ind w:firstLine="480" w:firstLineChars="200"/>
      </w:pPr>
      <w:r>
        <w:t>学生应获取的知识和能力：</w:t>
      </w:r>
    </w:p>
    <w:p>
      <w:pPr>
        <w:ind w:firstLine="480" w:firstLineChars="200"/>
      </w:pPr>
      <w:r>
        <w:t>1. 掌握经济学、管理学的基本理论和方法。</w:t>
      </w:r>
    </w:p>
    <w:p>
      <w:pPr>
        <w:ind w:firstLine="480" w:firstLineChars="200"/>
      </w:pPr>
      <w:r>
        <w:t>2. 掌握货币、银行、保险、证券投资、国际金融的基本理论和实际操作业务。</w:t>
      </w:r>
    </w:p>
    <w:p>
      <w:pPr>
        <w:ind w:firstLine="480" w:firstLineChars="200"/>
      </w:pPr>
      <w:r>
        <w:t>3. 掌握经济分析、经济核算、社会调查等基本方法，能运用统计、会计等方法对经济进行分析和研究。</w:t>
      </w:r>
    </w:p>
    <w:p>
      <w:pPr>
        <w:ind w:firstLine="480" w:firstLineChars="200"/>
      </w:pPr>
      <w:r>
        <w:t>4. 熟悉国内外经济法规、政策及国际惯例。</w:t>
      </w:r>
    </w:p>
    <w:p>
      <w:pPr>
        <w:ind w:firstLine="480" w:firstLineChars="200"/>
      </w:pPr>
      <w:r>
        <w:t>5. 熟悉计算机操作，具有较强的语言和文字表达能力，熟练地掌握一门外语。</w:t>
      </w:r>
    </w:p>
    <w:p>
      <w:pPr>
        <w:ind w:firstLine="480" w:firstLineChars="200"/>
      </w:pPr>
      <w:r>
        <w:t>6. 具备国内外文献检索、资料查询的能力，具有较强的实际工作和科学研究能力。</w:t>
      </w:r>
    </w:p>
    <w:p>
      <w:pPr>
        <w:pStyle w:val="5"/>
        <w:spacing w:before="93" w:after="93"/>
        <w:ind w:firstLine="560"/>
      </w:pPr>
      <w:bookmarkStart w:id="385" w:name="_Toc18270"/>
      <w:r>
        <w:t>二、培养能力</w:t>
      </w:r>
      <w:bookmarkEnd w:id="385"/>
    </w:p>
    <w:p>
      <w:pPr>
        <w:pStyle w:val="7"/>
        <w:ind w:firstLine="480" w:firstLineChars="200"/>
      </w:pPr>
      <w:r>
        <w:t>1.专业设置情况</w:t>
      </w:r>
    </w:p>
    <w:p>
      <w:pPr>
        <w:ind w:firstLine="480" w:firstLineChars="200"/>
      </w:pPr>
      <w:r>
        <w:t xml:space="preserve">山东农业大学经济学本科专业于2009年设置并招生，连续12年招收本科生。至2022年已有10届经济学学本科毕业生毕业，就业率达98%。 </w:t>
      </w:r>
    </w:p>
    <w:p>
      <w:pPr>
        <w:pStyle w:val="7"/>
        <w:ind w:firstLine="480" w:firstLineChars="200"/>
      </w:pPr>
      <w:r>
        <w:t>2.在校生规模</w:t>
      </w:r>
    </w:p>
    <w:p>
      <w:pPr>
        <w:adjustRightInd w:val="0"/>
        <w:ind w:firstLine="480" w:firstLineChars="200"/>
      </w:pPr>
      <w:r>
        <w:t>山东农业大学经济学本科专业目前在校学生人数为175人，其中2019级75人，2020级100人，2021级开始该专业调整为数字经济专业。</w:t>
      </w:r>
    </w:p>
    <w:p>
      <w:pPr>
        <w:pStyle w:val="7"/>
        <w:ind w:firstLine="480" w:firstLineChars="200"/>
      </w:pPr>
      <w:r>
        <w:t>3.课程设置情况</w:t>
      </w:r>
    </w:p>
    <w:p>
      <w:pPr>
        <w:adjustRightInd w:val="0"/>
        <w:ind w:firstLine="480" w:firstLineChars="200"/>
      </w:pPr>
      <w:r>
        <w:t>本专业设置的主要课程：政治经济学、微观经济学、宏观经济学、统计学、会计学、计量经济学、货币银行学、财政学、产业经济学、当代中国经济、发展经济学、公共经济学、投资学、资源经济学等。</w:t>
      </w:r>
    </w:p>
    <w:p>
      <w:pPr>
        <w:pStyle w:val="7"/>
        <w:ind w:firstLine="480" w:firstLineChars="200"/>
      </w:pPr>
      <w:r>
        <w:t>4.创新创业教育</w:t>
      </w:r>
    </w:p>
    <w:p>
      <w:pPr>
        <w:adjustRightInd w:val="0"/>
        <w:ind w:firstLine="480" w:firstLineChars="200"/>
      </w:pPr>
      <w:r>
        <w:t>本专业坚持以培养具有创业基本素质和开创型个性为目标开展创新创业教育，一方面努力培育在校学生的创业意识、创业精神、创新创业能力，另一方面注重利用社会资源，通过多种形式分阶段分层次进行创新思维培养和创业能力锻炼。具体教育工作着力围绕以下方面展开：（1）培养创新创业意识：启蒙学生的创新意识和创业精神，使学生了解创新型人才的素质要求，了解创业的概念、要素与特征等，使学生掌握开展创业活动所需要的基本知识。（2）提升创新创业能力：培养学生的批判性思维、洞察力、决策力、组织协调能力与领导力等各项创新创业素质，使学生具备必要的创业能力。（3）营造创新创业环境：引导学生认知当今企业及行业环境，了解创业机会，把握创业风险，掌握商业模式开发的过程，设计策略及技巧等。（4）模拟创新创业活动。通过创业计划书撰写、模拟经济实践活动开展等，鼓励学生体验创业准备的各个环节，包括创业市场评估、创业融资、创办企业流程与风险管理等。</w:t>
      </w:r>
    </w:p>
    <w:p>
      <w:pPr>
        <w:adjustRightInd w:val="0"/>
        <w:ind w:firstLine="480" w:firstLineChars="200"/>
      </w:pPr>
      <w:r>
        <w:t>在组织实施方面，2015年以前实行专业负责制，组织学生进行创新创业活动，从2015年（2013级）开始，实行导师负责制。指导教师是学生创新创业实践环节教学第一责任人，负责指导学生按要求独立开展创新创业实践活动。学生自主选择创新创业实践形式，在毕业前完成创新创业实践环节。另外，为鼓励创新创业实践，还建立了学院大学生创新创业中心。</w:t>
      </w:r>
    </w:p>
    <w:p>
      <w:pPr>
        <w:pStyle w:val="5"/>
        <w:spacing w:before="93" w:after="93"/>
        <w:ind w:firstLine="560"/>
      </w:pPr>
      <w:bookmarkStart w:id="386" w:name="_Toc24609"/>
      <w:r>
        <w:t>三、培养条件</w:t>
      </w:r>
      <w:bookmarkEnd w:id="386"/>
    </w:p>
    <w:p>
      <w:pPr>
        <w:pStyle w:val="7"/>
      </w:pPr>
      <w:r>
        <w:t>1. 教学经费投入</w:t>
      </w:r>
    </w:p>
    <w:p>
      <w:pPr>
        <w:adjustRightInd w:val="0"/>
        <w:snapToGrid w:val="0"/>
        <w:ind w:firstLine="480" w:firstLineChars="200"/>
      </w:pPr>
      <w:r>
        <w:t>教学经费是夯实专业教学建设条件，确保教学正常运行，推进教学改革，提高教学质量的基本教学经费。自从本专业开办以来，学校和学院十分重视对本专业教学经费的投入。2019年本专业投入教学经费27.5万元。</w:t>
      </w:r>
    </w:p>
    <w:p>
      <w:pPr>
        <w:pStyle w:val="7"/>
        <w:ind w:firstLine="480" w:firstLineChars="200"/>
      </w:pPr>
      <w:r>
        <w:t>2. 教学设备</w:t>
      </w:r>
    </w:p>
    <w:p>
      <w:pPr>
        <w:adjustRightInd w:val="0"/>
        <w:snapToGrid w:val="0"/>
        <w:ind w:firstLine="480" w:firstLineChars="200"/>
      </w:pPr>
      <w:r>
        <w:t>为了适应经济学专业教育发展和教学工作的开展，学校和学院在资金投入上给予必要保障，扶持本专业购置经济学类专业书籍、资料和报刊及相应的实习实验教学设备。学校现有与本专业相关图书3万余册，专业报刊80多种，期刊杂志160多种。</w:t>
      </w:r>
    </w:p>
    <w:p>
      <w:pPr>
        <w:adjustRightInd w:val="0"/>
        <w:snapToGrid w:val="0"/>
        <w:ind w:firstLine="480" w:firstLineChars="200"/>
      </w:pPr>
      <w:r>
        <w:t>经管学院目前建有与本专业相关的具有显著学科及专业特色的教学实验室8个，居于全国同类实验室领先水平，实验室使用面积879m</w:t>
      </w:r>
      <w:r>
        <w:rPr>
          <w:vertAlign w:val="superscript"/>
        </w:rPr>
        <w:t>2</w:t>
      </w:r>
      <w:r>
        <w:t>，现有高性能的计算机530余台、教学软件系统50套，价值840余万元。形成了强化学生的能力培养、突出学生创新能力和实际操作能力并兼顾学生个性发展的全新的实验教学新体系。具体包括金融证券分析实验室，该系列实验包括：证券、期货、外汇行情接收系统、技术分析系统及模拟交易系统、保险精算系统、银行业务模拟系统等的应用；财务会计与财务管理综合实验室，该系列实验包括财务管理系列实验与财务会计系列实验；市场营销及电子商务实验室，该系列实验包括电子商务模拟实验、电子支付模拟实验、市场分析模拟实验；工商管理综合实验室，该系列实验包括：工商管理模拟实验、人力资源管理模拟实验及企业信息化系列实验和信息智能分析系列实验等。实验教学采用网络教学、多媒体教学等先进技术，手工模拟操作、计算机模拟操作、仿真实验、完全现场教学等多种方式相结合，达到了现场教学的效果。实验室全天候向学生开放。所有这些都为经济学专业创造了良好办学条件。</w:t>
      </w:r>
    </w:p>
    <w:p>
      <w:pPr>
        <w:pStyle w:val="7"/>
        <w:ind w:firstLine="480" w:firstLineChars="200"/>
      </w:pPr>
      <w:r>
        <w:t>3. 教师队伍建设</w:t>
      </w:r>
    </w:p>
    <w:p>
      <w:pPr>
        <w:adjustRightInd w:val="0"/>
        <w:snapToGrid w:val="0"/>
        <w:ind w:firstLine="480" w:firstLineChars="200"/>
      </w:pPr>
      <w:r>
        <w:t>经济学专业现有专职教师11人，其中，教授4人，副教授3人，讲师4人。9名教师具有博士学位，30-50岁中青年教师占比超过90%，初步形成了一支年富力强、学历层次水平高、学缘结构科学、职称结构较合理，教学作风严谨、教学水平较高的师资队伍，较好保障了各项教学任务的顺利完成，有力支撑了本专业人才培养目标的实现。</w:t>
      </w:r>
    </w:p>
    <w:p>
      <w:pPr>
        <w:pStyle w:val="7"/>
        <w:ind w:firstLine="480" w:firstLineChars="200"/>
      </w:pPr>
      <w:r>
        <w:t>4. 现代教学技术应用</w:t>
      </w:r>
    </w:p>
    <w:p>
      <w:pPr>
        <w:adjustRightInd w:val="0"/>
        <w:snapToGrid w:val="0"/>
        <w:ind w:firstLine="480" w:firstLineChars="200"/>
      </w:pPr>
      <w:r>
        <w:t>本专业十分重视多媒体、MOOCs、微课等现代教学技术应用。现代信息技术的运用，有助于改变传统的教学模式和学习方式，激发学生学习兴趣，提高教与学的效率。（1）运用现代信息技术手段激发学生的求知欲，挖掘学生的情感因素，教学中，教师创造的宽松、和谐的教学环境可使学生心情舒畅，思维活跃，教师对学生的充分信任、鼓励，会使他们产生巨大的精神动力。使学生在充满情趣与快乐的情境中发现问题，解决问题。（2）运用现代信息技术，实现教学方式的变革。将现代信息技术已广泛地用于教育教学过程，如多媒体显示技术及应用软件辅助教学等。目前有微观经济学、宏观经济学、计量经济学、产业经济学、资源经济学5门课程构成的经济学系列课程被确定为省级精品课程。</w:t>
      </w:r>
    </w:p>
    <w:p>
      <w:pPr>
        <w:pStyle w:val="7"/>
        <w:ind w:firstLine="480" w:firstLineChars="200"/>
      </w:pPr>
      <w:r>
        <w:t>5. 实习基地</w:t>
      </w:r>
    </w:p>
    <w:p>
      <w:pPr>
        <w:adjustRightInd w:val="0"/>
        <w:snapToGrid w:val="0"/>
        <w:ind w:firstLine="480" w:firstLineChars="200"/>
      </w:pPr>
      <w:r>
        <w:t>在多年的教学实践中，经管学院共建有稳定的校外教学实习基地30多个。其中有学校和地方签订协议，正式挂牌运营使用多年，有经管学院与地方协定，投入使用的山东省银监局、人民银行、山东农村信用联社、人民银行泰安市分行、农业银行泰安市分行、建设银行泰安市分行、交通银行泰安市分行、中信证券有限公司等教学实习基地。2018年新增泰安金融控股集团有限公司、泰安市国泰民安投资集团有限公司、工商银行泰安分行等9家校外教学科研实践育人基地，为经济学专业学生实习打下了良好的基础条件。2016级、2017级学生连续两年在中信证券公司进行教学实习，效果良好。</w:t>
      </w:r>
    </w:p>
    <w:p>
      <w:pPr>
        <w:pStyle w:val="5"/>
        <w:spacing w:before="93" w:after="93"/>
        <w:ind w:firstLine="560"/>
      </w:pPr>
      <w:bookmarkStart w:id="387" w:name="_Toc10640"/>
      <w:r>
        <w:t>四、培养机制与特色</w:t>
      </w:r>
      <w:bookmarkEnd w:id="387"/>
    </w:p>
    <w:p>
      <w:pPr>
        <w:pStyle w:val="7"/>
        <w:ind w:firstLine="480" w:firstLineChars="200"/>
      </w:pPr>
      <w:r>
        <w:t>1. 产学研协同育人机制</w:t>
      </w:r>
    </w:p>
    <w:p>
      <w:pPr>
        <w:adjustRightInd w:val="0"/>
        <w:snapToGrid w:val="0"/>
        <w:spacing w:line="390" w:lineRule="exact"/>
        <w:ind w:firstLine="480" w:firstLineChars="200"/>
      </w:pPr>
      <w:r>
        <w:t>（1）重视科研对教学质量提升的引领作用。经济学专业教师除了承担经济学专业</w:t>
      </w:r>
      <w:r>
        <w:rPr>
          <w:bCs/>
        </w:rPr>
        <w:t>主干与主要课程的教学任务外，积极承担全院各本科专业的有关经济学学（微观经济学、</w:t>
      </w:r>
      <w:r>
        <w:t>宏观经济学、政治经济学、财政学、经济法、公共经济学、产业经济学等）必（选）修课程的教学任务；主编与参编经济学类教材8部，发表论文100余篇；先后承担并完成国家自然科学基金项目、国家社会科学基金项目、国家科技支撑项目等国家级课题4项，省社科规划重点项目、山东省自然科学基金项目、山东省软科学项目6项。本专业教师近年来获奖得省级及以上奖4项。为经济学学本科专业奠定了良好的基础。</w:t>
      </w:r>
    </w:p>
    <w:p>
      <w:pPr>
        <w:adjustRightInd w:val="0"/>
        <w:snapToGrid w:val="0"/>
        <w:spacing w:line="390" w:lineRule="exact"/>
        <w:ind w:firstLine="480" w:firstLineChars="200"/>
      </w:pPr>
      <w:r>
        <w:t>（2）转变观念，加强教改。根据经济学专业的培养目标和人才培养的业务规格，进一步强调坚持培养复合型高级专门人才的办学思想，定位于适应经济社会发展需要，按照厚基础、强能力，坚持以基本素质和职业能力的培养为主线构建教学体系，重组课程，优化课程结构。主要内容包括：进一步改革和完善课程和教学内容，建立结构合理、体系完整的理论课程体系；构建以针对性、应用性、实践性为基本特点的实践教学体系；加强精品课程及试题库建设，以精品课程建设为课程建设的推动力；加强教材建设，经济学学专业注重教材建设，积极鼓励教师参加全国统编教材的编写。</w:t>
      </w:r>
    </w:p>
    <w:p>
      <w:pPr>
        <w:pStyle w:val="7"/>
        <w:spacing w:line="390" w:lineRule="exact"/>
        <w:ind w:firstLine="480" w:firstLineChars="200"/>
      </w:pPr>
      <w:r>
        <w:t>2. 教学管理</w:t>
      </w:r>
    </w:p>
    <w:p>
      <w:pPr>
        <w:adjustRightInd w:val="0"/>
        <w:snapToGrid w:val="0"/>
        <w:spacing w:line="390" w:lineRule="exact"/>
        <w:ind w:firstLine="480" w:firstLineChars="200"/>
      </w:pPr>
      <w:r>
        <w:t>本着</w:t>
      </w:r>
      <w:r>
        <w:rPr>
          <w:rFonts w:hint="eastAsia"/>
        </w:rPr>
        <w:t>“</w:t>
      </w:r>
      <w:r>
        <w:t>宽口径、厚基础、强能力、高素质</w:t>
      </w:r>
      <w:r>
        <w:rPr>
          <w:rFonts w:hint="eastAsia"/>
        </w:rPr>
        <w:t>”</w:t>
      </w:r>
      <w:r>
        <w:t>的原则，以及注重理论基础和实践能力培养的宗旨，根据社会对经济学人才需求变化，不断完善经济学专业人才培养计划。具体做法：</w:t>
      </w:r>
    </w:p>
    <w:p>
      <w:pPr>
        <w:adjustRightInd w:val="0"/>
        <w:snapToGrid w:val="0"/>
        <w:spacing w:line="390" w:lineRule="exact"/>
        <w:ind w:firstLine="480" w:firstLineChars="200"/>
      </w:pPr>
      <w:r>
        <w:t>（1）创新教学内容。坚持以主干课程为主导，以社会对人才培养实际要求为主要内容选用教材，建立模块化的教材体系。一是根据需要，参照国内外其他高校同类专业课程设置状况，适当增减课程，并合理安排时序，以优化课程体系。二是合理界定专业教学指导委员会、教研室及课程组的职责与功能，使围绕课程建设的教学研讨活动常规化，调动各方面进行课程建设的积极性。三是围绕课程内容、配套材料、教学方式、教学手段开展教学研究。四是以课程组为基本单位，充分发挥课程负责人及主讲教师的作用，以课程组为基础组成项目组，完成各类课程建设项目。</w:t>
      </w:r>
    </w:p>
    <w:p>
      <w:pPr>
        <w:adjustRightInd w:val="0"/>
        <w:snapToGrid w:val="0"/>
        <w:spacing w:line="390" w:lineRule="exact"/>
        <w:ind w:firstLine="480" w:firstLineChars="200"/>
      </w:pPr>
      <w:r>
        <w:t>（2）转变教学方式。一是在课程体系设计上，按照省重点专业建设目标和我校按类培养的教学模式，于2007、2009、2011、2014、2017年进行培养方案修订。现已形成通识教育课程、专业基础课程、专业必修课程、专业限选课程、个性发展课、实践教学环节六个模块，按照研究性和实际应用型培养目标在各个模块进行课程修订。二是在实践教学上，注重充分发挥校内专业实验室的优势，在利用校外利用好校外实践教学基地上做文章，培养学生理论与实践相结合分析问题解决问题的能力。三是在教风、学风建设上，通过课堂听课制度、专业教师定期研讨等提高老师的教学水平。充分发挥导师制的作用，从新生入学抓起，培养学生良好的学习风气和专业兴趣。</w:t>
      </w:r>
    </w:p>
    <w:p>
      <w:pPr>
        <w:adjustRightInd w:val="0"/>
        <w:snapToGrid w:val="0"/>
        <w:ind w:firstLine="480" w:firstLineChars="200"/>
      </w:pPr>
      <w:r>
        <w:t>（3）树立对教学质量进行全过程、全方位、全员监督的新理念。教学质量是学校办学的生命所在，对教学质量的监督不仅仅是对教学结果的监督，而应体现在对教学环节整个过程进行全方位的跟踪监督，包括人才培养方案制定和落实的监督、教材编写或选用的监督、任课教师任职资格和授课效果的监督、学生学习过程的监督、实习实训环节的监督等方面。</w:t>
      </w:r>
    </w:p>
    <w:p>
      <w:pPr>
        <w:pStyle w:val="5"/>
        <w:spacing w:before="93" w:after="93"/>
        <w:ind w:firstLine="560"/>
      </w:pPr>
      <w:bookmarkStart w:id="388" w:name="_Toc17864"/>
      <w:r>
        <w:t>五、培养质量</w:t>
      </w:r>
      <w:bookmarkEnd w:id="388"/>
    </w:p>
    <w:p>
      <w:pPr>
        <w:adjustRightInd w:val="0"/>
        <w:snapToGrid w:val="0"/>
        <w:ind w:firstLine="480" w:firstLineChars="200"/>
      </w:pPr>
      <w:r>
        <w:t>2022届经济学毕业生就业率93.26%。就业专业对口率80.50%；就业单位分布情况是：考取硕士研究生12.50%，考取公务员占0.00%，国有企业就业人数最多，占已就业人数的16.67%，其次是世界500强企业就业，占比10.00%；中国500强企业就业，占比10.00%；西部志愿者就业，占比3.33%。社会对经济学专业学生素质和能力满意率超过85%。</w:t>
      </w:r>
    </w:p>
    <w:p>
      <w:pPr>
        <w:adjustRightInd w:val="0"/>
        <w:snapToGrid w:val="0"/>
        <w:ind w:firstLine="480" w:firstLineChars="200"/>
      </w:pPr>
      <w:r>
        <w:t>人才培养质量方面：（1）专业生源质量较高，历年招生都要超计划，学生报考率高。（2）专业就业率高，历年就业率均在95%以上，更为重要的是学生就业质量高。（3）就业专业对口率高。本专业毕业生毕业的去向主要是各级各类金融机构、大中型企业、投融资管理单位以及政府相关管理部门从事经济及管理工作。社会对本专业学生的认同度高，认为本专业毕业生普遍具有较高的专业素养、扎实的专业能力、务实的工作作风。（4）考研率、四六级外语通过率一直稳居学校各本科专业前列，优秀学生成功保研到中央财经大学、中国海洋大学、北京交通大学、东北财经大学等国内名校院，同时有很多同学进入世界名校进行深造。（5）突出学生创新能力培养，近五年来，本专业学生主持完成SRT项目28项，获得省级优秀学士学位论文2篇，本科学生在各类报刊杂志发表论文10余篇。</w:t>
      </w:r>
    </w:p>
    <w:p>
      <w:pPr>
        <w:pStyle w:val="5"/>
        <w:spacing w:before="93" w:after="93"/>
        <w:ind w:firstLine="560"/>
      </w:pPr>
      <w:bookmarkStart w:id="389" w:name="_Toc11396"/>
      <w:r>
        <w:t>六、毕业生就业创业</w:t>
      </w:r>
      <w:bookmarkEnd w:id="389"/>
    </w:p>
    <w:p>
      <w:pPr>
        <w:ind w:firstLine="480" w:firstLineChars="200"/>
      </w:pPr>
      <w:r>
        <w:t>本专业积极响应国家号召，进行创业教育的宣传，通过职业发展与就业创业指导课、创意创业教学模块等课程，教师业余时间的指导等，改变了学生的择业观念，有创业思想的学生越来越多，但由于经济学专业的培养目标决定了其毕业生就业领域主要是行政事业单位、各类金融机构、大中型企业从事管理、咨询等工作，毕业生依托其自身专业知识及能力在创业受到很大限制。近年来本专业强调坚持培养高等技术应用型专门人才的办学思想，定位于适应经济建设需要，面向基层，面向社会服务第一线的办学宗旨，坚持以基本素质和职业能力的培养为主线构建以应用性和实践性为基本特点的教学体系。着力在培养学生具有较高的专业素养、扎实的专业能力、务实的工作作风下功夫，努力提高一次就业率。</w:t>
      </w:r>
    </w:p>
    <w:p>
      <w:pPr>
        <w:pStyle w:val="5"/>
        <w:spacing w:before="93" w:after="93"/>
        <w:ind w:firstLine="560"/>
      </w:pPr>
      <w:bookmarkStart w:id="390" w:name="_Toc5976"/>
      <w:r>
        <w:t>七、专业人才社会需求分析及专业发展趋势</w:t>
      </w:r>
      <w:bookmarkEnd w:id="390"/>
      <w:r>
        <w:t>分析</w:t>
      </w:r>
    </w:p>
    <w:p>
      <w:pPr>
        <w:adjustRightInd w:val="0"/>
        <w:snapToGrid w:val="0"/>
        <w:ind w:firstLine="480" w:firstLineChars="200"/>
      </w:pPr>
      <w:r>
        <w:t>目前我国经济社会正处于调结构转型升级的关键历史时期，完成两个百年目标正日益成为激励全国人民的动力源泉，实现中华民族伟大复兴的中国梦深入人心。这对培养适应新时期社会经济发展的经济学专门人才提出了更高的要求，也为高级专门经济人才发挥自身才能提供了广阔天地。尽管我国一些高校已培养出一定数量的、杰出的经济学人才，</w:t>
      </w:r>
      <w:r>
        <w:rPr>
          <w:spacing w:val="-6"/>
        </w:rPr>
        <w:t>但无论从规模上、质量以及结构上还远远不能满足社会经济发展</w:t>
      </w:r>
      <w:r>
        <w:t>的需要。</w:t>
      </w:r>
    </w:p>
    <w:p>
      <w:pPr>
        <w:adjustRightInd w:val="0"/>
        <w:snapToGrid w:val="0"/>
        <w:ind w:firstLine="480" w:firstLineChars="200"/>
      </w:pPr>
      <w:r>
        <w:t>本专业以经济管理学院现有经济与管理两大学科群体系平台为支撑，面向经济主战场着力培养基础理论扎实、创新创业意识强、综合能力高的复合型高级专门人才，能够广泛适应社会经济发展的需要，招生就业前景最为广阔，发展趋势良好。</w:t>
      </w:r>
    </w:p>
    <w:p>
      <w:pPr>
        <w:pStyle w:val="5"/>
        <w:spacing w:before="93" w:after="93"/>
        <w:ind w:firstLine="560"/>
      </w:pPr>
      <w:bookmarkStart w:id="391" w:name="_Toc17971"/>
      <w:r>
        <w:t>八、存在的问题及拟采取的对策措施</w:t>
      </w:r>
      <w:bookmarkEnd w:id="391"/>
    </w:p>
    <w:p>
      <w:pPr>
        <w:widowControl/>
        <w:adjustRightInd w:val="0"/>
        <w:snapToGrid w:val="0"/>
        <w:ind w:firstLine="480" w:firstLineChars="200"/>
      </w:pPr>
      <w:r>
        <w:t>1.教学水平与效果方面存在的问题：一是人才培养质量还需进一步提高。二是教学研究成果还偏少。</w:t>
      </w:r>
    </w:p>
    <w:p>
      <w:pPr>
        <w:widowControl/>
        <w:adjustRightInd w:val="0"/>
        <w:snapToGrid w:val="0"/>
        <w:ind w:firstLine="480" w:firstLineChars="200"/>
      </w:pPr>
      <w:r>
        <w:t>整改措施：一、从教师队伍、教学改革、教学管理、实验室、教学基地及资料室等方面加强建设与改革，努力提升教学水平与培养质量。二、加强教学研究与科学研究激励，促进高水平教研论文的发表。</w:t>
      </w:r>
    </w:p>
    <w:p>
      <w:pPr>
        <w:adjustRightInd w:val="0"/>
        <w:snapToGrid w:val="0"/>
        <w:ind w:firstLine="480" w:firstLineChars="200"/>
      </w:pPr>
      <w:r>
        <w:t>2.师资队伍层次难以满足有效需求，高端人才引进难度大。具体解决措施包括：</w:t>
      </w:r>
    </w:p>
    <w:p>
      <w:pPr>
        <w:adjustRightInd w:val="0"/>
        <w:snapToGrid w:val="0"/>
        <w:ind w:firstLine="480" w:firstLineChars="200"/>
      </w:pPr>
      <w:r>
        <w:t>（1）根据学科和专业发展需要，引进学术水平高、有一定知名度和社会影响力、有广阔发展前途、在经济学专业方面具有领军资质的教师。</w:t>
      </w:r>
    </w:p>
    <w:p>
      <w:pPr>
        <w:adjustRightInd w:val="0"/>
        <w:snapToGrid w:val="0"/>
        <w:ind w:firstLine="480" w:firstLineChars="200"/>
      </w:pPr>
      <w:r>
        <w:t>（2）根据专业发展需要，引进一些高学历的年轻教师，进一步提升专业教师队伍结构层次。</w:t>
      </w:r>
    </w:p>
    <w:p>
      <w:pPr>
        <w:adjustRightInd w:val="0"/>
        <w:snapToGrid w:val="0"/>
        <w:ind w:firstLine="480" w:firstLineChars="200"/>
      </w:pPr>
      <w:r>
        <w:t>（3）加强现有师资队伍在职培训，激励教师参加各类业务培训班和进修班学习。</w:t>
      </w:r>
    </w:p>
    <w:p/>
    <w:p>
      <w:pPr>
        <w:rPr>
          <w:rFonts w:eastAsiaTheme="minorEastAsia"/>
        </w:rPr>
      </w:pPr>
      <w:r>
        <w:rPr>
          <w:rFonts w:eastAsiaTheme="minorEastAsia"/>
        </w:rPr>
        <w:br w:type="page"/>
      </w:r>
    </w:p>
    <w:p>
      <w:pPr>
        <w:pStyle w:val="4"/>
        <w:ind w:firstLine="600"/>
      </w:pPr>
      <w:bookmarkStart w:id="392" w:name="_Toc21466"/>
      <w:bookmarkStart w:id="393" w:name="_Toc30963"/>
      <w:r>
        <w:t>专业三十</w:t>
      </w:r>
      <w:r>
        <w:rPr>
          <w:rFonts w:hint="eastAsia"/>
          <w:lang w:val="en-US"/>
        </w:rPr>
        <w:t>六</w:t>
      </w:r>
      <w:r>
        <w:t>：金融学</w:t>
      </w:r>
      <w:bookmarkEnd w:id="392"/>
      <w:bookmarkEnd w:id="393"/>
    </w:p>
    <w:p>
      <w:pPr>
        <w:ind w:firstLine="482"/>
      </w:pPr>
      <w:r>
        <w:t>山东省一流专业建设专业（首批）</w:t>
      </w:r>
    </w:p>
    <w:p>
      <w:pPr>
        <w:ind w:firstLine="482"/>
      </w:pPr>
      <w:r>
        <w:t>山东省高水平应用型立项建设专业（群）核心专业</w:t>
      </w:r>
    </w:p>
    <w:p>
      <w:pPr>
        <w:pStyle w:val="5"/>
        <w:spacing w:before="93" w:after="93"/>
        <w:ind w:firstLine="560"/>
      </w:pPr>
      <w:r>
        <w:t>一、人才培养目标</w:t>
      </w:r>
    </w:p>
    <w:p>
      <w:pPr>
        <w:ind w:firstLine="480"/>
      </w:pPr>
      <w:r>
        <w:t>本专业培养适应社会经济发展需要，具有系统、扎实的经济学、金融学理论知识和业务技能，熟悉相关金融政策法规，能够独立运用所学理论与方法对国际、国内金融问题进行定性、定量研究和分析，在各级各类金融机构、大中型企业、投融资管理单位、政府相关管理部门以及科研院校从事经济、金融研究与实务及管理工作的应用型、复合型高级专门人才。</w:t>
      </w:r>
    </w:p>
    <w:p>
      <w:pPr>
        <w:ind w:firstLine="480"/>
      </w:pPr>
      <w:r>
        <w:t>学生应获取的知识和能力:</w:t>
      </w:r>
    </w:p>
    <w:p>
      <w:pPr>
        <w:ind w:firstLine="480"/>
      </w:pPr>
      <w:r>
        <w:t>1. 掌握经济学、管理学的基本理论和方法。</w:t>
      </w:r>
    </w:p>
    <w:p>
      <w:pPr>
        <w:ind w:firstLine="480"/>
      </w:pPr>
      <w:r>
        <w:t>2. 掌握银行、保险、证券投资、国际金融的基本理论和实际金融业务。</w:t>
      </w:r>
    </w:p>
    <w:p>
      <w:pPr>
        <w:ind w:firstLine="480"/>
      </w:pPr>
      <w:r>
        <w:t>3. 掌握经济分析、经济核算、社会调查等基本方法，能够运用统计、会计等方法对金融活动进行分析和研究。</w:t>
      </w:r>
    </w:p>
    <w:p>
      <w:pPr>
        <w:ind w:firstLine="480"/>
      </w:pPr>
      <w:r>
        <w:t>4. 熟悉国内外金融法规、政策及国际惯例。</w:t>
      </w:r>
    </w:p>
    <w:p>
      <w:pPr>
        <w:ind w:firstLine="480"/>
      </w:pPr>
      <w:r>
        <w:t>5. 熟悉计算机操作，具有较强语言和文字表达能力，熟练地掌握一门外语。</w:t>
      </w:r>
    </w:p>
    <w:p>
      <w:pPr>
        <w:ind w:firstLine="480"/>
      </w:pPr>
      <w:r>
        <w:t>6. 具备国内外文献检索、资料查询的能力，具有较强的实际工作和科学研究能力。</w:t>
      </w:r>
    </w:p>
    <w:p>
      <w:pPr>
        <w:pStyle w:val="5"/>
        <w:spacing w:before="93" w:after="93"/>
        <w:ind w:firstLine="560"/>
      </w:pPr>
      <w:r>
        <w:t>二、培养能力（专业设置情况、在校生规模、课程设置情况、创新创业教育等）</w:t>
      </w:r>
    </w:p>
    <w:p>
      <w:pPr>
        <w:pStyle w:val="7"/>
        <w:ind w:firstLine="480"/>
      </w:pPr>
      <w:r>
        <w:t>1. 专业设置情况</w:t>
      </w:r>
    </w:p>
    <w:p>
      <w:pPr>
        <w:ind w:firstLine="480"/>
      </w:pPr>
      <w:r>
        <w:t>山东农业大学金融学本科专业于2005年设置并招生，其前身为农村金融专科专业。农村金融专科专业自1983年设置并招生（1983-1989年期间为中国农业银行山东分行委培），连续21年共招收专科生1230人。这些学生已成为包括银行、证券、保险、信托等在内的金融系统的中坚力量。</w:t>
      </w:r>
      <w:r>
        <w:rPr>
          <w:color w:val="000000" w:themeColor="text1"/>
          <w14:textFill>
            <w14:solidFill>
              <w14:schemeClr w14:val="tx1"/>
            </w14:solidFill>
          </w14:textFill>
        </w:rPr>
        <w:t>至2022年已有14届金融学本科毕业生共计</w:t>
      </w:r>
      <w:r>
        <w:t>3873</w:t>
      </w:r>
      <w:r>
        <w:rPr>
          <w:color w:val="000000" w:themeColor="text1"/>
          <w14:textFill>
            <w14:solidFill>
              <w14:schemeClr w14:val="tx1"/>
            </w14:solidFill>
          </w14:textFill>
        </w:rPr>
        <w:t>人毕业，</w:t>
      </w:r>
      <w:r>
        <w:t>一次就业率90%以上，成为我校招生、就业前景最为广阔、就业率及就业质量最高的专业之一。</w:t>
      </w:r>
    </w:p>
    <w:p>
      <w:pPr>
        <w:ind w:firstLine="480"/>
      </w:pPr>
      <w:r>
        <w:t>2011年设置金融学硕士学位授予点并开始招生，2015年设置金融学专业硕士学位授予点并开始招生。1999年在农林经济管理博士学位授予点下设置农村金融研究方向开始招生。</w:t>
      </w:r>
    </w:p>
    <w:p>
      <w:pPr>
        <w:pStyle w:val="7"/>
        <w:ind w:firstLine="480"/>
      </w:pPr>
      <w:r>
        <w:t>2. 在校生规模</w:t>
      </w:r>
    </w:p>
    <w:p>
      <w:pPr>
        <w:ind w:firstLine="480"/>
      </w:pPr>
      <w:r>
        <w:t>山东农业大学金融学本科专业目前在校学</w:t>
      </w:r>
      <w:r>
        <w:rPr>
          <w:color w:val="000000" w:themeColor="text1"/>
          <w14:textFill>
            <w14:solidFill>
              <w14:schemeClr w14:val="tx1"/>
            </w14:solidFill>
          </w14:textFill>
        </w:rPr>
        <w:t>生人数</w:t>
      </w:r>
      <w:r>
        <w:t>为767人，其中，2019级215人，2020级211人，2021级163人，2022级178人。</w:t>
      </w:r>
    </w:p>
    <w:p>
      <w:pPr>
        <w:pStyle w:val="7"/>
        <w:ind w:firstLine="480"/>
      </w:pPr>
      <w:r>
        <w:t>3. 课程设置情况</w:t>
      </w:r>
    </w:p>
    <w:p>
      <w:pPr>
        <w:ind w:firstLine="480"/>
      </w:pPr>
      <w:r>
        <w:t>本专业设置的主要课程：政治经济学、宏观经济学、微观经济学、计量经济学、管理运筹学、货币银行学、财政学、会计学、统计学、中央银行学、金融市场学、商业银行经营管理、国际金融、证券投资理论与实务、金融风险管理、公司理财、保险学、金融企业会计、保险精算、金融工程、互联网金融、投资银行理论与实务等。</w:t>
      </w:r>
    </w:p>
    <w:p>
      <w:pPr>
        <w:pStyle w:val="7"/>
        <w:ind w:firstLine="480"/>
      </w:pPr>
      <w:r>
        <w:t>4. 创新创业教育</w:t>
      </w:r>
    </w:p>
    <w:p>
      <w:pPr>
        <w:ind w:firstLine="480"/>
      </w:pPr>
      <w:r>
        <w:t>本专业的创新创业教育坚持以培养具有创业基本素质和开创型个性的人才为目标，不仅仅以培育在校学生的创业意识、创业精神、创新创业能力为主的教育，更是面向全社会，分阶段分层次进行创新思维培养和创业能力锻炼教育。着重从以下四个方面展开：（1）意识培养：启蒙学生的创新意识和创业精神，使学生了解创新型人才的素质要求，了解创业的概念、要素与特征等，使学生掌握开展创业活动所需要的基本知识。（2）能力提升：解析并培养学生的批判性思维、洞察力、决策力、组织协调能力与领导力等各项创新创业素质，使学生具备必要的创业能力。（3）环境认知：引导学生认知当今企业及行业环境特别是金融产业环境及发展趋势，了解创业机会，把握创业风险，掌握金融商业模式开发的过程，设计策略及技巧等。（4）实践模拟：通过创业计划书撰写、模拟金融实践活动开展等，鼓励学生体验创业准备的各个环节，包括创业市场评估、创业融资、创办企业流程与风险管理等。</w:t>
      </w:r>
    </w:p>
    <w:p>
      <w:pPr>
        <w:pStyle w:val="5"/>
        <w:spacing w:before="93" w:after="93"/>
        <w:ind w:firstLine="560"/>
      </w:pPr>
      <w:r>
        <w:t>三、培养条件</w:t>
      </w:r>
    </w:p>
    <w:p>
      <w:pPr>
        <w:pStyle w:val="7"/>
        <w:ind w:firstLine="480"/>
      </w:pPr>
      <w:r>
        <w:t>1. 教学经费投入</w:t>
      </w:r>
    </w:p>
    <w:p>
      <w:pPr>
        <w:ind w:firstLine="480"/>
      </w:pPr>
      <w:r>
        <w:t>教学经费是加强专业教学建设，确保教学正常运行，推进教学改革，提高教学质量的基本保障性。近年来，金融学作为山东省省级一流本科专业，学校加大了对本专业教学经费的投入。</w:t>
      </w:r>
    </w:p>
    <w:p>
      <w:pPr>
        <w:pStyle w:val="7"/>
        <w:ind w:firstLine="480"/>
      </w:pPr>
      <w:r>
        <w:t>2. 教学设备</w:t>
      </w:r>
    </w:p>
    <w:p>
      <w:pPr>
        <w:ind w:firstLine="480"/>
      </w:pPr>
      <w:r>
        <w:t>为了适应金融专业教育教学工作的要求，学校在资金投入上给予了大力支持，从办学经费中拿出大量资金优先为本专业购置金融类专业书籍、资料和报刊及相应的实习实验教学设备。学校现有与本专业相关图书5万余册，专业报刊200余种；除学校的图书馆、计算中心等条件外，本专业还自有资料室1个，有专业图书6万余册，期刊杂志180多种，金融类专业数据库5个。</w:t>
      </w:r>
    </w:p>
    <w:p>
      <w:pPr>
        <w:pStyle w:val="15"/>
        <w:spacing w:before="0" w:beforeAutospacing="0" w:after="0" w:afterAutospacing="0"/>
        <w:ind w:firstLine="480"/>
        <w:jc w:val="both"/>
        <w:rPr>
          <w:rFonts w:ascii="Times New Roman" w:hAnsi="Times New Roman" w:cs="Times New Roman"/>
          <w:kern w:val="2"/>
        </w:rPr>
      </w:pPr>
      <w:r>
        <w:rPr>
          <w:rFonts w:ascii="Times New Roman" w:hAnsi="Times New Roman" w:cs="Times New Roman"/>
          <w:kern w:val="2"/>
        </w:rPr>
        <w:t>山东农业大学经济管理实验教学中心成立于2003年7月，其前身是经济管理学院的两个经济管理综合实验室。2020年借助学校西北片区建设的契机，把实验中心进行了重新规划建设。首先，利用服务器虚拟化和云桌面，打造了一套数字化的云教学与实训一体化平台，这个平台充分发挥</w:t>
      </w:r>
      <w:r>
        <w:rPr>
          <w:rFonts w:hint="eastAsia" w:ascii="Times New Roman" w:hAnsi="Times New Roman" w:cs="Times New Roman"/>
          <w:kern w:val="2"/>
        </w:rPr>
        <w:t>“</w:t>
      </w:r>
      <w:r>
        <w:rPr>
          <w:rFonts w:ascii="Times New Roman" w:hAnsi="Times New Roman" w:cs="Times New Roman"/>
          <w:kern w:val="2"/>
        </w:rPr>
        <w:t>云</w:t>
      </w:r>
      <w:r>
        <w:rPr>
          <w:rFonts w:hint="eastAsia" w:ascii="Times New Roman" w:hAnsi="Times New Roman" w:cs="Times New Roman"/>
          <w:kern w:val="2"/>
        </w:rPr>
        <w:t>”</w:t>
      </w:r>
      <w:r>
        <w:rPr>
          <w:rFonts w:ascii="Times New Roman" w:hAnsi="Times New Roman" w:cs="Times New Roman"/>
          <w:kern w:val="2"/>
        </w:rPr>
        <w:t>的优势，把实验教学资源开放出来，学生不仅仅在机房可以学习，在校园网内其他地方同样可以通过现有智能设备访问教学资源，实现学生</w:t>
      </w:r>
      <w:r>
        <w:rPr>
          <w:rFonts w:hint="eastAsia" w:ascii="Times New Roman" w:hAnsi="Times New Roman" w:cs="Times New Roman"/>
          <w:kern w:val="2"/>
        </w:rPr>
        <w:t>“</w:t>
      </w:r>
      <w:r>
        <w:rPr>
          <w:rFonts w:ascii="Times New Roman" w:hAnsi="Times New Roman" w:cs="Times New Roman"/>
          <w:kern w:val="2"/>
        </w:rPr>
        <w:t>时时可学、处处能学</w:t>
      </w:r>
      <w:r>
        <w:rPr>
          <w:rFonts w:hint="eastAsia" w:ascii="Times New Roman" w:hAnsi="Times New Roman" w:cs="Times New Roman"/>
          <w:kern w:val="2"/>
        </w:rPr>
        <w:t>”</w:t>
      </w:r>
      <w:r>
        <w:rPr>
          <w:rFonts w:ascii="Times New Roman" w:hAnsi="Times New Roman" w:cs="Times New Roman"/>
          <w:kern w:val="2"/>
        </w:rPr>
        <w:t>学习模式 。另外，根据经管类不同专业的特点和发展趋势，建成了金融科技实验室、智能会计实验室、虚拟仿真实验室等11个各具特色的功能性实验室。实验用房面积1200平方米，拥有电脑近600台，各类实验教学软件60余套，承担了全院10个专业、5000余本科生的基础实验课、专业基础实验课、专业综合实验课及跨专业实验课24门，还承担学院所有专业本科生的校内教学实习任务。</w:t>
      </w:r>
    </w:p>
    <w:p>
      <w:pPr>
        <w:ind w:firstLine="480"/>
      </w:pPr>
      <w:r>
        <w:t>其中金融科技实验室以金融科技为主题，本着</w:t>
      </w:r>
      <w:r>
        <w:rPr>
          <w:rFonts w:hint="eastAsia"/>
        </w:rPr>
        <w:t>“</w:t>
      </w:r>
      <w:r>
        <w:t>以环境带入场景，以实践促进教学</w:t>
      </w:r>
      <w:r>
        <w:rPr>
          <w:rFonts w:hint="eastAsia"/>
        </w:rPr>
        <w:t>”</w:t>
      </w:r>
      <w:r>
        <w:t>的理念，模拟目前先进的现代金融交易所实验实习环境，采用国内一流先进设备和理念，打造可满足70人教学互动的智慧金融实验室。根据现代大数据金融教学特点和需要，实验室配置强大显示系统(包括：弧形金融行情跑马灯、2x4数字金融拼接大屏幕以及2组辅助投影和显示器等设备)、音频系统、智能中控、常态化高清录播等设备，实现金融仿真、录播、互动教学等功能。另外实验室家具布局采用弧形设计，可以最大化实现每个工位的最佳视听效果,并且为每个学生工位配备了可升降电脑，既满足金融仿真的实验实习的需要，也可以满足学校会议接待、专业学术报告等多种功能需求。</w:t>
      </w:r>
    </w:p>
    <w:p>
      <w:pPr>
        <w:pStyle w:val="2"/>
        <w:spacing w:line="240" w:lineRule="auto"/>
        <w:ind w:left="0" w:leftChars="0" w:firstLine="0"/>
        <w:jc w:val="center"/>
      </w:pPr>
      <w:r>
        <mc:AlternateContent>
          <mc:Choice Requires="wpg">
            <w:drawing>
              <wp:inline distT="0" distB="0" distL="114300" distR="114300">
                <wp:extent cx="5426710" cy="1966595"/>
                <wp:effectExtent l="0" t="0" r="2540" b="14605"/>
                <wp:docPr id="11" name="组合 11"/>
                <wp:cNvGraphicFramePr/>
                <a:graphic xmlns:a="http://schemas.openxmlformats.org/drawingml/2006/main">
                  <a:graphicData uri="http://schemas.microsoft.com/office/word/2010/wordprocessingGroup">
                    <wpg:wgp>
                      <wpg:cNvGrpSpPr/>
                      <wpg:grpSpPr>
                        <a:xfrm>
                          <a:off x="0" y="0"/>
                          <a:ext cx="5426448" cy="1966595"/>
                          <a:chOff x="0" y="0"/>
                          <a:chExt cx="5426448" cy="1966595"/>
                        </a:xfrm>
                      </wpg:grpSpPr>
                      <pic:pic xmlns:pic="http://schemas.openxmlformats.org/drawingml/2006/picture">
                        <pic:nvPicPr>
                          <pic:cNvPr id="62" name="图片 2"/>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a:xfrm>
                            <a:off x="0" y="0"/>
                            <a:ext cx="2504440" cy="1966595"/>
                          </a:xfrm>
                          <a:prstGeom prst="rect">
                            <a:avLst/>
                          </a:prstGeom>
                          <a:noFill/>
                        </pic:spPr>
                      </pic:pic>
                      <pic:pic xmlns:pic="http://schemas.openxmlformats.org/drawingml/2006/picture">
                        <pic:nvPicPr>
                          <pic:cNvPr id="63" name="图片 3"/>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a:xfrm>
                            <a:off x="2635623" y="30736"/>
                            <a:ext cx="2790825" cy="1935480"/>
                          </a:xfrm>
                          <a:prstGeom prst="rect">
                            <a:avLst/>
                          </a:prstGeom>
                          <a:noFill/>
                        </pic:spPr>
                      </pic:pic>
                    </wpg:wgp>
                  </a:graphicData>
                </a:graphic>
              </wp:inline>
            </w:drawing>
          </mc:Choice>
          <mc:Fallback>
            <w:pict>
              <v:group id="_x0000_s1026" o:spid="_x0000_s1026" o:spt="203" style="height:154.85pt;width:427.3pt;" coordsize="5426448,1966595" o:gfxdata="UEsDBAoAAAAAAIdO4kAAAAAAAAAAAAAAAAAEAAAAZHJzL1BLAwQUAAAACACHTuJAyk9mAdcAAAAF&#10;AQAADwAAAGRycy9kb3ducmV2LnhtbE2PT0vDQBDF70K/wzKCN7ub1v4xZlOkqKcitBXE2zQ7TUKz&#10;syG7Tdpv7+pFLwOP93jvN9nqYhvRU+drxxqSsQJBXDhTc6nhY/96vwThA7LBxjFpuJKHVT66yTA1&#10;buAt9btQiljCPkUNVQhtKqUvKrLox64ljt7RdRZDlF0pTYdDLLeNnCg1lxZrjgsVtrSuqDjtzlbD&#10;24DD8zR56Ten4/r6tZ+9f24S0vruNlFPIAJdwl8YfvAjOuSR6eDObLxoNMRHwu+N3nL2MAdx0DBV&#10;jwuQeSb/0+ffUEsDBBQAAAAIAIdO4kCp/0lG0wIAAL8IAAAOAAAAZHJzL2Uyb0RvYy54bWztVt1q&#10;2zAUvh/sHYTvU//EdhLTpHRJWwZlC/t5AFWWbTFbEpLyU8buCtvudr9HGextSl9jR3KctsmgZWyD&#10;wS5iH8nnHH3nO5+kHB6tmxotqdJM8LEXHgQeopyInPFy7L19c9obekgbzHNcC07H3iXV3tHk6ZPD&#10;lcxoJCpR51QhSMJ1tpJjrzJGZr6vSUUbrA+EpBw+FkI12MBQlX6u8AqyN7UfBUHqr4TKpRKEag2z&#10;s/ajt8moHpNQFAUjdCbIoqHctFkVrbGBknTFpPYmDm1RUGJeFoWmBtVjDyo17gmLgH1hn/7kEGel&#10;wrJiZAMBPwbCTk0NZhwW3aaaYYPRQrG9VA0jSmhRmAMiGr8txDECVYTBDjdnSiykq6XMVqXckg6N&#10;2mH9l9OSF8u5QiwHJYQe4riBjt98u7r+8gnBBLCzkmUGTmdKvpZztZko25EteF2oxr6hFLR2vF5u&#10;eaVrgwhMJnGUxjHoisC3cJSmyShpmScVtGcvjlQnD0T63cK+xbeFIxnJ4LchCqw9oh6WJ0SZhaJA&#10;u83Gl3NG5qod3JKVRh1Z11+/33z+iCJbjw2wPm0EtlDOBXmnERfTCvOSHmsJigQOrLd/390N7y13&#10;UTN5yura0mvt37tFkMpoc0Gh8+p5HjrxQr/OtbHL2c45+b6PhsdBMIqe9aZJMO3FweCkdzyKB71B&#10;cDKIg3gYTsPpBxsdxtlCU6gX1zPJur0Uxnst+KlWN/up3QVuN6EldnvWMuUAdW8HEaYsJRarVuQV&#10;sAp+YBtFDamsWQBzm3lw3n5wNN8ya3ugQdg24jFSjpIgjmM4PXakvBUkdF1pc0ZFg6wB7AI2xy5e&#10;AvK2ms7FrsqF7XGnhxaLAwnQWkmB8RcU3d9RdP/fVnT0X9F7io7SfpJG0Gg4hvvBoJ+2h3B3TEeD&#10;UTCMkk7b/SQeugvyT2nbnd1wr7mNvbmD7cV5dwz23f8dkx9QSwMECgAAAAAAh07iQAAAAAAAAAAA&#10;AAAAAAoAAABkcnMvbWVkaWEvUEsDBBQAAAAIAIdO4kBO/hQOCZ8DAOGeAwAUAAAAZHJzL21lZGlh&#10;L2ltYWdlMS5wbmcAAID/f4lQTkcNChoKAAAADUlIRFIAAAHBAAABKwgGAAAApmQ4DAAAAAFzUkdC&#10;AK7OHOkAAAAJcEhZcwAADsQAAA7EAZUrDhsAAAAZdEVYdFNvZnR3YXJlAE1pY3Jvc29mdCBPZmZp&#10;Y2V/7TVxAAD/kElEQVR4Xuz9B7Cl2XUehq6bc459u2/nnp7uyZiEATHAIEcSBAlSFCVKtkhaKlHy&#10;k/wkP7Nky5JLVS7R9STZCpYlMYhZDIAQCBAZAwwwOfZM93TOfXO+5+bwvm+Fvffpgfxkm9CrV+aZ&#10;uX3PPef/97/32iunXf/3//7flz99/SkE/hQCfwqBP4XAn0Lg/44QqP/FX/w7uw0Ndf8/W/vu7q4s&#10;rezKxPi8zE7cksWpm7I8Py7ryzOytbEktbubUoPZ1dRgjvjZramVXanVz3b5w3/4vezoB7v4r8be&#10;pJd9xo/SXfYdr6mxa3fxVY0PxjnFi1/v6AW426+zsWuktrZGFjZ3ZXNjVRq316Wzo0N2dvjljs+Z&#10;g8b89GFYh4/sz8UnOufaWI/eYnPS2cb1nP2uX4V7ebt9X6wV7zn19AyOynmnxdoc7F8HQJqfwS6+&#10;SY/16wpQ2Tp4tU7AYMVpBEg5+PzqutwYm5epqXmZnF3AXm7I6ECH7BvuksH+TunqbJfmxibZwWS3&#10;t3ZlO22mz7EKbgZvg5S/i/UTLrh2dWNLLt6YldfO35BL1yaktUHk5JEhOX5wWPYN9UpHW7PUYL82&#10;8aytrW3hNtkjCPDq1eqn6aPAGd83zgJf1iouELZ+YaBMACLG9n3NexADV8M63R7jKQIo5qcRqudk&#10;cEiXO1zssTarggTybGLM2NBigHSPolR5d8A+b7K9M3wzdN1WXNDPd5Vi8tz184ThjtS2AYqvaa4c&#10;j4PZbxub9/KiXdlZ25Kl774q29euyAY+u7mxI8eGe+Xp+VW5r3FXri+t4rpaGcajuh99QNruOiKy&#10;va37ZfTke41rahyYNja/L/Yl+MD3gWLCGV9hwEF0fVi3zpmYSh4Qu240yB9CxoaP9VWtPtFTZkEK&#10;3LTPuzpP8Dr9kM80eGdEqN512+bYTUVaI1Z/66C1+cR6HYdrMvNxWi+xsRo/DAe45ry+mLhNn/9y&#10;9YAK4aPPCHzKuJEp0fZMr9APsY+6Xt7vy0481P52qOrvjMsBefu+iofg77HOe2rqP//vPiO9fX3S&#10;OzgovQN90tPbLW3tzXnUH/A7ImNnG36O9IrwR+6WZeDy/NySzE5OytzkLVmYviWri5OyvbYIOG4A&#10;FABlLQHiQlGRGH8HU7KdT8imyOifBbLrnwFx5yUkFgVwbJBugpMvLw6e40yGc6+vrwcTX8ctdSqo&#10;a2sNIXedEVRtqu5StagxnDQUic3L9xgC64bymVyTkxORKP7KfKwQso4Sb3l+0ICuhQukQuFP14sL&#10;xu6g0GfzcwUY1+dzVUr1JwTh+Hf9bS0yfGe77BzfJ2sbmzK9sCLXxufkjetz8vSZcWkAUg/1tMn+&#10;PT0yMtQtXR1tUt/YKFs7NbK1jWfsxHNi/JiZMUidkX/FabQ2NsiDx4fl4ZN7pbK2KVfGF+T0pTH5&#10;4+cug0dclP6uFjk43C378TPQ2y4tzU0Yh88C6WaJmOlSeQyfYowtCTtVQBIV6h7EzgUDKPfPZl28&#10;QpMqYF3ufWYYuhWGx3q7M7qqi4NL2DYkVhuKiXPPdEvmtzYnBWAgv2OTXmN36L+KoC7USr6nzM6v&#10;C0GVoEHly0bIqw+YGSz0czLvtATDZ1u/IanBzWiXe1XX0iTtj98v09/YkqaZKTnWtiut0EY+1N8o&#10;G8Djdny/srgsdW2d0nHnIVWwKBSzslDsRKJD0mqBw/rWn+wSOrEE/9xZebGpPnOOEwzeaToYNlGM&#10;QsKEpON2aKxJSNmzSwUkBFgoC/bQgIwBLyv3gb780DbbthMjJkXAttfRz/bCUSAhfzXG4nsT6Dai&#10;w1PH5v4ZbuiKbHH+k1WADChTyhNNFIpH8Gj7yCGgDwwBj+fqsvA391SNjRIhfb36kQnZ2G2l4ao1&#10;Bcezfahfmp+UxbkJuXLhDBh6gzS3dkhnT4/09vdL38CA9PT3SGdXB5h7sec/4LftLQKEhtUw0oEn&#10;HZGVdZGF+YrMTE5DMNJapFCckK3VBUB/DbyKK6cQNCsxNOjYeN0i3WjXQADpTA5BnAbUUJTshkzE&#10;CWkKOiKTrKttUAuDgoxCwkQmkca0m9gAZ9tpM5SRcyzdTO6bD+xIrVuqux5akiGHjclvbSODXeUN&#10;jw0OpmZWo16phFAIMx3b7jTNzN/rO4dRsmzCglRx6BiQidFoLlGTCpZ1WGecRX1djeyDFTg61Amh&#10;cwCW/7qMTy/K9bEZCMQxWX3xEoRYjYxCQB0bHZB9e/qlpaVF5SCFFH9soZk9pHU7+AjGNVgGhH0d&#10;kPXEvl65+8CAbMASmF5clZszFZmYW5VnLy9J3eU5GWhrkJHeVhnETycEMHFnYxMWIp8VsFDmFGt1&#10;+PnKM/m99V1Wc+I7I1D9UTwJnAtBHqsJFhhw5S2BH/m97hSHyltm2+sQyk8z5SVeyuz92cE4S2Zo&#10;8ws8s7t0LTFENk8MV/SrWJddb8p5rKe416/Ls3GQ5F+Gm6riZkVLadhnwu8bIOiGPvQOWT97WZbf&#10;PCfXV+Apwh7XNjVKW3+vdN19tzSO7hFpAF1CmdqFYhpwCfwOSKX1OdpyeQbbaiWrVFLtggCJQxq4&#10;ozsXNJ22CishDvlPwNdg6pjlCliAPWNcVgqCrmK77XdAOdOsQj4B2Olev7YJl/6BUnkzqei4ybkH&#10;AoWl5cLKhobFr4BzJcgRSK3GtFWZPyT8UOHpPE+VhbwKu5p7lR6cscL3v2oPuM7kJbFddOzzKZQ0&#10;a+uqeikZcGYm1Op3a4As/BAL3tndlpWlOVlempGbVy9IbR2EYlOrdHR1STesxb5BCsU+6erukKYm&#10;+Jv+E71am6DpD7XJHvyIHBAo+hCKqzI7RaE4DkvxhqxAmG+tzIFrrmEt2yaYYCmaYCSYjHlnu6dg&#10;Do7ZSdyosKCWg9/6IYUcrg9FwDFWLcG6envWtiFBNbg5Trhu/Xlpo/PeGf5kFE8oFB8l4RRMLY9l&#10;yBErtHWGO9ZJOjN1n6BdY5ZziUDcTrNm+L25dErcNhT12RULtdkoEpVXZFiA0DfVsjMi6Gyul94D&#10;/XLy4ADcmNsyCQXn/PUpefPKmDx56hVprtuVg0NdcveRPXJgBHjX0yl1UNC2OA7cz6Y3GMeqYqo2&#10;C7XCiSMCoUa87mtrlMEOaFaHdmV1c0cmF1bl2q1Zef70TaksLkpXa70c2j8gdxwdNYGIQbcoELHn&#10;/AmlQ5+nBBTEGlpqwNEQIMg7banOqiDMQgPOawg1yddG+FPrDbJOtGyYbMoR1xrzy3aUwkQf56wu&#10;PjDg6Jc2m1Lj9jWlfTXI2srIUEvMjk/1EtuHxH3DFRrPSljomxWwCnZPgPGz0NYd6fUyd6/pjB2q&#10;FHj1ddJ88rDUDvdJ28oqaA/zg3Bs6GqHFdgqu9tQvlQAFkpAILIjTIk3yaKNtSjmc0qxz/5s/Kqy&#10;0zB+bW2dwMMOb9CONDY1aWiEz1cLycwj/0lbYlCPoX0PDXFc8KXJJUwqwg1+r49auveUT+Uds3dp&#10;XxyumYLT/mYhadvpss/3xfDdphTKif9Wpd9wI+kqjhKxvsA04yaOebp2JaSQvQmPMp2Q51ZNxrh3&#10;2r+MxxlcYeTYnG6Xfbp7CY2zIVQf0tAGcpcinlTrZuv6ekXWxhdlcuwavq6TxoZmaUPsq7O7V/qG&#10;BmAt9kt3TxdcqGAy/4lezZC/zQMtMjQwisDPqGxsPSyLi+syMzWLuOKYLCCuWJkfU6G4u1XBBu1g&#10;ZRCGjCtydyC0doOJ+G4ZTjqDcVgE2ljIwMWo8x9uRi3N8oZ6jQ1SEGosRgFJOLrThNYkGZUjqCpd&#10;hmouNAqg6Rd5Jso6Q2MqNi9uVwJLzwwmZhOM+WbVsKA6J4Qk0JJ1EsjNJ2RCNRdIwdx8ygk+1SzV&#10;Rnd3RLg5jEhsERQs64jL8RH1+OhAf4ccgRX4gYePyfzymlyEgDp9+Zb80QtXZWX5tPR3NsnRvb1y&#10;x/5BGYWV2NHeClSso4zDD+CrAtbd0MXUg7hp3G3vgDHh1YDnjfa2yP6+fbJ+Yo/Mza/I5ZvTcvH6&#10;pLx5YUw6gcf79w3K/pF+KIC10tbagr2tRyxxW920yaouhZpvSNBs7I/9TViUMZuSSIKQg4wDor4I&#10;/dj2wRiaMxFucbLQQ8iYkhfCLT0lcYg0gH6VmKMzIpdQxpz0qXks82rk+3V/kyvTLQ5nk2Fh2p/Z&#10;qqNiUqUI+NIUNkn+hiUTyG54ZGMpESq+U8Bx7Mb+btBgj1kF6pnbQrRkw5fuFndSWPBxEmrhhlWo&#10;JqrPhrI9M0Swxn99vrSDktCsg/teWuHqX5aerjZphba+VKnIzsqyNMI9b7FZW5x5iQKyxFkHtQoY&#10;XkNXqT+opGkFBb8L+jVkqMIYHdvWlOms3PjbuUp850JTwWy4Z98Qz2MP+EnsXQhZ5Uy6LuNjvj/F&#10;DutK9XPuqeGPuk/1NhdWhI4up1A0HR9tSPLp4lEBwQIt9Gt39SquKF2Az6sC5c/XKSY1Sj+lcRS8&#10;EUKQgiE0RkOK8AbFUqF6+RA7YAbrMje7JvPTk3L14llo6I3S0gqXUre5UHsH8dPXIx1IfKir+0/j&#10;Q22sF+nvbcIP3CDH98BieBuE4qbMTkMowlKchwu1Mjcm6yszIhvLWAu0SSKaWol12BpzoZorxmBg&#10;gCK22ftwbgY4DaS10gBruR4/tdBQFbDqP487bMPN/WW7GWhmvC07PxJmK1JkVmbabGYfhkw2T7Mx&#10;+YhAyOI6ZxgZgW1JYW8EszKctDXmJ5lGah9nQrERfCk6f/s+4U/xSbo2LiluDsFoSL6rLst1/PB5&#10;7Y118vDRYXkUscTVzS0Zn12WN69OyJuXx+SZN09J3e6W9LY3yNF9/XLvsX2yd3hAWpD0AkUcVuKO&#10;ulCD2eR5xdpMAG/TcqDbFP8O9nXIyGC3bN9/WOYWEbe8NS0XbkzL02/ckIWFJenpaJDj+4fkxNE9&#10;SOjp0ZAB5fcmHli6nsr1Ou3nXYwLg6+UOBaMJDGVAHCM6IwguAGVKl7rVkPgWmnoGHwLPPaZpL1L&#10;LDTG8Wclvma4rW483WEbS+Ea/6TfGYdtmcFg/XfJvKvW6tfGZeUci6cmnPS4VBb+uJHx3GCSxaNL&#10;cMdsdA0OlsD9MgEu8T2nSZNHhkyazKLjcy9sP3bAQ7a3VuUK8LOhuU0qq6ty+cpV6WjYkf5mXLMF&#10;pYuKMbFMlW4+P/iKM+QCV2P84AOxrOo5xn6ZcFXI60e2NhO05b5zEeRJhg5G61kwBzGHNynb5njn&#10;uGq4nK2moKSSY8Q48VkIP7s3/Gv8q4wJBjGQjxUxZLfg1F2ZFD1dnLswQ+a6exXXVamYLnDDNNU5&#10;hTDViWaZFNYr3KGUmpwspXSwD07Qtl5B5sQQA+j06WnEG7pQK5VFuFAX5Na1y9DQ66WpmdZip7pQ&#10;+2Ep9qoLtQuf/6dxodZjnb3dDfgZEjk6BHS9D/PblrmZOZmZmNBkm6XZMcjDKdmFUKzdXbOlqaUI&#10;icp1KYR8cxQsnu2lTEj/xNcQgog9bCLxg6lEdbCUNcsxtoXaiI4T3CVbK0aU9l2h1L/V0nCOWtJ6&#10;ZjSldpmRKtySRhncXyeMRADcb3u+EZndGzqxEZjNOfPtENmxFkP9YI6Jf1Yx82JOfEoyg2PtTjbF&#10;4rbB1ZjpCYekjrQXMbuDQ8fkw48ck0XEf66Mz8gbSHh5+cq4fP3VZ6QNscQTcK3ee2yvHNk3JF2I&#10;X3PNFFKbtBgiCSHNlm8M7lwvBeI2FRjsWReE6dtO7Je3nTyIuOWG3ELc8iye8/KlcXny1SvS3dIg&#10;+5HEczeeRWuxtbUZFmaNxRJp7QdI9Hd+RlIkjCINf0JxMe5X3PnW91U7lL4OhspbzaxwzPRdKXbE&#10;vRGlz8q+za5Uv6kYy93XnG+W9r7lwSdiMvHkkgHzAfn7wLFSRYmVl9a1rdVxz7i2K5HGzLMa6XTj&#10;9Jgt0Gqci1XGjugYCaBJJbVx9fM8bjzL1M0QEQaXXeDpzuY6lO0VaYSyVgsOMDY1I5eRmPP+hw65&#10;cOKVwC3giELapxZ6QbnTCQsSaWSR5Aw6Y4nOE0qjSjdfGX5HMkiGoW2XWXW0vsy2dYle4KutKZTq&#10;BCu727culOICVf1t4hScji8uhZ1izYmXhFcsfEshJLlw2xvFIrfuQglStVyXYRcE/hr/NC9dvifw&#10;0YV30JgqCTrJRJ1cAkw8ZFjqY+lCC3cPH0b/qz3YUJt+7qwRKKB9Mgoq+gwM4rK+tibrqysQOGNy&#10;EQ+ub2iS1vZ26aa1SKGoWag9cKG2vtWX/FYY/1/+hKKtq6MOP/1y8GA/1nKXLK8gA3VmHsk2EIoT&#10;N2URQnF9aUp21hdhzG0KcjkUBpZoQ9g4IsUGqPFYCyukVV589U0Qw4L8+R95v6Zub5P5umUZSGhZ&#10;TQZMhaLuYrEZgc8xfkIeQ8RgacFEqgLRt7HfYDg2BJE/QFhYokGRSXvMTFv3NT8wsUobJk+wmu3G&#10;U0MYqPMjWL7PP0dkExKndSfOFBiueEk3JIUMn9sIpeNuxO7uP7wHMcZtmVqoyNlr0/L6xVvyu0++&#10;CVfYqzKCjNMThwbl5KERZJ32SFOLW4kYhwIvCX+uKiwd10KYzLO2bm7TJiDAHXt75CSet7lzl0x5&#10;3PIcBPAffPMNKE6n5MBwp9wLi/UgBGIHYok70EI5X+6/CQ5fkwIuk63hRLDAUDJvW39ieaVwjY0s&#10;dF8fJttjmbH79mdFJ5lIuDqYpzMVwxHPwIt91h2IzNCCWTkaVAu0vN5iJQqDKjwp3ZNVMEnY6rBy&#10;nC3dvgkvjX5sqML6CZAGujvlZGFmF+j81BPkfwTrCvB6HkBcq65cdTEQbrQ+7e86WHg7m5syVZmV&#10;paU6lAPNSSdconTVm7Dh9SFceb8p1aUrO3CkhBkFrL2M/ya6K9YXVncsodSpEn9Jd3rJVsLJTKPx&#10;fKN+2y3jN/lhSVniXFwm2AakWSrfN2FrxoJhg10QY7sU829MqCZYpHU6PaT9TbtgEMEzwpbT5yQL&#10;0eSVKvZFYpU+3xmgwdh5M5+tXlAmxsDVaTvDX+6z1elzQEcaLtAtpIRGfos65nSXHLD+OcsF1A2I&#10;7xiPWZqfRRbqjFy7zISbemT/wYXqCTcUjD3I7Ors7IBl9YOvWeR0O1r50y2jo93467iswBhkWcbM&#10;5JRZilqWAaG4No99ZbINXQ9qLuLHkm34WR0QvgkCfg4E8PVnXpN3vu2EWYf0maWNDTHGkg4ysICX&#10;U50ilw8dkFSkMhTSrdE98IsUeXyY9Ms/9Gfq1eYrKQTQ7fcE2sdgzkpdWJcEksxVJeTb7MRQ33wJ&#10;QT5BSKaxFvhUTKMU5um+ZJ36in18Mp+1DcwRliIzgvvAcN59zwF5z32HZGl9U65NzsuZyxPy0pVb&#10;8rWXr6JWsEYOwXK7C0Lz2IFB6WaWs7ozIVzpSlMLkMA1uCZLCtMlH1qHNbm+uaHf9COxZvi+g/L4&#10;/XgWrESWe5zFs76GuOX20+dkuKdV7sAzDsN12oNEHjLCDbhnQyAavsSzsvggbEKkJUEWzKWwSvQj&#10;o3G/OebswAwPBZ+jLqVSoeUSM0OyNRuiJFmsaOkCz7hTwcIUAw0+VdZd4GM1MqYp6hvXvt216MtI&#10;mKJ3pn8KIvALI9vaFk/cc2jpcizurnepQpPthkAx/dSHDRXe5hcfGssOjA4484odCDoKQB1bf3ij&#10;/c0x65Cgs4oY5MUbc/Ai1MPgQ5kGvAmZ7ZNn2L18HJz1Ni1YhqHWlnSc8C9AousKiDmMndHn9SVA&#10;OXIYXFShSasMoWc4EHRmPDtfZVuRP4lnZNMn35t4UYxYzDPGV8vS8aV8Zoxb8kf7zBhh5h8229hV&#10;uyTXGprAJYpV27ARI1SeycRETsNHCVFvRorBtL6mttFBhQFB+RlMjvS+SEMT28xE0EQUZkHpgDbh&#10;IE2LJzgCqvZgkwnSWl2tyAoCyLdu3dAEk8YmuFAhTHp6kXBDoQhXaheYSQtcTv8pXnxM6x7Eh/Aj&#10;clizCxdTBuqYLE7flNX5CdlYnYOnDmbk9obUN7eCSe7KIw+/TR6+86DcnJiVrz57St738N2wfhvd&#10;zWYbF1Z0CIQsDH3zHb5mcYbrtdTIShIO5CghYxZfFQrrZsbn1demv9xVEi7cxM70jbuDC23cJWpS&#10;kG6XxhnZQ/A7VoRCQF6mmJK/j7mEcRoMmNclAgziwG8jLhS+w+LaxD5wtDrcfMdwj9w12i/bj5/Q&#10;sojzN2fk9MUx+exzl2Tz26chNBuQXDMgJw+jgB5F1h0d7YqXFFZbFIjB4NXjYUzP+Ties40fWok1&#10;0ggr8cT+frkH46zDSh2fXZIL1ybltStT8iwyTlvgoj20p1eOHxpGzLFbGlGTSCN0U92mJmhczjjF&#10;ZOZicHGrS681zTj5AhKAM+tWCPteU6RGVRfzQIxmOYYxGCdT2wFDS6fd8qvbrnPKzsKDH5QUX1qr&#10;aTd9Uc4wYk0ubt761MQ5nAdlgabWlDK0QgD6WkzEchHK6b7Py74LOZvd/7Ya21+7N/h4FOwrUPmh&#10;usP0jf7mPIxs6tCEAUlaNbMyj+SY4d4OaUOpBvMNyjBDIHy2/jmS71JpWQX/1Mdizk4oaY/SHvtc&#10;k5Lk0CS+Kp1wALpL+XeZD1+IrgIdYidDCGXBVapoPhknUsU+RWJ9aIFIgTvF9XFJ7I6vI8Pf+FTa&#10;v3IvQ4lwYJT8IOMj8duH4LMiLqj0m5Xb4Kb5M5tr/S4SWyx7kRtL8JUZcAVWKUHiOqXPEJAEghmn&#10;8UkwOE0QCaxSPDKA6Vz5PONwGjvmxm1D456fmZa56Sm5dP6cJiBowk1Xt5Zl9OGnBwk37WBcteqr&#10;/MG+IgN10DNQ6ZFbQgYqk23o5p25cVk6ertkdnFO9iBjsdK4LkP97XDZ7ch3Xjoj7330bs0atTVb&#10;PMMAZdqhcR8jLHMx2AXxb05LpvLgBJioibeWuljWgg3ONnaqdzLyzQLFn6OfOe6ZcOZ9vpshEIJ7&#10;JNFlN4XmrPzHGWJGSl+qLzmnK/v+FwRo+BCw4dDB8BwahZWZYWYLyKqX2QTrSEbYgHuKwruruVEe&#10;Oz4i70T2MMswbs4syRkm2CDG970vvYKQyiasxC45cXAQwmoEe9elxfq0EGnFR3p7oHDgtZIUePE6&#10;3LHriAVxvntgBe4fOCI7Dx6VWXQtuYL6x8sQil/67jmQwZYM4PsDSORhxmlPZxtoCDFLlnswucY7&#10;DCmjdqvJoGRAMWZjv+OVYJ/2tVqkmAAPhAuntOFiujIJxHJk33u3IuyvwNk0pfxGGSDxzDbUUKbg&#10;GW8VrwXm2XW2/8GozFJKpKI4qZysWKnxiwwMg08yUPV+X5N7QvTu2EDH8RBI+sTgZwnsfGNxMuVs&#10;agWaVZjjo6wRrkX3oU2pwI3EHEBmiXa1wR2K52pxfNBirDSYnio1Jgh1ts4X+T5cfTZfp+NE9840&#10;eZfjRJCsUqTTak6YM9CFvVelMMQ+ObAzzINXZJgHXRu9hffE4azWuW5i2pKcWepPV7nivIXb6Q9T&#10;5SZvpO+8wyPNy94E/4rrYww+K3uvqThkvLcEwuATJtvsleHIv+qlvsk0rLTBRTxD8Y+7aT82vv/t&#10;CJK1G0OWQBy9k8iZHmoEE5+EI0MBhvvYFIeJJjE9uiIqy0i4WZyXm2iTxHqcZibcdKLlFov5EVdk&#10;p5uu7k4k3DQmUP6g3tBL29vThJ89cvSYZaBurO/K09/6kqzN3ZImpNJvbXcgi7BBKutvyIXr1+XO&#10;/cPqerPSDHelapwxW8hKbMpIlNwS4lcRUIJ7SeC3Mb7EK4xwXEo4DwlEKlDJqcc0bEeMwB8lsuAa&#10;sWN5bpl+AokzQwuyC1SzebilUFpYPrzTrc03UCtuDnxyTdPwL8emSkdJcnf4vLeBP1vYHybYUBfZ&#10;39cmR4ePyw+//YTMV9bl0visvIFY4jdPj8vnn71gViKsSFqJB0cHpb2dMT62WbPSiEytWbM06qQV&#10;6V1u8GdHU528DZmkDyFWWIGLdnxmUa5cn5EXz0/JN1++hiYQDXJgsEMtRcYs22BJbKHbEOsSjb04&#10;mTvzD3YZtZtBHyUzSMq44lXsW8le3IsTeJQe42txdFF2qfenfMjEQEshY7c7LYcAy49zJsNfPnv/&#10;zp5W4Eos1SgiybqqoRwmGTXj2zSog8yYbFjMKgiDJhSxMmcgLBVKypJ8rQ43Z3V28VvWlL0xGlPE&#10;JXPzy+hA1I3QSqMsrKyoR0JXmcknKWvVQ4a70hVDfSCZeNCowS/BJX1nowQ8NAHV7rQJVz3XBHGU&#10;Pyi1poXzu+LitFyDYyS4hKqdKd0wMI1lD7c5EBd4e7KEY15+iT4+eBGvS1iMu91QuA3R7Oo8z2QJ&#10;qiLB5xnfCD5iI/KbLAAj4GBlakG/bmnjaliC6Kmoaq9xoCQQHcnNNeAZUcGlnDlpLWExaT7MlB9L&#10;Hw/AhSC17Q0ycEJywrQ6oliCEZimzur/tsq19TVZm1yVaVhiF86i5gsCvLWtDYLQrEVmoXYDIWkt&#10;JoXA9udP/MUM1PoWMEl0KZlEf8zDd/6Q3PfouyC4V+RG5Tfk8tWL0jp4lybcMAO1ZpexJWaL5mQb&#10;s6gse9OUPqVKQwgXjiXzjZ0ONDLUCA5WUmxmKEZINmxkqmYFtRCAPk6MV9JHQkRH2ghGJ/wPV4Xj&#10;QibRPL9MgJxHsR2BvbcRcFr3Wzii4UYiRCeqxN8LRSvFBnC5Wniw/nhvM0B+HxKkHkJv0XV8Tnfm&#10;2evTqE0ck5e+floadl/TPqd3ou/o4VFkOPd1qQJGobgRQrGKNBMf0PyJNS1gZMZgDSzELjkCgbe9&#10;e1RmFlEDeXMWCtKUvPbMJZR7bOtzjkH4HkRTABbqMyt5E/eqUhhrT3hhunzJGg3kZPhBXTnmbJ8T&#10;sSK5JeAeG+APCJAmZmOM8DYpYOxFpxW2RVwT+xHj27jKHtJWux7u862WSjZw9VbbpBSXkkUUuJ4Z&#10;aUDe9pp0FDzpNrqIubjVZyysFMpxn004HBChT2bGGvM0YdCCuPTO8jKEIZoudLXKCnrmKio7306r&#10;SszaBWTgcBAnV1pNwvo3Y9++fBc8LhZdCBeUlECahButJM3z8P1270DULCb+rMLLJpxIM+jI5xfY&#10;ZclTnJPxGBUrjhOZdwWvceXRYZF3Ldmq/sQk2rIzKs9E5x9CPmDh0taoIZRszicBPgrJHA/04WZn&#10;Z2XMZlSPIhcnIBd0KggNAc1Mt6woE45crcdOdOFhNYYQNUZuwAnK4jsLJpvADDJ2JNeNJ9ZYvaJR&#10;QvV3hkgUIJZ1VQOXI5+xA5fUEtyRi3Ozcv3yJalhJ4nmFsR6WJ7Ra3WLbKUEa7EeRe0/iNeBO+6V&#10;adRNHrjzIWS/NurPem2HvO8TPy+Pv/MulGUsImkGbt6pMVmejR6oC/AqoNNFiv0xQ5eMJyBHOISb&#10;2YO/jgaJUziTMu0ro6itkVZ51nSSnIk98Q9CuFXTnovWEnf0PZmMoVAez56VLclipCqNrtB2FaGd&#10;NSSELWeQ0TQ96y0bF6Ra/g7O4xTnTCZbI/4MTJaG3TastDWhUEStYGeL7EPCy/vedhh9a5H0Mrko&#10;byIL9Jlz4/LHz59XoTk60CnHkPRyGAKrFx2TGPNlfSmtRI3zOYNx8NsvTEVLNSA4uWqWWLz9zhF5&#10;7OQ+WUFZzdj0klxCTeLLFyble69fR+eaJjT8HpCDaAzQicytenYjAbnRquWP72zi0AG10NZ9y1yU&#10;ZWar8A4GWEwwsMb4nFKUo5fhIf+vds8Fn3WGmbSpuN7oN+YRj3JRlncxTLTywtssALs440oVfG12&#10;CRctvu7QSKhU8hB/tLIg4yUlqwlvSGI9gZ/Od9LEdZm5a0mteq52ZXp+AfBjFvOGtER/SR8shHPg&#10;A2cevoxsqjpF6KI8H4CPcloxeqNJYLSeBFWGqAO9+KYQUmlH0teuxNjGF9DMfDtgEf2KQ4D5Tqcn&#10;K+9xhmAWtrt4dUfcMoxH+POS+9uFc2kQpjCQWrBxP3Ex9tf4mqGzzSqnxWQ+mBR+vcJjyYWWUabS&#10;1EsjyhS8lqoUeoYllixjSGNuA2oWlvRSCDa934RkaFjGHO1z6xjAmYebJQRsMNDCEiXwXJszj51i&#10;rqKOorVbSiHNtZUO2mwRSLRM19dWZG2lIpPjN9XqasJJBUy46UBssQ+F/Coc8dP8J5Bww/rA/vZ6&#10;ee/73i0j+7sV3KdeOSWXLl2Xv/iXfganJAjihZ36w2Qb8F0k26wg9skifiTbzEAoLkzI5uosuOUK&#10;lmAxJhOIBjNqXLQWAw627+5mcnZn+BBCyjUd/7PA+8CZwk3k3ybC4k2G1Oamtmfpy5Ub3UZ9b4ww&#10;mKUK3iDPoAtH0yom6EwyUXISHol76eNi9PwuVlJ9nU2ufGVbKX8a8LIp23wSK0Jch4LKskBp4R8f&#10;QS0gEmi2du/Rxt+XUEB/6doUsk4X5Y1bK9IHoTncizZ+6DzT190m7cAlxvk2MI6WxwRcFA6ZMLco&#10;zLS/qZbZygEI1sNoIL69cxix5TW5jE45Vybm5NWL08CdWtmLQv69sBT7utG6EG5TiyXyGa6cKpR8&#10;z3yfgvHYnrlV6L45d2IlsARPCAYXvIqoZJ/RkjSa89yuQixx/Mx0TVl2K9UFaqw+4UbyFNi9lnWZ&#10;Hmbz8jGzZyRm4mDVi0JYR5SnZOQ2Z529WzNmkbpiqLwrsJob5HiecF0XnLbQBLFPDb8s/hR0Y88i&#10;ze5g3+eWVqQeuEGWafkAjmNO00bDPjclMluLQdqgZb9jfPsmeWVKUIUiEVenreAb24t4UijJtt82&#10;AYWY8hjAUnsf305/ygR0DQaioHneGO8LjEo0nyk3rUQXFfNhgXkJVV980KOPHcp93Jog4+17TLkI&#10;A8AWpDSt03bhGStFuIGfE2tsR1y18yXX7zaAuHxzQrBlAVcKNxNq6rZUJkgAGcGHlRjfhUA0CnJh&#10;GYFmzUC1z0MrS1ZicomU9xnQ7R6u1FDY9szmYdqHHbahZAhABVJtIHC9jtKMOSTdXL10ASUN9epC&#10;bUdssRu1isxE7cLvDpRn/B+1FpcWK/KPf+mXNEPxL/+NvytH7xiW3/3t35Gh4cNIgHhrqQfbrQ4M&#10;tOqP3LlPtfylxQ3MbQZCcUIzUCs4RmqjMiO7mxUIdZyYoQRERDQlIJCJioURi1vw+p2LoYSQjmyZ&#10;RwRdKCxNqwxXQ2ZoepH+mVih044xB/s0Bg2iKsUiLzJ0S6SYONNtdkGVNVFYjPr0kjBL4oq55e8z&#10;iRpGmIvGlmBKhV+btNVwGxpTs2dZBxImvDDrU6039BV99M698vYTaM8H4bO8jobcS+to/j0rT72G&#10;jOHFWVh47D06KEcO7tFife0nqUX4juOuQMRs+Zuj7yDbdIOdRTC9LsQkH4aV+PCJESvUn1mWm9PL&#10;8uyFWVlbG0MJRovs7WmWEbSY60WbQiaOUSDSylQjMW1fMEDfH9syfwEScV3V9hl8ggEbpAOA/MP3&#10;TD+y8dM1CQfjERkf3N63qeFjhXjah6DeeE6513a9kXiuOwuUe0vxPteYmHhGdmVVeelpj+0jPiDw&#10;OwFI3ygPSeiW8S6uDtIgLJm7sIzEmHWEauopTDpB20lpD3wuxvC3QUORyKGw1ynZLmRCc2tYLS4X&#10;j7pE7lmxOF0SP3NL0qSzzcWVk+KGtH9GpdWemrz4/IzgEqWd51D0qfpkSo9RNRH6ZNOkE6yVRhNf&#10;ccyiPIssT1JiYcWlJELFWTMWohxP0UDvzfcEH6CtlLGDt5kw1OxQFR46ichX4tUu9CiA+F24Q90q&#10;JLeI+GEwO7oEIoYYlkvKPKXlCIR56zgRmDbhmgVrzNjmYkjrv3Uprg3q/Oxz00PdfRifEVB0Yagy&#10;YN8vV5ZQ3LogYzeuIdPUrMXWtnYk3NCFiixU/HSiw00LjgP633s1QqrdmJ1FIXWtjB4Zlqef+p6c&#10;PndVfvHv/pX/3fviS3hvUVPWiJ89chjJFDu798vy8jYsxTkVivPogboEa3ET7d62NhYgFBlnss0L&#10;izFZjrre0CEthTvhjb7PulwwBhOwQW/OshTvXaPPVOYEFYNmBpLruIx9JB7rTDUrrP5N6TYMQCSa&#10;z8wiE2zMNn5XE1E5RAn0aibmozlOpPMoSXyK++XYvjaNa9PdyZMszG1KWLeBkjp6G+VAz7CsHOmD&#10;K3xJrt2YkjOXJuTU6avS3dmM8os+2YtM0AG0WWtGeURq/O3Hv4TANWuI8Ne+IhCa1iWnGQ1Vj410&#10;yfF9Pfr82eV1NAZAycfVSfkiknhaYSUegQV5aKQHbeNQ6oF+p1wTXa/mNQ1h91ZYJb6k9GJMLmGG&#10;g0FLK2KLg2s4jEKwhXRJpT7+vbMw34rC6koDOiNyvpIfFHsfe5F3NnBUV+Z4bthmc8+Szr/XNTli&#10;+3UZqx0+vDfwTmkjplxy5PicDDCEU54X4UeLb5uCGm7QFTQJWVlbx2egT+YyOPdVHujKuwoTN+0M&#10;/rQmXQmj8n67ZazTxXN0K23PCiPPVumTt0TNPH9dXnpW8M4M56DzNM/Cm6RTC6tclYKCJ/gehAqt&#10;k9BhQ+k1i8yXHwBLOBE7Z3vCGxnqCiliCFeV8Zkx1PhayWec41ieglUb6K75dfrGc27sw7fykXp2&#10;yeAG7nLjgk+5UDS3pM09uUALN6hOVxdu7tLS8gurscrFWgrJuF47MVjbKhO8fKYf0FkIN7McuYxw&#10;nSIi49QRcUstbOWKE4+moAzLNZDILZTw3YPZsSB6fQ4nUuCMsisXWASLYn6UZ9CF2uOxxW7UL7Jx&#10;eB39Zf5iq6w19Axsax+QW1dvyq/+yq/JXfe+Ux552/7bNv4/7k9uYCc623Sis81+JG4IOttUcODw&#10;wtyCTI3jtIyZcVmZG7ezFdfnpHYH5xiG9ecHDhuWeHzV8b3UR303k4slWQaOx5mJWe/IjHIEvhNS&#10;lQszW3sG4QJJ0/4YlZTPCsQybQ97lGg323+lKzFDsGSSQdDV8E0lGUXjarvLmH7SjI1W0qyzNpo4&#10;fyzIcArzNGFl97VACTq0b0COwArc3D4hc0iRv4HyiOs3JuWlc69D+O3InoFuOQrXKk/D6EY/Xe7N&#10;Fg8RxiB6zI4zCyc9pQGSBC0Mg0uN9MIa7W/vxPFQXTL/wEFtMH72Cso9XryGPqrT2mD8wJ4uuE67&#10;9PBgxhJpabIFXZYR2Qo0qMWDY8erhU8IHvttSnK8Sssh6Q/VkDRYB56kxXGsgLjhUi4FKmDuWFTF&#10;0J0Jx44Za8qMPe2jM2NeZ/wprdb+1j8LzArmq3ynVAQdXxxvbPmB3YYLdiYNLAl4l1g7uonyHI3/&#10;4iHMEuXBMsHgldknN11mxLzEDBJfgcOqhLcxOv9ekZQ8zsdQHHa3axJCGeD2rmoDfBsDYkoQic8n&#10;Gg8c8ftDh0m1mmmeRlO6G+G31UX5sFHI7sSVHQHhKuaduSoge3Tyuyj8N/JNUWp9SFa7dbN9rfap&#10;b7X/ppAkvoUBYXfzVb9x5Zw0ImZWg+y3WgT7d+Fm2UFDaGap0YLSmhcuJHJxuVgCPhbugipOnYhM&#10;UxK4xRQjdlhYgepGZcNkF5xIcDEhaj+m3WU3qgpq/05LK/S70tUUCOz3+5zCA5yu1ZFd0PpuZC8x&#10;12jWJBMdlpdpLS7K2HWWZ7CYvwWt3zpwYgZdqDg9A8dKLVfWZBFxgJq6i/KX/uJPy+Zug/zMz/+/&#10;HMn+ZH61tcL6QGebkb3dGPBOdExBXHFuGcdIWWebRXS2WUMP1G10ttlFEX8t4YrN0VMzFGvMPZj4&#10;kW9eaJyhNRnDKAhd9zi0P+K4vb+dpsoSmYRWJc3pDUGkNn6wJWVFpcmRGJ09Jq5MkEyM2BEw/V39&#10;QFtrdnf6YDGor8JmkaWca+N6r38Xw3rsIdoymRcCXwIvNzxhhZf2wBU20NMuD9x1yBJs0FXmHKzE&#10;b51C7Pe5i9KDNPpDe3BmIoTmMOKBLTh6h6xUXacMEygTLsnaPmOhPa1JzrUDJ1s8dIwNxveg/nEH&#10;/VTxnKkluYw6yAvjOAUDx0b1wrU6jJ6rfd2oW4WgJv3Q62rj2+rC5Wf04H8HsyyUnMy0bEcMRYzD&#10;BYRtxiEggqHGLhdWlm9kgVU+Ymbohl+4V+cUr6BbDwlkTEx7ZTIhCykTsGnGjmcJYdKMi93ORoDv&#10;g2FgOYskWt2aQ+ME8MtGKM3sG9zSBE8NDQrwM/LLWg2kxhNcdumSbmPkpRDK2GdPzv+k2YRlmU+W&#10;yOvKrL1Ye2y6ATdB1WBsPCK0nPwteYaNG4pKrVup+WlBv7ZnHohI9GXGs+ODjqV+Sp1DYIzNqMCg&#10;NBWVeLqn+Y5Ml7ozsefa+tOtSVUE3AhwVDKIuzlYWIKx1vqvP78ubQ2bgjI36WlZx0Zu4KzAVmlu&#10;Q4wMmR016Orf0ITjgtAKDH5DFZI1EJLmX8SPnttnU7U5WYJKEjb81GOHKZ7I712Q1agADMvPrEIK&#10;TjuZvRR4lqSjliDu0e9cWy7HtZPA+UzOxoWlbkSQrDEWs15tE40Pm4UZJGvlDERc+0zLM9ZW0VZt&#10;XC6ePa0uVMZ87jhxUi6cPyXjOOi3ubkfa/di0oxqf6LvmGzTPNQug/jBAXmIKYksL6whrjiL465u&#10;oA/qDW0Mvr0OobiJ5uBsRK1CkUhtCK/rTf4GE/zK2LjWwHDyocSIgqEZypqS4qip1zmCK1vM6J1c&#10;HEoHVeTlsM5IXaXTOeMoewAGL9CnesKB8WIbN7s/A9wxDydCI2f/smQa2bKvNlXdQvXb7PnGnDnM&#10;7W45frHNvqH0X+J9E+ji5P4+ufcwrUSeYYgEmxszKI+YlFe+fRZoviFDXc1yD85MHIEF1wuBRZyi&#10;UGSCDRMtMhMw6PDRmtmKhCzCkzNkPLLvUK/cj5+ltS1kKuIAYQjfq9ev4sJN6cMz9qFEY3CgRxt+&#10;ExdYLmJ9VA0czurS2qoSK0iroeEHDH0zQpgZPoSAMABFWEK/SM8pmZ/jisZu6BJMs8g4GPiU7o97&#10;qkmq2hcRzmajbZtXxuVsucagnJPxBsMtGzufRm7PVH6u1xi+6N+4uL4B4RTwxvUNtlZkNyE7cYfC&#10;UE1BR5m4p3rmjqNKfqGMOK05jB3dqm9zLmXYnIWVM+BEa+YRMW9CfjmtJuIO+g+fYUmnDhVdRkGr&#10;Jfnw8yDOYi7RY9TgGdcQgD6+026sLyUbBaD0vsByn3NiLbbjlifhe6NrNDe0KXUGF/s2aDwr8qaW&#10;20Lqz20gO20VsnNuG26UVmlvrpU6xCbQCg89MLeh4Wwi+60GR9zsgIhglbTU4TdKEaBtNiPlux6t&#10;VWqABGpBsg8pNKJd/GR2ExBzC8yFVLhLifxayxJWoMcNVcDpZ2YlMt5YulzVdeH3xHfxd9QcpmcQ&#10;YCoYvbxDEdPGN42Y37m14sKR7bTMxx3zNqKqYWsI3Le2AeWhvUs+8r53yi9+88sqELdwduG5174j&#10;TVuTSLZB3SKSbnggceMPsJifx0j19jXjZ0SO3DECq+ERnJixpRmoc3rg8Lgm26xXpv3EDGRBch1k&#10;PI6IRkvB4DO5V7lJApGdtxQbXMiWzCAUxZJkKnCgYCeZQYalSljrpBz2JfEaGSsdJCZs77MDNRgp&#10;mSq/yIRrzwqOGCzBnpUYTRBs4hh2f1hL6eO3rKuAmZMW0XcdnWqYZMNXPzqJjNy1T9559370Od1C&#10;4gssN1iJz1yAG/75SwjOb6H5d6ucRGz5KEoxuuA65TmGbOdG96nhdBC3KTLq7MeaeIwUib0VHR0O&#10;QTk6NNyB5+6T6bmK3BhHg/HzE7KOEowWKLN7EUvcR9csDqClG48WJrNj6YMNfCgZb2JODpvCH+BM&#10;ijB1FqlzTJzKwWXfE8ha85aAaExOXxSEGdL2Ufousck8XjFGtZCw8fSzGFoFnLcOS9vvex4eo7S2&#10;wCefU0I/39/g5cn7ZbjH7Eo7oosND0wJNibtbtdSs8wzdPjFfG/H9WpIJRgpYw84O0a4wIhemQkm&#10;SQg4mB3WLiXeAvN8VYxw+5xsH538fBeKa3ibC7lk7Scr164L4aTvFZ4xZl6vii5+rP+YINSwQVzv&#10;95ZwNr7hz0h0X813lI4Ddziu/1H/wz++X2qXd9AJfVNrkc6/MS8bMO+X1ndkA+6WBmRX1q3bROn+&#10;gU2IDi0wCmUdghGCABZkdzuz6NAtow2E2MJEE2hDOD28hu5VaLfalaYW1qO6CBRSKpRMMLHXoVll&#10;ZZaplmZoDNEIlILOhJp9pi5REi7v9rF4DWMpPC9QBWZqgBsuVsxeLUx/Xgg8Z5CanoB0Wiv6524b&#10;A1RtyhHf5gBFAQ2S9x89Kr/9278nY0hiaYGge+C+BwXhGXnz9VfVjdzIhBu6UNHZhu3fegcGIRy7&#10;pQXuZ02h/gG82FGuq7MeP4NyAKcpiNyb4opzcKEuwH26PDsua0sTemJG7S7iikyNUkaWxQlnx+Jw&#10;x9E800QBIVSMYAxeBBP/dqbjrg+j+9DKCkaY+CPHyiSYu544N0nMy655i/stfRoM2IW8f54Gj7mX&#10;8+J4yf2nE02CNtxAmRf6mvO0fNLBGfLsDG4+Fj6mNaidZ/DiQcKHBztRigEFdPcObbV2aWwOiS/j&#10;8o2Xr8uXnzkvfR3NcgTC6ijauu0ZhBXX0qIuU/Y5jRKVjEG2TxpjpMDEe55wsAflFfuGuzSGOb9U&#10;kVtoMH4TMcszl6cE+qv0o7yDSTxDOE+RVuIWMmK2NNvUxrB9K3Qc3aS8ptgNVUj5TXgZXIQZZsTe&#10;Og9x2JW4VjKn7IkxnAk2Zjt7m2AwcefTtO+SV8O/S7ii7nxLmstz8jXq4IQhFXJboVoUWptnBwCw&#10;Jpk+5a3NNSSpoSCe37U0IiegIjNzi7AA0SQBFvq6NnfnvVlalIpDGQM1dDQL0EDtTJy/yXt0CF+B&#10;N4423mnKpqroer9bRrpGX1+Ghl/ptGFDJ4ERyB6hD4OhQSlTU/7UIVbMOW2BD2zF9Lw/dS3VZfnM&#10;Sv6RBrM3gRMmnOwvK+OI7+1ZVi5n89O/Q5rpe7vWuZILUn5iMVwVOTpGpp76dhw18999oksmK9ty&#10;YXJbnj/aLnfj5+b4Og41rZHP/eEFuYz3jchIq0fbsBb0V5yZWpddFJ/XLcC1MoMB67aRsbYriN9D&#10;CGxLZ926dNVtSkcL3rfsojXUjjR24Pq2Ttlt7ZIaxEIELlXWPfHAXl2mC7LUu7TOLTUVfkAIjZnk&#10;2KG+V0FZWJGeYKMnjauwcuEFLTuuY7yvqtRDMc1dqDt08do9uQWcjRMJOazZa0ZrrAtnX5cV1Jad&#10;uPOInLzjMBIX2uSdjz6qSQ12lAoZypaenLEwO60bU6/F/K0qGDuRiTowPIxM1H5p5ekZPIn6B/Sq&#10;jiseA6GyXnEZByPPIAN1XJZw4PAKmoNvrs1qEX/tLrIhgSOGxC4cg1E4VzRLi/CPq4Lpl+7SQEdH&#10;TMdaI24XmhljTdEgr1Sm4CRYJQCdWyQGnVlkoi0dL13g42SkL+y+TFqZHpR6lIDS0O4RcIXI5vX9&#10;1lUQarDr4P9pFn4nPmczbXaGIdV2wJuicT6UYrDbDFutsavMBQjF5869in60OBYTJ1QcQRH9wb39&#10;0qlHkKEuEUI1l2EoZet4Cjm6TcG4KdT4Yk/LvqMjOAtxRCroDj8xtSxXb07Kd169BsF6UQZxBNXB&#10;kV4ZhaXYxf6mHF/rHnk/N8WBooLJcMLys7NQzIylZDGxHxSsoWSFJRb7HAAyT0Cw8oQD6TnVNr8u&#10;13FG73KLq+oqFQxEIhv7rfsfSg+ORorcBwCPhe8rSHpbqqziwFwIPsCR+9CGzgmtUPLpENoEHNfx&#10;Hds97oDHcGwq4SvIJUCKr+ZVMFZIWFLpZXMFPoMZ6aqwhJAPCzlZjGRD5tfT+SpMbH9NYTPaCNmS&#10;FYpA2vJw8PJ6p6kqfHe8wXihAITwMuU/hEyBzPp0oykfsbjOcDBoxHg780oyfdhb+zd5R9V1G59n&#10;vPKBXNDZU/XJjuf6KDMpE7rYZxTGWVBqrbXjQPF4fVu/AO1lAdrj9Ny6fOuNDfmzj3fLN767ILst&#10;TTI2sSzH7huSIw80yCQ0ycfu7ZQGKEGv3ajIvQc75bsvzUgjUsK3ljfl7PklWcPGz6LJ9PYWkASH&#10;TLbghOUGEGJbDazGunnpbEBNVTs6uHTAQkIdXSuC+A1tcKlSAMCdSpeqCUUiALeCmTz15q5klxjV&#10;eDw26BadCig8g0jFeFwScJ51qiQLTU6tP3e1hts0C0oXjIoFLlQV+fxvdeHyfsR6wLBuXTsrv/UH&#10;vwdmNSf3njyG0wT2y8Fj9yElfgDWM081yAF8Lc9Qt4R1/qisLOH0jEWZHr8hl8++AeWiEW3eOiEY&#10;O6UDgrEHY3QxExXuMBLLD+KF0K4MDLbrD0q2YaUgroh9m0e94twU6hVRllGBUNxCaQbjijUQita6&#10;LqzFrK+rY0axl+8KiZWowwn2drmUmJ2SQtbsEq0VrosEBB9UaSEzWiP9LBDDDZppPSciVLHnoCln&#10;PiZ7nTgV14IB6SJNA7/NiqySmDqAz0P9NzEnt6wK8MSjeTkZ5zq8LjyzkzPdi0L8A7AU34uG3Jr4&#10;MoEjotD8+49fuiabT59HRmijtmK7Awk2A71oBME+p5jtBt1xKdZXcAV8p7FEPQUDOAx3wSGclXh0&#10;tFcF3QQSrS6jndsrV2bkqTduQXGtx0HGXdq5ZrAXNA83q7lNTe8kMntqkEPePiztNoeigUeVpXAN&#10;2maWVl0VI9Vv0ydp3GxBBfssrlO4Bqx9fP8sCb3CqjQ8tQ4sZmiwgf8myhtWUKO5goS3FdDpuioZ&#10;yl+UDusEZ8fIAvhfcwMUeyjCfYgZ8TgltTExPuO4ZM5bOGx3o2YDVn6hFuBzlrAsw8PWDAOiDd2B&#10;mplzoUkdZOqBeybSbDUu3lwjs1yL/LLEFSeYEDKKc/z5frwjYZ0NEkIhUPY2yNup9NVfpj+jblkN&#10;BAqh4AF53ibCTUAFNob45AehnNjuhWjMK9crEr1lRSCVfSQL0L4z69uqCHRv6RbTNZjKUGKole4Z&#10;qOp7MNBzr69IV3utLCxtyIXLqyCGNek5UC/HjjbLS88tIj5YKz/yyJA8PFonn31tVT71WI987XvL&#10;8vOfwsGlEHy/9/SKHD7UIkf6m+TJl2ekGYJxGtbi+dMLsH5qZGanRa5vtUsDlKb6eWZQAYkgIDvq&#10;NqSzcUO6O2pAeFtoQovP6U5FFl0thHAtT7hA3EIFo1qNdKcC6TR8R1OZCIDfmkJMzSqsPybXRCyR&#10;witKMMydat/Z9RFztHvN6rSyjriff5t1WAtmsLk2J1/44ufBOObBHOrllTfOyutnLsinPgHX0+gh&#10;2aotNGdFRpujo4MZT2TgjqMMqK9P4QBiCB+5jGeA4JiJynhjVw9iNxCK3ahb7EB/1D+JLjcFDaW3&#10;bA7eAyu/p2dEDsFa2Nl9AD1Qt2DBzqtQXJgeg1Ac0yzUnfUFnMDA0gyLS8SBHmEdBHtzBd3J2RAu&#10;lFh979+Y8hf9gJxESoHpswwkDnL6vsXRzjbyGp2Iq/hjwWAT4Qah2l7Fy94FE4iYcWjZRuzKSPJV&#10;Rsx6CwnSmY6iQRYLQeY2AvEwM3ZClcySwonfNYF+7jrQh4OE2ed0R8YhsM6j1dpFJNm8+OQZNAlf&#10;11jinQcG0NJtQPohtJgRSgNQz7QsXZsOVyvBQKG+gV5PwRgdaMelB2QONYlXx+fRvWZGXn/moiDv&#10;Q4a7W7SzzV6czdgOK5Qz4xyp1BlTzOqGbXRALbCel5grOARcsEwDEenLoJhg454GHcG3oJqN5V02&#10;a8npKu1fhndkMFvGJkexDM51wG4FQm8R/X5X8Z7uTAo+FT7gN2ysoTvpG0x+SlazDmVjDZ6zFbim&#10;Z5CURmtcC+Vp6ZIBwzIkv7Iyl+BNyLEAsXSg3/AqUrynZlb1u0YQXzP2qwmhI9K+Ks28X5MOc1Z+&#10;ii/iOaqb6z8ZBmHlGthcgUsQDZstbnHhXN6f1llNH3qlw9ZwOnYxbUqaRFikpRCPG0wIZmHHsXQo&#10;ANWpxK8weCu9l14Bp6VQFqw7jMFW6K6GkgL1QmqbcXQZDC3l4KvLOPQYSjxLyXgovCc78sE8vk/n&#10;ho/rP/17F+Xfw33XzUSXtl15+ZltaYA75H39DTJ9dl3ePD0tF6bX5Lmxfqn/4b04TbtRRpoQ34AW&#10;1IhNe+F0BTHEXXnX4Sb5va8t4XR1nPq9jM4aSBH/NLLTzk9tI228Rj700IB899lpWdjAZgM5ro2v&#10;ySwsv9oVTG8GsUTW5sFL2gEh0olU467mNbgYkRKOObU078JdCISExaiu1IYWaGC4F/OmNIlz06hV&#10;Gfi4a27RRR1iEng8JqewGNU9ys+IsCYItfiVrlF3nUZmKV3CX//q1+WN8+g8wwQgPKYJlhwJ6czl&#10;a/LEezDHGlidTsDGD5hwoFhrKOAuDhKT4ZMhevjRidwba4ApNnBm8rrIWVjTIJDmFmv91tU3ID0a&#10;W6S12FlVt5hJ4v/aO8Y0OuC+7kC94r4DVq+4sroLFyr6oE5OyiwyUJcQV9yoTOK84TmYGMyM21Zr&#10;MQs/wzGLX/G9Ea2RWLXWlwRbIHpihr4OkzXFq9TrQtuusvEyQel9QWbBrIMF68R8UvGAYAJxbcGY&#10;q8Rdno4dCeME6aQerEKfntxDsW5+aM8Lph/iIpQDfq8uJD3tHkyX8MU4w13oc9p3SN57P/qcgpne&#10;QP/Rszi26XmcZfj1127oQcKHh7vlOGoT98Na7KDQAqMhc9dYX5VGbAzV+n1bQwCegnH/4X5527Eh&#10;WUGfv5voXHMJVuJ3z03Kxqkb0gvPzWGc23gArtNeNIxmTS3vZ3JNKCYZkrYnJqRsD8qkjhBTZiWW&#10;jNthq/hSwinwJ0OOX5t6osjm4zg94SPW66lFAPLehIW2vLKKsqaKLFZwnikEnyfzqgCi4GrAemx0&#10;te9SLp6iCZUHrgE8p45jcgEa27fd14xQvGNT9lYQuNqIXBt5jzNdHOAKg4N8QuByxb4ieYrW/u7O&#10;Bkot0NwdWgcTljTORWtVBaHNjRoLYd0KV46WrClemaWjLlMXCiG0+XFhixKZ/FKHd+JBjutKvKYE&#10;2MvtaMKw1NQci/IuZK9NSWExhtGAY0WWowUfyE/MRFHQrFp4kdyEOXEfagCDBiR3tSGc1LtXunDk&#10;XefAHulDiKkTR9wR1yvY58oiPG84iaiCsNTq0gyUl3l4uGbRqnIR1v+SCcFNZHLsruzIdbjDahe5&#10;mB1pmlmTX3lzGpuBjNCORrRsapSlWwvyO5+DVgjh97tQYt73YKd85WvTsgOr7eQoBBvcBIePd0gX&#10;iPDU5JrswtJ7+CQOOcVkHzneKC+8NCs/8sEhaYWFdW0SVgaEZBvcod95YVb6+lrk/IUlaEi7iLPB&#10;7YBT56+v1cj6eAXlGygWRmZqb9MmWkutoNZqERmsSNBBhmotunHUNCN+gUydGliN1NxU03MEMhwx&#10;jbrMNlXLLlmKTLShnydif9Se8R730UqktluLa3kw6pWzL8i3vvsUiw4SE1OtCxt04sQ9YAjo3AFm&#10;Zad6WwJOWD25j6ER6o4jrHpgw+fPeSpDsPuiF942Yo8VbOAyTrq/de08CKIeZSzN2JtOdLZBP1S1&#10;FgcQZ0SHkv8vXW4cu/8P/2qFBtva0iXDKMoWibhiBXFF1iuyDypavs3dhPaFuCKyZLW7DZkQCUDx&#10;P7E8fXYhDgpyo7ALoRMMO2CdpWCwnSC42I70d9WI8bSw2G4XckrrPqNCECqPC+YQwiq+L39Xx5mq&#10;k2yMTWRGlNeQBaOLvSohb9uTLGafC11umzjEeRPxKr7Ih48O4bQLuDa3d+9EZ5lVxO/n5fy1afny&#10;qzek7uWrOMWCxzb1yMggPAs4paIemdxMsGGSDuPsOvvk5mY9IhRcfg7mzP07BAvxGJJrttDfdErP&#10;SpyTi/h56fI5LQMZ6W3WWOJeTd5pVhcgDyDe0f6m8SoWp9ZS+A1c9BeWSySohBUdVl4w1FAaDLIm&#10;JNOxP8r16Z2w4uvtHTRJRxeXJdTyLoAhLiPGt4o4HtevViEtL/42DmGN0LdwJy0+V041JEEaLcR0&#10;dE+hNaGF8VDG67BZPF+Q67+1sIl8CijvEGgt4F8N4TJVX7KyF515Pe7rQiIFP12HNF5DUs3SGj1J&#10;KFPDvewfq5OBNqSiCc9aRG3yPBSOXiQ1gemZkFRBz5iXvbfPXIA5LWT6M/xX5YKklSixpC8V6abU&#10;6tXkcfnaUkgmcekekWQ267hhu5tVZyGMUGps97IbO1Ov3cmnwqAgO6Y6gdOO6lsGpKl7j7T375Pu&#10;oX3SO7RHujUDv0E9Fre/usEfZQQ/stfgTshC11td2YJwXEZpGep4P/0bUv8vfvGkTM5tyc1ZMFr4&#10;q6exgZMzG6g3QiE4HOCrFbg9cNMOAP/mxXnBCUaIKdTKxUtgduDgrEM69Syyz2oa5N13d8q/fH0O&#10;WZNo/ItN/dK3JuX6HFj6J4ZkG27TPXua5dqpObm2Vi9//bFu+Sdfnpe/+slBuXBzW+7dVye/8wUk&#10;kGAxA4MNcL92yv/220uyCCAsrdbLtQoAs4CkEgjm7vodGWLSTf06rMZxuFHhjuiCEITw3IUrsa6x&#10;BcTOrFRqVB4QpZamAgufqaXHTSAjiKJ9iLYo2qfgZC0idwDvifRbG4vyja/9kcwuIOhNi9M1IyYO&#10;dPfhHLq77tP6K3XfqqvCLFHTjula9ZZyCa3Ml05haFZgIumEGoog3mvVjAm6SYgg6Fi/voxm4Uto&#10;r3ZD5BwICkpAC6zFti4kNmA+Pf2wFvG7HSUadfR3/gm/LK7Ypj9y8qBqqItzK3CfTuHQ4VsyDyt2&#10;eRoxrOVJuPQ21dq2khSL99pBw6ZhJnapzEYpwDTbRMDVky/JVS9Vei6liMHSXrez4oC1PyjUZv0z&#10;KzfpiRqw58RinHLcYMnxPN0cfbazuzCAdR5hF8USjTB9nbGQ4u/UTqtYfnnOpHoNEM9fh5LEZ3bA&#10;W/Ig6hIfxnmXTLCZXFyRWxCK1ybncJjwFBTKWmSEtmo2KN2mFFp80Z237eszwetqBt7b+MY02blm&#10;6DgTePbIIqzQm1MVWIlmge6sX8JpHE2avMPDg7uZXAPGzPIOCtZIUrPHuN2n9Giwqmrg7FajWXaO&#10;DoSLu1RjDAMLrSR8RyYIWqGCwGSWRRxvRGtvDdYe12DO2LDiTKDoJ5q0wc/5B7MHldujebpZmAzd&#10;qGAJ95nuWShIdi0zcevBE1e8cQL5xRKE4Dws+AYAlNZdOyxsFYjqNiUIbE4RN2xEyKkJPGsXWfbr&#10;cLNSIMIzrYoOReAO1r4NYchkRU1vAK+pAS9kwo5ZmtwjE/4aXlB3LvIs6mCgQGmmkOYSQlYY1pUe&#10;jKCYjN/BkWwTPOszXPwFTmZhFjheuj1tv/k4Mwb5vqTtUvjZd7xme7cRVt5eaR88JD0jh6VvZL/0&#10;DA1C0W/Tgwn+z7y4dj0svateeuBVk1H8fBpi4l0jYNojzEwE9P3Fuc4CoebhAhtDDG96flOuTsM1&#10;AkE5qT+byCjcQoxoXSaQFDOJDa9H8svvfXUZFhMSZy4iFkgBgKd2Qlh95XvT8tFH+uTl785KQ3eD&#10;vG1fvVyY2JDBfYgdYvw5jDF1HS41uAOaAIPzlxCgvq8DFh8KMVZRolELjUBdn8i8wtyW1utgKVIL&#10;AuPfaZPO3VUkC+zKQNsGfi+jrhHZqFjtLtLKa3C0Ui1OyqiFK1V99YrQrGU0UiSCWMkFXK1ahO8W&#10;IYUjE2rwXQu66bz6ra/K66ff0FiB+foNaRhXePDk/She3yfrOL2C8cssBKmlunvBs72Si5V6ln6n&#10;dqHufcRXTPMiNzKEsDw8Y8TGMJyAeY8j1C783ivYj8rStExcv6AulEZYiy2MLbq12IVON8xKbUEi&#10;xZ/0i3K2rx9dSvoPyNETB8CPHpMKFKipsSn57hd/U9YnXoJbvMczBB3xnREoSejaCpdmEgrfRzYZ&#10;WELe2B+lDEziM7tpkoWhdBiEFwPx5hzzs8FizBCamVjtyX6vIgLfcy9N0QrcCLZisI7x4z4bz5hS&#10;tRA1XsEFloLTxtV/E59yYevMRTvLwILjXKhmDKPMYm/3CBoN7dWM0Om5JRmfXJA3cHTT9tZNZHrX&#10;waJo1cN9+3A8FJO0dAztQRquMJs9Z6JHOm2Y0tKENR/f0yEn0coNvB4xcghEnLZx+sasPP/mLZRP&#10;1aGNW6cc2Nsng30owQAtc2yex0gLNK1ZrUCjggBD8Ep7sn/HK1wxMnlFpsy5gg+hgfUiE1qWKyoA&#10;V+HG1aOnSBu09PCj1qEqOcb4rQbNBaC6Mc0DY1qLFV2be9PsIZYLWQctekBtzhyb1hyXYwlDvrd4&#10;b25Y3idSgVBbIY/E9YzxUiA2QyCy1ZpGa3TtnI/tbROIqQVWoI5LgeefU+npRhka27NRaSHXtk5e&#10;EbvkpJmVWi/b4I1beE+K0vnCQ0Wbs6SywLqEVwHwqt9kMvZBKkVICFje6a5fxZQQxtm1qkMUrtaw&#10;AZXiEzladu3aZr0cf/yn5M5HnwA/+cFlzccy69kZfwEm+CqswGsomO+BttfTViuDADbKYKDZ4Z+9&#10;BLIxToYXEfKDa2RLJue35QaE2PXJdWibEIhTGwgUb8ocjoVZAtHVceOhvWwgbvHbn1/iMfbSh+Nn&#10;uuDeXMVGP3a8XSaW6uX+/Z3yuVtwoSILcZdJMGCoKmgAtEiIUQtC6xTpfoCrzeSQbMHam9hpxTg1&#10;cm4JLgRYid1IthlE55uB1grcDbOwkOpgSlMoQjuF+7QWwoExRRIStUDV8hRRrNuDujJZogFByOev&#10;rk7L9576mqyB4DSbKzRYzLEB2tuD2KwaaFy78Anvss7Qk2xMGNICYm9Wswy1y3tYiso4jVjzocIZ&#10;NY2uEsdTdpB/eI+RriJ2WE66HkPOzfUVWIwVWUAj7qvnATesuRkw6IC12Nk3CFcCirJR1N8Oraie&#10;Mdc/wRfnsIuSi8VrL0ndKqz1jm7VSo3Qbe4haIy92yvFd8u5xLVGSfpNaNPJQEuCJI0UV+oH6o1J&#10;1FySP78NAWVzMtFDRuk3+uX6qc/FZ2Fj66zceeQ0bdfRirT5mAJdCEDdu9DEbZAQBrZMf5bHUm2n&#10;/wOvQBHFg7wG1ibSO8EXkzL2wQLcj3ge3Z2LcJ2OTS3IdXSXeR0HQBM3+xHj4/fsQUpLrhZeDSbA&#10;sGDfFm6Ls3my5y7egcHzb4tVHkBZ6iFZgMvuxsSCXLk5LV9/8QpIYFPjh4dR93gIP2z4zVaMTNzR&#10;dnAqYEzQWhggW9/BJNXao6WGNbHX7yq6Ny3AzbmEdayimxOFa5ochR6VW4dZtJ7jMyyUZiULvF7b&#10;O8bLhR+zQY0n2L7GvnAD9HqVkJwZhCC1P6dRCkRLbKGrFe/d/WlKrT18FSYmE2ooX+sRB9yD00GM&#10;Xh2PCA78Z5a5wUXbFTv+kC/yzwa4tdlMgY1Jdsm3+APLr07nToyGE1GVbA/LlPijoRqDcV59oYAm&#10;CjAcDqw1yrDPQjWxv/Me2p+OzO5oTjSr3h9dYFLeDcg2HmFNy7sVDVtm3vyavDL2irR2D0t7L8Jo&#10;3ciB6IIC39ElTTjsoJGJk9/HBZo38z/+XT3ny4SoZbRcmluF5o744H74YHtgST11cUUegLXGGsI7&#10;Bps0vkNtphZC8xgKsvmzSUvynlaY/Yjh4fsFaIrXYClehUv1GjJEr8Diuzm9KlN4X5nbkDEcHXQT&#10;yFG3syJXrixA+4TQRdyxC1mhzRQ4EJx3HgPBDDSqi800L8OCsN60vtAtLLoGaR3Xgsi3IWjW0aro&#10;5lqd3FiFD3muGS5TFPI3bspg8zosxQUEpaeRVwPffSs6crQgsQTu0xpaiUDahPh+eC8FVzNcrK8/&#10;+0dy4eI5JZ6wAgniDRDfoRMPyR33PCxrSD/fhd/a3J60IinJTQBaq7ew5uwQ1jLpxjz+hqyG7ZHm&#10;a6iWeqDqd+Y+Na3VGYcjovE/Y63GMg3F1VokU0WMZLUyJ6vLszJ+4wLWizOVtaC/CxYijpSCC7Ub&#10;P51IumFBv2P8fzw24cotEPjN8+fk6hsvyOTVN5CdhexiWNJSA1e1u3aTa9Ep0Mnd1xYkZo8NAvTF&#10;2t+67ttf+Uq7y4RSyIckJ9Koxf1uYedPgjkQbs78A/bpMUrJxpuUrksmEhqwf2b81l1+Lsw8Jlw9&#10;13iWr10nzW4ZtIJ8L01E2I7rmA4LlSIlVMqxzCLZoTCzk5ukEyn6vWjZdheygZkAM4bTMJgA8xw6&#10;2Cy9clU6Eb44MMh4Yi/iichMhg+K7jgKVtvHWJPNVTvbqLBEY3Ew4hP7++VuNGtYAz5Mwkq8CCvx&#10;xSuz8r0zt2DNWHLNQfRR7e3B0VO4Xk/r8JpGw3jQjcbj2I4OMZzKupUvQOgtI86nVqkro9Sa60Dn&#10;qlsqDGzt5d6oVQg+Yp3MQOsOKo3phUA0qKq3KM7RMxojnEOhcUcicQafce71GoOjYKPVybwExgit&#10;gbbiBdP2+V75Pa+hC5W8FFYbxtE8BpMjWTnU/SWtO6dXlMbYkIgUfhqSgdBT7xaewkKLWiTlWfct&#10;xw+HROB1xlBHYkNheyXBlakgi7+StgxGCqcEaYNN9NbVeKTShu9BIUZD4Yk9CkrWVTqt1eP3+hIP&#10;CrglO9deVRiQ59cyLohQVyP4dlMbTvlBFmgrFPq27j6U3PE98BSlZk04/KAOlvZ/7KuemwVDSc5c&#10;WZYmaCVtyBJbXKyVaXxI9+Bl1A+uQDDuQfBxG36Pc0hquTG9iG4WXXK4r17Ojq3JGHyUtUDgDrRl&#10;QtmSPHSoXR5CFqkI69DgDsDPNATpLQjB87dQOjG+IVcnVmE5ruNkhA2ZqCAmCQuymUiE+SygOP/3&#10;vzAJgiMCMdFEIYQNJrDtdAMKKGvWjb/VNw6Qw+VIrcn6guI3/l7C2/lKg1ypNEvDwpYMNOCnbg1C&#10;cQ4NjycAvGbZhWZRgyL+umb8hkBkoJtWYh063ayjru/Fp76EgCqEnGrnrtUp46yRxz7wKSSo9KNA&#10;dl6tWMKMblSm7TLeaP4O7emv87KCfxPiZv25hejZq1aOYczX4j9hOQbyWRxJiboQIt9vw4MV6GXq&#10;diJQzFrgvjNWuYXDfBdnYS3iLMNrF+jeQdINY4udiC32IuEG1mInMlLbUaLRwEDgf+C1ijTzS6de&#10;lcuvPyeV2evYB8RDWP/Z0GbMSS13Z57Bq522SnStJrcgoixUkuvIXVKZ3ItRQtv8vnONJ7j0SFpo&#10;kGOGs7po3SVpVkoIlvw7XNj2qJiDntuVWIR9Vy3g0mc6HTKwvBLdJr0jryk8AraX+fMcr/x+RO8j&#10;lHiijJluJzAaKKz8iw6nw3Bd3oGs0k3MhUc3XYUldxmW3JsvXYX35QqsxBa0Y0PtII5u6sKp9zVI&#10;9mCSzlb0ylVw2oOYeBKHB3PeLLEYhZt8596DMrO8hrHnkWAzK69evWTZrCi92IPn90EgsqEEkWUF&#10;WZzM5FxFMXoF3R3o4qSQteSPrNjxeSpENHvSLDWuLWBoHmp+7/e5sLFyBvaqwndFogzdpkrjUKrL&#10;/rAcW2nGSE/3mhni9VrnF4o6v4g8AOcTCu9ajQU2QlDTBQpvKP4G3JnZXsAthT/0Od6XmXXSlJoU&#10;rBQEboGq4ANvhFqS4E70TDHmgsYMxQKbHLlCaYvrCrQPtNP165KzOFOlAHBzh2eMorcYjtpP5DlU&#10;x9Md64OHOr7wU6VwQ27He4tr2nPMIhZ0t9qC4bGFE3SQ5Jn9xGp9I4aIWFwD+l43tvbAYkSiVmef&#10;Wo+ttCAhIFtcQDZAwStf9XRHEHCje9tlEe4N1go2wYUygBT5OSSb9EP4ITlaZiGoVlfhDsR+MKNp&#10;DULhzbF16Uffyq7OGnnmtQkZONgrc7QoYSm2u0+bD2vEAkbhYj2AY14e25fP6OM6bs1syqVJE46X&#10;b6B91NSqTMI1eunapjSAwGqx0Q3AmnogDcNqus2+OQSRKT7YpPDf41m1sMLMBcHjlvAbyKd9CwHk&#10;8Y0GGauBVbuKw0lR4zPUsiJDTTNIGKhAw1iT2q4B2YaGUcNTIzpa5PJLT6I7zClFRCujsBfLGA7d&#10;+2555ImPKyzgbzUByBIJ/xEIAosrUhhaYoilO0Uyjll/HNeC/vEMj0tGPFF3iNeG/c/rXQ/za7Kg&#10;I490W0EJzDVXPTUyGL8jEBHcGbt5a0hFtBZnkU48LdM3zuMCKBZArhZ0++mAxtXVBxcqrMW+kRHE&#10;XVu1ZOLCay/L2MXXESNGEgw2m00QVPabam7dMWLfjKr8ZYLB/ixdM/xYqU2/jxuyGPF1FJhcWkcF&#10;bdkVLmiMnE1BCqFkioH/qY+1OSvLcGYXQ1TPKQ2hQqk89DOscWM78a/tS365QpXmUgi9wk1VlTCi&#10;sOJ8bf2Jf/m4hY3o67aMx3C36YL0JnPDBruxBBvWJtKlCPoGk3gbyiQePDpkltwsiumREfrGzTl0&#10;sIHiCMG1H9mmB2DJDfdB80Ys0YrpY6+LdWJsZqIyOYZw7QItPwgL8aGjw1JB/JIlGJdhJd44Ny5v&#10;O7Il/R2wChHzYgxzBsJ4VeOTXr6g7kZfu+8Rl+NeR10VFViVh6ooeManIo7tp1kc/JMCyASeWn6a&#10;+KFf6KXKfPW97aGpYb4u18kUpz12aNYkBbApuwyP0HPGGGAz+IGWPnA83QCz7Hl6iPEpKvLWWUZz&#10;Cthlxjtp0T3IOXMsHVd3yHZeyav8JOG577HTkFGWxT3Tvf5X4KPhgo1uBlkIwLjCv9WP3VWs9Kno&#10;bzTjzzPsCty3NRr04vn4RKNATmMlD/Ox9Fod3vkceVqgFfeHgPd8PxtnE3YHOvhsLYIPobZ5PJ5L&#10;xQEWM8rM6hvRpL6lA9YirMgOCEfkSvClIrEJSH3v3hY9Nfv17SYZ6oYAXNnG7yZknCHojYfsQ5nE&#10;HBjcOmKA80hkQaYJWjHVobMCAq6agYm4IrKx+pFSTY3JNshe5oqxv5ZXNuUWkms64ZJcg3ulr7VW&#10;Tp6AYDxhMcd5EMtNJN1cgZV47iaE401ojqgpnJxagxsPC4XAYcZVI37qGLej5ggi0TZDDBviqYaP&#10;ED5EJkKO2pMjbh2Sb2rwHfd4dqdZZhZhzdYhm3JhQ3rqrstw6yWcz3ZJ2mAFrXV2y/NPfgbxTVT5&#10;0wr1BdHC261rkQ/85C+gzKMLySiLELR8OK0/gNQzS1UAqvCjZRhuUsYVLVs0eqJSWJqpFKUZJvQ0&#10;q5SwBJzi8FrTykyLtXiiIUk65scBH7BXvHGG4fTsSGkWoaOxscVg/kEQSghwO21CK4dLa3H2lty8&#10;+JoSQWc//PSdA/j7DJZW0X6xLeg/SYFOV1V0ZFCYOd82bChn5gzBkTu1tVJiCpIN8gxt1Ig/kbPy&#10;urAY7QlGi0lE2Pr9Hvs+W6SRrh9zS/zSKNt/MvNQAUKaI+yUqXHA9I//EURvv7MYtL/S7BOTyvc7&#10;G6qGU5j8vFfnZS5SA2Wsk0zImL9Bit/bSW0FJAw+hjGJfcb8YjjSKgvzFW9x8Qji+AdA17u7owiZ&#10;rCMHYFEtuYsowyCO98ObcgDW3F64TWklciLMNbDxHIYulOjC3IGQ22ECD2KF+9q2cCB1G6zKJnhb&#10;IPTgdeL6WhBr29+Hz2mxwuJcAd2vaKs5EwW0iApI+qIChzGCxhBpkZjiaKEORZb8O5pm+DzV4FLg&#10;5HMl6JmhkAwrULER9KhUB8u0EcKrCbXL22DAW5hjF5TDwX0HpGtjXN2eamXqVtGSRZY5lscV0qNF&#10;5lyjxzDxZB7uB9uqmTJK5V87ZPqmBPaboHGUy29sT9PnvsMlDRAjHE+trMuFnS3XFQCjAn1xrLg+&#10;I03+MvEOX5DC2vY8iz0fxzEt46o/IPEbx/rMkGIK+O2xXp1kQt5ygoZnuiATtKrAYP+V5evQLLXY&#10;Qm3gMg4onxDo984fKEX3qjtbLTW++lF79y4kq3CDmdHEE64ZWN+Hk7T52UBHg+zpbETLn1rZByuR&#10;ZSxfemEadmIDWn71yC20GppEnO/4MOI/CUUzo+XDbqAV27denUSA3FL333asC+etTSIg3ynXxpbl&#10;bXf0yl19jfipk4/dScFYK7OMM8GVeQGu1zevr8q5aytyHZbj3OyqdupvAME20OqDtsVF71B7AvKn&#10;gDM3nYgNF6qeicUNBqNm4WotBBAtt/ktuIC3D8lVQK57cVoGZ9DqbeOLcvHCqwAmtMbCClxH09x7&#10;nvgpufehd6Gv4Iq6QdXFqb+hCbJ9El2iyGo1C9CEoRXlW02iCUZatVkg8jO9xj/TjDS6QyOphgxN&#10;rUZH6FCNCosx+eZLrcsRnsqIsg5nTMYcTTsNRpksKmelmYOatWPZqDjHDu7ThakbmnDB2ATjRLQ1&#10;bXh7hglVe5+Ze0FlRGWXL/7LsNwnU9hQBTYRsR1hgzg516SFOgOIa4IzJOZR3htslBMxxmDPDos7&#10;HlAKLhcfTpNZpGQ8zzRfLYACBlnrDq7F52UvQyyWjdptGQkgvqs+H3Vt26h2BfHC51cl+YhHhLWt&#10;MSsIButYnVkAhh7GP03xY9PuTfzwu1Yoe3eP9sl9aOxNK21qvqLuzTNj8/ISsk770HRjP1qu7cHR&#10;TWwNZtkLhmGMSW6hnGN7Y1U28UNaUGEV68TkGFMLNkq3JpuNN4JBtbMLDtLmWe6whueuoM0cSwlI&#10;I+YONaFOHDerif9kXLKaPuPsCS8pZnSdtnBN5uLuc84UslHyQG8ZLqxjkTriUrV1WBcYawPyCjZR&#10;F7sJgad0gLHXcLL8lVuT0l2zplnlTbiHwmwTJQ/kf00IGbHBANut0Xokw2YSiwpbTTt0GlXF1+mj&#10;oAnOMGSFoWvVRuv9xuCyPWY0zo+La11g6fPi40QOZg3bUIEUhj8+dImSaWxHGUf/jLM2fecBKcZp&#10;34fgtPmFYkNF05QhgwdLRFxQx/1qAAQRGtIqJ0tb7nanLyRctSYr8Y/XV0I3kfpxnFyugVpMkkig&#10;PA0X0bBhfRADuH0Qjuq7pssD3x9Biy2+eP0jd3arpgaXPazHRpRRLOcF810BC75tgCWGuKUsQnhI&#10;pVYu3KqHIEFRKxsHz63Kc2dm5LG7+pFQswzNsg2nda/IIfS4bO+ulXv6O5CE0yFLEMyLaztyCbHD&#10;MxCKb1ypoGNLRaamoUliLMY46HtvpvBgBFzhCZPYD1+Ehx6AsBgfYwkEONfZAKHFa5ZrB0FwW7J9&#10;9jVZWKyoJRYvEm4T3KVPfPTPoVHKmjZBTgWrapWxsJPaEWOqEA44ikpoHbLekEKOyQMUvHxPi0nd&#10;pXyuJ9FQSHrMMFq67Wg7NwpNbp5ZgUrIrn1pZqIiSRCACSD9XK8zH34IOyUeoxN9UyJvZgolcRmD&#10;tgYAeRQyFT33Ljgp9zuUBX2uc1i7wscIsWHIWCUmdD5G2o79SgL27PjIv09b4s/Q8pbyVYwTo6SF&#10;5/HSPYlhKuuJ2VaNaHOJcfP4mRllPNGd0D0JArANctL3ZwQsI5LDfQvCDtaVOJPfH8zD4VEymIJZ&#10;Rv2dwo6fa1ZyAUPdnwzmwAH7JENSZ+iMheNovI/4yKw1wGyY5xWiY8fuyX2g6U0ZRyb4+PScXDl9&#10;Q0sk7oTrky5CljLQQ0BlUo9cQ9kSzCdzHyp+ch8N9oEVsYYtnyhDG62Qim2INfegMT+tTQpEeE7B&#10;q5gow7XSKxVYY2tRnFU0IXM3YUjGqsk0abmxd1ys4ZTBBAl7SBJrR6P7hRXkTeAcyCZZ0xhfPeZQ&#10;hzgV6yyNjmrQ0GJe+moqmnC2AmZZC/cvY+M1zL7Gc8Eq4U6GgaGdpYq9TVA3nmmz4SRuw+NMUoaL&#10;sYB0WcbGQN5w5gbuJh9AwCmWniRIWPEZjiXmBmyyezOTSfCPKrXX55h31pcWgtG5QGoown3Se4zv&#10;BDbab7qbvSG35ksU+8ZrQ+ipy9b3UnHYFmt8r/AK4J76EcT+OIxVF9nvdVxYYWcKVowq4rI0AS+1&#10;GuGKhIChAKSWNgyLsNSb1w/RJZbwKEOHY2OsPbD4Tm5bKQI76e8fapFrGGcBJRdMmV6HEJpYWJW5&#10;JQRBOQcIDTb0ffHcnNbP1EM696PDzJHBFtkLN8rj+EHJvkyubstFuE3fuLIqp9D/9AIE4zg65a/j&#10;7DZ0eYPXFCUbMF21rgZuGGVIAMwOM8sgeNTiUssQQhHxvY7Vb8nZG69DGOZ6PhIl20s9eP/7ZR8E&#10;2cqNc9LYNYg+p+i7SH0OEKZWqsW3kKq7apFqvQeAj4JxCkYm+qhr1FqsaTE/rmGnGbUYEQhXi1At&#10;R0BWN5q/Gegwq1GFogZII6OUAI9Ndzepk79hkQtDZYbOFhR3CkZeEFeiCf9MHWzKwOMi/g7LpfjM&#10;HD1pz3PX/vgoSNuuUXgVGGLEH4zBySgsOJ1qIViTsMD1cE1bphy+Z5YurWWN/Tm8FN4uaBQE5jKM&#10;spJwE4WKnVmTUozBKS/L4RYTf6tgC+3ZVutrdgmky/B/knZcQCFr4KV9rptYPDcmE9eYS9we57/1&#10;crcAk/COcZxZZFBX4YJGxFSBsbUlhqxDmiWlL8DUXHxU0FCEDPgf2dMuR0faNZbIWKC6xnFpLSwf&#10;0oLKF1WmbP9Z8rAFeuQPcZ4tFe2ptL7oUSmsEsbxOBsPAjZh2c0ULiguZqtDtisDG9Bnb4B3kF3q&#10;s3FLdJLS+Stc2N3FcMz4o1kRoSpS4LLpRgMSwvpgidasTEsjwgItUGYpxHc698hTL5/Dz1lZBp9c&#10;0v6j6II1MiTn4dF67ESX7IebmHyFXS3roWBvYf5ziKxMrqNUDMKxkbV7iMFHLC0jme9rQYg60zDV&#10;DfgOJ6cgt4RijKR8ZYQKhE3wDcur0ASqcbsK5w1xk2Jb4EGSQ44tsX9BzenBvq8ZCznbUHncYHIL&#10;1h7tXo10g2GjzkF9nXlkhU3wCr2G9B83FjSs45fCE7Lh7/53v4ZiVpwphqyvVvQZ7OrqQC0f6oRw&#10;0nU7NrEZSTAMu3EYGuv8gSdCKkC4HZ5thkQYdXhQM6KQ5G9cTMtKC9OdOMOn3YKL2JC7F/3zaP1x&#10;s9p5UC8E1OhwG4Qifvqb1aK7icxU3s++h5euTkk/AvHMUO1Fsg69MxvKiA2Re0ARjx1qk3cgM1Xe&#10;A0TDvC4gwea1Kyty6uySnLu+glRtCFYk+DQCQHT1sv5+F7FNxS26LvGGJaUdDchKO/8tdM9Bb7mE&#10;CGCrYLDt7X3Ssv/H5VuvrEjL9qsg7BV0NuiWfcfulsG9e7VjC+sQVdeEACdTNuFlxf6WLGMErxlg&#10;qhGacKT1SNespWdHMo1ZiBZDJKQp7Exo6hgUhBSsdKeES0Cp2TfakcHcC6FhGdNM7Js45Qwgty0L&#10;UeHoqG4IIpYnJqV9DTeHMbYScTOT5+eudbvczcIuEDkAnSnPBJU7RQOhyUT9OQxp7zQNYO1QDFbn&#10;tIOOuZX4OBKCNQyg1k5rW4u0mYRAa0Cxxmu8XKBn0VJQV8gWh1imPGPU6e98s3+WZ+kk6CyACzAh&#10;XP0qr7pN5qb1xkOIAyqjbBTzdep+cl32TpE6MzzbApPA6dGFC7acjA2qnyQBWLhdw7Wkbnvinwo2&#10;4ilo1QWUxrfol6RLPzFiTpqfuW1CuEOhroOnZGcHcTWWXkAY6tl9qugxlpM9DfSaJC0eYzJqpt4U&#10;Lgl/t2AsHue2CwFD/sC4Jt2mNFo1XcXBp/08HQZRAE8PGJv9N2nWJiV6D0q+ULS+MYu2kqj/JTTx&#10;zzIyatehqM7hGKrXL1zDwcgTcNc2w+IdhjdsG2Uc6/LkqcswJGrRowDZiR1IwOtqkyl4tG5NzsKK&#10;hRLfD+8ZCI7GRis6PTVuos1gtD+jEp0o0+gpPApuoDol+T4mZdQoOuGDiXe9P2Napi0u6LZ0n8wP&#10;9LF2b6hBibbDenWr3RAx42B6nn4cvCHPQj/T72JW/gQXqqmHsuM1QwJ2qc1A6TZwStdg4wX+k+/p&#10;Pdk1lrC4hEd40jhc/ZOvfVp2cL7dLqymRuxKHdqfbaN7ShfqxnpwikFXW4f09PXK8PCQDOD3wBB+&#10;BnuluwdCEtmTLe2siXHhiMcR4dgdYRuxOgsqm4sVtRhaS0gr8r4D7UkLo/a2D4H3meUN9DlsxbEx&#10;OFEBSSpsefbgsXYE4VfQAaZJjh7u0QD0JsYlMqtB5xopfzF2yR9qn9OIU/SgW8Y7DrfjB8fMvHdQ&#10;pqAinoEgfPFCRV49uyCXkIm6MAu1DOTBVmw8EUI7KgDBm5ZelItXXlIt17RWYy47OD1h+MhHZKv1&#10;iNzkkUlbXdK7fUNaFk/L/Ngt2W7qlWb284QS0YeedkPD6G2HEyCaEDvgnjDrbZc/tIQhCOkmtRih&#10;ZZSqVaiNu6kdUhAyW5QaNBk4BtDYoAtEzocxBRWEfJHhkSGElsPrMG+1gFxAhSanKzJhlkguEMq4&#10;lI4YaGdv/PNEHAWzTZYB8S2TXGKgfnduD1dNFIHc1Ww8bnLhazRpL5+Pem82lqDYzKBmc0U2qRyw&#10;aQGtaVSPbqOrfGMdYlNbM4gbrxQdQEhYhSKga7dZGI0Rbr4OX5u1t3Mt1Kdh2YS2lqgn1HFoaeg8&#10;s5bro/s+8ZL00HJROocEfR3eNWQV7THLYByxLdXPsYbelI2h5tz2iHiKMh7nFzpjMhA+FCty+ajM&#10;KvbX31vdomnUaU+0LaFFcTK7wvfKi/mPf2Mcy8IvahliHOAxC7vRYAVfWQcnWnb0b/JAW7XuQyjS&#10;yld9jv+opo1HmKpNh3jgGOP9rEFuh+uRz2DpBwXPNhRJs6oMJg2YNzPPIYYxlIcoGjtlAfc0r01p&#10;vG5D/wVtwtsArQrJgjj1AXf09HTLgw8/KHceP4Y2kVOaUf9vvn5W9h3cLytoKn8JpUdbSCTsRFOC&#10;yVkcn4ZazB3ERI+g1KQDPZcPjO6VVRgEWwhJ7YAf0Gqmt6sNNdrMJmUBN+lTVV/8ozFEnXrENw22&#10;Jqq8tEOhG5THfXRRZNuqVyYadeFVbm/JKwxCZr5EnaTtbak86SBvcV9mlpBtPdt5w7nwujhmZtJW&#10;2nG81YdRIQocCiaQkNYxmYJQCVevVexXHI37jNYc9WL0eLTUj/7Ye+XoQ48iJX5Rzv+z34Qfe0UO&#10;fuJdMvvV55Dkck6uoWC2ZhqB3KeWZB1pprRW2pBq2okOIO2oxehFFuVedO7et2dQhvYMSJ8LyM7O&#10;VqSjGq6RTaM3tmpRG2wQ6wFvauhsuMA4QRcC6tzsA0iqoTA7itZeN1Bk3wJXaBtaMPWjhogCcwBn&#10;EXYgBd+0T4WBvhQG+PvNq7N6PAmZ4jq64Jy+MCWH9/eoNfvuO9rliTs6ZOujw3IFNYuvnF+U58/C&#10;fYrfk+MI1kMm9nQjzXYMViCOESozDLe31lBQjsNzT34KFiiC4rQcW1tkrfaEtA8dk6HmJRTmL4Fu&#10;N5FkUyNXcdzN2fNoYox5deBA0x4IxuE9Q3qIbgNq8ep5qDBqWvTUCiQJkDgYI7GAfAg3dvY3oa8u&#10;Kk+mSbvH7Vak4X8eE3Mr0IDjAFLgkPFzJzLgzGXgTM81SrMXSwZtjE4Lfn3MYK3JEvFNMIadmXhY&#10;e1ZvZORTbJmTREJ5I6a0OHeFuOtMEVgJ3rbcmDPOOUSMhvEXdsNp4fd+9BabC2sf/915MNtVyDwe&#10;5OxntzlFGKEGy/Z39mf6NBOkv1MiizXmK21eziyMEt+yWmNBIWCDoAMmGT6G0Ha/fhrCMD0uQ8l0&#10;jhBGpjCY/E7QdxlmjL+09Et+qBAtted4hPIbG8vmEgRHtms1cokIS5zTOVniiZUbZOac3NE+nDJw&#10;/KRC70hqgy5Tj2QYjSMyOUVd3Ygt0nXK2Drjz/htbcH4DNJDjn5beNrchfRQNUHKpvhYUqC9dEjB&#10;iG9R17pU3wkBOItEGIQ52ImFvTcxzjoU32Yq8hBYQx11OOJqSN6c3kDf1BX57EuX0YCgDmVEHXJs&#10;X5/88defUmHFUzwa0aO1A3HFPiQLzeAklovkaziIYHb1ppxEW7A+eNxYVsRuTrRu2TCETfq3sa4N&#10;nmZPrxtmTn6p7eDU3W+WN/M3GiBIeRA2k3PsSKfwxBEkjJI67H3vLLPc9tOaj+ub9Fn8nTHULvHN&#10;Nvpzd3npdzC0N5zN5wDGfVaKFyI78CYEk+G7MXFTUkp/p3mEgv5tKsb1YlI6NpV6x9VywgmVObZN&#10;3u/HmMSxyheelrM4wPVdH/6YvIpK95onHpWP/9hfkS+cviVnF2blg7/0d6Ttjevy2S9/QY78xA9L&#10;88VbMv3si7KGVktrlTqZHKuR107DEoNZX4/DdDtq4EeHe6AXVuTQnhEZGtkre0aGYUkOyBCsyB4E&#10;y5vYAB2TYdtf9h1cwKbv0JkPJKTQ4GZSExwdQDNsXMiNPzyMuWGDGeNjRplagcUu8U+2DBrF+F9/&#10;9jJag7XKvYcb0MllW145OybzOCXj4bv3Ik64CPdvu+wbapdPPdKPHxTyI7J+6vKKPPPmqpx55WV5&#10;/ckX4YJNe67w5J7vv+enpa5jBO6ReWWo7BbB07vH0EfuxhpcHzXdcqJzWQ6gf2nHQbhu0cVgDSi4&#10;iO77C3ML8ualKRlt6kA7OpxbtgEXC050b0fiTEfvIFzPvbBGIaBB4BSK2/x+mxofj1lxxqsMxeBk&#10;FUMgYE1pUwmhBG4F+YZEmsiizMeYoyd2FyzcUNL+JfPgou3+xOZ1bHN52SuIJqiiYLahiTi1KKK6&#10;5ZjddTFOoGk18cVz7SnxUMxPk5OMEGIWSgSafWjnMBr1uQvaCVLpSYWfMcMkWMI3pusJtmwbnZZK&#10;uCQqtaemsMxt1lGalVt4GYYhtjP04liZIM7iG52ffq5WZyLfaqClXcgEkNxLztTCMk1qhbtMFR4O&#10;WfsumXwmIBLInWForCVKlsPBRVjavbFug5p7H4g9qnRRsCaIV8Off6mb2mhL150YmPX6NBc+r6N1&#10;iCvQKoxxQgpFNq6nq3QHShAPxFWLyZkgvyc86lG/mI9I4yMyPhkq4flqSRLWbDuGY9Ga+6QBtNfa&#10;1qO4Vs+kOSyScfhF0DqPP5rAWYBncMLNWkMnstRPo0n5JI71qcMh24t4yJL8/qVrCCd1oOAfZV2w&#10;AFdoUWKsJnib3va2B+T+Ow/J6uWX5eLNCfnmdRyHhZKwZihx+/vRZOTIgNyLGkqepcpn1aB8zW0x&#10;VYa3wU+0vyuMERoLFJrkoyzP2GEbO0LC499qQQK4tGPZGkyPZFVhak1FyFstXupk5GJFd8xxz8jE&#10;FVJ9x40gUzG8TtTiClSkzil89VLGdquxxIc0WiuEsDlWrKjHhs+CMJIAlQaVp9k1Rp4ZoyMRUKfJ&#10;a2kJ6w3VynaiSgrBBnRx2EZH+KXJKWl4+11y/B1PyC20rNnt75Suv/DD0jV6RBYhBGthiR0+difa&#10;n8HEr2zgRqYKg7kgUaT+J96DA2UPy+YLp2TsyhVpv+OAzM/OyfVTX5ed52DNIKW4rg7pws2d6GA/&#10;jB9YjXCv7oVlNALrcWC4H1ZWhzThcF0um5vKjK9lWI3sEkEW1oxdY7+SVrgKvJuSbolGDBy3GYMb&#10;n0a/TG4+5tbfzUL+VllaWEC7pUUQxaiec7hyax5jIxi/NsYL5T6cnfYeBLL5809v3ZQvATnNzcKN&#10;QOB/fUm6Bh+UtoPvQ9xp2RNOMVfGKJQRszkuTo3HPN6odMvVjTY5jlMeBmYuSx16MA71D8uBfQPw&#10;8DYh0QaEiwVs4Lk3kUk2hSNp5OIpNCTnAcQNMgjYDPCIEPT25MG6dXVwHaNX4hYO393eQmM6PfeN&#10;+ONSmpvL9WvtEi09Z57uZtIYnro+jXEZhFVaVCGPMUf3v+vXYfnp05zZ+a02gTRMKTgMHUOIci4l&#10;4zEmeruAy5/YtUFYSUgUjJTanhGazStPQj9QF3JZ8G5XmMVrq7ZnZAHks8E+V3so89j52qob7YFk&#10;vPbO/45ZxbqLL/xt1fUJVpxbuGjLZ/u8SfAhoZxxOPZXP9xhktp8FeDPEs63j54FhW2O84as5KB6&#10;zJdekAWls6h4isO/amRlOnYKegHzWHQJFmfWxj99dbp/hjdR8B5oyRhuHePmCF/sgFbUatjF8U3a&#10;sg1CAAIx2hPq41QokvHTbcq/Da7adQoZ4vQa1CBrXGv2SOcNaP+IMfrQd9isKgyHsdmUexx1sjfh&#10;3ryIBuSXJnCuJhTbNpZtQEBToWXZQy36CK/juKZannWKXINexP7aERMcGdkjw0P9+vnxO+6Q5p1l&#10;lBe9KO9/vE3WVmvlH3yjIqduofRrckm+c3ZcHjg4Jj/1+Ak0H+/BOZ4IjahJS8VAZ234S48/45+h&#10;uCA5SPHb4a49qrDeLfzN2sRthHZYc8m4K7NWo0E6468URFYuRiOEFQFmYVoYy8JZFKTmSDZlJRoM&#10;xM5HNy0FO69y9pBgnjClsN90riaOVJgpmUZuQUklwRcyxdtzMq0Zf3MRrBYf5xC2Z9CT44RLYYUY&#10;OjrWt99zhxw5eQ/KJbalC8etjH/+K/JDP/+z0nn8iKxOTcru5LgMHDkk7edOycXPflEOfPgJqZ+Y&#10;k/P/7t+j4r4LcRh2Nu/ERo/Khc2XZefYqBz41Cdl4UvflJ0rE0Ay+BgpUGCub26NyfitcblxHcFq&#10;Zp4yFsl4GTSYfrQtO4gWXUeOHJHRg6MyshddSeA+6Ib7kx4usn7ILxWMm0AKajjMDmuicPRsVW5m&#10;T1eTnMBxMhVcd20CXWDgv2+FpXviOIpxYUW2QIjOIWYI3Q0t0eaR9ryjmajveugQXJJb8vnPfgHA&#10;Y/oPtE9qKiCu5q5ReegT/42MQbitLS/AkoNLhEwTyLLNbjRMWMFyGNyGs0amN1FmsYTkokqLnFyZ&#10;lE48Z3foIIDdhR4DSMSBgG5Fgsxdx++W2rseUAG3ODMp49cvy8zYFbn0wguyWVkA8sFN3NGOBgSD&#10;EI5D0oujkdoQo62pRZwT89pCcTHPGuR7851T8yHB8McEYrBOy1QNwWfXBJOy2CA1tsAq7pezOxVi&#10;vM9/Kz6FxWDWQmjy1YjJMQqBa6RrTEjfx+xciKdxbr/OhMzt4k6n6shsUsgmb0w7j6+sWImNX7sL&#10;5Xb55PMpD/4spX6cXpCCCsV8/FZfj5N0mly1uIv5VQlgF6Ixez43t6viH3ntzKYMCCaBWCWCXXg4&#10;NBQqOoTBwLhkKDessQsB7vCJzQztPBhuWqSPo8+Msg6Dfemaii2I/pwG+2JSAW9X5WM7zA3muGZm&#10;gY+btXgty6FAUA+I4XAtBFAj3aYQiLoSRU/G2Rjj428KSfAMKKHsP1nL2J7iAiN9ULKhUJLWFjBk&#10;F3oab0HZvM4uOfAaXUL7OHa1WYbgYDiGeTojUOAPj6C/MXjVFz7/BZnH8Wqjo6Ny8MB+hIf6ZT/e&#10;D+F8xW6EQRrhgqVAZbiDYZCDh4ZkdrpWWh/5oJy/fg29lKflR55Ad5lnzuLU+SY07wBvgq77O09f&#10;kKOwDN9292E9J5WF+WbVRfzShJT1KzX1KYQTBYo2hQ7C4UY0ZEGi0AF8Cb0dxGXZE1atS/xwfdug&#10;fXb42WCtIpP2oLDT40Wvi/Z05f4xuU+T8SgkrYUbO+LQQOFuadPveFXto2Xhp7CJCixznRf+p0zS&#10;nKt7mFxOKlLHEXQJg5k3kVDM1Wp3M0SmrPI5sxgcHY0S6xd+64/l8t6XwdyXZf7adam7Y6+8+Ku/&#10;KavXIbBOn5Ibo4j3NXZL0xA6wN9zPxAGAMOBjgM//kFZfeWs1CzCwro1JWfWnpX7fvrHpPLvPi3L&#10;z7wg7fcdl9lXXpdddJSntUUgsjMC2xpxP5p5HMg9o/KjP/ezsoq6olu3rssYsq2e//yvS906hAx8&#10;pu2dXYg37oWVuU9GD0C47od7FZYjD5QkHlMw4lBmbf5NbZD+8L7eVhmFq5OlFUyTbkMLqGmUXDBt&#10;ug3Cawma1fnrc9KKHR+CEN8LZF5FgSuRaRWZZGst+5CkA19+47L66GcgIH/ur/8/5Z/9/R+WZ84v&#10;oCv+DFrELcrYrRVNCW9ij0G2VNNMOURJmOUFIJP934B7eKkyJKPzp2X3zGvSiuOWhvYdlN49+6QR&#10;vTnpymCNERGCfTr7YCXX175DCYZdaOamxmTi5hUoDpfl7IXvyQb6mPIIlh4I9V40uR6A0tCHw3Qp&#10;GOsQy6AbhG4Rdq/QMhC1Fj1byjNILZ7ggkffUfM2oWa82xDD3A23c66w2eJzZ8nKu/wzHadayhiD&#10;D9YfjNwwthTEJtOceG0SyqySgHCiSsalEkhhIaVF2IVpFqpmZjadvIzlNXG1CgbCJ+7O8879Fzl6&#10;9Xri72ifVtjO/hQbL1aTpILJufTS71UQ+uea0WpWVXl3fr7BMAhbr3Jr2Qbm3nIvzX1k1xUWuQHX&#10;pKWC//Y9j91zJqqXFTuaBGZeXczIhs12fgkxzkCtiaqdikWXHzMppgCQT7fEUxWcxAO1IPGGnJjX&#10;4UBv3qpHOIHOeLKEZq6zXEkbUxhcON+dWniqkEhTC4vpn3/ptJy7NaOt4OiGb0Vv4W0onAs4pfwT&#10;n/iYHD50GMdPDcpwLxL2Du5DW0dktO/bo4mDfTinkUlvN2/elJvXr8vsPM5E5RFPS0jgAm0+9d1n&#10;5bFHH0C4ZlDFWVs/TkNH9yzWHg/sVhA7rNeTJphI89lnLuKs0DH5obvAL9CNiafQ04LDCXceJ/XF&#10;ObLQWgtl1QSTWXTh8rSMfcBFhZlZdhpTVMHFmIvvh8ZfzJIifMBVVGCaCKZ1yYbpbmGqtYkOQZrR&#10;TtMZnbjmcGo7vm/DAd/NcBNb9x4TQBp0ASw17AX3cJ12yjFL08jUrUylA8N5U3Ys05nkYHPxGKNu&#10;n9FIsvwVHobnZZ0u167rUp6iCKN4Ut/V82OyNr8Ma2JNevY+IjvIYHrz8xCGdTh1oWG/XP1fPy+3&#10;kGHF2NT1V8+j0LNZriKW9cCHPoTkj3G0UZuV7kOjiIEdkvWZOekcHREc4iCDI7DkDh/EaQXopoDF&#10;EuHZH4+dEtRXjR2ZO3dVxsYn5FP3vV3krrfJ1/efkslnX5AmuGe3gRA8+ff16Qvy8ssUKg3QqppQ&#10;F9Qm+w4dksOHD8NqPCQHD48i4WQQ1h5SrLEmyDicTwjCQc0hNbANIGQ7MrF66IJE14Y79vfKUF8H&#10;MkiXZQoaXhOSbjp4kgTuHehrlV//1X8s//OvvFM+8+9+V26+8g0ZufPt8uOf+DhOUF+Ue3FixuPH&#10;DsnUJ7blm6/MyRefnpJTF5bQ13VLU5/rGNNkKzclPSA2XKSr0DXfkLuQal0jA3AVX7kKG7TpVZwI&#10;j2NtRnGkUWcnmlSPohSlAy4enAMGZKJ21owjn0YgMEf3HwDs3g0Cgssa8JjCgbUTNy/jmJor8srp&#10;78rG6gKsYZFeCMZhEOYexGEHBoZBuB2YAo9bgQLCQmUIVi3XoNGqMUa+zHoMl4UpXOZW0HQGF47G&#10;Fg0ZbW2FCzCYoPNOc2MRv4Lplq7UbDFkVmvImnhhMNlgfAVTDpaZxCzxOGjAZ6bMT3l0wVCdEach&#10;ff7K/4JJuzBQcFQxXVtPyDyzNPlgu8jmZDAxgrW/daWxLJ+nfqlAtuUmQVjcq45HnXqOh2g9oysD&#10;+c5QNVyNUMI31mACr1RsfFCHrT3emBqZT6l3GEBth92uTSusmrXDyfiI6fAJTCFQy3Vz2LSB1dZ9&#10;QDG23sBooxWqAACA/39LUjsKAOZBqby4xWB5orYOjklGz6QYpBIn5cYsZGeEoAuGF9bRnPkNnHSx&#10;hTrh/QcOoJRhr3zwg+9F6GZAzl24jCb5y/Ledz2KrFAIOgy3Djfo0Tvv1t6pFE6atIKx5mHNsfcp&#10;3ZEUwGts/g2fJE+AuDY9Lzdx0PG9J0eVRptx5mkFjcL3QohuVRYhQNGPuQkHF9xahHCqx2ketfLC&#10;6WvysUcOI3EW/Iy+TcMuXSPjbVrvTGEFj5S5QOnuRMIdBDjdocyf0AM+cK/hPJufMKbKUBMT8e3o&#10;KCrypH4TntE4xeKICiqm6+A3z5LkYQca063CYoN7z0CbPpexZBVauF5T8tTqRGtMnARSAY9vxQk9&#10;neBbWq/pyojuuG6eh3EwIq1+q+M2mtA95WHH/I604YqdwsUT6QxXC2GHhdFFbBhhiBgCsn5t/uuA&#10;CbrC19C3TkutFUdTDGt7oBo0mlZLAZOCsiKbkxX09qygNL1dzv7684ixbUGA9MuN3/ojWDf9yDBd&#10;kA3U6Bx7/J2y+p0XZOaN0+DDcfwQzXZzGZJI66B+dCNw/OwXvyhvv+8R2cQpDF/93/6NNKDLfA2Q&#10;iidhsGt6Y6MRNPsN7qLVWtv+UTn71PPy+qtPYTBkVOHkh250Cz9+/E45evwoBOMB2QtB3IXGvpAB&#10;6CQBoYjsmw0IEfrTWzG/0cFG1CO2a8s1ameruIgW2RrcsiPddfKP/9ZPyV/+mR+Xv/Rzf1PufuRh&#10;lHC0yUs4KJR94vo7URYCgfpjDw/IJx/rk+eQWfr735yQp19bkC1IYLpIG0BwdMNsU+OiUACmbfbf&#10;A23vqDzYviRrEHiriB80oLXS0sKMVBZfxQ5RO0IvG2Q6sslrK1zMPBCXTao1SQDoSouv/dBROXb4&#10;CPaFp8vDjcq44vhNuXHjKuoir8iLZ55CDHMZR0bBlXLiKFy3jWhpN4SstR4IWljQNKFZVwfByEA6&#10;i/iNMVtSgwkPs2YNwU0D07+dQSp/SYzcBYDiZwiDakGSEnWUfO1GQ8/8V2JsVRKovCbuMvTWlzJr&#10;f5vMQ+fOxWSNyTtHDBLwG3NRsY2nzCUxU7daE6N3weTMPK+2tPtUjNmJJ0ZpTrZxU7D1wl7WgUrY&#10;GUO3/pilk4jj4TN18ZlwNqHMuA5/m46ct8nnlYSPwTBeBpNqm9W5nV1VbniyEpyNpP23Pah6qk9A&#10;fxX7Yk/2GwP+OiVjfNbVI0YzZuXsKs3ZhigQ0d1uVbWIDrMsSH3daemefsFnQXDVdQxL48AB+fKT&#10;r+AQgQH58EcfknvuPi53HD+OZuLI1qysyL13jGrC38YG6xi5P8hPQHY4X2zyEdY2vTGMD/JRepgv&#10;XJla2qDWKRJUYASsshexxj5pDYHH4uxW8p8t1LTyO+Q8y6HH7pGVrjflGA4Kv3bjunz55SvyyCGc&#10;xQihQQHjDgJ9PmkzmpnYThjlZkSg+5C0btm6/HYbpSjmCjWMYekIk204NstJVJGCVWHHvpEXI5nG&#10;G5izUTWfQavaOv3kx2n+NXMkdCtN27bOULwGYgjSdRC8VwUjE5vAf/hek35caaAQpwDX+XEeMH7Y&#10;V1bPkMV+beK9KaZ6KJa6XvWABdzH1nQUkEysJMQtW5ZzsrlmavJJ85qamkUsdl4Jia9tdmnBieCc&#10;Nc+bq0HdYA06ctTXo6coSiPq6sBIazukA/GpWqad46GtmOgaTp+ohabVgoLli589jfWiLou+bGQ5&#10;1aC1kLnlGKA1t+EOEzkoIM9ekW997g9l4epN2cQPtYNkEhN4WDlNa5rwzPS885Mfkx1YlytXbmrU&#10;dhMH2a7vrZPvnXpSvva1fw+3BgLSONpo/5GjCEIflbvuOi6HjhyUfmSm4iu4GtAQfIWWEeKDLNGA&#10;C6QbAW6lLUyQ/QjXgVRH+uvkX/yT/17GEf9sRDlEE9yqM/N4FhqAT8zMyw3UVR7FmWkPjrbJY//F&#10;UXkZR1F97nvT8u2XZuE2QXYZDg5WBshN4C5BCL++3CCLGy3y8OYsSiUGpBHtppoO3a1EQ2G0uboo&#10;qwtTsjw7LpM3rsgGzv4j3Bhc55l/bWjo3YqG3dQeGwBXEmU3hFtfJ074vuNO7p5qs9OzU4hTLKDo&#10;v1aWZ8bgar4lm5cvKEK0Iu7QgvtbIRDbMV4zz94CHFVoA7lZrxTtnEK/TyzH1GdCqjCG8mcak3SW&#10;aMw52JgTikLZXsYDDRHtWmOjiaL0fbYvjKGFdVRwYL8ueGshFounuUB3wXS76NX1KWPNbhsXLzF6&#10;mnE5+2SluIljTN/GUWNR7wro+eoKIW/sJzhIcGgTgHTlLwHXmMzAA2QbkO5Fi5/MpQXMtxHlSmbt&#10;2V4YrI3Q7dnlcw1eWaQWQiSen2BfZgIXItO6KbiVSVemK0dJsOSNNReouaxihGpRG/DJ3wfPdhGb&#10;4VLsoi2CC+VEHMC3fZ+nYzHtJAlCiBczUp6HOGH/ve+Shq5++dlj90snSrPIRMdvXpMXn35GJgSH&#10;EI8iVwGJfweR6w0bR7PQLfnKSjd0PunBFHyMowU+2QQ1ZgceVsFeboDO6JrlUT9rK2jLCNpnDXQT&#10;4prN6D5FxbwN3reT+4eg0FZw0s4Z+QbOeHwertGPPnxETh4Y0DnQVWuJbhzclS71BmQq4FdGsvG5&#10;4Ry4uuENTT7ikVtWemkai++9ZaZjF4XLJvgV+bfyc4xF1ygtXj3EGQpBJxqGVOD+1dAQxt/CiTts&#10;R2kIBN6L5gBM9tEzXHnIAWDJRgUUaJqMg7mwLzXv0Ljnzqr94WvZgYXE56vQ1LnaD4UgpcsWxttE&#10;Zr06rjgO5ks3IXMiaJRQmLOsRPcOL3TyNO2AmYlBnzSPNbNGH8D/2B8PJ7+vTWtnkU13i2lxN/zu&#10;dfWwJJHFuAuB2djzOPzXcEdu3sJmw7IBs67Dwjd3cP/2MpgtALDNTizoMQrTvx0W3qlf/Q3OFEkr&#10;OHFag63QSlRoxgG0ponAZJOl+Xn1K5MZ7AIRNtfXZd/jj0ntnXPwwV+T/XedlHPf/p689PxX5fnn&#10;YOUip7QLCD46ul9OnLxT7r33pBy54wgyMPtgcbJ2EcOiywOzwLjuVggOxvkYSO9DUk5TDYv0G3AQ&#10;L/qiXpyQIXTUaYMlx2DuDFyqs/g5enBYHjjQIQ8ebJfz798j/+6b4/LVpycgMNekHcFxuhe2IWia&#10;8fvqdrs04+zEe2rhdsGaWQvUDGuvHo12eUhkR/eQ1B25TzUeEsDqwjTO5xuXpZlbMnftIuKCCzAa&#10;UfeGXWnF+ViDe+CKbmuDYGvDPFvgmmmWvUMjMoJkmk3UNdWO7MM2w+KF62YV7paVRZzFBbfqLWQD&#10;bwNexC32NmxGs98OCNsOMIEmvKdyQMTVw0vZxYO+ZuW0fHK4TA0xS5Izpq/cMglE/d6Fp11tZOri&#10;4q3yK8mDgpzpXnVi5q/gaTnpxafhjLrKAnNeWHWyhM8iiN4mSA041hQrC+GsT01zdZGWL+Zz9S+D&#10;kzH94vpYvzKjzJzz6LFWEmqdKjG3piuw/mF9sJ0YPAW74AwrcCMN4vtmMqJw/fjYGcSlvhsLciEW&#10;26ULsO9MGLs1VmypWWeENZWDuJw44HuY1qzbbdq5W2aRlh4ATa5QZiEqmGjJ2sU6CzNrXZaUkjUg&#10;abwooOuD+N0Bzyz6zbo0fC1fVcKY7j90gGoAPTexoTVwvhmaxgsvvyH/1d/6O7LvnvfLf/1P/xHo&#10;qUM2l0GPoMXaBsTrkWnOLFBmrtdjH7q7O20RCicEbkDXZPCsK1QqgDHBmBn8bPITn/oJaQMv2UCW&#10;eRMUmS7E9ndkEKEfNHxAMlwjhSFiaRQSS+QfUFI//I4HNJu9GzWHe1DeZc+haRMA9zXGnw5HxeWo&#10;BQ7YKZwDLo7vHCtINGGECUNebq0IqIIixIRHIYKkmal2qQYU/QragczhB1/vRDkLxqWQ3EDWLfWN&#10;DVpxkAlj6BF9BS5hCqPD7KqDcFUDEETPD8Sj6sB76/VvyADwHcYQFVPUULN6SXoUGe6ynteMI3Ie&#10;TnfEWQo5nbPNnHJLhaQuPZICbV1WgEMpqia+MzAOqhLaSd2vUauG33EqlKqq7fBuCrgVuNjQFHv9&#10;OCyaG0j9fUNG73hC5tB/cwZpwPUQkLVwuba0Ifmjbh+YMu4H4rEstLkLZRebKDTfWsA4FfyuqEVi&#10;tjtr8SBEoB3V7WfG6IBco5CGZbe7tCJ1OMqpMjsrHVhdMzo4jLzjUZkF066cPg8E5WnYsI7WJuT0&#10;69fk5Ve+Lb/5GzimBXHFYyfutpqdB+6Vo3ccRjE7NDAsZxWu07kKCk+ZmYmDRFlTuIK01AMsB2GG&#10;GdbPc9MI4hVce2NyHmUeICRGlzHdweYd+a8+OSI//s4B+ZUv3ZDvvDADrZ1WL33jOHYFu3xhrUP2&#10;LM/j2mXZhgDcwjxJNOwtSOTfgpvSTHcU2kOAd3cPSM2Re7RQmFrV2tIcjjVC7SOONppdXJZLb6LH&#10;KYiqDVZeM4iIrk9aiBSSTSjIJ4I0QMmpgzXZwexSZPIqSsM6XYUmSqKuLMzLBOMVyN5VpKOLAXVZ&#10;HchO7YYLpqOtFUqKZbZGnRaz77RgWVGzdNsF43XekJg+V2Se+RA2wYZtDL+vkEQhbG4XTnZp3OHE&#10;TIJVdM4UHRWVOSDlTyShBO9UDkBmFYLbsNqo2y/05wXG5xqmbPUFK4h5Ka+JOVYtoBSUHDjgZQyK&#10;tDXQgxaG7ejeBKthrm6/1G/PSW8dIsxksNw9nbtSootaF7jOuFya2C8uQx8RksxrSXXnYqXZPlaG&#10;Y0P7BcbltBuR1wwG6NIlMVC6KcDnNYZZitozXSoazP3mvCEZ/j4Fu8hd9vw2lhI8Ky1PxbkvKo2s&#10;o+S6SxuUPLUNWdvNHShF8nQLuivHphfAxrvkfR/5cfnxOyDg+OpCAw6UdJ09g+N4tubAqaG0opEH&#10;a//0Yfp/7AEuxyGujWjO0QbBRa/TJn7YDIBHyC1MwZOFs0xXIfjq5qZRHobuXKDXLRz+ugwldWvD&#10;uhsNoetUPxqRLC+hbKrrtEwvriDfYVuGUWCvh4iH7HNXQIZJAI3b5mcwKuwCl916xHwj2JGkoA+S&#10;6dMlHH4llUXJy/GWLlY8zhQyo0P9Ufiy9Z2JRR6CTgHahHDULRyqfvb6pBxAGd49wyPKS6220yLh&#10;POdRhZbl7lpHIRg8q1Dk2W+aXc1IANYti6UddlajrcGEIv9kxq8egUVlh/MHfrFrmdqNtAzxfgp3&#10;wYVqWT0cQt9jpRSIKuD8cyVlZXa2OtUQqpCP92MyQAy6SPUoEsQKB469R5742EeRGbUsY5Mzso4T&#10;x88990Wc9t4p+088LCvzczKPQlOhcGzpR2IIDrTl6fDKPdhebBkCAZYPfrbgtm1ABuvsv0cJA7yw&#10;B9/xbpl59hUZe31e2vcMi4zNAGhNOHOwgmNMGuS6agcWlKW2VgMGvovvkIcs+9/1mMYVn/3nX0M3&#10;h250o+mXEydOytvf/rCcvOcuOYi4YhM6OizDNToDNy9jiZ2w6B67e78KZAZ2Z1A3RJ92F7s9QHuk&#10;5dgIAro1viDnUGryyL2j8t/8xD5538P98s8/fVFu4BiodpRvUInagoJxeQ1uGJykUYPM1J0WuAgY&#10;G9DCTjsCyjRpBroRv9NOGd5zFLBhrLANmbOjB+/AYKghvOftWPcc3KiTMg/35xhKW65fuwLGiXpO&#10;IE8LtMkOtHPrwD1tKEuhO1UPH+WRLsh8a4d7rRYlGNxc1lutw2VTWV5C+7oFmYZb4xqOTKLFTYuW&#10;2bbdsBa7cW4cu2HQUqGAtXshWOEOSfEp50VVxfeGRcaOlSazAEiC1JWupGESHZSRZ4GhrFP/N5y0&#10;jiFuZblr01md/fLYlD3NrATlIXq7EVCeSzARLwNwAZhZi1K1a5S2Fn0lzmHzSJ8Xa07C1WGg7CTW&#10;5dl49hlD0PwHzBdx3dp1elTgFnLrT2fscAmmn2RIPNhBS9pNS1ALzB5eWkV2afFvbIuCzmszE/Pj&#10;zXSHcQIGT98g/Z2EkK/RoBvWcTycn5hbMfbQhHq8ykXYCGZBFrPmx7rn8ZnPwzdW2V3MT+cSmGf3&#10;sQ1aE/r+EndWUAvYwLAA3jNU0II41MVTr8qKfEQQoIEivwMXKYred9dA8x1Gow4jzbbkvPRDlHBB&#10;m25laRZNpi0c97YG5R5n2W3DMhxDiRVj+apjsBMO5jQ3dUtqpydwWkUnPDCIMyLksYnYYzsOc21D&#10;t5lF5Cz0IpN9HV6zURxAEHCzHcvC0BAidtHgGN5j31qHogkuBV/sun8Q224gLLCYcHZha48xaGri&#10;iypuhg8qyOgpjM42+MysNc4T/AMhsDmUlFwanwV8aIPRpWlpMDZ5azgeAheBAbS+owDHWY2IzwoU&#10;D/P+WDqMnz+iS9f+sBrjNJrmO5Z5KA/V0AHzWzhzS+DRNfbQHQqLi7E7Ci5mDOk5fL6pREoVJGQY&#10;1g1XJTZvpntSP3epawQJxkrBiQe2dI+grg3JNa2DchfKGvYePoZg3LCcef5ZeeiTf0kePbxHxuDe&#10;XAODvfrG83Lm1Wekuf8oOs3sUQ1iGmdy1dYixbYD7rzdI7YBaF125VnUHuIZN658BxNDGUN7k+yc&#10;eoPSDi7UTWSb3jKfPC7X2hYSLjXre07iRPQ+WYb2cfcPvUMPv3zpn/0yrsMcurfkxeuvype+8hm4&#10;I9rl2MFj8tg7HpMfevwdcvzkHdKOsos1tGCbW2BLXZyODYtrdJgdHaw0g8Kwnu0YCFhsWC1UnnnE&#10;c3YX1+SDJ/vlgUP3yT/+9GX5Y5y9yCxSphvNoqZpFb5xuoM1ScVPloiolyGBmfhaR1MoHXotLAT2&#10;VWQpBBsN0wJsg+tz7779iho8t20NR79UkDizCDcO3S1TVy6DEKFlYmS2lmuBFdqB7FRae+2wEBvB&#10;bCnIGyAU2+CeHe7v1cfuAAFXmYSDTvlz8wuyhFTxsatw98IlRNdCCwi+G71ae7tgNXYg1oj76WLl&#10;zdbuim5ta3NV8FaXS0615F9JIDpppovD0guuQ9iwwDvYmn2f4iOe3WpswIgiGvMGa9XP/THJWgvV&#10;2hmDyU0XaM5M7RYLNpjGG0w8M+1qF6cx32zvcK4Wfzfh51mcHmLQ2SbZYoxB94Cnm+iJCjFbd1+S&#10;IYRgM7AUYwepu5dHp2juKxslav2CoysR2wAKMx8LH2kVFy/T7WJ8hUMFG/Xv4r7gxIVFnocNEzN7&#10;DtQe8aEyFH0OiVXnv21HFTQ6IRs7hK9vqv9tZGMxI7uugAlotQ6JaOrdAdzANZT3baBut6F5U954&#10;6cvyi3+vS06g3OvMhevykfsPyvGD/RBy8IgQelAYt3Ht+hpaNFaQ8AbvTmV+GgopeoTCm8L6X/JX&#10;xtGY2EcBWc+iZ3h+6CrU0jHSL4wHArSyOKs4wVh/IxLj6pAhXkGJ2RAaidxzbETevHID31s9nbvj&#10;7L2x8yTVYpkKJfLngujiVDiFkiqC0f6ghHdQDRUmsxWDVqxswuBJela61r6uFHysRWbdpXnKrB7D&#10;Baa6vl3xaDZDSfPCITPYV9r0H86VHDbvUX5f7JwaZ1Y0odAwArfxOY49Vl96v35IenWrlWJW5QL7&#10;+zC1pPkIGCkKRBGzI0OjG5Jn24VrSNtycVxl8uwMb9mdfPF96BKhqWsjH2pW87eQyAIGP3FdJnA+&#10;37GBXfk2hEAz2o4dHO6GBVEnR5Bcs1gD//ApFLsOPyR/5uf/suxHdub1awtISHld/uh3/jXcncbg&#10;NlGA3tQ2IC2IW9XUwPLbRfwQS22CMJh4fhLfz2HOOP38wk1YnrNaQKr7hF9E7tmXXpMluPf6f+QD&#10;mijSAtdpLVwZTLZ56Gf/AgzEVrnw3afRkaZJXv/Od+Xf/N6vyq//xq/JwYOH5RFkiL7rXe+Uu+6/&#10;B65GCETUE67AgmPssAPXq3z2jL0GFOP3oI5xCsW2ZLxff/qc3HPygPyP/9kJOXn4hvzPn72i/u8a&#10;EMOWHqOE9Wk9ksU/qYSE6840HtPc9ce3NRc+B7JQIaH/HLG/HeuaQc2JBMcm6H2Aswby2fYJhLmK&#10;esMlENwiLPFb07DQr11Tdw1dQZ3QPDshFLvUBQqNGPFBZre1Qci2A34jTA9XrZAp4huyuLKC+BVq&#10;TFEvenF8EclNaLDABgMQsu3oh9gDq7ELFmN7O5JxACvWBXFP1GrUc9jcnZoEYHBeQ+qSvhOhu6AI&#10;ZpgEkWJjfBoFsUZcNmqIIiPq1CQ6Eao/U1lDwTn8eVnk8TtvTpCEUjwhnpafqc9VbZnXWDJLkGii&#10;95hbcBubLmbiJSThrdHn2XfRn1FXrNpTYeUpbzRBbdLaYJkZRgi5QC5jpk7tNj1VwFy4ODws0y+Y&#10;W+yPrSffm/cthGqIJmNlmUnFH8G0HDCJiWWhnC3A9C5uwu8qJaOco+cVaCIFoj81yF9g6IGKIxVY&#10;LS3ATzdi/RyFZVT79++TD3z0g2jzOIAyiRYYC8vyE4/ulx4cJj59AydEQOCtIpudjTPWEWffwCHb&#10;m2xzqGeBagm6/rbmFPSOsOsLa/zYLQrWJ2kKCifYv9LANgqpNtlLmGeewjuzhSbGm/Nr6hZsau1E&#10;6dZRHCQ+qRmT/TjdZw1HNqnno3RZJ6CWSkBgmX+mcDG72TiHAi7tR2CwoadRUrxXq9Dji8p/NBQC&#10;iDpOq0XPLBY1E/Iuxhi2Z7wGCUH0RIGnMImG+KVhKz0tJARdpuzqOZrCmFaoBhen6mOXok8/MgEe&#10;A4eyxNxdWu3acRGv+sbWo/gImgi0EZVpZErqS+WmMRUW6bzbOAUaiSzbiPntQGCiMA5/s+7MTFzL&#10;FOPk7ASvbSS8NHYckPvuPyI3zl6ABYvzs3BSxPbyBBI7FnEA7hQsrk45hCDzlWuLMnzXIzL51d+V&#10;r/3h5+RnfvaTcu0y2o21DsjxE4/I+dPPSG3bXrn/oR+S889+Doh3SxGAGaN1qOepqWmD1taJZJyD&#10;eN8I6wRaXM0eqe1ahtsByScbKHpFnJEaWQVHI2189xk58I6HcR2a4e4dls3paZRRbEjdVgN89AvS&#10;dewBef8//HuyeW1Mvv7f/gO5df2M/A4sqN/+nd/DWYiD8u4n3iMf/MATcuKeE9KMAPYCWsixho9N&#10;vhmwHUSQnAHw65Nzmuq8gRqhCRyjQoH7F941qkdI/f1fPa+nRdTAjcieg0yfNneeoZ4JPBOAPF9N&#10;U409EzA4YDCcyOSKdmhVDEKVM/ZX5P20xFgHhGxT1udAwO3fO6pMlgeerkCYLUCQLbAWEaUuVyam&#10;NWbITDlahZ1YaycEWTcPGHVLj53uG9EWbhA/NTVDOl8eMswMuHnEa+dhMd6EgDx/c8b6O0KPaodb&#10;uhet7HpxTzd+KBijFMAOXSXjIM92jl3w07CSSJC6/uT/y0LFRJ/DL1GjC71CRCqfskGc8jLpUqLo&#10;E8r7E2HbLYmyTMr4hz4vFzgugZwxlgOETHKGFOtxBhW7H0oPqWubMXpsYRZTRt7xZNX4+Qgn7Phc&#10;2Z33V42L7amx/lJ4cbxSnJgF6MC2BcSffF9MIECVXY55BgUgM+yc0VZDpRSO4coMpaJ4eMTANI5r&#10;95iuTvyhZ4bMmxYXMp9bURqEwvTWnr3SO7If3qBBxLphCQBPt+ByXIWA2sBJJGzAThpZg8fj6Ei3&#10;/MJPf1gbY6+BFpYXrsvMmUW5Aq8KXajbiL9vrc57YwwqrSQ0ngpjpUdsbUhrv4LElg0ILNYTMiTD&#10;H2anI7sBCiLOLEUooRVJd0r6ZL7gwVtbiPWwDzObdrO8AkrtpYsX5Xe+8br8xQ/db9nmbPfm7F0F&#10;Wljcgc++NUYn5V67ZacwU6gpIobwU7rTDXZhE0obPWrM5nTzyRpV43YXehYaC1XUlT3HDROc8QTz&#10;MraCByjN6332mfpTdL6GN5migkbJCIqYcCHcDC+d7h0ndC2qFJY4wu5iSIDCMFTCmXiEdF+pX57/&#10;YyRrNOoRRY1wDQg6J2yyvRB+19eilx5LIlgi0YCTGGAlqF2lDISaMDeeAtKSYihwanAPNZrNhSvy&#10;+re+gfDytLzwJpJUKveiR+iICpKam6flBqyKu0ZPQGAgZoUWYutLuPcgCt4hnPrQHWZj8iqyMU+r&#10;tjZ4+HH5hb/ySflXs+fl6RdfgBXZBsHhbZEQK9zZnIF1htoRPRAFAr2Gzba7oEUh6N12TAXg+jp8&#10;8churaATzmu/9E+heYkce+QBefWLX5Ft9DkdfOiwXEXTW6YvT778qrzrwbfL9yDQKsuz8rGf+hvQ&#10;xhrl2W9/Rz7/+c/Jr/7qr8jdd90tH/nQB+QDH8EBu4cPwLWJBruocexG4HcAx0wxaeQGeg32wEW4&#10;jFjkFdT/9Lbvl4+/bY8sQnD+w9++ig1ApxdkxNYAFlZPlIWh7msw2FL7CZRV3zav0VByFcNW4ZCY&#10;c+Jdxi1U4QLs2HDXG2aTiFsgpNvh/jzArFkgFJnJGqzdhYpZeQtQECYgzFZXr2N4HD+FOGgXhCFj&#10;g2rpIXGmGcKyERjW0I7SDcRQa4Z69FnMolsDw1lkLBWFxAsQkLeuzeIZkxo74bEyXTguqwNZc60t&#10;yFTlOEw44EkQ1KSjLk6XYgLNJKWt7a1kk1m5LdossQwkhZyBid9R3oWwLZmCUVcCYAgle64JyUi8&#10;Me3f4B41lnl2MQtnMvEs24n8jLSaeCrjKeiuBPxYo5eGyWTqBraRTSC5SPM16Mf8PK5xT06SXv7s&#10;lPTmQ8Wjg48mN1vpS8vSPz0/3G3KtrLPs1hTnmzm0XnO9txSspZrC/j7HgRrDIHvT+ET1nlkeyNo&#10;vm8YyXOj0j18UHrQmambHZUQMimjjeWS1wHTF779pKzNvAkeiM5SSBJbQ/E6Qx2sh9tmT1KGH9iw&#10;GzXU6qhhzTFLx1AOtou4O5XMXTakYCII8w8gUHeQBcnTIDbRnHK3pQtslVnioBs8gx43/iwhHLQM&#10;JZmes0Yk+zXDKGhsgEeOPYYhCNk4fAuZ4HOgmb/4oQfknoO96JCFpDWFM927ttEm6AKGuRrO1Bmj&#10;E39XLt3JwexCHYUVAZ6VX6OWWfbUmNCjK52ua1PUzRkZtGYCLDVpUHJTNV6vcMzXebbDO8RqBApA&#10;mk2mBMcVihC2sy7I1OXtMy8tO71SCddVgpCcHFn7OdPVyhCd1XIuVtbl8tycXEUrvEsTSAJEs5Sf&#10;/rmHpP5nG3vkt+EKrUMjTuJiKzrFPARLbm1nAen8yGrSCW3LAgZk6i/K1/FQMDgISS2NoNADctQ1&#10;IrW/cT+QpB5M8E40ot0jz3zzdSDIKhSbWjn38otQkOCmrFlC5uaktF25Jn11i/LKt/8Q5w/CKtv/&#10;Dvmxj39QXn79lrzvQ8fkm7/1DWw+jkXqPSYPoUvDTbhIj933sDyNvprVLa0IRGZXukamXeXHgbg3&#10;vCYRpjasvNo61MS1jcDXflA2cLwzyzQu/NHL0ozWZlc/83mpvPgikmY6ZB8C0M+/8KLU/cSfkZEH&#10;75OLV/9IXvnul+VHf+avySf/7B1yDWUKy3CDPP/kH8n/+q9/RX75l39Z3v/+98uP/OjH5e4H78dR&#10;LI04u3AFgexOGcaxUhUU0M8uVLRnKZl5BRbRTz9+QJ57AxYoCLABAh0pU2opUghaFpMJQLMKXTty&#10;BA3hppaf+uOdwScGbBaksQ9n/H5NRiAiTiYOwy/reKF1nKrxWTeJPgi4YVhsdQdwegaeuYH5LyEW&#10;uLBUQYwUsUEcDXMFQW66g6gYMnGmAy2eGBvkDxNn6JbtgGBrh+Dci249xGi6oNbBaJbJCKD4rOL3&#10;rRm6lbg30JUBi0Z284GA7IAFyjMlm/XIJPPnqxuJMUbGI5LmWAq6cPuEZVPSf3md0VyKfznsqriF&#10;upI9bkW4JuXEi6QDzn6vK75JfgZZm5xQynZCv12A6+C6xTxXjm7yNbQEfOa5Z2UDZvQH7xmylni6&#10;dcEW0uh5yra1dkWWQenDEP52gykD1a7P8kYfICzzeIouITMnR6GqNdsMi3mmt1no6QhV1uv3uz4/&#10;tKoo3veBp7NttQ6j6dT7ZBilUAx1NEHoMGOQyvoO6FHdurDiSGflqwmtFI/c9ZC88I0ZmbyAhv84&#10;QoltEHmKA5W3LUo9ZJPzNPl68DuNLVE4hdWH2B/X2AwlsHPPIcTzkIAHK3ELFuVA/QEc+oxTY1yp&#10;20SYZhen0zMGuDY/pd4XNtTYRGbIBp61CC+WoEZbu7WgLrsRR7ftu/N+OYIEmXqUqC1jHc3eL5ie&#10;FdIJlW11tzL0hLHV7RrCy+NwFj93gaFKF/fUlLbgL7oFjri6A5yExtIs1+E2L71+ZnFi5zLOf/S0&#10;F8U/+89DdX4/CQCWIHIqeNYje0CTJ7KOb4cNB3wOuVevYmdCoYTKrjSZBcwrWMjP2B4L58kfWFu7&#10;LpPzK3ITnb6uQOhdQx/YsTk0LkefTdbeNuCZLV4fXn8nDnZVUxcbS4G3H66EH0W8jXJ6Cc8/g09H&#10;aaYDaL+DfxdQoFcPV6ge8bO9YJNXiU+yxIYuE6lhMdZAMCKxpaEZMTwWlaDpc2PTiCJMTzuZyop8&#10;+YvfVQtzDYjXXpmVU1//PDqk1MkXf+0V6dl3h5wEcs5swd05e1Z+93tz8qOffJccOXBIbqB1GJNf&#10;+Npy4NHHrAX4NK21Qa51ZODZf/0P3QFNb0am38DzcJpFLc4LQ0omyjX2QnCfQL7Nqky+iizV2ivy&#10;ve+8KpWmLfn2P/knsnHluvYUvOcdH5IpNLZeRU3PwUPHZAlW3f5j98nK3HV54ZnvytPPPS9f+NIX&#10;5V7UKP7ZP//n5PH3PI6ariaZBJJ3YHf2oONM1NQuoHn3MgTFT75nn3wZbdfqIADpitHWQC4AmUqt&#10;Wpkm9vC99jwyoafxPn7GnoohCA2xDR1Ng4vm1fbbxtH7tJw0Wy2B+LqHShTcIfPPc0y6UzeYjs2j&#10;un38DiBPN07ePgSrkQKbCTprjA9W0FGIlh7LNsZQS4XkGe5SOyy8TliHdKlSmNEd0gDrhrVZLcjW&#10;7Uc95u4u6kw5Uwi3dcRlFpEQMLcMRKYVPTUDN6s17G1FdlgPLU3c1+1xRsZ4dNVKVFxmYWkkEy8t&#10;KSkJRqzVr7Ay48BcgxVjD65chKYcriKHStZUbbxqoVowdrfEA74G5UJPx4SYtHRzYlZevzqDus8G&#10;WYHLv7e3T91tRmt+fSGfzJR1rf77WVax0FhzsfD8Nvad48czfO7xq0qGm8DW9Tq+hFWXV+xWhgLb&#10;GFoS0H5PKadjN8wyCVFvLr/UeSRgrpYQMjGZY7I7I+Mv/YGMvcS6aGr/dHthDD3RgSEHhh/QpQnJ&#10;Jhq14udsOEFrAQJzby9KlAb7ZA7nii6DV7CutpElR+zxS1pjAhzKuGiZNWucljSGcZjoArzj8USb&#10;CPVU5uHVQoIMhWAPToRhe8TdNcTKkVC2DteqtlBD2IZZ2LyvHl6wFsb+4HGrRZOPxh70Ce1DK8j9&#10;R+Uo+Ek/jpMrX0ojZJ+gSdY2a2IezxyEcFyD14YHd2vCjp82Q0t2C7TJ0AYtWyqZW3Dz8vodeGe2&#10;EX/UJvxslEFBqvFLnshhJ3NQuGq7RX6mcDCeYx4Q/DC2ppnmTEa0SgN+zyPh6uHJ0Tgo7jEL03CU&#10;SXw82IBhNK3b46IUCarV94wppcqHPcUzteCdBydobBFWNfjFOPIwrk3Nq9C7DqE3iZKSCjJrOTRb&#10;dzZjjh3gQcxLiFYKfGo9mRwHqdThBGQMeAof/i+I//3X6ApzGYv/dP22/OdY7GMQi58BIBY8Y5RI&#10;boydh1TZoAw9GEKTGS0AmIiL4ZxASmYjFHYIoIDERBrQtgxuVqlFkkz7MApFt+W5F6YAEGZTbUD7&#10;H9fTGpYnT8nv/9un0NmkRX795veweSuaTaQKpAY3eZ6IMWvKB2s3ZaqlujPg4hz9YZwGD6tlFwkt&#10;c+cvyXbdknQc65alq2dkA+eCAftQqzOKjK0+IBVqf7CBp3//VQw7C5cqEmGmTks/hN/2aof2vKPn&#10;ZR9cnhdXcP7XY++V/QcfgHa3LK8886T83f/276LR96j8eQjD9//wR1UY0q3YDkubMNtA0SvbEh0c&#10;6ZTRPUBOWKJcj7rXNZhO37u7IVzYWRAan2lXfENIfR+ZWSogeY8Fq1MMUZmmC0BFWjIi+0muD/0s&#10;BKtfk6gukM+D/cF+WcsY1pALRjYvGIDlN9QFYq5F2z2uFcRJK28Z7qVl+N+nae3B9cw6xHrMqxmW&#10;XjMEKuMjrEVspnAEcjfC+muHW3QvMnmlpl8F2xrczfThz/NsRmSpjt9Ek17Ua6n1CRd0F9yvnW1w&#10;rWKsVhb7s0sPvrOejvyxTGHju+FSNWafSc+tIrvI/td1OnyT2znZ1D6gqR/5Af63Ekj5uY+pGvRt&#10;nweFQJtlX9uvo03WJ564T7rgeFlsPAgDAR1kli9qM4dqIVI8NgR1mr4LMpKLC78knNQHzOW7O1bf&#10;h1uslGz+3mnYeJXRn0lAd8tl4Nr3ClclSBeQManbbVh3Sxd6AieWmmt7vMnAlb0cOn5enjF+XqNT&#10;M1WPP7toxh9e2ijd0Xsd5zWt3zPeyZz3oF54A8knC/DerKK0a5enuQB32M5wE8KqHryBpSukQ97L&#10;GBPLmrbh4heUhzG0UY/GFRS+C8D1TSjMW8D1dZR30eJb0xMaELoB79IQCDhn7xB6Id/7AZQ8HZEe&#10;JON04PnaYOX7vLhk0poW3alVyx+EsRjcQjjj/8xL1Vv8o2EHJgupcLWuWqzPtt7DEN5QDJh1TiuU&#10;xs8mBSiEK5XOLbp5KZBQx7y6CIMCmzN95Q3w3HkVjMp2gA/sLtMMa5leHZZTMdmH+xjx+Uh0CVIl&#10;P2f7TLXy/Ay9NQg20shN1HNS4F2Ba3MMAnAWgpC9VSkXmOXeCGuvB7W2TNgxq5UlgBZy4m8KRr40&#10;uecTDPYC6l+CABrGhP4GLDi67a6hVu8BCJk5IMESfkMm6cbHhImooTuaG8exEgNTE2NDV+4m/d18&#10;jtaTINC7DRfp5ta03Avku46fGWoSuLYGz61F55kGCMhNuAo3t1Ei0fOQNHRQAKyjiJ0Zl+xQw2JR&#10;xALZxUa1Eu6iL05p1AmPRZRgnBOvvCb3vuvdMglLbrryurTcdb88+gs/L1e/+W0587UnUdR/TK4/&#10;9ZQCj/3zauvhOu1Ea6J6lBtg8FMvX5KXn3kOJzaws0uLvO0dH5SViV7Ze/SovPbcMyhoPYjYwzE5&#10;eu8D8tpTGPPU8/I//IN/KL/7+5+Wv/KXf07e/YF364GcreDmPBeRWij9621wkVbQSMBkeghAF1ye&#10;4anavws8JTxl5hSGJhSVQeu1bi1qIk05BoUiIWTC0NLzw1KMpBt+bxakMbYQhnzvP8FwnJkaEwzr&#10;0CwCanXaRJhz8vso/DvRCqoOx8LwFl7Deic2DV5GjJACbZbuijEKNDAVMHlairQY2+FKbYE2zqL9&#10;NozTjsL/ERSRo104cAlH21B5g5Cl1UhN8Oo0iOAWOxEhvg2gtmEcume72uFSZUd7aJ9EfsNFc8WY&#10;LOfMonyDC/R1pd8u9BJ6B8cOcZSowNcd3yvB2GeJYbvz1gWIoi7/URyweiqeePLK5Un5yKOoI0XD&#10;eh4LhoCRzMEN3QBPhpbj+P3BLIz1x1/Fb0oArZ2yCZj84hp9jkmSxGfFvRTiIcJMrvlkqUS58qDC&#10;tFy/8pWUrJFc8vapDpKgVwi++DStwYi6+HEg5bvzdPQqE3ZJ2Lvks7XavbqEqEXUbHfC0b8mi1YS&#10;YGIdFDqcRbqFZhmr2AsqseuoI2SiTC3yC3h6jTYX4VmfTchU30F8uxZCEJmiai0BNhHrYvxbk1nQ&#10;NaUJSlo7rHy64rQUCbyAvS7rG3AG6qUvyMXL7PFph/tSQNYwQQa8me9hOsErgMxW0ALrsXmeK+mi&#10;Fp+x80wN+o6yD2k9hEsNSiya6A1jBqrebzxHx1Rtu/qlJgPzcujWYYuxJFjfcul/+APAbnkW1viN&#10;G3INHpzFyRvg11vSCCHJEqrwGNBVy3g/28RVcE4rezojx18FKfeIYS3ChzWbtGXo6WMuwSROArqG&#10;LjNX4CGha3OCHjWeCYuBKRzVqwSLvs29ITpR7LGGmLT+HXII8GLpFhsc0BPFhEC+6n9pa1b2YZAR&#10;CKE6VPV3QNhdxIO3kHiyH1K6BVxrDwZYBwP3pig6YXNPeM1KEIe16/D/KPc9TV0RzRCa96xjovfj&#10;/r/V3CXfhJ/7X6E/g7ZqQ5INBeT2Fg61VaZNpEWSDazHbbhTmxvQULquB6PugUCGkFVtBf7+Hbgb&#10;NmBhoLh+F8Ws7HZOplZLDYBaDLQwnta+Ci2mHqnQ7b3dMnUDvUd7e+TAX/gzcgRpyJe/+R21NulY&#10;20Yv1c21cdVia+vQUql5CMXpxzX5ZQOC+Eu//1sQkLtyDL1J9939TnRuuYkcl3bpwRlRu43bct/7&#10;f0oeWr4pn/m1/0n+H//lq/KRj/yI/M2//V9KIzretA90Sw/gNQWLkkxfT65W6y+EWNTcmPCzGhwS&#10;VrwvhGAh+MyaC8vPrMHQdnUM/zsdt1IweApN3R+1PH2fVOvOlqF6MvQqv87JIVtRITgCGTxQjuu3&#10;4brxPjGGdLikGy7Nvi4Qde2AMvQN4BzLTpYhzJbBcKaA9DdwgCmTEph1yxgZ2021a5G+CbQWtqJD&#10;vKSvg50QWUQMxQmCcYVJOPD9LyytwZ2KEhy0H9vdQeceCkZYjRq3hHBlhx0en6PMU9morUELe5Vv&#10;BuM07hoNIoyZ6gXOki34b57OJCmM96qa6+w8f+VCSS9wF5IJH7qDB3usC/8fPXtO/urHH5QddAja&#10;ooeCMS0VaiZ0Qnj6g3Q++tJffCh/zCIOVl/dECAEdLUAtNUnUWXrNFU+DW/P5meuhPo91pKKX9m6&#10;uX4rt1Ig6zz8L3cZu2B2nnKbmHQY8x7yGs/a9dkFY03e37SMiN8q0uocVFb7/DOMbEOy8m7wUIvR&#10;rcN24F478GsLjfMra11ImlnD6TPzUOTQy5VtxFbGmQMOfmAuujoUu7N5BPkZGbm+V08PmXHAz5Qv&#10;K3FhS0PGHrMw9l3xD/xap7u012nzbUwyfK3R1k5fxvx53hw9ZRS09Eg1MHeCghMCtImKuApR0BJb&#10;ZuL7ejb1pxDF70a2u2RPYwhYCmLmg0CKaFyVQF2Hhbwwfk1/lqZvSQWdbyrMpAU/h+yDotAgQ83g&#10;txB2oYIpruM/zoceoAo2ZZXGDtCZhg3hxVKtaRw/dWtmSa5AMb6MLPub00syi6RDeoNIgzSqaOXx&#10;dCCrUyd86ZG0mhH1BmIvmrC+2Gu1JnEPyzO463TTroIH81W/1vcBOYuuBqdgBXZAiF1Hb89/iQyl&#10;RmhEOxAotSiHGKqBXxmNqucgJBth0kdfwBoAWJE2mqOSlQQTVQYSribHQFy8BvOabtdP4fy7XWg0&#10;D+Ikiv1wGdxkdhSySs3FatdrogbGH8FcRmAJntuYEPSP0eMz2PhzA370GgipVsT4mhsH1PevB2hu&#10;VJD2PA/XI7rIIHN0F+ckvvZvfgVNcrtk36MPyq1L1+Toxz+srrcm+O65hjq4PdVti6HZ3XAXGreS&#10;LJ69sXIBm35OXbhN6GrT0LoPCNcgp9+clgvn/q30MgFm+iqOojoBROpGKvsmYjgIiGPMRmz2H3/x&#10;D+Tpp78rf+9/+O/liY8+AZeuCT4W0NbTfFdrzuJ9KpDU8qOlFy5Oc30yDmhxoULgFa5T7ZkQ7k8V&#10;aGbdpYyv0sIJF2gSakVM0bi37l4w0yQAy8/jfVgCYfU4XRoA7Q8jBPtDRSmJXuO5po3xRcuYiTB1&#10;Q4AhcECzSuH6qCCrawnxRmbZTt6Y8XR4WI0gGsYbuyAYW/CbAo1aZDfihp1wp46iyQEtP7pTV4F3&#10;JhhZClKBkF1QImJWLF+0UCmqiX/U5cJ1Y8cS0UogcZlmGgoBmRsZKGmPdZEM9pMMU9smjV2YO8ca&#10;ULATEzVuMixz26sAZkyL1ELDBIpnR0udvP3EXvnOqevyZxAmeObFl+AubpD33XtIYzKOpgrHUli5&#10;Y9OhSRpyJl/sQ96NYpPCKgy5FwI0ydTYN5cpJln833IOxMusIITQM4UhJFBoAtHFxmIoST4p6Tuu&#10;hBXrwiLHTsuVF7Vg+hgCNLwfBQwKPFSVx+VjMOYsHwOKpmjQ40CkAHuWbpiIuz3N8CwMonkEGChr&#10;cTHHBiSxaAcmDc/Q9aZ3FvLKlCvt8pVeLvxdmFVHvfKu6lwjAYQNEyjQfd+VOrlcV1C0rw+zWInP&#10;DlRTWn2x/tY+48226qxS2YaHGUNCYzG7ChUiqf6Y9ayxRTTeUMWZn8OQotHR2QKjafCY7HTvl4VT&#10;X025oeGCJD0w74OhDz6dwn96cVUu3ZpF1iYOJoDAG5tbknkowzx+itYpLWb2MqbgVPWscGtapx7P&#10;queAvN6bv/DiKLniKpkR31DPw92tjR35C1/1Nes3Yf5TS0D6L7NskAHVxOQRtkCDac6YwaKKzk1p&#10;g0DcZlE9m2GzNELLIxBg1b/9qAtaUsoUI7OIUkX7g5tQw5+fxCKOIOOKr064F9+Hllz/lnU23ukl&#10;OXawQLrvfhKW4F50Bb+0XSf/qg7+aLoXgFH3w/KroBbwIpGeeiJ88jCKMWcIWPw0th6GC+JOuMjg&#10;p16fxxynIYDgp8f7q3/4adlBDdsimObjyARthIawCxcdwaKMSZ9t6FFDDYqoxwByx4IM3L9Xbr12&#10;HqUd0Poa7kD8YE2eefJ76Bf4NMolTsi+Yw/LIlxYTHAgUXQhOL4HLc7+1t/82/LXr/yC/Pxf/c/g&#10;RkGwB9lc8PkqymoSjFIJE2IsBmXWIZku3Z/8HcLPfuf6Qf5tP6ot67zjeyJ8WHhxnVs9er0LOjI1&#10;Z/hOIUq4pcvTxs/Xm4ANzd68A8oES1p39hbkZUzHiC9UpGCB6kZKRfR2DYPffV3NaG1HgUarEYk6&#10;SJxhI2nGGdn8fBylKKtrc7LGMyTZCQc/TJrpRGo8haJm3GKuPQD5wADcSEPYa+VtJozTy12MXqqo&#10;39Gb4eVRypwtvujxE0/EofWpw6iLFXEPXgOpuoO93dXjqmw/OKDbScYonTkZ0yEUrCMTNeL9Q/2y&#10;deqG/NsvvyRPn7oge0aGZD9OLdcTvUE/Ghdi2QQpjX+DEbCmM0PfTvnW0Ci+t8QrZ9KeNGZ4brhu&#10;1rC9dDZutZg1zO8zoHT/dML8h9aH72a4SHUU4lMh3FxkG07F/itjSU+174p7VBganKqFhN2vn2mp&#10;VrGH/Ixj6PwcHsXcyyvDIs19jMLaN7zIwtswVgu68dOEsVt4tpwe2utziaQl8CkqVGbmusAPU9XX&#10;naar8DIYJLEeCkCiDh9D/4761bzP6V0Masu3V2kip521O5J1zh3UhWY3dZ47P7M2iCovdODAYHpb&#10;zc0Zu8HnmdIAjyIOCZ+n2xe0GB28GK+bh0W3NG9dcai0fv7ZN9GCchGuTfBWDEaLmp6fdijEur36&#10;j/1o63XH42jaEDkgqYUf+TZnSZxRxdXw3kC/q/kJFH6KUbbBiPOun9X4CBmFY5ZKfJrRLD2oY7CX&#10;QhG/N5HxyczPOgjM+nq01EJ/PQo4cwSZVl+DpBZzUWJRPDFCT41Acb06xHh80ZbcxPO+joypHkjs&#10;IWgW90EIH95al6v4W5utKmQtOE7duhuFr2/CZXoAVN2DUa7hhwcH/RzOP1zCz1PIVGX3lrNY3JuC&#10;Dg7bLM6mqUsAcP5IN0ZBvaDTTJMcgIsXgv0N+PG5sw2r8sw/+5fo0o8gL+ZWo+dYGWMItmBpwDan&#10;FWgTn/hrf1N60V/wX/y1vypTp55EmcMw+oKOwvPULJfP3ZLrF34L/T0BE2cO6+gbuO/wnfLwhz8q&#10;/+x/+SW0emuTn/yZn0DGJRQKZj2q4HNXJuEYcb2U2GIC0IQeZxIWH+d0m0DEt0yuub1uzYTVbUJQ&#10;adWwO6yzbPEZ0+Yrda5xGKQ6OCcA1URLRpNARy2fmZVmkWYE83eJWh35ksZacjUTOqYgmAAlrjJm&#10;SCFnZy2yYw9iN3ArLcFqXIA7dQYCchaWXxPb2PEKz1zTmCCxFXBn1pzFYtnG3axB7jUFDF1AJhgM&#10;ZnooNGHB7yBs9MRuup4wGZ4vyc8paBh3aaBWrMLHBY/TcWZdWdwoDwzGpRfYAadrEPSfgev2W69f&#10;0WOTfvSdd8t+9I1cRRzEhDeTwYirhpcGGSY0mANB453OmDl/qzA0JYbny+q+enyIQ5gV484HE602&#10;Nc6N9ytzpsCzbjqqWDiT0nPh8JnGumBZ08Wvgl8tCE/6Uo09+JkzNJ+18TgKTR0wseMsmPmh46Lt&#10;QhZybxFwhIcBNDFnLjYJ0nIX/L1vh/4qUM+UF/syFDe7xJQhfmOC2K7QlyuKRjqh5qXJ2LwSnsfm&#10;m1WYNDLO1Rm08R1HkNTiiOBwGChVBz7ZFGwusfqCtvhpwJmY7fMOQRMOAb3VaT/Wm5HUx9YllXRK&#10;fKAQg6sS8xzgQQeQHxMIa9xC0sp1lCqwPu8W4nnNqI/u6evRWOUyQiAsN6FHx5Zs8IzdDhqKzGC1&#10;Oh0x1LtCGMeWpqkZvM09HAqmDW19sY1e44XsUBYkmxiLrEozL3kJkds6xqhmq+qAgVybxpIJaMIx&#10;TxdAPA0dXGrrcHJBN05CXzqtUp1H8KzDdVAHq7IOMTN2nHkSFtzXNpelAadFNKObSydY0DpOZK9j&#10;ZxoIRdXQNNUWhhImchaW0dt34EPGB21sCI2v2iEe59BnbhoC8G6ka/JsqUnMZxOaYT2sWM7Lir4Z&#10;44P1t4HMU8QQl6GNNEIo0m3Z3IbMQ1iOjI82t6JVEeKK5kKdxbPJIM3HrshMJgBLdXNqVk6jYP/x&#10;d75LFidmNOV6e2seXeGncRma5nYegkW6D63EKrBKUAeEBCDCihlj9z/yLpH/YkP+0f/0j+TwiTth&#10;sSCWDvdcLZE7JbeEuzMElraFdWGXBZ7Fdtz6S8LRhGRYhE5xHucLSzETagg/6wARCO1WoyKiWYeG&#10;kvHen6FQcc00rlUc9nH0lzGKbDkQy4yoqwkouLIRX8ZPE85mjQQjCQZIuahsP7l7m+Gub+tAfBsZ&#10;qjVomKB9S11g+HQUz+O9HtipYLTrVJXTZBn+bSDXFG/+4DMr2ucUkRmH7/VoFkpo4I+uSGN1OL5K&#10;s9h4HWnFGLiOTYtRk1SoHTF13GIcSqhKtLZ+/kftub+nR6aQZHBoqFOGIPCnkP5tLnsTLtoqz5mV&#10;unFxH11HdBOT9lSQeSzTNGbSK9tUkX4xY5VTZgXGK0M/dsjZfwharpszdNhxybWAATtw0PSM1sR6&#10;RrlyWa4VOJ1kBWmKE+DBqQhtMN6EuWxSadX1cCaU5ESc2He63DgEBXmIc5u7Zf0ZjE2YGtPjUw22&#10;xWexVr/Gkvxs8aav2nsXTf6GG+62ehLEdlFhO+meJaswcDiRgqkoSWwS/zURxF6BjyF4VF0Mzu6/&#10;lc9r3DTuIUf3J2JeqqLoQGZdJvoKi1Rjw74yH8Ohi2u5RtzKTE2bjb9cqqhUKr8x3qOuf/VA8LQH&#10;5Hogr2RmaVtew+Hes6/+a3n99BsyMYvexXBtkobUcQ0e3IAEFipMXAyVzVaeaapeQEMS0lRq+s51&#10;8XNPcAmoJ76QWId5HnaYucv90qV6KYTTVfAWywjOe68BEWXwnjWlwHZU0Pca87CMOv3N0Y0OHVwE&#10;HCw9WHI727O4dwoC5hjaDT2HC5ZxSsFBZFE+gOSRcZm7eRkMAgXUSIhZZyZoLZplI0lhDoPT7dUE&#10;l+oummJvQ1DWwNW6BWFZB2H0ObhclwCsMQDwUQjDXuzZWQhNFj0eRxzxufoduYXFfxiZnSzxmAMD&#10;4H9WmkHJj/O8sAXvRUyvGdmEf7C1BAGMzhCVS1gXroNQ3EFGaH0dOk60H0cdEAgUzbq3IDi3NuBC&#10;xbXGyOHLxmZdffZ5Wbt8TVbRd5Ontdeg9KIWx6Dc/cmPy9nPflbW585jo/dKa9dJPUByew7VlpVb&#10;SJNekgMHD8FdelK+9q2n5R0n74ZghkuUSBixvSqBF4LLfqvOF9o936um6txaCU85r45ncYJg+QaH&#10;0GYjAUSRgpijG87ffo+3TTKWE+PxGieWSBxR/FCSdZwxjEyeILc8wi+WcKvwkxmZBbFVMwYj2eDQ&#10;xuiSMHYLNuBma3N/Q8FgEj37G/MY4mq88fay6jMM2Z30Rl+Esz9/tjHUeBWyQ59uq3DB6hfprAhW&#10;X0v+268j4eo1WWBz+sxg+2Fkw24806KJB4x7Mp6yCguRz9Al0nXM++mC1a2Dq1j1VGNaejxNoQTY&#10;2hCTQfMKxsNpPfOgZevYQYGdm+Rvsg5N73c7g9dh7Xo991+1cFsDs/MaYF6aR0P/1e94wrgyS+Ut&#10;AQF6i/CDT1RT13i4ZfgFJph/ldf7Z5HR6cqTKRH2bDZF5isJIIIl9oK8i03HPSNF95vKA2elCo0J&#10;Lsrv2Hda+WYRG4MzZmt0pT1zVXEwvFcFy8fSQfHiHjEpxvDUL47V6/PdDeeobjikX1TRkH5c9VmS&#10;fr46n5ve6q7wJOM4QTuOKOCupQ+qpGUuoFNwJUqlK7Uw+9ATbBzGVG1UiPmBwUia2UXN5SpOy5hb&#10;3pRx9Dm9MTOLjM0lmUY8bxHJg5s8CFprNBHjRuw9yRg8r7u7FyfZwB2KpJmTOOP1HNrCcXzG8ojX&#10;bF23AS+NxuE1ls71mGBL2b3G4Q1MaU1YgiuRqmQwPEHllZ4KGnAUihaAx1tPHuKemRvENMQQbOYa&#10;5YYDYPSdEPlCE9CJxYS84ze7aXAyirf05erhGUiDb5BHP/Ez8sPvvAPvl+Sbn/0MFnxalnCiwYPv&#10;+4QsoJH10vwszuuDZl2BBcYznmilNQ5Du0DshjiE525CCH4BwhFpnvI6ClZr0aYNjdrkd2tW5ADS&#10;gOewyPfBoptETIjN03RjuQbKFn1rG7wIQByFQKQmSvDtgzv3XXjOq4jN1W1OyrW16zLOAlG4e5uR&#10;hVrf2CtNLSjwxwZtbjIDFfUvMiNXv/ZVuQyYtKGPpgZeSUVoj9by0L3S+r1n0RcAiTqoI1w89zzW&#10;MSydAw/Ki998Hkkd1+TRj/2kHLzjPhnZj1ji5DhcR6Q4YxYmtEy4Vbsv43PbWNNo7LfqgPz7NoGY&#10;GEq2fewZQXRpw0J48ovbhGYIVmPtTqw+hHIIi1Ko1h3jpt/VwiDPx+4vrY+kf7oGV0Wcab6cW2kl&#10;K4cqhLhzAMVDUkvM06adBb19kYRrIWN53Y5q1f69q92Jl+idEUHyEZQ8wn6KOfgYrqGbNU0L1jgf&#10;hUgAIQhY0ynC3YUv6am8d3+PvHRpRp68ekV++8vPyl/9sXdIH7r3qPXp8zbLx5moD2tU7os2onQA&#10;2B6GFRekYowx6NzWZ/qjM3lnjMpXTDL4NSYUDCoUmMYnzFrGj8oCKiZ0NfN7nubNk2rMhWWn0Jhb&#10;V8fQGA5R3Af1jkhq5XEFZPa8ToUwY0d2Vp7xcbvXDlg1/kSBzc9ZQJ54gloujJeCpbs7WPVA9V8b&#10;DLQTkZ/coolPbHOmS8E1mEAoE8ljoIqG23qcjyt5rB80vmmxMlU1fOsC/9SXQoEccFWY2HaZ8pSF&#10;prG1wB3DERomWsIB5YgZxfSOxADMotS+xLinrbsf+RFdClu1jokVXDPusVpr9hBGIqSW38CfgexP&#10;toSrpaWOrje7DSgXQU7GEmLcs0sUfBUc2Tan/YZXcCYpyw0Yk6YS0Yt64RocN6VCl3B2fIkj+7rx&#10;HdfIQv+raN5PoRj1musQgJvgwTUIOwWv44Q1u9Z7LCdFVWFuSmA0KNfGAawI4Drxn7pMofDVQ04w&#10;ezeUWBPKhnf1REpOzrQEhvjsEFsDDssWgBQqOY1Z83cgWba0zOrSzCXVtKCRItB54KEfl4+/5040&#10;wb4ue/b1yduf+DEF/kvnluR9H/uQ7EUOy7nzOKMLZQsXvv0Z+cp3X0LsrgLN903VOjY2kTHa2g5o&#10;IT0cllpDyyBSeYfxfCQ+4Fk34Eq9CItxB8kxZ2Ct7dasyQpPUdAYBZHXXJlc2yYA3hYuVhABEwmY&#10;7nIYfusL6ALPExI+ivZvrfj9OdT7fHvjljRsXEcDXGSANfVgFFiJsGob0HB8Bw13tyA0KRQZ+9Re&#10;gIwvsSYH92Pa0sajm+D7nvr2U1K/fgv3HpVbV9flK7/2L+XtP/7ncOAtmNnUVayJNTKWpVQmuhj7&#10;8Sw3RaJIbnGMciGoercLwNJ1GZpxIv5kFTojM77hzM4+4/41QMvTolesh0yZDIBpTbXIEFamqJRp&#10;P/zP1J/8MibJOblLQr966zWljFK841XGaZypU4MJbuox0GDW8TgdJEuxEKbKSI3/6fdmWPCPxELs&#10;Lv8nwco4rRJt1dC2O/7ULLbiY2Uz+FoVF7/R7BNndW7JVD2dczTWqlfZ7Jw74V0dLMExHNj87Asv&#10;a8OBL7+IUqbhXvmZDz2ILFeEKPxMHKPjApphNXHUKmUgW+whsm0fA1Aq9ZR+Y8ikKBR7aG5ze15+&#10;KgFGRspPbT22NBvTXvyMVMlkirQ56fsSQ0yo2Z0hXOJvc6Vz2jZ3u8bowx4Xn9kqVX1k6zSelaTC&#10;0c6vyxnttvu0IDgkhRUTJ7S5AofT+LxjCGPDjAdHLIq8ha4730lVYHVpJXbHYoxatHQBD6KFoi5C&#10;Cm3wDXqv1dLB7aQ9jqudTdSKJQ/D9UEkJg3Nz0KhzTWxPIPCAokooQDpgbJq3UE4IRGltYnJiLhX&#10;2aKFeng/v9tB0t8GCt2b25HrAU/d5OwUYusQrnjoFva2sozM6gqOjEImP0+i2cLvJjS76McxT1tI&#10;QmPtr8JLYRhufxO0rGslSNgvVP8mj0QyJO+hrKFrVDvf4GbNsvW4n1qBml0dcLMHWJN0dslhpidi&#10;+36GKb2UGpNnbBqJNSzxsNZ5vh+Oj24QJwQG7NmWh+4JBNwxuLkIbDMpADkQ/IUKsDhGyTSVSHgw&#10;rU4tSVqanAh+WLS5MvamvH7mfjm4H01sUVfX2tuI2FlFTj78mPTj2KMnvzMmD71tPzLoKvLVS4vy&#10;4Z/8BelDUfPV09+RizdRFjHSIs9++Q+lY99xZGShfuTGM0BolC4AKE2odWHCSytKJKR5H8SFHpAh&#10;HXDLbuIQXlpuOxCMaPlgggrAoptiGxvxI8gcnQYkJkGUK1jzw9ByTqExwBvQfH6svVvuR/LBN5Hx&#10;CrNS7n3iz+A36l/Q6+/W1deRjYhxYCHWs3aw/Qjih2gPVrmqp1HMfuWr0jE6Iuu3QEhA5FW4dxsw&#10;T+2+sH0Bm9OPrh+98uq3vynN735cDjPTVv1YnoTiQXUiqmoqumkkQqKXCwRFfftbCVQ3yphNJka7&#10;L7GrZCUaiwqrnke1bPsP6/QW0OL+/OU3kcFVQc/PDrgl4KplkT+Ihmn7vSj27UFsqg0lCBp3YgKI&#10;MjYyF48jV9F/SBOdsL+qWWuIAhOcZg1rmkpaf9zmjLeKgWYeHmIk/1beUTw2M+74OLPnfGEpUxIf&#10;L8Yx9u0CvuTvyknDRjAGrsItQHD7wPzeGWbMLM1QGSLuBkNYBX7QomlDXeWXnjsnH3j4uPTANaoZ&#10;qc44bZF5ffpsf55NMWBOXPM4pSorZJJ5rjZgOZq9z2MYnsUrKQ+8KX+c5KqJQ4MYB+bJDrE/+Yb4&#10;vtwrAs3uNWXCZ+FrCvx3SevP8CvTEvxJCiMk8KVNt3VblDZeRkN5CYxZ8jqDnSl+9qdZ0RG7tHWp&#10;I8eVQlMUnSTjKfFZ7AMelzOTObFYpbtPVXLbMUPKwHm9CnkPULhLVZUJ7idr7NTLRx5suKnxUq5T&#10;twbdhuZw4Pb0mPJtd9kp3yHJsRtMa/egtB28H6Ep9EUF2dci0a+lB52YILB4C0siVlGmtAarbxkH&#10;bS+BR1Ag8jg18qGwvBgf1GYlmkDlO0V3PcsScC1/E16NcIX243xXCi0WsW+xIwxaeHLeG6jzrdOE&#10;QWu6wc5f5E9MZttE+RnzUzi0ClQo7S2o76Zg5VFwmvQSGOPubkOfTKwUrLa39ll9Q/u7TVMmoJGA&#10;Usv0fGr9iKJZcggYNeoF+TdP+WUphB2xxOxLc5+pzkXNH+NsI2ZHPwg66eHEgGlZRB/ShYklqR/s&#10;gLDYkeN3HZM/Rjzs5nvugWxFiyh8toMMosravHz5t/+1fOTP/4J0oIXbDNyj7777Q3L6+Qvyo3/u&#10;52BNwTr79lelc+Qu2Z25KGde+5asrc5ZMgERERpLrWaxwtRGYX1TyzDmhVZoatWuSzNqB5+Exfid&#10;zXkZxt+rjGGyawtKNM4je/Wxth757MyEvACXwPvae+SXJ8ZlvfOovPdH/pw8/4VfRcrvwzKw9ySQ&#10;YAIZoGfQf+8KeoeuorRij7R03YnTp2vk5pfPIAEGDcP7cAYZrNDFzm6ZxMZ1HD0sHXfdITOo99qd&#10;uiwTlw/LlZGzcvwouk0Q45ThuxuK0EzCkPhqjEdJOmnW+TMrayAMKEBsH/nbNPb8Y+7TvPnGoCwO&#10;ROUHfb5xHuC8PP/mOfRsfVCOHz+KCg6cVj8/A4RfkBk0HLiGpKBm4MZoT70Mo70Uu7CwNo4p/UT+&#10;1JLIiddSkzmhQEu+dW6i87REKyV4t3TT1SRkFSrOpQ3LFNss/dmQWIWMMyt/Ex8kYISllYFjOOPG&#10;RDm7xAhjxqFEBnCrVuMXlenmIaPjvmRZOWEmN6XNIM+1eMtLWSM10t8tR/b2ySsXx9Dstx5dMyry&#10;FdDDX/zYwwgf8DSBQpTkiep6wtWjU3QGYHueLYU0JVWk/K80D/8g/R3QV7HguOWCRoVpFhq6L86I&#10;kxAkjjtuGsDjer4PBarAk8zKDP8Vl0pMsnPr8rL5QIKTY4ST3gRbwe+CODJOFrAJeOhdamnzTtJN&#10;+DsMJpah6MSGX2x6YYK1pC+DuzVMNyFndxu/DNwLuOunbsW2oMORITvHK9SGcKO7pRlJUaYw+Mh8&#10;rwop18Ajg+zQ791dCjN2jDFvQ4YJ3kGwbLb24dT7Wvnoxz8A9yeUBtAkm+Ivw905PQMFfxrHTtEC&#10;g0BjYTtDQS0sK3MAK8TVvUqhilpttdDwA7cmrTXNJHbXJI0kCs8KBGk7GvSzfdkOaqfXYR2uIpN+&#10;FYeBr4HfUBhqOYPHBulla0KCYRMPHUbNYLg3FZaM0eq+GRwMWYxaEwTVxWM4pvzD0a2+MvslSGOe&#10;CsHKfprmPEaJWZ6cHM/rY8IIrC6asmzpw0G4Vma2MSGGJRFI7tAWZloSQXMV3+C05W40gZ197Vsy&#10;jfZnBw/hBAckpqzCtdONU90rOKn9gXsPorYOghCnPDTAOrv7iSeks34FfRNPyxbqCOdwQkFHD9yf&#10;YMZnJ+bk7rsfQF/uXplDbeM63JQIWKoJrTFNWCTajg0xQ20Ey0CwCmbWDaIGEkkvLeg0vyv7ZIx8&#10;Fz1IazDff4Qm4Kh+lHN4xgQyTc+hlc8Qz8kjouP3xsoULE1YtdB+JnDQ75H73y8fe/RHZWX2jPzh&#10;r/y/MYfLcA1chRuiG8JwFDDCsUpo7TP5dbh22+An5+kRcwvoQ7godUgbPvaT75Azv/I5qVzF8SqH&#10;e5AY4xum0DeMMreeMYngTaFwBPaaAPMN9ws1W1MZRYwZpOfjOZXzvuilDx0MewuXRtddUjt3Wd77&#10;/hG55/hxOK2g+KwBFwbboRjxZAdoY+j5uYqOEFvY2zokLzVBWUGOhdWnITMzFdQqlXEWqpsGb1Gs&#10;M606ykBiXsYg6QqhMFWhzJMlsMca01X+ZtokhSXbMLH7A+PZZoWSz2QNsGSVSgKuTRuDzMivBFJM&#10;L71NVoALquqbnJ2VNo4xYNu7LICcKyvDTDYNmVRylxkjTf/GBMjw8TlPHrn/6Ii8dGFM6a4FBcbf&#10;euWifPQdJ5FswMQW87zkJd2+Pv8mzY3z5I8x7fIVLj/9NP3ja/T7DRqGdfYTu2vCxr6lYmLPyHsf&#10;CkzMlRwoCxITjrfNi7G1YquSInPbfsWfRidEBCJMJDplgVNSUhqZN4Ul7FJBn0klK2BUdtxJlnLM&#10;JqxHW4vdYvCpgq4TsX1jcPHHJVQ1mjccCi5gW5tVDtuv8PcQr2Mf3Ppk2AcCZwGNoxeRVczDv9U9&#10;CD5Gw6WnqxOn26CwPxKPdEK8l40nauT82TPyJlzuDz/+mExMwYABz1qEEKyg5IgN7GltdbSDV+CA&#10;AY2bkhqZGYzveLoMf2vT7ZQsZ+5cukG5LfQDkGbJm+nq5exJ09euXsYzKogtIh7oliK/oxeyBdn3&#10;7OnKU0EaEdezspyAi2VuR8N8Wr6RHcqYboQ1lOXgJi2oCIIHz4r8OeRl0ARnqzH4/ihNmRVGDQZT&#10;RPKPuWUYB9S6wehrB6HIJtgoi2BphEbXGvtwBw6zZWkC6pq693wKTavH5NQzVxBTq5WzL5/CtTy9&#10;HMc1ocXYV37jVyAAm+GD7pE9Q4MyMDqM8gecHADAHzpxj9TNQVwND8Eyew4uywY5fGCfbCKx5Jmn&#10;vyePvOeH5NDFV+XseWRh8ugSd09wsSqoNdOMjJYCGakyEHY9m1M4LBZMnKBQAd+t7tTmxkPQLnBE&#10;EstA0Fj7S6vT8pV1tGCDdbM2eUZe+c7XkJk3LCNDrWja/Ao2AiUVOPKkubMfqb1tdroBY484FWOz&#10;chYAA5zq+rGBo+gaj9PnW2pkZeYS2tveIRuYT+O9d0v/hydk9Stn0JgXnRWYEavwJnrbxhX6a0J5&#10;2/bChZOsQn5jn+f7gpzs0xzGySLVKI5cFO6PrmPae+8ddw0gQxdwWDgF45ndIJhQQKS24lI2IWrE&#10;Xu4048QHKi7AGYYgdPbKXJ30XXDpvgRTCUs1Mik4M2f2yFFURJ5Dm7MbiIOxZdouYrUNaITNotkm&#10;nh2JefC4Jerkg127aJWGbGLFSSo6xh7MsuK77ETTj5J5Zlell18eUElQS0zrNkFh4MzrrB7Nhy3v&#10;sXo6Y2Sm6esuahy+gJd+6vHAEDiAE7Pk7j2yFzBAzjOub0THknFk4L1yeVY+9EP3w3timaLWUIG/&#10;I4bqzJEMTmcVn3P+ljFajWf2vc5OBUDAyUVLQhturMEzknwClprgknbBYBC3mTAkH+H9PmZ8G+sN&#10;sKXfcVfVdiWI6zakpwRbDCFEcJkwzjhh49h9blXitjSOC71Yf6IZtUBDwOUV2fRDSciIVI0xSsy6&#10;dwodBV9ugB6xqtgLM8gD5j6SxgEdBoGXPjmzPG1PeA1jXWw3Nja9rM1Outu7pBc8tkk1VevIvQNi&#10;qXc8iWQcfk5lilT+2S99WdYx5gB48uIilHc0o1hlsgpdmS5wYt4qAGn14XP1uFFWeCJMhC85ty3g&#10;6TqUZ47Hc0lnZ2dlaA88aKDvVSjUFZRQdOAYuz29OPAYApP9RHk4upXQ2JmAdHVaLJZriF303q8Q&#10;aIr/FGXkoQoPbRCpgDHBx73ISq82hjHiZDzWgq5qeeO6KABWvTqQhGau37ALxkgzt4aH2dIYUyPU&#10;NpsbvA2LoaEZBentb4c5+ybiZ90QFKwHaYb1hqQLHGG0ucDA6IrcuMazuOYwwjnBcVzISMIp8jha&#10;hPG8tq4B+cYfXIA77oa89FSbPHBiWJ596Yrc/UPvY2gdm6LFWfpsDTZj8noyuWs2ChP8ow5bWBd/&#10;Fm7Sr2wsoDkzD7xEVtIaT6gXWIWwIMlw0XoN7W0R+xqCm/QgaBUVhIhVvvrUd4BQ8Jm3IqTfMSSN&#10;qxOygV6jQ0j75TN5vt0urTkGdBHgpn98E4kwW2s3YB2ixVrbAfzeIxvnJqT5aJ/6wgcP3ClN+zEO&#10;Yo3ayUOR2wnmNoy3IuJqKjCl2awos/r8/sRAjWhSFiKv0qSmIFHewPsMMVpWr+K4l3l1zW4xEF53&#10;BD75WTwDTerIsAljvdeYpbnhcC96DFJYuW/Sx1NSU7wwRTXmbrSqTMDnGSdL8xo2wx5fQhNeNGEY&#10;OTIgg304Ew5KUy1wYWsdZTNkRFTGdKmIACOGy3T0SEqxFRPJDWmz0UfELLRv3u5gCEul5MNJAARv&#10;UVjr0AbnkK/lZ/Zoe74vl7+Ieys4xUCoLKrbF0Ic9MOjvtgQg8kYMZ66+6Ahb6DLTC2y8Zq6h6V1&#10;8KC874ljcmnnLvnXv/yPtV8tvRwbcNM/9JN/GzTAwnl6PDg2doRuZTIqZwgMb5ibyL+PhA+/dluF&#10;J5RFTyHXBC1VHElHtMLdVe3p9arUKCP07/R7/K0uKxPEFruy6yzO6/NyugwhrIpV4LCW/ZgXI4SF&#10;brPHiA3FS5w13A3r1ZJiiKVWX2jXKuUrVujfnoGtnzDr3ePk6RBYxyuzjGzuQVe0gLQnpyp1tDJx&#10;jZaVGFIk61h5aCCK4YPNwDC/xJGYWZUVjAtIZ+640HG1DaQm3xD3AnFNMqqIT+QFowW0O4BDhEcg&#10;YDQzlNxdS1qYEY+xmIiCHsqWGJIVhBoIDM3jYPYkShcuXrkq0xBUzG6N8paIi6pAjzo+xyPL6mVp&#10;CLszQfjAoKgghDKHsonp6SmZQ60gWx7y/EC6UulGbUTDb+Jfe1s7wi/3aDkF8W0VTeJn0Yh7HSUW&#10;5u41QlRXKwGjsUbbU107j1Ejnnn8z8InlGeMiZoiFLAyvOA+EG6hoPIUCV6iKbpmVsLDqMDQIL9u&#10;iKccE3f0YYwpmHVowt9O7rVMJT6DCAk35RZqRdZv4HysQ/Lwg0flO1/6jNz52Edl4qWvQuNfQr/N&#10;k7rQVbhFeYJEpdIE4OzVagP2dt1ANfIFZFM2NO6TK4hTnX3leWzkhsyOI8GkFg2WEb/Tehz206SN&#10;4nOiL1tPgnYmRiGzjDHneQQK5nkPrI5rMLmHWzrkbpi6l8CYtsCUnsOZhue3btCJDqEIK6cBacH1&#10;PXBpolwD7ZEq0IZqoLU8+cXP4NilLpjoFseq4zmM7PXpiG51LeypCpLcnAajQjPwWpy7t7tP1l9F&#10;M9hf/x3pu+/taOkGtwTikg3wbas4oxA3yvctds08bHZzfBvql5w2kXlYGk56uvdBas7IlZkYLgUS&#10;7bImk6dzaJwD/0Pg1+5eBHIx+8q6qITGZEF10/aoLOmZjjpdF8jl3IM49beSc5qpvnVBrp8Tf9CN&#10;f2B/uxxgqzme1o0YcM0qymFgmaKfv95AN3vM34izsPiC2RgSumvKiciZUZJjCocgDn/vkjBAm/QF&#10;m2hhTeuD/NFhCfhnSq22cApn6vzbiIlv7aCvqZ74RZf9hvQMjyLTAGe/4QxNF+vaI3UXyVb77nkU&#10;dbV34XidPfCYQDPEkD8HL8tv/ua/QnLAgrqEXsIB0MyAa0bXnP9/fcXOxPyD36XfilakC6NlU7RN&#10;CTMBa4ItBKmVZphCkKxiF35JKJPPqYC2++z4NVMcDK8NU1nQvQlaX4NXanZyTKbOP4cGHciH8JiX&#10;lT44NqnFaTiuUww8dGw3K5CLCQFmBofx9nCC4g8VLFt6XNgSQgHsGMRj29qR9NGHDMwm8Iky6UPv&#10;d0+LPZi11mwazaxPPtFiafSZa1MIlXxOG7oOt+ZVoLNEjk1G8Bl4Ips6MBGlns1OVIF0eGmCix2N&#10;R9rnSQyN8NKtgY/PofXZFPIoJicmEcaa185GVByaIFR7h0fkYGcnDB144BjKAPzWAN8rV65gfDtV&#10;QpkSmI2pC9YJhjTOn7AATaA7DzCgmtJAq4/zhMfI9jXo9f/D2n+HaZpe533g06G6qqs650k9CYMB&#10;ZpAJgAQIEhTEIJGiKVK0RVG2RMqibNnyWtfa6yCtLstrr/cf65JMWhJpSpcCRS0lkwIlZoAACIAJ&#10;gcAgDIDB5Ng5V1dVd3XY+3ff57zf15TX1/6x1VNTX3jD8z7Pec598ukFyXEhmQhs9lsWbxV/i++L&#10;zT+ffwTR9SAsUXpnkzIhSZW/2MrN/FgMqKekFT8F39PheGUce/gt4677Hh3f/5feMA4/cN94VqWg&#10;PvZbvz4eeOcfG4/ft3N84ctft4Qit+s4+/U/GKuKTsKkeF1qOJXzt8l0uUONeccWAl52SGOQdK1b&#10;rOxRRKj9kMofVBeJGySlKwrUkq35bRCfaZWMoS72iijV+88p8OV9muLrUtEPKGT4Nfm53iNgPCOG&#10;/6RMCAd1+w8s7hpf1nG3bp4cJ9aeH0rZ10LtExrsH4u7HxZxqomjHLdLyiHckGboACIKzSIdImHo&#10;XtZIlVfDcHbtleFQBbhvqWzbZTUHvv7UL6nD+p7x7Ikr1fdKxOKSUzIsCwRIlIbIpg1uIgxTmNtp&#10;4R/Ze0Xgs1f1YX1eeDgnpMb6U5pkmQtYxjDlgM627XJCc+8JiAOwXmKIiYabLVHPgW7BcMbnn2Ja&#10;M2QpJhDmdltCxoI27oKq69yWGeQWQUvURvXWhOwId2aTpKBuErbzzDEJ9fM3r2kpuTYMR8KsDI7N&#10;hOAiLal7MopF1HWbsc2MKjMoLW3Tty4wzzCKyeSPN+wuCRNPvvDK2Kfi7UcPyZ8i+t6xU9Gd8l2H&#10;LXIB/B+0HBP4n/6yigg/6RZjLDc5TphFD+7bJlMxie6L49MSCP/Wf/NXxvd/5ze5aSj70s9SkvJM&#10;wy0/KeuMMGtnRa2OGQzjLwk7Aw6jx6cmXxLzlXQoCkjLJFVCsfe3iSB7LPMA8SAgl6A0Jzw7Ypxg&#10;OTt0al86eKPvzyJHuG5hNvdN2cQWxqkmZfL0cZj46l48F4KZaESjNN9CU+ux+djWJDyuiCghQgaB&#10;wCqz36Xzagd0clw5R1eEM+qLp+a6YtZLKvh8U9asqX1U03SR3R0gN7cbPTGFjG2LKLl0Ytbsafxi&#10;VJj60rOnVOpv08Eih9S1Atzaob2HuRFxh/ZpcZ3M0e20xyJoAnbG9KKuicQ8v0Vv086ZmwOWQN+7&#10;v6wENYJUbOIEB/DrEcUp7W1JIRbXVQEM0+Y5aXlnTp+ViVOFR6gKJjfYyu7949F777d5c6fqIzsl&#10;RZYCfJX0JiQHEEuc18umzqIx37xpotbFyxw/4pzPI49R+Baahx/lmb0fLVCkhyhFs7knvsYUn6+9&#10;gCvFbaPcTxCfWYjJ5jNsuiX5JtlxjllMmkUxYybOC1LI64EwXjQEgFUtbTRRxx/6NhXfvjw+/9Kp&#10;se917x7vEXPdr8i33Qf2jHuPK0Fz+e7xxntujX/07Gvj3/nzf2ncf3CMl0/JMXvu9Pi9f/OPxyn5&#10;iR77pu8bt66eGGfVHPeaujTfJOxZ5stt6uqwbfvdehAAmoAYJW6KwWxeX9VrWiuty891fXxVI9W3&#10;4yF6cWmmaPh6SmG/Dwki15AM9dxXRQDHxHAf1Fxc06L/icU94yPXzo1/TjcNFd6+dU25ge4IsKzv&#10;Nf4ltUZalK+SWqnyOd5WkA3m4mhrFayjzbVLTTMffeDx8fSn//W4oJ536+cUGHTrlfG6N8qvIz8X&#10;hZ+v0eVAEX9XrygMWUBA1OWB/XsUeJJOBEv0wKq0BFITIA6zM0vLM4nYZB7JJNuj/kyvJ8m1v6sN&#10;1czcPObOTRbNEyDrThbR/OY3VfwatT2hk2nDFa3A1ObG40/rGHq0LcqEbGrmuWhATN7ZdHzAOs9c&#10;woCfsZhMXWvW7qek3FzBP5PJeX5OGjznr1NP0TefsZz5+Wzhr/dG2wFqZ2aQ1pjp3P0TP/+blsb/&#10;6//gj4+Hj+1VB/JLyjWVZcHMOAIKKSe3Rbfn1D6q5y5PqyLzysN67+PHxz99+bQrq5Bb9S9+7dfH&#10;2+6PKSjJ5mWWm+Y+loGOXM2IJ7Zc92BevPA9S/48zL71lAg982s9N62zK86tbys9fcMOBMr6517T&#10;9ae5r7Wtk1LKL5/NzNFhcgHd+m66SdbAGGkdnAfpY2fAbMHC8178Thckkf+mIsSvS6NBU3eVHIN0&#10;A3AsDkX1s7m643mK5ifWmPctGN25EWHcRTMcL0lvm6oDvekNDymXTw1nqXdLjq5u63J9XMo8tSxO&#10;frSmjvm96k0xB38c6EHMTKl62ekZ6WRSggU8BC3PJk61NpOpnStheSDPj4a6F2WmxKe3qh6g5F3j&#10;v9t/WNaLBx6SZUzHCVRc3MSRoSSt49qSL3EypyNMZUzsDVuSeHwS7QWgXaKweZafpPmK07H4hHOL&#10;ZvVda/PJG5TvUeCN/xLQs1Kn4928GP5JOylMtpU0b/ldP9sXlt+qK9GcliAIGB0BMqRHkPxYTVxd&#10;SbzOQMpyXc7IlFUWIpXTTRSgcNqbIL8cefiRcfHVZ8dP/fS/HN/+H/2V8cjhm+Nzv/HEeOG0AOjx&#10;7xqPvWNlXNpQhOhLXxynpUbTZfy+e9XWSIyR4JW3vuN94+Ofe35863f/wFjYuKQUBZVR+9m/LXPo&#10;cw6tzQZBasVcoJBd/W5TabbF5UPWINAM6eT8azp3bLk0viQf0xaZovApvUvFtzc08MdU7/S4FuE7&#10;tHmek9b7shbxu6WdnFW47iEiFmUicLUKtDPdbptA8Tu2nB+fuPSShBf5e7Yr32XpmGqBPqyFUK+x&#10;9Vcl7VzyhmS9aFC8TaG9hx5WWojg+MplNZO8sX+8+Oqr8ntRCECtf5R4uijz1la1/0EAc16M/rpx&#10;rBb1ioiQm7c6z7Vdak7EsSTAXJSZgflwDgwgBiOznbzMQ3dsjznWXhymQSJMmfOSoI6tvX18TZzZ&#10;as3PivEXHuW7aK71UREGJ9SJ/YlPbcLhw4p4rcizcOQiq+kqc5t8Yvi5drP5Zgs55Q9LzXV+OHKN&#10;czaGjDmczDzUzHZ+ELO75BKtWcKYCzBqJDCUXep4/+Dxo+N3n/j6+PmPfX78D3/xuxT+rXqy5Hh6&#10;zDEHk5Nr9u1atY05uS9+wve/9aHxb377SbciAzCfUeuZp18+N9788DH3T5wxv5Lu55lhAYaBeW5O&#10;Zwsze0QDoHn+/Lo0w+35qFWrj2d+qRKI50bjq5RQ3VfMcMyZzTSLYmbP7dQZpvZOATufzcaVVzP6&#10;y6VY0xa4SjO440HLIuAzJ6IJWKCxqhxYfkIb00z4dY7vEKA7LjsdPwOnHDybO1OVr1M+2jyQ12Sv&#10;BB27Hcz3dRANcPX1NgGIQ2niyGvCyK17/utNW0UsxAIYuvZ1+AYCufLpFmTh2rG8W8GI+2SN2D3W&#10;5bdbu3h63JTPnTQJIv05z8ALqKhKCsF9gEqnRuw7dGQcu4fGCghjOqbSGBwkIwBCoOC1tbA2TcND&#10;DK7JJ7TrR8cAsPYp14N0rd/ZDmRJsCB043EOp1VeolGpLgPoOTJ1DvAWxMsXl2kynD6I0SSzfLlH&#10;88RMoMBbIfDbjtocQd0/AAXTjNHaAQ7NDJkUGSIdzUjeoH7dRknvJUVJtNWxgCamLPIJJQXIr4NG&#10;QwPUh975vnF4+/r4nV/5ufGMzEP/3g/8pXHxlZfHBmXTFo+OvSUZMPmr6vd2XfmDdEy+snZjvP3b&#10;/vh4y4PL47Offm688OrN8V3/zr87/tXP/rTuJmlE5kMmfZNanyrIHdt3PyQq74qeRwuvRMwhrXEs&#10;HddZykmRhvbrCky5ffPK+Jyea6e0uaPWsG6N+1UI/AuSCt+gSVzTeKw2m3ol5ej3EeWp/Gf77x5f&#10;fvmZcYoGzpsnxo7rr44LMtsuy7e1vOsRO32vA4ZXnx97df6hu+4erzz/pXFMGuF73vQN46mP/IoS&#10;0hdd7ujCNS2oqjHcFLNDKkIiJVpzr8wihMXvlT+AtiNESGEWIDT+mo5bV6HIy2oNcuKcnsPPTd9L&#10;mX2Zc419ScCKhEbLE/y8AKRXVc/CbyQrlprNmiCJWdWaOYZemmGYV85J94JiA2YgSO7NJO5kD3mn&#10;75oZ+zLFkHsnz59S92nC7WCXSDy5zkx5mYfaEPVsWOYopof8hKlO0rFf54mi7Va+Wg6tkRUIFsD1&#10;rEzaSd1verQaewLLYrb9v/3Qt41/edeRcZ/7JCr5nbn2fPVDl9aVU3LzAmJek8xMEe1veuy+8euf&#10;URCZaGJdNPN7X3pufMPrjymar5+v53UGhAHzMhvPzbHvOK8F9tT6vn3/ufm0wBGNKCZlfVfmsp6p&#10;eVDqNehbhlz4X8y8/su1cK30fE8n9RjqC38+Ly4F6GowmSrmmqO8vCXk6ZAa8UQTTb/TLNsmHAbd&#10;ptxGP4tPTea+RwbYs9u+vX/rWfukik0ImU2zU1MyLb7rrtISymOvX9qBTNctGjVAzu+hP7R3fEUH&#10;7GhOqZWptngPf9N3jX3HjquO8YGxU2XTqHW8Q1GZHHtDUvYVNcO9cEq86/TLY/nUJ8a60tIQngm6&#10;sras9XGzcdTSml/yBzcKzGJ+jfmRHzpC+H0FW3Xx+RSgx2oRgOS6O6RJrikQxrwICyQJ85hdxS/h&#10;YWiSlGS/Lh/pqsyt13Tfa4CuPrdSQt6gAg13qQyb+ZzNr1af4/er+3WgmNe85xJ6qvXcfuqJv6eJ&#10;c1n5tLaT9kRn4a0CAnxxSAzKqBeQ0I5obzpFqGIKuYVUAL/l9ABUdYhb4KfIoG3bj+qB9skX9uj4&#10;6kd+eZx+4tDYL5/GL/6DXxivnVTwibSn177yeZUN+8z4rU88Of7d//x/HMovHzt271Pn3xWF5a6N&#10;deUNHt55YXzx858cR960a3ztyfs1ucvSHHeNDRXiZqI2lWDp4qiOYGRZMQ+xAZK4bSepwA2zqGqY&#10;KYVBZX/UtHG7chAXFvaMPUrzGArG2aJnuoJdXnmCO1Rh5qelzV1VS6Y3yTRyQgC/KIkFn4gLFOte&#10;37Nn/zigsmcPy0b+Es2IVRXm+2RmvSoC/OLaS+NZ5Q5uXVDtUWmH+++6b5x7+bXx9Cd+YRw9eEzA&#10;vWPs3qdUBLVwOrKiGnu7CIyRBqt/mMw29TxXpO2uybGMJnjx2k0VFJC5Vf9cn0/HoP0RLr9C2SJp&#10;j/epdxdaKsKQwVF+onVJSGvKF+LZ3W1B64O/kXlbdld1rZ2rLwC8WjuXSIPKwzKtQ5qY4BG1gfUn&#10;wTtITzFPNPGHpbWUXdu3uES0m9KsioMw1o7MQ1JDgWUfOarULKPMW8axNm8mCjAMLIy6TaoFVebH&#10;zoOyNpyrOGNG98BsaODXQ7lmrlselUnRN+/IyIzVjLsYcEAxjCBRt0HJ1hT95IUdZjD4JLiP/u2U&#10;EPND733EJppXXz1rM1cu24w9o3d4mpkJoJxbtF9+bWljvOOhu8ZHPqdiwzoEJvHpr70ynn35rH11&#10;juREavacZCAReYq3283BLxNf9wc4DIQBaxfSLmGvuIUFY/yDW8WwbqjGLswtx+c8M2aDCONmfvK9&#10;H89z2uuJnI0ghvlNf7VnWHB8brZCTfNd2rknqNZ7YvyJBO/0khIdig76aX2pSYv0HNcahk/XM2bo&#10;fk/E4nY5u26oQhJ7Yoo/9PrPwKvLRDJ/bVL0/Hb6ASZCfUAnD3zXTSMzeTF3rFGEBng2r0ffZ3bM&#10;DONqnrOas49nFzPwFUl6fmytE30TfLek93sUiLe8b398o/WDm2W/okn5HY+/bXzt5O3xyY/+sufz&#10;uoQsaNFVWKQR2ofn69a+q7lJoFHALbwiIGcQROviu9IMzVXgKexL1tFl21hjzpXSJFq4InPrBUWm&#10;UpOU7kPwJ+h6uxSiJfHbvXKh8XcR0yaWr6JZ36+1UP7WfmxT/GRG1/07qb+F4+23FamZHI8UZGXB&#10;kCtpeU9NGHxlk0bvzSCNRKCwKLV6uxIZt4mYt6lL/FYVot6qvws7duuYE/oVgC6p+LRA8uyFG6pF&#10;R/TRm8fBu99kU+cTn/yMHlz5e0eOjz/49Q+Oz8mntqCifp/44D8djzxy3GktawLhNzz26Hju9GmB&#10;xZ6xlR5xp26Mp77w2XFZ9T4XJdEwgdQIvUlypBk5BXA1yZibisA2Nd63/fCfUbj6xnjqX/zCuHFC&#10;Tm+B9fLdh8b6yecUhCNokv9vYWmfJmG37PP3yjz5wPg6m1Om00Ua8QoYbwgUaT28RxNPPdV3SrL6&#10;2KVT45oWiU3x7QL3HfKhnpep9TFFNX7p8hcFjJqH5QfHy8/Lr/jCH4xH3/0uV0gn7Dqbqhlt2KBw&#10;bRzZozndSzm7MCsIj2fCDo95lMixDV3jjGzzG8oJglB8rsa1qDBENIXdAsdFRWQRemwbv0wGGwLG&#10;qxIwLqux5a1NCRG6ls0Y5rsQd3xUMVAECMOEs217vLwDsGmB4ynu881QG+6aF+a83uTKgPEzRYkI&#10;I01k3+xZMxP6f8R6n9sMzAyjNM7Mz+zaM5NuNKNou5ixAdEwCbcgQrvnabE+VN3C+C1SYKH3Q3Ep&#10;7h5m2IDBFwUcLrxss3MCopK4GxD0Z/p+VUINxzfTDcxljDb5FaDYTGTQaBcOAJ7AgMsq6XP86P7x&#10;+nsPj6+9fEZC1Db1abs8nnjuzHiLEuqhhzTcbTZZQgSPbQbGfmA+wogyn5hkI2DYS8Zc63ye3/dt&#10;frxVEcOKGqZHpwNmHBSlOUSI8FO0ntO0wEcRGmGC7WN21CJJypqX7QrVtnmMDu2tMWVCqlAy2kzM&#10;/2buRWe2VjCzJeBwba5nZVjPYYMIdFngx3fuIcfzebDRPEOyeeYFjYXguWsKSnED69L1IjBAn/0c&#10;5J5l3Ow19ioRmcwpo1rX4atinIRzbdO57A/8+KQrTOBd927yr5GEFur/Ded5n2+yIwP72RNzYDgH&#10;6I2QbuelPN7nvvRb4/kvfVKm0BVFGx8cew7dPfYfPT72Hr1v7D6olC9VfumfXUr96qteJzS8hKmt&#10;xFtAQ5P0Fh4RAWMmOKZQSkfcxuyIksI1nXGAIuEUOPEyWeK8L3X+U19Vlx3R1oaiYb1vzC80d8KX&#10;fVIUVpQ/t1NCCnNpYa/4psft4+FhScfxPmNv6p+zGSx0QzzZbx1LMUmZ+kyVS7VxzCxmEkjk9mJm&#10;ts9zYSIdNTEQrIqtYie+ekvRU+wmTU40sDAWCxsMhILSskVvV4L5ghKsqUa+ILDZtlM9BwWW25Sb&#10;t0Uq++oqhKxEe53z9Ncvja8/9XkH1SyIymQqlyQibUjdJ1574WtjQcn1F088b7Ol85osHDGZWUpL&#10;mlSPwckLE+I5cNTq9cH7VEYNZqeNt+PRx8a7fvTfH8999rMar6JRX3xpvPr7n87Gx++pNI8tAsTt&#10;0ui2Ld6l3+M6Tgsr8+n/6/zp8TMXnh17AUUdv0P3X9Fzfpnv9R5r/gdU4/SPCej+JyXer13+vAoG&#10;HFEj6uPjy7/zhCoj3DSAY3YOGGS2UwtQ5k6Y4WTCqwfTH+oD0gZnn0wAVPjZcnSviQV7+DWp8dck&#10;vRFWDdidvSTntcyk+I+WpDVCtgQEkSYiitTxVe+P8WrBEHraRMUwsoTpFbag81uqa4aXKDKChBh+&#10;5tnMKqSW/9rcNtvN8VV4jqKxcG+3syoCru1l+kuR/6xtvSzBec6UasYXWPEGbmZZbKJzJd3TEZq0&#10;uaj8bmb4Osvt12GDpa16L7QmGiHLG9rj4LsyJQMUHh9gl89nM1B7yuNBS5wDwZqXMPYwtLQoS6Lv&#10;7Ni8jql5m3JYF8d3vPN14ysvnvL76/IPvqielt/zvsccrAC4Z/rnGWSeJT+6jhlMnjtaTplS4Wl9&#10;VI13aktjhqdCF9qPYYQUbJ7FWrSG3MzafjmfA+AkCCX7s9OX9O1G5trM0QwymgYfJvArRf1t1qs5&#10;5xoIX36S3u+19yNMlLDi5y8anFaFtec29V1QkJEFRJXStbLEe3qRhsG3UEjeWNhyrAlYa/hdE0Hg&#10;nyJPGJPmkgSTg6qxiwZGFPCmPl+XoLkuXuRi+BqSgdGtp9CK68lMBwlInNaglywL6t8WcCbq57xe&#10;Wx9f9Gf69Q7WmlHli29wM52SpnVyvPLs5wUo0qakyOzaf0TBLfeOg/c8MK6cPxGNDhqxBieHk32s&#10;gBfaWwBtoiEAsEGQY8tvyZouSBA3aIn3rjuF4sI4T/m18xfGRQU2EuW8T/0yGdk24cPhY/c4f5A1&#10;WlXkPZVqKB24KBMnJs+49bYqz3vRvkgiVDsnvNP4moW0dSdT0gJ9UvpaoO/Z4q/4QojC5qhaAiTq&#10;uGHLpKLvpshRJsMToQRyJF9K8nAvzKLVQokqo6ivLDQTs6kAk7Uriuh0HTuAS9eA0FHXBZQ7FBm1&#10;Y6dMrjJTbpOZcrtMsAs79gqfd41VNUelSOov/WsS6Tn1nKNB90m135BPb1MdHehgTzBP7PrwkoCK&#10;Ezcx9SlX5ZLGcOO8tKTDR8a5F18de48cHqdffW0sP/I60fiWcejYsXHyiS+7hUekR4E9GuA1RX2a&#10;OUkd36lk9+XDasb7gJLst4yX5RvdoaTyW+o7+AW9flSBNjt170O6wj16xgVpbMt6vqtK7bhHaRwX&#10;rzwx1pdfrwLhL4/795+Utvw6+wFDpRB5NkEz2rDV2vTWfoqBsbBoVGYQzImIReuytLx17F+RRu6A&#10;6hQOiIsUwGkgaTNZ7bLWqoohNMPxhX13o9yEQk1YvfdmbD9MI8OtrWyJtQixbpfj6ywzXq79h2Xf&#10;AKSfLQPJT3Zzzc/syzn5LR/6g75Hxt6f5JphKjPH4rxcPXfHOY1zdo+5732LXrH5teuxNUubnVO8&#10;944nm74tEMhYE3c9PwlIte9/+8Pj3/yuylu9pA4m+nJBpiEM6mgbkrSmCQsIzc3dZM4JIM9GFtqY&#10;1q2+aJCZAlFKUOvLpvdgM+Gmgrnn9TVndJORkM87vxbFwg1gPYRo/pzbADlv3p1e9zhr7LH6BKqK&#10;SGp8WfH8zNFEPUg0/DLhtjDKCKDJ6XEAglgS4JMIbssSRvn6psCOHo4IoasUoafUH41jCVgTb8Qv&#10;v8MRmBJWdQL5z6t0ZBZvQFnb4VKB5N0l42MK4pjmdraGebKAoZ+mhLVpRv15rDkTiffpPE/tM4Rb&#10;xOz1tQvKzz47Tr305Nj5xR3q6KNKWaVpwbe3wjxknYtlgMFlBG3qRFnAL7dTfsYlgRPzcl3J+FeU&#10;MnH25KuqOXpO4HdxXFFJtBt6eKIzV6TZHX/w8NgrPx6J9Ez5Iw8/JEDcK01QXYAU48B6pOlAtMII&#10;hwrSEZjuUl1VhZ3oOFm0lMeJprlnt0yk4vETHwGjzFatAvlf0nyaEuI+SPk41rOZAQs8IxNfwJYF&#10;TsSGTz6HW3skh80dBLAX05yQSCZMkjr6hqj5mgBjt/rr4bfgXOZyU+CyLi2FXBE94tTo0PXmZKZc&#10;1UPFr2jPSPYPQElIq0yuO9Ail2Te27lXZtYDNl9u23FIks491v4gPAJ2yB3cvKYITUWD3pB0h3nj&#10;xoVz4+Lv/v4Yd90z9hy/x41xzz7/wtj1Xd+ujg+vjddeenE8+O5vis8N6dMRSXoenNMmfnymMnEJ&#10;FMfVi2MH1c8h/nObIvLD45YqwnxZzQ+/cuvCWLlxatyt8b+iQtMHNC9Ig7dEPPcKCO8VEVzeeGZ8&#10;5sbhcfvAgQgZJckWfw+hzm3mBsSAZFG0mTPqf5kGbANPtQ+3ifEOaebMAoaxmBjMXyb5cfIfzfht&#10;M/PspBlrL+neAtDETuZ4S3OxUFp44ByTaybqw6YH8fkT1swesG7Qu72YaRUinnZ57fbm75brfW+e&#10;PWZ8Bxp48//bP826PV0z9jk70CbU8mnVTcwca1YmvPUFClgy+WFWmcIaE+8yMeGtuc60qBMBzCNX&#10;rUENHia6a2XH+Pe+/e3jo59/wR0l3vXIXYoeFu0zVq9LP1WBQS9s7u719koWffjo1q58gdzMEZB8&#10;aVrMgnfVIUzITbfzc3jn89U06nLFliczdkyx+Zle1ry0ODRN3Iwwp3H4vF7cP3yd2SPU2GPSrMnx&#10;vmlhcjYAS9fRuucG1YET7QLu0da0+Jo8m5qqqAUb9h9cHEq/InZAwjeuizXlFGOmpsg2JmwiuVEe&#10;rFXqlyC3Tc3xmpAU3z0+OLRFQBG/e+pdd/BQZqd5Qtktatqj+XmRi/AaBPI3IJj5Dt1x2LbOvTRv&#10;T9yB5wc3iWh/8oNqDERz0rFhWXmuJLijHGyIb1+6dEEddqTpScuju8QmVY8o5iDN7ujd946HVBXG&#10;IGkTbe7BvU8ruZ4AnDWVVKO7PC4JfqAPABAgxHLHc8LjV9cvj8UrEvk09nUFyZwTwPIUHLtPz0gA&#10;oDVGns0ugFwMhWYiIw2B+xB34gBQ/UgTDBk7s0Yn2TjSE+SXMSOQZ3FDqQebYuaYOIkyWpSzdSdV&#10;vdWJAVBk8vA9SVEVUWA6VNSj0J0RMGk4Ms2i7EiNGcu5JEREUjgV273utyBC4Xq3NJkbshUDnDdU&#10;2PraulIkzr/oybEfA3OrIjUXl1XkW+XZFhS4s6DefwSl7FwQFOnRKP+0JOfw1S8rCupzMn0uwQAk&#10;caxeHK/8yi8pMfb8OPTYY+OFz8pHKTPibRd7rTyh2qT2OvhaMhsqyf7Ym948vv8/+U/Hp375X49P&#10;/L2f1BNJw9xzt8Z9aKztPjS+pmCcJ9dPjCNKyZBRUnxUZeJ0jQ0924/uPDD2nj05Xry5zyZNNSIs&#10;xaXYQbhSCB1zkl9nHWKuBPxY1ALCJmsz7H+LJfkJAgkhemv4zZ39utl/A0WCOWqrlHekaaRoqejD&#10;Z8wQbGLwuX5rnDknWzev7mhCW/vWn/vbPn4aaO/pfFt8qq/mJ/INZ9CSY/QUlqTyGwye4MvP18+Y&#10;OZpd0QDAe0dL1zvPfSMY1+wL9Is//Lc2I7e1ANPcKX+Dec3O6rO0vffnwftieC3B65OrcqF9yzve&#10;ND7w7rd6k7vIOE9LGLxPmWN4lv5znR761KvNQTIVBc5BPjZ/TS8VXGS/qYQ5gue41Maaiiq/9oym&#10;XYzMwm+t2zz49OQWwWVv63iESwvQue9stXNCVhFBLXOZP3OMu+jSn0603mvbZt3Qe35K6PMn/Wk9&#10;6+yGuXcvbY1jIus4G0srzHV8JdMWJ7WAWRfEAkTgmn53SznhGPjQdTFqBGIVyDLYwZitVRIRqWN2&#10;qIhITPWkHuh4+/Hjl03zXH7nfLVev8xhBL+az57Wet9UybjnhY/ZfomGy6XwAyP4E+HpVAf57ajN&#10;vGJNTxYHDYK0hNMnXk1hbQEea4sFEE1s/5G7xj33y/VFQWHdD5cUP7SV47rXragAbjeNBcQ4rGPW&#10;hO8D/O5Eo+fh3nP4MAls+mxTYyNvcRaQxhSkiMtNaQCL8h0mdzC/LFbeNw/r+Ioynet0BQixwAHA&#10;gF+IqokCZ7aD+6QNXVw4NA7e9eB44+PvGY88+vg4KpPi3j0A4aJBi4EAevSbuqgIn9Mn1Kn95efG&#10;mRNPj42rZxwMgo3X/iVHDFEBpB5IEwxC835FjsAVSRwM+5okJJo34gugFA8EweReUzdlbMNUH7gu&#10;cLy2em5sdB1FBzzILCh/4xZpjFu3K6pVmuTyyoN6NkwyMlMsKbDk0yprJm1x/YXf00Jd0viScM/3&#10;raWlOk6kRP6xiV9+4guuAbpbZlznd2lQN66d1SJIvVek7PaFg7JM3T0uKCBmx7VT0kxfHSuypx+X&#10;I2WXJJhvklP6gpKmb8q3GlaYDT9LXA476O+s9Vky59hs9gBJwMoBDs3san/GL8M1y6zGfi2UmWmC&#10;RRjFwDIOnrd4/MQYpi3WLCIbB4mxmWeNZG4Y0yclx+p9SdzN3Itv9Bb2CWz4OrNfBeMqcAVilvCz&#10;Veu7XfO/XZHMUwsnb6L0M3NCNP4fFzcgernmCwkRpg7zrjmEKTsZmRmtcyw9VxWTSJWABBaRjrLM&#10;9w5AsPiZZqD2ifve+Qv3cnKubfn8Jux8/hhvaH2W50DwiSTbDaxz77y3T6vG0+awCKoNftwiMxiJ&#10;OJM5mcNnKzjN8v/ZixsIopfPq5qKfDmnXh4vP/u1ceaq4pnpDyofGtHKff0pPy+Ode+hiG0xB/qZ&#10;JH13K6Kc2ubPGmegnBHPwMZveW/HS15PuDYPcHU906+RocbB88+uW19MzL/f+wjTNMupsdpGm/cR&#10;Ous7v66JrAAAgP9/OsEpYAAA//RJREFU5881aiyleVqGyhDkrpDGaN+8diuClQ4F7Jzu5By7BC31&#10;b/yGaB+ZS/fskSkA/6P3E9uA4BzxrG3Y8+r5JitLC4DMr8faQmbGkFnndQR87IAEE7qyigEopcWQ&#10;AXDZnJdp011c9J0jNdVNYt9BNQrwPGEWjqsLze06lgkdt0+BeWfOyGyv+UgUZwDJd9UzLyvghXZs&#10;ly5dHEePyqKG26bAKhGkidxl/0LfHf1Jriz8n+4Su/dI8SHqvdLAVteuyPd5Rc0Z9oWK/Cya3xqb&#10;k/mNPwiPpQnGGR0QzDL2yuW1iUknrSgl4P3veev41u//y+Nt3/QW3+D/lx8VQBkvPPvC+P3f/NXx&#10;mU/+4rgsSeKAHKKo2kjqWzHesqJ129THa2aEZMKKUVaMSUxZMbRKbPBMLJIU4JjgjNuqwJK2H7dI&#10;qJRmd2P1NUkcLxogWYSbCoDA77hNPsftMqtuU9WXLaoAsyiHNiHD5BreVFrBTaJBr8vm7J6KEJwW&#10;Q9+TfHn13IXx2Y99ZHzlIx+tOquSkFTl5aE/84NDItJ48cMfHjv2yl95/rq6TTyg9JBvGH9w/ex4&#10;eP2VcUb5jHcdeGy85Y/8iXH9K79on6glf2msrX91MeJ5R3k2f894MZ556dZMwqteRJ5jJ7nY2NkX&#10;yMaaXS2C0LSPp+9m2ltv5sBh/TjIgPOK6dblZ5Jp7mmwnjlY6uS6Um3OObKbvo92wiNps++7a+w6&#10;JHP24fvGLlWb36N0kxUROomxzd9KML6DLOdG+39Irs3L/r9+WdPeMx5mSA3dMhdG1IyEa40zUXGe&#10;a5si2mSNVsImTwg50WzOY0JD4ngxuK02cUd7YZPegLFwXbRQTDpsBv5yeaIuXQcx3xMS40ASRzRy&#10;rKbcFe4ZU5idBQEPnyCfXJsfFFCMThYqOYeKG6p0s0kyspqoXpMLgIohRHUD+vc//o1j9eUn1f4M&#10;ZtdMtkG3Q+lDi2Aze7eF64bFzFlWxwbXBhb7skOPfpaJbrNSAarwrN4TMVEXLjVpe90i6ISwS5Dz&#10;S0AD9wbVYfS5LFtEuRPAt53CzgT+KYaAbuu+ioUJtN4icNewrTUuCvfcTsDNPeq9TmmhrnemtS4d&#10;sl0Tv+jxpDqSu9qjBQroqCLlXLzrCToj7YLAGwt0usBN2tURLS4lYYvUSwAznRaiNSZFo368hzKO&#10;NvE2WJao7PknAK7rsgJm8FHoa6vuTQ+/JZlBHV3sx0vj8CS31OS3gKL7vfLyK2PpoQfGqydUVlKf&#10;r0tr3Htg/zh4gG5DASemc6t4+UX5EM+rV+mhY0e8tOxpBkx+LNHA66JBfplyCo1gKdyrsmzH1JoO&#10;EMal1ibQKwo6PKlSblhGqGCTikrQV+/XppMWHO0TbENQaYNNTuaJYYyuxScf29nnvjDOPPfUuPTI&#10;g2Pvwd2zSf4/ebV7RUWr1TfwTY/9J+OuHauqe/jpcW4DlVaDYLNbQA7opStxIo54qPTCwt9FaRsl&#10;UXpEkZjd8B6pSJNg7VLH0GeOxE6YC0CJRIK51YsgG/CGSpRB+NdVsur6hsyrSmR3JJQA7paAkLSO&#10;rTtUH1Qmy8WVg+oAsW0saxFU7lULclHAeEnXujb2KMfu9/+3fzBuKolzUYSBeRZV/4Ye1lKZ0jke&#10;/XN/bpz76lfGyY99dGzbkE9TwTRP73vb+PGLXxtvUyDP8d17o7WUaXObgoEuqE3OFfkvdeGx/+CR&#10;sSRp24Vfp+1Vm7+x7A8BngWZCa1mm2BiNXMo0WDW8mBC5ftTwKe3yTyM9I1nENrgMJO8ixlOO6PP&#10;LzZVY4jkWky41RVz6ABfpKIwMCKQd+45OO574zeMddV23CWB7OzXPztOq1GypwBAgGGUGScrHnO8&#10;g4f6GPt4E04dHHFcoEGNaySvrcCrfawFEHzuFi7QpoGt/QyAgDmuI4PNGi2QJCgpQQRVzNipAPmO&#10;Z4MpxSdfe82VmXKtbkPl12E703zV7My953rxvM0k/L7m3Pm9BC3I1PyaBjGnZvr9Y+0TIackDObK&#10;5bBU0/ewaPc8UY/SELfL14OP0ExXYyBVA/8/Ckz6Q8qFQPqG7om0Hu0oqR8BjjxNd79oButxZGqi&#10;xdUc3REwZJBrYaqel6no4z32hqC6WB7OEdV3vfG9rm28IqFqaUXxBrh14BsSpFdVO/TyOdURVTf2&#10;q+rKvqY6osQZIFwnFau1+8xXSLnWtraJ3Sr9ZQsi9bx1VtF45gClQBUDUwSbKlgWgJKuhilVmVyh&#10;WQJVSMEg8IYSa1irAEYpCdehNwXe9L0BRIR7UqWsiZs+e+f17s3xO+gKUxREwAmpXGK6GheCTeoy&#10;Nz2UejQ9hmd/boopu4ZrDDoC5F5QDMb+C/vtT1yRjxDApqM82ib8+wT+QeVkX6FrvfoXEkCzZ+/d&#10;49SJE0pHU9lIxVNQTeze4/cLYF9SeUmVxqTlksypYAPj4TpYIqE78qQJD0zUNnQcwSepHcGcfhai&#10;5i2wWlbz317Q+ECM1nq1Kd/DU08/N1788b8+PvSvfnbc9/Abx933PzQOqUHunv0HlIOiSuc4P0En&#10;QFO3A3DWFe564cyp8cpzX1XzxGfHpoJmdixE4uwoTpOAmV/7XQLItlEnbHUK1UcD5AG2EyJu353A&#10;UQu1QVsZ3ZWJ3SDRU+N25XVNCGkCu6R6U5+TKDrAkc0KMyMiiYljo16Ttrap+qQbl3VDigYojWNx&#10;5+GxZWm/NshRVVx4MESr3oEbV0+J6M7p/jh5KS8mU65AdmXv/nFdIcAXFA58z7vfPU598ndVlU6l&#10;h268oDzIlbG6/MD46PrW8X0vfk2VTytknElXPuKunVuVtH/vWFbqyS4V7TVDdGBG5ocFqv2VRZpA&#10;KwuXtQunC7gVJ/FZaBpN/LXIrUL1aX0OEvi0WcOAizdO+93jmO4/txc81iakJqYmuOLCc0/hK4fz&#10;zY29zquHxcVw6cUnxhde/KIFjkUFR21eAwArfH7uMefHGbaYmOfcuWgcgPdc9Hj8MH6e2XNnWObt&#10;+seMzKYrgonpvDaUizawPtbuoBHDrC9nsNPhltDxVWYpPSKDq38LrKYF7lHXkADqGl4DZ8z0DCM5&#10;efzkaWFqGW/wIC9iLamLMETTij5RVPZNzae7EmhiXLWIKkZUBhEzoYA3+8u1GdVxZPH4O8ZrktzP&#10;Pf8VC4HUY6RaB2HvmK+IWOXvbcoF2pm1zV3KsXbAH1aluVxS78jtutdOLa5D6sXMXRvXZuNal+ro&#10;bm2NnnEeO2MMX2rBK4A5M/uHLus5+1otAPpYouFVmPz8qXFx+1fHzdUL49b+o2N5vwLtKNghBszv&#10;kXsfmAiber6rFwHG004lWFWaFAW2r6vTyS1pzdBiBIeYJie6tmDTgkgtbu1lP0trtbUHckTv3hR6&#10;wIW6TF6l6TlmVMoqEnxDFx5cOIlapZ2RlALzYFxIYiuyMKwLPclxtkbpIv3MtRSMKl4Q2S+pG/Bl&#10;TJWmpbJamP7xFUJvtv5kH00CNM9bxBbTPO6IBKzwb0l+Ogqa0zSXYtu04gP8AErvD5QaCUhfelI9&#10;VkUr9957z7gbXFGk+8nXXtVYFwWkF+V6U3FuKWDPP/esg2IAPybElhWbbmXgFP/fIzNsqmv1bs5m&#10;yJbL/vAz1OqiL0ayqQikZqHmsWacYVJoXdjJrylA5ZXnPjVefeGzzjVBelpSUuMC/hmBIPU61wV0&#10;K4oOJZmUTsOOAAWw2r/GIFrUgybr38SqPKlhQqlRJ2aHpsgoCX+170XHOHErUiXhuTwg3QZYYCYA&#10;0yX5MZh9lqpiOKajZdWVwz/Jtffs260Nj2mVKgkCbS0U4A048rt5+VmVdtME44dZkI9RmuLCooBR&#10;/tGlJVWbEQFuXldLnK2qAP/x3xq3Hn5gHHzb42Pbgb3jAv5URUhBkIe++b1j7dWXx7WnvzK2rB4f&#10;rz3xpfG6+xVJFiEZ77GErptaeNm4NyWRytBws0DGa1mLOMfva1FrOZtnMi8wjVrgBC60thLf4eRL&#10;8jqU9Dpt95p4X6AvagiAGgxWbfaZ9TmEybZU78FO989lvWN073nt0uhRgFlM20eiYRUTrKsAQc28&#10;qc5xQxI5knjMsDWamXibW2Juw1fajNPfZ64YxXzif/ygMJMGkt4rHk2uldPLZBXwcpSbzGQXrqxJ&#10;aBHNuf6ifCbFeD1u++/CZNBU0WopV5UoaCPUNF8WWus+8fFFAN2h4LNNgRGmULTKRdEIiHpNBSMo&#10;M7VH6UJrEjYJT2eQ5Ji63Y0ujhYQt1LuhRktRQECzLslHG6VhnH+7Omq0CEricAOBpYiBznXfhnd&#10;a+ehe8fC3mOqBiUtScxtaQkLioRNpHEqr2CNURAFWl9lu8vlsEcAc5eC0E4KNK4qxP3C2KUUA4sJ&#10;GsSGBrNOF3QxbNwbLuxcmjJBENu2Jak/hZNDn3/YxxelNt83jbew4AefAklKuNH8XVHe3OWLKtzO&#10;XGgdMYeSO7esTgjkz+0SMGJ6X9mnvb5nn8yB96n84X3TTkFTWr14TqAoYFRrt9ULJ60xXpdf6qas&#10;TUmhT7DHfB62d4TNcy2GzUx1Yc2ht9neyVo0VyelYpmiGNhSEVq0ptAUoHhdYLWxXoFIOgPeiBl1&#10;uwJXWHMHo8iEekl5pQQcMs9oUHtoy1UBJLGQAIIIddApIMPUhu9mS9Q4eUJS3ejKgOvdGhV5x7fG&#10;ReUGAnTQ2yOve2Qckg8R4KLBroNmTJLylWpsXJV8QACMlkub4r0v6fyLqiDD3G3q+IsyhX7wF3/Z&#10;ytY5fYfZdN8+ubXwUSpEl8AdXFYBu8k47R3fiGeQ1vjsm/Q+JWfZU2tr8Yxx+pxINWx8EkP5UogZ&#10;TmDJEwejAMMgICmSSt02Z6pChhTR/ZuHXf3ex7ZTvxlVS7AeQ7RG1w/mriVFJYk4kx3BKQ7c+XYY&#10;7d+4nThiMxr/00J1pCljQnvgESl9JoHIi7YEE5FWuSgwpPwb7UqWVatz9z4WHgJQ3o/s2OvS4q5R&#10;xo0K8/Yxvqqisi9bPLutaNkti0qXECgu7XlMdUKvj9OfViLz9tVx9cbHxvL92jAiApuEJEGvcY8/&#10;+v6x9uRzY1Xa8eV9fE0af4OG7PDL+hVDuCkJM0TvB5utDqAvaY8wamsXzKCZpyLP0GZlO2leAehQ&#10;XQZ+utMlhqjCocWnwjprgPNdjGwrZfIsgfc2a2iZbcbsSfxRMwkqLJJjwr35/50aTe/kgHDx+IBQ&#10;VQkBSKmGY/ONTRS1+YIzYXghUhMuvch8jP1uIeK+bpdoulXM0OcCNg0sJv7SnhxkQtSjNBdpM6tX&#10;zqfyDnSHc5+IRp3HXoU+Padav0TwhU7J8TqtyvofefLl8QPveYOKGODaiwkrcynAVsRa+EaezWlG&#10;4dVmKp63Ms0kaD6gWZjl5yNRfSt1ETPb+r/e688CnXn1c/3qBeWiScJXgBr3MQubJpvXkdw5G7+j&#10;q+IQqafnWZdbAE3IFhMxo9u3F1U6sDXa+L28p0RLO3YdGrsP3zPe861/ZDxxW6UIL70o64j86wT+&#10;wFz67kxcFXz3aK+cVej8+YCkHu6mNEbnoRV5UATCZM5zl6naUZKY93yBRPIxJ4A610jH8QpY0sn4&#10;D2cpDrWfat4DjNEMel5dCMJBSLL4+PkAZYGxguzW1i6OMyef9edotDtUeHpJgsfKngMBRwPj4bGs&#10;9wcUEclv/8Csr17S854/I9fGaZlSz8aUepWcZpWIoxKL6QdwrPE0w578VuZ8Xum4Plu/n+3P1gph&#10;yVAkShEWLzcT0Gfsb2gYq9eqItrpkoF1wh1pREs7BXq3VdDDedziGRdXr41V8a80zw6tuFi1IlTh&#10;r16vitdIwBl+wsUIVBY4SfWI2f+2tNP9e/coB3FNe0Tj0TUxjR7Yo+5B+/fZ7QPwvnbypPf9VeUR&#10;Hlb+Np3m4QeXlP9HZSsEqYuKscC8fkTfM/Yjhw85spTi2ATG7JFrJAJjiAk6n+2T0IEpONtg9mNa&#10;yAeEmzSr9auY4EKU3nKlGrs7AczEAkw2h6ttwMwgsO0wWyoryC+ga5D0iLTi8fm3OAOX1s1jiuF1&#10;ANYMtJhanM5mB0Hs0hrzSEjUGZ9lfcab4ZhsIqFUHTl3u2hTU1I9LM3j7PUEsLlIx5CkgfSjL20u&#10;FThSuHqnJA5y2fmekj7r1B4VGDo0GGkGcFXx7Fub6iRPnRh1vdhBoM32B8fqS9fGZUXSMdhrap66&#10;jBlCjt8LK2qR9G3fPNZ++dfVZ05VPvIgmRPN5V2ve0hge3u8pFZSpIBkbrJJs2ZEqDIz0YDBf8wY&#10;BB/slvlgiQQVabIuVyXQWiTXh04U8sPuVEoLpg4nktK6R9cEOLcQzcVsGJBY3xJMvAF7rnLvLFuA&#10;wAEVbDjmuOaPrhORxAOqWeMiAZ+v5+T7Opc1WZL0Ta+yaxur1r79xEVrU3CQryezGYGGBjfWlukt&#10;WtEabaFwI0EYJWz5e12ta4lawCri95apA26rJuYuhYFzi3bYm8h0LOfGX10+PIZhbVvj1ibcvH3C&#10;xaz3SvO/95A0NiIbuEdvxqLH+Ppa+o8gcWcwUs0TGpAmhahng2lZODKT7ND4fzK3s109213ZF36+&#10;Wr8OhrAM64/rn4fUwkTtEz7re1jwBKQDPte2LI+zqtv7xV//2XFlUykAihAk18r7chqAKJOC0JTI&#10;sk+MMabJNO8JCFlZDvB4Sti3poXqMKDheC8yChEq/ig/LmvrPU4eXgiI1j9Nn2iMNIHFIpSasFnr&#10;Yhne6/2mG0jzYOEDCETZU9O89tTq+2uij2sXrsrF8eoYzzMuzLcqS6gCH8u7BYwCRIARgFzZd0BR&#10;k0f92z/MxlUx9tWLZ21GvaLODWvSINeVprUpmqeXIVYCP2cBjX3GNUE2YntB+QmXLBIvGs6qMo98&#10;4cfW/9AAdyqIpAET2gQUCXhZ0z6DzwH9CBNLch2tKE2juwU56p5qOGJBW7dJs6cjgzSu7nMKCJ2S&#10;H2+XtDZyAlevKohQAE/e4JpjLzbHt7z//ePE6ZPjU8rR3rtvn16fEQ+SNU0Ps0pFGHiP1g0NkOjT&#10;kydPuZLWbpmi71N1r01ZVlz4X+sEcCMckiRPY16n0BEDAC9n7+tfqk6F7ruIevZMVt9QaYHQB0xa&#10;bWrqoDllHs3evH/KnBSzSYJYfAD/ueJ5CKYb6m6hm7yJv/JcYMTYaRkgZjA3TAzBRbZM2L83SRGr&#10;B1mbIkCIdqA/DgsO85w4ar1O+PjEzzKmlrBrC4Y2IF6epRiExfPZhDRhmQEXc4xGmQaQFJ1GlT+s&#10;HERU+YuXV13eZ1X9DTdlhtoO6MgselM9B28CWNsPyDx8t2zU947byzJVffmFsfXIzrH72BvGQZmU&#10;ViQ9blt/TgwjEn7b0b/+9a+O+44ccKJpclPCX4JSfhsTmyQsTE8QOWZnapZSVNtm4SIcKDiRgGgn&#10;ckLrTjjUaahxywygGLHW0hqOTo2FmdJPISwkw5TCAwgKiEtqDumwnln3Ip34RgCrsjD0+nK9TPss&#10;ghCiZEOhsd9QPVOX/up1LsZqmix6i04cDhV6b05XXCJ2sbnvQvA+2peJKdJM1Cp/3aQG7/qaTQMN&#10;GVGjTPPltY5mhTS8U0FZvjRVkqThaG9MoNDSGZ/AlPu6YhZb0O40Lq+XzsZMtUE1EZnmL8qcdei+&#10;1489N87JgnDR9/G5tj6UJGdAbeNu5ifk0dxyznrA0/O8totmj8/8wxN39eddS7SJLvwie2xRot6n&#10;Xj03PvvUr1oA+IFveb397NOeCXnmp86ZhjMNLfPfd+WejpSc5r9HGIGMX2sael78rpTSyvYEnDso&#10;JNGtt6R1Y1pFfcdH124ShFgnnntfmOhZvNBU8x+PKfwt+z9MZZpFvXYutNkV/q5N7f/zCgZXI+hX&#10;nopQitYo19DOFZoHHBIwHh67DYx6LXPqLlU2Gfc9NE0RbYCuqpHvFQXhXLmAOfWMtMbz1hpvSmtM&#10;jdt0cY+tsWi16DE8iwFnzsoGMPFyixKOzvKBPmynBIUltLOl4tNYj+QGuqImuZfXY5XhAgQ7obWR&#10;akA7Jr5fvSIhVWNekimbtJnzarN0/IEHnVZx5sxZCbILjsgHuK5pDV6U7+41WbzOKD7i1Fn1h1Uw&#10;Cyl1Z87qGQXCzC1rSoH5hd07xxNfvDxuqZ3eaY3vsCI/VxQIg2J1Q64iXA/wCSsqlI3UekTwrv3s&#10;Pd50lb1WhFj0Ob/v842f1bRHJwgzAzZl+IU3U0vTdWlLE/rCIMI8cYx2P9IKEZ6RckNT9n1QGQat&#10;AAkazmqADMBYCuzXMJ15IOOcXMbMksCQQracZaEtNvauZN89pwzYPAR+F67JcdzamyWag5mc3+u1&#10;JUaiTTMuNsskQXIu3+GPKI2LZyQhk81AhOJ+Sf8A/bkLl1UqSOWBJN1s05xgJrt5U/bwCyfG5jYF&#10;Dux+QI9/z9h84eJYWH9yLL5z3zhwcP94aOlBhTknUg0p6oWX5ARWAM6iNtEQoFqbMvOjjRLqv+ro&#10;yWS1TP9AxoWzG/uuNqQTQ2EQPIt8l8lxy/nMgX1LnnN95OctB74XvUKvPRfMEd+VY7loyZpZM7aJ&#10;wJrMoIkiO9NHCDKoUxsVAr1jE0fMMeHSl4watqxB+W67PFb2e127x21OFCqZdTMozRMAb5Cde05D&#10;sgkgz5d1JxADXwZCBcCfyked14egwWfMpRtzujcZvdnIU4w2sP2Z58bdn39lvO9P/cVx5NAh4MX0&#10;EXrT+Cpy8raEwk0xt0tnTo5nnvjtcebV58aFq5vjzMW1cVYFzVfJZtghs5siL/cfvktj26ti7Rd8&#10;bywtCF6bKjN169wZM9ul170uJvnwrOknPDFz3Ua0Ozuie+NmBQHRTEmtRM6NYbPgNOKzr8U++uPf&#10;9Mbxj371M+PpF14b3/ueR7QHDlggjCsIwUwmVe4g7QYm3paezrPsNIMMuWgkvpDQQgOR3rkSXI/V&#10;gGT0s8SP+8K5X7zX/gmeETWZIDr2tjVMY6KsMVhA2PukEpRA5/3etNCSNPeBsULrBZK+byZsTvAI&#10;WKZQNbdmjuRvU1WTNQkuZ08977nEmrOD9ILlMqfOaY3LCvRY/EPmVMa8Lp/imvIyL8uceunciXHu&#10;1WfGtUunTbOu49nScGakWHXNaIGClRinvOivy1XScByrEK/Jr5aplFQyB3Jp/khgv0WfwCSTo7Fd&#10;FHg99ZUvi7/LxaWAltc9dL/iKfbJerQ+XnqFso9EbKrcpTTOszr27FlFtuvcJVnRTp+76MLXV+R7&#10;vCqrIKDmedWmJ9H+xRdfGPfco2pfmsMXX1SshMAT8yf+QIJcCMrC9wfwYR0K4CVLwLwOGvMzBgib&#10;nEKuM1E5OAIPjEDDhOFScZ1TmxRNZyQ4th8pxGjZ3sQwCRl5YWmpzBgm4BJOrGu2xMEkVlWI0CX/&#10;928kyoCoAzYwaeWbAsYca9ZdjMxyNQmZzqfIsTZcWLIuLbWYnaUmtBSO7X1lphezYThggahesMFS&#10;LT8METOHAbaSM9PiJ8wTBhCJLP4IRFTmcJvMnHv37RlHjig4QRFkr6hXImG9McmyQUXMCuvfojyk&#10;lUOPj+2X7h2nP/6Eqiuoq4QAjJ6Jy8pT2qoQ1zPyTe07csztqw7thBHCTOncgf1d0hLGaxHwpkyx&#10;5ID5kQh91q/LH8EjvHlDE5nznv/SoAoETRjW4uqHPCgnphajrwTyrFnmG4TsKiO+qt9zT+aIYwpY&#10;jaT1fprzLorQuU6Zz+mcAiEHKCCx81yAkK+ZGrM2vTmirbtDh85S1i+fWct0ab8ed4+jAX5GGv3o&#10;83+ZD8+fFs9Rm/hBbUJOqsMN1cy1i4DEYb1/5bVTCrpSYIF+F7Wem+qruVWanMwD46pa81yRpeDk&#10;yRPj+WefGc+98MJ46bXT47T6ZV7F76ux7tCa75Vz/6h8HghVh1WA4rHH3jpOKCpu49LqWLCvVOsk&#10;if3SZ74ybr3y2tj31sfH7delz2AWEBN0GIz5QTPC2eoWNfBwBXAlOZs1hEiyJ1vw8lbJ7oTQrGdA&#10;M/r7F7/vfW7w+/d/4ePjA9/8zvGnf+THlE603w1bl5UeRHQpGk5+z46r0ho2rkgoFHPfvCYNh/w7&#10;gt1yaRcwn9FpVmNibAb0PCP3hsGhOe7oZ6t93n6wROn2GsPXmJsG9TBNSjtaYZzmroOiIgRDOwCp&#10;NUek5RIEAtEFPBPR5NoWOGozdSpC+5wwp25cWFOLoNf8XOwVIh4Xtc9XJPTgX0RjxKS6gMtCtLNV&#10;oLWTCFt1dlhVoY/1m+IhrIGVkwgPBgCDGF094OPy/dHRnUBEd3ZPRC/vSW/pSjUU+KDySjqv1xIz&#10;H3Yxk0qh7wVcZwVkL584Lbrcr3QFaYX7DjrwBt/d8UfeMJ579jnR/6uJD9F9KJdGEewdCpY6fHCb&#10;/HUSxjX/RGoSnb+L1nFaL+YKkLxLJdWWJdRvXFsal69uuLQaGjzmWoKO7O6xoMdeRHCT8KO5oUdt&#10;8MP6/0TbU2/K0nrbIsh8XRVvdpk3xXiQpw7gtt5IlHI0wNKuPL2ljZXbLlthnrFCkLXZoK+ipXQh&#10;p4ODjg/olHO3AbMkqdYQyogRSabQHJMckZhTJRnv24ARdTHTEqZgszWT2gghuoAkEmEmKsAbbp3N&#10;YUbOc3L+pFXa6lRAXYANCNlnGUZq7dPmxtYSY87aLPPKPhWFXXzD65UTuDSef/p5Txpl3Yg6s0lv&#10;9Wnd5PK4vetxKW/KoXFiLoGhKkYuLe/ZF1RqTUW43/nGR8VQGYs28XZ8BZpHHbMph7NbkxgUFI6O&#10;CdPbgefKApW8PG3RKVjAYFRmAhOWzJDqyLHC5lPi+d4jivpThC8l8QwsaDAGxXp2pOsSDvjrNfD7&#10;AG3LHNON///xgkfq3L7a6LGRaS68iQUChK0JbDaJQlaQFpKudpEZ7XVXFNIx+Dz195pAyufg6/D3&#10;6adIKD/BQj7e5+iaVRXfEiMJ5DAZ5yEmFJsAkyUx7ydfVhFiSbEf/ud/Z+xTisvJi1fH6QtXxmn9&#10;PXF+dZwRkNEGyQ16BORuAiorwr6Du/yXYCx6aCIM7VSk9W75mAjzXsfnfEHV9hUlrKy7OAfe+sax&#10;5U1vUGm+nWp+eknkleaiPDIh7PjE2mxtoY21KStHAC57sl5kD3hvA4Rh5i0AZ/naYpB9wUKbFen4&#10;P/vd7xn//U+fGX/zp35ehQweHv/RX/4x0dKBQJXGv/fAoTsogPtsKADiqsDwqrSctUvnDJJrBsdL&#10;8rHP+ca4i/d2fpu/NAAVwzCtN9/AD0n1GqJlZ8RYVit97qhYgm5KmMH8bHmw6DtPriARtrtrDHT4&#10;fvEU/SGFg8hz106FaXr+MoZpHkvo44POiWx0zJ4xoope5ZO7sq6UAQWHvPQ1Pwv0gQBHsv4NlXoE&#10;2BC0UsVI+YtKVWGdEX4AO+dtNshhaXBULyZjwCEg6ch6eKAViZnfE1eK7uY1bmHkpqL9Sbdw1Rjx&#10;cgSy4w8+qGhT1XXWQSTxEzW8IS2NUmoHZfm4rOjNR9/4BvkEVYtz20lbQYj2BKxwj6fSS5aEvqwb&#10;Mr3yer8EP4JjMLEekBLxlsdfPz78sd9OD04saWis+k0z3wQ6xlqXdKCmi1idijZ1jPPG9WwIANSj&#10;RjnAYsC8sE67lMpHDiJVztr/mWhuawXRqkxw3hCFeqBq7uGbudRULfo8SAbfIqUQLEPIbq7dbLrN&#10;LMUxDXrNsgNSPoJxZDATc0UCLHEsxFbjKZ2xgC1EmcnJ5unn6c0UiTntf4KLrSllv+baOTeAkZtN&#10;Pai4bgNAndsgw5gdjKLnevOb3jgeuPfe8bWvPmXCTS+t/GxVNdGNK18eex589zhwSBuhAinwOb7u&#10;wXvGL378M9YC/vi3vnUc3hPTQGYu/6eqw0yIMJuCREIIvfs9xZnfog/fOc/FOm0f9z72zeOe179d&#10;jTYVzCPitNTEhuEZMJFTAEB+Cd4DwICAgQegcUAQ0qckNkeHATqAE4gOGKExaSNZYxKzgQj1Xls3&#10;GjQMiLwj+ysjwXJ96AZTjZPZ3eJLg0VyF0Nwo04AyVVTOA+idvZw/NcVxBF/X5LOZ5Ui+CyCVpvb&#10;8prJYDoxp5VAUabcSNlNFRyjo60ZiEnpi6vy3V0Xxzxx5aYKG+wf//qzz43zAq0rSrGhrBOMkjSc&#10;hR2SgPdTODl5dDj+iW5DyCPxY1Wm0Ctqfkz08f0PPTweeeNjXgcYwBkxyR2aW9bLmpBAF9/WLefB&#10;hvkSPMIjw2jg282aY70oX5gL3bewS/fuCJkpAdd7pvcA8wJQ8t2dIlaxCjOVq/KH/5nv+sbx/Gtn&#10;xn/xN/+78ZFf+/nxV3/0T8qcu09Coqwb5Nupfx2BIivqak4k5dKuvfKX3avKIPdO+4EXMN21K2pk&#10;DShaezxncNxYBRxVkBn/GNpjSfjR9vOkzamccOJlZk3hURHAw+DxcfEN+zB7m7nD7BdzYDSN1D9I&#10;qbCQQZh+zyr5x76kPuqGAjBp59wRnmlBseiM03zd0JCpzSa5mOUyvtJyGYPekxYA3bukV1VssWYn&#10;WohmBzgyPgA9UZmu+mN+nfgKm+0VJEBhByxaO9rVwX7QtedL9s0LGTZ4q7n4li3yy5FGobG8Ttre&#10;X/yxHx0/+ZM/NU4pkpN7UlUI+sctc999944XZN3gu2UFSS2rUAlpZvBreIpN4DV70Ay+PKcVIcRr&#10;3k5Rg1TmUugU65mLd8PlrAEK9NFeTecdYFVrbiWAxgziCxYKUpeUteT5rlqAlVAodwU1TQFmeLDN&#10;qBoTPBlgnzRBAh9uof6zsGaQ8dHZ7NpuvsKt4qkJUCkQM5hAbsV4E10XojLBzBDUxMBb39zHs9Fm&#10;mp0xX19BqtZO+4Yh59qUTZMhphzHNTMBXOCWtbciDiawQHPaNV6ZAG8ixcp850UD6Otzm+IyvkJn&#10;3wut1GbSDGoCU0uVui7q/N79u8eBA/vGyVflF4RZF3Yx3zc3ZRZae1lMVaHVaCb67pqA5p2PPzh+&#10;7jd+d/zLTzwx3v2ON4y7D8q0VA6fLH/+75lpBuWPArLNAPMiz9IaYj6LkCK2My49/4Vx+YUv2hfX&#10;TWoTVak5leYKCGC68lqV3b3X1ETpY3PNMqrodRNMMY62w8+NPAt2x8gmELP5GBAG1HQOLbUwDW0o&#10;8sybASnX0i1gCANLybBECOf3ul5zTAd+4M+w5OihQRu69+TrCRNxtLDMU/j5+Ir+lcAOgMVY12Q3&#10;W7uxRaHbq+OS/HpnFeJ9ulrEHD1697hLUb8vXVCrLo1pt8xGByWJtmkmTX1lWqMbCmPRQsBMb8ts&#10;2lFq2dAJEkg37aRi3KOqTEuUJkOgK1qrKfd1vEU9H2HmyReLtYA5soAlYUUraeKgwASuYhiQKzYB&#10;hiyHTX9lBqzUA2+J8g220BVaYEqIKt4c9x/ePf76X/je8Xf+3x8av/qpJ9UJYXP81T/33bIo7Bjn&#10;T7/o0+I3i69w0UEjyhmUBWJZwLh7v9IMZGIj/WCvEtX5nf/h+dZX5R+7jPYocFSqASBJVOU1FfLe&#10;lAXghnyPFt68J8qsavpqWp/RaSemhzp53hSw7v3Sc8t8wrT9SzoR8wh/0fWTO0mKiUDDGiMgauOQ&#10;fxwBq7l1GD/J/w5kgiYR3rJO0C5MOgw8gBdtBZAhPiCVjUhx4LztpPKUMG53BTEB5nWY/2OVmspf&#10;6vtd+45oXg/b1E4D9J2ab7bIquZuVQLGuuZzU2XISPIH1NJPVk8FcJGHXaBNTc7DEvCgXYQ0okPR&#10;PLkYFhfoFr/e6VOnLPCRH5quD8gDid7sGr5oqVEUAO9baa+kvwuiC/yB11eVTcB4dZ2jR4+MA3tV&#10;EEPPn+uIp6L1CtyIZuc+xEi0Rgdg7lQEK3POviNIB38kGiHzvEZlL147r3cuKK84piKLtREcHRiQ&#10;SbRNiAhToLGsgMakZiYaJmv+bOAsOgq2RcopldUTbAKdgUUzaGQhoARp1pvFAMS1S2uxNqjvAVbu&#10;YdNmaWgG1AJVfeeeV2ABxxRXdu1BS12mFT+Xx9L/DJbtg4wm3M+aJ6xNzBgsfbZpMNKKJ5T5U8cM&#10;TIcwFyQv2qWcUO28U6+d8KKm9mPG0jobYnvn24To1CZn19J4w/13jxNqiLtfkVEW8nhG7y5PbP2t&#10;NfFSTFf0cZEyc2j9bwKr/ojHvHLpRAFkz2eenXveVM5cdnTet8Zv7QoGG1yMBG2ATARqGQLiS/PG&#10;0nw1DwIA9JmFLmtBDA/NUNfBpCwp97aYjXMG8SPouN17FxwSzW+v2S02BczcNKJrGmD0q/sYbPQZ&#10;Uh/MbQE/Z/sdobWyLhS1lnZdpqyGFaKBldx95tr28arW76zqxJ4V4F1Woi6RcWiqjhZWR+69SlLf&#10;J03ntAICjt9/v01EjAXQIo1mTeW3rFkX7U/MV8ylTfpdZQTmAtCx8VNT1Gn6AXyYbwg4AplXOgKX&#10;nx24asbv7ysRnc4Fug5VQ9LLEz6c/LH1KoFlMMDsbjkwfmLn4rmSS7ScBKLpfgbQYpg6Hj/LcaWF&#10;/Hc/9n3jJ3/ht8ZHfuezvv5/+x//oE2zFogLHG5Qi9S95iioDG1hukrA14KT1KnSIu1RGiPRlOTk&#10;7VTgyDI+s13Hx+G7j4cm6wefEdojjP2q0g0AyHVpj+vk49E7VMnqtyRowMA8IxUs08EQIe9mYPW6&#10;WBuzR61O5905FzPmOOYQZg4wek6pbYl7QkdcFyLic4PpQvMupUiiuM5ZUDTloujQBahZU5tkWw/h&#10;8uFrXKiLErAWSzKP8xnlzBww5u/hQXFD8JNaoqydmZ/His9sQR3cF/W7Q+uwLC14p+bxHlmnsCog&#10;pNMNYu2ygvkEitckaGzIX3tDvsutg0YAAfIrMlt/7lOfUoDOhQgCNPKDXhwgxvoq2lQ+QNIfACdS&#10;ZrSMfmabQfWMKWkGXWNmhc9fl//78Dj6bQoAlGa4T8VKvvbU0+OM0iegQc+N5viSzKxYTkjNIEoV&#10;LZOC2+x51v5RBYZBn/BO9uW60jJI/t+l0pXwozWB/DY1RWesy0qkd/lMa+pMls6ygBPNXj7LRE1a&#10;IDLTi2TMpiPkGO7SkkF3DYixO4tvAMz6eRFu+vP4nNKOxegasDPbyY18HnbeArpoXNnfIY8wTJjh&#10;JufD8OqzGVMBiEoCnIAtIzF41sgDbB3K728jrRjsNZ6I2UWI0f7CMDOgrqPo121XMgDGeb5DJY2o&#10;QoP/6cypM+M5Mc6Tp8+5fukOpxrIn4kAxWbRxtijhXr4vkN2WNvXVMRLRNR3fvObx8uKGLworeOB&#10;wyvuTJ3JDQwYSOXbirmuJMuSVCyFWpDBtJi1rIXpR8yzl5Zus7E300y4uKFQ3w2tu33mlnphwAgA&#10;0bpZV7wpXgvPNEwfU1BuxZrZ1NYCAoBEkWuS9VkHXzOCVtv5U0moBB42GIzXPevkgxEj4BcTrav8&#10;6K97TE7+yYzBVMPjspNgQrTgcjDALGDgpuaNObfPxSk8+p6/bYLimYm4FdMZ2/eo2PvLSnPZOQ4d&#10;Usj2EQUtSFJOrhR+IdZdzZovyr+1sTZe/8Y32v8AEyRMnDXPFKbajWl2EkwAN8zJmGGL1qvME+XF&#10;KOGHMOAAC5klLVRUwjicwiZ5BAgLYrU3ahO6MEUt+zaZzjX76vbAfqjNpTHNoiuJsMT0PNOqrQVR&#10;W4LwfMyp2/gb82NHXTpgwftaBRoImZcp///yp79t3H1or7VhAN1mxaZZ37rEGKJdi5ohGMzmN5Sw&#10;v6Yk9fNnlYdXQjYF66GbHUuKmFXAzU6ZV1dUycWmVX71ep9SEPapxu78D4L5msyo1h4FikRZrio4&#10;55Kufe3ymczDJFC2nSRrEAws7sMGsEIQM3xK4QFwCtVH4CZkSsGA1k7IIabEnP5SgIO0JczWdOBA&#10;4Liypshs4gicqkEAF0X8KyK5BOuYp4lWTmQrs4UY5P6CCE3lhnHvVszyrDMTaPZaSkPxNZ5jQzR5&#10;TcLAJHhVOTtHqiq/caeEuF3OyVMal3yBsSrcHB/+vCI19SzM/WuvnRx/62//hC0kr6gBOdVb3vTm&#10;N1kD48LZx/KzCfxuKQ8SXzqgtW6A0bztKCVHY8dM6mAXhFhHpiotQ9c7efI181c0N6wL0JJN+fo9&#10;KgsLqWIb0kJ5D60dVeDgprTXC4qShlQAQHyLLBeRpBQf8bSU9sw+p8aoa0ZrfXjNiWjpPCM/20Nz&#10;SO6lEXjhs+jOGSvS4ChLL4Bjm6BKcvKEmMg5KDQ2/VjKKaBstAwvN0A2+Jk2zZAj7RpApysVYZaZ&#10;swnAf31sJKQARYgim6nQObg4AYL5ATTd3/uckrJ7j5R0Ft4xA0MmmglUiqlUbIGbJKoLZ86MFxRC&#10;fPqMIkEV5QT47VL+GBosoIcEiJmLaLSHVVn93W96SIEQt8YFVTxnUIwDiF4Vg96nSKx3P3p8/NS/&#10;+PD4E+9/23j/N7xJ/qeqku75wHQmn51zzViPaKmec21K+piR4+fpmJgQC5lFiBG3Voj5K7Bv3yYz&#10;vZtlLN8YM9rMYW5RewF9B/vTbAoujRmtWNGwC4oSwyRDcWLMYTY5AmSkFiykYj92eyJBtxMhO/1N&#10;pGfyuqZlm6eqCGtWW2NSuibJf/2qJFqZTq8qp+nSlUsONd/U5670o790RgAcmTuibAFINAM2CJ/z&#10;g5ny1rUt6hn5erWC2e2N2b7llFYr0yPgigYsAAVYNxRNd+yuu7xhGTMNVLfh58GcK9C9qeAcm8DQ&#10;hhEMCECi5qakXdfbLQKlyeg1Fx5mPkm1UYmsg3eP/Xc9MHYrgGmPmD7zR2sjSnaRV4b2Y9+ZGJ9B&#10;HSHItBFt3Cbg7IwiAzEB/EWpxTBpIYYCnYfQjAbqSEr4ACBgchLtiMdsIDTwHIChmPIVBf6gOf47&#10;3/oW76PLksJjOYkA2RaUFNluYbM2WpkZItiaaIumsORKe1CLtCurYngny8JhMKY8G+ZV0ZaiJ+1/&#10;RIPkd+/BaJDH7pMGcdja4pXzB1zGbE1lzRxBjIZaz2rTfj2rg55sTtbaVvAJDJsgGjQh17wsH5RJ&#10;j31i7a4sPKy7AJAmuURKoqksKl1pZ4Ebigb3nyxKtf+spSJo2HwK7UfIcySstXLMlAV+kyZY0dbm&#10;bWFoYeX6C582/ytLnnk6vEh1kuULW7143kpI38uJ/wKSFZUsozX6dZn+FyT03hDYUJ9Zeqj2sYRB&#10;CaNUiYGV2EKRHWNgQ2ulkIg7tmv8iTwN30lFIeiBud82zitimvQNTLU2/2owWFRQJM6pAhN1WpE5&#10;NqSh3lY8AGRDd6BV+Q/f9pb9ckdcVHeK7Dv42QW9R9Okk891im3o3CUR93UJQvBrIlOPHTqgGtd7&#10;xyGl9Bw+cnAcVmP0w3JXPX1qbWzHJsxJyePBtFVmLlT7AsEEmxTjrAnmOD4xSzXeRLrnx2mBc073&#10;ZqS+hjdkGDH/GmSyRQNMfa/0YOOKaEMBKW9mO24KuIrRh8eHY3LKJH1748cObPNtMX2HhVeTSs6L&#10;JEbAgpiGJGhUdQiQMkRLqnwDs6SH1ZqYK+08Tqiiy+qqWoCcE9MVSLmGozS8/QpmccVSSSQbFfzB&#10;tQ9q0t/y2MPjDQ/d7e/paeUiVzyTHzP5h9jaf/13PjeePyn7/Uc+N77lvd847jq4mOaVljYKz5r2&#10;azY9j329ZibeZMXo6vkmc0oFebhFjHPZynQIGNWxaF+uC9nnIoVWGkVSE9isnFdmYpeCiiRrX5gI&#10;cAdaXBD53/qhTQ9+R5dqIuqLUl4UNCcQQBoZFfstwaGxSTrF/4Mpp0GNJF63c5FvCPPONV3LZh2B&#10;ngMLqlAvDK37idnc6OtHWkU6Xdyj2pB7D3sDbWojLWhP7NV9jx2729/D/PjLvX1/bfDtytOE9VHd&#10;/qqCYV588Xlx7fVx8pRyuyQQXRadUI4KmsJHRuNppG+KCUNb1qqhfy9p/IHQghtGizGwcccVmYm1&#10;mXbtPTruf/jNY78CSlbkQ9spyTu2/9kPpiabB8XgAEeqk1zVa0CSRrhUOEIgcLSsN2z509kPsRNM&#10;wiqYLF3GY+z9ZD+YBY9okglUatAk0V/7Q77SuFWy5zryOkUWoPNErLZlxZeftMzQEDcs+av4QOmT&#10;PRjzF4GSqwtdGReUi5sAhtC5C3hLwHKNWaKGZYJl/Uxiok3Pga0DCahA+HHQCWZOgS4CVcyVM5Nl&#10;2Fv8z+RsOu8YejXZKvDCgFXaPs/K7JofMcfJRTXfAwTxv5aVhOL/THJSMcpvXFYGBFm4mLVx0Vj2&#10;WQkUFpCYq7hCsvVjCYl2FktDvollJA0L4v4JGynRFj+69hW5f9clJLI+BrISahHSWLt77jpmoESo&#10;p5xkTN0ViGNrGFpVrrlMmoT2/pqOY56/4R3v8HPs0Np84I+8f/zmRz/mCjF2mekfqRRcC80QINsQ&#10;4KEpnlNPWmiC6l1op/DfD//WJ71/cDXBG5b1msINRFrfd1xBVwK7oyqtdvjwQdUqPTgOHtwnYXbF&#10;+4m+tHZ5QT/FA54+9RJ7OWZN/AB8Tym020gBekiS3Nvc2dvNMU0NjkxxcV8egg0S46n8Yi5zw2Jl&#10;d8WHZhL3MQHDAtYGMn8TwOocvS3SbjBb4tS3qdUSRUwx7b9IODgmCFRcEb+egYTIRYHX5iY+E0pz&#10;yTenihwU493Ja7QA/Sw6+VLJmUiDkjrWxOyIWGJjUfuOiD+SNUn4pMUHtm82P4RLyC+Tu0dVEDie&#10;zUMBbswF+w5I+jh8YBy/54ikj11j324tAuXX7FdKpNSipFikoW2KpgNs0Ax2i1F+53d8+/iHP/dB&#10;STtnxh88d2b8pT//w2PNQBvgsTkE4HJI9Synzj4xjuF6DnZgk5W2XGaXiBHepmbiW0uogbHYZgs4&#10;IDlqY2yB6SPV6jNewyww9d28LvMV3zndAHDS5/j0dA4a1zWbGQm4kV9F2h4S+j4lgB++54GxrL/9&#10;s6njX3vp+fHiU18ap199weeQvxPfS0K+0YzYeNao3NFAoEiHA5s46Aay6e7U7nAg6XvdOUYwMyTZ&#10;+HGuw9z8uqvvp8sIn12R2fmPfu8Pjm99//eOqydfHVdPvDh2qcsJZslUu6eGaPyJLPzGmrqiSFo9&#10;q2ahOOCZ492SoC9evAwLtnZy9wNHxhGdx2ZGy+u8plwjT29zdjMub6gYxQFbzLiEd69ofAvSel75&#10;+hPjpac+V3Uspf3YnKVQb2k8u6T5rCigZI9+d+n38OFj454HH5nmuF+sayxOT7igKieAJAESpCrI&#10;dHhNz4QwctM9AysKkz3I/jVfKC0NuRHGr5HuIHRoTvDiPpOf2JYiALKfkTY/elrm0lqXeXdOL/Ag&#10;UAcLCz52M1g4AdvcIMl9/Sb8owT1Lt9Y3N/3Q5C5qtxca/po7UQbT4JP8ugiIOkXug6DKtCuABOE&#10;OzotODdVe8mCjCwX8l0y9BvSuONzFLjqeQLqs7QhAwxm8An8A3x9jKNyDXwp/9XaYcq9JRe24wWg&#10;L/ymyZfNPHRurQVi+wQtmXh+HLxmzS8KjQHQlr0SmhooS3CwmbdoEnBBewUwzaNw50gLXVUQy7rA&#10;ievTV3BlZbd9fSlpNpQkf9adK7arcQLm4XXVSSb6EmA8dPSu8epLL9gCxFr89ic+LpfRKUefwncR&#10;BF565ZVJuISIiILFv5fSj1gcVP5Npttdsswcljl0vzS6Nz/6iKPpd8jveZc6Ttxzz70upr0swOQZ&#10;HKeAFu/8xXS2vyaLRfZc/daDb//MqWtabGk++qWQbfxwpT3oIOQNV6LnO+/eELAXwHDnF/nLC3wK&#10;gAsEXbasONOZw0idHY5+i1JqDAhhpSVEXYf74ZSmTiSAxqD5zBAJIQgYs8DJ+8EkRcTdwg2kP1Rn&#10;MXA9h6xiWkBJg2hROpaF5DiXPBKoXdNrJonPUn0iJgB8nmxKCMzllvxXvQWVzLlHeSY09qUNCQRC&#10;CxnCcKnGf0jRnIe0QMcOq0SSzKEALPe1OUnjxde2ckRdJu7W710PinHRFLLqgxZDYYr/20OvH7/0&#10;Gx8bJ1XZ/5lXLoy7H3lnTC8FUqmZp0+Q6tnQNuPotcAA/xYS8g1yeyTdkah7SxLxbf0i6d3UZ7eJ&#10;QCRProAL8HGRdEewAUAKgVch5Rsa24KYImZcR7CZccRchC+J4wA8/pqplHRFmxdMagZTjTsFshEc&#10;djgp+JG3vHP80T/23eOBRx4Zr3/ru8eDj719PPn5T42f+9l/Nj784Y/K/HXV/rZck5Bsc0u3j0EI&#10;Ce8MU+R7mFw0XMwwiaxLxBymY9Y1jnqbBicGFWFAtYWTgKs1XVFZq+2bKtCrLhX2a6H56PwLAo5z&#10;8kFcOC8TpOgJEyUCyz0PPOL5flZh4o8qteGtb32bNz8a6DkFy5xTFQ2HbTsKs3JfS4CbN6tOpiW0&#10;DbQTNqyYxE4ED8bvGnR6Vo0XLXdNWu9QW5/s4ey7RKCShpHmpzuVtI7/bJdae1Hbcs/+g/p7cOw7&#10;/vC4/9E33QGSzO+6rBqr9p+VJomZVYETGzIxX98gTUHPrXkCXFp4nTFm1iNMgy4uDtXx2wbKBFE4&#10;LcFzWr5sBBN8azI1Un6NYvXRYGLSs/Dhp0MIqb9BTu8/PjfAQZMIaKJn8wPTW6IU7Z4pH3gAN2ZH&#10;GpIisMCo48Ouwg0GXauzNtXvOXS3Kjjt1jymJijmV2huXeZnIlcRLNblD7umgvdonrfsz0393kkb&#10;hrf5utH22ofHOALyZSI1IJa/25a0aNOAcY6J3zBgWoJEYVgUk5ngEWGjClqbShLUFnOpvtM1YroE&#10;MML7qPxihVuzjmDHWQYgCquDA5gIdBx+cHjpHhXJBiAvSwBcFfDBQw0ymn/m6OGHHhr3SQn44hef&#10;8Hnc66RiJnAZOIfR/nmq1sT3uVvBL3Qf2qNu8YeVg3js2GFFXh911/n77j0m3+rq+Imf/Fnz1R/9&#10;4e8bx1Sg5MQrL4reCapSL1gtG+kPSqeeE8BivYjUpfUnYr3b09Uu2L7n4GH7PQhvhukkiixh58ml&#10;6de9bxLtGTEuIkRHVXohdCPJ5OOlS18pk2hubh+BiTDSnSP7zJDaKZ/Jsx9DzGxJkgPHIs07qpBF&#10;Y+L0PlGsBG8k3Nb+y9pYwcaMq6MULez4PGzyhIcXQVoaUxSWpAyij7DnU/IMRzSaLAtDaC05fK5Y&#10;LnMnPQqXdfyKjj9wYLdVeWrfITUhKET6BKSRfpn7MmN4DgiwOK5rqK+gHPWXX3veSdxE8PGXX7qJ&#10;I5C87Y0Pjg/97sXxwQ9+cPz9R4+Mb3nn4+OSUJ0kb6vy0qLsY6JBsAhwkzQCbcyvvKK2Tgpmev1O&#10;5V6pcolz0ojUg9IIRpHEwfNLuAxxaB22y1eHGWm766OqkoLGsXj0jePDX3x5PPX5TzsohSaV+Alh&#10;VjifDT5oVhYe0g2Dz/B1TfOuewLyvk1J/NDXwgc/NO76ez893v+t3zz+7J/9YXUleP9427vf59/v&#10;/Pgnxz/8B/9wfOjDH0kRdplWXL3DKggmVgSymInwmW0vPw3MgiLK9ucgQUZs1lqQIpH8LbNRM1cw&#10;JZYLrrum+XNQEdX15b+8uSmmX6ZXNCjOO3jo2Dhy7B5Lv27v5ZJgW5Qn9bz3C+YfvLuWbn19IitT&#10;lcLMy/4dtPekQ8wkUoQJOrEEJAA95ouSVl96+uWheuuyDojGoEEH5qRyThwRLGlSJVweDO3zhpqS&#10;yiR8+6w6ehfzj9kKQY5k/RUxciXoK2cPTXK3fDGkKuyWFslrUj5Idp//salVGuNVgWKDJFVgML9i&#10;asUXeUMgSVR48wQLqfMScz6IJsnw2SzmMVqf7Qiz6dixKWuNc+PIPXVjVlr/xBy9okhNBEE6o/BD&#10;4XisGRZ6wlhMEy5lhtCueWe+uKkDUtBWurIQ1iOEBvOZ8APzHms3AW/zMvVZvEUBbUVMXz79kgUM&#10;quIwfwf3LqtU3n6bSB0dTWI2/ml8Y6LDDZn7N1QIgJZXmOxv3VDVElugSkiz4FLl+BwQVuX52q1g&#10;DbPG7s/mzaHezlEiMrUF9uGT4UURCNMOiefJXLEsyWnOelG5i8gSQPOgUiKuXldxa42XBHj801hj&#10;sqcQIAKE4Cnf89myTJEb7aZw9KzWS/zii1/84nj66aeVQqGSbxIM7PLR+fuxlCmi9JDiH44cOTTu&#10;li8dwDuq14dkvqS+6LJodAfmS50Dn8M6/NRzz1uIxcJ06dJV7Qv5xiU4bZFJenFnR2Gz9mBJkx+4&#10;g5IVnmwcmGgzE7f9hz/wdksEqeIOACZHBqZGsVpL+zY1NfNriZ/IqPRGI7kZH1eSTtmQel8SWQfY&#10;1Dp5M6LRWXqzyt7+CA0cbZSEYI2alkAp5pyFR12EQQNSrhpuyTpSW/+N5FJgiw3aYLbobhCYWgAq&#10;AhYwudFCCYBLBXJ6WakQUzVpBeh2SfrBjEUpnxUxIM4FFO2/shg2B7zSHjeVPK14Ci90PVEIDOIz&#10;ocVQ/PyXPmHinH5MxCFIg5K+W9b9v/0dD4+PfeoL0rRujJ/7N78xXndAuWoy01obI8RZ6tnZl18Y&#10;F154zlKnS/9o/F+8vDSO3n/veEB6w1YVzaZzxOLOmLQWbCbVxt+peVR1EyR1jxfpVAxhQe1V7B/k&#10;HrsOji9/8NPjk1961SZfUhgWyR+0aQWgEcDqHFfzwRHOfGgMfJbU7gg1RFSmx1h8QXzuqEqZjf/5&#10;z39w/OIv/er4wLd96/ixH/uL41v+yB8ZH3j/t/j3k7/9O+PHf/x/HR/96G950+J4x9Rigai0gKaN&#10;SPol6Vl6zuxa12OpbIHgMuYaWaFISz4O82rCvnUuhQMk5FizIJpN84F5m3s4l4sNbiFHG1PfIc26&#10;n5otHwgUzAV1eFPqjbE4OR3hywBI/pdMvQgv+DxJ7NV1bXLTve2v0vxjnfi53/qCTEva7AoY2CUa&#10;XFHPwn0CRJqN7uVvvV7R9/GN4A8LUzXVsfnryQ2shO2LKV9RbcvbZyjhxVEASEU5S/MhkGmne+rt&#10;kTZAX72DAke0yEOq7HFw3E2jWfZj/UCLF1UP9dRLz44nP/2bokW1VZv7vvOGbYKydhL6cS1Lchit&#10;7WOuikaXOpcE4kRbTKJ4ahFfkpkH4Ot8SwQABxiZJ1QBANeCLatRWWus4SBIEaHsY5NPxvow53Yx&#10;lFBuGvBOZQqZwIybmWTdNi6uyyJwOvSmz2jDhsZITikNhsmF5B6YDA/uO6p73l9aF3ECSU24LqHh&#10;evkr2bvMhasQISAANB5jzKt8lojS5AR20OAfnmNoueO1ifZNwE9y9QCAZIMhEMYcjFBG3HLzIhtW&#10;RAfQ/CWEnVVcNwGubC2sXyVERF10YW32wyUFprz84osJVNEYKaS9hJVM83Hw0OFxrxoCvOcb36ni&#10;IIcVibk+jh8/rooxivZVGphbIkH3YJDXPkFI1ujIyOBHa0B3n5hokd5nMSLRqlrzL3M2O9wPVClc&#10;3vMVSMdr89pEL/Oz/YlP4GgUOKDNiOlvhRkS4uvBCTy08bbvIRprxXbgFATOhs/kKMzDINWTVTlN&#10;+hKTWbhQ1bzTK0vCllo7NUAfUgEBgtK1f+uzXx+fe+o5VUz5hvHG+xUOa1NXQmYdYtxmAjM4JKXy&#10;O9Y9EhWVHxYEra6TVrukVAJhAlfUJPU81oQ027BvFInnpsxbVyTJBcrCWE3+kcAyjeao0/tmtvHw&#10;59qQXM6re3le+vyWn5kLbTaZGt70unvHu6QNfvJLT4/Pf/2l8cxrl5WcrBD026IMSW74Pi8rEAFT&#10;BFrp0rL8k8oHOqTI0fvuvWs8eK8Ii6RtSoPhn5MXx/fDuY4wB7NAasZvJwnbjSkhSjqEa17Oyn6+&#10;KYmWpFVoY2OD5pfyidgUitWAMlLl0xANkKTOBJgB1xrAytzP0YFNRiMDj7tU6N2Kiu9CCx/62O+M&#10;T/zOp8Z7v/Ebxn/2n/2n4z3f8q3jW973zf79pV/6lfETf/fvj8/9weesySDJR5sqf45BryL+/Fqz&#10;T0X3poPyI83goFcwErHLjmFWrutspaagzapyxGsjZr24XFUWsaYfCZv4QOgYE7k1LRKkb9CiA9My&#10;wRZpvYVpk/Bujo0lI520O0iGOUd4syaIec9mLHLVdoy1rYpq1PDWBACbKsN2+7ZytnT/RM6m9Rfm&#10;Iczv+3bvMlDuVR/P/fJB089zlwBzt9Yt1gz2dgCP5zXVsmyQnX43xJDXdZ9L0nocjVn0bp+78/l0&#10;DRrpGiT3uYP8hgKA1khel8mUXEAzY+anOpQ72ASzrn0zAF/+utm25iNCOYNIBGpkTO5X9SE9V9rD&#10;NOz22gekHDdQAVmkpszALcEnHV3MmtjKYSAp/oUGaYFFFhBrgiWgFT0wJJhkk20XbHbELOtuTZ5h&#10;h43CwO1zlUUhRSwCnhbayXWj8TgAaZBEk1TwnKIUrVWhRdqkC9AjHFEAIGX/zKj13WSmZG7KrN+R&#10;tB4rQrULaze1xk1kY4j3RgUb2aoXNw8OLMrMJejRi2BNdEVaHSX8ACescNf0XBZ6tUcuEy+h4teY&#10;xHdCSxRylw/usHx1b/jW9zgYxb8KTkFb+4MvPjm+/PWXxzsee/34cz/8p8Z1PevJ574y9slE792D&#10;zw4tv9DOVpOASlKHym8ZWiWNYpdrf37t68+N106cGw8/qPgCXB18WwJLkvUjuDgYyHwg6VjTa7eK&#10;m+HE9nVpFwq0EqFwKMgZmoxmGEZNE9cdSgfoUkuufmHJNfZpqn3DKLcJ0TEt3tZ3t/T6mAoCh/OW&#10;RM5Aq6XSTpm1usJDEz4pBzirTypPbq80lXv2bJUpZCZ15mJMX4IIAq/xN3AUfsUJdsy59J3rS+o/&#10;6DIXKMINMywsmsC6zXZmiuGSNc74CeL7mI09x+nHzsoakcHZFJtFnfs8a5yNzOetHfl9MW4AEzv8&#10;D3zXt4zff/IZV2L/7NOvjbeqHNst1YxcwLmPaVU+yOWLbDL52lbks5QZdOfVLePwvuXx8D3S3ig0&#10;642EiU4aGfdTTiOSvCuf0YEaiQmfrc4lMOI6HQF077O6D9oIUY0A7ja0TUydckQzj2hFnezs+cA8&#10;2OZPm2ES3s0mTENOgC8V6pG8XcOxmM4uCgPomr/8oY+N3/v0E+OPf+cHxl9WLco3v/0d43u/93vG&#10;H/tj3zn+6c/87PiJn/h749lnnx8HDxyMNc2kFX9R/IDxTNvzB8Oqd+Q4JlAgm8Ubv7RHmCo+Nsbl&#10;tkaMV9/bnKUN15U4bOJmL0wCYNad3mb0Zjv12muKWlXRYQUJED1HY1D8zQD3TkxoyiLet7/MPM53&#10;TMCSy8Q5WKMsMXZJRCrme7RHpF/GYT+11suao0EzxEwu6drla+PcVfnW3Mw2YeqsPb50GBYBA7sk&#10;7NDYdI+KMhgo9Xo3plEJUDAzrCNYPKBduxegF9ZaN0JbIxjpqsyit4a0SJvPKvmVHYl2h8bmwJ6Y&#10;xvlNcWettbdGorC5KBrUFltlxEwrF5SUmu1KrYHJ2sxPuTzM8Dj6dT4mMWtxFljKDzppdZVegLWm&#10;Iildus6BLdHQE4wSgPXetGaDdaT2dfMD+Ab/ytQ4vYax2vwfS063KYpwi7+z9nW9hzcydwTSrMlX&#10;3H69tHZKdwlrkNYidzmuYJtiCpgnBAc0LbRGgnDQuDqNK8E8AWFrfMXUwj6KxqFTKFYfOt2J/QjY&#10;s0cMhvEXeu/4OJn0iULVFU6+oohJ7RnWnHPYr0RfHpTZctvW+xT3sG+8/pEHXP9zN4KXhHCsa/hp&#10;2/96WYrDk0/FAoc1ixqjN1VCEPM2vn3m3neuqFWva2UNxFoDvSSYh8fCPYA76q/9F39ZKTm3VE1r&#10;2XmZm9dlgYNPkU9NIfaee8bdlbSsr2Wu+DHPBQiL30oghajsJ/aX8QVWR23Pjf5HpQhUTgdHyKSi&#10;MjSYQZnAqN4ye1HT0mg8VE9RjmM5kf/db35Ex8P0Kmwerc3+EQ5tdT+BMpy6oUEQ4QeRkNh4RXUV&#10;MYv6osW8ZtFc2VSmh+jyflBPpCNHuUm+myJYgSQ+t2YZgu08uVyoo8P6ulyi8nHgj1WmKECYjdiR&#10;c0nn6PfzYNmgGQaWcQYI7zieeeczS5eYFoc0o3eO97z198fHP/OF8btPfG388J/8YzZLWaKmbJAk&#10;ylsSRHagyUsDWFbuoXiZfSd7VhbGNfsCkahYqBDCNjXOJFHX2reO3Uqemo6nFBPPv6kO07v2rYyr&#10;qiGIWWKHimqjfV/bqkhHMajOGdsm4cLagRiYk97lp3HpLYAS846XrEytYoLkdgWgcow3r4MsEtCC&#10;PwKz4zZtlA/+8m+O3/jNj40/9Se/Z/wn/+l/PB54+JHxH/6FHxl/4nu+e/y4gPB//5f/SiHWKo2k&#10;DehNbVt/3Q+p0eawChP3UuX5M6jKnZOvEE3Ofh+Nj4ol1wQivTGS26m6rw65B7RUtEGgdkWaz2X5&#10;Zi+oddZFCQo2z+jnnKKImQvW59i9DyYnq9rDLElj4nwHA9hnWZJqMbLkuAbcEC6IZovJCnqMJoNg&#10;HCEDxlDmHv7qXDM070GtpR2SgHWKCLOfNyQBApKvnr2i4y/azAjzIboZLZIAtJ2mGRXwlqmc4K6H&#10;FNCwRJALAhAAJFqPfwkGql+S9wmiQkswIOZza7kEfAA8uB949ooynMx8gKB9/ICaurAcpDv7PfZJ&#10;7lQJNSRy047+okmvKyBiQ1qW80CVAO5IVheTxj6DK0HraJMz2jhaX6IpbTVAgCgtPSlQmU/vX90D&#10;bcbakvdkrD/8cy1RayJZt44ovLmVVIMUZ/AxEJrPYdoDOmY8LewWI7e24nWG5yRAC4GFIKo1Pd/W&#10;LedNZ0SNe3yYB93eri1uYeANgNHgIkSb//n+HpbXl+BBR37qAyLAu/eeYyg4D80xtQQ9dp6Jod9z&#10;7OB459veqICUwy5svWfv7vikpehAx4Ca4x0wZ9v9BS5or8hy5Hoy8FbAH9eF/qXiUzo4WHCz1tpC&#10;ae03rIkedwTsQDzPFSzCpYVFD6H8HW95bGxTcNKLTz+pSjcXZSVI3dYEb2YVMg3sA61xrWfkhvDc&#10;PHB8hfwo+DEL5r8wemv73DwallPyCKZy6GzjrOjUIJgao/xSNcUOSBietArs5Le3KhMOesMMYSkk&#10;ATG+oBe0Sv4Yf9hwMFBVL5epYI98EpgRCJ40A4I5uKFmACrmgAadnrSMIQcAXnCO0tR8Dsd3maEO&#10;1CmQ8sPX9fw666CtFRoz6PX4+1k6omx23QT/zI5tzTGf596MrwOFshmbuJnA8uLoL8mjP/JDP2AQ&#10;/NpzL43TV66PNz5wr9I1FPmpDYND+oZKAi3qd1nMa4X8xh2USpJWuEKXCTay1tElj0zpmk9+IVyq&#10;qmBqjml1i7pV8P1WpZCMrdfHwhZVjRAjtakUprWOSVySYpmEbuiY7epkgQ/EdQG3SWtCa5Hf8Pq1&#10;Mk/owZDAMYVhbu1SUWmOSdoC2iEmLhrjVGi+xrNHJli6KPzUP/658auKkv3z//6fHn/hP/zzCto4&#10;Nv6f/+PfHD/0p39w/M9/6++MX/u1D/ma9D6LKQ1GCN1WUFKZTDunKtVZShgJ/ZvhkFz/tU9/fBy7&#10;70FV+0i9Qfr/oXEj+FxZw0eSMHFX2NfaLKmu6cNKR6DZ6I2nnhrve983ybl/1MAHmL0mzZCNefy+&#10;435NSyUYwbJMOgnKiVnUEaswK8puAS46l8IK6eDRFYlSkxGmuCBBRGHAMTv7eTHdYk6TP4bPOAeT&#10;GT4lnTP50EoTYD3if0FoEfMRyV2VSeqKtNnTF+XzEngvLp4Zb7+oVJ8tmInjgtiNtihLjTVSgNGB&#10;NgE8tNUF+83jY3Pnb2uVYl5iUliSAOWuUWrew3N7DrDWbIzzJ1SA/NQLJXRg3eBXTFe/tPA5vF/5&#10;tRLIqLbCmNwtAZ5A/piA8RoaE8FMzoUkjQkhAm0xe9Vaof2FmbNCKTNQF5sImoU/Fqj5M5vV+Iy/&#10;MeU78lTfUQyjwZExWavxdfiJQBBZvNg6PIC1QVO1FSjfN1/kTHxypCOluDkna7+i4diSEgZvPmSW&#10;WUzK4y4ANomHL8ciUvwGOZA5aZ+n/WLh8dn3REnfGm98+IHxtscfjWWCoLPS8EOX5OqVawPWGujw&#10;ixbqbX1jf0gaBy/g4ZhIWaftsu7hh+SaxgoDTHhqF8ruKF3GxLUXZGH87Gd+b3ziE58ab3vb2xwI&#10;s1+WoP3yMy6ojJuf0cJtTPyea8ZjEPSSTlahaa0sinNOVgqBzK/NPOpDXlCLMVF+AZZMXnipr89n&#10;XtRMhk0VTHQlFmIqdWV1qju1JuhFT7j3ZCYsAGAjXVpTp2XbhylJtHWcvrQ+Tp+/PF49c248cN+x&#10;8fDdR+xHyOSHSDzmBsUCmNlERNMrlPHxVoVhPmVampk3WyvMokzgZQ0PUIxD3gRobbb+ch2ez+dE&#10;O+zw/IBqfVbAF5qphZo2Qt3bGzDDZZIxunyjtMH/8a//l24B8phyY9jcOxUyuEUMZqdCg2+IOcXn&#10;QM1SGBQmDDFvgRpRpqkewSL4zjaHbkETxK9EhaFtVJZnQSWwMMatYnzS1CAAm2zEvOg56WouAsGk&#10;pMScAWOJJkg5JJ1TEZAwqgASXS8kzVNZHulW5yIRO/dKDCtzKOYkRkeNZ7DABYJNV1vc1Xptc8v4&#10;8Z/8Z+N///l/Pf7Cj/6Z8ed+5M+NN6t00z/5x/9g/Pqvf3j8nf/l745Pf+YPzIx3aC5aI/Ts6b+O&#10;/IvfpNYGc3BtFkCBUPef+1/+p/Gd3/9D493f8Sc8LlehETCQ6wfN7pSparfMP2wYQABfBjS0Ks2Q&#10;NeP1hoQTp45gOpSmkj3iQajvmspOKfn38ccf91pajtd90NZgsPRrAwxJEkYTtOnGzJu0BwkaYu7U&#10;XaTgMD8pHwcQLbrMmiJe/JrrOQJS596Q1uKSdQYNLCwJKuLSpDFMATTIpPInJ+82e32NUlWiFXdJ&#10;EJC5IhDxAhVY5vqUeo3/aJtAz2bNAkFep4MGnyVQJ0y/Aj5g2TBqjYllsLWigIfBEZlL8vbtS8nz&#10;e2U85XlPzpwiuDGfEsDDrwJQlmVK3LPrkHNu4QvWKLyJoP+0wLIQQblB1y/sCOIE1XHoBF4FYh3I&#10;c8t5yli80GTQqDDxFlAWCLZmg/nYIOCHgrZrz+VF+AZ8pKI/zZqKX3Rh54BkolXDpEWpdU4YQwmY&#10;zeHDx6PdzIF5850Y8c1SzXOdR2h/G1s80f+BaTTv5NVeVe5scjyjfabwuM+ue/UYPJrar+2TDDCD&#10;J9//3R8Yf/oHvkfCmEzaEnadXyhBhrKPNnu39aAKMdqfT9Mx++y4DPt1y/iJf/wLcpN8cTzwic/Z&#10;JPred759vOvdb1IanuiVaI0tERhbOKjJmMbqSmQF9pm/jDsfOgUwD+TqKCwqjLtOcESRDuIafO32&#10;HHUqPjYPmgkSETvfhKms0mb4VyIdFFevwBmjtBe35aOAKzblF547Nb6gPnyEx37luRPq/7Z1PPXy&#10;SdXhPDO++32L480P3++IOiJXc+1MVDAl18n7/Pr1HNi5riKLFuoLtvnYRF45UtTEFwmdB8cc5YTh&#10;ArpIaEXMJuoOXa4EV84lgq3Az2ZfX2c2lkxAqeNe6JL0HOHJ2MIgjVwKbPkLciojZZI/5wg6q94E&#10;KahvFxXV7ZOVFigNz1GsXoMwaWs/AkUYpq+tYyzhsKYkhCo8fYhZWoJhWNvIwyO4g8gwaneqESYd&#10;7QRy+E9IIrW/DMZmv/CyxqRnq2g2KspswZfg4gUUAYj0C+NyPt9NMTFpj1SpoIcfjHInpkjn4oqp&#10;U6HCPi2Fw2uYJPDuUfHfk+fPjr/+//hb41/+/C+Nv/wf/cj4gR/8AfkKv8O///gf/+z4u3//p8ez&#10;zzxr3wX5my4d5rUmDF2aJ4nNFRRgSVyA0hK4Gaee+uyrzyuZXIV8NQ/0eNyyhUFFYr8l8xHAuA6T&#10;dg3EXPfqlStuForAgNCICdC5ihr8usDstAQ4tMUVJbezP3gmB3uZVm+N06JtGNFeRWFiHjOzFn1T&#10;gBtqhfEvKhAFSX+rgBDzNGPaQQk6QEHzv2ULlTmSnkICNmMxDaPRS1ji+aJp65Wjf2XKAvBqzGj3&#10;3fG93RTQHxHS0AhRpyuS7EnTYJ9igsKU6ihrUon8Oq2iGgj561qvYlRucmx+EDqxBmjNKhoVfJnn&#10;M/mb+RYvapOkJcNwDMCN9l3XlRJkM6IS/62dIqSVKTSAjBZKKx0FehAdTnHzbftMi47qdfBR+jGi&#10;pVwX6NOyad70aQHb/K3AwMFyPIOlfdc+hidGqdBzVnCK8cisaGatYrnDU+Z5w5yCYZZUkaFeu/Cf&#10;yEIxgYevUW+qgK25qFlsmavbn5YRmB8DyxY6HBnZ5wYEoHVrYQ72ScR+oQfMoO6ZVJQeg3lHWfNy&#10;tYzN3JULcqbWeW31wvi9T3xkHFVO9BXlbt9z/LyEvV3B6+Kr0ud9/5ox0+3E003/28Yf/cAH5Efc&#10;7s72p5Rof1q84B/8zC9qb50dP/i93zHe/eYHHVS0VYK86ajmJUCa9bHyY9dJnq+DnXgtEMQnB8jp&#10;f1aZQ5STT01XiHMUP1rogUO32d6s4/QhGktMO9EEA6r9MDOQMfB4IYvBm+9ibkly/G5V5SfogTI5&#10;T7+sjt0iXLq/75MT/3Nf+vrYI6ns3rsPj0cfPO7NE5t0Su/8YfALgEXKC2Deaf6ctDp/X1JEhV9j&#10;G/A4TbCRqu/QAktS8+d2tneya56tP5tdI9eKpBKwmWmldU6BdTaLzL/OT5LNe+mANj3AI5+PIvO2&#10;lz8JTXBBpkrSPADBhUUYMGkhmGnE8MTkbRJOHJadxk7u8eLptRfZano+47WZDSYwVEQFVaB1LO4S&#10;HcXUhvQGHQACBDZgriIFAyfzNmlTPBodAWJeIXoMkx2+KtJNqIivqFKZ8lwYmdQJGLeeg+7a3Jt1&#10;oCs1W45kZOd5VaNfAJ/Q65dOXxp//W/+7fGP/tE/VVrFj47v/1PfP37kR/6sf//JP/05f/6yuq87&#10;5UFr4e4eMHtVDjJ7bW0kPKBow3Cpyimqq3j2pFNi8Hnfcm5kclQB6xsaPxoeifB0274sn+BZvYYG&#10;yTXcumVFoEbZNPyGV8aBg6pZqWn+7Gc/N978ljePvbvvMsO9Kp85PpNuKeOWTVpXfL3MgyvV4Neh&#10;YonO3ynTqzf5tqsOVEKM37FD66K1wBxtYKXkleZ527b4bkNHAN1O06OpQM+ehGeWBU1ftRvx3ZjH&#10;wixiFrP5UDSyUxGnWGjYj0QfAybkxEbDAwCjARLggdnK4APIOroQcKyozN4fBrEiM6bfmlT5Exmw&#10;zWMx21lznyL6Qrf+ZyDJcO0HbOHU98j3aaBKib3k7HXh6miSyZdE4Ep5sGhuMXXCJjCNlsbEHFou&#10;hQemTJr9eWgw5NwRUDZpjlYPJz+ht1SBl3kxv63dmdYzz+0+6UjXCGbhZ2be9X7SXHxurDtTc3Cv&#10;doAkEBTenNZn8VsmsrVTs0L8vmbxvqw/mlVMvLU9PJ8xW8LDuENZ4Hy3FtZzzxSt9q0tjP79f/TP&#10;xk//zL8eb3jgPhfD/oY3Pzoef8PDCngjLY9D494id9m8sgHMOMJ4CQbbPh46flTFP66OH/+f/tr4&#10;qX/+C+Mjv/6R8a1yP/zaRz85nnnh5Hjro/eoQPrJceSe45mzDtBhGiLJRHDgcX2XrGPLEqpGpo/1&#10;afsGpww223Zjl+WY5MflAWP/yXv4KRcL5ulaYthxjmsz6D3xBwH3qPidWhHQQtHZHC9eoNL6+fHy&#10;mSvj/e95l9Xxj/zep+1zOCBgJOfwsJjOefH1c0+/4so2XG+fnLb4D6/BaWpBQkBhAG3WjDbYwJaF&#10;TzeIeS0NZ34F61gKK4nNwBiGmtDr2XMEBBOyb03R4IhG2RriDPTjT4yAwINHyMhYI0DU5BZzOvHC&#10;pwR8J8ax498zTj//y+PQvd8o39/dCZ1mwxpYFhwBuoDjeIk8QJq5wsUo/sjfhHnHFlISoLVEwA+i&#10;KNOIb+2V1jRCAYCgDBiYusR0b0t7g7EiWbOYC4sKiqG9C53SZYq6TvATPhe0FjFltNfUHSXaLPUz&#10;CauXbdGvqcyyeV0h9WL2jN1+RYEL8wCTR0KHkXJ+ylbFFIZmyvfkfz75zKvjP/+v/ofxsz/3r8b7&#10;3/tuV/M5cuzQ+OE/9d3jb/+9f6LIMZ6hBDIJMpjX7d+eY04lu3pjwNh5/g0lgC9u2W2TJk1qYeZU&#10;rSc6zTl+lM3TcZ/97GfHyROnxuvf8EaHx3/owx8ax9QHDQ7N9gAMSALepTJ43/Se94yHHjg+PvsH&#10;fzCef/4F92DrKbdJUNdN2kC6neP7TnSt6I4C2tJmNsQEoDeEDBjaDs27+9bJVOpQdoV4L0pgIJoQ&#10;4cSSrjXF1J20ORTTns5BI2e/soahQVAwgS5QCRo/awv4oTVR2d/Ro5pjIpGhu0Q2BvgIftkhAc3a&#10;n90ggGHa/zg1oWmbGS6rSwNgp5tEqE206a3bCZRqM2afE6El/AWmlgjbKknGfge85wVU7zm0krLs&#10;lPmPtAP2QIRxLD++sJ/ZQAZzJlAEmrG2KiGKO3IOe6/3irWGAJ/ZK/cGRspM2mOdGHxpSe06CS8s&#10;K5F5QFmzCmAChAk8MRMFNhgDjLx8V9bQwKjWmr2HK2ClWLVl2zqfdfZyAOo+sYQRH4sC1Ok/0EXu&#10;OQPYGQZMBdoLFKduNKYg5u32uPf4Q+Ohh183XveG13l/f+GpZ8Zv/vZnVOnlo+Ov/pUfU0lJWT8o&#10;lm26KCWKNQND9I9an+fPndKevOw6oH/37/7UeO3cpfHgg4pMVQrQu9/++Dj1yqvj609+eTz2+FvG&#10;8Uf22C+MVQSan+Zk0jRL6/WcJeiGHylhIKMmxvZYjyZzj7RRTNql1AycWX5XQrHtW59gbkKCNNBw&#10;fiSMAIMeyHgJgUIk9et76gct4J7HxoMrB1VP7vR4RH6Xg3q4y+fPjHdJWtiQ1IxvgsEe3b/Hof+v&#10;nr4wnnr2OXbwOPn5z0vKODq+8W2P2/xWiJJ9XdpcNELuG7/d7D2vS4MrLc2mTYNdaW3eVDNAi4Qc&#10;wGswTGuTWUms6TtA15s0CzwBsscS5hzJtsAPgQAntGthYp65Isa9z76gc+dOj/337bJ/BaHC5tDK&#10;5cE0BePZIcnAfeC2EzGH6Ss5SHHWzgNegpJM2BUdFvt3QpZjm4IxkwwvzU/gdVMVM5JTlTZC9B0z&#10;QOqznTIFojXBgDFHAWjXpcVi/uSX/CKAbFFMkvlGE4oPc5eZOYKHIzB1LUvoFdDkeS3GlmAE9lYE&#10;DCYVBo2W+PmvvDB+97NfyQZWKD09zah4L4Ooy8fF/FVlp2B0ZabNesQVkKg9BALMoArNVy9BGOde&#10;5TM9pyoVgDqJw2wsHPOHjxyWWebsOKwC21Slv6xI0Udf/3rP27Fjdwn8jiqi8WpkCq3pvt1L45mn&#10;vza+/OST9hkelV+bKLv5tWfXuOmnxpUI0XQBN0BLE9yxJE0TzRCAWpC/V/OHSdFdOTYx/dGVQ1of&#10;/jjNCzSyXWMArBBIXETa9JbebtAm3wHpZowYCjBjI9DS2UNrZc2OghGUBiQ/ELM7QCjwo3gBptAE&#10;r+hzXct5kgBh+e5SyxZLSjPa8AUDHdwDUCJXEMBDKwN44EZoWiJ0xnALU739WPMMGeiKUJmk8nrd&#10;AOjPOCWuieZFzg0uYbUByvTk7RDtzBpK+fNiZaoAHvYEvirv21jOwlvZMyx0jy/7OLRV+z5Pa3Bo&#10;Qbh5YfZheEACPHLJNH8uaxe34fKlOXkExrpoUsWww7v5gn1iQGMxA0hm2RUIk+IVXK8sQgWcRiN4&#10;W6UWwMdjPvTNY86NzdpKQjh95iMXLC2rWNrdCl55UJa7/+1//hvjb//Uz4zPfPaL4ls7xxWlvT0j&#10;18U9R/bMltaih+bHgZVKjRNo/uy/+NXx9WdeUi3nDZWt2zM+8ukvjYNKz6Bf6yc/8dvjsCr2PHhM&#10;FZ4kNF5Vx4hL506KH4mvkPfbY/c8MstBvFlwTAQAfuwTxNMXtZyjmHAIFIrIo5l4/H3OAqkNkpCI&#10;1z9/5/1w6VMYKWsGAlELXekB38/RN4zjj795HFFI9u/91m+Nc7LvH1ZY7k4xiPsl1c8ayhJskIK3&#10;D6lS+KKY6m45SG+96dHxe597Ypy9tDruVrFqj3kaayQrxubeZ6XddbKpCcXa3rwptACvgMqmUGt1&#10;8S0lxLs1wUTIOb+lzKi9wVIsN8fNa37z2uBMK8xCmPBts2YTXRvLBx4slV0ayLaDKQpOrpPGYk0Q&#10;KbuYDgCI7wVBJTwNbQ7TGvPBnMcO7s8tQYao0wyGc7yj8guAOqRX/kXMdOWja43CvhYRMonc6VCe&#10;qjoEbCQKL22RYLyAJvd0RB9+IRzvYmqeh/KpERiDCXSTHnx1PkjfZhe0EkypXJttYmZviTo7DX8c&#10;wMd7l+4q7R4GEoFGwGrgLMEGQCym2dOQgIUyPZWJ7IpMo888/awjQhckfaPVHLjr3nH8AUmhKut0&#10;l7S+gzJ3fuWrX/Peobv8RTXfJbfrwx/+zfHU15+SyfTQOKKI1g996MOKkDusCvcqdK3EYoe+uz5t&#10;LBFeAvvI4psDDM3QGKfGzvOjiZsGmV/N6bKA8abAmbWM/wtNXccRvIKZszRJPgfUGJdNh5rD65qn&#10;+BPRKqEBtERLYfb5IrRsc6HkFQEc6ysQBPTQBjF/yvSJrxZgRIPGJ8hffLEpAxbBhsa6RIV6nu3r&#10;CzC50XZFXZqeWSf6JmqeHUIPIzJwQpf4clLZiM+tK5msW7AsodVrnT3dPfmi9ef7FPDvYxJ00t4j&#10;v7IgVIpAbYn4+GCisGceQfODWdH7dMZUIzgG1OvCHrtBA/D0WpbAXYK4V53nMbA0f62ApzmNkShl&#10;9lFDDFNjjg1vNR8vF0dZIDKC7BXzcd+HcRfH572jxlvpibnTpkjdN3Nea+UhzvLpauq9lwK49cwF&#10;9o0qVKNBw1uVW4C5+19/4ieVUrQ23vLmN44jihT9upSY3/nt3x5vf+P9inBXL8LCGStQui6aHHP9&#10;rne/e3z7t3+H8hApGZhGB642JcD77Q//qrtULEtpoufsmnzE51S56PD2445M9ixojihE4fZKaNPM&#10;G9PmdSrhRa+cHwyhtd/PU4z1jEnSd4IBMx2bO9ku+osNl67z/Ngc6r8hMEdOYUoz0RX/NYdBIiym&#10;rOMXZeI5cfX62KeKJ8ek6uoD9UqTeQaTk3IFYeJecMZq5hBmsS7mRIQQzJUKJu9862Oq+q9FKyYH&#10;NzOg8682QDvkZyDUml778yIhJqBlZhKdN3/OtL+EWXfOUzfCnPkYI332Jp0F2JTWx0Y1NUVLLF4e&#10;4cPSW7pl3PvgW52bc14L+w3f+mdd1BxGmUohOreYjX0wlOxySTfmgVkC7PSHxTAIehLzviTavA+z&#10;9aKiAjQQWhPUxpd2BnPb6tB8El8BvlTd8G+DmVIl0JJcp9HRvxEOmEvlsvoemJrw1WBSZe23ipAB&#10;KJg0BYrpB8hc0nuQQs0BeRWDVp1G1w6Fwep+nEvjWzQMwue3AHJIumweeo95/YmMZHwpfN7CiBkE&#10;tNFaJhK7abvzjNAKACH0IwWGSBPcvY+6oYdVI5KedOoqomT458+cGM/KrPm6R15vZg/toQ0hhBBN&#10;+vXnXhjPK6DrvgceHg/IH0LKwAMP3K+WLnq2iojMrqmgG43/gvIMHYGI5o7Pz/ltaMapPZreb/Fv&#10;btOG9rPfQGsk2jZmY4Mga+E8szwnFaAAIubfATP4kiqPbgd5n8y1zObsV8CZRtpo/QCaA2HK/Okc&#10;McygAkL7AfFPd1BMBaEgpDk3zzUwS0i0dAwJpsOBybOEmAjOmL9CnrASChVAsoTXO5S+BckW272z&#10;a//6/AaQArvaexF0Zpp+708u3hHjZQVlQB5X/Eal27StjGs4zkFz3T41Hxy4iWbB+Iupwurskyrh&#10;v8Hb12VZksPcVo4pYA66Nc8Knwsgi4/WPsv71r7y3IG4Gq8F9/grp0jXYqDtImqQstZa/NtKHcdZ&#10;YWEFch1r6fZRx0qQ52FcZT72+zxHClGUeVnX+xcf/OXxVnUyee0VFXkXHX36qy+NnaKxZVm0Ni+s&#10;jBUdf/xemopTHQk+lH3YGr2vpes8fM9h++ShyxvKEWSKCVjjsQ9KqNyjPOFFJep7BqzMUMFmZRy+&#10;+564X5gjXQt/PTVvKXSe8nS1bqXUye3GE4bwPGdG4zBnS088Nq/9mRaK5HgWulTr2HJB2FL1LVHr&#10;elOF9JLIa8JgkO0ApVAqlRavXT437j0ke66ivc6++qxzfmLehKGaJ8wkfAgB34k+vy6/z34Fzewk&#10;fwmIN4GXKaQlf2+qcppzjD+voJkCvqQ89HGzKM/0+UIar+g2CLW0v25/Eqlz3qza18l92t8XAK5N&#10;b0ILE5xMYma+MQs5J0dzQLUbknkBOvwYZoo5zf4ej68YTnyRmBDLLMxxllNY1Ei5kVjhMAk6mKKc&#10;IMT+HibNV/iQnAIh/xJh9xXo4DqLMGUHCqS5KUIRIOWyUAKp1ctnTZTbFJQxtmgtxYiX9+xTQppM&#10;hJQ5Alwxh/L8pr1U7sCMt4VoQlEFxEzkY+pawswxacZEavCwyU1h1vZtMDcRLABWy1rbOnAgoBi6&#10;i3SYSvww32JUJv6YZjmWLti7BFjf+J5vHp/+9Kfthz2v9klf+cpXx3MqmP2ub/iG8anPfdENXJfk&#10;n0Qo+8qXvzg+LhPNW9/6doO1Ay40r6uqnOGcNpdDi8hrUC//szuciDDQrGgvw+fU63Uemtcz/g1b&#10;JTynej4xDyIxmZdbOmeLBBjWBaCLJgadhG4tfDpKl+9IccHkSm5f0luuy7S95VYJdmiLDkaAnvm+&#10;8/7ymtw9a3yl+cUkzv0QJNrtEF4a2g9P6WpBjh/3h5BfhC4CvtAWUo6MgDvyIcWoVOABN0uYevxw&#10;0WVqzxhMYi5uLa81PWt1rK+Onm9PZCHc53e0Y4AlkFM+otLogoFJEcvYAINoX/GbxxzqezP+0pim&#10;smmIUdYwasyc4duH3j0N9X2mJIJ4Dp8BbO5TfkCDdI6NhsdYCr7zp84P3877ulZhq5/XCk09V50D&#10;vWFK3LP/qC1ABEyhcNBZ5JoKsk/A4QIX2Wu9Irz2tBQwfud3fqcDqB5791vHf4DwID/di09/eZxT&#10;F3no0bVgib7GQgQ/77VsbZzIUX1OerOBzGsWzdX5rZqn/WqptCpQdVNusEf/cNucP6vKTfq7R7VJ&#10;KXIOT0pzhLvGmt7zPBvqmEI+e3o2WhM08k3RoUyPm+Ia+CJhNxiagMFMKxgZnJNRdSGbUxgKNmg+&#10;90IDSO0v9G6YpAcKpB5WHcRrz59QntcZD8g+LzEm8j8InSWbyzczger8qtKEVnTrOoNQ5NriPkv7&#10;3iZl1vIu9L3aDNKSQj4zQ7TppDXBOnYya0YjbI2uNUIzyf6FkVnbLYY2aZ2lBc6ZXyYgLKmVhZ3M&#10;oV7gEBD4ZE3LFQIw48khT6QmkjypBjDO1tastfIoETgSXVZcx0DHcxblR1TNBvFfblhBM96nc1qg&#10;JdoEJThHTRI/9R/R2NAQMAU5DN+d4iFiAiHIWVQSeAkI1uAEYvgBN9YSrk7i9C1F99PZmrl1AI3o&#10;a0O5oWgmmN/CLMWgbcYBLdAA9d00xzyn5qRs/p16Iv04oKaJdGCQNeo8uxkjjNoMrKRN02bNVQln&#10;ESI4X+Cqu+/R/fEPwuDoTUifwgceUDI9VW00rt2KfrNfT9d/8aVX5MA/4wa4+MwyFmmtMvMy9UR2&#10;EskMnbLOpPisK22CovRHjx51uTLK5B1T49KOYFxXSbsIbIBZhC+bkC3kJWjGWrB8lBQ27s7j/oz3&#10;1pYiNLQJG1OpejCUGb9oX8IHIOpWT05Ex8/IZ/GLpvh3Et7Jj3TAm0uT6XMzL7Za/G4euzXWgKz5&#10;RgWlRG+J0GE+AXCgwUtDsEAteiXwxK4V2KuriCA0zDQb60FW1gpgrT3lPfvdgqw1wMIHHx8XQLqH&#10;ZP3bHxn/XwX/GTTnwCUSZAUExq2Sjg3QFmPtcbGX4sboCjM26xkgo1E1+BZVF1A1QBYABtFqj9Yz&#10;GTXbbGmYzIPNxIECdM7rgJ1KoUq4iee8LTx+Pl8SYZi/jL2fQ3tRJkXK1e1RMOLK7gNjUX93K6f1&#10;qnzLrApCz6osOLTdwvVgLbGF0jAX/x5SxSmXRZRlhnnALHpddEowlysJUTxj934DlH3XTunJmnrP&#10;lkARdlWmZj+6sImyglpThEAHUxmUsw+puUpUOcIjI1lVgCW5pLv0HAjn+1SEgxzdq6ur44oaTgOG&#10;/MgKgtJdxGlaiqroxFAub17UDCXMm4nFfRrbNDb71hqZVM+9mfYkoU3aVzF/E5xMQCde8kbFt5VG&#10;sbhk2fAzZu7egxqPAae1TSaM48pUEN/k3PeWQiPVRzsErAro6rOYR+ZA0FpeNMoOS+7ozzb7pdfX&#10;vMaYcxwY09c18Bbz8rFhzlNwkAm5NnFEw2xiqEUpDpK39VK+OGk5OzD9SZu6KWJNukHNr00UAEQC&#10;GGa+TWY1Id7eLH1drt0+gSqh5kVrYOQ7JB/WDiEXunM0JB8UE8S/p2s6NF7gti5wg1FyaQdrEIWo&#10;+7mqPsEYNhNyKSpeUKkfhpU18HX9C/DAPIsxWkRlrUQPlesWs1EALM+ajhW9WTh+tpasR/KoUhwY&#10;IQGGnejeNndlLaDBRGO6M7j8azaF6/wjNEM+fHR88Nd+xbmZjyjoBT8dwzywf783WzMiPn/owfss&#10;KFyU1tctuyhpt4Q/TSbDw7oW5s0zp0/JyX/VYLpPJcLepsT5l0+8qjzYU+Osfle0QS/Ir3jm1Iny&#10;rUar72Ct0BIgSKWXaN88r3Mia27Q+uJ/SomwMM7QNYFL1sRLQLV26DUsUAXsqFBSAphN1dIKMINi&#10;xo4wE6GG9AfA0F1DKlI4JtsSPFvGYK3MPgqwChiccSzQswyu17ecixDflL9qQaaOb8YSJYn9FGZp&#10;rcn8ID8GGtGKwywMiInybHppYYn30dj5Lv4w4wXv2hTmMQS8c48CKkfUB/jaKOn8wubibKEynRp4&#10;DIgcy71iXmwgz5gLACYAr8njzt7rvT/4nEGWSAGAhXvbuhMICi/p5rqezDkwtGDhSxRPZzBlQuV8&#10;fMdnT59UbqsK86NJKU1tt6K56eqO0HNIGtimclrJj11XHVmC4KhN3OvA2LrOLiZWAuHWZdVyhLjS&#10;uPBVM74VRfazI3EPdJ9CG6T8BBFAshZxy7WplIW/qZKaDB+6synV/DRrc4uynlKwNqk2Jjpeo52V&#10;gisBTYJrlqTt7tLepFA4PsUxvtYxBgVORUncPDUK094j2iLTCeBNSrD5mO3JDsqQ3mZncBhUm3tm&#10;0VAlTZkawoQSDcjr2bUjWYRgvPjF5AIcOXamWdW1/B3m0ALDeh2GWgzPjGAODBs8DH4xl05g5/Pa&#10;hArIJdJzBoDzGmaPK/dJlOxMAIjNv0xyBX55lmyqyV7PXGJWnCRSEf8NVe3QZtq+LYEhnJdeiQHW&#10;MPmMO4DNBzA17OZSuwxqbQJlo+gXsGM9KU5qJZu/ACJAGKmLYzAX5AdGwCmJyszihKmy1F4tvU9J&#10;qmhiBjlvaELddYVacyQqJ67rnhQWth9CuokL+Tp4pdZW44tJDgkv12iNyGusz7tuY7pWYNqImbaZ&#10;lZmbASPau+euaYk1ginzOE0j+gSaJdqRlkNfe/Zpm21375VjvTQ5ugs7vUDHoc2xgU+ePOmyaOQx&#10;3n/8PqdSHJYP8b5777FD/qLMqN/3J/74OKNqMU8++VV1wb7H57O5Hz56YLz04nPKK7xSwCI/nHxu&#10;V1fpIKGcTwFNz3n8mMxHTPpcg1QE+2+c8jITCpu2cm7my/VHbVoOQMZcnXw5CwI2awpQMQtb806X&#10;AOfVUf2lW4lZE2Sty/wK8Hmtob0ArsGC+Tdo11426YSpRzsJrYV3tTCNq4MKOmHnkcaCTGFyAZr2&#10;m+Xxyv3BrqjvEjHKl8wJ44lWFo2shGLfNoFIJrwJzsJjMgboCpDINTxuAMPPkWMcr+A94M3o50qU&#10;ZwFzKQDha03zRXdeiwizRDTelq87c5dnzWVDq4HizNsEvtN9vHH8vcfCszJ1nvv6zkFxZf5l3ACl&#10;r1d7C94wWZIChtcwN15UZwm5MqDrGwIT0puW5bffK3fBLvnkNmjyrKpJ1HbFl+7x+VJpG+Ym06Q/&#10;cW03UY9w0q3R+hlnwSpdpyb04nkra2DcTiwBPHG7rTL4La0c1VyxpjekgW6oyXF6qcIXaL69OS6c&#10;Oz8WBXy7VJ1pt353HjzkOSaq3uAW015ubEnIVoSAysQsTNF6b/E/gbTFm4vYC7V1vdRjY9PCKdkQ&#10;xaybUL1BslFy/SbSMMIw0SKWOqcdsXxn88Q8gU1aVwGOn6ePaZ9fb8zWKlr7axBpwJyBZ/v+nCfY&#10;mz07u4CIzzMvPb6AdwPVDOxmJrg+N5uvdpFWNx0F1lQoeIcIbZ2O8LouZrUmlhzL5ZFGU5Q2UhKL&#10;wbi1Bq3ZmZGwn0Ls9gUWkJLvFN9GdddlzwGQ/GWjk6BvXlSSLGCCjMYGsh/Hj+iN5CIKZmQBsrC9&#10;0oihl3pvcyRMt2z4ZqZ0cDchxsRm01oxUvuZQgK1mWMOpXmKK04wz37ENLC9NgeCZoDmS6wpTNF6&#10;aJh3mV96zaBBp8JQek1a7iX5Dc6dOCHn/T1aA8qYyXyjh9yp79xsV5vsfe99n/MC79UxV9ce1wY7&#10;Yx8KpaHOqxP9TvnN9sr8gkBAhOmGAJEoSpoEX1V3eqL+fupn/okYBP0JdYy6dZ8kEheT8xZ1fNhD&#10;vmTGHG1kJsB5lyI4OPgndBZzZsyiob2ZAMAcpEh9Pre/PjOaRTTPZu04l/JqgGPMmjaFToAXzXO+&#10;QEQLYGH6YcJh3B5kU2C+KcvDxPBMixGqJ6bstQ2T9vVYewuGoav8FyCzpccfB0T9vuio/W29Z1sY&#10;bsYa/1WEigkGGWKZCOvCGb+1r5C2NSh/mL3l81uDLRgyrZHrZuWhQdKoOc0Lz0ZakX1W6tu4RULH&#10;VYEJ/jeKgxfS+aazVIjiK3372t6erwJqTjBY1r091x5D5s7f1fkB5oBqSbOZY897/pKuc+nC2X5c&#10;RUCrS4r2B4VMXLJOASi7lCpkE7/41lWZGGnB5uLqAKmKnVPC0OvB2uj6SVmhj+e6U2tMAcVD4/8t&#10;gaECIiPIzgT/VjIIirm1mWLpEx/kNt4TmGMpXZgapk4/055bVbL56Vee9ZzAa/mJT1D/uYSWiZHN&#10;wgZLzTzz1kLaqO3aUBVe62oaSErW9/Vw9hXqBACSAAdvvBBxoi5nDKmljtb26sCaC580LdyU7F5g&#10;Okt8Z+4auOo+EwDNNkprUW0SveMvEzb9tmmxwLkYzOz7MKIutTZtrBIWGuRi/mzGzYtGrpnml2P7&#10;GUOa1o4l3dPx+7Z8O4uqB5oQ9jCWMLeSpHktCX0KsTdBE4EHaOkc6iTKtGopkvWRFhPVvYAOba/B&#10;EVADAKmSwhryF0mxsNObQg/kVBqZgXxPWwpCrAwt4fe6P8PNw5jxIYFZKwOgfHy0SNO9ATECShhy&#10;5ifJ1Q2qHX1Wa63rpkp+BJlwRcAtvkMLdDDxDnqBITnhPqDpAB4KMZtQA8pu63OLDRPBbZciUseh&#10;mDxxxFPc+qAkR2qJ0mHj1q2d49FHHlb+5gUFyryk4tpX1Gj1/DisdAgk5c9/6Yvqqn1BId7v9HM+&#10;8Xu/PfYtL+gayql84ew4Kms3y/G5c7sU7i2mp1HvUgPWxbF3LG3bpfzDhwSaV8fq+unMux8xYDEF&#10;nLB5DWaJaGXGthnEAppblTvq+WbJC8hcJs3pEFXZgz3JMRaesg6sU/ZkhJX4+mJl8J42MyqzpWmk&#10;qjbJiuG8Txq42rrQvjaGFJgJCUdzC+dliBGoDCSivVtEKUNHvhZCQEFUAVE4UvZWImlzrXZ5dL5y&#10;KGhuD3IGAlydMjH/EtF8dN3KagHPxT1t1airVRDKhAgFGCHdCIslRWYPUorHwM+9M07n6tV6UdgA&#10;DfCGwILSgbtFd/sonyftijzTa/LRrew94FSWtUtn3T0jG0yXYqkANQ+xfBg1NxmfN1hBImsR7dWP&#10;2fu63SF+vrpY1MzwjPoNIPohPXbWeVXm0quie8yMyyoIsSIf336Z+Pfqd0MgfkW5s+snX7EA6U73&#10;8Aut523VqE0Vp6pVjLWB0n5zWqjvMgkeEYgARzcfVh3Sm6qOdF1zQf/Km9do2aVenTR/1zxuUORe&#10;BS02VKZtXWBMfu/amno9qpPFqv6uSgBd83f6XH//1I/9XwFBCD6BMTVHExBlXDHRmT7sl9HcoAHw&#10;WuuLtA7jjG29tZP0QYMvJ7y4mVsBoX1+YaYd3BAG2IwpRGVi9M7hJaseYDOjNPPLBva5/rwiRK21&#10;FWjU82VzlL/PQFYmPa41p0V6rB5XwHHyERoQZybSlsCbabfNejL/+nnyHE1joaTamH6ojD0MAptf&#10;pCTMT2JVCfJwZYKejxB/zJCARdoftcmkNVEbFGznj8+LljMdKUrqi82dBXIOtEGKJDfHmRFioIAg&#10;Gprt7UwzmkRp0aX9WePwPimmhFkWjQOfgDcS16UZpwBrsc050fYL8sIQvOeSN8r1bure5D0mJQVT&#10;kcALQCv/lunFJtXMJD8uDyYfAAWendTPhmPjcATBGvjJrD0oQbz8qKGgzL3B1JWOsvab7hghENJG&#10;wb+xV5FmpwVyr6ocG5098I+8+vJL6ue438D73NNPSzo+O3ZtHJcmuX28dXlV+Yu3x4HDCibSWL7n&#10;A8fUZZwmt8qJ1LwcWN46vnrx1vjy798l/8YLWmm1NVLeH+kgbgmj4dAsl/m8eaMEhtpD2QrMMZHE&#10;YVj2wxQtudZtCZzMAT4Ya3VF+wlsYp385BFO2Fo2+eu7kFt4P/fC/1X/yEskavO2/WFtoOOE0GDM&#10;1zOh0luz1nuylqA5VZQs9zHPqeAHj8O+asStKl02PWKZy83MS0P08s/4S/Zg8YimDu/7AowGOmbL&#10;gFiaZKFfSNk7xp9kf87AIKkADSYV0VrvG9NzKd2T+fT5pZGbP9YlPV/Z00THYiWgsSx+NgKrbG6U&#10;z0yJpg4CIy1l5857baLcoJ2UougBAqLkwzdrPZireT6uwXQQUO6tm3rhQ/mT0ltgFzNvUKAT7LPD&#10;SmYpIaD9jmjx6xLWENguK9BkJ1rhnr1jp3L/luQ7XJKmuEct9S6cPT2uKkWBQDO0wu7x6IA3WUcu&#10;XTgtrYyeiQI0aYc3BFy0IsOX6AjVVQHXVf11WyZ9JqC7elXf81ctnAhaI62OQLPNzQRAWbBD4LZC&#10;pn3nWAYF8C3tlSl3adwl9wUpQPy4lVLb2XlgmBDEy0QlCT7VYqxhZAcG3NpPU9qJA2T0vY0L+oyI&#10;tWxGsKv9OwUurb0VGM1rUF5EX7Pswd4ZYcSdZ+glbC1t0gQbCAs4/X1vztYW85lNJGzuBrvePA3E&#10;DaZzoDtvep2uW9dvoJ4AsMHNxDYDw+K5vROCfyUV3rGJvMknkWTaPBPlhnfn3N64NiF5opCjQ7Xw&#10;E5s2+dVXRCdi57bpMwWMt+Ib5GK2jlLMNikSKECW7Nnkpokwr9tIPj4+UnU6OAcMs7/ClPJlNEUL&#10;HNYA0VRr8+sbm+AhQiJPiWrUPdJ+R6BVIId5EiMKhAxd7FhQwe7tmFjMYUXklcvo87O+MB6zUTZZ&#10;pXT4uwLCNqdk/oomzMBF6wpkOX9KqToKTrlyhU13dbwirfqGigHf0u9FRbUeefSd49ClZ8YxRSgf&#10;3E3qgKIAAID/f0kfPz7+5GNS8YQiO7YcGwpnGk/o2GuazjfKz3iboC/8+NqkG9S0JLrZRcptf47A&#10;gWAiocF1M2vfmE8jBBQ5sA875WIqAuy5wq8qAFUEZwdh5ZRifNBCOG/ND610YvbKb86zkGWhd44v&#10;2B8eHyBaswsiuMdikuKtKbI/y8fV1pnOkZ1ItADLvGUi4WLKAIJND/UNe88CWt6bv/j8MpO28Fdc&#10;eqK7SGZ5Tl47F5bgGDvAvR8nbdDzzLExibb2E4DnroAB6SqZ32k4vi73CZ/M4gTkAkJ8l7y5aVye&#10;+rZqcN9o6X4ecih1LlHEBFihBRIIt8talcqAnb0+dsrCsKQ6vTtVcOHWUAsvgc66Ustu0FfR/r66&#10;fkY6jXeazwK3zEmXemP/IvgSYVnP4sdqyskeSyGHKnrhucix4W15RmiJfDxaoC2o4heaHsXLjwoM&#10;77r7uNu/XVTh64tn1RhBGq6hBCFP1/uEimxfPPWK+w6ePnNxvKb6wJfWpPUxlzGDWJCD7gxmVCii&#10;ipEyA1YO7hiHBGY0jaZoB8CGK4Lkeo6huAOaqiNQ9ZxuCYhWSaUi/XtesTFKtg+BRVLLpJh/6RdL&#10;p1kkYMjm04BzLAwwg4tGBCbFh2RmCHPCIWnA6U1W0n2ZxlqjM8PkGmZQc0w0b0yKk83XjMorEInT&#10;jK0WogCrA1FmzG127KS9dTCJJzcAGS2zf+NfmPkB54l5JsV5cWoepr8NehmZ6SVbr98zP/mkf0JX&#10;tammT/2Udxwze8cC9Tl1DwhGL0kxmRJ3dUiKjAeg8OViH48PoSqUsAEgYiVed3NUiKUr/BP84Qon&#10;SEaiDdIF3Cmc0RXD8rzWSB2Ewr34zJohSfcCsCImM1KZJAPKaI8JrHBNRJiqCNfBLpjwnAunqFSY&#10;NaHVjkIkUCY5dJRf2yKbv+epGLlN9BPzmaOhjkCtNYvmVAKTGeNsQ991/EFpcSrae+Jr4+WP/8LY&#10;pYoVe/br/ivyKSwqglO9Gt9yH0m/FG5YGBelMbKhliVkbIj5bSgHinqj22U6xXe5dkrBNAC4G5eW&#10;sGCm1QJDUYmOpc1Mok+L9sOKCR8qhsAGSANexu8AIQGuGxtjdanjQx8618WkoedYYcK/sl4NeOyZ&#10;rrmZyPCAHqXsiAolcAN/JlHcTlmx77GibsvSYuHYz5PnKghJ/IAZfoSmjAvcqCAXjjXohP9kYDF/&#10;mbH7lA7/LxDzIZ2cPXfRiQrJYc1+umN/1vfWnGwtgRFC1zPNL8NjjdJ9Pe4EDzjCuR8AYTBjm3Yp&#10;e6v2g/dFr209V++Pnndvdz9yr3PAx3hKqopzYNkrRM4SnUtd2KvjqqpqEby1W1rXyrKCrwhMqYbD&#10;NzCX+t750zyC1wH2zGmtwPTHKVn+8YGhk16DAncG5mfw2tapBsJpIrJSmtNVCY8bMj2mwov82zLp&#10;7t1/aNx9993jgED8mSc/J02WVmpKldL3B44cH6sqRr9wa2GsbkrTVSH6b37vG2RNURSnLC9LVaYP&#10;YNshnuGiDE6FCu4wNuebegS4MPrhY6XcKsECUyo/62sIGio7KMG7haHtBiNdr02et105JKa5xFGQ&#10;nhAJ3hKp/oQU5qQlTx6yjMeTROvaHMGyGcCArMY975Y2XwZ0Mp9hTnWQ39tejNmmTZ/NvHyN2bWn&#10;NAR/FmAPWOYaBuX629Gkd5ovC1gn4G7mWte6Q7LLhp82bpMzfMbj6u9mYJgtk//PSGkiqRBhfRFm&#10;mTlu+uxzir+xIFn2ieDDFPtzktgxmSSKDYIAuFgj3rNkqdG4RYnlHRHqMGV6BrpaBCBVZp2Iw9kk&#10;kD70wTw5UrAiFqlOMp/Qb4IktYBqMvS6q7xPzWP3hduUqpRKKck/85ggdDqSVwd6JsFVT1yOLbUc&#10;Man4/WTijs+PUcbf5wf0dMZRHsY/a2bbzBNaw6wcOmUzPfSGR8dumXUuPaEcxj+QdqqmxWZ86m1I&#10;Hp6MgurscWPQq+FGgZrrXdpfY7ZgLXT/hc/Lb5sC4FlI9lWk9pQdNHf1PLMeloxZCkvdSW+I9lF+&#10;Nh8Ps1WycQOlzy0GYMaV9eWno2L9zMUZp2IBUyRyRtyRtX5Xe/e2g0wojFD7qPd0tsUMxPneABwS&#10;bjrptwaOZp42KcZS4adpBi2/63RyzABejxza/QGbScMPyrds+mfywjNaOM75rEMz6WLimdXc20JB&#10;m1lbg2ON+K/oHmCy7zHAmDGbkmoXt96Ux45FDPN6xmprjB+HhUwQmMfGsNifXjCiVHUoVX+ouesy&#10;gaqZpQhHRo0V5Mr5kwrp13suqS/xxS2q5Rza1kFFOd5U6g5BXOvKgbsuUz5BKSm8XXwqDzy/QDWQ&#10;8IHMF37ksvRAltaGQqcTv/KLvg5zFmDlmJRyAwhngTjUf9449ZpLmhFYRoqC96Pr4GaODx9RdxWZ&#10;eFcvnFQJTEV1Lu0e733762svExfBmMCH7Bf4xcaGYg20R1x1Ru8p8r4m8yg8Zp9SIS4IVNlLh48c&#10;VKDaRX0u/fnQwXFWn68KCF//0EFZZMTj1L7WeYIGDC20/UG85zVoWoTeAS6MCqCRbuBFc3iw1zCS&#10;OlODlohD2d2QfW0WvDfRLAev1WguFDSPJJnZbq1wpoHFcVrvjZZZ3Ds1zYDpBHx9fDPBCQBznZw7&#10;B3weZ3+WsczMGdlMAb48a+Ct/uWDENP022A3YwIhqBzY/79zG9U1iqOYgZSEWTSZA8w9mh7DHM0g&#10;PTyIUSHK1dfOUOm1EuMwzcZECijepgMEY1LScsweuTZFaXnYOLEDMDanog2WkOTt4esqj1EmCm8i&#10;GG5tUkL4HYtjbY7Nqxw/SYC8Tp1LnONXXBNWkKZVpWcfDI08VDZI5jpSKWW0cI7nuVvbsM8aZl2V&#10;c9xGx5I+5r2Y5DuIhxma1YPtHLw2r83olKgx0hvYYAkpyFqT6rGkZPMD119Vp4l8BrNyt5Sa/wwO&#10;5WLLOLRV1ViGQsQ19ioNHYbRnNBTHCqwxswVocnprjnQEblNVWj6eg8IJl2Gk+M/89qXtsI+6B5+&#10;PiSTlr/1Y0EUEIXm+Zo9FvXQ17HVpwKKYkLO3poArR4mM5RxReAiZYPrpCh7kt4tGuR5m3QBuXoy&#10;73nPG08BMy6TIe9c0DparPe9r5NhROQojX7eIpHb1H71iTUHHlL98CIAMBPtAwIGYMbcc1wnZfyl&#10;UXk+uV7taTMkVhHwpomvhCgCyZqvRfXLnKB9TvyEVl1yCRApqc/IvcN/hnk01in2cgTemB6HGwvg&#10;S7y8TV1PKp9zWS3JVg6rHNnN/f5uTT5GUheo2BLZnPmOX7PNtpY3rDXzXNGMPVMIXkUvWAGp75pZ&#10;DH3MiDjzCg/g2gi9/BKAxWHs48RuKQJa/r41VwPrVJ3Q7aLMvPsPH9Mx19Vu7MK4InPpi2qlh+UB&#10;U+Z+JbsjGAJsdx07Kh/h1XFRtUjvu2+/04uuKhBm/6G98g0m73BZQTqXNyQoKmhmeY9MyhL08Rmu&#10;7D8ydpEKInfKsqo9LVB0Q1WsHBgzAQmkwLrDjuYWOoRXRDfnE0zeHRsoE+b9YaLBJ1hExJnzEmRv&#10;dBPADHR643mOi2hmWloIy4vYhF4A5rEV2HnW57XFAt8Ok540xTvAbgaIExOadlioFMIoHcNkMP9z&#10;xzsTUvGRiXkW6RSxZSZ767eEFa4wY1A5xhu3NmztnenW2XyRWvPDsTNQ5vy0otFXOsxmgdb8EFQw&#10;k6IZwq9ouQTrbW3GdR6rjJtTGPBZiHCLaeeWYZxEZd0ij742idcPc6YB0VRjIQ7i9Du0NQNBzLE8&#10;JtIbPmSYjitCqCeizYn18DFNUY+2QqUtcOU6HeQRpTjm1w7px8RJYAhacGgKv1WlFYgGwrSjxcaX&#10;mP0dy0X5s/WQiV7VGPTZyu2r4+DFL4wbaAfug5ZzWAtIzw9Ukv2tYohEl3oSGHMxHMyE9vsaBCO8&#10;2MXAumiuCP5hzMkb5cuE3YY0E/INvTCHN3X90j/9TMn1qz2r9/j9NxuEHMXLRQoUsxgxB3uMYWgO&#10;Lmja8xh1TZtcEQvgam0Nyvl+ihBl7Ze6h0mliLS0iomf1A0CVnXvvkIJmhYuvMfnrjOh2J17MWQ5&#10;22EejeeZec/zTWfUmH1Or4CxnHGwGtFmvCezFX1UpET9WFjmdprPSSiMxWKrCsxfW4e2qppJrZmt&#10;WTVzHidgQDCXXQIoiooUVa5dTHcarb6jIgqbGPPzxB9MawARZCdwEeDhi6ObyZLSqXYqEZxo0+Wd&#10;RxRgst9+bYJubgiE0uEie9fLxdgsosVsHlrwA073C/wWPHqRrZ5nPuqJHCUMLUqAtGBsgaqmrs7p&#10;4Ev2CkIqZnwAmgIc9BS9deOIIqPXxqkL18bKgSMa/5K7tuxQGgn8Y+vCDUXOK1hIzvX1mzpnn2qL&#10;blOlqUXlL+4/PDbVVHdB2vCKTK97tec31lX+UKbYTe3xa3JZLMu6s0fjUxauX5P/KxSUT9CbvhYU&#10;DGFWGLz9OUwSRFjHmOnA35DaYS5pNkluGg9o8rDIQfI0NRzDlGfaWUAq4AcDgQGFi7SE6fsXwU8g&#10;GP4xIzwz1tYSuV9dswBx3ixKQEYD5XRcRlXML+Pt33yercK5fgKAUL9mcnP3CkDW/vAZd74rCpkj&#10;oWYGRX1sMsxixYhMmM0o+nLTdetqdayJdcpHyMG5To5z2SI+QzMiFqZrvmLbN6/FjxThJZGROeaW&#10;fX5IVMqjoaUPJkyDX0CRgIhoB5oPrT/EecObnbGXqU/vbNKDmcKsYexkGvjZ8peWQlS4jPZYJhig&#10;ZpK8YQqgd54pZFgMzVInSxbtgrWLbyymQWuDDmjg+Wa+sDaLOmLPdBkLiMuDyf9iuimtIib4ojHz&#10;xWLEFggCihxCcA+VNDoi1mZBDw5GAZ3XmnveI4VbZ6tzLEH7+SrykCt30YICSPusyoeLf9ZCgeY9&#10;ftsIEu6a0TypzKMz8CjKNP0WDYsJuS6n3xZI9P10DL5l+H3mjK1XQsJE/3NzZQ2D+Qz9tzAwiwLl&#10;pg1AAZGmg9BNzVcG5+/9uflOrXGdVdBeh7F/QhtQltsHmQ5Y92Ya+hIgmTTJAo9axUxH+M+0eyfQ&#10;bq00g0yYfoo7dNszrAYAF5o5ofnXiGyUYHj03occqMFatkASjXjGM8wftZ6UAcO6Ml/8OhaB/imz&#10;o98GpPta4bAQQIJTrkrzW5NpEWBZEojsUroV5tI9SvFZVR4i5lKKvN8CAHo8xTccmNXlFOvWzKvn&#10;FAuEFcAmsjrAgJp9bf4xF82eQKDwOAtOc8e64738+aR/XL9+Xs8urU3R0YcOqzvL6cvjoYcedLeS&#10;1147raAgAaSIcUWa3k4dc1OmVFlDpfHtc3HNG7I48Pk1L9e6A4iWBIC3bisPUebixeux6OBLJed6&#10;hyJKiSewoK4f9xO0AgU48aDe+wWEsZH4veUAGJ+OTUkqVf3g4eiuDIFzfuWeMRYScg0jEzDF7Bmt&#10;raXRBrIAXzuxA4zFdCYpLss9c+7PA9+dIHhHwMwdAMlt6hp1j2gBDczZfTMTqIcR5lsbNISZ7TIj&#10;0t7IJTGFq/mYlqCanP2VTwzhhLm3VF0YVl80g5vuOElfRsuAjnktrzkqwQZms0g8vPah0aS2uGRa&#10;1pvPHUzBUpOUzVdojlMgDSAbyY6Nb56ukwC9HjdalrW5iIpOPr29I7QBIelqAWqPKflNDoKB+Xoi&#10;wnw9Dv7BZNweiHkJgPJdl6SyWbAAwYAK2FE8mvlL7b4An4cThur1s0mJ8mIB0Wh9WfOuIuRn4L0Z&#10;fn1XzNB/Kp/NgMAM+xi0xKp2kicoxhJtCgB3AIVpiO/MKsJQGCPrUlrHBNj6vBltzFJFKTWWnrvM&#10;TZihZ9emYgAya2INqLSV8Mja03P+nyiDRcXMd82ZKYkbV3UYz0tZT0K8zG75fVp7MGNOqD5rhmAx&#10;45elKXoMfvJstLpSP2fvkWl31HpnvQKG0cy4d0x71sKc4xg+FX9m/E0EjZhemhoKyLP2KumlyMob&#10;16HpaGBoXZvSGDakMdEKiL6eRGqSc7YmP5s1LoXmX5UJjXw0ctDI6bumVinXpcW53RsMV3vsv/q/&#10;//Vx765DKoSAYFgWgJo7z4b3kkoTFqjl2Zs/9txkf4aXBLxjssw/01cLF9M6RiC7JkSgXNiq8lB3&#10;ynfI75KsC0vqx7cpLQggXJfZ8bo0SFerCaPwnmMczJoViGwLy6KtPTp4aloTP56/Q6DMtm7OOOOQ&#10;WbfmW9BHijaQ63fxzCvjuqJHFwV6m9euaAzXFRek2ryU61NxicXFFT/vjiW1NZPpd0k0t2NxQ9Gh&#10;asEmQfmawNEm4cUUtqCUHwFdWxWg5kLxEgiu2a1D5SPiClLb9iamLf04Wd7MAGZk02iWI0KCObTV&#10;9pBgJBk+sxTtDsAAZ5l2IEszKedeRGhpgCx/whQkY25SjGMCxwBtca5agLyPSbM0yZbWi1m1Fjkz&#10;n86e6c7v6vwav5/Nvzk+D1uv/TYaoD+7A/KaSOsRa3tm4jI/rPdEC727JwQ0Z2u6L2ZRRFJzaI1I&#10;Cc8+rImnGVkRZJtmrL1aO4rfzA54dQZgPSfac2m0MN7bSotI0i6ak85mn8K0MFGUOhFTYZgstQGt&#10;oLG2rGNxN89JbVIk2UmiNg1gZ8WHmA0TZh4wsIyFtuO5Fnii1VgbxLwKEwkQ2PSmg63FlpbZYOIV&#10;KeEs1w2jZZz8dlrGvPCSJc6zW2NrmtTmvblZ4y8aMzNlP0DBXv9EsE7+6xqbC8ibS/A80fC6faPh&#10;ueYqbKsQkWHASHxtrlvCkumGShZijhYoDZktY4S8LL0UA0U7tOAAQZT22/RjhtmAGHhrumwLQDM+&#10;xm5NklO8Pomqi5DUWkjvkVyowTmaV7PLkDRPyrg8L75pLA+TkBtunt82mfvZ06EgCflJu6AUF+cR&#10;WBUCitCRNzON+KYSpunIgTZ2Xcwf8Np35B5pQvsiEPQpBcJEGj/11S+Pz/7Wh5zcTUL1CTXsfuWs&#10;GhHDKAt0TUf2OROZCEOFwSpUX1GNiztWxpL8T3vdXFiBKkpPcW1VaYDuG+mampkCL6bHHwDPvEIB&#10;ve+zF2yWrHlP4Exp+iYq6GdGA22RsAzq/xU8lrBni4vmhaTxrVQxkoaEtoX/fklRl8ztNT27V968&#10;GPd5/PooRxmbpcNKics+CJU0v2x6sJRsYdrCkM+d0UOgI5hgLDEfUftvrRdVlHZqDhGwlwSEpDHQ&#10;N5A2XgQKAWihAfymmmtd2LVrAckbNHNWUXiX9pM1p9q8sUaOYna5vwhFycGe7wgUPq4UiZag8lDh&#10;05Xb5ZIxYVrhjQUIEClfFWDRW9CmLy9gNm7s3HR3mNf2mIE4ijsAJaHps/ftD5yAx98V85gHSzPB&#10;2iz/1vlZ1AbsO8HxTk2gtYI8W07Jy0xQVrLF+f6MY+Ze11F9Ts9hO6BDDAgLOSLSUl29mFWDRPAO&#10;5ga1p0hv9IYi8gbEMonkbaQ/y+e1GWzOMveBjqNB5XXZ+uu80HlrWHkQJNm+H6BKHzWzOtN/oiD9&#10;bABB3Ruzj02jtHzy7LUmF19guj3HKsXlfX6mOsn8nFHzxIcRpjClcgBaH5pNLA42JTYzMFMDzFvL&#10;g4mK7mzqiIbk2szMPYnzSIjUIy2wdyI5if+OhERiz9ozrrQwijWDH3/WS88e4TjTTNFb+LIZWQA6&#10;6+Y1IgjJggdXiDQ/k4x7ulOmaltF9NoSzK8DnCIkMED2WQOl/TCW3ovnWHgJCOUWoY3QXdGRpYTS&#10;Rv1gkfzjL8o9LYjQ6Z6xFg0WfvhOhubKE8jz8RlRnCxwRSkXjWf/xawKQ+N8xpPOM5ybaiCYeG1W&#10;JOlZgSEwSLoW0Nrqhlv7qPKHkqYvqVrJFYI+aNyqROorq2vjinLMNqTFoY1d03nrev83/sZfG+94&#10;12G/bhTM3oz/e1FdDXYq6GL9lCrziF5OXlhT/8i7xh953zucYwbo0eGD42HMjN8FLKCDmqcAT+iV&#10;F9D/FvmsYLgTDbv9TW96aMsTqrnKuoVMYpqGtrsABYUWeG6+sO8bujLjYE0zb971E8IXnRafMbD5&#10;eWOKZI7R/m6rrjBVk3YpUhPgoNQZ5doKYUMnvmZUnzxwRX/y3P40E5AtW3RVFJ/tMscfp0fvfRQQ&#10;RdjhGTNIgE1FAeTLJPKV6G+S25Oik1xU9i7uGJ7a3V4QSlzIPTmECCjJY6381QrAMfAVCDrIrzDN&#10;2qx+HBs+MwciWeV9cCebfKbR1OCzDDYFzcxLOt6+e5g9EXsBjkSfppJE5+nF5sT38brxfl7T6zEV&#10;h5mB3eQHLOBss5Y12NyvtZE7okbNqQJ+YVjRCP2Znz9UPZlRGw1NTAXitaw9Jz5vbq39uae0NnbT&#10;kefKlDIRzsRppsM5on41f/FpwvvZWEV1ntocMzHQNqtxbR+bBGikbroi3CLoozQK98+io7Sd84hr&#10;kaLNrB1JSnpA+5kYPN0YjEAeveNAYI5oHmiGfeycFpFo1IBhzDVh0M0kvHl0nVuuc1iBOPbfJQ3H&#10;66BzcFTbvFJ+q9T4YwAxnZq54LcEcDFz6mC61vf6tYnbs1UaWq+PKY6l19/eutZUJ2GtBllWEY+J&#10;3z4Y8EM79WEF5Mx5CR9mZkxfrbmFGWuIuafn3ZfEyhAw54ROfI95uIKGmEWe17l+BW6ed86JOfQm&#10;Dait/haDtNY9oyefx3yF7+YxvPfLnMnArObnx1GmvhcMnfVj7NHoW+vry8fEjgUJHhbRoflhg2kE&#10;VWSM7QKwK+PrX/yMiyrjuzp7/tK4fFmh8TIv3hBwoY2t2Rwpbc41VfFLZw90DEFHSyLdu7kvqQKL&#10;CnhQk9VD0nB24gtzrulWlSCTz8jaWGlcHhRPGaEJYLvn3vvHohgnNTH37T6nLgn7xkP3HZGJDa2f&#10;3pLXnJNGy69FheFfVmPWZWlUADImRsa+IsZ9le/FtDd03pIFDLQwzIzQSfGdmub2wfrLMllPaSzm&#10;E8x5+GMrKR0dyyUc+ev9E2EkZuEZYFm5bhpsAraFQeZaCRmYQrdtvWgQ6hgEcgXNQtyRBP4TLdSa&#10;aGuuJqIwtkkwN/nO6NMAX3QeuG8rYW2k2gddttCrwXOKwbCmgJobYaMNCtR2VKcTt/Gi+ov4l5t7&#10;07nG1aCqgENp693+DiB02T8d3421+Y4iBI1H7VpLYMyk6GjQlLlqKXmSMGpGJ8RIQi3aRvAsTlk7&#10;773FhdBG+Jm21nb9JKbPwCpAwme96DFBTr4KY+QM9ObTKZq4Ugi3jvlDptX/Q+Br6b40zNYwJnNN&#10;368Yg+HNnDOsrVlc/ubXDL45Sb0IWDGu+tYCAtJZtLb+fI5nzRhVMadmTy3F97HNFMN1wrSCg2GI&#10;BimLqwAG5lGNTxFVbsBatNz5PDFx5NwZnSe4JSYzbaAGu2Ky8UmxqfCllCYCU6x5MhswGDOWgBZI&#10;StCKiy0YhAFANNT4kZxfBTA4vLzyG7Ofw5w9hlwrIFtRjGiStWYJxNE1rbYGud30txp1MtakUcAI&#10;Aw6ubchcTYJbQCqbpdbVQk7+NQlYjjK3Ka3V/KGOaOHF+8KcIuvUNJIbRxioVee1W3L5uD62ALIU&#10;Qb6z9s38i8miYTNXjubVOuepyy+q8QFiFhoKbBsNEwiSPZvc3TIoI2gg6DiwinxO0lw0Mo6ZE2Rn&#10;ps3aAZO0YEqq/zL/iZFXDIGElqe+/tQ4+dKL4/zltfGVZ0+NVZWFu/++e8aBPUqMXjk0Du1PNRCS&#10;qOmisVimRxigGaTGQLSru6f0PUvL7OhmeBOl7XDJWEuGZooWMrfswczRooJH9ipwBIFk7+4TPv7k&#10;mSsyF+6USVNRiQq136UyZmsblxSIcWBcFanRTPnmuKLoxH2qBLSiWrPqpbl01Z0RlrQGMO5YENLX&#10;rnCjeEjTyByf01isaPSBHTBoHjH3W3shpFSao5+LazHDbT4tXmU+E+F7FtDC61vWthXUMfGzdjeU&#10;lBA+YlaXNYzPOm3KfJa/Do1GOMpzNT9sc3JgMNdqwXOmSGRPOGKb6+r8FMSI0hQNL1qcLYtunZe8&#10;VdcJ5hhXKcJkneMT1d0pGE2z1duSnOK69mRV0ghkDq0Nb50MyQ6zU0w3s4nuYyJ58GPHt0XS2cZv&#10;pzgPk1ZKiRqbX0iY08z8WWBnEIupy5KPFz7TFiDtz2dgN2l2HFWSSzB6pnHO/IE1RidWx3ken0+B&#10;se+XCZuNtTTHcLoMpcfTxDGh3hwAFln5jymjAbDoo4EQ0qiggomYfA6fh3Bj7JgjOIOXxTWvU6L7&#10;CtHqWEyX1jZsrQqAGTTAKbqt3yZARK+tTbF+mKyjHFgGNf+KiVxiePwaNpeGYAFua3wt9BSAeQ/r&#10;mjYH6Tv8jFSWZ4wJrELDkynDmkZAup8bxpMuFDHBdVFmgmQa1FoqJY+wA2lcHSa7r2gKTasWYIZe&#10;M3ryfs5m8+asuWY+W3JEop6RXr2uDWp88jLGchFLSO7tZen1at7fY/ESBVzap9dmylwxwoe1wR6j&#10;HysMK3VCc258pwE8TKep6BNg78CYpqGErefcwDcoXUzLptm89mMVY7VMAgAyHnPbiQAzTr4ohp15&#10;yuZo/2JOKQbvU1l5OsUjaGwbD77+je5RuPvM2XFlQzdb2D3+zPd/wMUZnNLCvSkYABCL9mBq+Pqc&#10;hG56p82PHS++z6Y+W5L/CNMoXQXQyPYoReD8ZXxdlXJT3QImBq5rJXgI86ZKbFEAWoLUsloDLe85&#10;PB5+7C3KVbvi62xXpZY96gayZWFFVU8Unq9oxn0yoW5X5aCVPTInLq2r1ufyWFhX4Im0UsyxLh+n&#10;eyStoebWc98g0XupNNQJpCJARSDJ3i3qiLZu6bXmt54/a9AaXZtHc88WYGcwVPRXLClrO6clt4m7&#10;xuA59rH8DS1GmZkkMn9unt60UsDLs85cHjnX3STYL3XZerzwYif2ixwwc9paFQy5ExBLu2P/WSgr&#10;cKzXMxBs/KmAqSrmEQvnDENm5tBYOzxrXgAYFi9a6vZXAEYkUMwfKbIbpmVm6rytCoDgKw8+ttfJ&#10;nzdnjmwTavsUQxsNRA1MWew7wMlm09Iw+/hiQokKQ+LXxSwlNtiWT6eO73JeqZoPDcQ0N9MqZybT&#10;GVjPgHu6bt03485YCyPDREOH5efK1/VJ/lYATR1qZhHmFeLl31YIB6Krzw1+JqAiazPGAJflem6I&#10;EtTMiju5VQ3997jetMq5jzWmYtA6ykwPUDPTjPQ35f0UUyR4weHc/vUNAlTFaLNv9A+A8GdIufFt&#10;Jq0i8wBjM5hhUXAEXQAAc02YrQCVSLvKL/S4MOeY6WcTutcdhR0Q4CbrQjO4mEetjTKONgOz5LUR&#10;myll/SWFWmtnHW0Ez2v++vMSPoIAUTSNKIUJzJhlihmzSt5mrZbnVsdbW+e3/EF8VAuXdefyETTq&#10;ZZiZ16MEkFoba/yY3EglsWARDZhI2TYZk7RsuvHFajyaS4zUScAuhuu78VBlyvb3ocWeg6ZxjyZE&#10;P6PjOYEiwq+lglwfEK91RpPbf+CQ6fjQadW/vLEwTpy66PJYaAQ3JLBh4d0uc9eacsh2ryjnTtGa&#10;u1Q7k6CpHWpU7Jgrm6sVHq/7Lgv8tisQBo1tQeZJuqHf2KrPXJ4vheBn+zz7tdOonPIDWIkeKVq9&#10;WybUQ0o4x22won51CIk0l72pOV1RYejrmnPaZUHZmEXJn90pbfK26HBR99tW6S327UIkJvy2FNU6&#10;eDU9eUVNEWyKkRRghA+Hh/Bdm7RLmGnQ8TrAn0pb44pe1tBLiLI5UtbD/zdIZa96dF7UMntAZxY4&#10;Qusl4VkYC3DMOFxrmKHhXMdQ7geMsFKGRd/L3Mn7L4LxND/ecwlCahOxe7hSdIW1xkTqPpilJJXl&#10;L9/HKpAkfEyrwZ+2GgYbQqp+7f1Q2KQRbY/UjcwUKb83SwIt8rxhiLWQFQHHVNj4iYRXDMMhspxi&#10;NdWU5slOpYkCLx9bQNN/vShZmPjgMuhI2c3g8jqgM/e578fcVmTrHDO8o3rMv6X1ZZwTIBdgT+Nt&#10;ZtjnTePmXpnAZp6TKdaDrmcrQpvoxYvgM+ZIsrZCE3RtDBerZa2MeJBRwM40VgA5RR3y3lJtTCFI&#10;0ttKMwhhZ3Jt/nMllcwnlWIAx6yuiJGIUbcqiebhZreV/2eGadNmGHo6d+ezOP/DKPlJTlHynlzH&#10;FIIrDdvmVV2fgmBJLci6d2k3CzjFHgLGYQzxA/Ke6UiwS/tILCDrGuSrJnLVgyhNLQEas/Y9aKWp&#10;35mtmmR0swHPczZKEZ/nntlxj8Z+Qp6nBJ/GAdM9vZF6HYsBZKsFEAJ80VT7GezLKXq4gwRqj3lC&#10;mSNORmDwuVkHzKCYop1YXTwnJi06R1RqSe1t04fpFVqJUhHq9YqVgBJQAR4b36GlZpbN4Jq5eQzF&#10;9JwCYG2/4kSdupOn733MixvUqRWTwpd2+xb5awcMgg89+ialICiC0cEkrO9t+32WlJKwW9rYktrf&#10;rEhbu65nxdTI9wEyhLthH+CCzJHLCvTYoghCztnUmADBMDs0CIKcmKii1RLKO06B/nh7BJ5odeSW&#10;Le1UeyNFLbrOpEBuUSC5pLJfixLSdhC2r7mhkTJuAjRboIbizt571ujLNOnF4X3PNkfGwlBw5Peh&#10;hVpwj7pBBQJv/3VAJkFd2TwzoKrvWFH74XkferBP13/9ZYFjruv9bzREcIUHxEKTn1Rtap9fAmxi&#10;DoFvtlUi+y1rnZHlSTwp3n8BXK9Z8dxcQx+YxgJ+aHdDuYMLZBYwKzZ5JpDSMQOlIUaRmQkzfYw7&#10;noA3xpyuOMWQM1eMqpWl+UhtiVUJ2Q038hPXJGQiPE216Qnl5mcyI/VDM3kG0mxp22o9YJ/siWvg&#10;MndnUP5b923G44czi8waZyay2H6OSAn+Zjq3HrAAMmBYy1BAVggb8DLIZlw9YemikTF23tiM0YU5&#10;zHyOOT+LXn6Jlk7qmkmO7XHN7tVMYaKxPEnm1Myopbea49oa82a7yTeIFlCRY6HhaEDk7vl60g7y&#10;WdY0hJxSYT7Cn1UOE50kvIZYQNEuqFIRs2MJlTG/VlklP5qBF01RPkG/zkbypuEf0X5USqlnmkW8&#10;xp9sua/yuwJ2oYsARBh5DBRtom1NqDOrFHhAYW9tmgb5CElweK5eJna/Dc1Y4DNN9dpEmMIUeuXi&#10;FfmRrjoAKEubTdYMoUhmnpQs6GUzNogWI2JP1bnBQ56vTJk9j56v3m56UXMIjRAtazNl0bGr3oSj&#10;eK7bpAzD4jbMlefda1w+QO/rsNcisGj+TQulvXPNaAIRcJqxQTvXnRrD/aj2jxUogVRYg1AayBe+&#10;TfNSVtPmstJqiRYvRs+9M/uhDVf9UQALGtoeaV4Kjh+H1Ifx4qXLXgs/q66DD2ibgBFtbKuKSdvk&#10;KODn81kSfsyAgCAzAJCRN4Y/b6dKZmEe8/09OdFsanekFBv7tqPV9XpJ4OwOBeScybRJKsEOgR5R&#10;iQs7ruu9/JTX8FUSur+Z76l2pPeAoXPQ8MtiEoXGJvDTnBkdind56UsvyuCK//anoXWzOh9bPl6z&#10;ZoukNaOxfoV3c2AsJE2zMfEhxOmvBVKsIjWG4lUN1qyH58pCYgswASODtiOH5+7FdQsPJmYdxpLr&#10;+DRL8ll740FrwqUdss+gncIIn+LAs1Bt8tIDggg8zmnn1z5sBPrm27O17ABLB2Zyf18/4zC/bnxg&#10;QWr8anHIcRlUqnUUM7bkqsn3Jq8HK9XaWggIz3X4VxeLLZsnibMyP2HzHnA/hP/OtDoDEoNFnbWk&#10;B3PucTP4SE5hXlGn/ZmphJcBzdY8bUIskJqlV0StDvjVa7+/ExRzHhfN3zaP8VyzAJ0//Cw1Bx7W&#10;7Lvcq7+rZ6j5rsmJFuc5h45b+8mMtdYXuWTGqNLeqCI0zZzCoNDJG4isNVkjQCrPWiIh8pbgGEpt&#10;2V/n0P1od2YSmCkFbDanAKpOeSgmXEQOk3YlDNNMzKG9vyNolPbmqMaYcQj1dqd4gE7z5OTuMgkC&#10;5mg2zBCfN3Pv2qd+DvyQbvob5sFFZtpMm1WiHfg++h5BjEoU8762JANP9G/6pGTblSuqtKHIv6kD&#10;gI+JdcFUVrTQ5phu3pp9Fi2VB+2IPfM15jYLkfVk7OWjy3pmzb3uzKPrZXJOrUWx7VB5fibN24KD&#10;fjXAW0rWbsBsP0xoqi0EMWMxY6Y2a+tcK75dp7aYCYZJdQksR2Z6rksT9j5tLayEQ30W5tRb0KJe&#10;TuvPa8/ZXIW2tEVpKprz3fv2yqen5GcqfMgGajOqBaDkq1Gvckkls4CARWlfW66ne0CxKfMYIh7p&#10;t2fNTKB0bQnQkqamv+y9CG5ze88gwOzgu2sQDBMlIAdA6xw0Qusxl5JG4NZRFYoPj6KsncP0+c6t&#10;pSS0Mebay7aTWQINHXldwKoGDuaEPVdmTGjBtggfVHvfQw3vNaiGCPU3rqZw3/BD6+XF6H2Yz/Nq&#10;1lpwKvzBKzP9tSBsMEl/UPPl0hZtfCq6zijqunyeC+XaHib8IHPLbU0xRTczHhtc6JJ/GWP5GTnf&#10;WmaD68ylZT7are90WXeJ8UPOWTR4PcfPbUIt+ov2mdmwudSbNslK/GxPz65oDTNmG0CMhDh7mC6P&#10;Y9DkktMGj/0/5bZA/Vkj3oy1GVaNpFXq3i5sSP27rrDjZ5/69Diklhv3qOxQh+nyLQTmzetL8FC9&#10;MaNBxJSae00MuUA5eFhb0wfNQLiByieVljozkfaxPW6IZQ7UDLY55g7wbAHAn5dW28eZkIp4ijn6&#10;K3xbpqbSqmaspBjlRG1hmgapmCPTIikSuaU9U2sINYE0YcYGTr21gOYABB3L89Tah0EXQzc9l+bQ&#10;G8loGpDL3qw1KMboKWYDcxOuhb/K08MXRbjFdH12b3zfRtcSY3SptMkEXXveUmxMSg7MYeP2fHqu&#10;Se/AfJt5BQBTQUQFuev+oZlIlDPBpCRDm1qg9vjYeoPlanO0VcvsjuaMMztkMsFmrjMvnn375rJW&#10;7bOxHOn1aOAwEoZ89DdBRExBnrfBNeAQ2ghzB8jKhFZzMzEmtEjWgScigMbl7qqEt8EXgSn3aebl&#10;vd2aJH5XBygltYEHbAm7TWK926xrehJKmMyC117s/djgidkLBg4NqgecgO3abWleSi1Y2qC1TeaL&#10;mrHcF60QjeyGTM2AE/cgNyymckzb+IqUxK7vCMICrDBJ8tcF3U3oAfeMMWZK3qCrpuk08xnzus8D&#10;6Jxgndwz/jp6saIUAT4nz1dUYgq3x/JlCxi5vU7X4X5lDbNWGGBr3lOr7Peh7aI1c/bMaccNp5PL&#10;HPBMiDTj2aHZivgt+iuGnj3b9+m5KM3YA51otmk3a9gbyiRjQNMz+PP6zmOeBjMHjCUIhSF4nzSN&#10;syfbjWIoCuHne9ailNum875EW+NCauxjE6/XrVl7aDS71lHW3kvNr70g1kjNj2pOOFZxBeRoifD0&#10;xU18HzrXPAwmCzHnWp4P/rqDAAfY/1eSjhc4E+JOFBAn6qht4+Eck1Tow5B5El3K5r6h8jZO5FR+&#10;0HNPPzu2yyZ/3/3pYEDXAVuT2PhIrpIYm9nFTlxMyswNJTQAzJu29+MPgbCskkNgTA4thFD9a6yx&#10;cWNEQwLNnPjhvVBVsDbzO8M931sfWPuJtHlnpGqePfSdRQgpZ6WakZEgvK5kVToz+35FoGZktahh&#10;cLWRQpXT/FmbAChMzzkhDE7PZ3AoMxmObbQptAfMpUj6ihgNoy0ALZpu/9MNzbk6G+UnOzNjgqFU&#10;RKI1QRNX1imanrQLm2vRMkE7GI4YmwMHzIJCWwXcm1Seh3Z06ZTcKmGAw9EovcmzJmapvb+YivLD&#10;lBfANJpUnOQ+mnbtIyifxmzfMgCvA0yMtjQTsPQ9ps1WkwrlwkebFsxcsqpeWTPZ2nzTSjD03niZ&#10;j5nWn2Obriwp2y1T+kvdP+ufOcgm5hql4fUYSvNozZJRpYD4TCP3npyYLpdDsNT1DM75Kg1oqd5T&#10;H4T9Ff35gEmD8bO7DKJfFDNneKGVjDOaEFdIAYJMHg2Tqb6OGZF0CK6TmqXSqsgZw3owp41xPj7B&#10;LqVncNDzpL9cqoU416w0t+YZU3Qsx3s+0uHAJts2txlQSSGK8EQAT6LIC9zqdfouJnq6v4+FKRoG&#10;28LGvCgb07YJM55ppNHasqatKTYHr5VmtrzGXr/eg7UPZ3qMiS+82Iyxbux7B2ojWPtFHVPg3AMs&#10;IJxtqQgt1hKNSn3dZkZ1PW/HiTkUd6s1D7VkryJscBh5p7IyeSg8E8JkWahCJ1yw+BemfuNPRmUO&#10;a1464+tcqC11s9d57nQ10i/8x+Bo5lSm1zmtW0dvP3FF5gQRO8nGnik0CjQ6OKOk1W0ymO4g2ALg&#10;sDlHvgJ9v0MbZTKJCVA6hN6BMq6+QSg+DVs14VZl83xTpXKZX2CS1K67rtI9mEDYsEuKBsM8s3b5&#10;oitGwBwXtVkg2Jjdwtz4wTSSSDRSnfiM+5AQmdBkJswmCmiSZEykWsgELcHnxjwX6TTECDNMTlTM&#10;aW2XnkJrfYFElvYGmc+fSu5KzCtd/mk+uMdL5AXJZqLdOKWLvv7k58eb3vV+lwuySRAtyqZSmKql&#10;kjCiWiaz3PLrxART2uBcBGLX3mRdzQgIfkEOUH4QQS+WQG2yk5/FgEsllVlNyvDc8hOF0+c4B2eU&#10;Vt40o12a8mdxxvM6AS/4KXVPB+yEuUIrBj0AEZrAEDSt7S1Vi2O16146n39x8jdfzaaIlBhOwzyl&#10;8gxaC5/pL2tP6yYbmma+tC7SXYd5rPuU80XSsyvRFO000wptlMCXO/uY7IcsT/ge5sb68YYOYPc2&#10;zjhNACXJVmBMD6QwhH2Q4IoCO+9f6HHGpjyv7DVyo67PQIrLmx5mhOLXCX6rOTUzCSFlpuqZ2UsG&#10;1AhUXWnG4655mR4vdyhhBbYB9y9zfHXtsKndtMna8V1NFHtHfMGlFUV7adclEJxAnkoi6WTvcljb&#10;UxRhu3iUnxdBTnTq6i0EfiL4+jflzRI1TKAFCeBhgFOxfh7A+zrAlb6N0Sis/VV6Q8CwrAdtmSge&#10;EYtC+EX/ncyTpUiE+RcITCDCnOfzrG3mb7JSZYtNPzGVQ7cRiEKXCeQK4YUu8j4+77bSRbCKwpKa&#10;ubwPL0Gor5uHhr0u+QlwZe3j509Pwggxlhw8Bo+dT+xOmZ03T/4eoyXG0B/XbQEumxeKTPS4BfHS&#10;5CK8MKbea7Xx7QfMnIZv1OemsdIiTatEwrM+JXgVAHrpEWB8n6wdP9tX1Bht+44wFMplYYePhmL6&#10;0o/ydDTYTRgoJhn9UsEbYZGOA4x14bZMSPoe8Dq5Lka4DxMBx5dG5iX0FEwTQvDFJq1DpAVRlYH8&#10;mnWB3r7dSl5V3T1s1ADwy6+eGPcdPy5zyPZx8rWzjhLbJ4f6ufMXzOSOqFPxqiqjX1UB1qNH1Q1c&#10;EXPnzp0dR9QZHGZwQZ2Yd+/Zo6fYrlYj5x1Bhsnjms6xY1t+gBuKPqNkDyaYRGYCpgHY9EVMlFJy&#10;HxEMyrZer82H9dqmGpihOxNUeZ6SHHn0mEyygJEiMcEsjlW1QDl/5vR45bknx9Fjx3Up9cSSL2Tt&#10;qqSmiYB0YdfQnBGsCRXzs1VlQ4nByYRvcyRBFjCg+OhsYrOLMAEzFg7YZNYIawN67UM8oe4ZcNk3&#10;x7ldKb4AMmbqELsvDNOdS2Wwb5Ff7tPBFUyZj4eO0hjTeao8hUkFbS6E7gAg5pfwaW/+BAcQjOCO&#10;dbUXgofQXfYXaxaTPcMKCEy8wBs9W5bxUZ2Cfm6TL9vA40GG2dS53k9h/75XgoIC5rZ+hcT9v0jT&#10;xUz8mo/5y8GR2OvQMkNn4xucDIINZn3PXDfAgg9mZg4KwyIP1A9U5+fZXLCgQNVB63qNX9gPxf/4&#10;3oJG5p/J46tNWV1S/QchF+0bkOT8tIYijYDbtfUnglgYbny/JYEzJDPrpvv4/0nExyLTZk0zPTRB&#10;BKYyOXrPAIj2BSbn1LMBo8OqAw17XyVnDAHYgqtppdYJ5lkmN6+35zdr34w5Gkau44WvsXcEeddY&#10;nkzpBlEeqDhbtnVObabLfPlezAm7Mwe0XzAseDbMBiCvscERwIs2MwlEBQOhvxCwtUDTeUAndNY+&#10;yWhCTR9sONNCNovHht88BUfiQzfdG0RYb69KhFvTCver9B72VQOXN0DsYVFyuX7WIvdOsFiDYOYK&#10;+oiWGDyKcMia2+LoT4I73NW8oTd7fe6hZqf5WNM/JnVZFpaoSapf+PHKJczvmMhRnngOWR/rHtt3&#10;74ARw7QjUXCTm+qgTRIqhL+AOULmeJ7M1Sf0/DcEeIAD8RPwtR1LkQxu3FClBrWpOIP/zovLjOUh&#10;2Dxuql0SrDcim9hSFdwD7SKmKyS5nYoG25SZdJtNJSlaay3LTuj4B/hdwIRhkBYYOy9IFdQVKEBE&#10;F4x4VcmzBw4J7ARQp1ZPKSF2r7Wtk6oXeFCllhYFQidPnBp7DhwYB/buHCdOnFFvq91KlN09Tp48&#10;qX5U+x06feqUjpEjn8/P6DV5SzjrL53leIGsNuCF8+f9OTNJU0s+xxyJxruMlsEz63kX1dLDWq0W&#10;lWvQRf2xt3+zy0lROmpD9f02da8F9SWLpMZGytxkQ0Uq644PZrhIbJQ+Y0s4IAZNvAjeuBRNEbMc&#10;Gks2Cr9letT8UYKLXLxbNxPJFemvtJZiyOElAVoDlE2R7D0RVplGosdBjA3YMPYAc8yzde9i5twT&#10;eoBxOTfQm1T/GRjDkt0QWNL5dhUVh1HZ1Aqm21QqnxEbChM8lMS1rI0kPzGpGuyofD9nlPJ93L8P&#10;06IZ74Kf3RvQJvb4WXpDNm7wvk18JdQXfjXjzebsTVoDyKVN82EMfe2sD2ub6/r4krLdpNQaQTGB&#10;vrf3V8aW6dZrNBFdJIyMW0Qb5zjPgwER8MzoYi3IHGRo8IAcf53CBJPLA3DI2N2KqkGipWprTQ2A&#10;MY17bCVtZ9HjY3RtYgRA7etbm7lWR1tzD9NcaXcJd+d55rQvlyWLqZK5ijUnAuaUL1rrZjO0/ecF&#10;BtO61bwxvtb4ys/HmCPs5L4eU3Hq2XNnrqKVZJ2z2HWOmfSM/puCem45ON9njmbaIXu5WDpWmRKw&#10;AKdpra0R8ROfZi1M/nod6zOT4syU2pTi/oF2LeQ5Q/OhO9fR5alqL5m3eLYRKsqcF+7u/dRabAe1&#10;BKMCShEg5+aoNornyns/gWAGXylE26RZpbu99gKFEkwL4UPReDPG1roTyay1LzNF7hvr3yUVDP/K&#10;l780Xn7uGaffvHbyjOeV12cvXjZvIe/00be9K31LuXgc5fmNzBJpy2YZQuiLiQKCkdrZONEYUwAx&#10;rRmD+PWYFpB5DCRHpIxZ5YuZ+a4l22iibBLG8MzXnlbFcyTzWdUFbzITrK356WEIwZhQSi2vTVEc&#10;wGbS1kMdNeiheaUmc8ck3ZmgA7R2xNu0SWV4NMQ44rdLI70mcF7Ra/wYG6pxuHsvxyy4nuC+Awfd&#10;X+68FmGfkoKvScu5oiK/+/YdGFcuX5L2IpOvgG9Nn6Uagqrka0S7pK3uP3jYIAFRbjIXc+a2CCjR&#10;OiJUZK7zW6YuS3kiHhaJv4SBc6w0N1uqsl8jfLBi066YCUBeI0d+htBNer0pTRs5sSVEv7US2AwW&#10;RAzhE7qf1Q11dcWPJGm3VFdSPfdqkDLxc82AOCDAPR1N6suzjvHLRFIUQYshdOV7kx+MVuZdmAea&#10;Swc7+XGKbXjsObgYQJnAcnP7i7MTew6KYRWbCRk108s5+Szmn/wEjdhTDcENco0ptQOylp2b5UjR&#10;rFWEGhhexhlrAGtQTNRPhABcADgxCn/ao82a+3miDTYT9tm+bl27THZsfeYwjCospgbla3ku2ZPc&#10;oTWFWjebzGo9azVrNrJmETAqN8yHlq/XtFJmSDPp8rVl9LWOAXzjVx3T/rUcExC11oN27C3CwoRp&#10;WljAHzW/djonDYwDaA1utYi+Vx46vC3/n3+yvJu0QNYcK4zPw+xbAo73VJ4Dtpk9GDDK3PI7R1d0&#10;FJGAG9MdAll4r/dKAfM0kHqR3pRYpBASSiCt5yp49ZXMS8q1ZM3Ta1fD0N8IXfmdaCvkbGaSsbSW&#10;3V1CelaKzhKa5v8mMDPgNH/JPZMKEdcW13UBjZrnru7D+8mV4bH2Hgvt9tyhMP3yhz42Pv6JT1mh&#10;osdj8CHHJTgne+fRt1UB7eluNQO1DsUIGX8c4cVBw03NGLPxLICW2YiwahO0v89iECpuE5YnOBJd&#10;mGkmxxNU/2KbV77NLrQ9Pgck0FbCqGOuamJp0I507+LDtUa9FC2L2VpQRWbzuhho+JavmTHA0aNl&#10;2UmvQVsQCB8M8DsQoCW5gG+bm8IciqHXGnVYbsopwZzRdhXVRkg2PbXU0wyT4I3b9D+jEwM5SEu+&#10;5x3Svwm3Gd6tcXX9hrRHmD+OESQi+VK13hdXZQa+LO1BIeU3VJrKApe0fUyfW3doQ+EzlbasjGL5&#10;6jifDaPb6f0NfU6u1aZNrwAXJlD4ZoFvAWKIOutmAUHmtRY2sptQL5BekyB/a3uCYVz+ynOUlQoD&#10;DdD1afbV6A1BOdlz2Rr8R782wLCESm8mlgcAbJeZC25TKxRG4/FGW2gtIYID5JfPXHXG0Z5Fk7X7&#10;0jW82F1d31qHRmWStkXTxsKwmOYiZm58wjVjJYmNt15CH/VMGZ0JPfuhJjYVO1po7LnO194DTH7t&#10;NQMu17QACoDUpbw2+c6Q4KpPZcaLzSBrWDTVgimFB/iCvYx/0nhR44xQlMfp1y3xFyevpQq/aOnc&#10;z8h1SqtjjETwJXWjBAmOtwslvtKgXPP6HFOrUTs2xzQb8UPOWIOfq4vE17CtKfvH1gFoupi3l9LG&#10;4rpIrdZMUpytH3NRPOuOAfnMHqGZYn3S/NOPE/o3ZQDwNeBsiuKPoQVzN/z0zmkMv3F7pXp682Dz&#10;mmzGXELxGnRWKDMkI4i1ptYNodLvI+zyvBlzroMAjo88A43gmkcqJcPWrBmw5puc3zSc8c00tnqy&#10;kAeP2GPlGXv8s4X2OGzpMV3U/veeCZDleg187MPaRd4bw9reMy+8HMulXHabihXwbqz5GlskGFfg&#10;Dddy4N/soWqifJ9aLh/A5vGfTHhPnTc75wT4GIqDIAyCkSDyY+oP0huR6zo2seW7THJQGiZ919HD&#10;bqFyUW1TeDLrDpM6HvB1GCzAx3j9khnL9Ro0azkCVEVkmcjZBHd+jT/24JoxzAM90lAkkU4Ot+nY&#10;2m2YjQNadIyTvfGvMh8FpGk11KCa8Sdqb7vMn/JpqmUM0WkGiWr5Yxm+NsekATYTsmk6AMUisvgY&#10;NbZqgRe3k7MkCV7EgWvkhgUIga3GgpkQ8NuUyXuLGm9udWI25+teApgb63r2NYHoaqQ/A5zno8yZ&#10;RQdZV9aeSZEpkbG31u5pnDfdgYe6FuYd/QOMYybnQBG8NGszK0vMAjn5iZN/iNUhZvKpaoyDb8ra&#10;YEmWCQ8NtiXDw2KxoDfPsRc2ZNhAY2oNzZhZcrY1gaJY5mTirpF5Z+BSB+WqEb68D4rBeVpYO4S2&#10;0Fr8Gpmz2sfF48s0yv05hynw/CEw0L2hbpKreF+1htNpAjFRM0YyRQOQ7kBfJmxL+VpEx3A6ZaDG&#10;1yzbY8/4wlwQ9MocSvK3zcphfDmUY7QuZoYlYcfX4feMw0Z3xmSLF8fUHBQ9e/8RQGYrUpbGKwIt&#10;G3h6vnpBmmf0UGufZtBzP2GI00XNWwJCbaFi4jvXeDLtsvb2B9Y4fPlobB0P0D5H9wykcgwuFx1H&#10;sW/K/XUOqsHDdNY/sYREe9J+lWWJuASOS/xF136Nxu+I+Yq8TgQwLhQVlrZfirlk/wBONV5PV56Z&#10;vMXnX3hR7psz1oCopbom1wzWqxvqmemeizS/1j2Iw+jyfNDH2dOnx5//oe8bDz78gFNOoKjQK7xq&#10;bqILA3varYC0wMcI5569fZtcINp70X/R3OQCcHk/QDGUYKHY8kEBX+3dWFGyjRsQ58GRtaLV1okT&#10;J90n0o2+dc4U2KmrN19zDAdzZhjSFS3dWjLsDRHpwp3I+dPrWeYPFsOOaWcdMNocANNq6S6AlO+i&#10;vofJsJ+8hlxjmrAQJm0tMEuQ25SIs0jrzbzaNuwxT0wrxBrZKRuxRIiayNrApvCSaDyXtYH9Kg+Q&#10;LdQLlU+zLDUdBV5+1gI4XkfKqCt4Dmtb1+IHQDEPhmHm3BzPRqBmoquVYMbhc5s8c+NW4/26zAjc&#10;bAntS8iHSZ9DHeug75ekdS1pZW+qy7ub5UrT3MJK6/tt8gGz129uCPAEllsX9H4h39+6rnnXhRR7&#10;NHZfyEbxCD32+KQizGStYyaxran+UiQ748AUmoNqLbSGveHMl/yIMFueqRvDCp8rr82MuJiZnfeA&#10;HwW5F/Hf5d7cN1PEOEoNyE2ZiCmQKVpVNtiM5Yb+Wjz1/CGZlrjKvcPUwmyhLCisSdH0B1DptjPy&#10;54jkpfmn5gn/W5hJ2MXEpE0z/QwRsKzk+djsOMNzaeGZ86ZNz6DGWz4Uh9KT96k0lDre+Z+2YmQ8&#10;Tc02p1ct4NyLMcccBt3dRBNjDSmg7sjwBMQglZg0jbpBawIbOiKomZYDyljXmruuCDKz4JVWx7zq&#10;MnZZiE7b4mI673m643kzI5lWr4bmPgK4Ow04urMa3yp5nSa3Nza3p7u79z5z2jyJm8TSUJusSEE0&#10;rLEsyu3BVsRvdF2VhK5euShLyfVxXv6ka1cvjosqrkCvwesCP+iGprq4P1zE3HMKzUb46Nnn/pjq&#10;Tp0+NZ599kVX5Ll0+arBCtDhF74Hb6CNlSPtpRCcOX1mPHBs//hLf/GHpeUo2pk58VWZ+wS9MOc8&#10;/4ULF8bP/PxvKCBw3Z+j1YVnZhTWCJk96NdpBDEDM/df/eoz461vemq8/vUPysKUoLzQYWtgmi3M&#10;lsXHENo02pTPCyqFznztRJxHkS5ewNrZEtACJoIHAHtdKyk3EHRDVC7n6/VOFUGgGhCBeDTdZb7R&#10;cneqziwl6xxH4OtnfL6unuWyQPCyKhCxdvSWxCRqEoCmNfbdigu5/977HAfDj3gWlJiHcI6LbdUE&#10;HdRGbiZQkoDT50xQEO+Mx5khmZljGmvOUEzGklcmp5lO37N9S7EWFSDbFxMjU0i9wLKu0X6cSaLz&#10;xM8xwb6NHzFjnMBNr8Neeb4mUJhJgMxpbBPszUC6bdGTRG/uywIGzBoEze6sBSX/Lr6haIANetZa&#10;SkNBaFhUxYwFNbn0qDQANlY03YzPIdJFkDPmiLSEEqbR+sLRrmL+Si+4W5L8EkHKEpeAY96VSF7O&#10;pRReTLSpDkO07k0FK2xSqd/nzPl4TSZsjEqR8POXvwDGqlFgxjCA+PphMvymdFGCL/x9rXUqO0Qq&#10;6ii2rA+gmXnCJ8I4SPheUGCMfZLMLZLlPJBUfoMDgPRdm/XSLQOSKkGs5jXUMZM0J02wSL8jXLfc&#10;Vm4ac4mJmFwnncP8eO0lPFy9pmAsvV6TZk0W1C2+07GqROFnukXUFuNl57Bv9MoBPSxV0UXoAZdB&#10;ksHpltFA32bpCAsc0zQlplrBPB044XWuWTYl5yYzAaTny5p2aAKSSfBQGJ79yBpLCpXDqBLp7Lt6&#10;a0+Gb38f3x9/mc+2+JCELDCR1jOTmsSMzDS8uuEjflbZ8KW5sl6ue6o7JdA2zxkmWlShceBCoLYt&#10;EZc3NiXtKw2GJrs0hj1/4dK4IEZ5VSaxi1qbLZur4/Cxu7JWRYux0ZQw7Fd1J90KhnleAW7/6l/9&#10;oi1Rq2rim471mOFvxb+kc1y/lD0qxvzKq6+ORx44Pv7r/+a/VCBeg2D556N/e45g0KR9/Zvf+J3x&#10;7IunTH2mY+8ztsBM8PMM63i0zKeeeVlromIACAouQBGQjTk/OX883zbtj6eefWm89OoZt6CiXVKv&#10;m31sTHeBYqLFY461kMOz6PrXFOPgqH2nN2UjeH64l+k3vCzXDfDxz+O11lY0zfxY6rGkZGGN/E13&#10;s5dmuqGMgOvSTompoK8k9wwdDnUXWRpf+/qz4/SZM9JkAXME8+XEYihqfs/uFRVdPz3e+973+pmS&#10;+5ndDJCyZmvKFkg7Ns9OyAiq04EUZV9T8CHHvGm8XRHmMNiJNdXuD2p48QJcRT1FklO5MtNibtDS&#10;rn0ITiXIOS0deir9WX9RG84H5QH8xwtTeWLFWOOUz48ZZqkik9Ru5sx5s2N68es0T0aYccnD5Zsw&#10;c6rAnjxzOYhNaLVZ2EBoBUUU3prFOBrkmoBjIi0NqawWVvO9ENkM4WEhZIgX88gWaWhmugBRAYnH&#10;3v7XOj3ntqkypljlu/sH9tw2/JhmYcYw75K8EOYtPGJmg2BBxHo2Os5zLOeV6dbXKDNHAhDQ3Mon&#10;MY2/7umNEWDy3rBVIZp8wtr13oCn+94MI7FA4f8SpYi5iZlKoeMCbe+zRBN22HuiHKuFkAUK7ibB&#10;zSoZJlBd3r7bMBLTTamfmGIxjUT4ixbiKjRm+E2E0JN0Ot338oaqlui5t0v6uylah4kv6DtohvtE&#10;eyvmYI0UX2a0gFuKlub5biiPj83nbmz6TrKtgXM+8ABG4hQS8m+LybUf0cdlF0/CkxlUlZHz5zV2&#10;/kZINWFn/cq8yHh7H/G0bfXBhOoVYp5rf3DkpvzDMMMd0Jvowybz0gZTkLtpoeDFN4/ZC4n9/IWL&#10;49nnXzVgrKnV0XUJA9cwswHmTqGJ2+AzX3phvPryy+NP/9APjte9/hExqLXsjWKopm3TwJaxLnD7&#10;lY981I1hYaREUwNWNu0VsFsTFQ/ClbK5dnn893/tr9QG0TWZGp5xmrDQCek3+IaXVSz7ox//3fEr&#10;H/qkIrqXa2ZbGC46QXA03aismzSUK1c3xjPPv6yxrRXtBhiyVUvD1t4EvL/y1Avj2RdOWVGA5gmo&#10;Yz8Sbb+dtDA0IWtDsYhh3kMoPnBon+7xkoqOH4zrBT5VVrrW2Hbo8+dfenWsSku9Lk02+4YCBNlL&#10;LVSZsxeQueCABXrIBQKpohJtwYHM2KH669Zhxce91Obv4efh3c2aK9q3tGAO2YFGe/b0+Dcf+p2x&#10;rh6N+O1IjQN0Edg3Xd4wkcrwe9KiAL3sz8w3ZfH4QVBfXb0y7r//gfGmN78hc40QDZ/VGl5U+UPS&#10;5txJouZ5XlvmuzOmR/gQ5lBLfSUxei5gYgUAlnbYyGEUbbrxUV7hoH9twdpIKX6byepZ6eNaWzNq&#10;TXYkKrhkIsO0IrGHbrNC8Tf6qAkQC0TtJyyEM3GjctfieKHT22teqikYnBY/CzgzVPl9+LN/cm6e&#10;xa9rbImoapW/xlfHh797kuradZ1i6v6+gITJDEj2vcLD/DvNdebfnxgkCkSn8c3G6BUxuDXQABRJ&#10;F4BLW9Lne9+Xz/r4aG8QIy2LbEnjWBhbiVrtF/ZIegwGvRkj5kbuC+dzMos8B2wTSW3T0ac1iUyE&#10;1tTOeD0XmkCbwtvnlYoTuUkYXUVOAp5oZhYaJGlKY2t6jJRcJvLSMkNPISmvTQ06UjJ0E8DsdWfj&#10;HlhRFPCigI+UQ4HAgvJqF5RXC7DxeLuXt41dFFPe0Gt9rtAmZaogUGgf6DzudZNj5TdYWBJDkpCz&#10;XYCybpNjrVmDlte6xuXxRAJvMPBwC4RgbEjP29ySKoKA6QiA1ktbNAzWEWzaUtH+3Qge/x+2/ivW&#10;tzRN78PWzvnss0+unDpN6gnkkDPDLA1GJgnBkEzRpg2LtAEDguQLGfCNb3xn2oAJG6Jkm5RhG5Jh&#10;akRC5FA0w5ATOOzume4J3T2dU1VXnaqT0845+Pk9z/uu/y7K+9Su/Q9rfesLb471+UjMClZrDsQK&#10;QaB6q3xUI0xiRQjTNFHN1vonCclTwz/81X81fPN7H1noSGEEHtRWgTwLjYW/dz+8O/y5X/w3hs/8&#10;SHJtGwHwu7mIhkqrQVd+/Td/a/iXX/g91/lsGHJrL2DKDDzsBx/aU+USH6q10r78YotLVJqJ+bCD&#10;h1zVCA1Lxw4D29lTJPfR1vDg4dPh7bfeMINzZ40aN6uLMG8tR/89evjYms2U5kdYvyY50hrOmhkh&#10;irAfJxKK3v3g/vDqKy/JvEcEeApKJNUpWouvLzN8DGrnwztvvuK1/M2//V8P/5v/+K8pJW3Rhbph&#10;WAhcTv/QnqOxfnjvoXyABzp/pZJ57kmv8cYXaDXgm97aZJu0IuDh6PjIQnh6ORYdxr+sxQLXPm4j&#10;CbAWbTJnP4EA4JYzCazxNAmAwoXf/oOvD//qi38ojVCMnQIphlskSYrhl0Wp5mocrH02B7DSUu40&#10;DfpUZt/v/+CHw8///M9WhSACDeU31XVo29uyDCwpuLDzFE1hbQpdk/B0bAGqaZq4VUh1imQX+n/s&#10;JYylREiudTuYSHsEl5p/BTR895mIm5PJy5DJrhk4QebgC9iZBfrGksr8XSQuJEzvsy9qaTNMsjXB&#10;VsmLohVzbPNmPygbl/MPGw2RKIJRAMp0uiRPm2Gb4Yff5IBHh28zI5iA9yGHneVgarzEsPoL/Q0R&#10;qeutYZXEqI8m0n8TwgIt9t6/tdF9RJcYaAJFMk+bCLtSRwG2D4YoOJ4TXmNJK+ZEAVZHzRqhoqkm&#10;iCd5SDmHPmOuiZZnmAHYCwLSNR5kZjJt3otmTLrHmf1HQYrWQgwELA/NjR0xU4tqyzxwbLtRb8FP&#10;cggjxvjM8Gs4gyIwCtGwTmfQaR9egqiaQcBkkz8Xbcx7onFj0imE9j5XgJX3OtiB9kJeUroq6C/T&#10;L4EDOu+CPZw/06wzA8EN9gUDYUglJBQeML59QJAbI1VrZTFTsSUxscfM1H0SY4lgSzJmKKlZXOFm&#10;Ca8Gp7xm/axyNOFzS6UscA0mclMFTLmRhIoygKto2vpe3JBpzougObzdvvbAM64WiPbde89MoCyw&#10;Qei0iEP1BjwRkfI0dR25vdALkzcvJfTI69e6v/Ptbw5PVfwCgWF3e3d4/6OHw+uvvmxXjKGA/zQQ&#10;RdARrr77ve9L0zhSUYwlF0VfQnrhTCq4CmBzjqTWdnwsZkEZL3333/7ql4b7j6Q56n3gLybkxqlE&#10;jgbu0E5s2tOcnj175j1KFlmEO9/j+5OaY3uS9ghT6t0PHwwf3X+s707srzqWJsT9wIh9XAXnTfDj&#10;LhAD1dpg6I+fvBhef/1lMdAwoTZpg4OYF58+e5H8agQPw0kRDAQqDA21zU3TLlTohEWBY/jj0aqt&#10;44NXNq3pftePzWex0mTPraGNXDHnGSauoCo0fpOsXHeotX71G9+zsLEvYSMFEOgELx+uekQuk/9d&#10;VXpc7afotkeoca0h1j6tqgEyFoMPf/jesPniqVLONocXT+eUd63GyIvL0uLXSquOYZ2p8DsvxkiF&#10;ri7ez/gJjPHX+cnmmIwYeBPmfWkgVz4oDcKErlTkbJe/wU/hvSkEb42wmYiJcKnbAeR+PtJ7MS5I&#10;q8eOFBCNpEyh3t3Ys7O6CduE0eRdJLA+CCMdayoo8MaG1owMLOhXpqEs34SgKNjIaLodiQlX+UI8&#10;v96ZmrcBoplVPch75BtDVUNcs4f8vRxlaKLCuH5On02O1GsB4bwEBon2gTToECc0PxPnOqPyl02b&#10;SU6CJ2bK3Bq1D0EluwCSee6O2mowivAzMjCeXAwiJ5J1pVaj7rGAYApkQpMI4tY+orXwNVNw2sMI&#10;C7qvTYx2fMLgKlrSCNj3ypSMU9+CUsOxqZHH7aojPhefd0myTLPOy/vOs/m+cH7UuF37NMw1Alzg&#10;I6sqgQuixXjlv0yr+waqYh4cXgXH5LRKSq6zCdZwUYhva9htmgzD4xqI2kSq73UC0kBtzqbGbpgC&#10;R0t75DtyXm9dp7jDlHJXFW14rh58Wvf8vK47WzZzoTjFrIpIPFYAx7MXV4erV+Sv1r1n1XLLqTai&#10;CUdiNt/+znvSPI4VkLGtfNj90uIj2VPZKcQyRabR6u5+9NHw/gcflPBIlDKFr6ucoX1TQTwqffzh&#10;N35/+M//8/+XmRIEHtiG+diH1een17Rncj6Yvj9S4AjBJ3ua46Hmt6EgCMYPHQk4pllArDjLqhf7&#10;3gcPh8996Q8j2HuvCvabZhQRDj0LUTeT0et9NfNFQ43GLQGg8DnnWLjpe6ZtEn7/7kdmZOx5+6pb&#10;eAClm2hOhPIwXU4fxvJCAR+vnt1wGhXVRxJrQJQ318wkKETmwNNTdd0wbAZX4h5KnEFHsSd2IU+l&#10;J+KKYhMo5HF0KK1YOc08D62JvXecggRUtMQT+ccTxJN0Jde7RTjU2FsyNd7a2Bj+9J/647H4aM/m&#10;FLn38Mkznfs998AEPT75+ivDS3du2rzNuToYSN8RzNLWnkSG9x7WREM2h2Vp0v/01399+Cf//Fdt&#10;9mQuMPD/9X/8H2kt88NnPvNpwxFwAv9o2Dk42FNxlAcRJLN03BQBvLTS6QeVVGeACUCUuy0Iao0h&#10;h+wpmkjwPqYYUhxGeuY7y6Rgys3FYUDhXyG8/ZovooaHQ020r/qo5uTw88juoVMASh30WNTVzykN&#10;znMN+whRaKqXTR0ZtJ9Z43pe0a5CziaEzwS7d9GzL8GhiNhlJutl+6ei+YoxThhkMbhQgPwzA6r9&#10;NTbxLgwkEj1XlhkMQMFnJUZHlKml+Zbec5v32GNTS9EmiDJz8RxMH04NyxqQzs50XSM2vqCYawKB&#10;2dPSgPx5qpIkhxNUFNDpWhey5pPaKid8g6wghz532SLTndyfZOVomR8rrIAm5SoZ5iaZ4wg/RamK&#10;8bU40QhgkyBh/upU7jOOlFRjRUhBG1hXub6WPkME2Y/MazzmUNCCoqzLHyHt15yrCWLu87Xsf9Tv&#10;JLez9xN4GDcnx5P1+XXwqjlzy4k2fVl0tTiR55RQMFaHMdhM4CiCUP0e3RuW50TUJJk/uY+/Lj5d&#10;iITPFi2n6m8eSEvZ3XvNRIRAnQyb9dP54Xc+99XhV/7JF1Lph4AqYCpQ5mvSOiu+LXyEFLfGF8Q5&#10;HCmYJQSa4vlE/akylMYMDIZwffF3fnf44QcfuXN8CwbK3xnxddRGYIQusqHxtAZ8PWgthzILLi+9&#10;ZL8bKQzG4HLhkH8H8VxRZSqCSZ48fa6gC0Uc+l8oRa+38YJqKpjyuOCs/F3Oeda6CdqyptK4q7Wh&#10;WYWuRPiitCNmOof/W8HWCfJFMYusPHSRn6SANXyFDh9I4Ii5Ek2rrG82n6qfouoQ37p9S4LLofZM&#10;DX9LMEuecuqptu/bDFHvXXFLm7YixkHqx7vyKf71/+S/MMOGAR5xrmZ+MZcGrpqRRugarVSa674E&#10;jzvXN4bP/sSPDusbVy3AILh8eP/B8PjpM1sN1qTFbW69GJ6oVKQ10BbUi76G8hedKZjL+3wx4mPR&#10;0TA0pXXJRPq7X/7D4Z3PfFKlPQkkknWAHpSCZ8zGZ6SMSHt0RalL5DsimAnsRB+cIH0xqjqZZoBF&#10;IeqoCuFMzBya4c2tOzNxE6x+0ZQjNvzJk3NFAjCyWqOStT39WorjmgCGieDI+HrDJisbN7JW1sBt&#10;+uIphIpmrTGVFZsIkffn9aBaTaSzltqbyAR0bRYtKC4lzyNEmyrNo8WuZiYmtNzXhDlHEX4VoaLn&#10;1BqXCUeP49l4EM9wlAq53XY5zDPRUnAY56iboYVIdwutaZtBeTj3JSDCitxIyEtL5fticFyPZtmM&#10;IjoKRLmEKJggjNGaHEWQU3i8fQmwvGj3SPYk8gccQXAeHhM9Cdth9kmszYk1Iw5M1hkwH1vrgymt&#10;VXdEHMfZKR1jlC8zJvhDRLgDXBp2fUzsnZlwm/siNOacmBPm1AhKTRAiMmXuY1fvYko+sbimch6X&#10;/3l9hpowpPKB5IgjGNnYa62+1l2CixHbhCrgdDmvMqZr+Yzk79p+Li2siM2o1dds88z49IJrMDJy&#10;2ihcQSUjwvBDOGFsf/DV71gzIZSd/eiC9oHHmD+xEyJcuIjGVBowU1mJsoKmF/ocyf3WjZvy4cin&#10;I9qxovq+BEV8/ZvftvkKDbJbF9kEBwMaQRXha8ZmNpKiqTuJBgiDo/YpcwPm7IulBCTpQZoX36HF&#10;HYlRbm3tDW+98br9jknXMCXyvLnXJmi92NJaH6mU4hT0rQQZvoOQ31B6BE13j+Rrir8duIgvm9do&#10;o4+U6rC5tZOgmqIJhgCDdOC6NTdDTykH5wqWajh35DM5URSfoPA0FFGfETn6Qpr42tXbw2d/5qZP&#10;GL9XQ5lT1/QpPj9gnbktab2c9wP5Yx/Kt8m+4gMmICxpChF2DQvAolMq8pPEHE84Hxiv06D6I5Wh&#10;fPf9u8PPXlO/SAsC59aA9/cPFeW54j0mQMqaN8zZ1WJCy6JcBH4ybiwc/brUkJpFqDzCAqblKT37&#10;d3/7C8PMg28Pb0rYm6YMm8aSeOt14Pv9fQl2lAOck8oei4+7M7LB4QYdbm7VypgHwyiVmu/r0R7R&#10;lKDmVh5QRz/rgS50XJsyFtE102m1vHbNSy7tjMEMgFUDkMWzKQX0jbCxiIKp0RhDNErl16u2wOUL&#10;L6pMknWfl1prq62uJ032/tI17Sfyenzm2bw+LB8cSNaErzepGFhTTO7BZ+Ru3BAzaxg5bP6fZYS6&#10;et0+g9hvGthGM10RRe8iBI+/RrycB1Fc0cxB3hqW0mkujQDx1P8j1OXpRVRyd84++811mk1X2UDT&#10;5zl26E8YD0wAhLE8OiJ0zHBhHphM6BKQJXm9dT425ZngShMspIuTvsOb851vLeJhQaTgMkyac4Y4&#10;ZiznzhciB4lSwJv1uEAyd/i+aPytkQP/8U1F0DEBszMODTzSZrTUEj5GfM25jfgB7/PzFfHqahbJ&#10;gVog8nNGX06fDStErukbhodZ0GGjtcfMr8zDhukQQU9N17mpKxqW3s9qA/GlXJA+ovOdB9MVBALR&#10;VTyd0jMUUVca+fGhzGSlFY+w1NBXzwgIYo5cdnk/fjCvIeE3wnNOELGZucXhk++87ecTnfn06VNr&#10;mD5nxw9wLIFFB0rU+d28ectBDDxnVgSdYKj93e3U6H14TzUfvyV/3t5wTZrEusyZ8e2G+Vn4AZfY&#10;X72H6aFhPXh0OuxvSctUZaSf+umfEUNbGj7/hS8M6+oOQp/KWT3vwYP7w6/++hfMALc0PuUMYbYg&#10;yYqKK9sqQJ5qpRY1gU+XGCxIkV7wqUaTCD6hJF9VHeKVK1eHC/nthllpHzrz4yM1BC74m5OW+Q1F&#10;hhLNuqhnjbTT+Fu4WnS10NjMw1tZgenGi+O94ezg+XCiov/B4aoAowndUyTu8PzD4eqCYEFzPpW/&#10;D/PsEbmH+nuov/TjGVRJ6oJoWDHvLY2Ddo62Zlor+FTa8MiUmvaEDmXFY0BdXRe6HibI9QTVPXu2&#10;ZerVVojH0rSdpA8cGN9zlqPFykIv75NGlb2PTz9UysDv/RjpZeE9pvfka84ML+Sj/cH9bys1J7Ii&#10;rGhGPsdZ4QW4crY3K1iW5aG7Jmk8tRHMAfx3CWwWnKVD+Pz8kVAzyd6UMM82VFU4+yWzVW+SDzTH&#10;aiQxITQwMW7CgdFY2tVnwuINs3jve20iqHnU7RnRRLUZX8+VTy4xXj+uKFcxNa/DfCDaX1hSnUET&#10;nktMZ3yWLm4Jxc8o4p/1xRae3LxJbtzHhAsfsh9YT53IOJcZYu9t++qaAZuRmlE1ygTgRt0xUJno&#10;syLQAaQQ7DBiMBBGSXpGfBrF2vR970a0En4TzNEaVnbKxsKi/gZYaLyRGUKeM1tevaK3yj082q9k&#10;WGd56ZuYPwFOM/JiUMlt67ML4U/kZhhTlMcRkrIHXlOuS5NUfS8tpJkt4efpOjBhNg4sNjhB+Ni/&#10;yz65PD9bRDBMbV3BRoFGkBNYqMN0FKQJ08Wwua9KIpKZN/ekIdDv4oCk3eQYHmg+6/LJza7o8jMh&#10;purdWQMu6cR+nhIU/MeEcmq4snwh5jAz3Lx6U0xP0u+0OqNIK8ghkfR+NKxQ/GA4GNZV2H5dhdu3&#10;1Y3EbcuOdgIzSW/OmEbsnBWLZd4wkNcUfIL/8Etf/ubwhd/9aqUzhBm3nxk/Eu2QwgRPHE2J9tG0&#10;pPHDuFX2J5jJ6vq6ezdypPig7t2/r0CWNSWbXx3+xt/4Pylp+10zekyuzDE5jHUAhq1GUIO4tKst&#10;mzybsawoSndvR8E0JwfD6zevDOdH2/o9GH71N397+LXPf81pEOniUhTOGlfwvy1CPnijUK7BB3co&#10;Zss7m1tLCIN5fPLKxbD69LvDl/7e/90m2GNpW1NKAzrYfaEqTmgqqZL04e+/b4akTcqzSnlg/A5w&#10;MkaMMJBTAqaoBLMoweRzv/LfDN/7x/sSQlD5JWRpfFtoCZrSZ2u6/sry7LAoYWBF5/OG1i9PgH3A&#10;jioH1wns0u2k3H5Lkcu/fLGUiiqGsRK6AhaGiQ5CHLXUslwZ3aGdtY/duojrtrZ3zBC4BmsC0bwI&#10;K+x9BNgIpv4Bf0zH9OvUJh4L7Ze/32Ba3/E8EyIfVG4N+oVHgduklMiiRIEEhELWuas0p1lVyVrT&#10;Przy+pvD9gv5mA93R5/srAt7XAKqIAWfNddjwgGQyXV6IBPVDnj9wEvTdL1HE2x/ie+0pBBgKtKm&#10;MfHhNctpOsogkUgslej6Vsu9GWac0Y4SKJFnj4fTmweA1/PcSPXSZjXpzObVwTP5OvA2uXlmNUbM&#10;jHqOXV4hthYcchr+r88pyNrr4fqeZO9fDjwA93EBpM87eUDp7EFf01mIQD3bz/c0okk2Y7KGyX1m&#10;hL22emamnTmaiATYkyuYg60/es2DYvLrDtA0WfWcTd+rXY+HCnB2jmg4QWlpxbD4hEg4fI6W3Hk+&#10;pjsToTo/kII1GlS0164bWAKQz6YiJUcghNG2WTLA7zPwOhmnkKYRxEE5OfnaPRONNr1DyPBPbCsY&#10;wA19x6MaocVzJSX2Y5aLJsh1cA4I0vPRJP7Bw9vDw4t1N3qVITjCRQUhxX8ownlVwSMy4Wxtbirl&#10;QpGKnnfwJQeU+qd9xkuLswpSURDGmcx9SLVnh2mcXitzJKLPySqYBYKdzRfaLGl06sl3KuKMlJ6C&#10;Fw0TzQRLMNL3V9TK7FAa0h7aBtf54on0npJjBGFh7iOsnijJ58EmM9IEU0VrjqUkWoZSF8RYN/Y+&#10;Gtbc+jENm+dklry6ujT8i//iPx3eu/tIHWQUUFNn2bTD9Bs4KbjwSdQiHEEszdQJ7Gj93/38sHS8&#10;P/zc2vlw9zf/m+H/8fm/76L23x5eHzaubVgDH3HPrwGx2IPyBoaRDTI2CCbYZgsSMEMxMZv2bR4W&#10;0znZGT78vd8eviUmy232AOQk5X9VorfKAEPN9+ekGQ5XHGhiHG1Cbg03wn2vD7jxs3UNvtR20Tx8&#10;sjXsncmvVfSWBj6y+Ppnoc6Fog0Q/Is1mUuvIRppVD2f+CNHvGpy+O2JVN85knDqweJyuJzvHHTO&#10;ntjeUkTOroSghuHDYyF8Yk7FjyhBaHt3L1G/CLiChw0JPm8qr29RvmFM4KfFX7zNti5lQRHy81kL&#10;vWYuTUfz2CJm+bjpeM9HaOL5cTbICsxyGsvStDr5LK0PG6eKDpW1pKPQ2Ra22qNNCHOtbpS6MrkG&#10;Ds7LNSjrIGr6xZxjO84PZtG2IweJUlOvTFi1l/mcaUTKb8DvDek1p8ZnRg6jtG00hO3SofQTe86R&#10;PDKux64BY1rRY5vJBzI9bg1XiJaNLpoduJhMyvNxkEJtSBPazLEQqb8tQL28d2GcMR/CZJxDIxkP&#10;cxcRVvN6MUeX+GJePN1O6jLx+S/A5mhGNPEECRjOwhnyWgEV+aBXEuTPfhjkCqqKEVg5aB2HPUYT&#10;69UxZUyYBLpICnXYfdOQQuhi2JiYkm+VR6dcGufG2EE++09qrq5+UmdmE5QZm08951PXca8Jnz4b&#10;Q/lHOha4SCV9H34IsSuFR6ixD8N+FREDRbWBFF38PZQi8OV1RcGb/LD93osSkLyBSOVnwx++WBy+&#10;fbg2rC3qme5iwc5mjimdx75LZ8O6Jml9S6H/VDhZkhhv3Gott6wlTZyWRPH4jqTzEI0AYgQyfpoj&#10;IkCxNl2LCUra4cIC1U5ITj6MxaVWUjsz4j7LRWrvSkATQS1ryE/wECkb/2DmYBaiwA0xc6oYeXY5&#10;jOAKEYiYbyWZKzov0QP6TMfBZyqdO/zT+1vD8NKPxM/aKQ2GgzJlF+4YF2P7TgqNzo28QALlaKJ8&#10;/+GmXpEfJxPhc62XZ4vo7d/R9zJFN6NugTUkPmvq/Sjp0HAKNSCKFTPoihLoV9VOzcEW2oC9na1h&#10;S8nfi+DnkjQODeAiOcZRKHGVNZSZcf2NHxs+c7Y4HBC9SaBO0VTvlC0y2V9MvGi2dg3pHNGW7yuw&#10;BE108VzpH+CQ9p79F4gNV2iFp/3Qn8hPnKGeu6RnLkjKoHbwmZlpUnsw0SJgs4U7EkbYP/cVtVIT&#10;QcqNDPCJYnZ36sLETcXexCKTWArwyNY7TLBaF23ssPy8kGAEzD9+8nT4yjfeVTTyuukbLePAW+Zs&#10;qmk6VnjmsyjrC3htPG1g5U1FZxuniw6zZls48gmF94FBnkGfAAbES3AyvTzc2z4Yrkhq2Lglv2mN&#10;KyUjklCr4xnG7vfwDI8RDSPtSZhh/aYNVYF7EJJnumeYiU6IV6SYOiETPy71UjO6P4sDvbv+hs7p&#10;/1bT/cbXtpbo/DZLUJlBS1XZm9EoOAJ21jcJgMlza9yaYx50mTxkW62BFnpE64yE1uyhFuQ1tiCR&#10;KU8knKy4mX+Nm0UWLQtjO5bZBq1gUdLwLExHFMIto8pHZpMn+0WStItfI8BUQARE1gAcqc2d3f1Z&#10;EREEHZQEbvEUzBlrvwoYzYiBiaw4PkBzw+xF7Y8JE98pYAJn+qxqNfqZ3F9XAfBpdhp/oDV7dqGo&#10;IozAQqjWYw0W4YO1wow8ht4bPoMJBnOPH7jos/Fet0DgM21NiDxWqkaATNqrStOguHRRbhNjSlN9&#10;+tOfkQa07iThj3G72F4D8iboLQRwbtlnW0CdJIgwoFy1XRKzFfUmqTj+zUC8LQoOEAkcBz4UmenK&#10;FVlnm28TbTvp85a0k1P3x+xIzWxAYMwMvhm2Pj2jt6Q+h0nQYR1VYBGV4YIo2QQitGUlOxm2hVbM&#10;bPHtubRb73edUwFBzscUN3vvnowiaosLSzEfe9AQZ1dE0l9KYB3u7QybYuI7dfbLmpJqCLjhyP7G&#10;leFEATPM1dVz2A/gBmLLGVo4DStuEzmMveeJdrFAcIyFo/iGHaHKPs8uOu1HlQss7CVKsphPUaOm&#10;CR9zrbAWjYs5lHuInMVUS47bvtIRgBdq9dpwq4lRKg+Cy/rxjgLjttIod+3p+bxKEipxH38oHWTw&#10;VbI3CGO6AY1vDADiPes1d8HXq3PR82+c3B4W0QTxXUqjnBN9ON9+OMzKKuBAQVCEZWo/iRQP1oYy&#10;ncmsZIeJ8T/wJv7t1BJ8Z6+/9qoZFSXiUGScmNGMzsNMBOaGg8Z2uzAM14M0vtfVyeZo+Fv/5T8W&#10;A58dPvzo3vBsc0dmWZnLBVcOXNL+mS6VBhhIbgfJBOcbNEuhA7LDOUI2w18Kj/gcofyO2tkRNEQV&#10;HjNRrWVO8DO1ujEsTa8Ou0MqATVF05kVMWkEN8HLlBzG2zyhJpmnB6ndS8rANJER+SbmUGYHUbNq&#10;19y0UC0I19JX7W+tF6JDODyBFtlYz6Z4aJgkBKR1s2KgjjDK0SQfLfZjS9bg6kjE+3XQKSvJY6J5&#10;Fpr5UD1aXZCxzbPqq1zfWk8929eEVHp072URi/F+U47xIHIcIYqAAdXie14mlEbE/j5zDMPRDlVy&#10;ONIukm+iVAEu9oxrsnmNHG5AWRtOMkMqNmhEh3vVTMx0iyibgZYG43B6rptohzyzI2AvCxBtkkxl&#10;/sBHavmFScfM51VX0ME4LY8P4Ush4dRKtOnSew+Da/DtcVKhxtKffo9AYgqCQyj0/kRIt7oGs5dP&#10;ToRglCw5Fq3/qhoqf+bTrzgKMT7UUvkQ/ARFM5hOzczEUMRcHACGKZDTOsXmovqVRyJUYjA7qkB+&#10;/wA95Gg4IMDC95UQEbCfAErBhZP3tY/H+p1zagpNRm2Aq/1Gw2QPc642j7GHJuZU+ckZ4ZfLjoZ5&#10;sN9mgnq9f7CpQBbC6JHGw4hdhMDmqjDR/pwKKGZC/FjCzoiNI+MaOBdHDJZPyzKV9pDxy6yMBgIj&#10;vH3zmjRB5a4pHeWmfJaY+2BqLrheQubh/PpwKoYdTTBpG8DLE9WQxMeUcozAgc4WpIaA41+D4eja&#10;A+0/lkcq/Rw5Ogpaov+Ao6k5RxC27OSCBvwzM2Ch2TP/Qr8K5rw3jiadWCccbCdYIK9tWSbeJTQ/&#10;ndmU3AYwQLQwtFvKGQKqC1rvkdT8aTHgt159fbh545ptpuzLBBebqk8Eycs++5deuuO5YhkCXpjh&#10;svb46ebusPuNzw1vnDzwcq2ngNK6NnJEiNWE/GW9JtvAiODnQC3ZXn3tJXXuuW0GRToLgUwItxdu&#10;Q9QBiNxX/KFM996foicm+bwzwQXtp1S+7HC492xn+LHF3eGPLmwOX9qfGT5/tDTIte25tdXDJ8C5&#10;Wtgtml+Q1wsYSZdp4uTMLOxpngh7WF5Wz/d1Dlqn0IFzYF7Qj6Vd1SJd/pHh2ZTCg6hHXAwYMcSb&#10;wQOwPHXfKRZx7sT4YmIsqpgfn5rBFD5bZii/jUN2EybqH7OjZiYFZm1Sm1CEGshUpbgdc/JB+cOR&#10;KbRGkCInpSUyF8N7hfmH/eSnOJy3tib8cYZYB1eH0MzWTKiI9OS1qWaYTV3fhL/zm6Ie1rPMfCYM&#10;o4MP0k+r2BwPHCFUKxACzyhQwl+3LcD4MaGeeVUjjMM0Myom4Yt6bAYIBS7YCTO3loiknNwnA4Ur&#10;xQjBIa7ME0ZqLYRzQbKqMkwwShiaCWrWaA2zfMyjgGMtAZNciC0P5r0TjIEiIwJSISkUMVfGfJq9&#10;NhPkGTX7bFXeocUx1qI8/AtieldW9FSpFhShptI8mH59/WUj+toVJQLP3hzmlxdsjspz0TTFGOSs&#10;X1SicHhS5sQ8Z1XU/Hzx2nAsKZ4IwxM941QSPBLtqQJczqWp7avm69md/eHa0slwV872mUGajoiK&#10;wiIsxEVDbRgIopvhGNQ1hivipDbpy4t7w7II0JEk/UWlDNx55Y6W8HLa6FhwSIeW5GNmF2LJOR++&#10;9c1vKj/shTU4fmzampafTOe5qB6St+c3RSRD0CA0mDG1Qqc/UJSZiGI0qN2p5eGF1AOeiVDQJdBA&#10;nn7dsAgThSjCNDeV/3ZtaWb42dsVBWzcsc41nC2sDlff+TFV8mDfqI5igC57U/CPMRecUpD38SFS&#10;0PlIXRQeeR9deadxHuFM1xHyT/D/DZXl+sU3BAcXK4qA1BzYo9J4MQt+7dnFcPfxoQJG0tw7P0X7&#10;iq7lk5j3W9BrVwraOqzns4svhh9bU4I3S1iRFqhzQ5O9UEk0B15pDMStNcEicqVNxgrUmZ7aGp4s&#10;HA7vvfK6PlTJLpg8jLS6RfDMFFUP7LVwMvaOhPlHCjEqh6zRNeLZcCyfL+sNU5/Q87o8OG+DBkSe&#10;jdekuB7mcH6ilJXjYVVpKQdV2NolD3VN5/lye9MLb5uNT4HjaP2lOph0Z1wYPBZBzgcT+VM95/hE&#10;EaNHCwrq0TU2xhTx4qxNnH34wRGvr4QrL7bOy7j0r9OyQOSiHLBYXh5syQTOJ03wWSfQLjx+OLci&#10;07AKALhSUCjp6BNMvliA05K7fztkPB9n93NIvLZk7mFKotLfYzqiO8ovC2lWWfxnQpd9H2NES+hf&#10;zmmSKxhTSFxY2fQgCb95n33jXzrQh8hEAvQ+lOgX7Sw/eXUJAXwY0ZY64CSiRsaJpN2S4yUNzs8q&#10;AmfptZgbgBGQzCQy/fpfnt9b3bMZZ2aiOe7qOOMUNUAKg8nh50JKKz9cPSfzB40jDEQXjefNc2mm&#10;jP8CEsQNDEEJLDSCIqj492xy6/2ov+l1VpJg/TWt8VkUUbZ4xDTLXGpNsmcBomPGTf4UhJ11CSfS&#10;1BYCT0KvGWL8XynvVn40CGCNxwOhZfNiPq/fpuwWa0oBYyIWp6cPojlcFwPTfM7UsPi1Wy85cu8P&#10;vvyePhNDmCJKUFHlqnYyu5hoxSP5KwyZkiy/92BzuPvGLzm83ifKM+sY7QdBm9FIs9dVfUVmvv/k&#10;i787/Llr5MHJx6fajZjRCrTqvGGKhT+FEOwDvsHXxIP//Ve+p1qgh8O+UgU++sRPDPs6pzN9OSU/&#10;VrS8GINILmaT2asZmdOeqKI+nQ9oL/NCQTY8zGXvrAFND+/M7Q3/3rUXY5qIz9WG6RAf8HxZgTPP&#10;b/zM8NG1n1QVf5mr+LxMYYmELJQJIQh6FZ34+je+PjxS94Yr08fDv7WmMmK0BcIZo3FnL46Hj9b/&#10;yPD9gxOVt9IcbDbl3IG3mMsbGRCKgF2bBHWGJG8/evTIaQXAwbYSndvM2gFgTOdcQtSKCNvbp49E&#10;aGEumCUD16DLEoEje3MqqL06zPuzlKILnSuaYSguLCzC3gS+1z4vIkpk55kMal3T9UwP2jNzKTww&#10;7GOKReuGfnFe2med39OVm8Oe7j8/2pUpU7YCTKxYHizkpbOL/dK199n04K61RnDGXUMS7Ce24kLR&#10;B9pbqibZWlFr8BUTUu3DS65tqGfnAC5J0FmS8IJ5ckfBLKQaOL+zTJX2iRbeOTWEeQBf+k3j3sBF&#10;4ijiUwzugsvSzoVPfL4lfLgrC8nO/MZw7eqqG4A3T2CMBNCUkDOuu6k0pCHm/Ta7FhUNrrJ3CGOa&#10;O4U9qklu6i9xLvwKH/Zlqgenzo8PXTyheaS7SASoi8GYy/MJkW5lTsh+hoHVJlsjKg3NxJT/MBfp&#10;U8qmhQ3kcHts81BMH9akLus2xonibu1sbRYaJmm0NRxMGLHh3JNqLS+zszLZtKbMsVaqag0GiLaL&#10;QKDrNDwjHyjzsy0hklWddKLvUlkjAHaJsV6ybYcZZv4x300043H6Yzh+ACmfT8xnrtKCBmWzklHd&#10;87D25XldIqh8L81kZKzj47KpbfKJ5lasEe0ORmWzZGznps+eayrP2PtWB56/hZR+fs83DOxMhI8w&#10;7gm11EuQSfPHb8JolpTNSBPswhmNgF1M3QnAtSEx0ZY/k5ctBPB8BBPg6+SFagZSViumvxTuLZix&#10;jznniQlxWdVBXqizAQwjawnnfqBWOHQ8+MSbrzrgAfi9+8EPh9/6nKL9Cvm61qhhwrAYrZU1E7hA&#10;AejnYkC7a3q28IC0uphi4hKIsIBvK0jrMXw8lgDMdB8+EYGUJrd149bw8Nn+sLv53Jqw7+cuBvSe&#10;JbKVZ5Nvd1c+F0x9rGhO5c74Ie+QnwMH0Zyoav75sKM2P3TCcK+/LN05bvSHm7vxyrC19lk1Vcbn&#10;qLqW5U/2RaYWCKwRMHnLWVL38/mL58NzBUCsKWDk4vTF8OET+fR4rs78VM9akmXjPTWofH78bDhV&#10;Oa6gWuM0jHzSR5A9IXE6UYVhhs/FOG3+0/mRumENvpgv31vTkG8M8/Q9ReUTBHKk5xKg4pKA+g+f&#10;3eG0ApVUqQSxZcw3LY06cGkuFtwv+L5E7fwS8+zu0enwtEAHcFzxducs0QAhwARM0XGJKnNLilyR&#10;8YDy7sMzBcVsKlr3XJGrMMFuyG1wB4XppABDKMbj+rRFtMIEG5YTcwEDdR1Ww2hgylpakajgsxHH&#10;rb0u8KuCNWUs4u8L+cdu35K/lMotNN51QFICr6JQZD52N+hz9hwYij/Z6Ol5WagwHYv527mdFDGQ&#10;dunuNPhrJKzszq4qR1aWDVuYPq5NRgDIvU7DsTUj7/tMGhxNy4r2cxz7Yrbs47zGJdgKQajcytlD&#10;fXY0r3ZMMHkFoUVUz4+L6oW+5cNoBD7XIoJ6WNw6ZRprAgPz8EXZZHMF/itzKK+CO745PsIwRP/X&#10;aju3ew48VMDIgsve3JtUg3iwsRqJx+fGMs3Ww6JFcV0WGJ9dLagAqquPWJtoQu9pTTRTk5DyVZRu&#10;43EmzCCHmJ9m6dmD7F8kptGi2YxrvL6mVdza5gc0MJcpwlcTs+CUTpQOEHZoA5gEViBFW4KM/8qO&#10;9xgXNWgEj5wHjJLnlEZioSYV3pl629WtX4BEAKs1iHR6+JjZuNT+2t1xT40cGmzG1V7ArkqD8Noz&#10;12idpeEbXLJvyTcrANCfBF+hGSQhHEpicSLcwohsWde3Y8ZVgvTOc+VjpaxTTI/GRIOd7y24m9d4&#10;RGBS9SN+OgG/zKgg6s720+H3fue3hx/91L/vIBmQ+Btf+5q1EBiNd5e9L7NsS+Q8hSopMKJnKhgN&#10;I/vo+Nrw8qfeGK7jQjK80FYIM2AYP0TfYojeQzj2JMl/Ty1yFmTqdEsZffdINTwfyQ92Io1yrI6i&#10;9YRYg3fZS6T3WREZCED73+lQwGuk9D0lbn+gYs16uhndRIsFRyMssqc8Y+faJ4dt2hKp9ZC7cZdQ&#10;F2aNgJzAtba+EEAD4aTnG8nWp4Kt1xYVySy/GKZCHoY14WB2WYEwKmF2LO1HQSFu4+UzCuGPwFm0&#10;Azgi7YBCAqWFkk4APKxKOya9IQEtEX6BY3IMOQf2zy3ACva5CszHvXMg8/jTxdvDKzL5gStERnaz&#10;WeNowSHM1ykERumG9Iiz2yrGbR9qBahVU3czvtC4MEHAl+eGXjJM8PNsYWV4LsFo93jLQpI7pZh2&#10;BZ7tDwNZS2a2KRBcxwwOrNd+2HIgvGCfGMMm6YJxwqgQaqwBMWYxMi/Hk8xU/aOxd0RXPtyn5yN1&#10;YNGO4oM1cy7t1GdTTLBTXnhma4HWljU3N7UwiRftAFaYtz6HsXLQnMMjMdx9hRC5eXjxgsbRFovG&#10;YMfak8ZfYCVyQAmQTeMKLzrdAevLsZ6FdcXGLFvG8DXKGCBMoH0TgsNoVtf9bqrrjTFXDk/zj2Eg&#10;wJnfkgJLU3R7JQ+P2SOTC1MBwaKu+1PvTA/axKnf11fsc/DC5hAzTf4VBzFA9ZyK77SztgG24MCH&#10;nX5xE9bkkeu+MKkQkjC1ejDv0JJ6riYCWZMZCe/qnh5stF17/J4YY5q11j4WVPez+m8tyMDaDNJv&#10;eFBJfQRA9Nz9Vf4habqSic2hZcYpc3ZiRqI1eq2wxlpiVwYyc7TvD82wpCwzWAgJ86ci/wSR6iRr&#10;v8LQxrnAjKllqBuCGJGovbtmtqU5mIgCYNkfADqFkMMMLpTb5CLaMH/VR8zehvHYZIbCFFHAEvMC&#10;Ecgyte0fSPznU65nXj5q4C4w24IXCE7whMsraX+PYZogCmbm2aXhvffeH775re8M/+a/+WcGamb+&#10;4PvfsxluZo60/pylCUMRo+5zRnscdwV3s9Xz4Ymk/SsyucTKJ4QkGAOkpMGpxplVgEa6OJBAfTE8&#10;VxmtfWkF88snWoty8/T9U+Vu7Z1uuaYp0YgJ/w5DbzwzrpSW6OAXzQvCjumNHWCnnqkL+q5qQJ7P&#10;H4rBaWwpaUjHEGnmh2IJjTqTmW93+uqwL83zSNHJJjQFNNG8OhK7gjn0iATOHImJU0CasmVi39N7&#10;0pRU6FrbxbOI+DyRuXb7MLl1pg7uMhKAbHSKthLQn5b6dKqI467SkjZZ0cLczaDQimUeqAwXVV8w&#10;h87I34aWJjDSOWdtpAxwxtvTV4Zn50oIZ0JidCduWFz0SmeKVoYggzZFVGl831Fx0H4XpMVgjmb+&#10;CJ57aNPQOV1CHZ1WErhD7j/vL3E07PGCnnMmK8XWlFo76Sx4NubnWEdaUMz6LcQiOGKdCQZ5Dl1s&#10;wKcPjplOVVCUBWEV8tYa6NRCdafyLKSTAwxeo1AKjTk71MuCz8Xw4e7M8HB/alhbIn0mrY2co1wm&#10;WmAqUfXgLXQ+GpqLOiAwFJO1/5Ufrx3co6h9eEIXzGaUeyrWvqfAsXR8CZEYUxv09lSAg+zL2si1&#10;ZX/IkbZxyvQgQJM0O84WoZIgMjF0+bGxAhxLEJXuKUtEtEGbvnUt8LCvSR3JH0saR/vVGcetlDJy&#10;CEaId5O4mMlscjRAZK15wfUh1rxM6Du24titfVlBeSZf1/pZtWP1pAwRUmNTAKOx4X5Ero9kWpsw&#10;MsfcE6JXiGtigYmPL2JC9Rn2YXopE2ZXyw7i173Mrnvh1XbXc+rQeh8mn+aQ6uAtMGRbArDF5C5d&#10;PiJz7Wj2Czu6gMtJCxoMibgl2xDzAED2epL6EP6r/YI48axwKVDMSNXasR9Spp8O0mlEs3bJPTXX&#10;Y5s8MLPQ/DQSovmqkaopUTilA2ycDlEdyP3MSLrRe0JMmH9MLSBB/MYjtKGFUt9RWHAyHZ8UJrlO&#10;vLaVoGGwNJKzE1XOIKTe532JSRR4tVZoW4Cl2QQfsLcvX5kbVlVZY2VJzEsmzNu33xreur06zB0/&#10;l8n03vDBBx9e6q5dflXg3LQTJC+CFPCK9qQ9vLo0NWwoN90ERAdyLCZAYATMwJ3Idb6YCTH7Attn&#10;5LHfWB7eXFdfwjnlnanM2QsxrENFnFr4s9k352IiUwRngotZFzi3IGHiR15aj2aji5fPrgx3VBj8&#10;kysHw8aiwsNFgGD67Lv7nWuQUzHp52ISm0q9OJLm2ZL9Zbi3OdZRoFXpRy+O5YNjTvhYOf/b0tLe&#10;UXeKpfn9geauFzKrzurzR8OqfXkXYuipHRtaEw0jWn8igcsXpu+tSXDW2h+buLUHayo1dk2FmbMf&#10;Io4uMoAn+Lbx5m1peVdUQYeo0GP9zpxLW0JAF7PZW709vCQT3PSp5kR5FdBAvwhtJyK8F66wUtI9&#10;Zwx307z46FDE9P3tRIfO2Y8l06o+m9Ma+V51AqiCF/O4hpbV2UQXxolZchGiLoTeVBTxlvYYjB6j&#10;pEc6k2ePgSA1P9NcfQUqdtBNyCGMMMKtGZZevPWZTw03BD9USsEqwnPWlDW+pPqd0Dt2LR3kYyta&#10;oo6qfn9GNObxi4Ph4ZaqOcGIqsWaaVjhqO9H6ClTeMdIONBN3027V2nRv0t0iiPGxwitIXjpk2/d&#10;Ur6mAtcwexYNQRQI3QxtwbrBBxQ/6IIEboPG+AjC4DCCLMKA/p1hwhUT3FuXkCP8u6XV3YRuujpH&#10;4j65kut/44WYI4ItdzZN1nOjzeN/KgE+hDakGbJD1JgJ8MjH8t4w7JdhQB0KzmbTobkZVm6sVfo+&#10;Xgeh/RgYVB0sUiILrW9iTqv73XGgmYzRmMtK4vfLQtsmhmaKNb9iSe0MZg7lZRkZRN2ehTO+HxAC&#10;PuZQmrGEAYwaWr03g2jTaziwmRGAYoJT/7zeS5piiEHGixSVjcnehPFkQvn1+fB/RFyPEy7PbZxh&#10;4LJmmc3MvRYiSrqtFRRdnRyExgB5loTVZ4qGI9UAAjRT4eQonrRRAaUOJd2T1A+Amujaf8lKDXLj&#10;XrROzjVoPhTUTQBOCgF4Z/QaSRVgpjgwTmsjPekNCisnEITi0BCihSqrhznuSOHXRJ45D45dMPEs&#10;tu7zF9DTPLPSGazFKRoSA+d/9KmnwxvSvjCdnK8xhw+G+a99dZj/uor97qwNL7ZvKp9LWhsm6Trv&#10;hgPDCgyNCFfPm/Yyaez7b6y+P/yoyqEcqnO8BQ2SsxGELOFGEADflEmQyNq3ORZMyKouImb5TSHq&#10;P/+OiizrAwj9+VmSlNuEPOZSosHojNBubVpTpOqry9vDX11WcAgCCCXj3tDa0Hr0CCtuJqoIWsAL&#10;hEKNSBU5+Vsv5oevqJceQSw9fuNTBEmoY2nbxrnssgtR6xep+69+8nT4k68ILo6klaGNiHJTK/W3&#10;PrwYfvMHewoSidSe8nfZP2qrpgYo/RITMDMKo+CTHot2cijz/J/YeDH8+dcxvaYjvZejgCSmRnI6&#10;Wp81uYpOhhWFcXCGuu/pA3QgC8UXqAWwAj+gkKrxkrMiv0yfo5U8PFkZ/m/PFCEM7KHF6gyt/ZVM&#10;j7bBAACA/38LUAB6AAD/9ElEQVQc8HFBhBv+7I9CU5SMdU63c3FL8iTnpeXa91VIPuKgT+myMF9k&#10;swS8VMvhDBIMl5Jj8dVhbv251w6Hm4LnQ9kB8Y/OKGr5fEb+XVWzQSUyTYeu6OxtBZKJ+rMq2fcL&#10;6xfD39paGb53uKgk/BTO7zkRkFXT8p4TBOicSygAASbQWjCdilJtQmza1dfZvMy8p4a/ePv+8MZV&#10;Gtoyjs5bB9dUif0OzMHxtQ9YSxhTkoZLFjrlJdYraJnzGBGS6sxPTpJLCd6cnqo0G4JY3c/1x8KH&#10;33gqQU9l4ig+4niIIq4xh9qGlI3yXpnj16FAOIpo+ls0PQCmTKX+DqmHCaJKS9Ic819ieGmeFgAv&#10;ETZjsq6MOUb9FHT15rQElMMopleMofhCNq65WF0XptQcpJnaBMnq8c1Nezb1tzXi0jQ57MKVbAXz&#10;KGnWa8z4ngLL6ef6NR/2Hmaqnnf55bwPnmaP1/tSnxdDrYvq4HQtWAYwlOnTAIEUOAJM7zBnmfLe&#10;8EGQNZPI+UagycETTPB45o3h4XBnWHhzb/hFSfZXVUKLGpIO5zcTCwJjnjqUtP/RvQfSXsq0A7Mq&#10;ASnRoRFcOjHZkXIEaug5c4pKW1kRsHKBqnlQU3hJqQqzM0vDyrzq5YhgUhmFIA2Hjk8ryVu/Byqx&#10;RfDOrJgZPq/NTZU60+v4Tups+hR13ac+9enhyvoV5Y7pGWrJs6RamvQgvFjeHx5NHYmJRJvFT2DG&#10;//zx8HtqMUTR6GMRdA9Z4/Y5cZoEEHRXbWpJzs2r24GY1uHzneGxmPOeEN2h80sbyV8UUUbKja8E&#10;yRlfbxiddVyCynTfs0NV+NcD93Z3XJOTSOs2SyV6zqTSjPfa9Rvyk90wY5lTdOsrS+osvixhAQlY&#10;TJGq+p6jaRnZ09pL1W+dk5a0t/lsmHp+b9iYPhx+uLsgs+mMIkTDkPgZYwNM5OAcgdl8F80bxp9G&#10;yvIpPro3/EAJ0UeqizojqsIeU/rz4aN5mWXXh1URZdbqHEf2tCw8CTarvQTPLLyUCY9gK5LTCbBQ&#10;MNP76oKBpoVlzmkWIkSdDG9GJOaFX1aZId5DNDMYJIxx77nJlH12hkm9dpqD3lZ3JF8HyFJrkyXL&#10;lTs8EAPeVHcGB0CRxI/fVnMEV4g6VNpoAETvjzQgFVpsaSJQTR9jFgVVt8S8gddjktcuwSmugORp&#10;xgTLHnWfQcZ1BRffgDaWAt8pu1dEnHZQuuLxvecqCQY8Y2rlDNDeE83M9M71udHRZsyaAsxZ+/F0&#10;UxqbOLvphBlbmLFRuQgbvj2nSpWp1kvWd22BsRJkOlazxbIEvGre1ICVfKUAri2XqDmCUfMc6pla&#10;zeXZ3Yw8sAGOIMi5oweXMKyvK1rq88VMjxUBuiLtW9YUM2l8w2L8XgMtrvTZkYQ4ysmdiPknVzrz&#10;48eBMd2ywwnoLKwQrdvWGAGK6Pt+E98Q005B4CYzaX2T+ouME8koZ95EORDju0N7M06N2JqfP7YE&#10;nUW3up2rGbskB55pBlROe8byoBnTMRVcX+JN8RtvQo/VhKUEg3zuC2uuddj5PMyj/WsxIRpEa8SJ&#10;5tgrZr7Rfjyob2gmHSZZ2DjuTJDTv82v+jnFkBMUU+bIuh1pzRFm0h5IuE4h6n6mcbN4X87KP3Uu&#10;hI5/f39x+OWnV4bDD5Uwq/2cuXgxPFX7Fy42MbZ2ItORQvHXxBxXFfm2pWK005JyKQw8S+FmCHyZ&#10;aow0uvdUZqgZ+vnpHz4yQtZ/5lOSPFUGjP5oULVp5TphdbD9f9jwHicYQASeNkcyb/zg3feGb377&#10;nsZctq/hFQWB3LxGmx+6hMc8x1w7SfyVV18Z/vwv/Tlrc4fyH9GtID6uqeHxoLJJxWDSQ08aonL0&#10;fvfzXxjeF8G+cyuRaiYKIJz+pf9hWoV1w09MShAlkrnnhOkrJOlrGqckzv/UXxouXvqUCJC02Qjw&#10;lmANr1VEwHANcmMKgpk8fTjc2v3d4Yk+JxpyXqGFbWkxMYA6az7LKqb8Z//sn1TnBbUdcvse+XV0&#10;Bl/WWXRndJK+O8pyTsSP9wT+HMk39Vsf/PawuDU3/OW5Hwz3HuqcRa1XFSiEuTbRfbFfGAjLD9Xp&#10;KcZVzQ9BiDQRqqNedbcM+ZL5XARpFeeYiN362sZw8+YNUdn0cbPpGriGmREVq/swmQU2QxcSJcj3&#10;6nNHB3KQWPu3dazGtCJmS9IqKbKzIPUP/Zui5ODjxrI4ztqd4eD6j5PrMpwKpuYUmXoqtXtW5tBT&#10;ab4XaBYeG+IKEeQ8/VBZPLCAyLd2qq4K6lu4eK68zf3Z4dOry2o39P5wps4Inh/MrwKKeF9WQX9H&#10;VLUFxmKOLv6t/dpXybPnz9FLLzPBCiBpiw1bXVqxyQRCpSZnQaAKBbiUmv6lf6IYtWDkqqStHeHH&#10;POZaMf0j4RPKLikTB+riji90XhWd2KdDmXZPBS9Ly2E6qwv6S8CYPkfTDUmoICib9KMN3rp1a1hX&#10;/U/7ycc5kcaSPpHQBnJP/RomZgYeegH+stdbM8fD94UjZxLWiKRxT0Sl5mjTNXdOUnPVLzmzZ1tq&#10;fHukVlfyuVMflaLoKINonQg2vdcW7/Uc8nanVBKNuqFofbjlSH+e0fXgFX7SPRWS39sX7JTgAR3j&#10;pzrLhxgaCIsxTWQIvguphgAArCb8xbZaoptIAqipydkzEvnGsEzT27a18px6mAHJzwhj47LOdWvm&#10;aZ7d9Jx5RMkYPwyzC4NsE22e2Zpaz6XuAQdqTW2BDXOtcQDeetP7YuZV0g0Pb6Lr+wqhwtAmz3Lg&#10;UH1mR/LoTx0X08uaML3ase6mkFWZlfak/TzPy3SZvzxXqr4BEI07j23T4+hD8rnViKZGfpgFl391&#10;b2r4xkd3BXRVAs0MwAsdfZG8hVAuSJOjyPKZAHhp6boo0jWfmX0bmBuw3xP0IuayvHo1odx6EL6f&#10;jeXD4YP3viXTliRXjUE7mzaXeutYg7WgaHxIkmiG77//vqYCZC9Jy5hS3t81PW7dhILuBdbwTDjo&#10;JXeiOc4Ov/M7X5SPb8sEe5RyzWALNrQemN+KmApRd9/+/veV6Lwy/NzP/bwZECHeAHy0MSEURIhc&#10;Lb0nj21FRPZdBdH8yy98cbiq7uwLMi+C3C9u/tjw4GxtOPvOd6UhqFSXkR7nUbacuQZO0nqM/YSh&#10;fPPb3xJB2h5+6qc+Kz9l/F2JaFOJLCJXdS0MDXh/cO+j4XuKWoRpkCqQSLxYdoAzBBfOGi3G9R99&#10;ryIlldJwKKa9dOX6sH/y4fDym28Pz9XpYkrCSgtF7d5I4EISp9uqA+y5+/y8THyKTFX68XBjUWb0&#10;DpXUPWiVSOhTb/zR4U9+8o6K6kiD13pZd7dbSrh9an9a6GHutc+pYXk+fP+737MGdVW1T+U6VQCI&#10;xhZBPJapEmEKHLW7SgxghfzKn/6fyD/0pqv4HFcUpoNr0FSgMzyr0BM49XlWUn3n4Jk1WiiZlqC2&#10;MHz6e98evvW1ryjP8EjC3+JwQ6EXjn0oWhjBzUdpXDKDNN6E3B0qaOP27VeHz1y7PRzvbVeQzSTn&#10;LwFiydvlLG9cvz7cuXPLZu4FmeSXRKwxvdtqwBkWQ2zXCY/d1fnuFJK3/964yJ5r5bgRnslq8odf&#10;+sLwS3N3hyvCH8kTslacDZ98463hsawKdN1wH9HWMjV/4OrVl18e/sTP/zH3W6Rno61itmbENRLy&#10;huUndMX0AjpTvIRPXf1JwH9Q9MYNrA3/glUEuNxhn+a2BIYn3/ji8Genv2NLA5sKs26Fg56QoM+h&#10;tEjcGeljCRxI66R4heDOOmgxYs9Ge0bVoqM93SihlDX9+I+p+7xxsUx1RBXhyC2eVWR4ZF9hLjnj&#10;RL45ujDxoSwGddsmUV1BCHL/1JqL9PbnzSIvaSS6wozOTLAt68Vq2VT7BEPA2zTpd+yj+UkxcQN4&#10;yHwCMwKg4UsTrTKPitkzs6mxR27BDXE+R4MLO4tfKL9ebWlSY+COn1WHm5ubruQ+zzUTisW5P6hJ&#10;9ue+tHe9bvvYpRObdsYL/bI1xocUCMzWaJ2W1EuDLwTtdZDis304NXztkaQ0EZnjSihOfs7kJMdw&#10;bcyu8hdyXpQrmhMxXFAODoQh4dIpV4YfZaYIOFFxSG1TArKdzcfDs8ckCietI4EcOWtPV8+FAJko&#10;mulE8qUr96wqPkwtnA3LC/J/UJmFUEBdD6Mgx8ydpKlRKERCW6QvXXoJZiE5rnqS9yqpBrs7+/If&#10;prg0Zr4dPWvlXFGT+tvnmdlJmhfDol/fkRLyj5V4+4df+0Pv85rscNP2kc0N76qX3P3vfEsKEBpQ&#10;hdr6+dlTrwlCoLkjQZvAiOhtimEzPwJ+SJ+AKNING4aA1I1Zl3vJn4NZdoWYRIhW4Ek/R39ducO+&#10;sTBy4JSWNlCRY3WJeHr9zWHj7Z8bfkHXEpjkFk4aZ29P1W+05/heuzSbo76tJUjYkuDwXTGob3//&#10;XRVwptz7uRiUCBP1KQnkRBBYelkRgWtqBr81BjogCqEVLalXITQEvzJM2qZS7SmMCLigis/dDz5Q&#10;7zcCNvC3MT4mrZyj/axQcb21ZVR7d3f5M8O3X2ilD75mjeVEBByijvCBNYB9T9mv0KrWkq356PnU&#10;8mzzM3vM2pnP9yTk0Jfw0bMX8hGq+LJUExmtI8QDt605NK7o4xY+kdmOzqW13f7E8OkFCYvycXO+&#10;h8AaVg4CQfRj2NPfjY1rZoDFWWz2JgUGAefwQMFFoq17MBynBE1wpznwCOcMSs6lrQFwg+nhW99+&#10;b3h8vDQ8mFsb7pzpTLTuF+oteHD1zeEtJbBPUV+31sAfGBAwd+fOTcHapoRJIk/BOZojJ5I8EaWU&#10;LIx/1yZQ06JyfZWp175o9gqcBrcrbmSSdgOTw6d8rG4uimpWJOn7F1eH1y6eWj/EkuKjK0qBedTp&#10;IFgU9MIypaN7mSOUOVHpaI9ol4+mbw1X3/j0sK75I1TcUum61OwtTbCZi304pVKVq86kyWTDAJTo&#10;Q3wVJD8mKTwPM5MggAKiYi5fDM9cq15jbs1osCwP2mbVsCIuDdsymxkZSDE7ixal5ZSY4bu4LlMY&#10;mcHIbC4R/Lp9ZGrc0lGj3lwzoGagkUB66s1wJybNIKKRwDP35dHKTOXCYGMnb0aafWxJzYTfGz35&#10;3kjNEbpCTH3OVtXyxoX6yzzdvyBeX2WRLJF3aMwTLdoDjvP04vB9CILek1nz3pYCI5x/VBtZCbjj&#10;+qh8YclN66qapSl2rQYxMo2acJC6oCiQOQHx7NkNtcVZVekyou/WXDj43gf3lVD9QvN1DoGPaSIM&#10;oJ4FUUDQmLMxzcEY4zuhN9maetOsr1KMGCkwvlD2AMAn2OZcIemHMvHANGHEsVY0k+V8Mp6Xj8ZB&#10;gIeIzD5aH/PRd/tCximSe8UoOmoP0w576s7USJ+67sP7D4e7D54o0GVFphg9T2bXZzLXfrSlCin7&#10;CkqoogjNPHJs0RSsUeqX+dOihzQLd7kXM9iXyXJRv4f8isFDpNF6OONTEUPy82D8zeAjnQtmak1t&#10;Gen0hgZkCBtaMkxIhqfho6tvK5KTTgs0JmXNCXTakaZ4VU1tqfhvhmFhJLBKFPCzZ0+lmf/QGsE1&#10;RSVeaE8IAkEmYY2nmtC9xVclEOjM7NfFzxvTJ9/zfp+gJTR3jXFaVYJco7OI6UNVwiGCdEadEzD1&#10;EfkJaEZYDrrbraPrT+UD/f7J+vChrAUnSptJV3UEDnJfQ6g9buGnBeQSgm0WB94QvmAcWCCI6i1/&#10;JIUUCK768Stqnqs0EOOsGcuI9p6M/ZChGsWg9LGo9cHy+vBCxbN3nj+T71sat/CEc+U5J6X5Hug9&#10;aRonyqX88O5dMyAYDevAQuF8ySajIQwR8gtPmvaYlltQ4ZzQkFK95VDC2pOHqi+q/dxWrp7jTBC6&#10;Fm4NT87VfFnmaoZPqF0YEntGx/rHjwRrlI3TnGCAiYQWFFt4jRDSJmy+Yw5dcchdJbSPrTmm/F9M&#10;4uxTTO9trYuisyvrxr1HT4d76yrqLbrC+NYCwX+sTGZuuFmSBgFYnokfOV+/NEdcRc1L+Ht/gOmR&#10;5ykck3b9EZ1MtP7X3vpkNdcBgQwQ+dtSjIl3EeqY/kKUY9qPY9GSAwDJRIqJOpqtAHUk3/CvjJaL&#10;R75Yz/WWlALjrxnfFClMhDs5YOY6GTzfmDdmQI9fjNJkkY9NAxNU4Pn6f77YGDXyaDPdzK14RS7z&#10;9U5MqFvDJC7nA5qB5lEmVjCxEULGMbBfAzx1ql5VMc1sbiblPS1N8dI19VR/nWX0K86B/UpKQpRA&#10;xo2pIXIA18Tsgtg0Ye6YA6aGHz6V1iTmsbrQ88n4Rog6S/s6DMABdPs7RHxunT8Z/szpbwoAosVP&#10;AfRreswVAJyq/n8gSX56WJKf7J8puOFbyudapMN6nWtNUH/ymY+Qf/XXH0EwRGXeXJ0a/spPK+F2&#10;SaLhvLRCNBVMYkSWunt9OiH8yr/6yvDBR/LTySRqwsS2jgeU8fmvTXCslar88XENw5/4hCTHq/KP&#10;ntwS8ZfcD6yXW6Ar0oBvT6W5vao6kRid3p7ZHN5eFfN9qHqX31cDW2qgWpuGiZStzCakwOucpUqI&#10;dBK0YYJO4tb1VxXEc0f1Tre1J2cqmIAZcQaNSb93FQSBtNyg4g4OTmGIAGkiyBkXPHLeTtK3xA7x&#10;TE7moZ7zXMECKwqOAXcRBGDKJL8z5gHmajEw+4BgYBVlO6Mzff/9u+oZp8onckJdndtRwNKR4Ad/&#10;TELOXyjo6f3zDQsjFyKgKb8Fozy2NnsiGCAvEhPviW6aV9VpIvzojrIk3ySEEEYBsd5QOsaimAnu&#10;Y6yZBH+wNic7sHHaw8P5K8MP5dfaOnxmDTrrL03FcBzNhr3BNB5inN8wDv7EB+02Q8rVtB9O92Ku&#10;5/5VAm3MRCcWkuBW5mE+i8DGvutaoxqat9JTyI+jWIDcmtZgEUTOy7cWBkMSgSwyKuZwQLkhPQet&#10;yMKRNNouR8bcUUJsJoTZ1DqLovnEoc2Y2FvlYHpEUZt2a3JbOvNTweyJ9vHB8k0LF9NmXsELvfIe&#10;2XStOexLS3VXkYpEHmlWkaoOfIPxOZ/TZ40wQSuvMMExNFCfXTYVdxGAVi6c7+p6wWLQskqdyPRt&#10;zQ6ajiGCrbYyFjgwvGFQkfmds3CpQByy0CqLxfJFqo/gQzUOPlOOINSL3FasEVgH+FFn+ZxigMCP&#10;KA0HwtFaTmlJgJW5Q4ivmZSvb+Kf00+Jn1CdMjJ68h/7aU0RpM3SChiDupbsmVOZ9QAKbx6b0Uxs&#10;5FY5+MwGWTnMcmIaCNB2mA48yOVtWXrZVsNUGqBrHwLeI7NpCY/PuALJTVHG6i+2MuzLfAQBXSYC&#10;UYWCMcmtqEzXsojBsnxMvKZiyYqiE91LrClYzTpvSzPyxPI+e9jzygRTb7Wwr0yJfB4nfJmAjZER&#10;aEwOvOZIqJb3uLYH1kd3XyQKk5JIEVUishRm1N5AXPMZxk0GmBHBOlCVkQ/vqXgzloCag31zliYD&#10;ChwPeVXvncgkpMoRFENupt9+26zyUmQyAkOdpQmWtMzj3efD3d//x07O9/xgJkJ4iCw1Q4nO45yf&#10;PFZHAnxSRGl48Q2LTD+r8zk2IdRr5jQLgZPJau3e54crL3SeMnwxJ0u9EFFjXPaTrXhJkv1PqU9d&#10;lO85aalLw96zbZUo2/Jc6LvpVVkIY/+DBeyHI3nZHIpxw4SQsPUdifU/8+rq8HOfEfE8XLUUDFFx&#10;PU2ZYv/mB++qpZI0B7RRIJ4zLsTP2MEHz9HopHkojLF9yIAOps95CQi/9FPvKLhmWf4VmDGXoq1F&#10;s26tsAVLe+4KR16/vjr8sR/9hIk3RaXvTO0O6yK0EBYI6unS1eEzK3cMu5glHU0NbJyJkSMQsJ/k&#10;21EMQPfMixFTAu+H+n5bJtRt9elzr0Cdx4bMrTRFJRUDGJ8TE8ElQ0I21HBG5/JUYfHPdf3Brnxu&#10;Ukfd788aS0u5aA4pzOCuHcAMewVRZpYWHOKbpA0VkZLJm6vgM82XwArumZEAZ0OLfuWqjNbFL2AW&#10;66bNcxBo5vx0an3YIldShQRgdZwLZnyqDJL+Y61Vny3p9bY0bwoLcFZYA5y3pzm02ZQ1OX9Yn8Ok&#10;3Z63hDMUBh+3JnNq5jihl+THmZxoXISZU0XxKmFjeDi14cAtC8d1rzVnfIPaE8y0uARczcomz9BX&#10;00oEOhirgTqCREcLi9OPQT6YTdv1NHahr7k5+NJ8Rz/wGzNBAq4UHa69wuTJvDs9iVQq07PiDTbJ&#10;epkIPBhe+C68CbxZ1OtnM1eG3VPhj7RA9ojavq5y5KIVlSdoi5yJJNoHGkwIRCYXQtSGS08XaShz&#10;86b70nrP6ZsJerz63PS6pK4JXe07agRsxlYx89xitPGhxPSaz4s55HyLWVyagcfvTQ1B4CNvYjHR&#10;Xlruj2QXmljaJm/Ljul1cjgmyLUbupEq+3/45d8fvvK1r7ucE8EXSLkr8mXQM4sovCtrKzadEcG3&#10;Ia0CTYyebu984lNjjcda/OSP9zZAZaLFv0CcAkRU8FnvHVAgHxL2elclVPAICIu0Py+thaTpWXEc&#10;Qr13FQ1FYneWl82fAHBMX2gBz/ZU6UNAIbfLx89zvG8CiHwEsM8qMGRRhH92lgK+s/JVMHw0WHq7&#10;dUk1tAhi2RxKb4IPMagtLwLSkFbSi8+5JdkIXlqTiDbE4+4L4EEXICHCaO2bxW8koBf4QGieql3L&#10;uYiZu2ZfYnQ5+yzSDLB2PjDCHqIRKUDm2/eHeTFDzo+0EAuNoZEj0YOWqymFc9T4HmsptSS/vnVd&#10;M1qNSYt16jnkkPEvYBVtHZ2QAtcU9yX8ned43Trfh1/+jeG73ztQNCTBc3weg++ZKO9HD6/qThVD&#10;g8HXWvD5Fl+3tt4F0XuNnfJggQR3Bg9Cy/vOv3CAyxLWC0zDggVeO3zdBC6iY0yAmFshMlPDSzp7&#10;ZazYpOT2UwqwePOqhDuINtz99Mnw1r66P7D9dB6BIYnwjjVf8bebEXJ2BIWIKYjsHU3/tAKKVONV&#10;GhEmLzT8q4vyQ8nuhakV4kb3KmQR/M4ENKKBPDpfUBqCpHsxG/DjWJomOanO5UTTNiHlmcmt61xa&#10;190sWHN7poKLYIp23Gcv7VSH+xf+/C8O15cVhSnhhkKGqKWzroBTQWoa170MOUeEGgLD9HftxqeH&#10;NfnezmSShHvD2JIMHsHk4DBa56acqkQZg61ogZxvl3drq5v/ou3w7GJAFoqtLGT+jBuFodag+Vnz&#10;tERKsQYiRM+HTfnxn51RSgwGGfoGEHUbLRwdpxJgopHT0QUkgI5D3yfFOhrueN6ECYKy7J9gCKsP&#10;QgZzK17QONmKV3Aj6Ta2bPBswfoRsK8bYyUI/pGC47gU8N+yNDQlXTvmFUBD6U0iYfk5FRw/HNai&#10;2XJOQoADMcBjWTmAD36kCYa9FdsrQIHwYl6KPTna0oTxmYiay4FR3jdTEI/RUmixwLBQzx1qwIXZ&#10;an8QjY0b68+EgbFh5voxh3ZOh+/l0f40hCSFfYvQa8A2gY5SfjER+4E881JPaiwPhPTgcTPy5ddN&#10;hIErRlhSman3fvCD4a//H/9Tl4QykzTgRWNwdGSN7YguS5khKkhh/4N/998e/tr/+H9YT2rWWntq&#10;psc29I4YauzM/ebXvzp89RvfMMIcKGLu+XMFHeCn24nUDhm59iO3hs/L3HSuPLe9zafDTyw8G26v&#10;C2BbhDcjzDPCYHOEK7KTU+QAYmSTkKgMzXCT2wWj5bVMhXa0p+gxOXcXgsY7F8+Ga8cPh2WqnNQB&#10;oVXY2qfxXcIK5qQPjp6p/5kQj/c+H8YqQtM5atnvOotCLOdpabC5+d3hxqwQ01qL1kBuHmvgvWB6&#10;RT6EAxEjpFdKkGHqHU1ePucyx/hlnwtzZQCZbSRQzMr0tkB2u+6dVwWYKRihKDAaEoRXSJN1ag2U&#10;YmK+MELmMKPzoKcgRI6k8VwYxIQMGPb0MfyUEPb+Ycmu9IF2J+TcPTwf7srn6QooUimAB3qkIQlv&#10;qWTJWEmIcSwohqBGkBMsunyaH22ESQUbXhIpSKZ+5vjDH3wwrMq8GQNB+fkJekC0IMDF9yeeA6YP&#10;8WEJ1uzReoAjfU607skG0na+BNzckBlGxRljYbBsZySKtmIerl2RNQEGND+l3E+1wDI8yqLChJ8q&#10;GGVNB4vp7lj7yhDsAaGNBEcg+KD1PD1RWysFQU2TIgRVQLOFScAw0CyKKcRFgEE/C2vK59MpPzxf&#10;GadZgyZN5SJC9H/mzWVVYSFVhlvjy7JeQsAQQTXCFyKT+Us+HoKbn6v350ik1kpjtSD/lW4bF/w9&#10;3LSv6m997sNhR0wcWIIJtl8ueMFDI8CGUUWM7KR5d+6hCTfMpGG+wM+mbp+p4El+79c++5nhj/2J&#10;1yQoTg2vz92JcFFFLIyzdqsQfXky/IPPfUW+8vRsTGUiaFyYxyTtK3tpVxpMuokzjMgTthhlmPUx&#10;eCngPqOEobamiALleqjy6REQc2V9zXcqDstBe9xquKu1z5uxFb1FuAFANH/oPPh3cKG6vqdIazLn&#10;IphrPmja+Ka7pRY1agwO7pE3zr6xp5gTkga/l0w5Jr6NY/oLYERboxN6M5tIvyPLspYQNlS0wRvW&#10;vppuxFvnHGk1PDAgYELCG43AZvo5CQcJjOd7HPh1LEUAM0KIRRicry5GMHEYXda8AlB+fDNRjyJn&#10;sRIw/+E//43hyfaeupFf8fx6DqOAkCeM8+KRJFgDXkciYq3ljatrbZQt9PwKfjQgkXLvv/vu8L/9&#10;3/0NSYsgdPb5glwhmG5J/hBQHO+/KwQlkm1YXB/+3dfmhr+2IanHc899kfo0Y53nnA717s7i8Gzp&#10;5vD2a/vDhvxQr736Unw53n4AmyodItAVmo10jSmNFAF26bs/OBs+kHj+oxd3ZR7GlBOTBIuHCGLS&#10;wIw6ozSEV998Q/lWMq8QhAEhllBw585Lwxuvv+ZWO8tirAuqNUX1GEwwXcuQQAVyol6eORiuzsjf&#10;RgTn08fD9rMHbjjrpGmHTiv3SRhz48aNYU/loEAmziQRkgEkCyz2mSBRt8k/Jd8c0TpzqMhQBUBA&#10;v0TAzjQ+LXNIKObqsniVsFWIybM1vFqaDYcyyW3tLQ4r5LgWo3WwGPBXTKWPoieFZE/R8DlFv0LI&#10;X5LP84qQ9lC3KdXL82adJgAKYthTBOo8fkDOyAKYPWQGHmt0DZC5VYw1gQ42p1FZw5I5Wo4SpmVK&#10;lXvOSePs3ykatPb/WEw4DQPIb8s47LH5nOY1q3sXCUwibUFS+4rCz5G2s2+6BupSjFKRLcYRzM0m&#10;qDaFSp+VkOHmGLqODLhHSt/4SNrQqVIJduW3OZcGuLKuwCXdJGXAfAQTacz2PJ8O7greUDL6sfIS&#10;yXfFnJe0i9AFayfeo8a2pkElOBf+Jkq5fyIghkALdqQtPfrKv1ANUuESiedoOJqL3Hyjidu0pxkA&#10;c63n+yMECC3UudgdZKQP8T8iaBxPLw6Pnr5kfCANodNdDLLlYmhaDW+JtoZgkRm3ObOZS2IxS3HB&#10;2oOvGWaheykE8cP7T8TkKAX3kFmYuUVYzF9M7YrtcmAUWtRkpyAfJUQXXTRc20xaQl523vdMxIyi&#10;Z4a7bDh1i02ETI+KEQrAnIOrZy4oVeRP/pW/LPgDhyNVdwca+/CxQpjnQMjNAKKIGLL5LGU8P6Uo&#10;b3CICOZ/9MWvDe/fux/hrs7KaYc+a/5vgYMFZuBcY07hzavtDtf2dTwYYppr3frDCcgFSN7UepoH&#10;88p7yBow28v/i27mZoYF2XqmSLN1FM73MjNlugzccw20efu9By1pR8uzq9iXs6Cao19mjNHfmSV7&#10;DyxN1jgmOPrfCyHq73/la2JOCvP2FtVR44NinJxH7VcYgjVqB74p7NgJ0GFGdXs9P9Jr9oP7LTrb&#10;5/XLf+9Xhg8fq2ebcqEs6XIdScaeZ/w5NtsRSk1EmSqrqINMGuZ6MwO4UTBrvaxH73/jw7nhhy+U&#10;QCvR+kgh6d/4+jdt0gXILGn2hGrLuiIQZjUqwBBJeetlSZbHyzICinnaYZOqHvy6XKPW/WL5FVWg&#10;eXNYuiqbvPxH1ji1L594+/VhQxLf1taGzwezZ3cScO6WtZggCxL3gXys1A/8w698Q0RyfXhz53sO&#10;3DAFEnHYu/PO8JPKT/tzYuguq6b78UMZQXQJ5rNOOm+BIKkRmD/VKFUJvUtTO8OTB/eH04fvDuvq&#10;H8c6IKttlQckbNqxVhO/AoIg0uanPv3jw9YTEWI12TV0ebtjHuZ0bY4rpDKB07qW1OssVXmUHqDz&#10;XFPhAfKI5zQorWF80Ppd0zo/cWt92HyuN8rrc3Fx3UchgO50YWjUfvGdTYDAsN7zi8Zw9SqRpiEK&#10;d1Q8mTkcS9NRP2J3RXc4uijtgVRsqqosiJmvaI0EblJKzKHptd3rCrA4FTNk/1/SWOUJca3rtsg4&#10;ErGYH6TBghGFlBFcuI6UnMKZXRUUf/9DlcNTdxDuo2DA51TW7c9ek5BAxRbgnOcZfcKIMClv7dEC&#10;Kowy+XYVFNdobrM5h1XUhvnwzybCIGtoXBEG4z30DMafjnM/0DySUhbmY8ZTz4nLgrrSOe8+srZq&#10;sBczrNl0LXObV14pVqN53bt1MWcN/0Qm0+SUliWOsy16azqFRc7VX2odRk/2EkYVIHElG0OrqYvn&#10;7uhcol11gM8ffTR8618Jx+PuJG0uJn6tFeEERU8yy/BcgLdzIaGVuq7sBfhjhhS6NFa9qvm1la8p&#10;X54fXtF0jmcw05Gue89zlt55wZFzNLXnm6qa9C9/7f8rw7/WO7rJEoE+Q25nC+UiMLNqIUZMBkU5&#10;qN5k4YKUG32+cKqSgMJt0sdOD9QlBfwTzLVbhJia8CY9Hw3DAkZxUX9awNE021J+I7aIpss/gRAA&#10;JUtG2hi5YG1DKHUdCoBYgJcjqrMCQDIx805gyubWMLT01soYloGsS4f5uD1jfRemOJFBPJ61rMlB&#10;RGqZSEk1MV/TU80qa1jvQZ5N5CHFle8pbBjNKBJYSUZ9TzGN4BbjxBQFMDENTD3sdfMWX1dIVCAx&#10;/qFn270PPxo+/3tfVudk+bnKnDa5O0hvBg2h05xIzg6DGYaXV8tswQQI0qjn4FCe1Rzub8+qTJj2&#10;Q9BPX7ZnzzdHpp89a/jIjgG8riPIN5g33ZxSWtKB8vGYmyDNjzLhywZyrkQR3r9Yc/85nntE41ZJ&#10;myc6i69IoCAM3E53rjcsxv+UKD6GCdqgEbLvT549k89zSUmvLykY4n2VtFLIueZ3ImbywcyNYWHr&#10;xXBxGG2ChPdjhRY6ZwxGZCSOxpSOJwE4GO+i6rctSmP9QFVG7j0Hge4MvzD1riI5Kw2DPTbSBzZM&#10;OLO11uAOr7w+3PmRPzP8vASlY6kJVHMhp5AoO/8V8wbBuziwzcsEVMncTWL/UyU0byjlgNqJaBxu&#10;S1TyEr61g+Vbw1s/8ueGBVUvcRSdJmJTp9bGnuLjwtTGMzoIpFvyAEtYCx6rU7sbpNoMHRMRqyOQ&#10;aBYGiJZVQU5okAg70yJOxN7SqQAiCQrLijkoR95MERnErp+SVdxcRgyTnU6vO43hmp15T5SqwQVa&#10;gijuvZRmKF/7tJjD6tq6A8l42GNFaj49UhUfTY7xXG/U9CFwRkAW53wsawShRU2kXbSDa6EVzMe1&#10;twJbKVXWmoPBYaSDnqPhN/BI/ikaJtIBPmK6ICQUP4ySG329kUKWmzIV8FnzWP+FsUL+cqRS8SMk&#10;EryxpXv2Kh0CgGJYhPYzTJzNZMKl/V0XxwiTZSOKwobohHTzVQsLzLeE0QtJHkdihkeFm+w/vnPm&#10;pABrm5lZ+8m0CkiozJm7y1hDMaHyb1HTwoPgeJHYTKCUFNNRa2fcMQHm8i6W4FE0rGhT84FDBRI9&#10;+uGHqtyDMB448zo1DzQ5/sLAPXLhodfM3rHukOywBu7R+h8Jn6nxm4L/gUdcJrWxpdmB0TVfWEVr&#10;m2YsXjz6SaRXaxcWCtgErgWq4pT3ZDKH/z8/zDgP9t6yZzzUTDDvs8t5n83nQCvCrYiYxy/zS86n&#10;WOL44GJqI0Bn/mF2xSjNEGuu3J/THaWXeuMJ8A8i/J7Cw8kpQxP053VPZlz395j+mz0NMZp2NCk3&#10;EejiROEya6ZPlxiDpXhpL7pvafXK8Adf+t3hscyby9ICYUD9lIgB+SnB0IwpUXDSoLSwdWkUPAsk&#10;hID5BTPiWRKBfvvu1PDh9okqfChkng7emFc5vwoo6cObnD3ao9ZsxMSvgxlPTn8TXsqDRQpPUAXz&#10;ignjxdy6NEUINOWslAxOvU1Jv0dEaUGMea6ZEUSGKSaR3tK6nmXfin5mqucZ5dZmhBXPlC93E19O&#10;Dk3SqxrS7iiiTYIKWmqXOjP81ngt3WREPywwXASl6Qjn8/It1QdRV/I5JRJbkKkAmEi3NQKMgyH0&#10;yePlN4cPVE916vjA+0DFDSL7iPRbUFAUZuaNqxtOEgcOiPLDvE5j3ydPn4oBLCq4R0KM9oxqGOyA&#10;cV+PoxLZg+U3hrvP1e1B5jkHSBEcI8YWAUv+PsETOXprqmTD2klHcN9BCLksEB/pOSRfIy0rK81l&#10;pURrbPbkPmphgsdJkNfClHrgLn2kmkgIm5GQMScB4WJWdV/FsE4VGXQmyg7z3VXQiPdOk6UY99yF&#10;tP1jVYqRVUJhvZqDymOJAE+f7sqEWXhv3A9t5Yj39ihOMDMsyqSNoPuTKkb+x1Yxyck0l7ih0GG9&#10;wPdFvvIUWo5G2VOww5SCrqxVFE0yM7EpvJghMGTBZyJwB3iimRaY6X38+xYA6L6uW24I3QnQwCfM&#10;gXMm1nJ1QNZwgQG9WJJTr7Uq8ME0je+BEzRL3WMrgv6ideMDPNCz8AdC7Q1ZIW4+f1/biAgcl4XK&#10;Jk/wxtc21H6cdoWB8lmEP7dZ4lzxNasQqwuAY+7HYqO5UVzaeKa/bktFbp1z7nr8YmdNQ/lbPsgo&#10;F204hTdwqKw1TN0rQojq9fnMSx0xrQh3sdsFuUWfvVBXlTV81nVdt63C5Yp7YDo9pL1h9skT0MV7&#10;9pln8z8zTgpsK+XjMab0+Oszk9RMNnJnkgWRfoWjGCaVg8hGhij1iYRA1fbzMdIV5tDIMCmFlj2t&#10;n8lR+mnj22Z2sS2FdbGJkYIseZjZld+jgMiErQB4fFARpyALxBqEaUZVrM+bH83Cq6uw/2KZeZ61&#10;nWgl2QGjiSXA9z+4GzOpGUp+AhoTELAkZJNy7Z1kVBfI1f5cEYGaFZJ/6R/918OLD747rF5dL6d6&#10;8pRQ8yFSVCZZV8LyH0hDOHXH9TyvTQfWgPnxGYRYYi+y2UtSP+Bw/dbtYeOWolIF0ZheENnRTE+v&#10;pGzTH1Hx6itvrQ5f/M4Hw5eVFEypsZhasiL+FyGlfkBAHmnkx3JAaWjMRSTMKy1EUYLgGNIjpsVp&#10;EtoFCy/UZ498JwocMwP8fRauCQxoBOGZfl490Nwwz462S2J8SeC6CWjAfEQI/hE1KAXwd89X5PNQ&#10;ugaUvSWoIhJtTs9+9U9ZFHqNZjyxbMCw3IQXKgUueXK1F/prOSEyhQnL8dL6cP9cuYXyCSJdogV2&#10;3h0L21fiPUSVxGhXiBGBIVINc/d7SvK26Vm/686tLMIxSuBiVrMrw32VYjuQSYf4ThKojRdogbQ0&#10;0jOcbyYKAdP1exUjn5LwgQlpV8zosRgtC0TwWJUJjSAg20WM38F7pwdQNP2zf2FYfOsn1N9Rhcq1&#10;7we6gK7taHGHFM8umsBO+nxUr9bCl5i6zX1iyCsyqS3p77I26lgmzl//3JeGPzH1/vCz60oFAEfY&#10;bNSCsiRRuxNTLHDqCOs55eiBazDmAgbgy75RzoQi29ffGH7hx//M8MqDR8Ou8ifdJV1CFlVjIpBn&#10;L02AMUvb1xzXgwtS87mJIAwo2oEDV/T5ClXA9eOECv3nItZEOzs6kX0MLngvNB+b3PR5zOOxrEHQ&#10;ndDt+7NWa118ztj6e0L7rIMIYhb6yAWEkfOv7MotuCeqNJGu6bRTmwdZb9xh0gXkCN/eh3MJFpoE&#10;tVcxfTM3hAs0L5gzijraPfchcCFk0qUEM3SYYBSh1vriQwSY4l5os6dxJCTE/7PAXGdXQd1BTY+V&#10;/Y57LUqVK/l47y6UexrFJqXQJhoe+IU1zUxOgwHH3rcqXH7BnLi+Com7aIgc7LtEKBOtbCkqGxRj&#10;t9GgiE3mpt9MPDwlK4pRY8LYemFmNPrWUg/hwzpAy4RULCBRkioitscHWVxVXwh4qore40/oi6+z&#10;6h0Vs2zwHHYYWjYshJBfA0Gdd2t5XJO7w8RGDC9iGKmwxvJQceh+TLo3QhTTKS2FW8i3gQlysO1I&#10;r6E8n5Dtor/6W/w1fiDMbzrglRWZQ7U33/rqN4cv/ZNf0/vcU778kUBzRiqFN7yvPJeFRUnk7Qxn&#10;3FEy47FlqvT+5iyQflnjF7/7WObUnDDmR3cmEAOemVuWdK9yXYrkeOfa7PBbLoXUhCKIUVscQaIX&#10;VsjuL+tDWwE0+T/52U8N76wniRW7yjlRiJT5kl3+QE1Fd4eldKznQTIV/p3PfW349g4+r97BnFpg&#10;DwGMt3lOR4B5j2FUfFZn+8atK8OazKHH0k7elyqDWdDmVDOtnnidTi0mhohC4jo5Q3xdbvOVz1j5&#10;aWI28yKW8FUzbMx7+h6/VwQCghsuhidrt4dnCs6Yko0Gv4cbp2oMIv0WtNcw/IUZFe2FwOhw6ICx&#10;qvzRTTHa55ubNs2yN+TFsTpDOKZDCIP+t7V8fXgmonAuhufyYm2Wg8Fojpg68QsTMHOk/Z0lHL4i&#10;MNkG/KNEBzq/TONdUeqBcSi8N0QVs5iI3pNbPzG8d6Zcy69+3WbJPTHwQ+cBkhLBxaw9wimv2U6b&#10;eO1/Tam7rjFL7VfWdu/hE/VKlLZ64xPDT5wpytmVi0uLKqTFQoFmCdewKQ3hQo+Ad8RVU+iM78qE&#10;amp4cv1TCuJQzc2ra2JaSr6nIs7ysueTsmkqDq595nr2YJ6UIkc5czaqRiOBMf7FNHVmTpwdPrR3&#10;33vX856aktlf2v0Flg89c1bcwtGOLB+8uzQ3M9VRA9P3xAKgYXMtqFFaCreA4wT5kNY0JzxJv006&#10;xl/y8Rr+S6AuIS1m8BoPzYnzMLNvgb9xKYxmWVG3CFkOwCJFiedYUM8YLWR0UDEVm0iP2N8jX7Lo&#10;qNE0QmOsNhXrUDhj86LnVTDrPSClqwvRl7BVm2X0LsZjeDccpdiF/dkIE9pgoqIhEWPbKgcTTQRm&#10;o7hhRJ+hQWoUTPqOIRP8O6LZrgVqDJOXGmHnrM2hBuBLRC6CZ0F1q3kFeNZSMD+wCSzQklXUTlaA&#10;+cWRZ0j+0iqw1eOPIQk596YGpCuLV1FfiDJFYpEsYTr2fwKQTbt4jplsojsLDfx8fBzRemY1Bm15&#10;8CnMu2UOZiGK/JLPRz6bn0liLtKHJ52RWsMITS/C689z1MG63iM6JahRpcygbuZa6n/7C/vyUUOG&#10;iOZ2M340O+a1vnbFH77xIz82/M6v/9pwNK9K9wAvRMFO6ARQsNwzHQitOF3doKZj4gwAecXMOZvl&#10;qDE02Do3COpX33s+fFtAD1IioZ54YTGZ0lCVihbcfW/llqt3RNPKektmCL/z84IsY4PcOo2uzvHt&#10;9z4cNhchANrrlfVhbv3asKBcyUVFPLqIs9YxvyrG67NSeaSTP7TZ79xQmvG9kkJmPhj1cVOPXOBS&#10;YUCL9nRZsPPf//N/RgRd56LI0pNf/9bwlQ+eqQmrnBsMVoj+MS7uZxTQB/P89Ah8tdZivMDHay/d&#10;HK6ey7coLGTfmDOdryECMH8iWamev6MEcQo3I+6zz4x3LIZM8jtMkVQHHGczErMfPd/y97Pab0qv&#10;Pd+mnqYEk/PD4Yp+j8RxqYxPdBt+KHxuD9T9HYY0Ww2LXb/Ra0yovAzr/pv6jSLm0mBTYQTkZ8x0&#10;1abuJ1VKVt3bLszFdR8ZSm8OVeLuy9uLw0cffNUdB9zYdmIu8h41zAf0CuYKQC2A6be1GLf50r5B&#10;C2CGP3w6P7x4ZWF4aUr1PbnH5xogc84hkYyaY/ts2EsiQm0eL8A0A2HvVzeGe/I177x4ZjMlz7mm&#10;vN1PvfOGGrguCE9lonc+ZfmAIegVaNUaoquu6PNESBJoBOGMafftN16WEKQ8QZnxZ893hyvyfW+q&#10;jubWR98ZrqrLiul5LaEDgLyWZDAUYTdIt1wfpoPgwWVEmWoDrvyRXxr+0vJLw9NHj2wd4AwpsIHF&#10;YFdmUtJZ+IF5sbPWlqrjR/pa5tzd41HXIhSxVc4dFv17JD8wQgx5tisrYg80eYamED9AB4cSluZF&#10;IxFiYZYrayrkfVvCN05gTZpxDxGiEHaIdC1LXdJvom0n108M3Ro4gkXoWBebyN5W8+0iLMl9TNH+&#10;y/mQ1kD9WdPj7Ke168bTphumV6W4Gb2xRRZN4Xr+aU6Yd+0eNQ8P3ez6Bhq0TAYgNhM1Q8A0woVI&#10;TSG2JfDE4Wo6Eg4BwADse6pk8Xf+4W8IsR+Z8JKA3WbDvgZmhiS25ORn+UZEKH/upz87XLuyNCIX&#10;ENSlzrxXBrZmgkGyRw8+EoDExHOqqEYY0wO1/nnw4J7y6qR9qMbihkyNIMWTJw/Vg/PmcEttXVJF&#10;JXPPM0xJ9DoSeDNYcnpgpHQZgNOvqA7mowcP/Uz8RV3FIZQ7P60Ltnof7sE+JidtWRIqifPuCE0y&#10;r77Htp2ebxYDvG/McUGTJDLwQoiMff68tDt2ISWesu8NEDwTR3ukK1MUmznOBHSuTkJ4u9ZKCDy5&#10;VWe0lRGDPBHTouP4FPk5uj8mpDp7/gafx/VF4w4whnEw/7Phmz98rFYpmMHRUj6yL8GJymVerQIN&#10;NgGdy2LwaO7llPNqpu8nhDkVbb/0bM2r/DCW2GtP2cevfLAzrKkgwfLG7PC1p6quYVNVtMVLBzMq&#10;fn1G46rCSYDg8dndRoxx/vhPfnp4fU2mS/qg2VIBgrGKhGOfqMM9Id0/r3XvzF9X6DllsdJoF6JM&#10;8BCCIF3MwT4i3faPyCVT+oU+elkm3DdU4PccAVHXvaFu8GsqQEBeJE2MFwTHx3OLCvrRGgUIwIHN&#10;SMCJtstRwdK8Ff8m+AFQUteUJHxYB2Y1iBomUuMv+CfCtgITNPpGwHS5LeH5uzLpfv/RptIC0v5o&#10;DNEvQAsDDCUCL82XLmncMacnOrHrc/La+Xr6i3BMR/Yw0/z1Qoo7wJADCiVEGtYC14ZFLuW1xtlZ&#10;e1k9GNMEmmtWZFZBS6C4N8Ur0PSsuRaTM1pA23S/BYdq/QMuIxx4zkWk3SlEQjXlw07FNA7kb949&#10;2x2+8WRT8P3m8MeVLnFzZlcCT6KOjcNlmUyOZJZRSx0F78iZJcAijL76mWFz43VVjDl19Z6NdZ2z&#10;NLdraLZaj3154BF4YSEngjxKRxLgUxYv/q9ojY5iLYbPnh+efCaT0feY2tF3V0V/EOimZS4A94nG&#10;/Na3/mB49fBuOlW888eHP/r2koPeHHEu+mo3kBYQv100CXAQocrWCcbX5+y9WxWZxsZM20wR2mzG&#10;aR4TuudcYUz5BL0p9Wlnm9J3mXILEz5GcFv3mcGxvt5cxin4aPJnUlJCSgAHfCJJHkLIfmV4WUzC&#10;PyG8PI1BHapdzKBV3AsHKlgH9KQsOWGXtU2WCSSJ/HhH1crvPhqbt9pHSDRc2X4D+Jg7pod3FUDw&#10;VBrjsiSe115TVN3GWs6pACd5g5NdiAqOEDMz/CPl6b3/0f0QSw4CZlsE2Q59Nklz40DOZJ56KOZ4&#10;+87t4X/xP/+fDrevXUtTzlFUYzfCeIjgIyLtwb0PtCY5UhVh+FCMjxp4lAf7jV//nJH4tZfuBCDY&#10;WDOPmGWb4QePo8ewhzvVEeD69WvDukL307Ik0X8wwjYHhBZE2ODQORe05gtVfiHPsKzrDRs5C8wr&#10;fANS6C/Xg+Dz8u3MVSmoRNNhVqASQxET5gZB17UAcc460Z1hMllDm4njR20GRaWZmFoMOZhYNO6u&#10;OC2NlXGyX9C/Dbz03DSmgm94Fh0BjpQYnWouFRBjGGS/St37GOuF26LpZhwHGDE/nPeSmj/3L/+l&#10;tSMUrffVJ3BODANfT/sxAtne5DDz+l9IbUNQy5FBDM4VXw0S+Be//Wi4u5ZixDNrijy9sq6Apatq&#10;RbQhjVf9fbQP+FPWxH03lpXCojBt5+GZucQ/BoUkaKn9rbBP/E6n0tD4bkdC2om6a5yfHjp3c02+&#10;sCjtJK2n4/efnFoc9tUjD78ZMHoquCZVBK0UH5iSGixRQ33nFZjy+afLw9cON8RMY/5Ko166NCgi&#10;UbqpmWAhG6kK9p0LV3+wK5+ioi0FRZXO0adeMF24HCphTIsw5Ff8r0XlnJlTArQJ/J0nAld7RRfz&#10;RFZmAoYxTL9oIZiRIXS6/qgEnzAvXQoR9DQELxrrCUKH5oq5mM+PJFTf++5Ho+ZpAVSfN9E1CSka&#10;BxNZlJDrwg9YJywspBxZNIeCRX0Og0SjJCp5TrmjL73+hqq7XB9uqVh3L8MOlMZH0y5oQ+Zdbr1R&#10;cHQEpIU9Ne3deEua7KYEKQm7aOqib8/ECO5/RFEKwTUty5yulGjeFL4IM8qmh8awTuiXmWTRPuhu&#10;Clg3zQ7zIiKZurqU4cMCtKN6mh9+9HB4vH9FiszS8Jmbi8MLQQklxo7kAgL+YGxWYAiEQ3lwlI1w&#10;Xpqq+QH4AT3RHlJ1ifnQKBscAo5RHCyWQZ+99mwWW8X+zs2pqDtuByfncwJolZjnYw1kD8cO87AQ&#10;YCHI7R+fA++5TvsOFwAduM+/uv7KkmIGdqkCpQvcKCC+0JKQuYo5IUGWk1F3UvF8dMF5CdaVkruF&#10;M5LJ+CEKU55NA8tzqsaHXcaEWYzPB6X3+C4oxfNia9N1NtGEroiYuNVOAa2Rgj1q5lnj4Wz/bYXU&#10;f/u9j4ZFSUkhLNosoizRYAwTPUsczGqF8r3vuXfd6cOnw3ffvTu8euumHeoj8hpzU8dwS3P6u7/8&#10;94bvK7oQM6pNQdqPqOyYe2fdzNUAXL98hqnp6XMFZLhddWljhAghRWI+s9p0Nrzx2qsurbYvcxdM&#10;K74OQq55TpzB1uAAcu3ps5n1YVsFYFfkv4kTvCIlW0AwDS9ShI+D4rv+CIkv/ptmHpYSx6g2EJbw&#10;eIW5U9VGE0ljWt9d55B9NAMrZMtOZXzmYkkVQKL+owgr/cJcvaQII/c6IACYseMieynyrxJtCnoA&#10;IRtyDSclPpsMAUB5lp9pkwlIVmGChnY6fYtAianui+GcnBGpGsoTDSeRo/EfFbbU2H5XZ18r9fiB&#10;ofg7QJbf+OLXFUmZ3C7whb/EyrivmZSHWT3fHSFcWUepCdIe3JrHZniZ5WWSJzLU+UsitjMiOmmL&#10;BIPMvF5alE9v+7EanO6hu+mfmCCCHeozwg1/5Y+ikDR7eOGIBoJiYsmAIOCjTPksCgacywyu9JGj&#10;VWknpZXBgDQ3/HvXqyi1rXYci81ywmEx2vsK3afWaec1ToTpMJrRHmT8rAFKQDENGvcU2hITl5lR&#10;femiEbY0JJt+Gg1MJg8if6/IPz6r9ErghyUfyiFIoe+j+Ce8Tldz1VhHK1eH9w/mTIRdlUhfPn/4&#10;yAW0wTc0WBcu9608PAw3/qaU6KIlGPNy3Va7BhBoYhINnIeG8XYPcyLtd7S3D+/fHzb01zQNcEQQ&#10;NUUuMKshED5HXlXzthKtf6TUnKzdGp7PrKnPnSJ+nZSuZPbNF8OjJ09j2qRwdZlcOjDLDytGly1F&#10;I8efGRO0BU13HSkarM8Lg0xPfRVaP+ZU9kBjUUuT521IQThfeGV4pqhy0sCWJM0epkqEn3mg9Yt8&#10;lXk85lkC0yx4l3vIhQo4H80dK5oVFN3OWsAHcIrqTgmmSb3cBcElZ0Ygmrs94FO2awjNNidHy6RZ&#10;4c+sXC0u/Kc8WXd2kQTn3pCcmwQUIpX5R4gmOcsWhnHVyRf8C9feVvT4gSpu0WotDY5VwIGaa+G0&#10;PhrMniR9x9piYKsybCFVluyEdF02w8QmeuUP1IV5V0R4gfxBrh0JHAuG+FUZIY30TCH/Hqe0RNrH&#10;tCZngmR4LTG1CD0b/fzp8+FzX/wDb5LV8/KLpMxbmR0rAIXr9xURR/80AJ9oP8/fVD0Jm9Zta60w&#10;rL//D//Z8IMPH7jQNY8liMRFL4roB6EiaaW7uHwdUt3vSVtcU+dlFEmYScyV2S8Otf0in/jEW/7c&#10;JEeEx4UQpDmsvvoJa08wa2tkWp87B6iSxOuea+aATR/fChX+6eWXTQtAQVyCAGiC5HXJjHYm7YCA&#10;i+IB+FeO8DVhTgFYedTGS8OqhgJow/FAKhvWMjbPLuROcfQQBqc1eC2SlEW2CYXmjF3lpe7hfuNw&#10;EUsHUmAq0r8jGnRClHxenF3Gbo3fzy4CxOs4/mPacxFmTkKE48hFBUUw2R9ppPiPfB/PhF7AhYux&#10;Z0UR5GzCi5JZ62smqTmVv4VoVtdsShakt9sSKX4uzqU1Z3LrkJSlgQ0X5EzyaBu3LZKq+bf3EeGZ&#10;LWAM3JYm5pr+n3ptarilDGXPHWsNNVaZnq1dIa4OkClmY98sZnTtmfkDRDiH4b2GST9X+5hbSvFY&#10;EhM8FfGiE/v21pZgZ3+4uSrzlS4+Yf7co7ERZh8fq4YltIEzKqJm36e3JoKPJ+X9A1zKNlHXNrE1&#10;/o9zxZTdggj+ytnhzmd/YbilRPv0LwzMUVP2f/nja8O/pyg+fJF0U5hWMMqy/LHTclqR8kK0ItHG&#10;M6rjtjsnH6mI4J46v8PAHmzKX/di2/PEROzUCJhbczTO3YwU32F8pSdCQGs3WpNzkXUNyffuesGS&#10;Cx7tb+NXBF3xyKKJh8MOtEdqrS0Y4dE5swKjhibDIbOq7zJuvt278vKwLYHY7aYwF2vOz5RjSj9L&#10;a308o+CTF10D1jAI7hDIw1khoGs9aFJWJJTK0fEOjb9eS02mLXNerwALfygMHgY8v6ZcEDHmbVVw&#10;Old8hWkd+8jRa18RtLsQNlHJgdOKTNbemS5qsa5+Q3+tWj/+uDaLshfdwBftlTmcqbRZopxtArOA&#10;CEw6UFL4tfTqp4aVT/+sLDFXrOIdyS1la6EZXYpzgOqcI+O7TYFBK0KMsk6l254reE+l2KDPZQ91&#10;xRhLaQAzD68d70PtXJkQkiAk9mg4dCczkHOxJTvrB3v4huJnCLLKlm0QRBpjsjAPAR5RR2JOSCtQ&#10;oXlJyCvk3JXTF8SekrQ8KNpvRkVeSRkg2GJBjOlrX/7K8ODpMwe8gIzWovQsE0aiHzkEm2kjCW0J&#10;6UG0OTEafH43N65Iipa6jcSkuTpSURQEh/AHivp898P7GltqeZk4vR2sFUSpze5qIzYz6JkfSSrc&#10;kckAs0ITqT54yCDRgcxnQdLuO2+9YYmIfUZjnpIEdPbSJ4c95xzCECvow1pL9tmZDfwKUFfk7H/p&#10;9nURtPnhPWmru24eKq0BxC/JxuZtzX9lfWW4fuNV56QlOAndEGaJKa5MFtr7A0WeriLhncn+707v&#10;YrB+Lk51RKTkWRnekDaLAGPiTRExBSSRR6d7YK5saVYRKtLIzyd8h/CxdOPOsLorP5XgwD4BpPDL&#10;Qo9H7RHyurbE8DqLxUGDzVHr1PFgqbl5KN/wObUbTYQb/6rlTDFZz+oSYapphiHCaE1c2ucKnMOJ&#10;mCMR0DGfkJdmPizkhZU7wNV4kfB22ARVLYJfYs4IrE2E2RM+KyvKuW5+qETvGaWXwCRd7J77o8SY&#10;gdDj0S4LfbAi5qklSgtFWAmTx+xDtZdFSfDh/ey1zPAysT5U779NRZ+SUO7u2zIJ7ajG6pFxPsSZ&#10;mzDFk5ROII6LDfcZjFSYneIcmgEGJvr+cGDvZv4A474+pk1vEXiqGIBX//xfGzbUcQNXhdkoxF6/&#10;V8T8XyNtQYz6nGhWweK8mOCchLlz4S0dDwa1xOHvlP7+sVmZ786XbP79z/7Z14avyH++KGmy3RMh&#10;gr0A1ssH0WRakEOgMXxBzVlPmcccKdnX469C8MEfpgA2mBMMOekYgVTHrhWuegg0Waxu+otQgsTj&#10;4TANo2kLh5+q0wbmRgpIuNWVaMMLVc2BYbQv0xanHJGtRWxsO0bYs/atnUkldVd7C/XMsc4n3M9r&#10;LPuKzrpFXMhoHF2YVxHYN6m+o+hxmBD4SaStOy6wKGit6EwaLMcfyIziKyQeoEz+ZkQIIylinv0V&#10;NAiOwf+080oQjVOtoIVgsguqJ0J3DgGJR9KT8rro2Bs/5TiPoxd3XfuTs7CQAM3Bp8j4gBLIUKBY&#10;IpqfYz7HP9PyCN63XnlL1j0SDkG2nH8tNECMzw/Cy8XU7jNx0//YD/YAaRS/zowA975yXF6Qi4bk&#10;zSINQP6frkWSFJGyRpDuwSzAXav1F3uwJhKVXgNjEtpR9NWcIuiO5lTmRmrswu6mMPRAJb2+nqoN&#10;MudMQoLjbzCCsjhBMYfCYZErBKEwQdTm4otYUOIufr0TmePmjzYlBSpA58X08MXf/pIDEaYZG03I&#10;h5Bi0URDnQvIMk4c0US6HoiwbIrR4kdwrzTyq4oBczeaG6ZPpJ2bMsO+rdqZMC3UdBup7rw1zCyr&#10;XQ4FXU1Y2W8I+kRlMDDpoA+IbEJa3NofHj16KPPMoYJ+rgfAdGAgDqcIYK5fWRtmb9xStKYSmlV/&#10;K7UDc5b2V+ncl/13WgWKWWVVY3FnClqoqCfeE/Wtk0RKP7UORLHubC2Y1j/0gRMgaOx5d4YI4pkZ&#10;lmnI9E2/4K5jQPXmVIKNMhIlFAD4IFsQtH9ilpoQIEuPPl9mlmCr/kErcEUSQqllKlm4WBx28CkY&#10;X8PpuOe0zm6Ec38VCn7pyd5H9sidz0EWfWCTuy+9xJbBlwYsPyXBVmjDdE+j6bm13CJfoLWJmP5C&#10;8HgQrJplsVckgsu65sRdgaMZ2orkQOec6TN6KRqn9H5NGpQtNsbB3H+kEmcLGhellXmTWvPgmz8c&#10;3j9cs29vW8VB6UABUToVTnzuQqWEtPd/ak1aa8m+bOsLaRCG99EOcIk2+EhCjkdy2gSaeZdgkcbU&#10;7AhEKbBJlLMJEJGqMv39v//P/weZPmXaWlgeZhUVS8NlasPOad/9q7PEt8vf+bkr+u76MHcF10kl&#10;/1NoXBGbFG2f14N35cZ49/Fvm3B3XU1oC7ON1pQZ5fwt7Xidtgp5/RE4Da++LlaOho9EJPM2cAgD&#10;vHFjdfiFn7mVvaW4emlkpJi43q4+I6L4SAFVNmlD+HWgMLdpMfG9NRWvpl4s0aDskx64K78tFq52&#10;J3Cfoa78YiOhBi4BB+iyXgN7xoOylnShcDNeLz300QSaa+v+fBe46pQvt6DCNKtrSSnBrO9iDB4C&#10;Bgw+JjK5i1zQPBgvRJhIYMbuHgsPSVdyiybwy3MObLDHzUC5D0HePETPmsHcb+lOtY1VbnFTUdTH&#10;EnKT9oLmHl+5XT42mSBLRdhCYWFZhmVLk4mHCAHPfJpBzn6wmQaTluAhtpJqujjsrJplTauaSLSm&#10;HGDbtxfAWAY+ooL+6fDeloxvmpCKyVsCHe0Dured4l68vifSyNKH3pM7tYTPRAzlTNrEtDb86IW6&#10;Vv/j/8LM8UPMSJo0vpbvSNv8wfuiDHY4V6+wImTYo5V66CgT+wJcCFiqO1pX/Tg3SNLjqZDHcCXm&#10;TeAIfpJn6mL9bfkLDeDSiixFGcgmEVh24nIBaro1SDWoVDFapKQlVc4AIH/85vLwzpqYI3ulq48F&#10;vAe3yRGTvV1Ic/DwvWH26vUcjKL9TqSFTUvaTR5hHWITb86riE4EEmmaci5vymTxXCZYKo7w+ZYi&#10;QpDgtnYBWJXgkn/1tpLkYZibW7tBcDMaY0oA1M+IJGZyxeeWzNQfUZLfsZAUsyvPOJYW0dVUmpjA&#10;8E0OGUe2eeptsmMGaB1y5/EYv0rjYN+4/GB22bl3+J1iXsUSUXM0FwJZI7FxvbdAPzb5ou1JiMIP&#10;ay3ZATkJrjleuaEkYJK1Fa3J9fYHhnExZJvBJ4yvmJqZbh7iPDf8y/jrGJXwcDPBFKUOvYhXDM3Q&#10;pjwkWUuZGYX/W+Nli5H6vQe8xKIQJutiDLzmPgRBksO1FXZnCuYxjWO2c7QurrPEwvjH5jZ8KsyB&#10;l95zfV7EwxF0aATSlt2DkWo1DjyYc4rFvLTnH13ZH16hnx2EjCVUnMAueYgQuDLXZe8ngkKzt6Z2&#10;ISXFEg0QxVA8U3CxdoUzqrQDIom//513Kwcw/k5rNJoDeV11q8eyrw+/K+4e/dIzksAMKuEgcC5J&#10;CCON4HhhZXi6TX5oBOKOC/B+eSaZcSIVIySbwZiJg3i5jgstAJgp5T6/LvrYfjZq9N6See6dX/jZ&#10;YUcMGC31QnhAL8oLCkLQdgONFmuTpYyUH6sRjX+ISz8/rWLoizddS/VIG/B//dUHMo9jucrDC/Sz&#10;x2YstT3FxMY1QStqAaXQGk6DSmH+k42dvGp/O8Z+8wDmK6vbvjvZqyWV5rJLJR4LMfwEdgNr8bsG&#10;RxOtyk+aqpfwg+Zs61auQeNvxo2whCnZ+AscIqAVJwUGZ2XVAIN3Vm4P93YVmKgiFNBJaEAX189z&#10;8twQbPzAiNvSFMn1tN+Oa5hnXFRm6MyzBIJZEI/jsLoOUxJTsLag38VlgYPzoXiCNgQzDVKHvluA&#10;22mkOQ0wL4nnW+LK2OGpmDBWivG1RKOhhWgidtDCwBrSo06vKnkcH48/ZvGKvNufvyaJXr21cHrq&#10;34LmdV+JtlvqveXQ4NrU+B2ySOrsGWY5IF2DFka3cB+SPgehfvAP/vbwjAKJSJr6pcAhjW8/OFJT&#10;To0f4h2IsdDQgIjvrphGxpNgoA05UEoItmUYLJv+qZ/4KbVcue3KFRfyZ6h8iDtKd4eOx9/92rD+&#10;Mz87TKvq/fuKjoUAUXoskllBqglqn2rNQ58lBPlU9Tdlq0fSFEAQxfdHXlHwg4Dn+Y7mwPqVVB0j&#10;ns7RpS0KQAKhNXIJKibEkZRsztDfZ6ri/0j5SqSE3MTEq38nei57Y6TTNrsGps4GSWtB9juC8+3W&#10;t4+ITStTWz08katQGAURkUTf2l4xYTPTQib+jtGptRddio8ao4kqDIOa068RQV3mH6v4QufB0R0C&#10;ASESZ5ibCxfUHo8+3qBPCTepDQvzR5CDGZGrZMJ5CRaMyxAXpw2FMJUFLczR8FgAZGIbxsm1wdOY&#10;17N0NM0InlMyUcpGaYaminIZNJfY3GllmKOqocMFPfglaql9r1QMhLk9RRXPSKDB3A9j50zfnD0c&#10;fnFdGgfmXRFfr09jULti3y2PNNvIRjnLnHrtVO9Ww2oT2MKZmlwLHKNYoDERLnoc0nIuhJDUK6Uu&#10;qashcY3Na3kfHNAddLVnLph90aQQuMRkLMcBv7p1V8TuaF51IUvjmRD9GqOf7PMqgg4MQoh1jghk&#10;tQIT9gaVoquBMR9AZnWqKNT1194Z1n/+Lw1zogEItbh6nH/mq9D40AbFCEUHThRZTsWcY1m0Tvc2&#10;h5Oth8PMjmIPBJery6JxMj8+fqH2aOpME6I9mXfOwTvhf6Om7XVkPrmefQvNasC0Uu5p13V9jnV9&#10;miBECL6MG6+sSesWvLxQ9SKELHzV8bklop1kdHd6qb3CYuLehxofQZyZYcInuOUMS1MLJ9AkaKyv&#10;wIkRQZB4BreW0nj2T4qeyVjuNKJHFyvDlgpLYALnGamZGzi0GVdvEBiJLG6hOabRvO/+iFY8WIO+&#10;c8lBU0vxhStLQnYCNAowaEBvWqXZLWpgZ+n7XphYJj4ifURdx7IRjn8upON6xN1EIEF4GNvKeoiS&#10;N6fyvPQpm7gh0x1+xTZyzVLXUAzq5FQRPMQ46jHzQpgXWuSeTIvkMmXxMLZStWvBxES6p5nuIWw8&#10;LVW4JgSNwBO6iZ3t0E1500dBYeDvXlwXoim8vmdRmkh8CARAhHBhdjOw6z6qbnRqgQFf3++//5Xh&#10;0baazcp/6blpKkSbpaCxIqBU0mvnqXINZb76+rsflvkG7t9aywSwWUSeGYTgh6TnPbpUa1oO7RbA&#10;/cXP3FbXA2nXms+mmOuvfKgAiNK0EBg6qXWMtDVhJgIrNnK4Q9JRonkQSNSSNJF3K9KuKOYMwXIn&#10;bAHrvgQMihwcaT9fUtuhE3xcGlc0PLlnoBTEXGMm7ysM6VRFr4/JSex6giYacL8QJ/ub8DsXUzSo&#10;e/0JX0+QUfaKXDeYLzu2pwTvQyS/Mv8kuhMLRjZvrIfqZ0Xr9JP9t99nnjyD0HGXhKMWJdBbBMdz&#10;LJ7g9RldWhvq63hE1h0hSt8LDDEJ2ndo0xZf4F8NwTMi05YI/EEIL+LG3P18gL1Vk9xaPyUEetjA&#10;ikGWewg3l+C6gACChURfEJ23rNf4qogjtu+I5+u1BTIEIZsJJ2zPwlkJI6E9l76swBgTtXp2SQAG&#10;gAkxj1ZvLVZPw2rEezrag6/RSEvgtsIUP2uiZ1OBxGUCLUlEgECotTUA8XSG8PrM3Xt3eY61h71j&#10;ZcTxqZmxwH8LxkxXar3NfEYGg6UE2BT8LUiY+J1/+g+HnS/8iiaighwU5cCihXAtc+6S/K4rCthZ&#10;UsrM3JKihIVv0MhZHS4sYk6c+0QxFGg+cxL2l68qpuLp7vBiN6b8f91cWSDXSxhX5Ll6Ty/BpSEu&#10;H4/bUDg4DmAgaWYfN0bDKm20/vJPbAzv3FABiP014z0pYpRBRDMkAp50pEPhB7SAfoTQfUy/9Hzk&#10;LOmDeaAgK6J6L4ja1vdHfKe/wDhCqum9mSf3EWUqeAVPdP+u6JgSpIf9GQkHbpNFGcD4LJNmFL4E&#10;Y7Zvl3J+ZqDg3aQWMTSS8ZNDmYhn38s5V5yLmhNn82JVbkAuqluMIHAftAQw3dTSkZ9BNv53RaHy&#10;q6uS8FFpaWzJRFmoo/ciZdkmCwvSQhzOymT00a3rV0cE4P0ZOVAAdBECJgxDwed1oCa2iw7WqLOv&#10;cThONOluVMr3CW4B8eOZIf8KIm6/I4glTEIapmzX1im1HMUgwR9+zYAqIMTM3h96TknYpAII3dgT&#10;jcWW0EZl/8H7w937Is6Fhy2EJeATrFV+5G/+t8P92ZvD9tkd7SvhxHYVR4pln8sUFdAujSFgLs1P&#10;sWmym0crVFUJmWHXbqgP2YsHQrQTmQ3OhqeqQ8jznVeECqExHCnnYgB1Zuy9qTk1CvWU8hVi5nTg&#10;TjFFKMS/84lVJW/TQFYaIMAuYN47WhfAiiHq/cq5hBaZgval0W4LiveFIUjBmHU4xwNXoMCGL5+H&#10;fIF7zL/Wczn6s4noHPs5InKYohmo9hpGiI+C/Z4jsg8CLyK0o7Js2NMcRDWaw+JzQwBsjc3P8B6E&#10;KDeDzd8EVHT4PHs3y5jFJPABnuIuALR1vYm0xjZeMW6hjeVIvgNOgB3DUQDWzKsoU/vLTIo8r9JQ&#10;uMRaN4MYTTJXEkqLdNu/Ds/gvoCNGWsL9OwPhIY9myeVycReMKYbKVfGuIwB7AIVyMQwS4VASNDK&#10;PDuqzkIggUKFA55PYWBkxOBGLz8zzo/lLaiLcSjEHTxUNIBpDjUqnZEAMWR5XkuYk3eNc9a9+FEh&#10;vNmLBH9g6EqgkrHHMNZVQFrQ6X2/PMG29GTf2bgJ0xgJS8370koCF06kZy9gAGfDA/WsPFZBcKf9&#10;AJ/+NSh6KP/Wi5hzk8pCP07gBuGa9S3LFPdQ6VBUhLYJnudzX0lcBrFC3oh92duigvWmTyCQFFMv&#10;ayzzQaCwT268NedS0eDAOkxDUauzN1XxSQXN54ksVv4qprq0b0tEr4WIqurCGmPdIE+RGAS5KVig&#10;NH7my0v7TDUnmCTMED+3C+7rc5grZ3kg1xCuEpSdO9qP722rvKBaawEv2dvENrCIpPBkGWkswDpy&#10;nuABIJfAx8CRhZ1iiMYZIwspTiYG2HlhDqUZ6IvO7yuOMMJQE/UmIiQp3z9cGL56dnu4eaMTpzO4&#10;zZbWMkPgYwZSF2hVeMFBD5GhY/ort5W3ZxEYSVYzh2MjGUA8OUZ9tGifSRjoIWFYRcpC3OMDuOwH&#10;ABzaz5Z+dLQsIXk8QNmZM5E2ZY83Q9OXmEboVcWexH4WImhJ2HqwAZcIVJhR/I+YHomQZA1KNNYN&#10;+IvQMPmxRRleZ0KheYjJfCSgP12IuSAyURgp6/Iziug4MVYU13ikvTyq+o0wgmk6Vsu88t4XftUF&#10;uZf0e3d3XfsuwBPgGgk411FbjljhaF0T3SIALBu2pOvia828OQfMg6+89Wk3yz0isZsQ5hMVJibd&#10;WloS9Q4vpm8oRQLGG00G4stzOSWAkmo3/EKkduTXfSHbFlIjfQgP9LwDcVYYKH7UI32OxA9Qm4gD&#10;0PqLeQTT875UmGXyy2QOW72QpUBLOJDlYFf3Oa0DPxragbVwID9EwJYMr9jko+Aly4wmiiBA9ZcU&#10;DbClUfPF3MqppkrG3HD7E28PL7/9CROEYyUS2/nvQg3RaKjreS5TGek4Z0SqqgGuA6E4fx5Gk2si&#10;Re0XLDpkwqPnkfEC8hLwAsICN1hhDB4lHAFD0LRCgfYylVU52hb3cl8JotE6C2WyZG+LNXYIkz8Q&#10;EVI09rU3Pzlcu/vU/SgnhR8S/p6d6wHC3EbTYqSI7KeFwnoga9NrkqZbu0VwyU9F/zVR5+OCvR6u&#10;p93vm7FYNjA+5dcpPzoHwiHan9mypAXbzMwraFO4QaNWFPNt7dOETYzzqQFszep7iLg+0sa7gTol&#10;GXHeqomnI2vBO0spGTM+b9eaNjM4UiQUtIcAJucH6+yfz0BPYjIObvpgslU9tfpsFLj8PjNqAWDE&#10;X9/Xa679Yhx/1KeZ8UfBwHMX7b368jAnvF8SIDmNDUsWzSRxP4gOnAHXO1sy76oB8uZDIeELN5+2&#10;ZQP4dGxGiB6zo4MNGjsLoQtrVymicAbBZAEHzN0SDkTjBnWEX1Dk75e/QqTstoMriavIPONDNIPX&#10;OjBnJ4gRnAqeW+CT9Asd9j1cV2fvPGZoeMGhMgqy2ZhuXCjVEhsEIcAcws1nSJGRfEFofrj0RBDw&#10;O/vXlTMjjYpOCV5LaZQ6XAJaMMEwdV5vy9+EuQ2koA7dm6+/MtxS2gJ17RJ1q8li92VDIJyG3gtF&#10;nk6rOsSt4RPvyKBA7zlMVUiAjjiC6VCiK+YXNEmHG2OTV5kj54No8suEEFs9TtUUNBOkEaIbbWYU&#10;YC5ILIBRuwg4jvyWgr0R2aspRSnwuYND9EC3QuIv5g4q8GvGsnwqPys4QOHllD3Lns3IvLgrp4/N&#10;tUhX3sscTAO96xiaEQK8Yb90SSfQh8u6Ug9S4wsFyjgqWNfdU0QdZ4tvrH+s4xsQ8G0xUszRZgnW&#10;8DnnhFc7HwihQv/Q4jiz13/8J5XIfJAK/fo9fqGSeAAZmqbnIs2MZFUxTCJw5wEeBAMxgwtqabqe&#10;lJ5G7L/en6GJyxfrxP1zUp9T58/tfLRJJ7rWUqJ28kTjkUcHk9xRgMeOIvHQQNE2V44VRaggp8fT&#10;62KkMPCYzNgnV+NxpRUq1MTcwxzavIz5HYkSoWhiQsWQkfwxy5iiTK7TaYFWFTZe+9Qw8+qbKp9F&#10;Rjc5YmpXVNFv1ITF50WwBukrZnIwDroRwBRVb/JYPQ7P5Be60O+5Ko3YB8t8gQ0jdRidGTbngpm6&#10;wu6tXVb+rt261ij5LBATNOEDALSZLF/GxO1rKjCAPFH2OswvTJP77k9vDD+US+qqUhf2SfOwKyGB&#10;JkUqCzxrP4GlIsqeS8FlfLYEsqTySvLAYv7kO3QDr81nFdjvhYz0uebGoAwX8tkLzX557iZmwA1t&#10;gqLxNsMaNVl/EEI4viyu0u4OT3lklpM3jTfdycGR395+BHIJdQhAWhj+8hbc3NccmDNeQ0+Cmz42&#10;PveaoQlhoLxG2Dskxxbc8+Ozh//6z0j8eyHe4cB29qeYnm+E8EfwbVyf8L4av+hr1ll7LF/gf/W3&#10;/7Ph1xQYOSMTL4FICLsLotmuMCMaiatsXudLCtW8hEOE5Vkh06Iiv2GWVAZynWga29odhHCXUmUI&#10;8+e4YzCpqfPK9OLKMCf30YKS4OdlPp5yQNf88PCjHw7f++f/T+eFohB1XnKvNacEwwv8WoHy/prd&#10;BSD9UybuwjPfU3DFt7IyahORooCd0pJGuQmzg8cNAHGgmPxQXRmeRpNf3rsyfHSiFAaFZvJp22vd&#10;E6/ypEAAAB119oGSyt0NWz9oUp9681WbNw/kwLdZxMBErUURMIBbz8ac9QNVvniC2U3CCFXyjRim&#10;AJg7k4fi1AKASluDNP/D938YrYDrtcBVSjWxEXo2tmvWfCJCd0yB5ys31bUbP2EcqvwjF8Xb7PUX&#10;GtoUEmJF8m4k9DDUJfyFSNT6HsuVI/kLsNpHheRn36G44oF8njCxZoBGLgBGc3c3Z5so+3mJ0IVp&#10;RjiJBgzCqVObgV3VJodd1Y08UfQt823NuJsKx4gSBmfwsBagZ5gamlXa3Jj8IgIWFAy1szn8i//L&#10;/94m4zmFsM+rpuGcgJbqC3SAxwY/p72b27g9zF+7OSxevak8sPVhdlkaKRqYzt75lfp3JmZwqrY8&#10;Z9KWyBU9lrZxqoCBswPVCVRazLR6z83DhAl68L7ESO+KKNL+pqZUkgwNERM0RYOH22ZSrGNPQgXa&#10;4KHOzH4LTLViIIdokVosvid8F0c632OSrtEytdYXyjvaPojtCqYFrFLeCYI6q0hi9tdxJtdfU/DF&#10;8rB190Ofg6XOYg3gUIdfO7qUfFVXjEmx8LlFtatauzqs3npFIfC7w/vf/4Hm8mR4/VyNmSUYGJmB&#10;WwGNI/QIViEI2n6MWEIAv3Jr2NRW1kXjLMIgWjOFkN3bQFviSiUERrNm/bp7CGk9UkV3CWdHc+bE&#10;DbsJKb8nl8D23lalcHSBemAhkcuj1sewgk/aM9mo6e9icm8G5OAI4Q3Fm8HBLQlPFLoHD13KrxiS&#10;NbpCEtNjH0TmZguMmXitFxpVzDYE3zdEOFfQxMmxuX+sKKU6jn+9x9wQQd9KGveCJxaSLzEBj82D&#10;Mj5CgB0w/OfpRfBGVOogqBZeoo3x29pKMfCau+dbjJAFUkKu/bLJewO2Qt77p60X2alYjMLrWifN&#10;5xY065oJD+2xShAqejQOzj7o4lF7ZAwNQgsjGkEThJSKWSUs1bRwtyBAxpSdJUvctRvGMRDaU2AK&#10;GFkUnVgU4eZ3RgwTmFgUIVyUEDmvus6rKtS9rLiQK1ePh6vXVRR//YrqK6+qa8q1YRPg1RkRhBOm&#10;ljXX0eRMSwBIGbp86eOsN4Zbr7vvZL2h8/xIc8+B2nfWkiSPstM+A7UkmWRSSUJCCkwaL47nhi/v&#10;iPPja4KRlnjW1zuZ15KNCKp2jIRdyvMsy3+IBA3z+tRbr6e2nP9B3KPdJRSWc74Ynp4uDvfUXJF2&#10;JmhxdZzuT8cY1F9EY4HgmqlLEnmmDuYPlPZwheoCuoOckxW0HavFSMLJvTuWbWp7/W3dtzTcWZYW&#10;YK010pMrRJSzHTOh6/fZLxUH/Kw6gBOdWajiHESQy9ugARx7pNfQIipzYPLA4oqWu6VafbsyDQI0&#10;EDF+0m0cgAszDx5nTyxFaz/cERxE1wfMf0XX4/PBAa0YNQes4Dy2dlP3xRdU02T90IoiJkzQdnTI&#10;GWeN9qzrIeAg37QIK0XRd2GMyk8sw4EFCWd5gAm844xFFlxhnlZNCltfpAr+0qqChNbUPeLqMCfm&#10;OK8mwQu8XlkbFjY2hrWXX3WHeMqJYdI9I4d0b3s4ErM4FkHG5HL0TGHje8+dvK9SGO464f3Rc/kM&#10;oooVYo1gGwkyzi1yUAvrrAg2TOicmzOaaeMlhiFh6/NPp4a/v7scUzuCl65ZQggR/C3DRbQns5JS&#10;D1c2xiIH6ZQdRGyiw1kYPe3kT1i8hSPjjPV4d4Z4rpxSmjGfz8oodDY/fHKaQK3SFjqdIIOa2bEU&#10;a348qz+v53KNzaB6gbS8t3B92L/1jqP6hsPN4fZbh8Nrz9JAlDQgXA/OC1Xh59nZTfV6TJTlGX0T&#10;5Q28vyfBgR583ly5H3RPfChhKqzXaSrlB2+OFB0nTNtuB3cjoWFv0lh2lRc4/ghB8Al2TqHHLIw2&#10;YymYb0m9lnxZqC+i1wAdenFNRHRd/jTwMWH2/90fMxPjVe791/9OKGvtd11j+qhzcF1h/STgKRGl&#10;/MRHF401xauhe5eEJH8eeAnMhK3xy9mYyesb5y3y6+0vMu99vwxpbe4LTTDBr3W1UNbEvWMVeqjW&#10;LpuB9A5lr6NEFNHRfDlTcnMyR2uwFo7Dhpwh4PS1jML90GZH2eqXQJeLakSdCNDkCbNWn3nRIJMO&#10;trE+50vgnUDpZ6ILZwsbpqcpvcdzsnfNBqMEZkWTtJ7S9DKxnIUZZD3Ee5bv+JldcA8rfanmmwH2&#10;XJyBc7MPBgKs2cDw3PNKnPn35X96JDPliuzgHT7cvr+YQnioxiTKVBrM0+fPa5MJKjmWD/Ha8ObL&#10;t6QRKKE9R2nwcGgxkrreY9P98FR96GDSMILi4B3AYIBHa7HmyS4l4uqxQvxZj1MXhCRogUtiFscw&#10;UUxO7LvWcKAq9DRDnZY51ukECIV6tudvTUwSMeZO3WMkr+gidvHe/Y/MFKkViRCwLIYRP1akJKJY&#10;WREdwlEakbjZaqcaEFklVSV28vw4Ub78sil6azZkZO3cMmtWzoPJ2DBeDhPExOR6IEIbaTIimkOT&#10;mUcdeEeIFkyNCNbMu+ukWhgxhilPSM9xc0rDQ55sp77OBlOvPWhaI8AL05TNVgUQ6ST+LL7QAnTO&#10;z8pCmfI472lZAWZkYpmVlrmkaDrqteJbuaK0mTlpSTAtnagEHWl4Crqh6wWn56oQmOs0P9fV5NPy&#10;W3ndAD1alDbduM2zQES84JyjFuGc1qO0eVpSdjodQ64jXEi4eiGBjXw6ayNr16RlM+kkCBcWFikL&#10;6elovi5dxkKDYiFswMWRpbokotNBZU7+Dy0n5kgLLNGqIvSGYDfh9INN9IoEFJwiWM1pL76mIKuv&#10;Lv74sDrcch1YipXf+smL4ZeMS5kDM8XUi7DhJG00WOHzFXzzGvdPCx5hgnSb2NL5EYX8QrUcMa1H&#10;4I4vJ9YVk7QJcxTcMlcXcEZy13pp0HyoYDPna1UtS4gkUZJFtmqNRc293nxTfKppXe1xzyHgD7Ow&#10;+VDJ9rvrrw5v31oZ9lXcYVvltGxq9r5jIK8ShyaEHaQTy0c9zpaX0LrAjWkKOKDxO7Zgscy70SyK&#10;cptuZe0To3GvrsQD8J1FFeyYaep1zLjjxxZezyQAm7FYcJpsRDPsjMxYIGCsQc1Wu+INN44pV7Vm&#10;z9HnV1yrh6nPAK+4WDgE7Zs+IOitt8jFLwyCzICmt1waocUwqu8x7y5TfKVPEZoNTdA1WMB4Hbkh&#10;e9bCnatxsX9YQbL1dmGcyM2CBnjRvkC+q5KcObfATVso+iQuCwO5wvaKIoGtLfZpwQRVsYH1LS1n&#10;01foB6cHIOW7PBAHBQOkTI3NUBSqFUFSO55dOS9fWsBclCgfmCRmKANEOFokCf3SQPS5ygHRSojo&#10;UZJ2/5TqaELsHu5QMbc1QaRfyhEFUJ6fql7oKWF2JGIUEugvOYn8tEaZBE6WqnlpPBfVdV5SmPf6&#10;HCHKksYrl8QVY9Tg9GBVSeWUY+JokXIJdtFrkJZAjJha0RA73zFq/vPnz1RR/rk7Z1iK0giLMgkT&#10;PWmw1PTilUtkFFo9MyaX8eDqW0pmVyFtOksQwWopqpiZ/iIwuHK8y7qlcPaE+iZfkN3C9AVzN4MV&#10;ALo6hfP38KUG4F1Bh0M0AkJoJ0FETQE4Ju+ttflI0SF6RNQGkIlq81rqcG1SYm8994C1BSUJGdYG&#10;a1CA27KFxnCUH796b0HAzFtEhsLECiI52X7msdjDLaVwqkBIIhg7UMRaEWbaaLPt83HSupk2yM/z&#10;8wtmndn3hNkmyG+pUgdj7Ut3bK3eGW4tXVE09p7SPdQyRnNxmTvNj1JwONdPF67EP8b+sClW9UN6&#10;uG6Si1hSu8Xlog5lzkbDJ8zblXYgdtJY3KVdkwZ36DkYnp7xnWTe6nuZBO1Asrk+AhyHRmmp98+u&#10;Db+yfXuY2ns6nH90L6YjH9clM1c+iUmUohE22VLdKMUBFiSMLKvI95KEkds3rqqP3ivK312xdvze&#10;D++qNOAD1bNUYrfmbYIJbBUBZWejPcbkSpUmKsA4ytvAASySEygckWAxZ0lCc+stKngLM2lYzf5C&#10;BGzuLAJsIczEMNGhfH60emO4v3M4bAgHgAk6QoCFuDPoC28Nq6ICEa5J7eGHaPOlKtycqiYxc7sY&#10;OvnNojnUL+XHvRh1QJlzNB4XGWclMIOSDi+zGMt6I5PwkotZBnoaLf0A5lXVtKBjHejXXVqCu9Eh&#10;jXswfws2GdP77wdUcwMsERXYd9mMHd4xmeWEgbCniUGIllupJ6YD5ZbwrpoA2PzP/hPd2+A2RY65&#10;h893xEBw/FYILNxrLHBZc3R6S5Zti1XISublP/o9pCON8a6UsiZKvir3Fwe+5A4vQb0AJZhaP7X/&#10;UfAKkPRK5tAS1eHGgqxFraonYYcmEpxxr7ova9YX60HQv3obCqXOzip4+1hJ7IdynlD+CQmCwAY2&#10;B0aAqe6RrIZzN9Yc0UgI7IXMZX/kxz4ZJmBuns3AgwphdVK03r+vvmv7AkaMlH12lqI0bxheL8jR&#10;QWiB2rTNbZnRNO6KEDHS3dlwXd26bdaoQwYhD67cUnSXzH5VdBZCB4HCDISmGgZbwfwR133AzO2p&#10;Wqokaiq+xVVxPaG9Uy5yQtFc2Ts0Q+dBQQDViudAJYCoCHHt2nq0bBi4hie4IgyRZNCEfKeeX8xy&#10;26pOQ6K88990D5rtSjNBtk5EG2aCKcP9wCAeILQDVeJftCm1Jb6sqIS/MOKUV2uTA8GMiRZ1UAY0&#10;yeATpDBz1DpPPR5QrHVquxT34x/WPRICxtA1BwTfKJnQmq1vo/1KmB2pEa5wpPtPtHnHGttEBh8Y&#10;nwuzbDpCJmBfAd1ChkY+1/PUD9o3BSAAd4emS3R1yxSYJYKQCAQI/ESlmN7dfOKIVwsezEMMYU2+&#10;zz2h8pK01GO1iggTjNhumDNxwMzchcS1PxbkKkL6EvYB3y68rEAwR+pqGhDmKypnd0NNhlfVAePW&#10;9cVhcZ3oQgQIBRmIUAOHy5wXcEH+K9HANvPSYUL4AVxIYPq176kVjoj0gvw4jngz8wzz9/54roFL&#10;Im3xg3dplviOJkSXdwhZNHRdk4CKD/MDMVaYAfBOQJvBm7E4X4hZMX0YoCOm9TkM1sWVy8RMvzqi&#10;gVcuKGMsnzCCigZhv5kCgqotTT1zYLeIVoIHI+T4VaEYd7I3zy/U5Fp+5QOCeaxNBG8sGOt6aMGC&#10;tHxH/pZQYn8/9EDPSOQvHUNkyhVdYufAA5dBxLSv/aCHaCK2w4Q7fcP7HN7jL8IisqYJla6XdW9A&#10;A9gunx5WFNUrvvPqJ4ej5zvDvvacNCWnfFjYyHqybjatYLD2Y2RyhvcIhJkA+J+0n+xbPg99HzfR&#10;0+Q6+7VLcGJmXWmmr7QeXeM6IMkEJqZ+xjXj87hAa+aCuI5NMGJ7fIY8kABEPsEyZ4HVtDk4NCfE&#10;BZYO1c0kdUDDsC7D8bhA72l0wLDoydonuZbR7jNMxoowk8XMrr/zM27ISSUPtKN9laaZk98Fu/2Z&#10;fSICFmlK/usYbkxEmKhgOiT4zgx3JG5Ny7d2RN3MQgjyQ+LgLrPaS9e0+BtCKiRtJGyV97r71eHJ&#10;i3eHq6pxSSPWGfkYh031IlQPv5eVo0Io/ZV9RSQ50CHFWEnCxDTqaCHNwyXZKMoK0xGwHh4dqFTY&#10;dvxhAloQgNSIa2KCRLKy9TDZY3Vn2Fu45sKtADQAksaVAeEDmYTwD7psle32MauxifRlo6oIUVP8&#10;NEEjwIgaqz5TUiRsWq6cGCKitCdn194yEGBOSRQgAUJomjEjgZwu71bEHIl9RQSZYtv3ZX41/YWQ&#10;6xSvyCe5qHPawiyJ2UCdze8s3zQDDzHCRIhPjEIGMRkW/mUOwYwwPX1ln5j2C5NWpHAifiEmutNh&#10;yIniBKcSEBCtDCHA5pISbSNo6P9oM2aU0QapTkTSNvwEAsh11hD1nXOrLLnyK2JjwSBM0CkD+gti&#10;zevGLoJDcj7gRmqGGal+YYJc75gl4J33+uVe49/IwHgf0965YH+GQB+u0EQogrAj1f1Mkbaz8+sW&#10;V9PMNOZQExOQCrhBSyuTa0dFBiHzC/yzFZwH57BQ/d5mdW7/zl/4xeGNVbqAK1qaOrb2rbts0mQE&#10;1gUXJ7LO1ArfeDqcrEjE/tqjk+G7O88seIQAxgxuslDHnW8yb+9u+TQNC94kiHioo3OvNLc9aXNb&#10;Mi0+k7CHL/PVV9I/86Ha68zjQvHqA9/ODzPxk/BKEQUxjphExUjE+G7duKmo7jfMRAdFxq6rGLYZ&#10;kkaxpggD1HMPDQS4WmDypJXEDy8d0nTH2i9CkGlm8s1O1Yj7mWt3qrAyjYpN3BLRymGlB2drqMKX&#10;RfAskcNohA56EcDY1+784Wjq4CHRjZjIKcIPXZgTjHiVup+ALFsy2GsXf8he8J1h0acY/PYW6wOf&#10;H9cUKho/wSHGWb897EjKu6mG21sC2AgQMWMzWmp3Tqw4nfTtI2YcWyfqeQbPCENtuh61n2J+ie6O&#10;Xgdztxlb70DBNFQPU8qisq4WQry/vmbCUFmn8Zlnlxxm+ND7pjzNdxmyGVSmb2NlBAvG0F8HewEL&#10;xEfwLF84YVwfg91sq/chP2GwgcjJff2tV9ZmCH09e3SwqRBVOhjMixAsDQs3bki6Uk6PAJ2sTtid&#10;+ThEj41Ga1LU3BTV3JVAeX4mZiBT0uIzBb2oMeRptbURm8l0jCBBPCIJ1+WIWTGh0sEfbGuWR2pO&#10;qjBcCM6ZpK4X94dlmaV+6lOv+xD+NAArZNpVCPyWGBNO9oMqTLsrHxFPOZbeva+IOqIAnwoJtyTy&#10;z6uCBJtAKP3Gghih5rUtc6ElGNGZrdV1p3XgY+qi0kReghAgbrpSSP8sADMjRIsRMhLphqRIrl5C&#10;ms+HqzIRhxkEMNCQrOprDm3yGq6/PJyovBd1R89t0ggD5Qd/IJpIgBZaXISwzAhP1DkDE/Kiziqd&#10;DoZhQwEeBGBQ4WFfeXvPVl4bViE0ZTJz/iIaMkyzPnNxXIhH1TV0TdgRIaTJi7kHc8Mw5mTiJRfP&#10;jS3ZiyKkbb/HQgcDbPiAOeIrBMjGinsGyzAk70ftC6/jW9D1MhfChFpJFa3CTZ1ACe4DOfOyhIz6&#10;znhaxATGVJhmIlRQb42F9RRvMqEMbSm/kRi/9goT3rH+Yp24Jqak7piCDVUSsrqCNB6ktr+x0I2n&#10;txXCJbjCfrJec6Ew2tbmcxaCLWl5b//3/kdiELIMOBiFPFjdhYZHo1ZpNueqJHKuIKFT4cm5BEOi&#10;aNFYnXqiUlyzkph/691DwT3J5+3zGCcWqfcyJSjGWEqhN8DExfsSCj3mpwIjaK/SMGEET9Tfbk3a&#10;4bp+wTtqDLtCB7+cHcIQQVmCRRgNgi7300T6mlrXELy2tKZowNsvCfYj5PDPBcr1rAUx+ZUyp7pN&#10;liV3Dom8O+CpymU5D0Zj0+NOpusdRXYfyBSK5spyyc90wXdbS1LveFmBSM4x42zM6CPMIDA4lgEY&#10;xlQrrdIMsAqYrqluLrWBuzsB+2M4Z87gMKcN7POqNNrJ7vvo/RPtI5aPyd4zmwD2lBjQU9G+56om&#10;RaQ8xD8+16yBQCeJaRZQ7Z6BRigOg/HBX/tb86CcKOsx/YqQnoCjijllDsAygixChq6jyg3mXge+&#10;2EzZcNvrHZcSmC4GYpm3zi8LLbxiBA+RDWhmb1QOmPmraOF55qXLK96gio1buOaMSmv+2AaH7ow/&#10;48t6brjmv/YT4Z0J9Fez7/3e50fJBa2OzcdH4DJf1I1UIvKcHM9zKgM0o9D4KantLmWEs5w2GfiY&#10;xDxmFUqLiotSPKtckQtF9kypUzBBD5hx6P2Cyn0sRJ7d39HxE8pNcqiIspjarA6V6uszpd3J7pKC&#10;s7pnQRNeoZ+UkO1ApiKMzZZLXGAxi0GiSp7Z1eH0R8XgVM4Lv+CecIZSaMtEFbpwrqqdKHBjXhVb&#10;5P60b9OVTXQix9S6kx8UKdhACICQAGutJJGnEKxdhfaPxVgFhJhBqbQB0QfVLBmLKNgvx5zQAjFl&#10;XbljzdN160xYE6af9BExdEmztGNKxZPSODTfQ31OtKtlG4DBQK1ycwp+YM4I09sa+0Qa/ZmAmXNE&#10;K4aZd4ANhAx/5xxJyz2GGD7+RzQNdpTq9R/d0/kYeRB9xOjxz2oNOLbDNNjtmKZggBbOYaIjc/S2&#10;ef5hiOyJkBm6xvUgbgGn4buwAlh2RxKYjMXRRsUgV0uRzq5hGxCkohiYMVpAs7+wri34b/pu3CvG&#10;x8sQ/5S+c0BNBVEtYjIWzL02LfOXLtnRe4gFTDA5geUeMAnLPgT+YAhF5Cwi5ymJvEa7oBZarQmT&#10;nGD/m3/nrw/P5H+bWVFljhV1Sli7ohSTW8Pyxq1h8eZ1vf+kUlKuCHWk/SGQORJE8xU8UA/0/nvf&#10;Hb76G3/DYfYTLbQIVxMAE+nic4Urjf3RXkKVYiOpn9ps/KMIY3Q1Y+6basb7Sbk0/uJPr0ooVcCU&#10;BE/cH3sUPhCQvNhVn0sRc/pXPt8+HJYp8E73d5nwiYoFzhM5/nHKlFrFtqvGX3nJdE9A1pzWTr4Z&#10;mhraGZfOzq4M8xtX3Zj4MzcIIiMcX4K2tFCaBv9QbcawCNGWCIZ4ojSY5OyR4sXrEGRyUgEMGCJ7&#10;iJ/QzFtjIxDSksxNmmunQtBDq0x7iqhb1uiN7tdsZ4NCrdkrNw0u2IAYz60Om9pPej5Shbc5Qko+&#10;hg502tLkvJJGNdnJ+ArZY2DNqVZFZ5KuENdRBIEyVoqWrq2qqL/Wiel3Wabg5NOGNmWtPL+ewp9a&#10;sF/WrvSJGhe5r7VNXeDi+bVHtR0TpC1wsxpQvM5kJgjlPSbGgKiMqPjMrTa5xuzqUB6qGeKlcyif&#10;S57UTJlduASCszuqUGAOzUPte9EmiUlcnCvgvgiSS/tgMcWsZEM+xA2PHCYafBUUw1UeCH1cvOE6&#10;AIXGz6wpfWJ1wwmRwmZxI+X5KQnyTPcQBWgOT9Vsim9ToFkMUK7FYXpZzHFZkomkx7QcpEqBiPup&#10;ui0rtcBIhHTY6OQFxCymvqQ+tKsE4KByci3SvS7YUIj+lavX7DM7F4DQGeBQaQokYT9XayKYJlrm&#10;5qFMpVLDKRN2qOeQRoYvi/yzJwrw2dxVfzMJB5gYMeNcnSUsPyXEPCusV3osDIKp4Yw/v3pb/jJp&#10;2z6AEEYjEdIXuZf4d0pSN5RAMIFAzXNTGjaM2ZVsdA8Me1UMcIOgJPnXyHM8XLoeP5EQY15RVfxg&#10;SnKqA8TePgb5PHRWIEkSmKMVsm/8EBGJFE2vRmAEkw/Rg5gWTyUccJ2NAfoW9CzXn79n/xMkglQd&#10;MyXrL97p15S94nlojmXtNeExMuWYvHR3MaGqCnJI8NE/7Xo0wclHeaEPgMvGtVHji5KdZwEy9brv&#10;bQEFoicwsLQN4XD0IiY6CRUuFowpDjOhJsIzWht2oXZrLPymKo2f7Qi2aMPpr0iwU2qeNrFEiHn+&#10;0QfDzt3vmvkb6e2/gcFXpwRpi7MSPOdpNSQmuaxcwyV1IFnYuDHcuPPq8Ps/fOY2PuRhNRNks8bX&#10;rHskQGXOAj/YUAtCxfpMdSwuFGELXOISMAHmEJgb18tF8qmrXEcxBwgT/6VYu8VB6kzq+t2T5eGX&#10;v3s8PNiWYEd0OBJ/GVH73MKC9c97GF+0skc9/wRWa3z+Q6gMymd/Pf0sDD+W273p3JbVa5NUkB3R&#10;iIdorqtKm1DvQnpuOoaghBDOpOvPtklgWgK8uxgIN5a035zF7paEYa0RzZD3zDfRozKhgjvWYDIx&#10;3AWGq3ACT9I0e9zZwPGlgo8j/B4If4/GfDjMshX1aU14QvttWjcMxrITk2KIn/9v/Mw8UpYye9Rr&#10;NfPGOmTBVRHB9DDVJWj7HQ3OIz92Tp4AG1/rNOxMACtQU1qdEYyzCnw1hTalaym2kbDP0esD+XPe&#10;3jl951JyxDvAk8DtwuXeUY9twlAMrdYd/HL2c87FyhJ7EO00OwLcjhQknSbs8wehzTPIhcvSXDXF&#10;UFh1+zhEZmiAllkThoVERLkimUiJgsGPefz0sR76fbeAMZ8TVyAsm0oAtAKa0uYfoykqWXJ6SX3v&#10;xCinlDs2Jan3dHFd96m9EBPGdEdOIk1wZSKaUd3QWUl3ECUnUZUPb9JKI0ssslo5K9iXJSVqgxeU&#10;hLn06qsyzcisoKK2lpRktrmhcVaOVQJoDn8MASWap165sCvMT9IIEu++KPmzqxvDs1eXlUx6NjxX&#10;88ktjXVT+zOnhR5gnoVg6B67OiJwuZ3S0QpMKs0oHfXpmQaZiULr6iw2r5bUA2gfa+0vVGkEU8iS&#10;5tw5ONcXxayohQoQLyaEv5tdQpxIdLVfwD49gnnkc5KkBzH2HkF3NVf7HyUMHEi7pZcZfk4ez7kt&#10;UBlHF9JBnSryLXSEZifwCcZlILcmltdsAT8WKr1GwQsMMKBjZgzTMlPjmoLO0dJSm1PBbQHc0rIY&#10;2n4//TKvcM86dy9Xr+vGRs6OFUEAdh6pboEo+/IKoOhcIr7skO3jKvzryjjWAis/sEzYCFP20xRC&#10;+tGs2Iw7ErCTvfUMTO0IJIW2IVt0UpDZHp+oz5watyCzNUeZIqVZHT9XkIQI84k0BbsLIRD4V/Xy&#10;W7O3pPnc1jPQVENumwgWePn8WnsIw0pQU/80I8pJhckwd+aLlaBzUtlLrBcvr8tCI7/kjpreZqFp&#10;x2UG76ik6eHq0uzw/S35sHcEc/T9YwbMowhjHtQsl79oMQUwjGVAqBkyH+ArR+w3oX25gJhxGrWy&#10;f3ti2nxMI9gOqIAp4kaAeaFVmjFZ4AhRZL+oS8yZH8qcyzjU4yUgiAucqiVkXqzkfzMeKgnZGJr5&#10;2ArQ88quZJ494fEwai2X1oCFaE/xCefU5uQ2mKz9jN41f9baM+/sc7sk6IRSFyKx0xXYFkaq78qi&#10;0vmejEngHYFC1oolHHcPPnfpMHzg4rnsA/Qxe1GhAWU1MKzkuoYy44KZGQ/H35mUCd/N9S0Yw4hH&#10;+sC3utPL7SjvC8WaTA0fHCSuI9EIfU3wxQIBMGW44uswXs+mouD7mgiruc+za/jS1bMbykqkeoT7&#10;dCF541ur+o1oYSlsiyO5NBoAQ9QPf9qSbGQ2d2lgAhbwaaQlK//kl+tV6i/+gmmIv5jZ1ItODA3B&#10;YVOnKa9DcILCshf0O2UzqioNyEQ0q6azU3ynA56XM5uq5NNqtXSmfnxmoosqtYOZVtcQYEPTzlPV&#10;1Jylv5eqkFwcCSnkRzmnpBjA6yAfpPRIfkjeyUbTcXESvanWaqXIalHqY2pm9/Y1+S+1TgDnUCZX&#10;mFcKwiYK6kJATeWSffksjhRRtyPtclvV8h5JokeT9PUOtY6OlMCeYkwQVQ7KEANxn3aZORKA3RAX&#10;DRYgFyTdVMoHmt6xtL6t2XX7TPAfYMp2yTDndpV5BJOOoTjmV6JQnftUkjzP2hEDdPcEaYFJXSBk&#10;u1uWBNjN/MLjkzDM3P26iFQle/OkZkDGT/ZGc7F8wAnU/WCFzS0mahmHn44YREPGfmrECbYH2UqT&#10;LE9ICFHtGaiCMZdzs0+y+GSn7FjoQ7r0s3g+2Jj9To5rWIQFAf2NthzNyLDaErgviNblZ6D9NqIb&#10;6VtqTw/ENtu0JI+0+FiaRtkqRr8OxBmiPOUJC6LQcvSXrgNTst+nTm6iX7fUYsa+yn62GV6TziZW&#10;mQAAgP9/i7cnszKhy2cT7bloVpgE217V+u0WKKJ2Il/9Z/7s/2z4o3/lLw2PpcUeKaXleFvtgeTL&#10;OlZ7oFO5Oc4VmDYtP//X1CklmkppSCZaDDWZT0675lZUaRLBaC5ZnKSQos7MYxSOdjQuHyFgolGy&#10;35j/jDcFLwizHO2xhNZDaXZLuAIEjbT7WQD/hZswwVXlquI/pGsCuIllxJppmRN5TY3gFNYzQBp2&#10;LOx4vcEVw1Otz3tQwJETyh4A+0cy6+5VOyvf46pTYTIjQeedt8AJHF5jX+FxETK9vwlXskAC87M0&#10;Gh90x2bEIjFjGnDkvqkVEW5NKZLmtPM4WVOEsjHj1dOIEMlCGZ7iH1G2YEZZcaFzGE1vUX2R/Sma&#10;celaLCMjPNqiNDXceOszw08o2OmhrHS4oQhW6kjX4FM9nCnUnvsxl2Dp8mtDWzHNwF5+Zkc+5RBc&#10;DapZdrRd8rl8q81FECmH/cvBs6IbFxTu54RzjsRcP/ZymqpSBRwgckUUfY9zG2Sd0wG42xQmU0W3&#10;8azWBPBnHcmevz88ceFsqg64hRFdI6RWUr+OsjtolXNyhE+r6siU6s1dyEw0JW1yeuWqNM21YfXO&#10;LZlf3xAjFWOkiCdEEnOrJCBlaumvTINmhDL7CmmJwZ/b2JffSkxSmteZgg9STqnkZBMBHbhO+4TP&#10;DVvaE0mZNETFqU954CvKs1oT07Yf1FJnzESYXyjbhTa5o717LhPmc5keX+zsDXvSKF+oZBxpJCcw&#10;Mu3TsfYvkWXnwyPlIm5rT6jZh8PcRccldm4o2hVtc0ddtw/FCClE24fcDm9X0xGwEGmGNtzpDz5z&#10;I6zOTAeEOWRPIeCs0XUz+U4XqXhYigPb7BcJCsDn/mh8KWjg6v9F4JqRWWItBACxaFzAtc1EoziG&#10;4tLc2GhnhslFQQcYmekdml+CHkdkDlEIoeQ+K936zJF53Bd3SvZE7xmLHEVr+DAvq5TFeA23TWhC&#10;oviF0TuQCISzGSkJ2L1P3V07+BchI+gCQUBLTIhqR+qGUGX/6AJPigv3uBAE5nRJU/tEMFfCMUNx&#10;LT/sFfPmLVB1rjPfUzThhWC3C8hPggTynALUEDK0i2I4zVwM1T6j4GByzTgjCGP5wfxZ7Q3CrgyW&#10;0+oxd/W11yWc/phwUSkTwknOwoUcNM4H735veP/X/lcODvO/WgNjN4Ook8nYzAGYK1owEi5DnDd3&#10;cpje3kj/Y+F87zkwIouGhE4Klk+JRlBnF+b3S5+8Onzmuvxual9GAN2OigKQU7snErCr17hKtkWv&#10;dmSDp9oN7hFwkH6kVEtCRqUFKVYvty+jYEOZ/iNUwBh6jv03++b5j1vYr0sg0BWHYoJHDlar6lRY&#10;Z0iTwfcMranl+xgQghmxhS/vSp0ZDNQCWlKN/KnvNSCYFicATngtqR54d2cXnRkw7RJ4jKFfx3nU&#10;uY/WmVZvfYah5TGrBldMY81Ac1zW+vwvSg6fMScLvX2aNUnnxKKZ147NMK+rrw4v5qUASUNeoWap&#10;lCTM3NxC2gp+TOIcur6tp6DJXA5iGuvVgje1tst/exrAqaUGg5sZIVQkm1hnF/W7ARgxmwEp1MKG&#10;iYiS/Mp9ri9JIAEBJhoPqRYzgR3ZenFARFn5BUA4pM09m9li4kEbpeQW7xnj0PmBBLZA1CDmYlin&#10;5Os4cNWSh+fp+UnzFFOmXJfsfooklz9SDHJG2uLs+jUxSXVzv3ZnmLv1snyV6l+o7/k5ExOE8S0r&#10;8X92U8naqpV5ogLRRK7aJOFTLukZidunmed6K7BXs1+EWWtS+A6nKAMnOyUam+enPcEQhqa8IXPw&#10;qxvLw978rpJ86URBHVOKRONTTL3LHWpgClm3ZQJbuTrnAtGHAhTyrA61L6+vYgqVRKup3Z+65qjY&#10;KUusRWTb3KqHs8eYc6hf6dZAALv9I2UU0737YoA4xhPsEwCn/9kiZeoKotGqwvgmfxkiVX2CBHAY&#10;M0GYpv5aQ6zzd2oFiDJqkhG2+N6mYw6jpmQZ2xgDYGttPus8w/pzQHTU4LrJaPuOGm6LpptBGjkb&#10;QYtOXdaKwsjYSAQ6CJAQWkLTieADH2B3qO49qpiFuif63EiUTaSLdmtMAiv6vq5y79JhIKeuc+qJ&#10;Nc0SOtE0jDPl+9EeJBQsQgekcF/ClGi6ntkBGqY6RWGC9HmfD8NMa+H+JMQpn+Wg0sg2598tuC7f&#10;RXDct3/1vxr+7ld+WT5b+Srlp8Rqs7i2oX541/R7c7h+56Xhy+8+tuBGAn5c373hNUFPLZ95BkWg&#10;nKztqZSuiiAxXtekkwHbtxpBLgAR5r0vMy0jJ5CEurEExZ0PP3Vtyf7+3KGauNWcGVEPhn90vuQ6&#10;s1Rd2lUt5F1pINuiV8/2qiathBPwcUcuj2UJjdPqQOy8X//m3BxDwTwQ2BDEMi3DdvZ7wjACzCrI&#10;Ib/z8b7K2EnIv7FxTVGuYooiCtsq+AHudiUbj8DYehaa6ljU3HsXgaC1JKcX4OcuIEVDNg23GyI5&#10;xATbgVyORdDAiSQPHDgQBfqtZyIEe+eheT6yyToapNqa4bsKj/p0W+8d7RPFK0bQ9PkxlWh/TtSX&#10;NeqJrFvPHjxJkwFcEZo364EZItyDj2izpKRFgMoscKER74AAw7qpV5pmCrTBSgAiz0YowPLFjzTB&#10;SBYRoSO1MZ7/2savF5gSSiSF0Dgk3gQKrA3AUV/Om2AiEunIBNBcIAAxo5BuhF87s2G8Im4wAQcP&#10;4DNSeN20LnChI2mJK44G41lU1MD5rXHwOcJoAHKINVqCVXl8d5qHAgXOFTI9XLzQHD7yAaLtwDmn&#10;FYyzAANULctF+faIyJsVM1xQhNTJE1X5F3Cb6DI/KsHgRFJ7mWl+pfVNy6dpR6fMrpgz9+kKsPfC&#10;wSP4CY7FOM7ELaZN9CIYhGDHL4l0N6uILP4eikkepaeOOtyLb8v+vU7FG2NNWvOYAb8uH6bWtqdC&#10;z1vqOr2NP5MIWqWmoFnCzHbkj30OYSzKmwLSaGJoMpJkAQDlFBrAOVufU+aHiWFPhKNTQvgWjWNZ&#10;TBZkMFlszUlzw/TLuaZySgQYmy+LnpqYF2C3WRNBKEwx8MXzAb85YMwYBnyx7DaPh3J4Ofk65xLM&#10;ymdFE/MRFxS2eh7RIPqjJj6WXOtZfGa/Jmqs1xRTEs8ghJ+5EziwNi8NQoFQTq5Gw/CZIvQk+CCB&#10;Yay4nlljhGjEXOPUG4e88wNJlDlK17n9T80D+yx4xVm3FO6YMO9da1SFn/qCLDsIcOdQ1fZnz4zH&#10;zIg3bDJ7UpsXisapFaKHrCWZmHXFfNYRyhGW6tB8p7QouQH2T3aUj3TfcGp67kcpilsJi7+/fUUf&#10;XM2YhqB6pocpH+qEJdQZB7DMEJsI15ihkjVtExX8cTHV9Vd8T6UpNHf22u3TCof2hTO7ogu06mqh&#10;wDGH0CAYAEUA9IjlWkeLB6FdqvMKs6B4hu6h0OHJ+XW7hySxDwcKpCA4aZf0LTGzHQUVYlmhfCHP&#10;BW44J3do0ficqX3pen0qHz/R61dFk+7cuuEykleVJ8jcqVp0KkKOWTY/OWHjkPYVBpmPwWExcQUR&#10;HurZmDjZFog9BQ5cjMQ+Zny8pEOIQej1oSvhUM82AXn9BK/dbgFjpb8LY8s1AaOCpXr++FnjcyFo&#10;a/SNfz1f4x7b55HQKOEZGZsqPCdLG8MTbcy+ehmyPmupjv8obNffmOmBgeIzCODwg0prw+w7LyYJ&#10;c2f/YYiGPt1LDV0XQqiKYmb6rbLa12WOnH0xIvCyNqBxynNpuCwcCzcPEsecxXsRFtS2fFSbmYNr&#10;8wfQ0CSkD8LSvu5dxB8CcYB60U9wKVVQ0BxOaey6T+cEtELQHd+LNkJMaEaMxpUKSjcndN0aL90p&#10;DlVa6vzx6AzGEbooR/isNkacwvmR0zKjzkmjnBWznF5Wmgcmzis39LshOxZpImKQKrm2DIBobvZN&#10;Ya9GU3XPPWmX8kGeHSl4oD7zezFKokrpvgDVgIhejOkeOOEjeUXHhBiHyGHKWpVJgKT/W5i/9Nyz&#10;8yvSus+GX5hPh/idqXU16VV1HamFRLXu6yxozrwl5rkn6RUtk5zJbUTd4i7syYEYIKHwThp2dGIq&#10;469KC7RUXjDfZgwjWNiFv4uinPecsTU9+JG+TJRotBAjFeej7ztqlvgrslyMDAhOhpsQ+ug3kc0M&#10;O/rbFUT4wswq9DcKJMKQYTFI4WnzfN4blmMSDVLHrItMOEdEszQFS84SFMwMMUcLDo42Xhk25HOe&#10;X1RwipAwWjW5VdGukTbZDZtrgUCYoZkk/lsEungt7at1fhcryYbOScggOAf8SGJ3cIcRMR1baAAX&#10;ubpw1PvIZ1oP50tOntsStebp1SFNXyJgJmphxqNUwXn5jLKRo5Tu/arzLKGXD0J+czZU08HcT/Hk&#10;JHPnewgn+0pw3bMz4dLIzAqGDNeXmVzec3ceRcR59qfIi9eaN5lnmwaZNnBh8x9MrOqRoNU4AKQK&#10;T8SXK0haFt4Kf0+2NhVcJFhXFDXdEYBYt48zI8T/mjSMGEmK+Ns3K5ygGLhe0T6IGqLkMq4q+nTe&#10;dCNAynyjgcH8xJjofSrBaV8McU9/YZIE72zvHUtjPR52lJf9SEGAF4IT8p/J1bunCkZdho89tEBe&#10;zNqBiiLyzAPXyDKd7N1HVEXRFVRIPqH9op59fgIzaUhLIQN8n0S7but5+zIdw4DSfBytUMK14iim&#10;ZuUtLWF5jBuwtMp5BO99TnlruHARfm9DvjXc9jX1N2JiBGe+82n3YHoJnZsSDd7Unuxuyj2FQKO9&#10;cfvQYvqdWtKm8wT/cVbhAQgQXeoujC8/XI9/F8bnXqc6p1W51PjxyY4mhb4hWFcd1COdO1y9iEwP&#10;bG2iFujN5iYDbkw33Y0+5g6Alk0r4lljWbLRGPY9QgjZZBMtkJ1NiakIBjfnyAwoqYBRKg1+Su5b&#10;VHPaKcps6fvdAzmu3Z8kocAnshm5lYyRiOoDVR4IJY+166IDcYsLpA4nuGGlwLSav1GQ9T9pf2iS&#10;c0r9mJYGOaVWQfxO+++GTa4z8knOKjF4dvElXzuaHJFihKBnYoiOLBMjW1+5Mxw+fzycbD5WtKr8&#10;cQgcYF8TAs+NcB22kwg81iiTK+ZbGKMFFB04Yf0CbMWYData/xqchoo+YvhmS4si3vLh0OL2WIEV&#10;f/fJDWmNy3LuE+wknwn1FYVMziOU1OnkW53Iioi0TZvBb0/LkaAwkD7mOv+RVhnIQ0Qt6BjI60wb&#10;8M2A4jtwsXELAw14utzity1Ffh64V8Yvz8V6AhqoLQAFUzyurrUWlGkb3jwFvjO85YsCNTOBa2tL&#10;w3VJ9EdqkOvmuFJPmf+h8i6nJOjM2RQjTYHC3sBZrRliAnOD8KYeaMrsOaAE4qXnmaAWgrhUXcE6&#10;y6XtlmkK2mCJxd5HCxETQtI+WJtDvfcRUtH0XcvX1oNsYFwZTVdgdPXGBViD0/3jt/1ZbY7PjghB&#10;PyOT6kAV7sffdyAJ/ZGDwZJP2cYiNnmOghKCxy3VzoswEwJVp5D1Tk7HENFTiibehzj5/PKcE2aP&#10;BSh3tskTImnhDd8a3497IJ+bAr5+7N/6S8Nf/A//g+HBhx+oucbz4UC/e8+fqA/sk2FfLpCjrefD&#10;iQJ7TtTWi+o95/IDntPOK/asgrVYcpxip0+JliYSHKE7H4YQmxijvYgxYbpbXyUvt7bBQVbxyxHr&#10;sCOzyt/6w+3h7jN1b8cVpI4iXoe18haYsn91tD5rcJa9VzPYcT9zFimJ6MIkGo+WRvPUh6V4CP3+&#10;aO8lprmsFJBbN0S7bMGIefVAGiGF0w9lhp1Xxxb2jQbe7PQpqVdFG32idaTN5IL0oQ2XcQwyMArP&#10;9SK2AWhbBmnaEdgXlRIN3RIHpgJQR5xznQVqrjdcBeZTACSCgukEZmAKAJiWVmsvqKQDn5KPzR7s&#10;uyZ04abGTDy8FxZJvBE1yl++MwMrhG3jhpENhLH2WOHu0Thj2jRnrg3zvSGKBvrQgxAk/bUJzY7R&#10;IDjjQiBRmAz0I7IwONGU+ozOxSaoMOcEXpDriH+SZrZU07iAUIlwHSk2xv4njUkxCFo8uTIIwCbN&#10;iALg05L06MgOs3QNPNqCYOu32UvzwxyyJ4c5JZSmKF9WMg3mMEln0/SNk8+EdI+ZK9fzF5+kUj9g&#10;oJbQhb0kw8+uSNs8khn1VIxXgQZTCtIhif5MwHYqafCMkmeYpIhoxb/Y3RTsCyhE8sLlo4gIas2D&#10;v95X75l+ShByXh7mAjvrNpBr5fjXegAMvQMBHRJPFKOuJT9nmZ5zpY5BfJynzVlxBHrTCe98bt+f&#10;Hlf6RkwdJfgYgOvX9VO5F4bKfcXznW8VnuB95bUZXBEP73WJlmluWtfynNBFc2qbVOqvhZmCXd/A&#10;HECkQhjAPtoWwUGqFapqJqknqf3AFK70HbSEjuoEkWByJH9bKBG84qCnvmfmHMbRvhiYIiY0viMn&#10;Nv0fE61DOb1F7W/2o4gCS6h9TGBSNOsWEjlXNEf22kUKbGKTmdVCY2uD0UL9wzqLYFzWDsfdswYV&#10;ZhKzaeGnCXB+2/Tbvib7LGV6pyu6lWD84bbW0KcwxSHoZ3ngaKr433w4/pPFGTwvc7Z+7+/ybT4q&#10;opPZZZb+KESjTWPxjeW+DoMPgQkToRDE5offH558/yvaz9lh7eaN4dqbb7h9F4KqEwIE6PTgPFZ0&#10;65EqxBxIYzwUY4RhHm49VUNkRb8qAvZM0bE0icbicyqNCVoC46ezATA0RUGQ0iwDi3Fp2LwMA8RF&#10;Qd1Xnd2KcO7zH+0NP3iialvaR3x/Z45As5gH6fY60+Ys22HmDq1EQtQHp7VGjMMI8x0s1EUcrOU2&#10;9eS8YZAwTz7FDUMDaNEj0pXmBccryq2+ufGyyNUbtqrQRPuZOv88vndvmKEZtIvrcwicQY6pmwQn&#10;jaOsMsVTLp1mlB8GLbmocR6Y98kb/qaGXQX67crcnr6uQXoLZW1yuERXugqWfbFE7+of+BdBNaXy&#10;zCOEtzDG1I+NkLqk16GV8Ab22tgGxARs2w0QX1+As2FyAmhcSERYgDUMz16MgKwpIYOzZ0GE9ivy&#10;xgdaUlF2FKal56Bx8jyImZG+zLNgLBsJUDEZGC1I6TvbdMHcwzIJ8kkZq+QxtbbhauYai8AER7q6&#10;nLle6A2BOzDrMwqBM319TiAKfkg2CkmLoszkvpAAnALNJFaLKND/TggkiIkDWmYjR7HKBo959ViB&#10;N0Q0WaISNhwrcAAGx2vHggLcnnOYvndEy2QLeePuCK7IU+stQRGGBCNCZ7yQj9GaQ2hahJGcswGD&#10;xrOP5VfcPFKuZZVMIpLOvRL1fJzIs/J7rivylP05dk3EGoCTLULmZPkSCQltjpA3Md0ZsIuGNbA7&#10;FxXc9XDxDEWj5H91foaJaJ0OTqy1e/5RTBpUMql6jqXkvhfBpZh/8tImtximXKct+2PCokEIFFjg&#10;V9LyvsxEa1fWPTTnjWTZRa9tNhMcuIN5mahsfuMh+l+S7UlpIPpOieNaNCYYCMkMUcqctB5K/8cF&#10;elvW1noZXneYnJcJPeT6Ii48wgyw6MgFPmgxWQDbRaHRjDHDtvrMlCxJCKZrH0aGZ6uIiL81xDw8&#10;Gl/wPHECkawL+w2R1H7F2OYqQaHXCkSIANaNWfck2ZC+4WA10xMjyaWVXnofrpaj5E/N5dINmROj&#10;FBdowtXdw7swMs/oqipOO6rNXVAvyK//6q8M/5+v/lO591ZVcEDxAOppuaSYgNVrNxQbcF1lGzf0&#10;V1V79Jdel6vX1xX9+orxFgEXguqIWTrpCIdPZDUA389ULpKUECw5p2KQZypez2en+nuqWIGLU1l+&#10;rB1ivRLxlWA05d6nqverj750X02Vi2kaxoHGFtIKvDs9oTYnsGjEBuhzOqOVw2MkgpSxYppkj9nG&#10;WGCwdlElx1ccMTc1StN7xytIa3R1GdFETKN0DKEjCGYZ2cBcprGGK9zL2QVK8nckGNBJveWRxs+a&#10;U57c14Zeh7mIUss8vC0adXpCp5JSiOpcR9gtYAl9C73sAUndaxqVCNusA4HRDZ/1bN4TAU//2a7I&#10;E+dTwLAWgUZFIrTe97cmwtnQMMNsrBeJBheKOAJ0HMr85jpeZyMKvHvdJh5EhCUXxVJU5up7x8x/&#10;721MDaOfwLeW5NRIBgOEGFg0CAHkwTBSutGbsGiuEBfMGWy8TaJIc7oUpialzZpiE39Cqqk1ar+k&#10;xtznPsYgXx9ttxmi87tSo8/jVcAQaj1S5r4S6/d3qcTftBxGGnMEPj0zLtIYtBanHOgnRQzSNdzE&#10;Sc+EAHl/WKv3VPOr9lCYbqlQx4+bvKLV8pkWQ4HlJzINP9uXw1hSEHVPD4WQ9OlzoJPuIU9qSfN/&#10;cqLCwSLiawq/8KnX94GS/IYHh5m1kNPf919DBXtUEi1E09oOZ8n6YHZ60QEzmXlrm/Wg/pMjNYO0&#10;cEzEKMFYZpaBG1uCC9YiHeYzfnx8l2JTDHr6nwODIFwuGK/0E0XnzVFLEVXHQlfOJy/C6sGFBF6E&#10;CLkGJQ/hmcV0Ul9UEYWSoLnKmm8xOTp/tLiYvcpZGrFLuIE/0QbKzzCRYnzmA4NSazAFc9GP0NaD&#10;sg7wfUqDJU/M/hRrABPTT4JuvMsjIzemGCejzYYRtmYx6nNuPAyJxe1g/CmhufEdMzqVljhXtxYy&#10;cPepXoaO+qw3zbuI/ztabGt2mVTdxzi139mskJtE/qXCsZlNMxXTC/ZNZRHFtB7dfaKuJMBMpmSt&#10;VrgCMQQXSPWYl69/Sfu6IKvA4pWr+ruhYlfXxCSvqcOH3ks4WpSFZ14pWQvSms5o+qp+qtOSmIEt&#10;OqjENKu93WOLbRKLNIprQ39ZDgUEvvxgZ3i4rbrJpFJ51REEDQ3GkSKn+rA1vFwWzSiUI/cZLtr0&#10;XPvU35mU+rOcl59TQpGfxvT0135DpVJxafBRpm8xQea6om4imzIPU3nHQXI8n+Go78s+WmCr8yna&#10;lLOqzy7Dbj7y/3gWqGX9S78H82uKX0hKUmZaMNkmklqyv6s5FvaEyTvVJHfajwptcaI95045ufg+&#10;l+XHrVIH3qZZl6jSCmbNDfJQa1++syR+vihC3DYvSxzN2WpRsQmHEVnithTbZoxslIf1cwLINtMx&#10;dp2nCZXMKab1taHeQ1M+mEsqSthUY79RIU7tbHhoA0jGHV0T0DGN42eMpjFfEeJqqS0RexaSDSxi&#10;oJQ+1Xqda6VfCgMABNRLpH8s3QzOKgJ1R+ZVS9EkZOv+OUnGzOlEwTrHkgCdA2hAyjrzvD7dQE4D&#10;AFGtMGYr2GWaxFwLI5WAGoHBwRV00Eh7EjNFXYMflDOk/BDXoLHh1L9ydd1PO6YAsR6Eg5/zwK/l&#10;qv8CFABmTx8uj37lnlE0mSbMJt7sm8+uJU9vZ3CzCLqv4z78WLq58wq5jTB/5u66q3oNUnTgDAss&#10;62dgwTBQY+tPCH42bGQeHG1hla8OeNT9gQXDYQ1lWIeQQlz0d12l9YDHNIF1ieREyRZ8GU4KkE3s&#10;vNAQ1ZbkM0eZ3FWphOoly9JGOsKTudIDknHjRmjBMjUxeI7JIjjkrQTmMn/eM8cjFWF/vHBLUYWp&#10;vWtfpr51BwjmDHyZOcCwW9/MxrW5LkwSZplqKWGOERiDDMBXzs1np7OgRq6LZ9RZTY5DJ5wNUMRy&#10;zMZuENyE3XsdfG9C3Kuz2c97O/7Jm1q7b730fTPIJoL2k1obR/sLwGUlOQ8+sblWPjrWOEtzO/1Y&#10;yId460JwYU8C4bmivS8ehHqUEct+NeqRklZBxaVldXTB7TGvX7e6EjOcJ49NJnSXt7ui+q8issvq&#10;gjM1pSpRjmrEHKrniImc61kI5N/88teiyVQVm5CAwn9elwXAn7YfsTT7XJadCIPjmghKDScf39Ao&#10;BO2i6g3i2qZxRZT9B1JGNKlbq4mJYGK8KuHg3/6sTKWSOp/JLbS7fyw/oir0yI1yiCApofEAR7Vp&#10;eQntkRud4oap3G4mQLtgxXPVr4UmCSN7M8uK0E/3mz70rKcIySU6yTNcCJ0zFsOhChgRrzHj0yNT&#10;XY3oLFLF0F2VS+uYleSDpgvOtEA4a5gH0EnSHQkGiAfQQuRC1O27sGYRzaRLgvFlWEUI4kgBvZA+&#10;FKKwqhNFIRsX59mNgJwIu1QAwG4JYD0NDtcqEP43kYjRqcSC/ZiREI/bZ4ZWwGyqqueYUYWgBQBb&#10;mwrhtCAKh7EzLAAyEiIIAnthYp+DnBOjn1YgxQqvJRItKiDnULlE5A2xLgi7JVExy6MzHbL8Aa7C&#10;o32k7NU8kjVaYGO59tVmc6Zp0yf5lkgq0Qpcx7IBHySGoBdxNHH3lofJxIEMPYtgwko4QyLDMKc4&#10;IkzfE2rcvh+i6u6ogtCbc6q0oZvJQ7TEWYzPwke2O8+CACEo8boYO8IvVSTYytQKDXKSDUJuJ2kn&#10;MBiSkpeUu0iBgauKzp0hOEcdMjAJP1et1LkpVRZS2M+pouiMJBqD3sox92Geyky8f82ICxCsEcZI&#10;MPmZ4NXIuDnLNfljr1ErCAlRc8Ivsq1kzUWZsW11MJOLb7CjpxviwBtMK9E+JoSXuzCZ7lB6y7CS&#10;Itwdrboms1ICvwJf7KNxp86QCkwm4hCIOl+TPeBZ3z2ZvRaN3tYAikdXVGqdTmGen0eloJaSwxxD&#10;DCBuwBPj+lkww1aVQx0z76pmxJWYcWGSlBE0swROOQ7BOiEpkCRanWE1sXbg7Qv89fwbfkYi1wSu&#10;iF2nhxQ/yKaO59j4yIE34ofh20CDr7bVUsarOarPjYMtoFSOHdDcsNhQwIMCCrgZEibPHkdVbI0R&#10;YnlK/VyZnvdk8lTp4FgV6rw5n3nByqyiiWF+S6qXfD6t1JqV1WFNRbhXxBRXpEEui4nM6Pt5pd1Q&#10;iPz7T3ekhY4FxUYhrdXA9nkagMBjiHtBc/upO2gpqSChhWaNrOPSxkV/KKgo2Go+08KPxzYc6VLg&#10;hpxKXdQVg4CZH3n1xvD6VVlJ3I0nhTtIMToisEbX76usJbnMu2JGNCnYEqPktdM9yLmFoYrJOSoa&#10;WNQj7b7R74mk+ueKbCc2YYSRcT3FVfxF7uUA1rW3r750e7h9+6Zwbd90g2dQ7m9B58EaSVdhrmiB&#10;ThGR1o8PlDm1gJjayRC5IpZNK/yx/tc21t5HR2pq0t1pPJw8UgkE3iYrH0XMYPlpgNUrL7qZF9qB&#10;OUUJiiwwmpLznyASPpUQACMsfiWex1mDC8W47QcwcNZhWx0L+R+fz2NMCCaEh7lOTAuMWxFhdqoG&#10;kYJvoUa2ihF0g3yC9aXGbxMf7yEA+AyJwFwQk+SzY6lVj8Uge57usedDVmgMQM5amuDVnpp1GVKK&#10;wILoLIt95pra3d5itortsKbFnC28VGSs9oJzwsxnT2lFvfi8QQwkXgUHrU2rOo0eqrrH7vCelje6&#10;RhQT9ymJ+WQWIX0RLk/eEcEi+BPp6A2QLYmxkSiNj5gKOjRiXVKU07Ik5zn9XdT3EAC0U2sjpYlE&#10;myDwSYIEwQeKTjtSIv8x4eO7apSsknunSjtxVR8Cedi3IrYuGGymkhNpn5DfxDyQ8+IyNoz9RnsW&#10;glzhjIWYC+sbrsEax3oizTxa6ErGxx9Y5+YEeM05IBgC3UScnNM9meHIWzL0aE9hHPR/XJQmGHMi&#10;55gz5jvOKtUzwvzMFBGofEacpYoozC4Pz1SGj36EDrYBfpkHggFMoIGBmSOktaZl00HBs5luBwyg&#10;pZCXmjk214nLw08OlAHLmIx1YQc4RYuAoUTwclNrC81ophFuQzfqTAqnR5NsMdsIm5eA388zso44&#10;AVrH78icQgO8NNOu8knqMxchRxs2IwhdW0FQ1S85efjFOF1lV/maGQGzi/RrDrgNKPgBkbTuhzar&#10;77BOUATEdANBjudxPBqbVlL8OxJcovWfqP8iZUBpPWzKw/ZpnvPyRyxKi1wWjtyfWhu2DsU48e+Z&#10;tvUeZ5+DcZOfdj+NWrnPmcPMaY/0sBSLZoGcnWGyx/c9IHVooiEWnCuFIZ8Ah4JPTLfNePWXzhtU&#10;KDpRzvSxkSsuLPKbMS5evSQgByojdJPGQ8Q0KUaHZpTKo5RAQWP1XflXd0gbUY3cF1OLw1M1Z0cJ&#10;ORRtIhaD/UXIpaU0/j4zZRQI0ZZ1ReFTHP3KqvI45RK4dfPq8NrLNxyt7cpFFu6D+LaIwFOgNfok&#10;Gi5NG0JBVY6zyIaut3Tn6ReWj1sFBGq/CE1vYl0IZWStAzfTRIIM2RwlcQN5EdOcWphYm1ByUsVQ&#10;OBRvQA7XGlvgqP6XuYRBhehE0g3Ts7kOjYrEfAhfSQ1BiBy4kYYDBjkNiNF2IwXmM34SFdeaVC2y&#10;1mYTEq+9Zv0S1DMPgHGLyWzGsGkuJlY06Cmu4yOQDQIOlpjRNVPV7fgT9TEHbnAtIs51zpVjrqGh&#10;IZa1l2yd5QmIfaZWBLY0eQSYaiJss5k3dk4EQlFipIWIK78kn+gt+UZuqkgyZiA0tkUh8Aqvdd2c&#10;Xs+L0fFLg1i/FiOcF3ObndE9SEeRrEI/cbI6sACN0PqoCRU+ElrHWK/2mXA9hDM2WPwzpKMs37ht&#10;jQTt38nQRM+qHReRfAcKRDrU3xMRnwv59c6EVISbEM3L0bkOKM8sf3A2PsFS9nlJoiWtk1rQzpuV&#10;vwfHOVpCE1LnTppwBNCDTBXhygcWkhoWcu4ukycGfiKBY0Uh8oYv3e78yxlVvYC4c0/BfZvgbSKF&#10;+GbYGEWAreJNfLatHKoTUn1gCEUsm9lY5CvcyBFURKqFDAIqEiRm8NQcEj2XkmcBtODTiUx29Myk&#10;z50Zf8ESrXQteIy/qZdrlsB4wDjMFU3QW53nNg6VOOXxHOLeRBZMGhlwLWAU8fI+KBVYYZeIcJ7W&#10;PngXbH4tysX6ipH4Fr1GB+RK+/wlGODO2AcPPY9YbOyScBQgxecVGan31hKZJ1CrZ+HnRWOcowG4&#10;p0UfRdbpgcwgcVGfCI9WHL0eFPD5AhNilCcqlfh9gtKGm3rchJhOGF+9CnHL2fRA0NAiLf66YK+Z&#10;aEhBMVXf1vpg4WPBSwhDnoPXKrOsH52dhSIDHRHJ4FNM5hQLwRR8MoNVI/exBy7nZ95hiqR5GflM&#10;fBDEaIVF1eY1KxjFXL03KSIAUyJ4hQIDu+QyK/ftuVr3PFMD9m393RPzfK5C2tuyCpGasyIGmKAX&#10;FWl//NT9Iue21WcWn6VmMEulIvhAJDufadp1RYjlrFw0vei8zaFGOKQaFmVk4b4QZZZGcAbBF94q&#10;E2ZuEPATmFDIk64AAJyh34MGbnWt6RrYHKLPRyPi6jWmFCcIc1X2Pn6QAqBiBUEAxm3g4GEjUIT5&#10;1RTjj2iAMCBxaUlBPenyeZiEAf9IG+YkeU6k/iBagiEgXFyr0XW4JjStCZj5aoxWz7yYkq3YeCR6&#10;/ZqJFRFBXMyeTn4NS4Ev/ZfUBm8fxMUoEcxCQjWc1n71Vpuw+jyD4GYIMMVCClfU0JiYND59c3H4&#10;D37+ljW1BUl4ziny8JGiPJU5MSN1vZ6VvwNHJCZTCpXP6PopMUh6Ru4TSfb8qYopbw4X+5vKs1JT&#10;WCUleyvFzKa5zjlWmMQBIYhjCgbwDJ4U+ZyFRWvwtqDtgGC2/ftGM+bp+Y1hTsEKay+XhkHiuiLy&#10;YIbHuy9c8o5iz2iRJzQJxm8GAgJ/wLHstdOqBLN4487w2ddeHt6WdvXu9787vBDjp5g5Js6EaOew&#10;ksweoQiGqB2o+RgA+rBCW/Q/B9soqMDahTY7TVxDKNZl27bf0zgwIZRZs/5f+OFzACZrTO49kZCx&#10;M7NaklXuNahwbTHpMMLgSLShwEGbBvMIPs8T23pYHNBnAAMMAQ1zYgwTfwEb1gE01oTnl/UlhxW/&#10;arUjcvsbCGczYF+Sz0w862/wKvSHz7tQtYf0+rIGXk8sMi0A5PzRPkPPsiZriTV/1kddXcaAPDCO&#10;izQg9OM3B7f1HQIna4Qp4LtCJmLIedwZrJe16j6ItqsxsSd6DxO0Sc+ENjiLX5T8KsYZhRKEXsbU&#10;A7YPlYIjaSLC+KV1efb58dLN9ILvOTHvRL1n5pGWw/TrXAvOPEbt34hQNQ6wlXEmDNPoxfrwXxYj&#10;bFqb6yBhimsQgyLYL04h3eM8VTY5wHoxRa1mcKfG9/xhlCga4BHfFWOxVA9VI+qeVC3FLCyfD6+J&#10;5pK8dXSkesmSSDBlHkj4PdmfHt49Xhh+8zltr8RA6YzjEmkyvW6q+TG4SbcP1WKOuTVwkL0IDWeR&#10;hnnvQF7Ae0bmAXbabFOSZ5i9rigDuDXnnEkRs2xcnlWHBWKbEeTA+hwsUQJwvjmT6JeMYWQIGfFi&#10;Pqais4E+NIDm42HjBmMTe/J9ipj60tqEelILmpY4+d4TL7QZtdQmv/UNz8LpDjZAnPnaSa3RJllm&#10;9iTaQfaCjWbgGgtpEpZMOkQREMaz9Y6/PKoEJ99Sv/xp7TeBPBofZlYMrfMqm+kVGuR8WGIdEn9s&#10;PqVfmjVBDaBzPtH8V1VK56XzJ8qDsnQiX56Ylbpx4PSfEpOTo05/ZXpTYMfirVeH+eu3hjmFkFNJ&#10;Z1bVBMzURODXYUJanztyEwouLcjdBV7INCSmREeP80N1SlegCDmPM1RtqK7X5Ge607glePYvSM4i&#10;orW0abwBJgSQ59Jws09xVv5E+xVVVL1D0s8oGYdPQM8+kfZ4KpVv+vprw8KrPzq8mFkbvrd5ONx/&#10;+ny4d+++AoHU2svnkPOLGyAIzl6lg0QTnBCFTiEwkTDIUH1DjELPRBN0L8ePMRKVyFIl5jJOjKCS&#10;e8siY0ofPHE5qSJcfLavHCqa+LjKvwWJEgr9jJb6A7vt/4smljH92ptc+6aPTaRHhigNSYIEYfFr&#10;SiXoH26Z1TOnFRRxYndFCH9K75XwCiLoC3J0eRqEK9pBCa0QH8rMlfnbfUtNHxgIH0cRqVD8UI8m&#10;LnX0Do5resMVtrKEZo3mb18bAuMxOEPTlOBpp+bwPvQt1zsdhSH7vZ5FPt3lggJEQjJPhYP4OxlA&#10;/Gs/ODintc9J3dzc0ojyccAXWibmu0UxQHqpbik+wBV2/PzsUZHEbHm+6MMJLF5aj6+v9fB5a9RB&#10;+WJsdXjZA/6XEUaqV4yt/YsexzwqmnzXHQ1j1LmKDvz0X/4Ph9dfuzVsPX6sDiJbEjJ3JHTKTUGh&#10;CbkqyJ8kUIaekxdVrMMrgyDBtEgH8zPiEw9DjBhCO7DwBlI4CFRTNKeCCU/JVxZ4zMnKhpByd0d1&#10;XzUWTb4NPxqPXqsOjhIMJtf30uK9P2PUxQgDlzY69bnYGPfaAo4Zg/03Ype2U9Bi5PXmm/JHYzSl&#10;1vVR7yJ9oi05umMCyO0HtH6BmcZ/y9SChMj6MTUZH6IXOOfKGloAFnOlgRINwmbpHGo4+wSYDBTa&#10;lA5ssZPb+A9Ti5RQhobsF8+PYBPYy4qCYMwEBtdSubkpb4rJFQFynzpzxHw/8XvWsAg97K/35OOH&#10;hD+KH0vPJgZ1TV3bBc4pBlA0LPNE+kT69mxr1miO7GERwmbO7Fu6IkSfxHzsdkj4iqrKAj3NKCi+&#10;++JpciMVuEJX8/lH3x4OlDw+pRDmGRUin+X3ys1h9qpKya1dV0cPmSfUKopk1AsB7gXtsG7c1BwQ&#10;TATcSHMirhQnP96kMbIYo1IHTrfEJE/FmHTOM3QOp9Ey0TNojZQcH2GwNGAzRExbaUVlXwfXWMMo&#10;BQlCA4XGKqFIsDmV2juXH2ZG4e7RKHXdi3eHBZWMWnq8Ncw/V4PkzYPhysIVVYRZlSlGznSZX470&#10;64hDFw2QQ11SqitRjDBSOIB+bjjJe/b3iFwy3b+yIm8JBLoIy5qEDtIjLGSWAMSdhUIjUTR0IkxC&#10;HrJEJ2JvSwsMuW74KaJW2oLhuLhEBMng3+jbaQBvmC8GGBobIyMttVx7EzOwhc88f4ESflyj/QFc&#10;zSyA6cIL4JDEj7P1l4aX1lTYWGduYqpf2pW53JyJa7WmMu6GqXVKh82G0qLaZ8g8Rn9ZLbmtQJ5X&#10;FQkYpXzTlPotisDe4j+1O6LOjvSNrCHxAPZf1h6MwSbQCM0N361z/3WtazB5/aFtiaAvRqn3aIWL&#10;8j3iI6M27BznXvTEeb4wUF1POcNmgvXYPtGP/zUhyAH4X9GcZooBjDog/rT1oj6ymdZkFrwJhewD&#10;zW1FT7KMMiG2OZSrDSB+Pud8/fbV4ZVPvTPc+eQnXGLO9UipWaruDnsqKHAoxnig7jj7zx4Pu4/v&#10;D8dPPnCFLG8WljP5FGEgVO6aaa0Qd5fwAjeKNXi0UP2D1kHIHKFMEJPo1L3jueF9+RAJ8G2tuOHK&#10;vMdT9coy96w4vsBafItel/cdN28OEqAEiTDvNeKB2kZwQ1w9OPS/NY/YXvW+nLyjGYZhay7c6Wv4&#10;zCawIK8DaLjGmlgOtIMDOBSkRX7sN/M0YUj6IGKdkdBmvxjoCyYC0MaFoi5+hhlughpMLOpwxyRc&#10;f35pXTUfm3l9S2bc7CYmlwQnZGf0f+ZhTsdhBjmszbQGkWk2lw2Aug1DgNCjFEHnS0vpxZzNyBk+&#10;LjPvnz9r5t2UMccZMPBnOSnvhwUyAZzmRqrFD58fD994uiindnyiiyoISRMO56jRUxLNUdrbkZKB&#10;p7afyjQhp7QZo0yhhIQvqqbq8lXXVYUxwiBn1tWtY2VDZlD1uqNxMkXHxUjnNpaGBSUnr7zxCU/k&#10;QiaMEwW8HAt5TqU1nu9vya8nM6qq5OhBLvvGXjoNx4KBV1Gw3YvFLJ1989nqGrbHibFl8zCiA8Mm&#10;EDjYFR1LPqCi+F6/qg4jCBFaJ+1s8EfsqLD5ptb5UH12nuydDU9ViPWpvifvcl+2QM6Htkf4i3gd&#10;n1jmxTlTio5OBrzHrOpWTLauXAzXF7oIAThWAiagYvAGJguOC+4jaFmcUePVFRVIb1NT4bfPuYEq&#10;cBHGGdxowWiEgqBTYKdgpP3ehI7voy1XAWrvqoEmY6qont/DFBJ9HBgb06K0J7tLN4dddZdY0MMx&#10;U+VxMfuBp5H80RLTGSABCwFgPrOwYAkh2kyq/H9cs2lNknsm6VHlrjASVWBdzS8umoqY1rMT2Ffa&#10;rOefX89Uf93Xjs9KEp3FZ8V1pQiEx1ZwoMZx8IfTAmIZcCGBera1QDa7rESMrUxhp0mFqjYxmBDs&#10;8aNMadz/zG9CPNoEOtJOw08ztaIdWcpYc7eW6cW0OTpDNvG7rAUWIWFcEZpT9WX9wn/5N4eH76ja&#10;jqxBc7IYHcvkfyaLB7+YLSkGwG+IvYTIyouM7zKw6jk4ojmf2RbJJBA6qDKEkAvT1b38onHP6nq1&#10;Ax8+fCzcEg4ulp056VpFAL2QbPgkFSR04jK8ZwfzeU7N5m8oa+13TjiXNSKOhIevIqF29ZVgUhHZ&#10;OrAwI40BM/XXIhxw4mIO2YQwFSdRB40nP+y93rWUFRNoIbeuZVr+3ouo6fK8OsdetcHKH9eSL0M6&#10;34Xr5PIiCJ6bGWutwcJBmLWfW4N6XK8tD3VyPHN0mkkzRX2GedlInLn6/+Zk+tNMjWnUXo1TYvsg&#10;faU9epqNTBF3Rvs2mmXx5suwXMDGMWQORuwCmvQGnJKz+WTYVBjolSURfwUDbO9RPSXMnCCZeYlc&#10;vEcL8oCiwZwZ9UtPFYhyqL6PmVpCxOfEGM0Ul6/Jj4i2eGOYXlW+lEvIbYhxqu6qwsTxKeJPXFy+&#10;NSyr9Y47F6ClSao8w7SyK58edVWffiTnpcws9idkB6ObJMgjfi5vjLfnwqVikOvQdiFBkigNz5Pr&#10;3L09FNnngq/iTGrvjAKE1iXFb+gs3zaAJUJuTyWcdg9lwhLyPZZP4tnB+fBUe7UpXKcfHSkBTjUo&#10;4onvgvBrErCjBcYfCCG+Mx9fSMOmhbGCiyZqk0RmLsy5Mfz2zIqZj5PQ+57RH+kJlNBTBLwfVGDe&#10;ObCGMQsIYXIm/ATIaK/IlwP2ifg1tNbeQcSIojXD0OdOl0JD8s4zTQXMyKx9tHQtEY/Wokon9fho&#10;lmESmNmoX9nBctRXjaBg26a1C653CkfVsrVrA42yLBYpRRYNu8/Rc9U6Jqw3G4dcysQl23j//BQt&#10;giA16yjGiyIfWgw8uH1889r/dE255IKp6xkXfMIkHxqRcdyrkueUlsw6R5Oortkjp03f01otJzk5&#10;zzrY8aNJFG3oXxSVPn5PbEIDi4b1kD067y26N63mcRxaP9YXlHJRH7YFwGyBce2qOB++/Gt/f/jw&#10;tyX4SbilEs+yCohTfWdRTc/naTqAxYUUBIqNq0IS4OuxsMrZXh1/oFmh4bJ2wODLwpKuFYXIYVZR&#10;gKRF7suy8u5WhKI+ryBHhNHmJCYJzQ9sUZzsckiIriyC2qhUmmBW62tM3D3S+Fn3q2o/mg1wl4gr&#10;17aD2Y7w2mAWEAZQTKI+H8cv/88lt0Um4Hb1ATI0Mar1UEuxmUkiM0OQM2H2ol/nWfygEICw3uCR&#10;gWk2aKOXmDfX+9d39dhRr/k1zJQUa7lcmGENEeZXQOnxYJ781j62ybS9k8X/zJgcxWlbTckgRiqf&#10;qZfvAzMAZgIpRl5H3XMNLcuWMUeWWb8GshrDMGUioBdOrM5FaCrLWscVuf8cNaeP0Yz2RPBRxDaV&#10;5naiSZJH5V6R+rusXEiS7heok6iHgvQniuA6FLM62NkS0N+TuQKmSACL/ImK8JyjsPiatEUYI30d&#10;VVuVbhyujQrhlckEzdBVNeqovGwWJYmT9ipo/ymFlwgjB/rGkOWziQ8PuIy24WQBb2iEqBxtNiS+&#10;MQQE/leWhOI2rv8JxFL5RK+w0G5ovdflsH9nPeQMmDiUprytGpovRF1hjM9VjuTh7snwkK4gV1T5&#10;QlrllhhokqVlSpoXg5U/kH6Rhim0g0LI1MM0kGWefZD1NHy1uwohp6D6iNJ+ESmY2zo1yJYUS9T/&#10;v67+o8u2JbvSxMy19qvVk/ECEUAgEUhUZqVOklkNDjbYYIM9/kL+BzaZYxQFioVEFoBEIMSTV1/X&#10;WnN+c661j0f6e+f68XP2tm22bGllbHEyJRk8ZwXWY4pmOh7kVnASMOmoQaOA9EdtdzSJJcuCBvWB&#10;7ehwSQfCAaVY7y90AOrtss5VcRNrA7uWYxZcSmOcUfYGiTm2UOT7ZSlRzIFMPwjjRhmI9LNM+Ud6&#10;a0YmZ3R3cCoa7gNo9/b2XCfmRA22Hjj7XwlpBF8plSiOFojoJJp/xG9orF29JAAZcpHyMW6yrOwK&#10;40NO4Fo9y03+E970mCTXGE/DQExzp0rK6rrGbF79UygwPWBi3+Gf/j9b6ZsMikxl9lOwMb/1p2XN&#10;9xWNY1ULGUsf5Ek8nvvSyCOftyITnOA7Kc3HJJkpG3tHIZPiTyQMIvhoHrCyptN3lC+wqvDIqpTe&#10;VQnLNdXeLoqOF+VB4lB0/DXWw3iMy2ninUnpSZk3rUASW1S/1k9Hl+ODtE7SFM3SezOQMb034EPh&#10;RHPLbGLBrBTpPpG+rcgoTuzUxMxzU+aYEVr4xPFTo5r7w3Ryf0X5pmsbE6BnhwfhOwCWBVQlbTQU&#10;IBFpnvdBlhyr0WQeAV1wq9hb/NRMw2nlnk+jRRij585n3izmyMJKSFqo5IoI9EASK2hq0oz7i2Hs&#10;citChnAMEMZqpwb3ZCxbkbolSROMqd/cU8KY3qX+OHpEpJeZAq7TrMCsjeE9ZiF/+HZ+ynL37RCc&#10;mVHZQ7VZESb1LE83zG1jG6FCzCudGSY3BXMSos9JEnK22rIGWJOvXle51yABf46u2j3Lujn9YUXu&#10;U7rU0DNzWd/TnYY9SXaZatrUlf9OccC72x8N0yUdS0Xpw4LcqGR3LtNgXMSyoAxUXCQp+oU5lb1n&#10;yy7ImL2KNplYIJoCvwJMXCmdmi17QrOGoRfMnOGbTCSrEWi+EFkQI3sLnEnz17VRSuXyFLe8US8s&#10;IomMRYNjt90T4XLJ49WF8VQ8+5dbjEQHJZ0Pd7kw9s7X1FXj2i7VHw8uxk8iYB19bKZ4wMHSejbG&#10;9S2wK27QXgUzBpguNYqFI6fLD1RLSuZu0VvhR2iz2CG4aCYQJSA/eXOfZToKpo9dKAz/s7dCzFxW&#10;lwuVraCluN936kuOa0IQdns9rMDE/lvJ1d+y/l2r2I/1njU7BlqFyD1PdhJaMSyy9+wCliHWIHci&#10;3Kj/5G+SsMg7oCck85qTxMGCRdkCB1yjJ1ccjRiaUFgX8UB+ptIOhCGCD/QB1syjWRrjI3A91RLy&#10;YR92iXoVCAlmyucWqnG1mm0xa9chmptUNiq4Fp4CVh9LCDK2MXxydwc+zeN693oPs59xJgZPGCPu&#10;6TB72FpgPVk+dU/z0+YjxpaCtZUIS7JW00NPpqnSphnPOKB1buIZEp1GadB/AjVhgmsyXaVhnN4q&#10;PoiXiH210hoexokaWP8IylUpOWtKYsOduiglebmsx2Uyz4UHZI1b72CPKIeSMvrk5//j+P3bvXH0&#10;N/+zPVON3+awhn1tQDhwYDIjAgM2ikQTRsW6gxpJjGFH83UeAF1aKBmwJbj47c/jf4urMy9rXnlS&#10;jcVkdL8FSGGRFzYTJiBh18G1uyF9PNmIjAXSu3OKMVW/qLMrIBjR2Bwmkrx+z6HCKl6NZYXnFCHb&#10;LjU+8qkLmMs8k3UWUcRVWcItnDfrszWWBeP25JnNfww5C8RoT9Nj7UbJGAUhW6aW9crTvnNPtMDY&#10;l7HmCZSlNTfTKP7XMUMLWRDN9wSZvYv9IDPtCNaeD+umTRo1gXZJmeiBEfMulwgMWJ/Ziq/uOtRV&#10;bUoyrmC9FJGfiPJBfo6qoi6KhBLGWpS7kbPmVoT4tJxy+YM+d/9TMdnL6z0deryjQ+e+FUOTy0Qx&#10;w8WVrbH26Kl7NWI53snyccI6Vhmnd9DlRrCc33yg77dNLH7hehEhcQDykko4qGG6lqA6+PB2XO+9&#10;GfM6EmZeFuqdjsdRimhggyDUvFIQNCMoC1Jg4I221hKLXc+lVoxsN++9k7pIkimt2fWLsWywTjgR&#10;4PON+fHlJlmcBFh1UrhgRUYbvVkP1YbnSPVOdNY4UTeNY86VU2eNS1mOWCpYICQBbD18odcjnWKw&#10;M348JUkoCmhtZ+F1YpS9wcYkC5bCw6J5o23IO2wCpgdtWTONQHMjdbmcUJQc2yrODo3JRvMjcqJF&#10;usVUWD7MRhbgrRQZC+lg4YSGPblO6vD3zKeUxc5DoHi5E2GsEGpuNGFwX1BbzRoT5Rlc0rU+DUFw&#10;Shajyjp08oPdzmSJ434LWrsmE5d4W3jQGEsD1sUyIgSLVTghQ//b1enfefaslV+ySGFL0HY3a6jQ&#10;ZhpfcIcFS9E086prXaTvZJA88z68+pP7wAs/CEyjtIZfBIjevnxfPCZDNiPpNRZ/MP6Gx0RwzOZQ&#10;aqA+78NrW7iG7/GYc/Es3MrcuuREqdQ6+5g90YBLyPT3ihRpx3ep9+Z5+uxKpviZGoofHikRrXin&#10;89eYt/6hBtkH4or2VxQyWVXZlvu6Kmwyvjsfv/lJfECL9GmKwNYwicIXCuDf4F9k23+PhdxX6+31&#10;1wd0DiqAhokazZtz1tAx55Mw44foN+/jztBHFajzhjGDNjvvlQEYpAZI9O77QhRmGw9VrC1rW15P&#10;Tzz6TmdJ3ttjz2cOBlub03vbp83HAsNSiK0KIVGw7vHtuphWXUI6aBl+qae6M3mSY+xyrTU5ISMw&#10;D/M0ZpUQswmHNo8/PFatLRw91+7d2iL3TM2lM9ztTeUzNCmsM4Q4cAdp6hkeoxDIyQmecPYZGDRa&#10;hPPl+VgBPnTT8ABZZcO1kuE7U2aSM8mAtxiR4Vd05QVGSbKg04tzF0nopKkyxHIkF+GBZA5xhDUd&#10;O8BYGHTuoCMtHcHY3T58Yrfq+3x8zc5PFjrLKnOYF1Nd2lB8SdYix1Gt6fDLOc5zRFA+V4nD45dj&#10;+eGzsax4xIIaH4N0bp7rDMTrsfLV18rQTLkGR0LdKPnm9NNrdfN4rYzU94o57kswqsMxDFKERvzi&#10;TjHB+F9jZjvuxBmBKulA645fDFSPvu2YTsWlrJVD9HQ4txsnxdHABA0ZfEaRWNURWk+2sHa2nEk7&#10;J4WBlnoUAR+qa8auAHe+/nRs//zXOgT2yfju3e747d/+3XirMyfndcgxCkzqcVvBa80/+38/UcBY&#10;Fq0zQjHUZdzo7MKgLHiltHQpKFjwsaSyNuORfq+R0WqeEkRoHLM9zEVkDju7L5Z8Y19d6ec2B7IV&#10;VJoh7xF8XYfppDonxgDuWEyTQC9W1+fC2UKk8YOuIxP1RNm+MM9MugWxvBkwXP3nI7yKttz7NDqw&#10;R20Wxp2u3/SWRUE2iZeCHOdOmGvYXI3L98XQDV/GQdkVynCgt+9jbfry3OdQ4s4vgvVXzbAbdgFX&#10;W9JZTbFpM7iZUGSU6W/ovIm/fkdgTuCfmINhbW08zy6WUdb5hO4TLGHxp3L7p4Qk6yFL0x11hJOu&#10;RXaYKOe+OlexFP4+j3ZZvmL3KAZAJTCTra+xdfD3ncIqd3c6z7HmC4hARzxMv716pbGVbNcCsPj2&#10;DGIltA2OCQn/mLlm2tEf/MqqXSwPINkoe0XLpcEimtG2oLDTpzY7MUCoscFXzAPksFAAydCQC9lw&#10;/2THoiHxaoBCoGCcBWEEEFqFPYmODeoOTyhmu5Uo/9nMP+avC/5FFHY5OuJdgroWHa2jwSbSpHeo&#10;NX/9T51JwcKCBpiwyeEuGp8x01IrEw9p57BJGFshamsIBW2XPUAkDkjMxuRr1mE9tmFd8PCt+kLe&#10;g4mRGfPKYm+tk+vcADpT8MbOXKr8UXtYRMyMEXw08AVenCyxJAbnoW0BN8FrTOZtJlS4YUQp5SV3&#10;5Nn38Icm7Fv6ZoVuGfpvdZXDZumeIqagiR2QkMNzNM4GbldRkbqtOZASfEmiyu3J4ThVM+Pb179z&#10;Kvaq+i6uygrE0jtXjeLCqixClWbMP3iqBJznEoovxrKScJZkSS5T56ixN5SJSWo+gmlRgfuHn/3M&#10;uEdXmWvFLq91TtzlrizG/XeqY9zRsTIEQM/TlB3XmyxZenjSncX9Ue0dDExDZCR8obS5tXpcqTRI&#10;rbilu26oO8wtMcJywUZ3BcacxKB4o+IjtIB6ofjoZ0+2Q3sw1rnX4+DTt+Pu076O+LkZv5Yy8F7x&#10;xk96HYhZkCRgRuL9wKXq8lXPa2KCRWuh86bR7JeFjwV+vmKuuBL5sXXl+Fs6CklESeDT5i1OHWi4&#10;s0NdYkPMDusciIAPZrrgDYQf/AlVB7n9LqgU/mL8jUVrF6QzCjNGnxrOlSZDYkZ6A9xpj8Wzab+3&#10;r6YItuFLcPLE6OF3Y137Elc2Gb5RZpvXtSXitWl8k5veEzuHtylPqlzqETo+isikX7TOtRaA+Z6s&#10;U69HiAxdG176nlg7ir6taK4HN0ycpfSXgG9IhbM0Pff7fmbtpUEEPBL1DMhmMOYj87r6vLOrJ6EY&#10;4Nf+RHCbn3nDojDlyeHDOLrnHUQleS6wAMaE8q1cxakw8VfDON/4+iUB02aICQA+yHmxUpDlDcOl&#10;irHgXI2w21LaGUNKouoqeRHywAnXbvTCoMyzGPsk3IBtNss8O6BJOZINItZedCFXLzNileVyaAzC&#10;7WjGysQD+MT18rwkwPBHPmuGG+HUmkV1E8jeGLTThjFzEAPXB8jCBPs6u/eyue2fTg1dAM10kmyk&#10;P8y0+JDFIqHzLP6ZpH4DiE2pZyQ5JUyHD+1dZDOspfCcpD83fB1vYl1ecj3ESFyoYmBP2Jh1caoD&#10;G2shWgjK/SWcfD3wsjXYWn0hwOwRQdbgbPiwk3KwwvVH8DIviL2Q2RP34LVfegZ9/Ggt5A5AECs9&#10;UNU2KxwsG+m3tlBjzXjZKZSaYMGgtKWj60UMJO3eBOPAnznaatF9qqqwhqg8Eac4U2pBmvjhafVp&#10;1He4UdfVvJveomrc4h7mV1xLc16VUnDSNZKIlkjLMj8XJRCXFE+cJ+NUTJh6RdcuSjAuP341Vh69&#10;kFBUlqrcq9TY5dR3pXCzZzomZ/nRk7HyzZ87IM+ZcHcq+kUwXh9+HDdHHzTRHZVs6BzAK1mMKntY&#10;cI2qkdaEEHBkz6K5Fi4gQB34R7HTfCeGTi4iYIyWCi1ZGSlpQCExwzgxQd12tjXOv/251qC9imUh&#10;+OmfA7lT3ynG+FZZS+9kOX5Q7PFAjIhTyo8Fr0u7ZpLExFFd4LWtQG8h8w8lNt3a5VxJMV0fSLNo&#10;76oWqcOCZqdoFA7wy0wQoSSlA5f0ZDnWNRP+GT71TKCl984g4Lcm5bht0YSZW2lVs3sC27i/UI6J&#10;EeawYsowmANHgjnRyONVAo25DT0/Kb5OTM/M1XSe95NL1/sSOkzsMDBH4XerQ3P0MM2mw1IhvEwg&#10;HpBS4iGmbq+IPio6jzIRZsyh2MS5rrTf3by+lZn7zJz3Uz1gjZ+/SSiKV6utz+BV8ZgAvug1oszK&#10;hPEuQjqbW5hwb78yZonD+/RcawP1rVD49oxj/GJd+hN91vaHZQPuU/IJ+ACgKjOWk3XMYKJIkYSM&#10;gOQzd+nRpT7vtdaTkJkyo3Vk2EUpkxGABZDGx0ZrVgjca24FiBKAucdJnmUxN3w5oMD+7Ty5RuFX&#10;+OfEXJubsoYAMoSVW4OAXZTpLg0mOF2l1WHxxJWX4lT/cG8xkgYmz7eiUK4II4Lvyx7iR09XmSBI&#10;tMcSHnzcgtJ6VmlIjv2xnpqPKSHEkHMQ4/7ziiCi+h2NIfdZuPJ531umG/pi+tHNkMLXGSLlxuQ5&#10;pWSEsgJTd4yxlVhbZioMQpgP3NvYifA8lxJM91wf2Y3AyrD2UCV8C9zMic4nF2JwWDtJ0wZKsGlv&#10;fE1M7wrm7YZlwhS4Znd6btMGlgJSk2AbnHKvH9yBjFXrmpdrV5WDcncSA6B1W2bONhyqHu9I/QER&#10;nGv6fkFWIq5aAuaOHYtDIcQR0HSsvz3blRvjk9d7h0WluOCKivQXN7bHmazGuVUV8CMcHzwbS4qv&#10;LT96pd8SknKvzisT0fEcF3GLoWrseTJXZVG63TUF3RKMLuqXtXj56U1cqYfvJTBVM6n4oPddzzVq&#10;xLwyTsEVvHa8imoxRScMMyIRsXHKp6kopsWlCDzAzvr4T1zXRep14soVB+e6BRedVlTDqQKpDRX/&#10;fy6rcdxs5zBXuQTPFKs5VDDq47HaR6ns5b0Scn46upKAvB17qsw+n5S5JOLYU4ISZBpCm1fNplzJ&#10;q0pSsDVmQZofSiPyEwXQSULG7qALZS/4w8OEY4l2958pw7TxubjFxFg8ZsU6+5SZun+agN8Evj7k&#10;mOYLKJh4fOQrO1NNJg2ak6vQP94BR31pBp944GzOZuLwmmKiYfupfywe7bUhOLsshb+bzkwqjKGX&#10;w/r6D7i4ZjQsJTig73h2e2couXisDOEftEfhHeA7CpP2XBfx23yxlOtWnO2hyZLEa+CzM+FmPlcC&#10;cBJw3psoAW1hz/hl5tVyIhYRciqr8xjF12fglDUn3Gz3sDGiLIw++9prraHjqSuXKPxVf1IOqBwy&#10;CzVwnkb8HKJ+oSCjuYppPGeyMhOEI4/Aij6UhwXrPOUswYXZGu4tpiZsDHX4q3iU9yMALE7+R0qD&#10;TpEIs3TLtDIbax8jAFtmFdYzMcenbTkyq9KADcwA3gKmGavpLdrfBHmYYgkvC1ILs0yy7aEWDp0o&#10;09dN0gGBxfyMzbkf69DBWZDRzwzimzfBlEr7yR4G6AWVuAM8l+yUu7gAa9NWgBnBkvH8YxM+q0py&#10;TQbg2b4N7u7zyxohCwR+RjY+1naNUcRlqiFuyXU8z9pREDRgSizCczXCBhZZVxGoPmAJdXxa8Mbq&#10;L817Y/XibzWc6acJADyngkMpLV6r15Zr3PHGeMiADYlClE4WMuAyv1Kia3/BsUzSuKb3WCxusY3F&#10;ozGxUJf0Oj/hICU+l1tSa11Vt3oC7nSt5xDb2yuSVQp+shZP1bbpTKd52w5TvG1R8SEOPnXDX3WC&#10;uZAbdaxLAKpuccHlGuqHuv3chb+LZuS4ASVkK8Uf5r6gaxe//DMTLzWMtyeyFnffjfM3fxjnP/7D&#10;mNv/Prhd1ouVJs7CxKrTGhcKxx0DkkDL6WdWj7IfuEt9cnVZbBQRK8PUZ9+RKefOCGh+1ZQcQYGH&#10;REh3c6PyC0tanVd4dzk21+/GFxtk4FHMqebCEmSHEoCfTtVkWG7U16qxeo1gPCNDUS/OvdQcSRAD&#10;T9aUWLSuZAQEInBwXFgz9ckRhbaOfBSuGg8hDmBXDDR1e8HPP2bMwZPGmdB6YBChacwNgRZKzT4P&#10;L0nTcjwDKoFwJ6kIjAs609DkmRNya26Fss4MRYGyANTQTkrTPbi5WXPptP7t4SAPPg/KT8KL94ZB&#10;La+vt1VE8ljBJ/g7cYfscdEjig8ngCypX+3zZbUYpMichgGsyafOt4IZfsr60hiAuVms+McHFBRv&#10;S61ksXXzhoZ/7YJhm8+4Dt6YvQm4+6dP/fD2Mmf+a57s26FRb5YTtzgGrusE+Nauef1EyZvB0vph&#10;jck1OX0kgpCX7zFfDc9yypn3hWS0XH+u73dQJv2Me5nPxjWYVazuYEmLukiRiftn6tng3HKPl2KF&#10;3mPCk+TExVYYHx98hE1rHaw0JQk1GAtA+JS7pbcihKRreLAhlIXHKstVLTANhGKQiTfWJXWt19wL&#10;seupVmbXQAlRrdRuUgIkjOWbKNTXrT6KIxNIK55pBn7jy/ViXbhBGmBuf9YTtWuKYN1sMe0q9nNK&#10;mgUOGa+RdBIuwKKm1q4gD2lq6WdNKkQ2trRYnz8XLK1re0ezP36shIo1zwLP5N3QV2vipc+XiH2y&#10;Ch0ga8ta17Lf3A+cEOI19yaKbAXIxqsWUBzHAhq4cxH7rTHspq0993RbCyd2aSAX42OeejkbteaL&#10;0F7neBZRWoZRJ5JjJdzsqUaJNagsgWdizdA5gizUJd3kgmq5TchYxZC5UjeLcxXeU+CAVhihqJ6o&#10;cqUucG6h4nBYivOKI85vKL64qa7+D2UtKv7mZPYrNeSWi/TyaE/HOKnUQ1bXHcc4XevgToq41Shc&#10;HLmR0gzcRGfmBf6UB0EMbMmZrnWkkhkaGapYAZqLyzfC9HyChhuLg78IPMZInVyyf71BeVa75/UZ&#10;/SjdPL43vTS7NeHCNw9Xxi8fiYV9LsYrGjiSANyV1f36MNbiT0rr3ZEFuK9mxcc65uZYPmtcxCTh&#10;bFE7aj4QgQVdpq1f0a76y9753LZolzDTuHtjlbUgDGqH4CZlrnAqOG8GY7fdxLwYz8zYQ/n5SYqJ&#10;ktsJNbhuXcdWx5vFegqj5/xDBIbprHaqBRrg8pnjvhYcBrRRLrnWdoFexsHCz5mAnmWLwtTruFJf&#10;68xT7mWMYnNWkKVw/u3ds/HpbnW8fKKzRc9WY3Frf/mN8sH63AZMg5IV21bvnJKiWjCazMqCZK2G&#10;CfwM+KFDlNTNnLNP/HQ8tS2/5FOU8WAeF0XDUDfMm0dnDKxYnyMrWPmItbrEsCpJx3julwoZ3KPr&#10;5q3IeevZZTi08mDrG1h7bbkX76TTQBhHng7Hn4GjkSH/xPOY/WpuPi14enPv25b+hVN1I1ZqrJb2&#10;0RuGtcIGhn/XxAPQwGimeQSRApcCvP5sWQHSspp0lPfD7CIsUgmGt8uwxsizwd7qxG8iCQEklZ1n&#10;lTAuq4572voLMYTw+JWkMwLJ3BjGHeYTrceJOMW8w/BzXYYJFXXhbqgkGzSZykaqgmNpcG2llno1&#10;ucvu71nAcX+jaj9ro/x8q57Z1WYKkyLhebWlWetlunzOsPBTvWCSS8pCefZMmZak68ulKM+aER/r&#10;jkvZkwJPKSo1t+mhhVkmmjCOqFg1PWDKd/58wtUZB6qlmaFynbG+tErDO8Ol4Jvv2HvFFGXcYC9x&#10;+foKZ5vdiFkrDqbvd4+wxtPdZkOMkDgD8UWfIoIvHkYhJnOuDEw6ohC7wuVKr0K6WxBbdImFTmtf&#10;VLbprYTgkmqZSAS4PdgdY29XWW8cRAyOM7GqhWPRPlAXVyXLyAaZkRQzmOpNgQXMuBSaQkLDxcqp&#10;ZQD38Ue5ckhBR8GbNiTnovgDaAeNBXes3MXGZRflc32uiYteDFbvr8BtbfKcUhURbA9kifziEVbk&#10;ik9EkBdVccaL8d3uwvjhYF4WI1bjxZgXvM6wGAvvYErLnOJBLd+Zkojkfs6pM9HBLcS8cfc09sZv&#10;Pjey839ZI/2dcaD2vPHA1Nm0MDuJw0lLBr2sXVnnjg+CKo7TBnEMa62bHp7e/+YBHg+uGgHhqYKL&#10;Rshi7OXNaO9KK2c9v5YrduvpNo8dtDB/8/T9/NLB9Rs15+3io/FGvS9XF1FGIsTT9i3v3XfXa04M&#10;j5KRthQR9D6QlkYXdDIqYWl8A9eqx2oUqViP01l6tB+z9yDxPlM4+xRmFbqv3/bO9WZ7o3qfktTS&#10;Ar5Yk/G94cM64DdYb+0Z6e/MhjOcadvypnDK14RkylqPDCEWbiEvujglHoiSm9kWY/Hqg2utndR3&#10;k+JU0oC7Gu+i7QTZ/Ll+lB0axtexuhuL8Huinq2BSOveie/DXMkcZwHWIAJMRFua/+acqeIJNeEs&#10;OG6YGSD40CO0O6WhXJvi6dbKZlP3pHNLf+251IpJ7pjQCmtWyNWB2XsIOglfmLLm7ZZiUUyjDXpt&#10;yf6zH78AMG1eIYrjIJXoY4oCIbPYjFWKg/G+oOFCZWBWrZccEsi+Bq61SbHOAssYYq1AIMTj9sw6&#10;csOkqddzDBOtizq1A51qTS0bUalFklDaRVAKysQQ3PA2gG2BC59m/lQMND6EobXgK2xmTBijU7n0&#10;6szZwjp7F4Cb4VILrWeZiZYQTEZupXJXvBdjiS43nP/HcXfnYtJHioepVlotqUgGEUzF7CnfWJc6&#10;iRuVYmzXNTEdSMZBcAlTmv+qN6rT8jkjTuUZixKAy2oHtaHEmWVllc4/fDLWSiv3CRzaSBoje/+N&#10;au16yaRpRGACIxXeguleqpIFpqxC1UbOW3hRZEDRvtikrb/EUpNhGRhle5pcLW3znQSgW5RpnFtl&#10;tS5f67fjZUkMCVkUI/P70LVPP5HLVQURfhKG5zZdcdRL9defAXslT0lB2le6+u7Jxfi4f6oknNPx&#10;URm+88++Gq9+8WfyKj8Y3/3uD+O//uNv5Y+8UCkMDrLgwcQ4i/EF0kWThdGJ60zqau7Vc6dCf6Nd&#10;8QRPO5ZRn4LhMh+Ncaa9c0N4+InwBMO8GTpjUtph4aUx2GIUgrCH2r8JTihYmTAlDT1fk6Lw00k1&#10;NU7x3cS/uKX4RKeDpkIxrn1wxC3lhH/v5h9W0ogEunAjLt2aL4k0CLM+8VljLsjDMb8gS5s6VDWZ&#10;wG3ahsq5Mpw5tcXHVvlwbBJ4Ihxt3TXdF+1S+xkYJhmn+SVr8h8lENzJBhwuAdT7yYpwLTvBCJ5Y&#10;TzCueo2BsdmQBnVVqcZwPSlz0RdJpqn3/K2X8yK41Dg++2EcK8L6TQLdhcNd5R/0XAs3guH/3Z21&#10;JK7yBgUek3u97s+yAwHyF0tYFOM1/66u256dOUd+ikF7ULLDTMIht6p/mJTcmCB902wS/qgZXQ1p&#10;/Lv3iPDDMEfPzjI5CFwubg8dYq9kG/4o16e/aCI0lPOKcGbQ3GOEIaXd68hG+gfmAwLBNFC4/TCE&#10;WTE8eDMfuhgU4u8bA3QH7s29YvlOmhAEEw/IPe0nYzItKwx6lMFd9/bc3Uu0ntUWdZhc4JA1a6xa&#10;r/eXbQHZIP6KXUAzl/qQFP0VW5DCxPbb1Eb4zL1Cy+g3BQ/gck8ARPGuwHZNAdiGeQRVTeiW7DML&#10;MdYPi50RXXSv1kwbTqGuoFHwwHjn+G4pBhp/XVYgx9TEjaJ4lzIoafFFNtq7fT1XX6yqZnFT2afr&#10;shZVcZgaJ30GzHDzREAoEUWF6+c64eLg7XciZvU3VYzt0QN1uFAGJPWLnI/ohBjm6+OCKKKP1nRH&#10;55PVJ5qEnqDaQ+5ZkAvWBf7KUiWTdUmxyTm9PxED3/n+d2Psqs2cslDn5X5Vtk/wjyYC9F7UiRws&#10;nsOBDQUsdXOOogXN97YsCh8crGPSF6pBeHYtDZGj4KJMlP+7aMPWAeURMOoSYLiO6c7yZGt5PFd3&#10;ob/44qHH0SmU43pJmbaPF8d7MeGzldvxp58/Hx8OdIKAzMkzylFES1hoS/QKtbQpJS9vjaOxDkCA&#10;UDz/JpaY+sopFpVNj3VQJ0/00VUIEARBGGP/sKhiVAgzfbzhuEZ++row5eBs8nGbOed9LLHgLvG+&#10;FnYdurA+6TGKjdXAfhKfGYeTIMOLhJD9xQfjbF7F3wuynkX89KS15wCrrbivaaKUYmbRcUDiycTA&#10;cU+z9RzUvCqlg/ZyZuJ2p8qFWoL1TBZ6XKopeo+rFXcqcCTWG0F5/+V1wzsKfj49pQQi37Fm2F3H&#10;UTs+2oZM9tBomQz/2uMkIIXXFjua3My97/6O+3xtBKj5beEofztcWt6GbFIJv4nv3hdQ+e6P5Fph&#10;wCw72h9MSKHEmOBnBg4DN0+eZFhppM5KSrJGrPiZu8LCwRqqxmh5wBjZo8KYLBIz1zzRzwxCTU2e&#10;/VkIJxKvLjIjwITPhyU2ClIhqtTzebSMAcMsQMZAmunTpsFcNhFnA8WPQBNyUWsJg5qLI1+WNcWs&#10;TQ1xCwZu9YyK40wWDeN4jple+wOaIXi5XmOQyM/oD/sz7rVwrQ0zUylNLKCPbuHfM8EaZOL5ATmP&#10;J55GckBnCTYS50T7XBsFg/2JZez51XM67hALMEIqSH5PUJnh5aFRHjKm58P7JsQJZX2ltdC8Awg1&#10;97I8iTWyJxbonmAsAG6JPqy1Schtlj92Wdr0hq6lLONM6WgHuuhEF5MlSxxRbQ7HhgSju9vAeNhX&#10;11DqKCBiyLIyaRR+PFTAy3N1zQKna1OLKFcgCTgL0tadHckek8X58pux9tVfjLXPfq6TM3T+Im2h&#10;ALpPcI07C6tnRcJq9bNvxrGKvIk5Lsua27jTkVMSihc7b1WmsefeqmPu0p1xcr6j/dcGYkp74u5V&#10;Cq0EtM53ZO8QGLwoftfvBQlp45J+3Hy7mIlxAnQu14Qtl7IUncbPzkO/ushOBuHMij5dU+edZ88e&#10;j3/55T93KcCBlIb3e8fjx48H47sP++OHj/vj46E6g4hzqaTRuwtT8yntxVPiMQquxXIJfRQ3CEYg&#10;REzSWDBJ1CniczYoPwgKGLw7jRS+5fcYm9r3VRolMFbhXSfugNPOGC3GbWuGAWH+RUMpQig+yWf1&#10;3vK6xquKrGokkK1IJirryvqgs72lB35AZ382LXpFxQwzbP4zRdXa2xvCNuGx4AR2smLjSq2G05rc&#10;xvaKM78jcLoONCdxuPm4tF/PT/gHzNoyNBo1T9Efrh8tHhysSRyP2KqzZfUs8ibawWN4NJ9l/GIG&#10;wCv1pHGTAkCzy+nzKMV81rE/P2ziEVW2pjtQ2t2qsHhHsYbatLqhdivco/gHkJwEZsmGgu3MY+BQ&#10;S5YKc3FczEgQRGKldtAUV7RmoxXZtQgBWSZY+llIJbkwyNpdEOK+qzRetrhw2U/1w7iJZxQwPWIS&#10;Ldr9kcaqzK3G9vuyTrzqCV3jnigtswWL5+Rl3BPAJa09Dy6kjKuWGkYRRMw6Gutr8jy/0v8nAc5z&#10;4XMW/GBWVhEYcb15oNdmdwNJfNr9KKslePQ+ij5CvJQM7q95tQbrkW2ZzgL3TLEzr7ihBVOou34g&#10;RFsTlEfIIuoULWboe6IhgrWOE1bWrS0JE2XGmYaMdnHPOs++TKUk7er0XhYcTHUlPE085hbeM4/P&#10;q5MhfVPGs9LLrY13JQQ9AdzQTgxhnoKv1tXWBQX8G/p4XeumOJeG2AoPyo0qZiDDa+9Qm0YnFn2P&#10;UNxex2pULSLJVWTtKVcbgWmiZp7qAXp2Kjfq6Z7h5cbBEkA0C1/SAHO/+zjOvv//jHMyUJ98Ppae&#10;/WysvPiZyjNejgWsQR8mrEQOPe/B+uJ4rOzUW53T1sXTt3f/wid3X6uLztXeRxf0X6nLDQcTc8wU&#10;rAjmT/aouylMihdKauyUOWn/vOZpTK4sUhCPg0zdEgtm4jq2sHXvpZk/MOa3c/QilMwHyHR1IMAu&#10;dM7Ug9Nf6VRvGPH2+rLW8Hj8+usndsce7+6Mdz/8YbzbPRhvFFt8q2zUtzrpe5dTSqSIyMtqRo8r&#10;16e5W7h1LLHordgCT525AcNDbKnp/iX5wo8O983Maa/W8w01ac+xePSundGl2zclZ725eFIQLbTq&#10;M5i5TxznkmJPFl714lcnzUSQ5DpbSRYqpnofLXWirFCsjespoS5Csun8HvPz24yFlQ7Sh2ZbuIfv&#10;JfbnOVihU3s5uv6gELjkgnDBoqzli1IQpHTRTQfs0R492N5MfBHDwgImi6YDz4XusRWZpXs+eFfu&#10;n8EY1/HMxdnXFfn5z2bpXOiMWfhjllPzLm+G15fPjJEFX3vgWB9JbpO3ru/OHrcxxKd+Xhlytjtb&#10;YtakZrKDOZTSVdoIZfgezpME2J5kPQJkFJBcn6Vr3JWC9RcztN4SeNQ+hj028wxNaqz7qff3FjrF&#10;mgB0LQSZ2tpRtN1pLybB1wjtmbJepzhm2yJ0IR+DRh+Xw9bIE8FDe598DmHd223WXYoAHzfjzq7W&#10;BsIw+Luppfalnu7xIoNrYHNudlq/7m22k57doylaNvehbU3jhI6CMN4Ui9S4WfRdn3vm+Wf7DEPf&#10;XxQZCNSL58MwS3hYC69xnUzRSGPi5J7S0HtG3szc0yd2FAudwdAuTi7IKuiiY2UJFzDC3esB9hEq&#10;AVNhm6fQSG5xbNxxwbFT7cIMoiTkycWnvWcpgSnFiD0kJsyzudYlJvkeBuGsUjJM9SFHIdHXk6Ok&#10;6KS2p7ZvqqRMSIDH6uEPdd+aOKI77JCJqu/s5rE/SM3IL499FqIydRzzW6Qf6sfX4+btb8a13Kd0&#10;uZnbeKa2b2r99PiLsfiU1m+qSZQAvMGaA0hYisbJWLbLD1XQ//jJ2PiTP5dwUT2jMl05d/FKhxJf&#10;q43aNZYiXW7U1s0Whtu+ARsJBDr1W6EAWRCEWhEdYfhNIB/kRbihgRWiUypBO8HG3LaDOEnQCAH8&#10;cAN3e7muZ2Q0mBS1mxK68JAHanP3YP5i/OqxEpE0JPA9lNKxK8P2rY7reqMjqRCMH6WEHIoW2QPg&#10;iZeIkhnjtmk7gqC9A2a8WhiWUGdUMi8M5Hb/9Qo2CO5NP43LVhGs8LVFNzFeb7aeWoodt7bFaKuu&#10;EDYzM2oaf5pG2x3Il5P1oe8PZAVyJjqdd+hBG76kn/IWMbOZZ6UmXPSLkOrzEy0ETUyhE9NR4bNb&#10;x+EGh6adOUpZUa4nCWxJAXTuoRE5taDs16Lw2Ao8BgYxVv0+VWPTY40DfJuMWfYCuGHuE5pzrWix&#10;Ny8l7M1x1QZfW9QIn/CvdOKBB8VVPlMiSBloQ79h23yZcfAAWQKZv8x2daZ8lNHir0JDLcmmG4pP&#10;Mo9p7rWGxTm5LeZoc2Vky0Y1AOwGYYIa0jVObjxMC6UULlqxKRfkZG3BuHhQzbUX1TIBiHnKzSvZ&#10;VEOSf3qm+bsLw3mfUgTdW4K1P5u5E7JNlH6H5WU8M0ruhUl60+v5Hh+zHnM9LrZYMDH1rSlHXbPA&#10;nJ9cepkHjLnPaAtO67r2VnnTi0K820mfB1SUM0G0WUZvXpJbgKlzSGqvvUd6fguyUthysymzGL+f&#10;r39KSQGMdp+wHL4rGKfFWqw8p9SX7V60ZXjnJ8LI9/ERVmwxSJ5j3loCx/vQnMDAzrAWIZNyojWA&#10;F1zLyKy7hJSRtUHteWa9nn8BAsvaqdc9tfI+eJYeMF9k1wM8y4UiuDCzsPUWxL4S4ah9pXUb4PTJ&#10;GXKPniMUT5V0oAceXK2OvYW18U4nWuOK2lYsbFMtoDa0Ngr+7d6n/yjeEVujuJuOVbOop+6z38tK&#10;tKFb/tux+OH340YlBZdqGH6q3qhzDz+TpfjVWH76xViSUOREDcf8EgiLRVe4sLyxqQbj2+Pui29M&#10;q93+7UoCkdeN4pi35xKKHEjM2p05Cr2SFKHMQ2Ul4h6VL9HuUlwf81iHfg8i6bnLbGyUsQi+KIXx&#10;X4CcYuaMbabHP6GPWQNc4rU6dGlxTVaPuvA41qw1iK88WOc4qrvxp09i9dHC7EiCcUeC8K3CoW8k&#10;FN/p9yc1ZD+QxUi3Eawc8IPmytBj9g4muiArR25kNSH3sU/CrbhIs8cog5t6pvHaxFMiHdq2oAiW&#10;N304SbmWPJGA/jbOcA/jNC0FLBOrgiaTeV6gYOuAoW660F4fLMr6L0u3vWCNqwbxPVo3NyiFI5mc&#10;0EFlvTJfPmuQN58wf8LCS4JQd6GhOxI/1E9CGZcSgDSe8EHGgiXNqf29BCTCkbEPj4Q/wJd+ruCe&#10;6Z8j1rL4NBSPEm4QsO6av9/CX4wv4f/AoWFsYXZfKBSrYWjGq8T88N7eG30Zl2rjAg9pMRtYtbCc&#10;vEu1NdmRP+ZnzSeMD/2Vrlr86j/+u3Gj3nuXh8ciItVWHZ1IIzjzuWB+vLVdnp2DMZ2GbY217ICK&#10;CWVja2Qzs8ITwyQahwHIQwsx/TmLrg21A6EQPZdkzK67S3pkoRCDISDQfu8xy9mYGdREbGtCI9mh&#10;DWZlnDByLgsiTc+pncvpEQjHbKwfY05eFop36x6sezG+PLub87li1jtxEK1VC44bNbCcXMvG+iCX&#10;N6nGiQso6+xYZuYd5GxreFJaagzf7+eEPTAPHyKrecDgXTzMd4V55n1MnTkb8tlPEy9zQoACxxK+&#10;KBCMmU4OJVhr/1p4537ghXXWg4FPpZHzRISs5zFbvzHMVnnma3D2Otj32nvPFUuzccDzzz5NWc1Y&#10;g74n85wW1BjbkgbckBaypL+3JAxxn26qsfWyzgOfU5Hl/vm8OrDoYN0j7Zk2gjo0yjIey4W6Jam4&#10;rJoPOxMp0SBRRcMp0V1aumoOdZoF7eJWVADpmKJcowuffjcuv1Mh/9oDce0nY+HRS7lQJRgff676&#10;RRXqc8wUzMpaJb0b5bOvPV3U2W0Lay/lav3MtMWxM7c6uopY4o3av13p9An+vrtSqQN4iyBRQoWX&#10;jxDFVYpALAuRzXHHSwM5AE+ihB9oPMLihEEu6neSs4CxKVQgJXao1XOyh6xfWtGRsWgaoOejNC+O&#10;MMq5h2zQzXgomD7RKVp//iz7e6HNOZIQ3Dmfkxt1bryRZf5WysSOzmrkAOhTJeA4ZqWzBi/Fn7a2&#10;tmzl4Po7VV0oTBxFd931jUVXGrd1MeNU4Wr3Py10N1x8nTE+P32t33uV4RN9ERDre/i4bQILQf1N&#10;LPBKlrMSlAvxatBSyPpZ/h0Q13NjGfOhu8mU6829QpNplsn1Hug9ljCuUD5z0wfc4Xgz9KIYnwxp&#10;rGjcpsvao5SGyYKsFnT8xn26poYJNY3MRS+wpk8OaaHmXQwb/SO4mRcU/MwTzEsSR+Ta1PsVH+9l&#10;sEc1VsMhLLqTIbNvieGWIlCyonlkca7mWAUec7fezfyucrfeX34vHl/sj5UH6hbxnD6F0hqEt5dy&#10;bdwJIJeHFAwrLeBAmq2QbI4WU2iPLgah+36y1kw3pW2FymaI0tjUbrg+lmO6DCIpU2VCAnNc/Pxh&#10;bjFwYWwteIvx24fayBOk8ZLzttg4zDafpfl1C+sSZiAkMaSKrbTw6X6BIJz/K3dezyUPaACXRuKb&#10;S+tsiV+zMEgauzINr6cklDVs/9mgq4u9blPX7Pc0FmPYKszLbJf1NFX14NzO/dLS55XMQdoDdUcd&#10;wLfgRUBbohWhFykkptl0N9OMUzQPQiLIs7BOPPijQ2JL+DTSmYhqP7ou0cIVmLAHrSx5KliMgVN3&#10;4mh3oZWTBmit2SEyZnsPjsGb4Of9nz6+ayIGW6rV4Jj3tR7/1vhYTZxIQCPgF/IQIgQ5WuZYbtTf&#10;SYFe31py5il8/4EaEmzrOtX12x2VIGxcThfSPi6vDsapCvFpDbeoTNDFhXWXZdx83FR26fa42nyk&#10;TAcV8G+pzZv6oNLdZoFjpiRckrldAgqhaBrRc1S/t7Qql+vzV94TbXBcqKp1vDqUUNzf1d97Im7R&#10;MfOSlSLJbmZ5I2FIfQFuVwSjCNwIwSG+RTgTqpsh+4FkkZZLbcZ6rORdq1hzjgNxZYEK04olANMw&#10;dw4sxs1qJoq1TkYqQpZSjXXVsmqv/lJ4SJz2XIIPV+p7+avfqLj/x6Ob8Yf9y7GjVlqnwudTGqKf&#10;oGAo87JEFVmhSxojtlDwrfHODpBSMq0Q3b9G74kFFjkFB/SyccM9LaSK5Oy1KVwrPc105iQSCZ2D&#10;he3JC9OPSkIG+5dJJSGIOQaf4QsdV0eRmq7V924K0Pn8NU+utSsYJYm6IYbVe0Z1+0J4ZiwFxZpv&#10;4ho1jZMVnYL8NSlme3vCixKqUw1lqd4qvrHCDA0m8afgWrAlnaJZm4+/MwBnVpqVb+YVcAWm9dug&#10;rf1ho1Cs1QzKXhz2cImuP7pDec9WygIjXoxkSRnlwTQ+m4dhWvO6b5z5mun6zHrx3Q+HAspBHYmh&#10;rv5rqj+SZrW8pnOdnq2Ojc8f6kRsuVMQwzqe5lwW45GE4q0sxqvjUxG0/BmcCM5kIAwB3F6hmqCT&#10;QSom2MdmTBp6pNw9TMT8j9DJ5k8o6s2kZsfJS3xcVnGUeBhYkMdvKoY026qkImd+MPvEXTwQU6hp&#10;hPXxXVxrQcyA04XyjNGClOfCtIuje9ZWgULQiRnpL06qqCy5MCzcDfk8mOCBym2T5zp2WJYuz2bd&#10;yWExYCNA+dtaeBGRnk03doYk5T/pzCk2dzaX5rMgJr5JWQD2ih5CfMt1kCApI0HA5TZuT5efWjDg&#10;eS5jYDzmWa4Jw6CC/umQUxYm0/U6CkFxa9aGO4usltSGWCrmuD1z4iHAygQFjMx/k8XpfawtnGIq&#10;mZT3qBlXyi7QiLGimVBBDDzis+KOnXgQKs+8kwCga5yoE5xxfFJvlvWiA89TFe9fUauotm3nsl5u&#10;RCsfLhfHa923rLjUhmKJj+QG3JLMASoMTzYj4+CWvqT357FO6d7/6ASPRcXTluT6XJJ1OLfxcFy/&#10;1Wvtod4/0ot2b8/1knBUf9R5HSPlM/YYGWaH4BK3wWszz94+ejRWnjzRpP9MDFBKz9mxLEQJRSXc&#10;XCnhZkgo3tKbVYk9bp1lIcj5jemKc1tKLzBjr12ozjmOcrMucPIHCTpQhRkeCKdrHG9SghBNCLSB&#10;t0uIojBlCx1vdjQ3KvCsOKEEKV6JSU82Ls3EYazgPDDf1n4+fjg3/uIRvEX9Qq+WhuSgivsvxn97&#10;ezX+aUfCUQx+z43ZERRYnp0UkxMdeDUTbqEIUyf+GHv3j3kO0zQ5Fw/yNZPAKtQ1zwkSdmlAEnHu&#10;xonKSS5ROotCPYytocbaQCUgmVmYVhSKhuwtwvpj/lYeygVY/InJ8Z8tbujC4SquSyJhR+h4x1Fj&#10;HEiMZZhMdgkW7TMxQuKJ5/IkzOKPgVTZvk6MiWeoyHLiyzMBZiz0RNOq8dYZ3IEPlzP/iqgYeKF/&#10;cBYWmLFjaSchyS5uXUNvVlSpE5cJMR6Kd5hHC+1JjJQhVl97QjlMvfar5u1sVf/kTU4d0hsOWqVh&#10;8YJihHs7ImhpYDBJBiSIurqhmqlNHXaows0Hz3SeG7VMYs6X6k14rlqh831pY0dHaiclASmr0Vld&#10;HK6IIPCZQIxVEDEj6xhP1fkxITP1MAtekxwwgDJlE5sZXT7szekTLfrzPKuRLhrohOgAnUWXDZ5u&#10;ICWI2BQEN4KonsejkiJvyGd++tvWlT9jefqMAnMRNMyClF7GmWKZvQFmvhkHymE0nwiRZRkJvLSW&#10;A3oGwsECiLn199Zmi4jq8wrPVmo5YwSR3RiYayAOMTY0LFa3JQZokvX6Syh4KclsDdMCFoElf+eM&#10;5IJlXeDYmtdSm+IASxGAx04wvHWUqe9sC6RCyV6/MaCAEHgkbtteacO11HKPWesPTrOPrRSxcexz&#10;4NQC2fMsBafEdc2Ai1inbrJqn+beyVeOS2hqieU7EgO54yBh3bMl+llfFHfWdadqfH0i5D/RETA/&#10;7MuFyKncEnwPllRmILf8qigdsjDjkXZuNyF4IKXyRidEnH54rXmow4iE4jL9TeUepZfp3fqTcaWj&#10;pIZf2yrDeCorUa5TXbMghjbH+Ydo+EqXxxV6i0BTGuytXvw9hxuUDjhq/2bBXrjGZG593L2ai1ML&#10;WRYiTcbvbHFKwBJfUh/WuyV1iiG4XQqrUTmADo0Rd9LA11ICbuTetHVJT1Yn6XC8FfCFPlLMHqyJ&#10;oG2/j/FWX+S4KoQfDJOxUepupXzcjlefL43/3ZfP5EbV6Ro66+6NWsH944dTHTmlNctC3DvR4cV1&#10;WLFph+fUgkOOURYthEroFQab+EFji5fCFQvFxtWgle/reFZhn+Y9P46Xtz0+/yehBXfxxMUmYmiG&#10;7mHLugmPmwlH5mqY8Vk4zjSLtgR9yk55cUzn1tgyBVygHS9sy5M4ILFVkmAODo48x5RdcE8RlX7z&#10;iYVgljLRWtOq4ZbpTr8d+yu4BCYprWg4EQ7qtdizRn5ASS5uZTyey/XEI18sXY+PF8lH6fkjzK1P&#10;8SjwxjIhsMmvshah55IX7crGi+NLggQqyyUdXLi/xIGnImYzd910pQs35Drr5JeLA7VQ2lengptd&#10;B1c5EHRtUy6gzXXVqGyM7adqSLz0hTouzI+zQwlFCcYb+egvDg4da7yBKDHb9bCY5zVpJjKtpvag&#10;BKKTccCfslZqibEKdWmShAOEKS2/NipaVBhzAyWcXn9zf49bUDObLKCYkZrJxgJpqyi1aXwcqyQP&#10;L+QwmyxharM98/P8TQhYonp2WzbMgc/bmjTeldCe4WAQTw9JkDmaYQRXbXQJEsujuq9jnracgEEh&#10;qssAxInhdeRAbOGvKwLPhMMMQrn6VXNvV01cw63B8iWLzz2hX62/mQzztRIQTO36U8O5kDc9Rous&#10;GcqFYSwicI97IzGOdDaCCeZma8UtWLMN2WeG5H70BhQwjWNLAILme5QJrKXCMc/ZMNCr8uIBxbS5&#10;hRcR8rOfqY8hDIIpBRQqsGYNOXn7gV4vFq/kMlXrp2sJRPU2pSP+vjq2MC/OXVyX1bJaliVzQFiu&#10;oErT/03zuNJRTteqw7vTocNkfnKQ8LKOjFridIzNp8rceaiOJGvjclmF7Gr/di1aU3dmrRHGR0k2&#10;mnOfwam56VkpRkZpi0XW6eO20vXRQlRxbyDZma5t1Bck+SzIdbZAfLHxxDhXpUDEJlXMfa0XBxwn&#10;v13WnubkOi+rc4mH47q7I95pSz14H5sn1kFwhM1EABLjYj5J6fc2ghemvSDppob6Z0+Xxl+9eOBS&#10;FkoxSLz5IDfqO8Vw350vjjc76nyzu6+We5qjbsPLwBSqicrU1LkowJs9cw2Gzr29RfuEccxh9IXx&#10;qzwLVyqMP1dpROOL6a+UwZJvhbDB4yjKLD1wAA+6pVrbqTlzsRl80TrXGibyoFRXmO5VPJFxxXfn&#10;aeRQsHPMUM+g008X0xvU8Ccr+c3TUGuEk2VhtSLRMvKP4ATum/ZSbVZ6dqzvkHTBs+DXNKPvKl/Z&#10;gs+eLL3ARXocY00vPX4ub2SOQqOdXBfyex2Ga+pGA5+sYdY+zsheCUbFTTW5Lr/jvkW33uGRInK6&#10;DuBHXkUqYo5Kg2MITgQmfkEHlS3FHjh1gAzR65Ob8VYHf17e7OgsuEUFVfXaXh/bjzbG+meKXyw8&#10;0Mg/84GyZxKip9JwLw4PlIijgD1nuNkFogmRXYep7v9qIQK+6xaL2RUvCpk0RAFuATlLrT8cZ8xO&#10;dkJEBOC93eXGVk0KeLYAZhKv7i/o1vhdFG+gF9JbIEGjZLn7FIG2ZDK/Cat43zttZE/mmZt+m0OH&#10;6QcGwagmpCwtFk1bqSVp61ZzjdxbU263swkXBis4r9MeTEgDT6E5cgsDrHp+IoMinCA8C4TSwDux&#10;J8KmiKUIGIY0c9nWvrEPYRNFFMXdQNx7SmfPOwwgk7eA4zEl6HLqRcMApUcjhwsGDCbgxE343EpQ&#10;uWWsDNQeR7CG6cBgJjcOc2wXDlfYZxKGHX8549OQOQKW2JdzNDyFsieL0XGLXan6HKsAGCzr3qU7&#10;Jdnob5RNaO7oemEcq0P+kYJhS7KaOLx2xUkrtNWCQWsMxel9fiToKqFyqpMyTo92xnj9Gx8dtaSj&#10;oVZ0GsaqXnNrcn+ubGuucm+KTqOupKDa67ViWJneCKICvJMtCk1Nj4YRZqrWr9im/3ZnGpS4UmK9&#10;6txlXcijiX9IQFK4bxeXrMV51cjNr0qIc2CxCYQ9inCFn9CnLJmmxTgZpbSQ9s7Y+Q7Dw3J0cgeW&#10;hd0BtUc8P4oimb35a2480qkaLx5ujn8ra3n9q2/GxfzG+LBzMr796cP47ffvxrc/vB1v3++MA4V1&#10;SC5VzwGXz/gYn4kevUjjmT/yovMGq5SGAfZG8iNYgRdXyv71BjpjqwQc9FTKVjSmwuXiS1bwwEgr&#10;fOFbEYA8CmHHWEZi8wHPAoHjmj4Uwsl15SnGxZpMUGpZa+Kmb+KAJNFwz5W8A+7IoytyKEIIikfw&#10;dGJyCCPEjGnl/su8Ip8xFwu7AoWrv+qzCLVcG8dtkRR8Uu8tBENi9RMPDPj27cLT8eFmbWytE7+U&#10;ILcyHEXBuIAVyfwkHLFuoRF4QA6GzvgzwZgH2AOSUxL89yIZk9QBor35uJKazJYKeRPbY+lp6Arx&#10;W/iheYgwVyUwaedzesVBp0J+XXmmAOvx7okXgFa7LKfu2uby2NjaHE9+rkDx8nNNVNqd3KiXshhP&#10;d4/G5f6Buv4fySy+0IYJCQSVOW1cHx5JFncZsNkEz92gD0PqDM4CYtfABZG4Ljaj35sIZ0g+7Zqh&#10;lbGN7IW0+SAYYWbS/iOugTabKHgWyXBGuiBr1KDsq90G+oMu9XauWRgWMdVYGbsQjc1mE4vxtzDv&#10;tGDPxY8pzRirxwE13Q/8vODZw4HEtYjzdvGJmC2p8comW6b11KEvdixQz5xqFT1uE2KEEuN5HlzL&#10;gyrQ0nHS4kkhSu7VRYmVWLyZCXcGbrt8As64pQxjwyq7lh3OG+9iwQzmUIaKyxJ8q/6xq7YUC7IV&#10;KciOVVgj4a7mP+9tBrZHQJ/Z5Vs/3h88IjUHmk93Ia7XVKaKRce9iUZeRmiUB/ke08C65UwLmI1K&#10;LOZVsyV8zzE/+lwbsC/XKc2C9y/VUNnNwG8Vd5T7VMyVuIVlhhQZHzul+dEh5Oz8vU6gf2PNeUUZ&#10;p6tyja49fqni/C/HvFync7g20edRSKr9WJgNCIPkCTP0Z8b9ipcXrQRMgY33FRi7DyubAsPOyRFh&#10;3rjhULYQ/OIf4DyWnEInLs0gxijFd94vmpKTS5CSiY6PMYkmszjlgz8ITh+hBX3VnFzIzz5ZMGa3&#10;6NrD1HDpo4hciNdQMrigNnWLa3PjZy9Wx59+8Yvxf/oPvxDsrscnut282Rm/+/69heObd5/GntyD&#10;l3LjYpBLn/BpsTnlBbkmXPXJuyRDrYxHL165UcKlwkBneypXEW0d0l7O1nG0r7Zeza+aJgvXioyD&#10;J15nCXELseCXO/noD2fG1tqbvHMSRXlTWD/703wQt2gJtiiCeEF8dkayjuEJZVkZI+qZEb0RNIRO&#10;uL4Tfxi/ZX7WUvkBhSbsuUmp5DcjQWtmcUXH7XnI3qakxZ2gyDznQuE3GLSnxKK3EoCc32lvCzW4&#10;AIStAB76b5kDB5FJVtjTEMCdpaptHLBLh5yZBdnzbji5kshatRmytD0mpOfgUgDoDx4nZVZCVoPR&#10;lQAXhxBSDya5Y0nQ9UGpCD3cqiq68mYCcISmYowHOxfjUB14YTSL+n5bmXSrshg3nq6N7S9eafSv&#10;dECoBKjaLR1/2huLOweahNypN1Wq4UCMZsZsS7jYjeDMuyLOvA0jRXCUQKnwVJAnMsdvIh6h0miy&#10;YE6KckHa8t/Hz5FnTowzCBdNyRzUf0fuZUyjRmGwFdYibDMQBKeu9bmHzN1Mp+JdeYwH46SHUEau&#10;q6VNa3TX+hKi1mzQXv2fVzBz13oITuGeHz+K0P9OyRAv1RMS5rj9JFbCrFFznmO3rDWgck3BDEDM&#10;eE+9APAmPTnMCw3zot8QXniG14fWnwScEGkOBs3a3LOo1Mm4yopYiwi5Jun4bXnMNjJ1XHnOlPms&#10;+5knwsXwhRmZuItBGEWMBNFUAbN/g2OZdLvnbNla8AaeaKG5e8Z0oiga6AW7DGwrFHWnhCKfuSOJ&#10;Xb5pW3cjbRyCJca1jmARkUkXNeO+vFDHDy3k2DWIslAkR1b1W/lq2su2UEV/uE1RXp11ejEu3n8/&#10;Dt5/q8//iw8WVn+Qsa0m4Nuf/0zC8XO5Wbe9XtfV2QJAaGOhRaF0oUT5slybx54URws8SdkPonL0&#10;01z1SXW2KT0sT3azDvEIy1kVU85zjBRuVYrpiQ3iKtVciVEmqc6dSScAduwmVkMscHgRMff5Ym5h&#10;goGv8czCtASqNxRrPgcUwyDtypOZdk5yn2o+2R3W81R+1Fe//mL8+7/60mVDh2ShfjocP7zeGd9L&#10;KH748Gns7OzqOC9V+msMmoe//OXPxhe//OX4/E/+dDx88dx4cyBF/p/+9m/Gf/nr/0UHxirkoIuN&#10;KU0LQbkJR5w4FxKr+fd3hZvMsARmXH7lXWK92Yi4iSuW1wp/oFH4zt410YJvuKt1zyIWOh4KLCb2&#10;zPWoxXxMJ1Fa+X/N2X58FgQ33+PSQnpfWd+1rhn+V+vyOibymCk1BYtQ1AwG0JOzazW/n26ltOs7&#10;Nxnw+pvuwiOK01kJ4kKXiMCnBNgVspN1yZU2lbKPzjpnbVlzFCt+Fm+f/4WQVq5JdbyYk9DRGSlS&#10;fAQsfPk8SAFJEj2w+lZUC3W3sajjVZCqdCIIEnKG2zW9FoXQPt/K8UW0T63Irj49UIhIR3CE3aq0&#10;4AvVMF2cfzLRralZL3VPGw82x4s/VQbcylcG9pW62F/LhXoiP/7lwb7aKCq2APEg9e0eoxM/Vkoj&#10;RZwyEG4EQpi0N6/+aYaK9ms3Ybm6OqboTDWuhfE7dhlNyN0bClEKRYwNfoIu8MnSLcRAFJCTcWi5&#10;xYA8Sw90sbGD2Eat0sBLsNY8HbP05ocp97UMV/gfJGXQctuYmEpRnBXhR7vjfiz4L59vCKhCCGnl&#10;+3KrXR5rb5/JLoTImAuIxrzQrltIsaZ6Lio4WjiegG4N5VR5I1RgVpCe5tbasJXY+/nnXGHrMgxs&#10;Koz334HpZM2aW4QALVw9X2I5VUhsa2CmycblyR7cs+ZaELb1itYJo2pLslzo1EF6zyvQN2nSuI41&#10;f//XzItJ+GFYQCW8y2VqpGN7SlExTlkwxwrNWoB35mFB7b/JhhPTl5XI4Tor+uBSlqLai44dXNl4&#10;V6T9UuBPSJcm6PxtJiil9Hae0geNr/eX2uNP798OHQU8Vv7ufxYDfzy2nn+mUMXP1Y3mCzX1fphT&#10;KICB6wWTam/mq1jMog4h5sQLiuSJ4fGaI09gSRo3GaD0oNP3ZJcibD5+2hmHd7JK1SVgZflI/VCV&#10;eU4BPzQrq42Uf+KKdxTv3+geirT1XCffKKFnTsxpXjVaPuOkmC1gswsMeOGqddiEwnkYX4ReXGPR&#10;eosfR5EDCbAM8XOy33blonWh+VRijpjk9Q0CzgikONnC+NU3T8evf/lK90sRkdK/K+/W67c74+hK&#10;4Z7Pfz7mHjyS21U1jO/fj7/+z/95fPvtd+P167fj487+2FKpy9PHorOINr86sSYCI59ZmJTrs5lT&#10;C/JZgkrMKVx7Rqcpl8Kjpu6ZJZqQim6KUKJ41+dFaHgCbOlXRjEu1j6uyQP0/MxM4gNcod4y5Gea&#10;6lUZx8xUZ8LR3/mzshZLYJs2791rr08eF76oVyfvYbWj8B6ofOeQpuOmW93P54FCeF/z2olZB78A&#10;AID/f8FeONkAAJ7FSURBVDorH6WJrFnuRTiCn7SJ5LNljp9py0IjLv7Zzx/IFfNCGpLOXFOK8YmO&#10;2rk+O1E2mVwXSvsOggC8FOo6pqCUcLfIkRCycJCaukb/Pq3uUodyXkqdvdTxNosAUA9BkjuuYTxV&#10;6rio14QntRbNGL3p8vB8HH1SQo02ltjisvowko26vLUml4MSbha+FqRE2GSiCtmOpZ2RiXqjWMO8&#10;T7UEpmgCeUa7SeEqlkEweOBuvKjvDdUQS9hq9sW/a7eND2bwLQ3YgLg4Wjr4XhikTYfS2qyJ+sEe&#10;r/QpPw/42/AoAZZrzN1LyyuaLKFjwYfALUuzx4yQ4LmtDWdvk4XGV/ltg1XXborAXzkZZm48UVLT&#10;50rdxyM/ITcCUIN2OUiE9EypsJswD5hRA4wboQ6DwhUJPCHwgqMTGEyYtcS69Y8oygVjJc/v7YXh&#10;zPQRerh40+RiRnxNiG1ZBoSlbWZfnRpipYI53Nu3AMjP9Q6VR6AzmP1ciBjU4qDi3h+zn4LrhAKJ&#10;98RGzB7wOzmlnZ1WnIC/7zHCScPXlQGDCJW5AGOeq+1aF8Ne1LFAGFdLFJ3LXXqkov0DC0Xtq3ju&#10;hpqAE+NFYDimxTOkWK5ojxcUe2QPDvd3RDcfxsJv/1aCa1Xxe8XK1K1m/dU3buM2vy4rUfFJJ8OA&#10;n7Igl1W8v/xQiqlKHtxxiHpCjjXCSmzcgLHquS9ePB2PHj90jO1Er3MdQrxNM4EFzf3gw7jYeyfF&#10;a08wVU2a5rogK3FB0pxY3x1KN+7Savxt64SMVBfhoxwAP2DMHlIzFlo3rPFamfJqH03ToVMASNcU&#10;n8Yut5ozsl30WzdX848kOhEO0trlPjtXNxp+cME+ebg8Xj7/Wu+XlP+gNnl3EoiUxRz8NA6/VZ/U&#10;b1+Pd2ocfuW2dCqOXz2XkuLzys2yKRfoMAbIGxwpgpjECopk3KFYb/cTctIpBo9ICztoYNZFpUMm&#10;saBLRTcwYhHePxWCMhzTeykPPriX+CyWtnldKxbCI0FbKrNxqlhNfjct84Swt+nn/p/xwOQr+IF5&#10;YPMGtqdoz/px5Q8kZCKFbygDWe5Pymymbk/mZ3l4x7k9uBl01ttho8QL44FKv+QwC9Ob1kpmbPP8&#10;xYXLI4mgE8UeZBUoKnz7cFWFiSrYZcPxWtAsWILxTl0v5vQioWVpnI8lbfiNzmNLIoKok4QZ7QZZ&#10;o5ylDVLn5G0Qi+4FuEsFaASl3BFscjK0tEy5TI2kWqT1PPnqDw8vxu6bfXNGxlyRYFzY2FIW6vbY&#10;/vmT8ejPvrDL8FJuirOdQ732lY164FRwCpshgFs21kKptKImDP32ETMACCJiQxAURs5i4G0h4tYC&#10;kUxx5aLonQ2KR+sEDknos8CK/GuLNMzUqfaspxDDFqEDu7WF1niz0ZP8ghkZirX5/P4jYViaUjA7&#10;OBHqC6v2puePK8VFtGNumcRZZfRpJG2d5xkh3KgT62XCtTxXk0lyXhQZC2Vr2pnnrDwi6yj681hN&#10;FJ3558eUwHG2mubW1pj3mqnrWdZ9ScwoCwtmmKVHALW1mGc0OpdwwjLlwcnUMW7ZbWmrK8QQ9TJw&#10;asZha9YHeHoTs9+s24vIU5zBav5bbtESaEGiEtpmRN7FCENPI8laLSD7Nk/FU5gxjLjS83ftqNdi&#10;uUjihp6tjDZZiIpASRienCgln4Q2tSZbIJaoF0dH8XCUXoUWtVeEEkRd+gCPBPG0C8USd378Ycz9&#10;l/+XrETRlRpmrD7/cqzpJIwVNf+eO30v+lJD8B/hDapdfPB0LD9QZxuOhqJECjx0LCaCCvpelXB9&#10;rGxxFooryp2mLBAEV1mEVzJpz3ffj/OPP40zmoOT5INQJGuZkzJkJZLZ2qUZ1LchDNvVgEoVIZK9&#10;M+xs1YOPRVvwEfYvQeQEeewBAAtnySqOpzOGmXUGNI2aDrKD7LJ7t1YbMm7g3L8nWuv/5V9/Nf6v&#10;//5PxokMiNefjsZv5UL9/bt9naZxNH76dDA+qZ4aocpBxDRk78NtO2klXKL3f2YZpptLzwv+ULE9&#10;o24wwlZkJ8vw9z0B6Ni+xygPk92mrDulBKYjcEBjcGAvIybmGQHo8fXpCm5owaEtQb6xQZELWoeM&#10;u7NoJSviuzI67glC7jNdF17HOMmYKGmOO+r555JI+/NKqIJe4Il+YhQzvzcdsWdt/DS9TY6x0Kx5&#10;H5nMoXkn1/HMIkKHfPSzuLCm5r66Ji46NKprEZmyQhFs0jJvHwiZ1Yb/8kbFn9dbCibTUDvZO6Ri&#10;31HcKh/nrQSkWlKYMHhIzgBrF1W5kEiu0bCnEnr+T5NaVqBjiYavbJS1lkxsSZrtirQ9tBwXvp7I&#10;hSotcv/dgSalGAK1i1urY/vxlvzym+Pp108Tz5QL9fTDx3Gs15XqFdHOOGjVhaQgBvEimG9JGcjC&#10;rhdopjeQ95UuHCQIUppMLAyKj4al5se+VayhvI+mlaDxFJ+ckDsFmiAexezuacwcfE8xShC4Njql&#10;ESEZWICnzhw6BTYg8491IiNLmHfP8FrHCf3Jv/hP4xcv/kSx1z3t8OLYOPxh3O7+rxM2W6SXC9Ft&#10;jrifOeE9IC5mRh+NMYoBo1e9DgZmKxJFKQgua6LWxDShCvtYsNU8TXMQpFzqoU9/MFlR7mPJp63J&#10;Gca9wAK9mXpdZ6018Dex6Xe7WvO+BIu/yyQCWeZa2qrhAA9NqnormrccfmzgljTjbvOOMJboGqbc&#10;lol+n9hisgitkFkYZ609Hn83Y/fpIjVeyUPzc8/deKH3/MYdyhwJ2KOHnuoL4lNquXEgoXKF0inB&#10;8mJV2YCimXnoCGbAnrIhMGaFN4DxOQcMf/+HsfjjbyU41X1m68nYfPXVWFev0jVZg4u32zrucHec&#10;fUCqKk9AhfxL1C66k82GXKSxMMJsUqdGHDo0ExaHAF56+lzdqdTV5lf/QuUcZyqh2tOYr8fJhx/H&#10;xe4bZZzv6tpjrVGiC5xX9ixuP453cokVFuC0b95p1IsZ7YKnFogIfRqaa53OhCydZxIkYYwdH2bn&#10;rKyUcme6AdeNibWvJex5AjyEVm1OxRdv+fr5phJulIik553LZP8kJf4nWYffvj+wYPxBx0y9k7J+&#10;pPpF5qR8YPGAhG/8U0JsinXVGk1/xY+MMUXryZSNly0TLGyaeFWNKzxxUohuJHzgR/krGmpzYj1K&#10;cHAvJFPP0B9r8k3GlVuJZM0gTS25vmRq4XN4TnhlCeCiN/Mlm37BfS87JNpLn2hiT65Q2s0t9/em&#10;Z25C6JVF7Hk1MNq6LlB6zPD4DmExQJ+XOJ1OlMuVHSoh4ZiMmGS0upjkdz5/KowY5IAproupbUo4&#10;3cmtdqu0qet5TXZIOEp7O5N74EIbTFcKSR/FEnfHqfolrq8C/EhtbybZMxAw1bQ8r5ByCQtS1zn9&#10;mWfzH24ub1qScDa5xZCXG1WIdvLpdOypOPbHuXdOJ9+WFfvwyaaI7MF4oiLaOdVmXaizDbWKF8QV&#10;D2X1yq2L5bFIGYizB0vTB1m8dpPthJd2N3pXw56n1OnwzQl5uCXEp88w3Sykgl3eb2EHnfpDWHVt&#10;I1OeFgGmfwCR11/MtgVbJwEYecx8g7AZD8ZYSkeN5e+aRrTWI51d9+Y3/02JEz/pHLvj8aut6/Ez&#10;HZJ6zt4zVgnYtraC4HBcGEgJX5SC5DxE2+Kfyj7ydNmjJKzFaiviKpwPTIqP8daCo+7PWlhEFmSR&#10;47UW47dBECGYkFALkxCdb+O7Gje4oxdSiPXxQAMzv3LgfebouXifsmcWiCwtWzPta+Ok+0Z6UWGk&#10;4WHFAfxxxs1YxpwaKAQbmT5jFDwDMFAgHpoIrjuGaCaQdRkzSiPL4/O3BagGpdRiW0R0LZcenUyv&#10;lRRwKQvxDHcTbkNdB3NbIiamB+IMzz5qhrTd4lgeXXOhTMcjnYSx8N/+Wmcnbo6Nx8/G1pffjPWX&#10;iieqHEP2p7pGvfW4dzpseFFCk9rFZQnFZblOU3ZRmGm8zB5ZC+5YjWh+8dmzsa4My0c3/8JK64VO&#10;yTj/+GacfXoti/G1GnDsOBcAfuH4susWIa52cQcfUsmYOBbPyskaekNrN46/sfuLb0kkCm61Jeb9&#10;NXyLqRoXGmM5SqrSrmVVtFLZe5CROClDISA1XfdOazMeKbv+xS+ej3/7q8/N0w5Vm/hu72j87sf3&#10;47/9/sfxh/d748PxtZopoJSY0KoRQO2xNcpYa6bMVgKDvv680Cuzbvzze3AmAtb8HHdnro4w5H48&#10;AeoSQ1lcGwRef9EduLhRPK8MqGk7S8cNNhadtGvTtNdzrN99nWkhqJYM0iaJmn9yIdSfd25z+jJC&#10;uQQe9FCeNGdr13aFdhmsbjOtFy2alrK3sSQbvv1eGHF6dO66MQPJlkqp6fKj4zf1CeoIsGKC0UwA&#10;sJqt6rVO/dCKEmpUk0MH+avxUh0cdNbXsVJc95XtKdfnlZJuVi8+jcXLQ/erO5O/PS1+0EZD9WQd&#10;OxaFwLPWFtchVGuLxgwpKb7eVH2+pWduaU24VclGm5Mb9fzt/jj8ccea6aYSbTYfb46HP/9sjF98&#10;pRgi550dKS6iecgaulXMYkFCkZOwc6xI7UYxhomhFpMu/lhugBnJFPgj/Ko8YepCY80nBOnrvDfT&#10;VpQFE8yhb6v5RG1Vj2vMMWZpLAQBI4bastn8hMtE+hQyNw6a3HX//k//oEYjT8bnX66NNZ1i8ODi&#10;cFzuvTYzDkIFccy/jdxhwp0s45Mf7iMbCA3iokx6fSFaLplgwqhFoMDHKkDtMy2+JkUBSwlhCwzN&#10;P9lrrbMEWF1oxcjPZH61wGZdlkFM3ilmoVmjc1Ft6RQFs3sJKsBTX5rV1djEAXnvOUEabKHGjms6&#10;oGK7Ut1q0eRv2jXMI1v48U3wN3tv66MHAcZRzRMLLIbYQj2Dx5r19moyLkFT/L7YoIVbGH/NoSyM&#10;FRW9383JW6MY4rLG0BGAps1zjs4hUUDfk5nKddKGDZc0p5AsVJz/5kaxNA18KWZ59sO34+CtLMWl&#10;/6fMz4dj6+UXY/uzr8fmcx0NNR6PGymZFzol45TSpnV1uHn4bKw+fD7WhG8cLOxl2IUX/JgBUc+t&#10;emSeufzZl2NLmazg0c3piVymH8bpux/G6fvvhKvvxo28QfPX6qxNiCUQDaMnoYe5G07xwLDf8wok&#10;E9eDd3RD/OwEMChsrr0Jw81uMkbjlT0PjusF/0uNMaI6eZDRywMWTEgm5qmsa5nYnuOyhPE3z9fG&#10;z9To4N89vhyH79UPdXd3vKYfqtzZ38t2+PFACSHaoxOYoZ655IRCOwmNN5MAttcscAzZGsNmNOy1&#10;ZiYRINSdliAv0OOp4xQOH7dUJ0owQK+ZAnknxej6frHSFmD9vufAfbFMQxvmIUWKRS7BgZDVlGHa&#10;z4srVGuXhXxCMwnmjqLrwWaCMPwDXKrn1Pe14Bk+6B57AbidUUxbwLHvm/HhxRVZdXdKyebSuKmK&#10;Y1gAGcU8UOyXMBWqSjsbLsnyXCOklDt0ZZxJ05wfjx4sji8fL4/z2/Wxf/ZknJ19Ke+pTpyWNnSr&#10;gvlbW4sHmhhB/7hoyO4BadmUnIQMIIzZdpkuKx38StYdZRcEPTHnWRMHVs7LQl1V810fFKvsVeKF&#10;Z3uH4/Ddrle0/mhtPHz2YGxRlvFSnffnfqZYp9oq6fDPiz29NKc5HYFDOytikNYSy7UA5KJFBBYz&#10;TRwmU0KjsCFCoKxHI2ckgl2xodkIS3/XH5Q5z/oN5CBQQH6PKHFVZgqZT6TLdDFKhF069cyStb4e&#10;+P78F1+O9WdyG3NYLLddax/sFw9jzQbXOtv68t0zi8vWC/vCdSXYWzg62A8j9Xc1mGGY6/kpHp9H&#10;cV2tx9dPQiAXh7mVFmjGWYqEf+c5OdMvcLFbu8DmWdczYzjlPMxmZBFsmZtT/s0AiP9U3KKILUpZ&#10;XL6hgGij3FIs2DvUC4oBWDFJrraFnZ9o55kYn2V9GYucn1qd55Jep82KC4be66rpmz2yABvmEGZZ&#10;c/X4ZCfbphasZQGSno33FKEv2ifIeCSXY06HUCKEGB/F0eAop2hEwDIPxfk1H9Tl8/29cbLzcez8&#10;w98ouWVtrKujx/qLr1Tu9LWa8eOB2VdW9/djX67LA9WmLutA4dUnr8bKo+c+PcMF9y6YT/aeXeo1&#10;P7dcI1NUz1xUd5qtL34ml+zPFM/+N3LHqnuOTsk4k+v07P0P8u7IUpRQnLuWIk/4go5XhkbtDHRL&#10;iYTyG6gpg8oWwEfveyNI4Xd1ZQj9BE+yk/ct+cbB3qnGiHjNrJSxP3BL887sh6EvmF7LbX0qb9SJ&#10;6hApE3muusWXOmLiXz1R4pAAcaDTMj7oBI2fdK7fd0dz47Vk/ZtDCVPt15UGoxcthxB38kqyP4vH&#10;eNMrWSkI7++6DKDQJdDRGKdKYDxTjkDWWopE8RN4xZaIyadHFC+xZ6towPxEr/aUmJXVTFrAQYt+&#10;X/RdZBqFeDZr/2EOV9cfyLt4rT0TtlnZzbWl7vre3o+UuJR4mPGVEvpe532JV3z0j/azTNZFnwzh&#10;Gyn/I4VZCOPsMjQ0NI5i6OYaAKKEg+M7zXLqvYGv60mKkYU1Jy2UgtPnpDU/VD8MZZ5dvXwhF8oL&#10;ueZUP3igRA0hxRGHg6o91Pqt0sLVZmpdx9hc03lFAhECdsskLR+X9qnmdCKL74lqDW+Unp3uAO0i&#10;CZLi6rwW1tzIt3SjJAGasJJadyIf/elHMX42R+tYfbgxtp4gFL/USr7WXIQYshTPpKEpcCZBfa5A&#10;P5DCDIiAaqv0/kZ2dpYTK4olGjFqY/2p35fFVYiQ5s5B2Fm2adZgpmskSgPsCIjCGLsby6IIFmeM&#10;ek4/z+oMloMmzrP2P4p5SctcF3w2HqwVW6jl3SOGFhqudbOK1pwh2G7js9wNXmZJiGb3URhyT3/W&#10;RGFkt8pYjJ5riog6gy6Zlvd+PJ41NG8Feo6zwwu+cdlnkC76b0pr96WFHMRu4ZdtMvxL57Ob/d5c&#10;mpjR9KvKJwZqE3VPD9CX+7vv99y9Gdlv7jO5wCjrOWaQNcb0G4FrZlpWat0Tflbward8yDFNBoqY&#10;O4uvpxarpWyXeqDrNjUW4mJZJvyKvEBXopNzxRHPlHV56ALkZOVtao/WlJWahuSzOdGCi0ba7BKZ&#10;4OdKrvnwhz+o6Tf9hR+MTcX9Nl5+NTZefC6364Nx+2FPls8/STAI59T/dFlCc1WCkZ6oZKl6L+iI&#10;YQUqVm02g7BM7F26Vt0tP1St45Ox9bM/df/TyyOSbN5ZIJ59kKWomOLN+aHG0VmJbvatjeEMRNy8&#10;WDvlfUriS2iyk0diyUUZ7Wi3t5D/CmHyXX7chMEIaLmXz30BIZ6SGOwj99ticKNYZ+AuPhC/Uzna&#10;zZ1KwBSKCI3djG1lMD15OMavn8BZabM3L5fpwviBlw4i/ulojPdnd2NPoadLbbzbXepW8hai3PXs&#10;UHhKWIA3rX0bh1CKdDKH+C4/buYOPVEkmQX79wbxfL01rRtOf+x5afz192E/qXv0vkVIzhTHGdya&#10;rlr5rcud4XupuR1LCE6yK4hvuvmj4/v8aTFI01Os/0mRnRhK+GeU5J4cfyJA2bTAa5Hi9078YOpu&#10;dCqkoRM8uxP9pjRyEQn3onU5MEuGJVmlbrybQnYDGTTqZ1gzhZtqqhJySyqCXxLCK3w3vpTldvVi&#10;e5zePZNwW5BLU05WnWX4UdljC3eyyuRuBVlupb2iqdIOa0Np1Tz7AlcZAlpzpKP/HPVOAuS5axiz&#10;cHvS9M8y6ePKlqNtmLP9sCLlo79UL8FFuWxvYAZra2NpfWU8/nJrzP/8qUo9lAK9R0cbYokHY/Hi&#10;ZKzKX4k1UUcblCYUKyfMpZh+EzHQA7dKAqQbRzbLDB9aKQUk7YAKc2YUahyI9ZDvknwSdI8VBGOv&#10;e2MeGqHw9dNR/ypV9T4659njbWUB6gA3DeLO6Xo23pYMU1p0UfOkZNYEeGLOQOTappbMAddMzv6b&#10;EYEJqBQYd4IwPgcwZsw1Z55DW70mtBAT+BaiKtkWxm00ajjlWViyznQrGOXb3JhElHyB4HWuF0fR&#10;eOkhrigiM+q3+1U/eBv4aYEWWgrRdGG997BoEZwnWYKSNM+7uEQL3OxtPm/adsmBBkjwnu9hXqVh&#10;My7z0Po6Q7bJva/teit/b1xqNOGee3DSWOxxW5YoVdzL2qLpy/Um4CzoZeZ1qeQO0fN7JdqgfJB8&#10;o/75OiqKPpK6t7gdCgakj3I7R62g/juWYDre2x/jN/9IY2JZiSrUfyXX6edfjlXKMOZUdnXyeux/&#10;T/xxw7HEFblNl3CbbkhAKAwTDxAlEi3AAwy8RrjxGlmWt7EyH47Nb37lky+uFOK42HkzzmUpnn/6&#10;UVbiJ12aJDpeOeMxiV0eD7wwTvIum2Pbz4pWgBmcrn337tfGgqdc7Y3m1jDi8AJjnG/2f34GdEJi&#10;IF4Y8UjVWt4tccwUvCsnaCAIiQljFfJ43JHfPBjjTx5G4J6J/+1iKR4vjW8P5iUchw4ilnKrcrQL&#10;6EBzwO2K4YGC0lZYLNEs+lrGwIWaFqyo3pMs8XYRrq2u2jLk8F28EjRvaDbUcEDXi3N2kpVF8Flz&#10;aDxfTu/roxDOpDtPCmWgl/vPZbFf4U5veJsnlrJRn2WYrCeCHiyGK3SgIgZd5sA/JPf0PtaziodY&#10;gOtHWclr6TZS6le0Gk0Dpk4dIJsnnz0uEhObmV0SV2wZ4p+uzD4jghGXeYHIRfUlEYNQbDYIEf14&#10;QYXzD+ePxyMV/N6pRONme3WcPn2p7u9qx6bNPVFH+FNlkF0pawwBujx/6cbDixJs13SwEeHOa6x5&#10;d3YJMtrbWKjrzFBDQV8KXhCxs8XWhML6TULOlaxGnrOze6axD7wuWiJty1J89OqltKQv7Do9khV5&#10;tr8vl5ISbKgJwgIlA88aZojJiE/Sjzcq1kYCSrHIurE3Wwe/9SabGU58MAy0iRI4FtMykzTDLB2f&#10;EhEx6ztpjE6eIP6hWOi10tdvVWe5oAa563IpbSDcH6+PTWXTxnLWw3A5a/0U0dv3XtqrDaPZUqwx&#10;FZ2HYGtLrV05iSg3THy8kDqfF5bVNfwNgtPOzLCpwnJbtebgxZkZr4+gKiFl+BaOxiU7Pdo7zfNt&#10;GRVBRXcLbP2flfMwpFhjKGzZNe+R/+YFL6rN8K98FyEYNOq/p6baPJv7wjdaEgWQhk1oJze3mI7F&#10;Yw3eawksbaQwjveghMDECGo2pqMAgNFQGIzXGd7/dMOEnMNYVgE8ARdnxZzs4rrnjQB24ANF+hsL&#10;8sjo+ksxXkUxxgfFrRblUkEBhqY4GmpVLd3ADw7DBYHxleCSVNjRsdQr/bP/4d3Yff16LP3N/yIF&#10;TDH6Z8/H1mdfOfN0kQbgN5Q3fad8UFmXcpVyVNTKoxeyEh8pLpkEG5cCoHDXHrNyH7Zs5QlBEqGx&#10;rGYAy+oTuvEn/9zlW9eHOkNR9Yk3R5/G7YkOGZaVeHcXV2sEHgOFYSdmxF6hWLNVgWdwv4Vx9iRs&#10;N205fHcJQF/fA3p3areNOLiZpWiI5xH+cVMG6gHF9NMgPngWJAu+oGtcgcOOpYZ2nst9+tnaGP/2&#10;ufiWJkIM8Y28at8d3I3v9u/GGynvuzImTtymFaWFqBbjcxZswkh8joufmkGvzrDklI9Yg9Sb0oRh&#10;ym5vWqs1FUn0AgO/ev0RTFlOQFbYnb/v3w98zQv0ulAs0ElIVuy9KYXluca81XtdtNK04z2sa7mG&#10;9dkt7asjoAvGraxk4VnC4rL6enqTYQ5FLJG/BJ7ppsATpIFRVCogLbjVksufHXCeIQqEZ5aiz6D4&#10;sKRo3Nnf4B5dG4AKadSsnuLg2n8FK+a1WaoQsStGlDiut9ShRvVLR1efycpTnO9YwfITOcsVHJ+/&#10;25Ork4B+0nxxcXanCGeKESPTMNeyDnE7NFPyphBj1FEKLmd09pSK9CWI0Y5oQXWqEzOO9UJBWJPF&#10;uvFoezz9i1dC2M90wPDVOJGVeKzm4TfSPhcV35zXHOiZ6HWXhWfeUPEkd/SXu8N77OQOadECSDTH&#10;EtmllVo4kkRSAXC24FwYf0azAPpMStjd0FhZ1u88TQU2JOyUBbgmK3ldr1UVxK9JoVhVDJW4Tjop&#10;aAzWqmfQhYHOGycIUysyYSJNgxEwpQkyN8+zta5spOWGuUEssXaJJmAfoUjf3u6yYoXNlwc1a6mF&#10;F8VwjMrFYJibYRUt/Y94vPlE4msJaUZfTM5FlJ64Y4pJZZomrmiF/sfWK8zGJQNlUUZw5t7EhfIT&#10;hSbv3Y+Y8aPrBAb6z9vPBx06gK5CrxNMAoM//ozLoxB5gDgamIOfwWdNIGWxMAduQnmpC0N7rXiZ&#10;ogNnXeNpFhNJl6NM263lgCOClw/rUYzNcMAWS29DuepqqeHC4xstktjVW7nn5hT42hDNbOpMRU5y&#10;Z8YWvrAF3U/8irZqHFmCFc7B3Ce/++1494+/UT/hNbVNVBmGGmFsvfp6rD77XD0+ldFKza8SbI5l&#10;XS6oDGOZ0zJ4qVE43gzGdbH+ZMFHkbEyQD9Skq2AnRa19EQW5tPPfM+dLEWE4uXeWz3jOyXRSTB2&#10;ko75QTi2k2UKB+JKb1d7cDSF+/lsUpAC+Xsut2z6FCNv+Js0dK/oFk/b7QowTUYwMVrWZa+Knk+J&#10;dXqxpgzCu2k+EaUtipNid+KTf/Fgbvxar6tXt+NQCVMfFFP8USzy++O78QMnaOiggyMZDOynLUWy&#10;8OtA3UvVCdJCLwX5SF6dHiSmSc/QKRnLcAkW5rmz380zDLvC2VzgTQlM654mx2YdXBaSghbljl+U&#10;dG/RZYFXwq6fmUdPMCqMr91n/8pjaeDfn2zez2ixhGONt9jSn5IDF6Y6U1IPqixMFm/WrhF8sjAZ&#10;owqZztPfpphJYivx3ZtBoic1kgAEQwLrkomkhsizdE17EmLMoLxAc7i0MwNEKrBduzt1ecadtKBL&#10;UeW5NMqLuaeKDX4lLVX1g4c78pqq7dv5vrJVJYxUeBfGLOZP1wE0HYBq/0DqEa1tO67BZieoQ19C&#10;VFjWuyKHuzNY9dmVkGjneHfsKfN0QW7VdVlWj2QlPn7xmZDpM9UvXoxzJeFQ83SpAtlFGoEL0WjX&#10;48bHpq8GvCkpBESNF8LQzIfmAXJ5CImvZUmeSthJRUlMg8LkbXWikKDb2lgdm+qksyJLmGORSGxC&#10;s8TF1ZbJlDEqBcENfzUmFrN0UFm9EW7zCHul0Vtp0OMTEyurD3q3VlwCkN0yE/UlQbrSyto6LHwN&#10;M/LqYn0Y8cJfJvdMEL+YdCGiY0526YBWutpSDEGo67BczGD1nh6bNb7n0YwhiyicLEHj8x2LHpl3&#10;zcPdd+q5Jux71OnwM6ht5WBmATIX47kFXJigBbRxV/+L+dowLsGazMMoC+lxWhwhJDIJqY4npTIH&#10;LhKB72e15DcsS4EwTHMNP3ZR+X2xjGIYFvLer1w/HWhdnyc5pFzccc5EGForgyaxQOKu9dThjxL+&#10;K3KJklUKfR4o+fFYVuLRObQtXBRP2JSFuEXtL2DUvqXLv52Qel7ijVhwZ3pdvP8wdtRu7O5OVuI2&#10;xfovlQijjNNXSuBSl5o7pbPevPk4Ln7SHJaIJz4aC+pys7yt8xNVvE99XkqPwjccoqEvpHjXDa3a&#10;JPhIwLtVgw+3hlSMX90FROdKpImWGeQwPrFAlg4QwkNjeeQnrC5uZDfDMA7UZhb8nbE9hQVCV355&#10;kB4phxPPK5P+Tm7QO5nNC8ptSBa++JGtvtQA2mvjBuX6be2N/QmOd/0se2jPva3XBZWwqURGSsmf&#10;PQbvONxgbnzS/vx0rHMtJRh/++lChxGf+czF5FrAB1MCB07DK/cllbc0x4fq9JM+sTPFLQrcLAaf&#10;v4rG7q3SFDsD7wyO964xnOuaKyn2cYVGGDfMpkz6P5K+gWVDFGIIhyjbr74I7Pvagl/Lnml3xGav&#10;z9MeqDX1iVR9grQGBrgUqmownH6xEHgYMbi0T8oRKwAURCIDiwFZYQRjOiVAVGg5hRW4EhE4JjY6&#10;S/Ab1046QjR0WnAFHWXCS8Btzl2qOvFwPFUtzp2aQV9+9mocX341DqQBHclKI416+Wxn3J1+UuD+&#10;2EW7y3ILYv3YVVmEjVsQ7ZYOG8v67lpxySt3qMA6TZZcDqiU2Nc8L6UxXRxJUKnF28e3h1aT6cyx&#10;pTlsv9wc8189VgcGlfqqe8TpB53grSww9d6Ra1Uu53mlqsutzAkap7JKr6Uu3+kEclVtqOGu8rDo&#10;1Sg//YrmuSrr7rnaSSGIV+XeVPcruTRVwEzxMVlw3oa4NW7lDmrdPschRbtP4X1hg+DvzjxaO25k&#10;AIxgvdDnV94/Ou9nlI7l+qy00NtkJRCTNautzyNVgn4RGGF4Lcgyn4j/xticCm9uY8ZM/aeJzHMO&#10;QYGnyYVqQdwMQN+TXOB5FoPyI2LxtBUH+lRVSwSGLTVPs1F0JpTNWKLkBTezXltPHtPkYYGUmGT9&#10;bYIL+0QOAq+stnvJ1LxYg14p62hLLuuKguCZ5VmeQ1kyzKlJmy3DuqprDDu9txWsl+On3pZSWrwt&#10;FfezYNMcS2dNDDcbmCYMmYKHMq1rPPSvmpu/Zwz7buN0sgUpPJQu6K4i5IzCiI/FSj4ojvhBDyMG&#10;vyUrcVX3rOCN4JHss2ErerOFqyHpYIPyp3KIk9/9Zrz77T+q1ZuUPWUxb3/2hZJrvhprau22qHrj&#10;W3WvutxXjSuif1kF+nKnrjx8PC5U88opNCjMCua7M828MkY5lYZDhhf0cCzaiVtbOQmtBMRtgyPw&#10;ZxaIATNpca04zfBkcjUXckWpyL7W6gp3SgFkf13ETy9Tkos4JouSL2khhDR8/E8Q1eMIxmS1hr7A&#10;i7gzrdg2bwK//V+U98TH4yIHXfAEfbGltL/t+fEfNfbJ16tKrFkZP+1fjd/oYIPf7V+P7/euFGvE&#10;TQRvl3tbz/29BOjPlKD4cB43aXhOOLCxNfgS0p3AGnoo+mjwFo7yhflWUHb6MUrrA4RgXKGgZj2s&#10;eFB/1pnPs6fUtTVarOhiIjyneGDzsX7u5Amq+xbnaZCLtthUYKoqN0sxIW8Y/02MAm2F06ZDdLdY&#10;hzAnQ6DZRPjjZJXAAFp9tY9fj+36PK5zajS1rWEuQMPxAEOdxJto3taQJEDcPR8kkcTdWDwfW0un&#10;49W2epDeLY/jq5fSTj9Xt3jclqpfOniv7hR7EkInRqRVCRvmvbym1nAIAceAQtgkUzuuWALkxkIT&#10;hp11rWK26XJiJ1dax4kKXvf31Epufk9lIasSeMvjobrYPFKTYjJcyTg9kNC8VNo4tYyHinMurGX+&#10;q7LkXun9qrRj3JgrSkhCINMP0rBiscQ0DZNgtXu1Fo5YIyzE7M4VoVn2otCxfpn9SsNjWY4Jwrkh&#10;2myaf7qZ+MT4veTiXmU5+DoGsfXKX2UttWMjOoaFQ7TZsjAK2aeyiiYOP6EQt4XAvbEj4CJ8J5mB&#10;ULOUmqbueSAY77dcaw3RzL1po4R1rWwiYhOjQVcCRjhBDaAf4X+KihFo4Gkq7YUXZVEhCO2Km1m/&#10;vq8El62sSl4A/nGdhmHZ+wk/LkvQDQFMbzUpLnXCTikmWG4loPs3jL73Jkwxbk5vXycIGebQeo3P&#10;8OC94V1C0V4c3GWZescy+3Tu8PtwP7sQ0Xs1LskYj0j0lLC6lAV4QTY2sXa72KRo6teWmKryL9zK&#10;TUnpFn7+msbaxCpRDBHu+nzn7bvx4TXNuP9aWaebUjJfjceyEhGK1B+yvpv9w3G1+wdbfHTECYRm&#10;MHPWrojJQh7LLWqCAeLCLt6Whd7K3bQrBn5YvrE5ZB88LN4QLA/92IIEjN7vxC9DgtkLEm1IkEMx&#10;vJVye6djs3jdSuO4lWJMP9SkiYqvOu+/9tvzRDgF7k7u8YLgl+mL66SvSexWuYmlVoQy9HNZBggl&#10;Is+lVL96tTL+3eer9AYbe+dyn6pe8Xc7V+P3u5fj9eG1kqJuxj9Kr3gupfmZz3wEF2Y85b4AZNb3&#10;fxpqAczsG+ZK+Al8cfMavdLERq5cXKHQP395cL8LTEuYGSIF+7b6cgOfhz+H/vzBjHbr/swkN+Tb&#10;jE+7PwsEyNE0S+C05JgzjNovjsXmCwBqzha0cOA+HyUsZJOw5AzBJAnocyy9SoLALxX3Imd/QXhs&#10;qK6r1FxPnllAfDzHkWFaEuE+IAjDuJzCAOGUJo3kJ9h7wSGxTOjMQvSxhOuTdSGIkmwuX8ptev3Z&#10;ONARKUdyVV4eSRjRheLqwEiHfzyZkWWC635OxDB6g3QAVByL9O8F+dUvZTnTRBd8WCK4rGmm/kx3&#10;aG1H6mJz/e5IQk7CTRrtmnKet58/loX3pZTXbTEAFYLSNV+ddSjWd0auGxIHW7J/QfzUTZYWqPnd&#10;6PlYsvMSntHMgSNYBDMqFgDuGysKKfQ+5zLqtwQssnyBfdH7U32uMGu1iMvDm94iNEor9t7EWooo&#10;KglWzLCZM3cAj4koihqMsF5fxer0lh1l1Fp1BCvPsFlVKIrwp708/5camSS6YmCMgWLQy/eYEURe&#10;i641PAPZCJq2ONudVeTQjL2t1h53YnK6zpYqe10M1FnQGjOKGfvhB2U/Qh7+rk8x93q9zmJwfMn/&#10;oLr3LGy3M/DYKw55z0PKWvWac3+XLRiuMBbmZ+ZZe+khZwzBO5BH2kUrz+a096Y5LTpu8NphrjUu&#10;su7qbGKFAh5wXwsplqQbc7qMCvCJr+Pul0A4Fn84VBbj7iG0NDceiDY5vFYhf+MBQ6VMgLVm+rgr&#10;iZ0B40u5MT/8/rfj02//Se0UFfcm41RlTdt0sFFMcXnroSaImxVXKBnlOeMwehkjpOlBXHn8VFMO&#10;oAMv8aPr90Q/xZD51kplcCr2+Qz/Au2GecM72B2MN/J6HqzW7nydpLHIiQ4u+OdVRenAT96oO3z4&#10;zlNIMkz2rUcjvBKFxUIxvyw0gk5ZaFv7WIyeVSe4YU3qo2sUtmCHm5z/D8+Wx798ri5geg7Nwd+p&#10;2cnvJBB/v3et9nA6okuvE5dmRHD5BC+90iwgeOWl8qtYhOkEI9ehDd0jDeiJ4sDr6xs+PeRYvZ5P&#10;lVMhoaEwl7xhTbf27WbNxqzZxmWvDNLQuddQHo16uh/m3ITamxai08ECfyQUcYeqzsdCzd1AZogy&#10;xZc8EW1TIZYnYGgHhJkgDIbOCPT3W1EQW4yekoYimHBWzk4z6QY1dN+VgAoMYXx9AoQFHRuG289M&#10;tywJaw4hNhrs3lAQb8Qs/o96ydFK1tjiuFVgQO6aPTUHlzbDkUHP10WQ6nJ/9vOxr6SXi+ODMX8p&#10;gaii/TVlqS5LQ1vQhpxbqGaddtlqNND6nM728qtsSSBynJSFJcLKzF8uV1mWNzBtqTu4LY72T8d7&#10;9Q5cEtI/fKLzE5VSt6Z45rrSupc2aUis9kCCiepUlLmm5uSKW/gDw5Q6p8A3Vg8WpI+UzF63MDL4&#10;iwmVO6DTwImZsA/JfgR5USoEe/dSLEz1cFBSrgliaTybAaYuf44LxmSMW46gPVtq+KPFFrJmmvlp&#10;QtDfxIWaKcQyypwnqili9FIQMgg/b21b/hrfZRYtpFs8h4mFYIp/lkCZsYw8CmJ0YjJSpXkWzDdk&#10;m7VkYiEwT89izp/xGN6xvTOeVwqK3Z2Jq0RAZLV2/4UH6fMIl5BO9tTu4knhNGVP++Ap1jz7uZOW&#10;WyDOzGfMoplAEnjKImAepuHeGL7K/s4YSWDujFw60VQBf8IBnQSSxlTAAWuCZLLMr2jScMm67B0q&#10;oUNsfF0wX1JlzqZw71hWx4WSNQ7KpUpJyZbSULclNBc5J1H3uxVqKdnAjYQzYq9WKgTA/Xcfxt6P&#10;aun2v/5/lbD2YGwolritgvotZZwuK7N0fn3TyvUNA8lj1QIxfCsKi0Mv2OEWIrMM6FZ8o7DMoGY8&#10;AI52d8Y17n01/D2I39/fN3DAj/Q/eeYdjXiNG3o6Pmfh5Ly0gDnFBucUMvG5iSQIodHoeVa8GBQa&#10;K2RiX/jpnsLRR2J9OvfCWc/sO5tMV5vkQbRy6aR984rMDQ8FOba26rW+Ve3ZL9RO8VfimXC3U7lq&#10;j26Wx56OYXtzdKPm4Efj7UflSByq4xTxenCCEGvDxHyf2k7lT2w/GI+0P88+/2I8efl8bD6UISB+&#10;CAxp3v3p7Y/j//e3/6CDjGXAeEItmmfqZ6AMcGs/7lmJ+bzYzT0U9+f+O4Iyv2d8JQPmBiXGgCRs&#10;CpyiXDCBaaxyXwfA0o3b+y1tZgFuSId4W2qGXoggVBANQe2S3ObLx6OQURpz/k4FuO7CocHNXMgs&#10;Kw3Q/TU5NwfEQPiCCMUwzWonBhbEAwBN5E7WQO32kSmZ+xxlHiAFAkbF+9u654HcMp+9WBpnTx/I&#10;PflUm8kZhTqN4oxMT73kBydTFFfoDbWRTuWPS2NXau0TuT3X5CYgzdmZXLRz0M+5ag9pUstZijf4&#10;/rWuJalLFOtfqsTiVm2KTnZUXrGmFnJqEbUqIbihQzpXlfk2v/I4iC6t947G5ATxzbkLoXlndZZl&#10;e2HZfOJ5CA3dm31IirEFH0Kc1GfvZwsUrEcOQ0XzCtZ66xnSBMcfHiJ7agSwtKi5RABZ6GBN8VUU&#10;t9zn37U3zYB13U2yNwr32HQYZoTYdEwUe1ZKlafhtYY5d5edJIXgkqr5SSplRjXVxmW+vud2M0+1&#10;ElVMHVzVZ+YbRqKMF+HENJvgsnwzz8JDBINRz1sQweeBrAzkJzGUGo/5WSiU+9pwzZO9XgExMdF7&#10;zSnCD4rBZtwpSYX3FlTptNR1vhMMMrSf2eVTrRg3/QAbl1X0lsDgm2nUvczWsSb2SJdWyLkWF68N&#10;im3aAQcOVtiAMbAhKawEATjCdWtKblsXbWEdXAqfSeXfO5D7U3etyGe6wfechCGXHV2fXMJTe2oP&#10;E9cp+/mGsfXH8dHx2N/9x/FOPXFpz7auEolHX309HshKXHv2wgk0bKB5UJ2ivlAJVIXSk+ISZlp7&#10;C37A4gyi2qtioqGn3uhiQ0Yh8DJM194QtpZ7ixfZWiM+L4XdhSgoC1ag4HP6TFagCgXM+yhrSPlM&#10;6NgeL5vMgB9FlnS+4JEbmxgPUFqazivbU9cs6Fp/Th6GG/8yXoBp8ib7n9wH/YGXbl40dV3Jhbjh&#10;lyW0Pld98a90FuXa0xcS3pvqAnY73qhk7PsfP47ff/9mfO/zFJWgqOc9evZkPJfQe/nF5+Ph86dj&#10;U0lPrJnJ32gfTtX5Z0f116/fvRtvdWjxkXIkLPwtmEOjRsVCT7+fEDU4cD9z24KzSDhf5uao7cXP&#10;wILC9/Y69ZCLV3LvTcRWG+bjJ4jXkYhhawKGUh3Z7cRvzTLuypbeU7AZTYlN1IRclEstjKJtmP8+&#10;JdpBEDrKtFArjgeYcKOCTuGAxqQUkueaWCpQWH1GzIyvyu1qpsr3rodBAPf6jKKBkTH7Qi2ijpVh&#10;OacicsUSVZp/fPulst0+10uZU2c6H0y1RQtXR2oDh19NAk1uyEeK+blKkvFlMQIOKwIaEoLlWChc&#10;EOmDilUrdJfvgGzOtr6wgE9FvAcflfX6QFmtK2+dMr714KEOLt5QZ/6HQnANrLlzZiLtohDsdg3j&#10;bqYDBuwJpsOa6uioUsOd0WrI6R8TXII+FnpEQ4AdSozlJAzrHqPyppV1xQVdyO1EGSxA044pxwhr&#10;Xt5Im23x+hd8TltkpzNXIxWKOetTcKoQ1B/6+7JaywpgHtxSKGacjZUYIZzb2w3Ehc2Isnafgm58&#10;yo8FF+swdCJE+ssQVjFBM5S4ojoYX+RkYc7zO6bXY9wbqml3IuQYeDNlw2MQAgroJrjEC9QfZM7M&#10;K46xgrklUZOGBw5Ts9UCLuQjB14Mx6zVCTHgLOOzR2yB9Vg6K6VryWS1FoP3M2GMYBkwL4XF9M5r&#10;ui7zcV0ZPJZ9sDAMrEtXzXQM2+hqdDwhFgi6XciiQEid65SaCx8ODPNVcwylLGxKMDJ/PApd4ghK&#10;R/hL6SwT5Azvi+KI73/8UbHH/7foSW0S1bXm4ZfqXqNep4uceEFRP6fYiLbmneiVcq9YGQXnILWV&#10;oTDOXoO5UDlIYlVEISxh5YHYZzWj4D6TXdKbLABrv4ENiWpzsnztyhccaFBye4HCznmOmMIYJwqc&#10;WiNDoNHgIvuRwwiigOf4KAkYcJK5OPaHxkVmZ1yfVmZ4Dlnk5gMIxKw7+4jCXwqZhWW1rMTtgQcI&#10;/rKoRif0QVXRKBnyDzfWx3OdLvKv/vIbGwoH6kH9WsmAxBevdKrImRZ5ouzecyn079Ri70hHaO3s&#10;7o13suLfvd8Ze2qfSQNvYPtKFuIi62cOhl+vMzQQphEqDh0E1+Iirq+Kzqe8k+m77I13MduaPcqo&#10;/pG046ToIBlM1i9icDDcvrCEVVK2w+miyEasGJjUD7rWSn9oMbgi6AQC42whiu5yrQ0DaRNknU3F&#10;Gzvlp8+YM++6mNnIaLObeeDyjKB1vY8pS987+SNsI56s1sZNlZmvASgtk/k5zob2dSwrUQTHHCWI&#10;DlafjIPNl+Pk7HLsH6sB+NWnsXK+IwuQY56URUpXDRzkCCM0LGsjiSFCACZSa79hVLgVHNnEepJA&#10;RAhdmaI5KFjH2Ci5Zu+16h7Xl8f2I1mI0p5WdEo1B5suuB+jst2U6n2t1+Upp4AjFPUcNCxkSFkl&#10;gHSewDsrNQInbhpNUOUecr3GxSqBqPd2mpVKbCPMjCXCp5EkRHwfiWrvjLTQOYRYGAUDtAFrTlzi&#10;MXgxMU7jD5OGcxajMb3FpWPvkeYRLTxYYhy4z00hbva+Xp5IWx/MC8QvZhYaSrzKQpP16/nOTEYo&#10;MhbfOf8qjDslPrVo0Kte95k6cwtzLhFpzZ7180/Bq4cogRSNlS97+VEQ4lIDVSKAI7giqPjczycJ&#10;xwkkEWbc4phxwawOS4j7uXAQjyCxv+SncNo2X4EbGqPgi1cGWnVcjjXpc3s7dR/pJiXPjDeuF0U5&#10;Yr+YA3Mt/oBDB2Ya+EZIgP6FXsEn9FNuMepnzbwcZ9JaaVRF0tGZaOOkemm+0SVkolKTuK3yiwXV&#10;21L0r8TKJKiJ5pOApTikPCyUGp3y+nQ43qp38Np/+/uxtbU+1lR2sf3Z5+peoziiaGpRGaYczWQm&#10;b+HRChJ+cwkvLF1DpNYYqHvyU+Yuyi6nS5Dd6OPayPRW1xvKmrwYxdnA35O9Ma/kPJp9LCrmRzbt&#10;tZNclIUPT1DjgTsl7N1erhbvlOeIs/7UlIP4g+Fsiy8CLiXa4HhwiZkZL+RWbYt0XmviZeMBoVhK&#10;lvMnbElzP0sl6z403PzC2aepB/H6aGFpg4bNtAGgE4M4cHb+xIbSmtb8q5+pLzENOAT7C+0JNYsf&#10;JRz/+n/7MP7hv/x2/OO3OkNShylMP5r3Esq4+VN4lPO/zEyMLUaOkEMUkNnPvWvCRma32P9QNHVv&#10;HL/12MXfSlAurih9P0VzsS6MmMTzjOQhZjNWIzWCinPJ9DHVnBY8us7nBPJhUvDjioPw9Ldcjxaa&#10;MDhKLfBPS3OgqS2MRmQZyHqjuIfUSJ4LwfForJYCvhmWhBeaEqfd2/2XmJR7UdrZjfuyNtMBnAIl&#10;zMVJP3EbmKCD2xEmmYlhsSQL8eWKsk1V9HT9VALx8qkKzSUQT86VXPNxzOlctaXrYyfVwMBc2Fpq&#10;xg3IVsqAYwcwEuqXhPWXZhZ5sUbcpnOCCb5ztOBjpSmf6YDO8wPVGS7uySpckoWoukDFPVa31FJq&#10;k9dDB9Vxmc6p5snxXDEwlI4rabcmDJCiNKXukzfvY2DCKNyqC02UeJ41wdxjIrA50hZ6EMnIV3Ei&#10;yyJbBBWvKFXJNFrg7rMY25XWjX7D4Lm/IsPM066ZaPVGttmWmSl7LxnYEpHvS3qgWLTmqDlYL7LG&#10;l331mJbqLJptzdjhGXlmpEjcMLkpnzUrzN81JZ4FfoJnCDt9ZYLlknoMc7URbfyL5p29zjqANYKo&#10;i+FDJIyF4sRbX5Q5MEaR/RSfZxsKb2N9RIExGSIsI0X9y883zSeuZ7XQ1mHgw6pMpqlZSP2jYdog&#10;bjdrnmFjC0Zb6zNcDN+sz2jDONXVjM8QIE4a8wMrE5kP61qTjAVPlKU8AoFAaQWH0QYO+0rSkA44&#10;Pqr4+xNNLmQZbumlvDc11lAMUTFHamvpnmQ2BH5bsIjP0BFKY+4oMW7sfD+W//Ct4lTLY+vxo7Hx&#10;7JVOwfjc7dwWFZJw3TCwqhZmXljtrYXM4rrYpF4SbLcScPPL4p2yLKnnpcQJwcdp6PbDG1/RYuYU&#10;ZrkYH89XVBql7O+bU5V4nagZiHxP88pqlZBDicQ7cEtZGnXBHFB+LYG4Qr2jBKHomvpHl5JZmEWx&#10;dVzP+w0e4VyJJRVFRVO31GK/9Ucl2lAHOG9LL/zbZ7X2QdKo6vAEBKw20yepwE85hFsKA60p40kA&#10;2fDuBd3I/LoWL7rk1IwypPCOPdF9z54ujV//H/9q/N/+01/qKKnj8dufPo1//O7t+Pb71+M3P70f&#10;79XDdF98dW012A5OqGTBdHXfqquVRTQgFSatu3EotNgkBECMlqb54onFP6a/Wwh640DAFnLofrRJ&#10;A1PLP5IH8zAGNpttbmLMpwmr09iKkK0llboXJlvkDGKySLq8kIqup9wo6BrGkM1M5luY8GTaI6L4&#10;3qZpbTB6KEzVSIEADMOhZslT98KLKZQVwlwdi4ToXIZAkW8WZ3r0hqfcIzaOmJOsxKfLV3JRqpjz&#10;8co41snbR3KZHh2oY8zBgQzIXcUupOHdnTsjDqJ2OTexTy8l9jTrupLm1HFV4AIxA8vU/mQ99EHl&#10;GJNbJdcc76rEQ1bizju1NVY63fr2ynjw6KGDzUs6DHlh8REaiOoR9/Vb15Bt51rIuERgcDQRd3JM&#10;mQuL8u/fSVGxS1VzC5yCPOGhaIT8UQgV7JghkqVIacTgAlvtxJcJM/w+bC+1aovWmsBIQzl7bJd4&#10;W2t9dQSQBQMDh7Z9r48PKuEc5pn5hVAK5sW07O4JTWQd4F3VlYTQIsQzfrjcdJQWtbG2ZrO2WNDB&#10;e7tIjSu5JxmZ7HlZRCRwuFQBDX9W82XIALNejBWhYtYFZycseVGV2MDaWBn/oLhAG4Z1vA2RyAFO&#10;9g4hx5ICX1uOFsKBlT83vEupQNj0fLx9WVNc7DYb8wwAmYlH0SgazHjFIriPPbClXYCxZ4IhmHvW&#10;38pCNxIwSuo7upMk+h3FgbmHlrPJJM+so6jqIlqxnap/ppKwx77oDYG5wQkyXMNZp3oIluGV9o1a&#10;X7xOmb6+U+0tAoJDvU/eKiHu7UdZn3+vY8XWdbqMmn6/euWaRI4bm1NfU2M5uQwWOvLYLG2PuSfK&#10;8tYxUYtr6mslpLzk3Eb4JQo/pR5NS7UeFr0sM3brK3W8evlsHOp8012VdnzU2Z5zV8cS4hKKcjVu&#10;SuAt6RSeG3l6wF5ih5KGqW2mlIKYJlnlrilEO2RecWmaaoKGoSmUTOirynisaOAVcnJjWX8WogpS&#10;kSFvfkHXGPYfIwOeGN6Uwn51uJFAyyntaUyOQMSKDSJ7oye+QyzXJWWabxKN0l/6q8er4xcvfzb+&#10;z//m5+7x/F4u0d/+tDv+6bXiitqP72S17x+fqjuWDBwtnz6/JEnG7cmcao1B+/o8j89P8DR/F2Ss&#10;VPJVPIGzUoqiWX22qEpTS9VYKD2cbe1aH9hcFkwxOjMyPybEHNibWrwJXeAeZloxp5pY/NH6w6UR&#10;mL9kLyWRBKBi9eH/9iKrMXd3pMnJ0tlob721Po0BU8c96uOXtJnh5uWSDBBylphuw4qBeJ0iTENe&#10;+pCqzyYnY5OA4W7z5d4rZkpyyblaPoF0asagoxMXxotHS+Pi4eY4vnmi9G91zdjbU7qvEl50mPCq&#10;usMvK454LncANahLGnuVDjS8NAWn74qoIBhbBWigHGfFmYjmBIErde3p1CPmp4ScvcNLCcTTsbH5&#10;Sa8lnZe4NTYeKs6B6/SJumjASHGXqnvNrSzFqcG51fgworYkSJG2G7mZaKGNt4wH5pYJ2Wbu3vDG&#10;meRshsXConklcScMMYpqBEi0SCNCWflhjM2oG5vdwQIB6oUXUwypz5SbaQqNzIX69dxZs+++sHTJ&#10;Im7Pw4yavQYhZlabJ2kNGhyq9Ph7cDKTtmIVIcmTHVst3GZfTRteP/NGRHBtXJxF0oEDcGGcSbSW&#10;/AFtJ8Uu8wTwAV/oykfNlbBgTBwjuLVsjAG6st5N/u0ZaPhbgidu2+cQdsKA5+RHFB3lcdOWV+fg&#10;eww13gXTrFXv0I/ps5KfyBIltZahnEgTdDF8Zi7HzNuMj//MS/JsC07pbRR/U0e7YeuUptIc2SfX&#10;qfLeaCbBvusMYblP8wTq0iSnAjE3TzeBCUZxaCoEqaS1M9XyfjsWf/iDMrxXlXH6eGzLStxSTeLK&#10;o5cKUWzp+aog1tFj1+8Oxs0nHSa+/kjF+o/HvCzIxRVZh8WssawMNthNKQ+F+QqlLErIbo8XSsi7&#10;wvOjsoMjPftcltSywiDznLyD2/RY56GeflQuwIE8PhyO7MlbsXa2OnwQr5ZP3qhwkZU6E1vokHvA&#10;b/MylAX9aVwz0wxsHQfmSsZSsqLGW1CuxhICrZJtrAA7+S5lannxd5WuFb0BYRsjPXYpUG56jkKi&#10;dVBedlI4DP08Vf/mz/7i+fhPf/FCgu9GJTTn4wcl2/z2za5fP3w6GJ8OdYiB6kCB5Yr218fm3bcC&#10;W+RBqxE/ILuppBlY4G9uVJ/nV8cU1bQdyqFdTTTJpAuTYRhC6GQONGOcKs4mBQGTrif4dWDZHMFE&#10;4DMAMc4BJuMSLMf/Xdp4fNs8gg1Bo5HfG1cGbb2k/dAEGoY+39qOvvOhkBACi6VJr4j4xiY9H6Pl&#10;5LDdLD2c1UyUtePbR/ixmawUxFBwF8Hn8wetuXNXtKtowPpL2hdM2H8Kae1+5SrcnUIaFUqMJ5rT&#10;E6xENac+uVXpxck341itM05VizhuPujyQ3e4vyDuAsLiltA4N7hIEX7afKxg5rEk6ib13GsL5jum&#10;aEGhR9PYFg3vSq6d9yq/+KSuNcsrb5R2vDYeqHZq48EjxRGVXPOFNFm5UOiiwWndV3I3GHnRiitw&#10;hMvFe8sWmDMVp7OwKqZRFmEQK1aC8SQq50xpauQrxscu2A2W7SjEZEtYSPampZ8zCJtxGD+K8fWz&#10;2bcSImWPhTHaB6hxXDqh/+D84dlGda/CexrED26bM9WzgycRzHyeVXvsEnhmZsVIrEk3XLgCuJkE&#10;2gKekZpdvFALuDq5H2drNu4boNljK6mltLmRAYINC7T4WguCLk6vu7LujJAVB3y+j4/Kw5m/Cx7+&#10;3NOOQuF1+PZyRxa7yKa1RyTj+sxPPtX8TNnFALseMyoVMAN/qwmAkTdwrHry7Ece6TnmTMuGWWBh&#10;8Hg92cFQaf7phLM55TKsSdBTj+hidPELZdqPT3pxF6EZ3KZraySN0G2F9SZuC38B/2EZZD9ciTZo&#10;Vn0hqXp4IjfdT2/EdP92rClJbUtNvx+p6TfJNRtq26ZCWzF1Neb++F4CUQkdq1tqWP9ozOkwYbW7&#10;Sb9U42gfQ5U5G8ylNLHH20qGe6hYpXmKrnc/8M0n4+b5z2UlivGf7o+5o/cSihKI4ie3Ot7tTgq2&#10;FSbxDsJK7ufsfdSnCDUga97NbxTfgrUt4pmhYx4JHPwrniPnDljA5jxWIwdCB/mwolN2dNgC/VsX&#10;3M2jY49FV5AiGl67DZ0YhwKLHAApxe/gr+ZtLFZxUSXR6Iwg3wMpPRLYnn21Of711xvj4vKVWlVe&#10;jJ8+HI5/fL0z/uGnnfFWJ/4cKlZ8Dr8wJw9ehGgL6e21Kh5guAS3Qh8FDJNiFAF+Fhd86jO+ZQHJ&#10;SILEYnQABiC4P4Se9mkFMCwprrdgRAgxl1kSC+2AZoc+GgbWBC0ULSz9/AJUaSZoCRKI9Ce9Vuuw&#10;ZbkpFlSuMCd3ATekHi0Ba+bs45U0V6c+c6+rjgngQnWceA/F4wLFvGRJbAYo5AGYUHpLMh9/h9YU&#10;TSnpxtHPWT0GIut3nInby6IwY5V/n8bfD0BspW+TWHP2+Z+M/dOfj4N9HSJ8uqcsTwlEZZzm4FsI&#10;sbPG5GbhWChN3T1AWQ8bI3clbgnA72wtPXfJnXtyzYbdngpAq1XcOzUU//Thwhbitso3qMVZ3dbZ&#10;axKI6w+eSggrHkkWMEF2lYI4QgRMisGE3YWZOqxq1xWYJJww4sSqxqKL1RbGZNwu5hs2nGsdk2De&#10;wBTmV7gXxmrAGyGnE0dYVXM6C8jgReS2dtwlKMEdK2l6R6cLt+8yUy9rkGexBvAEPY516XvzWK+u&#10;5x/cI9HEsoHFgwdaTSzvoqJy71n4AJiKMbNXjldCv2T2dSLK9JSmwhq/11fxzyTBhAkFL8NIrFyy&#10;TsMt8DGMrXTqcmLQ9mFqpqzbwih7sNwCCQjkkiL9rLtr5PjQ3jT9Jgsg+FVvai4BV1mtwKOEtV3B&#10;xVg9jeilcVVb2NcADAc8HafMjvOyZSSFz+ECvrdU42cmwC3IW1Cwdo2Z5s7tvo0wYUrzAGFSoJJN&#10;+lgTuhBnv9Ke7KonoRKwndmOMrlB3196n+oa8OoKfqRFLdrydK8Wd3mi5yauTtZ9rlNjPn38NN78&#10;0z+O7e0Nn5W4pZDI5mccDfXSvXtvr+lcsz9udjWOepxaIKr5992KyjOU4+BeNtbSYqlHsTKyliWW&#10;fcXtm83TmIrBiaDH3bMv1fJO96qOGEF4RwPwfb0OP4qulTluJIRu66DzssZCZoUrTXPRtvx/K4fB&#10;gPBTLMVuFWlPiIFMPHDVQnBeLmCdwu6+wx1q6lyIqaZyQuvID7c3LEKcozuOY4Z44Nro0DMwCDhG&#10;in6y5uPccDMeqenCs8/Xx189Xxh7XywpyWln/KiGJz+oo82bk7vxVmb8nrwA5xWOwfVNM5WYKuEY&#10;WR0gamRrHlQT1XeqE0SYwaj4Jy7KdOSISZydyq9ITiStJk2huE1iMJ33bGwI19ahNdlKtb2H2PcR&#10;HETjflwlIKotUjO+MIVbIQ6nJeCKoFAUdwEuAFK6SaCBCTrZQGdzQVi4Hcm6hCipZcxGZk1ReYMw&#10;jRxejoPEma8tPgvF2anX06ni5dZqHzd+zBA18y0rFcGLMFP5xfrdB1mIC+NCBfLHl18oS+rV2Fcv&#10;0ZujXWWJ7SgOciJ+INuX7CgfRVUMTbCnqTaNc+l+gy/9RtyEQy8tkqFMzW8Zq1YMxU1v+UifHe6p&#10;RZuKWR/snI0tCcQlKRJrD7bHhqzE1e0nGmtb2aVqOK54xBVnh5FlauZpisk2F9Y4m/IeEvXnE8Mq&#10;0umbjHRYF4UvIQ7GiGDxx42R9ZwyKD1SuwWTpRxUTIcaD1x7BuMEx2CI4GeQvOk9WcMIplK0Spnr&#10;RhC20MxUQxhOCoCJl4s8il7BwMLbX5rBM5SFH/BCAJVXIygV6yLCo2ZkRWGaXVCwYJZnRCDYmWHl&#10;q4i2cJqFWDjOsDWCEVCy35beZV0UiTaorCzWutC6OcmD+Eo2t8IRtd8WrrzPBgYwxajDLxOjtmIY&#10;pT3rgFz1RiH9KD2lWUcAFwNEYbGnBcHew2cNjnHaXRslcxLcxLG9P9BEOjKZ5iLKPT2yD1sxaM+Y&#10;z3KscVx2IZJ8VAISIXqq0MTBhWKJrEe8ZluuuA0EIh1cmE/YRSXz1H5q0nIQOi5HMfne8fnYPfjD&#10;mPvN72wVPXz+aDyUMNz+7Gu5OT+TEfhIV0mJ13mJN0c69X5BfGllS0dEPdDvTXl+Vhz2IUkOL5dj&#10;iPA+e6jCWxsWUxcqfyPpuPxgKCFgjM9/4d6oN8cSunvvxvXOT+N6/52zT2kabjiaHyXxLThUSpC/&#10;BLLJiwjts6G8N2YY1smxgg6J5cXtiXVrC9e5Dgya/TB++p8oqfyEFlqx4bMQVUqOtO/weO7W+O14&#10;s5JmRTSGVdy8OvMVd+q5Qjuqm368fqem3vPjn22mLd+B2NdHCcLXUnR+Opsb7yUQ95VRLAMzXhie&#10;h9xA8DInz7FwuHgA8yUYFQIlntbcQbOZXRMtpS1dA3HqsJtMyPT9LAZCRMI0AxAifb21nOYgIYUW&#10;4bHM4JlQCCaCunrhlV0iCU3UjmwPAV8t0M6VMSWf9aIaZ8OELDAhIl4FZJkNQag+n8lqQZif5XOV&#10;bnje5QJArc7GpfsLzAZLLEik+YEV9ovHlQpQuSbt4/CnMxbrp0zEGJTAtj5bVCedR/Nn4/FTnd/3&#10;Upmm5w/Gu90vxoESXi5Od4W4ewr668gmEn2UtOIWcQL+pY8+IeuTlmrUQpElq8w4deO5UKDxQsIM&#10;F7CTYUBmww9LVXO4oMh/cZwfqbzj/bGyTD/4MN3tx+qu8eSl2k49Vnbuq7H84utxtKPvdFQOqNCc&#10;2lPXJ/Ym6+XyJMDY0gZhVzHNsNUQWkvQpHEDt8AvOBPlyoy1haIugwk42F/mYoRtcX9vXelz4X+Z&#10;ovUaioCTIm+9oOYRErdaZgKj+35wMZaWxy9BYiYAjCfpX8+t64wLTLnuMd8o5pwMWUR8CCvyZcYY&#10;7ObznE19viAMO39PgrDI3t4LvoLBmxSKpTBIpEaeY7ct1wUeCTjwrAgig7YEkYcBDiWhbaghBMpy&#10;y9xLwMy0nNpsfqHIErvO2B6m9sGPh1RqLia3+tAhaONQADcrhcgnvrXwglt8/bQ3xTzNoPMM5s11&#10;ZmS2OAPGPraLdcBgE7euZ2O121ylcwm8Owz/gsOm9do/VKNvXUxxPo0x+E1/0wUJRfDmqqRrXIh6&#10;NvMDlqrju1OJxoWS3M6V3fjxzRs1vP8buUkfKI74cjyilZust9UtuU3lxbq52tHBFbLaKDFQss3N&#10;sqxDhKKyTC+x3miDqBKI0Df0gHOWXYqwiR4XIeVtBQbqJLCw+lK+w1dC8L/SCTonOjfx47j6+EYW&#10;6WtZjB/UgerYhOJm3VZGzHQ9sr0OpfA4V839kon95Tvghscqir4n4O9tKQa8URDrZ1LwsOJ0ffJx&#10;steMb74LHuSNv0stIAKK3UOh1Z/cWLjq82aZk2mMQwbkqiaDFguyPFKPdGLGEyXn/rMHRNMUY1VC&#10;1EclTb2VQHwtl/hrter7JMWHw4hpGcJS0MlMmybsLEB9Zy2WxYCRlpGekzAw0CksxZ8Ogw+Tdwut&#10;qKNhLgUMA5jO6HWKM1oEwEejdzyttIdwgIKmMaxSb430pSkWU7GdSR2fNnqRWiZJpAUKSnFZ0HOT&#10;xRVzsk4JHJ1MQewSN23KByYmbLrkHgRaW3OpiXTMzIw7c/Y1BlQ9Ay2oNjGqI3MnYB2OdJ+PBMDZ&#10;aAOcTCkVmj7U+0cPZCs+XB97N98o7fvr8XHv09gUsTwYOr2ecnalup1pDrF0Ez9MbRauAsZTE3C6&#10;ZmhzzzgnUeslLpKDSOjmo3lTnC9hiYv7UlmmF0qq2X2jLNa1H8bDF9JgX7wY3/z7Px//RdrpD99+&#10;N1Z1CverNdUwae8YqRl2XJCN7fd/F8P1HGcJHxEEuWGK5wAm730JBlNRtLUQd4SCGWJJKVtXtv7D&#10;wKxb1P7aEjBxaiC78MMYSQTxQ5h8uU35wkyY6+4xXqMdAmXC5+KZPDD+0wgUmD9zyNP/SBFoIvJq&#10;+7kwSrbdmFkMgDGKVvzcQo1wh3xgUBR9JIMv9zeaWdADW4frwyzMx2q8Ii/DlY/bqON3Z35b+NYF&#10;MFtfF6B7voa1F9qCPYoj8iTrz/VuBCHQU5zu+yuRCfe9BRIDwVArVTKw1sv3zmAbAGWN/FgWInQL&#10;bgZTKQ+p25wJQ+ZYt9VeBe79Y3ZdGbXZm2zSkhgtp1rImLA7FByjhe+5jhuiwIjEG+nYFoy+Tf84&#10;Q5isVSvstbd6+JUWxfFk9E4+09miH+WuW1Xnms0ttUbUWYaPvvqZGn7rrETVJFIbfHtzrNPu98d1&#10;WYnXy9vjbk0vWYlX8mZx1ifdWsB39H7ctOmTXMIJGDXeg1PsJkafWjBSPrX6+c/lItX5gCpMv97R&#10;oQE7P45rWYs3pwdaBF4fXU8to2FjjldKf3ies+O9WfXSfNw62zgWhdZ0aBzLNa0gGjfuvbIPM0vR&#10;2OznpytN710L0MQw8WxFpoRFZOPg0yQvXnHuYWXSt+cuuxpetCk3+PbW7fjlFiSs5u2arA7KGO/U&#10;3eYnCcU3Z/NjV3/rzAMnIxkl9LOIohBhgdqsqYFctu7KUjKSQsH25AeZ0BBqkgRDnbPiujMmbGoO&#10;kC0xS4u0CxOLBQ0Dn3K0ktSlVVYkY9JHk3PueIyKRxEAnHWYAmQWi/9IMThMfmdyylWhOhxqaXIC&#10;dRhKiJ03QJV58djymxd2hyGFgadPujHcs2INca/pL7LLcHWyPrJIneRTGm64uddrhkk2F8xB75m7&#10;t1L3eU4xfb25SxJ4n62cjc9l2R092VL84qm7ZpwKaRdOd2QdKsYnDfYa9wlIQ7Ba49Dx4VLpxUf6&#10;+5m614DSxBRRCmBCLHlJMFlRlxqedEV6KoJRryu5Dg4OrtWp5mx8/HF3PHwqf/tfvhgnf/Fvxvt3&#10;F2NHmu3N+5/Ghp6/qeA/DYzNfEsZaEVusgpMGEHCIotC/UJNwwAFIgwqWmHBwgQIjsAwgypFXxGO&#10;/FhXCj5ZAPEUfQfDzyXxAJiizMydoxmyYF4wYcF0qmdrgvGdmUsLOo9t66uUuhrW3T34zHhl5LAW&#10;DE1UH4TqypFBmUY8j4V/nnO9TBazZ1pYmnukRCmMpH4XDAoS03pDgMG9LnYOfGbwawFsEFp5yv4E&#10;ZLEM3S3G6D2zZOMCB3ezR8DGdG7c5WI7zBrYkeEMardjPDOdfRzNSV9WAkp7SFrAhsrYm+CFWXLD&#10;J2w6nggUO98c3uP5WPeJ0J6EvVlXjVn07z2w4I/w778Drxyv5FpEXUYs6Uh+tCOOgvIz1DRf9EeL&#10;xQ3FGmmW36eTOwfLPSrSaeWSMiT4kYAK4z0/VLqHTrf46Q9/GOsbJK09Vj3iF+OB3KbrT+WJQfAp&#10;ZHJ9+V6Ja4rvyXC4QSCuPlAc8JHjgdfEz8gV0BoXFEMLnw0/8o9hkbVlgxJ6gjjmlTG+rBDI3c//&#10;XFaiGmwcyBrdeTOud/Wsk12ZVcp0R3LDW8yTMs4f0XEhXraxBDG1g9QUEpuGHhrpmI6n1nHbgju/&#10;wJE2HHw9fZapVQxRdDNwe2643nHeyJtm5oSHlmmmrnhkt9q8Ufb7jerFXfuth7QXM3kLEZ/rUni2&#10;Nu7GN5vBeZS2AzU5eas8wddqwvWjLEZ+Fq/P6FE5IyGb4SCvw1wwfjJ30pg6BNMElXq6TqJo/3OG&#10;0iTIIHI7HxZTEp57cUFqc4nruRYRwUG1uTmbtsGLQmjxPkTgDFaXtQVAdp8RTNUYV5RGGHoSmByn&#10;QnsxArIgieNmnni0V/zbJrQ0A3C6Mc9pFZKEAQSNe1UmFsDmLsnq6obebGK0JTSnaFPAaqo70zPo&#10;aMEPllvws2uN0JxnL84nnJOw2Vi+GA+2hZiLq+NQhbs7Ry8Vf1B2mIrylxU/vJYVjIa6JKUAAny4&#10;uajYxJWbeBPwhzZIqlnyWnTosNq5Xek5FPMvu1hYioL+vlYcYlmBfK5bkDv1+O3BONuV9bm5PL7S&#10;aRe/+OoLdXn4mQ8P3lM/wGu5VxbPyUAF/nS3j6A3T0Uwu7azOBHMjGWbaMJwUmgfsdSCLW6QcLMU&#10;eDe3Fc5ozGiC/tQ/6eQSBuhxjQNsXm71I9liBEnthdGsklU8V0vEKGOxbMN8/RDLzJlGm+Lj4jVF&#10;FpFnmVHPy7ynBFa61AfVJ5chz4N3W2CHKP3D2DarMh9GCfHfW7MvC9yi+ec7j19xE6wFlxdgEQJf&#10;S996wD0AdrwyY2T2E4wL1sF5ujzp+wqhc13iuxHamX9gF0EneHs+MLLQK30uFjgmfZpGCWeTi/4x&#10;bWcCWXvg7KRr9hlvRiqUkrRSgjTnewoFo7EY7sm81Z8lPc2ZZo82wIJ/gX3cpcFD60vgn6EfJRil&#10;wEkzWHy64VzhoR15FD/IeoC+aXv4WKdfrOl7kaFPYWB0nwpf0OlsW7umddOVBMa1MsVPDn4at7//&#10;UWPo8OBHj8YDHQv16HM1/H75uZPX5NISPxSd78uNeSC3KZ1s1h7LtJFLdV3CUaEgfF7X2h94Zvfs&#10;dfycFRZS+jg71sQaC7fmdJLNwoZqG199YQX9+kRWojxPt1K2b+VCvRV9y3zURsjKwtVbuNZ7Y6/Z&#10;PXpoj86kfGS3ozT5zbT9k4KcGtjQchsp2RHuIbOXXtKsA+8XTDgwjZcx+40FSxH9HXkfd0o20j10&#10;DLqVgeTEQWL3jFjJmijv7ofqvQ8CU8b9cu12KNdm/I8C77nGf63vNW7OCuQGNzH1TVh6RVxVYMlp&#10;ExYgnM9VBeV2dxYzCN6XzsXDpWlE8yLjU1867hPh4InxoOpMQywswW/9uONMfMtsgOkDLc/Wqtyx&#10;ztCLZujT24kNlgvz5m5NhIy2oE3lWWxgCdSo4zDeuEHRssw8IQatJ91f+BvhzoWZaG9EGCt/k7HB&#10;TWY9eQ+YeRxrgBGxefF/Rdjy211j6PrA5aF8P8IM3hFBHwq6qaL7LdylSqg5OH+lRJdnIiId0nvy&#10;caye7ENaXsMWdUX6fal9oRt7+peSSICgksDj2KcSRATgF+khivZv6ZNzGJe8fyIuxQ5ff3orF+pH&#10;pYNvji9ePRo/kxa5u/+L8f77T+NUcY/Fww/KolInGysrZfUX0nebLP9pZj5jcma9wAZmAyMqOmF7&#10;TazWCAvehXN2QxtOERJh8kXwZsQzgVGmlPfBBFzwttAqS89OCawV9puSjMrybGeFC7SJNzRl47Jx&#10;spKe7Xg0lnjI0dZSxTZ9eeGJ8SMoa2L0bIsh2B9QDDprjsCo3C3t48zSbH3MArukT2gyWav20ISX&#10;FH6WTsBnGtf9JetZlJGZfoqRsPe8d6kDsAIuTY/gLhff67LUPivg1MKjk1TSazKbaYFYjGbq7sT8&#10;2G9n4NY+e8+ZJ9YpY2LR1lxgfPrb+c8mfpTFYoCe40xZbRdpdC4zitB6bvN9tiwaPy0UIogLNIao&#10;xykeYH2WMAh/aywd7ymhFwuR7T4R7b7eZUwOE1ZSjfiUSnWd0UmWLQNfk9Sje7t1HEjM8mkV6XMq&#10;BdtzNYzeefthLP/93ymLeyvlF59/rZpEFenrgGDw4kbNN6721Ix693eOI95uKKlNMcYFlU/MqQQD&#10;LYouVD6GDgWG5JoWPigk7CWArvWWCIoA0TOW1Yrx9qtfSgDKSjzaG7f7EorKNr1VSYbqqaxpYaK4&#10;cMF7FJsztBhvi7tz+aGBqOk54LfC6OnUnPjtq8zqQu/GYejLeIuVnc+dcAb98F0ljV2zJt/P2tgg&#10;rFdXEjs5MLlX7LGZcEJlxBpLojvbu/BeMrM8INXEQ9+kdgBksGYaBOIjM+UieGeBKrpMYsuCLAKW&#10;GiaDRQZhohLKkYJAKoSMqwmGi0mpsYg5moEBiUCkFLtoEZZ0MDIQ0xDyZpgMyjy29otVCJM06JlD&#10;svdISsFVStnEjTQF5tTWa4SRuVNYqgS0E2s8DbOXeG7zp9eerLYQ1zRRPrf5gmAvgY4bwgTlCXlO&#10;bZ4bGSB4PnZ8lFNHo6WFoUbg36ihNifakwnNP9Q8wa4e6vEP1QvxUkfDHNz8iYrlT5XZqdiorMPF&#10;u1NlheKSI1gflQVFphsKgGCu26lIMNNlpYu0pKJGEmuYteJj138cI0VHm5N3J+Pwg5Jp1t6O7aeb&#10;45/9WnVL//zzsffxxNbhxTu5cHY/WXtVkakmLGQsJAMi5ovhToWYJTgaPE1ObEPhAbeD0h28jkAJ&#10;AzS6zPj6JDj9HTFaXOXGrBC978TiCNSzL6zd2xlLppAnRbzCX/CKy5PRHNyshLnIuFaKnPMVl1t7&#10;/bkaK8KCBfy0KyaWyqzDTO6zy5DpgIo8Eu3XruzGG6aIkI0Gi9XLuwViW1zivxEsIT0GsyXFtZa4&#10;cfsYrDUmgsZF8ygRhaRdZjFZyIxprTswakUNL1DWEYFuwen1J3mkRQo4aEYH36jrk2HIPHVHBZK8&#10;TpM/8IlF0xLdzFXEZ/wxQwgeFTudkWHhESxnieNZAin/OyXnFS0Ca7M/4yMAL/gY/vUM4M39wBEF&#10;lhKJ0kR4NgXaDM75efCFcylHZ/K0fFAc8Z3GWxFdryqp5qGOg9rUfBYlmIhZE9ABzn0KhmO8WMsY&#10;GLqHsQ7UMeVIXac+fqtsU5UfbD1+Oh6+/EyW4ucq0n8qmlyTxbk3rj8ovvdOTcbVtk3BxrH0UAX8&#10;D56PBaxE+noKxnTHgY85o7wsRIOq2G0X84O3FmUodmtr6nyjkg6dDuGEwTN1rEEoHqqbjrLYx9mR&#10;9k+hJvufgKZ3tSizN7Noz1/cwz32zzKieC9T8bNNXR6lm/NbGeU/8h3MF0Ig3ntYGF4uh9wEPTLl&#10;nf2wohiufhQ+47JuD8lH9iwEI4wZsb0yl4i3cJeKwCgxps6DQtDd8hCYNTVoCAfmQK/EjlTbuCmu&#10;wuIQHC0MnOqLz9J+VBOzT4avlZtgDBgIyrlCJnZbiqWhh/DBV1hiCCT8td2JYaiGLVdYwML4rd/G&#10;3QJ6mSAZm3gCHSbU9oeDaIGGXTLdfy9r8fOc/ckcIzgiNJlbNj41WwRmJ/bsOTrl17uY9dptyli0&#10;kjPqQHwpLE1MIdm4jh2qiB7Bc6m43aXck7h909nGHNI9BXnm8u3BeH63ryOclBkqt+X+1UudZn+o&#10;HqZ7KrfYVfeMM7tFKSJtZobhjZsAwqBJLSlbpMnz7KsrzUrTs/UrVfaKhCN9f6N1cBAwjQBOz67G&#10;u2/3FOxXdusTxTUerY+X/+EXyoqThfjT3vj0u+/GxQed/C1Xrfe5XMdGMTOxYowoUuhIrNnwYj/1&#10;GZoe4EcZ0YdoaAF0kUiUupAL31WKquM+9ywQa/C6yEfAhLa8L8UHi/AClwAeeyjaPYTG7WZ6FbtO&#10;XWQEVBNt3KjcDnKGYaY1mQQoTBLB03O1oDValSXSgrGeCbNlLNY3zbLhFaHD3gGTzrKLRTstLmUD&#10;PKIWGRoppmEBky9ci+bYfuCSz3OyiQWorzIxFcMBd7lvRqs8w1Ybe+CGCiV2mCfDaTHspQWbdeGI&#10;RlveKGDFePzkBIWTIq/1OebneyIw8KLA8Kw4hgQSk9Y9DGUGmSV43o6V6/qpo2LYiV94iFJe2vyC&#10;62u5CL7aM6/Pe8ucoIHstWk7yFQMOt9jIa4KDo/01ZkUGDq/nJ/IrSahuKSNUWe28VB+NyIIWIkX&#10;uETN4LMJbrjudbNmzi9Nw+nL03MdC/XDePP775WtveROUI8++2xsv/rMFuKSBOL8xZ6a7b8fZz/9&#10;/TjRUWjzcpcuPflcZyh+Npa2H2vREmjwACeLifaBqdYaYVPI4rd8Ntsf768MnFu1hVtUluudzmV0&#10;824d/H2nQ8hvqE+UF+ruSq3e3GsnXhcgl4YogVd+GilnjzQE7wnD7GNtJpf7g9ADuG0eFmnt6+Ju&#10;hx9kLZTs4D1ZJA+CbAdwUB23chRZ4bs5bjwfLWyhSDcWKP7UYbDFRRV2U1MXLXaiiWC+LvbisLRc&#10;n0exPNelmDQnnMcNF+YQrdwSuKQvQU2b5db6GsF8SSR2q9zmZHDuEEG6q7C4IA/C1e4LMyCSNshg&#10;xL2YeRr05ZrMGAjHfE9t3JwEIWs0A7AQZsiav/s4AX0oSFoPjn4Qw/OghJah7Ut0tmXUkswt7dbK&#10;PDcAtVZnChWS2A2secPJ3Wgc776eQwcaPYT0bYTUujRJrDhbc8yf50+CIW5Laos2b3fHlp7//IWy&#10;Sy917NP1N2Nvd9c+/mVlmK7MKcNT41ELlVgFqc9xc19JgzXz4HwxCUKV1HiufDunMTkqyogo6t0Q&#10;rK7kUj1UTeGuWrF9+P69Wju9GQ+fbY+nnz8dn/3yX4zDT386dn77wzj+Ua5UlXvQlYPGBNHmYY5/&#10;7JJKEX26Q3hLzWtzjWmCN+U4aKFiMFpgAnCEJ3/OCM1MqhC/u4HwWZNkoWZgakbdRFKTMI6H0fqZ&#10;9l2GIJlO4jwhcVDgxkKOC8K4i6+G/EO3QaNieLYwu5uNr8rkynCLRchw0aOib9tiaaZfbtAiAz+A&#10;a3GvWZCGobU7KXSbNVSjU19nQd/PKcuO57VyOmNEtRAvqKGY9aTMJPBomDvztPfAQk5jVipAJ+BY&#10;EGHxev356SOcooAAlsrQNuz5KM82SdVUDNviScGdwIv3rNFkaMJF0GZefmbBmLfe08r+9fJq7u6z&#10;C5xS4eX1emr6zDoB19UzWTt7hDDcUCzV8Wjhxqno5ZMODN5B0RL9PVjT93L++OQLlF89l2RuyiHC&#10;W8mNyD5TUuUwjTwsp+IDhx8+6kDuD2Pt7/5ubKkt4sbjZ2P7xTOVNz1Rwbpid0KqaxXon3/4p3Gm&#10;DO95uUoXH3+h9ok6Mkq9TRco1EdA4Gmq0Ay8uhWoaWfBZ+DInKAPFg/cVtUkXC9pwGry/Y2kuTrV&#10;KJ5Iwf7o5JprjkICQOha0UYZxf+W0G9o2tPItSZd74Lft3DM5dmwkHe8Jn7L+bXU1KKoG1cYK/N1&#10;s35bv8HvHAs1o50+ki+cp4V24VopBiqHwzopM9ZahP4usz1NmIOEfiDWja0m5sEUi4icZw5RwuBB&#10;viCi42+4rMwRy8UTULP9sSIhDpi/EMQZclpbzjcLs3LGnjdKQsNaGpYbRKVUYKt9AXsTecAHMINk&#10;niHSRC5HWqctyNJZ5MgSCydHVnWOFxmd0RijkeL+FTOXlQZQF1WysCDEQ2CYIRIXZV08yZuXtRCk&#10;dcsh4wCt3upkDsa19h1NEGJARCVwWwzMLqtMaUKMgjyM11qxxqYKknrAxcVTnXShWKA64p8/2hif&#10;zn+tPns6nHT3w5jf+35sqV0bh5ciDH34KooI6W4ud0l7pJwRl/jqnAp4OSKKZotYdViFOXVDjX2V&#10;sLMgGF6ruP7DH1Qb9f1HHUuzLk312fjyX34xrv/iq7Hz+mDs/u5HEeU7jXUqGMMJlfXmNRiV/Zxm&#10;0HGLl/LSOFZMxttnTT36+P0hfIe3Ve+KE5bukaGLzkzM6DWl2/zxMBoTomq8N1PK9JopBnt4Rn1u&#10;ThiG7eSc0kwtD3lujWHLxvfMxoRQHfvUD5hvPweCDJQAl5kj00X4VbwxllpgwN5H2NYcsmNmEpNi&#10;aeuqGIE+dhwEpcGXlKA3fKMMtGHQy/Y3CAGuBce9hoyXxtgl+Oq7xEZ5BMoAi8k+e1/LmnYsErc7&#10;tFGKgd2jXFIcrmOJXaYBmOw69PxnmIOl3ww8AM81OHwQJA5VF4Pke65PT+Tan9qnQsSi0dl3zYTt&#10;oajnJvkoOJrtlWKIwKv9xw1MXBc4kbiGLr2iidhlKiX3iG5OR6pD5NQLZZluE0MUBa9b+Y7AiUei&#10;5g+4+QxbS65VeOKx+OPhJ7ko1WB6/Z9+p3wB1fs+eTAePH021tTjdG19XberQP9QRfO7P4zLPyhr&#10;R0X7i49kIT79XALxpd2m8CI/D/jDm0Bh1mecyt7xJlEgstCjOLcldreghuHq4HWn0o8bzgGkrkTu&#10;0luVfAz1OF0Qzd+pzSTCOTIg3HdGQME7fvy9vypa5i8TUitURcd87XghsGKeoRtCOsCezmLGQdNc&#10;FEf2nEYDETn8EzpPuRmrjNyaehnr/aKtDa61JE1CimX2ZIYwSEgQfznC637vQCiU7h0mycY4nIDS&#10;kKw5WizHBWj+pbE4bsjZe4Y3FptnXIkyEFVbiXl2tM+KnbTWX8ww3dGTAeCArTbbLipcK+4ckcSG&#10;1ua8OrtgKSiXmoazgmOJMK/l+HcxP8ICYaiEHVS89C2Nq9O0C7DrCKgu3bDJjSu5e1E5a5Wlx017&#10;7UL6Eu5lvZqsTF1BxnllZ82rcN0aU2k7RhzmUsy4U+wZnNRxus6rqnB8Pr8/nj9YGgdyixx89mIc&#10;HtDK6cexcb1r6/BCRaNkq60p03VJ68wUhBK2mKOIUEhB6hsxD2IMOBNwmbqfoNZPBqHDvJrLxf6J&#10;EgXOxycdN7Wl7vDPP3s0XnzzV2Pnw5+NH3/zZhy/+WlsX+57XVjLtkr1fxkkFga8NzyNeiEI44kt&#10;jXxXdGNcMZlyTbSMXMd/pp8mMF/qTYKADNcWQiWXPBWDGKQp8QJDANTkAuh2a5wm28R7wwz98MCt&#10;BYrdkMW0uTdq7PTjtYUWs6YSnt7lipUFc7M4FB5HMvig18TzzVgCDz8haFHEfC9rF7xpa02Xmdlh&#10;esPYCmyJVQd2drn788DRa/FzLSo96W7f5kxRb0grmEy5BAWCg3XCZjz3xHkdmy+FxS5Attd7PIML&#10;iyd5qy2tIEJAGMU4f8PU3PCeUEEJIxS1jkm6wgtF0/5mTq7PMDB7F/PXD3O2261gafekn5c1l2oW&#10;5YTnWzJHoQpGZQM6wSjN2mORs/ZV3KHiA+t6DhVK8Jt9WYjXj16MJ89fqh/mT2qyf6TkmjvVtoX3&#10;Xljp75gxXaCCEySFkLiHMnGma67UNmxXiXLL36pI3+UX2xKITyQQnyiOv23l7kY5A1c/KKHtp39w&#10;DeK84oeLjyUUEYjqhUobNIQKbcqgE7dybGsqi5t+wJ9OmPQesE41GcdKvFNrxvlnXzih705hkZuj&#10;g3Gn5t+qEZFAVPcaF+tHWU3DBgCOLIgK5+8L51o2NJG3Dumj94wzqZu2MlXiyDRQ4RT4E7hsDLRB&#10;xoZCcOH3fquHeRrGhbil+ZEQ5ILKCglulnqSq4N/IAHImJIJhAEJKHwW6UvdX27OuVeZRHpyhlAK&#10;b8z0fT4VsUYzBzhBit4teMlM8mkQQeC4QMM92yq1iQuG0NdODH15URstzYlwpFv8xDwrJhLkopwi&#10;WMyEEDjaeFl4tzrM5EZ98WA9do86wID7sdFd95FCzBoMNdwWfIfLg9hfmIKFu6juWr509zLFoiLN&#10;28yTnyzIm29GyFxiKZu1GC785ssoFHE/cVQLSTOCJeO6s0/tnpci5qE137AeaZlP5z5JGKqU4qlq&#10;Dz/79fi4r+4yOt1i7vCNOtTvjhOVXiyo8HRZlpoZLS4S72sYNPBfptBec1f5ZU750LPd2UX/+cwy&#10;PZ4Wdcj7G3XCf6Myi933J9JSl8fjVw/Hv/6ffiai/5Px6XudIP3bb8f14XvlRakUWc13HTNyKn8x&#10;XRiNpQwgjvBrl6UZqncmSBvxwNvABoT4I/gySCtiwD1GrpmW3SXsqbXNEAefuxSn0CVirnDE+Fv4&#10;xx6jXdbYhlN2NCKhBJ8t12KEbubvZbGwmRekm0vM8DuMNSRSVl+baYYJc83zDAhwxCAgVhIcbx07&#10;qRHBjRYEHtUCPoAwLfiSMNyGi7FUX0T2+gm1tqJDD1rPNSpnriSTWguHmXKHte98jjMg8nQmgGsl&#10;3pt24TIdPDmJn7Om0LzJvm+odfEZgrCVKZSrZAfSA9KTme4wePQZWZs5yqq/SzxzVogOowY2wLgs&#10;1dpg7zHfGSJRHpiTQwjWamZb4zSxwie+As2lRsttqlihusc8lBX3xb/834991e795q//8/j+h38a&#10;W2uLsRJ1IYcKJ/4ZAZv4Fsk1BomfaZeevj/Wd+eKIx7q6KG3r9/JOtJh3A/UEUqxxG2dKLOmFmsW&#10;nncSTruiwU+yEhUznOf0CwnjJU7H4MgoxRpZu+UhoRq9J2mOvY2rO7hgPNIkMCxITrFCoj3nzJ47&#10;jmdTsf/yo2ca4xtnnd6pQP/mcFexRCXRqWeyuw5BQ1a+cvxdyK74gP9AMGbHG6e79rB5D3Tr/q4K&#10;BNrDx3jgQ4oqwks1XTcbQPk1P8GajJfDeQPmc1Lwa12kFt2n5lhuMN9yc9g1iJ1f3KRZko8MsYBK&#10;QDL3meqNNY7BGQuLnIyouc4nPlD977ZjMKsENLm/e32mrU82wVlPnGklquL8MIrebe11IgqCwAkv&#10;PUYhvBkEvUe1eEWq0RZy9l11nZdwmbs9d5al2/QIaBwQTCGneYaFYgS8k4OS0lCxRo2nXnXXcg3c&#10;uJl4Je8EWwKGSL2JqZjxtODjd8yJXFfasxm9x4owQOg106POcY7aSysXmaNbuHlWFUMlVqQ53YnQ&#10;nuq7xw83xqEQ/tPp51LQjsbY+1HJLGrjpGywC7eWUmG9vaRSBxRbYBwQdlFcfE3uUaxDhC/B+9bk&#10;KZNIQwCxXc1pXS022OoDZZV+fHukTLe348Xn2+ObP3s6vvizfz0+KGvg4FsR4fsfZUJqDi6zmTGr&#10;8OT87aA4zzIvncXcGN9Zjtn2mZXovSrtnHtaupRAjbUUAVa8MnhmYgjBRFGMlWLs6O81F1sJuJAQ&#10;ALW3zaiioM2YJuQbYcOrMt0Yt4g/GdWeTDH5XmeebobgQbzFmTfeF3xuxcDthfCWG2ss9MyLC4+M&#10;K1ikJVRsbVKyCw0Ywvkx0wdGPKfotH20Uxy1rgudF3RKIiTGk3vvZ1OCCM4m5bvSVVtgEzdqEFjp&#10;KiZkZxSkQlIM87ciyLoCK3MQTx5YhmZUXhuhDWx9TeAw6Q/1JvHcCLlpnrONLqZZ843GPuFGMm6L&#10;hs1Maw5au/cnf2a7J3gW7wCnSlllb8lFWFFIZVX09kB09pnKIy5+1LmGavK9e6yENCnxtG5zlikC&#10;kTCG/qMRuJuIE8bgue1BY48RlgIMAuxGiWy7xx/Gwmu1QZRh8OTxltokqkhfJRhrKolYWlMzbmoB&#10;L1V68XZ3XL773bjEcqT8Qk32FyUQF1cxJqi3xn0dgWKXsJM3UBZrTwpXWb5d+HBo8dJL8YkbDgDm&#10;BYxlXNxdrY8livMJ/XRKteYLZ+GzVCGwz/xqOZCP+En8v8JB1VYtIQLmwjF84kUVuonSA9KFrq2o&#10;wOvt7SgrH/6CgtFuAI2+6NMM0D5KoCzajWmuYIZIUShJHJ1NBQ42wjo500xJwgKhVJI4scT0FQVb&#10;LPTAmFqYi91h8CwvHD4aPwirDNO0XaMZNhtQ2GfOF2bbR3444ETbN/cerd6ePiqos1JDRJy8Lq7v&#10;OCL7SazSvVJ9UCVWW/TneR1fbcagkzVwGZAwdCfLzkiBv9uN4EHEwMc0gEACXZr31XrCNK1yFFGX&#10;Nl6EExjomkL2axGDjyzBusQ6o45QcWk5VqbnYDXHQtWtmoPbqd07QgqFxUzUGCjigPErc/Thwvl4&#10;ohjehc4x2734H8au3JhXu6r9O1J3mmvSoGkYBcwjXejDR2cIkA03FQ6JrEWF+DqNgpitNTsLyEqq&#10;0tzABw4FvhRB/u7vP44//NOn8fKzzfHZ18/G51//cuzv/ny8/8M71R3+NJaPPsqthXID0SWYHSJp&#10;QRTGbvEAYwLABXaLKzOdrLV1ryBt7YUhH5djXCBhhM2Ee//Ktiyii9vZrM+COF4Px1STU+QBrFWS&#10;lcifNWZ4ZaSRry/myDzt5yhfJJ8vlBacmjsUqBBleEEQy4LnPsEWx2XtIavM3EyIv1Ewa+2TwAyK&#10;Fs2EaU98HdzwWiMArLAaXQsAlgfmJClKDy+KkmH4BzYOKWfb/NOCz+UGBZ98By33ZxH6OGasMGrM&#10;1ommBL0azyAvizeZg9wSKcYvlDMDopQEWycs1K6xeh5Xsy5/VPMHN3QdJQzlLY5yZVjmOqNX7Wtb&#10;GH04dXqR1v57aPAlTKCFny18M9yycsVfbhZvxvrzZ2PjtU6kEK/dEgxJluE6WiB+UlLeJ/BC8EMg&#10;klTDgcE3WjzF8sQkXbZii7TG5TfuTAEYQX8uYnq3o9Mv1Mpt8Q/fjc3NDblMH+ng4Bc6+eL5WN58&#10;5GbYNzcn405Hst0evh3XbzckFJVMQ4LNA1mSqxs6VxDhqubVHHKwLoEmIU7TDRRoMttvdZI8nVto&#10;6H2nv+c490+8ZFElaMviBwg6kiUpj4tyK04yMcrkTqDGgZm2xRDytUOOOVuRCM6FbpFVIGSOqLLn&#10;z+OJbxruMariSUoPMONXKapBQxNS63t+v7iIGXBPElva230QLTHIRkPpcv+h4SLVa7reZFt2ug+X&#10;HVhjVxPYEwSNVhrN2Pof3FKbb7lpoVGkCINnjY2/AM6Mpc0klRqUNTC1iyBZpRYKJOeFAPP4miXw&#10;uNuJKCS+0C1ByR+L5DhjySjpxZapJkUskIJ9C6WiAuKEWEGy7PG/aKPhgjkZPj8REs6O9ZyjMfm3&#10;VXNUVIPbv9LzLs/zknNTHTBKN5g0IUhP0xZIBQxzK5Ocx7PbmJoC4FVJPraqATnZUlabLQ09HzNO&#10;rWfp8my8End6/mJr7D38zCdbnBweylX6cSxfSIvU9Uuysmnf5gM8NVcsPgyROAMkkgU/YqRXKA/O&#10;NnUo1/V2VlwEU/g9hwhTZvHj7/fHmx8Ox+NnG+Ozrx6OX/3L52rT9uX49OZoHH7/w7j69JNSv08d&#10;i7VD7d5SbRlZEIRJGBuLQSWoP6GuP+e5pffHYoChWbpGATHkvRn8A0HxdxiVr/WfembvZ2muzciM&#10;9ciFYsKZURhyhi5GO9sqfx9tNqEBtsWEXusIitQYQawaEeEG7ZmVlrDVdTAG5jdJa0NF16AVZx55&#10;TASshw5vjiJa1kksqHxXUwl8ez7AQ3854cTgCY0mFJB1zFMJbnpvYVG0Uc8CVsmEzPp4Zmr5E9Mz&#10;bNibUHntXQnrAst9I9XuS7ZzWl/NmPVVLDddSUrrt3CB7yQmZdzyGlhQCSuYb80/lAk76vnwnusT&#10;U6xUEe+fPeQWeg21Vr4ySnABRaZgKu/Hzjsljv0//u/j4dd/qhCFBBT8QmMDY84T3fZeUS6k9obi&#10;T+/21Qxaf69SmE9yjX6jXND5xJmswIHfHfvUw5w8ZGs5hytfiudd6Di3HZVULahrzZriiA+VYfro&#10;1Uv1NX05lrfV11TtyHBR3l3q0OBPOv9UPUePVdNMPHFBxfkkxV3g8YKHw2Nl9ZHtSjkLc+G3LUZW&#10;PXl4QBxoC6DDk4sXGR0qWQ/FW/BJMXvg7qQjk2xw2dnYGbn4AL9R9tkNwnXpNevTXWz84LmDF/J8&#10;jmji8dkRBgi/zr51lrkOIKgH8FBUM/3tTjCt6djurzifChNxF5Io4WAqVpctneCCC/mLCu/oksA0&#10;yRbCrSifjImyrbRGNhDU1yVOJ2kbgjBXS9uzWYwPHzeEUJ1XmhwQypz1h5ABhmgfMGm2FiYCcDUO&#10;LcSyWjF7qVcey9ZPXKW2eC2owKoQDcWydxKSN9eKHUqQImDtADCyNdMuwWZiTPYs90vxy/i4orDs&#10;CBqQcGIhR8JGXWvfUIAYFhNitBZiLsYcQ7Q5OJhT6tMu2y6hOqrbBC+kv8PqJdHFmhFTqTEcP6Su&#10;6kTtg07H87Wlsb+9qk7rv1IMT4cBn6uRt4pzF4ea/EqrW5JFzGLoameXB9myWj+xF7t11bUG7Y7v&#10;ySIFHSBsd8nQ56sKcqzoGVfScHfkJv2kuOHjx7t2lX7++cPx6utfj/0dlVn84cdx9uP3Y+H8wPCm&#10;XMNTNi1jKVVWG9hlTTjwmU6YbgvIFtbMPZfG0RFyk8WGt4HPcdsBz9BGy7GJaSVzTXtkeQkjZO9m&#10;jNtiwRp5GJGNptB7tq6YXxICTOK+vuVd4r0MSZJNtNUI+wgBLvR75tgJN2YgcVFdlTUZoW6CCdbY&#10;AjLLKGuhGDKMyIwiAsHlC8apTDbPzDiTMKglZ9kAoNbmBdbe1G35qARNrSMlw1GiTU8Na+N5gcX7&#10;mSVY2boHh4ZRw7ThOrPeS4ha8awpAgesIngg69SiDBLzuUzApzN4AtnXKFgRYt6q8N8oDSQ5e601&#10;Rk3WDbX1kc8HDAi9qEnI1r7fH495nSo+v/83H3QdPYjTvpHPfXi2RkLIrUkfdyK3COlcuH+s9og/&#10;qZELHZ5WcJtSp6jyC5Gf4XuhY6JoHsMkbSHqM8dJPaV4CuBa0knH8cGpaF1JbT/8pJZtq+PBs8dq&#10;pq96RB0YvK56w+WNbQkl8Tt4/dknGRCpGV8U76P2cZFQlPMJiunXPkbVD00YBrXXqQsvAVaywfiA&#10;8DcdxoJ183UTgKUB0DdcE4Dimg4fAW+SYGIVcnWHziJ92FtnLvh7Z/DaSzhTCMELnwJy4XJ78S0l&#10;OAQTIuxSbKm3JHbY3eZtNIABuI/zEWNz3RzZic70lInsg2EjUNKSTNdj2cTZEGIjzV4M0e4irA0B&#10;B8uMDuvuag9jLUEVlwLcJYzeCCZTe17Ns+d8moV2FOAyL54lCUzhKZCzgpZc32iajAsilE/LdXwe&#10;Or5vuHhbA9a8XRPI/Hhu1FdKDW7lDnAzbwjacbvURSYOFN9wkCHrlafPoHUti68BjP4gv0OWuciW&#10;nGBPYT2ChRPngYsRSBtiCxEFpeKzdn9xcxE267EAj7UZOR4iNxK0UOGx+gNnBbc/XL8aD9f2xunW&#10;0vh08nTsHL5QdtnRWL94N9buDgSDq7GhFm6UkJycYe1DcJViXci8RP8opQCcneg0ex/9JIsbomZZ&#10;IJkE27oCHQjwK53J9u63l+PT6/2x+WhlPPvs6Xj+73X48K9/Pj4qo+1YTYdvdT4aZ0fOqyA4ne0j&#10;WUxmxamMHSag2ifDUf9b6IfJGuSOHYQR2Bunz6IdwsCCg830+DpZobk3BBYhNcWtatfCY0rA9tzC&#10;B+K+KYHJQ02Q5Wb0nGov8qQZ40BJTM/EDDRLZsmaTEO4GREU5tJh7GTNsZvmz6w/dxcOhzWErRdt&#10;sC8wX9OkRvAcw5jSASrjT8y95klMz21xocUSCs2y3HWHsRiiaMDPwwKjSQMMusp/vH6+M6n4KV6W&#10;+5DyEXhe2kDXEXqd+twJNKZ3FlDwtjTKmF2uYcpiSTXX2fVhyEGQEr5lORVBlTZTVrDhWfysaLgT&#10;LFzm4XVEqcoEwoDiRCh1AtxDZvCV6Bs1H2vPui9w6e2x246kQ1ETe6rPSfBYk+BbU/6B2yHq4j01&#10;+f6oY4KwEB/JXfpAXpd1Mrc1LlmmlfRp4LTnyl2oNI7zIrQmlKijgzPR+5ux/P1bKaz/dTx6/Gg8&#10;0fmID7/QcVBPX8lqfKgtVZmTxsQdGyWHMQomzX+87iy/aTBsKfxtYuUGVuGjZY4Wx6Hp3v/Ei21i&#10;4NYVJlTBQjwcSBJ4LDXOJAtaeTKBl5Ka9bt5imkwOQt4ss7If5AQPz27FI+6UDLR5Tg+Ve9lpe6+&#10;+OckVFWCQxeWN2axvy5Ix0uIheGgp5gbbjtNin6VKSzGKkLaFqP35gdg13YhRsOCEONOSskBjZxz&#10;YGOA6jtg4AhfgFdMPl44fa6YHILHwsKMBBemOYKZApmrETJFUpENTWlJqJBUsjuVeKXNc8zqpBAm&#10;9hM7zMINa6qpna46sEGPH+rhJGdayUV/i6COAMw1INzMLAgzCFJAxPkdSzKMzPZwMc/2dztT1twK&#10;6GWtvrYE41S8bHMvLxpo39H43JmrgYlxr4jUApJjnTiNA0QKto5VzflrGX6vNO+j67Wxc/mLcXgu&#10;7e9CBwDLMlzRIcBzCk9ee/855BdhSL8G8E5WIM29WbN+X0hzpWM7bhT6CtiNZPyQJksiDbFLPXPv&#10;pwMJw+Ox/fyjSyx++ecPx/mf/gdZjaeyDr8blx++G2tDNYe675aaIC3Rrh6NFwGVhN2QWpQhcIy/&#10;47bM9eaX3MuWRHMonCntH8bNFCfC8ib6OY6/1S2NYJOmXWOBEZVvledaQmR+FlzsH8/uk+y9If6i&#10;nuPLwzD8Xa+zBLZRIB6T8P6ybvRgrPDsb9yf/G+dkUmBc7Z8I9DdW5a1wlC8bx6sfkw4mY9vKG2g&#10;vmUtKZXAk5CbCjVDM5FoqTOEH/Chh/TD/TdklGVHK+/SBwg6SkZwnUtMEXhNapzIqSg9EdJR8KwI&#10;c7VpJOv21C10Q2ehm6zPNGouHkHqNmPMubwuzIu/p1IVD5VnhJ1k7vy0lRX3aT5snmOO0fBsAeEe&#10;HuEYBiS+xs9BOQaOLpifCUW7YMvbBC6hyK1QwoU+rvluYclojSfy+rzdv7HLdEvCcFtZpptSONcU&#10;zHP4pfaplQ2mAxzhBVicdFzREOo0JYvz5EpnLL6ThfhWdY1/O7bV6PvR51+MJ1/9iRp9f6l6xEea&#10;kc5E1Q0uSbtHd4ZMwTZWWWmi4Cl/FWqlDIq9q+uNTzOaNP8FRzkNBnq3cpYOYPZgUPIGlqsOLXXk&#10;sXwdB5Xlenpy7tcJ3Xck7M4VBjtRyOaCl+aNtWmBDo0Yf+fGC/2W2cGD40akbMFCiWL12imYHS7Q&#10;HHwKAy2hAUQd7EezinqYc/wiFC2UbIYiYCLwFF51UakTMAy4iiEaewo7vLiwskl7M3DSmQXyjcsR&#10;C9ZsISuie0xxAAu2igWVop/5GPNiGTIXuxJZr5lFNg7LFn/enARmx11IarBQthBGc4kVYRWabRZG&#10;UVBvBENhsDALzNLSDQqOJZdsWlzJIDrwwgWbw3G926wCpmGYxLXBZxy8aQeB3QWMVyo5720lkoxN&#10;4mUagPuuUsE8B9yjLpBHAIYx9E9iNGaT7szwZOl0PFk7H0eba2P/+tX4dPxChfKnY+vmtQL5h7Ly&#10;NJYUkKsbdXPX2DAJFB5OvtiUj+aRagdPhXRnqrG4QDnQo5aw/mHOwFIvNNp1XUt27ZGswkMf/vtu&#10;PFG88qWK8F98/Rdjd+fPxv4PP46T736vVGv1S8WlLDzw+kFHb2EzIGBSsAKG0byySjNIcA3rNO+b&#10;F7YWbuZ0n0nxFFNwMbZixrYgzZmLl4JDtS8t7MwkeWYJBsfEE7B0IoeNFiNmrLdujzYTgEULUXKN&#10;Mx3QN36A8kXIXnFbIWGxkWH1bK8TBmWcCNOxixAGE0TOOsmAZc4hb8Nvym4s5cBk3kwLui+lxALe&#10;cJpZPqYzQ9SLLeETAcX1C5Q0leU4TR9wlzAHRh1y7HifSR0cMkwytmmK0ZkP3hs+C4/1c9LdpgR2&#10;gbW9PtyfUq4IIIMZ1CrcmUiE5xYeGKy9KjP0KPGJ5TNO9rRRogW7b4MW2AceFhTMhcXHgr0ow0Wb&#10;7JuFI3Es6Cxrxy1JNqkccuoexYkXad/29iC8TY4bKZrEEHUd+8v6UR70mySc9IJNKYY9CKCB+DOJ&#10;dKfi/WeymA7P3o03b96Ozb/7ry67eKhTKJ5+/Y3cpjofceuRJrbiOkOyQtuLlfXM9tyr4c+CnZWu&#10;Qsi0WwsSo7TnzlLaUZLEY8hQdzmFDJIrNe+/ujgZZ/IkHR+djpOTM8/zWDznRMl6p1LYz+Q75sR5&#10;nzcKDtSeMraP3uIZwB+4suYCs2xzfdnlBbrsRv7lHB6Z4DUCcpFOIi7+TkajBZ4JCizTPdoA+nPi&#10;vnOsqAVN95O8h7AJfOaQ3tTTVaaPGRW7XPEmC4VKOjEJ0a3GKG6Cs4XkZwV58f9aI4OKuQ6BaWrI&#10;So28ZD1yTZVkuHbQTNRQsiVYGOGT5Tm30MKshLWJ2okzug2Bb0sX5iotl8xOykJAOu5BcYA98jcv&#10;W71YURAm84rlx3qivSKomAtaVvlZQFLcsMDKp0fEPx9Ew5WAtUdBf4iJ5aarjvbN+xQLvoVg9GG4&#10;X3Ez7qm9ynmQvHQ3MNWgD5aux6O5vXEhV+bOxebYOfgzuaNpn6SuNKdqozZ/JTCrdAWlBqJTMOPg&#10;8MJ/o7lyIgiuWBDzymdEcpqF4oQq2L+TKisc1noWxsYGLnSdDL1zMn6nMosfvtsdL19tjGcvn47H&#10;v/5snPzim/Hph/dj7w+/HwtHbzU2iggJXcwXeAdkpWiWANJqG10LV00Utd9hnDBA4FbCwwze6JIf&#10;M+R8f78n4VRuATHZSshPksRikXXcsXSYyZo0NtobEdEQnPX2GfY8z5ml2VFvtS0bK5sl8NnnwmnI&#10;ydYwc+QmdDIEDesTrlaoKFZySQOLQ+glsw4Dh3GgJZtRl7JipbBWZ7Mv2cd5nnm3ge5OTIZDxXWY&#10;ButzGCDPmEVVShkidoUVxjxLeQlxkApQ6w5ad5gzf/BIM27NBZei3d36jHv0TKwlz8/w5PlxZ0e4&#10;zNzdvWnA1k3ovZ7AOHMuMilGWsajJ2PLsRQhT7EVjJrvtBzgwP21l62YoEBnflFWInzz7CgJLCi8&#10;odccwZ9XvskJOvBvkmrMOTT/Cw2AnfJRtLWvU9YRlLhTN0WLWIjkmvMMyYxynVb8UOMahGXYgDe8&#10;jlT7fPDuw3j7Vm0Z/7f/KgvxgVymn41nEogPXn0zVrYea5FSZsEdH3rLXZljfpdC6n0Oj2/FLidG&#10;YFmKz8qSu1Ly3uXJkazSQ52cw+tknB4fy7q7kOA7UweeCwk+CTvNiaO2XKPKXhfcDa4CbHhY4Q7P&#10;LQWtWK4B2V6hxUsJvRul5a5grdXm2MpxvIzRxaDkx8C3asFoCk0yRjfbJgPM21UaVN6DnByQq032&#10;0UtifJLoHAESwRGfLUFRd2lpVQzqDk8KA+j2XhbCEhA8G4GDQLA0qqxTGERzHAagFVu7CEkWKeaX&#10;BtiWh+UqEhI4nBcB4FigOqyQ+Rgtjkkg9OKanJghGmQhI+u6VZDV3WlkoRI4XqoDIC2zCOLa4uOA&#10;YISdmDiMRgKEe+htiiKxSAxQFhZF/C7rgCCcfKTYGITmQ4Hjgo2mHQsP68jwZs+MjLHaI2gzTkp9&#10;YApY6IKPDelC1dam2e5muNYHeIJiwOJon63sjFfPF8f53LZatP3p+Pjpa/URlOvkVDEFJdogRDdE&#10;cQhzNERbL56CTqjQI5eUhYzVeCVX6anmREEunTWurxetnaIyLCgBaRPGK1i++8Pl2P9wNrYevh8P&#10;n2yOr37+bLz65b8fBzuX4+C3vx2Xr38/1iSQ5xwcD0MvXWAmRNokMJEUUjWDK4ETqdeCLK6VKouK&#10;h4BFmPHU/aVJ+q7GU4/fyknceSb/4lhxlQZfwpBL8JUAKNaQ/bPgsX4TV5K19hI6nkeU1Dw/Xyi7&#10;LUawn5qSFqiMbbblHVTID8/HW1PCrmZai8kyPF2ub62Z+03beV7HmSgvMHCAU1m63nO9+A4ehys7&#10;s0IZbIpp1l7wYAgrBaw59GZc5T79rmqiMP1ap3ekmJv5VJfX8JmVSlycfnQEOYIOuOoju8NCFpVN&#10;mf1pJQqYUYpgvCg51AomigbMt/q5J/GCveVmmxY1r8IYP4d9wLphvMIDStL43O5pr7e3Z4ZUeZcF&#10;250PzyiLLjKYgaGdojd9RywefEAo8SzCEh+VoPcROsZylBlJHSJHQS3pe2KT5HP4RBUrTwEx3g5e&#10;9t4wV316oevff9odHz/ujN///d+PDfU0faKzEZ98+bWyTeUyVb0h3WRulGDZbQK9/czUhyCIr6q9&#10;2rVKK86ODsfZ3r4E3f44Ug/UI2WwnsrCO9TrFGEn/nuJsJsU2ci32DRR3suDPSkQTZONn3lyKNe0&#10;FLQKyRtPA/RFauNu5Xw9k1a9rODqPCclIGXJO0HbcKaegIylx/eFONP22FKKxtUgZHMNTD8tjJA4&#10;lP27FjYkeFQ6qycWQk0a4ITlRbyOFngJXJOWbSVEO9HFGMGmg3EIgkAOawzhwmwWleloOi5qQ17Z&#10;MvImQTDECUuQgOUmCnOdcgvNGKI3oTfD1KGuNeXy5eOFNTW0lcByvzqeT8cXreuKTgokF1DwT3s3&#10;xc+caYWrmGQTC1EQCGxnoGJ2JNjgTsUVDBBIYJLghO4ocaGGkYOJQ2SCTXWVcR2XBee9eKnvjyD2&#10;j8cNc/GasAhRWsysi50DFw7c1H+rSpb5cu1QTbTXxt7FF+pI87nSvUVih9+PJRXCr0mAL6kjDSdT&#10;4Kcn1uKG0BrPTXA1JLh1Tk0mSpD+o3E3Lp8ziBCmLim0KbhAzOf75+P9sWKTSt3eUCbrkxdqPfUf&#10;/1JB/V+NAyXRXP7w3RhKN0cYVr1J9gxL3dZhM+1iiuBANi9458zXXn8YxxV+OC4xYw6jMXpbQfDu&#10;B2c8SPPlYlfFRawwmVbqWVhqXG8NNfRiHcsDIBQLv2DUNUa7c3wtu2G0mAlFppS40+ye8JyKpxUD&#10;cpmsXYXF2KMu+K/u1xteW2soEuwEFQsPhCPwwENjRl404O9qjSU0LRSBIenyXhtTqoSWEk7+iPmz&#10;roo/dgJT5FmsotB1BNhNRTSaGzILBAjfQ/KehZXYMEh7VsCpyvAk3ON++CHvpNWXJhOR299xAR6a&#10;9KHsHbcCoM8r9/Ce5yG8LoX58LWk7scoKSoyKMp1rvfGS29HlKLQbl1jgyA46adzPdmoWssCoRTj&#10;UObYigLXsDXgModm+wQofbihe9b0BS7TExkzb89T17uivXmgOCKu02VZiuKOcauWWzysm/WXwCmY&#10;cYYEHJXs78v9g7GjvqaL//ibsbm1obMRn41nX/xsPP3yq7Gm0yiuSEQ51MHdesWyO5Cw43Us+pWV&#10;J5cmcTva27UiYL28FHbWB84bTPYaBG5AyzRbSiZXGD8LXlPWeDBikkP5o+ivgauPxGdU6yH3ElaW&#10;tXL5erEEF5ZwvxVy22VLzE2bC3NRgbo3gb1y+UMhT3GJ/js7GC19jhhAuZ2MgI6S1ykQ1t6y+imV&#10;tZHS9xdXgJnCvInmMpa1Of1DjWKCEsW4kg7u9m5QgLEmSJU1mbvFzdi1jXV72E0Q1O4JC9ZAF2Kj&#10;Xdy8skTx0TMW1jAJMs6W9TXx6btOsdRIik2dDGS4VszOMU1Sg9F9lTmZEKVdMqFcJjibc5iC4IVG&#10;WZsPYlC2QSW3syiBM3aR3dCmgoJc4BPDOIItViIpEql+siLr8yKxWqmprMzX3l/2w4k6aHQcSaKO&#10;NDefxvbGimKHD8anB/9C6d9HCjrIVXp7LMQ6MyFeoxXyPAveYpgwM32JN9nKgWPQSYJY1PNQEhy7&#10;E6zWgJMo5Pr0RnVTh2P307n6Jb7TgaSbY+svvxjnv1IRvrLb9n//O52UrWez7Cr1yTorWaaYkAXP&#10;PcaWaiMDrsAdu8wFyeALeGl/tUmxGGjhvj5JQkexyXpGLgtTY09CvKXFl/CIklFbkYn67zwl39nt&#10;p8kBDw/kQYL6ubqsHjPcwtEeiT8rqBacDy17qTDMUgRiMYZhd2JWFVwGBtNdJZSM5qHl+GKSnWrX&#10;KNMs12BLCM9yWmvo2HG0+pwl2QVY9Ja4eRJsApXMfIrjoQS3hW6fV+Jw2bX82IsCs7QUCr2wB3bU&#10;8YbPLUjqbyvWfXPRHZfxHJgvbmVPIs/IfIBBYNLZi7W64oIsKDMiwxPBY7bVCwoYZ/tt/Ajpdx2o&#10;pxpW5TVMGaYeusIohUTeYuhK/APPlu8Fj/T5ihXLxBGB95WuOdRkPh7fDXU8tPWoMH5ijD5rNLWK&#10;dihpnC6nmWDJ88WwXKajey/1e69qEX/UUVBb6lKlI2fGzhtZfSrHuJAyTDeZZqV2tU4oGVov9jkd&#10;gmLWV/ualeQnCmStrWRQyDk00nHpxp6+D2WxwwZ4KagiRwT9kv0hqcNMX4shtULOOZn7dOcWsyaJ&#10;goXa5QgyJebn09OrgqOoJw/3JJggySszxpAm0rQoK20XPAP/KqMzG4rQciAwrleYOZaQ6140Zte9&#10;WePr2EPuMyxg+DD/xhTHL9NBIJmZJZzQ0MlAbZbje/krKbq2JMt3xHrpybcgf94Cgk4F9ZRKOFHT&#10;ZRq4Z1O72Ikn3o8uZ6jkILDX8lnCkxKRW9RpYZjFD90PUC54trVJ5gqjQHAmphjkSaatfwxk4o6B&#10;RT/PgLBykGQbWw9on66p8cZMMVTf7/3AOk/dD9fQ+7SVFYN2ytYtgkSYFVEm/nU1nq3sjsfbOiR0&#10;bWPsXv3ZeK8U7oXTdzpX7cexqibajlVobIcbeKbdpXTz0jOrXyoGsztrCLyce7iMW1hC0PWJFedd&#10;1U2X6qxzIPf98cGeMow/6ZzDzfHy5y/Hk1/8H8bBe2mcv/2ncfX6Ryl2ci/rfsZNED6Mzy4+tN1i&#10;P2H+BdpicgAqzCcWbOIJRpSwWhOwVcJi3i0B7m0Rd4MX3uUqq6lb0XP6SCZ7TczYo44QJzO+8zgs&#10;C1s/M9ryo0uIFzKYmFwSxJxKEfSYnneY66Rc//dMmKmbOxSrsfCIAAYnzdhBqYKH6dyDJd7o8gwL&#10;1B6j8BFSMj3pG2dDZ3+Nhqa3UvoMz9Aw37NfZuLC/UVc6x4kE3G8EgFacy32UcpLBNKccNLKJGNa&#10;+4gSZouMsYtZuuFBKYbSQ30pVk+62BAjDU1ayBVs25VpGq/5t/LRKk0rPHG1xWphfe52I7xOO7LZ&#10;/cW+DG9vK7+LH8YlHUWk94/rcdVGaShUbAHAhYALmil6i8KTyTrWqu+URGqeUI8bx5IGOyq5AJ8J&#10;XWypsTfCcINzBKzIdkw32bleo8cI3rZVy+MRjPt7x3Jn6rDgTzKkmBK8Xf+55WWtnalYMWkYc11Q&#10;yD9ZEvPNH9a9Cnezn/mndL+4/xmPl3AA7neNh8DcNTB0kr9euLI7XMCwqn0Uo8Fdp8lzftyd3tOj&#10;81Y9uy4lFhckCCnS9KQQgp49OwoOkdQSpAwmCoww7lqKe8NRg4cPgu9ALpqzguCMg/vPqw61hHGb&#10;bA2qW81n8i2DGGRsKrg7MSKuZl7xD9RBtXE5upCym02HKqKYmZiLGE38QTHLKzQStUujINXnBGK1&#10;YemVu8eJPAgP1ex0ermTu8tlQAswJw9AX2xA11n60DCoWG3bsAqBi1VP5g/DjasXKNgTYnckmZBY&#10;b/oetw6MsBDfyTHeD/5RTQ1KBvV5jGUOVhe63QeEHKFjgcpTsX41APV7MS0QTHGvdsu8Fsgh5Wjn&#10;LrnQ/rlAmAxbu5nqvDJd9XhJnWGW5OpYWh9vVx6Pj5tfjCV1tF85+G4snLytDMmkZXtL6DphZEYQ&#10;08wgDBQLkYQshS0kDKVkqJzmQt4Hjk7xYeJY4HodH1zrtIyDsfnxWG2h1sbz56/G9ef/enz88Rfj&#10;4He/H9cff9Q+SagzUWN9vBIReiHeVuKa3txoovamrTkmOwnKtsRNnKwhGBt2FyZTIteuPn9eXKOZ&#10;Vlya9yi+0NB70zjKH+YYvQMhk4QYSAIT3G2N5HtjU38PErl5e02y5uf7ec96qhG3k3ha+ENDCDUj&#10;cLK8DYtiHpYblojF3IGVUSxuPtCNvWXOSXqIEEEwxQsRQWXl1l9G+TYeWVXnAcENaul8rCd05OdF&#10;gPX7Hj8wZSMMgTyn9tcM2NZE7SlegTyiri8myvgTb2hAenON97GUc00ZmRbU1DZ39raf6f3IlrEF&#10;KDQWvggRvw/NGvc1C9MR19XnrNLux/rcBmum4TUYLfmuNoRQgpUEzy182Ja5CTkJKJ6neVL2IyiK&#10;4sJp7alFhN9FeOjYJrlLsRA/nqiXsAhwQ989XFNZk0MyjJ09cHlJ8VQLnaKDJdGY3ws2eMmcpK+N&#10;KKdi4O95tmVW+1HTA+VbMaiPwhctSOP+Dh3EhYpgA3XSyJ3fFcdkbuCk5mk+ApwrVaI2f/q1eKVs&#10;Gxexmlj1UnICTvRFpZhRnHijguVrTYCT4UwEhbxl88uFyshMEPAzmyShdA9AB1UhqAIMI/igWs4R&#10;VPNqmHg04UAG4NFZBQS70w4SR2rkCXYFeszD3WtU+e+TKPgMYU4NHFaNx0VYGMM8Jxe6s4FYsxIA&#10;1DzanYnQoXTDwhRyLqGEsFLaLQkdjUARUrpG8bxkAPINxZ1qM4QudXliq42icmfWavfd9d6Wjt6f&#10;6XBiCa2lVWFVZXt6k4kL1nRNzppveHE4kBE/b60ddvsqFIycuoEbE4aGBY1Qj1XMIbfBKtCchAit&#10;DWFA+zuSdNx9p7EDAqwMX+BfVpqfxeQYF3ii2NAgAYXA5RcR1CS4wBWX5vbHV3O745V6Ee6sPh2f&#10;1v/VuN7/MDZ2/m6s3Ow7fkrRsIklWozX6ZIS6kERhNroG3kjLgR/LMMwBtrLyQ2j6S5JUVuYUz9U&#10;JdGcy1V68IeTsf3xW1mGb8dLHVfz7It/JdfpPxu7v/mDLMPvpXioNZuRN25rnpd+ncFNJ6BoGq1N&#10;2kVjZmKoeT9gsEAx9WXF6IL1M+Ha77kHpt9rNPTDkLOvMMPCK//NP2GQ2e98lgzsjMVnsWCimTez&#10;twXIxLTVOMUzRoSDvd/8zVr1H3heyypPgL4WSCxAoT/fF/zKFKJ8eS6MNblm8wRcop4rDCrEkL2E&#10;VLOtNfaMjsk5oEQil8el6piPe6rFDe1RSwHwk/y+1oVwNo8pkjCMo3xmM8paLEZpD8Q9ZSEBgIxX&#10;eTtTIwULVe6roaD9JUIE/jsSKZDJPrRb2UKySDRKE682BxDs+dv8QwOYbWoU9stXsWh7AYJP1puA&#10;vtcU2BUryB2Ga4DrebWgmfY+/IO4ut2kPMK8rz0EmS8KCT1CCdWwt5RfXEj7oOj+XPT4Xm0j3x/J&#10;Xeo6RBXnq59pigWSfNNCDohYHuv+Jf1jnjfNOYlGheJGIagwtJQ9bUpoC9FCTt9VCofnA85LRtv9&#10;ijD26Rq6BuccyjGxT7MTjYd+bxVU1/Ae1FIOqu6NkGQu/Uy7Q0l4CUJk1vGlc5Vcdvr7Wv5fbLRl&#10;HcBr7YqHZ0mFGiBwIYpW4f+cyZVctbiE9CeAgTE4DamZNC6faJE8k6bZaYQqoesuvAi3NItuyyp+&#10;35lrofQKP8dt1yaXHWPWkUFi2PTFXKRIv9yMjgTUZiU+qGc7KxNkSY2jrTwsQiWycKaXWYktw5Qu&#10;2CVK7aA7H0iw6Hy/9CkVvFQyALJf0fvI3+LyksWjLjn+CwECc/fRUrRxa1ILbJPFFxiTfpy6s1ja&#10;HNtkRhAKz35orFkT7sIwze1GGZnE/3yVlRQsL8Fc7llO5LAQhLhZqy35UKplk4kw2HirvGqnQdu6&#10;L63bj2llI3ueILdG0bliz8fBeLakkvcvno+9ZzpG5q3OQTv+aWzc7AhpNSPtF8+jG8mtBBuKTZ5B&#10;jDCu1/OruLTQkhfVgHgJ74VKLFB0OBIKqjo7UG3Tgfok6vSM/Z1vlcr9bjxVo+In/+EvVAT852NH&#10;sYqrH383ltUw3LhTOGzStHbdP8WsQQPjOmsq3bsJGTiCx94jU072K5eawmJBsTdhgBYqZUH1dWnc&#10;gPckROmpcH0zxsJx3HWxOMKIjQUIC72bBB5bxuNQKO1+retwp/Ge0iPPNIw8LmF9LvxJYkoYNPBA&#10;mCUhhEsRVjWxUibDVLF6uDbZqZleuIutQ78txaLw0wzTmB/XZjLC9YIree55pjO4HU4xm5g1tTZb&#10;Cuz50jBBIPpA7NCCFXmRpOu5/dww0n6UKazWZLRGseIaAz98rcV6vFwoGMFrw8NzDMzSvDl0YFZR&#10;+5TSEXCgsmIZx//VPrN/CCOzmjDqfrbdg8XfJnh4FXl+vBeBU8IZ9WM0ZhI1lkEbWPsGC4XgY3h4&#10;407BLsvKuY6aGCVOm7p2S+RlwaGJfZTnZf9UDb3FQ9epRdTeIDRbFoC3CCYe0glhxiz2BtZs+Ob5&#10;zhw2LpSyr89ayDEGHgUEpxVrjxia5V5YXgs9jp9qIViNwCaYuBChnsm0ytGQ9bP3BbpFGjezs054&#10;cCuwaOQsyIX0Agp8hoxFRVki0uQitduMB6ARO52rEmDYfDbWlh0bzHU6xwp1A0KD6NcK4tbus8Tu&#10;XEOmI6uAYG51kjlaI1iWLged7RgVMHJWKyXFF06hsRZcdoAwQIjxSKeBesHWcI10Go+2bU3UtozS&#10;j3NuHVdTCKVTq2OosCZOkpAwUNzMG01mpk+Tz1gwb8fUCvJ0W6ctHckwJlK7mLBCmVMYkZmGu7Kn&#10;j52PGaIEhGbdDpBk/aE9hDFIi7Bi2xCexa0S9q8SCaxjlA3u5fpY8S7Q77V6ClmTk4iI3pda1kqI&#10;D9pFAaHGj7naImQeYej5wfUcth1rvjRZGghsrKqJgBKt9NztsTdeqnr3UKdhvz14OQ4Orsbq4bdq&#10;z/ZW912rtZGyzXT7mqLzKzp30JpkuESUDIhCe0zAXjb4WCQeqeQkivTNi6wA4EJWe7d91RIdHY8D&#10;nZax9WRnbG2ujwf//MW4/Mtfjp3v34yT3/zDWLs6dhbtgga+Yq/NzIOjKZUR6NJjvZhScIDvnZHo&#10;lRc1GSRhnkZ3M0RwsvCcfWlOx955nwK91uoZ0HKz8LR4SUfeJxwOJ6151nu7AEuQmrkRp9FrkeQt&#10;mK0FBqSAMKx10RCi5uhYGELd2Y1hzp4X/3Efn5l/RjxYMIICjklnOoaNdaGM0eajY5VmD4Grr6v9&#10;ul9fl1hjKSMmi3tKrj6nzaLPhQNKhaeQh9MTig9N0MuEZqBCUNZauNaozAu4ADsTPJsSumd40Bx3&#10;rJsHoCO2iVEbk3MDU1YAjGfCi/FmSpVjc+CraMen0XjPIqwqqlHWTgRWhz9IlOtphfbLijQviwIT&#10;izdtDKdTMuB9uWHCL/5GAAA9Yw7vozG5u1F/Ftmd/XHsj2sEYKnKFjTbuGA0GHR6pBjie9Esd29L&#10;Em6pwTeWWJLhAltvvWnBTqTJrQu+Msal5k7nGwQd93TJDa7LzsqV8elxoE2m4x7TRSM8w+0Zgbc2&#10;1HFXtrKlm9Ewex9EDc01dAKhMf7/GujSMC9D4owAAAAASUVORK5CYIJQSwMEFAAAAAgAh07iQCfn&#10;bX4QrgMA6K0DABQAAABkcnMvbWVkaWEvaW1hZ2UyLnBuZwAAgP9/iVBORw0KGgoAAAANSUhEUgAA&#10;AcUAAAEuCAYAAAD/QgnFAAAAAXNSR0IArs4c6QAAAAlwSFlzAAAOxAAADsQBlSsOGwAAABl0RVh0&#10;U29mdHdhcmUATWljcm9zb2Z0IE9mZmljZX/tNXEAAP+QSURBVHhenP0HkObJdSeIva6qLtPVVe29&#10;d9Njerw3wAwMCYAACIIkSC7JdeSau701ilModCedFBe6u1Bc6CSFpLVcrrnl7nJJgmZJEAAJOwPM&#10;YLyfnpn23rvq7vKm9fu933uZ+dUMgMZ9QE99399kvnz+vXyZ2fN/+OKDN7q6uswWLOD/rcv/4Xv8&#10;7wZ+64MvC2ZtwY1u/L1hN27cwPML7Ibu+Iff0ZJfwRO2gD94Ef/8GXbg3+biGfaC2wvm9Jeded+C&#10;w9tBX3xf7WZn6tXfiYudv26gB0FVruMnm+/yV9Eu4NcDfIIA4m9cKiMqYy83WiC8Bz1S2yogJrx+&#10;QQhYcCNGEe12YM87J5BdAIXPc9waoY/BcXPDuru77P1jF+yZl9+3rp4e+9Sjt9qWNUttchq0cfwG&#10;PB3jaWAMnCzs6bKX3zttL79z2JYsGbLPPn6rLerrtrk54aJ8gg6kR8W38KpRB9x5X2AmRgq+ZoHv&#10;GyD7HO7M4QvxTxKQ5nP87k2pVfKfiCGeXIDOu8BMhKG7O/lU2OfzlfYtnZoxBFGCDIVnEreO5nZ8&#10;YsqCAkJHuMnQc7M3bHpm1iam52xicsaujU3ZpesTdnViyq7g74UrY0Z56u9baNdHJ2xyasb6Bpfa&#10;wEKznq4ZW7t82AZ7e2zJoj4bwsVFfT3W19ttfQu7rCfGxvGAC8QH7aewGfE3b3xBCkHKt5MT2l8c&#10;Z8gmJdTb+5B2gqaVvkHmBiNJ/xSjluKtTij8GPBmm6Ka9Ehy1nwpuwE+Id3Z9h995007euy83XPb&#10;VvupR24FDWZcxwjUljPJU22LutcN5iG9/uXXXrWzF0ftr3zyHtuzZbnTMlFATHWR1qkTyFuAuwPV&#10;7C8GTSr5J1BI3OuHdEm+V3SN6zOxNp9kOwSduOA7rlM7cJ8ID/koHB/DltCkBPo3tZUwBkY5htpU&#10;vFEoA3jUht7NdwqFimzmGyJZCnnLP5WCIb2BKhHE35uHl/J2yhxtS9O8cwkVh8MmXkhoHWfxbGIi&#10;dQHxTBmRGiFN8QfNiPvNqI8IUOqhOXaBfpbd/7kFPVQ4JLwrBYdQhPZG42+XI40MAqWADmhYqlLM&#10;bnSNHc3hf27U3AgIPckM1fIk+QS4d+3/CbEJgqe28jHgwTTWBbuuNcUEVCL+XDblYwhGAwBk+CR1&#10;0oBjExPjnoAORON5byso2eKmAfVGOBDOUs58dTAytjEwUsVRWxnHER3QOg380SQ66SEOcgiDWWZB&#10;vdu2rrJr18ftpbcP23dfPWhf+MjtNgQlS4XtrUc/hC0/0q+FZWx2ds7u3rUGCmLEjpy6YC+9e8I+&#10;ft82GEUoCeLC0SomyGYSr/xLPkjUOO/kyBIHSU9JvdN4BtdmgYfZuS70D+MCGGbRH77iL/6DsdFA&#10;JsP29NBYdMNYwGD0LLCFXd3Wi/ZwuaFxCgYhSEUrPKaCEu8GTwcsic8O2BNDQXLRQjzcOgGEfWpq&#10;1q6NTsIYTlt3X5+tXjpsqxd02y14fhLK95V3Ttr2revswqVzdnlk3M6Pd9vOTUuta2GvzcEhuT49&#10;bTOzUOw3+t0J6MX4glk+aAxT0VGqxSSFrg3mRQHSIsYoeQmOSxkJetJpFOaKtDRttr2EAxld+tON&#10;knWOjz5TdVdDIrzzU9V6tp00kc7IURUb6Tg36wXt3zt+wY6dugQe77c9uzaQ+9SeWz8+5S5LUR/V&#10;7IcSxM3u7m7w+EEbvXTNHt+9wW7fvMKmZqf9feGBgUHKfsITPBXwFaPj4+3Ue3UE4nd35nNohVwR&#10;DMDQL4ACbg1iCkm6eDkg4VvYSelNfR2mtVyXHmtxrY6DBPruMMWYBWLDT8EV0Z9zRzjmtZVgLrxJ&#10;18u1K/ksHdumPzUjwXPj0/BaOi4ps46zkFPxbOpi4cypjKDsgx5KBE450KChxhw0IHUdjOB4fKeq&#10;d5hCQNS+sNHjUWESjW3g7dBjjrEuR2CDOnr5REgwk8QqFF9hfSkSRgTyelMwCRTNNZ7nnzQSxWKK&#10;OVO9OZoKQ4oRE5Zgdw5FTEjidBC5olZ0V6sOi3tkai+VSEaKzpQcjkDUq94uTGoIf+Fx/5Is1+Ax&#10;8FWkIg13tlfuR/vxO6PiDse3uJyVkWeglO+9daNdvDpm7x85Y8+8ccR+5pHdoR/DO3JaBEI6BEV9&#10;0hAxWnzgtk128fJ1tHPWtq1fbtvWDtskvedgyjAz8bsTXpE9hCRwmVqwg06OTxpDGcIxGI2r41M2&#10;DaeJBnBqesYj4InJKRtBdLV4oBfG5Lot7F1oaxBZ9QAHVI5LF/f5vUWIxGhDFBm72gjBDF5sDKKo&#10;rmecWkE8OQyhypLhk57OFjUG1agdiWQeOB9zMIrTNjDYbxs2rbU+RHuMHMnQg/h+6eqkvbrvtK1Y&#10;PogxDdi1iVnbPLzItq9bZodOnLPH79luw/3dGOM1Gx8dh0FkZNll3cBPN7M2znT5RxJWIoCQNVfg&#10;qdwSPB+SxqXxlUZqk0EzKfVKpYqi5Of5BrUDrIJ3yY/kP8EWH4cKD+XiJNHlhmZ8t5rLEHXBnzKH&#10;vwePnbOu7oW2ZetmW7NiEDxE/owOg7SFmgkPRx+4IJ+fB67f2X8KPNRrd9+2ORxoRoZ8UG+75ini&#10;LGCrTqlE8ZGFAy7WCB7UDyEiaRI41hMpw9Kh+WTRj/FaOhJtpojPyBUIJRTgJA0zGNBlGewGkgqT&#10;35dm6+Qp6uomtZew8DlHTxDP6Sc8uWMc43fTlQEGb/utTggcLucNReS6qzGJG5uPI0xXyvVoMzi8&#10;3CtvhqOeIFYJl+y2bowAlFl3CPCuAiQYxTQCInT6IhwiEER7U5g40cjh5KAFsYtfelmBi7T6hKYE&#10;STHw1PPCqUMbCKrDTQNReKDFTAhCh8wHJioTy1jKwjElKfQ7kpO+0aZ7EM5rMuLpRZfoIISmRHNB&#10;KG8t7znLJpA0kGK8GgF2kr+KRIy5vPrDWJmKTuwzd2PWFsJIPHH3druKlN3RkxftrYNn7N5d62wq&#10;DFpppShOdVAYHN+ZOlqzYrHdvnO9vfDWEXth73Fbu+JWtI0+wndJTeYxk7wYMXawZHGoxD71k4bJ&#10;I3ipgzkos6lJeOdQ/MPDgyDLQk8mLB4YsNffPYU04iKkx9bZ6ZNnbHJwwHbt2GyXL1+14cX9Nj05&#10;bpcRHTMKW7C031O9dPfwXxG0fDJySV5qHCmymjOr+K6R7xiNNyYxCaVXoym+4pyPKHfWBgb6bcXq&#10;Vda9sMeN08KFxA/uAnFrli22//2vPGYzSPEtuGujj30GuGaUf+eu9S58TFOvXd1j10YW2iQM4w38&#10;dofR5VecR8+1TBtI6vyfnNCU1XmGJWhAXi7qJD0Bf09I6FBAIYMNEkXnQuUUpVRj9WZ9hu3KmOlF&#10;CWnKmmSlbVWKqijveMepFg8zQ3D20oidHu+yobWbbOeWlcDxDZsJCyAlW/Gl5kP1uVrRWOnAv7z3&#10;KCL7KXvwzu22YeWwTU9PucOf8lsGLLZJxacfoZ/kTAtzriNC5+ndUEr+PscdDUXwoJG3PJkIqXRN&#10;Zeq9RGQlHk0nId8XKpXuran0kPBKN9dzVTYy6is5s0Kv1oFung9O7MRHwJ0MVGiRdJAjkZySMBFg&#10;Zd6a8SSuWwcjI0vqupY/CEvwcaV5KxEiUoEeXzKoqXgPW8XALmgqeYjxx/RWjxQZIVbWTWIYCYgi&#10;OZUYzsZF8IJnynMS2Myt83KmNIuIJten0nRrlYJazFbVc8FcaUSC9YpSKIIfbOKwh9CnOlSqTxGw&#10;BIlf1FeqFiG8+itpsFOJ+rOl82DwFLxoKVp3kUmWd7BKX3Wup9x3tVBHoeFS4KQw6h1vsnwYLQ4P&#10;LkTUscOefvOovXX0gq1cusg2QeCnEMlk8NO+42QKhZOiSK/7jh1r7OT5ETt65oq9ceCcPXb7epuY&#10;Y7LTERZjSSFPgczrbQ+eQ/BOOpSj8x1pMGu9/X22ZHjI06Scb1uAlCijvovXJmAoB2zF4gE7NH3D&#10;Fvb12qrhfnt172F78I4ttm3NGrsK4zFy5SpSxxNIpfa7S8eUN3tMny/Q7TAEFxdHoPB6AZlIDoco&#10;iDufzokyZnf9g789SOkuGV7qcM9NXEPYjTQo08DxCP/OXE/TxnegvuAIkNf6+A4a60KqdW7BQhse&#10;WmyjgZucrxfCQ7E6CVpezWRhCLg/m7CJXo5rsXjlIVc8oo8PNRR8qzRbShbqEkUxeEdB8I9gTC0k&#10;J0JyHFUFHYiUY1QiKq8hkPLMT536CD5DR5xjfe/EZbtwbco2r+q3rasWwblgP4UpY/DztKHQ52Pv&#10;w7z7YUwP7Dt6xlYtG7R7d28E/snbuM+MqTS+t6NoJwaZokd6NU5FuRx4qNmKKhd1Llh0EPoCZndm&#10;GqekoCUciNQp4WwLzeLR1PgFlSln1RTkwPVw6ju3FqlnCU+OmSTp5NNCD78e/OOOhvCS+Clzojm2&#10;HF7ik7+9PoHvgefCQgmVYQ2CD4uecxaKnrK2wZ9X44UM3mKgI7ooECaBAuLEtOt8dzRI9EjJhsxT&#10;Mr3WIcbQ44rckSeFnfMQSQh/nJFWSJmbDbx9IybAk4fUntCYEYPomn4J70ggW2Xv74XXqxYk2I28&#10;CCXBFYrqpDCU/gxD2gqh80AIiprzlpPMjsDsIJmtWDyG0byotpMaxS8vHqD4r2qkbFJefirb+r4e&#10;Fc0Es76rZfcMfVwBpRO7AF9I7D0Gd0yhuGbjykF7+M6tdnyyz/aeu4ICjkkb7O/1tGTSLEVfg+kc&#10;OhV0P5T8vbdusgsjE7b38HnbhjTf6uE+mw5lGGQMOQsjUtoJhg245BYFxgPNnGMmr/ein+7eXuua&#10;mXDc9qO4hI2SRX/lyW3+zNTUlH3krq1SJoi0fvEjtyIym7YbM5O2GAUqfSuW2pXLIzCo8PRhVJBI&#10;FV6T0WOMIk3SQrgsJA/k+zs+vxO0KVq6KoEU0jo7bogSB9DrjM2Mjrig6RMSRf7EL0Z5PYhGFmAu&#10;aw4GkVGi9FQYpxtIGS/AGBAtL8Jc2ezUWJUbN5JFnFO/FeK1fOHS5LIgEZHB47+Uk1aZCLbkZefC&#10;RtBCeovScHhzfP5ojDG5yPsNJ7nVWIXLKh9IhlOMZRAztyIxKxLmb7MwZuT6mL156LxdGZm2T965&#10;wfl0AnO5omU4XqFv5lHBh8XMBgtyXnzrsM0ivX3X3Vts2VA/itKmQ+6qfFfJJNvkOKumUnJVc5ep&#10;R1pFJR5qZYFjFV00dBoUxnV6TE6BpEUP6EFpnjSCZGwSoWnXH41nG97jEy6ujLD8GVHTn8R/WEPg&#10;bXt6PiPPOhIBUT96r+qf4gBlkBIyU4B22iYTUnjFW4K09iOQpfVKE4V3+EI4VZr0KwBFKWaDz2y3&#10;4qY2GH0Ufkssi3qqE5AelfZRzN3lVZhweotSDkIw7ZdqjWNkgkqMH4MsRikADm6v7OPkKcJWx5to&#10;kPIXtkIMi1cklnBhLFJU+ylxSHoTEZF9IM3k71cBVi9VwLNrMY8P0j+RGA7QEjOhaJK7/Vkpg2TW&#10;FNIYjt/PIhcJS5I/WSQZo3QtnDsoIRASIxEvB1B5JPpAChTKdvuKfhs5PWlHFwzYa0ev2Ud2Ly+K&#10;I19N7iqOQWhQ8gHTqJtXD9ktW1bZ9946Zs+9c8J+9tEdHuW3EIo2cS2Er4pxk65L5VH4WjzBlO+C&#10;uakQ9BwY01swhqjidOqTUWdhNPlBV3OIGnmdKgmv+/zb7GCvjU9MOu00b51iRpkqKjOcJqG/CGzi&#10;NejoJbE+rsR1INnZXUKUrJivcN59dmpc16lkXLgqcVzkJiftrc8+bKvfPWbrj1ywKcAtqtf/uu2b&#10;nYJxhHFHRNOdPOZjl7Gh3WamoxqOykPFADrjNPKVDE06hKPlCioHUkbVyHDH/ZTPdlSJxyCMvxo8&#10;6gOpeBPx1EbFSsDt+BZta/SYbdU+elFN9frxi3b40hQcvyV2+6ZlqhRln4WpO2XQW6GTHCLdC5y+&#10;/O5RO37msq1Ztdxu27EOxU05Xy5K+Ai9vWjUeTZ4KHhCHN+ORFkIUT3u4D3XH/6wOLIMtPxCAWLg&#10;Rv1mm+EQhBEVahOeJkqLHoXd4I/k06BHvteiiIVhPoURhYStARcdxF85lgasqqab0QgtAbPbWHxP&#10;XRHKylcm4J+q2evLGUgUpyZsgRw0MnwwB7+U6E54Sqw2EhASmiRseTA6TX1V+Ju2qc7ichSsZ+DU&#10;zsUrV2wI/cAoytRkdMOH9EoOVIKVTC4sNWzindVQW5PVmkb1ltOTJJIiCspr3qo3VU1q8kOJ5hxP&#10;mTeXhxmuVpG4MPBBJuE2BYOP83vQrkoprnmZrndPwlG5yWCLLilwDVF9bBmBtUzP68JR+LBBxMRh&#10;UFRoKzzSkD+0QTCP98N3A9UdAhnwASeMaB3zYPbbV/bYiXMX7fVzo7ZkYIHdu30lClhmQ1dJKCoz&#10;CefB246TGXiSD+xeay8fPGvPvovKyfVL7d4dq+SZN8paQ5ABr4a/NeCVgZORs7jKPWSkS28g3Vj5&#10;SIrER+UoZAVqzqVFNJAMTeGGUu1fuABzQj2Co4hL4DaVM1FI7AQvimWDKwO3EsQgHW7nRLt4sMn3&#10;NPzNMficYPbrTRQ/Fj/KZKz1XYXBmwQNmFgNpvQ/hb3EMx4/cPgCJ4Q/f3AMVR04zxJf5FVX3vo0&#10;FAimIY2E09QBzk7efzoCIXfxQPZdHJ/kGCdp7SvZsWgBj3jK2+o/ZNDlxb3+4PYE2FtsDZyYPcWb&#10;hUxvHr6EqQCzB3asxvKVbi/QEnnjvWijOCWNSDLSvDY2bq++dxwOx0K77/atyKB0IROBlL1jTQUT&#10;LhepOB3okE9HXWWO1j0oMU55lg+HY+TEjbEGbaIltTfvU3ztsn6tLjyoKBVcVbLiW9tciE/ydD5N&#10;m+Sp++B9R2BDKolFKhreq5zUgpsuF18WzKSBdGGnZsmZPDGbltbFhJLQJHwn7grvEBDpvLSjya8V&#10;n9mTGk1U56+Un1YeNDJNJ+ml5DMVtZH+I9fGfO6a006b8QhyTyJZ2P0UA385o7wwb9WQN8woRaMe&#10;K9FTwpk4S5Mbguj0VSpCn2BKb0LDzPSgnIiID+O+G7iUMb6dQM4TtvqzSkotJdd4XZSDH0r6MnpM&#10;cOTNxngST0mtUiJPoxPwV+yX8SXLpQaT4DeM4VgImhEyZxjhRXM+yXj1qTbi41KMRf0L7aEtQ3b4&#10;xEX79lunbM2SAVu3fBEqSSOSagO5aKbYfTIiIs5BtPH5h3bYP/nz1+0brx217WuXeDUlq0azZ/6t&#10;yiyki/CWNomrVChJ4XgrhZHRlacTk0GFgLnpBTa4ecxuIJgcPzuI1GNIfeEDsUg3OutHKpVLMzDt&#10;JFwWnsjILsWV96oSKfVmjWLIObiScg9aJEWkkIIObowoZHLQiiMaioKAQLY48Wi3fPsVLL9AohVp&#10;Pxpz5+7k1/wenrJkEO2GohY65RQkluQk8T8hO0X2NOYy95S86B02lEtUxH1fj1fglqFNKSxvBe8X&#10;z94fIbLlaKWBcrkkPiqLSh8U5nemF+8EWT+gnEMDMEo8cOKCvX/muq1dOmh3b1vu63D5SYc9lX4a&#10;RO8mxsfmuZznLUTpV2f7bOcuFOlsQKSJKufCm4I8AG6dq+RpMlYAOm8YJZ3ZjC3TyIVuEUh4a2XA&#10;wkEHkt2YdhqWMo3S8HRlSSdqg+i4UxhFL/EpyrRHptFlMRrzdVQjC6JtHVhyRB1Cw2uuozQmyUd0&#10;jN+aeamETrr584nWIFrqoeSNYnTjUT2efZBnG70djUkqEu7EcT5XI0O20+Xrnhd4jcL5S1c9xb4Y&#10;Uxirof/4UaGN47GmkVIIFTmFwi9pD70g+RRxMpJoPYjqbWpiV28F0iK9JrZsTaqoo9x9EocRXaRj&#10;g5i+0NKfEhp8yN60uDc96IzoWcXWpkn93RCglOFK0IAzeEkTs+qjbAgQPFnlX0ydKdvGp244QA2W&#10;/pJfgtgVjmCmpG8ybDHMwmRRDk47LGtAAcKGlYvtk3ett9977qD92UtH7K89dQuWXWBOq/HkU3lE&#10;iJ4S5W2y8OXWjcvs43dtsr949ZB9D2vtPvfQNpuhMsnURgpYvCkeScELKW4jh+ARSQIdHvxltEh+&#10;CknzJskj0KoTp/sj+9R4nNk8eSP647o+T/vw3odpWWKF90NLC/zGC+5Ac8IWbh0LQRrjlbD7kMMS&#10;+pqm7DcF3S/dQGp3xq6PY/0ixtnNdB1+M/W7BPNZpWglnnV7TthCRjp4JGAkrSKXEx6/2EqkYOec&#10;Fw2GzuixoVfKZct7/lZjVNWamK4+J3yIBTNWcmAbvtHXEukXRZjwheJMgAt84WaE3Ca7+/gxljcO&#10;XbDRsWl76s5VKL5aaGOIHB2Kwn919PqWbi6UGpA9cm3U3j83aYuWr7C7t69CYRZS9LMBe+OIiCM0&#10;9lJN2tA1FXYZViqV6JO4SEjylnQXm9SoSpTp0WCM1F9KTZEmJWEg71b+kl5r3IGiOyoZvLvkdWpz&#10;OrLF6akcXMxv6PMAo+hPhy5kVk5D2rDsNJx1vxHj9O+CWYZNhVSFff2qfiWfyDiKu3yzDn+vRoKF&#10;81w+wiI4zxdsavChHyuPit/0fotD/aRBHMdGG+cvjSKTpuVfq5YOuD6dkWFBpEgr7zBlthsLql3p&#10;pmEKMXFmpulEOghyzkIONzZEoGZ4q4PhSImVKOFR890UbDEikVjnWZQi5WjgVUsyQoXF8oDwzoVr&#10;PiFjRehkzsUEifx8iiExFVEvpCKjK2EzGVa/BIkInfokF27rXs45KsQvFVQENSCKxwRDXPfvwT8+&#10;LnFvQBAGhY8Ez6kKL6PFeVASsHDH1W4olhjLFIoJ7ty63M5em7avvXrMvvH6UfvZh3eA+DlPXADx&#10;cYZu6IB+Ckr8k/dutncRcX7nzWN226YVtn0NKlphGDMFXeJWZ77qJXYuaBY2pKubeTswTzfWH85h&#10;HBSeUjRAjOL31etIb1G4MNSFMHx9XPJAyjnonEMM3LnAh5viwunSE3pI/Jh89EEDF5pV0iNiNZG0&#10;ugiCJFHbS56TKvLY0Ft8uwhrEAf6mYQhXGrYuQ1CV/jBpSHg8PUvbX+VToVGoUuLaQomkx5MPghF&#10;UFsOpZbOQPJd8JX/bFMISc8YdDgHmtcUANWxTQyJV/PT+PMaf0hdqqmENZ2yutuLWliIwqSzWKP6&#10;+pFLqPBdhNTpKhgzTQPMD7I6SZQCpAX/30cV9YHTI/YQliltXo4lPZiP7HRWyTJVSIXnaiKDe8PR&#10;pU4gTSq/Z9apKPmm9YqPNIjSEDUijG9J3KDtfJMQnBk8E7yaTkXA6s940JA8zXHR0PB5GVJiJknU&#10;mF+njjgyNTPZUBRsTY9aFvyVfilzjaRkNiQA16gLG/gXobHNPNWptspF6TAl01fb0RZnOZSts8Ae&#10;ioPM1urImcKnHTiPJV7XsekGl3QtXzzojiuN4UVcu3Bt0lbjLa6Ljg+70HyII8aRXOc6xBF4htMj&#10;NIy4O4m0HSMRWl8fe8iykFyVhnvCDQNofVAVk1r5Gr48dX8YED7KFJkbywBWoblSA1UdRAVRJZvz&#10;RB8EZBpGgfMRA0i5pQPmBUU+JAeukwlct4RAZySUpq8Y3kB6RyQS19ITTSTAAGj+T0gqwumeVRKv&#10;KqrAQhmJqmGDUeO7iBaC4Myhdljl+NRtK1GGfhFG8bhtWL7YHrhlrY1zLsXpE++0BApasQWmSofg&#10;PX3h4Z32T7/6uv35Swft7376LqexR/zB1Nl/KcV3oWnmqgKehNChc+0KWFESz6pMrWEQ4/J/XaDV&#10;0FCfngm81G98jIa08k3kaARKgwv9TMGSvsjh5pOFxPleUUy1OadUEbLgh6RKNFCXA6bBpmFO4Scb&#10;tfsohUyw4rX0JwVWzFVokTRvGkr6vRn5SjbLcop4ODmLPzVfHq16X1WpFkXZdJI855C4wyQjIJ6N&#10;f+VHOinqI2klaobL5G2rrU61XE1TaxBTD7Ee6fXD53wDhCfvXY81n32Y11a1aKrfwlOF/eMLxsjU&#10;6/nL1+zZ989BN2FK4RaoueJxCpKusCEpCmIBQa5oL+Gu3Fv7TxnQcw4VcR3GqqI5Yap8U0UuHDYn&#10;Ca46AkUMV/qRNciioXTYtdNTrrnmGzE1Eu873WkQQx7m47fIlOv3nPvmGBQhKVDR+FKe6pSC3nY8&#10;ueOe01jCletQIaIzxZ18nkJIqPEyp0D4juvywiPRReAiVV2hfAObo6L9HTyeUCasHkdgZDOY278+&#10;ji0YoR9XLemXMYSjdPEaUqhYDtaF32uWs8wm5xSdCGG/nbiNPxELHR1NJCLmg/g/wkAFyq2quiHk&#10;Pd30jGVofJzct9AtH18iwsQAIpQYQLIWAu4wMPoTk3hqtINrdT2LepKNUuNR+RQF5g0HswEOVixy&#10;JxUKVx8Mo8J1RRVSAg5cQJNmtqrZJFUiumqJ+kyKT7B7ySxI+Qlf+tRv5VJReimPnTiq2CqoEyM6&#10;gzbQ4UHShFWeX3hoq53CLh5ffm4/FMsiVPANaX/UxH0n91S9h+vjcCBu37zSPrZns33zjcP2HBbW&#10;f+LuTW5YnVOc0WI0Tu9G0TnqiVjSPue+In1NiLl/KErie7BDCQD1eQ9FUyKDg9XN9KV4yPHlHiiF&#10;Nd0gfHd/LZ0oIaEDFx3ozsFW3q6CH7D7BWG6OEShqaUog3ah/Lxnd5hUs+yiFxM4buDT8MVd5zgf&#10;X3jJfFeS0uAvlbK6q91WOvu1xhv25wpsIXv+Ox0I4TXx28YByqxUx6z2mYQQXtVntCFM+4WKFwGR&#10;YPB+0YF8KKuDEsWBk3aUrLDtgW7hPM8rB89bP5a9PLxzla//dLq3jkPDw0VTUYYAQDcc0Oewp+8Z&#10;FDl94ZHNtg4bPUzEXGJAPs9JCiw3GviD3FIr8lPxB8fJ0QtqqQkoeqInEed3dSHnrnmLLaYMVUrP&#10;d56DnkK9KjEcD9JXbY0Eaex1tUGEst6P4uOPJwFDBkLlOf82jl/VfuozeUL2LviCjB7Er/zXyF/T&#10;n+Q4BoAvHHfu2uRwuRw0u56FVGTfjsYMMkJP5viTD12FB7TpQMhOY2zQLxPY+IOFW5zCYC0C13if&#10;wR7Fl7F7Vi8yUetXDNuSQTjjQRFux+GdJkEFRBI6lJv3GOo0pIMDYYUX14lRsU3NsFNt2hxS6sOj&#10;cojXHXIaJCEjfa8wyH5d31MxFQcvPBlfepF0SQnMaCtC95pjSfWjdrnV0wzmFFhNyfVOHt0SDh97&#10;wWqNpBzIVHhSZAW2YJYgtf/xMXp7Gpvr8nig9XKLTWyUjL+TzJAM0DYe9ySIwm+NJtVxQTvanUZx&#10;zVpsMfalx3bab/3lW/YHzx2w/wLRHtORSpsX1dyh2FJn8S+rUX/63i32Lvad/ItXD9stG5fbeuTe&#10;p7y8O8bmnnJxAwQF/t96qynWcg7wLNMYoNXs5Khv3cXKuMSTjyMQWfU+6SMHxvmnOBChzoW84JnE&#10;Y8IUNPGuA0dBgHBqS/ZBPBqqI8aVFCwVyYUA7Ccm78v8YyTxXSEQJipzAe2tynLF99bxiuuO0+D9&#10;eLIosvit98PDdxnSsIMpQoHRsIqS1Zg4U8o/9RZaNyYVXx1c4kZPJ97USyxxr35koN65Su578L93&#10;1ljUClfyWYVcHMAo7xUsXzlxfgzbD27Egv1B36Gp0IrQBO+lY1CgxuC4Dvbo2RF7dt8FLDFaao/C&#10;qHJXoYS8SmT7LVuo8NaV1flqwE4+JP+1eHeAqryTHT0Z6YNMx15ABwt4o7nqMd2SIgMtUcWUgUTH&#10;cCQ6i7ZQuzTEPpUQZY1SVqFn9Z7ar85VF9NvwZ+KSIWHWtFcrwmKSLGC7XMKw/V7ypM/U98pWE25&#10;i8BDrQRwYRArfGwkdHwQPVzIgoaq+VIJ0X4101+uhAUVDeEklkYxbcrCK6bQT168btfGsSMVimq2&#10;rFmCqY5ez0z5Bg3hxHv1qTzxFIH8FkT1BwJhgVqRSZ6ym8UuVCgir+rIgldHi+y5XiBE6QB5wFIO&#10;Pm58lMMI8Q1BTo6XwCdPZJSp6rqCJjFLMGiKeWEhv15YzWHlHCjDZgoa5y544oKPLuFw5FZj2jSu&#10;vlIoGsZ1RogQRQSrAiflmHgKZelOCJtKhZPmrSolGZ1k0mYMDm1+qrDkE+2VSXjHd21daZ9/YLv9&#10;yQv77KuvHLZffHSX7xspOW7fijYFrn+YARjGXqM/98gu+ydffQ2G8aj9zU/cprmKeKb0FzRxiB3v&#10;MZZWqHnJWYKdcEdv5AKwKL+sfAgQslzbURf4dN4JnOl6Khj9mG88EpM5P5v7nFbODiqlESwcXmmQ&#10;40gaCmnV+ejAnnvvwgb/6xSNunJ/LnneZSD6yEF00KExlg0e3dz688Hs4lopvuBf57PKAOrF6RxG&#10;qiggwVBwW/hJIxINBXBxnfizyFlRa1W55ZjD0ayefCsLar+FUfjSdTrP42MT9tpJbNKwco09duva&#10;4rDkWNRAIVayoeAmguDIfefN4zY6OWdf2rPBTyEZR1ZCn0Yyw4hJi9HhIi7bnGpQMyOjwIzjLPhS&#10;bYra+hOmtA2Ngr98jDGIxHuohuSGgC85SA6MirkCaUFbyQ9hrahIg5g1GhqXcKJsS3SfmCgGh7qp&#10;DqEuTdH1wI7o42AICJI5d+kp7zfwBBMVlHMTonQWCGvlipDdEAk3zN5OM8eeOOR1d+xqhO3G3MEX&#10;XL5GGc/PQb9rHfOcTkdBhuz05VEUa835wQnb1sMY9iJIojGEk59ZnUmu/8FHRtEFR0hwq0sj5r9Y&#10;VqNkafoaHVj0d4lAnoqhNSmc02JEhp3GC7iiRQht8S0kIB7upoYpRKsXhC8iy6FTSBzCFLJbGEBG&#10;NhgqxF7oivep1AAni25mEE2RsIwgffyNtOVmtZ1QqP8Ysr4XzROKxjc+iIx+Cm+6uf6qBDOjZL/S&#10;tJHbDxWD6KQhY1eF5d8c5wVZGmkwVoUJ26iBOZ66e6Mdv3jNvvPGcdu2aqk9iJMxqCiki+OlFLhg&#10;rsT5BNKld25bZU/escmefueY3Yf1Yvdx7SL2L9VC4EKdAEZtViWgy2kIyo77oUQycimWmPIewiX0&#10;ptIJjCSd/LlM4TiSShNZtdd5CgYHG88XutR57/ksmJF+8mxrGN2ZcDhSkgW0HCultzRo3XdeSvmq&#10;KEsxjufiHU+zC8Abufg2ZFEEDkK5Rk3cih+CLYIOpRW94U5Lyng2kwY8ZTsREyML9naD7Aop+S2U&#10;YyioNHLV+69jT7nOVzPcL6IQwTYb74Mn/+bR83Z8ZAbVoutQ3LUYzms46wFLwuCocQdZlONPnqby&#10;5oFT9vKhS7Zn6xq7ewuOU6PT5U9QWfoXgRToKxkAv1H1itpu3Ry9lKtTK/JTCInbdErCzDuPEHfJ&#10;D+pf9KgGLWlaWoqIynmHbfr7THEK/4rqigZUm9QRcDSVRYmpBsLbRGLsmDuTpbJ1d8ThYXtVeSSH&#10;BZqEvYb1Wk2UC/ZTF9ZND4RjPkujs4BHovG7w0OcBH4TDzl477RlNo3ZoUvECQu6EZcdPAQ7bH8K&#10;keE0Dhbg8psxGLnL2BRkGjAsxf7JG1YN+NQS52a5VM2DOgxuDO8wlToKfbcWbfWUSC47d8bJuSBW&#10;ggqIajSCeQqVqtEh8miZaWymMRfAuUZGZowKOdeVJ3IImKI3iqwnkKrb6URO9TADFlcWwfIFR/jS&#10;MYme98NbahQJhZCVqazMZNrFVTBhSt3QEEpKvmWXhL0qJ2EtlJoTu6j0xGwQXMT0XUr8TkYfyXmd&#10;xHbIw2PMdxqeKG1Xtg7TS48JeGZE/POP7HBP6Q9+sM/XLq5v1i+2ejbZTW2JY2dQFPPpB7fZ/tOX&#10;7CsvHLBt2PmGHrhvW1YQJpg15jTpwRclEiqqpNLNDb5jXvzlDkSrMWokIfQnHfCj5NErflLZ1Sgn&#10;4xA+M4+wYX07HIqC2GSU+Ouv5rWYCUp2CIlNvZJ0EEYIc+WJUEEhU2ySKZXQlN7FhzBfGMnSXnk7&#10;+UTvyGNPHAqnokkysnCnOZygb3O/Pp+74IgchSzxTq6b9bad/cNYuOzIKSg4oKPs+qTCUJ2xqozp&#10;YPEIsZcPnrORy1fsrofWwUhyqqMqxBITpNckj8rhY9HG+PikffPNk1geutC3hKNIsxCwOrwV3up5&#10;dYhkg1k5OY6lYMcsOhRSs1317+0RtwFbOY8x2TVeIcDFaSq9CTdlfpH9JRmT76gvCz2TdnhQVSqu&#10;2B0ZhR6N05yM03rNeVhBp0rr4KzMJGWVf5php3HpM7r1IRBCBBoskqNcx4qEzMYpi5j0rA6Z+Cj4&#10;XsMpKqk4/k6KioP6hKbjaOSuYwH+yNiYHzgwidCUpGffS5Dt4tmlfI5Vptr+Uo4Fw72FiwbszLUr&#10;fmoPK9358W3exLaBIeeClIZgeuE7PoTcp0uDI/J6UDOYg1vncHuhWeT0aZ39IOPoSSf90vuJkvpc&#10;muHIScVAz16//EMB493i/RCoWA8zT3dVBRrECp5JVUFkc+0j59g45cCz8RZynrHwVseA1b17gvNV&#10;XkJXPXOhMTzTMpZ4rjCPnkkO0F2NO6nRYDXG39CATNe8U0iTqCI1nQe58wsOzhwasF9+Yrf9YyzK&#10;//3n9tnf/dSdThPfgkmaLfqNeTGnjm6xQGkZjtv5hcd22+89856np74AI5vQFD0+j0MCacUrrEzd&#10;yUlJYxmnuFe8xRR4oSd1hNik4uDDYPCWOK4Yn35G1Ba4aw1Zcl3BZSrFVkodTw2PtnwXtBWvBN8W&#10;vKrVrAosBPW21YjoKepX21aNergNuh9AlncandKJXbkbwWmlj+qntC3pe3rxVYdWA1Fk0WHk4BSN&#10;JN+yow4jGDyYOE0UeTQTtCEszNwcQrX028cv2671y+yW9bUorI42RxHqN5BMzUVl9vK+U3bwzJg9&#10;cddm27mWUSYPD24IRDwkYQJfMeJAe22/ShoejCVQwlm+2NluEkzNi35ppxRpVwqItnIIOrHf6hY+&#10;VF0J9Zyyqes899Tn+VxfU06a59l2MnQgXT9z3rvqnpZfc32i2JLEFC9XLRx6LgIEWQ25wSX1Smc8&#10;1kgyQAr2EG9/wEFO3tEYinQlutzB4j3irApT8hGDrhmkRk+cv4KIcAK1Ij1eSDO4qNu/cxqPG2nM&#10;0khyvtXnUbP6FTcB3wyyZuuWLrY1OIzAi/7wgWnkl5q2keRI8KvnWuNEiW6tmxLy06hqAFk1yqp7&#10;IoiFHwwYueu9KzMfZD5HDDR5b1f4oRwclFCMqQSD0WXttdEtJ401RxfsXKXXx9EKcyJe9JnDBCzX&#10;XC5wIepDKpVtaa5UhPA2E96U7oZ/W6XT2IUUH2dmf0aoCWXi0lOYwMfiVEhoa4etqCTsycgp9FJQ&#10;naNMmSBMrDq9ZcNSRIy77Pe+v9e++vIR+8XHdtmE1tcEY5c3yjDkjOPQXBjWW3FK+RO3rbeXcE7g&#10;brTF6tRUPA4jns0tnXLwGmJxtxx7VRFQcGsapSh7VyBxvcGI9mcMCodQihxqMUVKdEtCBfHCMHRi&#10;PAkSrbQIE1Ki7ZRQPTe/ZL01Uvqez4seZYvEAiO/RPvJA6HQKtc3XnGjmDTs6jjlDjKeSXZ9V1PE&#10;iaJUIAVTQawEoY4u+Cd4PqAXjRpMhAUJftNT3kaJnlrHLnlSHF7bCUUXeKbD+RrWFdKJfuyWdb5R&#10;PFP3H/h4A+SNeocVq1ewcfh33jlrS5cN21O3r/MsRpG17DUMUZGTAK3OrVf5qQaGkXzsk0K8lOgx&#10;oiV56YGDjM7CIW51RvGShC3JFf+jgZTbeV1Phd6iIye9wVEx4vJ5MD91RZ+wi/7X/dy45vwX2lQP&#10;Nc508FIZdR2+ZDayGIVyIauidmosta/COmWmPCMIxa9psURy4RoNucAR8PulxIX0b9VG9ZmkumIo&#10;HNSNyPDa9VHPXC3BaTOZ4PSgh1Ghpl6161VYLbFp4IFTfXMTIerKavCj8xQ7PI0UE+VoZWy01EKl&#10;xmkoAmznb36vfkNShS1xy5w5bNfF6p4pbO7Mrbk8akwZjOHn9KubxOpeiDmCfzry88EN9Eb0ETck&#10;cnNcHLH0QKyG5O/0QOI1zn92xzwjk8MsyNG8Xx1jy6TiRBmMVMrNjISKUUKh+6OFwmiRhzjHeKq5&#10;Vuv523+5EVC0LDDrLhHZf1i0oiRC3znOcLh9Bx6ZQ//IHRvsxMWr9m0cSrx19bA9eAvmF7H8ojBb&#10;88XJ0ypvfOfeqO/hMOJn3jiK6r4l7pU5qVqBqsBV/AWWGl2mYWHBWCqawlk5CH9HCtDnVhzh6QFH&#10;dbQrCwHtr5EX/XfDE+V7Xhd/h2wW3qhEYp8hoGIo/QsidkaebErPqttERgIV7zpEiSSNo1VcJZIo&#10;fJmcJ9lMYNM5E23EI6luHMTkIJfJZHw+Gg6FvxPLnwNxCXHKSBLT8aNGW38rOKTBbyDeDXQsvcho&#10;KWEofN3wSrbAdc4nL46Ar87ZLUjN37Z5me/Zm3FUHWGjzArCtUH8Mwcv2plRsy88sB5ef587cUnf&#10;wg0lMhNOmeJ0uJx+iWMNLy8JFw3X8qvzWNnbqtCmtBHcmLu7NNwZXNKOiHo12o/LZSlFtCO2km5z&#10;HQs/1pc0FBJIbziufRhqSGP7ECeNT4Yc+ZPeNF8M/uTX8KiSJzLqzdbVtjCbtGVwwtXrLLps+TBR&#10;LEcg5De4SHhucFwcjES7xlTkGj+5aoAVxePjE9Bdk14s49t7xLnTHoG7iNUF/+yOBT6zqHXRTmZh&#10;sfDd3SdHVS0A6mEkR2/L8e4yEGvEmn0944YXDcQKQs0PhkYMs+nvFmq5MOsNGgmfa/QiHHznfKNH&#10;ZBJeN1LJxfFeZchGQTmOZFSk1mJeiwbIvcMcRHjMoSikQOLdoAOfpT114fNmtGyD6ULmnbnsUgY5&#10;GCsinqBn6o4Yrry5hErskoXvTUFIYSY9O/+Txp93OqLl5mlnuCIQLqF6OhWtOlc5U8i790ZGAE2/&#10;gB1uTqEs+Q++/56tx/ly63k6PCpS25WUH4SNjHjDli9ZZE/es83+8Om3cSDxCfvE/ds8Pet845wY&#10;+PeB5fiSJ4qL0RjxgNGfD40TUqCna3TojOy74ITHnq96t43JyTF79JW8I3DS2UiNWSqNJbGCgfQO&#10;wWoNS3CKHklwU55dkaT0Vtp10rchBmWiqBM9lWmwoiICnQWTKR/BQ2otxpc6Kh4uSqyQo4k62Fca&#10;WjFGBiwF3BaGdqgJS6VkwB60zmxIqyw7mDD4NrvnT6a43th/xkYxp/Ox+9faEHYC4naD4p7gocYp&#10;yct8twfyehbbdX37rRO2EWtxH9qx3Kur89MBZ8MPJULzwVXXVHQgSiovprta25LSLc5g8E27WYKa&#10;daaIBzkSLZfQmCqvJAY1rqjlyGE3HMw71NUyiNFG0YPsiz/4D1GHy0bytJggpbGU2pTwtB0zjY7w&#10;7s+nOnU2UQvprFTdAt0QJ4+wfuHD9FpNqXvI47BqCAlVQ+tsoSg56Q8PXDH+yzhL9fr4uB80zblk&#10;1JeiUAa49c29NW6fN4zhhxbx8fjadzTHeV3hQcKcxUuZAe25gkNblyxeZH041NW9Jxis1E+q8kqy&#10;VWKW2cFQEPzdBPPefVEwKQgsQ4EV6gPwPO6Ie3UyItNuOCni1eMJKxmdy4AmM+cGAI2a9XupWBLo&#10;TLclsmpJcQCl1p3QMmHcEYNn36HABN4qvVivdnUE5/gV5VYjKwbPUdSWdaVGfzV2dHrHiZaa58hI&#10;SE/zdjFq2YI37FJQoqsONk0ujiinRHnOKOI/elXc6++v4IzCf/Lnr8Awvm9/59N3Y8yarNaTfDg0&#10;cjG0wg5PGNiDCtQDJ9baizheaseG5bYVa33oSPgYhGjhKqKMuBCwV+EM1Dd/Ar8Jf7BeOrDKx8Rg&#10;kmrFy5fjUkQsXupUioG/wGN1LOKthLdojarOC3dG940JDvsaPOBthMfpDKI3S0tlMKJHKtxEu/Nw&#10;8mQhh9I6s6GsUtkVfRJd5Nq4cqJJDDAXR3fIRPJS4dzWMMhJrchshuFcIL5Ozu6UpJSFxnEr49G9&#10;NIjskU7ohSuj9g52sFmL1OftOLqMu4xIXRGXqbSC9smhPmbh5btvHbfr2Fv2Fx7biDQaDCpPhil0&#10;Es0V8VYOkaSHSxEOUBlvUf7iixqNV8bwOz7wHH0o+eijilLhSDyZWrPVEByfC7RY29FedUYKB6Mb&#10;Rjp0IOKhMC6pZ3kjC98iqAkZKQbOwc0xB50EUjV+LrbCl4+26Jyq4/Q86cuaBOpxbN4CY0hdnsSt&#10;PpcGJdUUzkTos1QxBUONmBSgYgzU66xEvjaBIhpOl/X2W6+jTsWb5IMmHPNqlzS4ZCEW1GQFOAeb&#10;xU45zcdhZht8tYdl+2exHxwXNy5GJQ7XcXibXsWZjKT0qdggFVOq5CRdKKbcvDu4rEQ8MWgv0WF6&#10;Es1MczccYKcHSJUXnzRPIgQDzWPUVB61xDiUiVNDbRcmDw9ehGFUA2KKB0t0RZQW9qYHAsM9A2CY&#10;cuQxRVpwzga0f6p4Kbw6hzvGzrLuElGmKg38JPVzjIVBE6+OcIFdlFZAFe/4EOJ2aS7GKtylsItG&#10;rcLK75wH3LJ22L4Ew/hvvvGW/fnLB+3nMb/o5VrxKd5yO5ZgQj7y1H3bsUj6qj2Nopu1Tw66clNB&#10;QUKXY2iGIvNRbzRfKwcV/RC8542W90TlynfufZfwJCMep2xnX4UXC3L9fqVlqo4AyhVD8Hr2WAya&#10;MFntW6NiO6KRAqq+ZCTZ4NijNL+b/22cwkqNOE8xxh08UqsDpchcofrQ9aVjvW0auaBnSpdjtmES&#10;hyJRR5BJc8dmODyOk0g9xb1GMRS8l4yNj0Fwl6Uy9YpXRu+FQbxwddx++qEtKJvvxZqy3NKt4q8B&#10;qaT7uATj/ePnbO+R8/Y49jfds3l5SbvONyuaIxRftE5qS8i6PKPDvdIjQQuNq14o3FjkP+QucVMs&#10;XSicKmIVMynibdTUZOG8SxgfHXMkQxAcGIA0E09OM0KZzkvBfjMGPZOjSqdJ+jd1WrBs6MWysJ+X&#10;PRqV7mb8tNALWlRcU8WzA2OVLyJ6FjsmnJkzKQxVcE7ZZkTIdYYTdJaQXRzo6dXowngnhymrJwoL&#10;Dunl1BbZZ1K35pFE4dZd7xnG+g1OcDMEnuTecEjO9vX1e2rCTUUQshis9MLd8idyJfRO17KxuMAV&#10;rYWkJBb/cvKzG4zNtBw3m6ZiZTgsIa0eM38pSKiIznmdFNqamoh+vM9Yh+IVWlVxcfBtFOZohKEs&#10;6ayIjjh+4oVbRHErIIctWZm8n+NqtYpvpc7n6n8LAmNcqX6Tg0pA5bjWm0XBlYi7kq0ERyGoyUHZ&#10;fE39tQY0aaWXyGT3o6Dh5IXr9tqRi7b72GW7c8syeNkYVE5X/BAjQE9+JXa2eRK73Xz/vYv23slr&#10;WBM27HPGhE0J82SyKr6d+oAGrGrj5K0cUuezgQ/iJ+ZjHXcN6/nvyh5qJtqvMUGjCJK/mo6k4NRu&#10;gSyUXZvmqdFnx4ONkcwxq8Usz9cWdfFJI1VEsQqZg10idBk8wZQyJPjydxHB4sBWvLbdSf4Ek/4k&#10;l7J9efHqImBpmnHMpcMzT6GGGqpDc5lv6O/fVe2t9klPZom67fLVUXtt/2lbgSKJO7evcR2Ua3iT&#10;NAFxpQnllycdYLeSF/aeQrq11x5BARgPaA72LRmLdNQIchrGolmCHdrzHEocHAo1oC04qfPfuqP/&#10;avqg5Hgqm3Xg0lVjGDtlUoSy3MJMf3O0YTLwzAT0o6cGi72SnHnQEnyQyyZomNw2BTE9caP/CD7+&#10;vwkc1EZGj84SyowlNRkRJt9URtOyC7zb28tMmoBJ1nGYeMkbSYyK5yr/NTJdMJeI43p3fZ9CP+Nl&#10;eQWPX6MOCOCK/KfNSHwIeuc5adMYO/EwjzdTowfQqfJ8TpHN9bqV6oGBmvbtcHpQltnf2+sGwZ8I&#10;OhaaF8FOIBKZIU0xsKJbHSs1GkyuWIgClzlMgOYuM1r0Tw7IxdXJPerZGYLj81/U4LExOIU8uk7j&#10;qxZSukPwfbTVkxICcwz0NtITU7XsAkwccy0jjfZCRoyBi9KuLwsJWBtFrFbFDGnEo8ShQJXRXfKg&#10;GCc+IR9NIKT3CjMEHpyRkyHal8WUwpJaLdEkxkjj9qn7t/r6nOewefIKbMS9DvMyvmC6bLxQoBGj&#10;BUzcLWfPlpU207fUxnoW2/Hzl20zFlszPRsbgGaPqYZDeESLcjpBDtW7STrpYvlVGI4MWOKUwGHz&#10;TpEpPeeo99vFfKjhZKeGNYqTVQiRD8UrRZkF4yV0iR5pXXFVKBIBkClzdSa+rRkG541QVs712Xzh&#10;T7VXnaSKmCpXlb98pA5TjewSDgeH+CtZQMl9qej1X6FpCx6SDgUwx211NMQQSQVX5Rq2lGAjS5nF&#10;EGw6DeMdRHmnLo7CwdoJR4sFMjohJQ22j6Q2HhDesH7I4uv7z9qxc9fs0T3bbeMKnhvKw7BVOJGO&#10;ZSNNhR8FXQIZOjZ+pmGrkXvVDGLKTnmQcKcTm/olhbHRKcF4XWXOsMFnMnvQTanJ4Fr8RS2bO+2V&#10;NZPXcj1plQFW+JcgJC6rSFL9+cgbZ5SOgsyZHJZcJuKcwbHGFE/qkWyHFfrsK6o4BJoPm7hQxitx&#10;XzFWHSXHb9gPz9YAaHdgJCa+GmACAUluKek7zrj8NM70vHFojWxp1kHCAXUxupSLMKCOwtDl3iV1&#10;RgLAxfs8WkniICXOiUhEi1exwp/9Lh5cZEOD2glAykbGp+iDILh4piK4fSDXWUsM68d5DO0x/O6D&#10;8WERDtMnXFhf5kYEsgTRPffaRklncPAhhGIncURuceSxIR7IvLE7HL5LfCxFCZwUQgVTksFoHzjP&#10;6Gdt4UXPnYfg1ZSL9xaAxf1QlK4CNVBR3D/NKIKQ7XV/ygVVm/W6s8dL8ZrjkLgIZu8Q1Xi5ioq8&#10;TsdLahgyHsZDT++n79tiX3v5uH0T27j93OM7/VBhGjdF02U6WjBziCEs3aDRrau77djMoB07cwVr&#10;GSewPgjnBYZwi4mDy118gukL+QVhNXP6XiLIQFdJE3r3wrF4oY1GeTG5RIVdRVUHX2Rv2X06FxLQ&#10;hn7+vfNpKQnxPr9LRQWPNc6f4OLD6XaJYLnbSUuTSm8hRhgS3fWHm0MH2tl1wycd9HaEdMbDnfDT&#10;0YuGvQ0pl3adXPaYxlejFCwFE8m+85xhMWa+ofE67I6z5LzaluMPQjWKYom9J1HPsGqV3blzrS+t&#10;CowWXvEuU6wCNdQV1E0vv3/aVi4ZsntRQe1r0AK52UalUNA3aOyUaZR2DjKNaQ7duSyFruWPwi8N&#10;sZKFAmFlB6PgbrGI6NSOJ1VC6kHZIBIbJSH4wx1qMN2Px9KdDv0Xclice4V4ko/kBceb/udSiN8e&#10;ajgzyFCS61wDimwBW3WMWlKnCUlHR65daFqHRyxDUyT9yE+dhy0c6rDqheJAAmZt8cJNX7CEDP9o&#10;GHPhfxqcPMhBrNhS2geGqbhAX9513AXqC2Hre23QWXgez/eM+uGdIeahvOdQz78AmzUTyBFskzMG&#10;D24p5hu5iaoHESEsrrQTGTHYPMnAWcaZpd3FIYWsFdtK8l40jm3FkRrR3qSMztJXa1HsRHYw5hlo&#10;V5QCiLD7IlL8T8U8KdX8yjoktIGkONfUeGUmjU8p+lErkgUNtscX+gNWRFLcuLgabe/OceiwNqEc&#10;hS/rQ5wJilEXCZw/i7BIERXeypFnLiJvpAB6e0WHNu81jcxnEomNcIT/MwJes2yxPbp7tX3lB/vt&#10;6deP2WexML8tKUiXJExS8DMrvBbY4ELsJTh52a4OLrcDZ8/YPVv7yjIedVEkrQP9Ba/BI8niJdIp&#10;yI82CJEvCBamy3ZS7i1EZBAKKA1WNROB1TaEKR5/GtYq1NJLis4cSYVmAqrGDilGoQCCGOU9QSo+&#10;9WaKVemgsp5ybojr6iPhSPWS7ycn59pEbQPourDR5+KloihDXlvBFyo1PilTjbmOW00EOhyiooTz&#10;esAevYVMZiRZsVVR75oaWSnMB54+b4cvjNnDt21CFXSfr2UOtoxAv7aaLfIK9cLzqFa9NDJhn350&#10;qy0bVHFNwzLCZiKqGAU90Ylr4Tzx5xCLOYte8ze8MU3D6G6VU3GfPinBiUPRPsxSAFSdsGjEUSIC&#10;yUgUd660mbWS3ofTOaQ4lK9HfB1ApDlMOAsyyruKb4pA6bvDUoMQEZS4yMZDUovT51q03Bd2C8dW&#10;3gkcFNynbAW+2TopOIFBcIEYjR8PhU5dlVsrpl5qMVRkpVm+1uEYxNDdUXNZqRAyg6Z0s/CUaqGn&#10;r39AwMd//AGXMKYmU3nfsDGkJ2YmDGcSLgRjhnLw1I48jYya6kCSTSQIHUJbPB8xU6En+uNcXjf+&#10;cZeZGR715DvN6IkyADbpEhwK0u8nq6hSy6uSeMI7EeFbDzUi7YUzoSJc2XL+lFVbESExnHc85Ghk&#10;8AjbDAwJy775XQRpuLEo2xC2YJD01FP1VVZt3w/JEm8GgeJ+jF89pcJrcVfH7/hMJRgCXhe9p6JJ&#10;8eXC/hnbvXmFncExU99+9RCqAAftoVvXIx2FVFZQJ7HQOihSHF22dmDGLl2/bmfGe+w0UmHrVw35&#10;At7yCQHwd1tt4h5tjqF53oeInsORKcstgsYutv6uxqxouVXXtdUYvvopyiQEgG/XR0v0EHqggJoU&#10;Cud2Hr3lzVdjE9LlcFUUCI1VMSX9UzxrPK6XGrBEgwC03WLN1276mCh/iVgRvozBDV0LX+WZLM4R&#10;/7pAiXGCdyq5sv1URXVgcnobvg04s/9Ae4yHxkW6hZvNv4It3a6OTdqtawbLHH/KUnEeC1jqsxfy&#10;fO7KdXsFqdOt61fY7VtXxOHBgiHp7F9SBoKdMiWb8La8nY5VB+4db+KbDrnrkPl593xLP0Z1qgYV&#10;HgqGnHc62KIwoOgoPhHsdevbqmvLzWAJrd9No5u8IzwXUQunOmW4YCqeEXuJA1uTlrypMKPu+ipv&#10;IYIGNzJV/yXPV8MvmNqlKNVZES+QDyfR/3TIPFc5pjHKjI+MVpV3dRkj9B90qBpjzqdj3P5WvC8x&#10;Cccnxp/L3IV/jaVnAOeWJTr1QB20dx27x3vXMDYTPpmLTbV54kRgwd+ggWwEVLdUtVG96yRJ7B4Q&#10;+Mwzynzo3g6NL/cmVdqSc3vOPyEkOYWqSig+j34AvBPPJU+bvjJFqnlHQUDkqFw32Vxs4O354PWs&#10;KJkEbVkZZeSoRi2qwOGR9PnjIfTZqsjoF8s7rSdVaFs0URA+GCC9wmp4kz6dvlKq0Sp+ErLQcUHq&#10;ZqGwDzDEE51wDvmROzbaiXMj9s1XDtpqrF3k4n43jKnM00vG8yrmofBhiy04SWv7r9u3Dhy1kUsD&#10;9ksrBtWfo0UMLtwLnuKW83cLR4KULyd4/oyYXqMPF7KKvegVvzuFP261/XsbEfU4bClUpGH2Ud8T&#10;OEHjgKDiu9JV4CnF3ujBeKNSJm2PxlI4RN/TgCU/5bj8damnoj71tf6OvlNx1pHQiQjsOGzSBpmm&#10;Lt57GXLlf5G8YrQY/4bfE7JGvxd9UuiSDhD65zTM8bNXbO+pcbt7x3rbsXbIl/Rk8Zu6DEMe/TiN&#10;KM8A6OX3z2Ado9lDt2/yuUUu9A9GchwVTye+unkqvJSyGION6yUfFU5E5bVESgFkHtWy7iGw7QeX&#10;J2HCUXN0B8eVWxWOvOQaqugeRWDlk1kGd+65ZEXTQVpCR3wpyhbiq8ES+wSPufyxDxnN/BT9lCLW&#10;eorBXZXL2XzlWY5V3OGKMJqkbmjmptNSIspIO6B3NGU5BY08y83MXfUSz4VZXY8nhhMf/m7Dl+qW&#10;s4faCETgsZ2QlCBdiFDBaoLrjzvqK1JQBJaTmI7BRClBjt/sUC/w7ES+S4Mzgb84JtZoI5SyUiq1&#10;tddOotZ7rGjLQDTomGjSAy4SbN+PdnIzJpqzo/AA3OKnYo9vGVGKUoFcjokGs9BMyrkYmiCEbmuc&#10;ejX9GyE4YSgMEgzYvObvuyg0PJLdJg4zsuGzXh0VREsFp54UBbTvli29HNOpqgLmZIROYALmBniO&#10;raA6W6fS0Mbhn354l/2Hb7xuX39xv/36J++yRX2oDvYUdHaYeKyxEdecbsJaxXu2LLE/fuGQ3bpx&#10;iT2wczW26QL/sFpUA6ppucR8RDoVnlZRJ8ETWNGy0rCBxwUysFYYu4iqTMm8sC2h59921rQuc0gu&#10;TuArJRzV5Dcq0HK7gTPUBG+q24zU4pn07qKd9F71aLaplsubzuuVXqFuHSHJaylnZdsyNhjGvOAu&#10;kC16iscKyxC5rouDf3MALitBQ39NGaT6YnwNkilq9w5EFyoqH4xGw5TVq4cv2kz3gD1+2zpsHIKi&#10;r0wBRRvClObTQ/LhjHa50/b2ofN229a1th3Liqa5cXFMDIkuBE1OifqsNlLjSuqFk01KFiUcLxTn&#10;q9iYzgGm4xQdVklIJAlhdZMJ9ts+FQitOtgBDbe99OWapKAZ36nDgIMbC1D46DZHyyB48ALLHRg4&#10;YJv+UH3SXcx+JS4439bRZtDIq+6dFxqA0oA62ZLbch6ykt6tRdC75c5Cb6d/8IKLcKGST5NNYyzU&#10;zdz1jE5zzvH5G0nAeN1xSv4JrzItVXEfbgAv3NzDnw85Ssc7eSTeJbul3Fe9XBkdx9CnSauK1klU&#10;dvAndFoQKs8/qhnxewYXubxtoZ+GEVWgKULpvcTvihAhtXjlReNKCfh/PxBFNAa3w8jW2a8s421x&#10;KcPJK6lUxQBSlOmNSrGwijURnUokRTL1XHJsetdMu1YDqL5K9ZvzQ2prMV0qtvR8KyOlRAduXKiT&#10;gVIpydOTzNZ74u3KnAljncOqxP4A43q36okp4RXYFPfTD91iX8aONX/x0kH7LHa/YRVy2QtWWif6&#10;D7jwk976J7AR815s6PyfXzxiO9ct9Z1JOE3kLFMQSFgEhZi+thW8XA1fKFN/IrxTjU3v1I0a/IHa&#10;kty+OjL3WlsRSAUkvhCNgj9anDcoFsgNrGGM/G2/KRkqXnd5NNw2ZxI9odHrv5V7817cjTGIe0h3&#10;R6IMmV9KeOMJXeyMUAveE9cJQgIXfJ9wF9p6pzHe/M42UsNV/OcuJ/mUMCujmmOshpeOFxbrXx2z&#10;Fw9csG0rl9vO1Ty0um7ppm7leBXnkooQv6cxlfKN1474vNODMKZdoKufNJ84iu/VmWQjbgYUbRRj&#10;mYuvRLtCGr7vL1cnZr6spREQ3yQfxVhJ4nBqFJAFn/NJNsv+QxTlVCWKG81YZEuw8xFGU9TFfHd6&#10;chbTShM2hykPRtdMQ/dj05WBfiyrw042xEeP87to5XNoH0JLLziMw7Edlnwq2Ez0zDEqOEqNVDki&#10;nU2FD9lP6wK67BcnQviYQQp8tgsH++LvQkSIfrXz5Phg1ODBEOcM0VJjed0n/gcUFKn9gIPSOiP4&#10;7lNewDELOrVpueQyd2ZLAcIObxq8w1YUjlCQ4pNKnKWxgpgQxVv4O41rNImM6VQGG9RPIWkYN4aK&#10;/iPcdbgceyJffnWQBFcSRejn5ejD7+Qed5UBquIRrC5g0Z7ez2cTIeor2Vg9NuN0KW2VYjztSG9h&#10;xHVwcV5t1+J1pOZSRwaGix6P0Xa4ukV4BLdwkWMOkxaX5bQIjwIrvsefisvEaPMMvtK47dq43D5y&#10;1xZ79t1zmPe5aI/eutozA0UsXPiLynOYyGB9SHf/wmM77X/5k9fsG68fty89tl3HS4WiEUw13imK&#10;0xWgRLCquKRAfb48kZGWe5eJsPb9vNj+bU5TCd3uvfERx13l9A7cJQ+6YGZ/YUyygZYtCp5jUGVM&#10;okvrjCeHtTziKPI25o2hoal/LWgNoW4Um+MxCRTGMyQs+EIIyOX9uTtUi0n/nhqcX0v0yDFoLB9Q&#10;QHqpNJNGI6WBd1i5/eqB83ZpbNZ+EXzFZWDYpESS5ziW85iteC/40Yd1CS8eOGMvHbwAR223bVg+&#10;oOUb+F+baCw8WkAJAxs0KvIdAuekD1RLdioW0jtLMerM3KQibuiUTm8rayU6DWZLfZFjDWNQoxXB&#10;UCJEyguCFm57d2lkzJdR+dmELkeQub6F1otqcWpfuKBexV+4hwA3sKRpS75zNglalhgtZCtZO2Wy&#10;rh4I4WlYVPSVfKm7hEF8KN5JIed4aAzJQmRiRbZuzePtArJ3RUTVHXpoQjlGnoV77vqkT+ENYxej&#10;fFt7xEom1I4yQcLLDTt1+rqdvTphG1cuQYGW1q+4Jcm+4i0sC/ScZAAVA0pPOzihNXK8pYSqPFiZ&#10;VEFBxLOHbvzDrF5ou2ScJoZqog3xYgBHSJJhW9lOlBUFGn055Nl+cH7D2dJpmvDuNHmpRMUi7jAQ&#10;/9wDNiIZ3QnUhgPgHp9zLb8kztB4pNAz+vE7Sd2iCQVBEYCgZBKvQpjYqEa+lE0nlzu6aegzQiyS&#10;HVKeJdzzjUUAFXTV2Fv3B54cPPcHd6+36a4+uzyzCLuGXNEmzV4dKBegki/5BZPlUFLb1gzb5+7f&#10;Yl959ZjduXWl3bphSWzOTOTyvVA8BTcirPhLCkxoiX4aWjgpffw1fZcYDUbLxubxc6O41Ei0zr+t&#10;sex0MHJLQIcnm/D+g+7FSJZwuBi0ElUlbn28SmhlC4Xe5UJWL1d+Lr6Y0KLxhfLOBdrZZgzN73NO&#10;x9VB4LkqrIr4onxK1JnNB63ipzawT0WXuM/fVfnUyF009ie8E1GJ0zQ8zeL7WBO7Hen22zYM+9rk&#10;NEbO9RElttEGd3IZw1mJ33n7BIq4ltpTe8CbXEYWIpgFKdlT8k6lmTNeQZ8wGIokaJsp1CKfKU4R&#10;zlXHJcwE79dpbuejZJK2GKrQypWv8FrDxcq9Le28KNBxwauIhhkVwtHuXTxo/ZjiID5YFtiDf93c&#10;oQuOJ5N9MQlWOKVRgzo5I1f7J12dTyo3pmw3vlDwujistQHJV5LIgiw9X/QJf8bdwgywDdOTipor&#10;Nxed2EGk7N11HSuWOQYYtsvjdvzyNM7N7EG2AbuvAT8ZtKWIpAvPNe+0h5cujdvbJ6/YhYlZnAe7&#10;BLvi4EnoOUex63bCXfU90qeu5nBRaHUGCuvuJ9E48NrGq6gTnwCNDx6veyBwBFxWQYIhckRsq3tV&#10;mL0Nf4xeYRWuGimIYVNoHVRPczhlQ8SoQ/VE3qdwVMKJzbxnwleIEqaxaIQq1HPYuGAGMM+hupRr&#10;pnxv25JC5umRLC7iWLX5rHCR0p8jZMN1lqpNLzkeA9VJPHl8iUcJTW0hlK3jQgaw4+R6DT7wFAIX&#10;eHbIguHr7iLZkWisnvU9MRlNguG6MC+4zA5c6bN9J87a8KJrtn4FFudzj9NkCjFG8I76p5L7+F0b&#10;cC7eJfuT5w/ZP/iZu7ABhIqenB5BBzkXqUcCA/6IIOlwdKor79fr3EeNRaqLpH4qV7E14lHcmjog&#10;oAnYyUsJkBSzG2ivYGB/6filAkhcC59cgpTFK7lxQSe/t4QP2MIQJfqSB4TSjH2SWSR5/km+dXAr&#10;fKlvy2OlPD3VQydG1FTgOmjjhsjbTWcsJCi8/EruYFIRSnR0RdgBnnooREZUg9TVC0cu2Zkrk/bX&#10;799hi7B5pUeJrWyW7zkSrF+GMX327dN2+Nyo/ean7gIvdtsE0ohVVzXwhEwqAKr6oTjEKRNRlNHO&#10;Y9XAqs5tifVikPO4ymW1dSgdDBmBdLSLDgrkuN5rSOmqNvsI/BWdyGVjYaF6odywM7U/kdXOKkjE&#10;P18JkDKkjkQTGTPvr9GbGfWLB0KvJgO63oiX1XqRAwc7nnPOdMOmEefr4mcNUrKqQSUX+u0IJsq1&#10;EKcwu0HXRBKuQnR7oW8vXhu1d3Fe5syChbYdp6msRaSno6ro2KYuUF/cfYyH21/Cjklvn7hi55CZ&#10;2Iiq+E/uXGKLwXech42g2DtKOcwBcqZTYtAwJA9vTAFxBITFL7GeC7UQmOeoyUMQG6QnMAvAfHnE&#10;7LRKjEv4lBGHc29KgAOnVqpBKMht2ckRm7s7hhDL0lbKZWttRBc9iQ/TDKtXdjkzhTWZOEppDOd0&#10;MeTm6SFdvmk5NrzF2sQ5bCnF5vrwz419A77D6Tgpy7AbWMQsZfH8B6F00FOo5OcnNgO++FMLENh/&#10;4K5EVO0ARe06H5f44fUQdG8zODe43oUJuBiEJ7ahf9LO9fXZa4evYKH0gOOkikGRpMC0zrbsh+fw&#10;849ss//nf37DvottuH72gc02Dm8uyVejQWceB7IYpcqiEqoQcFdAAd/8OFpQdJYexaN6KSWzEWhh&#10;SRiuakq4KNfoSTmKi+aqkW6gOfvpwISjNlvpTO4V3g5PuTqC4g/pwDC+IY9pblI2OtWQxDbXqDUi&#10;XBiBxl3ynb1Vh84NsDsAejwluPXjcw4+jWg7dO+cCtfbTgrlE9VQsphiAnOC3Dlp4+ql2BZwma9L&#10;FIe3VGgdNMrfAjt/9bp9440T2AZurd2/HWd4ooCr8DTxmCIfY/BpGRdM0T5pI1YIk5+OT/QfohXv&#10;+MWQnQ9cqjeFsKKV5rFEYyxSv7XUlu5oDUoqk0JDRjmAk1k3PxrJUZ16GuOIavuMkryXcLaocytg&#10;gYHUH1QDAWxOJUkKquniHKYbbF5zVFbzp374vJy1uhFC5dTiY1Yu9JcyVV94KexBvllo5XpUc4Dj&#10;E1P2ztlrdvbajG1aOWTbVvTD6HE+VTPK4r2QU/ym88V3Xjl61g4iQlyLVOlT25faygEU9mAucRpr&#10;zR3+REJwYPIHQQbfNSAFIxWeChGFO+IAeEo0jY1XreojQ5g/ovgkSE4EMAq7weOJYBwX+MFXmpOs&#10;1X6BaY+GxCoFQbUT76CckpUKpHJR5ctGMen19r+OQV11h0Aj6gZcrHZljt56WCaOCVneQe5hFp7F&#10;Qghxn/cJ5PoCfjWTOteNXsBarifTRDSmid0YmzNWGITkdamvwGjgtWAiR5H9VGXSqpU21ZNKq+qI&#10;TjEMzhd+UjHGGLg4f8VipCiWd2F/1AX21pHL9sCuVV6Qk0okSdOACO9/znasX2qfumeT/eVrSKNi&#10;o+bNKwc9/erOlaOgoUcxyok8ablk2rTfpa9C5TSERaUVOqcqm+8riH9CMQY3VaZp2ikCU5tUEUWm&#10;Sudrw/mqXVKXAluZmQ03G144f5D4ja+baHBgBVMjvx6ZzlfFwlgYpnBg1Wa+n1wlDPgvGstQooIv&#10;xxSK0JVnMkXwTdUkQlvj5MaFhgbxPprtQ7HWW4cu2oFzY/YrH7kF80DaoKPg58MUFI0BNsx4Zu9p&#10;uza9wD77wBZfAuY6rUF/qTatCkgGLZi+5Y5Cf+qHwLvkP8cX3FCizA63pZLR21Zs067TK4QigIVM&#10;wQuF0eY549llHowcekFecl0f6OMIPpEQtXGpE0v08uuJUFeERU/VbSZT/tRGRsRCYdVPjpsMdiIy&#10;dBwmv3SwDQ1UDpJ4iYg1nK7W3dGd1GdJlRgPYMDSdK+wPXxmxPadu25LhhfZwztX2hD4gdXu2ueB&#10;cOc7OmSCu7O9hyzVWydHsLvWIvvoHdgYYhgxNnT4JBkHOr6se06ZSXlr5KqHqUDFihEH+iCIHSlf&#10;Osys9PHjS/zk2jqI9CyF+SZ2c8Jq/kH1RbyJmUhWMs5MwTgqcmiVqw9P0hoyKnZNFcZv7tm4MSWD&#10;6G1nsU4eCFmtRqoeNykM5JsJgNIYC7DuiRVyRLzSxXNc1O/pQnit7N8r5Wbcg60LUoPrSrtV6Yd0&#10;FnFIOMVU8WkjkeSUEIjEa+orYURKIdMX2ZSUQ6v8orFkHMdW0T6iif7foWMdt/EYy8C3Y3H1eUxO&#10;v4HUF08x2LmepfCR0vP3m8GEVExjZ+afumejvXnkgv3R8wftv/r0nV4JlzNqGkd2EgMq+ODvJoJp&#10;Mgn5SKViXAleqMMjTwgfFbrAnj/bMJ//dC2qfpudMarotgTT60mLCvY8UQ9cSLaSLvOiBSeR5ENK&#10;WjTr7E3Kt6qQ2k97VSmylFv1me2Uau7kEe/KhbQkDSRXTazoAwynLVm1RNJtYUVkbIqSrqztzi3a&#10;mYXcPPPOKVu1dLHdvy0W3Kf8NmxQ0EHFiMzMkbOX7XvvnsU84ibw4WJEm1w3G6zrsM+jS2Jp3vWi&#10;HuKL2lBDvCTeFN8nzSkHdf1iyEgheuil0FcacaWf6Klr+YpTxlVi0knfa5V/aUV04XxhiaQEr5oM&#10;3i5ozn7F08lpyaF1OUiEGiFPstmxAUkxeA1Xp7jwucB5RgCBtapvaDhbX83bC9o0RrrKU4wj6JUY&#10;IR24tOT8ZRwndmrEZhFM3bV1la3BrkWcgpliCostF/oym8DIrscuXL5uL2BDiFGsbb97xzrbsXKR&#10;U5fFSTrYQtKisSTfpBZHm04bTbP0dE+MB8VDL7BTvO8pGbRwCQtlr1wft3WDXbYEx0oxeiqLYZ0e&#10;zlZBDAllMmFhsVRQERUoQmrFPCkcHltAVOctG9ZqsC8QO9iuEMOJQvhwX2Ir2NryeadjaBahiRsS&#10;cEu3uE413izIZcCcBQ5FeBzVuZNFNTtBguDS+YouxxtRuj/cqM5QjvL6UliVKnD8lmi6UQruPRIf&#10;FYetiKjHVomEE1IYPp5Iqxjoogd29+YldurCiD3z5klbOdQL49jvZc2V1wRXqn/m+RdhS8AvPbbD&#10;/r9f2wvFdhpLNtbJWws4OtVZEMHv6XuwX1FSiTH9re10/BTBowfhqUqrBpQOUHFMWvbxfqONDFGz&#10;rwJi9aQLFcNRSwlKA6c+RBeRVDzZfgStDFIqMl1JHDQvJDM4lAlrQVlor3y3iRe8iRC4JlOhJ6NX&#10;N3g5yNyHNLHdcns+IyWbzmya09xiOqFmheARpL+OTw7ZJ+5eDh2CakoeZ5HgOGjpEGssbGtmZtq+&#10;/e6ILV+23D5x5zpVXjYem4akApfqnPP1JgKOsSW+26yDjzyYsCGtv1ElcR7JMi3E93Kq1/knRhsd&#10;hJQG8hrHzB9TdOmsEPyRxzGJ6cW3NdLiG9KErsUcbOIrBJTsVa1WPJc4aeUt4dBofYyFBoXb5B8S&#10;Nmdbwql+El++TpDvN+9KESSWU6DmF0MS9k5Z8PGE48WtMycwyfzGsYt2FnOA29YusR3Y6N0NG2sZ&#10;CAEdAze4cmR6UfswAof9rSOn7OzotG1dt9xug9PeD3Qxo+VzsmIvfVLpOIh12lDztJUferrnprVA&#10;u7wY+4JG/M+U4dXxaTt6cQqGccK2L++1QZTvzHDpgWOQA1WDHSZNWiDELtDqjFQZosKYz4kAQquu&#10;qek6/yDyVCOT6kEvVYKkYi2RpfNCCncgiaCH5dVxYGIU4bKKmmpLUn3o3aoakhkaV4kwe1NxLaI1&#10;wS0Y1AWZoqFWvKdHcIMRqbejGx0RRyiSOp8TatLbTAGoCjzkMRyEhLkdCN8pB2gFDZgdwP6mg732&#10;+O1r7Q+e2WffhmH84qPYH9XxlF5bbm2Vo8POR0ij7t60AsZwk33/6CQOkJ2yNcMLPS2d9NXI23m3&#10;GKsTRcqtbFOWzOIvpRCqiCbPkMuUU5iTIHdbiRs82WHwxLu1eQmuzuppqOWeetEEUt7xUkYsyROt&#10;YXZMN7zZLsEQt+t2qmLpjeD+YihLIyKcs4N4NeHuZKMQ5iLTIRfJS6XXygcpOQ5HeorRel2gHfya&#10;fBqcrDQWp0Ri/jIpHAj6wb5zthSnsDywdViFEb7NYsxtZpTvuGDvnJpYYC/tu2iHzo7aFx/eZMt5&#10;ziLSrTlY4SymYFxZpkDpjqKjql0ajR3Ia+ktHLTynO5BcZyEan8qg4VwB5xDKpr5IOFqqZLfa8FU&#10;1V5hAMvj1SAWQxTp9qIH2JtbrByjem9lSppAtCiGrehGZfty3WTqoVBI9Z1oU6NOiYrx5YjDIbmB&#10;NeoJVuKyykLSJmgWvJP3ebAAtc7BExds74lLtmrVCnvi1lWoadDSCxUbVQnhlNdC8Mck+OHN907a&#10;/jNXbd2a5fbxu9fZMmw2wmkanq6RPOyoJUk4Hi+KC1r630A8dWnDhz2nYGnXL+7zKiZmxUrkFUK3&#10;GMA9sGGRXZ4csAOXJu17x0dtHby9XasWxYkKNFzpcSZTRkVelTnZTgIWBqKVSyn7VLD6peeQ2uV7&#10;IVwF0XzajUJrHsWLHWbH321Y3vGbhijlQ4hRF8n6jkEBzHeYynADF2m9Rjcmu7TqSUYsmaEaJmec&#10;8D5yfqAQiS9o4MHkSTBeFywlCnRjkThqqhWDDhpGa347jWMKUPVnKmb9noMi/BIebrW3edWwPXDL&#10;evu9Z/fb6qWD9uSedTpmyhVGcHo26AAo9//pezfYqRfO29ffOmd/9bH1Sti4bAVxcpiOroAjT68P&#10;OjsyO4gfKq9qQzl10b/DnopmHh5EmnStgjfSNXa4NZZ8PbuV6hFNy9sJbpI6cFe7Ftyu/lM6M8Rw&#10;3o1Ww8inU1YcgeBIdaMooaChdJKA6W/H5YLbeLHAWZizQWtV1aWVYvXz1IuGy5v1Y+KAdNmEJPbA&#10;XZLOXLxq7xw8YY/v2WbLWTnKoiuHs7MIKfUOp1uuwwl/6b1TdjtSYHdv4tKNWlxT6FCclhykMNMW&#10;fkinSN4lWp1jVFv6b6P2kwsyUxncHD2TbtlejLQmAMKJc/4Rzl2FhC4txjJA9hZDlnPLSnd9HU5n&#10;1IDMW9EY3BiKFwS+eLbOPrJAJ6KqMhJ/Uc0FTKX55jfvpZOt9htuSjlPng2sSDZjs/SmrVzb6HDX&#10;sLjwCS8xOrw0wjM1T9o4jg+8Z9cGbA6/yDclmMLv1Mmy55jawvNcgrL/2AV76+h5Gxjotyfv3mJr&#10;lzBzxbMnacAcULybeUYfVCBLVM6hpR4oKwbisZ5j183OYCHkpsULbCUKK7qQI6QSrAjkNkxmS7AJ&#10;wYPr+uzceK/tPz9hzx0dta3D3bYF1UA8c9EXeIfU1hL1FGYp2PANvW0xS0V70W95XFFz88PkvzKN&#10;xly8o+JVRKK0fVm81UHrZPBkkjRSOYHPFzIn7QhtlWKrpAICMWrto1XOyWOJW1VdFjEvAl0KIKKx&#10;AlOIbqZrMubyx1yGqvILLsg3qvz4M2lUiLuolm2UtJimFQidd/mR29fYEWy19WXME64CI96xabmf&#10;Y8cmy+4ZqRBwkRPcg/3d9rEtvfbb3zlmr60dsId2rfRTDcgryQ8h3YGeRF5ySQpHINYvV4VRkF2R&#10;WgQvVZ3/1bAbMU8lVzGV38S1elZYaGAonmurNGpk7i+6PIaaTScoR5cT+mHAvad5kU1bNp8tObRF&#10;voWb4pA5GzUQB1MXE1AyOpU5a1Vy0DnHJc0bMpoGo/JzB7Y6eC4MUDIjXiVPvPb+SRtGVdqDu9fq&#10;+LVCgcpfghz8Ahh64IS/+e4ZG4dh/PyjmzC/w6U+DR3EyQW/+UstKLOU9Kpuh3Dl/0sRSV5oFKbG&#10;JrhSKuWoiBMWeDopf+ekTAYEkuUaN0Ybwao+fxfRiD9V6CWllHARRu0DG4vZnDdiWVkAleOSKDTw&#10;RpCgTRBkvDWidFhU55Fv+O00wD5Ob5ChiAyvv5tpxmijgTuNd5v+LXxYjLDwrjhZxpzGbQY64LV9&#10;J+34hau2Zf1K271xhVeVch9m9Sp7wue5NpPLLE6fH7FXD57G0VI0oBt9XTTnXn0Ntetl9OTZtYrP&#10;yjkaezrOsh8hIcVoC2E9j2wcsFOj5uWrh3Ecy5bhHlszBOOIuQCmcsMv8e3cuBH4KhyqsXrzgF0Y&#10;67e9qCY7evi6bVvaA+O4yI964lxTksBxHPnJZONiA1ImxEuFdLnA25nI+a+yZ+ZJ8tXiLYV6KINM&#10;VvB3U3kEv6euDZepbcPZxREaUWsIWBEVZwjB08YayUyO5xALRSsdTxV1oOcITyqyHGPpqdxLBq5T&#10;wvMUcC6pyXGCwFI91TMMdFRxdxx4CZcLQeoFwd7CUgUqGfTnH95mx3Eaxh+/cMS9umFkGbgUQ4Y2&#10;BxZNo/lJMOydW1bYY7tG7KuvHccWcMO2xNPvnK+VCvjwT0q0+CnncmUZ8o1OWNPypYdZh6JowekW&#10;KC9NfPCLYy+jttAMFcRQkOKDoG8dtrps+LYYpmS/VokF/lM29G7yK2+SRsKPRwgh1wKmClBJ+xco&#10;I6Wcg05HMfizVfnFwDjrByQhIx2RbMFKI48BRV5xyF05cV4ea8tGrtubKH64+9ZNWNLTb5NY7tQ6&#10;gUmf5HG9M2avYtPvuxE1bMKm9NzftJBIDCteKM6FcBPUFWY65DaNUQVWaI+2SutONCnXlidCN7mS&#10;9vXJdWN9PpYOuUBjhizS7u64pa5ILgjEZjQTcGvGjOMCrJqXCH5tDFg8m4aoprnVhww+jQjfF//6&#10;kVKBmcRx8pp4qmIt3QZXgdFip2Sqhfk6ok7VKH2eS52KdARfESyej8ig69jpS/bO0XN+Vu9H79nl&#10;u9JMIYOg1RLCEeEhuheiwOMiosnXD5yyC5g33L1pNf4t96OlaEBdjfm40zkRUeQ30/nAlxiIxsvC&#10;kEaFBB9UmvOQYXg/mxbdsHU4LePM2A07enUG/yZs09ACWwdG5jZwvmabgKJVfmcfqwdQsr9t0E5f&#10;n7WD5yft6JUR27Wy3zYsy3dSvQLY1P3SFoVojuVgkGI+gqmqMesUCX+lICBRqGblk+hT1XsSM5HV&#10;Kp3mOYdDWwrlR7JVvQlV6BYcB/foJA7Bz/9Gzr5yV0MBtRcAOpSplPxrEsvxVQWpjLIQs460ErOy&#10;sHY1irYbAa9eXO1ajkAirRpSgdCoa3ylQ7YY84u/+sRO+/99/R378g8O2V978hY/6kt7OlfkZfdU&#10;FDPA7Wfu3YRinWv2PexM8rmHtlUjV/pOQKmV0ggGfzhiAkEpsvG44A9RDT4rgp9KKdrzrkLJacTB&#10;j067TlNReIACFvcLIcUYnfQLoiZ5C5H92caRyeeyR5eHUENBd3+DQ85KWKIkPOByoKmPOVuWJq+S&#10;EsolBF5cHkmiNHzBramCXCqCFZJ9OhyWiFjKujDvOwpdCr850H6H+5y+eeC0b4hx3y3rvFy+nU8V&#10;VhIvMjbY58Fex1mJPb299tBt6z1VJqFIJinMEv5xSHkBvDrAGQmUCs55zsj81HWhl8RXuA2HUSNK&#10;fNelaMKr4BPuU4vlspsaZZE+2U7ylvAnHtQGI8QDFXpc5z0XpFY5OGABrnqtkl85QN+qw+ud42I5&#10;kqoom3gulUAISepTXuYaAmlzTR+lbqnOmLhI5Yah0aKQxTUiAGSq9DIcnjcPnrJxWL87EeltwGk8&#10;nDfUeZjEg2DhPx7sPjo+Za/uO2VHz1+1jWtW2M/swVwj5w1RrzCFNvzJ0JNZOV2TpqSLIuyslU7H&#10;2scSvK4etUtQYpIHO4NxRfBNg2brBxfa6bGFdvTSmJ0cHUdatRsFEr0eOdKA0iDRNGDFoS1AVLgR&#10;OwusGxy041f7bP+lCTty5artXNFr67HYm4DqbL2G+YsWr4qiROTOV5Xg+lZ8mGAgyYjkPRnS/QoJ&#10;aUFUsoX4x3miKJJQGroVqb+ApyArVWtwE+EohipedI5Jpcn+Gt+qeTZZ1cF1AWqZvDHs2WzKQYXc&#10;SVfHrAFVeKIHti10C0khiGpWTFJVf2cqpTzjCOHrOe76Ll9noczO9UvsFx7aYr/z3GHbse68Vwcy&#10;IowO6l/vjzsELbAhFEt8+r6NOMz4gB3A/qq34DQNMrfAklAlmIIy8V/pmCrHh9iOv2QEAtbEWxqc&#10;UIhSlIEb7zUpo/f0K4WTX8Vf5VMerypSoItgqWjrhvbRRGQ9cguw6qGnR98m3ciAYaTzwSRdMXKh&#10;uUOBCW+tlAfunAUCf0XZzeOVTI8F9DkSdZ0SGO0XOQ5ShdGumSExHzf/uD46aS/uP2e337LRz+ic&#10;xOL9wvdB3+JAYLxMqZ2E8nsXy3ieuHenLUOV8+Qk3glnKHznEuGpyKtDj6LrVv6SdPlQwJw4LE6W&#10;cFS4rNA4eDLRlWxT5Ci4wnVKcE6HfCXXkC6FM5xP/P8680lcHqlSzwZwHXcyeBjMlk8zEhfHVj5M&#10;LpVxERVlqMIoBHvIWQ0eV+dFJAp/hh6rS7xCr4anm2JBvAWIyegRHlQ5ojGcQv77zf2n7CSc4k2o&#10;EL2FqVL0OoUsgEAgUIw0sXMPjCGXfL196LS9f+KyLcMynk8+cIsthzPOyJDn7MbTBZcpuz5qoVu6&#10;Pminc5Y0WSNSxVKUQtvAV9imeqYjnmeKlIjY6MZxESJHsyMwjkexs/1mpFXXwThyHQmrVXPNGatQ&#10;qTiYQt04vBgp2Bl798KEHb54xXav6rdVw9jBnYQhkC7sNKxJsjASJaxIYvJZ3ZNuTgXN63w5PdTK&#10;Cmk8ffzxeLB1IBE9C+9igmBgiXGr5LJvXW+3SZPeEYzedoCbcvQhMUWxE0V0fOx6MVVOqv9kdBEu&#10;RKH5HjzcaAINpjrSZIQaIxf5TQUXfWsMtew+KwEddUGb6DaES15Uet2T8PpZjXr04ph9/c0ztnPN&#10;kG1evcirvooAZ4ooAJyGN3gLqlF3o8Ls+28dw/N3xDmZ1fw54RIAR0H8Dho5bYPhFSEmkyff+BMB&#10;s6hS4EnDWZigeoYtLcQWySRpFoLWpWUCIe4qeKoICxXpDeG7vP9Ci/iSmQUxEYda46Y0cMm/pZ9o&#10;MfmtjWCdxEE7l7IQjVoh3KDGcffB37XdHF57Rc8nr6p9l5CKHP/ODby77MX3ztoFrPb6td3rcK2N&#10;EmNUYSiccnSewTs/QBZh9cqldgfWMnLOqSxW96EFrwcNEv9Jb42/082pOE8Qq6TqXv6u310fFGeK&#10;13OladKwdWDkUJNPc5G7UBBahd9TF/na5kAgtWccbk7dyMBBb3jnojLlOE4wkiHME3jEU178l1Mn&#10;XugiBih85YgR7BnbFv1U+EQ4q3a04qNoxLDC1eVr1E/wv/fpBjI5Vk4OB38IVaVvHLmIE3gW2xP3&#10;bLfFWKrFfZLdfgh1/p8urpfH7+NIrb528Kz1YCetx+7ajimaQfDGjEeTBDSPByzSFyA7H/mYo9F5&#10;9NWWfqKdntX/Sj4zNnJhC4gUqRxgt8MAcWBMdxGAdYsW2BrsDHBubM5OXMGyDOR2Nw0ttA1LF/p2&#10;OoQzBZPfeXzT7mU9KMAZtoOXJ+yFE9ds7aJJ240Ci6EB7CxA4nrkGOAHcT7MG0/WUzTUePUZaSUy&#10;Gj4PPBeqJaLa/TJrmiJgT6YIYXBku1MRnoZ7girFFuSpTbKeojKS0yS5m5fDoU8y+P3m/c4UDpmE&#10;fc7zdhvCdfRUftDJSFgrPdRnQFylMXqvNHA2CoHS91T0DZP7tk9JLDkqc2DiLzy8xU6NHLDff+GE&#10;/Z1PbkNRDQquoNyc+aJ778lxp/99BEdM/cdvvG2vHThnT+zZ4Nt/OVbc849BOSr4UtXcmXzKaCCP&#10;fWnHWcVCG0ZXBRPC4hhJtZ604LhqpJBi4lcSHhHOP7pevwvCys+pmMQ/OZlRxLWzHYenIqoOWQoj&#10;WaXSPZyxlo/iuZY3BGPFXTZW5mVlu/RMQ9eKv1AVjpfycNihGHGQx59I/IFe3BJxHBHet98+6U7Q&#10;phU4HornHhbJiVmuyk5ei/D2oTN2bnTKPo+TVvpZcp9ZhOQBNyohMUUE66hV6BWwdqwkL1QTH8aQ&#10;CxGTegWPSVz+lVw1uZ1mHNl35YdGtEVnOjqeccSOKsDJBP5x3oxblHHdJefilw4N4OgnnEwbOten&#10;vNxhYN/M/KTaZupT8KRqL7wYfCoMEDmKijp4M3htPj05io5tAmO80qX84U+ovRxywhRs6g6z38dG&#10;5WHcTiPqf/vwWeeNh25FqhSHj3PMNIjerOtV2gwtsbhw+RqKaM7aZWzafdeOjbYT6xQZNU9OSz9I&#10;7GJSPR3JFL1GhzfUDrlOXg46OlJEUUWUhB2/XC0IYwBHwWVa+7ZUmhWlJMz6wQXYgLUfVaoL7djI&#10;lJ06geM3MOe4fmmfVwZp2x0NlIU2PNPrjlW9tnnJcjt0ecpePzdrK/vGsWXYQhvANmpRl9Ewm0xr&#10;9dxaZZjAxkASQ+yvKLMUVDGydJSuiUUCAam8ONpUvHwj5UDol64gREn07KdRVGzXFbl0bLzIvqsi&#10;cYPuTJbGivcUcRVDlAYtjX8jhGq0iWJLR4FvH2p0UMYd4uCwR8qg0a5VjQS2C6rjS3rwFEg6SuJg&#10;R4rGKhwzlT400Ge//sR2+w8vnLS/eO00TshYj8NgeQhq0Vp4VhEZIaHBXLF4wD4Kw/j0m0d9d5xV&#10;Swb91IN2rEm5Aqt/qcqnyGaDj0oIEaQar7IvSaVR6U3DaZ2T3NWi0DG6bpVovC5eCd6KxnXNGyXt&#10;KWzkvXQdk1Z8KooSAr0l856hRdBedRd1xNmn8JGMW/xd4UlsE/AltE0bgUop3oAp4WhkRI3o4cr6&#10;DQf5xTTULlA4zqjHXkD16JmRafvlj26QUif8lb3CAAh3DIaujY3bK4fP263b1tlGFOylEW26r/wR&#10;BsMbLENqIi1RpAxe0CXvxOx/I/CNLuzAZ8VzyzYaR51XDeev2S4yMZVQYMswu4LNrM9haqnrxoxn&#10;zbwuo6fPrkPhD8BGDKOYxPfy9CGF2+ZDyN2mY0lMaJJAe4wsYCgmkOkwQV9nPyt/5Dxpy8NavB6s&#10;47pPqPBNBBx1or72ry5cUXr0e2DUhSDmhUvX7I1D5+wK5gNv37Ladm5Y7iaTmSK1mzhUMdb4GOcN&#10;T9vJy8hGrl1pT8CR4haazgOtniycLZ5NKS/sHoq4qgoxR5O70qPODrpXOTl/6AoPPS4dZJiePJTM&#10;xX0widb1Q0irYhHuGVSeHgWRTxzDnCOWZaxfAuMI8+obloRBYeSI3Xns7jX9ID72sbsyY6+enoKB&#10;nbYty/t9DdN0Ks9idCJKaVJoVRgrsXKodYcLRjJ4twmycuA6qTmVX5FNKaxgwJQg9ZUKPVSzp3zD&#10;S5UlDWRHaqxhEgkM2qBXi7F5/tuPL8E/zMlyoSqLB0oFmVebBXuG3OY6qxx3MXphjOS8BG19YASg&#10;fTocDL8kxaGFzmKR/BSGKPoqrkSkmEItRqr39FODZu5/48oB+xuPb7D/+O299v13FtincHTUtJ8A&#10;7tzXMJ8iSC7t2LNtlR04fcW++9Zp+3nsesM9LYviD5gFaUIRrO20TMhltOvvwIGjpGH3jmgo8VZ5&#10;PrRcFZDyahqEVFLqK6nP74Uzog8Z4kIc4T2dpE65w7s8vyYLuzLKCWcpPXHSxmWvna+tNKyRdCFr&#10;UJiQBScH3ZOPKn9XPg6GrtxfIvTaV6WnhDzZyftxFlRqa3xi0r75+jG7Y8sq24VKYxk4flSkkQFs&#10;qApEFt32Fgwiz9O5b/tqFORwuU7gPiWtpWfDw0U9p5J0BySh45fgP2eNGG9DQxmIoFfh1obfK1rr&#10;XaWapBEov+EAZXpO/Chz5OussbC9H0WMK1C2zzmx69hBrAvO4ephHAWFZW49uM8NMrhzlBsBDF0L&#10;1iXXEm31yWKQlJOSCGjhTr1Z1UEzgtCtHTQI5ZVDDt3tvYWzkzqjpveTNqFbACtTpRPYhPslzBse&#10;Pjti27DE4tE7t9kA0uhZVZqEJ95oDKcxz7j3wFls0DBiK5cP2yfuvwUHk8MmwHBwm0jPsvggqybQ&#10;YAAdjzMLU53X5P5XWsaT/jxbyLOCC0Kk2MJQdxDaeor90ZsiRJA0xT6ZYHZOada1g0itDg7Y6Wu9&#10;mHOcsOPXxmzj4i5Ung74aRJaj6ThcP5xEeT/zlXddgUbABxB5PjSCXgFSMOuW9bnxkLb+MSnMYhS&#10;YUmEToWYCsrvOi4aRRhN8UrYEh9cGVnzfKPm4r7nLxrr2X4VPIIoDGWUULN7Jx9+z8A7OHr2uldl&#10;8mQJKgvyPE3FSix8H8Rp2QmzQng2GAoef9JzS3irUcp+Ay2J5QxXXXjYH+EHnHHSQ9gZv1fxnGmF&#10;HE1Vl0k7/Q3FGI5RMQreEE8/mLU1Swfs0w9ut6+8fAJFFRft7u3LY34x2k4iUb0zxYb3nrx7s/3Z&#10;O5ftPUxc37UBCgPFOCUNnH06TqVIK59KGMOV7RiThDk4JoaqrkO4UgkWDtcYWuNSlRC9ZCqpoLMb&#10;MPYdc4TZc/JSwJRKMhmvVbqJe82ts1uJco3nG16vmFe0mQ6ZkyM9+KRQ+vJkI92Lxyq5izEJCjoa&#10;RVv/b3E2Kot08gufER7zcNqWP3irDzs5v/LeGTtxedL+4RObXRFppyjSTyUf8cP/UDmeRWTx9vHL&#10;9tDtW2wpFIWn15yG+WKA1hrKwLnGKEUoI0FeCTlqhqFXg4/Tv6AhLdkPvRtNyCAkDtWqWgsDWOZF&#10;aGB870fINqI+d4LcaHIOVW2y5mJR70LoQCw5QFauu2eRPzu8EAfs+bwiUqcOnipO+VpGeBn/ilck&#10;20UbFe9C/SUqNNR0Ijt1V2CgYiYvpL7wfrwlwZS6N2Qq+c6fwDWmStn7wRPnfR5wEIvpf/qh3agj&#10;6XPnlwYxW+I7PGT6BnT9PizH2Hfyki1evAjzhluxdWS/H3Cu1CpazPlXQpDkDHzKP4i66HnGq/GX&#10;nbZex8L/peMTLFURgHE0U1z5PiJFIbp4uSGkQo0IIWVDAspzYUEOd03YgMrU9UNYljE6ZwcvoCBn&#10;5KptXdqLUltEgjCOrFQUe2th7lKcuXQvNgA4j+rWwxfH7Rg2ft26vA9n9Q050f2k9sbkiDJi0GIg&#10;HJ6sJEq4U3yDcZKHQ1o0wk6MFIUXzwpRDdOp6+ZapimUgiEUkQCT8YknucH6QixAXgbvZ84W4hiq&#10;URufm8EE8xCEoNvOX5uwxdgRiGnn7K9ENhGleWPO2MGN7opXBhfnBqwdnB5KLhg701bZjuMgXi2v&#10;laiAuiA7SaSIfvlpVG+hEsGYAEPvxoHCI7O99uaFaVuL9a4rkVHQvuHBRcXbRyoFymApqpwfgvF8&#10;7wLOOls66woxF3cncwZ1g/9CiXmTSVHA5htNhBIrtJTiFjcE/I2SCyyFqitPiNNTKTB69d/BN+61&#10;Ez+Sg+QXZSjEEWSY6WlsFuyCzcM3I5IgFB6hNGcvCjXeHQsJemE0GDWphI03qOCjBD4g9acdJLYV&#10;2qJ49DHWhvdjBA5PZZlQU/4cU/lZAZx0DqfPUZHMwr4q1hz7QQPBROeBC7Jn7LvvnMQ6spVYjzqE&#10;HUamCo4LNRyQ0CVQkC+8f8pWLBu22zcuRSTF+SMX9tQ6kivvWgOrPrOiKtULZKFJPhdw+xiqbPpV&#10;Xmvol+0mPQVbsEFhxIDJdVGECp4EYDGJqvfX3PO49S4a8nSw9i7lXyj52AhlDtENJxGm33/fi4jW&#10;7tphY9ev28m3X7UBuMvFmXJAaCAFrERS/6ujE3/ooc7vnXgONnX+UztVRFq8NPKeuA/eTJ5L65QL&#10;45npu4Aak5exOcM1nG957y3YtH2tFtNrHpC8LvlhcSYDg5PnriC1ehaisdDuvXWzrceSDJ6exI3e&#10;neKO74Q1KOJyI5plkJacWs4Cnq+jXI/iaTd4jesXtq6lOatgS4QZaHCj2JUHpQbTCByFr3XbpOTX&#10;9JuULmWT6xebrVu8GGsWb3jkeOjgCKpVu20rjgxauHChR4tErjtp6GsV5ihXLR6y0zjE9v3j5+wQ&#10;jgi5FWW6q5YuctznMo4iCi4JKe1iEPkA3qAzSBEWJ2oVCv2SMhF2sykp0so2fFHMHPqiPKuS6VTR&#10;wax4yg/UEhCNsKJdpJLXIwomDi8PLLbzyB+vXLEcG9UCA3N9XqSUAlqjIPUd/xFYgTeHy/2FcBoq&#10;KkJRN3OHJaIQhiq2YqT+aOCnjL4gxcciNCUiUkMkK6nNRCeb4O8ZRHoPbFoEARm1b79z0T53z0rM&#10;H/eKltFEops98PrOpQvsCPbUff7gqH3qjuWhAGqqsBHVFlIRsQxBIuKmsRh40TI/VZ1IYYWsimYx&#10;dD0T7wRNI3GiZuLaPKaJG8L0KJTd8tsetVUbttjCXmVBehayYhvbKMLgdfHkdB65xmIE/43ib/DW&#10;xMSYvfaNL9vMuSN+OGqFI52/GEkowuqssfvgmzLaSkGnZEV64DeEIMZbZSARGkhxsqVCqe9UtAau&#10;PIOAuUSspn7v2Hk7Auf473wGa1dBEe77nfxRHLwAiEp1L868O3llwj6Hgi34kTgFQcBqLjbeLUyg&#10;sVSRFV9VRy2I5O/qQW+i6LAkYeqvavhEWvFUbm1YO8LddHrDKEp3U50iUwKjd99nf90e+/jPNhT4&#10;4V+/9c0/soGuQTz/KXvtle/a8Td+AH2BzVLcmkpLlhNw8FszTHS8OKCAMRERYiAkJ37SfCYMqZsy&#10;I9EwRDEmKSty+P3/zgYZiqh6mHRmUekEdht669RVO3jqIqrIl9iT21b75tzcaEH6U8jnmHj8F4to&#10;3j5yFrphznZtWYcTT5YAOKw1zC3/uBcuHZsifsx2VDvDkfgsU6Owg1NCV4U28gbSMqT+SrWf+rBt&#10;Vxs7iJ64DnipfRDRqsEsPGZKpxjUMAQqn5XS8aKBViEBcSq0YeTYBeOIyBFp1feRPjw1yt1usGYR&#10;6TUqBJ3Azg0ABMhGFOqsW7IRu+iP+OQsq9Du2IyjQrj/HZit1Gs4BnLADq74IP7Dtqr3ngQWTEWZ&#10;udIM5m8QrlYrU9TNv2s/TpT0Ypw4gcggQbbgcKQ0YqxdN3RMVn9/v/XPXUHcyAc4qZ4VeLkBt5jR&#10;Z+IwaC4e7YGgeMzgOMtt98hsNWIqfl8KtMtGVSxuxguSGiXnDC/GS2SmoSuYkKZwLEveUkvNU0yB&#10;A+1sccPuX9dt/+v7I5hfnLWfxr6nWYFZvbyq8Jhqv3P1Qvv9l0ewI1Kv3bFhqCzK9R7TagW1qzpr&#10;GSAMeCiIAjYhDwfBRyEW7lQsQcscaTuyjN5bx6lY4sCbxCxwiA66e3rtk1/827Zy5Rox6E/wOffe&#10;m3b0zEGXk8R7aPVgd9HB7813alLPhUIrvnEV5CoGVTycttKAOX/T+BpxVxxQeUHYTgUQdxykG/Y0&#10;llRsXbvCbkUBlafCGpWVTbA9VhyOYu7xZcwp7d60yjNL2rmmDCQiwOw3vH7nsYRIjmWhnevh6gaq&#10;7zCQ5Tm179C7DojWqNPit5xBPhFJzJRpN4ihB2EQmZqbhYw+9sXftPse/fhNU3pw0WKbxc4s7736&#10;PXvmf/1/2RIsPfCsAtcnenm+xqGx1YMQtNVkjDf1cKIirIl4lnDKqKml9tO4EBlMBM9k44U95n1h&#10;ZmsWWZCTFyftxPhC60bm66P3DGP3sz6fK83t2aRzUXSDVPrVa+M4R/OMXcA2olvWrbSHsD4ZZ5DL&#10;eAIy+Rqhr1pd7XO1AbfDEZzhKMglJq1uyjG2o1UM6E4j+wpOUaGPcORTIR7xK5KlrkKeh2lheigB&#10;WEFuXpIhzDRFidCaatMbnPSM95kWc+M4hLTq8FIc54G5NUSOZ7CP3GackLAKax3pMTNLyrb8xAR0&#10;vROH0m6B97Dv5GV79r3TmITusz3YGozlym4cvT95PA4DzjtMfZ61hXXnihCOQEbwRjB6qOZQoP5k&#10;Q5iUmBT51HfRq9Aaz5ftheKaroe6QAOcMF60cYutWrTSbpxDZd1jjyNK6PY5126kD7p6+I+bIvTA&#10;M1EUsQD/5hB+v/3M12zk0Fuo5EOE4QqHkkkCq6AodVmHunIeSaZPb5HvpBrge42X5EqgTLBU5mw8&#10;5iBrYdtiWTIiaxkX30n/5ViX+vkHN9lXXzlq648P4pR1nJ/X7HlZ2Vb037h8kT11yyAU5Gk4SH1I&#10;oy4sTlP2X8TalWIBVSJfHII08ryf2qMqgdw0oaRKOgwAAID/f0vkForhTMUZSigEqvCFgyB8tmc2&#10;DiwatolrV83+NxjF/sGhcCAk7CVK7TBifusDn/mKT+DWqYhqRNNopDYNZHoDWarQdFAei2v+pzWI&#10;xAIO3wbfHj1zxQ5dmLRf/9h2P35Ns0nCUdXM0iBMp72JOagZGJf7dqypy7SKEW8xnfSucBUHR8IR&#10;XWhsklGpwJIS6PRsOgxFOhrFYa5C7++XV12JUn+hF+qj3gF74hf/jt1x72MfJMiPuLIIGbI/+73/&#10;ty1dMIPoGtkE3zEM2EKmxYMPByhPuOB4Qp3HWkZVpCYf5PNpINIIhrlvnGXhIvjW4UsXIugTqsJd&#10;nqC7a0u8x6T+uYsjduQaDMbipXYLHN9lPdORKgXsrmvl7DATQqP31sHzXkSzZsWwfRyp1UFUJU/i&#10;ep58X+Y9A1duOdBvrkOsa0WDBiVL4oQofOi/kgcAqzRa8quedS0Qw/TvOa0R9R6c/vL9XkPhIH3K&#10;uQ8hyS1q5A8zbZphdAqDlFIoEUZM8Z5fDmA4uewFOVzniE0Azo7OYv4Q1apXx20L1jiuwG4VZFxG&#10;RuyOW/YQGXduwVzE2qX23omL9v29J3FkDDadRhUb99f0PVVl+F3gfV4leKKKS8DlzNWBO1+Mw3U0&#10;xbMXhxSHoENSmjGVdmJsJT3gKAsPMwEIb5P4mZ2bsiXLV9vWPZ+wwyf22k//7G/ctPDsuuMh++bv&#10;/5Yde/EbSEFiIt6rVOl8aFDCeelUDF4lxfupQi72F32qKGh+rL3eqQy9J3+kKlB/mmPOkWhvtw5I&#10;OGHONUZP3LEOZfYXsIP9AE7VoHMTSrJBNEfCUvQ7MZ90EkL3EvbJ/Km7Nnjrmo4U5NKr6dVXE1B6&#10;Tu8vhSNwIT0QjkCwhDfug/ugKamXIiqIcWYbekO/5KRp/C5wcPamRy/ZpdOHbeO2XTdN63yQUaYK&#10;jeS4cW5GAiy+d0wkUZw24gXRIpk9xlSGFu8kvK7khNB8r5qSQHSlbpPOmm+Lg5YZuYFYr6GC9M5t&#10;K+1WrzjVps7+qTrXx8DzFc9fGrU3j12yR+5Acc0Aj/vhpvKENfCZL7qIRl/RnMMdhIpsWRnL/JSb&#10;67QspMjz8wpNE8SgX/JHsHu6j05tj1wYVXBXL9BlYMg+8kt/z3bveeAnpvOpY4dscnzU+pcv9TqL&#10;mVnEJqxIJ+/6XxXcJFWdCCVllpIXDiCCA5dG0iHwnFLu2rzVCWFUNIWVxoIGtj1areoD9s9CmlEs&#10;l+EBEKM9Q9i4e9BW904i+zXh0yWKqsmiNIacG8d69kvTth+V5Qtx7/G7tmEJFiJJZA1YhVzVrYBN&#10;bZYkbTdKEIT1P9VBnq+z2JaeruxTo3xH5Pz0txtDmPqsHgbc1EOLVq5UpOhLBkJdVl4UQkmLuspr&#10;Tt/L5H9GGQxTZVLFnQRSikN6cA6VqjSOg1jnOINt4CZRgYq97BANrlmKfVLhNXL9GhmEC7m5aey9&#10;8B53rl9u7+KIkGfePo5CnMV+Nt9i1DAz9TiXm1l7v/xPZeGiKIK5s8KsmMtQnJpaS8ElI3YqlDT2&#10;3nKjUDt0aRjBDNAVguN5CP5g37Bdev8t2/fyS3b357/0EwnP4oFF9vm/9r+z7yxbZXu//QfWT3z6&#10;XBNd1HAOiOEQJh9zKuhUVKlk0iyE3gS2nUat3gzeFmMVViXDSyElDmQAOeehqKJFWQZnfIOe4j2b&#10;V9jl6xP2/X1n7Gfu2exzTlzakwKQhobPM3J4eNda+5MXj+BMtWt2F44L4jEwmRIvAuICnYLCL5qH&#10;kIwrJZ2Jkk6E52g5ppiny+i7jDodvfmkSm2TKe+EJnEYEuL8NmtXL5z6iWidD/fAKGaVnMaUqfVM&#10;/DSRX4iZ7GJrLYSb8NuLUXMRCexIkTVuUlGcOU46myrwSYzK/W77D4fUaYcKUhTMsYDsY3dvA+tr&#10;f+T2kyqe8kEF+R3saLRsKYprNizV+rz4uOHxMUng6vpOjSCCneDdNBBBByrnqonCNqQLLJ0kAydk&#10;FDkueiKVrfCQ0YU7pG4QkcUBrAsXL7GP/so/sh233vkT0XliYtT+6Hf/lZ0/fhg1BViLCTxwuQYL&#10;TYiwYgwjE1RGl6nSoFPS0WtxNKxmMBxbRM5+U2fjajTRojtEsR9Z6uuQee3FKpqSB45dGPVU6bIV&#10;62z3EIrBZkcNs0HQIDnvrS39yCnnr0zZCdSU0ADdBl3NrUHn5lBR6tv7BTlCPgPlSfVO/zQdHidC&#10;8mTQo+gdCb0c0+oSpoMuPmgjTzxJO8esqM+P8U3IF5wxrhwdXr3edj/4Ebvn8U/YP/9nvw2jyLRd&#10;g7bcQUEL0+W16L6XVTmDzAV3OqJDKWVUkUq1ejt1znE99kldjTLcc9gn9ShOWjhy4bptXj5g61CF&#10;RIHhXCMFitVILO9+CBsJXx6blHF8k1uDDdmuDSsxqYtKN+1SLgbnH+fpjKa0ga12hBDu5SiVuEFG&#10;RG+UNrI9GQe1mzdTrepKayjYTwib9yMvhEZsYd8i65m6YRfOnrdrVy7Z0NLlNy1ITEF98md/zVas&#10;22w/+OPfti5EIVwY78xAkGkQmQagEDitBGodg75LcQreEh2GJREZA4Ex2vmRQ6oKKRV+Gkyklgo1&#10;7HzsQieYHtu1zv789aP2HAzjU7evr6BJdgrAzAKsHh6wu7euxLPnbQvWPjLd4so16NZ2q3GK+D6y&#10;cBEbiuIe+TVL44V2zSeEMQ/rmpSughqaJhRGqtU0K+qTgFH0snheQtbV1WPXLp27aRq3D3ajIMcV&#10;sPOeFE2ORyphflSYRkIy2NK9cXly4MJ1RAhlj+CgfY0ogrbu/ITCdcQJz2Ko5ABhjHL77vELSJsv&#10;ts1wXnnieXT6AYbsha555/hFO3V1yn7h8W2+k8nUjBRf4ar84tcqPIEM8X7eC9lO56nyp+jcVgm7&#10;pHtzQd9svaBFMuKjishDGRrKG+ohwIwLh1fYx3/tH9mWHbf9RDS+fOG0/e5v/c+YS5ywpWvX2fWL&#10;Z2xw5bBdO3taWQA4U5r+ESF9HF5Ux3sxKvJth3CTLJXw0sWZZeCTwRfeiLg20CXY41oZSGzFx71H&#10;L2KZzOvHr9qyDVtRANljw3bd5lA1pV1HKduSK9Y+XMaYTlzD7jxdfbZhJbKAOJWeT7l+djknvunY&#10;Ebc5Jl3v0CdBar4tN5CM1tA/LolT6pyjnuCzcqhkR4OnqJc9Vcot5JQyYPuznNOEgl2z4xa745Gn&#10;7I4HnkA2cmlBRQ8VeE4ySoPOetQmJcs8K+nDHxLSdAJbZaGcbiihaDp90aRAzCE7s67HnOOaoSWo&#10;Pp2wAycvIPd8xVNua5ehjJU5dqZKofQngPzFWND56G0b7AJSr+/BOD795hHbtX6Fz0HS8hP5VRkm&#10;EoP8zicipJQ1aSPDqXm6+J3o0AOhDaQAku0c9WlknaA1ptJbqaCJLzA50gvWDTYCDseuj9s3fvef&#10;2q479tidH/2C+rjJz73wYFas2WDf+k//xMZP7MO+kkizsQW3Kpycrw0Vh8SNHjkkeioupRSFzjJs&#10;jVwrXK2CyoggYw8xVR1r6TFYM3CH5rgapx+Ldz966zr72mvHbC/Wot21dQXWLzbC3ihA0vFezD+e&#10;uHjNXjzATcY3oI3KbbJ7GTWRfikzqSoqrEJvK1Q5JuGkjjDhTzenSCaeyRRMq0py3q1pT0zk/1hR&#10;OjpyDtHQtFdd/ySfbjyvBctUwsm/2XdwWwmTnbE1RtLDWTWMQGH9HKtw4dzP5/AnYuWCh1S3lbps&#10;O88W6JCARjYQJYAHL2Nf5CMXr9ujt2/GhhzYsMLrBAK2cJAIAfXMBI6OeuvYRbtn51rbiDXNWVwj&#10;kHM8BJeRWfBnGUYz3nzeL6VcSxlWrg65Vz1lUbB6pcq2SJfmV/R34+h6nH85z49iueXrYBD/oW3c&#10;8pOlxg+/+wqmQv61XThxBJuj32Znscid22jOoOKYa/YctkyPul4SjdJoRdDsFAytHnRvcSYKxms+&#10;BjVZ4kPXf07V0GFJ4QxefAnd1KQ9vx8H+KIG5LbNa23Pcsjf3DXP8Hj74Wj0gDZcn3zk2g27Poda&#10;Eay9Xj3ATCL3dGUuSoUr1ZEunCqOdb0UstYhj1JYMvYypE1qKPg8HJdC0qAZSep0DNfGgxNc9DWP&#10;2kVsBlFr16JB23LXA3bXo5+w3Xc+gHT+B+UUkbIsqHiD/0WUQ2UErCrbDIR7kMiIUpFjUYUkYDKc&#10;6yCHTPejzVQ3SolIpWp+CdWnOGZq/dKNOJ/vKvLQI3b4zFUcHAnjiHWLbIrPUYfOYSJ62WAf5qk2&#10;w5Bet4NY+HkQyzh2bYBxXL3Y4awpGzF88Qpdf1RmL5FCsFl6z84sKWwiR8m251mCZf9PZZeKXqoL&#10;RTkuAqxa0unJKT80tXf2kh1BVu3S0bft7ImD9ujn/6YNDt181Lh583b7hb/330O4/qWdeuNp7A3J&#10;eWBiMlKqIUkZNfowGiXTMX5Xnh+icELBCHlyipzSoYuSFcXDEbcUTzXxHUqaYosGuJnJmiWL7OFb&#10;1tjziBZXoghnHQprGBl6O+SVkA32tRAp1sdwGO1fYkeUQ2eGbMdaVKM6YaNwQtym0aXhACw5U6yi&#10;l4hySiQYyqS8GRFD2BU9lu0rNNUYU1ULRqFB7fP/8S2h8Xs0ihPXrtgo/i1dvqr0eDNfOKcooy+h&#10;Fl4iExD9S1EKFkdfoXIogqAXQS94aJ5s300nXM5FthjyHHIqJk88tE6UnqNR3IvIbzH2R962cihS&#10;oS2+00zh9AN45tzKbRrFKvdjRyOm1jL/V3tvFJxUiDNWMfjtRE+8lGxbzVrgL7FTG28w1znm0H6p&#10;BBXFeISBbAXWTi5avck++Vf/a1u7btPNkLI889qzX7NXvvI7dhFH8S3s7rWxqxds8TDWbyKaGhtB&#10;1YoTVHiVIQx8F5yLz+IJPe+0ko5LQ1hInEzR8Ec6PJl0SbnWOzAXSJV2Qb8ePnXNXjp2DUuJFtrn&#10;H95pa7AGfQLVps7nIXak9yymNc5OmF2Z7bNFyPzd1o+U8gJEiuiAcUDKSPKvRFbE7NSwMTXntqXT&#10;KZFjqDGW8Ybsp45O/V70PGUk3nMOiLQ3U97TyPkOLENV9D0P2d2Pfdy2bPvRkT4XSskgugiGULh3&#10;xRA5zF8gpd34t6qnCntumySPQgRny+VZzpNEBENUac/fG7Z11bBtQjrhJHLY7526ZO9jovaWdcts&#10;3crFPrhZbqBLA4nFsGuwlnEdjhM5cv4aPJrrtu/0VbtzM56F58klH55VTUUbglXkomgTfXFGiVSi&#10;FDTJJvYp3nNpLIjrGpJPxXoivNMVJ4X4E+6KA3usFsM/wr0UGxxMjs8iLYElGm++iHmFQ/bwZ/+q&#10;bd/zyE0L2TCq1r7wN/9re+brG+2db33ZelHIw0jZ17yFUXTUcvd8/isqM9WjuhIDSsWLUVPpSSYl&#10;mMkHnYpJr1TcOD+kVXPF3WptKXZOsN+6bqlH+s+8e9o+/8AWRJBYbhJ0coFzm6QMwXrQ9w6Ubr+I&#10;DcO5NGcANdzEZRI1DUaYvsZI1I3IU4hDdxQjomEHlzu8wfhoRWYxItEQ4GSXeSJb8OeCF607FoGP&#10;mYkJu37l4v8GowiP1R1UjZUZhhKRu7EjNLGrjgt90vODRlI30/EgXDEuz+ikaQylM2/WqVK34RHn&#10;K/WTskxn+iqOhzp07qo9gIXYmNGAAxOwpL5wEFlt2mWXsOvVWyiuuX/3Jhvu79JRY0kAH2+0TbBq&#10;GkAtFKdWY06cx81GbwVOnI0LlwufvJVDL1/FBCVpxH48WufOXUiZYvOBJZt22Sd+9R/ZylVr1fhN&#10;fJhpe/bPf8fe+u6fgdf7vOL8xLkzHh0fP3/d/vV//Kb9jZ++351EX8oQoWGZLSg8JaQv8CLBlFQh&#10;qujUlP3g7daEOqh4UMs/Q2KSNhjmQugpP8D35KyN2pDdu3u57VzGaG/Oxv20BzGZV9xCB+PAJLs8&#10;O4AlZt22uXcWtQ7YlQf3PZJ050X6tEFzYc5Cs9Axajp4MJyvwg5pM5wejSlNPvDnU4DFHx3b7HGK&#10;D/DOIi29ZP1Gu/WhJ+yuh56yVSvX3wT1vNAmOATIzWSVIgRhswYDSkE2mkSGIwhUSRbS42PWoJ1Q&#10;TbqnFS8iMI8c2gzjuAGG8DgM3r4zlz2tugPVqGuxwzpDYO54w/02ZUgHbTM2B9iH9ZAvHR2xpecm&#10;sM5tMSpWUdJP0NP4sgMaAhqyqlsLchjulwm5iFyKp+0KpIPE1Yg4LsRh6iojZHyjQYzChB6U6Y/N&#10;DtriBRftBHb8WT600q6dP2Pf/Lf/i932xKftoU//qvX1L7opYnGe8WOf+SVbuXaLPfcnv23TV85Y&#10;Lzw731zAwWEkD4K6dJEwoc3c0KXHHZIidm+kS3SqUWTS0bWUFFFqxfTigsQJfCYy1bTe44f0YCHN&#10;xWtHEDGes48jNVpOLpHcRdN0IubsLqZRUaH4GqpXP4rDZqe4hiueSTBS2qrBSsNR6dKBVI9+JTyV&#10;pqJtgBBOUZrb6LEZdu07FXUIrRtHpT5tdhLzimfNtt96UzQtD/kOR2nYU15wiZddMDMtKehzf9AP&#10;Rv3ZYoPYokWLKi046KBrx6vVSjlGXOnlNe1Ssg8ObB/SUdtXLVb0X6xL0lT9dePdNw6fs2HMO+5e&#10;t8TnHaUAA8aQpeJgVH2XVG9wGYq6oWLSUEo5+27HH69r2qnwsb6Hk8jHfe6JWRjULCBCXL59j/0U&#10;DOKSpctumpbjqCz99pf/uR159TnINY89mrZ+4OqRz/6yDcxdtcsvv2Pnr8KYoOJe/0t6qosa/RHX&#10;cmaYxSrZEndsYhwhX5pP4zNyhrOAUG2nDtbA+e5CwDM1OWGvnUDR4ziOfVuzyJ5YMYVdlaY1xxts&#10;4g43flwdnbGLiAy7sBnH2sVztsgmvbs4GrhA3brfacq002Q64kGT2H6yOLrF8DEBlvuFhYylcLKN&#10;AM3TocywOxfFde4qhcHNcbs9zIuu3HWr7cH60T33PY7t57Bp9018fDcqfGAUuUk1AWeEIbLooMvW&#10;GPCa39H9QK6eTqomw0lwEil1kj6IItI0EYtf8A9PS3CDh/P5NqGo5iQKcQ5g/dORcyPYQmiprcac&#10;IxFDxYmdhbxY4zYsFN6BZ1k2/DJSlMsQzt+y0mwJtlKjB1O9r6qyC55d7wcTuSAScCnNkooL2yBv&#10;JL1v3hcjpoiWCXFnYnq+SAciIuqambSJyydt0fSYcTbwItK/q7DglVHtm9/+Ezt9YK89/Pm/Zlt2&#10;33MTZNMjd977MAzjRnsOqZmz7/xA6VT3qsR87tl5fj/pJSJ1pE68JcEvBRV0jfH7NUeHNJSwok8q&#10;tMBUSa8UQhaPTs+zWpgnsT95+wb7is8vXsHyG+6PKjcsC2W0HAGpNoQdD9+y2r7z9ik7sRqOEk5O&#10;0JaBAYQAKBBVNUlBCS4t848BtPNsG+c2xSzeVApuNbcad9t6RB+l/4KNwhscwVUUUvykH+1kg4bd&#10;CFLQG0PkBr0OPw1kNVINjFQcaR1CaWZSuVMCaGQrTctYUyYKrSUA3mTyBvhrdGLaDl2ctj1b12Cd&#10;IqpKKbvh2Rc+Qf9cg3sKh8sexuGKP32fqlNzi8uCoxLaJ1Wrg1NktfBdxWxH9BH3i2IOnnX+S34U&#10;t+m/yfj+RRG/VyeCDtybdPXu++yTv/r3bTHWj97s5+K5k/at3/3Hdv7I+1hjvAjRCmobYRS5gcfm&#10;FStt2/0/ZwPb37DvvPCmp5OT44QvES6NdtY8ZOFjcntZvxe6KqRWOjlVdiOs5T30wOieJYiHkYl7&#10;8/QNG8aSsY/u7sKawzE4NQZTJ95h+pg7DvF0j+OXZ21wxWpbgf2uhxYgbwpZlpZWdC8+lfFOvpM4&#10;xe44ZZQNFqWqGn3iFq5ImjZW0GAUFCZ/J8WZ2pae84CAwRKYqncQxV73PGh3PfYJu+WO+1lFelOk&#10;YxHku688Z28//y08vwzFkZOTOKqjT/t3Ukf5yDhlyh8RO3qUkV6IDz/tmFsmRf8yBCkQGrIE243H&#10;fEXmmIunk3IhHL6oH//bAoW4EXMVJy9hHhELQWkct61ZirTaoKcEmG7jvpsk4h3rBmw7jOGBS7P2&#10;4skFtgITv7tXgJDYU5OLx3XagGB3RnLvPj4Z8RUUxpMRYfo7jYJxBRJl63oyZrXCpopPiM8b9gff&#10;fN0uY4L3H3zuIXv/1IjdsXMAVp27fXQhyuu1SycO2F/8y//Rbnv80/bgp/8KdtTHCc838Vm3boN9&#10;4Tf/j/bMn/+uvf/dP4bB5f6Jki0NkwzDH0xTAaA8NC2YrVKqSpAigqBuoUk06bfkabpx9X5Ipwhl&#10;0kEoQHSqYCrN5Viz9AQKb55775Tvjbom5he1WbR4hIqXVcjcF3EXoooXscj7s0u3erTRcldSU9Gw&#10;pEwg83tFgwQ0lGBwQD1dpVMQHW+FTwt3xMvhw4fj4Y/GI2pfyOff0Svnb4KCnY9oy7codcccTVbK&#10;ipSUsVCdid+I3kWPIEoMQHCFYQkjVzZ+yPEV0UtlmvIaCEs28lHFPW/VrBeG471zl1Fd3Wc7VuAQ&#10;ce2uIV4LAxPpE1/X9zJouAPFcTwwgJtaJN5Sj0QeIugrhSdStFo+EB7wlyxwJVqhnXOK87F41iU9&#10;aNVhSAvNqJQ1FTEL+NZhWuPjv/z3bBFOt7jZz+H3X7enf/9f2Pil85DrfjeInDf1KnH8fe0bv2/H&#10;z5yzJWs32SMPPWCXRk5Z7zgUOaYHaCC5A1BKTKpF0ZBqUgYo03LFiAY98nnJpDBXPv6eDiS4iKVw&#10;L6GI7dqNQXvglrW2bRkiPsjl1GwusaAxRBQJp+Cd49extnzatkMGty7mOKaieCemDBx3MskueyGG&#10;3nXwZDl6zkEKghS7kHGeuCB3GPIWvV5CDQX40j2gpNcX8n4UQE1xzhfz97fdC2OI4plNSHff7Of0&#10;0YP29gtP24E3nrcrcGQdovUwppsffspOvPWKTaM4oJc7rPB4I9zjNp0eMGK0biAJTM7XRSqOnWcl&#10;oytTvsfoLGkSnBn4C3IF1kJotT1YElJKWb+544nW1G3GfONG7IxwCpWJ3CXhGIzjVlSr8sQJvj0H&#10;4ziFCUpEzXbnmgW2fXmX7b+4wJ45MmHrB0btVqRVeY7jVLSXSCseNVtxRV8VbyoaeePyWKRd+TbT&#10;le5BVEXs5GNhBEHGW7jNNZg8CWDs+pz96XPv2SWkJj6BpQfTU0jOs+oXb/uRMUDs29/9Uzu5/y17&#10;8Gd+3XbsefCm6IrSYfv453/VlqxYay/96b+2hdOjLtjJg2JaFWv4hgdkJq+akrKQPQnG9nGq20Kh&#10;Qgvncr+n1vnJGJwvhOdYlJjaz3R8XqZhZFR/6fpy+x7OUPs0TsoYxOYEfm5n9JyyM4dZey7ROHXx&#10;mL2Fk7sfQuSo07fVdpX7VHMhpH6r3k+1WkcmeNOga1QyIBmwpFLtaNnTOokbKYLCrMHvvMT0z9iV&#10;CzAUWM3l0d/NfXxHI1cGlQ7tm8WQSEQyoSE6hhIK8lVc+nNxlQ6rw6mxF/w5DzQyGfdShMUTiQkp&#10;LK4nPnh+3G7BWmKej8vpD7UXbzljwXhiTKwYHyXfb1+lfXCdB/PRpEP2EVxQOi9fAoKAPUhYxxMG&#10;0B9PU5gPJVRStDGcICQNMOcPaRQR7cJZ3XLvR+0p7FTDKu+b/bzxg7+05//s39sNBBhcWkNjSGeA&#10;/3zynOnYqXGbOPa6vf7O23b69AXorDn78+ffwcb4Azgyaw2qPVdC3+nkjPQ65cgTYh5yjsFVq1ey&#10;ehpT4iXGF/LN96hfxsd5+AJSpSMz0BUr7GNbliC7xKkoGRp+qIbmEC6ewBF/+89e8920ntyzEoc4&#10;kL51o3Yiru2vyFploVSRhW8SRu1+JmOYtHOZ8REKjtBeYhDc9N8MYDyYlMPEta1zME6+ZOTBJ2zP&#10;g0/acqzpvpkPN60/+PYr9s4L37Fj779tE2PXfKexXjilWe3e86Xf/G/t1Gksmn4ZFvPVZ23k1FGE&#10;+9i6ieumoNA5WemFJBSqcspkGhGOJvy8jAY5SJfrqimSsEXrOvRV5aQ85TtS04nlSKvi56ZVQ5hz&#10;hHHEOppDZ6/6pPUWbEi7EgfVsm0KHTdc7+tGef86w76rffbOCRR44Dgbbk6+HQq5G2v9fBlHahA3&#10;iGEYUmJSFlOfBLxF7JvNA2pEFswc43bRBCJuRcHQq9jX9XsoNPjNn33SemYmsNSELMBNCDBKVKp2&#10;4TlWfV09fRRzjf+znUTU+Ag2GabHeTOf+1FRNbx8pX0fcxkzl8+4t1eC8FBAvntD2XhBlMjpZOkS&#10;EY64kLmPawUXaT7kICg5Qr6QccxpAmfm6NxLokNBZjM0jPfA2F3Cwv7n9521T+7ZoHcdfeQxUZ7O&#10;Uh9o9cCu1X7ywmbQfjV2xynrU0PFFSVXlPl80yAMVrXRqs3oy6M/RqqpNIkrDrI1g63CdgSEHQij&#10;5G3gGrTL2NWLNnbtmg0tWXoz5PNnKJjuLUdYK1WIT3oWRZPoTjUPCUeRuIKZml5NJeSCGRyqForR&#10;dLpJKou8ZiTFK4FopsGPQvZuoJR9+0rtUZyhX0o08UbaX8fygzexcfS9u9ZjaRX2lfRjUwJ3ZQDC&#10;c6FakbloLcctJvX35SDU+6kvgkJBbP3StFxrEPk+7zFfp+iQf2fmpm3bQz9lT33xNzx1eDMfFdT8&#10;B3v76T9DWhJt4T1GhpwuYHRY1nxDL9FYXr5wBgUqvbYQTvrvfPV1Gxm5bscvXMU6T+zkhPMHP3bP&#10;FptClkD7iAqtOl4ssnRJnUQWA5DC20E36hQaQ8gRi01OnLtmZ6ewfeLyNfbUxhs4kWMaiSpEh37M&#10;JSNIPXf5Ov7NYTMVzIPeu2uRLe/XQeKcpsooTjjJzpXvDC4SNVLI83s6mr6TGD86OcPlhH/L89Ua&#10;iC6VxnQydQoNEmycLwT+1u26ze7AfOGtdz2CYOfmovmrSJG+/8oP7N2XnvZCR55M41tsskIsHJgE&#10;hyed2vp1W23957fa45/6JTuw92XbixdP7X3dpq8iRYJNb3vwMhmA1lnRYqYTZRz9ostbRCXp8Yag&#10;KStLZMgYpeAlcuLlEMdg/ODKZHRe5RwU/YyNWLKxHkcznaZxRNTIyHHT6qV+ygY/TOeQ6Iv7uuyJ&#10;W1bZpdEpMN7FmJtc4ilYInvGy8KpMBwSKfsOpVFFIyNahy6VV+FcMZgnZp035OHw7yg2HxjF8VEP&#10;PvKg3bt1rU2cPwINiNPp+T8wnbLWMkYsjybK9iJqPHd8vz35i/+FrVq/rQLxI77tuvUuG/pb/2d7&#10;5su/ZSNH3pJgx9Ka+poUn9Id6BU/3c+JcZSdLtIYpOLinJaPr4qEJ6U8+qicXfVWGpc0KokdXWcq&#10;9PHd6+2rrx2x149csPt3rMYJCQJElBCMFMpNWBC+A/R6fj/SqPdt8b0iFeEHn6RTlsrWXVDHbm0t&#10;QExeqsoz2xBN1X/lBdmB5Mc6loQzpZrbXAlm/sPej+PXsV7x4k9kFJkO0pIMylLCEjuPxIhcSQaE&#10;uWaM3RbMVU8vRhIM7Q/wPyrIqh5hwXaBv83caMTBIPEoacKTcLavGbZBrEPlXpaSY3WRsJDGbx+7&#10;bMNLhm3XmkH37qU4mwdDVlKb+p1AZFHEkZfrwH4HPSvNkh7B4uJzbzNoGnyl9aCRMvXq9jm75YnP&#10;20fgiHp67iY+42PX7Ttf/pd25PUfYA4cm5pxro0Rold/06iFa+E4cSXjRyZRN/VNw6kgpT34UHX1&#10;118/aKM4rf7TD+1wncut7/w939JSiBHmKoBJy3R+0jDRKb6E2oUjmA/sGV5uu1b32mIb90gQm7T5&#10;6HwxO3jt+tiMXZ7BcqB+LIUbmEUNKlKqYEEviiXFXCUF9l15qyq6Zlt4X9pODVfk+RX/nfJRi2ia&#10;YfgLlTfYJxlDC+7Z5QwKYBYOYYnW/Y/ZXY983Lbvvrvt5kdS6/Sxg7bXU6QvYa7/tOsPyhp34smj&#10;vcSzohE/bhTzM4BNbu+85yP+78zZY5h8fMb2v4Lo8cRhnyzmguQbPCiSOxqwwtINJRW6hE8L5KN4&#10;IhvFrZLTj40IZRgT0WLaViWVtF7Io5Cm5xxJUaDBStV1MJCnsHh43+nLMHpXPHJcjbQqieZzjmDU&#10;4YEeexxzWaevjNm+45cw8X/ddviSD02iUyj0aVJMAkJjcyYIgc8URhiKZP6CRH+tC+kXnSLNlT53&#10;3LHbntqzxWYxjzDrFV2lSfUZSovCwa2fepC6uHj4Pfvqb/3f7JEv/IbtvvcjP5LweXPt2g32ud/8&#10;b+zp//xv7fgr30I1GWAhveLMQeX/SXwpSDG3YKnqls+kYs5IwrVXpGH5N3GSgsrXg57FWEW7Tlil&#10;cZ2OeIzjXNzXDZqst2+/dQK7oQzYNswfq9AqqS0eJX/di9TbX7x12t4+MWL3bVmmdF18MvVXUoih&#10;aFOZJ7mKUk2dQh5OLswUY3St9CkJniYylIB326k1VVyS1xWFTE9P2FXsbLN2846bohsf6uacIg2+&#10;V0ML11Lu4o9WPuRNC6vViUvebXkrSOvtNXCn0+PtFgYQrPGYzuIs6sJvcS/M05jfH5/tsh2IEj09&#10;GPiusR5L/Rdg6zdEQSPT9tHbV0LJYG9JPRhdMLoWL4ouFbYO7NZ8tk/L1MeyoeTjxjFwnNV+1G04&#10;A65ncIFKl3OIPOAKY7ztY1+0Rz/1pfl6+ofSjgU13/m9f4qCmv1eF6C5Q+pCyg1TpuFABg0JgVfD&#10;Y7TcM3TZQC8yIGvt68+PsGrQTwfimUxPv3fcRsYn7QuP7fZTJricqX4ygs8rmS0IzGNs3Fd2Gqnt&#10;13D6yAUc03Tbji04EB7vzVz3SlF3ZDl0NDGBKP7SFIwv9jRdsQS71nSjiIbLGCJSYy9lwsCzTLyQ&#10;1MlIrlrALGIrmE+2Cvkoc+7JZC2NnGYkVBTQuEPM9C6LfFZh0/VHbA92nlmH4O1mPjPA26F3XkWK&#10;FEdzYavNqVGkSIHfHmSefLma7yAUgVzoPt97Nly6DqPYdrh2zWZbi/mtR3/qS3YAuzK89+J37NS7&#10;r9nkyGUgv9dPeuBcY5enCmLekdEOFvl7UYD/X8YmUZc6xRHM51wphzEt0sA0lgSlsT+1nVAGvJCp&#10;tI0wjuuxbOP05TGkI0Zg9EZQsTiMalUYPTTGFA/neFYPL7I1exbZGezVeBwVcSewaYBHnfhHSN02&#10;Eu40eMHIKY1FLjU8F6KiVOTGe7Udtzn45suHUGV5wTZv3WB//5c+ZbNn39OcWJmb8o6EA1dOoaSB&#10;S7bLc/imQcyn/8P/x84efd8eAS1uJp3K4oBP/8p/aS+u3Yx9U//QboxfdoXr+ys6jiOilR/oQqyl&#10;e1KAcuSpRFJdxShdM4fzEPpJYi7TUiPJzAOEMvJ77UfKkCdqbATN7sF8yvMHL9kSKIplrMr1LvRG&#10;bmO1CNb9/m0r7IVDF3HE1CJbxk2GA08EOE1k7ScNdDRVjEoDR8NvhUOL3g2YS8QsHBS+cAbNBrKv&#10;qtoXQOiuXfrJKlA9fRoetQwGHbI6d+2baqTYenQcHx+/8F9se/0iH6igNBzYkMhiJzNV7BcC986U&#10;+VtOEns6cH4MxW+LbQgHhntFcMGDtKCWPs3ZWyevYVtGVIwP4TxV572McZW012uSGZeiko0QEaqx&#10;DlwXfqw01JQAX6/zVBq64MrISe2TrdkW03HCNSXurp/6ZXvgqc91cOiP+nHswNv29B+woAZH3cX8&#10;oUeJuVVbGMJ60HDCoyCC/2Ma+UlkSpjN+fbrh1BzgMp0KGyePfiD/cft2ui4/don74Eip3GQ89OQ&#10;0H9LxQrnjMpZX3D87EV75dAFG8LSl4d3b7DFC2eQKpVD6jqFWQysvTw3dsPGuwdtyRJsntKN9c5z&#10;2F2HhtzxEro39YOjP3kradM4W06skEAPekITNMUymYVJxzWZV8uYSBLSB9/xPpfCzKK9ZThhaPeD&#10;H7Xb7/+ILUW0ezOf67BN72MpzHsvfw8p0oO+ExGny3qwCkD0YPhLhIZQuByl05laZF6k+GEd9+N4&#10;kz13Peb/zp474dHjQZwFdhnbFnVxg1wcgXQDOpcpJHbmHlHOM4W3mV5SIqFSmN9S4CJV5IZCH9VE&#10;BdLjYiaUWuc+UzMbliNyRGXqmUtXETVejbQqIkcs5SAo09i5gV9WI826CpVw2izgsh3Gs7dgwfjS&#10;QaQR8D9m8tIkiIBJ9LieEaTLdDIsBb3LveSvPLfPvvbOcb9z7NqU3bX5DduxvA/5+RDifMuHxkbU&#10;CgVL63QCJzykFn3tffordgFEfuLn/7at3rD9x/IHQX74qc/auq277ft/9M9t/NQBCB3miH1gVBje&#10;m2xcKJZcv5eOiotGKMKiVHOSPCCQMZS45r6qLlReZRRK0tEXBiPshzQUNw7nCRlL7MrErD1/6LJ9&#10;8o5VPrdWU4NqnYZyM3Y/Og3avnz0in3i9tVlDjNVbUGKS56Et6iN+FmfVbupegOccq1anGwmlEEo&#10;B1FclrYmynNw5Nsuu375J9sDlfNRqHIDTVTUUPk+FLp3Gc6HPBc3msmpGg7pK7UWpeRSUg6a7tXC&#10;m3Rj4nGnIR/LCFV8mXhiwcYlnI93bWqB3bOKUWIY4ngiYz5Gkwexocb4HDIBOB9TVbORHWmFNpBc&#10;HM0wrjJktd+EskN3JO08TK7Rin9LQ55oCIOoKIQpU83dzuHvvZ/6VbvnsZ8urPPjvrzz0nfseSyD&#10;msMGDQuo97w2gZFhVaj8ljGHZIkXqBv5lZG1nmUk9BSyV8yQfPXlg/Y+DlxeAMedhvLN4+ftKazT&#10;3bEeyUzuiJCZmXkAdqMtPn99DPPzB0/b+dE5u3PnRtuBNdwMAnx/BIyVqULOG17EPP6IYScaHAi/&#10;sW8WG4CMyj6EA1GnEPheOC+OU7Xj8hLOSQl0XJQiwnPtmbLXyKAbvOCzMJaKDGUMiaeZKawRxEYH&#10;6267y25HivSWOx/0o7Vu5nMWc4R7X4RdeuNFd0a1+TfojGi73Wjdt1zxAcc/QesUC0L5r54//Wf/&#10;PSzyU7bl9gesHwdg/qjPmtUbbc1nfhXR4y/awfdes/fAJKf2vmbTI9isGgLtZwRy71Ruc5YLyRlN&#10;er/oWJOL3r+8WzGxFptCIUQ0UtJFITFSAQJcSb80RPU6r7hxxMPrESWuxZzjGaR6DmMDABblcPs4&#10;LuWgNs3060bMV63HsoBD2DLuFCaaZ5A+HrwxhsW2zK74Tn4BLhqNAhAnoTOS4NEfGXJWUv4AG5f/&#10;BQxiH7wTenDcJX4E1V83FrBoRmt8UiWLEFKrUoIl6ed+rHYb6EYlGJZuHIWh/a3/wR74mV+zOx7+&#10;5M3wCqLUnfbZv/V/sWewofjZt5/F7vzcUDz0o69+rQVHHfFeiRqrovf7rlirIWyBkDjovsgmGmUM&#10;6b9i4BIwcQCvP7xtmX1j73l7/diIPbRjed0I3FvQs6y+u3PTEjx3zt49OeK7GGntYvJRGoigS2H0&#10;2nHBuxivoUMBrQIZkJdIyHW1BF1ppeyPrwSeQrlwbnj08nkXwDwf7scRjJmXLCjogCYjsTRQRddE&#10;CtK7V//xJ/Su8NZIWvxOIiRE+Rx5mcwRvwtfO7M7pfafuW5rMTWxBHP1iv6ExXKkGVAyhrTcu2fH&#10;7XY4mYOIJrUXqmQ+bXamcsv7oUiLTgjKSGFmHN8o26Bt1CY26NIzhWtd8Ub0EhGi4wOZkwc//xt2&#10;B6KQm/mwvef/8vft7e/8qWbPfEqCSygCvxGOC3PBVykDRJ8LHQGTgyNacf/QGRy0PmB//WN77Ht7&#10;l9i3Xj1gV7FP8u1b18G5X4QddZrl8S5AkikSmpW93ILujcOn7RAKDjesWmafuXWV6y46m+yT+sf3&#10;p8WuNRenFmJebomtx3F+A9i/hjtq+JQGnuly/s3oPWQjI/c0mIJa+OT3GIdzgLyRuC6dFqPEkCP6&#10;9Chd9HAXCf/nnKrmC4dtOxbZ3/7wx2z7zj0dcvnD6MNNvQ/D9rz7IlOkb2PHsGuItDFGOP+cKyxr&#10;7d3JSz2nlKngJz2SU+TGuM3Cp+fY2y/Z8XdetiU4PmPLnQ/ZLsxfrUWE8aM+fVi6cfueh/3feRyV&#10;895r31f0CIvdxc2Qfd2jCj1klCMVisoq6c0KjBglOZm2PLxKAumCFCYwiJPecg3ZUxBCCeOP5gix&#10;1g1Gbx3+nb44BsN3yfafvGg7OZcIo8mnZ6LKi4UcrFzFXvA2MjsEb3gKC1UnUbaMvrkehgwTnnH1&#10;bBNDUgpMf5zH3ObXX8f8K+YIuPsMj4fZjFM9dq9d5vObeUxX8lOwV2ECxQdKcWVdmf+Gk8ENe29M&#10;XLfn//CfYXPh/fbo5/46HKsfvxPOkuEl9hns2/jcX2y0/c/8Mc45QwUX51OcP2JeMcRbJipMdOBd&#10;iioNiDRbKi+/U6IJSUpNyUl4NdY0mKGQecsjGFUMc2f+R7Ytte++f9FWYoeiHdi8gWdydkgHnmXh&#10;1D2bh+2VIyN+ODEje3rDRQk2CimdjBCBDnYuBUKuxYqVie9pqqtw+xAixShPOIVe6Z/QAKKd/+7C&#10;HqiXUe49iv0hf7SjWbgo9yAmfpsILaVYTomyMa0w+30fR6PUclwOUc4JZE8VWx0I9j6T2qHIY3AM&#10;YkcQZVwen7NHN3EZVBg54iV4h2+T59+DwzK4qB/V3kxx51x9qyiD9v6uYzbwSfhTD8R1sY5TtRq6&#10;vJdtpiHPtqLd1BeemkPs7jueAPKF/fbwz/1t233Xwx088cN+TGLnl+//539jR6Hj6FR6mtSdVbit&#10;vm4tMMC2gzSOn9Rx+Ot1F4kpPh+45mOMGDG9bp+5dwsySigKBJ657SWv0bhxutGp4RklGSBsEYxU&#10;6WV7cf8Z68O65qfu2u5pai5hI8q52xAjyPGJSXvn6EWb6lpoO+FELu3FwcB4xmXP93bVqH0XH0df&#10;yELgXNXYhJ16opX90Nm8KrCKjmgL71S3EPSlMXRaICiBQZvBqRuLVmEpyj2P4JSKJ231mo03RY9R&#10;FH/ue/V5VJJ+D8WIB30etMtTpMiEgTaa15WNyX9VhiivWrOe13JuMV5yGFBYqqq3a1i8+Pq3/sje&#10;ffYbtgZGcce9j+KA3Ids8ZIVPxJY7ie36qd+yR7++BeNC1jfh+U+8d6r2ILssk/Md3f3RUWWBMSd&#10;0bTcMQAfRHioWQw9x1SdPywGc4arfB/mI/2y9KBIWG/MhY3eLMm6HvNQa6FEj52/6unSI1jruB3G&#10;0Qty0PAMkEniDd+YsMXdkzYGwRmZWWyj2LJrKYwIlji6AeF/HUync+zYgO+MBnjm4TdePWgX4CkP&#10;YHmFFyHh+lPY0mwZ6DWGEwKYxvC0ZZF5MomUFvc3LEbFjUswXno0FCzgk+seDzz3l3YZyzce+yLT&#10;qT++mIPzDR/9zC/bcuyC89Kf/RtbMBrzjJlfj51vfGCpfQLInKPJSL0WbMh4hK2Q4KZgidJClDR2&#10;/RncpOYllXRiVuPg6Xs2L7E3jl3B5u84w20Ie9mWExckkDSAW3HU2GmsuXrt2FWkn1Zo8+bsIzmV&#10;QFEAgy1qJJdghZkPQ6LHhP80/7pU7kipRV+Vfsl/oV2Cwen8TE1cw7KMyz+RUdTifSmmVFjJ9zoG&#10;TcbIxxu2MIfc/k05EUECz/5uwBlKWjeDbvFwRviFbniCvv7hC2O2HHNQOAK1bOhf+kS7VN48MeMU&#10;zkx9ZNdy3zlFpyWk+gmxzJecLUIJe98hty0NAtGFr+IxCZBgr9mVHB5GwEBE+4C5buMcIvdN7u4f&#10;ssd+4b/EDnz3fBjaPnBtBCnwp//wX9iFg+/6HH8W1EgfBU87cGkEiTXSiZdCKeM3Dg/Bf0POoxdl&#10;XBnN6Tkezr1+Sa9tWoZpFjjTdBbpZHhg4TTkmsNum0Tq9oWD2OlpZMpu377O9xWmPtWJI9zCTVm6&#10;o6cu2oFziOxXLvcpCpx7L3miYXXeSeYQUpVC5T7KAjDXL/sJSqn3/Ibf9C81cqxuS80C5XFNYYDx&#10;BpdUzIEhlm7aarc88JTtvucxHNm05KZocRbFnu++9D07/OYLqCI9h2ida7zBZVx+5hOvokE6JPI7&#10;igBoPGlvfHpKNNETSSuB0sM0gFIMiEYYemKh5sl9r9tJGLjXV/yhbbrtPttx3xO2fscdnqf9YR8e&#10;wbH79gf93wWUvu57/VlEj9+3y8f2Q+uxcpXzdSjO8XJlrQ3JxAg9Lw0msA7CKaRPBRD3M/qNsSoa&#10;4A9KXggYEZPaMJGC/DrN0S5EINtXD9oJpBsOYN/GE1jSwchxGU7/5kJ7rhskIgdszJag3Pya0Tii&#10;qAgHhK5YCOMIY8cNvr3H0DFEdD/Spm9iycCLOAWgn0cA4f4Y5gIevmOj3b9pGdZrqcxZUZZ4SrBH&#10;MtULBWRwZQzlNedfzzz4G3wehTzItV88esC+/tv/kz2AXXBuf/inboqx9tz7uC2FE/P9P/otGz21&#10;T9XEjIAVNgI8zXlI94Y2a5Ra6iJli/RLnqAPLgRNAtOZQq3gtWfAJS74PBxH27l6kV3BLh+vHL0O&#10;g7fQC4QKX3s/xE8XPOol9u33L9jBc6PYOH7I06gyZjVSTQOSUHVG+Hq6bGIcI2mRWEYThkQs5281&#10;f5t9GpN1AxNzWKx9HSnUldjB5GY+PZx+iPVYpaI2u2KfviNGVWSFh4JnXVacJI0cRQrMo5kgXhNz&#10;xXAihmmtcOCardEgXkdF5DlML9y3LRUYo4x0VAUXFfu7p6+jCGeJrYJT41FiOHSJ646+mz7EO9RB&#10;ZLzMnwSmE655z0sxpwYPPgwa+FDdIHJDBG4+D4O4eJl95Jf+vm3efnNnIZ6C3nr6y//Crp1DGT8K&#10;Cye44wxln7Ma7LmpvveKxvjtutl1hM5IrMaT1zinpWGWakdX5PkRnT2yxEO+XItoZMU6vl+4dNHe&#10;PnrOBrA84fE7N9piVLhfGsMcNJ5nLQJXdJ2/MuInCHVBR9y6fSO2Z+uBQ44IinwZiku6JvRlGD3q&#10;W13SdS8J8GtZsRoS79FeSIMjWnT2x+OvllMQ98xsIOLFkVRdWHO9+rZ77baHPmY7sQVbL1KdP+7D&#10;iPIoijvffekZO74fKVIstGcNC9d0y8ClMUzjllGi5CD1VSI47Gbwa8qK9IaPOQDigjkNjH9JXAyM&#10;YW43BjWK3f73fv+rtg9zhys27bRtdz6Mfw/Z0lU/erfxlTipeeUnfhFVXT+H6PFV2/fK03Zy76s2&#10;hQWUC7lGhAjxdAZDWdfAkVKI3wGvpFYfncDh4hfMJoQUY+oyUttKzz4G5sPjukQ+tg3GkRV0p0fG&#10;sWC1z67gxOglXVO+ez8j52lqEHDvENb2MGVyaXqhvXj0Eg5I7sEGAsOOH56JxrborZyH1/aV1466&#10;F4STojxtuh5LQz6DvR4nUf01hTLsEoM4nDHpT1o4A0l/eJoiyp5lHCPF4d+FDW1qjb7hZPBEhuf+&#10;6F/ZORjIhz/7azYwOPzj+Mw2btpmn/3N/5N9D8s2Tr/5PaR9qdjhFPgcgz5pJHMfUTeYHiUFYRwW&#10;Srbok1G0i1QIefUunWjJd67bJVNNTObNsH8UcWwatmf2X7G3cabbfdh5Y9bL20VXvkGlwuUcd2LP&#10;23dwSso6LOgf7OduFOpD1j2jxxxQwOs/hVP1Jjj0aYxdue/E8ndSAddF/ZqP0ZvRkvNfYAlpnZ/o&#10;wGHfd7PyuwYsA5eYStMveUmYYwj+XI4qovgyvqp2dakZc0dbwWTB25RNpk4PIeIYXjRgK7FlIvk+&#10;nTsfNn4zXUdH89r0ArsXm0t7CsvByggksdyOr+WppFMYRn+zSEzDe0muwHtrMAlKRJkuU8QngOd2&#10;a71L18Ag/le24SaXyOx78wf27J/+jk1jLSLrJFikUpIqgCzrarQaUf2mg+XrFPnbxSN0lTvDNKi8&#10;zhvauMNFCKjiTipS2LjORsEHY9Aho6hCXbNsiY3jNJIjZ877Qvpd2zf7SUGc+rk+pf1mF8J5vDo6&#10;hgKnS9g8v8u2bFhrG/AMi23G4G1mAY02uwrV78pENCh87HomHMasHvXnJPvazzRkqyik4E//LZlg&#10;8EQ8zKKeYiGmb7bf/oTdDmO45SY3yb+GGpX9rz+P5YDPYarooI+Dyyl6Yeg1P6i9ueV00EuJXJGL&#10;cJVr2QY5I3o+3LIiOzWFnPzKv+GKc+R8EWoQefK6VRuMI4szANQ5rJs7e2ivvYl9NtfvvNO23/2Y&#10;bcQiSu4E/8M+3Dpn9+0P+b8LSM8eeOM5O/Qa5h4ZPWKClSkJrxLyvUlDueJLWbJcqrpCmIrMVo9A&#10;la0STt9NPn+GgnBiJiPEs1zYTwKvxhFU7OLajYV2ZbIf3vCkDSF9uhRKlpO2rmjxwHKkjHpwdiMP&#10;wB05ecVWYWnH8qFFvsEuT1v/Dg4+PgYDO8AtyzCWXvz9/KO3YH0kPMxg3LR8YjoZPx3uHCovGFQ8&#10;Gkq2VV7JjBoqamQgEExPI9o78PJ37eIpHEeFecaNmKj+cZ8hHEP16V/7B/bCmk323tNfth5UPLJ4&#10;wI2cCCFxD72cBjGjr4Jkty4RaWRKwsdTlbBMjZ4jj7lQNbrRvzpdZPC48PiBrUvsuYOX7RTSpBuQ&#10;Ls0jxtz8oH1OGW9FSvzsdRQa4By4R7cvlYS7wqZhlnDINDTG1zl/noEoyKpGyMcU1Xc5lMRBXarC&#10;7tK7luwIhhgP7vlpGTf58XPtPM2XMIpzcxTCYjgIOScSDpJI1dCtGEfhXE5FwJZOgKMhxjz/WvRM&#10;w8Io8QTocO8OnnHK9Fsb2chZY4Hb/nNjWNC/xBYhw8IlUMm6PNZMBR1pGIN7wnFx+tf/uGwINCmx&#10;lIXSQOGddBSD2xqD6MqZ23ahEGVg5QZ76lf+ga2+yYj9FexO89q3/sR1HuWb8uxTIYGTJGcaYMWN&#10;STMu0Gc6L3QOl6ohd6q13HQQQknn1BCuoSCdSlgKns9D/15jZNeP9bjjNzB3eN7OYn31OhTSbFmz&#10;zNPS3PyaY2QdwxTqH/afOoP5Xhyrt3yJL4PpQT/c0tIrT5VmchSLJiEPbr/EU3LKZSD8iuslvVB0&#10;VGkgFg6F7nJ58xQ1za2cEJ5fuGjlWttxz6N22wMfsdU/JohKnJ7FHOF7L3/fDmMbNsoOp5sYdDhO&#10;S+ozcai/wj3/o+8hIXEvg6bqLOrw42Siai+EB2VCUUrC9rJxUjOb1dwXK0kZOTjiILRT16/aQUxy&#10;HsZODsOrN6Bq9V7bftejmIf80UflrMT+nCs//vN2P6LHo/vfsH1Q5CfefdUmL19AdMXKVVSfuhfW&#10;5IfdqZGyK+eJudKg4ot1jokPMJQqQ1NxVOXHcaiyKJARSlheLyIPHJkyOICKQazxuzzejxOlJ2yw&#10;a8KWIw1EL4wp00FUk94Kw3gFXtuFa9ftHM4HJG/S+3v58FlfrE84yYw/8/Bu271muR/S6YuEneEi&#10;JeqRSvX9k0CFTiF8yuXnJ5fRhonRH3buMslJ5qtnT9i3/t3/w/Y8+bN2L+Z3tWPFD//w7qOf/Dlb&#10;Chq+/Of/1uZwACqjZHleGSMK7xRowRIKKBVqMqSjkVIWGQeJYDBqg/cAR3dqeqPOS/paZjgliARR&#10;zv8WDB53TVmCA6bb4/fUzA1Ei4vt+zCeJy6N22ZuLk44wjBW6lOpNR5h8k+wfSoKNZkYl0eveyVe&#10;1v0clqf6ApKSxYghB16u/wQbg7tzyOxJwaEEtnRXHI0YWQ5QAizDFzSqkS3bSCD1nP+3gl6clQ76&#10;xrw3T1g/yH0w+/ts1WIWNZGWNWpmW5yvPngG1YxwIreu4DrTYM7opKR0nXeil8rYAXOF3B2fpIWj&#10;O9qLd9yu5PccsTS4GwqXNRpEyN7itVvtqb/yD23FyjUd/XzYj2kY0Ge/8u9sP2oiWAns0V7UJDgX&#10;OCHk0GVELqwHPvBH1ercO5ow4zvPVfUIRTKUhrWkT3HN5xtdH0l2etD3xesjWAnQbUuGB+GoX7EH&#10;b9sK/QQ9xKpSPMvKdv49c+GSnYSjPoSDix/AqTOLkPXhBhj8sDAvjaHgD2Pg8Kch1DVfxRhGrjwW&#10;Gawwk2JEfywi+DCGvg0bHVUWz8CgL9u8E/OFT9gtdz9iQzeRueJxTUdRRcrCmZOYu53C0VvEP5eQ&#10;SWerOFPxTtoGUTD1hmYWkreJb0lEh9FkG6FTU336HKobXFUCXx6F3sexmVgeKnFKLzT3AfU0nTt4&#10;VJL6zuoe9z7QEH9eO3vc3kDBx7vP/qWtBDK2IrW69Y4HbRgG8Id9FkLwd+6+1/9dwpzL/jefw9zj&#10;s3YJ25oh76gtk/w4Kx6oGhGhY0B+f8o+mY1m0cHi5VheQOS5GvaLGhu/+vatDpQiCdlFXcmM9KIb&#10;MI44cmoMFV0XxvrtGAzf8MIJW4nF4jwolBtX82DQVUjZjWD7tr98/YS9f+KcLySnRzYOxN6JfR4/&#10;tmcjdpHgmiMxTC5cTmb0PUbL/0L5OtNFkXnoXl2SgBXj6QqLg5HRI6Mw0uaG0litam9gN/4Lx/ch&#10;avwbmD/EBrA/5nPbXQ/aclQeP/vHv2VXj76DeUZWDoPOkuBQY0104CgLVd1o14Jb9/ALmTzdK7Sn&#10;NqsK3NVfMnPCid+cI9yEfWs5v/jy0av2+I4lfm6k5mOET0ZUNJi7sYXY+1gCsAo06sXvPEtOTJ1x&#10;YvQd0WMQ3wcY/pFLWDWQwrnaiqinpIpDKXqEnNqdzoM4ySmIRhlljV9FOguePHc9+XGfsvVYBB4+&#10;1nip9BK4ctiCBPPxJ/mNdFIaFH9P75TdiKJtKQ8pmPqeTN8Yth07gS3d7tiC9aO4z3lfOmKZCyC+&#10;WOF4+MKE7d64FKdnzCvCSe0jRg1e5vdg8EJzByx4vI5aEX/wkuNDF8I+Sc7jXypsOhfTmM8d3nSr&#10;feKv/AOchfijCwUJwnUchvA05tlPv/eG6io8OlRylHLgBi10iebEE78aSnoZYnHBmFxOvImPpHxT&#10;YfMpuRhyPNkQ9erE+IQdOnneui6hYGnPVtuE4mX2zeUZLFykE3L5Kk6wwO5dXVgFcOeuTbZsEZxG&#10;pnjRHg90LtF1GIES9YWVLNEgcRl6p0aHgeEwfukYdrSRjj7en8HReAswX7j2lj1Y2vek7UANCgOJ&#10;H/e5imCIp1McRHB1Efttc69YZiVZ56DiosBg4Fs6na0Gr4QukF0gjkOWm0dSZzpFUl7wnbqahVjc&#10;2H4Ec7IjKIKcQ5S4uF9yCqMYnZWXMmWBpjhh7LllPIPoIaXUwfXjbeSRcOeA0wfeslP737Q3vvnH&#10;tnbnHUivPmqbbrnben/EUUjc2fzhJ79g93/083YU7+/DxgC+aw4QxhMGSHTvyzmpnW+k5yVBkyiH&#10;OPMxKiRdlrEj0lzu5fFrQpzlKqH0ql4LXY/5RVScLl2CyBGe2tlr2DUeDLgG84lrsc6R627Y5iqk&#10;T4egqMcnofRASO5VuBzVrF9E2pSZ70lfiJ8iHCbQo8Ui1vE96Jyqpokic0I7zV+NrUgznSAiBYVG&#10;6dUCNDLVqfdet788+z/Z/T/zq7bjzsd+HH/aGmwP96m/8d/Ys3/27+zka9/27aJ0lFjk4l3RRxqu&#10;aS2XVUhXOTFEEoesfivXGy1X9WXDreUidyHC9luYnxqZmLHXjl/FWsalZOeIXNUPneItWNR/Boe2&#10;7j0zZvdtxmG3Dkoqroiw3RiSD6SMPwCjP0+DWhW3zGkquDoyDUEwaz48GCiMRV6nkpmElz8Or78X&#10;R9v8uA/TRN1IxU+78g0XNaNGdw4DT6GcZcmEcDdsgf3yLb+kcuF9TyzIuSy3i1CrMdldpgFR9n9x&#10;HFkILKheyigxz1gVTtkClcd7KHYagFJeN6witPoJ7BVk1z6FsaR7NYIeUYXiVg8kVtDB6ZZuSPwN&#10;9Euv4xp4lgZx+fY77WOIEIcWD/84tNv5U0ewX/A/t5HTx+QQxnFP6YQLH5RbOunhcAf2ggsC8xpS&#10;qRAOXhaPNMbQv1N/8nFaXOqi2LwbVfFnMYVzHfMF586ftj2bV+A8R25XiUMOkIkagwOy/+wlzBPO&#10;2eb1q33NKOH1OTdVxoSOrsbOMc3LJcILrVH0kO4pUhS6RAO112k0VcnLCI6p6d6hpbb9tsdxUsVH&#10;bdOWW34srvnA6aP7bT8KMBkdXkfNCg0UDbnrG9fz6YDwe3iIRCH5IbJWId7+rP4n96jAHzJaLQMj&#10;Yy6Tg16Gk3rx6hT0CjZex2v9WAO+Cpu7LB1AVhDBCg994yFuUmhOvKp+U1ZkUHjPC6ydSfMpf9cr&#10;FjmnLQ9lcuyqHcKgD2P+cCkikM233W/bEEqv2fLD06vcfmjHrrv93yWknOhBHEL16mWcNbiAizth&#10;HBdgrY3SE1RuoaAD7PlrsYo3pi8VeQVZvFZZWumL+BQvFsYRadUly7vtYt+w7Tt23k/n2IEjq1Yt&#10;WeyMeu7KVS+6GcORMUTuo9jL89qly9aP7eUWD2ApilehSaGV5BHTDS7MycThdEj2pIjTw0uQghhp&#10;aML+6IVQHC54KOhhRMyd3ycQpXz/P/0TO4N54Aewc0df/49e0ziI1PFP/dLftZfXbLC3v/V71g0P&#10;0Ksh8xwwH0Mq4FBwgd6M4DvTWpIwPRkPxngU6VacxyjiaVktXqOXfQ9SpM8evGIHzqrS1NclBuok&#10;QzhLc+0ie/7IdRROTaPwhgpcqWrvItYlCbZwpqInQRD8HypXvKCRStRC4OI56UhlGxznQQNv3vtU&#10;qozfp7GudBR0WHITRjFPa+D0QdlNxMO3cN6c9wWXlEEoCl5xY5K4Dr2Yps8B7jSDwkT8twy3UoF3&#10;WSx25OKobfU5Kiyy5g6FTS8s2riKqYRTcBrv3TLkLqc7JIFTh5D/Txc9+Efok5HoUMIhm6l3glU6&#10;8FtSqXE1tL30Fv5NQg7X3vaQfeyX/p4NDPz4NbyHsH3lc3/8r3BsnpYo3QDPS+EGb7qBlPMpbHEb&#10;S0EmjOd0QcVoorWoVH9LPNFGioEm4G3Ol7IcQTFTFzIK925f6xsenLh0yQODXpz4Mw0YTuL8ynOo&#10;W1i5bNj2YG6RJ+vM+ibr2pO24K3aM0GZeobaO+fJ0yAWI6ghJu3KK87ScjY43+aL7WenbBB6fRtO&#10;qNiNBfcrMXf44z5TWOvJKtJ9SJGeObzPZibH/YhCX3vN4qI4mEG8Hvoi+Nx5141jyFXD56JC8K0D&#10;3axBxE+mjPmPaecrOKWIUeE45lg4F7sMDsWyRb1Yi477sI7XsCvQNRjKvmWaEkDbnMuIoYXclSrH&#10;FnHO5Kngwpt1UUn/k0iEB4ncNgX76vlT9uaZ47b3B39hq5lexWL/LUivDuEYkx/2Wb50lT305Oft&#10;vo981o4dfNsrV09j95xJnDpA49nj4bWUT/EUCH8IoYMf3nYqD90KBm6+yxOtykT5uVC6ThxOFNyw&#10;NYPdthJbMp3ChPdx7JJzEcy5bukwUqoI98HId+1YYXdtW2X3b11lxxFVHsQaIe7luQHl6dyNxg9h&#10;LVKu6rQ0bDKWQrqKDCKioeeRC9iDJmyi44DczCm4cyKu5pyUV7ZFimPfc1/HPoCoTkU6dd2Pmfdl&#10;Nw8++TlUF2+wF//zb9vMlTNeyKN9UwPnDouUtWPO8SceSCbKmCBZShJXo51ijErimu2xDydeQRXn&#10;CBehnPfuTUP2KtYlLhmYgEPC+cVoATAxjcpF/TtWDdi+8xNgdBQgcLcPGgp2W9pL8cl1XzHnWu4H&#10;XYoxoaIJHiA/pVwU40gaBqyhRbKSWpUWnGeZUgXqj9kMgwNm2o9H2WRkIemKHHYRzbquqohhh6mq&#10;jJLywFeLYxLtdN7zB8hZBff03o9hXeIMfOaNSGNzfZvacYTKoOHfARTXrMKxbcsx/6VTocJtC4NX&#10;F3InXHxfc3ByjKQv3HHRzFaMX5zjsqGcbzg4cT2uaTjKbNEgbrz7SfvYl/6OtjT8MZ83nv2qvfL1&#10;/8TFcz6Xy6OE0nC53uCUBNKC3BIN3o0iSHrCyfe+xVtV4l6ME8syZO2Tz+KVOO3CRyDV5VHLMWz4&#10;wa3ztq5fZmuHe329J5et8TzDxdAhY8g0cI/m3v4Be/DWjb5rls4TxBZvLHUnlijuaRW9A+EsK62F&#10;pqSv7hVRo+FI8ne0kQYRhVNYX8iCoOWo3t11/0dtFzY+GPwxu5+xSR7cexBVpIfefNGunDmBMSN7&#10;BkPIfzKAiUMhJedWw8zJnchoMW1MVQ8xvS1dKp5m5Sudae64NGMj2JbwMorxxpH35/TX0qF+24T1&#10;z5x24XKPa2NTdh5TBBO4zz1SWWFNFwhba0otZ8rR+wx9kQR0fDobNwm8sI3tPcctDZZDCQRwaQfW&#10;+DANdwaTqGcOvGNvfudPcB7WHhTnPGbrd90Fo/LhZwbS+9mO+/x3GenU/W//AMe0PGcjPvc46ZWr&#10;vt0SEVvWcKXwSiJcdwcTxgRpMZg+nmDqFNB2Y2wxkV7OM1S3YAPrjdxbdQTGEUezTOIGj3n5LJZe&#10;7Fi92EbgOW/Gko018EJOgZHfP4F1alAaa1DlykX3sStZiTKq6LeGMXDsNry57oogPH7ZboHnIPKC&#10;5rKSnorgucSk166cOGTf/Df/d7vzYz9nd6PQKZNQ+fr8v7tQPLVkxX+H9Yz/wq4c0jxLIlR2oMGz&#10;A5JGPyCKZzJ+mfeGv9/BTRk2BHOnk8D3OI/F3Tp2rlkMB+u6PQIDyCpfReFSnEyDbF7aY+ewz+y+&#10;sxN21wbs/ZhRljNl4oiGnXjUCNIx8TFl2FK+J3abMWVkyKgnaJFzdD63G0UXcrbwni/LuLkKVPfi&#10;Y0mGe/febeYGOtOnqQiloBXJth9BXDkkW6n80t5LNk9Xhjs9YQstHCK8CRvl99GT9ixfxEZohBH8&#10;Bcy3X4Eyf2j9QCf5Q2kknoNxxD7x39TbrsccV6nEYxwiSOFvQVu5Vg68HznrPE7jsvXBT9qTX/xb&#10;viH/j/ow1fjcn/+Ovf/s1zxd7XSHAs0oRQ419+IcR3X9/XZ0atDefPUdVJQP+q5W3WEUx5EFmBrH&#10;YeHYFIBFOtzzuJ9n80VqUesL2TQMirevzahv0PjSBUC/FxG9QGdjwX6/nTyNI/BOzfnWbGexAxcr&#10;Ul94+4BvX7YGOmRFFw7HxYHNrhOkClx/uRwxtUtHG9d8wxT/rgiPf1lMwv955ERnmYefY+zUvbPM&#10;CDka+ayq6Yl7T+dzbhAZujW777E7sEfs9tvuwXs/Gr+k3KmD7yCY+T62X3sT8+qXtcKAmUQGL+1C&#10;+8C1+CA4xHVbunG8Ki2YDnfqTGVp3CVye8WAiRHnddR6XLqKPV4npt34Lls8YBtxCs8Ql20B99dw&#10;//iVSdR/aDOERVxqtBwRI2jHfimtPTwPrReMT4TWyf1g0tj1nILn/l14xD6EEJKMGuJUqAA0lIyH&#10;EW16FdWrWIB5CGE0zyFbunqTbbrjPhToPGIrf8RG18uWrbSHPoLo8YnP2THMPR54FXOP772Cucfz&#10;TiRWrpZQ1xVsVXpF/ENPSfelIDbik0P21FgoCOXIik6d8UXi5oZxA9IYrx25YqeR+nj/xEUbRJpj&#10;CNtbMSrkui2e2cjCmzNQHvuwmHbFYhTogDj0ZIpHGXC4DvRFROEZJ5ekbiyGqFEMrhDwfHroPqfF&#10;4LJ64crBc+kGUh9wJF79839vZ4/gxI2f/ZtI6f3oirzVa9bZZ37jv7Xv/+m/tWMv/qUXDTnwsUao&#10;aCzHVSDX+Vqeq/CWalisHE/KcXIekmA760co5k820SKf4c5EO1b0gtH77fXj1+3BLVgr6g5R7Zuv&#10;717Vh6UcV23lYJfvaTuNdHKHvQjeSLAaF08M00SESYuMzXw84ZiIa2SMhGONz+EO7zJ3Y7rptYps&#10;gpPCwXPVRAW/hmRV5ZHYFGYDgMLQmVLVXeFbTkDAOr+9oBDJfPrSGI5c60ZFL3ejkgykkXKqgscP&#10;XZzCcplFhgJtnwctSylEVvUZ3zUd0LYTEDnjS3Erq9PIW8pp1ShNNouGgdktGcRdj3/GPvqzv9G5&#10;zLNgon4ZG72KBfn/zI6//bIvAOeyCy20p9NRoz52ydQli0G+9/6ITS9+CtmtlTCMA/KVgUg/Nkvn&#10;C3BLEk+5iXxwlLEByiz2UeZnFh4F05xzMJ5c7zgHI+nnLuLeMryzAp0xqhnlcgyv/L6BjNoN28bD&#10;hi+ctiE8O4qzDq8gWqMSpxOureaw641v6wYgYgxs1zc9cV7mmHB+Ivq/AR3f5Yce4xKKS7qgl25A&#10;58/C0M4iCubzY6Nod/YaxnTOhrCu09diT12zbdgo47f/1n/7Y3HL8yWPYMvQA6895+umZ6BvWDjj&#10;S/qI24iyFf0RkORk/k3HLoxgpmWSs1MfSDmIH0F7BspsaxTLhi5CD48g8mPl8ZLBRbZr1VLoYy4n&#10;xJmRLBhDenqUy+OgwxZDT2/AgRCLME/rOjN4z7dRxKdnBN5eN87eokeISl8gXR5FCpJYSp6G5Kn1&#10;//krqiFZoeqlWnxEOW7xtVKrrkzDxXFE4dKVs0ft0ulDqF79mq1GionGcSOqlwaHln8IS3tYW6NH&#10;TNIefAuh+WvP2OUj74HYE55iyH09pYI7P24QQzGEHFbVHcLfOOnBXEJ8cQrwnduSLUS4PYDUKZVz&#10;H6qWuIaxC3OO3IycaQ+OmgeIbsOJ8dxR4jy8l4M4jWM5lhcsw56d9OZyjaWUR6ZbUmlJEbVbe+lg&#10;4DCMoqZvJecKpzBZUiiNO+jJOTYwA3eDOPnOi/Z1VHvdjwNVd979+IfiOS8OIIXzU1/iPONme/Mv&#10;/j3mGceh9OkNk7gqPBC99dsVsV9smbsax1YdFzvf6PNKMQpOCkCMBw7JHhTePH9k1vZi55Q7cXq5&#10;p4mjUaZah7Ez0UakV5/bP2o/c7cq2dLRy77LhuyO9OwneZyg45obOg2rw4iwu4BLI2SskmlOedra&#10;tzZgxu+b3RicnrpHOd5w4q9R1I6OwG3ycMhm61dXgs4zmg3c1VrF+BV2eN80EqwmdYPnaw6FglRh&#10;VP6nLk7AEHbbFhTgqCKVBqq2pSgxmSNxKgpkylm0S4czOgn94m5dtahSmens+Wu0PthKDwbmto9+&#10;0R7/3K8WU//DGPoCpnG++/v/GPszH/RF4D6PReYIBe04LHhXkMDK2r5Fy23Vju22ElGzZm7iJJM5&#10;KPyufpvg3BjkYvbGMAwNrjGAwDUaVZdvOBcc68JuGEVGYbjmByYkQwLyHhxC0I3jm2awXnq6Cyf6&#10;3EDBD7aY5HpDf96LUCJooY4F3DOxXMHVqusBRoui4YIFjEYRdS4ccNxx7aCnd6kTsdPWDVRbMk04&#10;hWp7Rq6cahibwP2ZCZubRmEYDDqN5RXUdwwPXPyRBvHC6eN2APUfR9562a7CiPPDaQCmI2mQ6jSX&#10;5Nkzex1ECj4R6P4R++iX7E7wJv4w0iU6JjGG81dHfa/YGeBzCEHH1g1LfPkWjzO8joPlT0HfjsEB&#10;YFCwCDp6AzZfH4AhLDU94aqR2O3G/T3rh7ErHjQK867XHGFYfN6NnDbSfX2YG9RJ5/L6XNR9DDVi&#10;KZYjB0ri0VB6xCCVUav+5G278Qxrz91tuKboJOYNT6BqchBR4QYU3HAidx22lmP678M+y1Bq/QDm&#10;Hfnv7OmD2HXn23YEa4xQYeLLEwJcJ7hy1zJuMoaVLK1C0bEist1aEpIVrBLsDnMFJ2CWHiFSTZug&#10;QLZiz8LjMIwnzl3y6s1VSxbBI+nz8Q5BuSxdPYAdKGaxxnHKjsOzWYl1X8OY6A0/oYMBlAqR0pBq&#10;0yQ5t85i1OQETJ3jzF74psAvxYfnKEMRUZLZ6JCMj8AD/l2e0/iePfipX4MH/OEp7MT7Ax/9jC3B&#10;Wq/ncAzV3Mg5p4kypsKrK81AaYNawe4oFeZSsUr7ynTI+Yq7NCouOCEYgRVXCGiIGyHfs3HQXjhy&#10;1Y5fnkB6b0BFNW6ctJTj9g0DOGB1je09iwKQTWOI3JXuSTzK6OXI+CWUdYEvpDIBdmUTC8qjnfAE&#10;0kJKdMt4oi/0Q5pxWcbNbAzukEDgtewkcCCdGG1n9W+jPcgfyZcxqDSFckRz5JU/eEmXa+SYxQ10&#10;1C5hjS53ptkD3HLNodgo+qEhmpzGYc9X7dZNK50eNIphy4TUwhBiyshblHvV0dCdKomJzuCL6sEG&#10;MwStfIE1zwWctT2f+GV75Kd/MYn5Q/8ewZaVz/7hb9kElDynXbx4JvSB80Nh3mxCUM0yEsWuUWNH&#10;37K9rxy26Z5+r2no7u73iMTlkDt0+e5cCChQrMZIbuz6JexCcwnP9uM2Tg7ytXwMLHXi+wKeR+s7&#10;GJHeXB6AO1ywiFRlVxc3NFH9Ix1uRymu46wqfFEmgdD19EDBIwhw+emCnkHhTdfsGH7RLE/BuE1Z&#10;H6tvud1aD3YZ4nMwtD5uGKwFSJv2a72J7ws7MOgxHMaBXaQ4h4hxdhm3wORRZqlshB/qvGPvv+FV&#10;pKcwJTaJCFxRoZbS+Yn2yWjEr2soyQU/RfzUY9EFqSGcA8J2eEDihT6co5+1q1iOcvn6FApmEMgh&#10;KNmwZqUth0FkSv8a1hmeQnXudVSsc3s/RoRrcZD8Iqx79gpfh4U+RQR55EAJnsPk34nbS2PYuxP4&#10;XoLF611APufJuHn1NVjYq4hwSCta1378c0+WetbD9Wog1ZSY+QODDsGU+ddjQjHfZyta2O7bMuH7&#10;xJUrtu/5b9jBl79jS9dtts040ooR5PLm1OVzJ7Eh7sEDHvmwKrUHaY2hNQ/Z8ZkD2CPvRSh5FLe4&#10;MkGhBqpAXRC8iEWehjxyrT/LnUToPXC3db+PMnTOBbjw0IsAc86gGo/HnLB0WGfJdWFf2EHrWT9q&#10;V3qH7dQc+sBhmKtwOsBJHHJ8AZ7K8lkwKDwuToxzxH4Y6MJBXxez/zJO4ugZ8xBeXCIVQYHoWkDh&#10;IGG5MJ/RLyukpm3nPffa4kkQ/cwB348x8V6UksKYoojkpYnYdEQUAWmjXv577xmc04jdhR79wt+y&#10;1djG70d9dt1+nw0v+7/a93ye8W2kn0JIY44g3SSXBSd1RqocWqi+khZJsVCUpXRqY1mLEWUbFaop&#10;jGcIc4p3rFtse09i67H+aaRIuPOQ4j+trZ2z+zZO2tP7u23d0JytxdKa6ebEDcdyKPqUxw/l3ABR&#10;sCWqqzj7/r3ekGiX69Pil+6BbtyvcRTbVv240zLUjJSrRKaVJUmMw1mMunBTYa94SrCyhfS6cxyF&#10;Vs3L2ecBLMRfNdznhwiroEkGkd84b/bWaSjW7sVIP3FTiwLVh7COcCUnVEIfLrJkP+jt18IA+lV/&#10;VLpCqouCSQPCtlitCMMMubzn079mD37sZ38kz/LmW9AlL2Pa4Ma00nlZ6agCDqYYxZ7pHCexKR8T&#10;qJqc5pzi83+G6Zpn7K6P/V27ePGEH/7dP7TMrl457vpiemIc0xGbMP931WaunoHivmAjV892Tkc5&#10;LoKO0sSeSl0GHbdhz93Y5PqancMBxjPYSN7n33zAgadI62keWzwwOLjMBhcj+YprC1FZ7nhB/0QV&#10;07HXUZi4EHPvPb2DNrT9kzYLfTF99TSMMYp5Fq+0kSPP2cLJETjr223y2jnHy+gk+g7eWwRd1jew&#10;ylZ87D6HlZ9rV7DfMDbkPvT6C3bx5GFP4bIQbyH0JfWpb3HnQuWN+Dsifbg/jfyn85Zti5DB4xw9&#10;yQ56M0V8HQUzV3EQ8ziMMfXjsiXDtgW7ilF1jqFq9PT5S6gc5VFeiBgH+23j2mFbhLGzDdVxcCda&#10;Ni8nQ7IW3BXBh+d8wirilIweKOlpLFbHZDF2UqdVHUaDK5Dim0RUMorOGOFcQSqBTQ4g6hlCKLqQ&#10;k8pUaeKrjHC9y5J+ymEW4QslLQyERCuczjkYXmRVJyG/BMRTab8D5c306jbsnLMZG47//h982f7g&#10;a6/ZyvW3upHh4ay0/nPduzBrfYdPJLviRztDWH8ygH17fM0jGMIRz8noUFpMB3E5CcuDuRbITw3B&#10;+6x6ZMi9CLt5LHSnABuF9yAvj3aYOmWF3hdgcOn5HcPJGyex9+MYSnqZOlgMwzNJpwKeywQmfPuc&#10;YbBrwgyUJI0u8Loc1yZJbDges0hZT/EMMC7AhSG9fhXKceY8CAqmXbrRhe7K2EU7+s5J+8zmiSit&#10;TiQGE0rvSI2EQvXfqZQKjlXlSabkTjiXgN+//Ff/g931iS/ZnR/5XLB/tt35d826jfa5v/XfoVDh&#10;P9rB57+CxdrCpRcQMIXmGl1GrhA4UkDecKRBkvbFS8zHSUOKUKYv2Vxjhzg2FtWsRXbj6uSA7T03&#10;aQ9sghPhm7mrR0aGQ/2TtnMlFPiZPniRLPiiB0wtGwYuxp/+YkYzJSJMy+QwS4GVqD1/+1XNA7t+&#10;TwVO/g/h5g2um7sOZbJq/eYPR2pzVSfC66MIumYnqmVWVJxPldedzgJH79e/FYV1p6LOKE0nMlxA&#10;VfXFCRwPtZFRImnaKCnQehSbKZy4Powqa9IcuzWVxVnqQWKubExyYwtF1YlpCFuUqA29X3GuVEoY&#10;RNzjLlT3o5L6vo985kfik/L2wtf+g73zva+4M5pHR7mTk4VhjaNeEEZlDB7j81Ocx0OKlMcJdPfh&#10;1JzLR7CcANXnp/fa9HGkGrE8wZ1ttHf57D45D7EcqG+AUVpg5APOSyXSFGT7zLtvIjoTxbtR/FJ5&#10;oLCX46XdmOIaDe8VloXIaUl8s/8e6Kh+FAaNIerv74Ez/8aXocsxb8mTNFhog+/jczg1g8YM42Mb&#10;49fP2bWrOAMU6657kIK8euk0jCrmMnevxRr0d20/ltgd3fuKjWHaijrOK0gRBSvSTmOYXBdUdzlO&#10;ulaGzMVOnU9Tl7CIi0HHnI1jHvDq6KjPBzL6HRoaxLrMIRTEINMFnF2+POL3uDdy/0C/rVuDaat+&#10;RrfUBYKH91J2Rd8wfBJnb1cZOf7Wigl+epYvxjE9+McU6hgU+CiU9GVsREsrO4wQcggpvuVDPBvN&#10;YCCnASgWPuLQXOa7B7Ex8yDmz7jug+IjYKj7oqNQGDWFFsSL++7RpgKn5XbAQxjx2/e+Q/5/Fl7e&#10;CRDkxN6XvEDk2ZfO2+ItH7dl2/d4VKgqMuwggzSCV7uC8L1orGfBMN5X4YsqqfCYb2HGPfWANqQk&#10;NOOp8Flbq3G/QMydQRTG0d7EDPLy013WD4NHw8l5hT6Ml3OwfUgz9cF4rlmzwtatj5Js4Mnz9VzT&#10;gywC/1LBzCCSHINrzeKbSUz4cg7MhYjPgThZLUn/1bfTcvsihpuGxzqKDX+vvPfH2PfwLaVtnNck&#10;dPEjVXRzT4wo75vIDk8zozO4UWTwWbT/0p9hg3AsgXnwZ34dO9z88LPN+jHP+PGf/5u2DMdQvfa1&#10;f2cLJkdjNx0ZRCHZBxd/CSuZTSmUAEZwNylH3YvLqT2LNs9xqglGKDsRkV9Hqn8fDOPt6zh3EtEm&#10;2mWBzS1rUcWHY4zePT2NJR3wksuG54ooExcebYWHWJZUqBv/VMFtDFTcUwAqIxVBQBgyGTTHOlLs&#10;PA38Zj6+MLo1Z2noEjGdaHDODTNSmw9F7OhNGPyx9mXxwf+fsf+AszQ96wPRp3KOXdXd1bmnJ0fN&#10;jGYkzUgooACyCJIAY7hcs4C9eL1rc3cxXtu7P/+wfZ3WtgzGGJtkL4JrTBIKSCMBSjMajTSjCT25&#10;c+7qyjlX3X943u87NWB7T09NnTrnC+/3vE+OZZU8mVTBlm570JRiALFZdQur7s/Ek5144cIc3Gld&#10;aIzfDbw2A2l8+Ra7Pzd51+tMUP854DBOV4pApXyYWXFvtkCvb/noT8Q9D737vwnOFbQK+wo61FwE&#10;I6eAKIzbhuEbFYr6E8PMoCJzpot2bWUWXqNVeZvmJq+ge0uPeAaTZjxDhI9HC9b0RYW6vPyu8MJC&#10;pVZ49A1+0VW5NDPrP6igN2R31pRd1lxKz0i3VEwalB8dQn7BrEp40HC5Xlh7rRDOsxPnogt8lFya&#10;Y/JauwYx2OBATLTh2RAfpodwYXkOfG4rOh+8NUbefDwOfPEcktouxTPffCI+9R84lBh0jjm59KJZ&#10;QBdenk9baa8Fnl6cV96wUEEkwxEJKiq11GpXwIdmkNm/uLKhgv5eZI4eGdkjq28VIafJqUlkl4Kp&#10;MkYIi3DPnmEJQoLCDqu0CJOfe6hCYp/SXPg3vQ6mf03uFdxtlTpfgr1PIVDIeMncO5GRNYxjNsB1&#10;lmEh8uc6qv9JqkxZ7YWQHBp11xD6bRdQgrAwAwGJi3bBndaDBbYztZUuxgKzmvdpURWTSWFYzFgB&#10;OoFXxtJYTzXkGHvk2ZxRtwj3xTpSfSdf+5r84RxqTB87j2F9D6091ipxPEkHiLiFxccbKI5lkJap&#10;xgQMNZJkjkpFFoBMEWXGoemZnzs46+7/hAaBCneyYQu4wTrs6UOAmpYm7kvLs3lNsJB3FAOLe9A4&#10;vQ8CewuZUeudTbGACds0+ZeR6LQC95pcNdAWOYePrls21S3tnZoQMN+CBbkDd0dgkkeFZOboCSND&#10;1jDzq3rHw6oPC4KaJSp2imdsxdouv/RN1TQ+8P6/+N8dR3X/I++LIfRNfeL3filWJ9gNhC5qu9br&#10;mkPCMonE9S5mepbSZsr5viLv3IMkpUaZv+upeJ0793fE0+eX0LB6PQ6h7yb7PpZYNtHrnrHN+Orr&#10;SxhIDMUP9YvqjZqrKPAp+NgINzPnRlgmeyLOJJHVx2eqGc9Jd1fBY9+DjcFRq/j/4CWCJXGTSUhJ&#10;bGAwZQMJz3rRCUc+VH6o7W1g9Lpv4skuwZjMGeepEB8DhC/Pd8Y7buu0YGhYL70i4zNLcR3x8G+/&#10;ZwDuOV/fS6rf7TqpAQ91hBTOBjxsuH7hp/q+IX5rhuUC7x3g56Pf99fijvv/2x2aplEb/eX/8m8x&#10;Wg2j0eAJcYzLOFnhn5adz6AH9TOUZ3bzacYu0M7x0gvAb7hJOTgd54iVqk+t3fCViCt4TDzIC1Xt&#10;1qr9KjSaD69tYXimxL3LKoxkjaEDnZG0USBeQT4V0Aov8CTM62Bm6gYs2znkWWzu9ELZ6YvrsC5p&#10;PNBLxfyA7v03OcaGizVD0LScwED0MzuBvMAYQK6BQjj0CmIurr1BqdyW5ZRHqUI31QfVDjcO9TW/&#10;pxAyv11Dlur8wpJkCdfRCX59+OAwPHwdsNTX0cxlPi7ie7bSZAx1H2KIzPKnklbKskrCnay9xDUD&#10;UOxcK5X64i+1h9obebr4jZWNMt0FFQ2ZMlsIEL85tXkQBeuD6CdJK2cVMTBaieML6PiwtQIBCSkO&#10;t+SBYU7h5gBd+KM5c22egVzEKAHEHnzfiem8ymSt6dULJVAyQ9VfiZL9MtfSSxlVKbgK7bUw+wsX&#10;vHH2WfRL/Rrcqm/FIyHLcBPtpjAzbQtpxQzAdgKA/QOj0I5WcfwKUoSh7dARomkEdX/A4qpxMsF2&#10;dKF5QPcQukqg6ffSzBUhFtdPk14Mn+tiSrU0Ez4uXbMQvhhgKgQH8dAdS387952F5EyT7gQ8BtC4&#10;d+++E3AFdEKQIvkGsO/B2ptXLsTm5GQsLDTHhddfiWvXrsZVxA23kVG7gUB/59DeGBq5LY4c6o6m&#10;4SETdIk3iDJyXQJfkgoJTvBMN1xR0QVPLlwUaYbjDUFMFRYVFI6vIynhyqmTKPj/kegHPP5rr2M3&#10;3xkDf+XvK8194rVvQilAwF8AKoy7kG2h8MIxbIZUxd0Vo8/jK5wpD8GLWjP2Dey2J2zvHOuOb5xG&#10;FyEodexLS4uQx1GPpxfk5n1d8dzF5Xj37dif6kEa2HmlVOSXlZfDyJh8KDPi3sDUE5cL6lbQ5xLy&#10;kUmo/08bg6t0hsypEoYmhur6dP3lMovArI4QUyZe8JTypBXAdl9Hf+X/cCjbX52GJ27fnkMx0jdn&#10;K7F8rctux/PnZuMWDLTtg+K7nt3ZvZZGqCYjqoi4dlCLxIWLu4VpozJSobJ0VrcUI/01wRX4bZiF&#10;eMvdb/6v4iK/YLnW45iBuIJSilbWPyvDlA9S8DGhpYV78/jWsCiQTcLGWhmba+7eA+sQLkMm1WEt&#10;g+hOtLwyhVjxrJJtKljn4kVWu/DMHxS25t/51CXGuOup8uBcog8pVyx05D0uCmftrvczyOOFt3Th&#10;8hl4Ni3QsjZPg3C3nh24Spt2oMij7GNtcya2EQpan1yPGfYFBS842DomAQZI1FK6cokaehWG6lEL&#10;jpbvDGrxxhRadEsvwvO1AI/kOtbXAeG7b98oEg874V3biCnMhLyKUVlUcvnd6B58h6L7Nlhf4sOk&#10;7yIXCuxkFTbCKd+nRSj+zu95HC0crhPXZ3lLK3kzOvPsP35bXH78JRg72FjzVCJOMkgiS2mIiwfp&#10;BiHQCtze6Yb7DzO6ICCnUQS5Dc2RWaq9MG9HkO6qbDt8P8+6EValzqFMImOQEpDMChWsGjAnGYs3&#10;OdfhNXN7TUSJr0Ilro39/iDuttiRfhsqDQ5Ymr+CrK8rcotuwKW6CaG4tYahv7hvJwDbDiJhij47&#10;G2hoJwUjs5q8YwYWkYffr8yo9qivb0DaodKZKQjLe7pEBVD6rfE5XaCo6XH2arF47esnYXcg7jk9&#10;i0a+sxDmF78uVwwULwSMWUuDmCd84j2ofaTCuI7OP9cnb8ic38YzDN52IlquTsbk+CtxYOwu9ZlV&#10;mWkSdIm/EWDO3M77VsRnNiS4v1H11FpNaPpKiUWOxV6A62nqylnUNP7lOHbHQ7vItvGPoeE98cEf&#10;+9/j8U//Rpx+AnFGroH+DE0YIDgKsyGxlCy0tHZ1oVrjLkIlF+vvihggyhT8IFxJqLgcy1uOj3bH&#10;cxeW4h0aTOwMTp4GVIzb9nfGNbinXr++GrcfoNvP66q4cy6vKm2xypYHFGvCf6dHMb/js5mB1WCt&#10;Fpk8l0IKZRmIw7AgXrHy/8ZLiSCsQfMwIdNkHl9Zjbnv5TIlllr+rqGdj6jjzSDKNa1g+EjSwAJi&#10;M69fGo+338MjGFLIFw4hIzpzZRqWRgva7PVaIIoO81mFV+X6Pq8IgFrk2MIu3yUZ17ub19B5Ailj&#10;PWh2gY5ALd2D8a4f+qk4ftu9/03YvfqtL8fXP/mf4E2xq1PKbPFaNJxZXM71IyZA9cu0InrArw3E&#10;16JvLLbbr0JxndH1ZsfPwS05EtPXYYkiIa7A2w/d4BmpAJFiQs9lIJi9FXe/vXm7nPMFENyJhvMq&#10;wArepl0LTfKomn862xWN0ZE4o2xm0rQscP9jKKkFMNpC6IvCfQehIWaMbqHOb/OViVhsvRGdy4gh&#10;w3ChgSQZknwt1UTzYa2i/p+V3JI4l6BMYUhhpxjhMqcLocIBCvQwFPxeWKcsGZmdW0TjjUn1de3p&#10;7EQJzJ7oh5ueXXto7dMg0TBxwkrPZwgaXwosi+AusLAgNn+nFwZygyUowP+u/sHYgzj/GHJVDuBn&#10;D0JGrHn/AoVis8xiP55TwbERKkco/msCLEsTcFQX4ogUkjsQkKwTWoGAXIAlOY2HpcbJTFXW4rWh&#10;iwunVbOVziRqSaB2yMXaDW2AbtpmEJu2iJuWxFDIRp8J2gWhjEyKWCk8RW0OdTiw0FbgAujoGta6&#10;6ftvaeLIEX6Na7OTRCCmIK2TwXa7KjSjS4KRv1PDyM0THNjiif59CFftuUDisS0iaFxbrdskFLlh&#10;dtFIeFKxYN0Q/1YrKO4JeyYiRoHNuIhJ3k4QbolXNk5DS+mLgaFjGFl1MVowmYP1N9PogrKO/oCt&#10;731zDN99Zxz99Lfi66deRvB5WddXF3etK9cjLSn5FNdfaUypIeffFetKZm4eYOw2Q2CdnRGtFXu0&#10;jOYIX/r4x+IOlL08+N4f0IzJP+/VDmb+nu9FnBH1jM98+tcVZ1QvSRYMi54aWXXjFfJzY3rNYHbd&#10;ZDeLNZew4Od7EsptB/oQB99BDGQz3nITrEUWLCvyw2nkGFx8tDe+cX4lDqBlWTfcz0WQ7NJqk8kb&#10;JIXhpxiR0pDQaxACKXYMu3wGLT1hys2n0rWMTMAluPv/ez1Qia/V4O3EJ7v+GvdIAK0ZuBAhYZR4&#10;YSbJz5NpeVH5U841kIlLp68sRD+Ui/0DnAdaiw3SwAqS8F66vBAP3LxP9O26RF5KnDxf3ovknTpA&#10;7LGsp9pPH2dGnftdbW/iH6+D7zZQlN+KmNh7/98/E4dvuu3PxTs9On6eeuw/x4tf/KRyBxhgokVX&#10;auRcmF/WWspa8sSiFCZ7r4Si4Ik1gH+xfIJPxnpF0jRjjP17DqMJ+rAUYVldCQdnIDcKP9Yj1qpU&#10;9RBi5N63siuVRycFp9HN7kDjk/HeQie3PC+YBmeiieHKM9fR+k57gfNaeC+6APCe3Xqa8F17E4yF&#10;rR4YMnMoG5p1m0GctwnaX8CknC3E5Pv7eu35QgeYsuflOQv+F6Uoo+v6U4Iep6yuImEGmaPL+M1y&#10;lgE0Ee9DrFBhhcXFuHAZDc7haeyAkBwcHo5jiGlzNFaZY6nZnIQC+XVCa5dBWEGpwRIse5CxQ0Kb&#10;SkPPvn0xdvzmOIRSv7Ejt4AXoIXfn/OCpchYHZm3GXuzCkv9Xswhswq9iUQbm69k9GSGHWjBNdBn&#10;Kc5My0W4+2bREYMb1YNMVhZTsmZPmawwl+dQYzKzvaSklS5kdjLDk4WehfgrBppEZzJKVBNsmMqM&#10;jL7Jl9PAI5HRLcoenZ5fKLRM668SkJkEZET09x6g6VpMXkwCUqBPBpjYtgPrszmnZpeardYikOQq&#10;NBNSc1u+l1C0sOQPr7mp8Vtk4mgxBGLrbRtE4BgZpjGJIaLw/c9ciK6DKIuAkkJ52wQtrhlNMVaf&#10;mIiz81s43g155zcQp0QcsrsttSautXBAvk/paMTZzZVEsnxmMcsassYLCkR+nqOBkEhBpYGvFzF0&#10;dQJZqo9870/8N5Nw7n/bt2tc1Zd/+9/E2uRFWedVCYGYaVmPCaySldL4kjvmh7tWV7l8C/+pNWSu&#10;m26W+4/1xDcuDcQ5THY4NrwKhc33YoLYcF97HOhfj29dWEDMbCCFRe5xQom395Y2WIRiPoUDJecT&#10;Qyuaec3YK5FuIFuDo3DC2xVMy5ifnvjvC0VeOT0Qum0lEFM4a335KopN3k6Wgu6tTfT+FiAK7umy&#10;TloqkFxFXPv81Gbch0HNhVHrDc6lkHnuwmwM9KKDEyZtc1aoWb7X40sVailXTJ5BRSIpydte2Rje&#10;+0Jl1YVyI/BrC3GmTuDRd/zE/4lww8Fypz/zm11UvvIHvxznn31CuGZF1DWIimsLBruVAEGoKBEJ&#10;rupRkunqdHJFEGKr6gahXEFQrKP+kAKlq6MbpV79yAmYk8Aw4EiHjUvkZpXEw5RpDTRXWzl2d8qC&#10;02XKRWpa0Tbm54WEtEZ9YaSos6/BKwagwHSgeT7WSuV6h1mlqIteA7/emdsEbA+o7rdjB56okZuQ&#10;b/GKlP4WlrcN90Wgj/AWYo478BCwAYksZ8KjwkcKoHpPExEqzKIsWME2LGMM1jaSJHvYSm0Eda24&#10;1BJKKMYnYBEqU59ZpYNx8ECPMv/dHBwZxlRqxcrMjyv4VpyZXxbkfsNaqnPyGPzNusruwf3xEFpc&#10;7kFfZ7qSN9Fibx4/TWpM7nyI2UyIY2Ee9elKKKrQW2n1FpQKOMtUokRKrasQXiIcN6QFbc56oG32&#10;Ig5JLxw1zCUA5cYsMjm35uEbbkMxZXsMYhwTtVH2oJuDkJxCV4IOLIyF7j1wIzLmJ5os2roQlDAw&#10;4vA7tTvCpq9vwQLFJ53d/WrBNDd1KjX62mKT6d0goPheqbr8j8ieDI6itMLZxMdiSRQrQXKWLIFI&#10;zBhc/i5MSBMesW53srAVqUQW2YZEri7FO3U9wJIuHnaxaGnqALKgxgib147n6uodQy3iJALe15FG&#10;vRi921AmIEgHYUm0Q4MDPsUyhFZPK2Kg+LGgLkzezI9/eb1+LhO6LZ7G4/kFC3/Zcah2s5HBmqEo&#10;Iw4a3vjpF+Jzv/wP4uHv+tG4GX1r/2uv47fcGf0/+Q/iC7/5sZg+/Yz2JW9uK/TPnFg+I1MhbPO+&#10;hbGL6NO6SG4tNlfoAu/ZhLAVisvdY/Px1Ovz0Ysi62Eoa5zsQAVvHdmodxzsjj99Cc3a0Rv1xD5Y&#10;k9ybBiKr4Je8zUkVgqJhmHyvEU2ERn+OEC/Mym4eMvlVTAd4NQ7ddIcvUxF0XpTHYLFLczPaI3kY&#10;hJeEVglee0+KA1oXEjC9ubvcggV22u8iBFJQpsDjmSy+fw09Nyn8Dg6hm4rua+FKBXFydgkN8Ffj&#10;nXfv97y+RqNH9zaw3FrQuOb95Zr5Ryo7uZ7dcDTOKi4mOLorDqG9BnjdfucjiF+irAAW9vL8LGhi&#10;AEloy4h9dav9GnvKvvDVT6FkC/XK7OGZVrbvzXURfhZKZevMRxLfyvoddEwFrcZOQV4ZiWCq2xsx&#10;i7rDlh1msKMkAG7JNXZ/QX5D9rry06cJYz6VijmfveHB67cNykS6NnOpCUdDs6gScvoXQ6EAWo9Z&#10;VJRUnHCtNfCMnZb16G7pB1xQtgAlYx0evm1m3BNOeOZVCPhW8GTCaAWZpxTI9AQ0o/i9fb5bxo3o&#10;DjxJ7ek07Ld+xqJcMylRWZ/4bn0LGRwUFbhmOzyBo5gW1NbUp2bts4gTriBOycSpHowT3IOQB7P4&#10;Vd9IQVjCLenuFJwKPAvQqk5p2kn8uDMQ/7ILugEJS0IQDqDBtL40gxFhv2yIymtIL6GH26syAa+V&#10;lUX8Hxm7zT29mEABYmSnFM10o1BiXIHmCqS5kKtMk+adGYOkJK8Rn4kkpV6nxFm60QygB4KOAKJL&#10;cAnu1Skm4iAG2M5EHbhRBzGdnpvNJq5LcA0uoPltOwiUY5i6EAss7jqjbeqdeEj5xDsHIRkwdxHv&#10;l+auRv/wEcCwxGKMXsWdSY2P40NaIFCa8ZPwVMNmvmRc0lKyd6HsRUqUwhaTcHRsUV5yTVIkjJxl&#10;AoZb3lF40p8PtxRiHds7eD4OUQYSUEjKz48APi3cZmSvLi+Mx+KNC7E+NysE3Hz9Rqx0z8QW6sMo&#10;/jcQoG7FsSOdsLrB6BdhDWFaUqBsD5Zj3k9MrVgWRh7hVsWxKLT9DNYyyZGTcJnYJEZH1zaFLb/A&#10;Orm7yFhbAZ58+Tf/Nfqnvhpvfv8P/lfHUe0ZGY0f+Jv/OH77Y38vpk49BcGIBCHczrG+RrFYv68t&#10;raL5cXleeGEyyYMrxccWh49Qmzdk9d6yvxUdVxbj0duGlWGte0J6tcBPeB9GHD2HEVNjQ+3q1mTh&#10;VRh5gqjmYIZPxXS867Y+En4VIZtqKzaHP5XNTEUDa2xFOvyLX/4D9Nz8umLW9lDUa+caN8AwZm9c&#10;UglSGZVj90ORL0lvwrW8fyMojX35RQ1mgTyFo57VUlX7sY6g6+nx5bj94KD2eEMcJq0brO/Fi0tx&#10;dG8/hBPWV2Kxkjk13lvQmNbK3R2fTXgWC6fQjJj7G/BAxxN/7eprQyz91cc/Gaee+hyUX7RSg0U4&#10;NHYcLmhMysGmrqAhwsYytHzKLGj5m4g9pquGm21BURSKspJdeFfA1ADIsq2pbdHiXAXdqfQCMFFC&#10;IkqwyEgnLr+EQvk51z5WO18/f40NDhEVsVXjR943hVwRf8X4L3hZ414yHe2l/1evvChP5pEELgUY&#10;ex03YxbjAMY89Q/vRZ9TPA8mbrQhxMFs/H3H7kAG/w3Eu68ATddjiOOUoLCvYJ8Xke25g9AY94MN&#10;G/xybK4IIN6FXpgNyIN1trLDd+1Qrvva0QITayC/nUffZ7bKI8yYN7FvcNAWIXcJ59I4MvjSELIk&#10;rPCzVjhMqJWSn9mihpfxydDnm4rRpRA3b1avWr1wpDx5eMu9hSWrc0mzFMh4tX7nj/3tuIGEiusY&#10;/jhx6WwsTFxXBiLrdNqg5dtgYGwo6wf1N092rNGaMi1LgcsUIjTIVGhgbie0FLpK+VoDY6d/eRbJ&#10;ODsoS6D3oQff7RseFLGtQICuQkguokCzpQmZlxCOtDKpeShrKJ3VXAPra9jOZwsaJBG3C5lim+vT&#10;DszChKelxoQYJjkQgfnbzMiswvkU+Is+8wxGE/KNdYCJtwYnrYdq4r2ffRdfyg0tKGuLzMBmwg36&#10;K+k3S0LaKNyZEYYi2k1sTDMYVH//WGwCYSfn5pS92j6EzDf0XNwE/Fpev6SuOguAG0ASXbDM8TG6&#10;PKDYH1YjcA8W0hbgVDThRuSqidDv/PwSOo3PIGJrJGL/LSZHniXNrCle+NNPYOrJS3H0zrfAyoDA&#10;B1zZbX8bhMCg+TYEvfYA2igTuWyt877J2HnVQt1G90IL+ZctRh2TDMB8tKxeSGgE1xnOTF3DTY7A&#10;9TOztBUnLy7Em4736b48io3v92HW4v6Blnjh/Fy85VbEhPhlWj/FBrM70Fct7lQvL2FVrLxCg40L&#10;zPMknoqlKT4F3EO3kRsXZ8VYtCa63XMn1EyaxEj3ViFw7UvuhQ6sbmica4Rfbm/BxnJdCSs9Scb3&#10;8EeBI+95cRYxeMTMDo8gli2Z5BNoOV5CA+UVlAE9BNdWyegV6hTG27BllQFZ8SPvXSN/atjgSi/y&#10;2ryXYlm8JuGvv9EQGzi1CkWZODR+8RUrkVlCxK4vXCzLlzxf1TCyyzkXIhyyANe9iqTOv3l8EUhG&#10;tAJIz/jjSCEJ2IaZirzWKiwKKi6lvtlwqZ+weq6ywwWneL+0fnQC90NrMtwrYao3uHfFfMq6hBz1&#10;qxL0RQnwl+I1WPPBE2+NqenzsXDjTHRAid63/76Yg1Fy6YUvxNDBoegcO4BaHLgNaQmzzKZ9FHvt&#10;ptpduPY63K5sfKFrSnCZp67AIlzZBt1DsecwiZ42pj2yjAzKOhyD67Ko4b1BJv4oSviYQyIcpDAq&#10;zkYB3oKueKjqTTK+Ep+Zi1Fexu9MgkvFqyiOFozGJ29/ul13KUe5SSKQtICELoY//Ha6VWtfDzTB&#10;W98UJ/DD1wK0sOtwSVx45WRcRpNXWleetlwjmpEHpmfGIe36yBslctHa9Aw9b3ppfs16tkEEVYf6&#10;e1WLtwIBuQJGv4j6PBIjTeoBpNY3tfRAgAIx6YZFZ4ZmlFV0QAoMIfBrZsHyB2aZ0QeNXn9gxD0I&#10;fk8vj0P2sD4JzHkTQXdmI5JnAogegkpEBxGx7g+uR/6my1YCiiYjBZlUktTrKiZpmmmiC5mMjWug&#10;plgYTaK0Ni6ZS/E3tWBdmC6pxgEWwogVYmLGDsY8t8PibaMwX7gcvfB7s1PFOtwzhGcz4q3tnK6N&#10;4ze5DvxMoZ5sA/DsRUyxG6mevXiGbgjCFQjGeSBqMwLiPWg+TDcr90zCSIRXSM48w6yisH8TYfXK&#10;Y6uAuhiLr0HGhDZI6IR/CsX+YFR5ktk3WRvdbE42oqVP7wMzdHXHiunkmirmVN+auKKViEuWxder&#10;26WGyIprWDsRG7e681BvPHVqIc7dwEihvXQL+vrr+PJ2NBL/yssTGup6BC4cxXqL+0/Ekneo+E8y&#10;6SIEGu+ZuO1FFIs2mTLPF7GZmVAw0u1PVtrWjvuiHyUTOdtII6gjQ66gWWj13H58XbrwxIoJFnjx&#10;JqkY5G3zEZLZFzaR12pQgJjA8Pq1VUxzQatCdlRiIwchnRXXV9jf9Mgw4kDMF0iGnZZCedJG0Je+&#10;wWloeYENUjF5YPVABdsasM5IwTWm4lHsTRfKF8afbRbR9Lrcv3KSFniJQ5DtGOfNL+rEPivxVliL&#10;VVuRCS0gCMPlpu5Y2lh2DoO6bsuXJF6mMUt6X++NJbr/LnfVzfUZP0yPTfmw4vWFLhPvKvwzLHbf&#10;o34aP3weo+crimbeXwK4A3XkszF+7qU4hNhh9/BBGECvyJ15HY062BGsrXsMQgAeO/D9trF9SK5B&#10;qAvNSujdWYJCwhp0Khqr8GRssAl6F3qjQlACe8FjAACA/3/8o4xGAAD/9ElEQVTgmoVCvLwClzcF&#10;IQwgGi8D4EsdzMNAuEiuVSVvWZhJABakzmERhV0a4U0rJamRrnkJz0Sniv5xzXJFPX2hkcqTkpUU&#10;2jJCZxfWGp9ya+xdsBLKvMzWV775VRGrNlM0zM2DP3jvkbjRhya4SxzPxEUaKcnYKBIKPpTFKg5J&#10;85OI5kfX/70UL6nCYrxRHBKCqA/F7H1IvWUSyRoE4ArSoBcQZ2QiGVv69MKKbEG2EguGl+HnXoKg&#10;Y7Emu00sohHt+ga674CxLcO6pZm+yjRquFHdRcaJLxSc3JhWfob7tEJouIEtdB0JRPdDVSEnGX8K&#10;R6FdyU7VfjErlcd4X919olHbNNIWGDgrFWJibUoxo6YdJAOwMJ/p4mBEbkwMKwvZmiuwJBhj5Pdk&#10;nX2Mr87ORB8CiGhPqxZNvB5Gr0UX3LGz+HwB/ovedjTzxbXgOQQDAxyAuHOb6EcIhOtG/1SIJMto&#10;Phd3QRuT6JTCQMiRu+N981/SaSQgbQtImRCSeP/t3t59JpUlI6hhz43m2Qpb6qqF/eQNq/sll6gI&#10;hn8XAirn8WALMV/Mqy2Wiq4svGqKe471xjdPz6FcCENwMbyVg3IZNWWC191H+uFG5TivDnkxFDov&#10;TC2XJVxPISA8Nm3m6sszV9tteL2Rj5GmqBCWGDbXij3vRqPm7v03w+0E1RFNJaYxs1I1Y6Kfxmsn&#10;1eizxp0xZdU75bU1QMl7WDGTmmHyGNLWdSQkbeL7wxjJxWxdOzABH6zhNUwh6YHP9CBGR63Dwi6g&#10;5h4KG3TrQuV+6IpZVUpDrqZhXVV2ewFW44LFvIgu5D+p7euJinchhZzwMS24gksVfPhVLrLaK+MR&#10;+0bV7ngfV8EsYc7kzCUoyVst3QhJMOMS0y9gBdENrquA3nbodlcmXCqVlQAvKPln8TulZC3gEiaJ&#10;aoZ9+Syfr0Yo73LtTbGSVmFJYcCFHMg9lPVO5YGtI1dRd3042m/9YGx0DanPKXlfd99NqL8ciFbk&#10;eXDME+Ext35V/VuboTD2Iu63hZmR2/DGzYKfrMCAYY/s7mAGPHgSBOcsrM8mCD5aiyAx9BVJj6J4&#10;Bfm0XZbCDikWxdNm2Bvs/F+RJ06S9BemceMezy+0kU+OX8yls3zhi+cWM5T3yftWHqciQpNb4JeU&#10;qTTsPJcXf1MofuMLv5sUxRunxNSiXDipGIf8sSnlhQRFkqedIFM0raDiXtKDFkvEzFhXyAd2V5N8&#10;IPmp0EoNXQzoeyZDYoEnY5F0F26iMJ/WSQ8spwFsIrvEsBPCOtyJYriwkjh7bHMTG7aNScoQrow1&#10;skcpaxPLD+N57fCbUwAyPZjuqlYeg9+uYXRD8FKyUSwjF3t6/RaE2g0d628asFyPRViWHxwHLYvt&#10;nLp6h6MfzLAXQnsWLaP2jN0W0xPXondkCNlRj2CiwjiK9eehDLTFfjxrM46bQ9MBa1pIGIFgpAjo&#10;Q/ywE0S7BMTkRAN4CxFUx2eYbtIL7a0LscAVuGrnkF3G/qRdiEiyE3/xqqedq3UXmjLrSOGgh02X&#10;VkV9fkNBV3Wp0SflZWZQI7ouZgVJv313QapwWeEKP3wDlygMP/nbrttUh75BKOT+iJxwq16UXtw6&#10;1hHPozXZ2xBfZD0tSZauwBFoFvtn1+PFSwvx0C2Durw1xWIRe42VcsA/dV9z2tJ0oIZX0dT9iaCo&#10;E2pIl+vz98byEpKk2IQfEz0uXsvSodRkG+7rdTXCtwAvhVy9aXlQSgKTu6jvDYannxX/To0vwW2K&#10;1hFYx1bOnaRVNIc2jtfntuPBm2ERNDLfhEG1nIRFbmbl6nNJT72f3mLDpY5l42/xpqI217xAa+a+&#10;072c+NEA+krm+TkKvAunKfukTUqY4L16daIwHHF9xvC1Q8RjrdWQ4i8q3FvwPvVuw3LHKCVaVE3Q&#10;NrfRmrHzMLIy2a3rMtqd9Q/ENrKJaz8FacJ7VTPp8lleP1m3PFH1bun4EpksO112WTtFVqMTDKuK&#10;hhMxjG3VLggizRzCjTVvoqxlAx64rsHD6HOKZJPlGXQkuwn9S8eja+/D4P7LsbEyEe3dPbE07SYk&#10;vAG7crEJSVMTBhaAD/WA37QhRwTmRMzDdboOAdUKg2KgE4X3EIQcGqE2i4VnaEVUQXNd2g4htlzd&#10;xuvcu4S/9ZqaQ9WIX+BF3pfnGKQVLhgUvl/Rl/lZKcfxOhAjpSBMGSf+xrWAH2jWJZV3lvANUK1X&#10;cNGmPbMkfSc/AONxdRaGF1zGb1i4FRTgCimlCxux5li5KHT9/L5hM8vm28/ucx03QrkHqLWdg0DB&#10;0tkpneUeSxAuSKqyXpEuuk1oslzLBlKPNyBAeKkNCIWmJiSvqHONSy5cl1iyjly8TwuRWhMFLgWi&#10;hCh+8778rIVt2iQs66J/Whq+JoUnR7zg2dKdUpDdz4V/6bsksjUhUaWz/1hMXPui4m/d6IU6ePSh&#10;mLz2OzF7/bkYOnoHkO8ouvmfgo9/O25Eb/T2HUQODlLi4V5tR/bU9hbipYXe8VsuVIBoDW7TJcxg&#10;W8aX3VAgKBx7IBw7sdmrLX2x2Ix0aHQi6sDMNjqRBekKv2oSLTvKr6u5jWIcRm4z+mIhFEIslyok&#10;UDTZvK5RybiTv6uZi7JkkjGWeyTsilVirKiFtwkra2gtYvVKjNM7vli4f3BPD8bMbMYL6Gjz8Il+&#10;4Si/pTfuNjC5r786FVem1jADE52bdN0aFrqmrJby7FpGCnBvgp64WNspBKvSklxThdkJB7rcVxdn&#10;4vIr31CdLcdKVXpkHqNVkGmXZ6ss4wKJfObCWCrE85vCcOodqYCkpLIJNNVYhUJ1BFYiM7HrEW/b&#10;cer6WhyEsOyHUkGXarFQ9NtbYR5RYjtlT1OpkHog9Kq4ee5IOTlPry+m61a2TwrUOrO3eDe4F4ZI&#10;gY/5Vv1ZfQcXd6u5EUqc2ruRBYlpM9st8CzB+hFDBBJsQMlcJ09Rpp0xqGVjASoklHLQNloUy/sE&#10;LhBd+0djcS+Oen0q+g4cQpnNImgTXbIYa8N9Cm5rfUUpkAAs9FC8Zgkwwik3WNnstfZTDhCO1YI3&#10;4b8LR2tfnMFt+mxvHcavFSUp7cCluYzGH30b89F669uRrHRD9ZWz619Dqdyt4CH7kTh0WnjN+uym&#10;3PO65Rk9LKAP9HylWtkJo6N3B0q2+AAFigW1PYhacv6vUGJhAP5d3KK7fB1FJnhj33B+DY7CSCop&#10;o+vxjDTa8u9EqFoAyipknomkoixdefHkSUxPmpBHEjBaV5HFRXeTe0Y6UcZMy/UpJX/KhJtol0js&#10;9qu5WYVWhAa1gNP71MoK6tfMx0AQOPOawpMCx8q6QDCXXV+QzcqsQboX1YRXx6bJXDRzFowTQSpE&#10;49/iZnaN5jMWRaB8LmdIukppDTpt11ajLEoIQ1mYSuGFpkSrMzvk+DM3BeC5/F7d6LWfTKixS2gD&#10;jGhmchylF6sxsvdufMMRVbCGkXXaDCu5b6AHyTX7om1yMHbg1ms7uCfWL8JyhAu5Gb0L51AEvoqM&#10;GkwJLImz1iRBxl3IbIXYi0koRKgow4BYE0kzlIUWuFuXEaNdBRJ0N3M+GtslOeW0cXgrXcOcnKGC&#10;ZKVuJ7etfpHbGZaJ4XpCu9Pyq7L3hRnUnN3w2KUUcR/zZHwrF2sSlXE0PxB6NOBZeVvumQht2ZHe&#10;Cfyh+OLh/vjGqdl49eoiyjJYxuMU8FZYjrcd7I+XYS2yfIN9as3MuUQBNbV/vy+vstpU3/Vxg/iy&#10;MEisbrQKdl0DZLaOZA0dyfhJxdhNX8WA5l9O2CkMpvwun+QOedGmJJ2Ui8/9M8M1XOg6PXNtCYpA&#10;p2iJMVW+mHhzBcOFV2Et3TsKl2oJRpdnL3vAexQvj0DTsC8CWiO4zDB990zU4Dr5TLnPvpYO8JEV&#10;H7Cwzjsk+PGlLEjH/g2FRE4d4c/J/JaRfMfWZC1QEJkBSQbYjr7IvDctKFqBhBkL/dfJHCkQGi7F&#10;PIMNwEKwQ8x+A8Kw+RyYKbPc4FrevtrgPs7tUHJY2ejcA12yCPo3PE2hI57TKFTr3U5gNpBhuX6t&#10;BDbSjAmipbkHAm4N/GYVtbFHYqVrXzTvRQMElLj0Dh9Ce7WF6Bl+KJqQvb/dyyQ5QAp40AO82ELd&#10;qrIftc/wJqoTGN6szWe4x2sy5ze8G3fB+OoFmz/zf4VHCxgNQox7b3yoXg24qtMTr8sFncBJJaII&#10;QhofXoEs1ZQ1bgfncIWtQAvBckzBKyUlid+zL7Y9n61Mc5a1VL4kwilxx9qWThYCWrORwKmw+I0P&#10;ww2yhVgheCbbeBNxbiJ9DbUEWg2W6txCLdZIsjsKEktYT6PeotTSyFdJKCBqPfQuFuKLFqYg9wM4&#10;r+mcD1KvvzCzSjgWAuezVz8u7DdNlh6qhCmID4KE6fYUnhKktDQpJDmsuX8IQrQ7Ontn0cVhHgHv&#10;O2J56H7MM5vBEFM0MuhAJljHbdGKVHRuIpuCt3RuYRrJJfRfvRhNi1Na7jYs4G1ke+4AUZnCX3VA&#10;SaRo3oFbTgjbDJ8/d9AZJjs7cANBZFJrXFNNDhGGpQKwgNlyDtdjAwXGW5dx3Ta1/mMjeMZhGtui&#10;VdwrdyutJXNv19cJrIVQyq7n4ZXma+bBo7bS0jJy5DQTMZfc/Qy6m4cmXjVy3orycj/LPSpLDo3B&#10;j6Kw/9R8DHLoKOvx4F3gBJNRtCbcM7cep9EC7m6Ua7jRdY0JWoWQxRhTmJitJD2yBXe1LsfULQwN&#10;K5+ZcJMwMC15Zp5jSe4i5b8JOiV/VO4l36dmlF5Hse4qmdDAmKv7GWgVTVA5Y1kU+mfEvRh6rVlz&#10;om/UrcEsOju5GTejLZ669AmOXBwfp1h/SS9iC5lGr8dN53hez79E6HhlohHebbLTjO5nyJgSzWRZ&#10;1lUiS07K8OfFf0h4KozAobkO5fuY3OfibWJOwTL6aq5B8NU7xjsh3AA4l4Q/753v4aequIL+Mm9g&#10;/JCWBM6jkjU+Fx1omN12DB20TlJpJE9KQZhCuuxUQYlKQBQ0yTt5S4tyUAsS3zxfpIPCogSLxEcv&#10;XvcuhOLDGtQzrLsL1QODew7GwplvRgfaqVF57xsajcunn4reVSIa4qcIQwlX2VikixNznMDCnAwa&#10;BfQYNCHhiLSdG5f3bsTtsgxTra5H/NHeJO7n+lz77kepMr7LQ5bHkUcnr8Vf5O/p5SmtNkt4ihJR&#10;Qo/8J5Ub16UzE56fGYai6+TZFIKqh+egB+WP2IvI7ylqW+cx1JclAmy7pqQT+d8ZW7P0VAyNBED8&#10;kTQQSVZEYSWogVk17mlFseXD3OE3EHmDd6h2zhU+pMcxYIt2JIuOLklylH3wfa9jXfNIKmFWH7rC&#10;m/C4KdUWVchbhsZqxVVqZsVGBJSSBix0F/JZQSiEV12/MItcq5sYGx6uRaPAhIBEjLMVSTbtfbNx&#10;/Ro6m3TeFWs3LgPh2hBLvBmFwUhDHXoT6oNeVoujDox2gf6q7FqOgWFcVyi/gfohaUJyWMgSUt9V&#10;xCvZW1BFtokkpqZELWOFX/IEUIjTNUQhhN6sIJ529BukkOQDsD6LxdpbiNlyRBgHd7JXohhI0qXh&#10;wVuYOHgnrAB5Q8w6swJjZMk1kKElMVvYNFwsj+a1qLmzK3/lFkurLRdvOOji3JNcTP1w/r5cD+9J&#10;y114tjuPNsXLsLp7ANseBKUZLyOTZYu4Z84uqKvQvgEmaNVuLT9Zeb7CNq1Fl8er44uFu2bJhZRD&#10;MwdDgKdZuWNpEMtXOBxZnoX0Psjdn8/r3St7lr/1uI16uOFYmFCFxY0mT4E1IYYlnptYj7E9vchc&#10;ZicgQ4ufUzHoBVPcP8jhwZkrUF3HqkIjXCvyTHhboBc+0LhOP8iGWv550LZ1/MSffEpZSgKXeUz1&#10;6CkYdHxOuy+WhbgC8Rj/Y0u2JXi91pHNzmtpnBwhYxQ0jhLveU4jG2q8V9lUrg77wv3hzMT1ufno&#10;evO+6H30thhbwJzUG/2gC2RWwiUrgkdJA3MZbPXwXmn31eConqnmlIXtWwUoPLRSylJQFKFrC4w4&#10;ltfO7yscKcczyRDJNWzhvQxX6bWLz8bK1KVYfeWzcQNNEYa60W90dTbmxl+MgbGjoHG0k8QUHnZ2&#10;2QROcCIYjGsJGCpRpEXta3YKq/ZGFpw3rdFdr51P5PURmQWaFp9Zv/lRJfhSqZfww7/dgs9rqXI0&#10;5PYEDUmRtPAm3+MxpGdbgrxJKeGzLKuHyUuQ2ZPXaOzoY3fwQhcjaIwgUGZz7mBURxOtChxAgHhK&#10;vSv+qdm2aKSNY2r+IUImEgsSni9mQZmvxIIiUCoEFZIaFXbRsMHcwMR9HSGHrstkF9f4QXzEzlC/&#10;ui5gEBcY+7BGpRjueXwhgNTkGgmqbExh6iLsCst8DS6QTN4MvpHoi6Ys0sz/UnAW60eEj4bqGwPK&#10;OGUmH5uprwNBm/feEq03vSPGr55BgP9GbEx/BmnT98nq3WJBP905ar6cyIfbUMCuoUvQAlyiyxC0&#10;y2jkTIZAV6BjptgvMIMmZrbic9VbJvTKM/pvIw61c8JeAXm6k/SsZQNdbsLw9SbwohMB966ubjHw&#10;xOgkCnMdnsa2f1A+1V2Ewtr5SemKST7rk7wukTmFhrSXTLFG4H4dKfHtwrlcfz6H/7KLf9ermuHX&#10;IDJ4jANTqkfcN4DBqcNrqFFciIdvGSp5YbLsT+zvQixtKfrRh5aNJWqu7D0XTuQa7G0scM29T1zj&#10;IWZZxl/aT3q0xD1aQgsY5j2LZBYO9GVXJ7ZB3Dvcj05PXSilyaYJxTovD1lZCBU2JBgNh9J9qGI4&#10;uQYpdf5Q4YA5DL2exYieh9Hdh8N6BU2sbRbW4zi6QLzlVtCSHslKV/UoBY+KhEnBXNzb6vCqNSY8&#10;DIGKXq3AEIRmWvxxS8UU8OX6IqOaedTxQq4/PVciyYIXVArhHgVNqKUYGwyUcgk9QcV8ConuQpvK&#10;45V8qBb9nOOKtmhr03H2mT/ApPre6LjUFQNfxTMtovEIeODw6JFox+i0HQwfXp2+gESV87JOyEM5&#10;WLoCnnfojRjjz/Ixil1kXljjdu6u969sRj5TzYkSH4XvyAVC+GNh4hS6fA2qNzWHBTPzk4PKl9Hf&#10;lN0wt7s9v5UZ8C0YjyWrCbymExnJqwzGc4AwLseZhuxJykQlKeKpaFt58SYrCod7C2Nyb+sSmTRj&#10;GoWg3teWn3hsOQ/3ULgOS6BXgXu7BZ6p3xR6rIOWO5SKpQ2AnRwkzHr1JvW0tqwir6yGPmRVgVyk&#10;Fa5liCv5pCsP7FvDDE5YAEgfKq3Qtrgi3pQp7CwjQLEn3SOyJjnRntqa4mfuvK6uDhRSkroEkFHA&#10;rglvvDe0Qe9OyVgmezdueGHeJpkatQq5EYZktkrxZXr0uTlpDk0086HpxqzpudK4konVgrpGp4J+&#10;5XdxrWg+F1+ibDtJ3ArNf/sZK/aXB+YzlkXnbVT8uo0o3yonJSBja+R2BK0x4mrwKOoQ+9Bc+ATA&#10;fQjN0u+LjQW4TREcV3cIWGv91xAnhLxnBpzSwqm5wdVJI7+NXVqIwNQgBedkGmIK3nA75HBIGjeF&#10;nxP8isvmvoh5FkZXPXgBgb9lLek6s/AQ2+2E5VVp4iYHb3IKDzUDp0utaLXVXlJRYT1cEnJa1YK7&#10;LErik4mLjaVaVOPH6xbm6U3h6XokbUnBK9++KC7F4ipnMOv0Jkx5mIeW/PKVxbj7cLfOpcY52t+G&#10;+tbtODfXErePGKbu0FTuS+FSM2Itt/ozM0ypuEo5KJAUsmj9/ow4hEYW6Jm5B1l/fRhrxT1Vey3s&#10;GTt9sFZRNXF6rsS3fF4HblM5y2tW+EscaNhL3rFBjuroFlz34sQqxvMgm5AWgejI7vXT42uxdxBZ&#10;l+hVTOvxzxrnqdEI6EUJzqfj1ueGlJ0oiicxUFDAhrusy+ENMq7ZuQU958DQINZmt2q1fQJuTf2p&#10;VnmnxTsMT87bW8ZAWq65FXTjc4rlbI6hnUzaKPGkYqUWl5mxkTRkiPL2rW1sHTcZK5jfugdJNuuL&#10;aHn35Kva455Dd8TM/LnYnnhBdGe0T9d54qX158rO03XLq+ybhAqVLn4hnHvDKz/wkyT7aTiqscVb&#10;udYGGoEwkU98WeAgn/YMWFraGyjaX0b/036UWTDX4OqrTyLR75JCJjucYpRgZ21xO7xWXeh4JhkB&#10;XDG9FUu14T00KQkzVeY7eUWzDvkDS3uTY7eoKIP/SZipyYeTXVg7TKWb/U455urq3Fr0giiYTa/J&#10;GDrHSTK8N88nHfUPDUixZaYsPVwce0evlwWjjTZbhJZFZTJSwZ3yWckzsVveeI5QIgrdwcCaaZmg&#10;ML2JleLcBQhKEpLMUjzAJiU0+/qwfVCyouJ+sxWZrta0MGvTNPs+pLZcyhuING6Em/pacpmqAXPh&#10;4I2II+RpiHERkWiZwNJpPzYSLdt9sYNJCU3U9gulCtkbkK2Wibs+t4JG4cM3cqI2oJ84nq9ZIWqi&#10;qn41om1iL2+Ka2krofWwByE3rn/kaFy9cjIGx25R1lvfHtSDvval6D5wP45EwBttkgiXLcBxDRPQ&#10;kT8jhLJFxRpLugOApLIisUrGMYkU6RMvmrKf2Q9r2WOLrAZFjvHiPohzEdAJp1JwXmCnz+1vX4F1&#10;SuHIYc7tLBuxOZivei+FnNwcQUAbJybRaDDSPUvByd6qZbQN1+BLprsuGWC98FpZEogrZlqYoG9V&#10;b3MyZoFgJ+453oVsVDSoWOmJUTRJJrFvg4BuOtwcp9HzcQbH9aH206WqDMI75uDEM+IA/ythBBNc&#10;GVptINQKoZeWCotUFAoINGNgrSp63a6jIdYKyiHYdHq7Gan+sMQ7OLailP0I3QqrbEDcCopcTLF3&#10;GtyXOs+CYxuZyYQxhoigsfdG3NSGDGQkTpDJrLMTEuTR3pvnYl83XPDMrBbsyj15Ie56UaDKEwph&#10;TA74oeZOHmFh6P12eRfgiPXR2qAmX+iESnV3M5p3gBmyp2mZppLArX4Z1olfBZYFRWltgjehVbBh&#10;UK0l3Wj8OK1L4lOBnraQHhWC2dq1mK3Wnm46XY/NPOKsmKwUcG45Sh3asFd7O4/F9NZJ0URRe2xE&#10;Fbg1vk0ryqIzf0wPZU3ELlroa/AA0V1bKErfU+HBejsw0UECuPAf39DXyA9llwnuHA+VE344LIH4&#10;K/cnhM00Ok+hk9F2H8b+ITN3eP8tMYfJPZygoalChCuO34Q7uAvhqD37MBEEs3UpmGoLzwJPbQwV&#10;x8Nvxu8o+BTL84gm4tHFSxdj5vJVhwvg0VvDnq8B6ejd41op5BiqISTp/vwmFLcDbZtxqBs8EFfg&#10;qDI1lpBgcwOOVuBTH4RiG0JozODmj1ykqfxY0FkgakA8eaN+SIMNbtNiOeq3DQm+kFDJmWCWwixw&#10;ZcBfMCYDJiNm42smZySwVQhPIUkiYGwE8Sx+xx6pFLTsMUkhKbdrFdCsxzRRKxZKVBZOSvJi7XBj&#10;RetFmFV6tgUo1sb7sCh1G3VHW0e6o/eBe6N/A337XoUF1dqPGWxAID4RyhDo6zcrJrLIed3w8j0q&#10;hK60tVrbL42i0w/mc/MaRmpxIH+YeF/YM6/LYcqbDFQjG2xp+jL6hn4tVqbPwWU6H+PIDhvp2RNd&#10;mAM5P/lKjB46AuLYwJiaPYjrXY11dIZQIoad5NKs2iDw+/B8IlpsZBu0OZaReF166kpG66zCWIol&#10;WWDbGLui8ObfKRhLPNQWsxHMk0TsLahIW9m4iO3y1Fpq1QDK9dTMIO06caammJiaJh+KPYN7LHvE&#10;aAtLsDLAelW57OkWqYDPfXOmL3GzNF1wWyxriH5vQUYvhtfgbOJ7htFEZrsjVjHnsglMji7hTmim&#10;dxxoQSo+miijeFv970H0alqMZ2SNFs/fAgzUKFrFydwfkrPdUVugnU0KOB6XluYW9586FY/VE7bG&#10;3rmno/XG7yCeY22Y92cy1ErPB+K1oQ/GNt1aeLbcduMun0HJAfQMkMkxW9du0WYw0nYoXrT+rWTi&#10;mjicMxB72wdjhhMJduajr3kFNa1oxA+YNsHlTldxV8tGDKF8ZwddoXZgYcCXrl68CM6DUbL+CcyN&#10;CTK05uTSgiUCxZiKHsmqA16D/sGBGB0bw0y6vehb2uHkLWrtgN/MxHic/OoX2LhXdXBlD2F/aG/b&#10;kREpuhSekmk1CmBzJn5UrDy6fYulR/e6jiduu7V/Wga2vq2wuIidHa9EDkS0xBsqqWxl2Y5C9Q7Q&#10;VCf6D3dDSPcNDOmzTz/7v8XW6+cQsuA0DHZmwnqBM2wIto5yjNa0DusUoUR9PU+xWM3LTB8N8UAp&#10;WkUAsbC9Kd737T8Y7YffhhIr5gnwWPZrRhtH9EJ+4Uu/GJuYyqHuYknXjbzIDEBMQEqQjlOSELPv&#10;awWYnpFteXLQOHwR0zOQVdqOxt3k5ctUxtD8YwO8dR141oXEtO6+PoAL12QHIV5PQhACTZ4gW6AK&#10;8vBv0CiL7HdEk8ABuuzRP3B5mXRE4QU6o0IPXN9GAxUqTa0IYLL0j95I0kkHFFI2CWB6A3M7VO1u&#10;diHSJk3wWuR54kuVIDRN2EWa73kSBWEaDOVYW5AWjpoEVHhbiSlSym7DQqSUt2fCQCWDZSJLneWT&#10;cQNmb9J9KuCwzZo1AyYPbMCPsY2YGTNDWTOgji24obIZxVPJrFD1A42rvwfBXZm6cqjU0jwlvPuP&#10;WstWyiz+lElOgsffE1eeAkH2R+fEvuh4koSKeV3ot9DdvxeFqTdpXauz52HYzkjb3IYAkgDjZavk&#10;B2pWFm1FbasZb+Ht6R6s4ilFVUuk3yUMUsDmJakstMJnvzz1KjJLe9Q5YgGFs1Qq1leWkBiATvXM&#10;bYHFQiWDe9GBDNRWMJrm2Y3onMRQTpYQoB6xMPYWXKcbWZNtPWxHhcwxDYNmbAAEjiLcFkwRqOZE&#10;ppWzQ20McQ66KaShqcmxm71z+S5gzqYE/IBIlAgpMqula8KJYsCE7pIOyxypL2JQQiQhneHq3+7E&#10;YQhzf4fgviHSc7SMCEM7ZDfUFvarD4M/b33Lu6MHTEqXoUWCZ1hZwdSQqSmUt9wAw5gDcaPzCKzO&#10;4iJqg+uribEQdONAJTMeDb9bULOFguRt/DSj5qobxdzb0JTZtXFmZh2xXTSZ3gLTpvsaLdhW0eZr&#10;Hpl4fAYKfqRKoZUVBBwSGbhSCz63beOPE3coFM20SEK09qVQE+/BwPUD/H8TMo6PdL8PNIS5dmz9&#10;xnPRbGFy/a74xvKhYN5YSUqSMUN2KplupVCtx9IZImOc8pLCVeaSjQLGg2DQx3sxeencxHZcmUcz&#10;ZtI/4NwJBtQF+r27ZQrz61DATUYCodEEgQcTVsKxibgFpbIJVu0OP4dAIPx7MSd1ZO9o7N2/F700&#10;98VevO9RHNYv7s/M5ETM3Lge0/iZuzEOeofga2UcwPjC4eCcqNC0xXAB9kcWmp+zNArRNBt9ZkuJ&#10;5zL21c5rEN/J1NhiM3lEabIuUSMFKykZcOkbORgjh9HmDINl6Q7sAp2IzpjIltYC6YgK/gYUbRb5&#10;c2oN6aUFWeNtwJcd4GNX55BobmHpEix6KE6KabErFjsmWehK2ef4N7WdRAeZdRRQqU0dhxHQZc4i&#10;eR7PKRR2KXeg0wwHAm8g5te2iTaVuCZTgrg21k6vtzOERYu7GziKfajCEoZZ4V0WsqizBs+hIJTi&#10;QvmsHAPvD1i2jm9t7UE/2Zdgei3H3oG9iG8jsxbPOU13ND5jIiMHAROvXc5AAgbAqYjg+YjlSgJO&#10;ZHf3qmI1Ugt0uIdGVy/ouwtDHsgO2B+VbnUqGJQTnPlIFyllgPMQmBdhRYJ7SfzXt/rMXamYQyGl&#10;K92kLqcgEVAAZs5LsQ5lATo/xtagFeriPpWRJlerQ4F8Ic8ARI7aNY1BQZaEJyMo/Si1bbtJ2OeU&#10;lopOYwqskm7s6qO2LM0E2vbmJrKf2I0GmZIzM4tx9SraCmU5BYE4Tw0ICHnzaJ8axTIJggts4wMx&#10;TskEGj60HpQClJYQavaYTo8GtoxpqeuNmnsDkBCG02gWTE26C3G6xaWLMX/mtK5TEoKMrAa0bcAU&#10;bPqiomcLCLNWCUsn2phaLTuTcoVgRZDyAolxeamS4Uos2GSjbCByC4YyK/kF2hRjhtIZ8VzLmFCA&#10;8ZIxTGTAgOQrL38l5q6fhusCz8j2ewQ34Z737OlHHBKaHeE2/vzJOPvCi+D73XH7O98Wtz709jh+&#10;+5tB+IAtXHHt6khEQmR2Ht2eq9B6lzFlAG3l0CKPP8vonM8pBOv4fAOCeg0/G2sgZOwhW85RWbLW&#10;7XJdWjwihFRQRAuEQJbDEE6qFSpMKcEknp71m4pFAwbtUA23+BvWBV0qbCTcyZooEjfrJaklM94B&#10;JtWP5uh9w5jGPTSCeXGDYpJ8MRo1h67+MzMzMTM9gw5B03Hj6rWYm5wU8nPUj38klS3CwOQlftl0&#10;Hbj26rW1eOIUBDNgvkriZ0cQKCLbzEBMocduJmwc3wwBQEEmRq2QAZm1+YUIk6KSz4zPWvAsHfie&#10;PX3TaAUxb8bFfXfFtea7EBfGMSnU2FSGtz4Az4Z2nQxF+gH2jjEbfCdhyFvwfWKyPAmARRHETLeV&#10;AsWepbg+QjRY8zZidzhNLi4Kb9AhBszOXT8Xm69+CjCk5et4EJ1WZGiiBNGmfzRlAA957x3fEUeO&#10;7Zf1uDl5IU6ffymmxq/EJH7mpidjEWOelpdQ2M7kN9I1rTEqKLKMLPQ4WLupF4x4BlNgoCiyFEiP&#10;rD3io9cuLieQ8VI5AZ6Pn7RQuQ0LWcr7ZJiV5C0q0lCbVbw/P3ldjJfCbw1F/EsLGGcE3F9DEgrp&#10;g1NoiPNS9KFEjV+7gRrWwXj00e+Lc2eejZ3uvTE/ew25AFAMDj0g5t6GGPEmrUYoWx48APbWh0b+&#10;4iFW9JqhFFx+9cuwRIfkHu2B4j49fgbT30c0JH14382xdONsTFyfiAvf+Bhiv1eBN7CW0uvGJ+rA&#10;fTgii2skHmt+rLVVszDBgHS+Erff98HoGEBR/rXXrGSAltbYhw28uXX/UTSnp0cAWafEBWz12vSs&#10;Wk22MycDJVlSZpGv0Ac+MjjCsWGEidOBTNc2JtwazbkDHsJgQ4idYVjCYfcleYNxSkJM/ISJVqAt&#10;CENiheQZ7rlBI0xskXY/rTmHfpgQWCk9VFJl6Tupsy6tIH40CkoLQgtOu1CLS1XPJ3cr72GPW2nw&#10;QlDi+gAEFkNi2IKJrAvjb1mLTH5QKr01OcUAyQRJKCRomrNcWG4NXUhcLLUulnWwTdw2A6hAuDYw&#10;lTb68nGBFXy2MLMEc92Ey5ckdiI3C6nlGsM1urpYegGAQxCOHD6OFTMDEpYUtSxZouR5bDzdhkbj&#10;h2Nx5zW52jwgNwWbb2Eh1/CyoWSuXRIz0s7RUWTu6+i3KstXVzMCauPofkJAo1Frq2OL9U2Ka8gd&#10;dNwUQGKUm4U3fTPQlNBafgsaeys0zuG9d8TSFHzwcl3RFUoEcjyKSKSWVRCCrMcYOnpTjKI7SRf8&#10;64NQGG6cfTmmL7ymUUVtINI2aOHsatEJVxB/OtDZw7/RsQQCpvMQkn0AN5XgyGS163wd2jAZxQqY&#10;2yymppz61uPYr2uQC6VhgoCZqdOONcgiorIk5clMlDGCElBX6rQIx9+Lt+N+dC8uwNrr7Edj+j1j&#10;MXf5VSsPVBxmp+Lq+dcVj5ByrIbx7RL4Xb1QDoZHEfPAaJwBzEDD5xwcNgx0XkLz9QsXnsOC6Paz&#10;ApKONnsb5M40iaup/dB74/a3fxsGnmKkFFoEdcB/04XErU4kpHTBvOrugMKFRJh2CDkWMjM5jztC&#10;Nw95Pa22bqyNBpPoAb97iJckDMtutduj4GM6CC4LS5Q1mmwpZfqhGCIJIP9Vv5m/qEw4/gZsZYfk&#10;+Xbg8TnBOOtbgPWDwUH6LuB4f07480QrV9wPDDlX8tYqbv6NJ3vi9f/4Mp6DBGB1kS4uxotTabYL&#10;G4oSEy/4KL/3q1BAQd+yfjKkIhedmA5d3FY6V5U44Vo345V5B8scmBhzy233xBaKyC9cuyb+Q8uW&#10;LRdZL8ukHMeYUyHkEyTubUFp8AQcx6hIjeT7Ao8fwwpFKsAUcC+efN6uPwUG7Y4rlictmapdo5gk&#10;1okL9kCoNMGym5q6HK9hMMICWqT13bonWgb71Ee3q2cEQg7xUKzz9a9/DZY6S2wYy3NjDLqFOeC3&#10;AwKRzz+H62yNv6Zd4f07u4aRGXoFCULDsXr55Rg9fltcg5LQMno07rv7bRBQUNAwqm11dlLCk27e&#10;Vc5cBX9eR6Pu6WunFDoolpoUPt4fdD81cQ5TAbkfCI0xSRIAb8dc21V4U0YXcd0VlON0wgtgClCN&#10;Nde1Btc5S6LIO2kZDkABH4ASuspYp5SmFMJpHHgocCmOZ4Zozl5UjNFJXHxtwvJcBy3S6lU5kvCC&#10;dMg9oaFFuGtio3BUq5FyxM/xG7dWprz2lwpBWnX8W8ojjytGlROLiMAWhCbE0s/apYbFi2VjzsKT&#10;1zKdyFJkY1VaL0wY2GGWEefqkWlo0QS2XUSyDvhTXGZK/rBQIWGTMdIlx5gLBUAbBAd/WPdERFfd&#10;C10gNM1Ro0czGcalCIlhMZvMOA9CUQXx9EFzKC+uvc4DYLY3w6evDEwcu4Vep5trs9grun6heTTB&#10;jUpNmxp2Sq9i3FXqlJiUOZXrUiyJZTlI06BwZhkC4gcw+b/9O/7XaNn/oOIfm6RmNNluhUvu4sk/&#10;gbD4eNYQJufTlW2HFqtUWkkK39JSKO+uzWDT8h0gC2+7uQL3CQDS1gf3B1x5S/C3M7jP9nWb7EeI&#10;4ydgCbXAClcWFhhF7z23auOv3cBQYmV0Md7LvofU7izM2Qu2IDT3ievjvhDGyvjE+erOQ2EKoalj&#10;uI+MH+O5p9HncQ0uSzEpXlCaoQPjHitGJSr1SMIyE494bRKC9opaJJEeDIXp1lz/HpTTrC4jGH/t&#10;KqyPw3Gic2889S0kMAAYXI+VLS1GkKXm3Al4lOks7mNY9tpEw+PonqKF4uw8Mzp2/ac2TwXAyRMu&#10;RVmAu+jtP/aWeOdbj0rwULAM4Qf5TRI8xBAM2NHaZ/L5oZIEdG0wHh9zHT9cK3M+OPeSAmkwlz6H&#10;33M4m8KQr5E8dhK/KdQo9OjR8rjsiLE87jJ+k0n05hooJLk+/s378jvuSD/OSizGe6+La+L9gEWB&#10;0ktdtygGvHwRtis3D8dr7b1g5GCcbG8I2HYA59n5ZVuWExQzJtbRHS3JAysYFjRfLpfIMItIhu/5&#10;21mKDBCx0bjcbzoF+4BryIrG3nzpa09GP5ptj6LvrxQq/rO0sis6vUtSpPjsTOLAPUpily6Zkltq&#10;puJo9mh4gWSG5JqAL1tGsvctn4En4jzihaa46L2ZBV347qDC5C/H6dme/9oyvDtoFD4MntUEGtlY&#10;QlIUPFhbiP+zb2jH4CiEF3qhMg4sxgohyO5TsAIVRyVfUwiJeMdngPcLCjVDJm0daOHY1RRjt9yn&#10;8X2E+9gddyHshrjewJ7ouPN+4ewarVoMSujBRAtmZveiJISdrGRxke5h4V5+/VvgTW1QaFfh7QF2&#10;KQ6MZ4IFyKQ9pKegyTk+Y3y3rwdetjmECsCD0E0LLb5jAwrhDgQm6RVGZfShx2s/ZiC2LDlZSy8J&#10;Qv4m7VvRFdyUjMl6aYdnNEKOkKVbGh28mKjJeKX2k8NP6YZtELRS++WhZFP6VIrNnbAeez/cV79Y&#10;fDYULDhL+M2eRrlQ0zIswrDghoRnukzF7yVgLQuqRBuqvZ67S+Qj46Kg4wPwNxdCRIKASmSRwCQz&#10;pOZLy5AQ0nvGNAwsJQnItZSLNUlIylObXudD0yVKwEgoEnH5kH6oNqjSRBwK7Db1IWWwHNcFo+yA&#10;hdDZQ+0LY5PQG5QDkPkw9OmvrF4H0xySkDRdcBOwSbRMUmOlNdYCjXYdPn02B2YsjgTBjE76+T0x&#10;hOnIKMzdgoazciM6Vs/rWLB4Cfd2MpJW/I1rtcF/z3ZK6bdJgrRGo3gl192M9G4yCHXhMaH6F/+X&#10;LgJc58all3DLazGy71B2uumKRU4Zn7mOovMBwGo9riCTawEjkdLWEpOghl1ZxnJnpI8ee8F0anV2&#10;4D8JOaxBjMCaH4U/tW4pM9pj8w3HMKm5MRbCTFL/7Q4sViSkApDJ8bPK5eX4r5GQ5RfWBRlLU29Z&#10;ujIyMQjqWMwsQBPGfjKxYXjfmDRixZnTWrAbCnWLwBfiSCcsNpGDNEfHBoSzXA1dvObAYkwK0ud7&#10;Cn4RNhmz3CVcDwQAXLa98EZQoM3riSxAkgVISBKbKGz4mfsBWfDJeMUPBZ3ZuQUchQ6P57kUVHAW&#10;Vt/zcx7Hc/gdJoEiEu7rWU/1i5/xe74oDCnkeA7vSQHKpxzDlcyC/TeP49/7dYzjvrw+sYUw4z34&#10;LPzh2pg8RLgyOU7CAXst1zp+hAly/9E5QVcd8YV+Yu83XxRyjsOY+TkZhrEs4B+UnqsTMzEIt3c/&#10;puBI+cPJnAl6BB6OS2i2cfHalTh6YgTCEy47XoU4Jlnmm1RZhLxX7rGzrLmcIpyLQPbxJXZG3uMu&#10;V25hx2G5lVKXuyEFifcxdVjhp0AGk28FvdkdShjB/Qj6XYNHp71nMFrhvlfSh+YtRpx48N0SZrQw&#10;O4DL7M27BqF27bVvxfiZ55TPICFNCOSz6T3XoQUjwxKx3E2ELZpgrS3DnbmN1nSdiMW1I9S0hNDA&#10;JhTbvj0j5qMYD9c7NAzr85IGxEuh6e6ProERzECcxToQF5Qg8vOQnTfBHboK5Xph7Qr2HxFymF/r&#10;8IDsoD52cxQlYtfxfT8E5fQNGUErEPiDEIi9mOgi00iai/mD6cjeIHt/nFfSCkm6ifCAhDTLMChT&#10;mNEKr5csQBkrOI8NPvTsWUmQ+FQ8SIopEg8kEchgUvgJj5mEwwlHwEXydZVhZLxQYbyUOZUrlbiN&#10;56QgbIw3psu0ZKW6vDAtRboPCGg+gBU1MnJajbQGSFZKlhXDFEFI2RJLVb88iVNqP4r486GpLXnE&#10;EgUap09ssv+m/MhAUPElMCY8DDV/WorECxZ+ExLMKPPECtZCsucoroHP1mGlKVuMgXJaM7jnwf0n&#10;cExvTCJIvIN4HBMChrpHRKAdCIqvobdfB+YVrsL10TOAWWEg1m64PZbmr6Je8GYIoaexaUBE3Ler&#10;dyQWMYW6A/GOdWR59QwcjvVZZIueOxsXv/T7yOAjy6xffPJOMHBmlm4BkUsWpJkJhTiPJZPeiIHR&#10;43Hsjg/G/MwVIQJhSR//JjKz1oHcO6tg+Ij3cWznFrvbwxpcxf0Ye2jiMGZeE5YfaydaqSSAR2lA&#10;rkWBEpx2gMRFWNWZvSj2X1+0K5LEUZavLI1k5NgUZnKJobAUgxpWuhfEIJiVqHo6u6SIBoxxGR+s&#10;rCgkrosbHwrh8xtOMmGpCWG8liUYfE+FZ2p6Ls5dn41bjo4BZ3ANMI82JAopCYjInmtkzeylCTRi&#10;hvA6fnCkEoplBqaYqKxCC0Xel+tz1MEM1mOZzP5odTAmrX0CgW5xJBkYxyq6oaxiMstl4pqyXaGL&#10;z6MVHz5rH8R9oWCQH2xgjxhHX12Yjanzp8gdVSjdKe0ZlibW0AnG+hobLND1q0JjMB3A8g4sg2PA&#10;XsE19mAtt+IeZwCXB4Hz55B0cBLvyZTfBdq4ALrZj80+jo4j02BoX4ESOPDwd6gH7zYUuMtf/USs&#10;wS0nN5poj0tZi8Gb3hw3v+v9cEVfBd21xvChsZh57bmYevWJOPLgB9TQehutBC+/8BVkp7oloYSQ&#10;IGcN3PhhdcMWub1HzvYsgskKBhWUbWYdEunVM9cCCC2m4iAmvA8PwRoUNeR16Z3afD4O7t0ft97x&#10;gLrRWFaI++m4qs4sP5eFIMFGSyExLQVnjXu+hsVNLYDK8AKjQypKshglYszyEp/p5CDDXYDLeB1W&#10;sp8EcTBam0iA4/XXMXuQZTX9Bw7DeluAosm8AcQlEZ+cvvK6hrS3MsRh/1kqoVyzBaPce8ZS/KbH&#10;R/aQeQNwvZU1q90DsOo24tTXPitvjYUJvGBM0iG/weHtEFjqoSs4JNSlGLIMg67V7LKDBhEbyFLf&#10;np+PRQwFoA3XCT69uQx620BW6CaT1dbQeQvCELiv9aDJxCAC0R1w47YroS+FYirPEorFfVosxQ16&#10;+FiTSPc6E6k8b5FGFAWHs2GtxLjovuZJlDIcZUZcIp9xkT330PFEPq+2CDyQ+yPDi52z0jVqiy9d&#10;pkzglJJuIUmBWBKybBHarVqVadB6lOyhoKUSRf8x/imwSetGDITp5UYwORe0WGyYEIrfk/qIwCYQ&#10;MgpqF3wMBUWLf5eCDz9ELX2Of630JcuFQMZoCc6YCR+0xB80tUK1j066kZAnsCAUu7ogFKmN4fzL&#10;lxE/a98XrcPQqKDBbSzB8oOgYkCbF716/ktYJzW4HYxqggsAlhoHvFI4zk6+pNlh6xA+drmgYTAE&#10;6eLcVWxsH6zO07HnyK2wZGai+9DtsW8f4m+A1fzEFQTHp9FYF041JrDATcG1LE1fQlul61m+Yuao&#10;uk9sAoP6c5On8YwuGOd62tBFhNrgyMYgrtMVc6vTqkUScxOSg+lCUKpfJD5kTQ5rh9intBUxNSFa&#10;xfRTPFoep5lj7Z9/1IadWEtacQVRnP5fEMUqGnfKz0D93hqbmYf2WxyPm6LFFulaMVQf52P8KwUu&#10;r5mSmY2GZ194CVmia3HH3Q/EeTDwZ0++HMduvlMKhbPIEha4yuz6i0jiQGYesYgEQKNFCG5rUSzc&#10;tKf3avDMu4vb8pmy4Xf+XUptmuEOP/X0y/H4Y19BDBVZoR/8qzEztRCjyK6cR5LYZ//R9yNZpT/+&#10;6r/7z/GWh5GMAz5zCr7NzsGWOHvySvzzH/kwkoM2YgH78U+gsO0FIz2C33dCSPzd61fjGQi77gxR&#10;tAPvnr37jrgwNRd/5cLFeBeY7P+EXpTXkOz0ntH98bsoX/g32HPWjf6/eodiB7HWIcSwHgGDXYBy&#10;87GBu6Kv4z0Y/9MVvcf3xR9+4osx8010XOkYhFcfDAIK08b6fBx+/0/ET7zrO2JyDdYOXFY7613x&#10;zDPn4uX/3y/HO7aPxoEHQStgtGcQdz2CGCl32/WthJmFXBEWJG4zbNkIYlR8qScFxwaly1LqBo7Z&#10;hCLtpBx0CjoIWoSTdxljutiU2/Vr2zF25Jgs1K/ChXpkbG8M4xnpTjeyJG6Vt9Ud7R4v2eLlUK0m&#10;ScHvrfh4vWas/tzry7/yM99En6ZC4y9oKTJya1xbW0XpAifUbEOFYakaRn5tr7fHEuJ95Cdt6Goz&#10;cfESlOh5uDmRMT5DVyoZLWnQ4+ictOe1Fjeda+schyTsmbvQCvc1vWhMWlxF7JCDgdtxfZbQbEBp&#10;434sw7syfeVMNKNDkXJC8Jq5flKxu57+fTqGhMDaaAKtBSECFqRS6LSPI7GIQowF/lDMdlYR+0V3&#10;JZbPyIGTAoyW/hAaKygvQaEIu5a5/iqxhjDjfrPQnjFE8i0KHJzbArpiiR89eAxZe1eLf8t7WTl1&#10;FIIzDVsAOrFM56RAdE27PeKdWJMsRUazqizU4jZNq7GKHRYrkmtTMkB6ocxj7W0qArUIxQxg2+XI&#10;zEg6f1KnkR8ZDyChZxbHNl5ym/CCsqKhLUqkpjMJAGplDRcQwdZgZgnlw+lZkV3jhUiMCtC0DE2Q&#10;TONNSS7hwCQcM2lZn7AkOlmHSGGKqMkOusUwG6kdwpKITx8+M7DaoWn177sdY3omhWRNCDrzCSi8&#10;1lbQqWIJsTlaA2kycx0t0Mip2bS2DSHDDBr24dvhqrwGIboWo7fcG5tgmq09w9EJ9wl1vSVk261B&#10;22KCyBJiCmuLcD0oaxkuS1huy1PXYurSSakc0xPnY9/Be7UGPvA6Wi01raKoGQ2Mt1l/1AJCw9o1&#10;S5OWANa8AabDjEe98BlH3Rw8dkvccgRWLLXrRDTFSgpnEEMwCpoxmA0UHlFcUtrNhK931gKMQiuV&#10;Zt1W7kjKFTGUfEmyWbnRzfKWjmGm0Mx7y3JL4epaMa+abugz5y/EIqyhPXDbLGFCyMjBQ9BQkQrP&#10;oafAQ8csVUwbtx4cjbUhehGMU3aPSVQLl2QJyqWT6wcTSVFuJUMYlHDJxAJ31AezWECJx9kpjCZb&#10;iL5TF+FZWEMNJZKMxidBfAejq3koTn75xVi40A/GtA2rrR31W60x+eKF2HfgHXDrIvkL1uZXUdN1&#10;K27xNQj8Aaxt/VY8042p6NpCDAq41gm4/eumvpg+2oTi5Pk4t6cvfhyfraL05nHg8/KBnTgG5rSB&#10;9z/11ptikDTz5Nn4OTza3FBHXIcvdO3534tOJE10YxBsW8f+6Hvnj9sbc2g44up4HFhEA4C+E/HJ&#10;X/gUynpgRaIO7Qwsih0oXSfe+iMxO70Va988CThPxt5mzJnsgAdECq0tq6LQFCvRm2smVgktMUfW&#10;v7EoH2skwzSWgfZttbZxBh9itvNw/U/OLMTTL5+JC1duxMBAP5jtUNyYmFBm72998jNSgCvc4hY1&#10;SDrb/X4l2uVfKWEKTjb81hmJf75cHrvrJg0nlEvlbzYTf/DBB8HjXALUBKV1C4kXm/BksGyC3pr2&#10;zgFcFeEcCMX5mavoRgVvFXugwltVisUFOoZvkj7M1q2sVh2oyO+ovPI4hTIgDGfnom90D4N60QP3&#10;8xbHW0Gy8Lu1mVlkhN4TR+56q0pHVpbmYvbqaayTHiu26ExKJiNKJaCFw5GZlQw82UFHo+2ldFti&#10;PbRt6B6VF4hgyzVScNN9SmWc+GXXsi09C0XTf3GhMotceyUcwrPg/DUIZcY6aRjRs6IkJLih3aYT&#10;e64yLOrgbiHaDCOCmaj0XVI0SN/GD302/FwSBh+wlZ3cpuT3sg7NDxxyYRp4eQ+4MkQno6cYA1ZW&#10;HFu0MLQsynwSHNmqWkGzOC2CLlFKeC0KbjbFGZNbqusNmY40H1uOOj4Tbxg/UhkBzffi+syECUr6&#10;EixVVivvJUvGlhMf3iazGV3VbYIaMPOT6b7BL8acuqCpCZGAtBS8m2BIFGZtcH3S1QsblNwcQu0O&#10;WToEghJ94M5ZhVY+deH5mL3xqoDX+LLmQkg4xZgJLkRy/l5GofkmtN123Js9QOevXxdQB/cfknus&#10;BxmQcKxAOF6Dhjcp10Yb/PytbLkhvzusvtTceJdmpt2SANYRE0CCEDXgDVgE65voXXhkKJoWsFYE&#10;9jenAZMFuFMVxGpBPd3VWJ2ZdhKENDUmvDgtmn+XIZp8lhp5nTRTak6rmiJekudkAkLVaT61wpJs&#10;UwihjGNxGrbPU8Ypf+NvWuBu5ss9zWMy/qCBtfmZrguCuDY5JQvu53751wT1HsSLu1Gece0qUudF&#10;cDtxx4kjceeJQ6hrxeiwAczFy2bh7rnLH++ghZ7d1mJCDZxU35VjZUn4DAl/3H985ZU4/Z23xdHJ&#10;w1Jyzn3p47Fw9SVlTQ+ceEc8/L1/DYkTs/H5L34zTrz5geiAdbO8sBhf/t1/Ea0b47HW9tb48M/+&#10;8zh8x8E4j/rSW/eiMw7W/jPHm+LsqY34w7//k3Hp6c+j4XJn/Noq4qKf//nY+s0/jHjfm+NTB/dF&#10;+3f/rWjDBIYmuLi68QDzUOoe/JnfRFxwKz537z+O3u99T/T98v8RS1/4Ytz00R+Icx//t7Hxv/xf&#10;MfjJX4iew2Nx+Zmn8flfiZbXn4zBTzXHh773u+PGTMQL//p/iykK0T5MdgBDOva+/zkOvO190d/X&#10;HWce+40YPHhbNJ8FHqvWlQzGwtHQSeWdrEgCJsMrFcHULijH9ywYmVfAw5UcAdpkCIT5aSzy34Fi&#10;0D84FNfHb6AOcMUMjfSbrjjfvcHNX4uz+q7iEUmnEjZyDYhnFMUvpWoK82I58iAjhq5QLsMnl95H&#10;/PSH/JsCcGTsrjjx8CPIYzgAi2c+huA92KYyDmv+yulnYEHOqKtTJ/jO3hP3xhI8SIwldsFaE19l&#10;DTizLQlfeK5YmrKMUM8mSqH0GFlY38TyCoZ/oKy1Iv+gsxshFXQbWoPl2Ylax2YWvgNWG1BwWsH/&#10;SGdgMmp+zjyHNvR83nv0/pi+fkouXCrQZPLqNMOuQngvSxwjrxbhZdhBFGcbG7UGvto62K8uM02L&#10;4E+IL+7MYZ8xoo964wAywmkpu2yPtG6LV9UIyh4lTtBiykxTwo2AFRvHBZBizecn72XTC8Z2mWti&#10;XBOXrjyS9BrSs+ZyQ+MiMUGOZlrTUhwsIxju0d+ytEvHmjKyzwLPJXlW/O0p4qKcf2Ivk4WiBKLK&#10;ffw3X3KfipniBC/XFh/jS9vIfizCUVpChXxmfKIXH5B4ys9p+tNlQMGILaM7QAIvpb40S2cultoT&#10;0lTVbUCgYIIGL8/MJfzNRADdn1mEGNabQnGTiTHozUpNhskARNY1aE69owdcrI543BYyrNaBhPMT&#10;Z+UyaEECDbOjrFG94VWsIQWAmQllDYNCj93iW+Fe3YEAPvvEJyXglBKOdZLwaRkyE40jojbhUm1F&#10;dhqLlpnRKQWCAWeRrsXuei8y/BbgFlwdB4yo0KBzBEu7oKV2oAHCFixIdszYRlxKLm183gKYP/3M&#10;c9CyUbQOgmC7Ne65ZTmvTMZUv6oSlPywsvVSc9Vp5XAJs/wj3Wf+njcoX/h30bwrCP4ZQO6Ga620&#10;i/tU1l8H61ShBZ+7wvxNvsbj+DHUUYF5XoVgVBs5xHLYWaOzCyUXJCTFnnmsmTIBYCbMRBrTojVz&#10;rE44ZMIojptiqXJfKcBbwTiWMXB4/H23xO0vHI3jqwNx5UnQM1pNiShxi73DENYg/onRg9GH9XRy&#10;1Boy9piMtb3FSQnI7jt/CcIHBAsrbvLlhVhEssqlu06oYcAALLcrbYfBaNjODnVqLy/H6j6UJDx2&#10;KYaPE+5HULM4C00e1gcY2gBird/6K8hsRjnNvm7E3E4ja/a/nIuO650x9atfis1vbkZX61ui9Rde&#10;ie33tMbA2dZYvfpYtE/Px8bZtvjmjceUAr88CQ/Kgb+AcAIsWRSHL12YjPHWb8UkEl92FqDsXTuv&#10;PpN2kKfngBiRyV+GM7+zQsW/xSMkXFyjLKYDBkuGLsU1UaWFJRn4jpyhg+3RAMjRkT1S5nphUY/u&#10;24dyhym5rPft3y/t39hIRlW22MqxVicGZiZSYt7VmvMEW188JJ9FDC/fy81b6C+P0XWNvFICkqET&#10;l5h8urzVEXtGMbEGySmsdV29cRolQRBKUFqmL78E+p2JlavojAQBOnTkzaDZRTQ1QLcE8Jd2rHcT&#10;12YdZDfLKUC/5IUDwOmryErdhmXXOXgMQmwayTGYg/riU4j5TWHuKbxKGBS+Df61hsSbIbhPua4J&#10;8K+2zlEpOJsrM3gu5l3Y4e1kGsS151HewuQpwLoLLt8FNC7Ze+A+rAUxREBxdXMh1q+gzGMOdaTM&#10;TsWWreCe5OXNsOiWlmHZpWJLpYYWPQUQc0MULs42bkq641ZhzqSUcibWgN9vsqQPz638AHyHmjud&#10;IwHHfaOSJDhjvRKCHOpAwQo6pLdAw+G5TwXrLAQdTrINQ8OKPMDJMxlKkcevWHwp7OQqrfGgxKvt&#10;KautxjINSscWoei5bkZ8C8XCKJk8k+Epfiqa4FEUFjgIVouKiek+pfYl088nK9FGJRVELpq2lvjU&#10;AngIo5ju8sCJ9DiX3EyMLdO3JWSdTmwQ4juZK3DNsk4NGVkEMGv5NtDJvnkVCS+M7eGzTqQsryHQ&#10;zfdMw19cHMd3cCtAWK8ieN4Ed50YaoOVyOunjlj9tlVFoUf1hBsmugCSL2A+4v7oZY0iHobd53nM&#10;IjLBJi6cxn2pxbQirjAOhAfygrq6+5klS8vQrmk9K3qIUslqQyPqdgS1t/rxN7TnFrxvuzgFwluC&#10;MEB/SLjypINjukETAvALIK4lJH4MwLUyjZgTS0VKUNqCxQgkdpZCQxCslAB/X+JwPtLLqplJ0ab9&#10;u3xeZQXq+IJwYk01o6o+bzzGuGPtjUoEYrCYeTcO1+LInmEQ/qC0Tn4/h6bo+/aOxBgY5fXrUBgA&#10;zw4wTMY1ypxKsVpZNfY0OK/RLnYZLUz64BqxhyLgdNObsfOJLBD1HdLVx86uxoN/5zOYM9gZTw/c&#10;FAN3fwjaM5jf5JVYvnQuPvNP/mnc9l0fRuzzYCxBo/76f/j5mHrtSXX2aO0+ClSdjs//3/8oPvnO&#10;e6LzuTOx9hffE9vfejG6/yU6hkA5opXUDhdcy4ffHu/7X388Hv///Gx0PPZsNP/MD8bKt16O9h96&#10;d2w9dG+s/fNfjfbT12Lzp74Tc/sOx/R/+Wz0/NHPxiH0S736y/8x9l+5KYbfeize8/CDsfHwj8eX&#10;/+GPRvzR70Y3Qgc7yDbcAK1dh9Dt/OG/H4dvuj1a+t8Tt3/g/bH04ovx3K/8dEyefi2Ovv2t8abv&#10;eCie/LWn0Tv/YvTRbZV+yUqgFBUihZAgXFlYlnouZyIOkHZTTWJ8JtHJUUm6U11exSkrra3rsR8d&#10;cH78R/4SakJ74vGnnopf+He/Hh9677vj7W9/i6ZdVAxLOGshZ4U63V6N+JW4XoSZFaWkgTw/UbtW&#10;HrlC4k5qavk0hQSEH4xZvXzq1fiFX/lULGycBI2jsB1u0iaUpjQjPNS0g3rWjnsgpNCSDDxiFbTd&#10;P7gXwa7VmHllSgOruw+hdWEXEv56EWpZgcufyWMdCPigKUD3sYNomoHhAIdugsJ+WZDaXIBCA0uV&#10;Lvu1xWuIUyNmiQSXzcWLmhijmCzWvLIC7woUHK6zBXtOL9EKlP1urK+7fUzvO5q7UKIFAUsP1ugw&#10;6oCviH62lpAwhvaGQ4fvioG9R8RTl8AP6SJl6zQmF820XQOPQ2x0HVmqeN5ptAiEjo5xUmglSFkh&#10;C3Q7ZpABu8Z4IoTxJgwXdqVRhj0MBf7QOh6fnENnJCgIwEt2jmLSJBVzJnVSdqg0SCSZtYZUYgAL&#10;5p2wEYbyAlJmyFCkUUpZQo1FypHXU2rAi4ArobmqHaLCcolDKfxKwk0Rhu4CltmnvgD9zxaAEkC4&#10;AF2jLupPtkPcT25r5kIzERfiLy5WMUypD9C+8ZtuVHZQkClvXqQ0f2UX+VpFaisFvzDlXIMJj0ie&#10;mVpcDoSKioszC2wHrbGamgcUzNUEbdT5dSAozZW0IWllE8hMd+kWi0cRt7NgMrMsiUR8PrlsyLD1&#10;LrViwkOpxPih+3R6ChboXsQT4ecHI99CFTQTbplduoaZlENjJ+JI+wfUF3IN7s4FFOpOssSC/ST1&#10;sp0mWONd+zysWhWx8r7ZuomuPaxtDc/D+XNZtqMgNtPDm6CRdyCmugwrsbN7K77vBz6K4nK4pciU&#10;hCTe2CrNmAiUfnNugltaWUtScL9RuxKs6Q6nQsM0Z8IW66X7mxpeXqdo7Ea4zPZq1LzEvHwPveA2&#10;kvhinnV+1ok9+uwffCJ+5Vf/ffwPP/W/xJvvfzOyPuGaBrz/9NOfjse+/OX4O3/zJ+NTn/mTmIcm&#10;S82QZSds/lCG85oR2t1RWqKpD4acFrXVKyuRcNVGWyDagraVwGfuBPG3z70Y68M3xdjb3xljYFpT&#10;J/8gNhafU2bkzr6h+NAPPBjHkMMA4yE+dupP4vTnP4eGA0jPR5E2a/KaB2GN/Y0fjqWnNmL/T74v&#10;rv3qtdj4/a9HG/qCriOrbxvKTefLsBbGH4mWyy/Exs6F6H/7gVg48aZoQiOLbvTvnf84mN7zl6Nz&#10;X3MMfeRhuEBfBlNrjR40ZR769ruj/fH+GHvkzXF4YCeuXQbTgwbfA3zcgqthG4KTZvIaLO9W9NPd&#10;g2zrVmQD0nqcnJrHPg6DMXbG8sRiTLx4kYW/aFDQD3pBuUAl8MwBpCSLj6QynIKvdIkR3BKrBW15&#10;VgRSeyjxj8LDHYxY3oTECDB2KrPf/z3fFWN7QT/A/bc+eH/8/rE/gaK3hfgV1teBhA/yhcTLKgNV&#10;eFOYIM0FJ6+YsaQFWVmS+ZmsBL+3VMVvbju9RFRksW+sKeQxLbBkWZomnMJ1upFxCfKKnsHXYv8t&#10;H5B7tHfPYQi+/dHcfQ5lU+jxinKM1TYoc8tnkQw1ggQoJO019cbMt2PKPW+nUhct1cxc/MzF6UoG&#10;Eu3DiuK4NYVAUDyPhBiVT2iZLiuzYUKrnEXv/AQKiuodjeNFWWFTBFlg+K2+1AxJ8WgITgsyj1/a&#10;gFLd2zcgmCxhxBQ9UesoB2PnrW7wskEk98xcOxfXXv9E3Nhqj1OL8GotQvBdOxu3Hz6IRB5k50MR&#10;n1jHGDTwX1UbYK1sU6imDlASdtQEZieuL4CvgW+x9nWNFQ2EiXiteY9a5El2kDcVr45LaLi1dGfn&#10;1utvNn5h4jw9g0oQpbciryX+rQxU+ka9r6VI33WJtbyxBZnypTrf8UUiCaxWGrAs7vYHybol4CT7&#10;crFCqNSuVMirjBCxeSNTapvKyyAxoNhVA3bl/22wOHAhdcNK7UAWJd1YaQpTWsn2kOvDpjU3WzKc&#10;sUqVD2zF/qMPxf47PwLkQyszCItW1PS0onffldefiitnnwBAV8FIe2P4CNxUdD3CralnUOYinpkt&#10;zNi9QQWcbbDsLmWMjP5y+uIZXCahsP0d3cCoNoOGuILOLu0gEs6hZGbsGly0rdDSaK204zmY1afW&#10;QWBSe448gNlmp919XlqIBYW6yRNk2NS1YdQwksjhatgAAW0iwWcbCRgbmG+33I14DO6/OYdeqZyK&#10;jTU/fN+b4thBaKW494d/5EdiDJ0wNliugXtL6dCYlxRIqRXruVPr1wKIEP5f/s6aPhIq3H7sxrtJ&#10;ny51G1inVhjKedxqW2jFV1bdTRtr3dsPii1j7JRCm64eEjI+7kYnkD/60yeiDe3qHv3+vwT35KiY&#10;xcLF8/GOtz0Ur589j6SMa2JOq8ss7YFApKVInkVli4hcngnrMGTdhq70/3SmoZ/PqGvCEKvnc9Gy&#10;TPcKO4/09ByNjkUkzzz5REw8Dzd52zEoQEhwUJJCT/zhxz6JbiajMYfs46unN2Ps3f8QytFIzL/6&#10;LGJEaLoAmLT/fXQZGb0v+qYwz+7qndH0nf9CrnqNwYI1t3njSnz5B/49vAy3xdax26Pjb/9xvBW9&#10;RNuRRXip7TPRv9gTd/S9JS7+gyfjzC+/gpINuGP/3b+LAWSInkf24BqSWI5+6bH4PLTv+wGTDzYP&#10;xuNIKBsEYEYAkL1gOnf3t8S5T/5KfOOR70eizZV48T/9fTS5Rq9cxonQa3X83DPRNnYoBm9/d3Rc&#10;+GNg16Ws4SIcU8kg48pNLe4sh1VMxxKCZDK511YyGved52ezBhzL0ANrEb/r/e+Ne+66LebhDaAm&#10;3dPTHz/3G59AMskQlLs2pM1xa61BS30hXZCXSDEmH6cyB/rHsXbTWrFJU7LC6YLjYqjpHVBdYTqg&#10;mhn2APzYUUjX9eUTp+A8AAn1I4ludftKXD71n8Ek3WatRb1yoeTixGbGQQGvDTRTh3Mbtd6w5GAx&#10;bXL4sHBfT2DBjBcn2dDrQWtYeJrN0avuTVgbOwk5Vo+mDHAxsx5Pg5NZJpFCXwaLNHrPOlRNLKzI&#10;ch/vhB+sTG9xbgFBkRFYWHUrjEkuTcmt3Y59YJOUFo7i4+pWJjBGbEclGVzzFmiPVdpWMrg9eF7w&#10;n214zbYRCyUudDBMhHo7d58C3bDOHM/DWCHbTbJph5XxGt7y8MjL6XwTNit3QqU9T6ocS2Hm2KKT&#10;Lh1CSaFHZZ/rUaKOeVUGDSultyhOFpK1wKyTbGpPl4SifLO0+Bg41TYavamdsAiViCSpnckTkoVE&#10;PwGaAoQrx4OIy1PhQjYfXatSkyB0GKgV82UM0S4r8U7eiw/I7FeVd1jjsynMB81jUhMUMqgFEZCB&#10;9YHoZHP19T/BuUw7thu2HUJwCr73hcmzGsHDurBOTLZXX2ikLbD0gPWQ9H1vNkNzh6BcZyyQcc9l&#10;lAjMoudg/3Gx2U345GdQeMvGyBvIPp2/2IQaH7gbYI32oxyjHZMUxjFYdAuuit7Bgzh+Rh1T2GaJ&#10;a+ntHYbvH1oXSj4orMHaowfBek5daB6+Wc3Mm9r7mXSGnqOoNVqb0vggxmdW0eFiG0JyEXGt9Q4m&#10;pSCrje3u4LJYAVN+90MPICGnJS68/lIcQMcL+Ga0H46fef/kgaaLEMhrx3gSfko3Mmu2ppLyzP+L&#10;eHEsuljwGvLl07DWAXW2mjI91RygkF9a1vi7Da3R9Er+SCJk0FwvWqBWbZEKvh2PvOet0YfZbqNo&#10;DL+NjD5peIjN0BPwl3/4++XCeu0VlrEYl5id5in1DopzkWLTJaOG1xVJGQA1o7YgLBaiV5Pn4njG&#10;fW5CY+r7Vq7Hbeh/9uvvRN9IlIjMXb0vnvi5H0WZzzjmz01F820H4t0f+lCcf+Lp6H/gTXH3u27G&#10;PMuIX/vR74mlS1/U2tY+Nxzv/tnfie//4QcQU4RLbagZiTdYC/SLuw9FfPH3vxW/9ld+Mdag+Mxj&#10;/e+YaY7fWIP5ib19An02L4I+/tLhI/Efz52P/+kkwgKIW34UisN/uulYfBfKVz4D5efXUde6iLjc&#10;d/eNxdXF5XgQzLsbOPfXAaMjSER6EJ6Er4Hx/vO3vSk2r/fHped/AwxpFDFF9OaEt6St9R7NB9xA&#10;gbiS0qiiF9dkasrEJelQEjqkS6e/WMgQvrYkrXQkXlUi0sjH8AitRPbKbQWg1MlKXWJoMVDRZD49&#10;ajCPHYoOeF7cko8XtYdEdXZq7mEFtRo4TVTlejLTWGvlvcmLCvJRGSPjUjkT12ArxDvP8A7OQK9f&#10;fZ5dbLhm4gxV/A0cdHB4f/zsx/4lYntokE5hwlpE/JBHqeMOrTUW7LP2Ftdch/CaOfsKErWWUdaF&#10;2anMDhdsYVEhVHD69On4Glzl73332+Puu+8EzzGOloYeyxBSn/vsZ+POm46Cd3RGB3joFopnm+CF&#10;WkEeg7AYz83GIT1o+8Yww0svvyyX5Yc//BG5FEtdt2JuFMKaJuHpFFIwyG/x2TKefRFW3P4Db/ae&#10;QIBN7mBggZIkKT0poD8aI6hnpdHQxuYF7HMt/ODXpvk2rKUMadCgATVKYV0uYIK9Zy9ltjImD2rl&#10;nomJ28hR5mj5Eeth/TCdrGzwUpIyLd4tKEHdlB34jo3cvRQnzjjrtNQm2iIsXiwrJmJo5nE6Pr0O&#10;KXClhBWPA66KXA4KOAs623xOWOBFRDRkPhDZjPtRchNgWg873kig2iXJbCQyPAlYMPZmZE8RqTlK&#10;hrEgsatcGyYiCYEpECnltzLbiNaiMlnp0qBqIGFpoUzmyoJZXoRCbBuYu7WxB19iCE0X3VgQlDvL&#10;MXgAY6TGQIRCZhRU7x1Ec+fJmDoFJgANpncE5Rw9YNZICt1ZgBYP4dgGwdOydV8Mon4MjUTVyqoJ&#10;o3bWUXO0g9jf6vlx1AWhsB8W5Qpay60yKwzv5xEkb+sdizXUHG6ujeN5IH2ZGg1LcA1JQN1oSYde&#10;60iImUXXlB20YUIPUTxbz8hdMTuDoD0ScbaQpk4kaEbmV3/7HiHxKvqh9nSOYXNQ4L6Omqe+A4gp&#10;ssvQclydXoipeQT0kfTBOqPli2fEIARRBsk1E82oW6RTzSzMxqTYU+PmeyGzO4qIaYjxifMUx0Be&#10;h4iURf66BtmMrQceuE03sSgXG8d4KzVO7peStvAexeLS0ng1uEmPgyvcfN9dMf74l92+CZY3Xc9k&#10;0r143wUXuQiaXY2yNyst8zZl6pWFllVr5X4A4iVRUTdy6Y8EOb73zD/DRoodBFknEG0WYykutO2P&#10;C1A0pk6di8AE8mUkgbS1oMgdo5cYK2qeQF3fp78Ss4gFsSXWySsTULjgVuu5N5b7YSFAiO/Asp2Y&#10;WIqP//oXYrgftYr3nIhnv47ifjC8093NcRW1bF3D3wa6QO9MIPZp3Pv/gBbdDBfBSs+dMQEG/vJM&#10;e3zjwG3RdC8sp2urcRUxnb+93hOTw3uhvXfEPwNTG0Vpxm/PomxkH/CrbyuuAad/EV2gdiY3YgRN&#10;KeagEC5+/vHYGX8dqf1vc4N9Jk7c9ZFohpV+9bmXERy/FieO3BQdszMEWpX+XuhfLlBq8IQsaTDD&#10;GC68zhiiAJ5WZSoidLFKj4LbTroWvT1iatxkXD0zUqVM42cV3Vq2GH/XfD0xIh4t3NKVaBQl82L5&#10;jBp2y7WYa5D5RxS0UNP5VNooBGh5McYF+Hv8lddrPlWHSdKMMg+UW47u35Y4CGuyeCSa4OfTmnkM&#10;FX52vMo8AXeIwr+j6CVEOBHPtRYnKtLa+/Rjn4tnnn89PvTB70WD8TcjNo0GAAkz8sc55EE89+zJ&#10;eOTBN8UohiVswqVM4auhvDmhhO0bu7tHY2DP/jh98WK8du5y7EPz8R/6vh9U0kwbrDUmIrJxOHlk&#10;O6w/9QRmsoxoiUqlh8Q71GIhw5mep1EeBpaNJiJoPQfhT2uLMU25ZQlP0I6zk80ePDgYnkDUYFPB&#10;UDs/afhIAMQ92cpvHR4UF+g4KctpJ4R74oRsbSrL9MfBUmSzcMmzDOXgTPc8tUJG3sSwj72PHuHm&#10;TjTGJY7Tc+cyC8ZC+1x0caWX8JGOkcKXISVZntxfCOYqNdX8Uj9SxLVj3GDezwxWDIV+XlmVdqGq&#10;eXjJw5YDhsc5K4j9Aj2iBaBRFwY+PCUxZ2fZ0U7thwqVe9jR4uQa7J4pmom1BSAlsksJHVoL9MFv&#10;o9N/3+AY5Ngt0b93CG6VxejZBGLCzYFZzhgzgzRqpIC3ANiLdx5XsQbJTQW1Sg3Gy75c3V8IzRRm&#10;xQLgNoAWyabGO2BM/HqddXbUcCkH2MqKXWQU+7PF5blt9K+T+eJBJKDc8kgBaY59oeBilxieR2HE&#10;vq04b/9xao8YDbN8RXWgnPzNRB/2Mbxx/SyK/y8gkefz8cCb74q77rkX7aQw/w2lISvXL1oCQNDQ&#10;LVs3KBf61vJRJG9hwIdp6UbiAKCxBdcL18FXJWLEzHgcL+Hf+k4Ss/HIgjTJa7iHuGZL82yGbs2k&#10;iEvb2NttEiOG3hImm9TUyQhhNZEwt5ey0JjaUCIs44jmSmTQeETWccEV7mWUZBrxTcOfzcYznuKY&#10;sffY5SDUWF0iQIJnc3W6uregxV+6aX98/e98KB65cm9M/8a/iWtf/nkgKSYSIG7cd/9H4+EPogzi&#10;ia/EVZxzy6NvirWzZ1DU/6O4Ft1ESMd/50/HX/9nPxTTVxdheaLvaX9zTE8hqeQwiro//pV46uP/&#10;Cp2Y4A5jtvBfen90/72/Htuf+qM4CyH6yke+M+b+vx+Lgf/0RQg4xItn5mLv//jd8Vf/xT+Pj3/4&#10;B+Kbn386nv6VfxMbp16Lw4+8JU6innP6vT8R8Y7bYu/P/Uwsf+6PouW7vjMmkMY/8Uufix994Cej&#10;FcbnwskL8YW/++8DzUxYD6FY410P/48xdt8DqKmMmH72j5H5vBSP/eHn6KBX8/4eNMUYhCtzZBRd&#10;oQDVubn5mJvB3E+MgFpBqYoFSQof7Yld0PzMsTLjG99uKjyxE+959CFknQ7oWKfDOzFCAohNDebn&#10;EH8/DXijUyuYObMim2H54k3iH4vb4c9k6ISWiISlcdH/CooSSVPZ4dWp9DEADEuqCc9OBb84fH1e&#10;A+4KSfMz0r+QBt2moBBzEcb9QhMMEiKoAUErzEyaUPYzLH5gNhRyem1I/8APCKbVUeB0K7ppAcZM&#10;aFliKz3SXQpmljxQcJa4nwb6Akas72tFvec2XA3E/VbAmUaGe506btjX16uSCuY4tLUDp9lPFe5W&#10;zapsZwccZqkWK5L477CWeCD5AO5DfXtmiTwVbn42EGCsj3kFFE7soww8UcZ+o6VIuJCuRYqMD4rA&#10;pPCJnxIPoORyzeqERBDrGydqFmtRn1He4AyW7ii7lDxZwtAwT8eQzpE7XXwhBWLGES0Yi6DjbwtF&#10;eyBzRZKsPMzCsIpf57n2lqku0j57Wba5cgsnptbykenSsCbJz1zDR6lMCxJPx7IN1TbSZ0zNjkkZ&#10;ZIJlHhhrbzh7TmkQlva4pIQNs4tYZC2sM5Gp3Rw1UQrc/JwuMm6ghpvivB4MAn33e+5BIgKKk5uu&#10;4Iyno2mKsUGkI1NLwZrXkQq9ATP78jkOT4VHHGtkL9xVIOwGXRN8ZvZLowsNSCgXo1p7ERk4woj+&#10;enxHk52DmGlVwDXVAcHFBttr2EEyWBeLEozsxwcfOu7ZpDltQEZYQzyHLbA4Q45Tu42MbBLsoLAK&#10;r4nEIKBFFO1uzk8CAUHc7GJB2sT/O+Bu7dpErOLSE3GMjbNvvRUuEGe9kpD0korF7K58SYNJIWb5&#10;2PDCH9AIoZvlWCO4fMu3eCMrqmIHhWG84RI6vlw4GQeJgloyGBr7RltYUcGh1g4lgxBF0glhTcWh&#10;GW6i7VvRXxEWDtq6oAk3zqDQ4uOIIfg9X9R0P/m5r8crZ87DtQqFgesUU0mPj2rtaJWjsyOtCaIm&#10;GSPwhnjaCWZyHK6pvSPQtJH8Mo86w9OnzsS1C5diEGO39rB+DzBdRTekLlj/3PsN1JB2owfmfrgl&#10;l47eCQsWQgO4N8ueqShzYPP2DSQcNCMVf2MWWckoFeKoqKN7UVaB+PM2EqIOoiFBBzKie+CW3sY9&#10;WW7Shczh7Yfui51rk/BOwGV8DckPbf1gKBiYjRhjyxfPxlf+z38TbS8uRHvf0eh6BT0rR0/E5gtz&#10;KH7Hc/fcHu0vI6Pzd05hB5Gy/3unEdtqib6XV+PU6ccgXJBEgWYSHd1vcjMJwLEJ8Z5XP/mHce4L&#10;j0GbR2IPJOP1Ky/G8y+9ovhPL55neM9Q7ENmM4d004szB0XlMvqXnrtwHVncYNrEDMHbdbFu8M8B&#10;y46D2ZJIXkDBCFp9BLjN0hum9TvL0ExZ1hiFJDMSQWsMsdDNxlwEZH9IWSYDkIUB5VMMT/RmZUgY&#10;Jyu0AccrnDRe7iBtkjxESV40pd4gByv0bSCORjKpaEKoXnCco4bI2m3P5p00p5NhIAqVTK+Q0dAy&#10;ALc1uvosLiBTFAKmC7kPSmwSA06Fj0IFb8nwu6Cs0sJT8pyUByayULBQGWGNHngIYc7EGSiVvVBk&#10;mOXP2H3V1FrlDqbgmrCtsFQ/4ukOptoihRkB/kr+u8U9YqgKn7dyADVKUKTGUHhwr6n/AAfYUJ/C&#10;WlQuJZ+aKL6EhUnvl3I5WImgfTQvcC/kIvD4dPZIEBw0lJR5ymO1dHsvzYyMeyVPRXhWXKIKTBZX&#10;KmHbKBD9txVtf17/bni/y32qP4iAts5K9w/JiASikmfoPlWhJgUivpBmQOjgPbNHieR8D02BulYz&#10;03UlKOjTxjnI1hKC4lwKyQ0KRG68kIvn21VLABBBXIGTLjxsVQvWyExOZmGyZu3v/szfMKGkdDfr&#10;TFsIn5159RUJxbUNxDJAVHuzXyiReQ33X+Nzgxi74XZiU2y6b3htvl54+tn4Bz/7D+MvfOQ74K//&#10;AWj9U6gZQo0jN3gH7svp6ZiFFs3eiPxZQ03hOn42UU5BdwevRYvx2vhEXLx0Ge6QkdgDhtNOQZux&#10;Dwael6B9T88uwrePVk4QoItwoajzCZi+6ZDwy+w0XG+gDz0VmWkov3+yBmObnpzwMOzSqtdVkhPs&#10;ovAUZ6kd61LlxT1KSjLj2fWVCU1rK/ewdiXmUDaYShM+oNZHi40NHXZgQolhwCVFZbEZvRG3+8Hk&#10;kCa+NoNEBrpGqVxrLWaYTOEm02UcpBPu1GVow2euTGJoKQYpK2OtKE5lTUmsjPUkAQmnksGwZ6mu&#10;DYZAbbQLgqADxcsrz7wSiz/29+JzOLSVvVeROsGBwZxtcf6Lvx2vf+63Mw9tJ55WtyKstwdlNlgv&#10;533OvP7l+Mc/9BXREDsN9SNDj/GUZcT2ONi3a+AWCfuWPRAiX7ke828H7nLAMtazsP6b0UPBgL6m&#10;2kNs/caNtbj4878X7QO9iCv2xfL//otSJBfUOxZCC4yQbq2Fv/WPRCOsk1uEp6C1syW+2FS7F9sB&#10;J/ecdLyHXU/kCpMXkLQOJgxPjvCJH+H2dE9LKWP8nzSCZ+U+dqGkQoIGfEC0orifmQ0vp0QH5Qc4&#10;JmUl17SutHklQpS6sswo51Gs6aX2z9OovMoaMesWA9NSLXqc3FP+Ju1nhkyiqLCg+p8ZLS9lIWUh&#10;a0TN+JZIo0jKStTm1fLQ6pK0jPigtnLlekuh6Jg8v7dLd5vDDYA/OoICDabY5PQi+rzejSY1CC0k&#10;Pkq6kNmn+1XTapiAk8KnZFjq78y9kLIIBWOS80PnFmIPRsCRDjapZMMT0gr+AY4rhbsSjOWJCqEL&#10;Fmn1Y4208tXJC9duZ9kJ4SQvlxMgOetUcE/+SvzXNAz8eCftipb7lHWJPI8eH5aHyPHjEgw9dyUQ&#10;vR1chw04luntRDetUzyuWopmoiUhKVjyOqz1BS3RKCvlGMqt0bVo3BWFgF5L75P2ZpdQLG5TJt34&#10;mMoNi8vAferFKQiqyxCLuKrEBl6TYUMKPiEdFgYftNq4SXuhlkPtgULMmo3aPslSJEPjJAlaCea8&#10;1C5ZTIqIn7BOeKsNMrPiSx0MBITMeUtNYguMprgHNyCM3DHDiRjFLeN+qZhLCLfpEgj0NkzcJjN2&#10;RpMRRWNNaAEiYWcALo8KZ/CGltsetHL7Rx3/Ch38b4nv/96PqMiYSEOGtw7th0F0ukA9mBQ/+Iyf&#10;r8LSWIdbhW2iaC1//cmn4xd+7TfjOGIN73v7/YgrWqAVnW1hfiU+8cdPxY//+PfF/tHRmEecgRYm&#10;s87IfIjg6mRBLUxWGOJMsALUqFgYlYxJuonha7oX6qXgLERficddRC9FKD9J0bLreyNH4Qzlq5pJ&#10;7fokhaLbr3ltxb0iNwZnlCmbkNeExovEFmY+k3nRcneqvxFPCVrZzo1xZypWffAFMjGAY69khSaR&#10;q2kw95bPTgaMWRV0JVtfst2r+XqMiySukgi6IWh7IBQmp9BLcnY85+G5326BL28hlyytcsLZAXfe&#10;yMX/TCJgET+YIFuAMS4yf8mTSEhSy3xk4aQ7+6tHMK7Bq1C4cO3VBA6VMBA/mcUITXze50ppZUiZ&#10;OjaE2vqiGYIaopNBsc8kjtlEUMhlEPT+QeNHApeKqbVmv0pc12UYHIJthkdrhEkbmnivZAkkdUHj&#10;X0KHFhaeE79LD0/NxJOSTHaQ7kwyPMHJ9zKTpBuTe2kLsXhHzCAzZIEMSCVg0apn3IKCjmUEgrFW&#10;7H3lQ6Vg894k4zKm+zjtdgq3FHZFwRan1TNbgGmVef1dCF6DyrfIf3mLisGqeb6+TyWSz5Q0VyxI&#10;WT+YdzqIhJS/9uP/g3IE2LKTJRO2XnwzwVXRJGdRerCzhYP4q/6Z8zsbtznuvedN8bcOnYibjx+H&#10;54oDCZAciCzqtdXlaOvvjj7UbreimUjRG8pj1XHXFEoAEC1FCtpmep3EG22oUOCR/7DkzTC2IkyF&#10;zG5013F7y3ENGkykebpz2XFLtY3mQ7Kj9KwFE83/S3Yzj2FIjMMfUs/PODdxvVZYlIdCQ0EGWvJ0&#10;zvGU8mW6qGLQqZBVQlHHpzBVFmoKRCnXNc1nog03gu48xwMVMfRuO9BNq5HaFfFIAhJ/J2HbNkuH&#10;G76k8NTcLEp5MjYyMQAcXiY9LBfFB+d1TasMtpqI1U0BxLmCES07ewbjwC13QcuGJsS4JImbsUQC&#10;m64KMaji8rV7t7KemA6Oi6/Db0/huQbi1ngVFrDi+sW91q4AL92IJmL+o3+f7+lOmoU2NsfO8nR7&#10;MVYIpsFpCBq3xIGcmrHoGWK2GGk5QkjS4sRzdtPdCsbLTMqisTieQnqAtYHUcjJLwpfHUEuXdkcG&#10;Q1ghzsJRV9LwOfsN69/mFAW6M1K7LHQtdaZBeBVGkTwqkbog5O7f5VgxByJKw9e+flL/rtNKVKYc&#10;bRwQLhDxSOJEwmQ+qnslgyecxalwnAZ/kCGS0PAEtD7yHnItEx5iErwWLEmNEXM8mHVeUsSIByQ6&#10;4p2Os0ZKi5Mj0fxMUHZw/CrMG/50MnU+LR4VHQtuuC6OdUJJupUoKISXvCbdb/nM3CL7htUT09Ue&#10;fA66oSEA6R6vYGXmws9Z4lOO9S1hfeWFJCjJtFkngPVTeSw4XhSe6u+EoV1qHnWktnh0+rJcIJVM&#10;pUI1bGbjpJQivPgQcoMC+JuoXVxHQhQnyZN7raDGdwmjiNj0fhkxr0In/F3wrrimGIKQ94zLT7DL&#10;EEreUDrLyFok7vI7MrDuQSRqzCV9AP6AyTYyygve6V6VEKzxsygtVlB2O/wNegtLudmlYvt9EZ1+&#10;ghQVEpZ51p+H6paOeUYyaClw9dV0NtbJSjxztEQQMWYk142iixBrm5eZk1Bo3NCxN4NuRtK912Qm&#10;n/TC/ZRChM/S9Xxw32jceuImYqyegug/BS3qyhCedgQtLi+Ox8GVvTGGSR7lVeER7yocskCjheZ6&#10;YsOMP7SWSjmc8kHy+XgzKTy0CAVmnmu3qKxD4i33mMIb53E2onEe/6N3kGvN3ZGDUjSX+QC4hiYn&#10;UTHUOii0rFxLdkCmqMWbspfJYzNJRoLOcHaZhW5YW8vJj0r+TImn+hh7MKS0p9fRHNl45QfUftrc&#10;pfZLo1FeUmqE1I7zbwm/co6oNUGua6S5jOPp7utAx/nlJsTKyLywXmkPmQqdOOBNonCBS/Hq9ano&#10;xzkHEb9rQxbfvpvuTUaBWCESNLrwubvDF6S2v9m0YGSkRuxgP1xlELbU0oQ+HIME4UqCVQKGjjeB&#10;6DHEJOCOgECdQr9Ti8p81CTwonmofASbvwwhLo2bCCEkwPWAHxS+DIov4nsxJMDDWlfRZ71kxsGI&#10;OZpuzoYJQsgka8YJyfylhTPRiILTRL6bJI3E9cvPVDEPcaF8kPxdGEHF4RpY+Z8nHKV4CMaiEK3R&#10;cOP7sh8kCq4vGRgFibQwshAiGhQa1oFSKyWBw7+yhfZoGOAWLXOlFZ5hpZiiPMXp3gPs1tjbEUoX&#10;FQ81ReJKTG+7+RzRMPGay90AgfbOYSAsrHUdD/xbXFxEI4RlMHxkm2KPhMOkh2QI9CZY2zKR+V4W&#10;+Py7KBzNGJarUTZUtCGUdlBPaMUgyYnEKk0/902XpBnArk1pXUGgii2ZC+j7khlnWPMzordYoONr&#10;ZA74s4W0ZPZqt7KUkbxOMgmuxrkwThRrY+mQnpMMpyV60EpvoLc3BobRJBzF/zyob/RY7NlA5xO4&#10;7YmjtJiprKwgLizrApvTgozoDViTvWhc3dGNqfTkE1JSGKuHAtLNa7EPqpNyDN4UZPxNdx07tAiV&#10;qKDaRcZyiiIM/ehlH7zN3ozyv6SGxMdydHWIsNQqm99lkpbuabgWXlIuWUjJIjD3Kxtv6E/GBaic&#10;EYaEv/IRHPKhxauxTXxPvze7s7B3KHlAdb2iVHKrGWN3+MrlBmlVE8fKoxJ29G6lh0Dj56CEazA4&#10;6kCJCCu4x1J3U/SDrq71b8YgrFSLZyuiauItwye5WhFwVKiY5coRUTSOyAPhMZOWyrad9BIUGKUS&#10;pn6oUNCZPGhhZ6FKY4FJhfToNEO5UTiXz8Yt17MnRIXi2IlkS3x+/iCaZXJLRaXAq6pXZ86IlGvH&#10;UAsv5vtSl1nCam4lZ8HpvciyDQlBK9oWuBaKVoilEJAwkntYMuoA81Am3BCAlr7cWE9LwIXErJIx&#10;OOshTyXQ3dpNc6w4HBbWktxXyVvYsYBZYUJQcRZvFIloGRutid0I0NNHvTg5jeznS0I0IkIbYhtd&#10;yOTrVpJM4nJubnHDSi5r0jZTO8igkAGWGjhVZ5vxDrzrOXP5/IPPuQaG+84PfEe8892PgOBZGO/7&#10;OFWbPnsUU58/F6deORkLqCMah9vs3gcfiBP7jqmX4+oi6hGRMMH6IjLWF1+9EG958PYYQk3eZj6v&#10;YjWkF/zwuaXhVMwvGTDhw72QWwnf52LJEJkBp8+4S8mdXUNYC0YiVqWlycpJDCSKVAzFYKwYjf6o&#10;/+K7omHvmkuXJ4nZ8CCuSURPK47uXsCZCR6En5A3MxWdZeV147xmaKjNKDFgzFnInKtRpjLdjcRn&#10;vOcYnEO3flu8q+ddsOI7Yc0AeRmfFAUBx2BFkiGzndg65lR2wi2+DSuO0+SZzEVFZwgJM91IVe9F&#10;+cvGClgFiGYdfSA3mGWM87R6EgwWtoq2el0oeKdgdvcfZ00WzbIU/hatWLEzUbCvYWL0cFsPQRU1&#10;mSUk0Tfj3k3wfKwiu7kNzaaJexpyjXUwPtgOhUHhAdFsErIEiwnJrra0FPRRCh5jUgogHysSx3kr&#10;iG8Ra7p7XKpfMSviIuUl8yYIArxv7deQ9opu6QChnjIJvQT8UN1IGAdewsi2ffva0CnFn1M5oJsQ&#10;vDSe/uzvxPyVxywUxQPstjKaJe+RsoB/FITEIVrQSAQTIysyS49BQk1kbbiG+YC/EAbJBOFDFAZh&#10;/LZgLO94CmFq/PerfJv34I7ZBZUNDsiv8gTeH/CnkFEXGi6NPFGPZuFHPqfp8tBlUaFl21FCotCX&#10;lWPXBDshhThvHDQt5XKzG1ixjIq7jzuZ9wZ8O5DxvAe9dzv2IDaHsq72IXsmSuzSPMwJO0otTJ6m&#10;PtRcswSEPRv6TcUU16Uiz/RFWYj8x9/MtGcMmJfHhjM5SFsChZD5H1Lk4QZXImm1M7lHhFWRLxJO&#10;vrZG6hXPkNaTVqKO8Q610M0rpcFGSLEQFQZK2nOsO2GkY+vQinCo0HEeI76jZEnfJIUiNZ1kjCqg&#10;xQbJSvSmqSMC4zZ0j+ADGcHyW5kJ+4Eo6bXFig1uqabNKfXFNStaxr+2LPEoWUjFGlAchOoslsCi&#10;VgeakWCAqRBFu+lFwooZR/2SmE6hbAFLzd1EsansTC4apjc+Yk8+dZjRnPIeHIv2WHJP+B9LII7d&#10;dCT+7c//S/nXl5H84simn3Fy4ipqhZCBivTKzy2cjaf+0x/Hwbccj7vf9whqsNEz8cp4fOmJL8fD&#10;D9wtE/+j3/koxhDNojMLU7iz1ofMq3R4wDpp9RSzv1gE3h5LYysThRskc5C0SMZChE1u4ekihk2l&#10;BKcwtA7oVyHLCora0sKBdh9UiaoGYVmvJu/FXrUFGVl4U/iXhD1d7lyv3UE8Ts29uWrGz5bUUbeq&#10;gy3PRTeJhREK4yFc3//hn4ifesstTlDF5Tg8RTtD5mw+IiKEd1TZjMJdH5ouGzBwvC8T6HkZpzTZ&#10;YcofroPfz4ChY8qOSojK99T9eS1+xjigp9cbk3gd/uYxfF94La/JY/iTmJhX9PnQB/RiNxdes7TF&#10;5num/PCaPJfX5LFitvgBj9X5fEZ28+WxxOqyPn7Pa5VXseOhu2sdZV27ZEJer5I7eT9eg89VXjfl&#10;cdpXfUiFpMrNEBqQxFim2o6OSI7lFcUoYz9k+sKNVNQUVKs4qL7TqyBqSu9KQasQ2IzLDQbKK7+U&#10;ACpPaEHVeFGjs5/WAjO/TQDoDLlmpT5YgJG+uDZZifiUbjyZQ3jPblLkN/Ib2wpqZuZ5cYmST0p6&#10;ei3lnqR5usCLm1C8hv90UIEP7wsYqlTCbkIrOzyIfyP7GDWo3ZvgaaCnJjQH4egnNVEQLeS/5Ney&#10;H9mchQKOSiw2i5mgDm4yc3RFSibrv+nBk9BJhZ55Eco6VTkak22QfIV4pqw3eru4JP4PCp/lDNdO&#10;ZLE1KdjgN3dfMsBf2ejxY2k3CjrkowoUtFBLLFCKNgVbZtqUusPKUhSc3DzcOMI9y7gtr8/zBL7E&#10;ycQ5jCL0KhSTgZT36CFuBoAjVwgtNv7J38xko0ikW5DuKxeLqxN6JrtQMMqspVWpm1iaq2Igf+TZ&#10;wXHyZSdRMG4jZsk+l1i4hlbiBKbVc4PUygzn9Q8cV4aUW00J6yvK0baTAImMfGAmA6xjnAsmUcjN&#10;AURZWb4MdypcqzvT0Tr0AM5AM2WpeCncJVyxyShKJaIWQqOQXUa6+r/7pV+B0DwYh9Htoa+5I97/&#10;098fS2fHo+U6sujuMBP/xrOvxYuvn4+jmHg+DKuEiTffOnkK/vXtuBkCV0RG+EDxUCYum3rL0jAM&#10;hFOGnJ9RHxctly4Na3U+Kt8b8ysC4HdFPspiTBKsGUMFtppRGHeq61ZvGz6tjyC8vEb+J2InHtEN&#10;KNcX6JcZamz/BLOOrbJ24PoQ5ya88VgY9uVzpSQRJ4hfzgCW+1RJJnlH4gLcxzuQADYEdjAAGu52&#10;1mfCImyFRUjvAnFtEwHs9k5q36wasyt3G9YjLbYV7CltpJ5etPabW0LMtxUF95MgamZvwlMxj64h&#10;HWh4DK27E9dgSs/aGj0USA6Ddam6WpgGaGWqkgzSxBo6DbXBzGJ8sX/4uDqSbOGzTWTtzc2inGHp&#10;qrNwWZSSWdebwH02iViDlbiO0oF2uGA34c1QchnWTZ7D67PZMs9h70ukosbYCJo24DnWyISYKaru&#10;MojDoQxmHoX47C+6gdhSSysyV+GevXbpVCxjLduA3TAarc+gA057y2CMPfw9sJbhNmbNKEtYkE3N&#10;vWpHX8wW0M0kxiBdeeYTaFY/jySwm1DO8lDMTmFUEueTwnKYBU6dmXgBMF+E0wLrRdiD8fZVdHg+&#10;fORNcfzAW9RQZqD3azE8wIn13uPisiUCWGm3BSlVW94Q8x2FIpIGEsWSNozzSRSJokb82iHJjxss&#10;rcTwSltMfPbf5lE+3pcuhlylMIjUkkkz54A0yYk7ui1i/mRuyABOqSn6prdkg8fRFVyuzWuwRpkZ&#10;wTXbIjJrjyWolCmc8UTibbX2wr8pFJJniz9Y4BCGA4N73AKNsAX8OIy9kU9KbRB7s6pog8ZuXQk4&#10;bhhpGO7Ydq2bMphucMR4WSbik5VARcOEf7t1Y5aMMLkNf3G+rcbIIRci1Z6Uieb38joKGWjMmMD5&#10;+Epca2BQ8hrQGCvPSUEqRTmfu+KX5HUu1zFSWdiVulhvLIHk0EIRnq5jdFxRnoUiFBmjYSGzhBxT&#10;rTNxhIQiYmHxJv3N+G4DDGgVAfdVNtSl1GWhJ4DGGrB9h1BPJYaostWsc+TjMFsoa5S0INcrEgHI&#10;KIwd3igCS6Oh4OLiuCaa56x5UalEWnc9vW/TNeqMOm+UBEX+JnCVro9rrmGtK4toKs3uMq19SLRg&#10;P75uIM8gmAaaArMoGPDwHMDy41l+5W/tH5bMrNA5DKT97T/4bDyKVmuHUDS2DYbWik40Fy9cjT2I&#10;qxw5MhYffj/crnAdDKJh9OTE9ehEf1OWZAyiPo5Prk2wZiCko9As6e3av5QExU9vjdVCUQZ6Sr8G&#10;3dYMQcyl+uX3+UFl7SWRNTKcP8sseJ4TrmorsdqqvMduhaRyWRAhwSCoQTM2tI0YKNKTxERYdLsD&#10;HKGdss3EFcbECHy6jxOf5LfLZ6BCpHZeLNfBdVfnl+O15xbjUyhav37lYmyiM9B7vvunsL+YgfjK&#10;U8givRJveut3YWLJjbgx+SoSc0TWUKiW8d3lOHjorujp2hdXr72K8U+wGl9+EvV9KN+5cirmMatu&#10;FsKktI3bZExI+ERMJbNK7V44YoJ2Jp81cCpxba098b6/8KMxNDIohWz83HKcOft0vH7+T0CMxebM&#10;872LyY5TYORnJmFx4uoTHgHHlMZV8aUko+ItoHs5E9XEYOh5UAr/TuyBD3QP8PP8IrrpjBxGTHVv&#10;HFsej4u/9/txS8/eeAUTGZYQ+5lBMk0L6GKsczBmMImhF8J1bmM6rt5zJFZPvhz3vziBRhg3YavW&#10;0E3lGxDaM3HlxvMQzjPIL+qJgfe/Lfbdeji+7Ynr8cqffjL+c3wSscmR+P7vvjma0OybgBTap+co&#10;2aJhLLzN8IEejtZKjcd1Uo0Va0OtxnXvTDLKStgUQefjip2YZyXsGzhwSsIkoeoMs+TGV/4liwic&#10;jGGcxFlpAQx1iPdgPVB8tkudEZsIaCFkeuWKqQxyz2Sh2eWntSYvkkInPPP5iltSkaDFxJpolSi4&#10;TMFu+5LpTNpJ61vX40/yDoKcXFr/UTg6JkjFlq5PMFxYt+wLbUFBa7AZcx7LmjThiOP0uF52csqO&#10;N02MpeOeFKIS8qB5TcNIpbfwHO6hMpMTrJqzm8KW3c4a7XZCvyr9wYkaMJy8sMT/zS+pGCNMRx4j&#10;OKcngusXRPXQUkjsFjXdymAQCvpvvlqf+cbXk6BSC0gityZnRPNUZpzCaQ3IslyFWczFURhyEb0w&#10;0/v60esTLi5JYVyqCmBysZTufDgZPc52I5w2kqkYNnwwfAdXxODwgGaxXTr5vCxEZhqO9DIuxESL&#10;9wsZ1SOR//yslQBzRp41TcahWnv2xwhGNzHbkCjR04l6MFybmY2s+ZJFqvhDEa6pOVVwsC5JpKUr&#10;6IPo2Xnn8eE4fuvtSErYD9jQbYEequwggUZ/zHB9x6OPxtQ44qAgnG60nltHrWRPL5B2EyUb612q&#10;ufMGMCEBuKO5iG8kvoRKSR3WJhd0SYLfRa0NmnWy2uQGZgBEnIph7GIrDUSab5NP2W1Uv2qGUdbW&#10;uIAaqaQwEb4odjea8bp02NUt2njmNid04w3j1oYxb5z3JN6lF6OkWTOGtoJWbP/h83+ImZPL8eiD&#10;e+LM80/E3uO3xisnn4nJK5fi7OmnMLwY0y0gCOV+z8QPzr9kEoOG3iJ7V8oQBR6tEmnXZBNOlGAG&#10;Yand5dKlxJVmvMRj7pz4VhFmhhs15i889kuytPpAeLOaKYp5h6CNovylVqP7eOqEuIBwoYjI4hNw&#10;k+QCQVtCgpFemVGZjE6N7StnL52t3o/Ojn6U8SCBprk/+oCvd932PfBa/G5cnno5Lq2Po81dexzE&#10;nD4y90urN6AczCBGPhUfftffi/2wUmcXH1NbsZiAlQ5B2IHB2TsojTlz+pvuPjIyErf8X38z9j58&#10;V9x2bU88svJyfHvTl+Obs5PxsTNfAYfBCKuKYZuf2IPB5y6xMZF+QaoU9o3PXcOIz6QkogaYNRbC&#10;G0fzeLltd9uP+raiBTJFr6UxSU3XKEKyWhb3qzBsfAjht4XZiuJ39IjIQoHCR4KW4NONcl/Tu0PG&#10;X/bZN9b6CIeqQF/4avFXLqOkNJzL8XgLN04hHtwf3Zir2IRkxJZeJDKxjzIUk2Yo/i3IfC7lZ1VL&#10;N9bvpYtQiVa5qmL5SchR8IkFy2RTs3TugArkSStSWm0Vehg5eSc8XGxQwCN5XcoH1i6CVuTZUxcz&#10;l0/p2pInVI6sanurCARUBGTipRNzEui5e95Tn9dCTTddjpWFlxZi8UwapO7aQ6uRPNqTf4hvtD59&#10;k1IX79PtueCrtRUjltjhn5vpQHguvrjz8oFkNmcpAruvUPAoLgRTu28IDYeZSs3kGPpsKUDLJgCB&#10;WyEEnHmWRMEbY1G0FJWqT9hQUPqdhGgHffawYumi6IQw6mBSBKL4G3ClVi/xkZT4KQic/JPNa/k9&#10;NpuAbof1wlouiR7W4sAFy2nQOxq9ZHeGLUNvSqnnqenHX9xzN6YgIJjVi6SN0f17smMNLQUWbmMM&#10;CzSobsCDwyGW4YJifz7K42VM02BdpDUdXsquuDZs2jrLTIQlhYTLE/qeJmIz0LTwC0pxd3YfYxL3&#10;5xlnqREwd9230susuP48t6CGcR77xuMa5Kuvk3xIRMXlgtlqJVRe0oXEVl7NdHcmUmsN+czcfc3T&#10;TIdRnXTiZCRmDG/MXEUtKGqwkADDsHJXa3e8/NQzSHo6FfvGjsal119AI+7LmIs4ASJgaoDb1/FV&#10;spEpHEWczJ6rWKaOSDFjeIjxptvZFzD8i8D6syAjROjyZVcjZmZyhl5aPOZ+tdhLIrdgTOZQ7Ubj&#10;34WFmrmKVxTrsPH4ajN9HyOwMYPMag3P7LwAthNbBI6imw16+F6CNdyGz24ZvD1uAnN7cg59WnEi&#10;5f+Xr7waXfvujrN/+mQc7j0UG+++PeYODsfABgAAgP9/Ovys3YGRXpdi/OqzcLfCct27Hq/97mdi&#10;4NW74v++cTWOImt7DHvQD6FhTZi072Qa24MCd/4Uq5AAagRG8oU81n+ZQ0iRwjVr668WoN6rxOkG&#10;OOtzwrvcViBthL9h7EUVOJbPfE9fVxSpIzn4nIKAPM/uN/xSZj2vyz+c6evVJAVJ2dZTeEn8Ds/C&#10;UI2eiPvE88krHQGSMaIwJSyvC6+fjPHrcxq0zozhwaFB/Ayj+TwNk0F0ThrCzyBcp0MwCOANA89p&#10;Aa+Te5LlQmgHmOjheJ6EsOJj8rRxDUompBBRPoY9dhZuDp8pi5aWMg0FZeRSaLtSoUmD6XEs1rrE&#10;5hVIoOPaOU5wC0yRNbjMKRHvbzCa3cwFeR9ShEluyYgTtPyLoG2DZVorUwzTZTwQ3zEbV4qtwneE&#10;KxUEWI/s6iT5w1OZwevf6v/K52RApUHetQ7AtVGl6LLEHndnxmSRzqWMQoXCarvVET2pNTAJhW2J&#10;ujAWR0ClYCXwcBF1LVeijAcD6zshAGmEC7PWZGnNGhc+n2NsTLahxdjOuVk4hq1/9FBEHqR/C8Eq&#10;y47Y4r9dGqAHsKWK41YxTZpTMUaQYiGlh9BlTWE7vkNaej+ag+8WhLxW7ckvjMvzH1uUej584Djc&#10;zLD6oEk3M6uDrmA1yEWgiW5CxFma1idjZfYSrKBFuYOZgTuEdHdZP+Zuohd2VmHvQrsE/Hn1re16&#10;IxyalmtXmaUpy9ZrrLReMkG5Xkxs1bX8xnRemGf9Qa2hVwTawBgaOH+5TF7tjTJB7M6lF2YIFH4k&#10;nG0KJ50M3GrC3tHdRBrCJ67q8b56SSnQk/kooYqPT3yCorQ+fhEuTxTZwx2+046uMWBKHLB7FSOn&#10;vvdHfgqdhm7Ea8+fq9q7lbV6sXbPF7gXD0OCxgAS4EyMNsjys9yvAkgdUXhavtFnlbnjc+38NDzT&#10;+Vrtj3dI8YPCLvN+mRlYsd+yjlR+hPummXIHL7NxrV4p6YtDXFk9KXhjAHEz2naRYbVrryC4IRQ1&#10;vBbpkWQPpFHSyMjAmBhOD2aIriLjaGb+MgbmbsTcOGp20ZS+AzTNSQzrNxbi1I/9fBy495H4yuzX&#10;48Tr16J17wPxOxjQjJHe8A1wvWaghfbF1PjcpFEWXjOfAKUEEnbKJqIyVVtb2rWCI5WCaGXRVJM4&#10;uwtJjUvuTcrrJV3o/IRX8iKTmflHwQ/vj2EstJBA1gn5Qw8Hs6yLmKcg4/GMawNvmS+B/1pArw3s&#10;JOmZQqis23dg+IrLktVGWmbZWD6rpnJAirDmb3i4L86cm4jL1xfU4WldXbjY/g1lNcig7oWSwuSY&#10;ITSrH4YHbwhTVoaH+uPg2FgcvO1RZG6jr62EXXnhZvibY4Dl7k3CsDHFVGK7YemlKfFHCUUtH/fn&#10;hB/9zefls+LabCSAsFc7zu/AexoIxEayyi0qImy5ic828AH/teG8ecT8CbJVfIZkZglNhPlVI6zO&#10;tThmA0MgRumiFT6k8BSvEJOQkF1jYhGOJ59luK+thSlrnOjRrjAgZYqsRXaY4j5R/VWTEApIx1GR&#10;1ZK1GpAYKoymTzpNzSKIShG2ldS06PBwN8YxGR0t1ypmkxoTkyBKjQhLIFjzUlpy2R0Lyy39zB58&#10;C9BwJiJ9xnBB8uFoWTLj3jzKCM7kHHZtME4b6fxDrM4/9LH9yfyubWsl0FhJ42B0Cj+HW28DyQls&#10;jaTkIQqT1OCKS8H3NB0oLR6/t9AuDiIMyLmOOYqTsbB6PTY4vhCaN4ueOdB4GYX+i5iiMTOHwmf0&#10;ixzcezBae+HCgsuDMwGNkBYEJZmEBf+75FXiq0nUL8IH+UEgMmEEHtdM0s+eCxWiljMKMYviCwXU&#10;FyzEXn21+7yGA70KXbu+l/9MZqRNsCVg5YgbB3aYdUTNTOAi82MGouIXVv9Ye8karzLXzjfJexFP&#10;VKjswnQm62xiyOv2W94erZ/6OUwkv6FJDC0oLZi8cSme+tJvY7TTD8fZs1+INcQW2zGpo3olqhBe&#10;taVnfDGr9J2luJK48hs9XXlGXoPEpA/JIHxmzdqMgvw0dX5fh4kwFaJaKSxoK4indWRI2hIq61LJ&#10;gFf1hpX6PNsfu5/Ba/Y9+CJL6ESsswMK4PXrcL21w+XPjj15HNfTwQSZXQXayLK++GyM3PYBJEsh&#10;LhmDsbf9pthAf+HVlS1MaL8YZ85/FV4S9HCFd6gPQ5AnW6aj697jcfWjb4kLN5Zi8TfRmQmJUCS3&#10;UrtoU8q4z/VpFfTqiMj0gZ5dLkm60xoUxYJpPNH8Jp9wF+HUVmhRGGr0Nqx0Z52T9KPtTOGXqOdV&#10;mNlW9GcOVOF3E2PlaiLi2Jvc8BhxRQHDdmTeM/xfuQlFgW3cm7J+38dZ8laI+BI+KiXT1hkbh3D8&#10;Uj9CNcePjkAwTsFaRIMSdh5C2GoBA4pXMK3nOn5uzEFxxC3ZX5jXYNeuv/6D741j97zXgq3wDa0R&#10;96RgZVyf3WLIw0GX6/Cs0V3KAcH2apFHOsRBAd7EHA9nYAqebsSPOCNLQyBHGGajUERlkaw/yhK2&#10;S+cjyb2Kcxgi49/q740np/ewB+mnnci2YcXejhqjM5eDdZzMpkYDD9WYW2kt8UAlgQJeHVDeKMeZ&#10;xq7H4DFM1GT2LNbAZi7sRb22tgylEJNpYNiwDrMb5y1iNmQ3Wiry1Xr8+Il643UzN3bVmB2Z7TTn&#10;OS0Cmgx7IsrUInLAdwzXKYGhIDG7jzCtGA/PBtgSSg4i2g+c2iFR0fVbJv0MG+XvRFvcgs2ECwfR&#10;TDacAw8kknxsKRpZU5tkgSmFGBGQt2QQV3QDXzWBAleD3bSM4fk3+ktEJxQA3oe1ZLyzw46EgRGT&#10;Q30Xrp1E6v8qhoPOx9LCLOoS52Pq+nVk4sESXFxSCcccEkDm53EMGkBzUjtf1FTG9sOdwWJx+P45&#10;ykV1WFkgykJVwkdt3FjQ9WdetqSVUEFQorhdxKaaOTwDtdQ8p2jLnsJdWHAR6g0CUUzITMGfVqxm&#10;990rpvOG45KZNTKa6sRKplrY77ColwoX74LzmLHoyGHaTLwWiUIM0MLGWWm+EP8voUjtlR1bVPyG&#10;NnldjH/BW4EkkaHRu6B4sIZqO05+7U9iHxSQv/DRvx2f+eQ/i9mJV9Q82a+aiZZ3Lg0pEPRRCRqt&#10;knq7Z/U1iM48XF14dsGvEY7un8J0mE1dv/Y6eB2Ge2XhSEj6L+9cWTHdmFACi3Kms3KRDXf3GeX+&#10;FpDV6pBAc/jYm+Pone+N8W/8VuwDnezbe19cHn9ZrQPlOkMG7Kv398vtv/F5NpGgIGuLvXd8L1q8&#10;zcYWOtp0IA5/cO89gE9HTLedjVdf+V3QNLKqlZG+AWa3Fkc6R2Iv+tnGRkdcnEGjDgxOpsub0zeq&#10;UqAi8yl8KgULC6YXaJFCBe9Rva3YedGUKkGVYqpGvgTnG/ZQDN/Kh0Gjm1Vwrfet8aOiXlRIXERa&#10;fVB+VVEErV/kCOhv4jcnznOwgOp1fVt+xSQTTZAn72zYm13bhvUx2ZGCQ91aiDPebPMi/LgAnQri&#10;VozsGYiJmWU0F1mGxU4ewrFQdN0jXo5jV5EFTYuMuLMKfsRa3Q5YkewUVMrnKgAlfskOpsXIOknV&#10;M9FeshKrCRlSBEumKpVUPi/dqqRRdwVjtxnKD2WeMsmGPEo8g52VeE3zH8kLvqRkMgxnbwXDXJil&#10;ruYudNZumCnkPF7DgwqdCLUIdsqqhNE0OpDR9dudWbeKs3N7iF/CiWyKIMMPgpvlJOqvXAY6OBmO&#10;6X/KOCXT4UHqdk4hqLZNLrI2MFHQDObNKejbcAmwHQ+1xGV03O+Hme5aRJr8RGoKKE9EJjDY0FnJ&#10;NohhSCZR+uNnHgW6S3IHQuNB2riKV4k8+IjHdaJsgTFFulph1ykxg8HmAhRbJgaukYib5mwqY6AT&#10;WTowr20VxMkU6R0AoZ2CEutuxjTtHY6pKYJQm84/S8JFU8xeOxt/9KlPQcOG5YrrL4PYV9QAHLEa&#10;rH8Z42VmFvA3kK8XGlknCq47EAPtR1o+hWInEHKHc80qwZsCW6hiM5/NxIujpmKvAgu1RLpT8JzU&#10;pOlOp4VPdxPgtat2sbBUIVrFORrYcDLdFGwVI60PTQFQC6U/wxFM55WMqfkT98FKjLR4aZHYa+CV&#10;9lJb4e77CgZyc9IFXAYPlyJ0XrwIB7maKTTlwXCWHwUFLYs2uP1n2lZj9vpLsIKYwtMR33r8C/Fj&#10;P/2v48Vn745ZxLs43cSLpdVRGGOt/RuPapFS/0H8MeEVi6OGhS3BInpqO62B8eIta9PoLrLAM3GX&#10;exmE9b2rPc/P/Q1ogYwtxaXPre9WX6tgDg9oFKu8SmtcnnkppifQkHr1coxgZiQnI3f3DoGWh2Fp&#10;DCLG1BlXusGAUEvbAQ9Ke2cPPB5wT8MT0o8knanRw7HQ1xMzCAWw5GQBcxinYaU/0DcSD6GJfQvX&#10;eAONEZDBex6lKy2tQ/Hy/FnUUa5GJ8o71LqMloJiNxYgFfQEklSS4D7dZiyWhgnmWzaha06NbIaH&#10;+GpuRHGnFtj5mkURNJx8v0S3CnHLTu4+M49OZGggiryjIMsYIjtMZYP1ooKWK5HXNVq3PKWFbQD5&#10;T4sXc3nDzns9KmujCw90IYUZR8kCLdapRYssUmbBj+0biAVM3lhX0wtPF8I3+A6CpZOlSvRPMorY&#10;BMW8Pfp6UW8ofkIhjd9UyBOLVVbHUhH83cyscBMsrukSi5K4WJ1LQcp9xWFMtrHQNt9xA3l8jvge&#10;JIt2QTxfNJCeGv3tGKb2DAfQ4qUlLAef9pkHNVrqHv7FRiYuAzEsaa0SRrQ+XaJEPOExENiUSQrr&#10;2CI1DlG48y1/42/CjiCEwCy41bo4h5RqIPcy5sqxewfrtQqbWIdfuAvm5irqrTqQaaoNYWIIskAp&#10;YZnMsM3hsbxHlTzBWIWzP9XWCguj+5RxxR02sibg8T9aZ7QAGKym8Cev7ICgZWyRn5MftvOPZFwE&#10;GIu1d+Q+tYPK67SGWdLTKwHH2xN0NPGR3bm+Oot2VQNxBROnD/b3oJMJus5g/c2sv8ngcQF0caVS&#10;kG0gc/QPv/RaPHjrSJwYG1ByThvg1QoNuxOQ7obw6+qGOxVI0E63FNZCF8K+vf1ARj53icXagio9&#10;ICkUWG/G/qdLLEqreGqSmBCDygW/o4WID3pBNGAYKIxybR82VIqwItYW5L4QibAWL9qfyvorVnTR&#10;potrzoygZgf5riB0g6CtOE3FX3gtCpJ0K5YUdS0FyMzx2yLuREZplh4uSng1GAW1CMApaqCNdVO5&#10;sgLgdmptSNiZnD8Tz5/fiL7lAYASWa6o81uFgvLMk38YF648G6st6HqTqddab8LXvLEWHnaHNoAf&#10;f5JZFNen+Cqfq/BXadb+w8RF4ixQIyLyfMby4GjP83TLN8CvZDtqWdWWmxGYJXCNHF1Wx38aUUS4&#10;WrRvs92yG7keX2udA2oXUauLfqajB4/E7fc9Et17ejFF5kvIoH5A2vP8M8gkXWuJsY/+E7CxjfjE&#10;f/7bcfX5j8fb3/VDcccP/g2EBKZi4/wq2iv2YzrMdAy3DmAqR1M8C3jfPPbm6Npze3zx9U9H7Dug&#10;BI8D6xjRBUVmGXskZrvjdH5p7bnKSqgx8Spd7i39cN8tMqGPyhCeSF2rSMNkzumCrABW7Ov6sWvk&#10;rew5f0llONlsomC9Z0aIvIg3ot7r+jsz8IbDjEa6zjbjbRDoKiUVzjubs/AunSWBmJv9hmvxOmoS&#10;rsOs0MtrouPs7iwufRox7CbTj9mboyN9aIk5L4V7E4oydPMYQD0tm9R7gLDzM9phyNCYUblIGgDF&#10;qybhQ1aCe5MXs90bBYUSbbQW+3dKlx0+gQY944ddpKS0Y+30qjGDVK5YymPw6Va1FHSxfcFpk07h&#10;UxSYduUz0YbZzPzRfkiAEmcykUbNTjx1SfDJawjcOrYZJXEDMlikBHOhlDFJJxaWKRRxeXJLJS/R&#10;JiX/F+yNB63MEBqAFUX3rYxHnEhNpY2DPdmRQBaOs/GqZtYpbWXq42ru68lz6bvkA7nTAAUAhQiT&#10;JJiWzexPp+TS1Gcx9nZ04G8KyM3MCnIjZC/YSFgen9fGA0D4VONpeBAlrDhbOZoaS/03e15u0Q1H&#10;Ux+/h7voakVtIQb00vqQa45IzfOFML5UYTMUgHsGMU0Dw12H9/RDSLr9HBsPsPcf3U6qLKKmB6FO&#10;gdo/iAzJfma1UvPhGh2zJGhcqMw1e4PYHmkGMYES4C73dsoDDS5YxoThOpSQibR49MxCz/QMpWUj&#10;+Hq/KrafPNvb7eesNGh9VlhCObCRuea3yTOsZdWwzdMLwPJC+WyJS75BEoGQkMum9Zvuca6G1yx0&#10;Uq2IXW/SutAlmMDl1HSl+CN+w6HMCo6jTIOAaEec+Auf/iV0ozkPBYX1kI0JBWW1ZAJpnRRGKSaU&#10;sBCDKJEd4lLiYCpnuXuJI3x0Q7pSLZJgtdfS3guMC35WMrB6UhN1zSi8gz7f9yuWj6/VKIONqcXp&#10;XO9IHil80LxT4GdHez+aTjwUz37ri/HcC5+Ol156LO7uOR6PjDwYbUduiz23vDeefup3Y3F1Hq0O&#10;V+LTv/+P4+FH3o4Yz3AcOvARDEruj4WWhTgW74rXXvlSXGWj+3uOxciJY3Ft9VAMLLTFSN/+OAqr&#10;vRtZ7V9DiUdJprNATCzkFqQrfRv1oQopoAtLM1zhyuRUWxM8E7wNfmCLBCNJI37x4/J5jUKN9rLv&#10;amouYREzSEPOxeO5+UkCumaSmK5ulMk15DL0Z+4pcQaoJiGWLj9jDQ/xfRuVFltfvpz3EnxSCTP8&#10;3DhefV/e66gCPwoTJJ2AHy0srMXCIhVy9Kql6xE/K1w7+SmuTwHZA1cKvS6y9Hg98U03uuclOfFH&#10;WZ/EuKpeHZN+aASBd7uEwrRfSoKUd4J9UaUS/tfKnsyyQKG0QlhuoyTKMb9UvnUNP69ctQlX9whG&#10;EwvGTGkc5VYUriS8IQ7jKAp5z0gt2G3acFcbeP9SiVDjFpJ+3siclEKVnkvuU/JHyiL2pdW+Ffpj&#10;NywVSFsTILAIAHbbIIMv/ySzEzBEcru63NWAy9I8tnSbuquAb+LaDzwQBGwrmD/7Tbp+keOjuBmu&#10;ebEwtVBy7JELrNmJCCQZB7NPVUwqxuFuJfxP8xwLtArjx7esm1Gzblzyxo1x9L8c1ODgTiRpBLTj&#10;bab48l7awBqJeVESaBtSmrtgzbXA2mEWaROSbIi/7L23wR6v1HC4sfSD4x5tQMDhYUy1b3DXmX68&#10;ziIck55gHcO3vWhff0XWFZ17B2qqZBzRMHWOtZl+SXQqhOstF9UbrokU9bEF5bQyfZ+8PzEpTynf&#10;JBf22guLbrws75WafBK5r5vM3TkEYpASgMS5tIAcxzVC1q4nAcwF6Inouhbdp4p5UJkBw4RW2LTd&#10;69TudPmwSJ5M1uyqWKf+q7zybhVUKjDlUmwl+pzGM3fbH0XBKNA1pSav07tGVl6us3slBULamepu&#10;WThUr6/+atd66vvlXucVChMXFcHFv8mMbXbzQXea2anr2m2iTt/ozbH3PX8nzu+/Ldo3FzFkGclh&#10;OKan94AGLO87+mh0Hf1LUP5WY7l5LoYxfHjkwNF45fXHQEPoBgQGfHH72bi8g0zTtqtx5dRLsTp+&#10;CEOK96OedCcWtpCJ2n6/cNCKc8XxykqTOxpqLKx2wTj3lw0gEk8bT9N74+wu6y03t4BKTLeCKHkQ&#10;lCfGv3RcMmpyEWSMK2kk71GyVBvxJWVk7m2lVpZVVDq5WVgqYnIDmqdIw1eNX1mVn6Eic7xjDkfp&#10;DctpJzxSmcBcLfkL8ySKAkYeCXpjaGYvBOMKmi10ovvR3l4Ml4aVPbfk57OvgYkuHvSu2kKGx0ir&#10;kA5y02KB7ZCeC4uz6hTWAf81m4yLIyi3BLFDWvISJs4vUWILP2dckc+L4zRVg3jF90w4UuJW4wZa&#10;MRB319rM1syzObXGbTjJQ2vBmRIoWaAagTOnQmfYqFDGe4GReBMPpjzxtXVP/C5ySzpLnqsNoABV&#10;mND1lHzJ1FPHEHysFlRgKFsc3ZIxMOuwiV68GS+aC1FjVm6cuJIX6SclHeDvrP2gi7INySabs2bg&#10;EooUukrJ5eEkmBSsAhwFUl6vWqofcmudWVFOWPGme3XV/yWcLTILA1dMCr7vDjBMtgLrRo1h53ab&#10;5sWpYwrVh2S+FoxpeWED2tBBpB0uUCbkKJmSwk8ClNYu1g840RLWxAw89yBmmTGmyFcpC5Ew4Ub6&#10;4pWQ0/gVnCNrlrDXMd6Y0p5Jz6FzCkrxWTNbtlxLz58v3kKbVP+9mxelEEzElDWLhXcN7EUSC2Ks&#10;ZYnyIcJ9PH0VLnJo85nNW5GyOEDDTQVC1xrplTcVuzOO+sXMNSQleKKIDlSaGAnNbqua2VHp0pR3&#10;90jzvuAYjtMi45A/HRPl2aeXnVRZ7kGCRn2BEhaqV+E+NReqvzO0G8GVOGWG4m/r70Vz/jCF/BuA&#10;jz/FiPB/9THVPYtlmhcsz11d3Thf0Vm+dwWV4bxLmDYoUJUFIuQhTPNIrhPHqS62ne5L1sIxDr4u&#10;waeuT2CCi6DDrksvAmYLsXb3O+CSuyXedPdH48UXfjs20KJw+tgY6g0Rsb1yDUkbS7H/4KEY3XdL&#10;nD/1JK4PnFcdHIrYMcuxHXWjbWzY0D4EOgEPWTUESavS5pM9eJeFGQKeaVVgEt4U5aPC2wIvIacz&#10;IQtErDQmHuU1iyJpeuOEjtboGR7DNJYhu8ooYGghwAW8NnkBSUEzumYt7mp41ypgvS7zinpPPRmH&#10;NJfPy7KsssLcO60licA0tmtHVS5QhTgSDoU+BCGuT7kOvkw5vQ8t9PoXuuA2RGu/FEyGpZNbeCyn&#10;aNiAMd+wweFWmsowRdhsBnx1dQF4oUJ98md4YhRa4mIt6DWuDd/TVdrBkBgMCiXAiaYTHspAhQxh&#10;ok1Bd/KGpBkuSI1gTBYVLXGWIhNslAmsdeezUpzgh4lvqlRg3JDfywpkbaT5fDUJo+L7PI+yDGfK&#10;+0iFyx4lsjItB/en/FATGTWE8QahU48RjEydWUOuR6HlaOtQEjYVbs2xS8YlFq1SBR7vIlULRWo0&#10;5KfpC5bo97Fl/AePpdyQppeUUnc5qNin1lUYBYGozFbEJbWlDHib/Wujmxl7Ez/2p9RiRruwWdvQ&#10;okgYaFnF4cBLk3Mx8dIc4qItsf/BDykuWLCsIGtxEfIrDpBllxpatUWgK/mDo2AoIJn1RcGIZXci&#10;tbcH3T64KJv01OgYnCejT3+5MnLNILhODWDmjMSG2qFCnBUd+WCTGd/yWYkTSYQGvgmhokYeWrhQ&#10;Cs+iKFgwGzHcUBiaKpjijpoAN7gcuT9s2ab7m4E1riNxvlpLM4ftir2DKRAHmMVGpSM7SaiWXjRZ&#10;u/uKNixGmXzS7MJJSHouIT7d8dAmkZDR1g7mu9mHCQ0DMfJrj8bK52di/RdfiraxthhDj84984fi&#10;1Mufkwu1sJ5cfV45YVk9gL/17Zk9aivPrpnyyFyI47b2nJioK55sKIjg7Ygi/MtdDeNGzC4bVYRa&#10;XY5RVlKu57Mc78inIVh5/Wx27dV6Lfxf0XgZZuhvO4gki3fEQvMszoZ3A/0ox/bfHXsh/Fax351X&#10;XowD6Km6hDox1msNjY7Fl7+KLlfI6Bq5/aFYaz4X8+fG0ajioehE7dv8zAKyrueF0+xgdvu3pmP/&#10;maZ4aXwnXmRCjRRmlAfA0mNJDpeUT0CA1OtsfJ48RsosFR9Yb7xKUcD8XgBN4VUeNa8uRUwMSLRV&#10;ey3EyMQfVjFEehPNH5z5mLAULhaBU5FEIbPEB4NdeNEBrwTvkX1OSf9WQKG8AdebkfxWxX2ETE4m&#10;8dnG7+ROhoMuLJNSFpkmreTaikcpNx+PxWL6vJaEsjNBKYD2DPUo+714yopSUMhfMUZNnHFMUd5T&#10;0ryyRGEkYOrQUXSF0lxYDpVma0z0xV1B16h1/HTCQ6DBvuna7UM2/41xeAdQ4tDO/IrsWKRh4FIu&#10;MLuUA67FNwrWW55UkR/tZ6E7PA/W1S5eZJrXadrS3FcqcawtZHYvcVzfGx90jviq+ZrVFwpO/FCP&#10;ToWihP9KmK/IHtJWmeLEZYGfuxmtNHfeWAWNJj+3U8KDaD4YhaMRjoKAAKIfWtk7ChJjNZTkvJ6e&#10;w8hWShDY8YbHaNYbi/FpKXKDiJQk48Rl4zUfJm1UpTQbOESMLQRwt9bmECeEdQVthAx2B7+3gKhs&#10;HL6+uhTraCqwjPKJ6xfPxfiNiZienkfvy5mYmkENIebmzUyux4n7DsZff8v3qgk126xJcBVNKjVB&#10;xwTRbxJa0YbcG3we/nC9jNWwrysRk/WVzQh+d+q3UqsJCxXzEl5OW3bsqHAJw6cDQQD3nWUBbc0I&#10;rAlSaWA2l1OIRdCZJq2guQiyZgLmxHZpaz/yeMZQpclJQ6oZtBmNWc4WlY3tpTo6lcTsZCnjhBEj&#10;WW6RNoktkrNSAiw/pTSlBa6JK9LE3NatvlahGRO79cNyH2Yd+1kqrRp7vMFesyxURg/ProWB2HkZ&#10;vXtx01W4spdRSH7gkbujc+lAvHDys+ha1MCSRSwF9o0iqvFBjPVU6JRJyGcSI09PCFdZFJTKPe5n&#10;bXwontGB4+heL2K06CvluFrZ87n21VTbo/sSInT111c30RsmZW1cXbGcfGRxxXtQOIdXD0qJXFma&#10;iyn04j1204PApb8WX33yV6P99nfH8uG7YvGlb8YOSopuu/XN8ei3/WR8+jP/IDpXhzCo9h2xsfBc&#10;jG9ej/bZZdRyod4WiU7KTCecoHgswwPDOmCFXrCEFbn60vaVx0kErP2t9rI8LJ6PCW+EIuvWqhdL&#10;vPSw1vKLdajC+KJgJM6p/If4RpTnv1qb1JG0FCQA6NES48VPETDkYSXGZK1Y16pfRBwhtJXRir6I&#10;Fj6Oy25BXHtLk+jrc9+YIauLEJV23cP3cwka2ZnXKVarTPqynz6udN+qUAUHdKPsa2gQnjgMLNhB&#10;g3mD0bjCs1jbJ68L+Zq8YIr0iq8hMJ97yQYAHMTehwYAqOzmUrEWDitQQiQVgExIoSeM1QdLtC5X&#10;lhTOsqJrfsmmDmtwx3ZKpuRayH/4k3/WwtmRoA3AsodBUO1OoVsLUWMSfrOZC59DMLeQrRQA8W/z&#10;8JSMlhmSJ3QdUzx5r10iZLdqGSFIz0GhY03JUCyRyEbXuhSX1GzSZebhi/QbE7CModEX75pELtId&#10;3o3QxZpSQXyatkVqV5oijmWGJhdMInIglXcgYvDzGjnFKBNZqe0soYXUycf+C/qj7sGGIetzEZPC&#10;MdFiE5rJJrQapgE3Q+NZWFiO3/rimTh7gxmLbhXGZNaeTgpu3Ay9+dauvxpDR+9FppSLO1vhZqpc&#10;nImAhEsHgiecAGClxYKxhXO0KPQoECHYens7kKnLoLQtWsLRfNPxUL8skIoAIGIoQ4yWIoSmSggK&#10;EuWRch8ifkmmmaltJuxci26E8x3L4E2TDetWJADvizZcBj0RJZFODB7fwFWiPaTlD8STyySnlOia&#10;2l9tlPzvjU+iP5QkgHWiKLYJLrkqxpmuEIEK69oqWp9unz4MLkHcm0lEVJT41jCSy0eowPvj+rjQ&#10;JmImRIf1jTng13ZM/fpp7Du1YCTnPtoXx3/4zjj3719TdyEN/JXrlUqfFTx3XcqJ9xUPrplx2oG5&#10;R2Ut3kdzmXQTiU8msdZHGza0FvG9MhGLIlTxykInNfP0u8we1h+Gg8DFe+Rn2kfup/mdXlpDMmL9&#10;ynPMgEGzLRiNhi9WFq7H6PF7YnT0EEaZncIUkJdjDWUWL3/ip+P9d344OjFw+ZPPvBJ37r0lbm7a&#10;E9/TtT++/gd/K5q+/afj6H3fHa2Lp8EsUd2L+x84cn+cP/cNzAiciNVBCMURNMOYddJaC+rbups6&#10;4QlCucZWxi/F6KmU5bOLtgQoUrddcNxA8Yt8fuFI4qeys42znqJie0tCVrjDj0gn+spA4FvFl/Eb&#10;OE3Fk7HsZmZMqscYN8jXF37netTUm9dNj5foRkkEEO2cFiEBnrdMQ8JIymvgaFmmuYRcv9BZna9q&#10;nGncfd6DHbHKiKMk7nx+Z5/qibTWNBakNIk4lLk/gMS+LZSJTa/UU2bMdyA0UTnA2aMlycbnWVGR&#10;KaWXabCK8SceMXTExv00gsyH/QyjqAkeRC9dlvNtQKFmrfU6Z+HiPXkls1C1l424qdtYSXJIyesj&#10;j6NQZJ8AG0gNGauFVeFI1xNSFtUNUMwLydOtQJsvWjiKXeF/TOAxy0kXtNblCxuKVrqKwqZ0Gs0f&#10;pPWnRbN+xZqnL2JkJnwpQD3exkXZXCALR4XU0uZY45KOD6nGZEJamQv4qZElsDXghF8l8UsopgZV&#10;jtHmFeonUPB0CxNL8Vu/8lvx4H2H4gAmT7ATQxsCznRhonMbSiRAjKgV5F6z8XZX1xKy56DZQHix&#10;i47KJrDcFg53hWBkbcsmO8rg+kyaqYSisJYJR21ItOmIBQwPZqCXfS1JbGxQ0II+f62bHkfCEBYt&#10;Rg+ipQVN/3AihTS08qeZWNHamqAdsYXTBlsQZZuhQjBFlqpjlDQcb7g20/hpgUuqKMwhLX0TKe+f&#10;G94AyOLIs0Zm2qi+ViG91CpfV82OeUwmKUiWFY0zkVyWfRLpLver2AvOz0ybQgbkRWyHX2Q2XdOk&#10;5cT3AjZ3tMH52hfyJew19AbWJK2tzsXCMqyeX/zu2DlxJI589mI8fHNHrB86GBt9WzHUezs6VaAO&#10;bxR9eeH2WsPII2ZTb6zTi3DFyTpkgIopo/UZrIACDzE3SSVDSuvJrazZmuGgl/A6mV4qdFscD2QO&#10;sguHyzkl/Ts5h69TvayzFmUwxXCeWvTZ3AfdPrXw5PG8JmlyoGdfrM28Hq9d/zpqD9GmDeUSm9iL&#10;104/HV/76q+gTrEP00TOx/TJP0Zd2068cOPJWJg7HePHbo/BR0dj/eudcX36evSDCY10Q/BtLcfi&#10;zCyUkEnEJucRemiKm0+vxIHzSNCBlXlaSX8ut2mzdmMY0dpVPMz4ZrZeIMFaTH/KzEN1nNJm+whZ&#10;5ipeTF6ivSEvp2Bz0kjlYsvrGIwNjKMBsnQX+vpkmjgmSyHIjGxhprImQUmmR+Ue/ERTerikss/5&#10;XrRNGjGO69n4HPZUii7d8CTPSzYsHOMZ1gKqRBtl1pPvFBpPT45jZnx2Ko/pDdJ3po1OKO7NKNDv&#10;pBsVPyWPgUfQkmQjC+Mw17ubrxZI1Tie25ZCS1sogeg1l2u3gZcyvt9BRYM8LeO1FHDnuhDHLsq0&#10;sTmfnLyrojQ9P5sMcGBDuwSmczbE+vG3XbDGD42NojGlPrEWeFTaRaMZKJRwE7/ifrLcwrhgYyDJ&#10;MWEujqqHN25VQtHzshhL9Pd5jAja3V8YqKaLld3PcRGZdsJR3YiMi0yd9y5t4UTEKb2F5CQS1DuW&#10;8+yGdI1iGQElQZirrhi/LFiWdRgo+sH1lneYBYr2PBB6bH/E1nC6i3r3kZdROKGIFWa+hCWtOSo8&#10;FF44ju95yT2In3RA4NEgF7Iws6pidCZmArkTxyyv4lx224BA1HgsIQA2QC7khBMsF1uJbl3nZVsr&#10;LaZ8BWBaE/gnZAUcOKarSc3J/az6ldhaNCohI3+KGaqNz/sokG4XlpHeSKEgecVkEimSU5fj9H1F&#10;pHl9/g33SEHIwtu9rmRcRXjqzrlcPYB/WAdMpqCm4EJEEK6QAG/ZE7IwmHIO+Ur5TPhUXIq04rvA&#10;sMfjl/7Dd8aZ159DfOtI9B15NNo/NhmdI6hdhbX47O/Poz7x8Wg9cTuE4oHo7R6JziNHUaA+FIvo&#10;xbk5jy5Ey62YtDIOixixX/E5Mta8Tz5H5eJtWIu/qplJY5ZicYuLJgQo4mFaDrSW8Zn/NmMwwadF&#10;IUbXwMK5n3juFjVUNyaU39ZrC3akYCmMKvdU32oNaLaBxJhlKAFraGfFqyjpgMwHLs/Ozj7dlEyt&#10;GUrDMuOLdItivNnyTaMxN7gY85gnOYoG4u1oVNmDZglXMZvx1Zcej6sXnsMsyuuoz90jq3sLSifr&#10;KVW4DUayBnd9B5OpxENoxdNdlXJObK88c3nwVPLk3kyhlHgmOKcb3Zww49G6Jq5VWXmGa8HT3MoK&#10;LwtdFQGqcIY8LDzE1lKSnjdDJOE9a7xIBX9+T0bKR0jLU6KMy6URBn9y3Ss01QPRWYVJvmfSnniw&#10;BJ+9G9tQ4M1WUilkQxQdmzigfeeNfD0aDEx+6UNOQ2f7SqzCaiwMvR2JNJqbm8ZOo1olHS6ft4Jf&#10;0cbLcvXQeVbhFfrb4S+XepCOko/wN5ONcGELLsKCj15HzhMM4pM8j54q8mlvoHHERkDiDfklhaLi&#10;1OQnpNkUaslzizAsioZ5rj1ElFCOd9rtr9XodK+Nx2piEmGp+KDcph6z4cxSE6z8t8xMVdqqYzxK&#10;iJGbwy4rjo7aRH9RnlAWIYHHm2hR0Pbp0ssCFD9oHssl8rzCtBtM2hTmWqRIKqFIFygfkmUjOo0P&#10;RdwVBiVh4PoEQCfieyz9aIM1xtvbhwxrki5juELW1xa1bmfPJoImcSiemOvq7kYhMso3FOSldkpg&#10;EhEgrUmiLci8o5XIdkWqD0q3hdYjyymt6KIVGI+FVAyuU6tfx3pSiua39S8JbF4rNRa9l/TndQ0a&#10;xkZl9YiIDawa1wnjxLC8bEUMBbA6OFkKBWqx+ARX1iRlAg6P0bitvFDGE4qGLA0tlWwlBniZGg/l&#10;uWp2LSrjlDDmW0GItFALShJF8V4IWXXqRpw+9VQsY6Bt70hXdCBj9sozT8T2ElylwIsNrGXs6Ik4&#10;dvttcW7ycbu4L5hgxZxFYdxHCBxYmtUzCIvMuMVojQzF81xvRD4zj0l/SFppZlTCJe4Ffph9uswu&#10;TNoHZihDc25CVxG6biULSBuF4u014WbSw7ANYbaNFmvsFms1reyL4eN7eYe95nyRlvTWx2+wQT0/&#10;KXFofikatuAxuyL8W6OzCWn4VB5RHjTyGgrCB5ZiYhk9g9uRnIPi/YXFmTiGDM7uO74N7Q7Pxmbr&#10;oehu647XthbiQj86U+G5RjbQ+g0u1RtNG+iFivgUuuUoTl68Fny+XLBjpmUNfqdwSz6DhpkXrwch&#10;IIGOz5Q+n7CqnsKPXMUr001rfNYXDXtIgsm/M3veW0eh7v2vBSFDSxknLBZkuSZ2pjm7TohNAJ+F&#10;30zAY8xONGDmXgkU7XqDNyqfg3dVP1H8pvdChfzZ+UkKOFvvocyBv3lsxV4KDoG2WOvN/IQuNAPv&#10;71mFko3B7PT6AM7Mcyi82eUYXKdUk4QP8ZAPYWZS2IDeGzgJF+OW/hVabYCxhSLZA92nEIrc7wry&#10;NB6cYSua4P4LAZmfwnM4qNtr0MoKyleSkV5Vj8UqSTZFYpbSP3nTqnuavmxtWqZZ8BEmjq+aQZr3&#10;m1caL2A82S0mtx8Zg/iGrTvNnoOLUUXpOsZEbPrlQ9FS5Hy6wswyfqbF8AQeL0eAShs0xUFBXhAm&#10;FsU8CPV2FHPgNY1E0hKUNuS1VTEqHEvhw3/snuCH0coq0Nsda2BQKGoJ3nq9eEVpJHCZrq2wJX9N&#10;TLXlok/t4sSh3WiT1L6YZrrWif/BStxO4V+sQ3o1aC1b0zGsTGRcVGo1BRmSiNVnEIsmnBs3xqfl&#10;ebSokdFHt7Yt79zwgrXcbAkgSyMzjUL7Bbv4SGbRhlp+XhF5AonCUJnCuCaRUOClUoT78rucjen2&#10;c7ie3EomLl1eyUWGnzRovpO1T+botRmp+calNxVdJW4VgpN2S/Ckm4wZcL3dyIBcWo+F6XOxPH0m&#10;0LhGqfVqdLW9Fncfuys6gY8rECyDaGPm+LjTsclw7FZhtm/OsGTbKLhO9Z0sU5cYEc6kiU0QN89n&#10;mICKI+sj+Xz8e0PfUbFxrIPzO/kdrS9O8NBQbqz9IFql/Yu/+0vRfttdsTqwJ/rhwVhdJX4ZRzZg&#10;iQ2gWSqTaljn+o3Hn4t/9jMfgBcBzS2QKLNOgUBNXNBMqyph7E8SuwsHSpOVfE5F1QAw5JuSOVyC&#10;lNZPsiy5ep2/AqtvG1Yi7sHWb2Bio8PHCb345uMfx7mYpYq48c2YnPGesQ/FC3C1riJx7db998d1&#10;dMaamV+Myxha3I0wwGg3Sjk6h4SEHjpLxaS4q0R0SddWWvQcmMhggk2FQcokEdlrM03RS5Faly6T&#10;jFQMOemlovgG3C+0IoGDa8jSNJHI9SYvBQWxS3nkxpRAtNpWJ/t4OcWYkiAjo2b4u2h35BsyRrim&#10;xHfpdUknPD/poXzKzE/yG4ZRCsfyoHPiP3GyhHeStrQG7zsFwfUpWPqw7DnzlQl/K+Anqyg/4yPS&#10;imScjm7gQmy7FJWKBguXNLx9p4SrH8Wf4L7k4hKWUgBKOMj0rdpGxoEbhWLud+EO3k1bjmQTdJ/S&#10;QEiULMzLi9BtMxegMHSjiWSQLL/KfVoLW3tgCtUQdSgUzaPN6x0ytILq6gu+sA4yO29gQUD13MNK&#10;GX9jlrE/9/d+7DRtSXQpddmRHWJOKy1Wop4wcbqZfRIZsKWk1q1pUdENKWy30Pcy9Ec5qmyNf8Pd&#10;mBo/kSdpRSZ4Yfb+kBYh43xYv9oD2Rqlq7MPgrIPrds72kH0yJxybK8I9bybBDeRzovvRL1OEbsu&#10;CKXWg2tSUNCsx72kVKi9ndfpjSTiUDMEEwbX0TPKdWzCplWnI/GbjcRF9A14qa8ICbq42KFFbgIy&#10;59TAyITzmtZCvDe7XumSMdBFqb5mMgTBmlug04wowndq5arr4ZqKW5m4wphGCmYJaY5ioeWd9Ra0&#10;yuSm8B5qRcSnbIMlZCMP4qU1dy41X/Rp3GHaOHWhNAwVU2StJBORaEnL/Ygyg6FjsW/oUPTNXUJc&#10;eDb2Dh4AnqIQZH4urky/hIG6q2Dc98fcylW0JxzC3nQgxXwy+jAOiU2bWZbQAdcfBdzq6hSm0Q9F&#10;Hzqx8PNVeA/GRm9Fej36hU6fxuikQ3IRzk1fhBI1E/0Dx0E0nWgCfybGDtyDvcCE+tnzaEw+HiMj&#10;d4lJ3MBE+sMjt6E/5b1x6vzXY2xrMiaffTUGppviWyh8f27iNQgK0hhx0/WDHWyuTyaI57uBjOm1&#10;NUydQDRvAPGaSYwiW6XVh31Re0WWI8ktnsQtE4f0aaVTop39ffFxG6757kd/LE68+YMxeRUuZM4j&#10;Fa4Y7lRYpm/uUf3i9mXAGe63nke/PRZbFmPtNJ5r5gJgtoI4FVyxaOlIAdAOS6B7YiYWpi6Clnrj&#10;ZjbOX5pFwhpiWaBPtrjbv94e3RtUFkwGMkQKgzV1ie5Yd9YE+Aonuf9MhhFJ2DI0L8Cv0naMTbf5&#10;nMlwi3fBQ36Nq0Zg8xUx7hQuJhEyRgo84mFOaS8t2QjPhkEEWjwZKJfBdnmiDmO2+FNR8rlGao+q&#10;t9Wgozo2yqXwaIadEhZmDamWaqkewMCsavaIlrEhMjSzprFgw5E8L+lXc9cMR/Ki09cWkES4E8cP&#10;9yKshBFSiCMuLaM0hkJRBe/mLcpsZW6EEurMgwyuP4/javG6Y2ErjRaiVqLnKDzUfhKGglgRIIGX&#10;xoBWmvAXHXvpAvF6ClUaSfZimH9yOxVT5G/cQ2V92lbvf2P2qWPCWUXBkwt+pIUv9iavpY075k65&#10;0Yxvx1/CC7wYZkvg2iVEQDt9l4Xl1kq9MC+uYtzp06efVxZ5InAtOPN43RibnEIRqZYSNvyYwXh2&#10;MtCLm59Whjs7eCPFy/k7ocou6X4ou6a4XoXwtef+JxaOe/SjbvDI3l4w0K4Y7m3T390QiLzWzBKG&#10;raK8w9qOz9MrEcSIQOAjSYfZa0V4E1slMAzcMntyV3EyN05Ii4OIcxQkJBSiuZ4zkVSuIE4rQEN0&#10;aVZ+Hq/E/6cwbB/ci3u53RJToyVUwTQ25m/4OKXHkzA5m87nCV5yI/FNEiCFdxWjMPIxJtPEpsKE&#10;otRSasV5/xR+YlAKOuPeWnPiQ1qe7pFIzgGmrYG2uJ9GRRWGgHg0tVauT22a2Bxe22omRaELSagy&#10;nFy/8FCKBsHN0l0KEGqVG/E9R+6M7/zA/4y6h4H40mf+VczuvTvGjr8lJsZPwb36tThy8+H47u/7&#10;p/Hc83+AYvM70Jz9AJj2NOekxesv/6nmf44duB8ZyhNx6rXH4r4HP4JarcE4c+qJOHDwnti370Sc&#10;fO5zsQ9Ze/c//F2xgO77166cjNde/RzKB+itcHurpm1MSUCTe7oIu1qR1IOHWttEYlcHElww6X4C&#10;iUDH73x7DG8txnNzKzH12d+LaXx2GnV+w/vGoqu3NxaRTU03/MzkRcGNNZgjI0fine9/G2oCJzGv&#10;biVGUUdGodUB19iN66/H9asvI6EM00KID6TDDEqyJImt79jgYmVpUgJ3Byn256+ejf6zL6N1brfC&#10;HUUBFZ4A3sM31jDPbllxrK751nj7+FE1uZid78cw4tfjJnYRAk/QIHG4hNtpJUNY93QPxHUoJRd3&#10;ZmKyGXEsZn5jLb2ocRxAbVtrl+lcLcYyZJJUlngJy3hgHzJCofDJJW+8Io6vz92AtQFLXNYDOTsV&#10;AaKsFTt6mgqlyCEn4UE09ngidc5XtxXgFb0wUk7xEZSRIkhdQmRLh7RTitSlzpEUzBGc+yChAYWP&#10;U4FIU3RzUwHkrQArTsAhjTTzvmS+4gGENd2DgFoL4vOyPCvSTlpPYcXs88LIk/NVHoBCj/LOaNeS&#10;Ri2e+W9kgK31mJ/AcjfMfYV3ax68bmkFoR1N3iCfc3bp5I1rqkMcHYE7vBsuiorvlN0x13Vs3fzR&#10;9zXEzS8TbsWgKM9Fnk5eJos3pU3hFxJnmeHKrSY/wmfr7J2KtbVVlqLvl+whQUZFz57MEsMXzxd6&#10;8DrsE2xjRv/zI5hXig8ajXRdKe3AiSopkUttyD5NSVchHB+WBaEbGguSWprlm64otxr/TviVukZl&#10;8pU762n40E5CoYtMhf74oTuKG8O4G5NgaMnJsvPJBkR5l3+4NsyWhxvdsqu6rZfcN20Ag6klZZ3C&#10;9uiBvtg/2q1hnDOIlZzBgNRp9ApcgvttDYWnd3xozsolIZXCyGZ1IoG0b7okTJB2uzvOo84Lqa2l&#10;x0efaT1EbgkGvnej2+2sr7ILyZYWEcG9/DglxBmwgrGQPhEeWuwGmKh7yfIx7dr0fVD+QKHKddKa&#10;hBVMoqd1pRgukY60zgy4ZDae/ca/S4yNwrBYh96LChtzP7QmuZW0snqN5Xutx5hYNMkyaV14oMfC&#10;fehCRzJHE1u0EQmYVUgExV5toscr47w7aNy+A9cn97NMw+aVW6gUwNrsRDLSV88+H1ce+0TsPfqB&#10;eHF8Pm6/E4z4aFdsDeyPmwffFettK+jT2R53PPyBGESG8uLsXBy484E4+a0vxSsXviwBeOrqk7DG&#10;FuGuRI/OZz8uYUtF6/XLTyFmdg3TTzivrideOPUpWamMSVKbvz5/vrJwLk2+qvOGB26N4f7b4vTl&#10;56HcLMTY2AcxAaYnLoz/SfzkR/4yrDwk90DoXLhxI2595Lvivn03x/5Do7BMV2Pq2rxgsYTs2LEj&#10;h5G8goSiqUU10J+engIfZYIXyn2QKdqDnrqXzp5FOcU44MbONFOYagGawlixNjDE2WkU2e87FJfP&#10;vR7PfPO3cN21GOrZD+G/EY9/6Q/iuz/wY4q7spMSEVpYhK2fH6E7FxbbaXRkGhyLeViA7TTXtzn+&#10;aTBWIUinxlDPhvuQwb9ya29cuu1wTD+zFKvTbfGNR/bF+kxfNH/hbLRM4zPIhdf3IezQR15CBKS7&#10;2gqhuZZpnWvYQLPyRFLteVG4lPyEDjktJDxaCPDWcPLKFhJYRFbkdZrSRFozvotp8j1i/MwqZ4MN&#10;kxSVSFp8klTkIsnwUx7wENXR1u5a8gS3HvBSReo8Dv9TcohNiHxZcFCBJZ2wCYYsUcaRmTRFhRG9&#10;QNkPdGt5Au/RKOMN5zJZUZN0iqXLVOyiMOq+HmReeITZlBfFW916eEBjuq7OutkGx0VxOsYS5ix6&#10;sELhrCa9G5OTMTOzFLfcdByeErR2Ux/rfMhk7laOfR+7qfm2NiJ8fC0cUxNQxxu1gcvvC1/3dI46&#10;76Hgn2QAwSVPmPfWTjoyDxoBxB2yvlKq4WfxqDxbfBZ4PMNxAOaUiC/To8ejxXOTd9GAoDva5rj5&#10;qc734yLRhhMXzIAVD1MsEZMw5BIuDLJ6LGvvXIwEFd05dgs6TmGkcwKI3YQu34Blx/Y8xGKpcVqJ&#10;et0RHgn5BEBBRCNeA9rpXHdSp4nuTLqaTfOqJVmCweU2+NnX4tPfhIsNmhwVF4bvulAK0IvsG8Z0&#10;NxBTrAVihQEJnPwb9+K1bM0wNoVnEATt1uCzMd5uwehN0pl6biINkcgZT0rL0bk8htTFThNsEQch&#10;rwkiDd9JsPqZAo2cm2BBNLGxOhC/BRM6mhgEIi5RO91aAv31YII14ljQVLcRlPfeGc4p5SyLxRLK&#10;nQzdihHltxV2aDl+BnFPHdz4jPXW8bg0pq3Fi8H46n4QQ4YuiiYozfSRsqzF18aaMLB2B5u0CcaB&#10;4XopeEwhNh7tGiHhXIFl2992CI0aIqabYEVB66V2yr05BCJfWUSHfiB8DzwECxCItDZW1xbi+G33&#10;xUcG/ylcpz2KIy7Mzsbhm2+DNbaKbMqFGB3bB6twLs6ffiGmbpyLq1dQtI55mqwfVZ1ddtQormZO&#10;f+Hg6VYIdyo37dgjegQYv2yB8G9D+zNbE7CugHBdqIOdm5yI/QdOQIBNx/zkYnRiaCzPGezfA4RE&#10;cf3Va3H57GV07umAdbgK7b8revuHIAivYV0zsBB7kWHYpqbdrI1dWliKG5fPaV5nD45rxgSbw8du&#10;Bkw+ECef/5Tu3wYraxrZotcmX4qxkeMVTkjfB2wWB3tBC7Cjm9rj7IWvR+cAzhnejKmtK3iOYbUJ&#10;awfMt2kBQPjsxXP1zq/H8uxSdIPxH53cianJlbgCSwZJ2nZtTc9FxxZwlcpEWkilz6WxxjyiuWMP&#10;sq57raQhcaety4ptEyfBaEYrcFuj5xhXwz5uUxGkkiaOZ/wUTppXJW9MxCzoV2zKxGf9sgBQapQC&#10;S+aBeulX8ikdQ3rLb/O7KjO1/K1T2AItE3MgwDQ4OL1K8n+y5IpKoC5t4WIFmK0MXXRv93fmUlTr&#10;pOLK47L5RfJQPUI+h5RSZeLayqUrlr2auzsx75Lp9rKUcU8c09PdH8ePHJOnTPE/tLy0sHOErdDk&#10;G+FheW24FOOhEpyCkoUX21buUPGVm8zXU7/U5N/iCuQPpHvAA5ETcRd3BksOmsKwUfUoyXLm+cl0&#10;+Z5WnvaPQpU8xWOjlKFqpmerVNc0rojrqHubTK08xtuPNm9k6HQp0i1UutuUg9y2R8hWkl7oNqDg&#10;VJs1a/ByEah2hAc2Zp4a2Yog0GIKj8bZaqelfUytNfkvs1e9gV64sZYbwStYo2JmlfuF0tKggCGg&#10;640VP8Zpq4gNtUP6dsFhTSHczd/UKoHAa+zGoJ1OYtIT5Bpz46l5tLHNG3GOyFY2Tlqc91yAllun&#10;vpYzarlBjoMZ4y30EvuFvGqLhWty9JTRynhXCRRqiKgJg4rpzWcTc21JCiecz7lnW0gEYjQj9SLf&#10;J5+LF0x0Fxz9KjDnzcrRFlBiD0ns9Vcp3Mr6qqvU1rGJlM/rgwqRNWph9cJSMJPYk5PVmqWVG2py&#10;6nebXTVodVBhA5tFrdw1CKH75cZkth61SKZRMRmJ9akTiJ91o6B5cGgfYpVgUGjQsDS3hAL0Xgii&#10;prh46qJca1dPfQPC4/OxNI8YHoaTGpe5SlhgsPo0kUM0kJBI4U44+a13Qk+T76UUil8bv5tQtKYj&#10;cK0OWJ9Mqurp74ixE6OI2YExrTdhcPWlePWrj0NJQt1X52AMtIzENCzCNYx060RbLQpu0sL16ydj&#10;avxs9A6M2vOimZUUEmalOy8hCWnumsqkSsN+MlMiq9RTue6T0XNN+LwT09pblxGzxJo7YdUOnF2N&#10;0dOLcWVmO6YPIsyBEVGD19AtSopHU4yhvKV753pcWr0ao2C875hYiGfgnn5tGcyQ2jeUlF5kCHdz&#10;6DBhILcdy5W4r7WwEcgQL92GRao1MWkP1miip2DGuXiwO7RONbJIhdy7YRoTiyuCjPScAqfgv7C/&#10;cO+G30Uhrm6oLSs0UD4tAiBRIHHc/CjXoF/JzLkaCSBaUPV9fWiKmXJoUjzvqeYdyoZNKzaZQEXP&#10;vC8trYZHsRA1PO3B8t+lJpSlGBSMrCesvqMHEMf2wCXPbFU/h71ufp7iNPY++PoJi2ROOlbMz7Bp&#10;jDOSLjbZGpKNDnQuF+xn9w34RHltvse919gIBs+ikIT4KvlznsbPylZnvJUfFP4o2ZLkKdEiJZpC&#10;TdSQdJnlhSW5KhWgkvgpOOa5vJWK9z3MkoYLiAxanbrcFDca3Z86wxoOGTNBqJoPMkAyLmqDCgJT&#10;ABrxLfuKkMFv1IXRypFnTBueMxVhHQi+2th0fyaiq0m0asgsLviPrgsWb3sIMqOlGWvQE/Az3J9u&#10;E9yjqwOFq0xHxjO04cmpMKnQnnAE3DbQBUcMBfejNsrXFgq81RJKHV1cY9XGmjYSJJE8h/xaA/Hz&#10;upl5PpeukjuZO6ukFQGPSM3jnWGmlk5snIC/yHBq4WGMEELSQllG3Il7hMvKdSvmRkFswVIIoigf&#10;BYlrZUQHeeO5TGlLRs+asSTmVZ9bCBaSKDFdCYPyqYS+Y7h2QaTlJ6bgPRU08t4migIbY3ZxgRQy&#10;KatwzZs1PU05wT93UlqFMgPGP3MRrsZTMXntmxAYaPZMFydofGlxDr0a0ZS9p1cZz+qysbyC2EmP&#10;rCxOO7l+9UUInCuYIYoGyBBQc7AOL5x/Ru30CoNRximIkNmbcstz3aRceSecbdcYr2h0/aWmlNey&#10;9kz6IDi2MJ2FFuDKDOrK9rehOX0nrMAF9BwdjW87/BcRZ+yLK2fOxsL8BViW6A6C5J6J8VchSFFr&#10;CAGxgubVw3v2xSAyWh96+w8CT9HfFZ9PTJyLyUtnYxZwuXbtHBQDNOYOJMhI6bJiS6xTlh+6Din6&#10;wn1C3O7gq2ibiDV9g8kR/Wh0cHg4FjrbYvUkFUlYe3DfbsJy5WBtdnCaHe2PSSDE9UvryPDuiqtj&#10;3ZjMgBL/s7gP6Rnj2db6+2K9n91fTBumb+KHEDBRFHBcmRBaFAtBUToCTOhnRkrlt7jvKlxKvHJy&#10;kflJhaxGOt2jwvm8Y6pihUSqk2oBV86rcdVknBiqX2bu1Q3K1XbdrFE4v+HYQlTlmtgTd7SyQKUX&#10;yCLO9c6u9TMs6idKmObHVTecchjPxmlsyabsU/EptrtDOKaEauTNsbVkAWfjo3DuP/PMKdTL8TUc&#10;CvV6fZt04TDZhttiyY3P61yEipeLqhg6Qt9XyQOeXt213qOEv9ynubUN3mDQLUJHiJc3NS+r3Ip8&#10;tRWeGmVsc6aX+D1q2/mjoZfOa2hhb2R4jCjv5HnjIHPQTKsXTqKlJuf5iELeRGRbO5a0BBqZxCZr&#10;apKheTrE/5+z/4CyNbvu+8BTOderejl2jmh0oxGIRDCCpEguSaRFSrQSZVm0bMuWZ80aj8f2RNmm&#10;PV62PLbMWZJtURzLoklIlJgkkgAIgCByowM6v9cv51w5pze/397n3FuvAVLjqdfVVXXvd7/vhH12&#10;/O+97VeY2kZ8RaAumZ7fIcxlMLYkkYnWGfUBWNjBdvafca3Y+qp5BDEYAE/ncoceohej1lGD0ZtM&#10;31lIxiDsXFctnx20dJtVZrhFFCDnRh4+rT03YHNF9Kkujq1y9fKVcmf2blSv2U97KQ/iGPB5D5Hu&#10;hyiOLnJLhhgHPbWbSDWIc9Q9RG03q80Vm5OmQyXCSiiuoS5rLfR1/dVxl9TUgglX4RUKSTyjCmGF&#10;YSXyWLRKKMkZKiF2uEQymM5XRyAm6bfDnYIyqLJe2n1+8rF24oMsk8nVMaaojs2rtJMWctu0vGN3&#10;HHGn2NNKfG1wlfjzvu5Vgqq6KhFWysPfVbb26Cb9EdCkT2Ha/GyZPDRVRqf3lVHGMQc4ZQCX5NE9&#10;02UehKSbRAYXsWtaeh3dV2av3aR90lrZe/BIGV87xL6/EUnu++n8EDxBy9AYlgKZ/dYTksqIFvs6&#10;mvd4uma4bo0i6rN3zyVTp6yZtLeJWzNKdvlMDjtOLKrIZJxXd9oGHeV7d3C3DkxxfyxT4CnqSLO3&#10;5stDjz9NLHO+/NY/+48pMkDsieca68mc4FQw/XtldaEsnD1V9u89VD708b9O4WaLueuWHiqHjjxX&#10;Hnvyh8ol3KCvvfzP4sw6PjsBjELnR1EKzjOviYHx2Os9oG77Jw9FbuThjYfL5JFj5RZo1LeGZsvM&#10;eVCkxAZuXnyh3JoACwAm4x5lozbeg7fiCGv5L06VjYXFMvcsKR/0Upw9hdVHMemeQ/T5e2QCl64L&#10;VyuzmjaTDqhKCsmME8ldeUWj3aCDXPMmTDM3utF3vUmjmwZwaGekS9VxRUcG7f6982K1Wzr03blp&#10;/WDSbeNNXaEsX2o3qfTfHuZZakaFM6i0nmckhVn+82+tX9yuoeDXEnJBb6kUpJzqel/y7KUl2oR1&#10;K7/mDTPMUz8n5Vt1pvILP2u4ayQKrojozvKS6ZVrQjHn31WH61+p5XbGHK/u4svNjesFgUKuwMvG&#10;vFth9ODzVfjmM6hbbDUvZUSIjS4PimheuAuTV+lF6fCc4H8p6MN44fz19GLQxVmxY47gLeWUe6Ns&#10;k5/QAhCh2cc6G2boJ59rk30K8KKYhbr+AUULsIzEG4HrFIrhutDlUjWxiJCFBNZKS+03NlUC4IOR&#10;4yGPa4QXwtD3FCMpOEWZBTEEMzSx3t1XE+yw5tjyeHYQae5CsIOqJflcN3nd6jWamAjWFKR54lKQ&#10;wsB4y/ZUQ8Yi6meTGeu25T3uswaAZZnCtVtYHjdv3Q1NeoR2RAoooe9JfBbUZTP4qTKQLrIcWogv&#10;g8DtcNRD2REGsUapDQkpz0B/2hT+J6MU4q5Q3IiO0Z0ps3YpYJIV5sGqyx2KQqeeaodQqzBMvhGf&#10;aTfshPRy5HmvxkjqVaGh5cmvwnjXIehsdt6z/Zm439yf5oLJ99OKbsSQ7vHmQm4TyVHm8+og4iON&#10;c+Z8suC8h9ZSeD3l3/0P//syts94Ipah3b63Pgihu1bmwXH91iO4QUu5duVu+e2vfJ27YSlSqmwP&#10;LvD1B4+WU++8UfbsPVYOP/G9Ceoh9eHQnqO4kw6WGZCdDx15iOouawGumqFn4Dpglb19E2WEOc0S&#10;g9yh/qdS7MjU/rJ942755jf+Wbm6fou8ydcQzk9Sg/LjpcwtluW5LwHyOlJe+YPfLiMAREbIwes7&#10;/UaZAzBy4+SL1CA9WPbhVl26M0OMlJJ1CNMbJ95TKCXKXFeII9L3k1QUhWDbx+bKCjABh/v8a58r&#10;U9dMWcFSLAgn0iIemHqoUIut9Fx5IVIiFmcul/1jm+Vjg3vK0YsXypW5v0dFoG8iUJ8tRz/w50ov&#10;FvMrZ79YHn74e8vTU4+UmWuvlsOchb0I/NWep8rQEw8W6t2UZ977J8t+lM3buMYWSHEZXh4tf+qH&#10;30dOKGdkerJcG98sy//Ke3ED3y5Dk49ifb9dhkDaZm5YZUzNqgthWGkpqaDSQYu3VcuwntukpUbP&#10;lW4a3X7bzyqEgnekByNu313FequOWpc8rxF254D4ce+RdJx0nl+Nx+XPytpDCaxXBNNvX+1T3iv5&#10;SaP7JodVtq3MlYYSn41wUHotkl96a39GMmXynogx5rNDUAc/SWHYlHEHKv1oGMh1gqOaL8o+iJOw&#10;GXAbc5TqrE/cpfJ2XuvI/+C1ObImFdt78RqPCksxEgK17Nq86w5USdpiis5hQ5ARZziBxV1GlyvX&#10;HU0UkZEv1t1Iw8EPIdjpB2q5Rg0+MyfskxltsDT0wuOonLFvrZVqlEPukbmhGduOTrV1q0IMaj4a&#10;g0gmXLXSIGDjOgI3NDGzokLGztJSyTGJKlUomkeWDDW+Yz65GQ7cQtND43ty2YNY0w3qZwLE4GuV&#10;weeiN0JW82naUd7TTV4lgfKezNKyiJWQGtPIs2TXaIsLGK/jHgxD95vuhAN7Bso0zGkYU3qF3LZ7&#10;oNX2U95Kp/YIbrYhABHBYKtoCSi6TTmj51kelHaQ/HN38DaJtq5DEInzqoK7EnQ7Lu1Y6vO3kG47&#10;uEmJ/lXn3uRJntzO2ymU3Iu6VtUdkkPcJUzj9CZj6cigeFgKwirmuwQZArLzauf1xl52y7G2182N&#10;1Q5uE4w5x9zM++IToSDkOjVUYOY35ir4DDU4lSkRk6G8lY3yytdeI3cQbwXa6MLNW8Tm9kSM1SM9&#10;SsrNNsrFEAJwBRfR1NGnwwswiatxnFJn64A3jhx/bxk/MF2OnjiO58JixofL0s1REKmULBvaKU+8&#10;58E4LuZGPnIc5N4kihX96npXAHuM9ZWZzQUqtfSWQ1ijgyvvLT/4l3+0XNuYL7euLZXDjzyNwD7B&#10;/c4x3Ku09HmsXL50pYCHKUNYhzMXf6Dcwb27eA9UJ//2AcwZwnvyAALITh/TE0PlzoXbZePN30QB&#10;o20PY4gqSpV+cpfToyJy9uHnf6h84mf/EmvVVxYENkCzIzABXZqD3HdFC4TZjMIYJ3CZGnO+ToL9&#10;z+H52DNFt4ux/SiECyhk/zoW8EQyV6zcET7bb29K4lGPPKYLGQUS/JPfYyw0GJtIVsfTi/XL1vDt&#10;T8HE4JVIfylYjqXcODtLtaH/GisUhsWGZqmx+7+61l8746kA3acFBv2209F4SzKJSi0dQdVh1NJd&#10;MMwu3bX4W1hh9RPt8/mzQdCad8IPp8Ye5z1MmUrMSdLxlfI6eUIK0nS3JxusrD2EmL93BWbjIX5G&#10;Bh5oyLxjPa/VGKiWYgrBej89aXXEYUDE0OrpaWeNn3qiAvFel9AroolxhHG646sPzuvq/9v82t95&#10;j/pqrMmuf8l045+8zHMX7QPDy5Xv5eczvpyKMmPBUhV9OqjHkfF0bO62OHW7s4di5pV2XKe+F697&#10;Zw0W0blKRRH5jkEPHXfURapScM8UPBstKyjtpWsRe+LpyrZAy6ZhEv7SLHtTK3qEYOQWUdXEkljc&#10;TC3GTgpoAK0aeQpFByQybJAUCUxm/oVkjpCZw0/QTQg1A+WxuWqOuUDh6uY14xzdRctta7lEaVzl&#10;+6l1pFtUiHdUJfFREZSsB6neS+1Lgjg6RTkwCoQf2jtc9oLaG4YhWLD2JtDx2WUh54AfgOgPoU23&#10;Yt4+o1VqcJ7WR709v0HFjo1ycFopUmOInQ3rjq0qMY6qIwyCQOp3fiTXLoPVuqQRisQyc467yTKX&#10;Mekw3cD5m5fWw1oJO1JE4nXXO09xEzBNS8zDm4Kwe5/6WwjH+n4dQtBlvTY/kSPsWp5VwYnYR94g&#10;UkkqY9jFqToMpN0nmEO7VjqqhyUfmAwlCyLUtQmiGih7H3hfGX3iaMH7UR4oj4DA5DiwnAdh0KL2&#10;TRNTUXWMw+XpYNb3EErUSC49MGuv65uEocPg722eKCuf+N5CR6SUzwpXrnedSWPVGKMXYTQhCeXd&#10;a7Tb5NkypNDbee1Y42WVLMrh/TFfP3eCBH/JfR1X6oPvy5Y7jcdLh1rQKwsJfth7oK/84R+cLGv/&#10;WG1+FYQ084dprMR1df3jvGbCfx8TPoYQN75+WEeNHpLaONa9HyR9IZLyUVhnicV6ME21MKyysYg1&#10;S1UgB+qZXbYerKPhHrN2PLDzAZb4N7++Ea3VlqwiRDrTCJNawjrccjGgaZ8Xmjpj5JjU2CD34LwM&#10;waR+5INq7CqwurAS/NC+UiAm3QSjrMKwKYvd2LfzzzPjV4icOOe7qCkERh6WTnyb6zvVe+I8ZPii&#10;WVJN6Y39cCRVmOWYdiub9d7xzBQmnThmPRVNaOe9vEDG731y7zpt4+Rirof/QjBUbEFYNTGI4HOp&#10;Hu5eLa+veYr1c+nJyvukIVHPXiiXOZIIQQRQvbteTTnobkTlM/etaPsjP9fRSWLcSWv5szIoL6vf&#10;GzUlxfSL8JJVfpoMoss+E3Wb58RmDcFCHHaco/p3MpUQrr0Ah3IazVbMMWaxmNz3dlCyEYXySMGb&#10;IK9wQwuCC+GZ7bkipU2IWkMJcz8yv1w0NjqAHlmuKgZgXM4JqKkiRdVYcVil77UjEKPXRViTxjSi&#10;OkJws0ZlKRBjoA48DmBjoGnxOXk1hdR7+LlbSYxFbptZiYnJWqYtSwOlbz0JogoyN6AG5mVAH3pq&#10;byBV75Cr9drlhXJ7bp0DTtuola3y/HeNBjqrHzcCDS86rtdGNOkSxNXA+2tYpsswh46N2BlXEnbG&#10;XnMDOyQYBzUJJ5cg01Pkumkt+6odywewClIo1hOUv9fP5yFPYsj4QcK384DnGqXF6HuppXaUWoVv&#10;JeS4QwyxHfjGFqqAaverlJVKSD0cdf9yjI1FV022A5CqTE5ij5nVvd8FrGhHrcWq88Sl7h6MKcaY&#10;jMufAf4Kxus+9Jav/fa/X167uV7GjQvzlAAnoJil0wGhEMpHfr6r5aO9+h65fYD+I749bB4XyfkD&#10;uPRN2VkDjLO6Rk/OaPEjfJw1llar2zvSaWvaUTLtGHjQTF4r6s66lcY1EOQCTiBSY9OO/+HDB/Gq&#10;LpY7xODyfObnrP4xPkb3dJCv1gFeXJzHhW+JOBtbb1EMIBPHdedG3mZdlwGuP/P2vyh/9U//Xsw7&#10;aUWayrEZLzp0aD8J2qR6aIWEZZEuIvvrJbgu/7aJtknckY/Lq+tY2xusReuZKGl7ned1gXu75ipy&#10;jifjVXpk+HsjQT3O7xD9TqcnJ7n3o6yr1XoyRaftb6ODOPdRB7fZCO08VdoOmsgPdoAg7kUQclpd&#10;QaLBrPKMBfAs+IBCJGkrhFx9aNdi1GWZHq+8RePsedMEibQ32/utuH29pj4/2X+1AmO4ecZDALZx&#10;5avEu3KckX7huGDcAvwGUFj6LJoin4Cmt6tQzcnvYowxVg2M9sRMN4gO8s6nw0a8dwIpoxJWjLUe&#10;6MpbfKVxgbaWOeN6deWtyWdyDXK92/+a8M77Rqk648oRxvK1VN6jWkysS5ZTCzQySp/nyrMyUhsr&#10;tHPVtsL0ruBoIZMSLRsjqzwoRI1zTMqqO5xXpWWez8hGCc60ArMqTeiGlo6jDGFaDQJtFE6gxbAK&#10;QziG31Ziz6KpgwxknZ+tq3PsT2gilTfyMAE0Bc26CcXQfqrYb/lEMRxcOBFTTwoMRqbuaAPf6LUS&#10;E3GxUjNX+pv42iYSIUSuMqUimFGtLpFMIYkhtbDcNJ/1xTfulFNXaURbCcWUjAl6KpIHHTGpdXJ1&#10;+vonOgHnXNW2obnhfeRiWepNqyOYT+xzUEiMuR23XUfKFchNihez4kyzsMKwyHMah86CvYIymubY&#10;uXd1P3SFolpX/WDlMCEAw4Rs9nSOK9Y4DnXO6H6SSS22e01lqDmcXLw8vvWujSHkvbqb331EhzF1&#10;ntvWUKYpo0oNszsan+V86iv1wNTVz/FK7MZbA4SUsefv//DB8vFo+WXVkGote3B2zTN/baOvGnud&#10;UwjjWMJk5IFoDQFFV/V64DsFs6t7NxluZRWBUM3PJ5Pmi7MyStrEl776cvnUb3+BknEkstc98bGb&#10;CIS9JNcvL9wFnENlneomszOCjPtP/ukfKUcO7qXQ+Up59c3z5YXXl0jLEKgDrJ3xjTC+dZpnSx+R&#10;q+WZsdpLpCjU9sS5mTEc52HX9O//6PeUn/jx7yVDwlZCOVavCOi/axACLBlHJdSYZ6YJpfl7nyBL&#10;gs296ShG7Rjke83aE8ihwJ+l1VSkZPBeuvFSSWuHNAVHXce4bwVPVP7WBGIudM6go2PVvzvnIzW+&#10;ZNzBNxQKmVdcn5pnY9da5R1z7PmG7DV5iH+mByTXKxlM/Q569aKG1K/z7xB5niE/oqK2xn4knd1D&#10;KV8sC4u4rVFctPKt/9yLK/vWvT1l+y4ALtKHTowvlaMHJ3E9exfHZFUnV1GHeF0cPS2uXUVpxxTq&#10;PHLfMs1OJci0sgF4mI0HIsbWXdBv+62dn3ijMtM8X7lvnfcbw2s3i6WBNilUYRWs7W0V0OzB6ziD&#10;1gLFnwqj3gaLM2jcUPI3dyGJq6t3y9aDeQvUrECk6j9Nb2V6NmNt/Xzdntyq3MeolsM9s0aAQjIY&#10;QDwsWXgqUQ3P0L9FLMK4BqYeN9b36oA5jDaFDd+sHtbaxDaYkPknmlVCbklfiHwUDqiaaNB2EkMj&#10;5o41o6AFJu4A2hpG2TIHHUib2NF4r+u3lqGJ/IRoYrb8x6VRoEFmY9ZnEFqmS/jZ3IAsqeZ/68LI&#10;eX0cAI1CeATr0ULhfQb/7eQuUir6sOZqdva3Elgk7GNZjGBZqFW045vHTCRVln1KJhlnivvs0kba&#10;oPnZJwIqAtq5KeHm5LVhxiSxDgmqGMzUFokwaKEyiXQNpAWYa5tHuTVudbJNODd+1dYg73E/7Xf5&#10;fO5X5rDlusZXfU7uRdVw88V8O26Yf6QrKS2GOqrcy3qzWJu6Hw08cx+zy0fUA9cGgPJTY1trxITb&#10;3I4dOxrWnRe3uERWD8o177hz6vhCGDjsOBBdxpV0Vi3k9vAcdIxVGso1T0Yez4vP1PVpzDeYUG+0&#10;MdtLXLqPwxs6XpXSfspP//7Lb4fyGa3awuxMV63FxIex0CJBHvfQmH3o+IBACJ8vUEIBs276EAzU&#10;4t15Smp/Sy62eETkCYfQTGHmfS0OHcW4O70A647FJFL77uxN7Kkvw36Dye4S+rm9dbcbASTF5YK0&#10;/Ulh5Jdu1R1h+bquPJvMeYxUmXEsXDu8xxpXwRU0VP+3G2UaNNWhja7iVncgd6VuSO6Z7uN0IXsG&#10;m/CztF3cvnqQ0ruUylLsTz24FnS3EEQyTBUtu/i4T/l7nn+ZqwqaACdq1uKLHieWrTdAr0Dwovp7&#10;dL7g83dn7pRvnLxQ9lGs3pZOixRRX15dx7MgwMYlR6k69tGyAH3MLtM4+87Nsj16vZw4vAeYmCXQ&#10;MvQUTKFaO308d0fLkvQzZ6GqtmOamillXGY8em1ts2wPUMMXMFfPCOj6zcmy/8DhSFnKNLHc1A6/&#10;bQtbz3mnYEHliruvux+tmow7wzYIOXiqf2d7PRU/18Saq8oSX8vrMhMh1zhAl35VvlZ/7dBn8I3a&#10;Hm/3NckTo5lU7lnscfL/1r4t3LHuaVQEUpFIguu47L02wm2p8PZvA0AQBBMuI4KO5jztRBdoPkec&#10;MGwzG7DiegriD83UB2PmOwcGEtp2PCwRTK0sT5q4NRagVmC/wGo1OC6lt24d3ZsdoRQCrVqNYQAm&#10;A4mYjnQRa6elmGZ3K+itxhxVH1j89ns/F00gDEWg6nJVKEaKBp/X7bMT3aJ3dcqoDDFKiumWM5aD&#10;a9jySc5wack8mNRiHIZjSbpquma1BnMVKi/1VDNO3NOnKOm1DQrQGplRgqq6RBYHcPFS0urti5fY&#10;N8vlMV4Crvv2mGBLeS1XMbT3PMRRss37s+4Sm90+ogC6pfRiL6rrMggt1y8YWPB4iQtIcpOAdT2D&#10;6XeUmpyTn2uIsGByEnKVri1uEy5OGWiznivrTNmRhN60P/+OAxEmt4PpMp8QOfVliTvQzMTCdCsL&#10;cFLztArNlpVVgplWRtp57q7AXk45vu9TBqrS08aW/DS5bsqJ/JT3V7s31pbPqQe2y7krDSa9S5jr&#10;uAsTncx/llKr02+CQ1oP927MvX7F86weRe7YuqAf0N0qbFXB8KpAJtY4YXNFuVa9FAuP5eshxxCX&#10;737yHLUKbl6/Edp5tDBD+Mis03Xp83Pm0a0+9pLXm0VY6alys6r8NVdmLk1TTJKUdjMx3bG52EGh&#10;ERvkT5Dhg3hmxvDMCHD49Kd/p7z1xr5wMydrsGh5rn2UgQyrPV3XqWArZFJ4xnvSum7dINT0FsX4&#10;g8WgVKCY7CEVx7Xw9TWY8zJW2fm33yJmak9J55EMMIk9Y6hBb5zPww89WR778PfAD4XsA9qK97HS&#10;2ZuINVs3Vn7nuiLQVlGqv/Lrv1o2b5wLxTlStloMMSwXxsfPNbxRM1tTZfgUnSsocLBtrWHJPVzs&#10;TbmzEXuaS8ughx94rykGuQbpYrKpQNL9JhbmwibudjxcNxCgpW8EUNRY2UAhW6PsX7QnIyXBxu47&#10;lAf8Frmm5Rpo6jdfLT/2/uXy0Q99gHBQFguJfWp7ma90/6r8sF62i27bXqeHIRXc6oZWcCE3hqCt&#10;foS2dB9u3RCQmX7XNEtpUvq045E4kbhNkGiHsXYOcpTD1DtUx1f9AHk+m9Lte9J1cMcgyKT3qqjJ&#10;exrfSxncFMx0ZadFw9JFeSEFT9w4c+/C3xtFbTM/MR7shnCNH7U0lMSiZI04oQTNVTKy3cwwplcP&#10;i79nK6DKnOWUCipe1420Y1knn11dDHG4XMym0TXfvFN2s9RI/FzVRAKHwZfa2Q5oUqc0QJ7h2ORK&#10;6blBqSieZRV2n6eeGu2jOAgb+L/rytUFp+zVwiyurMVI6B8iAdzkb0XN4iLlxHDd7YR17EKE3hj3&#10;swVUFA7AzdHVbnP/41W05pfPzpcNivDaWcQvD4FVR/oPPhRluj5zdj2EoJLozjkSzF//Q/LILAPm&#10;sqWrqzHMbGRsecWR8tCHvz8g/KElVu18G4FvKoOuCUE8tnLZgEkIl+6hzuj64kyH2QQD0sXlfgfz&#10;TOE7YLEFix3z7D17JoOg1iyNx7W69tawXhRYTrKBALSELKNmmkActzgvGQ/oxOTijLR0jrQoWrNp&#10;E/XjoNZzcfP2fPm+jzyNJkmpNNzYiUjledxzMxpeN4ElC0rqazcI72edSx/7YwwjAQ9Jaznu4Aop&#10;b9rhibhHLZXH2wLBQuC1g1YZaVimVTq3+YQTJ16vVk4okh5cn1cvbvOrTCeL4uchzthhMm+/FYhR&#10;0rCqt8nYZTSzeeTr63pENigHuEPsyN6a7uUwipXyKM96ut7iTFevQCxXm1flNimr8IpEznJa/8mZ&#10;KotRM63up7ry0B1FBqQ9LSTdpqGwGkulihBnZwWraC/pKV/85uulvIgrD3S3ucTjAOAm1q8GfL7T&#10;7zKmVGkjlINUSVZEkD/wfJl86OEYl4LLsmmyFHmYV+lBGGXfJpdTiKwzhmsXb5frL3+rHJgEQexZ&#10;gw5F1g5QzWVoCGGiS3H2WukBAXzmDHOmGPtdatQu0gprifiv6766SJcSXNBburOj2Aa7zOd2xu+V&#10;Ka754AN7YNgWRSA+rSW4ZFEQRi0yX3BRz1R5+eJSWb17ORj7KN6A6ADjeVaIsOHDFEvYWGLMO7hQ&#10;UQaXIqab1nzwwGrZyUOXZpfK166PlKe+7wfL9pQF+G3srIIMnUTuYYIZ1yx6Qc+wuwumM2ExopTf&#10;OjqXCkwoSLmDLbTRvBrudxg5QSsC2IZqgrvvNPenrl9oEwXHvZe3WChjBVq4cvVW6ZvL/pL9xMv3&#10;T6Hcb96IzwZvrOfMu9nOTD5lcZ10i4cACprLox2MNorEZDUmz1aMLiVoUyCrkpPy2f/l51t+dXpE&#10;khdlrLxiZ/jb3M1e0pd0MfvVPLmx+JrpYX1YCsiDIW3VA97WMAVmZ6y1p2CWJ+ogvUJjjOPlqYvf&#10;Y0AQTXR7iGT21DAk6o266S1BPgYd51ihlwjEcOUGk9XKS/Ynw44O2qFNp1XTYo1esQZxWnfSGKRI&#10;12AyJlHrspQxI+DW6SweSx8aBoKAMX7+D79S3r5KKS2AAlHmC+LaOPwovv9S/vASydiOiY2KWrHh&#10;tmIMHJjj4NUPcFBSy3Vj4taxCRLznUvXy8XXaODaimu7GW60A9dFrNJrHA0H+8rshfLcvvXy0J7R&#10;qA2o0Ak/PGMOQeRmwqCu3gVm//JpSoFRUSTa01gMWE0Xzco4Al0ThoDbj+yxwon0tlkuffE3ysP9&#10;t4KJpIukcUSpKP/qxVK6vgBy99lPRtpD3/hYKEGD1mh1PrhmdiiqHhXxw7XDYWENtoidrFCK7ED/&#10;YhBeLALj6rUgs/dVyZLZuh/8vdgzXRb7EOjhXrH6Bt/VYvCAP3bokdJLqbYzc/S0lNkB9zJGO8we&#10;GnNRa28xpDzoeZCSmXT+LHfnaIXkQkqRHGS9I9LTBoc46S1OUzADz5puuEbrU/SnG+NwN8HdBGnG&#10;iT2YSaMtp7e5BUOni9Eo4JIm8tyndRRKCGsXUUJjruynbnpjQOEyq1aiCsZu9373nonctk3Q6vI8&#10;aRCkkCAY15ZvlaeffrpsTxwrXz2/HDQfWAEVk6oN+7noZB6l86rS4njZs+25G+UDRwai7F1aVdKF&#10;Z9Y1arliGZtcJNf36+/MlSFyNNcZ52a0A0vofLh9iZVvcv6Gn+4rH3xGa2goUK2m2dx8+8Xygcmd&#10;cnAfZRc6RZBTOU8OktrKIHt19dZM+crt5bK1RDyOOKV9HENB1dJAgIiQ9feofuS6Qb/Dk6MItNny&#10;oYeOlGdB6apEydcUhGl1ZF3d2/dQnCfGyumzN8vJX/kV1hKYMnMbR7lbI495zZzYgHBSJWt8tOzZ&#10;ty+qAq3PLYT369HHHw6E5wxlBF8/SxGE5z6RmAqrbYnVYJ0/9AHGZKESXei2/+Jtz6m0I6DK/Xvj&#10;i9/A6CM1CAmxRONsF7Fb7FqtP0F0oyMD5J/eKi99+aQcK1urVZdkqP1hYqYBkkZNpsMszlO9aV7P&#10;WDD2PBwhg7qKT7xV/1RBXgdJ+g75tbdv3yE2jdBD+K3Dd80tFKCmsDUuuq3nzWfKz458qPSe+IQM&#10;P7qbXD35tfL+zauR4x6029iNO11d00M13pynNym8xfZDLEVBDfegypUqYxIbkJkSIk393b0awmsQ&#10;Cro8jruNk0K1wvAENVpRKuP50g8K3RqKz9JyyQqD8J+QprHU0r0CzxYc9W+tM7WVsNYSDpwdotMq&#10;7EXSBAOoMQjdATFfD31IcD7i7jthDksfGmKPyUzkYDU+bMfoFRPxwxI1RpeCTZfsulU6YLTDoA6z&#10;kEAWax2yg7OCCDdvv+5cH6HwDdcsZnsQD9dS6WOQeGfL/5HZTqCdHtgzWA6Oi7SFmHQj3GcxoF2i&#10;UZ2+0E9ZsHTjWq1kdOSBsJLn5zzYFtvlG41PQJLzPX/ydeqPXqeSyl66ImTHkNBrQs4EtDVcxwrZ&#10;qQm0kigSYLxAJi/TQtNlPbUoKXKC5rJBx4OD5eAR4P16UNI0LVN7qIZfu3aMIDy/9q2L5Z+//BZP&#10;ggD18ah5hjzO+GM/XdCjOK9KCIdpCyJ4gOokH//R52Pc2VzaOaYAC5c4/yx88LlXrpVXmZeHQ40w&#10;kiJgUK6nAIYBMPj+LShkcISOBqS8aDeP05PvR77nfUy5G4PtnMBKF1p8a7ijP3+FdJnHPxQ8Nw+2&#10;Gr97o7bLWGAoM3xmQWGP1S5Kbwsr4M7rXy1/mqaqe/fvrYjRZADpPs5Tna5d1hkm95WzC2WAllPG&#10;XTzE9nI0j8p92dIaDiJyL1GYAM24BiqHWgyHbr1dvvf9j6CNV+UpGEmdUfN8xDnK2EncX30pT3iO&#10;y1ze6Dkps/Jwp6ALN3jVnxRAWoqu7wopENJCxkiML+c5DEHB/eI11tf5LuGSU8COjkL50LPCaRWX&#10;3w0slNmZjF0ZJlCbz1ZlFq7OuIurJbOSiYSFyd+bd66V5z6Jdc5+BgjOSTQmxFmIcEdy7Dhnb506&#10;V5ZOXkM4LRFPgsnwnBBQMJ9wd/K7iukKjEe3XZxTzs8oStv7fpC+l1t4JGoruKwZ5RolYw+Li+O0&#10;Dn3N3jhVTr52NpCxrb1cnLK6B0G5rMcgJelsAD7MGjxKEfiCdfmOfEfsBEyxx2/3kDUwLebeww8F&#10;gv6xp3vK06x/iGKE6joC9Zu/8SlSSyQNE91t7TVEd5ZHygBl7K6fO1m25mfK9P5DCDjOwwgF3b/5&#10;zTL/xumo1LUFYl3aCuRltYiqYR80kL1ZZVSic1FeEMDDCFyVweVVFHH4Q9bMByjCWsl5tcpCKSVf&#10;donCC/0WUw/vhABF43PJg/Pe8hz/gJ/Csyb6l6CVSfYn29SFIRAXNJd+HU8wcebKOl25frP83f/l&#10;U+XEs98drbG2AaTRnSC/cY+bCavFHgpgsCho0l6hHJYdm31DD/NX58t7J7bLGM9yKeJ5yhW+3XcV&#10;UD13Pj2t1s7hyrPs+qtIeIb8eOy345bdQfPwg7t0/ViEvlQQ1kBPe2602BV+SwLN+HuZc6IyuGqD&#10;eYGNrmd4m+AR0iuf/Vf/zE/Awbh5+MLjoOmj52eY7TmweE1tpgotCVy4cAT2K3NodTizqk26WdPQ&#10;deDVBeOh0i+sBROw9/waIilkJ9I5MljsRyw5fgd49+mpDxAUBhXIge7VNWD9RxrBsupldWpvOQ3R&#10;LN4ZQPBR+YPvYUpQadUNDWzALPejYZLAPUp7lIMj5fg+zHiEoUhPW0ndIDXj+u218h40z+ZOUMuw&#10;2ava1N073Jtcq3QRuwbZ5DbYQQgb5yUBWi6IinkL18rHntdqSWbTrOOO5SHzldHjZhnb218+9qdw&#10;fVB5QMKPwuY8J5JXoy+Xa5VxmttotSZ66xqZv3m9DF1/sfz4x5+JqkIjIBpHzs5Bh3RbsIReEEv6&#10;+RXAAySrTkwTw5w8UdZmV+i/iFWMO+sOZ+IffZoafwifXkvYeVL14qAD9FHqZ5DXtawXbm9y8M/C&#10;oE2ErbTRFIg4BOmTt1uEcdx+LJYBDuBHn3+iXCF5ew3N0rm4rg0cE21ltMyY3PYme/z6m+Xy575C&#10;0v1qdYOxPjZIRZC5Li2Wmi4cBKYZ44RIpnjewAd/KoRorLf3g9jnF6hnGie0AsXUdtH0337hm+XG&#10;Zz9fmyErqFKjtiSb0+iPeI71cY0ny0hQYGCQKxSN/+T7n8JNPR69DWNtPUee1A4ZJ01o7KzqToL6&#10;9SJEU233HCE1yOKu2lPSY231nTh3HMR6wKOuY7jSAHUhlO9SpNsDPGZ5Ht3VHHQvHdCqY2wBptA9&#10;znnUHfdh4kTPP/d0+ewffLVcuXS53KFP4xd/5RdBvM5F4fujR46WBxAOAwi/V998J+7hmkYhcT0K&#10;zN+593Cv8bHJ8o3rCBVaC23jFRlHILnGUv/Uzp3y5Inp+N3YqQra0t1r5dTZq7pe6ppUi8DZqmhz&#10;9Y/+9F8oB2jftQAt9aMcy3AVUGs8/4YhEF3EKlvG7fhnfNSWWekORJNfWSib37oQ66eFFS7wzgYk&#10;gwx+pVJMK6QBrLwNy9+xdlatugECfRPPxjoM0rPk2VoH7bupJVvDDgKCQpnRSifmP2ClpDX3S4BU&#10;nm3PweoswBVyuIaxFqWd4dGJMknx+VGskUncoFcuXCVGrFAjlS2Km6Q3KK5lP8FaJo+0/6HGFfu+&#10;w/Wy6U3GrGKxyhhl8IPcz3DBm5fmyrmbxBH79pVFmgf3H3+oTFH8Qaszqh5pmEiS/lSAKzCcpHnm&#10;QScUKlkaK6fwVq1iZQ+huHq+msITHqJO3Cdf9v0JCq7ogbpymvUnoSmswqgek4jPYAFVoc4QT843&#10;ynFGMVNot0zQ11O6wrrWWofnqd5ZHMJiKqMTtxFE8oocdxgpKQryvHkcwUFYd1cvQKiSrJ908Pb5&#10;0+X3vvQihhVKA25kES9RDs57uWcqpHouNCxgHK5PHxWqdHfH8kArASQ13LQD0+Kr3wM1jKYvDFvt&#10;SPeGiyF8VyvAoL0VXeJiBJjvacWF5pqsIZm4r0Uz2HghiDMBFvm3XxlMb8Sck9VSDP6SagaXeoh6&#10;yjxSfYWN3/f4+8MdmUWB1ZIz5+ppqMlYzDqEusGkdMMuKu1hAFvEum69/UL57uHz5cSBkTJNA855&#10;COm1K0vlyp01iheLsiXZmCem+zTNbtv5fPG1b5Ubt6+VMehsgAKzbt6IgpmDucwh6sCAw8ryjIj4&#10;Yi7rywh4ch7ZfBOkI40gmHPscrjsBFMI1LGx7Iuf/irX6CF2Xro3ZIhh3yVhwRxklENxcHhdYY0G&#10;/xRZ56NowsYuZEhqWj0UlS5baMccrCoTMwZG1Yb1wcfK5OM/UMYWEfJUGOklg12gxdU5Dr4l+9jf&#10;TdGv1jynEfM9nqPFZyrOvfO/S9T/dZgTgqjakG03Y5+DeDk4B/fj8sEKpZasSsXh7/2Jcs4auaPp&#10;HnGhFDo2YpVZRMRIumLO3/Uz38M+MX4O7ibMwPj2V/7pPypzr70SzFoqU+vuHbdllho+1Wpw5YxO&#10;qjmm8PPwz4Kwe/EmV+8/EdagB0fLU+3a5rmP/MjD5UHuE8oGz3Ptog0a+yV9ahX62sk//Ew5+bU/&#10;CKbaS6eHRayFHeDJa9dWAVScT+YWrk5pOqRnCNc1GNFRLJ6ffP8Hs16pNJWmetnk8J5FuTix56EQ&#10;PH4tYk0N8hmF3EEaEI7ewc2/PVbG6JH4Y0dKwdYoNxdhKH2b5YHRbVx27LXPwSPQRMAsbp9rixvl&#10;2QeOlo89eaScf+el8t301dv78MHy+6+9Uc6DZAxly84b0PDH/uxfKP3Ehh9HQQqPd2U+4ciJbuns&#10;V9A1tMb47PrnHsxpxSE4FhaxZK5dLs88uJ+YZqJzdfWOjuJaZiuiMoj8oaIEQzkxeZrPXr58EdDH&#10;COXvZjMeXZUe18lnR7ePcNUaFiFnL5QELWxCAXhVBP2tzs1g7e8pG1eoWSyq3H2o3KUp876wQdlG&#10;rcBh3N6nXn4RcAsufbqNRAgmGLdxpMy39vPSiQxeIRznR6tEpcGGAszp2fd9Vxk/eKK8+fXPhkBd&#10;x3vgeA4cOVIeefaZcmEBOkCBXl3bKk9/8AfLI+AjbuHu1ZI3fioATjKxe8s8LclOnwRdqtPcjj3S&#10;PnSyESXI5OPkTuPKlS+toszZ61D38ZtnL5fTi5NUTToCHegi5izB59bAPkQBFIq5r6OEBijLVA8F&#10;vVYl914HN6ECtrm1Wo4DRNpgbYaqpdXOcZ7lDkcPGtUAmpyYBDU8WC5fv10OHnsiFA0Bb80tG5Ug&#10;uM6YfWQaQRdDpoBwNlfhxW7oMJWiXt44VN6hNOAavNIwhgpdL8qWXWTX793F+5essgPkixHk32GY&#10;SQ8qkiF3vFZkdh/YD9y7566WI489F3ym17AHiu4m/NifEWd17novoLNolRVWe+XPcrDqjYnan+WH&#10;S//nfv8z0dhUBqH7bgxmIPFMEk+TseuLjf6JQsZ1f0KIorx6e6lKrmFSYwF2GIhi3KFx1Bl1JpYG&#10;ui6IvmG0jaWbCC4WFi0B8gtgjPgK76G25g02McEvv3WDWozvMGiIPABBEnOiMD3I+pB1/VgFXpeJ&#10;SfhqvP2ULLl08275nhPkSS3dK//sxVtUNMk45QgHbRRinzQxhvltAByRICS8U7iBPvvWlfL4J3+o&#10;PK6LKGITiTYTqKKWGe7jUCB032bQeZvDsL4yXS5y71to2Hu2rpSnD+Sck+gSQaicGqXm187afJmj&#10;APQmFUdCaLCQw6zFvonecvvObAhfn61LR/i6Ft0gjGdp9nYZeN+hssJc1N5Wt1aIr8C6sCr0nsp8&#10;PFhDQK4feOr5cv3Mq2Vzlq7qbwGqWd7GatjE8olGmeEKkQmm7xk/OlodlcjKPTRTi11vWwhbt8Y0&#10;0nKN/amfi2MTVrKaosLHXuyMP3z4gJFuXCvf+K1fQ7PHyqiBeOlBTVu3YFjFEX9Ld6cCJDR/LTT3&#10;kb25RbeHdgh8lmveC0Pdc+RhXF/M+5358DbIOKOdlM2Vecjb75wto7RiWgdxaHumFRhvxA5CNumq&#10;SSRmWPssVBxeEdGVTnsJNM+fv1YmAIUoOLcopdbHXsy88jk6V/xWWPWJulUeVg9IqjGxpqPM60en&#10;ktHGOTBeotsaofTBw4v08cwWSYIGNnT9R3wOhgjDy3dQHnBv78crMTkMsdC5fvMejZC5/ZACgGdu&#10;Jvw6mIP7RTiWfXyrLH79zXJAb4t99CDtZzjHZ9f3hBtRITVLX8kv/vqvYb2zJigfxuPWa+FmScC9&#10;CqSndF1j/NJ9aKScKa24Dbw03/XYo7jWn8cozGpS/VhUkygsUwdQnGg/NUp3kgXcVuZGxhhV2jis&#10;N6m7OnsdAAuCbdtuHFU5SHoKf1Lozo7BggO6bbVoONDZI9gUMJSdEayBAeJ69wZFw6dS7nNkkApz&#10;QTSTCH6ZswUbBg8fK4dwsZ87c6pcpy5rKiw1DsW4Iq5bXZt9xHOHJ/bkPe26ImiP+V27cq588qPf&#10;X55837Moo9ZATnCMc5AfXcWTtb7m/rDWB0mrYa0eO86zAwVM0ROE0gZCbot9PUfdW4VUP8quAJOw&#10;Tllf6dSCC0NgEvrXF7iXvQ6TnypUD1Oa8A9eeKlcfvPlmuqSCfChRodhUXlv+CczHueauH/7Dh0p&#10;S9x/lmL5Y9xvFZreMz2eGJL6FQKpKkntNc/WMB1PpveMlyuAFSf76N6ySVcTma+0yhmJEJLeLAwr&#10;gYkRXkGRsvD35PDx8BD1A2iyl65K7QR/79EKxUjw8deuXCjL3/oGHWPSw9UMKMdQnSjVaDAOm52C&#10;mofAOPR+moiPERa6cvLlaBwfnZPatMLyTSUoKCzObsW3+E5gO1gv9zKwCYnW7L9Wpso2THUTgr/H&#10;QHeYtJqH99FUdV213MK1GXG87cjL2ctgPvj+D4UwiePMhVongZKK+m0SeTLQsCT9VwP7o4eOlYNY&#10;gKiLZf306TJIu44hFn5IyCgH1ngW1YjJKaTdDxPWKopKOjFw9984UEr90AQUmLwRVThwa5hmsjV3&#10;t4w/MVCWeW0N92z0UYR4ZDDmKhKmxB3A4xCKcah4bwEk2aV3rpYFQB3ZRxKCk7BFq/H5AN2wqaJG&#10;7WzdT0xrfIxmssTWAgzESr3z6ktl9NLF8tyho1mpJ5gjFixW2xidGQYOPlhmz9wJsIGFaRM+Dyyf&#10;7gh7nn20PP9nfhzGJbw/Cd0Njsoh3F13Sg+C7w/uIIAY+yq1yPqe/HD55MNYHiDkJAq1cDvX79+7&#10;U5b2E1O6yj0eAPUK8EWLcOsGBLqptZ7M1VZWES6OzNa+Mkl3hj1rd4iLgmjDUh6gUHY/gIVNtNBI&#10;dYlPpVchCJg16mM/dqjWolJiy5bb125FUN4c1gP7psLVfBWXXjSkrkywugdC0Qp3KgdJa3KHuqCb&#10;MNd+XENRVQmNfP/hw8FANnHT9dHaaIc9Gxkjh4u4xQKgEAsw2EX8/IvfhCHD9GE6eS6MYZgcrTHn&#10;WFNgmWJzBOv2ErVTd2DQPnsQIXKvly4YPcNlZHI/Y2KFoW2Fxxou9o2+5XCLSoA5hxqzzFWsT0Mu&#10;xOFLRacaPsG6ZWyr9A308xmqSPrL8ESygvQapHAMTVzwlSwATkB4KmJG6WJPBqazKWKSAhgy2BL7&#10;KHTf1j3bWhTQ6QYKjedkgbiLysKa3WEQPseOHMYaWYd2WDOeLX0LzNL9pudCoRgCRCanAGH9lgDy&#10;/NqXzyeowtQFXFOTD36wfNeDnGcKto+h8n/pd/4Z6Uv2rtxTjjz5oXL13Jsp8BikCvXWVgLMvtOX&#10;Sou9Rb/np36mTB8/jgJokQJWIZQQx+N5MRaWbtXgLVoReh64ofmexoR1Iix7PrA0b149X7716sux&#10;D+may1iaaOSMovtKKgW9FDvvQWHeolH3Kgpe3/gkLt+NcvbtN0FzqkTj2kTZEtyzJtAM+tHS3RB4&#10;JvJWJUymj4DT0DCItqMJxX998Is+3MADY8fT42YlJYrS7wM3MAY6dg13zcePrpQDBw+D1n2OovHT&#10;ZYRCEGvQ8zPPDpW/Sd3eFazDmbtzCPi7gHFW4I2CllT4QJhWWu+HvqXpe+zhNns2SqPmQurGLOso&#10;EnhJAGLPofT0dCxGGWvSkP/pWr9553L5H/7BL5Y33rqEcnC4vPDNt8sP/6W/TKlFSgsaK2X59X7p&#10;JjZnXEG3TZrKimknKJDreCS2t6jry7ps2GtTIyNCAaJkeZ/Sgxsr82W/ir8tnqq4C1ndkY/pndQl&#10;GgclXg+qD6VgknCKnrN5ZJiuZLErIfxiKv4/z2vKoPaVIZfAH1TXWpzpmi6F3v0QkhwNfYRNlMGp&#10;HarxaIFZDQECGYLxRxkt3SgM5NbZt8qnP//p8vzz7+dZurhk3DBahE833yMnmYOra+355bpv3Okr&#10;Uz0PMaDtQoZP2RinNmPveASQ13aoMAO3WKHUVf/mrbI2fyeDoiyMsZZAnOqybDB1tUEmd/DgdFna&#10;ni5zCwT0CebDC9CYickwNxP3ZYy6XRW4CsDKS6J91LbuV4rEagmsYnntrF3l/snYQrB3TN/6Whqz&#10;cQ8r7oQ1wFoNjg2WtcWb5ROP7I3YgbBR12uA8Q1bimwHDXr2agBFeolv3luQ4WW+p67nq2fP04oI&#10;OLfB6trfMbRRLUUnJFCH/KNtUpP6EcRqZuNYhZMH99CUNhFtamw33nmrvASCdgp4+RYQ9UPfTQPd&#10;By+U26ASL/6D7yubV4TuJ4I16t5KNoZLNoGZL5wv/+pf+2Q59sizWKK8Hj3ItCwTkBPdqkUFE+PS&#10;eogAeDDqmqBrsnnNLTR8dg5AzK/8t/9JaIkRW+mQpusKk8RVNIJ1Ee5xA+BLHBSW+emPfgIww6Hy&#10;9ud/vTwMkvLQk+8Pz8WOfdA+8sOgQcfLN9ZBF8qQbGqKlf2xn32e+L9l+xLybmxwUKQhB0qr3niU&#10;eYJaXa/8xj8os+z98OTRUD6c3QZpKsYh1hGCO7iJIpTAeFc5aLPEP82pSyba/QpSyrMXX/LBht4L&#10;J4AvahD6+KqpVsW+3qQqJ+okgcpS4LnV+eEQgHFP/hYv1TTdRopaY/Uz3lCGYiL0AoJwDUVBxSJs&#10;ukgNQLiaWG2ckxuvYFG//0//+bL30afSCrYUWEc9F4hk6pIFngXnJHLSaQrk6WHdpUsF6CSenHH+&#10;dsy3zp0KIevg+xCAPQNYjyCftxEka4DKNlFgXMVMN0ilQEESHhF5D+u7hEvs1rWLWLc3SYvAauIs&#10;CthJt5fWcDaeFhgRy66y4PwCdJdCUqYXmHhyUjZQGEOxF6UYCxwsMPhB7l0yTmtibi3dKb2gnPtN&#10;m2BOKv078KQv/tYvRxw/uknwoQcffBDARm+ZmeHeEf9PJbo1TFBZkJFbWjA8PoY6KIyOc6gMWVMS&#10;3iQ9mqM3Da9b3qZV177D5QszKH13wUicvMv8oEeCPDbQwSkZQMXSD/Cu/yjdWvBwTKPwWA5OIQjv&#10;uTfKGePn+gjPhucNR9ysj1j6r5V+Ym/yDEv4zaH8N/mSbtNKvGGyuxbG3e6VX/zlf1j+6T//Wtk/&#10;PUXupyGewfLal18oO0NnqNebniCteVG1TVi57+n9ytSf9EfnuTeGGEUx9PgZFuLfBmtoLDBzT/20&#10;ikvnOMXvkr58ptF3kyc+ZgxPpoYJCIiYU8PGhBaya1rNDs1DV99QHhm39pA5Slts8NV/+6bNS9Wc&#10;0uzOy7uouDhP1fAz98eqG7NXL5e9e/eEa3Vb5J43guFZEjzTMupDKwMMRhgHHeIZxbVJ/Gdlhn6F&#10;xDkOPPsxyTUqqysehkUAcocBxjPlvbSSIv4joWetywzAQ1hoaVpGVmz82m//z6UHc33q0HsRTOnm&#10;mlkfLEsIVBPhrTprgmjEMGPxIwYdQlFL0+fcnblbxqZ0GZh3k2XXcptyTTJto+obWqjxKiSkhsY9&#10;DtCC6D0f/QiFx/vKRYTOPapJqLlGXiPC5Wc+MVKWiKn82i3ipbpg4JSRYyVT5vc5kF63ruBWRfuK&#10;7QimochKKsndsQ4mQeUIDOvLz0o9mvRarIMTHBLyLIenH+Ae9k0jjnF6H/BxO4vQH3JtSskZcw83&#10;iHsik4woPcS1Qxzmha+Xr3z608Qe0L6gvGBMwUBwpeCKWodpWTA6iBuGoFYpYe3bu5+UAvaJ8W0r&#10;LKlSvfLKBbRTBKhHJIR6onUbyizE0QgpH7gAAID/fzNcJ4cAAP/0SURBVI+31xcDam6+13oPFvzO&#10;zTL1MJY1hdsf0O1MHpcegg0Y7MyNi6ElawFq9a8BgpH2EmptyyWEGMI5AC+Ox5iV3oU+6IA1PXvy&#10;ZFhRo/QkVJMXSLVC9/gB3Vim/BD7sIajFvEGa4Czgp+5ByIWPWQWhfAgZl5eBu6jLi9LGQB6yZdt&#10;HhKFC+3orgqsDe/72RpOj88aN9btqSwMEA0P86f02qLwWgQK5rCIqvBtgBtJfIhrRY7raFlBs9A9&#10;NIq1sb5a528uGO7pHZi+eyBzvHr6rXLzxgVc8zMRi7VrjJbkGPEerdu5udt4CSwTx+mr6U9hbfG7&#10;axxWvh4UT/EUzB83ovmRvVTC6jG2Q0x2CAZr7H/PA3vLxu3+sjmPElPNY2ni+IkTjGWpXLt6I+4p&#10;PZ596WWUHV3+C8k7PAzxGXmVZ6MqJ75U3/OsjJJG8uCJo+XC+fNRN3YzqnRlfdehvXofsCi1cI3/&#10;Q6MBMor4tl1QaEyNq884n0qtFqeCZJDXhrGg+wgtyCoOHDxUTr3+DWLfv4qwE42Zlkso0I4mFGnz&#10;fElr4XMBZHQOmwhGGO/QmGYjbkyBb1irJ994u2wg0DZ/6m+UQdDrfasQziIpZXexphbgiijsoVCG&#10;205OLgFIbHzz09z8e7j+cXLwk2cPoGBSMR/fXQihXuKCzrNfwBJnZ45UkiznWTl1sJUEUqnRjcBv&#10;z5x/h9S0F8sUYbRA4qJM2UJv5iZ9PikQsIllnDwd7wIHMO6Xfo0ItyVox/vmvhkykY+Hd092hbKx&#10;raKjcgaf2kQhofJmhpzqHnd6UvK3LlrBWWYchIKu55BnaihN4k6PXF8V62SR94GGKsfO8SRbzXHF&#10;765r1vw1EOQXKXPCw9OdEBMJIqtS1jiGGmJ1AbrAovsX5xfK1LFErGlReb0EFgdHTeq+rySU+E+3&#10;EaXedOG8+cXfwtrAKqrw3OwSke5WfdD2NNRY02UTsQLRh9IAizloawSuG7CyLhrXKONYpNfdngef&#10;DKLR5TYLpPl/+NZqICCH6E6+vz/zK7NEUzIVEOzERogTsunLAHFOnb9Qnv0TP0Z7oeMscji9YgED&#10;GMLz3DAL9sb6q7XqswoXkxeZtI/FidY2D+HfIs64iTA0fjPIw7706/+w/Js/9b3lI8++v/zG1y8R&#10;r2BOxAm3aV+kbzyAuwooSHlQ7hgHP838pC8tAuJgCI+nHjtcZnFXztGnJ9oq6ZYQ9g7Ds3xdD67H&#10;zcXrZW3hOq7iA+XG56iUY25lNNe8iuJhEYDMQ+3FlTUkQGKF9QHBtR+07hy5bcsIopdeeSUOVWrY&#10;LfaTikIQVMrq0PKMPxw8TPeK+bulD4DUDgm79x4kdnFmNuDkH/noh4n1rUQtTOtABroUTXzEOVIT&#10;tBeG02PLGS1QUMRzAFOGsCJ7ABss3LpePv3/fhEUoUF+F0phIzw8k9ulwxBX7Mvho0dhYsPltTfe&#10;yPiyCbnujRY3dCXjGIPRme6wqUV110MOipdUlzW8BPiryjg5qap6xqy3EBYjOxfKfuJ761iM6mIK&#10;R13CfCwOIYYU1USSX+maV3FWcOqB1bLWdS/NKDyzlwy0B0OTBhVq9B0O2goXf9CoKNYEs1kCMGbH&#10;BetcH8/mfV93GxTYGzxYoWi8XPSytv8YY9/3xAfK5MNPlOXbVwAJXcPaou3VvnGUCYousNaO9yKA&#10;JoEPSwsKReN/li/bKk898WgZn8L7AshoGDRqALcqHUQObAU+BPBMVy+0G824+ew4cTUVJQcYLliv&#10;wSAfwM3VN5lWw4agOM7GOOu+tXSjHDv+RCn77pbL3/pyCEYZXz/MdpQ2JYm8vd9CjyMZ9JeKSX6p&#10;kGyXS9eulI/99F9BMZzyxCLkaPMFTQyy79HgQKvS+0fs1PPnvazFmYpKnHm7/hArtAOQeHIRvNvE&#10;4tYI+dy+QmyUKjbyvRaGiMeHkEglOqoXMZaRwalM/RmgoYD8Dj7TS/WZsYOPlKFplDqANeuLt8vy&#10;lddLz9JmOXYYy762OprHippVgdFdHBacAiUFl8G1HrAYupUTn9j4rKOXccKnTQ3SEocf+BnHK6J5&#10;HuV/h2IFm4Qh+gCatTVJ5du0k/7ywisvcVZXKR6yB34NHyMkFTFKZZ9eMfZyE2U3vE0hEPP+YZHF&#10;GlbmoMIQa5LGTBRDsSUaxN9DwvwwSvg6rur1bQuk5FdA0RSEzju4sEBIrHKUfZXiTRSJdZRWcyVt&#10;8q4nUS+Dc+up3oMgidSecmvcm0oowU6Vbco9x6dyoCsVXhjPT4VNhu+Hw4mQzFjp7ofUmmv6hakY&#10;Ck9bg/TjxosOSq5/WDo5oTBFwz3h4sgpcjBZ5Zzf0ayWWMwNXtvCleLhTA0wDVw/t1U10xAEcIgV&#10;NT59826YuUZSsdoCv98b74nA7SbuokC/wUTZRWIR9NtbSyTdHKCdPQigvQigUSyZ/ZPkKfLdQ5yv&#10;D1ex1sUmizyPm+XM732WuQGbdk5C6nXXelgCDWcbKZixrbQiXy8RciJ1+0Vt6iZFU+3V9RJCO+cv&#10;UHgZRWLu5d8vl06ReEu8Zf97joeAu3X6CpUuSAsJazL7+GX36BRE6d6oXxIAjOQyjPzH/62/Tl4U&#10;lnoAgrL1SSgtEWfheq0U/qeKoqtruyYRJ1w6rQ81t8i/QulTgzNJXKDVKNf84//Xz+d1FlyI/QtK&#10;yq0K5iHaTJ+8hxKXJMn9o8RM10H69k8dLBO2Jzp3udxG8xgODY+2W0Dy9zKONeOeHiEmLLOKNK5Q&#10;gArNoPL+4b7GUgV+G2saeV1q9goAhN0Qcx9EKYo4tjQGQx+b3ltOfun3ytkv/04ZIxYjQ1bzt3Sh&#10;nx8wz5H+gTsoSC72JrQyu3QV6xEhcvgI1jtCgcEcOvw41xDrXJkFPMNBnr8KrRgPTIYXhzcIP4k+&#10;GGn1z/hK8Kl6HmKd8mjFdZ2Dz8eDlfCaLrWOByJ+z+uaW9Q5a8lr2Bsri/tIGnUYUUAgOHHujwrb&#10;iEUQ5q+Ve5e2yh5eIwqG1bFW+jd0MzpeaYyP6HZHmbNAwyru1NDo2fNzWFpPf/CB8lf/1t+GLhTl&#10;Ua4ihZN0FoOrQBUZNvtrhUJDILpZVbajQojz0XJXEUM4xWdQRA3FbHDOrcP5hd/6n8vF0y+XQ488&#10;UYY++KEyc+ViKKprS6bANMbSZXDJXBq3kLnlNWHrKOCY29AgtL8GaG1ezwtuebwby4B8rLoiytmf&#10;elmsVuP70YUe+m9AjQAesY6Gj3zdgtR9CNVNaHLPcQT51dm0dti8ZN3qx9aprWIy9iLz9/SwDQxQ&#10;81XlCWJdQwk0KUHvRp+FKMjb7tkA8EcPs7NnWBsU6h40pT6EXnQg8p6x+bnh8pwAeqkE+XvQVV2n&#10;RmFqUfIR6YV0IoFL6cnsIR4J8PD2zbKCF0A+1Wu4AWPF6li9WLYbWLSvv0XajuqV+8kkLHIxAF80&#10;DWwuiptrTMlH/Fljc3E+KnHW8aQynW53wTb9WtwovUHIrN/mrMX9iQmikE9xnw3mvCzwks8NxTNQ&#10;BpE133r9Qjn79QtlAv704IPHcVvPUUOWvWOf7t5F2ROtb9ELY6wK6/vVlUzTUrHzPNYUEt28gr60&#10;Pnvte1bXLirapGR3xeqpNQgdjDWlnsQTrsRwp+sCWisHDxznuVoRflIhAdFUkzxidsaegpuj8erK&#10;wjIyPtEDkwLiRTNU3hcAah5NO9Oh4fhHk+J+ngNOXExm70JtQmjCjYVND6DlbKC5LXEfi5orrFZ3&#10;yKcRrSoMF4GmL98FIUJUfvLJiTKBxn93ZbtcvLNaLl1fKg9u3ymfoJpED8St8JghcX9oRAivAZyg&#10;oirgHVua53H4Ona6Y1XP9ysT++8Jb4/4Ga/TkHYQzW8NkMP4ykTZnFst48eeKwdpSLvOIZ3E4h45&#10;SA7RxdcA7wFyUuUHMZuFrPP0p1BMpuDy2Obolc98Oq1plAoPpzlYuqAj/84DyrwtCL1KgFthkgUW&#10;cB8Tc4wYCHPx9+GpqTzQfiuHzKHjEF4HhLIWqQ2Zu9WYU/B3FRx+8YBEsFrrm3+PPvIYBxwGDBPd&#10;Yk2HZifL6F3yItFK37lwufyZP/uzWPkTWQhAS0qUcU3ultQiFUhsNgdwzfwwnh7aH/c3ZzBWg/d6&#10;GeMgcnLbsQYcEIg/cHO0DbwYt4lFoWQY/woXFiCaYXKtwt3NBDnw/dDitqFzaS8OCe5GSnuZrtEH&#10;7Tx+8v+DdwHrwC3AIjvCHm5o/sWe5m50NJVg+ikjY50kfalWxTL+TDBD/qsgmxps9Idf8rVwxteY&#10;oqQVgrbdMFzXeUIjtb0qKXGdSpnj5k2NR2+51TdaDpLr+aM710v/woUIG7xDvPilHfLp6MYxBNp8&#10;BRfaOlawbv8V2lV1CmTHmFKDXgMU8oV/8vfKEu9bj9PhCGJatjF3PaMhgCdGwuozJSBdhx7hBO74&#10;pUdAV2y/mIBQ/hBanOMlQBjToFaXL83CC1BwUFxHuc7KI2uCami6vGNH41Tz63p2jkLcO2Liu0I2&#10;0Qyd8/YlkLaij6M6TWMwsY6Z45YuTwVX7YARr3VEcLgFLQ0ZICMb8vLTGGk/kN+1eRRlFGER3Q24&#10;kztjBRtDHxlaUfgub95BcILcHKD4h3vIfa6ffZO10spCCaRdz3PHJspXYIZr5EcPE/7Y1M2KULQZ&#10;gtZgHyALUdeRmiWNVQFpDmysN/OK9GZ5bYyDtQ8rKb1MIRQ9s7pS+cxt9n0VMJuu/G3zvkHG3rt3&#10;O94zBEMSUjl/5nwAV6KNGK7T4SH2EB67ylnuRcCPD1FBCwIWcCMNpqKcFm32MAz0Xvyd9Wzh3iJ0&#10;OXsCkhgM/JbwhuGr3rXy+VuM7xYgK5WlyGjQ6wGISS8Yz1mjkXfVv8sFGne7x4sU/3COGkoK3lCc&#10;pZvYg8aTk561+Cf3HmfOm2Vp5mae46CpWNAcbwV/iVQPkzxYv5pjO4jeKg6fanjVVMK1ItpqrRw5&#10;dCC0mHO4HGdYZBGZSwRd+y/fiKB54xypAWt16koYAAk2C3ABgqEDeULmcqOj1JQMNlyTqaWFazXM&#10;fibOMKLqAZbDBi1JMMC5BhcW6xuYGBPRuXbbfJTI+UlhoqWpNnQXpOILV0BGzS+BSN0u+0DQPntk&#10;b3nPMeJs579JzT4sOFySvXQt1+qzO3OQmWNKdlyFdZtZ/u3YO+N0fL7Nod9BIJl0K9PRVWS6gYK4&#10;h4Ny8dKL5crtWwgVAEzE09TQdqhH6pyHQKGp6bSuH2niswIqBSgDyrwN0HCnvoE7ERenDCss8co4&#10;QohWxuZQWkHl1JySa6ZQN3UDBcVcHohuAJd0IIsfnCh7VvAGsJfJ+ILzVE6Uc1c9sb6pGpfELgH2&#10;qxWrA+zH9QyCdOMOqRU33iijSBZz5GTyn/vFvxuMaoGuAV5sXFiNvbOiPMs4TLima+3UZIhNQPgx&#10;DwEMSoNFhB9xIGl3nUINBw5TMu7MTFgfprXEcZC+7RbMARestET+koCe0ZHxONCi+VwDNUUZ+wCu&#10;wk/8zL8DnJzWTVbGMKYr8m35bll947MVbJbW6gooPufj+gSLjXE2Hh6UkIJYq93jVYVmEkky4Ngq&#10;36iC1RdSIOb79dLO9U0y5F6ytrikpkCCV0kUBQzG3/uJMvjcJ4lZzQUdDTL+lbdPlrdeebvsp+j1&#10;BpB/rTDj5r2guwtek3u4ylr/xBgShLZMfPfUndtRWHue3xsIp9NGLimK+G4ymGbttnhhKLd1EwJ4&#10;htKyw716SQjfYn2hPFy6oCZFMLL2b772epwXz+vew8fL6MP7QUszztu4zc0rq2vrT2nW/VIRF8QV&#10;DK7Sa1TTAZVkOoDeHpP0E+1atZAkqAwZddY4AhW53vGczB3Ws7IDb5EbqXjvwLwG8BqwWnG/yFvl&#10;eR/4ro+XiRNPl2997bPl7uUz4VnKwhO6OPvDTb+Dsija933PfqD83L/2r4Ew3VcOUbx8Pyjxn/t3&#10;/0Z58dZKOfZBqmcduIZSiHU5jHsTr8a1N5/AupyG5hithoXKGVOOjAK8HNEMFjPUrhl7jHPj2ryG&#10;wJa/mmTfQ5lHq/lsETM3bWue89cD6lMLftsQlNaOawet9KGw2qVjbm45emzuQ2n2PB3Rk4IL+dU3&#10;b5Sn3vtoeeAgzwADMUc4RGU84/nk+nLG5ufnMuVCTqNwEowYBkWXN7UuMk0w3Q6FsO1PZQnt/MiH&#10;Y2MiYomFKMY7i8SElR735f7UaRNNGqCnmgfdunKIcjf1y/xWc0eDL2rMyatrKkbkBfKF+9TAqONR&#10;VU+TvH0lkisZX/bCQhOBEEcRKN7sa1//evnyC6+Faa77oVUy0K2m60pBmdVyzH8kyM0uLnEwZE47&#10;W7wfpVeTWFuh636CuCK+vIfELZAm8nW4j1bUoQceK0vzqwTm70b19UUqIQwQ1DFp/PGHmLjlkDYe&#10;4qAdDLINGg83j4x2uxxB4zoy3kd/u74yhuDSQn/hjXP0wJvCr53xxmU0kEigjwXLrYj4RTvkuT/5&#10;etU0/Nvn9AnnRnHQsunlef1oQ2rHPAoX3UMkwD5Q/qMfPVGu4zKdg3juUjBgefl6OTt/C+GJCc/6&#10;JiFVZskPhcQ4uVdHnnouqtrcPv9ixl7RXAcD6WnuZJcJN6skbhFj3a01pYCJQuR24BCNqKsN4SLC&#10;cBMteLnGXSYBoSyC/o1CyJVbOEeD7snkidFVDd5k6XWUirs3v1oGickO458fvkGaCHt8/LnvL+sk&#10;Lc9eu4qrRqvC0nOJQnMMjfWHkNAqNKcJS6dZCLtFcsQYROGhbfb1c/AERpjLhkt/VQvbda/7lJ9j&#10;TxV8doQYnAZRaO6cXgRSZNCgD33/nzfYBaOzBBku9wtvlCsgH/eTIhTlorjXBK7FnqW7xO8yViZw&#10;S1rfxDWXY04yjiWq3uuIAaXeVKdRUaJBkPW1+nvUgnWk9ehJcw256vjzHilgGtuIv1j7qCMaVqxn&#10;zSPMuM4DIiKndQFrMGKu3PcuqObh6edKz/RD5R5grwPveawMTFyk/ujXyvATpGVZ5/MaQjQ65agM&#10;RjaBbCOqSumm1ivTYnv370lXeLdOKvF+ZWSGA9wz++xh1gZj6yN1Z2dmocyiQBk7XF+kHBioVYWc&#10;9V+XSZAfvKBbFpdkB0CRsw/rFKvzqe/6/sjvvPDyl9nj2vJJ5CmLZ4x7hRi0lqBrkB6NusDKxM5Z&#10;jpXv0KDCL2P4NiognDA9TZpORmyiOp+eHFx9/SbI9xAHM/aFUru8MVd6F06WI8f2kuP9TCTfm8ak&#10;lTSMoi0/2EKgacE9ePwgOcmCkC6VszPnyqmTVs+h5+biO6Xn9Gw5MXLeZEhQ0KTQQIOL554sQ6BS&#10;gcoxJuYpsEMEe+AbMvVJQ8WWf/ewKve9/3vLnY/8bJaw8+jjORgYmyrHjj5WVliD9Z1ZJiOgUDRo&#10;ZWaxBvY1RMkAF+DZnCS+vodOPcePHwlPy3VSrfQCXsO1fukkY0Pw6TL2Z3RjUZGQ1zYrLXhk+/KA&#10;tBMpY8p3mhwMZbLysHosqj5c9zx2qFmkCsIIMNSbp3EypOKl4iKv10UfxULS42d4cIkelio6gxZj&#10;CXe5+e9ZbtGwSeZfhtcsR24+4IBulSUWWSnvUyJwwQCIySVmX1NSm3u9/Oqvfxo4+6FwhRjcj1wi&#10;+96pWes/ouYopB6VA8KSIE8uq7jzdxwYmAtCMwi+JsJbzLcXJMEgPmetzSzwa/qFgjUbZh4+Sm3A&#10;gwPllTfIg9JFS9zHpFmjZ3N3LsakHbNB4Yj58W+rCgXnNMtY7+r+mMOLi3UwR1LzlStX6OS+UxZw&#10;NY5P7kU72hcWQEM3Bv8J92MGlONgBqS8Hqh6piL5HC3t3j3jZMyVw04MGSAJhY6mxstP/Bv/Rnn0&#10;6edxCVpJnwNLjFYg0AKAmf/0//kL5aWz18rk8b1RwUVrcMtYh4hJ5m4dSrzOpHbiUmGOxhbjIMhA&#10;W/CpQ4CVFCvFJQOtFKpAlCZN8ga1tQngQ4i9uU33EGr3qF+5EbET84nQ5SG+QawqGVHEW9jDj/zI&#10;ny7TDz9T3vnqZ8t1kmYVbKIeZ2hbtHn9Dapg6DYBpIE1sLXCYfrmZ1E6yEO1MITVNIgRrsD0AqVW&#10;fYitWoUMTIUoiqZX4dFBsrn6xpLNVzWeghIjwKufmMQ2+V5b/biTpSXjwGquEjquZmPMVkIyL1CL&#10;JFKLVGBIkRmZJeeOZ82R12qJuoeJUU/eegMmBM1ZPL52K4i6tdUNrcRYBDloTEwX225smeeqGreR&#10;EuBXpDPFgU4nW/hHAjhRnbEeyvAIpFcmyLXRVFW7Ev1brcemt2ot83DTFUYnpnm/lmsknaQXATdh&#10;+SqeaN3Rp/aOl1uzZwsVwss+Yt6WnLt2/ka4p3fOIQS3DFHUKh+MI0v/paC1KHa2B2NQjZk1XlrH&#10;0phfxMD451kPhTEsuIw5T1B6cd3uMwA/tOL6FlF+OSCEOSkaTo1j6E5lTYTyBJ6L6b0wYxZ0TXRh&#10;1G2tCFgVFRCV4xOMm/08cIj7El+SX4g+FZCipYbeWx6mtN0FWrLdJnwRRaVj3LocG0duAnG3utFl&#10;3gEKQYAHghkaGkAAzt65Ugb0ZLD2q1hc1kYWdPXM0ZHy4tW3ypC5z+Ywsi/rorTD25BxNe/8xa99&#10;vXzhS1/OEoCOBfqbAOU5WD5X7n5uo3z5C6ZfGObQ0uXcj77O2iQCtRcXc+QDi5bl/R5idOY0e7wP&#10;HD9cbl29WN788h+Usff9xWglJVy2t9c2UyOgtFeitu42sctblykmThlIKwsJIrLqj0qPwu1rV2m5&#10;hWdteninXL56hYLgFlBJgJt7twawxTSMqM2Kt6FqzDG7EIjNXdLhR012qeB1xeS7325kfZ/xUS/a&#10;/V4qXvlGKDfxt3FPjA/42IB4gNobM8BjCkUUaHyNcbC63Xr0vhmOyXzmwFfw1d+KVVsTdJhqCpu4&#10;FrdMR9AlFMERH4rEJX6lBq6/dgF36aMf+2j5t/+vP19jgJxOK6DABloLmOzhlvFCgSzGfWxrc8+q&#10;Aya5mrfmgQlmm9+J70z025ZaFh/eZDNmQAUO9GN1waT+1//2/4aWtlAOUqVBdAYiyNLn5Q6uxK+/&#10;8Epdqa5WkS+kVp0kWUkz5uKhxYoltWQRAbSFT+LZE3sRkLQ/wdWwhRs2W6OkWS102ztEaTddDRBp&#10;Al0khIyzrQCjjmcJTrJCEPceY0MWZhfK//U/+69xIVMDE/N/GdfbBCkMxgRNEL8ys4afHoDP/HWq&#10;3oyVT3ziA+WrX3613Jzl0CG4tmB4d29T+QR3qc9VSFlQW1dKU2xipt+R6JqQTNmoVJTIB0B3Hhw9&#10;iELEoUEp2Fzk0AT7BgzD/Q+QqzgD8tP4yjoxwgUE2b5Dx8tzzzxLLhSxwSeeiRiQh2kcN8vBEw+V&#10;mf5lYqiUqtqYISXjMDUn75QDwMUH8BQYl1nfsNYsRQ+ILaq4tOE6Hw/7gQOHeM5CuXnrRg2IpzBv&#10;O6dVPAJTH4I5RWcXW5OroVrdxlJ3pHJsosAZv1lXueMcbNjlAIDU0q07gADTZR8V4lj701//HPHI&#10;pIrnj02Wv/A9D8GQD4SiEJYF16+b3B4ttNKd7t6v6rbmQw1U06yLqGnKvZq16i0UnKZT1Kh9arwh&#10;JB1E14UXziDlTpx294prPFpaKkG2/p33iXwsr+c1gW9DWzBumb45meG6E1ru/6wx2l+mudFPTuHh&#10;wbugW+wWsP/zl28R16ODAAhJgu2RO6b7NSo4AUhSCErfglWsketgcr92CZKqa0l3Kig/+iOfLKdP&#10;nyxnT5+J8EAi0tkHkK9bxK96tdKJVQqFUIHpsRkE7w9FaMSC9SpegN6ovrIOXQW6kWstJh7MMLR5&#10;Os4AFDlDPm7EwfQccJVCQ1SzjHIaz8oU6NltwhL7UEiNkZvP3JSTXSZMzCfu61yqkpYnxk1wTa0R&#10;DO/SS6DCBsFE7WcY5NFHHof/0JlkZ6R87vc+XXpo4XYMV2r0S9XbZOk4exuyN1YO67X6i/tk0ZPA&#10;Y1ijGOUzYuB6R/G6VeUrytHJhJ13gIhwqUauYlYa2rHYShTr0P2s1QNPEDHb+05UF+qxRRcAwh4s&#10;xW147/ilL8JjEMBYSp/7jX8c62res5gE44UjgNdmSOX5gzeuA+IbIxxGTBYBH115VOgivJU5pSI1&#10;e6lBfV/oLpasq1DEEu7++qPlYVz1xwnM+24T69H9irrZfItUNvyxRmgu9oewyTB8KhXpTL8JrwV0&#10;ptdSAJvnM4wn/k7ENMurJSJwwar6a7cMuPoh4akMMhq6OlE2AO0gRA2JrKGRwiQ+909+HYYiOjNL&#10;Hg2xCXYkMJ1BSyRa0/De+DR5PvhwFsm58cEBoZdgEBrWTXRTovMCK+zEhvdMEXeAgHjmNIRz6AAW&#10;jYnkWITWaV2l8r/lpXTveIA3desy4EDUybiqGrE7CF519br4SfBqRSoFEpSyxa7pIjvvEUz+qb/5&#10;H1MKiea/EF3r9iDsWSao2zZMbw+83wpNNJMtFnxLBozmtR6V+BX6tbQYC7lMLU39+FaAGZOoubZf&#10;JsG/E1au5wBPcJhvXzpbPvvbvxFCes8xqkdooVtLVKRbVOFg9ATke3BB27ohYpp5hOtXEyG7/u4Q&#10;ZDI0CUFtzzykJ44dQpMmdmRlFN4WhdrL2NZunCzrd+9QLaIBV3rKMoXSv/H5a6EshIscgrOLyT0q&#10;8tw49WKMYQ2L5A5C3wOSHSKwiFEEdu4lY9PyF/adTXfR8LTe+JwkCc/AzXOwXNXVGtZ5zip5cXUh&#10;sqa2r5lAgK5Q5WaSzgLzi1h6Ws4Iuocee5w82v3QG+5D1l2ggIfC3MqL504HMlnrepM9+/E/9WfK&#10;A6SQrBBDnUZJ2J4aKjOCRGYvlZE5y82Rywijy8Lw2+XMuVejksgQXpHBqmiFi7MutT/jWwHGz2bJ&#10;62YzzSNdRNXL0IRdOGD8I+NEYfhXD3q7X3d3RaLmw9IdmGXwLpFyYS7de9/7Me6h6znR2tE149hT&#10;ZYt4l+fBqjxazCM86EfGnyif+tSnSMbuL0eeexwS3ixzly6V+etXo8h+xOMpdN1Lvm+AvxJpt2um&#10;+Xvn/zzzjVepNUoJyEc+/EMd4EII8xDUIFIVMKbGyJTYbJmTYChTZwJIGchArEWQ6VuRRoGFE6XE&#10;ECx6BWTg3EOLR5esnW/0KvRbHIPEdcuLiUB86Pj+KBrwf/nrf67cPXM2gD4h0JvHZNdZUakNp1gY&#10;ADnFuNY11G28vABCHAAe3TB2tMgjhUqrcbg8+8GPkP5FJwbc1ecptv2BTz5VHvvQswFeErlubWJl&#10;iij7xTvXw/tjWkF8m34k+AWhuEQMTwUkykbC98QPRIUVlSw9HvIJXreTiS7c1njaThNagypxQ8SG&#10;CyAz4+x9eDHMO+6xLnN0KJoof+LH/1x5/MknIuVFZLye4BS8Isl7EJYj5bMvfKNsfPOcFQbjGYHK&#10;rQZOWOrw3UBySsvvUsC7ClNncSud/kukoefnX3ZJozp5gHsU8kIMbyqgjtX2eRP7TpTNib1ZYi+y&#10;A3IfVSgEPm1H70+sQz4zYK5wzF3vlNckDqHfwqm9xNkGAK+El1Z/tUXFEELZJTyohc1ik2TyVEhX&#10;kKwQqH/lK69HQ94NqtF4ENXQWsPPdlQkOBGFHpx1C1bHYW56mBqaJyGyb0J7H7HwM9aoAeIBBKOR&#10;xxmY29QTaGln7lKt6AYd6UFTGefiU326gqiCEsQULpsIG/+xX/fJB683F4+DpUa0cnMJJmt7Kw6C&#10;BZU9xEL7PcR2tsbt6dzCagxtz7QCUJbM0eB4j24KtWpzuZibSadaNZG4Hp5tBLvxOzSxsC7ixGSu&#10;os+fnJ4sX//0vyi/8LUvlDFcSCcee6xMHHkk8r+EQa/h71+8cqmQPlbGHqNN1Wmq6ltZPLKp2leX&#10;RbvUpowE+lJXdXCxVFrGsNYuX7laLp07U777z/+b5SidR4wXKkgiP4vtd96DHJYsk5oQfJ8UFVo8&#10;0Lq5jUEJj9blE+XaEu3qZkSpKz4reMlqRhHvUbArfAERrCNcVogzT++bjGf9r//5v4/Scy2UJy2P&#10;GHfVDINupEFdR4KUrLVosjMabi8B9GisrKue5R+nqsfwwGRyt549Ul3cZ5lWP2cvkLc5ZB7pTnn0&#10;QF/5xFNj5c6MSFcFhvQ6VMbZ+xH73ZmGBBWKdBaA8M3z81i+PeW43XsltobfaC7PWF6eWS3AWO40&#10;+zpyLT4W7tO0ArPaDf81U1Je2C5P/lPdfcmwUy4lOE656MGeBa146tZqeeqp9bJvej8KQJ4JQy/9&#10;5AFuXUfIGa82fKE7Dyj65KVz0Nt+SrF9kBSW8XKXJP5VYnNbKG9Te0aispDK69iTB8rWBcqb3Zmv&#10;QqUrqnPgOUgZk6jFD//Uz5af/j/+3+ERuF2dB/mxAbSwI7zCtna+cA6Za5pJ5gPEx1Zg5tZ37dOb&#10;xGci2Zv3IkdOdKUQeizOHdziO4Qp1ikGssRcN0QxXqBXKVetkVry+hcJ1xCXnkNZgICTt5n+FUNt&#10;gj0ZeyTyo1Bola4vE47p0BvuNcvMcf2WMUti08ZYtwAIuO6LCMvP/uO/E0qdytsQaQ3Xz5wpV/72&#10;fxco0DX4VoSEuO82SqZhqUCJ1thm8DwVeYsgROegurkqEZ2NTiU/PHfyENvGaWGLllSR4FyZfO76&#10;jO4np5D87E3jaYJR+vfql46CAziny9H3f6w8+IH3c97mEJbgHlDCBwFd9WqR8/ghzPYvv/xqhE02&#10;R6yNi0Il5qCumWMaENDTuxqI5m//+nbJ9i+z/v5l739nRl5jl1V7kbam4V0jePhmLn8r5FMUvJBX&#10;mStuCCpCeAOAmvaV9z7yCB48UlCqUh9LvWs+/cNjSn7cOyZoximVYUmoagp1owL4oTuUxdrArcLm&#10;RA5R/ypCDAa/jWusJrFnID412BaxjrqawZyrTp1qWMy3LYo/BTCIgtwx3hT9z9B4QFz1o7YceIr4&#10;5UldOrqxiKlZ4NteiIJDag5jsyS+40JWzb3OqO5zHo5I96BOZB+HVg3D+hxf+NVfB05NjiTMPl1K&#10;lrGjyDSxpExh6X4NIciHsXgXYRpNGLRz5+fUaptbwYUdpX5nPwJ/y/wj5j1qjgyEuIDLahJmtDxD&#10;RRGra+DSOPPFfx4b5oaKnjLUY0dwHCkIEYSQxbRFkVmgedegIkbHtZHsGjlZFi/OJPc4cDx7k7lp&#10;CQ7g+nz8+afC1WsczlhnfJj7q7Fukpck83JnrToUNSKNSVIdZmkRJsqK9U/vCwsn6m7yPQDjyHY5&#10;WS+XZnFY+QRFo+MI4xXpCbzfJgFjeAA2KUF3j3jsIFbnggqPewpBh1vaakbG2lxymSv32wRZOXP3&#10;eukFBLMjiCvAWFnP8Ow7pwEvnIq/dXWnBSCIoB9319Plo+/9gXLhxc+SujFbZl/5IpVDvoigBrDT&#10;T3FhlZ9aj3ZTl6yJQOF22yg3b14sZ+5ShJjixRUwGspMA9dIF2Gzy8R8WWGmolgZXFiPylLj0fEv&#10;JV+gh8OFl3HHiCvWe4RAzJdy/ruuqe8EKEbGOYuCMUNptEPH0Jb1Llidx8/j+u6jRuy2IQGYfChr&#10;tlu7dZc6r8+V6UfeHwrGgZ3p8tBTnyxXqfN55yXqlwIW6e2dpgsKnRWwyraJ4a0vzTQzqnsAYmxa&#10;/Sh80Ok8Lvd//J//hxFnFuwSTFoaYIxaoWu1CH8rDWjKhmdCi/AuVW1i8Vw3rQL3W8EVXiC3XwVd&#10;fAOhE2LUKoOGdiJGaaMCJjwze6sc+uiJMnhqljZLoN5hgI4t0jHCHZvCJ9YVofWR76WLzMPvLXfo&#10;APLy7/6TqBsbsSOeNYziaMw24qt8bgWPCjGnKJrgZlqPNdILgkayspINj32WYagg2QilWNzfeGt6&#10;EBrmp2myvbUBb6WEyl/qgVYg5qdS4ao8OpqyM5ZwA6LBLFyZSz5tDN2OPgAKScItIzQO6KFW8Kbx&#10;zsNU0uHMWi4R4C88zvh7hhQ2wTH0TR0vH/6IlakGo1uJoa/01uT50zKfOvRgeeO1FyJlJxP3u3x8&#10;N1H8Udbf/z+CcPdn2u9uwYatrNinqVAOt8hfhI/Emuh2ZoIaZdHxaQjFez9eohUMgSvEq6dYIosx&#10;ZPhKV7587WFKHvYv3HiptkwxkIsLAq2qH7SU1R9w9CtCw9V2D3eGhLR8czYY5CCuxXUSBLUEBtGi&#10;tXKyR51aTdbJ7Li7TJYOZpm5Vg04ERpraJmZ/xUuDDZp0CRO42YSFPfrn6ef1wu3YE+ZBGxu24pw&#10;fOcdlkTs2R/7lduawqz9jN9CeLggMiw0VFxJCgEis/Q/xFqiAkWY3ZWxDaIN5h08uJlUvY0LcwkG&#10;30eAN4gnOGKq/1tYMBYWCBOef0Mwn/XB7TJ/7Vwk5Q7QymWLOoarMwi6J+n7iFv0+iv0phMq78qw&#10;plbSWNwhYZZn2RkiOpvPocmR87hJJQhjMtHN28NRQUXux9TUZPnQn/hJhMZ0Of3VL5TzlKYKOHLE&#10;cbOPo3s5hrD4F3/3F2idRcUI3ttE09ZtYq3CZdCxKkxt5cIlzWeGUQSGAEDMU5g4FLa232GZVQ04&#10;GEVe73KpOPRgUW9gUUtT0cOQ9ZnncO19DEvxOkg7lmocd+We409iidMZhHZZC7cu1Zy33CsFqmCZ&#10;TcuyUf1ngBiCHRE8vCpIjj2SlTs8JRWEZeLUt0GWTuId2TsxSgF4NHk8HBP7qL7DPm+tzwHHNt1j&#10;KujChrwKm37OwTpWwvwsLW4YcrK6ZF9BCUHzyRjq9POd0J6S+YZTUKbudWEeJu1F3mEQZI0zhis1&#10;FZcYvpcqSP1DuVKJPd6XEdSdcYF1UCzcvYlbXk1esJRnir22/2m/MSaYRcAos/7vMYAZE1cXy9u/&#10;8Qtlgl53VggRcRldNFjDNWKVvbdZBcoS9ooIpYm2BRCyf2rmp0ZcF0/HJALqe/7UXysvfe0zUYHo&#10;yhniWiz67O0bqRi5XtXST0BRrmBTCtaxToPe41BXRUGhE7mOST+uaTTF1l0KvY9wdlZmbkdd4XvD&#10;lDJjn4YoEDDOPMcPnCi9Fxk7lZ2saDPgNZwJhX8k6YcFagrUVLl06Uy5d/N8CLODDz+cJRQRCDYL&#10;WNcCdY3hRyOc73mKa0eDc/55jn74h/5EuTlPrjSW2c0rZ7EobTfHOBDw90aJ92LRBraiw6IqzTjZ&#10;2MtKpMG/Yob1Z6WwOFwRPU6rkj+1yIP2xDVUlLwJ6D14MKJJxCLenqUFKgQRY3/pl8rAtS+W9z7+&#10;eDm3dqSc+9LbpCVRtk33LZ8PMBp3a220DoELOPKgymy6bkNHC1oLtS0tMAj2nbc0pnRd5rh3f/1x&#10;uIZuHen7PvId/0j6+nY3rRfLu8YwZPbBS808GNycLSMYCx87OkGJwhHoeTQast/Etf25V98JpcnY&#10;u3t+9vzFskOd6VjVOvRuAATBP4zGeA10loACJabMO+D6kfRsRfvUbSInDG1GZGTUC4S5LlsKSbMU&#10;uG9UQJVgG0JTbVeggBML+Gye4KjzWdlJsoQclYs/QDeGHeJmKwgGcxCHIKZh3JHrIAv7HqGXxmx2&#10;l7YskJXyJnl/EyJdwcKKKincKmKTjRvuWupd5Bevtm1MaHZqXPqawv0rGq4ezDEgyfO3bHWTnSW6&#10;IQnGXhGEUfWnziHuGzyve5gTHOD9paJk0DbNuoc1tcVa2puuHya9cxEtxgLMkXOZnUAmKHb72JOP&#10;lzcuXCd2LpItEbx76XDQx2dkvAsknofrnNtbrzPSY2QawMlv3zgTPcvsADF99Fj0FVORCACGAlpI&#10;P9rtwq3bZf7u3RBgKxW6HMzJQ2eeX+cr6WELq2SD2GukR3ynr6omhhLC4CKVAca5TtFtSjPCZIkH&#10;IWF6BHhN0jbrGVzEM5co6kEn833kj37P91ITkfZhr3yDmrAXPAZJJ+ztCC7T5bu3AI3Y/Jbef1RA&#10;6cXCxCMURQT8al7NYChaGrwmFlOr5dzpU7GfSygryxukCnBYgpmpHCEUI6dNKzzAUzZ5xvqgx6aJ&#10;zD5ft3IKrGTqSUyVokJBcC8qw3cN490UjvFbyMq0Gi3+HpemjEzBWoVFvbyxzfhsvl8t0vZYPqcX&#10;3hvaUeHWpTcBdVBOEUXWOGoAw4Trgxo3HSUEtTTAjf4kNWWtLHV9tbf8kwuk4+C+3E+MNr0KFC44&#10;8hA4kr14UoDorx0m8fk2fMECzFhLIElVyLZJUZg4cKxcpVTZKl1WBNNFyzXigWNT+6kkc6cqNXWS&#10;KQ7rV1udKvjbut5HU3UtO58y9oa7O1KFrLNqs+bsn2ko5B49Jm++8E64jkWvD8McR7ES1kmBEvNg&#10;dalEIFI3F9d7D/MZw3Kwy45FDUJ5UWiqIHJedNWbi7eEwhHiyApRuELX4JfvPz5WPvxDD+EqnS3/&#10;9acul9dvENuy8DbC1J6cpJ13aaO5Tat7vUM3lWaSQSc+IIVoiKT42/8rhFQm9TxtmVtriIlmwWIa&#10;BvkwjjuKl6B0mp8IKK+sfRkX+WfK4f0T5dyp18rVy2dDmGTZtnQphgAL4ZNPSW9FHVAdQYwnFLik&#10;WS+2UEOMIwgvv/54C7AJt/sF6H3bXO/RBGGzUN99TfMw/Ns/8SOECx6n/CHKNp5FgVZRNMb4P3Jo&#10;GN756c9/pmy++GbMT3CjZ1jFrxvCa+vs7HNs/Vdv30ZDhMkh7ExwlNCM/U1T1Ppf/yt/CY0Slwa1&#10;8owxzYI6PbB3X/nN3/ndANhoXkfDykFLkyWyK8rFxcq1o1vJ33UO+m9aU3KWUB75n2kTarp7KTi9&#10;SdqB9e1sErpKftVB2Nn2SVwvc9qKuDs+8QPlwUefl+KZ6EK5doaWQRDlLVwb8yDlNiLxu6OD1R2r&#10;z6+vNz6WY1IAbZfH3/882mB/uX7hdQ4L6SkgRieBkYdPv2ktSTpVmHc3OPX87lfcNhhiJeyo4I/f&#10;HyCNneCjzJ6xVAPk1BdcpvbkGjlbWwch2pvshcKf9waoCfqnfugD5WcQYq7J22cul1/45d8sWzQb&#10;fuCJB0Jj7yddYxOU6hz96uZpYBxzZx5TQ7Te4TljAEhscTM4OVZWWR8trWWswhWYg/U1tQrWa1f5&#10;cWJM9kIMjX0XE9pNmHFYFZZxiv8IIo9T1g60Wq1B+yj3nwccQevBNEetF6v3xpfO48qyjiktezh+&#10;J996IUrDrRM/OvZdHwoQyAZEvXjjRlkmJiL82rgu6hmxnRlAOgkZ9zsSiY0vV+UoRlIFkXHEDz18&#10;jAojCqO+8uAhlB4Eor9HHpqfNy2EUMHs7buRL2cLnkVqwwrW6AGUZvinKUFOJn0AMpNkLtUwrsIx&#10;75nXdWnn/lXLdUorvAnc7uoHWKettPdpmnsVkCHkuEYDVMZw/SrMD6VlL8XAjz3wUCCcdR8GkMO1&#10;53xuTBwFpTtc9gdwAisez8iff5LThbX05uVr5eTFyzGeO1RdevwJXOsoKqZFzOBi3ARIdvuCnRII&#10;c0TRDbxKuCjv4WrUQkImxflRARrGvW0cd5cJHTPprp+/dVSYd5/aeo4bu2prQz1ZzkzUMfZeeB8s&#10;Lj3Ga8MAShY3r+COhXcowmI/ERrkVs9hFS/BIyKFic+q6IvmXp5FyNPBIxGoWa9YRVdQhgpjuOJY&#10;nx20u3FimKMYC9LvCsrY/Dd+s+wjxctyY3sIzW330sWCUQdYLTwsTVik8M+/O/+rGlMywgag6hYV&#10;yHVqseMA9xgjRmnuN1XREnTsieXn1kXCG7cnBrZu2bRvUZXJ2r+giueW18ssVtQC+IGuwKsnujKt&#10;5FVdqmz8MQ5rVXBj7JVpC9BzXeDM9UZ/tLD73+Iu3W0Z/nGf0206tnOrPIziMdN3kNjywbI9QsF5&#10;5JUWPho7btKz5Z///pej3mpkPNRvp9l2IxWPthb5O8n7uAUgZJtQ6gIYA1QxD9T/EAzniSk7KLPI&#10;xLesGL++jssM3+zvcLSWtYSC0chJ/CWFWz3eHcKvVN1Z7q70z4OcfEsiTfCKrspxKl4sA57x8PVj&#10;TV2eHi17eO44lVYW1QaXroCUzQD2CMLikYcOlTffng+XyrD1FelqJ1He99WVzfdvfd1LLSJjHTbX&#10;1VUiIzHQvEweY2r51f0Tw22CvRJ5Tj+ZXr3fbn0vJsp/WjEbIJ0mqAa0skqrKlxGI8x1kJjY5vat&#10;sgfNdP4mOUJofqO4s77rox8LtO0aAI+pcdC9cL0Te/rKj/3oj0Td07F9xNNEcO47UBZh4Bs0VFXg&#10;runuZZ0mDu9nLsDb7Z/m2mIlaZ2t2v0cwRdxUrUmgUS4kTaIL46QVCwwKBCbodw0AdDZrJxpJaz2&#10;/v2L3Rh6tdJYWxNmwy0lf+HDO7ioBXfoaDfO1Uu5ux16aPZQAHkK6/wRguFq83MIwbRssEwZ1woW&#10;p4jVddZMIEcP9xxB0VgjX3UnkCHphk8626Wo1FNgVY7nv/sny/d8/BOR9D4+c6pM33w1VZeqNQci&#10;jfj275A3+uLFjXKCtlQHabYaZb9Ykib0usepCbXG8PKa9n4ynIz7VUfiLoGd402hl58I5tRy6WIu&#10;VSp2Vay4Jj7j2qjds66B3uT3bZj3F1GsTrC/3//9DyZcP7TjdPu558tPfLwsPfyxAJ/ojjvC3Z7h&#10;OUPWtvylXyrfOnk6XJH2/Iy4mZ4fBOgG4Izr77wWMWy/tKYEirm3y8a6fV23p8oNbvhhmSfekJ1a&#10;oWi39t9hvM68CvbYtjguqWDkmnREaIpT/lujQPU0fVlV9Db53Y7LEweIGaHsTQs6wWLbcOH53epM&#10;W+YKU5pyCOY5jKDQE2ZMv5fCDea27fB56zkPTZsDSxgJujz4dCZ925Nxx8o5rjPhinUKbVh0/xJt&#10;o2ZWqeYlmhb3x/gw1viC6NDM12su4dzW3T6xyjcqv+j8Fb90PQqNHnYXFHC91+lQYQUmgYmb8OFh&#10;4rE2QN8ADNnHe5Zve34PYRXmds3SlwsUcmBvIozRiLIrFerYvrObMuVheoc6c+BFldImK/844fXt&#10;73X38t0843+L8NTVf+fKjTJ0YKGMEb4aQRFAEwJANwFtUi4Pd+pXvnEdpY48VsJIooDFjrSSgO8S&#10;/7nu9cV+3S02XR1ikddwo5hs+oOf/N7ysY99jMokT0XsZsIaeAiMfloqCXBZk5gMH8LIejl8zTuY&#10;Ui5jhyEkK0vtHPVqWYSlVdcm5UVCgtWJ1LhWYUibtkSiBNLwktUasP6ot7iJW0/3wauvvVXefEMX&#10;WMYuFQICZffiLnQeqzBcU0SWdXf5LxhLjqd5VpNlyrTT5fpdzz5Vrt46W25CPBMHsU0NQAu0ARmZ&#10;wfmWoyXjy8B0crBkYIHrbHOq845r6koHMzKnkQGMYw33XlwoI0dpizRzHYVjT5k3tWSc8cPwB+kq&#10;HsjByJMs5TNnjJua2pA9LsepREG0gqa71Erlfta+PESpKGN0rau9LnCtv1deerXcsO4qaQf94we5&#10;FqZFp4TeXoSxwq8fy5GHOH4t7DXAFQFOUXONCdVJpW+v0vFuRtU94CGE4rJmOeXemspAlC/WdY32&#10;UCGc0eiHycdcJXfwgAnwl9fKHLfa4toBLMopYni6ecZxEQcj1d0F6riX9BGliIxcjd8KRlevXivf&#10;euVVwpMZJ4rYdN3fGOkuhiuycf36m+XYbWiZohRjK3T1GLBPqBzeD1l9ZZBSdLfLl87Mlc8RU/uL&#10;xFiOA/baUChyw9CNK0GFB6HymuYibSCKuGddwfDWtc9J6QzScUaPxio1A4mdFwVdNboNpUCwUIyv&#10;+imq98Kra5JO0jbfwuntPvQGCfzOw0R3034yrq/MYt0uf61Mzp/KJsuC1wIABPhpkzN25Xqkbuyl&#10;ytOH/+Rfpl7qkXLj2pkyc/ECFtrhcuBBUysUfBlWmUUQjWFZPw6C+NULuKmYj0nR7tEc+YSR55ZD&#10;qwKvTrP96MYkOnzBXyL8Uvcyd7R+eX87rOCaXaF/49EHniSF5xylIwEO4Vq/DRhojQ4ZY8sAwajZ&#10;OrLnCAhb+Bkxt9ll188G5ZkvHfFFXcwKduhuFY+LIQhjsVafcb91z4YPTEtDJYK5yTsexO0/8sgH&#10;yrU92cZoa5w41bX5SKhXe2ou2g6qJoixCYXd56YRSuOYimLDM3l9vNqIgb+j9By8bYAYvWsUfS25&#10;vs/qLfVS28Ntgomw6P2KSN04F5mC0ERcsKfYlzaW6hGru5UKSNJb8vPKNd2bcL3etyu7NjX5alcC&#10;797vRuOdzcwR7LJG30Udf8Sf98qNFeiAzIdt8sD1Qu3M0mh261LUsJ6jVOaXz4CuNceL8UdoxPhp&#10;W88OX85xJrYlvxCKWARsaKAb0cJN2Dwyeq98aBpkztW30ToYsKXe0JYmIbiebZianNq4mAHtp6bL&#10;8rnU9HzRXL5va/MSPiEPNgcWi1N3XZThiUXP+IDVjHXRDmO1miC7Yyk5/cNMZmwGgWwScWDXRbSh&#10;+dX0CychCZmQrPYSLi70vBE0t0dAeOretWqHJY+i8QL38adFZxWkWlS2X7qAa2EVAEgSMhwC5Fav&#10;BQbnkpEkgKVtqIvb1Z2a67SJkO7C11WujFMxI4Et0zl7jTjNMKb/4rV75RAu6TJ2tdym4sQEmo2b&#10;ajHqV197I8m1Moe2aa51dmbXdZVPj+UP4e0PXKq16o3KwbgIVUy0gw8+m64hY8bmhqIMLRBnuPSt&#10;z2fTZtZiCcu4WVn5vBSAu2m2EVDTfbtUm4wsv7qfyYo7xg4ppXfxLkzs8XLtwklcO1ghjGMe379g&#10;iHHIapak7cuXr0RupO6izDltY5BW0lnpV5R3Y2AG1Z/7Ez9dVnEJnv39f1yWrp5KQRPAI4dSD7U0&#10;iNWzdP1i2YOWSbkEXFAHsAJA9bq/rmV+IDoJ0MkHEId9ClWcpKoUZCJOU4AJ+UbcQ/PRNYL/EgKR&#10;zCJdTfynV046DQGYsncnACMyl0R6tyMZNO9ndXW2z/qoQLnW1/hTOy2Kpev2NeezMTjWOeqdCrrB&#10;artOfcpxLPKonOLz6170CNnHrdlLebt7uAzTxYGwQDFenOM6eMI6v79z+s0yBdLXCipTB58pU9MA&#10;kw48m9cbemUPxq6fKdsXvwJY6Q7jtvdixiPNs4OSg06bJZgWYHogAny2SyCmwlpPk/OJJe2w8C4d&#10;+BvvraMkb8r8J6dLz3WAcZOHy+TUHkAzZ9m7GQBCFv2g3jKl+66RX6q1HMzR3GqVzmCQgneSTh57&#10;9JHyzDPPZEeLQCwq7BJQFBVPMqAWbttmccxwr1+6Yoh+oJzfuAu9zGWO9gEEFliEECnNQuvYC7us&#10;xi4vTqrhGYJCPKcdopDmKr+RPYmQNy9bZbPXXELRrnp9KLgdH+KiGdDUpnBtbeY5ypV1TfOa3Y9t&#10;r3TOSu7OfdfEbb1HVcZcjwyK14t3/ejyiu/wZnygeQnb79/pum+/77tfmaGijiC4QXLnredrta2o&#10;Hw35vUlP3Qvk1o6QmiX/6aCWYw12z+/dQtqKNgoLQTQcAq2sZTSLr331xfKTPa/RHw+tHD9tpGbA&#10;SMdw6d2+OUcwGpTi0HKZfmhPGVnDX4v/Xkm9gWWiFhotZmLqFUgTsHgHgilPHk2+nqMLZuRPG62y&#10;easEuleX5yzNR0UMXGhVew54fUCH6+52DlZq1AZQB0wRsTEo1sO9reXytz55AtcXwB3uHY1gZV4K&#10;XAhoVRecQWmIeo3ScpS/pfXRw+UL3zpfvnqDw6QXlkoygzDu1Tmh6dm5vLK6FOaVcjpoWv5WLHkQ&#10;I/m2rn5l6Yluxb9tLh9mHFqo1vBUGZqiuDbz66eijAm6LbY0z1okNuz+r0SC7aLa0OK+/RoXZhL3&#10;lYH/hQtvArV/IazeATTNrOLAPkBEA3sonRcuLxNiu0Ko3bXFUxspNS2wafHdZ3+nE1I/xfxWKSO3&#10;CSjr3hjVcKx/N3WojG7fBdU5G6k+o/PSIfsVFX8S9deAAGG5BpfMZzTFQwY1hiK1Dzj5IvGUcdI7&#10;Djx4orx1+hwJyqbC5DrJBhpSbpbCwesWfFdZwJ3da/URmTBjtHKLfe8WcbOO28l8Abcj7w2ilYvw&#10;HbRclJYWf+tqJIgWFZhsPeZTArDNv3UBW5ah437GXsPSi33KnnZ6JwaxtIT3G+eUwdh3U4bXR3rO&#10;gOUNudpmxK7Jto2KHaQMMsoepjKoJTNCm6TeWem/p+ynDGKvBZmJx46jFK6TGK5wE0ofln+Ae4JQ&#10;LdEU505ClsdZdm+D+OBcFPSgg8OJI1iHXy4XT1lzEzRyVULMZQxLvRammMJ9Z4WpL33tBVL5cJnu&#10;exAQFHmmT06XcgE3nv/ioW3vur/vZvxd+kpmmVbx/V+NHnpBgkaag/V7sexG6Vq/IfoURHQviMNh&#10;0MRW9pFROl7h99kuy2T1bArtORiFX3ieNAh0RV65gbXBoAKqjxDVe2LKhx6splyl3EklOVvsuYTE&#10;nM21jB6zvrdVhimuv3aZQGNMtwqioMXOSnQnV71rXpfFtKvS3ZSdWEMVMtzCdsQhJBL+KtZZhSxq&#10;CUchlay6dAu8wESkoqT3pOobHZ70rmWtS1/3537Wcr8ATU0l6NkOMrsdSP+/WXvNTdmU5v/tArE9&#10;5w65xHo0digpGoUQoqiCc+0pb9whXmwMuONVytSNjCfXfO3GX+rPbCmlUGSGUblAcIG+eBjFRXDx&#10;7ywOlR/Yh4tpe7breiRBeInDZ5eJHsqq3fn92bKHhqzrJH0mk7L6Qm0XEoxbfdbJ28JHNB8EHAMT&#10;+ZbCMAmNyejGwGW5DUPcNjZxYAT0KQRAJYkBGFNUaa1uy9Q2d21raG4IN7QrEzJHAKdcubVdXpvf&#10;Ke9/4jDM0rmRhC2DsrKGriv9v1i/90YotbbnEeJyj9L480S58N//j+Vz73ym9NDSZd+HD5d7p3FT&#10;ArIwpB9xkW9TLO43/aVtOz1YNSEFaCJbgynocmIidqfYiO4SptQibKNmrGmfgeGtc6smfwiBytm/&#10;AyW3d31rl8jOdeeVKHvlRocnAAWG9V9A4ATyjHesP3tgmnFZt/XJyXLvLFYDQ9WVlJZt97w0N0ob&#10;Rlfjyjwyv+5vMu2JTqsqEqQto2QtUgE15EbaGmhwHYWAuJ1KmTl1CgsZsCCc8C7UeXnvUA/ivxxV&#10;c0/KsBas7E8N2ZGjMEdr6qrHpVSNa0OoKlD4OQ/9ykiGrMQTjFLGptnjAHrL3N35smcvVZhG7Btn&#10;/VfqSh5DeQEdPXmJID4Kz4Eje8okCs3+p56M/p/RtFch47gr09QiH8JKE9hkMfoBksmj4H4ISNdE&#10;dzd82/ZXWv1W2LCgvblu0VcTakHgp5u/0ry05P60xrt8fuHK5dJ/AdchQvWBxw7RoNmQwyI1aIeJ&#10;K1PYnO4Me6E5d1xwXKZIuICm80gfKSyNeFL6uFwjZGHLsdt4DVYYmzWAYx/5rOONcCIfUbA4HWNx&#10;d0AuG7fSy5HnC8ttYb2MHJgsGyiV22AEIpc5/LR1PkG0XcG3m57shGLFGCvDRH/RHGXnK04W59d4&#10;/Dr1Rwn+o1hiJR4gkR1Bt8P4/RKQ8SAVtT723n2RB32PUoqvXl9GWUb48943z1MTlTlMEZcew2Px&#10;xptvRww2W2l1aScEYFJSh/4658BXOU9WRLJmqf0nBx8hF9mWB7aewloRJPZHCw2Fq+UIQarK1FWW&#10;LWxvEYx4aL6fxgOiMD2CgepWGEsvpsXQZSqlbT0jInGNpYVQ7Ljmdy1i/TUe0Ra/e4s62+/E8jL/&#10;N5y2COAssPHt9/2jXtktSHfv6LuGkc8P3lk9RPUMZE/PUm4t0ARgGbAeSkuPhWE888oS6PPsXRRL&#10;Mhci9MXn5E8aK7G2gS7nJ+ukPFAYDiP3Fq3CxZd+jhSK9rvCchoyNw1r8Zu3d8oPPgYTQ/u2DJzE&#10;q7a5xsMhezq0Y0pRlSVqItoNQoLXAhGowj2jBYwLxsaIWvvw+54qB596L8eur5x9/WT51le/HoIy&#10;haaacrox1PzV6JT661qN/StldT+TAdJmYexYUBm6G11N+bZ7zkMiGDF3DSb81SuL5Wd/+D2kAFTt&#10;RAYEdUVNAtxBG9OP8f0IaRGAQDj4y7euUWs0G5MOLuHqewstbwHBgSUXRG2L9V2ZYUGBVQVzDkHU&#10;uHjVlo3XRX5ndbsGIAlgx47pD4BHFig3tjSCm/MQKMCoapMNbnWThAUqbYvwDKWhCsVdhJe/dmzu&#10;DgGnDe58U2PaELVJW6WBaulqnfyblKKyM7ta1ZlrC+XrS/qRGR6MZPqDB8vCK7eIWfD5VuUhDlno&#10;+0y5ikljXk04KWCiqwWxrEj47owiPyMymR8yOUt6bdF6J6ocEfiyMn2wvBDS0qLDl+FpcmXyzi62&#10;mbNzGHlZaH558AdpCLxZ7l65EKPaE24vDiuWT7uD13ue1qHp8/R5HKO9DtGH1M2kRLVf/m0xbwsy&#10;DFkHS1rWsuP3Ifwy/QiuddxUligMlyqWaY8FJiwmzAPWsVj9qUCLqkeAQHrZ26jRSTxXwRl5a86X&#10;PKtwFtr+xzKFNfTQPySRZ06vlWc8wDJDY2DZ7Jq1kV4ibpVuwBbHD1dRnZDroIJ2k9jzybdm4rmH&#10;Dx6OHqN2hfce93ZcH4W054+uMyi+3/dAf3n/Pu9N2gtjCaHkzeIamAvn9vQMbmtU6iuAo5YZ6yqW&#10;mOfPruWihq1dPPncUVpAHSw3fvs8aFTOE/G9SAXpiLjc2RB4QeZdOlewbBFiSYEQu5NKURUS29DZ&#10;GsjzefJOFYg9E4NljFJ2Cv0dAGz9FKLf0gWMFfnEez5c/vq/99eogIangqV+gn58ty5dLHdI7L+x&#10;8065xT0E2VnMwXBSh7dU+q7HMf5Kh2s9n3VUKYUE16A6m+6AgrX5JsWp7XgvvTi+BlpLCRTz6vIO&#10;U4Z2yge+5/vK4NGHQlm6duZUufTNr4VQjfiy7m8+1dpZxW2qBbpqigkegWhAELlkKJYIyU0g7lqK&#10;uXLvUt5zBPHV7RhSl7cpA/Hm/YppfEAeqjvZVJ8wcmrpt7owu4Vsx8v0Lqs/10N+3goQpIu9fWc+&#10;agowFaRR5M0IVvE667sSuaNgKwBZnVzEeLq3vyxsY5Xr9eB8rKMt3Du4Xp7cY1OWpK264uF1Mc5o&#10;5STBhIZgTCuxMIqgRr/ogKL7KAcXQduAnZfyIgJlcf1QGbdmpDFErQYOxxzBa4XmcQ7bBG2QtiGA&#10;KQ76vCWgLM+ki0X9hXIJyRzvlT0AS25SPePcjc9HzcoN8sPGQQTpmtCy9DCN4uqZQvO+doc4B93a&#10;Byl3tkhiOI4/xkAcKHqDGQtwhrn6uzWvsHjZnOYumIBJv00T4ZtovftxI2yg8We8q7JI7jVIjc6B&#10;+XMQB8LLMOIokPJZEjsR7JuzK+RkkW4CzHz2Dpo46Nd0W6Y1lxquG5sapYzmiQ9/HMIkuZ973zh/&#10;mvSIG9HCJjVjCMlC58zZNQp6NvaAdr8FmGcFK8eainZ/SMavRVDjZ7uEYTtSMYSYzf1fdWXixegF&#10;2NzjCEMBVU9SzPvH//pfLvsnafRMLOqrX/lm+fx/+XeCke756FH6sYFkG0WxmB4oK7evBwgnQUb1&#10;SSEM2xbICDIOu0zcyTeiS0LncNTRKOzN8yKlZ+n8qbJxmQOA0Nk5eDzKVdnOKb5Y0zhsUlC4fFI9&#10;2D3HRtzteseyAU1NkpbyH//FP00hgswjDDcJbsOhBTqIwzC8iYKqj30coADDMD9FUn/9jTPlzXPU&#10;DUWmhRJOMO6Dzz8AtN+GdbnGDk8XZ+bsZhzaa31E0K9CU4SlJaWiuacqKPuHW75HLuzUdFtC973R&#10;uiqt9ED/mg4U+cEcRuLo90APWkd3x7rDarTG9JUF0gbP7NXF6++koqQHIkulBSnWsbUQVigkfM2R&#10;zP065emsWvfYUx+g1NXRbEGkSq03J7ppSNcw0rH95fif/ATP1fujTzWLaEStTTX2SnU3idmcoqTb&#10;+IUr5aXX34r0oSiSD23PkdM5MDZdBt6h0P47VICxZKAlwGM4LQ6VQsGXgraaPIw5GdNU+PMtYtai&#10;7x2hogJtnqwd01XcOF/SnGUaeW0TL8im1gIbKkpZy38By+82CEWMimgZdoSw0IMPPoF7fZO6v2Pl&#10;b//9c2H9rqCwNoHYsWBlN016uI+7GH+XLts+ZHjHve015cd0l9grh5/VdFoj9kDtNpr3DJg3SyWe&#10;VdJYBMitkg5mE/C2SNHpQfesTcKj/Zb8n/thFW+QctGnEiu5ROw4PSJp7OSOtSl08A7vOlcxlBAe&#10;uzlIbE6dU7uHe5OFBKx1HUItDBRJJb0uCrIouM2cWgNi0cmOP4VdCkLr4BpCGorMhnRXhwCXV6I8&#10;yVPHAeMJ1BomVDEEr5yZJSOA82GK0U0U2//gNyhhaIlMiF45FWoW/42ZtiIdeDSi6EHylhTyfHtm&#10;xQuA63CsprSJovar/0kSw3XVDKk9huuzpxw9eiQQV6e2yHOKuAk3ZRIbaIarxBWffIqCqxzgiRFL&#10;Xu0L625qTOaPlMaSvHsdV45uMKssmCc3RYUc0gemcD+pBelKsrHoKtrkKkS8hoUyB7BhlQojAbiB&#10;wUz0TJRrq3O4TkmCtfCvJoQH8ztsZlJXbqAWqoJerf7uAsHW2/PlKKjFDXwLHQBJHMA8nNFVWyZM&#10;DGlzjjy/O1TTx6I5xMFZjdgAVocdOUKrwbILNzAWmC6veCZgAhjCXmDez1IqbWaHtBCuWZy5EVaL&#10;dcwCm6oFjMAbp0bfBs+KzeH5atTXL55BQJAjastxoOPRAd7DVH3f9wmCzmS/XSC2t7r5eXkchCLD&#10;rsuDD+wvf/2nvy8S+1eM6fVBjFQvWqWGo1XBVv451YpAF+70mYpyvWqiTfnIGIprltafr1tCi5Y3&#10;o3vzKDGhZcqJtYawXUuSwxlxqqjrUnZ0M+K+YuGwHpayW0J0THVZ8pDd72qqR7op1/GsrlLg+q4g&#10;fEY+9tPl4IHDaJOiaXvKHtIt9l8Gvaq1BWPtie8MqN0Dwu08jJ99/S4kDqMZw8p/zyGg7lrVHEwB&#10;X7pY8tDJHJWSiI6QFdmpZJ2SWSo2Ni5W6em3ag+HPjqSW/Baay5U1SxebKH9qJ7EvWRgiVZJz4hG&#10;lGwVrEpotFXO8QrCxnMjJekK0trUN6ySaBypsT0f4zilaJlUHH6GjKC6w43pD1s+TE7niSOHiKmG&#10;qKuCMQEvUf4NgMo8D16eejI622itiRYOxU6lUzeLHJB0ree++5Eycuh0eeX1N0MZjf0TtMICieBc&#10;OUNPxL2Pss0omLNXsTDJB1TQJ7EkA1NYhAlvYYXN8uCJY+X7fuavUzmGMAiu4xd//7fLqS//DmeS&#10;fQzr389mCyf88dHzcsAXeW8Vxnrl9Gull9rFWxQUWL+ZtUfH1ubLD+ynIPfoQpl7+7OkLayXR37i&#10;Pywb118qX/+Dv1/mlsbYa2iX1I2YA9+ivNP6a36bFGzRY1ZPQB13NhJOK8yGz9LxAK3WJkHCbyll&#10;nJudZCwP6d6FOy+VDDl20BF/j01PRHWsCXAMh/eAqt03VW7jtVJA7LAurr08xybpwxQ+jvJqvDeA&#10;12NDho8Qjg4tAcjKNdYD1TlHdc3r0dnFRbq/NoH47jeb8p28l3/Q9p/7mZ8GPT5Y3nj9baxxvHmm&#10;s8mzGKdATHmDLt1VUKBad+5tAH52KT/ZRUk0beZE5/3zbPiaND8zC/pfXomrPAoX2OVl3wPR6i5c&#10;7PDafujK/FiVfmPMhmmM9wuWikpfFoIx7UajmwO9toH1jswZIxZ/4MQJ0uLGaHLw6fLVX/+VmHr/&#10;rWvXYmAewkQJij+wa0V/+Vu/R9CZv0exulL656KbQ7d+4/Vy7uJLZfHwgZiwfngPqwzXvLMBc3sM&#10;zjOxxSXAE+cs2cQ9uMZO4LkYSGgEjwQ4IQKOxPMJXLV6a7dII/jYB59hUo+Ur7LwW7O4yILVpVa2&#10;W1A0huzP6MEIdxmC6W1hRl+nFJr1NPt1uMs04gBWZqTjzkPqJCk3trN6N7S0bYqjbzPXg48fDwvA&#10;zbn61pm4Tq0jNDkD97K0KDUP2vXE8fLCKy9GLGAZq2+Q+MRDJJ0vYx2Fz99EYdw943v3lOvnZxG4&#10;m2X/gSO4eAA3Xb0aJYtExK7CUAya62bqFCEILTG1sSSeZCgd93EQWqJ4c3rJTpvrItwQWEUrtGM6&#10;9LX/pjzxQ3+xDI4/XyaHxsvNPhgHz7VrQi/uXDXRNVB9WioSl8/Q+nOyCrtA4IVAsOr8avkIqTsP&#10;ffzHyjwxZgP9v/eL/w2lxq5FbCWFYu7VCPD+cIv7T2ZAXG/u+jXGPF96HoCBzKP54/JyHhVkvEtD&#10;T7a/W2VP7T2pwPnN40LaRCAfPEEOKCCrfgTg2ADxv0PEi6nxajHne+Qv0Y1WTSi0RBs8v0Ej5Fdn&#10;c1UfB3X9sWPWmU0T0TBMqBWhANQxaKXobXa91cQtmIzV5nVqtNH9Q4SjSgBu/PAtKFE9C5yjAGFo&#10;wcMHshUPlrEhCASrCmNUVcIToxUUtFr3tZ/37ZpuBZwei0JXD4sdIZoSETZByMrUkOPjlcFbNPDy&#10;IrGW27PE2Rkbz4zi//L8CM7mB0QzHjz3e1RVsqmtZ5Z9xPvRC6Pvn6CQBQxoGLTv6s23y9Mf+6ly&#10;9vG95e/9vV9IsEflpipzRw4ei5ZJm2wUmVzQm9WXfIa5kDL1VJrtQDEAw7JyzBj8wGa4L3zmn5Z5&#10;q/EQD7eC1vSRBwK4ZjqEPGPDHFfye9/z1FPlLqXUrlw4WyaPYf0CntogljRq32zoeWWaWqiHTlAh&#10;aaq8/dpXqGC0XOYvEBrAdXbl079BDBIX2onvL98Pcz9KT0a7p5jnq5Cze7z7OEU5S0NAusKtayrT&#10;NW3NNAfj9LrgLAiuRSS1TFGsQCT8AmM3RqWnRRfuDs/yzLhIDTEuHQZeXD64IHIXUJBCBetlL23X&#10;7lhUQ1qInrK1XVUwgSRO05dMoYrqVAqO8EjVVIkqeLutsCr91j1qP5rA6768m7N2ZFi8HUfOn+zd&#10;t771InQwXK5duxMgrbAKFUAqm2AXogwftKKBo+AaEc0LwE4BpmAzN1Se5O/yGa+xa4pxX1Oi+rmH&#10;Bc8HWNtBq4mZ78o9h8jPDkEXALa0TMP6dEkgZo+SAjN698Z66z20AbLdPjyXtUet58eqRAhz+fso&#10;QrXNsP8Tf/avpAbKIVa6C1eOdiFhcfGaKQ1RbNmbcENjGcbMJoDCMqhlDyoS2EijWtmOjA34yEpY&#10;Ohw8Dq0uw4h96HuusNlQYcOCkkm4YYJNrCSiZUOqB+696WE1HTR2zOR1pLuE0d2aXbtbTXxfyRJA&#10;2a5JJnybYL8cKIgl6CldxUlYjLHutEiqe0hja2jKI+awYA9RQskNUjAefe9jWHIIQyzXjUuL5RPv&#10;fw9M9Q5VdIjV2HGih5NPgvconzl+eDosa2e4tncw6h+6Nncv4ypDYDz3xENlcR8lz0yq5jBtHdgH&#10;qEh+CIQ6THxgxeGGTn4lgGhcJFl1h4gSdo+C2Gx6yjhEBpqP1qpfqNRILJb5mkXjDPcoVsxbAA1u&#10;nYQxnP9quC0u31kr30csY4z11kf/2IMPlm++dbqcvnKNakKUj7NLBoTocikEtQAkIl1+k7TSuXLt&#10;ejn5j/5OVCRaxQ08qBt86IHoPO6+eihlYnto82RfyuiCxTiGjxwry9dpSTU7F64OLb0oslztnt1n&#10;tx3GJgQb823XOOdVFLHRe/PliUf3lI1r9IED3LG8bkxJTZ690LLC0+FEvJ/uvhlcvmt0WhjoIQbF&#10;uEahgSGvs7cfazdY8xJ9Trr0oMGwFFPQpdsvrbFofOyZiV57CVoTWBLFllVWRETLOMIirjU8dZ+i&#10;rEW5Mn8X8GO+Gesd9V09DzAAf1ez1TLVPZmALVsOMRPBGMEOMlYeaRpafMzHsxQxGp7I1MLqXSDe&#10;trSKBTe8D5p07LwfyEfvKXeD3rEQ+zbxFECH4cKkV2PvDkKx5w5nn7NFN46Vt79Ubm5eKidnzAs2&#10;Yb+qQO65rjsY+V6svl7CIGERwayuvP5qhgVYY12FKhQKuxij9UxR0voPUZkEYfkwOdJa/O7DJgqX&#10;DG2d/XKt5u7cLQ9N7ykPT5Vyk6LfB8iP3KHKkVtnLuKKgs2QD8+y8Pk3Ts2Un3zp9WDIepIc6c7v&#10;/UYII8FWvShQN6/Sd0/eA79bZ0yrtl7iK2JaKCH25pTmm7s6AWXphvNsRT6ctFFzMlU0XVONgmhu&#10;7PpKWuIERHmHxqVFy/NpWTSGMB2kGYJndubmJao0nSvjDz5E9X9zrim8wXiWAYBls19pir2RVxte&#10;1k3vWsm7grqSS0a+8Xc4T7vP1u6zlNGl7mnrCMFdHwjOydgvXb4Krxul3ORD5Uf+yt8MhU9g0BCW&#10;br/IYOoWi1/ooY2YQtt+mTaxd43swGTKkOGjRISmbIgKV9CmrvxVZIcddKKsZVUy12mevTR/J5Wj&#10;Chwyl1kjZcumBbbngp+4AtuGqGhAsE7akQC+QLRTpWmEcW7SH3XF2CSeAV3P/fDsHoqmK6j96v+R&#10;n/u5SP4WQxIKspXcWZgEBStDYNAk9ZpmsUFZKF2FA5YEQ9XerL5aN76DEIpAS7CRmGjELUIocTcn&#10;JxER4FYT3qKquYx2gU6nd4k5Dm7fKQdx7Sjz3/zCZ8of/NavRiWJYw88DxezF98uV8bunW2/K4g8&#10;kKFFZ6X6FSZmWyetxqQWidGZmWKRVmIGzxE0CxBfxCx1L1sZIt3J1vi7BxLvypuncQ3fKY898gCV&#10;dNbLtcuno26kcz9z9XTUQlTQtbhsrkIKtqgRyGPNH7xOEN2DtwKDirMRrpgawHL24Z6x+3h2H5ER&#10;LKFRhcvF0ep6q/HVdgA8lLfCgsvnNK9PQLjD1w5T4v+vncKCV4NiXwJAwgCMLUaLL6zEmRuPchgf&#10;J1f10XL3Qva8tO3N7QvnEe6iswSGqKGRn4ag6z9ysBwaeSDKbkVLMZSGqBlpT0kAS67trfPnIsY6&#10;se9QHNJ+3OzTW2OkwQAQYH4bAgNa1/jQpN2XjC048Dir9bsd+YjtxHuJKt0G2fzK53+zfO/Ay2Vj&#10;/MEyeOj9yYjiu6pSCrDq8ZgxV5R1nZ6agBLmIm0i1i04gYIlx5HMJekqrcWMWUa8SmFoYXP2JuiZ&#10;ijqBZIV+rRwU8W3jhyEkvZexJta62lS6y4IUjctWQPaOyoz7gRXXA81GhRpbPoXLNgXPFuCWTJ52&#10;4qmwBt07rvjbxHPJXKUvn+Z7QfWcxUUKYewfnA6kXrhh/YqxuAYp6He0qsm70+18bxFtWxr2TjJa&#10;7j+su/Kdz5XTb+OKoghCU2bSRdhTbhsjB4164kEKYdgHkPkff+5ZmBD1J/FEeG7msMaC7qufONaX&#10;31XM7UpvR/hZ8oeFYkX/QRhfVJpCQMziY/7mNxfLjdszxJ2muA97EHvGfggAhD9prajUjrHmBwVr&#10;aI1QWUlwRXTVMKZV0YcBWqpxMBWBsHD4nII5mqtT7m+b3OJtrVnuIwMN5KK8L4Qf1ktYSikIVYrE&#10;IcgLOh1qwFn06zIctYWa7vR+LErO3eZ81PsdpSmy7uC/+3/6ubJCsYT569ejy73gpdj/8KKwB9af&#10;HkaABs/oLdO4agWACWRT5N+mtdwaOIhQyFTc4jzlyfnjvhqArV3Trm/nL8ik3kcetYQlPM1djz16&#10;FGWkj/xxCn+Yt0srqh1i0gtz5Loj2FwLG0YvgFC2mcMmc9Qz4FwFJ4qk9qfK6xDelbvXbxPSwbqO&#10;0oRcG1iMtJazxyOArtqezuklv1eAms6SiqThEB0v66b68fqArplaz1vFxE5D8vc9T2IMXF8p1wmD&#10;5GGER3/ml/5haLlBHGo1wlbDFFbDQSAAqBnm4Lgp99hkX9dS8cFeH4hTy4RBZJrTFo/28ygJ4fN1&#10;U0aJtwlu6CM2GGAHiSc0y9SmMgldv3I410g2Hitvfv2LFBJYw/v1SPmh//1/VM59683yhV/6+dSS&#10;dn2lnEuffu58Am7UCIdgLq+cvlP+x1/9faURYAqL6aodYuV6MOrfpiUMSBEwixnQg+/9xA+VR4Ha&#10;76FlzqWzp8ptmHoPc+8nb20KiPm9/u3y1tuncAfsKc/8wL8S2p+FAzLuJJMTZJQ916LNkm5H1zM6&#10;P8tXRC+m9pilquscYk9yYxQwCtA+tON7aLgbrreoSHst5SfCEpZxCzU2aN1g1xH7cHWrpRCuY7ja&#10;JpbSJvG1HZJ6acoBZP5qmdg7RmPjA8Hsvv5bv1xef/XNchxNb+KhR8v0iaNllmLxK2hbGTfhscF4&#10;qus2FB/uKYR9ipqblAZbNymcfwpQUcdRns08OTTHSEUwRxRE5i0KldsabIfGqNscqHtzvB05rJnD&#10;F2uwSyDmqrQvmb0Wzi7FljlfOne1zL1yji7Fz5bB/c/ESoqQS09EKj9KC4WVKQROZgjLQrrTqpLf&#10;RH1QdYbkN3FOMm/euebuhN7nXHhBYTdAR5N1ckzDQmygJJU/FDL3N/a4uimt4Rr0Ee629GpsR3d0&#10;XrO1WuyZieIZO8xkfpVKBZ8ExRhgECns7dDpidEKSbd65JuGkhUUwtQSCSxtuqqu7TIa94RpA6Kj&#10;RZ3XxW3u7kTCVkEdB8z0pbxvnLJQzhgjcb67JujTe1QAUBC366x3AMttGQ/GytLBGKeddOxScOPk&#10;2+UuyM9weVkURBuXxU4PkWAMFVIVOxHAk+Xgo7haeeoK2r0CZgVBeouehbfZvxkKjZ94/L3lJ/69&#10;/4QzYh9W01wEcGBNW0CAsy6y+R7gMc/3iLFYUIyhqGI+DFsJhjUIVTuHHgQ1jOVmOtkGhQG2LHOH&#10;IA7+YKpPqDypzCTKN3cgWqu5lla/UZkG3DWEcPb12Hq9bgH84FrK30XRBs7H9Ci8ilSSjbWlsmAH&#10;IpeRT6wjDI9/6IcQoOSdBsKKB7qvNfUpwz4O2T6BpcxffivOm2tqG67lmxlGSlUsTlPSyP0H6V2n&#10;Kv/cLQTbBe0ejVjktyoCVkH7w3/6T8rlU6fI8z6CpTYTCoM4BUNqlgq0CLuhkmUtfs+iy5Zuuzhg&#10;oRgpJzACRvfQeQfmFGctiDhjznG1fL7KijDII7/X9yzBaAsvDRg6+GDBatytMQYtVzvnDKAM2Xty&#10;B0U4mjuw/sMHx2gZtr9MQKt3ac4M+4mv/hc++2K4XrJKiQ9oq5YIwH2HKPTLZs/hwpTRh9laBxno&#10;vBi48Sdq8GEeN0EZuSFRd5CCtRzsUZo7DgNYEWrdZ4UNc0KotbkXd8k9q5dr+luZAdfC0ccfLO/o&#10;s8bNtswh+N1/8F9EcDe0od4RXAsZfG0beN/OSoBhkrMQHJC3bm6VG1fuAtFPZhaHWvryh3Edfo+w&#10;YNBcT7mwPFAOQZnzO1S12KEU2cQTZf/2wbLvxN5y7PEtLKEN3AZb5aVP/U9l6tiD5cf+xr9TpqnC&#10;n9VKdK8oDPGr44rdRhjtMF4cYJl3xP0zxwtCZr2Cgci3gkh4PsJikERUD+OaOZ32idPiZR21mB1k&#10;WgupmafLK5PSXQ4P6wDrN2QZOJXEsGQknno53otQHrnWcZiz7oHSo+fz3/z6F8qVk9/CrbBcJnnE&#10;GnG6GdyookZD20Ux8CusUWLAutwj0VivG+/vPW4AnBgyZb/CqOC9GTq5L1JQngBOMHBUt9iITXNS&#10;DQCwvypQgZJlQ1RkVFbuYagEj02ybD/i+bGHVQfq7D0TWNyCackQ1ShZy2B+ohKjH2OsVDSKViAu&#10;UhVpD3l8CrY1XfT5mLCeo6UOLp4UW9kxZVMgTBA8q8wbiu9VwCALG9TfNb2MGEJPNC1hr4LO8vAn&#10;iMAKSnw6kKg2ytW1n7GTaKILA3cPUYHi73CImENrLNkjj2stdpo5RoKxcfuoKmWSOaX5RKg6dple&#10;AHK6lkEIdFOSfLLryLeuowWstQN7sdwDgSr9ZC5urLnM3RkEXTZru5sik0Qg/L+33JzLIhXppnOM&#10;WJEIg+/6/p+ifdOhsu/YQZSVt8pNvnUh9xFrn8QqsiShFVlUoDcIx9i3VMDMDOhkS5Otkx5huGYY&#10;hXA1CmFY6EArFV7jnjKnTYFATHDPoT0o6sT8jB0zjnVCNv22zlqnGIZdYzyD0NUMMX3d+lHejT2w&#10;jZb7ummOn9Vu/OY9O06YWmQsUOVaS18Xn+7TCC1B9xsWt+c1u5FIKPJo6wnbqkVhME/hcS2ffjwo&#10;A/uPUPCEDjS6glnb2TfeKHvpRGIvR7tpzAk2Q6na4pzvx1PmehgXm7/2JiEAnmnDaMvm8S3C2edH&#10;y7w6LscdCmd44qjBSqjlfe95ij1eKqdV6KNLkXuZLv8WH4/97RywfL2drXrsuserno+8D/qG6NMo&#10;VACY8fT5cvHtd8oT1B69evZC0Kpu8QCFee7iQNhOazzHEfImqC7OQ8hGSYrLFmcJZRhqaLKoDqR1&#10;M0pDyncbQKvdp3JF6GSbc2YM3mURQOU51P2dDQfQbehZOywOBgNo9RXScPDwbAcIML/6BYR0RWFq&#10;08mL0qm4jOvEIQ8hacM1UmcQx6AyJrWVTXK3WhypMaw4xPwxODEB+upq2SEgvo7rVAY4aJ4gSa3z&#10;dMHQpTJz9SYB5p2yB+505usvlGVrUoreYyPn3no9DvPTjz2MhXGrzIFSzU7c3a9mLcbGVqEYrlo2&#10;b2YAZNe9jOuFpcrHdB05TplRFDSpXMOWI3OUPhMiPIulaG9J4wojINnWe+m7x702ceRvy4ggzMuv&#10;vlDeIvYm49XaRt3vasC60exfiHW2SBwk0heqQAvXbaPAcHGhoYr0rW6FCMGr+YZ2npQh0ejOVrMa&#10;w2UyCAO0/J4HRs1e+OIy8UM1LkzaMnDgKEnTcxQoQDs2JnPqDTSxaV6jXyLXr0eqBO5elJmJvQfK&#10;7avnw5pdAYxx/eU3aBw8TV/Do1ju9Docz1Qbx2OrqnXASDu41uYuXWB+veXuuYvhNgoho/tOqym0&#10;f115CFMBA1iRg+MHWHMYCwrEJJZ2H6UDh7F+rSAyQwJ+Dwnl/YH+dH/qaanbfP9Bzb+aCietWqVo&#10;VIUA9OzwPZgsYJEBhPQOwsumqj2boqPXaRZMpwQD8Gr0fkacS3WfRoUnDlVkiSTpB9pUIW61oQDY&#10;8N4KqLo++OG9O6QuWWACj4rVazSIzVPbIrE4lJ9wo9lZPZUb41MrvGf3kyjQrbAVXMU/hUK4DqOi&#10;iUqbnTvSslUoyGScp/q/9zDOJHJ8DUTiOlbpFoJqGfe1wDdFnVbvBujmDduqVd6hS8ou73PztwFa&#10;sS8ixPF8BNv0/gpHenfC2RNnEGtvPD6rpcSXZ0x3MbHEW6Rm5OGpLE4eYaWYgwjcoUnilxLtPsAn&#10;T1DAe1956LmxMkvy/Agtq4ameD7CbQBtfoX4r0qX8T30Zu6tGyyrLvXZFkgPlrfSPYkgWqJ02xu/&#10;/d/F2nz1U/+ovPXCH5SDjxDnv3kl6p9ukBu4gzDRxSl6fZEej7O3b0XaRU6hCoEQtDlHFbxxaqYe&#10;fvgEYLhLKIO4gKtC1uU0jUMmbTZQW1PS02OVMV2tE9Qu3J+gMHX/cS6GqLI0sG+akNE8HjiaL3Am&#10;1hdWyuj3PFDey95ffOkWlXkYsy7ot1+qcVV72nZLOprGkMqZljF8J/K99QKYR5sFIY6C9h/DC/LW&#10;O6KgzanVmvI+3e/0KGSoJt/L3MBE1CbS1tnE82oML/aZ15cpqrBo3qettaB7L7l58WLQ/CphoeCF&#10;jCNoNt0WoRR3pEucbe9eLcd6TbixO9RU1VJeqEex0l9+NukxpVVemVZ8tCeswilZrHnGGHTIk016&#10;t65YQpK92Ab/skzbQYPR0Qi8fqmu5X13D8QAe9zMtW8O/5ahlAOIxfGSIBoGw+HNYrOVmcUVukYw&#10;U7H4NmBIG9ing1h7KzCNkb0wdcpp6XKwkk0PGzf1V58tH7mN5vHPT5a3OMxOzBw0B+wkLly7Cajk&#10;bjDa3VDpOtSOkPZvwUHbmNK6FZdlApt2iagm0+7Zhvmec3VsBw/uKdugGG+ce7tcNLAes/h2w0TX&#10;y4EHHihf+JVfLqdff6M89XG6ub/1KsJlH2AcgrsIqBHb28DsF65fRshn7LHu4a47pgtSy/GB9zxB&#10;l4wZ4no3wuV031ODrnLlHa9WRgIURDBq1adbOdwDCLZxBJ0w5aXoGq67gLQFXLEHjz9KUvogmuyN&#10;MnMLIaT1ja99Gm3WGI4ulwfe/0Pl0DOfKAfpyIGTrcwvsl+TpsqEWIyDs4WgQTWI7uLrVBzScolK&#10;Jo6P++tiC8bDWLP5dBK7Y1PDVaCPkSqzcOtqxEdUgC698a3yZjA6wAWNJBsddmitS3sdOmQdZEJX&#10;F7bKP3tZ5DNK09v/BCaLhFK7Vmv1WwQoH9ISCBCMrl3jVKEfpXtYBqn7TkrRTnMXdD2aaiQSUGRn&#10;1NDlf4IL7Jxh0QOtAxnOELQugCPaGoFo7rfAO5ag9Sl1Dw4OZXumAYR3FGpgvSNXGCXR3n8Rg6yu&#10;UH8XiavQVLi5mNa8VKGKGKHuT8+HljDjd1wW7FfohVXo+QGEEfHP5DRBKzLyu3Nz5YtfJw7OfBr9&#10;O/9wEzv3ym8qjyf3L71VLawfFjXn+NQGlX4Ei1W0fcybc3P29OkySleKvftGqeqD63/kOCX42Bt5&#10;wqHpMkfD5uWrKGx6QoTvW9A5+hTa/LZrtQUS29d1Pwr246fVlgaQnHZzMcf6CorZhZMnyzR5rzcp&#10;Wn5v52z0P8ycw2T82XtRPpWAmDhH7TDVcxmMlXlcPoV7F+Y8tmfqO5z8JMRcpXepaZURx9Lx+ziI&#10;SeOUC4BDxrBkVxG62yqCoHK3ibH1TFKfFOV6gC5AIx8+XoZfpfLQ0Gy5yBy1pE07WWZ/pbsYcwAF&#10;ciNV5PwOXB7Ebx3lcXjqoSNHQjDOYmEO0Vz8x37kh0PYBTq0utVDqQk+UsMgMfEqoBo/9ElxIKoP&#10;IAgqP6Mn5/S5c+UumIEB5rEMf1P58MpJlO7bq4K02gGu56oKxHiyz4j7ew00HzLO/1VGrNct1L/Q&#10;VuoY2oa1+1aZWp+zezfca3meRByGGTRg9yXjuf3s/wgAnHmKxvvVtxev3iHQv+cwK+nC5FeUeXMG&#10;aZDmb03sRX+4OE+5EV0XSZccWjWEtByrjK8/k26U0sheAqc9JC/rUnAnV81bQdMdPbGfgq4cYspS&#10;Db+1SoI/JrRC2QMNgT6M3/Pjh9GMSb7d7lktNw8/QhwDooLZddCsTNY4goCYiG/yLVFFsLvmvxmj&#10;iaop9ZS3bumxewrdVCnKIVBtaisGuFuJJF0tCosQxFzn6y+//HJahHY1h4gXb1wua7h87Dqe8VIs&#10;qpu34t4KhWHgyLnn7UDl8/zKld8p1965HM8etcBxvlGvSSLJGGQSauxGHbMft2lxHHrcLlOHj5N5&#10;sFI2QPiNQKxrMP5p/P37HwLaTkB5wEPJVEaO7i8H/ncfLx/+6t3ywpfeKRTXiwM7f+6FsjZztpzB&#10;gl+DIW9z320tkQia1n02PlIVKoWhFlEwoEopjXQTrReO05hugimSWA2ubwq7561wvUuQuFnHIdq7&#10;WD/ZoaD6LDqHbJdeIaV6xiRu1uA2XohPvbwIMExGOofrJDIdOudTz+2Rff3lB953KD4XSfdYrBEb&#10;UtBwP9HHCqdajS3jwtzf1xQwzR2kR2EQDdkcPpG3zi1SL8K9mYc5LFHo3X6lK2SOBzqVa2S4W/hk&#10;RVmGZRjj0FrLkEXA7bUe+TVjmWmlSkBR49JJqQyh4bqu/RYaYJwxZt1olek5LUEJjkue5vsBiFOw&#10;IyhnsfQs1dbPm4GJ43rdkeG9FYHr/XjNuKlrI2gh5ukR5ppNmY3u1XameH1QqwWaW37r82UGujsP&#10;3Vhlxg9GdRZ+7qVo9x3Sr1Q04vi1k5DHIecSFiLnKw9m51y3+pSGI1RcBG6IxDUF6MrZkyHVlmDW&#10;AjHyVqksBoq2HqpdRkF93i6q9dnScnDCOpj42fWMdTSM+6i9Db69mx4FgWyb0eop0acWDzAu6V4M&#10;0NlmDNfdwuLtsvX7l8rFeYSg96woORWPpw5NlSf4Nn4nb9OrMsb3NHGzSc6MXpwNFKX/6lP/otwi&#10;AX2BM3uUdI5J26mF+9c+gplRYP5gKF7Vk9aZk9vqa9JG5d3JZ3J58kfHoRlnQPS2eyEIZsB0K/IJ&#10;rX09yu9W89KCbCC3cJFKk9Xt2b11s/Y6D6kr7hPTNmwypxqSMRZ3q8MO6gv+LcBvlNCcueTS6BoW&#10;6zb583KfHTwW6WmRRm0VlqX7e0Gf9l4zrcaxpCqeNm59SBtGW4n7TNZcn2TKlWCSZydX6sQVgl97&#10;lQsh8g73Dhu1bQI1wi40XDZ1CDCN1RuWQY/dE2AB1Hv1m1eJ77iJqRG5qc/94CfK/+Gv/jQLvhId&#10;0//BH75VpkGB2ZFeOLkWWcQ54V4SQKKTkgACNOFme6QjZpWErbadKL3g0lUjyvmdwS3ga21VQmOu&#10;ibyyfLWkDG6DYNIdQ+slY6dLNGON6vi4ElsdUEEXu79C8coI7n1U0JSOPu6dkiOm02E2zTUTFWp2&#10;3bBTz3AXM4nKOZZ44iZLMKy9HKZlGOOC63D5FtBvtGvK1vVegekcQxBd3S6XbwFA4tDuUHZNa+oI&#10;Bd4fODoN0AmggXEK4ygyW/9VxSIABCK+6njsTzcA4zG/6/U334ouF47bdbLYcpBKAJBSuEewm/kM&#10;GWcyroQQXMXaeuLRhyIwvy2IJcRkN7anPpWeifu/4pDEPuL1i6oaPIccFxuHuQ6hcvDmAJauyEOp&#10;q9f1QFiNIdgmxWS43nwngtMUjkxjcP89YGI/pMuon+k4rNLCGmwiWHxfjmdBbxl1n2W+RCXzhm5S&#10;yWxD96lMkteiIIAQ+rBFU3B5TxWAqMqka9IYCHPJ7ugqZenuFRQWh9nYoSkufGbQyifsMx7J+HI8&#10;AYXxZ6KEgoTznGZhZFMgZLLXcSHNYAYGU4lL000LULLTTNlzK58WmR3C02v53wCemG3Splonmqj/&#10;uXe8nHjgeLmGQriNwjgwBgPVnWuhBquaMI9Lt4kjo3wN0hbMWE/EnhSa1UUnPbhPMl9DHrHf/L7K&#10;OkXaAc9BP6HZ7yDppzTXpuGx7lUF6PjUPlx7YA7qZ7qU0qWaYFnfJhl301RaN424gzG/m+iSoqti&#10;uusp9YMutxZLfFYlMI68WAIBe1SNolDIAm78TTxI2yhMy1T+sWVeKgF5qsxT/os/+VPlr/35n2Du&#10;pAjxuUEsQvs39nofc/7oPPO3/tP/qNyhatETjz1GsvtcOUUx/DES0nWJpiDYxTV2S5NdfCOVAF/o&#10;Krb5dh66oI/OIiRf9RMaCFucYeclP50nXj9NY/abIGCjw01MJ/lEe0YOoY6r7kUCgLpzb78lp2wm&#10;225hGAwyP1H5QtCILnNO/Qi5tSpoIrl3UHz78Nqk4q13yNZgvWWf4DbQsTOLWQqvcX3Pfdve+htD&#10;D0XX0ebQci3q37m7VSy2D+fyZZPhyuIRPKJ9htFkAjCgNShD9OCbJIv7xvy3Caqh3L55MYTF5mEO&#10;+hRuwbdAMDpRhNwwybfrj34CPMZ8+Tv/02fKGyTR78Oa0ySOFI2Q7hmLEWKbMcUmZnLhHV2dScea&#10;bVe0raoz2bUt+bm2ge395CzV8uHFQBPK7CCMvVhjV89RVgx0a9us3LgqBCsR5rPTjdVWP1a4c/C6&#10;JNGIop6q5NyNpDr3q+OseyO6V3dB0mSuh0jgcG1p4cEyh0CorV24gzB/i2uJRcFF7RogUOg8iNOb&#10;d2drfCGtOi3r6HkZP7PLhkUXGjIsEsu5bgmGJLrHpFyt7XWIEfUkxhzML2KkAjoqbtIcK5mfLnG+&#10;3z53KbtOAHQRNbZ7fbpHYhfHCrpkXO45sZs5U7hEc2pM7RKowtqfG4dpEseOWCcf8+5WPloAEEUz&#10;ldilJvx9rhVnWgW6iM+hZe+nxuYTDxMXRSlbQhON2vZajaZRmGeKQIyUkmjMaypDAg0CnaiQQxBr&#10;eSUTUOhq3aelpyBUqzefU+9EJHeLeNRa53OCf8xxMz9RS9PnubLe+5EnHyj7FxhPCFAPTxJUCMg0&#10;8KuKptDLh4+wn8tYKm/OC2BzPdSmJRpdD6mQBDvjv06sKVxxSbfmtk6Okni9aZK99XW5EOzAnZPX&#10;idXSGb2uKaHXTBFhSQaIc62JNuX21oQ6Op0x/mXi9ReowWsivNsZQCJG7LMUmVQdLB9+EDc7a3eA&#10;uN8Sk/qdN3HTIdyH9h6lXRStwFCcx6gYZekuQwGZ2tMVgHm+PHdV6LUT3mWCMdf4M906HfLrHM3O&#10;q7nG4floZ7JzgHOvBZto0ccd3X9+aiBYKUk07p4J4viLlyK9anD/RBl4bl9ZOQso7Z05qq+Q+0we&#10;8WkY9sxeKgeZp8wibrBwgo90/1ux5drd6+Uf/MqvAfaboiD7PM9C0bRGqOvIzyjokVpAh3fkpHZ/&#10;5XlKL1pF97fPxGUK/918T5rWw6FClwU3BmyUzvqvARo6cPRoFt2Oe/jxFlar/IixdCzxeL+d5yaQ&#10;c+UjBtlRXprlvlvG5NI2YRZyQGOHszF9bD91rQFsYeT0U8pmm0pVa/w+gdVt/Q550R3wH6PkhvYh&#10;O6aRVbO3iKXzle5TD40D9QEyLifhGrrpwdR3cd/ORPO94ElN7NSzmNYXgzOWhOO7n9Jnm3fQ2/eS&#10;c+cU5o1HWC8UjZBycdGRnYcPGiC1RU4cYoMUHFoW+fKld8q3Xny1vEXMbsTK+Su4TpMi6842QZF7&#10;kOvoBLqWWofE6zwbgjPdkk1o1g/Xw5M3r/d2TnX5RfOF20vihCH2Equ7i9t0P2hUc5OaCyLpqbt+&#10;oW/VNQ2i2LWWlYvVAxl0WMffneeunegQVZJX+3IvqUOKG9fPB8MNcx8Bg2tDS9ZM1uXbd3ExIfR4&#10;b32LfCGapNqpQ4DLNpV1ovxeNATpujA6AinWxjXriPo22CDgo3SpOICmeIZE2Q8/tLd86OhIJFM7&#10;LsdvVZyWP5VZONJK7Q7iE+kckkWCRIYq3FAwBFrwXuxmMK06ay1n+TfM2Kooe48+WX7xd79ZztwB&#10;eewnTC2odOxHfVwLwCePIFaKj/UAFla4aV3qsIbShWisTK3RmSpsFPBTY8RfD1Gpg5ut8XeSGXup&#10;RQMa05ShFVpNOFa7Xmyb2C5dRzoN9Ruh+bAYsay1oqMaTVVCRSuLfA1r1de9N0Kr0ZDrt8bGqGza&#10;ZWWVxG5jt31ItMlR5kK8ZA130KbVmSpNZ3J5rlvoNEF3SV7yLYWhidQ5Ty1aFAfW5L/8iSfLiQN0&#10;tbcGaaSGmJxNShXAM130fSTaD1Dib4vO83Pn3uQ8VwhzoKRN4Uh3X+TsBvgMZVdGzrznt1EoAJh8&#10;7c0z5elp8twePFr++1//cnnr9p0QnklfVZjw+zIpDD/8w58s/8sv/G0spaHyi3//b5fPfu6rcY0A&#10;qB5i0gHJZ2KzVG2a3neg3LicSNQ8c8knUoFrp6VZUFW4tZNe1yqHkZ9tXCZXKGk2uV7+3X6mHFUJ&#10;3SmTh4+EEuriz93GPXoQN2eEkJLOQhCC0jX53H3pRaEZPEWc9W7CrudohvDn/9yfLT/6oz9ULtA8&#10;YB+IXfMQrSO7d3o/qFfSDohL/9N/+qly6czV8gCAuGWT2LXcUKpMEVuPaks53CZbugpBjrxzruM6&#10;GW/31bg2Z7xr3vl+KsYqeVmreI281gRaUl2KVJwQXY2/VfmQT3NNlS+7jY4ci67u9KM1pbGNLw9x&#10;FTddGep+xiV1D+MMV36JYTBHA/OVa1fLo+95uhCMAUNxDgWToiwPPAbgcAKDAIQzmQQbN1GgWCox&#10;Bn7Zzq0uTq5e1NprT++Kw+6A6gQ7DL6uYgqp7uJ5XzdnkfyPI8dPlMPDx0EsApFGoG2rsVMzFf8o&#10;CK95NMp75QjnaOXSAt2UEZC4ZSJOZhHuy6+Whd+fK+ffmAGxtVJGbM3THXE8Mza87nonVSNfjGub&#10;jMw9Cs6Qd9hFALskSyWAvMYpNdmbiLVUu9MFlci4kQmAAyBQJY7p/QdBwAEe8ZD6edc0DmN9poKq&#10;jq3FYONN1j0jhvXaNsa6qJJQvtMVge0QxgHlOcaW9lI6bpPf13Ar3VvDoqAFls1OjblEXtShh8L1&#10;dpdu9dtwwokHsbpPULbr81dwn2YdzTjLkXPVXYPuc3PROgqcoxJgw7B0792BEBUMxnz/4r/9N8u/&#10;9Rf+QuQLtWo465RbWwUarwvDRGxLjd1TUEbMNhG0Ai9CUqhwwHRHrv2e6dtKn+Dk8ez0sOdrwWD2&#10;lDXe+9prU6V3/4MI+eVyndqz2cqs7Xmlz0Dv5f5ZQgpsSiRId8AlFd2XdUvz8IYHnf9Z6MK0h2D2&#10;Hl8EVHZDwUVpPE0FxA7R3o/7h0Ua9ayxrM2bQ8BY9zcLRHuHWtVDgI0AHZ6m678PIRT8o9JN5BCT&#10;uyLdGS/X/SNIQ6Y7YG1i79Rr7A5BC7pYQahCEbV6B0iErlN3TgrVvmYQ1NfjnIQFmW6xiYEtagYT&#10;R/SNKM6t9LRMI39zPnv6BVbZggyr5tFnys4H/nIoM8N4f1oxiijEHJal61XzJ5n3w4zfEm9Hzp8v&#10;b508W75581o5OUuTYvbextcNSZ6lDalhS5xqAiT14EPvKZ/6jV8qf+Pn/yfQwiCmqURiEYxeYqu2&#10;kLJDhZbY4QcfIU6U9ZrzaO0Sjp2zmKc73q9r0BEAje6r8OsIx84F+angDfVYt2VMXkH7MXIojaGO&#10;U7ZuD0K6T4FmMQeE+ASAGHzJJJDPhtfiAdZ0kLHfoFO8ccRezrGpIrPXLpR+Yvsrs5zjqxnDdhtu&#10;WlCB9XO9P/VLv0KckTMuT7L6mDHkiEna0qntumc6f7+P3+/a+/t+rfOM41XZTYeTVsHvjSK+GzF4&#10;0+Wo3BWgv4LwuRXGQiXdFGjVb5OrljjRRuC5R+mVaPvRlLdg1/W8t7PQ4UXBiio/ansYGgfKHVZr&#10;lIejacUGtNMDqHAY9/PIYXiDNGmcnPUxHcdvC/U3Pu9p7q5HNXPvJ46mE3XBEu2VDkXEPaods4ug&#10;nIsB7z2H99Pg9jQlve5GVYsrZy9TaucO2tTBKPW1CKEMHtwb/umh/Rw80FrLC6wuh+rY1kx5gKTW&#10;jWtoxiZDGyBVy2jPdE3qMzviYtcvoc/F7rq49Y36d5dAusKzu/DBJjrPSWFahU+4lipR8NvCAojY&#10;IEhbFSlQdJ+0w5ZMtesYeBdh1sVOYkgNqvNVqbJ7cDtcMo9jdYM1q9mY6uIGba/6SMkw9sO9NkD+&#10;bV/PNl7GhHRLKaBGETL78Gf1vnWLvCkPVAIq5OLrKCumVXTc5h1FotJ508YqCQcTjN+zaIKVQ4aN&#10;3YF+XScXbgemZmcHi64LYexhH/uIMevm2ARs0apURLkn7p2dU6A34k73vvn3yyRMHu6eh8N11SWU&#10;XL+ug7G6rXLhyqly4CAF6geOkH4B6nfmNjFOYr5pfiS5chOFQuwISoGMpgF/fNtGvaZXDIIsHeKn&#10;Vr8MynSZqb0TZQ81N8f3k6oTQs18OZ3BWpbGLviJIjixJ1N/FEASX3SPiKIXpofw+5C9FU03UGIq&#10;jFkTpJQFJYbx45pnF+sgrasHCGByr7VI+Uyv+6b1fBzFi2v6tEQZuz08V8j9vU2sXq+WnoERyu4N&#10;YZUldsP0B91uCGgFaiW1TgmJfESClmjVtohP3YbcStDIt4yYdiqFxvZ03m7fIx/wnS9iCb237Dz8&#10;YSo9ZRw52rhh9dsOywbMEQdECdIymqcYhPtygLZpH/jgs+X2rYPlWy89V86fN3/RsnVZr1KhPoSL&#10;8Omnnyo///P/Gau8Vn7+//Gflb3j+yhpAACA/384FvHrUHqwQhfJu8zOMsS1alnDJrpqFKhONxX/&#10;zlf79T7plt6joJlqPSXIrUNF97NNSdGjWXlpO48WNDny9DNUdKLyFXmKh488Hq3pTJOyBN4O6W7y&#10;vItU05qk2pPu1gNDdBaZvUlfS8rZnXmt3P3MNVqZcQ68t0piVaZk+AKlTr59gYo+lLkL8Eyem6Bj&#10;cwgD1JUdIhq/TEUy/94dV60ssbsu9bdYhl08KQ0DP9vWIr0/ok8zrJR5rbEGVQEJAejnOuw3Fqs+&#10;wdfz/QbUC2nS1rL+9KONS7dPvsuOzQMuWxQNXUsErpOYv3qJGCuoWNdidWuBtD+qB2Ep3rkOENLg&#10;dAjk9Ir55akK5poiLd0Lsf65evdpFo3IuipSHrS8YZreSUhpUfWYy8fPDdxnphpMH0RjIg4hOmzn&#10;zhL+fxjMgely58qVsoYw3JnFgjTXTjNaTYQTaq26NdTTK8vzsYmR96XWDHEEUq9KjIwjpgC8nwB2&#10;7fOunc9rusQfBOJnKw2k+6ZaeY357iIU0YQyRYeg1qv1ZcKuhzRQqWHpxBOqld228tvobpc6Vpl3&#10;h2CqK6Gz4G0C7XjuIizJkc+tAlLZTxm6wRNoSJZWopLEofe+v9y5eb08/uEPUM90oayJiuVrlAO4&#10;YCsvPqe2LUBFAlG4C4BI3EOXgaRlev8hiZeiwknGnYwJDbFHe0C/3aao+zbuWTWFNQLguszsgL6E&#10;xb9Jcr0AjGWS6KNQr4hPKwnwNWBbp5GJsv3mb5eRk79JE2sT8h2agjoRxJH+U7VfC5YvMY9FEqF3&#10;evaHa/IY7qTLVE6ZwRPRT5DAlYyEHDhkhjvymImyFGgjCrPBhtTetWyUB9E2yvMgPXLtMEJmxJZA&#10;pqAApoxKOHzb63MddEqPKTDi+sNCUjBa4grLb0hwFi5Y5htWnV0eFFxxkLP241AUdraDO8zSpO2g&#10;P9sNmbqRdYkjd5E59JmUjGW9bYkswRoyQNNMUDhM/0j3aTh+g+G0rIxA9IYVm25VSa2qFpGPqSN7&#10;HiTeVdx5T6GwmMW8Yw1jA4IqI6ZwWDNYpYV10G16j7Gufe2XKWSwXW5HDMvz6xws52WHkkwjWUUp&#10;cg5zgEGkgeMAclRinNtHHhgrz0wdj72N5HQ+EyhuFaXF0+XN3/rvym+zl5co6H2UIiC6B4PZR8DU&#10;dU4FwXvdtjuN7wU1pfBvvppd4rAyq+BYu052/h02ZOccVuG46yw0xpOWz32X1r8ryI/46cVTJ8te&#10;iG7yfR8r12fmyp3zF1no1XLoiQ+U0TmAQbMU1T7QW9bPLZUhUk16bPAtjdMkd3KKZP4oyK+rIlVr&#10;LfAxFM4Ll25zfgut8dLqaXzPPNXI1bNkYEeA5VrEqlQh11rpdefiQsmvGn+py9JZna7nzFuE90B+&#10;EYXaoRMrLUl4KEYZx5SyPDvBSTvrvVvv38VdYmxdhH17duWJnd2sc2gGgePoyK90sQ6RH2tcfniM&#10;eCHlBlXfLIagtW4YQMU/0se4th/XaTYV6fjoLBIhoisXuyVDhohsNBFjakST6ZcdSZTbHxSR69hE&#10;db62w1OtVrKOL73XEnDveRzBbCCYAT7+KG1l9iAIQZ/y2ir93bZwte7MU6SVivKRPMptJkHvWXh2&#10;fNBgPodf2g+1V4HWdXlV8RM7EDUB62lvuTjd7c1F7fL23VpTakEdQRBBnfrJKmwzGTVvn/Um83oF&#10;wjoMP5cnBWz72r3g3eWvz+lKms5hyiBTk0D3C9NGIk3b61BaR7MClozWOY+74PrLXyuPPPx4mXjg&#10;8XL61VdgYnQcf/x53Degw2isevcYTAgGeoCybuZN3b1J38gI6LHmWiKBFG2KUT6pEXTHDc3wVApa&#10;3mhr3SUBzb7wu+WlX9Z1RwzM5qswTcvABVQaultDiAnjjhAUm53uGAAcgLMKez5w+YW0eD18Ka+D&#10;IUQPPbt6WCVfqDpCdI52ZY71LgChue3pchi4+zbXhvuPgxo5XbFneY+I87HGkdOF8qYCR3grQSra&#10;fSE8ULwUeI5BoYiwHYGOFUpq5TvkoJqQH2NgvkN8yD5+FjuJNBWI33nRvCEK61u42a9BmxVbtYdH&#10;iSCNsmFW/deloysqUiwsTp7u29zrVC4lDUuZRXpR9HfkBUvBKWC5zmIFko7zzNLXKRwaKWd5tQQD&#10;JQ2nYDd0aZ2OGJOuO/sPwlwt6RiJzdJ9FKK2jFkEnGOvoqkuzXR7buMJ+l0qT/HZyA/kzX6ZlQA4&#10;gULcu5+HrfP7hGuFErP0BvQg4lrlV1SuikBl7jHqOAb8xudeu/il8utX/BuQDS5S0azBdyI/t55b&#10;/9598OIUNUZuWkpbz+6xrlRdeVfjYe3Pdga7J1kVIpWx+qT7j2e8GuutV8a1wSszAnMefvbDZYm0&#10;LGO4o3sPluEHPxA8Tvoz93KVzi4qDQMRz64CnfMwSdUlqCyVfedT6WECtPhlBKxejGxVlijebIQg&#10;X6wVsypvTquwjbkN+v6fUSuX+3cE1R8hHOtIknjifIkFoUnv01OxLwMXURqh5Wi6HsC6pPs0FRtv&#10;1CvWtc46KxzPrEpJfiieI2ZA3hzgpdByKkNwbWLcKswZ+3exTAk5iGK8iKXYvwe0PWdzhB6uFpzY&#10;HAqfXHjGtojL2mmmV4W2CnGU0rTycilSsrextF/C8qsPz1yqanrHOlcdoBFKXJsLNUhQXgkd3QXQ&#10;ZjdferHco92LA1pZJwZHWaChDTswsImW93MoNtC0sDKvCQAYgeloQeynvUtnYCGgmn2agqurfTio&#10;GjC5bzJVnNSN7jD1ek1jHrulWSg7vt+hkmQamZOnwFD4wo20MiJGtesQdYgwqfn+w5pHJ+9diST4&#10;zi6hHOvaPlVLGsVy10HV9c7hV8YXmrwIPstCQZwHjpXB93+8rIlKk6kPTFMkYYRDSfUVnrvcM4dQ&#10;osExLmwLimuFCPi32ky4QkIJb0QcR7IzoqSJ3P+oDhHIX0vrAZwyGd08sSsny9n/9Q3Qp1o7CXSJ&#10;BFoIlHKnZcIYnYV7o7J+Wwd+zuXce4kB9NDVI7Q6hTRusl7dqP0w4aixy72I25gOs2BtTNpwWd1H&#10;V5oWqS5OWUOUkdu9jSq4KoKW4YJLHYDBrBoH5RpTL1pawoB1TUWVWqKOeYqW9vrwSlQpoxDr5V4K&#10;TF1Wfdxrk4LdHuR+YnCBZo2cKNOTMvYnVL4pPuntcH7ptQjrMkrq4boNC1zwka5E/3a9vV7haSqS&#10;LlsLQdvazapG0CBCUeYf4I1QalJYxjb6HNeyfvtao+9x44HqHioGrMsEccolpPuoFnyUfeJKFQYQ&#10;vs0xJLuwqpGpUa7HgK5cFQm9OCFEsxi0cVgLCLgWeq495pvV22PMU5M8yv4ZflAoRO6mc65dJhwn&#10;+3wHzIGIZ12OrfdrApVs98SagFcInhv7W89WO9+dc1alS4ciqrdplzDNU1wZfuMXCue4V57bcCF2&#10;+EuegzwhfBk+0WoPC9+3SBU4f5Jxr1KJan+ZoXn3KgUmDo4djmIfdy5fjBivykrkmdYnmcZDEdm0&#10;uqQ3z1hVODYoL3iOKmB6VVTuUiAmf2qKbEeBvW+guwdd+UksVRoHOcP8f/7ZBGfepMMBfDlc+7jH&#10;sRSt88ohCo+J+91HPeBtFOAsWt6e2dYoVyp5cJ6FXM28NizG+qQQkQzEfTdNy8bdEfqoY7lv3YPR&#10;Ggoy3krBcss5AnLapkfuDOMQ+byJhrpF0ZBJimwMkbaySUgvvD3cMbEeuk913TgAD04K6cqnc/pp&#10;Brd4Yl43iYW3aKfiuoihMMTvmvBtQXmM7iDmMIh2PX7sMOkVh8oIJY4G7Y0FhNjcEQPl92DgY+fm&#10;yKXLDWgajxDvCYqJ9+Cb34NEjztXTSmCt7G2lVnXveuy7dzC+ze3bXAl+k5sIQO/3XfbJlaSqPPM&#10;V5tlKQMD/oHm0TsNU7JZsXl+HuqIvXQJrYmT9vndP2Uc7Z5d5aQdyvu1tiDcPJHdAUo+lehCKMuA&#10;TGkwqRm48QpljaZxtezZt7/0nHiEAsMTZRDgS/RIhB5bYelgtCIZIxkwYf3faUXaOdkt5IOcw53t&#10;3mkV6MZiHCN7QXoB4tESk+yqFhcVNoLqTM2oyM5AG+vG5doaB4lGo8ZT/LZKDgKRlhRBDz2MP2J6&#10;zPkWJfSi8S8CaxhmbnK6/e6GuJ+pFv21E0Q7YLleKRE8PKajCLbRgomlrctrp+899kSkHq125RBg&#10;DgVDtEKL8ycnY99dR+fkfWMNHSroUqxG63iu0lasF6GW+bR6Mlg968aGSzitwLiVCfx2ZKk0ZmqJ&#10;1mOeyyyUHk1kFTYR1kbA2rKIjgSZc4tgQxtWMOr6tTtEixtlTDHPduc7eUil1TxPeYozvmyazDLu&#10;z8moU2o91Jho1Z3lwNnaLeO9aj2OPNG1xo4jJcJwR6RwhJoTzCfm4FdY/Wn5+15UtTGebJWeSMmQ&#10;JBC23PAmZSTvos3bRcGKNil0FcqMgecrfMY+crSsnLxNQW+sK0FcIpwa822cOfhbOz/1Z+c45S+p&#10;71RaqM7lsMlr551s8JsLmufhfpXXM9CP69PKTvcYwyhpInYn6QFRbZ5pPzHAXtpG+VoonSgBw6fv&#10;Rhgj42sJMFpnHe4BmAs/u+Nu58f3kP83cXHb2DjoJxS1uslys4x9tBHWn93XmvCsF3Wuy3sk37z/&#10;q65N46lxhbxOnAI1arFgNs5T9m1prez7nkfKGv1vt69nO8Jw4wbUvN75vqG1MWc+LhQdBJrWZcok&#10;+Zq1cePvsDx3Wem74sMZGrHVGApyFLygxradNvTWOF4LA0VhBoBQIvBJ8xvWMnYOcS5zxqBPq/SO&#10;A+GmVDnj35puHQZcxQ2vL1Eouvmvk0c387hJ+Dx5rVYjowuJzDLRmZ7ajANrZYB+hfcQeFvEW/Qp&#10;bNB3cOc2QIzQ/DKmKMO6RzrHyioowSgVlhufbhDXqKOCdLaxbV1nIvXQ79LjdhFL2/gmSrv36xJF&#10;e637XlpGzFm3FZrL8DP7I67S+zrxojHiW+RgKjAbE3Zw+aRKbEGR1SqPeaSFGO82eozP5Ac9+Ana&#10;SEYepB6Hu/t73hJgArVF/Uw/LputMydJG4FhPPo0qRcwYcovDSGoBnqI17GOI/jT7xE30j2p2mMs&#10;McA21bpp5Pqu09H5M4Ye01LLShi1r6UWzxqh3Y9RM7UP7SyaDgfV1e7lsc+ppWcZNtystAMKy6Yl&#10;qFeGlm5yATHmDoSvNX43YXjZJGig1fcQOi7pqGAW2vEI5FjE/TfPgMgvp8RYXasYbqi4IZxcV5Uv&#10;2nXGmkYFmfgdFx9mzXEa1S7Qc3KTuJpWjwIxyq7VAP0w+x0xbqsp6dLZ4DrGa+pAn/mqFiHWXalw&#10;474WJIj5uFCMycLWxuwCnZnisK5/dspQoG+b+yhT5iNa4ZKCOWoK5F7dpRwhixQ4NmOFltLbt2eo&#10;HNsPY9ZajPhrIx1pKDXydvbdlhUUlzn7K8YzzGdNF6uAj0m7DiT3T9EmvYb7KmOcdrPo25wMIWkJ&#10;O8FGWgsxPpmQ1WRC2UlwUlo0aW1HrFRXqKk3WuHOlzlsq/Sk5oErv7e8gwCw8Lm5leuVdkzDiGIS&#10;0Ks+jsFDlA08eytq3m7pUlzKhsHBWIPCWzigHhwV63agdhO5ylHn72TOjnOcmqoChSwN2M5gXpaH&#10;ti5RKhZadAhRy4odOPYQRb8X0LqmyiQWVN9Z5rFJjWES7sM6YV02DsALKYbdG5aQa+w8LSRvao5W&#10;ti9XS8p94Tpjv4NaUK5BrGfdozyU7xpjvtf9atfn6xlf7M7lfsHYmNJ9ixR3C4S1ZdUMAxwYLof/&#10;rWfKceLMlz4/XyancRPT4HlVsItAqCS6+BlAMs9fyJ/ka/l+7lPlhjmiyutzr6qh1uH43TFFD9uQ&#10;Hem5UicLL2WKxLLNmdhiUc2Tj/xEzu0mNYxVIDKNLtdAFa27WNFaIQkijFu1z1DHcmRt2aLKfx1L&#10;PLAKzrbkkaRtTUiqmozQzPTu1Vtl6c4cWN25MnMWIienav2AriY6LdvI15vRe6s9L2N1uOJk8laq&#10;ANFgSSOZTT6jPskzs3uf6u/tmgzA7rq+zuw7fKQzm64Luc3w25/Q3AwBM8bntPENivgi3Pc+BqKM&#10;PLI4qJmEd9/y7ha03fXLSXTIrj0ufqJx4n6epIbqLC6XZJxe6byai7jOsBKXsQTjC0cfeoLOI6Am&#10;n3qOvK39ZfLs6TK8/4lAvG25z9xmEK1ODVtrKweaRBv/JN7Oendk8X1L1+YQL+5arrCUWQPz+OwQ&#10;YuxdyzSYYyBVtYya6QIjtAxgFDbPROCsoaq2bPUXx+rv2mocPFNFELIh17Be7l69rHEWjEXhM4fL&#10;5CJupfkR8qUoaWeVmYgPVjrITuQKihy0qFyMD+I2NZaj7sE7AlPMKfzoExRvPjpW9lDhxzVP91Zq&#10;q5GrJVoyNOGsVBNBewERIYhSiYt9CzeRB7UWXDaUpptN93Foq2ktVuRNZy1M77AwRHReD/CJxirM&#10;UCHrM5yDig+ft+jBGtWhDj16vPwoALY+e4LGGU45mLyleRbS6yPj8GuCaj8AYqO+6TYxy2GrAvGM&#10;lRXvgQJl0eTgyU2MSLe5N73Wrt1DH1TBRyvz3GO+7rULryWdAwjmpoJXFagstZUxVZlhYGi5Xx/+&#10;7nuhnOUJGmEftBJ933mGyzR4TlMmWUeUg/nfPEsj8JUy8aOPldXXl1LpisPlWawu5Fixetru4w/t&#10;BCbdd7+qx4zXovOD5v135DsVl1EtnJgbl66BNL1942pZJU1r++KpcoU9GwR0NndtsOx5zzNlYnAf&#10;PJBGA2ApIi2gHibnt2bdWvvAOovKitu5XIIulvEk9OESjEa9QWs5sBT+u4Vem03S/rd/5blPLbve&#10;p61XfKQ74bxvl/+abrOM0LMsYT91XTd++2a5tMwIyOGmwj1nE/wAIY37ZEQVjO22Hc9NzDOVEGnE&#10;UnL2zpREwyiQ1lG2rOAkNXQM/vC2tKnl/EyzCGXdMyKZ6u2kw5F24jICetMY4jhr570ktTna3NXD&#10;kJZiPTExSIVf/dnIRw10g41snbyDIdjAM1p8BOXWL7UaiZ8rcJGIImu+6nSv8B4nb3OYZpIIxHUQ&#10;aFfefCesrOxakQfY+0dFeRjamCeVQ7WXmOKwGlXTLJJUmu5Qh9BIKofUSCwH14i+uQc6YigPThU2&#10;3d/bnLqHpb2i1eLl/bogIc6dx8ZpuNtfjrz/0XLpV4Ff12Bwa7OVQqxaAbuIPu9XF0/KqPMPBFYl&#10;POMsqyQvt7yfbP+SzKlrDdd56wLFXSMQYgkhunj2rTKydLecIo+p5+4Nyr2tlf3vfTb615mzszZm&#10;pwPWgwNpn8MoARZu0ySstq3f6Ri1tdj9M6eQB8j9W+U5WjTeM732grqMG2Wrm4YaC2QnQeW+iCsm&#10;OjTSEHww8bwe3uuhIXUUSpDCkYJ65ldIEp6jhqaJ4gEu4IOmnOzDOn2CuOkLt2bLQcq9OaQoD6DQ&#10;cl7yXq2UcLcAMCFp3mYPsKbYJQVf1EVFWB8/PEznDYBHKGX2uDOPLhREhaPrHcwIZo0CoNs4cuPU&#10;7FUcI55kGbYcXzBnDSzzzaJcXCxUMjFpSeYWv/Ntya+of1rzzViMQOd6U9NbatcNR6y7PGqlqjbA&#10;gFQEDlKIe4V6lCpIrn+eh8r3du1vkplOqzh1sT6+LeI1KvDA2Zco5jAK4w5EVAjiPKsRVAklgdfo&#10;HoOZg1t4dxeKdJs3j4f8zi2NVJQgsKSVVCDi4PNV4+eV+VrMw/jvTRltuOhTGQxLo1JpgJkQ3mN/&#10;8pFy6NhgOULi/K1XbxBDykLzO7hSLX0YBBX8o52X/Jmnv0vtuSYdLpsLwn/mQIa3Iu6TT5cm80wm&#10;UCP2UjokD9eG7LqKLVsYBdTxedoBo28agaGFx9U3z5/h/aUyAR2uB01WBY5BbFQFTqUtK3Um3Q7r&#10;2bCOLq8N8swN20jVMeRuVCHROZwdBl3nVd9o/La9vcv9msKxXdfWw+WLHcy5x+YxZsFUzHcAjMjc&#10;RZoZMP/9Rx+lqTD5incyRt7tJtJ4sx/NPU96isl13lyFjh9/8Hh57rt/EDDMnnjeGN6XObADX/i1&#10;f1R6ADB5ntJeC4YY4w2zwTWsNXmDZkw3c7RuI+tsgYx5CkWMUBdVZLp7FLpjjTEAtLElTAJtmnUo&#10;s2gboLvmBCVzDj/2TLTCi7JmvDtH8PL6pbPpEtlNaBEI9uwn8EItWYi4nwlQge4RGJXBUNMtBokR&#10;iUijFV4wqTgnmsCMcgwAxh6E4SBM4oH9o2UK6riOJSaCK7dp92bnVjWSD8LoEEXb1D+COO67rksA&#10;7Y7dAyLDpGA1sHxfm7l+CcEOQu+h/eXo80fL0EXywnomy8gz748ahXPkxyzTMSOh5d1nJzF0D2eQ&#10;V1CgBF1dw43sIH5Rrbqp2jU53DrbDuXmpi6hkR4Esn7j4jmS5GlcCkNYYh/2Us90cwvGhWXTZ7yG&#10;NR28jkvHGKQWjwIjxtSh+W9blW9/4X7nk/OK0JYMS8tFq8O+CB42ajeGINHCrUpTrElDB3SYp+hI&#10;Y1q6S4Vt8tNCpPF5RqB70M9Ts/PG1avZzaLGCWTYWlBj0ImCwVTXVep6Kmuh/yoRksayBFj2D9xn&#10;ByM8YtH9wmcwJl2EKmreL0qNaSG4O9XC1IoU5JKFq3XD2EePOGbkAdrM1DifMHXyD4lztrq26xSn&#10;iNqeo1jHxoy4basjqUocQBOsvbBIdGEqR1UgPOg1BqzSnDloGaWz7ZYpHKlMpDs6a/tqQTif9AzE&#10;wZcxBI/PF3zbueo6naEiTygQMnDZi/fDElgiPjtlMX9bm8lZ4kEpANK85T72fzR1YwuglTHkqnuG&#10;Nh8AnVz3sFR3D4RJhXhR+FW5GELWPUYh8jlbfM8RUxQ4lQXPk8ZiP1jLi2+8HEC33musxzqFKV64&#10;Q5eYadx5gFCIAy+CtN7CmrmfWpOJBrk3efxtpJ8X5NFMN2bEkUPxydOaNXfz7HZCIK6hbUPqGdeA&#10;iDOuRSMOAcF4z4LZlrvDCxZxr7q3VvZyfTzdIvVVGOzI4+2S8ScqeVOEfiBM87kJdnr3CW0vdOeR&#10;xuAu3tj5UAq6Ls9rv99/z6oSxXVuY+h6VU6KttW7IL5ipFcAZSoyOb6mzMSKJgahKhB9IsmNL9fm&#10;Dd7PpuSCAdeWbpXLF06ikJBrS+xyhZ9bJOZHuVDvUD1yKaJ1yaYce+DRhxO1Lj81zGX+LLTQC8Jv&#10;h3S6QRThntm0YAUX6lHxfn5h8ZIW4UGs7qyo4qGg9FC57b2bZYpE2WMPkU8j7Jv3R/DHXj7VT53P&#10;UwzcBq5VWucWdYRVQ89ZtDsBJQxEl5rK7p71cvnMqbIyTCzpOMXBJaTb9IUTKlgthTUO+otvnu5o&#10;rUN2BYj9fbc4bBZjd1O79NF+qzvX2eM8VKmkpIAJVtFoI67b/dn820MdfRlNnr1+lQrx02X47aVy&#10;5rOfL2OkOPSN9JVl8oe0otUMQzgHkXeJ7t0ory755TgSUSe6MAv6xqRF9hlPq/epZJ5jlMj5aFTg&#10;D+tc1B7ADuM6pgtgqawfoVn0mvpSP0zkFdzZd8sE4CVjFrHTmk8SuVbK/eegsxLdVcoLqur0ruvz&#10;VRlyNFDXugvOmKjl5LrOo8YUqxdV4Rf7gNsugQPOKZlpRDwVnjobBHPAC5Zo/bJA8rYoVIWingk/&#10;Piha2dqnMqDcsRQosXfdMeeW+54dC3LG1in1GITVyTr0OVYdFbVjRDt/Fqs2id6xifwMhcWcBjUL&#10;wScKunBJZz1XrT2v1aLbQCia9mJJuGgLpVu0touyYk100DBGw5eI1GTA6Q4Ld7rPdhlZD63NHlGq&#10;CnHVjeh/KPNOa9MO0nHuQoAlNbeUjLRcc96+rtIwYCzP5/FvOFBDppWYZ7lKXH+Za6icEjFK46JZ&#10;9CAWyGfGwcRaDqugxn+9d4CsXCvH4W/ylzzj6cOOUdWhVGZdxxD7455wh0XbYRn7kTcFvdZb8J6l&#10;3eyhuEpR7es3v1Wmjz5YeqHt2ZNvR/m3dG8LamnWXQrdnP79wqRxluZC3TAJ3GfVeceZCqUk9ygx&#10;AEl7HX5RXwuadW86ecvslcqFu0QMepVCC324GPtR+JfDOwRzniP1zMpHnH9L7t3Em+YZtVtNpLYE&#10;E6dxwe3sWRiIzBC+Cp3mBevyyRjkrq935ybmW+1k75rD/Z/q/NXlq9UDUDlbrAt7Mwga1lDJ2tpt&#10;PCwo4RxWU4wsZCCdmp4ibwzBhxW/QmEO+aS/O3rTI1y3ftvecaZf+tqLZZZcw2GQoqZ4yEun6dWp&#10;V0bl0jKgyirPhd6lyLFGOb2MUXAAj4Ho8XXCRJ7FAWKwo2APZqisFhakfIJ/3XLgeR76hyeRnhDy&#10;OvGXDTTOzJ9KhJg0Ow58dYabnvnV36DzwUIQl+5UJzYCRN3BpcuscrdQQ3Xv7JQTTz5RJg/sK5ff&#10;PhWEpMSmNy3IBxBlChU0/aE9VPFAk1azjVqBERjNA2Dj1JdO3QyaM8RgwlfUwuxsY25mVRq72xgX&#10;tKt2b3he0rTMJIfGLup1LeBcD0yX0Cr5hPDRXSGc3+ob8ngIlj55kxP72RCbJkPYlMHqqOW7xEfW&#10;i83NqNG1mEMjTgXCBE2ZB0emg6FHd3Ku1LJeojGs4+kI7vqxiIYpGKvG2hheHGYPG5Z6713cOfwu&#10;Kuvow4+GJbnE9R7RQJDVEQSDbVKxLeG7jk07Ol2WGtKmwxfafsyBzJX/GesTUOLOheALNKgSzr2r&#10;sVfdTxFTio1OdGUMJFaB16EzFDTn02dzYxoSa9lZTzMD5cnwLbYcxQNGB8p+uMfIYDj5OgXA072V&#10;DD0seDTGpIkqr72PjWktncVNR6Yp/m1ckgGFGwgEoZp/Ug3WpIfZz+BWVUEMd6jeE8E1YVDBrDiY&#10;ukyjrivSp8+6laRreJh7KUxwL/IO7c+YZ68PpcG9DMCSz437pdW5FQLPwyQYxrW07Bx0aGsia7BF&#10;+AI3b6AMsCbQquMaxxsCn9/tvxju6BQMrjIfx6aHHhiHy64r27i4yrtrvExS+R6LkeNK7kGLzzJ1&#10;qRAnPXC9KQOr5ItiUWZR9BTGzc2WD6vxvXi/ftifjX200xCMPmWpd498vEqrGautO+A5ZP5RAcfC&#10;6kxkYnR/oAljjGGluVwpMDrWXD1zjTukHGvKVPIU9fO/9Fd+rux//vsqsArlAS/Ray+/WH73f/wv&#10;4FvGtqoYDcEoEVU3lqPVvR58NGPQVTsD/CZqeLhco93cJus1dnRfKHVbgD42ZgiVBO1kl5ffPzlT&#10;xrYXo/CKSqaz1lN2ac2qRlNpwMR6OP5qbXclV11NZ7f7UO++oLOBeTo7fM9Va0I299ivtMf8f+U3&#10;TktrFvp+/n0foH0VzdQ5OzsoE5O0sBpCRszO3qbn6nx8aoPyixtrdE2qVvAGMcNVrL84SyrQgqeg&#10;uzEGcvhJ2gTSVP759z3NmRmiUfsCPSop9o4QXV8GeUtIQy/JGnIpKyARh+R+GzfWIydaD6VWaJAQ&#10;5y08lRpociJBXfIaz6VrZ8EDaxnz1X/rwpX4YIv9rcqcPIguIoObOEBtTDZ/Ly2Hnn2YZEg2bZWi&#10;w8MMcoXqHG6ThW6Ft2Yiqo1nGSguF2v7DdHPJlCoasAwwfF9EAAD3JhDAFuE+iaITd73QK45Outv&#10;2kqHRQlIvblevGxrn2mYx/kggDzJTdtLl0Dbst1KW25+sxY6ArS7x7uORr7YtX52H5euYE3iS2KR&#10;6I0HCBCJpFpLqJH359eWgJBQh/Mwt0Mc1l/VHruEJvmlC3uNTf3BH/y+8uE/86+jKeEmgdGMYY3c&#10;vHyl/Op/9X/Obug1INwl9BTtwTR0xYTrJrlMsA7+p0apS/f8O6+TJHy3DH3gwbCMekHorb9ztfQf&#10;mCg9N9HEgnOm9hzWif+FS+L+r91/d7XuGEQdC7gqQRp8fhLr2ZQrGX8rp5R3lDCrleGBdq3klbG2&#10;Pr8ysrovei20lpegtwW6cdg+x9YwsRwhzGoOJILWBPk5nmkTIY0eLaFmocv1O0IRt2H0EIw1SrCN&#10;DCncpsRdxw9O6U8M5noPoZexcZgwB9jGv1aUiY4W/GePv3QlqbGiNXPAh2nUHIWTuW4QZjFOF5h4&#10;vtdwcI2XGicVsGPOnkyijCAEDFNUIeKYZJq6a3UlK6zT0OKc8rcuK8Gous+36TW6gwBz/lsIsK0Z&#10;KkTNp9IQgkKXbHVVhYLiLvBjDsNnBhd1Mli151qvlM+J8l0BU3D1xqUAv0VN4uaJCNlWmbKxJUoe&#10;Rjm/MM/d37TGQ3ioIVW2mnufiNpUotKabmGl8CqkkauTu6wIKuH6yPusQjELZzgB+AlFIERBDhCO&#10;2SC3bzM8LW66Fnf+dBxa+a6B/Vf9tEqnjLivopk3RZZyv7gOor1w6s3ywsvfoBQdjV7jcaT7oPQq&#10;5jQOEhmeSkeex2x1ZZzt6Q98FKzBkchLjBq6uPUFV42dOIFLdz5yE7cBfwyvUyaS11nVgg0DStzy&#10;eDxJZQiauBeYAsecLvABa71qJRia77iT2/ns8qp3HdnKDWLB8kTV+ey+LgVre6/tbZ7HnH37JTlO&#10;hsjwJhAueOPkqTJM952jpN8tLyxHkZYh0vFWN0bIxbwSTaEtoRit9vBU6YHInNn0EqUCqMJq+hLn&#10;jzCE3hCtwR4KftgKah2hOnNrJvIztQjDZSvfpBi5dDGMwql1qFdGJS3Q9Mo09nOZYiFb9OS9R91c&#10;FdUdlVzCGAXlvScqWuUu9u8/fqjM3rgbwiDiEYYk1USDqI19YA47YAhsxQPLhI49eYyDthTvOUmZ&#10;wvjsBMW+QQrx/sr8clm/ch1BuUgpN7WZilblYI9TkmZrnsK9MpqkysqM6oCqyi4jm8cl9eIdBCbD&#10;UZNdtu1OfKgRYD1QnV0NEdAh0F2irBLAfdv/7TRTtz02Pw5R0lHToJKI2nupVb7/Q98dCsCiCcXr&#10;K1SToS4mbV6GaPtiXDUYEB8cAUEqE9vcICANMmuWbtUyQt0JK8KV1fB1j8Fwr128Xv7hf/IflPN0&#10;FNcajfw0LRCrfhhjYcMj5qbwCtLM9dBN/Z6PfV+ZOnQ8XLuBqsKNFAbFg/vLzl0UGALVVFYvUwoB&#10;PmU/wFUFOopOMI5gWkn+HaFbtfZ2Mna901nD+3RKrhf8MI+C8zsvXSgHhmvPwbhI5uiPykbU9JUz&#10;8S0t5JFVqYvk+sZQHZeyh+vHEO6DlKjTSstuHbrf/AB0IsgEutSy06O5g+ZunlvlaOlmDWvbw+cC&#10;kS5kI9ZQshAGjlHXJM8dRisFxB3rqmvTc2GbqMjHs3SZ5cxw98Shq0sWVp2Wq0W/WeGIJ+HW3kGA&#10;jnA/GVoAjUyz8JkAWaSvIWId2yR3DyEk9aaYIx/eEeOGPlc3IhZgL+5lu1aE29cCCdKGa+geqS17&#10;0IN7cgNyFtfWKro75Xa4guMbSzBilJWedZdOe/5ZHs/eUKSQGI/lvgj7NZjeH379LVqDWaAhM2Nc&#10;vrayu5a4Hhwflr9KXuGd92IFQbVGfT209Eo8LX0xDMfYh3yOHqbljQmeR96nG1TpMa2v3K/3vf8j&#10;kdsoj1hDMZ3g/I3RYmqU8Mb6Co2nOWfrCJc9VHPy1vZ39RwuAtZanLkVjD3WI7SNnJcK/A3ysWdx&#10;c47Ax3zuIgj6yT37yxBpFutY4XrM5uiQE2k27jXXKCwF5Vy98E45DI0MKNicpKENlJh963SO2ZiJ&#10;0IYKzoZpLHUqzskYV6Aw/r+k/WmMZWl+3om9GfuW+1r73l29sbvZ7OYiUiSHohZLIgTalDCCYUuG&#10;IQjwlzEwhhfA88Eez9iDsQwbsI2ZgceaGUnDGUkURXETKXVTYnPpvbu6u/a9MrNyz4zIzNgj08/v&#10;ef7vuSeisloUfLOi4sa957znXf77qs80S7uEieRAU0TIZKh16t9qnrlurDnXnnf6tY+JlaWmq+VF&#10;N4LEhY8Dswzx64yz076Ylft3+t4CdCjCNgIXJl75/paPK2xNi6IGKTnSx37ypC0ze/J3w8hWjh9p&#10;F99823sYJSOxKZYDoYRE4gLPBgYJ1qePia+stfOviSZq3zb21I7ZmuG6u8VgogXvbqk/r5t2Cw9c&#10;ftM+zVIQECDuCIcW4545JG1zeo3KaSCH4lpKyJq5qwi1aDJdMR5IYcwoWug9SbQEOLg6jY7njW+8&#10;ZPu2uTkmUQEYvodNtcyZEZMk4pCqL6wQ7dE1G0EyrlWi8baAF0TbQ4OQJGGuzoRviGBTVkO/QMw1&#10;UbUrUryGCFZ9Ndcrn0xI9oiIdxodNtHZZ/908tuYVCNMWGe+z70BiImGZCY5GtPEQBsJoh1S8vCp&#10;x87KBK3K7NIuUOt3ZBJ47et/WM03FYmp2q1IrPhZ6Ux9R/UOuX8VrQG/B49UkvrpJ1V6TdUhePYP&#10;//m/6CTvaxIw5jQmkta6pCZ6I14Vw2SOXfMk6pDOEzeuXjCjtQMayVz3z6kM18PT59rbG++IeApI&#10;dE57ClSJFS6mkENKKfEcBiD/4K6NJQujQYmPfj9IEbWLPFpg8+23b7dT00r96DZZAL9T0vpdjeQ9&#10;XphSjgECBWPoUirATtbGM49MtWefPGZLXG95Fqu0CLtaO+Hn2xbMnhKNWlbx7WiB0X5DFsp0igi4&#10;gCXkcLtHQBTXmUrrKASX87gW9AcpKy5fBgPG9MtARNbKTOjGu6XV4Yek4g0DzMwgqYpAaBNYOngw&#10;jRkV/yRmTg+TnD7SMu5jZtVnMxrzPlKxUpX6XMx90Ljg4dI4ib614GrJISZy157Ef+d91nj0N5RA&#10;NKt4AAtMXla04Gjjlk8GpraoxS/oh/UgeBHcluLTSa9ijtYy8YGhRaPBFRdzEfwCl07cyf0MQ5zY&#10;XsxsoCMFCxx/9+dC+Nlra8VFHG1N1z0Ib2hy980QR3DJMZQAc1OMiXZWyw+fUkK2/FYS4ueWHhUB&#10;XGwv/usvqnfoa57/5Xfe0D30q5QLqGrtuidgwTNVi9idaeU6PvGpxyRUbLaHT59qj3zi+Xbz8jUn&#10;39OsdvWGUk8kKCwqKvf2zSelJKQpAELsHRX9vvyWFAMpEZQyjCakqUMTSekjUIR1ca6YSuXzx29I&#10;YnmTG8tCjxaNAvDd1UNNXdh8YD5D/aBNHVGE9ZzOwuZ6M8V+ArlmwtC8sgOUa4zb4w0ND8jrIPXs&#10;Y/TPO50E/nQfwZoOmis80+9NWXMo9IL1a0c8Yu3K9Xb9/cvaK4qHVHrWyMROQF4SUGBaVDhKyzUK&#10;kRDoBm958vlnrUShjJEvTyYATcy3GV8lHjkjLDi2jBClTpNvAgVWkxN6SK46YBBYcBEJUo2g7cCm&#10;JTHhIFE9aWGTJMd4ukxuoyziQ5TUCXOkFNeenJVof0FKzDwyz6h6weo1VRHQZ0hlcHRyq1iEo+mI&#10;sluGgrV2XZIZquz0nOrkITUfRn3VV1A7XeBQAfxoLEDve6Qp1feV39+u0lkBs581hLFWMz58k+nx&#10;ydf78cFOmN/kwoP3dcmqgGy4EK06lOWNizJFygf4iecUfUo+GXOSNL+o7vbH1AWAGny0tWEfb6o4&#10;95qidoFaohE78M5JODADFqAcOXVadnNJWdq7c6oPu359tZ197iMqbrvQbqmoOgdI4unpJ56Sjf19&#10;+51wUuOfvapu17ev3WjrJ6V51lJoTEpdzhmlXfiMOVOQXgi5qQkksAJhQ3+jLjkS+U/2GsyRnWt1&#10;dDKSYq5TWo3WcWZB2pi5HNpekKozRvs90RxgKEVcDZtcrl+O9wBNgv8ClbSpwXSaEhXFnEvEx1cN&#10;fMCJ7oiwwEOgwdriAL4fD2NAIlDR4JXDMvEr2fvqqi0jmN0gzbOKjIa53nPTW5hBUkvu08Ub3xWd&#10;6+ncLbfC9LrIuRGYjymQjBYZ6ETaJSLOVV1sDo7mt0dJEhgBJl8Befy/YUSzCFUwgAqachoCZiVa&#10;ClFgAc1Ro+9KG51Vs2PnxLrMIInxMeXb16f1gYNJhkFGihZrhui9yDnx93WpIms6f+gE2rmT92GG&#10;PguZk/GfEZzASLqhly9jnC4n4OO1H7XOyxYB4K+YYAKtmAtBVzUJpsnZMh/mCV1FcNdnDnriva4x&#10;4SWopK4fJs5kNP6VNWkLMk+uaG+WZJXBdOYqPJroMz/8eXcPgYEhdDD2hVdfkYXsgugO5k/8jomI&#10;TOWVCA9onhzbptxEN9RRAeZJoNf7b6uhsSwuCxI47siHxj6y7jvym6EkLB5eUUyAkvGlESFMueQb&#10;axFM7Sjm4MrqRTfRnqYBu3yUW08eV/6w/L+csbQXC2FslSa6qH2f198IElhFEDY20CUh6t6nriV2&#10;nD3IzEK79r8eRB/H9NAQ0rH5wK0TxungvHpx9a7WhhVkZ0vVs7SWhcNLsjDsuJ3YlvIAYY6ZDYGd&#10;cZNF4g1dTpQu3+2IoSVwBw2emr+JWaILiDRvmWXTlzUeXfqcUn0JOnjyobM6q8uyvt2WACLaK0F0&#10;HuEQ94T2j/aF22sy2+rfLIKk3HPIFrhEZpBY9JpZUacK998qSkTdTHNMLiTyjkg5TYawaBNBIf3K&#10;GUnX1IXUhNfkYzz1xBkD0V2ZS6+/C6FOTg6MjWAAmO2MQlchFHMwSPk67kuCn5E9fVYtariCBOFt&#10;kFnRebZgaLxY54MgJ9TD7WnlN97BPGKpMk78yauI0PBB/zaHO5aBsrjOICcsYMJmQzgm4+9/UpQi&#10;Y7GIhco1CXNo7rqk0nU7MqFiLtmTpvLUZ3/I+VG7AgbaMR1WdYfzL0rFxz/BDPzoer5/xfRAZ4Ft&#10;Vfy5K9MN/g6q6J///kVrP4sCtBvv0SEASUetopSsDnKuyFR0S33MOKMoO1AoDSlE3JCp+9Id9Uts&#10;muuKnODKyNuQr2yXZs1c/OYlRQNLo5Bpd6izu29v/w1/gJgIMcVgQ/rRCO+3d28fkrWW7ydj2AJR&#10;f8IQe9yNg2tN9UIkrcNak43ZiFw6yratKFTZ/s46AzM5rif0Ws+8puon5CqSgrktcxXIIAHRW20Y&#10;5lp8GTJN3VXwEu1l5oiq0AumAPjPKvqN7XNlDEySxdNSkiwamUuh6UycIAyu0OfQTJEuGhUdCiPC&#10;vFr0A+GvRwx2vyYP9DUEstiEV0XImRLE0EJg/G8J+EkaA8zbmqwXJP8LJenYKBixkDw+lZQSo8DB&#10;jLW/igxlXt60bDmEF/cKjIjmyhCMaKdhnAg3+Dx3hK/fUxPnd+9GiBlBcD86n5UjeYHFESYlSrKO&#10;uGCUJWYt/C9n3a1WeZ8nnDnpZCU/j1GsMcEPi8m7Z6MEly25MpZUT3RbflWCBm3q1vmtnDutYI+1&#10;dlUmu/iUEWx1VqOi1GEwWRO/0VQoLIHGT6sh9uPCy6+q+DyVoZTqIQGU/b119bLrDeN7hXJsvvW2&#10;aSh/O3fVvVWRUQiK0XpJ1CcCU8ITvrKFd2+49itFHDYQVMUEEPp3dUYnFUyhqpjWxIiGvqvArFdV&#10;Wzcl/6LZ9D36IPPLWib0rv99kAGO6duDmOGEGk5OcILQaGScxdzskoT3E21FAYdL6pJDJOjarasq&#10;LSkrl/bilKJByRlEG0e7c1oG+bzaV5pPX9e+boruzSBQSMO+9PY7Eloo1yf+s7EqXnPT5mosGtfU&#10;aWWWlllEaqNlU7HLZD1lLhFa91Q85pa0xoUjSs/RuRAVO7O10h597mx77BNqdUbalPZ4WUoNAt9V&#10;5S7ykkUUZ3EAkdyrW5cUfq3DmpV2s6Mooas6YLpcLMoGfOU1FY+WJHPkxDHNQ/U1ycGC6IqoxJ4u&#10;KQkmK2J988KGDw5fBYA7r3wckHdPZbMcCstidZpbaKCFmBY/ITk+gwQTdKOAIw31+ZKAnK4Gg6QY&#10;DlWoUuc/IM8BXbKrTx7eOzgCmPw9fDqc+Rhg6rGduGqCu3L8Ij3i32LIHZklbToTkcPZfOO999qN&#10;8xcdNm6iSXCEQysnz0+eZ4AXidIpHBp7XkVrQdzr791oG5Ju5iQh3bkmCUh7f+38O95nzDW3JQVv&#10;KLS5Ewaboi1FobWSJ6oq/DIttOVTsWnqG0qSQYjRapxsLOBJ+60JavUZdlT6Qb+9hq4xFjXD/PO2&#10;iOfNWwcQrYQBmxXLIjBQozqVSZBPzNg74pLqLtR+6qQkd/msEQjQsCAMPNbJ/vpHwel15fmdPDyv&#10;xH18Y6nP6VXXUcZcEtgg2Z80aiJWyZd1jRU0a5mqMV0XlXaoOIfiAFPdi0bgllk2vSU1Y5r8MwIv&#10;YLgwTUxjcA6bwvRZpWtEgyKnL2Y7umlYAEADxLLCGC5SEN+x8xSloZpHEtTBc9k7w1G6faCq3L+n&#10;MzQDFoxRyJy12flHcE6gfSJKdoiD2YrwEgSnny1RFrp9dAsNd3EPz1jR2mmX9aLGuiZahJ+/ADeg&#10;UejEqqim5LWNgjZ6YfIODR1cLASHB0dgQcvmfGwNwsIY/yuWh+4/A1J7AWeehAvn/gZmuWNVZERa&#10;tQSWOTln56VhX7/4viwtV9sNdWInOpx9we80VK8Z46A5F4UsBGO6F1jblt9qXpH4px97sp158gmt&#10;G8lcQpXw6jH1TMSkQeDHTeH65XdEM0XUAbiMIZ8iG3VTfjBonLT75HfrEuHfzs10nCdKG4nW//w2&#10;tjv7ZPlcm3BZqTwEHpmh8z2fe186pdzP8EZ6XR1Q6MzkVaEzNnN3QjyE0wy0Ndfvvw+gosAeCtDj&#10;z368/dwv/U378cAN+mC+/ear7cUXv62ASeGpXExzsoLNzgmP5Gaa2lmV5jzXlpSJABqQyvHEk3OK&#10;Q9B1x84pDkAaoX3jSse5pXXuyBerHpTTcgWheZ6WgDYni8A04yqSF/o7pd+kfvBj3zqpODpn0wb4&#10;EMsDDxE4NM/rKtK+eUMm3RuywKnoxGwFMM488qM/pwaqIiSyuc4rreBxHcMdVUiGg04JyahUsHlj&#10;XcxyVUVe1ekQwn/rsnul7VEpZeq2Fii1WH875BWzg7Qid5AWUl6TXfmQAk92MWVoEzffl+9GId1L&#10;MhHOqQM1ppRpIfy6QmsVjRDzyxYHngNwMLMWQiI4x34YyW/QTMxCB2o3kWfGkk0/fiBwwiQnHtR+&#10;2ON7uLbwvDC3h3L30Vx4VtLhpsKlqYd4V/U3N2fVI1IHRePceUwr0uIwT+O/YHRX/09jQBNwR24h&#10;iRrcCN4omRlkoked8nNWJICcevLxdk7JqDa70TdQnz/xmU/bBLGuXL1r6mB+WXue/EaqsSSXCwfc&#10;9NU1r2VagoS1L4KhFNp8SDmhCzijdb0UOQFA+RSZC3vv9YdJjvfVyhlMpX8zCA+T/XIclwnCvXZU&#10;KtrDxzICy7soUMGsCbF0sDxzGqFofeTPcle+hcFiOqKaB7QDBuXQJGs8AAqCBFGj021Ve35mR6Yb&#10;NEW2W1/LSuIRuyxk3x7UBs1IjOuorBfXlXuG5mfTqJjcjjR8cughrjPUrLRPkEA0/OYyVdLKidxC&#10;XT8jgdIMSL7GLQxcICPPyFQHLRYY5HPWhQ8Ql0RMuTADLEbJ53RLqQoGYs4wWHM23bstXzsC1ozm&#10;AMK4ADv4Rk6kOynwXBg4qROahwQny0JsE8NYIyoTnRme6DW0SvPBorWAm4QZdnyJ1DGYNvmTaHCX&#10;ZzxweC7KrPkiWDy6eKh95jjab4IdqMISAZz7iunpva2r+nuAtWJQfAycbGgNL6k47ZDnCnjqGup+&#10;bmu/yCXc3r7l5s3486ZFNCnGPYvPkMh6+6UwjYVJRfNPgFJEKTYG905MkcZTOqNUZKk1RlKHtK9b&#10;iqxF8+CwdhWpCp3EohWapLKUshY98vwn2sVXX3TxjCkteFlEmngACsqjM+6oJQnm13tXL+q8xcyl&#10;hbvyEDmh8gVD5GMpkW9XcMj4nNumxr+lCOFZBKWa6zjIZoypOe0ubHcMHjO1jmmdGYYK9Vc/C+9J&#10;x8QJIciV5ZSGht1S9ZqvfvG3221pZ7Py02NBOzS92M489ePtqGIccLmdeuiE0jXut0vvK3Dm2OF2&#10;WNaqI6eXBetKgZJl5hBFL2D6ykqgATjgjhWT1Ap8inTvoTDFDsE6G8pv1LnviPfsqu3dzrbonKyM&#10;t6/ovRQVzmlbdMDfy3pHZDKCEwoC9Nhaoh6ASRzfbxeQ//yn/oM2c/KRx9sxtTOxUx3V0yYoAFA7&#10;gGZjXwgteEAdzDYJ7nCSuJFGgCKTH6WYbCd2snJ+u/u2pIg9ovQotaQJ7Ioon3j4TDuq7uUbV5Sn&#10;I7sT1UdojnvxjTfapRf+dXv/1tecS2VBFM6uZ0oBa28rWtpOdwizj6pjZH4fPPJ8Mr5mDCTjOz54&#10;5wAcxRzCBvp19Ovaaj/8c3+pPfVDP2VJ8sTDpw0Ib7/4QnvrlW/bPLMgaePhZ55pF4S4y6qU74AK&#10;ES8QgNGQIG9dvuSycFmLCIc0tik0G6rOaJ/Xrt6U6XVL5lH5HXSolIxCXdl21JZ2SMnrK2ceFiFY&#10;aRcVPs75QCwwbRN2TujyrGrNbh7Rmd1VNRX6+imoY0eINU9BZ2GpzahySMOvnQQLA5OQgx95/76O&#10;zEv9G4j5iKBNmFlSHBBrTmroWaRarYumqJjA7SvsNkU4kxntCOsGlpg9hxC71FWdfdnO9Enyk2IE&#10;SCoF898WF1inRJqrhrR2DDNgwUj85hXWoXsfPbWiMm5z7YrShKalcUuycQDMLj42up9Q19Sh5CA6&#10;iftlVoTheBn4QwhE4RkxacKw0oEEy0cxPjRI9grTmsabRq11p4lI+tYA4Rr4omjYKryAOSL5GvIr&#10;Gi/Vfog+TaI8RDxpOND1MBv8ZE7gZz4q6H3k9JH2Ba1riShXC1/hTlaKOCWYXJkiFxxIU8n5VP6o&#10;pHcEqBSmDlRMhJYxnmUsHj2neZDbSEUfYHVdvh+aOafOgv9X841W5I8wRbOPVbyBcS6oePamnY5h&#10;Wv0k0cZ35Tc69/hH2o/8mb8mTWGpndQ6V6SREKL/ld/7p21D5rt5+e6OP3yuLSvylKCzWc0JIYNG&#10;tAQRwjTRSq6++br9ggsu/L3errz9lrWHTXWquKfI4E1FiZMjd0KMb1W+xDva8yVdu0cnC1lvpkXf&#10;IK8oA3duiUhryru67+L777S5o6dVXYnYDB2vGiWT4/3IJ3+kHZbCsC08PSamCTO/JpfJlQvvqin7&#10;O9I2V00zFSBuGL4hxryjA5irnLt0xug06YB0MrC3MUPs1xykdw+mf/l0xCiN63w0OW/+xGp4T26K&#10;sz/yZ9vjJ862E6cebsdPqBKXzptmAGtiYHNb19oRLAyiQYfPiX5qbRdfe6+9+e3bYlQKxBFj4yzv&#10;i5dsqosPqTHQOIKZ9mBsYmZYddw9BQELJcwO6MCwBfWASH6G9eeNLRHmcWWF8Pv42IF1Xphwec38&#10;1v/xb7djx2S0LsJmhoe0pBPtVVGQjg/Lpj4ney5S55JC4qmwcFR+rAVxeKS1ZRm+p0SAtyVVbck8&#10;CucnChWJcfnIUZmjaPujFIRH5OyevSfVWvlyMikePyvdVICxLgftiWefaTfe/I6YgJKcpVaniFHY&#10;GsET7yktEoRz/q+/2L/0jqT7/Yfjg30QUDwIQD7sug5gCYjY3VZj3ndfaOvKx3zvJfmuJJlfeOvV&#10;dkMRbqQNbCsSdfmsmOGUCiPIkT4jv+h9EQg1BxHAUP91p50+stsuSwNfOP2Y/Km32+r577ebYlIb&#10;0tyuv/26K7rTS+6YDuyqGjJPK5l8lsAAaTVTCCbaiF20TZlr7sq5vCyCefvlbzS5/FWh/oxTQKYE&#10;WBuvqXvAysl2+JT8vzqPezrHFW3mugjk4Zlb2lOa5t6RSW4xJrYH48kBUMufHTHN1GrrjDf6H6Hk&#10;m1SrsfYKPAs2BAfzgg+ucR9Gza97yfoDojdMZF+b0oHL0bxM/CHkhni0IIidiLF+8J+dotuUGH98&#10;rBDbnF8CNoI9/Pvhj6hM32kFQwmwgNMjCp65dVMmHlpVodmZCaLhMYcU9fZQNoGKwfE3GiSjwQTJ&#10;5cOcyVPxF+rSmHGYK4vSd/ZVYhpFbLD6FrMrbZj4WzmZ9CB0hp/OJghfSIzZODZgO2ddDhUzsuVX&#10;GKW+K9PmlgS2U4+ebn/9lz5vYrKA1EzAUHZiiGjEAsMP5tMlwSk+RQSQztT70XYzZ215iYo59I5/&#10;JjAaGz8lKSQhUlUwvaNWDeBwBubSB/Q4xCKEuN0SUb2qGpCY+11ndoDNYSBWISZ4qd16+6J8ftSd&#10;pXj3Tnvzle+qH6QCMmSZmj51Ti4gTMzrbe38bfn3ldZzTMX2Vdv2rkwlyyoicu7xT7UbaxIqZb47&#10;JLMrkaak1mzcIhVDbqMzTxFEoJZcKub9uIQO1fqckTBKbCnaEulU90UD8ZfNyIqGjxM/FqXdnD7E&#10;b/0NjV0Soz715NMKCpFiIJ/k7uIxW5HOaaxV+cu+/qv/n7bxxu/JX3SkvST+OocWhTkeIceCFbhQ&#10;sDwwqTHSdsr5IEQ+SN8exFA7resYyTho/DnnMqBFCFdqC/v1jV/7z0WSZS7WuVNdi/qvCOekLq3L&#10;V+iiJ9RptYsoJKbPzjMYT6M+MNyHlDjqPkUhuDat7xIhHXMyk+o4RoDOuN4qgW4pQ0nnGYIcgf0y&#10;OYMuViTi+50RSqsfXaQab8Owh9nwzomJILNzlwTdQqroEV16mKzJ89ZgADxjWrJhErqP90QCUcJN&#10;kNROKJ/liBydt2QSTFHn6fb5L3y+vfPu+bYqldzE0GiS5F0YIe8jsHp3hq3N1Cf6XGa3H1A64n6Q&#10;cfbDH98zBp7+nE5UlWahgJU7xz/e7h+dkYR6UmanjXb8Uz8vZBASSp0/oZzFw4tiejIZXrsov+wR&#10;OYkPSzA4rPJEazKxLkmzEbBvyly9J4k8wVd7CpqSGejquiRFpbgQ6AQ42tegVUM0tZfeAxFkgNJ5&#10;ORBhiC4mAQHfM2gTmI8oScf+6TAe/+QPKXn8ZFu/JrONmN+SfBuY3m4oQOedF7/TvvaP/44bhs4x&#10;kQfhyXiLDrzP7ky0984ood27hE3rN3CzKGb4zLknxBhl0pL0d/nK1bYm7RftpL/GDNHwVT+OSGS8&#10;AiyH6cN0YFrdD+UtxM8oTUDbJaO8X/jIDNs2yXAR2khg6qETy+3EMVo9JffLuFHJ3Wa2RF7qfMIU&#10;qWuqyiNKawlDhkowD1dhNbbPqTINRNImTUR8F2yWzwhfUpECW1XQGJ2HSiAMmjSQHtMRthmHufeq&#10;MZonFW/iQ8WTg3ICRzHHsekO6wXj085qOD6iHCFcVUd0qhL0Wb+NrL4wtU8xa6NwKqTE2rDx2FLo&#10;SP4Er/t56De+/uHleQTlEGJ99tLYt9Fk9Tws0z2rwuULi+J5CbrPYhP/FaMEJC4pr9kGXgvqnT7l&#10;oZYJtHd3FPyzOqUgDhWhPn7iXDt5RqY44ckPHVJ6hZpUL6prx8PnHpGfa7O9u6FI403FPhwV/NPW&#10;zHVqSZmR0MKaIXlU7HIotGgdLglM2Vg6tO+YajflNnEah/xS6R0qq4LeO9pV54qpjiCTTWk/21tK&#10;3RBzuKcayc7Rk9bzyKkTbUtFFb70L/9LBetcVQ9CuaYoBCBGku4wsqZcvdQe0ZxXRBtV9lVwqsAR&#10;zSVMAUvexL+a/X8Q8+uMsWNR/72PFdXxjT/rVoDJffutOJMjx0Jx+vgJ0bpj7fIlpVvgLtLc3LRc&#10;+3lHvtj4bWUxEF28Xz4TRySX5pao0lobdD7+Ed8Hji5IUJ13JxjBscscRkPersYLnmW5ECh24tQY&#10;XBc6L/KUY5GKn5N5zQ9jpNoWjHtJwT00qeAlpqgFyMyHCrzo5q2UXMO8hxk1ZiE4a+dwSPkcOMSY&#10;hxhYPclslCV/iI0XBtBSXUQcXgukJM+6Kk9sgLxqwsnBXrp6u12W34uJsQmnVdfuhz71MRw57Rsy&#10;PrO4lEabSCdGaBbqz/YDw4NAY4S2AwB0BpoP4l85OFYAbcwYc+0STliYz9btdvfa69pkBcBM3Wjb&#10;swLqezo8NAj5R9UOpK1r4Jv31T1eB7GtnMsdWedW7VdST7SaLO9dyQFJR5R3XkDw2BMnbC5Yl9YM&#10;TPG5i0+jCnlakZCg1ARccC5mDtZGtB4qC5VGxNo2NM6d2++38+dfVd+2K5JJFRhEsAEBFqorSOf2&#10;Y0LAKUKWyWP4E77Gu9ObH3QE6uLJdYVXX5Ppm9SBZz75cUfKUsdwg7qSMgkvKYH9goJnUsCAV2Cn&#10;M8d+CmYZCFcOPAnBjgk/sOGUBv0GMWh6SlEC+gRisjpScNKFCEaHGGNKI+cLH6E3Fs0NpkN5M+8l&#10;c0q4fsrDKfBCwWa7ElxIgJ+Vc83Px/Spm/fkT+aIiBGAUXGvCSt+VCJcwY+Cqgh74QBoQuyPKxbR&#10;0cFmX31P2pKZQiqnJOUH8MMnmfq4zBBJmPNmUXTXmHWxARBQ5jr6HNIMm1xh9k7TsOndmx3YLzYT&#10;RgOcVeCS6VkFvFjs8b0BjnUsvbFn15rCQHlxzZuKEr6WhigVARvJnHXs4LeDviBo13gR9XI9rHAR&#10;dwPNmt1ApJuZA1U8Jnl7mKpFk/YUdTqvdR+6oUlJU6Rkmgo/E8uwqkTv22/qrHTtppr7UmqMWAk3&#10;eoawykpFsWkXfReHJOcXxkaO4qbo1bbeu0+fvt+Ue2OLeAr8o27nVWXWHNjmCVWwlPQ+Cnpg1R7R&#10;rgq7KHhFAHO4sdeDmZxISJ57W7EYj39SHSJ20rsx3R4UOCSlwnJHl/CKQXTNLbvP9+VcwhTt548x&#10;dcwA+x3j31EZIjZNKKXf8TxmULEL8xL+nnvqSRU5uClf4mI74i4yZBNh7txVepnKH1aqxRy56eyb&#10;9tFWRIociCeg/64oLWpTZ7Emn2QeAz5FmcKHSMNo0i6gmS5/qG8//eQj7ZSi8aGJBFMt6QctHSaK&#10;8L0ol8iCNPZFRb8uy5+7qMBFLJuLmiMl+hbkwsAagMuFeAXo8H/1+6+3mZ/5/I/6ASD9H3/7BZUU&#10;m23PP/287cHkmNCs9b3LF+sQZFbBz1i22HSi7jlY0nrwcWicNUVdpvNzpLsZVa5newlhJ6XgsKK4&#10;Hj5z0tx/XvdjciVX7NwZmbHOqi+biMIWdmVgLA4IH00dR5iXxmfsNBwOok8Y2IMO2gMEcDvmdjjJ&#10;MU8OPGBYY3YACnATJPHEQ6fbe5eutXe/8Xtt7485sADeGPgdpt8Bq1MRRh0RlRKWAnwAm2kK+6Ru&#10;G4rqtf/RYdyRjJiJx7XpbALoMMXkrvXPyPVJ3znXGNRDCRZgLCYQsw5PymSQ0pYEMIdXjrYf/7Gf&#10;bl/72jdlun1HUvREe/uQHa29nOxRiGj2wuciQn1bBP6GVLaPKfH27KOPyDS8LuBcbBdVfeJPff6j&#10;ClG/0v6L335hCEyZPCswxP7EA5g9ssmtiLs31A8NrNEY2FqUvj8ume0oQRIICSBTmW28y2ZyhM1L&#10;qKACjogvGqZrhiKAVDkwm2ZgEvgqqXOqtXDJpCIM/swAaJ+Kf0cF85g7ioYF4QgS6AJd1/IAb3zu&#10;PN/mHZiFAxt7xaIIp25LhDRdXep5IP36HGDE+fM4EQVTYYOyBnbnhPhM6NzhOpxm9AUnhVfsG+nC&#10;RJ+SRH5Mar01Je9RMK/f0xmoH8dYBdM5s/1wAEG74VTSlGc7Kl/co48/psviP71wQVHZymnGVFsk&#10;fEBNR7DKREZ0Mi+bi0dPACrmFZCyrImvXnmnfe+//09sgcLSgRDv/UYT1xrc9UPvXWWKqjcEYEjF&#10;7VrrZNZZhelh6H6nFP5gjgIMDniKGd+avf3G0EDcJxThj0UBIEUwIUK3m6sZDdNirwsLQ+VvtBfg&#10;DcXAlgOZYA+rEs8ZWZ9eeOFdw7NhWP+IMLfNSOODB/bbF6NKo9w6Bfupyx4Wbpaf+jU+q6z6B7+S&#10;QxvBnHnCiHrXkrMnTrTnnnmsff3bL3mP+DGc6x/MisCgeXy2CkY8Iqb0+Nkz7Z9/9Wvt44KFH//E&#10;M+2br77afu2PvmOrwqIYGkKHzwH40z+EEvbOKGWYzRn8hS98qn3imbMunM58oJuJwMdSw1mk5jBC&#10;mJUOnY37ulZZUwQmou/l5gw9rbzLmf/0f/u3nPnPQn7zi19v//Wv/kY7puaLTz7/SDuuOnYzU/Pt&#10;//kPfqNdkJmLicDZPYHSBAdg1rhIfyeVtP6Lf+oz6U4uponEsGWJiTDY+AXY4GkxvkOqGH9axXGd&#10;jK+Am71rF9pr770piQHJdltdz2VnR1JgHN3LPAHuRFhiihFw4DOylPZv+yqOOEhQIazFCQsbzKUm&#10;iMGByJSyQQkvgi6I8tP+uA7hYOPvUJfxuoQG87YWrfXMcVDWavLDi7Wxf7z4/5rEcIQMgjscfk2Q&#10;kgMxcn0XBnwvAi7huQPT78wRe34csNMKyHGRZ/bfiMVxVtV9ot6IhNS6loXIxyW0OJL4T/SKkNH9&#10;aV3k6HjoCD8957GHH2o/9rkfhkv42TDG8yKK35++2T56RoEuMBoa2+YUEsBSRxTGCC0NrJgoWAKB&#10;QcVnZzjUfxAn/qaeafp/5l58210jwcjg5GwYnl0ECioisAvGZ4ROcE5yEsk/1DnBpCirptJ1XHJI&#10;43OerMa5hTwLv0Vpfl27Ik+VSOIZ1QDu5Q7vU9yc3CsJnulKo3XLlO6V46awwROBBuYrIsk8IfLF&#10;8MiFZC9SGIeLuENPFnMhShdTLmWyYJaGFTG2eVHndeVvOgfZJvluIkPgStI+jy9rbBF3ItALt7y9&#10;+OvM00ygqE2sANOBvgamRoyxzpD75CK3H/y4HOoPnz3Xbt261R6VEPzmm2+28+9d9BzTzivDWThk&#10;b2xSLqGwhEMeibB3WAFEU9rb6zcVAS9GQtH5mTlyzqJFUsidx8JVIOBo7ESjLh9b8bMwmTKWS7xB&#10;7FHv+RsNHfhw6kusBcZbhI5ilJsi1Ny/refvalMsoNtio4hucBUTnt5vEhCiNQCLRDmvQxeJpuTk&#10;9Mx10ZM7cpPY0K/JPPrQw+1T6nmKZLRLtKXMvwT+3JVywly2VPGLwtW7CHsENWo+jM0PQUEIRzBa&#10;zIJYD/gMoWPOc6NSkX6jHQmWiT7nN0wZzQnz4SJ5gPpNtCyfU7TBvXNJd+A+WVQiHGgcmIzTWqLj&#10;/5wsfN3nh6WB03StY9OcqXZdwUcvvvlO++HnHm8Xrl9UlsO2ApWW2pOPPtP+xi88066o3N5v/8Ef&#10;eB97Z6EOE10oS/wAPmPt8bHH2+xjH5fWL80eTVrrpulBD6CJOo6/EYSPtS0/JfBFejXuBmqZsayT&#10;q/cVTKD3d3SQP/3zP9U+9pkfbt944eV24eqVduG8WiK99i1LsqZPbHipwhkcgBlIkiWvh8+ebn/l&#10;z/6U7bpokq7ogb/FWkOQxmSxbOLu+2ZAK3Ud35g+AOASrBCENRMkfJYoJExMXoWIiZkmWpAkcnJ+&#10;JI1v03HcjZHFkGWqJXJpW+YRfty+Rz+ud4kmBcMV0LquIEzbn2HygkCk4ktPROb9li48pACbLzz/&#10;ZHv/2mq7q3BeJNBV1ROF6WMajiSHVhM7Nhs/K4TCLOlUF0xhrEz7h5Zsx7vqVLK3h5Vcv6Eot25O&#10;DUMjBDtaDBog+3BYVTO8l+wjYzoPJw1prSFiYuiHpjGQtjBdc16Md0SOfuZDCHh68021s/ILXBOx&#10;elcVIZj/usw4dez+PfkDISaamdmhCWMEAEvYnJnGVGaN01VgNA8r2vj7r72soryYuWj8CjFQqs9t&#10;MeQjCmooq3BnhjZZlibiky5a65Qg9hbm4cTq5OxZphTMzCqtyGH1fFLADqzgD+qJ5PeF+HK8JXma&#10;m1ceVhdu/W2/pv4G2JA2NSnMPIZw5zxJsCDgY1tBFfPRxtljiI/z3jBhqtEun/Xi4PQXnJd1ZEHM&#10;AG2QKjNYBTClzooRYipFup1VV4+kC0SdJfWGHFMEGPtE+A8mrJ9En4bhOQKP9zLjUhv0kK03Ee58&#10;/hprltKD+nzuqJjiHSVAaw0708BC9pVzDD7F4sEX5F3SzX6KbhqFa2FPuT6ghXAyNr/muwBEXoyP&#10;JP+JJ0666fQffv1b7QsqavHIQ4+020pZeP6Tn3Qa0/defll4mTJfti5pvbMEkpV6D/yi3bmbK3MW&#10;3twWQ/qZn/ix9kff+b7xPNaS+NTBxXX6kGrvwHW7gdzGDDNZ8hOxKkBPNmUuxU1jf7EmnJQHwvXL&#10;b8ecbHHJb+Od6xECKjoTl6lMd5kIuSZ00WywaOgXgvAKXVC0xhUIsWjivM53XlKFmZYEHaLGFw9d&#10;baevKocb2nlxr31e9/34p6Uc7KyoE4USzXUmpMLMUkRea6XdF0HMMDi0MsZJtxit1wnyNNJNQ3gs&#10;HVNzinKV+ZC6r7wnt29auDCtv92sW+N4f/TeAb+mLQmm3IK22PddZ2DpCIlQPwhgtqpQ7SmBZwji&#10;DjArE/Ezcjs9L2XnonJG/+qjn2p/5//9/2rHP/pj7X/xv/8lCyK//i9+o/36v/49VZ9inowVOMI1&#10;5ER/ok6JzNbewgNWBEMPffIz7f1LKj5SFjXzFXid7kvgHRpt6hxbmfPv0EsLOCPa2aXwGSokJDJQ&#10;rTmIiDy+0n7253/CNyIt/Lf/4J+1X/lnv9pOnZpq166p/1dNLiBfDLEAgdSCJ9Qu6nN/+a8r2ij1&#10;/UwoQSZreN2klyADbzCVCCjZA8K7UzXpHABZAC0h62BBbPiY45BuDt3Hf6fkZEt55Y9DkrSkDodD&#10;WhbBV/TlfTGDe7tqUikHOUES95Rke1/5QRLVk7tCqK99BGGaECSYTTc/YsIlSCSa6p58YTDeF1Vm&#10;J5LGzv1b7d7xTgtirqHqjqxmUiyEzLoGVR3mcFfRdG/flgNatuFrKorwUw+vGLFmRAyX5RO5tX6j&#10;/e55HbLGACgSABACH3EmcvT7l68YSE6o/NvTp1TZwQEUqSISAoeqwz1o0ypsozGOKCK2S1r4wEAk&#10;kGBw2qv+6RtvnJed/mg79VEtyMBVJph6tDue8FO2jMHnwGdmZCEEU0LQI8pNWkAo0GvbwoJw5/5G&#10;e/2d89F0LRpIokVg0G8CY7g/VXXGNojIcOCWVw+hwZQjArGnfTRD9FEgfEQzxooQzWWybTFBh4h3&#10;YQ6CsCiTfVeMESL5DqmYer4wFYQYiJSZFtKxfBWZES/gDXpSTBOND6RFGBBsLqn6E2kTxhZrHAQC&#10;JDTfEj7RiMAHPi3y4hR1bZ8++bhoKxXsFuFRyKw5UTsYCdTFyWsPU4dUhKMEI/CEAutk0YFDEJ1F&#10;1VNN9kDwwGhVBG7SZy+rMg6QM+ZImpjBuQErRsknymtUTqY5ap1LpDALhYEcy74WoH7u88+2169t&#10;tdcu3Grf/c73ZPrda0888YRyxLbaJ57/SDulKjTf/v5LdtkA84sioGgsLnOG/wn/+h2lRMitYkvT&#10;lGrTbt5ub33/G21aZjk1FplYGWzmE96oQTkCy/SUiD90CO1QZ4Kmg9/+a6+/0546q4hsuW5eP39Z&#10;BUV25T6aa99/T2lSRAebyE+Ic6dnne5xNgua6//sRx5rqkliQRzBhTQhIJszRlOD4ZpncEIwTmBZ&#10;851Dg5fMA7ObV60xBC7jq3ygHb5I1Z92crpwF6sh8zLfDe01rUME9MARhoK4mgHgyyT4DhM1whSC&#10;g37vOGUHfy2xBWKAZhyJ2HSx/LAV78M9ncHyE8/KiiRtHNqsb2YlINqKqeu8R1hJLIiFI9kiZRwu&#10;qw6/BcNHdN3jTz0qd82S8hZPt//r3/m/SdO/2P7yX/zz7eqNiwq8PCGB/VhwCA1cAMTZe29xA4j2&#10;08KQv//uf/Vf6uzm2sdVncYBaQ4AlclcElUKWwB/KBWYt2PynqYDRw7SKzSsFkB3uFYpwDR/ZJPt&#10;s9FBb1EmRxINCfWf+uRT7Xf/pVoXXbnogAzsvTibZ7pPpwhScq3uq6XPmnIKJYXKLGoVG8kDqb5U&#10;7W6qiL04Km1XYTsRNyGDgJkxsZmYC9AAkBbUIVwtbFbf+L4CgyJJg7A8P4aeePKoTWLnOARNwAJu&#10;8y0agzsxk8xukxonG9+LDVcQRUEs6zPRFkeBQFBhQXzHxJFUht2jD3mOh4iHNxxAYaJl0paL0PZt&#10;7uUbpBERM2sUev8ZPfvm9lT76vm59m0VRfjsIyvtSaVuLAlR12lQrDPBX+OAJo2ZJreVBhCa5bXQ&#10;b/KZR063f+8v/pgZCkSSdSVyEBt7/BNuyYIZFomrS41oIMyHRHVKhCFJE1ZeJhX7R8pGj5ZkGz1n&#10;BrExUSqy507kmHUjtJBrtCfJmxSdo8oXY/4UKt9R14BDO3fbl37l77X/5d9/3xX12WHEMcw6TnHR&#10;nnVWU0eZICvtIdKx+z5yjkQBioHf00Zjpt8z8Yc0CEYozi3An1k6aW3BsBQ+FU2RvzXHKVWwgAjO&#10;ygS3rAQW4IQkYV8IEWsqh6c2TG7lhDlSzzEz5Tv7G+sgtO/bqhIwp+R+a4KcG9qHKhDRXm1RlXVc&#10;1cYTSRI5THEKJNW2LclFgYROTpY7b2hcJytz3lhKoGkE4BgXCOLBxAe8IrGHEU4h5WusbVrsSAhz&#10;gXKsHroXww6MPvZoaaO4NZXkvCOBrNTC+KZIndAl3l/2SlrYnlKnTHPxW3JW4GQoSeisfhPVO/II&#10;elM6sUHz+7nnH2v/q599UoEOMv2pJNHf/MSftsYCTK3IF0WUqIoDS3H/YRHnX1B0oqIAlew978L6&#10;Mh3KCkPZROpavvfi19vrv/lfy2Sqaln0uxRc74ryTy88T10+76NyIXz+TtC3Rh2YtfZiQhgxDjPg&#10;v37h7fbFr3y9/fyPPNv+1l/5Wa1trr0m5vh/+rv/0FYel9YrE8WEIda56xeC66zw+qyEqlMqRL+u&#10;IKtu7rXwWLvR0wZC59CiZGIF3hEEhZ/rer8o8zYBIs6DNc3A5ht4au98rS2syccvJcVGAFbA/luC&#10;JJyz4LaKNvhEYIZ274Supe2ZfuNecN3e7I9pQvkIp0qwK39AYEvfb6nE2g2l0C09/FQ7qlZYlKwU&#10;91fcA9HUMf+bPYbXhD4NQm0+NPPROgnohMldV8bDxz76ZPvf/W/+vfbf/L3/rv3+l/8DV5aZFTzg&#10;F46yE78wMEi9YwpbnD51qj2lVJZnn3rOkbmvvPpue+Lxx9sp5adGcEUS0DNcrQJhAYFK+CUhEGpM&#10;BCw8w1aVjsP1u4vh6nJEM9VUxADpbKaw1HmovaL+WL/2678jM4TqdqrO3JKupfr8GsingbA5w7nB&#10;Ijb6cz/8ufZn/sxPSisgP0XSh7SwTdU8ndaCUusOIIvfjA3HRt+ZpM0PbIJ3NIjFi03BxEE1iD1p&#10;e9ff+F7bVHPOIxqP3B8fRom7BuDSMu/JHn9fuTMQSt5PKyrhnkxBtOqBYdJWF9+O6aTmZVYKw3QU&#10;IA8u5orvCASAGCpqbW/xSNv62F9oO2eeT4I95rAitvyNZGXzHQij+/hhr1zmCyQTMTup8R/WeB9X&#10;jN1XX7vQvvb1P253b+y0T//QJ9rJ5Wdae/mfmq0PARaGp4mp2mvmmYpwPfrQk+3Ip/+sTcXUesTU&#10;wL6awbFHVb0jBczjA9jvu2F+LDiS7cE8ny7MWNiQdo2JBiYdiTfE0ntFSDp+ECpH2FylKD9r4Jiq&#10;ZcLWvl579Zvqq/ZdRyPviYvD6LZIGaAQOsRb98+WpMn5958uytm3imKmH0oMJtKZos8JuurmW9qK&#10;Tu3ctMnqLuZpkNJMlZ+Makahz2cE034SghvFojHDQJBg2sCGjRUgdpiUGZW/gDmKWXm4lIBL8I9O&#10;TmuDkc0oJxWikkjpMDx6k2Ja3ZUFg6LR02qBhSDBfmFuooamq7BAwCAsZmiY3JlLqtegMtvsw7Mh&#10;bkjH4A4Fw+WncSWdzgTK3+N0E93n7htbkewtJIJkRcyc8iTYRUG26dlMl01j/7ofN6fBo4+h7vh9&#10;fvPq3/FemUZNhhAFVqhtk4Tlw9L+ZhSNaPO1THcEBh3CjEeeG7REyesz6hAzzQ/lulQGjDKSMES4&#10;+ykFAN78nGB9VWe7fFQCjXKjpUFNaQ8xA/LDteylO8+YsCb4z2Y8a0IpSsBnn/pLi+2nXn+7/cqv&#10;/KP2xd/5avvYR55pn/jsp9UP8Msy8V32erAY4B80XpQ5jz2yOKI94XzP/sy/206oOheuCO+ZmQCb&#10;GyGiE1ubYOvZXOPuJvpNvhzXkG8MLvCY7Cjjay3P/kjb+sovt/lL34mZ07ifFLcwyBQcJ+o9EdIR&#10;dimAcghmCLADH45UhmlguRK+A68+48K18h4YBW0ySZrXEjVNtQcb519r19VN5uhjz+IfcJ/Dw1KU&#10;0LrBRY9TtMSjei/ym0L29DMER25Js7+ozIJl0dINpa088fjD9o/OzKo70L25dkORrNAweAK/2SPO&#10;9bgsT2dPn26f/PjHpR1+rJ06ecKC/W2ldN26pYLwFoIi/N6XFcNBZrReU86v8Ul/E6uyR2YANMBn&#10;GjGcfXNhAL1mQEKSKiFoG6oCAdHBVLMh6f6oVNn/6f/4323vyhF+XZUWbq/eaNevX3XeEYmUEDc2&#10;BYA4q4K7n/jEs0Lq9fbuO29pwqpao1JuaCoz4v6YQzb1HZVynHaAM5dejNpMnNEElZhgFyJac3BZ&#10;NFr0qEPExdfb7bcU3aSJH5EUaaoGJBTwxMRatQC7huj8FzSZMJiyxsYPE0uFAa//hLQCaGWXBljZ&#10;VDHSWYVG7z78XLvzqV+Ug/fRNitz1yIaJxuNmq+5Oh/MBLaGNGePdDqYQIsC5bPWfl7dLn7sxz7X&#10;vv29V9w/8aoakp5WqxqI/rqAaIPmqfj8fHid5BjSbEdH41p+6iNtSdesiMAflubBviPF2ZdgzSKm&#10;hH+7V0imtW1t3GWd6bQ0mBlJXg5gGTSECA8E0TNDIlvjB2PbEyW3I61jR/6dd1/+upkYBJxq+iA/&#10;SEKpM/IUpWDKzxJE6tpHxJWcjH3RRXBiTiyGzC6bkHBWMkVJir307nvWtBdcV7QIGEIJO2fpUzq8&#10;EG5eXQr2JJm6wwT91wimIMAGc76leurCVjScHV5I4fgEk8IRq2LOwoRSi0rIuCUZz90+F3IOIYL0&#10;Z3RNVX0jpuJgJ+EfbdnsMmAPwQtHjhZRsSnMm2Ut0B05qkWVBUlpZPah6r1D3ddj7jVxNSOGECI8&#10;KgJTvstN+XEZy1HM+hzhhCLLJoZaj4OOjTOpmeoNZK1BsYLCwGB9M4BWoCZMgVvx8V+Vtq2WmnJj&#10;UGxCQgEPwpqBhYBIW//oLqxBuDdEH6wpl2sEl81VNcOeFd6d+lO/6L6uhPAfp1+iYJ4odoTAKcoz&#10;/Vu+fu6JJ9vP/dzPtLfefrt94xvflMbyr5wScfbM6RKAxNxFdO+IAdDtJ6+JwLyxcau9r3zqj/7Q&#10;x1XwQRYHNHRbThIX0S1ePVAHaMT/iXBsM15AONHnEpxoVG5fGMwSC5l6QyIstJ/8G23ne7/Zpt/4&#10;3TS8lqYTvyaMLUxvIt0grAEPHP7kxwwZxompkwbMTuPCjFoCRAkMPRAFgBgEZp3Vilrbba1daze/&#10;f6OtPP5smzt+pt1SUv6i6pkuKap00AgtNIAbxDygGaoMpmIJ1vVzS0z1fbV3ksjYPvbcIzLpL4vh&#10;LbUrV37bsR6f+ewnpIkqQljuNxoX43cGp47I8rQoxYgOQuv6/E3Ro8vqOAS8G88QQKydR3jpZm9b&#10;ADtslxDShQ7Lm5WqxXuEeV4zl9UBGem5l9C5rUVeV5FbcheXtVCIB76bwzID3dsl2Vv5c0T2WZKQ&#10;FCGpDgJ1QT3/3nnrHZs8zirkVsple1wbf1KFxGdlL99THVXC/lPRoWs9IoRC6CNHjkkDocpA0gYA&#10;GvsW6K68pkoVr39bYfs39SzlpKiChDccJDKixsx6CN+j/ZBUTcBHSZBPVVDApIS/kuoWjn7EaRVS&#10;XrKWASsaAEBqip8faTn069h59mfa2kf/osqjLbQ5rWVKvqsuITt30CGJkbCNNvrtK+rv7p+w1O9k&#10;72ipAP6yKqj87E9/Qc1Mn2v/h//w/2zH8Sk1OMXuzt4aOZBWLemGeHEz+3NOpptl7a/78SnHant9&#10;rd0if1KE9YhqNLrKhjRlbPDzCysCrKNhWAgJMAEYmBEyAgVU0IxQewWQ4ldeVVTYntImjqmqEX6P&#10;7heJGqOX/V/4szCtMhyRexBqzUn7R2++S69/s9248Jp9RLOUmQNhLK0pglFUmOixNV0ulhoa7BWG&#10;CfoR+qHuadf4HIlrws2FzNvqvdnnvM744z/719rr//TX1dLskqX9PV3TSZr7qFFIQlGIlHaii4lh&#10;CuYmAQ1m5crXbgelfZYZdEcRgmak+nsWJme4S4Qie7cjfzwNVqfFrDjb5IzGRBxN1VKCTfHprMFe&#10;IRTmGe41yhmjwXE9ghv3G05qn0vLYAwYHOdFQXosAmbk1l7FHNQHchfzqH2g2Txbg4BPHLOCCed6&#10;At76PxWH0Dd5ijBFghYmtYgl/dEdNzgLg4n+qWOcXQSG9wFh8h2nh1a7pb0ih3BPGt2cpB7Op0fq&#10;psNFtGsLWYbtuAksvhgW4xM9IjBdVbmwo0ePigli8sekDnxJ8lct2EPy1d93uH3C+PscDEcFQ92P&#10;HAtMhzKCN+5KA1lqv/CXf6598oeebl/60r9sL33/Fee2LYtoszRoj88SC4AZcHyNjPPr/+y320/8&#10;6I+0jzyrVnEVQEa93MOHF4y36zJXc93pU1TzmhODVbCJWlFtuq9iSup50WWqZc4pKp/gEIJKcF/c&#10;++xfUd1UdaB46Z9oa+QCICeQ1YImJvyd4WEu5oegGc47fkRcJPBCZAfM993Xhu8Zd4jL/Jlxls5h&#10;pugnRNDRc5YkRC5QmOCdl9vOjUttQSbVbQVrblPj2szJTrgIUPofgun7KmVJmh6w+fobb0vIkOtC&#10;z7srgemETOjw9uc+9WnFM7zpfrFL6thzTIqBJTCbZlM6kVxCgpEOqc7t1g097w7uHvkPq4oTPMDx&#10;BgjzgH3h3JAHPkBp/Le9+4yLhet6W6mECTMKdfRCtm7fcGTl9eu3nNR4zMnLtC+h9c+qqqvcEYGU&#10;CWOJOqmV9wHAkyQOEdA/iO6sDmpLAHpN7VHWt961CYtACpzb+Jo2KDuGqUp/L7pKukJ/+4Fp3JMn&#10;z+pzhVVLk7jy0relsr8pZ7Qc46rbCEXsYemRXCPpmiGaKYIk5Cek2gQ+mikauRoJqALCcUFkMJHq&#10;PVU+EI2RpqCxIg5pVQTjJMpUQTgy82x89JfanUd/1EE503v0PUNLLQnPjBDAmxiRYsbzFyEs/O3w&#10;8tKcNMdtjY0maKaMg1gEAAn4L/2lX2hr0siJYsUkCiBjpiaKM0gZRFmWpEyC6p/+mZ9ILUeZkOIX&#10;TfcSzODTkuyOKmjm8vsXVFbqhHxc+Cis7nhOVJjPKz5ZfLPxL2PuIOBBfhIFN9xVnupJwt8hOGYG&#10;Vpg0RplMWJe1ytLI8YUyFuYIfKyCrXe+9a8ckv6uGvetKTgGwm8aoHs5fyTYLQ2K5jt5dU0kHeBn&#10;dGbwQqMJmiLUqgSESKlJSVDYRTsj88rKl77Ybtxgv6gOo+/dHJDKI1gCqDCj1BPSYCxkkyIhmNEa&#10;0bB9PeYxjUmjUsNbaYNda4KhERpusxhCFXTN0b8klIdAOLIXJqvx0EhhyJjyYuoJA2RWBGjMKPwe&#10;qwMC6n2XWcGHrvkVszSr8B7zg7BDhCTl4qqbhn3k5F5Sv5YoWTYqGmHkvJL0ZPpyA+PIgO76QWiI&#10;NQuIsbu5sLfBr4gnwTfn9uVYTKp8/ejEchx5Ep1NNuRnI8jqngKaTLz0XGr7smhAzYQJrbiM8ZlR&#10;hDYzcu0LsI+AfmftlgoyyDIi2Hc1IPvAZc63nzz5ZwGIPP/DXp0hbm3fbtdUzemGOiWkhN5U+4M/&#10;+oP2Iz/8w+2Zx59ObqOEJlIP2C7wDcuYLTAIwXo9dOZM+5hSKGgFdUspB4tq34WP/LZ6MO6tEkCX&#10;YBVw+fbbIviieS6lif+LvXD/0lgFqLRiLqT3neFyxjOah6OO6ff3iX9HdYxPtpUXflm+1eui5DBt&#10;zqDMnRRoyNticJwRWiFxDXoSvTuJUFW0clKNYMowCWgk3VlyNj7GDjMIKqZjEX4wGS8uy6ysspDr&#10;r73QDqnW6ZTSRlKgm+IHtL+jXik/G9L6JKTLZHpPwvpJgpmk/W6Lrty5KPoKU9McKMf3vISEDQXR&#10;7F3Fj6+9AyoJAsUNQ0YBvnL9vShFbFE5r64dDD2Utuv8RIQV+5LRfisnsSxXqVsc1xF+Wysnfh+Y&#10;sdlaeMFr5vju7bZ28S11Hr/W7qvI7fL7b7ZjKhI+I8f1oQWZ4bQhc1L7aI67fvumELak6jJvzGPq&#10;sI+jJBNq/1GlXkR0WwxlG+CxOUQ1OSUh7DoQBIcvBAFmEtUdh/uJ02fa0888oTqfMjFceKtNKdDH&#10;hEvXAFQgoJm5iX+hqik0HC0IZMIFX+Q5ihqoGJBItyCf/DL3xbTTOA8zUqEQmqP9TRXtqnJM9449&#10;2TY++T9sG/ot52iAVwCGPd5+TDSX0opMNOxTMjgNhMFIDtHBZKYXmtmGgk4wycCsjxw7bmTjvuOy&#10;kZ9UHdrrKv1kcyHFky2jBdUhoO6nV4wRunXz+lo7//7N9tC5sxIwyDE6YrM2ZlMY6oKk3aee+7TN&#10;JJPXmIwxeCRgsADifFfaJk/cE2G+ef4tRYzB1MsUZLQoAaDMFWaAJr5hio5YA+mdOnNfPSS/odqR&#10;76ta/nx79erdaCYgmM0r6Tt4TCa+o5rCooI7sthCTGsSOSPLQCAle+NE9BB2bzFf6j0+7rsKBPu/&#10;/yf/qaoH3baJ3vte11oI0TPtf6L+KhYHkIF+dUih9sukkob3HcZUyXmeUs0LxhatT2sXkw8+IfQg&#10;uHFjmXTso6QDDGZoQAH/FgKVnuvScCAjrYXKFFYWGDNeS8nsE0w8glgKN2T/gQPSNiJs8dCihgg5&#10;viIE1pqRNUQhv2CffEsvozQBBA4ber1mGHzW7jlE9PA4FtxrC4C9UzorznHCgGpzMhOj19Wr6uJy&#10;+1Q7PiPXyexRCZU9KITBshafKvPs/0pYslBBjrPWuK0fYOQtWS2wYiFkx/pB/ieWFC1PQq59ag4s&#10;MQUfXoMFR1aT23eutXdkfttUZaJPfPyz7RHlyfG6d3+zvfLaK+3xRx5rTz/xuM/QBQDQsNC4NJ4T&#10;0zU2GhDMGtzdUPFqLBE3bgX+YXgJ0EHzyhg+B31yXd2IzPQQrAum2QHGf+stNQlXdC00BaF6jabF&#10;Ws9hmQxdvFz3Pf7wY+3skz/abh99uC198++2metv2b/npDk7nkvrdrRpnTH4qwOzIAv+OPVEfyBh&#10;YpGIdd+0MmjEvLOPXdgM7JfFg62FXgJ7d6+0DUUN05kCU+8epe1E23b03uXtFF9ySHRk1p0t1IRY&#10;z1vUfszSMxJcK/i2/U7fzaKzpFSRIY91JRYWC432jFzJKfmeieanWL8FsPAA032NR+CgW7Oxr+Aj&#10;QWR2aUQAtZaID5FPDOuyVFkI8x3yKa5dlSbwpjSJwzI1vd925DO8q9HPffzzKih9zkC5srzXVkRE&#10;rr56va3fUiqA6/yxi0EbF2bum6a/rQkeETdXV/NInEGqo5yRF5uAGmtcIt74E2conXZltq2/LI0B&#10;zVJO9PmTj8rvQxVICs6ipYQw9PGiKeYkzRsLsbppNEo30rM2oByvSISeLSbM2JWsqZnRap7eFxBx&#10;5ZF29yP/g7YrgtVuvm0E4cG7Mq+hRXkNuo16jpAgaw0uXRWC56nV/rhvHuuU6ZDyZrQqgYQtSEve&#10;U2+xQzLNsU0ufUYQExKMpZ2EjzuCl3wbS/CaP+khArIp/LKS0EgIPi87vU0uaICSoNhT/Ir4cpdU&#10;5miRKvxCjivV4NgBTmgpIEaont8jhZ09pcharerSGy+3eflSFySVxYASxOhErE4/BLhSZwx8AFpt&#10;wKaErfe+9wcOSd+ziVPFlYXsyyXREiFK+sQSOVhCavplZjYTYssTOdtNa0IBbO4zkpqA6r19KjGL&#10;Ae6X5XhfFKLYPwZ81hqdd6p7p2kiDPyZYFXJLhAGQYfn2fftB7uTwlBpBgGQQtEQbFYO0sFkrflE&#10;WHOFKi8DOJD2qxJruBt6NCnMtDMxgnE6c8f0b23SOb7Rwlmfzb2Opk6xBY/s9KSylqAJYq0x4UYQ&#10;jNvA5l4UYWsIcU+Q+B+fJekWYboOqgH2wymzBxwpW2NGHoEvBRMCAqwThghDHQ5sfG7QaO0fQXs7&#10;4o50QdiYXmmHS4iNoAOGCjfchSOFGzALU1DB8IMGDrMvTQkT5ulFtU4jaOfhR2LhorO7NPngOQRf&#10;g1jD8cIyt5rglesXLDT9wR99Vaa69xxFSbTrk089IeuM3A4qMUbXniXFUuBXJPULGEFbdFEIGAu4&#10;rGGVpmohiuout2TZWVSrMnfeEH3AChTzL2eBDl6uHoSgwZoFwHBOEejBzVkl6B+SO4v1o70d1hxY&#10;z8qaInJdIESWoxvfavffUyd7R5oLxzEdIwwAywh4WPGcuwS9hJ0E7lBMzOhGtUCzLznQjm/O5yMi&#10;tQtObGdZYQx3uj7mZzpdXGu3Xvy9tnnhZRUUELO3lSTAT3AaQj3KCVsB3DLufVwtCGcypxsCbFHC&#10;GlJpSOyrcSrUhZfbENZxumiK1pr0F+2f6RjBRD0wDQFGxfz5u7RClzc0LNRexFafeRoFulVIb4//&#10;aJu5+vXfUji4NDiFOO+K4c1wkFJ3t6++J4iWX6JLpprAzDS9vhgQW/YI5rxJYUCOyBLwQMBt2qDu&#10;KSQWRDcxIGgEE4quJiReDNhRUPTDQrMjOVrzpYfa1BMiyCo9RsRVoulsJBjO0tad6qXhvBghH6ag&#10;3g0BxJLsEYIuYHfUqZPg0MCQkiBIfAbYgoDgH8gvLUDq/cwf/b1sfGiBr7lPqxmQlk90Hz0NLD2b&#10;QHH46QXZpS4Ip4OFBGQO4db6D0O8fECRaDBHQDymhOAk9vrASrUHXOl47rBy1k/YP+q/xmJvD6nj&#10;xV2NvSFNsOT8sC8hDT5Hwt/5jcbIUV69sSpJmwr+MTvRYshmKBNNVdR4/FG1sZG2JTPGIe0BIfGY&#10;kdxKqDAn2op1rlp3aYkwCvZP37hrg8Y+//2vqhHreScLc34Ir+6CohSGSInsue7XPsjapCCuCSEL&#10;YfOjfC3bwh7y+KRb5FrzxUCkr0PcuaN+dXOLibIMzE20Y+6fEYHlM8yPLu5cZ5rgE+hETpxapi68&#10;jmaqPXC7JqR/8gRJucH0DezXtIPI2RfGtobrPQmXCbNDAEPAY/EUxpe/qPbOW4ywQkI45avEwOwL&#10;x8Jh4S8Pco9OzGbCNZhbqrBAcATnBOMMyI5/M742T0FjYGqEzDB3GInz6IrRQfgTfVqb7rXk2d5r&#10;/UqNW6UVSUPeGX9niJi8IGbHkdoN+5vtjnx3xxGUyUqVtO9cTAcgubWzXNMkKRR+mTHEr1ZAYmH0&#10;tAp579ySpUUxBmAeFhHSUFz1xz534Cl0xjluEh45X/rqvfbyi/JZK+jj3Ytt96VvtF3FT3zj3T9o&#10;7z/zETXBFZyLDk5RdefKefWQVTMCoqG9MdAWGLY8rk6TEnPSSp2W5G3SPlKlCoFDzyNS00TeRwVT&#10;LwZP0Q4YPedomhQtPDmGSnvWgM+A59BDCwUcmf4n0jiHHxWmTADYhbhRsFrRlcPXQ7xMI4FT/P5Y&#10;6GJNgG44+MRnHEtL0kQiZMOQs9dhqGawpmpcD60qIcO/8/mu9mnr9rW2qVS97Vu3kRBsuryHRYo5&#10;YBbVFEhPM44MOBC3ibHEdJIccLYLGGOTo7xa2YCesizjShgjlqwddTqh81CPBp5YAbK+wC77h6YZ&#10;vDVc2E1VrNYyS/a/Qkni8vrTYoqritIDkfZ2pGnoAtpDMbfV995qh2TCTDJmTEG7klycWoCZKXS7&#10;pFXz8XxWiOquGgKeQzA6zc9F+jVRLJdGYP0D+SzURGwUwa/dh+AhYW3dUY+ydTlYT8ZWbAnQ5NGb&#10;FPJgluT/XJwX/xGSBptMs1RJUm4YClnCBIi0Qq+6kn7uiwg7LNp+jeylNS75nuaErPwzcxVA4zyH&#10;sc/58PrGk5tHsn+IoaVpAAAFDL9lAaJ9YE4utdAWHyPMwHCQ2pDhABweEEGYf4DRQ9pcGILJc+zw&#10;p86nS5MVk9WsrZHY3JOcRELdYYDkbhEJ/Lh8sw57l49nTmk2MzJPz8qHOz1zWL8V1XtDUV1rFxX8&#10;c9LdSxLJhZkBs7JROEhiIGduUSd6CTv7rywtypF+61p7+wVpiQS6cC/SsO1tYRQd1WyK1uHe1VB3&#10;d4OEB188+Si5faX1+TmdFU5AwvtDJCtn6lqS0BiN7eebwPO3Ppd53/4qMT2vx3vIemB0ekNWNWk9&#10;7LXmbc2RUm8INCyFNUkjMDMtpA0cAujRfCwYURHGuEHIN8IhgC5RjX6LEDmkYCt42V+bjNDywBlS&#10;PirICmHUfAnQ5zNRG/dstMYd2DXOVHs3ax9EP1rQDBAlEENMUEUi9vBr1b4naCVwz0gkpEc7yAlN&#10;CuUXNctOqdg9of2VGjKcZk6O++4RlAWxxJSnZ2/IfLapSkrLLtpaFp6CH2DGfR6tHZaA6onnxzji&#10;3N/Wzqqzzq6YLPiOqe2QXEBOB4Jh4K+X1rIl0x35sVt3pf1hyiO38cblduO1b7QTgv/21jfbtiwW&#10;Jpbn1VbqrLpsUEhEzWlnb99qm7fkZ2QeCCjG2zANCwXsE82h9Z1THvQDL0hPTTQpU9xQ/qJSnba4&#10;AEMtK2lSBpXQHawgBi/GCCNIDADrjh/a6SbRm8zQzGAEmwQ/RgvEbaTPFHznoft8oeEwPR4OnGHV&#10;4Ddr4wcGCuNBOEdIsVWHHxOywLPnhRlde4zmr32iIteum1kDn4Fnd7Ep7IzFKC6FMLmKW4BPsLe+&#10;NPNydST9DU9esDsrgWDsjRMGTDwzZ0efc3iG61g2/H1tOTOe/KlrWbcuCJ3lu9zrk/U5JheSl+qo&#10;UERY70goLf8YF+9s1MJCS7JhpuYawDQvRNrh+T6gXNfNMGZMEBz9RGKKpOK5oUnqekuqrBPEdvhT&#10;Al2Ku1pK3xGQzmhHA0hRkwM2mUO3VZlcuzs29nKZoYR4br1j/VAMAunRHjqIFZJRzhwgZBwc3t4n&#10;C6bZYd6TLgBybAsbpxUwseCovBDGztRsuXAbp34SUcsdQMhHnBhM3eeQmRtgLeGF+JDQUGdswpCo&#10;RHAiTKibLTlMH6Il42xV7P+5JjAY4mrTDG1ucHijYejL7euXjLwQVAsa1iZlSpQmN61Aqamlwwq3&#10;/piY4jH7DcKDQxQCZUH4aD7xA/ivYoaR/nTuohJvfl3h7apSMaeI5B0KUuo7IlE7uBp+tEYiURdl&#10;4juiS+jlZwLv8TtJzBZ0yRFEsvm0THcJG8+4bK9ry+o9j1p2g1uVMVSJIQSWDX7LJD6jwKQNaZMw&#10;RQqfp/wXUi6BETI/s/kECjGIBjWh9mYjeeasosHAiIBbztwQUEjmg8m8+i+6PoDmlshTss+CovNd&#10;MdHqWwlsDvgp4WdPApc1ehCGohrGnwAv199PRHp8KDUHrt2j0gSao2EivltrChRqoCOIzv6OLF7s&#10;I6PNC84dfag5L6sRcT2+CEvGsGDM8et6DEYPY7YT3hC1NzlVpmgo9T2n5HqZtVBK/9HNdlPpLXOz&#10;Er5IPdBZJ7BD15s4QzmtWmRvCS5RpHJfm03HaGFYTHTb7vaqrFzyYymAb0fpXjvqR8rf/q3AQApG&#10;7Igp3hMNobLVnhjjPWmA1C2l1uesAnYsQBLBqkhKR/AqKIiI7SU1y02nBk2FZ/Ky9BI8Auo5O9fH&#10;7QzMBE6w0Qm/r+pEuHCeJZqYFe4ajVh7ho/Cp8013gMbwJSu1znNuNseZlAQIyY/4AAmCcOj3uie&#10;CJrpgbQP6CF0eBp01PVYe/aAc2gHNB03AkFgluECvw5uokoUASiAkBlOSkaa6bF2KswoyGZXe3tf&#10;e5cVqu4otMAKQSxGXiVbYqYWBs7/mPHAxIoeWsunOMuwX1mjFfViejD+4ouhR6ye+QSEkmfNHH1o&#10;+Z/HYxwWo+9nWK+FTx+j8dl4oeeT3kFPElkfcjEvtLkkDIeoZ7xwdCcl14Q7XQtxrsMd2FQm7mLZ&#10;/DMtzANgUZhOrdlSsNg3s8l6bwG7iLDGdaAMtUyVrzIrqWRK/f/ctcEBPRk7hBOJvibrdIuS1Gwi&#10;jaqOdMCcHFsTE74OHomqpCRgnrV3UYNhHZQDf9KqyQMj8Mnzi/nOQGmzAPsUBoUD1zVPrdUBhKHq&#10;NnX4cHkO0JX95ksXzLYpoygnX1dAkDUU0+FIMkmiBnlqMBOHOrxirg4IAEFM4Io5Mo2IlD4PztyI&#10;pULYVHeRWOx92wUw5WPZwmf25PNOBs8NlfhswKrngcgl5XtcbwqfwTSm282L77R3vvklA5q1rIIP&#10;iqcnMjc7QAod9y0K2dVmUrlQHQGzTd2Kh26xLr9w798XBsQgpdGEVvl/+Lk+8UOfbXu3zrfHlqN1&#10;Ed1CBaD7qrY0c1zVbiDwmPMhDmZeCSRK41+KcINo8aPaf87QNWcTkDysfL0JzPGJWirJWXp2WCew&#10;YOieGRVzjt8vxCMEFiCrtVa0Zf6CQRKcpUA3RSwOJRALJ8EFxndwUMFOfMRYRDgnEC95vu6uARNl&#10;WEfQql2YtC0l+rVzC/fbGV3rpsLMS9ecPKwzA1e7xlNEzG7c2nVWiDSPhplycsFHnsHxWvgVHlAw&#10;3HviwA8FjygS+aQErrkimpEboAsRYB1Wb3gCe4OYSbXCspIfV06Sa+fSq99oa+98r91XoMs9RXLv&#10;EdhBgBwBXk7BSmm+rCtrsyvH5kJZVWQpuQ88ciZYVlzlZd4RxaZtZhJa9GxM6KzR+wnhR3BlnhY+&#10;ynVkOW2i8QD1jh42rvhIfW+sUd00GFrGf/ZJcw3nWppoGiuHsfAbSCQhvTNG31roZFKk/9kqB7OI&#10;pd4CUTTCVMfqUfuBw4rcr7MO1HIoYYjRohDmTCD1Db0xRedEN+6LLgNPlIz0msxYWdt+ugWYY6J3&#10;Delyq7Iq70lpU557359ORwqHCs1loi6hv7DLGFfwxr1Gz04wvN91vb/rNGdCL42zfAet1DxU3s3r&#10;nmHCticX43N5oPCq0D9vOshbCOxDiYZoJqHPOz1PHAU3cWh12GHHvidmyRxwdnHY/8g7Zjh9zEih&#10;3nxXGjCLM1h4FP9XlNAbUATZcw6kRErOIlzJhHPVtZhK4zCuazLjSEIAEiXgLO3gBA5wAdsWZJmf&#10;HxtGXrzAm9tbSPkILDCEiSEgJO2iDsSMo1fvITUiybo1sOdrP6e3qNZQsFougqyPeTDzYpoOQ66S&#10;aZYeOUqbPiFwQfT4DEqQoMpKl9RNMTD1ya+i4Jp7krgPyZzqxF6c9t6h7L2fGQwvUsixB9k7s3jz&#10;j39HUvqNNqU8L4QRCCfMZV6A7eR9Hqf5kG5jQJT2ctuKV6TDLjg4iIu99UfZQ97bT1GMyPtlJhPg&#10;p9DznbXr7YQ47qeePmJz6orybBfln6O25YkTi27uSttCrqf6Ekn7rMlnaDMTEiiRhoSDp8sLoePD&#10;a0CoMn/Crc2UCs/DIooYl9nGWh9Mks8RhthC7SFnwj9+Q2SADQdtgQNaK4WxDeKRwiHe8L0dSt05&#10;tL58hibWaFISZnCDUMtXfjDXh8WCbqsHKVTqNK8cuj/3Ux9R8vV6u7mmVClaxUlI2JQgeub4YmZf&#10;8M2zvS8+99AEzuC6BEsK5/fPwnJYdeAcyf6u5scV7lGpfd5RvdI1Ma+TpFWQR0xagCV3I7FTQ0Id&#10;wa8IWxDTWG+0b7oHZr0uLeWGSj3e/gAAgP9/NtS+wgAArcxJREFU7pdxRHufAzQhcGh9hgv/jTxJ&#10;Wg6+G12TIlz6GtWMc+734M8hkEOpD64ta0ir+IDEOlggN30F+QLHYRzBdzYmjCWkMBQv6/H+lbBq&#10;mlhnOglGjBZna0SHLz8ymrfHNBFHEMpzbNL1mXAPD2cHexEU5sa38TXaGgJNqBOK6IZAw72kY4Tx&#10;E2STdIXEPTB/Wqb5bLUvh9AQlH88pRQ1xW+7WpWnV7zDCkMxVrvATZ/0BkMepl580VgJYaC1Jm9R&#10;AVJgHWIdQgBqsUeBkdDJMPb8HjRY9iEPDO31toT5TuIPwmP40j5aMzusRFjOEqkuoRr/W6mcRURt&#10;0vBGmeoOg8d8VBIOR8LJlPJgctGFdz6EODAe2gwOaC7NcMVYcvhmqD5U5hCkM8E0Q0DCIaqJunUx&#10;NZnIw1wxAXTd1UiTTbCkVAwGJm0XEFKXPqcsniO0pI3cp70yiMdWI/mUhEH4LgAkpSR2cCNqATQw&#10;b6XBYGgEs3btH/ZmFIySrfKeRHouwPCZ5jA9T68dBjZBtm7/BuiDvFlbhIh8NhEIaozyETC/ibN9&#10;QqCR7iKU6AJXVOkSbDG4YS5aFr3mkLBtLk9KDT/eXwst2bMh+CKLyH7qXC69/v124cU/VpCOpG7O&#10;pcxFzHsBM52AgcTuI8r5WlFkrItBSDsleX9tO749T6e2uehBO4wFI49K8j/73gHUk4vmh/n0ysVL&#10;7dzTp9qj51QOTM9fVOHgRQUQwYRBdpDB5kbBDkgqScBIYYup4shcoabOO/6L5C7C4E1MtE7eOzfO&#10;di/mjBkLJsc58Tl7gk+tm/2RpBkrEcLROI1pWbDmRZcM2IrNcyVwmhDyXVUKshYLHghviaAmOtYu&#10;CELPKYpCmghRrNZ0Ah90kXExf4ga85cQcPTUcls6ttiOKoXlzh3ljAlhqC6F9u4OIHXeIE8PoDKY&#10;M57+fxPNvch1RGC+LMKla6jssl2967xK+9ym1KP1hto+HdOWi8HJvxnLiKwbATDjJEhloVtrmC4m&#10;mWAN/IYqLEG/Vfmsd8XUTVjL9BtXDG4B4DUui5gA+U3ps/Lfm0nVmSF8kEYE8CAHWeLm26Jvpl2l&#10;KUGnipibppRwM3QmcboNA5sDFN5Cs0yZy9AVJm8+bskWvMn7mGSDt90UmROEqREUE2sPBUDSbktI&#10;48hY5p1xDgmGHMQEceK3/o5QRPQx8Ml1BAohqITpsj4/W9ajGWoHy7xsVmxLBxq8BLDO/KANlLRj&#10;fVj+igeYriFk2ArA+7By/9byrVxAn7oQX3s1FE3Bn4ngx10WDkJv2U5bzVEUwI7Cme73Dk2IVdC7&#10;0BkmtBvcKQIS2gitZT1lpTPdJUWQ+ItiijuE/SIZAwJgGxdbMgm3ijYFRHVZLpQqtfEYMA/u59u7&#10;KPAdCaEgOj0H7VPqqm12KsSlHLCDJFOiAzNQTrIiMpUCIX/ALNVXOCZLZAm/dW5OSWAh0BNJ1Y1V&#10;qBgCQjtgRu8J/xbU06AGhMG04VJW/olUzgnb3FrjdvnTHkObiXIARgIYUUk/bP0MG8F9Zsp6bwd2&#10;AGIg8JEUfHgJQJgQxRyePzCx56/sayS8SJ4l/XYiXBpwEIprgIJIfwHy/uh8ZqdQTSbS0yDJ5HOY&#10;Lgnk8tHgq0l+IkjsYw8hMVxMluT3JmxE++201/7wn0u7WpfggZaYiNNubZizMBMC+dCKTIMq9iCF&#10;R+bTKZlPxbwU6z4IA/U0P49/1lbYt24SKnO1kZqlxKyFb4zKIXTZPn7qqI6NjuXK2VQkrQUMggNo&#10;G0WajDRUh4Ube5DkxPzke7qrfDLKr83S7NnYKaIpf5PFJIgu8C14mDtM6gwaOAwt2iZMCU2ftA+b&#10;NzV+2lxhBoSoRbCLa4GKJWg6IS7RIgOLJuiS2hP9SrcE4SnCgKJL0SRpYgsW4Ic04YQ3a393xeSI&#10;rHQheyWTW2rGbkWQD3PgUu0ZezJHsrm0OcaCqOwo0OmeDiRBJppPSQFhksE/7sd0+rhMrwAYjYBt&#10;RSj4ZCqcB2a7R5fC5CwYmmCrzNzdVaUR7bTDjpwEsAKTwa4I6NZ6ai98jYi7+0Ri5SHyUZHR95Ta&#10;5MA/R053usS+BfcwQgReyXHzoIF8fhtVweHgrAU97Q2Bgb20WZiz/oMuogVZVQy+uh5uqGwQw1pl&#10;lmIaBdBDOzkZnmcGn0OFYXUh3uPbulB4yxZAFywb8hyAArjIXOxq9D7HFxwlgb0FWEqDrAC/ChMu&#10;lsD4UaRMB6CLTBbzl5SEtNQAPnUBXYSYORtI8JbpLVHc2bNdSreJNjg5H5wzHclaHUuSR2WebJve&#10;EJHfP7DiYUdgFCS+4Wuu83M5jzL9RpjJHobwTOjpRKnJmUau8OYYp03OOgSYLvvw/JTaFH+QcBaK&#10;iITnzRx5/qcdFUYtSocvF+CH2XQQyGHDpeN3C+DEbFqH5geBXHOuXp5yTSIcYmjt2htmTLBBFgye&#10;Mb5hxIQgz+maoHeIw+PMhNg78hlQGWFaxQCImuMmmxyYT99RJADvWTZ/gHe/L8LOFlmagWFS9iqH&#10;4IeJeNsZXDZvh/PCsInkokCOASJH35G4q+beetvn+SqHwlWYaQdCYVsmJ6/PQBxs7Lz3Xo72oeNY&#10;SauRaAwLIUje10zZs+G3rUB5qMs3wQxNqHKfJXDfw7Mn2paPtzNoTyqMWmRavka5nNHQ7ykdhGd2&#10;B0XNbwCughH2hHvfe+Fr7err33EBeESQyE7sLysVoYKBeG4yoYjJXFf/xuvHTrQVSfZElx4WgjKl&#10;aOQ1bfZSa5BB17+NQO51Z4gMsyxhii/RDBHw6OpCtRz/bYJRhI/1sCE6VMq60d3CViJTNP2CSRHU&#10;wnNgnjYlsXfBVPxfMD5rchYgyyxd6T5UpGHJrNUE2lo19wZHrCGaMOdgqKThllIiNC4+4XSTwIgJ&#10;NeZmabMJQU+uoQkVfi3MrRx9FOyUBesSsZ5LE1y0UkzEHX4hqDTc7YIOZeIOiwBuUeMVlwGRuMVA&#10;jE82U+lZpgFehZ+5oH2g/RGPLmPAQGtsZNKFK9JWUjihYBIhSyk5a4ruPLLyRPxRhVUBLV3rufEU&#10;JHr2CeTjyRAL7SO+QvmzpqW9EAhXRZqCd34ODBrimULQnojlfdQNhDStB0GB1TA+58Hx+LwQWiKg&#10;dGY2AKL9cXlGaC77FIvJECBYG2RoB19r6m7Z5NWxvmJkhUvUtTVeQhs9lzLJ8+AulFj7YgsiZMTy&#10;FKYy3WlPIQx0Fhx2riIGae9J5m3c0xk4T5n+ii5En6C7BHSliQD7ivXG0O0YBfmZBUe7aifW1HVi&#10;U7RhRubTeyp5uSfe4eISFesQVAqcm4mxD0Wv64R9HmbL+r4rId1BViQ8tNl7DWErkoeFR+NhDcpO&#10;cKTQ7gAle06Khy2JTn3LdTaRW0tMUBI55awLjXiPVBLSlFw2T3i79pmfbe+9e14Ise7SYL1wdRLQ&#10;IWIJ3XYXeD2IZrlPPfmIcxA5JLfB0RtqSCLNkpBOF41pKuKoj9kRObPvffdLbVrFbIE8ExCQjPVy&#10;I4TEZuu4sbuf0kAJkODPQfKlFiql2/boOkBt02zvvsjD2iRk2ghWQHB8a4mkjP/AmhyExiZBIvrC&#10;HM34YIYQBswpmNU8UKiBfSwwbz860uUgFRmHAuwBbnMhb7LNLWYOdbIm7ABNnht+GeDhHiOemUgY&#10;G58Z6fikS4XFUP0d0mJd200HAaIApoUQj8SI2Wdrf1xDsJG/LgKPSK0bdkRZ7Xs1JkdDM2+z9JuZ&#10;WfAw9/Jmq9D0anvzD3/LhGWPAKjOmC2locWRkkFVEMx0W+3SzR3VnJxVFOROO6a8wU3WrXW52o3X&#10;XYTAw2cn8C+YOFeEW13Wp+D7aOezqEon06QleF2h0K5rqvXHKpy8TJjKDDDiswPWtWaqh1hzLKpV&#10;v31mem+zuk2uTDH736U7/HfW6lgoASLACY8vLSMbGs0UGHZpKoiNomAdhGBBCh98kDmwB0Tz3AiB&#10;8ZnFtwgBt9br8+FzCukXwHk3olr0CEfjgOaQ7ikQB8zGXEHh/VS62VYwkhm593wCk977HIyXcV1r&#10;xd/nbcjH/l1KjZsC7y6T3sH+2q5jzRkidHf1attRBSsKNjhHUf0RQ7SLtqIte6O1NmlL0awxy2if&#10;VD3lkEqGzaih831rq4HqPD34ZM3B1i2IX63DcFXXcF0Q2QF3kcEyRjevhRlXoZESOr0rwGM9w3wV&#10;RcuHHOHB35cFzGMa/OJDi+AMXS16VMQ8kcIlABilwEOYZdw5hmGEOyXs93O+5/Jtqt2Ln1qWMNpo&#10;gXfy3IMF9hdhFbNgAFxxgOSwIpxjSnVYatlqiV6uXSSFyfthImzUcZcLlIldetKqqtnmKpHbJ4TM&#10;ilh37eWiQGY+zCd5ukTmpsVV4DoxEcRQmFAW3PCh/Vz6Ln1J4+dNDneqnqWAieMh9N1NRRdHOybq&#10;WnEEinBnntvCvdOnz3mNV65ec6oY2APDdw1p0Y1NabiPP/aEcmz32nnV7IbeU6qUFz1zZv6j/+g/&#10;DjR7wtkEgNgml25CKYkWYIdDH1EB605iOWUjsQjdojjtvCqorK3eUemkR9szzzyr5Psj7YzyWJ6m&#10;fiTBA6CfTQVRbT10B1Twv5CsgyhHfEgBA3IiSHvRYdtGGInPG2l3TvyRjhQjag1EspRJVJQIIRIj&#10;3wNUHDhrK4LdGWJ8eoUcxuyYi+LIDWBY1isTXY9UNb00gGNeiATp+egG+wUKvstyUnSW74vhMW5p&#10;UyGCdYORLLgRASFMKPsSIh8prv+EhhMUk+cGefvZhpExTAY1I56MFomWeRQRjnbTtbEaB6RhkE5k&#10;C6Rd8V/A/I60xOsX35ZJDlN1CFWYQtbKdAiyQXO7hhqpDx6FCVvCOeTADXxLXesYKK1vViSjzlpo&#10;6Dl4r0NvPFB37PPJIikHStJeOv6YgzuUAen9JmiKjvI5T4JPWE/yXz2oNDYIEwE1u4S2M3hwN2cR&#10;6M3eOcIzhMqEDp+M3pNCMUT9lRbXKw0RFdlLyCVCmSFCzo1H/p15BX5yasw7QTIFh06/IKUD5lvB&#10;EIxlosFvSdJ0eSeoxgyeAgU6A1JVWAcwqutnXQIPc3BBgs6EIg7b+tLmvjrrjiPAPh8xK+rUXtkx&#10;dgYecxD1iuCEwKSEqhIUvdiifSKuSpNYVS3TIyuP6fjxcZf5tf+uM4cx2mwK/RYhh7DtKcKUupvW&#10;5tl74Z/F7RIyPR39JA8T4aNYJnDDkdZcK+Mi5j9zucAoMRaGSDNzfpua+IwjdPJlRAGfdcG4cbJo&#10;hfMAgRbMlEX8wVXkfwK/NtWOaZOiCvTIdHUiWtuJROqzHdw+Ymo7gk0VuvTPDr+FY9v6XmVU9Lcq&#10;JYkBUv1SCpvT6RDoiB2wqbLmUYCr+dNIk0bftXjTl07fsq5ULSqXhHHfp2hh7KwYzanTalKgPOfb&#10;Kmi+vPxYm3nkWZe7c7EW+rXaIoNguefOJY8/8rAaEJDDCHgAp0Sep6AGLe7YxjQ6CJIdU2uo5cPL&#10;ngNWSwTf5H7KSqTAqnUVlQGm3lbXphe++m3HLKytqdKxFLK5u1suKYiV5ay6lVBv9dL7V92Q2LWJ&#10;NQhKH4Uc1lWk4aPPPeXUnDffeLcEllid/sb/5G8oeV/ljTrxSR++OMOjnob4RArNZZt0T6BuXXF+&#10;F6ymjRTJzNI216fZ+Pvtu9/+bnvtlVeB2PYzn3qqfXRZCCj/ZS8V5Y0y1e5aRwe2rh9BHAgOoDCs&#10;QELMbVa5h9MygbhDNZof/hoAFcm34BqJFGe8r7EJAROKNsV2/PIvWvISshFhaPs76rW+sxSjeRSS&#10;2Y8B3lmS1OeWCPW3YyjMMgcMA9TsSDbRCPEaaIqABfw0PydiDeToiBkRNXZ07zHjhsx3zdFaav8b&#10;4l7S5RCxWmvv2jXBLf4Xam3mmFuCCF27tfLih02QCFMO60D7ADCpwNPbeYXHlp1uIABhzlQYef0r&#10;/8KaAETGjZF1dYyGJRFqXvj7YIr4pNhrV75Ha9fFx0lZQDhjjzs4FHCmhFd2BhzqRRK6+Xe86Wg/&#10;yxLGfuTHvyDJ+puacZxLLmumsVOQGU0kUa8xj8p3x3x1zSxSO6Yyzr18gCbo3irgI2cffw5aF0n2&#10;2cZe/cZEiRzGcmzF10sD4lRIgjDwrLmlYq6Gp4lgat8fwoYDg3gOwpyGsHlfeEFnERgj8wMPqqiA&#10;8xnV9BhJ2+2lXDAAeCdwSg92lr6eRRSr3u/e1VPxExCY6XQRtduSUHNoHaklsOjVFpzyN9oh2VEP&#10;4f/VcLNaW4fnwCzcG4J3vz0ln6Lhu4gx36IZT23PKODmWjt59lGlZ1S94RL0AAY8z7aOCBA4dyf3&#10;kxqFVE+cgfxeaC8pI5a99ZMKAUvJ8XnXN2FsvFyeJuN3fI0AoNu7gFrwbcFlhJVhuAnWMPo7UIU5&#10;xIKRKQA/LDprT4wNsM/+T7dfPT/dvrYqHBADOHfqpKwkqjhFyy9du4OP2XgTwdnGKszkLkxQFqwu&#10;KGC67H4dE5wwNvbDqKJ5RN9HCB4JyXUiXkDRcVi8A7PquygDwTfg7SPPPNlOqp3W6++82f7oq3+o&#10;QCn1sdRNN2+uxRTJOGaKKcHGes6eO2EzbLr8ZO5egyOggWOEtSqNiZWR3pniJe7pqzEQ6GC63LOp&#10;OtiU0GOsDfEf18L23DgE3uY9/4zb7PuQ4130p6CQeb75+huD8peOOzk7XjM47qnkbulRE9iqCcHk&#10;UliaiCd8StGiop2kPJaJnjZjq4itYUMAQxIn9Tr5fVRlyAj13tB7cpMyXf2UeSrkOwBm8PNhIHVD&#10;ezRZbc4MPh6QWGPTmZnEa1fV6YhmgoVEGMaWlj56j68Gf6A0ECrRYC51nhFMynDMimChEAzMA0Sg&#10;5T3OZ/ut/J3mwYaX6YtVOCes/HCxz/L8jpGsJOBoWIWgee8iCHQTbggpUrkxLwSb72F8hXAB7TDU&#10;jtypZejBuoWjzBLF9NBCDCd9h3KtBzLuFPZ2KMjFhSC8x68l01QVb3ZvPrQQE44w2vDRSJb4pN76&#10;2u+1u1feTjNofBqe8JggBjCB0znt54oIk32fQkSuBc6OySQ4a6EndG6YHgRWf2xYEo4Un3JvYr6e&#10;Rz1KE7wrKfAn/sIvtU8de77dffmftOlzUHsReUukQXwYIZVBXKqtpBcilOP2i2QfqmKKVJpgJF37&#10;rDwxzEMgIIwBSRTNjXu1BjcX5rTi9/OeVfKyo44p3WYtzxQ1JiGX24sKh6vAGnapqT0v1WKqiUlg&#10;LTnG0tZMYfQdWqKT89MKrueywSA8N5nT8Dl36046rwuXhRsUVw5JDEwN22+4jOUj2xGTKR8f1lkl&#10;T3EQlQJ3BW5CO/mIo0G7fmUxLpc2hPip8Pyq6n2enjstPJV/CpcLlh6IlDVvMBTaU8TahE+J4/Rl&#10;VVoHnzNfOwQAX/+VV1f+vb9mZIHXAaYspLBtEcLi4w0exg1Z5s7C7dya88lDuKnmlWk48CrMKJcY&#10;hn156NqcNvY/f2m7/f3vrUpYU8Us7f8pMcVHH3tM3TcOmym4qUGXrg2Ogccei9HL15ne1HoKhAsq&#10;mXv5VItidAaZTai7PM/sQU4z1qO+fxGkEVwPtdVbN9rXvvpHisqeb3/89W+1G9duGN7ppgSdT5oa&#10;gn4olP2cOuPXX3vTzI3uS3kVsvYNKnhjTtbGixH37R0Oy7Mb0RMz8sm3CK/DxnP2RXcoBtHXnuWO&#10;iArny5jCI5O50cNmfuFv/q/J4W6zStjdFGDaH4aPQgMviHhs7S21G+qFBXFY2LmivllXbcd+7PlP&#10;8XhLa0gH1FO8raoQf/Ab/9D98mbpbCG/0S1pELsb6s58OBN08j7TsS2oiJk3JbOyWQgziH7EDmVx&#10;lelA89taV3X7NUXKqopFm1aSLkSIupW2BxNwQJd3HSPBEwAS0gjvZXq9RwARVdr9N5VDiN7TfbLP&#10;I2ne0zPuaZ3O8TKxzRzDyZhnIjfZk6SWmLWaqDvnh9+spYpZ22yCqUCkXG5c1Vukxiu+V5gpwjoG&#10;EH1WlVDUGEq28EiFbIS9SWb0+pOB+V1SrTVkJF1LZTy0I32Z1zgV5aBGuAiU+7qCSTdmKAAz2WeI&#10;wnWPLfqMsWZqB3O1zI5biqAkX5FSVgMg1sHpZuqmrqn+4Vtf+Z34lX3G8TNFAEITL8Kg9zA/ikps&#10;ot3rW9cw1ZUOENGZukUOQos+tVGviB3TtiZnISJE3j4fB5xMINrmyN3L7corb6niihL1507ZnBMu&#10;TgBDVfmY13Xufaj52ScTcxHRVekrycbxcEw+iU6GGWFyRDvAoh+zaAIoGNs+FKL1bJbVd4xbBMpT&#10;rUbajvJDmKCNECUW3f+T6FK6vOPjRvPjV/yK49w2ckkTbcSi8S9RFIDnsBX4W8JMKAC+ux5rioU4&#10;jZVSXJH8UxlFZ6H17DrZEAYLbKlwgfybho1Anr+zT7gTVH0KrN5FSwsIBn+L5nUCgyZ7lrbbCBOW&#10;uoPvXIu2KJRoN9WE4OTps44uxwccQyUNksm1q/vsBqk1s/HyeR5Snpwk+kEjy+NrPgNprwnl45oo&#10;R5UJJ1glWlSAlL0JkPexAgsdfWJOHSJd63neFwvNtQkd7jOKb1/WOfzepd32j15W+yht9dmHHvGZ&#10;XLuujh1vvdWefupp0ynGSsnE2lPgvpiG51qMwwZhC8XBccMJ++p1xqfXPa3hhXWaHqOvMPeaURbD&#10;HJimPjaNA2703Ve+8S3hkpq931p1kwFGjyKWmNEIJlkv2wk9Ts9bLE1odZl7UKX2pT+z9tE9evne&#10;7jvOHjKXgBlnSEBTDcexZrpPIkFA7ghEQ/W4EsADqhIh/NqsS3m8Ggc6w5qc68u4CIbVdxKc4DXz&#10;k3/lF9v9dUm3J8QUyT1h4oFfr+7W+rSKSNMDUeWfDqnXlXorstSnPvERM0q0KaTiWdmQ3/3eC+33&#10;fuXva4vEkIS8dH24KvvuzaPKfXrklJKz1UpKvppN/agzoVsI0aRU5XylBei9kGCLz7CVs92SbHc3&#10;RShvCE3evCLmdzkagjVOgBApCq2hNM1B2gBe6sBz5oFML8oyZDnKY1r010W4Tc47EhVIdzOm5SAf&#10;WN1nICxtjQEY3UAaYsng/ImJMOW6sZ7QGZ44CUwA2Pn32rl7N9pPLV+3BmVfXD0/eNrNdky7AB9J&#10;HsnWdnqmO0w4SzTQlTQFofPamLsVkgLOTvK65FiMmDxCiglAuBWBeuj+sRIErPcG4v0uyIsP6vUv&#10;/6aLA8/K2Y2wgom0njhse5dCqTazpfO6U4W/VZrW9B34WhMMrNJGEBOuYbDWACHXD9ZAN1T2mUdT&#10;DBKb7McELWC/9N2vthMPPdoeefxMlYOrM8L0iFYkZNmTOQYtaVY1UDl8B7pwfvpsWz6TBARYvLF2&#10;CZzNwEhN1UHKaJkOWtE00P6teYpRueyXw1mZD7+TI2hLA9dCLAqBOcAdzQVIgkGxp44OJIiicsTS&#10;izN76px0SbHukqGoPzNeMWMagWPRISXGJkc9lsi6nTUiy5lHiOy9aoRskEGogbBoTQ7WQWAtZtk1&#10;6F7coavuBQWKPsQvHFwybTP0H3jpubeFz+yPZbHhotJyBTvAzW3lGh4/fdx4jBziXDWEFf1hkzn7&#10;xTmb3hCQRIFv/ZSmb2sLcyjhqDNoozLPrGjPImqepAMau8ZRzNHCuP/l5bSJwmtHLpuwRzscnmXb&#10;aDZgsDR0hRIzNZY4XXNr+1D75VdUiERqyRmZIY+qHRQC4UNnz7Wr166pe83l9uSTT4apIPAPRCuy&#10;GV+EKWZuEUTC1D3XgXGGsTChMCG+H//Odz2gcrh3WIb12jzDZytXmkyhW4pifvzxx6XNzmmu1820&#10;Tpx8SD7A484zpqMIQZkwI5jNrBgo/nuLbrLYIfC5f6vmOy/LEukezGFOgZlMcQHageKl7xZpPahI&#10;7DlZGbEKUpwC/gLTMgN00I21EzNFWzM9HsyumGgxzR5klajkRFWbjBWQBJ/7lt1vL/zGPxBNk5Q5&#10;tYT0rNJPWrxfJgY56MPyCTx5RovRexlDtRlPmFDsWlTGDJItdw6YFkLbFMxCMW3IVKZh3m/H2z9e&#10;e1oETxUzhB3bECHdZA2vJDGDoqUgziwmJ9c4Bwit+U2Icl+H9bkiiiEZAWofqBEl400+LXAZoL5g&#10;BqLqjRr2rHZp8ssSWjG2qPLZyQ6UAbUCVH4XZ+tSHt/BKGlDQ8IvDUlhipirbyv68rWHZtvfflYj&#10;syespO4P8GeeOdgqXg6CcB0E0DOZIEHOLodd0+ynXhuw/0+HmDOaJTFsbbiiYDSEZAdBLakPyMUR&#10;oW3MtWvvvd7e+/a/cnPpaDWpS9mfHZbe4S7ltVZEJYmvsX9d83f9Tf19WITdPdUgJpiw6k4zH8xc&#10;XqM32fP12ds2aMpn0+W2mNvjj59tK08+5L31+VirhFEQCEMftxTSthnSXQ84nBTfnhPjuyfmtKNe&#10;ez5zhCAh06y6esTMVkyN3cCUiFmeovJSfyHqaPF0hQgjK0JmohyCGjMm1+V7M0FMnoILcIrxMK8i&#10;HbuPYyFsL0WFpm93hgRJ8hWdBwwzFFNjcr3zAgn9M9rP2WWV7VtTSpOIGu3TiIqFiPR6lhbg9Df+&#10;GpuwlGpC+IzTCbokU7AGI1nVXiHIcn6nJKCYNhm2J7SlHzj1gk+VSbhjYUc9nz1Rt4oEvK6uFEdO&#10;nREhlFBOcWmCJXWh61iC9xZAAnNYfPZoU4R5uODCGm4JSJ0hDkJu3z/W4LmGQfjj7nMvru5PfciF&#10;D8m4CBzCoIEya8cRcMMJC5cg0K4jylWebEwbGntJm/UbbwnHr22202KGx44eaeu0rUKg0jkfO35M&#10;ASG3ZVVbVbWlkzEbmy5mcM6ixzAkVzdCb2YQYSH0OVYrXgku6fQIOtlN0Axbfrf63jvivewjZk2m&#10;pwNjbe298xeUbieGBeyK1v/MX/5r7U/95b9qbWxL57IoxkV7vHX1zT2ivrC09ZqnUpTWSIH2JaVI&#10;0aLr2NHDFp6p1DQvk/Hm3XV9pybSKsZLbWT8kfeUhzqlqkd7rqgF3id2pNPhCKS1bszrdrklNcO4&#10;rg2Bt1A5ByWEACTez1oDJbCr9g06ggSptdtSp5eE05SISmrD5IxDTDtE8UVU5M4EptVqJTfk8BZU&#10;UJpapdEeoobazqxhV/W0lwQQ+Dlshy8C698GsINsq54Mktbkw4jySL8BCPpBe141l/p+oqL3eya/&#10;J5cWJ+yAXY8w+S+A7Ib2lJHqBD6AGfQa7RPA2om2EasAywQ70hTj3BYC3FGx4nXVa6RRKRf+i435&#10;9rFjy+0vPqJIK8qPDfuPNBQm25lyHlFIkbhy72E+GqGMgWm0u5Z64yvJ9TEZ+uiROms1doYLYPdk&#10;To8pGuIQbaNXBwH4CMp66V//uivmz6rrBo1/5iAqFV083pse/o4mfVRNpJd0DZVTGBdgBbqOSMCa&#10;kYXBFVWylDAWgFp/EvFo7dBEWr8wk4B01jCAiTID6rsdwaKjqIEhr40eiAlBd9CG694KUXQNEZyY&#10;7TGBYWmlBmJScjJeiizwHYIDpiG9x4+HVRZCrUdPS8t14WiIEeeNGTVqnf4jSISoVIg63ydYyGeF&#10;qQwm5MLKsVIYR2yOI2yeJrp8B7ZT/ZtDgBFHcHTPRP1G0+1asEmC1ozW6EAiETJcIs4DdoJyCLYh&#10;hb0p3E5lH0N/LB7GOYoSpDoPnwPfjozVfcuCH4JszBSLOXa0YXVSjpynmDZcAysqbE8eHJ1b1m9d&#10;FCF9vi0vaa749GnI5gRh0loKyUwr2ErK7snN48hTNMjgQvjPBIZZa/epF9hbPexR595/M34YQsFT&#10;x1efTTT95D0z95xNhMPaG36bk7Bv+tTZAuVbtq85ghy+8C+9t+mavKQKrSsgES2XcaAzRGIStX9V&#10;KQT0jHQHFmCFHNUu1dZju/nU0GMmURYLT6N7hQtvwhXL7ZE1dpq7T8j3M0I/LGyWouLbtVHbotuz&#10;mhNN4ikLCChsqPH8loSTR59+WgKV3FnAO9WL9CXVo7iGwM2QFLmKlJoDjB9fUk9Z/HWazKw6ndxX&#10;akVT8+nbCuyip+q6BMwdpeDRLnBnQ7RAlaY45BT4UCNnpU+7PKRcUNQuXhTMgKa4oRclpKG1Qk8Q&#10;RKh6tSWY1pbbJUeKEPUi1OXdgqTTALVnmyh3CAq9zNv7V983cFEI0ty2agy5maZt/JXnhrmKlRSQ&#10;GECRdMhX1KDz0hTeUy3CHl4/sWEjyYv40J26c3uD2T7yncMvpuTorjrABLfUd51x+6MuLRUp50B9&#10;WWcSeUJQ2YP5mcmZyjrsvfMFAeCYIIK8A/AVoAzjIkD4FqsXNbUgbKZpfSYAywONSLkbJrIj6QmG&#10;SIABwLcsB/uSTAjXb9xov/bmTvuxc7PqME5jVgAyQkhg9gBh8ST6nEsrGXa1YDErqetYCJRQv0sL&#10;81zLvOq9K5Gfslp0Drjv4sp0jSfFhapHdaPmPa85n3/pm+3C9/5I0p4AuExYw1yDYYPWmLZECcWm&#10;NZE1c9CFCDQA0pJeAibY2YG4ZtnZS72S7Bup8ciZlXb0qAi+LrYgBgHQXKdoUH1GXQ7KbOatgslZ&#10;Y8T0Gb8a3+P/w+xi/yd/W+IXUToBY4LJ5bmGD71Pdwvdj4ZYAp3rBUOYq1/oPL5CB7GkZyU3Bp8C&#10;EDxjmpqfJNQjMVOhRtwYZmxzEvBTwiB+yHu7mg8BKKSPoL3jLyRnDFMVfhALTMkxnqqi+VQNSY1P&#10;afSqWmPm631DvKhoWdBe9+7o/O5R/stmYkL9dY9y0fCBm93AYNgzfUdeIWDinMUipBaBSwjs5+qz&#10;Zb02ccHLixlb1U7QlrVMAvLEJG5dvdAOP/2cA24Oyc2CC4b6mvfvs0cwY85PPxSVoNKSCDWeMwv5&#10;jGU4CVD1wiFhxjDCfoZMh2t4MLib78Horvt1gWsAuBLcDR+dH9bV3O1gPcMBw5awTLH2cp8sa2L/&#10;6p2t9vqNHeG5/Ku6kEhKUw9gilXo/nlpR9CFy5cvt8NHjlTEZvJc81hgomNCD3zqptxiZKZpgTHf&#10;UziYPemKQ8elGs+0sCs7wbLQt0JQaARR1MVcjX9Ek2oBd1dvt/t35dbSmc3Nn9I9CsC5p4470AlL&#10;0uQFS7DeIYdQmQPyL1Nfdc9wzDy4TlGmuMwkWa4QnKYvzFChBS5SgSAnOBcjnRccHyUoVMInStim&#10;OOWyUo8I7NsQ06Se96zmvSELBV13FrTL63pPB5hZeI865CxIIL83ezzwqjXh+5xHWJIAMktlH71m&#10;/ts//krbvfh+W/3yl+wbPHzyTDt6Tnbu115WX7GbVmVXhbR34apmKOTUmGw5ZPb0E0+2o2fO2S9y&#10;/a1XbP/tGk2YDcCSOpE9ZDZAyxA5qC4NdYZkUh6I69Q9ADEwwgC5D7Pe5mzDEAM6MIMBis0eeI3N&#10;rb0LQuC+yK6lRgCmCjJHPy4g68xweGpNEAQLY/VjbPLpDC0SKwyR+a6u3pLp9JbR6sTJk25hg4/k&#10;qMxcb1/fbL/73lz7688oj6lrc4NjhEdVhwkvPUTapoJsZlbdi3cbh8Osa+V6023qWavvgHGZePl/&#10;cULDKIwEDIJWkUCHaMF5Dqa9F7/4Kyac0UwScTqR1XM+2deJFQIiNkeAS223A20s8ZLGUYEMPKGW&#10;1FfWzzVhOSk2fWdNgTQaiHDvTBU/qFIKHpLvurHHLD7RZZj0u4g05eZ36bm0p2CUORWAtine2hMP&#10;rzkh9BXTJMOdoCKWv0NQDJHZhJujKSIls8vFBC1KWhCFmdUey8TkGqowVhZHY0BJu4Y2ly+TtqfI&#10;WZstzcDQzNFgxRgqPG5PvUUtXPFsNYq+LySmMo2JFJow2iBlyqhICvyRsKwz37xLtmACzNwTFCas&#10;MVlbijRoDqRt2PwGgVLpvXWlXUgwYlnTqre4Lak9kaeTNJsBiMww+yl3ott/42stE3kwy1K7UZXj&#10;oSIN/uTLb7V7jz8j85aEIzHDQ+qKw2ZNlVYROJQPVdrFFD1W26ZqVWo+Bu6OA13bCcjxjLCUBG6w&#10;GNMBYMX4KXjzPBjEF/uaRIMH8uyv1Oeuvzp6dQxyJ5E6484gjR/sJYqEAP7331NPR/xuFIxgDw1o&#10;LhuigCFdiUBi+JMmdPOmcg/TS9WJ52UyzFz6BEYMMihe31XUKfR1wO/cNPjQwiF9w/4VZWzu6ww9&#10;O4sINWGyMClkRV6bKtJyRzC2rSItCzQ8v0+aBlF+7C2ZDPIDHjqsMQiIxN8XGjiPy0L0FSsNcSML&#10;9+4ooE/9GVU9i2CrLfzGuvamaCXl5GjQfuf27QjNgtctaaYIsndVypD5oAFiqp0WHhH4iVvKLje9&#10;J07GdW0F73fXlcYjPgW9jdskzQTdUst5kffb5z/2RJu5/I//gZFl77bUWE1/Z33dRZMX1HyWid3R&#10;AxblTL1z6ZIQSrZ8b1xsuGzrtbded7POE2rSiX8gGxrfEf6baCAVvVcmyJS+KmLN2+LaYYL+IEBS&#10;UACImTF1qb1gIwSsAETPSVXNDOycGxC1M4xidv2gJ5LXflA34fRzI3359pIlO6L02oh+UAGY12wN&#10;N6A2NPP0fgWxbgngb4ohQkCOHT1qbWWDSkLy5yDpUrbqS+9stj//+JG2REqIMTYsrecAmS/Vc3k0&#10;Tyy6MEiSmXP2xowpcqnXNJE2yybPtzhOAHT5QyCi08TSU2Ra5zcDsGH2lpPcffFEhWYXDrdXFVxz&#10;5Y3vGk5sCTJDDBGKLyoEEKqT8805gwy0KTLy6YeUhpR5wiGfKMrMfXwu/J07vH6tibO5e3NDUh5R&#10;xITZ6JIyWa4o3F/2HfsymMue8prQrmzZRdIk7UMEFVUFEyk5Z7a8etqaCwoiAWSC21khuRkZxJpU&#10;FT3XaUy4HYhklqlnFoFARMFwYnMmmjZL1xm6EXG6STiRHrMtgky1LPJZod3CcGlZhH8QU6ieP6Pa&#10;pMCUzbhC/l1Jxi7HpXPQrDx/NFKIFNoyPvpU/ShrCWZP7cU056jLOWf22lV7IDAag5qzMy6gwA/j&#10;k2c23W7dll+TFkw+WuszPhPrjpyjj6gEyDrLg0cGKg/5vEGpOlsYRkUr2iwrn5Pqod64cqE98sSj&#10;2mMxPq1wIgRyJhTlkIYoIYEgsD0qsnCJrgyRLm3H8K6/yCUtwdSQVipIKrwkcMk6rxmgV2kTeqdf&#10;SdT3QEWTMq5B08IT+1GuIO8La7Ukq/sSxU50+gVVuf/mxS25BPAfphB+6tsWrmD6RujRy7mIItZY&#10;kZz7qmsnnXey/xPUmOx2oXnNLnjSacAg7Pvb/nmoiMcaMfvcs19r5IxdS7joctqshSuuSWmauS0Y&#10;Of9Ku6aWYG/JD7+qjINdWR03VZhhYeVYW7+haxREs660jgUl569fv1GCt6oaidGBowhtu6KBjz77&#10;tJiY1q+go0Vd+0e/9qtidqmu5L0ol4J7PoKndu30lBX2qp9LcCxkPGfEvj769Efac5/+TI5Uwtim&#10;NI+Lb77V3njhGy6MDox8/mP/fps5rVyh8/oSKdh9yGxi2XUy/obq3HFg05LQwDP7kEEE1eMyQdNA&#10;4rvyKa0rZYLKAeQXTQ7LvgdDiQ6+OHMOP+c3CVIpcuqFhK3E9h0Q6GbNwsvMwTPIgmPGKu3TDCMM&#10;LUwxz+qH35lCB4vB9ziQdD8yTD8UOODDsJ1BDVJkxg3TTohwHL5EDyZohTFwpt9VRYablgJ31dH+&#10;iJkcTBG7PFLMnO6FNr2lSN8vXlhq/6NnF9pthWZG+wyC20dSfzsCkir4JQh0BhTUrWi9Yu4lDjPZ&#10;+ESscScXNLtdm1SBU0mbCdL7x6kuwEZ8QFt3b7WXfu+fOuLLzm4YaUXnefN8NF3jDjyY6fjwJTHX&#10;ofALQHfHC80rif9Fg3IMwyuaYxiuCbLP2Eat+JUc6SHkVSDDvKpo0FjZlneNOSPz4B6FI4AachZJ&#10;XhVF3Va7JN+mfcCszf3O4/Peku+HTyR2gl4An/Nm3cyV1k0820E4WAIMN10LSiFltEcv3toqJQpL&#10;W8RNB3yUdmbYoeUP6EKnB07WvszSsql8Yq6eM0GQ9f5gXoWYmoCGSBzCv8m60PBp86NxtmU64kxI&#10;tI5myN6LReC/orWUFkJhb+6fVvmvGaoSVdqJjxPYgXBwZoWaEUDrfOukTDs7zrEGo38IGKDne/mh&#10;MEYRLirqANdX332tnVZk5tScJHkiFvVZBEPuJ41KaVU6p2hQ0BHSsvQt6iLnVDKkqUHHG8dLaD8w&#10;MVt1jGZKJJejhMtqZWuHr+Vx6MyBa1tkHG3T3S6sJ5oeLoUI1xrTeMD70AJeAov2jXdutYtiHIsE&#10;l2GWRzMs7S8CZKLnoY/EXKC1cAbbPROg6OEIFfJ23+ed2YWOTl5svqmp9yev/nt83Xj0CUOtx9jE&#10;7txaxmGdPlf1xly70S5eON/e+sf/Xbv8yjfbH9+4rebMj7Yzj8nPKKvHPfmz169faU999BNigHfb&#10;+qtvtiX5FB3wJMvJzcuX2pL83Y8+9pyCjNba26++1qYVZ7Gi1L6bOuNjSg27rQO+fPNGAgCzcNNh&#10;z76W4gQUlBLb8U2ofV7hE1knaX2nlQHxsR/7iCvaAEM3b2y2W2o6Pa+1OWe4rp1ZE1H60aceb+/u&#10;iGv/0FPt1rffVkBDap4uHj8lgftuu/Lee0FwvcgNnP6Zc+3hP/Vc+8IX328vfe+99l1pP7dvSSKw&#10;kogNOj6iECtMNFQhkB0ds1AxmxD3Isj+FUzrfdsG5lU0tnjWcLAJPODM63B96MbAYpjZwINA0Blb&#10;D3meSEoTIAkc9e0sLC+g4tOSwxPoM1pPN5nyzND9ICD5iHekie8I6BfkUMd/sCEivU2lebQDSKOu&#10;n2GPJTH9zpt327/z5JIdyxjmUgYJpIXYQRjr4L2+0hW9ndEETMRNeSAmtQ7eU5TdOZYQJySTRKX5&#10;pfut6VI/UTZ/VzdRkIdbI5ngkGogpqMQ6e/+7j9pq5fekUP9sLUOt+uBIJQZ1OP7fIKU2dloy7zH&#10;xl+n5f3bkSaECcRpC8MJd/08Z5hVpiC4ayR0YcjaQG7C3zGzJIGjPnDZNZLc0RJlnkbT2pPZclo+&#10;Py5hr7Ck7sFwAF7MXdSb1Fsq8tCWJ5GigX3vgyM/83wzLTQMhAYXvA+yh4lU9B9rghAWnDoyu/bb&#10;e+I0DsZOeo2H1tYhLMCgXcTagO5vrMV6TXzkuWE+TQ5l6rVyP7mSqZGJSZUIEHaP2q9h8oFLu9U8&#10;EJuqe+Sz8ZoQ6mijxepY74gCWUscoW1RoMy7kytPN2efai8FG12YzPblf2a2mqcY0J3V6+365avt&#10;1GPnXMqNWpvhxFxH9ZoEn7jhMvtmea02zWAc7c/RkT5HkALmR26bT8e/+ZvFB04C30mhir8355f9&#10;83uPjYBqNubn+FedCWuIoMD+637WhHatob92UYUGNAAmb+AboSQWky7Qc9aY8lL1hYbSrGJDZxUr&#10;V57d99fzKHAIc+jqQaZlfjC5pe4f/Rou+LDP+jMzXs6ItCTBBs/rc9J32/KB7oke/PJ3X2s3Xn21&#10;nVXk7I/+xI+3J3/yZ9vL3/hGe+uV77Xlo8vtyFNPts03Xm4b169r3aJ9YkoIlTeuXG1Tl7GAKMZC&#10;wYdrytmckXAwL2lsQ8LPuvbKrgoJk52mhoZ0G0XtThGNMe1I7mlggteMhPkXv/nt9tK3XnBQDSFw&#10;m+APdA/XSglfvnZv6WhbO3qqrb93vU29fVGhj1robWl+ECvdvElyftnCCSRY+XNPtYX/+cfatLTD&#10;p76lXJWHjrf337jTblgijhlgfJAQ8E0YAKbUzsCGoztw6MNpArjjJXaQmJhrQhTHB1ubMGZmtSHe&#10;moESTSAnwTKFoB3w/NnE1BgtNZpoJLsiImYgxVCG9QRhCm2MdGjg6/JbkariRFTlqKyqcDaRgSmm&#10;HanLwSJCGsyo79zcbt+5utV+4SOqM0h3BIxXtDQCYcFdwFMPSZePjtyFODBF5hwbT0TzbJ+YHb5B&#10;KC4rQaKtCj6+HoRO0AnzwVdHEYY5ea8XVe9wbumw8hAPt+sX3mkvK+J0Vsx90MSkJfadCMLzvJxt&#10;d9iHCObvWUyEek+OIn6XLTFFfG9ETWzo9xQ+p+FoQcSMRzAPl+GT4vB7o2FX0GAsMfL5IytwCwtv&#10;U+QVYrIiwhdGRxAK9U21j6QoOHAFeKk2QDaZwkwgmNbkA2P2B0NoeWwRhTA9mEb5Kq2BlCplbSFa&#10;V+DBf/m9975A0Gdpmt7FrDD47gubwGdMjd7DMcowHIImTNEN5wLoMLZMBYwn11eJ7vgPVYODDhMO&#10;XHF+Xc4Eguxha41YheaXFSp/K3jQI59ZTqAm2lHxPe3hILt7gn2KSn92QYbORDr++LEDfDBN3WGm&#10;da9du3ShnVaFl7Jh+/Mu76elUBhS6EP80GYGWrADnuyvrGeCH7XJBBC6kIGZIWo6Z9rNu2wWfyOw&#10;5Cy8h8YH8L776EqAKcHTsO4IZCoCxWyeDhv4qWU6vbXZvndpw2kGRJ5HoKhNL/iemPmgMyLUMj9G&#10;NBzTt9AcpweBucC6IaquY/2Yg037HsT1ao9rTJ/PmHYWKOTgMoLfFVIDH70IRX3j529KcFmUf/eI&#10;9vWmzPQIEefPv902X/hmu3X9Vrvy7ruiHUvty7/+T1UX+etUuLPg7PPSr+DO/fbua28kHsHwF8br&#10;EyyBt6+I02HNFPDgVeDuMbIjffW1ODa0mER/SwQ6oDanD7YKTCwsTQiOGLP+OK8LN+7qUL/7nm25&#10;M0eOOUpwRbGsNy6/39bVFNRa3xGp/58Up//j823qq7vtv//e5XZOvpmPf/Sj7Y+1MAh7f3ViyKQ2&#10;laOSB2d5AeiuDmdxvrPuzyidAoxPr9+//1THdvHJFPp9tYH+9UGAyfWTJ9ZEahkAWif3dR1EhL3o&#10;Wq4PL0g6Wn6AS1/sKnIQwmV6KHJy527MXzbL1MFn6fiZcrAQ3H/59nr75OlD0ii5N6ZZRojkVvsn&#10;RE81ISRqCDmml8zDBJvf8IEaMwyRnmmp8IK26HJjjij0k/W9HNry7xzaWGvTOvdpATlJ+VOzC65o&#10;8d53vipT+ar7ILIzJNSbsfj+mp75sScRUB3tDaanOdrSQAfR5HQZ5QB7cEHPXxzgqG97aHAQNnQx&#10;GtJAZGSe0jznl5UvabsfRaflZJdWbt+DNKZZfQfYoTG5gTJmMQ4TBghTgWDaJxffJlqc646aUyUy&#10;tos8CcAIUXKVDXeNyQzRPEnHIEouZld+tM+ucEOgdwmPmDr1bFthIAh2P0TQ6b8j3NSZaxyXV1Ta&#10;Skq28Qz8jzWeeVjwpgwBLlBOEM2unj+vXDA1vldQAyZ7bBAxuUKCFtQXEthxxxDyuaQ1TpOaIoHW&#10;pqUs1fmrhj4tlbNHwTZL8fmwV/V8Ltd4+I97+a4O5/HvjXCYfcU/KtP26vWLbe3SefXBPOJzJMk7&#10;laZYh2B346Y6ZNxSFUYFW7gEo0NarDG7T6pdgNGmbFHw+eQa7wtA6wwT7Z3wh2APrCApXYdAqOdw&#10;1kYRk+BEO1PMAh+yYS4aayKao737SqpnEbyhdc/rmV99f7vd3JAPHRzF98s4RW262yc+sdxDhyHn&#10;2qEN20Qca05hU9HPEe0ZaFchh5Gm080J3et4OaFzxZU6kh343W07HdpDE2OSDo2PFr6utAwlmrTl&#10;U+pK8eq322G5heSTaK9/7avtY5/5kXbxxHHtmTT+a+Irypnt1sa+nsJm8ZoIBJPllNCVEyumV4L3&#10;iIR3bXAsCESA7qzEIw6v+JiJNAeAO906OBuBx64I39TbqdJOq6x5Cg2fUg1CiLTGJMLOUgqqvbqY&#10;H5k70679oxfb5z7259rbzxxpr3/r99szqkWII7YnPxbv82IAte0qgjwkiU/IWy2aR3RW3RfSD3d8&#10;0KMFDjuYz8IIcnj7GdnknqRd9OsKefdJbplDtMM6JfsJDszBhCFrC5XOPXl6f+WdTWv6567n3lMY&#10;YmkGI/GkM9T4IXfb997faP+P37zUjrjjNUSjmAIHDsKOHgZxGrYPeqMvOXj4qAN49BvNzGSB7/TT&#10;LbBI/xC27luLyTtrwHJnIs6P3tNj9xmZdZ9+9LRN4q4eYZNSTaAIpve4gzPz7efj34o+w38KQeVv&#10;Ag1sJolZULUkHPbf19f5AeSBgM1eCs93WjoPoEPtZg+vhPFYWyDtQ2ZRDYRv0BGdzk1MZCb7AxOi&#10;cwStotIVIhYBFg3zwW7miFinJiTyNJJuBAjzMDYKKdfgEtLr+4kg1Fg2y/GfVTc93wS2YBzLAHmW&#10;mPisXrPhpWnBdDXJMNVCXPbFfFO4JoY/t4R5OCW0wuADjwTmTDkJlD2CQes6/IYK3ppXDtmODnZb&#10;QjD7zWG7WwYEwwel/8yjyd9UQQEClkooYNVuGOctiBshDDFVfRyMU3DJEhFwxFuzbnCq4IB9GufP&#10;2khgnx8a7r32L377txQVrBB8rSF+1MQIeCTt31RF48bVEnyGqchFHIadI4wrV59XHfhYGbzL0Sk6&#10;bHfBzT5Bb0Ducz4q+Mp5drzJFmVMPcdm0/rhGp7JPBT5315TNKZN0YX/3u968fwIC+UH5twkBLhe&#10;A/Bp7SwHMnHLDLfX57XZ2QWvKr/zytPqb8O2KUA/pYHJ9lE7vxnTtU7RgMMETyKAxSxOkKCgoy2K&#10;KYLDq/IbnpOWRZ3rNZX3PH72sXb1wptyriolo90Ynjuhknlizx3lr4DwRLjKfOOK6+ZkG4o4Z+6u&#10;xaa1XsGmnTcAae1Bcco8ra8ysxhOBHyrv2amZBNeUH7Q2otqDFtSyvr9O7a7rr6v3ELVG3VvNx3o&#10;rqji2vsX2z0lcb7zxgv2AdD+5BVVItjBPFHD5iwLiPUpkT+p7DLZ/tqO8SmPT3KY4GTq+5ZQ942P&#10;/wHf14oDKv1/uXX/hgSxJiDbpw+UD5P2h30N+RQpPu9GoFZbXeuvQR1lKWChLFqV2BvmwYM5RBAM&#10;c+uWpPMd2cBvHVpoJ6dVF1XPQJPjGpjbgPQAkCYEWezmtd7AF2KC+VuBjAamiQRV87IWF+B27Ab/&#10;CAbhbxPxAGifJPevEw6tvDHPVh+4S0d/Nvd76DrZIhSD5hIY9R5SRg6zGoXkY2jUxxRIFqfcdpBS&#10;NBPDE/PQ/CB6pHXDFE3L+W1GVgRVwSVz6jqAZmUzJwwPQYSoRaJGnUAvzYNAG7QXES5MivcJWGF8&#10;OK5e03MEFcFY8L968BAppAILLFwXBuLlWzOHgCqNgG9U1Pqeku0xz84q4MeabAlR7rZSFNpDgzMk&#10;PFtYK61yBPnD3ve91HfAj8UQGB3aBONZyyxhkHlV9Gk/jzBifY/mK041QzsfPd/CADDM8zls77We&#10;4VxOTMloj0X0A+1e466udzlCTkjvgTWqEGHODzzk2g2Z39GgY9ZjnKIQBe9Zd+Am+aFoqa1dvbXR&#10;LsnsWAG98X16v2rsIpCObWFOaP/6LPCYgzGDKhhx0XaeWYyscw3G6/KJ+X6Br4VCA1EH/xSh99rK&#10;52h/r03mpSUDA8CR/o7hRono26xd+acUUPBwTIpn8r/EI6RVE/nhoZNh1h24JuxjP3XKMvs6Mu1O&#10;0vNFYXnNev9f9eEAy7XsnJGXzn515K97LVzYcF6bIvOjXGjrr7/QZjau2/JC7ITrPYt2Xbl4Uecn&#10;C5NEAiK4e1TAASrrsYbn+n2N7y/6X1kP0cGD4GJ6OHn5Lh9/1JVedGFw43C+vmji6umKj2/rh6/3&#10;M3MqOYTKiwQtS19bUeLzwqYi+BSxt/j8EeXJbraLL36vrSsQp12Wr/GfX1Rl94fbO69+v51SoMWT&#10;H/9Ue/l738kGl6mx5lZnNnEqx5kSwOgLKjA2ady3IbVdXf75AFAM3/dvspl9vL5dRpoBCg5sYv05&#10;zHcymXxj+Mp8GaT21Jvej2/CDLmmPynY5ttgMvqZVU0/avZBXHcUYDPj4s31mNoWpEMi1LiX9zfv&#10;CamIgoR1QBB0g6OABaD8Nu7yDGtdSVPwHghx7V7RZwwXYMiCmLuNMtYGExBkLbGkgr6ErkkyR4eZ&#10;cGaeGg2Eteq6IOZLiOoEmDvxG9CqvuLpzHFB1oc5VAgIqu6lVdGCqlEclxazKBPfskwtbomj713w&#10;QAxq2xVk5Ocmz65U5UjeoWZTiwttUUnPoAqmUAfI2DQm4UApGTtiUjOLdOOA2YmxEwnq4I0SKHgc&#10;/sfqeejdYZM5R9bmTeBcA6dDeLgpL2p0NRRW5Q7fx6VQ4dEYCTSLwGH/I8NDEGHU5HAgfNoUGs0z&#10;vkWIJScWpCEwJs1Va3d9bpPITs+XEoxaB53V/RyCO4wIjC/tV/urE5Agi+ap8dJaJhGawJ6FAIgD&#10;pftiki9XUMFRTMr4hOaUNkLT6HnqyFYubs+vI4p1Xn7dHoAVwSxChH2zZeq3bMmTBBcoIjA3GOIi&#10;JfeAP2vipTFpCLR/M6AyzwaqAwfeO5ik3gHiTjZ3C7DQnDGD7fhsIUv3MqbliaBvmVCz1SbcPBdy&#10;UHPqdIzHguPUa0Y7psrPbe21dAf7B3FFGUd8hLV+4zjWhlgOXDlKvwt0xqwhTDLTGl6Ze9eoOg3s&#10;dKnwwld3vMx3eR38/gDtLZLXr/W8DWO1eO9jWkSt/uavtqnzikVBmKfJgmBtxr08JVwJJ1060ZaH&#10;CFAlAtcsMieDZv0MpQWHBYdBd1pqAbU0+s7kJquc0KChgUKtuDN5r3RQZCLmZXsn987M0AHBtvQA&#10;+ebu3ba3ONVW71xtu68oIlWfEwZNXodVEgWA3Nm7al/BuvJMXn/5+zHHISlyqIaqpHL4gX5e9zhN&#10;nj0+4LzP5ux/5ZODn/fr+x1hDqMN8R3520LXviV/4CEBeJ4zhpk+owOf2ZTh78xVOk0eENIjGXYi&#10;G4FtveUQeZzsi4HMeW/I2iBzZg9SQmBgmPgn1qYX2rYI2GmhG6mDHe/36OxRcF10wMjuEPbwjvBn&#10;kFe/LLmPPjNxqO99X2i4fwafQW2TNcbaAxCePbKy402Y7LnXzJ/VKcTMo4jLAHAmiFqjHrhIsI2Z&#10;jVoAqyAu9RJXb2+YqMTqH78rOYCuja33APNmJ1D67bkyDxBQ/kSI/X1KTpHXhx7jSEomDbULkwkz&#10;EnPAvNnTLzD/0b+aiFtrl1DQijqFYLlNGhVqAmeGZmK8+dQRqGinFLOQJQCzsotqaxUQCJkg8SG6&#10;OwsM0AEhKWDcGYNynmIqxd9hcz0wgqChz6jqUYccrVnPYJ4wEqur+m01BktOysmRUsW6Z9gX6qgy&#10;H31nmbTO1dGbmFk5YMNxmJevtU+ViFwJcY46RhAJDFWAq+kF2G3TqQkN1+gztHcTz+A8wWOGi054&#10;Ck4saw7MPLNK5Gu6xCwrII38ONaeYwnedRMl8OfKQIWnXpt+OHkeZV+3fm9hMtebGP3yiuUhcN/l&#10;C7sIzJzzgzk/1ggfc9bISbMPRauS9lHyUuSnIt7K4ZPPV/UODLez1LG1PzFaYbYHYSsdfQqCiq6U&#10;QFRzHWHYMP9+hoZGg0D/pARxn2cm0z8Z37OfWnpHRiMUOBTt6g/tLqUI3kb+WGOefLotyW96/933&#10;dDYSXsUrpiTcElh4+rHH25qsiHcUXRqFKcGKk9fkfcSa2sDRFZn3iHGCF1q0m/EVjfFy+7iZWsF6&#10;v3s87gQJLP94OX2v8uCZ3R2JM9uYq9LKZ+PKzbauzhYO7xexQrvJ2ReRE4JvvK/AG83Jpb2QXAXA&#10;CV+OBBnAY6NzaN7HOqDi+aMjnxxX34vxtvXPaq3DfQfv6vcU/aiD69u179vRlhdx10y74N1Bgt8H&#10;j3AylxGT3zfpPKeDjd8jEYoR7jjhNFoJhMjd6vsTIsbnWv2QskHBYKq2vL2lihH6h9m0IzHn1JlX&#10;tLwJk/P6jSghEDAZ/jZy+xklDfOXBpqHuJnAGMxSJ1TXkDsIwWM+mCy5bwcCV6bNvl8RHkcnVtcm&#10;+KYidg0Heoh+GE8WQKdlYLbdliS5e5fI5DMKw4bRBG3c2qj21lpJJ2CeY463m5n4Pa8iw9xIigtz&#10;CoML4MGEZLTWGPqx5unNMMyyL4TL7yhwwyXR9L0rsrH+Oi/zebQlB1kUSdB75yYiuepDd4uBiJM0&#10;buZPKPm8TYxuXVX4MU2bkrK9TiJcC2K8j/nxjrJuDsf9TlmH5iAzr02cnlTOk3e70qD3FM7rgCxb&#10;JPA7xrw6pwAjmCsm4lnqvMIoOB0BB+95MabTXniePppVkM0uOY42oaJdj5RTXW9m4hMK/Hgepe3U&#10;1A1TlPSLyTl77tUB52Y2XUOJ9mS4te9ceiywWWc+0B9wp9YLDMDIegcJpuKIUVYBTli75CIqpxAw&#10;FZ913+KUhcuEHCTEs/Wb8/XO8jfj6zMLbx4vcIfW4VzPGgKGiw6AsMiyGO+KzPkOuBEcsg/bTrsI&#10;csRsmjPIXmXPLUDXmP3XaJof+K5fM2GFGc//75MbxuvPG484eVjNZLjRbMjSTJ0t+2Gkj9XKRTEE&#10;F5va33lFpwOfNJtflAl1TzBIhP28AsKe/9xn2tfff9O+9Rh29uuK4+V26Dft6HtSK+rLsdau73sl&#10;o33r7GfnOXc2WXeO9oNjyP1onTnP8YbNbCpXZP40ABPJ/JGPftLmHEr4YCN+/42XamNgfiIuTx93&#10;ZYxDj0q0xidzQf6v78qmPJxrD0XPQ0Fq+yT73MrEWqTlAAjknglgeBcDjPtA4gMn7nE6Q86guTev&#10;SCGTu7IJk6jV8ff9qgFk923YeOSDs5g8bbKsIhuR6CACpgYd0DooZj58Q1USwrcTmn2vvbkx3b65&#10;mpH3jT9CoIydsXoFEVaEGcd7N5oobwvH+9ZU3chEPvIK7oYhLouYfu5oOq3fEeI/IkLvlD4G9X+5&#10;p/uNIsCVADV6sCVNS3mRnglThwHLKKGfmfaJz/9EWzl/uf3Rl/+l8gjlmIdIV5CJhS09wxGrusfm&#10;WwAbRgGzEZzO0wLK0X/6wn5AVIVUwuiqLhqQTZgyn3pb9B3BJI5EY1yrBwntd3NqTI1a/z3C7EFU&#10;mzGNSoO24NSOOk/nmGmsHfX+dD7vIoyZSceE6WLcFUSUaklgJJAZoRKjH+u2H4/PykRNMA41Gp36&#10;oPk5T5H6miawCcpgmRRdhvJwxjzS0bn4gdUlY+7IkqaQrjb2s5KDWSYxQAcmOk2Uk/2TaL60g5tV&#10;MI/qkN6htVUA0EKTfnOGZpQ8C2HARLSwzEdAsjqNaNE0C9uL6g0Y7r/5K0zXj9CAr9/ea9dXsTol&#10;wIU6WhGyBjodjbCIoG8srZLPHXpkekQJwDK1ci0a4miMMT2IVSNm4uJdw/jWEDO9YQ49LaCW5Guj&#10;RYYgHzmilkYSjOZpnBBeUmbo0J1oilEaJkXHJ5SvP2v8yX56cwCx93GH/d912ldUr1bSf/Un9JWM&#10;v+7jZL62DvSDMv1U/dOZpbbyuZ9p97/8+y50vqbSa8undObK1/3jL32xffQzX2hzSvkbBO6iU4bv&#10;semi6HWGj7g1mO7sS+QDGpPjt+22wU4/OWkfeOhgjTvQfGuUoVS5Mms2jzdshl71LZyZp1UJvgM0&#10;F4UEp/moEEyRXxTqTRWVOg4QOLHXqlaQxGfCwe1O9OnWIRcHzKRipO+h2oNUNMxhPyB0ZtkjRSdH&#10;VOSXOQzQ0d9kjEknCz6frDKSzUQym7CXut+SyRgYxuC3HxQ7r+1POABhA+L4TAe4i/bA31l/sJl+&#10;cQGyPo8IFIShO4RbxMs+RofJ4+Q+uFcdcDrbKPOShpulRmHgKHMawf4gDRcjjoYwTNZvMIWFKU63&#10;s5J/lkVE72jMxQpZH4I39jG+CdGYrCnLs+nPiJQSgPiJqCe5Lg3nisS1X/zb/3774q/9k/b7X/zn&#10;fn5nGD2XE1iKVhwTlpkiJdoEfDMqNUebJAcq2CwBAUqTU/YN5kBagSMxBbRuUOogEEIjxTjosYhE&#10;L98PmtO0W6ihRcUMSTk3d7woumEC6oLg+KsiOWNRYS5UxMNUivZpPB3MZWHo2AItuNiGBzMgiA1N&#10;JtqdH4L/hTWCV5VcjxYUsTbzTaNgrkvivuUHiDp7bBUqODcllYu2UpTRglPekwnfQgt+Nkyq3qto&#10;5ikMgbkT6o7WSREHWSqKePd9Z12cH30vO2M0fze2I7TEVEY+aoLCJjhUZGIgQsHLAJ+PTn/PaEI0&#10;4iVV6HXlVqqWRfXoLFg2QPX3HX/yAWbfzS6hB5Kyp8P7Dufj3wdw/EGX/Ik/Y+9T8JxRCYxKBLrZ&#10;5cAQTSs7nA94vZ+qjGe+//Ef/k3flcn1XWMKQ+iv/SM8aP3jz0K/ytA+GVqXbOiMjz/6mLZ5JrmY&#10;CHsIk4YGCb3iI8997GNK0/i9HDACZ40waLj+oJQfjnagVf2JOW/G62JpYKb21M8arbgWNxhdO0Ms&#10;i1zcVT0jVfeZxxqA/RL8CTHW5TvkMqc7EZhAhXxpiW++4cgpv4BmTBtEvTHI0RDrtoYopu/wOe6b&#10;Wp4TiSjIVzx5/wLqrwJpXxPgGTOA/i3SRX8/BnRj07DVNeHR8wpCs5Dh2n0g+CC4KP51cCaxQ+cg&#10;RrxmeD++vh+VV1XSVsx+wAhH06WcIIzDzEUUcM5vKMgJifyc2qNQ6LpHqAIY1iaYgIgTSdLmfV5D&#10;MY86sv78sSARRhx5KXPdb9IwiwVGPL6pUzQuXmOzeN8BUzMvKIwAWPI2R9ioafkpfAfDdn6bvsR6&#10;tymz3kvf/0r71jf+QO2DpImyt1qXEYw90t8ODtJvBxrVWv29YI9CAnCQBKTk+fYLOom/usyHatu/&#10;CxMhdwzavbuuIDP9s+/NvdsEzmh/Rl4CTrKfhmFdnz6d/E3aRUxiblGlWpykPdxXXhPaJ3hjBoDZ&#10;DJMupjsIpH1+1DUlGCEaWW90Su6crTC2ERb6O9omwiXME78mqhCaaPyOrLMCsfSMVLZJ/qNNrmIS&#10;5LESSn9Iecfk5jm3kWuIZGU+7K4rx4SxuZIMqSva7Dlp4NtrMqXaUR0QiPUHbb+n5ExYT++G4kv1&#10;P5spSwjsZ2NiWISwM8lOstnPoxK2V5RuwjMubXFWBI5NEHSM6QNh7bCouREeFKswBx4/e4Sl/Uje&#10;4wNCbn1pRPiij3xWynq+q8/7NTEhZz+6G4PjoVenwhIjaOmLlLiM5WWYO+8LtgcpH1ioWT6IHGX3&#10;/21fnUqN6WXf7YzVn/nhI4/nHutM38u1G6pAJIxEoAT/FuklWm4F/OlvqZLN089+pK0cOdVurV0v&#10;paCIix8MPsWnmejlTt9zDgYVA1M+B546OKWQRi4IvBXf4Hd9FYqTPQhGZySEFAS4lN7oumOeMUOA&#10;wq7sv8yAosYOh5fmuKVanQAlg/kwkdDXFUn0ys12Rs6g7dfW2l1BGxFHmFUjo+aRRsba7l7FoRcB&#10;7y7drpl88PDHIH/wmAJIGboDUCFYIez+OwoIR5Jq/z4re/CrgxG7t++aOkvfZcY2+bZv9oeNaSZq&#10;pog/MeH+RlRonh+UfebgMKHSCJaPKZD7o48ebT928piCoEKY+/2A5oXrd9pvvLvdViWppBJGULxc&#10;RQ9YIIvYB22+poecT1YMIijsuhx4/VTc1aLoixUCpDAfQZ2/3wc4uxac/MxsODQcDcOEvgQfzKT/&#10;2f/lP2yXL11TBOqS+XB8oPDkSbUJEyFu5QsrWtKSyLNbWolW5WgifYXfze4AG3n9UMabldaD6ZGo&#10;uVmaPavsWwQLdYZQXtyMfOPT6lrCh6kQUxKo560Lbfou6dW5f4FmglnjIybfMETRcnUxTkfkyZzE&#10;s9LhnqHwQcI4gYFoEyTX2KTmuWtg50ga2HVd6nES6Eo0Za9aE9+cBvTGRCvuESMWfj3tME5qtc6u&#10;MNkUDrf2Qv6AtHU/BUEBAsESK3kVYWFahRrS5T4arKOpdS3BdkVhBkGb4Bibow3JOSOH4lhaBzg6&#10;jDK3SsjpKG0hpGQrDbOl6VHhCKEvuxDsMijVvuQbH2IRP0PN4M1miT/70Ex74mgPrilLg+EiFhJ+&#10;HCTElkMHKzDcn5RQwvehh/VENheTrc+FLcURrchq7efl7an2O+dFKzHNs/8WdgmmyvoHctRxolxK&#10;nYYMD/Gaa731e7LeyVUPum88RmcoH8b+Om73ez58vMw95RNzNRaII0eP2X++q1SkNUVhn7GFIILv&#10;hoIxt1Qh7fM//fPtq1/6rbZzW5XTKJDBP+99Cb7GGBjkoN/5PG3irDMGfuYoymHmFyIUAXxCqO12&#10;6WA5ovtch/jXfdIcJe4lRRJkZ73o7MTMIaUKROKFWiHVpPyY/RS6ZkUXL9icw0TUpwqpmDG0KVMu&#10;uVSAWpTKzVu9mBD5UCV+d52ojqC+CmzXyjuj6fd4iqMj8nX5e59Jhk/7yXJNAds+wBi+3w8uD/pr&#10;AvoHvu3YOJrn8NEPGnYfAy2BwVtyQFqsg4G4I8U7+EWH8NYN+ReVGJvD7mkUYTq3FeJmJT0b7e9/&#10;0KsTlrq87nvQPUAsPs5UpO9XmOiOcuI64xhy0MyVcq+ZfSwcg0kE/CciEenfofI+UTWhfvOam4Q+&#10;hF9Lz6DSEkQoUn4ICoLCohgXJjJHC/I/fJzkAzo6JgEvOyRniiG612BUVt0fRkXQRGQC8kbxrRkz&#10;zRi5975aFU3L5Aj87oq5JnCGYQKwlhEY0uPAvBIQ5Jqk7BPLR6OjShAmbAsy2nXNnaLjrN8uCvsu&#10;6XMIF00jY7ev0Vp5rvfMqNGjQpOLSHQ3WibjphNL4YK7OtBElTY4aM2MgYYNIdC8YHhORofpsV4m&#10;GuZ634mzIXgWZngwwrGLogOLEiDckirHya0wREecw8T1b7ZMhmkflhfDRMOsefrTbhKL9Shia2AX&#10;AsmnVM1x4w7dylbYANEFlAG4x0/pH07guNtgOPV5cugsUKTGruUGjQksxH+bZ9g/W/tQfDjkpr98&#10;TeZsobP+dtxWnT2Mfu0QApCsBaT42MLQNa2uteTMTNBrbH4Paxzhm/dlskPDu9Gs+u498Lvxdfvf&#10;91E7Ydy3zMmSi773/bHVxhJr7ttWtbIl+Z3J/106dride/5TbWpVwu32XWv3RKMuC4YXTh1vx0Wo&#10;NpDfitP1k7e1hDPWeCms0KEC4X7ynuvBMQL/7N7Jtnsu4U+lC9ZnFlktyNUYIzgEa+eEn3eN2xHg&#10;Ok8h6NqHQWV9KJEtJ67GkZY+pyU1Pa+QcZtFZpQiIJ/Eq0CqAE2WjbJl1ewgNPrpiw56dPAyig+b&#10;OQGHOhT/GgN1/6vfV88oxtgd7wamfoQjzW0MAH5qXXQQFMYwn+2djDd+P4KSydB18wBWbH5psP2i&#10;/h2XxugQ80NqCZb/ZsRko5AY85zIv62Am3UKZksKsT6uzw1TuifXxqTIDeXuLXAd70De75unP9m3&#10;e3XDZMa927zDxouWQeQ64ShIyp6VpB10if8BwB0ebDt+5sD8Kfs0LcIOPD325LPt4TMPtVe+9eW2&#10;NKdWVISy60IIWCL1gkikq2BevL810UKmZRJ0tSBqyaIFKifR0ZkOuw3xT7d5mArCH4Q+Zsw4sSDa&#10;YXqxGsZEGWk2AsGU1bGcC6kWMDv+gXROj9Azdui4gUkRRRNGyFwhhvb9SUN1VKyur+R7Hsq/FHsH&#10;M0k90XXyhdqSKc2/V+ahag1zoLD5Pfk4bOiUGjXkiJrxMEaZdvUc54W5Kwb5hwgiYdIsOSkCzL+q&#10;EqkggzVjVkVBAJlxh3QDrZdgG4OkiTupEjKrCuhAt3SDYR/iZ7SmVYxx2z0aS0Mc4bbNj73rxIik&#10;s540nE6aA6fjFJ0c44HXAM0D3B68hPOBMN/R2ZzX/m8bdoEEDrwzwvw24y2U6FTLOFtg1EmLQaZe&#10;/Z5eQYoJs37H3dc+WEtkLf2+oPZEqB/QLbOfUMgRvg5PPLjm8Zb8oO/6deNr/iTXR1DpjMfzG2hs&#10;5rumllDUcV6QxfHW7Svt5fPfa8cPqYjGwiktQE0gZu+1t9R28Mlnj6g+9nJb3VXpSKDCGmI/MVOQ&#10;Wny9f9BOALsxwAyWsIGe11idomWPa93ghf/IB3lCfdkZIn/X2mYWpfJ+6s//GYXFr7cL8iFeUg3T&#10;eTUw3d686+jTd8WWz4tHysTfphXBtrahuolIhyo/1iXAgFlJ/Rq4V1/JNPZPZLLk+qa496At1rT7&#10;YjugDhR9WOkEgAZk6N+NNM+xhHkQaQ4cyT6kOwg+H8TJvpJspje5pNn+TQfyYeBaa0LxM3+b3crU&#10;6GeW5I/GQDL0ITEAZBCq2tBDDxJjo2AxX2hycvvi1v3APD8ABiHoPCsEogP9ABM1BlJ71oV1zSY/&#10;3bRZlgBruf5+gnCd/HkNvrPOnul2FYPgD91yWMn7V5UywP3kJdJDb0WfxfyWpH5rzHq365vzcpBK&#10;MWCY9awKSABlWDZgaDZpwhAYhu4dDoCxR9KLwO9HG2xyb7PXaHaYTolC1TUinFROc64eD9StqbGI&#10;ysIHCISY2NDy+DxjIODA/Hiu8z712z5A50WGQfWCBUP0oc+rm81zdi5ZZ60rWpwJMyYjHULaTml+&#10;1DO1NhGtz/5PzcFCE0zYqRYxg06T00rT1hJ+HcyDts0J2TRd5lIYPUvkuRByOoewdi6nFZf2EY2I&#10;LUBLjCwQBmmzFsn7Nd/kbrIuReCONLxOCRjDZrO8GWIP4lKQyQ1mqrmjEcAQD6s2ZmeKwZkOVw+G&#10;9g4raHNhjOAS73uKUKdYtC1jwBS7ML2yYGuQGnAkXwSEOm3lGt53OtEFFD4hsch+5tKqBoJcF3fN&#10;kXketHh1St7H7XRwQADflLkU4O376v+fPwYfZw3ix4QojZhKlB6nt+ibDbnZ5kSn5haWXQZyW3yB&#10;OrQmwbZKyDXBPsktsSWtsgLKiyGOVxdtsa97/zrq3OqMOr/cf3fuCM3ZT5X8RSlTfstVwL1JQuHv&#10;cLiio9fPX2i7CzLZqCDwjKTE5z/7BftIrrz7lpikAnAg4Drgzfll7QARbDOqziJ1GWR3KDg/OO5T&#10;lHh49rCZfXmh2H2TM7n9B5tz3r8tkyV+8PNhjPEOjpnsCCH3XeLNm8DWGLX6Rh/8bHy/53RAYhoz&#10;iAeh6kGAG5sxx3PhOZGY8StSEi4mmB0hbpQfNM3c3U0GmAGcWD+aZN+3rCffDGurPUqllqTMWDMg&#10;WMVaUe42kHoupfPrb/uWDEBhFkkTAEZ8sZ/jvTCnmJxQ/yZKUaVk6D3BLZfeu6DO65fboyeWlU0Y&#10;4QrO6a4hArMFMElz3XTfP75DAyIhmyLg6pVIEJJNupgrI57Beu+5aW7KlTknkQR6b3CP2IRJpqHv&#10;tEy3zBmG4oI5IL3hJ8yC3z3C1FocTzAlTTBO/HEJfnG0sLcDjQ3tTtucyumu+DHbg3CsAmuBCEYV&#10;+IPI09NqunnSe+EoxpRLZFxMrDBDzKWDwM2+ExRV5i2XxpNGTKqJGSTMk56pDp7L+UREwRQbq4WZ&#10;Mp+Uls6xOhKaKFQia/WwBc0FbRNGSGoN8OlGtPhA2UO0c/4uYWqsJXUotLjVG/kO6lf8fVh+MZ8j&#10;DEacSZJ+J3lhwzX/B1NRX83K5gou+xmOTW4dhXsYf6rmRPgbV5axRmj86gJpIVohlLHF557PYbRu&#10;vWbEjrWjm0s75elCTXTXEohyKvsYwwOX1xF9oEE1n/Gvor9jHHzAVfXkLtgFr/s6BvTtqA24+tyK&#10;nujXltpAzQu/5lUEZuOa3GsrR3Rw+HRtR3EuMgF1q2ogvafAQQez2ezEs4o5ee+ycsNFn7sn0ulR&#10;XdK3ua7vNGc/oxyozWg9JljD3ppWFI0z+A30SvC+ub7e2itvtcNqFTNz/GGXenv7hW+rX977TuA1&#10;2sjU8dynP6cu64fbK1/5cjut/lgrx48pGAdtcqndUlX7d1/6trs8+IBrb/eR6eEg+9HsPwCD/IA9&#10;nXx3xjk5zjGQjJmA7x+OmA0sSO6/a4h+//jeffdNYMJ3jGBkmITvrbl25ngQmB8MgEEsa0BoDwdM&#10;qIxhE6slZjCTOqEyoVYghC2YEFjDU8lEAIl+Yvx6MGM8iFjxER5qyyvLbWlZ9QmtfSHj0C3lrk2a&#10;/Si4Fy3VNVH1hB2iG3PKYYxY/wBQw26kLzOEIiIexwCcZ/C9o76Ys9Z4V5Gev/hXf6l9/xtfabP3&#10;1E/NhJVScvip4C90GChiq/1YVC7g3dtqMaSo53OLhz3err3+0TicG6gnsG9oitYI0RSkhW5tiEkS&#10;3OIkbhhZzpH9dp4uARq2A7IXcSvAgDtDdXpUL7oN5YbwRcrLdtjux0XkQzJ2GGFKXHFvEUt2P9w9&#10;8MBGeq24MAj+CXyYCYDIfkSiUun7mNQjmHx8rRZZonblb93AXyTrx6pTZlo+c6BUApAS6NQ7SISZ&#10;0lXJ3SZ8bQ5sRtcvHzvabqjt1q7qWJ5TMQC7ay0oSIulvZnWiZXaLmefXYqhV8ZZ9igrymbVnrG4&#10;zDzwC0zwziE4ZXJnK8yUgCtmbJNev6NoTt3fP/V17JLhLcwu7oXa17q+m2ZtGq85+WTqma413NXC&#10;Ypqdsvroy4Li6dQzGCkNAMIMx1xuIHHDXrC22o/alImNZdi20Q6NPxs2dT/iD3s7HvcB99WJ+PJ+&#10;6cFbgsDDlezLgP+6aYu0PZn8F1R3eE+4dlu5xnOLR1Qk/ITdFVOSMMkzffErX1Fg23raEBqec0JB&#10;H5CnNHQTlVga9lO0YtyAJNt+gFfEetShK+99ZcFQ3teQ9a0MEE7i7yvsygOdI9uho0p8PiL1Vo5+&#10;ChufVemexz7ykfb2d7+r6KHVNqWWUe+uvSSgWpYQsNnOv/iCfEJzNqnOCztWNxQIkmZZtX8FqF5r&#10;iMb+va6/Dh7AGDhq8dm+TNeT71rOB864NgJi1ylzv2aEhw8CjQ+Dh/G8i/R5HmOHuNd3QGIbX/uA&#10;aXohjGP8rz2aHAznGMe8fWNCLswx9FU0PUYKB5JAQAECOWTXKXWpLz/odznwdDNbaaAy8y0rypPK&#10;OQDmbgVgEOixS9FsTB6V3oAPaVPHigmEZyIBRsrtjG9CrMZA7O+LHuTqCWLZ3KbJbhEsoiCOBTGy&#10;LbWqevIUxJYSgUIWGEittT+TahmHFT25dOaU4O5s+8gzZ6sTewWMEOwiMX1uSVHUsnYQMMNaaO4M&#10;mYWhKw8+QokPoNZSTBGinsa9elNU0V0yTAW8+R7HIK1r8NeZb0r6RdNyRChRphYgclZGCZgdL5uV&#10;YlYz2Jipcm5Iz3T1KP8+QTjMD5Ry2zFquMIEo3UEgEoToWQdY/eAljoXmHKqAmn3aDVldbXMmtJ0&#10;qf96X5/75SIHCVI6JPUuWiOAqWcBf9q/Rx453n7is0+1KzfVLEDjrCmhfydlQbxXrvCi62GGDjiC&#10;MWCF8FrjywxahlwFRyyVDH9FS4jVQ+Uz25TURfBADT2KjOVxwGS0lVC0jm98N37PMx0kqd9Uh0r6&#10;ZoirmbfHqjH7zTWs45Rq7ETQj2Y6ep8Aq/x06rqNIGGhNzaLnooRy07RxDF39Bn0fRmvYEI3Q+4/&#10;5HWQjhZjOUB0P/z+EcHq04ovcYK32afQnW7lQuhxp4zba9IUxUP0Wnz0pKpkzbdZMUhSLBx1Lu6D&#10;K4gm5pOpdoqXaRml/Jt9mGh0k2+hN7FaWTb17WxmvzbC3WChOnBeE4aYxfJ/96PVm+4b7tCD/124&#10;uqOGi5o0SOByVepgsHVXF6fNDgNQEZ2St1TWuKcw3G0nQusT3bNdEmU3CfiM68E/4Cg//JAG+PIJ&#10;ZKH9VZLLsG0Dk+x8npvrev/afwzDMPu++YFTGSSJyRQ+ZFXATD2uXzE++v0m1G6eK4Q3lezHUgii&#10;z8IYpturd+OHDOPLQwwcet9rkY5n1fd/vAM8n7M9LA0RIE1BgLpCDGJRZrWTh0+3d85fshmuXGbt&#10;jhjyFrVBLSbGv9ADMcLUa2eMQ33FNQPu6fke9VGa1irUXpx2UYEyf/R7X1TC7GY7eeS4teI5mEW3&#10;PqG3aFPR9FakJVIk+uTxBXX5PtyOHJ5T5R/5A6ueKWZCGNUMfkEIvZ6Bn2+aoA4thiatSK7eZUyJ&#10;NjMmRQR/kxsTW1OFIVeIiM2aMWnyHfudPECdH0zQnS5gMlSLobB3mVPFwG3mjuKKDlomXvbIOn++&#10;1/t7NH/mfpgJYxHkwyUIrLqGQAbqlDIvm2z9pfx1mEHRTKvQePcR4g90w102vooJmAEzd0eaK8jJ&#10;06AwOFQBDsB/+CT1DBExWyuKGdnMpL+fevSEypbhV1ZvSq2TXp9usSQutqmSkBw1muwh9ks7taj3&#10;FiqKjAIanrnRekLmPQfgSM/opku3Q9PySMnQ0B3wB2wOBnTcHgHghKr7CgS6b60KJizOTLRP5uTT&#10;38ekJ4xvItBNmCNP4YcqTLTKM/Fm30KbjS9ykwu/ptsRBAWHTntjB+WAP3r90Mx6wMCJsOnP8/o3&#10;0k/TjYNc8QNc8oMDHiQQtY7xncOw3qOJjt/ZN7BOIOCOfhbUS5Hav1vX1truyjEFnLmNgXedAC9S&#10;f3oD4c4cYuHoi4y1wUYnHtzNAsM5Y7FMhTT2nrBDz2qgP33mIE2GnSQJFqyMaXNtbGTfCItD9Om0&#10;gmqW5k8pjPZ+O/bo2XbkzGk1FV5t3/v9r0T9RYqFyytf6ZD8jg5FhkgJ2EGM5GbF5JNDLMo+2t39&#10;5oHRiQ9vszPjcxr2YgQck+9HDLC+PwgGIc218mKcD9LoDsLGeHZj8v6gWU8gN+YZH/qB+Txo/C5o&#10;8F3uiI+qO4fcxcfSaUxvLnys/SWSLogZSEika7Su/ZLkfknLc6r/rchcujAUZAhSW1tRwBUM6bOf&#10;er7NK/DkpUs3IxDpUeSLdbOY/Z2iXKaxHjPAFO28/jZAZtyYVAulan+c+qUxKNZ8VCrBpoK8nj2z&#10;2I4fXWh3pIHs9UIQ3C4KSrmwRTFFfh85vNBOyLIxL7/WlkyvCzOqLyqibGYBf4DoU84M6kv4PfXa&#10;NLFtWTPuK/I0ARA5JQi6lULBN3Ds9AnWYoMHzEljlmJmoof2Ssk1WjmgRHGfo1QxuwpPnNZRJlpo&#10;FWfnEofJ1bOGr88SRCOckjobGIP7AA1EcmoctQvriJrIWYhATKrp+ZgNDnzA0zinMD2qJNl0bVMf&#10;Y+Enlj9QeZjTK/NGfgiKGZ+FAmClx4jCymg9HKbssXg6eyaYWVAi//Hju9ISNyxszEyjLabzBz5G&#10;1kD/VbQyu0vZW4SPYl5I+mFEhSUG+YJjCwhmGYlytY848MR/ESPy55gZRmsZYdmIQXgPEPDl4pmS&#10;ZQsz+xYaDGkvVD9CMx+N20fKE/ZTI9Npfd6D2gY36GSKmSOCbI3ao7Q7bkZTLG3fwxfe9Dn4pPet&#10;ZvjmA7TRz+LiEeWrmz/wceF+tu4ApRz9OWytGWS+8OVmUKFHNKHO59ktCn8L6tvSYdU/5QvBKE0P&#10;DmmviaYGtKfUimxuWpqkhZ6ChvhXBkbEaIlWz3Mmkvb+zeliPFaV0MDsw2R/uLefX7HvwveDfNZC&#10;UsFXHaMfNjMn6fz+p39UzvfFtq7uybdfUkjtuYfa489/or33youWknnZ9HBDhZvdZy7cnACcEO/J&#10;xLOxtbADB9D3f3R5R5ci9qNxxvea+BcQdBTrjC5HVDdORv4AIx4xxjGAjYGwvx8dwweY3Pi7fdeN&#10;bj4AdvtmmNmC8DGVuSKKI6BCFPwy4oRxQJhmpYEsiRjfU8up0IkuQAQA6n918z7wKGDRODrGWbUD&#10;O6JWYQsazyXJ3OdSt+l/2yoMf0cE45M/9PH2hSePtv/4//tb3lZL9YUgQAImSJvKuq3WhK2AMKBi&#10;4DeM5K2nNzahuhYujAomQ39JzeXhk8sy5863nTkRLmuHPWl/RgxRBFi4OKdrV44stmUxdjdvRQsk&#10;B6I3yaXW5hFV1FB0ZdcSE6lLL8bKawKFlbNIOTfMkTMwOfw/hOvLpGiUtz8IQcRY6+hPtsk5dzgi&#10;MKOS3lAna/+fmR+LpfsF9ycoxVF6aIEOuOHMYwJyrqcZAkEtOgsJIqlhGo3Wvj8x+MThwCQKyjk3&#10;pRi4Vim1h9lg5WoS8RfihT1Pv9ybjxmqrZNM5QQkpUfifLut+pQLWocDb5gjWiiSmBj7pgQN8VG1&#10;hEpgEmdNJ3gKrS8sz7bT88fb3I0ZjaGOJuIQW8oJ5ZoVfWdipvlwvjvu1QhTTG5ozKhFBKFnA7Bz&#10;zrWT7Fut0+iq94va56N6jhVf404YJ++C7Z0I5pyHl+GS6lsSqGRhwCxPUYXDBStYSbbW71gL7wS+&#10;QHdgaeNn5LnFggMWA0+amN/ydPvFmSEa1uBX7LM9KL7um/LkjwPvBjQ/SFzyoH0M8uAl+Tv7NRhy&#10;PuxJkZJrD1ho7bE5WN1kCUHXWBtWhxspUUsqteiIepm8Z48LJyvYbFrqPoKWc15tUSn6x6QQDou2&#10;ZG9z+MSwRA8vggI97MZV319wULRpvKOTNWYEr7zMwGPbhJl8H2cQ0rLAmfsCkl2ZSueUgsEkyLfi&#10;q+XjCWIwTUHio5U0IWFmUNhuO6ErC3AN3BftJRp4+oHtJ939TEZgvP8AvC15TQ71oIm0tBRf1A+t&#10;U+HRyPXRg555EIAeOK8PBdUHQG4NGNAaz3907Wg+wyyRoEYA3pPh7WMRM1g4eaKt31q1GRtTXEBV&#10;N8RaMBGsBgSpZ+sSS+065xMnTynRdsHaElVdHHUqf9jG7ZsWcO6rLuh7b73YflI5RSfU/uUm2oVN&#10;5PHHpPh0wQQEB4bB2ABdaRYTGz8fJWfLISwGnUC0/WMwprIRzsuPdVjwRVAM6QakH9g0qInDRCCI&#10;+GgO0a1BQtmcfJCzCvHG/MfeUHWF3cBEticijUlzSvdPkRPIHHmmqjTtXqdKUwp+W7OTCkz3iG1F&#10;VcMEF2QXo/EwEZv3pA3uKR2G66YUcOa9rnJdEZbj57O2xnea6wy2Rap50IDWLRNQJ0saldXFTX5h&#10;cpSfgzGo36CDnHBJFPFJLVXdL6YCLtq/iZDpwB82mzKMSOJKmdB5YbJlT8387cPUbPQMgmxc8Fz7&#10;in/VAQ4ugK6ygOrkI0er73eZR/5RDUdCwq6qVt3Dr6jcRTdsdm9KacZcT4NiFVfYk89WG2TiRd4E&#10;Kc5mrnajkOdZkaj4NQs4BybYAR6hwny86EnBhoUQ1ovQUDRxAZpqE3ReKcYdotfxLMa0wgmYEeZd&#10;zX1X69pQ7uqy4B7/PO4DhEznvUogunPrVoqtD6poJ7rB3k44Y5OZ4PM+obsQHQ10ZUlWDLkEiOLu&#10;wXADTem00Pg6tnZN1jGmKAfI1oSgBPlHxGVExYqpFZfcd0+uApF/MNXLznbiP6EtfE4Am/3udQ05&#10;tKtrN9x/F1jdlo9xY21ewukJPRuTqfaBoSSoQqNTxL+EeuNOzcqCUaUDVSBYUTbPdx+dNHNN8J3p&#10;Sc3Vcypa1OUj3zfwBv8x7B23Y4o9uBszG++rD9a0Ui/OHlcS9TOSwo+0O7fvqO7p65YU/UAFLNyD&#10;mGDWwn4KDSSJGQAtwOkLGACBh/XN/7AzGCCgQLszlM5ghwXV4vdx0I4WA8jVm1w0ZkqTHT1oFMkt&#10;/doDw39gs8YAm40e3bFPKw5Q7YPbCWbk87o+qRDRGPCCmdD43ADeHCLncEddS5YEeCAb0aGDCXYA&#10;8AgRAQaEFvasBAsB59ETp9sKvkQxCiq5TIuSzatm6K76D94h8V2FGe4JoO+uXlXVorl2WIQPpkgd&#10;UkLM8ZXQyqebT7t0aoJamuFECmX9ZdsPH8x8izHCpCB8FBBG+ztFnJc0EzRX+6LE0DCVwgj4vSTT&#10;KbraghASqT/0EzNnyCI/MBz8ZRk70ZZmx/obvxYMZk4LSGFttlzIio+QwgiqCsTnM9J20CAOVaBP&#10;ktJDbvksNkURbIoLOMo0ObkkojvQhiv9fASMWr+usivWxCDSteftXETGI7AF0ytakp4Np3DJsMCI&#10;1zZSS2Dq98RM6UJuDRJTFQ/gmoqYNZSbkThENHTQ3UFgNApEUlDEvS3FCKApWlunaADCh75TGdkt&#10;lYO7t4eIwZAQMsZJ6TzWRjeQxftLqtBDNHBqewKXrmJV/kkq3Ji4Fg0a/NDeDKY3sDBjRpSPaIql&#10;cNpK0Q2chqHCoQjrI1yuLzgRV+wxmUrU/EeffLS9vyqNUOs/sqLCEMC+9hDGOGOBQnVKVb8zwk0G&#10;6vBlnmw0LFzWe7t0vaba2MJ0zmJBVguqK6XhegXYFIGf5FYWpx/RgJCAwt8RkRkzgk4vJl8foC59&#10;c2pena1lQayjru8H0uECMnFAfcxX3cwZpmM8t1WL4JnAPlcB12QwLB0+ZcFo4fiRNiM6c4icRKXx&#10;OTSN4L77cnNY8rCDuPhypbiwx3VuHdQn0cWhzn21/B6KhxQMTeh7DqwCsQfDwaBsGJf6DtIajqAu&#10;0n16FGy+m5l9VB0Gzkn1vbXVtudkH566K0nytsNrvZ/4s9a22+Jba54MCbVdhbR0G34V6bbvu5cx&#10;4u6jg+5nVPBW3wwnWnfu/3bMtHxlHewgXx08dDammMN+gBiEhAMzyp/7Z/HAS+rC8ZWZz/iTQW3P&#10;9vh1cA1G4PoutUEn5qBuz4/phabDmB4UoSn7/awk0VVMVggs+xjxBElDSvgbjexeO3f2hHxBcn5L&#10;MuZTgHRJ4yyIKV659n67K81oWuI4w928jQYpKVqOccVRmBltUBlF91kfQ2uEqNs01AE2f/cz97Nz&#10;UCZeISH5tn88r/GXpYGR8P3QcZm3yhcF0vGdfYJijrxfUZFwNLflw/J/UxvV+x1NzcwWc65/MA8i&#10;vKV4ZVJfUDHw9W07p89nxQ/BNSC5xLp5SqNJsyJQgO/gf2aqMDD4FtcTQEKdS5gHkdbWLNhnIkdZ&#10;F2fVWyAlVaPPsdDEXS1ghjYF+Wxj3nTQjpllnSHvFcWKNki3j2jYk722lhHuH21UvkPvcPlPAxad&#10;wJe/EGZfBQnoGLK7HibNEdpnTS1Y9bOUdVVCEwIJzANtPkzGWqg0QfZlRlo67b62pIFROWhziyhE&#10;5qk9NBepKksVdctzUpKOZUzWEtIb/PH80RBHGhTP5e8t3eOuXrU91il0YxktBvwKY4nfirn+zT/3&#10;mTZ96pH2D3/3q5qfyo6dPGmY36ItmwablwQAboEPFy5frTObYPIYd/tDMONTsDxxyNllC0Na36y6&#10;DOFjJb84jaJrfbWmHn3aT+cAFRloyJhW+Ln78LyIRmdu9edAYGwpKno0JgnhvBNCNBomh9DZYMfV&#10;urRPsjYDc7OhFmtPVQjaVq7ikYdlWZRJ4u7Fa23hsdk2e/Rou6/I8llZW/YkfCyeUmCcTPhrq7eE&#10;8+aC4Rs8uRQos94ijEMcgucZStkpJIxsz9WZUl0rg/RdzZ6XxbQ+z+RTcCQvfpOtu6B7Xb9t9N3M&#10;kYc+o4lgCrlpRN/Bp6CnsFBvlD5bELE4JhMDTWaxvPByPzWuqH2eRO64iM/w4Lp8Mu/+wYf97mKi&#10;qVou6sQ/Sc31GojueENqQrkp9w/jjfZuPMQD5vEBJnzwmhqzyI7BKXBVBITH17Q6TB1EgMwvhKlL&#10;kdEYC6ALoYZ9lf9sy8mvkniVE3Tz1lo9dTzy+GmR2o8dO9IeOnNGWiF+FXLKdpXOMNsOHzveNm5e&#10;aTfkD7izO91OqFcP+7tBpwfNnvQHQBGau56yoiFC+u0E/06hvFmj5/Zj658Z+HNuRoNa3zyRiaLA&#10;JH+fUrReuivsinFPK/BLGpueAfNZWFJiMNqt7l/QGuix19MaYCzJ54PHxPdn4mueEx3Dka4i4DTT&#10;RgtCk6DF1Oyy2qSxvl2CTjoB6Gha6S1MGoUPUyvNh8UECHyJKbIEA7O+2N4MFoXqtKjyX54ejITs&#10;J66DmKIN0oexENjb2ZFb49qsTZAOiJ9o2QHynZcTJj9NoQIrpDwnhQOsfcq/iC8vR5Q0ELfRMohS&#10;jQcMZZMYihZxErak/U1LI5+SsDVPFRxMraRwWPBAI2UuHG6KieMfmpWQ5Rx1H6sKfGicCXFOuTfT&#10;iYFKeZeyV7VeK1V8YKEaIS77gNyhugvtttZ4ayfn0XHBl49pQR+2kI6zOXd0uX3uU4+2S02t8QTv&#10;zO/GjZvtox95rt1WkWpqPLNHS3NLxgtKwL1/5VqZUT+ArZmzfhCYMN8S9FaQ53N3FbBMLATWAmOE&#10;89CH+lfMoAvED3rSGIsHejds7EEewH6NRgkh8nwnHKA2poSgTnd8QTY/1/vV33ddk2vymaM5EXD6&#10;pOrSu2u32hl81hQNJYVIOLzwtx5ut66Kl/zylTYt2rJwdrE98ZnPtFe+/s22q/SrCIfZQ++F6WGs&#10;MoOyUFQjSxqobJsFTgQ4vadldriW3NdvXMhYkcsn6xivlMvXy//ZP5+Zle33kCTEe1N3bILaI0Fa&#10;pbOWjhxpNy9dcLABnHlXUIlLkcNOxQohBU7/YULZITMwPK7DaZpqTv4cndXoJEZnMjqgOsvOYYx8&#10;B+8fn+eIAQ7ny+bUfmQmo6l9AAz2g8WDUWMy1Ui3IUqdN4yfcfD+fc8egDef+p+JDpOc7FmkzWgG&#10;fO1efQSciKhvrEtwGR4y3mP8O3uWih9/9FHZ+xekdKVVEeeGljgtSfbmtcvt+l0BLh2E9cK8seVW&#10;QofEmKplmA2aE5MFfsSBiXvx5c3x1EHQEP4umEZrDKHrO8XqYIok5R+TH+/YsnxUDv9XOUExRCKb&#10;EeNIlSANA7ZDQEzMokRtwsWCoBme8WWiQRNkHVrjfWq1uYhp/H5mDko+tyahNe6sqy1XLwHH4xi/&#10;TKKmMfqJWVMiIoyUVfHM0n5SKDyaqhHWj7At0p8lepTgmyCsZj0Id+5dKMcf5eUIiElD5OyPK35o&#10;zruyCthSUAhtQmGGEcRy6yq0OenvqRDCK7kvTMlmYk6kKEyHS5cVRDOlQo78gilXJ1/Q3Q3fR9CN&#10;80RJNeE3PlIfaQVJsLeYfPUP3xn9Izv53NmpvEvM1aS3mEF0MlcmuLq6F2EekNOwE83Qyj1z0WNt&#10;mfJKamGFH2O6PKHrRSB06enj8u1Nb7frb35XLoJNne98uysz36p8iA899FC7dPmShcY55eqSY/fQ&#10;2dOyxGxb2AQug4e1rfWLP3EhUCVnjOcICBpI6QnbMvVjPi1hB5go+mj48N+TV8DswVTmA+vjunpo&#10;SAf7xXr7/R+c8L5PDKd1eVl5Qre6wFUC3PDgGrcsPZNDGE5jWMz6nTVboeaXDrczZ8625bsr7a7w&#10;du2wYHtbWHD3Xtt86VY7evZkO3TslOjWHeND1xA7czQuAwN+GNJSKV68j4QX4Vzv/WOQKfgqIaRP&#10;19Sw1pI7978iwObJNXL2VK+ZPVWjOfPIY+qgrLBtaYeHSOBGKt5RVZMi+ttoDeL+BEFkS+SQt+SZ&#10;Ar4+3NpDdx7AyTxM48GH/qCJ9u0e39HHLWHlA4sblppVevVeaqfKw4ZMRh0/+yAoPXi2B3Z0NNF+&#10;f7/v4O8H3DnsTQ8O8MHWvPdDfggxyOu8OQCCu6XtLQoIl5wKQ1xlVhRNrt7LrPXQE4+KeS6ZIULw&#10;d0Tw8KPgFF99/522Jt8xbmLHelnrorehAi70nGVpDaT2k+xO4woAkLUCAjZl9c2u1UCr7cUrZtUR&#10;rhP7MYXBBLkirW9FFObcEY2v4JYd5yfKX0UrI42JCQrmSHDEjkynMDo0HDpE4AMjaAQGYl9iSe3p&#10;WWj9L+ePlgMs0zjYYZwQBhFdGIF8jDtipNsKWkm90NLOyg9nTY1kOXMEIjoJIIkZe0InEiXXm/b2&#10;YIJw6pxpmFACgQhEccNjrcspLT4vmECiP7t2YYbPKnp/HgseqZDiwBj8g9LmCKgJpYs22KVpV9bp&#10;9xscuCY/wVWdDnt3b0tnjpDFfNIPj+E4623tz572YF4+wwQ05MQRiB2FK26Iv3V+XpoWRev13ZLK&#10;RdJKDlialvmXCN8o8vsFtkwi8+qEaWAPBWiELrAKGRHaFvFLRTCD3R2pg30M5aT8+ovcxGMIdcKN&#10;uyo+AoOeloBD0eq33323nT17tp06dcqaI2ujiAWn/MQjD7cF3bOrYDabVWsOk5ETA5mpZ0/4RWut&#10;LQefoNHGNzycRT8i49iENA905kMITqdRY/o00MDCsUDQ6OWLa8CCoXzLQvrn+btb33rch9fYrwkR&#10;Hfa2PyGwGl/2jJQn+kYw6tqtm3GzyVx6Z/WG5KetNv/la23200fNNxAOp08qZeNh+Rpf0J6Jnt0j&#10;WhrmbBdEZ4v9bEsRgPYNy2NC2UNSq+ya8JK6qygaeqknITvDd7Eudd6QldUSfWZ9ublrZu2V76k4&#10;s6SbIiBzOmCSmG9fvxViqevWnzzc2kk1KL0k6fXlq6nEgW8hNGZA5px5FuQl+LuRMFMLnExo/5nm&#10;/PbfMAGjB1w7Hm/EBAfpa6Ku+Mr+3AEnDwz5IfA5XDWYbDoDHt0/Bt4Pm+mwlrq4/x3fTkcy9jzf&#10;ZA8DCKQouDC0iJG1Pi4QEG6uEzk3njktcu63h4Xgx48ftzZErU0CDACMZUKnN++0q1cut8t3xFR5&#10;dkXKQfBgiiD4itIgeAZV0zhn5yGjrWouJorMDQGuKzneYN0h4m7mnBkWoSoYqGli+liSn3BlXl1Y&#10;DoNk6UZhhldWCHgRzXEtLeqH+puOoqx8xJgMk1iPRmiGSFk85ijTIv6NHthCD0OUwGEviVbVHpLT&#10;6IAZfIXFSDxva3owikSvUhuVmqrzhxXx6ia9ICbMtbRia2WYbhFcYAoxqUaSLZOurtgjqZ7KNfIV&#10;YhWFqcdsWGfuAw9ag94er5gKu0r4OwfRfYpc56hUB+50rTIkxgS7zsfgZjOlJ+Q58r3NgOWLZa/Q&#10;Gl103MVf8a1WcI2WWfEzJmK8NhWxS6DN8dNEqSe3kO46wOKO/LPTi3Te4FmCMWCEreoUruhE8Alu&#10;V6ZuLqkHwVcQvoC9o6SPcJmfXOsbQRjDdV2ZVYIOCFxswLXVHcGrMwJMzw5J2H/1tdfaj37hC3JH&#10;bMsfumlf+SLmP+EXCsK1d9/UvsqCwlkVg+g0zVPoL5gE4cTCQ5LYZzlPzo7zNDpgPi16WHRyzFAn&#10;w3yQyg20YfS4fXRzoJMM3PGf932P+n7l77w6ldrPIHNF39cJLcnzui6VdbkPKLhR/nyu2b57x0Fz&#10;M+IjM7NK3TkhuvPV223xOjCsfdcBLKg04MJp0qiw/Ez04yiAXWga682Fh6OtSSm3UJe8ggsDZTfD&#10;yTo7rEc4yWdFVn3fBI5iDq74UV85Qwmsa+p8sSxTyIrCZvG3EJjw8Eeebxde/l7bk/Z49I3VNvu2&#10;/E0C/FWkXE1tpqQeorxMlKNEBplNsLKJ1vAPHMlBENj3/WAOqJvq1w9ipAMAGckOvPz8B3x+8Lof&#10;9HfNKftdTyig7HP/NzHUyUFOVtvzFMMUi5UMANKPPSYlkJPCu5tCvhklkvlyIeG6UNoFn2uOEMlj&#10;Yoanzj1igo9ZgwOwNuSE8UPtxoWL7dKtdTG/mBrdeNMILl+yxtoSUTssooYDmvJuir3Yh07OvYMK&#10;mRL1k6l1ldiVTufhmAHb+r/XJ8KpnMtlIdFR+RscgakFzTohXLBFayfBIaYtMxanOaD1idEJqUAi&#10;1xat/M4pcvtqffad6Z5EEgalWfuMS5mBD/rbQUr1bY+ZAeHMDIOM/IQgSvtR6C3l6PClZb09SCaw&#10;AKJ7rTB0now26fFgBhFmbMI1k+J/JbmKmZNrSHk9vxzMEm0tpuG+itA9m3fdm1EXiGhDoDgLV8KB&#10;5HMvW06eXJU5Qtv09XyB8GMJnWAhhAeCTMSoa8mkophfsmu6Dk3PfzMehf+9o6ST+ENpSImyxRzs&#10;c9N8Z/XZvISOPfaPZ7lFwhhtupYB6C0X0pLzMSnme9MLphhtlvfIKZy/U3oGCMxdOT1v5QBjHYW5&#10;b4GgMu3nHbd4SaAPawDcbl693C6oEQKC47vnz8fVIGVgkVI14MrDj7er770VpsajCsSZa7fu+Ass&#10;OAo62tF1WAAWpBV5Xl4Q88P10NPNg2O86jT6dPf9ruXso5n9gj6V4Hon9n3E0TwHlKxNHT2hs76R&#10;ucP708nahI51/a0IuGlQrrPxhMfVhNCsKQ6PkLe+er0trBxvu3cEEy8pSl4WK0WjCC7ut8NSrGZp&#10;vAw0wlQLAroFI3CPgMi8u8WnVmp8yp7ytQOdCk+8q9naAojAT0z0wxdRNvxnCbOGLS7UR11o1FtV&#10;yNLkCU1WtCnNRHGeb27KrEKuVfmHkqQGDZocao88ZUSIaUpBpTxWyrLVgRTz6FPrv8cHffD9+Jp+&#10;vgfvyz2RYj4wdj/hOrnx95NDH0FKvZ1s34HvTHQm+55hf9BI++8fDn/fx+P7Oyp0AKh1cfh8xeFp&#10;DoSRw9ioS0qA5YwOnRq0dyW49HD4eSHpc08/YTNkv56cRAZx5J2A9uLV6+qQTZRczYHxrW2knuem&#10;NKgl+ef4ljY+buNkBEi+IkEJwQiIWU2Q9y7FUydTQDw46S3l1T26BTp9RvV2F+T32RXhZF3MGcJv&#10;bRG4FLHdvCvfHzmL+Pb0uYkk5lSnSoThOQYNRq2gGadhAK4V0Xmv6nM65QEzGozWVW80DvmIbjkl&#10;YR8cgPgD50WAY6bEtCrhgmowmMZ0756C0cgPdEUbt4vKyoa6puYCkRKt3WM21bNsWitpNvmXZRZH&#10;0zUGQZTL9Ov9RPsFn8ypzDR5g3vC0aEUKUAIIJfQQMbaYXQhCj2v9BAM0nRA32N2rVKOexrPBecV&#10;IOPaqDyP4AQHHiA4mLIUgU96Sz5KNatEKrFGtO6YhWdkYUAooKrJDnmgJh38r6whQdvJuEa6/l0Y&#10;ioUXDW9F3NezOzkXLrfCCRzUUJ0ABO1VFEK/iSjm722ckkWPCOKh0wrn/PLLL8qEetIC5JqCzWyB&#10;Ee4sSAQ8pHxeIr3feee8LRM9SpfhcSXAWCM4REukZjQvuzjK6tJjATL/LvTW0mtZfxIa0qlEx7IJ&#10;HeoOjAnT6tw7Vqd6SCaQP6w0RAgx7azBrLz0rTZN7a8uyvrmgoMSYkZruK3ap1sbd+RTXGobKqm3&#10;J4F3l4IbxCoIX3BfLH9ysa08oniB+UXDdao85UQD1QWznmvgJZBTsDPMKbaKcpn7xq6N1yKz1P6/&#10;YSsMiEXHsx9+MuBQwnAn6Tib9B8VU+ZUCX9FQHRIobMr7eU//P22qcUuiSABnAsiAOtokXo5yEZE&#10;a1lfXFdEXtcyXPmDxZJv1Y9ixDzGBzw53OHI9p/jcEjDbnzgTSey47EiIuyDiAcOUGAyAoYPf042&#10;cPT6E4w/vnzfvUVwJ3CauVo4Gl3Y6Yb9ZUidRFOKaSwKcdfUycLEFqIKIZKEZuldr2efVgcTASff&#10;o3nZDyUCOovZQoTu5tX325XbCkkv84cBz3QjxJjqIxuSrhdFVDArIWiv6QKbF/Q9UXeOEOzMzwDY&#10;wbo2CiSzalPEoxPEwKDwZLcdP3W6Pbm3LOZ40YyW3DcCHCygca/eOwFa18+KcONPZDRMno6AUxoC&#10;7+EGezb38bgQQmtY5m4UBOAaUjXE8AWrO8rLjP8DUyHaA/w2if6huNpH29pCoN3t3lJw0hS21yUw&#10;SktCm3Ukqk3K7H2ZTi3JQkgx/Rbc0FcQzQxSahSqiE7Pm+eQpB/N1LjjKFoEgSrOzfWMpcCYXaJW&#10;DeP1HC8YTTlj2bzkkM46V0uvfBTt1ARJ4XGM716CEBWEIQRhc70AY0rU8Qw04JHd09/pEuc4IjRo&#10;LO0F189IU+odTYAJN2Dm2YbtbIanBuPte1OqXpE/q4cDeum+NQHeGr0hO5Xr94VcZgHD++wt2tmC&#10;LF8wdXycXo++wS1ANCsPX1QD3Je+/732qc9+VqbgDdE9LBNoi4u+/uzDj7Qbdzbb1WvXRvSETvBi&#10;ilJ2rEVKIKWwBe3A8DWn7m32qqNylo17YLKHgz9vdJ1vqtX0932cMTUb0y2Deo0xuHb65nUCMiYs&#10;RRsnakTOe1xbuisZnR324fKcaIr5Lk/nuZt0yhAczC8ut3Wt/8iRM23xCyfaxs8dbVP/zeX2bFtp&#10;D39hVuUBtxUBTmWlCLQWawyPJi4Fv1ktONGXYFuB1dOu+dU1PZZgxDkmNHSUe+gzKMtCbW6BY2Ig&#10;/LyJTilNkS7bhOML+K5ea1fee8cXQjwGaVw3uapJtc0xgEE8qIBRBJUFOFSfp5WoNz7MMUP8MAAY&#10;A8MYQDogHASafUAxBo6+Mw9gyONnj8d9EEAenM/w95+Q8eb6MRjnKT4EH2iX9mJSgrExZfYf5mOJ&#10;yPubiE++xyx0d4McIRwuIkb6nIT8dUWiPipz0NnTp6JVWrsKU+C4qQCzfv29dkldDpTmWIE7kx10&#10;JCOd3wXUG7IaEH2KoMe575PoNL+09/FSRlvCZ92uUuuDGhrYayf8WzCjhS0sT7dj91VgXpFpMB0K&#10;CENt0RgJ+EBzc94g2hsEl/xDiI6kUHwXwBjmvk7o02meoJsSlQiUQYfEG4DZxTQpaQKWmKlzqn8u&#10;WK3vSX8II9FvM3N7oMIAahkuhyYtaVp7Y789z3NNNe4PQ3bmIjVHa3O8ReRJonUyA6JLbX7tNVIZ&#10;PN08TCrECO2H81ale0XPL4wBi0EyIcybmKfM2+wT1fwdFav7uiBCjqkkGxg41UWiPhFEVEy65k70&#10;LYPD+GOKjompO2I60Q3RlDkaP7U0Qa6fUXm8+cV5+ZYK9zU3mCMWCpscOxwUzAdMusbSH8H5BfZ7&#10;4ANMe53520fbyXAHuQdRlwm2UXyCPd/WIAiAvFwcIXzAJQYvXbnSTl+40E6cO9du3rjhbirgDYyR&#10;dT7/3NPWGNfWbttqkRZcrd01IZeAqmhmBDz80YuuqpTtzU9gKQQ3f/vJfDaghKn1v/E1piAdY/tN&#10;+a7rW/Uwc7rAe3Exz90fFW3cFx/xITPI9RlmMtExModu0Tx4QfnDK8dPtguKLH3rO19rZx97qi39&#10;zE+2jefOtee+vybf9Wa7qT6Lh0/K36g0GAFshFG0bQ4cH7198hSmQDAFG+LbdknKTQI/Q2P4v9ND&#10;at5j3jIh+YNdygvwOfSl8N64kDrAfNPNuQw5M6WCyoQRLShs/9D0Yrt5+Zoi8u463Do5Sji74yfs&#10;CY45aAh1RQAVwXZASAFgv2bfhEeT+kGQ8GH3BO0/+Dq44C5qjtHmQc97MFr9oJmxgL7Z/4brhq8P&#10;zqIAGHwwbRswZDji7pPoBNBA4IAIiK98Ngov3xCQUJGhR3seU7+7p554zGPYbq9xqT9J2bBZXX9v&#10;645SMK61G0o6JGpwAiLZUQiGQnIcRLMlInpK5g/SJraE8PMEsGgyvSC5u6LUYTDHEMqAqhmOAbnW&#10;XQgVHUZXgpxChO1b19zsFnNfuk1ERLAWiB8O5qhgDptOgSuItm2nKZqNH84Rm6wE6RzTq60U+t4N&#10;ealwozJfwitMfeT7wRjcGxENU6/0OeSZ8SUlAtQYk7OxWVPXFqYxP+ZjtkBjYmlG1uwoK+cgi5q7&#10;3Q6BSmvqENNpKnrkiOPHi3k6cdrRFnlF24BBlKZH1KvHiaaXQJjafAsCaOU8LxYaiHXXyticVFeB&#10;2YWAzQivSQMhCMCSPwIxSq32Da4UYs6Skxrhc+u5kuA7PkRM0RASooDxNWKJoOye7tuSxpkuIiF0&#10;nWizH4aLku4n6FE6if0/VWNZt1p20QeUeAPcAh8DigzMZqz1BAoR3hU9LcsDboBtzsnnEVzDXNwD&#10;2ySWtLfeeE3Vnk6IES7JbbTpguFLooWLErzY749/9Ln2ne++aOaXjh+t3dG68NXPaTyq+TAZB79Z&#10;gBx0Xp//wCQHspw1BDo65TrI6nLNgz7tdwz75w1ms/reHKA3A+z6UH1tpy/972Ez66mhSaMndaJr&#10;eKr593HBZfkUv/xr/7Bde+cVM7n7ivJdvrDUnv/PlpRkf7StX1EqBhZImaY/eUx05TP3VcFKbown&#10;jin45phgZ6m999KLLsV36cLb7e59CSGydm3LUnlI7pNt8ae1N96uTcmuABuYPc0cQyiz1xERa/61&#10;z50UDcyDD8D5WCzs3fTZ5TVjYqEDpnTYrCSfT/7pn1bZoxvt3Re/40rnROABHO4Czr4ynJBimdB+&#10;vb9r6Xk/1+6FgQt1fc/4qA4e9gcOup/vcPJ1EAUoBQadLg9jT5Z1ADBqnGFPDsznwGP85745jf/o&#10;m9eR9AOQ+2AAnzyjD1a/a0/7QyfOePYUyYmTTkRj1wDmRJg3qBThtJgQ0mfU+HmBqiSOMoVowxAp&#10;AUY+oHpeXsFsKs2spF3HSgQWvKuuTlHRhhvSLmePqpQXlU+ktRDIZ3NY0Xr7sbo1yHdnZz1eaPCg&#10;CQ/f+kjKX6aHMiec85uSzuclmLHW+GSyIfh4upBlRinCjQaJNmsNzQE1RHKmbJcJHQKm1Fs6uuBj&#10;dLV+/kGf3d6Fot6R7BPZmj1O38NIpQ5m0d9hzunD18dGenWbKVo5abiYymCUicbO9hRjLRA0M/OG&#10;pBQaRDltqTIuFN/n6v1HS0Q7xnqj58tHurcrCVl7wjrNxD0+ATEcoD43p+35kEyKyNas1ZaHipA1&#10;w0b6xteKVqPn7MmcvHtPZutwQZuS0xyZ9cdh6K+KkDrSEkEZeGBsjeeC4QhrrIVgG6XyHELFYzzR&#10;iHsyTSZXcUxkIeKxlAy0o2DRtKMYIbtLSsYCDNo/JX4VIo8xzf7Pwk2Fd0hwpAKU/FnGh8p/Yacs&#10;EGYugMQdRaC+/dor7dmPfUrWMfzbilaVUEWQF+d1VPnaH33u2fb9l18pGE9BAiw2wBLwgXnfwgwC&#10;UhG9CDrBreBH4QhrNq4EQPqn/uPA6yAV6+s9SJv6dWP6lqFGO2TkzKfDuJ3DjW70Hf3zfVSwRI59&#10;3yWACZrz+//olyUkrSjHfaU9/mM/1uYFuzd/7Q0SgNsVYAhXg6yPcx99sr16+aV2/9aV1t6cdyoQ&#10;8L6uAgDUAKaWahdabA2z1TE4YmHViyBwLpWngoGc/WTzeoT0YIcbGB4rL6ZZJ4Moa4tYmb0ZxbH9&#10;UzpMJB+kJR56QyWR3KNNwA5QbZATBs0A+DUFtIm7IpZ0M4hkGcmQEGYjawH2vpkOxzFhoOM9H7OK&#10;vry+zgKj/Qc6Ptzh/X4w6iAxRp59QPEgSKzPJs+ewJbhwY/YL7V+cJjxE8egepD9T1YW/bGIhAMd&#10;oq34acYpzKe6RgcIUYWpGGiYkC68qVyhDUlsDq4hL9F+K8ySapmzfqXdWr3d1hSBYDMQPrahLAVw&#10;B0LHN8J57qBdijAsCVrkBhhQGmIwr/uIeOwaal97hEsm3CW2LsOHwfT1ja8nlYAxmZO1xeRN+Ppd&#10;2bdc2QU/o8yVcZPpmkqlAMxIUfBaq4WT/XwwxGJUFLeGm96j4LYjUeBNaNs8C9DXvwoack4dDMZa&#10;amym2f9opjmIjOFSciUswpDdrp6xYeguH6fJwVh9S/kaScOQ1rlDQFuqgie1yT5AqEb2bormv5h7&#10;S7OF8Sd4qBPWEAlfba07mpwFV/a+hJVE//I9e8o+kexXtmDuh8HXMz0eGrQjYyP0sqc2m6Nqo0X6&#10;qQnHZ0yeY8sXAgr0QdYJ9gSualMta0GThpHxnBFqZiV1HrX0Di2cxyCw+bpojclT3E/2+58evv6g&#10;NOGGyBpFIIAPXMq9Ko/3t4ovdAaKgRe/4TEVKjl66mxbl38MzYT9AneA83NK7Mcy88Zb79gs7EL6&#10;2gNSOpjhPFYM3ml6XfMfiLTpYyfaENtEXebVz/Qg+xsuGK4KdExeD6KXB6nLwBPHjOwDJAjELXrF&#10;Pg7X1gNry7vi6Ct9S58771UEQXt1n1xXwfeaotv3VOFnl0AwrCiGN1J01tre9am2evOytKk1/YS2&#10;OSYFMEUQrFWadXUJw+/Bs9oyjWerlQWrsZmfwQwMJcx1DjQ2pQaWw2gDl6zHhSZqrSoSLlS9e1tm&#10;MlU9kaa4sX63Xbr4LqVF3EUbaWu7/A2HCHLQorcE+HSXNtFiRMFGJ+gGttHp5W1fTfj88PV+GN8P&#10;CfuA4AcDzcEb9zG00dMPjnKQWX5gAv0MOvwaaPYj+AfvOfiU/neXlSd/D5tR28NWJgAhZjdrOX5e&#10;MSGAx0xDgU4wh9JUIObXlFeKFnLkyIoS9in8PeeSaRD0O6o3eEMMIgmskeLjZ8kOcJ/9L7IWABg3&#10;VmkLdFJ+EkUmrkr00fXK/HPCLq4/a2rMo48wMPBoBOMVB98mZiRPoTN5NDYq2BD0wr9gW5gi34nJ&#10;UXBgXv5H+1kpXE1LJLREIu2daB8gJ5DFFjvMjVrPrqqTUMjapkG0LIKObOqqIBvXMk00bWgTMyiG&#10;aKcW48Ic4tN041/Oxky0omGtVYZJWJs30Y12z7kNeYswEzNAtNyCTjOLPGNaKTZmNC4PU4zOzA3t&#10;kGjSSiEx/wzXS2COnoGpFd5PpDvlr2oMzLup0BMGxF1u84aPDQ1O+8M5WVjgP9JerCxHs2Y9SSdB&#10;G0zgXNaYBHY+T/oE5l6ZUNFAMSHaOlFasHgFcS3B+MlPQuszsw4s+XZijerz7rpBxxXLD3VkZScJ&#10;QNW2biFo4aOWQLdF6yvgwYQv6+r+xRDF3KYyBO38e2+3RTXKxTVhZqoIY7RFmCNpSrgm1qX1XlKN&#10;VEyrmE1T+SetsnpZQQuv0EDW05lkZyzwRE++rA/72FzHRm/MvteAZ7Xu8Y7mwoMUr24vIa7fn41j&#10;A8cj9mvrO/85onGdwbAuP2miAXeNbqwJMzZa4Y5ccG1GpRTpw4sFBAamYLfHTjzerh0+q2DB1cKJ&#10;Yozer6yD4EKP6bMO8/J+ljXAKy4iE4tJN5nm8xSPqQuK9gxC14gXeRxb4EJ3upVuZuHYMaHeXjt/&#10;+Y12/yJ5TwKGj51SHUQtSOHLm+8p7+Sjp8UMBTzX76jn4kUPO6fizDPHl2V/UOTW+qqR1RMpgpAH&#10;9rMtJBl/WPs+gucDIPLhQHIQaA7+3Yny+PM/6WcPHLvD0IjbTxjqhwDkAKz9yf335Poh2GaC0wXj&#10;RTSKAtgn5cPFbKkfic2YtWdUHNLJtCKcmIXMTISs+BJTlBjmsd1uyze3IeLpNDfy3DqyVAQjgg3m&#10;SpteIcLTx8xMKca9Drzp7Gk0zG1Ol4Bp62MLRAc22XBrvMoO5e+YCyd7Bmzkb5vEChZ4v1OWBoQC&#10;0kMWFTDB51FyKnBI97K+rtFRjcaFukUIzfzQyuQXpfGuiXTXCtnP8nnnFGKOS96d/oTH+kHsJRpa&#10;1td7vhEQY7OfmQUm2yze/QBhWIb/mELJB+1BIx6L68EJ31RrLsGSOqZEgDvh3ybxaOyUqhuiGa2a&#10;8azyY8KspNGgWVo4wJwJ86YQAU9wbmIsD54r68QCIF+be0Fqv9DQEXA554j/XowFsilbJZKiEv9w&#10;0jSiDSewyBoqQgEwSRQqZfEgMpitXRS1mGmWPKFk7KHhgg8DWLznMe7VabjgepEXSS2bgtmJfD+g&#10;SO6pc/Rv/Y/o6VO0FpOQdEclDKlmk2PMJGwN4FIzpoyFtkjRikvn325PPvfxMs/LH03gjaOhgal7&#10;MqM+Yy3S3ebLqmKtscbrMO29LuI3rDGPystTKVqZaQ8fjy87eEu/tX8+waeRLa0+7CQrSkoWOv7/&#10;wDT8xYhGjVG6GGi+BrY0luF8snceuNRIh8ZQ9EBzOKIiCNPq7NN2hKeyNOwKLhemFYV67PH2DVsc&#10;EfCHSflNT++yxcMcMQw49IGLs1N+/rCNBee1wv9fe+f2Y9d5lvHl8dgen8b2xKfECcQmkEppSyWk&#10;qgipVeGGO26454p7/oD+U1xyi0QlEEilUZs2JNhgJ65PsR2Px57x2Ob5Pc/7rrX2nhlIqEQv6E7G&#10;e++11+H73u89f+9h7nurk+s+DZG6Rz/b67TIx1YpURRCq/0XBkFOlXDaC4+CCyNhnyBmTGnG4LyI&#10;oUpDpU+W6bYIYLakc+YJIxgnN33eDxmWWO5B+LJwfESGr3T23pNa+5l+CfICtxnqzcB40Cgb1Seg&#10;59Oo+45WZ+e5mYEVsQTPiuSLYfHVFmS1Kgo+R0BmD6zcoHbVBXWooQnBG5lKQ+259TWNPMYDnXNC&#10;baaITiRXsV/ekmN9vcCtZQdjPTzDJ2ibgKy5xRi8mThbruNeKShQdUHtcozQhtke8b6fhCN7nMLT&#10;XTEjrnOlGTPveAQJnDHjL3ekG2EjHKXU0fzbrkFp/h6hFQUNxfUtk/xuxaKUCgYZITNxl8Ac12Ss&#10;VG/wu2B2mjW7HFtpdy+8KYdrMUIQAcs8uzyWDXWUE489zqJVWfWFYnmGg2Z4Vnowwj1GAS1hSxR4&#10;UkT0DK0T+2B8P6JsgqxHLFtX8hEMUaRwa2FB83Cnb+iOThN5rhGo56LVHHMfwUrnvhZ8aCLsOUQy&#10;CubtfuVq9s9qjxKhZk0bi13WPZY5eG4zHITJusayM4K0/NXn/j1WlxUJYKIHg3OkY8RnMr0O5gsZ&#10;A/t9tBzbrjqurw6hJNqUzjPKWm9mz7x3pFw8Utm3L5TYf3z9jCpFJdoRL0qKJMhFKI/GxQsbw/Ub&#10;N8uqwHsCLoJKZWkUHIpKArdivK1EmgeMQjPz+t/wrQkOwY/mOAvwmfPegH56tcTJYPe+lq7tObVA&#10;ml+QlC7kj7Zcvrgrr8PL4YyqZ71GCUNOiLaPyZ2xI5wkr9OFGXgoSvps5MA8SncNNKZfYGQ2Eki5&#10;OL1ewY1WuAtPF3AluLM47/DNoGKuxT3fThw2ZAIQ07IdSIPyqUUbtBCSzsqYxFBe2VlPO5TQDnc4&#10;pGOu82cmOV8YQ2da7ZDAwlAbEfrdZx+EGYZGrp+fst/p+61tCs/On7h3/ftII+t0byYcsp5e+6Kf&#10;4bB3nnW9F7R1nD6rzi9hBQSxCGuncNy3G/38Os9uRDQtu+xYhnRQ76hNI0oFzXAC7YDYFx7nNU6j&#10;mCcMrSyl1Fd9NfzrT34y/ODqNxUNlpqQ7MEZLRmu8a7Wu7XuoJfRuW/fClgLy6avukXwxXujsXBd&#10;AIJx6zil2hB2a8eFm6IehGC6wwt56TZvJo2rM+TJ/uAR1VJ182JvIoVJ8avdfESbojDoNxL4V1St&#10;xxaR3SzcIi5Qu0iBh12kIRwECG7bKByxZvgz/Plsvo+1RA4lgpd0hewx2a1KToiVjUnO8hvqRmRQ&#10;292QNsI1QtUvghCcr4XFBWwiUQknR/hk8PWZqFQEKGwD1MBA8gOyb0nRAgSkbbJSssyM7AqXUlUu&#10;WuZEsjUxBSuH2f8MnvEoSp8ZDqyPYR9lwnCh5qmvodKNlAUYHwpzIFFrFoDVjsACH7Y1A1yLM6GD&#10;o2hT+5a7RNkOFY44NvvcIMN9SmUZxnf30fNhS/voK2JobSF2BG/ODx1zPxelEC+88/nNYUPuVPIW&#10;3QwamvPWwo7dp0+fbo1CFTzE2h4nUvSZu4baWyD6JPCMYwX/fnbOnfOXns1XfZ/xxrrNnBN5PIb7&#10;EhebC73Z4837iif1CJrjhf+zGgnC8tr6c1zrCY55OZxVSsaK4hxcPcquiyiTKLo0NED1S3/F5VfN&#10;JWzTcmQSec2VMxr7VFBO7dkpEVFW6yQHQN65pCiFfeTH4aHM1ymFeq3SaPU1pcOePJfbLK6QN7QZ&#10;ekJ5Jc810bsKsb6082jYEpY+Up1AmIsXWknMh209JkowzIGR9mwy2V6GyeSd7MSSNoVUIZjGl5ap&#10;WdBpxabJTrg4J5JlEBs5avHy2xxd9lmTOjSetQ+SzQXfHNyLd+tR4XYoWDQTDWAKPn1VuQTgDSWB&#10;eHODFQ8mcHd6TfixGVJHGuZIRgOzJ4T8mM7f3ZWrxy7JMOHlsXMkVo/2TkT4uGEvb5zS9WIuFWG8&#10;pj0vOjF6+8kGFs+A3y7bzoHamI6x6B+piU4AhUAcAKKXI2kt7MLYifLEAjyhmonUPMUacm1Ou/Eg&#10;8JFM0wwD4cr8LQxV1cSpGYIenSiK0RJIZGBa8MQq9p5tuaCNwOwPUTpt3K+M0uc/4I4g1b2pMvNK&#10;zXhdYxWXsvcsuT0WGBYkt+VAglPs9q79u9Rr1TUwEjcL7uRuBD2dPDQuBJxokGfm+gyBOaYLCAKp&#10;0jcEZ4p6WxnCkrU7VCdzD1tlgUu7YimSblTxvPmJrpDFmnWcPTmYW1uazXDaZexGzIoqREGJ+x5B&#10;DU6QxB6Kf0ngUu/XlNSIVh5LMMhozjTSQZhseABLxt9ZShoyZ11rTJkxCDPoJp/CbFKIzlN2RsFF&#10;Zy+rafr6MxWsfmCv10mlCoDn5E9aIfIDMwDuA85QuIK1PSrBvq2qT8AZWqK8IpW+wFOG4L3KcqMn&#10;wjisu+eUW3dAWqF1WSXLPGMSiPvxpr3HDuJgX4Wz/XfneFwsSZNoJGAOlkAFZgi3jqAe19AwgA5X&#10;hy8VuPTx3//dcO3ae8PhjYtgg+G1S99PB3PBSOATAVeC9gK/BW+Zf7ZENQAjeHM563dKwT2HlFO6&#10;5Rq2Ksrh3xJMZe9IeYC4iL12rnU+ovOGk5ZlfiXF8ZR43Vp5xuTrkMxWkVy0wEMaNK6Fpyr7RMj6&#10;nU1VKhASHZG5SKQgOW9B2ip+7G9h2stKx8gYZ0g34e/kDjJCLAkIk5WPTUQzw/2Fj73IRVt7Tsut&#10;l0ln791aXhRdzi7Ze4dcnScf9NzAicVs2Of88IIez1yo1Nr3qjeJeSW5Jho26eJWHuyuiGvOMyx4&#10;wW+7kDPCgDDzGBjlRqjx+HzjWjS+zsFCo35rXa2EFG13QpZij7RzxcAAMyy70ou85+vH0hWyt0/V&#10;1hU44uUs5NcxXFOwSCygFPTGfZaTyftyibMYKh4fEbMpZh2L1J/FyLAOV+TZOFSNkn1YE3SLH1sr&#10;uadhBWEyDsdzA8sIkVTMCHG6xqq/1j6d3Ya9p5YKN9CCo3iZrz47W8FVXnD9xnqIqy7uVcRO6ahW&#10;BJrAIc4xR7FQw96XmJGoIrGUtfOFkOF8nvnCe3gIsOBi9g7z7FairDThYPI6U2oOOFOiPMFGr4Ub&#10;pFkQzMQeXKyoWD8oC9mrjfBwdxDPyVqRA5m8PlT3sUKA1ygRwexdGt9wz7ZiNOI9sIzi4gIDxt0g&#10;TL4HP8Azqy66znGwejesDdia80iFRY06zjUnlGMLY7yv8m3b21tmhOy1sx4EqPEiUb9TaopCPT85&#10;w1yhZU3t87o9F0K0I7MTYJS9/KMKygkiFpkjBH2z8MkI+eB+86l+Vl02M2KWz5if2Z/zPudm81/2&#10;43Ijf5wz6ILbnrHMbz6zKudWrBUJLSF1bl1aspUBeJIW6IXSfK4o7/OMqtuo6sFwSuegbP/nZ7eM&#10;y6s7z4ZvqWPGjZ2Lw4MvH/oeq3SRKSXXRTCcmpTRdaCZW8NJEeM796Mc6ZXLalOlsnHX1fnklFpS&#10;4ekhZ/IF6ycF6KiyKbbFx/C2nHnjovGTZtPbm4+Hk+c27BXdljB9oZZiV1T45NiJM37mKh0LumqK&#10;N1E1mm0N6DHIgTSmBQwTK62npV8IKOcblgX0BXY/EsLigi9bj9NSt5BorWvCgMlzXGcXTw6jXUSW&#10;BWt5EZ+WvjUHnw4vCOQD0a+xZz6vHkWLypI6RchlBwYdjQAlpOrRrSagC43IptNozUWN0+LrIUCt&#10;S3Kv8swFV0chKRAk4ITCnrl3yHBBedGhrqITIaPoUjH8deWaEVl3XMyFF0XfqSrS/Mj7aGV9eflL&#10;MIf4J2UgClNcjh4nfzFaPR+Haru1UxgWjHdX+z8+QwTWVWws0KpkWCsHYDhW1gtZY0dIY2D/2yW9&#10;ymXJs1sbhJs6FSNJ9gglGPfomKliBnaXlquVxH3Pt4Sou2hghba7F/NVG+67VTP0iANv4ODZs4KA&#10;bVFQF5P7Jla0nhn3tzVW1hKmwP6myrgRvAKMHIiAqxJLkvQMf9aIvd8fZcFOGTRjC4zcu7f9ghNh&#10;yAhwIm+9DCgAWDmUtQMeOoFuFMQOpJ2U9iHt/k2+GNb5LrXpgDcFwqXpOw+WcbOQpLd47vzlODhr&#10;5obC3TTEWIOBGVS0w0lxDIpHgBRtjxTl38IBFgRCSxbmXyezTGs0dNYa3759f9imb2Z5I7JfS/1g&#10;BBvM1xg54qZxS992VKHl+Kl1HwfmWM2xEKOYJaq4ch49Xo1rtOQjEk2nQft8qYEvKMp1Rn6KQjC9&#10;eqbhFV/nNb9i2ZdTo1m43X5PHYFSbGx+AZHhtvi1hu0gt2tfcPqj731f9WQvWGh98rMPhzOnz6g4&#10;whvDt999f7h366aOq5PGmXPDW2fODqs3Phkuvv3OcPTk6eHO9evDusqMrr/5znD73z4aTis/9Mip&#10;Dd1ye3ioyOBL77w9rF+Q4FIe5Kf//E/D1T/89rCydnJ49NlteTJ3hg9+8EMZcy+GB7f+Y7j36S+G&#10;S9dUUef0ORcs2Xn6aPjdD74jA2F7+OzGjWHz3qvhippNv1Ta14Nf3R6eaU1PXbigKPes+epLheEf&#10;Jsim9kiIpToN4YiTnVfppieimGdyQbEvtQshFBrhJlkT4b9QR/M2cfNbELcXJgJqySIqCC8v9Rwp&#10;+h5Bl0WEmQThtEk7WiN976K9kTPMEXREssLc8Ps6mk9z8ss4G3Xms8tN/Xu5A0ZL0AdnBNf3mGFs&#10;37EtCD91TgtA03QbK9HBHubN/BMNPqHm0x+jSURnrAqsjtJbPasecTrdo/UnTSEBRgQpHFbahTQ+&#10;MVECbRBRW6pG8ZiABxiBLsH4ch9NM2JwolaO+7S2X+sOcGIIlIVosATg5o24EWE2lkHNNhM0VCjp&#10;UY9uOpi4tFFSC2xM4YJFEogIu+KPG9Pqod7ypOoK6QkwegJyHLmLu4/oTZ1YQSxR6hiXObDnhlUe&#10;uoiCgVXVlfrjFiUvT88pt66Da7x/mKhM9lYMcd0zVXMQFmjY2Uflkem/l8Z07I9YwJALqohU72lh&#10;0RoWwQ0rB1xPlDBCv6tKNZ2NbuXMZ1fxAJTDM7xttTJuuWjFxYHJYdE29SoRkN67tuWs1BeNBff1&#10;MSq76Pk7ch1OixY4ZT9UL+d9Mvf0eTRVtpCodW/y8+70AuGXusj9EEC4ea1E5LTnfOe3GW1E+co5&#10;gW/4Dp+Jkl6h4S/BQvJ+gc9plJFCD8AMhSeCcRZ0MyKqIlG1TbRuYUgENAWtq6hCCD3KQuUqjvvr&#10;NYLeSopCWPSPkmDXwyInMQybdgyg/N4zmxTpht7Xf1+w8v6Hy+c81+Movji/rMtNhkamE5jvmnLX&#10;v392dTivBP3XstKubt4bbshSO76hbAbRyOa9z7UuT4fzV98bzkpR2VRQk2tonz47XPvmtxQXsGYX&#10;NZ6BK+9dGw4dPT1sqR/mw5v/Ppy7/OZw+tLbw89//A/DxiVVIDq7oYbRT4ZPf/bT4d33f0cW/itV&#10;Y/uV9/fv3Ls3fH7n80DS+8Kvho8/UsEArynbfS+Hm+qSEgUsa3tLuZXg83d+/6+l0JKwr8aQrYdh&#10;OfqzrngkgnItSn13Za9aZJZXgWkefAJtCoAlY3B5OLR6ZJyNwssCZfH7ZDstC9Fe2mnZIjxmYhQG&#10;20jrEU2a8uJiL1po+y081DUKp7rXIj41Vdf77KsZ/RLytdALoFowZYz9yj5ZVqErArUgsfVoiytM&#10;C2Jqt9ZU2DtI2kErvrUQAOY2KuZNdC1E/ayaqy0V9cc7qb0iLTB8kqogRAHu6HmucdvaPTfvvWML&#10;kUC4Z5NmGU3gvZYRuoE3/xBEEesKt6mtpllhZVuRPi2E12kKz5Vviav1iPZ87FphX18CkvxF8u+w&#10;5HDJIlSxeBCgMESIkqhKC2HvNRKRmXHGderF8e/xnWZ5nKfoajf6jlsR11/vWZQAdUEEYMlcsLQq&#10;kjUgQhhyTwQaPR7D7vls96x7EeJ+hVFXNKsUFTPVEiwjkthK4Vs6d9i88z5Lzk3eZhQpngM8nYaB&#10;kltwRyjQWJkSB4zhiBRf+ZC8r/Ja+8++uGCHQCUFIfs02lqRFe82XGMxgyhlWOmsdmr2gqcIxUWv&#10;REY9IoDBGawBNsGc3ke0Aad7IBAfViPbJYIcQTJ9CL6BJ7SueibrYU3Ii1t4i8hbu78pTKG5O+Ao&#10;e7NdSL/Xn3fcc2aeGkOqN5VyWgKRcxwxXeLLz4V+/VeUYH6J4loK9kQmuap4ZbAur6afJXt4n7ke&#10;fGiC6+ycUp7nz+jn+pkTg9hzY7OcJYbW+4rNI7nc2QeC5+YnvxTdKZ3vjSvDK9VBvXPvi+GirMTX&#10;4JFkzeaWcuLlhcCDclLNnteUV31sY314tvl0eC78/uXPPxyeqmnB1r9QfVQubgmtL+/fGTb/8ccK&#10;YDs+3Fcg1AmVg/vFx58IN7eHpw8fDI+fPhhWPvxI3V5olKB9YbnMzTtLXoXdaD01xjX1zTx1/qLS&#10;CBUzo5x86HPjrasSvlvDsye3PX/V8lUtRLvYoo0fqwAA2sekUHjKV5lRc5L+6IjuBGm7S9w0KkvL&#10;/xBnSSGQG6aaxZgLkiw/x/LfnKWavMJM6qyc10ua5zQKmSjHuy+c5Su60kUjcJ/RLBvg+fmjFDQn&#10;O+B1wA8x4yZ5F25exL409tmd50TVcw0bjWXY3h3ebfW01u33moHHHYEzusxKQK2gJeFIH4dd1okt&#10;j3R96FVAK95YPz783qXTZhwwWaocHdMC0j6K56FxU4uSW5IPFmsouyjh+9VCrP3XgKFQo/eYQ7RZ&#10;f3e+cNBI9scc/QUcYcJy7+Hq9L5cKWrbqtsKdI46dxEhoDqwJ0gYVzCEqpyvrJK6EbegO8RT+Zyg&#10;GQbNnLEONAnZThZcDNrl0+zCrO8ETxRTN+AslIEbxYtxL4pLO30pe5OraIdeHA4nFQGNEXg4f1Ql&#10;7MJ4Y7lO+401d6XMIJot4E08GqOEVLt3fR2uVl17WEE4dMmAwA+Tj8geq8cuBu1AI33HzWcFAwuH&#10;vEQJPbwBTbuy/vltR0FCHFxbX5NLS3vIggtOU7qUcCqWn5tTS6lgcXycgvHai9slPxKh0H5ClAHA&#10;Z7cac08kX6JhmRPCG0uwo30n4Tj2rzR6yzITXnWnq5QkVDQ8cCv67PeDKJROGFRiAt+OS3FwYX2N&#10;hYhH5sHc09GCuAj+YJ4ddJO7snXwQpGmKCmeRwmVaaso+O5I6cLm9lRZNTQt8jdymdCIIV5iq9xd&#10;LQj7d97nxw6a537HWyDuuZd5ZF4ZwxKLK9h6fiMfrHHMWJ5RqAVNfR5ZnZQRhYUNf6vWUYd/en14&#10;64PL2ut7MpxVY+5LK89VOlRNh8+fHV5trg53b980va0KN1ckpJ48vCeBtiPl+9Vw5/YtuTsfD/cf&#10;fjFKABTGJ09ueJ1QQLfU1Pj167vmN9D0s4cPHQAHgVkFQWmtmcb7EbjzX9YTxQ1vUYS5G12oSHmF&#10;gA2rf/Vn39WR734d2P/23P9HEPibH/3FvrOF3al64f/tS8X1932lbynbYOogu88ZyJ35q3r6joc6&#10;EO3Xmk2Ug7ASHrD8EH6bP0ja7MKLwfeLCfWkfq1BBSYHvRjC8jCWz23dtO9TFe/Gqc4ySEYuxnY3&#10;w1eshfIbvtbrzXeH4c264ht6//OvdfV08mN9/Maf5u+3r98EBF4PP/yD700PPq/ONn6d22cwJNjm&#10;9Sfv/+VvYrD1zD/2+38BjAOJmMUi4jI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LmzwAL8AAAClAQAAGQAAAGRycy9fcmVs&#10;cy9lMm9Eb2MueG1sLnJlbHO9kMGKwjAQhu8L+w5h7tu0PSyymPYigldxH2BIpmmwmYQkir69gWVB&#10;QfDmcWb4v/9j1uPFL+JMKbvACrqmBUGsg3FsFfwetl8rELkgG1wCk4IrZRiHz4/1nhYsNZRnF7Oo&#10;FM4K5lLij5RZz+QxNyES18sUksdSx2RlRH1ES7Jv22+Z7hkwPDDFzihIO9ODOFxjbX7NDtPkNG2C&#10;Pnni8qRCOl+7KxCTpaLAk3H4t+ybyBbkc4fuPQ7dv4N8eO5wA1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AZUBwBbQ29udGVu&#10;dF9UeXBlc10ueG1sUEsBAhQACgAAAAAAh07iQAAAAAAAAAAAAAAAAAYAAAAAAAAAAAAQAAAAylEH&#10;AF9yZWxzL1BLAQIUABQAAAAIAIdO4kCKFGY80QAAAJQBAAALAAAAAAAAAAEAIAAAAO5RBwBfcmVs&#10;cy8ucmVsc1BLAQIUAAoAAAAAAIdO4kAAAAAAAAAAAAAAAAAEAAAAAAAAAAAAEAAAAAAAAABkcnMv&#10;UEsBAhQACgAAAAAAh07iQAAAAAAAAAAAAAAAAAoAAAAAAAAAAAAQAAAA6FIHAGRycy9fcmVscy9Q&#10;SwECFAAUAAAACACHTuJALmzwAL8AAAClAQAAGQAAAAAAAAABACAAAAAQUwcAZHJzL19yZWxzL2Uy&#10;b0RvYy54bWwucmVsc1BLAQIUABQAAAAIAIdO4kDKT2YB1wAAAAUBAAAPAAAAAAAAAAEAIAAAACIA&#10;AABkcnMvZG93bnJldi54bWxQSwECFAAUAAAACACHTuJAqf9JRtMCAAC/CAAADgAAAAAAAAABACAA&#10;AAAmAQAAZHJzL2Uyb0RvYy54bWxQSwECFAAKAAAAAACHTuJAAAAAAAAAAAAAAAAACgAAAAAAAAAA&#10;ABAAAAAlBAAAZHJzL21lZGlhL1BLAQIUABQAAAAIAIdO4kBO/hQOCZ8DAOGeAwAUAAAAAAAAAAEA&#10;IAAAAE0EAABkcnMvbWVkaWEvaW1hZ2UxLnBuZ1BLAQIUABQAAAAIAIdO4kAn521+EK4DAOitAwAU&#10;AAAAAAAAAAEAIAAAAIijAwBkcnMvbWVkaWEvaW1hZ2UyLnBuZ1BLBQYAAAAACwALAJQCAAA7VQcA&#10;AAA=&#10;">
                <o:lock v:ext="edit" aspectratio="f"/>
                <v:shape id="图片 2" o:spid="_x0000_s1026" o:spt="75" type="#_x0000_t75" style="position:absolute;left:0;top:0;height:1966595;width:2504440;" filled="f" o:preferrelative="t" stroked="f" coordsize="21600,21600" o:gfxdata="UEsDBAoAAAAAAIdO4kAAAAAAAAAAAAAAAAAEAAAAZHJzL1BLAwQUAAAACACHTuJAcAeiZrsAAADb&#10;AAAADwAAAGRycy9kb3ducmV2LnhtbEWPzYrCQBCE7wu+w9DC3taJsgaJjqLCLnrz7wGaTJuEZHpC&#10;po369jsLgseiqr6iFquHa1RPXag8GxiPElDEubcVFwYu55+vGaggyBYbz2TgSQFWy8HHAjPr73yk&#10;/iSFihAOGRooRdpM65CX5DCMfEscvavvHEqUXaFth/cId42eJEmqHVYcF0psaVtSXp9uzoBc08Pa&#10;fdf737Sqp9t+J5snW2M+h+NkDkroIe/wq72zBtIJ/H+JP0Av/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AeiZrsAAADb&#10;AAAADwAAAAAAAAABACAAAAAiAAAAZHJzL2Rvd25yZXYueG1sUEsBAhQAFAAAAAgAh07iQDMvBZ47&#10;AAAAOQAAABAAAAAAAAAAAQAgAAAACgEAAGRycy9zaGFwZXhtbC54bWxQSwUGAAAAAAYABgBbAQAA&#10;tAMAAAAA&#10;">
                  <v:fill on="f" focussize="0,0"/>
                  <v:stroke on="f"/>
                  <v:imagedata r:id="rId78" o:title=""/>
                  <o:lock v:ext="edit" aspectratio="t"/>
                </v:shape>
                <v:shape id="图片 3" o:spid="_x0000_s1026" o:spt="75" type="#_x0000_t75" style="position:absolute;left:2635623;top:30736;height:1935480;width:2790825;" filled="f" o:preferrelative="t" stroked="f" coordsize="21600,21600" o:gfxdata="UEsDBAoAAAAAAIdO4kAAAAAAAAAAAAAAAAAEAAAAZHJzL1BLAwQUAAAACACHTuJAg+bw1rsAAADb&#10;AAAADwAAAGRycy9kb3ducmV2LnhtbEWPT4vCMBTE74LfITzBm6ZdRaUaRQSlV7sLe300z7bavMQm&#10;65/99BtB2OMwM79hVpuHacWNOt9YVpCOExDEpdUNVwq+PvejBQgfkDW2lknBkzxs1v3eCjNt73yk&#10;WxEqESHsM1RQh+AyKX1Zk0E/to44eifbGQxRdpXUHd4j3LTyI0lm0mDDcaFGR7uaykvxYxTkztEk&#10;36bf1/MvzqdIxemQNkoNB2myBBHoEf7D73auFcwm8PoSf4Bc/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bw1rsAAADb&#10;AAAADwAAAAAAAAABACAAAAAiAAAAZHJzL2Rvd25yZXYueG1sUEsBAhQAFAAAAAgAh07iQDMvBZ47&#10;AAAAOQAAABAAAAAAAAAAAQAgAAAACgEAAGRycy9zaGFwZXhtbC54bWxQSwUGAAAAAAYABgBbAQAA&#10;tAMAAAAA&#10;">
                  <v:fill on="f" focussize="0,0"/>
                  <v:stroke on="f"/>
                  <v:imagedata r:id="rId79" o:title=""/>
                  <o:lock v:ext="edit" aspectratio="t"/>
                </v:shape>
                <w10:wrap type="none"/>
                <w10:anchorlock/>
              </v:group>
            </w:pict>
          </mc:Fallback>
        </mc:AlternateContent>
      </w:r>
    </w:p>
    <w:p>
      <w:pPr>
        <w:ind w:firstLine="480"/>
      </w:pPr>
      <w:r>
        <w:t>2020年引入的《奕.金融-多点触控虚拟仿真平台》将触控技术应用于沙盘实验教学，并借助于虚拟仿真技术、大数据可视化技术、3D技术等生动立体再现金融场景，不但保留了沙盘的本色，满足实验分组沟通协作、对抗竞争，又可通过后台管理方便快捷的设置及更新案例宏观数据和背景，并可多维度实时采集学生实训数据形成可视化的分析报告。</w:t>
      </w:r>
    </w:p>
    <w:p>
      <w:pPr>
        <w:pStyle w:val="7"/>
        <w:ind w:firstLine="480"/>
      </w:pPr>
      <w:r>
        <w:t>3. 教师队伍建设</w:t>
      </w:r>
    </w:p>
    <w:p>
      <w:pPr>
        <w:ind w:firstLine="480"/>
      </w:pPr>
      <w:r>
        <w:t>金融学专业现有专任教师16人，其中，教授3人，副教授5人，讲师8人。初步形成了一支年龄结构合理、学历层次水平高、学缘结构科学、职称结构合理，教学经验丰富、教学作风严谨、教学水平高的师资队伍，保障了各项教学任务的顺利完成，有力支撑了本专业人才培养目标的实现。</w:t>
      </w:r>
    </w:p>
    <w:p>
      <w:pPr>
        <w:ind w:firstLine="480"/>
      </w:pPr>
      <w:r>
        <w:t>典型教师获奖：王洪生老师，2018年山东省教学成果二等奖（首位），2019年教育部学位中心</w:t>
      </w:r>
      <w:r>
        <w:rPr>
          <w:rFonts w:hint="eastAsia"/>
        </w:rPr>
        <w:t>“</w:t>
      </w:r>
      <w:r>
        <w:t>优秀案例教师</w:t>
      </w:r>
      <w:r>
        <w:rPr>
          <w:rFonts w:hint="eastAsia"/>
        </w:rPr>
        <w:t>”</w:t>
      </w:r>
      <w:r>
        <w:t>（全国仅19位）。</w:t>
      </w:r>
    </w:p>
    <w:p>
      <w:pPr>
        <w:pStyle w:val="7"/>
        <w:ind w:firstLine="480"/>
      </w:pPr>
      <w:r>
        <w:t>4. 实习基地</w:t>
      </w:r>
    </w:p>
    <w:p>
      <w:pPr>
        <w:pStyle w:val="9"/>
      </w:pPr>
      <w:r>
        <w:t>在多年的教学实践中，经管学院共建有稳定的校外教学实习基地30多个。其中有学校和地方签订协议，正式挂牌运营使用多年；有经管学院与地方协定。投入使用的有山东省银监局、人民银行、人民银行泰安市分行、农业银行泰安市分行、建设银行泰安市分行、交通银行泰安市分行、泰安市人寿保险公司等教学实习基地。2018-2021年新增平安银行泰安分行、青岛银行泰安分行、山东泰山农商银行等15家校外教学科研实践育人基地， 为金融学专业学生提供了良好的校外实习条件。</w:t>
      </w:r>
    </w:p>
    <w:p>
      <w:pPr>
        <w:pStyle w:val="7"/>
        <w:ind w:firstLine="480"/>
      </w:pPr>
      <w:r>
        <w:t>5. 现代教学技术应用</w:t>
      </w:r>
    </w:p>
    <w:p>
      <w:pPr>
        <w:ind w:firstLine="480"/>
      </w:pPr>
      <w:r>
        <w:t xml:space="preserve">本专业十分重视多媒体、MOOCs、微课、雨课堂等现代教学技术应用。现代信息技术在课堂教学中的运用，对改变传统的教学模式和学习方式，提高教与学的效率，推进教育教学改革，突破教学重点、难点，激发学生学习兴趣，优化课堂教学具有重大的影响作用。（1）运用现代信息技术，激发学生的学习兴趣。借助信息技术手段激发学生的求知欲，挖掘学生的情感因素，教学中，教师创造的宽松、和谐的教学环境可使学生心情舒畅，思维活跃，教师对学生的充分信任、鼓励，会使他们产生巨大的精神动力。使学生在充满情趣与快乐的情境中发现问题，解决问题。（2）运用现代信息技术，突破教学重点难点，改变学生的学习方式。。在教学过程中运用现代信息技术，能突破教学的重点和难点，化难为易。（3）运用现代信息技术，实现教学方式的变革。将现代信息技术广泛地应用于教育教学过程，如多媒体显示技术及应用软件辅助教学等。 </w:t>
      </w:r>
    </w:p>
    <w:p>
      <w:pPr>
        <w:pStyle w:val="5"/>
        <w:spacing w:before="93" w:after="93"/>
        <w:ind w:firstLine="560"/>
      </w:pPr>
      <w:r>
        <w:t>四、培养机制与特色</w:t>
      </w:r>
    </w:p>
    <w:p>
      <w:pPr>
        <w:pStyle w:val="7"/>
        <w:ind w:firstLine="480"/>
      </w:pPr>
      <w:r>
        <w:t>1. 产学研协同育人机制</w:t>
      </w:r>
    </w:p>
    <w:p>
      <w:pPr>
        <w:ind w:firstLine="480"/>
      </w:pPr>
      <w:r>
        <w:t>（1）重视科研对教学质量提升的支撑作用。多年来，金融学系教师除了承担金融专业主干与主要课程的教学任务外，还积极承担全院各本科专业的有关金融学、统计学等课程的教学任务；主编与参编金融学专著、教材11余部，发表高水平学术论文200余篇；先后承担并完成国家自然科学基金项目</w:t>
      </w:r>
      <w:r>
        <w:rPr>
          <w:rFonts w:hint="eastAsia"/>
        </w:rPr>
        <w:t>“</w:t>
      </w:r>
      <w:r>
        <w:t>中国农村信用社发展模式与运行机制研究</w:t>
      </w:r>
      <w:r>
        <w:rPr>
          <w:rFonts w:hint="eastAsia"/>
        </w:rPr>
        <w:t>”</w:t>
      </w:r>
      <w:r>
        <w:t>等5项，山东省社科规划办项目</w:t>
      </w:r>
      <w:r>
        <w:rPr>
          <w:rFonts w:hint="eastAsia"/>
        </w:rPr>
        <w:t>“</w:t>
      </w:r>
      <w:r>
        <w:t>山东省金融扶贫模式研究</w:t>
      </w:r>
      <w:r>
        <w:rPr>
          <w:rFonts w:hint="eastAsia"/>
        </w:rPr>
        <w:t>”</w:t>
      </w:r>
      <w:r>
        <w:t>、</w:t>
      </w:r>
      <w:r>
        <w:rPr>
          <w:rFonts w:hint="eastAsia"/>
        </w:rPr>
        <w:t>“</w:t>
      </w:r>
      <w:r>
        <w:t>山东省供应链金融模式及风险研究</w:t>
      </w:r>
      <w:r>
        <w:rPr>
          <w:rFonts w:hint="eastAsia"/>
        </w:rPr>
        <w:t>”</w:t>
      </w:r>
      <w:r>
        <w:t xml:space="preserve">25项，省金融学会、省人民银行等厅级项目15项，取得的成果在全省乃至全国居于领先水平。本专业教师近年来获省级及以上奖项为 20项，省级教研课题5项，校级教研课题7项，发表教研论文50篇，获得省级教研成果奖4项，校级教研成果奖16项。目前已形成了较为完整的金融学办学体系和鲜明的农村金融学办学特色，为金融学本科专业奠定了良好的基础。 另外，积极与国泰安、硕研、逸景和智盛合作申报了有关金融方面的教育部协同育人课题项目，有力地推进了学生实操能力的提升。       </w:t>
      </w:r>
    </w:p>
    <w:p>
      <w:pPr>
        <w:ind w:firstLine="480"/>
      </w:pPr>
      <w:r>
        <w:t>为应对金融科技的挑战，2019年，与深圳典阅科技有限公司共同承担教育部产学合作协同育人项目：《互联网金融课程改革》。本次教学改革以互联网金融发展情况为出发点，通过校企合作，依托企业资源技术优势，在课程中加入更多教学案例，真正让学生在探讨中学习，能做到学以致用。使学生在真实情境和独立思考中探索互联网技术与金融业的融合。通过课程改革提高教学质量，培养学生独立思考能力，真正做到学用结合，为行业输送更多应用型、创新型人才。</w:t>
      </w:r>
    </w:p>
    <w:p>
      <w:pPr>
        <w:ind w:firstLine="480"/>
      </w:pPr>
      <w:r>
        <w:t>近几年来，与郑州商品交易所、银河期货青岛营业部紧密合作，积极开展</w:t>
      </w:r>
      <w:r>
        <w:rPr>
          <w:rFonts w:hint="eastAsia"/>
        </w:rPr>
        <w:t>“</w:t>
      </w:r>
      <w:r>
        <w:t>期货知识进校园</w:t>
      </w:r>
      <w:r>
        <w:rPr>
          <w:rFonts w:hint="eastAsia"/>
        </w:rPr>
        <w:t>”</w:t>
      </w:r>
      <w:r>
        <w:t>活动，组织学社参加</w:t>
      </w:r>
      <w:r>
        <w:rPr>
          <w:rFonts w:hint="eastAsia"/>
        </w:rPr>
        <w:t>“</w:t>
      </w:r>
      <w:r>
        <w:t>郑商所杯</w:t>
      </w:r>
      <w:r>
        <w:rPr>
          <w:rFonts w:hint="eastAsia"/>
        </w:rPr>
        <w:t>”</w:t>
      </w:r>
      <w:r>
        <w:t>大学生模拟交易大赛，以赛代练，丰富了同学们的期货期权理论知识，极大地提升了同学们的动手能力和金融素养，同时为他们进一步实习、应聘工作打下了良好的基础。</w:t>
      </w:r>
    </w:p>
    <w:p>
      <w:pPr>
        <w:ind w:firstLine="480"/>
      </w:pPr>
      <w:r>
        <w:t>（2）转变观念，加强教改。根据金融专业的培养目标和人才培养的业务规格，进一步强调坚持培养高等技术应用型专门人才的办学思想，定位于适应经济建设需要，立足金融，面向基层，面向社会服务第一线的办学宗旨，坚持以基本素质和职业能力的培养为主线构建以应用性和实践性为基本特点的教学体系，重组课程，优化课程结构。主要内容包括：（1）通过</w:t>
      </w:r>
      <w:r>
        <w:rPr>
          <w:rFonts w:hint="eastAsia"/>
        </w:rPr>
        <w:t>“</w:t>
      </w:r>
      <w:r>
        <w:t>增、删、合、减</w:t>
      </w:r>
      <w:r>
        <w:rPr>
          <w:rFonts w:hint="eastAsia"/>
        </w:rPr>
        <w:t>”</w:t>
      </w:r>
      <w:r>
        <w:t>课程和教学内容，进一步完善和建立合理、灵活的理论课程教学体系，充分体现基础理论以</w:t>
      </w:r>
      <w:r>
        <w:rPr>
          <w:rFonts w:hint="eastAsia"/>
        </w:rPr>
        <w:t>“</w:t>
      </w:r>
      <w:r>
        <w:t>必须、够用</w:t>
      </w:r>
      <w:r>
        <w:rPr>
          <w:rFonts w:hint="eastAsia"/>
        </w:rPr>
        <w:t>”</w:t>
      </w:r>
      <w:r>
        <w:t>为度的原则。（2）按照</w:t>
      </w:r>
      <w:r>
        <w:rPr>
          <w:rFonts w:hint="eastAsia"/>
        </w:rPr>
        <w:t>“</w:t>
      </w:r>
      <w:r>
        <w:t>实际、实用、实践</w:t>
      </w:r>
      <w:r>
        <w:rPr>
          <w:rFonts w:hint="eastAsia"/>
        </w:rPr>
        <w:t>”</w:t>
      </w:r>
      <w:r>
        <w:t>的原则，构建以针对性、应用性、实践性为基本特点的实践教学体系。（3）加大选修课程的含盖面，实用性进一步提高。（4）加强精品课程及试题库建设，课程建设是专业建设的核心，要以精品课程建设为课程建设的推动力。（5）推进多媒体教学课件制作。（6）加强教材建设，金融学专业注重教材建设，积极鼓励教师参加全国统编教材的编写（7）改革教学方式，部分课程开展案例教学，采取《金融周报》汇报、辩论赛、组织学生撰写研究报告等多种形式丰富了教学内容，开阔了学生视野、极大地提升了学生的语言表达能力、创新能力和实践能力。</w:t>
      </w:r>
    </w:p>
    <w:p>
      <w:pPr>
        <w:pStyle w:val="7"/>
        <w:ind w:firstLine="480"/>
      </w:pPr>
      <w:r>
        <w:t>2. 合作办学</w:t>
      </w:r>
    </w:p>
    <w:p>
      <w:pPr>
        <w:ind w:firstLine="480"/>
      </w:pPr>
      <w:r>
        <w:drawing>
          <wp:anchor distT="0" distB="0" distL="114935" distR="114935" simplePos="0" relativeHeight="251669504" behindDoc="0" locked="0" layoutInCell="1" allowOverlap="1">
            <wp:simplePos x="0" y="0"/>
            <wp:positionH relativeFrom="column">
              <wp:posOffset>2837815</wp:posOffset>
            </wp:positionH>
            <wp:positionV relativeFrom="paragraph">
              <wp:posOffset>687705</wp:posOffset>
            </wp:positionV>
            <wp:extent cx="2761615" cy="2217420"/>
            <wp:effectExtent l="0" t="0" r="635" b="11430"/>
            <wp:wrapSquare wrapText="bothSides"/>
            <wp:docPr id="64" name="图片 2" descr="C:/Users/ADMINI~1.V2J/AppData/Local/Temp/kaimatting_20191218101424/output_20191218101447..pngoutput_2019121810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 descr="C:/Users/ADMINI~1.V2J/AppData/Local/Temp/kaimatting_20191218101424/output_20191218101447..pngoutput_20191218101447."/>
                    <pic:cNvPicPr>
                      <a:picLocks noChangeAspect="1"/>
                    </pic:cNvPicPr>
                  </pic:nvPicPr>
                  <pic:blipFill>
                    <a:blip r:embed="rId80"/>
                    <a:stretch>
                      <a:fillRect/>
                    </a:stretch>
                  </pic:blipFill>
                  <pic:spPr>
                    <a:xfrm>
                      <a:off x="0" y="0"/>
                      <a:ext cx="2761615" cy="2217420"/>
                    </a:xfrm>
                    <a:prstGeom prst="rect">
                      <a:avLst/>
                    </a:prstGeom>
                  </pic:spPr>
                </pic:pic>
              </a:graphicData>
            </a:graphic>
          </wp:anchor>
        </w:drawing>
      </w:r>
      <w:r>
        <w:t>本专业十分注意与全省金融系统、经贸系统以及许多企业保持广泛而密切联系，成为金融学专业进一步发展的基础。（1）聘请了金融办、银监局、人民银行、商业银行等金融系统的具有较高理论水平又具有丰富实践经验的同志作为校外培养的兼职导师。（2）聘请典阅科技等互联网技术公司人员到学校开展座谈宣讲，培训、提高学生计算机软件与数据处理软件的使用能力，使教学与科技金融时代接轨。（3）充分利用本专业在金融系统广泛的人脉与影响，为学生充分而高质量的就业提供条件。（4）与中博等金融培训机构达成协议，联合培养CFA、FRM等高端金融人才。（5）与清华紫荆教育集团共建数字产业学院，积极探索培养数字金融人才。</w:t>
      </w:r>
    </w:p>
    <w:p>
      <w:pPr>
        <w:ind w:firstLine="480"/>
        <w:rPr>
          <w:rStyle w:val="35"/>
          <w:sz w:val="21"/>
          <w:szCs w:val="21"/>
        </w:rPr>
      </w:pPr>
      <w:r>
        <w:drawing>
          <wp:anchor distT="0" distB="0" distL="114935" distR="114935" simplePos="0" relativeHeight="251670528" behindDoc="0" locked="0" layoutInCell="1" allowOverlap="1">
            <wp:simplePos x="0" y="0"/>
            <wp:positionH relativeFrom="column">
              <wp:posOffset>34925</wp:posOffset>
            </wp:positionH>
            <wp:positionV relativeFrom="paragraph">
              <wp:posOffset>63500</wp:posOffset>
            </wp:positionV>
            <wp:extent cx="2696210" cy="2197100"/>
            <wp:effectExtent l="0" t="0" r="8890" b="12700"/>
            <wp:wrapSquare wrapText="bothSides"/>
            <wp:docPr id="2097197" name="图片占位符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197" name="图片占位符 4"/>
                    <pic:cNvPicPr>
                      <a:picLocks noGrp="1"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96210" cy="2197100"/>
                    </a:xfrm>
                    <a:custGeom>
                      <a:avLst/>
                      <a:gdLst>
                        <a:gd name="T0" fmla="*/ 0 w 2692248"/>
                        <a:gd name="T1" fmla="*/ 0 h 4129374"/>
                        <a:gd name="T2" fmla="*/ 5721531 w 2692248"/>
                        <a:gd name="T3" fmla="*/ 0 h 4129374"/>
                        <a:gd name="T4" fmla="*/ 5721531 w 2692248"/>
                        <a:gd name="T5" fmla="*/ 3142443 h 4129374"/>
                        <a:gd name="T6" fmla="*/ 0 w 2692248"/>
                        <a:gd name="T7" fmla="*/ 3142443 h 412937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692248" h="4129374">
                          <a:moveTo>
                            <a:pt x="0" y="0"/>
                          </a:moveTo>
                          <a:lnTo>
                            <a:pt x="2692248" y="0"/>
                          </a:lnTo>
                          <a:lnTo>
                            <a:pt x="2692248" y="4129374"/>
                          </a:lnTo>
                          <a:lnTo>
                            <a:pt x="0" y="4129374"/>
                          </a:lnTo>
                          <a:lnTo>
                            <a:pt x="0" y="0"/>
                          </a:lnTo>
                          <a:close/>
                        </a:path>
                      </a:pathLst>
                    </a:custGeom>
                  </pic:spPr>
                </pic:pic>
              </a:graphicData>
            </a:graphic>
          </wp:anchor>
        </w:drawing>
      </w:r>
      <w:r>
        <w:rPr>
          <w:rStyle w:val="35"/>
          <w:sz w:val="21"/>
          <w:szCs w:val="21"/>
        </w:rPr>
        <w:t>3. 教学管理</w:t>
      </w:r>
    </w:p>
    <w:p>
      <w:pPr>
        <w:ind w:firstLine="480"/>
      </w:pPr>
      <w:r>
        <w:t>本着</w:t>
      </w:r>
      <w:r>
        <w:rPr>
          <w:rFonts w:hint="eastAsia"/>
        </w:rPr>
        <w:t>“</w:t>
      </w:r>
      <w:r>
        <w:t>宽口径、厚基础、强能力、高素质</w:t>
      </w:r>
      <w:r>
        <w:rPr>
          <w:rFonts w:hint="eastAsia"/>
        </w:rPr>
        <w:t>”</w:t>
      </w:r>
      <w:r>
        <w:t>的原则，以及注重理论基础和实践能力培养的宗旨，根据社会对金融人才需求变化，不断完善金融学专业人才培养计划。具体做法：</w:t>
      </w:r>
    </w:p>
    <w:p>
      <w:pPr>
        <w:ind w:firstLine="480"/>
      </w:pPr>
      <w:r>
        <w:t>（1）教学内容的创新。坚持以主干课程为主导，以金融行业实际要求为主要内容选用教材，根据金融职业具体运作过程建立模块化的教材体系，从而使学生</w:t>
      </w:r>
      <w:r>
        <w:rPr>
          <w:rFonts w:hint="eastAsia"/>
        </w:rPr>
        <w:t>“</w:t>
      </w:r>
      <w:r>
        <w:t>所学</w:t>
      </w:r>
      <w:r>
        <w:rPr>
          <w:rFonts w:hint="eastAsia"/>
        </w:rPr>
        <w:t>”</w:t>
      </w:r>
      <w:r>
        <w:t>在毕业后马上就能有</w:t>
      </w:r>
      <w:r>
        <w:rPr>
          <w:rFonts w:hint="eastAsia"/>
        </w:rPr>
        <w:t>“</w:t>
      </w:r>
      <w:r>
        <w:t>所用</w:t>
      </w:r>
      <w:r>
        <w:rPr>
          <w:rFonts w:hint="eastAsia"/>
        </w:rPr>
        <w:t>”</w:t>
      </w:r>
      <w:r>
        <w:t>。一是根据需要，参照国内外其他高校同类专业课程设置状况，适当增减课程，并合理安排时序，以优化课程体系。二是合理界定专业教学指导委员会、教研室、及课程组的职责与功能，使围绕课程建设的教学研讨活动常规化，调动各方面进行课程建设的积极性。三是推动围绕课程内容、配套材料、教学方式、教学手段提出教学研究课题，并鼓励教师就这些方面积极申报各级各类教研课题。四是以课程组为基本单位，充分发挥课程负责人及主讲教师的作用，以课程组为基础组成项目组，完成各类课程建设项目。</w:t>
      </w:r>
    </w:p>
    <w:p>
      <w:pPr>
        <w:ind w:firstLine="480"/>
      </w:pPr>
      <w:r>
        <w:t>（2）教学方式的转变。主要表现在不断加大实践课时的比重，很多职业核心课程的教学转变为主要在实验室完成教学任务，鼓励学生自主学习并为学生创造相应的学习环境，真正突出以学生为中心，更多地考虑学生个体的需要而不是群体需要。一是在课程体系设计上，按照省重点专业建设目标和我校按类培养的教学模式，于2014、2017年和2022年进行培养方案修订。现已形成通识教育课程、专业基础课程、专业必修课程、专业限选课程、个性发展课、实践教学环节六个模块，按照研究性和实际应用型培养目标在各个模块进行课程修订。已经形成宏观类金融课程与微观类金融课程并重，专业基础课程与专业主干课程协调搭配的金融学课程体系。二是在实践教学上，继续加强与银行、证券公司的合作；充分发挥金融实验室的优势，培养学生有很好的动手能力。一方面，通过聘请在银行、证券和保险公司等方面工作的校友和专家作报告，增强学生对专业学习大兴趣。另一方面，通过开放实验室，为学生提供银行网上模拟证券业务操作；同时，与中信证券等单位合作，选派学生进行实习。三是在教风、学风建设上，通过课堂听课制度、专业教师定期研讨等提高老师的教学水平。充分发挥导师制的作用，从新生入学抓起，培养学生良好的学习风气和专业兴趣。四是在互联网金融等课程采取全案例教学法。所采用的案例都是教师自己开发最前沿的商业模式和商业实践，有效地调动了学生的学习积极性、主动性。</w:t>
      </w:r>
    </w:p>
    <w:p>
      <w:pPr>
        <w:ind w:firstLine="482"/>
        <w:rPr>
          <w:b/>
          <w:bCs/>
        </w:rPr>
      </w:pPr>
      <w:r>
        <w:t>（3）树立对教学质量进行全过程、全方位、全员监督的新理念。教学质量是学校办学的生命所在，对教学质量的监督不仅仅是对教学结果的监督，而应体现在对教学环节整个过程进行全方位的跟踪监督，包括人才培养方案制定和落实的监督、教材编写或选用的监督、任课教师任职资格和授课效果的监督、学生学习过程的监督、实习实训环节的监督等方面。</w:t>
      </w:r>
    </w:p>
    <w:p>
      <w:pPr>
        <w:pStyle w:val="5"/>
        <w:spacing w:before="93" w:after="93"/>
        <w:ind w:firstLine="560"/>
      </w:pPr>
      <w:r>
        <w:t>五、培养质量（毕业生就业率、就业专业对口率、毕业生发展情况、就业单位满意率、社会对专业的评价、学生就读该专业的意愿等）</w:t>
      </w:r>
    </w:p>
    <w:p>
      <w:pPr>
        <w:ind w:firstLine="480"/>
        <w:rPr>
          <w:sz w:val="24"/>
        </w:rPr>
      </w:pPr>
      <w:r>
        <w:rPr>
          <w:sz w:val="24"/>
        </w:rPr>
        <w:t>人才培养质量方面：（1）专业生源质量较高，历年招生、二次转专业都超计划招生人数，学生报考率高，是全校高考报考率、录取分数最高、二次转专业的热门专业之一。（2）专业就业率高，近三年一次就业率平均在90%以上。（3）就业专业对口率高。本专业毕业生毕业的去向主要是各级各类金融机构、大中型企业、投融资管理单位以及政府相关管理部门从事经济、金融及管理工作。就业专业对口率在80%以上。社会对本专业学生的认同度高，认为本专业毕业生普遍具有较高的专业素养、扎实的专业能力、务实的工作作风。（4）考研率、四六级外语通过率一直稳居学校各本科专业前列，优秀学生成功保研到中央财经大学、中国海洋大学、中国农业大学等国内名校院，同时有很多同学进入美国凯斯西储、波士顿大学、英国巴斯大学等世界名校进行深造。（5）突出学生创新能力培养，近三年来，本专业学生主持完成国家大学生创新性实验计划项目</w:t>
      </w:r>
      <w:r>
        <w:rPr>
          <w:rFonts w:hint="eastAsia"/>
          <w:sz w:val="24"/>
        </w:rPr>
        <w:t>“</w:t>
      </w:r>
      <w:r>
        <w:rPr>
          <w:sz w:val="24"/>
        </w:rPr>
        <w:t>山东省房地产市场运行情况及其对城镇居民购房意愿影响调研</w:t>
      </w:r>
      <w:r>
        <w:rPr>
          <w:rFonts w:hint="eastAsia"/>
          <w:sz w:val="24"/>
        </w:rPr>
        <w:t>”</w:t>
      </w:r>
      <w:r>
        <w:rPr>
          <w:sz w:val="24"/>
        </w:rPr>
        <w:t>等12项，获得国家实用新型专利3项、中国大学生跨境电商电子商务创新创业大赛一等奖1项、全国大学生精英选拔赛二等奖1项、全国大学生英语竞赛一等奖1项、全国</w:t>
      </w:r>
      <w:r>
        <w:rPr>
          <w:rFonts w:hint="eastAsia"/>
          <w:sz w:val="24"/>
        </w:rPr>
        <w:t>“</w:t>
      </w:r>
      <w:r>
        <w:rPr>
          <w:sz w:val="24"/>
        </w:rPr>
        <w:t>挑战杯</w:t>
      </w:r>
      <w:r>
        <w:rPr>
          <w:rFonts w:hint="eastAsia"/>
          <w:sz w:val="24"/>
        </w:rPr>
        <w:t>”</w:t>
      </w:r>
      <w:r>
        <w:rPr>
          <w:sz w:val="24"/>
        </w:rPr>
        <w:t>大学生学术科技作品竞赛一等奖2项、山东省大学生综合素质大赛二等奖3项，主持完成SRT项目60项，获得省级优秀学士学位论文22篇，本科学生在各类报刊杂志发表论文70余篇。</w:t>
      </w:r>
    </w:p>
    <w:p>
      <w:pPr>
        <w:ind w:firstLine="480"/>
        <w:rPr>
          <w:sz w:val="24"/>
        </w:rPr>
      </w:pPr>
      <w:r>
        <w:rPr>
          <w:sz w:val="24"/>
        </w:rPr>
        <w:t>典型学生代表：2014级金融学2班班长孙光宇推免到中央财经大学金融学专业，硕博连读；2014级金融学专业学生胡翌目前在英国雷丁大学攻读金融学博士学位；2015级金融学专业学生卢彬彬保研至中国海洋大学，目前在南开大学攻读博士学位；2016级金融学专业学生李姝萍推免至山东大学，目前获得清华大学博士录取资格；2017级金融学专业学生吕采霏推免至中央财经大学保险硕士专业。2018级金融专业学生季子悦目前在复旦大学就读保险专业硕士学位。</w:t>
      </w:r>
    </w:p>
    <w:p>
      <w:pPr>
        <w:pStyle w:val="5"/>
        <w:spacing w:before="93" w:after="93"/>
        <w:ind w:firstLine="560"/>
      </w:pPr>
      <w:r>
        <w:t>六、毕业生就业创业</w:t>
      </w:r>
    </w:p>
    <w:p>
      <w:pPr>
        <w:pStyle w:val="7"/>
        <w:ind w:firstLine="480"/>
      </w:pPr>
      <w:r>
        <w:t>1. 创业情况</w:t>
      </w:r>
    </w:p>
    <w:p>
      <w:pPr>
        <w:ind w:firstLine="480"/>
      </w:pPr>
      <w:r>
        <w:t>金融学专业的培养目标决定了其毕业生就业领域主要是各级各类金融机构、大中型企业、投融资管理单位以及政府相关管理部门从事经济、金融及管理工作，受行业管制等政策的影响，毕业生依托其自身的专业知识及能力在金融领域创业受到很大限制。近年来本专业强调坚持培养高等技术应用型专门人才的办学思想，定位于适应经济建设需要，立足金融，面向基层，面向社会服务第一线的办学宗旨，坚持以基本素质和职业能力的培养为主线构建以应用性和实践性为基本特点的教学体系。着力在培养学生具有较高的专业素养、扎实的专业能力、务实的工作作风下功夫，努力提高一次就业率。</w:t>
      </w:r>
    </w:p>
    <w:p>
      <w:pPr>
        <w:pStyle w:val="7"/>
        <w:ind w:firstLine="480"/>
      </w:pPr>
      <w:r>
        <w:t>2. 采取的措施</w:t>
      </w:r>
    </w:p>
    <w:p>
      <w:pPr>
        <w:ind w:firstLine="480"/>
      </w:pPr>
      <w:r>
        <w:t>（1）将创新创业教育贯穿人才培养全过程，面向全体大学生开发开设创新创业教育专门课程，纳入学分管理，改进教学方法，增强实际效果。坚持理论与实践相结合，组织学生参加各类创新创业竞赛、创业模拟等实践活动，着力培养学生创新精神、创业意识和创新创业能力。（2）对大学生自主创业资金支持力度，多渠道筹集资金，广泛吸引金融机构、社会组织、行业协会和企事业单位为大学生自主创业提供资金支持。（3）建立全程化、科学化的就业创业教育体系促进学生就业力全面发展。完善就业创业教育课程体系，开展各类讲座、竞赛，邀请专家、学者来校举行就业、创业指导类讲座，帮助学生树立正确的学习观、就业观和培养创新意识；开展就业电子杂志制作大赛、简历制作大赛、职业生涯规划大赛、创业大赛等各类就业技能大赛，提高学生就业、创业能力。（4）加强对学生计算机能力的培训，增加课时占比，培养能熟练运用办公软件、数据处理软件的复合型人才，提高毕业生的竞争优势。</w:t>
      </w:r>
    </w:p>
    <w:p>
      <w:pPr>
        <w:pStyle w:val="5"/>
        <w:spacing w:before="93" w:after="93"/>
        <w:ind w:firstLine="560"/>
      </w:pPr>
      <w:r>
        <w:t>七、专业发展趋势及建议</w:t>
      </w:r>
    </w:p>
    <w:p>
      <w:pPr>
        <w:ind w:firstLine="480"/>
      </w:pPr>
      <w:r>
        <w:t>金融是现代经济的核心。随着中国金融国际化进程的加快，我国市场经济体制特别是金融体制改革正处于深入推进的关键时期。为加快我国金融市场与国际金融市场的接轨，除了深化金融体制改革外，必须抓紧培养一支既懂金融业务，又熟悉国际金融市场规则的金融专业人才队伍，以满足我国金融业发展的需要。然而，我国金融业优秀人才的短缺，已成为制约金融业发展的瓶颈。尽管我国一些高校已培养出一定数量的、杰出的金融人才，但无论从规模上、质量以及结构上还远远不能满足金融市场进一步开放、人才需求迅速膨胀的要求。</w:t>
      </w:r>
    </w:p>
    <w:p>
      <w:pPr>
        <w:ind w:firstLine="480"/>
      </w:pPr>
      <w:r>
        <w:t>与此同时，近年来我国金融科技发展迅速，数字化转型已成为现在时，金融科技比正规金融机构更加广泛化、大众化，更加注重客户体验。金融科技在缓解信息不对称、提高交易效率、优化资源配置、丰富投融资方式等方面的确在不断展现出不俗的、有别于传统金融的表现，金融机构数字化转型也成为正在进行的一场革命。</w:t>
      </w:r>
    </w:p>
    <w:p>
      <w:pPr>
        <w:ind w:firstLine="480"/>
      </w:pPr>
      <w:r>
        <w:t>高等教育为我国经济建设培养人才，在金融科技飞速发展、数字化转型的背景下，计算机与金融相结合的复合型人才更是成为稀缺资源。本专业紧跟金融科技的发展步伐，重视对学生计算机能力的培养，增强与区块链、人工智能以及大数据方面融合培养，提高学生的综合素养，为社会输送更多应用型、复合型人才。</w:t>
      </w:r>
    </w:p>
    <w:p>
      <w:pPr>
        <w:ind w:firstLine="480"/>
      </w:pPr>
      <w:r>
        <w:t>山东是一个经济大省，同时又是一个农业大省，作为为</w:t>
      </w:r>
      <w:r>
        <w:rPr>
          <w:rFonts w:hint="eastAsia"/>
        </w:rPr>
        <w:t>“</w:t>
      </w:r>
      <w:r>
        <w:t>三农</w:t>
      </w:r>
      <w:r>
        <w:rPr>
          <w:rFonts w:hint="eastAsia"/>
        </w:rPr>
        <w:t>”</w:t>
      </w:r>
      <w:r>
        <w:t>服务的农业银行及其他农村金融机构具有十分巨大的发展空间和潜力。本专业以经济管理学院现有学科体系平台为支撑，以农村金融和农业保险为特色，着力培养能够胜任农村金融与农业保险等工作的</w:t>
      </w:r>
      <w:r>
        <w:rPr>
          <w:rFonts w:hint="eastAsia"/>
        </w:rPr>
        <w:t>“</w:t>
      </w:r>
      <w:r>
        <w:t>专才</w:t>
      </w:r>
      <w:r>
        <w:rPr>
          <w:rFonts w:hint="eastAsia"/>
        </w:rPr>
        <w:t>”</w:t>
      </w:r>
      <w:r>
        <w:t>，同时注重培养能够胜任一般金融工作和投融资管理工作的</w:t>
      </w:r>
      <w:r>
        <w:rPr>
          <w:rFonts w:hint="eastAsia"/>
        </w:rPr>
        <w:t>“</w:t>
      </w:r>
      <w:r>
        <w:t>通才</w:t>
      </w:r>
      <w:r>
        <w:rPr>
          <w:rFonts w:hint="eastAsia"/>
        </w:rPr>
        <w:t>”</w:t>
      </w:r>
      <w:r>
        <w:t>。</w:t>
      </w:r>
    </w:p>
    <w:p>
      <w:pPr>
        <w:ind w:firstLine="480"/>
      </w:pPr>
      <w:r>
        <w:t>本专业是全校招生就业前景最为广阔、就业率及就业质量最高的专业之一。</w:t>
      </w:r>
    </w:p>
    <w:p>
      <w:pPr>
        <w:pStyle w:val="5"/>
        <w:spacing w:before="93" w:after="93"/>
        <w:ind w:firstLine="560"/>
      </w:pPr>
      <w:r>
        <w:t>八、存在的问题及整改措施</w:t>
      </w:r>
    </w:p>
    <w:p>
      <w:pPr>
        <w:ind w:firstLine="480"/>
      </w:pPr>
      <w:r>
        <w:t>本专业师资队伍数量较为紧张，应采取措施加以改进，具体措施包括：（1）根据学科和专业发展需要，引进学术水平高、有一定知名度和社会影响力、有广阔发展前途、在金融专业和拟新设专业方面具有领军资质的教师。同时，在引进人才方面特别注重从业经验。（2）根据专业发展需要，分年度引进高学历的年轻教师，尤其是计算机能力较强的金融专业人才。（3）与时俱进，加强在职教师培训，组织教师参加数字金融、区块链金融以及大数据金融方面的培训。（4）按照课程建设、专业方向建设的需要，形成课程组、专业方向梯级组合的专业教师队伍结构。</w:t>
      </w:r>
    </w:p>
    <w:p>
      <w:pPr>
        <w:pStyle w:val="2"/>
        <w:ind w:left="480"/>
      </w:pPr>
    </w:p>
    <w:p>
      <w:pPr>
        <w:pStyle w:val="2"/>
        <w:ind w:left="480"/>
      </w:pPr>
    </w:p>
    <w:p>
      <w:pPr>
        <w:ind w:firstLine="480"/>
      </w:pPr>
    </w:p>
    <w:p>
      <w:pPr>
        <w:rPr>
          <w:rFonts w:eastAsiaTheme="minorEastAsia"/>
        </w:rPr>
      </w:pPr>
      <w:r>
        <w:rPr>
          <w:rFonts w:eastAsiaTheme="minorEastAsia"/>
        </w:rPr>
        <w:br w:type="page"/>
      </w:r>
    </w:p>
    <w:p>
      <w:pPr>
        <w:pStyle w:val="4"/>
        <w:ind w:firstLine="600"/>
      </w:pPr>
      <w:bookmarkStart w:id="394" w:name="_Toc15272"/>
      <w:bookmarkStart w:id="395" w:name="_Toc16834"/>
      <w:bookmarkStart w:id="396" w:name="_Toc439256226"/>
      <w:bookmarkStart w:id="397" w:name="_Toc22086"/>
      <w:bookmarkStart w:id="398" w:name="_Toc28247"/>
      <w:bookmarkStart w:id="399" w:name="_Toc1719"/>
      <w:r>
        <w:t>专业</w:t>
      </w:r>
      <w:r>
        <w:rPr>
          <w:lang w:val="en-US"/>
        </w:rPr>
        <w:t>三十</w:t>
      </w:r>
      <w:r>
        <w:rPr>
          <w:rFonts w:hint="eastAsia"/>
          <w:lang w:val="en-US"/>
        </w:rPr>
        <w:t>七</w:t>
      </w:r>
      <w:r>
        <w:t>：</w:t>
      </w:r>
      <w:bookmarkEnd w:id="394"/>
      <w:bookmarkEnd w:id="395"/>
      <w:bookmarkEnd w:id="396"/>
      <w:bookmarkEnd w:id="397"/>
      <w:r>
        <w:t>国际经济与贸易</w:t>
      </w:r>
      <w:bookmarkEnd w:id="398"/>
    </w:p>
    <w:p>
      <w:pPr>
        <w:pStyle w:val="5"/>
        <w:spacing w:before="93" w:after="93"/>
        <w:ind w:firstLine="560"/>
      </w:pPr>
      <w:r>
        <w:t>一</w:t>
      </w:r>
      <w:r>
        <w:rPr>
          <w:rFonts w:hint="eastAsia"/>
        </w:rPr>
        <w:t>、</w:t>
      </w:r>
      <w:r>
        <w:t>人才培养目标</w:t>
      </w:r>
      <w:bookmarkEnd w:id="399"/>
    </w:p>
    <w:p>
      <w:pPr>
        <w:ind w:firstLine="480"/>
        <w:rPr>
          <w:szCs w:val="24"/>
        </w:rPr>
      </w:pPr>
      <w:r>
        <w:rPr>
          <w:szCs w:val="24"/>
        </w:rPr>
        <w:t>本专业培养具有坚实的经济学基础，熟悉国际贸易规则和惯例以及中国对外贸易的政策法规，了解国际经济贸易发展现状及主要国家与地区的社会经济情况，掌握国际经济与贸易的基本知识和技能，初步掌握跨境电商技能，能在政府商务部门、外贸企业及跨境电商行业从事管理和实际业务工作的应用型、复合型人才。</w:t>
      </w:r>
    </w:p>
    <w:p>
      <w:pPr>
        <w:pStyle w:val="5"/>
        <w:spacing w:before="93" w:after="93"/>
        <w:ind w:firstLine="560"/>
      </w:pPr>
      <w:bookmarkStart w:id="400" w:name="_Toc30234"/>
      <w:r>
        <w:t>二</w:t>
      </w:r>
      <w:r>
        <w:rPr>
          <w:rFonts w:hint="eastAsia"/>
        </w:rPr>
        <w:t>、</w:t>
      </w:r>
      <w:r>
        <w:t>培养能力</w:t>
      </w:r>
      <w:bookmarkEnd w:id="400"/>
    </w:p>
    <w:p>
      <w:pPr>
        <w:ind w:firstLine="480"/>
        <w:rPr>
          <w:szCs w:val="24"/>
        </w:rPr>
      </w:pPr>
      <w:r>
        <w:rPr>
          <w:szCs w:val="24"/>
        </w:rPr>
        <w:t>1.专业设置情况：本专业是为适应社会主义市场经济发展需要，顺应我国加入WTO和经济全球化进程的要求而设立的。从2002年秋季开始招生，招生对象涵盖文理两科，招生范围涉及山东、山西、湖南、吉林、辽宁、陕西等十几个省份。国贸系现有教师12人，其中，教授5人，副教授4人，讲师3人。具有博士学位的教师8人，硕士学位4人。</w:t>
      </w:r>
    </w:p>
    <w:p>
      <w:pPr>
        <w:ind w:firstLine="480"/>
        <w:rPr>
          <w:szCs w:val="24"/>
        </w:rPr>
      </w:pPr>
      <w:r>
        <w:rPr>
          <w:szCs w:val="24"/>
        </w:rPr>
        <w:t>2.在校生规模：截止2022 年9月30日，本专业在校生人数170人，其中，2019级35人，2020级44人，2021级64人，2022级89人。</w:t>
      </w:r>
    </w:p>
    <w:p>
      <w:pPr>
        <w:ind w:firstLine="480"/>
        <w:rPr>
          <w:szCs w:val="24"/>
        </w:rPr>
      </w:pPr>
      <w:r>
        <w:rPr>
          <w:szCs w:val="24"/>
        </w:rPr>
        <w:t>3.课程设置情况：主要课程为政治经济学、西方经济学、国际经济学、国际贸易理论与实务、世界经济概论、电子商务、商务英语、货币银行学、财政学、会计学、统计学等。</w:t>
      </w:r>
    </w:p>
    <w:p>
      <w:pPr>
        <w:ind w:firstLine="480"/>
        <w:rPr>
          <w:szCs w:val="24"/>
        </w:rPr>
      </w:pPr>
      <w:r>
        <w:rPr>
          <w:szCs w:val="24"/>
        </w:rPr>
        <w:t>4.创新创业教育： 2015年以前实行专业负责制，组织学生进行创新创业活动，从2015年（2013级）开始，实行导师负责制。指导教师是学生创新创业实践环节教学第一责任人，负责指导学生按要求独立开展创新创业实践活动。学生自主选择创新创业实践形式（可从10种具体方式中选择），在毕业前完成创新创业实践环节。另外，为鼓励创新创业实践，还建立了学院大学生创新创业中心。近两年，大学生创新创业竞赛活动如火如荼，如中国</w:t>
      </w:r>
      <w:r>
        <w:rPr>
          <w:rFonts w:hint="eastAsia"/>
          <w:szCs w:val="24"/>
        </w:rPr>
        <w:t>“</w:t>
      </w:r>
      <w:r>
        <w:rPr>
          <w:szCs w:val="24"/>
        </w:rPr>
        <w:t>互联网+</w:t>
      </w:r>
      <w:r>
        <w:rPr>
          <w:rFonts w:hint="eastAsia"/>
          <w:szCs w:val="24"/>
        </w:rPr>
        <w:t>”</w:t>
      </w:r>
      <w:r>
        <w:rPr>
          <w:szCs w:val="24"/>
        </w:rPr>
        <w:t>大学生创新创业大赛、山东省大学生科技节</w:t>
      </w:r>
      <w:r>
        <w:rPr>
          <w:rFonts w:hint="eastAsia"/>
          <w:szCs w:val="24"/>
        </w:rPr>
        <w:t>“</w:t>
      </w:r>
      <w:r>
        <w:rPr>
          <w:szCs w:val="24"/>
        </w:rPr>
        <w:t>敏学杯</w:t>
      </w:r>
      <w:r>
        <w:rPr>
          <w:rFonts w:hint="eastAsia"/>
          <w:szCs w:val="24"/>
        </w:rPr>
        <w:t>”</w:t>
      </w:r>
      <w:r>
        <w:rPr>
          <w:szCs w:val="24"/>
        </w:rPr>
        <w:t>跨境电商创新实践大赛等，同学们通过参加此类活动，培养了创新创业意识和团队挑战、协作及实践能力，同时达到了真正实现</w:t>
      </w:r>
      <w:r>
        <w:rPr>
          <w:rFonts w:hint="eastAsia"/>
          <w:szCs w:val="24"/>
        </w:rPr>
        <w:t>“</w:t>
      </w:r>
      <w:r>
        <w:rPr>
          <w:szCs w:val="24"/>
        </w:rPr>
        <w:t>以赛促学、以赛促教、以赛促建、以赛促改</w:t>
      </w:r>
      <w:r>
        <w:rPr>
          <w:rFonts w:hint="eastAsia"/>
          <w:szCs w:val="24"/>
        </w:rPr>
        <w:t>”</w:t>
      </w:r>
      <w:r>
        <w:rPr>
          <w:szCs w:val="24"/>
        </w:rPr>
        <w:t>，提高人才培养质量的目的。</w:t>
      </w:r>
    </w:p>
    <w:p>
      <w:pPr>
        <w:pStyle w:val="5"/>
        <w:spacing w:before="93" w:after="93"/>
        <w:ind w:firstLine="560"/>
      </w:pPr>
      <w:bookmarkStart w:id="401" w:name="_Toc16238"/>
      <w:r>
        <w:t>三</w:t>
      </w:r>
      <w:r>
        <w:rPr>
          <w:rFonts w:hint="eastAsia"/>
        </w:rPr>
        <w:t>、</w:t>
      </w:r>
      <w:r>
        <w:t>培养条件</w:t>
      </w:r>
      <w:bookmarkEnd w:id="401"/>
    </w:p>
    <w:p>
      <w:pPr>
        <w:ind w:firstLine="480"/>
        <w:rPr>
          <w:szCs w:val="24"/>
        </w:rPr>
      </w:pPr>
      <w:r>
        <w:rPr>
          <w:szCs w:val="24"/>
        </w:rPr>
        <w:t>1.教学经费投入：教学经费分配方式为学校下拨。具体使用分配比例均严格按照学校财务部门要求执行，使用情况合理。学院在编制新一期教学经费使用计划前，都对上一期间经费使用效益进行分析，取得较好效果。学校每年逐级加大对教学的投入力度，不仅支持教学科研，还不断改善教学条件，从硬件和软件两方面投入很大。每年都设置教学奖，奖励在教学方面做出突出贡献的一线教师。学院也每年资助（人均至少3000元）老师外出开会、学习，增强业务能力。同时，学院还资助学生开展SRT项目，每项500元。</w:t>
      </w:r>
    </w:p>
    <w:p>
      <w:pPr>
        <w:ind w:firstLine="480"/>
        <w:rPr>
          <w:szCs w:val="24"/>
        </w:rPr>
      </w:pPr>
      <w:r>
        <w:rPr>
          <w:szCs w:val="24"/>
        </w:rPr>
        <w:t>2.教学设备：为了适应国贸专业教育教学工作的要求，学校在资金投入上给予了大力支持，从办学经费中拿出大量资金为本专业购置专业书籍、资料和报刊及相应的实习实验教学设备。学校现有与本专业相关图书5万余册，专业报刊200种；除学校的图书馆、计算中心等条件外，本专业还自有资料室1个，有专业图书6万余册，期刊杂志180多种。经管学院目前建有与本专业相关的实验室用房4个，面积480平方米，中高档计算机180台，相应软件基本满足需要。实验仪器原始价值380万元。形成了强化学生的能力培养、突出学生创新能力和实际操作能力并兼顾学生个性发展的全新的实验教学新体系。教学软件主要包括：营销模拟软件、外贸实习平台、报关模拟实习平台、报检模拟实习平台、国际结算教学系统软件、电子商务模拟系统、仿真国际商务英语函电实训系统、国际货运代理教学系统和实训系统、国际商务单证实务教学系统、国际商务谈判教学平台、外贸单证教学系统、外贸模拟教学及练习系统、外贸单证员考试练习系统、外贸跟单模拟实习平台等。</w:t>
      </w:r>
    </w:p>
    <w:p>
      <w:pPr>
        <w:ind w:firstLine="480"/>
        <w:rPr>
          <w:szCs w:val="24"/>
        </w:rPr>
      </w:pPr>
      <w:r>
        <w:rPr>
          <w:szCs w:val="24"/>
        </w:rPr>
        <w:t>3.教师队伍建设：本专业师资力量雄厚，现有专职教师12人，其中2/3以上的教师具有博士学位，75%的教师具有教授或副教授职称。教师队伍中，有三位老师有过出国留学的经历。本系教师平均年龄在40岁左右，青春活泼、富有朝气、冲劲十足，先后两次被授予</w:t>
      </w:r>
      <w:r>
        <w:rPr>
          <w:rFonts w:hint="eastAsia"/>
          <w:szCs w:val="24"/>
        </w:rPr>
        <w:t>“</w:t>
      </w:r>
      <w:r>
        <w:rPr>
          <w:szCs w:val="24"/>
        </w:rPr>
        <w:t>山东农业大学青年文明号</w:t>
      </w:r>
      <w:r>
        <w:rPr>
          <w:rFonts w:hint="eastAsia"/>
          <w:szCs w:val="24"/>
        </w:rPr>
        <w:t>”</w:t>
      </w:r>
      <w:r>
        <w:rPr>
          <w:szCs w:val="24"/>
        </w:rPr>
        <w:t>荣誉称号。经过十来年的发展，初步形成了一支年龄结构较为合理、学历层次水平较高、学缘结构科学、职称结构较合理，教学经验丰富、教学作风严谨、教学水平较高的师资队伍，有力支撑了本专业人才培养目标的实现。</w:t>
      </w:r>
    </w:p>
    <w:p>
      <w:pPr>
        <w:ind w:firstLine="480"/>
        <w:rPr>
          <w:szCs w:val="24"/>
        </w:rPr>
      </w:pPr>
      <w:r>
        <w:rPr>
          <w:szCs w:val="24"/>
        </w:rPr>
        <w:t>4.实习基地：校内实习主要是在实验室进行，校外实习主要是学生自择实习单位。在多年的教学实践中，经管学院共建有稳定的校外教学实习基地6个。其中有学校和地方签订协议，正式挂牌运营使用多年、教学实习效果良好的青州市教学实习基地、岱岳区教学实习基地、泰山区教学实习基地。从校外资源来看，国贸专业在省内和省外都有很多合作过的企业资源，如山东泰安岱银集团、山东赢响力电子商务有限公司、江苏无锡他拍档产业园区、江苏苏州的易康萌思电子商务有限公司等。</w:t>
      </w:r>
    </w:p>
    <w:p>
      <w:pPr>
        <w:ind w:firstLine="480"/>
        <w:rPr>
          <w:szCs w:val="24"/>
        </w:rPr>
      </w:pPr>
      <w:r>
        <w:rPr>
          <w:szCs w:val="24"/>
        </w:rPr>
        <w:t>5.现代教学技术应用：本专业所开设课程均已实行多媒体教学，其中有10门课程属于学校精品课程，5门课程属于省级精品课程，均设有精品课程网站。《管理学基础》课程实行慕课教学已全面开设，并获得省级一流线上课程，教学效果良好。《市场营销》课程已在山东省高校在线课程平台运行，也已开始慕课教学。</w:t>
      </w:r>
    </w:p>
    <w:p>
      <w:pPr>
        <w:pStyle w:val="5"/>
        <w:spacing w:before="93" w:after="93"/>
        <w:ind w:firstLine="560"/>
      </w:pPr>
      <w:bookmarkStart w:id="402" w:name="_Toc16745"/>
      <w:r>
        <w:t>四</w:t>
      </w:r>
      <w:r>
        <w:rPr>
          <w:rFonts w:hint="eastAsia"/>
        </w:rPr>
        <w:t>、</w:t>
      </w:r>
      <w:r>
        <w:t>培养机制与特色</w:t>
      </w:r>
      <w:bookmarkEnd w:id="402"/>
    </w:p>
    <w:p>
      <w:pPr>
        <w:ind w:firstLine="480"/>
        <w:rPr>
          <w:szCs w:val="24"/>
        </w:rPr>
      </w:pPr>
      <w:r>
        <w:rPr>
          <w:szCs w:val="24"/>
        </w:rPr>
        <w:t>1.产学研协同育人机制：本专业在十几年的办学过程中形成了良好的产学研协同育人机制。该专业的教师在完成教学任务的同时，也承担相应的科研与社会服务工作，既将理论应用于实践与科研，也将科研成果及在服务过程中遇到的问题及时形成案例应用于教学，真正做到了教研产互长，产学研协同育人。近年来，国贸专业老师主持教育部产学合作协同育人项目10项。先后承担省级课题</w:t>
      </w:r>
      <w:r>
        <w:rPr>
          <w:rFonts w:hint="eastAsia"/>
          <w:szCs w:val="24"/>
        </w:rPr>
        <w:t>“</w:t>
      </w:r>
      <w:r>
        <w:rPr>
          <w:szCs w:val="24"/>
        </w:rPr>
        <w:t>关于慕课、微课的建设及应用研究</w:t>
      </w:r>
      <w:r>
        <w:rPr>
          <w:rFonts w:hint="eastAsia"/>
          <w:szCs w:val="24"/>
        </w:rPr>
        <w:t>”</w:t>
      </w:r>
      <w:r>
        <w:rPr>
          <w:szCs w:val="24"/>
        </w:rPr>
        <w:t>和国家教指委课题</w:t>
      </w:r>
      <w:r>
        <w:rPr>
          <w:rFonts w:hint="eastAsia"/>
          <w:szCs w:val="24"/>
        </w:rPr>
        <w:t>“</w:t>
      </w:r>
      <w:r>
        <w:rPr>
          <w:szCs w:val="24"/>
        </w:rPr>
        <w:t>国贸本科专业应用型人才培养的实践教学体系构建研究</w:t>
      </w:r>
      <w:r>
        <w:rPr>
          <w:rFonts w:hint="eastAsia"/>
          <w:szCs w:val="24"/>
        </w:rPr>
        <w:t>”</w:t>
      </w:r>
      <w:r>
        <w:rPr>
          <w:szCs w:val="24"/>
        </w:rPr>
        <w:t>等，注重人才实践技能培养特色。</w:t>
      </w:r>
    </w:p>
    <w:p>
      <w:pPr>
        <w:ind w:firstLine="480"/>
        <w:rPr>
          <w:szCs w:val="24"/>
        </w:rPr>
      </w:pPr>
      <w:r>
        <w:rPr>
          <w:szCs w:val="24"/>
        </w:rPr>
        <w:t>2.合作办学：中德国际经济与贸易专业国际班。</w:t>
      </w:r>
    </w:p>
    <w:p>
      <w:pPr>
        <w:ind w:firstLine="480"/>
        <w:rPr>
          <w:szCs w:val="24"/>
        </w:rPr>
      </w:pPr>
      <w:r>
        <w:rPr>
          <w:szCs w:val="24"/>
        </w:rPr>
        <w:t>3.教学管理：本专业在教学管理上实行院长行政领导、教授委员会专业指导、系主任协同下的专业主任负责制。教学管理制度科学、责任明确、督导严格、档案规范，各项工作严格按照教育部高校评估的要求进行。各年级教学严格执行教学计划，教师认真填写教学日历，严格按教学日历教学，注意加强实践教学环节，培养学生的动手能力、实际工作能力。</w:t>
      </w:r>
    </w:p>
    <w:p>
      <w:pPr>
        <w:pStyle w:val="5"/>
        <w:spacing w:before="93" w:after="93"/>
        <w:ind w:firstLine="560"/>
      </w:pPr>
      <w:bookmarkStart w:id="403" w:name="_Toc29768"/>
      <w:r>
        <w:t>五</w:t>
      </w:r>
      <w:r>
        <w:rPr>
          <w:rFonts w:hint="eastAsia"/>
        </w:rPr>
        <w:t>、</w:t>
      </w:r>
      <w:r>
        <w:t>培养质量</w:t>
      </w:r>
      <w:bookmarkEnd w:id="403"/>
    </w:p>
    <w:p>
      <w:pPr>
        <w:ind w:firstLine="480"/>
        <w:rPr>
          <w:szCs w:val="24"/>
        </w:rPr>
      </w:pPr>
      <w:r>
        <w:rPr>
          <w:szCs w:val="24"/>
        </w:rPr>
        <w:t>本专业本科毕业就业率达95%以上，就业专业对口率达85%以上，主要面向政府机关、科研机构、涉外经济部门、外贸公司、各大银行、外资会计师事务所、外资银行、证券公司等企事业单位。毕业生到了相应岗位之后，个人发展较快，许多成为单位骨干、社会栋梁之才。用人单位对毕业生的满意度很高。</w:t>
      </w:r>
    </w:p>
    <w:p>
      <w:pPr>
        <w:pStyle w:val="5"/>
        <w:spacing w:before="93" w:after="93"/>
        <w:ind w:firstLine="560"/>
      </w:pPr>
      <w:bookmarkStart w:id="404" w:name="_Toc31014"/>
      <w:r>
        <w:t>六</w:t>
      </w:r>
      <w:r>
        <w:rPr>
          <w:rFonts w:hint="eastAsia"/>
        </w:rPr>
        <w:t>、</w:t>
      </w:r>
      <w:r>
        <w:t>毕业生就业创业</w:t>
      </w:r>
      <w:bookmarkEnd w:id="404"/>
    </w:p>
    <w:p>
      <w:pPr>
        <w:ind w:firstLine="480"/>
        <w:rPr>
          <w:szCs w:val="24"/>
        </w:rPr>
      </w:pPr>
      <w:r>
        <w:rPr>
          <w:szCs w:val="24"/>
        </w:rPr>
        <w:t>1.就业创业情况：学校在学生培养过程中注重培养学生的创新创业能力，学院为同学们配备了校内指导教师。从大学四年级开始，建立学生导师制，专门指导学生的创新创业实践，要求学生在大学一、二年级积极参加社会调查、社会实践和专业调查，在大学三、四年级通过参加社会专业技术培训考试、专业技术竞赛、创新创业能力专项大赛、学校的学术调研活动和撰写学术论文和专业调研报告等多种形式开展创新创业实践。</w:t>
      </w:r>
    </w:p>
    <w:p>
      <w:pPr>
        <w:ind w:firstLine="480"/>
        <w:rPr>
          <w:szCs w:val="24"/>
        </w:rPr>
      </w:pPr>
      <w:r>
        <w:rPr>
          <w:szCs w:val="24"/>
        </w:rPr>
        <w:t>本专业积极响应国家号召，进行创业教育的宣传，通过职业发展与就业创业指导课、创意创业教学模块等课程，教师业余时间的指导等，改变了学生的择业观念，有创业思想的学生越来越多，但由于学生的经验不足，核心竞争力及资金的缺乏，真正将创业付诸实施的学生少之又少。</w:t>
      </w:r>
    </w:p>
    <w:p>
      <w:pPr>
        <w:ind w:firstLine="480"/>
        <w:rPr>
          <w:szCs w:val="24"/>
        </w:rPr>
      </w:pPr>
      <w:r>
        <w:rPr>
          <w:szCs w:val="24"/>
        </w:rPr>
        <w:t>2.采取的措施：为鼓励学生就业创业，采取了以下措施：（1）将创新创业教育贯穿人才培养全过程，面向全体大学生开发开设创新创业教育专门课程，纳入学分管理，改进教学方法，增强实际效果。坚持理论与实践相结合，组织学生参加各类创新创业竞赛、创业模拟等实践活动，着力培养学生创新精神、创业意识和创新创业能力。（2）对大学生自主创业资金支持力度，多渠道筹集资金，广泛吸引金融机构、社会组织、行业协会和企事业单位为大学生自主创业提供资金支持。（3）建立全程化、科学化的就业创业教育体系促进学生就业力全面发展。完善就业创业教育课程体系，开展各类讲座、竞赛，邀请专家、学者来校举行就业、创业指导类讲座，帮助学生树立正确的学习观、就业观和培养创新意识；开展就业电子杂志制作大赛、简历制作大赛、职业生涯规划大赛、创业大赛等各类就业技能大赛，提高学生就业、创业能力。（4）和企业合作，共同致力于实践教学，培养和提高学生的实践技能。</w:t>
      </w:r>
    </w:p>
    <w:p>
      <w:pPr>
        <w:ind w:firstLine="480"/>
        <w:rPr>
          <w:szCs w:val="24"/>
        </w:rPr>
      </w:pPr>
      <w:r>
        <w:rPr>
          <w:szCs w:val="24"/>
        </w:rPr>
        <w:t>3.优秀毕业生就业创业的典型案例。2017级国贸专业王铁程同学在大学期间成立了泰安（熊越）文化传媒工作室，致力于打造当代大学生衣食住行的全方位一体化平台（音响设备租赁、服装租赁、电动车租赁等）。毕业后，2021年9月在威海创业设立了跨境电商公司，这也为我们以后的校企合作带来契机。</w:t>
      </w:r>
    </w:p>
    <w:p>
      <w:pPr>
        <w:pStyle w:val="5"/>
        <w:spacing w:before="93" w:after="93"/>
        <w:ind w:firstLine="560"/>
      </w:pPr>
      <w:bookmarkStart w:id="405" w:name="_Toc31305"/>
      <w:r>
        <w:t>七</w:t>
      </w:r>
      <w:r>
        <w:rPr>
          <w:rFonts w:hint="eastAsia"/>
        </w:rPr>
        <w:t>、</w:t>
      </w:r>
      <w:r>
        <w:t>专业发展趋势及建议</w:t>
      </w:r>
      <w:bookmarkEnd w:id="405"/>
    </w:p>
    <w:p>
      <w:pPr>
        <w:ind w:firstLine="480"/>
        <w:rPr>
          <w:szCs w:val="24"/>
        </w:rPr>
      </w:pPr>
      <w:r>
        <w:rPr>
          <w:szCs w:val="24"/>
        </w:rPr>
        <w:t>1.专业发展趋势：目前我国的国际经贸人才在数量上严重不足，在业务上、素质上符合国际贸易人才条件的人数尤其不多。在二十一世纪随着信息社会的快速发展，将需要更多能掌握国际经济与贸易基本知识和技能的复合型高级专门人才。在</w:t>
      </w:r>
      <w:r>
        <w:rPr>
          <w:rFonts w:hint="eastAsia"/>
          <w:szCs w:val="24"/>
        </w:rPr>
        <w:t>“</w:t>
      </w:r>
      <w:r>
        <w:rPr>
          <w:szCs w:val="24"/>
        </w:rPr>
        <w:t>互联网+</w:t>
      </w:r>
      <w:r>
        <w:rPr>
          <w:rFonts w:hint="eastAsia"/>
          <w:szCs w:val="24"/>
        </w:rPr>
        <w:t>”</w:t>
      </w:r>
      <w:r>
        <w:rPr>
          <w:szCs w:val="24"/>
        </w:rPr>
        <w:t>和</w:t>
      </w:r>
      <w:r>
        <w:rPr>
          <w:rFonts w:hint="eastAsia"/>
          <w:szCs w:val="24"/>
        </w:rPr>
        <w:t>“</w:t>
      </w:r>
      <w:r>
        <w:rPr>
          <w:szCs w:val="24"/>
        </w:rPr>
        <w:t>一带一路</w:t>
      </w:r>
      <w:r>
        <w:rPr>
          <w:rFonts w:hint="eastAsia"/>
          <w:szCs w:val="24"/>
        </w:rPr>
        <w:t>”</w:t>
      </w:r>
      <w:r>
        <w:rPr>
          <w:szCs w:val="24"/>
        </w:rPr>
        <w:t>的大背景下，跨境电子商务作为一种新型贸易模式，正成为满足外贸产业转型升级的重要贸易渠道。跨境电子商务对既懂技术又懂商务，还要有国际贸易背景的复合型人才的需求大大增加，跨境电商人才缺口严重存在。</w:t>
      </w:r>
    </w:p>
    <w:p>
      <w:pPr>
        <w:ind w:firstLine="480"/>
        <w:rPr>
          <w:szCs w:val="24"/>
        </w:rPr>
      </w:pPr>
      <w:r>
        <w:rPr>
          <w:szCs w:val="24"/>
        </w:rPr>
        <w:t>2.建议：进一步改进教学质量，打造国贸专业品牌实习活动，加强实践教学，增强国贸毕业学生在就业环节的影响力。同时可以考虑将跨境电商教育与国际经济与贸易专业教育有效融合的思路。</w:t>
      </w:r>
    </w:p>
    <w:p>
      <w:pPr>
        <w:pStyle w:val="5"/>
        <w:spacing w:before="93" w:after="93"/>
        <w:ind w:firstLine="560"/>
      </w:pPr>
      <w:bookmarkStart w:id="406" w:name="_Toc20253"/>
      <w:r>
        <w:t>八</w:t>
      </w:r>
      <w:r>
        <w:rPr>
          <w:rFonts w:hint="eastAsia"/>
        </w:rPr>
        <w:t>、</w:t>
      </w:r>
      <w:r>
        <w:t>存在的问题及整改措施</w:t>
      </w:r>
      <w:bookmarkEnd w:id="406"/>
    </w:p>
    <w:p>
      <w:pPr>
        <w:ind w:firstLine="480"/>
        <w:rPr>
          <w:szCs w:val="24"/>
        </w:rPr>
      </w:pPr>
      <w:r>
        <w:rPr>
          <w:szCs w:val="24"/>
        </w:rPr>
        <w:t>1.存在的问题：（1）课程设置需要调整。从学校发展规划来看，我校主要是以教学型为主，是以培养掌握基础知识，有一定专业能力的应用型大学生为主，为社会和国家提供相应的专业人才，因此在课程设置时重点要培养学生的实际操作和动手能力。而现实中却普遍存在重理论、轻实践，理论与实验课脱节，实验与实际联系不紧密的现象！同时，课程内容陈旧，不利于学生知识更新。由于我们专业属于经济类专业，全球经济风云变幻莫测，新情况、新形势不断出现，书本知识根本跟不上形势的变化。尤其我们培养的是应用型人才，需要及时提供最新数据，帮助学生提高分析能力。（2）大学生能力与企业需求不完全匹配。与企业实际需求的国贸人才培养有一定程度的脱离，企业对国贸人才在英语和实际能力要求较高。外贸公司急需的是具有扎实的理论基础，较强的理论分析能力和实际操作能力，并具有创新和团队协作能力，一进入企业就能独立操作，为企业服务的人才。（3）专业教师实践能力有待加强。</w:t>
      </w:r>
    </w:p>
    <w:p>
      <w:pPr>
        <w:ind w:firstLine="480"/>
        <w:rPr>
          <w:szCs w:val="24"/>
        </w:rPr>
      </w:pPr>
      <w:r>
        <w:rPr>
          <w:szCs w:val="24"/>
        </w:rPr>
        <w:t>2.整改措施：（1）校企合作共同制定人才培养方案。为进一步优化经管学院专业人才培养方案，深化校企合作，深度融入产业链，实现学院人才培养和企业岗位需求有机对接，学院组织企业专家、同行院校专家进行研究和讨论。根据学院专业特点，先从人才需求调研、岗位分析到课程体系的建立等方面进行调研，然后邀请济南他拍档教育科技有限公司和山东岱银集团有限公司对人才培养方案进行细致、全面的评审。通过人才培养方案的顶层设计环节，明确实践教学目标。（2）打造多元化实践教学课程体系。国贸本科专业课程体系改革大多是个别课程或具体实践教学环节方面的革新，本教学成果在国际贸易类课程体系中融入跨境电商，形成专业核心课、岗位实践能力课和创新创业课的多元化课程体系，重视学科之间的渗透与交叉。从形式上实现了课堂教学和课外活动相结合，校内实验室和校外实践教学基地相结合。（3）国贸专业的老师积极参加培训，如</w:t>
      </w:r>
      <w:r>
        <w:rPr>
          <w:rFonts w:hint="eastAsia"/>
          <w:szCs w:val="24"/>
        </w:rPr>
        <w:t>“</w:t>
      </w:r>
      <w:r>
        <w:rPr>
          <w:szCs w:val="24"/>
        </w:rPr>
        <w:t>跨境电商与人才培养师资培训会</w:t>
      </w:r>
      <w:r>
        <w:rPr>
          <w:rFonts w:hint="eastAsia"/>
          <w:szCs w:val="24"/>
        </w:rPr>
        <w:t>”</w:t>
      </w:r>
      <w:r>
        <w:rPr>
          <w:szCs w:val="24"/>
        </w:rPr>
        <w:t>，并取得了专业技能证书。</w:t>
      </w:r>
    </w:p>
    <w:p>
      <w:pPr>
        <w:ind w:firstLine="480"/>
      </w:pPr>
    </w:p>
    <w:p>
      <w:r>
        <w:br w:type="page"/>
      </w:r>
    </w:p>
    <w:p>
      <w:pPr>
        <w:pStyle w:val="4"/>
        <w:ind w:firstLine="600"/>
      </w:pPr>
      <w:bookmarkStart w:id="407" w:name="_Toc19442"/>
      <w:bookmarkStart w:id="408" w:name="_Toc52"/>
      <w:r>
        <w:t>专业</w:t>
      </w:r>
      <w:r>
        <w:rPr>
          <w:rFonts w:hint="eastAsia"/>
          <w:lang w:val="en-US"/>
        </w:rPr>
        <w:t>三十七</w:t>
      </w:r>
      <w:r>
        <w:t>：国际经济与贸易（中德合作）</w:t>
      </w:r>
      <w:bookmarkEnd w:id="407"/>
      <w:bookmarkEnd w:id="408"/>
    </w:p>
    <w:p>
      <w:pPr>
        <w:pStyle w:val="5"/>
        <w:spacing w:before="93" w:after="93"/>
        <w:ind w:firstLine="560"/>
      </w:pPr>
      <w:r>
        <w:t>一、培养目标与规格</w:t>
      </w:r>
    </w:p>
    <w:p>
      <w:pPr>
        <w:ind w:firstLine="480" w:firstLineChars="200"/>
      </w:pPr>
      <w:r>
        <w:t>本专业培养践行社会主义核心价值观，具有良好思想品质和道德修养，掌握经济学以及经济与贸易类专业基础知识、基本理论和方法，熟悉国际通行的经贸规则，认识与把握国内外经济、贸易的运行机制和发展规律，熟练掌握德语，熟练运用现代信息技术，具有良好的沟通协调能力和创新创业精神，成为适应我国现代化建设需要的、具有全球视野和较为完备知识体系的应用型、复合型专门人才。</w:t>
      </w:r>
    </w:p>
    <w:p>
      <w:pPr>
        <w:ind w:firstLine="480" w:firstLineChars="200"/>
      </w:pPr>
      <w:r>
        <w:t>学生主要学习经济学和国际贸易的基本理论和基本知识，接受经济学、管理学的基本训练，具有理论分析和实务操作的基本能力。学生完成学业经考核合格，颁发中国山东农业大学本科毕业证书、学士学位证书及德国埃森经济与管理应用技术大学</w:t>
      </w:r>
      <w:r>
        <w:rPr>
          <w:szCs w:val="24"/>
        </w:rPr>
        <w:t>（以下简称FOM大学）</w:t>
      </w:r>
      <w:r>
        <w:t>学士学位证书。</w:t>
      </w:r>
    </w:p>
    <w:p>
      <w:pPr>
        <w:pStyle w:val="5"/>
        <w:spacing w:before="93" w:after="93"/>
        <w:ind w:firstLine="560"/>
      </w:pPr>
      <w:r>
        <w:t>二、培养能力</w:t>
      </w:r>
    </w:p>
    <w:p>
      <w:pPr>
        <w:ind w:firstLine="480" w:firstLineChars="200"/>
      </w:pPr>
      <w:r>
        <w:t>本专业是为适应社会主义市场经济发展需要，顺应我国加入WTO和经济全球化进程的要求而设立的。于2003年开始招生，招生对象仅限山东省内。招生纳入国家统招计划，学制四年。经过第一学年1000余学时的德语强化学习后，学生应达到德语B1（欧盟统一语言考试标准）水平。第二学年起，专业课程由德方选派德籍教师到中国讲授，采用全德文教学资料及德国的教学、考试方法。</w:t>
      </w:r>
    </w:p>
    <w:p>
      <w:pPr>
        <w:ind w:firstLine="480" w:firstLineChars="200"/>
      </w:pPr>
      <w:r>
        <w:t>本专业4个年级、231名学生在读，其中四年级70人中63人具有赴德学习资格。</w:t>
      </w:r>
    </w:p>
    <w:p>
      <w:pPr>
        <w:ind w:firstLine="480" w:firstLineChars="200"/>
        <w:rPr>
          <w:szCs w:val="24"/>
        </w:rPr>
      </w:pPr>
      <w:r>
        <w:rPr>
          <w:szCs w:val="24"/>
        </w:rPr>
        <w:t>课程体系由理论教学和实践教学体系构成，主要包括通识教育课（通识必修、通识选修）、专业教育课（学科基础、专业核心）、拓展教育课（专业方向、专业拓展、学科交叉）和实践教学环节（基础实践、专业实践、综合实践）四部分。</w:t>
      </w:r>
    </w:p>
    <w:p>
      <w:pPr>
        <w:ind w:firstLine="480" w:firstLineChars="200"/>
      </w:pPr>
      <w:r>
        <w:t>主干学科涉及经济学、统计学、德语等。</w:t>
      </w:r>
    </w:p>
    <w:p>
      <w:pPr>
        <w:ind w:firstLine="480" w:firstLineChars="200"/>
      </w:pPr>
      <w:r>
        <w:t>创新创业教育主要在通识教育课中设置创新创业类课程；在拓展教育课中根据创新型和专业型人才分类培养的需要，设计专业方向课程，同时设置学科前沿专题讲座和职业发展与就业创业指导课；在实践教学环节中要求学生完成一定数量的创新创业实践任务。</w:t>
      </w:r>
    </w:p>
    <w:p>
      <w:pPr>
        <w:pStyle w:val="5"/>
        <w:spacing w:before="93" w:after="93"/>
        <w:ind w:firstLine="560"/>
      </w:pPr>
      <w:r>
        <w:t>三、培养条件</w:t>
      </w:r>
    </w:p>
    <w:p>
      <w:pPr>
        <w:ind w:firstLine="480" w:firstLineChars="200"/>
      </w:pPr>
      <w:r>
        <w:t>学校按照中德双方合作办学协议及国家财务规章制度和学校有关财务管理办法进行管理，在享有充分办学自主权的基础上，完全共享学校各种办学资源，学校为国际交流学院建设发展提供各种条件支撑。</w:t>
      </w:r>
    </w:p>
    <w:p>
      <w:pPr>
        <w:ind w:firstLine="480" w:firstLineChars="200"/>
      </w:pPr>
      <w:r>
        <w:t>本学年中德双方共为本专业投入经费1278.60万元。</w:t>
      </w:r>
    </w:p>
    <w:p>
      <w:pPr>
        <w:ind w:firstLine="480" w:firstLineChars="200"/>
      </w:pPr>
      <w:r>
        <w:t>学院现有专用多媒体教室21口，座位数达1350多个；多媒体语音室1口，30座。一年级德语使用《Studio 21》第二版教材，以《走遍德国》和《柏林广场》为辅助教材；坚持小班化上课，每班固定一名教师，每周不少于30学时，强化学生德语教学；德籍教师辅助口语教学；学生德语B1通过率保持在95%以上。各级别德语试题均由德方按照欧盟语言标准等级提供。前三年学业成绩合格的学生，第四学年可自愿赴FOM大学继续学习。</w:t>
      </w:r>
    </w:p>
    <w:p>
      <w:pPr>
        <w:ind w:firstLine="480" w:firstLineChars="200"/>
        <w:rPr>
          <w:szCs w:val="24"/>
        </w:rPr>
      </w:pPr>
      <w:r>
        <w:t>建立健全教师选聘制度，完善教师考核评价体系，狠抓师德师风建设。在引进高质量师资的同时，组织教师参加相关培训，提高素质和水平。</w:t>
      </w:r>
      <w:r>
        <w:rPr>
          <w:szCs w:val="24"/>
        </w:rPr>
        <w:t xml:space="preserve">15名大一德语教师，具有硕士学位的占93%，有海外留学经历的占67%。 </w:t>
      </w:r>
    </w:p>
    <w:p>
      <w:pPr>
        <w:ind w:firstLine="480" w:firstLineChars="200"/>
      </w:pPr>
      <w:r>
        <w:rPr>
          <w:szCs w:val="24"/>
        </w:rPr>
        <w:t>德方选派的德籍教师，均</w:t>
      </w:r>
      <w:r>
        <w:t>具有德国教育部认可的教师资质、丰富的教学经验和工作经历、较高的学术水平。本学年，国际经济与贸易专业选聘德籍教师31名，其中拥有博士学位的教授23名、占74%。</w:t>
      </w:r>
    </w:p>
    <w:p>
      <w:pPr>
        <w:pStyle w:val="5"/>
        <w:spacing w:before="93" w:after="93"/>
        <w:ind w:firstLine="560"/>
      </w:pPr>
      <w:r>
        <w:t>四、培养机制与特色</w:t>
      </w:r>
    </w:p>
    <w:p>
      <w:pPr>
        <w:ind w:firstLine="480" w:firstLineChars="200"/>
        <w:rPr>
          <w:szCs w:val="24"/>
        </w:rPr>
      </w:pPr>
      <w:r>
        <w:rPr>
          <w:szCs w:val="24"/>
        </w:rPr>
        <w:t>本专业完全引进德国的学位教育模式，在一年级打好语言基础的前提下，学生在二年级开始的专业课，严格按照德国的教学机制进行，采用</w:t>
      </w:r>
      <w:r>
        <w:rPr>
          <w:rFonts w:hint="eastAsia"/>
          <w:szCs w:val="24"/>
        </w:rPr>
        <w:t>“</w:t>
      </w:r>
      <w:r>
        <w:rPr>
          <w:szCs w:val="24"/>
        </w:rPr>
        <w:t>教授+助教</w:t>
      </w:r>
      <w:r>
        <w:rPr>
          <w:rFonts w:hint="eastAsia"/>
          <w:szCs w:val="24"/>
        </w:rPr>
        <w:t>”</w:t>
      </w:r>
      <w:r>
        <w:rPr>
          <w:szCs w:val="24"/>
        </w:rPr>
        <w:t>的方式授课，全部由德方聘请的德籍教师任教。学院主动改变固有的教学思路，引入现代化、信息化的教学手段，积极进行教学方法与手段的革新和改良，始终以学生为中心，不断增强学生利用所学知识分析和解决实际问题的能力。</w:t>
      </w:r>
    </w:p>
    <w:p>
      <w:pPr>
        <w:ind w:firstLine="480" w:firstLineChars="200"/>
      </w:pPr>
      <w:r>
        <w:rPr>
          <w:szCs w:val="24"/>
        </w:rPr>
        <w:t>教师注重教学过程，积极引导学生依据认知水平、兴趣类型、个性特点等，按照每组5人左右的标准组建若干个学习小组，进行小组合作学习。在学习过程中，小组成员相互合作，共同来完成学习任务，实现学习的预期目标。在小组任务设置上，一是明确任务，突出任务目标的共性，让小组内的每一个成员都能知道自己要干什么，通过大家的努力共同完成教师布置的任务；二是辩论研讨，小组内成员相互讲解、相互探讨，有助于对知识更好的理解，提高学习的积极性。例如：在进行会计专业课教学的时候，先检查预习，后讨论专业知识。小组讨论交流时，教师现场巡察、及时指导。由于对专业知识的理解程度和看法不同，每位学生在争鸣和解说中发挥奇特新颖的想象力，既提高了德语口语表达能力，又加深了对专业知识的理解。</w:t>
      </w:r>
    </w:p>
    <w:p>
      <w:pPr>
        <w:pStyle w:val="5"/>
        <w:spacing w:before="93" w:after="93"/>
        <w:ind w:firstLine="560"/>
      </w:pPr>
      <w:r>
        <w:t>五、培养质量</w:t>
      </w:r>
    </w:p>
    <w:p>
      <w:pPr>
        <w:ind w:firstLine="480" w:firstLineChars="200"/>
      </w:pPr>
      <w:r>
        <w:t>本专业2022届有70名毕业生，占本届毕业生229人的30.57%。本专业毕业生一次就业率超过82.9%，有29名（41.4%）学生在国外读研，有5名（7.1%）学生在国内读研，24名（34.4%）学生顺利就业（见</w:t>
      </w:r>
      <w:bookmarkStart w:id="409" w:name="_Hlk27665335"/>
      <w:r>
        <w:t>图</w:t>
      </w:r>
      <w:bookmarkEnd w:id="409"/>
      <w:r>
        <w:t>2）。学生就业主要面向政府机关、涉外经济部门、外贸公司等企事业单位就业专业对口率达80%以上。</w:t>
      </w:r>
    </w:p>
    <w:p>
      <w:pPr>
        <w:ind w:firstLine="480" w:firstLineChars="200"/>
        <w:jc w:val="center"/>
      </w:pPr>
    </w:p>
    <w:p>
      <w:pPr>
        <w:spacing w:line="240" w:lineRule="auto"/>
        <w:jc w:val="center"/>
        <w:rPr>
          <w:b/>
          <w:bCs/>
          <w:sz w:val="21"/>
          <w:szCs w:val="21"/>
        </w:rPr>
      </w:pPr>
      <w:r>
        <w:rPr>
          <w:b/>
          <w:bCs/>
          <w:sz w:val="21"/>
          <w:szCs w:val="21"/>
        </w:rPr>
        <w:drawing>
          <wp:inline distT="0" distB="0" distL="0" distR="0">
            <wp:extent cx="4658360" cy="2457450"/>
            <wp:effectExtent l="4445" t="5080" r="23495" b="13970"/>
            <wp:docPr id="65" name="图表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pPr>
        <w:jc w:val="center"/>
        <w:rPr>
          <w:b/>
          <w:bCs/>
          <w:sz w:val="21"/>
          <w:szCs w:val="21"/>
        </w:rPr>
      </w:pPr>
      <w:r>
        <w:rPr>
          <w:b/>
          <w:bCs/>
          <w:sz w:val="21"/>
          <w:szCs w:val="21"/>
        </w:rPr>
        <w:t>图2   国际交流学院2022届国际经济与贸易专业毕业生情况</w:t>
      </w:r>
    </w:p>
    <w:p/>
    <w:p>
      <w:pPr>
        <w:ind w:firstLine="480" w:firstLineChars="200"/>
      </w:pPr>
      <w:r>
        <w:t>学生在国外申研的学校主要有德国埃森经济管理应用技术大学、德国乌尔姆大学、德国科隆大学、德国拜罗伊特大学等国际名校，</w:t>
      </w:r>
      <w:r>
        <w:rPr>
          <w:szCs w:val="24"/>
        </w:rPr>
        <w:t>在国内读研的学校主要有山东大学、首都经济贸易大学、东北师范大学等，</w:t>
      </w:r>
      <w:r>
        <w:t>就业主要面向行政单位、事业单位、金融机构（主要是各个银行）、大中型企业等。毕业生到了相应岗位之后，发展状况良好，得到了就业单位的认可和社会的高度评价。</w:t>
      </w:r>
    </w:p>
    <w:p>
      <w:pPr>
        <w:pStyle w:val="5"/>
        <w:spacing w:before="93" w:after="93"/>
        <w:ind w:firstLine="560"/>
        <w:rPr>
          <w:lang w:val="zh-CN"/>
        </w:rPr>
      </w:pPr>
      <w:r>
        <w:t>六、</w:t>
      </w:r>
      <w:r>
        <w:rPr>
          <w:lang w:val="zh-CN"/>
        </w:rPr>
        <w:t>毕业生就业创业</w:t>
      </w:r>
    </w:p>
    <w:p>
      <w:pPr>
        <w:ind w:firstLine="480" w:firstLineChars="200"/>
      </w:pPr>
      <w:r>
        <w:t>本专业积极响应国家号召，进行创业教育的宣传，学院在学生培养过程中注重培养学生的创新创业能力，要求学生在寒暑假积极参加社会调查、社会实践并设置相应学分，鼓励学生参与各种实践活动活动，积极调动学生的积极性撰写专业调研报告和实践报告等。德国学校与很多中小企业有合作关系，能够为学生大四实习提供广阔的平台。但是由于学生的经验不足，有创业思想的学生越来越多，再加上核心竞争力及资金的缺乏等各方面的原因，真正将创业付诸实施的学生少之又少。因此学生大多选择就业或读研。</w:t>
      </w:r>
    </w:p>
    <w:p>
      <w:pPr>
        <w:ind w:firstLine="480" w:firstLineChars="200"/>
      </w:pPr>
      <w:r>
        <w:t>毕业生典型案例：</w:t>
      </w:r>
    </w:p>
    <w:p>
      <w:pPr>
        <w:ind w:firstLine="480" w:firstLineChars="200"/>
      </w:pPr>
      <w:r>
        <w:t>孟成真，女，2018级国际经济与贸易专业学生，大学期间成绩优异，以德方1.2的绩点以及91.99的加权平均成绩名列专业第一。曾连续三年获得校级一等奖学金以及</w:t>
      </w:r>
      <w:r>
        <w:rPr>
          <w:rFonts w:hint="eastAsia"/>
        </w:rPr>
        <w:t>“</w:t>
      </w:r>
      <w:r>
        <w:t>三好学生</w:t>
      </w:r>
      <w:r>
        <w:rPr>
          <w:rFonts w:hint="eastAsia"/>
        </w:rPr>
        <w:t>”</w:t>
      </w:r>
      <w:r>
        <w:t>荣誉称号；顺利通过大学英语四六级考试、大学德语六级考试以及德福考试。积极参与校级科研课题</w:t>
      </w:r>
      <w:r>
        <w:rPr>
          <w:rFonts w:hint="eastAsia"/>
        </w:rPr>
        <w:t>“</w:t>
      </w:r>
      <w:r>
        <w:t>‘一带一路’下的中国与中东欧人文交流现状及预测</w:t>
      </w:r>
      <w:r>
        <w:rPr>
          <w:rFonts w:hint="eastAsia"/>
        </w:rPr>
        <w:t>”</w:t>
      </w:r>
      <w:r>
        <w:t>，并在国家级期刊发表了一篇学术论文，现已推免至山东大学。</w:t>
      </w:r>
    </w:p>
    <w:p>
      <w:pPr>
        <w:pStyle w:val="5"/>
        <w:spacing w:before="93" w:after="93"/>
        <w:ind w:firstLine="560"/>
        <w:rPr>
          <w:lang w:val="zh-CN"/>
        </w:rPr>
      </w:pPr>
      <w:r>
        <w:rPr>
          <w:lang w:val="zh-CN"/>
        </w:rPr>
        <w:t>七、专业人才社会需求分析及专业发展趋势分析</w:t>
      </w:r>
    </w:p>
    <w:p>
      <w:pPr>
        <w:ind w:firstLine="480" w:firstLineChars="200"/>
      </w:pPr>
      <w:r>
        <w:t>随着科学技术与经济社会的快速发展，在</w:t>
      </w:r>
      <w:r>
        <w:rPr>
          <w:rFonts w:hint="eastAsia"/>
        </w:rPr>
        <w:t>“</w:t>
      </w:r>
      <w:r>
        <w:t>互联网+</w:t>
      </w:r>
      <w:r>
        <w:rPr>
          <w:rFonts w:hint="eastAsia"/>
        </w:rPr>
        <w:t>”</w:t>
      </w:r>
      <w:r>
        <w:t>和</w:t>
      </w:r>
      <w:r>
        <w:rPr>
          <w:rFonts w:hint="eastAsia"/>
        </w:rPr>
        <w:t>“</w:t>
      </w:r>
      <w:r>
        <w:t>一带一路</w:t>
      </w:r>
      <w:r>
        <w:rPr>
          <w:rFonts w:hint="eastAsia"/>
        </w:rPr>
        <w:t>”</w:t>
      </w:r>
      <w:r>
        <w:t>的大背景下，包含跨境电子商务在内国际经贸业务迅猛增加，需要大批的国际经贸人才。因此，培养具有国际经济与贸易基本知识、既懂技术又懂商务的复合型高级专门人才，是国际经济与贸易专业人才培养的首要任务。</w:t>
      </w:r>
    </w:p>
    <w:p>
      <w:pPr>
        <w:pStyle w:val="5"/>
        <w:spacing w:before="93" w:after="93"/>
        <w:ind w:firstLine="560"/>
        <w:rPr>
          <w:lang w:val="zh-CN"/>
        </w:rPr>
      </w:pPr>
      <w:r>
        <w:rPr>
          <w:lang w:val="zh-CN"/>
        </w:rPr>
        <w:t>八、存在的问题及拟釆取的对策措施</w:t>
      </w:r>
    </w:p>
    <w:p>
      <w:pPr>
        <w:pStyle w:val="6"/>
        <w:ind w:firstLine="480"/>
      </w:pPr>
      <w:r>
        <w:t>1. 存在的主要问题</w:t>
      </w:r>
    </w:p>
    <w:p>
      <w:pPr>
        <w:ind w:firstLine="480" w:firstLineChars="200"/>
      </w:pPr>
      <w:r>
        <w:t>一是存在理论与实际联系不紧密的现象；二是学生能力培养与企业需求不完全匹配；三是专业教师实践能力有待提高。</w:t>
      </w:r>
    </w:p>
    <w:p>
      <w:pPr>
        <w:pStyle w:val="6"/>
        <w:ind w:firstLine="480"/>
      </w:pPr>
      <w:r>
        <w:t>2. 对策</w:t>
      </w:r>
    </w:p>
    <w:p>
      <w:pPr>
        <w:ind w:firstLine="480" w:firstLineChars="200"/>
      </w:pPr>
      <w:r>
        <w:t>根据专业特点，从人才需求调研、岗位分析到课程体系的建立等方面入手，紧跟世界经济形势与人才需求变化，进一步优化专业人才培养方案，深化校企合作，积极探索学院人才培养和企业岗位需求的有机对接，明确教学目标，进一步提升教学质量；进一步强化教师能力培养，加强教师业务培训，借鉴兄弟院校的成功经验，提高教师实践技能水平。</w:t>
      </w:r>
    </w:p>
    <w:p>
      <w:pPr>
        <w:ind w:firstLine="480" w:firstLineChars="200"/>
      </w:pPr>
    </w:p>
    <w:p>
      <w:pPr>
        <w:ind w:firstLine="480" w:firstLineChars="200"/>
      </w:pPr>
    </w:p>
    <w:p>
      <w:pPr>
        <w:ind w:firstLine="480" w:firstLineChars="200"/>
      </w:pPr>
    </w:p>
    <w:p>
      <w:pPr>
        <w:ind w:firstLine="480" w:firstLineChars="200"/>
      </w:pPr>
      <w:r>
        <w:br w:type="page"/>
      </w:r>
    </w:p>
    <w:p>
      <w:pPr>
        <w:pStyle w:val="4"/>
        <w:ind w:firstLine="600"/>
      </w:pPr>
      <w:bookmarkStart w:id="410" w:name="_Toc32689"/>
      <w:r>
        <w:t>专业</w:t>
      </w:r>
      <w:r>
        <w:rPr>
          <w:rFonts w:hint="eastAsia"/>
          <w:lang w:val="en-US"/>
        </w:rPr>
        <w:t>三十八</w:t>
      </w:r>
      <w:r>
        <w:t>：工商管理</w:t>
      </w:r>
      <w:bookmarkEnd w:id="410"/>
    </w:p>
    <w:p>
      <w:pPr>
        <w:pStyle w:val="5"/>
        <w:spacing w:before="93" w:after="93"/>
        <w:ind w:firstLine="560"/>
      </w:pPr>
      <w:bookmarkStart w:id="411" w:name="_Toc15847"/>
      <w:r>
        <w:t>一、人才培养目标</w:t>
      </w:r>
      <w:bookmarkEnd w:id="411"/>
    </w:p>
    <w:p>
      <w:pPr>
        <w:ind w:firstLine="480"/>
        <w:rPr>
          <w:color w:val="000000" w:themeColor="text1"/>
          <w14:textFill>
            <w14:solidFill>
              <w14:schemeClr w14:val="tx1"/>
            </w14:solidFill>
          </w14:textFill>
        </w:rPr>
      </w:pPr>
      <w:bookmarkStart w:id="412" w:name="_Toc27412"/>
      <w:r>
        <w:rPr>
          <w:color w:val="000000" w:themeColor="text1"/>
          <w14:textFill>
            <w14:solidFill>
              <w14:schemeClr w14:val="tx1"/>
            </w14:solidFill>
          </w14:textFill>
        </w:rPr>
        <w:t>工商管理专业以社会微观经济组织为研究对象，系统研究经济管理活动的基本原理、普遍规律和一般方法，培养践行社会主义核心价值观，适应国家经济建设需要，具有社会责任感、经营管理思维和创新精神，具备系统的管理、经济、财税、法律等知识能力，具备现代企业管理、商业管理、项目管理等系统思维和技能，具有国际视野、本土情怀、创新意识和团队精神的高素质复合型、创新型、应用型高级专门人才。</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工商管理专业毕业生的就业方向主要是到各类企事业单位、政府机关及有关部门从事综合管理、发展管理、人力资源管理、生产管理、市场管理、战略管理、计划管理、项目管理等工作，具备非常完善的职业经理人发展和学历提升路径；也可进入国内外各类管理咨询公司、会计师事务所、银行金融机构、投融资机构等从事管理咨询顾问、商业管理策划咨询、市场调研预测、管理研究和经济数量分析等工作，也可考（保）研、出国继续深造，到高校、研究机构从事教学和科研工作。</w:t>
      </w:r>
    </w:p>
    <w:p>
      <w:pPr>
        <w:pStyle w:val="5"/>
        <w:spacing w:before="93" w:after="93"/>
        <w:ind w:firstLine="560"/>
      </w:pPr>
      <w:r>
        <w:t>二、培养能力</w:t>
      </w:r>
      <w:bookmarkEnd w:id="412"/>
    </w:p>
    <w:p>
      <w:pPr>
        <w:pStyle w:val="6"/>
        <w:ind w:firstLine="480"/>
      </w:pPr>
      <w:r>
        <w:t>1</w:t>
      </w:r>
      <w:r>
        <w:rPr>
          <w:rFonts w:hint="eastAsia"/>
        </w:rPr>
        <w:t xml:space="preserve">. </w:t>
      </w:r>
      <w:r>
        <w:t>专业设置情况</w:t>
      </w:r>
    </w:p>
    <w:p>
      <w:pPr>
        <w:ind w:firstLine="480"/>
        <w:rPr>
          <w:color w:val="000000"/>
          <w:szCs w:val="24"/>
        </w:rPr>
      </w:pPr>
      <w:r>
        <w:rPr>
          <w:color w:val="000000"/>
          <w:szCs w:val="24"/>
        </w:rPr>
        <w:t>山东农业大学工商管理本科专业于2001年开始招生，连续16年招收本科生，迄今已培养本科毕业生1497人，就业率达97%以上。该专业立足自身实际，</w:t>
      </w:r>
      <w:r>
        <w:rPr>
          <w:rFonts w:hint="eastAsia"/>
          <w:color w:val="000000"/>
          <w:szCs w:val="24"/>
        </w:rPr>
        <w:t>“</w:t>
      </w:r>
      <w:r>
        <w:rPr>
          <w:color w:val="000000"/>
          <w:szCs w:val="24"/>
        </w:rPr>
        <w:t>走出去，请进来</w:t>
      </w:r>
      <w:r>
        <w:rPr>
          <w:rFonts w:hint="eastAsia"/>
          <w:color w:val="000000"/>
          <w:szCs w:val="24"/>
        </w:rPr>
        <w:t>”</w:t>
      </w:r>
      <w:r>
        <w:rPr>
          <w:color w:val="000000"/>
          <w:szCs w:val="24"/>
        </w:rPr>
        <w:t>积极开展多种形式的人才培养和社会需求调研，积极开展专业建设和学科发展研讨，积极推进教育教学改革，以商业管理思维培养工商管理复合型、适用型、专业型人才。</w:t>
      </w:r>
    </w:p>
    <w:p>
      <w:pPr>
        <w:pStyle w:val="6"/>
        <w:ind w:firstLine="480"/>
      </w:pPr>
      <w:r>
        <w:t>2</w:t>
      </w:r>
      <w:r>
        <w:rPr>
          <w:rFonts w:hint="eastAsia"/>
        </w:rPr>
        <w:t xml:space="preserve">. </w:t>
      </w:r>
      <w:r>
        <w:t>在校生规模</w:t>
      </w:r>
    </w:p>
    <w:p>
      <w:pPr>
        <w:ind w:firstLine="480"/>
        <w:rPr>
          <w:color w:val="000000"/>
        </w:rPr>
      </w:pPr>
      <w:r>
        <w:rPr>
          <w:color w:val="000000"/>
        </w:rPr>
        <w:t>山东农业大学工商管理本科专业目前在校学生人数为2019级60人，2020级74人，2021级54人，2022级学院实行大类招生，尚未分专业。</w:t>
      </w:r>
    </w:p>
    <w:p>
      <w:pPr>
        <w:pStyle w:val="6"/>
        <w:ind w:firstLine="480"/>
      </w:pPr>
      <w:r>
        <w:t>3</w:t>
      </w:r>
      <w:r>
        <w:rPr>
          <w:rFonts w:hint="eastAsia"/>
        </w:rPr>
        <w:t xml:space="preserve">. </w:t>
      </w:r>
      <w:r>
        <w:t>课程设置情况</w:t>
      </w:r>
    </w:p>
    <w:p>
      <w:pPr>
        <w:ind w:firstLine="480"/>
        <w:rPr>
          <w:color w:val="000000"/>
        </w:rPr>
      </w:pPr>
      <w:r>
        <w:rPr>
          <w:color w:val="000000"/>
        </w:rPr>
        <w:t>本专业设置的课程设置包专业基础课、专业核心课、专业方向课及各类实践课程，主要课程</w:t>
      </w:r>
      <w:r>
        <w:rPr>
          <w:color w:val="000000" w:themeColor="text1"/>
          <w14:textFill>
            <w14:solidFill>
              <w14:schemeClr w14:val="tx1"/>
            </w14:solidFill>
          </w14:textFill>
        </w:rPr>
        <w:t>有：企业管理学、微观经济学、宏观经济学、产业经济学、管理运筹学、统计学、创业学、组织行为学、公司治理、市场营销学、企业管理咨询与诊断、工商管理专业英语、战略管理、人力资源管理、商业数据管理与分析、运营管理、工商管理学科前沿专题讲座、财务管理、会计学、物流与供应链管理、管理信息系统、运营管理</w:t>
      </w:r>
      <w:r>
        <w:rPr>
          <w:color w:val="000000"/>
        </w:rPr>
        <w:t>、工商管理综合实验1-2、创新创业与企业数字化管理虚拟仿真综合实验、应用写作（管理）、信息检索与利用（管理）、项目管理等。</w:t>
      </w:r>
    </w:p>
    <w:p>
      <w:pPr>
        <w:ind w:firstLine="480"/>
        <w:rPr>
          <w:color w:val="000000"/>
        </w:rPr>
      </w:pPr>
    </w:p>
    <w:p>
      <w:pPr>
        <w:ind w:firstLine="480"/>
        <w:rPr>
          <w:color w:val="000000"/>
        </w:rPr>
      </w:pPr>
    </w:p>
    <w:p>
      <w:pPr>
        <w:spacing w:line="240" w:lineRule="auto"/>
        <w:jc w:val="center"/>
        <w:rPr>
          <w:color w:val="000000"/>
        </w:rPr>
      </w:pPr>
      <w:r>
        <mc:AlternateContent>
          <mc:Choice Requires="wpg">
            <w:drawing>
              <wp:inline distT="0" distB="0" distL="114300" distR="114300">
                <wp:extent cx="3557270" cy="2279650"/>
                <wp:effectExtent l="0" t="0" r="0" b="0"/>
                <wp:docPr id="40" name="组合 40"/>
                <wp:cNvGraphicFramePr/>
                <a:graphic xmlns:a="http://schemas.openxmlformats.org/drawingml/2006/main">
                  <a:graphicData uri="http://schemas.microsoft.com/office/word/2010/wordprocessingGroup">
                    <wpg:wgp>
                      <wpg:cNvGrpSpPr/>
                      <wpg:grpSpPr>
                        <a:xfrm>
                          <a:off x="0" y="0"/>
                          <a:ext cx="3557270" cy="2279650"/>
                          <a:chOff x="16840" y="3118090"/>
                          <a:chExt cx="5602" cy="3590"/>
                        </a:xfrm>
                      </wpg:grpSpPr>
                      <pic:pic xmlns:pic="http://schemas.openxmlformats.org/drawingml/2006/picture">
                        <pic:nvPicPr>
                          <pic:cNvPr id="66" name="图片 66" descr="图形用户界面, 网站&#10;&#10;描述已自动生成"/>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16840" y="3118090"/>
                            <a:ext cx="5603" cy="3591"/>
                          </a:xfrm>
                          <a:prstGeom prst="rect">
                            <a:avLst/>
                          </a:prstGeom>
                        </pic:spPr>
                      </pic:pic>
                      <wps:wsp>
                        <wps:cNvPr id="67" name="矩形 67"/>
                        <wps:cNvSpPr/>
                        <wps:spPr>
                          <a:xfrm>
                            <a:off x="20645" y="3120788"/>
                            <a:ext cx="1583" cy="428"/>
                          </a:xfrm>
                          <a:prstGeom prst="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inline>
            </w:drawing>
          </mc:Choice>
          <mc:Fallback>
            <w:pict>
              <v:group id="_x0000_s1026" o:spid="_x0000_s1026" o:spt="203" style="height:179.5pt;width:280.1pt;" coordorigin="16840,3118090" coordsize="5602,3590" o:gfxdata="UEsDBAoAAAAAAIdO4kAAAAAAAAAAAAAAAAAEAAAAZHJzL1BLAwQUAAAACACHTuJABP0kkdYAAAAF&#10;AQAADwAAAGRycy9kb3ducmV2LnhtbE2PQWvCQBCF74X+h2UK3upulEibZiNFWk9SqBZKb2N2TILZ&#10;2ZBdE/33Xb20l4HHe7z3Tb4821YM1PvGsYZkqkAQl840XGn42r0/PoHwAdlg65g0XMjDsri/yzEz&#10;buRPGrahErGEfYYa6hC6TEpf1mTRT11HHL2D6y2GKPtKmh7HWG5bOVNqIS02HBdq7GhVU3ncnqyG&#10;9Yjj6zx5GzbHw+rys0s/vjcJaT15SNQLiEDn8BeGK35EhyIy7d2JjRethvhIuN3opQs1A7HXME+f&#10;Fcgil//pi19QSwMEFAAAAAgAh07iQH4Wg5w8BAAAGQkAAA4AAABkcnMvZTJvRG9jLnhtbK1WS28k&#10;NRC+I/EfrEbiRDLdnZ5HhkxWw+ShlSI2IiDOHo/7IbptY3syCYgb0gaEtIu0HBBCK+1pgQvisge0&#10;8GuSWf4Fn909k8ljRUCMNN1ll12u+qq+cm/dO6lKcsy1KaQYBNF6GBAumJwUIhsEH324t9YLiLFU&#10;TGgpBR8Ep9wE97bffGNrpvo8lrksJ1wTGBGmP1ODILdW9Vstw3JeUbMuFRdQplJX1GKos9ZE0xms&#10;V2UrDsNOayb1RGnJuDGY3amVQWNR38WgTNOC8R3JphUXtraqeUktQjJ5oUyw7b1NU87sgzQ13JJy&#10;ECBS6584BPLYPVvbW7SfaarygjUu0Lu4cC2mihYChy5N7VBLyVQXN0xVBdPSyNSuM1m16kA8Iogi&#10;Cq9hs6/lVPlYsv4sU0vQkahrqP9ns+z940NNiskgSACJoBUyPv/9y/PHZwQTQGemsj4W7Wt1pA51&#10;M5HVIxfwSaor90Yo5MTjerrElZ9YwjC50W534y7sM+jiuLvZaTfIsxzpcfuiTs85AP1GFPXCzaV+&#10;t7HR7oRxbWCjXWtbi8NbzselS6pgffwbsCDdAOufSxS77FRzQO+siePDgh3qenAJWKezAOz8hz/m&#10;Xz0kbmLCDUN5Yeb85bP5k+cXZy/m333z14/P3iHzl9/Of/n+7bei8F3/uHj06NWfv56/+O3Vw5/P&#10;v34+f/L04uyxg9yd6Y6pD6UumgPJPjFEyFFORcaHRqGwAZpb3bq63A+veDwuC7VXlKXLkpP/X6YR&#10;3efVmKOA9P1JhAyhd1gUkdKFsJ4SqIIDY93prh48KT6Pe8Mw3IzfWxu1w9FaEnZ314abSXetG+52&#10;kzDpRaNo9IXbHSX9qeEIn5Y7qlgwNEpuJPVWBjQsrbnlOUqOqe8EDjjv0OLtXcSUQ8j5aqzmluVO&#10;TAHeBwC83rNUeKQvwXVpMKCI23GNFK8p7gU9UNoby9Kuc3ppQmlj97msiBMAMvzwqNJjeFx7tFjS&#10;1ELthPcOPjkGo1GbRdoxuht2rk3f1pSOcqocM5zZFTJ0F2SYP/0JpU863bp7+EXL1mFeB1EcdpJ2&#10;w/847PZ6bnddMa6DRO1eA1ESe9WS/KDHv0GI9oV0ZPDWS0FmaDi9KHS9ieIyS3GJQKwU6tmILCC0&#10;zHBLMqs96EaWxWTBJaOz8ajUdUWNQvfzfETtrC5z7u1Qk9frvKqOrSosLtKyqAZBb3V3KZBIh26d&#10;SCeN5eQUbVpLVABcNYrtFTB7QI09pBoXFiZxpdsHeKSlRFCykQKSS/3ZbfNuPSoB2oDMcAEi4E+n&#10;FE2PlPcFamQzSlxHtn6QoIFjoFc141WNmFYjCWahA8A7L7r1tlyIqZbVxyipoTsVKioYzq6hbQYj&#10;izFU+HZgfDj0Mm5JRe2BOFLo45FPgpDDqZVp4av/Ep0GNFS6l/yNCenKlbw69qsuv2i2/wZQSwME&#10;CgAAAAAAh07iQAAAAAAAAAAAAAAAAAoAAABkcnMvbWVkaWEvUEsDBBQAAAAIAIdO4kC8Setc90QE&#10;AMpEBAAUAAAAZHJzL21lZGlhL2ltYWdlMS5wbmcAAID/f4lQTkcNChoKAAAADUlIRFIAAANYAAAC&#10;JQgGAAAAyFRZAwAAAAlwSFlzAAAh1QAAIdUBBJy0nQAAIABJREFUeJzsvWmPJMmZ5/czc/e48r6q&#10;KjPrvrq7uvrmMWySw+FwyB3N7kIzGgwkQQewmO8g6DvorQQBAvaNhAUkQIJWB4ajGXJneDfZZHdX&#10;V3dV131lZVbeR9zh7mZ6Ye4RHmdGRGZGRVX5H8iMCHf7mz1mbm5mjz1mj4mTf7uliSD8Ifa51gh9&#10;hJwwXC+y9cPp9n47Ti/hB8XpNy+D4rxsZdbI6xTXQTiDSKMXTj+yDYozrHIdJmc/9MoZ9najkTNM&#10;z+Yo+85ov3bQ93k/vOr9QD+cuMyGt4/SgNAajQJt/rTyQfvgFXjzvMVf/PEiFbc+/qNCz+9lO6G6&#10;IA8iP1X0WmG6hT66qI8KduOFVhnoJlONYQ6TIzrcP0xOt/dfJM6wyjXMnMNMo1Nch8UZRBr7cdrd&#10;f16caEfba/h+0njenEb0w+kkw7BzhrVuHnbf2e559vM+74cXrQ4MA2dY5XrenGHoo2rvjgAkGo0Q&#10;Eg1oK8VXD/NMTWzwzbdmURp81SGyw0I4WzKAZAYBHf570TShI4LseFfT+8Pvh9MPNQg8KBF75Qyr&#10;XMPMGVa5XioMcyG/6pVsWDnDKtcwcw6QxsvUD/bDGVa5hpkT94NdQkS+CAlSIoRESAeXNL/6bI+f&#10;/naFSsUnYcujNMa8lIj1qnrYsbIZI0aMlw3xzHOMGDFixGiGAKERWqCR5icgrQRKWXzyVYHltSW+&#10;dmWSsydHSScttBYoNFqD1gcfNQtAv6SN9ICMci8ExOLfbtU9505rWNthUJwYMV4m9PoOxO/McOP5&#10;tp2dYxpEXXvVOfH7GSNG7xjs+DFgah380uZ7uCcLhVYK5VUQusTMOJyZzzA/m2RqIkE6ZWPbFrYF&#10;ljSLDUWfM2C6/md3WkljmGFubNrIFlVPw++dVNa6Z/2CaW52K+Uq+n3YOrFh5hxlGtFwLzqnnzTa&#10;8V9FxGX24qOxn+jlvRkk56jS6CedYef0Gz7mDFf/NOycVtxXFb2XmSlpIYyGIwCEMAN8IUALhBQI&#10;J4XWDhs5j/WvKkCBhKVJOOBYYEmNNMYvw4suuNTtn2er592Ixrw8b04/eemXE4bpNZ1e8j8ITvi7&#10;yclFuwQ6IVowR8mJ8fJh2M3JRzm46NVy3Bi+06xPO/TKGdYB2TDhILIfXtvZOfV+0+n13XyVOXGf&#10;FmOQGGTfOUz9YPS+jnx2I1ugXgUKlcas0zPOLtA6MEdJhFCgJba00U4StMZXioKnwNOgdZC2bnoG&#10;jbKJxpF3BC0H6LohWAtOyzSE+Wy19HAoOLSur60UKtHhgTbWER38E9GLB0zjMDhNCpZo870Topl9&#10;FTmDkiuKV5Fz0HLuFsPKaQzfTefaWGbddMbDmv9+OC+SojdM71qv/UBjmG7lCutkL0p/v5x+ZOuV&#10;E8o0TP3Ti8CJ+8HeONG632vf2S1eFM6B+7VwVN7UoFiBGhaoY8IoZKE6JepixShnTbF3yl27e/1y&#10;2pVgu3strlcL84g5He+9XGVmt9KgBz24iBFjWDFsnetBOMMqV6+cXgbX/YTvF92k0zgYGGZOt+F7&#10;6TtaztgOiHMU+YkR43lgUG1aiGHsB/rliBbfQtOE+RBGkRKCcK+WMZFoBNFrwfU2QjS2I920Xc+d&#10;00VhNqXRhtNLe32oHN2m/Q4enaDVzQPI1iGelksE26Gfl/owON3OULTidEq7MYyO3Ajes67C75dG&#10;P3IdVv774RxmfgZZZv2k8yJwhlWuQXLC753qdSOn1/BRTqc5rIPKNeycTuhH8diP08u840E47dCP&#10;wt5rOi9Tm94Pp9X9/fIzrHk5Ek51UKiDa6Kr8onG0u273h+nhl45TeOrLjnd5f+wOOE3Uf1lnol5&#10;EtVlhWiqe7YicVa/69ayNKarRQeOqL/eLye8Xg3TwAnja8uJXK+m26KQw6WCUU5ULg31yyTDtPd5&#10;YC1vd1P5JNgWOI7ATgikZa77SuNWwHfB93Xndl8Ymdsl1U62KEfQ4OSiMbF2D7Ep3sYH1BhPGC5S&#10;I+sammjFaZ1E9Wbd/YbRZ1XefXo+HS2BaJwRXtdx0LqC1cnYRO69UaurDKJ9uJaRiNaXu8WgOINO&#10;K8aLh14Hz53Cd9MhHzYa5ekmP53a6KPidArTTpHrNY1h4LRpJnuuZ504nerYoDjtcNQc3fCjY98m&#10;6geC7dLR1PfPfeVhnzHLvum3ut/iwXSlFAfjIRnp4KP9fXTo31xfa1d75TS+x5059fnpxGmnRDe+&#10;X0eZRn8cUc8R4UGxUXVXNMkYPr9ovWxMq1GO6DUh6sNXeaI+vIzGIRrTCFTBKCcc8AefNHJCV/UN&#10;4946TmNequ7tD8YJC6bVOLtVWYg2P6JjbikhPSKYOWYzf8pm5rjF6JgkkTSESlmT21OsP/NYeeKz&#10;teZRKmqUqkXWmE6r+rSfbFFORwtWaCFtVUGhdr3bBq5do7ZfxxYWopSQtM33igcqGkk07haKltbg&#10;SEgnBRVX42vIJARlV1PxQQVxSAkTaYGvNNkydaUayhG+FGnHfBbKAR+jOaccQcXXVFzqOpXqSyFM&#10;Y2pHj3kOyprGF6EhD77qkO8IJWEbWSoeeH6LQg3TpL5CdEJYyQ7COco0Gq/1imHlDKtcg+QMEp3k&#10;azmwOgJOjJcH+3bKrwAnnFStzprTMGhpGBC0GyiHYav+CBpk6Kbv0JE+Vu73crbpX6PhlK7vu1uh&#10;nWxhPkZTgomUwLYaGaH9JHqtHcz9qqe8Ljk6UsL7c0yI2t1g2VzD1cPh6IZq0W3+o6keJqf29KKS&#10;tR2zdkj1VYUGfB+yJU2uZMbhnYwZ+5Vj+C6nM4KTZx0uXU0wf9ImmZb1YYJ05ubh7OUkpYJi+ZHH&#10;retllp94VEq6qlS3k7uVbB3zqtsoWKFG7thwbMJU69U9ozCEhREmaFswOypJJ5ozHQrgK8gWNbsF&#10;TcKGyVFJ2jH3imXYyisqXvuCDhumqRHBh5cdKh5cf+SRK2sCb5vVgEJAxdOUXdPwVeXVMDcu+OE7&#10;CW4seWzn4E+vOtxY8niyodjOK7IlzVhS8p99J8XylsePP3ONXNRerYQNloSEJfjRuw62FPy/f6jg&#10;BVrP/ITFH1+x+eKJz+ePPCN7oBhF47gwZ3Fx3kJKqlMVrm8qXToBI8n6RkkAO3n4atljZUfV8iao&#10;mzXRGLPk26dtzh6z+PyRx/1Vv66ChEpitw3AyziIjhGjnw5wUJxBIZ4gGAznVUWoRNgWTI9IbKu+&#10;/MI+0dewW1AUKprRlGAyLVtOwmoBFVezldPVPrCX51FVaJKChSnJaKp5Zj069N9PDVAKdgqK1V1F&#10;sdKs+HWSLYxzdlTy+rzFRFogZYMVJSJIO1kaldC+OS3uN15rlL3xXruJ804ydJvGsHNaoVdOpzLr&#10;9CzbpTGMHK01e0XNvTWP5R2F1qLj2L8dzLummZq1ePO9JBevJEiPSLSmZpVqCE9gbEimJReuJJg/&#10;bXPzWoUbn5XJ7qiWEzd9Q3SwYGlgPC34b/8qw+y44L/79yV+e8fFCRcVBm/nmVnJf/NXaU7PSorl&#10;mpXJU8Z6Epq9f37D5X/+pzLvnbP5L/4kyXjaWJJ+d8fn3/2izLMdhbVPazSZFvzxmw4nJiVfPrYp&#10;lHRTjRTAjSWP39312C3W5mZ8rZkcsfjOFYeSC0uWz/ffdjgxJbEs+NkXLr/4qsLUiOCPr9r8+oZG&#10;4Nalb1nw9imLS/M2yQT8628ksKXAsUH5kK9opkYk/8m3Ekx+5jKSMGkXKvDVss9uSSGEIGkL3jxt&#10;8dcfJpkbF+RLsFvQ5Mqa5U3FiUnJhQVJsWyU0rG0YDQluP7QrzbmSpuynRmTzE8Ikk6gkAWd2Xev&#10;OLx52mJyRDCVEXXK5l5R83RLkSvr1s5vOiAekA0nZ1jlGmbOsMo1SE6MGEcNX8O5GYsfvu2QsGsT&#10;uFUIM4n7sxsVPnno8bVzDu+ft3F93WLEJtjJKX58rcLGnm5pxeoEjVl58s4Zm29ctEk6osUqnahF&#10;Q0S4OhImdPVtFMOf3XC5tezjq/YdatNVbcZKF49bTGTMbGm4OkU1cBr3wzQqf7oxPLWLos39lpxI&#10;+Hb3G7LQEu0Ut2HmdArf7n4/nHbcTnkJww8rp1Gf6Zx/wXhacHbOJlty2S22f2/bXQ8VobkTNu99&#10;K8XZSw6WJZoUK60V1SkUIasxam0saemM5N1vphgZlXzymxI7m/6hKlmtz8ESRsssVIwV6O1zNl+/&#10;aPPRbbfOSGpLwesnLf70LYdH64p/+KzCawsWf/auw7UHPj+5VmFyRPKDt20+uGDz29se/+J9h/PH&#10;JX/3B5cnG4qHaz57BRVZf9xYQLUHrhHYEmbHBZcWJCVX1z+AYMZmOy9JNOQsaQuSjlFKErb5Q0PK&#10;gXMnLL5a8rGkYGbMNKkr26p+KR7GcvXags3333ZIOrA4LREC/vw9h5kxyequZq+gmR0X/NHrNm+f&#10;s5BC8Gxb8W9/WmRnxczAFSqaj+96zIxLfvSuw29vefzqpkvJg2JZ8+Zpm9F0ghtPPH5xw+Ubl2y+&#10;dtHmk/sed1Z8wn4nacOHl23+8psJko6gWKm1qGMpQToBP3jH4cPXTWFIIRhNwYNVxb/7eZnrjz3a&#10;rR6MEeNFRuPg4LDDv4ycGDGOAlqb1SfTI5KNrGIjp+pGXpmE4PxxY8GxEMyMClIOLG1pXLemjVkS&#10;jk9IpscEYynB2q5Gtk6yLYQ26Z2YEKQSBAoRNKtWgeyt8lP9b5SzibTgxITk4bpPvtxbm5NOQCZR&#10;S78qZzv5D+n6fvdivPjo1sp2EE6/aQggZcNoSrJT8LvSaOqss2hm5mze/aZRroQUDeN1hfYqeDub&#10;+Pk9AOyxSazxaYSdIKz9Shu969LVBEpp/vCrEnuHaMnquAerWNH85pbHn3/g8P4Fi0xSUAnKQgNJ&#10;B15bsKh4mp9cc/kfflzi3/xpivcv2vw/H1f47/+uxJVTkksLGRxbMD8leX3R4vOHPv/j35dY3VU4&#10;NthS1C31i+bLsSCTFCQsweyY0UU/ue/x089ctvK6qpiFjZ5AsJFV7BWDlciBRef9czYfvu6wMC15&#10;/4LN4rQknYSSq3E9sIRRvk5MWghgfVfXPzABnge/uOny1VOfpCP42x8msSz4u99V+FffTHJ32Wd+&#10;WrK2o/mHT1yyJcXxSYsHaz7rwWybwOyJWt3VbOwqtnKan91w+dUtDyGMrOMZwXbOKJ+fPfA4NiG5&#10;cAKWtxU7RXOCOBiFaXJEkHDg2kOP28u+KbtguqFxLi1hC75xyWYsI8gka+G6wSAGefHgcwAY5kJ+&#10;1SvZsHKGVa5h5hwgjehG9SPh1FMH0nYqrRFC88UTj4/ueqQcs2k/X4HTM5Lzx626idRCBf7hWpls&#10;yVic3GDc8YOrDpdOWE3xdyuXxvTz4bmyzTGEaBVTY4epI//rrV1dyaZNHy7ajORepNd0P4vNMHAO&#10;I/xhcHqpqwfh9CNbFG2tRz2GbyuXEK0NK11kNjMqufx2gjOXHKQl6v07aIW/u0Hp4U3yX3yEu/4E&#10;NDjHTzH+9R+ROn8FYScj4U3bcvlqguyu4vofypSLurWS1cMLownOwWod1gj92QOPnbzmyimL8ycs&#10;vnziIaTRhkaTgtcXLXIlza2nHmMpwRsnJbt5za2nPukkXDxhcXnB4ssnPrNjZvbplzd9ihVNOtFh&#10;7WWQuYUpyY/eTXDhuEUqARfmLUoVjWMJSpX610wISDjw6T2Pn1x32ciZQrKlUQQ/OG8xN2nWdk+P&#10;mmV1Zc8sYbAt88DnJgRlT7O212zB8oHHm4oHG4qMA3+VTWBZmo2s2Te1vqd4bdEikxJICTt5zbvn&#10;Bb+4qdjMaWyrpkWOpGBh2iJX1KztKASm4ZeYpYiWFLV9W6L2F316GihW4OGq4qefu/z2jhcJo4On&#10;GByXp01H5fnw1hkLNzZdxXiJ0esAsB9l+2XjxIhxNKitNAkdQrx72iaTFPzzTbduWY+ZFNXVsOMp&#10;wTcuOixt+dxe8SMDqcOo4a1mGGvxll1NxdOkHFHbGtGGE/axB1FUdMP3xnCN5P2UjFbc7jiNVr3G&#10;sLXp7HbQDZ+tRqaqcYzSGCIoakW41UOgI5wwTJPn5mgeWgww652tRVKNTExHIRrTqIarcXVD+Gg6&#10;7cu2u9G63j9IUzrdoh1nP+XqMNLoFaHBREpYPONw9pKDnRDoxmWBlRK5z35O+frPUOUiWhnrlv/o&#10;FkgLa3ySxImzRHOpNVi24LW3Ejxb8lh+7LXcx9WrvE0WrOojF6ahe7ql+OKhx9cu2bx71uL6Iw+k&#10;mXk5Pil545TFVlZz44ni2KTktUWL1R2fOys+SQdOzkrSCcF2TjM1ZtZI3n+mKFYChaNBoEacmJR8&#10;45LN1KhgaUOxsqXwg4zbdq0ma4z3vjdPW2gFH93x2MiZJqDiwY8/rbC2q/iv/1Tw0Vcuy9uKv/kw&#10;geuZDXGOLbAEHJ+UlFzYLda/aaFslg2OMGnZFkgpWJyRpBKCQtls3hvLKL5zxWHuqeTMnIWKaGrh&#10;DNrMqOTUnKRYMRar88clFQ+yRYUlTSUKFaxWcggBnq+598zHdWE7p0k60fakvjS1Norbo3WfsqtZ&#10;31MtG6Z2GMQg71UbfA5ihrIJw1zIL3glq3s+A+d0rh29pvN88/JicvpJow6i7uPoOPXUI+dEoYGE&#10;BW+cNCtifnvXRYnofV3Xh01kzCRu0oF7dc6aGiZXe5RhP6bWJr2lTcWbpyxOzlidlbv2M9VtZQuH&#10;2FHlojFSUf1fH48U1I63CQfyguo5PFFxBGDbZiXQXkHXuRUHM7kcbjHQ2kzuJmyqjsLq0tRmItqS&#10;9bqLr8zkbXjd98OJ4lputTaWyHCQbEszEa2UkUcEYT3f/GltJtItq6b8hNa+Wpja+xZ+FwJG0oJc&#10;CbRqVhgBxjNG5opv1DbPN78FkEmafLuB4zXXN3lPOkbW0CGbYxv5yxWTT8cyPLN1RVTHceF5T2ay&#10;XFR/K228VUfdhKccE1fZNfnrXg0LUastvbwTouHzsMN35oju204No+OSU+dsxietJuUKCX5hD39n&#10;lUtzeSZHYXVHUigLlJKUco/xN1fQcycRllNHVQompi3OXXbYXPMpFsKJhC5lqxcTaDgHq9XMR7Gi&#10;+PSBz7evOLxz1uZ/+2UFrY2l6PVFi7lxwbUHPsvbiu9fdTg2Ifn4jke2qDk1Y3F5wSZf1qztKham&#10;JbtFzWbOeAqq+IG3D9FablOpBbmi5tdfuXx8x+PrFx3yZc1Ht12yJW0qccCfGZP8599NUvbCWQ7T&#10;6Cjg6Y5ies1nr6BZ3lY83VS4gQtzX2mcoJGZHTNvuedTd6ia1mbP2ZVFi3PHLVKOYGHG7MH62iWb&#10;8QzMjUt+/qXL/JTkX7zvIIRkdUexulO/GVdKODZp9pG5Pvz1h0kEZlniP3xWqTZgvorMnFQfTq3p&#10;9DVs5RTTo6YTurxgNT/IhsduWWb5Yb7Uegqs9/mV3jn9pNGO/yoiLrMXH+1mlrt5bwbJOao0+kln&#10;2Dn9hn8VONHfFd/03wjIFmFyJAzRkILWLG/DP35eYSevqgPOaMwd9JrWsoj6a205WrOdVzzZ8jkz&#10;18VOr0i8vfSDjYPO/Xjhyp7TxySObRhShI46jIK0nTMTrgvTgpRjlIDpMcGFeckn93yj5CgolDVb&#10;Wc3FBcnrpyzuPDXjgnRCcH5esrSh2CuYSWNbmslnPzjPZmJEVid0tYa1HbNqaWpUcGxCsJXTTI0I&#10;5iZFVTGreHDnqaJQgZMzguNTEtczXp/TgddkW8JuXnPziU+uBBcXJfPTEoHZ4lDxzJhvM6u5/sDH&#10;V2YslXRMqSmtKVfg21dsfvq5S75oys0LlpjKYGno9962UQrWdk2J31tWbOxps53kos1uXrOdU4yl&#10;BfdWFFLC1TMWWznF3WXFzJjk8qIkkxTcfuozlhZMjkiKFc2Xj8xKookRwfkTZnIgX9K4PkyOBMvi&#10;BOSKmoerxmAwmjZynZ6TTI0JHq0qdvIaS0AucILmt9mqNAirkm74oaHluL3J0tdnOq2ooUO26VmL&#10;uQXLLPNtVLCCCDJJeHdB8Y3LHoWKoFQx1s+bS5pP7SxF32tSsEL64jmHW19UKBX9Oidw/fSFrZ1c&#10;EM6CCDxf84d7HhVP8845ixNTkqVNRdIRvLZoUXbhxhMf39dcnLfwFNxdUZw/bvG3f5bkg4s2t5d9&#10;bj9VvHfe5viE5K+/leDMnOTHn1RY3lbINusEhTAzLzoo3NlxydUzFvmyZiunKLumIFOOaUimxwQn&#10;piT3n/m1symCDEkhsKSp3FIIk6Yw+VPazD5MpAUz48ZjX9JpLi1LGvfnf/PtJHOTgu2souDC/LRk&#10;O6c5PWfxy5suqzuKf/11hwsnLL54VGG7wYmHbRll7NikZH3X3JufklxaEHz6wHgulMIoUEobRU83&#10;PD2NaYzOzFr86N0EFxcsEjbs5hXFcuuHL4KT6m4u+aztaTZzfn9v5yEi2hkdJadfHOWApNXkRidO&#10;Y/huBhdRbq+cbuV6XpxhwUFkbxxY9c/pnHq/6Qzi3XxZOP2U8auCcFZ9LGUmMVf3jF1hdlwyOSKi&#10;gaoTjDNjkr2iZnXXjKKOTUhSTjiqO0Apt5nQbYQZK1DdO30UzzV6yGtz/CLyPyKXBW+fsxhLm5n/&#10;8/OSnZxic8/EceORz17B5+oZi4UZo6AUK5pSRfMXX3dI2IIn64onG4qbj32unrU4c0xyYV7ybMso&#10;MDOBI7HlLc0XDz0cW/Ddqzaer9nMaiYyZu9YyoGKC5OjZs+4r8x46MQUTI0JZseNIlbxgvOPCh5b&#10;OcW7F2wWZyR/uOsxPy0ZSZkVSjNjZkXQkw1FtqB545TF1KixvL120uL2U8V4RjA/o/nqiUIqzTvn&#10;bRamTVpLm4qnG4rXTkme7Rir48qW5sGq4swxQTphtl68dtICDcenTKnbFuzd8pmbELx+UrKV0+zm&#10;BVNjgnTSOCo7NSdRCiypuTgv+c6bNiMpwcUFs/rIluaonZGUzeq2UajeOC2ZGhV8ft/MDrxxysL3&#10;zUPdzinWdjSXF42CmytqUgmqDtQqnlnddGfZ51c3PPYKnZX31rWluW6JNt87cerCC40lNZ6SdeOJ&#10;2oG/CoHA150kitqtauei7feO2Q5MzUpGx61m14VBBFZqlDPnxzmVFiQdU6YIDUIhbFhxHB61cVmu&#10;FYxPWkzNWmys+ShPI7uUrT5vgbytLka/a+DuM5/7zxSnZiVvnbF4vOEzlpa8ftIiW9J8+cQjkxRc&#10;mpds5RR3VnzePG3xH38zwf1Vn//ztxW+fOzzrTWbM8ck37tqnEx8+diY4K02E0QCcziwFHBx3uLN&#10;UzbvnLUouZrZMYHrG3O21rUNaSXXLGssuY3DD/NbB7MHYSPrKWNFSziCuXHzMoykjGvzpa1apRFC&#10;4Cr46LbHexdsUkmLf/uPZZ7u1JQn14MHaz6z45JcWXMiI1jaNGd8yWoezQOruLCyqbn+yON//UWF&#10;Dy7Y/PBdB0uIqmldYF5aS9RmX4SomX5dH26v+EzcdBnPGLP+f/jcZWlT1ZYPBA/RtmBhWpKwBTef&#10;+KzuqsBkvX8l6QVHxWlsVPrhdINh5bTK/76zsAOQa5g5L5KiN0zvWrcdcLswR6n098vpR7ZeOaFM&#10;/dTPl53jKzP4vLxgc2rGrLQIV4gkbNOXVVxTghVP40hzTqWvACHM+EjAaCoYrKtaWj1Bm7FW61u6&#10;mgkdxC4ws5sqGGNA2Ge2UKcj0/fdyaXrNazWIeriC5ff/fj3LlKYCdh/88MEn933+f0dD8cS1THN&#10;l48V+bIZsGeLcPupz1tnLSwJNx77rO6oqgXq2n2fmXGJ62lmxiRfPFQkHGMperJhrIdTY2ZbxLMt&#10;xQcXjRtmKTD72H1IJ8wWkDvLipQDEyNWbewiQAlT+NmiiWMkZaxVtmWe517ebBvJJHX1uStlnK3l&#10;S1D2NPmSwrFlVektu/DlI5+1XcGHbwh+/oXLu+dt9gpw5pjF1bMW//7XFe49gx++51TrzeyY4N6K&#10;WU6nNLx/3uKLh4pTcxbHJiUJx+zB9zyjbI5lTJ0te7p6FupW1lj7MklBuaIZyRjnLB9ctPnNTY8b&#10;j30ePlOsJgQ//8JjekzgWFAIPE26Cjb2FBfmpbEUFjQqZ86bdSyTfx3I0KrH71fhP+hEgRBwfDTP&#10;bilFtuzUieZYPjMjJbJlh1w50XF8qWl/Bl3L8FqTTErGJi0cp5kbQqbSzJw7zZg3BfpZ1UKjAT1+&#10;Ap04BjLRtg+xHZiasbAtUF53srULY0df4FYvs9aCbFHz2QOPSwtJ3j1n8/efVjg5I3ltUfJwTfHV&#10;U5+FGcmlBYvH6z53n/ksTEuyRc2vbnr8f5+6aA3/0z+W+P19m7/5MIEtzYvTaaWoAOzAQ0ihbNbJ&#10;llzN2q7m84c+G3uaQtkczpsvaTNL4xmT9m6h+YwMiGQy+PQDZw+Obdy/j6aNgjU3LpH4dW7MPR/W&#10;9hS2BU83Tb638qra4CoFRRe2smavmGMJHq01q9llT3Nv1efOsk+xQvWQY6VhNG1cxU+Omn1Zuxds&#10;zh+3mB4VLE5LpkYEOwXTMPgKVnYUz7YVu3nN3Wc+/9fvK2zsqTrPRFobS99ffiPJzJhgM+ezW1Bm&#10;3mDQI8kXDMM08D0oZ1jl6pczbOhm0N/YKQwzp9vwnWZVu+Hsh8PiHEV+YuwPKQRre4qbT30SVnRS&#10;r1Yr13bhyaYCTD9mW1SXUoWKixCwUzDLpfaKurUHsi7QXIc0hTJs5hSuZ8YNSsFWXgUOrzQJWxlP&#10;iEAmJZgaMZOVdbEcoLJ0U9+icrueUQi1NpPErhfsmQr2bUsB505I3rtgsZ0zR8cUy5LxjCBX0rx/&#10;0eLmY7PaaHJUMBYcciwDzWVxVmJJmB7TlCsWq9uK+SmB1gIvmDAWQTrhBPnEiODygkU6Kbj91GOv&#10;oMkkNSMp45Cs7Bk5JzKCcyckZ46ZlT8rS2PNAAAgAElEQVTru5rRFFxYMB6cV3eMQhcWiGMJHNss&#10;l3Nso6SESxWV0rx+0uxlD1cCvX5KcvOxz2f3fSZHBJ/d95HC7G/68rFiPC3QC2b8GSp2jgPZouba&#10;fY/TxwSFkqkTmZRZAvj2WZtUQpArmsnqyVHBWAbSSbO1IxGcQ3pvWZFJCh6sKqbHzFJLgPcuWPgK&#10;ZsYlo8EerdCByucPfISADy5aFMqaR2uaY5OSiRH48rHPtYc++ZJu2/5FRnptrxwWx7yKgoSlODu9&#10;y/3NCfIVJxir+5wYzzORKrNTnIxMtLSr3bXrXU2YaXASgnRaVCcXWgYTFg/sq0zpVV5zPyKjdtAI&#10;8tYM1+zvsWqdQQvZNj0BjI5JLMsYb0JjzD6iVbnR7x3dtIeoeJpP7nn8p99N8tZZi9lxs+dnJCW5&#10;teSxndN89w2LmXHBf/jc7HOyJbie2XtVdjWWFNxd8ckkjUq1nTfe90QL61VVQFHbOPjJPY+nW4qR&#10;VArHgo09zU7eWGEsCWMZoxwh4NmOIl82a41rhVP7X5vB0sFSQrOZ8tiExJbG2cXMmERKje/XKyqL&#10;04LXFm1KFcVff5hEK/MAUglBvqT58ScuD9Z8trKa8YxmM9d8BJvSNQ9FYT4JZnlmxwRXz1icnJF8&#10;54rDawsW89OSYxOSt8/YXHvgky16BFSmRgTvnLMZTQuWA6VubkJGUjPlmbDMMsoL8xYX523ur5uT&#10;56MVZ79GvtX9XjnddiS9pHGQdF4EzrDKNUjOfuFbcXoNH37vZCHpxOknnUFxenmnO6EfxWM/Trfl&#10;fFBOK3TiHFaZhZxWbdqgOIfZ3vbaD1gSnu1q/ukLF1tqqt7nAo8MZjkR5CsaKQW3V3yWNn3jrTiI&#10;XGmzVzrcm1yqWxXSe14aPeCt7vp8fM/sHQ/fmWKgFHzxxOP2irmogflJydcv2hwbl3XxiA5vaOt3&#10;s3MN6vgcRP04phpOgAg2jlgSdnOabEGTL2p+e8sDYZNJmIlg2zJjlttLitlxweyEcUYmgFRSoJXm&#10;9rLPVk4zmhFMjko8X7OxJ9jLw2gGhDDOMbJFzdqORuDz5hmr6lDj+BSB8gbbG4qSaxSotR3FiSlJ&#10;rmicdXm+YCID+bI5hsYJFPFsQZNJmFU94TI8zzcT7n6Q/5lxwWZWk3LgtVMWm7uKmXHBldMWm1ld&#10;U9YwVtKnBc3GnkSjKVaMP4GtrMb3NeMTkrG0YGpEsL6nKZaMl+ak7fPhFZudgkKpwAmFBzs5Y127&#10;t2IsVOdPSNZ2FBVPc2HejN2yBc2V0xbFimZhRuB6RkEolo3sD1bN3rdcyexl2ytokrax1JUqZq+W&#10;r2oTE/v1A22qy6FwwuOUHu2Mc356l7NTuzzYmqTiS06M5ZlMl7m/MUGx4rR8PxtT6KVP04C0BJZT&#10;cxTSUk7ts+Om+GXufR6XbM7KJTwtuS8uspx5A184WLaipfIRROgkarf76QfCa3bnV9wE9JXgiyc+&#10;K1uK88cl7551uLQgKZTN8kBLGnfs5Yrm1lOj9EyOGvcp4WHFFsaE/NqCxek5yU+vuewWVJMFJVpQ&#10;RsEyFqyiC3sFs/Hw6mmbH73rUPFqszUa0MrMPn1022Mzq2oH72KUqNCbzMSIwFcCxzamf1+ZZQqz&#10;46bBcSyznlc2WIFsCZcXbITQPFpX1Y2VI0nB1y/bbO4p/v4Tt6rwmUMEW5ewgOa8azOLsrSp2cqZ&#10;jZ53l32unrGxLMHjDZ/NbM19vCXMWt0rpyyOTQreOmOzMG1qRbh2XGuqhzWfnpPMT0lOz0lGk6Ku&#10;fDqh1xezX86g04rxaqOfTucw0uz0+6g43aBRAW4Xph8FozGNg3CGqcy6waDatGFsOzWm/5nMCM4f&#10;syJWn7qeHtfXZmIypzg+JTk9Y9XNUG9lNffXfc7OSkZTgrurpn+Pnp/ZDUTkL4rxtOTicYtixdzU&#10;Gp5u+WxkFYtTktkxWc3LRMZMVnar8HZzrxsFOAwTlouA6KrEQL5Q2TKd/lhGkEqa/eLn542FaCwj&#10;EUWN0prtLHxy1+M/+ppjDl72CZwHaCrKWGRWtjRjacHNxz4jKcGNxz6n5iSXksbKtZNTLG8qckWz&#10;fK5YNh4LtYakbc7p9JRRZFKO4Nxxi8lRScnVjKRgKwu5kubSoiS/Bhu7imLZeEV+tqOxLbN/LJPQ&#10;bOdqzidsaXLqa1MW2znNz6677OY0f/qOw4dXHP7v31TwfHAc4/G55MLjdcXtJQUS5icFd58pciXj&#10;6OzyolkieH/FGArG04LpUcH0uBkvFsswkjL79B88M1Yq2xIsrSt2ckape7AK+ZJR0J+sK/JFs8pq&#10;r6ApubC1Z5x6eL5xcpF0jAOPvbxmatTs6Vre1NVllBMZY1FrtdpItPgVbZ/3nzjqh2M8ID7YGuf8&#10;zA5npnfJVxJMpcs82BonW040bPupTyMaX2/tT+DMRTceBx6Ryy1R3lqnuPyQ3LOnFDIJpt78HhXP&#10;59bNB2TVx4zMnyE9fwpnfKqlo4twQqc3yVqj7R6s6EWtw2V5Ht9/y+H7Vx3ePGWxm9d8+dh4ULm0&#10;aDYG3lzycSwYS5mZiULZuKH0hGYkKTk5a9bPPlxT1bWorWQwS3BNpUaYU5/TCcHHdzxWtjRn5iS7&#10;BfPiLUxLtvKaraxielSymTUeAqNIJwSTGUkmJfjgoo1SmrG0rJrYR1ICxxKs7xqz+/SYcSNaprb2&#10;2rGNwvRP113+j1+X2SmAFJr3zzucOSb55+sut5Y9FqYtFmckcxOS08cknzxskUdRfyUcuGzlNLmy&#10;x5VTFv/8hcuvv3LJlTWZpOD6Y58nW7U9X5ZlGqytrMaxFXMTgtlxCyng+KRgekzybFuxla1Z+pa3&#10;fLKF2qHH0Rm/bpTtxtn9XjlHmUbjtV4xrJxhlWuQnEGik3ztlLJhLru4vj1fTjcDlpeZo5Tm5LTF&#10;D95yqnutqmcFYSYuR5KSn16v8NGe4u1TNh9ccCKWB82NJZ+HGz6vL1pcPGGznS/zeENjRc4c7qfv&#10;CEPNBA4Zwpdbafjorjln8vVFi9cX7Tp32o2HFAtovNiQwuH0a1qbcUioXChtLFEJx4xxbEujEPie&#10;ycPDVZ+9PHxw2aJYUcxNSO6t+JTdcGmfCV/tn4XZI152zSqbsbRgTWqmx4wDsJGk4OwxSSZl9naF&#10;7t9HUmYPuBQwlgHXE+zkzSqdXNFYHfOBN7ypUcH6jqJQFly7b8aLCzNmyeVY2ihWvoZTs+Yom5lR&#10;wfWHipSj2M4ZJxtvnbXYyVvceOyTsATjGbO94swxixslH08Zi1aohGcSpvwmM4JTV+xAUVTMTwpc&#10;L/CQqAVfPfZZnJE83VSBp2jBh1dsTgZLJucmBDs5c8zN3IRkYVayuqVZDMa1StUmtR+vaY5PKhZn&#10;jLfopGMU2NVtxfyMxPPNksl00iwX3Mlrs9c/qPeuD9mCsdz10yA1WnMPixPWS08LHmxNcH5ml5lM&#10;kXubE+wWk11Yrprj69R2VpU/ofE9TaXcPLEgAL9cIP/kLru3P6e88QzXrTB68RyX52dxPY9rn19n&#10;ZWmZ0soj0gtnmHjjPdLHFhFWoindctHoLe0OAd8vPyG6WiIoMHufrj3w+YsPEnz/bZvRlOCzBz4P&#10;1hQXFywunrC4vezzeN1UzIkR8/I70lhZpBTMTxkL1mZWc2vZx/N15AC/1ukmbPM5Ny45OWMcbNx4&#10;4nNqVrK8rVjdVpw+ZrG85XHzic8fv+mYQ3rDBxA0SO+fs/mzdxKcnhWs7sCzbVOAShuT9dy4OQT5&#10;2Y6iVBGMZwSZhCAfWnmEUcR+cbPCz28Knm75eAomR4wFqViBX9708Hw4NS2ZyJh8nZqV1U2c5lm1&#10;176BqjMLpbTZrBrkoe45B7XO8+HmU4/lbYVj1x6sbcEP30nw3nmbn1xz+fiuWzv0TpvZop2C7vrt&#10;exkH0TFiDOOM/6ARK2yD4byqCAdICcdMWN5e8bj7rLZmS2uYGRN870qCVLD0J9xGUO+9T1etM1IG&#10;e7MjaXSL5ve3NqTUkVGbDlz3hkpRuAqkerFpDr51f9pZtsaOvZOcNQvVyRnJwoyxqKGN0nN6zuwp&#10;kdIM2r9a8qsz8Vs5xfqu8Uq3ndMoLRhLm+91XgyD8BpI2rAwbpwvPFozlppiGR6vGQdiSpv9SI4N&#10;u4ESEJ5XZUvB5IRACMWjNcVWzigQWsP0KNx75lN2Ja+dtIy8frjUzihPrg/phPGOWAnSOjEl2Mhq&#10;UgnBNy5b5EqaU7OC5U3jeCPhmGWCC9PGUdnkiOD3tz0+uGyzW3DJJIz1Y21Xc27eYiQFJybNXvdL&#10;C5JbTxUJCzylcSxT+mVP82xbMzsuKbuwsqV4/6LNz697+D5V5xZfLflIEbi23zTLLS8tSla3NUnb&#10;eAIsVTRJxyzB3MppTs4ZZcu2YSxtnluhrEknwfMEFc/81tpY+fYKNVfzwwAzlBV4vuTexiQJS1Fw&#10;7Z6UK9G0ULcZje9BpaIp5BXK12YJcbBHynfL5B7dYfvLj3F3N0FIpGWzurXDxs4uO9kc29k8Qloo&#10;zyX/+A66UkG8+y1SxxZBWIHhw/hSyO4qfK9zb9/No+hKwQKB78O1h2aN8rnjFjt5xRePfAoVzRuL&#10;FuMZwe1l4zwh9FY3OSL48/cc3jpjIYRxo/7GSYvf3fG4s+Lv+zDCw9zAVMAzxySWbczWoynjItSy&#10;TAVOOYKZMcmF4xabuWqziEaQdgTvnLW5NG+W/f3qZoU7y4r/6k/MOQw//bzC+eM2/+prCZY3fXbz&#10;grPHJRMjgvVcrTC1ho2sJp2A+SmLhK1546TD967arO5oFqclO3nJ4qw5L+LxumJ+SjKWFGw3Ot2I&#10;PLs63UmAFTxk39fV/Vmdno0mMGmGuqAwv8269YbztDCmcuNms791ub0iHpAdPWdY5RpmzrDKNUhO&#10;jBhHDwHaKE8r24prjzyOTRiLwLNtxclZiz+5ogl3Z5n+TLOxp7CkYCIjSScExycl6WDpWbueq/t3&#10;INJhtr3fGKJ9eF33rbUUjVe76XtbqHGkEuYAZpOS4NaSQmMsQxAoOxJ2i5qKL7izrNjOuUZhFUYZ&#10;mxgRrARH5CgF21mzFC9b1AihKVYErmd+VzyzXeGLh8ZZxGunLOYmzST2bl6TSZntFas7Rin4/V3j&#10;VbpUNlaZsyckm3tmL1TSNnuXsgVzBpdtCWYmBVOjonoO1eKMZCen2c1rHq8rNveMK/ORVDAWFJo/&#10;3PGxLLMv79N7PrmSZnVbcXnR4uKC5OdfeCxvKn7wrs2ZYxZ7ec3tp4rjU4K9vMn3zLhgr2icWUyN&#10;mGWAU6PGkcfjNXN+6URG8c3Xba4/9MkVNR9ctFBKc/2hTyohyBYETzcVF05Y3Fvx+fKRz8V5i5kx&#10;wcqWYmnTnK9VrJjzuu6tKPJlTa6oKQfeAucmzP5/jRm77eSNYjWWMU5HShXYzPpVy1a3daafetYT&#10;Rxjbra8EBSX3Vf6a0qhe6O6dEUJQKWv2thTlkiY9KnALJbLrK+SXH5O9d4PSxkpVC1Vao12PL27d&#10;Yy9XYGNzm2KpXN2/ld27Qa7iM3LqApnZE4wfn8dJJimVNFvrPr7XUqSe0J0FKxiwP1hT/OSayxun&#10;jGeaT+97gRIEnz3w+PS+h+sL8mVzNtaV0xazE5LpcaNJaQ1fPPb5uz+4rO/ptudfRdMN13LuFsxy&#10;w4mMYCRFNb7QXG8H+6YQZq9W1I2r62t+d9tlY1fxl3+UZHnLOMhQ2sxY/P6+R8WDv/ymw7MdRcI2&#10;jiaq53MEadnBOVhvnjYHC49njNOIc8clvtJ863WHfElzYkqysauNd8Vpc+7HZsFHViVqj9Arj6+N&#10;u9WaAM1hbQteW7D49utOnaxSwPl5y+zHeheunLLq+A/XfH72pcujTdWfHTlGjCFHr7PbB5kNf1k4&#10;MWIcNYSApCP43hsOoynB//7bcrDkPaypxnpV9uCXX3mMJAXfv+owP2XxZ1fDAfBh25GjC9h1Vc5M&#10;UjAzIki23G/VyKnJ3z06r95pBUsKbj5R3His6pSvxvBCwF3fWFYKZXi0bvp6S5pDb++uGO93toRy&#10;BT656yOlX92XbUljFXIDF+EV16RjCbi34rO0oQj1XCF04E7dWM9287WBiy2h5CoqrlFkQmzlNMVH&#10;PmVX8/CZmSiPusEvVeDhqpkc3tj1ebrhkwz2s+eKmr2CuSeFuR+Wwb0Vxa0lc0gxwE8+9UglzH6n&#10;x+uKTMrkQQXGQ61qhw/v5o0VbX23wlbOLPfbzmt+ft2req385ZdmrCiksRJWXLMiaDvnUaoYq9Tn&#10;D3wSwflgXz5S+Mo4b7m3QtWx2O2nZvxZ8eDusmJpI1DodaRmBQ+17GpKld6tVwNboSF675tCC1hP&#10;6QnwPaP87GwpMmMSt1zgyce/Zun3v8GvlGnMgZSCp0+W0UpTKpdRdW2HhqVnSPvXzH3tu5z73g+Y&#10;cqZZX1Vsb/oo1dnLeTforGA19NJ7Rc3/8s8lzsxZ7BaMO1W05pc3XO6t+Dzb0SxOCxxb8IubZj9S&#10;JmGsS5YFJde4N7+z4lfPreqQXFXZUEHlzxaN+8pwJiNKsoLTyn1lXnCzftvMmhVd+PShT8mFH1Xq&#10;UxEYD3szYxJLiup+pZSTYGpUVptPjVFoLpyweOOURcUzbuHzZbNx8doDj1/ccNkrak5MSu4+U9x+&#10;6nN5weHYpODWs/q8icYs6NpLJWXgfCM6YxGpxNEqorRRIKOzG1IIfGVcmPq+2QsXrVd+H5arQQzy&#10;4sHnADDMhfyqV7Jh5QyrXMPMOUAjM6xZ6pdjeDWLkSBYXeHXVobUx2/68aUtn4QtOLNmVff3rO5o&#10;ChVd3VtzULmaYwjiEYIzs5LZMeOSPXRPXR+usRdtvN9ZNgFtz+TqxJPGINjW6hCWabZovliS2mIs&#10;bRSrMB6EGQ+s79UUyzCi0KIYrjQKn1uhTMRteO2ZimBNZ1QuP7COIerHPOUKlMq6Xj+NlEU0rOeb&#10;pX2hPGFaoav46D48s4+pljfXBzdYPaS1UczawThLM2GMy3pTR/cKuqqEFcpGucKD1W1dHbPlg7os&#10;Ay+XxXI0ZrMCLOfV8rWTr5VbrmSURmhVe6gule1GkWlVZ/rhdOL1Gr5nzj4v8/aWz8oTl7kTFsmR&#10;UVLjk/ieR6VUQjQsi9NoisVyrX42JqUrSCdFOTPBakmR3yrw6Bbks20O2uuhodEE52B11yiZkAlL&#10;cPaYOe/qW5dsbq343HumWJyWfO+Kg9JmY+RXT31+edPl6mlzqLBtmQ2Hu3lBVxNQgQImhVEgsiVF&#10;riw5lzRrjpsyIgUTI8al/Ha+ZsEK4bXJ6PFJyR9dNssYy545k8pXIKVmekRUPfGJ4GX9+J7HV8s+&#10;O3nNdt7nW685XJ63+OiWxz9+XuHrFxzmJiQ/uVbh0bpR9OanJFYYT0Tm6hdd+yqFwJLBEkFlGuBW&#10;z0dg5PniiVnTHlr6tDZm53/5QYKvX3L4uz9U+M0ttzpjA0bhKrpBPK+klhHjZUev1bqf1+Bl48SI&#10;cTSodfh2MFD96LaLbZm9JonINK/xfhcoABKyJc3Pb1ZABxaLoJ/LHeAcrGhqrZUkg8kRydQoDeOV&#10;1hwRudstGsdqmhbjgxapRa+3DS/qrSBVuYSx4NRxQoUk/NkpE03xivr4W4RvN4CRjYXWQmEOEa52&#10;2m8Q37jtREQUu04eq2tiiaayqONHZLVELY5osm0NB6Jen6zLdgfZWqvtzThMi9V+ytVhpNErBIAU&#10;lAqaJ/c95k96LJxJMHnqNCOzx6k8vt+kRIn9tFKlSc6dIHFsHk9YPHpY5tE9ieu2q7i9ydtkwap7&#10;6RviT9jw7Tcc/ss/SXLziVmP+9Ftj9WdMt+8ZPPWGZt8WTMzJrBtuP7Y41uXbb531eHZtsKWMDHi&#10;ce2hh9tCQWzMjiXNC+MFB9QVSka6TMJsbLSCza5SGA8to2njhrNU0U0WMoF5CaKNg2PDt684nD9u&#10;9pDlgwOKtTYm6skR4wq0EliHlIZ7q36gCJn1v5WKaYA935ypdWJSMJo2y/BWdhSbWc3pWYtMEvJl&#10;arMQujbjYVn1s0R24MyoUUlsaueDMOUGr0y+Mp5ofGUUzlJFE41KaWoekbrEIAZ5r9rgc4CT4jUM&#10;cyG/4JWsU9t59JzOtaPXdJ5vXl5MTj9ptMKwvjr9cqK8xRmLDyKrLRampZnIxAyGNLWJVYC0A2fm&#10;LLZzivtrirNzkulRaRwlRPY196rYVMcH+5wO3HoyuHEQR/U8zf1DN1+PzLE2SSqq/7vJY6/hY85B&#10;0ogq1t2ghR55BOkMRrbe89KGE8wGdNt2hsrm+jOPOzdcRickY8dOML6wyO7TR2ite/D8p0FIkgtn&#10;sMcnKecEa3egtCeqBp6qiF3I1pQtGs7BajVrEr0vhXEFWihryq4O1pCazYuOZVydu36gkGhjBl7b&#10;Vbi+MfPu5M1hdNHlbG2HBcIoT3ZgzTk2ITkxZTZnnp+XHJ+UuL7N8SnFsUmB1hYpx5iuzx+3WM8q&#10;siXTQEoBJyYEF04YRUoK46UvXzJ5eLyheOOUxVZOkQ1M3zsF4z0mlRCUi9qY8k25k3TgzZM2xyYE&#10;V0/ZxhGHMGcZLMwYxxmru8Zt/LNtxZk5yURakCvXe02xLeO44ztv2FxasEk5IvCQZO77qt58Jaol&#10;JqqWqtOzktcWLEaSwT43zKHOb52xmJ8SfP2iw2RGEjnekfU9zZdLHhvZZkW0bplBu2fTgF45/aTR&#10;jv8qIi6zFx+NA6pe3ptBco4qjX7SGXZOv2kMsh18HhwhAs+1ec2xccHsaMTlbdD/7JU02bJhZUvm&#10;3CCtBWNJeP+sxcN1waMNxdk5i9OzkuUtn51CvRWnK/mFOSR2K2+WGVqyXtHpBqLhR6Fs9nR73Yxr&#10;Griur/F841K8aaDZBsNSb3oq9yHiHFYa3YTvl9MLBmFVOoo0fKWp+PWhun1vKmV4eLtCOiN47a0J&#10;Jk+eZvXGNcrZbI0tmmWoe9e1RqYzJBdP47opVu8IdpdBBd4aD6O/bbkHS7QICALPh0frPms7Fk+3&#10;FOOBxci49jTL6VxPs1swm/nArFktVTQXFyR3lxVaB04c/Hbp1EubLWpcTzM9ZpQqS5iTwT3feK6Z&#10;GjUHHI8kBUqbz/PHLW4+9cmWjJnGknDlpM0fveaQdMwZD9t5zT986nJ/zWc7q5mfSvF0U5Erm0OR&#10;l9Z9HFuQtJtEIu0IvnHR5t3zNikHlrcU2aJpJBOW4NZTn62sIl/R3F/1mZuQJB1BdI1g2TMbPc+d&#10;sPj+2wkyjmAzZw68S9jmRO+yZyxP2aJmPTh8LyqHlOZU+Q/O20yNybrZtnTCnKS+MC2ZGatVCQHc&#10;faZ4sqnYzPqHZr7tF/vWgUPiDCN6VXbaTYZ0y30ZymwYcRDltdfBXXtO59T7TWcQ9exl4sTvWTOk&#10;gOUtzW9uu/XHskQKSwMP132EgJtPfdb2FBVPkwU+eeBVV5Y8XPdZ31PVvTa9QgD5submU3NMzEhS&#10;EFrOamj3BOtVmjD5jZzi4Ybq2stbNTZh9odv5BQpx8KxaqlEv4n6ZGsfuiaRiIZvFrUua/1yIpLX&#10;h2ml5erWeemUBk2XD5Gja5+t8n/YHKHbKP8dyqyZ06acdcO1XvLfktM5L61la8FpuN6J4/pmK89e&#10;qXYma0S0fSGk2Sd181oZRIqZ5HFGJ6cpZ/fqHFk0KrrRnYNCK0Zn5hDOcdbuJNi4B35ZNLUrB+mj&#10;2x403Krtcn24/thnbsLl+iPFawsW67vGG8qNJz5Kw9qOYj2r2Csaq9V23hxQPJ4RrAb3ovG3ayMF&#10;kCsrfnfHQwaeb5Y2fdKJ5lmexkLc2FPsFlT1utZGji8fG/fwXz31WNryWd5W5MqasZRZE/50S5nl&#10;dsDPvnQZz5jzGxrLpezCJ/c9nu0ofG2WEz5YN+Xw8V3POOUoGjfov7/vs5HV7Ba12RwZCLxd0Pzk&#10;c5dbyzUlZzevubvik0mIqntPX8GtFZ9sSfNoXSFErWH3fLNkseQaq1q0VDRh7W42Fe8WFBuBM49O&#10;fdRBBoyHzWl85v1wusGwcg4j/696mR0V5zAwTO/afv3AfnF2K1fYN+/XDh0Gpx/ZeuX0G74XTrR+&#10;vigcKcx5kp898msBWhBNdyVY2lIsbVHd9/zJw5rm8mi91m/1swcr9Ij8bEexsaewLRqOT2k3YgwF&#10;bx7VVzxq1quGMXFHWTD5e7jho7VgMiOqe6mjaDfe6ZRGK85+MjWGGVZOv/nvh9OdXJ3qTDtOr+gt&#10;jUZOP3nplxOm3A6+Ng7zlrbM2LVxK0+3EEKQ29Pc/LTMyelJnJE3OH7SIZXwqr4TGnUDAmVOacgV&#10;JWLsCpsPp1jfFLjlzu1+X33h4t9u6fBGx8IJbiYdGE8Ldoua0aRZEpgvm5mgdCLw2uKD1sa73nja&#10;OKUwA36zTG63oLuuZGEjGh6A18TpIHT0liXNoccIc75D1JOeJc1ab1cZ5QkgZZuD8xr3L4Xxijbp&#10;hrNNKnJLQss4qjNDje+OaP08Wr5eDbw2kwnt020T3csw8H2ZOMMq1zBzBi1XN7z93s9h4nQbft++&#10;Yx/OfrzD4hxFfhr5w/YODCOn13I+jOfSyNGRG90PDRvl0MFvUbekqFfZtDbjjZGkQAYDnvCUq8Z0&#10;miUNQ4gGTu1qK04txoNyOstWeyfq02illoh98tIPp1Gu7ji1UCJyvX2Z1T+v7jjt0wljbC13Y7ph&#10;KFH9PAgneq8+BHXfWkvaaolrM0dp4wm05PbXPkchMO+PLXwmU3ucmt7mzEyB2dEyoymfhKWwpGH6&#10;SlDxJLmyxepegvvrGZZ3Z9krj+Fr2XLcfdA2rXsFK8gI6MAjnaju3wm54SbP0HNHqClWN38KYRxN&#10;RBw6tBO2Kk+DUE0vmA5+t4ksqpxUxYjcFC3uRbXf8HdUlLofou6jqQyjZzu0jaMNWnFaKZid8h/e&#10;aid7U6fTIaq2HVUPnG471F7SOFmxiOIAACAASURBVEg6LwJnWOUaJKcb9MppF75TPAfldPtcO3G6&#10;edcOwiFyrZc0XjZOL+1geH2/Pq0xjnZyHTbnKNv0o+T00w8cNeco8q81dTPuwZR0hxghqijU/2+P&#10;XjkiImlNIemeE32zek1n//z3w6kv4eEqM6rMdhxRF6b2vVnOek77PjiqBHZuN7tpX1txmvjhuFMc&#10;XptudBFBytHMjrqcmCgzO1phPO2RsBQao1xlizbrOYeV3SQbOYeKF5yrJ9qnc5D+1m7/yFtEJsxj&#10;CN18ImoRS6Bx8aLGWKAaF6k1duTt7oUPoWPHL1pfb8Vp5cwheq/ummhfsI1yiYZ7Ohp/m3hE9V97&#10;eVtyItANFzs1+HWVvNuH3ka2o+IMOq0YrzZaKRVHwWnkd/rdDaefdHrhdMrffh1it2kchNNPmR1V&#10;OXeDQbVpw9gO9irTMJfVUXKi7sCDK10ocqIpfMv+vi5k42il80D65eMMq1yNaM3pjM6c1spCPadx&#10;hWovk0ad0u4mvv3QiWfeHU2xAo82HR5vOdhSk7CUOcMMUErg+gLPF1WOELp57H+IsrXdg3XQiDvd&#10;65Wzn1zPizNMcoVKXWMDO2yco0yj8VqvGFbOsMo1SM4gMczlENe3F4/zIvVpw8J52fvBo+C87P3g&#10;oDjDKtdB8SqUnRC188l8JSgoq07rEzSflXaUsrX0InhYCb2qeN6V7EXlxIgxSLwsVoKD4FXodIeB&#10;86oirisxYrx8GPa+UwT/RPVHF+H7SWMfdK1gxRhuDHOHEXeyR88ZVrmGmTOscg2SEyPGy4Rhftfi&#10;Nm04OcMq1zBzhlWuYUMPxrIYMWLEeDFQtw/yCMK/jJwYMWLEiPHyYBB9R9yntYZmyBSsYX5QL1Ol&#10;G1bOsMo1zJye09A0nQ/xSnH6SYPhff6D5MQYDIa5DgxlmxZzhlauoeUMa/805JyhfJYD5vQCW/Pi&#10;m+FixIgRI4qXacnDq7i0IkaMGDFiHAzxcsHnB0GLPVg6crNbHBZnmB/Uy1TphpUzrHIdFafXd+BQ&#10;3hnxinP6SYPuOI3PZ7Cczq1wr+k8z37gReX0k0YrDEv79Lw4wyrXMHOGVa5uOP30awfuC4e1fxpy&#10;zqvWD+4fY2dO3TlYusX3biv6UXNa8YeNc5RpRMO96Jx+0mjHfxURl9mLj8ZlCb28N4PkHFUa/aQz&#10;7Jx+0xhkOzisnGHqn4ad04r7qiIusxcbL0o/2C/Hrri6KYCofq+dQl2PaHMwOE49t/ne/jE0/6rx&#10;RItvnTjtQjXL1Y7TTsoap3Y2d7cc3ZCrTpx6uQ7OaVUG9Qp8J5mb0+gl/wfhNOelsbvrjtNcw/vj&#10;tKuXtVpBUx475yWKg3NaSdm62WmuDeZ7u/z3z2l8SjVOY5m1T6OWSntOfQrNnHq05uimMmtd11pz&#10;9mufdPV/51assR504nQn11Fx2r/PvaXTjrN//ttx+ukHRI/5D9Npl4N2bWondOL02g/2w9k/V/Wc&#10;3vvBw+kH+uN0Ko1eOM19ZytOb/1gb5xo6F76zii66zs69Z29cJrrZTtO+7zU3tDu+9v2nHpp+uk7&#10;o+m0zz9Nv3rtO2uSd+LU56VdP9hP31lfhgdr002+Drsf7JUjsL/1ht02kui1/Rvt5wsBSNG6qvYX&#10;W6+5HfYSOmrEZdZ7fjp16M+bM8wYVF172epnr3jV898P4jLrHQcts1exzIc5z4NoawfZDw5zWfeK&#10;uO8cDALV6xdflXXtZ32RGI2ylUbaCTVdeJCwBdjSKFmt0Y9cw8wZBIY5/8NaZv0gLrPeEZdZf4jL&#10;rXfEZdY7XvX894O4nvWOuMwGg7jM+smP2Mx7Vb3poBar5zkHYUtIWZ0UrBgxYsSIESNGjBgxYsQ4&#10;Wti+et4iHBxaAxp8wZCd7BUjRowYnVfbv2icYZVrkJwYMWLEiNEbhrlNPwrOy6GOxD1jjBgxYsSI&#10;ESNGjBgxhgBN52DFiBEjRozDRT9zQMPKGVa5BsmJESNGjBi9YZjb9KPgvBwWrBgxYsSIESNGjBgx&#10;YsQYAsQKVowYMWLEiBEjRowYMWIcEmIFK0aMGDFixIgRI0aMGDEOCRKMJ4xeXbIPMydGjBgxYsSI&#10;ESNGjBgxngdiC1aMGDFixIgRI0aMGDFiHBJs6N97hhRgycDCpANrkw7+GsIKUfsLrykN+53DdVge&#10;nuLzYYaXEyNGjBgxesMwt+mvet8ZI0aMGH27afcVPFiHTx9A2hHMTcD0qGYsDaNpSDlG+VIaSi7k&#10;S7BXhJ08rO8JCmU4Pat58zQkDugsPm74YsSIESNGjBgxYsSIMQzoS7URQLEMP7km+OopHJ8Q5Mvg&#10;+oKEBcmEZiwFEyNQrMB2DkoVqHgCKSCd1JQqgrvLMDWiuTC/vyXroIjPhxleTowYMWLE6A3D3Ka/&#10;6n1njBgxYvRtO3J92MoJ3jyt+ZcfKHYLxkq1mxfsFuDJBvzujuDElOaNkzCehomMZiytGUnBzSX4&#10;5B5kS7VlgzFixIgRI0aMGDFixIjxIuNAi/OEMIrT6TmzDFAr8JVGKbizArsFwfvn4c/e1mjMksFw&#10;39bqjsaSAjSIA7oJ1Jojm2bSTV8aIEz6PSXfB0cLI8ORc4LPXjm9Fv+gODFixIgxrOi1TRtYP9An&#10;p9e+vOc2/Sj6TjH4fkUH5RT3gzFiDDlE3UdPOODup5pjCwFIGfwJyKQglYBMAjJJ8Pza4L3O9boI&#10;GsBhgwYVfDZcri9oXffRLqqeOS0jGQSnnnpk4QfJiRHjeWOQG/KHcbJjmB0SPO8ya9emtczLPm36&#10;IDlNedGd2+de8982kkPk6MgNGXHCddiIOgALISL3+okvRowXEcPcd7QLH+o4QlA3IbNfOgdWsKIR&#10;h4mpUIOKehZsF4EWiIM2F4fYKFblVaYwLUsghYiXMcaIESNGjBgvEbQ24xWlFFoFVrhDVrTCNARg&#10;S4GU8XgiRowXBUYn0Cil8VVgpQ8Urf3Qt4Klg/8HUY00Ai0OFsdhQgNKmQbRsQSWFW0I40YxRowY&#10;MWLEeCmgjUIl0Wgp8ZXG9xVKgzyk/t6MJzSWJbAsiYzHEzFivFAItyBZUmApjesbRUt2MRlzCBas&#10;1upRN0qTqF8s+NyhlDbKlW1hW+aaiFvBGDFixIgR4+VCdamP+W9bIITE9RRK6wMrWUqB0jqYrJXB&#10;YCweT8SI8SLBvLLmvZUSEkJQdjU6shm03Vst+040+NQtNlB1aT3rOexRQmvTINqWDJQrETeG/z97&#10;7x1fx3Hee39ndk8DDnoHCBawkyIpihQlUZJVbcmy4m65xD1vfB3HTnJTb7rvJ8kb2/fmlry5KU6c&#10;2LFj37jbqlSjKIlFYi8ACYIASIIkegdO292Z94/dc3BAkRQAQiXUfD8fEufs2dmd3TM75/nN88wz&#10;BoPBYDBc42TFjyUFtiVzYUFzxQ8L9BN5GXFlMFwbCOHrgkjIj9/TV5z/dBUCCwjmT3HJE8yka3rV&#10;+VmvE1r72Q+lANsKxrRMX2gwGAwGw1uGrMiSiNx0gbmgtB9/aMSVwXBtkX2ebSvoI64wVUoCVx+o&#10;d4m+43LZgvQl31ye1yWIMPBeSWk6Q4PBYDAY3qoIAVL6sTVzEVjZJFnZjMrGnjAYri2E8HM0EDzr&#10;lxMpV+fBukx8nxYzEEWCN018oGJqnS6DwWAwGAxvTYQQBPoKpfWsRZbW2s8aaLIFGgzXLNns4gq4&#10;nOKRMDedk10/QgqwrItC6i7TIQmmFhq2shNMX6Xzmi8NdiVPmA4+NCNNBoPBYDC8xQlsgatZo0oa&#10;c8JguGYRQQrB7DSnS/UVc84iKPDXdugZhbP9EAtDYRRCwWLDIdv/a0sI24AHngeJNEwk4fygIO3M&#10;Tyd0NYfIiivN9GwhBoPBYDAY3ppo8lcGnpldkB14njK4jD1hMFzT6KmFiC9+3OcksDRQEIF1izQP&#10;7xUcOy2Ihv1t1cWa2jJwPEH3EBzshMFxwfkh6BsVjCcg7fhutU1N0FCuUepqr/DVuVI3l98pGieW&#10;wWAwGAxvcfRUEq5ZR/i8GbJ3GQyG15QrJbgAEH3j7py7AdeDoQkYGBMMjMHAGPSN+kJqcBySaQiH&#10;NOVxQXUJVJVoqkugokhTWQzlcYiG53r26VgCYvbs51FpDa7SuC7EY5ZZZd1gMBgMhrcwrqdJZzy0&#10;1oTsmS/ZogHP07ieJhq2CNnS2BMGwzXKZNJFaX8NveycrHyuaqFh24LqEqgp1bkRHk/5giXjQDID&#10;IQsKIho7CB0UYrrHaD7QcxlimnaA4D/TERoMBoPBYLgajPfKYHhLILLxwJfQD1clsLLku9GF8EVV&#10;2IJ4NPicqb9XsXbfa4a47BuDwWAwGAxvTa4mzdYVLC+DwXDNcLknfF4EVhZ9mdevOab/MhgMBoPB&#10;8AYjLvHKYDBcu2hx6afdrPyUxfSFBoPBYDAY8pjVYLG+OErHGBYGw7XO5Z5yI7Cy6Lx/BoPBYDAY&#10;3uJoxGyNgmnWljEoDIZrGX2JV1mMwMpiBpoMBoPBYDDMFSOuDIa3HJdb805mP3y9uoLZnuf1qFs2&#10;ieBVzWc1GAwGg8FwzSBmaxC8IjzQGBQGw1uVWSW5EFxC7MxDkpxLHncOzOUY83JerVFaB3nwxdQ2&#10;pYN1tea3k80eWwiQcuaduApWdBbi8nXSWqO1nnGd5/vaDAaDwWB4czB7A0dchVGhZ5FmOd/WyJaT&#10;cuZBSRefSwgxbdulftvz7QOtQWuFEGJW5zUY3irYMMPuQ8NIEiI2FETAcWE0AUUxCNugCNK1X5RK&#10;MP+tECCFvx4W+GtmjSZAaaiIk1ukS2t/m7hMZo7LcaV99WX2uaokrEFnk3EcDh1uYd3alUSjUVzX&#10;xfM8jhxroWnxIqqrK3P7K6VIZzLTKmRJiafU9NXfBUghCYfDSClQSuXu7cTEBCdOthMK2ay/bjVC&#10;THVuWUF3cefoui4n2zpwPY/FixZQFI9fsgOdmJikveMMCxrqiMcLSaVSKBWsEZZdcExAQSxGJDJP&#10;q0QbDAaDwTAH8o3+eR/MRJBd5XOmR75cuNBMGB4exbIk8XicTCbDyMgYWZGng5poIBIOUV5elhNF&#10;x0+0IYRkzerlfh0CY+FSIir/HiVTKYaHR6iqrCQUskkkkgwNDVNVVUk0Gpl+XVozPj7B4NAwJSXF&#10;JBMpzpw9R2NjPY0L6ud0vQbD64VSKtf257OfuJKGmJEHy3Hh2Bl49piksULTVAP949DVD/dt1Cys&#10;grQDhzoFe04KLKEpj0PIhs5eQcj2bfOldZpbVmpGJgUDY+AqaOmCyZRg01JNxPYXL15Qqakrm7fr&#10;f1Xm6oTTQNupTg4cOspffPWv+c1f+xybNm7gqWd3sGrlMv76b77B7/zmF7j91i2Bt0nS2tbB1/7H&#10;35FKpgBNUVGcVSuW0XKijd6+ASzpT6lVSrFy+VI+/7lPUl5awvHWU2QyGRAwMDDEw48+RTKV5qMP&#10;vYfyslK/IxWCupoqlixZSEEslqun4zg88eRz/O0/fIuh4RE+90sf533vvp+yspJpDU1rzcv7DvEP&#10;3/gOX/z8p8lkXP7xX/6N3r5+tNKE7BAIQTqT5td+9Zd41313U1AQe8V9MRgMBoPh9cB1XQYGh0BD&#10;TU3VG+tNyVlbc3NjffM7P+DwkWb+4Pe+xODgCP/9f/496UwG13UoiMXIOA7dPX3ccfvN/NVX/gSA&#10;VCrNH335a1y3ZhX/5Xd+FQ1IIZhMJBgcHPZFmYBwOEx9bU1OODmOw+49+/nWd37A7//2F1m+fAl7&#10;9x/i29/9MV/4/KfYdP26aXVzHJcnn3mex5/czic/9gFGR8f52SNP8uAD91JeXgrat3FCIRvbntcV&#10;gAyGq6Z/YBCtNGVlpYTDoXkTWVda7W5mAsuDrgHJ+UEYGhMcOQNrGzXNXdA3LigvhHvWa2pKNZaA&#10;kkK4eaXmwrDgTL9mSQ2cH4TKYkhmYNtBwegk1Jb5Hq14FE5eEDguDIzBpqXwwGb/WDNhJrvNdyCb&#10;1hrlKZ57fjc/+PEjJBIpvvf9n/GTnz+BtCwa6mrp7unjme0vcLT5OLFYlPvuvYPyslLWXbeKRx59&#10;ihXLl3Lb1htpbKhDSkl7+2keuP9uJhNJdu3Zx/Ub1lJWWsyevQf5f7/619i2RTxeCPjueeV5/NO/&#10;fA8pBJ5S9A8McfutW/jNX/tlFi9qRClNJpPhiSe3883v/IDbbt1CSXERjz7+NKl0ig+8911UVZZj&#10;WRYAruvxws6XfK9bVSWFhQX86n/6FD97eBttp07zoQ8+SFlpKf/f3/4zickESqt5vqsGg8FgMMwc&#10;1/VobmnjhZ0v8ZlPPsTCxoZ5FVmzjXK5GlvjoQ88yJGjzfz5X/5v/uxPf4e/+tqfcODAUf7l2//O&#10;u+6/mz17D1FcXMRnP/WRad6rI8dOkEgk+OJ//iMAVixrAiH41ne+T01VBWnHobioiP/x1T/lurUr&#10;0VozNDTCCztfJhqNsHBhA5ZlUVlRDgK2P7eLDdetwbZ928DzFG3tnTz59A72HziM9hRj4xN0nbvA&#10;yMgo25/biecpqqsrePCBe9m0cf1V3AWDYf7pOtfNM9tf5LatN3Ljpg2EQvMnsi7HqwosraFnWNA3&#10;BiELJjMQC8HwhKAsrtmwCFrPQ12ZL56KYrCpSbO8HjSamlLB4mqNpwSVRVBaCI2VGoHA8UAKTdjy&#10;RZyUgoYKqCvXvJ5Te3y3ezY+kRn3kJlMhptvuoEFC+r44//633nX/Xfz7z98mE987P0MDY8ihKC7&#10;t5+nn9tJVXkZb7v1JhYvXsj977iTAweP8rnP/iKbN61HCEFhvJBDR5p58IF7GRoapa9vgNtuuZGy&#10;0lI8z6W+vob7334XK1csRQdzqRACgtCIZCrFo088Syhko7XGcVz6Bwb42SNP8vCjT/O227bwqY9/&#10;iKrKSqqrKvn2d3/EhfO9fOyj72NZ0yJCoRBHjrZw+kwX73/vA+x4YTcLGuq4cfNGfvSTx7h1643c&#10;f++dxOOFfP+HP6ewsAApTNy1wWAwGN44YrEoWzZvYHhkhG99+wd85lMfZkEwaHn16MAkmLlBMtcp&#10;WFpr6utq+cqf/yF7Xt5PKBRi777DDA4Po5Tmz77y1yxcUM/HP/YBTrZ10LR4IbZt8Y1v/l9WLFvC&#10;+nWr+b8/+Dmf/dRHWLSwgY7Os2zcsJb/+se/zfHWU/z9P34bx3UAX5S2tXey78ARPvPJhygsLABg&#10;QUM9N96wgaeeeZ57776NDevW+HZMTy8/+vGjdHVd4L577yQcDuOePUcoZFNQEKO4OI6nFPF43I90&#10;MRjeZGzauI7R0TGefW4XlrS4YeM6QiH7NRVZryqwhIDSQk11ieDcgB/Wd+NyzfFzwXysMDRW+sLq&#10;yGnY2wZ9o4Lj5/wQwY5ecFxB36hACk1dOdy/UbOjGfa2CdYshEVVmgPtAtfR3LdR01Q7u1EgPdcY&#10;v+lHmXWsYOfpLn7/j/4Sx3VJp9P87T98i7KyEg4fPc7ZcxdoWrKIr/zZ7/O1v/pbVq9axto1K5mY&#10;mOTIkeMkk0kKCmIMDA5TXOTHW3ueRzKZJpVO43ouqUwarTXr1q7m1ltu5Mlnnueb3/k+qVSKsrJS&#10;YtEoyWSKVCpFYWEBq1Yu475776CkpJhDh5v5xre+x4nWU9z/jrv4yIfeQ011NVIK7r7rVlzP5fs/&#10;epg//NOv8plPPMTNN93ATx/ehlaa48fb2LlnH7/44ffy80e20d55lve9535s26aj8yyjo2OUlZbk&#10;RrcMBoPBYHijKC4u4h33vA2tNf/6bz/kUx//EA31tfMisl6vsd6M49DXN4hSHnfcfgu9fQP8+Vf+&#10;F2tWr6ChoY629k7Wrl3Jzj37eHnvQbZsvp5wOMS5C938/u9+iXAoxLPP7eRLv/IZEPCP//xdiouL&#10;WNq0iEQyRShkg/anH5y/0M2Pfvo4tTWV3HPXrSSTKRzXpbg4zm23bmHPywf41nd+wB/87peoKC+j&#10;p6ePVCbDL3/2Y9x9560APPf8bh7ftp3733End91xK1kxaklJJuMQDhuhZXjzIITgnrtuw1OKZ557&#10;EcuSbFi/9qpF1pVKWr/zB3/y5SuW1jA4LnjsAFjSfx+y4T1bYDwJx84KVi+A6hJ45ohgaALWNEL/&#10;mEBpuDAEYVswMumLsKW1kHZhd6tgaEIgBJzpk0wkYSI1JdhCswzhlQJC0v87W7JJNcJhiZAzH6sq&#10;KoqzcuVSmpYs5GRbOxUV5fzeb32BkuIidu7aSzQa4Ybrr+OFXS9x4+brWbG8iQvdPXz9n7/L4SMt&#10;HD7Swst7D1JQGGP3nv0cPXoCIQXtHadpaW2jIBqjrLSE5cuWsGHdGhY01HH+QjcNdXX81m/8Jz74&#10;/ndRVVlBT28fW2+5kV/55U9y/fq1aKV57Mnt9A8M8bGPvI++vgHGRsdZtnQJ4XCI7//oYbp7+vnQ&#10;+38B13VJpdJUVVZw4PAx2jvO8OxzO7n5pk2EQ2Eefuwp3vfud3LnHVv5/g8f5p+++T1i0Sjvf887&#10;qagoM1kEDQaDwfCGE41GqK+rYXBomBd2vczypUsoihfO6VhKg+f5I66WFLOKqNEalALbllhy5hPq&#10;u7ou8Gd/+b/5l3/9d060nmLt6hU89czz3HLzZqoryznW0sq9d99OWWkJJ1rb+ehD76G0tBjHcclk&#10;MuzctZeW1lNUVpQxMDjEua5uxscneOD+e+ju6WPHC7u5646tRKMRfvjjR9m562V+40u/THVlBQ8/&#10;9hTbntrBpo3rqKwoJxIJ8egTzzIyOsbSpYtp7zzLocPNnOk6z3Mv7GH7jt3sfmk/p9pPc+bsOfYd&#10;OMKzO3bx9LMvcqyllbKyUupqq+d07w2G15KmJYtIJJK8uOtlSktLqKosn/NAjOMqf+6hyCaQmf75&#10;q4cICn9c4rZVgvIizRMHBE21fibB+nLY3w7L6jQFEdiyDBwHigtASs2qBZqwJbhxueLIacF1C/0y&#10;3cNw3SJYUq050+8LtZtX+N6ySNj3ks2Kq7Hxr6KsRvOzn2/jiSe3E4vFkFaGr/7V3/GFz3+Kr/z5&#10;H/DwI9v4+aNPMjY2weJFjaRSaQ4eambPSwdYtnQx77j3Dp5+9nmOHDnOszt20t3bx7PP7STjOPT3&#10;D/Lc87tpXFDPyhVLudDdw09+/jgtx9u4deuN7D94lMmJSfr7B+ntG+DxJ7fTuKCO9zx4HwUFMT7x&#10;0fcjpSSRSPLCiy9RWFCADuZMjY6O0dvbT0VFGb/3W19AKYVlWfzRf/k1Ht+2nUcef4b3/sI7cF2P&#10;ysoy1qxawdDgCMXFcW69eTPXb1hLVVWFEVcGg8FgeNNQXFzEdWtW0traztFjx98QIz8vbRSzMTBq&#10;qiv50q98mp8+vI3Wk+1opVCe5szZ89iWheO4dJ7uwsk4ufToyUSK7c/tZHx8krNd53Aclx//9HHq&#10;62soLSlGXDTirDWcO3eB517Yw4cfejc3b7mBYy2tPPb4s2zetIFoNILWcOvWLfT2D7J9xy5aWk5S&#10;XlbC4kUNeJ5CK99TVVNTxQ0b16GUwlMqSDSsqaqsIHZRBkKD4c2DZuvNm9i7/xCn2jtZ2rSI4qL4&#10;VR1xzlkEhfbTqbdegP5RSc8I1JZpCsJwutf3NPWNwsKqYO6UFAxPgOMJeoYhHIJoyJ9j5SqNq2As&#10;AWf6/BTt/aMwmtQc6PBF24p68YrUoq8pV3Gqzs6zHGs+wWc/9RE2bdrA3339W5SXlnLn7TdTWFjA&#10;mbNd/Lf/+Q/cvOUGli9dgtaaUMjmurUrKS6Ks3r1cvYdOMz9b7+Lddet4pvf9l3yXefO84MfP8pv&#10;/frnWLN6hT+nyvUoLy/jho3XoZVi25PbGRkd4863beXTn3iItlOddHSepa9/gMWLGikKGszY+AQA&#10;tm3lpaiUSCkRkMv244cN9PLoE89SV1tNR+dZ6utr2f3SAb7zvZ9gW37KeK01Tz7zPH/8+7/Ols0b&#10;TRiAwWAwGN5wPM/jbNd5Xty9j8bGem695cZ5Oe6sZNJVLDRcUBBjw/o1tJw4SXvHaf+8UlBRXopt&#10;21iWpKqynEzGQQh/6ZaKijK+/n++Rjqd5jd+98skEkm+/jdfAzRf/8Z3/eyK+TUSsLRpMX/x5d9l&#10;8aJGxsYn2P3SfjyleP977mdiMkFH51lqqiv58Ad+gbvftpXKynKKi4tYuWIpLcdP0tvbj8gb8Rd5&#10;r5YsaWT1ymWEw2YJF8Obj+xSAz99eBtlpSVsvmE98WD+4VUdV/gLKVz8vM8oEK+mBO5ZD81nNRVF&#10;ggc3a7YdFExm4B3Xa1487ie8iEVgIiWYSEF5XNM1AFuWa0J20NUISKb9ZBhLavxt7d3QOwrrFvkh&#10;hJb0hVdBeGq9rNeF7H2ZRW+6oKGe//ylz1HfUMcLL+7m2LFW/p/PfpSf/OwJPvi+d7F4USOu67F2&#10;9YpcatS77thKIpnkZ488iee6IMBTHsMjYxQUxKiqLOdCdw/Skli2jZQSz/OIRiNcv34tnrcqWPND&#10;0tF5lob6OsrLy1i92qKivIzi4qJpdRwfn8B1XQoKYsGcKZ27zHwyGYcf/PhhTrS20dvbT09PH2+/&#10;53a6us5z840bueXmTcSiUXr7B/jr//MNEonE6yuEDQaDwWC4BJ7n0XWum21PP4/Wmg9/6D25xA1X&#10;x+VW0Hz1EnPF86aSWGl0sJCvf35PKZKpNEpNrfsVi0U523We4ydOEY1G2Pb0Dt5+z+1T3quL1hPN&#10;ztd2XZe2U508/8JLvOPet9HY2MDJtg6+/d0f0VBfwxd/5TM0NS3Kles83cXf/P036eg4w4IF9dNu&#10;jes6XOju4863beW3fv1z1NZUXeVdMBjmF6014xOTPPLYMwwODfOeB+9jyeKFV39crmYdLAGxCMSj&#10;mvGkYPMyhdJQFocHb9TEo1BeKJhMCWpKNe+8QdFQDkMTggtD/nys0QTUlUM8Bok0nOkTdA9NCajy&#10;uJ/GXQNhy5+zVVsyixXNhlAZlAAAIABJREFUZ7znFbhSMvvLMDo2xre++wMSiRS9vf2k0mkOHDzG&#10;iuVNDAwN8fNHnyYUsjl5qoO+/kGqqyqQUmLbNslkir7+QTzXY3RsjBOtbdTWVlNaWoJSKui8/Eop&#10;pejqusAT27YzGQib8xd6GBkd46lndlAUj6O04oaN61izagXlZaWA75XqPN1FKp2mqrKcUCiUk1fi&#10;op8B27a4fetNrF21ktqaKsrKS3Ech0cee4aVK5ay5caNFBTE6O3tp7i4mNc1zaPBYDAYDJdAKUVP&#10;Tx/bntqO47h8+uMPzXnu1aWY1S/dK3aenVGRTqcZGh4hkUiSmExQHC/ic7/0i0SjEXbt2cd9997B&#10;9h07qautIl5YgNaawaFhvv6Nf6OxoZ4Pf/DdfOOb3yUSCSOFYGIywdmz5+ju7cPzPIQOlphRiq5z&#10;F3jksacpLSvmXe+8h4mJSYqL46y/bhU/f/Qptt60mVtu3pSLfNFKUVHuR+h88uMfmlbv0dEx/ulf&#10;vkcikeTqJabBMP9MTiZ4fNuz9Pb18eADb2fJ4sbX/JwzTiVRXw6fuFNjW/7j8wtbNFr7Mb2blgWv&#10;geubQCuoLNasCAY5yuKwdbVGCn8y2IOb89KwZ5cmD9D4E0z/IzhHyspK+NhD7yVk2+zZe4jnX9zD&#10;//pvX2Zg0O/wjhxt4Td/7ZfZ9vQO/vbr3+KLn/80hQUFKKVobz/ND378CPF4IS3H22g92c7HP/ZB&#10;pJQopaetxJ5Mpaivq+GLv/JpQJDJZHj8ye20HG/jIx96N0uWLAStA/FmkclkCIVCDA4Ns2fvAQoK&#10;CmhqWoyUEo1/7Iu9T1praqoqGBoeYddL+zjW0sqixgWMT0zQcfosBw83UxCL0Ns7wMTEhOlDDQaD&#10;wfCGk05nONVxBtfz+MTHPkBR0fyJq6tjduLK8xS79uxn+3M7mZhM8Ni2Z1m2dBFDwyNEoxFu27qF&#10;oeFRhodH+eTHPogQkkQyybe/+yN27t7LV//iD7n5phsYGBpk25PP0dBQx6FDzfzBn3yFsfEJJieT&#10;CMsf1R4ZHePHP3uCJ5/ewQff/yAv7z1E/8AgI6NjnDlzjsHBIR7b9izr168mXhjcTyFIpx06OrvY&#10;89JB8o2AyckE5y/0UFpSPI/3z2CYP1rbOhgfn+Sd99/NsqWL5zWHwOWWcrCzH8KVuwIh/H8q2Dn7&#10;V+S9Bj97zsVkhVX2XF7WWzTDir9a3a7W1s+Vn0XItBCConice+++nX/9tx9y5GgLTUsWYtk2//7D&#10;n3Pw8DF+77e/wO1bb2Lhgnr+5h++xfMvvsQD991NPF7IphvW84lf/ACpVJptT+1g0cIF3L71RoQA&#10;y7KIhMNIIXFdj4OHjvGd7/2YjOMig9jrwaFhEokk3/nej4hGo/59dV1u2LiOD77vXdTV1rBz9z7O&#10;nOnigfvuYVnT4uASBaFwmHA4Mi1zSiqd5ic/f4KjzSeora3h3rtuZ83qFZw+08Xj27bzwq692FKS&#10;zmQYHh7FkpZxYhkMBoPhDSUcDrHx+rVs3rSewoL5CAucQsx2mWE9fU7SbMqmUim+++8/ZevNm7n5&#10;phv49r/9iEQiyd9//dv+lAHL4vFt27Gk4LkX9xCNRdl682Z27d7H7/3Wr3LXHVvRWvOpj3+IztNd&#10;7Nt/mLfddhPvffd9dPf08fK+Q7mpCuPjExw+2kI0FuXlfYc4dLiZWCxCcXERNTVV3LZ1C909vbR3&#10;nGHDujWAb5c4jsMLu17mVMfpqQtG4Hku/f1D3HnHVoRZH9PwJmT50iWsWrGMWCzyuiVoE33jrp6J&#10;iLmYN1MZDdgCYnaQSn4WZNOxup4mXmAjZ5GmHfwF+x557CnOne/hzju2snJ5E80trVi2xbq1qwB/&#10;hK2tvZOCaJTFixsZHR1jZGycJYsaGRkdo7m5ldraKpY2LcbzPE61n6a5pZXbbt1CRXk55853c6z5&#10;BJ7nkQ2otqRECIHneTlvn9KKutpqVq9cRmFhAceaTzAxmWDNqhWUlZXk6rxv/xHGxsdZf91qKivL&#10;AX/0bGBwCNu2KCkuwrZtUqk0P/7ZY5SVlrCwsQE7ZDMxkeCllw9yz923sXTJwlySDIPBYDAYrgVc&#10;T5PO+L+tti1mvPyL1qA8jeNpohGLkC1nPBDpOA47XniJ69evoby8lLGxcY61nKSnt59UKuVnFdR+&#10;Bj/ledy8ZROrVy3j3PluGhfUTzuWUoqxsXGUUpSXl+G6LkPDI5SWFBMOh0mnM3T39KGVIhqLEotG&#10;icWiRCJ+coqe3j6On2hjxfKlNNTXAnD+Qjcv7z1EUXERa1cvn3a+dDrDsZZWbMvm1ls255JsGQzX&#10;MpNJF6V00Ee8Mk276Bt3/8MHe81EYF1OqOlAYDlzFFgGg8FgMBiuHS4WWELMbGBYa/CUxnUhGpGz&#10;ElgGg+E/FpNJFx0IrEutg2V8ucw6t4XBYDAYDAbDdHJC7D/8uLXBYJgBr0wZN8U1Ed81E3FkBJTB&#10;YDAYDIbZMMtZWAaDwQAYDxaQTWSYl4XDYDAYDAbDW5xZZOTKK2EwGAxXJbBm3/W8NmXmJ6W7Nj2j&#10;wWAwGAwGg8FgeFWu5N2+qhDBubjNX68yc8LEAhgMBoPBYACu3igwM7wNhmueyzzmtj1TH1b+AWbS&#10;Z+Sn7Ztpfva5lhF+9sA5dWOm7zMYDAaDwWAwGAyz5HIywo5aU28uFSEnLvFZ/sHeLGUEzC0dqgkL&#10;NBgMBoPBcAlm5YN6hT1hRnANhmsdLQhyCU5/3u3LCZqLuZzYmWmZ/HJXclDNR5k5MRvvnMFgMBgM&#10;hmucmYbSGAyGtyJXkgyznoM1F4fPlbxP81nmqshm0jD9qMFgMBgMBmZpErxiZ2NUGAxvVUyadoPB&#10;YDAYDAaDwWCYJb5D6JUDKTK7eaZjLOIyr+e7zOXKzzfTUsCbLIIGg8FgMBgAMVujQF+8tzEoDIa3&#10;KnPyYM1Fh8xVu1xqTtbF4YMmT4XBYDAYDIb5ZC7rdhqDxGB4K3H5B96ejei51HTPV0tCMd9l8t/P&#10;x9iQwDiuDAaDwWAwXJrZ2BtaMIu9DQbDfzS0nlIkV9IPNsw8K+C0E8ylUvNQRlxi29ViBpwMBoPB&#10;YDBcFSJrQxmrwmC4FnFdj7TjIYVA6yvnx5tVFsHLiS9xhc9frzIGg8FgMBgM84mJcDEYDOALqcmU&#10;w8RkGikE4UiYsG1ddn8bXr/EE2+2BBf559CIGadq11qD1iSbj6MzaRACCchsWe1PbsuFH+b+80e1&#10;ciGQAlTwRgfH9RWxRmuN0hqV+wwU2fc6p5zR00fKpsIrs+NolwmuDKoj8i42u1CzCD4XeUcSQuTd&#10;F7+wX9/pZxBiqpQQ029ntr4CiW1bKK1xPQ8tQCmFkALLslGeh9YaIQTSkqA1Snn4S7lpLMtCSonn&#10;en45IbBsG0tKlFK5G58rD+hgPykFQvh1E0L4V+d5SKVBCIQLKI0XsphULslMBpQmZFkIC7QQgEQB&#10;lhDgqaDZ+HchFA6jlF9/5SkApJBopfwRj6AudkiignuIZupealCeXzelNJ5WfnmUfx9FrrX691kK&#10;LGmhlMLzdO571IrgHnJFLv/xRX7ti5rR1Cjt5Y8gLn4zL4O6+a75bL30RW3z1SoC0bIySlesmI8K&#10;GQyGa5bZr4NlfFcGw7VLOu3ier7VJyz16gIry5W6kst99nqUmUsI4+yZXbeoHZfzf/N3uD29yJBN&#10;WGvCGpAaCYS0JAxYgGVJhCVA5J0jsA2VVngaX2woX0B5nsLxXDJKkdEaF4GrFGmtyWiNh8LTGpUV&#10;Y/jl8/WhDCxrL2+ffCPX10tZMZQVhAIrKCsQyGAfKSQyECeBlY+nPDzl10Nr0EIjp+0rkQJUtoj2&#10;RRRaY1shCmMFZFyX8VQCRygcpZBSEglHcJwMSimkZVFUVABaMz45kbt1dsjGtmw85ZFOZbAti0g0&#10;QjQSQWlf8AgLQpEQtu2LMa01UkDItohEQtiWxLL8a5RpFzvlINIKOyOR2sKNRxjKJOkZH2U8lUKh&#10;cSWIiI2WFq6GMBa2q3DRpF2HUChEYbyQTMYhk8mgXDc4Zwgv7aAVeAIs5RGNW2gJUvp3PplM47n+&#10;tzeZ0L4YUx4ZTxEJW3hKoRTIrHgMhLVtS6JRm0zGI5NWKKbE2cUCKyfK8tJm+u0gT7To3Fc8/ZG4&#10;6MHMjepOb9LTXmTb1HT0Kx61bNsUM3gE80eTLzlvU1y8fWqwQOhgfoSQ1N90E1u+/OVXP6HBYDAY&#10;DAYDl1IKl1clc1poeLYi5/Uqc9XMJhbAUwy/uJt0RycybBNGE9Jg2RpLSsJIokgiUhCyJLYlEdL3&#10;3sjAgvXFlcZTGjcwoDUE3ggXNxBYGQ0ZrUkoRUorHK3wlPLLoFFK4WqNx5R3y/eWBIItZ9NOeThE&#10;1jOlyXngLHyvjIXwRRICISSWCARbUE4LHZzf97LpwEMntV/Osiy/vPC9br660oG3SRKyQhREoqRd&#10;l7FUgqR2cYJ6WZble6uC4xTGY2g0E5MTSEui8UWJ63lYlkUm4xCxbV+cBSILIXCVQ6wgim1LpAzq&#10;JAXRiE1BLELItrAtgSUgJCQxRyH6E3gTHqFwFBEJUeK44KawnRTDyRRDk0nGbY+0pUgpTdiTFGCh&#10;bEHK9YjFohQUFpBKpUkmU2jXRaIRQoKrcFyFtiW25xKKSqTtC0qlNWNjk2gFYDEx6WAJiRDgoimM&#10;hfGUJhPE/UopUEqhPA9LQjgkcF2N4/oe0XxtdHFzvpRAkZf5PLftEsJH5G2/1CMjxJQXN7/MpcYx&#10;LlXXyw2+5HuGs/vlZ/rKrjuR/VwxzXns/7FDhKKRS5zBYDAY8pmNUXAp3hBLxmAwvEbkIolytoxG&#10;aHHJx3zWAuuSJ3uNy7ym3dNcDy5A2DbYNsqyyKBwhMaSAksI0pYgIwQFtkXMssGykfhenqxbQSsF&#10;SiM02CobbiewtEYqhaUVtgYHjaMhrHVOYDmeh+N6eFqhlIfrebgEQktlvVn+sYUIfFiB0PJD5ETO&#10;4BVIP8Qx2I6UvvyS2fcid7xsRKISEmRwfClzxxNCICzLb3+5EEKFkIGnTFogLNJa40qBXRBDuhnw&#10;PBT4gXC2H9qnbYsJ18FVHjIWRts2SmkcL7hO10VLgbBtbMvyBanjEg7Z/j1IO4SV7YcFSkU4bGMp&#10;SDoujtZECBG2JZYdQhdGsGQE1x1GKBfb1USFIByJUh0vIl2gOB8e54wzQbebZNJJktEKWwikDCFC&#10;AhdIK5eM8nDQWLZ/rY7rYYUsRFiALXECb5VUFmnH9wQioyjAdVyssJ0NwsRC4AmBCEkiIQvP9Xyv&#10;l5oS0GnXbzdY2g9TDb7LXPhctsnmeS9975XfDmVWeF8smPRUuemPSbZd5e8/fY9cW8jflmdrZK8v&#10;+/+0UNXsOfKrL7JtlVce86LTZ69PC3/QQAumQmqzh7SvuuszGAwGg8HwFiLfWeFzaXEFcxBY8yWo&#10;Xi2yeTZlrkqAzTVgWkCBlAjLwpUWHqBQaKVRQqOEAgskEoFGaw9LT4VNCaWn5k9pkTcM71uCUgss&#10;LQnhh4vZQhDSENWKtFakkaSRuCg8ZeFaCld7OMoXX67yUDp/mUTfCM8ZxUEYoC+ANFoI1EVxX0L7&#10;HgAZuEWmqqfRSudMY4L5Tb7XQvpeLQ1olZtTJgKDXmkQUqNQpLSLkgJXaRyt/TlJAJ5GoLABYQs8&#10;fK+gFIKMcnGcDFqB47q+cwxBJBzGdR20ShGNhLEtScZxCdkW0WgE0HieAuF7DiPBnCgpQ0jXJW1b&#10;yKIIVBaixlIoV6EdD5QmrDVFhGgqLKRSRbngpOkQo4xkkiTTGVQaHE/jhjWTiRTaU6QzLpZlEQ77&#10;njtbSqS0cNIuyvWFkJQq54mLxiI4jotGY4dt0mkHz1NIKfDSDpYtsS2LjOvmxIhW+eOjeYon+H6n&#10;PvUF0ZSXJzs/zt+ichJJ+201r43nH3ZahGteSF/u/LnXIjhzViSJnKDKltFTOwePgZ66rqlTT5H1&#10;zF38wUUPf05TiuxggJ/pBzEVKqvxQ1cNBoPh1ZiVD+oV9oTpaAyGawVxyTf5Fsv0592+gq1y2QPP&#10;pUx+ufkuM6/MsDcVQJltEQ1J0pYkA3gIUCAlSCmwpR98lVEejucgdSCuNFjBX39ak8xtzxqEOhiB&#10;z57LEn4SDQsZCB+FCubvCCHQQvhzfACple8p08oPOwssTCGzBmiQXEFkDVY/vDAbKpY1Qv0wsCC9&#10;gs4rCzlhltVkIiivs56r4Lh+2Ju/XeBfrwd42iPlunjKn3/lCY2bPzbgKRztILXvKXMzGiyN6zq4&#10;rpe7RwBpzyOTSKK1QiBwPeXPrRIQDYdxPEXIknghGxmECgII6WJLiaMVMiOwIiCLwwhb4I6nEXiE&#10;lER7LtiCWMgmRojicIRqadOXnOScnORCMkFC+zLF81TQBmxSGZd0EMYnEYRDIbTnJ/awhIVSGmlb&#10;KK3IZNK4ykNLHQhk5Sc5UZpQyPbnuwUhoaictPWTpGhfUFmW3wYUvnjPepGyqiMrivS09u0LkXzx&#10;kvs4r/2JvPc5T2j+o5IvnPKEVe4cQVua5q3KqSw9vXxQmXzhll8ffZl66Lx/5F4HNdJT4xiQDV19&#10;fUml0iitiUUjOe9hPo7j+mLctrGC5CzpTAYhBCHbvmSZmaCCRpL1XM+E/KQr2bq8Friui+O4hEL+&#10;fMlLobQmlUojhCB2mdDOVDoDWhMOh4J5jVNkMg5Abj5mdpsQAtu2gjmLilQ6TSQcmZfr1VozMZkg&#10;ZNvBAM/MUUrl6heJhOdcB9d1cVyPkO33NUqpS96ffNLpDEorwqHwJe+D53m5dpRIpAhHQtiWfw8n&#10;EwnC4XDufT5aa0bHxikuLsrND774cy8YbFJKkUimKIoX+smClCKZShMvLLhsvZVSZBwHEESv4p69&#10;ktfdApk6s9aMT0wSjxde8p5l90kkk4RCIcKh0LyeXymF47gARCJhXM/DcVxsyyIUsqftB1yxXc0W&#10;z/PwPA87CP+fL7JtK78tZZ/VWDSC/QZENqQzGZSniETC83qthteOwLx9VeY0B2s+yrxadzWXMlfN&#10;LMSVBkqlIGb54YApKXEQIPxED9nJ9p72fM+S5+UuSuhs2JU/H0tqkUsQIbTMVUWTNQqDrIL4BrXy&#10;Uwrmqqq0zs3nyi2AJl5pVGZNW9+5pHxRlv1EaxS+ApMymLuSd73AtMXVsvURefO3ALTwvVNCgdZ5&#10;Zqyemh+jwBcRroOnfM+Vh+9V0Ll9fC8Z2vNFqACE53sftAg6dYFlSaKRKK7rkk6lfbHouQgBIctC&#10;ego3kSIStvG0f+M1HtFwCEtaZKQHyp/XJCWEpUAU2mAp7JjAzmhE0kFoD2mFEAJiEmp0hLKQTXW0&#10;kFJ7gs5Mkp50wg/302DZNlJJXK2wLBthSdKBaEIKPNfBkhJLWniei+d5gXdN47i+kNKBAHaVNxVe&#10;F8yt09oXbRcLXZ23NkNWIOe3WymmCw9/u57y/ATtM9+FlB0ImHagvO/1FduC7b7XTOe1nzwhN63Y&#10;lJTSQue2vdIndhF5HrB8UZVVg9k2ml/Ny4RKzwitNal0hr7+QTKOQzZTpgi+N601liUpLS6mpLiI&#10;8fEJRscnct7d9tNdjIxNsHLpYuKFBaggQ2RpSRHxwgKOt3XQdb6bmupK4gUFlJUW0955lslkktqq&#10;SuyQTUVpCbZt0zc4hOO4CCEoiEa40NNPKpPG81Qum+aKpYtZUF9DIpHi4NHjrF7ZRLywkH2HjuE4&#10;Lq7rYdv+fMbG+jpWLW9ieGSUs+e7mZhMMjI6xpoVS+nu7SeRTOaSxcTjBWzZuA7Lskil0hw6doKR&#10;0XGkJfE8L9f/hUIhVi1bQl1tFa7rMj6R8O9bYCyGbJvR8XEudPdx3erlFBfFL3nfPc+j+UQb3b0D&#10;1NVUIYQgXhijoa6GonghAKc6zuB6HgsbaukfHKG8rISqijIAWttPIxAsWdRALBphMpmi+XgbtmXR&#10;tKSRiYkESinaT3ex+fq1lBQXAeA4Di0nO0gkUmitKSyMEY2E6RsYyl2D8hTFxXE2rF1JOpPx98UX&#10;BQcOH8f1PG7ZvCH3vIVsm3hhAY7jcur0WUqLi2ioq5l2vROJJMdb2ymKF7Jm5VJGx8Y5c+4C1RXl&#10;VFSU0ds/SCqVpr62mvbOs3Rd6CEcCrFwQR3LlizMGWm9/YN0XehhQX0tExOTTEwkWLlsCUVFhZdt&#10;4yfbT5NMp1m5dHHuPuTTdb6H4ZFRljUt4tCxVuKFMVYtbyKdzrBj18vccuNGKivKSCaSDAyPoJVG&#10;WpJ0OsMzz+/h1i03UFoSzwm+gliU6qoKtNa8dOAo9TVV1FRX8ORzu7jjls2UlhRx8tQZui50c9/d&#10;t+G6Ll3neznZ3oll2xTHC1m6pJHJySSdZ8+RzjhsWLvSv8/xgnkRHbPqL16x86z8X9M43NzK8ZMd&#10;3LF1M6GQHQy0hCgOvr9sv7PzpUPU1VQyMjZOJuPkMvta0s/Wu3pFExVlpQyPjnGq4yxK6+lduIZI&#10;OETjgloqy8tIZzKMjU0wMZnk7PluLEuyvGkxwyOjdJ3vobKilIbaGqLRCPHCGBd6++ntG2DRgnpc&#10;z6P9dBfJVMrv74XAtiRLlyxkQV1Nrm1qrWk/3UVBLEpNVQWWNX1wZWBohK5z3SxrWkRpSREn2jq5&#10;0NPn2zmeoqG2muVLFzE4NEp3bz9a+9EpuR8yEfw2Kk1RvICVy5YghORcdy/P79rHO+99G2i/bUbC&#10;YZ5+fg9333YTJcWX7oNejfGJSU60dTA8Oo6UIrCVBFopiovirFi2mPLSErTWuK4/pSNLW/sZRsfH&#10;WbVsCfF4oV8vKXMDbf2Dw5w8dZqJyUn/upT252FrTUlxnNXLl1Ja8spndb7IOM4rBviy1yGlnDYQ&#10;o7XO2UAXD5ipYJA4NAMRmx3gu3hQ0PNU7nf2SoOF2QEbIabqlz1mPrms17MevMwzkK7wfJuJCFdB&#10;JGxjh8OELEEkKxKkQAfJGJRWpN2gwYlAHOE3Mt+zI8gmm5A6+zpvBEMEniwAlF9e+SPSGa1xAAeF&#10;q3yPh6f9OVme1gTTu6Y8Vb7biWmmal5by3ovpnug/M9k1lWgdc7oneYpyIrAQKDpwIOSbcz5bVpq&#10;jVYK13Nx0XhC4wVeFy8rKrKny165zjPBA4HmD5r5HY1th4IfbP+eyWDXbBp4KUAE3gGl3MDTBXYw&#10;L06E/FGykA3a9ud+WWELkXJQk2lCWAhHooWHFhorJJFhSUgLommbuAxTnUlzanKYjuQEfZl0MJrq&#10;iwzlaUKREJlUCke5vr9SK1xX+cItEJ9CBuJZgvZ8jyOIqR/EPLWcEw9Z8UlQNu9hz33lwX2TOv97&#10;y3NP5YutXBuYLrBfdWAlzwOVHVzQWY9Z9jQCdJ77SeT+nzrIlNDTuRNPO/9FDi097UW2qJg2sDCt&#10;rer8+zJ7xicmOdzcylggnMYDw7W2phIhBOFwiFXLmygoiHHmXDfHT3YwOj5OKp0mmUyTdhzOdF1A&#10;CIgXFlBSVMS6NSsoLipk78FjnOw4TbywgIbaahrraznScpKRsXEKolFqayrZtGEthQVRjh1vo/lE&#10;Owvqa6iqKOXkqTPU11Vz7EQbK5ctobunH9dTVFWWI4TgfE8v3X0D3LB+DU/v2M3aVct4af9R1qxs&#10;YjKR5PTZblYuW0zfwCD7Dzdz7EQ7N16/FsdxePTp59m4bjUFsQjj4wl27z3ExnWrsSyLyUSSZ198&#10;mfqaSqKRCEePt9FYX0tpaRHnLvQiBNTVVjGRSHLw6HHOnu8mlUpjWRaLFzbgOA6Hm1sJhXzDMRaN&#10;UlVRhm3bTCYSpIOMnIebWznZfoblTYuwLIvy0mLC4TDRaATXcTl+soNUOoOUkubWU9RVV7G4sZ7K&#10;ijLa2k8TDodoqKsmHLI53trOE8+8iG1brFm5jIzjUFxUyM6XDwJQXlZCdWU5pcVFnO/u5fld+1m0&#10;oJ6FjbWUl5byxLMvUlNVQXG8kMPNJ7nv7lvZsHYl+w+1cLytg/LSYpTWtLWfZmwyQTqTyf3gO47L&#10;L9x3J0ppXj5wlKZFjUgp6esfZP3alb4naDLB0eNtLG6sZ83Kpbiux+mzF2hrP8uWG9ZxqvMsA0PD&#10;RCMRDjefZGBomEg4zPDoGEsWNuSM2IGhEY6f7CQaidA/METfwBCNC+quKLA6zpwjmUqzqKHuFQJL&#10;a03Gcdm97zCRSIRUKs3J9k5qqys5dOwEJ9vPcOPGdf65h0d5af9RMukMXd29VJSV0HKyAykthoZH&#10;qCgvJRqJ0FBXTVVlOUppBgZHaD5xiofeez/dPf0cbm5lw3WreGL7iyxqrM959o6daOPQsRPU11TR&#10;3dvP8rOLGZ+cZGhohGQqTX8ggLfcsI5lSxbO7UF/A3Fdl6MtJ3nkyR2MjI6jtR/FMDo+QTQc5qPv&#10;fwApJac6fYF+6NgJlF6BUppUKsWZrgsMj46zacMaLMvCdVy01kwmfBGqglD5LFpDQSxKWWkxFWWl&#10;DA6NsP9wCwNDI5xo6yAUsuntH6K3b4CT7aepr61m2ZKFLGqs57rVy3Bdj9ZTp+kfHAYB7Z1dWFIy&#10;ODxKRVkJiWQKpTT1NVXTBNbh5lZqqiqpKCvNCazsb/7g0DBHWk5SXV1BSUkRe/YdJplKUV1Vwfnu&#10;Xs6d76GhvoahkVFOdZ7F8zw6z5wjGolQXByn48w5Vq9oQgpBTVU5y5cuQbkO257dyYEjLRQWxPzr&#10;LoiyctliHnvqeSrKSiguKqKirITGhtpZfmceI6MTdPf0IaUkHA4hEPQPDpNKpykrLaG8tIRMxqG1&#10;/TStpzpzP0on2jr9waxVyyguiqM8RXl5CevXAACA/3+soKaqgjNdF9h/pJniojiO49Dd209jQx0A&#10;x092UFFW9poIrIHBYfYeOsb4RIJ4QYybN2+grLSYjOPw0v6j9PYNEArbrFu1gqbFC3Acl+YTp+g4&#10;ew4pJEsWNbBu9XK01lzo6YVtDfMAACAASURBVOdIy0nS6QxVlWVsWLvykgM44LeNc929dPf0s3p5&#10;E0VFhTiuy9mublpOtpPJOCyor2bV8qWXFMTDI2McP9lOd+8A0WiYNSuX0lhfS1vHWdpPd+G4LlII&#10;XM+jaeECVi5fTEEsNuf7lB3ifmXG5Dmsg3WxbstOKJ9Rmfxh8lme87UkV6OsG2CmFIaR8TAhIQgH&#10;qfocCZ4ET2tcF98rJCyEJf0wOM9FBUknsmtdZW+L1lkNJPLSrme9FConmpT2s8u5OTHlr5fk4f/1&#10;Mwrqi4xJPe3+5zxUueudWrfq4u/Ky3kysgItO59ryvPgewzIWbAa/9ryv24pfctdCU0GTUaCp/25&#10;X15wTVnDeMr41oHnxT++Uip3PgDXU4yPT+bCFMiVwE904brYwle3Wiksy3+w0pkMlhQIwn7mQ9v2&#10;QwuVAC0RQmKHwqiowMVB4qGV5yf8kAphSaQlETYUW5JwUlERLqU+FuHI2BgdyQkmPYUdzLVLptN4&#10;yl+3SzHlEZLKv2YlBFJnRfhUZsZs2OjUVU/d06yYATEliKU/GpOf/MEX7VMhgrlvXEgQGiH11Hcn&#10;sp4v/2EIZupNSer8hyWvveR+rwOxrch6aUWeJ0vk1JsguwZckEo+W/+8U0ybrxW8EBedO7dDXrmc&#10;SNdTM8p0MCftagVWQSzCkkULSKXToP0fuK7zPdx+y2asIFtoRVkJlvQ9U3W1lYyOj3PuQh8rly1m&#10;UWM9B48eZ3hkjBvWraauppLiokIGBkeIRSNcv2YlvQNDCCE5ceo0sWiExoY6enr7qa4sp7K8lFg0&#10;StOiBew9eIy6mioi4RAZx6GosJBUKuMbD2gSiSRKKeLxAt52y2aOnWgnnckwMjJOyLYZGRtHKX8k&#10;ciQ9hgaKi+I0LVrAS/uPctOm9ZSWFDM8MkrTogWUFMfpGxhi76FjQdgheEoxPj5B0dJFFBTEcFyX&#10;aCxCWUkxZ7q6mUwkAd9zU1FeysjYOOe7eykqLKQgFqWzf5CBQd+gG5+YYOGCOu6+/SYmE0n2HjxG&#10;OpPB8xSnOruwLMsPHXL9UXJPKQoLYvQPDNFysp1E0p9/OTwyRmlREYebW1m7ahmpdIZIOIyUgkQy&#10;RSKZ9I+rbHa+fJDrVi9jMpEgk3Y4frKD/sFh7r/7VsqvK2FF0yJ27NrH5o1rqa+tIhaNsu25EEsW&#10;LWDRgnoOHD3B+jUrAWg+cYrOrvNEVjRhWRaN9bU4rkciuAeJZIrjJzu467YtRKMRJhMpMpkM4+OT&#10;7Ni1Dztks3blMjxPkc5kiETCaK0pKIiyYuliTp89z8Gjx2lpPcX4ZALbskmmUqxe3gRCMDA4hOsp&#10;lPaXuUinM3iuP1KeHQ32PI/2zrNkHJeGumo8T5FIJnPte3BoBK01/YPDuVF2S1qUlRZz7kIPLSdP&#10;ce5CL8/v3k+8MMb57n62v/gy+w83U1pSzI5d+7jr1hspiEaor60ikUiwfefLxNeu4l33vo3JZJKn&#10;n9/N+x64h8qKUmprKgF4fs9+evsHaGltZ/sLL6G1Zt+hZi709HPsRBslxUX+93D9WlLpDA11NSxp&#10;bGB4ZIyOM10sqK9l0/Vr0UozOj5Be6e/7WoFVv4s5hnxin5ldtZL1/keDhxuoa3jDBXlpdx600Zs&#10;28b1PLa/uJc1K5py+76wZz8b161GSEFBLEpVRTn9A0N0Xegl7WSoriwnFotSWlqMlJKKslJu3rQh&#10;513Jx7Il5aUlgCAajVJeVkIqnWHhgjrCoRB11ZUIYGIyQV1NFXW1VZSVFGFJi4a6am5Yv5rxiUnO&#10;nu8hmUwRi0ZJJJKUFsdJplIkkqlX9LnJpN/+8zcPD4/S3NpO84lTtHWcQUjJxnWr6B8cYt2aFWxY&#10;u5JDx07QcboLz/OCZzLiG+UXeqkoL2XZkoUcPd7GxnWriUbCuWd//6HjvHzgKNdft5KR0fEgHNui&#10;+cQppJScbD9D14Ue3nn3bTQ21JLOZGht6wQhWL/mymsmFsULWb1iCUp5xKJRrlu9HAQca/EHA+xA&#10;QAohiIRDxGJRXMf1pwkEITqWZWFbFtK2iUUjWIEYTabSOI5LcVEhiWQapTTxwgKEkPT0DuAEg7nz&#10;ieM4/OiRp5iYmKShvpZ9h1vo6R/kUx9+D/sPtfDIkztYv2YFfYODtLR28PlPP0R3bz8/ffxZmhY1&#10;4Lgex060EY1EKC8t5uFtz5FxXcpKijjVeZbRsXHe9fY7poVEaq0ZGR2nufUU/z977/Vkx5Glef48&#10;xNUib2qtkdCKIECAsliiq3uqWox1b4/ZrNna7uP8Mfu8ZvvWj7s7a2u93dYzXdVVRRY1SAhCESoB&#10;pEBqffW9Ee774B5x4yYSJMBi9Y7AMUsk8t4QHu4eEefz75zvfHL5Go1Gk5GhfrLZNE+XVvnNR19Q&#10;LJXJZdM8ml+gXKnx7qVzbWGdtVqdT768xv2HT+gs5Hk0v8jy6gZ/8v6b1Op19vZKNJpNGs0mN+7c&#10;R16STI4Pw0viqxf1H74XgyXMCZq+DjMJTxr5/iCzTMz7fjr4u84VtYPO8ezj4uXse+0rgLSFyOgw&#10;LyHRP76RWPckmBA5GwsHHQLXtAWOsvCEBkFBTSsPNIhCgzPfgC/fABUltTpgUHzYVyClHwpK6M8N&#10;I0Qrx0T7nqoFsoLPQoqiFYLVWuXf37vB58H+IlQJDDxd39JMlzB0kwwBVpAjZvKvLA1CmzY0ldBt&#10;lfqapQEK0ckbhuIYqiZodqDhoAAvAFeWRVuWjwXC0lLzyqgbKgSer2g2fepWA8eycCwbx/ZwHJ3H&#10;ZFsK5QhEzMGxYwi7AVR1XStLFxm2TJKXlbCw4gJiPrGqTcZO0BmLMVTNcGe3yFatqllGz9ciIAGK&#10;1ZgnLB5t25aGMVK1wh2iIxaOiQEK5n9BXp0wMo3CUEcBi6SxSEBxQStoznwnROTQIvxtGTZVC6Fo&#10;cBlGnwqBsCyi7+kAcOvLk+HgqBDRCC09rwRIP3TQo4Avem+HwC3yWds2kS5RrV4y8zSyQ6QPTTP2&#10;HfHFTYempTl59BBg6tV5HnvFEmdPHXkmHMmyLXb2SkipyBr5/t3dItKXZNIpSpUqlWoN13Wo1etU&#10;qlWSiQT5XAbf99nZ3aOrkMexbfLZDMurG4wN7zI9mWegt4fOjhyD/T14nk+j2WRja5tqrc7W9i7F&#10;UhkhoN5ocuP2dXaLRY4dngoXP5QizEWMjtPm9i7zC8vs7hX59PJ13nj9FFMTozx4NEciEadSqTIx&#10;OoQbCf+QSrGzV6LR8KjXGxRLZeKxGPV6PRIOqJ30gd5uPM8jm0nT19PFl9ducWhylOHBPm7fLZKI&#10;x0klkswtLLPwdIXe7k7K5QqVSo1CIUej6ZGI6RwbnVulyGTS5LMZYjGXfD7D1u4ehY4cSyvrLDxd&#10;oVyp0NPdiW3brK5vUKpUyeezrKxuoFA4js1X1+4yNNDH1PgI6xtbdBbyxGIutUaDbDpFIZ8ln82Q&#10;TqfIZzP0dnUx2N9DNpOm17CEp47P0NGRxfM8Hj6eZ3xkiGwmFYZG9vV00dvdSTqV0nX+hK4X2Nfb&#10;xchgP//y4Wd0duTxfN2P+VwWpTSz82R+kf6+HkrlCrbt4NoOjmtTqVS5cec+ruvS2ZGjVK7wzf1Z&#10;ni6v8XR5NRKSKVhZ3eDDT7+i0WwyMTJEd2cHDx8v8HhukUBl9vqtuzov1vPIZdL4SpFJJnnrjbPc&#10;vjfL7JMFpiZGsW0dhjo2MoDnecxMjdORy/LFtZscmhzj9PHDbO/sUa3VGOjroVyrUq5W2draobe7&#10;E8u2eDz3lNPHjyCV4tcffMqhiVHOnDjCXrFMPp8hl9X3wcVzp7Eti99+/IVmZSwLAWxsbXPh3ElK&#10;5QrFYlmzygh8z2dybJih/t6Xvsf32/7n0Avv9D1tcXmVnb0ix49Os7OzRzweZ2x4kC+v3WRmcpRf&#10;/OzdFkO5sU2lUtUhacBnX17H8312douUShUePVlgc2eP8ZEh9oplvr51t3UiAa3XjH77x+MxDk2M&#10;MjTQx/T4KKtrm4wND9Lb3cnq2qZ+PiXjISM7OKAZpLsPHqGUYmp8hM3t3fDZHgCH6GJt1NrUjCNd&#10;J00offh/qcPC7j14TLlc4dHcos7zQ9Bsemxu7XDq2Aw9XQUG+roZHRmgI5dlanyYh48XqNXqDA/2&#10;heFsnq/FpVzXYeHpCg8fz3N0ZpITRw7xYHaO0WHNDnmez/zTZSxhfSfAchxdq3JpZZ2ZqTE6C3lA&#10;kUwmSMTjIcMUi7kcmhpHKsW1G9/o3GnHIRGPIaWkVC4zNNDH8cPT4T5CCBpNj53dIvV6Q79H9nQE&#10;hef7fxQGYrdY4trNb/gP//O/Y2pilK++vs3//nf/F3/7lz/nX37/GaND/fzFn/6I1fVN/tf/7e+4&#10;9c1DzaTHY/zy5z9ib6/E3/0f/y9Xvr7NudPHWFxe5X/627+gs5Dndx9f5strt/npe2+25dTqnEO9&#10;OLK4tGpYRh1KPDu3wNrGJn/647cZHuzjH3/1IXfuzXLq2AzdJhQcYHu3yNzCEiNDA7z/9gW9YPPx&#10;FzxdWuXU8cOMDg2gUHx+5QaVao2Zqe/JXgWhOYE/+pzNnJcZm6gD5Hke9x4tsLy+FSLtb3sQKQUx&#10;12FsuI+xod7QiW8FnR18nv2fRf/+IefV9zmWlQBSFti2XrGXYNcFoi5B+eDrh4zvg60UUglcHDxL&#10;0AQ8pWgqn6ZSCKlDAD1p6lkpDZZCNkoofGEYKwJApXX3gpdA4Kyr8NOoRQFU63fouBrUHD4PnzHV&#10;RkUGTFuwtTTHEKbtmsVogTgLkBb4loVnScPyaWEQKZQRaxCt8ESC42uQFPjpQQhlAPYESiuAqIC1&#10;CFZrNahSQuiwTQVNX4YMjQ14lkXT9nFsH8fzcD3bhB5aICyUbaNcW8cSWwJVqyOkBrvCEhrQCYUQ&#10;Csd18VMWVBsMVxQ96QwTmU7u7e5wr7jFll9H2ha+0AlugXS+lL4BSLqGmBKmo0z/hv3pB5xjC+Qi&#10;wLLtsHguAixhRNdVe/BdcDykztfT4yxaAEzTVuEwS6GVHIUKAJ2ZPyIQcYkAGSHCfg3+CUVbTEgo&#10;SjfRBpRv1CSfcxPvn3/7wVWArsJ5HPl53jFaR/oDvJ99Fjz8AzGS/ba6tsnj+UWG+nWOjS99YjEH&#10;13EoZFKA4tH8U8ZGhqhUazQaTSqVGk1Pr2zGXIdypcr9Wb0at7K2wdLqOoWOPJev3uTBo3nyuRsM&#10;DfTiOA6dhTypZILOjjzrm1uAdlDKlSoffX6VfDbD9OQYg/29hk3V7FU8EaMn26XDFlNJao0Gq+ub&#10;pBIJbCGYHBumVq1Tq9UBGBsZoFyp0ZF3CW7MbCZNMpkgFouRSaXIZtO4MVePPVCrN5l9vMDc4hKW&#10;ENx7+IS5hSUezy3yzsVzTI2PsL27x6HJMdLpJAg0mDEr4K6r821Gh/rJZtJsbu8w0NdDPpelryfO&#10;4ekJNrd3yKbTCLQjc3Rmkt29ItVanXQyges4ZLMZLGHRaGhAevbUUV1DLx4jmYyTTicZGuyju7OA&#10;UorffvQFi8ur/OqDT5kYHSafz/LoiQ6BerKwyOLSCv/8u49599I5zp48Sk93F//wn3/Lzl6R6clR&#10;kok4s48X+PCzr5ieHOX108fJZlLs7pXCKZnNZLh4/jSVj2qsrG2QiMdpNDQgA4HrOlRrdeYWljh/&#10;9iTbO3tsbG5zbGaK9fUtGs2mEQMQ2JZFNpOms5CnVCqzUyyZ+0Gxs1ekUMhxeGqcqYlRstk0Pd2F&#10;cMW0XKmBEOwVS3Tkc4wND6KUdrwTiTixmMuxmSlirsvaxhae52FbFnvFEts7e5w6NsPmzm640PDF&#10;1RucP3OC40emuXHnPoV8lqWVNboLHfT1dPH7T7/izfNn6CrkKeSzXHjtJPdm5yiVy1hCvxfWNrdJ&#10;JRKcP3uC3VIpfLeUq1WK5QpvnDtFPO5y7+GTcH7mshkG+3sZHmzPbfuD7nVewkf4AxyT0eEBJkaH&#10;yOcyfPzFNf7p17+n37Dcf/qTtxkbGdSLYkqXhAnAs/Ql809XePfSOTLpFK5jMzM1zv/zn35LtVbH&#10;8zy2dvawTR7lbrHE3fuPOTIzEeY+JuIxGo0mtXqdYrlMMhkHBOVKlZt373P6xBGGB/t5+Hiem3fu&#10;c2R6As/zWFvfYnF5FcdxKHTk6chnaTSbWpjJ88nnsnTkc60FnW+xjnyON86dMrlI8PYbrzE+OshH&#10;n18hk07Tkc+RzWao1/VYe57Hbz76gtHhAfM8VkjfD/2D33/2FaeOanB06tgMuWyW3u4CSysbTI4P&#10;c+P2PUaHB7Asi+7ODnq6CgwaYB6LuZw6djgaTflc0+CgwtziMl2dHdy++xDf9/nmwSzLa+vMP12m&#10;3tCsomVZzC+usLi0wpkTR+ju7DB5RTYPH88zO7fA5PgIhY6cPraUuLZNNp3GsW3i8RiZdMrkjVs/&#10;5CsttJjr8te//BnHDk/jODbNRpNEIo6UirnFJX7+/pvkshls22awv4fZJwucP3ucw9MTFDryVKs1&#10;fN8nkYjTWejgl3/yHjNTYxRLFXxfvwf3C7cIISh05HnrwlkSiTizTxZQStE04DKVTDI1PkyhI8/Q&#10;QC937s6ys1tsA1jJRIw3z5+hp6tAVyEPYPLZbFLJBOlUksWlVR7PLXLy2CEOTY21Cba8qL2oJ+Gw&#10;b8MXfTY0PY/5pTWq9QbjQ31tzrsKY92CgwqdHL61QyIRY2yol71SmWK5Si6TIpt+PoI8yNn6oefT&#10;9z6eY35s4whLhVAWluXg2mDZCr8u8T2F7Uk8X+JLpZPALbDRdY4cqWji40uBY2oZWcI4oFKG4VQy&#10;iPFSGnC1ulgZcQlaUucHodTwgwOu2DACQWHWNlEBFUi6Rw4Y2UZZhrkQOpStVf+q5dcLgSmErFUD&#10;m1JqJ88IbSizSkXbtNGgIXReo6thqvUrwl0QZSo0RACUwkIDOstX+JbElxbSB8/XRZ59qZC+RHoS&#10;fAmObm9TADGLmJXAcixU3QPP02xa0ByjAmHFXKykCwmPWF2RTrp0J7voS8e4vbPJ41qZEgqBjWsJ&#10;pPLRENP0geksZditEATJFsQJ1/tMISohLM0mBZSVCKmx1tww4EarTwqkryGQZUBii+7SjXiG/lYa&#10;SOqVRM3E2kID3xAEt80q0zFBuKjS7fWVTjoN5koozmGm9f6peuBMNaAznOfhqNMmnhGdqpEJ0WLc&#10;vm+M4EuabdlUq1WE0C/4malxkokEcwvLNJoe8ZiLUpKx4X5y2TSXr95E1RSD/b1YZixX1zepN5qc&#10;O33c7B8nk0kRT8TJZdJ0dxbo6syzu1eiXKmwvrlFMp6gq9BBOpXg/GsnuHHnHmXDmE1PjOpkcSlp&#10;NBt0dxbo6+mm0fSYGBvGdRxSyQSNZpO6UeATluD2vYecPXEElA4V6shnicVcxkYH2SuWqFSqpJJx&#10;KrUaG5vbZNNpenu6TX/rsLdarU7GOAq5bIbpyVGK5TIPHs3heT5dnR3BAOHYFp2FDroKHfi+ZK9Y&#10;Yme3yG6xhO/7ZDNpHMdhZW2DJwtPmX+6jBCCel0rL06OD7O2voX99R1SySSu6+A1PWafzGNbFtMT&#10;o5TLVYb6+zg6PcmnX13ny+u3GRseIBZzebq8xjf3HpHLZkgkEjx8PM+Jo4eo1ur4UlKp1PA8Pwx/&#10;isVctnZ2+ObBY8ZHh1hZ3aBcqWLbFvGYy90Hjzlx5FCYexDMQMsSdHcV+Ol7l6jXGzx8PI/rOnR2&#10;5LEsQU93JxdfP8Pj+QXu3Jvl5p37eL7P9Vt3cWMuXZ0dBuiUSaeSnDlxBKXgxu17XL15x+RmwmB/&#10;D29dOMvk2HAYVjM9MRqG0d26+5CZqXG2tnfo7+3m1LEZDXaNnTo2gxA6zDKXzSClz537j9jY2qbQ&#10;kae7q8DP3r1Ed3cB27a0Mw+srG1w6vgMZ08epauzwL98+Blb2zuk0ylTfF7wyz/5EYP9vTQ9n1q9&#10;Tr1e54urN2k2mxyaGGVkaIA//fHbIXuTSMRJJRPcffCYVCrBo7lFrUbpOPi+pFiuEI/HmBgd+iPe&#10;3QeYePY59qLm+T4xx2FheZXLV25y6+4Dbt99SLVW58JrJ3m6vMbK2iavnTpGNqNV8PS7U4WhZ1Pj&#10;OqevWCozPTVGOpkAoKerwFsXzrK6vkEhn2O3WNKA/cwJ0qkkG1vbTE+MksmkqNbqPFlYolypcfLo&#10;IdY2Nil05Hn7wmvksmliMZc792bxpaS7q8DpE0coVarsFkuMDw/S3dnB05X1UMxhuLebdDJJo9Ek&#10;mfz26CUBPHg0x9e37jL/dJnLV28YdkfR1dnByNAAu8USSyvrAHR3FRDA3MKSfiOYzrcsQalcZXll&#10;nX/7Zz9BCME3Dx6xuLTCscOT1OoNLeZTqvLum6/z6999yieXrxrmSZvrOCGb9SKWTMTJ5zKsrG9Q&#10;LOm0hZ3dIrGYy0efX6G3u5M/+8m7ZDIpPM8zOWDJNtEHx3FoNJttKQ+dnR105HPsFUvUmw1iMZe9&#10;YhGB0Iz4t6hrfl/LZtK8/84bNJtNPvjkMr/56HP+6t/8GMexqdebpFP6uSCAZDyuQ5VnpvB9n4eP&#10;5vjtR1+QTiW5cPYk3Z0FCvkcW9u7fPjpVzxZeMq7l16n0Wxy+94se8USyUScsZFB+nu7yaRTLK9t&#10;ML+4BEqLHHmeh+NY4XPLsR0QsLa5xV6pxF6xTCadYnx0kFPHZqjV61y+epPPr3zNxNgwo8ODYYj0&#10;Z19eD5//KXN/vLwZ76QVBHLgff9S0C16gPCh3dfF+Eg/c4urALiuw2BfF/lcOhJSBHvFMtfueOzs&#10;lbg7u8DjhRWUUpw5NkU+m2pbAX7eA0p8x/ff1/6Q44XiEDpBSL80bRAxF9uW4ChEw0c0BKqJdt59&#10;U+NJmXpXAhzLRgqBrxQu0ACaUtAUAl8qPCSWYT6aKgIizMgG0CKKbfetD7S324R0Rb1Y7dBHgVXr&#10;IgO+qI1VFEqTPeZ4BLR+1L9HX6hEf+Ern4bydGFk6Rv2JYrHhZbzVuhaYqZdWJhq2WaHSKXb4F+l&#10;dB2ycFyMckQYiiBaUvVSCSQmLC8IwfR9pOchPRdpS6QlkZbAtyxkzMGxLITVxK9h1NJosTfCKN7Y&#10;FuRclC9RtTq5GJx08/S4Lj3FXW4X99ioNwy0kOE1a9AcDqRpY0DRtOBV+8KFBt0iYJCD8VPRYQ1A&#10;eYAzRJjfhW3rfSMrSYJWsWIzdAQHDHIGBYThTS3GKrKwElyDopVHZcbUR4dGyUjTICQh22prPQ8C&#10;RVlbgl4UB28fAK3wmlSkX34wez5Y8zzP5P3UuPfwMesbW2zt7OkXLOBLGxAMD/bT1Vngk8vX2CuW&#10;6e3yNIA1bU0mYhydmWRksA9hQlau3fiGk8cO6TwWodg1L/NkMqGT0EcHicVipFMp0qkUtuOwsbmD&#10;EIL5hRUq5QpP5pfIZjLsGgWy+4+esLqxydTEKArFXrFEX3cX61tbPHqyyPtvXdDiHLlMqAp1/Mg0&#10;pVKZZFznQmTSSSbGRtgz7ElwDUEtvHQqwanjh7l47hSb2zt89tXXfHH1Bm+8dopOs2oblGJwXYe+&#10;ni4aTY+ny6tIqRWkBvp6cB2HWq3O4tKKzuvKpBke7NMAyNes6frmFr5sSSDv7BXp6+niwtmTXL1x&#10;B8/TQO3o4SnuzT7h9599FeZI2bbNuTPHqdXrHJoc49Y3DzhxdJqergLvXDpHNp3m1t2HvPfm66HD&#10;4ToOb54/Q19vF4tLq3x1/Rb//q9/QX9fN0sra1SrtbBHLKEZp0q1ysraJoP9PWxu7/LJ5WuhbLzr&#10;OqYAPKysbbK+sUVHPkc+l+Hew8dk0ikWni4Tc1x6ugqRZ51euRVaKQeBIJtN05HLail0FSnjANTq&#10;dW7euc9AbzcnjkzzaG6Rvp4uDk+Ph6DGcRxWVtfxfF87Wg3J3MISXZ0dHJmeYHevpMFit1lRFloE&#10;ptFosL6xza8//Ayv6VGr67w6GQlvsiyL2ScLIVBY39hiZW2Tt86fob+vm/nFZdLJRLgwkstkODw1&#10;xm8/vsw7F89RLleZW1xieKCPze1djsxMPFfS/2XNvHH+6FapVPnNR59TLFW4fvMuiXiMd948x0Cv&#10;Zqg3t3e5fO0mA/09ZDNjWsTJ82g2myQT8VDUyY8sViql82fj8Riu63Dtxl1++fP3cF2XdDpFd2cH&#10;nu9zf/YJw0P99CR0uGtfdxe1ep2UCXGzLItqvc7skwWufn3HfK7zm/K5TBjOVa3VKZWrbGxus7ax&#10;pfP38jmKpQqVao3kMw5te6yN7/tcuX6HWr3BqWMzPJpb5P7sHKVSmdnH81RrNR49WQzHNh6LcfzI&#10;NHfuP6JhJOUBbNvm69v39AKNYTiCkhflcoXOQg4hBIlEjKH+PibHhvmn33zEf/hf/l14jEazyZP5&#10;p4BgZmrsuePm+z7VWp1kIs6P3j5PsxFth0UsFuPmnftsbO0Y5VjBYH8vDx/N89uPviCbThOPx9jZ&#10;3SMWczl8aIKcUUcNlDYPTY3qMh9SEnNdhgf66enuZHV9Q79Pg1yuH8iEEGxt7fCPv/49m1vbvP3G&#10;Od5/67yOtLEs6nW98KaARtOjw3XwPI8vrtzgy2u36chl+Ms/+zFDA3340ufx/CK/++RLmo0m7158&#10;nXNnjlOuVJl9ssDK6jr5XJZ8Lkt/b3cYGRJMDMuysCwd2un72mfypU5NqtXqeuFhdYOe7gI9XR2g&#10;4LOvrjP7ZIHJsWHeOHcqZLk2tna4P/uEMyeP0NvV+dL90nIjXmyB9qVFLrQZR1toaXHP89nY2kUB&#10;yXiMvp4CMdcN669Ylg5zUFLxdHmDZtOjVm9qB8OX33Gmfx1TLZTycrEAUuhQPZ0IpROKAiBgByIC&#10;OokUz8Jq+vrHU9i+VphTSjucvgAfpYkxAZ6waAoNrnwkrlA4lk1NejSUREgdNhi6mwqEkT3f38wD&#10;nUDResEGm2lmbH8n6cb0rAAAIABJREFU6L9b5WPZ9x2h4y/RNL0S7ZBMYYQ/fElT+VoyPdoUEYSZ&#10;Rhg41WqjiLbXeM3RI7SCIiNeu2lXNLhOSoEHWELqGjGeje8pmrZPzAa/aeE7HtK2tRqkLZAWeAKE&#10;IxAJB6SPquvQMCtcxGgxJMqx8BMOXgrsUp2kEAxbKfKOw5CT5NrOFo+qRWpChvtJNIsnUKY0tb4m&#10;YULs9PvSOEURsKDbYILp98d3hgxOAKQjghJBv0ZzsJQZryibFRljIQQqDBtsv1WigCcchugcCp+X&#10;osU27V/9MUCoNdP2j22rLUF3R58e0TaEZw6R2os+El/cdO0x/fAPwqSjplDkshkOTY4x+2SeWq1B&#10;oSPPcvAy6O7k6fIaoMNDHMdGoNmhja2d8N70Tf0irQYGvvTY2dljc3ubz6/c4NjMJCvrm6G08sbm&#10;NgJBLptloFcDEWEJVlbXKeSzdHd1cG/2MT1dBTryOXb39rh47hSJRJyvb97l3OnjlMtf8fYbr4GA&#10;q1/fYXV9k0ZDK1h1dxaIxVzqjWYYey+VZHiwn3g8zr2Hjzk0OcrskwWu3bzL1MSIzpkw0sLlao21&#10;jS1WR4e0RLOlk7ULHTlc10UpFcpNr65tsraxhfIVhXxOgzrjWG5t7zA+MsjQQB+T4yNk0jqv69rN&#10;u3z21XWq1Rq37j1kYWmZnb0izaYujZBKJllaWePW3YcMD/Tx6Mk8E2NDeL5HsVQOE8z7ers4e/II&#10;l6/dwg+LqesFidGhAXxfEovF6MjlQhCytrGJUoq1jS02trbZ2S3ydHnNXJMXvu+C2js3v3nAyvom&#10;rklsv3zlJrV6nYHeHj7+4hp/8qNL+L5kbnGJh4/mGOzrpb+vm85CnoeP5nFyNieOHKJUrhgBIP38&#10;rlSrPF1ZZXevGD6BdX6nYmtbS1v3dHfS19OFlJLrN++ysbXNWxdeY3pilM2tba58fZtcLsOgkcbf&#10;2t7h3uwTrdYoLMqVCrNPFsnnsqxubLK6rq+9u7NALpNGScXp4zM4tsX80xU68jmKxRLbO7u8e/Ec&#10;125+E67HPJ5bZH1zG8vWscezTxbZ2t6h0fRMqBB0FToY6O8x17DDkwWXRqPB1PgIi0srxOMxxoYH&#10;WVxa4fyZE6ET9q9t3/c547ou0xOjxGIx5haWuHT+DGdPHjEhgXqby1dvUDaiJEdmJkklE3pBpqez&#10;jfUILMhlqjca3Hv4mK2dXXLZDJtbO/rdqHT5gVgsxmdfXmfwlz8jEY8zMTZEtVbj6fIaltUu9TE8&#10;1E9XoYNqpJ6U53lsbe0yOjRAOp1ECOjr6UJYgmQiwdBAL6nUd7MFUupSGKeOznDi6DR//59+pxlr&#10;KTl+eIrBgT6U0mIsgb126ihfXrvN0spq6x4FyuUK71x8LZQY78znKORzHJmZZPbxPL3d3aytbZDP&#10;ZRgc6GFlbYN8pFREo6FFbyzL+laAVa5UufL1HZ7MPyUWc8KeUko//08dm2F4sI96vRHWaDs0Ocru&#10;3h6Xr95ifHSImAEoJ4/NcPLYITKpFJ7vUyyV+eb+LM2mh21bjI8MsVssEU/EmBofYeHpMncfPCKf&#10;0zmLOkfTImEWu0rlKol4jFjMpel5VKs10qkk9gG16qJWrzf5j//wKxCCn/3oTY4dnsJ1HBpNj57u&#10;ArfvzfLa6WPU6g0Wl1c5d/oY9x8+4cNPvuTCudOcPj5Df283UinWN7b41Qefkk2nef+t82GUhBCC&#10;c6eOUqlOEIvF6DULM/vvH9d1yKRSVCpV1ja2SMRjbJr34+jwAOMjQyZ/OU4ykeCzr66z8HSFc6eP&#10;c+LoITpy2fBaHz6ao+l59Pd2v3R9wjbb7+w8x9oYrGeck+d+13KqhYDOjgynj02hwZRFNp3WTnbg&#10;nkVCv3LZNEenRylVqiwsrT/TmQe14SCf8Yc39fIHlwLlGzARhMWp4FABy6QQtkBYQlOcro3flMim&#10;j99UyKbE9zUosZWFRGGjCxF7QuFYaEEMqRXpHCVxLIua9GkKiSf8UEFQKJ07o2TwYG21p3WNbSPY&#10;9lngdCtAqaBmVmu9X3GAm6oCBzkCsKLdqVEbAgMipcRXaBW+YDYJ8cyxQ4AWAoKAJQmb2mYB4NdS&#10;5/s3CJgXga90iJqO1Vb4npZL9ywPT0g8S+C5No4nsB2B8kFZOizOt2xsx0IkXISUqGYzZGw0hhUo&#10;YekUKkuA42JZNiCxrCYdTYtMIk4h10HedblT3WOv2TR5Yha+kAizqNvKoRR4wRiaaw+DLFRLiRIh&#10;2mpetQa5vacCdtFSQX8rgphEnRMVhTUByAuOo0FcEG3XmicBqDUgLwD0wX0vrda5BCZMUDuDgUug&#10;VQf3g+bW6IbhqJGxDcIVD2K7ApBuBaD3mWO+vNUbDVbXtyiVygTFaZ8sLLG6vsk3Dx7hOo7OWYm5&#10;9HR3gtKMRj6bwXUc1kvbbGztUK5UGUsOkMukWQnEQsz12LbNQF8PM1PjYfI6Cm7cucfi8iojQ/2s&#10;rm/y9Z17jAwOMDTQS1dnB6lUklJJO+wjQwOMDPXT19MZCgrV6w3u3p8lHouxWyzxozfP88EnX/Kj&#10;t85z7+ETHs0tMj46xLnTx+nu0mFcXYU8tm0zNT5CKpUknU5yaHKMbFZHJ+zuFbl89QanTxzhm/uP&#10;GB7oY2Z6DM/3WN/Y5tbdhygluXz1JqePH+bRk0Xu3n9Mb08nyUSc5bV1llfXWd/cZnx0KFxx7Czk&#10;2S2WSKeSDPb38mT+Kdu7e/R06byo5bUNers7GRkaIJFIkE6n6Ovpol5vUKnW9Op6Isbs3AL1eoPp&#10;8VEePppneKAvXHmXUtclnBwfZmZqnGs377K+vsXxw9N8ceUG3YUOujoLxGMxHs8tUi5XKOTzXPn6&#10;Np2FPJl0iu2dPXT5jNas6u/tIRHXL24lFfdTc4wM9qNQOLbdyqtQShcYVZJ8Nksum+HDT75k/ukK&#10;f/VnP0EpxUdfXGVsZICuQgdzC8sM9vdiWxaXr96ku6vA9u4egwO9vHHulK6H9XSF3d0i9x/Nsbi0&#10;ypOFp0ZcR4Sh+wpY29jizr1ZTtqaXbh+6y6Xr91iZmqM6YkRctk0l86f4dcffMpvf/857775OsMD&#10;ffT1dOM4TlhsuFqr83juKWdPHmGgrydc4Cl05IwIjgbF6bR2jjY3dyhVyljComCU7ZRh0o4dmaJW&#10;rYMlwlX7RrPB62eOhfd8Ih4P84/KlSrNZpNLr59maXWNh4/nufT6Gaq1GlJJ5p8us7SyxruXXv8D&#10;7vh/XUsm4rx+5gQAv/rdJ1QqVYqlcqhApxcIVfjevPj6aS5fuUE2nQpzBoPXZb3e4PK1mzQ9j3gs&#10;xur6Jp9fucGl86fDkEANyPQYHZ2Z5Dcffs784jLjo0NsbulQ15nJsTC0Kh7XLPrk2DB37s1y9eY3&#10;/OTdi0gpWd/cYmllnZjrYtmaYa/WGzoEWipW1jfo6+064Krbo2JCpUsjp728um7EKXRJhZGhfsrV&#10;Krt7RRR6MSqRiHPy2CHmF5colSrsFUuUyhUmx0bo7e5kr1Qim05jWZZWvlxa0zW+Fm+xVyzxZH6R&#10;azfvcvbEEX7/2RVGhgZIp5LEYy7Hj0x/KxAB/Yzv7+3WhcxDh0W/O1PJBArCUMGY6yKClJn1LXq6&#10;Clx47QQraxts7+4y0NdDOpnkxp375HNZdveKLK9q4LexVWJ0eJBTxw5jCcHXt+7SaDSZX1xmoL+X&#10;makx/vFXH9DVWeDS66dpNpv8n3//z1w8d5pjR6Z4NLfIbz78nL/8s/cZ7O/91utaWFrmP//2Y370&#10;1gXuPnjMN/cf0ZHP8ZN33uDHb7/BP/3mI5LJOFvbu6STCY5MT/D3//l33JudY2pilA8++ZKY63D0&#10;8BTrG9t8/PlV3rpwlqs3vuH6rbsMD/Rx4bWTTI6PHDAj2r0Wy7IYHxvi9r1Z/uGfP6C7M8/c4gqn&#10;js8wMtRPPNYqLP7w8TyfX7mB5/nkshkWl1bpyGc5e/Io/b3dLBjxjHwEdL2stfza4JNnHM7Qvleh&#10;4f03RDIRp7+ndZGq3as3++lV2r7uApOjAzxeWHluo769yc/f/gexFz2pAtWQ0JQmlMcAHKVFrbXD&#10;2BIaCMLTAgdTWQLbUUjHx2tK7ez7OoJQKIWFwlJKh5EoXQTYEQpHShwpcCyLhpA0LQtPShpS4gmT&#10;cC+EKT6swgKorcgtYUgeFV7H/usXBhRFHVwVQKRwdpk+IFCOC84RMGgCO9wuWNHR0uk++loDJT0l&#10;jPtt6j4JA6jCULCQ/hZt4yNCdkt/rhQhCxQC3nAA9MtJCIWSWgnQxwBUW6BsG+kppOfhex6+b6M8&#10;G2lrlqKlqy6wXBuRcPGljzIqmsFpAhJTCHCkjeW6kBfYMV2Y1lKSYStBLJ2iUEnx9fYWS42aDrkT&#10;FlhBiJ4ygE1oUjQgqTCKioY9k0pF+rl9fkYbtg+joZTUYY4E401407XGNAKwhTBAWIRzQyrDKIr2&#10;l2QQphgMUqB5qJUrtYCIEEoXlg42VYGY/MGmwiWL9ktUCqK5V1HTM0aYeapa4bzPdNaLWbVW5+6D&#10;R8wvLof5JXt7WvL8y2u3NCCSuvjj2VPH9FmUltk+d/o4g/0buI5Nd2cHjm2bRGgZrmoKdB7G5tY2&#10;C0srrReAgrnFZQ5N6rCgbCbNiSOHyJxL0tGR4+r1OzxdWdOFbms1FpdXqdZqLK+uk89l6MhrtcH+&#10;3m5KlSr9fd2cPDbD7z75ks5CnncuneN3H3/BxtY2R2emKJfLGrwqxeeXr7G8uk65WkMIwd2HT4i5&#10;NuVylUw6RTwe4+SRQyw8XeGTL66xsblDrVbXORq+5N1Lr7OytoGSit7uTjoLeYYHepFKFxotlsqh&#10;EtT1m3f54NOvODYzGUqHL69qEPZ0ZY3l1XUwq7K+L0kmEqHK4IPZeUaG+ujt7uSn711ieWWNG3fu&#10;c/r4YWamxvn1B58y/3SZ44enmJoY4fbdhxQ6crx26hgbm9t8fesuZ04eZXR4gF/97hM+v/I1P37n&#10;IrZjk04nmZoYJZNK8elX1/n5+28Si7lmfFvz4/OvbvBobgHbslEoNrd38H2fxeXVcLqtbWzxzsXX&#10;SKeT/OJn75BIJMhnM3z46Vesrm3w/jsXOHviCHulMksr69x7+IRjM5PsFYtcOHuKtQ2dj9fTXaBa&#10;rZHNpKlUqjx4NB/KVSul6OvpIh5zWV7dQClFNpvm9r2H/PNvPzbgNYVtWXz8xVVufnOfQ5NjnD97&#10;IizcPNDXw3tvnuejz6/wLx9+zk/fu8jIYH8IEB/PP9Vqbo7FxOgwo8MDzzgsQkCz6XHq6AzppM41&#10;8WUXY8ODfHL5Ojs7RTKpFEKIUFDD8zyu3NCMabDQELViqQxK5+NcPH+GSqXKrz/4lOHBfg4fGufW&#10;Nw+YfbyA5/n09Xa/9D3+w9vLejJmL6V0OYfdvda7D8Xy2nrI0Oztlfjy+m3+zU/fJZlI8KO3zhsF&#10;Uh3xkMuk+dl7l0glE6xvbjHY38Pxw9N8ffse127qItjJZBLHcRge7OPE0UNUqjVK5Qp37s1SqVQ5&#10;PD3OwtIKm9u7/MM/f0AukzHM1iqT4yPYllZRnhgdJp/VTutAbzeZTIr7s3Ohatva+hY7u3vh/Hqu&#10;mUvd2S2STCTo6+3m/sPHHDsyTSqZ0IsBV26SSiawhOCTL66ytLKOsCwWl9fY2tnj6coae8Uyl6/e&#10;wLZssOAXP3uP3p4u/vav/hQpFTfu3Of+7BxvXjjDx19cIx6L8e//+hf8+sPP+Or6bVPc2X0hmf9E&#10;Is6RQxMoNR4ZP517eOPOPW5985Biqcy508fwPJ/b92b56vptlFK8fvoYvd1dlCtV9opl/uXDz0in&#10;U+zu7nHp/Bm2d/YYGtA1EX/38WU+vayLSnuex+17s1x6/TSZjL6XlVT0dHeSz+owYKWUBmzpJJYQ&#10;pBIJBvt7NCD5DnARj8X4yz/7MflcDlBhaLZlCd66cBalFHvFIvlchv/xr39JX283R6Z1cfJ4PIaS&#10;2t+3LYve7k5+/v5bZLMZQIVhhs+7L4QQjI0MYjs22WwaIQTjw4P89L2L3J99guf5vHn+NCePzbSB&#10;K9D13C6eO0WxWCYejyOlr1VHzfUenp5gYmyInu8RHhiOrW5ltMXPFez6AwsNt5LzXyRpXKd96Ljw&#10;F9g8cpYfZpsfdkegIaGuayKFdYiC1XvRcgeFSZYKvxaAI7AsBbaF61h4TR/lYXK0tENtAygdJiYB&#10;C2F+LCzAFgIHrYZnC0lD+jqcUBigp3RdrCCcNcyNUoL94brBpBEqCETb30EHh1hpNbzI9m2OfSvU&#10;SwKeklpQAh/fQsdEosK8ICVb4Mqg1fD8SkrtmCPaHM+2lgWrtGZSSoNKNAZQ5voEvhDYylQW9yR+&#10;00fF9JNdSi2p7ns+vuNjS1sLjSjDyAhQtoWIu1jSR1Z98Ft9EIaKWgpLWjrMMOUg4i7CtsGxYK9K&#10;Z03yGjm6SXJtZ5P7jT3KDsQCsBjwh2axwrZFCISEAbaatdSZZJaIhKiZdob0x/4xi24XyPkFzGbA&#10;PGuFlba8qkAuVxmArCukt9oYxv2DaVNrvmt1RKHBIS2wJkPE0wqVDVoY8JoBfyWj7Q8XDA64LqKz&#10;tt2CfeT3uO+T8TiHp8YZ6O0J86PC62shV2KxGF2FPDFTwLq7S4dMTY2PmEtVuhjoXpHBvp7wYW87&#10;NqeOH2ZidIjOQkfb9RQ6skyNj+A6DunOZCgGIaWkq7NDL2xI/UJ1bB0SmIjHwqTgt994jXQ6xeaW&#10;LvKaTad447VTFDry9PZ04di2CaXQoUrvvfk6sZhLb0+nPoaAqfERvUJtCTo7chQ68vzip+/S3VXg&#10;nYuvcfveLKAdjuHBfqbGh5kcHzXhQUnevXSORCJOMhFnZ6+IJfSK8tTEKPGYLjS8tr5FOpnk5JFD&#10;NDwdsjc5NszQQK9hMvR8iMdj5MzLFwTHDk8xPjpIX083rusg0Ank4yNDdOSzXDp/Jqw/I6UilUzy&#10;43feoLe7k2qtzntvnufw9DjpVJKf//gtdvdK2JbFQG83/8Nf/CnDA70US2Vs2+Lk0RlsyyKTSvL2&#10;G6+Z+wDS6STdnR1YhnHoyGeZHBtuJaErraRr2zbxWIwzJ44ihKBUrjA+MsRrp44yNTEayvK/deEM&#10;u8USHfksF8+dZsL0w6njh4nHXGamxrEtC2kAx8ToEB35HKePHyYWc9nZKfJ0ZZXe7k7iMS0DvbW9&#10;S6Ejz/joED3dnezsFXnjtVMcOTRJPpcJn62Bk+O6Do/nnz7jyARs4aXzZ59b5PSdi+fIZVsAP1hM&#10;qVZrfPzFVd5/50JYByswBZRKFfK5rK4ltM9c12V6cgylNAhc39ji+JFDHJuZopDPcWhyjFK5qtmW&#10;Q5PP7P9fi71+5gQKKOTbV9oz6bTOM0ELObxz8TVOHZ/Bti0unD1p6q/1EY/HOH3iCI4JPR7o6+FP&#10;fvRmGNKXz2b56XuXwkKtHbksb5w7pReJFPT2dDE02EdnIY+wBO+/dZ7tvaIuaeLYnD15NMzPy+Uy&#10;vHXhLL6USF+SSiW0OI45Tkc+y+5QkWy6HVxJKXX4e+QpbVsWb54/a54HGWzbYmp8hLHhAbKZNM2G&#10;x1B/L4cPTZBOJRkZGjCOO0yPj5gFYsHZU0dxLYsg1zyZiJNJpzh78iiNRpOt7R26f/oul86f5t7D&#10;x4wNDzLQp58dzebLhZZG75nAguLQGiR2ceLINNOTOq/VEoKx4QEmxoYYGujTugX9vVx8/bQJGYfD&#10;0+NMTYxQqzeIuS6ZtBYfWVpZ09FQwuF1o9CZNAqpruvw5vmzutCx60A8xk/fvUgs5oZqf50FLY3+&#10;Xa+//t5u/ubPf94WdmrbmknM5zL87L1L7O4VcV2XjlwWJeDti+domqLWuj/0u8ASgoG+7ohYmWb9&#10;gufmQTY40EtfT1e4kJVMJjhxZJqJ0SGankc6lTowx7K3u5P3334jFBHRvpNNMqHDU4M6ct9HObDd&#10;9q1mPwewikrNU5HN9Iffcrjgu3Klyodf3KS7K8+ls0cPzKUK9rEE7BbLXLn5AMuyeOf8CeaX1rjz&#10;YJ6TRyYYG+oNO/9l2rDfIqJmL2xKge8rmr4ik3LCeOPv2knV66i/+XPUwpyW8w4cVCOioAKn0jQ8&#10;JFJC39eIMiiFkgLpKZ3460m8psQzUs1+UP8KDUA8qQsMN9ES7kGx4YZS1JVP03ynCxLLsJ5W8OMH&#10;q/loFiPoUD0ZA+celIqEdYV2QM8Y1inw5TVrpAGHZSg7LWqgaEifhvRoCoUMHFQDJlrFdQ3Dp3Tu&#10;URCyqMNRDSdhqBwRbVKAsZSRzFY6lEKLMWgXPUgqty0LB4u4sEk6Dqm4TSppkU7aJGMucdclmYiT&#10;SMVJJOPEE3HcmINl8m0sIzdOw8crV1H1ZnguLAGODbaN5drgOsi4g7QsrKZElBt4W3uwWcauCZoN&#10;WKn63KgWudLYpuT7WMoF1dSZd0rSaEhs1cqVEkqF2NO2tdPhODoZXrNHKgzxJDrOEpTykcpHKBHW&#10;BbGwTCijkbkNcjkIREMM3FMtACYM49YSYlAhrguGxUIn8gulAbIyCpq2rbeSno80BbqDXLYIbInc&#10;OC02sw1EBWMe9Euwi4hMTSJY01yDdF2O/cWf8zf/8f9+dj7/gNZseni+R8x122r/6RyZmkkiT5rQ&#10;J80YVatVLGGFL5bAqrU6jm0Ti7nPFGf0/UhdsXAOBAtaTsj07rdiqUwiHte5X5HvdT2WCpl0KgxB&#10;1cMgWmFIwmp7QfpSUi5X8Tyd4O04dhjrf5B5nkfT84lHridY3FBKl0GQUtE0ilr726+UDkdPJOJ6&#10;McSEMAWAstFoakfE5Br4vm9CMHXOcKlc0Un68RhNT6vPBe0IpIGDl7CJwMXzfaSv8+GCY5bKlVDm&#10;utFs4vs+4SwWmkGNhhAGIg7RMZRS1+XZX0ctrDuoWivIYXF3pULnp1ZvUK/XyaRTxCJAqOl5eE0P&#10;x3FwHNtIcDewLGEcH4tGo4Hj2Lj7zh21eqMRrkYH5y+VK5QrVdKppGYTDshBDMK3ovtBwNLukEom&#10;TMHU1jUFOWJSSQod+TaFtaCvakaiO5lI4PtajTYAgL7f+j6VTHzvMCDPV9Qbes44zrMLks+zIErD&#10;8xSJuI3rWC/tk8Dz7039uZ7njUYTBG3gVylFvd7A8/0QTEVNSkm1VqfR0Epw+58z+tp9PS9sh1hM&#10;50Q2PV2bLShY7boO8Vjsuf3reR6Npof7nLmllOI3v/+crs4Ojh+ZDud+cO/Zjh3mtdbrjbAMQbFY&#10;xpO+lix37DDsFb59rbz9+abY3NomaeZfvdEIc5aCa92/oPB9zDOKmJbQC0K2bZv520AIQqc/sGbT&#10;C2uMxeMxPffDd5ug0WxSrdbNM4awfMJB+b+v7I9nq5slakbIJB6LkU64uE5LXChqzne4z9/x3X4H&#10;/Hn76DAuz/NZWlsjEXMJknH3H3f/3y9y8/xgFlzOi57M91G+H66zB56cMPLKAtryVQKaS4UhVRYI&#10;aZxynadlCQvb0jLhnucjPc2QoKJMjQ4ftM2L3wraLoxst1KmtpSlC/kaJsuXrbAy7T5b4f+j7m17&#10;zFWrU1Tkk8Dh0o63AYCG/dIheyIUl/ABX2mGzRdBO/X1KkPLWBEn2iC11rlES7EuYKdUADLM961p&#10;2Nq3jZkxP34A3FD4QqB8ifTA9yRNH2K+pQseWxbKsTVYcmyUHeQe6WtUQmDFHGwZx5MS5Wma0PIN&#10;8yME+AJhaYl+4QiUKxCZGDTjiFoNJRu40mMwZpN08nTWEny+t8Fis44QPsKOqCK2eqYNuCulC077&#10;HsgAmJqej+YtRWtSmStAKUztLa3OEzjmQf5k1FEnHHPdAD3mEiGDotOmPUJhRRCPksHcMaDKMGIi&#10;ZLFUa//InAvwvopcOyK6QBE4sIRjH8zLwCGO3s7h4UVr2z+2ua5z4EqZVtJLhspzgVlCkE4dLLl7&#10;kLMUHMtxvt9q3PPCdSzLCkEDRHL+vsVsyyKX/Y7wn4hpp7+93ZZlEYu1OwtB+OS32X4nHHjGcYwC&#10;Pdd1wlA34BlnSgjRtn8w/13HaYv50Ku5Lfbm+zpllmURO8BJiq6M7/9aC6zoazpoLgXtjfZN3ADK&#10;qD2r6vasHXRdmXTquXMyus1B5ti2qfHVboHoTrSuzX6zjEhJeCzHxonMUNu2DuyL72//qh5IaM+7&#10;N6Of7x9L0H34bcn7lmU9d74E5tg2TqSPhRDEXPeZBYBvs4Pu7/129uRRXNcJc8zCc+27d6PXmctl&#10;2r77PgDatgW9kfkX5EwG8++HAFeg52bGab8H9Pw9+J573vsisJcdg1f2x7PAz2j9BQeBh++dg9V6&#10;7OiHv/yWmJsg/8iyLRLxGHvlCqsbO8S+5QY8yAH6133EfbdJH5TROWhbujfFZ7V6mwrrGkVprLBG&#10;E9EEZIG0jDtp2wgbvbTv6f2VNKqDOgYQYfJ1FGALhWs6zRam3hG6oKsnFD4C39JiGRIdXiYxRYwh&#10;rIG1H3C3/jbOeuigBvWIWo6sattSb6zZLIkntRiHBmLGAVZagVGfy4AuRaiC2MZcmVX4NjZCqnCb&#10;8MzBtoHDb+CGFeR5KT0uUmiGTkqlJdV9HcMc1PGSTR/qHtgO2L5RhASt8263VpZcGxFzwGtiBbGY&#10;AlNVWYLwNXC2DKdjC6xcAtHUimICH8eBzrrFWbJkLJvPquvMVna0HL8Ptgr6ghB0BNcYsEpStcpM&#10;h20L73vRCl2MIhkl9Rw2CKc1bi02UYPoiOBJ9FkStCcIy0SHsbbGSbV/rzSYkpJWMnAArkRrXkQP&#10;H8X60VNHf1v7vg9BlNJfRud0EKb0yl7ZK3tlL2Iv5Xc8s/HLrNj+92NCiFbNu1f2yv6rs3bv+Hn2&#10;BwUiKgX1RpO9YhXvW+TWLUtQLFeRUjLQ08mxmTEWlzcoV2s6VvT/Z3sGiL6gaedcO5FBfVd9GE0Z&#10;RJXwgtpD2jnHQ1MfAAAgAElEQVRWKCXxDXujDKskEQaEaGdXWgLlOAhLS2NbEmxfoZoe0lcI409b&#10;El2jSUosCOs7SWHCFZSiKbTSoG9Z+ErnFPloIOgbNmi/jEDo1AcX0bZaFABEWvln+/bVLKXU1xoB&#10;VyoEQKrdsQfTZ/toBinbAbzpyyAsJTi9Uip01ENxBnMRyoA3QuYkwkgpgZICpEAYj1z5SudWeVrx&#10;UTlamATL1NJSQVFmC9txwPKhqa9VSaPoJyV4ngbYArBBuRYiEcPuyKA8LTRhO1qW33UtplMJMqlO&#10;+uM2X25vs6N8HEsglK3z3URLsj24cF8qsFUYkokBzwQ5bSH6beWjBeIPOvRI19IKe1gpU7hYhH0Y&#10;Fo42Us8Bg2SOug8EB2gpYJwMO2kFAJeQHWtjriJEpGo1xbgo0TkRAZGRbdvAdzCLIl++cnNe2St7&#10;Za/slb2yV/aHWNs6NZHIrX0WopsXdT6C7WyTvzE7t8zWdrHl0B64k6DZ1DG5hyeH6ensIJdJ02g0&#10;iblOW5Hhbzvnv4q9xMlCR1dpFoTQmQQi/ypbJ9WHuU8hm9LyfaUSoaqaBlsBH6Glv8O2WQrLtXAs&#10;x9TQMiyWVNjKqAhKfRxfQdOSSClDaVcMkNMheSZczPCdCmnYjhZLYtCM/lEtBikIfcQ432EDIzlZ&#10;uj6YRCodJtjWd9obxxKWOZcwjIrpEdE6c6spQcgMoQettxFhztt+sZUWK6O30SGYdqjMpMU1FNID&#10;6ZmDCMNmeRLVlPiOh7AFjm2YKEuFgEQpgbAchCNRDWnYNwOusHSfNptYwee2rcMPUy52ZwZZrSNr&#10;ns4TsxQJTzHoSXKpPJ1Wgo+3NlmsV3Ft13CSnmYbVVDzBsywaeoy6K8AvASskDAzQEmtptjqzlBA&#10;JWSqgvkQgNM21BMBOgG7FWWMzPzWY9NCQUJYhBOTaJ2rABBG2r3vVMHB20Z2HzALmNw2kBWAKnPA&#10;8O99u7+yV/bKXtnBFn0LvYA982B5tazzyl7Zf6/2PQsN63jQ00cm2d4rHRAH+ywtrgDXtunuzKGU&#10;IuY6Jp705cCVOuDzP5SE/777Sl+iTJGiQG2t1ReKQGZbsx1m5V8Qhi1pYKWdSxmAGkQbwJJmmyDC&#10;Kwizsm0jqgAoGZBBOvFZS75r9oggx0oFzEOkvUHPhXkxAfMTZYsiTruh4gJmTkWuO9w2ZIyCaw5q&#10;Y+0b54DKIugzzZroAnitMQ2U64KcrbAQboQFQQS5RK0cJBVUsxcYiXXzY/J+fKnw0OGTntAqjl5T&#10;4Hs2uDZIkHUPiY1C524JlIn2txGuln9VCi25n4hpBcZardWfSqH1JWTrbwNvlbCx4i5WRxp2aoiG&#10;BEvhxGyk55LeaXIkkSbfm+byzgb3KyW8EC3pkgABkwZGMVLqKvHhDJQaCAZQRwQ5aYYNDIZNSgVC&#10;hoxSkH8VZgpGwFIgNBKtdty+mqPbY5lBlMhAzz0yqwJBDBGGDEZBkb51nr3zI7j6GXuG+YIwX6tl&#10;opUU/QphvbJX9spewF7av3j1bHllr+y/bQuZhm9fgnmp+LwouLEsi77eTnp7Cm1PoMCx0RtG3LSo&#10;Ixwe52AFmIOeT/s/+0NB1Q9xLOUpZFAFNiLKQOS6lDCMEqpV/FcEY2NCAQn+DpxSA66ECgFWmEdD&#10;q3+j4W9SCJCYsDmTk2MAl1ISiWxJtodUQ+RaQnDUqoFE2C8tuihgmwL2RLZabrbU/2uJXrQ7vW0O&#10;cOS4sH9uRLGdAXK+BkhYog3YKVOXSQmt9qSBmB0CrEB9K8jLklJqNguhVRcFuELgN328hoe0HVNZ&#10;WCJlMwSjGmgJLGVUsRwHZRvQZgmUb6MaAjwJng8OGuBIDODTqk+WZREolIhcEpo+QjY10rAFTlce&#10;4VdI7DWYtly6ugZIxze5vLGKtDDKiJapDwYEZQACAI9o5QUKzQ8pFeQ9Re45M9Ca7VQGfwacYMBM&#10;RTghFRlTM/eCml9hPayIqEjIgEbxeuR4Kmh6gPFbG7VNzkA0RRlgqSKHDtYJgrDTtueEIBRaiYpj&#10;vLJX9spe2cvYS/kI4XPzlb2yV/bfor2oL+FEN3ypR4JZ1bYs8axX8y2nfhkH56Aj/ZfkJHnS1xLC&#10;voqiypaDqNAKc7SYKKlkyOYEuVYt0TXjnFoRoCFM+FM0TkuJyCmEYbpaIg6+UjSVT1P5+AGwMnlW&#10;vjKAbd8rQ0CobhgQP7TOGP5WwrBrKsKCBY5usI1xvINtwraZEwVnDtkypQVQpG9ymDjoHaUdf4XJ&#10;bzJOtz63bg9SoWyjpGgEGpXSoX4imK8RFQUpJFJYSAukEPi+wG+CiikwuWpeo4mjJI7QYbEID9+y&#10;EI6tVRAjcvPCtRC2hWj6WE2lhTUM+AhAifAUwpIgbJBaPVEkYqimhLrOU/LiArczjeP7yFqTbivG&#10;+/kOVLPJ5Z1tnculMPlOWiEyDDdVuj5ae00Ofb1+OO4ttjIEVJYIgZKgBWCDRQAR5E4dFKonAkAc&#10;Zbmio9aGsEIgJE2/BEIr++ebCH+rsJBfkGXWVhNLtO/Qml+tY1nmhhH7tn1lr+yVvbIfzML1pP9S&#10;vJRX9spe2Q9t7YvBz1+AeSkG60Cf5JnnyHeDq+hxDjrmd332Q/tGLwvagm2bUodlIWRbPSAd76fr&#10;oYSS6EJocCNVCJYkRICZ2VeAkAEbgMmdEhFnsQVow7DBkF3RNXGavqTh+zSlDAUspAFZobiDCvLC&#10;wtN+ez+YbUO2LcIWaODUeq0EYC6Qb4/KnwSRgQHjIII+iIBIDfJatZeiiEv7yaavLYwYA9i0ajJF&#10;GdSgk1oAT4Qy+hpYoXOiLIFSAnwjeGFELfymj1f3cNCAwBIWyvKRdkPnVSkLLIG0BLYtsOMaLAnl&#10;634N2EeUOb6PqkuELxGOg7AFJGMgJb7yEUpL8JOOkbBylDd28asNerH4WUcfNWVxvbiOLcX/x957&#10;Bcl1pXeev3PvTZ9Z3hcKZVBAwRsCIBwJ0IK2m91NtbrVoZA0RiHNTOxubOxOTOw+zMQ+7NtGbCh2&#10;5mG1M9oZRXePRmJ3S7RNEiRBECC8KwAFVKEKVSif5avS5zVnH869N7Ngugk2W6GdwRcBVJprzzn3&#10;5Pc//+/7f4rJ8/rSa3yvfb328woHl4+xMnNc0OGJUfjxppSD+HI28YFDo/S6LIQRWXZcv2PKGCyX&#10;eZVlz8QDx1/Zh37un3tmKSSa//refcqZ1dXj+7H789ge22P7Kub9Nj62x/bY/ts232+QX82D+No5&#10;WP+Q9/l6JkpL3l/hpBIoApYj3XJWEq+gj+Y6mEKWhQD6TnCp4pNyQr1ASeXleqDKc0z9mkLuNO/I&#10;ElvlKf+BAlcFx8a0bEzbxnIcbMdRDJZTYpw8N/a+2xSK8SkXC3wQSi/lcXlAyP1OeLktJZW7UsbX&#10;6nbzQJ3v8jqqALLwL8TbWAEkxwMqmlffyXOVXSVBR6rzu4lsfs6Zo3KghBf+5raZJhyfdbOlQ8Ey&#10;MYQkqEmKBSgYENIEhmYocGw7OHkbmyJCaj7AUyyPAQEdgY7UBFrIQFoGds5RQMlxa07ZtgpL1DXQ&#10;NAXA3f5H13BCGtLSkTkTzZTIgI0WDxGxE+Tz80hL0CA0XqyqZsHMMppOo2u6254ltOuFjSoBkfLr&#10;9IQxVrM70v1PCLka64tSoWYoC7XzFUbK+tQD+Y4nuU8JXAnQPAgk3DHhgX7NO+o99gCk71/3qu/u&#10;AWVy9fZQYrzu/fwxwHpsj+2x/Tbs8dzy2B7bf0v2cMCwisHyF/4fsOHDvvv72GeV3/eAfb4Zk498&#10;8KyjwvAENprEL7qqI9CloCSarUx3V9y9BH9VH0sipVaqOwRKkt0FVx7Q8pxWG1VE2AZsBJaEonTI&#10;OzYF26JoW1i24xeL9fO+/IOXwtXKYBLeS+VEl7WJ+4VirjwHGf9zD6z5OTl4hYxZxV7d/6Pjskvl&#10;whiUhBW8/z1wgCvxrZgZFdKGBMey3DpQ3g2VcRal2yrVHC5j7RypQjgFEqGpgqpGURIQkpDQCYUM&#10;EBq2tDFNCdJC2DkMy0a3Q25uGwg0JdaAm18X0BG2jm3aCMdBR7j1pKVisLBwDCWUIRwdggZSaO5n&#10;DpqJWxAYAokoTrZAIbmErkla9SAvVNXxs2KOZVtDkw6aV/hXuIqAPgj2bliqvC2h2LkSAF69EOOp&#10;7JWAruYvGniiGl6LrpLZd5GP8PpeylI9LIkaBcLr8hJolj7tds8YkQ9fNfau1yszB6WFhpJKYPn/&#10;Zcd+TGE9tsf22B7bY3tsj+1rmgqmEmXO0310hW9fu9DwP7R9vjF/6RFOWpASEwfNsRGAITSfcXJ1&#10;2xTwUhSXvwIvoZSXgwo98+/BUx5EFQv2HE2PXXBQIKsgJUUJplTAKu84FB0by7HLRBk8pssTgaCM&#10;BiiBopJDXYJc3gv/Gj1H2RXs8I7jAS/v+r0zlxcg9jrTKcdy93ZYGbvm7+hhwnsbXpQcdX9T4QmN&#10;l3gNr2YUeAVwKaPo1D0IIZCahqVrFIAwYNpQLEiKwvHV8Io4qjZWwUG3HHRbHUsIB11IhHCQAYGj&#10;gTA0REBHWq6CniX9fpS2VPXKbHXtmqbjWFIxcYEgjg3CtlX7WBYYIYINVdiZPGa2SEBabAoGeLq6&#10;mg8XljBtB6mBsN02FW4oYln/IjzmTiA0XRVzLklP+mBYoAQ4NKG5giPCFUtRBxNlsZ5CKhF66fWl&#10;27aarvvfl65HncEH59I7tTcYhB/i6HeRt95RjrTKwWDZe3nPe0QpNNA/ht8e9x3qsT22x/bYfgt2&#10;zw/ZY3tsj+3/91byHUpehnjIY/4bV/n9OlPHo+7zVbb/2lPYbzD3SQmOSrVCCLCkxJAgNIHtFxkW&#10;/t8SAeC6plK6ctTCB0IIhX9syhxQSsDMkSr3K+fY5BybouNgSoeC42A6Fo7j1rISvtvpM0OeSqG6&#10;Hi/HSYESVbHJAyjSlVkvNY763D1uOdVwLwMh73lf9sYfjmVk0wOiwfxjlPnfPtnl5ab53wGa0PFq&#10;MpV2lG4umFSgUFM1sFZ53u49CimwpcTSJKYAU0DBsSmYFrquo0klDCh1gSZ1iraGLDoEcpKADppm&#10;gwBNGNgB1ddKaENzBwi+Yp9w88KEhVIv0QWaodgioYPQdYWWpATHQTgWhAxCzVXYd+fRihAWsC9W&#10;xbQ0ObOwjIbmSqlLXz1wlbCEiz78rnG/FwIcDSXnDghNQ9N11U4SVIFoiZROeZPhLhm49bPKT6Py&#10;oVaNdQRSOArkl4Gq8pEjHhjP7HOYpVt4wN/SlqvHkrd3uYqgGhoukP9VSWWP7bE9tsf2G9vjOeax&#10;Pbb/Ok2ueu0JxN1rjwywvilAJX/Fd4+6z280jf26C/m1+5a5dz728JgV4YYtSd+h9V2/MhCkuQyT&#10;OoTHKEhsF2jZUinF2Y5SCLQcNyTQUUIWJhJLSiyPSyo/j1/0tcQ4+CoTyFLNKVFylqUUq8Kv/P1Y&#10;RYDd1xSKuVotPV9uvpN7z/7eMYVXyFhTAEB3AZUqnuzCP1chz/ePfTCmFBo9aCHcV5r24DVE6W0p&#10;SkIRloS8BgEhCUpJwbIJSA2jdDR0TdWwcmwNcqALW1XKEqqOFUKpC2pCU0WFHUdJN5Z6ROlImCbC&#10;ckBooAUUANGVOiG6pmTecUDaSAR6bQUyU8ROpkCTJIBnK6pIFS0GljPoCF+0RPNBlt/N94FdTbjg&#10;WqiUMIRA1w2VI+aziaoumZRemerSgTTpAiMXfJWwrQfmvcUF6RFlZTLyZZ3gjQEP+98zaMr7zifQ&#10;xAO2eQBGK388/a9Faaw+tsf22B7br7NH4qDum1Yeg6zH9tj+azHxkDcPe8qNB60El5vmOrgP8ot8&#10;P95nE0pvHjYpCSFWMTP3fX/P+98E/zySybJ/X/FkGspR9YCJ5ktce85kuRvngSiv6Kt3BKcsYq3k&#10;jNpS5VYVhFS1mmwby7ZVgVwpsXFBlwusTFzGSfhclX9bQpbAnXDPquTOQWrlQhTCBTRuSKCHwxwH&#10;IUsgUXj354foeWqBKjfsqzSzdzoVbqjhFxAWq7kLL1SsnJ3y8600VfcKn2XxOk/411UOeB3H9u9J&#10;+Gyhu/qggek45KSj8qZ0QUDTCEolva5pGpaU5ByHAALHEWiOiWbZYAmECCACDrow0DVD9afmClpY&#10;lhuD557cFb9wiqbbDhLpaBA0VOGEkK6Ai8RFfhaOYSBaqyjioKfzGLZOaz7IS4kQqfwoY4U8mlTs&#10;W1iWlPWAstDQ1f2gNhKuuIkLi2RJ0c8bl+oyXObN3d8reu19puEqXgpvNAj/+v1+8K6hfOIoA4Ol&#10;K1YvvHIGHuPpC1zcM308cDHGHxdqC+0hTNjXMcu2KRSKGIZOKBj8yvvlCwVM0yIcChIIBB66neM4&#10;ZLI5AoEA4dDDj2+aFo5jEwgE3Pp3kM5kCQWDGIa+Si5/JZUmHAoRCBirPrcsm0w2iwQqE/H7isY7&#10;UrKwsERdbfVXukfLtslm80QjYQxDX/WdlBLTtCiaJvFYFIBCsYhpWsSikfvObds2lmWj6xqGodYC&#10;84UCUkIoGFQlQh5g2VweAYRCQb9d7rVcLo8jJeFQCF1/8DZAqXj3IzCefq7oI+73qFYsFilaFtFw&#10;+L77NE0L23EIGAa6ruE4kkKxgCY0QveMKccVp7Fth0KxSCgYIBAIYFk2+UKBUDBIIPAbB7sAanzk&#10;83li0ehvtW2+Oft780AeaAuLy1RVJh46jqWUpNIZQqHgV5qL5Kr5Xbh1MqX/fH0d88bPw67xN7Vc&#10;Po8mNHeeU/2QSmeIRsLouv5r9v7q5tUN1TSNQtGkWCxSkYi785ZJoWiSiMceuJ9l2/7c/uvaIZcv&#10;YJqmO0c+vN2lVKrQQohv9D4f229ufikb952y+8HDw3tXKEnxxeU0iWiEQMC4Z9VXYtkOxaJFJBzC&#10;kQ65fAEkGLpBOHy/A1G0LHK5AtFIWE3YZaFgjuO4A0nDdhxMy0bXhBqAsrTi/A9pSjZcmWk04fIb&#10;KtzMm5T9vBIXSGi+6HoJikqPoREesJJYjqQoLQrSoYCk6DFUntS6B2ykAgo6JWcUSvk+mntVyoEt&#10;az8PCGqeAy5XFXt1ANMFUWXo2X8pXZBcjklX/Q7dw0asygf0L8K/XLwAVk3TwC3M7DEf4Mq+O644&#10;iFbaDVv6uIWyvz6sch1s6WoseOlX/nVLB2wHTWgqNE/XMKUkb1sYliQYhAACIQw0KXBwEJpNSEMB&#10;J9tCWmA7gpABwYChwIDh+P0gHQdh2wov6a7T6+rDC9NB2kU1NmJhpCaVeIehuSyW9DvFLpro4SCh&#10;5mqcmSXI2hgSOkSEF6qaeWt2lEVpE4BSnl9Ze/sAxe9K4ZURU+GgUqkAurorZf3jAVrpLgKUdaMs&#10;Vx4sH5P4IN9TDCwPLS2B5dXjwMNd97Jlq8eYXy3uASCp7OpW38QqXPYAjPaVLJcvMDo2yfDYBAND&#10;I4RDIbZv3kAoFCSdydI/OAJIWpoa2Ld7O7XVVav27789wtDdMXZv30x7W8uvPNfnX15A0wQH9+6k&#10;qrLivu9T6SyXr91kKjnL/j3byecLaJrGybOXePHIQVqbG1bd/VvvfMwzT+1ldnaBi719FApFdE2j&#10;aFrYtkVHWytvfutFLNvmzIVeTMtCE5AvmPzy05N8+6VnVHFrKYnGIuzevplQMIjjOCwup5iZm2fT&#10;+i7m5hd596PPef3oEZoa6lZdc6FQ5NrN20zPzPGtl54hly9wufcmC0tLvPbiEcoumHyhwO3hUfpv&#10;D9Pe1kJTYx3pTJbhu+NUVVSwb/d2QDmIS8spUukMoFQ6L165QXJ2np3bNtHSWIfjKGa9prKCcChE&#10;vlDg8rWbjIxNcnDvThrqa0nOzHP6whVy+QK2bXNw7062blzP0MgY5y5f41tHnyGdyfLesRNIV601&#10;aBgUiiZHnzvEpvVd3Boc5s7IONMzcywurfDSswf54uwlLNPy58+N6zs5+uwhpJTMLSzxt+9/QjqT&#10;9Z1dNQdCXXUVR585SEN9LYVCkfnFJSzbVsw4EAgYjI5NMj07z8vPPeU7dY6jfod7+waYmEqybdN6&#10;QqEgi4srjE8laW1u4Intm/2mtm2bE6cvEg6H6FzbymenztHd0cbObZs4d+kao+NTHD6wm9bmRian&#10;Zzh55hLLK6nSZAs+gHNsm3g8zqsvPEUgEOCdj46ztLSCadoc3LuDHVs3Mpmc4f2PP+ef/v7v+M6l&#10;lJKp5Bzvf/w5lu2UcmVdkLpt8wYO7NkBQLFocnPgDhPTMxx95gCpdIbzl6/zxI4t5PMF3v7wM3K5&#10;AvW11bxw5AAtTfW/8jn7KvZIPseqjb2Z5ut5LR99dorzV67ze999lWAoiCYEoVCQmqpKH5w6jsNb&#10;73xE59o1jI5Nkc3l/MVFBaYDPPfUPjrWtgKwksrw5blLtLe1sq6jjVuDw0xOJXnlhcP+eXP5PIPD&#10;o9wZGUc3dJAqZ1ctsAqkdIjHY2xa30VjfS19A0PcGRljx5aN5AtFzly8yspKWjWHgGAwwIE9O9my&#10;sfuRQNjs3ALjU0nOXuzFMAy6u9qJhIJI4LOTZ9nY3UlrcxObNnQSj0U5cfoCV28MuIsbJZ/Se7Zq&#10;q6v5wXdeIhgMuuDFUf6m+zedyfKL945x5OAeQPCL94/xj37vewghOHbiNLqu8cbLz6melZKp5Cy9&#10;N27z9P4nmJqZ5eqNfl557imi0civvK++/kGGR8c5cnAv9bU1D90uly9w/NQ54rEoe3duJRIJr/re&#10;cZWiPdJC17TfCsg1TRPDWL0wV95+937u/bsXFHqA8auAeV/cDMpKIOEvCHwVwGm7c8lvC/iX28Oe&#10;8tUqgq5TXTQtJA6pVI4LvQPs27WReCziM1mGoSMQjE3NkpxdZP+uTZhFk9vDE9i2Ws3oWttMbXWF&#10;aighSGdz3Lx9l+mZRdY017F5fTvhUNBfNRiZSJLKZOlqa8bQdYZGpwgGDBrqqkinc1RWxKiMR3+j&#10;ledf1TjwkBb6FabEADQPWvlOYknhTOU1SRdEaNLx1CLUeYWSaLddMQbp4IYCOpjYFKUCV0WUjPmq&#10;sDuJL6ihIzCExHbrOikBAuWKamU0hOdzarisFm54HIoRs4SD4xbn1WQZg+AeC1cBsVx+/R4f+Z4X&#10;ZW/LAJpwc6L87RwJmivzXcZmINxC1o5ESrt0LUKoa5Orr0GUzrbK/PBH94fbB2RSK03AUiIsG0eA&#10;JQQF6ZC1bAKoJDvNbScEWIbABqIigEQgLYGecghoNo6mng1dqZsowG25EvKirFaXA1gO0lL9jdTR&#10;3VwyDA2hGwrAebckHRzbRosE0GoSIFNYooge0NhqVLGIxvvzd7GkpQC3OxBV/7qlANyDSUAIzY/u&#10;81grx5O1X4V/7gkP9cbEPZ3v5355iyHSrTHmOrfIUo7c/QvXbp9I+cAx5IH/1VdTsnK1Tm9xoeyC&#10;/WOUYbavNY+YpsnE9AwTU0kCAQPbcbh9Z5RQKMDScopCoUhlZYLbd0bZuXUj12/e5uS5S5imha5p&#10;jE8mSc4tcOPWIDXVlTi2Q0VFgoN7d1BfV8Pc3IJbV09QKBa5fO0WBdNk0/ouNUZtm7qaaqqrKrly&#10;/RYffnaSmdkFkjNz5AsFnti+id7r/Ri6Tn1dDfW11WzasI5cLs/I6ARTU+1UVak5efuWDfTdGuLl&#10;5w5xZ3Qc07T8H+p8Po9lqwLlX569zI1bt+lqX0NjfS0VibgqD1A2j+XzeT45cYbzl66ze+cWZuYW&#10;KJrmqrazLJvxqSQXr/YRDBjMLSxSLJrcvjNCLl/g7vgkmtBIxKNUJhKMTU7z8WdfcmtwmJamBmqq&#10;K6mvrWJmboF8vshKKk1FRYz21hYG7tzl+q3bLC2nmJ6ZIxgIEI2EmV9cZmUlTSwaIRaLcOTgXqKR&#10;EMdPnefu2CQrmSyDw6PU11YTj0aZX1pm766t/PKTk8x3L+M4DmtaGjlz8Sp/+8EntLU2sbyS4pmD&#10;e/mPf/W3/OEP3uDk2UsM3hll0/oupqZnuXbzNuMTU/zJH/0AAQwNj/KPf/Q9HMdhaHiMK9f7fYC1&#10;kkozNDLGd199nlQ6wydfnOWlZw9i2w6XevuYmVugob6W2fkF3vnoOBOTM6TSGaqrKti0YR1m0WR4&#10;dIL62mo0TaO6qpKWxnr6h4b54NgXzMzNc3tolKrKOBWJOONTSYZGxpiZW6C+toburrVUxGMk4jF6&#10;b/Sr17EYE1Mz1FRXceHKDdZ1tlFZkQBgYirJ6MQUm9Z3UV1VibcINj6VpK5GLSZ8cuIMT+3bSSAQ&#10;oPd6P889vY8Tpy8yv7SMlJLl5RTTM/Or1z+ASDhIZ/sabtwaYnh0nNePHsG0LM5evEYwGPQBlm7o&#10;VFclOHH6Ah/YFju2buRG/xBdHW1kc3mWlld4ctc2+gdHSM7MfSMA6+vb1wNWtm3z0WeneO/jzwkG&#10;g/zNOx+jaxpz8wsEQ0H+9f/0p+i6zvnL12lpqmduYZm1rc1s37KBQrHI1Rv9TCVnef3oM2hCUFER&#10;B5RzOje/yMWrfezctgnD0NGE4GrfALt3bqWhTjn7UkoKRZPpmTlGxiYJBgJsXN9JJpPlzt1xdF3n&#10;wJ7t2Jb6TW6sr+Va3wAnTl8gHAphWhZNjXWMTUyzpqWRuflFJqaSbFzf9UjO7koqzcjoBIPDowQD&#10;AQxDJxIKAXBnZBxDMyiaFh1rW4hFI6xtbSYQCCj/RQj+8y8+YNe2TWxY164WhqIRdF3HcRyOHT9N&#10;Z0cbydk5qioSbNnYTcAwSMRjfPjpKX7n2y8RjUTovdlPfU0NF6/e4A9+9w3/2gqFIrduD3Pm4hW2&#10;be5mfDLJ0PAoybl5EvEYmtCIhENEImEKhSJLK+r3AeDu2BQjo5N0tE2RyxUQQhCPRalIxFYBh3Ao&#10;SHNjPZ9/eR4QHNizYxWTfKN/iGMnztCxppn+oRGOPnOQHVs2/kpG/lFsYirJX//dhy6LWsGP3nyN&#10;poZa8p4h2+oAACAASURBVIUib73zEQODI4TDIV5+7il279hMPl/gs1PnOXvxKoZhsGfXFl48fADH&#10;cegfHOH9Y1+QzeXobF/Day8epq7mwVERUkpu3R7m1uAwT+/fTV1NFUXTpPdGP5+dPE8mm2XrpvU8&#10;c3DvAyMrpmfmOH7yHLcGh0nEYzx/eD9berr58txlzl66Rr6oFhcty2LPji0c2vcEVZWJr9Yonj9R&#10;7p/c73n45veWWj2W5PJFzl25Rb5YJJXKkskXuNDbj67p2I6Npmt0rmmmraWWiak5KhMxcoUi2WyB&#10;xeU0UkqCAYPk3CI11QmEECwsrXBzcBQpYefmdUzNLnClb4jN69upiEcxDJ366kry+SK3h8cJh0NY&#10;tk0ul2cllUHTBLFo6AFUyG/BHmFO1BCqwG1pvf4+px+pHExbOj614LierSMktiiTufbYCtx/rgKb&#10;cMpBEbhxcW7aj+Kq0JTsu7d65QbYKc5MgtRKDIQoc3bBUeDKPbeJ7YYD4n/vgTPFUEjAKb2nFHLg&#10;3/JDmrX8c091Rf11wxWxFQOi7k7dpqOUGD0wKlzpcF0oYK7Am3c/5VSt99dlhYTwV389ACAQCN0V&#10;ZJCqjzRN5U7ZQiOPQ8Cx0IQKF7RRfWVKVwpfB0cLqNXCgiSwbKILgagWyIBCdSqcUoBpq+LDhqbA&#10;nARpSZyiRBQdKOTVfWghkApoSUND2ra7vQDHxpECLRYC4eCkHMhaBDSLvcTJygaOL07h5f5ZwmMy&#10;VzeJcIFPKVykNB68AtBep5V9434m/P4U5ccVwv/Uy8W7N2nKfytLbBUoVlLDLfQspXttJcBkAFFN&#10;oyISJBEOEdI0DE3HBjJmkfl8kYVsngKSIG7c8z2A6puwaDRCU2M9F3v7CAYC2LaNdCQtTR0YuoGU&#10;kqrKBIahU1tThZSSLT3rkVKtMhqGgaZprO9qp7W5AceRhENBKhMJRscn+fzUBfoG7qjPKhKYpsnl&#10;3pt88eVFcvk8tdWVHH3mEJt6uqiuqqB9TQuRcJip5BxrWhpZWk6BJlhaTvHl+as89/STrF3TzDsf&#10;HOf6rUFyhQL//I9+AMDa1mb6+oeIRaP03ujn2af2IYQgFAzS0d7Kzf5hppKzRCMR/smP3mQlk2Fs&#10;cpq66ipefOYAwWCQomkyODzK8nKK7732IuNT0+6YuL/hZ+cXeP/YF9wauEM0GmZ+aZmdW3q4dXuY&#10;QtFkZm6RdCZDV/sa3nz9RYIBg7VtzeQKBXL5Arl8HhBkc3mKRYuTZy9TV1tFS2MDe3dtpaaqkmMn&#10;zrBxfSd7d22lIh4nncny/rEvKBSLvPLC02zaoBy8oeExNnZ30dWxhmt9AxiGQTqbIxAM0Lm2lXg0&#10;QkdbC4FAgFAoyJuvv0hydl4BjLEpzl++zvTMAucv32Dgzijr17UDsGNrDwHD4J3FJVqa6knOzJPL&#10;KwdKaEqRM18o+G0ipSSdzjA+mSSTy7G0nGJiehbHdkhnsv5iQmN9HT944xUGh0c5e7GXXds3qfv9&#10;/DSpTIaPjn/J3MIih558goqDe4lFo3S2ryEQMMjl88SiKoQwl81jmRbHT55j04Z1tLU28fHFXs5c&#10;uMri0gp3xydBCGzb5tzla0wn5xidmGJ8YprXX3oGy7Kpqqxgy8ZuGutr3XUfyfkr19mysZuWhjpO&#10;X7iqIjEch3A4RM/6Ti729rFpfRe6rpErFAi7TnK5VVQk2L9nB5Zlkc5kOPjkLrK5HDduDbFpQ1dp&#10;QwkViQTfe/0F+vqH+PHfvENv3wCZTI6WpnoqEwk62lsZn0xi278uYP2r2IMdp4fafRPOo4Gsvv4h&#10;3vnwOKl0hldfOMKu7ZswDINiscj/8W//I0/s2OyDlC/PXWb/3h1omiAUChEMBpienWMlnSGdzrK8&#10;kqIyESfmMiqpTJYzl67S0txAQ10NmqZRX1dDTWUln544ww+/9yoA4VCIrRu7qams4MvzVwiHQhx9&#10;9hDzC4tEzl0mEAxw+OBewqEgQghqqqs4+uwhcrk8F670MTo2CVIwv7jE8nKKbD7PmpYmvymu3xpk&#10;dHyS7Zs3qM8fYm2tzTTU15LLFbjaN8DSUopCuIgjHRzH4cihPWxY1048FkMIQVtrEy3NDf4Px4fH&#10;T7FpfSc7tm50FXRVlEw+X+DU+Sus61rLyTOX+N7rL5DN5fnzv/xrNQ+lsywtp1hJZRidmCKfL5Kc&#10;meOtdz9iS08333nlOVLpDL19AwwOj/IXP/0Fc/OLTM/Mkc5kCRgBYtEIB/bu4MDenfQNDPHW2x8B&#10;ioGcnpllcWmFuflFYtEoS8srrOtcy3dfe57mRrUgsLyS5satQSorE2zp6aZvYIjG+hp6ujv99qmu&#10;rEAT6ncpYBhYln2fL/Z1rVAo8md//mM62lr4zqvP8fHnZ/h3/+Gn/G//6l/wy0++4NTZS/zhD95g&#10;fHKaP//Lv+Hf/Mt/xsjoJG//8lN+99svkc0X+ODYF1TG47Q2N/KTn73Hhq522tdu5cz5K7z19kf8&#10;8R98H70McDtSkpyZ4/ipCxw/dY7Kijj7d6uFlf7BET4+fpq6mmq2blzHhas3cGyH77z6PMFgKVou&#10;ncny/scnmFtY4vCBPdy6PcwHn3xBKBikrbUJiRumnCtw7MRp8oXiNwZIH2T3FRoOBQPs2LyO2YVl&#10;Ll2/zZF92wkGA8zOLdHSWIdhaOr9QoqllTTRaJgzl/twHElyZpF4PEJ1RR2ViRiFgsnw2BR9t+8i&#10;hEZ3ewuOdAgGAwyPTTE9t8CW9R3UVVewnMpSXRkH4kwm54nHInSuaWRodAohhJqUy363v97a0IPt&#10;6x7LwCs6q/mAyEGt/CpGQF2vXxvK9TDLWSM/HtrNCRJSgqMhhUAXGroAR3OdTx1K8E0iDC9gqiyH&#10;iVIIoXd3HvOgCvFKfE04iQ8MbRek+ExVOU9Vxh6syrsqe5adX9GQHrgqZ7J8YIV3CqkAiQ823etz&#10;nVMNpfTn5fdoQkPXdYQoy8ly//kiC96du6GCjpfv5oMI6df79fKJdCGwhEQKW53JcdyHJIglHSwX&#10;HZhCAa6iY1PUDaQWQDMhnHIIBUDEDGTAvQ8HnKKNMB30sAaOg206OJYrymFp2LaJTIER1FQYpO6G&#10;CTo20vaUCFF5XUENEhH0ANh6BrQCcafIkYpqdOlwfHkGGwiUyfOXAE0pB1AIL1NrtcKf15Elpk+F&#10;6pSiX6UfbokUPiDzQwn9Hd3vxeqx4nWV5rGJQnFQUkhMCTiSEFAbMmivqmBtfS21tQkSVRGCkRBC&#10;L7GvpuOQz9nML2S4M51kcGaB+cUstpSuSEoJqN2H8h/VpCSVSrO0vMLLzz3FSirD0MgYyVm1apmc&#10;ncdxHNrXtBAMBGisryUSDpPOZgGYW1hicTlFU0Md7W0taAji8SiJeIzKijhtLc18evIsK6kM+3dv&#10;91eU/+6DT4lFI+zbvZ2G+lpmZue53HuT+cUl+geHCQWDNDXW8dmp80QjYV585gD5fIHdO7ZQXVXJ&#10;G68+y8j4JK88/xRjk9PMzi/yzofHSWez/Pitt7nYe5PKigTbN/fgODYfHz/NyOgkrS2N9HS3U1td&#10;RUVFnGTAYHRimtMXenn1+UoikRCa0Dh7sZdrN2/zrZeepVAsImHVDyeonKBIOMTvfudl4rEon35x&#10;hms3b7N103qOPnsIIeDytVuMjk+ylEozNDzKnbsTTCVnWVpO0dPdQV//EIvLK7z+4mEyuTyJeJTW&#10;lkYsy+LW4B2mkjPU1VQrFs8w0HWdttYmppKznLt0jcaGWpob6kCDwZFR1q5pYnB4lD27tmJaFqZp&#10;cuPWEHW11VRXVTA+Nc0nJ85gWTa/8+2jTEwlaW6qY+8TW7l6Y4Ann9hKOpPBttVCzwfHTnL6/GVG&#10;J6f5i5/8nFeef4qujjaOnzoPQNE02bG5Z/WYEm4B8LLQGsenltVzlM4qpm15JUUiEScei7K0kmJh&#10;aYU3X3+RQrHIzYE77N6x2WUwbjE5PcPo+BSmZRGPRbl49Qa6rnP44B6SM3O0tTYTi0YYn0qydk0z&#10;zz31JKblARJVNkLXNDLZPBeu3mAllQYEhqFz8eoN7twdp1g0WVpe4Xr/EHfHJnnp2YMqH8d9/oOB&#10;ANdv3qahtpqaahXWtrS0wtzi0iomWgiBLgThUJB80WTw7ijBYIBMNsfAnRFCoQBT07McfHIn0UiY&#10;41+eZ2k5xSvPP0U8HiOfL3Lk0B5s2+YnP3uPiakklm2zc+s9bf11H3u/Jx5hh69pM3MLbN+8gc72&#10;Vn75yUly+Tw7t23irXc+YlNPF688/7QfkmXZNo6j5mLbtvn5u8d8Nn0lnaZ/cJiRsUk61raiVWgM&#10;3hml79YQf/qPfoBt2yyn0tRWV7J752be/uVxLl+7ya5tm9A0jXAoRDwWJRwKEQ6HqUjEKBQLhMMh&#10;QqGgn0N5Z2SMU+cuo2kaTz6xjUg4SFNDHXW11YyOT7G2tZnp2TkVieL+vliWRaFQ9KOdHmbBYMD/&#10;Fw2HqKpMqHQUxyEUDBIMquvwcj11Q0dXVScBN8JI0wgGAui6KIuCgMHhUQYGRxifStI3cIemhjru&#10;3J3gh995BdM0V/1maEIHJNOzcwwMjVAsmgzcucvM3AL/6r/7J9RUV9HXP8iFK9d581tHFYOlaT6w&#10;LRSLNDfV8+oLT1ORiHPu0nXujIzx/OH91NdVc/7ydSanZ8kXijiOw/hkkpn5BfqHRtjQ1c7BvbtY&#10;v64dgeDTL87S3tbCuo42HMehc+0aaqoqWbummdqaqm8MLCwsLpFKZ3jz9Repqa4iEY/xv/7vf0Y6&#10;neHkucu8cOQAu3duobtrLacv9nLxah8rqTQ7t2zk4JO7WFpJMTA0wvWbt0nE4wQCBt9+5VlCwSCW&#10;afLZqfPkcnl/HKmOkeQLRYrFIpUVcTeU08G2bcYmFA54/sh+mhvrSWdyTEwlmZtfVKDav+5lcoUi&#10;O7dt5NCTu2ior+Vv3/+E2fkFDu7dSWtzIxLJux+dYOum9ezZudnvp69k3kTgJ4av/vheuycYUqAb&#10;GrFIiAvj03R3tNC1tpGZ+RWmZubZsqGDYFAh5bF0lmyuwPDoFHu2rycYCCi5ZyEIBAxWUlnCwQCF&#10;osW69lb/gV7JZJFS0tZcT0A3yOUKLIgUw2NT6LrO5vXtRCMhcvmCH+cZi4QJhQKrJuXySe+RJ8B7&#10;7OvubyIw3UQWRzpYONiujp7j5p44ruMqAS/Izb/uss7xnFRNan5RWM11JH2A47M7q3+A1TFdx1x4&#10;uTBukWHXs/UcbceRvgS8d00lgIEbJoTrmEqwPXDiw7oS9HIH2a/7PXF98geyWJ7SnNrQY0fEAzYu&#10;51EkjrTxs8ykKIW7lbWIYvI89kSW2lCu3sYDFp70uCltLAQ2Ak1KAqaNg4kjwJQO0pGYQsfWoKgp&#10;mXwMFc6oFRwCS1k0QsioKlSMg6qJZUsQQaUgadrgfqRyoIB0nnBAoAcqXNbNu2+1gTAdBCqfQ4YM&#10;RCxM0DCQ4TyCPFWWzeFoFY4Dny/MYAVU+KgDroyoLIX2eaBLfeqyTi6oFe6nD0mcczP7SgeRHuT2&#10;NiuNQdXPXlhmabBonmK+9OC/QNqSONBeVcGOllrWNFcTq02gRSLoAnSh+sAW4OgqjDXqCKojUZqr&#10;4mzoqGa5kGV0coErw7MMTs5j2pJAmTq/ZLW0/KOY0DSqqyqoqark6vV+tUrvhnGspNKuwESA2uoq&#10;hBDkC0XOX77GmYu9CE2j4CY3H/v8NMZJnWAwwNMHdrNv93aVpB4KsmfHFj789BTLK2l6ujuZmp4h&#10;XyyyfcsG1q5pRtM0Wlsa2bVtI9lcDoAd2zbS1b5GiWNkcqysZNB0TSVR6zo11VXE41HyhSKnzl6i&#10;ub6OnvVdGIbAceDwgb385X/5OzLfzjAyOsmt2yM89eROpBDEolHuTkxRXZGgqa6OyniCs5d62bCu&#10;nZ1bN7Kuo43f+96rDI2MqWRvS4XUhsP3sxSO41AoFAgFAyAEHWtbWdPcgOM4KvwwrlaiE7EoW3q6&#10;WVlJMzYxRVtrEzu29DC3sEhwKkChaGKaJpFwWIk4aBr7ntiOaVokZxVrpOumG24j2LShi7aWRioS&#10;cS729nHx6k3GJ6a5MzzGzPwCqUyWyooEtdWVzC8skYjHMAyDRCzGxu5Ofvrz93n+6X00N9ajaRqn&#10;z19lbn6Rk2cvkisUWNvajABeO3qY2YUFJqZn+cF3XiaXL7Khq93PjbBtm2g0QjqbJRoOu3kTujt+&#10;MkTCIRrrajBNi9HxKSXKgxLkGB6bQDoO08lZ/tONWxi6Ti5fYCWdoSIeIxwKUV1VQUUizq5tm1hc&#10;SjE2Mc26jjX0dHcQiYTI5/MsraQQmiAWi2DoOi2N9QSMAFMzcwyNjLliNzA6MY2ua7z6wmG6OtqI&#10;RiIsL6eRjsO2TRs4fGAPoxNTfPDJSZrq6/je6y/Q3bmWS719/g+bpmkMDo9SW12Frqlw7OmZOa5c&#10;u8XScor62up78jdgeSXF6Ng0Nwfu0NW+hu9/6yhLKyk+/eIMO7f2UFdTxd6dW/jlp6cYGLpLW2sT&#10;sWiYhtoaCqbJ5g3rePHIAc5e7MX6NQ78o9gj+Qjl9Pwj2r7d2xGoHDtNaPxf//4nfHHmIi899xQH&#10;9+4iHov6obylmAH1XtM13njlOUbHp+gfGuHbLz/LX/z0F5iWyfDoGD9/9yOefXo/1ZUVnDx7mZGx&#10;Cf7wh99hw7oO9uzcwltvf0QgECAaCfHx56eZn19idGIaI2AwdHeMbCbH3fFJDENn+O4EG9d3smFd&#10;Bw11tdy4NcjdsUnq62oYuDPCtZu3mZ1bYHFphcrKOHW11X742+YN61jf1a7mgV/V5rL0OyI0lZ+v&#10;u3nMKsfK9nPSbw7c4Z0PP6PgCkdpmuDiVRVm++Fnp/CEKLZu7ObNbx3l3/zLf0ZdTTU96zuVkAWw&#10;sbuDqqoEH3zyBaap5o9CwWRkdILO9lZeevYQju0wO7/Al2evsO+J7WzqWYcmBPMLS1QkErQ2NTww&#10;BysUDFJbXUVlRYKKRIxoNEJ1VQV1NdVUVsSZnVsACZlcjnOXr1Esmu79S6LRMG3hZkzL5MSZCxQK&#10;RRrra2moq+G5p/YhNEFPdyeRB8y5X9dqaqr4X/6HP6a+rgYhBBd7+6itqUY3DObnl1jX0eaGYkdo&#10;qK1hKjnLm6+/6Pr/AfL5AnfHJnn5+adY17GGP/2jH1BTpebX4dEJKhPx+5hsIQRrWhp581sv0trS&#10;wKWrfW7KkkkmmyMcDlFbXUUkHKKyIs7o+CSpTGbVMRrqa/j+t48SiYQJhYLuPOqQiKvwS8MwuHn7&#10;DkPDozxzaC+tzU1fK0fL8x3LXdUHPfHGvX5soVDk1PlrjE/P0d7WxGene0lncswuLPPZmcvEoxG2&#10;b+yks62JQsEkk8sjhMaVviEWl9MEDJ1IKEBlRZxYLMKapjoWllIgJPFYGMdRK9yaEOiaRlVFnOqq&#10;OIahMZVcRBNQX1vB4Mg0vbeGCRgGdTUVGLruTyrfDAn6m1tKFsnbBTTNAMpUA4XLUnnIxL1iL7rW&#10;D7tyV+6E0PxCuEJ4xYlVJKAo17X22Behu+wOPnJaLZyhNnekwMbBQYVsOQK1+i9c6Xc330o6LmSS&#10;98isOwIH4aoDekqBjvu3jJF6mK0mRB7Sb2o8lAtQ+D+6/n24bVnmJauJV4VdaponI756dHgsh8fT&#10;3XsB0qPShKcIqbvhLdJlSaCIJIcSfxCacNtNhVU6jqSoaZguy6YLQUgYhHI2RsBGBFy2CYHugCza&#10;OHYOoRsIS6k+OhIs78KKUFguEAoW0A3hhzYiQNheSWcHqTk4mkQGdYyQgaZHkUYAIVNUFCwOVTSw&#10;YMG53CxC15F2KcnenwikD4OQbh/7nbQKzOKD41W9KP2NfZAqy/ZXxJ309xWU8gIFjip27J3Hcohr&#10;0FVdxc7WBtrbaohUGQgjCMLA1hU7rPLUBJojIS8RloPMm4hCAXRBwAhQbwSo7WxkQ+cahqYWudg7&#10;zN3peUwUqPNqzH0dM02LlVTaFRLIY9sOxaJJNqdetzY1UFNVQf/gHdZ1tBGNhDl8YA9bNnaTLxTd&#10;lVuT2poqYrEIhWKRSChEoCzpt7W5kTWtjVzr66emqoLL1266K5Qt/nORWknz8/eOkUpn2L1jM9f7&#10;btPW3MiP3nyVX356io9PnKa+tppgUIUx9vYNcHPgDnPzi3R3ruXO3XGW02lfabBQKNLcVEc4FCYS&#10;DvHc0/uYX1hU+Q1tLXxx9iL7n1DsGUgMQ1OM3cw8/+m//B35QtFf/VlaSTE6Ps2f/fmPMQwNQzfY&#10;vmUDO7b0sLS8wvv9Q8TcXIiN3Z3cHZ/kyvV+fvDGy/6zb1oWpy9c4fMvz9Pe1sri0jJ3RsZ445Xn&#10;uDM6wblLvcSiUbZsXA8oRz6byzM7t0B9bTVtrc3K4dQEQyPjjE1Ms23TehKxKD3dnSRiMRWC5wKB&#10;RCLGrYFhMtksT+3bxS/e/4Sp5CzdHW3s2bmVDz87RaFYxLYlB/buRDpw5dotNvd0KzVDIXAcSSgY&#10;YGR0AkPX+Oj4aTZt6GJ+YYmZuXn6h0Z47ql95AsFLNNCRASVFQk61rZy9sJVTMsiGglx+dpNJCqv&#10;RbW3O9c5KiKivraGdZ1rqUzEWF5Jc2dknEQ8SjAUoCIeY3FpmY+Pf8nNgTt0d7aRnJ1naTnF97/9&#10;EuevXOfsxV66O9dSV6PGxzMH9+KFBVqWxUoqw8mzF4lGwjz5xDY2bViHrusEA4pFkqDGrmnyxZlL&#10;7N+zA0c6NNTVuKvRYtXz8tqLh/nZex+zuLxMY6ie6eQc6zraOH/52io2BtQi5cjoBN999Xl+eewL&#10;/sU//REH9+6kt2+AutpqWpobEULQ1FDPm6+9yPDoOH/x058zNT3Lj996l53bNmI7Dql0hqJprjr2&#10;35v5C1eP7qVYlsXi0jL9t4e52jfAl+evsLi4zKH9T5CcneftX35GIGBw9JkDKgfO/b20HcU4eovb&#10;um5g6DqxaBRd07AdycpKhid3befp/U8wt7DEucvXOHJgDwKIRMIcfHIn4VCI2bkFtm/pYceWjUwl&#10;ZymaJg31tezYupHFpWUcqdijJ3Zspr62hsb6WoyAwcLSMoWiUgfdvmkDk8k5bgcCrG1por2thVgk&#10;StZlLDxW6tfZF2cucvHKDXpvDuBIxQBHwyFMy2ZiaoafvPUu1ZUVfO/1F2mor+W1o8/glIWFzs4v&#10;sn/3DjZv6PJBaWVlAk0I1nWuRRNC5d64qSd/+MPvEAoGWdPShGPbTEzP8tFnJzlyaDfPHtpHY30d&#10;WzauR0rJS88fIpcv8P/+9Oc4UjI9M8fd0UkcqeaBqooET+7eTkdbC1JCcnae0xeuUpmIc3PgDqMT&#10;01y4cp3a6ir6bg1RKBYRAhYXVygUlHqhbZdqaOq6QNOC9Kzr5NbgHaZn1HN0b7TtNzXmg4EAa1oa&#10;KRRN/urn73HizCX+xz/5Awxdx7IsXwVXCKXJYFoWNdWVmJbFles3+atffEBXextP7X+CcDhEYzDA&#10;5PQMb739MTNz8/zhD79DKp3hUm8fcwtLxGNRtvSso2NtK7qmEQwEfXLBcRTRomkC3cthd1NFppKz&#10;jE0kmV9corqqgq0b19PUWEc2m+PtD49z6uwlntq3i/Vd7Qh3nvviy4vU11arc31Nxu+rPt2rGCwh&#10;IJvNYzsOlYko8WiErrUtLC6vkM0X6FrbQiSspH6Tc0tcH1BJZJFwkCd3bCQ5v8TI2DRC011q1iBX&#10;KDI1s8DSSppsPk99bTXSUWp4FfEo4VAQXdMxdEM5QBLqaqtIzi1zoz9Jz7o2aqsrV8WWftPT5tcF&#10;bUXLpOhYaLZwpb7dVSWhWBXdZaEMlwnxVgelBpoj/G19ZsEnpBzfKVWAylvJKcEIdSCxakIX0gEp&#10;Xf9Y4GgatqFjCbBRku4qn0flLznSxpEONrbrIKtJyMFVfnPbpSQJ7wKzh7XWAz6+7yOfHVMMmO/s&#10;u9ftM0/CY8o8zm612IIvlYe3rycveP/o8DnDchqjRP7hqSP5XwmFkB0BFlDAQcPBcJkyKVWbFISF&#10;jYZER5MmutQJGwaG0DDyFsGcBppaRfeUA6V0EI6NZqvC1I70gIi6KDunIZct7KiDFtARhkB3NKRl&#10;IhwJ6NhFgRSWGje6jtR17ISO7gi03BIVyyaHKuqYLK4whokBaI4LM+8LH3XDLmU5AyX8b1e34/2d&#10;ujqYdDXjVV6SwVt1FIAmdQRQEA66LdkQjLGnq4V165uIJww0vdRRAgfd0ZUwSt7CzhWws0XsVIF8&#10;Nk8xb+IUTQyhqXknKAhWRYhUxdlZW836w3XcGh7n/OAII4tpipo36T36xBoMGHR3dVBVkWAyOcfn&#10;X54nEgnR2tTA4MgY4UiYhoY6pm/0Mz6VJBIO0X97mOTsPFJKGhpqmZqaoa21mf17tnPmYi+6EBw+&#10;uMdfzdN1jSMH9/LOh8f5f378M5oa63j9xSPU1VT5YzSTzfH80/tpb2vm1LnLVFdWsqalkWg4wtaN&#10;3Xxy4gxP73+CeDRKJpvn2o0BpHR445Xn2bZ5PT9/92NuD97lB999mYJp8u/+w3/mv//j3ycRj7G5&#10;pxvDMPg///wLdmzu4drN29wdm6IykWBhOUVlIsarLzxNKBjCNC3eeOU5V/1OsJzK8It3j7F983p+&#10;9L3XsFwGpjIRx7Jsqqsr2bd7O4l4nHOXrhEMBtjS0810cp5PT56joV6tlpqmxbr2Nrb2dLO4kuLG&#10;zUG6u9YSjYYV4DtzkapKg7Wtzav6Z2klzQAAgP9/7MIS84vLbqK7xkRyhkQsiqaVwoXeP3aC5Owc&#10;oWCQ5ZU0m3vWUeuKNFRWJOhc28qNm7dZ09xIIh5TBbg1neHRMUYnprhw+TqT0zP8+G/eZf/u7dTX&#10;1bBjaw9//Xcf0trYQH11Nc2NdVRVxNmzayv9t+8wmZxl947NxGJRKhJxV668wItHDpDOZKmvrebE&#10;6YvsfWKx5fKSAAAgAElEQVQbdTVV3BkZY2FxmeaG+jKmAsLhIJvWd7FhXTsT0zP87J2PGBoZ40dv&#10;vorh5mHs3rGFV184zMCduwzfHWdzzzoCAYOmhjpM0yIRj9HUUIftONwdn2J8KqnUTjXB7aG7DNy5&#10;y9aN3SynMpy+0Es8FmFzzzr11Ggal3pvcuXaLZ58YhtP7trKxSvXH5gabUuH5qZ6Gupq6B+8i67p&#10;TEzP8Cd/+H1+/u7HPPvUPiLhkD9PpNIZpmfn+ePf/x0+PH6Kn/7sPZ4/vJ93PjzO60ePEPAWBIoF&#10;Ll27yZXrN6lMJPjhd1/l81PnmE7OMTI6QSaTJZ8vsn/Pzkd+xu+18rb/bdvySpq//Ou3CegG1/sH&#10;2bNzCz3dKr/T81F+8f4xNveso7pKieQUiyZmsUgsGvFD4WXZD5ynLrd9aw9bN2/Ath1u3BokYBjs&#10;3LqR4dEJzl26xreOHuHIwT1IKQkEDHZv38zg8F1mZufZs3Mr2zevZ3Z+kXQ6QzgU4sldWxFuGKmh&#10;60o8QkqSswtcuNrnh98N143R093Jts0baGyoJR6LMnx3nOTsPF0dbX4Y9INs1/ZNBAIBllZS7N+z&#10;Q4lp3LzNnh1b6OpYw+j4FC89e4iOthbCbghh+U9QTXUlXe1tLsvkxlwI4S+Geu89UY9LvX3ki0U0&#10;oWGalu/8b+7ppn/wLgNDd2mor2VrTzc96zqYnpljqbVZ+VK2ZHFxhTXNDUTCIWKxKFGXUZKOw+zc&#10;Ileu3SIejTI6OcXs/CKRcIiKeIy745PU1Sg2dyo5qxQPa6pYcpUYPRsZnSAaDZPN5ZmemaO9rWXV&#10;4tw3aUIIxien+bP/+yfU1FTwr//nP6WtpRnTstANg6wb9i4l5HIFaqoryeULvPvRcU6dvcJLzx7k&#10;yKG9RCNhTNOit2+Av3n7Q7ra2/jn//iHNDXUMb+4zMzcApPTM1RXVNDpKuuWR78AGLrugjjbD2O2&#10;LAsAx5bMzi0wMT1DsWiyvnMtU9Oz/OK9YywsL/Pd155n++YNRMJKgXFiMsnEdJIjB/asUuP8qlZa&#10;dP5qiGF1DpaEmso4B3Zt4cTZq0TDQeqq4yQjQcan5uhqayIY1LFtSUU8xpM7NhKJhIiEQlRXJci7&#10;aimhYIA1zXWspLO0NdcRDQe4NTROTVULPV1ruDsxy2Rynp7ONVRXxf0OnV9MqbojmkpmLhSLpDNZ&#10;CoUiQVfF8LdnntfPV5xN3Q2dUm0pXXrgSkPTBAE0AkJDl8KvmSW8VX2ttNrg5wNJFbAnvfpE7mm8&#10;nKJSJWAXX+hewJNy0DWke1x3UUYDyxVxsB0N03YwHYm0VcFiJb4hXRljSsIHHlvlqHwAVXcLn7l6&#10;UEusaseHALDyZvVxkFANUKrbVFL589Cj9PrmnuNq4gE/f+Ugyn1RrqCntvFyzUq7eQqZZeupbrMK&#10;TBx0BBi6Yvm8uh+ArUmkK9snKBLQdAwtQKgoMTISdAV0cXGWkEIBJSl9mXnpnsuWSs0wkDYJLhch&#10;GIaQUBLyjglFpXaiOQqUaVLl4aEJdE1HGCGoiKKnVmh14OmKBn6xMEoBiSt3gj/OUe2+etnCpwb9&#10;fCvhtpfffl6zrQJZ6no8klG4MZge66faWriLCQIHDdO2iUnBE8117OvuoLm+Ck2zIJ3HLJg4po1t&#10;qWTmYt6kmLfJpooUTFOt7NkqVNMrjSA0xQJrmkNwIU0ksERVZRWJuip2d9TR0VbJlYFpztweZc4B&#10;03l0lymfL3BneJTBkVGGRsbp6x+ip7uD0xeuqtpWRhWmqRitlZUUi0srDI9OEAmHlHR0TbWSFU+l&#10;GB6dIJvJkspkGR2fYsO6DndoCtdp0RibmELThD/ePAuGgkwlZ7lw5TrnLl8nEY8yPpWkpqaa+cVl&#10;0pmcSnhGEo9F+P4bLzE+NUMiFiEaDvHm60f5t//+J/QPjjA2meTZQ0+ypWcdmiZIZ3L09Q+yb9c2&#10;dmztwTQtrly7yfrOtXS2tyKBgSGVv1RTVcn6rrWqbQpFxs9fYWF5meZwHeevXOOVFw77YX/jk0lX&#10;WStMNKJqTwkUY/fy8yqfbWZ2XklRBwKkszm+PH+FweFR5heXGZ9KomsalZUJlpdTVFdWKAbbH4OS&#10;SCREY7yG1pZGH2Aph7zob2fbFlLCD7/7GhvWtXP95m2u3xrEttWiXzqTJZPJUTDN0nMuBL03+jm0&#10;bxehUAAhoKaqks72VurranjthcNKKWwpxbNP7+P9Yyd4/vB+JiaT/Py9T0jOzjE2meSDT07S1b6G&#10;ttZm0itp3jt2goa6WoZHx/n+t47SUF/Dyf+PvTeNsuO47jx/Ebm8tfYVS2FfCRLgAu4SN1GiKIsS&#10;ZcqSZVm22rI9nu4+7e7p6ZlzPP4wZ85Md8/S57inPdN2a2yPl7YteWzJLUu0RFHcdxIkQBAAgcJa&#10;G2pfXr0tMyNiPkRmvleFAoGCSEm26x6JqPdeRmRsGXn/ce/935ff4Gc/8zCLlQpvvn2C7ZsH7DvF&#10;sXGa07NzvPT6m9TqdTau74vHvp7mMHMdh4mpGZ5/9U1Onj5HrVZjobSIlDIN3o/CiIQGeWpmjrPn&#10;h9HKAqzh0XEqlSqT07OoyMYTd7S1sn3LQPqw+57H5x79OJ7r8tTzrzI+NY3vuTHFfOMQ0BjDK28c&#10;4fjJs+zduY2//Pb32b1zK9ft2s5T7a/y7See4bOPfAyw75rvP/MSG/p76evt4tMfv59//7t/zH/z&#10;m/+WRz5+PwdvvD59Xy6WKxw6coytmzYwNj5BV0cbruMwX1nktptu4K7bbuSFV998X0gurkXjuFYt&#10;paO9hX/yS19ASslv/96fctetN3Lz/uti1zpb6ytvHEHFBxd3334zxUKemdl5NvT3LrHeJNfrWKfx&#10;PQ8dA+rX3nybn/6pj5LNZijkc1SqVZ587hU+/fADjdLGslxWqjWryHuedc/Deowsz+MXhqE9rNi1&#10;nZsPXIcQsGvHFsIo4uYbruP2W25Ic0hdnJjixOBZujrb3xNgvXXkBK8cOkJXZztvvn2c2bkFTp8f&#10;4tiJQTo72unt7uLxJ5/H9z327tp+CdhI3vGO41wSE7pcIqW4MDzGYqWKFJIoCpmYnCaKIoZGxjFG&#10;xZ4yAvbY+LCN6/tY19eDMYZjJ0+jooj7P3Qb+VwOEd8XYNeOrfzTr3yB/r5uHCl56fXDDJ69wMfu&#10;v5u+7k5m5xeoBwFtrS28fvgd/IxPb3cXp85coFkjOXTkOG2tRbo72pmanmV+vnQJi57SmlJpkWzG&#10;JxMzOpYrFQq5fEp6E8T5vN6L6rxaq/N/fvU/c/cdN/LRe+8in8vGYNRhw7oeXnnjbW696QZq9TqD&#10;54e49+6DHDpyjNcOvc2//Me/SH9vN75v19zw2EX+y9/+gAfvuZMP3X5Tmp+wu7Odz3ziI2muwUtz&#10;7dk17PkerS1FSqUyw6MXycRkLkJI9u3dyV233RjjBktg8o1vf59sNsM/+sRn6O/txnUaOSFPDJ5F&#10;Og7d3Z2X5Gm8drm8LnEJ/DVC4MZ5LYZGJzk3PM5iucrM3AJvvnMa37MMWQIYvjhFrR7QUsjRWswz&#10;NDqJ53qUKzVOnRlm944BshmPk+dGGZuYIev7HDp6mrlSmamZeZTW3Lp/N7lshiAIiZSmUg04dPQ0&#10;riO58+bruDg5y8tvHuf63Vvo7WpfNeK8ejHvNU4riMB1PTzPt9Y3YfAQOMIqSW6c9coBa8kiTkoc&#10;K5qJwmowKc20ZY9bQsae3ittI8Yy6gkaCWSFwPJtGJQ0JAF4woDQNlbFoEFrUDY/QKQUkdJE2qCN&#10;SOm0LSFHAqZiAGAaVor3GL1rG9oE8yT+W3Gfmk8wZIwYjdHWxZTYJbIpKZY1AF2KjkXTeButaY7L&#10;agCIBICJJnyYWPSsC0YkIlxjTaxKJ7BIIHRswhZWGXOkwFOavCPxTIRwJKLgI9zYghO3NaHDT/k5&#10;dAJ6IagGuLPgtLjguRacOA7oCCKN0BZQ2MkU4FhQI7TA5H1kTuDVquz2fW7KtvLa4jzCSYOeVpgE&#10;S0SRBgGnONSkLJSNK5PItySZs077cel8i6Vf2olGq4heT3LvjgFu2DJAJpTMDV5kYn6OxXqdej0g&#10;iqzF1LoH2BMJbRIAruySj9MkJG62QoJjBFlj8MM6C9VpWmbK+FMFiv057ts3wM7eLl44dhZXrl75&#10;ipSypAaRoqWYZ8umDXz2Uw/hug5vHjnOiVNnOHX6HOv6e1i/ro/XDh3FGMO6/h7eHTyHkIIP334L&#10;5UqVJ5992TLMITg/NMq2OGh58MwFvvf0ixhj+Be/9gsMjVzkT//q2xzYt5v77r6Nro42Mr7HpoF1&#10;bN86wOz8ArfdfAN33HKAd94d5PmXD/HoJx7gqedfpb+3m107tpDLZWMWu1jp0pr+3m5+5//9Oq2t&#10;Rf7Hf/WP0wTE0zNzjIxNIKTgpVcPo5RiYnKGI8dOcnFiGm00jnR48N7b4zxfgrHxCb79xLOcGx7l&#10;n/3yF+nqbOeJp1/k//q9P+XTD93PDft2g4CJqWn+6GvHyeayuFLy4D13Ih1JX08nXR2tjF68iNKG&#10;bDZDb3cHt958Ay0tRSrVKp966H4WSos88cxLbB5Yj1KK5185xEfuudNaQRBEkWKxUrWEDAY8zyMI&#10;A5RuZtcShFHIxfFJshmf4bFx604mBUEQ8Bf/5bvML5RSmmalFFPTszw9PsncwgITk7N86XOf4j+e&#10;/zM+9fH7+eOvf4tvPfE0j378I/zylx5jeHQcrQwZ32fTxvX82pc/x+GjJ3j8By/wa1/+fEoPPHxx&#10;nKHRi9x7560ce3eQTMbn3rtuZWRsghODZzn27hkK+SzPvfwGG9b38cobR5iZXaCrs42d2zZTWlzk&#10;8e+/S7VWY8vAer771Is89siD+L7PwPp+ujrbyeey5HNZHn34AY6dPMOhw8e4btc2xsYnee3No9x+&#10;y35uu+l6btm/N13jrx9+h5Onz3PXrQfYMrAh3ges8nPm3DD1IGDblo3093YzenGSaq3OJz5yD8Vi&#10;gdJimShKHZ4RWPfTRz56D4vlCm8fP8X/8C9+lUzG52c/8zD/+re+ynW7t3Pdru1cGBnliadf4jf+&#10;+a9QrdZ45sXXGRq9aPMsvXuad94d5Mbr9xBGESNj49TrdXbv3Mr3nnqBmbkFJmKimX17dqZJrs3y&#10;wNyfcJFSpkH/UkjOnBtaQuKAgbn5EkkE7MGbruevH/8B/b09tLe3pAcCAuuJ9M3Hn6RSrdoUO1pz&#10;cWKKv/zWE3R3dtBSLHBy8BxTM7MslMrWInnTDazrt4Dh3NAoL752mE0b19HZ3sjDd6mngtUnLoxc&#10;5OyFYRZKi7S3Ftm7azuL5QothTzDoxcpV8rc/6HbaW9r5eCN11vr1BWsL9u2DLBn51YyGZ9ypcLZ&#10;CyN854lnefThj7B+XS9trS3Mzs1bl+MVAJTWGutycuWxL+RzfPZTD6UvP5uD6jXmS4v87KMfb8xR&#10;7FIWRSomdLGgJgjCmChHYXLxuz1SuK49jOlsb011Ed+3ieEzvkc+nyObzQI2PdK2TRvJZjMUCzmC&#10;IKBWqxFGEUHdEsq0t7XwwIfvQACFZoKIWGZm5/k3v/VVHrznDu7/0G2cOHWW3/vTv+JXvvRZrt+z&#10;g+888RyvvHGE//affJm+ZXkKm+XdU2d59dBRXNfjyNGTKKXp6+/ml7/4GJ995GP8b7/9+ywsLjI9&#10;M8fGdX3s2bWN3/qdP+L0+WH+8Gt/TRQpstkM99x5C/OlEq8eOorShudffRNHSvbu3Mqjn3hgxVhd&#10;sOOndMOHae/ObbxzYpD/9Ef/Hy0teYIg5BMfvYeervYlMVQnT5/nzaMnqFZrjIyN23b3dMaxYJsY&#10;G5+ikMvRUrj2ROeNQ+dEpzEN3XWZXLrCY9/1ttYCxpg4YFiyc8sGgjAkUoq2MCKXy7C+r5vuzlYc&#10;R3J+eJz9e7fRUsxx+vwYruvQ191JEIYUcznW9XbF7DQ+PV3tbBtYR60eUKsH5LMZervbubOwl+m5&#10;EtVqnS0DfbS1FlnX28XZoYtUqnW0NjjOyoOyKuPTFUfvKsRATkpcJ/aPReIicIWlbreAylKNi9h9&#10;kPj0pxFjZOkFpLR5G0RsvUkWVXqrJNgz3tq0sIxrxGBBCIESxPm0dEpuYZT9jAatIKWJ13GSOpPY&#10;qmJyBwx1NCE271ZkNJFJQImJ3bsS0oQm5sCGb9mSvayJziNVuJPNOaVpj69LPjf6mWj7Sb0WiaSp&#10;mpc8HLZ+nbTAkJ6kpvdK25hQ2DdJYs0Q1mKVWFyS/hhhkzxHWpEsP9PULqOtubouoO5IKkYwLzL4&#10;gU9h0cSGLyeNuRJxW4SQLGfniDBUEMhaneyih+tnLMjyPBAhKGu5Mo5GaIlxNUYLJMmLRGGKDnpR&#10;U1QRNxRbOVMvMxdaEKuEahqbxAHTpCfaKTAXIONxFE3X2uGNXTYT4J0A3GYxNiYxDnFDCokBlFZs&#10;aGnjI3u3sLsrz/jwFGeGJ5kqL1I3Gjem5QdhwWk81kZqBJYAxjG2bULYYwCBdee0zxmU47XkCIVf&#10;rZMZLtM66dPVXWRgcz+fvftG5vZuZrXSUixwx8EbuTAyxt9872nW9XWzZ8cWpmbmkFKyY9smHnrg&#10;bnzXQ2nN5oF1bNrYTyGf4/W33uF3//DrdHW0Uy5XkY7kkY/dZy1AQnD0+CDfe/oF5hdKKWDq7mzn&#10;5v172btrG08++zL/+2//AR+99w7uOHiAPTu28uKrb1FaLNPf28PxU2d4/MnnePgj93Dz/r08/fyr&#10;fOtvn+JLn/80h44cY2jkIq7j8Ad/9k2OnrDub//H//SvGBoZ5Q/+/Ju0thT4tV/8HJsH1vNr/+hn&#10;0z4HQcDE1Aw/86mPsXvnNpJd1nUdZucX+No3HufdwXPcsHcnv/6rP09Pl3Xz+8xPPcgbh4/xl9/+&#10;PvOLZbZs2sD6vl4O7NtDb3cnFyemKOSzaKUYPHOB7z71AuOT09x56410tLeSz2c5duI0I2PjbBnY&#10;wEJpke89/QJdnR08/JEPc35ohOdfeZPOjuOW3lsp+nu7ueXAdezbvQOAYydPc25ohHwuS8b3Absn&#10;l8tVfvD8q3S0tTJ6cYJNA+voaG/F9zy++NgnaW9vTS0yYRhyz50H2b1zK68eOsKXv/Bpenu6CUJF&#10;S7HAr/3i5/nTb/wN5UqFjva21AugUq3x7//Tn7CwUGKxUmF6dp7/+d/9Dp7v8fH776a0WOHWA/vo&#10;7mrHdV3+w1f/M+v6eqjV6kxMzXD7wf3cdP1epmZmKRbyfPyBD7FhXR/r+nsYGrnIXz/+FL3dHXzl&#10;i48RKcXjTz7HX/z1d/nsIx9jy6b1vP7WO0xNzXLz/ut4d/AcTz//Kjdev4d77rqFl147zFtHj9PR&#10;3pq6D9bqdd46eoIfPPcKXR1tFPL5S5QfIQSHj77LqTMXKORzdj+I/fqfe/kQ9SCwAFNrjJForfjQ&#10;7TezWK7w7/7jH/KVn/sMfXFc2bq+Hj7/6MP82V99h//+n36F//v3v8YjD93HhZEx/tf/8Pt0d7Xz&#10;z37lS2zZtJ7nX32Tr/7JX7J35zZ+7rFPMHj2Avv2bKevp5N77jrIzfuvY2pmjlfeOMz2LRt54/Ax&#10;zl0Y5abr9/LjldVqJQ3vDWMMz71yiMFzw8j0Ozg3NEJyrnjsxGmeefF1fuPXf5mM7/MLn/80XV3t&#10;DJ65gHQkd992Mw/ecwfFYoEgDDl1+hyvvfk227YM8Id//k1L5FLMpyklnn35DT7/6McZHZvg8e8/&#10;Rzbj89F771yiwC7zFwHAcx0+fPvN3LJ/L5HSbNrQj+u6HDpyjN7uLrZv3czJ02eZmpmjva0Vz3Px&#10;VlA9l0s+n+Ev/vq7nBseQxhDpVpnfHKaP//m42R8jzBS3Hrj9Tz8YCOWTynFt594lqHRi5wfGqU7&#10;3o/ec9Tj37MZH20Mc3MLfPepFzh89AR3HDxwyXMwPTPHN77zfY68cxLPs+k5ypUqC6Uy54YsCYjW&#10;hvX9PXzyofvYu3PbklFTStuDiJQMxo5qxvfYv28X9hAoorO9lb954hm+/f3nCKOIns52br9lP+1t&#10;LZftU2tLgV/6uc+kMbjbtmzkV7/0WTYPbEBKyV233cieXdtoWyF5fbMMbOjn3/zmP7eHU9j1WIxj&#10;+vZft4t//Ru/zonT52gp5Dmwbw+5bIYvPvZJpmfnU+zhug6bNtq8tr/5L/+r9IBPIOjuXAqMmkUK&#10;wYF9u9g8sJ7umAhnw7pevvS5Rzh15gLlcoWtmzeyaeO6JUmIATZvXMcv//xjMeupPbjOF3J0tlsX&#10;8I98+HYMvKfl9Eqy1OsHMOKyT7io1KL0entwbz9GkcJx3QbbV3PFTa5DyeA3qbPxNSa5d2pkaaC8&#10;ZqXMLFksjdPzpV0yqUJ+aVeSLSzhBFiNGEBFhlAZinkXKS8/WI02Gky9zuiH7sFcuIDMZO19Yz9/&#10;Nz5RlzETnBFxAl0pUrcVIWMwZVTs0pe4UCW5mprG3eh4nOPPKUWkTokuImMBkzKWulUrg1YapUz8&#10;QBsiBfVIU9OKOpq6tgx4SlsgVTOGqtGE8emB0tZFJGmPTq0WNoeXBR80wEuTISgttPxzahAxKcBK&#10;wCVOUv/Sl1J6fbJmEnATt01Kecl9E5KRNAYonreGJBTh6af0+pTFUVi3TxdrBfQdF891rPdgQl4i&#10;DA7WHc5zHHK+T7uXodfL0ycytHiQLbo4vkdYrmKUtrnTjCAyhqqOUHH+6RBDEHckJzWtrS7Z7jwU&#10;M+D7mEod5mr2/r6D8FzwHYyTWMfiAaqHROMLBGXFnOvxQmmWF6Zm8ZCEUqOSN3QTN2Q6NvFXiZup&#10;TJ840eSh2qC+T9bl8r0heeZt3JU9cEAbNna18JGb97HJz3Pu2GlOjo6xEAQYbKyALxycJCFz7F6Y&#10;sE1KYR0dEwtaqowQJzWWDU4Zu0TsipUGHCQ+WXozHps3t9Lxuc8g/7v/hdWKUoqRsXEGzw6xY+sm&#10;Bjb0U6vXuTgxjeNIBtb3p379umntzc2XmJiaJggjpBR0trfT09WRnk6PjI2zUCrT19tFW0sxZcsC&#10;exgSRYpzw6M4UrKh39LSHjt5Bt9z2bZ5I5VaDQy0tRZxXRelNONT03R3tnPy9Dkkku3bBjh9boj2&#10;tla6OtpityFDtVrj5Jlz7Nq+JWUpa+7v64ffYefWzXR2tKXf24TEdU4MnrW0zJ0WKKSxjMYQRhGz&#10;cwtEkaKvp4taEOC5bkxYpJHSQQirsJy7MEKxmGfLwAYyGZ8osi47s/MLbBlYTybjU6nW4pjfDFob&#10;5uYXcF2X1pYCs/MLTE3N0t3dQWe7jdk9fuoMQyMX2bltMwMb+vFclzCKOHt+mK7OdoqFPOVyhYVS&#10;Oe3rxvX9ZDL+kn4qpVIWQMd1wRjefPs4N+zdied5hFGUnsYvlMqcHxpl354dTM/M2dyR8YOgjUYi&#10;aWkpxG4rIB2H2dl5Bs9eIIzXRltrC9u3biLje3F8qbU+JvXMzZeYXyixvr/Hsvcam5S1XK7Q3t6K&#10;AM5eGCGMIrZtHkApRRhFdLS14roOUaRYKJXI+BmKRXsKHoQh7xwfZGJqhl07tjCwvg93mYVhfHKa&#10;8YlperrbycQxgw22VqsznL0wkuYbO3HqLNfv3RGTw5Tp7e60rqFNyvDUzBxdHW2cuzDCpoH1nDk7&#10;RC0M2LtjW2pVjZRiYWGR4bEJ9uzaSqVaxXdd8rkckVI4UhKEEaVSmUzG4/ipMym5yrXGqETKUA9s&#10;XkbPFVetVxhAKUMUGbIZJy67+mPfoycG6e5sp711qTJ97ORpNg2sp7OtlfGJKcJIsWF9X/p+MwbG&#10;xidZKC2yZ+dWiPfNJM6oXK7geS6+58U6iK27XK6wsFhm88b1VKo1Zufm6Whrtdbv+Jp6PWBqZg7H&#10;kfQ3WT/sgW5Mk2SsnlMu20OFttYi7a0tcZymXBVjW6QUc/MLllGP+F0UP0eJrprP5+Lk57HeZAxv&#10;HzvF1MwsG9f1sW3rQMpgeTVijKFUKvPSG4fJ+B4Hb9xHsVBY2q5IMV8qUasHqcphH00Ze9jYfd91&#10;XdpaCumzksjw6Dgzs3Ns27yRYnFp3c3tSNZ0QoBRLOYp5PMNL6jLlEv2jObvmmPMiT+/15iYOHRk&#10;+ZG5lGLJ70KQzmmzvpWWSLyPlrm5p/ruCm1I6jDL2mlMI/epzWsmWV66Od3F8nYLIeI+JfO1+ufS&#10;ABPTi9SCCAxkMj6FrIfrikbameY7XwKwmv5Y/f1TbXtJg1bfjZVlub6+XK4JYBm7IYbaUMytDmBN&#10;P3AfYmQY6XsWHEirGDqx4pD4hJn4GN9+J1NlMY5cscqoFKSBOk1kFgmAbWizySKyLn/W3SwmoVA6&#10;dqlSKG3QCqLIKmcWaFkFvo6mZizAqhtNXSv7b/xdFNeZEF40j1XyyCWMiY3ksWIpyIFU2V4CFsWl&#10;wFskVikJRooUSCUnIUvq1XG+pdRSRRNos9J4IGFJ0WQc7enAEtAl4sMCu/k0gIWMZ8UCLAc/fmFr&#10;rUFZBd5J3dQsvW6r49Pr5+n387S7ghbf+myrQKGVvV4KS9FeM5owssyMNaASRUQC8g70CEOmK4Ps&#10;a8Xks9aNc3wBXaohPBfX98F3IWOTI4tk4IIQPVOnXqpRFw4XVMS3JkaYDQIiIVAi8T22AJGmDa1B&#10;D9kAv7J5vFIUbdIpSIvE0yItVm5AM+lglGZzVysfvXUPWzMZ3jk8yLGRSWo6xGBwNXhYMgEhZeo3&#10;74rE1dZuki42N5wUAkc4sUUzWVOGSCt7yGCICVwMdQyh0BiTwdWaVhmy6wtfYMvv/j+sVlJgGVv6&#10;EzCVrNcrvfgSSeMvm14ey18oy6X55ZDOF5fes7nO5dc1v2xXuvfy+i7Xrsu9BJf3eSW5XD3Jb40x&#10;vbr+Nde1vLyleI7t3k3fL7kureDqXryXG6/lY7IaSd1s033xCsoHjesuNxbNbUukmXhmedtXGq/3&#10;6phPO0AAACAASURBVPfl+tFc5+Xm7pL+pPu9/dysiF9uXFdaR8v7fq1uQM0AyypPV1cu0ScilQAs&#10;eQ16lH2/rPQ8Nn+fyOWep5XGcKVyzWtKXmZ9LK/jqp4RWHEdXa1cbv9YSZoBhIn1IiHEVT3PK93T&#10;uls2FPNrbVdz25rLX2mvv9x9PrgQmTW5WhlPABaWfr+Q9dKDlOXT4y7Fecv/uLysDHZWWBBXLHMt&#10;9/kAxDT9/ypuJgAvn4G8j/Bce6qfDLCwJAFx/tQYPCXKTaP+Bum8BVUJ8UMCQuyH5O9E640VYh1b&#10;qgwYDToBVzGw0iq2QCltf1OWll0RswJqS14RGqhjqAlDoA2haWK2EzSAE8s8r5cDn4adaaVlYPvf&#10;pLk3F7OsgQajk5gq28eErVDIGHSmWMAsu3djnNK4rKafdUJDn34Xz9OyubY4ommCEjBo7O2V0ZYS&#10;V4h0Aye26ilsvJLSijohiypkUYdktU+2rnF1hJAOWoepSwBCpCAknWVj83BVhKCKi7sgkB0SfIXw&#10;BE7GQ05XUUGECkEqDcaxZBcIUApCazHFcZAh9OIxkMkxGgQxCIt99Zti9QwGsWzeUlAc93J5suCV&#10;npMk1tC+2STGWGrUrV1tPHTbXrb1tTF45AzHL05RVkEcl9iIU0RYJj3XkWSkS0ZaanaBVXI8KfEA&#10;F4EXW7uc+MBCYEG0QqO0sutfQmigEgbUpEG5krrOMl0N2XJp868ojU1UrPDdlcpd/qKrUQblMi3v&#10;al1fLqeUXs29L/fbSnVf7prVtvFKbbpc/cv7eTV9FaLpQO0qXzI/zJi8V52ruW751VcCMlf67WrH&#10;ezVzsrr5f++2Xam+1d736qXh3n7V8j7c/rLuU1ewAL3X83TFMle4djXjuuS5uka5pucI4vjkH+6e&#10;70UA8cOur6sF/mtg6idXEo+n5JOVS8HDquznq8Pt117mcuV+UpZboptLzwXXg5TlRzcuaH44kq+F&#10;SEGcicGLIDFfi1TRTawyaeyQsTFVCfAw8WejbXyV0CCU/ddatEBpgVLx3yahG7d5nerGEBhDgKJm&#10;rDXLxl0tpUJPbq+XzEYDqDQvK9NcYPnVwvahmRlbsPRaYwBpLMdHXLF1iWmCbiK5UVLJZVZEAn5i&#10;hVSKpnFLrFgxymvOM9Y4zTaWma+5f1g3PmUUCIfETS5pUgLOtIFQKWphQNnxKQqfugRXKbzYOqON&#10;xhhL7Z9YIw2gtUCpCIVCCYeyEGTrIBZCHM8gpAM518Y21Q0mDNFBhBP4CN/YeAhtrGXNWFc6xxiy&#10;SDZlWzlcKsU5vXRjzKFpfS4dxuY5TrJwLb/ALLs2neL0dFSxubuLj966j60bWihPzXH24hSloI6I&#10;l4RrpGXgjK2/nuPiCIlvBBltcKUNLnaExJUCT4AvZEwkE2M5rNVRijha0HUsJpcSjSAMs9SMsmyY&#10;WtPuvn9JGddkTdZkTYBlSsoqTmzXZE3W5CdfLgNoLveUL6VpX6VcS7kfVZnVSDpmzRrlVYgN3I8V&#10;OhGz08VAw3oFNqNck96oAaJsWRFbcECkwCtVZ63NOwVUxmri9m9lARZKWIBlrHIdKk2kkrxXgghJ&#10;YBT1GFzVtKKuFbXYRTDEkjgkftQxL0bKKJic4Ul0Oj7NdjWztHsrSIIWl455akVK67C1CdN0wpP8&#10;Li0qtW4kTQAtUfLjunRsejc6BrwCEhfEhEmjcTLUsLoJIVLLVNLjhHpcNvVNaEunn1heGm2PXdKM&#10;QBmbfLjqRCw6IRkp8RQIqeI1kZ4V2r4i7RpwBFJL0AoVKSoioOAKRKkObRKJRGZcdEuGoLKIi4tU&#10;YIK6tXBlPNtPDSISOEqidYQrJJtkkY1uhnejatpuQQzOm+cknpdkztM1aH0tls5zMl8kdSTrxPZR&#10;acPWvg4+dvs+tqxrBx0xPVWivFCz9xX2WkfYvHC+9Mm4Po6wZDEtwlqwPGljFh3XxRUCiWXelDGI&#10;tFhaxLFW8d9SgpAgbYoB5QkyRoBjUEqQv3KeyzVZkzX5By+rVAqWvOZWWXZN1mRN/k5Is/dmkzPs&#10;JdetyoL14wBHy8svN8r9OEU0qZV6ua9ZqvU3oYhmSQxSkIIz0QSu0tqNsUyjMeIxOgFbBhToyKCj&#10;2AXQGOqRoq40obAM3tpAoDRBDKYqMbiqa02AIUSndJjNiWgTp7pm5zpNg+2PtJUNsoMVBij+Z2Xo&#10;tRxkLf2x6UbpNSsvZOuOEBMjEFv3EvBkSBkXE6a81L0vAWfJ96JxBxMDZMxyu00yGg2CFxJLVjzn&#10;kYGAiHIYkvM8Co5HVoAMVcoiKROzXwoAkzaCEBITA+GaVmSCEFNxICuIci6iq4iZqRCExuZYUxrq&#10;IY7SSOGk5jahTdqHVi3YmMtzslQFYobAZRMl4v8kY2Kafmv0vmkM45/FssussVWzpbeDh27dy7a+&#10;AsbUMHXDxOQcC9W6ncV0AVhA5MrYaiU8cr5HAUnGWPIQ6wsvbSwWLLFckX5uAlna0rZrYwlZwowk&#10;199GrqOIjiL0ugZhw5qsyZqsyUpyTXrG5U8a12RN1uTvsqxyQ7gmF0Fxme+u9Ptqy6x07+bPy0/e&#10;f9QisUxhSfyKEdZ6gGCZX/MKQGHZIBijUwY00fQzKnYFNDSsWEpjlAVeSsfWKo0FWFoTGEMoBHUU&#10;odaEWscugpoqmqowRNLEObASqvaYiS92CEwhSgqmTAN0LFe6mxqcdqv5kveYnNQ4ssJ1xg5y43Ns&#10;LkvtP6mlxVqlkmTFloBDxEkWdXrasLRtpjEXzUALGl6IiXlOJIQYpMHoRibms4QeXSS2SJQx1IxG&#10;mIisCigaQQ4HD5MyEtp0XhpMQngSA1FpYiIPCIylzVeRhlIdkXcxGYMs5nCKOWpzZZSxjIRSG3SE&#10;ZbAENDptmhYKkRVsdHO0VQUlZZLbkEaByUank5izxJty6XjRNJ7JuqcBmLAraEt3Cw/dvIPtPQVk&#10;FGBch6AaUCrXCBIXxsTyJCSu4+K5Et91yHseBdcjbySu1rjCblSuIrVepUsl9uNM48iSR0008p8o&#10;V+Bs7sTf1GnzxGFw+9+bpnZN1mRN1iR5BcBqdYyfhCPgNVmTNflApEnnfa9QOXe5AeFqt4VrOaRZ&#10;bZmVjBuXM3j8sHJtJ1Xx9qvNkgqEwbrrLal56edE/0s3cB2XMQ2riEmsVzEDoNZWadbGpLmulAGN&#10;tEALqBuoGk1dxzmttLVQhVilv25MTMOeJLsVCJy4WRaYCGHi2CSTKtpJ0xu2rkaHU9dIrHLdsMEt&#10;HeBET09+WW4bWuJFuDygP841YJYhMZG0SScZvZbeOQUDTdNgjGnKC9dEUJDGRDWmqxlOGmzSYQvr&#10;JE4jz7GdLyEQxsQgCwKtqUaKslIUpSCvbZxVGp/UDO4sRUbaJmMshX7VGAJlyFQjTDXELWQQvkC2&#10;52C+itHWsqiASBuU1LHVqjGeEtASuoXPBpnnZFCOrUFNZqhkbGiAaUMDVDZP5NKZjwGPsWOnEAx0&#10;tXLf/u1s6m61MYDS2p3Cemgpd4XFRY60lisprPUqK1wKjk9BWHDlI5COREpAaFwXHEdgpEAnbBrx&#10;BFksbeL4Npt0WSAQnsR05Mn0t6MlGKOWPZ9rsiZrsibvk6QvjLX9ZU3W5O+rJOkpgPd81N8XF0Hx&#10;Hr//qMr8WMRAmjl2mWGnoeY3T4JIka9J8g3R7K7VUHS1MigVG0i0wEQ2l1UIKBGDpNiNywIum88q&#10;iN3K6sJeGxnLcFdPwBWGqKk5CWRtYKjY9S1V/Jv/29y/ZeAodvMyqUXsMpZFQVNiX7PkutSaJRt5&#10;hExsEWzkPhJNLommYXVKYV8DMImmepvv38BTDbCwZDxiAJZ8n5RPwJ0htv5ok5I6GmMQysJL4Vjr&#10;TGAUi1GdXCRok5IQJ7X4JLWnvCcy6b9AoDHCEOqIReXSikM+AKca4tY0OBFOMQOugwq1JctIgK22&#10;Vp5kXSW3yoSGNuMykG3hQq1KFAOjBFA1OkmzsWrp6DUBbQGpJSnpk0KwqbOV+2/Yxva+FlwTAhm0&#10;cHAEhFGE1qrR58T6iMAVLlnHJ+dmyEqJa7CwURq8nIfflsctZnA8accq41hqeplSdmCIQZ5KYhQN&#10;whU4LXmEBFWtE0ltwVUULV+Za7Ima7Iml8ilPhtXvn5N1mRN/v6JWfbvleSaSS5+kstcyz3SVMkr&#10;ooKVJckVlWj8qX6e1Ns0C4lVgTh/FDpWbLVJmCQwwiruUjUsVEn8lTYGHf8eQEpMoUnyURkiYQiF&#10;IZJNuE8DijRuxbYzVasTPNEYiCamw2RkdOw2mP7UZN1J+ylsmwXWkpNIem1TfqXme6djGf9r2ylQ&#10;Rids4vHYxB0yTmpFs/9rrishC2mSJrDV/HAkrnGXAMemPprk4mR1xAFjCT5MEh82x60JiJMzW5fF&#10;QBsWw4AZx8H1XAoIMsLgKjsPOrZ42bG3tObGWMKMyBiqKmLBcfGNpL3qIKoGk1E4WYnTniOslbBk&#10;kvZ+RuiU9twImbpRaq1xgc2+z5uOw5QOLe15UxZyY2gsWrNsbOJBtspGnCvMgBevpgDB5rYMH93R&#10;z+7OVmsB1QZHGTwRp6g2Nt+Vq0WaqFobg5AC33PwPRdPSISQRMLgyoh8q4/blUNlXEIBkbTsGEKA&#10;61giCyXjZ0fG4FckK8w+EwKFDiLbBmV7JaKliQ/XZE3WZE2Wy7XoH2u2qzVZk7/fIpIY9Ss87Fdt&#10;wWrWwX/UZa6lntWLWRW4AhI+dKvwkcTgxBaVGI0kVqxEnddxoFXqdqWt9SPN1aQNYWTS5K1aa3sb&#10;IJKC0FgF3mYzb7hyJax/SGsKEdrEAf+xm582+JDGjOmYRCKxViX3a0462PxHM7BKv2sY5GJjkgaZ&#10;KOoNM6oBnFRhF0srbQJASaU6HcX4N9E8LUtQa6Mqw3v6wjaXXmK1Svqcuu01wJ5o+izjmyQArBkv&#10;LmE8lHH5eI4wsBgafAQZIxG+BCPR0iB1QvUuYmIIk4JfYSxtSg1DSUfklEMuiPDrCgIwnofXkqU8&#10;sUgYKYyUMXgwuI6D71pmQqSIiSZt/F5WSrr9HJOVMJ2rRtxSo1Mrgc/E4taImbNsgRpDfyHDPds3&#10;sqOvk0gojLE06g6WfTIBtM32UmvrtA+JlMKyBxptwTgG38+R8XyiusEEUbrWjAThREROCFJiPIGx&#10;2YcbhwSOaVjZhJ0jJ3Y7FQIctQaw1mRN1uS9ZQ0srcmarMlySfeF1AtsZVkCsK4GyCzHID+qMpf7&#10;7n2V1foCKIOJYoU4OTU3sZuXwCrkscXIpEH3sfuZPWaPrRWW0loAynGI2jyMUuhagKlZV6dISEJP&#10;ojMeRkf2t6hJETYNiGeTshp0bM2QQuIUfDIFH6UVUbVqy4cJlLFWGK2ti1tiEUv+dX2fTDZDqBX1&#10;wOZeSq12rkS4jmU1DKOYIMHGIiVwM3WLWwb5m4wlNH+Z8kawVNEX8VhaJ7r4PvFF2VyWXC5DEAbU&#10;6yE6itK+CdMAoiZRwOO/HcfB8VwMEEWRJRBpokX0fA/Xc9FKQxhidIMvMo3lEmIp0JR23JyMj5aS&#10;wBjKWrEYBri4aMclJwVIm6TMRSI0RMa6xAkZ0/8biIShojWhn6GqI7xaDVFzMJ7GZD0iz6ESKAu4&#10;dQQGPAkhAomyhBkCcCSO7yNqIRsyRc4GZQsEEzr71PRqadC1WDo/0nHwMp5l5osUhApjbG61rqzH&#10;7Zt62dbdSlWHmCDCVx7adVDCsXFWRpImVRZgHRmTNQfCCLQxVITCzTg4jkPNAPOBXZvJI2MDB3Gx&#10;4y4dCVkXmXXBERgHHM9BerZ+kZxyCCwIc6R95uprLoJrsiZr8kHLB661rMmarMmPUFJvpmbFtBHU&#10;v0RWFYP145KVT9Pfx8qvUdLEtSqJO7KMcEKIOG8TVjk0hgQ1NNznrAuVJWcwKAwRArm+l+Knb0bm&#10;ayweO8Pck6cx0wplwO9qp/vBA5j1GaYOH2f+xdPIeYNMCSmsNcGJtVGNh5aWdbDY3sHAT+0ls6uD&#10;+YUap54/xtgrg6j5AI0kwiAcByENWsVkGmgU0N3Twh0/8wCys8i5N05y8rnDlGYWUQY2XDfA+oOb&#10;qUzOMfHWeWoB5LuLzAzNoMp1a9XCWrO8nI9wltqPEsubJUogjU8SAvLZDI6QzE7OpUPmYP3BjNC2&#10;zRgc6TKwax13PHY7gS858/ZZ3nnybUrjJaQDQssU+CYoSBtrGezcvo4Dn7yNfJfL6Zff4fRL5ygt&#10;1PFdBxEpNty4i+se2E+lNMfJp99k5swU0khcASaK0Bj8bAbH8REGlInId+YQnsPGW6+n98ZN6IUF&#10;hp98i8r5Cq6Tw0iN25bF37qO2tgUwfg8bqCJjEa5ktZb9lKZWiA6dRFdX2QxZyj8/H1kCxHVoUmC&#10;wTFc6eJkNPRmEG4XQTUkGpkiqNdAK3JBZCnhPRe3O0/x4DaKG/upPH2UnqFp9t28h5rRVC5WmB6e&#10;IKyGeJ6L8Dzq9ToqiEhteQY6Bnq46aduo3dTkdETpzn50hkmR0q0SoebujrY2dWBEhC5ksy2PnQu&#10;QzA+S1iJiEyGrLY06/guxnUwMZCLkCjHw/guKusw6xm2/fQd+BuLMDTKwuPvUJ8IbS4rmawag4fB&#10;MzbhcKYaIR2BdB2Q4LguuI51W3Uimw7LlRZgCYFwJKKyBrDWZE3W5IOUNXC1Jmvy903M8r+awiyW&#10;yxKAdS1bwbWWMaxu+7mWMlclPwRys7gpsflYC5b1GIzZ4GRydN5kvIljYqBhIVCxJaDiCnSHxNkl&#10;8LIBi+MRk60+7ds2EZbmiLIu7TdkyO92aFM5Sq87KFVHONLGZ2lQxQxOm0dGSOpGUnMDJIIKmuHF&#10;YXZ0C3Yf6MLz1xGU51m8WEcLQaQVPb09uGHE+RNjhKXAKq2OYWy6xIWJs9x13x7aetdRnh7i/HFB&#10;rRKw9cAWPvRLNyEWZ3njO0W8vg1sO7CJk88N8sbXX2Du/JRV0z2PWz5+F846z1q7TISjNSrrYgoO&#10;aEFUqiOVjRtypKK7u4fp0Rme/5On0fXYGudJsq0thDKmPZchBsNkbYGh2fMceHAbys0xdrab0Lh4&#10;UiG0ws21kWlppXJxgtLkHEZIkNC9tYtdd3fQsd7Q3bGDnFtgthLSN9DD5NkxNtywnuseyJNRHq2F&#10;vQwenqbQmqfoOgy+dILy6Byb79jNprv3ku8poMIqIqoye2qM1p09bD7oUl10qRV2kxEtFLPt6Llp&#10;Cl15ijv70aUS0197k8UXLqAxhEFEy64OrvuvDzL2+DnOfONl5p0q3DuAmx1h8R0f/6ab8fp7CUol&#10;mJxjYHMHYT3k4l8e5eyTx3G1IHQjnO52um7ZTc89W8iuN8ycHkZthZZcB49++TZyPTB6YoHXv3uU&#10;Simkd9dG+nas58KR07z7zAnGzl1MH5FiZ5bdB9vYeX2Gs31t5Dv3InWe7vZW1re3kIsCVFgn2+Lj&#10;DxRxW13MaJ7aa8PUJusI7SN6Wuk6uBtVrVinQdcgPEnWydLaVqS9LceFdwbRNxTxt0aojgJTT2oW&#10;wxoqzhXnGuvql3EdskIgjcBB4CiR0spHJkSIECkMSG3/FcnzGMtcley1P/prsiZr8g9EVqVzLHXH&#10;WE3JNVmTNfkJl9QjcAkLsWl4Uy0Td0msy5UqTqtbfZnmch90mWuSZsPKVVZolMBoEZsH4/xDMTmF&#10;QNjAqaVMF3HQi8EYG5kSIQiERnfkyd64gWh7BuFOYhbncbN5ej51K323bmZxbJiFk2VwQ/T4MKVT&#10;QyzMVC3RgmNjuOrG4Pf1Ujy4HtkS4UcBnX0tdGztx/FyzIyXuPD6ac4/+S5O1mPz7RsQ5GwOLqXI&#10;ZbNUz08xesGgS4a+TRvpHehGuSGuCwszM5w9NoTf1cGdX7qNi2fPIzIulCYJp84xc3GKXXv6aM+c&#10;4rrrPU7/IMPkBWHpwJVi4swQ7oxnmeSw+Y3679jM7Y9sQdUWef5rg4wcmUd6Ak8rRsLzLEwvIEXD&#10;0pXpL3DLo3eQzftEKsBvyZLra6VUK2EmZ7n44jlmylUOPHYLmWyB0oUpnFqNTL6FejXg+JMlFiZn&#10;MEaQa2+hd3sPemGa0bND+JkOtlzfSfusolIukevyKXTlOf3aSToyEV2dbejdAwS1GuXxCTABSmjO&#10;vHMBf1sfB2/LU/A1T331LU4/O8odX+qAWo2FoTEmBxW3fWI9vesUR56cpjK1wPotZQo5TcXMUzKh&#10;dfAMI0ZfP8H2e/JseNBFTwzwyjNHMJV5BOcZOXyB/Po9bN6viaqLnBucoGWLxs0vUo1micIQ42lC&#10;6dLR005hSwf53jlqcxcYf22Yoe+P07N1O0Q1ooVJ5mZmyRQcNmzpY/O+Nvq319m2rpfw4jQXz0+A&#10;iUkzdIhTnoAZwdTJUc6/OMuOLQMM3NJF6/aIqXcmmXxhAt8t0uN1UfQUul4mqCzgVAURQL6Fro19&#10;6LCCyjpsuWUj3ds9KiMLDL8+xtiFcyw4EYIK+dIMx94Y5uxECRNE6IzGMYJiJGlxPKTnkTBeBvGz&#10;JZKcZ8ak8WxCxcmxMRgZU18YQ7GuaPkhtouEzj8NvzMmdg2+/OahY4p/KeVlr0ms4leq61rb3Pz3&#10;le6RWujhPdvcXLcx792/5XW/Vxua2yvSFAofzNhcrWgdZ48TvC9tSNhS5VXOxeX6noxV8tvysfu7&#10;JKtZd83XfzDr4mo0kA9O7Hpj1X1rJIT/4cclGd+rmYvV1PdBzJdSGpnG2r4/z2dz31e7z632Xok0&#10;t/299m2t9Y91P/yHKI5sMFUnZ7bxrsvyfWLVLoLXYvBZqcyVlsO1lPmh5SrBVdK2NE+VbCDbOCJr&#10;SQfEsoKWYE2jhbD5qdDUoxqqMg0LLRTLPsYRlLOGlh5JOH+Uc28NUg+66G1pp1TSjIU+85vaaMsW&#10;aGnJUxmZpnZuioV3RxgbGqOSN1Qdxe77riff6jN09BwnXhxm9vwipq7p3drHwM2dkFNMTU8zfm6S&#10;hQvzyFIAgc3DJNsMrXs7cfyIWnWeQ98+TqbQQt91mwiq8yzOTtLS041yfDItnZwZPEXXQcFOozjz&#10;/CBn3hrDU8bybhjFicODODRcAgNHsqerwO3ObnR1gcrYLMdfPoWEmBxBpDE0MVkfCxdLvPr151Ha&#10;EKDp6Gvlzk/vpmdrkaOvL/Dss4MY3+e2z3ay7nqXi8PjnH7+LEGpRjUMqQeRzaOkoXNjN34+w3Pf&#10;eZfZ4Wlu/1Qfmb4Who8OMjcbsPnGLYycnebUU2+z/64dXPdAP/NjQ7z0nTeoDM9RdMBHMjM6y9jY&#10;BEGlQJurCMoBc3MBVa0IPYmfLzI/M0qtUiYqLaJKNcr1PF62E1GZZ3pqAaXBia0ssyPTbJk0vPXu&#10;G5iJClK6ONoBofC724nyWSgv4oVVMq3tuPkCorRIpWSIlCGQAWGlzuyR48w7Ze798J34yqHQ0Q1O&#10;SEX61IQgJ1zUvOapb75Jppjjo79wA127+pmdusjF0VGM0jgJaQeSSProrIdPBobKzAZjzN/dTUtU&#10;RC4ElAZnidw67beuw88qypU5anOKTMnDR2DmZjh35CSHL06xkPd5uOPjtPc7BHOzDH7/KCPHpum6&#10;ezduMUu56jE6FVBd14bsNXRv7MYv1akeHUIrZd1rESghrGsihii0cXcmdrlFE1PYJ0onS03hP4QE&#10;Ycj8wiLZjI/jOJQWy3S0tZLJ+CtfH4TMzM3jSElHeysNJV2mCgHA/EKJMIpwXbdJ0Wyc/mQzGbLZ&#10;DEYbIqUaJ2kJQ0mTPuh5XsNl2RjGJ6dpb20hUorZuQXW9/fiOEs3PGMacXEYw+z8AouLFQY2rEub&#10;IWgovmEYEYQh+VyW0mKFSrXGur7uK45frV5ncbFCS0uBbCaz4jVRFLFYruC6Li3FAuVKlUqlSrGQ&#10;J5/PXfEeK0kYRZTL1VQx0UbjSInvJ/NmD8d837Mutk2KSxCGjIyO43ke/b1dOI6z5HelFJVq7bL3&#10;FsLW63uevZMxVKo1xienGdjQj+s4K5YBqAcBCwuL5PJZCrkcYaTQSqGUJghDlLYHZMVC3l5fD1is&#10;VPE8F99zUU2kLjJuh+M41OoBQRCsCCMSrwvHkeRyWdu/Ss2OnRT4nkcYRpbMJ742k/HJ57JIKSlX&#10;qtRq9SX1NVaywZEOba3FSxRVYwzTs/OEYcT6/p5LfksOMZPK6vWA6dk5ers6cT037YcQ4n1Rglel&#10;d1xy8Q/nczM1M4fWmt7uzkuU7kq1SrVaX1J9Ppcll7W2+TCKmJicpq+nCy9ec1obgjBAKU0um6FW&#10;DzBaU4jXTbLnRErFW4uhUqlRrlTpaG/Fcxsqo5QSx2k8I0rZGG3HkWT8xj64NI8i8f4zTz6Xo7Ds&#10;ORZCUKsH1IMgneOV1mQum8H3vXRvS2R49CItLUXaW4uX1Hu1YkOwDUEQEAQh07Pz9PV0IoRNQ1Or&#10;1ajW6nR1tOO4Dq7jEIQh5XLFhjQn90zbbHAch3wui+951OsB1VoNY8D3PHK5DEJI5kslANpaGm0X&#10;QlCt2Wcu42eYmZvH9zxaW4uoSDE9O0drS5F8LvuBgazlhzc/snpW3JSa33c/HinmMxgDrpQ47qV7&#10;drOsCmC9X+DqJ1JW2VADhFoTaR2TOgiQ2m4KQJqNyDQoxZtxrjagjCEUmkBCaSFi5uVRWNxA5107&#10;yTkhuX4HmZdMnJnl7OAiHRt7KS/WGD4xjdg6wE2f2oanI2aOjzPzt/PUkQTVkHxXOzs/cZCWfb20&#10;9xrKs1PUnCLdN+ymfadA1TW+B727+9h4Qxdep2B2ssIbf/Y2p757grBWQwjB0OFz9B7YRfdAL6ee&#10;GubkSyN079nAw/dvoj69wML3jtO7uY4gQgtJLu/Su6GDyvgob708hlHGErvFpBUepLmXiIfDdTIg&#10;XYyjMK61AuaEtGQPiJS2PNGKI6CWyZDpaEXOLTI3W+fcqUnuu6mfDTu6OfXORWqhQyHfxtiJ7CO+&#10;6wAAIABJREFUcSZOjlGtakpaUqkbRN2yK2YLPq1tGYbfHebksXF8keHCO7N4cpzy1Dy3PXIPm/e1&#10;8co3nmWxGjE0tED0/FFmpyv4WR+d86EeYpSdaddxcYWHUBIlJBECY3ycUCBNxMb925DtPnWhyXRm&#10;ybS0g5zBOBJtfFQUYIREC4laLHP2W0d4880z+GMG2dpjQURkKDuG1pxG1cqUTZ2w4FCpz5BzNMpo&#10;lFYYXPwNLbTv20L7rg0EroMWLt7GDrZ8dhOV2UUiHIQDjmvwXEnGyeA6LSByCONikFZJiSfLhvVZ&#10;YNrR08auu3bhtrfit7Vgggoir2i5bgNkijgtDsYoFJJ6GEEgkKFGInFzeXw/h+e6yKyPdEE4HlI6&#10;gEN7XzuGKm8/f4Fc72bu+Ngm8j1ZpIKRbx8hODNOWA0tIQiCSGgibQiNItTKxg0aCzSVMimhhkAg&#10;JAhjkMKQi8LV7xFNMjE1wzMvvMaWTRtob2vh5deP8LH772bThv5Lrg2CkLePn+SJp1+it6eL226+&#10;AWMMjiPp6+mms72VKIrQxvDGkeOMT0whpWRufoFqtU4tqJPNZHCkZP++XdxyYB9z8yUuDI8RhCEC&#10;UDFgkMJa9VzX4fo9O2hrbUEIQbla5Q/+7Bv87Gce5sSpsxx79zRf/OwnU0AogGKhQKVaY2hkFMdx&#10;0MZw9PggL7x6iF/90udwHJmeoA5s6CPjZxgaGePNt4/zwIfv4N1BW+9Xfv6xS8YgyU+mtEIguDA8&#10;xsuvH2b/vt3s270jVUOblbaRixO8euhtBtb3c8uN+zhx6gwnTp3lphv2snPbZoQUOFKuSomenpnj&#10;b773NFPTsxTyeWbnF1jf38P2LQNEkbIJ26OIW2+6gZ6ujiUA5+1jJ/nmd36AdBw+/+hD7Nq2Gdd1&#10;02vmS4s88fRLcdxpguQtkI6UIgwi7jh4gD07t8Z1hrx66G0e/8Fz/OqXfoZcNrNEHc9mMnS0tyKE&#10;YGx8imdffJ3rdm9n57ZNDJ4dYmpmlqnpOSanZ8j4Ph+6/Wb279uFMYaTp8/z9vGT9Pd2o41hfmHR&#10;zp82uK7DDXt3MrBhHUePn+LYydNEUZyfzhhq9QA3TithtKG7s527b7+J0bFJnnnxNav8Ats2b2Ro&#10;ZNy6dDuSSrnGjm2beOiBuykW8rz+5lEOHTkWs7TC3HzJHhBkfJQxdLW38YXHPkE2k7HrI7bWhGHE&#10;cy++zvTcPF/+wqPp+pRSorVmfHKa+YVFhLQHmSNj4zz53Cs88tB99vDCGFzXpburg4621qteG++/&#10;rB5chWFkyZbikt9/9iXCeshnPvmgXWtY4iVHSl459DavvnGEaq2OEIJiIc+dtx5g1/ateJ5LFEb8&#10;8de/xVd+/qfp7e5KQdkbh98hihR3HDzAoSPHmJye4ZGH7k/BU2mxzJlzw3ZvEYKz54c5fuoMtxzY&#10;R39vd7oH9HR3MrC+Dyc+GJibX+DIsZN0dbaz/7rdS/o0t1CiVrftnJ1b4JkXX2Pn1k3s27MDsHPb&#10;0d5GLpvh3cGzHD1+ilo9QAhBGIYopclkfIQQKGXbvnvHFnzPY2Z2nmrNHmx87Zt/S29PJ/fedRDX&#10;dXEdSW9Pd8wme7VzYajXA946eoKRsXGeeeE1fupj95LNZAjDkMGzFxgbn+Kj993JwPp+Bjb0c2F4&#10;jO/+4HnqQYjBgv4ojGgp5tHG0NXRxoduv5nNAxs49PZxXnnjCBjDhvV93HJgH57r8MKrb+E4Dnce&#10;3E8+l6OlWMD3Pd45cZrh0XFu3r+XNw6/g5SSe+68haGRcZ5/5RAPfPj2dE95PyWMIubmS4RhiOd5&#10;dLS14DiOPegulajW6kgpaW0pkstm0FpTrlQpV6oIISjkchQKFkDXg5CF0iJKKbKZDC0thRUPlBKp&#10;1QPq9TqFfC49bKzV6pTKFettlctSKORXrMMezFWp1es4jqRYKJCN146to0wUNQ6k3CuApOWS9V2y&#10;8UFOuaZiBnDLM7BcUoB1LXjwJ7nMaqRZ4V/NzSqRJgwtU5ulxE6y7wBGxafnsdugMcSk6ViadIEW&#10;EPL/M/eeQXJlZ5rec+9N7yuzvPdAwfuG7wbad7NJ9nBmyDGc2ZnZidVKI8XGRihWIf3W/laEIlZS&#10;rGJ2N2a0wx0OxSHZZHsH0wAaHgWgCuVtVlZ6n3nt0Y+blQC60WQ32eLshwhUVlbmteec+5n3fT8L&#10;y+3Cs3uQrrEIVsBEL6RwBMp2VnitQLVssO3YHqLtMcxKicWLazgiFbYdCOFRiyxPzpG4m8DSHRiy&#10;oF4t0+Os0NlnoJc38HhMdp/qQjfc1EoCtSCopiusTT4gMVlm4qkYrYNhhoZl4mGFQhkQEpZlUswk&#10;OfydQTq7DpBdTTO8a4SOFo1UPIXHaWE5LCzJDjK8Pi8Bv5f5KymW5kvNBspPesxsvSdtefGSvWhv&#10;Zc7FViOvZjvbRs8kn5c9rx7m1B8cobiSYOHSKpliluXZDFM353GGPXQPdIED7l5bQw9E2P/9QziD&#10;LqYv3mP1yhJqroYlBEvLG3S0DnP8e2dIz20Qj29imRa6Kigm10l7N5AVld6JTnTDJL5ZZuLIHnYc&#10;9HLvvRts3JyFkrbFqANJwpJBd8roDhmhKCiyglpXUeuCet2JcJlUK3lkh4KpCRBBdNPEVE0Unxur&#10;PUhgwAP9Mfrr42StOOW6gZDcKA4f1UwWtZhl244W6jmJxHScnYc6oV4H7D5gllAwPEHCBwYYOBRF&#10;rc0jmwaFSo2NjTgOzYEkD2I5JBS/i87hTtw+H4GwC8U0EbIB8mdEIBqVEEMIqoqF1O7DH/EjCRVT&#10;q6FZKlbAiSPowLDKdsa88TDUNAPFkCDope3UdsaKvazF0zjcW02CJZwdYcx4lWBfhHKuzO2PFylt&#10;zvP6UJi2niyljQrLt6ZxVgUeyYUhy+iWhWVaaJgYpu0YG43qlWE2IHnNMWTPUUmyGw2HDO3LT/St&#10;MftIptQyLeqqhq4bmIaJqqoIy0JtZD3tBV2mXKkyPbfARxeukskVkCSJtz+8SDqTo1Kt8q2XznLm&#10;5FMsr8WpVGoUinYWc2igF5fTydLKOjcnpxgbGmCwv5uOthhul4tsvsDMwjK1Wh1Zlrly4w6d7a30&#10;dLUjyzJul5Oh/l5CoSBCCK5ev4tlCfw+Hx9fvEq5UuVHb7yLz+sBAbIi8epzTzOzsMT/+R//nomx&#10;YbvCY1l43G7+8c33kSUJwzSIJ9L85Z/8Lvt2bsPjcbO2keTClRuEggFqdZVKtda8TrIs43I5MQ2T&#10;+GaSjc00siSRL5RIprOcv3TdroJYdsDZ3hajt6sDEKyuJ0ilc8RaIty++4Dp2UXml1ZxuVxUqjVC&#10;wQC93R3Nqs2XsWgkTMDvZ2UtQSQcIpnKcGT/LjLZAvlCEcM0uXbrHsP9fbRGIwghKFeqTN6f5a0P&#10;L/B733yBfKHEf/nxm/zON55ndKgfv8/bDG6dTkcTRri1yqmqytTMPIsrcfbsGLfHj2WR2Ezx3seX&#10;KBbL/ODHbzY/b1kW9bpKW2uUf/7H30GRZeIbSTY2U0RbbCf0/oN51jc2SaazHDmwm+eePkYkbINe&#10;66rKwvIalhDUVZWbk9O0t0aJRsLU6nWm5xZxOBR6ezoJBf10dbTZKqkSbCRS3J2eY8f4CP29XQjs&#10;jLrT6WR1fQNZltg1McatyWmWVtbRdIPD+3cSCgS4Oz3HwvIqmqaDH8ZHBok2rqEsS/z7v/kHRocH&#10;2LdzG0KS8DxSzUtlcqyuJ3A4FAzDYDm+QbFY5t70XGPuQXtrC5FwiBu373Pn/gyKImNZgmQ6y1p8&#10;kw8vXEGRFYSwCAUDnDp68GsIsL6iU/AbcrBm5pdY39hEkuxEw937szicDi5fu4Msy6iqxq4dY/T3&#10;dLJ9dJhYJMxP3voIn9fNS8+eIhIK8It3z9HX08neXdsaFUf7oAzTZH55lY8+uca3Xz6L2+UiHApy&#10;/vJ1JkaH2TY2hCRJFIplbty5TzqbR9eNBlJHcOP2FIrDTmgEfF727dpOd0dbM8Cqqxobm6nPJTyy&#10;+QIfnr/C3OIK5WqVVDpLMp3jvPc6PV1thIJBQsEArzx3ivGRQQJ+H53trWi6gSTB5P0ZNlNZDh/Y&#10;RTgYwLIsAj4fciNg+psf/pRkKovf56Faq5PKZFmPJzBMk1Qmz7/9X/4VwYC9RliWIJvPEwr4H6la&#10;f94sy7SPM5klncszO7+M2+1C1w3WNjYplipspjK0hENIskx7a5QzJ59qJmhuTk6zur7Bc88cB+zK&#10;bntbDN0wSCTTOJ0OujraWF6Nk8sXWVpZZyOZxuFQ+PTGHfbt2s6Zk0eIhEN4vR5W1jdwuRxEI2Fm&#10;FpaYml3g2q17eNxuJMkO6LYC0K/DLMvi3vQ8b713nkqthsvl4vVXzrJz+yjpbI7/8uM3SaYyOJwO&#10;jh7cy9lTT1EqV3jz/QvMzC8hyxLjI0N844WnURSZqzfvcv7ydTRdp6MtxotnTjAy2Pe5qqxhmJQr&#10;VW7dnWJheZ1vvPA0HW0xypUqV65PcvnabVRNY3ighzMnjzDQ1/M4isCymF9e49wn11iNJ3C7XBw/&#10;so/D+3bhcDi4cmOSS1dvUSxVGOjr4qWzJ+nr6fzqle7PwtK+wL5So+F/iuDoSY7517Hdr8N0IdBp&#10;trptCAU2/jWKVhZgYGEK2OpuZTco3moabKJXNMyFZdRKglKtgDfmYfzMKPValltvzZJP12nvirH/&#10;zHZ8QQE6BEI+XAGZerpEOVejqhvINBz8YoXVi3fR6xlqpkYpV6SczFNLV+0Aqy5QawIhHHiDXmpF&#10;QWd/ntnrKcqZOs26vNNJZiXPzLlp1ifn0XSVruE27py7x513p9hY14nts88P0yQYCWAacPNKHLVu&#10;4hVbMuYN6hk8Itdum3jkTj7sAvVoZCYarkpDNl4G2aXis2ap1uNUigU8UpDUYolYSyet7X4cHonM&#10;3BptvgiR8Tb6DgZo7XbQGh3gnbU067kqumHR3hPl6AsjtMRcxB0R1N4QWBZ61UBPFpidy4HiYHxs&#10;EAkHwi3T2e3C4zGp7Y1RXolTLet4An68IS/IFjWjTqy/lY4+DckJQrZweT2sLsQZPtCN02Vi1r0k&#10;S4Kh/TEwjUYVxkJ2O2k7tZvYYTetEyF213Zz62/vcPGd28hCQVRkOnpa8HZ0oGslhNNi9EA/mAb1&#10;ggaCBowBSjMp7v/kGgO7T+NSilgOL5FQlLihUSppGDWNElWEAw6f3YY34CYWtagmi1TKMsKQmmGJ&#10;BDgk2S6JOxVqmRJ3fjZNMBzl5D/fh3cohChnWfzwAYbi5/D3D+Ls8kMj0JI0E6NqIrW76Ht5lLEu&#10;H9d+dhuXR8G0Kph+jaEXdlNyenG3tUJdRapLBLwt+FtiICWoJ/PoyTpW3YGuKBiKiSnsJtiaodtN&#10;t4WEibD7xCEhpK3ZaDTOQ4CwkISFZppfeb6bpkm+WKJcrpJIpqnWaja8T7LbLOQKRRLJNJlcnv27&#10;JlAUhY8+ucrUzDx9PV1848VnGOzrRtU0PrzwKbl8kZHBPmRZYnV9k1Qmh6bpuN0uLNMiW86TLxRR&#10;NY1C0Q5I2mJRFEVm785t7N35MEtcV1UO7t3B4f27HoPcCR5WbV5+/jQPZhdQFAeK4mAzleHYob22&#10;jH4DFicEbB8Z4tjhfaiahkOWcTQgZpZltzC4OTkNws5Kzi+t0dEWY2l1HVXTSaWznLt0zd63sCGN&#10;e3aO43G5WVxe59qtu8iyjK4brG9sUq3VMQwTSwicTgf7dtpOWy5fYGUtjuJQyOYKfHTxU7tqk8kx&#10;t7DM0EAve3aMEw4GvlKA5XI5iYSDOByKXfVrZM6DgQClcplKtcaxw/vo7mprOO9pPvrkKp/emOQ7&#10;33iB7s52ens6qasqf/2ff8zZk0c4emgvba1RIuEQv/Pqc81zt4Qglc5y++40kUiYf/Ptl9mzw64w&#10;5QpF3jt3CafTwf/4V39uZ1GF3TbC6/Uwu7DMuUvX0HWdzVyBjz+5yr0Hc9TqddpiUZ49/RSr6wlu&#10;3JkiGPA3IYSBgI+p2UXmFpfZu3MbHrebof4e+xhjLaiqnVhwOBzIksS20SG2jdrZ71qtzg9/+g4T&#10;Y8O8dPYkQ/09j0HAJEmit7sTt8vJxLZhanWNO/dmWFhaw+/zEt/YtCuijSW9q7ONrkcgfl3trYwN&#10;D7Bz+2jTKQfbmfvg/BXe/vAi28eGEQ0nqa6qvPXBRUzTJJXJMj4yyL/8Z9/l6ROHaWuNIoRA1w0e&#10;zC3h93k5e/KpxhYlwqEA4yODX3pc/DL7ynWo3wC28/P3zlEqV+jt7sSpKCytxhke7GVlfQNJkrh8&#10;9TbVeo3+nk66O9voaItyc3KagN/Hru2j1Gp1ypUKqmZXf6SG36hqGovL67z/0WUO7N7eXDuG+nvY&#10;s2OcX7x/Hp/PQ3dnO/29XfzON57n/KVrTE7PEQkFm+dfV3V8Pg9PHzvIjm2jjx37FiTzs05+LBrh&#10;pWdPsrGZ4s79GSrVOpupNMGAn0goyEBfN8ODfcRaIsiyzMhgH33dnQ2EiwOPy8XSapwzxw/T3hb7&#10;3DXLF0ocPrCb0aG+RpXPhv7W6yr/7q9/gGk+TBbqus7f/vBnvPbCM4wM9T/xHkiShN/n47UXnyGe&#10;SHF7agapUVm3TBv+uG9XL7/72gvN74RDQcIhO8Gh6TqlcgXLspoJlS2rVGs4HQ6Cfh/BgJ+WSIix&#10;oQEcisLwQB8ej5tiqcSendtoi0W5dO02n1y9SaVcJZ8v4nY7MUyTxLkrpDN5An4vf/f/vsnrr5xl&#10;18T4V67GfJHV6nX+j//wd5w+epBjR/bz5vvn+Xd//QP+t3/7P/Gztz7kwfwyf/UX32N5Lc7f/sMb&#10;DA/2srSyzvnL1/gXf/r7VCo1/u7HbxKNhBgd6uPHP3+f08cOMjTQw3sfX+ZHb7zHv/6Xf/IY5HQL&#10;xv7euUt8dPEqLZEQLz93CiEEUzMLXLh8ne3jwwz0dfPB+St8cOFTvvftlx+Di5dKZd796BN03eD1&#10;V55l8v4MH174lJZQCEtYXLh8nV2N6v0v3j3H7MIK7W0xvJ4nw9S/nH3xCvFrQQQ/h4nlYb7ul/39&#10;q37nSft+9HfpCa9/m2ZIoDfwulYjNDAbD1ZJ2BLnBtjOHw8DCAkJGn1hdSHQdROrVMcZDREO9dEy&#10;0EUgEqVSWmLk8DFWb62gJnKkpws4gxatvb0E+kK4FZP0RpXUhoohnLglm8cjDIGluYht30PrSJjM&#10;7Cqzl5ewzCLOMIAJQsffHmb0xA7q+Tprn86QWjAxVPs8ZFmme7CHQCRIcjpPveJleH8rQY/J6u0c&#10;HaPjdE648QXdSIpdjQsEPdTSGTaXKjgsGRnzocaH9BhKshmANlQJeKT2Z398C2rbgFhKbEm5Swjh&#10;QEguEAqL99cpVF2c/u5RjJrGvY/u0TXQScdIO5sLG8zeWyHYr9DR5qSYTlDI25LvoWiQPYcGGOyC&#10;5Po67mCM7p3tqIU89z6ZY3UuhaSZKD4Hnm4Lpx82l9aRbxRJzq+yeGMVM2/hxEH//hFGD/SjOCuo&#10;apn2vjDVMQu3R8EQAoRgZHQAr8uFpZcIhby4A21IpoqwBLqAukNQrxTI/OIc28L7iQxUcRkamXgC&#10;l6hTnJ6mkMlwb3KdidfCKDLIpknq3hLmuhstWUYt1FFcTnQLJMUg2BrE6XdiVWVM00RSdA4+v52F&#10;2RVWr00iaTWmppPMzxXwORX6R4K09YbJZQ1qBcPuNYWEX3HQ6/YScrhwWgZBn4u2oRjecATF40Kt&#10;CoTsorW7FdkTxev3AioCC0mArJlQMTBrBkY9j1nLUKum8BsRHLITtWxy9/0bmFUXqZlFjE47YPW3&#10;dOP16Uiaztp0klpexW0KysJCsQSWZM83YQk7gSHZc88S9nzcmpPisUDdHoJfPbyyH45Xrt/h+u37&#10;VGt1aqrK/t0TACRTGd56/wI+n5fdE2OEQgHyhRKd7a3snhgjk8tz7pOrzHV2NAOmU0cPMtjfAzwC&#10;jWvwsW5OTlEslXAoDtt5LleYurDYhOb4vI8/SAU2BO8zdAc0TeeNdz5ianaBF84c5ycfXOD1V55l&#10;enYRgImx4SY/IBjws3fHOE6HgyvX73Dhyk12T4zS3dVOqVzlwewie3dt44UzxxkfGcQwTZLpTJMn&#10;NbOwjNvpYj2+icDmkyVSaYIBH4f37+bMySOcOXkEgHKlyvnLN0ils/zJd7/5uWO+fuc+V2/d44Vn&#10;TvDS2ROMDvXz7seXyOTyRMMhnj9zgn27tzez2F/WavU6lUq1cdEEhmGwFt/kyIFdTE7NcOnabV57&#10;8RlAIpXJ8rf/8AbVap3Bvm4Wl9dYXF4FbCdsoLeLT29MsrC8xl9+/3cJBvyP7atcrvA3P/wZbpeT&#10;P/zOq3R32MGGaZpsJFJMzSwSCQd5+/0LOF1OdMPAqTh49YXThAI2hEaWFQb6evjmS2cIBQOMDvdT&#10;V+v87Q/foFAqs76xyczCIvcezDI6NMCu7WOc++Qas4srnDiyH90wWF7bQNMNopEw1VqNucUVWluj&#10;jx1rtVbn2q27vH/+Mvt2badQLDG7sEx3ZxvBQABZtp11VdO5dfcBp48dZH0jSTDgo7uznVDAT7lS&#10;bVYva/U62Vyx2aYDJErlKslUlvWNJLJsQ7+9XjfRSJi6qvHiMyf4g++8gqbrvPHOx2SyBf7y+99B&#10;1TQuXLnJ5P0ZLCFIJNP8xx/8hInxYWq1OqZpEomEeP/8FVxOB5pu4FAU/tW/+P7X5nB+JR9Dav73&#10;lc2yBC+dPcHh/buxLIvb9x5w+tghnjl+2G6jgYRhmAgglc6iaTrlShXLstjYTDWQH1tt3QEhISyL&#10;pZV1/vHN92mNtnDkwB6SqUzzaTs2PEgimeFHb7zHt185y/BAX4PXVsDldDA80Nu8AJlcgWQqSzZf&#10;/NLnlEpnuXL9DrONxMjRg3u4Oz1Lf49dIb1x+z5TswuceuoAo0MDuFxO5hZXUBSZ/t5uu6Kr2mug&#10;y+VCcdjrlbIlPGEJrt26y9LqOrL0sBKhaloTrvbQBOFgEIfjy7m+lmXhkGVCAb/dZ1PTKZTKj6EZ&#10;NF0nly+iaTqSZEMiU5kchVKZtfhDJV63y4XX48bn83Lu0jWu3rpHT2c7umawmcoQDgexhCCbK3Lt&#10;1j0i4SC5QpGujjaGDvdgGIadsJQkG04rIBIOcv7KDar1rZY4X894L5WrdLa38fqrz+P1unnu9DE+&#10;uniVarXG9Tv3ef3VZ9k+NkxvdycfXrjKjTtTuF1OXjxzgn27tpPNFRge7GU1nmCov4eRoT5eff50&#10;M+n00SfX0DT9sQAL7CArFAgwOtSPadgcY8M02Uim8Pm9nDl5hI62GOlMjpn5JVKZHAOPBFjlSo1o&#10;JMzY8AD7d0/gcjpZWU9QqlRZXF6js8OGg/v9Xr796rO0RiM4v6Y14knm+ExB4UsvC78NPtZnj+2L&#10;3vs67NdZDi1LNOF/TXK92OLh2VltUwILqeH00XT2aGTbDWE7gIrfS+ehQVw9PuKzq8xfXmH7yRF8&#10;kRZaghYbn+hkZzbxj3YyemoHzpiGWiqTXMxTSVZxSw4cksCS7cXV4XbjD6r4AstsqEt4IzKD7Q2i&#10;ujAxZYNAh5++cYPWSCtzAZnsYolKoWqTpmSJlu4w7bs6kZwaUdOLXleZv3YDT8CL26uQWU3g7OhG&#10;ku3eQqlUlgFzlN0ndnIlfQuKW4Rv6+E9e6Q41QywxCN/+Ix9dmwqkoQkKViSjHBIhHpaGB8dZ3h3&#10;kMn37qLX6sxPzjA0sYsTrw0wv6giewMI2UKS3UjIOIBqqsCdd2+hVdqp4aJlJMhoq06+miYcEzgO&#10;dCMpEGnxM7QzSmuXi9VbFpd/OM3c9Q2MsoVLSFiSYO3uAv5hP53d7fhcIe6eu8HC+TQneqLUVt0k&#10;FvIYWgTDrIMkoet1zEIcdclAq3uw6ga6EMi6iZGsoKgBcLuRhUpdz9MS9jJ7fgrNsKjW/AhXEFkp&#10;41MUtJLG8ppGpztEx1gPmxv3MEpVkMDVEsClgCYkFEmhli6TjOco1TQU3FiaoLO9k9aeYWRDpl6p&#10;Uy4rRLoCVNMyhXiZVtnNNneAPsWFVa2RSZSp6Rr9B7rx+f2UV3NMTxXQVZ3QRDvB9iiKUqGSqlOt&#10;CCxkJBMsVcdsYOktAWYj2SALB145QGm1iKz7WEvM4jqzi6Hj43g7OvB5S1TW88Rv5TE1kBSBactz&#10;2kPHEg+ro1tzrxmcb1VOxcP3Hht8X82CAT/Pnj7K6WOHWItvcu7StUZQY/Nadm4f5dTRg0TCwUb1&#10;xkVLJES1ZjudhmHy45+/y56d23j29FHaYi2UK1Ubptcc8PaBORwKh/fvpqujjeu373Fo3y5u3Lnf&#10;4Ex9+YPP5QtUqjXGRgZYXttgfGiAfbu2Mz27yJXrd8jlC5imxcT4MK++8DSBgJ8d20Z4MLfI0EAP&#10;3339ZRRFoVqpsRZPEItGGBnsax7zVhY3k8vz45+/T39PJwf27CAWjRBPJPn5u+eaQZ+m6eQKRQzD&#10;pFavk8sXKJbKxBNJm/DtchIK+klnciytxG0xBqeDUqVKKpvD5/UQbemnXKmxsZlibLj/c0HNr7LV&#10;9QTriSQetxuvx4PX4yaZzvDzd86RKxZ57cVnyOYKZHJ5XC4Xxw/tY/vYEFOzC5TKleZ2LAtGhvrY&#10;PjrMpzcmP8e5FkCxXGF1PcH/+j//9wQDD4nrsiwz2NfNn37vW/zwp28zNtJPT1cnm6kMFy5fJ5sr&#10;2GsqoDQqArIsoxsm2XyRg3t28P3ff43FlXWu3pxkeKCXg3t34vN67GBK0xno7WrsTXoMqLalONZs&#10;Ii4EpXKFa7fvMTk1S29XB7GWMPl8kXOXrjE2MsDxw/tpCQdBSBiGgarp6Lppc3qqNVbjmzhkmVK5&#10;SsDvQ0JiNZ7gzffOo6oNCLUs82B+iXK1xoP5RSQh0E2T8ZFBfufV55AlCbURLOi6gabhUuLuAAAg&#10;AElEQVTp6LpGuVJF0/RG5c2GQlhC0NXZyvd//zU++fQWmqqxfXyYS9dus3vHGB63m3c+vIhp/Tpp&#10;lN/QpEeZ1r/G1yVbCQ8BNyenqdbqXLhyk+6ONibGh7GE7WALS/Dme+fJFgpM3p/B5XBSrlbpbGvF&#10;Ms2H41Gy+d7lSpXhgV6EEPzDT9+x1x2fLbpgNhSE9+zYRjZXYKi/F8UhEwz6WVnf4PbdB82DMw2T&#10;cNiu1mypX/4qq6sawYCfkcE+6qrG9dv3behqdhrdMOjr6WwKo2wFLnen53A7HbS3xpBlmdX1DS5e&#10;vonf7yUWa+HI/l1NgQzFobB7fJyhgV4EAoesIMn2fpdW4jSbawJut5s/+8PXf+nxCiHQNJ10Jsdm&#10;KkNdValWawhhoelGE5a9Ft/E53Wj6wZvf3iReCKJIisYlkV8I0m+WLQTm5L9nOrr6eLp44c4sGcC&#10;0zBYXU/Q0R7DNC1GGtU30zLZuW2EbL5AqVRhoLeLns52ypUqiyvraJpOtVZnYzOFqmp88+Wz7N25&#10;jY62GJL0mwu6bFlrrIV//d/+CR6Pi1Qmx3sfX2LHthGcDielSoWONlvISJYkopEQ2XyBP/3et0BI&#10;VGt15pdWSGymOH5oL0MDvfzZ976FJEssLa5xf2aBob5unE4HhWIZwzRQZBmvx0NfTye93R10tMX4&#10;5OpNOwGtGzYE0uVqCrh4GtzhYqnc3IZDUYi2hPnWy2dRFJlcvsjt+w/wetxEW0LcultmM5Uhm8tT&#10;LFUIh4O8+txpWqMtv+HV+uI58JUqWF+0GemX/P239Z1/GnsIB7S2KjRbtRgh26+2vAshNT1As/FZ&#10;S2xBBSWsmkrq7grZGyXWlzfp3jVM6yasvX+J1eurOIom9bKgpzVGtNuFL1gjeXuTzXt5pKqOV34o&#10;WS1oSBpbKrJkopYEc5+uU83aik6GLKEh6NrdRbTfTzSSoJxZo1YtYTYIrIZmsLS2zuDz4/jDEitT&#10;caY/jaPWIbYrQj2eIn9vk0hHDw7hQnI4WFtN0bKQ4uk/OkBmNcH8+WUU03qiP/v5x8/jOcLHoISP&#10;VL22fhWWhaJYDG9rY3RfFKO6gapZ6JKEw+8ll9XR7q6ytFhlZ8vEFs2LZm7PsFh/kGN1uYgnFuLU&#10;d7uQLRNDheV7WZYeFBCSRO9wB7EuH9GYTmEjSWIxg1o2cDbLpwI1W6GaFZiyG49Xxm94sKpw76M7&#10;JO7KJBJl6sEY/Qf7kJw1NFXw6c/vsxqVMYs61VUDTAtLUhoV0K2sr8A0VNqGeoht70F4JHr3D+GL&#10;VdAqVWS3xeipIarLbiIKqNkqLrcTR0lBUSxcsTD1fMUWGpGhVtSZ+WAZb6SF9u0+6k5B77ZOtj29&#10;E71aZvLCLIuTCcylAma6wKDfy3ZniG7JgZYqs/7+MmVPjfRamXK8isvlo3W4H6/iobqUQ9dSyLFl&#10;YkNBXG6op+sEchJYEpqpg26ALCMky54ODf6dQOB0y+Q2i1TyVQIDKU796SHCbQ6orLB8I0F+WUWy&#10;7AqPJBqDoflw//wIE80p9xCEao+BBmz11/B/ZFlukPTd+H1enE6nPWolifa2GPt2bW/yYLbI+A/m&#10;lpiZX2Ly/gzpTJ6+3i5awiHuP5jn2q17jAz1c3jfTuxKm3hErELGME00Xbcz1k0e5xfZk1fFlnCI&#10;P/n9b/K//9//mR3bRti/ewKf14NlWhzcs4Pnnj6Gw6Hg83mbztLy6gYfXbzKxPgwb71/gTtTsxzY&#10;vZ3e7g6u37pHX08nTx3Y09yHZQnK5SobiRTdHW385M0PeOX501iWfT7OBiE4kyvwwfkrFIpFdMNk&#10;aWWdWl1tOBYWnW0xjh/Zh9/n5ciBXQT8XizLYmFxlXK5Qk9XO3VVo7O9jXK5wsz8Ent3bvvS2WiA&#10;7s52nn/6GPFEqiE0olBXVTY2U0jYzsGZk0fo7mzH43bR193B9dv30VQdn9f7yFWWKBRKxDeTPH/m&#10;+BMdTQkJn9fdEHB5aLIsEwj4aW+NNhUMXS4nbrcLj8dtq7HVdVvEw6GQzua4OTnF1Mw8pVKZ/p5O&#10;svkCK2sblCtVNpIZ5hdXGejrZnxkEFmWuX3vQbMtQE93B0cP7aU91kKtrtrkdEXGtCxSmRxXrt/h&#10;/sw8p44eJJnOUqur7Ng+QiwW4c33LyAswdPHDyEQeD1ujh/ey9TsPAiItoQJhwLcuHOf00cP2mPL&#10;sujqaOdbL51t8CDt885k8xzat4t9u7Y1nWmf72FyYWZukUtXb2EYBjNzi5QqNS5dvYWm6UzNLj5e&#10;jRL29uYWV1heizM5PUelWiXWEqazvbXBqfh6PIWvzqT6zUwIiG8meeOdj/ne6y8jBPz9T97iz/7w&#10;9YZqnr30Hd6/i5qqUinX8HrcnD52GLfLSep89pHV0OY2Hty7k53bx5hdWGZ5Nc7bH1zk+WeO0dne&#10;yuLKOjPzS3z/979pQ2dNk0KxTLFUpbuzAwl7Hm+JDNTrdQrFEqZpIj8K8fqC8xns66a/p4v1xCab&#10;yQymZZFMZbg7NUuhWGb76BBHD+0hEPA355EsSc1qvgD7tWz/lD9zM0zT5O7ULBubKaZmFwgHA/T1&#10;2LzpcCiAKR4G2pYQ5PNFAgFfk//3+etvq1j+9O0PWVnfoK6qqLpGVa0jYYs/3J2a5Yc/eYvdO8c5&#10;eeQAz54+hqqqjQSqzo07U6ysbfB7r73Q5Eh4PG68Hjf3pueZXVyx+d66rRh74coNZFkm2hLBEhZD&#10;/T20t0UJBYOoqoYQFgf27EBVVc5dvo7H7WbHthEmxobx+714PG4U5esLsByKgtftYW5xhXc/+oTl&#10;tQ3+uz//g6ZQzpOumdvlIp3OcWPyPpeu3uLQ3p0c2rcLxaEgNLh97wHnL10H4BsvPkO5XOXy9Tsk&#10;0xlCAT97dm5jdKi/IYhkPjagRCMJ/9l5mM7mWFlPkMrkiLWE2b97gvbWKOsbSS5evcnSyjpnThym&#10;t7uzCQH/xgtP09ke4z/94CdcunqLttaWryHI+oLrCL89btU/BYfry+6jeeu+AhbAsn1HmkHV1tYe&#10;gQhIgGSJ5iJtSTaPCAsEMggZySHjcMoUE2kqBZXdpw6x+5u7qefSiLKLgBxBeKrolRpasUq1UMQp&#10;MmxMJknPVMCUsBQLE8mWq0ZgSiZIJpIhEY22sPupCIZhO34mCrpiEerz4/ZJaEDdtKiZOiYWjsYi&#10;5wn46B4P0NVhYlZceMUIvnAbg0/3ojgMrv4/t7A8boQlIWPg0C0WJ5c4/lovB050sfzpCmZ1K+yE&#10;x188eUFu8rQavzz6GfHopyQ7yMpnMuTSQfrGvYzv7yQQidI+2Er/WIiNqWVcKwqGaTVUrO1KhrAv&#10;P6YlYVQFLp+BhI6FiuK2GNnWTm9nL5LsxN/mweuwKKTr5Ks6mmVDFbeWMtGAiWqKhClLWGgg6yCZ&#10;JBby5OJODEkmEnGiyCaSKeN1uqmULOaygrDTAZUKilCQG1wek4fwN9mQWPrwHnOXZvDv6GHs1ACK&#10;umgLiDhkZKtC5lac3HQSdB0sBWQZxe3GG/Fy/+oCI3u9eNxgahbFtQrGmkFlOoHqMqnVPIwfr1Kv&#10;LLK2tMKVXywSlh0MuVzs8Yfokr0Yho5a1lGnSjhGY4we34laqZKdy9A23sfIUyPk7iyy9uEdytk8&#10;qs+B0hZC0QrI9RqibqFrGmZJx9QFljAxLQPTNDFMgTB1hGlSK1fAksguJjHqdZxmlcxqltlPE6hV&#10;HY/ssqXNkZGas+1R4N/Dpt+PDSi2gmv784/ev1/HLMtqZNj1hzBly1bI03WDaq2GaVosra5zf2ae&#10;XL5IOBTkuWeO094axTRNmzQ+OcXswjITY8O4XE6cTgdaQSMSCuJyOb4cVvqR03xSMtntdjW4VQJ3&#10;Q1RAsi8ixXKFVCZrK0GFgsSiESQgFPLz53/0O7icDoqlChc/vcXh/Tvxeb2kM7nHIBW26lydqdkF&#10;QqEAB/bu4BfvnuO9jy9x8qkDzQcvQCQc4PiRvWiaQa1ex+/3USiUePbUU1jCdt4joSBer4e+7k6W&#10;VtZJZXKNio7crDa1RiOUyoK703N0tLfS09mOZYlmb6pfRvT2etyYlsWdew/QdYPhwT5u3p2iozVG&#10;IOBj/67t5PJFDMOARpb05+99TNDnp70t2oQgSRLcfTBH+8IK20eH4AlqVlvJt8/hNhvXDWGr+314&#10;8SqtLWF0w1bHKpYrzC+tEo1EkGWJUrlCoVimp6ud5585jt/v5cc/f5/21hZGBvqp1uucv3yDbL7A&#10;t1951s7sN3bpcrnIZPNcunqLSChIra6SSKYY7O9G1w0uXbvF6nqCV547zY7x4UZAZSd49u+eAAFX&#10;bkySyuSQkNB1g862Vm7cvo9hWvR1d3L29FOkM1kq1Ror6xuMDQ/QFw4RbMBftywcDNDd0dbgdj3K&#10;wRKEQwGQYDOdxTSspuR/MpXFME0Mw6At9tAJshrCGTvGh4mEAnxy7Tbf+cbzBP1+DGPLof7/A+vy&#10;q+032assSRRLZf7hJ+/Q09nO0YN78Pm8ZHN53v7wE3vjXjsJumPbCKZpcufeAwI+P/t2baNWryPJ&#10;8sODeORgPG4X20YGqddVBvq7ePHsCRyKgtvtYmMz2WzRoGo6LqeTg3snmu8lU1mm52xYcVdHG9FI&#10;mEqlSsDv/5UwzFK5QmIzjarp+H1eTNNicXkNwzQ5c/IIne0xllbidLbHiEVb7O094kNZwmJksI+X&#10;zp6k47McLAEuh5MXzp5gYnyY985d5sHsAs89c5xyucKHFz6lWCoTjYQBMHSDN975mGdOHqa/p4sn&#10;mSRJREIBDuzd2Uj8tHFo7w7uzywQa4kwMTbMjckpRob6GR8ZxO120dPV3vy+pulsbKYoV6oMDfQ+&#10;th6VyhXKlQrlchWHQ8GyLPp7uxoCMjL7dm1HAN2dbbSEQ6zFN5ldWKamasiSRCaX58r1O4wPD1BX&#10;Va7fuY+iKOzeMUZXexu24prUDFQf7ZMlGr9vQSt/ec9Gi5uTU/z07Q8Z7Ovm3/wPf0E0EkZtJJpS&#10;6WwzIZgvlOnt6SKbzfPTtz9kI5nm5WdPcfTQXsCG1l/89BaXr95m18QYzz99lHAoSDaXbyYOxWf8&#10;wkfnkENRcLucqJpOtVbD5/c222G43W6qtTpCWM3AbGZhiQ/OXUFWZL7z2vOMDfUjBPh9PlqjLQwP&#10;9NLeGmV0qJ90Lv9LW2v8pvalU3+fKSb8Vr/z62znq5v4ikDrra/ZGfGtQWHxyPE2MuVb0uRbQZYs&#10;7IBMbnhFsseJd6gFb6+XdneYzgNdBLqzyKQZ2NWGvy5RXIyjOwTekBu3xwfCTc1wUBUKzoYOuoGF&#10;IQSGsDAk+7hkIZHL5ZmZ2USvNhSBkDBkaK+30TXQhxRx2qCrrdhw61JYAqtag5rJ+t04N6/Ead/e&#10;Q+8hJy0tJoZRxLBCSEJHsixcThey6cIyJPrGQ/ijbrJVw0YFf+ap80WAwMf8Eenxzz5aJUQCwxRk&#10;cwZdwoupGMTn57jxSY69ru0M7NRAzqDqOlJTznALzmlv2mGXQmyJfRRQJDRDZ2UlSXKpgqzI+ENO&#10;cpshPK1+EkkZh9+Py6ODpgMSlrBDM0MykIRFQ1IRySnR0dNG+0g3suIi0NuC2y0jWTU8PovRo8N4&#10;22P4NJ0HP7qEURDIsolh2XLrlmiEC043Ajf1ssS+YwdwenSMoo7TKVOrqngjbra9NsBq2aQyn0YW&#10;4JAVnH4XbsVgc1nDe2oUq76GJGScikLI68LX5kHzSoQ6QwjFQJagJRBkdKKL/lCYnlSNloJhBw6S&#10;hGOghZYdMRgK0XWyAw8Gs39fJ78wQ2mHwD8uiG4GkRcUnC0Rek5sx+GAykfT6NdWMAoa9ZKOYQgb&#10;ytDgdEiSjVP2+Ly0RAS1QhWnUJCFA9MhU6k4qBQdSEJDUSTkrX8ChGRt3daH4+KRoSMa13CL+ShL&#10;D+fgr4O6NgyDfLFMJptnamaB9USS7ePDzQErIZHLF7hzf4ZoS5inDuzlqQN7uHbrHlMz8+wcH6an&#10;+6GMe7laI18oAoKh/l58Hg+JRAq/z4uqao1KpgQNp2uL32JaFtVarakOBjRhVNVqzc7+sVVxczUj&#10;r0cfYpIksbwWJzDpw7IE/b2djA33gySxvLrBjTv3cCgOqrUapXKZi5/ewqE4kGWJpw7uaWzPhtJM&#10;zy7y6Y1JXnr2JO2tUV569iR37s+gajqWaRIM+uwMrtvNYJ/tdFeqNeKJFC6Hg9Hhz5PNhbChUvFE&#10;ioG+LhDwydVbbKYyZLIFdk+MATa/oy3WwtJKHLfLSXdX+xdmprf2m9hM43K5GOzvZf+e7axtbPL0&#10;8UNcvnaHH/7sneb5bZksSZw5dYTRof7HssThcIgH84tP3I8Ej/FBvshaYxF+75sv2s6eZMNI5xdX&#10;Cfh8DA30kExlGGvIwX9w4QqSbKMTOttjvPTsSTrbWimWyly4coMnPbyG+3uo11VyBZsz43G7OLhn&#10;B+PDAzidDg7t3cnTxw83HdDP2v49E/T3deH3eZldWKZYqnDl5iRIkq2qZhjU6yr9vd288c5H/PHv&#10;vkZXR9sTs+lCWFhPgO1JEhw9tJcTT+2nLRZtcLB8ZLN5/uj3voFl2QFXuVxufscwTNbiSdYTSTLZ&#10;PKqqEU8kCfptaev/mnAuX8UkSaZSqzEy1M/zzxzD11Co/NYrZ7l26x637z34XCLFsh5eV1mW6els&#10;IxaNAI+h4zAMk+XVOJeu3mLX9jHcLhe1ep18sYTb5UJRbK7uWtwWTwF77Ku6zszcEtlcgX27t+N0&#10;Orh97wGpdJb9eyYIBR/vOfVZy+WL3Lw7TTqTQ1HsCtn9mQVaoxGWVuMsra6DgCMHdxMKBZCkrXMS&#10;jZ9Wg39kNnr/2WNGlu32G0h2PylZkjhxZD9r8QR//+O3KJRKPH38UCPwaFwrIcgXbb7UF9kWbPbO&#10;vQe0RlvQNJ3L1+9w/8E8rbEWxocH2DY6RKlcYXp2kZ7O9scSBoItIbPPeznNYEcIWmMtDA30EQr6&#10;6WhvJZ5IcvveAzY2Uxw/vJ++7k4M06SuqtTrKpIko+u6HZgJQaVaQwhs5dKGCNHs4jJej4eeznZM&#10;y+LB3CLdHW3Eoi3ki0VWVjcYHe7/lcJAuUKJ/+s//ZBnThzi5NGDFIplanWVjtYoE+NDXPz0JiND&#10;/eRyeZKZDNtGn+eTq7e4dusu/80/+y6RUJCVtQ3CoQCr6wneePsjnjl+mIN7Jsjli6iqRmushVef&#10;P/1L74PAPr+2WJTJqVlu3X1Af28XK+sJAgE/O7eN2smZhiXTWX70xrsIITh77CncLheJZIZYS5iR&#10;wT5m55eYW1imXK6wsZmioy32OET/17BfttI8FmB9mUDmszHIb+s7X/Te12pfEQtgw/u2XtukerG1&#10;oj0yt2RJasQEtjOvCBB2SQVLsnB5FXqPbiN6totaLotTLoFaRFfrzFxeInkhjdMwcA5Ead/ZCUYF&#10;SdIYfWqcdNZL4soSUkXHlLBV1KwG+V/YE9rr8RLyt6A2onyB3ZjV743hcIdA0prcGB45fssmjOHw&#10;eJBlN/FNFSI6DiUEFKhWaji8FkgWpi4YODBA99g4HlGAqAMp4MD4FXCsx1xiIT32XhNdiX29to79&#10;0RRHs4IhSQSDIWJBBb+nBafLj6FbaI1eGggLYQq20ALNTTTuC0iYQqC4nUS7YyC3IMkuLCGoOb10&#10;jfTTf8TDStc8kz+6QWEpb7vuEri8Xtx+L5IMpqQT7A7TNWiAKSOV6yAZiJIL6m4kn4VWUdFzKkYm&#10;TrKYQzdMEBKKJWFi30NZljCFSfv2TvQNF4okMX58mKkL5wm0KQwMOjFLgvUHacZPhej//h5WfnSf&#10;8mwSKgZeL+QnlynkSjgcTtStoF42CfR46DozDC6Bty+EYaSR0OnuCRN7uZWYAP3CKqKg2+Mp6sV3&#10;tB9G/OSLZfRiGsXMo+Y2KS6USF7woNeyyK4gXS8fRitX0bUCgbEWFLmbVDyJlipgmkYDXiBwuhw4&#10;3U6QNXBIdI7143DUSC6lGTq7D1mx0Ko1WkZaGDm7k7n35yCpIluKLfAhJCwkJCy7cbQQDfhnQ3LG&#10;aoyNrSzHVhZEsu+3In31EKtaq3Pjzn1m5pbQDcNeLgTIig3niyeSCGB5bYNgwN90Mi1LkEhmuH77&#10;PuuJVHN7M/NLNmdFkoiEg8wuLKM4FLo62pAku5Gr3HCo55ds+etIOES1WmN+aZVKpdbMVmZzBWYX&#10;VjAty+4bYlmEQ0H27Bi3GxM/Sk4DTMPk5JEDvP7qWRwOZ7P6ky+UaIu12IpskkShWOL2vQecOnoI&#10;t8sOXNxuJ6VyBUVRuDU5zUcXP2VifISDe3YANldtx7YRlpbXMS2LloaIQSKZbvbCqdbqxBNJCsUy&#10;M/NLTQiIz+ulvTUKDcjkUH83Z08fxeV0EouGmZpZZP+eCfbu3IZpmjgcDmo1lTffP4/P6+Xbr5xt&#10;fP/JZjZgl53trWRyeVbXE9TqdYIBP6eOHaBULhPw2wHulvy6aVrcuTdDrlBqZH/tgXR/Zh7lM3il&#10;LWW7zXSGdCYHQtgVhSeZJNmy0blCk1sANuxuYnyY2/ceEE8k6WhrJZ3JUq3WmnLCuXyJO/dmSLSm&#10;KZYrrMU36e3u2DoKwJZoVzX7XB9r/ixsNTVN0+0G0o8d/+cLbrGWhrNu2etStCXMiSP7uTU5zfJq&#10;nCvX7xCLRji0dyer8QTJdJbuzrZGzxxBJpunrtqCA0+Cc0qSRGf7482pTdNWVgXbkQ6HAjbcq+Fg&#10;OxSZseF+OttbWV6Lk87meOrgHixLsLy6jhDW18pJ+fXtq3kthmnQ3dHG0YN7G4GibeVKlb6eTi5d&#10;u/25Ks4WBxzsQOO5p49RKleJbyQxTbtioek684srnLt0HZfLyYE9O1iLb5IvlphfXCUWjTRhm6Fg&#10;gMG+bqxGRSCdsfmPLZEQe3aMNfv+RD/TePiLrK+ni+7OdoQQqLpOvlBEkiQmxoc5emhvc51UFIVa&#10;rc7KeoLEZhqH08GDuUXW4pukMnlm5peblROv18tgfzdOhwNdN1hd36BUrpDO5nj1+dO88c7HaLpO&#10;KBhkNZ6gr7sTt9uF2+Xkr/7iD3+pLLckSQQCfo4e2ovToVCtqWRzecqVKr3dHezduQ2vx2NzgnwP&#10;G/xu9YFKZ3LkC6Un7sMwTMrlKrlCkbqqous6Z04c4bUXn6FarZNIpvno4tVmBW90qL8Jm6tWayyu&#10;xqmrGieO7G8KLG2Zput8cP4Kne2ttIRDaLrOz97+iGdPHSUcDrK6nuAf3/yAP/3et5pr2xdZIpnG&#10;tExS2Tw/+cUHmJZFW2sLf/D6K7z2wjP8+7/5Ef/48/coVSoc2ruTkYFePv7kKh63m/OXr2MYJm6X&#10;i6cO7qFSq6FpGivrG6ysJ1BkiZGhfl48c+KJ10gC/D4vrbGoLewiSU0O8eXrt7l5dwqHonDiyH5C&#10;wcc5uHZPNJVqrc7Hn1zDMEzaYi08c+IwTx3czWYqzceXrjW5rQf37vx6euV9wTT/Shysr2pb4J3/&#10;WrbzhRv/NW0LGLiVQd/6KTWcBUkI5Eez55KjmXHZcvotTAxVJXX5LunMAplshqFDPfQfbMEpWThU&#10;J2YN5FiYjj0jWE6Fyz+/wehEgOEDQ+x9ZQSHJZO6voQo1xvVJ9HI3Mt20CdBIOImEGrAqCQZyyUT&#10;Gw7hctdtaXLNRBj2t2g44xaALCGEieySCIR8BAJ+JMUERTSgVgIhCTStRvdYiPFdbuobayzOVchk&#10;6za/DIGsbDm79rUBQJEb0BrJhrwpAtlhZ3hMbBiE2+vF0k1q1XojEy+QMRsQLwUsMEt11E0LuWrR&#10;OxDBL6skb6+S29BwB3x4A24ss4xZNRGq2YSHbVUX7UMSyJYEdQ01XUbd1FFkB5aQcDgVAs4q3Z0V&#10;tPYaDxxbN9quwozvH2PHwUH8XpVKpUywpwV/e53FS8ss311FAJFt7Wx76Tlw+DFMjenLtxCFOkGX&#10;A5cAhA17c4YDeLv8yKaBXjeIjoSY/XiDsZePsjJ7h49+cI1Df/wiA+MenO462Xgeo2oSHtMY+PYw&#10;M39TojqTQarKbHy6itIfQigSEva56IZOMp6l/I4OLgftB/to396LJEN1LU3mYgYNhUBF4JFkDI8L&#10;76EBWk51U8gnMHM6Ah9IDiS/B0PNkbmWQLc0Wo+1Ed7pxGX6ySwXqeZz+MIV5FaB7pTxxMI4fC5M&#10;o8zAaAe+FieZVIbUdJLymk5qLUd01zjRkTauvXWF4XE3g/sj7HmpD1cgSPzt/4+9N/2S5DrP/H73&#10;RkTumZVZ+17V+4Luxk4ABCFClChiKFFDjTSasWXNOfbxpznzxR/819iffMb2ObbnjD22ZpEoDkkB&#10;BIEG0Asajd6qurr2rCUr9y3i3usPNyIrq/cCIHJ0WA9ON6ozIyMjbtyIep/7vO/z3seslBHG9kdx&#10;ECCdnkKqCS3aw7oPKxCL3oqvVUBtBOl6h3/0ua7LsdlJzp6cx3M9Pvrsc5LJBIP5AQoDA3z46XWk&#10;IOzPtK9UpZJxHNdhbXOLWqPZIxO1eoOR4UFc1xb7rm9uc+LYLMfmppicGEUKwU6pTDaTZmZqnHff&#10;HmeoMMDuXpniVthsNTy5s6eOgYCt7VIvFaTT9QmUDVIH8wO9nikAuVyGXC6NlM4BtcFa7X6K57p2&#10;ISYIGCrk+fDyVWQUCEnBd996jWwmwwcAAID/f5evcOH8ad773ts4jkPX91ldL/LBx1dottqcP3OS&#10;dDLJ1vYu7//qM4rbu8gwj7/RaqKU5j/87d+Fgb1hZnKc33nrVRzHIZtJk8tleurK2Ogw1XqDsZGh&#10;Ayuw7XaH43PTYUH50x/oUbpirdHklYvnOH1ynoX7K0ghOX/6BK7j8p/f/4jCwADZbJp4LMZgfoCt&#10;7d2w8andjxC2EfSpY7M8/EukFqUmVevMzU4dCJQjCCFIxGOMjw7zwcdXGCrkD6x4t9odqWFRNQAA&#10;IABJREFUur7PyxfPUSpXuPHlPQSC0aEC7U4H6QgWl1bZ3i3RbndptNqkU6lwnnrkshm6XZ+PP7vO&#10;0sp6Ly0ILOEfHirwzluvPLKSnU4lMUYfWJGPkEwmmBgb5c3XLzGYH2BxaTV0uKxz8fwpLp4/xb/9&#10;93/LwtIyI8OFHsG6duMWqxtbuK7H5PjoM4mPrV1L0O0+zsBE4MU8RoYHGRsdZmJMkEzEKG5tc3J+&#10;ltsLSywtrzE+OkzsK9zj3ywOvyQ8mB8gmUg8olLdvL3A7XtLVCpVTh379oH3BnJZUklr+CCEwHVd&#10;Prv+JUsrdhwymRSNRosPL18j5nn84R98l1K5woeXr9Jotmi3u3znzZcBS3LGR4dtg2qt2djcZntn&#10;j+GhAi+cOckbr7741PN9XJzmOLL3jFkvbnHl+i06nW54rvED92ylZntwtTtdRLfLp9e/pNvtIqW0&#10;vc+kRGnF6PAQ42O21i6VSnD1i9vkMmkmxi25+Jf/7T/nw0+u8cnVL8DAP/vxe4yPDT8zhXh/DB3q&#10;jQYfffp5zwhECsFuqczHn91AG83IUIHvv/vtHknw/YAHK+t8fOUGzWar11esH77vEyjFUCHPyeOz&#10;nDkxx/jYCJ7rUtorc+XzL/E8l5nJcdsCJBpZYxfuPrli21xk0o/eG67j8Mfv/S5xzyOdTpLUCf7r&#10;P/1DhgoDeK7LifkZ/sWf/zHjo8PPHIPpyTH+x3/139H1/V5wm0jaOq8Tx2b5H/7lv2BhcYV0Otlz&#10;ov0nP/x9ytWazbwwAseRjI8O47oO/+q//4s+9dGmYD6J5AohOHNynunJMds4HBgdHuRHP/guD1ZP&#10;02y2mJkaZ2zk0fOYnhzjn//4PWr1pvU4wJBK2IbtuWyGP/vRH7D4YJUgCJifnWKwkD/wbPyqeNJo&#10;us+z0WF2HNbzhRJpmA/60AlEhOkwj5+v8pnnwtdgbloY9rO9w4hOh4G7tARBhIVEjghTm8IV56hX&#10;Q8dA0A7YvbxG/XaK/OsnyUycgKBGUCrRLjeIJR2GTk2SGhxg4YMv2b61RqI7x9TJKtMnMsh/dIxr&#10;jQZbn66ERWESG346ODFDfa/GtZ/co1xsIoBYwmPo3DSpY9PIeJJOtUK12EZ3VS+hSgFKCHAEvt8g&#10;MxzjwsvzDM+P4jkdLGkUlmA5glgmxue/uEJ3vcbWYpEbV7do7vrEjCSQiuG5IVKDmZB92gexkpCd&#10;zNHaq6P3fOIDMSYvTeNIUMIgpMv02BjV5W1uXlskmgVSKlxhEMIhqCru/PwO658GLN3YprjWYmAo&#10;xdB4hvT0MHPfnmdwwqO+26S0Wsdv6p6LVqSXiTBVExfwHCp1xfJKDSecHsp1OaWmMMbQqHdod1SP&#10;SCujGTg1zOicR32zyJ0PVrj1fpFGEVL5HJkhO8Gyk0MIxyHQIOIeg9ODmEKXyYkx6qu7VDf2CAJN&#10;dmyQ4TMZgsoDNm9UufzvbhMbnSDmGd7/n35CYxvSiUHcWBcVCygv7LL9yTCTr2rqCxuYWg3XOKgd&#10;Q7vbJHesgJYSR8aQOCjh4Qce9a0GKu6S6Uq8ZB7dLOFKD1X2cZMJYgmHoNXCxB0Swx5C7NIqFmmX&#10;YshODi8Ngy+NYHIjSN/BibsMnykQEzWC0h71jQbdeppSeYvKRo2OcciMZZEpoKsoDHisL93n1geL&#10;lD/ZxdQlhReOMXlylC/++iOWP71H7W6B0UKG/JkKp743hNtQrP/fNWj4IGwKlpSSZPjQ7grbEkFp&#10;BWEZgkRYtVho9gMA89h6pWchlUxw6vg8YB2q3nztEolEnFwmzY9+8C7F7V2EgOHBAoOF/ZSr+dkp&#10;/uLP/ojBfO5Aj6rSXoWu75NJJ1GB4nvvvEE6lQzd7ayi4TgOb756ifxAtueYNzUxxp/84RjPC2MM&#10;33/3LUaGCr1n8bdffwnPcx9J5To+P01+IIuQsvectalDYTpmuHQzWBjAdRz+mz/7IybG9lNwHOkw&#10;PFTgxQtnyGUzHJ+1NQhDg3n+6Afv2tomIXrkF8GBVEfPdXp1GlE6UoSZyXHyuSwDoZFIhE6ny+hw&#10;gaHBwjNXI2MxjzdevUQmnSIei6G15t3vvM7I4CBCCM6eOsbUxBgG01ud/+Hvv8P46HAvXSvCbsmu&#10;asuHVKx0Ksmlc6dRWnFsbhr3MWQFLBH/sz/+A1bXigdS50w45kOFPBNjI9RqDV57+QIDuSzTE6M0&#10;mi3+qz/5IcNDBRJhmt5euUJkzT08mOfVF88T8zzicetydvCXpsF1nF5Q3o8LZ08SBAEDj0n7imp+&#10;Ive2N19/kTdfu0QqmezNo7/8pz/C94NemqaUkmNz0+TzOb73O28wNT76yHg9DMeRvHj+NB3/0TQu&#10;KQVjw4O8973v9E5pbGSI9773DlLaMXv7jVeYm544lPnJ03ComONAPHHIlBjg97/7Jvlc7hGCe2x2&#10;imQizu++/a1eawew4/vt117qLX6AvQePzU4xOlxgbnqSRDyOlJLvvfMGk2E6mxBw/vQJPNe1/cr6&#10;7uHeqRgDUjA0OMCJYzOcfELfqN6xCEnM85467sl4nPGxYU4dn32kPglsr7R//N7vhgvF9hgiUhSZ&#10;tkTnHTnJ/dN//B7xmMdQIU8s5vX2+Z03XuG1l15gZXXzEaXjWfBcl0vnTnPy2Fz4u0L0sgmihRDX&#10;cQ4QHdd1GBke5OWLZ8lm0n2K8j7y+Rx/+P3fwXXd3vETnmc2m+biuVMMFgYe6fclhCCTTnH29DHG&#10;Rmzd6cOQUj5SV3Zifqb3czaTfm7X1YFshoGzJ5/4/vjIMOMjB1Xn+YdqLvsRqeDPAyHEY481m0lz&#10;4SnHBJBJp8g8ZZ4O5LKPKH/fBIx4/J3u9j8PnvYoeFyK38OvK6VotDrUGy2a7Q5BoHCkQzLhkUkn&#10;SSUTz1xVelxa4GGO7Ssj2skhnqYCsR+cR68IkMKqRI6USBMV1Yt98Ubbwk3faFpC09KKVten2+kS&#10;T4IbVNm9tcXi++s0ii0KM8PkhhLsfnqX2q01hK9YvFZk+FiaqXOa0v0d2rU9NBpjwt4QQUCn2qJe&#10;1ARVH1cbPGOPWWqHkYkhJqfjdLfLLHyyytrNMqqrbcATpl9ppajv1thqVCmt1/A7AtWsUVl3aXtd&#10;mjWfbFag6xpdkzSXFX/9wRf4HZ9WO8BFIoGugcHZEcZPTmAC1ZP5AifA6fp8/H9eQdQrBCbN3KW5&#10;kOJZbSnlOjS3FUIKlIKuhmajS2WjQmWtTG2zxuKtIq6Dbe+lodios7sX8ML4OONjLp3iOvc+XOHO&#10;Z0WCrm2aG9XvEKlYgcavBfgNzfTsCENDkwjHHkluJEM8JmjtKTrt/fRLhEBoWP7sDsl0i/V7K6x+&#10;tkmwq5g6O8/oi1PIhMYYTTyToL60zdLSHu264MSbMxgcRicnWPv5LapbVZQKKK1vUPzVDbxEk4//&#10;n0Va2y4nvjvOtf/jp5hlTSIWw3RatBuKdsVgKorFv1rA1MfY+tUa/mYHR3goZZAIHA2q4RNU2gRt&#10;n9hojpGTc4iERsUFmZkMrc1duqUmbiZN4a1jDOTyJPYCti/fob1VovTTNrvVIcqVJtVdn7HhBLGT&#10;hoFxl8z8EBpr0CG7DfYeFNm9uUv5vk+MFJ3tMmq5hel6lO+vkbsDO90G969scP/GNo3NNlkZY/LU&#10;DIWZcRZ+9imbC2skOgE7X+xx82drXBo8zsbmTbYXt1CqhYdB4tjzQ4QzRSIFGKNQwvRq2JARpTI4&#10;WBMMHabKfh1E6kOEQj7XW217GP1NKPvRT8KIcaBhYoR0KtkLaL8qhBCcOj534LW5mcnHbpvLZp5Z&#10;U9GPicTBwMxxJCNDhQOGBGDVv/zAo2PwJLiudfzrx5PGMZ1O8uqLF3Ac+dTUn+g4+n/ZW8v0g4FB&#10;NnNQ1XlSQ9KhwXyv1iWCEIJEIs5LF88+9Tii7y4M5J5JCnO5DBdzp/qO72DwEfO8nm0yfL05Mz42&#10;/MT3Hk5Nyz6mjsMuDhx87XhfkPc8kFIyPTX+2PeiQLM/2I/H44yECxeT4yNMjj9KFr46nicC+eZw&#10;fO7xYzU9OX5AFY8ghGDqoUDedR3OnT5+4LV4LHYgAB4ZGmRk6MmptGAXd6bGRx8bzD8OmXSKsyeP&#10;kXlKED8+NsL4Y8hc/3c+jvg/DceeEtgn4nFOnZh74vtPgpSSdDpF+hBNzB3HYWxk6FEjjj54rvvY&#10;tEohxFOviRAwOz3B7PTjjTmO8JvDPmV4lDyIRjvoRRrP8wh5OCwRWPZdb7RZK26zsVWi0WyjtT7Q&#10;1yCZjDMymGd6fJj8QOaZstzjvudZkIJDr0zbYmqDrw2ZhC3iftY+jDGYTocvvvMu7fv3wfX2j9fs&#10;9x3p1QeZsAcWYRPUsIAzQONj6KBoqoB6oBEFl7FLBZqdNpvXd0maJIOTBbp+l8pKCYXER9GWmsLJ&#10;EYans2zc2qS+1sQ1EqElvjGkJjJMXxjCiSs2FktsLdbwmzaFRhuJSUvOfXsaY3xWb+xS2/XtCpER&#10;ob2yIT6U5NjFMRzdZG2hylaxTWYgwdlXp1GdGst3qowfm+PUS0lquxU+//kaO1sttLYBb+TYZoRG&#10;xASeK5E28rXuewKbRqkNQtt0Ox2ubrpEq0Xa5oL7NmB24nEmzowzNSWpFEusLrSplX2EsMxV2EuA&#10;AlIDMc68NkY8Jbj18RrNbY2jIo1u/6ZIpJOceXOOseNJVu4XWV9uooywBMtAZiDO7IksqYRgc7HM&#10;6vU9umUdBvcaPHByHq26j2wZXBzSo2liEwl8GVjdRGlEx0cHlizKVBwjJaLTRZQMqmQLlQM0Yyfz&#10;CAMPlsqMDo3Scdr4mxVixkNJzckfX2BsTFNf71D8rISz0yIx4uG1FIl2DN9IGiKgFLSJzWU4/Xvz&#10;1La3Kd5rUinD/KXTOJ7BSIMQAaK5g99qItwB0rlBUgiClTL1xSKdekDTEXQTkqDjozsdRs8MMnwy&#10;gw6adLVGC4FwJbiCxl4LfzPAUQkyiTTJZkB3p0mnbTAJl9Rckt1qleJ6jVrTR2vF+EiB8fkZ1ja3&#10;KG2WMMrWSUntkhiIcfa7UxQ3N6gvtEi3U2S1xpUOjuPhSYkyho7SNHVAzfjUUASBrcOKhGUEpBAk&#10;pUAawfyf/Ji3//X/criHxRGOcITfCgTK0Ona9gie++y0sggGG08EgSERdw712SMc4Qj/sNBoBWgN&#10;nkuvjrkfhyJYj1vzNcZQKtf48u4DdkoVCvksk6ND5HMZPM9aZNfqLTa3S+yUyiQTcc6cmGFqbPip&#10;vv2/doKlDJnkIQnWO79L5/4SJqwjUqGZRc8O3Gg0GqW1td42oNG9/leRBK4xdLWmq7GOdDLAR0Mg&#10;cB2JcAQoy459bBfvrjb4AA4IZc0zoq9XgBYqdG0Kmx8T1WaBEZLAGHDCPl4qvA4ShJEYbQ0ulLEk&#10;UERXQAgM+8oPSBxP4sY0QaBRAUQqvggrnWSUN2lftLTLREKeCbcKKY8Ix1ZYl7dIIdwPlA3g2KEw&#10;KqSvInTr2vdv7HdOEq6tf9M+ISHaTzSN0pQkAjzANQSBJvDtJbTpnQLpgJsAIQwmMKAkrpZ4SByj&#10;MUbha5vKYBMzJULYeqAgJNc6GsLeJIoSOcERDjHHDc9XgDAI49g0SQyY0FrVhPJnShCThpjxyMok&#10;GW2zG2NS4BhJ10hqMqDid2gYnwBF4CuMAmMkMUcQCxtSR+cfBNY6PBOLkY7HAG3vJy0IjCAwBqm1&#10;dUoUBuloqwgJgYg5yLSHSDk4nkNM2NSkATeOV+pSLzWp+/ZBRJhWW1MBxW6LtvYZSSZJEKPq+zRD&#10;BzxhBI60FN2NGRxH4xmXhHZJAzHpITyXjtasd5rsdls0Ap+W0XTCtLNw2hBNX1cIEkKScGK89Cf/&#10;hB/97//66Tf6EY5whN9KHBGsIxzhCM9CRLBcN+zd9tCt3tMqv9IjwEClWuf6zQXqrTYvvnCS2ckR&#10;YqEEGgXNY8N55qfHKO6UuHl3mRu37wMwMzHyXA+fv+/H0wGGeYgvC/3KMAjbV8mEFtsKCImUDhUY&#10;jcZo63FmIgImRI8kOEjiwuAgCZSLi0ZbL2qMEpaKGBvAgySGwVGmVxthuYAI92mQxsEYgTAmpDi6&#10;ZziBMbgYdBA2PZYRAxMhQxIhWQCMtC8DRkRVLdGoGZQfEPgh+eobOxNaB2rMgWG1DYTDPOrHjLsI&#10;SVhUXyMQaKHQOtpTaBwiIhJkMKgDgXTPtVCA8MOEQxFdsx5djJYc0AiULzC+rRmMViKEkJEGR9C2&#10;xEKEXyCEwe0pkwKndwDhjBACR0iE0eErhM6R0UAYhLFKXZTbvX8v2NQ2u0+JMNKebzhqomUIgKTr&#10;4MUlroAY4Jqwf0h4PR0pkL6L6QpMYL/HdSSuY2sBHQSukLhSoNCoQGG0oBsYXMcSOmkMroGYkLie&#10;iyvsWDpC4xhLEKXnIGIeMm5Jj+s5JD2XbEdifIHCoy0VvtA4SBI4SCGpax8TaFzlEndixCWYKLXR&#10;cXCkxHEcXGGVT4lGCoFvoKkV5XabzW6bnW4b1SPXdqAiS/9oKlgXSoGvNGURsBV0Hr6dj3CEIxzh&#10;IRw6KHjM549whCP8NuJQjYYf3q7d7XLn/hrVepM3Xj7H5NhwL6WrhzB2l1IwOTpMIh7n6s173F5Y&#10;IZtOURh4er7/V6nJ+nVBKUOgbVNY2+DXEiwTEiqMDbe1wBIXgbVxj4q82ec1faE1QspQwdnvC6X6&#10;3pfhZ4xjf4gCyajaJOQfdg9h4VdETkSfFXrkXG05l+jrlm0ssYIeM+n/2xLniBH1UZaI2Yi+3zP9&#10;Ta16JCd6fz9dzzbtos8ERPaa5UVEyBj6zCksEdL9M8LAfpcrE7pzh2fenx4b5hEKI8LBFz2yF2pE&#10;fecaKnhyfz+hT4dtbopV6yLiKCIKF15U2/QxomF9g9N/jbR1YjShnbgIe5jZIQt9KAUhjY+GRPQc&#10;8oQJSa+Q4U4N1o/ekirpCBxsYbN0BK4riaijEAIhJa6UoVqoMFojHBcnHBdXCOLSwZMOjgBH2N5V&#10;jgl/9lxkLIbwXETMxXUdkkhi7S5d3/RMXSLi7hkHhCRpHFpaIoRESUHHV3SMtuQaWzPlGI0rAKMx&#10;WhEIqPldyr5PLQhoo/Ht7nDDJtBIgdDhHAjnkBHghdfEEDb7PsIRjnCEZ6D/V8dzf+AIRzjCbwme&#10;/IQ4lM1OP7kxxrBbrrG6uc35k3NMjg1Z18CnfL3BUBjIcPrYNNe+XOTBWpGBXHo/kH7oe572Wv8p&#10;HfoB+A1BGUKCpeiGzX0jtQIiAhMSl17/FBMG6CEhEPvbEgbvltPYN6JeVJI+AiT21R+rToE66BG/&#10;nw7IQUJkRFgHZgiNAKI/EQnrI2p9P/X+H32N6H83urrhMYk+4rS/IT1WIe2RG+OgRQDaQSCQRiFt&#10;v99wLMK+YtKqd8ZYDa7X2DXkbFqA0DIM4U2fYrRPUsGmnfXH1RHJCxmwfdGxO5bKCVW4wO5V7l9L&#10;pzfCoKMUQ0PPej9kOxgZEiUj9we7d4lkn9IW0jIDRuqI84WqoO2PpY3CGGUJZmhzbPs9aYTjQJhq&#10;SkjxTDSpQpLnCI0MCSxC2lTYaGZFjnHGQQdWYRXYQl8XQRxJXEgcIewfwEMQEwLPdYh5LsJ1Ma6L&#10;cB1cBF5XIdo+jtKhz4QMU2btuNm0SA9XK1pGU+o02Ok06YbEUCAPyO0inNtdNG2t0UirStm81nBR&#10;Q+z/J/enX3iV0aEtpAM4/XLrEY5whCM8BYeKMfp+fx/hCEf47YUbqSgRnvexECjF1s4eruMwPz2O&#10;NXCwqk1kbqGNCQM6EdYdGRwpGSrkGCrk2Nmr0mp3SKcSj2VVDx/bk177JvBVHofKgNIGLXWYCriv&#10;NFnFZZ/kHNh/pDL0kat+0U8QKTWm97lQrAqbGUeJC2ENk4kIkoHQ+1/bH/drvaKVe/qrlcQ+Eesj&#10;W5iD6hnR62KfrOzvw74rDpxhv97V/4NVaWzQa7tZCSnw0glcLw6dNsLvon1rDGFUaLHdC6YtF3I8&#10;Dy+TBKXxu13wfYS2+3UcgXAdWr6PIiSrIXeKepKJkHhExtNeMoaXiKO0j++3wVfWfl4b3Hgc4cXo&#10;aoXyfVuHhMYIQyAjq3prnGDJzz5VFULsX5OQ1EJkbBcRjbAOKioglAaEtqqUACNsLVRyIIOSgqDZ&#10;QXV829DUKDoqIC4kBoGUdmIoIh1SRFOxNz+MkTbdMky/NJEkKATStQxE+wFKa+KuSwyJh7COmCJa&#10;ALAprY6QxKSD1yN8IDU4SmNa9joqYymqwja3Vsa2PnOFwHFcjJZsBx32um1aRvfV8KkD9wf981j0&#10;xTDGOiVGqnDITHvK6iNzUNiea/LAfD3CEY5whG8A0bPpSMY6whF+S/DkWOJQClb/bgKlKVfr5LNp&#10;Uqk4nY7PenEHpQxzU2O02m3Wt3YpDGQZKuTY2i1TqzeZGh8hlYiTy6YplWs0mm2yqWRfqteTD1c8&#10;4/1fJwygwoBRa6tkHGyzF+o7Rh/QgnqB9+NOQvSdo4EosYo+AiYAafaJlN023Hu0XWii0U+mDqhV&#10;Zp9YHRxNu1HoRXCwpir6S/T9++ERiciY0D0jiyh4j0gGxpIeI23qpCclJ3/nBLNnxuis11m6vMjG&#10;8g7CdUilM7SbLbrNLmDHGOGQnyxw4QevY7oN1r9cZvnqMloFGAnJfI7J0/PU6k3WFpYxSiGRts9M&#10;yDCFsSNrMBjXMHZuguOvnaATNFm+usjWrSJBEKAEDJ+YZe7FWQK/w4MbS5SXSmjf2LQ0wnqk0I4/&#10;4swCyGbTSAekaxUjFToz9q4nth/X4GCB0uYOnXqbSGm0PT4SdFpNMIYAl+FzE4y/ME272mHr7jrF&#10;Lx7QDhSODpBaEnddpDA4Uljib0yvDi7yANGhCoQOkEpiHNtAIDD0SIeQAqQgCFNdHRmZdoTpiJH6&#10;2JtXBqWVNVrxQSqQgUF1FIFSNIGq0DSMj68VUkg8NA42r6+pNSW/TTdUvw+I2SJUBTE9krU/1aLZ&#10;G90lYTqgOEjue06eD+O/hIfIEY5whP/icWCh5ghHOMIRnhOHqsHqh9aarh+Qy9oUv67vc39lE98P&#10;mBwbolJvcmthheOzEwzk0qwXd9ko7pLPZsimE3iOXS23jSd54oLPr+PBFoZn9h+HyAXQPKwI9aGP&#10;6PSIV7QS/5i6JNhXkXor8KEi0tthGMRHBAvCnkyY0H0vUq+i7xU9gwodqmnaiNAAQISELNy2t58+&#10;8tWvarHvUvj48es/9/10Q8J0QS01biKJqwVG+fjKt+RHSk596yRvfn+M1nIZ17TITGRxUnEK+TEe&#10;XF/g/q0HVgVF4kjB8FSed/78ErKzwUf/rsnS1QcE0qokIuYx9epJxueH+PQ/vE+t0mFoZoxOo0Zp&#10;oUhlpRymBFrS5yQk0xdHefNPT9DpVuk292jXwEtn2C3tMvLyBG/82RmSjuZv/rcWpc0qgYqS8WxA&#10;Pzw3QmEyj4i5oAWm02FqZoTGTgUnFWdgqkAs49Bt+FSKNdJjaeJZF9UM8LppvvzgOsW762gjCLSh&#10;MJzn9EvnuPfp5yhfoYkTyA4n3x4kOZLixn9yqe9s4dcDjHSJjQ9QmByhdHcTv9xBaG1rjELrQtsa&#10;TYZEPCTfYRqgTS1VaGObYQsEhI1lA63BCc0+QtU1UpEUBoUmwGC0QPqWjBlp0AqUD93AUFeKug5o&#10;a4U2GokhMBpHGNpaUQ26dAmP12CJ6iP30z5pOqia0sfIRHRFei/ZWzBahHj4Pj9aYT7CEY7wzePo&#10;yXKEIxwBDqlg9UMKQcxz6XRs/6R4zOP47ARKaTzPYSCb5tzJWfK5DK7jMDU2TC6TIpNOopTG9wME&#10;Au8ZjYd/fTCHS7SOCMsjqXT7gV/kMtj/GYxNLew1KeaRt/d5l7DqVH9Qafr+FjrSEmzKmjmwbZ9i&#10;ReS1F6UYhilyJhJ19q3XD37bflohDw3NAUGhjy8eVMVsmppjNMoVvPreG2SzMeo7VdburlArV0nG&#10;PVJxg2kV8Vu7OBmYOz+BSLokkwVUY4T11XWa9S5GWPMPLQIwZUSwRbtZRwmP7GSB5EAG2gH1yg6z&#10;ZyeQzjy7JcOZ75yhtlHkV/+rz96Dij3ImCQ/MczI/CBDcxmMKuI3qiSH01z80Qlmjo9z99odkiNJ&#10;vFgNXdmjtVuh0wlsHZaI2RNXhkQmxYm3TzJ9cRCpDEsfL6O7CrNjm27Pnz7O3KUEquzzi3+zycwb&#10;x5k47lHdaPN3//NVWuUqKIP2HJIjec5+/yLHX5mjE6/aqy0EBsVucZNYu0On02b2tVlUIHGlx/gL&#10;g4yfGef+zzJs/OcF/J0qxhWghCV8uq8u0FjCqwwIbVN4NSKsCzR9tV/Q0Yq2sW6GwhibbmlCZ0gJ&#10;gQCEwdUCT0kcX6CkwfcN3a6h6UNDaXyt99U9Yd02Wyh2um0aKgCittIhuZL7TblDU8te5p8MCeKB&#10;iRj+YGvyzMG5GS5MiL6UyaPl6CMc4QjPh75fbkc4whGO8BCe9mQ4wG6e9Sjpf991XPIDGZZWilTr&#10;TQayKeamx3oFE9l0kuzx6R5vGR8pMD5SQAhBs9WmUm8Q81zSyeQji8mPO47/Eh9zpp+O9FL2+oJZ&#10;DmQ19X4wmDCg3A/+YD/FMFp179VQ9dSn8E+oVJk+kgT7qQx9ZTV9x3pw/9pEx99jho+ijzD1B61P&#10;nB99BLF/dzZIlrz9R68yflzz4Msisb+T+LpJzPNw8Vm5VqGxV6dR1wjTwGm75MaGmbo4zYlihds3&#10;luh0DKnRHNn5PBgfAsngSJ7Tb5wnPZnh/Nsn2V5cx2922F7apLy9hRPPk03VUOzhtxqoQOMI68cX&#10;yyTJjw0QTztIoxCBYurUGCNTo8R0nZV4m1SmgOdKtneq+EaTn8yTzmZwpcvuUpFOpcHqzWUmXp3i&#10;XDaN26qxdv0Oizd2kC2fljKMvHSWyRNtHN+wfGuN6TfOMdjco9tSrNx6QHOjjTR8RvHhAAAgAElE&#10;QVQOeC6n373Iyz86RmV9g0a7gReLYZQBIbjxtw/o1is4JElk0xjPJZNK4uY8Oq1NlNNAxCEQAeBa&#10;t5B+RSicT71XtMYJzTsISX+YAYgWBq0DXNW1dWIIXNPzG0EL68Snwvoxg0BrUIGi2wlodn3qKqCp&#10;FCokbiKsk1LGUOu02QvaloALSbQ0IQgPWYRNysMDjhYcEI+pnjJ91iXi4Jzuzdt+q87ejD7CEY5w&#10;hL9PHGbV9ghHOMI/RIgn3OZfWT5yXcn48CCLDzZYWF7nxbPHe/USPZhH43atNdulCnuVGtPjIyQT&#10;8b6Uud8AHpZlnvdZGDaEPWBN3jvfh4hS+LfuKUxhE1RjTbjtav3+vnqfE1ZxiMhbVFelws9HNVLC&#10;2PoZTeQuGJqVG0O0dk9f0BmRvCgUfaTuJdwsCogPoH834RA8cvV0L4rfN/rQIGUTT+6gauus3H1A&#10;opAmkYwjvQFKlS7lrQZbWw1iyRj59CCB32FjfQM/sHVOwlEMTA0weWYErWsIHRBPCIanM6Rn0lz4&#10;VpaNoTRXflrm05/cY311g9NvZnDw0IFGBRqNssG7Cthd2aBRL5EcPsOJF6cxCUFmyJBwKyx9scLC&#10;wjYvTIxT3muyulln5rV5zv1giBiwfWuL5u427VpAp6OJpdI4UrK7vMfOSp1OqUPMGOIyhitixIxG&#10;oIhhjSNcbXCNICYcOlIilUD4ClMr09y+z9b9HWrbXei20VpiHNemzwVphOlSrZQRmQQJkWPt0yLd&#10;5g5rHy+T6KbwbAvgvusSuQr2K1nWZr5nQx9RjjBFVBttDStEQEJ6JIW7P4+iWidha7akIzFC4gcK&#10;31e0uz4NpWgYRYewTUF0cxmbIrjrt2gYBTIkWNGc7EvvI5qDPTkXWyPWm5VhXd/+P3tEMvrG6A4g&#10;mue/wUfNEY5whH9oOExQcIQjHOG3Ek94RLjPsc3j9ycEhXyGidFB7q9scmp+imw62VNcHvf92hh2&#10;9irce7BOLOYxMznaa7L6PMcf0YSHj/NrPf6+RsBlpAAJRkbW4RF9En15c4+mLEVBYI/IRJ2Xesdi&#10;39l39tuvi9KYHsHa3zJsLvzI6TzUk4lofybynejPsOrDE0Y03Ll+6N+PHUJzcIN+Jc5z43Trtpmw&#10;pyVj88N4CcPm7RgPFnykk0AHghu/uMXq6i6llQqyGWAcQWmzxNbCDvqtYaSjKa5sc+OjPV4dfAHR&#10;2cNUd9m4vcGDG9vWrOF1H+UEKCkx0rHHbjQDuSwzZ2dIjWfI5QeplgPiGZeMp9hdK9JqSGbPHGNs&#10;MkdxcZHPP9rgwu9O8cLbw9SXNrn1k1Wa5bq9jrE4yYEsCFhd3KXb0sScGMI3SCORwjYpNkJYG3Z8&#10;hLDtpYWKIVWAKwx0fBb/9irdnUH2VMD0mTMYEzBx6RS5oTg797dZv7dBTBpM0iMwipSAtcvL7K2V&#10;ES0H1wXHlQ9pjoSOhH1kHcLUwHD2hDeWwZpbKK2QQEv7tJVHxnWIibBbuRQ4jjXjkKFVuq9so+KO&#10;r2gpTcMo2kajMPsEyQBIuhgaQhE4IHTYgiBcAjowl/ZvECJPfiH2yaI9L9EzT3ncbNzvv7W/Q6vy&#10;HjGtIxzhCM/GoTSoRx4rR+TsCEf4bYXb/zx41qPg4fcdKUnEbS2K7wdU602klCTjcWs7HX7GGEO7&#10;61Pc2ePe0hpdP+DC6XnyufQTyViEZ6WlfWPoWwU/HNPsU5LCv4UJFaYD5Moc2LXBKlE2WNxvbdv/&#10;JyJZ+0Ya+7bv/XSO3r/Ffi+ySGgIiU7PaZB9xUr276f/wB4ahMct/Pe0uL7PHRTCwjMw/VxTILWD&#10;QDI0M8TIVJ54Lk7M2SPOBq40xPMp4q5Du1rFzaX47j+7wOr1u3z5N7do1hW1Yo3i0h54KYwj6SjB&#10;brmDCgxCSCQOQdOnsdskO5RCSIWRAf3mH71rZBR+x2fh6gMajQzHL+TYXFzny4/WkUGKiVMzxI3P&#10;7m6X2qZGNyWyUaGxucv2gyrtmnU3jGcSpAYcjAhwM2ku/MHLdBs+K1eWKW+UcIUCYdCOJPAEyrXG&#10;ERhJNleAsqTbadj6pK5m4fI2voTu7l1yJ0e4dHqM1vItVj+/x/KNIrlEnLk3X6LlKu7fusfeWgnR&#10;0CTdGNIVlvizP+4iavQbyo3RddKmX9/Zv/w6NClRaDpa0dA+WTyS0rVO8tI2J0ZI61joG5TW+ErT&#10;VZqmVrS0xrc67YGebQhBy1hzDOtc2PfdvYm2rzjte1iIRxeTH0OqeimGvTkpes2Goy3FQ5/5pqC1&#10;JacidIKEcFEhGmd5+KeYUvbOl1IeOI8nbWuMwXGevq1SKtzOeep2xhiCQOG6To/IKq1tawL56+nU&#10;bIxBa73fMNqE9/lTxlJr3WsR8qzjDAJl53PYLkEp22jjecb7Scfb6XRJJOKH/uxXQTS/jDk4R3TY&#10;7yA6r+fFYc4/CAKk4/T6WD48ll8V9prb6/60Gm1jDEppXNd2JtThXHEd5yt/92O+Jfz/b4YoPe+9&#10;+jhE4/Os58GzED3XnG90XH+ziOaY0oqY5z1xm0Ap3MeMffRc6r9Peq2Jwr6S0b/BxsrfBPwgQAjb&#10;NuXrXNMjfHMwB346eE0OVYP18DbNVoe1zR0Cpblzf41Gs4Xnugzms2QzKVzHQWlNs9mmVKlSqtSJ&#10;xzxeODXP5Njwcx708x/b18KT5LGnfECEtKd/oV1GRCp88QCBjVbidVjDYkChw//C+NGAEwae+6So&#10;v1oqipBt6tUBJ8BI9XrIOS0iUtF3QBSIigMmHOYJ/4/29aRr0tvfU0cLa8QhDAjJ8q0l1u46JIZS&#10;vPTtcZIpDzcNsVyA8jUyluPFV4/zwqUMd9INlj5YpF3pomMGPGk1PAn58RzjJwJEzFa1RSdse2I5&#10;xGNxXCFRStHt+OE2glqtRnF1i0wwiMy4jMfS+O04vhokmU+y8tkSur1FNhOn01SMz04wOjKIKwKK&#10;q3Ua1W50GUgPpcgOgBQB8VyK6bMzpAbAibcobY2RncwgZYm2Lxg/d4xUNo1jWijR5uQ7x9m9vsXK&#10;9UWbsicErisZKgyhhMfxb71AUN3ms7+6ydZiCxkk0B2PZDLDibcnKZ3MUpxZZ+3n96DSRYr9B7kg&#10;7NMlAMcJZ6udBQbCVE6BENbRs18Jsk2TJQpoGkXTKDLCtddZR1b+xv6sNcoYAgwdo2gbRWD0vtLZ&#10;r6cJQT3w8X2FE8pmUXsB09uSnmoVKa3Rawdof3QBiPqNPWZi9m0R/ct8xadIECh2Snssr26gtcF1&#10;JaMjQ8xMjiOEoFypsV7cYnR4iNHhQQC2d/fYLZUZHx2i6wdsbG6jjE3L9FyX8bERhgfzlqD6AVGT&#10;ZwO4rsPi0iqe5zI9MUY8HrPHoRQL91cYyGUYHiz0AszltQ2qtTqnjs+SSiafeB5LK+uUK1UuvXAG&#10;z300gC1u77JR3ObS+dN8/uVdEokY504dp93p8OHlq7x88RyF/MBzj5sxhkazxdLyGs12+8AcBewi&#10;VTgBspkU05PjZNIpAOqNJitrm2TSKWKey06p3BuzJ2F7p8Tm9g7Tk+MMFR7drlypsr65zczUOBvF&#10;bdqdLiePzRKPxfjVp9eZnZpgYnzk0IF6q92m3e7y8w8u88Zrl8hm0riuS6PZpFqrs7tbRmnNSxfO&#10;UqnVWFxaRUpJNpMmFvOoVmt24SIcM9d1GBsZJpNOsby6QblSBSFIJxPMTE+Qz2XR2rC2WaReb3Lq&#10;xBye6xIEiuW1DbTWTIwOs7m1Q7la6wVkuUyGibFh0uEY9+P+g1U6XZ+5mcneNejH2uYWzWaL6Ykx&#10;bt5ZJJfNMDc9QaACPv7sBpfOnyafz32t39PGGDaK26ysbfDW6y8deE9pTbVao1yt02q1WVnb4Njc&#10;DDHPZa9SpVSucDz8dyGfe+p98Lw41Lk8svFhV2wP4va9JYIg4IWzJw8QHGMMSyvrrG0U7ethdsjM&#10;5DhTE6MAtNsdrnx+i5cuniWdsuMQKMXeXoVWq834+AjF7V1UoJifnertN1CKVqvTW6zd3tljY2uH&#10;Y3NTZNPp3jnFYh6JeKw3r9rtDrvlMol4/JH7LggCNrZ2KO1VMFFDyPC+z6RTTI6Pkk5ZA7St7V2a&#10;rTZKKxLxOGMjQ4B9FpSrNXZ29zg+P81gIf+1iMtOaY8PP7nGuVPH7OEIwfjoMLlsBmMMrVaba1/c&#10;5sK5U7TaHTqdDjNTEwBUa3XuLa1w7tQxkokEWmt2SmXWN7c4Pj+D5zrslavUG03i8TjzM5O9cdjd&#10;q7BXrmIweK6D53q0u126Xb/37E/G44yNDpFOJQmUsmMm4O7CA1qdDsdmo2sBQgpcx/m1LXod4flx&#10;qBqs/rhFG0Ot0aJcbZBIxKg1miRiMfxAsby+BULghKue2hg8z2VybIjZyVEKuewjDnr/ENFTBtgn&#10;VHaV3vRivyf24cGGehpDYGwzVi0MDlZWdI3pqU/724cO4z0lq9/oYt/4AklfaZhBGhvE9ohWX8S6&#10;v+J/MD0rakwcvfjwGTx8VtE+HnueAowj0J7GEIAS1DYqBC3winU+/3iBF74VQzqCF14uIIVLzEmQ&#10;cFp8+dPPuX2lSq3RxSQ95l6e5/zbx3FMC6kNCccl5VgLcrtyakBqa6AXi5FKZYgHEFQ7tKud0KBB&#10;4EgoDGd44a1j6BRUy2W211vMX5xl4oRDUmvqWw3uXVtj6sIIF94+zti4R7tUZu1uiVatY1e8MWQm&#10;s6STkDQOtb0m+ZEaqYRCOC287DAmZi9Kp9YmFkicwGCkQBHQ7DRRukvMda0CgYSY4dKfvkFudoCp&#10;8wlqGw+Y+dZ5xs8YVNvQbWvK3SJD1QYnX8oxNTmBfrDHxrVNS6qixsphI2RXCtsAW4AK2GfLAoSU&#10;tjG4NpY5GZu2hwGkJS5dragrn6R0SAiB1AKEDu3eCVVWQ4CiaxS+0Sizn8Sqe320JL7RtIPAqmdm&#10;f97ovibWJiJPEYc6MOfDbZ6V4veQGtav80Zk/7DodDrcvLPAZ9duMjE2Qr3RZHR4iMnxUVzHYXev&#10;zPUv7nDx/GlGhwcJlOLuwgNW1jcZHnyDvXKF2/fu2yCxXqdSqfHOW68xVMizWdzh5p0F9spVu6rq&#10;epw+McfHV25QyOdwHYdkMk4ykSDmeSyvblDc3uGt118in8sSKMWV6zdZL24T9zzy+RyZVIpUKvHI&#10;L947Cw9Y2yjywpmTjyVYvu/zn376PpPjIzSbLT74+DNOHZvjyzuL/N2vPuOVS+cPPXatdof7y6uU&#10;q3U6nS7bOyVSyQTScShXqszNTCKFYHR4iKHBQi+4r9bqfH7zDhPjI6RTSW7eXuB113kqwVrb3OLG&#10;rXukUsnHEqxAKT767Dp+EKC14ePPPmeokKfT7fJ3H37Kj3/4e18pJL524zbLqxv84sNPqdTq5Aey&#10;HJ+b5vLVG6SSSYIgYLCQRxtNs9VmfXOLRqtNtVbn4rlTfHHrHkBPfctm0rz9rRTdbpf3P/rMKjqu&#10;ix8EKG146cIZtNEsr2ywtrnFsdkpPNdlr1zh6udfMpDLMpjPsbJeZHV9Eyklq+tFBgsDvPe9tx9L&#10;sG7fW6LZajM8VHgswWo2W7z/0We8++3X2S2V+fLOIoP5HHcWlvj02hecPjF36LEzxtDudKnW6j1l&#10;4NoXt7j6+W2Oz8/01Ll0KonnuqxtbHP73n1K5QqXr9zgO2+8QjqV4P7yGsurG3z326+Ry2a4cO7U&#10;N0Kwfp1oNFs0Gk37fBSCX358hUAphgp5nFBJHshliMdi7JT2uLv4gAcrG7iuZG5milQiTrlSJZtJ&#10;k82k+dkHH3Pq+CzpVBJjDNVanZ++/zETo8OMjAyxur7JrTv3+fMfv9cjYaW9Cp9eu0mn08VxJFvb&#10;JVY3Njk2N8NgPofW9tk+PzvF+TMnes+Qar3O9S/uMDo8+Mh912i2+OiT6+yUyhTCdHoQNJotul2f&#10;77/7FifmZ1BKcXfxAZev3iCdTjI/PcXK2iblao1KtcbaxhajwwXGx4Yp5A//DPf9gEDZhay1jSL/&#10;9q9+Quf33gFAOhJHyt6836tU+cWvPmVyfJTV9U02t3ZxHIdcNsNepcqHl68yNzWO53qsbRT52S8v&#10;c2fhAa+/fIGBbJp6vUmpXCWTTiGFIJGIE4/HWF7d4MPLV/GDgGOzUxQGciwsr1Kp1BjIZdkrV5ma&#10;GOXdt19na6fUI9mu63D73n3K1Tqnjs1RyOdsKr8QvHLpPOOjw98oyWq22lz/4g6Vao1cLsNLL5wh&#10;kYijtebW3fusbRSJx2OcP32CkeFBgkCxsr7J4tIKUkqOzU0xNzOF0Zq9cpVbdxdptTuMjgxx+sQc&#10;ifiTVf6d3T22S3vMTU2QSiXRWrO1U2Lh/jLtTpepiVHmZ6aemimwsraJ7/uMj42QSloSvLy2yYOV&#10;dXw/4NjsJNNT48Rjsa89VgcWh/vQ++16mIdiFLukkwkunj1GLpNiMJ8llUjQDQIqtTrNZgc/UDiO&#10;JJmIkcumyaaSuK5zaFOLv28u1juah1OQnor9CNB6qBmM7LdOD1O1TESkbKqUCWUkEaZwGGPCuqpQ&#10;0QrTcAIDTn/T1GiV3xDadocho9nXt3T4XvQhwcG+Qg4HYs6eoiWxxK0X8D5OzXuGRHUwSav/Y1aV&#10;ka5AegakoVlvQxdiUjIzN0V5q8v9m4pmuUUuJ+i2W5Q3SpTWq5TXK2wsBzTbCjcbZ+alOV777jFi&#10;3fv42mFvs8LG3S2OX5oMr4gN3GPpBPnJYdL5DKbpU91o0ii1ENJeFyMF7W6H7fUilXKDtfUqZ946&#10;TjK/x/LnD1hfqlPf7dIKukxenGX+hQHS7h4LV9ZYu1eh2wpwhR3vgXwSYbpIHIzjIuJZpGxSqzS5&#10;c+UGs68NIo/HUY0Oi7+6w/xLM6gZcGSMO7/8DL0RENNueL0lnY6PibcZnEqzfu1TurUAX6dRrkur&#10;1aG+22Rve53dRcPbf3yO3YVN2pUGwnV6U9iAbajca16me+mm0QqiVX0MQuswhU0itJ0VCh2m3BiU&#10;MNREB8dAUjg40qqAlmCZ3hw3oaqqIPRssYGiEdh7QQga3S5dFfTMKyzZiWZKNHHF/vH1ZpSITuox&#10;8y78zGMdV8JHX6Qo90u4h4SvFM1mm0QiwcTYCDu7e2xu73Dl8y+pVOtsbG7z5Z0FAEaGCkgpKW7v&#10;kEzGabU7uI7LKy+ep93u8OGn19DGkE2nemmXMdeltFdhbbPI/MwU9WaLzeIOxe0d9vYqdH2fly6e&#10;48LZU5w5OU+1VqdSrbG4tEKpXOWLW3cplask4nGSyTgXz57izMljKK17qV8Apb0ySinqzRZ+YG3y&#10;hRCkkgm2d/f4/Mu7bBS3+Y8//YD8QJbl1U1+8osP+fDyVbp+wNUbt7l47hRDTyE5DyOTTnHx3Cma&#10;rQ6bWzuU9soMFgaIxWLs7VW4eO40ibhHJp0+ENhrbegGPn6gbHuPIMBow16lSqVSo5DPkUgk8H2/&#10;93ulXKnRbndot7vU6w07A4QgHo9Rrze5c2+JlbVNms0WU5NWxfrl5assLa+xs7vHzdsLpJIJS5zd&#10;51expJTcurfED7//Drt7FRburzA7PcGV67f4yz//EYV8jpHhQWKxGJlUioFcllqjxWZxm9deeoGt&#10;nT0Gchm2d0oMDxcIKopMOkWlVqfV7jA/M0kQBFSqdRbuL1NvNGg0W3x5Z5HdvQon5mc4f/oEq+tF&#10;mq02k+OjlKs1ZqfHmRgbZnNrl4WlFeKxGOlUyo5tt0sQ9JLVqdTqKKVptdrU6g17XmFwuLm1w9Ly&#10;GncWHiCEIBGPs/BghV98+AkffXqdZDLBlc9vEY/FKORzhwr2Pr95h8tXPmdosIDWmi/vLLK1W+Jn&#10;H3xsj6fd4fjcNG9/62W63S7Lq+t0gwClFaW9Mo1mnFq9Sdf3Wd/cptXucPH86ef+/ifjUEHBY54/&#10;h3vQ/PLyVVZWN0gk4jiOw9Ubt0mlEvz8w0+QUrKzW+LtN17hpQtnOT43TWFggJ3dn5BKJXnnzVdJ&#10;JmL81V//gtmZSV65eI52u9NbUG21O1y+coOV9Q3efPUSMc9leKhAtf45v/rkGt/99us4jsR1HGKe&#10;y9pGka3tEgBSSJZXN1hd3ySVSDA7M2HVq77z8/2AcqVKKpl45LzanS5buyUGshnOnj7eG5ni9i4f&#10;f3aDaq1uv0dKctk05WqNY7NTzM1M8tP3PyIei5EfyLJXqfJ7v/MGo8ODPfVqr1xhdaPIqePzxGPe&#10;U1Pn/vpnv6TVbhPzPO4uPkApzfZOyZZhaEWlWieTSeM4Dj/74DJ3Fx/w4SfXcKRkr1plYWmFRCzG&#10;0GCedruDEBKtNc1mi1q9QblS5c69+ziOw+zUBA9W1vFiHsWdXaYnxnj7jVfI57JIxyHuSE4dnyOT&#10;TvFgbYNYzGN2eoJavUE6lSSbSXP1xm0+u36T0eEC2UyaocE82UzGHmulSqvT4d79FUZHhnpK3zcB&#10;pRT//ie/4P6DNYYG83x85XO2tnf50Q/e5cs7i/xf/+/fMDUxSrPV4ubtRf7yz3/E9k6Jf/P//Q3Z&#10;TBqlNVdv3OJPf/QHZNNJ/uNP36e4tUs6neT6zTvslSv8zluvHUzfDzMdHoQEtFqr8xd/+kekUkmK&#10;27v87IOPWdvYJpGIcfP2Pd549UVeffH8I6mrlWqNB6sb/PXPfsnIYIEf/v47pJIJHqxu8JOff0i7&#10;3QHgi1v3eO97b3Py+ByO8/ej/h2q0XD/dhJBPpdmIHs8zEO1AxSPe2TTdiXEmL7ghiiV7euRK/OE&#10;138j6Ktrgv1jChf/e/U+BokRtubEKk79OU92Q0sMBEobfAxCGqSQSEJjAcS+aWFIynr/GdNTEqJU&#10;KRGZAnAwRdAhOqao/mXffTAiXP3nY77WQIteepd0HGLSwbS6tDtdBkYL/P/svdeXJEd25vkzdw+t&#10;I7XWoipLVwGFgmo0unuaTQ7F8AxnyT179mHf9x/ax90H7uzMOdRkN9gAGlqV1iJVpY7MjMzIDO3K&#10;9sHcPSJLoFFowd1h3e5ARnm4MDc3d7+fffd+d79Y5tRPzjD5egfbWxtsFCrMHZvlYHeTm189plTU&#10;GR0/Sbm+Rn19C9E0OVzZoLaZIpyxQdNxJJiW03L2Izq9x4YIpwdId6XI9Scplw9YWSpROTRBqCBO&#10;oQlqlQb3L6/gyAiTrx/n2KuDVHf32F51qJSamHWbw0qTYrEKeonD8jY3r22ys1nzwKhANzTKayV2&#10;iy657giu1vLgbceFpuPJurvsbZcp7zdxZQQpG+iagbQlruWoK6AroXThuMz/0zcc3khQWN+lVnVw&#10;ers4/8dvEY9s4x4csHB/hwMjxJ1Igd35HerbFlFheGGl6ioGIX/SHyN+Jl9roEovlE/38iZ8UQgf&#10;iNmugytcqrZEcyVNYSjHqW2wqzHWLiThXXMpcL1EKlcITMeibDZUXSw/p8qbORCtW0G1VzyHpTpC&#10;m/ryLhw9ts8mt41dLQBhCmg+Fab2HS0UMohGwhyWqxghg5BhUK3W2S2q2eSFx2tMjA1TrdXZ2Npm&#10;ZX2Lnq4Orty4w4ljU+Qyaa6t3GN1fYvOfI5MOgVANp1ifHQQhCAWi3L+9HHq9Qa6oTE80EelUmOn&#10;uA9ArV5neXWd6clRers60YRGJBJha3sHKaGnq4NUMk4qmcCVksvXb7O9sxcwAZev38aVksxHX2Bo&#10;OhKJETL46Q9f5/6jRT798iqn52axTIvDwwrHpseU05/PEYtG+fDTr4nHot8ZYAmhQlgsy+HO/Xlq&#10;9Tp7+wcIoWEYBvsHZeaXVoiEQ0yNj9DZkePWvUc8Xl2nuH/A+maBgd4ehBDU6w1uP5jnzsMFopEw&#10;504dZ21zm4cLy1iWjaYJ7j1cVE6T4/Lg0VKQP3LhzBx7pQO+uHyDjnzWu44VRgb7qdcbxGIRZqfH&#10;uH77HtFohM6O3HcGWK7rkojHKB0e0pHPslPcRyKJhMMITYE707LZ2Nwmn8tSOjjkxp0HDPb1cOr4&#10;NJoQ7O2XSKfi7JUOyOfS7JerqPenIBoJowmNw3KVVDKB7TiUy1XWNgvcfTBPKBSi3miys7fPvUeL&#10;lCvqt3KlyqvnTlLYKbKwtEK1WiebSRMOhzBNk1t3H7GytqFq2yG4dvMeEhXKlEomgvN69fwpbt97&#10;xJ0HCwwN9CJdlXc9PNBLuVKlv7ebdDrJx19cpr9Pff+uAEtKyf1HS+wU9zl5bBrLtrl59yGjQ/30&#10;9XRhWjb3Hixw6+5DXn/lDKZp0myajA4PqBzBkIFEkk2nyKSTZDMpypWql7/4m9uTc43faYPvaddv&#10;3SeVjDMy3E/ICNE0TU7NTdPf24UmNG7dfcijhRXOnJilI5clm07R3ZknkYgzOqTGcb3RxLIsz71Q&#10;LT84rPDV1Zs8mF/mR2+9xshgHwjBYF8Pr549yTfXbmMYBhfOzJHPZTg9N8PuXon90oEKi/OexeVq&#10;DdMLIZ2eGD3iIPu5d88COKGQQTIRp1Kts7q+FSw/OCwTj0UDNsMwdMLhMIN9Pcwdm2J8ZJAPP/ua&#10;2akxxkcG2d4p0tPVcYT9KOwU+ezrawz29RIJPzufCtQ4+/DTrzh9YhaB4MH8EoP9PYTDIWqNBpm0&#10;YmJt2w5C7oTQ0HUNTWiEQ2oC6MqNO5w7dZxQKEQoZCg2urCDoesYus727p5iog7KlCtVzpw6xu7u&#10;HqZpkYhFqdcbdOazdHfmmJkcxTAMehc6yWbSwcRZX08XqWSCnq4OxoYHQSoWKBQKkUzEsSwL07KI&#10;RiLMTIySz6T5bXrFh+UK7334GX/153/E7NQYX1+9xd/9/EN+8s4lfvHhZ4TDIf7g3Tcp7Ozyf/xf&#10;/50LZ+fY2Nxmr3TIn//RjylXa/w/f/cLvrl6ixPHJrl26x5//h9/Qndnno+/uMwnX17h4vnTSsOh&#10;7foU90p8dfkG31y/TSaVxHEdXNdlfnGF+aVVLr1yhqH+Xv71o8+5duse07uGfxoAACAASURBVBMj&#10;ZDPpI/tY39rmy8s3uHrjLudPH8fxGNf7Dxcp7BT5wesX6Mzn+D//69+xvLbB6PAAuv6bsFjPf0J8&#10;rxBB35fxi+X6Tr3yjY5mOPh5QeI5+3kWYHrW8+nJZe2n9MIPwGfY99k+gFfCK9SKIEBR3oS6P/Gu&#10;MrbazsILe/IdQZUvpRgAU6gwNuFJaGsIDKk+mqugkmz/XxCm1WqXD6xandQqtap5SmwyYKpkKweM&#10;Fpfgz/gH63rn0S628Z3MFUQjSWKhKM3dOlVb493/7V3e++tPiHVH6Bm1kIRYW47QPQyxuEAPhzj2&#10;w5NcemuY2/8S5sO/2ad+WGfj6hJXunXe/MtxaNaQUhCKhIlnskgMwqkofdMharV9IkmNdEbjcKcG&#10;0TR6Mo590ABNEkkmSQ/2EE5GyQ90c+btEYb6TdYcg76BbmTFoVgvokkHI6wjQlBr2JR2LNyGYmYQ&#10;GtLV2ZrfoVLWcEUUaQuVFIwKt0t3ZMnmQzi1Mst3ClgNF0RIAQMvF0cTSklPeExTVIRwNiQb21Uq&#10;rkbdFvTM9DD39hj6ITySOgvXtojZkr3lGvF0H9beJrrdutF8DsgfB0LgtbmdwlFt1PzrLv3r7wE9&#10;n4mVYLsuDWnjaKD5IX/e2BQITxi+VdHN59JsKbFsC9NyqdkmDcdpCwf0Yln9nMH2++qJASalf/e0&#10;mFuCfbTW9V/uirFqa1PgbKiz/b4AS0qVi1Wr15WgTyzK6blp+nq7WF3fpKsjp9idXJbF5VXKlSqH&#10;5Qr9vd1sbu3w1ZWbNC2LU3Mz1OsNvrxyE1e6RMJhbt+fp9FoUjo45NrNuxR29ykdlPnDH7/NbnGf&#10;fD7D2PAA8ViUwnaR7Z09EvEYnR1ZOvJZNra2sSyboYFecpk00agSG4rHYqRTSUCFa+8US9Tqdd55&#10;PaRCh1D5iprQqNUbDPb3MjE+zINHizRNE13XaTRNLMdhdqgPy7ZpNM0X6jfTslh8vMbdBwtMT4yi&#10;GzqxaARN0wiFFGhfWlnDdhxGh/tVzqRlY1l24CgLIdgrHdI0LaYnRhgfGSKTTlKrN0gnEwETU6vV&#10;WdvcZmp8hFQyHoiOhEIGpmmSz2Xo6+6kuH+gmEVDx7QtGk2TsaGBgPF70cnA7d09ers6+cdffITQ&#10;NQZ7uynu71Ot1rhy4y6F7V3i8RjvvPEKB4dlllfXGejrpiOXQ9d1Oj3Ws7Mjh64bdOSyOK7jjTtJ&#10;0zSp1esk4jG6OnKcPXmM67fvc+32PSbHhpmbnaBUOqRpmmxu73JwWGFudpKvrtxkZX2TWDTK+TPH&#10;2d4t8tWVm5w4NkU0FiGVToIXpleuVjksV5mbmSCdSiAlRKMRDF2j3jQZ6O8hEYtR3C9hWiaGrtNo&#10;NLFsm/GRQTYLu7iO03phfEdzXIfJsRHeunSew0qVf3n/E0JGiLMnjxEOhZCu5M79R2ocaBqdnXm6&#10;uzqoN031PpOSSDhCPBYln02j63pL8Om3YC/kYzwx0fQi5rouc7OTXDx3imqtjuu6hEMhLp47RTQa&#10;4eHiYxxPdOLKjbtUazUWH68RjUb45MurQdkb0facd12XheVVbt59SD6TxrIsvrlxxytALzEti3Q6&#10;yb1Hi2QzKU7PzYBQbWmaFqbpscMCTNNSrLfkmUDqeebYLrlMhlqtwMbWthJ5QuV7dXZkMXRNiaZo&#10;GjfvPmTx8RqO47J3apZarRGE3z5ceMz7H3/J7NQYJ4/PEItGyOeynDkxe8RZ/zYb6OumXK4iJaSS&#10;CXp7uhBC0JHLYtkWnR05QobB25fOqzyr6XEWl9fQNY2hgR6WVtbY3i1i6AbRSIRGs0k4HMJxHBrN&#10;JpFIiOGBPtY2CiQSMfp7ukjGYwz2KTC3+HiVa7fu0dWRw7Ydero6WFhapVZvKDCxtEKt3mBooFcB&#10;iHSKL6/cYH1zm5mpMQb7etgs7HLnwTwzk6O89do5Bvp6vlX458VN8MM3L/L6K2cIh0P0dHfQaJrY&#10;ts2D+WX+l7/4Y/Weyabp7e7k/qNlpsaH+eOfvsPYyCA7xX0iYTVBkEwmeOfNV3nlzAkazSbZdJrl&#10;lfWnnhFCCBXpcHwax3Up7BQDoaXdvRLxWJQzczN05LPMLz3m/iMVJtwOsACymTRnTx6juFciGY/h&#10;OwcdHVlisSjFvRKmaZFMJsi8wETQ9zGjHeSobv1u9n0maV50myfb9rxl/1YmpRuwdN6SNtCJ5/t5&#10;rqQXEugEax+pRKWWCJBChRPaXriTdJUTbEiB4Xqyjyr+qnUsH9wCso1yOvJ6ESC830Rb0VV/aPmp&#10;/+0BEQEXcqTDZaut3o5bj3LRtobfHxoOLtlchkQ8zvrdBivzNf7T/z5OrbKFrtk4TQenXsNtWki7&#10;irTqxOMxJk8OUd1b5HBnHVzFBJb2yqwu7ONGUuhmBQTEExG6+jNYdZvSRoXFyytsrboM/cFJ9je2&#10;2FooMnl2mkbZ4M4H92lUaqTzGc6/e4LOyRiaLskmaxhmA7t0yM7iOptLO1QPa/SO9DM01A0NQTKR&#10;5NiZMQ5XYW+jrM7WEdhNG4GD6zTJdKQJJ3TwVAJzI53E4pLNh9us3d1TRYO9SXEhRQBsfDSsITB0&#10;g9GzM9AVpkmVmibon+pCKy+h2XvYhsnk21OkdYkeCqEbEZb3DzF36x5D1wawvWvrAx7Xk2HxQT9C&#10;/eazV63xK3CERAiJLkHI1tjVvU+QyiVoGz2tUWJJl4Zj07AtmtLB8sZ2EMaqKLQWe+W1SraN06Au&#10;lnzyvm97Unkvf3/8+YCytaZoUyQUaFL1829i/rF0TSMajdBoNLEdl4nRIWKxKIl4jOMzE+wfHFLY&#10;KXrhcQ2EJjh7YpahgT42trZ5tPiYSqWGltIoHZQBr1ZgsUQ0HCLuvRBWNwp0d+aJx6Kkkglef/Us&#10;a5sFNrZ2WN/colZrcP3OfSKRCFdu3iWk6/R2d/LGxXOcPXkscJA2CzsM9vegCUF/bzdnTs4GIRa6&#10;pnF8eoKJsWElUOQpVj1e22RlfZN4LMZgfy8jQwOkkk/n53yb+ccf7O/hzEkl8vDahdPUag0MQ+ed&#10;N17hs6+u0miaRCIRjk2PMzU+wsbmNp99fS3YRyoZZ25mkkuvnAlyRsZHBhkdGgChwoWWV9ZxHJfh&#10;oT4unD1BJp1S94OXb5jPZdE0QWGniGlabO/s8XBhmaZlkc2mmRgbJhqNPFdd7JnjQQji3jX/+59/&#10;yPjYEMMDvUQiEZKJOCeOTbGxtU0yHqOnqwNNaPT3dNM0LW7cecipuWlyGZXf0t2RQ0pIJGLslw4I&#10;h8P44913akOGgSsllVqNrnyO7s48sWiEUEeeU8enqdUa5LJpBvt7mF9aoaergxOzU8RiUW7eeUCj&#10;0US6LsdnJjjmhWwtLK0wv7TCTnGfyfFhzp06TiQSDvru9Nw0mqZRrzfJZlLYts3Kmsr/ioTDdHrh&#10;OP093WgvKBAivIk7x3W5euMuriuJRcP8879+zM9+/FbwThVeuKJh6Dxe3WBlfYvDcpl0Kslgfx/N&#10;ZpOV9U0i4fC/jepd8Gr9nl5K22Ppg0++YrC/h73SAb/8+At+9qO3gskiCaxtbHFYrlLc2yccDvN4&#10;dYOOfOboJLf3zMvn0rx+4TTF/QNu3nvE45UN+nu7SKeSVCo1TNvinTdeJZWI47oqJNM0LYQQbG3v&#10;AiqM2bIdYhGVh+M4znfu42qthiYgl0nRNE22d/dIp5LksxkEeM67w/5hics37iBQohaPFh7TbDaD&#10;1BJXulRrdZpmKyS4uzMfiAp9F0vEYsSjUY7PTLBT3GenuE80EmZ7d498NkM4FMK0LHaK+xR2ily+&#10;fgfDMFT+WyrF+dPHue2J/4RCBk2PUd32WP6wx2y9cfEsm4Udbt+fJ59Nk89n2SsdcOveI/ZKB3Tk&#10;MiyurFGt19ndL1Gt1giHQ2zv7GHoBoflKt2deSSS9c1tdF2xaIeVKhKJbdvsFPdACEIh47eqKphO&#10;Jfjjn75DKBzixu0H/ON7H/GTH1zCMELUGw1yWRV5oQlBKhGnXK5w5sQsUkp2dvf44NOvsCyb86eP&#10;09OZ5903L2JaFl9fvcW9Bwu8cvYkrifU4odsdubVRGE+l6HRNJWoj1Q5s6ZlETIM9TwSwns2S/b2&#10;D9G0Der1BtFohK6OHP09XfT3dLH4eI1qtRb4r135HNVqja+v3cZ1XBzXIRIO/xaA6fO3fyEG63m7&#10;Ed/y++9rm9/Evu/+pFRhVEJrafy177MNOnmOtBfQ5M2stQORVkNaTJMrwZYq9K2JxABCKFQczMU/&#10;hx188ru//xa48qmOFsvRbu11tvx9HQHisv1Lu9i3H7Slvks0JDY9/UnMZoXrn2yytmjRrB2S79GJ&#10;xvw4bs1Dcmr73sEOqusFvvzgMqu3SjTqBug6TkgjkkoRwcCxHEyziVWrsv1oAeohLn94n+U7FcZO&#10;HCORivDVe5exyyF+9FfHee0nI1QKRR5+s4x5WKG8voptuZiOw/RcL/neJLbpsLe1z/5OmWQuwfSF&#10;acxShfu/2mPibJaTbw1hOXG+/uVDDtZL6E3phXFKkCYRvY5r7lOvOkhN0jc5yEGhwq1PV9grVEAa&#10;IFqy/JoUHixX10AXGkJC7fAAGYKGa1KXGgcdYRAZNF2neVjhcGcXEQpjuAJZs9FNF927SKLtiqjx&#10;oUCFi8D1eNT2oteKr9I8uWWB1FCAzAM9jgewJAJXKiGWQNzFHxzegJce2LIcm6Zj03RtLFxP8bIF&#10;4f0h6IemaoAqckyLDUcG7RdB3qEIGHFFGnshn0EvemAKiV8zy3dK8I5xFAq+gEk1qeI4Do50iYci&#10;NJomW9u7PFxYpq9Hheu5njRyvdFka7tIvdHwQpYcXFdy7dZ9Ll+/QygUoqsjRzaTVmymELjSpbMj&#10;x+hQP8ODfSyvrHP73jzF/QNOzE6SiMcQQtDf28VmYRsMndGhAeaXVgiHQrx18RyaJoiEQ/T1qByi&#10;9vjyz766ytT4CJNjw3z+zTVmJkcVAPE6qCOfpbhXQgjBxOgwpmXxxeUb9Pd2c3J2ilg0gmEYQWjj&#10;i5gmBKZlsb5ZwHYchvp7WXi8yl7pgK+v3GR1Y0vlrglBJBwmEoZ4PErIAzpSSjLpFAP9PUfytBRD&#10;pb7fn18mFArxwzdfZWtnl7WNAtl0KnAE06kEjuNg2TYDvT1IKXm08JhEIs65yVEVOhgOk8ukXigu&#10;388pVEIN0Kg3qVTrZLNpspk0czMT3Lr7kMH+HjrzWXaL+1RrdTSh0TSbKreqXCGbTlI6qJBOJShX&#10;ahiegIDjONiOo0CirtG0LOYXlynulZiZHFNjXYKuaxT3DyiWDojFIuyXDjEMpb74rx99ga5phMNh&#10;pidGVK6J13G2bXP34SL9vd1Mjg2zvLrBYH8vo0P9wdjozOU4KFeIxaIMD/TTaCqVur6eLmanxohE&#10;QiQTMRKJWCDd/iImpeTmnQf88uMv+I//4QcMDfTyj7/4iH/96HMSMcVE6rpGOpXEdhwOD8tEImG0&#10;qsZmYYcTs1MeW7PC3MwUqWTihdvwzGvLb9/n+LZj2Y7LZ19f48qNO/zFn/6UcCjE3/7z+2TS6cBZ&#10;FMD503OYpsVucZ9YLMobF8+iCcHC8lrrXS0lmiYYHRpgoLeHjcIOyyvrPHi0xPnTc+SyaRaWV7l2&#10;6z6zk2OEQoYndW/Q091JZ0cOUKUHCjt77BT3SSUSnqLp0V55HqSs1RtUqjV0QyeRiNO0LLa2d4nH&#10;YiQTcaQrqVRrVKo1arU6mVSSnq4Oero7qdVUpMCp49Mcn5mguFfilXMnmR4fCRircqXKbnGfgf4e&#10;QsbzgYbrhbWmUgny2QypZIL3fvU53Z15FXLt5XCZlpp0+fyb69TrDfLZDI7jUKuryaBYJMLu3n4A&#10;6ur1BvulQ2anx4lFItx7uEh3Z57TJ2aIhENcu3WPTFqdU7VaI5fJcHx6guHBPhzHobe7i1q9gWna&#10;zEyOEgoZDPWrvElN03BdydBAL4ahU63WeDC/xNT4KG+9dp6tnV3KlRq24/5WJxT8ff39zz/k4cIy&#10;U2Mj/OFP3vb6VuDYLR/WttX7Ttc07j9SQkiOY/NHP3mbidFhhCY4OCjz0ReX2SzscPL4FG9ePEe1&#10;Vueb67fZKuySTSeVOEg6FQjdtKJS1MeVrld+wk+zEZQOyyytrLNV2KWrM8drF0633g1tzIDjONy4&#10;84B4LMrZU8dIxuN8/MVlHi4sMzo0QC57lAX7bdkL5WC12/+Xt/k+pooD8wKxAL4GoD/r3iajDkdv&#10;cg+tKIdaFQpueaZ+LawWRBPtIEVKJXwhwEJ9QkJgIDA8MsR/AQQgqH323pvu8pcfndlSFghhCOXQ&#10;+oDeB1m+E9wOzJ4q1NrGIDzRAISE0dE8N7+8xa2vCzS0ENc+fMjtK4/44Z/0ood0hAboOughhSDd&#10;Jpf/6Spb61WiHVmazQOQGl2TA5x6a46odChVNPa36lSKFS7/8y0i6RAbq4d09w7RP9zNvS8fcOez&#10;Nbq6+miUa/SPRhg/lmX1bpjDQokr/3KbzGCWiYvjROJKftZsWDiWQywaZeLENEZEcPvjOzSrNWKZ&#10;WY69FuX8j3vQwhZX/uEeB4+rIKGxW2XvscX6zQ3W7kpwHMwapDIx7nxyh0eXC9hNG93QQdggXA/4&#10;aIFwutAE0raxEazdXsTSbEwEzYakYmu8/ldn0ctVZMnm8ccLZENxQlIjhEbICKHHwmhNOyge7I8K&#10;XWjo0q/NpgCJKwJpFuWgCi0ICkR4+XiaACExHTsQs1C5fjIAR77520mp1jdtC0s62ALc9pwt/JxA&#10;EQxarXUXIL1JCJejt2PACj9xf0p/3IkW5DsCqAJuTR1MjfEAnr2Q6boWOBfNZpOxoX5WNwp8efkm&#10;UkqOTY3zcGFZ9a8r2d0r0Wya9HR2EI1GyGZSZNIprty4y97+ASeOTTHqqUjtHxyoouuuqsXUaJjE&#10;YzFmp8b41199ga7rdOQygcNd3D/gq6u3ePPiOWanxni0uMKlV87w1mvnebT4mL1SieHBviMKSfcf&#10;LnL3wQL/05/9jJGhfu4+nOe9X33On/7Bu4S95PDNwg6ffnWVkG4ghQrt++bqLd64eJ7VzQKP1zbQ&#10;NZ1Lr54hHovSNE1cxyUe//VqbRJJYadILBblxOwk2UyKgd5uZiZG2djaZr906Dl0yhzHpVyuUq5U&#10;6PXKekgvHrrRaLKxtU0iEQ+Su9c2Cty594jhwT4uXjjFZ19f48bt++QyaYYGlJT+fukwSKpX/S35&#10;7OvrDA30sr27R3H/AMeyOXv6OLNTY2A7WJZFLPa0GuOTlk2nqFRr9HTlSScTSmradol5SleO6+I6&#10;Kv9QyfofUm80iEYUI+PPahf3S2SzSk0sGomAgFQqgWVZRKNKAnt9q8DKaoPx0WGklGxsbQNQrTfY&#10;2z8gHo2Qz2aUlH9HjrWNLS5fv0s2nWR6coyBvp6gXQD355dY29jiwuk5piZG+MUHn3H15l1SyUSg&#10;2Li2WeDWvUc0G02EplGr17ly4w6n5mZY2yiwtlFAIvnBpQsM9PXQNC0P7Ie/0+x6rVbn8vW7nDt5&#10;nNcunCYcCvHjdy7x0eff0N3ZEYR6ppIJYtEIzYZJMmHQmc+ytLLG1Vt3yWXSzE6OcfHCqWeqIP4+&#10;7DeJsPGFLFbXt3j70gWOTY8TCYc5KFd4tLCCaVmAeq8PDfTiOA65bJpEPM7Y8AD1RuMIuG1vSyik&#10;+ur+w0VGh/o5e/IYCAVQ4rEoQihHdL90yMbWdmvcOg67xRKF7V0SiTgduQzlSpXHa+v093T/2ppv&#10;h+UKa5sFivsHhAyd1fUtNgq7CFS+aTwWpbJWC8LNzp86TrVWV7WevLpqiXiMbCZNR0cOJByWq0Qi&#10;YcKhEGubBT7+7DJ/8Wc/JZd5vqNcbzaUYmWjyS8//oILp08ghGBqfIQH80tMjg/z+dfXeM2VxGNR&#10;psaG2SzscHpuhlv3HrF4f55PvryClJIbtx9w6cKZIL8zl8vg2A5LK+sU90uUDisUtosYhkGjaRIy&#10;DOKxKCHD4MSxSR7MGwhUtEokHCIZjxPNRxge7GNlfZPuzjzpVBLXdWk0Ghi6jm07FPcOAqYtFo0g&#10;UOG10sszsm3HE03yJk78SRkvjLa9Ltq33ZO27fCP7/2KjcIOr50/xZkTs6SSCUzLIpNKsriyxpmT&#10;s7iuS2F3l+Mz46yub/Iv73/K6LAaWxOjQwghKO6XeO+jz6nVG7x96Tyzk2MkEnEq1RozE6P0d3cR&#10;jYbJe6U/nrx/QoZBLBqlXm9ycFgmEY9yWFYCPH3dnXR35Onr6SKZiJFJPXtSRbFl6+RzGS5dOENn&#10;PsuD+SV2dvcVI8fvEGB9F2s5/9/dflvbfJ/9/F7MxRPucI8ITKCJFgDxHVKOAjA80Qs1047nZbZ+&#10;U9/dwHEUHgCzBDhCEpa0QszEE2LwsuWHenAPRFv9nwAHeVLwmscUyFZOnfAdX29dBbJ8Pg6+i4vq&#10;O93JVAxdSj742xvkhocYnulHa+oMDY2SSEhKW/vYdZfB/g4OC1WqBw0SsTDDkyOMnx6CiOTa33xD&#10;uegQjep0ZlyqW3vc/XKX7YUywpHsrdRAM0j15OgdzbM6/5ilm/M0SzbNWJ2NlR0OypK1hQKaANuB&#10;/UITYjaJqE4Mi82H+yxc36RZdxidHSOZTTN/dZ7igw0cV3DvyzV6hmKEkibYh+iuhSFcpCO59/4d&#10;Hn+ls7u+T7Nh4TowfX6KtbsLLH69Qm3HRUegaxIDG2ELsASaq+EKJVNOSKdzto9IRkMKxTU5rnrY&#10;JY8PQd3ErNSJ9UUYvzRBWoujSYGOIJw0iHd2svXxHZq7VYR3a/uhNwH81Vrhdn6onvBzwLxZcDxA&#10;rxCT0p40XRfpqgmFoIgrQtXu0lrX25YuTdfGFK5Su/QSDLU2QHc0S1ONJD/ny/XGmV9PLmijB/7a&#10;olvVMT2gJ3xVmWCI+yNULdBkwH997wdJNBphcKCHtc0CW4UdVZoiEqZWb3Dx/Mmg0C9ee0YG+3Av&#10;nmVv/4B6o6HyZGYmqdUbrG9uc/HcSfp6uwBY3dhkdX2LcqWK66oaLJ0dGYp7B54ggcX61ja9PZ3E&#10;oirMSwjIpJPML66wWdjm3bdfw7QsKtUaH3zyNSODA0yND6PrOg8Xlvn7937F2VPHGB8ZJBqN8Ac/&#10;fJP/9g/v8fMPPuEn77xBzAOBczOTAbPRtCy+/OYGJ45N0ZnPKIEQTSgmyHXZLOxy7eZd3nzt/K8N&#10;05FSEo1GFLAcGsCybbKZNG9cPMfW9i5XbtxBIGg0m6ysK7nfxeVVNgu7TE+M0j6lWa3XuXXvEQN9&#10;PfR0dbCxtc0Hn3wZ7D+XSfPq2RO89+HnfPzFZX7w+isM9KlaOxNjQzSbZjBC7jxcYGZyjImxIUK6&#10;rljEfBZN0zg4LPOrT7/i7Kk5Rgb7vnWWeH2zQChk0N3VQW9XhyexvESX3y/e+JSuxHEcxkYGSSXj&#10;VCo1wkZIiRkJ4RXrJSjam89lmBgd4uqNux6zVSEcCpFKJDhzYobb9+aD+zYei3Lm5CzdXXnKnhMy&#10;MzHKYF8Pxb0Dero6eOPi2eC9IaXk0dIKn3xxlf6ebqYnRujI57h4/hTvf/wln355hbdeO08+lyGf&#10;yzA9MRI4cfVGk4cLy8zNTNDT1Rn0ZyqZDMD6jdv3eeu183Tkc782FEc3dF45c4KpseFAie7Y1BiG&#10;rjO/tKKeNVKFRjmOSzIZx/byAbOZlBJD6eumUqv9FosN/369Dykl0UiYty9dYG52IgCnr5w5QVdH&#10;ng8//apVR8ozV7pBvpmhG1w4O0dXPvdUq5umya27D7l2+x7/4Z3XCYUMqrW6pzyqQipt22H/4JDF&#10;5VUkoGuCpmmxtLJGuVplfHQQw9BZ3yzgui6d+dyvBVjJRJyJ0SG6Ozt4vLpOrVbnxOwkjUaT7d0i&#10;Z+Zm6OnqpCOvlPIy6RTLaxtYtk06mcRxXXb39vny8g1ikTDLqxs8XHjMT955jc58jlwmzXGvr77N&#10;tgo7GIbBYH8vH31+mdX1TeqNJuFQiHKlyt0HC+SyGUKhEB35CGdOHuOyF65aOijjui57+wesbmzR&#10;39vN/oFSCu3qzKFrGjv7e+yXDohFI6rERb3Bw4VlkvEY5UqVlfVNRgb7ScRjHJYrbO/u0dPVQaQQ&#10;4qBcpq+nC+lKXMefuG/1X1dnHsdxqNcbJHdjgQx/Jp2kuyOP4dW/+5f3PyGXTXP2xCyW7fDP73/M&#10;mbljTI0Ps7qxyedfX+fHb79Gd1fHtwKsjc1t/vvfv8cP37qIZTl8ffUWyWSCc6eO8forp/nVZ1/T&#10;kcuwvbtHo2kyOzXGLz/+knsPFzk+M8HK2iYbW9uMDg2wUdjh/Y+/5O1Lr1A6qPDVtVt0deQ5Pj3O&#10;qecoffpF7SWKTRvs7+XmnYe89+Hn9PV28mB+ibGRAcZGBp+pWglefU5XTdXqmsbIYD93HyoRp3g8&#10;yvpmgbMnFZv1m9i3PRm+c6HhZ++kJRce+OzeQ/vXN+nZ6yi/Thyh99rb97t7zL3gvJOHgaSrpvW9&#10;95sCJK4MhCsUu+XBK2+9QP0imF1v/0iEKwPgpaEKDyvJC3CEOoYNXmiiaIkUeO0KvuM5zH4+l/AB&#10;kx9jJYOpfuVkg89btSsKurTYAb+X3COObkveoNU9PiPhoBk61y8/YvPRPrHJNNX9Eoc7DbSwxjf/&#10;cgPHKUMzjKEnWPi8gW2ZuHYUI5xEr5s0q00cV2JLh53FAt/8wxUymQjXv1ilUqxj6BrCFRiaTiwE&#10;xfUtCiu72GULA43mYY3bnz6iYZoUHx1AEzRDFd4tFQ649dF9qpsZ9lbLzN8uomtR0B2WHy6wv7aN&#10;bqlE8/lrm8RTYXRDsHB9i+pOHUNXtbDW76+r/nE1pAvhaIzqboPdB6vUtpoYjgG6YpceX1vmYLlG&#10;bdehUXdwNXVtXR2MvgyJLo/TkS66A03NJSRN7v3tddzGPlVT0DOWjNXYpAAAIABJREFUJSIiAa0T&#10;CoN0amhhFWaIVMqVeGNH86+9FKrgs1e4sAXQW2F7eABHR6iQRaGjCalqtXnAX0jFjPkCKX7+oO26&#10;2FJ6wMoLd/XAmAzEVUTATrUDLp9YejKv8Fk5Xq1HiEBoXnFe0XYO8on1RPtilVv2otZoNHm0uMLe&#10;folTczNUqjXKlRqvXThFLBrlq6u3ODisEAmHMZsmG1vbLC6vEgoZGEaKa7fuUa3VmV9coXRYxrZt&#10;ujpyzEyNKaGGVJLuzg76ejoxLYsrN+5hWRZvXzpPtVbn2q17IOH4zDh3HswzNT5CPBbjb/7pfbZ2&#10;ily+fpubdx6q+9N1uXrzLj3dHdy6+5DL1+8wPNDL269dIBKNIIRgdHiAn/3oLd7/6Av+29/9gj/9&#10;w3fpzOfo6sgjpWR7p8jy2gahkMGZEzNPyQC7rks8FsWybX7+wWf8yU9/8FTCcfvlMk2LrcIO84sr&#10;LCytBu8JTdNoNBqsrReYmhjBNC12dvdoNJr09XSpfAsksWiUSrXG5et3iEUibBR26O/t5u6DeT77&#10;+jqapvHmxbP0e0nr3Z0dvHXpAh9/cZmff/ApP3j9AuMjg5w8NgWgZuoL2+iaxvT4MGdOzgbhiL7F&#10;IhHisRg/f/9T/vinP/CSyZ9msizb5vL1O1w4PccHn37FidlJOjty/Pz9T/mf//Mfqf5yVIiLEKrG&#10;1djwAFvbuxghXak6plM0Gip3qtk0SSbilA4OcaXL/KIKYxwfGeLBwhKDfT3MTI6xvrnNo6UVDF1D&#10;13XPOV6juFcik06yVzrgF7/6jIODMnceLLDqFaPu7upganyElbUNvrl+m858josXTgUFpMeGB3j9&#10;lTN8cfkGv/jwU95541V6e7qCMVDYKbL0eI1oNMqx6QnGhgeectgy6SRN0+Kff/kJf/qzHx4JRX3S&#10;XNclEgpx5sRssMxxHNa3ttks7LD0eJ1kPIaU0GyaHByWsW2HXCZFLpNGE4LJsVF+/PYlPv3qKv/8&#10;y495541XGezveebxfn/2Yl6LbTukk0lOHZ8m3KaIp4QV9lhaWeeNJ4ovu64MQqcMQ2duZpLF5VUe&#10;LCzTNE3CoRDVWo1PvrzK7XvznDw2TWc+x5eXb7B/cMite484MTsZhGB2deQ5e0rlbdbrDZZWNoL8&#10;yzdePYevXJxMxL+1llHQA1JSrlRZWF6ldFDm4rmTnDoxQ7VW5/7DRTa2dqhU66RTCbLeGFHsbjNQ&#10;3dvY2lFCNYbB+uZ2ECUASjW1uzP/a1mZKzfuMjo8wOr6JtFImDv359nY2ubyjdtsFnZZWd9keKCP&#10;zcIO+WyaazfvUa/XicejnD+tJqYer65j6Do/+8MfMb/0mC+u3ODPfvYuYyODSAk7xT2GBvoY7Ovh&#10;V599g+04/OnP3uXx2iaffHGFyA8UYLZth2gkTDadYn1zm1QyztjIAHVPVl96E/OPVzeYX1ql3mgA&#10;glqjiWnZ1BsNavU6Ukru3J9H0wSdHTlVI89xg3erZdm4rgNef1m2jfsdXn2O63D21HES8Rjrm1u4&#10;riSXyyAQvPu2yqd6tLiClC7/+Y9/wkBfD5l0ihPHpygdHFLccwmHQ0p5NhLxai7qrG1uoQmBrmnP&#10;xQkCQV9PJ6fnZoKQ+InRId66dJ6H80usb24zOznGhbNzR1j4J218bAizaRGLxdA0jUuvnEHXdS/v&#10;zuXU3AyvnD1BIvG7K0b+TAbLth0QglBbzSpVDFC96OKeUo1f/MwHVU3TpmlapJPxQMXLl0g0dD9J&#10;UdI0LRULHjJUQqamUs41IXBcl3q9iaZrxL0Y21a+yO/AnpxM/67PQilUXVZXKCbLV0bzgYwkyFPy&#10;6w1JV4UoBaDG/0i8sC4UuApELFAz+f6svOck+nVgbe+7jgfEvH1pbeoWQZv8lngA6+hpe7P8KKfY&#10;I+GQeNLwvoPbtp8WjeUjrSdYtMB7lzTrJssLBQzbYOtRgd2lTe8cwRYOLi66qyunV+pIDMUC6jaa&#10;cBC26mtDCJqHDW59sYJhGFRKTQQqOR8BUphUihb2jotjKSpcSoFZt9i8s4PjSrBakuIaEqdhs3Kn&#10;SGGhhN1wMJsOoZjO1tIGzWYT6bhIQ0OTksaByZ1fraETwqpaCFdDeOyMr3En1NQzQrpsPSpgmxaa&#10;owUCC7hw95f3MbQmjiVw64KwD4Ych637K+wvtuBqSAqaugLysmEisdF0l2gkgo5SflMhfhZu04Gy&#10;QOiGKhbsDRrpAR4ZAH4JwlWXTvhKgAThpH5bXemq8EKhcv9MoCmVupp0XbSQgZ+X5YN3t9UT3v+D&#10;qRdvXkE8NZPjr+GHDfohiD4D6q/QyuHyx17rvnhqzsY7h6CgsJDBPSmfWPW7mm2roo5nTsxyam6G&#10;4l6J3b0S/T1dPF7bpFJRM7x9PZ0ITZBOJZkcG1YCBLEoK2ubmKbF1PgwjqcOZoQMdE1naKCXjnyW&#10;RDxOOpVg6fE6mqbR39PF5PgIruuSSibQdQ3bdjg+M8HU+CjxeJS5mQmmxoZJJuNEwmHi8RjHpsYo&#10;lg5wXZfDcpVTc9OcO3mMrOeM+mP1xKx68d2881A999tsx6sJ9crZE54K4VHTNI3OfI43Lp7j6s17&#10;1OqN5wIs3TDo7+3h9Nwsvd2dR34TEEgODw70Eo2EmRofZnpiBCR0d3aQzaTo7+3mxLEpNrd2aJom&#10;x6fHGRroZXVdzSgfnxlnsK83CKMUQrGIP3zzVW7dfYSU7SUy4KBc5t7DRUaH++nt6XwmOxWPx3jj&#10;4jlMy6bRMJ/vFAjBpQtnSKUSpNNJJsdHyKaT1Gp1lSMFDA/20dWZR9MEqVQChCCbSalQRASn52aC&#10;XC4pJeFwGE3XsEyLXDbN3KxSp0ynE0Q98YxHi48JGTqzUyp/JmQY9HZ30t/bRW93J7V6nYWlVdyU&#10;y7lTx9CE5gF+HddVqmfTE6Oc8opj++BR13WOzUwQiYRZWF5VzmzbhNz27h7zSyscnx4n84yxAdCZ&#10;z/HDN1/l0y+vYlp2++ZP9d3IUP9TOW9SKqGDtY0CmUySC6dPABAOGV4NqDTxeIzNwg6O4zA7Pe5J&#10;LuuqsPL3yAN7Ruv4fbFXANMTo3Q+g+0rHZRZXllnfHSQU3Mzbc0TjA0PBEBHCIFh6Gxt77K1XeT1&#10;V8+STMYD0YpXz53g1PEZdop7PFpcwXEdxoYHOX96DlD3dDaTIptJ4TgOK+ub1OsNhvp7OXNylsnx&#10;4ec33vPvnrxHGo0mxb0Suq5z8vgUk6PD5HMKyOezGZZW1tnY2g5U9IYGe/nxDy6haRrRSJiZyTGy&#10;mbSqRXVQZqCvm0gk4tUQbD3Lfp115LLMTo6xXdynI5+j2WwSDoexbIfTczN05XNYlu1NdiWo1uu8&#10;duE0uUya7s48h+UKtXqdc6ePM+4xJ+r+M+jqyLFV2KGvt5sTs5MYhhIZmhwfZmRQPV9W1rZwHId8&#10;NsMbr54lEgmh6ypksqdLFWfe2z9geKCXjmxG+Xhevqjrqhzdro4cyUQsKJwLYFomtuOgaxpvX7pA&#10;yFNojcowf/DumyQTcXTdYKCvmz/80Vvksplf21+93Z38r//lT5SKqffODIdC6LpGT1cnf/aHP2Kn&#10;uE84FKKvpwtd13n3zVep1RtHJs4ymRS6ppHPZVSZGM9vjHug51kmBAwP9tPT1RmE+aZTCV45e4Lx&#10;kQGaphWEP3/beczNTCKlJOYxXL3dnfzwzVfZ3St57GuWVDLxO1URFLWG/dQbY2N7j63tPY5PDZOI&#10;q1lyx3VYeFzAsm1OzIxQrTVZWt0iHDIYG+rFtCzuza9yWK5yfHqU7o4Mlu2wvbtPsVQmn0lhWhax&#10;aISDcpWQoerJuK7LQG8n9UaT7WKJ0mGVw0qVcChEJhXHMHS6O3Kkk/HnMmy+r+/VMn0hkxIcR2I5&#10;kmTcUGEZv3Ybidto8sErr1FdXEAYhnLgWvCjzYHz6xEpgOVqeMVYBZaU2NLFARzpYkmJJSWmlJ7i&#10;msSVwisgrFglv4hrK8VQvZANqdCyLgWa6zMTtLVHthzWI33ohW55C9xgXY+dlAT5MK70Q7xk0CZ/&#10;m8DDDfK5vHP3UKECa5r6YKHJVnhiIKghBEgD0BCaixBukOCoS/W7rYErXISr9gcyYPDAQbpeUJzm&#10;K+YRhFIq0Opzfu3XRoEP6e1IvVJ9OsXHieoaalJHlzoaEqG5ClgLv8+0YCcqxNIXjvCV8myVZ4WG&#10;JhwQGoamEZEaIQ2EbijlPgBNsUe61mJmhFCAzpBK0EJTgunoGgjNQRcC3dVBGti2i2u7qni126qJ&#10;5Ycg6UIJA2jSRZPSq/mhH5Fqd6WL482629LFdGwaro3pOhiaRiysmBDLdXEEOEgaVhPTdgIGq918&#10;afpgbPn91qZ8eQQItm2J5gOs59gzf1JlDxSSlEpbxlXnc/zP/hN/+df/9fn7e4aZlkW1qmY0I+Gw&#10;ErtwXDRNo1ypqor3qSS5bFrdc95LUdM0HMeh2TSxbL/Iss/0Cy+X4GhydrlSRUpJPBYLajE1Gk1M&#10;yyISCWNZNpFIGF3TaJomSDBCBoauezOkSjQhlUhQOjwkm05/q9LUfumQRDwWrCOlZK90wM7uPvlc&#10;5lvD/xzHoVxRCljfFq5RqzdoNk0FLp76XeVGaB4w9c13eAxDJx6LUq3VOaxUQUpSyQTxWJRypYau&#10;698qrlCu1pTiYyQcvFAPy1V2intEI2G6O/NPsVftdnBYQdc04s85hi8nXK5UKe6XGBseRNME1VqD&#10;VDKO44UXhUMG6VSSRtNks7BDJBKmuyPn1S6ynyBpBeFwCE0TmKZNJp30+ttVpSCkpLivnIV8Lhs4&#10;XX5eCKgx22wqYOhPoLhSYhiqZk+tXicSCROPPXsW12cfIuFwkKcHUNwrsVc6IJNOkc9mvrVeWHGv&#10;RCIRe24ulpSS/dIhQogjyeaud+y9vZKnEJZH19V4r9bqpJOq9ICvBtnfq/KBXFcVpNaE+NZr+m1m&#10;O5KmqeorGobg10Q3tp2Let7atiQa0QkZ2gv5JNu7e8RjUeLxo+OsuH8Q1IxqZ2v8vvOBEajxUdjZ&#10;pdE06chnVQkDL7cql0mj6xqVao2d3X10XSOTVoDqyWujJmdULlEsFqWnK0/kWxirwk6Rb67dpqer&#10;g1fOngiW1xtNDsteWGsq8VT4pu04HByUCYUMEvF4y0HXNaSrCt4buh6oG6ocIqWo9yIKcKXDMlEv&#10;n832n8PeBGF75FUmlSQSDbNb3CeZUPUEVf6SKs6e9pxy23Zomk2ikQiuV/zccRw68lmkVOyRz8A4&#10;joNpWkG5CNdV7w3LtjFNK7i/LMuiWqsTDoWIxaLUG03qHvAMJiyDtvpTmUre3FfYe2m/P6vWbTX5&#10;bxBMjrWbqD4BsDQB5UqNe/OrdHfmMHQ1CBzXYXl1G9txuHBqmmwqycZ2kZ29EpMjA+zulXi8rmRo&#10;HddlbnqUVCLGXqnMyoaSmDQMHcdRtRVcV5KIRUinEgz3d1HY2efOo8eK0jYMhEchWrbN1NggY4O9&#10;zwVY7W3/3gDLlSSjRhD//u3bSJxGg/cvXPQAVshjl1r1oYLh78/4ixbQcQU4sgWwFJBS4MpCYqL+&#10;OsIDNR5LpFTg8NannSvwQglVPo4WOMmqLJcCOkdZwHatP0SbHHbbcj+0UeKBrODf/vEJmIZg0spn&#10;7YQPUFoMhk81COm0hBjaCQ3/d0AIH5RoQd8Kr53KXxYBcA3C26QvF+G1OThea8yIIDzTP2EPpAZs&#10;x1PBaIFpKEGQtjNSs81t+1RMnwgAP95SPJCkC4KXI5qqHxVCYGiKeVIHUR9N0xRo0gS60PFz7cJS&#10;KLbSE6ZAOriaAlGu5dK0XaqNpgJZEhWSJ1WNIE1oCE0jpGlEdZ2EEMSFTkjTQTdAiCAXRHqqPa7r&#10;YjsulutgSoemq+qgRPUQhqbhCIktBA3XptqoYzlOcK294D2vz4SaaGgHT6L9Szs4bx9Ofv6VAv7i&#10;yG8E48xnvrwLTUt4hiBcUrouriM5/md/zl/+9f/9jKv80l7aS/v3bi2AJT2A9d0ci98UYP3/2RrN&#10;JvulQyKRlmDBS3tp/yNbtW7juhBSrtNTAPepEMFa3aS4XyaTShKLRtjcLmJaFtKVVGt1HFdSOqgA&#10;Asu2SSXirG3tsr27z8RIP9lMggcL69x5uMzEcD8N0yQRj5JJxdndO2SjUAxqGHTm0uSzaQQCx3EV&#10;whcasXgUpKqNYFl2ELryO31OfY+YIdebDReuG4Tv+bvymaDgv9LXHBQeAyW92Ub1cWWrCLAuBI63&#10;IwFKAEFNwivz2CE/3Mk/puMRM65UwErzHXv5pEsqAjntI53qY6IgJrG1lR/S53u/2lH3Ft8Jbt9G&#10;ARfN30PbUq/AbMvtPtKEoyySv0x4GK0N4PidLsWRmkk+ttPadurvSTx5NKEFzQtcfCmD6/kEPGhr&#10;oGhtJ544kydnMfyjiidWkR7QFQIpWpWZBOqlHIT/aRq6pirLa1J47JXaXjoSy3SpuxZ128ayXWzb&#10;xXIcLyRHeBS/isOWuOCo41c0QQ2NlGaQCkeJGyE0XVOKjppAoCsg50ikZakaXtKTlpeSkNAUMBMa&#10;lgaWpcIOWzF7waho9YXwx9cR6Y0ngHhrfX9MSe+L27aNfMbvtDGueNeyFRDrH1E+1a6X9tJe2kt7&#10;lr2Q3/HUyvJZC/+HtGgkQl9P1791M17aS/u92/Pu8jaApZibpmmxtrVLrd6kryev1GU0jf6enIoH&#10;dRx6u7IUioc8XiuQiEVJJeMYuk4oZBCPRkgn41SqdRzXxbYdSgcVYtEw5WodDejrytM0TRpNk0q1&#10;fsQx97dB4qlyBZwG3wsFfcfOoa0N33UjFTbnAx8ZLFeMUYuxUt89NgEZhPi50vU+8qiTLz2mI2iU&#10;9BxHGYScIdoczDZw43pz/K0+VbLUoqWz3qJevO8++xSIF7b3s09CCW9F/zII31FtsV7t4OXIlfJB&#10;UTs14SOTtj4LfnnWaG1b1gI6UoErcXT7o1C3rcmtnvEWtr63t134/xatkceRvx78E/62/qm0zufI&#10;mQZEXlvumweoESII/fT33QKD6q+UKjfRlYCjGCpXukjHwTYdLNuhKV1sV41HNTC0YIwI4YdFql7w&#10;x6XtSio41F2bA9ciK21ysTgxI4TUFOvjC2QYQgPLBVfV1EKqEMaw0JBCKCZW+mPcP4v2GYG20drW&#10;34oBFG2rKrn6oJue+KsF7Vdn0oar1OZeeKwTXDnvjpB+n3os2L8Pn+elvbSX9tJe2kt7ab9ze9qp&#10;MFo/KSc+EY8wNtTL5ZsPQUrSyTh3Hi4z0NtBIh6j0TRJJxNIKSiXVb7UTM8gh5U6DxZW2SjEcGyX&#10;saFecl7eVSQUwnIcGk2TWtMk6TieEopKzvNNeqDK9VRQbK8wp/fr77p3/I74zuYicI+s3xKR8AFY&#10;wF55Sfb+ckeqquSu4hQ8YNWCVL5yICgWwhWtekG+4p/a9xM9E9A4LXU3lS8kWgwYbeDI34k6EAEt&#10;5jm9Pm4IXPM2oKN7x3PbO611+OAfz8kLfwL2i7Z/y+es095+twX+njz3oAFtoMlviA+IgkO2C36o&#10;C+Rv6rMtR4AuR/FpCye28ypeX7dhOdWk1p5cr4lK9MQLm5MuwlHsnqaBfeTkvKw7h0CuWHrqUT6o&#10;gbbsMtGmdBK04QjEDE7Ckg6WY9Gsq79dMkk0FkFoHjjTVDy8phloto3jqHwmTXpqfEIgXQfLtp4Q&#10;pBFHLoNoO6zWQr0ttvAJ4N86a//qtHq4XaxAovrRvxekUGUSQl4uo2i7bupePAqoX9pLe2kv7dnW&#10;PsX2fbd/aS/tpf17tKcKDYdDBtl0UiWtCkEukyCdirO9W/LWUA5VPBohGY9RqdWJhEO4rstBuUpv&#10;V46OXIZcJkXI0HFcl4ZpcVCuKFWYcJh4TCVKmrat9iilSvbtzNJomjiOi9AE3akcruOSiEcDBaL2&#10;OfF/a7MEmEKokKonnGnp00E+04XnFLp+eKDEQYkDtD/DBZon2tDmsHv7dqVyvP9f9t4syo7jzO/8&#10;ReTdb+37jkIV9pUASBAECZAAN5ASKVJSq9WSrHar2z3uMx6Px+fMvMyZh3mYM28z4zljj912yz0t&#10;t1pLa6NESdxJECRA7PtaVagqVKH2fbtbZsxDRGTmxUISILstt+uTCBTq3syMjIiM/P7x/77/p2GB&#10;DBgyAgc7vKNvXV1PWEbMuNnaC/XPb8mp8LXsiYQ5tzA5XDYxFJ/tMo7rLUAz7CDfbaxU8R+Ee7CI&#10;NTIiBQaL6Pwk+7sQc+SfpQh0Fnv4wu/bIK/HAgH/yiLUhiJnXPigLox9itgvZfpHeMF5DFi2uWTh&#10;FitDORWMKqUOD1S4PstiGxYC7b7evm6IBYE+pjUgWRYB21tHIQw+BZ7QOYFT2SVc5VJNKaXppE4i&#10;lvo7jiORjsTNF/AKrrlFhYwIIlIisiYMVsiie9T3LoL+F2Ye+YBXBCAr6ObiVooQwFIquF8MCDOh&#10;gMpEn8Ycl9J0hILnkM/l8VwPV0g8JJ6riPwdKgct27It2z8cu+Me38d9edmWbdn+K7K7rxC35WDp&#10;pHitgHKpq4+VrQ1sXttOPl/g+sBo4H8LTAG4Wa5dH0JKSXN9DWtWNpF3PQaHx6koS1MouAyPTVJR&#10;mmaBDHnXJZ93/aKcQmqVmfGJGbI5rTIohKDgupSXpplfWGJ0Ypp0KkFZSVAQLHxL97QA3sHua49K&#10;QF7qHXKfWbLsh4FUgUy77VcNkjyTj+XnioSAimWWtNhA8FnR3yKoJ2Qj/3xmQhbv9Pt/WwdWEVLd&#10;CxzzAELcIokfcu6Fn88liugIZYUL/PsNEKcN6frYN8+t4MxvmbhtbHw86rNGwTdtWCYWMPqEW5i/&#10;CcBRAEy55c9igHVbc28DWPgIM4jgFFj6RmBYxDvcsBXAsGr3WtxD34jEyr8XN+LWXhEinFGk/OuL&#10;0DVvBSzh0XCEFmr3pCKPx4ybg/k5hECrPknNiAkhEY6DlOBJcPN6BsuIIC6ixDIRZL7g50kJC64Q&#10;hg3DDw+Uth8JgS3C/Sr8iFQ7R/3nxWdwzcwyGwbSXEt6HvGooKalmoLKszC3gFvw8DyJ50ncXIFk&#10;chlgLduyLduns3v3MT6LR7Jsy7Zs/yXZ3Z72SNiHB+3gFFyXhaUM2ayuTeIpmF1YYmpmjnQyrh0e&#10;petZFVyXZCJKNp9nbmGRobFppmbmGZuYYf2qVqZn51EoaqvLmJlfoKmukramOm6OTrKYySCEYHp2&#10;nsmZOaSQzM0vUpJKEotGuDky7su/Tk7PUppO3uJMfj52v+fzFf3w8MPnrFMbFpYQBgwZIOJZMCIC&#10;59EHWSHAZtUDNZgKucgqqIUlsRLjoXwooYoU1GxbrcNt1fiAolA+fX24NaZP57VYAGHBlSiaVQod&#10;xqhsTpS6tV9vn4J+DwkRAqb40u4+wPHBlAxOLAJgZRkQv/2m75QyTBf2+NuaHfwcehD8S97JBxfK&#10;rxtVdKgIMVM+G2PaazpED7kiEAwxH0lhzlsMQkDn3PmsFUrn0oX61l7bguegT4v73AcuVq696AOB&#10;FLZYrwQ8FlWBicV5hAOVJUkcB1zhISISB0eHxgoXPK12GI84lMQSzGXyZI3srR4Xqwapx0iifJVL&#10;W4+sCPUWtdowlIaxCz9joa8UwWIBWrdECaZHl8i7BTKZPK4HmLBSz1XkssU1n5Zt2ZZt2T6z+e+X&#10;ZSpr2Zbtvw6zGgS3220MllIQj0XZvnk1jbVVpFMJhkYn6OkbRghJc0OtDlUTgobaKirK0tTVVJKY&#10;nGEpk6F3YASUoq663ORs5WltTJBKJagoK6GsNEUiETMVy1NUV5QRi0Roa6rDcSQ3hyeYW1g0ymmS&#10;proaSlIJItGgdsKtN/J57BXdz3Joc2AERshC2Qra9oyW6jDhXSFGS1sIWNgRUmFf0whUGE7I39U3&#10;gKQocV8FIvEmQynEIwXXtTjC1lYKczdF7Iay3wv1bzgfKXx7BgSElfz0pFO+lLyfK3YnRqj4Dx84&#10;2TpckgBwSb/PzPUxsuKWCTLtVH5dMsta3R3g2bu2oMSCFf0lEUIzyv/r1hweQXEf2h6wYxXqstBL&#10;OMSoiUAe3cewBpT7Y2ZrjIWubkGVTyyGwKe6BTRiz2PbEAY14Y0LIVB4LLkFRudNbY9UmmjU8QUo&#10;hOMENyUFwhEkozGiToScm/fvRYMknQOoZe5tOYVQWKawLbN9EnoeQuNz6xzVrJaWrL/1+XULipnJ&#10;eQOorIhIsOnguZ/HqrFsy7Zs/9Dt1nV92ZZt2Zbt09htOVhKQSwWZdWKJr8gXHVFGal1CRxHkk4m&#10;NKgQgqrKUgSlSOlQX1tJRWnarzgdi0WJRiLEY1GEKWza3tKg8zikYNWKZoSAZDKOQJBKJRBAaTpJ&#10;Pl9AoavJJ2KxoML7XVa5e6fvi60INNzDyTwFrjJQwg/7C7v1AdUQzpTyV+xbGIciJ9Fvh2E2VOh7&#10;pvaTxFZNF35RKhH4vH4yf9FtiQDs+CFYxuGVIQSmVFBHyIIsv32holdacl2fpIgNU8H58bRIeLEj&#10;Hepze4AkAHEhECMtcLCMiH+0DguT4IMKCEIFfSDht+rWTr5Tm8y1RXgfshg2hdtw62nC7JPPRhnQ&#10;Y4sai6BBCCWC+m1S349FSv7XinTHAACA/39D1wz9zh+f0LwKrmNC8JQG1ipMrJmG6DEOgRzh4AqP&#10;OeWRX1okX1BUpUpIJ2JIx5RVdvTFlPBMEdcosXiUpUwhAFimP7Qwi82Zs5cRpq3q9mGxCDEEpv35&#10;iUB5qogk1t0UzFKbl4USSMcELCr8Ao3ythFctmVbtmX77LbMXS3bsi0b6g4Mlp8jEaq2nYjHSCRi&#10;RSuHEBo02TNFHYdYSVAN3jrxMRlcIpmI+T+XltxaOV6Y78R9EYy7qs/9DphCUUDnrGAcNy3JbmWg&#10;LWUVAC0/T4vAAbYOfLGvGPIqQ39qQBV8x55NMz0+LVJ0dBhY6Q/192MD/AEAACAASURBVHwQYnBN&#10;EPoX5AD54ExTBXcBI8qAG1XMEpmLOoAbun8VPkO4oQFqIpx/ZcFqGFRZhsMPZ7ThggIDTEy/hEBe&#10;cQ2x261IqILgPEUMS2i8DAYKjlKgZBBVKGyfBl+3iCa4F6FHVZjEOHlb8KEBH3ZcFL50ehgEGpgT&#10;gJJwuGLRPYUwiyB0b6FvhSaiZ1qUdxWTboaMUlSToiIdJxKVhl1TSClwpIOKSBK5CHMFCSpUYFOE&#10;WxEwk/r6huP0C0YH/FyxILv+jeePuVmnzP14KlSbzTJ4RjHQ3laQ8xieUcu2bMu2bHezT3hxLNuy&#10;Ldt/1fZxK0MRwPrYpUTd+fMiZ/4OgOiTjrmTWWX2eznms5u6x5MLDbCMF2//Zzw4/X/PFBBWyq8E&#10;b1kNP+xNhdgHbvFFCYEk61BaMQCCYsYa/xiQBb7SXgDvAlYofO6wxLy037asgwFiEiMLbnN0fMQV&#10;6jdzMRsSZp1f7e8LhJD6HJhQRssO+acRoIwMudE3FyEtRR9I2FBALIsUYolEwAz5GEEKX+xC3GFu&#10;Fo1mkcQ7hIFw8c5CGKDY9tgvhoGB4NawRF/+Hfuf+Y4hAaWQRZPBSvLb+RX0d9DGQFzDzguDPM08&#10;FHamhJLUitPozCS04YfCjotmeaTZJPBQLOazuAt58l6SytI08XgMR0gcKRCOJC4dqvIlZDMu84W8&#10;uT63sWXFCFv43wtgtR2PW59JZTZ1LNAyd2wv4u8mgPKMcIgIbRL4bSiC+cu2bMu2bH8HFmwQLduy&#10;Lds/XLtj7VZxBwbrc70o/wW4MXfolE9lSgNBz9OKap6y7ID18Azb5CmTexKEJWmRCeU7u5a3CIdo&#10;3d4kGwpnnXFzfQjynPAJHd+n9sP7QjWY7JqvhDJiGbb8qgY2QoTC1jBgEA0UrcuulAZeKK+IxbIN&#10;EYBUUhesBYQMNO18Bs4iFRWeJ2EHWPhHKCF9gOXfiTIAy7IfFvT43rpFkoQ97DuYCOpWGSc8DN6K&#10;X5LqzqNUVC/LZMxZYGhBt3+cAaE+2HF8kGgHWKDA1QIqtics9CxS3LPI0Ufi9iKhcFS/ZcLvF/9r&#10;duYZ5hWjYqiU7ldlaDl7bM6D8aUMS65HZSpFaTpFPBolEo2Qz2bxMjmiQFToDQjhM2rCl1e3Tbpd&#10;VzEAVz7s8gF3AAxtjqE1n1wNioCBNDmAJszVsyGXQj+Td0jJW7ZlW7Zlu8WCbbb7O3bZlm3Z/qFb&#10;kVZByIoA1v0sB/d7zL3u7dzPMZ/KPgM15imdW6SUTqIPp8oooUO7hDT5Isq45gIT6meS/E1dq7Bv&#10;6Pv0pmEi8PSDAsNgigd7/nfDNadcnz0QPgN2J7RrQ6g8C4qsSl4o/EzKEKMQuoZyPFzPJvSYRofq&#10;a2nJu0CAIpBs13fiy2z77Jky7TXXKiKOAsDlg4OQw21/6cObMJCwKggW0N3BRDHx44Md4QMYC5wD&#10;oBWAk+LzByF8QZuKGmjBlN9+cCwwtP2hdG5TUXFogQYpItQOERIzKbqe9MUzCJ3bPzS4Db/Ngc6h&#10;Ns/iG8xcE4FQxVI+T25hnvnsEslYFKRgKZtlLpcnZ/ok2NUR/lje3s7g/vQ4iFs+N3lpfr0yGcpr&#10;s/8FYZP2QL3ZYE7kFbtJ+nn4nd/6WbZlW7bfAbsnn+O2ZWUZZC3bsv1Dt7s95RH49Bgj/Pnv0jGf&#10;2xJ2TwhO4QmlpatFwC7ov8MBXQZEiAAAKYJaVFIFl1UCLXtN4FwKX9/DOp4WiJjfG7bJbukr63Aq&#10;ApGJkO8ZRnDCSJlDSBBDBW129AWK1N78tpk/pEmCcVFFCC/EPRkgoUICEEIDMSP84Fk0YoBHoIgY&#10;hBP6DFl4pyCU5KObY5khXXRJCOGzhkqoIPa0CPKY38nw7zCdZ/PKLHuGwX0WaAag0wcOBpwVEUv2&#10;QHtdc6/mkhq0+CDN5vQZZtDcpxX6UEUdEMoTKzJ9MuELTYRy1AiES4I2Fdcqs6Ihjj02dA6fyZQK&#10;T7ksZQtks1mUgDyKfPgYFYJrQQNQwtybj/wtuMLv5zAglMJwqKEJfWuxBt0vPkLFM6UKhBIoB5/R&#10;FUrgOV4of/T+TQGe56E8j0jk3oIBlFK+IJAMFT1WPjt5b+0rFAq6n+Ttoam3Xtd1XRzH8b9XKBSK&#10;/v33ZZ7n4XnKL8Vxq9k+Ai149EmmlML1PKTpU8/TtRallB97b4VCASkdvZZ9jLmui1LgOPJz7zvX&#10;dclkciSTiU9sx6cxe++3zq+P/z5IM39c1/XXj7vd253m0t2s4LohlVRhjvWK+vJeLfwMCSHM2MvP&#10;pf9CVzF//+cBSrlcnmg08rmMwb3arc+fpxTqDmvWf27zPI98vkAsFg2eS9fVzz13X0vt/X2ateVe&#10;TJ/X+FDOp+snpZT/vP59r8PL9tlMFf1UPHafPgfrtpP97h3zmew+NrQ94yNa5sr/2YAbSxUoqfyw&#10;J8026LuQaBVCOzCBm2v5GssI2TODRUvW2ZVCmRA5fQYvdH5hzxVWBCz6rPj+bQCgMg6qjw4EOMKI&#10;MNjQM+McRww15ng6nC2gD/RVrDCHvaY/gIYpUwKUJwmPsDLXVSJUPFhfzgCuO4UEKh+IIJR5mfvB&#10;evq+DJpVIWGMAPT43aAtDLhCgMFeW/9aYOkrf7yECMCwed6C0bb1oZSfd4XA1IWyNb58Pg9sqJ4B&#10;BhZDWEjkw6vww6HsC6XYOQrfnw9g/PhR4dfx8i8CCCn1f/6CH2T8BW3wcAnmlmPmG+CrFRb1qxkN&#10;7Jj5oxMCV3ZsrYiG/Zb0DzEgXJt9Pdo2+JBNmFwthAZcQpli37oExGc1z3W5fO06Xdf7ef6pvUSj&#10;wXKqlOLm8BhnL1xhdn4BKQUrWprYuHYV6XSSufkFTp+/QmVFGZvXrwZgcmqGsxeu0NJUTyKZ4ErX&#10;dRYWlpBSOzQdK1ppb2smEY/d1pZX3zhI58pW1nS2E4tGb/v87fc/oqmhjraWRv7mp7/m2X2P0tRQ&#10;S3fvDd774Dh/+AcvEo1EbM99uvv3FLPz83Rd7zflKm55xQgoLy2ls70FIQSFgusDyHyhwKWr3YyO&#10;T/LEozs1yDIOvuM4SKlrIp69eJW5+XnisShT07O+M+S6Hul0kk3rVlNbXUm+UODm8BiXr/XQ2d5K&#10;W0sTl6/1MDw6zsZ1q6itriIRjxKJFDur2WyOn736Jrsf3k5LY/1tznk+X+C1tw+xc8dmlIJfvvYu&#10;X3vpWUrTaQ5+eJyJqRm+9Pz+zwzYJ6ZmeO2tQzy4bRPr13T4v3ddj+HRcU6dv0Q+l/dBtBda813P&#10;Qwhobqxn47pVpJIJhkbHudLVi+e6uq7l4pLvFLuuS011JRvXrqK0JE0+X+DStR7GxidYv7qD2ppq&#10;jp48ixCC9Ws6KCsx+Za3OPFj45O888FR9u95mNrqqtvuaXpmjvc+PMZTjz9CT98A5y9d4ytffJpY&#10;LMoPf/4b2lubeXjHlvvus7n5RY6ePEtleRmtzY0cPnaKnds309hQd9/nvJPd08gWffmedmxvs1Nn&#10;L3Hs9Hl+78Vn9TMvIOI4RXPY8zx+/uu3aW1pYHx8ikw2i5Q65NzzPKKxKA9u3Uh9bTVTMzNc7e7z&#10;n1W/lUorR69obaK2ulKD/WyOmdl5Ll7tIhqJsmPrRoZHx7h87TotjfWs6lhBNOIQi0Xpvn6DkfEJ&#10;1q/pYHEpw7lL15ibm0dKifIUsViULRvW0t7W5M9BpRSXrvZQkk7R1FBXtMlytbuXi1e6yWSyPphT&#10;KF0WRymSiTh7du2gqrIc1/WYmp7hJ796g5e+8CRVFeUopfjxK6/z4rNPUFqSvmPfKqXI5fL85Fdv&#10;8NUXniEWu33NvF+bmZvn0tUeYtEoO7ZuKPrM9Tz6btzk/MWrLGWyVFWWs2n9aqZn5+jq6WdlWzMt&#10;zQ0k4jHisRiLi0ucv9TFwNCwn+UghTR7sfp9HHEk27ZsoLWp/nMHi8v2SXabJ11kkXvBFfeBQe7r&#10;mL9v89t4j+ugZV+sMIAWcQjyPiz74juQxvmUxulTVoEQ7SRa59kCqHBcZ/B735X3f28ddf9nwmDL&#10;Aj/rfYclsYPJ4d+6AREWzkmhTPigCVEzjq49se8MOwLlOH47lfJ0fppShpRRoX4wQMQAJKzctwp2&#10;Xm2j/GLLwod/+u5C4EqEwIHw8UEAwqTFEWagrIhDcOPiFhBR3KE+ILGD5V/NjIUyTKQdWwMukYRJ&#10;KB+4SNMg38X3+xJTnyx4KduwSmmwnDDXsk0JCCADfgRFO8W3vuCLuKpwXwmpmT896EXPROBTWTBp&#10;x0uAlAGeVirIN9MdHo5kvMWE/z/pg8xgwoeBoyg6xm9GsdnQVAvaNCWLY9hlnSNpGFrP41NuLBaZ&#10;pxRuwcU1u7qu6zI6PklP3wBLmQyep4GPdgoEvf2DnL98jfbWZiYmp5mdW6CxvpZ0Okm+4DI8Mh7M&#10;deBqTx99g0M0NdbhFlwWF5eYX1zEdT2OnjzH4488SHNj3R0B1vX+QWprqorOF7ZkIsFv3nqf73zj&#10;ZZLJBB+dPMsXn3mcX/zmLVauaA3G/h5MKY+Z2TmOnTyH63q3DYsQghWtTaxobWRyaobfvn2I8Ykp&#10;pJQUCi4DN4dZWMpw6WqPz2q0NjWwe+c24vEoU1OzjIyNs7i0RGtTI0JILl+7jut6rO5cgSMdXM/l&#10;2OnznD53heHRMW7cHKaxvpa6mmpuDA4xNT3L8dMXqKooY99jO1m3pqMIgOYLBbr7BtjxwMbQPA/M&#10;iThksjlef+cDXjywn+nZWS5c6WbL+jX86o33+PpLz9lZeU+2uLTEux8c48z5y0SjMZYyS3Rdv8GR&#10;k+dob2tCKUU8FmPrxrV0treQz+XJ5QuMT0zSe+Mmrc2NzM0tsLSUYcvGNShzLwuLS8zMzjEyOs7w&#10;yBiJeMwHUZe7rpNOJlm1spWIdMhkspw4fYHLXdfpu3GT6dk5WpsbqCgr5UpXLwJoaWqgtqaSZ/c9&#10;SltLYxHAmptfoPfGTbLZ3B3vsSSdon/wJkeOn2H7lg387S9fZ3R8Ak8pPvjoNI/vfuie+y1s+Xye&#10;/sEhcvkC1dWVdPUOsHHdqs90zs/X7h90nzp3ib/465+QzeaZnplFOg5LSxlK0kn+u3/yLRwp6em7&#10;QUV5Gdf7ByktTeFEHGRe0tXTx/jUNI/t3OZvJHlKMTO7wPmL1/z1yzZReVCSTlJeVkJ1ZQW9N27y&#10;xruHmZiapn/gJpFIhJPnLjE1NcONwWFqqipoaW5gw9pOHnt4O/FEjCvXrnNjcJhUMsHNkTGSyTjD&#10;w+M01FWbfydobWkoAljnLl2loa6G+trqIoDlSEkkEiESdXGkw5GTZyhJp1jV3kY0GiESjfj1GF97&#10;5xAfHjvNwOAw1/sHqaup4qXnn+T9wycoS6cpKUlRWpLmgU1rcV2Pnr4BPxc4k8tx6KNTrFu9kkQ8&#10;jlIKx3Foa2kklUx86rFSSjE9M8eV7l4WzfN34Uo38XiMmdk5pBDU1FTRuaIF6UiudF3nctd1Gupr&#10;uXC1GyElo+OTHDl+hsa6WlzX5eEdm3l890NMTM3w4YnTKE+xorUJR0ouXO6m4Lp0treQSiX9d+/n&#10;bXMLC7z21gcMDI3Q3FDPc0/voSSVxHVdPvjoJKfPX6GkNM3Te3fR2txIPl/gwpUuDh8/Q8RxeHjH&#10;FrZsWIPreQyPjPPuB8eYnp1lTWc7j+7c9rF93DcwRN+Nm2zZsIaK8lI8z6O3f5DDx88wO7fA5vWr&#10;2L5lA6nUrWrkgZ2/fI2lTI41nSsoLy3B8zzOX+7i+OkLZLM5Htq2iY1rO0new1jfboE/daf3gL/l&#10;ej9Lwe/yMfd9jU95MYGgJBJjQUbIoUwOlsI1PI49lS+jbpxjT+gdeQcTlmcdb6WdaKsuWLy3f2eg&#10;KkIfWDZIgA6DAjwlcAWm6LABTeHYNQI2SjvcQUUiqezCDAjPQBvLUJicIaOEYX18B0sxKFACVygc&#10;BUoK3BAVFTj1xsUW+lw6nMfxG+RT7QFtY/gM4YfXKcPYCKlQMmiLMKEi0gIOA7YwADi8uyiMep8/&#10;XqEwLT80UNiAQM9HNjKUj6WU34m2c/0Z4DNcBhTqMBx7nM7RCwbS/tv2lfRDNAOxcvz22l/oMD7z&#10;uaIoVEx5ttPD5w3+s8yfEA42F0tvEBDqC9veoJ8sUFY+6NJAOKxm6V/Rl1ZHC2dgQxGDsgC33pxQ&#10;IDx7n+E/7T0TmGUODcBT5uYUYOvGIfQzp5+He19VpqZnefPgYS5c7iLi6N3Z4bEJxiemmZmZRTpa&#10;LbOutpr9ex5GSEFFeRl1tVV4yqNQ8Pjg6Clm5uaZm1+gq6efqopySkvSrO5oY2BwmIbaGhYWl3Ck&#10;w95HHgTgnQ+O0dxQx5pV7aSSSQquSyaTxXUN0Cvof+dzeebnF8lEcoAiEomQTMQ5+OFxzly4wtXu&#10;Pv7jD37O0mKGhaUlevsHOXTkFNl8gczPfuPv5H7aEBUpJY11tfzel569606arocYpaK8lMce3s7s&#10;3DxKKSanZlDKIxGP89iu7Ya9klRUlBGNRjhx5iILC4sgBOVlZazuWMH4xCQjYxMUCgVWtjVRV1NN&#10;bVUlpek0tVWVDI6McvnqdTas6WR1ZxtnLlxhcGiU7Zs3UFdbRUVZKcpTzM0vmHUFJianKRQKLGUy&#10;zM7NY2d3PBZDOpJX3zzI1Z5ehobHmZldYHpmnrcOHuGNdz7U7N/h4wyPjfP8U3vvKbQnm81xrbuP&#10;+rpqtm3egOeZcCwBjtmhdhxJbXUldTV6PhVclyvXesnm8mzbvI6R0Qkmp2fZv3cXUgoS8TgjYxOc&#10;vXDFD5GqraliRUsTN4dHGRwaobyslFUr26iuqqCyooztW9azolWzfWMTUzywaR3NjXW89+FxhBBs&#10;3bSWstISqivLyeXz5HJ5n1UfHZ/Ecz0WlzLMzs75a0AyGWdxcYlX33iPkdEJ+gdGuNrdy9JShh/9&#10;4jUGBoeZmp7hb195nZ3bN38mFgvMGmVCrBzHYWZ2jp7eARobammoq/lM5y5ez+/3+E9vQyNj/Pat&#10;Q1zuus7TT+xmw9pOzeAoxb/9yx9RV1Pp+wS/ffsQO7dtRkhBKplkZVsL4xNTjE/OML+0REd7K8lE&#10;nOqqChwpaW6s58svPH3HZ1VKScqEpzbW1/LMvt2MjI5zraefWCzK3kd2MHBzhLMXr7KitYkNazpJ&#10;JuLEYzEa62t5+ondzC8scvFqN6NjEwghGJ+YIp8vsLC0RMeKltt6olBwcV3vtua0NjdSX1dj6q3C&#10;8OgY9XU1PPLgVtLpFFIIkgldymfD2lV8ePQ0/+xPvsnb73/E+tUdZDJZEDA8Ok7+ZoEr3b2sW7WS&#10;bD7HO4eOUnALoODkuUsMDo3yf//7v2bbpnUg9EbUC88+QSqZIJvNcfFqNwLBA5vX3XXMXNeju/cG&#10;P3/1LTpXtpLN5hifnCIei9E/OMzY+CSO4/DlLzxFQ101KGhraWLXji289+Fx3nrvCDNz82xev4p1&#10;q1Zy/nIXyUSCSMQhXyiQTibpbG8ln8/T0zfI8Ng4jiMZHU8Ri0XZvmUDNdWVn2vYZqFQ4N/8xQ8o&#10;FAps27qBgx8eZ2BomP/+T7/F+4dP8J9+8iu+8NTjDI+O8X/9u+/xP//Lf8rAzWH+4j/9hN07t5Ev&#10;FPju93/Gn3zzy9RUVfBXP/wF0ViU1qYG3j98gvGJSb7+8vNFa6ZSipnZec5evMob732I8hSrO1ZQ&#10;UV5KT+8Ar7z2Dq7rUVdTxZsHdZ8d2P/Ybazd2MQkZy9e5ee/fpvVK9toa26gvLSEsxeu8svX36W+&#10;tppEPMZPfvk6nvcU27dsuGuY+me12woNf5z95wBHtx6v7vL7z2r3iv8VIAsupcIBxyFTKLDk5VkQ&#10;CteorlmJax8xCcsmYT4LFUs1jqXA5kPpq1hkbNtX9Aj5/r0JgVPF/SMN2+HKoNCvVg0MO80hvkRZ&#10;lkT451XC5EiZe1EIpKeBjiM10FLWmVcYNkmBhIgUCCLaWbDMnhdqJCaeWwSqe5bdQRh5eM81IZfK&#10;hLFJXZDXggcr+mDCCW1Nr+A/I9JhQQgmhyhE4ViM68OhEBD0sV0IYFgLM1BB39uxFv5nPrCw7Qsp&#10;mgRfDTGLoTlhxTdsoeWAEQoDJuXnnQQPho+EsAqRPt1l7ksaYCtuETbRUvqmz33AZeeM8ncAIbhn&#10;gV8n2g83DIIpwyya8OeXtKGafs244Gt+AJTUTInA5qnZh8OCYnNfKgyabB6fNk/pHVyU0kBSCuR9&#10;rKelJSn2PvIgO7ZsQAiB53mcPneZi1d7+P2XniUWjeIpHRJTWV5mQIRicnqW2bkFKspLqautpr2t&#10;meOnzjM3v8Cmdaupr63m3KVrXO8foLK8jGs9fex6cCs11RW8+8Ex3n7/CMlEglw+j+u5jI5N8Nu3&#10;PmB4bBwpBHnX5cTp8/QPDvH+kZMIKXALLp0r23jh2cc5cuIsdbVVfPGZvTrMC3wnecPaVbhugVde&#10;e5cvPvv4pw6VUUqxuLTE2MSUPwOsI+ipYIdcLAoy2RwlqSQ3h0f57VsfUFFeQjaXZ3Jqhmg0ylsH&#10;PyJfKCCAnTs2s2PLRrLZHLl8nmQiwczMLL99+xA9vTeYnZv3w+bqaqt57sk9rO5o49zla3T19LN9&#10;y3oWl5Z45bV3mZqeJZ/PMz0zx1OPP0JdbTVXu3t559BRZmfnkY5gbm6RsxevMDe3QGVFGQjdd7se&#10;2spDD2ziyLEzPPTAJrZtWoeUks6Vrf403bltM6MTE7z3wXGee3LPPQEspUBISXtbC5vWrb71U9t7&#10;SCmYX1ji/SMnOXryHPlCgRs3hxkaHWdxcYlMJsvY+CQlJSn2PbaT0nSKbC5nwIZkYGiEU+cuMzI6&#10;zvjEFIlEnJ7eAdauaue5Jx+jrKyEIyfOMj07x8Pbt9A/OMRHJ88yPTMHSjE5Nc1zT+4hHotx6CPd&#10;hkw2hyMlg8Oj9A8MMTe/QEk6pddOz+OLz+4jnUpw6twV9j6yg2gkgpSClW0tIGDDGg0aTp+/zNGT&#10;5+4JYC1lshw5foYPj56i4LoMj07wpef2gdCs4DsfHGV6Zo7yslK+2FD7qc/7sWPFPfgbn5FIOH3+&#10;MgBfem4/R46foaK8jK0b1/LTV9+guqqcL3/haT+MdWkpS77gIoQOPfubn77K/MIi0zNzTE7P8uob&#10;7zE7t8C//LNvk83lOX76PBC89/08RfNeS8bjrF29ktamBlCKsxev0tbSRENdNb956xCTU9MsZbKM&#10;T07huS57dz/I8Ng45y9exXEk61Z3UJJOUVtdSVVlBcl4nNaWBkbHJ3EceUeSxd/ADFksFi1ah+Lx&#10;GKlEglLDSFlzXZdsNsvc4iJDI6P0Dw6xddNa3j9ygoe2bmT92k5K0mlujowRi0VJJhN8/eXn8JTi&#10;8LHTTM/OUVFeSnNDHU0NtezbswspBKWlOqwwl89z+VoPUsiPBVg2l6uutooXnnmcuYVFSo6mSCeT&#10;PP3Ebi5e7eb8pWt6jROCXCHPsVPnuNbTx/TMLCtXtPB4+4N09/bzxnuH2bl9C5s3rPHXE8eR5AsF&#10;em/cJBGP8eKBfeb97XDs1FkGh0ZYt3olJSJ11zbeq41PTHHhShf/6//0z6ivq6alsZ7/7f/8d/zJ&#10;wpd54+BhHtu5nWee2M307Cz/+7/6D5w4c4GhkTFamxv54jOPGxZ9gqOnzvHQA5sYn5rmX/w336Yk&#10;lSCdTnL42GkWlzKkU+HauYrRsQmOn9bnqq2u8vu2p/8GmWyWLx3YT0tTPb967T26r99gfHKa+trq&#10;onP03Rji9LnLjE9M0dHW4vsWPf0DpFNJHt25jZamev7Vn3+PsYkp8oXCZwRYd18h7ikz+07gJvy7&#10;T/r8Xo+507XD/xZ3+Pl+7L72qAQUvAL5XI5oIUJSKSIygpQeGaXD3FygYEPyBFjJBSmEYSU833HV&#10;2Usmi0nJouvYH3z30Qdg5k8jqeb5zrTtL/0vaYBPAUwYm/bYi2WyA1AFYaENPT9d00qlBI6QITlD&#10;wynJQMLduMZIYUUqhI4CxAAiI+TgWTQjdRihMNe3OMBxBDhRPNOf2uGX+jqW9ZBBgWNl2BAhg1BB&#10;KWTgVAtMKJQIzmdxR1Ff4jvy4VBE3aMBgAoYLPxz3TJo/nftGAkDDnWomukxqYqKkkmJH84o/ILH&#10;wWy3+XzCzigRJHrruaZsS3U7pfAZLT+s0oyZPadEgDLhfgZUW7n2gPGj+CVpAaDfcCyUC6CfAUNB&#10;LTa/w0N35fm9ZtvoCGnAsqdFQBABw4vAVZr9s6GFQe+Y50kfrOceNmzX7CB43n0lwkcjEeprqvCq&#10;K3ELLrl8nsqKMlLJBA11NSTicZyIgyOlD+jsC8Lz9O56c2MdVRXlXL7WQ3lZKWtXt9NQV83AzWHi&#10;8Rgnz11i68a1jE1M8vb7H5FKJfjHX3+JqekZ3nj3QxYWFtm6cS3PP72XXD6PQIcHnr90lZqqSl48&#10;sI/y8hI8T5FKJEglk5SUpNiwtpPzF68xNDqGQBCJRpianiGTyfFH33iZ+trqUC9+srmuy/X+QX72&#10;qzex4hJj41NEIg611VX+nJFSsqZzBU/ufYSFpQxNjXU8/sgOuvsGWNnWTD5foKdvgNUdK7jSdZ3x&#10;iWnz3JkZLgS5fJ50Ksn+PQ8zPTOHpxSN9TV0994gm82yuJRh9co2pmdmyWSzXO3uJxGP89TeXcTj&#10;MV5/9wOGRkZZ3dHGyrZmKr/wJAVXi2EcPnaac5ev0dHeyv49O0kmEnhKUV5WYu6lko72Fg5+eJy5&#10;hQWkEDiRCMMj45SXlfLCgce5MTB8z3MJ9PR0pFOUu3cny2azzMzO0bmylebGek6cPs+DD2xkaGSc&#10;6dk5dmzdyJkLVxifmKQ0ncKytQJBNpOjrqaKnds20XW9n7KSEqLRCDOz8+TyBfK5AhvXreL0uUtM&#10;zc7S3XuDhvoa9uzagVtw+c1bhxibmKKttYktG9aysrVZ538JPhyqlQAAIABJREFUwY9feZ3eG4M8&#10;uG0TWzasMTl8UF1VwcjYBG0tDdTVVPHuB8fIFfJEDLjvHxhm88Y1bN24hr6BoXvqs2gkwtpVK6ko&#10;L2VuboEPj5825UJgfn6Biclp9u95mM72tiJn/LPavfsY9+eR7Nm1A8/TzG5VZTn/4Xt/yy9fe4eN&#10;azv5k299hZqqyqIr2PeA8hTZXJ6vvPAMNwaG6brexwsH9vG9H71CNpfXrMrENI6j16bpmVnOX+pi&#10;0/rVVJSXAoJEPEY2myOfL1BSkmbLxrUMDo0wMgYTU9Ps2bWDdCrJxSvd9N64yYOLGZTrMTE5w/Ub&#10;g0jHoSSdYnJ6hv7BISamZhifmiIaibBx7aq7rLnFnt3w6DgffHSS8clpbLTHsdMXKEkn6ertJxaN&#10;4roeDfU17N21g0tXe2htqqe3f4jW5gYddry4xL5Hd/LW+x+xamUbzQ21OI6D40iqKsv54OgpTp+/&#10;xNdffo6//Juf8dLzT/HKb9/m5JkLPLPvUb8t6VSSLzz9+CePtNB5kBevdPOvv/sDCq7L0PAokUiE&#10;y13XmZiapry0BCkl0WiER3duIxaNcv7SNfY+8iC7d25jYHCY94+coP/mMJvWr/bFW/yRVjA7N8/4&#10;5DRT07P+xmx338DnnnMIUFqa5p//6bdoM2Gd4+OTxGIxFIKbI2O89PyTpNNJENBYX0PfwBBP7X0Y&#10;EJSWpFlcyjA1PUPHihZamxv5zh+8THNDLXPzC8zNzRONRG5b94QQtLc184//4Et8dOIsZy9cRSmP&#10;XD7P7NwiyUSCpsY6zahXVzA8Ns7M7HwRwALYuG4VHStaqCovx1OeeRfBxrWddPf0c+TEWaJnIkjp&#10;0NJUf8ec5Xu1uz3tkTDI+bgv3mr3s1Fzr8fc2ra7/e6z2n2dz+RfFVA4SuEAjqdIeRBH4AlBVkJG&#10;Qt44exKQnt7Bt8+OFDpBWXgYRiMIwzKX8Yvv3sID+AyKdYzsOcPgy5JoQa0rK8QRcoQNZgjyWPyj&#10;i85l2RDPhskhUEriKEt9YdiloJssUxIo+hgWCqHDYix4EuGXmDDMlgUNWsHIM0munnWppe9Dm3lh&#10;gJcFExYgSZ2LIyUmrNH2rc4TsxPAgiDl92lwch8g+f0RckeV6TufjgrdjAUTfnuMXL0RBREmR80L&#10;7+SZ+WABUgCwAlAshPDDNIVwwPSjH0boM3hG1lzqHCsdLqkzuzT746GUVhBD4atP2tA/Db4M4CPI&#10;N7S37c8VA6ZFaJ7Y+WXFSqRRyNSCEwIPF+EWcAQIx0EKSUwZaG9QoBSCSEQQSzpEnAhetoCX94i4&#10;oqgsgSYnLdemcEJzOpj/Uve15+BE7j2cQghBwXW5eKWbV37zDo6UTM/OMT03z//z3R+AUqxf08EX&#10;bhG8CAP0iHS4MThMwXVpb20iHtPiAQ9sWodSirKSErZvXU+h4JLcnqC1uYHKijJamuqJx2KUlZUS&#10;i0UpKy3xz3/8zAX27HqQ6ZlZksk4zQ1WrEFf95tf/SKpRIK1ne3kCwUymSwHD59gcXGJR3duY+2q&#10;dv7Fn/4jStKf3iF1HIfVHSv4s+98HZQObfrrn7zKiwf2saZjhQ7vMRsdsWjUX9NSyTiZbJZTZy9x&#10;vXeAWDzG0MgYK1oaSaeSLCwtFV3Hhqg6Ujtv+YJLoaABV8SEhty4OczBD4+zorWJLRvX0nvjJvW1&#10;1axf00EiEef0+cvYHK+SdKoo9n96do4D+x9lKZOhrLRUh/CYsVZK8cff/DKpVJIVLY0UPI/p6Tne&#10;fv8IuWyOJx9/hE3rVrOyteWe2CvQz4frqU8EV7oPIOJIKspLqSwvI51OsaaznVy+gBCSlsZ6evsH&#10;CUUW6+PM+hONRkinkiTjcUrSSaLRKHMLC4DiwpUuTp+/zNaNa2lva+bi5W7aWpp0LpNSHDlxxg/B&#10;Ky8roczs7i9lsniey/7HHmZ6ZpaK8lKqKsr9vmttbuDbX/sSiUSMzpWteEoxeHOUt98/QntrE088&#10;upOVrU1kc3fO37qbOY6kvraa2ppKJqdmuNrT5y9INdVVPPfkHtauaif6OThN92Whd+e9mqe0omb/&#10;wCgXr3Tz1qGjXO26zt5HdlBfW8OFy13EojG2bFxDOpX01xTPRHFIKSlJJ0kmE8TjMSrLy0zIvaC5&#10;qZ6Xnn+Smdk50ukU4xNTzM8v8sVnHqe0JM3k5DStLY1aTGZmjrcPHSWXy/HME49yvW+AspIS1q/u&#10;oKQkxdz8IotLS3hK0VBfw2O7tqMEZLN51nS0c2DfY9y4OczV7j7aWhrpWNFCXU0VhYJ7BxGG4ucm&#10;HovRUFdrcmv0++RqTx/lZZppSiQSKM+joqKMZCJO58o2nQeYy6I8RU1VFV86sB8ETExO8fxTe9jx&#10;wAYcR6/VP3/1Lbp6+/mjP3iZuppqXNejvraKr7zwDN//yatc6+nj9770LHU11Ugpi9bZu5lC4UjJ&#10;hjUdfO2lA8zNL3L4+GlSySRPPf4Il652c/FKj9lo85ianiWXyxtBEY833ztMb/8gjz68nReryjl5&#10;5iLf/f5PeXbfoyQScazqcEk6RVtLI+tXdwR+gRREo9GitILPw1LJJFs3rkVKyVsHj/BXP/olf/j7&#10;LxGNRshn86TiOkRTCD1mmUyW1qYGPKW4MTjM93/yK6LRKI/vfpCy0jQl6ZXMzS/w6zff58Tpi3zt&#10;pQPk8wW6evqZX1gkHo/R3FBHTXUlFZFS0ikdCorSIZharVUSiWihHTuPJqemuXClwMLCIqlUkpbG&#10;eirKS0km4qRSCRYWg/dJNBJhbmGRGzf1+9dxHPL5wl3zlj+t2QizO70B7onButsrRHzM538fx9zf&#10;XlGx3U8XS8+64/oEDlqu3PJSUU/iCEFeCFzHKJo51vE0jrASWi1NiJAzGNTJsm3TioIK32s1SEg7&#10;tAZeWEzgA7RAkc9SDdZlVgpc5fkqa7ZNPoCwsWkEoVc230n/rMwL3UpuS4Sj78cTxpEmqEnlwxXb&#10;bsOs+NlhCj+PyVMBf2ZfIjrx1XB+2nP2+wlCfWEdfQuowgV3fSbHntfBCzFHQoQK0FoFSNMXeo3T&#10;7VNCIAzbg/DQKh7CfKb5FuyYGlBl2yZt3+Eh0Xk8nlBIaYC1CphAPW7CnKu43xzH0ccrhedqDXIp&#10;rTMvjFyxYaFMfyAMuMfOLZsbFgoxNWPlEBSyDjpQTwsc4S8q4SfH/uSJ4B92BknloKSL8jLgFlBC&#10;4iSTRErKiKUSSCHJzC+QyyyAWyDiCSJCq2UJB5I1SSpa68kvLiByOTxX5zt5bsGAQwUuSE+hXFAF&#10;F9cNWDcNrjTz5XqKePr+HDDP9ZidmyeZTPDS8/v90ALX8zh/8Rqj45Pk8lpa2SpVuZ5LJKKV8cYm&#10;p+jq6acklSQRi/kyyMOj47zzwVHNLBQKVFWUMXBzmFffeI+lTJZkIk5jfS0vHthHIpHwQ2Qnpqa5&#10;0nWdJ/fu4sbAMB8ePUVlRTk1VRV+mzNLGcbGJ9H8r6S77wYfHjvNy88/SVNjPf0Dw0Qch/KyUs0a&#10;fwoTQhCLRqmurGBxaYnr/QM01dfy0AMbyecLnL5whZnZeQ7s1zvCc/ML/rEl6RRrO9vp7rvB0uQk&#10;D2/firD5A+Y58pQim88Rj8e0sxzazfDH21jHihbm5xeYmZ0nnyvgSInjOExNz3Kl+zoXL3fTsKdG&#10;Myj2WQAuXethfHKal57bz6GPTnLy3EWe2P2QDzQ9z2NmfoFREwYpheTQRyfp6h3gy194kqrKcnr7&#10;b5JKJqiqLP/0kwg045DNFYXIfHx/SyamZpiemaOyrJTqKp2Lc/laD4uLi4xNTFFfW22Am0s+75JI&#10;xIiZeaj8zQe78aDPu3XjWjLZrG6TAulIHCm4MTjMmQtX6RsY4uEdW3ype9t3h4+fIRaLcWD/Y/zi&#10;N2/7TrgN7fI8xcTUNAUTwiYQ/PqNgwgpeHb/ozhS0jdwk8qKe+s37VwJHCQRw0rYmaDz0GKfO7iy&#10;766/a5uamuHff+/HzC9k6Ortp7m+jueefIxkIsng8BhKKT48for/8b/9Izas6aRQUOTzBXL5AslE&#10;AvtYhLdibdsjjkMmk+HHv3iNr710gHQqiWNUAGdm53j93Q/58gtP09rUQHVlObu2b+bi1W4WFhe1&#10;U2vqHF7pvs7hY6dJpxLEY1qVMx6PEY1EyOXzXLjcxdGT57gxOMTg8Ci1NVW0NTexad0q9jyi17Bw&#10;x4ajHQDKy0p4cNvGIsDQNzhEY10Nu3c+QElKP5tC6vXn5vAoruvy6MPb6eu/Sdf1Pp56fBdTM7Oc&#10;OHuJl7/wJGtWtQNw8PAJpmdm+ed/+i1qKitYWFjCUyClQ1tzI3/8zS/z6zcOcvLsJQ7sf4x8vsDg&#10;0AgIQXtr013HTaDXipsjY7x3+Di5bJ6rXb3E4zEiEb2htrSURQAF1+Pm8CgDQyPMzs3T3TfA6pVt&#10;OI7k2OnzxGNR5ucXWd2xgurKCqZmZxECSlIpSkrSXL7Wy4UrPczNzVNeVkIuX2Bd58rPVQUR9HO2&#10;tJTlz/+/HzE4Msqf/dHX2L5lg1YsdSTZXB7Q8y2by1NWVoLrenx08iw/ffVNNqzp5Dvf2E9VpVZ1&#10;7Bu4yQ9//ls8z+PbX3+Rdas7GJ+Y4p1DR+m9cZOaqgqe2ruLmmrD0IbWd72eS1zXC/KOXRcQTEzP&#10;cPzMBfpuDNHcWM+B/Y8aRrbYCoUCb75/hJrqSr7x1S9QXVnOX/7Nzzlx5gKtzQ23sWD3Yh+HHe4p&#10;Bytsv0vH3Dt9f6drhJ72T3EyvWEeMEKO73JaZgsiyiWWF0RdgaskbtzBi0hT3NczjIFAetZJDjdD&#10;aCU0A+KEkWu3uTg2vypAU7fum4kAbCmddyQVYBKoPcBVEg+l87JE4EwHtx9ywEPX8BtpGRCMwpoH&#10;QrhGwU3o8D3/u4a+wITs+cyOAQEanfiKg/plYRT6zOl0eStpWBTP5GYF4M+ydT4BIkKgUyqkNHVe&#10;LPOFQDrCB2wQBpChuWH7JBTaBrpfgx4X5hPpt0sYROmzCbbLbLiasL9VGuhZYKL0vdooTCk186SP&#10;CVgprV6hEFKzBTaMzoYh2lAhWyPKvxdPhx4q9Lyw2D2YSiEReM/TANgqVljAKMJRonq8TEm0kI6K&#10;8LvGUQW8gousqqR63RpqV28gWlWPKE0jEjG8vEthcYH8WD9jVy4zdbEbubhERHqIiCCfWWRq4AYq&#10;U4AseIXQGmz6UaCFTewYWEZLj6lJphYgpUKKkJLWPZh+HiTlpSW+qhPoF+zY2CQTU9N2JlFRXkZJ&#10;SYpcLk9jfS3RaJQjx85QXlbCwzu2curcJX/2zM0vUFtdReeKVtat6aCxvhYpBZevXuejk2fZuX0z&#10;69d0UlqS8sGV53n86rV3qa+por21ifWrO/jzv/oxH504yxOPPuQ770dOnudq13WU0rl6w2OTOj7+&#10;5DkikUt4nkcqleSPv/kV0qkEk9MzVJSVfWIYpa6X5HFzeJzjZy7yh7//JaLRKI7jUF1ZzqEjJ1jd&#10;0caqlW1+583PL3JzeIxsPk8unyeby5PJZhkdm2R2foGoo52+tuYG8vk8mUyWirJSMiGlOmHC9CzL&#10;FItGWd2xgrMXrjI3v+DPCyklKNi7+0FWtDbqMFGz8TG/sMirr7/HxrWdtDY3cGD/Y/zlD39BfXU1&#10;WzetJRaLks8XeOfgR4yMTeh5IyRXu3vJZnMcPHwcKbT0fFtLI9/86guAYnJ6hurKits7KzyHlNLS&#10;6QuLRUD47v0M2Xyeaz39tLc08vzTe0km4mzfsp5oNGJk8vV8LkmnaG9t5nr/IG7Bpby0hMVMpuh8&#10;0iyoSkHCsAD9A0PMLyz44ySlBjDPPLGbqspy8vkCcaNeOTg0wgcfneCpx3ezorWJ/Xt28tu3DlFV&#10;WU57WwuOlMzOzvHrN95jfinj58WeNWGsb753BIHefNi5fQvP7NuN63rMLSxQWV72if0Beu7PzS8w&#10;Oj5JfU21324FLCwucb1vAOk4bAhJ3v992f3uh5eVpvnmV18gnU7y7/7yx+x6cIufgG932ftu3CSX&#10;187thrUdpNNJZmZmqa+rxnPd21thcmazuRxXevpwPY+mhjpujoz5a35NdSXNTfW88/5H/KOvvYjj&#10;ODTU1zC3sMjY+JTelMSGaQtWd7TR1tKoNwdDiqpLS0s8uHUjiURMK+I11iGlZPeDW9m5ffPtDLm/&#10;ERyYlJJ4rFgl1ZHS/33CiFsE51Bc7x9ESsnQ8BhlZZpxOnHmIi1N9bx/5CTbTc7sU3t3MbFpLQJd&#10;fgEBX/vSs4xPTNHaXM/41DTP7n/M3yxZzGR48+ARpJR85xsvf8Lo2dzkYDfZRp60NjVQV1tFXU2l&#10;bTKu69HaVE/Hilai0SiZbI5tbS20tzXx/pGTlKRTlJamGRgaxpEONdUVJJNxVrY1+1EUazpWkC8U&#10;2LCm01/rrZqrVVkM14mznzuO/ffd1/dCocC//ovvU1lRxv/yzX9KaWmaiKNFN2qqKrhwpYvtWzfg&#10;ui79g0M8+MBGrnRd5+e/fotvffWLrFvd4UcKDI2M8eNXXmdlWwtfeHoPqWSSSMShvraab//+i7hG&#10;kCdhWLFbQXc0FiWdSjG/sMT4xDTpZIKp6VlAsXXDWvbu2uHXgrPnuG10FCwsZKipKqe+ppqK8lIq&#10;ysvJ5rIUCu4dj/nMpu6RwVq2wKwvr8PtdNCag8Dq7dkCwnlMAcecR6zgIqMOkWQUEYvjOei8IaVw&#10;Cx6ucn0nWyJ02KDraRCmiRSz0IFUJgco7GX6rIJpo9KiElLZ/CxztLAhebq9mqlQuliwOYNVWwuf&#10;HWHBUhiFGSdeGpBmWRofJBmuTgaOuV/vyM+Zsr/Tvaoss6UESkvg+buwQmr0IYSjr2uarIUMvAAY&#10;hYCW/VtKDaiEJASyQvdR9HP43zLEDirbuT4Q1kcE/W9Bk2Ww9HgGhyvXAGWBEQhxNDixKNE4/9K2&#10;WUq/9oUGY4CnAatE4NjdZQOy7H3ZOzAEpxEYsWyYCg2u6W8TtqcdIgchFfG0g4wqcm4e1wPp6nmn&#10;dMIVVtTAUx6WAQ3CDLX8u0ceEnFaHniM2h3byXgwOTjI4qG3UEPD5JWLF3NI1NRQsm4jrfueoXO3&#10;w9AHR5m6eBQlF8h7DoVFCQUH5boaZJqwR9vrVspegyppRBfsi06raAqzsXG/5UKEGftMNsv0zCwR&#10;Ry+hnqcdRCuBLKVg1co2vxZWxHEQUrJyRQtrV7VTVVlOIKMPa1a1U1NVwaWrPRw/fZ5dO7ayfk0H&#10;1VUVlJamqawoo6oicD7zhQI/f/UtBm6O8tUXn6GmugopBC9/4Sn+6ge/QCnFvsd2kk4lObD/UZ7e&#10;u8sHzZe6evjtm+/zT779e6QScX8Txb4QD354gqGRMf7kW1/52BA2pRRjE5O88tu32bi2k6rKcoZG&#10;xpiZnePG4Agzs/P87NW3+Jd/9m2/85yIQ2lJmsryUn83uqqinFQywVJmCc/zSKd0favR8SmGR8do&#10;bqzTNZ1MIdnJ6UlGxsaZX1gibl6oZy9e5XLXdWprqsyUFlRXlrN3t1ZitAIAWzetY2kpw/d+9EsS&#10;8TgPbdtESUmadDrFgX2P8vPfvIWHYtumdcTjMX7/5QP+rqkQgldff4+pmVm+9qUDmh0CUx8KXFfx&#10;41+8RkNdDS89/+Rd+831PCamZhCST8XgKLSTuXFtJ08/sZt0Kkkul6e8rJRHH97OipZGPjx2GqUU&#10;NVWVRKNR+gaGEAKqqiqYsdLUUnJzZJTpmTlKUknisSgoOHH6AouZjN7FNQC0tamexroaFhYX+emr&#10;b7Jn1w7WrlrJ4NAI3/3+z1jd2c76NR3EY1G2blrHwM0RvvejX/LNr36RjhUtVFdV8p1vfNnPfxBC&#10;8P/+xx+wcd0qHt25zVc8s2zTwuIS//Yvf8j+Pbt4ePvmu/ZFLpfnwpUujpw4y8DgMOMTUzywMRAg&#10;iDgOS5ks167rPLzPDrCK3oB/pxaJRGhurEMIQSQiWVxaIpvL4noRvykFs3MP8NTjj/DB0VMkE3Hq&#10;aqrJ5vL+GpzJ5Dh05AQzM/PEEzFGx3RO5/NP7tGMFPjvgYqyUtatWsmvXn+Pnr4bdLa3MTQyzodH&#10;T7F+jXaUFVBSkmLb5vVs3biOY6fP88bBw7x4YB9KKQZvjtDV28/M7DyxWJTOlW0671RKbgwOE41G&#10;eHjHVpJ3WHg/qWftu/FOoVyeUnSsaGHvIw/S03uDvoEhZmbneePdD/lnf/INfv3GQd45dJQnH3+E&#10;VDLB//HDV3juqT0UCgV6egd48cA+/tWff49vffUF+m8M8cvz7/A//NkfApo1+uoLT39iC7X4TRvf&#10;+eaX6VjRyvjEJMl4nGQywbP7HgUBk9MznDp/mbLSEj+6YXJ6joWlLirLSknEYzQ31tHe2szFqz0+&#10;gzc+OUMyGSdfcDly4izrVq2ksb6W3j5dluPU2UvMzMxTkk5RVlbCv/nuD2isr+XZfbvJ5fL86+/+&#10;gKefeISHHtjExSvd/O0vX+c733iZlStaPnYD7Wp3L28ePMxLzz/Jr15/F9f1qKws5/kn9/D8k3v4&#10;99/7WyKOw42hEQSCTetW8Rd//VNGx6e4cKWbc5euEY9G2bxhDUOjYxw5dpry0jQ/+/VbSCFoa27k&#10;0Ye33bVOmee55PN5f1Ows72Vk2cv8r0fvUJDXQ3dvf08+vA2GuqqiUTu/I4quC75gg4BjEQcNq9f&#10;xWvvfMDM7LwJHb/EC888XvRevR/7uNlxT4WG7/T578oxn8Ws43ovJ7f+tgd4uBSEwPHFKaxDp/zC&#10;wxKF54LjFlAFl1jUIRaP4CYkXhRiUQdEBEc5RJFG6U7hKddHEcI66kqHJxoEg0CHqAmMg6ksi6LD&#10;aZTWbPfBjhI218uEMyqJpwzYQqGkFrVwpSqqpeXfm8Ao4Yki8GKSnQJ2ywRLehhpdCX93XcbqieF&#10;KV4sNTzRQEGCYW08EwanGSvLyASAz9bv0QDSCe5ZBZDRvkwssHIiOuysmJUzc0HhC3MUjbd5GQUh&#10;oRZk2u/dGtZomSbDynmhfCsCdsmG7SkrAChtAWYvyJcyO1B2/BxP9xsGsDpCGMbMjIdlmrCMkgba&#10;vlqf0Ayb8ttvkIkjETGdU+dmwYlCSalDNCZZyDp4LlBQ4Al/XltWoCjwVZlMPeXgui7Jhhba9z5N&#10;JJHk+pFDOE6MtrWrGS6JMrU4iyrkKCQdSps6qa4ope+3vyFWU0XHEw9TvbGZ3kNv4C1O64TRGBCN&#10;mDBIM39MX0fsvAttRih039sG27FQ7n3uMwtdP+Xw8TP0Dw5ruXZzjemZOTo72pBCsLiU4eDh45w+&#10;d5nHdm2nUHC52t3LpvWrSMTjvH/4JNf7BmiorcbzdJ2r9w+foKKslAc2r+PStR5+9cZ7jE1MMjw8&#10;zrXuPsrKStm1YwsdbS386vV3mZmf5ytffJrO9lY/X7G9rZl/9Psv8Fc//CXDo+P83ovPUF6mQyY8&#10;z+PytR5OnbmIEIKSVPKOdUSe3beb7/7Nz/ju93/KH3/rK36u062WyeY4cvwMb7//ERtWd3D81Hlc&#10;pShJJikvL6WyooyJqRlOnLnIutUrcV2PZCLB9q0bdEHkWJTxiSke2raJc5eucr1vkI4VLdgaOVe6&#10;rrNj6wY629uMgliaU+f+f/beLMiS4zrT/Nw9Iu6a+1JZ+16FqkItQGEjSHCBuImbKFK7eqZb3dOa&#10;B03bzJiN2cxYP/XLPIzN2DyMtabNWlJL3RK1tEiKEiFuEEmQIBYCKFSh9n3JPbMq97xLRLj7PLhH&#10;3JtZC6oAkBKlPLBEZd4b4eHh4RFxfv/P+c9ZjDZs37yJgf4etm5ez9jEFMfeOsvObZvZtnkDb548&#10;w4uvuPEtl4rcmp1jZGySIw/v49LVG/zXr32T7s5OPv+pn3NMoQ+fPXp4P8Y6kDR9c4Znn3mScsmN&#10;T6PR5NzFK5y5cJntWzZSrZRvC8tRCr7w6Y/yu3/wZwRhwGfukiDfbMacOX+Zgb7eXG76baYcc/ML&#10;vPrGSc5fuuYWnfKFJMHC0hJpqtm4fh1JmvLasZOMT07z8Q8/TX9vD3093ZSKBZKLV7DWhQVuWDdI&#10;X283p85d5PLVYZ567DAbhgZIkpRvfvdFzpy/TBAorg+PYXHO/0s/Ps5ff/N7HNy/m4996Gm6uzoR&#10;QhAGAT//0WdQSvEf/ugv+NVf+ARHDu6j4hmL2fl5Lly6zrXhUZ48eohqpbwiF8daS0e1zBc/8zH+&#10;4x9/mUIh4siBvXccC601i4tL7Ni6kWc/8ATfe/HHXgUsIE5T/uKvv0VHtcL45DSf//ln33Zsf7KW&#10;vTnvz7FYzTT82Ve/wfde/HFbVIXl9LlL/MYXPwXA8Ng4f/n17/Bv/tVvEEUhn/3Eh+nt6uLKlRG0&#10;MfR0d/Frv/jzVMolhkfG2bl1Mw/v282xt87w+vHTzM0vUioWEUKwYWiQo4f2Mze3yPzCEsdPnqPR&#10;jDl6+ADnLl3l6vUR/vBP/4ru7g6WlmqMjE9yeP9ewiDAGMuuHVtYN9iPkIIdWzfR09XBsbfOsWPX&#10;NoSA85eucWNkjL27tt/XWBgvGnFjZJyTZy/yiY+su4vSm+D02UvMzi1QbzYZGujn//7dP+SxwwfY&#10;v2cHXR1V/q9//4ds37qZ6yOjLC3XOLRvDyPjE/zFX32TL3zmowwN9vPKsbf4+Ief5sz5S3z929/n&#10;lz77caQU+bPz7a5bX083vd1dKKVc3pYQvPDS6ywv11GBYnRiknq9wTNPHeX8xau8/Ppx1g30c2Dv&#10;LsIw4OSZC5w4fYG+7i5ujE3w/iceIUlS5ucX6Oyocub8ZXq7Oxns7+XkmQu5DPzHPvw0X33uea4N&#10;j3Fo/24eObiPzo4qkc/tfeqxQ2wYGnAlH/p7efqJR+jq6li9unybdVar/Itf+0Wy+SsVeZjwB9/3&#10;GOVSkZNnL7JhaIBf//zP09fTzfufOMJmXytPZgugUrJFNVi9AAAgAElEQVR14wa+8JmPufV52z7P&#10;79wHx5Juo6NazZ8xu7Zv5je++GleP+7Ud7/wmY9xaP+eexZWfuzIAZI0pauz6vr99GP09/Xw1ukL&#10;xEnCP//Vz7F/z67bWdF3Yne6zQWIWiO17dtwh+3u9f0/hH2yc8tCyR7ELKBTS6It1XLgQ4zeZh9r&#10;0fU6//nAQW5eu0JKSwQuaONvjHVAJWcQhHPDAwshEHq5aBtJTCHEBhJlIRTSSZz7kDghrK/p5IUi&#10;fLifC/1zEK8VI9diVWzmUHr2IlsAMh6wGFxomvYMl7GirZ4XaM+wWM9+2SwGT3iuJo8Fc6yT9KyB&#10;Ek65TeUMjEBikEIhpSCQwtP+mZBFW/iewN2YSraYFqFbjJHInGbPTAiV98mSAS3/n8lqXokWw6ME&#10;MmiFCWZhfH7APPDwuVdtHFWLFWq/k9qddOG/dR3J2Tna2jYWo92/LrxCYI3MQxt99hZCaX9KAqfs&#10;1wJGWIFqY6psduhscFZOVH9OfvVP20ywLz+TvAEDKgrp3tqHkJbpqxMQG5SyYLUrGi0lVgkXYmiz&#10;w9nWQIoW5ymsxBgorV/H5g99lPrCElPHXqK2PMvQwcfp3byVxtItmtPTmEaKDAMGHnmYudlZJl/9&#10;EUl9GdHTy74PfwxpQ66/8Dx2YRqR12TLZPLzgE0ntpJdC6M9qPTz1iv5GWuwqWHo2c9y+P/8Ax7U&#10;0lQzMj7B6PgUB/ftXlE407E3Sxzcvwedaq4Nu9CV3Tu2kCQpC0vLlIoFpm7O8MaJ0/R0d3H08H56&#10;u7tYWFzCGEupVEBJydjENNO3ZvIXUjaf168bwBjDyPikTx7v8/dN69obY7g1O8f1G2Psf2hnDhK0&#10;MXzjOz/kxugYzzx1lH17d94RPFlrWa7XefnHx/nQ+58guguLpY1hbm6B6VuzVEpFSqUixWIhfxHH&#10;cczw6ARRGLJl83quXh9haanG448eJE5SJqamaTZj+nt7eP34aZZrdZ48eojB/h6uj4xTrzfYvWMr&#10;YeicOGsN5y5exRhXaDgKQ6SUjI5PMTYxxZaNQ6wb7OfW7Bxnzl9hZm4+e6OzbfMGdu/YyvDIBAtL&#10;S+zctpme7s7basekqQt5WV6us2fn1jwsbmm5xte+8V1qtTqf+LkPsGn9utv2ze6zyWlXPyirY7ba&#10;4jjh0pXrFEtFdmzd9LZzbmm5xsUr12k0mmzauH7FSr4Alms1ZmbnGRrsZ8PQINeHxxDSrfpmSqDN&#10;OObshStUykV2bd+C8AtY5y9fY3m5zs5tm+nqrDIyPsn5i1dZWq55YKXYt3sHWzau560zF4jCkO1b&#10;HcBcLeyRJIk7hk/Gz1QFxyam+Nvv/IBCMeJzn/gInR3V2/bNlCgvXr5GM0458vCdAVYWXol1Mtrn&#10;L12jo1pi6+aN3Bge4+TZi1gLmzas4/CBPTnD+aCWakszdiVCwkDct19hcUxmmlqKBeX3ffBl4Rd+&#10;9Bp9fT1s3jiUF5tHwA9eep1HDz3E+nWDXLp6g/mFRR45uB8pnZId1nLpyg2mZ2Z532OHnbMrff6K&#10;fya+dfYil6/c4KE92zl0YK9TPTUWrV2+3FKt7hZ0Oqrs2bmV5VqdC5evMzw6lj+P+nt72LdnBz3d&#10;nfk1Mcb48VLMzS8yMjbpQuMG+kiShEC1lOOMMXzpL59jw/pB3v/EI/l9lo+jtbx58iznL12lq7OD&#10;Jx49SG93922sy+WrN5hfXGbH1k2EYcDSco3T5y7yxKOHqJRLHpRepq+3i7mFRSqlEls2rafRbPLD&#10;l9/gQ+9/nKnpGW7OzHH4wB5uzcwxv7jUCmt+B2atZermDCdOnWd2fsExkkqxfetGtmxcz+jEFMYY&#10;Nm8colouM31rhms3xiiVinR1Vhkbn6K7q5PdO7YwdXOGUrFIVAjz0givHTvJlk3refTQfirlErNz&#10;CxQ9Y2aMBiHy0PU01UjlUwys9SGCK/Mp72TGGNJUZ0umAPliCnjhCT9fQh+unc2BfHsESsl8+/a2&#10;shDkO/Uhe44aa/PonBV9sjZXhbzXObjIA5u/j9xnOn9+ZIq/7+T+zGy5nmINqMCrg69qagXAejt7&#10;JyzS3fZ5O8D0IPu8K4Bl3QMxMZZq6f4BVlqv80cHHmbm2lUSIM0dcHJNCWuzulOtfkocbZjh99AK&#10;Av8QRAkIBTYU2MCt0Cu8Cp9yN43CheApIQikJMhyi3J2pbUykCc3m7bf2xiH3Oe2oJEYI0gtaOO4&#10;nxTHalnbqiWUObPuJe8UEG3+40CWImMXsvhpd2oSB3IC5c9Nitw5FB5gKV8gWEiBkE78QapWLpXN&#10;ZO/9QbM8LadJIfNxzqBRVtQ2z8UR5IyZUq6WV1Z7y22fScu3t7QaYNE2Gdtnpdsfi8uL8oDLauNY&#10;E2Mw2npnEYRVuQMkyfKi3L452+KFLtoBthStYsv5tTQmB9MZs4kHZpmM8WoQZq1pAS5jCKsFunav&#10;I7EJs5ensItpVnwKMBR6OgiKJWoz8xAn+XVqFRozXirfIqxE9fWz9YOfRKmIkRM/YmHiIlIp1h94&#10;ksrmTZjaAiVZpGPzNmo3b5HWmwgZMDt6lunh84RCUOgYYNP7P0m8tMj4D57DLC/kYDob/uyMpGmr&#10;z2UMGBcqiJ+3xjhRF6UtA89+moP/x+/f9R6/m7XfQ3dzsLPPs0KZWX2ozIy1GK1pV0PKLGcq7xIS&#10;k79sVr187tRPY8yKl4u1dsULajUwa98XyOPa73WM1r9toaltx8tCxKQQuXS9UmrF+blcLsc2K6n8&#10;SmeW1ydWtudDZ9r77hy7LCxU5M56JpqD8OUapPD7r3zprrbMUWw/hrWWJHUFSjMlq3uPnblrbZXs&#10;PLK58XaWXUs3VnfavpVbJvw4C1a2nbfR5nwBuVOejUdWUiCfe/4Znn2HECuuyWrTxueAiJXXJxO7&#10;yMJ57uVYZfPzfselneF359MKrX6nzlM7wAqClcq49+6TB1g6A1iSd9KFNNV3vD+zfBWx6n5qHd/m&#10;UQV3WzzJ1OykvPMzoH1c89p2fnGqdT/dPr7t97Orebmyjew7cHPim3/3IgP9PRw+8NBtbHDWB21c&#10;JEd2jqv72n6vtsbIrHC+szlp87XAlrPd/ixqXyx7t0V7MzDT/gyXsu0ZJFrPNmOMv2fdMzT7PXuW&#10;rVw8cyI2Usj8HFcsuLwLsLBmD24ZwAqC7Jm38vsA7h84tX//D2mf92xKZU7ofTaYuZ7eb3fCEe1N&#10;iJV+bXaTGyCLJnRpMYaStkQahFZYrdCBdQWCA1fTR9qsfbcaESAwwpJKxxQFUnknghYb5BXBRPZS&#10;zI7vb2gnTGEdqMKFfYXGkmrjQwYlRki0cfGsLWl3j2hEBjcyeNfG2HiwoJ1v7sL+hNvKWJuHCmKt&#10;X011rcgWWsrwAdYKtwqTryTaXP0wK9brxtE/jKRq9UmIVr0tMn2lFmMmlWjlZonsPHzIW07xtD/k&#10;3mZGWp/pInz4onUJtSYlrz9W6u8iTlP0XA3lGbKCFhglWJYWZVVeK0ziQKfK63c5xg/AGoGLOcze&#10;HCYrLtZaK8riSv2vuZKJdXDfSsdZGlK0B8MWiQgVIrKoagFVCND1OpXeClGlgk00Nk4ciMzUKQVY&#10;2TqujSTrnjiKqBYodvSz91NfYOLMKxQ7SoSkzJx/nbmbCwwc/AA9W/YzdumrzJx5nc6OTgYO7CcY&#10;6mLmyjB9Dx0hkVDdvp3C+AGWzr6OTZseoPowUz9OVrbmu6d63e/WsW4qUE55zBjkXeK2387utfK3&#10;+vN2Rb7279QqJ/dBjpHZ273+7wbe7kcWPDv23WLbV293r/FQq867/bv2/VYf605tunO6/fPVzlC2&#10;Ynwnux+VxDs5V0KI+6qX0hq7uwOEu53Hvbe/F+BYNe/uOna3t7F6Hkr/DLiT3Q/oudO8llISRW/v&#10;sN7PvF+9fXufMmf+vbVVpUruq2Pv/qh3mz/t98ldr/M9xjAbs3tdyzuNa6bceC9rv3ZSiBWJrquv&#10;qxCCjz/7/hxIvJN+wp3v1dVjd7dn7d3A/nsBUoQQd72Gq+99KeWKkW3//U7vlIwVuts2a/bTNbvi&#10;t5XX4oFysFY29g9vn3dl983jORNAMQ/ZcyF/iWBFztLdmjQ4X7gtCi13iUOtCQwETTBK0owgCfFU&#10;lnQhe8L71Nb51wBWayTZipFjh7J6UEo6oOFWqyRBJorg6Bu0wasJupWcNElJtMnl5lMLWvvaTQIv&#10;jGGxVqE9iLHWsRitxRQHUHIwgMdkMlPXc2CGLIRQGB+2Z2kpethc4MEHxSFReZhfa7kgq49lMmjk&#10;aocJ0VJHtCLPictXWKVohSMq6WtkeYBk2+Wg24+Vnw2t2Sja/jGuULRwD1drwSoc0kwtgYSuoX4a&#10;acKiTpGeOk+1RRQiipWIeL4G1suTeqwgRejCIo0DUsY6NkwIJ/pgEp/87OeDEE5SPFen9N0WnvFD&#10;SqQKUG7yoAqSjt5OZCFEpJagFCKFoNjXQaFSojG/gCwHiKolGDCkiUISEliLzHLtsutqobJtJ50b&#10;+6nPjRBt7SNY18/66hPMnjvO9I0LDBw4yObN+yhWNhFWO+nespGhPVuYuXaVy8d/xPqdB9j76V+h&#10;dnOCqR8/z1LfBrYeeYQLczdI5ieRNvDo3eY1w9rZLGFaqk4uNNOFSoRh5K57YU3fZ83WbM3eY1vh&#10;oDzgiu0/IbvXIsiardnPjmVO/J0teBBc8YAY5B3v89O21mr/g+0XIKkiSYEmhkzsMYtMyc07yTkp&#10;0nZR2muTOILBdUJaCFPrmI0YdOCAVhIKTKaAl8nt4sMr8nAWL8/p6TVtpStkq0Fg8lhRIZ3qUuDo&#10;IwfOlIAgxAjhBTy8VIW1aKvRxpAaQyxCUqtIPcNEFg5nnQJMLu3tz9blFykUAlIF2qn+mdiSWlfM&#10;VqlWQWBwK0BBKURUDEJlLJNFKAcO8xDDrPSU8OIKeC0l4Qo+Zys8qZVoa3LQJchAlgCFa185tQmT&#10;nZcFWB1qkl219gkkcmlU4Qvaags21aCcwy+058cKEqskYaVEYC0mVJg4ISiXKA/2UQtvouPEhQD4&#10;fC2MCw8wWRgginIhIghC4jimsVRzfWzLtRPWIrRZ0fesDpYMAsLOMsJaklqNcLCTSncFazRhw1Dq&#10;ihBFRdRZQJUjirKMqpQQXR1EpQ7U/DKiVkeKGKSbe0IqpApRQcjQtm2ki0vMXT5LfX6GnocOUBu7&#10;ycxbb6EkVDc9wvpnv4Dq7GJxYpjKze107zxAMHiexvBFbp55k0pHP41b89SW51hevknfocN079rO&#10;/LUlQoosL9ZdbpVnJ5WL/0AYS2ugsoLcEQhJEIQUOirYaO3lvmZrtmZvZ+8GHK0BqzVbs3/c1iIQ&#10;7pRclC/jvpNHwd/HPj9xJus+G7ZAHUuEoIQiIEVaF1efCusIC1opLrkCIFm+TetzcNtmuVWZE6wQ&#10;KAtKg9AWExsSZUkCQRoIdCghdAWTrLSkwuc5kcOdPOa4FSbov/egT2vtmBG3E1rSllcjvay5C9FD&#10;qLbtQizSiWEYm4fyGRyTp41xMc6xgqal0ahTqzXQscbGGlLj+mpBWVcA1YVzkYedSSEJA0mhIgi7&#10;ilQGuok6CohAY2WKVhoTCIIwIPCJlo6Z8iPtQWJ2CxggxeWXGWvzm8LJfVtkKFCBREhaQhc+FFI4&#10;BLoiPyEDWQ4uu4GRopVcik0JtCTUEcbHiIalEFGNKDUjRJfLy6p0VzAmxaiIoLuDalqnWW+462os&#10;VluSpsYkBqwmUKELZxQKAolAIcthjtIzts9iUdaFAEokSiqsUshCRKlUolAq0WwsIwqGYlcFE4AQ&#10;kkgVMHSAVUSlAkQCUemi0NENlQ5CERJ3zZIuL1Mod2HiZeL5adIkRZYKVNetJ+ztYP7KORrLs4hq&#10;mcb0FMsjwxiR0LV1N5WhDQgJ81Oj6HQJWwwIIkXP0ACjg32o5BZj10+wafdjRHMV9MJN5seu0r15&#10;B3PTN0gbKTYKEDaD79bRwsK4hQZjwWowAmE1obDIzj6EUYR9VeR7XJhxzdZszf7x2QOHB962orwG&#10;stZszf5x291Z6ndUaPhugOde4OdB9ml/Rok7fJb9Le7w+0/TFqymgaZDKiIiQiwlLFpYEgwNDA1s&#10;DrTy8DQgNIIQQSAkKjsLYUmsRaFRSMJMghoHjjJWy6aWRFqaKiUOLDoKMCWnQpgJbEjhGB4HpPyR&#10;hQcAopVg3a584oggC1JiFCANRrh6S8YzZipw4CsUAkGAEhJjDQKJ0YZarUmynNKo1akvN9ENQ5pa&#10;TGp8bQfrgaYDAFkulsZ9n4d6CYHAkKSWWsPCbIPidJ3ewU46hzoI+oqIssUqg5GCREqEdDk2QRDk&#10;CaSZJD04rBRkIZZkTI8DdTaTig/wCobCf9UCWFIGWKTPR7tDXlYGWk2K1BZhQpSIkKJEkmjCUkTU&#10;USLBEhYkobIYNKpSRCQGVJm0VKDQ10+8vEDcaCCRhFEBbWsUpSI0BRqNpqtvphQIRWAMplmAjLXM&#10;RAcgF/8QQhEVyoRdHYhqGbTFxgmqIYgqClEqIZT2whmGqFykWOpC6JhGvIiVgjRSrig2KbKoiCrd&#10;BKV+jO5HDWzBNhMwdQobNhJHZRo2hmqZ6tBGkjQmiCTldetQG3dg+vsxIiGyIGSVhVhTvzXhxrSr&#10;m6jeSZymUBH07tjG/I2U2twE6x9+mEJPH3p+nkIQujklslIFrg4MNnR3ja9PVyxVicodhB3dNGZm&#10;MKElLK+FCK7Zmq3Zva091P++fYzsvbJma7Zm//jtHrd6sDqC8H4fCz+NcME7RTfeO+LxnVkGeh7U&#10;EmFZAlIbU0Q5BxhJZKFsFWVpaApLbA3ay6JnIhiZ0y+xFFFEiLxqlPJhbjEpGoFCoXDy59K6kKfI&#10;GELjwgfjekpzWRNHTlyAYgSFAKsctJJC5WDDCF+0WHro5nOzpBQUrHAKh0qiA0sqNEiLyKTajSVp&#10;utyftNGkubxIHKfUG5pmaoiTlGaqSbVXHfTjZHEpZC3+DFpMmqsYZloYxSs22Rz4pAJCLGaxQb0W&#10;E8zVoTsiWl+hY0svUTFCSzDKhT2S51TJtpwvH07p89Hy6D9fMNdkEkNSrpCjdADL84K+kFZebyn7&#10;vi3I02IRxl1DKUsEQcmJQTQbhEGIDQNQAi0g8DKyBo2KFEqV0aUQVegiLHSCTogKPVi9BI0axSAi&#10;DAP08hJau4BUKSWFQois1UmTFCUFKgjRVvqE9QARBCgVYhGoYoGmcGMbao0oQ6TLWBlCWvc8HwRC&#10;gYxAQaBKYExG5iEtoATWxCRLU9ggRJT6Ccs9mKVbyEIFGZUpV3qw6wLC7iHixWl0NcAEHfTs2Efn&#10;uk0s3JygXKxirAJjaS7XGdi5h+rgFhaXbiKSGoleJtqwGRZniU1KEgaEXWUCDBbF8tIiQhofnhih&#10;Uze3C1FEFIaYNCUqd0FQIjGaqK8ToesUOt6+vsmardmardkDWe5M/CwkR6zZmq3ZuzVh7648/kDL&#10;uHdrRNzj+5/GPu92reidPgpD3ABaIWhYQ2osEZKiUBSFIhCSUIAIBFhLYjSJNiTWOEAgLIk1LrQQ&#10;QSAUBRkQWZGzWsZLzxprSIVwLJJ0RY2lcQ69xBBpi6xDs54QLybExSZBOaJQKiBDD28sORMmrAHt&#10;lOoMTn0utriCyS4+D2sMaZqQNDU2tYjEoFNNbNy5xsaQAjHQFJDQEvkwPkpr9Rg7lixjzVbX2PLn&#10;jAd6uHpfCghw6kjWSOKlhGpYoHlpgYUrM/TtHKRrz3pkdwUjrJeVc6yTyABVJmjhwZY7vIN51gNX&#10;KwQIBZ4NE6KlUJgnegnh5M2tydktfCih9aGdoVTIMEDIgpORJSYsJGSFhwPpz0gEIC0maSKsdYBG&#10;SGKhEKWASAqULCFFH6pssbZGQoNCVMJi0Tp1OUgKolKZyHj1pqBIKkIH/Yx2yoBWY7UmsTEuZNAV&#10;NzZB6JLfpEQEjr0SuOLTsXFFj1ERQrilAWsSFypqAeul4tNlbK1OKjsRaYw03VgbOmBX6Sao9qPT&#10;Oqa5gAnKmKiKlSELczPU9AjVrm4qGzdQ2bCXqKOC6lsHU30EdUEcN5C9ZWylk4IQUK1iymUatSWC&#10;QFIodPnw14hIVTyzGINXqpSUSJMmIl4CGWCVU6y071BFcM3WbM3+admDLsCucVdrtmb/dOxeUjbv&#10;KETwH9o+70WIYF5B5wEaixBEuLyVLDwsBRo4MKSkcKWtpKAQFigJiRaWGO3qWWjjhA98Un5WDC6R&#10;PpwNSWQVgVfX0whXn0oYmsKQ4n50lgGUKacZgaknxM0EvVBz9aUMBEYQZPgDiKQrYSh8LQmtBLF0&#10;yChMQVmQVlDwrxiLIEFghMRYnRdA9JIWDoyAL1a8ErhqHFDKs5dsK3SvfdgtLkTQsV4OaAYOLxEg&#10;KVhBmFhEbBjs72WpUWPmzREWL07RvX8rvfu3I9f3kobSHVQIrK/TJNqZqYzVQnrgI912Tiw+Z7yy&#10;3LX2GltZLSmR18xy9cIEDrySf5bJyRtaGoa4tqzK55woZCMokEhQMi9XbRBopBPKoIql4KTscZL2&#10;WcFoF9Eo0Na6wtFGAAapAhf+iMFK7cAhWY5ZK1cLr8LoNPX9uSB8HpPfz2agWbr6ZgQIodB6Gc0C&#10;RsSYoADVHkShgil0IKIAVe5FNZtEjRphtY+eTVspVDoZ2LqHW5dOsjRyjc6hbRQq3cgoonvLHpYm&#10;hgllhXK5n7DQTdAxiNUSEXQjy5uQZTz7qgCFMYomTv0REfpFBLBSoZRFWu0UM6UDnbrcdX83+Zqt&#10;2Zqt2QPYGne1Zmu2ZtgHZLDubj+JwL2fnuV46gHAlQCKKiDyjnWmtmeEJRYQ4wBIAASpIbWaQApk&#10;qAgKAQVVILACkVqsdsUdpQGlDVI7hsRYS1MaEi9pngoXlhgbTWJSB8Tw4hjW5RcpIVFWEOBFLoz7&#10;KWhB0TqnWVnHUkltPaPkcpbQrtCwtBC05UqBq5PVlBmAMqQItPXgyofbZWGBWS3blcFz5P/3Ln5e&#10;kikDfCuuBZlUgxtXbV3IYipccebG/CJpktA50EP/9k3UF5aonRihefkWnds20rFnK3ZDH7YYIRKb&#10;98kKgVW+ZpIHTtZlnmF9rSljyOtJCWE9AHNVzV3hX5n31GJbISHCKS1irZOJz87Eijy8Lss+a52t&#10;oBVMmQGElWH8TjLeAaGMVRNZ4Ua8uEPbyCnraqNlo+x+3JGlyNi2XL+DFsHtQiCtbV0fgZfJz/ue&#10;XWCB9tS4CEoEMnDgRQcQlJGlLmTPBgIDIlJQilDLVao9AxQ6OhAqpNK3iWrvRuJbI8xOjlFMYxRl&#10;Bga2slAdotHQyM4BtFTIcidQItCKoq0gwn5/zfCFIbMATYub/f5L4a6rFRJrjfuRYGWJNVuzNVuz&#10;e1tLDGnN1mzN1my13evJ8EB1sFZ/b9uKt644mK8Pdbc2H/Q497PPu7cHB4iRhbJQGBmQGu0L9mbO&#10;vKNhEosLDbSgjEQ0ElRdEagQFSlEIAlDRSClL54KgXaMVmwNTa1pak1DpzTSFG2NY8WEJPAgROJC&#10;w5QP71MZuMLm6oUSl3+VO52ebVFk+UgCaS1SO+8+8WPi5NotGk2MIEYTW0uMoQnEOBGPjLUyHjNk&#10;+GI1i6VF2/zJ8nnats9M+vC71NrckXYMoXCKfNpQW6yjUkNlfS9d/Z0EgwZlLOn0BNPjw9hygWio&#10;j2h9P7azhAlUmxNOzmB5iYQWc4UHURnLlYcUZsAqG0OwIpMvaZ+jou28hf+kLZzQb736Hsn2zIT7&#10;HQCS+TeivS24bdByYCvw4Y5t33uQLvPzXtkfCx50tYClP808FLJ1Dm299/XKnCS+a6S2UINSD6WB&#10;bW5OyxQZlbGijA3KIEOMNsTGYHVKXE9IEtCpxRFlIdgCqSlgi52o0DK4aQdLTYVJJfFSjE79DBUi&#10;qyGdw9QV42UdvBR4cIUTAknTn90FoTVbszX76dm78znei/iaNVuzNfuZM/EuGKwk0Vy8Nsrw+JRX&#10;fHOuYaAkG9b1sWvbxp+NQnKizcFt93/vY0dlLMIaB1SkzF1VnaML72or5cCNcJST9jWNAmNAGdIg&#10;JQgVKlAkSiCUAxFxbEgSB6q0ABkEDgRZz1LggJUDUV6i3Gb/ulORwjFW2XZCOkc6xZAVUM/zjACs&#10;yTkVjUULjc6Dx5wzK/3xfDCdY8NotaVzVud2kJyFEQpuB2E+ywmFRQpIMCQZ++KPqTxGTLDUMCw2&#10;anRNGQZsJzISyEoB1VGgakNMo0Fy8Sq1yyMU1q0j3LoO213ChsqxGB7RSnepMLIdkOhW36wHXzkP&#10;l+W+tTFYnh10LJQDIFY4wJnVKsbm+CRflnC1ylbUbvfwzAFg284w2ZX73unVbdu388DQydZniyEZ&#10;LylyJspm7JR1nbRZX1dcmTbeLQeeNhscP9c9m7uwQHFgiCSI0Fohg5Byp8QsNejoGUQ0lrh55hXm&#10;J66xPD9LUotRSBqT1+jevIdyVyelShnT7KMYlgikZH7hFh2DQywvz6J1A4z0jKL1CwTSMYVZf0X7&#10;tfPDb8kXMUw7GluzNVuzNbujPZBTsMrWwNWardk/CbvLrb4CYD3IoyBJEy5eG2Fxqc6Gdb0YX8uo&#10;Vm/y5ulL1JsJB/dsQwUrQVY7E7VS6vre5n2+n8gj6522VwgCAqVIlc+9sRYpXT6OycUPsrybLF/H&#10;CR046XaLsBalBcZqROokx2O0q6OkjXNtpSvSG3rnW1iXlxTgRSsyFss79zIDV941l74LxpKv4Is8&#10;7Iuc5coq1FprXf0tf05WOpEMa324nhCkZCyWIfEsVsPn+iSQqyWu5GxYATKU/8n7K6CIRCFyAGVZ&#10;GT6oM4jgG1fWYpoxlfka3cKSztYIuivISkgQFSgEEaYWk1waoXlhGNPXAUM9MNgJ3WVEGKGMxCpI&#10;lOP9HPiz+RhaYTFC5ixaBnmsxyiG7NriQUrrersvSboAACAASURBVBuyAtArGaCV3J5o/Z2HAvrj&#10;tC1e3IZa2xCyFe2ttaT3XVfaWCfZOod2Xqx9jFsMmS9iLUTr0CLL98r64fuVA0yJaTaJZ2cIOjvQ&#10;2pA0IAgCiv3riNMG11/9WxZuThKWOwmrPUTlKjY1NGemGL5yjsLgBkoFS/dQFZ0uYVAIZSmrmPHJ&#10;K6TJPOjUzc32kErr2b7WULYBResWDzKqLm2wZmu2Zmv2dvZAPscKYvzdgLM1W7M1+5mxu9zmAdx/&#10;+N0KNsJawiBg367NPH30IVK34E+cJJy5eIPTF67RjGM2DQ04IJXth3P4yqUCXR0V1B0A1mrW4+36&#10;9q4eYasPcL9PU2G9ap5zLpUHCdo6niDB5KpyWZ6Ly68xOSByINM4ssQ4h1wjsFYjMXkeTeZ0O//Y&#10;KbdJ/3kWx5WpumUr9u5U3N9aGK/34ACdK4UlSDE+nLBVfHjlEDgwJ0wrdCxjtlIMMdaHCNq8gG/G&#10;NilaIVvGNxqw0pHPwhkDhAt39ExObK1TZfQb6nyfrK82Hz8NiFQznyRUKkXShWWKjZiouwzdJXRB&#10;QVeBqBIha03ShQXszXkoFVADXTDUh+mtYoshwtf7Mn4shJCebRM5mMp770FTBvpXTyfbzqLkZ9we&#10;Wrdqx/bN2q9hBtyy3z2gED50MSeiVjTYAkhZnzKQlJ1LfjhhPXxrtec+96IeLSTlx8Tnl624R8TK&#10;HyuYn7hGf8desAkiNoigA1UIac7Nszw5jU7qlLv6KFU6CGwBk2q0bVK7tUx84xLFbdtoGo0qBNSb&#10;DUqlTpKZYZq3boBOgDSnpPIoRZvBQ8/xWc81GneOeSyhtQj97gFWpnx5v4tE76S9+z1GS4VzJbi+&#10;+3ZtwHvVMd7u7wdp+93YO23vfvp7t3O8237vdEzu195Je+91H9rbvN92300f7rivbUs5EIL37sze&#10;qd2vd/QTOvrbjO9PYg7crf33+v5+r+xez7R7zaE8iuQ9vrbv/LmV7fOedmfNfsLW7i+vfk48UA5W&#10;q4kWGtHWog1o7VzRQAXs27UFIQRvnbnCxSsjrRa9PFycpqwf7OOZxw/SWS2vmJCr+/IgfXvX9gBL&#10;VRZYDhxrE/glc4eTREskwBoPLpzz2grny3KMDMbonA0xXmwh8CyPpf1lY12iPm3S4f77LPSpBV6c&#10;Ppy1GSARLqcG8gK8jmtw7KKQ2YMgW/oHa5xCHT6c0eIca20M2kDqiyKnntUCCD34y/tE6ycbVsc+&#10;ZeyQJMKpA0qgaS3LwlATJj+fDFy1xj3Ln2q12bQwHxt6qiGVYgkzW8OkDcdedBewhYA0kIjuMuVC&#10;hF1sQqqRU/PEtxaIO4rYvg7oqSJKEVJ6UQT/pDNCZFFyOcOVfZeHgeYwNRvFlYWUM+CRb9MGvu6E&#10;s3LLQNHqcRBt96EHXCtSsjLEnB9e5J/lYNrnjznw6OZopq644sXQ3odMnk/642fHblutFUKSzNVZ&#10;mqxQXL8BIRQCjW3MUiqFqC17qd28QX3iBvOjV5FWoaQkDRVRVycDvVuRYUic1FBNg0wtxYpi4uIF&#10;TH3J9UPo1iTDgskWFFpqiI7BcttoPxOtcSG2Vsf3GvX7MmstzTjGWiiXinf8Pk4S4ji54zNOCEEU&#10;hURhiBCCJE1JU00UBgRBQL3RBCxRFN1xIardFpeWicKIqBDe0WFYrtUJgwClFAuLi1SrFQKlSNKU&#10;peU6PV0deURBo9GkGSdUq2UHRqVkYWGRUqmYh31LqZBy5XG0MSwt1SgUIkrFwopxMMbQaMYYY+7s&#10;dPiFKaUUhShEKYU2hkajiZSSUqmANZY4SUnT1LHsflsppQsV9U01Gk201hQLhRURFLLN+VparlEs&#10;FgiDACEE9XqDJE2pVsqoVaHttXoDawylUgkh3N9aa6qV8spT8Od5pzW79j5kQjWuSLbbIE4Slms1&#10;ujs7/PmQ33dSCOI0oV5vUixGKKkQApIkJU4SSsWiX/xwbRuvCutX8EhSndfNy2zFvEsStDGEQUCz&#10;GWOspVgskKYaISAMAqSUrLY01dTqdcqlEsHqSBVrSdLUMdiJy5esVspekEZijGFhcZnurpX16CyQ&#10;pikLi0v09vbcdsy/D3sgn+O2jR/AqVhljWbs50Qnq4e//R5aWFwiikK0NiuigrLfi4UIpRTGuFqV&#10;d+z2qutsLRhjaMbuOVkqFknTlGYcEwYBURTlQCBJUrTWRFHohLn8HGq9egSFKCTw91rWtzhJkEIS&#10;BGrF+cRxQhy7NtrPNfOrpBCUSsW8r1pr5uYX6e7qRCmZj0mlUkFJ7ohYsufF4tISndXqewoYjTE0&#10;mzFCCkrFle8Fa60fxwRjLEpJClGENpokTgnDgDBcOU7NOCFN73zdMisWCreN45r9/VtwT+duldk7&#10;/Ia1pFrTaLacCCFgx+YhNgz2YdqTHYRz1i/fGGf61pxzPO7tXv707EG7YaEhLYvKIpR2J+2dPGMd&#10;k6VzJ9r9vz33SFgvZC4z4QH8Q8mFpGUhdopWqF9mrnhweyhg5j+7/SV5KSgP5nx2kDAIgXOMlAQl&#10;XKig9KxYjlycLqITBnBAyxrQ1mK0xXjQpbX2qhbuHK3JwhB9bkzb78KzL1mf3Xk4cYlEGGrWUEdT&#10;x0ndZ76b9MPXxkvQzgxl9bZq2tDQ0FMq01wyJHVQt5oECESHQAQWFQrCKER0SZJmDImhaEHECc2J&#10;GfTUHLJaQvZ0IMtFJ4ohnHiDaXtQt+dU+e6AH7F8eoj2KZWBD5m/bx2gptXeinsK2t5OeQurHbd2&#10;sJaBZtq/88fJWTAhWtsKAO2AextYQniFRc+E2HYkK0QOsESO0rJ/W2Avg/gLV86jAkHYM0hSqyFM&#10;TFNFpImhWirR07WHBorYQKgKhFajRUISz1JUVarFMosLy/R0d3Pz4glqN8f9vHLgKoerogXvsvw4&#10;N1r+HvN/Wr8SYa3A6nu/sO5k2ctRawMCarUGJ06fY35xiY996GmUf+EL6RaakjThxKnznDh9Pn/x&#10;t19aYy2H9u3hyMGHUFJx+eowF69cZ8/ObezYtokfvvIGaZry8EO7qFYqAJTLRQpRdNuL9CvPPc/D&#10;D+3m4P7dFKLotr5//6XX6O/p5sBDu/ijP/8aP/9zz7Br+xZOnDzHi68d53d+69cIwwBjDN/63o84&#10;f+kan/rYMyil6Oqo8nt/8mWefPQQQ4MDRKFi88b1twGMmdl5vvaN73Lk4Yd47MiBFd/Nzi3w8hsn&#10;mJ9fBJxznhU7z5x7sAwO9HHk4YeolIqMTU7zxonTVMolnnrsCFprzl28wvWRcYwx9Pf18NjhAxQL&#10;BeYXl/LnzInT55mcusmhA3sZGuzLV4b7erqoVsos1ep85bnnefrxI2zeuB6tNSfPXODE6XN84tln&#10;6OvpIorCfByff+FlioWIDz79OIUo5O9eeJlUaz7z8Q8RtNVTS9KU6zdGSbN3np9zMrvvgJ7uLgb6&#10;ephfWOTW7Bwg0KlheGycH/34GJ//1EeplEru2a8kXZ1Vujo6OH32Es//8BWOHj7AYF8P5XKJG8Nj&#10;nDp3iccfeZhyuUR3VwflUonJ6ZssLdUIQ1dNcHh0nOlbs3lfpJQc2LuLg/t3UywWuDE6wdjEFLt3&#10;bOXUuUssL9d46ughLl0bplousWfnNkql4m2LBFPTt/ibb3+fz33yIwwN9q/4rl5vcO7iFUYnprk2&#10;PEq1XOaLn/04E5PTDK0boNFs8B//y1/yv/+P/zofu6XlGtZahkcn+No3vsu/+de/mbcncE5+sQ24&#10;/8O3dwOumvzgpdd55Y23+Ge//Fl33haCQDHQ15MDWIA//6tvsnvHFmZm56nXG6TaKRAXwoAwinjf&#10;44fZMDTIzZk53jpzHm3syl5ZS7FQYPfOraxfN0Cj0WR2foGZ2QWOnz5HIQx53xNHGB2b5OTZi2zZ&#10;tIEDe3dSLhXp7Khw6doNrt0Y5cDendQbMcdPn2N5ueYWs6QDUEcP72ffnp0rnlvHT52nu7PKjm2b&#10;/f3v7NK1G5w4eY5avYGQgiRO8meqxVIuFfnoB99HX28Pi0tLjE1M8+df+wa//LlPMtDbTblc4vf+&#10;+Mv8+i9+iq6uDpSUFAqRiwxP09yPaDaa/MGffIV/9ZtfpFB097pAEATqjgsKd73K1mKMA4zWGGbm&#10;Fnjz1FmKhQLvf/wICFBKEQYBxlrOX77GsRNnSJKUrq4OHj20j1szc5w8e5E9O7axccM6ujs76Oqs&#10;sri0zCtvvMXo2GQOoJIkdQvxgUIgUEry1NHDbN2y4T3VPTDGsLRcI0lSwjCkWinli1n1RpN6o4GS&#10;kkqlTBgEORis1esIBOVS0Y+78xWXa3W0Nn4BrnjbAl27JUlCkqQU/OJANt/r9QbaGIqFAsVCdM/r&#10;lAH9KAxRyvU7jhPqjQbGWsrFIpFfoHvndifPrGUBd/3q/hrX2nD1xiRvnb3iw5bInyutP1e2vrRc&#10;p96IuXB1lEfKRYqF2x2Ce3f7vbUWS/QABxMCbSyxsMTSK5UJX5tIuFbzBfbsIBYQpuVuiwwQrWQf&#10;tAc4xjvt0juQSrTqLglcjlQ2xhkIE74tKdoFKNrqJAm8YwPSGFzIoq9rZPEhY8L1LVOSE9L3UyKM&#10;E0NwQhumdV7GsQNYi81WTK3FaONWpnOA5MYqxeVYNYRTSzTCgSVBW3G2NmwuPXdlM4dZtGptWQky&#10;UiyWA6pCIAsRJk4RTU20kFAIApAaqQy6HEIkECrE1GN0rAmDEFWISI0lnathphYw1RJ6oANbLoCS&#10;bYDItkbaMzftOUoOXKzG66LtLNrmXM6CtZjD9vsn5+vESlDXnguW/WNXONyeU8sAVht4yiZfDvyF&#10;8bhPtnCS9Eyp3z4PK/QsngsTJAc2+Y5tXTDCYpsps6dO0P/QEcq9gywt1EHUWBq7iimXiCrdhOUO&#10;gtSgogQjA2ozs5R7eli+OUehnNLV08vcjdPMj5zDeociWwgQ2VzIDmylW73I7kEr3P1mwWo8KLMu&#10;lDBZzY2+vTWbMVdvjDI2MYWQAp1qLl27weVrIwgh6KxWsdZSKZfZsW0TQaC4cPka07dmePyRg21X&#10;x13Z4yfPceHydfbt2cHi0jLnL13l5ddPMDI+Sb3e4MSpc4xP3uT0uUuEoXsRfOjpx9i3e8cKxsBa&#10;y82ZORpxjDF2xaKWEIJavUG5WOS57/yAwYE++np6ePGVN6lWK/zl33yHo0f2s7Rco6e7k9m5Bb7/&#10;0mvoVPP//If/zBOPHKRSLnHr1jzf+t5LJEnCo4f201GtUC4VmZ1byB2hm7dmGR2fYqCvh6F1zuEO&#10;lKKry7EyJc+KzM0tcObCZfp7uwmCkOsjYzzz1FECpSgVi8RxwvGTZ3nx1WMsLC4D8ObJc6wb7GNh&#10;Ycm1ow1T0zPs2LqZubkFXj9+inqj4V/+MY1mk7GJKaIwRCpJIQx59pkn2bFtM7Nz84yMTXJrZo7F&#10;pWWuXB9hdm6B10+cIU0NXZ1V9u/dyYGHdrOwsMhrb57isSMHuHlrlsGBXl554y2OHHyI0fEppBQU&#10;iyUG+rqp1Rv87d+96BwMIZmbX+Da8BiPPLzXRfZKyWNH9vOBJx/l7MWrfPcHr9JoNrkxOs7mDUPE&#10;ScqXvvwck9MzbNowSE9XJ0cPH2Dvru28fvwUl68Nc/nqDQb6e9m0YR0LC0tcuzHGmQuXGejr5f1P&#10;PsKm9et44eXXee3YSfr7e9i2eSO1Wp2OapWxySl6OjvRRnPhyjV27diCsW4B7PrwGEEQMDU9Q61e&#10;Z2L6FteHx9i1fYtjLcKAZpywXKs7FhIYnZzi6o1Rxien25h66O7qZGFpmddPnOH4qXP09nTzkc8/&#10;gbWGr33zu6xfN8hTjx1iZGwy32dsYoqvf+sFLJbL14aZnLrFn33lG35Bxa30P3n0EI8e2v/A9+27&#10;swdxCt79vmmasrhU49hbZ/jqc89TLBb5i699EyEEYxPT9PZ08m//p99GKcXpc5dYN9jPzOwCzTih&#10;q7OTIAg4fe4SE1M3+cSz73dsU+ic31q9wfDohI82anXRGku1XGbD+kGMsYyMT/LN7/6IWzOzDI9N&#10;EirFjdFxZmfnGR6bpK/3MqfOXuDA3l08876j9HR18tqtU7z46psEYcDY+BTlconRsUk2rh9kYvom&#10;3d2d7Nm5vY0hs5y/eIUNQ4Ns3bxhBcAql4oM9PfSjGOklDz/wit0d3Vw4KFdRFFEMQoJwxAh4IWX&#10;XuM733+ZNNX8+9//EhuGBvmlz3yMU2cv8cP1xyiVCkRRyEc+8ARpqjl19iLauKqVC4uLvHnqHC+/&#10;fpzOjg7AEoYhe3dto6NawVhL3IxBOIbobmYtTN+a4c2TZz37usyZ85cpFCLn5BtDf28PD+/bTRQF&#10;XL42zOjEFDu2bOLajVEApm/OcurcRUbHp1hcXOaZ9x3lEx95P7dm53nzrbNEhYgtG4fQqebM+cto&#10;rdmzazuVSolioeBYrweaafc2ay0jY5N85/svcXNmlp7ubj710WfYuH6QxaVlvv29l7h8bYRSqcAH&#10;nnyUwwf2UG80efWNE5w4fQEpJYcO7OHpx48gheTC5Wu8+Moxlmp1tmxaz4eefozB/t7bwuGNsTSb&#10;Tc5dusqNkXGeeeoofb3dNOOYM+cu8+qxt6jVG+zZuY2njh6iv6/ntsXGVGuazZgfHzuJMYZHDu2j&#10;t7uLRqPJa8dPceLUeZpxwqH9e3j8kYfp7up4F8xfi0K5UwsPVGh49XZCuNCGqyMTJGnK9s1DecTO&#10;XdsQbrVqfHKG+YUlN9lXxfe2N7H6mD8p0PWg7QlAhQEWQ2BkDhCMZ25c7SaT+86Zt2t9fSUpHGDK&#10;fjINQuFBTqbQJmkJEWgrUcKHAdgWcwWuIG+uHGhF3o5jwJyj1VLoc2BJCuPPRSClB3KiJZyRExe+&#10;H6B96IBTSsyFF7Rzao1xOV7GuNBHEBjrAJWVWe6WC+HSOCn4LEomxIcl0Aac/PHbZ0bmN+O3z5mi&#10;SJFWCyzUYyrGkkpDiqVQT5ALiiBSNOI6qhGhOiJkSUEpcKAuMegkhVBR6iwj6wnN2WXi2UV0VxnT&#10;XUaUChB48GSzTDDhwGobcMn71QY4MuELV7OpLTdL5B/SoraydvyN2x66edskzA4oWpRfNmYWX1i5&#10;daysnxmQzY/THkbhQwWzMEGbn5dwYYHCtgBl278t0OenhEoxwiIacOvNV+jasZPylgM0lmoEViKF&#10;QtcXEckyhUoXgTGYtEFBWPRSjXJXL0GkmDz9Kotjl1BW5yGwLVxpW0OXMVP50GWgz2+jM9jpMKW4&#10;S6jMvcw9t6Y5e/EKzWbC9eFRoihi57ZNjI5NMiamMdbS19PFYH8P3V2dFAoFNm0Y4sBDu9zl9khZ&#10;CLg1M58DpcWlGq8dP0WSpEghefmNE0gp2bdnB7u2b6Grs4qUgo1Dg6Q6ZerWDHHsQq/SNGVhYZGZ&#10;mVmGR8cJ/GpiuVRkoK+Hv/vBy1wfHqcZx/z1N78HuJDBP/3yc4xOTDE01s+XvvIcv/3f/jLnL13l&#10;8P49PPvMk/zFX3+bz3/q5/jaN77Lb/36L6CCgNePn+K/+ZXPEgYBc/OL/MGXvsLI+BQ9XR3UG00u&#10;Xx1mfGqaYyfP0YybWGv54qc/xuOPPMz7jh5mfnGZiamb1BsNNq5fRxSGYOHxRx6mVIioVMqUigXq&#10;DReyt2HdAEEQcOX6KIVCxOzcPJvWr2NhcYk4Sdg4NMjenVvZt2cHPz52kompm0RR5EOVLcvLdXbv&#10;3MrD+3bT1dnBxcvXef6Fl3nr9HmMNhw9csCFT4YBn/7YhxibmCLRmkAptE75//7oz5mdW+DFV4/x&#10;2pun+OXPfYKpmzO8cfw0J89cZGFhib6+bv7t//zbdHVU+Z1/+ev+/jOcOneJL335Of6X3/mtVn6F&#10;f84+emgfm9avY3xymq889zwf+cAT7Ny2mTMXLvPiq2/yK7/wSXq7u+jr6WZ0fJJCscC//PVfZGLq&#10;pgvNazSwxvLf/bMvMj45TWdHlUMH9tBRrdDVWaWzWmFooJ/e3i5+fOwtOjsqLC5V6OiooLXOV5xP&#10;nr3gzmNxmZGxKS5fu0GqNWMT01TKJaZvzXFjdIIPvu8o14fH+NGrx1iuN9DaMDw6njvemzYO5avn&#10;v/S5j7Nx/To+/6mfQwpBagzd3Z2EYcC/+NXP86d/9Q2uD497hg0/V0s88ehBtNFcunqDZ546yuOP&#10;PuxC1f07q7+vh9Rfm5+mPRAPdQ/f537sxsgE3/7+j7h6Y5TPfPzDPHp4P1EUMj+/yH/84y+zZ/u2&#10;HKR8+/sv8YEnHyWMFB3VChvWDXBrdo7JmzM044TNG4cIg4C+nm6sfy790mc/nh/rTnlV2mi2bd7I&#10;r3zu41wbHmNkfJJyqcih/XsZGZvg9PlLbN64nkP73VwLlKJaKfPRDz5Fs+nYq0ajidEuvHdpqebC&#10;5VYtwIFjdZRSbZ6Gs22bN7Jt88b87/HJaTasG+QDTz7qwpazobaWRw/tdyzfFz/DX3/r+xw9coCF&#10;pWU6OyrcnJkl1ZoTp87x9ONHiOOEN46fIdUpy/UGx06cYX5xkf/0pa9y6MBDVCslyqUiGzeso6Na&#10;odmMefPkWYQQvO+xw3e9ZsZorl4f4RvP/5CD+/fQ9CyJNoZbs3OMTUyjtWFwoJdN69cRBSGbN67n&#10;yMGHWKrVee3NU8RJwtHDB9i+ZSNXro+wYf0goQfGA/29PLR7O7VanRuj44RhSKlURADz84vsOryZ&#10;gf7e20Kb340145j/9/f+hIG+Xp5+4lG+9b0X+d3/9Gf8u//1d3j+hVf4+nde4Dd/6dMMj07wu7//&#10;p/y7/+1/4PrwKF/6yt/yC5/8CI1mwp9/9ZsUCwU2rV/Hf/mvf8OmDUM8tHs7r7xxgpu3Zvnv//kv&#10;39bn2fl5fnzsFN/+3o+QSvLEowex1nLh8nW+/p0X6OqosnXTBl594wTLtRq/+OmProjYsNYyOXWL&#10;10+c5qvPPe8XynYBcOzkWb7xdy+yd9c2BgsFvv7tFygWIt73+JH8WfTO7O5PiAdqtQVunPNigVqj&#10;idaWh/du49BD29D29kOtiHgCZueXaMaaKFQUPYV4p+Pc67P2Nt85EX/vY77d9kEhJAgDEm3yHBgj&#10;fO6SdayRQ+UtFi9jFjJPMHPGfTZUxo24v9p0zIUQGGF8LSv3ofNt3XGzoq8ZG5bXwSITxnB5WNKD&#10;pZzx8h3KyQucr+6YMNfRLOQQ4YQ6jDXuPHMqyeZiia5nBuuFNbJz1NqSChc2CQ50SFoAEFohlIHN&#10;VBHdqWa1tvLr5IclwIMyJYjCACMsdSmQymKspklKkkI6X6cURYRJQmOxQVArUOwuElULBGGBxBqs&#10;1lijiZUgKAREfVXUYp1kvkYyV0OXI2x3GVOOQKgWOylogZAMZbTHjrfRo1nIXYttct+7yLV2SNmW&#10;cyXbzptWWxmz1AJKLRCXb5X3ixYI8p9l9cpaLFUGwETrZZgzVrTwSgasfFihcDGn5BRsFj6Im7/a&#10;akxTc/PMMcLJCbq2HmBg1yESnWKbCc24RpxCJMFqS9TZgYgCFieHmbt6Gr00gxQuDy4Lg8zuoTzb&#10;Jb8Y0o+nBSFzpUmbMaw+RNBYi00fPAero1rh2Wee5NlnnmRi6ibf/9Fr/z977xkkSXLl+f08ROqs&#10;rCytuqqrte5pNVrrwQzEAAtgF+Du3YLHI2+/0I5GM5rRaDSjkV9Jo5F2dryj8ZZ23Dvc3u6twGEX&#10;GGAwg5E90z2ttSitq7IqK7WKCOcHj4jMrK6amR4MbgXyb1bdVZkhPNw9It7f33v/RyQc4qlHT/rb&#10;mKbphy5ksjlKpRJnLlwltZrGdhxSqTUk0NPVQbVqcfKBg5imwb7doxw/vB/Lsjl57BC3706QKxS5&#10;OzGDpmmMDPWTaItjmgbpdJafvf0hS6lVNAGlUoUzF64yv7jClet30Q0d27LZsX0br77wBJeu3WbH&#10;yBC7Rof9sCJN07Btm/27dxIIGvzwz35CqVzm5LFD9HR18tZ7H9MWi/KnP3qDt94/g2EaysutCdbS&#10;GXq7O7Edm2rN4nvf+gqH9+9hObXKn/zlzzhx9AAPnzzK8soqP3/3NNlcnkq1xsfnr/DXb75LNBph&#10;Zm6B22PT6LrGyuoaxXIZx7F56PhhnnvqESzLZnZ+iUqlSiQcViFsO0cQQpDO5Mjl8wz09dAWj6qc&#10;HulwZ2IKIQQ7ujv88Zhwidn+PTsxdJ3B/h7279nBhas3ObR/N4+cPMpPfvEe24cHOX54Pz975zS1&#10;ao2hwT5ARWj803/yexi6zh/+8M954+0PeOHpR3nlucfRdY2bdyb447/4qTvfhU+YHUegG7pvRG5E&#10;oVDij/7kP/rfvfH2Bwz0drOwlMJyHN54+0MMXeP7v/UaQhMsLqVYWk6haRqlUoVMLkc4FOKXH5xV&#10;XrtKmZXVNV5+9nEyuQKZXJ5IOEQ4EmRtPcvi8ipr6xnS6xkkkv27dyCEYGRoANMwWVxOceO2WnW3&#10;iiU0TbBtsJeerk76erqIRSMc3LeT7cMDOI7k1p0J3nr/DDXLoqszySvPqdVtTdNoT8RZWFrhx2+8&#10;w/tnzmPoOtKRnDx2kOXlVb73rQAAgP9/V/1wIVA5bR98fJ6am+OznFpjx8gQUzPzauHE7bPF5RTR&#10;SJjOZPt937u/Ku7fxvhiFsndyWk6O9p57omHePPdj7BsmwN7d/KLdz9idNsAr7/6nL/abmia6zkU&#10;VGs1/tW//XN0XZDNl1hLr/PGWx8wu7DE//BP/0sqtRqnz14Ed2nQdhyq1ZpajHDDvsKhIIf372Z4&#10;qJ98scSlq7cYHuqnp7uTP/3RG9iOikZZTq2RyeZ4+dnHWUqvc+7SNaQjOXZ4P22xGG1x9VOt1ejp&#10;7sAwNr8HNkOtpkJFLTeEWyAoFEtk8wVW0+uUKhWQEtM0CIdDrKYzVGsW126PsbC8Qq1W4/QnF3n8&#10;4eMM9CkvcD5fIBwKEo9F+Sc/+C75QpG33z9Doi1W5nwZAAAgAElEQVTG1PQce3fvINEW44WnHqEt&#10;HvPbYts2i0srnyuEzNB1RoYGeOHpR5SXPRggFAry9GMPcmtskjtjk37+oWEaXLt5hxu3xrAdydGD&#10;+xge7OPMhSv8yY+u8uLTj7Jv12iTVyWTzXPr7gSmYfDYQ8f899jpsxeJRaPsGNnWlPf6qyK9nqNS&#10;qfJf/YPvEI9H6evp4r/7n/9XisUy75z+hNe/8hwvPPUouXyBqzfu8MmFq5QqFR5/8Dhfe/lZVtPr&#10;zMwtcO3mXdoTceKxKD/4nW+g6zqBgMlb731MuVIlGgn755RSkl7PMjUzj0SF8IEKVZyeXSAQMPnW&#10;V19goE89Zyam50itphns721q+9LKKnPzS2ia1kS+1tIZens6OX7kAIN9PYxNzlCqqHzdX41gbQ1j&#10;4/p4I2lp/LsZikU5jnI7m4ZOZzJBzXa9GM1b3nOcTK5EsVSmp7MXQ9ebEiIbsdna/aes538qPu16&#10;xBaffyoESlrdW/Gvu6r8G8Otv9rcaFkPNat7bCQ2dXVAr/iuJlWYoJAg3dA96dbb8gUshPJmKZl8&#10;4dfg8uTchestg+bcLOHGmiknhmzqA+HJ/rmkwFftkxqabFRkq/eu1OoSD45/PJcoCNU2EzCaxtrz&#10;ztXJmme/G249L6XUaLvESnpdiAZ4t45tGIQDBlRqFHFwwhrBoqRqOZSQlByHkiOJSCVAItbKVCo1&#10;olWLUDyKrpvggG1VkZaDU7PRzQB6PIRWDRCq2FTWC5SzRZxkDKctgq25xrxLULxe94jGxsLJdXZS&#10;J9DqWoTvgVGNa/jcHV8lMELjCPnH8o8uXEotvB5yJ59wx9ntWOk1THNLCfgD73rkXMIoGgiWPyi+&#10;p6vhd9H4v7uo0HCNqu0OmuZQm58gtTAN8S5CPduIdQ1ihExqVLCsCrVShbWJcaylKSrFArpQDyg/&#10;rMTrF6+P3LlfN380n6gKWX8pCrcdANJxvbBfIAerEbWaxdLKqu9J8XJRe7o6eejEEaKRMI4jCYdD&#10;nDp2iOeeeBjLsnj39DmqtRrPPP4g4VDQTRYXboy5zZnzVzj9ySWefuwUgUCAYCDA2YvXmF9c5siB&#10;PYwMDdDb08W3v/6iG+oCV27cYXpugeGhfr77+st0dSZBqqT1cDjIrtFhHji0j8vXb7O0soqUknKl&#10;wvLKKrqu849/79ucOHoAXdMplStIJNuG+tGERt4Vzxjq78UwdAxdbZMvFAFV/y8YCGAaBqZhYhg6&#10;ZsB0k7VNX0TCtm2q1Sqjw4M88fAJPjhzgX27RnGk5PqtMV576Wk+PneZTC7PeibH7bFJJqbnmJia&#10;RTd0HNtRiyjuc89xHAIBU/VbzaJWs2hPxJlfWObO2JQ/TrajxCgsV0AkEglTLJbI5fJkc3kuXLnB&#10;3YkZDh/Yg2ka7Nw+xL/9D39NX08XRw/tRUhYTWcwDZ1KtcbRg3vZNthPuVKlq6OdUDCwtUflU15U&#10;NcsiWyjy3a+/xPziMovLqzzx8HHOXriK0DQGers5c/4KhWIJy7IJBgOMbBtgdm6BjvY2hgZ6kUhl&#10;pIRDfp+srWc5d/EaZy9cZbC/l327R+nr6aK7s4Op2Xm6OtpVHoRreAghSK2uMTe/xIPHDrNrdJhc&#10;vkBXZ5LUWpqJ6Vm6OpN+Mn4kHCaXLzAzt8jh/bsxDYPRkUFm5xfZPjxAR7IdTQgGenv46ktP88ml&#10;ayTa4jzx8HHa29p4853TrKYzPPP4g/59rGmCSDhMqaJC2DQEI9sGmvpPCEEoFELX/pbX1vQfT/dv&#10;pUjghace8fNETh47xP/1h3/Mz97+gFPHD/ONV57Ftm31rhei/gpwH/ehcIjvf+tVJqfnuHV3gu98&#10;/WX+2b/6IZZlIx0Vrq/aKFhbz/LxJ5d45OQDtLe3Yds2UgaQKOEeIQQH9u0gvZ5jcTlFuVLllece&#10;JxaLcvHKDRaWUpRKZQxNLebcuD1BOByiM9mOZVvcnZxiOZWmWCoRi0Voi0Wa3nvNV13HajrNex+d&#10;J7WaVq8ZoXHl+h3GI7MsLq8QME0sx2Ggp5unHj3J+OQMvd2dTEzN0d/Tzcz8IrFIhEP7dvPv/vwn&#10;HDuynx0jQ76wytp6ltOfXOTW2ATf/9Zr/J//97/h5Wcf5y9+8iY/fet9nnr0FJ3JBIZhEItG+OZr&#10;L3yuQbcdh9vjk/ybP/0xtZrF7PwSpmkwt7hMajVNNBJ289EMThw5AEiuXL/Dvt2jHDu8j7HJWYql&#10;MgHTJF8oMr+47BMHgbpHbNsmvZ5F82quCkhnsqiyLl+M0G+FZHuc/+YP/gHxWJRcvsi5i1cZHhxA&#10;0wTr61m2bxsA1Lu5t7uTxZUU33ztBTRNo1qrsbCUIrW6zuH9e9g+NMDv/87rhEJB5haWmZqZo7e7&#10;A9PQKVcqvvCRaRjs3jHCrtFhPjxzkQ/PXnSFjdT9EA4FaYvH0DSNWDSMlJJMNk9nsh1HOmhCwzQN&#10;jh/Zz/Ej+/n3f/FT8sWi78A5uG8XV2/c4RfvfoQQgkq1xkBvD4GA+Sv21uYzG+7Tg7XxILbtkMkW&#10;GOzvoi0WRm5ClDb+7UhJrlDEkQ7JRGwDOdl8n42ff9Y57hdf1KtfqVapVKpohnEvgRPCtzs1ZF3Q&#10;AHW5doNtqzw3qvaUCuMD4a7c+TauK5UuGhKoG/tDuCTNMyc975XAE8NoyPdyD+Cp3zXwArWP7zWp&#10;s0JlP9uux8w7frNohXAJm2q/qmflCtn7hEtIt7aX0NSJhLpWRS4130NmATUJtkvOgu414B7HFBoh&#10;TSANofKqdLCrFWxNoxLQcIIaVVtSctuvSYuwdDO5HIdwwSJWs4iXHWKJqMqOqtlojsS2alT1GoFo&#10;GEwNyxCYgRgyV6K8mkMrWejRMFbAwNJE09h7cvY09KeC5pOD+nxrmLmuF8YPf/RH1fHpZ/2NqhhQ&#10;423thYrSSLCov4S9nCl3oPBlqTxyJQBNedeES5bqRMqbSN737nW4BK4xRLKejlV/+wskjuagaSq8&#10;0FpLUVlNkZXnAOUNdYTrydU0dAIIPYAmamiOgxBe0KianFqTZQGOKxgjpbv44EiaEvhcz5cjVPI3&#10;UiLtL3rX4yf5Fktl+ro7CQeDSCQT03NMzsyzf88OopEwQhNUKlWu3RzDtmwQMD45S75QpFypEA4F&#10;iUUjnDp2mO3Dg2i6xjOPP0gmm6Pihv8dPbgHw9DYu2uUfbtHXYUp5U0DFR44MTXL0489yOJKily+&#10;wPBQvwq9c/G1l59RRm9/j1Jvy+Z5853TCAQnjh6gr6eL3/v214hEwnzw8XkuXLlJ0H3p1GoWvT2d&#10;jE1Ms7KaJhAwuXF7glPHDrF9eIBqrcbNOxM4jiS9nmFpZZXxyRmi4TBr6XWWU2sMD/YDKiQoFAph&#10;O2ohbvvIkE/ydE3zRTbi0Qh7d48Si0Z8VT7TTfCeml2gt0d5/5aWU6ymM1QqFd776Dzr6zliURUC&#10;51HuzmQ707ML1GoWTz12ikq1yuzCMv29PUzNzjM9t0AyEWd8cob+ni7e/+g8h/fvplhSuUbFUomf&#10;vf0BoJQan3vyYd54633OXLjC97/1KrYt3ULem02UreeQJzRz/fYY12+N8dSjp4iEQwwP9vPu6U9Y&#10;X88QCKixHhro5cWnH+XStVtMzy7y6IMP4N3fC0srLCylePTUA+xxc0f279nB0kqKgb4eDuzdxeVr&#10;t7hw+QazC4tEoxH6e7o4fkSFnt2dmGY9m+Phk0cZGujl/OXrhEMh9u8ZJRIOc+32GMViiWq1RjAQ&#10;oFAo8ssPz2KYOrt2jHBnfIpTxw7xyw/Ocv7yDR46flh5AQRMzcyhazrVapXT5y7xzVef5w9+/3f4&#10;+dsfsJ7NUq1ZrKTSdHd38NKzj2FZNn/8lz9leKifbQN9/rqJZdkkEnH27tz+pRuSnwf+GtSvGTXL&#10;Yn5hmfnFZa7duMMnl6+TzeU5uO8B+nq6OP3JJSqVKk88cpKO9jb3Ka/el7ruBvHbtvI0eYuRUs21&#10;oYFevv7Ks0zOzDPY30N6PUs2l+drrzxDOBRkanaB/btHCQQCpNbSnL98nXK5wivPP8Hd8WnaE3FG&#10;tg2i6xrxWIy19SxCCPr7unny0ZM4Ui24d3UmOfXAYaZm59HEFMND/ezeMeznVBlGeMNVN/dsJBxm&#10;1+g2+nq68JYjZ+cXSbYn2Ld7B5FQCEc6tMViRCNhdu8YYXZhmXAwSLFUoqezg1eef4J8ochaep3d&#10;O0bo6+lE0zRm5hf58RvvkCsU+MH3XiccVMqI8ViE737jFf7tn/4VP/yzv+IbrzzH9uFBPKVDYFPh&#10;IA8S5ZnavWOE3/rai+QLJU6fvUg0Eua5Jx/m5u1xbtyZwHEcbNtmYXmFbDZPeyJOej3LG29/yPjU&#10;LA8c2kd3Vwdnzl3mP/zHn/PaS0+r57C7yBiPR+nr7WbHyBCO46C7i12hT2nbF0UoGGTbQD8Lyyu8&#10;/9F53v3oHP/F734b0zSwbdv3SCryp2HZDp3JdvKFAhev3OTNd04z0N/DYw8dIxwOoes6dydmeO+j&#10;cywspfjuN16mXKly/fY46+tZIpEQO7dvY7C/1xfF8BfUHemrlPvOC/f5ubae8RflEvGYP9fAjWTx&#10;g1yUcmzNsiimy35OYjqToVqrfWqO3efBVh7uLXOwPuuBItxGV6pVEvEooWDwnlC/zVCr1cgVipiG&#10;QdyTAf6M83wWPo/7/rO+91txP7EAGmhucSdFZFzjzaMuQuVDIdzcLLchdQqkbk6ffDS01VMDbPIu&#10;1udLw35emxuMau9PaDbKvXN6jRPUnR31s7j7e61r2NsLJRRubzkSXQiXWIkG75imcr18SufmnAEG&#10;up9XJv1cL+nb844Ey/3MAMIIglKFEgbQMIWBJjSEruGYgkpQwzI1akq3Hk2q+mNVU6esCyoqPhPb&#10;LYrsmuAUHChUJLX1MsIRhIIaomwhahpOzcGxqxC2CXRFECGB1AXBRJxAyaJWrlC2SzjRIJapBDB0&#10;R421FI3S+viTQ3peOJ8EuTS3gYg1fe9K/AvfI9lwbPel2ejFarrzXMLse7280DrhNBAhx99WebZE&#10;k1fKDx0UDeTMS/ITAjQvlFD6uV7+iUV9rnj7CUdiiXr+mXDniXDngH/fuTGkhmOh4bhLE8Kdi6qQ&#10;td1g8ahnqOPed66ny2m+ib12OEg8EQy3zsEXgmXZrK1niEXDfPvrL9GeaAPg/OXrnLt0vW4ESolh&#10;6PT3dLF39ygCQTwW4/bYBG2xKDtHhwkEAn68v207xGNRLMsmVyhQrdW4cv0WV2/e5drNu2wb7OPx&#10;h45z6thhX/J6cmaeucVlXnvhKZZX1vj43GXaE20MD/b7yoXzC8usptfVgo0mGJuY4d2PzvGdr79M&#10;PB7j8vXbBAImRw/s4dD+3XhKVd51PHBoH6VKhfGpWbq7Ojh6cA87tg+CFBhusn1qbZ1iscTcwrJ6&#10;meWLFIpl1jM5gg0iRuuZLHfGJolGwwz0dpHL5ymVy7zx9gcsp9bYPTpMKBQkk8nxwZkLBAOmO1wO&#10;u3eMYJpKan50pJcPz1xkenYeITTSmSzbh1XeRjaXR9eUBH1PV5JiqczE9ByZbI6xyRm6u5SK38lj&#10;hxjdNogQ8JNfvM8HZy6SyxX4+svP0NvTRblSIRoJ841XnsUwdP7oT3+MlJJXnn+S//1f/H/cujNJ&#10;MBTA0LcgWJ/xHpGOxNANBnq7uXr9NpPTc5QrVZLJBMlEG3OLywBEI2GGBnq5dvMOmVzOFYdQ87dY&#10;qpBoizPQ1+Mnjff1dNLdmSQSDtHf20UiHmXXDrUq3N2Z5MFjh0gmE34ITTgcYnx6lpt3J/j43GWk&#10;4zC3uER7og1NCGKxCNVajfVMjo/OXeb6rTGee+JhHMcmXyyRyeY5fmQ/P/nF+9i2zcMnj7KSWuPc&#10;pesc2r+Lnq4OIpEwN+9MEI2E6evt4tyl68wtLPHzd07z3ddfRjMUmWxPxBl0iZ6UUCpXuHrjDocP&#10;7Gbvzu33f7N+Cbgfk8Db/osgny/wH994m0qlxrnL19i3awfPPPYguq4EU6SEv37zXUZHhuhobyNg&#10;BlT5g3KFeDS6qf3lv+KlZG5xmX//lz/lB7/zOhK1QF6t1cjni7z13sfomsah/bvpTLbz+MPHuXzt&#10;NotLKbyyAoVikcmZea7duktHextmQOUIKWVhVYZhYmqWsxeuMj45w/LqGlOz88wvLvPAoX0k2xNN&#10;IWGbdWpbPMaxw81CJrfHJunv6+GRk0f9hSUPU7PzrKUzPHLyKJPTc1y/Nc4LTz9KajXN7fFpFhaX&#10;2bdLEfNbdycIBEz+4Du/TTQSJpcvkmxvx7ZtOtoTfP/br/GLdz9iem6B7cODVKs1btwZRyA4emjv&#10;luMmUGFs84srvPvROaqVGnfGpwgFAhiGztLKGlIqNTvbsVUI2+Ky/8wfHR6kI9HG+OQsi0spSuUK&#10;oyND9HR1sLyyihCCRDxGR3s7E9OzTM3Mk1pN09XRjiMVqQ1uIhT3q0BKJTbzZz/+ObZj81//499l&#10;z84RypUqgUCA9axSg1UOkxI93V3k8gXeeu8jzl++wQOH9vGVF54gFAxSqVa5fO02v3j3I5KJNv7h&#10;d7/O8LYBllZWuT02ydz8Esn2NpLtiXvC/QB0Q8c0DTeEuEasgfhWqjVm52eYW1imr6eL3u5On2A1&#10;wrZtfvnBGbo6k3zz1efp7Gjnn/0/P+Ty9dvs3qHUM790yPv0YG12BNMw6O5I3JMwuRmEEJQrNfLF&#10;ErFoeNP8q78J+Pf5fT1J3ZyOZjsXDVdEoIGZaG6+SiOj9hOxpDJmPfIkcYvngivgIH2RCs9z5Hkc&#10;pFQepHrj8clVYzaXpyy48bzePg2+LPe66vLoGztK+seWrvXtScCjBB88siZxlRUbd5cq5NH9XXe8&#10;fLD6JWg46AgMj8xpYCAwhcDUTUw9QEVKcrpFzVTERwLYDlo9scgNfxN1BiOhhq9DCAgqUiKrNka2&#10;AhETw5aIkoW0VY2vqlVF6hrBjjCakEhpISIBRDyEUyxjF4o4uo40DYSoKwR6Fy1p8Gg1EV02+b2u&#10;TogmEI7Kl6tvIpp/bzqmRz9wB0jWPZKahudN9UMJGslSw3GFS7A8KXegIW9LIL1aYA3kqx5SKNxL&#10;dwma5i0yqHMpkqZGv3FOSI+INVyjwHKJWENNIVFfjnBAHbN+N/iTrn6P1cegsY/Vvw7yC4hcgHqR&#10;Li6nuHlnnKGBPhJtqo6PdGPivTAQbyiCwQC7dg7z8IkjVKo1du8cIRgwCQRMThw5QL5YQjoO65ks&#10;tWrNDXtz6Opo58TRA5y9cI1svsDItgFeee4Jtm8b9J+bqdU0P//lh+wcUSt/u3eOMD49y+lPLhEM&#10;mPR2d6HrGpMzc4xPzeLJmC8srWDbtkpin1/EcfMvDu7ZSVssxszcAlMzC2iaRsL1RkgpWc/klMrY&#10;/BJHDu7F0HVee/FpBvq6SbYnWE6t8sM/+wmnjh3k0VPHKFcqzC0uE3fl3B3psJbO0N/Xw9OPPegK&#10;hAyjPatxZ2zKl3AHyBeK9HR28JUXnsSRDu99pBQFQ6EA+XyRdCBLuVLBth0MQ6Mz2U5vdyeXrt2i&#10;XK7Q29PJwtwypqGzfXiI1XQGhGD/7h0gYHp2gYHebnZsHwKUYffDP/8rXn3uSaLRSH3+o4iQdHP4&#10;HEfSFg/zu9/+KvlikWKp5I+3Zdn+O8ErY2E7jp/35sGT849Ewjz56Al+8ub7ABzev5uxyRlWUms8&#10;9OwRfvyzd+qPL3fsYrEovd2dfo0g7/2ZzmRwnEEq1QqLyykWllMsLq+qnL1Mjrn5JcanZllYXiGT&#10;y3Fw7y6OHzmApqsC75ZTU96sTJZypUpkcpZ9u0eJRaOqALyEsxeucO3WXXbvGOHytVssLKe4OzHN&#10;m+98SEcywckHDnLm/BW6OpKsZ7I8fPIBJmfmcByHV559nF9+eJb3P75AezyGZmi0x2KcOnaoobaa&#10;xpMPn+Dgnp1EImEcx+HarTFqNYuvvvSMb2OUK1UWllYUcQuHyOYLZDI5+nu7VY7gepZarUZ/b8+n&#10;SkF/PjQuMf56kYjH+P5vvUo8FuP/+Jd/xIPHj3Dq2CHMBsXQG7fHXY89HD+yH9M0KBRK9PZ0YVmq&#10;uItn8GdzeSzbQgglanP5+m26OpMM9Pf4Co4CQV+vWgB6/+ML7BwdJhwKEg2HScRjZLJ53ztm6Aax&#10;SJijB/eQaGtTHuNIBISqPZfJ5ji4dycIQSQSplJRNewO7dvFiaMHSba3bd61nwGvPMZmpqLu5rpO&#10;zswxt7hEIBDAth0+PHuRE0cPcOb8VY4e2kdXRzvPPPYQN+9OkMnmfGL5+mvPcWd8moN7dzI5Pc+h&#10;fbvYu2sUUAJut+5OomnapxIsEASDAbo7k3Qk2pRqazhEKBgk0RanPdGmCHHAVGGVug4Iers72b5t&#10;EDNgkisU2btrOzu3b+MX732sxiASJpPLYxoG7Yk4lmUxNNCLpgkuXb3FgT07yRUK9PV0EjBNRfKW&#10;VgiaJsn2NhwpmV9cJplIEI9FKJbKrKym6evpJBQMfqo3OF8o8s//8Ifs3D7Mt7/2EgjlLYrHomwf&#10;GeTshavs3TXKWjrDwtIKLz7zKOcvX+enb73P7//O6+wYGSKfL+I4krmFJf7kRz/j6ME9vPjMYwBk&#10;sjl6ujr4ve987d7xRtmOnlPCNE062hNcvzXG7bFJhgf7mV9cIRgM8MChvTz3xENbzptGfhEMBBAI&#10;cnmlTKsJQSgY/BVl2j8d91Vo+N7vBaFQgISrTOR8xqqwEEotq1yu0tfVoZJfN7lrNmvHr/8xd79E&#10;z12Z9xhNs9ui6biSukC3FKIxeMk1KL06UfXv6qLmbt0rGgsJ139prCNW/9wLEFRQnhDPUG641EZy&#10;JuoS6H7ulHdMTwXP8chVnRQ2dptHvDy/leb+rqMKrhkouXYTFQ7oFVzWRJ3ogaNuLl29cAOmTlDX&#10;QdeoapCTDjlpYWmuB0QtzyEcRaY0t7fRBKauU6vZOCgPWJV64WINFVKZR2LWbLSCIKZpbmE4AUKn&#10;KiW1XIWoLoi0mThWDatSRkaDmDGTkG1QzpYpGzZWKIjjyrk3lgWW3txwQ+mUZ9AbBDXmEi+kwx0g&#10;4fWJNybS18/wQumU98jTnqwf0+tJiQNCQzq2Pyc8JuyH9Ln97RcKbpDm9xcORMPVeJ4rr9CwO/eF&#10;f3yPeKm2+WwfCVrDjBT1eVRvhzuDmvhnYz82zFXv/6YDunPPUw3ccB8Kl5op/ukgrPtf2HEch9V0&#10;hk8uXiWXL/CV557wDb58ocjq2jq6rvnJxlKqgpOraxmu3LhDJptj22A/oyNDXLp2i7MXr7GcWiUe&#10;i5GIR3Ecx89xikUjpDM5JqbmeOLhExSLZaZnF+jqSKIJwXJqjV+8cxopJY+cOupLzb724lP8uz//&#10;CW+/f4ZHHzzGtoFeXnj6Ubc9KrTxwtUbBEyT3//trxOJbAzZgW+99iIfnbvEnbEpfutrL/qGQblS&#10;YefINl55/klldInmlV0vN0DXdAxDJ2ZEfK9DvqBetvF4lAcO7sW2bcYmZkB4YUHDZHP5xgGjUCqx&#10;sLyCdCSFfJFAwESgVq3Hp2fpTCYYHup3VboUuWmLRQmHgmrFN9lOIBCgWCph2yqAevvwIOmMCm+y&#10;bZv1bI7V1XVK5TLJRBur6xnujk+zfXiQUChAqVTm5++eBgTFYtmfn309asX2ndOf+InxY5PT5PIF&#10;Ff4MTEzPUiyUuHL9jhI+cvtmZFu/O5+UOFAiHmUltcadiWky2TyJRJx8oYht203y5xJVGyvYsDBZ&#10;q1mMTc5QLJY4cmAvSyur3Lo7SW93J7tHR+jv68axHVLbt6kaSl0qhCsaCRMMmgwPDRCPxZienScS&#10;DvJbX3uRWDTC5eu3iUZUuFZXZ5JYNEJnRzvf+fpLRMIhFpdXmZ6dZzm1xvEjB+jp7mTX6DB7d23H&#10;0A0O7ttJOBRiambOv/YnHznJc088hGEYrKymuXT1Frt3DNfJrFTk/Y23P6C7U5G0u5Mz/OB732Rk&#10;qN/fZmklxb/+4x/x7a+9yK7RYa7fGuO90+f4/e+9TiBg8sHH51lOrfGD730TTfvVk9d/NZvj86/a&#10;6rpOR7sS8LBtm7sTU0QjoSaBiLV0xn92HjtygB+/8UuGBnrpTCZoi0d9m6parXH15l3CoRDhUJDl&#10;1BpXb9zhm68+T6FYYm09o+aXJohFI+wZHeHu2DRT03Ps2jHC+NQsH5+/4qvnqbzLAr09XXR1Jjl7&#10;8Sq37k7wrddeQEpJNp9nYmoO21ZlDnaNbiNfKBGNhFhNr3P2whUePvnAPYWlt+w1N4SrUqlSKJX9&#10;kLCNcKSko72N0eFBDF1nNb3OzTsTXLs5xh/84Lf52dsf8sZbH/D6q89RqVb54X/4K773ra+wsJTi&#10;7IWr/OB7r/O//fP/l1AwQDaX469+dp7//He/yUBvD9FohK+//MxnDp+mCXaMDPGffeerbBvoY2V1&#10;TUUBVC2OHdqHEIKl1BpnLlxhoLebSqWqBJDKZUrlCkk3B86q2VSrNbdQuPIKrqXXiYRDZLJ5Ll27&#10;zYG9O4lFVcHztrYYi8spPvrkslp46erkx2/8kt6eLp59/EGqNYsf/tlPeOaxUxw7sp/xqRl+9NNf&#10;8v3feo2Rof5PJVhzC0vMLS5zYO8ufvrW+9i2Q0eyja+88CSvPv8Ef/jDv+Anb77LylqakaF+9u7c&#10;zr/+478gGAwyNjnDzTvjmKbJkQN7WUuvk1pNU6lU+es330MTMDzUz+MPHW+qI+hBAKFAgHgsgq6r&#10;lIBdo8PcHpvilx+c9UMrH3voGMlE272NdxEOh9yoDTf37ehB3nz3ND97+0NM02A1vc6pY4dIfs45&#10;uRW27EXxK3qwdE2JBiym0qQz+c/ljVpZzWDbDslEvMnB8DcGsYEb3cfTVPgEC3y1I9929vwkimig&#10;KYJyb56aJzTh/4O3Vu9Ir6CwKwMhhO+dcoYUt4gAACAASURBVB0CSNcAdjN8XDOy7hVqlOT2xCpw&#10;z9LUDqdug3tt8IhWAx3wBdu8EDSvPpQm8Gt0SYmqTdWgbKgj8cTo1TFUAV8pXYU4XBtZVxWzzICB&#10;ZujYQpIRDlVZw7IltlTXYKL5Eu2mowRCbO863TyvgG5gajYlaSMRWFJiuYTHC7+rIMlJMGsSTZiE&#10;hCJ+UipyVLNsZKaAY4YwggI7ZyHyVYyQgdB0DAf0Qo2qpuOETaW8KOu0VzaKTOB2jPet8NQXpZoc&#10;bjilOy18n5b0nIVeP3tjJzydRnds/PFzA+vcnCdo8F4hVZs0b7bgCqg0EH1vTnu8xT92naSpgRUu&#10;kfOOranULiEQDcl5jmwmWN61CPcE/p1SvxH8PvBIXf3OqKPex7g3Q+PB63WuPKetug1Vvpa4/zJY&#10;VGsWd8enmJie4+XnHqenu5NKpcr0zAIXr91kObXGgT07iIRD/nXXahZ3xqfIFYp0dyaV8MCuUfL5&#10;AmfOX6FUqfLkIyfIF4q0xaPki0oASNd1PvrkEolEnMcfOk6pXOHNd04TNAOMDA/wi3c/wnEcvvrS&#10;Mwz09fgvy76eLr77jZf5sx+/yYdnLvLVl56iLRZV/SwlN++Mc/X6bZLtbVvmDpmmwaF9u7l09Rbr&#10;mRyarnHj1rjyKnV1NNXgaoQmhF8Y8p7vNFVrb3EpxVvvfdT83BdQrdTI5vN+nSPTMEml13nnw0+U&#10;sVUss3fXdkLBAEP9fRw9tI9QMEAwGGA5tUYgoFZthwf7WVvP4EjJ0EAfxVKZG7fHCIUC/rhoQhCN&#10;RNB1nYtXb3L2wlW6O5P8t3/wD7l68y4/ffsDTh07xEMnDjOybYBD+3djmiZ9PZ2Ybm7b8mqajz+5&#10;xIUrN3jl+ScQQnD5+h1m5xaV9LSQWJbN8FA/7398zp+sgYBJJBIm2d5GPBohFAzy1KOn2L9np38f&#10;V2s1btwexzAMP6RK0wQB00S6uW6e2IdlW1i2TTCkVqQH+7p5/SvPKTVAy+bc5etcvnabSrXK6to6&#10;hWKJfL5ER7KNU8cOs7KW5sz5K1QqFY4fOcCpBw7RFo8x2N/Lex+d40c/fZsdI0M8+8RDHDu8359n&#10;ncl22tvi3Lo7ycF9u/zQno3Fp0OhIJZtgBBEGlTOHMe5Z1vhGlJt8Sg3bo8zO79IPBplZm7RDx0V&#10;QpBMtPH8Uw/T292JbuhuXZ1TRCNhdF3n4L5dbC+WvqSV6fs0Cprw+cnVRsSiUa7fGmd1bb3JEM4X&#10;i35S/tz8Eldv3uUf/e63MAyDl599nPb2BIYxTyQSZqCvmz07RohEwtgrq5w8epAd24e4enOMS1du&#10;EA6FfG9tb08njz54FCklhWKRmdkF2tuU9P/YxAyWZfHzd04Tj0Xd3JUsRw/u9YVvjh7cx96d23Ec&#10;ydBAL5FwiMvXbzM8NEDAVLWf0pnsvQRrCwNQSsndCVXAOL2eIel66zYiEg5RKJW5NTaJZdn0dHfy&#10;01+8xzOPP8jwYB/f+Mqz/PM//GMWl1PMzi/S1Zlk/56dzC+tsLKaBiHYv2cn49OzvPjUo0zPLnDh&#10;8k0GXuhRHo7PocynaRqJtrgfzRAOhYhFo5y9fUV9b+ikXNI16BZ8Xs/klPhMVwexaITp2UU+/OQi&#10;N+6MM7ewzImjB3AcB03T6OpMsraeYefoNnq6kly6dhvbVvfPs088yBtvfUgmm6e3u4uHThwlGgm5&#10;tbFMnn7sFNuG+jF0nb6ebp55/EH17P8UcgXQ0Z7gH33/W1RrFuB57mNoQuPY4f2EgkGu3xrjwJ6d&#10;PHT8CLFYhKcefZDF5ZS/UG8aBpFIiERiiO984yV3EUw9y+Kx6JZtEEKwc3QbyfY2v0+HBnr5xlee&#10;5cqN2+TzRZ569CS7R0c+9R4/fmQ/lm37C2Anjh4g2d7Gjdvj1Go1nnzkBKPDQwS+jBy2LW51USx/&#10;/qXcRq9GpVrj8o1xpueXP+NB1nx4gWCwr4vD+0Y3LTC88Tyf93PX3tt0lePTIAHbktRsSSxioPlq&#10;eJ+yj5RYlTL/4rHDrI6NIXTDNYQlji1wXELkOMIv5OhIqZK7ZV2avalrGhbkvfA/71oFbsFgIVzN&#10;AZe4OPi5Lr7PSnif3XsVmmcIu2ROeCeDpvQa/GPWjXBwPRM+TQLh19FSP4YQfjt1cCXYFbEyRF1s&#10;Q3eNA0WGvOupe078YsxugWNbcxMcvWQ3F44btuap51lueJty+khMSxAs25RrVSwkWemQkbbvxfL4&#10;QkBCDI2EZhIVBgGJErvAwUKFXUQSBuGuCCLvYK+V0JEYmo6QgqojycdMnFgIoWvuO0P6rMebk+o/&#10;jcaLUOOsHjy+3rtopr/y3qGsO8DcEZLUuZuXq6XqWLkEy1sBbHCU+TSn8W/h7VefCw2N9+ebHzKI&#10;xJPL9L2k3lwRXu6XcD1e7rxp8NO6G+PNNj+/r+G61fiq83hCKs2kDEVW/c/qaolNdrzXVCnpefIl&#10;Dv9P/2yTjt0alWqVxaUUlmWxc3QYUMbw5PQct8Ym6e/p5uDenYRdQ75SrbKSWqNcqdLT1dH0UrEs&#10;i6mZefLFEiND/RSKZWzbZjW9jiYEPd2dZLJ5ujuTdHaoVe2ZuUWqtRoBN+zLk27fDLl8gZn5RXYM&#10;D6oEXqFU5t7/+DzLK6ucOHqQ4W0DfrjaRqgV5AqGrjE+PcsnF67S2dHOU4+cJLrBMPaQLxS5euMO&#10;A/09vrCFh5plsbicYnV1ncGBXja+F6yazXomSygUZHRkiIWlFXL5AkMDfSAli8urvnRzPBqhv6/H&#10;33c5tepKx3fdE4Z04/YYE9Nz7Nm5XUmSmwaVapXbY1P0dXcxMT1LKBRk944R3/M4PjlDqVJl5/Zt&#10;ZHN5OpIJpXbrql0JIVhJrXH+8nXa4jFOPnDQrz0Gze9aIdzah/6kBqEJypUqt+5OsH/PjqYEett2&#10;WFha4eLVm2wfHmT/nh3omka1WmN6bpHlldWmfAHbcchmc4RCQfbu2t5Ebi1LKV2urKYRQvhy3LZt&#10;EwoG6enuYGFphXK5wo7t20gmmg0vy7KYnJ5jZTXN3l2j9xhm2Vyem3fUNWzMjfFwd3waR0pVeLuh&#10;bYViifOXrvP4w8e3NLQsy+b22CSTM3M8/dgpIuF7va2/Lli2pFJVz2XDEBvLDG4JKcF2JJYlCQV1&#10;TEO7b5sEVGHtjmQbvd1dTQuf56/cYNfoMJ3JdmbmFimVK+zdtd3fz7YdZucXyebyHD6wx22T+2QU&#10;gkq1yp3xaebml9ixfRs7t2+7J4wyly8qchuLMjTQS7msimHPL674oaodyQSjw4PEY/XcLy+CSdc1&#10;Mpkcy6trJNvb6OpQ9csE+PPTcRz+/V/+lP7ebh4+cfSeHCK1GDTB1Mw8ibYYB/ft2tQon1tYolSu&#10;MNjfg2kYFIol7k5Mc+TAXp+QTUzPEYuEyReKxGJRujraqdUsLl67yQOH9pHJ5lhfz7FzxzD5fIFs&#10;Lq+eO18QSt0ux627k2SyeYQAwzAYGuilt7uTldQaCEF/bxeRcJjU2jrzi8uEggGikQip1TVisSiD&#10;/b2sZ3KEggECbu7p4rIqPN/f182+XaOEwyFy+QKmaagQuC8y2Vr4wiiULKQDukGzsqcLUSxb/hrC&#10;5x0aZT9KLNuNL29yAXk3c90p0/BucSeb3lS5+zPP1XTkrdv5hQiWVDWaao4kFjY27aR791EE618+&#10;dpjV8TF0I+C3TxEs6f6A46iXoKey45EtpLjH+MM3KBseih4BEV44nfu3VB4izSdDyjhVHe4SrIa+&#10;V3a7Z4575mz9f39b18DWvC29D5G+5aD8LNL11DiuZ6BeoNhrpy5w62558vOqvQbCJ7LKRldMy2u/&#10;olWOX78LN+RMeOf12+kZ3w1X5s47G4khdNowMSoWVrlC1rGZdyoUXULg9bEmlSs3LHSiQieIhilV&#10;26WrUBc2Id4VJhAwqKTK1Iq2um4hEJrA0XWcaBA7bCI1j9SopnpmheeFrFNXr3tVHzqutKQ/16VH&#10;IJvHqWkuuueR3jC55/HGTfp91DCONN8nHtl1/LC/+pzZeDP45N3nibLOC31+KPz/hXdT1rkj9Zpf&#10;dRLmt8QnWNIfy6YHiVs/rWkGu+Pp07YGZUePcHuXrpos6X36ZY78L/dHsFpooYXfDPxNE6y/75BS&#10;uoI8cXaODn9ue7CFFv42oVCycBwwDdfM2XCzGxucKMCnE606l1JFFU1TbzKQNh5lo+fMI2ef5Tzf&#10;6Fa7XxL4hXBfHn2JhpIi16SX0C/rtqTrrfHCpzTXfeBIR9WZEnVhC5cTbUCjRVj/Usp6H9fNVLev&#10;XQZ7T2ifFxpGg9hFAxlRp2jYRwq3YLJ0xdbcWky4bffO5dEaAUJo6FJiCA2kW5vLU9Br/HEJnieW&#10;4aDyprxzax4pcHeQeCRMumFtwju530v1FLj6LDEkSM3BCQrCwQiaqaEXq2RrFhVpYTe0w0b9WNhU&#10;HYcgghAaAeESWinQaw5WpkywMwqhIJVKlbJtIXAIoRO0HKjUwNTVj+oZlEKi6mvbbagmJQgbzRCY&#10;hknADFKrSYqFipLn98ZcxU/6861xpaLp/pDe5tIfdJezNvR7wzE2zHNF/FzS74cReiSp4UzuPkII&#10;mpxQGwmWu8oPqMhHz7vkDpbw2+yRrHqb/PDXOpVueJLU50LDHeHOsTrx9gh3U6NdIihlvfB1Cy20&#10;0MKnw3vWfE7D4J7N7suo+I2BEIIHTxxx1/Ba/dPC30/c17LBZiaJn5NzzxbNJOBvPe6zkUKCbqgV&#10;euFJP0s3hMnjAkg/vwi3cK7mGZbSW1332FU9VEfzjWzZ1Da/ib73q5li+WqBfliYl5clm4kVnvHv&#10;Ha4eUlivn1EnbcK36GVd3VrUj+ddkhBgy3qoln+NqInmCW3jerU821zz95f+OTWplLSbpOrd0ELh&#10;uUwa3l1++FtDT0nboVQpYcRsEj1BokWDjpRFuWxRaOhTyz2UDVRR+Us2DjVwFQ1Ve8plBzNvoUsD&#10;XUqq0qYiHGpIbM1As2xEzUbohgqJ81iFVPk4lpDoloUuBWYMzLBOOGwSCETIpCsU7IpPVISrktdM&#10;JmjiWY47LNLjnIIm4uMLZ3id7A1jE0eV+JPDBk+dz/vMn4feYOG9EL0FAOG3WXoS7W4DvPdmneDh&#10;EzB/q4ZDeR8If3Z6M8n7zKPjwmNu/sD7c0dr+Iz6PBZuOxzUfSq9enIttNBCCy38J4fWIlYt/J2H&#10;Z2HXHR2NMBo3+yKH/nXt02RzfYHz3A+auMfnPJkEKlWLqg3YjptD48n5uqvoUmDhGsJufSaPkUpZ&#10;N4ybvC+NBvUmCaB1e7dRZdAjLK5R6zTSqIZL8uxkz4j1Fv2Fl8Hltq1h1c7zitSJV6NuYf240iWT&#10;nmfIQqAL6eaJKdvdI1WG3wYViqi77dI9D0eDh9MT7fC29zyEmnBznYSnqedZ/x7tVK10LIeMrCGD&#10;gmQ8TFc5QLVSBkcRKNttvy28vlThhVUktvQKP6uARc2RkK8QEhZS2jg4VKXEcixsITGlQK8oSXnN&#10;E5GwFVMU0gZpI6s2pm7QFo+q66/VEFSwSiWoWUhNnVR6Y7nBW+XdF9688RcwGuZt8zKHO7Zaw/Yb&#10;5rgSwGieZY3H9PisN/nUtnVmKxpJGPUx8diWH7LYQP59IrbxfvMJlrd9/dAqfNCdRd6ihjcnPNVF&#10;TdQP6oUiereW1xYpsSs1WmihhRY+HfdhFGy5fwsttPD3E5/umdmy0PBm+CKk54sSpa32+bJJ1xc9&#10;nhAaoeG9RM3Oe79rOPZGD57YYputvt/q2J5Twvt949+Nn2/cX/14YgXN27iOqk373au11DSlGkhA&#10;4/k04UnLq/Ooyg912fbGNjf+NH632Y9/7UKrEzHhEbAG8qHVR9bSJCKoY7RF6NoJ5mqBcK1GCY9Q&#10;oYiw1/ZNzhsAokAIQRB14zhIAu5+JhDytjVNJYDhSDTLJiAVdaugZOojGES6QzgB4RarNgl3VqGs&#10;vElK5VkRB7lZ6QOXDLrpbxsIU/2Pes4Xfshfs9/GJSVNd4H32YbD+cSoeXL4ZKtBUh1RJ9DeWbZ+&#10;EPirAe583GTmy2ZS56sZNixK+JyKxvO6s9WRzX3kSEJ9Q/eep4UWWmihCVuvTm+xeQsttPAbhYZQ&#10;qg341UME3f+3sp++7H0a/xab/P5Fcb/PRc00ef6//x+plSv3fNfYrsa/N36/NUQT8Wm6voY/Nshk&#10;bHrcrT8TW2+wZWfIe/5tGkS3Fc2OisZ2yQ1/30ucNn7n/9/Uqc1CJE3X429S732vvYahETAM+ssW&#10;o5aFxdbEcWO3aHjKiMIPW7SR2NS9bV42otBUnS+PiyixDM/TKDCEhhbUkVo936rTagi/vE98nt02&#10;ernud/96h3/G1k2EvYFgbbKd+m+zfMxPexo0fyc22eKePe/xBEsCHV1b7NVCCy200Iz7tzFanqsW&#10;WvhNh7HRQPkscuB9dr+24Je1zxc5Dmx9PRu9I5+rXUIgdJ3Rhx7+Ai1poYUWWmihhRb+9uM+rQPx&#10;qctKLbTQwt87bO3f3tKDVfcKyIZDbP7QEFvs0/id/7toiuj5TK+LAF9qeat9/lN7r1pooYUWWmih&#10;hb//uN8F2BZaaOE3C1t5uLfMwarWLIQQmIaB4zhUq1Vfll1KlRviyLpkmQBfCAHwpbu9QruGrlGz&#10;bGzbIRQ0VU6IrOdwSCmp1mpoQjRV7PYqSZuGsXl+xqdcXCM+63tfWuLLiDdsoYUWWmihhRb+zuN+&#10;TYLWgm0LLbSA3MSDJSVk8gWm55YwdIPernbKlSprmRy9nUm6OhNIKcnlSywsryKlJBAwCZgG2VwR&#10;TVNkKRwK0tvdQblcYT1XoD0eZTWdJZMr0NWRQAiBoWu0J2IEAwEKpTJr6SwAXR0JAHRNY3VdfTbQ&#10;04lh6Bub+6Vgs/ymFlpooYUWWmjhNxlftqxWCy208JuCTQiWZGV1nTvjs2i6zsJyilg0wvxSimyu&#10;SGo9S09HAkdKpuaWsG2H4cEeyuUqdyfniMcjlMtV2hMxeruTSCnJF0oUi2XWs3nSmTxzS6vEo2EM&#10;XWPX9gEi4RAzCykyuTyVSo1K1ULXNWo1i/Vsnlg0TF9XEqUx9+tCa92phRZaaKGFFlqoo0WtWmih&#10;ha2w5fNBbEKwKrUahWIZ3dApV2qk0jWCwSDlcpWabXPz7jTtx/fT2R4jEY8SCgbYt3OYfKHE2nqW&#10;/t5OMtkC8ViEaCRErWYRMA2qNYt4LIKUkCsUiYSCyvMVMHEch1K5TKlUwXGl1EJBk2q15ocqbhUe&#10;+KX2TivYuoUWWmihhRZaAFpGQQsttPBFcQ/BcqSkUq1h25JiqcJgXyf5QgnTMBjq7cSqWXQnE2Ty&#10;BZZSaTra25iaW0ITgnyxzNp6jkKxrMIIcwXWswXWMnkioQDFUgXD0Bnq76ZUrmDZNjXLwTR0LMsh&#10;VygRMA1sx6ZarREJB4lFQk3t+9Kj+FqOqxZaaKGFFlpoYRPcl83RsidaaOE3Dp+qItgYZawLgW3b&#10;hMMBHMchEg7R05FgcSXN9Nwy0XAITRMspdKkM3likTDjUwt0tMcoFEoYuk6xrAhWuVKjLRYmnQmS&#10;zmQpV2ok2+MAWJYNgK4pIQ3D0CmVK0gJhq4jgXKlim07OI6D7ThbPru+FML1ZRbVaqGFFlpooYUW&#10;WmjhbwSe6Jr4dUU/fcn4u9beFhRk02/NY2dsJC2WrZT+Bno6mZ5fola16O5sJxAw+fDcNR58YB+6&#10;rhEMBOhoj9PdkWA9W6Aj0cZaW47hgW5S6QzxaISO9jjlSpVyRRXj7e1Osp7NYxoGtuMQNE062tuw&#10;bZtoOEgoGCAYMNF1jXAwQKlcZT2bR+QF3Z3t9Pd0oP26Jp9XabY1t1tooYUWWmihBV9f+HMaBvds&#10;dv9GhW3b3Lo7yci2fiLhMEIIUqtpFldWObBnB5qm+arL07ML2I7jlsARaELgOI5SaNYE3Z1Jku0J&#10;LNtmLZ2hUq2iCYEQwk/HANA0QTQSpi0ew5GScrlCuVxBaG5VL0fVyRGu+rOmaUTCIQIBk1y+wNzi&#10;MqFggJ6uDjRNI72eZT2TozOZIBIJo2maa9vdXx797PwStm3T3ZVkbmGZwf5ehBCMT82yY2SQcCi0&#10;6X7lcoXzl68zNNCHaRpIKYlGI7TFou61O1y5cZfhwT5CoQBr6SyD/T0A1Go1Jqfn6O7qoD3Rpo5X&#10;qTI3v0RnRzvxWIRCsUShWKZULrNjZEj1kZSUyhVyubxqhBAYuo7tONSqNd8Q13WNWDRCPBZtanNq&#10;NU1qLU1PVyedHe33XFNqbZ1qtUqyPUE4FPQ/X1hKsZ7JYts22wb7aIvHWiTtbwkaQgS9+lWCcCiI&#10;ZVnkC2W6ku3kiyUKxYrvRdI0jf7uJLPzKxRKZaR0QAj3BktSKJWJhIMEgwHKlSrhUJCujgTBgEG5&#10;XGX7UC/rmTy5QhGATK5IsVwlmYi74YI2K4UM5WqVqmVh6LpqW4sAtdBCCy200EILf49x4coNllZS&#10;PPbQcQKmyYdnLyAl7N896m9TrlS5cOWmS5qgWKqwvLLKyLYBBKDpOscO7yPZnqBarXH91hgrq2tU&#10;qxZr6XX6ertdsuZQqVToSLbzwlOPUq3VuD02yY3bY5QrNUW+wmFs21ZRRkgG+3o4fGAP3Z0d3Lgz&#10;zi/e/QhD1xnZNkBPVwezC0tMzSzQ0d5GZ7KdoYE+9u0eJRoJMzU7z1o6s+l1m6bBzu3DJNoUSbh5&#10;Z5xKtcrxI/v55Qdn+crzTxIwDd5+72O6O1/ekmAVSyX+9Mc/56Hjh1XbHYddO4Y5sGcnAI7j8OY7&#10;p3n1hSeIhEO899EFvvL845imieNI3vnwEx5/+ARtbXGyuTxnzl3hk4vX2LtrhNGRIVKraWzHYXVt&#10;nY72BLquYRoGS8spPjhzgWy+QHdnku6OJNl8gZn5ReLRKJVqlYBp8sipo1iWzfjUDJlsHl3XmZ1f&#10;ZHxqlpGhAUa2Dfgere3DgwwN9JJez3Dhyg1Gh4c4tH+Xf+3jkzNMz85jWTaWbbNv1yihBgL2RWHZ&#10;NmOTM6TTGZLJBLu2b0PXdRxHsrC0zOz8EuFQkJ2jw0QjYRzHIb2eZXJmHqEJRob66Uy2I6WkWCoz&#10;NTNHoVSmp6uDof7eTcm2Zdusrq0zt7CEYRgM9ffSkVTK5euZHLPzi1i2TX9vt0/m7zmGZbGwlGJp&#10;ZZVoJMzQQC+xaBQhIF8oMj27QL5QZKCvh97uzqayUL8a7iUnRv0rNZiGrhEOB1lZXUfTBH3dSVbT&#10;WVLpLDuHB5hfTNEej9IWU5M2mysSDJgsrqzRFo8QDBjYtoOUYNsOlu2gaxqZbMGtaQXLqTSFYplg&#10;0KRaqxEOBejvTqIJCAUDDA/2UCyVkRI0oWGaBl3JBJr262FXPm9r5bO20EILLbTQQgvAr24U3N++&#10;nhFZqVT52dsf+obhG299wDNPPMy1W2Ps2TFC0I322bNzRKVbCOXt+eTiVV567nHVaiHoaHdL3uga&#10;3Z1JNE1jbHKG6bkFThw9iKZrWJbF+OQM12+N8cJTj6AJtchu6AYzczMEAwGOH91PNptnZn4Kw9DZ&#10;t2sUwzDI5PLMLywTiyqvzuT0HFJKstkCXR3tpFbT1GoWI8MDaJqgZlnMLy4zM7uwIeWjXt6nv6eb&#10;RFuMsckZLl27RaFUIhIOsbC0Qs2yMAydTDbP/8/eewXXkaV3nr8013vgwjuCBL33ZLGKXa6rqqt9&#10;z3arp9VSK6SVZjWxJibmac3szss+aGN2I3YfNmJ2tZI6Wq6d1F2q7i5vWMWi9w4kAILwHrjeZubZ&#10;h7y4BEAABECQRRbPL4IE7s38Mk8eZJ48//N95zumaRJPpPB4XDh0nRu3btM/OIKmqUzF4wwMjdLV&#10;3Yfb48IyLUZGx/F7vTTU1XDizCVu3OoiWhGmuamOO70D9A2MMBWLs2PbRobH7CWIEIJcPs/w2Dj9&#10;g8OoqkLvwDA1VZVMxRL0DQ6jKApOp5PD+3bicjopFIsMDo2yaf1aIpEQsUSSsfFJqqMVxBJJMtkc&#10;fp+XgaERPjlxDkVVqY5WYJoWlRVhCoUiA0MjWJZFd88AyVSa6mgFVZURgn4fY+OTnDl/lUKxiGVZ&#10;XG3vZCqWwONx43Q5aayreWCBJYTg05PnuHi1Ha/Hw1Q8wZH9uzlycDc9/QP885vv4/G4KRYLtHd0&#10;842vvEgsnuDNtz+iUDQQwMUr7Xz9lS/hdrs4duIcHbd7cDodADyzfxe7tm2adU7LsugbGOaj42dI&#10;JFOoikJNdZQXjuzHMEw+O3ORoZExQBAKBjhycDdrW5pmHcM0Ta7c6OD85Rvk83kKBYMNbWs4vG8n&#10;uq7x6anz3O7pxzRMNE3jpaOHWL+2edme1XvqiyUuNOx2OVnbVEe+UMTrdlFXXcFUPElLQw2NtVG6&#10;+4ZIpDJEQn5qqyJomobToTMZS9JSX4Ouqfi8btwuJ6ZlkcnmyRWKCMsi6PcSrQiSzxcpGgZCCNLp&#10;HNXRME6HTjqbx+HQ8XncBHweTFOQSGYQiLK4Wu1VKeScVIlEIpFIJPciSp2nJfY4HrBDEU8kudbe&#10;gaoqBAJ+/uXtj/B4XIRDAZLJFNdv2mFtLpcTt8tV7qRalkUkFOTcxWvs27n1nuO6nE42b1jL6Pgk&#10;HbfvcPSZfTxzYBcA+XzBPncyhaqquN26LQ7C9nqlHo+bV55/htHxSUDgcjl55sDucnmrqyoRQjA+&#10;GaNYNEins5imRbQiTLFoEAz4aKqvJRwKUjQMNq1fS3ND3bzVpasq4dI8/UwmSyqdIZWxl/nJ5wvc&#10;6rxDbU2UbC7H8dMXEBYcfWYvVZURPjtzkXQmS0NdNZeu3aIiHKI6WkE2n8cf9HL5+i1279hMfW21&#10;nROgUCCWSFJXqELTNXw+Dx98coqW5gYA3G4XhaJB/8AwhmHidDqYmIpjmAa11ZX0DgxRV1PFVCxB&#10;Jpvj+SP78bhdtDTV4/N4eP6Z/eV+2FTBogAAIABJREFUazKVZu+OLXT19JPN5qivrSaVzhAOBTEM&#10;g1wujyUsQgE/CFsoaJpGOBSwxWs6QzqTpbmxHoeuMTQyTjyRQghBvlAgk83SUFdDVWUFuv7gHplE&#10;Ms3P33iHF589wKYNazl94So//fVb7Nu9lXc/OsH4VIzvHX2VsfFJfvHme2zdtJ7e/kFudNzm+99+&#10;nXQmy+/e/5Ta6ijr1zbz0fHTHH1mPzXRCk6fv8J7x06yZcO6suACyGRzXLl+izu9/bzywhGmpuJc&#10;vn6LoN+Hpqm0d9zm0L6dOJ0OTp27zJnzV6mrqZ4VLhmLJzlx9hJCCA7u2c6trh7OX75OfW0VhUKR&#10;9lvdrGttorY6ytmL15iKJSiWxNbKWTi0bt6/hK5r1FdX4ivF2LataSTgs+No17c2UizaYXvrWhpw&#10;OmyXYbQiZIsiy6KxrgqHrqMAPq+bhppKPG4XPq8bl0PHEoLqfJh0No+rVMEOh059TaW9UDFgluKD&#10;a6oiAGiqNuthnHlJMnJQIpFIJBLJ6nJ3YHd5fYyV9UjCoQA7tm7EsgSapvJXf//PbFjXwu4dm0tz&#10;n5Syd6K9s7s80i8EDAyPMD4xxdkLV0vL2gh0XWdtcyNOp4OuO31cvNqOaZoc3LOdYtFgeHSM2z39&#10;dN7upb62GkVRSKbSjIxNMDo+yfDYBG6Xk5udd5iKxRkem8DpcHCr6w7BgJ9oRYR1a5rIZnMUDRNh&#10;WXR294ECNVUVuFwOBoZG6RsYob62GoeuU1sdXVJdrGu1Q/pyhQIb2tbwyanztHd0A5BIphgYGmXd&#10;miacDgeKopDJ5qipqsTjtpcH8nhcBIN+ApaPlsY6YnF7npWuaxw5uJtT5y6zb+cWXC7bw1VfU0VN&#10;VQW9/YOoij0nDQRC2AP8qqYyFYuzb/c2xsanSCRTPH9kPw6HTiyWpKoyQk/fIBevtJPN5Th24iz1&#10;tVUMDY8xMjZJd08/A0Oj5PMFhkfHqa2OcuTgbto7ujl36RoBv4+tG2vI5nLc6uohFPSzf/d21rU2&#10;kkpnuXilneHRMZ4/coCtm9pIJG2B5Xa76B8c5ujhvbQ01eN2rUJ4oGGwqa2V1158Fq/Xg1E0+e27&#10;x8gXCly82s63Xn+JXds2kUpn+OCTU1xt76CqMsKXn3+G/bu3MT4xxfHTFxgdn2TLxrXs2LqRl48e&#10;wrIsRscn+OzMRUzLBO4KrGQqzfDoGE0NtTyzfxej45OMjE9wq6uHSCRIwO+zPVEOnd7+IXr6B4nF&#10;E3jcVXfLXZqH1tJYz44tG1BVjc7uXtLpDLd7BvB43Hg9btKZLNs2t9HUUIuu3RtmuFwWzCI4PfNq&#10;5o4OXaOuusL+XgjCQR9CCAQCp0PH5dAR2GtVCUBXIRTwYQmBpmmEAncn7wX93vJnIQQWQMkF7fW4&#10;S8cFTVUJ+r32ftNlUSDg88z+jpUNEi3k+ZJRgRKJRCKRSOZnGT0EZaYkWx7FokHXnT7Smax9KEUh&#10;l8tTNAwmJmIoqp2YwjBMtm1aT0/fIIPDo2ileSij45NMxRNcu9lVWjtU4Ha6qKqIkC8U+OzMRQD2&#10;7dqGrumMT05xu6efqzc68Hm97CoJu6lYggtX2xkbn+T2nT58Pg/nLl0nmUrR3TOAw6ET8HtZ09xI&#10;KBjANE0ymSzZbBZN00im06Us0nmMolm6lmVXB06Hjq7rjA8OMzg8hq7rbNm4lprqKH6/j2cP7WHb&#10;pvU4HTqKoqCqCi6nA5/PQ3NDHddvdjIxFcfv9XKnfxBVU4lW2AP2Dk3HMEyutnfSWF+Lqik4nQ6O&#10;HNxD/9AwAkEw4EPXdEIBP8OjE+glj5KuabSsbcHv99LTN0go6Ke2Okoul+dm5x2u3Oigsa6aGze7&#10;GB4dZ3IqTk/fALqmMjYZwzRNunsH2L19ExWREOlMlny+SGtzBL/Pi6IoGKbJVCyB1+smHAqiazot&#10;TXW0d3YzMRVDUeDk2csIIXA6bYHp9bhLovDBCQR8fO9br+HxuOkbGOZ373/Cob070TWdZCpNbZUt&#10;klVFIRIOMjkV57UXj6AoCql0hjMXr5JMpdmxZT211VFef+k5VEXhRmc319o72bqxDVVVicWnPUgq&#10;yVSaQsEgWhlBUeyBBI/bTSKRxutx093Tz/Vbt/H7vNzpGySbzZFIpvG4XRQNE13X8Hk9PHtwD26n&#10;k6GRMc5fvk44GCBaGeHspWsMjYyjaSqWZZHOZAn4fVRHKx6wtha+uRf0JVrTKSOZkT6ytG064d5M&#10;pveZj+lt89nMZzW3uPcLC3xQgTTf9UgkEolEInm6eVSDsJZlMTg8RiyRQMHuqN7u6SeZzqAqKrqu&#10;YZomxWKRbZvXs3l9K031tXbmQAQDgyP09A9xYM92u9+mgK5qBIN+0pksrc2NdHT30N7RTeftXkzL&#10;IpXOkMvlUVWViak4rS2NBAM+Nq5bg8/jIRZL0NxUz5aNa5mKJUhnsjgdDjZvWEckHETXNHr7h7jS&#10;3kFlJEwkHMSp6xiWha7rhMNBGhtqqa2JIoRYcnY7y7K4drOLS1fbSWezbMrYa6SuX9eC2+XC7/NQ&#10;X1NVjoACSuGIfjavX0trcwOFQoGaqkpGRsepilbQ3FiPZQmy2RzvfXKSvsFhmpvqSsdQ0DSN2uoo&#10;d/oG8Pu8uJxOsrkcXT39KCgc3LOdGx230TWNvTu3MhGL8Q+//C2JZIojB/ZQNAwMw6ChroYN61oI&#10;+H1YAmprokzFE2zd1Mbtnn4KhSL1tVVomkahUASgubEOp8PB8TMXCZWuYXR8gtHxCdY01RMJB3G7&#10;1nLx6k3bGRHwMz4xhd/vo7YmSjKVxjDNVbsXnQ4HFeEQx09f5OyFK7hcTr79+sulpCgwKzl5yb3r&#10;93kZHB7j2ImzDA6PcfTwXrZsWIfL6SSXK/Dh8dNcv9lFbU0VLzx7kGQqzScnzjM8Ok4kFKSmuhJF&#10;Ue4eWdg6xOHQ2bFlA/FEkmMnzhIJBUmnswQDPiYmp7jW3snI2ARVlREO7NlObXWU9o5uTl+4Qiab&#10;4/D+XdRWR8lk7ft826Y2KivC/PLN97h4pZ3Geju08kFY8hysae73GDwqm/n2mU+AreTcs7cpMlW7&#10;RCKRSCSSMsvtEqx0sFbXdXZv30yxWERRFN756DN2b99MOpMlFPSzY+tGFIVy9rjmxvqyrWVZ6LpG&#10;KOBn0/rWe4SM3+fFNC2OnThLU31NOf24oigUCkU6u3tp7+jmwJ7thENB22uia/T0DXBg9zY2rFvD&#10;6PgE4xOTuN0z5n4JgSUELqcTl9PJ5FSciViCcNCPqqrous7kVJyhkXFqqipxOZ1LqgtFUXA6HPi8&#10;Hmqqo6xd08jFa+12Z37GiHgylQbA5/WQyWRRVZVPTp7jmf27QVHY1NbKjZtdvPbis3x66gKZbBa3&#10;200o6CccDHBw93Y8XjfxT5KcvXgNr8fNiTMXy9nyFBQCfh97dm7GMOwMd80N9fQMDJa9OPlCkbqa&#10;KkCwsW0N6WwWwzBxOZ04HA78Pg+pVJrd2zdjmha5QoHmhjoURaFYNPB6PSAglckwNDyKYRg01tcQ&#10;CvhRUDBNq/w3ppRCvzISpr7OzoK3dk0jfQMjGIbBVDyBx+3GVfJqrRTLsvjw01NcunaLTetb2VOa&#10;u5YvFPF5PQyNjNuhrEIwEYvT2tLA6Pgkb7z1IW63ixee3c+2zRtwOR0kkmk+PH6avv5hdm3bxPbN&#10;66mKVpBIpqipqsTptOsoGPCjO3RSpb9pLp8nk8nhdDoJBf1s37KBbDaHQ9cxTBPLspOCCAEup4Ng&#10;MIDDoXPp2k3OX75OKBjguUN7WdNUj6ap+LweIuEga1uaqKmupKGumlg8QS5XWHE9LYpYxIMlkUgk&#10;EolE8vSy2mm1FkbTVBrqqskXCpy9cI3hkXH+i2+8Qjqd5bMzF4lWRjiwezuOUkjcfEW1LGtBT5Fl&#10;WXg8bg7u3TFrxD6VzmCaJv2Dw+Xvkqk03T39ACXxYHsqLEvMilZSgLbWZjvc7kYH/UMjKApEKyM0&#10;N9ahaxrHT1+gf3CYjevWMDg0RjyRXLAOBAKHrtPUWEfb2mY2b1hb7tSrqoqwLIqGUd7/yo1b6Jqd&#10;lCOdydFYX8P1m13c6rpDLJ4kHAqQKxTpGxwmlkjgcrnwuF0cObCb46cu4nY5mZyMMRWL09M3SL5Q&#10;IJFKUxEOca29kw3rWtBVjZHRcSamYsQTKSLhIAi40zdALp/D5QrQ0z9IW2szkUgIh67T3dNPLlpJ&#10;JBwkl8/j9bjRHbYwEEKU/0aapuJ1u1AEmJadSEMrXafX6yFaEcbtKolSRSGby3P6wlUqK8Ikkini&#10;iSROh4Nczg6Xu9M7wLbNGwDB9Ztd7Nq+marKCFfbO5mYjLFv11b8Pi/HPjuL1+Nm+9YN84re0bFJ&#10;/u6Xv+Hw/p00NdQyPhEjnc6ypqWRXds38v4nJ2msr2FodIyJyRgb21r56PhpLl27ye996zWcDged&#10;3b1UV1bQPzTM2x98ypEDe6iIhBgeHSeTzdHUUMuhfTvK58xk7SyUZy9d4+S5y0xOxRgaGePQvh0M&#10;j0xw5fot1rY0YZgmqXSG1pYGWpsbWb92DdPP6dDIGB8eP02xaLB5w1py+Tx3+gapr61i0/pWzl++&#10;zqVr7USHI/T0DbC+tQW/b3XCKudjlsBarClZaNvjYLM6yCBBiUQikUgkd3mwPsfS/V/FosG1m51c&#10;be9gZHSC/Xu2sbFtDYqikslmOXPhKrfv9LN7+2a2bW6zw6mEIJ3JMjQyxu07ffc9x8RkjA+OnSIc&#10;CiKwPTS5fJ7bPX0EA37AFlynz1+hvaObZ/bvwu/zli5FYAlr1gLFmWyOvsFhevoHy9kGeweG8Hs9&#10;hAJ+unvtlNiRUADLsujs7qWnf3DBahFC4PW47QWPTZPxyRher5tMNsfYxBTvfnyCttZmUukMNzvv&#10;cOLMRQ7v30Vndy9utxPDNKmqDNtrbcXidHT1MDkZ41bXHWprqojFk3jcLvoH7ZTsmq5RU1XJN157&#10;EYDrt7r4yovPlTw4p2lsqKG2JophmZiWRX1tNXt2bOZaexfXbnby7MG9FIsG7398EoeuEwj4yOUL&#10;TEzFqa2uIpFMkc3mOLxvJ6qi2gLVsj1SsXiCkbEJANxuJ7mCs+z1m05kEk+mGJuYpK6mmmLRoFg0&#10;cLmcDI2Mk83lUQBLWNRWRzl94QqFfIGNba3k8nm67vSzYd0aREWE0bEJ+odG2LFlA/igp3+IUNDP&#10;lk1t894niVSKUNCPaVqcOn8Fq5RCfk1LA6+98Cy//M17fPTZGQrFIq88f5iWxjpOn7tMtCLM7d7+&#10;Ukp2J3t2bKZQKOL3ekmm05w6dxlFUWltri8lHLkrQbweD7u2bWIqnuDk2UuoqsKm9a0lr66B1+Ph&#10;/OXrdhK+2ir27tg6IwuhfTNl83mcDgeGYdLe0Y1pmlREwni9bvZs30wimaK9sxu1q4f62mr27txK&#10;wO+/73OzGAs+3coKPFgriaB7VDYPjMx4IZFIJBKJBHiUnYJisUh3Tz+6pnH08N5SiJUTRVE4engf&#10;FZEw1292cqurmy0b15ZTSycSKU6du0wmY883WSg0zOl0UFNVSaFQLCfSACgYRVwuV9mrlcvlyeUL&#10;7Ny6sRSWqJTta6ujszweRcMgk84SCvhpa22mqcGeE1Y0jPLiu3t2bGHzhrX4vB7Wr22mpqrybqHu&#10;GUm3Mx+GQwHu9A6QSmfY0LYGXddpKy1AXFNVybbN6+m600sg4GNdaxODQ2Mc2LOdkbEJCkWTYtGg&#10;urKC270D1FRXAgrZbLaUWj3Kzc5u1q1poqaqkoDfT3NTPZ+evMD+XVvZv3sbmWyWsckpjKJBfV01&#10;6WwWIeDwvp14PG6yuRw7t27k4N4dxBNJzl++QTyRJFoZYWPbGqqiFTTUVjMwNIJhmrStbUEIQSRs&#10;JwVRFIV0JsvwqJ1uXVNVCsUi9bXVuJxOpmIJwA7BtBMx2AviPnd4L+GgH6fTSV1NFKfTSXVVBWtb&#10;snz82RmqoxVURMIAvHT0UClhBGzd1EZrSyO+krfm2YO7cTh0nA4H81FTVcmf/P6/KntEhQCPx42m&#10;qrQ01fO9b77K8Mg4TqeTdWsa8bjdvHT0kJ06vuSsmJ7TpmsqP/ze12d57sLBwD2LBKuqSlNDLa+/&#10;9BwDw2N2ZvHaqvJixS89d5CBoVFQoL62mmhF+N5yRyt5/eWjpDMZ7GXM7LXVQgE/wYCfF44coH/I&#10;Dqesq6kqpbV/sDWwFkPJ5Iwlu25W4kV6FF6saTGmKsvPVmMviCwomgK/V0dVl7zihUQikUgkki8Y&#10;hinIF0yEAF1XUJe6DJawl5gxDIHbpeHQ1SX3SYpFg4GhEYKl+UFzO6AA45MxYvEEa1saSwkHBOl0&#10;hu7eATRNo6GumlAwME+57PWS+gdG8Hk9szqVVmlej9PpoK6milwuTzyZwu/zzspKVywWSSTTqKpC&#10;pLSAcaFYJJ3OoOs6fp8XIWBicgoBBAM+DMMsd+SXOydoOgPftKcjFk/g9XoI+H1MTsUZn5jC63HT&#10;UF9DMplGVVVSmQypdKZ00XePpSh2iGQoGKCuporbPf3oumYnCVFVTNNiZGyccDCA1+vBNE1iiSRe&#10;jxunw8H4ZIyJyRh1NVV4vW6mpuKEw0HcLhemaZLOZDEtex2rQqEIip0ZO5GyyxUJBTEM+5hCCKIV&#10;YTLZHBOTMQrFor3OmmLPPaMkaKYJhQKEQwE7mYlVShk/596w059P4vW48fu88947ktUnnTUQFui6&#10;/bebe4srmZwhVlM4LdVmqfbLsXkggWUJ/O6SwJIKSyKRSCSSp5LPQ2BJJJIni3TWwLLAodvaY+4g&#10;gj538V5YXPTck2r9MbJ5IOQULIlEIpFIJGXE3SzDS+Ge3WRaYonkaWVZfsQHWeD3caZcRtkOSiQS&#10;iUQikUgkkiUwe6Xgu5STXKxEWzxMm+WEEa4Gyj2/SCQSiUQieXp50CQXskMhkTytqLA80TPf76tt&#10;A4sntFhNr9iT4GGTSCQSiUTy6FlWH0F2KCSSp4yFH/pVTTWyEvGzUsE039yxlVKel2bndXzAo0kk&#10;EolEInlqudup+FyLIZFIHh7KnJ9z0WeG4s3ccSEP0nzNxv08U6tpM7e8S2Wx65kWeZZYZcUpkUgk&#10;EonkiUKI0mo+it1zsJfkXQIzdpJjtRLJF5dpzbBYmtAvhJ540CjnaZFlWrJFlEgkEonkacYSYFkP&#10;Ms9cYFgWskshkXwxsSyBaQmU+4UIKtw7lfN+UzsfJ5ultGELnUehlL8eKBSFHHWSSCQSieQpxbQE&#10;hmkhhLAXD2V5c86n+xOGKbAs2aeQSL6IFA17AEVZqIGQEXFQWkAbTVUwLKsksmSLKJFIJBLJ04QQ&#10;YBj2QsGqsmj0z4IoCqiqPcJdKFpYsj8hkXyhMCxBrmChKqI8oDKfyJolsBZLOLHQtsfB5kGZbhBV&#10;BbJ5U4osiUQikUieIoSwR6WzBRNLCFS15I1agchSFQVNVcgXLfIFC0vGCkokXwgsS5DJGViWQFMV&#10;1FL7cE8zocxYB2uprGRd8kdls3IUVEXgUBUKliCdNbCEhsuh2iECcikLiUQikUi+kNjeJkGuJK4c&#10;uoKqTie2WF4HQMHuM+iqPY8rlzcRAtxO1T6m7E9IJE8kBcMimzMxTLuN0FRQFnmglUzOWPLQykoW&#10;/l1sPauFjrVcm2kxtlKXPthZgywBpikoGvbvmqbg0lX0WY3t4uWdKQyXeo3LsVktobrY9ysp1+Ns&#10;s9y6XG49L1Su+53/UdpMs1ybpdbDatrc72/zuNusRvt4v/1XUq7H2UbW2aOps6XaLdRuLLVcj+N7&#10;YK6NwBZWhmmLK8O0UBRwaAq6RumdryyvoqfPJ8ASAtMUGKY9r0tVFZwOFYdme7cU5cmrs/ux0nfn&#10;NI/re3A1bBZDtmnz2yzGo6ozIQSmBYWiPYUIBLoGuq6glRwwC4ksJZMzxHILOrOwD9IRXYr9cmwe&#10;RGCB3SAKC0xhx2Cbll25KHfF1dwH6H7MLPfDsllJ2R6lzeNYZxLJ48wX6Zl+3K/lUdk87e+Bldg8&#10;rDqbVR5hz6NQFQVdU9DK4mrhjtP9mD6uZdn9CsO0+xOWECDuerEWK+ujqjOJ5HHl826f5n6vQrmN&#10;0Mre6IW90kp6Hg/WYk3KQoV+HGweVGDZStNuFAUCwwJh2t6s5U5UXe5IzkptHgWP6lq+SHUmWR6y&#10;YyCR2Dyubdrj3KavtM4UxZ5Doap2uI+qKCgqDySuymWa7k8Ie6DWsmxP1nT/YqEuxeNeZ08rcuD3&#10;6WR6mpA9rxI7LHBG+PBizcSy5mCt5EZ5km6u6YpSVFCEgkMDodoNpWDanz8zwEAptaIzwghmudns&#10;0apZn+9rM8/n5eyjzNg469xLsBEzNt4j6QWzht0UMWP7IjYzT6aIGdvmuf65NrPKtZjNDObW+7zl&#10;mmszp76WY1O+L+azEbO/VJZw38xrM7197ud5bJQZv5dsFEW5e+vOey1zDgV3w1eWaKMwo/rms5nb&#10;CC1pmHnO/SPmfF4Nm5nPZblcS7GZwXKGzB+6zcOuszn3cblcT0CdLThMuUCbPq/N9HO7xPfA9IdZ&#10;dTbdPi1ms8JrWWz7atjc83nuNS2yz0I2S353Tv9YxGb6PPd7p01/pcz4N6Oz9KDiavrYQtjzu4Wi&#10;oCh2mODs/sQcFnt3lrfPuJ5F3wPz7M9SbFb7PTjXZs7p72sz470H93nWFrZRUO4+dvOW6xG8Oz+3&#10;dvBxenfOtbkPn2edlVIETmcKVGfmZFDuW6N3PVhLaU7u1/6vls1c26XaPKgHa9Z5S//NfFBmd33F&#10;jHItfNK7NmLG78qit+FKbOaU/r7lmm0hZlzX0lasfzQ2D7fOZtrc5XGqs+lruVvKpV3/7JDW1baB&#10;5d+Nypyz3M9arNhm6XUGd/8mS73+u3uszGa5LeByrmXmmZZarvm2L2yzkmtY6BjTPJy3yOz2+VHZ&#10;LLUV4JHYzGb1ruXB3oNLbwfnb9NX791R/m5mR0lZWlu+XKazEs/teC/9mX6QOlt6a/2gNkth+dey&#10;9PfAvdf/8N6dMP2+Wfp7QMxjsxgrfw8+/Hfng7wHH9TmfnsrzL1/Hvw9OFNbLHUARknnDLG0Xe+e&#10;lHkKs9osdJ7Fzr9aAuue88mU7RKJRCKRfDF5SMJqLrI/IZE8qSw/A+iy07QvRrnZEKIcfzytiFV1&#10;/pKtVLAtR50+CPYI16NoeiUSiUQikXxRkf0JieTpQZ92pU0zU7TM/LzQ9pnfKUAuX+R6Zw9ddwYB&#10;O4a1qjLM7q1thAK+crKI+zUxC51nbnmXysoCdJZn8yjO8UW0kUgkEsnyeJzb9Kf93SmRSCTqgx5A&#10;wc7Ao+sqDl3FsopMTMVxuxzs2LSWmmiEyViSXD6PQ7f302Z4s6ZF03LPqcz5LJFIJBKJRCKRSCSf&#10;NzrML1CW6mGyLIvhsTijEzEUBbK5PJNTSVxOB4WiQdEwSaYz3OzqZ3Q8hqppRCMhohUhFogaXFY5&#10;YGkhgisRYSsRfg/7HF9EG4lEIpEsj8e5TX/a350SieQpR2AvNLxSe0tA78AIx89eRVUUHE7dTkEq&#10;RCl3vIIQovxZCEE+X6Cpvpoj+7bh0LXVug7bk/YQklxIJBKJRCKRSCQSyZIQc5JcLBZrPHebZQmG&#10;xyY5e+UWTfXV7Nu+AV3TZqWhnDlbSlHs+VnXbt0hlcmV05be7zxLKZtEIpFIJBKJRCKRfO4oK8gi&#10;OO0tsoTF6ESMVCrLoV2bCAU8WNbdAwP3rAenKAq6rq1a2J/kyeFpn/QsJ4o/njaPa7keZ5vHtVyP&#10;0kYiWQny+Xw8bR7Xcj3ONo9ruR4nm1kCa7EDz83ep6kaa5pqGR6d5PTlmwghcDodmKZFvlBEURTc&#10;LieGYZAvFnE7nViWRTKVWXQZiIWyBE5/L4WXRCKRSCQSiUQieVxRMjlDrHQETwCTsQSfnb3G+FQc&#10;TdOwLItsroCqqnimBVahiMvlQtNUFAXaWuo5sGsTunb/OVgzy3a/cso5WBKJRCKRSCQSieTzREnP&#10;k+RiMY0yn3cpXyiSzeRBEaTSWS63d+P1uNi9tY2+oXFudvWyfVMrNdEIAB63C7fLueA8rIXOc7+y&#10;PSqBNd8aYEvZX2q/B+Nxcfs+qM3ce/t+Nsvdf7nl+aLZrPT5lDZLt1lo/6XM432Y5XqcbR7Xcj1K&#10;G8m9rLQ9fFzb3MfV5mkLfZNt2qOxWYxlCaz5Ty6IJTJcuNZBPJnG6XRQE41QLBoMj04SCHiJVgQZ&#10;HY+RzuQACPp9bFnfTF115X2TXSy1bLD6AkuIUjnEwuWZ37D083F62j4PG4X53wQLfTcTZZ5tT4PN&#10;g9TZzGMutVxfNJu59bycnv797vP5lNvjYjPfPku1WUqdPcg57neML4LN41quhWzu9zwtx2alZVjM&#10;5kmrz/vZTLMa746F/jbzvTseh3fa52Ezc59SnShzd5tZZ3P3X8k5vmg2q/keeBLeg4vYTOsKZcbv&#10;S6E8B2ulusSyIJ5I0Tc0Rl1VBdGKEI11VRQKRUzLojIcoK66El3ViCfTWEIwNhHj1IV2Du/ZQk1V&#10;ZF6RNd99/6iwU82X7jEFNNX+5VGXQyKRSCQSiUQikTx6BCCEwLLAAhRh64KlCC0lnTPEgwziWJag&#10;b2iU81c7OXpgOzVVYQzDQlEU1NLaV5YAVQWlVKKJqQQnL7RjWRZH9m8lHPDfI7KWIrrniu0H9WCJ&#10;krvKtBRUBRy6grqU1ZAlEolEIpFIJBLJFxLDFBQNy9YbJW2wmObQ57pN7+dVmytqlDkbbWVnb1FU&#10;EJa9s73wcGn/6f0QC3qF5pZj+rt73LxLZGneSIFpgqYpOB1KWRBKJBKJRCKRSCSSpxOHbuuCQsHC&#10;sgSqCkIoC4qsZa+DNRMBZcWSSme4eL2LaCREQ22UQsGgd3CESDhAbVUFg8PjJJJpLEswOhFDIDi8&#10;ZwuhebxXy2VVZJAA0wJFiis8AZFIAAAgAElEQVSJRCKRSCQSiUQyA11TEE6VQsEshwsuNGVNZ4EN&#10;95MXZQ+TYietqKuqZHIqSTqTwzBMCkaRgaFxUuks+XyBwZEJEqkMqqIQCvjYtrGV2qqK+4qrpZRt&#10;KXNiF53fVp5zpeByKKuk2CQSiUQikUgkEskXBYemYGkKplWamrRAEjIlM08WweVjz7dSVYglk3x2&#10;9gYup4MDuzZxp3+EG529HN6zheaGKKZZOrcAIawHPzUPPgdLCDu2UtcUnA5Veq8kEolEIpFIJBLJ&#10;PZimIFuw0FRR0h5zdIOYEyK48qyuAksILBMUNDRN5XpnDx09A1iWIBoJ4dB1TFNgWWLVs8c+KHcT&#10;cUhhJZFIJBKJRCKRSOZHVUFF2HkmNNtRM0tjKXM8WEsRPnO335NVUAiy2TzpbK7sWnI5Hfh9HjRV&#10;XbXzzLVZqQdLYCtR0wKvS0NVF56wJpFIJBKJRCKRSJ5uMjkTSwh09W4iv5nM8mCtRFfMtVEVBb/P&#10;Q8DvAXFXGM2ca7Ua51ltxLxpESUSiUQikUgkEolkDotMstJnbl+KtljK4shCiPJCvUu1Wcl55u67&#10;IsT0ScTdz1JkSSQSiUQikUgkkgUQs36bLR50Mc+Oi2XumyvWHgeb1aCssaS4kkgkEolEIpFIJAsx&#10;05M0D+qyjrWS86/A5nPhiSmoRCKRSCQSiUQi+bwQszwy93pnVn0O1mrZKCyc8GK1KS+YLOdgSSQS&#10;iUQikUgkkkUR5f+XtdDwfDzq5BTLSeP+oCjSgyWRSCQSiUQikUiWxMJzi/S5X0yHFFqmiaZppbSD&#10;0/6ku36l6UQWSmmBrenP0yiKUtpd2NumizAjlwSKwvTSU9O2qqpg2asQo6gqwrJK38+OZpx5SQ8y&#10;dUrM+SmRSCQSiUQikUgkK0WfG4qHAul0jtu9g2xc24Su28LGMMyyoHI4dIQlGJ2I4XI5CPl9TCaS&#10;FApGaTVjgdvlJOT3EUummYqn7EV8S0poplwLBXyEg36m4ilM0yQS8jMRS1IoFgkFfEzGk7idTmqi&#10;EVRNvSd0cKks5PmSkYESiUQikUgkEolkOSgoC+oHfc6eIKBvaJTLN25jWSYupxOX00H/0DiapiIQ&#10;bGhtpDISZCKWJJZIsb6lnks3blM0TTxuJ9lcAZ/XzZ6tbdzpH2ZgeJxI0M9UIoVD1/F4nIBCNpun&#10;Ohpm15Y2Eqk0Q6OTBANexifjxBJp3C4n2VyecNCPw6ETrQgtcIEPRjlTu0QikUgkEolEIpHch2n9&#10;MJ8OUWGGF0dAoVCkd2CEmsowV2/eIZHKkExniSdT1FVXkMnmmYqnAWiqi9JcX40AnA6dvVvbeOHQ&#10;Traub0FFwbIEDodOY22U+tooiqKgaSqaqlFXVUFLYw0KCpZlURkJ0tpUi6ZpOBw6XrcL0zTxedw4&#10;dR3DMMsXMNfjtBRxdH8vlfRhSSQSiUQikUgkkgdAzDMHK18o4nG7aK6vIpXN0tpURyqTJeDzsKax&#10;mvGpBJaw6Bsco7tviNqqCsI1Udu4NMlKmf6JLdriyTSpTA4FhWLRgFKooSjNzxqbiNPVO0g44CMU&#10;9BGLl4SY5gRA1dR75mCtJrOk1VOwFpaYMVnODumUSCRfVMpzWhVFPu8SiWQW0/2w5bYPM+fdq6ps&#10;VySSudwjsFRVQVNVrnf2Ek9luN7Rg9vtBEXBtMCyLFRFoSLsZ3zSDudrqKnEtCyGRifJ5PJMTCWY&#10;nmwlEGiaSjjowzBMEqkMToeDVDpHoVjE6XAQCnjxed1MJVIIIJPNk83l7Ye39Nzm8gX73A9NaIkV&#10;iSshBIZh0Ns3SEN9LS6Xk3w+DygMj4xSWREhEPDf3dc0Sacz08Ylr56GYRhYlkCUM+sraLqGz+vB&#10;ME1SyTQutwu/z4sQAksILNPCMA0KhSLpdIZioUg4HCQUCmJZFoZplsWUAmiahqZpTMXipDNZKiJh&#10;fF7P6lSfRCJZlHgiSSaTJRwK4nA4sCy7LcjmcoSCQXw+L2An/Mnn8+TzpTYQgappKGA/0+V2QkEg&#10;cDmdeDxuNE2b97yjo+MkUymqKiuIJ5LU1lThdDrLnalkMkUmk0WUYgEURQXE3bZDUQkG/Xjc7odc&#10;QxKJJBaLk0ymqa+vAaBYNMgXCkxMTNHS3ICqquXEYvm83VdS7BFrFFVF1zRy+Xx5H6XUF3PoOn6/&#10;b5aIEkKQyWQZGBwmFApQU1215HIahsno2DiGYeD1euw59OEwLpezvE+hUCCRTJHPF+6xV1WVUDCA&#10;x+OWAz+SJ5YF71xljsASAtwuJ1vWt9De1UcylWV9awPZXJ6+wTHbI6UoqKpCJOSjqjJM3+Aomq4T&#10;CQcYm4yTTGUoGiZ11ZXomlZKjKHicbsIB/143C5CQR9Op874RBxFgYDPQ1VFsBwqaFoWiWQal9NB&#10;vlAk4PcSCflRNY1ZqQpXifIRl5ntQgjB8MgYXV3d/F//91/xp3/8+6xva+XmrdtUVVXyn//yJ/zB&#10;D/4VB/fvBhQUVWF0bJx33v2YXC4PgM/rpaamisHBYabicXRdBwSGYVJfV8sLRw+TzeV4/8NPCQUD&#10;HNi/m3Qmw8REjHw+TyyeYGJiiv6BIQqFAq+98jxHnz3E8MgYHZ23SWey9t9MUVjb2sKaliaOfXqK&#10;S1eu8+1vvMaObZtXtzIlklWiUCgyMTlFRUUYp8PxxL6E8/kCY+MTvPfhp3R03Ob5o4epqqqkWCxy&#10;89Zt7vT08+rLR9m1c2upfVW5cbOTS5evkSk9v5WVFXg8LgYHh8lkc+iahmkJTNNgy+YNPHNoH8GA&#10;H9O0EMKaNVb09rsfcf7iVb75tVf59Ztv84Pf+xa7dmwpi6xjn57izLmL+P32QFAmk0FVVTxuN5YQ&#10;pNNpvvG1V9iza/vnVocSyXwIISgUikzF4oTDQdwu1+ddpBVjmiY9vQO8/+EnXLh0jT/94x/gdrkY&#10;HZsgHkvwqzff5v/4i/+5NBCjoOsa19s7OHnqfLnd8Pm8NNTXcunydQQCXdMxLRNFgba1rbzy8peI&#10;xxOMjo0Ddt+np6efn/7iDbZsWs/Xv/plpifja7pGRThMNFpRLp81Y8B2KhbnV2+8xVQsztrWZgYG&#10;h/nyi0fZtnVjKQO1wsDgMG+98xFDQyO43K5yu2SaJqZp8dXXXmT37u049HvG+iWSVSWRSFI0DAJ+&#10;H06n8/4Gy2EB58zshYYV0DUNt0snnkjh87iYnErg93swDJNsLodhmCDAEvZDksnmSWdy1FZVoKkq&#10;LY3V9A2OEQn5yxkIg34v1ZURcrkChmnPpaqrqsAo2vaWAMuCbK7AZCxBLJ5CUcDv85DLF0mlMxQN&#10;Y8UZBBdFWXlEoGVZHPvkJG/89l3OnLuEpuk0NtTS0zvA177yMufPX2HXjq3kCwUcuoNNG9tIJdN8&#10;+tlpzl+4Qk11FVs2b2DjhnWcv3iF4yfOsn3rRvKFIl3dPXzttZc4fGAPbreLXC7PydPnGRufJJvL&#10;ceHiVYqGQV//IB63m4P7d7Nj+xaamxoA6O7u5Z/feJuRkTFUVUXTNL72+kv4/T6Ghkbo6xtgdHSc&#10;iYkpXG4nHvfCI+ASyedBKp3mN797nx3bN7Nj22ZcLucTKbKmYnHeee8Yv/zn3zA6PkFf3yCarlFX&#10;V002m2NwcJRo1PYuRSJh1rU2MzIyxtvvfsytji6aGuvZsX0L1VWVvP3eMcbGxtm4YR3dd/rIFwr8&#10;8F9/hwN7d2EJwc1bnYyMTiCEVR65vnzlOlev3WTXji10dNzmr378j/zJj77Pnt3b0XWdjz85yQcf&#10;Hee1V55HUVTe/N27hENBjh45SC5f4NdvvsX6tlYpsCSPJZOxGG+/8zEbN6xjz65tszwoTxL5fIGf&#10;/eINPv70FP0DgxiGgWma1NZUg4Ab7Z2cOH0eh+7A5/NyYN9OhofHeOudj7jefosjh/ZTXR1FAX77&#10;9gcMDg7z7JED3OrsJh5P8G/+5Idks1neevcj/uFnv6K+rgZFUSgUigwPjzI6Ok7n7R4UFArFAoZp&#10;8NLzz/KHv/9dMpkMXd09jI1Popba4EQixaUrN0in0+i6zvkLV4jFEni8Hta1NqPrOkPDo3z62Rlc&#10;Lidbt2wsD9JPTsU4fuIM69ta2bljC0iBJXnI3O7upf1mJ9u2bmLD+rU4nY7VO/gC3RIdZqcwLxQN&#10;rt7qQdc19u/ayJX2O+QKRVKZLDe7B4glUtRWV6CUBNZUIkl33xCmZeH1uPB6XCgodPUM4na1IARk&#10;sjkSqTSZXL6UNCODaVnk8sVyuSwhiCdTGIZB0TCxLItUOksul7dDFJd/bUtjrmJbYpigEIJ8oUBF&#10;ZYQ9u7Zz6fJ1mpsb+PjYCb780lFMyyKZTvPhsc/46S/eoCIS5j/+T/+erVs28G//7Ef8p//zP/Oj&#10;3/8uzx89jKoqbNm0gWQyxb/7b/+Mqak4P/3FG/zwX3+H5uYGMtksX/3KS+zcsRUhLBob6nj15ecZ&#10;G5/gF7/6DVWVFfz5n/0Ij9uFqqlYlsWunVtZs6apJEztNJKmZXHy9HlOn71I/8AQ775/jItXrrNt&#10;y0YOHdhDOBR8kJqUSFaVUDBAc3M977z3McIS7Nq5FafzyfJkTYfZ1dfV0Na2Bl3XMC2TifEY27dt&#10;YnhkjKGRYX731vtMTsU5sH8X/+ZPfsjLLz7LyOgY1dVRvv/db7B75zYcDt0OxR4a4U/+6Pv87Jdv&#10;UigafPNrr1JREaFQLPDjv/05l6+2E4mE0EujyIODI+WR5HAkxMTkJMc+PcX2bZvRdd0O4Q4HWdPc&#10;iKLZYTsVFWFaWhrJ5fP4fb6HOgdWIlkpiqIQDPhprK/hgw8/RdPUsnf2SSOdybBpYxu9/QPk83mc&#10;LicfffwZ//tf/C/85O9+gaLAT/7uF1y70cFzRw6wb892Xn7xOVLpDP/f3/wD/+kv/gMBv7/cN/nN&#10;Wx/wv/2v/yN//ZOfceXqDf70j39Q8l5NMDkV49WXv1SKmLk7F9uy7GkLExOTXLh0lcGhUQD6B4b4&#10;f//q77nR3kFDfS0AhmHQNzBEPpfHMAx0h0ZPbz8XL12lubG+1LZoBIN+Gupr2bZlY+lcMDY2wa2O&#10;2zgcDniC2nPJk8ualiYuX73BsU9PomoqbevW4HQ8uMi6KxnuFQ/6XH2RyxfIZPPs3b6eaCTI7q1t&#10;TMaS5PNFfG430UgIr8eFQOBxu9jQ2kg46KdvaIy25no8ThdNdVVkcwXiyQy6pjIVT6Jp9gva53GT&#10;LxYZn4xTNExqomEEArfTwdqmOvw+D0Ojk+TzdrKNQtHA5XCgKQ/5BT9zca4lMjo6zocfHyeXzaOq&#10;Kleu3ii7xj869hmtLU38u//mT/nLv/57Wtc0s25tC4VCkf7BYbLZHNXVUZKpFKFgoNzG2BNN7/5u&#10;mhYdHd2cOX+JPbu2EfD7uHT5OrlcnompGKMj40xNxnnzt+/hcOhEIiG2b92E2+0uhyEKBMISJJIp&#10;bnf3MjQ8QiKZord/kE+On2ZoaIRNG9ZJgSV5rNA0jVde+hIKCu998AmarrJj22YcT1C4oGVZdN3u&#10;4eTp80xOxpiKJZiKJ4iEQ4yMjnOr4zYH9+9h146tfHTsBLt2bKWxoY5isUhPbz8+rwdd18nmcui6&#10;zx4sUe7GMt9tL+xEFrF4kr17tvOtr79KMOAvtUUn+bt//Gf+/M/+kIDfRywep21da7kTqqAQjye4&#10;cbMTRVVIpTMoisKN9k4KxQLZXO5zqz+J5H74vF4OH9qHAN7/8BNUVWXndrudeJI4c+4SFy9fI55I&#10;kUym6Lh1m6poJd3dPVy8fJ3vfuervPrlL/Ff/df/Pd/9ztfQdZ1i0eDM2Qs0NdZTKBTJZnO4PS67&#10;XYDyz+n2wuF0sKGtlR3bNtE/MEQqlca0BJFwEBSFXC5PsVDA7XGztrWFrVvWoyhQKBYRluC5Iwf4&#10;we99G4BsLscbb77DnZ5+fv/73ybg91E0DNa2tuB0OrEsC5/XS3VVlPZbXdzu7mW6KJZp4fN5iURC&#10;s5JuSSQPi3A4yDe//gq//pd3OPbJSVRVYV1ry0NtJ+bMwRL4vB4O79mC2+XEEoJIyE/A76WxLorH&#10;5SBftBccFqjU10ZpqI2SLxSJhAME/F4sIQgGfGzZ0AIIwkEfFeEAHs/d2GgF22NVKBi4nA4UoLYq&#10;Qm11BYZh4nG7EELgdDooFIooioLH43q4D+IKDu12u6mtqWZsbAK/38vw8Bjf/c7XMC2Tjs5uKisi&#10;REIhNE1n08Y2vF4Pg0MjfPLpSYaGRviX375LtCLCs88c4MbNTmLxJFevtpNMp5mcnOL6jVv4fF6K&#10;hsHFS9e4dv0mu3du49r1m8TiCbK5PANDw+iaxmcnz6Io0NRYTzgUZHBolOMnzpAvFHC7XHb4Zksj&#10;3/z6KwQDfq5ca+dHP/wub73zoZ3ZUSJ5TPnyS0cxTZN33juGpmps27rxCeo82SPslZURxsYnKBQL&#10;RMIhDuzbxej4BCMjY2zfugld16msjNDYUIfH4+by1Rtcu3EL07D4p1//jt07t7KmpYn+wSHGxia4&#10;dPk6g0MjFIsGV6/dJBwK4nQ6UFW7k2TP0SxSV1vNxg3rcDkdNDfV036zi3MXrnBw/55y5i+ny0lN&#10;jR2urKkKZ89doqIiwpYtG8jn8py7cOUJqm/J04jP5+Xwwb0IIcqerB3bNj9RYe/VVVECAT/Ryghn&#10;EgmaGuv58uF9XL/RgWVZFIsG4XCIQMBX9gYNDAzx6WdnqKur5q9+/I+sbW1h+7ZNdN3uIZ5Icvrc&#10;JXr7B5mcmuLipWu0tbXy8ovPsWZNE//0q99y4vR5mhrqOHxwD6ZpcvlqO1eutfP6V17mq195kU3r&#10;19lJNUoJdTKZLOMTk+i6TlW0kuamRsYnpqiIhOm8fYdsNsf2bZvRNJVkMsXg0DDhcJBdO7aiKJQS&#10;bwClRF3Dw6OMj03S2Fj3+Va+5KkgFAzy9a9+mTfetEWWQ9dpaW5C11faTsycuHTvoO+cOVgKmgKa&#10;01EWM0IINFVBU3VMS6BravlwWilsxOt24fW4yzaqqhDwehCKncGmIrx40aZThIK9nlZNNHLPvg9T&#10;XInpwiyTYMCP3+fh8pURNE2jpqaKyViM/Xt34fV6udHewfsfHScWT5RHpW/e6uL9D4/jcjkZHR3n&#10;9JkLWJbgvQ8/oa9/kF+9+TbFQpH+wSHe/N17+P0+XnrhWdwuFydOnWVtawuvv/YimUyW/oFh/vHn&#10;v8bjcfNHf/A9/D4vPq8XVVXI5wtkMhnu9PSzdctGqqujVEcr8bjdFAoF3C4nHveTOyFY8nTxystf&#10;4np7Bx8eO8HatS2EnpAOv6JAIOBH1zSmpmJ4vR7cLhcKsGv7FqoqK8rzK10uJ6FggHy+wLFPT9He&#10;3klbWytXr90knc5w+coNzp27TCqTJp3OMDA4jGEYKKrC+vWtNNbXoagK5y5cYWBwmKHBEV758pf4&#10;yisvIBTovtPHr954i4pIuNyeJpMpNm9az+RUjCvX2lEVhWTKXufwypUbCCE4sHcnNVVR0pkMPq/3&#10;c6xNiWRh/H4fe3Zvp69/kHfeP8amjW14niCB1dzUQCaTZWJiisqKCnSHA8Mw2Ld3J62tzVy8dI0P&#10;Pz5BJBLG5/NiWRa/evNturp7aGpq4Hp7Bzdv3WZ0bJyPPjlBPJ7kr3/8U/r6+kkkU/z9T3/Fn//Z&#10;H9DS3IjX4yGdyaKqKocP7aWpqYFcNsvY+ASXVI2pyRguh7MsUBVFIZvNcfnKDXr6BslkMrz+6otU&#10;V0cxDZPzF65w/WYHLc2N6CWbWDzJ797+kPaOLtavW2N7yLI5dF3H5XIxODhEJpNjTUuTFFiSR0Yk&#10;HOLlF5/j//nLv+X6jQ5qa6vR9ZW+10T5//kkhM4CGxY/3DwL/c4RQKKU9lyUk//ee56FJJMQC9us&#10;NuXzTNfQMk44PjHJ7975kHAwxA9+71u89fZHdN2+wx/98Ht85dUX+PHf/px/+vVvqa+rpW3dGopF&#10;g4mJKQIBH81NDXznm1/hx3/3c7Zt2YCmq7z52/f5/ne/ydjYOB98dJyvfeVltm3dhKZprGlpRCBQ&#10;FZU7d/o4ceociUSKwaERHLrOb373Pn6vh4MH97B75zaOPnuQW523qa2p5tCBPei6xqaNbVRXVRJP&#10;JPF6vXi9tsdRro8jeZyxLIv2m50YxSJbNm9clbjpR4VpWnR0dnPm3CXqamvYtHE9Z89dYnIqxne+&#10;9Toej4e/+cnPOHvuJF97/WXq62rI5nLkcjk8HjfPHz1MMpWmUChw5NA+YrE4RcPgK6+8yLvvH8Mw&#10;DL71tVepqYpiWRaFfJGjzx7iyy8+y9/85Gfk8wVqa6oIB4O88Zt36ejs5j/+h3+Pu5Ry/YOPPmNy&#10;aorNG9ejagqFfIHTZy8SCPhZu7YZh+5AWJbtTbMsnj96+HOuUYlkfvL5PL19g6QzWTZvaEPXnqzE&#10;CWfPX+bUmYvs3b2drVs28i+/eY91rc38l3/0A9weF//2v/sf+Mef/Zovv/xcKQTPZHh4lJqqKM8c&#10;2ksoGODYp6d48fkj3Onpp7d3gD/6w+/x1tsf0NXdy/e/+w2qqioxTZOh4RG6uu7Q3FjPzVu3efvd&#10;jykWi+zeuY39+3YwMTnJJ8dPs7a1GVVVMUwDj8fNyy8+y4H9u/nd2x+Qy+WoranGEoLfvv0BdXU1&#10;7N29He/00i9CoOs6r778JX70w++SSCQ5fuIMrWua2bljC8c+OcnP/+k3WJb1+Va85Kkilc5w81YX&#10;oXCIutrqh5rBclWPvBJRtBo2q7E28Er8Y4qicOTwAZ595gCDQyNMxeJ8+xuv0T8wRGNjHevbWunp&#10;6ef5o89QWVGBZZkcOriHoZFRTp+9CICu6VTXVJFMp6mpifKl5w5x/f9n7z5j48zzBL9/n1A5k8Vi&#10;zpkSlaVWtzqo03SatDM7e7uzN/Bid88+nM97d4bvheGDcYYPsOEXhl/YgLHALRY7vr29ndjTM52n&#10;s9TKWWIWcyiyWKwcn+AXD0lREiWRkrpbPfP/AOwmWfWEKlaV/r/n9//9/gPDXLoyQP+OHupqqzFN&#10;k/GJaf7zT16nsaEOTJOfv/4W/Tt76OvpABNGR8eZnJpBtdvY3d9HdDHGzMw8dXU1KKrCL371Ns89&#10;c4THD+9ncSlGZ0cboaAf0zSRFVkEWMIjyQquxnjjzffp6mzj2aNP4HJ9fdZjkiRr7vcLzz1Fa0sj&#10;J06ew+vz0NBQRyqVpqIihNvlRNd1mhrr1lsif/u1bzA9PW8Fk6aJqio0NzXg9XqJRCp5/PA+rg0O&#10;o+sG/Tt78Pm86+vb9XS1s3fPTl7/1Tt4PC5cLhddnW38l5++wWuvPM+Ovi40XUNRZKamZxmfmEJR&#10;FObmF7hydZCyppNMpfibv/0H9u3tJxQMoBsGAVGjKTyiisUS1wZH+PTYSRob6njpxaPYbF+vAMth&#10;t/PHP/gOu/p7+Pkv3yJcGaKnu4Oh4TEeO7SP+toa3n3/E/63//A/IklWjeqf/eiPmF9YRNPKAMiK&#10;TFtrM26Xi+7ONh47sIfBoRGSqQz79+0CoFgq4fd5+earL2C328jl8qTSafL5Is88dRhJlphfWCQU&#10;CKyfW7FYQgJ6ujvp6Wrn9JkL2B329QHqyNgETx45RFdnG8VSCbvNhrl6wVpRFOw2G3Pz0dVupXYO&#10;7t+z3mBD1GAJX5ZsNsep0+c5d/EKRw4fYOeOni+0IY56a+vzjUHLxp/vdPtm97nVl7XN3dzt8Wwz&#10;cbXO6XCglTV+/db7XBsYZim2zMjYOPGVBJ0dLQwMjuByu8jl8iRTKYIBP5WVIZoa6/j40xMsx1fQ&#10;dI1UKs3Q8HVCwSBer5tSqYxhmGiGDlhX5q4NDjM7O8/Rpx9nemaOXf19/Pd/9c9oqLdS6wODI/zt&#10;j3+ChIRuGFy5NsTUzBzBYIBUKs3iYoyTZ85TKBbJ5fI0NtTiWV202KaqokuY8MjRdZ3hkev85u33&#10;aW9r5sXnnv7aTVGTZRm73cbiUowrVwc5e/4yhUKBq24XXo8H3TCILsWQZZlMJkc2l7e6JzbWU1ER&#10;JJ3OkEpn8HrcLC7FWI6vsHNHNx639d7VNywmvri0TLFQBEzOnrvM5NQsO3b0kEpb638USyUrI5bO&#10;cPL0eZ4/+iT/zV/+KYViibHrE/zyV+/Q3NzA4OAooVCAiooQdbXVvPrSszQ01GP/mg1Yhd8PxWKJ&#10;gcERPvn0BHV1Nbz60nNfy1btHo+LufkFhkfHeOe9j/B5vXz62UlKpTKRSJjZuSjBgJ/owhKGYaAo&#10;Ch3trfh8HpLJNIqiImFN+x0YGuG733oZAE03bgpiyqUyY+NTnL94FVVVyOeLzM1FKRSKvP3ex0iA&#10;3Wnn8MF96+OJVCpNvlBE03ROnj5PLBano72FfKFALp+jIhSks6ON6OIS45PT7OjtRpYkHHY7Drsd&#10;XdcZGh5bXWvVQTqdQZIkAgHf1/JvJXz9ZLM5Tp25wPmLVzi82ljK+RDKZO4WP/xO/Iv5MLJX93sN&#10;RTdMfF4PoWCAioogP/qT7+MAAID/f3A6ePf9j3nv/U949aVnGbs+wS9+9Tbf+eY3cDoclMtlZufm&#10;+fT4KUzTZOz6JNcGR3j+6BEcDgemaayfkWmazM1HOX/hKlVVYXb2dTM5NUMikeLqtWEWF5cBk8mp&#10;GZKpNJIsUS6XGR2bYHExxuWrg8zMzlFVVUkikeKXb7xNS1MjjfV1xFeSJBJJ6upq1q8mCcKjIl8o&#10;8Nnx07Q2N/HSC8/g9Xq+6lO6L6ZpIssyPp8Xn89Lc1MD//SH30OWZd5+90Niy3F6ezo4e+4S4XAF&#10;zx89gqIoaJrOuYtXKZWK7Ozr5viJs+iGbl2hXp2Gs/a5ZRgGZ89dwuOxfv+bt36L0+XE5/Pws1++&#10;ycjoOF2dbVy4dJWZmTk+P3mWJw7vJxqNcfHytfW1av7qX/w5/+5/+T9obKjjn/zgO/w//+/f8jd/&#10;9488deQQ/Tt6aGqsF9lu4ZFhHMMDKAAAIABJREFUmibpdIZLVwaoro7w2isvPJRB01dhrUV6ZSiI&#10;0+Ggr6eL/+qf/iHFUpm//pv/j2wux3e+9RJ/++N/pKqqkscO7gWsMci581eojlTh83k49vkZctk8&#10;Txzef1v5hq7rFApFaqqr1peISSbT5HI50pkMzzx5GEWRkWSZSFUlqYwVCI1PTCPJEoahc/L0RWx2&#10;G4Zh8ovX32IhGiMYDHDx8jVOnT6Px+OiubEBu81Gb08ndruNE6fOcezzM1RHqogtx/n5629RLBZp&#10;aqjH5/Wi6/rXqiGJ8PUzO7/A0Mh1Duzbzb49Ox/aTJi1+GFbNVhbzTA9CttsZYrgvYcE2xs0SJJE&#10;OFzBv/nv/pIPPjrG5NQs7a3N7N2zk5/8/Ne88Zv3ee3V5/nB977Jr37zHm+9/QGtLY08dmAvTqeT&#10;cGUFbc1NOLpsXL02hMvp5JmnDq+fiyytdu4xTRYWlkgkUzx15BCBgB/TsAKqX/zqbbwe64r+SiLJ&#10;QnSJI9JBZEmip6vdWtC5tprO9lYCAT+vv/EOv/3oM/bs3kF8JcEnn51kdnaB/Xt33Zg3LQiPCNMw&#10;2bd3Jz1dHXg8X6/M1RpZltnV30d1pIoTp84xOjZBb08HjQ11/OwXv+H6+BTf++6r7Ojr4h9/+gaf&#10;fHaSttYmOttb8fu9+H0eWlt6CAYCHDtxhr27d6zXRUhI64t+ljWNS1cG6Onu5NDBvXR2tJFMpnj3&#10;t58wdn2S73/3VcLhCn789z/j2PFTPP/sUzjsdt58+wNOnD7HgX27+dEPv09NdRW6bqDrBt2dbfzr&#10;f/kX/N1/+hk//vuf8e3XvsEP/0n9V/yMCsLNbHYbO/u66epqx/01mj58q8OH9tLe1sRnx0/jcjnZ&#10;v7+fjvZW/tf//f9ibGyCf/Uv/5Jd/b38+//wf/LX//E/0dvTScDvJRjwkwyk2L2rF5/Pyy9/9TbP&#10;Hj1CW2sz+Xz+phrrQrHE+YtXOXvuEnaHVcuay+XXs1PXxyeRFXn1wu8E6XSWluZ65uYX6Ovt4rmj&#10;R+jt6WRqepZPPj1BvlDgT//4DygWi7z7/sfkcnm+991XURWFweFRstkcExPLTExN4/N6+cYLT1Mo&#10;Fjl56jyLSzGcTgeXrgwQiVQSqQqLizfCF8Zht/P80SPU1VZ/OeNd83ckg/WgbnpLb6OgS5IkZFli&#10;Zm4eh93OH33/W0iS1V3wR3/6h3z7tRdxuZx87zuv4Pd5cTocqKpKb3cnf/Xf/gXPHz1CbHmF9z/4&#10;lPq6Ghrqa1dXbq9i395+fD4vAJFImFdfepadO3pQFYWWlkZefO4p2tub14vV0+kM8wuLNDXW4XA4&#10;eO7oEZ47emR96p9pmuze1Ud1dRUH9+/myrVBlmLLPP3UYzxx+MB6oCYIjwqfz8v+vbu+6tN4YLIk&#10;USwWWVyM0dLcwOFD+7DbbbS1NrN3904eO7QPr8fNH//g21y+OojL6cBmU3n6ycd45RtH6exoY2Jy&#10;GqfTwaGDe6kKVwLQ092Bpuu4XC5M02Tfnp10drTRWF9HR1sL4xPTVF28wjeef5onnziIw+HA6XBw&#10;4tQ5vvutl3E4HPT2dLB3706eeOzA+iLOhw7sIRIJI8sy7W0t/Nt/88/58JPPrbVyBOERIkkSAb+P&#10;fXv7v+pTeWCyLKNpOsOj1zmwfzeHDuxBlmWaGuv5wz94jYP7d6MoCv/2X/9zfvHG20iStc1LLzyD&#10;z+dl356dTM/MsRxP8Mc/+DaqqqCqKh1tLRvqTKy2Y5quQ9ka6thsNvavPn+6oaMb1lI81qwWE7fL&#10;xaEDe2mor6WxoY76uhpkWSIabWf/vt3s3bODbDZHZUWI2HKcJw4fQJZlpqbnGBkbx+/z8uwzRzh0&#10;YA/NzQ3YVJUjhw8wMjrO8RNnSCSS5PNirT3hi9Xc1PClH1PKFbT1/PHdGk7cqxPgV72NBMjS9hcF&#10;N03QdZOybuJ1qciytK19mKZJoVBA0ww8HheSJGEYBrKs3LQf0zTXpwptZBgGuq4jKwqKbF05KhaL&#10;5AtFvB7PeqHuxrb5uVwOTTfw+7zr+9N1nWw2h6zIeNzuTa8ElctWIayqqpRKJcplDYfD8bUrBhaE&#10;rxtd1ykWSwA4ndZCoIZpWp9bGz4T1jpq3elzQlGU9dvS6Qwm4Ha7UBUFTdOQZWV9fau1tXNstptr&#10;LDVNW18QfTMrKwkURcHv9z2shy8IwhYYhkEul0dWFFyrnxNlTUO95f2qadqm0/qt8UNpfZrk2v7K&#10;mkYoaC3qaxgGhmHeNJjarPbexLo4JK+OS+DG55KmaVb99oaOrhs/uwzDIJ3OoOk6Xo9n/eLNrUql&#10;MpqmYbfbRJmC8LWTzWuYBiiq9V659SW+7QDr1tsflW0eJMDSdBNNN/G6VwOs7e1CEARBEARBEITf&#10;E/cKsG5eaPg+DvAob7PVHYuAShAEQRAEQRCE7bhTDCHD9rrobUwlPyrbPFCAJJZgEARBEARBEATh&#10;vtweTKjmJjffrXPfrbt4FLZ5qB7GqsWCIAiCIAiCIPzOuluOZlury95PsudrlSD6Wp2sIAiCIAiC&#10;IAhfrdszM49sDdZaF5sHOc5WibhKEARBEARBEITt2PZCw5vZGPR8kdtwn9vcj5uOI30JBxQEQRAE&#10;QRAE4XfWtqYI3st2mlg8zG0eRgZKZLEEQRAEQRAEQdiqO+Vl1DtNxbtTBmmzJhT3Svp8Wdvczd0e&#10;j0haCYIgCIIgCIKwVXeLHx5qBuur8qABksheCYIgCIIgCIKwVXebhXfHGqytZpgehW220ln9brdL&#10;WzoTQRAEQRAEQRCEuzB/RzJYD839FIQJgiAIgiAIgiCsuinAult8cafbHoVtHg4RWQmCIAiCIAiC&#10;cG93nPsm3UcG68tabPh+Ogs+MNHxQhAEQRAEQRCELbhjF8Gt3Ol+dvxlb3PfcZEIqARBEARBEARB&#10;eEi2ncF6VAKqh0bMDBQEQRAEQRAE4b7cHkyom8UXd+vcd+v9792db+07c0vb3uk4W9nmga0Veoms&#10;liAIgiAIgiAId3C3HI16l9vuvSMTDNNAN6zI5I6LAksSiiwjS9IjmTB6FM9JEARBEARBEIRHl5WX&#10;uT0zc981WBKgGwZTc4uMTszedWObqlJfU0lrYy2qorKVkEa65V5fdFJJ+jIOIgiCIAiCIAjC77Q7&#10;LjS8mVuDHt3QicbiLMWTdLbUbxo2JdNZRifmWFxOoOsmnS31qKqMeY8Ya+3mLzrmMW/5vwiyBEEQ&#10;BEEQBEG4X9uaIngzyZoiaJgEA15297VhmreWMJlMz8VYXknhcTkZnZzFNE26WhtQFfmmta22E9fc&#10;us2Dlk2JmEoQBEEQBEEQhO24Y5v2W5tK3Onn23dkrs+rUxQZh8O+upGEtHon0zSw2RTcTjtdrfVk&#10;cnlGJ2aRJInOlnoU5c5NDDce92Fks+72eO63Bss0TQzDwDCsPUgSSJJkBZrm2u+k9cdpmjfOIpvL&#10;MTB8HZ/XTXdH6/rtkiQhSRKFYonJmTlKpTI9na1gQi6fZ2YuisvlpLGuBgBZkTEMA13T1x9cOpNj&#10;OZ7AMAyQrCDY63FTXVWJ02Fnem4Bh91GuKKCRDLF4nIcXdeRJQndMHA6HDTU1eByOiiVy+RyBeai&#10;i+i6QTgUZCWZolwuYwKqotDUUIfP60GWJVKpDNNzC5Q1DVmWkGUZTdMBCAUDNDfU3vH5LGsaY+NT&#10;GIZJX3f7He+XSKa5eG2IcEWQoN+PBLjdTgJ+H5IkkcnmmJ5dwG63UVUZIpfPU1VZgaIoZLI5FhZj&#10;uFxO6msiAOu/83ncVFQE0TSN6dkFFEWhsa4Gu922fr9cLo9uGADY7TZKpTKapmOaBpJkXXQIhQK4&#10;XU5k+cbreyWR4sKVQQ7s2YHP69niK0wQBEEQBEF4VN0pyfMAGSxunl9nmui6SaFUwjRMZFnGblcx&#10;TdANE0VRaKgNk0znuDYyCUh0ttShrGayHsTDyEDdzz5M0+TMhaucvzyIuhpE5QsFbDY7qqpgmiZ+&#10;n5eXnn0CWZZ5/5OTrKwk0XSdcrnM1OwCqqrQ3txAWddx2G1UVVbw+MHdrKyk+Pmv3ye2vEJzYy0N&#10;tdXY7XbOXR6gWCxSXRWmviZCb3c7qXSGE2cuUiqVaWqopVQuk8nmKJc0iqUSbrcTp93BU4/vp7uj&#10;hejiMpcHhtm/awcT07PEVxIUiiUyuTyRcIj4Sopvv/wskXAF7338OdeGxlAUmT07exgaHWd2PkpF&#10;MIjNpjI0OsGrLzzFnv4e7LKNi1eH+OTzMzQ21BJfSbAYW6G3q41kKk2hWOJ/+Bd/hmmaTM8u8NGx&#10;08iyhGEYqDaV3s52LlwZoKYqTHtLI5IkIcsSqnrzyzSdyXLs5Hl8Hjc11WEUWaalqZ69/b0A5PIF&#10;Rq5P4nG7yOULDI1O8PiB3Xg9LjLZHFcHR6mOVFJfE2FmPsrxUxe4OjhCY30NNZEq3C4nkzNzVIaC&#10;+H1eXE4HDoed8ckZPj1xlpVEikDAR3d7C7Pzi8wuLBL0+0gm0zidDl576RkilSFOnb9CMpkGCbLZ&#10;PCfOXmRodJyKYABJkihrGvt29dLR2sT8Ygyn3Y6m6RimSW11FbJ8/69swzBYSaYYHL4OSHS2NxMJ&#10;V2CaJtlcnuGxSdLpDE0NtTQ31SNLEoVikemZBWYXolRVVtDe0ojT6UDTdOYXlxifnMXjdtHe2kjQ&#10;77vL+wKmZ+ex21SqqipRZBndMJicnmN6dp6A30dHaxNej3vT7XP5AoMj4yRTadqa66mrrcamqmi6&#10;zuDwdaJLyzTUVdPe0njba0MQBEEQBOGrpvxP/+5//vdgBRgbh3O3/rwZXTeYW4xTKpfpaKknnclx&#10;+tIQV0cmWU6kCPq9aLrOyPgMC7EVFhZXiCczxBMpTBNqq62Myr3c69zWokcrg7S1fWxkmqCbEnab&#10;bGWQ7nlGN2i6jtPhIFJVSSDg4/jpizQ11NLb2Uq4MkR1uJLqiBUEFItlHA47swtRYvEVXnzmccKh&#10;IOPTM+i6wa6+LqoqQnhcLkbHp8jmc7Q01ZNOZ6mtqWJuYZGKYIDqcCWGYbBvVx+1kTAej5vp2Xny&#10;hQL9fV0sryRwO5243U50Xae+tppMNktVOERttRVAZHN5FFVhaGyCUqlELl9geSVJKOBnanaB3s42&#10;K+PlcjI+OUNDXTX7d+/g2sh1fF4vh/b2097SyNWhUcIVIZrqa1FVhbMXr5FIpXnysf0UC0Vm5qK8&#10;/NwRVFXl/KUBXn7uSQAKxSLJTIZsJsepC5fp7+0i4PPy7kfHmY8uMTI+xcmzl0GC6kglgyPjvPn+&#10;J1wdHOX85QGuDIwAJsVSieWVJLHlFVRVxelwcOzkOT75/AwriRQlTSOZTCFJsLC0jMflYnxqFp/X&#10;Q1NDLflCkfmFReYXYxRLVmDqcDiYnYsyNDLO0OgEY+PThCtCVIUrmJieQ1EV9vZbgVG+UCQWT7Cn&#10;v5vFWJy6mgh93e0kkmnefP9TAn4vAZ8Pj9tFXW2EUDCAy2nHbrdx4eoQEhJtLQ2888Ex6moifPr5&#10;WaqrKgkFrWzc/TAMg7mFRf7+Z79hZj7K3EKMC1cGqa+pxjAN3v7gGMdOnieRSnN5YASbqhIK+jl5&#10;9iLvfHiMlWSKa8NjrCRTNNbVcG14jDff+4SF6BLDYxPMRZeoiYRvC5CM1eBtYHiM19/6ECSJ5sY6&#10;ZFnmxNlLvPPhMaJLy1y6OkQqnaEmEsblct60j0w2x09ff4eBkessryQ4duo8oaCfiqCfN975iJPn&#10;LpPOZvnsxDnsdht1NREURbmv50kQBEEQBOF+lDUD0wRZZnX22YYbzQfNYG3YmQnYHSpN9REilSVc&#10;TgdOhx2HzcahPb2UNQ0JCROTuWiMYrGMrusPdPiH7j7WwWqoq6Gu2ppqlssX+OCzk3S2NbF/9w7A&#10;CvhUVUXTNLweFwMjYxSKReIrSZZXEqTSWRZjcaqrwizHE4QCflwuh3U6hnU+druN4dEJ5qNLdHe2&#10;rWc2FmPL1ETC1FVX0VRfi8vhpKO1iamZOQaGx9F1nWwuz/JKwhqEmqweN0lLYx2hYIArAyOrUxNl&#10;cvkCHrcHm82GJEvkC1ZGYykWJ5PNUVdbjaooTE7PoZU17HY7i0vL2FR1/YWlKDIzc1HOXLjCzNwC&#10;0aVlTp+/Yk1DXJ1aBxAK+mmsq6YuEmZobILHD+5hbn4RQzd46bknmZmLcvHKIHU1VZRKZcanZllc&#10;WubQ3n5S6SyBgI+9u3oplzUr+5bNMh9dor2lEZfTidPpsL7sNop2Gy6Xk5m56Gp2VcKmqmQyWYZH&#10;JxibmCGZyjCVWiBcEQQgkUrT291GNpvH4bDh9bjw+704HHYa66vZ29+Dy+kkvpJgfnGJ5sZ6Jmfm&#10;qa+L4PW4KZfL1FWHWUmkWIrFKZU13C4nJiamYaIoMl63m8qKALpu8OnnZ2luqOPTk2eJVFXQ0lR3&#10;3y/jQqHIuYsDLMaW+fMffo9UJst7Hx7n89Pn2bWjm/OXB3jh6cPU1UQ4ee4Sn508h8ft4uzFazTW&#10;1/LEoT2cvzzA0Og49TVVDAyPY1NVXnn+KcYmprlwZZDBketUV1XectwCx09f4INPTjAyPkVbSwMA&#10;yVSaE2cuEq4IcvjAbsYnZzh59jKdrc0EA/6bMnVXBoYZGpvg5eefpKGuhp//+j1OnruE0+HgsxPn&#10;+M6rz9HcUMvZC9d48/1P2NnbRUXQf9/BqCAIwu8S0wQd0AxYHUIgAbIENuAulRmCIDxENwVYd6t1&#10;2vS2jXP7TBOn3UZ7k1VjY2WTrHdyl6dutSGGlfXSdYOZ+cVNj3Snc/giuwqaa//d5s4lSUJVFFi9&#10;gl7WNBRZxqao63U7a0pljfGpWWZmF9i9sxtVUcnl8jjsdipDQfq62onFVygWS9TVRIivJEkkUwT8&#10;XhRZwZBNqiNhSqXSei3XwPA4wYCfTC7HpWvDxOIJKiuCFIolutqbAYgnU9TXRFiKxUGC6dkFPjlx&#10;FkVReOW5J7HZVOYXlsjl8ySSaWYXohQKxfV6MkWRicUTVFdVokgy+/p7aaitXq8veunZJ2lpql/P&#10;Iui6TnN9LY/t7yfg85DLF3hs/y7mFhZZiC6tPx+apvPuh8d5+bkjJFMZzl0a4OrgCOlslv7eDmRZ&#10;IroUo6Guhny+gKbrqIrK/GKM6bkFMtksmWwej8tJbXUYTQ/R3FiHx+2iq72ZxdgyPq+HcEWQZDpD&#10;fU2EckljYnoOSZbwet2oqkqkqpLujhZWkikcNhsH9uxgZj5KMpmiNlJFIpkiUlVBMOhnfmGJa0Nj&#10;XBuCaCxOf28nM3NRFhZjjE1MEV1cBgka62uJhCv41kvPMjsX5Zdvf0BrUwN7dnQD8NYHn9HR0sS+&#10;3b1UV1Vit9nYv2cHfp+H/bt3EPB775yK3crrUpaJVFXy8nNP0tXeQnRpGafTQSKVJp5IAhIH9uzA&#10;6/Wwkkzy9m8/I18osGdnD51tzTQ31jG/sMTA0Bi6btDV3ozL5aKjrYlcPs/Fq5AvFG87rs1mo6+r&#10;DY/bxTsfHrPeGybE4gmy2Rz7d/fR3d5CKODnxJlLxBNJq/ZPvvEx5HG7efapQ+zq6yIY8OP3eclk&#10;c8TiK2iaRld7C7WRMJIk8Q+/fIuVRJJQ4P6zfYIgCF9nawFVvASLJVguQUaHvA5lEwzTCq7sErgV&#10;8NugwgYROwRUUEXAJQj3TYLNEzPSfWSwbt3P2veSBMWixsLSCoVSaXXRrRuLD9tsKuGQH6/bhSJv&#10;nLC3eZuJ7XYGfJA6LumOP2yfuZqlu+33pkmpXMblcqJpOpIETxzai2GYJFJpYvEVAn4v2Vwem02l&#10;qbGWYqlkDY4dDsKhAEhWYBKLJ3A5nezs6SDg86JpOsVSiWKpRKlcxjBMJmfmKRSKZHI5UskMNpuK&#10;vFqrlMpkuXh1kEwuy8E9O4kuLTM8NoGqqrQ01rF3Zw/V4Uo8bicNddXohkEqncHjcTEyNsnswhLx&#10;RAK73YbDZqdYKlEVrsDtUnC6nMzMR/n42BmWYnFWVpJ8+NkpEskUTueN6WC6bjAfXUI3rGl+45Mz&#10;RJeWaW9pZHBknMXYMrXVVdYgHZAlCZ/PQ39vJ3abjU9PnMU0DUzTZD66RLmscWhvP7Iso6gKqXSG&#10;sYlpGutrkWUJr8fNrh1d1pTA6BLBgB+73UYqneHMhassLcdRFYWFxRg9na0E/T4WY8tkstY0TYCT&#10;5y5xfXKGfbt6mV9YQpFlxidnGB2fxjRhYmqWhaUY9TXVVFWG8HrcnL5whUQihbPTTjyRQtM18vki&#10;x06do6+7HY/bjSzL/MGrz+NenUbocjqQHyBgcNht9Pd2gmRNuTtx5iIL0Rjf/9aLJFJpHKsZPUWW&#10;cTocmIDb5aKnsw2H3cbY+BSnzl+msiJIV3sLTqcDRZFZWIxx4txlZFlZnx5ZKBbXs6xOh4P62mr8&#10;Xi/nLw2sBj0m+XwBJAmH3Y4sy7hdTlRVoVAsks5kkWWrMYzDYaetpZHW5gZcTgdnLlxlYPg6r774&#10;NE31tRRLZc5dvMre/j5OnL5EfCVJsVC655IPgiAIv2tM0wqkxnMwmYel1cCqaIC22tHZMG+MsGSs&#10;QEuVwCmDT4UaOzS7oNEFHlHOKgj35U7DtfteaHiTQ1AolRmbmiORyq4PEK1ZdyYelxObouDzuDZE&#10;Q1sfGd3r3O773B/yhW/pbo/JNIktryBhDSYHR8YxTRPH6kC/WCzh93txu5zs6O7ANE2uDY0S8Ptx&#10;OKyMmK7p5HIFqqvC7N+zA5uqYpgmvV1tLMeT7OnvQdd0luMJzl8ZZHklQX9PJ00NtTTU1RAM+KiJ&#10;VDI67iKZyrC0nGBqZo7rk9PEV5Jomk5FKIBNVdnd38Pg8HUCPi+hoJ9rQ2Ps6utiZ18n//nnb9JQ&#10;W82uHd1UBAPYbdb57ezuwO1wWB/+DTVEZis4sGcn5XKZVDZ7y9NuffRHqip45fknSaWzLK8kePvD&#10;Y9htNr7/zRdXnzYTTdNwuZzURMIEAz4KhSKqTaFQKFIRDFATCeN0OlhcivPuh8e5NDDCju4OIlUV&#10;LMcTqOpaVtFEVRVCAR+pTJa5hUWaGmo4tG+nFZDV1XBoXz+zc1Fef/sjXE4nVZUhNE3H7/PSWF9D&#10;V0cLs3OL1NVEcLucuF1ODu7t58TZi9TVROjtbMPpcKx3Lzx8YDfBgJ+3P/iMfbt7ef7pQywsLjMx&#10;NUtHWxNul5NwZQgA9y01SfdDlmWcTgez81F+/e5HJJJpvvXyUbramzlx5iKmaa5nQdc6XlrTPCWO&#10;n77I8dPnqYmEefbJxwgF/ei6wdWhUT749ASqauPFo49TXVXJybOXOH7qAqVymT39PTzz+AFCQf/a&#10;Cg43/tbSzRdbzNXvdV3ng09PMjw2SaFY5KnD+3n84G4Mw+Cnb7zHwPAYzxw5wP7dfXg9br7/rRc5&#10;efYSl6+NEAoGiFRVotqUB0n2CYIgfO3kdRjIWF9LJetn3bz1c/fmPmTGajarvLp9QoOFIozkoNYJ&#10;PR5oc4NLlLQKwkOx7WsWt2Z7zA193d0uJ3t3dKy35TYlkFbf4bJiXbk2zA3brG14r+Ns55y268ta&#10;0RhroNlYX8PeXb38+p2PaW6so1AospJIsWdHNyWtzHLcqpfyuF24nA6QJJxOOy6nE0wT027S2lxP&#10;a3M9qqpa7fGxMhAjK1OMXp9C0zTmokuMT82QTmeteqN8Hp/XQzDgWx1gW+ezs6eDXC7HzPwCPq8H&#10;wzTZ2dNJR1sTE5OzLC7Hqa+J0NbaSFdbC0vLccYnZxifmiWXL5BMZ3n2yEFqa6rIF4p8fOw0zU11&#10;TM7M89yTj/H56Yu88sLT1FVX8X//x7+nvbmRzrZmkEBa7RCoKioOh4Nqp5NQ0M8/vv4OoaCf1mYr&#10;c2TVkhVAgk9OnKW9pZGyrlFfV83E1AzhihAryRSzc1GaG+vo62qjUCzQVF9LOBRkeGySc5euYZom&#10;F68OY7Mp6LqB3Wajo62JcDLE2PgUC9EYpVKZqnAFDbXVGIaB1+OiIhTEbrNxcM9OZuaiuJ0ObKqC&#10;1+MmmUpTU11Fa3MDgyPjVFWGCAV8qKpCMp1BVmQURSaVzhBdihFdXMau2jAME0X9YoIDwzCYXVjk&#10;v/zyLaojYV594WlqqsPIkozb5SKfL5DN5lEVlWwuj2maqKrKiTMXOXfpGo8f2MPOng4qQkEMw+D8&#10;5QE+O3mO9tYmDu7ZSbgihKLIdHdY0/10w6AyFMDtvhEcbnxYHrcLTTcoFIoYhkEmk6NUKuF2udjR&#10;3UFnWzO6oVNTFaZc1vjZG+9S0jS+/fKzdLY143G7KJbK1EbC/NF3XkZRZNLpLOcvD+D1esT0QEEQ&#10;fm9M5uFUAqbzkDeswGq9ydct9904T2jth41L8ZQM6yulw3wBJvKwxw/1D36dTxB+z9w+707dLLzZ&#10;bLiy2fpY5oaVgq01keTVeojV29jwjjdvXLW+m1uPs5VzeyjMDV9bOMiNDMB6BRcmJoZhYqxOXTPW&#10;1sJa3UaSJDweF5WhIKlMFk0zVteZyuPzeShrGkvLKzcdR5atOi+bqlrHkiQSiRRXBkas7n0NNVy8&#10;OsSZ81colcuUSlYNl9/nJZcvEF9J0N7aSGNdDV6ve3WfMpPTc8TjCfr7ujBNk95Oa90pwzBYSaWQ&#10;ZZlg0M9Th/dz7OR53C4nDfXVhCuDRKoqGJ2Ypr25gd07u6mvrUaRZS4NDTMbXaS+vtpqXR7wcWj/&#10;LnK5PNeGRgkFA7zx7sf8q3/2pxQKVqOPk2cvMzQ2wT/8/E2OPnmQpdgKxUKRXDbP7Pwibc0NlDWN&#10;RCpFf28nhUKJcxevoRsGDrudUlljdj6KphscObQXt8tJc2MdM/NRwGrpPjU9R1VFCF3XyeXzhOx+&#10;Ll0dYteObpZiK4yOTzE5M4em67S3NFJdVcnVoTFyuRzLcZnZ+Sh93e14PW4kYGx8mlg8QSaTY2pm&#10;ga6OZnxet/X3N29kahwAFuhiAAAgAElEQVR2O6GAn2KxBIDT4cDrduN2Wx0ea6urUOQ7Xy788Nhp&#10;4isJvvfaC5imyU/feJeG2moeP7iHVDrDz3/zPs88foC2lsabtsvm8nz02UnGp2Z5bP8uEqk06UyW&#10;qnAFkapKJFni1+9+THdHK5+fvkhNVRWZbJaPjp0iEq7E63EzM79IMp0B4PMzF6ztK0IsLi2TTGWo&#10;ra6iuqqSSLhi/bW9MdDRdB3dMDCBSFUlFcEAp89fwe1ycmVgBFmSqI5U0tRQx9q7XZIk3vv4cy5d&#10;G+aZxw+ACSPXJwlXBPH7fbzx7se0tzayo7ud9z/5nK6OFvxe773frIIgCF9zugnnUnA6AYmy9TOS&#10;Ne1vo62u7bkx6DIMSJhwOQ2xEuwPWBmth12fZZrWlPH5aAxVVXA6Hes11gBOh51wRQiHw37TvyfF&#10;YomrQ6N0tDbh83oYHB3H63ZTWx0WS3UIX6HNS4LWbOuVedtuNryxJQlS2TyXrl0nncndeHNI1pvK&#10;5bDT2dZAbaRisz19pdZiwe0aHZ/i9Td/C5K8uqCvwdjkNL988wOOn7qAYZjIErQ0NfDCM4cxTBNd&#10;NwgF/Dx+YBe6rmO32dmxWlc0PRe96UPFNEHTjNXGINb6SLIkkc3nyWRzZHN5ZEmmMhTklReeIlwR&#10;olQuM7ewSDqTJZ3OksnmSKUyRNVlXE4nHrebYrGEz+tGtakMX59g364+SqUy89EldvV1cfHaMMdO&#10;nefJx/ZRXxPhxJmLYMJyPMHYxDSlUolEMkV0Kc7UzALJVJZ9u3v54LOT7NvVRygYYH5hiaHRcRrr&#10;asjlC/zDL97kT77/Gh8fO81cdImpqTn8Pg+KLPHnP/wDPG4Xnxw/SyKZ4i9/9IdEF2P8+B9/xXdf&#10;fR6nw04sFicY8BPTEuQLBRYWl7HbreesNhKmoa6aVDqDw24nurRMdDFGR2sTO3o6qKwIshCNMTg6&#10;zrNPHqJYLDM0NkltdYTdO7qor43w0fHTVqDZ1c6lq8Ncn5zm1RefZim2wsfHz6CqCq1NDRSKRZaW&#10;V2hqqGXk+iSlUon6mggOuwPDuDH1LpFMMzE1u77GF6aJbhhIsozNZkOWZVYSKaZm52lprEdVbw+0&#10;EskUsdWA2wSWYvH1RYp13WBhcXnTZhNrgbjH7ebkucsYuoHTaefw/t3s7O3kWy8d5djJ88zMR6mu&#10;quT5pw5TLJVwOh2sJFN8dOwUumHS3FhLV1sLLqeTxdgKx05dQNd1wpVBnjq8n2Bg87WwVEWhvaWR&#10;qsrQatbMxqsvPM0nx0/z/icnsKkKLz/3JK2Nmy82Hgz4GL4+ydjkDJqmsXtnN08d3s/zTz/Gp5+f&#10;ZfT6FKGAn1dffBq3yykyWIIg/E4r6nA8AeeTkF1tDXinj737Gl2t7qtswEwBcrr1tdsHjoc0ZXBi&#10;epaPj59maHQSh91mTcWfXyS+ksDjdqHrBolUmj/6zkv4fV7e++g403NRWpvreebxA5w4e4lIuAKf&#10;18OlK0M01Fu1ziLAEr5sa+O8DS3y2GyBpweqwZLWUtOrx1IkGa/bCZirg57V2gsTHA4bNlWx7ruF&#10;T4Bbr8J80UMoabtdNYBIuIJvPHuEjZm6F595Alm+cTVfArxeDzZVJRKuwONyEgz4eOX5p9B1AySs&#10;9cPOXSa6tMxTh/ev79/tctJYX0PQ78Pv864n18qaht/nweN2YbPZaG60WnrbVJXpuQUSyTSJZIrK&#10;igDBoB/DMIjFV6iqDGEYBk0NtfzwD7+JVtYwTZNwZYiJqVk0TSdSVck3jj5BNpfH7/Ogqgo1kTAB&#10;vzW1sLDa2OCxfbtQVYWyppHLFzANkycP7aWvuwNJht193Rw7eR5FUdB1jfaWJno6W6mrjhD0e/F5&#10;PDQ31+N2OXHY7QwMX8frcfPK809SX1dNNteEy+Vkdm6RrvZmdu3oIZezFhDWdQOP28XKShKvx0VZ&#10;KxNdWmZsYhqXy8XC4jKBgI8dPR1UV1XicjopFks8tq+ffbv6SGWyeNxOkEw8bjej49PomsHOnnbc&#10;Lic+r4dnjxyir6edfL7IhSuDGAYgSTx+cA92u41IZQWnzl9hR28HTauNNKqrKgn6/SiyTDKfZ3Jm&#10;nkw2t/4P4a6+LkzTmr4nYTUscbkcNNXXArf/K3b0iYOUNQ2wmnz84NsvrU8J9fs8/Nkff2fTBX89&#10;bhevvfg0zz15iLV3kizL+Lwe3C4nB/bspKO1CU3TcbudBP0+yprGX/zp963XJAAmDrsdt9tFc0Mt&#10;hdUsnFXDpuL33Tlz5HQ6eOaJA6iKgqoqSJJEa1M9FUE/uXwBVVUIBvybroH3+IHd9Pd2Yhg3MsQe&#10;twuP28Xe/l6aG+oor7a8DwX9D7QYsyAIwqOuZMAncbiQhsLqBKAtXVOSAHnDbCPjHvdf3a9pWp0I&#10;TyWsLNl+P9gfQpBVGQpyYM9O4itJOttaeGxfPz994z127eimv7cLwzT46evvks8Xaairoamhjonp&#10;eSpDQc5evMalq8NUhytoqLNm7YxPz1LWdA7v24XT6XjwExSELcgXy2SyJRTFKnGR7rLKrpQtaOZ2&#10;higbpwiWSmXOXB4hk83xytFD6IaBrmsYpnn74dZamiNxdXiSydkoT+zvI7RaE3S342yVLG2/u7Vh&#10;gq6baLqJ161awdEWtltrFGAYt3xqrVeWmht+ZQVchUIRwzTwejw3baJpGql0Fk3TCPh964PoYqlE&#10;JpOz6njkG1f6dV3HNK2BtOOWQWqpVCaXL6Dr+nqQt5bCdDoc63VdEmAY5no79mKxRFnTcDkdKIqC&#10;YRjIsrXw8sZzKBSL1t939XGamMiSvFpno+Gw2zGBZDJNsbQ6KF/tMhcK+m95qqT15zKXK1Aqlwn4&#10;vciyjGGaFAtFiuUyLoeDYqmELMtkc3kkSbLW7trwnK81DnG5nORyeQzDwOf1oqoKmq5TLJaQZQmX&#10;01p8uVQuI8syNtWqQyoUinjcLlRVpVQuY7Op1mNZndIgKwoOu41SuYwiKyiKTCabW7+fJEmk0lls&#10;qoLDYUfTdTKZnJW1Wj/Pm14WVmbX5cTtcolAQRAEQbiJYcLxFSt7VdRvntZ3V7KJkcmiJRcxtTKy&#10;04MaCCM5nVsKtNb+naqww+NB2OV78PWz5hYWuXR1mA+PnSJSGeLokUN8evIs+XyRmkgYTTcYGr3O&#10;n3zvNfbs7GFiaoZ3P/6cpx/fz8DQdX793se88vxT1EbC/PXf/QS7w84Pvv0SR48ctMY1gvAliK3k&#10;yBZKSKyOqR02VNW6CH5r/PEAudUbg/diWSORymyYi3hzkLKWeTGxptHlCgVM07jt9q26Nfi6j+TT&#10;ujvHnvfYbjVokuWtf+q43a5Nf6+qKhWhwG2/d9jtOCpuv8p/N3a77bY1uO5EUW48cqfTgRPHhttu&#10;XLJaq90CbgvoNlqb5ibBbcHU3azVpnm48fzIkoTL5cS12lVv7bhej3vTfWwUuCWroyoK6obnXlEU&#10;XBsen8/rWZ96B9z0/EmSdNPfzWG337TdRn7fhn3I8qZ/U0EQBEHYiqsZOJW0givg3oMVBcxSmdyV&#10;U2SvnEBLxjANA9nuwBaqwdW9D1fXHmS78+4ziVYzWfEynE1ZLdy7PHe5/xbohkEqk2E5nsDtdGIY&#10;BkePHCKdtroLG6ZJb2crrU315AsFBkfHuT4+TV9nG6GQH03TaKirpqWxfvUiL/R2tuLY4nhHEB6G&#10;tYvmpsnqTBtz0+mBYC2JsKk7ZZA2VAghyRI2RWE2GuNXv/188x3csrFpQqlcpq6qYrXAf/OSzId9&#10;Pf9uGbFHqyJMEARBEITfZ0tF+HwFsluaFmhilEvkr5xBW46SvXYKLb3C2uhGl6C8skhpcQo9k8B3&#10;8AUk+e7X19emCy4W4WIKKm1Qub3rvTepqQpTX2utq6naVBRVYWB4jKmZefKFIjbVhqLIGIZBZ3sz&#10;8ZUkiVSalWSK5ZUkZU3j1LnLpDNZgn4vSBKZXN6qdReLJQtfovWYQbrx82ZvzweqDlQUhd7OZmqr&#10;K7e3oSThcTpwu5ybTg/crocRjIkJWoIgCIIgfNV008pcLZXY2hQdyaAwfpXEBz/B0MqYWtn69caK&#10;BdNAS8XJXj6GvaoeZ0f/PacLSpJ1LlN5a82tw8H77yxYKBaZnY/i93koFIpMTM+xs7eTnT2dvP7W&#10;B/T3ddLb1UYo4Mfv87Jv9w6S6QwOuw1ZkmhvaaIyFODywAhV4UpcTgcXrwzQ3FB722wSQfhS3CN8&#10;uWOAtdUaSq/biXd98eA7fRLc1Nz9lo4bm9RrbeG4t+79np8/97ht+2chCIIgCILwcM3kYThj1WDB&#10;vcc3pm5QnBxEy6ZwOlV0BQolCUlerU237gUmaMllckNncTR3IylbS0nldBjNQbMLGjevdLincxev&#10;kc5kqa+ppq+7nc72ZkauTzIxNcvoxDSFUolYPMHRIwcJBQN4XE5sqoqmG/R1t7MUX8HldFIRDGC3&#10;2WhuqOPa0CiLsWXcLudNZQ2C8EUwb/3mHm/MB8pg3dQe+a7Vl9JN3z+yocw21sESBEEQBEF4mAzT&#10;mpKXXc0ubaVxl6mb6Mk4ALtadPpbdC5PKEwtyaTzEmUdDMNqDmXoGsXoNHoyjhqu2VIWyzSt9bHG&#10;81Dr2H4WyzRNamuqqKwMcub8VQI+Ly0NdThsNgI+LzNzUbraW+jv6aAyFCCdzXLh8iBnLlxlR3eB&#10;7o5WVFXF4bDzRF8nx06ex+dz8+LRJwgGAmKpDuFLc/sr7c6vvZsCrK3UKW2WPfqqt3lQ653sxXtU&#10;EARBEISvyFLRCmS2Wz1hGhqKBM0Rg/3dZXa2aBQLEpmCRCYPZV1CMyRmYxKfTefQMgkrwNoKCfI6&#10;TOdh2QPV99G0r625gXyhyLmL1zBMk7noEvPRJTLZHIVCkXyhSCKVYWpmAbvdqtH60R99i862Zmw2&#10;G+Vymd6uNlqb6vn81AUM3aC7oxWvxyUCLOFLY62bK938BjWlTeOHbWew7ifB82Vs8yCVXNIdfxAE&#10;QRAEQfhyXM9bU/KALY9HJBkkhxun3aS1Wscmg2oHj90k5DOtJNVqPVZDNcwWyywaxRs1WvfaP9b9&#10;4mVYKG4/wJIka80gm6oTCgbwetzEluMMDl8nXyjS2lRPuVTm6uAoTQ21HD6wmxefeRxZkVEVhXQ2&#10;R9Dvw+W0pgL6fF5cTic2m7qtTs6C8PDceHPeKb5/oIWGH6Vt7jsuEgGVIAiCIAhfMc2EybzVWAK2&#10;PjyRFAlfJEyPrNEcMUG/UYohSXAjBDHxOiTa66Dgd5A1tjcEyulW442yAbb7iGscDjvPP33YWhNV&#10;gh09netrWq4FeooiY7fZbgqcfB43f/K9V3GvLtvyyvNPoioK9rssGyMIX5yNM97uPL9u2xmsRyWg&#10;etD9r/si5x4KgiAIgiBsQVqDeMmacbTVaTlWfzGFpv5OvlOSsSkadxvQuGzQ2eph0FOJuZ3KCAnK&#10;q2tjZTQI3UdsI0nS+qLAkiRht21tDStJktY7BUqShOcOa4oKwhfpRky1+ga96T16+7w7ea2vw8Yv&#10;sK56rKW9JEmyVim+5X5rvwduutqw9r20eh9p7WdJQpLXr6vcdDJrc2hlSUKVZRRZRlGsL1mRv/g5&#10;trc+AYIgCIIgCF+SRBlyBjeN1bY2e0dixd3KvLMPifJd7m1SlOxMO/pJKZXbvpBtmpDVIK3f8+53&#10;3o8kbXs8t7bN2na3/iwIX4m7NvfbJIMlYa1OPLMQQ1VkaqoqyOZyRJcThCv8VIb86JqBbpgk0hmK&#10;xRIet4vZxWVaG6rRNJ256DK1kQo8bifxZJpCoUhl0E88mSaVzlJfU2UFbLKM3aZSLmvk8kXcLgfF&#10;UpnllSSGaSJLsvV/WaIy6Cfgc38hbyjz7s+RIAiCIAjCFypRtqYHbhyObKlGSoIiLj61fZdwaZYQ&#10;C4CNG3uyrh6XkZmSdnBefRYk+b6GPQXDCrIE4feRx2WnrBVQFRmHXQXTxETatD/67TVYpsnVkQku&#10;XruOzaYQqQyiKgqJVJb62jCFYhmPy4nP4yJfKHJ1eIIdXS0sx5OosoRhmszMx2huqAagkC8yNbdI&#10;NJZgYTFOIpnm8uA4qqJgs9vY2dVMOBRgZGKWclnDNA3SuQI+j4vllRQOu53qcBCv24mJ+wuLgyTR&#10;nl0QBEEQhK9IVof7Sw5JSMjMqu38yvyveab8cxoZRaEEWOt85k0/1+QDfG77JimlgvtpDWFiTRMs&#10;3qO1uyD8rvK4bLgcqtVZs2hgGne+BKLCxnmFJmVNx2W3E/C50Q2D+cU4fR1NTM8vMTkb5drIJId2&#10;95ByOTl7ZZhMNs+pC4OYwPxSnHJZAwlOXxykv7uNukgFsiwRT6Tpam0gnkgxG43R2liHzabg9bjx&#10;eVz0dTYRiyeZX4zjdTtX079gGDqKIuF2OlAkeXWZ4ofHvOX/IsgSBEEQtss0TUxMa60hDAzTwFwt&#10;cpGQkCUZWVJQJNH1TNhcybSm4d3X9V5ZQpIUptU+fiI1UJu/TGVuAJuRJWerZsmzi0VXF5pqQza2&#10;2D5wE4YJIoEl/L6SJIm1iiirbGqrUwQliVyhyOziMrphsrySoq4mzPhMFCR4bE8PAyNTNNdHuD41&#10;j2nCrt42Mtn8ej2Wqipomk48kSaRyjCzsMTkTJSaSAXLKylKmkZzfTUriRQ2m0pF0M9MNMbMfIzq&#10;cBC/z83k7CJOu43aSAXFYplkOkehVMa/ofX8rSn0+42Lbq4EEwRBEIStMTExDJ2SUaZklNEMDd3U&#10;V39v3LggKEnIKKiSjE224VAc2BUbsgi2hI3uJ+iRQJJM9KJGMTZHbnaC3NICQ4UczdXVhAM+5mIr&#10;zCfO4gpN4KppxFXThM0futF/feuHWm2qcR/nKQi/I24tVbpTDKHeeoPP6yLo8zK3EENRFNwuJ+Gg&#10;n+WVNJMzUVRVQVUVQgEf7U01yJJMoVjENE2WV9KUyhp9Hc20NdXi87rxez38/+y9Z3Bd6Xnn+Tvp&#10;RtyAi5xJBIIAQYK5STbZOQe1pFYrWJK9tkfjssd2zdTW7kztbG1NTdXul92qKc+udz2utdeyLFux&#10;u6VW5yabZDNnggBB5Jzzzfee8O6Hc3EJgCCbzWZLLfX9VQEX9+RzcM553+d9nuf/aKrKzPwisUSK&#10;itIC3C4nsiyRTOkYhkFJYT7JlM78UhTDMFFkW9RCwv4U61Tcu9c6WXcqbvxJEcIerRwcHmd8aoYD&#10;e1pJpdLEkylOn7vMwX07Cfh96667FIly8WoHAZ+PXa3N6y4TjsTo6u1HVRR2bGvGMAymZ+eZmJpF&#10;CEHAn0d5aTFejzszerriHLPXTWSmybdo9QtgZHSCK+03aG1ppLqy/JbrE08kee/DU+ze3kxJUQGy&#10;LDO/sMTpC1c4tH83Pq8HJAlFlknrena7siQzNjHJ1PQciqogIaHrOkWFIeo3VmNZgottHVRXlFFU&#10;kM/I+BRjE1MosowsSximRcCXx6a6DaiqQiqls7C4xNDoOKZpUllRxsjYBJZpZRWGNtZUEvDnZa/T&#10;8OgEhmnfT0gShmHgcGhUlJZQXlp023y+xaUIHV29lBQVUL+xOjt97fJXO7oYHB5jQ1UFAX8ekiRR&#10;kB/E43Flr9Op81fYt7uVWDSO2+MilB9AkWWWIlHOXrzKwX278bhd993IX++ZWT7+tfNuN3153p22&#10;dbf7/XVvI0eOz4Lle1AgSFtpkmYK3UxjCHPF/Mw9uTK5V0hYWKSxSJsGcT2FQ3Hg1dw4FVtJLXcv&#10;51DXr1d6GzLvQ0sQG+5hsfMy8ZkxLD2NLEu0NGzkX7/8BF63m9HJGf7u9bfo724j3H8dh89PXk0j&#10;voZtOPJDZAtl3cUeZQmU3K2aI0eW29kjt4hchKNxhiem2NpUy/TsArIksaOlgcGRSU5d7GDX1gYc&#10;mkpRQZD8QB6SBBurS+kfniCZ1Nm9rZrSohCKLKNpKrF4gonpOeYWIwT9eYxOzKKqCslUmoKgn7Ki&#10;EJqmUlVWiNvpYGR8Bq/biRAwNjWLBJSWhHBoKnd2xt2Zz+J9YAnBm+8d44Pjp5mdX2Jmdo7+oVFa&#10;mup5//hptm1pRJIkFEUlHo/zszfeZzEcBkkiHI4yOT2LYZhsaaxHIJBlmeLCEA8f2M3M7DzHTl1g&#10;aHQcXTfYvnUz/rw8pmdnGRmbxOFwoKoK3/jys5SVFPH+0VNcudaJJMsYhoGuG2iaiqqqWJbFrtZm&#10;nnh4PyOjkxw5cZaZ2QVMy8QwTMYmpnnvw1O4XA5URUWSJB7YvY1HH9zD6QtX+ekv3+HHr79FUWGI&#10;LY31SJLEkRNn+fHr71JYkE9NVTnf/PKz/Pj1d7jU1gESPLhnB32DowT8XianZknpOrU1VYxNTPNX&#10;/+u/B0liamaOH/z4l/zF936P1948QiyRQAKGRifYtmUTQ8Pj/Md/9yek0mn+r//3hwyOjlNaXMjB&#10;B3bS0d1HW0c3m+s3EI7EWIpEeeHJhzm0fxfhaIwPjp/h5LnLbKyuYHRsilQ6TX1tNVPTczRtquU7&#10;r7yAJMmcPn+FMxfaMEwDSwjKigspLgoxOTWLJElUVZQhSaAqCrIsZ41qgLn5RY6dusAVfxd+nxdV&#10;UXjykQPUb6xCkiRS6TQdN3po2VzPex+eoqqilI01ldTWVLK0FOHk2Svs2b4Vb6a2x/1CCIFlCWbn&#10;5rnYdh0EbG/ZTFlpEQDhSJSrHV0sLITZVL+BxvoNSJJEIpGip3+IgeFRykuLaNncgNvtwjBMhkbH&#10;6ezqw+fLo2VzPQWh4C0dQiEE8USSzu4+Rsan2FBVwaa6GjxuF6ZpcaOnn56BYYpC+bQ01RPw+9bd&#10;RiKZ4uLV60zPzrG5YSP1G6txaBqmaXLhagfDo5PU1VTS0tyAQ9NyHdMcvxaEEFjCImWlSZhx9Mw7&#10;w54Jq+MhpOxI/3pOAoEgaaTQTQOv5sKjuZD5Najl5vhc41VsA8b82FFfgSSBnogzf/Ejwn3tYBpI&#10;soKcacNDgQA+jweAoD+P8uJiBkankCQJPRJmof088fFB8rfuw7uhMRvK+nFoEjhzjtccOT4W5T/+&#10;z//Lf1r+stxWKLJCWjfoHRhD0zQsy8LrcdE/Msm2po14PS7GJmc5eaGd3qExegfHGBqbIpFMEYkl&#10;6B0cZ3ZhifyADwlYDMeoqSiiqqyQtGGwc0sDHreLRDJFaVE+iiIzNDZNZ+9w1jNTXBBEksDjdlFZ&#10;UkjA50VVbl+2y5aEv31F5TshBFhCwqHJthbIXWwj6zESEI8nMx43ME2L+roafvXuMXoGhnjtrQ9I&#10;pdPs2LqZgN9HwJdHd+8g+UE/f/DNlzi4bxeqotDZ3UtzYx37d7dSGMonkUwSiSfYubWJ5sY6TMNE&#10;VVW8Xi97trfQ3FiHJEns2tZMKOinurKM3du3sH93K36/Dz1tcGj/Ll58+hH27W5l86Y6Av48/D4v&#10;dRuq2FBdwcDwKLu3b+H3v/ESVeUlDI6M89CB3Tz5yH4aNtZgmCYfnbnIt776HE6Hk707t1FcmE9P&#10;/zB/9kffBOCxQ3t5/omHCeX72dXaxPjkNLu3b+XlF5/k/MVrfPvlF1A0hcKCfL7+5We4cKWDRw/u&#10;RVNVamuqKAgFCEfiTEzPUFQQwpfnIRqLs6t1C+OT0+zf00ppcSFbmzfhcGi0Njeyb/d2JqZmaWqo&#10;5ZtffY76jdWk0zoej5uN1RXEE0nGJqapLCvm5ReeQtNUSooK+OZXn0NVFEzTpKmhFk3TcDocFIYC&#10;TM/MI0kS+3e3Eo7GOH/pGlfab/Dehyc5c6GNwlA+3jw3b7x7lNffPsKJs5c4ff4K0XgCn8+Dqqgk&#10;U2n6BoapKCtlZm6en7/xPmcvXSOd1glHY1SWl3D2Yhu+PA+yotDR1csDu7Zl64LcLyxL0Dc4zP/+&#10;1/8fs3MLjE/N8O6HJ6mtqcK0LP7xJ7/kwxPnSSRTHD11DiSJkqJC3j58nJ+98R6ptM6Zi22MjE3S&#10;WLeB0xfa+Kef/YqFpTBX27u50TtATVU5wTXe2Xg8wY9ee5v3j54mEo1x7NR5OyS4qoJ3j5zgtbcP&#10;E45EOXH2EuMTM9RUlmdrmyyTTKb4r3/7T1xs6yCZTPHqrz4gFPRTXlrC3//wVY6ePI9hGPz8jfex&#10;TItN9RtQ1U9czi9HjrtmeUAlbaUJ6xHiegLDMjPtpZT9EULKeFrXa0CkVT/S8jpA2jQxhYWmKMjk&#10;pKe/yMQM6IrbeU53tHUk0KNhZk68RXSgE0mS7XI4K9ZJpNJsqq7A5/UwOD7Fu6cukErryLJkLw8Y&#10;iSiJ6TEkScFZUJItqXM7BJCvQaMXgndXwipHjt9ZdMNCCLCDpG61HVarCEoSpmEyM7+IoZuoqkLD&#10;hnI0VeVSew+BPA8d3cMEfHmUFod4NLDDHg3RdXoGxjBMk9am2oy0uozL6SCd1gnl+zFNi+HxWZbC&#10;MSZnFtANk6KCIKqqEosnWViK2J4CTWF2IUw6raOpdqd1dHIWJKguL/kML9UnzyztHxjh9beOMLuw&#10;wOjYFN19g+ze1szho6dp2dzAn/zBK/z9P7/KY4cewOV0Egr6+Zefv8ns/AJNm2q52t5FOq2zGLZD&#10;Ky9e7WBLo20IhSM+HKqKL89LftDPzOwCFWXFzC0sEY3FAAj48gjlB1EUmVAwAMEAANOz8+TnBygq&#10;DFFeWrzqmE2Hg66+IfoGRlhYDHOprZO5hUXGJ2YIR2Nc7+5jbn6BJx7ejz/PS2Eon/OX2tENg56+&#10;Qdqud1MYyufE6UsAnL/UwfxCmCce3odD03A5nXjdLjRVJZFM8jf/8GNm5xfRDZ2+/hGikTiKrDA4&#10;Ms7s/AIVZaUUhoKcPHsJ0zSwLIFlCvS0YctfCpiYmuX1t45wrbObPK+bVDpNOp3m+OkLXLvRQyKR&#10;wDIFtTWVgF1LLRaPc/TEebp6BxmfmiGd1ukbGmFufpHW5kYk2c4XdLucVJSXUl+7gCTJtGxuoG9w&#10;hJ2tzRzcu4P3j9QeQUsAACAASURBVJ0mlB+kbmMV8USS8clptmyuZ0NVBb9850PKiguoLC8lnkhi&#10;CcGNnn50w6AgFKRlcz3DoxNsbqils7sfTdXYu3MrF65ep2VzHQ6Hdk8DAh9HPJHg/OV2CkNB/tP/&#10;+G+Ynp3jX159i6Mnz7FvdyvDI5P8D//mDykvK+aD46c5e7GNwlCQ7r4hvvL8Ezz1yAFOnL3EhyfO&#10;cuFqO70DI+zc1sTvf/1LtHf28Nbhj+jo7KGmsmzVfrv7hpicnuXLzz3Gowcf4I13j9LZ00dP3yBd&#10;fYM8tH83Tz/6IO2dPbz5/jGmZueyXrVlrnX2MDk9y5/90bdoqK3mR6+9zYmzVygvK6VnYIS//N63&#10;2VBVwftHT/PW4Y94/qlHcDnvr4GaI8cyy16ruJEgrscxxbJ8WsZYWlNr8qbRZTcmK71XEhI3o1yl&#10;myVUhCClpxECfE4PmpzzZH1RyXeAS4a0Zd9La2+D5XvGTCaZOfkO8bF+JPWWVHqEgPlwhLaeAQrz&#10;A5xvv8HswhKaqqxaUJJkrGSMxY5zSIpCoLEVaUVe4No6qrJke9nycmNaOXIAdzYZ1jwmAq/XzZ5t&#10;jVxs7yYU9FFUmM/Jc+2UlxTS3FDNxWs9dHQPsXvbJjRVJZVK0z80zczcIjWVJfjyPJhmxn1tmEzP&#10;LjIyNk0skcDrdtOwsZKlSIyp2QXcTgcetxPLskilDbxeD4osUVqYRzKVJhyNU1YcwunQkGUZy7KQ&#10;5fvf8KxSEPwEmy8rLeLZxw8yPDbJP//8Db7ztRfIDwb4/o9/QVV5CaZl4dA0SgpDAHjcbg7t28XE&#10;1AymaeFyOvCFvFRXlvHAzm1EYzEmpmepqijjRu8AbR1ddue3IJ+Z2XmQsBOnLbs2WO2GqnWvhx3G&#10;Zq2bsxKLxeno7CU/P8Azjx9kaGScitISTMNiU10N5aXFvH/sNK1bGlFVla7eQTbWVOAQDnRdZ9/u&#10;bQhLYFommkPD4dA4faGNBx/YwfkrHVxpv0FP/zDBgB+3x8V3Xn6RC1c7iERjPP/kw/zVf/sBQgja&#10;b/Ry/OR5BPCf/8Of43BoTM/NY1kWkViUsUlbWEVRFJwOB+VlhZy7fM0Os6uuJBDws7V5U/YcXU4H&#10;pcWFmQ6RIM/r4clH9vPUowc4de4KS+EIX3rmUU6cvcTCYjgrrXmts5vxyRl0w2Bicobp2TnOX26n&#10;qaEWr9dDMOCnoqwYvy+PeCKJx+Nhdm6e0fEpegeGmV9cJJZIUlwYoqggn4N7d1IYChLKD7B9axPt&#10;N/qoramgf3gUwzRo2tTE6MQUfYMjhIJBFEW55X/0aXFoGq1bGtmxtQkhBLpuYpkWqltlKRwlz+um&#10;vKwYl8tJWXERwrKQZZnnn3yImspyTNMOHZWQ8ft8PLR/Fx63C8uySOsGEhKapt5yf03PzeNxuygu&#10;LACgpqqcjhu9JJIpNlSVMzo2yaW263R291NSXEhBfuCWbQyNTlBSXIAnoyTasrmesxfbUGSZv/ze&#10;71FcWMDYxDRXOrrY0liHpuVa+hyfDUIIDMskqsdJGEmWq50I1iqwrX0HSxljSgDyqlqU0tp1MgaZ&#10;ANKGTpQEfpcbJRcu+IUkoNoeovCaWsECgSxZCAmwBPOXT9jGlaKtXGhFhKpAkRX8Xg+WELhdTvt+&#10;EmuSvDLfzUSUpRuXcPj8eKprEFmVQZmVKyiZY8y7D82WEALDNJElCXmdQYWV4fi3Y2Xh4ZVYloVh&#10;mGiaetvtmqaFqtoRLUKQbdN0w0CR5Vva5rXHsvL4b9eOW5aVPT7TsrLLmqaJZQkURc72bS3L9oZI&#10;sp3TDmCadm6noii598Hnmds4Z9S1y4D9T68qKybozyPP7eTA7mYCPjuUZ9+OJpJpPXuzSZJEfsCH&#10;P89LWXEI07RvqOXRlzyvm5rKUgI+LwG/By0z2pJIplgMR3FqGm63E7/PiyLbD5rT4WBhKUIylSYU&#10;9OF2OT/2QbtnUZtPlFS6Gk1T+cU7R+jqHaQgP8jbhz/i6UcP8m//5Dt8ePIcx06eJ+D3ZUOYnE4N&#10;p0Pj4tUOmhrriMTi9uhlOs38whLbWhr5xkvPEI5E8Xk97GrdgizbDfXWzfWYpmApGqWoIIgiK8zM&#10;zpNMpT9RiJlA4Pd5yfO46O4bpKSogD07WigpLuSDY6cJBvwE/D5kRcbtcvLc44cYGhvn2vVuKsqK&#10;cTocoICGyqkLV/nWV56jtqYSj8uF2+nE6XDgdrtwuhw4NAc//PmbjE9Ok9bTTM3MZ14U8MKTD7Gt&#10;uYH/++9/jKYqvPTMY0xMz9DTP0QinmTvzq088uBePG4XLqeT+g3VxOIxYvGEnfv2/jGGR8YJR2M4&#10;HRoF+QG2NTfy/FMPZ8IALY6dukD7jR4WFyMYpklnzwCJRIJdrVtufSEK0HWDyalZNlZX4nI5uXi1&#10;g3RaX319haC+tobN9bV4PS4WF8OUFhficjk4d7mdpoaNtkiHYbKwuMTA8Cg//9UHJFNpaqsrUFWF&#10;l194ku//6HWKC/M/EwPL6XSwZXM9liWYmZvng2OnGZuc5k9+/xX6hkZtoRrF7vjJst2583k9NNZv&#10;JK3rXO3o4tjp81SVl7G1qQGn04FpmvQPjXDkozNomkpL8yYisTixWBwhBB63m1QyjZRREgXQVDXT&#10;kJnUVJVz9OR5Tp2/QiKZ4sWnH8bjdrMUjpBIprCEwOf1kkwk0VQ1q65m515ZOBwqNZXljE/O8Lf/&#10;+FPaOrr40z/8Jopi58XlGp8c9xMhBLplEEnFSFrpFYbQWp+UlG1blw0vacXc5b/WM8iyd2x224KU&#10;bhAlhc/lsru2ufv6C4UmQ5ULRhKr87DMZJKJGx2Y6RR6LMz8tTMIQ1/t4hLcLOgpBC6Xk67eASJL&#10;YQaHxwgvhm/tCK74Li1EWIy+i2dDEw6HhjsQJL+mDtXlzi7qVqDIAa57aLYM08TQb+YtCiF47+gp&#10;igpCtGyux+GwjUVFkdFUlaVwhJm5hYyRIWX7p8tPjyUsyoqLCAZuzeUdHBnng2On+YNvvmT3WdYw&#10;O7/AqXNXePbxQ5y7fI3J6TlefvFJYrE4r791mG1bGmnd0njzMglbFTQaT2CZFkgwP7/EyXOXKSzI&#10;58Ce1qx3WlUU3B4Xuq7T2z9MKp2mrKSIqx1dlBQVsGNrE+03ehkcHmfPji2UlRQzOj7FjZ5+4pnB&#10;2rqN1eR53Jw8dxmBYMfWZvK8HhyamjO2Pofc7t+xzvCvhKaqbKgsseOAhZ0gufxQqKqCT1Wy7YWm&#10;qVRXlNj5R5a16vlVZJlQvp/CkB+ELQqxbNE7HRqlRbZnRwjbAyFWxFsU5NsPjWXdxSjGXV+GdfgU&#10;cqM9fUPIksR//g9/Tu/AMG3tNzi0fyd5Hg99AyP8y2tv8W//5LvZ5S1LkEgmkRWZkqKC7HklkikS&#10;yRTJZAoAX56X0pIirrTfsBUaAZ/HQ3VVOZawcLtclBYXcqntOj39g2xrblzv8NZFkiRSepq26934&#10;fV47DyfjSQoF/QyPjLO4FEYIO/9t766tzMzZhlxaN9A0I6vTqqkKxUUhNtXWoCgKe3a0cKntOpXl&#10;pTRvqqOqrJRoLM7bRz4iGovzygtP2l5KRUEIe3RGliWmZ+b52RvvEY8n6R8eYSkS5fW3jhAKBti7&#10;s4Utmxs4cfYSdRuqyQ/46bjRyysvPsXUzByHj5+hqqKURx7cg9PpzISmOjm0bwdbm+qzIZixRJIt&#10;m+qIJxIoirriibA/NU21wwL37USRZd4/dpoPjp+ltXlTNsxSN4zMGhK+PA/7d2+nq3eAcCRKIpHk&#10;wJ7tVFeW4XI5ab/Rw09+8Q4Li0t852svcLWjCzLhtLqqMjw2ydONddkBh/uJEALDMOjuH+Knv3gX&#10;SZb5sz/6FmXFhfQNjWKalj16p9n3pLDs0c75xSWOnbrAmQtX2LW9heefeAin00EimeL8pTbeO3qK&#10;qooyXnrmMfL9Pj44dpr3jp4mlUpzcN9O25skSRiG/Ywbpoksy0zPzHGts4dD+3fx1MMH6Bsc5l9e&#10;e5vqynJGx6e41NZJMpnkS08/giXsYxOZUCzdMJAk22BNJJOUFhfwP/27f82FK+38t+//lObNdVSV&#10;l+YanBz3DSEEumkQTsdImenM1JW+J/mmqIWU6dOy2mxa66nKmmRi9dyVSJnSrynDQE3reJyOz0Sc&#10;KcfnmzoPXArb+ViI5ZA/Qc/Rt5nr7QLJzrX62HeegJ4bfZkvd5FbLgSibwjOnkbWNIq27aWlpBK/&#10;y5UdQAhqUHqPmkw3egY4fuo8cwtLyLKdjnK9u4/8QIDysiJkSca0LJob63n04B76BkY4duo817v7&#10;QUBZSRFOh8bI+CS6YVBaXMhXn3+CHVub0LTVJ7e4GGZoZHzd/qMQAqfDwanzVygqyGdDVTmvv3WE&#10;Q/t2Mjo+xfnLHTzz2EEM00RdMQA6M7fAj157i4nJWSKxGJkSd+iGwTuHP8IwTULBANUVpbz4zKMU&#10;5AdZWIpwqe06Tzy8H8sSXOvsobiwgMttnQgh8PvysITFlfYbXLjSjpYZUFQ+Oodu6CwshtF1g2On&#10;LqKpKs89cYjd29cZIM7xOeBWN5Z6O/vCWlGdePlGWt7E2nVMy2J1d3XlPsXtFXGEWO9Pe/9inYnr&#10;bf9+sfIE73InleUlPP/UQ0xOzfKT19+hdkMVP3r1bb7y/BOUFBViGiaVpWvyxiQ7iVkGrMxLT87U&#10;EJNXyGVPTs0wNjHNc088RCqdorO7n56+IUqLCzAME1fGmJibX/yYE1qNEAKHpvH8Uw/TNzDM+OQM&#10;Qb+fsckpTNPixacf4a33j69+KUm2N8LrduNxuzN5B4KH9u8B7HtFlgXJZIpUOs21610E/HkMj46z&#10;sBjmelcfqXSat4+cxON28c2vPofL6USQcYFLEt96+Xk+/OgsaT1NKBCkuCDES889SigYpLt/iEg0&#10;RuuWRvy+PHZs3czpi1c5e7GN4dEJuvsGmZ6Z59D+XTRtqqVvcISzF9sIBHwIIaiuKKWzu59NtTWk&#10;0jqXr7WRSCTZtmXT8kXBQrAYDjMzO09RgR3up+s6fl8eRQX5AMTiCRRFpmdgiFg8QSKZxOlwEMoP&#10;kE7bhsC5S9dwu5zUbajiu6+8yBvvHqOirJj2zh5GRicIhyMUhIJ0dPXR2rLZfomrCnpG+dGTURRM&#10;puyOnctpj77FE0k0TcWhfXxmsWVZ9AwM8/c/fJV9u1t58alHUBQFS1jZUMfZhcVMAxBGkmVkRebw&#10;sTN0dPXynVe+RFNDbUYJUefEmUucOHuRJx4+wP49rSiKgixJPP7wPh7ctxMhbK/ZlWudDAyNMrew&#10;SFrXmZyazYQ6SKiqSkVpMQF/Hg21NXbDYlp8+dlH+fJzjyEsgcft4vSFq1zv7icai6PrBkMj4/h9&#10;XoZHJ3jj3aN866vPUViQz5bGelRFJp5I5kqy5LhvCCEwhElEj5MydbIhftgDKxasiSm/TYOxxpBa&#10;X51tpffhpmfMAhKGgaYoONTcaPUXjTInVDihO1PNVwCOPA9FDU3M9nZ9Jnm7QKZvAsISSE43ZkEp&#10;oylBYDFG0O0k4FSpcEKx494OoLqijMcO7SMWiwMwMzdP2jBo2VxPQ21NNhKhuLAAX56XvTu3snfn&#10;Vn72y/fQDYOnHj1AQX6Q1978gEg0xpeeeZRgwA/YAktpw8gapFOzczgdGpFolFTakc2V9Hk9zC0u&#10;8qt3jhLw5fH24ZM01FYR9Pv46S/epat3EEWVeefDE+zc2syWzfXLF4eC/CDf/toLzM0vcebCVSam&#10;Zvnu119kdm6BIyfOEgz4eeqRA7icTlwuB+03erjS3sniUoS3D3+Ex+0kFk/y/R//gvHJacpKijh+&#10;6gI7W5txODR2bmsmGPAxNjHN5PQsVRU17N25DQlI6zpvffAR4UgM07JyBtbniDv1Pz7R8Pm9dGR+&#10;azo/y5bjJ3h3RKIxjnx0Dq/HTSqVyuRSbSUai/PGux/StKmOtw5/xHe//qVsx1lYgsWlMIOj4xnD&#10;VSKZSjO3sEjFChEPRVEoKgzR1FhLLJZgKRxlcnoGIQT9QyNc77ZHpna2NpNMpkim09mLHY0lSKZS&#10;xGJxFpcigP3ScTod2fOUBMiygqZpKKr9KUn2G91iNYKM9zHjXbAlYiV6+ocYHB7le999BbfbyWtv&#10;HWZscpqCYAC3y8n2liaSqTSJZIpYPMH+PdvRVCUbMiksQd/gCD/82a/YvnUzC0tLPPvEIS62ddLU&#10;UMuxkxf48vOPs7GqgoIXnuBSWycARYUhHti5jeLCEMdPX6CitISH9u8i4PMRicYYGB4jmUpR7Agx&#10;NTPHhv27bdn/iemsDPiN3n42VJeTSCTpGxwhmUozvxhmcTFMS1MD3f1DKIrM2MQUvYMj1G2oYnZu&#10;AQmJHS1N9A4MMzM3T3lJEbJi17Xq6R/kof27CAUDOJ0O/L4827NrWoSjMebmF9m9fQtHPjrL808c&#10;4sKVdpo31bKxupJLVzs5f+Uaf/x7X8XtdvHGOx9iWhbf+PIzWELwt//4Ux7Y2cKBvTs/9r6MxmyB&#10;j3Rap6q8lAtXO1BkmaqKUspKivB63bz6qw9oaqjl9IUr1G2oJBKNcfbyNTbVbiAeT3Lm4lWCAT+y&#10;JHG5vdNuNJwOLlxux+12UVNZTmFBPm7XzeHMhtoazl68yrlLbZimwanzl6koLWZXazNjE1Ocv9wO&#10;SPQPjmCaJmWlRXY46grlqpamet4+/BHHT19kZnaed4+dYt+ubTTU1/DLdz7knSMn2NJYz6lzlykp&#10;LqSksCA7MJEjx6fFEoJoKkHK0EFIWcPo5ucahLxqmsj+Wjn1TvfnynnysuYFpmmR0HVURUbJ3d9f&#10;KFQZtvlgKAlpk2y7XtK0jd4P30NPJ25jsK9Bup1hf3tEJrdD9QdxlFaTtgQz0QSLiTRb8p1Ulbhx&#10;3GMevNOp0Xa9m44bvTgcKolEisVwhLaObvoGRhBCkErrfPMrz1JeWkw6rdt9DsvOJ0+nDZKpFJaw&#10;I6VSaZ1UOo2mqrz74SnarndlFN0kegdHmJmdxzBMZEUBbMGsP/zWV1gMhzlx9jKvvPSUvQ/TZOuW&#10;BoQlqKooxbIsO+JEkDWwJMkeDO7uG+LwsdNYAsYnp/nnV98imUwxOjFJWXERP//Ve2zf2sTWzQ10&#10;dvczO7fI3h0t6LqR9ToKIdjWvImJqRmu3eihuLgASZKYX1gikUxRXBiisryEzu4B3nzvWHb/AZ+X&#10;6qrSnHH1ucIeGLud6aCuXfReNv95XeduuUPUxm2RJInK8lL+8nvfZmBojIHhMQ7t242u6/zdP/2M&#10;fXtaeeTAbv7uh6/y6psf8K2vPAcIVE1ld2sLf/DNlxAC0nqa/oERzl/pWBErbCdEXrvezX/5f/4R&#10;07RIppLUb6xBkmUKQ/ls3lRLYShA0O/n5LnLnDx7GcM0kSSJeCJBNBZncGiM9z48hSUEqqryyIN7&#10;aKittju0ksSu1ma6egdJplIU5udTVBBkYXGJRCKxKulUwvZguV0uPG5n9vwdmopumAgEiiyzvWUz&#10;Tz/6IPlBP+OTM1y61oksSURiMZKJNBOTM5jCxJfnpaaqnGQqzaa6DTRtquXilQ6+88qLTE7Pocgy&#10;D+7dzmtvHeb9Y6f5xkvPoGmqHaYqBGMT05y/0k48lmB6Zh7TtDh/uYOCUID8gJ+pmVm2b20inda5&#10;dr2H3v4hHA4HE1O2iEXdhmpkWaJ/aJRkOoXb42LHtmbqN1YzPTvHqXOXqaoo47//0/+Ok+cu887h&#10;Ezz96AFGxiZxu50YpoHH7SSRSDEwNIasyESiccpKCkmmdSKxOGndoKOrD8OyPVTf+urzeD0uXn3z&#10;MGUlRXzpmUc5evI8H525SFlJUcaTKWdDFyVZujl2nlHlXKnudCcUWaG4MMT07DzvHzuNyCQ5P7h3&#10;B3t3buX3vvocb75/nNMXrrC5oZZnHnuQ2fkFKstLmJ6d4/1jp7AswcaaClo2N1BZVkLvwAgfHD+D&#10;ZVkUFYRwu10UZjx7yxQXhvjys49z5MQ5PjxxntqaSh479ABVFaV87UtP8cHxMxz+6Aw+r5dXXnya&#10;zfUbVxlXAEUFIf7Vt1/mnQ9P8O7RU+zZ3sIzjx0kP+Dnz//493jzg+O88e5RCgry+Yt/9e114+9z&#10;5LgXhBAk9NQK4wpWNgxi5fd1wgLtv25zL64IKbx11HHlPpajGCClW2iKiceRk27/olHvhY1R6Ira&#10;34UJwaoNBMormO3vseX8PiMkVcVRUIqjsBhJCCwkVElQ7RJUu+99u2ldZ2FpiR3bNlNSWMD07Dx1&#10;G6oYnZgimUqxqXYDr799xM7tjce53tXH4lKE6119WJaF5tDweT103OgjkUzhdbspLMxnV2szD+3f&#10;zZ7tLbYQjQR//Xf/wuzcAk899iDVlWXZXMniwhCRWIy9O7dSXVnOO0c+QpFlW2QmlWYxEmV36xYO&#10;PrCTWDxxy/FPTs/i9+exf/d22q53U1FajKqq3Oj10drcwMj4FEMj47Q2b8rkZrvQHCo3+gZQMmIW&#10;4Ugcvy+PxvoNlJcU4XI4kCSZhaUIpmmxsbqCbZnUhIXFMGAbjaXFhRQVhnIDip8rVr7Mb/2/SLGk&#10;sW7Vjnvb3G92HVm6fbLZbfcjwDAFpinwelS7RsRdrytYDEf46S/exZfn5aVnH6enb4DFcISHD+zB&#10;sgQLi0tcvmbnZiHgRk8/U7PzPPXIAQBmZuf51XvHiMUTPPv4Ieo2ViGEYGB4lPbOXlqaGjANk/Gp&#10;GUzTxON24fV62NrUANjhYPF4klgino2olDLhhtYKFR4JCa/XjbAEVzpuUFlWwsaMrPkyQyO2QRYM&#10;+Hns0AMUhIIAXLraQfuNXgryg9lEVEmSmJ6dx+HQeOaxg+R5Pau21TswzJmLbUhIKIqMJIFh2Lk1&#10;e3dupaG2hrSuIyx7hMowLLxeNwNDo/T0D/Ps4wcxDJPFcISignxi8Tht17txOhwU5Ae5ePU6imwr&#10;8AgEwrIoLAhRX1tNWtcpLgwxv7DEibOXGJuYRpZkFEVmy+Z6Hti1zRZiECKbMCpJEpFojItXO3Bo&#10;Dra3NOLxuInG4ly82kHA70PXDVRVZXR8ksmZWSzDyuYUkhV3EBx6YBe+PC9HTp5jQ1U5u1q34HG7&#10;WFqKcOrCFfbvbiXg9xGNxbl8rZM9O7bicjpynagcOX5DCCFImQbhZBzDsr30ANJy6yitjFhf/Zyu&#10;22Ksa1DdLg597frLGS/gVBV8bieqkqvs+kVjJAGvTsGSbt8RigZd775J22v/jCR/NqGjwrJQfEFC&#10;B5/Gv+MAVmbQtiWo8Z2NXur9954zHInF+Pkb71NdUYaiyHx44hw1VRWMjk9SkB/k6cce5FfvHePB&#10;vdup21DNqfNXmJ1f4OzFa/jyPNRtqMLldNJ2vZtUKkVzYz1Fhfk88dC+VUXr5xcW+T/++h+oqbLr&#10;LL784pPZgvRCCNK6TiKRRFVVwpEoliXoHxzhxLlLOFSNLz37KJXlJViWWNWvCUdjHD1xjr6BETwe&#10;F7FYgm989VlSqRSHj59hfiFMVXkJiqLwtZeeJpVKoesmpmWRSCSJRGNc7eiit3+YhrpqDj6wi4Df&#10;i6IoHD15nunZeTRVxenQcLtcdPUNZpQF7Yghl8PBgw/soLmxPqee+zkhljCwLFBVO9XnlrIK92pg&#10;rbfO7ebdz3XWM7yWm6t7MbAsAaYpMExB3ic0sO6FleqLy98F3P2oxJ0u5n1g7fHdbtrdzMuRI0eO&#10;3wZMyyScTJA09Jvmz21DG6Sb7ZBYYWCta0wtLyetO3l5G/Y8KSuYsYwsS3hdGh7HrXLTOX73ObkA&#10;x+fAEKAosDAyzPH/839Dj8U+tijwJ2U5PNBVXk3hU6/gKK3CMg3K3AovV3t4tMz1qbodkWiMn//q&#10;fYoLQjidDvoGR7hwtZ2ykiJqq6tobWnk8EdnOfTATna2NqMqCpZl8Tff/wktTQ3s2d6C2+Xkl+8c&#10;IRKN8/xTD99S7N4wTH7yi3dYDEd45cWn+C9/8wN+/+svsql+Q/b5SSRTjIxPIgkJWZZI6To/+PEv&#10;KSku4LknHkJRZCxhURjKt+uLrjj+D46f4cq1G5QWF5LW0+R5PFmjTVXV7ODuV59/ksWlMHOLS0jY&#10;+2m/0cv5y9fYtW0LW5saENg51gWhIMdPXyCZTJEfDDA6PklleQnXu/oJRyIkEim8Xjc7tjaxtWkT&#10;RYUhlNyAy+eCjzOw1Ns9MLfrx/+2hgTe6Xx+nc3W2kZSkj6hQfcZH+x6jfidGvZco58jR47fZoQQ&#10;pAyDdKYezq1v5NsYS9k5Gctq1VCltGb5lS3Qir/F2q2v/mZZkNYtnKpAVXLv2i8aewKwoENb2L4X&#10;8orLCFZuYPrGNZZVJz8pdxqjlVUNR1E5arAAyzLJd8g8UuJif9F9UrQUtmBTwJ9HeVkxwQEfJYUF&#10;lJYUZmpXGasObHZ+gaVwlHy/D0fGa2OaFoZp3iKCZhgmXX0DXGq7zp/+4TcpCAV54pF9/OSX7/K9&#10;736NkuJCJGB6do6f/uJdFFkByY4C6u4fwjRNXn/rsC0iIcsc2reLA3u33zx0IVAVhS2NdbS2bOb7&#10;P/4FWw7WE43F6eod4OC+XRimyVgm5LHtejdnLlxFku0InsnpOebmF1Bkme7+QUzToqK0mIcf3I2E&#10;xGI4imGapHWdspIilsJRqitLSSZTOB0OtjZtIhDwsdrNkOM3zZ1siN86P+N6Ieyf9sHP3a45cuTI&#10;8cXEtARJ3cgo567XXEprGon1BsVus96av1fKtIu10hm3aYgMU6AbAuVmimaOLwgOGR4NQdKE7hhI&#10;Lo2Spq1Md7WTLTZ6P8jkN8suD47SaiSnC58CDxU7ebLchVu9Tx4TyfYWJ5Ip4vEEqbROIpkiGo3j&#10;cbuydVTBFms6fPwMQb8v47XJiDuIVR927mQiycDwGD/46Rs8+fABqipKkWWZRx7cy/DoBP/wo9f5&#10;9ssvUFZSj/4X5QAAIABJREFURE1lOf/+L/44sw1BPJ7gr/72n3jm8UPs3Na0fJjreghtwS/Lrveo&#10;KEzPzpNMppAkO10hnUiCAK/HzSMP7uHQvl3ZYzxzsY32G708/8Qhysvs0i/L6RxdvYOMT04TCvpp&#10;2lSHnkkLad5UhyUE6ZRO2/VuvF43zZvqyA/678//I8en5k76eLc1sD7Pnqr1wgY/bjufdn6OHDly&#10;5PjdwvZe6eimuULYAu7GWFqP7ACgWG/J9b7dqeW5KXihmwJnrqD2FxKvCk8VgSJBd1JQWN+Ew5OH&#10;Ho9ll8mmHGR+r7y3RFaeZdnTmpm31q6XJFRfAFdpBflOhYcKNV6odBF03B/jarkkTWV5KQf2bMcw&#10;DJLJFC1NDWyq20B7Zw+maaKpKhJw9mIbvQPDfPm5JygM3RRUUjXFXmZFmsX5Kx28c+QEB/ft5JGD&#10;e7LlTGRJ4ruvfIl/+tkb/O0Pfsaf/P4rVFWUomkqQgjmF5bo7LYL/Pp93jvWpVw2qjRVpbzUFqqK&#10;JxKARNOmOgzDYGh0guKC/GxetyzLpFJpxqemGRodR5Yk3G7Xqv0IIZAliaaGWp5+7EEWFsO8+f4x&#10;8rwemjbV0nGjl+ujfXT2DNDa0niLMFSOzy+/dR6sz4KbKcV8Yqn2HDly5Mjx24lpCVK6adddzL74&#10;pXXCqKQ1n6sbCkmINd3a1X99XKOS7fzesp+MEJNh5wnfq0R2jt9u/Co8Uwj+RegsCdJbWsJQTy+K&#10;qtzi+BS3xPlIWSNrubcjVq+AABRVpaCokKbyQvaXO3m81IlPu3+deU3VMurHtrEkSRK7tm+hqCCf&#10;eCLB+NQMe7a3UFNVjiRJhIJ+vvv1lzJKfTelyRvrN5JK69kakQIwTIPvvvIim+pqsmVgllEUmT/4&#10;xkucOHt5VX1PIWwRsmud3ezduZWN1atFv9bi0DTqNlZh6AZ5Xg+7t2/JzltYDHPm4lUCPi97d7Ss&#10;Wi+dTjM8Mk46lWZXazOhdbxPVeWlpNI6WkYo64Fd26gsL6UwFERr2QzYoZXbtzTiz/N+/MXO8blA&#10;iieNlfm69sR1Fvx1CFh8mnXuVeRCZEQudFOQ586IXOTasBw5cuT4nUYIOzQwkkxhWhbrG1iZ1uUW&#10;VcBMgJ9ENvdqjcl1m72uH1y4vO3VIhc3t6tI4HEpuJ1Krn36AmNagtG5JX78i7d59+hZwDaXPk2a&#10;g513KAj68nji4X08/+QjVIR8aDljPkeOOxJLGAgLlNupCH5SA2vt/M/LOp/GwDJ+jSqCOXLkyJHj&#10;N49lWUSSaRJpHSGkNY3LSpGKtVNXeJuyBtcnMaik7Kz1DKpbyKTaOB0yeW4FOdfx/cIzvRDmwvUe&#10;ZuYWiSWTpA1b9MG+K6VVt+gqVvX2JCTZDnvL87ioLilkW8MGCnL5PTly3BVZA0thXefMpzaw7sSv&#10;ex3l03qwcgZWjhw5cnxmCLHOWLu0vmzEZ41umCwlUujGzVp2K3ul2SNat5DJnfKwbhcauCoYfcW8&#10;j9fslQBNlfC6FDQt10LlsJ+laDzB5Owcc4sR4skkumFgWpn6l8vpVjfNLiTJDs1TZAWHpuL1uCkM&#10;+ikOBfF6PkUV4Rw5voAsG1iqSibvbvX8T5yDdT9EKe73OrnmJkeOHDk+nywbVRYWlrB/lk0KGclW&#10;4ELKlKyQfi1CDkII0qaFad3sfNpI3AwJZEXj8vEeKumW3+stdztj7c7BhRKZmo1CoIpcGHsOu0Pn&#10;83rI87ipKtVZjEZZisSIxZMk02l0w8S0zIwHVEJRZDRVxeVw4PO6Cfi8+L1enA7tN30qOXL8DnCr&#10;y1i929jd9cL1bjf/dtPuRl79Xta5L6yfu5wjR44cOe4Bu4i6wBIWumWQttIYlo4prGy9KbsIp4wq&#10;qaiyiiarKJKSiWf/7F7Edmi4tVo5MCv/LN1sBzIavCt9T6sjCVebVR9/xKsbGmntpBXLSZLIml4i&#10;c9C2QZhrpHLcRJIkXE4Hpc4QJaH8TOFbA8M0MS0LkVGfVGQZTbVV8HJKdDly3B/uZEN9Ig/WvSRS&#10;3mvy5a+9NlWu3cqRI0eOT43IxCaZwiRt6aTNFCkznfFciaxRkw2WsyRS6EjIqLKKU9FwKg5U+bMz&#10;tEwhME2wLAnTsj+XWS7+bod82GIWN6vz3BSeuCUNi9W+KLFsIK3wgmUNKnHz72z1rRWnKWWTs+xP&#10;eXk/lsASdjh8jhxrWZYHX1bYy5Ejx2eJ/fa/qzpYn8fwv0+zzt1yxxzlHDly5MhxVwghsBDolk7S&#10;SJIyU7ZhlX3J2j83U7Fuhs4JQDfskfeUZOBUNZyqhiYr2Y7j/TlGSOuCWBISKRndkBEZg0dVJDRV&#10;QpVByhb2lTLeuGUTKaPatio3a1mm/abXSZIEkgyyJJAlkTWglo23ZfW2lcZV1nxbm5eWMbAQAmEJ&#10;2+LKkSNHjhy/Qe6sGqGuP3l9Vo7U3e1697LOetv4rMiOPGaHET/DneXIkSPH7yhCCExhkjRTJIwk&#10;hqWvMqxWG1XLnqy1IhASwgIdE8MSpE0Tl+rAqaqosvypjSzDhHgSZpYkFiIqpiXhVCXcTgmnBnLG&#10;qMpGBy4LBQgpG+SwUpZ9WUggG1a4pgGREMgSyLJAlQWKImzDa9ngkuy2R1ohJyhlvVpiVQjh8vd1&#10;hUJy5MiRI8fninsuNLxeM3cnFcL7tc56xtr9iOzLNVk5cuTI8clZ7vDrlk7cSJI0UpjCso0nIa15&#10;ty6LSKwczZIyxXgkbnqFbIMsbViYZhrDtHBrGpqiIN2D0qslIJWG+bBgasH2XLkckJ8HLodtWGVV&#10;1wQrQgIz55g911unr2qTxIplsQ0vywJMCUMSKKrAoVpoqkCRxE3jSVo2stbkedluK7KmaMYQW75c&#10;OXLkyJHj84l6u3f0xwvH3j2fB6/Vnc7n0+xLCEEimSKVShEM+O1RXNNiYXGJ/KAfTVtfoUc3DJbC&#10;ETRVI+DPW3cZwzCIxuJIkkzAn4clBHpaJ5XWAYGqqjgdGoqirLv+vRKOxkgkkgQDPpyOW2O507rO&#10;/PwiBaF8NM220eOJJJFojMJQPopyM4F2VeV0IJGwpWTlTO9ACIHT4cDpdGAJQSQSIy/PgyxJJFNp&#10;0rpudy4ke1lN03C7nCDZYTvptE4ymUKSJByaSiqdzhrcmqricjlRFAXLskildVLpdLauzPL+ZVnG&#10;5XKiqeptR8iTqRSxeAKP223v/zbMLSxhmiZejxslM+Kuamo2lySRTBKJxAjlB0mn0zgy/z9Jkkim&#10;UkSicQryA7kk5By/FSwLWeimTsxIkDTSWa/VWn2+9T1W3DS2MsaVtMoTJGEJQSJtYJoCt0PFueJ5&#10;uhssC6IJGJ+FmUU7ui7ogzw3KLJtrFgrLCpJullTcTl8b20tk1V21gqLyhIgLDBFxvtl3VzEEhJG&#10;GgxTxmVZuB0CRSZrRNn7FtkwxJWXScrOXw5QvLdhxU8bTZIjR44cOW5yJxvinj1YvynWhhwuT/s0&#10;3LMQhxBMTM3Q2d3P9Mwcjxzcy2I4gtPh4OTZSzz/5EMEAnbRPl03GJ+YQjcMJEkiHIlxvbsPt8vJ&#10;tubGbCPudDgoKgiSSuuMjk3SOzCMJElsb9mMJMvMzi0wMTWDJEl4vW62NNYTDPgwDDMT1y9QVQVd&#10;N5icns0YaJkcAiFswybTMSkuyKegIJ+FxTBzC4v2NoCB4TFGJ6bYurmBQMCXvb4lRQWE8gP0DYzw&#10;wfHTbGtuJODPIxQMMDI+SVtHN60tjXjcLvy+PMpLiujpHyKWSCBLMoWF+fT0DmJaFslUCkVWUBSZ&#10;UDDA/j3bSad1Ll7tIBQMULuhisvXrhOLJzBNC8sycblcuF0uDuzdTiyWoHdgmLmFJZKpFAX5ASRJ&#10;YnpmDpfTgW6Y5HnctLZspiAUJBZPcL27j7GJ6YwhpiNJEppqPwKNdRuor6vB0A1m5hcIR6KZcBzw&#10;eNwshSOMjk/R3FhLdUVZ9h5Y28m72n6D8clpqirKcLkcaKpGQ201eV4PAJPTc1y80sFTjx7gansX&#10;dRurCPp9uN0uJqZmuHClg5eefQzHpzSwhBC2Eb8UQQBBvw9HRo7XMEwi0RhpXSfP68nWPzEti3g8&#10;QSyewO1y4svzIstydhAhGo2hqiq+PG/WsL4dsXgCWZZwOZ3ZaxSLJYjG4zg0DV+eB1VdfxumZbEU&#10;jpBO6/h9ebiczmxx1aVwhHgimTluT67o6m+Q5W5+2tSJ6XGSpr5OmFzGpFrhmSLzXVqxDOsts2Y7&#10;adPCShqYFrg0BVX5+JBB04KlKIxMw9wSuF0SIR+4nfbWLXHTGyRLtsGlKPannJm2toG5pb1YNroy&#10;2zItMCwwDdBNOyxRZA0zCdMAw1SwLAmvy0RboeUrSav3sDpEkFXG2N0ihMgKjFjipqEmIyNJcjYn&#10;LEeOHDlyfDLuNNx1217S59lTtV7Y4Mdt59POXw8hBD39Qxw7dYGpmTlUTWVsYorWls0cP3ORirIS&#10;nE4HxYUhCvKDXGrrZGEpzOz8IqlUGk1TEZZgbn6J2fkFQvkBqspL2bF1M1Mzc5w+f5WFpTCmabKw&#10;GMbtdjG/uEQkEsPh0Eil0pQVF5FMpliKRNE0FcMwqSwvIZlMcb2rj/HJaWRZZmpmjkQiSXFhCI/b&#10;jQC2tzTi9/sYG5+io6uP2fkFpmfnyfO40XWDE4sRlqJRykuKcLlc7N7ejKIonDh3mamZeX72xnvU&#10;1lRSXVlK78AoiUSCH73WT0NtNY31G8kP+Gm73sOHJ85SVVHKwX07efP94xzYu4Nzl9oIBYMUFuZz&#10;+doN9u/ZjiTZnf/jZy6iaSpHPjpHftDH7Nwi8USSug1VzMwvsKu1mcVwmFMXrjAwOEpDbQ0el5Pr&#10;3X1YpkXdxmqmZma5sRimuLiAglCQxaUIl9o6WVwKU1FWQlfvAE6Hg7oNVfQNjmCaJnUbq0il0/T0&#10;DdLVO8Tc/AKKqrClsZ6lcJSh0XEMw2BmdgG3y0l1ZRkOh8bE1CzxRAKAa5099PQPMTQ6jsvhRHNo&#10;CCFo2VxPPJGku3eQS23X2bxpI8fPXMTh0OgfGmXntmZm5xa40TPAi0+vDVD65PdlLJ7gSnsnQyMT&#10;SJJERVkJu1qbUVWV3v4hrnX2YJomBaEgO7c2URAKMjo+Rdv1bsKRKF6vh+ZNddRtqGR+YYm26z1M&#10;Ts+iaSoNtTU0NWzE7Xbdsl/LsliKRLl4tYOSogKaN9WjqgoTUzNcae9idm4Bh6bS0tRA3cbqW9Su&#10;DMPgencf3X1DJJK2V3jvjhYKQ/kMDI/Sdr2bWCyB2+3kgZ3bKC8rRsl5+34zCIFuGcT0BElDz0yT&#10;kFj5/7hpLGUj4IR06/xVIhgr11vel/3dEIJ4ysS0wOMAVZWz3vC1WBaEYzA4AXMR22NV4AenI+O1&#10;yiwnS6AqoKmgKTeNqpUh6NlPwaqzW2lPLh+Gotj1T4RmG1ipNKR129Cy15EwLIgmZQTgc980siRp&#10;zZmv/L7SGciyp+v2LOfEGZaBbhmYlmFL5P//7L1HsGRXfub3O9ekdy8zn/emql75KgAFjwYa6Ca7&#10;2TRDipKoICO0kIJaSQpttJkJhZbaaKUIrbSQFgoqJjTkcGbIbvY0uhseZVAo7573Jp9Ln3nd0eKm&#10;f6YMCgW0mF/Fq7x5zznX5z3nO9/fAIoQqEJDV3R0RUOrBBJpo4022mjj+eB3TsH6NuCqYg0d/RP0&#10;M1JKcvkCZcMkGPDj8Xi4fW+KYMBHPl+kVDJ4OD3HvUez/OzHP2Cov5fTkxN8dfMuqa0dBvt7eOnc&#10;KRzHYWllnfXNLWKRMOMjg8QiETK5POFwkGPjQ+iazvLqOl6vh3hHjONjI+i6yvLaJslEB9dv3WNz&#10;awe/z4thmHQlO4jHorz16kUM0zXH++iLq6xvbPHmqxcZ6OtGSggGfHg9HoYGe5HA/NIK84srnD4x&#10;xtjwIHceTLO1u8tAXzf9vd0M9feSzRcoFIr8+N03uHL9FsfHh1lYXsW2LH76wTt8/MVXnDw+zsnj&#10;Y0TCQf70Zx9w695D3n/ndS6eneTf/ocPGerv4f6jWeIdUXq7kmymtgGwbYeXL5wiFg1jOw6qqtDd&#10;mcSybDRNo7sryfbeHgCxSIRzp45TLpUZHeqjK5lgZn6JeEeU8ZFBPB4d07RqJopSSnRNoyuZYKi/&#10;l63tXfx+HyOD/Wzv7NUGR16PzvBAHz6vl88uf028I8qJ8RE+/uIaxWKJmfklPv7iK0aH+/mTn7yP&#10;EIL/+NvPsR0Hj67xaHqeeCxKLBpBEYJiqcynl79isL+H7Z09bt9/xPLaBtOzi9i2jaZrfH37PrFo&#10;BNO08Hr0xw6cHgfTsrj3cIa/+4cPuXDmJKZl8otff4qmKgz09/Lvf/kRqqLQ19PJtRt32UtneffN&#10;V/jNp1dYWl3nxMQoU7MLLK2s8Sc/fZ9bdx/x1c17HBsbZnV9k4WlVbxendMnJpr2a1kWc4srfPnV&#10;LT76/Co//eAdJifGKJdtfvPpFWYXlhke7KsppH/2sx8xMtTfNLBbXt3gb//Dh/R0JYh3xPjNJ5ex&#10;LIs3L13gX//9LwgFA/T3dHPzzgO2dnb5qz//I4IBf3tw+IIhpcRybPJGkbJlIWQtHl5DLbGfODUF&#10;umhVrqptGozkagRD1Jq7/lRuZEK/BI++n2RJCbkSLG7AVgYCPoiHwaNX1KTKcSgKeHXwaDSY67mo&#10;TXMc4He173q0fK+aFno10BUoqVAsg2E1KF1SkC8pCCGJBmw0tdmvSrRcsqrSVBOxDnnk3eAcDoZt&#10;UrbLGLaB5dgHHLeJKgy8qgef5sWj6oeS1TbaaKONNp4OTQTrqIATh5V9H9o8H8inNmvPZHNspLZR&#10;VZWt7V18Xp3B/h4+u3ydof4efvLBO6yntnnp3Ek8Hp1kIsbOXoaA30d3Z4LN1A5SOiBgZLCPUtkg&#10;ly+4plwSSqUymUyeeEeUdDZHd2cS27bJZLMIIYjHIoRDQUzTJJcvYNt2xSfJwJPUiXuitWONRcMU&#10;iyWS8RjdnYnmM3ck96dmKZcNopEwa+spBIKllXXiHa76s5vOMDLU7/pXScnC0iqRcIjl1Q1m55fp&#10;7+niwdQciXiUew+nyeUL/OxHPyCdyWIaJtlcDsMwMSyLqdkFtnZ33QSklukO1iyLW/cesbG5xeBA&#10;L/09XRiGyW46Qy5fIF8osruXxrbdgdX27h73HkzzaGYBRVEI+P0kEx2sbWxhGPcrZmRBYhHXRBPh&#10;+o7t7qZRVYXU9g5er5fZ4DI7exkG+3sA0HWdsmHg93np6owTjYRxpMNGapuzJ49x7swJ/uGXH3Fi&#10;YpRkIsbC0iqZbI7hwb7K4ETSmYzTEY2gKApRxyGbyyOArmScE+MjbO3sMjo8wN2HM/i9Hs6fnuTO&#10;/SlCQT+RUPAbP+SmabGR2ubY2DB/+ec/I7W9y9/8m3/k1r0pPB4P2zt7/Hd//Zd0JeP89rOrfH7l&#10;BhOjg5iWxe+99xavv3KOTy9f5zefXmF+cYVSuczL50/xsx//gLsPpvn5h5+wuLR2AMGy2djcYmNz&#10;C9t2UIQ717+1s8f03CKvXDjDj37wOvNLq/xf/8+/ZXU9xdBAb5MP4fLaBvGOKH/0kx/S39NFJpNl&#10;em6R3q4kSyvr/I//7X/F8GAfx8aG+F//9/+TP/zxuwQC/rY/yQuEa3ImKZoGZcus+VDViJBspETV&#10;pUZHpoNNAKufTUu1d7LYV2qadScnT1XJqhQbJqxtweaeq0rFQnVyVd2kptbJVVW1epIAfQeaqB9B&#10;woTiBtJQFZf0lcrUuhvLhlxRQVclkYBTI5ZNRKvh+wEWi837rZgDlmyDolXCtM2q91bTuVWvpi0d&#10;ik7ZTWCsg0drk6w22mijjSfFUW/Lp1awnsW19kW1eVYcNKn6JIjHosRjkZoCMjrUz0BfNxupbZCS&#10;vQqZSnTEAPB5vJwYH8ayLPKFIrpm4vHoBHw+RocG8Hh0dF2jUCyxsblFJptje2ePSDhEJpNjdy9D&#10;2XBNCxUhiEUjqKrC6cljDPb3omkqtu0cGDRDSmr2961IZ3OsrW8yOjTA8GAvmqoyNjJIvlBCVVW6&#10;u5J8fvUGhWIR6bgu1rZjY5gWXq+H0ycmcKRD2TDIF4rEY1E2U9s40uHWvUesbW7x9a379HV3EQz4&#10;GB8ZYmZ+me6uhDuIzk4hK4Ryem6RmYVl/uu//E8YHxl0fQUUBUVRCAb9jA8PoGsqkXCQRDxGJpvD&#10;6/GQiMeQSBShYDs2fr+PSCiII+vmdl6PTldngsHeHnZ20/i8Xob63OXGwByPZhYolw1y+SKr6ykW&#10;llZZWd9kdHgAx3HoiEboSnTUAoC4A3yBadnYjmRnbw+/30tHLEqhWGTy2CiBgJ9gwM/o8ABf335Q&#10;U9csy+b0iXFM2+T+w1l6urtqxORZ4dF1lwyeOo5tO2ymtsnlCwwN9JDN5/H7vXQm4rXr5kgHTdN4&#10;/53X6E4myGRzrG9s4fV46O5MMDI0gNerUyobrG1uAYKOWATHcdxnSoJQBF6vh1dfPseJiVH+5m//&#10;sXZN0xl3QqAj6vqBdSXjeDw6+WIRw7TQwTW9UgSjQ/30dneS6IiS2tpha2ePvp5OdN0NQJLLFzAM&#10;A8O02NzaJZPN09vTDqn2omHYZlNAi6rcVLMGaFSlRL28/mavyzPNdKyZdLnkpbms8X/TkkjpIL3g&#10;1RUEAkfCdgY2dlwzwUjEJTi1KIG4Znw+HXS94aiehFwdUKfRhPCwp1DgmiAGfe4xlQxq186wIFNQ&#10;8eoQ8Dn7ttFqMni4cuWSq6JVpmCVsGzroC3UvzeEmy9bFshKsCD18GA/bbTRRhttNOOwt+U3NhF8&#10;ltfwi2rzbW87Xyxx7cZddF3j9OQE84srXDhzkv/8X/yEX39ymf/40Rf0dXfWZuh1XUPXdRaXVzl3&#10;ehLLtrGLrn9VamuHk8fHuHj2JIVCiUgkTE9XEtOyQEK8I4Lf78W0rFpQhO2dPdLpLCODfd/oTAXg&#10;83lrhO7ExCjxWJT+vi7uPZwhEg7i0TUUoRDtCPPTD97mo8+vkdraZrCvByFAFW4whAdTs/z3f/1X&#10;bvQ8VaWnK0k4FKC/t5t4R5TJ42MsLq+yvbMHSEKBAKeOj+Hx6Lz92kX8Pi+ffPkVpmnS3ZVgZy9N&#10;2TCwLAuPptOViJPJuiRB0zQ8uo5lWeylM2QyOTa3tllaWae3O4nS100uXwAg6PfTlUwwO7/E1Nwi&#10;hUIJwzSZnl9EVRSS8Y6mQYVEoqoKoVCAREeMZCJG2TD44uoNN0hDOAiA40iEEAz29zDU30u5Evkw&#10;FPSDlORyeYKBAJqqsrq+yc27D1lcXqv4c7lOGYGAn7cuXeTTL7/mlQtnvnHgBl3XGB7so1Aocu3m&#10;Xa7fvEtHLMwrF05z79EsqlBq+1Aqg9+A38fwYB8bm1tcu3GX+eUVzp0+ztjwALqus72zx2dXrnP7&#10;/hQjQ/2Mjw4yu7DM/NIqtm3T39PF2MggAb8biKSuSkks2z3P6vVVFIEQCqZpcv/hDDt7GSzbYmx4&#10;gOHBPlRFYXpuiSvXb+FIyasvnaWnq5OhgT4++vwaiytrLFZ8y9p4sZBSusFQDDd0en3E32jP1kKW&#10;mgjSAQTqQHJVLd1PqmipZdtQMiQCiUeHYkmwsQP5sut3FfS5flNV9UqtmAXqWvMW5SHL0Ey+Gq0p&#10;Wuu1+mu1okqybBvKZv0cSgZkigq+amTBWtTABumKfYtN+3WkpGgZFMwSlmPXr3sl/H3r1W1almBY&#10;NiXFRBVKLQJqG2200UYbz4anJljfR0L1XXUD2Vyegb5uXnvpHJev3wJA11U6E3FGBvv5P/7vf8O/&#10;/B/+ulbfkZJy2UAIQaIjWhmcQ7FUJp3JuiHEAb/fSzDgZ2tnj3gsgu04ZPMFfD4vfp8Xr9dDf28X&#10;q+ubzC2ukIjHHnusR4pzwjXvchwHT2UwffvBFOlMlqDfj5QOjuN2+NFIiGgkxG8/v4oj3VDxmqYD&#10;EqEoDPb10JV0A0sIITh/+gTdnQkG+3vw+32cP3XcDXce8BEKBhke7KtcC1dpklLWlIqd3YyrHq1u&#10;IIHpuSVOHBtxIx5u2czOLzF5bNQNeW5ZjAz3UywbLC6vEY2EGR0aoLe701WKbJverk7iHVEErmpn&#10;GCYXz55kc8v1ASuWSgQDbrQ/IVxFZmJ0iJfPn8KRkp//6hM+v3mXn/zwbToTccAN365rKnvpLAN9&#10;3Qz0dZMvFNne3cPnFZw6Po6qCGzHIbW1w/LaBuFwkPOnTzA1s0iuUGRlbQNVVVlYWiUaCX3jgY2U&#10;kmwuz2eXv+b+1Cx9PZ384I1XiMeiPJpZwDAtTNNC1zRM08KRElVVmVtY4bMr18kXirz+8nleOncK&#10;XddZXU/xxdUbrKxvcOrYGK++dJZwKMjcwgozc4uYpoWqqgz294LfJaeNY0uvR8dxHCzbdkPrmya2&#10;baOqKqmdXeYWVjBMk3AoAACA/39Ed2eSB9OzXP36Drqm8ad/8AHjI0MIIfjpB29z694jUls79HYn&#10;6e3uxO/3tc0DXxBk5V/ZMjFsG5cCuW+WuhWAQBwUxKKJgB2mWjWbAboWtweTKtHAboQAx5YYpkv4&#10;drIKe3mBIiDkA01pIDzCJTkerVn0PFS8ks3lR5Gw1roHQeCaKgZ8YNgu0QLXryxfEpT8gnBA1nyC&#10;a/9XuZJs+lrftXTvS8EsV4hvgwou69e+em2rZoP17bj3sGza6IqNT1faonAbbbTRxhNjvw2DdlRn&#10;0Ihqs8PqH9wNvpg2zxVPYZsYDPhJxDtqgQ/OTB5jfmmNgb4esrkcmuqGS2/dfKFUZntnD6dCJspl&#10;g2KpVOvxpZTsVXyPfvzeGxSLZe48mGJtY4uuZJx0Nodnc4tCoVgjZU9yWoedl+NIfD4vb756kV9/&#10;cplCsURnMs5maofuzjgXz51ibmmtKacVuL5bTiVyHJVz6epMML+4QizqmpBNzy2SzRW4efch8Y4o&#10;G6ltCkU3pwDzhhAAACAASURBVJTX4ypOlmVxanKCaief2toltb3D6clxUts7TB4bI18skYhHmRgd&#10;pLszwaOZBQb6ejBNk+PjwwwN9PJodoGN1BbZXJ7N7R22tnfp7+mibBg8mJpjbmGZSDhIIOAnHouy&#10;uLKGZdsUimWmZxfwer2cPjGObTtks3nS2RyZbI5wKEh/bxe27VAolBCKq86Ba/7m9XjYy2S4efch&#10;q+spxkcGKZbK+H1e1lPbGJbFhG0zNjLIe29e4tPL14mGQxRKJW7cecBeOuOamSqCew9nGBroRReC&#10;5bUNyiWD8dFBAKZmFwkFA/R2JzFMk5m5Jfp7u4hGwk33xTBMbt59yIeffMmP3n2Dl8+dQtc1bNum&#10;IxqhbBjcn5plsK+HucUV/D4vtu3w0edX2Utn+ekHbzPQ14Nj2+yls3xx9Qb3p2Z5/53XODE+gq5p&#10;SCTnTh3nxMQIUoLHo+NtiAhYTQsA0BGLousaS8trpMaGmZpbxLRMOmJRTp8Y5/WXzyEleL0e5pdW&#10;+IdffszE6BA/eONlIuEQhmniSIfZhWVePneKnq4kV2/coTPZQSQcbM+0vyhIsB1J0bTc0OYN6lVr&#10;7qrGNjQGZmhVTmhWqppq7CNXoinKXj3jhKzlycsVBdtpQbks8PtcpUpQV690pU6uakrUEZLUUf2j&#10;fJJK1eKGfQjc4/JqkK92D1JQNt3IgqGA05APq/H0q8mGab7EUmLaFkWjXFGLG8lVvcE+7bDpvN1y&#10;W0rKlu0mdBZtFauNNtpo4ygc9fp/KgXrScnYN23zneEpHb9cHxOJ47j5pY5PDHN8bITrt+4zPb/E&#10;j997g8+ufE00EmJidKjWLuD3k0x2uD4BUpLNFdja2W0x8BdYlk06naNYKmNU8jbJim9XuWwQi0UY&#10;HthvHlgqGywur7K5tVPL8fJoZoGd3TTXb91naXW9FlVvfGSQWlgrAZ2JDnKFIo7jEA4FiUUj2LaN&#10;XZ1qrV4qKVFUBV3T0HQVJKiKyqOZOQSCs6eOY5gmD6ZmOXfqOJ3JOD6v6/tjWhbBgJ9oNExfTxc+&#10;rxfDMFBVlXLZYGNrm5t3HhLw+5gYddWLza1tRocHuHXvEQGfj2NjQ8Q7Inx+5YbrN+DR6YhGGOrv&#10;ZXNrh/6ebro6E1i2zcraBvNLK0TCQWzbcc0gx0dQFMXN01Uo4kjJ0vIaiY4oe+kMy6vr+Hw+hBDM&#10;Liwzu7BEoVDg3KnjLC6vcev+I04eG2NtYwuf18Po8CCzC0vs7KZJdETJZl2fOcMwOH1iHI+uIxTh&#10;+i05DrbjMDzQS8DvY3snzfzSKv/ZH/8+X1y7wbHxYU6Mu8/RZmqb8dFBpJR8+MmXjA4P0NudJJ8v&#10;8g+//Ig//L139xGsUtng/sMZiqUy2VyeX396GV3XOHlsnP7ebo6Pj/DRZ1crJHqbVy6cwTAMZuaX&#10;SHbEeDg9z92HM7W8Z4sraxiGyeraJksr60RCQc6eOs5gfw++A5IuCyEIBQNuGPdKMJbzpye5/2iG&#10;X/z6M9ZT24yPDDHU31PLD1bF1OwC6WwO0zS58vUdLMtibGSAyYlRNrd2WFxeo7szwczcIu++8Qqh&#10;YKA9CHyBMCwb03aoJQeG+qfcN4Svlx8Q4KJZozlEqWpsVSEnNZIlZO17lWQVS4JswVWEqoElnIbX&#10;qq65/lcuIascdrXwCRSoJ6pzVHmlQFXcXFzFsps3SwKODYWywLIFHh33ejapVeIAcgWW41A0DVdV&#10;lEq9bgP2JXiWLcsN52VaDqbmRnFt/7LaaKONNp4E+9+W6r/8V//T/9xY/LQv1O9Tm4Ycuk8FR7p/&#10;Ht2dsXvSbQT8PgZ6u0lt75LO5PiTn75PoVjii2s3eOeNV3j3jUtsbm2zupHixMQojiNZT22hqip/&#10;/Ps/ZGRogM5kBzs7e2SyOUYG+zk2NoyUsJna5s6DKRCws5tmL50lFgkTDgUJhQJcPHuSyYlRursS&#10;+waYZaPM3MIyc4sr7KWzpDM5bNvB6/Xg2G6S2b10hny+QGcyjiIU1ja3GB7oZWigj0DAT8Dvq/lP&#10;Tc8tUSqXOXf6OOGQ63t058E0RtmkM9GBx+NBU9War060EkJd1VSCAT+vvXSO05MTrK6neDgzT75Q&#10;ZC+dwevRURSFdCZHMh4jFAyQzxeIREIucRSCNy9dYGtnDyklb166UAlIoTIxOoRhmKysbRLviFIq&#10;lbn7cIZ0JkexWEZVFYrFciUks8QwDM6fPkGxVGZ+cZWS4UZsnF9cwaPrnDoxTiwSRtfd0VciEePi&#10;mUlOTY6zV8ldduHsJG+9epF0JsvS6jrRcJiVtQ1ikTDFYpmd3TSp7V2KxXIl+mGeYDCAbdt0dSbI&#10;ZvN8ce0m4VCAM5PHODY2zMhQP7fuPeSlc6d45/WXyGTzbO/scWxsmEKhSMDvY3R4AHDVsp7OBN2d&#10;SZxKdMLRoX4i4eagJlX1qCMWRVMVFKGg6xqdiTgDfd30dru+fYoQnDw+zmsvnXX9AzWNSDjk+kgp&#10;gnAoQFciTjgYJBQMoKiu75bP56OrM75vv1UIIfB5PfR1dxKLRtA0le7OBB6PGyijr7uTt169SE9X&#10;EqUlh5Vl2UQjITxeD4oiUIRw/QF7uhge6KVUdv3xJo+N8earF5sSGbfx7aEaOTBX8b1yFZCKeaCo&#10;KlhunPPqP/eNXY197i67JUpDrWrdKkRtGwrUEgArCihCNn0X1fVKvd5eTmEn464I+12lCFzioFRI&#10;jVYPWvlkE4DyGQnVY9QwIVw/LMOqlrt9T8gn3KAcon4tEO45CdGgGgqBlA5ly6JomDiS/de3lpdM&#10;QTZcW5eIVbYl6ssCN9qgKgS6qrQTef8OoarSlh3I25CzIWNB1oKCBSUHrMpDWP1ttdFGG88O03Kj&#10;Wrt90H7uIPIl60Ar98PQrLF8v9ooz0CwHAm2LbFtSTCguYPLJz1GKV1CdfUmXo/Oqy+dZXUjRTab&#10;5+ypY4Abyn1ucaUW0nplbYN0Nsf50ydq5ddv3qNYKnPh7GTNZ2gztc3C0ir9fT04jsNeOgvC9Wfx&#10;ed0kt4fBth0KxSLlct18UCjVzrNuuiUUQSgQoFQus7S6QX9PFx2xSNO2llbWuHN/mq7OBKdOjOH3&#10;ucllb959wO5uhlAo0DBIFuzspUl0xDh78hha40gGmJ5bZGFxBUVV3eORrl+aoghOTx4j0RHFMEwQ&#10;VPx6FFRVZXl1g3LZYPLYKGXDxDAMIuEQuXyh5m9l2zZLK2soilozF0IIkvEYyXgHlm3TEYuQ2trh&#10;wfQcxWIJEGiqwujwACOD/Q0z5AKl4uSdzuSYmV8iGgkx2N+DR9fZy2SZW1gmEY9RLJbQdY2NzW0K&#10;hZLrZ+RKkwghUFUVRVE4f2YSwzS5+2Ca0aF+hgd60TSNnb00s/NLnDt1Al3X2MtkWV1PcfLY6D7y&#10;8TxRfQ6+zX0chKrf4TchRbXntz1CeGGQFdOxvUIJ6TRK/Q0qi6z6YrWoV/vW7DcTrC49XqlqWNdY&#10;T7hK0MKGynJKRVcFyVhz9ECvDqFAM8Had577Fh5zXQ798tjVOA7s5SCdq+TckuDRJL0J6I7vo2PN&#10;/VLFmsG0bbKlspuL7JDrWl2WtcG1aDougWhYrphSqgoRv46utc0Ev8+oJszOWrBjQsaEPcslWCUb&#10;zIpxiiJAF+DXIKRCVIOY7v4FVVDbt7iNNp4a+aKF44CmuQHDnhvB+q7aHLS+2t1/E4Jl2ZLQUxIs&#10;qA5UeaKZvsakt9WBraz4MFUH9a11q51brS11EvA8cdig1ZES6chK5Ld6WfWYDzqO5zGIbj2ug45N&#10;SvlM18P1iWgYXrQ7lzbaOBJSSnIlk1ypFvrO/c0dYPrX+O0oE8DG9o1EqU6yZJ1UVUhWjcy11K+q&#10;QbNrGms7Cn6vINGYWBg3sETQX0ko3AJHgmmC5bjlFSF737vBdtwcW1I2mBvuu1ZufivTcsUhj+bO&#10;cLqFzfXyJUilpWsmKEFVBd0xyWB3JTdXy3VsPhaHgmGSLxsV9aqlbi2KYPN+a/ei6f4170MRgpBP&#10;xedR2yrW9xBuompIGbBahtUSbBquYlW03bKK8YYLUR8jaQL8KsQ06PJCnxd6vRDX3YAwbbTRxpOh&#10;SrB07WAFSzvs1XkYkWld9120qdZ5HoRNHLDuafA0JoVVEtBIBqoqx2F197V9xuN80mNrhSLEgdNb&#10;Rykfz7NDPoo4CfF0ZLjWzm38rIfURhv/rFA1DzRtN9JnzXtK0hDtrplgNS/RsK4+6BcIhKhO7NRJ&#10;VBORalCqavWq5Q3LigDHEVQyH9TIiVN1LxV1U8KmoBMVlMpQqPhDKQICXmh1L3QcyBVdggUuEQv5&#10;XTJWm6WUrslfrkiN9Jh6JVR8C5+R1MledSDsOGDale9HvKPcyKgOZdNGOgcphg195IFRHWmI9njA&#10;fqTAclrcgtv43mDLgNkizBRgrQQF21WyDpqoaITEVbUME9ImLJdgSnNJ1lgAhv0u0Wp3j2208WQ4&#10;6qfyjfNgvWi0TMbV1n0TPC1Za6ONNtr45wTLcVV+gVJ/WcqjTQFraxuVqgZRRdTIk2xWpqgTrmqb&#10;RtLVSLBq9anO2Lvfqrus+qXU2h1AGGzHVb+EcM0Iq9913SVA1eMyLfevmj/LrOSyqpocVslINb+V&#10;t6KemRZYlru9VlSV/hqRkS5RfByxcSomm5Zd771ap+AOVA1bphQPp8MCx3ZJoiLbA+7vC8oOzBXg&#10;dhYWii6xApe8H2H5WkPjRAW493fPdJWv1RKsBOBUCAb84H0BalY1Pcth1jDfBK1WObbjVMy42g9z&#10;G88P1RhBBz1VhxKsg2cfj8Z31eZJCNJR5e2fWxtttNHG4bBsiePUlSsXDW9Owb78V3VS1KJUVQlV&#10;lTDViFKdaNXU6dY6orrlFlJWMWGWle5OImrBUSUcnE6rAildkqQo9aiDpklTz1kla15P3XxQqxAQ&#10;2XBNqv4u1WAasqJoyZb91ZYrnzUTP0HtuA8/XpfsmqasndgBQdhryzSV7F/XqHc10i/3OJ7FwL+N&#10;bwM5C25l4UYGtivu1d/UWKQ2eSFd363bWdgy4bwFJ4IQfM5T8NlcHsM0CQWD6JrKg6k5wqEgvT2d&#10;mIZJOpsjGgmjKIK1jRTFYrnWVlFE0zMpkXh1ncGBXtKZHAtLKziO63Ix2N9DRyzCnfvTvHz+FKsb&#10;KdY2trh04fTzPaE22jgCv3MK1rcFWetFafclbbTRRhsNsO2D1Kn9JmatKhS40f/clfIAsnTIetH8&#10;Gm41E6yqVNWdKcI1Z1ZqPquVAACVd3rNH0W2kK2KOqNrdVIjRMVvStSqAPv9rVSlYj1d3Walot7S&#10;q+qaW6+VNMkGUlYlggpHkyuoEEDL9duqhqw4+M4c3JHtu4+iXrdZIawGRGp3iN819ky4moZbGTc6&#10;oArP97YI99mzJayUXD+uog1nwxA5QHl9VswtLrO1vcfJ4+PEYxGu37rPYH83iXiM9Y0Ut+494pUL&#10;pwmFgjyYmnPT1+A+s2sbKVRVJd4RRVVVpJSEg0G6knHKZYNHM/MsLK8RDPhJbe/y3tuX+PiLayTj&#10;Mb786hZer6dNsNp4oWjqCo6aqzqs7EW0aexvvr1XfdvYvI022mijEdUgPrbTmPi2edC9j/hQD0ih&#10;NChX1c9a8IoW0tSoWHGQP1ZlobmeqCleiiJqwSSkUzdvc83uXNM/h8q6xjMRzfmyBKBo1NlGZb2q&#10;uEpVzddFqftV1TiKbNlWhfwd1gfWPqs+WBxNsNygSBLLkkh5EMV1v7mRVOsH30S5hLu+QkUb1ELZ&#10;UKdybpX737aq+u6QteCLXVe9KjtPQa4qv4VGRfJxwxxRmQjYNuCrNNjASxEIPaep+FyuwM27D1le&#10;3SAaCXF/aoaNrW12djNsbG6RyeY4c/IYyXgHY8ODdCXjSMd9RucWlwn6A4wODxDw+UCA3+dD9+ik&#10;M1ly+SLrG1t0Jjq4eecB3Z0JNja3+bt//BUPpuY5f2aSTEUha6ON54WjfopP/bN5lvmsF9HmudCj&#10;/VOBbbTRRhv/rOEO6hvXiJYBe+On3Bfxrx4NsDWoRYsyVfuvgZBB3WeiRuAq5aJqLOhuRNMEmuqu&#10;s2U9wIUEcNzIfo4Dirq/v1AUGkwf67trJTtKy6C18VhlI0ET+8thf5ALGo7zoDqtkLjmmlYT4W09&#10;7kb9StRNMWsrJY0RGlvJrPshGy5AW8X6rlCyK8pVhVw13qPDIZGWibmzhrWXQloWii+AFutEjyZB&#10;0498yKokK225iplXwPkI+J7EyesxGBnqZ35plWKpjKIoDPb1YFoWIOnr7eL05ATJeAc+nxdFESyu&#10;rGFbNqqqsruXwTQtVtc28Hg8lMsGly6eQVM1iuUyuVyegN+Hprl1i6Uyb756kU+vXKe7M8lQf09T&#10;VOI22nheOOwn+Y3nJZ7ltfu0bZ6k/jO//tv9RhtttNHGoXCkqwg1kpsGalMzJ6uaGSFcslJdVx+8&#10;yxbi1Ew+mshUVVkR9dI6IahTMgMHw7HdZPEoKJqKEALHccmU0xClz7TcdbUcuy1oXHXYZL9sPJ8G&#10;E7/DNtQggDVspMFOo3Jtn5Rg1aIMOvvpVTNBAjceSQOhpZm4NvmxHVTecn/aeLFwJNzNwddpMJzm&#10;+9MK9zmTSMdBlvLkH1yjOHUTO7uDtG0Ujw8tlsQ3fBL/8QuooY4j910lWXsm3My6CtbJ0Df3+YpG&#10;wpimSSabI9kRc32/9jLEY1E6YlFKZYN8oUA4FODRzDwz80uMDg7g83oplsqMDPUTDYdRVZWvb98n&#10;Ge9goLebSCiIYVp4vR4Qgp7uTsZHBolGQly9cZve7iQjQ/0EAv5vdgJttPEUeGqC9SII1bO2eSa0&#10;JzTaaKONNg6FUyFXSoOvVF0BOWiQLpvIU6vPVTMREHUFpWF0Lyqje1Ff0aTLIASG45A2LfKW7R6j&#10;FJjoCEWrhWyvZcCQULbAsN2kkOIJCU2tTqv/1EF1DvhyZD1ZJ3JOxe7wKB8sWTV1tCoBKUQDgar9&#10;R4uCKJtIV+N9onFZHFxeVRzbGtaLx1rJVa8K9uOVK4nELmQp3L2Mld6mOH0DK73VVMdILWNsLOEU&#10;c4QvfYDwBI7cf5VkpQw3+EXCAz3eI5scCUdKbt+b4tqNuyQTHZSMMo50WN/cJhwOoWkaHl3Hsmwk&#10;YBgm/d3dvHnpAoZl8svffobXo3P+zAkSHTHmFpewHRspJbqukdreZWSoj2g4zLHxITRNZWZ+id10&#10;BkVRWV5dZ/LY6LOfQBttHIn9b8mqifpjO5nqy1ce8vddt3kueJIL0UYbbbTxzwnS9aVyA0lI909x&#10;TQEVpbJOAbVaJupJ35UD/oRSL3OXRU2tqoYtp7ZOqYdwrjYUrgRlOpArS/JFyBchV3AHmppWV3qq&#10;CXydioJVMtyAHY/t96rmhS3mewdUa97O4V8avrm9XK1tdT9ORSk8lGBJ7MoJqYp7D9zIh+6yWvlT&#10;BLX7UQ3EoQrXN0ypfFdaltXq/VEa7pUi6opF27TqhaJsw1eVaIGPI1cuHMoLD8l8+XNytz7FSO+A&#10;oiAUtfYHYGW2yd+7TGn+Qc1H6ygI4f52VkrwMOeaKT4r1tZTXLt5l71MFk1VXSIlJbZ0sCwLwzDw&#10;eT0EAn7Uii2urqmoqsrVr+9wfHwEXdP46POr7KYzqIpam5Tx6Dq76Qy27eBIh0KhjK5rTE6M0hmP&#10;M9jbw9jwYPsxbuO546hH6qkUrGd5Nn8XnuffhWNso4022vguIKkqUq2BJxpM/hrN/5oUkBa1pMl8&#10;rqpMNZsCVncg9o0sq8EY3HUqCtgqRllg2248vZBXQQYEW4ZLqDwatQRBjgOFksSng1+p77PqC1Wd&#10;2Dv6Whz25Yh6rSsbdyTrBLC62jmUYLkqgKiQ2Oq2WlWsfde+UcFqGaiLpu3U61ElvLWjautXLxKL&#10;RZguNITvfxykQ3npEXZul2hYQ/PDdk6pJd6u/5YkZnqbwqOv8Y2eQui+x25aCCg4bmLj4QCMPKOV&#10;nRBwYnyYzdQWiqq4IdUbZiikdM2CVaU+qWLaNl9cu8HK6gY/evd1QsEgv/3sCp9d+Zp8seimZqgo&#10;Y7ZlI5FEwyGuXr+FrqmsbW6R2t5BSvjq1j2AtorVxnPHYW/IJoL1LK/Q73Obp95+uw9po4022mhB&#10;XZmqaTCi/gfNg/eD1lULmn2AqmaB9YaiWlolWbW2+xbwqIKQrpG2bcoliPgFyZCKX4FsAUpll2SJ&#10;SrJgKd0kwPmSm8tKa5lePJJcVcz5ars/oPL+VeLAQtlCrhpVMtlQV+KGSbekxK5ED7RlVT0ULils&#10;sHXcF4mR5ntBy7VvJrL1VU3EtqYe7j/fNr4dmA7cydWTCD/JtZe2xMrsAILJAYfzozazGwrru4JM&#10;XlAyhRtFU0LZtDFSK1jpHfSuPjd05WN3AFuGm+S4zwueZ0hCnEx0cP7MJFOzizjSIdERQwiB3+cj&#10;Eg6RiHcQjbj+VdXzNkwTRQjeeu0lRocG8Pt9vP+D11nfSLG2kQIpcaSDaVlMHhult6uTk8fHuXbj&#10;DqFwkB4gFPQTjYbo6+4kFGz7YLXxbWH/D1U7ePXhzWXL92+jzUHb+LYgWz7bHUkbbbTRRh1C4Jqj&#10;ieZ1+9QpCU18iSqBaqgjmoMzVH2tahutqVQNjQ6BqgjCPoWgJilLSdgr8HkcpISgT6FUFpiWcM3k&#10;1CqREeSKbhLgcMA1m2vEY60ZHkesnoh4Na9vNCR0cGf1LcclVAXbpOTYrqmjA8IR+ISCr2LGd5g6&#10;1Uqa6uuqqmG9UDTUEq3XvfGetPFCsFmGpdLTWWW6wR4dVBXGehwuTFhM9AsyRSiWBaYhsCqBXzb3&#10;BB8vFHDyaQR9T2TBIwSUHFguuUSr7/HC1z54dL3iY2Wxm87g9/rIZHOUSiV29tJomsrW1g4Bv5cT&#10;E6PYtoOqqFw4O8nIUD8e3U3IFfD7UITCRmqbM5MTqKrKqy+dJZ3JcvfBNOlslkw2z/jIIAGfl+u3&#10;7jE2Msibr15AU9upX9t4cXjmp+27Uq7kAeu/qQFDu/Noo4022jgYQrg+Oq0D+GY1qjJwb8x71UCm&#10;akqVqIYXr7Zq3VB9J1JKbBwMaWM7TuU9L1CFggYVHzBJwFfAsk08Hj9lW8NBEgoo5AoaZVNBVZpV&#10;GsOCTN4lKEF/PfR6fceHfXGnCxsM8g6s9jQm55VxMY5TJ6yWY1MwTWxbkrNtLKehjhRYCmgeBZ/a&#10;Skb3K1WiaWX1OshmtbDpo5n+PgnRbeP5YrYIOctdftIojkIB4QsR8klGumw0BWIBSSwAVHKZVZ/L&#10;VBbm8xYbwnyq2yol7JqwXoZe37M9EZqmMjzYR2cyTlciju3YjA0P4PV68OgatuPg8/lACHq7kliW&#10;TU9XskauAHL5AtNziwwP9DE2MohH99Dd6WN0aIBQMEBXZxy/14vXo6NpGhOjQ/R0u9sQT3pB22jj&#10;KXDYU6UdVnAYkTlqYy+qTbXO0/xUDttmq8L2LJBSks5kWV1PcWJihLWNLWzbZniw79A2xVKZtfUU&#10;HbEIHbHIvnLbtikUS+QLxQNzN2iaSigYxO9zw/ps7exhGAadiTiaprKR2kZRFDoTHUe+VAzTZH5x&#10;hWSig45YZN9cpWXbpLZ2iMeiFEolNja3GR7sw+/zsrq+SaFYYnigF13fn+59amYehML4yABKyyhG&#10;Skm+UCSTzdHdmWB+aQ1dVxnq78UwTGbml0gmOuhMdGDbNplsnrJhoGka4VAAr8dDJptjbT3F6MhA&#10;0wv4aWHZNul0Fk1TK0kImx3TW4cdK2sbSCnpTMTxet3j2EtnSSY6CPj3T+0VCkWW1zZIxGNs7ewR&#10;C4ewbIfuzjhaq51SG218z1D1tTrIp6eqStW/13NkNZuqVQlWPUZ6fey+//0kpaTs2ORqCo6szOgL&#10;FAS6AK8KmnAwnS0U1UCIHixbxbIlfp9DKOhgZARl0yUWmuruVEooGiCzrslUyN+oZDX3FI8zG3xs&#10;nSdAayANKSWmY1O2oWiKWhh3KQXSEVhComBj66ArAl1R0JTKda9d8Pr9qB6gaLmB9fvUQqpal9pj&#10;0hcGo6ISPW0sCaEqJAa6uBCw6IvLfRtoVJtDfpgcgkLER9558tsrgKLtRhU0HPA+g5mgz+flzUsX&#10;QIDX46kor4qb0LryoLpKl8apE+NIKQn4m836Eh1RLl08g9froTMZR6lI62dOumqW3+/j2NhIbUzw&#10;xivn8XiefXzQRhtH4ajfz+/c6O4gQvQ83v/fZBtSSlbWNvnVR18yPjrI7XuPKJWNJoJVjQAlpeu1&#10;WiyWuPdoBsex+f3336m9JASgqip76Swff/kV07MLRCPhGskSuITAcSQvnTvJG5cu4DgOi8trzC+t&#10;cOH0CZKJDj69fJ1y2eDsqeMIBB6PRk9Xcl8W82KxxOdXb/DKhdMHEj0kfHL5OsMDvQz19/Hhx1/y&#10;o3ffYHxkgJ9/+Akjg/0M9HajqA6Xr91iY2sbx3FQFYW7D6bJ5PK8/sq5SjZ213n1rVcvkEx0kMsX&#10;+H//3S/5L/7sD9jZTXPl+i3+m//yP2Ujtc2/+6ff8Fd//kdIKdnZTfOv//6fKglPJcfGhvD5vKxt&#10;prj3YIazp4+T7IjR293J5LHRfWTucZhdWObu/SnGRwYpGyZ3HkzhOO6g0nEcxkYGeensSULBAGXD&#10;5OvbD7Asm5fOn6K3K8Hqeorb96d445XzNYKVLxS4duMuC0urbO3s4dE1fu+Hb/HZ5a85dWKM2fll&#10;/D4v7731KrFo+LnPrEkpKRsGK2ubSCnp7+nCXzk2wzTZ3NqhkC/SmYzX7rtt2+zuZdne3SMaCdGZ&#10;jKMqbueXzeXZSG3j83rpSrrE8ijs7KZRVZVwKFC7Hzu7aba2dwkGA3QmOg7t9GzbYW1jk1y+SG93&#10;knAoWNvG+sYWO3tpupJx4h3Rp77XbTw9ahH/WgfvlcK6AFVRsRoH6Q3mf3Wl6+hnXSIxpEPGNMlZ&#10;FnZ10b+iVwAAIABJREFUBr5KRCrT8X5dENAFuieAonhRFLWW/0oICAUdyqYglxcYZkU3awjbXjTA&#10;zrh+WuGAGxCjgY/UT7Z+YLT2FM8jQFJjNEEFcDU+BelILAMcR1TIVeXUVSiqFuVK9mdNCHyaSlBX&#10;8Woqmmi4Dw0yVo1byYPuzwHn28YLR9aCHePAR+1QuM+gQnziGK+XfHj1PIeHCJR4NIXu/hgylEA+&#10;aRAN3N+GKd3cWDkLHtMFHAhNVelMxp+obutYpYpgIMDo8P4Q8431OxP1PF/JxNE5v9po45ug+v4+&#10;6Hd0KME6qPLjfojfVZsnUbOOKv+mKpbEJT1b2ztIKcnkchRL5QohcCiVDRzH4dcfX2Y9tYUQgnyh&#10;yEZqm1y+wPrmNooikBK6knHefv0lChW75N7uTi6cmWyaVy2Vy9y+P8Xm1g6WZXP7/iP+4Zcfs7K+&#10;yfziCsMDvUzNLmCaFmXDfVsHgwFee8mz76VlmCbZXB7TtPapV7bjkNrexTBMLn91Gynd83wwNcvC&#10;8ipf377PQG83u+kMyXgHiqrg83qYnl1kbmmF1186hy0ls/PLrG2keP/t12onUSqXSe3sspvO8PGX&#10;X9Hb3cn27h7Xb93n69v32ctkyeUL5ItFiqUy66kt3n3jFb66eZepuUWyuTwnj49xfHwERSjMLiwz&#10;M7/ExNgQniccdEspWVxe49MvvyIUDNDb00kmm2d0eABZCeUlpaQ7mUDXdTZS21y7eY+PvriGYzus&#10;rm/yo3dfp1AsspfOYJpmw7ZdomxLh43UFj/78bv0dCXJ5nJYls2FM5NcuX6b1PYu4XAQrZaw55tD&#10;Ssn2zh7//pe/ZXNrB1VViUXC/MlP38fn9fD5la+5euMuPq8Hn8/LB++8ztjIALfvTfHxF9dq0Zwu&#10;nJ3k7VdfYm5xhY8+v0o6k0MiOT4+wntvXSJ2QAdo2zarGyl++ZvPmRgd5M1LF1EUhTsPpvno86sU&#10;CiVMy+TShbO8/so5wqFgU/uyYfBPv/6MmfklHMfBkZI/+cn7jA3388nl61y/eQ9VUcjlC/zh77/H&#10;mcljaNrzu3Zt7IdAVAJFVChSbdBOzadKUlepmjSQ6uD+CV6yTjVks7TJWzY5w8awK8qNbPx0l4UE&#10;jwo+X8SdgJIKji0RDuCArkrCAQfLFpRKCmVToEvXJLAaTKJkuOHci2V3Zj/gE2jq48wGnxOEu2/T&#10;ojbQlRVF0KupCAXyRUnekEjpJk9WFfB5JAEdLAmGLcnbDhnTwmuoJANeoj4dV6yrqoaVnTXst+lN&#10;3zab+t5gz3Ij9omnNtERFEL9bGgX6HQ+oYFZN1YCKTHws+S/SEGNPjWddiTkbcjZkHjKtm208c8N&#10;v3MK1rcHcTQVbYGUkkKxxL2HMziOw8z8Up0ECYFj20zNLnDl+m0G+3p47ZXzjA4PkEx0sJfJ8sXV&#10;G5w/fYKB3m40Ta2FGw0GA/i8XgrFEkbZYHc3zeLyWtNhFctltnf2iIRCKIpCJBwiHA5ytmOCSxfP&#10;8nB6Dp/Xy2B/D6NDA3R3JtA0lWS8g+XVDR5Oz5HPFxGKYC+dYWZ+CU3VWF7dAFzVZnx0kN7uTv7+&#10;F78mm8sjgLsPptBUldWNFKZh0pmI8/XtByyurPMXf/pThgd6yeZy+HweNlPbeCsD+KvXb+H1epHg&#10;qmjhMA+m5/ibv/1HkvEYK2sbZLN5IuEQN+88ZGc3TSjg5+/+8Ve899arDPR24/N66Ex0EAoGGBns&#10;5+6jGaKRELFIGNt2KJXKGKb5VI7B27t7XL99D5/XS293J8urGwz0dXPp/OmGAaObD0bXdaKRMGdP&#10;TrC2kcJxHC6ePUlnIk6hUKJcNrCdul3Gzl6afL5AuWSQy7lk2lW01lCEwvGJEXRNZXVjk+HB3udK&#10;sEplg+u37nHv4Qx/8Wd/QD5f4LefXeXzK19z8sQ4n16+zoUzJxno7+arm3f59aeX0TSVz658TTDg&#10;541XLnDr/iO+unGXZEeMOw+myWTz/Ojd15lbXOHh1BzdnQneeOV8036LpRKXr9/mw4++5P7ULH/x&#10;pz9FIsnlC3z8+TUUIXj3rVeYnV/m8lc36e/t4uTxsSb17v7DGb64dpN333yF/p4u/v4Xv+GzK9fR&#10;VIWf/+oT3nn9ZUaG+rny1S3+3S9+w+hQP5FwqG1b/21CgCIayFXDCL1uHlhXTepcqjms+mHvVTdS&#10;noMpbSzpYEsHw5aYFlhWJV9UlVw59WW10lYoSm2fqgKKCsKqK9CW7ao/ZUMBU6BqFQJVeVdYlqsc&#10;FMvg87h/Xo9L0FSl0bSOff3DwQpAZXKmgWw2Nqu+osom7KZdn7DGOgLX7E9XoeSV5AsSw3TXBwMQ&#10;D4GuaViOg+lITMfBdiSaoqKp7rVxhECpmGvuC1zRxvcWaRPspyTzLjEXlGWQy9rvETE2GeJRpbQ6&#10;U+AObsrCzwNxiXvaa0ihPUkqrH0oO1CwnqFhG238M0MTwTrK9+mwshfRptXN+NvBU2jlFZTLBven&#10;ZnBsWfPLAYHjSC5/dRvbkfR2dzI+OoTXo3PyxBjSkaxtpLj7YJrhgV6OT4wgpUQRCh6Pjs/nRVVV&#10;xF66khPFPa58vsDc4goeTWdidIgT46NMjA2hKKJmLrW0vEZqa4fuzgRIwcOpeaZnl4h3RDkxMUL4&#10;fLBiqmhj2RaKVEht7zK3sEw0HCIZj6FpKk7FFK9cNtndS3Pm5DGy2TzZfAGPR0dVFDRVIZkYxqPr&#10;3Hs0i2XbbGxu8fmVG5yenODU8QlW11MkOqJoqsrZU8dY30jxaGaei2cn2dlLIwS8fP4UD6fnMEyT&#10;UDCAIgSdyTjJeIzFlXU2U9sM9fdgmBbT80tEIiEuvXSWaCRManunNirp7kowOTGKpqrYtv2YO+fC&#10;o+ucP3WCfLHE3QfTGKbJw6k51ja3UBRBuWwipSQWDfPuW5fw6jpTMwusrW/iOA5Bvw+/z4tlWyyv&#10;bfCrj7/Eo+v093ZhmhaGaVEum5QNg3Qmi6IoSOmwvrlFIh5DKK4Z0POeHZdSomoqb756gYtnJtna&#10;2ePmnYesrG3Q1RnHMC1+8MbLxKJhisUSH35ymZ29NAO9XZw6McHksVEyuRxzC8vsZXIkEx0M9vdy&#10;/vQJdF1jZm6R3b30vv2qqkpfdyevvXyOUrmMqqggIbW9w9bOLm+9epGXzp6it6uTuw+mSW3vcty2&#10;m/zQzIq69/L5UyTjHVz9+g5bO3ssr21QLJW5cGaSgb5uAj4v/+p/+d/Y2U0TDgXbBOtbRI1g7Auj&#10;XiVWjddeNBQ/3hTQqfgbGRVy1fhTkI7Asg5TsMCr1X1LauSk4uKlKKBrEt0LutfGo0v2MlAoKthm&#10;g0rVsEPDAcN0ExarquuzVU3OW92+pLmPko2Tco1+VBy83LjSsKB4QLS4qkKoqRDxCTK6IF8QeHXo&#10;CELYJwDFfU9TJ3mKEK4lBG6/UT0sBbEvemMb30/kbdd96mkFLPfxE6xrI/yGv+Cc/Qkj8gFhmUbB&#10;wURnm24eKRe4q71BTkk88/NgSjeiYBtttFH5nR7yg31qBetpf/gvqs1zG6M+xU5DwQA/fOtVbEcy&#10;M7vIb7+4CrjmVX293bz/zmsk47HaDLteHUgKWN3Y5NefXubGnYfISh6Hwf5e/vQPPkAR7kBC1zQ6&#10;4x3093bVfGCQMDTYiwD8fi+lchkqHWjZNHk0O89Abw+xWJjhgT5yhQIDfd2cPD5GMOAnFAwQCgZc&#10;ElIxVezv7aYzEefsqeMkEzGkhIDPh4PDO6+/TF9PFwtLq4TyeQDWN1LcuT/N6ckJ3nvzEslEBz6v&#10;h0wuj8/rpb+3m1t3H3F6cpzxkSHmFlcolcocGxvm57/+FCEEQ309/OT9t+nr6WKvQj4Mw+Th9Bxb&#10;27v88U/e573hATRNc2epKze5WCxDhUBEwqFKmUDXNUzTZH0zxedXb5Da2q35tbXCcSRdnXEuXTxD&#10;MODnN59dYWt7jx+99wbhYJB0JosQgo+/uIaqKJw/fYKuRJxMNocjJYmOGOubWwgEXl3HMi26OxP4&#10;vB5+8eGnvPbyWYYH+3nt5XN0JeNkcjkuXTxLOBQkny9SMsqcOjHO5eu3+MHYy+j68xWSvR6dl86e&#10;cm3mTYtH03Msr67z+++/TT5fxOv1uGaJmkYoGKw4Evt47+1XCQUCbKa2ufdwBr/Px/jIIMGAH01T&#10;yeYK3H0wg2U7DA30uoO4ij+MEO7zOjo8QKIjxuzCUuX6S1ctFYJAZTvRcAhd1yiVypiWXSGe7kD+&#10;xMQI4yODRMJB5hdXeDA1x5uvXqAzGadYKrG8tkEyHmN6bonN1DaFYulbsd5qow6XRCktpMpdqpn/&#10;NdR+ElRJQMmxMBwbp+UuaopAU1z/I9uuEhnXTE5Kl3x4dYmmHvDuFxWfMQVUVeL1QNBvEwo5pDMq&#10;mZxCqaxgW6LmW1bjR5X4AKbdbOxYc1tqmQ+RraSq4jxz0DNZ69Nk/XujAuaq5qBpEkVx9+7VoSMk&#10;yRcsgn5BNKi6vyspUBpyYLWa+bnbdtmfRKCitCchfgdgycNU0cdDKAKJxhJjpEoa0Vw/oeISHgyK&#10;apRcYIx0+BiGt6veNz6DWubIp1fZ2mjj/8847NX6jUd2z/Qi+BbqP3PX8YwNhRB4PDqD/b3YtsPe&#10;XoZGH4XBgR7GRwb3tbNtm1yuQCgY5A9/7z38Xi+WbfNwep6F5dWG7UOhWGR5ZYNSuYxpWSytrJPL&#10;F6iSuO7OJG9cuoDf74YkPXvyGEjYy2SJSId8scDuXgaf18PDqTkc22Gwv6cW1GBnN00ml+e9ty6x&#10;vbNHoVgkGhmsEcGqGZyqqsRjESzb4c6DKR5MzfLDd17j3Knj9PV0MtDXjdfjQVEUcoUCn3xxjVgs&#10;jFAUNre2mTw2xs27D1y/iAqZGOjrobsriRCCWDRMuWzy8w8/IRQM8sEP3uD42HAtYMTm9g66rjE+&#10;OsjqRoo7D6Yr12uFUCBArlB0VSPL4typ425Y1sq2D4KUknAwgHQkX351i69vPeD4xAi9XZ30dCVq&#10;AUVm5hbRdZ3/j733Do7jyvM8P2nKOwAF70EYAiBA70WKFCVRXuqW2puZu+6e3Z2dnZ3Y27vd2Iu7&#10;iP3jIi7u5q/bnY3Ym+uxPT3TRt5QohG9dyAJECQIQxAA4W15k5nv/shCEZYiKUot9dQngqay8r00&#10;leZ93881rqzG43YRTyQQQlBWWoRuGPj9WeTmZhO7m8DjdrK+uYFINIbdbkOSJGKxOIPDY/QPDvPR&#10;gWM01K2goqyYlmvtHD11gZwsL1k+72NP1KAoClk+DzOBIO99cpjrHd1s37yO5sY6Ll5pS7lxzXHb&#10;EqY1z+Nycav7NoeOn0MIwd7d2yjI86MoMncGhjh07AxjE5M8sXk9ZcVFnLlwhfOX20gmkzQ11LJ9&#10;01qyfB4sFguydO+YFiW2Tg3Ok5rGwaOn6e4dIB5PsG3jajaua8LhsHPy3GWOn75EXU0lm9evJjvL&#10;y65tG/lg/1FOnLmEoihk+7zICwsZZXismO5HzL9e5l0/j/YAFUIQFzpxQ09fH3ORZXDYzGLBobiE&#10;kRJYwjD3we4QOO1iXqzUUnsiSaaIkq1gsQjcTg1/XCYQlgiGFLNWVtIUbgt7mLUOpfc59ZdYYMpa&#10;ylr1IB4Y8446pb4cNsjxmDXHTMElsFsjZLmncNqd2Cx+7nlbPNi5N4RAwkDKiKyvPA/j4j6LJIEw&#10;BInpCaKj/cTGhkkGprGjsb62jiyfm9GRKdpu9CLs49iyc3Hkl2DPK0S2O7+Y+MIMGTI8vMB6XILq&#10;fm6Cj9rmkXhMnS58Rs1mX4snzCQSuTlm1fJINJaq4VBEc0MdsiyRTGoEQ2EGh0fv9SfA7Xaxcd0q&#10;Nq1tQgC3unu50dnD6lTsls1mw5/tY2JqGiEEuTnZRCJRIrEYPq+Hrtv93OzswRAGebnZqRglkd7A&#10;uUvXUGSZdc2N9PYNcKXtJrn+bMpLigAzlufwiXOMjE4gEMiyTHtHN4FQGItqYXxiCt0wKC8u5Kmd&#10;mxGGwOVwsmfnFt764BDdt/tw2O203ehk9ao6CvJy6ekbAODu8CgHjpxCSY2QkkmNUxeuUFZSyLX2&#10;W7S238KiqmzZuDrlOijj83iwWFQSySTrVzcwNTPDyupKum73sXldM9VVZWR5Pfi8Hgxxfx8GWZKJ&#10;xeM01FUTCkcRwnTMmCt2JNkckMipf8ORKJPTAbK8HiKRKDe7eqldUcFsglmPx0VddSUAN7tuc/bi&#10;NYZHxzAMQXNjHasb63A47PzmvU/wety8vPdJrFZLOqnE40IIwfjkNG9+sJ9EQuO155+ipqrcjImz&#10;mVbPWCrlfTyewBAGFotKS+sNjp2+QHVVOZvWrqIwPw9Zlrhxq4fDJ87icjl57YU9VJQWY7NaKczP&#10;Zc2qOnTdoLgoD1s6K+D8u8Fut6Hrevr6i8XiJJNJ7DYr+bl+3C4Xmq5RXJSPYRi8u+9T7vQPsn3L&#10;OpobasnNycIwDLZtWktTfS26YWAYBje7enA7nWScn75AJJDErBtgSgU8xOB+OQxM18ClxBWYm7Oq&#10;4LJBNCqRSEipGH0Jp93A4xIslYRyvrOiNK8/STJjq6wWA5cD/FmCREIiFodoTCKeMAsTGwammAMM&#10;Id27nAWI2ewDS3n2zj09D8FslkaHTZCfI8iZk8xVCJ1IfJJQvA+Pq2qhJ+IDM9eTMcNXF2vKUJya&#10;R/hsJEEyEiLU1U54oJtkcBo9EQPDoL5uBc9vXo/NYqGmeJqpsWPcvNNJbLSfcN8t7HnFuCtX4iiq&#10;QFKWMgUvRmBeq8vW98mQ4Z8ti5+w6oM+rBfeTwvbLTl7+BltHmU7D9LmkRA81FtoNkPgxNQMN271&#10;cOTkOZKalu5KkiQMIRgdm+DwyXP86NuvIAEDg8O03ujkmy8+jZKafTeEgW4Y2GzWOQNtgc1qpagg&#10;n8ryEnRdx2G3pWtjlZcVp1Oz67qBltTwuF2EwhFyc7JY39zA0PAYo2MTVJQW0VBXTVlxIUoqmcLF&#10;q9dp7+hmy8bVlJcUkp+bzeDIKEdOnuO5p3ZQmJ+LqipUlZfgz8lKuYFJjI1P4s/JYnVjHU6HHcMw&#10;yPJ5URUFgcDpsFFXXUkwHCI/Nwef18PFljZ8Hg8lhflp4eP1uFhVX4MsyUiSWRes9WYXa1etpLy0&#10;GCEMZEUm2+clqWkEw2EOHjvN+MQUu7dtJJZIYLNaqa4sZ2RsAp/XTSgUMZNReNwP9JOrqkJVhZ2h&#10;kbFUDN3915+cnKaj8zb5eX6ysnysbVpJcWE+XT19iFSdHnuqLllVeQlZPg93+oc4fuYizQ21+LOz&#10;OHj8DMOj46xZtRJ/dhYHjpxmz84tjI5NcOfuENs2rsGiqlxpvYkhzFT8QgiOnb5IRVkRKyoWW0UX&#10;Eo3GOHWuhe7b/fzoW69QkO8nFk8gSRL+nCySySRnLlxhZU0l16534PW4icbiHDtzgewsH+uaG7BZ&#10;bYQjUaKxGGcuXiEWj/PUji1k+7xEYzEUWaa8pIjiwjwQoKgKqnJvvkY3jLSYz/fn4LDbud7RTXlp&#10;Edfab6HpGrn+bFbWVlJrmH4xqqpy4Uorl662s3v7JupWVCCESFlt4d19n7JxbRMNtVV8dPA4JUUF&#10;eD2uTBK0L5RZxZCOcnosvQrEsuJqFlkGh13gsEEkKqFrEqoicDvBaRfzCx8vv/eLl0mgqqYrntMu&#10;MAzQdDB0U1CJJaxZC61VUsoNcPaMzLoQLhR4y71OpAX/n63TZbOa8V/39lXBZnHitvuwqNbPPGfL&#10;ITLq6muBUzGLes91wVtWVEuC+MQIk1fPEBsZwEjE0u8w02VbIcfrRlEUDGHgsNsQhoGRiJNIxNHC&#10;M8QnRvBUr8Jb24RsczzQgGu2Bl2GDBmk+z6TH8qC9agzZ8txv+f9cu2+iHeEeMSO+weHeev9AxQW&#10;5FFaXMjtlHVGliXGJ6YYGhnjRmcPI2MTCCHouXOX9z85SlN9DbUrytMp3EfHJujq6cPnuVcPSdMN&#10;JianGB4dNzMUGgab1zdTu6Kc85fb+GD/UeKJJP5sH4oioxvmAzQcieDzernS1kEgFOLVF55ifHKa&#10;9pvd+LOyMITg7KWrXGhpY82qlaxurMNqtWC1Wnh213Y+OniMtz88xLO7t1FZVkJddWVaFAlDcKOz&#10;B1VVaG6sw+txgQBZllFV1Qy6FgJFUWiqr2VweIyx8Wly/dkU5PsJhEIYqfTnWV4PG9esSr89pgNB&#10;vEdPU1+7gpW1lelzrCoKg8NjWFSVdalaVLF4nE9PnKNuRQUOhyk6O7p6mZoOsOuJTQ8ssGRZTlus&#10;5lr2kppGUtOIxWLITrPehq7r9A+NmLFB/XdBCFZWVzA5NY1u6BTk+YnF4wyNjOF0mLFuqmpmZlQV&#10;hZ47A7z90SHsdhs//eEbtLTe4KODx5mcmmHX9o3c7rvL8TOX2Li6EYuqcunqdXTDYF1zPbphcPjE&#10;WXZt3/RAAiupadwdHmFyaoYPDx7FMMBus/LE5nU0NdSwa/smjp+5yJkLV3G7HLywZwe6rjM8Ms7I&#10;6CQjYxPoukFVeQl11RVMTgXo7R/knX2fous6ef5sdj+xmcaV1UvGj8myjD8nC4/HDZKEx+3imV3b&#10;OHLyHH/zj++g6QbbN6+lsrwEm3V+MZWR0UkCwTCnzrdw4UobSU1jfXMDu3dspmFlNYdPnOPoqQso&#10;isw3X3wal9OZcXv6Uni851hCQkFC/4y3iqqCy2kQDMqE4zIOp47bZcwXIXP+FQs+z9/mEvshmYIm&#10;3d9svCfiXqzZUrsomb6CSyYYXNBmnmtsKl5RWvjSWbjz6cUSHkcWdqsTVc4US/19x6eaAmsuS94h&#10;siA+Osj4hWPExocQhm467qayEQugd3CEzv5BakqLud0/RO/gCLIip9cxNJ3E9BjTNy6iJ2JkNaxH&#10;cbjuO2iTMAsMOzMCK0MGZm+W5eav5o2Ovox4qi+zzUP1/wgzfP7sLL7x4tO43S6GR8YIh6Ooqkp9&#10;zQrab3bz63c/JhFPsml9M7FYnOsdXZSVFPLUji1YrVaCoTBnLl6l5Vo7bpeLXds3pvu2WlQ8bhcz&#10;gRD5udmUlRRSUVqMalHRdYOT5y6jKgqNdSuYmp7B7XaZ2fgSSawWleGxcdY21bNxbRPjE1OcOt9C&#10;1+0+VEWht2+QrRtWs665YV4GtsL8XF7Z+xRHT1+gu3cgbYECmJoO8MmRk3R03ea5p57A43Zht9nm&#10;nQ+nw062z4Msy7zxyl6ztpZkipe2G52cPNfCxjWrkCQJRVHMOlG6TntHD/uPnDQz8BXnz+tXpARb&#10;dpYvHdN27MxFKkqLeXL7RmLxBHm5OVy93kF1ZRn+bN9D//Y2mxWnw562KF6/2cXpC1cZHZ9k1xOb&#10;sFqtJDUNt9PJ7ic2oygKV6/f5HpHN+23utE0HU3X6brdjyEMtqxvZsOaVVy+2s6p8y1UlpWQ689i&#10;++Z1lBYVkJPtw+N2cuTkeXZv34TNamVtcz1V5SVpC9hLz+4yw9NT5+onP3idLN8ShaCXwOV08vpL&#10;z7B39/ZUAgmBIstk+bx43C6e2rGFVfU1JDUdr8dFXk42SU3jT3/2Q3TDSM28Cxx2O263k7KSQiLR&#10;eKpWm8BqsZBzn/PssNt4fs8OrBYVVVWRJYmm+hqK8nNN91KLSl5uNm7n4mKRT27bwJpVdamC3GZG&#10;Tq/HhdvlZNe2jTTWriAeT+B0OSjMz03/Zhm+XihIWGUV3Uii38d0LEkCpwO83jCCOF6PHbttsdBY&#10;LKY+62G+9BoLtfp9vSEXKLl79j1pkXaa+2HWYgULxrLLmLpkScEmO5bZic9GAhQ540j7dSDbAg4Z&#10;osbygzZJhsT0FOMXjhIdG0yJ9jmu7al37nQwzO2BIcoK8mi/fYepQDAdsyqlXH6FAC0cItjVhqyq&#10;ZDVuRFYtS3pzzC5yKeDOCKwMGRaw+G6VwjFNPMyDd7mA3a9Cm9mMUA+DIUDXBZoucDvVdPamz9y/&#10;BU+gWCzO1EyQooJc4okk4xNTaLqOIstkZ3mx22xMzwRQVSU9UNY0jcmpADPBEF63C3+OL52yOpFM&#10;EgiE0A0Dp8OO3WZL18uKxxNMzQSQJAmvx00yqaFpmiloZLBZrSSSGi6HHafTgabrzASCqIqaigtL&#10;4HG7cKSSMSw8rulAEAR43M57+5NIcnd4lGQySWF+rhkXtSA5QzAUJhqLmUWHF3w3OjbJ5PQ0RQV5&#10;84odm9sLMTwyhsvppLgob15NKCEEiUSS0fFJigryEAgCgZCZjc7rQdM0ZgIhwpEobpeTrJTAexhm&#10;giESiSQ+jxurRWVqJsjYxBSqqqRrb826qlktFhRFIRgOE4vFMQyRmjEU6f9n+Tx4U+I4GIrg8Thx&#10;2u1IqXpasiQRjcWYmJwhJ8uLw2H/0q0wIpUB8HEn2PgsDEOk4mEe8XhFKmj/8/SR4XeOSA3ukkIn&#10;pmtoLB0zqesJND1BIDRNJBokx1eIx509b53FjouLn+FLvPqWFlMLerj/FZZaZ5GYWrg3S7a6b8+P&#10;Cxkz3lSWpMz98jUgKeC3Q9ATSWUTXHiNSmAkE4yeOUiwp32Z3zTlrm6z8aOX9rC+oZZPTl3g3cOn&#10;0iECC9ZGAizeHHLWbMddVZ9SaQvWE2CRYb0XdvvNeLHPg1lL1JyUtlos970+ZwJBVFXBYbc/0DtL&#10;1w1mAkGyfKZX0FJ9z4Z5RGNxXE4H0Wgci0XBYlneUmzW3IyBJOFyLp70mO1TkiQ0TSeeSOBw2FEV&#10;hUQiQSKpYbdZ55Umude3TlLTURT5XsbpJZgde849JiEEgVAYh82GdVFwqiAQiuBM7QeYLvzhSBS3&#10;0/HIY4DZMcRsDHkobIZoOOw2DMMgEo2hKAoOu23ZPhLJJPG4OR79OhKOahiG6WlhPmPnf//IAut3&#10;1Wa5LE0SjyawREpgJR9SYM3v496TaPaiX3gTLHdTzP77yBf5vc4WfbfcQ2W57+67nZT7n5Rqe7/V&#10;F+QaAAAgAElEQVS+l+rfdA1cfJyzbQzDSCeTWKrf2Zv4cR7TvP4hfWwiVQdMStWVeZD2C5ntZ+7n&#10;DBky3EOkMkVowiAudJLGYpml60mmg8MMT/agyjIl+Y24nf7094vdAZexTC34dD9xNdvH8nesNP9/&#10;0pJL77MfX5K4kiSUdLHhzPPn64AATk3C8UkzDmu2JloiHKbv7HGS0QhaLEzw9k2MZGJJl9TZfqwW&#10;Cxvqa8jN9nJnaJTWzt57Ky4YQAlAkhUsWbnYCsqwWKx48gsobFqL1ekyi1cLyLLAjmxY5334sdZC&#10;YrE4Hx06Tu2Kcprqa5cdGySTSf7hzQ9Zu6qexvoarFY1HfQ4uw8Lr++hkTHe+egQP/3hG1itS4s3&#10;IQRj41P85v1P+NkP3+CdfZ/SuLKaNatWLrvPM4Egp863YLfb2LNjy6LvA8EQ167fQtN1qitLOX+5&#10;lYqyYtasquf85VYGhkZ4/ukdS4YxtN/qprfvLqtWVhMMRWhpu0k8FkeWZRRFZsPaVaysqWJyaoYL&#10;LW3UVJVTXlpELB5H0zQ+OniCwjw/qxvrsNmsuJwObDYbw6Nj/O2v3mN1Yy1ZXi8+rwchDN7ff4Tt&#10;m9Zis1lx2Ow01FVxrb2TcCSKYQj8OVn03R2i/+4QIJnu0xIU5Pn51qvPYRgGdwYGOXb6Et9+5VnO&#10;XW5leGSM77/xEmMTU/z2vU/Y+9QT1K6oYGJqmo8PnWByOoDb6WDd6gbyc/3cvjNAS9sNtm1cQ0Fe&#10;Lh63E6/Xky5s/1VnVmBZ1Nlx8fzvl00Gs5yQud+yL6PN3M+PS+Q9WtjwPZa6eRcuu986n+fll275&#10;gH086rak1Mv6Ufs2hcry52CpmbW569yv7887eFhYhNN0y3vwPpfbfmZQkyHD8szGOKmYFharJJMU&#10;BklDT8dmybKKzeYGZJJacl5A8ewT5WEn8D7rtnyQSb3lt/e7vefNiUbzeSkvYWHL8NVGAlY44eIM&#10;hPR7yxVVZazzBqO3rgMSQtfM94sQiJS1aTalymx4nwTsHxlDkiUzEZZmpK6IVBtAErP2q9TGR0aR&#10;bt1EttrIXb0JR20T2XYDRZKRJdOFscj+aNeUpulMzwSw2224XU4Mw2B4dJzCfHPCRAjB5HQAp92G&#10;oigcPHaGnjsDzASCtLbfoqd3gGNnLt6LU9d0mhpreHLrRgzd4HxLK5GIWXOxu7ef9ls9fPzpCRRF&#10;McurlBSytqkeMCd8ZVkinkzQ2dOHbhj03x2muDB/Xjy2tED0JTWNiUkzrnwpZj2Nrnd0UVSQh9fj&#10;5nbfIG63i9YbtyguzE+Xn5l/bjRu3xkgFI7g83qQZYXKshIMXefu8Cit7bcoLy2moXaFWQpFVTh6&#10;6gLlpYW03+pmZHSCpKbR7XBw6NgZnE4H33zpaWpXVLDv4HGSySTv7z9CTVUFjXXVtHd0ISHxq3c/&#10;ob6miroVFdSuKGd8cpoDR0+bNV53bObC5Ws8u3s7bTe7CEdj7Nyynrc/OsQ3X3oGWZbxetyMjU9w&#10;5XoHlWXFXLx6ncGRUa60djAdCFFYkIsQEAxG6OzpY11zPZ09dzh2+gJjE1N43W5mAiEOHTuDYQhK&#10;igv43jdfnJOR+KvP7DtoqVvi8VY4/RJYYrLmsfWbIUOGDBm+XEwxADIKqqRglRQ0YZDEQBcGTruP&#10;8sJVaHocmzXlSiIEoYTORFQjnDCwqTK5TgtemzJvImj+tM7SBYAXWq8WL1t+7aWyB96/5RfzppFT&#10;51CS7tUoy0zwfD3Js0K5A9pDpIsOWxxWciqrGWy9DLL8wFeRrutLDv7uO0EtkmBzonlzGYkbhKZC&#10;eO02ch0qJTaF3Ecc+0YiUT49cY7qylI2pkrPmN4p5v4YhsGHB46yunElq1ZWs7KmitycbN78YD9P&#10;7dxMU33tvKRIhjDI8+dgsajcHhzgo4PHWNNUj0VROH72khlKEQjicpiZgi9dvc7apnomp2b45PBJ&#10;vv/6i2bs/awXTWpHYvE4p861UFJUQHVlKQNDo2iaKWgnp2YYGhlHURQ6e/pSnjXgcjpw2O2cvniF&#10;k2cvk0wkGR2bBMxSPZevtTM+MUVPSkQ9s2sr+bn3LPEDgyOEI1Hy8/zc6u7F43axce0qJqamaWm7&#10;SWVZCStrqpBlmWgoQnNjHaXFBWT7fJQVF/LRoeNsWNNInj+HfQePs2XDamqqytE0HY/HxctrdtF+&#10;s5tsny+dMfmV53fTdsMUgk31NTidDnZuXU9n9x1KSwrYtLaJfYeOc3dolPGJKSLRGHeHRonG4gB0&#10;3e7n73/zHpFojI8OHCPL52Vicoq/+cd3Gbg7jKIo/L9/9ybPPrkVn8+Nw26lsqyY/sFh8nKy0XWD&#10;b726F2GYbpXtt3rouzuEoevA10dg3U+PLCuwPtvNYvGy32Wbz+J+bb4o0ZYhQ4YMGT6bdMY+TIuW&#10;IslYEegIdFlgd+WhGzqGZA6EAnGNwUCc8bBGTDNjIMcjKiuyHeQ5LWmRZQhBXBMkDYFNkbGp93PF&#10;fnCb1P1cA5dq87iljsS9DIbyHFEFGWH1dUeVYY3HjMOaTXYhkCioX82tw/tIRiPwEG6fy4mrJVsL&#10;gZBkVG8WlqIyEoYgGU0QjCfJlmyU2xyo0qNluNCFQTAUJhZLLPm9EILpmSDxuJlQqbKsiKGRUUqL&#10;Cnh651bi8QSDw2OsX9OINxWzM+s+l0xq+HOyeXrnVjq6eli1soZYPMaWdc2UFOUzMDTCb979BACn&#10;w8HV6zd5cvvGeUmSZu/peDzBpavXqa4sYyYY5sCRUwRDYWRZJhiOcPlqO3n+bIZHx9OhBNWVZaxb&#10;3cD4+CQrKkppqK1Kl0YxH20SFovK4PAo45PTTE0H0wIrkUhw6Vo7V6934HI4yPVns3vHZrpu3+HI&#10;ifMMDA6T5fXQPziMP8cUSCfOXmJtUz01VRXk5eUwNRPg0+PnGJ+Y5Ikt61nTVI/H7SIQCHH7zgD9&#10;d4exWi1MB0JMTk2jKgqnzragGwbdqXqpf/i9b5jxW5IZkmGxqEhIaLqOYRgYhkDT9fQ1NDo2QTye&#10;4LuvPc9MIJQOp5AkCXmLjK7rtLZ30nd3iNVZdWiazuDIGNk+D1s3ruHE2Uv86u19kPIgys7ysX3T&#10;2iViyL6+fO0sWF8c0uyTLGPOypAhQ4bfAeYgR0pPeslCQpXApigIRaALs0BxTAK3qoMTErpBQhck&#10;NJ3eqSjBuEa+y4pNkRiPJBkKJYgkBQ6LTIXPRq7Tijo7GFhq+/ffuyUn+x5sAvAR3bNTf88mdjEH&#10;x4vdmjP8fiBhWrBqXXAtiBkjZYC3pJSs0kpGOtqQ5UdP43e/K0UAkmrBlluENScfDANDCJwy1Lol&#10;ypzyF+dyumCW++7wGPsOnaCxrppINE57Rxe37wzg8bjI9nmRJYmSonycTgflpUV8/5svoigyB46e&#10;4duv7uX6zS667/RTV11JOBTliU3rALBaVUqLCrnQ0saOzesW7cbUTJBkUqO4MB9FUfjOa89jpOo6&#10;dvX209nVm3Zls1pVQMJqUYknEhQX5aPrBoMjY/TcGcCiqGiaxsDQCFk+L5vXN1Nd4cFum1ueRKKq&#10;vJTxiSlTTPm8tF6/RdftO6xpquf1l5/h9p27nD7fgq7rrG6sZWi0nMHhUeLxBAPDI6aAslgoLsyn&#10;t+8uv/jNe6xrbqCmqhyb1Zqum6rrGm6XAwmJcCyKhERTQw1dvX0YhsEnh09z9uI1HA67mXhCCEoL&#10;85maCWALRygtLkCkSu14PC5WN9ah6ToXr7ahKgqyIjM1HeDu4AjP7n6CVQ3VOOx2JCSSms7E5DSK&#10;olBSlM/zT+8gHImmx9xWi4Usn/dLT7z1RTJPYD1InNKD+qd/mW0+L+lM9pl3VIYMGTJ8JZi1as0+&#10;loUwrTWqImNzquTabSR1QVzXiWo6gbjGdFwjFDcQRgK7KhFI6OiGQMIgnNDpmxFYZJkch4WF+Wvm&#10;iqVHeUctfxwPtvZcITX7edblT1q0Yibt+u8zqgxbsmAgCpNJQIDFrlK8eiOjN68v2eaxJBMTAsXh&#10;wl5WhWyzI3QDWZJY6bXwRL7tc2cOvC8LzGqxWIKcLC9DI6NMTE1xp3+Q8clpBOBy2JEVhVee2025&#10;3YbL5UTTDf78v/4V5aVFrKypwuVy8qu396HKCu9+/Cl/9kc/Njcjyaxf3cDhE+fZtmnNvO0LYXCj&#10;o4vysuJ0cozZkiShcITpmSANK6spLsyn/+4QWzasTjfXdZ0dW9anEqfpJJJm9uNzF6/iS1ltaldU&#10;IEmmIJvFYlFpqFvByNg4HreL9asbmA4Eycn24c/2EQpH8HrN5cUFeTjsdnZsXo+ma/QNDBEKR3DV&#10;OlndUEtOto/zl1uJJRJkZ/nweT185xvPc+5yK9FYjOb6Wpwuh/mME4IPPjnKto1rWbe6AYfdxs4t&#10;67lxq4fCfD8b1qxiZHSCtptddPb0Ek8k8brdrGleiSzL1NdUsaKiFEVRWFlTSTKpcbn1Bq3Xb/Ht&#10;157jic3rsVpNK9jw6Dh2m43qqnIutrRx8uxljpy6QDAcRpbMOq5up4M1TSt56dldS8apfVWRYFnD&#10;zENbsB7FwPNltPk8Ln6LX14ZMmTIkOGrRDopEGaQvSIp2BRwYZafKHSBJsySG2ZtLYFuGMQNg4Ru&#10;ENd0koZATSWAkKV7yVcfVP7M/e9SrlbLWbfEgs/MsUSlPqbXWLQvUkZM/XNDAvKtsD0b9o9D0gBh&#10;SOStbMTm9ZIIB3nsgxUhkCQZiy8HW6FZc1IgKHUo7CmwU+xUvnBL6dzeV1SU8C//8Dv09t8lz2/W&#10;urzVfYcXntlJIBCktLiQnCwfsixzs6uXN9/fz7Ubt3hy20ZsVgs1lWXYbXb+6e19/E9//AfUVJeb&#10;25Cgvm4Fv33/IGNjU/MsJjMzQdpv9fCtV/cuyvg8MTnFxSutvLBnJ7phcPpCC/W1VemyM4lEku47&#10;AwwMDqfrT3bd7qOzp49Na1YxOj7J6NgkOdk+6qor8KYyCQohuHTlOvsPn0QIsx+fz8PQ8BjdvX3E&#10;4gn82T4a66qprapAlmUSySQXWtqoLCumqqKE0xeuIITA43bT2z/IqvoaaqrKcdhtuJwOLBaVsfEp&#10;unv7sdmtIMxal8VFBZSVFFJUkIcsy/hzssnJ8pHn9+N2OXly+wbi8SRIZgzds7u2YbGqCEMwNT3D&#10;1eu30i6QkWiUfZ+eoL62CkVROH+5FVVVqFlRDhKoqkxxYR5ZqfP10t4nOXnmMgV5fkbGJtixdT11&#10;NZULrHtfD5a7LT63i+Djjod61DaPfNtn3lwZMmTI8LVibszWrGBRAFUIUOZPuJkiSjAbzy5JpNIA&#10;i3nVLcQ9X4Zltsmi76UFayxyGZQWf7d85w9q68rwzwFZgiYPzGhwcspMk+7Oyyenopqh1ktIC+IJ&#10;P++4SgCyxYI1vxjVl4NhGPhtCs8VO9jgt35mFuEH2t6cGQlVUcw/qWL0sqLMEzsWi8rRU9e42dnD&#10;6y8/i9Nhx2a14HY6+PTYaa7f7OIbLz6N2+Xk8tXrPLF5XarGlIIALKrKd77xHH/+X+9is1mxqGq6&#10;fEqW18vLe59cVMNOtVjYs3MLVeWl8/Z7ajrA/iOnKcjPY03TSqYDQTq6b/PbDw7yo2+9jN1mRdN1&#10;Jqdm6BsYSmcuHBmdIBKJMh0IEEskMAwDTdOoLCue178/x8fep3aQ588mz5+Nz+tGVVWOnb7A6Ngk&#10;WzeuoaKsGLvNiiRJXGnroPt2PxVlxURjcYQxm/FQoOsGEhLKnPM59+kjjNlf2zzH1zu6yMvNQVFk&#10;JqamGBodo6XtBkLoDI9OMDkdoLOnl0RCAyS8Xhd/8J3XiERj3Lk7lE6pHo/FCQRDxGNxBodGMQwD&#10;q81KYX4uToedUDjK2YvX6OkboKGuGrfbgaLIVFeWEYpE8WdnYbNa0VMle34feGiB9bjE0WeZsx+H&#10;a8YD8UX6HmbIkCFDhi+NuVauewsXLQGW8pL4Al4CDyqwMmRYAosMW7MhogsuzoBiVcmvb2KoreUL&#10;2JpAdjixFZUjrDa8CuwtsrOr0IblIcqWLIckSQRDEY6fvkj/3WGSSY2W1puMT07Tc2cAwzDo6Opl&#10;XXMD8USSdz8+zLX2Tr75wh7yc3O4fecuumHW0vzWK8/z81++yfv7j/Da83v45kvPoCoKN271EI5G&#10;OX+5lcvX2vnhGy/zvddf4L/8f7/kT3/2AxrqqkkkkoQjUdavbmRwZJRINMZMIEg4EkUIg7qaCoLh&#10;MDaLBYfDzvjkFG++f4BAMMTPfvwtLBYL/uwsdm3bxLsff8ovfvM+33ntOTxuF1s2NLNhTWP6mC9f&#10;u0HbjU5ef/kZ3C4nAIoiY51TzFiSJArycwkEQ7S0tqMoCju3baSqrBiLarop2mxWLGaxJSLRGNc7&#10;uqgoLaIgL5czF67g9brxelyp/hafe8MwKC7MZ8OaVTicdhBmgpAbt7q5eOU62zetRZLgzfcOUFyY&#10;x3O7t9NYX4NFVTEMwTv7DhEKRfjxd15FliWcDjtlJUX84PUX09uYCQQZnZjkpWd3UV1ZZj5fJQmL&#10;qnJ3eATDMLBZrTyzaxtFhbkcOHoar9eDz+cxxei46Y64urGWFZVln/t6+/JZ/EZRH9S1buFMx/2+&#10;X27Zg2zrcbR5JMScP5k3YYYMGTL8XjPXCpYhw1cVmwx7csEqw7mgRE7dKqxuH8lwYFGdpkdFCAGS&#10;jOLNRi4oIcem8HKRlWeL7TiVxzM5ICGhqioWiwVVNS1Xe3ZuMbPOSRK6rmO1qKiKQiyeQFUUfvD6&#10;i1RVlHChpY1PjpykvKQIi6qSneXlx99+lZPnLqHpelq8jE1OcuFKK9WVFWzftAaX08H2TetIJDX+&#10;21//iv/jP/0pXbf7eeuDg6iqQjyZJBaL8Rd/9U+Mjk4wPXOGsxevIckSG9euYkNzIz//hzfx+7P5&#10;6Y/eICfLjMeSZZnSkkK+8eLTfHTgOL/4zQf8+Luv4PN4sFlheiZAS+sNzly8is/rweN24nQ4ljwv&#10;kWiM85dbudlpZj8sLMjl9PnL/PUv30plVUxwtf0WbpeDF599EpvFFF0VpcWcOneZvrvDvPLcbrJ9&#10;3tRvmbbX3zv3EnT23CEYCmG1WMx4VllmYGg4fUxWi4U//N5rSLL5O12+2s5bHx5CkSWGRsfRNJ3+&#10;wWEAXnv+KbZtWouqOtB0ne6ePo6ducj45DRZPg9O571jFUIgDIHDbuPJbRtIJJN8cvgkk1Mz/MF3&#10;XyUciREKR3jrg4NUlhWzY+vixCNfXaR5tRkXfRuOaYu+Xe5mup/YeZxt7tfufm1kaXlfyGW3I0DT&#10;BZohcNtVZHlxNeYMGTJkyJAhQ4bfBQLQDLgSELTcGePDv/wLbt/qRFXU+UF+6QniOTPFyxXCmvdR&#10;oKoqRc1r2fDKGzxVnc+2PCsWiccWd6VpOpPTM1hUFafTTGIgMVubzvx7PFV81uU0B+6mm5vEldab&#10;jE1M0tRQS0GeH0VRMAyDpKalXf8AOjp7cThs+HNMdzNVVdLbHhweobAgH0MYhEKRe+68KbfBedl0&#10;kLHbrBgY9A0MUVNZji3lnjcXwzBTzwdCYfJz/ekCucFQmI6uXqZnAtRVV1JWUrjseTQMg2RSwxAG&#10;qqKYhXnDEWKxGLNJb8x6WxI+jxtN182EEx4Xo2OTWKwWcrOz0sfa2XOHbJ+XnGwfimIu6xsYZCYY&#10;Ii8nG1W957g2HQgSDIVZVV8zz6pmHkOEyenpe7b32esLyPZ58aQsZrquMzA4QuuNW5QWF9LcWIcy&#10;R/gLIQiFI3Tf7qdh5QqEIRifnMLjcuHxuNENndGxSUbHJyjMz6Ugz/+1cREMRzUMA1R1Vn8s8ImY&#10;K7A+6zZ6UMvV522zVLsHafO5BJYucDtNX+CMwMqQIUOGDBkyfJXQhSAQivAP7x3gt/uOIisykBII&#10;83hwVxwBCF0n2+fmjeee5OVnn8TndKRLGTwu5u7jsmJDiHnCZ7bdbJp0WVbS5QqW6n92G5K0uE6Y&#10;YRiPJBYNIeYJhuW2O3ebQpgJdhCmS+P9BMPcfZ77ee4vuGx27dR2Z9vfOwfSvPNknj/StaoW7rss&#10;y4vOzdzzyay1f4nzO7uerhvIspQWdQv7MubEVs09X+li08JAkuV0TNfXgfkCa7F2kMIxTTzM4Swf&#10;4Pu7b/MoAssQoM8VWHLGVz5DhgwZMmTI8NVDCEE8qdPZN8jtu0NMB8P3Bq8L4g2lZYbmAgFCYAhQ&#10;FRm/z8OK0iIqivLSLmgZMmS4P1+YwPpdtVlq+azSf1QLlq4LkhmBlSFDhgwZMmT4ijM7668ZGqMT&#10;UwyOTjAxEySeSGCkvN0WxRiKVLSIBIos4bDZ8Gf5KM7Lwe/zoaiK2S4jrjJkeCBmBZaZf2QJgRVZ&#10;IgYLlhcy91v2ZbSZy1zz6WcJrOVNrAtcBD+HwIonEnx6/Cx7dm7BbrMt+j6RSDIyNk52lg9N07jZ&#10;eZu1zQ1YLSojYxPcHRxhbXMDsiwRi8cJBMMIAS6XA6/bRTQWo//uMLIsUVNVke5X1w3iiQSapqd/&#10;5NkHMJJAlsysNRaL6atsGIZ5LqRUgN5sLRhJmmeuNgyDQCiM2+nEYlEJR6Ikkxoet5NINE4gEEQX&#10;Bl6PG6/bNc8MfubiFaqrysnyejh5toUdW9alt7/otxGCYCjCxStt7Nm5ZclzG43G6Ortw+N2U1lW&#10;bGadGZugs+cOW9avxmq1LNlO0zT67g4Ti8VpXFl9398vHIlyZ2AIj9tJWXHhkt9HY3HcLid2m5X2&#10;jm5sNgulRYXYFtRuiCcShMMRPG43kgQzgRDxRBIhBKpq+o/ruoHT6SDL6/7a+BxnyJAhQ4bfPXNd&#10;7oQQxOJJpoMhpkNhwpEIkXgSLZlMu4BZVRWHw47b6cDnceFzO7FZrYtc8jJkyPBghKMawgBlGQvW&#10;566D9WUzV5Q97n4fBiEEd/rv8s6+I4BAliQSiSSHjp/l9Pkr5Of50TUNWVaorizlhWd2Eo3FOHHm&#10;EvFkkr27n+DU+SsEQ2HWNtXzyaenMAydDWtXEQiG+OTwSfYfOY3H5cTrdbN+dSMjoxN0dN1G0zTW&#10;rW4gP9fP+tWNyLLEoWNnaO/oIRqLE4ubIsBqtSBhBlxu3bCa55/eid1u44P9R7l4pZVwOIaiKmb6&#10;TyGIxRPIkkx+Xg4/+vYrFOb5+cc3P8LrcfPSs09y/WYX/YPDPP/0Dt7+6BBX2m6iJXUqSov41z/5&#10;Pj6vO31+Pth/lG+/+hwOm5Vfv7OPTetWYbGoaX/dlrYOTp27hEU1hVEgFOLY6Yu0tN3E5bBjCFMY&#10;rl/dwKZ1TYQjZurV8tJiigvymJoOcKd/kE+Pn0XXdRpXmkGaXs98oZdIarR3dDM5Nb2kwJr7kgqF&#10;I+Y2SgopLSpYtO74xCTv7PsUr8fNpnXN/PLNDxkdnyDPn4PdbsPQDarKS3hp7y5kWeLnv3ibxpXV&#10;lJUU8g+//QCr1YLdZqPrdh8FeTnYbDbWNdXz8nO7cNgfX+Xy2WOKJxL09A5gCIPqyrK06E8kkwwO&#10;jxEIBCkpKsCfkwWYftoTk9MMjoyRm5NFyZxzMD0TZGBwBKfTTklxwbJuJLPbHpuYQlUUsnyedNHF&#10;8YkpBodHyfJ5KSzIxbpEH7Ptb98ZYCYQorKiFJ/HlV5vYHCEkbFxykqKyPNnL+lrnyFDhgy/7yx8&#10;7jnsVhz2HIryctLLPivuKfPszJDh83E/PbKswHqQtOsLl/0u23wW92tjirb7ZNxZBrfbzbrmepKJ&#10;JH//5vvs2rqJ//wf/oTpYJBfvf0xu7dvpGaFacXRdZ2ZYIhcfzYnz12mu7efqooSOnv6mAmGuHTt&#10;Oq+9sIfB4VFsNitWq5XnnnqC6opS9h06QeuNTvw5Wex9ajtCwPDoOFevd+Bxu9i5dT3femUv+os6&#10;h46fZWxikmd3bSfXnw3ARwePoSU1NF3DZnXz7O5trGuu560PD1K3opINaxoxDJ1fvrWPVfU1bFyz&#10;ivy8HKwWCz/+zqu8+cEBrrTe5Hb/ACOjE3Td7iMYDPPTH75Bts/D2x8eWhAQCWo6s4+EoqrIkpzO&#10;JuN02MnLyaKpvpZwJEowFCbL5+Z//N43SGoaEhIul4Nsn5e83GxmAiEutLTR3TtAKBwlEU9w/Mwl&#10;kppGNBbjt+/tx+0+SVNDLd96eS8Oxz3roa7rGIaBRbXMCwidJRyJMjo+QSyWYHximtGxcVRF5mZn&#10;T8rapJKfm4PX46a8tJg//h++y/jkNPuPnGLjmlX4c7LYf+QkO7as4+7QKLFYHEM3yM/N5ac/ep1f&#10;v/sxM4EgVeWlPLt7KzPBML/4zXvs3LqBFRVl1NVUYLM+/srlg8Oj/Pe//Q3Do+NYLBa8Xhf/9mc/&#10;xGG38/7+Ixw6egavx4XFYuH7r7/ImlUrOXH2Mm99eBBZlhACnty+gddffIbWG7f47fsHmAkE0XWD&#10;tc0NfPcbz5ObEmazzAay3u4b4JdvfkRzYx0vP7sLi0Xi9PkrvPXhAaKxOJFIjGef2s5LzzxJls8z&#10;7zeJJ5L8zS/fpq2jC4BYPMGf/OR7NDfU8fZHhzh84hwOu43R8Qn+5R9+h+2b1qGqSmagkCFDhn+2&#10;LPf8yzwXM2T43TFPYN0vVuphYqIed5tHSXjx8IiHEleSJJGT5cXnddM/MEyB30/fwCClJQUMj4yj&#10;6zo+r4dEIklleTHTgRB/+Ys3CYUiFBfkcfpCC7IkI8sSt7p6Kczzc/Doac6cv8JPfvg6qqowMTnF&#10;6OQUdTWVANisVrxu00okhMBqUcnyutOF6PoGhhgdn6SitCidFlQIgaIoqKqSthhkeT3YbVZys7Mo&#10;zM+ltLgAIQT+bB/FBXkU5uea25+a5s7AIK+/9DTnW9q4frObialpfF4PgVCIC1fasFksxOMJAK53&#10;dDE8Mg6Q+tc8mbIE04EA7++/xOWr7fzHP/sJ5aVFFOb7+e9/+2umAyGKC/NBgCEMAsEQuqNEBG0A&#10;ACAASURBVGHwH//0pxiGwdDIOB3dvXT39iEQ7Ny6nj/6g2/R2XOH7ZvWcaOzh3A4wu4nNi3KYBON&#10;xRkeHSeZ1NA03bTWzWFoZIwDR04zMDhCOBJhdHyC7t5+bnT2YBgGY+OTvPDMTl585kksqoWW1g5a&#10;b9xi8/pmCvL8vLvvU0KhCB2dvdTXVlFXXUGuP4uR0QnCkSg/++Eb3LjVzYUr1/nwwDEkSWbbxnUk&#10;Ehp/+fe/4d/80Q+prSpfMvPOoxKJxjh1/gqRaJT/8n/+J6ang/zNr97l409PsHldM5evtfPv/tWP&#10;WVFVzkcHjrH/yCnsNitnL13l2d3beO2FPRw5eZ5T5y5zoaWV6x3dVJQW85MffpO2G13sP3ySy1fb&#10;2fvU9nnbDYUjfHzoBG/vO8TYxBSNK2tAMgsQHjl5ng1rm3hl7y7abnTx/idHaKitYv3qxnl9nLt0&#10;jY7uXv7NT7/Pypoq/uLn/8iRU+exWCzsP3KKP/sXP2JVfQ0Hj5zmN+99QlN9LTnZvsd27jJkyJAh&#10;Q4YMGR6E+0mGh3YRfJQ6vF9Wm8+N9HAbNQyDv/v1+6yoKGHrxjW03ehkdGySkbEJNq1rIhqNcfjE&#10;OdxuF1Vlxfg8Ll7du5vpQJDpmYCZGjMViOp1u3A6HVy+dgNN10GYNSEsFgtPP7kVWZI4d/ka7bfM&#10;mX2Py8WmtU3U1VSi6To9vf3sO3QCn9fNhrWr0A2DoeExbvcN0H27j9WNK3E6HMRicYLhCMFQmOlg&#10;iPHJKYZGxjEMnUAwzNjEFMOj43g9bmRJ4uTZFi62XOebLz2Dw26l/+4Iz+15gl+/8zFDQ6NIkpw+&#10;Zf13R7jZ2Y0QpqCSJLOY3djEFH/+F39NY101/+Hf/oTcnBzT2pHyG/e4neT6fYCUTsc6MjaZTqta&#10;XJjHK8/t5tr1W6xpXElRQR4fHz5Jts+L2+XAabdx/PQF8nNzaGqonZc+NBKJ0jcwRDQWY2xiiuLC&#10;vHm/Ye2KCmpXmPFs19pvcaXtJmub6lndWIdhGLz5wQGcDgcSEi2tNzh9oYU1TSu51d3Lb9/dT1Nj&#10;Lf/7v/9jrt3o4OzFq7S2d/LK87tRFJlfvvkha1fXk+vPRkpdL6oqoygykpzK77Qove7nR5IkCvP8&#10;vPbC09htNhQ1QrbPQzQWZ2omiMvhZGVNFQ6HnZoV5aZAjUbZvL6ZpvpaZEnGabdhtVjQDcGq+lq8&#10;bhc2qxWnw47DYUfTtUXbdTjs7HlyK82Ntbz38RGsqgoCRscmMYRBZVkxXo+b+tpK9h+xMD0TJKlp&#10;8+pvuJ0OXnpuN0WF+QBk+byMjE8wOjaBz+smPzcHRZZZt7qBn//yLSYmp8jO8mZmajNkyJAhQ4YM&#10;Xz7LCJbPHYP1uN31HnX92brVD70/n3Nc5nLYeebJrbS03cTptPPdbz5P641O3vnoEJvXNjEVCCAM&#10;MxHEi3uexON1EYnFcNhtaLrOnf4hWttvUbuigm+/tpe9u7fjsNswhMBqsyJLEr137pKbk0VhXi4l&#10;hWZcjGEYhCJRRsZMl72DR8/QUFvFUzu34HY6icXidPbcoeXaDeqqq9iwdhWqqnD1egcHj51meHSc&#10;voEhbnR0c+LcZQzDoKe3n5tdtzl04iw7Nq3j6V1b+dmP3uDS1XbGJ6e4frOb/rsj1FVXAvCNF/fg&#10;9Xp476NPAXjh6R288PQOAP7z//3fEIZACAOP28X/8qc/pbggb16thjt9g6ysqWRoZIzh4Yn0LynL&#10;Mqsba+nu7aeyvIREIknbzU5mAgHOXrzC2PgkA0MjvPD0TuLxBNFYHCHg5LnLVFeWpauICyEYGhlD&#10;kiTKS4q4caubwoLcJessCCGYmg4gAT6PaSXUNJ1EUkORZWRFpqmxllx/NlfbOui+3U9RYR6yLHHs&#10;zEWEEFRVlFJcmEeWz0NOlo+f/fgNrrXfIhKOmrUwJBl/djalRQWoqjLPlfFx4nTY2bltA2BalS5d&#10;uc7NWz38wfdeY3xyGqtVTSccURXzEZCT7WPbxrVpF7+zl67hcjpY11yP1+M2rXkTU5w610I8kaS+&#10;dgWaZloFARRFRlFVcnOysNuseNyudMHLWCKOJEsoihkbZ1EtqIpKIpkkHk9g6AYCUFWF9WtMi5am&#10;61y/2c2Zi1f51it7qakqYyYQor2jC5fTwfEzlxgbnyKe0L4IjZohQ4YMGTJkyPCZLDe/+9AC63EJ&#10;qs9K3f4wbaRllj8Qn3NwJkkS73z0KVMzAfbs3ML5y60IQ7CyupIPDhzFYrUgyzI2m5Wa6nIMwyDP&#10;n4Oh69zquUNreyc/+9EbrG2qB0lClmVCoTBCCIoL8ikpzKel9QZFBXkcP3OR6UAQt9OJbhg8sWkt&#10;HreTdc0N+LweTp9v4f/5y19gUVVAShePu3r9JjnZXrZtXMP61Q2sbapnaHSM9z4+zOb1q1nf3EA8&#10;keBvfvk2a5rr2bhmFdbUfgshyM3J4vCJc0xNB3C7nRw4ehoJ+GD/MSRJMgvqLcAwDJBMA43NZiXL&#10;60kvlySJaCzO/5WyatmsVnRdZ1Yiy4pMZ08fh0+c43/79/+KYCjMldabbNmwFrfLgSxJvPD0Dtpu&#10;duHP8XH9ZherG+tY27QyXc18NsvgrZ471NdWUVyYT0dXL6tW1lCQ719k8UhqGuOTU9jtNnL995I+&#10;GLqOqiqoiuli2dPbz7X2DspKCnHY7YyOTZLt8yBJMudb2vjpD1/Hn51lWpHyc9E0nbabnaiqSllJ&#10;IXcGhrh09TrZWR7cTicup/OxW19mBezI2ARvfXiI7tt9fP9bL9NQV82xUxcwDIFhmBe+kco2KUky&#10;0Vicy9fa2XfoBIX5fr7z2vN43C40Taej6zbvfnwYIQRvvPwsxQV57D9ymk+PnyWeSLB1wxpeeHoH&#10;uf7stBVyFlmSzRTBqT+GEAgEmqbz5vsHudZ+i1gsxnN7nmDPzi2oisK+T09w5MR59j61nS0bmnE5&#10;HXzntef47fsHeefjIxTl51JWUojNZskUBs+QIUOGDBky/A5ZbOJRHzS+6VFioh4m9urztHksLMz5&#10;/oAYQvDaC3u4MzDIB/uPsTGVBfDu0Cj/87/+Q/7p3Y8xhCAQDPPeJ4fp6e1HVRV03WB4dILJ6Rms&#10;FgufnjgPCKory9i1fWOqHoW5LxaLhWd2bSPL52F4dAJ/to9YPMGrLzyVrhSuaabL1nNPPWFamFLV&#10;vHVd55PDJ5maDpDUdCwWC5IkGBufxGq14HU7U/ujICumlUFVlXRM0J3+QQ4cPUU0GuOpHZspTrnn&#10;jY1NsrKmCt0w6L87ZJ66VDXvpKahafdE12yVbjCzwGVleVFlGa/HxZ/+7Ad8eOAYQyNjOJ0Okskk&#10;Xo+bZ3Zt5S//7rckEglCoTDNjXWEQmGKCvJ4Ztc2JqZmGBga4R/f/Ii83Bxee+Ep/DnZ6f0IR6Jc&#10;aGljbHySH7zxErIk0393mCOnzvHaC0/jsNvuVTkXgtt3BhifnKKhrhqn0wlALJFACIFFtcxzO6xb&#10;UcHObRuYnglw7lIrWzasobS4gJGxiVTqe/MSujs4wrv7DiPJEkUFudTXVLF5QzO/eXc/61c34Ha7&#10;yPWbYkzXdXTdSMeIzVqGZgVjMqmZVqIHiNUSQjAwOMLP/+Et/Dk+/td/9y/wZ/tIahpul5NoNEYg&#10;HCZbkQmHI4DAqqocP32Ro6cv8Oyu7ezcut68LgyDi1fa+PjTEzTUVfP8nh14PS6EEGxe10R1ZRmG&#10;MMjyevB63Evuj8vlRNcNItFYKvV/iFgigdvlZG1TPds2rcEwDHJzshFC8Fe/fJup6QB/8tPvU7Oi&#10;HIuqkkwmafr/2XvPJzvu9N7v0+HkHCbnhBnkRAAkwUwud7nalVZ7ZV/J1nWpbOud/RfY5fIf4PKb&#10;e11lV0l2XZWlKulK65V2tdpMckkQJPJgBpNzDifnzn7RZw4wRBwQBEXe/lQRu+hzfp3Q3ef37ed5&#10;vs/IIC+cOoplWuSLJf73//M/EgwEnPRABwcHBwcHh+fOU7kIHnRFBx3zuCnRo/pefSk8bY6hZREM&#10;2ClpHa3NnDt1jN1Mlu3dFF6vF6n+9t7v9/LWK+e5cOY4giCiairjU3NMzy3xh7/3TmOSGPB7cblc&#10;aJrOzbEp5hZWODIyyPZumpWNLdqamzBNA93QWVndQNV1hvq6ERDw+3zEopH9Rf8WRMIh22mNehd4&#10;VeX2xAzhYICmutMg2F3drb1mhPXvXhudoKujjWwmz8r6Frl8kXQmi6ppvPXaBSqVKj/+mZ3ely8U&#10;mV9a5froBHem5xCF71BvysVefdXf/vhfeOvVCxw7PISFQKVWY3JmnpGhAXq729nZTXPl5hhvXjyH&#10;WTfoOHb4EB1tLfzjz39bF2t2rU53Rxv/8JNf0drShM/rxTDsPmClcpXLV29x+840337rFdtAAzhz&#10;4jA//+3H/OqDS3zr9Zfxej1YQCqd4/L124SCAU4eOdTocJ/LFzEtC29djFn1/+/1etB1g1vj0xim&#10;iaZrlCoVwqEAnro1vmmafHJtlNbmBGtb2yRjUX75wSe8+uJZXC6ZoN/Ppc9uEgz4OTzUz+zCMtNz&#10;i7z39qu43S4+uXIT07J4/eUXsCyLn/zyA0YG+zg6MvjYS7JcqfL+pSsUS2X+7E/+gHK5QrlcIRIO&#10;0dwURxAFfvvhpxwdHuDarTu0JJOUyhUuXbnJseFBDg10s7a5hc/rpVZT+OzGbSKREOfPHCeXy1Ms&#10;lYlHwzQl4zQl4w/cB+ueO7i1OUEsEmZ0fJrmRJxb41NIokhLc5LO9tZ9EahfvH+J+aVV/ovff5eA&#10;38fa+hahoB9Jlvn3f/E3vHTuFKePjfCPP/sNAz1dROomLw4ODg4ODg4Oz49HN4762vXB+jLY627+&#10;tGNN02Kgt5v5xVU+uXoL0zQ5ffww+WKRSrWGLMu4ZJnOevNawzTJ5gqsrm+TiEUZrrsE7pHO5hAl&#10;kaPDg3zv269TLlf4xfuXUDWdk0cPcX10gs3tFB9/doNQMMBQfw+CANu7KS59VmFlbaNRl2KaJhOz&#10;C5w4cggEAUVV+dUHl9nc2uW733qVeCxaPw47XHZvm+VKpcry6jrfeuMlJrVFxqdniYSC1BSNcCgA&#10;QCabt3WpAD/66W9IZ3KcPnGYgd4u28FQtE08ZhaWCfp9rG3uEI9GsWw1hyRJvHDqOMtrGxRLJUzL&#10;5MSRYYrlCpquI0pio3aHugDMZHNcvjbKlRvjvHHxPLWawl/+9Y94982LxGMRfv3hZcYmZ/j+t9/k&#10;3OljjeM5MjyAqmn89Je/o1Cs8Hvfeo1ypco///pDdN3ge+++TiQcolKtkS8UuXLjNpVqjUg9vVHT&#10;dPq6OwgF/Hx6bZT5xVVOHR/hw8vXyBdKdHe0IQgCmq5TLJZZWF7lpRdOsrCyTrFctkVFUwJN0/H7&#10;vVw4e4JbY5P093SyvrnNlVt3ePu1l3C7XdyZnse0TF57+QVM0+Sz67cJ+n1PJLBM06RarVKpVvkP&#10;f/E3GKaFv14rePH8af7gvbf48c9+w6fXb9PX08kPv/cOuUIBVdO4cnOc62MTmKbJUH8Pp48fxrJg&#10;bmGF//AXf4NuGLQ2J/nuO6/aaa0PQJIkOttaSMZjCIKIz+vmD957i3/6+fv85V//CK/Xze9/+036&#10;ezruS++rKQqiKPCf/umX9XOp8dILp/j+t9/kj77/Ln//k1/ym999SltLE3/2Jz/A5/1y6tgcHBwc&#10;HBwcHB6O1fhTeICIEMo13Xoahz84mCY56JinsWYXhYcXmz10OxbohoVuWAT9MqL4oNP0YAzD4C//&#10;+kd8953X6Gy/25R1r6nqX/3dPwHwZ3/8g0YzV4B0JsePfvor1rd2uXj+NN9646V9683li9y4bU9y&#10;37h4nvGpWSZnFnj95RdoaUowPjlrNyEOBnjr1fMMD/YxM7/E+x99RqWmNOqdwLY939nNcP7MMV59&#10;8SzpTN42g+jr4viRQ/V6LdA0jZ/9+iMG+7oZHuxFlmVS6SzXRyc4c/IImqrh8dq1VFdujhP0+/B4&#10;3Pz9T37JkeFBvv3my5imhc/rRRQF/u+//hGvvnSWgd4u/uGnv+LO1Bwg0NwU58//3R+hawb//i//&#10;mv/hv/uv8PvuNtndq/f50T//hu7OVv7kD7+L2207zn382Q0ioSCVao3rtyd4942XeeHUUVKZLO9/&#10;dAVFVTl1/DBTswscOTTw0MbC03OLTM0uMjzYRyabYyeV4eKF0zQnEwCM3pnmNx9+Sq5Q4O3XXuLF&#10;syfweNxMzy/xu0vXSGWyNDcleOXCafp7OtENg6WVdT69dptKrcYP3nuLSrXG5MwCvd3tbG2nOTTY&#10;i8/j4dKVG9yZmuO/+bc/oKUpzm4qQ1trcyMV8O6O1v8Q4KDqvxGFbPQms8cLgoAoCvXzrKOqGj6f&#10;d5/xyN3aKbsr+b2pkdbePkGjvu8gmKZJTVFxyfJ9dvn79v2elNJ790MQhMZ+e72efQ2lHRwcHBwc&#10;HByeF+WqjmmCLIMoCPfpj6cSWM+Dg/TQ2ptCPo3AMi0wnlJgWZaFpmnIsrxvsrfXcLVcqeKt213f&#10;i2GYVCpVEGy79c9v0DRNNN02fXhYE1rbSIBGdEfXjXpj3PubrmqaXZ917yT+QZNjXdcR6r25nmTy&#10;rGk6lWqNYMB/N8pUR1E1ZElqrEvTdCws3C4XFvZEvlqt2Rbo92zLsixUzW4gvGcVbx+vVd8/OyIm&#10;iiLS5875XiPhJ534P6zLvabpKKqKy+XC4777b6fpOqqq43Y9XCAoioosS3WDEPaJFIBiuYwsSXjc&#10;nobYcXBweIbs3ddfQuroXuqrcN8vkL300cscHBwcHL4pPFZgVWr6AxMIn/Qn495lz2PMvXzel+JR&#10;Auuhgq0usLSnEFgODg4ODv86MOttITRVA0FAuucFj23AY9R70ckNsxjDMBpR3ka56J6Iqq/j3nWb&#10;lmknUtcdXw3DxLIMXC7356K9Foqq4PV4MU2zbkJ0zy+WICBL0jNtMO7g4ODg8PwoV3WsusASHiCw&#10;vnY1WI8uKXs6vpKmxg4ODg4Oz4xarUYmk2VhaRmvx0MiEcPv8+H1eqlWq+QKRcrlCr3dncTjMXRd&#10;Z3tnF1VVwbLTqe+NgMuyTFtrK263i2KpRLFQpFqtIoh2/7hkMkEqlaZcrjAyMmS32RBEBAFqisq1&#10;67e4+NJ5trd32dzatqP31l7OvkVTMkl7vS7XwcHBweHrx6P88R4qsB705cct+yrHPA5HQDk4ODh8&#10;c9E0lfmFRdKZLOFwCMMwiEYjlDe2KBaLRGNR2lpbCIaC9dYWBvlCgVq1hqbrrK6u09bags/nxQLc&#10;bjctzU2A3aZhc2urkZptGAZNzUlS6QylUonwZhDTtGhpbsblkimXy6QzWSrVKmvrGxQKBTo7OrCw&#10;08dTqTSVatURWA4ODg7fUL52EawvAzsqVpdgTjjLwcHB4WuHz+/H7/cjyzK6rhMI+Ekm4ig1BZ/P&#10;h9/nQ1Fq5HJ5EvE4gYCf40ePAFCtVlEUlZMnjhGJhO9bdyFfoFKpsrW1gyRJJJsSFPIFCoUCAJNT&#10;s5RKJd5683XKlQrj4xMUCgXm5hawTBNBELEwMXQDwzSRZOmh9bUODg4ODl9/9gmsR5XlHsR04lmP&#10;eRpHwYNjOeLKwcHB4euKBclEjEw2x9p6hpqiIMsylWoVy7JYX9+gpij09fYQi0aoVHQMwzYTKpbK&#10;6JpGuVxGqNfh7pkI+Xw+wpEwgYAfn8+DrptEImFk2cVuKs2733qLbCZLLl8gGgmjKCpDgwNkc3m6&#10;uzpZWFxq1HdtbG6DAH293cRjsYYxj4PDF8GqT190CzQLDBMMbBOvPUQBJAHke/5zfJYcHL4Yj7qF&#10;DhzBeqpevM9pzBdG+Co26uDg4ODwRTEMHQu7D5ssSY1IlmGaDA0OoCg18vkCnR1tyLLM9MwcuVwe&#10;sCiVyuRyBW6N3sHtceH1uLEsAb/fx7Gjh9nZ2cXj9tDb241lgcfrYWd3F8uySKczKDUFv99uOO/x&#10;uIlFI0iShCCIGKaJKIrIkohcN7UQBRFFUb66k+XwtWfPj0W1oGpAUYddDVIq5DUoG6CYtsiSBPCI&#10;EJQg5oKEG5JuCEnglcD1FA7MDg4OdR4iWL5wiuDzqId6ku8/tfGF81BxcHBw+NojiRIBvx/TMAmH&#10;QyTiMfx+PwCmaaAqWkP0iKJId1cnbW0tCAhMz8wRDoXQdB2Px0NvTxculwtJknC5ZELBAJFQiNn5&#10;Bdrb24iEQxQKBS6cO8vG5ha6rjMyfAiwG7SvrK1RKBRZWl7G0A0kSUTVdFRNQ6g3fHe73U4Ey+Gp&#10;sCxbPBV0WKrCQgW2FCgZdhSrblR5/7j6/7oFCMvQ4YU+H3T6ICTby53L0cHhYDzsnjmwwHpWgupx&#10;XUIOMuYLPQ+etSWhg4ODg8Nzx+1xE4lGWN/YQtM0srk8+UIRqx6hKpbKtLW2IIq2wAqFggCoqoqq&#10;qPT0dJHN5nC5XUSjEdxuD1bdWVDVNMbHJ6nVaoDA2NgEL144S1NTguWVFXK5AslkHIBcLs/2Tgq/&#10;z8fwoUFujY7R2dmJaRgEgwEAQsEgiUTcaZbtcGA0E/I6zJZhvAjbii2q9trUyE+QiWNYkNEgrcF0&#10;Cdp9cDQI/XWhJTuXpYPDE2MHsO4PY8lPWt/0NDVRB6m9+iJjngmfb6rl4ODg4PC1QlVUCoUCPr+f&#10;RDy277NarYaiKJimeff7msby8hoWEI1GyOXz9zQgt9P/IpEwba0tLC4u09XVjt/vp1qtEgj4MQwT&#10;l9tjuxIaBpIk0draQiwW5YMPP7YbqtcUisUSq6urdHZ2oGs6k9MzDA7009/X8/xOjsPXnooBy1W4&#10;koOVKpjYwkq+Z87yJK1sBOHuNEezYKkCmzXo98PpsB3Z8n3JLdosy0LVtHr6rNToV2fv3/2TsEql&#10;itvjRhLFB36uqiqWBW63a9/npmmiKCqCKOL53GcODl+UR0mGA0WwnibY87Axj7vEH9VY+EvhUWb2&#10;Dg4ODg7/6hEEAdO0KJfKSKLI3kNdwJ6gBYN21MqyLMrlCptb2yyvrDI02E8g4LejVapKpVKlWlMY&#10;vzPB6VMn8fq8hIJBVlbXUVWVzo52TNNiY2MTVVWJRiPMzy8yONCHy+VCUVQsyySdzuJ2u/B6PYTC&#10;Ybq7O1FVDU3TME3jqzxVDl8zChqMFuGznJ0KKAvwIA100HnanthSTZgq2TVcZyNwJAgB+dlOiUrl&#10;Crqu4/f7kCWJuYUVwqEA7a3NaJpOsVQmFArg9XhQVQ1FVRui6+rNMbo62mhOJhBFO0zn8bhxu2QE&#10;QWBheQ1dNxge6qNUrpAvlDAMA0VR2N7N0NHWzFC/80LD4dlz4D5Y/znhZAk6ODg4fP0RBAG3227o&#10;63a77WKV+nKP14Ms25MxwzBYWVlle3eXwcE+2ttbkWWZaCTC4tIyS8srKKqGLLlwezykUmkMwyAe&#10;ixGJhMkXimxubbO2vsmRkWEikRCXP71GNBohmYizsrpGIBCkUCzS2d6OIIrkcjnm5xfRdZ18sUhr&#10;W8tXfLYcvi5kNbichVsFOx3wy5i47Tld7qpwKWtHy05HICw9u7qs6blFNrZ2OXyon2Q8ysef3aC7&#10;ow2f18vG1i63J2Z45cJpers7mJ5bZHVjCwG7+fdvP/6M1uYkQ/09uF0uKrUag73dDA/2AnBrfIpq&#10;VaG7s43ZhWVu3Z5kZmGFcDBALBomEY8+m4NwcHgg998k8oMXP3z4QS3Tn2bMg9bxZbFPXDkugg4O&#10;Dg5fW9xuFz09XQgIeDwe7n3CR6JhvF4vrnqaUCweo7Org2Ag0KiFam9vRZIlqpUqIaCpKYm3npbU&#10;2dlOU1MSSZLQNI1SuUwsFiOZiCEIAmfPnsTQjXqTYhfHjx1GlET8Ph+Vao2Tx48Rj0cxTJNSsdyo&#10;x3JweBQFDT7KwO1C/U35E89RLDANLCwERBAfn/O3F80q6XA9bzsQnovadVnPAlXVWFheo1gqE42E&#10;2NzeRVEUDNNkezdNLl/AqKfwfnrtNtl8ntbmJtLZHAO9XQQCfkrlCoIAY5OzZHMFervbWdvYYnF5&#10;nZqiMr+4itfj4dBgH1dvjfP6S2c5OjKIIIhouo7b5Xo2B+Pg8Bie+rZ5XkLpSWqynMw+BwcHBwe3&#10;201XZ8cDP2v63N/bWu+PIMmyTEd7233L29pa79tO/HONgiPhuw2KD48c2veZx+MhFo00/h6NRHBw&#10;eBxlAz7NwVjxIOLKwlTK6NkUeiGLZeiIHh9yOIoUiiF6/DxuxiQIdgTrdtG2dz8TeTY1Wb3dHcwu&#10;rLCTyqBpOtFwiJqisrObxiVLnDhyiFgkjGVZJBNRjh8ZYqC3ix//7LccGuzl8KF+3C4ZEGhOJqhU&#10;a4iCwNZOmtnFFbBgbQHKRDW7c5tqTWFucQVV0xmbnOXG7Uk621v54fffwR1xBJbD80F+2G32qIa/&#10;D1v2PMbc+/eDiKpHORB+EXG2l8tvAuF73khaloVlWdRqCqIk4fW4932mqho1RSEcCj606NKyLAzD&#10;QNV0RFFsrMM0TWqKigD4fN7GtsBOhdkrFq3WaoiCiNfruW+dgijWaxTAMAz7rZFlj5cksbEegGpN&#10;QTcM/F4PkvTwp6yu6wiiSKVaxSXLSKKIJElUawqCIODzeh54rJZloWk6pXKFeOzxEw9N1ymXqwT8&#10;XlwPeRtlWRaarqNrOrIs43a7Gvtop/5IeOrn0zBMNE1DlETcLju9qKYoYNk9bR7m9FWtKRiGgdfj&#10;QZYf/etjWhaFQolg0N/ohePg4ODg4PAgdNN2CbxRsCNJjxNXlmVhqRVMpUx1+haVyatouV0sw0Dy&#10;+HAlWvEOnMB36DRyOPHY7QuC3VtrtABB2XYZ/KLugqFgANOy8Hk99HV3IIoCG1u7NCfjNCXjCIKA&#10;ruvoukFTIs7mdor1zR2u376DqmsUiyV7foNdU9mUtJ04X7lwhp/+6kOwLE4ePUQ6k+Oza6OiG0uM&#10;AAAgAElEQVR89+1Xicci/PRXH/LGK+fx3zMXcnB4FjxKQ3ztarCexCHnoDxVI2TLQlE1dlJppucW&#10;KRTLXDhzHJfLhSgK7KazaKpOOpujp6udgd6ufWPT2Ty3xqd46YWTxKLhfevWdXvc1naaYrmMqul0&#10;trfQFI+haTp+v5e5xRUEQeDk0WFyhSKbW7vUFJWmZAyf10M2W2B+aRWPx01HWzORcIh4NIIkS6yu&#10;b6HpOh1tLfi8HhaW19jZzTR6shwa7CERizbE0MLyKrl8keOHhwgG/Pedi73v7aYy1FSNtc0tkvEY&#10;iqoyMtDHrbEpwqEAxw4PNY5fNwyKpTKWadXPR47LV2/x3tuvIst2Za0oigR8vkb6gGXalsn5QomJ&#10;mXkGertoTsZtcSkIBHxeQqEgqXSW3XSWYsl+GPd2teP3+RBEW3guLK+TiEYY6OuiVlPY2kmxurFF&#10;LBKmqb6+lfVNfF4vhwZ68NT71eSLJcrlSuN6WVrbIJ3J09/TSSwSBixMyyISCiKKIrl8Ad0wEbBF&#10;4afXxzh+eJBoONQ4D4GAj3gs2hC7zxLTNKnWFLAsfD5vQyiapomqauiGgcftxuWSG/uj6TqqouFy&#10;yQ0BSn3/FUVFkiQ8btdj7aVVTUNAQJalxvWhaZotbmUJt+vR66jWFHRdx+f1NgQ/gKKoKKqK7556&#10;GgcHB4dvGhsKXM3b5hOPf8pZmJUClfFP0fO7VKauYZQLCKKEJQjoag29kEbZXsEoFwhfeBfRF3yi&#10;yVRGtyNoTW5o8zx9PZam6dwcm+TytVuEAn503SBfLDEzt0SlWqMpEcPr9RCLholGwrhdMqZlMnpn&#10;Go/Hjc/rYWsnhd/vQ5IkLMuyX2wKAivrmxQK9u/9ZzfGbKObao23X3sRBLh09SbLq+sMD/bS2uyI&#10;LIdnx6P88R4qsB705cct+yrHPI4vYxqWLxT5ze8+ZWc3QyqTo1Ao0dQUx9RNxqfnaGlK4JZlOtpa&#10;0HSd7Z00iqIgiiJbOykufXaDYqnEuVPHoB518nk9BPx+llY2+OCTq2xtpxjo7SIZj7K4ss780ir9&#10;PR3MLq7gkmVOHh0mm8vz6fVRZudXOHvqCN0dbYxNzHBrfJpgwE8iHqG3u4PXX3qBeDzK1k6Kiel5&#10;zp0+ztBADx9cuko6kyMeDTO7uMIfff9bRCPhxgR4dmGFqZkFlHrE7V4sC/p7bYGxWV/vdipDSzJO&#10;OpOju6ONj6/cIBGNIogCAgIDfV3s7GZ4/9IVInWxkcsX+OjTG3i9Xnw+D4Zhous6J48NEwmF+OTK&#10;TSrVGtlcAcuyyOTyLK6s43G7cLtdRMNhujpaOToyyPTcEp9eu0U6m+Pc6eM0JxMsr26SyeVpTsaZ&#10;mV+mt6eDgb4uMrk8n90Y48btCTrammlOJAgEfMwvreL3edE0nWDAR3MyztLKBnOLKxRKZUrliu1U&#10;VCyxsbkDAsiyhNfj4fSxEbxeD7cnZiiVKlimiarpjN6ZZmc3TSwaQpYkLCz6e7o4f/o4kvvZCSxb&#10;/KvMLiyzsraJIIh0trcwPNCLKIqsb24zPb+Eqmo0JWKMDPURCgVJZ3LMzC+RzRUIBf0M9ffQ1tJE&#10;oVhmdnGZ7Z00HreLvp5OujvbHprLXqnWmJyZJxIO0dvdgSxJZHJ5pueWSKWzeD1uDg300t7a3BB3&#10;e5imycraJnNLq1SrVRLxGEeHBwiFgmxt7zI9t2Q7TQUDHD9yiHg07PQScnBw+EZRM2xxldXqb8gf&#10;O4ExqS1OkPvox2AamBYg2c9nYW8FloBZK1Oe+Ax3cyf+I+d4klRBy7LF3mQJ4i7wPmUCRiqTZfTO&#10;NJVKlUP9PXS2t+DPetneSdGSjNPW2kwyHqUpEcftdnH+7AmO12ps7ezy0rmTHBsZ4ub4JC+fO4XP&#10;68Xr8SBJIpqmc2t8iu6uNtqbm5AliWyxgCxLmJbFwtIqHpe78RvS2px8ugNwcDgg0v/0P/8v/+tX&#10;vRPPgr1nyNO8XbEsMCwBt0usO9Y82TjDMBmbmiUaDvPqS2eZmJ5noLeTlbVN4rEIf/h7b3Pu9DGa&#10;EjEqlSqfXL3J9dsTXB+9Q6FYRlU11ja2SWVyXB+dYHV9E0XVaG9twu/zYhgmtZrCqeMjjAz2Ikr2&#10;5HhrN4Wu6fi8HkaG+vH5fNRqCjVFpbO9BVmWqVZrZPMFIuEgumGym7JtSpPxGE3JOIqqNty2JqcX&#10;eOXCGb715sssLK0SjYRpaUrgqkcIbtyeYG1jm1pNZTedZWsn1fhvY2uH1uYk0UiY7d00E7MLTE4v&#10;kC+USCZi9HS28cGlqwiCwPjULFOzi5w5foSp2UV+8ov36evuoFypIooifd2d9XQ9O1pyZ3oOl8vF&#10;yGAfmqah6zozC8vIsswbr5xHkiTGp+ZoSsQZ6OumvTVJPBbB43ah6TqarvPai2dpb2vGNE1WN7ZI&#10;ZXMYpkkiFqG9tZmd3TQLS6vspDIUimUKxSKBgJ90JsduOsvC0iobW7t0tDXj93nJF0pMzS6yub3L&#10;YG8XR4b78Xm93J6YIZXO0tPRRl9Pp20163ZTLFcoFktIkkhnRws+jwfDMNB1g8ND/bS3NhONhJ6p&#10;SDAMg5mFFf72x/+CqmqkMnlujk3QXE/B+Kefv8/03BKqpnFnaq5xPj68dI3L10YxTYvpuSV2Umk6&#10;21oYvTPNbz+6gqKqLK6ssby2SWtz8r7Iq6brbGxuc/naKD/+2W/xeT0M9fVgmhbvf3yFT67eolpT&#10;mJ5bYns3TUdbC6Ggf18Uans3zd/9+Ods7aSoKSqXrtzE7/cSj0X4h5/8koXlNQzD5NrNcao1hcG+&#10;7kYPFQcHB4dvAnMVu9eVXn81/ti2NqZB6caHqOvzxEICsRDouj2vMS17jmPV12JqGgLg7TuKID2+&#10;HkkQ7HRFHUi4IOZ6unlWNl8ABMqVKpIk4fd5KJYqbO2kCIeCeDwuPB43ba1N+Lx26cOtsSmm55a4&#10;eOEMd6bn2NpJMdTfw53JOdxuF36fF0VR2d7N4KpnRnzv3dcZ7O/h+u0JXn3xDNu7aVY3tvhv/+SH&#10;JOPRR5Y5ODgcBE03sSwQxb3ynP2f73t9/Kimvg/77HmM+aIuhE+GdeBcQcPQsUyLje0dujvb2E1n&#10;cblkLCxy+SKz88sYhkEoGKCnq53+HjtN8HefXOPo8CAvnDoKWCytbjK3uMKxw0P0dXcgCAI7uxkW&#10;ltdYWl3H5/Xg93kJh4KMDPYBcPvOzJ4DMdlcnomZeVyyRHNTguXVDbZ30xSK5YYjjygIKKrG5vYu&#10;61s7BIMB2lubGB2fJhwK0NaSxON205SMs7K2QTIeZWigF5/XQ6FY4uSxYc6cOILv3hzmel1VKBBA&#10;EkV03aBUqpArFDFNi8G+LnZSabZ3Uvz3f/pv+PWHl/H7fQSDfkLBAG+/+iLnTx/nzvR8o3lgpaZQ&#10;Kpc5dniQjvaWRh2XYZqUK1XaWprI5QsUikXKlQo+r5dIOEi+UKS7sxVdN1jb2GJ+aZXF5XVujU9R&#10;U1S8Hjenjo2QyeWZmV8C7HSzXL5Yjz7J5PJF4tEwqXSWTK7Ai2dPNERqIhEjHAywtrkNlsVQXzfN&#10;yTiSJOFyQV93B1vbKURRJFS3hU3GY4xPz5HKZGlKJpABQRRQaxora1v88Pfe+VKsYxVVY35plVDA&#10;z5//6R+RzRf5f//+J3x2Y4yzJ48yv7TGn/+7H9LZ3sqvPrzM1ZvjtDYn2dje5ZUXz/DGyy/wu8vX&#10;uXTlJtPzS2xupxjo6+TffO9bTEzP84v3LzG7sEx/T+e+7WqaztzSKtdHJ9jeTWOa9gWayeUZvTPN&#10;keEBvvPmRWYWlvlP//gLVje2aG1JIt3zVJpfWqWqqPzbH3yH3q4O/q+/+jtGx6eJRcKM3pnmf/zz&#10;/5rhgT4uX7vFX/3tP/HaSy/Q2vz4egIHBweHrwOqaafk1UzqddGPH2MZFkYpD6LAkW6DE/0m8xsi&#10;2zmBUk1A1cCwwDKhqlpUM5sY+TRiS6fdrfgJyKiwULGbED9NFKurvZVIKMjM/BKlUgUs+8Aa9ePY&#10;GQyGYWKaJstrdhbP0ZFBqlWFyZkFXn/5HC5Z5sbtCRZX1viD994i4Pfxyoun+dmvP6JWr/e+Mz1n&#10;v+Ssz1f2tuH+nDGNg8MX5VG354FrsJ6qXuk5jfnCHNDxIl8s14syDf7j3/4jp46NsLWTRlFUFpZW&#10;MU2TiZl53n39Zfp6Ojl+eIiu9hZqVQXLsjh1bARFVSmWKhw5NMC337yIyyVTqyl4vG50w2BrO8Vg&#10;bzeCKDC/tEoqneXE0eH6g8N+aKQzOUrlCoqisrWzS0drMzVFYXNnl1AwSDQSoqO1mf6eTjZ3Uty4&#10;PUG5XOXt116kUCoTj0ZIZ/Nk80XCwSCZbIFS2U5tA5BkmVQmx+07M/eYOQgUSiWG+ro5dXwEy7IF&#10;1pHhASKhIH6fl472FtY3dyhXanUh4mKovwdZkhjq76ajtZlCsWibUQgCu+kMM3PLmKbBUF83Z44f&#10;BqBarTE6Po1lWbTXj00URDxuN4lYBFEUmV9ew+fz0pJM4HK5KJUrpNIZDNPEtEzGJ2cRRYGerg7c&#10;sv3WzuWS8fk8yJJErabgdsl0tLfYhbRYeL1u/KqXtuYk4WAAy7Lw+7wkkzEURWFpbQO3y4XH7SIR&#10;i5CMRxsGJmALOFmSCAYC+H0eXLJsp4IC4WAQRVUxTBPxHkORZ4EsSQz0dDLQ04nb7aZaq2GZFj6v&#10;l0KxhM/noaezA6/PQ2d7CzduT2AYJhfPn6a3qw1dN6jWFFwumVAgwKnjw/h9XiTRNiyRJDsV8vN4&#10;3C5OHR2hs62F/++ff9O4VjK5PJZp0tacJBDw09vVgdvtplQqY+jGvvTIlmSc777zKm0tTdQUBU3T&#10;CAb8qJre2K4oCiRiUba2d8kVCrQ0xZ0IloODwzeCLQXWavVf9yd8rNWlCpJo0ddicmpQ41iXQLEq&#10;UKxBRRHQDAHThK0sfLRUxawU7BTAJ1m/AIpppwqmVOj0Hfy49sy3xPqL2WDAj2EaxKIRwqEg4VAQ&#10;TTfI5gt4PR4+/uym/VJ5qJ9//tXvqCkqmWyeYqmM3+fl2q07vHDqKIcG++waa0FAkiRyhSIff3qD&#10;i+dP2yZYTqNThy8Z4SGC5QubXDyPeqh/rVOnRDzCyFAf8WiEqblFzpw4jN/nJZsr8OpLZzlx+BCr&#10;G1u8++bLDQfAQMDPkZFBfvXBJSZm5pFlmcmZBc6fPtaoR/F43DQl4rZQ8fuQJNvs4cyJI4xPzrCz&#10;m0LTNUzTdruLhEO8ePYkk7PzrG/u4Ha5KFeq9VQ7hXCwleZkHJdLZmSwD0EQ+OjydWRZoqezjV9/&#10;eJmpuUXCITsSFA4F6e3uwO+3n6Ivnj3B1k4K0zQBwf73qKf8VSpVDg8PIMsy+WKR7o42Vtc3OTI8&#10;QCwaZmZ+iW+/dZFLV26xm8rQ+soFAFyyjOySSMRjvHrBNsT4l998TE9nK6+8eJbOthZM08Tn9dQn&#10;+y78Pg81xS6GPX3iMDu7aYpFu1t7IhZBEGxXxeamBH6fl0DdkMMWPzGmZhZIZbJohi0gNE0nmyuw&#10;trFNKGhP4jVN49zp43S0tbC6voWqahwe6kcQBERRpLU5iaEbmKZliwzLQtMNtnY3EQWBH37vHZrr&#10;EZUbtyfRVA2XLJPNFhrXjSVAa3OSy1dHef3iOeLRyDNr5Lh3/Rw7PISqaszML/Hp9VEAXjh1lKXV&#10;dWRZso0joJGaGA4FGOrvIZcvcvnaKNNziwz0dnNooAe/30exVObWnSmuj07QFI8z2NfN6sYWm1u7&#10;GIZJUzJGZ3sLsWgYWZYI+L17R4um6SAKiJK9LVmSEEURVdWYW1yhWK5gGAYdbc10d7XjkmU2tna4&#10;NnqHTDbPH7x3lq6OVqKRMB99ep3NrV27hkzTMQ2zEcl1cHBw+DpjYUeJqgZPHL0CQALJHyQeNOlt&#10;NhFMcEkQD1nEQ9RngPYWMiWB9arBuqAf6NlpYdeEbSnQ7gXxKX6zXC4XHW0tZHJ5DMMg4Pdx6tgI&#10;siSh192MFUVF13W621sZ6OvC6/UQj4aJRyNUqlW8lofhoT6CwQC6bke7kCQ6WpsxTJNqVWFooJcX&#10;Th1DEkUS8SiH+nuf6W+sg8M+HnJtHVhgPStB9ag0wYOO+aruG0M3mJpZIJMvoCgqN25PMtTfjapp&#10;NCXiBAJ+PB43Ab+vMZF1yTJ93R0cOTTIP//qd0TCQZoTMY4fuds3pVSuMD45y24qw9GRAcLhIIsr&#10;a7ZDXTjETirD7MIKoiiysbWLpukUSiXcbjc+rxddN1AUFdO0MAwTRdXIF0vUFNXOdXa7Gu5uXR1t&#10;9QiLl+NHDvHptVFEUUQURYqlsu04qOkkY3YqmwWIosBAbxeqqpDJFRAASRRpSsT48JNrbO6kaGne&#10;5OqtO/zgvbfw+738b//H/4NLdtHZ3oKF3avi9sQMUr35oaIofHjpKi+cPsbq+iaLy2uIoshgXzct&#10;zQlM02AnlUESRTweD+OTs9QUFVmWKRRLUI8CZXN5xiZmMC2LkaF+PG43s/MrdHe2EYuGWVxZZ3Zh&#10;iZqi0NfdgapqDPX3EAz6mZxZwO1y0dqcJBIOcmt82v73uSdCUlNUSuUKsahdp4Zlp/3ZJiYpTMN+&#10;Q2cYBh9evkpLUwK/32enImLVnY9kkokov/zwE0YO9RGLhIBnlxdu28yr3Byb5PqtO7hcMr//nTfo&#10;6WpnZX0DXdcxDAPLkjEME8uykESJze1dLl8bZW1jm6H+bi5eOIPP5yWdyXFt9A6TMws0JeO8euEM&#10;TYkYN25PcH10AlXTOTLcb7tAeTz1tgF390eWJSzTqoshC93QMU0DQRBYWl1nYWkdVVU5d+Y4iViU&#10;haVVPrk6SjaX5903L3JkeBCP286tvz56h7GpWQJ+Hy3NCbwej/PD6eDg8I1ANe3o1RNm7QH1eZEo&#10;Eu9q40zAoC1ugSnc8yH7ojheFwx1iuQjPsrWk8+fBGzzjZQGqgXep3juej0e3nzlPC6Xa1/rmvuO&#10;ybJ47eUXEAQB0zT54z/8bn1ecjfbQ1U1zPrvKcCJo8OAPcfq6mhtzHH6ezppb212shwcvmTuD2PJ&#10;T1rf9DQ1UQepvfoiY54pB8hNDAYDRCNhWlua2N5J097SRDwWYWxilqZEDMMw7NKuz70mcrtdNCXj&#10;bGztsLiyxh//4L1GrRRAsVSmWCpzaKCXQrHE0ZFBQkE/o3dmKJZsc4xsvmBHbYBgwM/K+hYra5u8&#10;dO4kbreLUDBgW5v6PETCQcR6fwnqh2cYBqvrm7S1JHnjlXPcvD3J9NwiYEc64rEImUyeqVnbsOJe&#10;f3xZlmhtTlKp1vD7vIj1V1mxSITFlXXOnT6GYRhs7aQIBQNEwnbo3+WyHf8EQBREXLLcEJ6GYfeq&#10;8tZ7Zcn1PlqiKIJl10gdOzyEx+3ip7/8kNbmZMOI4ve/8wZTs0uYpkWhVEbVNI6PDLGbznDu9DEK&#10;hRLXRu+gqhq5fIFSqWKLQkmiKRkHYGpuke3dNAGfj1Q6i8/ntXtjieK+XluiYIupVDqLKIhYWAiC&#10;yG69ceLetWOnQohcPH+a6dklNE0nFg2hGyYbWztcvHCa25Mz9eLjvX/zCi1NCURRIJ3JYQHJeo3W&#10;5tYuwaD/PhfHB6HrBlNzi/z8Nx9x6thhXn3pLJFwEMu0CIdC1GoKqxtbtLc2s7W9iyzbdYMffXqd&#10;lbUt3nrtAkeG+nG7XVQqVa7dGufm2BTnTh/jzIkjBAO2McXwYB9tLU2YlkUw4G9EPPeOf49oOGTX&#10;FaYyVCo1Vje2UVSNcDjIYF83R4YHsUyTSDhEKpPlJ7/4kGgkxA/ee8t2GpRlaopKrabw7hsvEwmH&#10;mJlfIhmPEQoFnB9OBweHbwRFHXLa/vTAJ2tNIxIfGOBCVwCXVAAebprkkgWSHXEIJA+UPicIttFF&#10;ToOSDt6nKGeSJLtG+fHbuvtM33vh+3n2elvu4fd57/sO2BkdnkeIOQeHL8KjbqEDRbCeJhPnYWMe&#10;64rzFGO+MAcs/MrlCozemeK777yGLMsEA35ujk1SrdVobkpQKpXvrrpem7OTss0r5hZXOHPiCG6X&#10;zPTcIjVFYWSwj/ZWu2fVC6eOkS8UuHTlFrIs0dbShFUXGoIA0RshvF4Pvd0dZHN5DF0nXyhSKlfx&#10;uN0EfD5ikTDBgI9IKIjX60EURSzL7tW0k8qQzuZoa2kmEgqQyuS4OTbJ0eFBXLKMZVpEIiEunD1h&#10;C4c6pmV7EblkmfXNHU4eHW648rS1NNHf08X2TppsPs/hQwO4ZInroxOEggFEQeDm2CSnjo0w0NfF&#10;QN/d3mDFUpmxyVleOX+aI8MD+85zKpMD7AdlwOcjHLSPx++rH5un3sDYMmlKxLh4/jTbu2k2t3fx&#10;ejxEO0PILpmg30cmV2B0fIrB/m5am5Nksnmy+QLZfMF+89XZimGa3BybtB0YdZ07U7P4Th0jGPBj&#10;YeGSZULBAE3JGFY9gqWoCun6fjYQwDBN8qUSmm7XENliqoShGxjGXVE9PbfEzbFJ/vSPvofX6+Hj&#10;z25gmhY/+O5bmJbFP/78fc6ePMz5Mycee11WazWu3RxjayeF2y1z9eYYkiQx0NtFe0sTbS1N/OL9&#10;S3S0tjC3uMLR4QGq1Zqd/peIs5vK8tvtKyTjUULBAGOTsxRLZao1hU+u3CQQ8DM82EtbS9N9ToL2&#10;YQu4XK56Q2WBRDzKUH8PswvLtg37+hatzUnbFj+5v37qk6u3WFxe48UXTjA9v8TEzDxdHW30dLZz&#10;e2KG2YVlutpbuDk+xbnTxwkHHYHl4ODwzSCnQdXcX9PxuHmXUP+z5O9gRTxD1PwQ6YGTGQsLi4oQ&#10;ZtlzhrIYOfCcyrSgbNgCK+loFgcH4Cn6YDk8nvXNHdpamylXqrjdMmdOHGFpdZ3O9lbCoQDFYhmx&#10;PvmrVGtcH73D0uoGmqbT1d7ChbMnkGWZ0fEpJqbn2UllGOjp4vSJw7S3NlGuVOwojiASCYf29Yzy&#10;ej1IdcG0trGNJEmcOHIIXdcpliq4ZIlENILH68a0LGo1hXK5ih4zEEXRfvsf9LOxtcPYZI5wKMjv&#10;fet1qjV7ol2pVjkyPEhHW0vjeKu1GpOzi5TLFbKTs6iq1qiZMU2TydkFIuEgm9s7tDY3AXBnep5L&#10;V27y7TcvYpkW7390heZkgq6OVsB2DdpNZxmbnKGmqvge8BZKqLv8yZJEZ3sLZ08dAcsiFg3TlIyx&#10;vLpJOp2lq72FUDBAKBhgN51Fqtf8xGMR4rEIYAtdt9uFIAh4PW7blCMcJF8oEQkHOTYyyK3xaaq1&#10;Gt995zVSmRwLy2u0NiUZHuoDCyKREEeG+hka6LGvg60dNrd2CAUDtpFFHakefTt74gibW7sg2Ns/&#10;c+Io03OL6Jpui0MEXC7ZjgDVrxevx4N5j7tSwO97aN+pzyNJEt2dbRiGSTqTx7RMPG437a3NdHW0&#10;8t7br3L11jjZfIEjwwO8ePYEVUXh+JFD6JrO9m6q0cQxGgkzMtTP5vYu6UwOwzSIahqKqj50+y63&#10;i1PHR4iGg0iS7QL5xsvnuHprnJ3dNIlYhLMnj9Lecn/aRnMyzrkzxzAMk51UBkM3iEbCeD1uvv3W&#10;Ra5cH2Ntc4dDA728cfG84wrl4ODwjSGv225/B0dAwcdV1zuE1BTd5gxuQeFelWYiUBKiTIoXmJRf&#10;wBLEp3pprZpQMZ5mHx0cvsncfzcJ5ZpuHeQmexrL9Oc1RnyKPlimBYZhoRsWQb9s5/g+yf5ZFmub&#10;23a/pqlZvF4Pb7/2EnPzy7jdLnp7Oslk8nz82Q2+/503KJcrfPzZTWRJZHioj6721nvS4wx201km&#10;Z+ZRNZ3zp48Ti4btaNfSKl0drfuETqVaY3Z+GUEUODYyyPLqBpVqlY72VrLZPKsb25TK5YbzvGkY&#10;CKLIoYEe+ro7qdZqlMoVTNNianYB0zQ5OjJIS1OSVCbL2MQMXq+Hk0eH96WklcoVrt26Q75QxLKg&#10;q6OFoyNDeDxuTMPk4ys3qNUUjo0MEotGmFtcplpVUDWNl8+fRgA+uHSV3u6OhsW3aZosrqzz2fXb&#10;eD0evvP2K/eF+suVKhPTdr+r3u6OfZ9lsnkuXxvFskwunD1JUyIGwPrmNstrmxwdHiQSvnsM6UyO&#10;xeU1YrEIA71d6LrO7MIyM/PL9Pd20ZyIs7S6TjIRo7erHUVVmZ5bIhYJ09XRRjaXZ3p+ib7uDtpb&#10;mwGYmJ7n9sQ07a3NnD5+mFAwgGEYvP/xlfp5TexLcUhnc3z86Q0EQeCNi+cI1R0KLctCrNvVG4YJ&#10;Ag2Bbppmw2jjSa5N0zQxTfuNJdhRJVEUkSRblOu6jqrpDaFuWhamYdj7UV+PWN+evb695Zbt1vSQ&#10;tA17+2BZZr0vxN27yTAMlLrpx15+/Oexa8LM/fshig0bf03TUOs94JwGww4ODt8kPkrDR1l7XvJ0&#10;KTsGHfosx/TLtJtz+M0coqWjCT4KYjOL0lEm5AtkpdZHJBE+HNOCqAtejcHpyNPsn4PDN4dyVcc0&#10;QZapu0Hv//ypBdZXNeZhfbLsup7nJ7Aa27Ys8oUiAb+vUWy5Z0dqmhZKPSpjmXYD3UflApumiW4Y&#10;SJKEJIoYpmnbWNejAPduU9ftV0h7zoNPg1F37dlzdfv8+iVp/yTawkLXdEyLev3U/jOlalqjOfG9&#10;x3TvRHsvRVGqr9eyLDRdp1qt4fN678urvrs/el0g7DeDMAzDNruQpH3n1jDsFDxZ3n9spmmi6wai&#10;aNd57W3fMi1crrv7fu8x3K0nEjBNu0mw7cRn74ttJ25P+veugT2jCZdLboiDPXTDoFKp4vN6Hyo0&#10;HBwcHBz+8+K3Kbics+clB/9ZsDANHaNawlPaIFGZJmFs45UMipaftNxNNnQII5BEcnsR6hkWB8G0&#10;ICzDKzF44dm3cHRw+FqxJ7Bc8oMbDQuVmv7AW+xRDX8ftux5jLkX4Z7PHiewHirY7qIVsVEAACAA&#10;SURBVBFYgacQWA4ODg4ODg4OX5T303A5a6cJPrHAEixMRUHN7lBLb6NmUqilPH5J4MxQN/GQn/V0&#10;ntuLmxguN55IHE+8GU+iGTkYRZCkJxZalgUhR2A5OAC2wLLqEawHCSwZvliE6SA8izFP5qjzxbbh&#10;4ODg4ODg4PA8ce+9JH7iSYmFktmhsjJPZWMJJZfCVGsIlsXwoX7eO3uEgN/L+k6KnbUVppYWqLo9&#10;uAIhvMl2/F0D+Nq6kbz+J9qmhf0iW3aysx0cAPueOLDJxYO+/LhlX+WYx3EQa3gHBwcHBwcHh+eJ&#10;X3rS+YgFlkV1a4Xc5E2qWyuYqlIfLIAoIskyfp8Xj9tNOBjE4/GAIGIZBmo+i1bKU8vsECpkCQ0c&#10;Rg5Gn0hkuQTwOgLLweGxiGDfkwcVGf+axzwNFsJdKerg4ODg4ODg8ByJukAWnmzOU9lYInPzY8or&#10;s5iagiDur3Ve3txhfnUDTdeZX91geXOnUYgviAKWaaHmdslP3SA/eQu9mHuiDXslWwg6ODg8mn3v&#10;IR6lLx722fMYYz1k+bPFUVYODg4ODg4OXw1Rly1eLOEhdecCCCIoqW0ytz6htruxT1jtfQcBiuUK&#10;6ztpNN1gcX2TfLF0jzGV0DCfMmoVigt3KMyNYyoVBLG+nQdsXxQgKNl1WA4ODo9+J3Hg2+Rp3EOf&#10;x5hnIo+eV7jMwcHBwcHBweEegpLdwDej2YYSjTZWpomuVAEwNYXU6GXKWysIgniP25fQ6FBsWRaW&#10;JCEIUKlUMU0LwzDsle5zD7OVlF4qkpsdB4+fQPcggmi770ouN4Joh6ssC9wixFwQeAYRLNO02Nze&#10;JRj0E7mnHcy95AtFSuUKyXis4RK8m86g6wbJRKzRd1LTdKq1GqZpAnaPS4/H3RCei8trtDQl8Pm8&#10;DZfn1Y0tmpNxZFmmWq3VtyggigIuWX6go7Gm6aSzOURRpDkZv+9zXdepVGtIktRwmI5GwgT8vgce&#10;yx57rtN7M1+h3jPT3lcay8XPiWmwW5ssr66TiMf2taR5FqysbSKKIh1t9/estCyLYqlMJlegt6u9&#10;vi8GuXwBTTdobU4+dL2GYVCp1jAMA0EQGy1qfF43LpcLVdOoVhVcLhlN1ymVysRjUXxeD5lcnpqi&#10;koxHcckyqqah1FRMLLxuN26PG8uy2NlN4/N6iEbCz/ScPAjhIYLlC7+HeNb1UE/7fUcXOTg4ODg4&#10;OHxdcYnQ5YX5Muh7CwUwFIXFSx+glAqYSo3i0hSWru23Grx3kmeB2yXz4SfXGL8zw8r2Lqmd9P1v&#10;rvf+boGwnWYnlcPTNIHschFqbaPjxFnc/oDd2xA7utbktvfzoKiaRqViT6rtv+v89uPP6O/uZHiw&#10;1xYTWHg9HnxeL5Iksrq+xdziChcvnKGpLkqmZhcpV6pcPH8aV1CuL1vgxu1JfD4v1WqNtpYm3nzl&#10;fKONza9/9ynfeesVOn1eLMuiVCrzk59/wJ/+l98nly/y4SdX2RM2lWqNwd5uXnnxzH3HUKlWuTk2&#10;id/nfaDAUlSN6bkliqUyw4O93BqfJhGPcuroMLcnZshkC3zr9RfvG7e5vcvkzALFUtnuYWlZSILd&#10;qmdPVEUjYY4dHiQejTI9t8jG9g6maaEqGjfHJunr6aClKYFpWQQDfo4fHiIUDLC+uc3c4gqapjfE&#10;JdxtJySKIiePDROPRhibmCWbL0B9+Y2xSWqKyssvnLTFqyAgCgInjh7C7/fxwaWr3Byb5NypY3g8&#10;blqaE4xNzLK5vcvIUB9ut5uu9hbCoSDXRu+gaTp+n5dwKMjSyjqWZVGtKbhdLtxuFyNDfZw6NkKt&#10;pjA+OQsCdLQ2Mzoxzf/f3nk3x3Gl+/k53dOTIwYDzCAHgpmUlpREbdBqQ/nuXl/XXtf9w+Vv5vJn&#10;cLnq+pbt6+v1Zq20kpgDSIIAEYicJucO/qMHw8FgBsAAIDSSzlMEiOnuX5/Q4Zx33nPeMzKY4OLk&#10;GPcfTWMYJp/++AN03eDB4+fMzC1gmiax3ijxvijlSpVHT18S8HuZGB0mEPAxOpTYt67rmdLGAOnY&#10;wDorg+qoyIWdaKRxJZFIJBKJ5NvOuAfuOiBVpd7pURwKycU51p49RCCwTKNmFzWEHGyKPiiEYHtz&#10;GyEEpmWhG0Ztf3sNm9vwagbV5Sb63h08UzcJazpOVUURgqgGcdfJ+lxb27s8fPqC3WQGRRFUqjpf&#10;fP2Q+cVl5peW7eGKpsnFiVGuXpokny8yM7fAi9l5BuIxdF2nVK7w4tU8uXyR/liU3p4I8f5eZuff&#10;kExl8Pk8WJbJs5ezXL44jqEbCEUwPTPH5NgwoVAAv8/Lo+kZMtksDlXFMi1i0R6EEKQyWb787Cv6&#10;Y629L9WqzsbmDv2x6IF9hmFQLJXZ3N5ldn4Rj8dNvlBgezeFaZr87d5j+nt7KBRLOJ1afc1MAEVR&#10;cDhUHA4Hr+YWKBRLxHp7WF3foq+3h5GhRG2NUaWej3QmS7Vq8GZlnbWNLcKhAA6H7Tlz1DxoAJVK&#10;lUw2T7lSQRGCR89eEvD7GRlMoKoKQlHq66qm0hl2dlO8WVlnfXOLyfERnA4Hdx8+Y3N7hw9v3QBs&#10;Q3I3mebB42ki4RC/+8uX/OjD90llssy+XiIcDvDZl/f50Yc/sL2plsVuMs3jZzPcunmFcqXC4ptV&#10;Lk6O8WpukfHRQTLZPLPzS1y/MkWhWGJ9a5uNrR1URSGTzfNydoFMNse9R9NMjA3VPVzzSytkc3mE&#10;EDx7/oqZ2Xm8Xg8IKJbKzM4vkc7m+MUnH3Ht0oUT3Lknx9H4bB030t5JNI26s9acGYfFW5RIJBKJ&#10;RCJ5h0SdMOaGRzq2ZwlwuJ30jF1g5eHXbyMFHgPDMDrq0gjAskwUrx8jHGO7alFIF/C7NGIejUG3&#10;So92sg6Sx+NmIN5HKBBACEHV0Hn1epHBeB9jI4MIBKZl0tsTwTRNpmfmePRshvXNbR5Pv6JQLLO5&#10;tcPDpy/I5Qu4XU6GB+L0REIYhsHoyACGbjA2Mkj2+StmZhfY2NwhX7QNtQdPnjMyGEeNx/j8q4f8&#10;7Mcf8Ze/3WNybISf/vADdpIp/vl//Q6P282tm1ewLIt8vsj0yzlKNeMknc3yenGZYqnEZ1/et4fx&#10;IeiJhOjvi3Lv0TOevZhFCJh+OYtl2Z38+4+myecKrJkmf/jrV3zyw9vEG4y4UDDA9StTOBwOBJBM&#10;Z7g4OYaqqkyNj3D10iSGaeL3elAUQSLey9rmFhtbO+zsJgn4vbhdTkzD9jKNDCXwej0IIUj0xwgE&#10;/LW8wsKbVYYG+vnhh+/jrnkFQ0H7mkyMD2NaFrupNCtrm/z8kzs4HRr/9se/YtWO6wkHCQZ8bGzu&#10;1PJ9gUwuj6II7j2eJh6LcenCKLpuEAkFiUbChMNBPnj/GiurG9x+7yqZbI4v7z0mk82RKxTJZPPo&#10;hkEo6CeVyvDV/SfMvl5CVRWez8xR1Q0yVZ3NrR2KpTILS6t89uV9br93FadTI9Efw+1ysbm9Qy5f&#10;xO12MTY0gIVFNldgezdJpVI90X17FNa+v/Y/Gyeag3UWmqMe0ZNoJBKJRCKRSL6taArcCMBcEbI1&#10;IwsEsUvXcPkDlPNZgANzYtrRWb/JQggVRzCCMz5ExbCo6hUKVZ2E02TU7UFTTtYTCwX8BAN+cvkC&#10;hmGg6waGrqMbhm0IWuByOYn2hPF5PYwODyK+vE+xVCLe18vwYByf18O//v4v7OymGEz0MTk+ZM/D&#10;2ptXtbKOz+vBsmBooJ9oT5g/fX6XbK7AlYsThENBns+85sWreSLhAG9WNpgaH+Xeo2c8ePKcfKFI&#10;LBrh7oOn/OjOD7BMi9WNTfLFIgoKyXSG6ZnXpDJZIuEQlmnV50v5/V5W1zZwu5wk4jFS6SyKouD3&#10;eTBNi6nJUdszs7lNOp3bZ2ClM1lezs4T74/hcjlxOe05ZE6nhsvlZOHNKoVikRtXpiiWyywtr5HJ&#10;5kgm02xs7TI5NoSiqpQrOooiWFpew+N2099nzzvzeNz1tPw+L8GAn96eMN6G7QCZTJ6vHzxheDDB&#10;8FCChaVVwsEA5UqVa5cmWXyzyvLqOu9du0SpXGZrN8n2TopoT5iNrR0cqopTc7C+uY3f7+Xeo2nA&#10;4vZ719hNpskXiuwm05imieZw4HY70RwqTqeGqAoEdnCWtY0tAn4f0Z4QmWweVVXQNDemYdLX20My&#10;nWFtY4t8oYiqqiyvrtMf6+XyxUlURWF5dZ2tnWQ9YuYH719jZDBxovv2NMhYMDQYc9KCk0gkEolE&#10;8g0y4IFLfriXxl7yyoBgIkFkdJK1p/frgSfOGssCxanh6hvEGe5FWPZ8II9icdEniLtOd+5sNs/W&#10;9i6GaWJZFuOjQ7hcLja3d7EscLtdjI8MEg4FiIQDqIqCU9PY3kni83rIF4v09UbRHLbhMTYyWAtG&#10;8TY4hJ2WxdjwILph8Me/fs2F8WEuTo4R7QmTTGX49S9/wp+/uMvf//ITtneTPHr2kuHBBJenxslk&#10;czx48pzHz17y8Qfvc/v9axiGgWlazC284fO7DwkFA9y8dgmvx43A9s45VJXLFydQhIJpmqiKHY4x&#10;ncnWDIAoN69dwrJMAn7vvrpxahor61vkC6W3kR4te60z07JYXl7F43LhcDjI5vKk0lmSqQzrWzuM&#10;jw4S6+3B7/Oyur5FuVLG4VAZSPQRMyMHrwNWffhgM9u7SSpVndGhBC9evWZ0OMH4yCAvXy/g1DRi&#10;vRH+du8xAIoQ9PZESKYz5HIFAj4v8b5edENnJ1nCME36Y1FK5Qq5fIHpl3OsrG3w7OUc8b5eLEDX&#10;TQzTtI1tw8QC/F4PN65MoWkaxVKpHsgkmcqwtLLO2MgA7127VAuK4QbLolLRKZcrOB0OgkHbiC9X&#10;KghAURXCwSBOp1YPHHLW1O6+A9sd0Jld0ThktyO3c4eaZv274sBtJo0siUQikUgk3xBOBW4FYaUE&#10;qyU7SpnD5SRx4xbr0w/fYcoWqseHe3AMxeXGNAw0RXA1pHEn5sTtOPkKw4qi0BfrYXVji53dFEJQ&#10;H7pWLlewgNHhAfw+L1Vd5+sHT3GoKmMjg4AdCXDhzSqJvl7ifb3MzS9x+cIEQwP9e+suY1mgqopt&#10;RACff/2QnnCQwUQ/um6HDRkdHmB2YYn+WJSBRB/5XB7DNO00llYwdMOOPhcM4HJqDA/EAchk8zyZ&#10;nuH9a5eI9/WyvbPLT3/4Qb18uq5z/fIUpmlSrlQZSPSxsrbJ8uo6g4l+bl6dYnJsxPZKOfdHEQwF&#10;/URCQXaTKVRVtedQ1eoslc5QKJYYiPfh9dhDBP0+L1vbu4wOJfjhh+/z8MkLBhN9REJBPvvyPulM&#10;rj58sTWttyuKHdHv4dOXeD0eoj0hhBBcmRpnZm4RRRG4nBqKojA5Nozf7+O//cv/xak5agEkbIMw&#10;mc6STGf4z//x12gODa/Xw9TkKPOLy1yZmqA3GqFcqZDLFdB1A0URjI0MMD46RDhkD5fcC4AxOjzA&#10;/OIKSytrjI8McvPaRcaGB9E0B6Zpzy0ciMfQHA4Wl1fxuF08fTFnD0PVq7idTpLxDOGwPf/uPDmR&#10;B+s8jaTjzMk67bQpaVNJJBKJRCLpFmJO+DgMv92uDRU0ITZ1GXeoh2Jq98y/ibcsC4SCIxzFGR/C&#10;tOxhiGN+Bz+Pu4l7Tuc1UxRBqVxhcXkVRSjEet96VwR2dMBoJIRZC7GdzmQZHUqQKxS5dfMK9x8/&#10;JxT0E6tF73O7Xfz5i7v8h199anemq1UqepVAwIfb5WR6Zo6vHzzlP/3jr5lfWmGvp7extcP/+Nff&#10;0x+LMr+4zNWpCeJ9vWxu7/DwyQs+eP86PZEgo7XQ42DPZVtZ32B6Zo5//8tP0HWDz+8+ZHx0qG6A&#10;lStVZuYWeL24jKqoWFgsLa8xO7/ElYuTLK2ss7SyQV9vDzeuTu0LA6+qKsMD/ewmk2xu7zAY72dv&#10;rbL5xRWi0TDxvl5UVWFtY5vF5VX6+3oJB/34fV5SGdsIK5ZKvHf9EuVyhdW1TYYS/S3CzTdHNtl3&#10;F6CqKhfGR/jsy/u8fLWA2+Xi9cIyQwP9RMIhFpZXEUIQiYTQnBqlchmn5kB1KGCBgkUo4CMWjRCL&#10;9tTTnxgdIhQM4PG4cKgKAZ+PbDZfNwS9Hjdej5tiqcz0yznerK6jKPY5Z+eXWF5d58aVKTsoyuIK&#10;g4k+xseGANtAtSzYTaYYGx5kdv4NDodKKlMlHApy9dIk4WDgpLfuEbQ3ZB3tHtF2hsxh285D0/j5&#10;JOtktYpAKONaSCQSiUQi6RYUAVNeyIbhL7tQNsEX7SU6Nsmb+9ugnNyb1DZNpxNn3yBqMIJlmQx6&#10;VP4u4eZqSEM9A4OuUCxhmhZXLo1y+cLE236ZgO2dJMVSGV3X8Xk93Ll9k/nFFWbnl3C6nGiag2uX&#10;p3j24hWFYpFbN67wpy/uUiyVuXb5AvOLbzANE8uCqYlRfvvHz7lz6yajw4nakDg7NY/bxT/8u0/p&#10;CQfJ5gsEA34+vn2T3WSaR09f8uOPfoDP58Hntb0dpmmytrHN7/78N8ZHBrk8NUG+UOT14jL/5/ef&#10;8Ztf/Zz+WBQhBJqm4fW4656gvWFsif4YPo8b0zJxOZ0oLepybGQQTdO4+/ApQoBDta9vbzTC7ZtX&#10;6+tK+bwerl+Zwuf18ODJC/7fn75g+uVrVte3EELwm1//nMG4vW5Vs6fMrmuBqqot+7ymaRH0e7lz&#10;6wb/8m9/IBQMEAoE+PL+Y967fomJkSHuPXrWpLIoFItkc4X60EPTNMnli8wtvOHShTF2kmnuP3rO&#10;yvomj56+5OrlSUrlMpVqFd0wqFSrlEplymU7mIjTqdW9dZZpoSgCn89LvD+GU3NgWuB0aijC3v9y&#10;dgHLshgZStAbDRMKBUj097K5uUO8P0Y4FETXDXvopnq2w2uPXGj4JMP3zirYRaeaw2xviUQikUgk&#10;ku8CLhVuBm3j6ss0VBWN2KXrLD+8y1FfDbfr1x3W31PdPlzxEdCcJFwKvxpw81GvE0/br+I7QwhB&#10;uVJhezfF2uaWPZCv5ilLZ3OEQkEEglDQTygYYGVtE8M0cWoan/7oA2LRHqZfzqIbJpFwkF/+9GPC&#10;wQCmafL81TyXpsZ5NbeI1+Pm1o0rfHTrOnotfPqex69cqWCYJrPzS2iaRjKdQdMc5PIFKtWqvRaV&#10;ZSIEREIhXs4t8MfPvsLjdfOLn9zB5XLicKjcuX2D3//lK/75f/+OX3xyh/GRQaYmRuuL7pqmiUN1&#10;YFlw59YNggEfAA5V3bfQsG4YbGztsLm1g64bpLM5Vte30A2DhaUVBuJ97KbSpLM5BhN99EYjlMoV&#10;Hj19ycbmNn2xKNGeMFOTo3hcLp69mKVQKHLn9k1yhQJ/+uIuuVwBhD1P6PnMXN1DaOfPDtDxaW24&#10;o2WB5tQYGxliN2UHpggFA8R6IhTL5dpizvuvaU8kTKK/F9Owg36UyhWeTM/wZmWdqYlR8vkCpmny&#10;m1/9jHhfL06n0/byWRYLb1bpi/WQiMdwu104NAdXpia4MD4C2AspV6pVfBtbfPzBe/XIhw6Hw54b&#10;Z1l43C6uX5kiFPRz79E0xWKJoXg/G5s7pNIZPv/qASNDCd6/cfnMDSwL0fZJbDtEsNXBR237JjVH&#10;cVRoeGm0SSQSiUQi6SZ8KtwO2dEFv8pAz8RFPKEQxXQS5YyCXdjDAwVqqAdn/wCjPgd/n3Bxp9dJ&#10;4CSrCrdBc6joVZ35pRUKhVJtppTdSd/aSTI2PIiiCHtoGHbwB4/bhdfjrntw3C4XldqiucMDcXTd&#10;4IuvH9ETDvHx7ffY3N7h6fQrPv7gPdY3tvnsqwcoiko0EgZgJ5miXCozPjpELNrDwpsVe+6VYRL0&#10;+/jsq/u4nBqXJse5MDHCn7+4S1+shx/fuUVfbf0rVVUZiPfxs598yFf3n/LwyQvifb0E/D48bhep&#10;dJYHT17w5PkMfb1RenvCuN2tI4SYhsnGxjZPX8ximAbVil22re0kmqaRyxd4+vwVqqridmn0REIU&#10;iyW8HjdXLk6wsbWDx+3m9s2rDCX6mV9aIZcvYJr20DVFUez6FKAAH/3gBqqq4tS0evRFtbbf5dTw&#10;eT2oqso//cMvqVSqCAE3r15kbWOLu4+fcWFitJ53IQRut4typUImk7OHlWIbsbppoDoUFEUQi/bw&#10;k49vEQkFKZZKfP71Q5aW1yhXqqiqyur6FtlcgUR/L5FQkJ5ICA920I17D6eZmVtkYmyISDhYD3oB&#10;kC8UcTo1RocH+PAH15l+MUsqneXm1YuMDA/wZm2Dp9Mz6IbB5PgwjjM2ro5CFEr6t9622LMeFbF/&#10;YfNjaS0wDIuqAX6PWls1+13kUiKRSCQSiaRzCgbM5i2mV7b47//1vzD99Hm9s7nXB2q3vE27Tt7e&#10;Psuy0DSNi7du8+N//Cduj/RyI6zhP0PjCiCTzbG8ugGwz4uzty8aCdc8HPa8nZ1kinQmR6I/hqdm&#10;oKyub6HrOvH+XpyahlnzRgUDPmLRKKZlsr65bXt+dlPMLbzB5/NyZWoCVVVIpbOUyxW7s645WF3f&#10;IpXJoghRC7lu9yPDwSD+gJfFpVUG4n30REIHymMYBql0lkw2x2DDfKdCscTS8hqpdIaBRB9Dif66&#10;0XjgHKZJKp0hlc6+DUzROHfFsiP/CSGIRsIEAz7yhWI9It7C0grVqs7kxAhBvw/dMCjUDDCwjRDT&#10;eOt1EoqoBQWx7woLUBWFYMBHMpUmnc0zNjywL7+WZbGwtMLq+iaT4yN1Y1fXdaZnXqMqCm6Xs36f&#10;maZFsVikLxYl0R/bV95yucLqxhbZXH7fUMm9CIKJ/ljdGM3lCiwur5AvFBkaiJPoj+2be6jrBqvr&#10;m2gOB4l4jO2dJIViiWhPGK/Hw24yxdrGNqoqGEz0E/D7znTuYr6oY5rgcFC/fxrZZ2Ad5jo+ibv5&#10;rDRHLWx8NgaWhd/raFlJEolEIpFIJN8kVdMiVSjx2z9+zv/8w9+o1iLj7XWfO55PboGJhbAs+iIh&#10;/u6nd/jRnVtEvG5c6jsIZ21ZdcOguaO7N/SscV+r49sdt7et+ZyGadY9F510rveGL3aq28uPHXbc&#10;wqGq7yQ0+F46uq7XvVSnTafd9bEsC9O0Q/Y3epD2tjcPu6sbb7V5aKfJj2EYgO01bC6fnb49LLFd&#10;Ou3ujbMgX9SxTFBVWjpnOjawmvefh+Y4BhaAehYGltI+sKVEIpFIJBLJN4ZlsZvJ8WZjm/WtXbaS&#10;KYrlir2L1l9ot+vTKIrA43YRi4QYjEUZ7IsS8vs670hJJN9D9gwsh2p7Bs/cwDqM89Sc2IMFGLo0&#10;sCQSiUQikXQ/lmXPXiqWyuTyBXbSWZKZHLqhs7fk6WHDBQX2fJtw0E8k6Cfg9eJytY5uJ5FIWlP3&#10;YLUZItjxOlhnFWDiqMiFnWhO9Uo4zQrIEolEIpFIJOeIELYR5XW78LichAJ+ytVqfbjUoW6rWp9H&#10;VRWcmobmUE81jEsi+b5TG6hK80PnOK7HqJM5Ue32HceWOYnmTLAafqSxJZFIJBKJpIvZmyvjdjnr&#10;4aslEsn5cViUwI49WGe1/tVRNsxJNBKJRCKRSCQSiURyHrTzy0i/MA3GnLTgJBKJRCKRSCQSybE5&#10;aEAoe5uPa1ucZMHfd7lI8Gmx2n6QSCQSiUQikUgkks44kQerE4PsNJo9XSN706Sat52GvcgfptXq&#10;7BKJRCKRSCQSiURiWwrmETEblE6MnnbGjXXM/Z1o4GBgDavFMadF1H5ZgG5I40oikUgkEolEIpG0&#10;xjQsDNNCYLVfZw72B9A7Lifx9ZyF5syHC4qad01ARTcxTXvxYYlEIpFIJBKJRCJppKKbYNVGwLUx&#10;TDoaItjuPOKQ/eelOSl7xpUqwDAsylUTOUxQIpFIJBKJRCKRNKIbFuWKiaLYwwD3RsI142iz/Ui6&#10;WXOSNBRFoCoWxbKBEOB2Kgi5qrlEIpFIJBKJRPK9xzBM8gUDy7JQFFG3E1pZC/vWwTpsUd92+85D&#10;806HCAIIgSIsVFVgWhb5oo5hOvC4FBQhkHaWRCKRSCQSiUTy/aRcNSmUDEzTQnMIVMGh9sGJFhru&#10;1N44D81pBvXtufdUIUC1txXLOpWKgtOp2BWpiPYGobD/aGVInqmmMb9HcBKj9LB8nbnmJHl7x5pu&#10;zdc3oen02TvJs/p917Q7vtW+o9L4vmg6Ob6ejgDRooH41moO2dfpF52dtjVn3qadoaYdp2mjuvX9&#10;3M2abs3XSTTd1nZ0a77elabTtuOs2xoLOyaDbpiUqxa6bqIIC01VcKi89V61sbI6NrCaOY9hf8c5&#10;/rROJoFAUazaX/a4SsOwKJZ1iiX7mL2AGwcuRptG8jCO0hxIRzTs6DLNccrSeOqW6R6Dk2i6leN0&#10;Fg/UcwtNu2P39nFIOu3S7kZNu0ayufyN9XAaTbeV/zjnO+69cVT5T6o5F47xfjoLTfM77bDyH6Vp&#10;97mV5kjOqfxnUWcH9tN5+Vu2Hd+ltrP5HKfUdNJ2fFs5zrvuOO/0b2s7cNaG7Let7TwPGsslar8E&#10;AocCqqqgqhxrdFvHBtZZGVRHVWwnmjO5OAKwakaWEGgCVMWOc2//WAir3U0oEFhYB27FptM35Vgc&#10;OOqw1qyV5qjW7/iat8c0a9qnsV9j0apEjVv211t7zWH5est3QdPulbb/+Ld7bU3j7+Pl63jpdKtm&#10;v7pRc1QazZ8Ov9dap3GSfHWz5ug623ubHdR3kq/z1BzUtS7paTUHj2/Mzf76O898HaU5XnvzbjSt&#10;c97cdnJInR1Ud3M72Mi7bTv2P6fdkq/TatrrTt/eHN0OtG47ur0dfJeaTtrOxuO6sSwn0whBLRCe&#10;QFVqnxtGtB0Wq0HkS3o9lfaH7acxW8fVNOqaL9tZaZRaRZwKi/pLy7QAy/5UD92+98e+ayT2/r09&#10;TlhgiVq+mzWi/rmVpuHELTVvd1u1EzScaF9/QNQ/7xmHb61Esf8cLcqyV/a9IA4F2AAAAuRJREFU&#10;yhdC1PJ6Sk1D3oRd4cfQiPqzIbAa6qyx/CfU7Ps69G0mRVNZ3tZZk6bxenaoEbXjrPq1PKLOACE6&#10;rLOapqM6O0rTXGd7763G56NV+a2Gc70tWMeaetfigMZq2NaoaTBJD9U0pH3gBdyiztpqxD7ZYfX8&#10;Vieajj+szpo0jbJDNfu19fdTyzo7rqa5LO1oOKhTjaj9Oq6m+b25d44m/dtNrTVCNLyfm8tfz1eD&#10;pvmdfiJNU1naaBp3H6lpPv5AXbR+p7fStK6zt5p9Zal92GcMHKmxaqdupWlVZ3uZErXr1ZnmwHur&#10;qc7qbUe790aLOuuoHdiTfRvbzqM0xyn/XtVZh7xX2radHdQZnFvb+bbDdYimXdvRrvwt38+da07V&#10;dtZP0krToiyHtYMt2w7r9Jq6tl2dHcI+L0pDndUun2j0WonW04b2na5TA6v5fd5NmjMxsBrzYDU8&#10;jPV8tVpUTLDXfIqDt2Kbyy+a9rRsKb9VGrtuWpV//3e6jWm0rrOD/sCj83Uw3W+XpnX9tN92sM66&#10;pyxHaZobiHetOW6dnXe+mjkvTaOu03TeZRqHaQ7Tnr+m/fup8S7Yn0b7dqCTfH0bNK2fgzbdoIZ9&#10;3/W2s/N3Z+u28+1Rsu08i/b2+9IOnlbz/W4HG22L40YYlwbWMTJymBteIulmOukafJc13Ziv7y6d&#10;1vh3TdOt+TpPjUTy7vgutQPdrpFP/h6dRxQX+ZJ+XOdZnUab711pjmt/NvJODCyJRCKRSCQSiUQi&#10;OSYniiJ4EhvmpHbPYYMUGrdJu0oikUgkEolEIpF80yideqGa3YWN247a34kGDhpRVotjJBKJRCKR&#10;SCQSiaRbcMDJhuOdxMA5C40cEyqRSCQSiUQikUi6FeUwc6XZ0wStDTDR9P95a45LK2/ZWWvOI43v&#10;mqZb89XNmm7NVzdrTpJGt9Ot9fZ913RrvrpZ06356mZNt+armzXdmq9u13Qz3VhvFvD/AQSqjSM5&#10;PVfD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ARTQQAW0NvbnRlbnRfVHlwZXNdLnhtbFBLAQIUAAoAAAAAAIdO4kAA&#10;AAAAAAAAAAAAAAAGAAAAAAAAAAAAEAAAAN5KBABfcmVscy9QSwECFAAUAAAACACHTuJAihRmPNEA&#10;AACUAQAACwAAAAAAAAABACAAAAACSwQAX3JlbHMvLnJlbHNQSwECFAAKAAAAAACHTuJAAAAAAAAA&#10;AAAAAAAABAAAAAAAAAAAABAAAAAAAAAAZHJzL1BLAQIUAAoAAAAAAIdO4kAAAAAAAAAAAAAAAAAK&#10;AAAAAAAAAAAAEAAAAPxLBABkcnMvX3JlbHMvUEsBAhQAFAAAAAgAh07iQKomDr62AAAAIQEAABkA&#10;AAAAAAAAAQAgAAAAJEwEAGRycy9fcmVscy9lMm9Eb2MueG1sLnJlbHNQSwECFAAUAAAACACHTuJA&#10;BP0kkdYAAAAFAQAADwAAAAAAAAABACAAAAAiAAAAZHJzL2Rvd25yZXYueG1sUEsBAhQAFAAAAAgA&#10;h07iQH4Wg5w8BAAAGQkAAA4AAAAAAAAAAQAgAAAAJQEAAGRycy9lMm9Eb2MueG1sUEsBAhQACgAA&#10;AAAAh07iQAAAAAAAAAAAAAAAAAoAAAAAAAAAAAAQAAAAjQUAAGRycy9tZWRpYS9QSwECFAAUAAAA&#10;CACHTuJAvEnrXPdEBADKRAQAFAAAAAAAAAABACAAAAC1BQAAZHJzL21lZGlhL2ltYWdlMS5wbmdQ&#10;SwUGAAAAAAoACgBSAgAARk4EAAAA&#10;">
                <o:lock v:ext="edit" aspectratio="f"/>
                <v:shape id="_x0000_s1026" o:spid="_x0000_s1026" o:spt="75" alt="图形用户界面, 网站&#10;&#10;描述已自动生成" type="#_x0000_t75" style="position:absolute;left:16840;top:3118090;height:3591;width:5603;" filled="f" o:preferrelative="t" stroked="f" coordsize="21600,21600" o:gfxdata="UEsDBAoAAAAAAIdO4kAAAAAAAAAAAAAAAAAEAAAAZHJzL1BLAwQUAAAACACHTuJAtNRLlrgAAADb&#10;AAAADwAAAGRycy9kb3ducmV2LnhtbEWPzQrCMBCE74LvEFbwZlM9VK1GD0LFiwergselWdtisylN&#10;/Ht7Iwgeh5n5hlmuX6YRD+pcbVnBOIpBEBdW11wqOB2z0QyE88gaG8uk4E0O1qt+b4mptk8+0CP3&#10;pQgQdikqqLxvUyldUZFBF9mWOHhX2xn0QXal1B0+A9w0chLHiTRYc1iosKVNRcUtvxsFRua1O1N+&#10;y/x0nu0zu79s3Vyp4WAcL0B4evl/+NfeaQVJAt8v4QfI1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NRLlrgAAADbAAAA&#10;DwAAAAAAAAABACAAAAAiAAAAZHJzL2Rvd25yZXYueG1sUEsBAhQAFAAAAAgAh07iQDMvBZ47AAAA&#10;OQAAABAAAAAAAAAAAQAgAAAABwEAAGRycy9zaGFwZXhtbC54bWxQSwUGAAAAAAYABgBbAQAAsQMA&#10;AAAA&#10;">
                  <v:fill on="f" focussize="0,0"/>
                  <v:stroke on="f"/>
                  <v:imagedata r:id="rId83" o:title=""/>
                  <o:lock v:ext="edit" aspectratio="t"/>
                </v:shape>
                <v:rect id="_x0000_s1026" o:spid="_x0000_s1026" o:spt="1" style="position:absolute;left:20645;top:3120788;height:428;width:1583;v-text-anchor:middle;" filled="f" stroked="t" coordsize="21600,21600" o:gfxdata="UEsDBAoAAAAAAIdO4kAAAAAAAAAAAAAAAAAEAAAAZHJzL1BLAwQUAAAACACHTuJAN2H89rsAAADb&#10;AAAADwAAAGRycy9kb3ducmV2LnhtbEWPwYrCQBBE7wv+w9CCt3WiB3eJjiIaQRBWNvoBTaZNgpme&#10;kGk1/r2zIOyxqKpX1GLVu0bdqQu1ZwOTcQKKuPC25tLA+bT7/AYVBNli45kMPCnAajn4WGBq/YN/&#10;6Z5LqSKEQ4oGKpE21ToUFTkMY98SR+/iO4cSZVdq2+Ejwl2jp0ky0w5rjgsVtrSpqLjmN2fglEmR&#10;rc/9dpod9F5o/aOPORkzGk6SOSihXv7D7/beGph9wd+X+AP08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2H89rsAAADb&#10;AAAADwAAAAAAAAABACAAAAAiAAAAZHJzL2Rvd25yZXYueG1sUEsBAhQAFAAAAAgAh07iQDMvBZ47&#10;AAAAOQAAABAAAAAAAAAAAQAgAAAACgEAAGRycy9zaGFwZXhtbC54bWxQSwUGAAAAAAYABgBbAQAA&#10;tAMAAAAA&#10;">
                  <v:fill on="f" focussize="0,0"/>
                  <v:stroke weight="3pt" color="#C00000 [3204]" miterlimit="8" joinstyle="miter"/>
                  <v:imagedata o:title=""/>
                  <o:lock v:ext="edit" aspectratio="f"/>
                </v:rect>
                <w10:wrap type="none"/>
                <w10:anchorlock/>
              </v:group>
            </w:pict>
          </mc:Fallback>
        </mc:AlternateContent>
      </w:r>
    </w:p>
    <w:p>
      <w:pPr>
        <w:jc w:val="center"/>
        <w:rPr>
          <w:b/>
          <w:bCs/>
          <w:color w:val="000000"/>
          <w:sz w:val="21"/>
          <w:szCs w:val="21"/>
        </w:rPr>
      </w:pPr>
      <w:r>
        <w:rPr>
          <w:b/>
          <w:bCs/>
          <w:color w:val="000000"/>
          <w:sz w:val="21"/>
          <w:szCs w:val="21"/>
        </w:rPr>
        <w:t>图1 我校加入教育部工商管理课程思政虚拟教研室</w:t>
      </w:r>
    </w:p>
    <w:p>
      <w:pPr>
        <w:pStyle w:val="6"/>
        <w:ind w:firstLine="480"/>
      </w:pPr>
      <w:r>
        <w:t>4</w:t>
      </w:r>
      <w:r>
        <w:rPr>
          <w:rFonts w:hint="eastAsia"/>
        </w:rPr>
        <w:t xml:space="preserve">. </w:t>
      </w:r>
      <w:r>
        <w:t>创新创业教育</w:t>
      </w:r>
    </w:p>
    <w:p>
      <w:pPr>
        <w:ind w:firstLine="480"/>
        <w:rPr>
          <w:color w:val="000000"/>
          <w:szCs w:val="24"/>
        </w:rPr>
      </w:pPr>
      <w:r>
        <w:rPr>
          <w:color w:val="000000"/>
          <w:szCs w:val="24"/>
        </w:rPr>
        <w:t>本专业坚持以培养具有创业基本素质和开创型个性为目标开展创新创业教育，一方面努力培育在校学生的创业意识、创业精神、创新创业能力，另一方面更加注重利用社会资源</w:t>
      </w:r>
      <w:r>
        <w:rPr>
          <w:color w:val="000000"/>
          <w:spacing w:val="-6"/>
          <w:szCs w:val="24"/>
        </w:rPr>
        <w:t>，近年来年，通过多种形式分阶段分层次进行创新</w:t>
      </w:r>
      <w:r>
        <w:rPr>
          <w:color w:val="000000"/>
          <w:szCs w:val="24"/>
        </w:rPr>
        <w:t>思维培养和创业能力锻炼。</w:t>
      </w:r>
    </w:p>
    <w:p>
      <w:pPr>
        <w:ind w:firstLine="480"/>
        <w:rPr>
          <w:color w:val="000000"/>
          <w:szCs w:val="24"/>
        </w:rPr>
      </w:pPr>
      <w:r>
        <w:rPr>
          <w:color w:val="000000"/>
          <w:szCs w:val="24"/>
        </w:rPr>
        <w:t>具体教育工作着力围绕以下几方面展开：（1）培养创新创业意识：启蒙学生的创新意识和创业精神，使学生了解创新型人才的素质要求，了解创业的概念、要素与特征等，使学生掌握开展创业活动所需要的基本知识。（2）提升创新创业能力：培养学生的批判性思维、洞察力、决策力、组织协调能力与领导力等各项创新创业素质，使学生具备必要的创业能力。（3）营造创新创业环境：引导学生认知当今企业及行业环境，了解创业机会，把握创业风险，掌握商业模式开发的过程，设计策略及技巧等。（4）模拟创新创业活动。</w:t>
      </w:r>
    </w:p>
    <w:p>
      <w:pPr>
        <w:spacing w:line="240" w:lineRule="auto"/>
        <w:jc w:val="center"/>
        <w:rPr>
          <w:b/>
          <w:bCs/>
          <w:color w:val="000000"/>
          <w:sz w:val="21"/>
          <w:szCs w:val="21"/>
        </w:rPr>
      </w:pPr>
      <w:r>
        <w:rPr>
          <w:b/>
          <w:bCs/>
          <w:sz w:val="21"/>
          <w:szCs w:val="21"/>
        </w:rPr>
        <mc:AlternateContent>
          <mc:Choice Requires="wpg">
            <w:drawing>
              <wp:inline distT="0" distB="0" distL="114300" distR="114300">
                <wp:extent cx="5077460" cy="2941955"/>
                <wp:effectExtent l="0" t="0" r="8890" b="10795"/>
                <wp:docPr id="145" name="组合 145"/>
                <wp:cNvGraphicFramePr/>
                <a:graphic xmlns:a="http://schemas.openxmlformats.org/drawingml/2006/main">
                  <a:graphicData uri="http://schemas.microsoft.com/office/word/2010/wordprocessingGroup">
                    <wpg:wgp>
                      <wpg:cNvGrpSpPr/>
                      <wpg:grpSpPr>
                        <a:xfrm>
                          <a:off x="0" y="0"/>
                          <a:ext cx="5077674" cy="2942376"/>
                          <a:chOff x="18326" y="3308076"/>
                          <a:chExt cx="8310" cy="5006"/>
                        </a:xfrm>
                      </wpg:grpSpPr>
                      <pic:pic xmlns:pic="http://schemas.openxmlformats.org/drawingml/2006/picture">
                        <pic:nvPicPr>
                          <pic:cNvPr id="72" name="图片 72" descr="Macintosh HD:Users:bingquncui:Downloads:WechatIMG607.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22227" y="3308076"/>
                            <a:ext cx="4409" cy="2491"/>
                          </a:xfrm>
                          <a:prstGeom prst="rect">
                            <a:avLst/>
                          </a:prstGeom>
                          <a:noFill/>
                          <a:ln>
                            <a:noFill/>
                          </a:ln>
                        </pic:spPr>
                      </pic:pic>
                      <pic:pic xmlns:pic="http://schemas.openxmlformats.org/drawingml/2006/picture">
                        <pic:nvPicPr>
                          <pic:cNvPr id="92" name="图片 92" descr="Macintosh HD:Users:bingquncui:Downloads:WechatIMG610.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18356" y="3308076"/>
                            <a:ext cx="3472" cy="2401"/>
                          </a:xfrm>
                          <a:prstGeom prst="rect">
                            <a:avLst/>
                          </a:prstGeom>
                          <a:noFill/>
                          <a:ln>
                            <a:noFill/>
                          </a:ln>
                        </pic:spPr>
                      </pic:pic>
                      <pic:pic xmlns:pic="http://schemas.openxmlformats.org/drawingml/2006/picture">
                        <pic:nvPicPr>
                          <pic:cNvPr id="93" name="图片 93" descr="Macintosh HD:Users:bingquncui:Downloads:WechatIMG612.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18356" y="3310876"/>
                            <a:ext cx="4522" cy="2200"/>
                          </a:xfrm>
                          <a:prstGeom prst="rect">
                            <a:avLst/>
                          </a:prstGeom>
                          <a:noFill/>
                          <a:ln>
                            <a:noFill/>
                          </a:ln>
                        </pic:spPr>
                      </pic:pic>
                      <pic:pic xmlns:pic="http://schemas.openxmlformats.org/drawingml/2006/picture">
                        <pic:nvPicPr>
                          <pic:cNvPr id="149" name="图片 149" descr="Macintosh HD:Users:bingquncui:Downloads:WechatIMG612.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18326" y="3310591"/>
                            <a:ext cx="4522" cy="2392"/>
                          </a:xfrm>
                          <a:prstGeom prst="rect">
                            <a:avLst/>
                          </a:prstGeom>
                          <a:noFill/>
                          <a:ln>
                            <a:noFill/>
                          </a:ln>
                        </pic:spPr>
                      </pic:pic>
                      <pic:pic xmlns:pic="http://schemas.openxmlformats.org/drawingml/2006/picture">
                        <pic:nvPicPr>
                          <pic:cNvPr id="150" name="图片 150" descr="Macintosh HD:Users:bingquncui:Desktop:市场营销专业建设（校企合作）:专业建设照片:WechatIMG620.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23186" y="3310591"/>
                            <a:ext cx="3420" cy="2491"/>
                          </a:xfrm>
                          <a:prstGeom prst="rect">
                            <a:avLst/>
                          </a:prstGeom>
                          <a:noFill/>
                          <a:ln>
                            <a:noFill/>
                          </a:ln>
                        </pic:spPr>
                      </pic:pic>
                    </wpg:wgp>
                  </a:graphicData>
                </a:graphic>
              </wp:inline>
            </w:drawing>
          </mc:Choice>
          <mc:Fallback>
            <w:pict>
              <v:group id="_x0000_s1026" o:spid="_x0000_s1026" o:spt="203" style="height:231.65pt;width:399.8pt;" coordorigin="18326,3308076" coordsize="8310,5006" o:gfxdata="UEsDBAoAAAAAAIdO4kAAAAAAAAAAAAAAAAAEAAAAZHJzL1BLAwQUAAAACACHTuJAWek3INcAAAAF&#10;AQAADwAAAGRycy9kb3ducmV2LnhtbE2PQUvDQBCF70L/wzIFb3YTo6mN2RQp6qkUbAvibZqdJqHZ&#10;2ZDdJu2/d/Wil4HHe7z3Tb68mFYM1LvGsoJ4FoEgLq1uuFKw373dPYFwHllja5kUXMnBspjc5Jhp&#10;O/IHDVtfiVDCLkMFtfddJqUrazLoZrYjDt7R9gZ9kH0ldY9jKDetvI+iVBpsOCzU2NGqpvK0PRsF&#10;7yOOL0n8OqxPx9X1a/e4+VzHpNTtNI6eQXi6+L8w/OAHdCgC08GeWTvRKgiP+N8bvPlikYI4KHhI&#10;kwRkkcv/9MU3UEsDBBQAAAAIAIdO4kCs/MOQGAQAAAoUAAAOAAAAZHJzL2Uyb0RvYy54bWztWE9v&#10;2zYUvw/YdyB0d0z9sWULcYrMTrMC7RZsLXZmaMrSKokcSdsphgFrsWHtrUB76nrYDsNuOwdt1k8T&#10;L92pX2GPlGTHTtAGwYYBhg3YJh/Fx/d+fD/xPW7fOMozNGFSpbzoOe4WdhArKB+mxajn3Lt7s9Fx&#10;kNKkGJKMF6znPGDKubHz8UfbUxExjyc8GzKJQEmhoqnoOYnWImo2FU1YTtQWF6yAwZjLnGjoylFz&#10;KMkUtOdZ08O43ZxyORSSU6YUSAfloFNplFdRyOM4pWzA6ThnhS61SpYRDS6pJBXK2bHWxjGj+vM4&#10;VkyjrOeAp9r+wiLQPjS/zZ1tEo0kEUlKKxPIVUxY8SknaQGLzlUNiCZoLNMLqvKUSq54rLcoz5ul&#10;IxYR8MLFK9jsSz4W1pdRNB2JOeiwUSuoX1st/WxyIFE6hEgIWg4qSA5bfvb6h9nTx8hIAJ+pGEXw&#10;2L4UX4oDWQlGZc+4fBTL3PyDM+jIIvtgjiw70oiCsIXDsB0GDqIw5nUDzw/bJfY0gQ0y89yO77Ud&#10;BOO+jzt4Mb5X6ej4LuyaUdCCMDKzm/XiTWPj3CSR0gi+FVzQugDXh4MUZumxZAC+0VZMDlJ6IMvO&#10;ArLQqxGb/fzm7MlPyAiGTFEIsDuEpoXmKkGfDqJ7CvgWHUK4fzMu6DiNBnxaZJwMVfQVownRt+7s&#10;t3G49bVgI+OYWdMsUy5KjDe3Ob2vUMH7CSlGbFcJCG0ADQyoRVLyacJApxEbdJa12O6SI4dZKm6m&#10;WWY2z7T/XQoiGbH8kEFkyVtDsJPCS0VDcAkJuFiuQHDcVtqsbsLEsuVbr7OLcdf7pNFv4X4jwOFe&#10;Y7cbhI0Q74UBDjpu3+1/Z2a7QTRWDFAh2UCkNXXd4MJeX0qNir4l6Sx50YTYV0QZVmCQDa/aRIg0&#10;g5CxVUn6BWAPz0FbS6ZpYpoxAFnJ4eH5gEV9AbTZEgUsMjNWeOPBJ7wY/wYaw6AgwN2KPkG33N+F&#10;CiGV3mc8R6YBgIN9FmEyAYBLj+pHzMoFN9tuPciKJQGYbiTW6tJO2wSzy6CExn9Pq+4qrYzg2rRy&#10;8frSCnDZ0AreX++hFRwrrUuOlZpWfmDe2fZUCvCa08pfOa26ILg+rbz1pRXgsqHV1Wnl4k6drdW0&#10;ClpeTSvI+ZdyNchm1uq0cgM4l8u8ucoCrWRDrLISW0oDTQGwSQM/dF7NyyAXt8pUr8yQbRq4IJYP&#10;aVGZ29WZ5JoRqwXl3jKxjORqxGLqvuYimh0/mr189fbpb38///70+Nnp8YvZ61dv/3jz7uTxX7/8&#10;enryEOrc0z9fvjt5Ep0fPvvxdyjnztVm3honkVD2b0j5/tPO891OnUReQko/8KqbCe9/qs3sBQhc&#10;EdmitbrOMndQ5/vQPn+Ft/MPUEsDBAoAAAAAAIdO4kAAAAAAAAAAAAAAAAAKAAAAZHJzL21lZGlh&#10;L1BLAwQUAAAACACHTuJATWUoO0azAAA8swAAFQAAAGRycy9tZWRpYS9pbWFnZTEuanBlZwAAgP9/&#10;/9j/4AAQSkZJRgABAQEA3ADcAAD/2wBDAAgGBgcGBQgHBwcJCQgKDBQNDAsLDBkSEw8UHRofHh0a&#10;HBwgJC4nICIsIxwcKDcpLDAxNDQ0Hyc5PTgyPC4zNDL/2wBDAQkJCQwLDBgNDRgyIRwhMjIyMjIy&#10;MjIyMjIyMjIyMjIyMjIyMjIyMjIyMjIyMjIyMjIyMjIyMjIyMjIyMjIyMjL/wAARCAFgAo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Cj4kAb&#10;R32jAZl6nvmsjw7AHsNxxnzG7ds1uapaXF1bRW6K8m5xlI+uKksvD8tlCsUENwEXn5xzn8qaZEk3&#10;sMihw7gEfKMdKuDcI+G9f4R605NLvMOUt5ixIyx44/KnjS9QzjZKB68D+Yp3M/ZSGyFvLb5+3oKk&#10;8mXyxmULkdC+OMH/AOtTTpl8ByWx0xuXP61Xv8JdNHxuGB/nFJyHGl3JJdNuorRGnOYwAQN+R+Wa&#10;aoHlDBIwepHBH1rX1O6iTSEjLLlI13YI9PSuKtdXkad4YF84DkEnCjPTAOeaV7mkYpbEV8El8Q3j&#10;DsqHHvuyf5VvXpjVI9mDyDx9aq2en2hHmy6hZb3OWzu3fQ8VoJa6YxGNSg47BGb+gouJ02yu8imB&#10;hx92s/cS3AzW06aUowL/AJz1S2Y05f7JYYF1dOcfw2xX+Zp8wvZEEVwqxqpI6cimGWMyOwzg4wcV&#10;czpmVUrqD4H8MaDP5mmmXTUHFnfv7NLGP5UcxPsvMhjdN3DFT7qear6mNgB2AHHykkH1zVuSWB3U&#10;29vJbkcEPJv3fpxVHU/lUfKFG04UHP40GqVh8UYXStPG0Birs2O/zUwE7goHLVMwYaZpygc+Rnn6&#10;1BubJ6kevShDJF9zkgCpD+dRINpwQR6c1JvYLkNnnHSmIUDt+tMPBGM5pyknjHfrSkHvQBAFbeTz&#10;70+/vruSKPDKxRSoLgncv91vUUq8sc8mm7dxww4Pv3pMaMAMF2lW27Sdmf4D/cPsauR3AkUnGGHD&#10;Kexpt5beWWkRcqeGT1Hf/P8AjVJTgqUbccYXP8Q7g+4rNoovsw7U3dTrWJbgFlJIx1pDbMrEAMcG&#10;i4mdf4E8TnSL8Wdw/wDok3Ayfun/ADmvYlcOoZSCCMgjvXzgLecj5YZMjnIU1654A1q5vrBrK7ik&#10;WW3AAZlI3D8a0iyGjsyaYTSk00mtEShpphNPJphoAbmkJoppNACk0hNJmkJoAXNITTc0E0DEJpM0&#10;ZpCaACmk80E0maQBSE0E00nigBc0maTNNJoELmkJpCaM0AGaTNJmjNMAppoJooAKM0hpKAFzRmkp&#10;DQAuaKSigBaKSikMqapptvq+nS2N2GMEoAcK2CRnPWsCP4eeGUwDp5bHrK3+NdSaM0WAwE8EeG0+&#10;7pUOfdmP9a858UW1lY+KzalRFAxwAFztQDnHvjp74r2TNeY+KYZrnxpbCzki3cN8y7sHH3j7Dr78&#10;VMkik2S6TZWl06XEFtDHChD4VMYbHCj2UfqTW/gckfhUcECWtukEQIVBxk8k9yffNSjGMmkhjcYX&#10;jtTlHHHH40pwQBnj1pD93igBkoz2zg8U5cADgD3xTSwbk5wOlC7QQSRntkUgHnGcnH+NV70Z0q6P&#10;sOPxqYHOTkDHYVBqD+Xo12QVBO0AE+9TNaFR3Mu/Zl06EnAJfAwcdu9Y582LLRNygzkKODWvfknS&#10;YGcEHzB90/7JrnroCS1kQozHaRuzz/h+lUSXW13UMDGpheOyqMfmKhfWbtl+bWmB9nUfyriU0+Hn&#10;5XY+m7rUtvp1vJFKzW4AQDHzg9/QGjlI5zqpNVIYBtYkOep+0Hj8jUFxqdoGw2qyMO5+0NWALS2U&#10;8Qp+VPEMA/5Yx/8AfNHKL2hrNquknj7YSfVnJorK2xDpGg/CijlF7Q7qaG9naHyJRA4bLHzVTK49&#10;eKstY3TKN98o9/ti/wCNQXCW0t3F9oaTIJK+XEDnjvn61Mq6amc/aW54JiXj9aRsgGnD+LUoCvqb&#10;oZz+dL9jgK/8f9ru6Y+0cH8qdnTwOIrnnuVX/GkDWIO0QXLj22igCE6daZG6+tAcc/vWP9KydbsY&#10;xGlxZ6qiXCEZSMvtdc88YrbaeyTkW1we2FZarXZieD93ZTKw7vIOlIDg7uw1ZpTcLqQVhkqMtkjt&#10;1FbmjW8scY8zazMNzSKp3fU1qTCIIxjtW27eP3nT9KmWJI0LBG24+ZT6fWmgaLFlBpyRLi7mbPUC&#10;Dr+JNWv+JSHA/wBMI7BI1P8AWq1pPFNbIw0+LGON0jE1P9qkzzYWykf7Tf40CJi+mrgLDeemTsFN&#10;W508HcLG5YLxl5QBQt1cAk/ZLNQRnJUnP5mhbybhQlkpPPMGR/OgYG6tAAF05jg8DzyR+YGKDfKu&#10;EGlqCTwHdiP0pft91twxtsjoFgBFIbu9GWFxGp9EiUf0oEQvLufIt4oOdp8tic/nWZqo2LmMgjYe&#10;CADWoZriYl5pzIy8cgDisvVn3hshcBOlUBaYsLXTlkAG22U8e9QqCQccjNTXXC2eF6W0Yz6VCxLH&#10;djpQIXcNoI53HnNOVsNkce9MQgnGcjHBx0p4GCQBwOaYDwTyB+tLg4xzTBwMdf604j5TngjFIBoG&#10;4EjkHsPwp7IMUkYAGOmMjipM43A455oAhCK7MDz610VtLp11Go/sczXLJ5dxDBGP3iD+NfRx+tYS&#10;4DZzjjvUkUjwSiSGRo5FPyuhwRQBLqKkS2rQ2ckKy5w7BVEyDo2AThh0Ir1XR7KNdIsz9mt3PlLy&#10;UAJ47nFeWXJguXtDDHMzBt0yySZAc9XX0z3Fev6Ydul2y9CI1/lQlqDZIBHF/wAu233RQf5c/pT1&#10;ljY4Vhn0PB/LrT80xgGBDAEehquUi7HE00nNQmFP4QV/3Tik8tx0kb8eaoCTNMJHrTT5o64b9KQy&#10;MOqmgYtIaTzB0I59BSFh759MUAFNNKWHqB9eKQHOcc/SgBKKQ0maAEJpCaCaTPFAATxSUdqaetIA&#10;NIelBpM0CEJ4pKCaSmAUlLmmGgAJoo7UlAC03NL7U1mA6nH1oAM0Um4Y65+nNIWGOOv0oAdmkNNL&#10;beoIPvRvIOP160AOoyPUUwlj2x9aMN/e59qAH5pCQBknA9TTCgPUkn64oVFQ5VFDeoFIBS47bj9A&#10;efx6UmXPRQPqadRQMbtZup/IdK5KSOCTUZJ4yrSBViLdcY5P+fautYAqc/p1rzHw3ZC3ub8s0zyG&#10;ckmQ/Q/1pSHE6b6dKcfTFJjvilxmpKDPGTijqR1ozgc9KQ/j+FADFG1FH86XBJ+bAFK4wxBOKRfT&#10;FADgAB1GPpVbUYUm024LqDtAK5HH1q1jHUmo7sD+yrw7uAn5c1E9io7mJfANpMJzs/eDkc9j2rDm&#10;JeKUByoK9uAeK29RG3R4Tggbx+PBrFmLSQttdBhT14qkScoZEVMASq/r8v8AjUlkjiC5JldlCDhs&#10;evtUDMMnmrdmf9DvT6RirObUr76N/vVTzjnpTlZmNAWJ9+elFItFAHT+JNUuNPeGa3CO6huJD1GB&#10;6U2HVNZKKyrYLkcYRs/mDVfxOiTmEF1RirY3tgc4zyasrd2XlIguYy3HAOalGrbHLea3vBaWzBBx&#10;jy2I/wDQqf8AaNXY/wDH1bqOuBAf/iqRm3MWHGTmlB9aqxHMxN+qMu1r+MD2tx/jTCup7Tt1MjHP&#10;+pWpc015ViikdtxUL/CMnrSsF2RFb52Bk1KU/wDbNP57c1tTt/oruCn3TjjGePYVgx3cTSKuy5wS&#10;B/qh/wDFVt3W5NOmkUgoB91j0z+tJ+RpG9tTktOTUJ55kOoXKBZNq+W+ABj6VqHS7wyqp1S/OTg/&#10;vjzxUWjhVkkdTuPm8qorooW8y5j+Rlxk/NQZzk0Zi6FKR81/fNj1uH/xpv8AwjySZ3y3TDPe5k/+&#10;KrqljG00RxAp+NFiPaM5T/hGrbkt5rAeszn+ZqsmiacnDW+/nPzMT/OuvuEC28x9EP8AKuNn11Ib&#10;5rNNPmnnBxhJBzg47jigqEmb2mW9va2hWCMRDdn5RVXWJN/mE56d6t6azy2Ss8JtZSThS4b9c1S1&#10;djvlBzuwAfr1oN09DRvsGaMIMARIMfhVfodxzkcVd1JSLw7f4UQE+nyiqRHGBg8496AAEqeOMHdU&#10;qNySTnNRg8neQCB3705eMc9aAJEyOBjGfSgggdMAjrTd27gU7OFwe49aABM7R05Gad/Fnr+FIu3y&#10;kBxnAp3I5zQA4HIOOuKXGTg/hSIOmDSjgcigBrXKWf713CAHqRXs+mMJdKtJAMbolPH0rxG8iWYw&#10;o4Qq0gBDjINe3aUoTSbRRgARAcfSmtxMtZ4ppNDDByKTOeaskQ03NOPWmHrQMUmm5o6UlACEA9qb&#10;tHpgegJFOzSGkAzHoxA9OKay567T+FSU00ARFc/wID6/5FIcnsxP+8f8akppFAEecdNw/Wk5I5Lf&#10;kP8ACpDTaAI/l/vn9P8ACkyAPvGnkUnOKAGFvf8ASmkn1X8qkyfWkOT3NAEe7Hf9KOD/ABN+n+FP&#10;JPrSHmmIZwP4z+n+FIc+rf8AfI/wp9IaAGcHpuz9TTSD6N/31/8AXqSkNAEZXj7iH8KACvQqPbH/&#10;ANen0lACbe+efbFJtA68/U5p1FADQAOgFHaloNIBKKKSgAooozQAUmaKDQMM8iuFskVL6+wMZmz/&#10;AOOrXdDqPrXE2jK17e7T/wAtQD/3ytTIcS9gHt+VLx7/AJ0DjvR26UihO/rSkAmg47gUnGcj1oAa&#10;Tn5um45pF5JHp70pUY9qAcjjJH0oAecc+nY1Wv7qODSrvzH++gA75NT8AVFdIH027z2jyKifwlR3&#10;Ma8DNo8W3P3wefoayYJ4IZvNuokkjT7yMobd2rYnUNo6ZznI+bcB+HNYVxFlXwgbAPXPNOJLOQnm&#10;864kk2Im5yQqLhVHYAVb0/5rO/B/55j+tQK1soG6B2bv+8x/SrlrPAyzxx2xUGFi37zqAOnT3rU5&#10;nuY4AwTUseMmphJaD/lzz9ZiaUXcKnC2cQ92LH+tA9QjAJoq1FNn/l3hH0B/xopMk0fEm5rmPPdA&#10;Sc+rU+BcKnFQ66QdTUHIAjXj/gVWYT8q1BvInByKKBjYO1JkdjWlzEWopzm3k+g/mKeWFRTsBbOc&#10;9xUjW5HAoa5QEZBcCtq+XytKuMZZNoABHTmsW1ybuEAA/vF6jPetrUI9unTfJv3FeVGOc1JutjI8&#10;MxlrqYscgznH5V1DAf2hEPSNv5iue8NsAgIxzI3863fNDagG44TH8qaOeZqADa3tinIP3YquJgVb&#10;6CpY5FCUzIhuzi1mP+yR+lcRp9us3i25J6qG/wDQjXY3j5tZQD1BH6iuW0bH/CR3kpGF2cE/WguO&#10;hvvCg2ptO3PJ7rWXqYxK6MSTkD+grbeUhuoKN0G7g/lWDqO43G0EgiUD9aR0x2NjVudRnHYbc8/7&#10;IqqvBAz+I71PqBzqEvJbB6k+wquhwcg/hQMdjJ+Y5pV4wPyoH3qU4J9KAHgE5OMjrTXbapA7dM+l&#10;NDckc47YpX+Vc464/wA/yoAlUgZHX04p6jOeelR42nPUdxT1PzdaBjl6DI68H2p3PHH503aSP1p3&#10;GfvZ980CI3Gbm3GAQZBXtNiMafAP+mYFeLNuF1b4GfnH8q9ptOLOEf7A/lTjuJk5NRk4PtTiaaas&#10;QE00nmkzjrQaACm0uaSkAhptKTSUAGaQ0ZpKAEPFJR1pM0AIelNpx6U09KAGnpTacelNoAQ0lLSU&#10;wA80lFFIBKQilpKAExSYp1JQIaaKU0lACUUUlABSUGkoAU0lFJmgAJpM0UUAGaKKSgYo61xVsm3U&#10;b8DP+sU/+OLXaVxkEgbVL/CkYkVefZQKmQ47F4DjvS5GOlIPrSMQvJOB6ntU3KEz8xAPTg07GTVa&#10;1lDrIScYkZc9eh//AFCrHAxTAhuXMKGQFQo65GQKhN/Atm10siyRKP4DnJ9KztVu7iYvawQyyyg8&#10;YiIwPrmuD1G6ure6dTBNEP4RIOnPOM1lKTWwm7HodrrcE8Us05WCNWKoC2WbHWqF1f6lHaS3cMsU&#10;9pKpCxkbSBnqK88n1qdVEk7nzAPlUn+natXTfEjLbtLcTtJIyFQmAVx+P9KhybjYSkzoJ9Zin0wR&#10;kxxKvLKWBZvyqna3avA7bSoIIXc2M+9c9FL51mXSCRZHb5Nq/Jjvgjr/APWrUsEf7MvnzyMxBwvm&#10;EAD8MZrSNx7mJFE05ZAy7sk/McCrVnAY55YzJGxaB/uPuA471qW+kW0Z3h33Hk5AIqaSzRG8zaWb&#10;BUFeOD9K15jL2buc+lhI0G9fmQk/Mq5GBUdrbNdXIRcfU11KW0dtbqqbiuMY64qOGwtkIeKAAk8/&#10;MQc0nIagyKLT40QDYN3qaK0Vt3J2j5vbniis7Nj5DI1yQf21FHEqjJVclM8cnvWhHbSLGpMgPt5S&#10;/wCFU76GS51xTEhby2BZu2Nv/wBet3Y7QLiM+nIrQmVyh5hA/wBVF+R/xpvm/wDTKIf8BqU2UyjD&#10;bR69f8KGsLlVDYTH1/8ArUybMmsbZr53RVgUqM8pUM8LxxOCYxtYD92MevtVnTIZ0vUG/CN9/Ye3&#10;XritG3tbW7vI7eSAhZXGW8w9s0uYag2YFnu+1R5dz82cZrXupPM0+c45XBz/AJFO1nTbXSJEmi3L&#10;tG4gtVW5nWTRrt1kBZkHHTvSbuapWRkeHPNuLZSrhTvblUHrWx5comwJMkDJOB/ntWVoEctjaqJF&#10;BO5j8pHc5rUWRw2/y2wVAzj60IyknctJbSOGzOw+mKlTTjjm4l6+tV1uHCn5MfU4/pUv9pMi7fKy&#10;Sc/e/wDrU7kODI7iy8qInzpD9W96z49OhfDhBz+tXJ7yaUZ8rCggk5z3qCOeWNVUID8uKLjUWW4l&#10;WKKOJCVG3rsBx+orMnxJqUak7gbhBkjGeeta9sNyLHuDMRypxmsSVC+qW68/8fK8Ac9aDoWxrX3/&#10;ACELgAZG8qKh6nkUXLE3lwVyQJG479aZv6DOAT1PSgB4yxJ709QScHBx6UxQOeu3pmhZAFck424O&#10;MUDJIzlSenP8NJI3IUdCep9uait3Zlzz1OPcVMSS6L26n+VK4Eu3jqM04ZUeg9TQo3AkkZHoKz9U&#10;1D7CsSD7zuB6/L3NFxxi5OyNIHA4pVz04xUaMjoCjfKRkGpAR0IpiaGgf6db8EHcf5GvaLcAW0Q9&#10;EH8q8VaUR3UMjthVJLEc9jXsGlahDqWmW93bkmOSMMuRg9MdKqKe5LLpppNGaQmmID0pmccU7NNP&#10;NAATSUmfWjNFwENBoJpDRcYlIaDWVrHiCx0VY/tMmZJGCrGvLYzyce1NJvYTaRqGkrPuNYsQLiOO&#10;9gE8UZbYXGRxkfWovD+pS6rosF3MoV3yDjocHrRZpXYXNM03tSmk7UrgNNJUGoXL2Wnz3SQmYxIX&#10;2BguQOvJ4qpY6iutaJ9ss2MRlRghYZ2MMjn15BppXVwuaNIa53wtrEt5b3Fvf3EbXEE7RK5O0yAe&#10;1dHTkuV2BO4lJRSVIBSVHcyNDazSqASiMwBOASBnn0rE0HxXZ64rL8tvcK23yXkBLe69CapRbV0J&#10;uzsb2aQmo7iNpYHjVyjMCAw6isLwpf3V5a3UN2/mG2naJJCOXAPelbS4XOgpKWkpAFJQTUM1zBbI&#10;HuJkjTcBl2wCT0FAEppK5bV/Fk2j69HYz2O+3kClZEbls8Z/A5GPaunJqnFoE7i5pKKDUjCkJ4or&#10;mvEetXGjappzo6m3mYpJG2MDkc5/GqUXLQTdtTak1Oziv1spbhEuHUMqNxuHsehNTXFzDawtLcSp&#10;FEvV3O0D86x/EejW2uaXv3qk0S+ZBPnAXjI59DXL2fil9agtNBmti5lAhnlBBJHqKtQvqS5WPQYp&#10;o54llhkV426MhyD+NcigA1jUB0HmL/IV0Wj6VDo2nrZwSPIisWBc5PJ6VzhJXWdRzjPmcY78f/Wr&#10;Cdrmsdi5uAOPXvVG+vVtp0DgNE6lXJyBn64P8qNSuRDbb1YDADbsZwKzb/ydVspRBJi4WPmJhgkj&#10;njPOazb0GJp1+POjiDE5OQ2QAFw2c+/PXv7VvSzJHA0shKoBkk1wGkzw2l0HmaTKnnpn8s+xropL&#10;6bULWS1jhYqUzI+8KVz9ef60oy0C5Q1bWNPijYRX9w0qAsFLEKxxwOn+fWuGv7q7eNTcSSS+YmMn&#10;AA5HTIz0xWzc6aURhGrBclhK4PbsCTWDJHA0RnP7xw23aXyeO5xz3+lZtu5BmFzcMAsIz0wCD+tW&#10;baJ4ZofusTnKld2PrxTz9mNy0assLZPz9v0qUrbI4SJpAWUHK7lyfQAjJqhFwwyra2xhusAnHlY2&#10;qOD/AJ6VtWzyKsZk8oheMKMCse1ti6+euTg424Iyc/5/Wt22AjhVtgJP94g/1q4lo2F1SJohs0u0&#10;z0zkk/8AoIqYav8AJzp9oMdPkJpkd7qzYC2EYBHB+zMf6VZW81tflFoAT0Itj/UUFDE1q74jSxtB&#10;noBEx/rUn9qakQcW1sn/AGwb/GphP4iOCItv/bIU/f4ib+Mj6RqP60AVV1DV3BKiPPoLeirijxA3&#10;Vpd3oNgx+tFAGRp0mnfaLgy2k0s4fBIkG3pxwa0/ttgnyxadJgfe/e8UzT5dYjDLFZwmAOQjiHcW&#10;5/Ue9X/N11Wx5Uag9xb5phYqC6sydy6YhB7mTApovollA/sjLdsymr/na8pVeMHri3WmPJrp5M5A&#10;9BGgP8qQFN7uJMv/AGP5bgYDo5Jz/KsK38UW1lelpY51niBxGyYPTGfeuldtcK4N5wfvZ2DH5Csn&#10;UNIvLy6RppkacD5HMidO/OePypXA5/VvGMWrIsEUUkU5PKTL98eoq5aNcrHv8tbgKvywlPlJPqB1&#10;pl1ojx3UX2rypsAkAOrY/KtK3tWhi22khgl4w5kCAfiB/WmFjStptQEeY9KtlO3kLA1SCa/xuGlW&#10;4Pf/AEOkSK+2E/2zgnjm7J/rS+RcADGsksOubv8A+vQA7OqOM/YoQuPlAswaVY9YO39wgYjgLaqM&#10;fpTDbvjLavGc9P8ASSMfrQbdCf8AkMRAqOjTk/ywaBj2XXVHytL+Fug/pQE8R7cia6/BFH9Kg+yW&#10;7ZB1S2IPU+c5x+FNewtET/kK2xb1MjYx9Mf1pi1I3MxnxKXeT+LIzz71l2iB9ds+eRcdP8/StbcE&#10;wMqwX+Ld1FZGlkPr1j7yE/8AjppiJrg/6XOcgFpGP61Hkg9ifWopGLTSnPO89PrTwwznJwPWmBI0&#10;uIi+eB1x/n2/Wq1zdpDOrCXYDld+OB/k1Wa/EVybeTmNjx6cjv61Rmuo5rcwSMCEOCRnPsw9ahyF&#10;c1rK+V2WMSb3ySSPQVoLzMVz8wHb36fyrkNLvkt7jzJHOSMABf8A69dDDcJbWtxdsVY4z649B/Ki&#10;LHH3nZGjJcRWsRlmYIgHJP8AhXJ6hfHU73ePliQYXPYe/vUN3cXV8RNMSVLEL6A+nSo3tzCzDbnp&#10;lhWcp30PVw9CNOze51+jzPc6csjAD5zwPQGtDGWwDms7Qoni0qMMMZLHn61ongZzgevXFaxvY82r&#10;ZVHYy9WvJ7eWPyyuCCM9TyOa634X2z3E1zdteSjyMJ9n3EqQRwfzzXA3c6XuooBmEt8u5+Aff2r0&#10;HwZbSaX4ilsJtVjjYIsiwQr+7uFKDBzxyOPeu1pRhY5l8R6XmkzSUma5kyxa43xtq2qaFNYX9lN/&#10;o7P5UsDKCGPUc9ema6m4u4bYwrNJsMziJM92OeP0rmPiNF5nhSSTHMcqPj6nH9a0h8WopbHT284u&#10;rSGcDAkjVwPTIzTx+tUNIYT+HrMqxXdbKNwPI+XHFYnhG8vXvNV068uXufsc21JJDluc8Z/Cpcdx&#10;32OqNFGfWkqRmdqep2dihju7o2u9CVkH644PNebx3Wmya7C0VpNqZd5POaYl2ddx2BfouM54rtvG&#10;sWmvoW/UfNCq4CNDjcGPpmuC0Cx1GZ7650qGRLfy2jZj8zhSQdqnjLY/nXRTUVG7M5N3saV09jP4&#10;kuS9t9mhitS8KQJjzNy8FsdPxrovBeqWM2h2tlHcIbmNMPH0IrkYNGlv4NUvJjc2ltHEGEMj7nkx&#10;wMnA44ru/DWn2ttollIlvEkphG5wg3H6mlNrlCKdzapDRSHpjHWsCzkvF3im2sLSawt9s1zMhRsH&#10;hARjJ9+ay9EvU0jwg0l3JLI8ah44YWIIWTJXOOhzuPsKi8X2miaVdPLBA0t/OjDyi2UTI++R1z6C&#10;tPRml0zw3bRw6HcXJljDSsHU78jr1yeMcdhiujRQSM92zG8FaFBqV02q3kys4kLRwK/Oeu498c16&#10;Qa8m0K70/TfFFs+J7aJS6yeaeVJJAH0AwK9YR1kRXRgysMgg5FTWWtxwaCg0tRyusUTSMcKoJY+l&#10;ZFnMeN9Uaz0j7HCT9pu/kUDrt71xuhzeHEv7EXFtcGcbMyBvlWQe3U/NWxEl/q+o3XiV7dhb28b/&#10;AGNWI4wDhsHr69KxdLjuZjY3ktva21rbhp/tXlcOVP8AFgjcdwHcHvXTBJRsYybvc62LxQZ/Ey6a&#10;AJLcEyLLEpyy7cgEex796seDcHT7xgMFryU/rWV4c8O3hvpNXlvHi3phTEi7gclSMMGAxt/WtLwU&#10;3+g3qbixW7fJOMnnqcYH5CoduV2LW501FFIaxLEPQ5rznxD4qtdX0e5sRbymVZchsfKoDYBP4cV3&#10;GpavZaSiNezeWHJC4BJNeeanqGgrpt1aaQk7zXUwdnZSMc5wP8K2pR1u0ZTlYpXsrfbNGN7OSqWc&#10;Ryg+ZV5IA98YrsPBN7qt9bzyXpkkt8/upJByfWuSsJLebWVlu7G4uIYoFWKOQYI2gDnHBA/wroP+&#10;FgwwOI20to4wccSY2j2GP0zW1VXVkZweup3FIaZDKk8KSxnKOoYH6081x7HQQ3TTJayPbxrJMoyq&#10;McA+1eW6rPqOv65FBfn7Kq5wJBtWNepP6V6vx3zXn72lxq3jidNRtmkSEb1jXADKDgdTyP8ACt6M&#10;ktzKrFvYyJ9WTyrrS5Z5o7FfmjjiyfMAChVyeikDdUPhW8i03V5p7jbG4gbZvHAOOPzrWkX7fea5&#10;eLAI5rW4RrcOmQSmQVPbJAHH0rEbT7vVLySSbYb2UCbbnbhec8dunStlKNrIhpppnq+mXp1HTLe6&#10;ZChlQMVPY1yEtvGut6oyIFcN8uB0710Gj65Zz6JFOMReUVheMDlW6AYrmtYlubfXbx7dl+aQAlh0&#10;Hbp/nn2rhqqzOmDMHV9R/c7FJ3HIBDdR6fhWCl68SuzjccEY64+lO1q/8+XekQRs/Nsbdk9/esnz&#10;1WHgqPXbuH/1q5G3cGWQZPNRmyrtlsAA/TI/z2rc0/ULuNFtoJGEmQZXkb7o9f0rlllYy/65wW6n&#10;d/L8v0qWS+eeIoRkKfvBfmYkHknFNaBc6PUpYp4y0V08nlqWbfyAP061yVxKsirBEWSNV3PuJw2O&#10;4H4mtbS7eJI/td/C7wKMLHuH7xuw5PArOv791naZrWMcnamDhVPb/PoKL6iKEcLBmRAQ4+ZmJweR&#10;nP610F1ZXNppMccyRru2lHViyn/A1TU215crPc3q2rMNwaKLci+x59MV0FyYm0S3WK4SdRkgoMAe&#10;1abFJGTpbtzGzAgMeWPWt4DYQuUx/ermNMYnUyuTt3nj1611B2sFIDccEEVS2KLI125RAv8AaagD&#10;gYZRgenSlHiCYSkPqi7MdnSuSktbfzXPkqTuJJI96fFaW0kyJ5MYzk/d9jT5SHUsdTJ4gcH5NWO3&#10;/roP6VG2vOFUrq7MT1/e1zYhtx/ywi/75FJshB4iQfQCjlF7Q6RNfjdT5msFSO3nNRXPARL0jQf8&#10;BFFFg9odFHrNvDdzwzaiyv5jAQ7m+UZ9qsrq9mNxe9lA/h4kP9K4rUj5mshsYPJ65/irZEriylGA&#10;QFG31zTSB1GjZbWNMx81y4z1Jilb+lMbW9ICgLLIxzgnyZP5bazo4VMK+YozjJJ7VWKxvdmNJtuE&#10;zx60WDnZrnWtH3HDTMh/6d5P6rTDrOkf885RnhSLdufrkVzVzcSW9usoYnLsuMelTpPNcaZDIkbs&#10;xdvurn0pWQudnQ2+o2t7NiCJxIo3Eum0Y6YqXVLjyNKed1Pkq6scdevPGaraHFIqea6ujmMj5lx3&#10;qTXR/wASqaPjLAcZz3oNL6XHQa7bSRqy2V0TgYKovT86edftwDtsLzjk5RSf/Qqj02MmwYpGCF46&#10;+1A5uHXHA2jH/ABQZOpYU+JLcEZsroe3lL/8VSjXrf5pPsN4VAJ+ZF/+KpUiXzXyM4wOlMvowlnO&#10;wX/lm1OwvaiJ4jt5Q6iwumxyMKgwB6/NVlNUaYK0enTKD/tJ/wDFVymkGZ5ZmMcmDC2Dg98D+tT2&#10;0eoRzqyxTLkjOVI4osWp3Ow8xWcFkwcckHms7SYxLr9lyRtLN6dFNaReJYyWK7tpwDzWZpLsuvRH&#10;HSKRv/Hf/r0jQiBAO8jOfQVCLjbctbyEZYZUkHnjpTt4EyRsMBuh7Vka2ZIgrLEzAfMsig5HtSbE&#10;yjqb7LwAOev3ejJ7Gs5rt3k6tv469RUhuPNJlJ+cgBy3JJ/HpVVEG9XRDtzzs/wrPqSTQzxrLmRt&#10;xByVH1reV3v7C4K7QsWNqjq3IBP05rm5InaU7MsOp3dzV2K4k2nqrt98D5dwyMf1psqEuSSkaP2l&#10;pLVISw2IcrgdzU9naSXMhf5hCjDcx9zVa0gnvbjbEhwqg9MDFb+lRuthdwPjep4x64qYxudyxP7v&#10;Xc6CONY4widAoAAFEs628Zd2AA75pkMgeFGDA5FSsAQAQCODzW60OJnLXbSz3RmZD5rIdsYHKD1P&#10;4V1GjW0Fxq0VpcxXSfaLaNIHXG4SBVKspzgcZ4JHBqtFpkV5rCIVw00bIWPQHgA139nHHbaWzKMf&#10;ZZ7dl3dlCIG/8dLVv7W60MlBj9Gl8VWN3FaanareWpOBdI67k9yM5P5fnXV1H5icHev50GaPu6/n&#10;Wblcuxz3jm38zw1LcI5Sa0dZ42HYg/4GuevPF6+ItGj0uxsZru+miUzYGFRh1P5jrwK1/Gdy1zaQ&#10;6Wq5gu5ER5Ac7Oev5jn2NUPDA0zSrWBLRJBdRuxneRCDKm4qefbAYD6VanFLzIlFv0IbTRvEV5oq&#10;u+qSWkSLtWBByADg56e9T+Aree21LWo7iQySLIqlz1bGefxzXVWUsK2hikkT7zghmHIyT/I1SsZ4&#10;E1N3EsWGgCFwwwSrNz+RH5UnUb3HGCWxtmkHpUJvLYdbmEf9tBUb39opUfaYeT1Eg4qCgv8AT7XU&#10;4BBeRCWIMG2n1FYnhO2awXULNsYW5aRcdApYp/7TNbZ1GzGc3UOR/tisez1Cztr9t9zGBN52TngY&#10;mYr+Yc/lT5tLBbW43xGdlnqnq1kT+Rx/Wrfht2k8OWBcYcRAMPes/V9QsLqSZBdwsr2rIcOOu9eP&#10;51Nper6ba20kUl9AgWZ9oLj7ueKL6WCxvGkNZp8RaMOup2o+r1H/AMJNoY4/tS1z/v0gsUtd8Ppc&#10;G51C1CLeGFkIkGVYYI/A4otLK8vfDGnra6i9oxtUBKoG/hHI/wD11Yn8TaK0EirqVuSVIGH9qzNJ&#10;8WaPa6ZBbz3aI8YxsBzgZ4/QU+fSwlEr6T4S0270udboNLcfaJVafPzZViOK1fD2iXehtPA12J7M&#10;4MSnIZT39qzNG8U6VZ29ys93kvdSyLhScqzZFaH/AAmmh/8APw//AH6NP2jta4cpv01lDqQwBU8E&#10;GsE+NdE/57zfhC1M/wCE10fs85/7Yt/hU3HY2p7dHspbZQFRomjGOgBGK8/8P+GtUvmgGpO8WmQD&#10;zLdFZCGJbIyOfxyK35/HGmLG2xLhsjHEZqCx8YWFpYQQNFcM0aBSQmOlUptKwnG5ZW21ldNkk06+&#10;RnEsw8qaMYOJX7joab4MgnisLlp4zHI8x3AgDkdf1qlY+Mra2gZJbW4YmR3BjT+8xPr70lv4ztYB&#10;KPsV02+QuOAOv40c6tYTjd3OypO9ckfHUZ+7p1x+JFMPjg/w6bJ+LgVNyrG5rWh22uW0cNyXXy23&#10;KycEetYl7omn6fdWkVrbKvl4kdjyxPmRhcn6bqi/4TqbzCP7KOMcfvRVK48Ty3E7yHTSN6ImPNGA&#10;Fct6d8/pT5+lxch2Lhf7ahwB/wAe0nOP9pKraktg0yQXFvBI7gna6jOK5mbxZevcrPFYrHIEKffB&#10;GMg/0qpea5dXtxHNJZLuQYwJOD+FLnHynoUJTylEY2qBjbjpUlcLB4rvreFY0sIsDvuxmpD4y1Ht&#10;Ywg/75o5g5TtqwoVL+MbmQ/8s7dYx+h/rWAPGOsEtiztuDxyarp4g1aO9lu1tbfzZBhsk4o5g5Tu&#10;dPjRIpWRQpeeRiQPvfOcE/hj8qzrO1tzrk1wIU3uWw+0ZwNo/nmucj8U63FEI0trTaBxnJquniXV&#10;7eVCILUPhsZzzk5NHOFu5p6z4fLa8LuyJUiSOaaIMAGAPJx1yOeMVz+qatY2WqXEFwBJGzsq5O7A&#10;yeD0P/6x6U2+8Sa1LOshMIkAwREpzjNcjqN097L5s8wYgc4Y81jUq3shJWIL4wSOzRqEU5JJPAHa&#10;smVyYxGCrAZ5p17O0mDlto+7n+KqYkYyBWJA7gGoigLdsjNEQGzzheRwTz3+laIeVbfDFfMHUs2A&#10;OKrxRKIASiyAjMefx7dqZJ+9XythG04GTjmp3Al+1tOwSJFKLyAW4GPrU5htJLcySXSxBRgLgnd7&#10;ce/rx78GqcdrIjncDtGOR6VcjsyE837UoyAPunLg+npinfURNZ3JsQJkkhMKn/VSRgZHTv6iiTWY&#10;55PLkj8mID5QgwOtY11cM0jAhticBh3qBZA0gCAkHsTTTbHc2NMmdtRj3ldjN16H8BXXhXgOCCuf&#10;1rzy2uo0lVlykitxk9fx6V1mmXEjwhGdWcnI3N1HsehrRFJlOZgJ5fk53HufWpLMq9yoCYIyc7vw&#10;qvdZF1L2+apdMOb5Qe/FbI55LUgL0wvk9aTHy5pq/fNIETAk96KFFFAFgzzLdnyrmZVxkbXPqamu&#10;ZZ5NNlMs7yHcACzZqr1vG+bdgDBxjtn+tWbkhdMkz3cfyqFuaT+E5uRGyQCfqDUe3DckipWXjcG6&#10;1EQ+4ZParJRGZAMg54NdDYfLp0HLAHceDjuawDF3IFb9uMaZbY9GP6mkNHQ6LEmWYjJKgZJPrRr0&#10;jJbvtVQQBjaT61JoKgwvuUleMnOD1NN16NRGQDuVsDIBGOfpUGvQ1NIt2ubAuVG4HG7Pt6VTjybm&#10;TPTzDj2xx/StnQ1K6K7AcnkfSsaLm5lP/TRz+tOJjVSJ0xvf3YVV1ltthcAH+Bh0qeM5fp/FmqWs&#10;tmxm+h/nTMFuUYC6aCWhkeNiiYZDgjLLV9PMEi7ZpjyOsrfn1qlCpXQ1HqqAfmP8KmvHnS332wYy&#10;B1+6M8Z5plp62N2eVhCy4DllOfM+Ynj9KytHkQas23JItZeAOnSrYu/PsJXlJDlTz6cfSufW8ewu&#10;Zp4dmXt3jYODjBwOD0B+tQ3Y6iS8LNb5jZ1YdGWs037zwiKVY3OSTuXOPcZzVs3cMkR8t93+yOtY&#10;t2cPuG2QHnCnkfWpl3QmyvJEq7gXwM5yDTA0cePnwcck0efumIJCA9DngfWmiP8Aekuh2/3gRzUE&#10;imT5M5zt5Bxk0xXUHfyoz3GKV96EmLcyjpmo3lDBfkOT1Pamho6fS5La2glne8dYxgBInK7vr3rf&#10;sZFntxLJezKT0H2x+P8Ax6vOiMR/Ky5/Klit3cb2GB1Ge9WtB3PT1WDAH26bHH/L64/9mp4S2P8A&#10;y/Sf+Brf/FV5TJhZCB0FN8zFVYq99T1tY7UHIvX/APAxv/iqHS28tt12xBHI+1tz/wCPV5N54Har&#10;KlsD5aLCPUUFtgFrwZIzzcn/ABp3+hd7xPxuD/jXloDE9OKdtb2/OgZ6gV005zdQEH1mz/Wk26X/&#10;AM/NuP8Atr/9evMcNTtj+1KwHpZGkhebm2wP9vNJGNH8tc3Ft+L15wFfvinASDoB+dFgPR8aJ3uL&#10;T8xSZ0Dvc2f5ivOXdlHzd6a5kCKQw+bpxTA9I3+Hwf8Aj6sh+VBn0H/n7tP0rzhXYj5iCfUCnB8i&#10;gD0KG80Ioc3NsOTwQP8ACpvtmidry2H0A/wrzgMVp4fNAHon23RP+f23/Cj+0NFHS+h/D/8AVXnR&#10;JPAbHPUU9MsMbtx9qBnoB1LSAOLyPP0/+tVddV0z7S4aVSpUYYD61xcYdzhQWPsKmeGVFDurquQC&#10;Sp4zSsB239qaQf8Alt/47R/auir1nP4ITXGx28si7kjlYeoU0jRSRuFeNlJHAIIJosB2R1vRBwJJ&#10;GPtGajbxBo6nAErf8BrjNjq+0rLn0KnFMb7zcHr2IoCx1lx4l07yyI4JSc9SBTP+Eo01f+XW4P0A&#10;H9a5Q8qcZ6d6aRRYLHVHxXYDpZTH6kUw+LbUdLB/+/grlGOcD3qF9hfk/N9aYHXnxhb9P7Nz9Zf/&#10;AK1MPjJF+7pq/wDf3/61cgTjmiNDNnOePeiwjp28ZP5u5bBAMYwZCf6Uh8bTdrGD/vo1zn2bAJIP&#10;50gtxxx29aAOh/4Te67Wdt/49/jSHxxe9rSz/EN/jXP+QPSmNCPQfnQI6D/hOb/ta2X/AHw3/wAV&#10;TG8cahji3sx9I2/+KrBMCj+7TTEo7r+dMDcTxpqKFiI7X5jn7jf/ABVOPjrUx0jtP+/Z/wDiq50x&#10;gtgY/OmvFgGkB0J8dar/AHLTH/XM/wCNTQeKr+7UPI0QdDnbHGR/WuJUknrmrdlcCCUliyk9MUSW&#10;mgmzqL7Xry62pL5TY/iEX9axp5X8wOACe+PpUshMKNMGBD9Ofbrj8aijKyyqw6gg4PA/HGawd76i&#10;Kkj+bjzmIwOVHUe1NhtVnf5dy/NkHqPxq09tb2k7uLn74ITK7jn6fSpYWMalWUgkeuAf0pt6aAPu&#10;bl4WCFzgAKxUUrKoneWF/nfgkqDj6ZqK9jyUaGLc6gAYIIH1qLz7sbiQHZfvFFqUtALfkyt5cKkq&#10;CdxbgfngZqC4yh2C6Z88HPQY9KfbzM0zZO5h2fIx+A7VnF3nnYrgFTngEY+vtQkIW5eYqu+QsF7k&#10;4BqqULScFQcZABp8g84kICSOwPBpxUJhc5f0FadAGLBIbqMeXsBIBJ5H1rstIjlQ7D90j5mQ/e+o&#10;rk7S4aS7t4dq4aRVPHOM13lsghQDcdpHTApxv1KRjXfF3KB0DU/T+L+L3NQ3VxClzKGjcsG6hqkt&#10;bmE3EZjgYNvAyX/+tW6MJXuV/wCA01fv1bD2205t3JBwT5v/ANamrJalhi1f/v8Af/WpMOgiDmir&#10;CNATxbn/AL+//WopCuRRywPeyCWUxzDAaMR5xgAVZvEt3sdjXQiTf9+RCATjpWLbo02qz89/w7Ve&#10;1gZ06NeQN+c9+lCRcn0KY0y0xkarB/3w3+FLHptpyTqkWMdRG1UgpD7i2V28D3pgd/LwT81O4i//&#10;AGfZgktq0ePaFq1CbG3tYUecuoQFXUY3D6GuZjSWU4YE5OK3rnR5pjbIA4WOFB8pyAe9IOax1OhP&#10;C0TGMtsOAGPPrVfxJN+7hRmUIXHzE+xqXwtbyQWCovzNgZH4VR8Y+YyRrtYqjAZI71DNr3idBpep&#10;QR6SYVZmOMAgEj86zIyizM32mLlmOCT3OfSq2lK5tIgw43KBk+4qK3CZViByM01Ywk29y6lzEH/4&#10;+oTg843f4VXv2gntpUF5AMjqS3HJ9qSFFeUkqPWqmroPsNxjGNmfyJqiC55AXT4Y0lSXa6ZKZ7An&#10;vU0cn70KsTkniqEZ+zaPE2cl5EGCfZqtWDKbmNkbJBzwc0Ma3Jr5/sunu6LsGMMpOcVi2ri7iuwF&#10;WTbB827jAyOR/nvXVa+ytprAoD8uQzdc59q893Nbzl8soJzyTnPv68VjJs6XuOY+XuBjO3OQO4x6&#10;VWmmd/mb5vfdzRNKr5Xgg9ulQtEjAfwjqQoqUSV2dQCrgkHv6fjT942ZDkAdN1QOicjDKevJ/pSq&#10;I8lt2SPXPNVYZaDNIpHBUDoKgSVVBwBjHPHNPiVHO3ZgnnP+FPjxbk7/AJn745x9KV7AS2ypy3lt&#10;6gkYqaWTdGQqEAd8Y/nVbe7RhQFCj86tWzxKGMqiTIxjHP50XAyXyZDz+uaYTW22jpcQiW2faT1j&#10;f/Gsy5s5rY4mjK+/Y1snoUVj0rq49Jby1I9B2rlOvFerQWx+zx/J/CO9JsZ59PObe4ePy1O1iM/Q&#10;0z+0Mf8ALFfzpusfLqk/b96//oRqkrHvTAv/ANo/9Ml/Ol/tI/8APJaoGgCgRf8A7SbtGta+kwvq&#10;EEkpUDa+MAe1c2BxXc+C4WfS5iFyPNPf2FJjMfWLX7IYQf4g3as4uSgGeBXR+NI2RLbC4OG7+4rl&#10;ElB4PBoAsfiafz2NRg04GlcCVc9zxU9uIDOonZlj7kCqqkn2pwOe4ouFzXuhp6QrJauDJGwO1jnc&#10;Peun0a9tSFe3SGPKglfLU4P4iuDXnjPvUqJJ/wAsw491o0A62G7/ALC8SNNGy+XKS6nA4PpXVanq&#10;VzqukTW0syskkfAIHUcj9RXlwS5k4fzzjoSx4q5HLfgACa4x6bmp3HY6/wALeILmzt/sQn8vBNHi&#10;q6luJrS+eUSPG23JxwP85rkVguPM3fvtx5yC1TG2vJBhvtLfUsaVwsdvb6xHqVtG88gPy8g4xXG6&#10;jcW1lrMsixRyRM4+UDI5xmqb6XcMBss5Sfof8KkXTLrcMWcw4/55mgZJqdxo89oxtYWSY9Nv3fxr&#10;HJrSk0q8KnFpP/36P+FM/sq97WU5+kTf4UAZjdR+dREqScYyOvFan9j6iW4sLo8f88W/wpF0LVm6&#10;6dc59oW/woEY7dDWpodsJ0nJA4I/rTbrQtSt7V55bG4jiQZZ2jIArQ8JxmW2uGVsAOB0z2piKuu2&#10;awadvAwd4Ga5sN712fiyEpowOc/vB/DXDAfWgRKX9/1phYnv+tM2nPQ0mw/3TT0AcWPr+tNyT3P5&#10;00owGdp/KkB25z1FAGhpUfm3qqea6KWxUqeO3pWN4et3bUUJUhT3rsJLf5Tzxj0pAecR580YAznv&#10;WubVJ7mOVBt4G7aM8j2rN8qTf9w5zXRRF4owznqvIHY1nOViWEqBYNiwqQvbPAzUUafZhIqqxduQ&#10;O556fSm/a8OTndzwCwGPrVSabYAsjb1BzwOn0rJJsCf5RJm4hIBI+/3qC7E0j5jGEHQcVSaZjtVc&#10;kD17U+K4+87D5e2eMn0q+VoSLEh8lFUy4JGSQ3OfpUK3IWVQu5FYd/61FNI852wqSi8jacY5p1pG&#10;Yt/nQ7yegY8gU7WQyz5p38OWcjHC/wAjSXBIgbYWMhGCVONo9/rUU8zEgqSqr2UdPxpIrhpGwzYU&#10;8dOM0rWAIoHhiZi4yeMHr70wW4Z9rE/h1q7dMkr7d2S2D2GKkgRYbmJHZdzHPHNUnoNGbZQiPUbd&#10;jwqzLnPpmu8iuYpVBVwy9toz/KuFf5LtlwP9YcZ7c10mkxyxTbyu9COqSYA/CqTGnqUtQUrezkqQ&#10;u/qRiksmKXFsccNMv8xXRXemQ36s0zsCWzgAZ/Oo10S3Ro2EsmUIK5xjIrTmRDg3sZAcMJTjGHYY&#10;qvBdRSP8ueDg5FdB/YkCBm3yHeSSAw701PDVqH3K025v9qjmRPs31KSEDqcD1NFaMnhq3Zgru7kH&#10;pv6UUuZC9kzVtfCciIJPsM4lb5mJQ5NTN4bMi4ksJWwfu+XWgNXlYD/iRTcf3bp/8Ket8u0B9Gvk&#10;BOcC6f8Awqbs2sjLTwrlMrpRAzyChBP6Uv8AwiUe3P8AZJ3H1iOPzrVF5Ztw1lqif7twTijztPLb&#10;TFrQ47Pn+tFwsjLHhkQZ26WoBOcrGalj0m4YlWs5V57A5/Kr4h09gMTawMf3sH+tRvY2LuSLzUkz&#10;6xn+hqeZj5YsrwWzWc5WWExY5CsMZqrJYXd7fSlbIPGg/iVznPsDg1oi2gjbCXkrDHV4Wz/OmmBt&#10;7st6+WH3QHUY/KncLJESaM8cYzpdyp/6Zk4H4EcfnTP7HRW2m1uOOgEJ4+pqV47hiQv2jGOquaWO&#10;G5ViVjudwHQk8/rQFkQppADD5dmfWOQH9VxUkmgeahDRIBjlW3cj8qd5Fyp3GOcH0B/+vVK5urWx&#10;Ki7maAt08wkZ/WjUXLHsPOjozeQ8edp4+Rio/SpH0QWREn7uLvuAcf0psEltPIJIrhJiwzgSf0zU&#10;ohUzAsWAPuaNR8sexU1W4SewaGKaJiFA2B9pP0z1rhrpN5lwC2CCT129sH866bxL5aRBNpEn8D7f&#10;61yct1L9lkja3WRSRmUDn86mTJb1M8gsoPy5PTdTXdoxtUjB7jmkmkGOMqpPbNRM7IASxGR2FCQh&#10;5KNwwZjjq3apIoh5RJfcoHzIeo+nrTI4y4O5fvDGc9KsBhEv3cADHHelqA+LbHtGd69RuwMCo7lG&#10;kXcmMDnai8f/AF6jMjSOSjKfrT90RBZ2Lf7IPFIGVoxk5UnI9qu25BweffPGKqyTdCIkVBwME1JG&#10;7A5AyD6VTGa0V2Q6qScD9KvNMpj5wQex5rCjLB95OFz3NPubr9yQMZ5IPpVxY7k8d/FFNcxbFYS4&#10;2njj6V6RFt8peR90fyrx2A5mjA6lx/OvYYCPKQYH3R2o6geXa2MalMeMGRj69zWXznGK09c3DVG2&#10;gdz+prNCnAyACfWqAeBgZpWBSYr2GOn0p4Q4pLvct/IqgnGOP+AigB6oD7gjj1r0fwNGE0iUFhzL&#10;+PQV5h5rDHHCnvXqHw/w+hOWAJ808n8Kl3BFPx4FKW/Q4zx+IrhxGpUHBDZ/DFd34+VUhgK4Bwa4&#10;lNpjVB94HPXmlcZNbIAruwyFFatifLbEkYBx0I61StVVYJCwY5YABe/WnxTs7AMSMdfUVMyWdLC8&#10;JXBRN3fjirDiCO2c4QyEjCBeg9ax4JPkyckDjAH5VeiAdUZiwYOQRjoPWuazQE8JeUMVQER9Sq9B&#10;/hXSaNrT2OIynyhhw8YNYEDGyuG8lyysCuSuMgjnj8ad5iuwdSQT35p89tgPXtPuLe/tFmWFB6ja&#10;Kt+TF2jT/vkV5vpGuXFlexBZPMV/lKAcn8O9ejW8omgRxwcfMD2OK6ac+ZAKYo/+eaf98ijyo8/c&#10;X/vkU/60GtQI/KT+4v5UbF/uj8qfSUAN2r6D8qTaB2p1JQAnSkJ9aWmkigZzvjo/8UTqgJ6xce/I&#10;ryrwYEXTrkk/8tR/Ktzx+7/abmKOZhGwPyGXOeM9ASP/ANVZ3gtNul3HPHnkY/AVF73GT606/Yvl&#10;253Dg81yd2I2iYkDOeT0xXY+IQf7PAXrv9M1x907HMZgJU9SAcD8ah7kso+eMLDGwLHj61bEcpIB&#10;TauBuLdqpWsaCcADLkHAI6fWppZiZFDORj64Hepk+iGthIvLe7WI5IY9+/asKRdrkHsTWujxtIGX&#10;KsWXHvyKzZ1xPJxn5z/OtIDOg8NsPtcakY2rn611rkEEAH8q5Hwhn+0WBIIC8V2rketUI86BKxgA&#10;Y7tk9quJI724VSC2M5zmsneTIFVvmLbRk8f56VZglOFDsSAM+wrKSJYg2/aGR8Lj73zE5qFygJfe&#10;CM5EWMYPp71owxzGRX8rcv5Dn3qjPYu3nO+EVGBGPQgn1+lJNAR6fMst5iSNTvBIySMH2qOZXjBQ&#10;oBGvA3Hr9PU1LYfuY/OE24D+Ep3+tW4BHfY3k/Ln7qYC5Bpt2YGTC0kTEK6AEdxmnyzumct8zdTm&#10;rL2MSQsVLAhjhs8Ae5PGen51SRIihMsjbiegGcVSakMX/WN945xwO9X7Nk2+XLEGz93cduPfNVbF&#10;Yyzq24j1xxWg8ywqqsFXH3SATUyfQTJSUGJHh5GACGyfwFVpVVGMnmluc4Yc/THWmbZkVpmLEA9j&#10;waVnEkXKru7AipEVZZYWfJBHJyQeldLo16rQqgRn9ZGfp+Vco8LRHIYE8k4NbekNq8cKfZvJUdQz&#10;LzWiRSPQreS0iVI5tKklkA5cOcNVsvZOONDkYD0c8VyaN4muAFbUkj56qvIptrc6wmoT2suqzEIM&#10;8YGaGkldmkVzOx18UtmXCrobDHcy1M9xbJnOiEkdjLj+lcuLq+iyv9rTKe43ike8vmOTq8xPrvFT&#10;zI29jLqzqftlttP/ABISAevzf/WorkzeXp4/tib/AL7FFLmQeyfcQXt0oAFxc/hO3+NC6jcZx9qu&#10;R/23b/GtTTtPe/1eS4F1GIvusborKD/uhhn8f1rWudBjJ2LFYXDnoI98R/IFhVqaObkZyjXs2f8A&#10;j6uT/wBt2qxLdTnSYStxOCZOf3pzjmtO48KS7lZLCRR3xKsgH4fKTVa70Wb7MkLeYiocjzIWX+hH&#10;f1o5kCi0UPt06gf6RP8A9/2/xph1K4zgTzn/ALbt/jSyaTMBhHjb6OM/lmqkthcQkb4yM9KpNEWl&#10;2LI1OYsAZ7nPvM/+NWLm9uBaWpFzMNxPSVs/zrIaGRDgqQfQ1auw32e0T2NOwk2TnULgdLif/v8A&#10;v/jSrqt2Gybm4OPWd/8AGs0xt70CJsU7E3ZqNrF4wINxN/39b/Gs7xAovYrJJHbdtZiS2T27mmhG&#10;4p2ojdLZx/3YSf1pMpN2MH+z7iJt1vckHr1wfzFaFp4j8TaYAsd7cGMdt+4frUnk885pwhHpQHMx&#10;b3xlr2p27JeXBeLgeXsAzWHcSGIBdm0tyd1WrrGWBC7vce1XNedkSJQmwKkadR125/pUSsyzC+0D&#10;YAy81FLJuww+969M06UsYgz4YMSMY5qFBubcoxj1NCQD1mRw3mALjqVpZNsYHyn25pGCNwMA57f/&#10;AKqQAqcuofJ9aAGliXHA/Cpo5VCgEsAOvOKjVY8795U56U/5i42ouCeSee/rQAxvLefLSMVPPJzV&#10;9LOUlGhRmUjOcgDH51EIi8Y3Hoc7cjB9qvLchrYo0QVAfuJwRSbuJinT3U+ZKdyLgsuMFff3rNvl&#10;VCNjHB7EH+dacc8r5ViJE4IBG6o75g1s/lvt65VlAJH0yfz5px3Ax7RgLmP13rj869dgDGNfn7el&#10;eQWozdwnj/WL/OvXrduF9sVoyjIn8I2N7J50skwYjsRihfBGmY5lnP8AwIf4VtRCUqp+TGO5P+FT&#10;oJv9j8zSGYX/AAhemhlHmTYz/eH+FPfwNpk0zytLcZbrhh/hW8RNuX7nX1PpUqib/pn+ZpAc2PAG&#10;k4wZLj/vsf4VuaTo8Wj2729pI2zdn5+atr53cR/mali3DO7GcjpQByXjO2muvKiWQbtuQcVxENtL&#10;FOyS7lcD+IdfpXoniM/6VD/uf1rBaNZMBhkfyoGZBDw2LsvJ3jp+NRLO7OpOCOnHatG+gMFnmNsZ&#10;kB6dOtZcKb2Lq7YJ5A/znrUS3JaL0E+ZSApHPbtV1bncMsWJPTdzWVDOQuflD9/WrKTNKpAX3weP&#10;5VnJCNNboFu3I64pftJR+B1PNZWWSbzcHavb8P8A9dT7vNYAYJxkljjFQ4gblrciRkQ5GeBzjHvX&#10;rnhz5dKRd24DvzzXiUcrwsNjDpgY616L4O1+VBFa3DyOkhKgkABMKWJz17VdL3WCO+4PekPtk07B&#10;7nP6U0gdOfzrpGJu9jSFvT+dKcfwrn6DGarWs0swmE0WwpIVClgeMAg8UAT5Pp+NId3al69ufQmg&#10;5AzkUAMK5HJJ+lZ8utadAlwXuEiMH3w3DD3x3rQdgqFmKhQOc54rxnxRKzarMrSROpJw0bZ3egPv&#10;UzlbYGJ4wu7fUL157eUy5RstnIztPQ07wnayx6dKW+VHlLL6nj/61c9BFLLcRRKMxuWEi9OMHpXc&#10;6Yu2129MHH0qYjWwy909LxBFKzFCc8cGs9fC2nrGUDT4PfeP8K25N25NoyeaYfO/uD8xV2AyF8Ma&#10;dEgVBMPcScn8arzeFNPkxuafk9PM/wDrVuHzc52D8xTHMuR8nf1FLlEYqeENLjkVwJsqc8v/APWq&#10;KTwfpLu7kT5Y54k4/lW8TL/c/UVE3nf3P1FMDJtvD9jp1x5tsJFduCS2eKtyQAHO9uvrUreZuXcv&#10;GfWobu5jgx5jEKTjNMDzu1tmltvMi2mVWOOe/P8An8KuOpkyJTl9vOTnB9KW2by0LOuGJ5VAf6/Q&#10;/nUU029idmcdP8npXO227EslcqkIBKq3Q9qgjdZCBIT5ZOAXbA/X/PNQNdMwwVCgdwM96tWsqS26&#10;7oRhG4ckfKPX1qWmtwK08csEqqiExk5YJzU5mEWVSIEEZwoAP/16sK6MxJPznkyDj8s1n3EzGTCe&#10;W0R9B/OjcCS8keZNzBQMHbGCPSslLUPznAzzxVxipUhCgZjhgSSBQGaRwmRtU5BFWtAJNxtrdU2l&#10;o++0fpUCP5r8OducgYHB+o7USS4PEgYE8jbjmmrcRhFVVVQo5B6n9aduoEhuN0Z2uqr2x0H0pY2J&#10;bG8t/vE81CsJlLbdnPzbQeasQxtE6liWG8HaKWgWIpRH5gIADbuSa6jTvkhRPQVzwsrma/kkWAqh&#10;cnL9Bz/nvXTwwmGAyOyYHbPP5VqrJalJGzbN0rKVtviK7J4Up17dqnhnZgNu9l9E+X9SP5VdFrI2&#10;HRbOPd94vmST824/Sk3dWRpFuLuZstlLc3DuoIQ4+facVJHo5ZtpuFz6VZvNIjlgAa5njI6mTBUn&#10;6rgCmWsF9D+6ju1Qfwo53K30yCKlSa0QPV3GN4cmYgqxZe4AGT+tFWZLm9t3WOa0tXZjgeWdpP5G&#10;ipkubcqNRx0sY0Uq4+VypHerMN7PE+Y7plJ75qmttNH9+JhTWRt3OcVpZGK8mb0XifUbfk3yYH/P&#10;Q/8A1xWinjS8tkiaYW8iuOH3YH9P51xcx2/dqu7sy7SSwHY80uVDu+53Vz4rW9ZBLbxRwMMlyVII&#10;+vP9Kc97o8kUREUexjtEkQwuf1/nXnrRoSCyD8q0YpnXSvKB2Ij4BHXnJNS4oakzsI7PTb69DC+j&#10;iSHqWkJDfQNVwaHHeANbSwPEM4eWPbn6BCD+debRwW+7LNJ1/hNacdym5AtxcQhVxlDyT70uXzDm&#10;8jrZPClwCx2I4PQRTY/Rl/8AZqpz6DPbpmSOaMf7Ue4fmhb+VZR1y5toXMGrXDyKPkRx1NRx+Mr+&#10;OSOe4M0z4+6qD5fxp+8he6y41gyy7NyA+rME/IPgn8qrz2ssl8rhCyRRbGIHAOa0JfF2yziuriJR&#10;HKv3CckH05psPiHRLWQLfQtDJIN5dR6+mKalIOSJmSIiKSzKvPVjgVHvtwMedGT7OK6yK98N6gvn&#10;Q3DgYxubJ/Vgaqzabo95cGK3lhlfgltgP68VXOT7NHBXoBdznvgEnj9KrXM0vmncwcqAD7YFdzc+&#10;FoHWR/lKg5yrHIPv1FZ03g2e/j89DOGYZ4AIJ/MVF0x8rRxxzIdzfjSNCrJ+7dB654NdH/wid7aB&#10;t7AgjoyMMfjjArLn0m7ibACFQf4WDfqOKL9AszNFszKRu3c9jmofmhYqw/MVotGI4hG+5TnJI/Co&#10;TDCVUyMXYdcnHanzAQW6rIWdl4A44q35hYhUXaMdCOtRPLtHyqML90DtSFnLLuYD0HOTRuJk0Tlp&#10;OXAwfXH6UyRSDjf15Bz/APXqrJK4JVvwLVoWn2baGuGJ4yPSiwthscM7puihkYHjKgnJqO6gvJQN&#10;1tNkdDsNbtozvhLaPcGI6ELj/HFbMVqxJSSZ+DkFHI3fhTUgWpwdra3C3UBaCUYlX+A+teoQy8Ab&#10;JP8Avk/4VltZKrqRcXHBBwXNacbVd7l2HNqVtaIn2mVYdw48z5c/nSpr2m/8/wBb/wDfwf41ieKF&#10;DRW/sW/pXMFB6U0rkt2PR/7e0zK/6fbdf+eg9PrUg1/S/wDn/tv+/o/xrzdYlKMSOQM/rSqi56Uc&#10;o7npsOt6fNIscV5DI7cBUcEn8BV1Z8M2Y5P+/Z/wrz3w8i/23asBj5v6V6IKTVhnO+IJA93Fww+T&#10;oykdz6ishRzVzxijPJCFYqQgIIOMctXM29/dw4DqJlCg5PB5qRl3XWYafHj/AJ6D+RrJhiyQyvtj&#10;I6njNXtSuo77TYnVXUb8YI74rNt3HneU5LBsAgg+v+fzqZCH4XdxICc889al3H5BGvLcHB5FVrkb&#10;WCgFSMj7uBn6U2NlOcM2QMEn1p20JLMlw3yBmz6qO9aDSLkAcDHtWKhBIKZDDjJPer0XL7zJuyOl&#10;TJAacb/IxLgMOR61reDbuGXxDAbq+ZLZA0jKI2YseflAHsOa5jzyqsjHa3Ymp9Djnmv0j80xB2wx&#10;QjJHf9M0QWoj6QtrmG7t454JN0UihlbBAI/ECpQV9RXL2qXUlpC8dxCI9i4HldBgcdam8q9A5uYf&#10;+/X/ANet/mF/I6DI9RVaJx9pmXP8ef8Ax1axJBeoyr58RLMBxD0/X/Oaj23BkLJPEOx3JnJ9aLa7&#10;jv5HT5HqKyvEU9zb6LcTWatJKin5E5LAjBwO/XP4VQUXruVS5gOOv7n/AOvWdr0WotpxSK6txMTu&#10;jGPL3HGCM596H6hfyL974jRfCsN/PEUe5j+5nGGPH1ryW8MVzMzlSrFvu5zVq61K7h0f+yr2dlmR&#10;9+xgCee2R+f41z0ly0LCJ0YgYIIPWsZXbBm3pEbPqUaxxsSqM2ByOhH4dq6mwkWOAh2AYnOM1xdh&#10;dRRT+f1RFfgAk9OlbWkavczaNcXTEqRcYHGMDg/41VKDk7Ibkoq50TXCFlO4dDUEmqWkbFHuIkYf&#10;wlgDWU+rXAjkcTAhB0BH09KyNdCHVpWfHOMkj2Fb1aMqfxEU6insdR/atl/z9w/99imHVbMsoF1D&#10;/wB9iuIaOMqegJH92oXgjH7zg7T/AHfWsjQ75tStR/y8xf8AfYqJtTtT/wAvEX/fQrgXCMPuj8qj&#10;CIf4V/KlcR3sl5EAr7125HOeKztQuYZogqtG4YZ+v05FatkoTT7dV4AQdPpWDqyRzXZVZFjYck7T&#10;1x7Up6IGcxNIFCjoAemTnFRM5bagRwpOckjpTnZWfZ5hBx9apSboSVSQsvQkVmlckv2sUT/NGGB3&#10;bTsxg+3NPeeO2hYRRrnPIUdexyapW7t5kYZo9oHQNimTsEkIWLB6568Y7VLjdhYn3FzhY5ST6NuK&#10;++O1Q3cLRgBI2Kbcs5PJJpsbKI1crsUnHTk1MunXd4+yPecdyODVJWYWKccpAORz9f8APvTPtCgF&#10;drZbrhq24NBkEpae4Xrg+X8xHt7da2bXQbRCH8ne56NcP/QVWhfKcla2bXCsI97D0wetW7Xw7eyY&#10;d0VIicbmOM13aWkGwLJIkYPGEACn8eahl0yC0YSmQbDzv3cj8+1Fx8pzkGgRpONpecjqUbC/nirO&#10;Y7KZYxYOu5gBI65Bz79DW07p50cUd0szMpdQV4wB2rMfxCZHEShWbOCHWi4WQqy211fvbsrF0OMb&#10;Nq5H04P41oDTUwJBE2PVWX+VZ/2/X5pnhs7KQIG+8sWM/wDAjxWhaaNrMyf6UFQP95Xf/ChJjuid&#10;XsIVAmaYNj+7/wDWpqazCJWhszNK/UiTGzH4/wBKvjTg5jbft2oFwB3FNTRrVLtrra7SsMHLfT/C&#10;jlfQalG+pkX2r3G5oRb26HHUZJ/pVCJdQmULEJ2X1VcCuwW0iVtwiUN645qXZxVJJbrUlu702MLT&#10;7K4W+jmuoQjAMA24HPyH0orc24dD/vf+gmik0NHIrq/zfOeP7rJxUkepW6Sb2KufQ8f0rUbwnGRl&#10;Lpl9dyZ/liqsnhd8/JdRMPUqRW37t9TnjKotLDFv7WRcyRI4/wB1TUKiwlumZ4gItvCheQc+1PPh&#10;28j4WWFh2GT/AIVTm8N6izMwgU57q4pWT6hzSX2See107fGItyjneeR/PND2lnsWGO4+RuSxIPOO&#10;lVhol5EmHjnU/wCyapKsvyoS5fzSoBPPQf41LSvoVFvsaf8AYiHlLsfj/wDrqNdKmaQqrI23vVaR&#10;buJ8DeB7piljuLhCu4AepKn/ABq/Z3RCqLYbd6Zc2qNPJt8sdw1Zfnqx+WQHPvWxeXreUUY+ah6q&#10;xI/xrO8u2l62QHspqfZspTXcuszx2FsGHzcnB79KqyyLPjzolcgYBdc4/Op5ZIrtIDNGSsYKoDxj&#10;GB2NQXNzCkwujFvYFRtOeg9KnlZV+hYs782UeyEKqE5IxxVtNWZtxNuhY8EgEf1qvFrlnfxSQzWV&#10;ushXCSKuCO/0qFZBJ5sMB2hFxkD7xpS03NKcOYvX13cO6eTL5KsqlgO/FLHr2tQABL9pAOAH5rBt&#10;bmaW4kgl5ZOhJxxVh/MHUN7Y9P8AOKiyYO97G2fFGpSRr9qIfH8EagD680y91WGKKG5a3hdpF3kS&#10;fMxbp9PxqbWfD8emaFFeJdmS7wGmiK4UZ7DjPFcpeXiXEFvsXLICCD9aEk1cqSaI7i6kuZPMZ0XH&#10;RFXCqPYVAPbljXc+FdFt5NFN3PYpcvNKUAkPCAd/1rN17QJGu43s7VIA65eNWyFx0PAqVNN2KdF2&#10;5jmoopJuIlkkYc7FBJqORXWXDpJGev7wEV3Xgm2S1a+33AjuRt+YJuwo68Gm+K4obnTZJnugxVt8&#10;ZMQTHXj8eKftPesP2Pu3OFaRHHIUsPWlT76mQ4U+3GKs2GnyXUh2IzFecRjJNSX1uxJYrOrjj95y&#10;D7dBWjsY8rJrVILho0AP+0QvT1J/OuiSLSEjAbLMP4iDWbaeHp0hBSO7aQqCXgAAUHtz1qxaWt7b&#10;ROQ0lxtJAJmGP++cH+dJWGotFoLpm9WjJBDDHJ61so/vXLw+HL2/t2uLnUFs2PzRxydTV3RLa8vb&#10;M2z+bOEBaRo2xwOdufwp8ysW6ci9rAilhVpF8wJ0AI9QPQ1zl5d2dumFs2aXsN24Y75wBWhcWtoI&#10;EudNluRGxKzQyndhh6fjXTeGIfJ0yafFuPMfDGVckADoBj1odS0bkKjJ1LM4W11GGdWC2yqRjcpz&#10;/jWjamGaVla3QKEZuCc8AmrXiXTVS9GoBovmQIyxjgknt+FUbEhZWOGH7p+o/wBk1cJ8yuTUpuLs&#10;XIL+10udLqSBsKcBU5JPYV0OkeKIdSu/sklrLbTFdyrJj5h3rL0C2ttQv/JnxnYSmemfWteLS4nv&#10;Ypg5Mkb5Deg5Hp71nKfvWNaVK8Gyh4rkCXcZOSPLAx+LVztuyN8pOPkXGfpW34rHlzxncW+RfvfV&#10;q5tZo/IIJJbanTqOKsy1vYL0FdIgC93P8qy4meM/PuLdSd34/wBKuXl4LmxSFflKEtlj1GOlZkR+&#10;bLEHAH/6qlodtS1NcJGA7gkkY2rxyO9JbMl0rsHCso/iXmux8HWIltrq52Wkz8IRNn5B6/59Kh8Q&#10;WZCrcxJbRuRsCxdCM9eajnSdjX2V48xzE7FUjY/exngYyKWG45C42/XirhthM64PmTFgECdWzx9M&#10;UTWN5bx77gJGjf3u/wBMVV1szKMG1cgmKyyKFbkD5gxyDzUlkrmQphIxxnnGPf8AnUQgY/MGUr22&#10;nJpJbTUJRJLZ28rRI2wugzz1/rRokJRb0PV7HxHNbaIkMdqrhB80okxyTnOMcdatz+L5tvz2K+Ww&#10;2kFupPQ9OK870C/nksJ7SdNsgK5YrzV68mnnSRVYs+0BPWjmQtb2O7sPE6XkPledC0oJAjL/ADDG&#10;Dz68jmrU940cbyDLFYw+M/e614v/AGRqcd4drpHKpO0+YAS3oMV3tvfNHpqiWRt7RI+c5BbHNF09&#10;jRxa3NiHxSyTOgtSWByV3cj26VT1rW72/spLeTTmKSMDHJu5j457c8Z/Ouc1eaa5nFxp/F04Eaqp&#10;4bjr/OsW3sdV0q5ivJria4hY7rmMt/B3xnv1xRdAoORFezeVcPFcqcq3DZOT71Hbhr+9+zW8XmSH&#10;AUE4H1Jpt46TlvLidVBO3cxzye9aXg+Szi1hBcrh2RlByVyfwpPRXJgrySHal4e1TRLQ3hns5DGM&#10;tBGMkr356mtPTZB/wjMsm0H96HCknvWlfT2z+bC0WN37vqQMYx36mq+iWK3FlPCrbYBKQFKnoOne&#10;iEpdNzetCMbdjPF9C6vmBc45+Zv8ara5Ip1SVXGB8hyOvQVq69pEVhpjTW0IknZgiLz1J+tcTc2H&#10;iCaWe5uEl3xDcd/Gcdh601Of23cydNP4VY1iVPB3Nn6UybYF2EONx9BUEEp8iKR8LuwealnmjeRA&#10;jZ+b0q7mTj5hFapNKE3MoOSSyjjAzUkdpAzA/aQScfwEUskrQxl0GWxjH1qibm7igNz5BaBDgvjj&#10;86LouNO6uegRr5VvGn91dvHtxWbqa+ZGRzn271NZ3U1/p8V1GiBZF3YLH/CqV7HPLAzJ5YPrknH6&#10;Up7Ct0ON1CFUIYDPJ5UY9v6Uzy2KMsyEqOpPau3uPh95irO2q8bQSoj+6e/Oa5a/tZLKWa2eVZTG&#10;flPOG96yUlsi5U5RV2ZYhtlJw+CORxwTUkrSyE7csOn+fbrT2tleIvuG84+XNV4pNkeTgKDke1U0&#10;QWba5EcuVh3SAYIVRx9Ca1p7mLyVMj3YjPUq2QD7iovDmjRavdOl1M8Nmil5HjJzIewx1q5rmh2W&#10;lwG40q+kYKfnjc54NTzLY1jTfLcUaqunzCK5uVmUDIjljAOPYip7fWJbmTEGmSCM8K5TOD+HatSO&#10;C0VRczJEH25LsBnFVx4kslyyRTtAGwZFXge/rV8uhCbGXljqMrAW5UKUGcnHP86pt4Oku5BJd375&#10;7hMn9TWzca/p0Hlnczb13Daucis+XxbHtJtLGWY9lJA/oaFZBds0dK0KDSx5cDzMrA5EjZHTsOK3&#10;bWxtYMNFbxIx5yqDNcdZ+Jb6a4IurRbaEIxzgk5xxWbca/rk0z7b3bFn5Qq44/CqRLPTywAOSMet&#10;V5b+0jzvuIlx6sK8ulN7cN5k97O4PbJx/OkEWzGPmGRnc9N36EcyPQ5dTtYQis5JZdy45zyaoP4i&#10;t0vfsqxP5m3dngCsDfdTweYCoSEeUvTOAfTvUAjmeUzMzFsYz3/nVqjUkrpB7anF2kzdvPEM8Uvl&#10;xW6dM5OT/Ss+XXNTcZ3rGvsKjubZreNS0gckZ6niqqhnO3CH2wf8aqNKVtSKmIgmaWjXt1PrNv5t&#10;y0i7iCu7jJBxxRUGixmPXIkIwfOi/UkUVjLc2hK6udYL8k4Iix6+Zj+YpgnQqPkXA9JAaiSSNhxO&#10;+R15z/SgvFIT+/H0OP61NhJjt67uY5OueMH+tTxOAekn4qaqFYDgtLCx9wtN2oq/K0Qz7YosO7Lk&#10;10hUg7s9vkP+FcWXVL6ORuFE5c8dgR/hXRyR/KcMuMe/+Nc7bc3dsDjBLHpnuaFuB10er2sq7fOi&#10;+fj7+P5gVI8CHGY9xHQ4U5qiEjZtxVGPqUq1NID5YLAsBnJ4qvQheYyWwt3+/AvTvGP6Uo07TPJ5&#10;tAWxjIRqlSQi3lSTaVIPGMistbC0VlmSACReQwzx+tF2g0fQzNMs4LrWBbun7nMhwD2rU1Dwhpck&#10;YlzKgHGC5xVHQcDWfNYgKI2OT9TWzeXMOoW08NrNFJNEAdpOazk5cptS5efVHOJ4Ts1vhLHLIsca&#10;lm54z6c1FoGpQW8t9EwiWQMSHdCe3qBVtNSSPTNQtpJGa4R0GQcBt2cj6DFY2iYhnurhoLmbJ2hY&#10;U3Z9qizkrM6FNRldbFe5nXUvE6CEqqviPcFwCfXFaWoaXLpNq13I6PGjDIBOeTWTbQka8vnQur+b&#10;xGThkPbNa3iTW7e/0uS3gdnKShS56NgEkj8a2UmlY5pxTnc6bxPfxnR5pf3RglizEwP3t3/1q8ug&#10;YOuDXRalpzWvhOznl5LD5Mt2PtXOWzbCRjkjjNRTVjWtLmeh2nhq/uxod/GEaSGErtCnnJzkfpXX&#10;aRfT2WlG5Cxb5uSXPzBRwB+fpXnOn+KL3TrF7GOGCWBm3lXTODx6fQV2emy603hz7RfWqhJWDQbG&#10;2nb34+tZVIuLub0pqSSIDbzTeKVnRAm+Bt5j5w3Y4xWddWlzqWnXs7Kr29rydwwWIznb+Gant49Z&#10;h8TWNw8ObWXKctgDjJz79617C/sG0q3MESsp+WZi3Ruc/Tnr60bJMdua8TE8CyWMAvRIxEjjCkNy&#10;B0qx4juLJ7MoHcOJFwrsTjB61l2N3pUer6iyEQo3yQ/wp7/TpUcsUd8q2dlG91eNJlRCS20e5p68&#10;xOijY7ewjltdHtkS6gCvEXd2YHLe1cq8klr4pe1hmUrkSvgcbtoJH+fWuqg0G+0/RbO2nBMu07wr&#10;HA5JxkHmuJ8SaRqej6k99JEWt3fdHKo49gfft+FOC1swqS91HS6tqVu915YaMPt2lMfNnHFaVrBa&#10;aZp0KxzlVMWWOVG5j7k+tcjBqep+IbyI2eltNdSHYp/gJ64z+tdjb6Bq+l6NDBdjNzks4DZCgnOK&#10;iUWkaQmmznr+AWwmELExzSBmbGBkjkj8v1qTSxcGCcRn5NufmXIzXbw6cmkaHcX8sfmTSDYFkAIO&#10;75R9fpWFckQoYJY9uz7yFcYNape7ZmXLepdGBqcLvbxsitPdAE4TsPp+Nc3Jd3tjdBLxJFRuDvGO&#10;D6V2zBoYWkt0G/AXO04AJFYF2ov0SR4hNLC4dVXgnnpTUnHQJ01LW53WleCJ9Pt49XcsUK5SMckq&#10;3fjpU+iaLPc30oEcqRnP7yQ5x6da6/SdbtbjQ7J5iIpWiAaPaflI4x+lTPq1kpEYfkngbCAf0q3R&#10;vJSMFU5YuKPKPG2j3trqUETwFxNtWEoOJDnoPfmsttHm8OtHPe29tNBKPKkMbbjEPXNd/wCLNbto&#10;dU0aK4KkNO8i7jwCFZR+pBrlvFF3bxaVcJPbqPkKxkSHLE/zqajadjWjBOPMzmfE2n6ZDYLPAUjk&#10;zkBf4q5YQ5b5CXB4wF5/+vW/qv2IaFbNLMZLyUBkUPkqOhyO1O8INDDe3F0213jhbapHIPqB+fPv&#10;VQTsY15KOqLXhqy1CF3+xLuaZCXUnACg/wCNOuoG1awmlExiltWbfGy8D15rtrKPSbXQ7Wa0aREk&#10;TeXB5cn1+lU7bRVVr0IA0d6CCTxklcZqKa55lYqXs6KaOB0u5l0zUbK8uoM2zPhXAyrLnDY9xXWW&#10;GivqV9Ld3cLSWqytGkQ45X19BjFdHo3gV49DjtbmEXMit5sby8IjEk5x36nrUl9pl9ZWzic4jBJX&#10;Y24ZPXiitGzuh4aV42Z5n4l0wadqu+CMw286bkjLfcboRW7ot3ajw/GcTKY8h9nd9uOn61J4n0lb&#10;vSUu2llDxcKCflK9/oa5iHUYLS3mgUyoGIZXQ53Y4IpOLcdC1KMKhrXU8VpKXTc7yBUCkcsecdPr&#10;UlyNT0Zba71O2AhkbA2nBT0zVHwndRz+JrVrtcK28opPQ7cA/Wus8QyW76NeB3lKrFg7mJBPr9c1&#10;LXK0gVNSvIraneFJhEzRCUE/IMbt3GT+mKddLCskYCM0YiG4A9RzjHv1rofDnhW11vQNL1KeaUuY&#10;l3jg5YdefwrY1/w9pkeny3e77JJDCed2QQB3FawpNK5NWopWSPOLjw8LnSI7hbuSG9f51QhsKOwz&#10;jOapWuuXaWk0N8GNxD+7kyDyAeOfxrobTWIrzRYp1jjcMoEjbBkkcYPevPdV1oy3uoKV3RyYVAvA&#10;BDdf51jFuUrM1mlCN0W7+MDb5DM5JJYFuhpukRRzavaQST4dpRyD0/z0rDe+VoGBUiXswP6YqKNm&#10;Kg5weua6OTTU407M7vWpRpmqOI45Jp88RyMTtz2wa0PCmsI1/cadLGY5ixcAgj3xjtxzWL4cjuLj&#10;WUlmnLTwx7syHcT2rS8WRLbzwatbTD7Qk21XC4JHp09qzi1H3TonFzXMzsblFli2v90fN09K565+&#10;xRSrvuJ5GQEn5lw3NX2122eCPa376SMNtx0JFc7c2Ru3MkdywhXmRMAN+fXFTVWtysPKyaZB4dtL&#10;S+1q4aaB5be2O1Y0Qncx9f1rL1eOKz8UiGFXjhkO4Kwxg1r+Gteh0573T3byWmkMwfHtj+lY3iHV&#10;E1HXLXym3/ZxhnA+9zRBvmHOK5PM29ElgGqiG5i3xuh2/Xrj8a6G5Wz+xCCSyWMN8xRkxk+wP0rk&#10;4JIZNSt4WnWJ5W2Bifu57mukbS1sruUiByQN+5sk/madVNPQnD/C0yjHDdaxdyW1l/o8FuvToMnn&#10;tWNFd3umao0N4rkpyFbo3fj64re8OSLLFfR7sOzg5yORWf4khhjNvJHhpvOwcnkr3z61HO3ozSVJ&#10;bo2bqe1mPnbWBlIcYY42gY9MGuP1i7j1HWUtYhsyyoTn1xzWq8tn5UYtr4x26KBJGZNmTjnK561z&#10;ru1/qxTTLNpTvBjWJCzMR3ohF7k1XokdjqXhBHZ1TzFCFQpGM/8A1647xBpL2GqSwrjDKsvXpkDI&#10;/OvR5lcRobsNHcYyyFAecVyHiWC6W7e6aKTyQFCuF+Uccc0Qm3Kwq0I8l0XfBmpwR6fLYyIqOOfM&#10;YcEE9/SjxPdRJplzEHileTATy8YAB9qZ4SGkPbXXnXkcd2/ylZjtBXrwfrVTxRZ22nCBvtCecG3e&#10;VEQSR60uVueoKVqRnXNrc6k0ahSN+wABjjGeuPXmvRf7MFjE0CJZxQIgWPLA57Z9zWP4fi0nWdOW&#10;K3En2uKNRIQxUq2Mbgfr3rSvXaGNbeUzb1wC0bYBIrTEtJrlM8Gm0+Y5i+0n7HqDxxlDGfmCr0XP&#10;YVPBahlyzEH0rprAebaF5oyh3nG7rWoT+6UZ7d+KuNaKjsYToyc3qed3FqyzFAxYycAH6jj9a1E8&#10;KahI+UtAqn+86/41a8Qn/TbP/e/qK7eCTEa89a0hW6pGVSheybOPXwfqLR7Wa3C+m4/4UXnhOa00&#10;i5mkli+SMtgAnP8AhXbGZQfvciqetNu0G894W/lVOrKSsSsPGLucJo+jXGqWsjwvGoVyvzH8a0V8&#10;Hz5+e7iUeyk0vhCcxaTeEHkTf0rRa8cuTuOOlJ4ucFZD+pQqS5pIyZvCiOxDXZP0WqiaLDbSFWd2&#10;/SuhS4wD3NVbwGQeZ3xXPOvOS3OiGGpw6GBsS38TW6xDgtAef9/FFQ3LlfEloeRkw/8AoyirhqtR&#10;uydkXGuAMkP/AORP/rVD9uOcBs/8DH+FVSJckZP/AH3QsDFs5/8AHj/hVGN0X1uA+MsxHplf8KGu&#10;FBG7JA7HbimW9ruPLED2erTaaCmQ7ke5osFyo0gMbk4PBxwv9Kyo1DXcKZIwuTg49TV/IWWWPdkK&#10;vIYdKorG32jg4IQDP4UilsasfyEHz24PTfVm48u4kXzAucdcnFY0PmLKMS7vYmrEuWlDiUKPoaq9&#10;jO6NHzBbWsoi8pMjPVsZ/OqMV5cbwG+zlec+WWz09zVtLX7XA0bEMrDByMZ/MVQms47G6UCPDbGO&#10;QMDGKd7oFuc7ql48QjiViPMX5ue2TxUNnYXepPOLRXJhiaRip7KMnuKm1rRbtkhu0KtHJ8qJnDD8&#10;K2vCNzFZ6Bq6yXdrFNcW7RxbpAGB5zkdcEGp0sbpW3Oa0+Qn7QpJLOFYH8D/AFIrr9F02K0tbqSd&#10;5xIuCVikC5GO4Iyeaxrbw7LH4ei1yOcS+YdphC9Pm29c9M4rvdNsVutNsne9ET3LNHKVhyPlHAB6&#10;mpVpS0JrO0bSPMtctbvT3WVmKtLluvIrHjD/AGY+gOf8/lXd6tNnSrnULxUZtxhg+XGVHG7FclfG&#10;ERWyQRlMwhpOOScn+mKcS7KyKxuJZFSOSR3AG1QxyAKh83A2kc5pGk2cgc02CCa4yyfdHBNN2WoK&#10;7J4m55Pvj1rpLLxjqdhp62cdzP5KggLuQgc9tyHFTeK9PttJ0fRFitkS5aDMzjqzYHX865EyjbyK&#10;atJXBtwdkdD9tvdYZrlmkdbfks8hJye2en4ACtjwppU95p+oFY1lVHyM+oHSuo+FOlRrpIlmiDi8&#10;mLBWGcqvH+NekHSrJLoiCKOEN95Yhtz0GT+dTOm+hdKrZ6nzvo2h3Gu6obDLQvMxYM6nC45Oa9f0&#10;fTrbQtJtLCMR+cq5aRBgse5zWtdR29vqyJHGinY2do9Qay7w+VeQRhuREevfpRUjZoIy5rsutqGy&#10;MpIm5jwADgnpxz9aktbmK6mZZoSESMny5OQT0HFYstxsEchTcgO8nGccf/X/AEpdGujcay8JOXIC&#10;jPfkc/zqZRS1Gm2rHQ2Ghx2+r6a1vGkdrbwyM6L/AH2wcmukkt4JZhkgkcnJB4rGv3mAuVtztYoF&#10;GOvWse7mvohKqyMQAqKvpkd8epxRvuVbsaPia3N0+n20fa6SSQZ/hXk/yrB1e2iutdLSrujCK0gz&#10;jcc4ratXmm1BfMbcFDNz+X9ax7mQf2tccg/dQ5PA5q6cOd2FN8iuXruFmsmt7aOKIP8AJjZkKOOe&#10;vWuatfDjWuoNICzgfdJ6Cu2xGuxSwDYzwaYREIWYEHd8355NdnIrbHLzyKum3yRu0E3RTtAxWhqM&#10;sNvAZJCqogDEnjHNcZbTF727Gfm844+nao/HOryJplrApxJLgsM+gwM+1ZyVlcq92cj40uZdc1u0&#10;EUZSBQIhIT3B5Ptms3xbp5tZLbMxbcudvmbsGtuQRNECzKd3PrWdf2drPD95Q46VyyTcrm6laNjm&#10;XsHktWniIOwfMvcgda7LwD4Nvbl4NUuLiGC0kUrtY5Z19cdMZ/lXMWc2LjyRzlsEDv7V7J4ciaKB&#10;bOIMyW0SINqBunHfg9O3vjPNdFKN9znqJWsRX/hy4soYbSx3PAgwGYqQRnvSTWt/YMlxZ+TI8OCE&#10;mPye/Q+9bjxEsVaKXB7Nagj9DWZrDx28IVQqliFH7oR5P/AuT0/+vV06Kg2wqy9qlF9C/wCGbjXd&#10;XvJ73Vd1pajCRWaDbuJAySeuO/41vXNklxEY/LDqO3WqGiXLNpUUkjAnoMDHHb9BW0LmLDfMAM4/&#10;TNYVI3djSMmjJj8PWVzbvb3kEbwNkGM57ivD/HegwaH4i+yaf5jwTRCSJG5YZJGAe/IP4Yr3i5v0&#10;WVo485AH5muM1KwW6+I2lzOgZbe2eXkcZU4H6uD+A9KUVZWKV5s8jurHU9IubaWe1ljKsrBwOhHb&#10;jofat/xa99d2NqqNNMLjDhdvb3r0/TtNef8AtC4Kx7mu2YbgHGNqjkfnWiLVlYoACFAJZgCc+1Jw&#10;5mmdShZWM/4f3Esfg+0hlhkhkiGwpIMEnPYZ6c1ma1dL4o8RR+GPOkt47hMySqOdo5OM+uMfjW9J&#10;MltKsaPwBuYY68/p0/UViXNht+KGj6hauksEtuy/uvmyVB49O/etW9LHNOHLsWZPAFtY28VlZwyN&#10;FGcqzcls9yfWuZ8bfD/SdF8NS6q8LLetMijbI23nrx9Mn8K9ffUo0lKCE7s7V3sFBbuCecVw/wAT&#10;SL7wjfIXOIWWZNrgnKkBv0ckHvWSpKLbE6rkkjwzVPDt1p89mNyvHeWwuIj7EZIPuKo2VvNcyCKO&#10;NmOcHHavUfEjaTPpujafH532uyh272jJBXaAw45zwK8/WdVkVINy5k4XGG+poctQUVa3Uvx30une&#10;IIXt1Vw+U2ufvDPSna7qdxPcR2726QRRkNtQk5PTvVHUJTa3dvPsVinzbW6Hmn3V7Lq0/nSRKhxj&#10;anQYNY21ub305TUsLj7TqEknUjuOlb+p20dn4fFw6nz5mABJ+6vXj8BXErdjTwjJ98uGOR1Heu8u&#10;WF3aaRFJMDE9xHvEnI28kj8quqrJamcb39DnNA0mDU9ZkuJ7pbdIlBUtnLZ7YrP1TShp961wkivB&#10;I52uARj256V6eunaGk7yRR2uXHIyen5VVvLXTmUxl1kgkBV4sFsf7QOKxctSlKMkcDregLb+HrHW&#10;bdnIlO2UHPDdQQas6FeavqVnO1zqMz2kC/ceTr6D1Nd1daJb3fg5NJhfzGRkCnoxG4f0zVTxDo1l&#10;Y6B/oVqsPksW/dgj5T2OevGP/rVTlzRCEXGRwaXE0N3DNal0cMUZcZ9+neo7q6vJdVY3LB/LGEAG&#10;Bg1PDFcMzTwje0bg8Y7+nrUmr2t3BqOVtZFMwB2leSPaoWxu9y3pXheLxJrtrEGKREhrkjqExnj3&#10;7V71o2j6Zo1qkOnWMNvGAB8q8n3J6k+5ryPwKzwS3LNGyMCp+YYOMk4/OvT4dd3+fCkRUxjhywH5&#10;g10UtjkrLW6L17oenX8pkuIEMndlOCfyp8Gl2trbtDHbxmIjDAnO761WS+mkiidxEjhT5gaQde2K&#10;bFqyAwwMku6SMlyekZ4wCenc1p7NbmfM9meP6z4Qt9T8P6vrdnH5d3bX8ytGgwhjU9AB0x7VyOga&#10;aviXxPaWLO4SQjzWxggAc17H4VxLomv2pKs39oXIO05GDXm3wytSvjWYEcQxSL+OQKLITbsexWOl&#10;6bpNuLTTbSOGMDB2j5m44JPc59arXegW8r7yn1wTWhayAXxDDopxn8Ku3Bj2kIRuPrScVLchTlHY&#10;yF06OGMKVVouAVbmsfUrdLacCFv3TDgHsfSutfy/KIZhnFcxqIBs1IOfLkwT+n+FTKEbaDU23qzj&#10;vEHzXlrzwP8AEV2EJ3RqM9Oa43XW/wBItjn/ADkV1MbkIPmxUrRFPVl/yxnk8/TrUOq86Jcpn/li&#10;R+lOikLAbjnB/pUOoOf7NuQSDmMj9KpCl5s5nwjt/su83ZI84dPpWpI0Ebf6lz3rB8PSeXY3IHeQ&#10;EY+laCzlpcEnNZT3NKcnsi6GhycQsOO5pXaEpgxkfjUBldTuHI47055yQO1RoaOM2cxrAWPxDaMm&#10;cARn8pKKZrj7tYtyMcIP0cUV0Q2MJ3uK80rnOwL+NNQSk5VQfpWddWTM8KW9nOFe3EjsSSA2ORzX&#10;S+AdeP2aXS55AWgb92T12n/CqTI5EQK9zjMdsxx14NTLeXqDBs3x/ut/hXaSXsOP9YM/Ssm9vE2H&#10;D8etSxqKRyV5JM4ci2ddw+YhTVXMqTSFIS4IAB/AVqTajC83lCQEntmsqS9xLLHwQGKkdahj2RHK&#10;02zzCiooHqKs2ql23FGBwDgjg/Ssz7WsRMTwrgcBdoHvknGahtdWaOY5Zguc4U4/P1rK7M9GdUv9&#10;oxj93CAOwwKiuv7QmiPmwjAXBIHaptKvTdhpE5zwRtAxV66LLbSkjohNaqTaNYxW9jG19/I0yxKg&#10;5WDI9sj/AOvXns3DMecYxXo3icldDSaOPcvlLHn3z/8AWrzkoZJFjJwDyxHaqp6I1rfFY9E8CyyX&#10;3hW8sHJZI5DsB6YI6D8efxrotG1fTvs2maf/AKSLmAOh+XILnIzXNxabrnhnQ4NShWMwIC7QEZYK&#10;cct/9bpWjY3VhHp9x4jUofMjOyEj/VueCKhPlbaInCU0m+n5GF42nimuk062OYYF5x3NTaX4QTWd&#10;JlurvdE4wsDKeoHrXPJI088ksn3mYsa7+91C40/w/pttbnE1z8gwOeg/xrekluzl9rKpOyOZuvh7&#10;JFKq/aHdf4sAVnXWgyaHdRRHc8c7qqn3yBiumvhq+jRLerfvcmM5kiyRgfnU148OsW9lPIGULNHK&#10;cDkc/wD6qp8lSD5UbpSpTXMZfxKKpqVrHnG2PIH5D+lcGsZuJUijGSxCjivQPiFbPPrvmbgIkgQg&#10;f3ssRgfnWDc2c9gqtHEdwYHIXlT2rKDUYq5rNOUnY9hsIX0Cw0q2hU744RHgDByev9a3biS+W3Ec&#10;0R/2ie/X/P41zXgLVD4ksY7i/AM9nlHbHVgetdbdSl7KV8AMCF5HqcfyzW8mnaxik1ucpPPK2srl&#10;W2r99uTjI9amvY1e5FwjblaPav8AskGi7CXti1ux4MhUjPJGRz/OuMfxDeo8lhYxI8aSEB2BO0D0&#10;6VNaOzNKLveJ00uGk+VuChz78j+hqG33ac7aujJm33hWcdTzWPpd/dapdTWzQosifMzbvlCnv09u&#10;lT3lwNUlOmWbE29upeVv7x4/r+lc83daG8I2ep3Ok3st68bXDxFpowcqu0Zzmp5yjTzSKucdOTyR&#10;0rzG78Q6haKuk2A8y+DHYwGSg7cVct/E2uaJf20WuMJ7a5AQPtUGOQjjkDuaiLstS3q9DorvU7rS&#10;EedHjBI2hHTO4f0rlr/UpJ3e8tsmRwN6hshW9K023ajI15dyokQHyrkfL7n1rE0MJdwkQgmP7QRn&#10;1CnrVwUk00EnFo7e1eRihlPIjG78qjvLiVLRQrEYUDrTp7yGy0ue7n3ooU/eA7jAx+OK4e58cxTu&#10;sUlm0cbEDdv5A9cV6XMo6M87V6ovWWpm11O7IQvMygx7vugDOTXP+JjfXZWV453VLcMz7DjLZJx9&#10;M4/CupltVhmWYIu0xFVbHUUyW8GqeHL2OE7RBD5eR6jk1w16slKzOynSjKN0edtd3Mm0sxxSPLLn&#10;hjU5iAGQOMVDIuDntS8jMbpMU0d4935DSx27CR8egOa9C0DW5bi7a42rFHLB5gDkEdRjk9+e2MVg&#10;aNbiLw9qt6/QqUA/DrVv4f3rXVhJAXdZIMISrsp2Hp0Bz/8AWrSjJudug5wSjdnarevkuNm7rkNz&#10;/wCh1ha3qMjxqXcljIAcNz+PJ/WsnVPFU41BrWyBba+1mciTJ+m0VCurtPFOt/GY5rchnAHAXPJC&#10;gDHfvW8qi2RjGDep6npXnR6FbM7DblFII6dAf61sIgaViR0bI/IViWOrqdN8qGJH/dlgwkBBzz2+&#10;tdBEm4s5z1/pXNzXNXGxjsXbUSqjP7wfliqNzPKniSxjGwCaM72I6jkgD8jVm61O300XM8+4ZOxS&#10;o9f8iuO17xRpza9ok8E25reXbKR/CuGBz9N1TKSs7GtJO51UGohDLbRAYSQ849e1R3eqtZQsGPzF&#10;ulVtRFnp11Nf3EqRWzr5hJbALVx2l69f+K9YKxWkUOnREmWbJJI7YPTNJVPdOiTV7HS3V/PHbR3J&#10;jabzJMbQSDjIGfp3+lWrQf6bayBSN0zgjoQGyD09M1DaiO9lYwMi21tiNVJznBDH68DH4mpVaS1a&#10;dsKZIn81QxOGU9efrmp1spMiTTujozCjOw2KRJ8r5UHI981zPjiZf7EuzGoy6qhIHJGRj8qvR+Jb&#10;d0X77OzFWMaEhW9zWXfzm/v3sJLWQW6Z8+VhhQoAOB7nIraUkonLCPvHn/jiCS4vbSGAAyMhIGcZ&#10;GRXIwSm0mDH7ycEGui13VIdT8YbgheCFWUKp9BxXLXQdTl1YE88is6cfdKqS9/Q9D8M6DF4gRzcT&#10;JHbIozKwB5549utauqeDLWHTmvdNnkuFC4j8tAASCVOfy7e1TfDKGO48OtZsm8PK/mD/AGcYrtEt&#10;10/w88C52KJQmfTLEU+RWsHtXe5853d35/y4IwevrXd6ZOb3T9JUsAd4746Ag4NeeRwSXFyEijZ2&#10;Y8BRk10sd7eaJo0CsJLa9hmYwkqDjOM8H2JqZRWiCMm7s9UtrZVi3bJsn0bI/OsrVbRMlg5BA6GQ&#10;n9BXn8XjnXIW3vPFN/10iH9MU+48fa3OODBGv91FP+NR7KVyL2NpfFKadM9vducJnkdxXSfDq8Or&#10;eGZLS4kLsszozuckg4bkn/eP5V5Jq98uoXazAEHYobPc13Pwsu0jOoQyvhQUfHX+9n+lX7NRRo6r&#10;k1c9M04RQRzW0EEaLG5HTqOxqyZYxGg2LvQkliBj86qXLg7ZUiQBhtKt/EPWmL5H2dSAfN3HOD2A&#10;/lWZTuQwj7XfXD+XgKoUkDr1Of1oms5mt5jCzKxTt1NLZW32K2lmmh3maQspPDKCe/bpil0IR291&#10;JtdmV3YneSTg84/DNaUyJlSMajbaYjm2l81Yy7hfnJPp9arW980upJOIZYVitA8pdCvz8gnB6nj+&#10;Vd4ywxLiJhz27isDxJPDa6PdTTSCMIh5PcnjH9PxrbmZi1qzF+GdxHc2WqyCUOJL+RuvY1zXhL7H&#10;pnjHV0dx9re5aGKPdyQTknGKx/B3iU+GI7wJJIsMhHziNWIP/AgayYvFLS+Oo9ZmVRmTD4AG4dMk&#10;Dj3qOa5XKj2o3yPqFuseW3K2/jkADk/mVrUUhztI6jjnrWXpVtFPqNtdiRVYw7Aduc9/Wt99OkYH&#10;95Cg9ApP+FKEroVSHKymyMFwyOo6fN2rCaQT2MihlGXbJJ7DPT8cVty2OoQ/Ol+ZCBjy3HymuXu4&#10;JYri7kkgRJI0DgLyrN16H1olKwo0+Y5rXSRcWwOMg4I/GuhEpLlP1rjdQ1eG/mhaHBxtY9uR2rVP&#10;iuJwoFqF9WDg/wCFVGxnOMraHWQIfLGGqjrcjwafMAM7lPU47Vn2vii2VRvSQe+MipdR1jTNSswv&#10;nbXBzgqat2M4xlfUxfCxDwXKSYwMEflWlLDJG3nR4OKxfDksMd5cRyyKm5eMnHOa6LKBdolRtxI4&#10;NQ4pmnM1IpfapGiAKjPtQ102zp+FKo2sVII56YpzwFoWZRzisuQ1VSXc5rWJA1/A+Qcxnp6hxRTd&#10;TVtsUxjC/fGPxWir2FuSXs802nxXRkubNInYSwzcF1H3fT2/X0rjrPWJdP1JrmAjdno3Qiu7ubbT&#10;bj/XRzznHHnTlqZHaaVAd0OmWqkd2Ut/M0x2KsHiq1uIx9ovZtxHKxLgA+nQ1l620+pusmkPdumM&#10;PCNzc+o4rqIr6JEHlwwRHP8AyziVf6U59SunBw0jfQH+lIZyOhaDrf8AaMUs9lMka5JMny/zroI/&#10;DkkZaeUxrPIzHDSDC59xnNWgLuVRhJGz/eNSR2N07AsVT9aTsxWMmTw880m59Qt4yBjKKzZ988fl&#10;UaeFrbzixvpGGcECMAfqa6Iae+fmlP4CpF06PnIcn1JpJJByIpWS22lxlI/MkyersBVqTUUZCvko&#10;ykYIPNTjT4iP9UCPUk1KlmE5Eaj04pjtY57WbqW50hoCuIkGV2DAX3rj9DWGbxDYpcHbEbhCx9s1&#10;6jNaPPA8TL8rKRjPavNta8P3mjWsN9LiOOWQiLk7uO9TdL3X1NG23fseq3c8UrsrXMpVpOVKjAGP&#10;evOry/sYmutPhdVhWRiu9sAOT247dK3NO1e8vPD8JmlHmBCrHaMkc965bQfCtz4j851nSIK23LjO&#10;5qxU4QTlJ6I3qpy92K3JbN9OkCQvdSLOzbcoisrZPHVgR+Rr0W7tYxqGmtJny4IW24wCCRj+leaa&#10;Xo8th41s9OvAFZJhn0wBnP6V6trt7YR6afIdWvWeJCTyYwx3dPcCuyLi4NrZnBCm4TTRRn+xGF4l&#10;ikJ2FSztkE8/nWPYIYNPWKYMFQYPY4zU15IkChknEgPKIGzW9pa2/wDYHlSiOa6uMYTcNwLHC59B&#10;WeG0bT2OvE6pNHPeINcsJbjTxKuYRcruBwflGCSfarM6QhvONqAjHIYsCCK574iaVbYBPDPDzIV7&#10;b2EZ8y7WMGWQdM44AH50kqS/8IzHOFfcsAH3uDgdazqw5WkaUqvMm7HX/DrUYGutXhhiLrJcgqq4&#10;x0we/Su5v9Uj8tIFifLHaSR1Yggc+leL/DBJm8VRxxyMoYfPtPUDrXs15aJFcCMguhDOB9B/9eum&#10;KtZnJLVnJyXkqGYtF+7UEb1YZz24/wDr1TstPgsdNjldyJSD5nQck+5/rUs+malf30MVnbt9kUgu&#10;2ePfNWdbglg2oCCx68cfhWFeo5bnXRpxhqjlNTmWx1VI7aUhpo1Q7cDq/oK0fDyCO7KDo0TD9BU1&#10;n4XmvZ2vTJh8jYrj06Y9KyL++u/DN4xMO6eNSpQtnORinTV4k1blnQ2hutd1q5S5SK7Emxd652qD&#10;jik8Ym1XRbtnunnIYeVgYw2Rz/OuR8M/bbnxM1xGSFZiZseh/wDr11+p6Adcs3txJ5W1t4YDjAB6&#10;1m1aZUZL2ZwltcyRg/vHIYYKkk13Hgu8gtrOFJmCLI7qGPTcDXHT6LqFnai5khJt1YK0qDIB7A+m&#10;agvbvZpNvbAk7nMg9RyRXR1VjlT3uep63BFqUEdlDdKHmfggnGFBJxx9K5PU/ClyVLGVA0Qyqg5B&#10;AJwOnXpWJ4bOuajrdm1r9ouvsz7iWJZY1PXk9OK7TVkvtRSe2tGEcz4wxc81nWr/ALy50UaS5GmN&#10;n1WOfWY7VHB8qzG9QcgNgYH1rO8GyyT2OtWzsS7KWXv2IrF0uwv9E11xqVtLGWU4ZhkP9D3rb8Kq&#10;P7dvGhYxrtIZT2BII/rUzmql2tQhHktc5ma4eKNC3y7gMA9TxVS6umjCLklsBmya0Rptrea9eRrc&#10;SC1hBKv1zlgAP5/lWDqKCLUZokfcqNtB6VrF3MJRaO4upGs/h6igZkuyWxn+HP8AhWx8PNLkg0G7&#10;eaJhJNORgI5baFGOhA7nvXF3+qG50nTo3DL5UQ+UjGe2R68V02i6gbrSUWMEs24gY77sfnxWmHj7&#10;2oq8la6HaV4Wv7fVbu+l8vAuG2Kxx1OckH61f1bSkmS6mMkUkwheMeWpOQR3+lMgXULWJzeDyo2O&#10;4R5+Yfh6VC9zFOW3oSjDBUEjP5VzXtVZ2K3sLmz4e1IWdlpMLKgjkhAd26j5QB+pqK+1vxO2qSWC&#10;3TIZX2xbFUAxn+Lp6U6KwhvILUQOYViVUA68cDj36Vz1z4vU3bOVIeBmWNgCdy9K1vZ3SOaFpKzZ&#10;qa1raWs8NkY5bqGCPEjlvmLnv0rj7Wxn1K8upYE3qHaSTBxjvt/lUlze3FxAbmfaJJiAAD0FdL4O&#10;t7ZtDaVZHjlWWUTlFySeq/zFKfuRvY0p++32M3R9UuNaMvhrVWMgdSbV5OTGw6fUGtSO7exa28N2&#10;FsIwq5uJlBxnv9SayfEiWukT2lzBKRfo2VOME8jNTQaveypCJplO9t3+s3bfwFRFc1mti7KLs2U/&#10;Glu1rPp8cLSKX3j5WxnGP8a6u1uItPjltNOsGvFs08q5uPNO6aTHzbSeMA54rm/Glws6ae9vubEu&#10;A5GMce/+eK2vCrQSaGJnnKCVpHlC9cknmqquysKCUpsqaJewteSmK5t8+ZtSzuE2lj25z/WtHWZD&#10;Z20+nwTwW13dEPKZZjtXooUev4CjS9O0q88brbTqga4t98EhIyJVPB/z6VJrfhwwF5tUjeWHIUSx&#10;5PlHB+Y/jtNJRc0iXHkvbc8+0vQ7i58RGCylRmAJ81iQq8DPvwTjpS+KNIuNLljEzLIjY+dOma6n&#10;QNVivbm7DKtrLcRhldAFPy4DfUHGc/WtG409NTt7lEcXIjRpQjYI+UZqXOSnYI04unc8qivLq3yY&#10;Z5Ys/wBxyKmOuamU2fb7nZjGPMNUpG+Y9gDyKj6DFbo5zqvAJA8RbSASYzgntWh4lC32q+UsW+RH&#10;KgdsmqXw+gkk8RNOqkxwwsWP1rT0Ozlvtav78kMYZsAMTgEnOaxlpK5vBXil3OT1a0S3cqqlHXgr&#10;61mhgS2OmMYru/FOjl7GfUHSKOSNslUOevUZrgxgMcflWkJcyuZ1IcrsNfucEjvXQeFIdSe8lOnb&#10;zI67DtOOM5rEW4dIJYRjbKBuyOmPSvRfhtbqdIuJY50jmNwEfd2XA/rmibsgpx5pWLMGs6noOuRW&#10;2qXBktpdqsWG7bnv+FdnNeLDnbHI8LLnzgh2qp6k8VyninTxdWc0slwjtExKMD0ANZmm+KnbRZUB&#10;dhCpAdm3FmxxmsLuS0OjkUXZnWav4pt4RMsEkZeBNzY5BGMgfU1ieH/HMSsP7SgYMzFi8OCOfYmv&#10;Phfy2ZdXt9jy8OAT8w/yav6fEktgksbcklWX0IxW0Y8qPOxVVxXNE9tg8T6FdIoj1JE9BJ8uP++h&#10;WZ4qFhra6dC0qTWyTmSXY4OQEbGeR3NeWeesbYY4Ydq29CuTaXsc/AXkMT0wRj+tEm7HNQxj50pL&#10;c1/EOk6Td6YsFnGkLEbo9ihc/jXll3pN1bXBikUAgkDJ64NexXFzcLKA0a7VQBTt4/DivNdSuJr3&#10;xQ0QY7TOqdPesKUm3Y9mvGNro9b0eObT7a2tpZC3yLslIxkgV2Ed2JkU7udvzfWsmOAXOnmNicg4&#10;U9xgDms2G8ltbqSKRuVODVtcjM1+8j5o6WW4O457NgVh6pHJdTzw26F5XiVQo7nJ/wAKfdag+1RB&#10;E88ryBVjTqTVbVprvSNt0sjrcOhZwBlVXoBn67jVuPNojFT5NThrvwv/AGNcwGWUSSE/PtHyqfTP&#10;c1kxWELLk56ngfWvRLy1S/0a1VJBhCJPNfuSP/r1y8nh++gUmMJJkk8GhxsKMubUyVs4lGB5lOEE&#10;Q6tJ+VWWtruJsSxEH0zz+VKsc7DPlmgoz54dlxbspwkrkN8oJ9qkNugIKyOCOfu5P6VLdq6i2JHz&#10;CQ/yqXc+OU/MUJjaQm67C5huWU++RTVvNZhPE6MPfH9alSaTvGMexqXz8jHH0JouLlRnXr3d5Bsm&#10;QDZyCo4689KKku7uSGQIEBVh1BoqZSVylB20NddBhICtLIR3561aTRrNBgxbv9/JrTC4HJH5U7Mf&#10;TPNNAU0sYU5jijUj0QU/7MT/AAirHmAcKpP0pfMfHEZ5phYhFqO4/Kl+zL/dqXMhHTBpwWQ/eY/l&#10;QFiL7OnTj86cI4xxkVL5a9T+tLiMdqBEWF6AZ/ClIB6LxUuU6Cg4oAh2k8KoJNc18VbVlsbRW3KI&#10;ugPvXXwKWuI1TqWGKxvi/IZ7C3RcNJuAdVPt/wDXrKdBzkp32LjU5U13Kekaf5ulWoS3yXiUAhc5&#10;4qp4Tt5rae5tYkCRG4fa5PJ5wf5VueFtfMtrFbjMS2trtldyNoftj+I/TFM0iPbdyyWwNzGytulH&#10;zBict90cDnrXMsvTupSumdH1l6SSKWraKp16DWDtHlxMoA7t0H6ZrEhjknnmuZXB3SYyegVRgflt&#10;H5120+mTarpjFbhhIoIEbJt6e3asHQNNnjC2uqQqsbtI3m5IaI7wACMdTnrXTQtTlyrZE1lH2afU&#10;pRWiPvmEYVAMjI5PuaveDJnuvHKo7KUCKR7lQcflWte6An722guJmUKXSTKhPZcZ5P5Vl+CNF1DT&#10;fEMOq3wSKEs0IjLfMT68dvxrplNNGEbM574sBv8AhMZS/VoQw/UVt6fYK/gZZ5v9Wtqx/wA/pWz4&#10;18J2/ifWYpPta2zqrAvtyGHYdfc1dv8ARoZ/DEWhx3RhhRQhmQckDt9KLKepKcoaHB/DG3n/AOEk&#10;F0oIgVGRmx16V6zrE8tsiSou98FMbsdcH+lY+kx6ToEVtYwzCMDODjJc++Ku6nqVneW0kdvMXkiI&#10;LZUr2Oevsad1awuVvUktrogW9sPlPl5IHc9TSzLvfa6NISeCRmso6hHA1pO42q2Rz9Kuf2/ak4Ug&#10;ntjrXPKz1Z6EY6KxZVGV2Cr8qLuJ9+35j+Vca1mmsePIYrmNXiCb2RhkHbk4P8q6S91BIdLeeT5S&#10;wLEHjjkCs3wIpv7i91SV2YhBGm7+EE5I/SinJN2RjiHaOoeE7BXvNTmEKDMxjC4wMA57dBWnrkH2&#10;bQb8xYBWP5iowOoyPyqzo7RW0V4vmKjvOxY9SOlXcW1yFsm5ikyG3dx3z9a2srnDzO1kYOu2KWng&#10;K7sgqAi1JcY6vjJP1z/SvGtJ0JtU1CG2Z2yTg84wvevY/HupLY6JdhRlWTYhDbuvc+n61wnhdom1&#10;ITllUiLI9yaxxNR04No6MPBSep6Dp0cGn2QttPiSGCMYVVHU9yfU1HtMkpZUVAD8xAGSawZdVuhp&#10;jmxdQyTESHg4XJqtJ4igTTIZrWaRrl1DMhOQGz90nuTkdPTtXg0sNXnCT5tz051KcJJWN3UAl/bX&#10;Fg6hvlyuRyG6g/nXldjNJd6teXN8M/ZUeWVk+XeQNoX8SRn2BrsrbWTbXyy3Qdmnj5CD+KqNxpy/&#10;2VrRhtMPeyoUfPbrtH0PNduWxlTvCWxhi0mlKJw2nST/AG55oWIEakvzxj0qsYpb2/KIuZJXJAHq&#10;TzXXW3hu4sNGuLojc8kWdo7MMkf0pfCWjbFa/lTLjhAe3/169ZdzhbexqWfh1b/wpJPMP3sSn7MP&#10;+earyeO5PNReDLsWem3EbKvmRSkRn+7kc/y/SuwhuIrCzgtmhLPKMYBwF7/riuJ02yW3jvVjYlTM&#10;wDH8cf596Sna4OGmx0D3DFGZ4TOHXAGeRWYU/eEbQpU/rTbbUDHaFWPzISCTTYZMQtI5wW5J+tTZ&#10;XuLmduU6Tw/LwjEblSQ7voG/+tXKar4VmXxfdo8fl2RkMofOAUPzYH5kV03hR1m0q7ZlyVlJUnpg&#10;4P8Aj+lYGoeOZNQA0+aDy2gGwtuzu28ZyeR+tEJ3bSHKm0rlbxdaJa3VoY4tsU0QdMcYYdR+VZXh&#10;W/nS+ubXaJIJF3MrjIDDgH644roIAda0m9lmJle0UOjegY4ru/CXg/S7bS4L5bZS95AjyE89Rnj8&#10;aud5qwQly6nGX/hQ69Y3GoyO0X2WJmDHpxztqv4ahv7nSlupbHFsp2C4HGT9K9a1zT1XwtfW0EYB&#10;MRwAOK51Y2sfhuDGgVmUzBT065/lRTvD3QqWm+Y4PxOQbELgfK+4YHoCD+hrI8H/AGlri7CkmEj5&#10;lxkbqkbVG1Cy1dZwhMSRmPA5XJ5/XFbvgZorHS5HK58xid/Gcj/62KVT3loOk+Tc53UL+5svFcN2&#10;5O6FlK444HYV6nH4hu9as5IVVYri4QxwoVyAuCdxPc/yzXkvii4Nzrs8iOCwPTtXZ+Dr2WS2QTKR&#10;LGuw57DqD09PY9KnncIX7G0VzT9TR03wPJa3h1Oeby5zGwaBfmXJ46n260raHNcJcWzyPbiVSokU&#10;7cA/TFdagXywQAPceX/M/wCFBCkZ8xhj/bj/AMK4nVbdzpVOKVkeJa94E1TSUe5iiNzaIMtKhzt9&#10;SRXMxWs8x/dxM/0XNfRMtxuma2dvMBQ5DnII/ID9Pxrz6DT0026uLYc+VIUViOSOx/Ku3D1PaOzO&#10;PEUvZ6oxfCT3ukRXsgt2DthdpFbfhbT9btLm7vLmzeG0ucPlxgsc9ga6zQNPS28P3erEYlMm2PIB&#10;AA711MRGt+Hba5VFJCAOp/nRVg7OxFOpZpM8r8Tw32oaS9vp1vJIXcF16ttHPHPrXmckUsEhjmja&#10;OReGVwQR+dfTWkaJEt55wRQkZyT71y3iXRbTxLbajGtsVuIleVJwo6r2z6GlRTUdR15Jy0PCdrM+&#10;1QSxOAAOSa9I8EaHrOnQXF1KqwWzjDK33yR3A6dzWB4Js1bVprqRAfs6/LkdGJ6/XivRYL+4h3CM&#10;rtf7wbkGlWn9k6MNh3Jc6M28T7VYTW7u+xwVPRTj27ViR+AJLq3nudPvGiWNQzpKOG9Bx7+1dJIr&#10;XDMcLHz0UcVpQutr4XuWDE+ZOEyfp0/OsYTaOmdH3ddzyue2eUPbXcbCaNtjDHzBh3p9ta3elyNH&#10;cK6hsYyR81dRr8/k6dPcQ7lcIA8iPtbjJU+/J2/iK4W1v7h0eJpmaIkMQeST611RlzRPHxlLkvE7&#10;DQ9AfxPrdvaRYVh80kh/hUdT/KvaNI8G6PpFu8cUInuGQ/v5gCQfVf7vWuC+EEPm31/c4+5EqAn3&#10;PI/lXrKA7Sx64NapJo5MNSSipSPM9T0e7F6cIevNXIfh9Y31rBPdQLBfpIJUnj4PBzhh3rv2jRmB&#10;KgselKxjTf8AOMouT61nToqLuehUrOSSMBbWS0UxSYyBwR34ri/F2l6jc6lGdMfEk6qpXOOfWu/v&#10;2yiM3XPGawNS1G2tjLh5heBAF2KRx7HHenNJmak46ozEhuPCr28EKzanqTRgMBgKnqST2q3LqkWo&#10;D7IZ911ErF8EY3lWAAx1wcV56NYu47+6ubtpJZpSVQOxIUAZ55plvqo0+6S4iiZ5vMywQ9eOQfw5&#10;+tEVyo55O+rO5inabw9IXZnmQ4YEYOQax7fUmRyrlox6N0/WtVLyOS0MLKPtDAMHXoye/uKgeIOM&#10;Mob6ik3qbUo+7qSx3KTRDdskH+0Mg1XezsZQN0O1vWM4x+FQmwjBBj3xH1Q4qJ0v4hhJFkHowwaV&#10;11NOV9BlxoEdy0aw3LKI334bGfzqObRruMEDe49jmlmvkgbdMwRyOgzn86lh1LJBEuV29c0tAd1u&#10;ZclrMh+dZAfeovJfBJ4rpobvz4suqMcdxmpXtrSYYeAA9ypxRuFzjZIeeR0orpJtChmz5Fw6H0YZ&#10;/wAKK55wk3dHRCcUtTRFuCMbjSiFQcf/AF6eJB6UhfnGcV0WMR+0L0P5UZx1P51HuYngn8qXBPX9&#10;aAJM570wsO7Um1ehYfhRj0H40AKOegNOAz2/OkBY9wDTSOzOTQIflcckj6Ck2A85JpA6jAUZolM6&#10;WrTxwNIAwQbfU9qASuUU8T6Tp1/h7zZJCwLfK3B+uKteNNastS8PR6nYXFs6MdxUEbs+uOtcdqfh&#10;i+8QXUoghFs20nMh7ehrNk0G40+1EckLly3lhgMgnHPNNwb6lbdC34chudVu73UYoy0YVAW24B65&#10;5rp7nyNCsVSGeOOdnAxEcD/69c7YaveQW0NkZ5ZY4h5WxH498muV8U5statwHbCosnllywU59/pU&#10;8sk9zRuyvY9zv4odM0sTQuz3rAO5LZDHuPpWVql5bX2ipdOgMpXMiFsLz1B/H+VUP7SW8tIpQ+5H&#10;QEHPtWfYaHq+vLciKQRWMMhUs38ZOOlRKN3dChNW1KllrWo65qEWm26GJIJQkrkgAqPQfStSGePx&#10;F4muNOsbpYrKzQCSRTnAHp7k1n3PhBrEs63kqgggqjlQfr61P4bsbex0/UWto1R1HzMOp9B/Otow&#10;5mkzGUuVXRu32oxwSNpojaZJMLFLjOMkD5vz/SseRTZ3v2QSGQbcoznGapzaxJCvB+XcHbHXK8j8&#10;M1h6jqo1S7tY4yWLuV4GCM4xTlFU6mmxcZOdO73O2t4o4Y5bt9h8sYU5zg1lyalLboxMSMJCSd3v&#10;9KvJFveLS1QwpCA0hbncfr3rM8RGKNoraMnJIJPYDPr+H60QjduTHOdkoI6C5bToLG0j1COWSTYC&#10;I0P3fqal0e6tbm4MVhZxwADc0rDP+TWZDZrq2iyXz7xKpAw2cYH/AOuq+k3Mlu80WcKBwM9axpUu&#10;d6mtWryR0L/ia2mlh+S4EiA/MgIDH/61W/Bsf2TS75YZkTMwZlAyfu//AK/Suc1fUSlg7lxlQTz2&#10;9voaueG9VXR/Cs18iPdSy5kMaDOzBIAx6VrNKm/dRlTbqq0jV0WGZ9U1SS72raF1YTOQuGHUYzxx&#10;VibxToens5S6inkUbOGBx9K8cvfFt1fG6Lbla5fe5Ehx+VZ1rMkkxMnAVS3Bwc1NpN3ITglseheM&#10;9WOoaOJbY74ZGw6qCNoxxx2Of8+uN4U8u7eW3LDzjFhDVfw9rjXUp0++lEltOu0b+Sp7D+dJoAjs&#10;tduoJGA2kqp7jB60VVzIdKfLK5o+EZHgGrWt2SpjY7s+pBH9K1bHRIZrhZLZzKgAcKqA7nzlhx6E&#10;Vk6lfeHtQsbi9mjkGoofKKxy7RI3QFvyqDwd4iu9OFxYWcVuVdHlMkhIIwufvfh0rlVH3pS7nQ6m&#10;y7HV3MMemysbja8zrtW3jG5qsaFAbyz1BLyIoVJIj/u4HauD8N6pdQeImN35itKCXZ2456Yr0y0v&#10;4oLa4eYM4ddm1SAQDwTz9RVQo8isgdbnepT07RpxoCSXV0kVqVLKzck7nbA/Lb+dPg06COFI0vo9&#10;q9MJjP61xvjLxgt9o1lplm5ESDE+OOVxwPbOfyrkrW8uCOZ5Sn90scV0Rpzns7GUqkIvU73xnraW&#10;Jto4XVpRJuyp9P8A9dRaBF5pndssiuuQT14b/AVxDbbi7tyzHmRQee2a9T0+1g06KJogzxO6Eueh&#10;OMZ/ImlUouCtcdOopyOIk3zazJaIjndLhYkGS59hXXR6GtvF5ms3CQRjk26Nlj9T2qXXtVsvDSmW&#10;0tf9Ius/6Vt6euK4fUvEYuECgiVm7tk/zqE5VNhyjGm9Tq73xZbQ24tdNgWO2HAxxx61wsUZu9Um&#10;kCEcMxGc1FLOw2+mBwK09I0yTUpp2icRiOEu7ZxxkVvSpqOxlVqOW51vwohS8v8AVbSYZhmtwrL7&#10;EmvTfD88dhpi2EzNL9mJhJxk4XofyxXmXw3le11S+aBV3CAcMM55rro9H1K6a8kk1RrVJnEoaMZZ&#10;T0wM9BjFEpKLsEYNxudHd6pZ/ZZI/OQgghucccjFY+v3Fm/hGVLWeJo47baoDjI46Vni1tLC0Zb6&#10;+uLnByzvxmuZ8U67Yw+H5YLFgwBG0E571i6utka+y0uzjtCtJLuTWEWF5XMQRUTGSxORjP8Auk1v&#10;+GrK70+3uba7jZHRwcN245rnfC98V8b6dPExVGuYwQDgfN8p/HBx+Nej6sGi8STxN/y124HvyP8A&#10;CtYv3rGTXu3OVvfDqaprayKVSLbudR1OK2LTfZ3F1FGqiGKBSSRyx+boa6SSzXSLCaWPE07ptCqO&#10;neua8P2s8yX9telxdZD7Sc7eScfSs670aNcPumdpa6k0tojI4IIBHzDnP/AhUk2pGCEEsOevzrx/&#10;4/WZYSeTpsKJuYE4HPXHFWbkyOixlm5H97pXnWsz0VsZ737rdrOsRkLgqBu69Dn36Hpmuevb1ptU&#10;uXljEcoA3bckHgY/GtoWE8l9HcM/lRQsTIzc7+OOvWuT1xnutXlMMm63GM845HFdmE0kcuM1jY7m&#10;01GdPCUdrsXBxgBfmBz+tT6VrNzYWwwzAt8zB14zWLBdx2Hhq0nuGYICGLHnvVO2e4ntVk3dSeow&#10;K3pSbbOSpFJKx2Uviq4W2aNPs6cH7qms7QdReG0uzhZXZyrbgeBXNSidULBwPbNaHhdnl069Z+vm&#10;n+VKq2o6DpRvLU5Pw3tA1AqoUyXDYA/lXZeHEhu7iNbgAj5lKn16Vx/hkCZpoIQJZjIzbB1zmtKC&#10;8udC1SKfadspOUzjGOD/AI1g9ZXZ6cHy0rI7ceH4oo2L3RQgcxtgZIGSM/SqHiRbePwwIo4WhQyZ&#10;C45yB1q/bTsY2knhYJI3m7nP3M0XlxDPb/ZrF4hOTuWVvnx9R75ptrZHNzyet9jh4LRb6xMd0peG&#10;RAGAbkjiuB+zLaag0JOAxZOTnGK9Vl1WaB5LOPTYw6feEUYX8eOO9eZ6ygmv5ZowRufIXHQ96ujd&#10;XRz4+cZxTOk8JeJB4cuZhNGzBtvAbGD61694Z8T2Wp27qlxl1b7rN8wBAPP515B4IvUTU5I57czL&#10;LGFYFdwGD3rsLq18LvfxLFc/2TqGNymMFR75B4xVqdpGFGHNSSPVIrmN8sGBUdSayr6SC3uJJoWL&#10;PMVDLu4PPQelZkENzHHFIZFn4+Zk4B98VVcyy3aSoP3Ssd7HgVrOqlG6ZUKT5rMvz6nJc3hh8uMI&#10;q5J5z+Fcx4mmjtNSiunjkciIgbO3Pete2kWW8upFOVBVQfz/APrVDq1utxJEWGeCKyhJyjdjqpJ2&#10;Rw88+mz21xLczrFKFLLwcEY6Z6E1SbVrS3Ktp1rHdwyqF3SZUk9/1Jq3rmhLb2kxid1V5vmUHAOf&#10;pWda2qr5aAcIo/OqRiqavc1PDMDQXCBVJVySQTnafTNdeYzjnB+lctpxNvcJ6Bga6tZFB6UNGqGG&#10;PnpR5JPQH8qnEyjouakWVQfujFSFyg8DEcqT+FU59NhmB3w4JHUcGugFxFjml82E+lFgucjBokln&#10;Htt7pyM5/ePmrJnu4BiSJZPdG/pXSMLZvvBfrioJLSJ8lduPehaBa5zcmpw+YqFtjkfdbg0VpXFj&#10;BJlWRXHuKKLhyok2x45y340o2jlIwKA0YPHJ+lL5np+gpjHDe3UgD2o2gnn9aj3t0z3peAclj7UA&#10;SgDoDgewpQFOct0qLcCOp/OmmQY6/rSAmbb2phKjrUG8kcHBprM2eT+dMLE/mD04qWK6UxiCaZ0i&#10;BLAr2bAHbnoKoHgZz+tRsy9+DQmGxW1S7s7Qva293MWmAYyByvAPQe1Yl/qV3qaRoJJpVhOMZ4P1&#10;Pf6VqX1lBdRyMAomYYDs2AtclqWpCwSa1hJbHyqsbg7mx146inc05lbUtnUfsGj3s1haCe5MjMGJ&#10;BEKAKGYjvyPpXntxPJcTtLM7PI5yzsck1qW9y1pqUUs214XG2VVU4CnqOnXrWd5KyXbIjfJuOGY4&#10;4zxVXMpScmd74QvJJ/D7QsCTC3yn2rudF1l7Xw7GHH7sPIMK3Q5zlu461xOkaTJY6U9zK/kIVygb&#10;jdVC31f7L5yyCQrI24bu/b+lQM6jXtZ+0xkidkx2DZyazfDGtwxWuo2U0hM02GTapOcdaymuItWc&#10;W0VuQ79COMVTuIDpF0NjBX2lVIIJJPWnFuOpMlfQ0dW1N7S3WW0nAmMm3IHI454NZ1jqDTanbX1z&#10;tV4TuJjhVN2OQDtA/OtC10CG30aW81iC52ySbotzFXJ7nHvx2rFuoxHK8UMjpD0AI5xjvVzmpxsO&#10;MeTU9C0u8m1CaW6kY4dAF9uax7g3Wq6tLZWxPnmVYlbsv95vwGfyq34bv7EaN5ZuEimX5SJGxu+l&#10;YUGunTpJPKR/tBdmaUSDkn09qrRQSRnL3puTPRtc1eLRrWTT7NdpSPEYbkHC9/yrgJPEKWmuwSFS&#10;0Ui4dB6n/wCvUOoa5JqoQyj96Fwdx/rXPy+Zd6nEp/hI4HPSojaMW1uaSlztJ7Gpr2oeai28e7JI&#10;JHt/Kr9h4ps9N8LyaYBLHctvPnIuQWxgHr/nGaxLidku32oGYghflzjjHrVtvCD21lDd6nfJa7z8&#10;0RXLgYzwM8n+XesZ1YKym9S4pxb5djmHUgRkc7uwPNaWgWUd7qDwXEpiQRMcgZ544rX8P29lqGvR&#10;2lvEsMURLiR+ZGx7+vtXbajoemm5hmR4Ir/yyx5CecmCOnrkVhVxsKVVU5J3Y40JOHMjyWwtJry6&#10;WOPIHG5v7o9a6l7aHS4Wug7NP0BJ+8feq+lRQ2iMAXMrcOxXAHsKh1yfyo7aMNv+Qsx7bs9K7DGx&#10;h3HDM3Qnk4q9pjCO01KV+V8jYvbksMfoDWczGVgoHLVbXd/ZlzAoyySoxx6AEf1H505a6DjuW9K1&#10;C+uZ7fT/ADmaHeDgk8Ac1veJ9UkGy0hcBDF84xkhsnFVdEslsrdJXiZZ3HzM46D2qnqGnXoee481&#10;JQx3HbnOKcEr6ibZjSoUXvTrNv4KII5budYUUlm6+wrUj0uRpRHAhabOFGOOBWvOlIi10ULaOSa9&#10;ihj5feMH0wetd1qOryLpsdiqNEhGWYv1I7D0HSsLRLVoPOnnQLKzbcHtVnWYXurZDER5itwM/ezW&#10;U3dmkLxRZ1K4v9X0e1S3cTQhTHPGcHy2U5D+2Qf0rg5CRL7g4q+ltdG4aFRIG4VwnIH1xW5Y6Etu&#10;7i8tRlx/Hz+IqUrFSdzCc7mAAPI6V2fhs2+nWt+bydY2e1AQEHkk1HF4UEWo2k6SkxAiQpsJKgfS&#10;rVvdJqPime2iA8mNAu7yyAMdRg041FuiZQfUm8DfaE1m62Y/eRFQ4OQD2rpYNalms8tlZFlKsueh&#10;FXND0qCwsPNVURpH3ZAxk/8A6q53VbyG31yS0Q487dKvuc4P8jXLVlzSudlGLjAnudRb7QySYZHX&#10;p/Suf1HTbOKGSSJMI/VT0zS6jdCKSMsf4sViXt/NfzrZwFipYbsdh61dFWRnXepP4Oitnuoytuxl&#10;idZg+eFKucE/8BOK9E8TCwt9Rj1K6lKsIf3K7sAse59ap+FUsYbKUtAGIYKFA6gAUfEqzabw/a3m&#10;FDW7An6Ht/KrcveRCh7jY2XUJJowAxU44P8AntWHpl41n4ljZJMBt25SOq4zgVJbXX2nTrW4H/LR&#10;f1rIsUe4u3vHDLHhljJ7k9SPatppNGEJNPQ7C+RbDUmvkmbyJlDRuXG1RydoBB7kn8a1NN1SPY8s&#10;0srgrlRNjAHqOKz7S3ur/RY+U2eWBHk524HXFZVxqBa+e0k4kjQBR2IrCEO6Omc77SNLWdVN35aw&#10;sNoYbov7w9vrXPSlXae5UgRmRlHY5BxjFQ3t08L5yAoYYJ7URIduXhkXcxZASMc+vpW0Uk7o55Sc&#10;tGdrpNvb6roDaRckZKZQnr61UtDLBK9q1vP50bYEe/r74B6GqukO898iRHbIi7gwP3a6ttTt4Zmm&#10;eNRPgK0irzj0/LJ/L1rBt0nzdGbxXtVbqisdCEiB7i5wmMOq8sT/AErI1HxBp+nL/ZljFsJOGAHO&#10;fU5q2fEtvDpsN8sDvHd/N8vVcnHP05rnPEq297BHdZ8uUtw4HJHvVOm52bJ5+R6Fawt7Pwtrlndx&#10;yu8VwzCV3IOM46YAwK7TUvC/9teItPu0aM2oG9wWxnoRgd8/0ryfxBqMrXVraWrKVjwMg5yx4r1b&#10;TkFv4Ngt5Zj9pEOfN34YHkjH8qicbO5pSne6R0mp3sOk6fMqwrK7DazNzn/61ebTzRRs3kuI5SS2&#10;AM4P0rjtS1XVrPUws+o3Ese8jDvkHtTX1CUufmJ/2q1jBHO5PY7PSfEqarK1vI0fnqChP9/HcVxu&#10;ro0ZlbkIJiCaq6FuTX0kVcmLec+3P+NV7m7m1SWXbGIlZyzDPU09iJbane+D5Y7TRvOCJ5kjHkYz&#10;j0JpLibT9S1yGe/KEQr+7jc4EhPOCcdsDjvVLQ7ZoNNR0JC+XuZT2OK5XWbovIgBOSM8HkVm1c0p&#10;tRSsel3/AI1g0MR2pVI7cj5YrcAbfwz0rLbx9He3EdsheGFn272Gdue5FcNAYfNk8+fEmMfvBnNN&#10;dpY52ZliLtz6H8OKFRj1ZpKvLoj2+KaGxto1tWE0b/Mz55JPWrV1OPJSQr6cZ9a8ptPFeqag32eW&#10;SOA7CqNGoDM/bP8AnvWm+r6peaNMkt1hBGW3BQGz9atyUdDNRcnc6bW8S6fNjgiRT9K52B1JOBgj&#10;rUGlvqN3ZT2s9yzI6ZDN1BHTmmDRdVzxc2+Cc/fbn/x2hS0BqzL4lHnbQwz2NdNbTb7eM55Awea4&#10;+PRNS8wZmthz2YnH4YrpbSE28Ko0m9hyTjHNDA0C4NJvI4y1QhgeKdkjrUgiXecdc0gkbnmowVPe&#10;gHqDQOxLvbuTSeY46GoyfTNICcZ4pgP84gc0VGT6iikMeVbqrn8qawboZHB9qUMCcEHjv6UfLnqR&#10;+HWmIiMR6+Y2KPJB6yv+dShRjocZp2VBx/OgCAxKQfvMfrUf2ZiQeSfrV0MOwP5UZ56CkBAEZVPG&#10;Pxoxk4Az9amMaOfnGcdM0oRU+noBQBXMLHjoahaBvXJrQPTAAAppUE8YNAGXJbOR8o61Rn0x5RtP&#10;3fQV0BTJ44o8sFuwpgck3hmBhlo1OaRfDVtG+9YVDDBB2811wjHUijYMcCgDFmiv7m3MNxeSyoR0&#10;OBVA+G7d8M8ZY9txzXU7PQc0eWOPWkI5YeG4EO5F2kdMcUkWgxQzxzBCxRgwzznBzXVeWMnIOKXy&#10;lA4U0wOe1WHUNVZAWISNiVVjuA+lYsnhaSWVpJJSzMcnAruinsTj1pTACemKQPXc4SPw1NEjRo5C&#10;v1qH/hE9pJGc16B5C45pDGuc/pTTEedS+F5v4TinWujy2JZ/IeWXoCAMCvQDEDwEAFRtbp/dyfWi&#10;40efDTLpL2TUbiNQ0Y3pGBkFh0Le3+FYkmo3GpzO13OXuecM57entXrLWkZGSpIxWdd+F9PvnMkt&#10;sN5/iBwaSUU+bqNttWPI0nmtLvzYXZJFbIZT3rX0y5udU8S6e97O8wWaPcWJ4UMCfwr0GHwZo0X/&#10;AC5qzesh3H9asweFdLt5PMitkV/UU2o3vYSulY4iawme7nePITzG247DNRT2bmMrIhcemK9JXSYF&#10;6KKX+zYf7g/Ki4rHiwtLi1vQywyMFORhDXWeCNMhm1uV7/bFCE3EzNtB+Ycc13v9mwDA8sZpf7Og&#10;OBsX8qdx2Oe8WKH1VFsirxBOqHIH5VhukyKdykiu9NjH/cFRtp8WfuD8qEwsea6TbxWupSvOjIgU&#10;+WdvfI4ru/A+ji8trzUZo0X59ibuCR1PvVptMixjywT9KgfRIJJhJ5ZVx0ZXK/yNNyElY5fWSV1u&#10;5jgQeWr4+XpnvVKaIzxeXNFuXrg13Y0qP+4CT1J5zUb6QjH7o/KlcepxGlabA2qwKA8K7sthjg/U&#10;V0t/CLrWrGxt2DSTuEyP4R6n/Parv9iRn+HFWdM09dN1S2vFGTFIGPckdCPyNO/RhYqeO9JutFvb&#10;HZcSxpJGdrRnByMAg/mK5ZZriObzorueKV8CSRcZYA9DXpPifVIvEtvHCljLE0Um5XcduhrmX0Lc&#10;D1yfapsloinJt3Z1M2p2i6REglGSg+b0OOtcBLA+oeI7GFZ0a4L8M5x8uTgfjVm60fVvL8u3nUJj&#10;A3dRVXR/DWoWWpLfnVIrS5hIaKSRC+W78YP61moamsq2lkVNfzb6oqXNowaBiGjlOOe3FKuuwi3a&#10;GCwihJGN6qOT/OtfWtLv9XlD311FeXG7cJYUKgA9jms9fDLRjOK1SSMHJvVnS+Er22itZi8oMrZI&#10;GM7RwM5+oqt4n1VZNJuLZW82FkcjJ5GAo/POawvsd1YBjC7LnggdD3rNvd81uY5baR5AchgeKJJM&#10;cZONzbs7vTntVEReKNAmUCHHQZP86satrOl3kMA09WDxsVKbCowaTw7oN3c+G5rprdyCxAZRngCu&#10;aWO4xuVSR296OZttA4pJNHq2m3lrDosClsBo14H06VxOsrG+tpPEwLFCpx061kw391G6QMTHGxwT&#10;mtW0giu9ZsrXzhIZZgG2ntjNU2SkMvrT/RZLmXDCJwPwyO1XLK2fUtElaJGY5zuHfHapvGujR6Rq&#10;kTRFik6Z2ls4xXPeZKqBUmmjUfwxyMo/IGpTYSWp13hCEeZcXDAhgwQ+1aniKFTEDHJ5bnPbisXw&#10;/eJY6NPcTkBQzFS38RH61QPiOTW0dZljSZMDCdCDV6NWYk3F6FqeMR+CC7naIxIVPv5rY/pWdbuN&#10;W0pQ4KuF24I7gdareJLySS203S1LCLa0rAfxMSTz+dZlvqLWavbjcuRtb6VLdplfZIYNJjt5fOEn&#10;mSqdw3Crr+J5zE0brtbkEeg/zio1ubcqMDFV7uO0nVmkUE469KHZ7iUnHYzL2X+1LmKJWCsB1PrQ&#10;yTQMY5eox071R04F70AtgYJya1b9oxGkgkJ7GmSWdJRRE867g7nBPTgVYt9Ha9v447UuJmOBzkfj&#10;7VHpe2S1Vo2YLk5y2cn6dq07aW8sZvOsLoQyHg5XOalsbV1Y2HtpdNsJbeUqZB8pKniuVn8I6xd2&#10;J1OOAG2C5BLDO31xWzd3kmoI32q5DX5PJQY4q7pvijUtKsI7E2Nvcwquzd0JHvUptPUrkSSSMm78&#10;OWk1ijW8ypKqgHv2rCn0K6jYZuFb0JrUv7z7NNuEWxZCW2g52+1SafdNfSSI4DKo5BHQ07sNhuka&#10;R9ku1up5hLIoBQY+6a14rd5YLqCPa5wThT0zzj61A6SY/d49h71f0KG1tYZ/OvUiaZi2JAcqfT0o&#10;avuCk4k1urW0as8ZTcBjPWrK3AJ6g/SmxQ2slmYZ9WtfORyUbLDd7VRQsD93d9DRawN31NQT89Kl&#10;SYZzms1H56EGpVJ7/rQBprMOtSeeprNRzjkmpA1AGgHXr0pQwNUtxwMU9WYDjJoAtjp1ppz0zmoN&#10;5zS7iDyKBomOcYzRUXmCikBa+ROSePrTfMTPGcetEa7QNzZ+pqUDGBk/nQgI8uc7VA/GgrkD73uR&#10;Um3A4zgU4Kc/1pgRqCvO0/iaf8x5LY9qXB6UoXpmkA3HPLfpRjjr+dP2LnlqMAdBmgBFGc9xSgDs&#10;KN31/KkYkjgE+9ADumeRSfKB2pgVj3pwXIyTTADk0mB0FOPHGaABg88UgYqj86XaOtGQB6mgYPNA&#10;gOTwPzNAye/1PpS559qM4B4oATAHBJJPT3oY4AI4NG4noMcUntjmgENKsSegAoxt68mlJI5HX1pC&#10;M545oGKOex5pQijqKQEAd+KdznBoADGBn5QP1owO/FHfHenbeOaAYgQd6UgdMYoYlTikZsHBwM0A&#10;g2jGaTZgU4HgZ5pQOBQAwDt3ApfL4p5xkD0pDzkDrQAwrz0pCh7Doafnn3oxzkntk0AR7ODmjyx7&#10;088YHamnkev0oAaU/wBk8Uuw+lSjpg9+1BHJ9RQBGEAOKGTjpTyABTfT0oAiKDIp3lr1xzUnHToO&#10;1LlW+7QBCIxjjmjygPU5qTBz0qTA60AVnhU9qabYEjgVbxk88UMvy0CKEllG55UGoDpcBOQi5+la&#10;hHA49qb5ZPOaYFKO0kjgMMc88cRJyiSFVP4Cqw0iALtWNQAPStcIFX/69Bj49zmgDBk0K3c8oD+F&#10;O0rSYNG1WK/it0lkjzhHbaOa2QvuD9KUoce1AFPXmk194ZLi2jiMQIG192c/gKxzokZXGBmum8oE&#10;CmGHB3Dp3oA4jVvDt5dQokEoQIcgkGsO38M6vY3QmiIdh154Yehr1LyQe1RtCoOePpTuFjz6ay1O&#10;fWUvZoQqqgjCLyAMDOM/55p91pEt3cCRoQmBjgda7w26Y6Uht0B/pSe9wWxwo8PnimyeHWcEdQeo&#10;rvDar6AU37Mo4Kii4WPPD4YKZKRIpI25XPSqdz4cvWAWOMOQc8sF/nXp32YA425zSfZ0cYaMEe4o&#10;uKx5zp+jX1sJIJoghVuCGB3fQjg9qtXFnPbxF8MQvOB1ruRZwRghYo0P+yoFRyafFMjKyhlPUU7h&#10;Y8uuFmeRVTfE5OS7MMAd84q4Jbh1+Tca7dPDlnA+Y4yM9RvJH5VOdNiC5KAH6U5STEo2PObyK9uL&#10;Ux+WTzkHvUmh21zayyPIGVWGCGHWvQf7MiJ4QD8KP7LVR04qbjsYMQZsZBqyseRyK1Rp67eBThY4&#10;HAIoHYzBbg9UUj3FSrER2q8LYjrTxB04yDQBSTJ7fjUgTI4GfpVoW4pBbnOBQBEqDGf50/YcAgZp&#10;6owGTThgEZ5oAi24xgEU4cHP9akAJ5WnFOcEUARqcmnFST/9elCD05pQuOhpAR7eehoqQ5XPTBoo&#10;Gj//2VBLAwQUAAAACACHTuJAeQowfE11AQA+dQEAFQAAAGRycy9tZWRpYS9pbWFnZTMuanBlZwAA&#10;gP9//9j/4AAQSkZJRgABAQAA3ADcAAD/4QCMRXhpZgAATU0AKgAAAAgABQESAAMAAAABAAEAAAEa&#10;AAUAAAABAAAASgEbAAUAAAABAAAAUgEoAAMAAAABAAIAAIdpAAQAAAABAAAAWgAAAAAAAADcAAAA&#10;AQAAANwAAAABAAOgAQADAAAAAQABAACgAgAEAAAAAQAAApigAwAEAAAAAQAAATcAAAAA/+0AOFBo&#10;b3Rvc2hvcCAzLjAAOEJJTQQEAAAAAAAAOEJJTQQlAAAAAAAQ1B2M2Y8AsgTpgAmY7PhCfv/AABEI&#10;ATcCm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wBDAAEBAQEB&#10;AQIBAQICAgICAgMCAgICAwQDAwMDAwQFBAQEBAQEBQUFBQUFBQUGBgYGBgYHBwcHBwgICAgICAgI&#10;CAj/2wBDAQEBAQICAgMCAgMIBQUFCAgICAgICAgICAgICAgICAgICAgICAgICAgICAgICAgICAgI&#10;CAgICAgICAgICAgICAj/3QAEACr/2gAMAwEAAhEDEQA/APt+b4U+JLRd1xZTqCxHCZwc89M1RHw9&#10;u3wZrO4JHAPlnOfriv1Su/DhuY9+wIoHytnofaqn/CM+QGMMYPIy2ATXkvhKl0Z78M3dtj8x7f4Y&#10;nestxb7MZJDLyB9cV2ejfDe0gIHlZfABZuSR6fQdq/RBdAAH79FbIPygDp+VacHgqymP+kwxkf7S&#10;DOD9M1xVuE420Zr/AGwz5b8EeDNNjnQyRoGwU+YDFerDwPa3DeReJuUjCsOAQemcdCK9e0vwVpn2&#10;+QiAACTCgccYB9sV6NbeEdKwB5bK2ckBv8RXzOL4Rk2zRZkmfOa/DjTQv+kpvPAV36jHGPb+teaf&#10;EH4Q6Rc6eXhhQ8HJxg19xTeEbbHlBmGeB8oI/P1/CuJ1vwTfSwmMMjAfdJyP155rx3wpKMvhNoZl&#10;fqfj14q+DEVuWlhibHQhTx9cV4zqvwxkgyETjnJ74r9dfEfw31Nlf/R1bPPyEV4Drvw/ubckXELL&#10;nONydK748NySWh2U81e1z8y73wA1jOJWj+Rjjce2azL7wFckh9nAHzLjIIr7z1vwRBPG9q6qAw4J&#10;GeRziudg8KQlVE0Y2njgdSOtUskmtjojmSe58PDwVexAyRpIvtGSPyANblho3iyJVa0urhTx8rEM&#10;Ppg/419lR+Bbcy/IjFTyOPWuns/htFI4CxjPUAYwDXJXwNaHwmv1um90fL/hXR/i1quow6VoyxXU&#10;sziOJH2xbieg3Fgo/EivRp7T4oeG75tM1/RHE8LBJRA6uQcdsEg/ga+rfDXw9+zsD5QyeuBx/n8K&#10;+ovBPw606eRGu0Vm7s/OOPevExGKxlJ7mMp0nuj82fBfj3wtp3i7Tz8TLLWbbRxdKNT+xwhp/J7+&#10;WTld3pkVufFf4m/Ai28aSt8J9Sv30R4kMUWrwNHdwyD/AFis2ArgnlSAPQ19sfEz4J6Pd+bLDEmT&#10;knaP/rV8DfEH4JxRT/u4VyGOCB1/SuvBZ9iNpIUaFGfWxiW/xK8MT4WG7hPPqBW1B4w0mYZSWMj2&#10;IP8AjXzxrHw1ltnP7oNjgjGD/n3ripfC0sExCB1IXOVYqRzj1r6KlxBP7SJ/syD0iz7MTxBZPj51&#10;x2q4msWzcqynvkelfFsMOu25/cXc3H99yf55ratta8YQsEEwdWPBdfb2NejDiGPUxnlcl1PsKPUI&#10;yMgjtnFXl1HAwrEenNfMul+JPF82WSze42KXf7OGJVB1J44H+c100Hjd40Vr6G4iz6oW/lXRHiCg&#10;9GzGWAqI9/h1/Ubc/uLmdD/0zkZf5GtOHx34pgH7rUrwYPeVj/6ETXM/D+DwX4y8La7r+reK9H0O&#10;50iJJLPTdT8wTaizKx2QlQdhBG3JB5YdBk15cnjbTnUSedGDjkbwcZ7ZBOacsZhJ/Ek7kKjUWiR9&#10;HW/xX8d2v3NVuPYNtb+a1pQfHX4l2rbotUPXHzRQn+aGvl4+L7N2O2VfXrVeXxfZgHMgBHuO/Sp+&#10;p4Kf/LqP3IHTmlqfaemftS/F/SiBb6lbtg8b7SE/yQV2sP7cHx6tYvKhv7DaeubKL/CvzuPjOyKn&#10;Eo5PqPzph8a2zcCX+VRLKcA/+XS+4mKl0PvLUP2ufjPqOTdX1k27kkWkQx+n9K5mf9o34n3JPm3l&#10;uc9cW8Y/pXxqvjO2I/1oI+tWR4ytOCZQPxqHleC6UV9xSjNs+sJPjl8Q52z9qt+R08hB/Q1Ub4ue&#10;O5s4vYxkdoYuv4rXzNF4wtdv+sH4mtKLxbaHGXH51yTy/Bx/5dL7jeNObPoM/EnxvMcvftn/AGUQ&#10;fyWq0vjLxdc/f1C5/AgfyArxuDxTaHGXHXvW7b+IrNujjmuaVLCx2pr7jVU5HoZ1jxDMvzX159RK&#10;w/karuNTuR+/nuH55LuzfzJrKtdas5Dyw/OunsdRsJT98DPaueWMpx2SRrHDyZnpps78nn3NWI9H&#10;nB6H/P413unx2k4GGFdxp/h+1ueFKnPuK4K2bpXNvYdTxhNGn6EHFXYtImTopI+ma+k9P8AxXGAu&#10;0g9QMV2tl8JhNgBc5x2zXmVc4uaRoo+R10y4AwEOcVUutNvVU5XFfdlt8Dp7kYhjZifRajvf2c/E&#10;M8ZNrZzPxwdh/wAK82WbNuyNlBLc/NzVUlhyH4PYCvPdT1HyATJwR0rrP2svi18Iv2aNbfwp8UdX&#10;ttN1fyEuhpTbnuxFJnY/loCwVsHbkDOK/Iv4h/8ABRn4TRu8fh2DU7487NlrIgP13gY/E4rbD4j2&#10;j7HpUcrqzXMouzP0B1PxZHCWjL8g/h0rgtR8eRxJuMgA9+lfkf4i/wCCgd3f7v7N0HUenAkkhh6/&#10;7Qab/wBBFeN61+2l4+vgUsdEtY+OJLu6lmIPuirGD+Yr1Kbpr46iPRp5FXdkqZ+zt78ULaJj++y2&#10;c/LXovwaWH4y+MIvCCa9ough1Z31DXpmgtlC8nlQSWx0A61/OpeftN/HG/BWC6sLUHO7yLNDgH0M&#10;xkYEfWuPPxU+N+quY7rxJq/XgRTeSF+gj24/Ooq47DQ2dzuhwpiZaJWP6BfiJ4ym8F+LtV8NQ3dp&#10;fwabfS2SarasRaXYTH72J3C5Ru2QOnSvE9X/AGjdB0zJ1PW9Jtyo6S3kX/xdfivP4a8Ra4ftWs3l&#10;/dM55NxM7/8AoRIrpPBGkDwJ4jg8R2lhpd9Lblilvq9nFe2xLDGWhmVkbHUZB5ryqnFWDXwxuevT&#10;4DxFk3K3yP0x1b9tj4X6bujk8QwSEHkWsM03I6D5U/ka8w1n/goN4VtMrpC6zfHHHlQrCD+MzDiv&#10;z61Xwq13cz6hJHGjTStM6QosaAuckKq/Kqg8BRjHauYk8PGMhQuMdSeeKqPEtOa9yKN1wUo/xGz7&#10;hvv+Ch/i2ViNL0afbzte5vQp9sqkZ/8AQq891L9uL4+6scac2n2I5x/rrg49iZEGfwxXzJDoxx0z&#10;68Vp2+lBSAAOa56ufTa0svkdVLhbDL7N/mem3v7Qn7QWvkpfeKL+MN1FqsUWB7FUz+ZJrOg1DxV4&#10;gnDeIdX1a+DY3Jc3kzx9f+eZfYPwWsSx07HIFdzpVn+8UnI49a8TMc4qyjbmPewGSUISTUEfsR/w&#10;SH0yyg/aCPy8roNy+V4O4TwAd+2a/vvtJSsCDHO0Z9elfwe/8EiNNaX9oWdiOB4auGwR63loK/vT&#10;igTaAfQVxeEeBxWIzDMKlJ2+HX5M/L/GecI4jDxS6MYk7nqKk81iDU6wqDk/5/Wkfbg/Q1/RlHLs&#10;VGDUqh+IOUW9Ef5yf/BQCVr/APbI+KVwc/8AI7akv/fDhf6V8Fz25aRsjjqPevuz9uAG4/ax+J0g&#10;H3vHmscj2uGH9K+OZLSRmOEY+uPWv5fw8mqlRPu/zP7VwFNPB0F2ivyRy0ViWwxBHPSta00wk8j8&#10;63rbTLhmBEZPbmumsdA1CTmOJzz2Feg6tlc6I0kU9KsVDqSOlem2qQC2VWGSKwYNHvoT88TqfQjF&#10;bsUFwI8Mrj1FfP4m8me1QSjCwjxLgKMVmPAiNkY9K038xRjB+pqkwkzzXXhF2MMQlbUhaNduKqpb&#10;/N071fx6/rU8akniveoI8qrKwy3thgEDvW/Z25BH04OelQW0YJBPJro7WP0HPpXqQbvY8mqi9Y25&#10;Bz19zXYWMWCvoayrNRt7Z9a6myQDBxn+VVKd3YyaOhsYmC9K7LT4TkBe5BP4Vy1lnG7kHpiu103G&#10;V/MmhLsS1ZHaaZHgA+5/CvU9AT5guOc9a8204cD1r1TQIsSDHPIrrcbpXPOxE9GfSHw8gH2mMA/x&#10;V/Ql+xxAsfwykPrdj9EWvwB+HUYNxGvAO6v6Gv2T7L7H8LI3PWS6dj9Aqiv0TgmnapK3Y/JOPJ3o&#10;JeZ9LjB5FLSAADApa/Snufkz3P/Q/f6H4jabHH5cl0gx8rLICTz6EVq23j3SJYWUzIAcAMuTx7jG&#10;eK4W00q0jh2RRRjn+FQBnt71NqF9pHh7S7jWdd8uG2tIHubicpuCxR8s/AJ4HXArpVeSV2dbpwWr&#10;PTIvHfh4TeWtyhdR14Jx9BWvZfEDw95nmGUhWIXJQ5BA5/zivDPh/wDEH4b/ABKtnvfh/rOmasqZ&#10;LR2UoaVAf70TASL06lcV61b20YIz2GRmuehmEK0eajJSXk7mdCvSqx56Uk15O56Dp3jLRWlaSOTc&#10;Dg/dPXvXc6f4m025xLCG4HJIP+FeaadECfk6nj0xXd6darL8jdutcuJqSvsbqMTsRr2nufLCvuIJ&#10;wAfSue1HXLa2hbekhx3CkitePTFdcs2QDlfofWsPUbB4mKNna3Ax0z+FedGo2y7RWp59qfiey8ti&#10;kM8hzxtQmvMNT1xJY2kjtJs8nG0nP4V6jqFj5Qw+4gng4zt9/pXL3Oio+ZEO1u4HQ/SvVpxk0NSR&#10;8+anDa37Mt5azo/UKICQM89VBrkF8O2UIEFrDM+5i20xnI59wOK+mBo0Rc5BycZ7EGqE2gb+QW4O&#10;cE479Mim8FfU0jiLHh8Hh9o5AskJ245IXofpXY2WgRrtaPH1rvJtC3ZMRcHoST2q/ZaWT+7HBU4z&#10;jNclXLU9y1iSno2miHCtyBxyK9b0NTbzqHHykdgciue07SpCQSw4OTgYzXoum6ecZBOfavlsyyZP&#10;U2jiDM1iGGRWklb5DnqDivmvxjoVlduVi2sQTnANfX95prfZypJxXjfiLSmclHGfm49Me9eXh8n1&#10;tY2jifM+IPEXgi0mBLICccg8V4rrHgaNZd3lggHHvivuLWPDxAck5BbIwO3pXneoeHFmU7V6j/OK&#10;9qGUxas0axxjT3PjuXwNHtI8odeOKbb+BUNwuYwvp9a+mn8LPsIHDKCpB5yRUsHhqSNjIFX8R/Ku&#10;arkq1OxY523OG8H+DnhkEcZeESYRvLJXevoSDyPY19Oz/BrwvdaRE0lvCztGM57k1z/hzR2TYrAA&#10;g/j+Fe52rFbJIy5yoxz7fnXymNyxxeiKljG9mfAHjH9mrwlFqk2q2tmq3BYyB97nBAxwpJA49MV8&#10;0+I/Aa2M7BEAYNg5AxX6reJrZpnaWPG7ncPb6V8qeK/Cj3E7XCDqTk9Qa5KeDmtmdtHF33PgrVNC&#10;mi3eWuGHYZ59uo618L/tNfF3xN8IvEej2elziKHULOaWRH+bEkUu0kE9OCK/XLXvCpUk+WSxOAqj&#10;LV+Hf/BVT4b/ABIur3wTqPgm7NmyQ6ulwrJG4kAa0KDbIrDIy2cYxX0fDtGU8VGnPVBmeLjCg6j0&#10;sZVh+1P4kulBlnU5xkjArp7b9pbVHXcZQT6Agf0r8bjB+0doZzcW2nXgTHWDZx7mF1Gab/wtn4j6&#10;OCuveG3wpwZLaeSFSfYSxkf+PV+mTyJp6I+Wp51Tf2j9sYP2kb3gySEH/ZOcfSte3/aQmLcz4HqS&#10;K/DJv2ltJtPk1W01azk/uYilX8w4P6VoQftN2Vwm/T4biUA4BdRHz6YJPbFcNXJZRV3oethsdGTt&#10;HVn7t2/7RpCBvPHpyRmu68J/F3xl41a9j8HWGp6u2m2MmqaiumWsl0bWzi/1lxN5St5cK93bCj1r&#10;+fRf2hfEFwM2lpEAeBvkJP6Cuw8KftFfGjTvtFv4W1SfSlvomtbsadJLCZ4G6xS7XG9DnlWG32rx&#10;MXh4U05SZ9BhMJVq6KO5+4cX7Sw8sSLKTn5lI7j/AA5qcftVXEGRHI7d+MV+NOh3HxI1shbjU50B&#10;xxGFQD6YHGK9As9Gk8Ma1pev+LIm8RWcNys93o+oXM8cF2ikgxSPCyyKrdyhBr4nE8SYCE/Zyd2f&#10;Z0eB8VKn7S2h+od1+22dNQSXF1DEv96WWNBx7sa5i6/4KPWVipMeqWrc4CxEyk/QopB/Ovxs8dQa&#10;Rqni3UNY0bTLfSLS4upZrbS7aSSaK0iZiUhjkmZpHVFIALkt6mubhswOvSuqWKwzjeMDGnwxJaSZ&#10;+zlz/wAFStdtRt0qa4n5+Vkg2jPvvKn9KwG/4KxfG9f+QQjRnOBvZD+P3DX5N2VpjgLx/hXWWFll&#10;l2jjIrycRiqfSK+497DcL0NLxufpg/8AwVS/bRuyBofiGKwXtstopG/8fXB/Kvefgd/wUa/bm8Qe&#10;PtEsdX+IeotbzatZQSwJbWiI6SzqjKwEPTBPevyR06yMeP6epr6a+BqtD8QNCb01rT2z3wLlK/M+&#10;Ms1nDCVnR00eq3Pssq4awfOuakn8j/RT/Y98Ya142+HN1qviyRby7ttTe1WbyUibYFRlBCAL3619&#10;hQTRomEjH+fwr4r/AGFrMj4bakuf+Ytu594IjX3Glqqcn6Gvf8IMFmWJyXA4u9+aEW21dvTV3Z/N&#10;XHHs6ea4unHRKbSXlc/iA/4L7So37cF9FsXLeFtIOcdh5/Wv58tTt4GkICDknoK/ob/4L82+z9uK&#10;5bGQ3hLSs/nNX4B3lkxJ2jjPevm8bVqU8fiqc5bTl+Z/TPCtCEspwkuX7C/I83n0+FgeB7f4Vnvp&#10;kZb7o649a76aw+bDD3qNdNAbJHNU8fJfaPQeCXY4230WMt93OOldRpWhRPKpCjrz710+m6HLctnh&#10;V7GvU9G8K6bFpk9/cZYwoX56cfSvDzTOWk0mejhcJFNNoyodMtF0+OMBd2OMVmXOlLjCqBnOM967&#10;+5vbaVRHYxBFwBnoTj2H9a5i+3fec9+gr5KliKl22z6KcE47HD3Wlx+SyttH1rj5tGh/iJ6fwrXp&#10;jafcXkXmJhVz1PU12nw6l+H/AId1v7b8Q9Al8R2mABbJevZbSO/7sfN9Nwr6nKK0Z1IwnUUb9X/w&#10;DwsfSag5RjdrofPcWkWUZLOrHvliB/Wuw8N+F73W5kh0PRbvU3bhVtYZpyT6ARK2a/Xj4Z/tQfsU&#10;+DQn2f4cLpkq4/fNp1tfyA+ollkdx+Br7K8Lf8FEP2areNYY7q+01cYWP7A0agehEQxX7tkvBOVV&#10;4xdXNYa9F/wT8uzTiHMKd1TwEv69D8SNA/ZY/aO8SbRofw48QRqxADz6fLbDB6HddeWPxr3Dw1/w&#10;To/bE12UCDwhHaDPzfbr+zgA9uJHP5A1+zNh+3r+zXfoUi8Rojd/Ntplx/46f5V33h79t/8AZuWT&#10;EnizTVZmHVZVPp3jr7On4ZcO8t5Yy/8A28kfKVuM8815MJb5Nnln/BOL9jD4x/AD4xp4j+J6aTHF&#10;f6S2m28Fld/aZhI13byEsBGqhdq4yGPOOK/rwXlck1+F37Ovxl+HHxe+Jul6d4H1iz1OW2QXE6Wz&#10;FiiNcQqCeBjJNfujjH5V4nBeS4LA5pmVLL581O8Nb315dT4PjrM8Vi1h6uMjyzs7rbr5i9OhprH5&#10;aWmuQqEn0r9Nkk1ZnwLjbY/jV+P3/BL34g/En40eMfHFr4r0m0h1jxXquoxwSWUzuiz3UjBWYSgE&#10;gegrwuf/AIJHeOrWTdJ410w9zjTZR/7WNfq58Tf24vgH4T8WaxpGseI7OO4tdXv7eeGNJXZZI7mR&#10;WU4TGQR618weJP8AgpJ+z4m9LW+1C8boBbWj9fq+0frXytPhnhSmuapON3q/e6/eftGHzziacIxp&#10;wdkkl7q/yPjWX/glj4vtEz/wmen59P7Pk/8Aj1Z//Dtvx3ZHEXjHTvQ5splP/o2vate/4KUeAjG6&#10;6Po2tXDE/KZVihX9XJrwjXv+Chnje9Z4tC0Kytx/C11cPIfyVQP1rx8fHhClpzc3o2fSYNcT1LOU&#10;beqSKl9+wN8SrUER+JtGl29d8U6f/F4rzDxH+yr8TPCdvJfXmoaAYIl3PM140KgD1aaNF6ds1k67&#10;+1f8bvERLT6slkv9ywgVDj/efe36ivze+O/7T/xG0zx4vhm0gbXLmSKOVJr64lml8yUnCIpyAMDI&#10;xj2xXw9bA5VmVZ0Mrw8nJK+rsrH0tXNMdllGOIzCsrN20jd3Z9Q3dtd20zwgq+1iN8LB0bnqpAGR&#10;71iSXm1yrMARwSa+M7f4t/tM6qwaHw9DEuejwEdfczg/pVy8uf2iPEV01zPDBYoQMQwtGqKMdMt5&#10;j/mxrLDeG+LhK9SpGK9SqvHHtY/7Ng6k/wDt2x9fi/iHDFT78Vds9X0+2kHngY6evPrXxS3gn43X&#10;i5udTjT63Ug49/LRaI/hH45uBv1LVoyc54M03P1civbp8CQi/fxKOGWfZq/gy2Xzdj7hbWdHjQO0&#10;8WWGcBhn8s1PZ+JbOR9ln5kx/wCmCPKfXogJrwH4SfAb4l+LvFtp4X8FaiZL26mSNCIY1VFY4aRj&#10;IxOxerYBOO1fSnjf4C/Gb4d/DSf4k+KvE0rQf2yNAtIbXG+eVB+8Y5jTy1Xa4PBbI6AHI8/E4XKs&#10;NioYSpi17STSUeuu33ngYzP82hfmw6j5N3ZctPFNrFPHa3sdzAZ5fJiM0MiKZNpbbllAztBP0r1D&#10;TiZIxj86+PdA8W6j4h1Xw9ol05ePTxdTZY5Z5XyGdz/Ex4GT2AHSvsTRo2aAFfSuji7IKWArRo05&#10;X0T+Z38HZ9iMwoTq14pWbWh2FkmMZyTXX6cAMAcc459K5izT+9XZadGMYbqDXylN9z66b0O501SV&#10;HSvU/DyfODj0rzLTACgx1r1Lw+VDLnnGK7YM83EvRn1J8Lk82/iQDI3Cv6MP2c4Ba/Cexb1aRz+n&#10;+FfzufCTypNUgDcYIBx1PNf0WfCB4rL4MWdzEcqtlNIT1ORur9I4K3qeh+P8d3VOF+57HaTi5tY5&#10;/wC+ob86sVnaMu3SLYHP+pT+QrRr9Cjsj8vnH3nY/9H+gOK3H3iO+QKsnTob2JredFeN1KOjcq6s&#10;CCpB4IIPPFaUotrC3e8u3jhhjXc80pCooAySzNgAD1r5r8Tftsfsp+Crp9N1fxVbXE8bbHTS4Zr0&#10;KR23wIyH8GqsVjsNh0niKiin3dj6HKuHcdmD5cHQlUf91N/kfmh+01+xp8Sfgd4tk+MHwJe+OlrK&#10;bp0013W80xgctjYQWi9GGcD5WGOv3B+wf+1nqvx3s7r4ffEMxt4j0y3+1Q3qrs+32ykKxdBgCaMk&#10;bsYDA5wDnPpGjft8/siaw4tV8TSWob5d99p13FHzwQWMZFfQnw38G/AzWb7/AIWt8NrPw5cz3MTw&#10;rrWipCSyvjcrPF3OBuBAbsQK/HMr4Io0M6WY5Fj0qc3+8pXvF+cezPz7H+C+bZHmUcwpU50acm+e&#10;Eovld+q7MzPi7+0R8KPgDYxzePr8rdT/ADW+nWaGa8kX+95YI2r/ALTECvkeb/gqt4MiufI8O+Et&#10;XukyQst3dwwcdvlVJMfnXzn8WP2NP2nvHnxG1bxbe21pqIvb6WSOdtRhA8ksfKXbM0bKFTA244rQ&#10;8D/8E2vixrlwp8WX+maRDkZ+zlry4K55ACBYx9d5+lfhvHvGniXjMznhMiyx0qabSk0tVtdyk0kf&#10;h3E/FHG+IxcqWWYV04J2Tstu92z678Gf8FNn8Xa1aeHdL8A311dXc629vDaaijuzMeuDCOB1J7Cv&#10;1HnX7XAk7IEZ0VmG4NgkZIzgZx9BmvmH9nn9kX4bfA6FbzSbZrnUSm2fU70iS5k56ZxtjU/3EwPX&#10;NfWstsrDHIOPrX7x4V5DxFhcI58SYtVastbRStFdr9X3f3H7DwDgc6o4VvO8Qp1Ja2SVortfqee3&#10;tptPTNclPaKh3R529do+8vuPavTru07jGR6964nxPf2nh7RbzXb420SWlvJcNJfS/Z4QI13HzJSr&#10;bF45ODj0Jr9lppRjzPofeUqcpyUYbvQ5ee2gDiUMoOOPf61SBs5GODznpXxL8GP26dE+MXxAPhLX&#10;PBup6Zp9zdvaaXr0Ltd2E8seeWZ4oiquBlWA9NwFfocNOtTGHgVCFwSQMfpWOV5thsbCUsNPmS0e&#10;/wCp7XEfDONyqrGljqXK5K61Tuvk2cVJAiSpty2444HFXls4jgr6A+9deNNU5eMEgnp6U1NNRgUk&#10;Tac4OOP1rvdJHz3P1ILG3243rgdmBzXdWNuoAx1Irzbxn478E/DDQh4k+IN22n6cJkt5tQMMksMJ&#10;lO1HnaNW8qPdgGRsKCRk16no89jqNjBqOnTQ3FvPEs1vcQOrxSRuMqyOuQykdCMg14eMhFy9mnr2&#10;6nf9XqxpqtKD5dr20v2Nd4A8BQrnFeS+I7HLHC8g9q9m8kFQxJz2wciuL1u0LqSVxj8c4rmoYX3t&#10;TPnPnHVbCQZaQ4HTdjn+YFcRdaVJGxdTkEcjHA9+9fQN7p8bIWkA5BIBHH4etcLcWKR8gZ57V6dO&#10;gnrYbqHjkumROQckgsN2BziopdOCuRFuKbvl3fex79a7nVYrSyKyTtsDn5RjHPXtUaW0U8W+MhgO&#10;dy9D+NOrhUXGqzmbSxu1kBiIwc5U/WvSbbT7mS1EgZsjAKjmqNhZIGVm6Egc9ea7hE8mLao7V81m&#10;WBV9jqhVZ434n0O7lyIrmaNuu5Mcj2zkD8c14xrOhuh3LJM/OTuOf5V9W6tDHPG4HYfTr1xXjGs6&#10;a28gtnPU4xXm0sCjshXseIweH4pZnlKMTkDrjOf5V+YH/BS7wvG+k+E7vy8bLzUYSfaSOBxjOf7t&#10;fslpVh5ckqSKGHBB71+eP/BSzRI5Phx4ZvVAOzX5Yzx032kh/wDZRWmV4XkxkGc+d1ebCTR+AWpa&#10;RA02+OBIlwAUQsRkDBI3EkZPJ569MDiuWvNFgGcIPbIFe7ajpqhjgA/TFcdf2A2Hpgda/Vbs/KY1&#10;T8xf2j9AtYLhZo4lBW4hKlVA6hlOcDnOfzr5o8PWUavcptGEnI6ewr9Cvjv4O1PXNNubzTbO4uFt&#10;xA5aCJ5ACJlUglARnmvinSNJns9Vv7W8jeJ1uQCkqlCDsGRhgORXn5vUao81j73hCalXUbmrYafE&#10;cbgfY9P6V6v4U01I7hZFyOnX1z9KwNNsoygLlD+Ir1jw5ZRmZFXB+ft6Cvx3P8bLkkj98yKiueGp&#10;9GeEYnRF2AEkYrY8XtKLZPM5xyPbmuz+G+h2726ySjPAx3/GrXxF0SOO2LxAAY79q/mmrm0P7Q5H&#10;ufv1PDtYW6PjrWkMkrNjnJrnkt3zjHeu21OEpOd2Ov4GqcUCbuR+WM/lX6lQxzUEr3Pha2HTkzIt&#10;LRjwOa9U0rTS0MZYZ+Ufl1rm7K03IDgYJr2/SNI082EMnmsH2DcoTIH45rzsbj5PRM9LDYZFG00d&#10;HiVoiTJ/EpGAB2wf8a+gfg3pksHjfRpJAMDV7E5x6XCcmvP9MsERxsOR0BIx+le//C62T/hK9Lkf&#10;hE1K0ZzjoBMnNfnfFWJl9VqrumfRYKmoySR/oEfsZ2q2ngC/RRgHUFb0z+4jr7CJz+dfKf7JSbPA&#10;t2OMfbVI+nkpX1Z35r+kPAtf8Yjlf/XuP5H8Z8fa51jf8cvzP4qf+C+9rn9tdpR/F4S0z9Gmr8EZ&#10;9Nlljkuk27UcI2WUHLdMKTuPuQMV/RL/AMF5NMiuv2vROR83/CK6ePw3y1/P3faUDKWxkjocc1+B&#10;8V4pxzjGLtNn9W8Dx5slwdv5UcKbAZ4PNKtmiN8316V039m/P86kjnvj/GpU0a4fLJwRXjTzC2rP&#10;pvq/kZNq/wBnwB90cn2zXonhTXNFiZ4NYBEUilWGCwPbnFfnj8dvEPjuH4lw+DvDeo3Fr5tpG4SJ&#10;3RMlSzHCcknHrXH6J8KfjD4rmEd14gvokJH+rWYk/XfLj9K/SsH4XfW8JTxNbExgpq/W58HV4zry&#10;xE8Lg8HKo4O17q1z9NbmXw9AzPBcxpGDgbnGMduuD+lcX4h8aeANIhLarrWlQgc5kuYx/WvlvTP2&#10;LtR1VM694h1ucYyYwyKD9MKTXqXw0/4J2fA7xJ4yttK+IWoatp+mOsk2oaombj7NFGu8u0QZMg42&#10;8HO5lABJAONXw8ynC0518Rj21HV2j0/F/cezi8TxLGi6v9nqKXeX+X+RQ1H9oD4N6a7IvibS88nC&#10;ThxgdemR+VS+A/jZ4M+IWpyaZ4UuTdOkPn7vKdFaPO3KlgM816j8Q/2Dv2Wfhr4X0zUPCM1v4kv9&#10;Tlnu0ga0kWK20pGkjge6aaQsl3I8Z3QKGVQC2/GN356/s4xQ2PxQ1SK2AjSO1ZFRRgKPPIAA9gMV&#10;6lPg/J55PUzPA1JyS25lyv7mkz4uhxZm/wDaGHw+MpRUZvs/1P0fRblsN5Y6dj/9arSQ3ZHyRnr0&#10;Hf2rKt5GI4zzjuatpKwbYGPXGc/5OfavzCGKXQ/UN9WjqbGK/tkLm1lyeenT9K04/Oml3GJ16Z4/&#10;/VWBFcS+XsLuRjjk1oadOzSAbiTnkbjXRisTJUmuYKFNOex+/wD/AMESLNpPjhqjuhUrplgvPfde&#10;D/4mv7CBX8jX/BDW38/4ueIJzkmOx0kAt73Mrf0r+uav1b6P13h8ZJu/vL8j+avG1/8AClTX939Q&#10;qtdnbbSN6Rtx+BqzVLUjt064b0gc59PlNfv+Idqcn5H49b3on+c58eJJbn4seLLg7Dv8V61Jknru&#10;vpjmvn9xKPlZ4xznvx+VfUPxL8JtqPjTWbyWeJfP1nUJs8nO+6kbPH1r5Lvbjy7l4kAIVioP0OK/&#10;iTA4mMqk0nrdn934SV6NNLol+R0sEVoVzPdhfQJET+opV+y7yRJKwPtj+tcwtxIAAOp5+lWUkc8E&#10;4+nevX9ppZGiptnSSNbiMkKx4yNx618N64Bqf7V2m26AYWezBA5+7EXr7FklkWLeCcjkY9jXyBoc&#10;8ut/tkWpuWZ5PN8yV35JKWbHnpX6R4aSti69RdIP9D4HjfDupPAUO9WK/M+6F0aMcKoODxxz/P8A&#10;rTv7H4JZe3HpXewWKE5xwD+FaUWkkru2gL619PiMybd7n9J4bh6lSSi2l9x5g2j9Rjnt/nitfw/4&#10;TTV9YsrC+kNpbXV0lu94Y2dY1YjLYH3yOTtBz2rv5NDLkHaenTHNfU3hrw3djR/h5ptgdfeaTWnu&#10;FhtrSGPYxL/NZSuFMkmFBy77Rg4rLD47n0uefn+DhQppxWsr/kzkv2bvCdn4R+Ouo6d4c1LTLiO0&#10;tprRdXnS4guWgkibzHtIASEkRiC0kyssYXOMnB9J/af+HXh5vhnF4a0o6fDZeFLF7uDWtU+0NJd3&#10;Vwd8ltayRExtcSld8kl1lpC/yKF5Hzv8QNW8S6d498QrZ3uq2z3V+UvWuJdl3L5DZTz3iJywIydr&#10;dcV51rvirxdJ4dvNJvNU1B7KSMzT2pnbypniG5WkUYDkEAgtnGBX5hmfBOLxXEFLNaWIUVFrS3br&#10;57tfM/Ms+4FrVV9cjUSXL+SPkL4RyifxfBORlEglbnrlmx/Wvv3S50ES/L2xxXwJ8C7eSbWVnkBH&#10;+hFw3YhpcD+Rr710tSIV9QM59a/UPESsvriv2R+LeG8P9hk+8md5YXG3GR2613GhXcMM4kngiuVw&#10;R5UzSKpJGAcxPG2QeR82D3yOK8/syBgjpXYaeckdK/P3PW5+g1ILY9D02QfL16c9s16No0pBX8q8&#10;xsGwBXe6XMwxtPSuyFXQ4qlM+l/h9rjWF1HIq5bOBX7vfs8eJdUnuPAmgPdSJBL4V1PVbi2DYjlP&#10;2kRoWXoQuDg9q/nn8K3hinXJPABr9g/hx4gv9M8YaILNXYaZ8D57k9QA99eyiPPuxHHvX3XA9e1e&#10;p10Py/xFor6vT9f0P1/fUNPhUeZPCowOWdQP51D/AGzo/wDz923/AH9Wvyt8Q/sjfHrx/wCH7LXN&#10;Q1uDTJ7fTSy2UU00rNJy/wA5AQbiMDGeK8e/4Yw/aE/6D0n/AJF/+OV+vUcRhlFe0k0/S5+LToVL&#10;+5Zo/9Lw344/tk/Fb9oPVZZPFM72emAt9j0SwlKWKRjg+YuR5rjrl8j0UV6L8Bf2Ifjt8d4k1jSr&#10;OPSNFnUNFq2rgxLIvHMSDMjg9sAL717F/wAEzP2ONG+LLf8AC6/inafadE025MGk6fcDMV9dxYLS&#10;yA53RRHA29Gfg8Aiv6M7KG3hjWGJVjjRRGqKoUKBwAAOAPYCv534E8O8Tn0P7Vzus5Rnsk9/8kf3&#10;d4oeM2D4XqPI+GMPGMoaSla6T7Lu+9z+fD4lf8EzPit8MPBd/wCNdN1vSdbi062e7vbeGOS2nSCI&#10;FpHTezK+wDJGRkdK8E/ZL/aD8V/A34zaVdaNJcvYX+oW+n61pylhBdQTOELFTx5iZ3I+Mjpkjiv1&#10;u/4KO/tSaB8Kfhvc/CXw7PHJ4g1yERXaRnJs7In5t44w0v3QOu0k9K/Kv9gn4Yah8d/2g9LWS3P9&#10;m6FcRa3rVxt+QJbPujjJ6b5pAFVfQMegryuLMnweX5/g8HkTaqXXMk27a9T6rgbPMyzThDMMy4pi&#10;nScXytpJvT/O1j+lT4qXvjXwv4Un8T/D60tb6700NdzaVdKQt7BGMyRJIvMcmPmQ4OSMY5pf2cP2&#10;hfhx+0N4YOs+EWNnf2wVdT0a4IFxasTgHjG+MnIVwMHocHivW7ZEmPIXk5xxjJNfz1fFvXtU/Y8/&#10;bW1HxV4JE0VtbXo1B7GM/Jc2F8qyz2xHTDAnbkcOAe1fuHG2fVcp9hipO9NtRmu1+qP5S8NeDMPx&#10;JHF5fTXLXjGU6b72+y/Xoz+lqCKMqAcj68Ef59KtOkWMZFc34Z8Q6Z4q0Cx8UaK5ks9Rs4b62cHh&#10;4p0EiNj/AHWFbsjjGCOtfaUUpxjOOzPyHE0p0akoVVZp29CpcWsbA4Iz6EcV4H8ZvAcviPQZ7tdf&#10;l0i1htJTdxtb295ayxRL5hdobhcFkAJ3A4A6ive5xvUbRkdCM447n8K/IT/gp58SrzwDr/g3TYrW&#10;ea3uLa/lZo5GhLMGiGxSOGJX7ynqpr5/jPOqeW5ZVxlWHMorpufceGnDlXNs5w+Bo1OWUur1212Z&#10;8x/Ay68QfEbxJc65N8OdZ8cX0V/Nb2k+pzrYaRCsTnY9xcSqyscYwkQ2jAxnpX66/A74la142udb&#10;8M+NtBh0DWtAuksryws7r7bbujLlZYpDHHgHpgjPGe9fhHB46+IOo6Y/ie1v7vTWhisvEWk/ab55&#10;oha2xNoLWGzQPEsplTezyL91QF5Nfqp+yJP4s8H+Itb8X/GjVJNT1DxLpOjayl00Swu8cmIcoi7I&#10;z5TyBXIAP8RAzX554dZuk6caSajJtybStqnu97303P3nxm4ZvQq1Kso88ElGKbcr3V7dLWu9j7/n&#10;jgZC8SYwecdwOteG/Ev44+BvhvBqem3FzDNr9po8+s2mh3DNA95HCjMTFK42FVx85UkqOSK96njM&#10;GZ4Cxhcl+RgqG7g/zr8qP+Csnw21rxD8ENL+IehW008nhvUXlvp7cFngsLmMpI7bf4FOCx9OTX6z&#10;xVjq2Ey6visLDmlFXS7+h/O/h1k2CzDOsNgMfPkhOVm307X+ejNX4aftb+Jv2wvgh4k0XwT4QSz8&#10;RSStoTfarjztIgtbmEGS8uJpI1BVELDygGYtjoOag/Zm+LHw1/ZA8MH4WePfGWs+I9DF9Fb2niK2&#10;0iX+wNKu5ciSyS93uWQnDcAqhzg84HyJ+zVo37UX7JPgm21yyNrcWXj+1uH8M+H5kSVG1aKNZbcT&#10;g48trq2DlAknLIFYZNY3xEvv2ivF3wf+Jnij4kjxZY+E4rbTrjTNN8T2xUPetfW6h4cKEhxhiY0I&#10;G18DO3NfhcuJMXHC0MdiaU3iFF3uvdS31S0s+7+4/qyrwFl1TFYrLMJVgsHKcbWl7zls7Xu7p9F8&#10;2f0gQzQXtol5p08csM8STQTwsHjkjcZV0deGVgcgiuT8W6/4e8L6edS8VXtrp1qJY4Gu7uVYYhJK&#10;cRqXfCgseBkjJwO9eGfsfeHIPBP7LPgqyjDKs2hQ6lMZJGkzJeZkbG8kgcgBRgAdBWv8dPHfw48O&#10;fDHWdQ+LsFsfD4tXivbbUgjR3QIOIVRvvM+PlHXODkdR+04XG82AjjKlotxvrstL/cfyfXySEM5l&#10;l1BOooz5Vb4pWdtu5+Z9t+1h4jX4t2XifwzqGqeIrPVEmm8Q+DLFBdrp0byMLW2tRGm5bhIVEkvJ&#10;BYkNgYx9hfBb47fDz9oHSby68INeWt/pk32bWdC1SIwX9hLkgCWJudpI4YcdjzxXgX/BOjQvhj4W&#10;+Dfi74uxW8GlyXGsXepXFjJuM2maUEEljEHlzIUliPmK+cOGHJxXif7BHw2+JPif4/8Ajb9pzxTb&#10;/YdM1iW9sYId2DdTzTLI2xRjMduoCFu75AzgmvzjhbOcfTr4dVZ+0+sSb5Fryx/mve+9tO7P3DjT&#10;hnKK2Hx/JD2X1SMYqb/5eTf2LLR6X17I/T26sEuI2hlVWI52sO9ZaaZDFHtgXYp52gcA/SvRZ7WN&#10;gTDt3EY981kR22crKAcHBGCP61+2SgmfzLGpfUxbfT45GXzOdpDAdOa2Xj2jr+lXY4Qv+rXgcCpX&#10;Ukcjp0xXk4nDX1N41DlrqIHJYDIGK4LVbISDDDpXp12gzjHFcrqESkEoDntxXnvDnTCZwWl6WGMq&#10;f7Iz9M8V8P8A/BQqxtdP+Dml6heWqXQTxFEgEnRS8EwB71+iWj2xaWUBedmenvXxL/wUXsEuP2cl&#10;kixug8SafIfYbZlP6sK5aEHHEwa7hmb5sLUXkfhJf+KPDyNk6NbDaNvyIvbvyK5m/wDG3h5YyjaP&#10;D3Jwqfl92mapBiT5fT0rhtQhIJwD61+hwxcrH5Koq5cvv2h/B/gjwlqljfWyWLO0coTB2NE8sQkY&#10;FB1TGSMZI6V+fHi/9qTSvGnjC/tI9EtbrTbO5SexmmAE8jSx7XZ1YNgfLgD0Arqv2jlMHh25cgBT&#10;ZTLj8j+hFfn34XYf2vdjjJihOf8AvqvMz/MKqwjcGvuP0DgnDwniUpH3Jp3xl8OsAyeH7YegxGP1&#10;2V1E3jmw8V2A0630yC0fz0kE0ezcAmePlUdc+tfK+lZKAgDGcGvXvCmFYHG0fy/nX4VxJntd0qi0&#10;18j+kOHcuhCpBxPVPF/x3f4OppGnaZ4fvPEF7q7SxWlnYyiORmiKDCjaxYneOBXL678Vf2p/GVuU&#10;0j4QataxyD5ZNRuDGAD3+ZFB/Os/xfrY8L/GD4W+Ku1pr8uR7ERnt0GFr6yu/wBpLVr3UZodUKta&#10;CU4kL732soI4z8pByDkfSvzrAZNgKdGjiVg1UnK7bbe6dtkfdc+LxGIrUXi3ThFpJJLqr7n573vg&#10;n9r3VpWaTw/ommnOdl1dhmH/AHyWq34r+An7Wfhbw0PGPi640rSbBrKXUEEG6Zp4oMmQoSODxjkD&#10;8Qa/Sfw7rOheJ9Ol8RSl3i8mR7P7OyHM0MkSusyEhlTbIfmXknGOM175+0fayaj+zvrujxEPHpvh&#10;S4e4jidrkhxG6QjzhsXbGr5bag+bChQI8VxZz4i1cDj8BhaeEgo1ZcstNl/nfTU8bM+FowhKft5y&#10;315rdL9Efjz8HtUvdf8ABlvqF8zzSF3VpXxkgMcdAB0NfV+iWYNlESOiDFfIH7OGZvhvbuP+e8i4&#10;/FTX294ctSbWEY42Cp4nnGGPrwholJn1fDEnPL6E5O7stTc0+zUgA9fSvcPhzCya7YgZ2/bLcN7D&#10;zVzXndpabB6V7D4AhK38RXPE8R/J1r864hqKWGqejPqaMdbn9+n7KaCPwLcKMf8AHyp/OFK+oj1r&#10;5h/ZXGfBU47edEfzgjr6dJJP41/T/gTK/CWWf4F+B/FPHDvm+Lf95n8g/wDwXPtvO/azQ+vhWwz9&#10;d8tfgrfaerSHHf0r+gf/AILf2+f2ropcZH/CLWIP/fctfhJd2apKfr3r+d+M5f8AC1jV/fZ/Wvh7&#10;rkuE/wAKPPf7O+bB4rTt9NzGcAf/AF66J7QZwPWtW004NEdw7da+aqysj7CS6n506rov9s/ty6D4&#10;ffG2bSXJXPPy2krdO9ftV8L/ANlC81mKK8t4gRwcSIefb/61fmz8A9It9Q/4LA/DvSL2CK7tnstt&#10;xb3Khonha0lD5U8cK2eR2r9WP2f/ANpj4o/B74peIfhd8UGj1zStA1mTTIJLpYU1MQg43faY/Lik&#10;KNlQHQFu7bua++8Q8PntfKcNPJJRco043i3Z631X+RxeG+a16NPH0cFQU6vtJS1ttZfjofSuk/sa&#10;xagbe1ukih8x0jkkVCxQE4LBV5bHoOtZ/iH4HaR8IG0nXvs82oxRz6xYXsVtbtbPPCW2xs8jg7t2&#10;QSh+4oxgNzX6e/Dbx34E+JHhuHxf4JvYry3VwZUDNDPAQeRKmN8eDxnH0Jr4b/aT+JWkwz3Git9l&#10;EkVxO+9rqcs3mN2yMH6jBPU1/PuRcR55h/aYDO4PnqaJbO2/9M6cg4vzHNsc8Hi4cqj8UbWPy38d&#10;WfhEeGn0688OuurR6dBZw6uL+RI1e3XaZDamPaQyjld3XJz0FfgJ+z2qyfFTXCqjKxEbsZ6zuf1r&#10;97PG2uaVqRmYNDjaxbBPoehPevwd/Znj834meIWHQIgB78yMa/qbIKqhw/jopvZbtv7r/oeJ4kZV&#10;QoZvlioq2svyPvy3jzGEyeRz+VaaRzTyI0h+6NowAvAHH3QKIYcLx0x3rWtkAC8dq/JKGJXU9eVG&#10;+wwqFjVVUKQMFu7fWrOmxM04b3zSuMDocVY0vd5+fcYoxmJvHQ2w9JKSP6Qf+CEdqH+I3iadsEiD&#10;SFH4SXBr+tAgcn3r+VD/AIIQW2fGfiiYL/0CUyfYXJAr+q3kde9fu/0dm5YDFt/z/ofyr43W/tZL&#10;yCs3WSF0i6Y9raU5/wCAmtHnPFY/iaVYfDt9Kei2c7H8IzX75j5Wozfkz8gpRblE/gN8W6Yz3802&#10;D+8mmm49Xdmr4HnTzJ3bp+8bg896/UHxdp67iMZ/ds/0yDX5dsx8wj0Y/wA6/gzIJ80qj8z+5sqq&#10;c1JeiJdnAAHSp41bIH41GrOBk1Kj4PQ88V9QujPV5Xews+REQPQjPSvmv9nvwN4l+KH7edr4T8I2&#10;0l3fXE11HDEPujbaMpZ26Kig7mY9AK+kLudBCepANdx/wSJtZrj/AIKV3uoNwqeG9ekH02Qxn8MN&#10;X614W4VVKmIT2cbfkfknidnEsD9UxNPVwndX8kz+hb4R/sRfBv4WadFqPxDWHxJq23fLLeZWxhb0&#10;igz8wU/xOTu/u12Hj3xb4X0m6tvCfhK28LNCshafSb+ytWS8g28RQKNjK4IPTJ9q9h8a6SNV093j&#10;Q3JAI2ZwMAdcelfC3xF+CHw8+JGiTTapBc25tgHeO2k8pmcnGS+GK4J5wM+9e5x1n1LJsI5Siknp&#10;fdnwGXZ3jM4xntsfipNt99F2tbYwPi9+zFpFxaXHjr4dWbWVulutzqeiS5Jti/LNAx5aNSfmXqvb&#10;Ir528VWEUnh3RNO0YalZ3OkpL5l0byR1Mjk4MEYIEIAOPlwTXqHhjwJ4r8Da/wDZdC13VX0J7OSG&#10;TT9TuWuApcbFjidyXKkckv8AdHAJyQO11P4e6rLp5v7AxSHG6S3ZhvIHoO9fzpR8Rv3sFGqpc3Va&#10;fh0P6VyLMp0I06eLrKaXwt769H3Pz+1bwtdlmuZfMld2LO8pYsTnJJYnJJryrxrp0lr4W1K5CkeV&#10;Y3DH2xExr6o8cXup291/ZoiSKXBaRJCBsUEg/Q8YFfOnj3TbrUfDmp6VPKsCSWUqXF2xDJbxyKQW&#10;wCSxx0Uck+nWv2ThrG1Ks6bbvqj9HzfGwjldepOSsov8j47+BcR+1QY6/wBl2zDucyySHGf5da/Q&#10;TQ/B/iy8NtZ2um30s10AbeJIW3yjrlFIyQex79s18CW/xk+F/wAIdWltfh3a3mssbK0sZ77U2FsY&#10;xAG3m28onaX3BS7AkANgAkY4Gy/af+Kej+K08VeFNZ1TTWt7jzrGFLp5hbgEsqBn+8F+g57Cv1nO&#10;OBquPxEq85cq8z+BMn8R6eXYaOHhT5mm79j9wPAv7NPxl8a6Rc61omi3QhtY9zi6RoHZtxXCo4BP&#10;IAzwMkDPWue1XwR4s8Gz/Z/EthcWcmdoE4ABYAEgEEgkA888V8a/BT/gp3+1Zo3xC03VfE3iWTV9&#10;PWd/ten3uy3SaKfHmAywoj5PRcsR7V/RX4z8SfCD9rHwfDoPhRbRNa+xWt5Elm8U0lrNMnKMyEbl&#10;DEb8cjIypyMfO5r4dyoUueErs9vJ/FRYivyVoqKZ+VNixGB39K7WwYDBPTvzVzxt8MPEfws8USeD&#10;/F8JhvoACQDlWUnhlI6g9qrW9oiRFx1A4Jr83lTcG4yWx+swqwmlKDumej6BO3RehGBX7V/BN11H&#10;42a3akbl0r4W+ENFKdt91c+Ycj23Z9q/FLwpE9xeQ24/jlRfzYV+8/wQ8M3kfxp+Kup6b5a41Dwp&#10;4ft2I3BDa28U75HHGCeMivufD5c1apJM/MfEuajTpQ/rofp/ey2tppss16/lwxwsZX6YRV5OfYc1&#10;5n/wlvw2/wCgm3/fyvzV/br/AG8x8PpdQ+DPh/S7pLiVnsrvVpSqxZxtxEBk9e57D3r8l/8Ahp7x&#10;Z/z+P/30P/ia/X4yg0fk1HL24py0P//T/d/9kHwtovhH9mbwHoeihRCnhXT7l2QffkuoRcSt26vI&#10;a4D9o/8AaE+Jmi2c/gL9mTwvrHifxJIDFLqkFm507Ts8E+e4WKSYdhnavUngCvAf+CW/7QugfE74&#10;M2fwg1a7gTxJ4Wg+xxWkzHzLrTUOYJYgT8/lKfLkA5UBSeDkfqomnzSIIhkKOMKSPw59a8vhXFUs&#10;yyag8HV5U4pXW60t8mfrHGGFr5HxLiv7Toe1nGTdpfDK7um+6+Z/Nzp//BMj9sX4ua7L4p+Is2k6&#10;TPezNNcXWs35urlmY5YlLZZRknjG/P0r9q/2K/2Wr39lr4bXXgfVdRs9XnvNSbUZbu1s/spVnRUM&#10;bMWdpQu3KlsYBwAK+rbGwEfy7Wzk8Mc8e3SugjilQgxruxxwelcnDvhflmV4l46inKq7+9J3ev4H&#10;Zxt4453nuDjlmJcYUVa0IxSStt56eppwWqLl8Z6fl+Vfzx/8FC9T0fVv2pNVNufN+yRWdnMIsZ3x&#10;woHGenXjnvmv1y/aj/ap8Mfs1eBpL67kguPEVzGU0nRhJmVmYHE0ijlYl65ONxwBmv5+PAvhzxP+&#10;0H8XLXw/aPPc6n4lvXe7uXBcRK77p7jd2EaEtlvYc5FfnfjLn1LEKlkuG9+pOS07dvxP2H6NHB9f&#10;BvEcS41OnShCSTel+ra8kl/w5/Sr+x/DO/7MXgf7YG8z+woiu45OwMwj54H3MYwK+kGtEIKMMjvy&#10;eK5XwloNt4T8Oaf4R0PCWum2NvYQBv4Y7eNY1z0zwvPvzXUk3UXDIWz/ABLjB/Mg1+35VgZUcLSp&#10;S3ikvmkfypxHj4YnMMRiYKynJtfNssR2kKHbzjGBmvL/AIofBf4bfF7Rl0P4h6Xa6rbws8lutygZ&#10;oZHRkLxseVbaxAI6V6eIrotuOB7HtUbWxwfMkKn1PArrq4SnVg6VWHMnumcGCx9bD1I1aE3GS2a3&#10;R8wfs/8A7Kfw4/Z60SXR/CANxNcSObrUr2OJrqeMsWSORgo3LGMBeO2etez+Mfhr4X8f6VHpet27&#10;SGB99pPEdkkJPytsbBAVl4ZSNrDqK7l2SMLnLHOBzyfwFcdqPxW+G3hPxhp3w38Savp1hrur20t5&#10;pmnXNxHHNcQwuqsYw7Dd8zAAZy3OAcGtMHlWGpUfq9OmlHtY6MfxDja2I+tVazlO9731MnwJ8PJP&#10;h14W/wCEZm1PUdWFtLI1tc6o6vOsTnKx7o1XIQHCkjOOK6Wextrm0e3nhEsLoY5omAZJUcYZWUg5&#10;BBwQetWrXx54I8QeJNX8K6Pqlhd6ro32f+2NNimU3Vj9rTfD58Wd0YkUFkJ4IBweDTtU1Gw0XR7n&#10;XtVnS0sbGCS7vLu4ISKGGFS8kjseAiqpJPpXbDDRhFU4rTseZWxlSpN1ZS1bOF8Y/Dbwt430CLw3&#10;4j061lsYp4Li0VAV+zS2rh4ZIWXa0bIRwV6dOlfNH7VX7Jy/tLaLFo3/AAkOtaA8E6GYQs09hcwo&#10;c7Z7VnVSy5zHIMFT1BAxX2Np+oW+pafDrOiyrdWd1ElxBPEwaOWKQBkdGBwVYcj1rQhKPkovXjjr&#10;zzXkZnk2HxVOVCvC8ZKzXl6nt5NxPjcBWhicLValDVeTOc0jwzpvhvwppfhfSifsekafb6fZxs65&#10;KW0SxISc9cLkn1rxP9ob9mj4dftFeEtN8JePo7v7PpuqRamv2CXymkZQVeNyQcxyKcNjBx0NfRlx&#10;f2VmfLvGSJiOMjkj6gc1UF/HLzbK8ykcOo2qAfUnFE8roTpPDTgnC1rdLHPhc6xNHFfXaVRqpfmv&#10;fW78z4v+Nn7KX/CwPEej6v4PlttLhWwj0LXdhaPdp9uwe1CRoNshi+ZVVsYyvYHH0H4d8E6R4J0C&#10;18MaDEYrOygWC3RsFsDks3AyzEkk9ya9QnuNG06ye91aaK1gRVaSa4k8uNQTjJZiAOoAz+Fcy99o&#10;t7fXVpZXdtPPZS+ReQ29wkr20hGdkyKxMbc/dcA+1edl3DGEw2Mq46hC05pK/kui/U9HMuKcbjMJ&#10;SwmIqNwg216vq+/kczcWEZBSQEDqCBis0afApJDNu6DitjV9U0fR7b7Zql3bWcQZEMt1KsaAyusa&#10;AlyBlnZUUd2IHUgVE4DuVVpBt+Ybeg7ccZr6KVLyPnOe+pQSzbcdv1zVWS1mHC4wPXOc/lWgRHxm&#10;Zh7bh/hUMn2UcNcZOcYMij+VcNVaGsWYlxaMc4bqOeP0rlb61RSVeTaT2wP0rrrqSxUnDoQDnhwa&#10;wJ0gnB8lkwDwVwf1BrinSOiEzK0azVrttjvzGcjbnP6CvlL9vPSTJ+zFrMzg7ba+024GBx813HF/&#10;7Ur7P0GCMagqsRgq2exr59/bg0xLn9lTxgyZPlW1rcjvjybyCQ/+g15U6dq8Wkb4qbdCa8j+Y3WI&#10;Y8EbjnP93/69edanDGqllbnHpivR9WYtkE9en0rzrUFPOf0HpX10I7H5JOV3dHxr+0pZeb4TmKHd&#10;ut7joMYAjY9/pX5xeF4kTxBdI7EK1uhTgMSFcgH5SR0PNfpj+0bbsfCjryVdJ4sZ/wCekbJ/Wvy1&#10;8DOZNflORhrQbfwYdT2615XEq/2Odj9F4Ca+twT/AK0PoLSrdDhvMPX+6f6V6p4dVfNG11POMDdn&#10;8sV8zfaPjFr15c23wy8N6nqlnZsIri9s7OS5UzdSgK/KMdD71teEPirqmieJB4U+Jdjc6PekqYVv&#10;IWgJBIGGVvfuOK/E82yLEVaMqkLPyvrb0P6FyfiDD066pyuvO2n3nu3xylgj1HwBeTfcTxQInx1w&#10;8MhP57a+ebb4pav4j+Ls/h+1EcOmfa7m3it3wJdsBK/6zruYjPTpxXrP7Rl20nhnwvcRnmHxPblc&#10;dcPFInB/4FXyV4T8JrqfxUuvDeqTXEEs1xeDT75c71vIn8xWBPVl/iB68/WuzgTCUXlLnX3ipL01&#10;fQy4uzLErNFTw20pRv5qy0P0k8NeM9V8O+DfI0OcpJO1/Ym2V1MkSy/ZZVlddgJRthAO7kg4A2nN&#10;XXfHnjrXvAl/ayXk0ttLY3I2xkgNlGU5xx2IrzHXPEVr4b8B3sfj7TtYsL9tJuYfP0+0lmtrmTy2&#10;XzbedQyRqThj5pUpnJBxWD+wx4d8V+LtI8aaPDHPc2cGhteJCQzKJVykkiZzwoYbwvTK7sEjPmvL&#10;6NWjPHVErU5LV272uj6fE5o6VeGAu/3sZN+WnU6H9lkif4ZwsBjF7MFx2GF4r7+8Kw77OAY7V8Af&#10;skL5vwqic5/4/ZDx6lENfor4MjVrO3zyOf5mvyHi+b/tXEq/2j73g+N8soJ9kdxFb4UZ9etel+CS&#10;i3ikdnQ5+jCuKZEAHpmu88HCP7TwfTk/WvgM5nzYeo+lj6inFPY/ve/ZXbPgSR/V4Tn/ALYJX09X&#10;yz+yizN8Pgx7rbn84Ur6l71/UvgLK/CWXW/l/Vn8Rcbr/hXxX+Jn8mX/AAXHlNv+1BAVIDv4Vswg&#10;I7iSX0r8LlMF1IYckSKBuDdc1+6v/Bcqwa8/ag08rkH/AIRe05H/AF0k/SvxH0TRLmG9kv7gqSY9&#10;u1hnBJ5P4V/OvHCl/b+Mt/Mz+tfDmUVkGFb/AJTnbkrDJHH5ZfOd3l8sOODg844raXTftNo4TKnA&#10;Ze3I6fnS3NpK7PqPlkqwCKY/vAqxAOOvfP4dK7GxtJY4/JuAd4jUvu6n6+9fM1L3lF7H19SS5Fyn&#10;5Ra94k8ReBf+Cieh+I9DmFre2Xh1pElkDMBm0kB+6QeQ3GDX7i/HbwJ+zr/wvTR/i/8AGG/1mwg8&#10;baTa6pPZ6HAhhl1CwjR3kmc5YeaksSFQP3ikliDzX40SeHNc8b/8FLtI0XRUie6m8LTMiXHEYVLR&#10;mYn0woPU1+6k/wCzX41+PN/okC6jY6drnhQR209ppRFuXZbSGK2u8OJN6iGOMuO3yuRh8D+ncjz7&#10;CYTLE60eZwpQk1a7tdq9lufC8L1aNCtWniazpqVSaunZ7Ra1+80PE37QXw40W60341fsq2t3o9vp&#10;bomrwasFjN9HnyV2r5jgRlMDPA+YHqK5743fF7xb46vtNitdTsb1fEUEd3pNrcWLxSSGV/L+zq8E&#10;cgeWGQ7HBCnODjBBrpLv/gn38afDXgTXfDOlrod5c3VlLa6XcRMtpBIpjCgXcZjZVZioYvEoOfTm&#10;vnDwD8Mv24/2YtDl8O+Jb7wg3ht4pdRuLm9m86CxlhKsV3SKGg8wJlZUwquoLYyM/H5hnnB2eYzD&#10;yq4mDnJe6tpJ9raWufsmDzPKEqX1KftakU1zN3bXZvXY+J/GfxgkeK6+xTaSxQSRssTHO5cgjkr3&#10;r8zv2VE8/wAd+IZ25OyAkD1LMcjrX3l4k/Yr+IltpF1rNz5JieGS7TypcuVkBkG4EcFQefXmvib9&#10;k6HHjLxGQc4FoAAeOQa+lzf+zIZFjY5dVU0rJ+R+F59jswxGfYFY2nyr3uXU+/oFOwVY+YkKh5zx&#10;UsSfJzj6VPaxl5wpwflNfzRRn0P06cOxC9vPjLYANRxT22lRNqV/MkMUIMkskrBEVB1LMxwAPU1q&#10;3mbW3e4mDFEUt8gy3Az0r8wPj78fL7xlrN58O9H32+mptinhdGWa524JDhgNqg9uCfpX33BfBlXO&#10;cR7KGkVu/LyPi+MOL6WUYZ15K8nsvP8AyP6Jf+CdP/BaP9lz9inxBr1x44sfEWtxX81g9rcaHDD5&#10;O2COZX3PPLGeC4A2qc4J4Ff0jfsk/wDBwz+wB+1p8QtP+FulXet+GNY1WdLTTV8R26RWtxPIwWOI&#10;TpIyqzk4G4Ae9f5bmqavBBP5VnGsPljb5cYGzpjJx1/GtnwV431fw7rVvrGmyyxzwSrPE8bFGWRD&#10;lSrdiCMj0r+o+HeBaGSUJUsuk7N3d9dfuufyTxDxPVzXEvEYpa7aH+28CSAR354yf6V84ftUftDf&#10;BX9m/wCDms+Ovjh4n0fwvpq6ddLFcatcJC00gibCQxk75ZD2SMEnsK/zel/4KUf8Fa/jt4KuPiZ4&#10;b+JfiCPQNCsBp2oGxvY7FrWKyiBYPDGAzPs5Lnl+uea+SPiNdf8ABQD/AIKNazpXj7x7qPiHxjaW&#10;8A0nR9T1e4zawQwMVYJnCKSwO98AuRyTivanjFWhUp1HZWs9TzoZRVjKLim30P0r8Yf8FJP2fp5R&#10;D4ai1bUN6NF9oeJLaPGMbhvYtjn+JVPtXxnpPx/+GWp6gLD+0FhkklVIxcYG9n6coWAGe5r5Z8Xf&#10;sP8Ajbwbo1xc6pfxy3tujPJDEf3aleqhu/4V8gxeGdceCS4wxEIMhGckY4OK/O8r8KcgnRlDCSfN&#10;3v1P0VeIed4CrGVaC5X0t09T90/MRkDLgjGQQcg/iKntz5jBce9eI/AK91DUfhLpE+pM7yiOSHc5&#10;JJVHYLyc9hXskc/kMG6kdq/E8Zg/q+JqUXryux/SWX414nDU69rcyv8AebOoRxSQnaMHZj/69fNn&#10;wE+NviX9n34/ah8QvCUEE9/Npmp6dE1yzBI1nki3uQvJO1SoGeS3tXtup6zPHEZUZVAOcHpxXxV4&#10;K8K/Ej4l+N/EV54I0TUdTbQbG41G6FhEZXSD7Si+cEXLOgYrnaCR1IxzX7f4Rxjes7dD8J8ZKzth&#10;Y32lf8D9m/Df/BX34vaPeRT63oun3AaGWCeW1LgM7SRkP5ecBgqEHnHJOK2/E3/BTr4geJb2y1Xw&#10;jpeieG7UxB9Sj1i7gAlJkO5oQ7eYyuvIVUZgc4zkV+F2ueObvR9Ce30hALu8kZXbZzbxj5XAP8Lk&#10;+wIrw83Gpq32q4b52PLHl+e2etfpOa8MYXMqMqOKpqUPM/KKmczwkoum05ddNj++34cP4b+IvgLT&#10;fHvgzxJ4L1pdQiiENvpurQyebcsm8wxLOIpC4GTgoDjngEGuJ8aeKofD/wBu0PxJo91Y6pEyWVvp&#10;su60upr6dtsNs8TjCM3Dbs7CoJVjX8SPw8+JvjPwPrdhqmhXTwTWVx9otDuIWKZypMgGeHG1cHtg&#10;elf06ab+1f8AG79pn4NeEdX0/wAJXmsa54Tnt9Gn8U6fOl5cyxqm6G4u42VXdVmbO4khcnGBnP8A&#10;OnFP0Xspw2HqYvKakoyWvK3dPrp1ReXcd414iMMRa0tmuh2nxB+C/iLVtdl8KeFo7jWvFJEb6/qZ&#10;2R6ZZSsofZNKFP8Aq0YCJI9zsBllHJr83f20/gl8Z/AsWi/DnSVXUhrVyrvNZJIkZkBwu/eAQB8x&#10;Jb0zwK/dL4cQaJ4Q8G2mgaHfx3pLyPdXZlWaa5vnYtcySleS5k3ZBHy4C9q8b/am8WXfh/wFaalq&#10;ENvJbJqUcdzcM2ySGJ0chhkEsAwAK8YBJzX5F4TeIuLpZ3TwNWC5E+VX3v8A106H7hmmbY3FZbLC&#10;VK/utdOx+HXhn9i6Lwvpg174jXYuZ2XMVpZsSox1ySBkD8BXz78UPhTL4Yu3vNKR2ti2EyBwp9/W&#10;v0b8R+M786k1r4hvDbsJFgtbSy0+V1CkFlLyfN97BOeB6mma74Nh1zRZtPvFBM0DGPcMHJHy/Sv7&#10;clntelWUqkrpn5JV4VoVKDpwjZ73PyYsYJ4MTSbgEPJPY199fsLeLPiLfftKeCtF8KzXTSNrdvao&#10;sZOTDI/75SM4wUB6muA8Jfs+z6ra3mveMro6bpdjIxljTAnlAJGFLAqu5sKCa+rP2Y/hLoWiftke&#10;AfD/AMPru6jW4gj16KSUiSaOaN5ggRlA3I6ojNkBlG4ZPFfSrOaNVTgpXdmfD1uHcRRjGvKNo3SP&#10;0z+OHxAl+KHxb1jxbct8rXLWtvk7iYbf90rZwPvbd2OozXEp5f2QgHJJAx7Zrz7Vm8Q6L4jvNH1+&#10;Bra/hupEvInBDCVm3EgEAbWzlcdsV2elSvcWolyDhwrLjselfytmmY/vJt92f15luA5KFPl2srfc&#10;e9fBrw/LrfjLS7KNSxkv7dcD/rotf0b+Dfh9e/DL4la4dVaOY+NvGy6xYiJsiK2s7BIzv+UYYMuM&#10;EkHORX4V/sm2Buvi54atkXcZtYtE/OQV/Rv4rIufi54YsgP9Xbajdn8FRAf1r9A8LMTCeHr1VvzK&#10;J+SeK7axVGl05W/x/wCAfhr/AMFYNc02H4pW+l+IbK3h22yS2bIQGuE6+Y5HJbORg1+Rf9teFP8A&#10;n2X86/Wj/grNYPpvxVOti1mRZLSDE8oLRudoBZSeOOmBX44/8JCv96P/AL4r7rEzj7SV1Y+Xwz/d&#10;Q1WyP//U/PWxPxA+FHi8eSdU0DXdKuBIpHmWd5bSqeGH3WX+RHqK/Vf4Q/8ABX346eD7OLTPihpG&#10;l+LIYlCfbVJ0++bAxl2jV4pDjqfLUk9a/af4rfs1/BX48Wn2b4o+HrPUJkBWG+VTDdx5/uzR7XH5&#10;kV+ffjT/AII7/C+/lNx8P/E+vaXnpBfQRahEgPYEGF+PUsfxr+eo+E/EuR1JVMgxfNB9G7fetUz+&#10;914/8G8TUI0uKsv5Zr7SXMvk0k1+JEf+C0vhYWuLXwFqBn28iXUYVjLHtuVWbH/Aa+fviV/wVe/a&#10;B8c2zad4Gt9L8LQSjaJrIG6vdp44mlGxT7rGD6Yr0vT/APgjZctOPtfxDtjHkfc0dhJ/49dYzX09&#10;8OP+CS3wC8NSx3njXVtc8SOhybd2SytmPusAEhHtv+ua655V4hY9KlVqRpR73X6HNS4k8I8r/wBo&#10;w+HdWS6crf8A6VofjL4N0D4tftGeM30fw1b6r4k127kDXNzK7zshbgy3E75EaAnqxAA6V/Rp+xR+&#10;xbon7NXh46rrU41LxTqKAanqCf6q3jyD9ltQeRGDy7dXbk8AAfSHw5+F/gL4X6Mnhv4e6Rp+jWMe&#10;P3FjEse4+rkDLH3JJr1SCXy22KcBcgqAcn3r9B4B8JKOVVfr2Lq+2rv7T2Xp5+Z+OeLP0hMTntB5&#10;Zl1H6vhv5VvJedrWXkbSQqMK+/oOpPv71cjRYx8hYeuCSP1qik7buFY/WrgZu3frk1+xximfzdzb&#10;lm3lIc5YA9elfP37R3jq/wDh14b0nxfDO1tZx+J9IttUufOSHZa3V5HBIGR4phIjK5BUBW/ukNg1&#10;7y0sSEFioYjpnNY+u6LofirTjpfiCzt7+182OY293Gs0fmRMHjfa2RlWAKnseabpXLhO254B+zV4&#10;18beKNP8SQ+K7qyuoLHxdrdhpsss7vqBjgut0aSwMiBI4o5EVQGLAAZ618PX/hfwf4P/AG49G8If&#10;EPxPZ+IPHGsaNc+MbyTXPsFvbTSJ59to9rpunzFryRrUozKtuwSMZeT5nBH6eaD8OPAXhjUzrXhr&#10;Q9MsLtt4a6tIEjkJmwZCWAGd5Az/AHsDNVNQ+GXgXUfHVt8UdQ0bSJPEtlZNplnr8lrE9/DZu29o&#10;I53UuiFuSFxnvXTCmooirJSkmfMvwA8Rpd/tmeO9E8SQ2lr4mu/hj4H1vXtOTYZIJGbUISrMuchG&#10;yF5PHfHJ+B/+C2f7WXxF/Zr8H6H4b8JaPM1j4v0nXtEvNbl1NILPbdWMsTW11ZANK+QRJFMq7VcY&#10;LAGv0X8b237Nv7HM/wARf20vG7nSr3V9OtZvF/iO+uZJpHtNLTy7S1gR22xxqWxHDGFDO2cEmv4J&#10;v2zf+Cs+gftA/GjV/HPwf+G/h+01O+uXZdY8SRvqlxbIjFYnhhuXkt4ZHQKz7UADfnUSq06cXKpK&#10;yIpRbaitbn97f7JvxP1bW/2UfBWreOrvwkuuW/hmyi1aDwrqceo6VBJHAAipPu4OwAlSQQ2QD3r4&#10;Y+Af7e/xn8dftbXvwX8cTeHrTTbvUzFaafbeU95aW1okIdvOMyriTzw8o+dlZSsW/BFfwMeEP2sv&#10;jR4S8XS3ms6i2rG9D3N7pl6S2njfkHFsmIwSPQcdsV9W/CFvh/8AETxqIvG2lWulz6hE19bX+h+Z&#10;aXNo8QGPKZWwBznBBHbgV5yzjB2XPVs33PTpZViJt8kD+zn44ftrfHrwB4/1e10G0sZNK03xM2jO&#10;l5p32i6lGbRkS1jPlvs8qSQiQtIWO5sKqqD7b+1N+1h8bfhX8cNP+Evw28Pf2hHrFkL3TW+zSPcS&#10;oUzKsCqrLI1seZOD1AIHWvyU+E2l/Gf9knwXZ+Nr/WLX4y+A4Li217UtC16PPiKzks1AW9sJstHd&#10;mGPDbNyOU6IcE1/QJoOi/AD9qXwdpnxgt9L0rxLp+uafFeafqN3H5ziBxu2xuTmIhvvhSuSOa7Yq&#10;F1JO9znr0Z0/dmrNHiH/AAUN+Feg/Gb4VeHfhp4l8Q65pUGoX17OyaNcrZ+edP0+e9FzcMAX2Wbw&#10;LKFTq5AyDg181/8ABPvSbDw98SpP+ESHha90bxP8PI9Xl8Q2di6a9qWpaRfpps8t3qLTytewyBhM&#10;JHCuzsSeeK/Xu78M+FdRt9OfUNNtZ5NNSaKweWJXNus8fkyiItkjfH8reo4NeB+BP2ftA+HPj8eP&#10;LLUr+5NtokvhvR9KMNnbWOnafPcJdPFBFaQQbsyIp3PuYY5Jrmo0uWUpLqTKpdWPwE/4LG/EX4sX&#10;X7cvwG+GPwi1TSRZX2oW1hqsTzi4txfm+a4RNTt08xStr5Ed1FAyK0rqATjGP1q/br1fVtW/Y21/&#10;xP8ADm8umuoJdGv4LuxZ7OVxZ6tayTbdxRkDLG4KkgEEg5BxXt/xO/Za+DXxITSp7nSIdNuNG8aW&#10;Pj2C80iKO2uZNWsC5WSaVULyLIJGWQE8j0r1nxP4a0Lxrodx4a8WWNtqOm30fl3dnexiaGZdwba6&#10;NwwyM4PcDiuhuzJUuiNe78s3cpQDG9tuO4zWZJ5K8uFxjqf61peWWA3E5zzVW4tY3zuGQeD9K4K8&#10;NzSMrGJdiEjgDJ5GBn9a5q8gjcliin6gV1M6IkYi3Ace38q5q9uFVM5XPTGD1/CufkNIyuZkVvB5&#10;yHanUA8CvFv2s5dLb9m/x3YwurMfDV4yIORuRNw6ccEZr115iE+dXPOeFII+mQM/WvBf2iI1uvgh&#10;4vh2Md3hu/4OOggY+tcv1VSkmzSrV/dT9D+ZnVmBk+grhb+Tkrkjnmt/ULoyBXB6rnPTP41yF9IS&#10;WJyePWvejTPylyaZ4D8frFbjwak8XOXAYf7QP9e9fj/4Bk2+JTEcZW1kVs99rKOvtX7A/GgTDwbc&#10;TMSFRlK56Hk9se1fjt4WfyfGTxqRgi6T6gEn+leRxLTvgqlj9B4Gq2xcL9z91/2RdIn+GvwysL7S&#10;b+3t01e3vJ44NRSN4kl3ZJXb5T72kboZGBHYYr51/wCCg3wX8aeNZfDelzi0u9eUT6pdTWiR2ywW&#10;BtRPcCUCSUb4iABh8N6Bqm/Zv8Wa7deH7OxstK1jUJNNeRIJNJu4IQFDbx5i3BU8E9UbJHBr1nxt&#10;8LvjN8XvHY8PXOoW+gTal4f1i7uLf5rlpYrK2e9a2lePA3SLDtwvAJ53DNfjLxbp1YzSs7b/ANbn&#10;9HVKFCeG5JyfL1R+Z/xo1CJPhXpNzEXZLHWdPKHPzYj+Uc+pHvXqHwUstG+JfgODxz4biY3PhXX7&#10;S51m/wBTKotouoXIildWBO9THMCSf7vPQV5H8TG+2fC+02AKzaxprorjK5aZMAjuMnkdx6V91/Hf&#10;/gmh8aPsdy3hDRdV8Krqwiur+08PxT3/AIW1JwgKS+VamW6s3IPMYjuIgeQyZIGeV4GNfLvYxqck&#10;ud2b2tfVP+vvOPFZvVw2PlVhTVRcq06+TXofsL8NPgjLN4J1DwrbXMU0uqafPp8c+pxC6tP9KiMe&#10;XgyodCG5XI3DjvX5if8ABPn9mDWPg38UNQ8aeMfFlro+np4f12y0CyvZBDHrsFxJLp8z2vmuqAxz&#10;wxuyDLcL6Zr6D/YC+If7Ufw4il+EP7Seha7qVrYQF/D3iawibUX2xL/x5XPlbpM4GIGkQMPuPjiv&#10;I7H/AIJnft4ftk+MP7a+KFlN4G8G2l7ql34e03Vp1E+nWl/dyXhht4AeMluS3OexAAr8f4Q4Ozqj&#10;is0yvFVbU6nLaaXMpLX4V37rodWZ55RxsvrlWNpLa7St0t+B+afwJ+IXhn4Z/Dm6j8RNeFIdYuY2&#10;NnbyXBijjCKZJBGDsQHjLYHavuv4LfHn4SePXi0bw3rMTX+WKWd0rQSy4JP7tZMbsDsOa+yv+Ccn&#10;7Otr8MPgL4u8LeOdNstVbxTqGo2cV28NvPFeRI5tVhE0j9/LYMHjVUc5HNfi1+0D+zk37Lvxr1Pw&#10;Cj3ET2NxbajpbyOpuYba4Aki3SR/KXiyV3qMHbkda/U8X4c4TG1a9RzaqPZ99OwYXj3HYDD0IKCl&#10;TWj7/wDBP1zuL4eWrMQqnnPTjGa+IvFv7ef/AAi/iubw94A0y1v4YbhbZ9Ru3by3YE+Y0SIBuUEY&#10;BLc9eRUvin4yTaj8A7/xHM5S/Fi1tLs+UtcnMR2gdN7HI54z6V9leD/+CZ3jfW/2Vv8AhBP7EtIP&#10;FmpWGnXmj75I1vRPGjTySN+9eNkcSBMGRTjnaCMV83wnwHg3OsszhzKL5UunmfScUcXYupTprLZ8&#10;t1dvr6H9en/BEr/gpR8P/wBtz4b6l4RmtodE8X6HHBLe6Qs4kjuLUIsYubcsAxXcMOpB2kjkg1+7&#10;9f5gv/BA/wCK3jH9nH/gqt4Q+HnjRJ7Ce/1O98GaxY3DYKS3Mboqt2O2ZVx69q/0+8rjp3r9j4Xy&#10;jC5bhvqGDjanTvb0ev5n875/UqVK7rVvilq/XqfyS/8ABdDxA2j/ALVGnRLGH3eErVjk4xiaSvxu&#10;8M+I9N1YvDgpKcHy39Pr3r9Cf+DhG6+K3jP4x+IfHfw4gn0vRfA+jWeh6xrDRrNczXLt5rPbRBvl&#10;giWVd8rfMTwowCa/j5b9pf42fA/xrDqtn4ot/EluGV5LO7YzwujjJVlbEsbEcZXB+vSvwXNvDHM8&#10;wzPGY2hOPK5uyfX59D+geHfETAZfleEwlenK/Lq+1/xZ/QzZ6zpbsywsQwBkOBj5SxGcHrjGT+B9&#10;auLdLPNJOnKug5P9K+B/2PP2gtY/aL0HxDqGu2NpYPpt5DZRi0YvuS5V5PmVyTlcbd2efSvtDUNa&#10;03wl4bute1NpDb2FqZpfLG6Rwo4VB3ZjgKO5NflWb5TisNiXg68ffTtofrOBzHD4nDLF0ZPkaPk3&#10;4GwC4/4K16Y5a0Etp4Hvpoba9njtorm4Fg3k27SzMqL50hVOSOuBziv3W0TxD4o1nx/4e8Npb3Xh&#10;/WdQvo7/AEnUfIkMV7evNHHq6LJF8nkWem+aV3NsDsn3itfmvon/AASF8X/tI+Drv9ob4ueMU0HX&#10;tWiSS30fSoIbi1022iXFtb3MoYM8yqAXIYYY8Z61+YvwP+PP7SH/AATF/a5tvA/jzVtSbQDctb6r&#10;pxLX1neaRevse7s4ZiyiTbgqVIORtJx1/qvhLLsNh6WH54/vIxUWrfEktPN21+8/n/OM/qzqV48v&#10;7uUnJPt+e5/V/wCJP26PgynguTx/deIdN0zR2urm0D6ldJEYZraZomgkVyHEoAVihG4hgeQQT+fn&#10;iv8A4KD/ALKfxG8Qp4Eh8X6TdPfJtVJji2lDHHlNI+1Msf4D1HbtX5h/tw/sT+OdB+Adp+2R4mvW&#10;N14y1katcaXp9sLfS/D2m3fy2EIU5dpRD5aySufv/KOea/FFrSwsZGWNhMS27e3ue+ec981+N0/o&#10;s5PjcXXzT28oSk20l8MX2V9Wr7Hdg/FR5TOFLDYZNdW27tfof10+O5ZdW8O6lFpavOy2E5IiG7A8&#10;snnnAr+dn9kaQT+IPEl0Bw0lpx/2zPTv+df1Z/8ABH/xr4X+L3/BOjU9f13SbSfxD4Uj1jw3fapM&#10;nmzXEcFoJ7aQs2cMIpAhx1KE9zX8pX7HUipe6/MuMNPanB6cxbsfrXp1/DXEcOcOYz29ZT9o1ay2&#10;9T6TB+INDP8APsGqVJwVNSvd/kffsRIxg9uRXzX8Yf2nNL+FmpDQ9HtRqWp+Xl4t2EjJ7fLksfpX&#10;0RcXXlwSzQAlhE8iqOT8iknGOvSv0C/4J6fA/wDZ/wDAfwn/AOF2/GbS9L1jxZ4tvDYJLqTwTR2K&#10;KihI1yH5feCVA3b2IOME18p4UcI0MfXq18VDmjDp3fmfWeJfEmIweHhRws+WUup+GWlfto+IGtmi&#10;1rQLVZDhmcXBUKh6qV5ycEf4V9B/Abw18CPi/wCP7/4ka1oMerwXFkiapbNIm6wljb5rl0kZQ0ZU&#10;hcIN2RkAmvP/APgo1+zLH8Dfiu3jfwvaRxeFfEd1L9gtoeltc/eMQ28bGPK/XHSub/4J9/EC18Kf&#10;H6K71iAPpsVhPHrdsUyJbOXEUgK9AQSjr3ypr9yxOUZdgaX13Ar2bXxWfTqfieGzXMcXV+qY2XtF&#10;0utb9yz+1f8Asa6WniB9T+DtrcJYGCG4t57nzCt8br7i2cQQs6L3fdzXX/AT9gAtoFpqfjyADVIb&#10;q4mvLZd2VRIDJbpsb7xMoAYYHpX7XfFP4weHPBnxf03SIV0SPQItDhgsVFwLmRhHbf6OkFskWUdW&#10;IYuz428Adz4H4B8TyxeI77xJqM6uk10ShZuGZm4x7joBWWZcS4mFDljLT8zvw/CmE9r7Vxs+3/AP&#10;E/hD8CvFGqXHiLxNb3sWiWGoNaaTq9s9mwt72eO0CXLRpKNoXcxRsAjK4r7C+Cdj41+F3w9n+Feg&#10;wW1tpeg6OWsNbNhKsTzA/IVlciNnk3ZCKMZyM8VxPxb+LSfDG4t9HukluI9VL3dltQ7Tu++ucbcg&#10;np1xj1rsPi/8XpdX+C+hQb/EFkfsZeeHSLmC1iZ4iq4neVGdsnhETOVJyO48rAZi8Q009Gvx/wCG&#10;PocRl8FJPZ/5/wDBseQeJ/hD8dG19Lnx7ai30iRBm8vp7X/SXbJDRQwqCVYEEHJBBFWv2tf+CaMP&#10;w1+FGifGrRIbI2mtapBo99Z2XL+fcxGRMBfuq23kjp+tcT40+Nur+IPC2gabdm6tI7K1SGKHUJfM&#10;l2R/dLOowTjHQ8e1fqN8OPH6/H79jjxv8OIXe78RaJ4avNb0CdGIntryGLa0kQU/6wW5kVeON3HJ&#10;rooYv2VWpOl7uh5uY4ODVFVYqSjLVPsfiDaaDo3hGA+G/DwkWxs5pYbRZn3usfmMQGYAbsZxuwM9&#10;cVU1K/On2r3KpJMwwI4ohl5XY4VFUdSxwBSxy7oUUtxtH16e9b/g/Q9d8S+MtM0zw6kMl3HK97Cl&#10;zIYo2NsjSYLqrkdOymvyvB0Xisbaf23r95+uYuqsPg5OCSUVpbofNP7Sfwf+OHw18Mab458dmOWH&#10;UZDHJZWkpMNgWGUjl24DMR1PIzx2r5v8CfGf4pfDvX4df8Ba1d6DfWpD21xpb+QQMglWxwyn+JXy&#10;pHBFftN8c/h98Q/jF4Nn8DRXmnXki2aG9t5bhoUglxlZUZI2MhR+Odo9QK/n+8W6JrvgrxNc+F9e&#10;Ty7uwuWtp1HKnHBKnupzkH0r+pOF3RVD2cUk12P5R40w1aNf2022n1fc/W3wvL4I/bgkfxd8ZGh0&#10;LxXH5dg2o+GLJY4NSZAXD3kG7Anxn548BhweQKxY/wBmv4C6fryWWmp4k1Qo4he61CFLWLzFyCfJ&#10;BMm3I+8RivSf+CZep+F7L4W+KtVu7GS+1rStVtrq1gt4fMmMc0Eio23IJAYHgHPsa+3bXSvBbeHo&#10;vF+paalvrNyzDyLiERzHBOJSD8w3A5wwzXk53mNWlOcFJo+h4fyalVoU684p33PzC+J37NOm6VqV&#10;pqnhm1aQXUojW0RCxBA4C49elf0L/wDBKzwBd/Dv4NeLmuFlmeS3jaaCASpdW7dPKQLjJkbapK4K&#10;4BPBBr5t+H3w+k+Iev2el6BbxSTQRzXm6dxGkawRtI7lzwoVQST19q+lPC37U37N37EGgH4K+O/G&#10;00Xia/hs/Emv25sLm6Ns99CZreDMULAP5TiRxnjcgwAvPmZXjcXjE8I5e607vrqa8RZHltChVxU/&#10;i05Y7ddT6H8P/BPVNN0hdF8MeF4rS23O5S/lEaM8hJkdhIzuzMSSxIyScmvMv2kPguPC/wAKzrfi&#10;aTTmEOo23laRp0KxrPKqu6oZG25Py5A5BxzUQ/4K2/sPRwqJfGE7ybRuK6PqQy3fH+jACvin9t7/&#10;AIKHfs9fHn4faF4E+DGvXN3qi+L7DUbhbiwubSIWsEU6SAvOiA7jIF2g5Oa8HIfBDJ8tqPFxi5zT&#10;veTu79z5+HHVZyjTUFGOz06erMTwR4h1nWtMvtV8WacLSdZM2BuPLeVFkB3KwTcMqcYOcY+lc2sb&#10;XN9JJICzE8n69zXkvhDU/BulaV/aXheZ5pLz53OCFUdAm0HHy9DxnNdrb+MIbEGacruPJz3/ADr1&#10;8fVu/Zx2R91h6yUeZddvQ9TsvAmmeILAaZqxItftS3V1Cn/LYpyqZz03YJ+gr6T+JP7O7/sr6P4Z&#10;/b3uLqGBdXuNN8P6BpyPtW281pI5GC53OI0PmfMTk5JzXyz4T8b+eWkmwAenpmv1S17wbP8A8FD/&#10;APgng37Pfgi8t/8AhYHgDXYvEej6XOwSTULSIEMsJ7tsd1HU7gAcZrs4ZrxeL5Zu10fNcYxnLCxU&#10;Y6J6nm37a+mRX3jnwz4+sUQQ+IPCdpcSyRjAe5iyHLf7W0jPfGK5H4XfAj4ieONKOsaDZloPJeeJ&#10;TnfKIgWyqjnDYIVjwT3r6B07wrH8bP2eYLTW4mttV+HGt29jrUV6RbSx2EkSxTH5x6oMDHU9DmuM&#10;8cfHb4oeM/BWj/DX4Catd6LpWktcNea1cYN9fAOypBC6hWjtivXnJ4xjFfn2acIOtmdeFRuMT7bL&#10;ONZYfKMP7JKU9j7n/ZE/Zw8UeG/iNoPinxLc2Vilnd29+9tcSqspGSQMEjB4Bx15r9j7uwv7v4w6&#10;brCQs1nBoFygulGY/NllX5dw4yQoOO9fxW+Mf2p7z4W+LhZ/E7Q7u5mMQzqdjqU63TrlSQryMR1H&#10;Q5HXG3rVn4Qf8FdfjH8I/jSdT03xLq+teGLm9Wa10zX5XuzbWpXDW77yGZwRgNuPH3TzX6dwfwpQ&#10;wOHdKhK93zX89P8AI/H+MuKK+LxPtsRGzStp21/zP7VPip8Ifh78ZvCk/hD4iabBf2c6lfnUebET&#10;/FFJjKN7j8a+OP8Ah2B+yN/0BtR/8Cj/AIV63+yX+2H8Ov2tPBSeI/Colsb1I1e60u64kUHo6E4D&#10;I3UYyR0PNfW9fVVsDByvOCbPnqOYy5fcnof/1f6fYIVA4HHTFacUS+hrMt225G8nmtOGRm4YHI9s&#10;V9NTlpoO5cFnFKBuXOOmRWnFaAENHyMY561nJPJuwVP5itC2kCMAxwTnC9K0UnuI1oowRnaKvIzK&#10;eAAPUVSicEZBwf8ACrSOzZXnjrmlcza0NJFSVgXJBByDzV9Qp4Y5rIVwg6j8amFzH0ByT2wR+VVB&#10;ozNMJEOD1+lT5CpwMeuKzTcJglCPcZ5pjXMMw4Z9w7Y6f0rVNAXWmXG7OAOpqBpVdd0fODVFMqS7&#10;PyPX/ChZlugRIjrjjkYyf8+1ac4WufyY/wDB1F8e/Eeh/Cn4ffs/aXPJBY+IdTu/EGrLFkJcJpqo&#10;ttEx6sqySlyvTKjPSv4i9MvzYbmUAFxuZv4j/k1/VF/wdL6T8doP2ifBOp+KYg3w/k0KWHwlcQrH&#10;tTUQytqMcrj5/MP7pgCcFfu96/lKKPuLDgE88etfHZ0+as4S2PSwk3GKaPQvCt42reIZo44jLJNY&#10;fZ4xjPO4EnPb/Cv0k8I+FPE9v4gtdXhtJmk+yx29rb2yM7scLvPoAehLECvm39iz4QzfFD4nw6Gg&#10;THkvcTSOPuxRAMQOeSWK1+8Ws/BjUYNJg8N6Tef2UAnlm7hjVpd7dWG7gH0zkD0r8H464tpYbFww&#10;kd7an7hwJw3PEYaVeoz9CP2N38Uax4F0/wAJ/GSzv9C0i/jhtdHv5o0uI5bhFCBfkfMZx9c9K/SP&#10;/gl/4b8Z/BDV/F3wI1DL+D7nU7jxB4HZ50ma0wwF/ZlVJMQ3usyo3QOQOlfibp/wVPwH+An9pW3i&#10;rxDeXWoazY3bzX2om6t4HglEqPFEyKUlLDbhWwQSMV+zP/BP7w/8Ktb+KGr/ALQGmT3dj4i1CFoN&#10;e0i5uLh7eGaVFBltUeQxrBKU3BQgZGJBJ4r6fgnieEcZDC8+62PI4uyCpLDTxHL8LP2MlneImHy3&#10;YdcrjH4k1Sma/EfyLEF6jcSTg/QYp+l6naa1bSzQK+xZTGC6kFsKDkZ7c1eljVBt6p7dq/fr31Px&#10;VqxzE8V8+WEka8c4jJrOa3kV/MmeRweQcbQD9B611UmVyyHI7r/Xms64EbHaSOfp1rOY1LQ54GRG&#10;McWMjqD7fnTJiHABIz69qs3CBmLp95e/aqbzHq4IHT1/GuaormqehlTqrMVyPpxxXPXUTo5Kljkc&#10;88GunlK8nj2Nc9cSq/yA5zyKx9mh3ObuInbON3IJrxr4zWDXnwo8UWx6v4d1NR0wT9llx0r2S9a5&#10;VhHEoxk4LHA/xrgfG+nT6p4U1TT3ZQZ9NuoRgf8APSJl7/WqhDVWFUleLR/Ieb/daRHPPlL1+grA&#10;vLjcMMRWRJqoEMfptU5/DpWTc6opOc16ijc/N3B8xwfxp1y9/wCFbajpHmloJFR/Lb5grRliu3P3&#10;eXY8YHJ61+G3ifxHdaP411FdEKw+RfXMSNHhwFLsuFLZyMdDzX7FfG7VFt/h5qt3uz5VnJLz0yqk&#10;jP5V+FVoGnHnNlmb5yc5JLck5965cZBShyNXTPqcjco3kuh+wP7Fn7XX7Pvww8Af2T8XZtYs9Wsr&#10;iSeOa2tTdw3qSuWPKsGVwDt2kAcDB7VX/aW/4KV6h40uk0j9n20u9Ajiu0nPiO52jUZQoKmOJPmS&#10;GJwSJASxdcqcKSK8A+Gn7OvgnV/2bb/4zePrPW0jjN8LXVNKu4U8p4FKxebZ3EamaNpiil4JGIDN&#10;lRtNfCzMyDeeT3Ga/OcpwuWY3FYiUINunKzvtfy1P0rEcRY6nhoUOZJNdN/mfU+r+PIvFnw3n06K&#10;M/brO4tL1ooQSJY4Z0ZnUAZGAMkY/Sv3d0X/AIL7aDpWhWuj6d8LfFDzW1rb27XUepRDc0KKrEL9&#10;myA2MgZJHqa/m4+HWtz6V4otZhwsjG3bPQrKNvI/GvvPwZJbzwRygDB/Hn8q8bPc5/sLmjRp3jLX&#10;c+kyLJ/7c5Z1qtpR02P17j/4OCNfCJJZ/CrxE5BI2HVDyCf4ttsBx2Fa9t/wcK+ObRT9m+CeoTty&#10;d9xqM3Q9uIegr84dKtYCoTAHfGMV598X/HWp+EYdL0DwnHEdT1idkjkmXeIoox87hehPIAzwM5r5&#10;LKPFnF43GQweFwqvJ9z6zN/CzBYPCSxeIxD5YrovuP0G/wCCeX7Y/wAIbfwhqPhT4ya6/hrWtJ8X&#10;at4l0Pw59mWZr2LV5zemEExM7mJyyYUhsYbvX5wfto/Htfj7+1B4p8eJBcWds8UNtYx3aeVJ5Vso&#10;UMyZO3dljgngEZ6V5N+yto9546/ax8NyqizTXWr/AGgeYobfGDh2I7/Lk4/CvQv+Cg+hXHh39qLx&#10;XcQW8drEYYPItYhsxGIlVX2diw+fBHcV+mYfCOni5N6c0bvsn5HwOJzF1cHBJ3UXZd7HmfiTWLqT&#10;4XXfhcyGN7o2t0Af4WSQMT7/ACqCfzr90P2Pv259f+K/ww0rxTDb+K9T8ReFNPi8N3unadpsFxbM&#10;0KGKGcXmfMj81AM5XOQQDg1+D/jvw7qng3wl4aPimZZL7UfDUWuTWqD5ra3uJJFtFlYDHmSxDzNv&#10;8KFSeTX6lf8ABLb46fsu/s2/AzxDr3xF13UU8VardSXsWhwWE7JLDagiIrMV8pzk84bj0rPF5NOp&#10;hr0IXle53ZHmlWGK5X8Nranx94r+M/jTwR+3d/wu62t/7H17RfFFrqKWyOJJIrmzlVyXYZBf5cN7&#10;8dq/1qPgJ8ULX41/Bjwx8V7OJ4E1/RbXVDC/Gxp41dlHqAScHuK/xyNN0nxZ8cPjzPL4cSWbVfE3&#10;iVotPgk5dpr64wmSOgG4biOgBPSv9Nf/AIJb/EHxB8GrXw3+w94j1S88QrpfhV7mz1W+KmaKS12G&#10;WJQiriD5z5atuZeBuIPGVWosLWoRm/iST9eh4WPwtTEU61ZK/K2/keEftW+A/DPjj9oX4h6L4yvL&#10;06Hqn2jTNX0t4GxKlxaQIFRmAXoCdy5xwQQa/hc+O37DXwq+Evwt8Z/Enx1q89tf2D3+neHNKEgW&#10;Se7tpxFC+zBZ0bD+YWwFULjJYV/b1/wU78S6x4I/a/Pg/wCHWlNLqnibw9aardX+w/Z42idoB5pB&#10;wC3BDHB+XHNfhr+1L+w/458Z/D+11GGEa/rtrftqdxaIoMUxdy5jRG4J3kEA/exXyWZcRSoVZwpN&#10;vkk727n6BlWVYfEYai6qWsdL/n95+dH7JvhLwr8Kfgdod1YWS2ep6zp1vqOtSPu8ye4cEqzhum1C&#10;AAAAPTkmvur4QeHNJ+OHxA0X4eaxLJHZX2oxteiIfNJHCDLszkEBmABIOcdK+OfFNv4x0BodM8Xa&#10;XqGi3nl7zY6lbSWsoCnblVkVSVyMArkV6b8F/FniXwn4hg8W+GVnkutJ2Xm62ikm2LvCHeqA4Vy2&#10;z3LDHOK/IMRg28V9dxGr5r/8A/aaMoLBfVaTVlG1+h+r/jXwFrlx4vX4Z+F9e1ptOeG+ury/NzaX&#10;WnW8sZiFsi+a8zNKESRWSZAMOAMbBX85v7fvgfUtU8Z+HbXwjqFzq114ae7l1C8uxGFXe4fYjogw&#10;pcALGPlB6YzX62/tRfGLxTpes2PiXwr4B/sDVL3TVeS6eT95icAsrpjMZBzuXg1+Sl3oXim9+M58&#10;Z/GGaOzXWLJbHwzFc4iSW580yXjRoSN7hQihiMHOM54P6PiM8u1UpO7jql1fQ/NZ5VSmlSls7J9D&#10;+peH4WeBfjT+yVJ4c8fXmrat/aHgC3tdYNzHLbWlxe3NqlxF9nMqAMLaUrkwnDEcscYr+D7xho58&#10;JazqVpLhpIJmjKZ4TZJtH8hX7NWn/BWPSfg54B1z4Pa5oeoXXiKw1KfSNN1mCdmQWXyiMNG77EMQ&#10;JHCZYAYwRX4l+L7241rW9RuGkLi5uSUZurB3Bzg81+h8L+0/iTVk0rfcfmfE/sm/ZUndxdj6g+A/&#10;xo/ax8P+FtV+HnwE8ZaloGmXshutY0q1vTbRXJlQRFmUKS3yfIx44xXt37Pfwy8R/D6PUrjxL9lS&#10;S+nikSO1YsiLGuwAE84xjFfFvw9l8YeHvEdt4s8LRpcC1uvsU9kJF868SYBfKiizvlYgZAQEg81+&#10;pEV1JZTvY6lBNbXMbbJ7a4QpLE46pIpGQw7ivxzxizzMIRWDcr0pbd/Q/UvCTLsBKX1pR/ex37O5&#10;18V2LfyyUDbDvIP8XqD9elf0ffD/AOMvgXXPFT61oG4WFx4egl06zTTbaOzQOiysxulkaVip+UBo&#10;1BK7TnbX8zEupxgEhv8APpX7S/sir4z8efs53elRaiLOz0i1WOKeGQzrJLcELa2u3blZpHJ/dhsK&#10;uW46V8z4Q4mvTeIhHqr289T7TxFpUJU6dWp0dvvPm39u+90bVtBvvF/iKyl1WDw/HcaxbWULiMM8&#10;KMRztOMnjIHHbmvzc/YK/Z4/aG/bC1HxF4j+Fvhd7/XtX1azmvtR3Cx0nSrFyxMcs7qV+WPDBQDK&#10;7YwCMmv6QvhL+wl40+Md7JpHjJRDZYC6pcSANHHbsfmVcg75GGdq8+p4zX7hfAf9n/4S/s5fDu3+&#10;GXwb0a00PSoXNzJDarhp7mXmSeZiWZpH9SeBwAAAK/Y+HeEquPpVqeMg1CT37+SPxPiXihYStSnh&#10;ZJzj/SPxQP8AwTjvfhX8GYfCnjrXYdV8Vefc3cV1Y26/Z4bR440Szj88M52ujOXXYTvxgACvyX8R&#10;fs//ABY8PeMYtGnsL2dvtISwjghYxsSeNiqOW+uTX9qniTw9pOuKo1O1guPL5QTAnb9GBBA9q4uL&#10;wT4dsroXllZWgmHCusQ3c9t5yx/P8K9rF+G0W40qE+WK0tueVh/EKr71StHmkz8QvgN+wl4s8R2V&#10;rqfx1t0a1G2WDQZAGbPZpX6x/wC6p3HuR0rH/wCChHwi+DP7PvwX1fx1o3iXQ/Cer2ulP/Z/hzU9&#10;QWH7bKoDKLaMia48wjHyhCrcAlc7h8p/8Fa/+CsPxA8J/GK5/Zd/ZF146OugI9t458UaekbXbX7k&#10;AabYzSKyxeWOJZ05VicEbef5bPHfxA13x5r02sazfXuokzlpr+9mkmmu5VyZJWeVmfYGOFDEknLH&#10;LEmvTwvh9hKVP2VNX8zya3G+MqVPaynbyP0t8WfCL4z+IEsPG+q30upWGo6fb6nbXiBQVjuY1k2t&#10;FnCsuSvpxXqvwL/a4H7DeqXPxAl2X089rLaRafduT9pkkBUhkHLKOd2PzFer2H/BTD9i7wl8C9H0&#10;Wx8OeINY8Q2fh+y06XRTAILcXFvbpE2btjt8tmXdleSOgzX4GePPF2ufEPxReeMPEzKbmd2l2JxD&#10;bxk5SGJeNiKOMDHqeTXjZfwhia1duuuSET6HMeMqFKglRfNOS18j7m8L/tJ+FPGmrXE2rWq6bLc3&#10;k0sMEI/cRxu5IGM/KMkgDPAwOa9K8bfFDWvgnrnhP4gyW13Bpj30sc915DiNre4iaMsrFQDjdkc9&#10;uK+F/Beiw+GNOtdVe2S81zUQZtPsbniG1t1UsLmY5A6ZIDEBVBY+31d8Ov2sPFWuaXc/CzxdKvi/&#10;TLyFra4g1yR49PcN1SGCNeAv8MnykHkDvXdPw/wf1uGIoRtb7vWx5lPxIzCGFlQrS5k++57LH8bv&#10;C/ge1ur/AEfWdMu0vQS7afje3JPLAdzzivz98f8Ajuz8e/FKPxQlrvjt2WXEnIlEZyA2Rg5x3/8A&#10;rV7D8OvhDf6f4s8TfCVrFrmxgeLUtLkLq/lLcjKgSsASCuOoB45FeD+JdCl8H+KbqG/GwJJgAHIE&#10;aHAx9T+dd+BwCpV5Ri7yRjmueVMZQhUqaRufrR8O9F8O/D7wVZ/D/Qkvp72+t4Na1me3uo3K3N+o&#10;kAMEZEiGGMqqiTCdcdalj8dS6BdDRvtepXFxFIdyXKZcN7nL/qelfmb4l+P3irxPrH9q6PHa6OyW&#10;6QGfT1K3B2xrGSZSclmC84AH6GvtL9jn/hV/in4dazpOu65pNh4nfVzdxRaxMITNCsSgMsspUE5B&#10;z8xOa5M8yOv7N16ur7HqZTxLQ9pChR0Vj7y+EfxQ1y31aK3kmeFLgiG5CHBeFjhlJHYg4PrXoH/B&#10;Xj9inVdS+O19+2P8PLU678PPGdhpTnWdJczwaXqdnaR2dxZ3fl5MJHlKyF8KckZyK+adW8YfAr4V&#10;Il94j8a6LJcqN32bTJTfTs3UgLbhwoz6kVwVr/wVw+NvwuttT8D/ALOtwtn4d1iF7bVU120AAID/&#10;f+K9ivkkGGxZTBoYyRxvZWbHbivncmyzGOcoU4OKf2ux6OdZpgkoVqkoza+z3/yPl60+EPhqfaXi&#10;bA9HIzXZ2HwP8HttMkDcEHPmN+PO4dq/QzVPgRp3xk/Zr039sz4D2ka6Uqmw8c+HoOX0jULdhHJd&#10;RjvbzcOVXiPOcBen6Zf8E6f2OfDFj4PsP2gPiXZw3+o6gouvDthcoHhs7fOYrpkOQ80n3k3AhFwc&#10;bjkefPAZzLGvBOo1bVu+lmfSU8z4fjlyzCFFO7so215ux8P/ALN3/BP/AOMPjLTbbXru2Xwr4Yji&#10;E0+s68TD/owGWkgtmxLL8vIZtqHs9ZfxE+Auiw+Nrz/hXdzeahpMbbLS+vkEUk6IozK0Y4XcckAD&#10;pjNf0f8AjrT7LxfoV54c1gym3vYzFMY2w59MHnpjoa+e9F+BXgHQbgTfZ5L6QHhrwgoPT5F+Xj3z&#10;X0sOCJUrKM3Jvdtnxlfjz27fPBRS2SXTzPxZ8B/s6/FfxjcR2/hzTpHjJ2veSZitYwD/ABSsAv4L&#10;uPtX6Y/AP9mKX4SataeNLjUrq4122cSwT2kj28Nu45+TaQz+h3HB9O1fZkWnRrGsShERFxHGg2qo&#10;9ABgAVP5QiOw8HoAOpP0r1sJwtSpNSlqz57H8SVa0eSKtE+z/hG/g/43aHrPgT4q2llLea1bNa3l&#10;/bhLS6uosDG+SPbvcH7pOTX5iftS/sB/Ef8AZtsbDxB8IZLzxDoaXqWjhrg2ctnat0+0MiNu2ngP&#10;t+bo3OK9x0/Uora5We2ZvNSQAMpI2uOMhgQSR619k/Dz4n+JPEFzF4e8e6lLcaZdD7PcQ3EcckUk&#10;bjaY5Pl3bWXjIOR15rrq04N8s1q9Lnl4XHzoy5lt2P57vjR8J/C/jPwDdWvizT0mvYrZ2he4IeVJ&#10;Cv8ADIAp6+tfhN8LvgVrHxM8Z3Xhh7tdJNsZW827RmT5CflzkDcACTzwOTX9gn7X/wACF+FviePT&#10;4gW0m+Uy6ZdE7i8Y+/G3+2mev8QOa/Ij4qfAS/0zw54pvPAbXFtJq+lzQi1tXYo07qd0irnIkkGF&#10;OOMe+a+bw+ZVMFVqUW97W8tT6/MMsw+Mp068eiPQf+CHWj/E/S/GuqfGDVdSS38F+H0vNKtJGZ5v&#10;7Rv1A8w2sQYIfLUHfI3dwgyQxH9NH/DU/hv/AJ/bv/wCT/45X4HfCLx78Nv2Mf2OfAOi/GC8g8KS&#10;NoFlby2FyGNyLiYCW5PkxqZGeSZ2kmbGFGAT2rP/AOHjv7HP/Q7W3/gLd/8Axqv0yK5kna5+URoQ&#10;jdXtrsf/1v6aIYmc7Qp/Fzn+daNv5UUyJLKwL5KqWPJFcxYeFrNnaR/My5yWMjlifUnNa0fhWxDZ&#10;fzGYfdO88H1r6GnHQDrG+yqNrPjnI3MT0+tWVeJFxHOevY56j6Vm6bo0Vgu2NnbcxbLHPWrMWhLJ&#10;ceZIHCsMsofKZ7g9MjmtwNuOOXy8+YM5BDgdTV6FXHDyk89ABjP06/rWRDoNvE26J50xwNkjKPyz&#10;WpDpUUTeYC+WOT8xOfzoIc0XvLjOC7Me/wB7GfwrSjWKVchwrDms5bKAscqSfrnmtFLSJiH2/Njv&#10;j/CtYw7mRIWkz935TwMHio5ZYYRhg+4cBUX5gfwzmq9zpK3HR5E5/wCWblf5HvVi2tYYPnjV2Knp&#10;Ixb8s5pxhroNFWPVI5TsDMGB6ujADHY8Y/Or1vfw3EZMoUqODtyRj+daSXUagZbr254okms8dV5O&#10;AV6/hitYQa1FfyP53f8Ag5O+DUfxT/4J+S+M9P0+a7v/AAT4jstbs54Iy7xQT/6Ldn1EflybmwDy&#10;qntX8G3wC8BQ/ETx7D4durQ3ojlV5LWFgjyw5+baWK8jjvX+qJ+2N4l8L+Ff2c/Fuu+NoYLvTbbQ&#10;7157a92mObED4R93G0988YFf5JOq+LtY0jxUPFXg+7n0q+iupZ7eaxdonhDsWCqQc4AOAOmODXx3&#10;FeCqVaTjRlaUk0n2PoOHcdSoVoVK8OaKeqP6Cf2avhZo/wAO/wBoBdS8DwrbacLYQPbSjEqmSJXz&#10;g5GGPvjiv018ewyS38CxscOofA6596/CP9i39pXxh8VfGD6t8RNTe88SaZaW1rFM22P7VYQJsSNl&#10;QAMycndjk1+1cnj7TNd02K7hIMwjVXVjypHrzX8P8Z5fisNmPs8U+aSVr9z+veEsdh62EVbDK0X0&#10;PQbDxBpMnw41HwJ47slvbXUJY20+ZmZXtLm3YSJKjAjaRivdv+CV37Qv7MnhT4+X3we0s3moeI/E&#10;V0k1rqsYub2COSR97bpWZlRXI2njb0xiviSHxXJZ3ST3TwvCjOwhYbiSylCPxBr9Xv8AgnH4R/Z9&#10;u9S/4S3wjFaWOrabMlw9vLP5b+djYEWFBhsgkhsbT9a/QfDzExnjKXPe8bWPB4ujQp4Wu60XaSez&#10;69D+gFYth4yOeduR0/xpGll5VsHjqagsLj7Sjb3DkgFSCB1pz4Ykg59zX9mRaautD+Q5GdcRyN8s&#10;cjoN2Tt5IHtVNraAOJZMvgd+57H61pi3Il83LenB4/Kq02yAZ4C5wQO1KS6kGVOUjyqc7u3Y1mzA&#10;lcDoeR/hWrOETJIIU888496xpbiMZAO4+3Nc09jWDKcqgHG3n0r8O/8Agop/wVe+IX7B3xps/htf&#10;fDiw17SdW0hNX0XXDq8tq1yqt5dxE8Qt3VXhfbkBjlWU96/bme4JycjBPHNfz/8A/Bwh8LtL8Wfs&#10;haR8USkS33hDxZbCOcL8/wBm1UG1kjz1wZGjYjOOM9aylK0W0jWKu0j5Utf+DjGe/lC6h8KrdEHM&#10;rQ65IzBR97aDajOB2zzX7s/s5fH3w9+0t8HLD4p6PEkIvA8V1bRP5ixSrhsKxAJVkZXXIzhvXNfx&#10;5fDr9kf4K+Nv+Cavjn9oywj1NPHvhHULC6W4a8kNrJptxIkMsX2X/V7g0hO/G7C9ea/XL/ggh8RJ&#10;9b+EXiHwDqE5b7BNFPDGxLbVikaJioH+xJCvT+GpoVJOSUkFSK5dD8mfEMy6bqdzpxdR9muZoCMg&#10;f6tynT2xXLXGsWuNpljH1YVhfGlbLSPi/wCMNMYwL9l8Y61GFdYuI476ZAmGYHsMkj8K4fT73Rlt&#10;8SmJm3MwAQNwSSOUBHHSux4h3PmKmVJdSL4i3thqPhq70+V0lE0RiaIEEtu4wB759K/RL4T/ALHP&#10;7HngL4d+H/hz8QPhp4X8T+IrDSraTX9ZuYrma6uL29H2pgZI5kwsSSpCoCgZRj3r8sPif4vsPDHg&#10;+/8AEVvbyzG0iE+yESW7NhwOJVUNHj+8pBHY5r1z9pDx5q3jrwF46u9Ju7iG6l1GGaCSCdw8YcOq&#10;7XVtxwCMNySOck162U1qcXKdSKZtGlNUfZQ01v5/8Mfq98SPhb+xTbfBnWfCPiD4XeHLbT9B0CW5&#10;06zJu45LR/MzG8X7/cv7yZpGyfnA5BAGP47deu7C6124udNiFvbPcyyQQAlhFFuOxASWJ2rgda/o&#10;g+Kfi+70r4feNvhlHey3kuneEdJso7r5t0phsX8zPmIjnknOVBJHPrX4pfsx3fwV0j4r2msfHhZX&#10;0W1ikkgRY2likvFK+V5yIrEx9c8YzjPA55cyo4WEksLSUL6uytd9Wd2EjU1VWTfqeR+Hj5msWkcR&#10;z+/XPcgg9K/QH4dwObFRu6EZ96i/ab8L+HPF3iO2+PPw+vvCt1o1wYLO5h0T9xNBNjEeYFXaeB85&#10;wpz1WnfDmVhYrg+gz6V/PXi01aMeyP3nwtg4qVu59H6ZEVKgkf4ZHrXxL8e/E41b4l3UWnTf8gXR&#10;5rQSLgkXDq3mbeRyNyg+hHsa+19MkIC9ccfh05rhf2kv2XfAXhb9luD9qDRHvrbVb3xg+h3FirKb&#10;KWBlXfKEK71k3uMkNtIJyM1+b+D9Wgs4k6yfM1aNtte5+geK8K8spUaPwp3lqfCPwu+JPjP4Va5p&#10;/j/4c37aVrmkxy/Yr5djtGkqlSAJFZd2D8pxkHkGuW1Xxl4l8W6pe6hrVxcarqupGR57y8mMs8kj&#10;4LNvc84A5PNc4xRHBPzY4yfQdPyqbSLPVfEPiOy0PwrYTahqt7crY6bY2sfmTTXU7bIkjQAlmZjg&#10;D1r+rsXhoqnKTP5iw2JbnBJ7n238cbI6j4u02GWRTHN4X0GMSy/LGkVvpdsQvOM8Fefr60lqsR0C&#10;LS5Ly0t1srWNY4PszK7SXW1mfEwLHOwKAmB1NfqR+23+yRrXhb9mD4Q/ETQdCv18SQ6Ra6b4stYL&#10;M3M9vOlhAgMyIrjCSQ7WJO35jg1+elp4d+JnjO6kuZNN12K7itoJLeO30a7cqyl3JKtEzybnwAgI&#10;OGGBgV1cKVqH1OUnNKWu7P0yng7Tl3kfc3/BGX9mu4+Jf7Seo/HHWFI03wFCs6YXCPq16HEKZPeK&#10;PdIQOmV6V/W1+w7qWrSftfeJvF+mzQl9F8HNasHwzRvqF3Eiuo6EjYRz69+lfkr+ytpGmfsS/sI2&#10;beKLT+z9Z1UT+LPEsUqrbzRz3fziOXfja0EISMKzcbcV+o3/AATD8Iz/ABA/Z+tfj/PNJa3nxB16&#10;58QRTsp8xtJ02aS105UJwAHZHlI5GGz1AJ/MMPR+v5zSjq4wbb+V7G2YwjhcuqQlJJz0X6n6weKv&#10;CejfELdH42tk1QSsjM12WLloiSmHBVhtycKCF56Vb8P/AAy8B+FcHw9pFjZPjmWNS0nGOd8hYjHX&#10;giuH1nSfH80VjHpniBLK4TUI7zUJ5Lcyh7ZYyJbaIMT5YlYqQxPyDOBxW1o/iDxBqTppOsSLJcTy&#10;Kp8kDy0hXl/m2p94DHIzg9TX7lhMrw0qSrumk33Sv8z8axGPqwqewhNtLqm7H5xf8FVfgj8Jfil+&#10;zzrvjHxfbQRa14X0C71vStcdmE1gFXeqOwIyk+1Q0b5AHPBxX8o37IX7anw7/Znk8B6x8TLDUNSH&#10;jG5vvGXi+506A3U2k6RGXs9EjWGPl1jkEk7qOpKtjIWv6uf+CuOuTeFf+Cefxr8axEs48Jmwtsjl&#10;nupkiJ/4EWz/ALqL6Cv82C48Sazb3UE1reXSy2ltFZ29xHK0cixQD5FVlIIUdQOntXyWZ8M4WpXl&#10;NwV2fQYLiSvToqi5txv3P62vj3/wVP8A2YdU8O3Ft8BvCl94n1gr5ja/42tpNB8Oacrci5u5bvbP&#10;OowSsUEe6QjaGB6/yx/tKfGHxR8ZPjBqHjfxL4kl8SujpDp+oraf2bbJEgGEsrPJ+zwK+4RDAdgA&#10;7AOxryTxT4r8QeIWS68S6heajLEqxxSahcvMURc4CmRm2gZOAOn41x2hu+ua3b6dCwTfcRRM7ZKr&#10;vcLk46gd8Vz4Dh7BYNN0oa93qznxeeYnE2U5adj6F8B/AH4u/Hb4v6R8OfDNjPf+KPEd1Fa6fa3D&#10;rG0txPGHRpXbhRs+clv4eTX1P+3D+ype/sqfHub4MayY2urG1tEnljbck1wETz5Iz/cMu8Ke+O1f&#10;rV/wRt+DY8af8FAG+MNw6XWi+AYtQ1aS7jj2pcSxxnTLFIw2dnmuQwzzg818gf8ABQ2z8VftMf8A&#10;BRnxxp3g6KbVJrG+fSk8nLoj2yrDMwIztRZWCgn+I0Tw8acIS6X/AAO+jBz51bVn25/wSu/4JneC&#10;Pjt8Ev8Aha3iN4dKaVvtV94suNPt9Sv4lkY/ZdN0eO+SW1gcoouLq7MTuokjijGSWXxj9ub4F337&#10;N/xu/sA6tc65Ya1YDU7DVb2NYbuQxFYZY7hI/wB35iApgoFV1P3Vwa/r3+CHwm0X4QfB7wl8BfC1&#10;vbw6d4T8PWVldyW64Qy2sAWe4Y9C004bZnliXb7oGf5c/wDgut4pXw5f2Xi6yUmSzuJLW2IB4a7h&#10;P3j2CkKfQ1+d8e8M08ZQjTiveb0+Z97wfmTwVR1XL3Unc+SP+CfHwub9t39ubSP2b7W4e28P6VbX&#10;HiHxnqNsQZnsLHYHs7c9I2mkdIjJ1UMSuCM1/b9f/An4a+BNL8KfC34d6Rpui6TpcsuqQWFjDhY5&#10;dgggk2qN0sxDyMrHc5YE5J5r+U//AINQ/hbc618WPiz8btRdDDZ6Ppnh2NpOZHmvJpLmYqx6gIi7&#10;vXiv7SNJh0q+MnjK8EUN1eILWMSnEkVrEWVY1yMjzG3OehIYDHFfecMcC4PA4KFKlBKTXvPqz4LP&#10;eMsXjcVKtOel3ZdPLQ5HTNC1i20G005BbWGnea8kyqG+2XCrnEbfeRQ2B5jhs4yqgDmvPv2hv2iN&#10;B/Zw+F0vj/U7O61m/vL6DRvDXhzT8fa9X1e7+W2s4BzjcRl36IgJPSu3+JXiPU9N8N3mp6dObO4j&#10;hMVg+3dmRgVDGM4+QdApxx9a+PPCPhLxj8Yv2rtI8b+ObYS6H8PvCTRaHO0ZS0uPEGqzOLq7ijbI&#10;EsFrGke4fcEjAY5r3pV6cKyorseDOjNwdZ9z548LftBft+fDX9rr4beAP2rH8It4d+LP9q2Wn+Hv&#10;DEG59AvrG3FyiS3bAPMwUhWYsysdxG3HP3N+2B8ZpP2e/wBl/wAe/GK1bZdeH/CmoahYsw5F2IWW&#10;3OD/ANNSpH0r4O/bn+An7WP7SP7XHw/m/Zu1GDwjZ/DzTNSvb7x1qEQljsr/AFhBB5dnB1uLmO2T&#10;OQAse4EsDxX4d/8ABUbxD+3l+zh4G1n9lf4m/EHUPiX4V8WW1pdpql/pzR6nCttIJXAkiLp9mkI2&#10;MGfOeCvINa1ZRsnN2MKVNybUT+cibxnrniPU9Qur+SSW/wBQu5rq+upCS8kt0S0rFuu45I/GvT/C&#10;Xwk8b+NfDWteKfDdmH0rw7Z+dqt5JJHFHAm0tj5yCzEDhVyT+IrtP2NfhAnxd+KjWr2X9oJaP5x0&#10;5cZvboER2lockAefOVVs8YznANfu54I+EOkeA/Cg8BfHH4F+KfEuleGNPh8Na6nhqO60+HVNZiuX&#10;e9upb6C2CSp5+1FVuGX+IgCqwj9pzqk9V9x9dlvDUI0qOKx1+SfNZLRvlXn5/kz+ePxp8LfHHwzj&#10;0qfxzp8tgmtacuo6e0pU+fAwBDDaSQcEZDAEZHFeaX17ACIZfub1873XOX/MV+z/AMXPhFcfGr4l&#10;t498RpbzeDo/Cep6VoEdtMJ30q8gaQ29ncuu0G4jjaPLqNreWe4NfkX8FPg78Qf2g/ihbfC34c2A&#10;1LV72KeeG2aVYIyLVC8hkkchVX5cDOOSB3zXIsWleNR6rftqVxXwl9TdOvhU3SqNqN97xtzXtbq9&#10;CDxF46uNea4mtS0aXpMczKcboOCsa8fc4APY471zuheIH0fVVurZjGUdWG3oAPSut+LPwh+K3wa1&#10;+Xw58UNB1HRLuImMJdxERMF6eVKm6KRfQoxrxre6MD0OcE+vpzWKxNOS/dtP01PkKlCpB8tSLXqf&#10;0RfsJfEKz8cfCzxdZ25hk1RGtoo5pFDtiSNo4t2ecIVJwDX5Pfta+Bfij8NfixPp/wATPtDzakHu&#10;7K9lVES6gQhN8aJwqK3ygYyMc1n/ALIn7UOv/s4+PxrNtbw32l6kUtdQs5erMmTGyP8AwspY4OCM&#10;E9aq/tffGrxL8aPjZN4h8TzM7WitZ21rn91aRLIxEMY7AHljjLHJr5XC4SvTzSU7e7Nf5Hozqx+p&#10;8qex5Zbtst1jGBn5j+NWsBwSQpxzg13vw38T/CHS9JubD4peHNT1h57qCW31DS9UNhcW8EYYSRKh&#10;jkjfzCQdzDK446mvQPEnhb9mjU/C974i+HXirXtN1C3hEsXhvxRpyzvctuA2QX9kRFnHP7xE4B49&#10;f0HkutT5uEmrM8DVvL5Xbg9cdf0xWnaXYGO2cc56/wAq517jBG7k46H3qu12Uli5x82K59E9CVKW&#10;zP2P/wCCY37Snxl8B/G/w58F/BkX9s6F4r1wabrXhicn7Pd2d8nlXu/HQCBS+7ttr+07TbXQPBHh&#10;OHTbBY7LTNOtlt7eMH5IreIbEQE9QBgA9a/ly/4IE/s56lq/xC1/9qzxPbomi6Fp8+g6JPMvEupX&#10;QUTSRE/88o/lJHdiPWv6Wdf8X+F9RtP7Ei1C22nctxCsq+d5cPMgEed2/g4GPpXNVUVqz0cGpKNl&#10;fXp/XU0dO8XaN4k1a70vR5o7j7EALlomDbJM/cPp161ZmljjJUHnPauO8Kaz4VFvdP4ZmsGj8/yv&#10;9BZWJ2ZP7wDkMCWX5gCQvSl1PVAgJJxxnn9K5ZSVr3O5eTNye7j/ALwHpXF63rVzFZNBYSYubmQW&#10;kUrciEMN0kpPoiBm9zXKX2vzQyeYFZkwRKEOSV7soPdeuBXkVxrFxrPxEtPCDTZWa1muDIhwGhG0&#10;PxnqynB+tcFTERWhqo3PpPT7m3khja1BWIbRADyfLUfKT7nqf8a+rPC1v52n2d1jG6IbvXIP86+S&#10;9Mt5CxVR/GFIH8Izzn8OgFfZvgJFn8NwluCrHr1HP/6qzqUNLmFSVkdH+1TZweO/2XYNYvBuv/D+&#10;q2pWQ/eCu3lHPs0b498Zr8jH8RT+GL8az5aSRafi4knnUi3Vs7YxK2DhWkKqTjvX7L+K9K0zxD8H&#10;da8Oau8otrq+09DHAwViRJ5nDAcDC/XH51+Hv/BUX4y6X8F/gJc/Db4fWsVpPq1lfXlw1tnzcWca&#10;RxAnqzGa4jfJzgoK+cx/DrxOKpzvZK1/ke7l+fKhhpU7XbPwz+MfjnX/ABl8T9RP7UPgvxV4p8V6&#10;lcTTafe6XqUy232R23W62ENupie3VDwVc7upPWvO/wDhEvBH/RIfiL/38u//AIqvvvxjout6XceH&#10;/g3NreraNoenWnhLw6iaddPaKlvp+mT614hmZoyrgNA0cchVgMsCeRXZf8K9/ZE/6H/xD/4UV/8A&#10;/H6/QqcbK2x8dWpqUuaXU//X/pmi1iIYVWBIwCFBzzW3Dqdq/wB0kEc9DXKRp8m53wQDjAxVqKa1&#10;YjdK24cjbz+Yr6hIDtRfogB5x0q7BqcBO0cnHQVy0V1Bty5ZTjoR1FTyRpcQ7EkkQkfK6cEeh7/y&#10;oA7JdShT/WnHOBV0ajCMKc/59K89u9TvLCBY0Rp2ACscYIPqQMZrMg1PxhcuUMFuiZyrEnkfif6C&#10;hEOCPYUv4CPMUH2x3qWLU4CSIwx4yPQ/jXm9quuXFvIkZjRiw5U57dsE45qeLTPELH97MAgIJKv8&#10;3v0Aq/aMHFI9GbVAMZQnuKUarHtJVc4OCAa5pNLIYSSzSN2IZmx+GKnTRYWJbzDtZuV3Ec+9aRbM&#10;0ab6mAQ2FUZ7t83P0p5umERlYrgZyewHr2qhFolpHL9oWIFlP3ixNcH421LU7ayubXSmSPyommnk&#10;kPyRooJ3c9enA9R6U9XuHXQ/l1/4OPP+Cgel+HPBEf7IPw5vppNav4xeeJzGcJZ2UoAjiYg8yTru&#10;wO0ZJ/iFfw4XMTSuzY5OT0NfsX+2d4X8a/tK/tffELxX4bTUNaXUfEV0dNFrFJdTT20T+VG4IwqR&#10;BEyGYhfTIr86viz8EfG3wf1dtL8X26ROrKshiZZRGzYIVipIBGcHtnNfn+IzyjXxUqXOrrofQ/2X&#10;OnSUpI5n4J+ItT8A/EbTvEdgSnly7JWBxujfgr9K/oM8HeLbrxFosOpabG7eag+eMZz6Zx+VfzoW&#10;krQus8P3k5X/AIDX9Gf/AATNc+P9BCpi6h3CGWEcmOQYO32JHIr8w8ScjhV9niktVoz9S8Pc9nRj&#10;VoX03Puj9k/9mrxf+0T8QbHw7dsLaxmn23crqS0cScu2OMcdK/qS+D37IXwN+BqR/wDCB6LaW00a&#10;lWvSgku3z1LXD7nG7uFKj2r5R/Yi+F3hn4d+MLx7iQR3WoWhOlpIpBlIAkkRW+7uCZODyQOK/Upo&#10;zE7RTZBBOQ3BB+nWvtvC/IMPSwnt5QTk3+R8p4g8TV6+IdOMmomda2lnY5FqipkYJHJP1JyauOys&#10;NwI96gnjRmzzxzx16ZpLhbfYd5I6Dg4xmv1k/NrmdcTxqDuPQZxWdNO+3c4IHToTn8AKluI7K3zN&#10;8zZ4wWyfyqHZPK5ediADhFU46HnIxUT2AwZC5k8tSxjOSBtb8Rkjp7VRltERQrEAMfkya3bq1Lnz&#10;Yyu7qNxYfqOlc/qDXa28rW0SyTJEzxRg8PIqkqu45OGIAz2J6VkVGVj8jvjN/wAFdPgr8CvH/iP4&#10;f+Ofh78WyvhrUbnT73V7HQlm0yYWzlDcwzmRVMDgblc4+Xk1+Sv/AAUK/wCCrf7Lv7bX7O2q/AH4&#10;cR+JdFvdSvdNuob3xNYpBZRrY3CXDqz20sz7pAu1fkxnqRX6b/sdf8FFJf27Piz49/Zy+JnhXT/D&#10;1tbaBdWsdrFcSXUtyokNrexTM4VT8koIVU7NkkV/K7rvwZ0n4ZfETxB8HfFOnWM114Y13UNDuriW&#10;BAz/AGeZhG8jsN3zptIOeVwa8jMsw9jFWV0zvw9Hnfax638Fv2zfg58K/wBh/wCIf7Lms2mrajr3&#10;i6JbO0v7e1/0KGOOVXyWZg+eDj5eeK9H/wCCb37Zfwh/ZGt9UvNV162tL++SaBUvLC7liETtC6km&#10;BW5zETg9Aeua8W0L9kXwx4ntTqMOj6KIWghmV3uJIRmYMVXKyKN3ynPGBS+Jv2WvDPhu2VtQ0O0t&#10;E8+KHzLe+kljbzI2kRlYucqVQ856qRwRivFo8WQhNStdrSx1TyhyVr6bn3PZeNv2BPi34y1XxRf+&#10;ItCk1HU7u61q7hNtq4LSzyGSXYMwqq7mzgtnnirOo6n+xBoN4PIksrgbDtC2d20QJGFIMk7Z56jN&#10;fn14U+E3gfVda0LTNP8A7OtBJqLx3VvqE7Fb8blCxKArhi3IwcA98V++Wi/su/s4WtrDeWvgXwxC&#10;oVHikk02CQx7kDEZZW9cfWjMvE6OGaUsMtUcf+qvNqqp+W/jvxN+wXr/AJ+na091NaXGEl06w0uy&#10;CFQQQPMmu1bqMknvXkeo3H7EsN3fPaaR48vkvVVLq1hgtYYQqqFQKsUkgUKANp/Hmv3a0/4V+AdN&#10;yui6Hodow3bRDYwqvtnaoJHA6HiuuOiWMNvcWrRwvIkILGGNYt/yDkBQSASvHJxXz2I8XXa0MOjv&#10;o8KRiv4jPwH0/wAQfCGbWJvEHh/4R+Ltfj1G2+wz/wBoSXcFvcRAFcMlnEUBwTkoF6k968A+MfgH&#10;9nrwt4Nv/Gp/Z5m8PWVlbm6ub2fVtYlhhQPtxslljOWJCopIyTgV/Rkks0mjRXV5bG1ujH81pHJ5&#10;iRncSMOABhhzkDvgjIr8jv8Agrt4s1e2/ZusvA/hq3mmbXtfgS7S2VpGNpZA3D7lGTsMoi7dcVz5&#10;f4mYrGYqnh1SSUnY6q3DlKnSlUcmz8ANX8UfCrxX4ktZvhhpEmjlBL9tiPmmNl42bTNJK3Byevev&#10;qP4c7jZLk5rgdT8IaN4R8AR2kmn2KX8EOlWS3gtkW7F5cr9quA8wUO2EDKQxIGABivR/h6MQqB3X&#10;HNfMeLFTW1z9R8MItwufQOlPsRW6/WvsTxj4fsfiP/wS68c6PcLuuPD+rXGsQOeTGyrFIGH/AHzi&#10;vjnShwARnjp+X9a/Rz9kXwtcfEn4WfEn4O3izC08RaCYbe4aJvIjum3QqpfoGO4MR2VMmvx7gCu6&#10;Wawn0XXsfrHGGGVXLp0ur6H8uE26QbsEZPAPvyK+/P8Agnh+z/8AHTxD8XdL/aK8JaS0fhbwhcyX&#10;+q65fqsdvLEsUiTQWZk4muSjkR7flV8ZZea+sfgB+w5+yr8JbXxB4v8A28fF9lHqHgvVVsLzwbbX&#10;AhtLgeSksEzz8S3MU+44SFVB2lWY8isb9qT/AIKpW/jnw6fhX+z1pEekeF7O2aysljiFnbiFFKrs&#10;hQBtvTAwPqK/rDMc2qYlOjg4XutX0P5ly/JIYeca2Mnaz0XVn6z/ALSP7eX7ZX7J3g/w/wDEfxTp&#10;fhvXvDviL7KNOi0yaey1K1W8wYYrlWDRO4QjcyNtByOleG6B/wAFo/iC+nQw3fhDWGzJIluwurYw&#10;uWlIVAfNGXJONvXjpVX/AIKvau0/7MHwW0yJFma9k06aSOQgCRINNM+SSOACBX4u6Tff2pqSeFVg&#10;0yGLULg3ZuZCDukj52eSMJkAEIFK5LHJrq4c4Nw2Mw/PVvfyfY+sxedKliVC+rSsrfqfWX7c3/BQ&#10;vx7+1TpS/DPTtJ1TRLRLpItfhu0VRL82BAnkHoSMsWIJHFf1o/8ABDzxn4o1T9kf4eaR49kkjvf+&#10;EdvbDTUdzsOmafdyRwlYzwm8kk8ZfaGJOa/hcvLKOGfVl1UXkUFrPqN5ZSWTEwi7V1Yb4Du2kBgv&#10;zOQSeo4r+5X9lP4keAv2bfh78F9I8Q3f2G1vvC9hpK3EUXmvG9xYK5fZ12iQjec5AJJ9a3xOU4fK&#10;a+GjR0UpXbZhmdOpi6NZy1aWh+0XjPVrgWyWcbSIyIWZ89DkAZ+uec14qvxHtfhxfrr+q2F/qgkd&#10;rSO2sZEWVXkGSSZWWPaApIJwewq14K+M3wN+M+n3eu+H/GWl3FlZx7bqeIPI3sdqgqC3YdSa/LP9&#10;tH9tPwn8OrKaz0SeWFBuigjjIe6kPIXC9PNYn5VHCg9DyT62e8TwwlPnjK8nt1Pick4aq16zpVYO&#10;KW901/wTwP8A4K7f8FDvg58Y/glffsW+F9L8S6fr2r6xpk2sf2xFbxW09kt0okiilhnkLMc91AwD&#10;nGK/ig/aG+E+r/Bb4rap4EsJ/tdhBItxpl1L8kktnMoePeBwHTO1vcZ71/Qv4K8If8JVpnxB/aa+&#10;OOhSWKQ6jo3gbRINUdnkibULiL7dclmx8620v3gOCxA7mvwc/a4+J9l8V/jx4g8a2JSK1nujHZwx&#10;9FijOAEA7ZPGO1eJkObYjGVuer21O7iTLcPhafJS76Hx5eXGqM+yVSR/dyM/rX7rf8G9XwR+G/7Q&#10;P7aGs+A/izoWlavp8fge91OJNXhSZoZ7WeDbJbRyZBkAc8gHauTxg1+IUwuH+RikQ/vyDc/4AgAf&#10;nX72f8G7HgK81n9tvVPG1ndzRReHfBd5PJKhIZpbyeK3iGRjChm3HHPH1r1swqezg6knofN5ZBzq&#10;xSP64f2W/wBn/wCE37KuvfEzS/B2jXUtpbwWF6fLCyNMtvDLOkKFypaQSLuOSAXK5PWvj79kT4B/&#10;Bv4R6Svxf0mwbWvFHizWtS1DVP7WR7dl8qdp2t5t4LIiTqpcgEErgFgQa/VP4saBarpF9YzzyQ/2&#10;re2a77a4aKQxhGNwUBAXlVUHc2BnPBr87vjp8bvDvwu0O61XWZbKO9kVtP0jR7DMrQQ5ARWYcPIQ&#10;AWK5Uep6183xdn0MJRtF++lofbcPZfKtU5ktGdl44/4Km2PgvxOPhn4x8CXdu13cC3S/8N30V6hl&#10;lO3eY5lifI6ZJOFzjoK/nA/4Li+PvCfirStPigvZlhutVS6sTEG/ezR2jbkdTgkdM7uh5r0m98d6&#10;5rPxi8La/fGSGy1XV7+2LklVY28OT+8HzArIw3YxnBGcAivyi/4Kl/FO38Z/EvQvCFm6lbC0m1a6&#10;QH7j37BbZT6HyU3Hj+IGvnMgxuLxUoPEyu9+x7uf0sPh8LV9krdNz+pr/g168NW/hn9gTxn4nizn&#10;WvG97NPtHzSJaWsdu6LjHzAA7fc1/SHc6pGul2emzMqypaRRvC53bJCi7w2ckncTknrX4rf8G8nw&#10;0vvhz/wTG8ITaxG6P4i1LU/EqxtlT5N5OTCcjsUUMPrX66W85v8AW7i6lGdpdyMk529B9TX7PBuN&#10;OMT8Zm7ybPPfi9qVr4d0eGwtY186aFmYKqgNgB3LYHUZVQeoyK1v2UdSvfEfwki1W8jKztqV9FIg&#10;O7b/AKQxHT/Zwa8f+M+pTWurSWepbUlsdKWacAfx3TMwH/AVQKfeug/Yg1qXUvh3r87BYbWPxA/2&#10;aaEnJZoY2fzF6EcjBAr8/pY1yzecHslY+0rYRQyuMvNH1vcq8T3CgLuEZwR3JzX5EftafFePSPE+&#10;oak8pjg0nRo7O4ycBpn3O6sCccDaMGv1A8Tv4zed7nTdRgsbVdojP2VLl5yecl3dFx2AHPuK/Cr9&#10;qa60K/HjO2+It5aR6bLd3Y1TUJ1FtBBLEgjMcuXYxlgoKfMd2RjniuHjuvNYZQh1f4HXwJg4zxDn&#10;PVJH8+vgj4y2d/8Ate63qnhdY4NR1O/0RNL+yKkJe6t9TgzgqAN5RtwPfB9K/ST4h/tf/tC/Fq61&#10;vRvFHjnT7jT4Znhj03Wj9ne7RJJXHlRW6sJHh8osUdVjXIyfnIr8gvgV+z14ysf2w/Dvib4WJc69&#10;4WttbTXrLXxDLJaQJbK8ipLKFxneqhe54FffPwz/AGbv2k/F2rjxv8RNO0rwkJRIp0+6uzePAZgo&#10;nnjWNS6mUIo2O424Izg16GU55hMHl/P7bW3zdktPvPvMLVljK1PC4qmlCD5dVe0W3JtaW8vuPzRj&#10;+OVhoniv4l6zaPJZ6c+pyzxabBKTaC+ndhcTxRHCoZHU8DJAyM9a+r/+CM/g6Dw7Z+Mv2itVC+cE&#10;Xw3pLMPmUHE9ywPbJKJ/wGvWV/4J8/sjfDqO61H4gX2seLb64uJLu4S7u2tbR5nZmJW3tSnHzEDc&#10;7MPXmofFXxj+H/wp+GifDX4RaVZ6DpUDu62tkMB5HOWZySWZierMSa/P824np1/arDp807Xb8uh7&#10;eMp1cQsPSqpRp0XKy7uT3+VkdR+0H8UtJ8QS3UOteVdxSFi8NwqyIf8AgLAg1+JHx50r4dQTi48L&#10;WyWV1LKdsNucRHux25OAPavSfit8Z5bazlvrlyS7ERoOrN/nrXwvL4ovta1e51TVGDO8L7Afupkd&#10;AK9Pg/Ja8X7eUmkuh8LxxneHcXSjFNv8DuNG0q3lgu/s5IZtO/tCzXuJLdgZAD/u5I9q6Lxl4evd&#10;a19vFYutPWLU2+3xRtIUOwLucZcAEjkYzkngA1y+gXjW9ppd8cYVpbeT02spVgf++q+lfBvxAitf&#10;2ctY8DPCd8krFLkY3BCgYjJyQM8YGMj6mvu6mIaqLlR+YwpxdNxkfPPnKAseP4RVr7T0VSRjH+ea&#10;zJH2urHoR19zSNI5Yt+lfRe1sjxmTy3RMpy2D3z3qoLgiZCCDhxnvVeaRmcsCTjHaoIJltruK4mU&#10;SKkqu0ZHDKDkg45wec1i53Ykf1P/APBLX/gpj4I8OfBHS/2M9f8ACdzBqOlQXl/Y6xpTxiC9h877&#10;TcvdLKyssyoxIZchguODiv0n0b9rf4aa7rX9t+IvAmlXEskVsj6uXSOUGeMPMZHQAs8UK/ezuYqA&#10;BnFflF/wTB+EnwE/aT8Xm48MeHX0iLS9PktdR1e0t1t5nmlT5o4Z5fMbBUjdx7V+ymtfsEfCZrD/&#10;AIRfR7/XlYoDLd+fCTFnbu4EKqWYDv0ycYrw8bVxMm3QSttr1P1PhmOSU8PbNFJze3L0X3nz9pv7&#10;b2r3WtDSvA/gPTLTR1knvC+myrC88VmArzShV+aVVbncSOTt6mvqTTfiLqvjTSLXxHqFk2kpdK22&#10;3EqT/JnCyh14IYc4PIryrXP2MfAnw/8ADl3Z+HPEmqWctwrRWMDwxStEHcO2DvDNu2gFjzx3r0Pw&#10;n4fvtJ8L2mg6revqE0FusUl5Iqo8rL/EQOAccY/WvIVXEw9ys/uOviWtk06UP7NhZ3132+Z0N3qW&#10;qWUX2j5JUGGSReePXFeF2vivT9L+O3hm+udyQ3V1Np8LDokl5GUCP6AvtI9xXoN7qN3ou+FiXhPy&#10;7Segr4H+OfjHWvCniC21TR2cNDcR3dnOgDeXNE4YcHI4PIzXNicR7O0mfI4XDOo+Wx+6Mllb+HLF&#10;brXZrawhwJGkvZkhG3uxLkccda6D4c/ta/s1WjyeGr3xjpyTJJlZUiuJIDzhh5scTKSOuRwR3r+e&#10;HxPo0HjPW5/EGv3eoX97dSm4uLm9uXnZ5G5JJfIA9AoAA4AFeq+A4rXw/BuiCfKCM47V5GO41kvg&#10;pn1eG4IjON6k38j+oyHxT4N8ZeArZ/CGradqsa6sy3UmnTpMFEcRMavsY7STIxG7B/AV/IP/AMFQ&#10;fiP4/h+M/iyz+KGi3o8Ow31xo3hJ4A8J1eO8gt5ClvchSqNFPADI56KQFBY1/QR+yf4fj074Y6N8&#10;QLi/mhW6stQCaauFhd5bkqsz9Cz7YgqjpivLP27f2brT9pH9mOx+E+oXMOmz39299a31xAbo2k4d&#10;XEmwNGxbaCBzxnvX3OV1/a04VWrXPzvMcLyVZ0o6pM/mT8PfHa/8cfBvxV4UvrYQeLfC/g/VNE8L&#10;6dZefcPqcGsy20eoXqS3LNNPcWdpA0cpyWaM7lBAYD8zv+Ef+Mn/AD56/wD+C+7/APjdf0c+C/8A&#10;gkt8DfCN7Y6v4j8S+MtXvtJKyW91bXq6asdyjb/Ng+zx+fHhiSMzMfU19C/8Md/DL/oZPiZ/4Vup&#10;f/F16c1FvV2PN9lPqf/Q/pTXy54QpcAAd+KLGKOQ4jcMUyAOD7+taFuvyAsvbuf8a1o0jYhlC57i&#10;vp4vQAjtm2gSqCP71X4YlVdihSPTcaVHJARiBj7wP9KuxFQcgg/WmBatkaSMAqoz8uM5/TFSvZ+V&#10;l4sdMkE4zSxhh8y8+uO/61Zb5kxLtHHXNBlzsLGMunL7c9h1rajtGwTywxjmsFWa3AlIGMbgwGfa&#10;mrr96y+TDbtu3YUvwuPX1q4tdQ33OoSEoM7T9M8VM0GQQyA47Z/WsCC71h2xd+Qi548vcxx75OKt&#10;tdeQC0sx+bn5jx+Qq+dEo1JEfaEjUH+7jPBr8MP23/jb4t/aP+IV7+yd+z7qd/penWEflfEHxdpk&#10;YkBQtkaXAzYXeRkyuD8o47nH6MftU/FzXPAXwrv5vBcmNSvVi02ymclESa8cRqQ3GCqksSM7VBPa&#10;vzZ8M6R4I+Dfhv7Ha3kUH2sSNvMTT3OoTyn97MsK5lZ3YE8KQBivzPxW4onluW8tB2qVNF5d39x9&#10;VwnlaxGJvNXUdWeffDf4A/Cj4F+EHXwjDc6W2GjtHmga5Ek8y/66Z3STzXP3yT67RgDnyn9pL9hb&#10;4T/tO/AHVLzxLHYW+vwaPM1nq9rEkE5k2sPLuI0CZxJg/MM46V6Br3x71KLX47Sx0TxBqVmsokXy&#10;NNaBUQKSzMZZEJORhdo4OSR0r5U+P/7V3i2+8CeJfB+n6Pq+g2t3b4+33NsF8uR1+75qFgm/Azkg&#10;HODzX8+cF45w561V3lsfoWdZXUm4qOiP4mtYgvfCPi++8H60mJbC8mspGByN0TFD/Kv2n/4I1/Gm&#10;X4T/ALT+kabfGCbw54kk/svVobhd0SSMMwyZGWV1bgED+LvX50ftY/DDVNG8fXPxRltHGk63Msss&#10;keMQ3jIDKrDsGIJU9DXM/AL4kw+B/F9prFnfSRiKRS2wASgryrKfVW9unQg1+4Yl/XcE1T3a/E+R&#10;yuX1XGWrLTr6H+pzc+GNC1XwJcXGiKolgiGoaVcAkvbXlsPMt5EIx0YDBBwynuDXuPwT+LNj+0P8&#10;H7P4lwERXiPLp+pae5Mj2N7atsuLYy4AZGP7yEnB28ehr8Lf+CYv/BRX4SfHn4c2ngjV/ESJqula&#10;Btv01IbJba4V1iKzbcq0BZspIBuXOG4xX3B8DfEWk/Df9sTVPg34XN54d8J/Fuyu7vRtNuNrXOme&#10;KvDDi2vVjZiyNHqESeYj4I6YFc3C+cVqKpVaq5ItqMk+57Oa5HTr+2w9N80opzi+8Vq1621+TP0T&#10;uBJIN0bBTn0z29Kz3hZQXvZA+eFwoTH09TSlYVG1VYZOAW9Pc+tOMaR84GexOSR+ea/aro/JzOER&#10;BwgOB0Z8AmmsjJzuOPQDkn3qaQ4yQQO+M/8A16pyXWTtUEj1JxjFZyjroBHIM/dPbmsa7mEC+aGA&#10;ZTuyR6fl17ValnGDk4PoKxLgv99MjnOPemoDTR/KT+1n+xz+3L+zd+1l8TP22/2SbeDS/D9pBfeI&#10;o9VM9sJo7a8t99+iWUpLPsLSjGw4UZHTNfijp/xm8Z/GrxJffEz4palNqPiO9vv+JheyqPMuCqK0&#10;G5V/uoki5/3QOBX9XP8AwV++Hf7Znjvwx4W0v9km48Q3Nrq7X+j+KtF0aWKKGSKVEMctxI5QiNlL&#10;xMN20jgg5r+PO/8AB3j/AOBXxf1n4beOrH+z/EOjzsL/AE9yp2z22JSm5SVO+MsoIyMNkHoa+Q4h&#10;oOy5T2sDU7n68/BXxBoOnabb6RrOoRWDzNJbRkSOu8DdJE07JETCqSSYDeagZchulQfGnxDoXibw&#10;xcabo15FcXSw6Zc7VuDI9vCokY4EifvWL3ZVsSMVBII4OKX7LfiGW/0vVNLVDKdltcwyBA0hjRXD&#10;nc0ibUCgN8zY74zXrHj3w6+uaNrUgtoYltYmuhcTm1We8kkt1XahV28tI5Ywo3HkEYwzV+a1I8ta&#10;7PotHDQ/PnwZrqeEPiLoUesOVM2qxQoFwQCzj+E4yM571/Stoap9hWB5YwYiqsWKpGA4BA2ZPbp6&#10;V/MH8VLeyZfDt7eyXdqTrcEQnshF5qEqSoYSAjBHBBHWv6TvCYNzolpHdok8ckNpMI3VQYnjhX94&#10;CM8luc9Qe9efxdBSp0ZW7mWDSvJG1oGvWWv28jWSTAW8s1nOJoZIGDRtsYjzANyHGVYZBGOea09U&#10;kaBJJBlwYyreWSOFJxgdOB1/WmR2sdtJLHbs3lNKuRgFUJ2kduSx6n157msvWJ4bS1cSM6siE4G0&#10;FwQOAOf5V8I6dpHqLV2Ryd/LHeJFdQc29xEDGQRycHnjOQe3UfSvwT/4KUeKBrf7QnhfwnFcLBba&#10;PosUl4Y2MePtdyzMXIx/yzVRz2Ar9xbuWeSV7CT940PMCuSsg7Aln3DHOB7V/OT+0zqlj4w/aj8W&#10;+Jry1fUrW1u5LKOxiuooJJ47Ly7MLFLN+7DZRnweCQRX3HAOD5sdz2+Ffmc+cVeWg433PkX4wXms&#10;J8RrrwzIbObRkvmv9G1K0Vk+3xMgjMrhnZvkbcgyqE8naNwA9P8AB8EcVsnHVQf0r5x1XXdZ13x9&#10;d22uWC6Y2mldOgsNwkaOIM86mR1JUyMJQWK8HAxX0p4bO2OPHQAc15/ihWcqsj9G8OqSjRifqp/w&#10;TA+DsHxu/bO8FeE7+2FzYWd62v6kjjMYt9MX7R84PBVnVEweDur9Rf8AgozZ+H/DP7TsE3gO103R&#10;57uNbW/EW6yhk80eeN4gVgcA4bEe5jn5hwR/Pz8Lfil8Q/hL4hj8Z/DPWdR0HU4k8tL7TJjDKYyy&#10;u0bdQyEopZWBU4GRXeftF/t7eKfE/wAONO0XxBqT+IfHWo6vK+oaregB7KC2IkTAj2hppYwfT5Sx&#10;bsD6vg1PAYzCYrLKkbVbOSfzVjn8SfrOEx2HzTmvTVlbqfOnxm+HGgftAfHiS++KGuTahqy61Lo1&#10;vLosSx29nptnuV4/LYyYkWUkkuS+DyK77UP2A/gbovhHVvEqXWvXh0zTbq/KXF0kSuIYWkCkIibc&#10;lfWvz51K4+Kng/x6nxBnmntf7Y8RSXtxfaVKYV8yZ0muEKqxaNZI5VAD/MwGRnrX6sePviBfp8At&#10;atNOcObjS54pZblncL9pQxj7zHBLMozycV/Y3COTYR5dKEqK5oLd+h/OWeZjWq5gqtOWkpbfM+l/&#10;+Cmfi/4gz/s5eGvEfhPwxY3vh7S9JSx1qxkBmurO2mii8uaIsFZPKeMB3XohOQVzX4e/Dh/Ees30&#10;UetW2lafaXUyW8avi6YGMibbtzsLvwFHpn8f1A+MH7TWv/tC/Dyy+Dnwnu7Q3a6ZNqnizR5WFpqQ&#10;sLK2dnghWTiaWZtuxUVt6ZzjNfmJ4Tjt7jxtYaJm1xHcXEEkc8QSVf7P8sNHIjlV3qWwVwPunniv&#10;zfgyg6MqqmuW7P1/NqVCWNpyi+ZpJeRzdl/ZEk/jKC9iu5pVvrq3tpLBGKbZfljEYU7UPmDJByCP&#10;piv7N9B8AWPxr+Fvwr8aeGtVsrmHQ/AH2CaUOSI7m60tLYzLHj975TbgVypyTjkV/FF4N+xGTX44&#10;IbyS7fU2FpNZZw0m4tCVOdqqMEsCDx0I7f0lfs1fCf8AaM+G/wCxP4f+I2m2t5rfh/xPLqUt/pSY&#10;iutOsVufKhubXymALSMs0igcfcbkGuDj6g54alXX2W9D0uH8wp05xUpcuul/Vs+jPD/iLwV8CdHs&#10;Pgf+zYJfGnjvXYBbXOpWpBluERvuooO2G3jfGNx4xknNep2H/BMj4iXdjc/E74/a1G+ry27TQ6Za&#10;EyLbGQHKmZsAvn5SU4684rE/4JR/BbWdR/aL8YfGTxJp9ql8/huHQ4r/AE2zntJL2RbrzTd3as7K&#10;lzJGAJfI2Iz5bGSa/Zb9ovX9E8CeB11TW5ZraLz4vOSVmztjcOVOccFgowfUetfm1HK6bpOtUdzf&#10;ifinGY3M5QU+aU3rLvc/Gf4ufs9+HPip8Kbf9ka41/UIE8LaOup+INa0+SIznUfKdgJVlB3o3EbA&#10;YIBB3DGa/kX8b/s7/FvT9SF5ceHr97TUL24i0y5t2SSK48pyuEaORhgcZBxjpX9UFt4zsfDngb46&#10;/GHRbyS6n/4SvVdGtFuQp2Tvb2NvhW4IET7lwPVvWvxt1v8AtlLrS3tZE8qRm8hBnKyoGz5hyf7w&#10;28dc1+6eEfA8MdhZ153ScktD8j8QM7nRxKoLWyPyon+DHxUt2Knw/qsY/wBm2bnBxw3OR7g1/TH/&#10;AMEmPhRqf7D/AMFYP2jPH9/pmmS/FLXvD+hzx6gAp0XQJLtibyZ2cL5lwxQKrYWIFWfPKj4L1C3u&#10;Yre3tJZCypbt5ru2ArK7L34xnmv0G+G/wX1j9rH9ii8h1LW7q2sPDt1caTaaPaWisL5I2WXM8rkh&#10;kCy7Iwq4XaTknGOrxc4KWWYCFfD1G05JO/Yw8PcwWLxcoVFbS6P1k8f/ALUvxC+P+oTeD/2bdMv/&#10;ABZPGDaDULIf8S+0Vv790dsCA4/icZx3riPDn/BJT4sfEfU7bxR+0d4rh0uG5m33Wk6Fci5vDAvL&#10;R+euEiLZwSu4DnBJxX69/AvwB8Pfhd8L9D8C/CiwsbHRtPsYI7O2to1jhYiMZmk2Ab3bqW7123jD&#10;xIfCnhTVPFLMk0ttZSywDG0PIikooXrtDYr8jw/BtBN1sS3Uk++x+gviCqrU8OlCP3n8qP8AwUZ8&#10;N+FfAV/a674G0lrbwt4M8a2fhm2srJGdVsbWxYXBZwcjMjASSMfmY5bkk1/LFdxeLf2mPjyXdGfW&#10;PGvieO0hhXrHJfTrBDEoHQRIVQAdNtf33fET4aWHhn4Y+H/CPiG2ivrrU5tQ1nVYbobxPJcD5xID&#10;1DNheepyOtfh3+yv/wAE6/C3wS/4LW/CnwzovmX/AIA17T7r4neFluMvPbW1taSTC0nJHzta3LKg&#10;IBJAGeQTXt5NlyVbbc8biWpOVNST0P7SPgX8Irf4M/BTw98LfD9vi08OaFZ6VEIhx/o0KoeO3zA5&#10;9Ks+E3i0/UrnUNQJCD5kUqQzynoqjue/tX8pn/BYn9oL9qX4Z/8ABQLw3of7OnibxT4du9dtIIdO&#10;0vRdReJNVvLh1twJLOYtGoZyqDfEM5LY71/R14K0z4m/Dj9nvwx4V+I2oSax4+bQLW28R6rKySO2&#10;pSRhrkRmJI0AEjFcqoyqj0r7rEYZqManR7Hw1OavZs8R/aN8TS6hZeLvE8JDrFAtqWQ52iBDuXOf&#10;4S3OPetv/gmx4gvNU/Z3uNTnw0lz4q1VxEx2lYllKRo2RwdgGPWvLtRu/CtjpXiPw9d3H9pWemQy&#10;JfIGB3Tqhkniz9SOvTPWvI/2ZP2hPA3hjSJ/DHw3ubSx0XWdPl8V6fc3c+94Aspiu0Ck8NE4Bxz1&#10;9q/JsNWp0MwrVanU/WMRlNXE5dSVDbqfod8ZPjDY+BoLm5t3hsmtkY3VzJzHarjJ27jgytnuPkHv&#10;X84//BTr4hQ6j+zZcXulJbyRT65Za7qsQkkDXdskgaQMUVw28AA+au09cg814j+1N+1h8TP2qfiX&#10;qPwq+F12T4a0+4ELXEasguixwWbJy5YgkD3z3qjc/sU/tFeNfDWiaD4m1hz4YhYRatp1w3l309lH&#10;l/KhZQy7iCQA3PQV8/mk8Ri6nOotqPTyOvLJYTAr2Tl7z6nO33/BVzwPc6TBb+EY7e3jito4xb70&#10;Xy9qABQoIwBjA4FeA+Mv+Cg3iXxJE6WV3aoCT/y3UYH4H+teiftMf8E6vhPa+EL6++Fljc2vm2rS&#10;RxSYOx1TAJyN3JHOa/m9n0Y6Rez6Vq0ZhubeZ4Z4XQ7keMkMOnrXm5Jw/hsa52k009mehxBnuJy9&#10;QfImpdUfpr4y/aa1LU53m1fW4goyQkbhs+3BNfMXiP8AaK1S8mIsP36gnDSAqp/qa+aktUPEKNjP&#10;UjFTyWhiAGPyxX3GE4Tw9Hpc+Ax/GeJrLR2NjX/Eep+KtQ/tHVWBbOFReFUH0FZWVRflA6Ffc57V&#10;XbKKOmajibdKgc4y46fzr6OlGMY8qWx8lVqTqScpvVnt+g6QJtMgmtN7xmVPPQDcELjj3ywU/lXV&#10;6df2mmeHdT0u6O1w4ttgOT533OMnvtz+Nc5ZXV54ecz2zKLaH5SzqCpIXIOD/Eo6HsTXFabqk2tz&#10;SiRVUibzvlzlyTwWyecCuahB1JXfQ6K1VU42sdJK3yAZ46A1E1ywUBeo60x2AJjbpyFqJZCobdj5&#10;a9maPIbH5vLj5MjB7YpFgknnFnbDzZWIVEXqWJxj8zVdpbt03/LGuM57kfWvav2a/Cq+Nvjp4V8N&#10;SL5iXOs25l940be3H0H5VzYiryU5S7HRg6HtKsYd2f2Z/wDBJb4HyfB74B2VjPGBdpZoLqUgAvd3&#10;f+kTbjnnYGVfbFfp/e3bpbOLJF2KTmaU7VJHV2PZc8AdSeleHfs2SQ2vwZsGscZnluJZCvGT5jKM&#10;fQAV6RrH2a4iX+1w7xrgJAchFx3IBGT7np2rLAwaw8X1ev3nvZjNPESt00+48U8W63fXd2y6faXV&#10;4f47qSPyI/pH5mCF9DjmvNo7jxBayiaK1nVecoCJF/Ark17ld3scTeTEnmIDwszbgB6A8nFc5qeu&#10;6uIylo1lapjGI48n8ya8bEL3tWTB22PF/Fniky6c/wBlgj81FPmwyKQ+B1Izj+VfB/jdNQ8b6iml&#10;S2ojzJwyj5yT39K+uvilq2ovYSC91J8Z4WFUTJPOMgZ/WvAfDTxaUZtfuZPNMalYgxJO9shc8djz&#10;Xx+cYpp8qPqckw97No5f+yJ9LtktLgnzFGxmbg5Hr9akvtYGm232SI5crjA4yT0qvBeT6pqZkJL4&#10;JJPqSck/0rG07wXrvxD8bp4e0iF5dkb3V1sPypbxEbmY9uSqj3PFfFSpyq1lCK3P0tVo0qMpzdrI&#10;/a/4NeNPDHwy8YafoGuTK+nWdpDo88Ep3xwlYVQyBegIl3MeM8mvWvj34jSfxN9hsduy1hW2t9h3&#10;LmT5yw7YwRX4S6nonx9ufGa2zTq9xqGoEttLKMzy/NwSeFDcc9K/WWWIW0EUBbzfs1vHao7ZOfLU&#10;ITnrk449q/W+GadWMZwmtFsfjOf1KNWcalN6nG+I7pbCxMUZztwgyfzP4155/bM3+zXReKJWP3s7&#10;RyMf/rrifOX0f/P419DWqWkePCCsj//R/pkiAxgdOnU/41qRRjAU4/DqawLaW5YndtT25J/pWgEM&#10;ijdLJ1H3cD8uM19NDYDakuba1i3TuqL1yxxxVM60m5VtIpZ8nkoOBVCK1sYySwaVs8tMdx/I1qwX&#10;cSnapAPoKoC/BLqkkgI8uKMjG0/e/rWnFEqtvJy5U5Zv6VjPcykAKdhI4b+lSwu0keWLe+emKAN6&#10;OQFR0OT9080+SaFwGfqOfcVi/aIc+XG29z2UjIFWY0nOJMqOePWgzkkaqTFsJ/CehJxn2pfs8TMJ&#10;oxgg5Le3tVVFjPLnJz1xVuOUoCrEEe3pTRmfKf7S/hnW9U1Tw1q2nWkt5p1jdXdzexBA3lzR2z/Z&#10;3K8/IX+UkDjNfnzqHj/4TfD3xf8A8IvqcsCeM9Z059Uu1WBppYbcqW2vIoYQxjBCKWAYDPJr9pda&#10;Mc2i3SMQf9GkGepHyH9a/ID4r6Nc6DrE3i7wfoun3OoX8Kw6hczMUuJY7dSIl4U5UDPU4HTBzx/M&#10;30hK8+fBxSvv+aP1Pw75eWs5nxLp37WXhXxBfWWvjQ9THhO6nS3j8UTyQpFIs7iKF/spbz/LkkOx&#10;SVz3xit+0174ZfE/xfqfwmuNM1izjv7aXTtRj1iykt4pQcwb4WcYZdzZGcHocYrxrw/rn7NvhXx1&#10;o+q6B4Rs7Pxpc6zew2Gh3GLV5ZgA7XP2YlkO3qH8vI9q/SbxpoGrP8Krf4ga4LX+049e0l7x4oPI&#10;lNu0u1TJlnJY8E7WweOBXzfDmR1pYeMrW63t03PdzrNMPCq4QT1Wh/M3q/wGuNe8G6n8KfG0PnW1&#10;v8RToMt4I1HnWsNs0isBzggqoYAEZ+tfN37V/wCwB8B/Bv7LZ+IHw4ubvQfH3hm4CanoV0Gli1mF&#10;3A8y1cZ+cglgvUHI5B4/ou8BeD/h/qP7al/8LPEVrDc6cNV13xHeI/8ADc3wWC3Y9hs2tjHP07/U&#10;vib9mTwR4zhbRrpksLmCbbDqMESSSKV+44DgqSOxINfa5XjsRhqjcPhvqj5zMJ060YKqtbJ3P5L/&#10;APgnP8L/AI4eA/jT4G+KOt+GNRhhk8UWFhrsNzaOrQ2LobhzcxOOY5rZGYb12kDpyK/t1/be8GXO&#10;teI/gj+118GZFutN8P8AiFbKFrDaR9nluQ8cocfN+9jDxksTyMEivWv2Ef2fPhD8C4ru08S/avE9&#10;1qstzNqGr6xslurmW8jELvN8oRtsQ8tAoVUXgDk17J4E+CGp/C34Mf8ACgvFqm90vTdYvZ9Cv42x&#10;vs3u3nsmz2IV0DDt83cV7PEeV4nG4WrGjpzJNW0alFpr7zp4W4oo4LE0a8lrFuLT1UoTTT+aPcvi&#10;LpR0jXxdacqmy1GJb20Lfw7+JUP+5JkcdBiuLLyFBufPQ8cV61451W01n4c6VdyL5dzZ3htcMxJK&#10;Sxljyf8AajA/OvE7i7VMxsyrnpk8mv2nLqkpUIOW9tT8trW55W7llpCg3Yz756Vmy3Ebbhnd/eI9&#10;R9DWVLe/ZyPtLdQSAMnOPaqD3n2tt1rhkI6ngD8MZ/Wu0zJru+aIAwRtISeMcfnn/GqC3F2ELXA5&#10;5+UY4q0YcDcgJ4wAOcVnTRXZlCLDLyCxbaQB+JxmlKcY7sqMG9EfLX7a2q/GDSP2W/Gut/AS6ltP&#10;Fljo76hpUlvbJdyyNasJJY0hkSRWZ4lYL8pOcYGSMfxfn9j7/go7+0h8Uf8AhdHjbwd4k1DVLm4S&#10;7vtV16D7CZ441AO5pgmQIxgegGOgr+9mWw1NtwRdpAzksAR9Pf8ACuf1HwPe+JrObSta+ySWdzGY&#10;J1nZnPlyDa+No64Y4OeK8fMJ0KitKpY7KEJw+yfwTeAviRefC03Om25vFk/faXKsFvBeoscLNGFk&#10;D+arcAAkoCa9jT9r+0sLcW+u3lilxJA1tCk+lyWpcOFRkDRJCpUqi8YxkDvzX5x/ti/Cub9n79oL&#10;4h/C6PS9T8PwaX4j1W10mzv5JDN9gSZvssquwBdHjwySc5BHJ61++n/BuF8PPht8WP2fPiRH8WLH&#10;TdYks/GFj9nk1qOG4eOOWwX5Y3uVcqpZScLwTXx1XKaTvOUtO568MXJNWPyQ+KfjXwn4w8IQafpe&#10;s2a3kWs208YtiZmt1UMu9lwDg7sevSv6MfB2q2UXhHSbhtVUEafbC5+YEOyRIGJDZ5IXOOCCevr+&#10;av8AwXd+C/wv+BPxT8D6x8E4LbSrfxLpV4NU0yw8lLRrjTZUaKTy4VGHIlIZjnIA9K/POXX7v4l/&#10;sSfEf4n+MdW1FPFmkXWjRWRtr+RIWtb+6lSbFuoUHYIkVSOAPrXnZjw9DGRhGM7KL/MuGOlTk3bc&#10;/pG8X/HD4XeH1LXHinR7XyAsrwy3cUU7BB0CM2Ru4GQPpg8j5M+JP/BRr9l/wXb3C2Gu6drt9Blm&#10;t7GZGZIxwzliRtAPHc9OO9fkl/wQW+Fn7O3x7/bwX4afta2r6z4Sv/DuqT3sM13cQ5mt4/NhbzoX&#10;WRcSKv8AGM9DkHB/oi/4K8/sAf8ABIn4Nf8ABPj4jfEn9k7wfpek+OrCCylsNXgu7u5uPKN5F5yb&#10;pZpFCumQwI9+tZ4bw/wqSc5tmU87qppRifi/4o/4K2aTqErSeEvCiyW8cqJvvp2EzOe6rEnzDuPm&#10;/lX5FX/xW8R6p4rvdX1LQrK7hl1Ce4WS3upbeSQvM0m6TeJlJLNkjaMn06V9B/8ABOb9mDSv2x/2&#10;m/DXwA1vX4PDdpq1/HPe6rJE0xjtrQebMsSLyZXQFUzgBuTkV/oz+HP+CTP/AARX03TYbDT/AIWe&#10;CZCiBTLLbzb3cDl2JbhmIye2a+gwOR08Hd4SFm+rJeYRqO2Ju15H+XbbLq+reNNV8RarF5M2pai1&#10;8bfduMSOAETdgZ2oqjNfUPh2JykbAZwBx6V/pE6r/wAEZv8Agjt4zvDqFz8NvDAmKLH5lre3Vs21&#10;RhR+7mXpXN3n/BAv/gk/rQZdE8IXVi/97TfEN/xn/Ze4df0r4firgnF45uUZo+/4c45weDSi4Oy9&#10;P8z+AjwT4M8S/EDxLpvgTwpEZdU1q+h0vTkC5zPcuI0JH91SdzHoACTwK/ST9r7/AII3fAD9m+HT&#10;vibH8ffB/hKa00y3lFv46t/tVxe6tsX7ZdWsVq3mSQTMCY08lyoyNxB4/qVm/wCDcr9iHTdfsfF3&#10;w68Q/EnwvqulX0OpaXqGkazGZbW4gbcjoZ4JPcEE8jIPGa+efir/AMGv3wC+KPiufxxq3xS8c3up&#10;3Bld7jXoLPUGZpG3HJVYGC5PChgAOnFd3h1wzUyf2jq25pdV27HBx7xXRzT2fsZNKPRrr+R/B9+0&#10;F4I/ZrtLoa/4U+INz4i16W1aaWLTdImjsZZvuqiTM6FQ4BbaYwUVgCcjFe3+K9V1LVv2aIrmM21t&#10;FOtjY3BzIjTyO4YCcvIyAALwVUZC4681/Rl8fP8Ag0k+Lckn2z4A/EfwneCNWK2uvWV1prOx6APC&#10;btR9TXxB+1l/wRX/AOChPwK/Z30vwnJ4AuPE32a7jfVL/wAISjV4URI3RpDHCBcbF3AjdCvU9K/e&#10;uGs3UKlanKpo473tqfm31OlKVCcd+bVeR+Az2aaVqJudMSztdXgu7W4sNXs7pra5t5JFBRtu7zVk&#10;jKZTawxnpXNeHoTr3xktZLy8tGkbTL24uprjFxLLNcP+8lnLkZkLMXZjyBzya9O8VaNq3hS5u/AO&#10;uafbWN0uoRyXFvcRta3ALpv2ywSDerps2g5+XPSvDvC8g8VfGjWL+Z7CDFs9oMqska+UnlgncQDk&#10;Lln/ABxXp4hU1KMon3+I5eamt9f61KPw/jmv9duNN0C3uH1OfVRb2bWIIUybthJydnllGxtI6nPt&#10;X+lt8MPhNpvww+BXhf4NTQW4Gh+GNM0d1kij+SeC2RJWYDaPmlDBu5P1r/N8/Zr8eaV8P/2idC+I&#10;upaI+twaD4ltNcu9LtLoWkN3b2sqsYGnKuESVlUD5DxweDX9wvwP/wCCvPwH/abhTUb7wR8R/DVq&#10;qy/2vqd3oj6tounGE5dru9sQ/lRRkA+Y8YCjliADXxXEVRypQUtrni4yNSUY8qP1d+GXgLwn4Fs5&#10;4vCWmw2KXeJbgwgozyLnO5VwQRX53/8ABUdtNv8A9nrV7m+N1Hb2jR3F9c2SLNcx2qTRuSvzcnes&#10;bMhOWUFQQ2K+/PAnxO+H3jjw+2s+B/EeieILd03R3GlX8NyjdwRtkz09Rn1r8qv+Cgi+NfHHw91X&#10;QtMieDTbaz/tLV9Wu2K29jbwP5vmDnbLKWVfLjx1zxxmvj6lOLp8sEcODxE6FeNRp3R+Rnitv+EA&#10;/Y+vLORJIZPFvjvVdbSOfekghlna5YskrM4AKCPDsSMjJJNfBunXHl6rZzuqFhJI4lYHMcbISQcn&#10;aBnkcZrtPHHj34v3Xhubw38a9Re+bTb+caUjLGZYbSZUcCWSMDzJc4DE4IKnNeS+GdRh1rVVdI38&#10;qESqrucfNsPG3PQ1/YvhTlf1HJsPCT96d5P57H5jxlj/AK1j6lTpsc74t8SGfSprSAS4wXcFsZ8z&#10;5tvHIwD0JHNftlpn7RHhj9iT9ia1uLDTbnUNSv7Syv0s4nMwk1PVBGJI2BO9FXOFGOEUZ55r8HbT&#10;yr28uba88yRIo1doYcB7h2CJHEGHILM4yecKGI5Ar3r4t/tG+KvHvia0+EyaFBq0HgOPZqSafG3k&#10;yS2tk0LGQIykKkrOocvgGJSSQePzzxhwdfMIYelTeid5eZ9p4fY2hgY4itVWrXu+p+t/wR/4Kaft&#10;YeMDf+E/hNf6Ff2OjXSW0T3WlwQxW1nIpdPOkwTlc+XjbyV7k11nxR/4KKftMXE39hXPiTwsL+EC&#10;OZbXTVKRN1HC3MRHPbqOuK/E3/gm0db1L9onxO9mZLOW/wBAu7pobSdoVUqqRqXAV1kIxu+4fnO4&#10;L2r7im1nxvo+r3UNxf6RZ2aPJulvHilu5puikSG1twvPZgWPqK9TKMiwNXAwbopu2/X1Pmszz7F/&#10;WpyVS1+hqW/7Vf7XHxC+LvhhPiL4ssH0+XX9Ltb2Wys1tIpbMXMfmo73LStGgQk7lKYIJz3r9DfD&#10;f/BT/wDYA+HH7X/gLw/4P/trx14y8J+H9R8H2Wq+Hzbx6OH1d0862juZyvnumCd0XyqARljxX88X&#10;x48f38PhnVptXvLm6e6nllMs+RmI5KEYCjG3A4GPc9a/IzwrqmuQ+KbTVNBaVb6PUorixWIkN54l&#10;BiVMc5LYAx61+VcRwp4TEp4bR/efZZTj51aXs8Vqmz/Tjl8K/s1/tM/tW+Cv2g/ilpj6TqPwve8l&#10;0K81R4Vtbm7vEj8svJnlIGy0ROFMp68YPiX/AAVF/wCCk/wp/Yx+GOoePImTUdXvZ20bw1omnyj7&#10;XJcurbrkMQUjt0xgu3RvuZxtq78D/Clx4t+DcnjP9qvQJpbvTINMGqeANJY3N1bPd+WLeS9Fl9ok&#10;kk83JWJSNv3nUYGPxS/4Lj+I/Dvxp8AQ/C7wR4O1nwZpOhaHqHxLj1zV1gDavJpJ8g291BEv2q3V&#10;MOkL3JX945Ur1ZeSni8Q6MVW01t95OaUMJCs1hdbHwx+xZ/wUL1HxPpvi7RPjr4m/sS61XXZfE9i&#10;Iztgm+0BVe08xySUjCKAh+aRd2TuOa+W/wBp79vXXdS8Q2XhLwdp8dn4b0yedESyaK1uds/+vigk&#10;VWkS2kJLFH4JOT0r82NNuEkKbPukAgfhx+VcrrzBX85SGYsdxzyRXnZrw5SjXdZdT1MLxniVhPq0&#10;dPM/pN/YU/4KJ/8ABOLwPDbW3xesfGPh69jcH7S9imo28bHBLGS23yEk8k7R2r9PP2pP+Cn37Bs/&#10;wauH+Afju31zXby2ktdO0+2tJo57eeZCizT7seWkYJYs3cAdeK/h109AArDp1BHp/wDWr9Wf+CZ/&#10;7F3hH9tvxN428C+KNYutDl0jwwuo6bqFuvmLFP56qWlQ8SRhc5XIJHQg105ZlsVF06elzwMRmUnJ&#10;VKmp/Qj4u+N/wGj8BWduPFGkXESadb24ka6QvI6xjJYZJ3Mcnmv5X/2x5fD2p/Ei/wDHHg+OOC3f&#10;URYSSQ58uX93uWX9OD3BHtXY658B/jt4Fv8AWdJ8Lo3ifTNJ1BrBZ7eF33bpRDG0cTkSLvYrtUE8&#10;np1NfJnjzx140uor3wh4qsYbQvcRSSw3Fu8U8MsBIym/DIW6MDnjivhcDwxWwuKdeL01P0PNeLsP&#10;jMF7CS1sclHd37jNvPA/sWx+hqtcQzsxe5dt3Xhsjn06VHY3Sqm1o+2c4GP1qcsi/Nl1z2ZTj+tf&#10;cSV1oz8yZQMaxjAJPvVmyhaWQRjOSQAPU1XmdemRz1wK3/CFubrVYoFBZmcbAO7dv1rkqSUE2Ol8&#10;SPTdajeLwVNJGDu3fO+e/A/l14rgvDMMkET3Ksfn4AHoO9e+ay0XhSNtImiS5Ai2uJPuksMNxnHW&#10;vH4USFBHEoUAcAdMelZZVLmi5HdmsIw5bbj/AO0HjbBjLZ6DPNKt9I0mVh+ZuuckVVklj3c9Sear&#10;vNNI3k2/fqa9Zy6Hj20uak17E5VJ+o6gdM1+gH/BODQI/Ef7RcGqbBs0bTLrUHkx0bZ5aE/QtX55&#10;xW8cCgPy3Uk81+uH/BMnRotM0fx38S5gRst7fRrdsYyXzNJg89Aq8e9eLn9f2eEn56fefQ8KYf2m&#10;Oprtqf1+fAZpf+FY6PNaKPLNmCcfKvLMfxya9A19rS6zG00sYVcsE27vwyMD8a5T9nu0hm+Enh27&#10;GQraNbHYxIUApnj65zyOtaPiaJhdyeSqBWOGiJxkepXBz+Br3KdJKhCNui/I5sVO9edu7PJtdtp1&#10;BvIbgwwZ2oZn3lz69MVysms2ypsaSF/Vxgf5/Ku8u7VIYvOjj8205V4+N8fuOeR7da8+1/w9ZSxj&#10;UNKxLHJ8xaNSx+h6/lmvnsXRtqkaRnc8K+JWp6EYA8kZkO/kg5Arw7xZ4khGhx2NpwjHzWZVCHjh&#10;Rj2qx8TNTvtM1Eqtrc43kMxUgbe5xzXkHiXVnuY0eQbMr9zrgdq/Oc6naT0P0Thigpat7HY+D70J&#10;DLczEYGfmzx+Br7F/ZCtLee58ReLZxnzpYdLhYjPyRgyvg+5K9PSvgiwuZn0+HS9OR57u6mSCC3i&#10;BZ5JJCFVVUZJJJwMd6/Sf4QaVH4H8C2ujRKTLHmW6ZRgvPId0jHoODwPYV1cJZc6mI9q9o/myeNc&#10;0jTwvsk9Zfkj6Hu9LsItWj1WGJfNjYtGdvcgjP1HarM87JCA33vT1rP07UhqFurKxOMFgCD096ln&#10;VpQbpSM5yUI6fQ4wfev1anGyPy2i9mebeML6O2illdsLGFAPGCevevLP+Eotf+eg/IVe+LQ1jUQ9&#10;nZxM0YGflHJ4HpXzv/wjmvf8+k//AHwf8a8XFV5qb5UerToXV7n/0v6UIXIUbc47ZrTjZMA/nXPJ&#10;IwT5OT71pwSuyZzn6dK+mhsBtRsCuGGf5YpFFtE+c4J52jlvw6mqCQoRskZyM5+8eT/9arsX2eIn&#10;yVAOOvf8T1qgLEAlkbdhkGeN5BY/gelanlROv7zLY4+bp/Ss83SxrvY4HTJPFVhrNsSUiEkp5HyL&#10;x+ZxQJ3N6ERRnbHhfXAq9HJhAc5/CuTsryS/3yx7oVxgb1G/I9Qav3Nk1zB5KzTxtkHzEbBI7jBB&#10;GD0oMprU3DfQxt80ik+i5JOfpUMmrRwsB5c5JOOFGB79c4/CoY1MaBIyR1wQKsCJnwzkjjHP86aE&#10;jK13UJ49Du3ijwDbvk5zwR1wAc/SvwX1vwv+0/P4o8SReHzd2DPaXEceq67dpdWD38kreVNY2qlp&#10;Io0iK4BKgsPu96/c3x3cfYvCly65JfbGuevJFfGF75Iu5EmPDFd2ewHTn8a/l7x1x6/tDDUorVR/&#10;Nn614fvkoVZ2+Jn863gT9lX9tj/hZ9n4s+IE2k6uY7hbnWL7SVhe+1Fs+XHb3S3MRZVcKAHgZVRe&#10;dpNfuV8TPgx4wufhUvjDXpLJ7fw+qajqFpJfT3A02OMrLIIXITzjGFKq0qYCfdPpzfxD8PeIbTw6&#10;bP4a6lFp+v6pqTwQtJAZ8RW4+0SSEblCosSvukY4X6kV33iTxdqPiD9kv4jv8RrVLe113w/PpYmt&#10;p1kt5y0flxSxzQswYyZwVDBhnBAq+DcXifq0FXgrS7bJW0L4nr+1qRqwteOmx+Pf7M/irV/if8bv&#10;FPx0jZvI1zVGh0ycEgNBasfnXPG0uWwRkGv1yXxbceHJf7Z12T7Pax2H9pXUsn3ViBKqR6szcKo5&#10;JOBXwz+z34FktrDSdH0SFY5Llo7O1jQALHEB+8brwqqCTk13nj74jQfGL4pQeD/CswufDHh2ZFu7&#10;qLIj1C9gJACn+KGHomeCxLc/LW9eXKpVn328zDkdScYJaJfcj9b/AIH+LtT8V+GLTVryEWk0twTG&#10;g+8IiNyh/RsHkDoa+lPjD478UeHvCukaxpNs+pNax3LXForiISRxwySIhduF3SBVUkYBI+lfK3wk&#10;j/sd9H8OXBAup7Q38kJxuVXOAcDt2Fcp8Wv2o/gR/wANIeGPgzcahJqGp6dbalJqdjp8Ms7W5ZoB&#10;HG2xCNzNGepA96+9o4r2WCi6srN2PkMLlrrY3lpRuldn39qt1cat8PNIaS3kimv3XUWs8lmhLIx2&#10;5wOhfuBXHyeEbu6bzL1lTg8KcuB9QeK8F+KvxJPjnUoLZNX8S+F7OABbefRbu2tmjUfxTrc2V0jn&#10;AA2k7cLyMmjRfEOvz6PbR6b4jvPENvFDtbV9qQpcFWI3lYMxqSB8wXaMgkADAH0VHi6hGKpU5XaC&#10;fDlaC9pKOh9BQ6TotkR56ySSA8kscY+gwf1ptxqWlWQM0iQxKBk7wW/Vs14c+pazI/N1MSRjG+vF&#10;/j/4a+K/jT4W6n4e+GupJZ6xJCfsUtzK0abupUOp+ViOAzAjk9OCIq59UluYxy6Kser/ABC/at+F&#10;PgKVrDV9WtlutpK20RUyY6YCr82fTivmDUP28dK1C6eLQdNkdFBKSXThS/vt6jjtnNfh1c/AL9qT&#10;4dX8z/EHwvr0ssm4yX0IOoo5zkv5sLSAg9ecH2rNi8e3elXUdpqfm2ckcnlMt1G9tISPUSgH8/yr&#10;ya+NqS6nesJCJ+yd3+2H40v5XRJbO1UHIURgkY44Jzn8a5TUP2ifGGqkK2rSopJOI9seQM4+6Olf&#10;lzafEOMB5nuAQFBjGf7vcn/CtW2+JckEzRySKVdupH8JxyOeM9q5vbPqW6SPy4/4Lg6tqGs/G3w1&#10;48uLuW5k1Lwu2mus2WKfY5CMB+S24NnpxX0F/wAEIoRpfwV8d+J45iWufE1pZSwHhI1tbMOsgzzl&#10;/OIOT0UY5r47/wCCv2pi/XwJqag5RtUtzLkgFcRso7Zr1D/gjn4y/sn4H+MbWMgFvFUEgJ3EH/QY&#10;uOARzj0r3vaf7KeXCDdax6n/AMFubm91Oy+Hvi8AyWdpd6np11LHg7JLlI3iUrnJ3CJvmAwMcnpX&#10;5ofBI6lcfsj/ABdnt5vLsrfQtPidWwWkkW7DAHIJ+6wIJ9OK+8/+CrHjJdb+A2nx3apG0HiWznRG&#10;BBw4ZT1xj72ODX50fBjxJKf2ZPiZ4ZQ26Ld6PBNIHYRsSk3BUHlzx26Ct8JL903/AFuOvQaqqNu/&#10;5Hon/BGIXep/tjDTNPuGtPtHh7UPMZOWdECSMnpj5eTX9XP7XPhTRdf/AGLviR4c1WCO5Sbwdqcq&#10;RP1MsEBkiYY5yrrkH2r+O/8A4Jc+J/FXw4/aptte8Nx6fNeyaRf20C35cQHfDlslCDkqCBz1xX9T&#10;erfEv46fFb4b674FPgTULyTU9EvbJZtIiup0YzQsuABAy854G+vTpVIpXOeeDnY/n9/4IbeIrDR/&#10;29fB19qS+dvs9QCvLyqSfY5GDjOPmG3r71/d/oHxasikpsJBGFkIY46sRyevTAr+K/8A4JVf8E2v&#10;+ChHhj9qLwn4/wBV+D/j2x0yx+0m6vdQ0x7RED20kY/15Q4LMBxX9hPhj9jT9sXVYFhs/CUlirSF&#10;nbUru1tgvGASokY8k5IA+tdVOulocU6Xme0WnxlW2l84yLIoDE5OM46Ypw+PDR3InVpfnXhlB4A6&#10;Y/GtHwP/AME0Pj/qcSt4113Q9IUt80UBku5PcjaFQ/8AfQr6/wDh9/wTY+EvhvZceNNV1fXpVO5o&#10;lcWNsx7jZGWkwf8AroK0qYtbIzVJLc+ZvDX7SHxObVoNK8CXl5c3Dlfs+nwg3UkhJGT5eGOCMk+l&#10;fsD8P7jxfdeDrG48ewwwas8W68hgOVVicgem7bjdjgHgZxWd4E+FHw2+GVsbLwBoenaWrACR7WFR&#10;K4/25TmRv+BMa9BmmgtomkuHVFHVnIUD8TwK4KtVS2G/IU8jtnPGelVZFvSjiMoH/gIHH41gaj43&#10;8KaYpe6voOBnEZ35x6bQRXmuu/HTw9aIV0gCZiD80p2BT/u9TWEqsY/EUoNnxd+37+wb+yr+174N&#10;bR/2kfCem6jes3mad4i0pf7P16ynQYSa3v7fZIfLH8EheMjgrX+Z9+2x+x3F+yX+15rvwTj1KPWL&#10;C01C3ns9ehTyzd2V2wZGlAwBKq5WTb8pZSRwcV/pp/Gn4tXs2l3F3ey/IYzweEQfzb6V/Fj/AMFO&#10;/h3pnxI+LEfjeCMeddaa0KsPvbbaQgN65O8mvmM8zqcmqNKW9/yPu+EcK5StPX1Pxq+Lf7O2qeGL&#10;Hw3420y1itoPE1tdQOtuuzy7uwnMEqFV9V2OD33H0r+3j/g2d1/RfiF+wV4+/ZU8YQiSXSfEF2by&#10;2mAKTWGvWwTPqcPFIGye4r+e3WNKs/F/wc8GC5jDy2097fyk4/1s8cTytz6yE1+5f/BtBpmpD4l/&#10;GXVQm2yjtNItGI6GZpJmH47QcV+e+HGe4jG0KcsQ7tTnH5JtL8D7Hj/LaVGlKVPT4X83Y/mM/bt/&#10;Zi1j9lX9ou+8I6O0trc6V4gk0hpLVmidlD4jYNGQw8yIq2PU18X/ABRf4tPa3WmP4g8TvZKrPc2k&#10;2qXvkkJ2eNpSpHtiv6f/APgux+znc3f7dfiLxPoMh8jUNM0rXJISqtIdQMLQ5VyflQCJD0yCPevx&#10;q0T4ca18RfAUuqarYR2lwDNYXcrTvKzTo7RykBycYI7cV9pTpyhK0ZbNjw1GniaEJtayS/I/PfTv&#10;iJotr8PNM0FL1ftMNmi3DTLOZWdgXbe+0gncTk7ia6zwH430ZdSWP+07YoLVzJE++EKdvLFpVVTz&#10;wACc+1fNHiLR5NC1290XJ/0S5ktwxPJ2scfpiquj+fBr1kMEiSZYCB1IlOwdfciv1nBeN+YYf2cF&#10;Ti1CytqtvmfnmL8NMJVlOSnJN+h79oviIeHvGEl3aavbqzXEcy3FuFuNojyfkViFdsKMZICkg9QR&#10;Xa6B8W5PCmtS+KNObTfC9u1lqFp9itbZ7tp47plkP2uZ0ka4eV1Qlj/q1XChckHxrW/D1/4TvE1L&#10;UISsYmAZmXqh4Y9ew5r7x8LfBRPGfwsvLq2WOeK404mDzQG2lwdrhj79KyqeL+KnUVR0I387hS8O&#10;qSpyp+1ffp/kfYv7DfgXRbO0l+J/hhbe9fxb4TEkk0AWF4Jo5RI/lHAGSyspDYHvXF/Fn4w/DLwU&#10;bzTbrTdbGvRh2hXWrRpoBKck7ZEugNrdAQeMk9hXhH/BL74u614Xv/EnwM1v57jQoLm60yPuYWkx&#10;Mg9QGw4Hua9E+PNxFr2l3uuX0JA3sse9eQc18bhfE3NcC5YelUTi23qr2v5np1uBMBi4qvONpJdN&#10;Nj8y/wBpf4reDdf0250fSLW6hubuTfGWBWNU4Dbsu3vj04FfEXh69uND1u01e0x5trdwXUQboXhk&#10;V1Bz7iu9+KV6LnxhOoI2oAq59+f6153GFWYPjiitnVbESVarK7Z5scqpUbwprQ/vZ1X9un4Vftg/&#10;sYaR8R/g9488L6R8QLb+z7nxR4QvHiErXy4CK1pcmMyvHMA8c8e9AFG7KgCv5jP2kvi3488OeItb&#10;8a/ETUta13QEe48KzaFM0UcV/f3DymWOa5h5ltVdS5Knax5xubNfnt8O7mAXzWdz9yQEZJwRu44I&#10;5B964Lx74x8fa1PF4O8TanPeWen3RFvDKqKNyZVWJRVLEDONxOO1fS0Y1MY6dVO1uh8ziqMMPKVP&#10;f/gnO6dLPbpHEzZIXGRx27f5zVG6ZFYnAJySeOam3+RIobJ6YPoM1Su2VmO0dzkV7uLbaSPGiX9K&#10;lDRSRd0PH+63Q1/S7/wb96NbJYfGXxpermO10KztmcDOAPMm28c4bb2r+YnTrkxXqNJ0OUY+vp0x&#10;X9DP/BA3x0P+Fh/E/wCEN1KYodf8G/alJ+YB7SUI+AeM7HbrWWAqcsrLewq2sU2fsJ8C/hY1h8HN&#10;W1+1tANW1m7m1XT96Ar59o4ntsnr80iAdOhr83ru2+Ef7Q/jDSfDE+iWUslz4ojF8b+NJLiZL55g&#10;yu+3I2OVXAIwQc8iv2m17VbPwn4atk0oq8enBGj2hF4jxj7uAM+1fjZbeHtN+Gv7ezWtqnl6drOt&#10;ad4m00E5XY95DJOikcDIk3EeoJr061L91TS6aHJSl78rs7DWP+CSP7NOsadLqEdvf6bMybwNNvZF&#10;QNjskm4fpXxn4u/4JZ/DWw89tH8Wa/FMhCpBLBbzKD/tNsBAFf0+avZ2trpc8TJgoCoUYQDGRyx5&#10;+tfkh+0JfWmmwT6VpTYluJme7mR95ihA6DOfmbPvivOxMIwpy0O2jeUldn4HeJP2N9N0AXV1Nrt1&#10;NEkjxwuIY180pwT/ALo6ZrK8D/CvRfC/iiy8tWubhmMgllPEfluMkDgcjPrX2j8WJozprbCUDBIr&#10;ePHSJcZY9PvV8zeMfGp+H7WniVLSO8Lb7RY2cxDDDOdwVuRjpivhsXWqTpzh3PbpUoqornivxTVX&#10;1re2VEkrbmz2HQV5Vd/uUeQnaoXhc5PHetTxd47PjDV1a0tzAkKF3RmDZkc+uBwAK4rV7hobMmY4&#10;dvlUA9F9K9rJqMqeGjGa1PPzGSlUepXTWrZvldG68YratLpZY8wRSrzycZrzi3cechb7pYZx7GvQ&#10;bTVYzbtPHEBHH8ql2xk/QV3xnfU4WklexNLcCPHmBhu6ZHv1r95v2a/A958J/wBje11PxAGtLnWr&#10;qfXpLV/lkkgbaIs5+6WjTI9N1fid8LV8L33xS8OweOkeTSptUt1vkjHLxlx8nP8ACxAVj1Ck1+p3&#10;xm+OXjDxf4X8QtdRC1tNPuotHs7eM7FRHVhjHP3doxjivBz685QoLq0foHBeHhThWxcpaxWh/S38&#10;B/8Agpb/AME8vFvwv0a0t/HNl4NvrawhspdF8ULJbzQPCgjwJSDHIpIyCrscHoOlfUOgePvg54+s&#10;Be+CfH/gjW0lOALXVreUBm6L5Zbfn8K/zwr/AFXbBIGwflwFP17iuVNzYb82oALN5m/AU7j2AHoa&#10;+wraJRXRHwP1tuTbR/o8XXhfXbVjeaXb295GzfvXsp4yG+oJ4ry/xVPBp2+TT4bqGbP7xBFJtz/v&#10;LlTzX8GHhn4wfFzwssVt4X8X+KNOjhYSRRWWq3cMaMO4jWUID+FfSWjf8FFP2z/DV2l4njzUdQZC&#10;ONXgt7vdtHAZ3jEhH/AxXlYrD1HG8TopY2F9Uf0u/GP4k6pDdw6daG1MsrlXEqZZF/iOCOOOlfGP&#10;iHVzeaiS5+UNkAdB/wDrr5+/Zd+PP7T37ROh6n8RPi++nyaFGv2TSp7a2NtJcXKt++dcyvmOMDbn&#10;ABYnHQ12D+Ift1zdC6/dwwpI/mJwcRgk/wAq/Hs3jOpifZylsfsmQ01Twiq2tdH6hf8ABPvwFd+J&#10;fitb/FC9soriz0CG8vbJbneIftFrA7+aWxtyhIChiPn5HIFfRtjIDaeZgKZCXK+5PSvwl/Yj/av/&#10;AGpPjv8AGjTNOu7yz0rwTpGh3Ek2l6HEsMbByI4Umd3eUsxJZtpVWIziv2y0vUNzCFDuOQNqnnLH&#10;AAGa/V8nyr6th4xtqfjme5o8ViJTT02R7p4D0qTVbOWCS5W3aViI26gomNwx2JJpniqw17wrcNHp&#10;Nnf6rdyJujS15t1TuXf+97EcCs3d42WOHwx8O7a3SS2GLzVb4HYsjHLiNcgtgnHTn8a3/wDhE722&#10;s8eKfFOuXlwSWk8q5WzhBP8ACkaKSFHuxNezODsTh1ZK58565e/tBCc3en+GrGNcZ2Xt1EmfTgMT&#10;+grnf7e/aU/6Fzw9/wCBy/419FXunaFp8ZMd7d3BxyjXLTfmxGf1rC83Sv7lx/32f8K8erhLvWTP&#10;QjX7I//T/oZm8QRWhG+Nnz1EZDH8B3robTUvORX8iZd3ALqB/Ws+3Kg5OBzyQMVoZVjznjkc8cV9&#10;NHYCzc397EoeC2aU5xhXXv0zmnWsWtzyxSztGkYyZIfmLnPQbgccd+OT3qdJkB6dh+dXY7pMjqO1&#10;XZgWIdPtQzOyglurEkj8Ac/0rW8qNotuenG48/4YrHTUEUlXIAAyDmql94jstPXzrhjgEcRjceTj&#10;oKLGc7nR20JiXbK5kOchz1xWnvRfWvNpvFN6R5lvbjYDgs0gBIIyPpWZJrk94Gj1O4SGMkYSJjux&#10;15Yc8+woSuPkbPVbzVbe0H7w5yQBjls+mBWdLqt0/EKrF83Jkyc56YC4rzAeIrC1nLwSiSILwII2&#10;kcvnn5/THb9a0bHUbvUE+0W0bxqSciQhW/Hr/OtOQIwtqO8c/bJNJZpZ967lwh4+bPTGcY/A18pa&#10;tbF9SMb5AkO38T37V9Q+Ko5Lm0jMhICyclfp3rxfXhp1rvlZblJYFM3mxYYqijLMwIOFA5z261/J&#10;fjHhZVs7Wm0Vb8z9T4SrqGD0PGfiN5vhvVfDd/8AZtUmVL0G4bSmdZIkdDGfMWNHZkkDbWH3cH5u&#10;OR5P+3eksuheF/Bvw+1K3Gj3k32rxLoVgeLaW2AMEkiqdse4knZjJYBjniuzuPi14l8aTX2mfBy6&#10;htNB0pftWreKr5me6vEhG+b7MxVRFFGA2Sq5IHHWvyG8RftaReN/ibrvivw+BDo1/fl7dphsaVEA&#10;QTODyDJt3+vIzzUYPNJYHAukpczf4eh6uDyN5hieaScVFf1c9T+I/j7x7ZeGIvAfwjsZmudWtza6&#10;rrCMsZsdPJwbaEsynzp+srL0TCg8mtD4Ex+NfBEVpa3mkWscdvIZJI55TGrAfdyVDE++ADXmjftK&#10;+EdLUPa+UZAc4xnJPX/9dczcftEat4tuDbeHbKaSQcn7OCdw7ev8q8StnWNrtOnC1tj7CHDmHoQf&#10;tPndn6p2Hxf1PQPFl/8AErVdQcXN9DFbeRbnENrbQgBIYAQSqjGSSSSSSete2eE/il8ONZ8Hz+Kv&#10;C9xYW1xPO6Xb+XHBcCdhkF5R8zbiep6mv58df+IXxSvLi80+6WaxWzlNtMt6DGA23eTg4zhT7A+t&#10;fmR4m+JP7TFzouoeKbK/12y0O91hILC/cFNPgMKbnywPls+OUQfOTjHGTXqYSpjI3eIq2v0e9zOj&#10;lWGqK2GjouqWlvM/qO8b/tJeDNU1mHwpq95b3FzNI0Um4v5K7D/fR+G9sGvQPDnxdsPDyeEFu21m&#10;0gluZ7BNW8PssunFBJuS21CNlyvmLkrKApGCN5+7X82XwV8M+JtZ1G38afErVPEOnaAIBNFZHEN1&#10;qcpz+9K/KQkjAgEHb8rEnPA9StfGHizQrfUNP0fVNVhsdQv5L57Ka6kmRd771jG88JHwFXGBiuCW&#10;YewqOo5XkdeIyuPL7K5/XPpvxH8J6yFk0/UbH5huw0g6egzXW2+raZOp8ueB+M5Dg8Dv1r+Svw58&#10;ZPG9iqwJqFzsHGwu3TvivZtN/aR8e2VvFHHd3GH+UfvGGMYx0+nOa9un4jKKtUpnxlXgqX2ZH9TF&#10;k0DgP5qc9QjH9etX5dB8O6quy9s9PuA5+YXMaNn65zmv5yvC/wC1T8Q7fy2+13J6M6pK3Tnj2z61&#10;63ZftXfEK5DRebckqR85mYAA9F4P51q/FLBx0cGcUuC699GfthefBH4HaiWTUvBvhW6MgxI8mmwM&#10;T9SUH865ub9mD9nC6OyXwV4aA+6FWyjHHToABX5O6d+1L4/mnMiXFyAUIK+c+PQ9+voa6Nf2tviF&#10;ax+SLq5YoflJmOQMYPPeumj4o4Gejic9Tg7Ep6SP0I8Z/wDBPn9in4lWNvpvj/4X+ENYgtZWlt47&#10;6xWZY3cbWK7jwSAM4ra+Hv7Cf7G/wl0ubRvht8NPCOiW0832ue30+yWFJJdoTewHBbaAPoB6Gvzi&#10;k/bO8eJbmNpr2OQqSskNywGeo+XmvML/APa4+PVxcvNpviXU4oj8wiaTcBkEfmM8fSvWh4iYVr3E&#10;2c8eEcRzatH7NXX7C37KvxXYaL4u+HPg7VbQfvZV1DTop0QKc5+ccEdua+uvgn/wTg/4Jt/DXwqm&#10;n+CvhB8OrJbgtNco2kW853SEsQWmRzznOM4Hbiv5ybr/AIKOfHD4XfCfxBfapfNqLNawRxTXIGYt&#10;soyQBjJcEKeelex2f/BTP9pbWYj9mu7a2tRIyrDbKQMBiBwSduBxgV9FguOcGqalrqeXieFsVKb8&#10;j+mzw58O/wBlf4YOLbwl4b8G6Kw6DT9MtYCFPA5SMcV2U3xZ+E+hM0C3Vpb7egjRVU47jAxX8uN9&#10;+2r8VvFWnOniG/mMmcqy5BHGCuR1BrhD+0P4l3b2my3PABAx7+9aVOPcNujKPCFb7TP6sbj9pH4W&#10;QRNIl80hzgKgyWPtgmuYuP2q/h2jExJckA/OZQIff+PGfrX8sNz8fPGlyBtvrpVz9xGKrj86pP8A&#10;FvxHeSmae4umbGBulYjnNcM/EOknpC50R4Nkt5H9Qms/tg+EbOM/YorUNjIN7diMEfSNJDXl13+3&#10;XoUMJV7rThIc4FqjtjHQEuxz9cD6V/OifG2t6rIv2uZyBjqSf61uaZq2pkgiUkB+3Yda4p+Ikm7R&#10;p2Nv9U4R3Z+3/iD9uCO5QtaX95Ju42RlYwD7eXt4+teQat+1hrWu5gSRlz93zXZsH16mvzj0m+ll&#10;2tJk89WruLIh15BHHUcd88VzVOMcTV0vYayOlB6K59r6b8UfE2szhby4DKx24HGK7HTr2a5YtdSN&#10;wf4m9M180eFLkDT45MgHzAQQecY4Ar0eLXRFbPJvYnG5cnkc10UsxnJKU5HFicIk7RRkftAeJ2h0&#10;QW6OdzOeCe+CBnp1r+ej9qxxc+INOstm+UWV1LtBwdpkHP51+w/xl8Yf2ik0fm5MeMA+o6/pX5i/&#10;EH9n344fGH4teHvFfw20S41fRNP03UtO8Qy201ujQSXJR7bMUsiPJnY2PLVsHrXFHGSq4lcqvY+n&#10;4fpqg1KbsfEfg/Ukufhnal/u2Vvdq2egKuE/ULX9VP8Awbo/By78G/sd678Z9WiaKf4g+Lrq+tSw&#10;xu07TM2tu4J6gyecR7Yr+WX40/BD42fBj4Naxpq+GfEunXmpySW1lHqWmToIlXh5C6xsuxnJdWzy&#10;uK/oL/Zm/wCCin7U/wCzR8FPCfwi1P4VeCtW0Lw14dsdIsj4W16WzuZEt4FUu8dxDKgkc5eTB5Yk&#10;968DBZrS4fpweJi9ZTaW2sm3+TPR44q/W4xp4eSltez6JFz/AILU+FYtC/aY8PeMrjY9vrvhnyhG&#10;OT5unTbSSPQiUV/OBJ4ug0/wX4iisSsfleILxJFU8IZAsh/Vs/jX6xft8/tvR/tj/GvwPpsXhTW/&#10;ClzpfhfWzc22qT29yk8rzW7L9nkt3O/bghtyoeeBX4VX0x0rwv8AEvUrkboYNcimibsrvax7h+Y5&#10;r63hvP8A+0MM8Ty2vJl5Rh50cLSjUWqR+UPji5j1Xxrqd7E6qXuydpJHOFya2PAelNP4w0ZrkqyD&#10;VrIuCwPHnpnriuDacahdvfMOZ5nlXB7EnH6Yrt9JjNvtuosh4mEqMp7oQw/UVjj8S4yb8z0sNRTR&#10;+nn7TnwqsJ/CVxqtuqIIRlQi4HFfWf7LVrpMP7Euka7OqGWTT5oC56lrWV4B17ZTNeB/tH6xcSfA&#10;NfEMLjF7YwzqVyR86LnjFdf+zfq8g/YZ0eJ5ButZdSgbJ9bqWQ/kHr3JWjY4bNVG2fml8OtW8R+F&#10;P21lTwb8s+tPLpzoB95bqFicAg8hlGOOa/R34i6FJrfw+S2a6Lyxq/m+dH5bNJ3yPr/L8K/LHwZ4&#10;0ksP2wNC8R7kKQeJrKIPn7oLiPOfbdX7w/EvT/DkVpfrLEiNPdtOeMgs3Oe+BXm5ompRlbUWCfxw&#10;8z+XL4q+HtR0XxreWWpJtkDAgjoykcMK8+SPZgDk9K+8v2vrDTo/FcF3HGPuCPcBgkHnp9RXxdqE&#10;doIMwbg2QcHA+te3hq7lTiz5vE4a1R2Zd8O7he748ZERIBPWsPxj56a3DqV0qhZpU3OoOCyYByST&#10;zjk10eiRxBY5w4D4IZOckelSeKfIuvDrhCjsk8Ui4PPIKkjH4V+l8IT5qbiujPgOJ4KNZM861G1n&#10;+0sE4UMSCeAR15rOu4yRvXoSTXX6Va+daR3Bb95/FxkkA8ZycnjrXIa/Kts7xhsNuDKPXd+lfUZv&#10;hVGCqdz5mhPmbXY5yZ3BG04I5Hb6V+0n/BEPV5bH9tlLdQQuoeDNZVx0GY4PMH6rX4rRyvLJ3PYZ&#10;Ff1rfs/+Gvh3Y/FH9lD4yfDWyt7a01z9nbxRoOsXEEKRGbW9DnuRc+cUA3SbLhPmbLFcc4FfM4fF&#10;KGJpwfX/ACOudD93KR9w/G3X0bQ7mzvJp5V3sUhHyRZIHoATj/aJr8zvjj4iiNx4V+LNkQ1z4Zv0&#10;iuWiUtm0QlZVz/F+6d8D2GK+qvjN43tTbSQPJESPnPmfMufbB5P1/EV+b3ivxZ/aQudMnlaaKYlt&#10;v8O7oeFwAMdOK9+GMSTicUsO9Gf0+a/qdrqHg6HXLZt0V7ZpeQPGc5jljEinPQjB6g1+KXx5vxca&#10;xc20e9jvwNzDDk8jIAzX3d+y/wCOZfG/7GHhyaWTfcaZYzaDKznLr9ido4w3v5Wz8K/O/wCMKRWV&#10;9dTK+Zpy67m52qP7vpmuLNZXil31OnBx1Pgz4n3kdw62EbeaQ4WaTsWU8Kv+yO59a+Pfj3cbdK0n&#10;So+WMtzckE+gVF/nX094jU3Op7CNqh+/QcgV85fHzRnh1iwZcYWwkk/8ida+KhJcx9BTV5fI+Vbd&#10;hFPIqAdQpPvjNc5rt2Hm8lM/L+NdG04t4XwNzOWOSOcmuAlaSW5OfmOcYr6WatFI8GrrNsnjDH5g&#10;eldPZqz20dnKGA83c2B1FZdjYST3UNrGCzySKox2yf6fSvZvHGjx6W1i8A+X7N5b4HdO/wCOaim+&#10;hNn0POJL0x3/ANrjJxG+5VHGCOmD65H6V9F6h+0JdeObBtE8SadAZ5rxLpbuB2UiTaEJIJ6Ecn3r&#10;5bu5T5uORxnmpdPZ0uYnH3t4OR2wamVOM5xct0zswuPq0YShTej3PRtbfJKsvzE7dwOc1yFm8sWo&#10;BTwcY+X1+ldTqkZG5mznOcEVyrymGYSdNrZP+FerXetzw2tdDt7WWT/WscDqSa7HwR4XvfiH450j&#10;wTp27zNUvo7UuvVIicyvnnGxAzV5+JZTDg4bIBrqvhv4wj8H/ELRfEs881vFY6hHPNLDneIhkOOO&#10;oYHDDuDXNipt0pKL1OnBcvtYKW1z+k7VPEnhLwR4Dt/A3g6OCDT9MtksIY4MKsSqAOcdz1565ya+&#10;a/E3i7T9L8Ka7rARHFppF5csgkVGISE5xu/pX536j8ZdL1aC5ubPU1jiutWaba0pjBjO3qpxnHJG&#10;a8w8ffFyxvNI1Pw3ps9xcvdbIGnD/uhESpcKe+QCtfluXZFV9upST3uftGZcTYaFCcKbW1kfst/w&#10;Sy8I+H7r4aXvjzQdFuYtTmu/7Me7mvIHlmtoQHAjt9wOxWYgkoCx7kCv2J0T4p/Dj4V+MfD1z8Yr&#10;hNMttR1AafZrqK7YZLto2aNHbO1VBGdzYUHaD1r+IA+KPEeg6rDqvhu+vdMuoIUhFxp91LBJgfN9&#10;+Nlbv0zivrGXx/8AEDxB8GI5fH2uavrc1y8sll/a1y9z5EcwCbYzISQGVQx9civ1alWvo+h+Iqmn&#10;7x/eHdWmoXFireGWS6s3QYZGHmBDyDnuCDndXnusWcauIpEJIGMSEt/Pmv5P/wBnX/goj+0l+y54&#10;X0PQrTVH13SLdABomuM0yC33H93DPnzYQoztAYgdMY4r9ovhf/wWL/Z08bRRWnxb07WPAT51wYoL&#10;3Mh2l2g/tWzPA582ACZfoYj9TW9SaeqR6FOomfeer6fb21sXlijChcllXB/Q1xvmaV/cb9f8a4m6&#10;/ao/Zc+JFuYfAfjPw7eSEAfZ4b9LecE9mhuPLkB9ioNYv/Cc/Dv/AKDVh/4MLb/4qvDr4rllax3w&#10;Ssf/1P6AE1yAMEIb3LDA/CrDa8ygbQFB4BYgZ+gNeZ6d4gF4WBinjwM/OCMj/ZwOatyWUWoXEd1d&#10;REmMHymY5I9wORn3NfWRjoDR20vi6xSR7ea6hjdUDMhYAgN0PPrWdP490i2j81LkSk5GFOAce4rm&#10;v+EW0i7YtfxiRsbWcsdxHUdMVr6X4d8O2jlEgiDBs5I78DvVOL7mnulVviHBcfILeQnOAwYsPyAN&#10;VZ/Ees337izilBPH7qFgP++nIx+Rr0mKKGMhY4gMD+EcVe3qoDbcc7eMUKJlKaPN9N0DxFO+6QtE&#10;jn5wWJIA9hgCuntPB1pDITqNxJKp/wCWSnaPxI5NdaHZBnBXvT1ljk/1y7SOcg807GbmT6ZYadYL&#10;tsI1UH8D7cGtnY+OMDuMc1gJPuk2rgHPyluv860orx8CCZgG+lNE3ZJfhpbOSGRS/wApwCByQOMe&#10;9fl98UNb+JniPXrvwvZNdW1nfD7DPAiFXmTdnYXweCcZAPIr9O5ZI2AlckY557YqvJdQwf6REiMy&#10;HeN65Gfzr8y8ReDYZhTWKdX2bpJt26o+l4ezh4eXs/Z83N5n4wft+6H8ZdH/AGePDvwL/Zg0Gc3O&#10;to6eL9XtDFG1pp6rhoFmkKlTctkNtwwRSO4z+JKfswfHy0aK31qO2s0KqRCkxkITsMIv6dq/r0+I&#10;FhJrwe6njj8y4JZwiYHyqQCffH1PvXzpe/Cmwi8SxXksCMkabm3KMEbMbfxr+W45lVr4mOHpfDsf&#10;r2CzKWFoSfXqfkL8FP2CPDU/iWODx/rk9wkA0+W7htItuftuCUDMckqGHPHNfrVZfse/CD4YQ6lP&#10;ojahH5l5ZvPbwwxEC2DbVUFix2SPDtk5zl8jGTXm/hjw1cQ+LdYniXYhlt4R6hYVGOf9k9PpX6PX&#10;1rbzePrazuQrW+s6Jc2zA9GlRxMD9QzJiv1jhOnSqe1hJaxPieI8wrylTm5Oz6H4p/Hb9iPx7418&#10;IeNPiBeXxs5rS9ngtw5HmG5njVbdmVV2hWjKAHsO1eGS/D3w54l+EHwyTwj4UTW/ssOm6/a2NtBL&#10;cXFpceXsuLgRx5HysjD5wQTz1Ar+hnxP4Vl8U/B/xHo1sB9ru9DkffjhrvTMeXIR/eZFH5V8Jfso&#10;6hf2H7Nnirwj4a1G/wBJk0HxKYheaQnmXqaY19HO0cfONphfDYG7buA64r16mUUY43Dq+lRSjr33&#10;/Rn0fCHGVfDYHFyUOdxcWl87H4A/EDUPEcvjjUrLxRczXNxY3Uumr55OY0tHMSRovAVUC4CgAe3J&#10;rgp0GfL64OCK+3P2+Ph/a+Av2jL6XTlVrXVrW31WJiNokZWe0ncDtvnt3J9zXxhBAJElYA5HIz1r&#10;8Px+ElQqSpye2lz7ulVjU99K1x0UG0AgcdwP512WkYuVCyNwcFB34z/jXNx70i44Gcf/AF663R4W&#10;3omQP7z47+n414OIneLOyx6/4dsofMimA37sZQDnAyevtXrlspDFBnezBhgDp0zx7V5h4W3SHagZ&#10;WfICKcfL+X417Lp9lGIo3jzvwu5l4x718viZ+8LobGj2sLujFsgjPIwPc1oXVrBIpzj5Tg1HYwSQ&#10;vzn5VKsAcAYPPTFWJ2SRG24xkYPcUYe6dzkqHI3dnI5LxkBQh3Ak84rESM+Qm3AZScg9cV1NxjYw&#10;PoTXPWsX7zMn8IIVfT1r7TLHozlrbXPn39qHMHwB8RNHnKW8b4Hqkqn+lfTHga3U6DBMwyWTfj3P&#10;P9a8C/acsPN+AfieELgjTXlJ+hzx+VfQHwynju/BljcI2We0gbPs0at/WvsMNJexj6v8jyar95/I&#10;69CxBXpk4OKsLDH5gPJyORU6Q5Qnk8g8VcW3GQSMcc5omZtasgWIFRjnnitKO3ZjtOcAg8e1RLEQ&#10;AF4G7pWjEjknB/Csm7Ezeh0VlBjbjk9T3611uneZCQOnJzXM6eygBOcgcZ711Vqykhj6VVOXU46q&#10;uehaXIu1ATyev5V29rfuluijkD09zXmeluMh2PQV0UVyoUDnABODXdRrpM4alO7PcNH1YW1oPmwT&#10;jAHar+q+J1g04hGO8qVP5da8ah1Zl+bPQAgZ69qoatq8ksDBT0GME47cV3VMelCyOZYS7uzzrxnq&#10;8k5bknnByeuTivpj9lS/g0631hJZXiDyWpGznOFfnPavkbxPcGNdzj7ylT7Emtr4VfE2x8KPdW18&#10;+2Sd4yr9cbM+v1r0OG8XyYhTkwzDDuVFxifrfaeIJvnjguZjGR+8Rvuj2OM5/GqWreEfAXipPJ8R&#10;6RpGqNKNrmezhaTHbE21ZFB9mFfNHhb4wWN+VHmpOuPm3YT/AAzXvemePdPdYRaIvPzHb93OOhPf&#10;Hoa/V6csPXjy1LNeep8ZVpVIM8s1n9iL9nbW/F+nePtV0C8S70q1urLT1j1Cf7PBFebfNIiJbn5Q&#10;Rl8D0r84/wBoP/gjZpfi/wCGWveEPgf4sit7zW9Un1SWPxKrCPdIMLEs9ujMFUAKNyevNfsJF45s&#10;mcrdLMy7SpBbGXJ4YY9ORj3raPxA027jmks4IoRG4Krxj8mxk+9dFLDYSEOSEFFeS/yNaOYYql8M&#10;v1/M/wA+39oP/glL/wAFD/2aXlvvFPw7ute0a1ZlXW/Bkg1aAxr91njjUTx/KM8x4A6mvhWz8R31&#10;jJJBqml6jH5LlJ0WIMY2HBVlDbgw7ggGv9QvTPHl35SvamJMHGzZ8304IHT1r5f+MP7If7Kn7QGv&#10;W/jH4jeEdJHiC1nW4tvEWnRQWmorKucF3VCkyjssyyL3xnmuXE5Jgq0bSid2G4gxsJL3j+Pf4q+I&#10;9Jv/ANhjwbPbXkF1cyaRHaXFskiNPBIMjy5kUlkkRRyGroPBeqw+Cv8AgnjYeIGd5V1bUtTn04IM&#10;74vM8rcDwdu6NuenFfY//BQP/gi38TdR+Lcfxi+GOvQXXgWdnl8bz6TAya7bWqqWeY6XbqIrj5Rt&#10;aSFycHLoMc/Af7VvjnxJ8Dfh1pnwT2WHiHwrNoMtl4N8QWUX2EohQRxRTRqWQzIu5mPG/IPLbsct&#10;XLrSjGD6W+R7tLPbqUprRdV39D8gJdcmsvEMfiQEiaC9jv1x/eikEg/lX9MHxM1KLU/Bdh4sV1aL&#10;VNJt9QhkQ8NvQHPp3r+aV/B3heCCON5HjmeJPMS3mdGDsOQFyQTnI+7X7teEvGWj+Jv2QPD+jWd0&#10;82teGNAis9csZFZbm0JOLfzAwHDoMq2MHtXPm+VyhTUtycmzmNWbi1Y/JT9oDWX1fXmErbisxUZA&#10;OAAa+aLm3M+EUdDjpXq3j208R6xrBktGgTZI5dbrcpO4jBUjOOK4S4s/EdouZbe0mHXMM4yfwkC/&#10;zp0MBV9mpJaGGIzaiqkozeplWatYyRzrw8TiRT6FTkda+uvEfh3w18SfhvrGueGIhFd/2Mb0WdtB&#10;sjjlsR5sgyWPXZzxzmvje4vrwzfZpbK5STGQiqHyPYqTX2N8ErnxJ8H9Uj074w6XdaNputafNead&#10;dXg3w3NtcRGNkYJnG/kZHIJGQM5r18FmGJwSbgeZiaGFxvKpy/D8z4hsroW1rG0J+Vl3Yx2bJ5/O&#10;uC1i8S7LyHqH28ckCut1EPYafK0edtvEVO4dhwCffHb1r2Lxj8PpfBvwd8HXEcKSz332u/1Vwo3p&#10;NcyYihZvVIkU7e27J61+o8S5tGnKhQktZf5H55gMulNVZp/CrnzHtt1WMxMQuNpI4Iwf1Nf2gfsh&#10;+EtP8Q/8ENfhT8d9NubKw1jwB8W9f8JwXl6GEXl+LI4rIiRkBIUSzRseO30r+MDWtSinnW3tgAEc&#10;8DjOK/p/+DP7TVh8Pf8Ag3q8VfsueJPBHjb+0dd1+fxjoXjC0tVk0WKaO6tvs8zzK++MRvbHJZAM&#10;ivzniPHvDTw81u5JffudmCw7qxml2ML4ofC74x+HJJR4riN0wcnzrVmkiYjrt4HWvk+fStahvWNx&#10;HImCQFZSPfn1r9PfhL8dtR+I3wU8HeMvHdvPBqOs6ElybQFQs/lkxfaQDzslKll+teb+OfCWk6jP&#10;c6qYM/MSGZuU5zkDp/Ov0PD5Spc0oSPDnjdk0ekf8E6vHrv4Q8afCm7YgWckeu2aMf8AlnIBFMB/&#10;wIJXy38VfEWrax45u0zIYIpGjQYwDzzj15rb/Z91uHwT8bXurGYvBfaLqFlPwR1hZgoA4J3AY968&#10;pm8Z3esao04tXRXc7fMQ7vmPfPOa8bN6j5YwW60PQwUE22jwvVUePU5ElOCj5wee+a85+MOnah4g&#10;+IGn6DoEDXV3JoqLBbpjMjuztjngcDvXpPiq8h/ta6XIMm/jjuOtcpp/jX/hGPjTpvim4tzdBdAM&#10;MUa4BLMsiZBPQg8ivjsRPl97sfT5RCM60Yye5+eGvaRq2myPZ3cU0Mi5R45UZWUjqCD0xWBaWHlJ&#10;lI2dsZJwcDA74/rX3Jq11/wl8Muv62F81ncEbcHjoC3Q1U8JaMiWdxqUMahTuhZgOVGCxIx37Zr0&#10;MHxGqk4wcbX0Nsz4VVGMpQndI+QPCfmXHiaF4mDyRESoIwHPXGMD2r174vajFAlro8SsJLYM04kB&#10;Qh27bTzkd67a/sLG1u0k8sqvmKzCM7SwBGfmHOfevuH47/AvwHpng/4dfE66tTNZeJdNvLHUEvWM&#10;7td27AxO7liQwjdRkYyRkivpcRTcIuo+h8bRfNUhRv8AEfjCbgyOWOckZJPP5V6P8PfDr6t4ghaU&#10;qI45BI+7uF56V3Gv/DrSNI8RS2sVr+73Ex788KffNfSfw00Lw3F8K/EkkNpAL6Caxnt7raDKkYnC&#10;SKGOSFIbmvkc1z5RoSdNan2uT8LSnioe1fupnzR420/7HqlxEcYLl0APGG5FeS3x25jI5B5NfR/x&#10;VsIjHHqAAyU2OfpyK+Z72XD++cetfS5bjPrGFp1O6Pls+wH1fGVaa2udbYN59osnP3cE+44qheFd&#10;5X9ad4dkM2nTQZ5STdjthvaqV+5EpXsOPyr0p/Dc8SO5GroG/Qnj8K0bZt80cXqw4/GsEyHt/M1s&#10;aO5l1CEA4O4H+tcyaWtjTWTs2ddPbS3d95Ea/NNKIlzxy52j+Yr7R8SaYlrBp+g2w/c2kEUSIPRM&#10;c/U8Zr5T8O20tzr1ngFz9uhYDGT98H+XvX1N4p1VX12SOM5VVXaw9Rn1/wAaeBnzJs2nBR0OX+IN&#10;ymnJp14M7Yh5Uqrzjof612fh6W1u9NTUVO4AEgnruxzXmnjffdeHSQSxWUtkjrx1/Sovhrdy3Hhi&#10;Qbv9VcMAD7gcCu11LSZlbqWfFYt7mYfao0ky2RvAOPp3Fch9i0v/AJ4x/wDfFaut3DNfsxbJXgd+&#10;KyPtc3+f/wBdcE2rsuLdj//V/bRp7yFlUmKHt03frinXOtvZRgENK38Xljj68/0p1reRSLi4z6Z7&#10;Uv8AY+nTzNM7sSwzlWxj6c19hCwLzMqTXNYuFDW6KBu4MuQo9M5xn8BXVaTc31zCsRKyPj53VNoP&#10;uBkgfzrKXRdNSfzGUMpA+Z2JO4d8DjOO9dLFc2cahEKjAAC5HGPaqbuwOqtbhxCqSMWYD7w61bkk&#10;8pTLGNzHAPHT61zkd4hB2nd6KB0p/wBo3kHpz0HWpMZLU1zdXO0jEa56Ak5qCN9YdwGdFUH1PIx6&#10;YOPzqvIpmiKhmGR27VatkKnA+7tBByf1oJNMLNGoG7II5A5P51ZDyJDmRGUDoRyahU7lPJ9iK19K&#10;0vVNauVstLWSeQ/wp0A9S3QD64pSaSuy4xd9jE82S5iMjsduDweOc1OFd7cSgP5ZYKGPIz7HpX0T&#10;4U+Fug6dKt34rZryQci2iH7oH/abq34YH1qn8bbzTRZaTp+mRLDEhnYIgCID8oGAMdMf/Xr898Rs&#10;2jTybFOD6Jfe0j28jw3Niqd11/Q+aZ1+1avFbDnbbSPUer6TGI5HKgsUA/8A1VNpm2TxTPjHyW4A&#10;H1rpNTh3xjgZK5zX8ocHpTxcU/P8j9IzWXLSZ8mXeiLousXDoDsucFT79819FX16snhvQPEh+/Ya&#10;pDBI3olwhXn23Iv5ivNNUSO4me1mwfnAB/GvVRpH274a6tpUZw62ouYf+uls6yp/6D+tfq3DuFdP&#10;EVXH7R8zm1VSp0+boe0+FrAT2ur2ERUHbOYj1ws8bdvT5q+KP2cP2aP+EZuvEcMOvajF/atjHrAs&#10;7MiFJLiFMMjvyxG1cADGc59q+yfhhfm6uwrcGa0K4zzwvf1rzfwHq39g/Eay8zOz7MA6+q+dJGw/&#10;FcflX3dXLKGLpUliI3UX/W1jw8DmtfBzqqhK3MrM/LD/AILSfDPQtG0j4SeO/B9pFbWk2i6poVyq&#10;ZO6e2uI7oFmOSWP2iQnPXJOa/COxklt71jIcpgqe/fiv6mf+CrPgca1+xm+pbd0/gzxnaXKNjOLW&#10;+D2cmPQFmiY+yiv5d5bdI5zwcA46e1fkPiNgo0Ma1GNk0v8AI/WeBsbKtgved2m7/n+pKHcrg54Y&#10;so4ruNIlKBSowRtPIPOetcTboJcMQOXIJz0rtNDXLB3BAwUBzx6Z/Cvy3EQ0Pt1KyPYPD4LTwFBs&#10;Xnnrwfyr3XTIYWt45s4bhWUc45rxfSIIY5YZOcADCDuTj3r1rTZ1CBmwuZBk56gH0r5jELUJs65X&#10;/fbIyc7SDgdADwfxqrd24RQ6jBJ7d8+tXLW7trhyyggLGDuHPbpSXIVkVFJyRjn0qqK1RyyVjnbj&#10;BBSQ4xwQB0rEjKGMKCM7tpP44ro72MKGIPI4IrklKoT1yZOSPQAmvsMslujCtscN8aLUX/wn8SWr&#10;4JfSLhCGHGQhNdR8ALqa8+FmiXNxy0mk2TFhjHMCdKxvH8H2vwLrEXO19Pn3YPJyhqb9maVT8GvD&#10;y/xLpFmuep4hUV9Th/4Pz/Q8yrHVn0FFGi4VcHvzVlm+foM1TGOD+HWplHPWiTZg92aEYjAUMMkn&#10;NaMIyzZBPNY/mLkKDzWhFMFXPv8AnUGMzdhBDfLgHFbFtcFXCMeMZrmoZmyR7Z61ejn53Ej7ua05&#10;9NDCUW2d7p92odU7DPv2rRbUJUkVs/wFWA75/wD1VwsV8kRQ5x9KsNqiO+SeO1L2hHs/I7u31DDy&#10;Jzhtu36irJuQVwcnHIHtjNefrqIVxsPfPpVw6liJiTjC4BzQqtw9mc54vuovLk+Y4BwPUdetfGHx&#10;L8YXmjeNdM0+xkRY2gnlm3FsjaygYCqc9fUV9ReO9bstP0qS5vpkQbDI5J4UDJ5/Cvz+BvPH3jG7&#10;8SlD9lJW3sUYYPlISTJg9N5PA64x616WBnZ3Y5x90+4Phv8AEfQ0ERvtQmXnDeVbGQj85Er7W8Jf&#10;ErwLKq+VqeuyNgBo7fS4yv8A3012BX5m+F/DlyQpZWwuAHGOPY8/0r6e8K6FcQRI0ShfV36fgK+r&#10;wOb1afwnlYnAwlqz9D7L4l+CAigt4jOE6G1s4jx6D7U9bFp8Z/A0GI207xDdHnB/0dOB74kAr480&#10;zTlKZuJI844bkDj25rurK68kCPJZV6qBheP5V7MeIKz00XyPKll1Ja6n0mPjz4KViB4e1ZkJwFm1&#10;CNOAMD7tv/WsK7+POkRI32PwuycfK1zqMjAk+yxrmvEpZv7ROzA+XkMoBx7dK0YNKESB7sb84xK5&#10;KgD14qJ55iXtL8iFgaS6fmerWP7RV7bMl1p2h6WjqQUIuroyAj33/wBK/EL/AIK6fs7r+0xqGlfH&#10;XwV4bsrO+0S3k/4SXTbMPIl4kRLpfJbJ8rzxBnEiqoaVcY3MMH9ULi0sndmjOQMnb1GfXtxVHUZ2&#10;+x7rl0kjKbQHAwB26dAKvD51iFJObujR4Sn9lWP5k/2ZfhV8DfBnxEsfijolrL4sltrkT2+t69aP&#10;peh3aXMTLG9qt/HEiXduyho4/NZZDxuDdPrH9s34d+DvG3gTUfib8M/GJ0jxY8cK65cayyWiXYiV&#10;vJgmgYjy0O4+XKhkRgucsBmvmT9pT4VfFH4PftBeI5Phn4m1qHw7qzjUF0bz5H06N7jcZ4I1RlCB&#10;X3NtB2jf0r4f1r4Uw3mpwXd7YG4W3Q7ba5kmvIVy24qizSSoik/w7SB6V+nYbLniIwq05q9v6uj5&#10;/EZpCk5U1DfX0fkz4pt/F2r+Jtdu18TapI2oNN5D3G0eSFhDhiZE2xtyMIVyDnrWlJ4cmum32+pS&#10;T4zwo9PXA/ma+zdZ0HwZrkkMniDRrmSSIKkAjuMRxBflykflhR+QxVjQvh74Y8Qa7Y6Docr2V1e3&#10;sNnaC/iiMCyTSBIy8gbAXcRklcAda9mWVS2vby6HzksZd+9v+J4Rpfwp/aq8J+Fo/K+HM2saB4nv&#10;rXT9HvtY0ZzFPeXTeXDFb3D7NzyMcIu5gTyBX6P/ALKv7Bv7Q+peAbjx/wDHr4eT+LofBlzJZ6B4&#10;C1vxLaaPYxyXO0yKIvM81mjVjN5UpAdcbRzX9G37QXhX9prTf2VNJ8H/ALUehaR8StHtJ9Me8u/h&#10;ZLdQatpiWy7bPU4LOPLXMto5DFImGRkqOTj8E/2qP2or74SfDi5/Z7/ZM+Hfjm1SUm1uvFHiHS9Q&#10;m1O8WNpEEatdwu0abWZFWExs0LR4KSRZbPDYTDJuc0roU8xxHL7NXsfhR8cfBerfDDxXf/CXxRbi&#10;z1xp4rm7H2y1vERJAZxmS1eVF3ZyBuJwRV+88P8AjHVvgJ/wmkum2y6dHepNBrC3AN3cyXJELoyN&#10;MzbE25/1ahTn1rjr74DfHjWPEZ8U+OdD10R3V59p1LUNbk+zyFSQZHkkun84kL3YE8DqaX4ga3bX&#10;Ph+08AeGZc6BplzPPFCwMifaJnY7nlbYS2CQMABe3Wlj67xVWF3dxZGHtTjJW3PHLhINHsvMEW2V&#10;+E3sGOfXIzX6QS/8FAvi/N+xVov7InhyaC20KKwuLHViyiS4u4pJ3l8oMw/dIdxyF5PrX5eaikvm&#10;qZpbc7QAEiYtgdDxyf1r2q+vb2P4VaJpuoRRpb+fPcW0scEcT5Y7WDzqPMdschGPHbFRi8BQxE4e&#10;2hzcrur9GKjWqQT5Ha6sf0N/s1eG/g/8Qf2E/CnxsuNbn8Na14Uhl8PX9xCrXYuDZzGOKI2+cl2G&#10;MbSB6+tfOniX4ueJvFviJ49LmuY7YzE2xKiNiOxZASASOoBOPevmb9h7406Po/wn8c/BrXZhHavc&#10;2et6e8QLGN5f3MwA9TsDYz1Jr7A0DXPhTf3Udh4VsdSmmjtTNLeyIFQFQN2V68HPfivrKslUceR2&#10;bSv6niRXK25K+ug3SbnxFb+JdK1TVp2a5+0xmKUAKwBcAZPGa+0vjzqw+DU+oaT4j02H7ZGD9jmK&#10;AB94+Vwccgg5BFfD1jqsfiv4zeFvBNnKokv9btLWPJwI4hIGldj2AVTk9K9i/wCChf7Vvhv9pPxl&#10;a+Dvhxp0S6VoDzWi+ICSZr9SQpCjGBEMHb1JyfWvOxMqUKdWUpddDrpOTnFKPqfBOna7Pq/iObVp&#10;DuR5sKpH31J5P4k1Z8a2cOlfFPwzcFVSKe1TcMjAzMwPfgEGmaXpps5FijP3ACePQjJ/Otz4k6E2&#10;ualo12qTb49MMyyx5G0JIxXHGDkg5GQeK/PcfN+zk+59dlMuSvE8h8UWwOqXllaI9uq3UwjhIOBh&#10;iCOe/wCVWvA15d6VrEem6greRKdjqeM5/wDrV3PjjSfsul2Hi2O8+3jVIVurlTEUNvM33lZs4bPT&#10;oPxrzy+1a2lmhnAAYgfMp9DzXylOtJJWfzP0FSjOTurok8ceHv7C1mazfeyqVljk2/IImwVOep46&#10;475r9P8A9umyXwv+zX8GPA8bl5JtDufEclwqqqTG6KKskWHdSmAApVsH2PFfGWq2Oi69ZeFdV1x2&#10;jjupxYXkyR+YscSyKxdlHXapJx3r7g/4KRXHw9XUvhp4F+HF3Hd6LofgkWFo1q5eMCS5Z92OdpkJ&#10;3bONucYr9XweNdbLvay3Px3OMGqWaxpx6Xa+Z+cPi/wjbfYodcSFhK9lE0gxjMrqMkfnWh8I9K+0&#10;aJ4n06VjmTQLmYLjq0IEgP4Yr1z4qvpukeH4bPA3RwIMem1QBx+Fed/BcSSrr97gkDwzqbYUbmJM&#10;LAdPfFfleLrOcZeZ+1YaKpzpt+Vz54+IT215pMD2UzgsSr71G0ZHBPXA96+VdYtLi3nLyrtHUMBl&#10;W+hFfVl9p011pn2OR5LeRVDE5KEYHuP518pa1Y2w3yW900pz8yN1BzjHoa+84QrKWC5FvFn5rx3R&#10;5cb7RbSQ7wxM6amLaMjEsbKwPfAzVu/w0zeUSR71yWm3z2V7FdD59jD5BwT2I/GvSfFGpeWwsbcg&#10;ZRSygKNuRnBbqTX1VNp03fofDbM4wsDzk8e1dJ4WjE+pHc20rEzZJ46evtXHElchsjNdl4Iv7K01&#10;+D7d/qnkWOUsMqEY/Nkc9vauSUtGbU17yPdvBSEa3btbzqMTIzOhyQoOWx9cAfQmvSfEN0p1BplJ&#10;wQQMc8Z4rktI0HStM8WTXegy/adPWB5YZ1BAzwCpBxnafapry9abMmce56Ustn7mh04yDjKzLGs6&#10;mH0xIAxIC7SDjsMVjfD7UY4LS/0+UhGjl8/LZ5U8cfiKwtRvGeEhsdM8njIrn9Du3g1NZkyfMidX&#10;9MAZ5roq1NTlfY63VdU8yb7QoGCcE9qy/wC1l/2aitkTUpPs7nggtknaOPrxVz/hHLf+8v8A38T/&#10;AArlk9QTXU//1v2WtbcsfOXceScSH+hJIrfWOYqFL7RwOOT+Z/wrBt9QgUYc4OcZ68Z68CtBNVga&#10;TCrITj7wQ4/M4H619fFAaP2eA4DEvg8lz1+uMVp2iCDnCDnjatZMU6yfvNpUHqSR/LmrhuTGhwQA&#10;OSRkgfjzVW6gbaygNvdu3Cmrcc3mDd+rN/IVgwXClt0IBBG4t1H58fzrhPFXxf8Ahp4I0yXWPGOu&#10;6Xp1rbymKWe8uo4lDgZ2jLZLY7AEn0qeZAevfafLO5SxOOi8CqT65arsYk5BwQOnPHNfnZ4x/wCC&#10;nv7L/hNfkvda1IBQyvpumTmFsk4/fTiKPtk/Nx6c17l+z18cNb/aE8PnxdpPh640nSbpsaZcXN0k&#10;090gJDSmONNsacEL87E4J4ArhxuZUqEHOUisNhpVJWifXNpezahKItPU8c5A5H4f4ivafDS67ZWo&#10;tNOmhs1cbpXQ7pWYjqx5P5YrhvC2gSQQKbpPkH3Qnyj/APXXrNppUIjD2UMjHGWIyMY/Gvi5ZlWr&#10;tvZdj1/YxgrW1G/2UAn2rUtQvrmXH3Undfy2Fa4Pxpax26WlyiTgF3AM8skpPAPWRmx17V7Fp+n3&#10;Lqu7bH+f+Fch8WdLuj4UW/t/m+y3KM3OPkfKscfXFfL8b4GVbKcTGPb8mmdmU1lHFQb/AK0PAtEv&#10;Yh40vbYjkRRN+BzXc3mXtvl6hCv0Arw7T7/7D8TjCx4vdLV4ie7W8nP1JU/pXvdisd1OIQeGbbk/&#10;7Qr+deEJqGLppPr+Z9znMX7OVux8wa3qEser+UhGfPGD7DJr3rwNqDzq0EnKzQyRMPZ0I9a+YfGt&#10;0LHx7daew2tCPMIx68CvdPh1qUT+SSR94cj61+x5FVjDGVKTfVnymZwbw0Jo9X8CT/2XrlpGfu8K&#10;fx46dq8n1q6bS/i/HYk42W7RH6tK7D+fFe1xWH2PVI5lHGRgkc4Br5z+L0jaX8dJZVOBJDBMmemH&#10;UNx25Nfo3s+Wkl2aPl4Scp38j239qXwa/wAVP2WPiH4RgTzJdW8F3N5aLgnN5pyC5jA9zJAB+Nfx&#10;hHVEYiVCMbQyMT1BHHPev7pPAbwa9oK2l0f3bb7WUf8ATK7TaRj8TX8InxA8P3/gT4ia/wCBLobH&#10;0TW77SHUHhTZXDw7eT6LX5r4s4W6w+I+X6n6L4aYmzrUPRo6izuYXYlMFV5x2PrzXZ6VcW8rRjIX&#10;DEopOAT7GvFLXWhIH2qhLZ4HY/hXWaVq2djvkNuOB6ev4Yr8JrxP1parQ+ndE1FHMSLIoAyxwoJB&#10;Ar0rTr6ERADccc/LwSM59eK+XdL1PEuQxQBCyg87gcdfevY9A1iCe3WZe6gdSMfWvncTSad2ivU9&#10;l0/V7xz5MMKqox+8Y7cYGcYrUNw4lUu4U9eOQTXAWWoRElUkXbnIY9WJGf8A69X21WELgHJLHk89&#10;6KUNjCaN6ef5XbIbdnvXLyyLt4OMNuPaqc+rQYO0jHTisaXUoyXG4ABeBx1NfS4FWuc1RlzxG/n+&#10;Gb9FOd1nKox3yhFY37MFwD8HNEV+GisxER3+RmXn8qj1W7STSZ1Rs7reQbc/7JrkP2WdXWf4U2DB&#10;sYM6nJ9J5AP0FfT0W/Yv1PPrW57n2ArKCFyetXvMC5B5Psa5kagikEkYIqCXWY4sgsozyOc1nKo0&#10;c6gjqhKoIJ6gZ60/7UioMnBz9a4GTXYQTl14qm/iaCJASw/2s8VLrF+yvseorflR2P16Uq6pGrFt&#10;wGa8Rm8b2sKlzIu0NhmJAA/UVzd78UNLjTidNw4KqdxPPUAVKm30I9l1Z9InWYwd28cD1qtP4mhU&#10;FtwwrAHB9elfNA8XeJrxWOk6XfSB+Fd0KJ+bVH/ZXxN1YPC6i1WUD5I1MjDB9TgfpWsaM3siZci3&#10;PpabxpaWql5ZFXbnJJH9a8x8TfGexjRrfRG+1z4+VEPy8+rdAKwbL4R3F9IG1qWefLZdWYnj6Dgc&#10;+lejab8JbC3dI9OtNpGPnO4n3UZFd+HwMranNOtDY8D1C38UfEK5B14nyA2Ut4m+TP8AtH+LGOO3&#10;pXrvhXwXHYyKixgggHGASfzr6H0r4QPOsZW2eMKcb2BPPGckV7npPgiysLFLOQ/MDw0aDIP14Ir1&#10;qWEdjiqYpLY8O8M+CpHjDeSyg854x6dR3r3LT/DRWBEBUFQM7jgg+1dpYaKp/wBHbk9SSAhIHQHa&#10;f6VoJpMKylf3npx83H04P6169LD2R51XEuW5hWmiLcfukljl9cYz9BW23h5YwkDO6Mw4G3rj/PrX&#10;RWGn2ikxRuFCgYDevuDzW+1laQ2zXMc0LezFlO7H8PTNehTpR5dTknPU5i30PybfZAMuRuzuycey&#10;ngCs+f8AtaE+QxLqQPkKjjHcCtNZLuRPMkmERHAZTyR7msq8hdZPMWfr3JHPriplJbBFPqJ/as9o&#10;Ns0Kle+VFcD438Vabp2iT3E8SKFjaRuicYzkc/l1qbxD4is9DgNxcTouCcgtwABnJ9vXH51+XH7V&#10;3x7WKyuEtH2w285triNG+S7mBDRxxsDkKOsh7DpyRWbxFkbU6dzyXxJ8btRsvE17b6d4cOvafLK1&#10;1cIJA1xbvMTiPY4Jb5FDcYADCuQv/ip8A9X2w+OPCt9pEu39689qwVMc/eUD9Pzr45vD4h8W3z+I&#10;47u28+6JlmSSQRSbjjJALRMQewUsP5VuQa98XfDsIeM6j5GAd2fNjCt6+YNnQdAx+tfYYTwto4yn&#10;HFU6jhUlrpOS/W34HzWO4mlSqSpyinFd0n/wT6bm8HfsueOIt2i63FayODiOSXGDx/DLwfpXG6x+&#10;yB4b1aJp/DWs2V2pGdiMPujgDKMPyAFeF3PjNr2Nh4m0XSrrnDTXNl9mfHXHmw7cZ4PLMT1qla6r&#10;4DM+bSz1XTnySJdJ1IyKh9opgxA69WWun/U/P8Hphcwm/KSjNfo/wOX+18BWX72gvldP9fzPcvCn&#10;w9/bA+CCm1+FHj/xpZ2KuZI9Mj1FNQs03c/uoL2OUQj2iZfrXz3+0j8T/wBpy00ZtR+Kmv8AiWe3&#10;lnHmyTTSQwByPlBjRxFg4xwACeoJr1HS/HOu6R5Y8P8Ajm9t/lxHb6zZsV64A3xNID9dhFdt/wAL&#10;Q+LOpadJp9/b+FvFVsV2zQI0UhJxzujcxkn0AA57VzPGcRYea+s0aVVf9vQb++Nh/V8sqr91KUX8&#10;n+t/wPxh8Q/Em1NjPFGt66zRskyqjBXBHO4jqD3HQ+lfL3iPxbJq08kQtoLeOQ/PEAIYx0GdmeMg&#10;dTX7+X3/AAp9ZGbx/wDCO1t8cNcQ2Ksm08nnaBjHoTVVNA/Yk1oeU2i2GmkYGyS28ogf8BDYH1Nd&#10;M+Oa9FqNbLakV3jyyX4MiPD0Jr3MTH53R/OmNHlhYyuttjdvx5g3AHp3zivcNJ1ZNW+Gs3htZluH&#10;t7w3iRAGRY1KENj0JPPTtX7XXv7MH7NvihXTwzd6SN7b1T904556Hn8MV8pfGz4D2fwlvrWXwraQ&#10;6hbvDM119gSNfKOAEEigg/Nk4ABNfT8O8UYXMayoUFJS3tKLR5WPyith4OcmnHunc+RP2N9Q0nw9&#10;8dNOj8RrAumawJNLvftCq0UTOpNvIQRjIkCgE9N5PWv1/wDif4l8D/CvR08L6e9pb3hsJLSQtfRp&#10;IXuGG6QqIpPm2jHzMoGSME9Px51H4feMke413TttoCDGttuRGUZBJ3cHIKgjFeh+Jvjz8TruztvD&#10;HxMS11u1gDCC6gZBehTjHmSMFZ+mBv5HPNfoGOjicDh1KFJSb6vdHjYOnQrVWq03G3bY+2/2Y9A1&#10;Hxt8Q9W1vwxc2i6hpnhu6WwuLgtJCkl4yW7MHH8aq5I7A81dvP2d/ilpV81lf28Sxo3zTwEMm0Y/&#10;iXjAFeb/APBOzx7ouifHGIfEcGfw5rO7RtRt4ywWzNyd1vMpXJBhdVJOPWv0R/a+0Hx14K1KLQ9D&#10;1WzttHuIS63ktyiNOGP3FVSzEgddoIPXgVyUcBCthHVqLVdEKtV9nX9nTd0z8+9Q05bC9Oi2kgnm&#10;kmS2BXk5LDOMe+B9K+ttQ/aS/Zd+APga/wBA+Kvh+81/W4NFNvpVgkINrfPMjqgeY8KqOCzHqO3N&#10;fIPhu+0LwvrLan4pnlC2xjngkiAZpd+4OFjUFj6gnn0xg58s+MXxa0n4iarHNZaXeaZp1raRWMNr&#10;cxCZWETN+9YerZ6AHA6k18XmGQLE0eSbsrrZ6no4fMKlKteMenU/T79jXUf+Ce3xT+Ah+EHxG8R2&#10;2j61caUba51jXJtsgumyVZXIwoicgrk4IGCea/Jnxp4em8HeKr/wnPd2t6NM1KexF9ZSLNb3CxPs&#10;WWJ14ZHGGUjqDX1V+yv8QP8AgnV4R0uOH49+EbfXtcmkcXUkk9zpWxCf3f2aRDHFuVcH5ud3rWj+&#10;1dafAHxj4h0rxb+z9PdNYS6YLe/s70b5YJbY4RzKGYS+Yjct6r9K+axnDqwrnUjO6etv60Pqslze&#10;U60aMovXr0O5/Zs/4SCw8aeAItD13VNEsr/WGh1PUrEwmGJFdH2TR3GIpCyghVJBPOM9K3P24NWu&#10;/GP7Ver6jqcsgUXsFtpoayFiFsAFa3RokG3JXqQOc5Irxv4Qajo9/wCCNT+Gnik/6JqCQXdkzFUK&#10;XEUg2srmOQqyHnI2+m4V9CeOppPGpguvEDPdzWIWG3mYl3DIMb97lyEwPlRT07rgrXbhM35MGqX9&#10;dTx82wk1nXPPZ2t57Hw38ZtVmn1Y2zMSegGevSuu8A6JbH4b6qmoh9uqCPTYwsrQuYwRJNh1IYDA&#10;AJHr715/4rtbjxd8RF0jTAZZZJ1gjRATlmIAAH1r9EbD9l839hp+nPqdnBFb2yptmjyDK5BlIkVJ&#10;ep4/h4AzivNy3L6uIaUI+p9bxJnFPCwanKzeiPgC8+G1lYwzDSdW1uziEbS+Q9wt1FuVSThZEOc+&#10;pNfnBq1ykkzBEKDkFto55r+lOD9iCK5tZph4hsUVYZWBjljBwEONy+dkf98/hX812qHyr6WInG2Z&#10;1OPZiK/Qcqw1SlCaqI/LcXjo1vhd7HNEsG9ef1rpftn26FZVjUEAAuoOcjjB5/pWFdBBkZAx6Vp6&#10;JLMsbLHJ5eTg8Bs8e/SvQhFv3TjIpHdX2HOfTpxXW+CPG2o+A/F2m+M9KAF1pd9DqFuSoceZA4dc&#10;g8EZGCD1rA1GSaaUSSBXwuMgYP6VSgljVwSNwPZhnp6VlKmtUyouzuftx/wUM/aS+Fn7S/7SaePv&#10;g5Y21jpDfD3w9ayGygFvFPqAhMl7IUAGCJ3aMcchPpX5+Tt5Vgz5+UEjJP6fWu+8SeGfB3hCPwA/&#10;hG7d5fEXw6ttU16C5bds1Nru6TEOBwvlRpxk855rzrxHI6aZHbDCoH5JPLsfascFS9nTUV0OnF4h&#10;1pe0a3OP1C7MsBZCeg288VF4dY3N2SvI8uT65ArKvpFWEL1P3iB2xUHg+7ePXEC4I+chSTg5U88V&#10;s5XaOVnUaVciNm4BwrBgfetD7db/APPNP1/xrK02PZqFz9pZUGwyZP3fStLzbD/n4g/L/wCvVJPo&#10;NQZ//9f9iGv/ACYftLHCJne2NoH1J6V4f4i/al/Z/wDCGpT6R4o8X6HZ3luoee0N0stwg94YPMkU&#10;/VR61/MJ418a+JfjLcC98WeM/EOrSyD5tP8AEF/KIs9NsaQ+Xa7frCn071p2/irxD4ctYNJ8d6Ta&#10;a3ZIFS3N5GIbqNVHC2uoQYf5R0Us6j+7Xo4zH4mnFSw1JSXVdfkdeHhTk+Wbt5n7x+LP+Cl3wD0y&#10;KaLwQuo+IblAQjRxGytSw7NNON4+pjAPUN2rx+8/4KK+MfEMJsbWz0vwxK7OIrm8gl1O3kQ/cxIr&#10;KAf9pEkU+1fkgU+HfiJh/wAI5qz6XeMB/wASvxPlCW/uw6jAu0+gMoXH5motQ07xp4CCPq0VxZR3&#10;BEiyT7GtrkkfwToJLaX2Ljdj0rkwuf068vZzfJLs9H/wfka1sFKmuZarutUfpR4k+PHxx8T6Qtx4&#10;/vbjXdE3BBe+FbsWiLk8GQW/TH92TZmvMtB03wbq0rP4Q1kQzXmd2m60oSWVsn5SZiyS89AHJ44F&#10;fI+ieObzSdQh1FZrzSrrhFutMlaEMCM7T82CPUCRh22+nrNn8QtO8QXf9neMtMstWARWlu9MxZ3x&#10;HTc8O0xT4P8A0zBPdu9eNi+HJyquvhcRKMn53j9z/Q2p5klBQqwTX3M9s0X4Paf4i8c2vhrxPohs&#10;hdz4uZ9NJjhkiUeY/mQyB0C7FbI2pz0x3/oe+CHhvTNM0ixttMt7aztoLaOGG2tV2qiqMBEXjAUD&#10;A+lfgV8CNbtU8fafpvh7xLO9hcxXFmdI1QMksDTwtGhjD+YqqrNlvJkAx1GOB/Q9+zXJY6v4cjlH&#10;Oz9yzOQGDqTuHtznpXyGPxmLWMp4bFyTaXS9n8u57WHo0vq7q0k9T6Q0/S4HAhs4WbBzlgcKfc9B&#10;mu5sdOeEBbnaoJ429PzqxafaLdFWOVI1xwsY3HH1rUjMRGHbdyTyf8K+ww0Uoo8Ws3csqsMCFowX&#10;I69/0FSXFtp+s6dPpV8AI7qF4JBjBAdSMjPoearo5Z/9HXIAySP/AK9W4rV7jkgk8YycDrXW4qcX&#10;Tkrp6GK0fMuh+W/xG+1eE9V03XroYk0nUzZXg9I3bypD9MEtX0dpV55YiuEOcbTwcg7COR9QKyf2&#10;kPBnnatOkiAQ61ZswAOQJ4gFfn1I2n8TXlXwW8UvrXhUaXqT/wCn6W/2K8U5ySnCtj0ZcHPrmv48&#10;zLCyy7NZ0npyvT79PwP1KjJYjCxn5Hl37QyLofx8KIcQatpFtdQN2zkhsfjXVfDfV/Ku/wCzZGwV&#10;IAz1JrF/a8sLh9E8M+P7ZSzaZPJpd2442xsfMiJ/Nq4Xw9rMfmW2tW7YBwWx144r9DrYxU8bDFR2&#10;lZs8WnR9phnSe6ufpHpF+sjRW950b7rV89ftO2L6Z480DXVBC3On/Z3YcDMDkfntIr1rwpfRaxo8&#10;FxCdzADnFYX7Tumtqnwz07xHCpMml6koc9T5c67T+qiv3Fv2tBuPkz87hFwrWZ33wM1+KZ00x2x9&#10;pgMak/34/mT8eK/Ff9tP/gm14B8ZfH/xb450h9a0q81u/wD7WmfT5wIXluY0d28uRXUEvuJx61+l&#10;Pw58RvpxsdQiYhoZEbPrzj+tfaHjjwXpHi2S18S+WHW5t1B29CQSR/Mj8K8/PMmjmOD9lLeLv+n6&#10;np5TmEsJieeL3VvxP4zfFP8AwTm+Oeh3ktx4J1a2vof4IdStnhlPsZIiVz77cV4ze/s6ftTeEpz/&#10;AGp4RubvYCDLplxFOvHAO1zG/Pspr+0S++GVk7/ubb93yWjCgHP1z/SuYb4UaBe+ZEtl5Z/6aRAg&#10;nv0Ga/J8V4cyvZSP0OhxpJbo/jcj0X4p6FKH8QeFtfs8Ahw1lLJkj3QNxXT6J4wlt4jBqkF5aFCT&#10;i5tpoenOSXQcV/Wfe/s4aXqBOIE2n+ErXJX/AOyfoM6lXt4/vdQqknGa8HFeFuKlsz06XG1J9D+Y&#10;k/EbQ0gWCK4iPJySwGD+OOKvf8J7pJQQRTrt2jlDkEHqPrX9I0n7G3hWWQSS2NuzDjc6Kxx7ZBqa&#10;3/Y/8Lwnyo7CLGR92NVx+GBxXHDwtxqZs+NKFj+Zqf4gafHD5ayjIPHqe3GO1c3deOJpHJghu5FY&#10;D/VQyNk4/wBlTX9U1v8AsieHRgLYQtnruUdK67TP2WPD1iPlsIFx0IjUmvZwnhvjIfFY46nGlHoj&#10;+QXWfieNKt2XUY7m0RlYA3UMkKnIx1cAfrWp+w5N428f/CCBfBmkX1+sN9fRPNGFWBdt1LwZZGVM&#10;+wJPtX9ZPxV+CHhbRPhd4j1G70+3lhtNEvJpEniWRfljYL8jAg5PY183fsnfszaJ8LPgL4b8L6ZZ&#10;wwxjTIrwrGiqu+8/0hjjHUmQ5xXv0+DZ04ezmup51bivm96J+XH/AAqb453cObXTbJNuMrNdkMPb&#10;5Y2H6msy6+BHx2lIhul0q3LHIzO8pGfYItfvRB8K4YMJDEuCSWUgcg9ab/wqDTDMT8inoQVGOO3I&#10;OamXB0Dk/wBaKr7H4UW37LvxUupcXmsWysw5W2tnb8mZgB+IrpLD9jfxDeXPk6xq2purHLLCEj6d&#10;Odre9ft+PhXp5UlSGwQFUc4P16VLB8N5Ek3S/IAMGRODt9PetI8LUor4SHxDVfU/H/TP2F9Etf8A&#10;Sr6C8ud3yk3Vw3fkHauBXpelfsz6d4dYJZWMNqVGQ0caqx99wBNfqPN4MjjQoqsRxxnAPpz3rKk8&#10;I2nJfIdeq4xn6DvXV/q3SitjOOc1Huz89IfggyDNyFILdABkk+56+9dPa/BoiQCOJCBjBPbHbivt&#10;SbwuOHtzjsAcfz5pkei3kUu+RIsd1U846Zqo5NBapF/2lJ7s+Tbb4VwLIIfKSLGcsRkHv71sr8N5&#10;7VgyIrDI+ZYyQM/Qd/evpNtBRLxvMG8M263lydhU9VY9Qwq05gsrjzLfJJwjDOCAPXpn61X9mU76&#10;oX16R4hb+D7yBPIlKo5+YqAQWHt7fSug0zwrbXDmKdGyPlWRSCq+5Ddfwr1m4lW8QNc+S4GSjKBv&#10;X1wf/r1yWq+REmLZcEjqxyTVvCQigVeTOXXwykFxsuV3p99TCcKcd+nBqzPpulWbGRZdu77qXafM&#10;T/slCQaoX2sXdpEI3YDBDccH8K4jWddRofNkYAMvzbuvXvnNc9WtGK2NIRb6nS3d3ook8mK3YycH&#10;dvAQ+4x/WuY1B4R81xIinb8ig7uPXg15dq3ivS9OBupZiAEyRnOB6Y7V87/Eb9onwv4XtTPJdRAM&#10;DsVTn8PXmvPlirnXSw59NXviHTLUD7RIAADt+bjGO2f8ivE/Hfxv8N+FNNnkmlizGWIG/J6dcHmv&#10;zZ+If7VktxM05mS1idSY2lzvYgdohlyTjg7QD9Oa+CfHvx21DWWm/s9nlkYcXVzg/Kcn5IuQp9CS&#10;T9DXLGpUk9Edqw0Y6yZ9tfF39qR/ELzwmWW0sMkA5/0mZW4AjXt1J3HjHQHPH5kfG74sTPoMM+pS&#10;KkdvCI4IgeAxJwB6knJJznkk9q8q8a/ECPSo21HXrxkQorXM0hZmyeg6ks2eBjv7V8XeJPixrHjT&#10;XpNRV7q0t4f3NlFbyYIizndIoOGdurc4HQep+myfI5VHzPbzPJzLNo0lZdT7m8B/tCJbQxQTSyPH&#10;wvlS+XNDge0yE4HYCQV9W+Fvin4U1Xy7jbbQPuB3wLcWj8Dk74HlAP1QCvx50XxIQ4aWW0mySSt7&#10;b7GP1lh2v+BYivdPCviXTiwU2U2TgmSwulfb6lYpQCT/ANtBX6Fg3CLs4WfeLPiqyvrzX9T9g9In&#10;8Ja6U2rNMx+cLDLZ6iQTjOEIhnJ47ciq2tfDbwHfzeXdf2fbupz5VyLjT5FY+n2hWXcR/tEfzr4O&#10;0DxfYp/q9VktsouU1a0cbj0HIWVMjpuJ/EV9A+DvFnjd0WHSNQiuYSoUQW16rLgZOBFKxGfUbce1&#10;e/RrRVuTESj/AIldfj/mcE6Tejgn6f1+h6Vf/AmylRpNMi1FYurzWzpfwD0/eRNg8exrzbUPhhfW&#10;7+VptzYzOCQBc74ZuBnA3qoH13iu1l+JFxoFx5mtabFbXGMGSazNm7KvHyy25twQTnkqa3IPjbZP&#10;GsdxcXwQqX2O8d9HwegW7jVgAR/DJzXpRqYrl5k4z/D/ADRzSp0k7STieK/Yvih4YTzrOHUFiVcL&#10;9hmkkjx/tLGZFIHv+dc/c/FPVpGMWuabYX2PkxqFlFKx9f3kWJAa+lj4x8LajvuWTSJXyCBGlxp8&#10;xPXG6ISoPxGPepDbaH4jG4NdM2P+WjWWpKw9AspEhx/u5PpXNOrFfxsK/VJP8UaKFvgqr56Hxjq/&#10;jTSlvINT0vQILQpNuvU0Oby7ia3KlWRY7wtGrgkMM9cY4zWjP4F+Ffiu2knHxR1Lw+8g+Sy1nwle&#10;LJGD1DSWlxNE2OmdwHfgV9C+Ivh94RuS1rdvp6NtGRNFc6ewz/syAxD/AICo+tcHefBaKS3D6TFc&#10;AMN4NjLDdx4XpkQujD1G5Sa78BnGHw8eSnPk8np+LMq1CpPWUeb8UfFPib4NaVBrRstL8Uaz4mt3&#10;fa1xp1rHpUeP+32Q7uvY10mm/syeA7iPz/EEPjURR8ySQfZrn6/NAZD6c4/rj2HVfhnq9kXeO5jH&#10;+xcRtE2fcuid/Vq5NvB3jOwQS2kDSIiHBtZs8HsArMM/TFceLpVcQ1KGIuvXQ2oYmnS0nSOJvdZ8&#10;PfB3Q9S0H4NabqVrJeQEXupa7uDqUU7fL+6VbPIKgc18LWOm+Ndduxo0uo391Jcsvn+bPLJ5Y3bi&#10;QxZmGTxz19K/SfX9YvPD/gBNY+JWovaWd9fSWdjbXTLNMzWyq0mYyxlRcMMOy7T0BJzXldtoeqXG&#10;qR33hPQtVu9QaHZDcW1nOgaN+hZ3VY9p9Sele7lmTUcPSlOtUvKTu1dnnY7GTqtKEdjq/CHwv8Qw&#10;+Eks7LWLyB7YpFMt8FIjZlLIqvtB+YAnGTwprifHnhbxZ4S086trGvwRWowjyzHjc3AUDkkntwa3&#10;vHfxx1u18I237ONxYi6ntr6LxBrN/ps8U0n2943RIGkG5cW8bFMKx5ZvWuu0vTvgdq/gG+0nUtUm&#10;/tDULQBbHxhBdkabeLGUL2V1ZxzQSRMTuUuqSr0JI5P53mmDzD67Kph6tqfax9Fls8NKgqeIjafc&#10;+Z/C1l478falNpvgq9nuFgCm41CNRHZw7xkbnKruYcfKoJ9a4C8+JPj/AOFHiO40nxpKb7kLNBKd&#10;yyI3SW3fjg+/HY4Ir134O+EPiH8M7jULWTXvDIttSgRd8ctxOiSx5w3lJHvYkHpivnH47+HviBfe&#10;ODBqEz6nAsW6yvBD9kWVSoaQRxysX2q2RyBnrWl51K0sPPWL77nQ40qNCGIpStUT+R6TD+0X4v8A&#10;EGtWWn+AYPs0wug0bquZpNzAGML91VOPm7471+x3jf4u3LfDFp/F3hjSPD+qMdqi02vJJhMEgrwE&#10;YnIA6+tfm/8AAH9jrxF4k+BV14/i16y0PVpZZntoy8VxGbWJCcXUqHfaksO56dV718v+H/id8SG1&#10;RfBmX1GKCSSKGxectHkEhngf5hsOM5Hy45FebUymNSMoYZJNHpRxip1aWKxqbbWnZH6Y/sreEfFe&#10;t+Ib/wCJ+hy21te6fdLb2tzeIJI0lnRjIyq2QWjjIxwQpbOM4r7s8G/sv2mrbI/EnjbU9KwR/wAe&#10;lzFtGOAQsyxjvjOc18o/sn+DPiF4w+AOp+K1TS4dLj8QRfZdWsryKQmW6gfdbtAx80uott8n7seX&#10;gZJDCvXG+G3xWnQpot5Jd4OUWLfkgeuDj9KiHEmX5W1h8VPllu7niZzlGNzKo6+H1j0PsK9/4Jz/&#10;ALM3ibTXl+IXxf8AEzxLE0ki3kTCJdqkk7oRKgAx1yK/kk8QJZWWuXcFlI00EdzKkEhGN6K5VW/E&#10;civ338WfDP8AaE8L+DdX8da7aajb6ZpGnT3t5PK/7sRxoTyTjgnAwfXHOa/n41bVohdSTqEYyuz7&#10;AoCqGOfSvsMqzrC42lKphpqSXZny88qxGFk4V003rqrGTPIzAuRgfz/+tWtpHFk+3Gc59xXLPdy3&#10;MnmSHIHRV4C102mKBaF1ONxGSf612Q1ldEOLRNcykx/MSTn8qqwyDzM9Tjiq87E5PXjHHTNb/grR&#10;5PEfiSz0WHO+6uobdR7yOFH86zrS5VKUuhUI3Z/Wb8ePhLp/xa/4JQ/Bf4RfAHwkNW8ZeD/D9j4i&#10;1bVNK0+GXVbq5vbiQnTfOwJXiMMvm43AKRgAk1/Ox8TvDev+BvElzoXi3Tr3TNUs7pra+sdRiaGe&#10;2l6GN42GVKnjB561/oP/ALIv7M8XwH0/QDDGbe5tdEtbS6htX8yG62worpKOclXXIOQVPTiv5nP+&#10;Dkv4X+Gvh5+1tpHxK0OHyj4/8KW2rX0KZ2/b9Omazllz/wBNEjRjzktk96/NOGuMquJxlShWWjvb&#10;5H2GYcPQo4SMqb+FfmfzwajOI7cdRlvx/wD1Ung6WJfFdoJvulyDkeoNc6s91qU4bsOAvYU67km0&#10;rUYbmM/NGwkBHqO39K/SItaHyzirs9W1DWbSPXPMsbZZ1Tcrpjg/UfWrX/CSJ/0Bov8AvkVYm1K1&#10;udJ+12BAjeMSH5QGy3XJrlf7QT+/+grXmt1Iij//0PxbuvB6G4P9nBhKoX90PklHrgHKsP8AdYkj&#10;nABqay8TeKvDDfZMfarQnZPayKrIU/20kyD0/u5HavX4fEHhDxnbCG+gg0iXI8y8tVafTyCc/vIM&#10;+bB16phep6VFqXgHULSyXUGaG8sNuFvYZDc2vPAHnpmSPjs4Kju1e9SV0J6bI4iNvBPiSMgq2kTt&#10;xt5mtM+nlk+ame+xn/3R1rqNFv8A4k/D2CS48KXofTHOJkixfabMueksMgYAHH3XUEexyBycvhYQ&#10;zqzoI9/+rEp4ZQeqScI3P0+prPtl8SeGbgzWE11CwHJJMZ8s5GACSSp9eQazxWCp1o8tWCl6mlGt&#10;ODTi7Hqq678ONdjE2t2F14dnmH/H74eX7Vp7tnky6fO3ygnk+VIAOydq1rbwDrItJNY8ETWHiC1T&#10;mSfw/Kbhosc/vrCbbPER1JAwO3rXj0fjXQtQkMPie0dZSeb6x/cSleh4UGJ+T/EvPtWXLDKlwute&#10;Dr4SPC/7lrU/Zr9R2xGD8x9fKdjxyAMV8+smq0dcJWcV/LL3o/5r73bsehLGQn/FhfzWn/Dntng/&#10;4n6l4X8UWep3jpPHa3CqzcNNCrna/wAsm2ZMKc8sy+xxkfvn+zz8dtVsolurW6L79pvIeocYG2Zf&#10;qOGHJzz3r+X7xL8dL7WboWvxKsLbXzAPJ+2SK1jq8XOeZ4drMw5/1gf3r76/Y4/aO8GeJ79PA+jX&#10;199vtbcEQaiVW4CKcZDoAsu3GCcA+or8b8WFjI+zx0abjOno2tVb1/zR9nwn7FqVDmvfuf1d+Afj&#10;euuOsLOcMeD0yemPw9a+qNE1Gx1CDzLeVTkDvkn1/wAivwa8M/EeawZZ5XPmf8/EXy5PXDp6+64+&#10;hr7F+HP7Rg061jgvmyFxiZeVyexIHB9jg185wl4pUpNU8VL5nfm3DUleVNH6t2MMB+d2GeuM11kE&#10;EDxCWFWLbcF+oz7V8reCPj14a1wRjzIwT3yCx45J74/CvoPSfGWkajEiWs6jJ49D+Oa/ccvznDV4&#10;KdOdz4fE4GrTlaUTzD49eHTf+A31SMZl0ydbwDH/ACzJ2Sj6bW3f8Br869Itz4V+K8epwnZa6xC1&#10;vMozt84Dch+pPFfsTIdK1zTp9MvDFJFcQvBIM9EcFTn1r8mvGnh65sLi40WUj7Vpl2yxt6vCflYf&#10;7wwfxr8Q8YcoSr0sZHro/Vf8A+t4UxXNCdKT2PYfE3hez+IHgDWfBlyQHvrMm3Y/w3EPzxt0OORj&#10;6Gvzj+GN/LGtz4V1HKT2ztE6P1V0JB/Iiv0E8La82oadHfWzYk2Zx6Ov3h+ea+Lf2ivC03w7+JFn&#10;8RNOTbp+vZecrwsV2v8ArFP+/jd+deTltWOKwijHeP5HRKPsq7T2kfZvwD8QpcKdDvCfMQ7RnvX0&#10;p4r8N/8ACQ+C9Y8KSqT9psmMXtJGN6498ivzS8HeL20nVrXxBak+WxXzCvoe9frH4ev7fxBodvrN&#10;mQ52Avz1BHSv23gTM/rGFlRn8UdPkfC8SYP2Nb2nRn5t+C71xpQgmyHXKtnruFfph8Edci8T+AFt&#10;rg/vbCQKR3KP0/I/zr88/Fmh/wDCK/EHVNFQFYzObiEdiknzcfmR+FfRn7N3in+z9YmsJGIjlG11&#10;/wBknrz6da+owM+SbjL0PMqrmtI+0Lq1jjXCplyp2xqu4j3PI4/Ie9MttJu7wAiJVHQnGMj2HU9e&#10;uRXq1npGlw2eUVACcs277x65YmprhtNt4TKq4B6Zxzn8c16X1SJTqNHmzaCqLsVAw/iL9voBWPL4&#10;ftCWBHTg+n869Ll1WdItsaBSx+XgZ/Dist7YOhlnAZj1X6+3/wBam8PHpqNSZ5+dGsApkCKccg9h&#10;U8Oho/7zYmCevFegxaNE/DQSZ9COMew5Iq6nh4KwMUZzjA+Y7h7cZqPq6WrQ7nFxaNZgYmKhSM4A&#10;5q/HoEaxBpIzg/dYdOOe9dld2KW1uCygsDgmRvlU1leZNjbO4cIS+cggAc8DPSlOKSC54L8d/B0+&#10;u/BzV9Ms1UvrN1b6DHgdBcuA2OnbPrXldv4ZtNLjj021ysFuiwQr22RgKo/ICvq3x1cJbeB9Ms5m&#10;2CW8l1FffYMK34ZBr5qnuhJkx4Jz27815uNjFJM1pJspmziVcMARnjtioJLOzAwVLe+abJcrkrK4&#10;BI4XFZcl+6oAykcdegP4V4tS3Y64xZLJYRLu5AHvVMxrCP3q544PPbt3qB7iaQMWJ9BgcZNQG5lj&#10;XDHODz3/AErlczeJNKqyoWkUKOoHPQ/lXN3mn2ZbdlhjkEHjP5VqPeFzskyDng4yDXMalfmDLkbc&#10;9wf6VjJ9TojEZK8FqpWPLdCOOn5VlS6kqfLtUr1IA71hXWpw79zuq9eVI6jnFclqmuWolKGYHAz1&#10;x756/nXJOT6HVTgdVc3vnT+Wcx8Fge35ZrGvLuEo5jBPQEZ//XXjXib4iaFoxEl7eRnDAMCwBX0G&#10;O4r5x8eftP6JpZddPLTOAMmPlevcjgAf56V5eJxUYayZ3UKEpPRH17qHiSCy3AkcLh1HOM98e1cH&#10;rnjOwsrUyzSptAOMcbfrzX5Z/Ef9tSwsHkjtNQtoJk++ksqySc8Y2RB2PTjj8q+LfGf7YWq62ZCl&#10;9fT/AHRtjUW8YzxglssQR1+XP0rxq+bLaKbPWpZdJ2bP158eftGeHdCSSOadWMYO1t3yN2wevrXx&#10;J45/a/kvDJ/Y6yEMCuxfuKc4GWOeD61+W3if40a7rNxJ5T7I9zRpu+djnoSXzXlF/wCKdRvUMV1c&#10;O+CWC5yoI/z6V5yjUqu70PShSpw3Pubxr+1pqNzbvZvfkOhw8cKl3UjsOgPplmAr4t8XfGfWNY1M&#10;GykeJpfk86Vg8oGOcDgKD7c+5rx671xUaQTE73O4nvg8V5fe6s82phLQNNK3CInucfQe+a9TB5W2&#10;c9XFxjsep6rq90l9JJdSvKxIYyMS2e4P15ryvxL8RYfC+nyXzR/apguyK3Vwu9zwASeg9e9bniK7&#10;NhZbb2Qm6kALhTlUXHQep46mvhL4oeI/7U1lNGjdfLtj5khcsoMjdORnoK+qy3Jrz1PnswzRqPMh&#10;3i/xb4y8Uaib/wARh41c/uoBGfJQei57+5yT61z1rexRuHeABh0MbFOPp05+lGlXeq2ygW0s4Xpi&#10;MiVSPTAwefet2HVUuMHUbezuOef+WL/jjaP1r6uLdONlG68j5qXLUbk5W9TqNPTRLrEiyyRl1DbZ&#10;VDr/AN9Lz/47XaaTorb1ayeJj/D5L4b67ThvwxXOaQPCcsRa4jvNPwcBl/eRjJ77s+v94fWu103w&#10;1bXrA6NqdhcdwJmMB+hzvXP1YfWuL+0oQleV18jSODm1aNn6Hr/h278V6VII4ZJ41BH7uZdy59e4&#10;5969V0rWNTuWxdWFrNn70sK+W4Hc7o2AJ+ua8q0Ox8d6LArrb3xgAJV7Y/aIMDpkxeauPcj8q9e8&#10;PeL57qZJLy2s7rAJIdMEduTCQc+x6e1fV5dmVKpa00/n+h5OJw1SD+Fnb6R4tuNLkxY3Gr2G5f8A&#10;lnKLmMnPA2sUOPXJb6V1g1651R/Oum8Pai/JJuoDZXBPbMtuYM4/2pG+lZtjeaHqSgzw3dmGGD9m&#10;kE/PurgsBj/arWi8KeHb9SmnajYyFQQPtIe3ckDnByyZ56l+fSvZlgKNT3uXXutH+FjjhiakdOYq&#10;iGw5nu9N1K043vc6fPFexA922OsTfT/SOabBNp8pxY+I4I9xLiDVoJrVjjnksksOT6mbHvT5vh1r&#10;9oftelx3QVfm86xcTxA+pkiJUcc9Sa5eePxVGrCSaKUcq32lF4A7MzrkZ+pNN4RxXuVGvxHKqn8U&#10;Uz03T7rx5p6+bpDS3cSnJOmTC5Q/hE0iY+ppT8RrWOXGtWMPnZ2CR4QkhbuTJbmFj9GBrw+4jmgl&#10;M91pYRtwKz2bvG4I69CQDW9F4k1i42xjVr0AfKF1SFL9F9BucEqPotYzhWlpNRl8rP8AUIzprVNo&#10;9nh+K2kEfZluNSij6hUuY7yLGOcQ3aKT/wB/CPemDxJ4a1BVMkli4xy1zZy2zZ9S9q7oDj0wK8pt&#10;bRZ98t5b6BqBbn93K9lJz6jdEPwXdVhNJ8H2m251a01nTMZPnxMlzFkg44IiOPbza890aMXeVFp9&#10;1/wDWM5/ZqL5/wDBNbxl8Hvhh8VbWKHxFpT3rR8QTWF9HdyIvfbzHKmfTcfwrgbT9lb4aaMht4tQ&#10;1kRFedO1q5voIgOynY+wf9911Qu/CMBZtK16ym5LbNRhlt39OSY5o+e370fWum0/xZ44tIwmi2d3&#10;ew4+U6dILuPj/ZgeZaPYU170Kzj6/wDBLlUl1p83oc9p37NehLB5PhrTY2jXP/IGuornsMkq4aTj&#10;3aqlz8ALixLBpLy0zywvIZIwB2BKmYH8FWu0PxH8RX8g/tDS7VJUbLi6t4xIuP8ArkI5AffOa9E0&#10;bxD4l1CcH7fPp7DbuhguXG0H/ZuBKuMepFXz4tu9OcZL7vyv+Rk/Yx+OLifK2q/DO90KQTy3Ftcn&#10;GQkBDSYHZRmMg49U/Gu68afDn9nT4geH4dIHiTw09/bRyfYbfWZP+EU1uJigWOKYXY8ic7yWa4ju&#10;CrDHyA9PrrTfhToHiSSO41/WXuGlPzC805G495bVm/PaK9Y0f9nz9mC4VV8UaTDrzJkNFaaqjBSO&#10;/wBkugrMfbAHauHGyryS9pRat1i7/wCTO7L8bCjK8ZJ36NH4eeJf2ePjX4W1yfQvhnaprem3YTyN&#10;STVrBlGwgkSfZbyS3kXJx++3ZUZwK734/fsN/FDQ4NCMWnT+IPFGvWI1G6n0q7+1NZrwvksLcR2s&#10;UfUJh3+X0GK/cGz8JfszeA18rQ/C+j6WB8ynV/D8TLnjH72JH9O2a3rn4neGItPnt9B0/RblYIXZ&#10;k0m4KOI40LELbvzkKDhQoPYCjD46k7KrNx+TRx4z20m3CC+/b0MD/gkvpml/szfs/eJfh78cfh8N&#10;L1rxDBqekya9Yvay3jWGoReWJLmVmnKvHvKqsap8qruJyTX178Pvg/pnhNIbnwj490aQIABFqkT2&#10;zH1LZEir07nFfg34z/4KbfDPT5ni8C6f4hk2MwMcphggJ9RtO7Of7y18weNf+Ck3xL1mQW3hZY9K&#10;g8zc80pF1OVK8YLAAEH2xWuacOYPFa1NfVJr8UcWEx2KpPlT+5tfkftx+3l+3tomhfBH4jfsxfEL&#10;/hFNeg8QeHre38M3WgXQaWSR5wJftDxk7JLaSLzNu0b0K5GDmv5FrnTVabyI3QHkFmPTnr3r0jxF&#10;8Vtb8X69c694mvLjUb24/wBddXjF2c7QuNv3RgDjAHHHNeZXV7p6zhkQgbskL/d7cHIyPyNRk+SY&#10;PAU5Qw1NR5nd2019DrxeLq12nVm3bvqUbyK2tHaGLJK4G7+8f6V7xHp/gDT/ANnvTtclM3/CU33i&#10;i8hWNJB5f9kW9vEFYp03G4LgH0GK+frh7eadUssuDxuYbeT+del6vLpdktpo9ofOSxtQk8j8qzyf&#10;vGMYwNoBbGO5Gc16kINyVnaxwXt0ucXcTo74iVhnkkjn9K+qf2Mvhd4s+LP7QXh7wr4P2rcx30Wp&#10;z3MiCSO3gs2EryShsDYCAME8kgZya+UrnUo5GxZoVX+8x/kK+5v2IvGWseHfFGoad4OnMGp3lnmd&#10;iVRpoopATGrtj1yQCM8dcV5edyqrD1FQs5W0vsdOXU4SqwVR2X4n9Z/ij42/H7SNGF58UPibrOh2&#10;VpOszyeHWsrBWllwoDGGNHC56BnK+3evh7/gph+zx42/aU+AeheOtG8U6h4u1TwtbT6hBHf3h1CU&#10;adcANcRISu8SIVEuzPIDY6iu/tP+CYP7XHxj/ZO8QftJ/HW/bwj4Qs7RJNI0S5gkl1LW2d1CMsSu&#10;gigw2RK5OdvC45r8u/BniP4kfA1hpGieM76z02CRhBp2s2hu4HwcFYnP71U+jbcHivzDKlXouMqt&#10;GKmnf3ex93iaNGUXyVm1tqfmNaeH9P0fTTqCyrcJjYjryC3Of5foc15bq0slzM0r554AA4r6U+Km&#10;iW+ma1fppk1vdpd6tJqQexRooUS4+d1SNslQrsQAScAcV87eIVSG/MQPyqv0I+tfr/MpU4zStc/P&#10;qkOSbV9jem8QrDo9nbwBSDbBJAcj5k47Vi/22/8Acj/8eqlo0lpdYtLuKWYrlk8s4OOp4/Guh/s/&#10;Rf8An0vv1qJOT2JVRLc//9H8gtMAvGZ7cm4mTI3Ww8i8j29cpwsmDxkHJPeuu8NeI9W0a4a+0W4l&#10;M23DtZYhuCMj/WQMNkuOh4J96+ippfgx8YoI7rxtDHb6hMWK67o6xxXeRnHnRAeXNyQfmCv0+b18&#10;48dfArxh4X03+39NkHizRo/mGo6eWjvbVO3mxnMienzB19Gr5zJfEHDVaiw2Ng6FTtL4W/KX6OzP&#10;dx3D9WEeek+ePl+qK0HjHwb4ijeLXrIQXBJDXWiL94jo09hKdjnrkplvpWHqvhcnSpdR8L3Nvqds&#10;JCTHbM0nl55PmWsn7yMjuVJ9jxXk1ysk9tMVY36gfOW/c38YQZwSPvY9TvHuK4ceI9Utbw3+ntcM&#10;8bMBJv8AKv48dged/wDwISDrgrX6DLEq109GeLGDelifxFe27J8yhRH+6d4yXQY6qWOGVvZwfr1r&#10;xLxLe3tsPMt8rHxhk5Rs/Q4J9iBXqeo/EiPWwY/E9t9qkK7VvbRVt9RQ/wDTReVlHr1/pXjWv2wu&#10;pHu/CtyLxdrCYWwMVygJPElu2FbjqVxnk44xXg43HpJ2OqnQ6s4jXPifeyqbLW0jv0CBds4JkQJ/&#10;ck/1i+2G29tprktI8a3fh7xJZ+K/AepTafqlrMstq10c7Dggr5i53KQSCrKBt4rI1jypZG+0R7ZB&#10;kkxr90A4+aPjH1AH0NebatbbITdWr71yQWToMeoOSPxFfN1pqspQnqmjtptwtKOh/QD+zH+3zpPj&#10;W5tvB/xGxpmtlVjQyyD7JeP6285JUsepQkMPev0zs/FwilF3p8slu7D70eVbn1x1r+KSLV9UscLD&#10;I+zcGZASVOOhI5H44BHavtb4K/8ABQ34wfCeODRNYkXXNKjIQWl+zNJGg7RTHLrx2JZR2Wvwji/w&#10;ec5vEZW7N6uP+TP0HJ+M0rU8Svmf1jaN8Wtc09llLhsAASQ/un/ELhf0Fe7eDP2oNd0tkD3cgUNg&#10;CYZ2+vOTX4V/BD9vr4M/GqeLRrW4m0rWJFJXTr9SNxUZby5R8jYA9ifQV9d2fjON0E0E6SKRkFGz&#10;171+TSea5XV5Jc0Wj7mNHCYuPNGzP250H9sm6dfMZ0kAwmY2AJA+pBzUtz8SdO+I2rzarablmaNG&#10;mRupYDBb8e9fiunjbbIqkkkH1Iz+tfQHwZ+JQ0nxtYl5T5F1ItrMpOV2ycAn6HBrsxfGuPxVNYfE&#10;yvE4p8OUad50lY/UbwleiwvGtEyEmIkRfRh1/Ouk8f8AhGy+KHgXUPAF2VWaWM3OmTN/yzuY/mXB&#10;64JGDXjq+I9IgvVWG8jeTfnYnJA784r1S88SW9rZQ6xDINyMrJtzuz14xXv8K5k6VVX2e/ofMZlh&#10;nKN+qPgf4ZazcxpceFNcGy6tJ2tpUJyVdCVIz+H5V+nn7LvxG8uRvCuqvnHyqGPHpxmvzh/adfQf&#10;CnibT/jFoiTxWWsSLbamVX5I7wdGYDpv/U13nw1+JmjPcW2v6bcSsyY8wRoSf0r9WyXGywWNjUhr&#10;F/kfP4/DfWsNqtUffH7S/hSSw8S6b4ktEJW4ia2dl7snzKT+BrhvhcL/AEzxCbx42SMcEnHOfSvd&#10;dQ8Q2Pxh+FYbTAXubMLcIznDMY+ox9MivKNAjljhV889yK/c1RhUqKrB6M+AhJxi4S3R+hPhrxjD&#10;e+H4VeTZIV2Hnrt4ya24ta08c3dwGByFAIwMdyetfnp8S/GWteEPhvceKNJdg2nSxTzoq7y0MhEZ&#10;IA/usR7YJzXwprH7bWqWKs0j32SR8qxR4I78mZT+lefmOdww8uWR6GAwcq0bxP3xbX9GjjLQyqTk&#10;AMzZA/xrb0/xnoMShSQzH+I4Vcn6Y6V/Nlrf/BQXX7dDb28GoOE+cEzwwBseoCynH415Zff8FH/i&#10;SxZLSOxtk3HDTSy3Dbf+AeQM/nXzlbjzD03sz2KPD1WaP6rF8e+HDMfNmPLBM5wq47/SoR8RfC9s&#10;GDXCMc7txIAH0Gefxr+Ri+/4KG/Ea7Bkj1VYF7rFbI/zdzmcy/oBWQ//AAUN8dxgQy39xNuAyXSN&#10;Rx/sxIgz+lebPxIo6+4zqXClbe5/WlqHxE8I36u95PEFGGyzbV+u0GuE1z40eCYV+w6ZcR5JEbyE&#10;jy159eg5469a/k41j9urx7qimNNRv16grHKyKM+gBArxTVP2rPHK3v8AaDX164iidlgecskkm9Sh&#10;kL7mOGAbg15dbxKi2oxgztpcHTtdyP7RPiVrml6p4ittMsp0NpaaDCY1Q8eZM4LP/wCOsPxNeIXF&#10;7a2zf6xWXPA4BH1r+bPSP+Ck/wAVNV1O80ywnWO4sNBtY7uacLMXMsz+Wy7gQCuD+dec69/wUB+N&#10;RLx2uv3EO87cRLGmQO/yoP5124zxBwysnTbdjOhwlXf2kf06Xt5YRElpk9TuIyPx7iuXufFmhWzl&#10;rq5jjVeMySBQfxPFfyheKv2u/i3r5K6j4i1V1PG0XUoRs+wbH6V8+6h8XfFmpykXWp3cnJzulY5H&#10;4mvDr8fp/BQ+89WjwfK3vVD+vzXvj18LtALDUNZ06Jk7SXMSg478tXj2u/tp/AXSzmTXrE4fYxSZ&#10;X4wSfuFvzr+Su+8cX87lrqeRzuIBZify5rmbrxVvTbG/U4G7nH5V59TjPFS+Cml9/wDmd9PhOkt5&#10;t/16H9RXin/goZ8CtIV5LTWbeYk/IsQdz7dB/Wvm/wAVf8FOvAEYb+zWvZBnIIgGM+g3MK/ntm8R&#10;logc9AQevr1rkdU1+4kmEm47AcgA9Pwrhq8RY2p9pL0OqHD2Ghq7s/Zrxj/wUqluv9I0e11DaxYm&#10;KWRIx9QRu5/AV4Brv7ffxA1RSbKKOAAZUSTO5X8V2596/MS71yZ0bzmIwOM8fpVWPU1IBkJwF5Oa&#10;5nWrz1lNs6lhMNFaRPtLxJ+1N8Sdft2mutRWEb/+XeEBsf70hkOfcV4h4m+Iuo63KJtTvbm4IyMT&#10;SM68jqF+6D+FeD3niKytbcmaeNVGSCzDNef3nxH0HndMTtBG1AW5rejg5yd3FkSrQjpFHtja7EJJ&#10;DFhd5AOBgZ55rmp9ZlBkUMeo2sfb0rw68+JnymHTIZJGIyrv8ozXKT694l1ogTytGn9yEbevqc5r&#10;2cPlrum9DgqYtHtuq+KLK1hK3EqIxPIByevp61xs/jCSdGh06OQg8Fn449q5Cw0FgTJKSWPOSck1&#10;00dsIFMcajp1PX3+terTw0InnVcTOTehjXT6nOfNu3yxGFVBgc9PyrsfDmjQ6Jat4g1LAKjEKnqz&#10;e+T09cVa03TIXRL68JSMOACfu47k+gr5w+MX7QOnfaZPD3ggpcyxI1uZjzbw+rDn52/8dB6+le/l&#10;2ElJ6I8PGYpL4mZfxg+JkWmtJBbO097cAiNRhioPR2GeB6Dv+tfJkH2nzDL9pPmOxZhPkEljknBy&#10;KsxQXN7dPe6mGnmlO95i2JGb1Jz+VdHZW9vwpkdP9i5TzE/A4OPyr6qhQVJHz1fEupLyKkMd2FzP&#10;bZ/6aQ9fzXI/StKKZZsKXlz12TqJV/Pk/oK3rbSXA821QEKfvWknOfUrk4/Kt6zslnf/AEmRGCnJ&#10;jvYipyO24f4iplUSWqFHm6DtE02c2olhRSTkk2s5VvoUfOeO2a6Wy08R3qi7Kof4ftcRjb/vuPH5&#10;81qR6FaCNZfs06BhnfaOsy/XB5H/AH1XWaBpt3JN5On39uVxu8m4byz9CsgC/qa4vjlubLTod14R&#10;n1nS9k2jzXaupBD28i3A574+WQe3evqDw344v7x1h8TwaTq8jADbqkQScHPTMgDKfQ7xXz5plktm&#10;qz6pphTI5mtQ0JOT1+TKduu38a9W0rX9EaJYYr2dFUAC31KEXEWP9lhnH08vHvXdSySlNXlTXrsy&#10;Pr9SOikz6W05fhfqKH+2tK1jShkkT6fN9ptUx32yCbCjqfnFa1t8OPDeunz/AA14l026UMAIdSRo&#10;HPU8lfOHHbt7CvG9Iu9Qt2WbTbaF4x85k0O6Mci45/1LeYAOf+eaip5tbeYs+pTRs5yTFq9mUlOe&#10;T+/gBfPvlfwrto5XVoL9xWnH195fijnli4VH78F+TPbLz4UeONA23lnbveRquUn0iZZ+V5OArGQE&#10;f7g+lcbd+KtY0288rWp1uGIG631iEGbH9398BKv/AAEiuU0zUddtv9I0qXUYwB8raXeLeRL6ZSQl&#10;wD1ALA+9dpD8WvFaW32DV760vVLAtba1bunTjGyUSRc+zfjVU8ZmVPpCp6e6/wBUS8PhZvS8fxRi&#10;y+K/DfL32leUj/x6dK0GfbEm7j2VhWVe3HhzUxixa4t0IJU3lurJ6Y8xD1/Wu2bXPA9/G1zrPhdI&#10;dxAe50KZkBxjOfszmIn3MTYqCHTPhHqMmNJ1q802V1+5qkCzLycbd8JgkA9Tsf2BrZcTP4a9CcX6&#10;XX4CqZRpeFRO/Tb8zzSX4e3Wo24udPu7G5U4+W3mEbj1GJAoHTnDE+9YFz8NPEuhuJy1/ajBbeVd&#10;Y+vXzE46Hsxr25/hZ4iYMdBuNJ1KIEYaxuUjlOO6pOIXGfZ8n0rmtSTxp4ImaK/s9T07JwDJvjjD&#10;em4/KSfaQdetdeHz7CVHaFRJ9tn9zOerl9aKd1p955vBpupKyobezvcfMHnhRmOeuWwrfiDn3rYh&#10;gtLV1kvNNa1OTmW0Yqw+nmbj9fmrXf4law8OL6PTr0jj99Equd2ckyRBX7f3z9ay5PGmhSwMkltd&#10;QEpljZTeYGHYEPyf+/p969N/vFfc5LSW509v8RZrHZHHrd3NHEu1bfWYlu4l+UjhZhMoH0A7Vbf4&#10;krKuZbDQr1RyTp8slhL9QiuIc+uIs15Nex+H79k+xX1t5hJOy8jaFgSOhZcqcHjPmD3rnNS8FXs0&#10;TXFvH56ksTJZSCUexwp9e2Qa43l9L+WzNlVn11PadS+IfhryBLJHr+lsAAQyR3UK+g3qYcf98k1h&#10;J8RJLsNPZa7bSDO3Ze+Yj+mPnQqB+JGa8Gay8RWH/HrczwkcAOWXg/oT7Z/GsieXXWkEl5Ba3Yz9&#10;6SME49crg/jn8awlgp/ZqteuoKrHrBH0zF8RPiDokZl0hJpIypPm6XcFgwPqsLtx25X8K5PVfj/4&#10;skkFveXDwzowKmaCL7QhByGD7Y5QQe/86+ep7y3t5/Mntp7Z14328pGB7btx/U1rQ+KtXkt/Ji1a&#10;SSNefs+oJ5qDPbDCRf5UKlWXWLX3F3p76nVzWn7N3jOZ5Pib4Hh+0yo2/UvCmpTaRJLIR/rHtZRL&#10;ArE8t5eATzgV5X4y+C37Ms8Ak8GWfjmzkIJKXV1Z3Sbh6Mu1j+VdO008w3y6Vp11wXaXTma2Y++2&#10;B/L/AO+oqzhJ4VkI846nYNnnzI0uY1/FPIf8wfoaUmno4NehpF21i0/keHp8CfBSDfDDrt22QPL+&#10;02sL9eQFcgEj681un4F/CgIralZeMrI5+Zpo1ki/7+Rq2MV6ouni4/daXqdhdr/AJJfKOe+I7gR/&#10;zNaLp4l0REaW1uY1HO+33gFQOoKfKBz2rKdCm9qjT9f+AT7aS1cEz511f4XfB3Sr4XNtqWova7dv&#10;lCLdNnkk73CKAegGCa8f1fTYtQu55LdZhbwsLeFzzIEGdobbtXOBz3NfVPj74tXWj6JLYKqS3twh&#10;SF7qOObylPBcFlyG/u89a+Rm1q48j7LcpDOuMLI8a+aufRwBnn+8Cc9K6adLk+1c5qtVS6WOSubO&#10;5Fy8kClsEsyxKSqrnqfQdBz6464r6o/ZvttY0+8m8W20RkkhkEFuyDcy/wATHAGeuO1fPWiXuo6V&#10;d/bNNlKF1MUikB45ULBtjochgWAODnkDvzX6q/DvQfh14C+FMLeNdJKa9f3kGpQxW0/2fyRIgWS3&#10;w4PyAfP6hsL2rzswxPs9LbmmEoOTumfe/iX/AIKP/tg/GDw/Y+FPi/4x1u70yztYbWz0/K21vHHb&#10;qEjBiiWJWYKANxBPua891D40+I/FFs6a/JDqEKAJF/aFrHOFXPIVip9Oea8PtNR8ONF9pSbVbIup&#10;CrNGs8Xt80Zbj8BXe+E/Dtrq91HFaTaVdsPmaN/9Hk56HACMOPU15X1vCylz1aVm/I7qkKzSSqbH&#10;zh+0Za6XcXdpqOj2FjYNFbyC5Fh8qPuOVJTLAEHPTA56V+a2rXzXM8jPzluAevPrX7OftJ+DU8If&#10;CvUfFupadMIni+ypcQzLMkfmdHwwaQDJAzvIHevxKuZkkbEecHgnrz9a9ujiIyppU3dI8yvSkneW&#10;51Hg5seK7WLds3blJX3U/wBa+i/sC/8APeT/AL5H+NfLmjTxQ67ZyEg4cKT6Egiva/ty/wB9fzFe&#10;lhpxUdThnTbd+ax//9L8g/Dei2niTUYU+HlxLpuqy7mTTZmZoJnyfkinO5l5HKy/Ke0gHFeg+Dv2&#10;hfFXg3U2h1iSSC5icwNLBxIJEbDIxjO0jg5wSD/tVxnwB/5Klo3/AF3f/wBCavLfGP8AyNl7/wBh&#10;a5/9DapzXI8LjcNNYmmpaHpYHHVaNWPs5bn254l1D4Z/FQKvjHSksr/CvBrOjoIJQZPmV5oxhJc5&#10;yeFb3FfLHxk+FPiv4f20Wq6x9m1rSrxm+yanE/kXIdSSQVf5wy9cHcvoxr17TP8AXQf9cbX/ANFC&#10;u6/aq/5I1oP/AF+XP/oNfgeR55isFnNHLqNR+ynfR629Ox9/mWX0amDqYiUfeVtT8ptaulnsXu1P&#10;2q3jlG7ePLnjLHj5snP5tn2rya71O7nlluLJ3maEFmaX5LiMZGCJF+9z789xXpD/APIs6h/13i/m&#10;a8osP9Zqf/XA/wDoS1+tY6o+Y+Hp7GnB4lm1OSS31KNL1o42d/O+S5RMclJ168AnnHsO9cNNp+na&#10;5un8OSu7qAxinHlzJk44kAKtn3z7mtHRv+Q3d/8AXnJ/6A1Znw+/4+bn/ci/9DNcsJNN2OlxTPO7&#10;xZk81XAcwnEn8Lpk4zxlTz9fpXIXVir+ZNAS/ljzHzgFRx65B6jp+Vdvf/8AHxqn1H/oyuYh/wBV&#10;f/8AXuP5rXbCRyP4rHLWur6v4Y1S313RpWt7q2lWe3njJDK6/wBD0I9K/br9mz47L8TPDNjrM8tx&#10;av5bRzpDlR5yHDqQOCM8gjsa/DjWf9Sv1FfpR+w1/wAiDB/1+XP/AKHXxPiFl9KpgnVlH3o9T6rh&#10;HEThiHTi9D9ftG1y61aSWG2upCEA27gT2755/I1pTeMPE/hqdCCG8tlfzI22suGGCM/41xHgD/j5&#10;m+g/lW94v+9J/ur/ADFfzbUox9oo2P1mE3y79D99nsVstMtdQPzO1tC8jEAElkUk8fWvVfC16NS0&#10;iXSpiW2gtGzckA153qf/ACLdr/162/8A6LSux8Cfem/65f1rviuWtaJ81iFeErlC+8P6D4w0fUfh&#10;14vj83TdSTyXAGTFIfuSp1wynnNflBp/jPxz+y38Tbv4f+LnjvLezuTE0kZ3b4zyjADuV6jtX64Q&#10;f8jAP+uyfzr8gP25f+TitZ/67Rf+ixX67kcnPDKUujsfN0l++lDo1f8AI/cD9nb4madcaZaeLfDj&#10;yHT70r5trIpULuGGwCK+lb3TYdL1F2tgPIn/AH8PbCvzgjnoSa/PP9kj/kjmlf7y/wDoVfo9rvW0&#10;/wCvVP5V+1cNzboWfQ+AzqmlVdu5VXRLTxRpl34b1NyllqFrNp9xKq5ZFnjKFlXnJXO4Z4yB+H8/&#10;P7Rng7XfhB461H4f+IZEln02ZIlnhOUmjlVXhlAOSN6MG2nlTkHmv6GtA+5/22/pX4d/8FIf+TkN&#10;f/7hP/pHBWPE2GhOgqklqVkVSSq8qPzk1rWriWJ3RyQCQc5DDHoa8h1DW5kjaZiQN21sdea9Bv8A&#10;/j1l/wB5v5V5Dq//AB4yf9dR/SvyHFUo3eh+i4JtvU5PUNeljJZCRg++a59/FM4YIdx9/Wo9S71y&#10;kv8ArB/ntXDWpR7HtQlrY6s+LLjcVUsDnGfSqupeJmMLQlmLPGygnsSpwfzxXLn/AFh/3qrah/rF&#10;/H+VcE4JM3dRlDwV4xvH8ZeKVV5R5tjpQ6/dH704HPSu2uvEDpBuYsWB9a8U8Df8jp4k/wCvLSv5&#10;TV6Jf/6g/X+ldOMpK8fRCw1RqLszQv8AX3lUS8gckYJ+nSsSXWJI2aZfugKDmqlz/wAei/Q/zNZ1&#10;x/x7S/Vf6Vxcq2L9rLuSy60GyXYjJ6jPX6Vzt34n0634ldsdR8p/XimT/wCr/EV5zrnT8DXXTprQ&#10;5qtVrRF3WPiroOn5hV5ScHhUauHv/i9DOvlWdu5zjlyAD+pryfxT/wAfZ/3f61hw9V+or6TBZXRc&#10;eZo8ueLnzNXPSLzx14kvmzD5cYz8p5JH51gT6rr94224vJcN1VGKj9MVUt+n408f6wV1yowi7KIo&#10;zbvdirY+aA87s5YZy7E8fjVuHTovLD9yfzqWL/Vr/u1ch/1K/X/GphJozkXLTSY2xjHPI9siuntt&#10;PjjG1QARxkVQsP4fw/lXQxfeP1/xq4SbZjNkUpS2hyoyT61594x+JfhrwLaC68QNMWbiOGCMs8j9&#10;gGOFUepJFd9f/wCpX6f1r44/aX/49rH/AK7/ANTXo5fTU6iTPMxlWUISki142+NF78Qguh2902nW&#10;DIoe3jRgHbniR1y7AegAB964OfwE2nbWmWPa6qyup6gjPGMHp615npn/AB+L/vivp/xF/wAelt/1&#10;wj/9Ar7hRVNcsT46U3J3bPH/AOyGtxkSHAydrfMB/n6VM1wYoQ0yKytgBlJH6f8A1q1Lv7h/3TWL&#10;df8AHhD9RQptsSNvS4rO7cOg8rHTGQePQjj9K9GtBqNqFjaYEHAWOdRIpU9s4P8AIV5noPX8TXq8&#10;3+uh+i1z4qTvY6YR0N61MdvMG1O38hs8TWT7D9QOn6V6loWmWuouBFdR3HrFqMGffO9Q+T+ArzLV&#10;uq16Z4J/4+f8/wB0VphYK60MpVGz1+HR28PXa215Bc2MhVSfsFwNhVu4Vi4wfTj8K7vRtMk1y8Fp&#10;Yrp2pyH7sF1AbW4YDjiSPKg+/mCqnjz/AJD0P/XtDXQ/CL/kd4fx/rXsYyo6FPmpmWHgqkuWRnXO&#10;meGYwYNQivtMnjYoPLkW7iWQDkbSVfg45Env252dN0nxddIY/Dd+uqRwcmF2ZWQKM523ACdM5w/5&#10;1j+NP+Qlcf8AX5JXpvwe/wCPi+/65v8A+izX0Kk7RZ5842bSPJJ9XCSi21fTbNnTcd0Q8mRG9niI&#10;6fiK128QaIIFLXup25GNq3IF7EoJx91ijY+h49DXNa//AMhmT/eeuY1L/j1H0T/0KojBSvzajc3b&#10;c9f0zSNT1H/SdIt7C+kOcPZF7K4Xnrn90pA92P0rn5Nejkl+zz3N0rxnmK9RL6PIOCMtsYfgTXqf&#10;wi6n/cf+lfPl7/yGLj/rpJ/6FWFSCSutDSk9jv7R9SeEz6VBDKo+ZpdNnltGRcfeMblUJ+gb6U2x&#10;+K3iXSovsmi6zeRKTh7a9QyJkDs8bDr/ALh+tangf/kF3P8A1wH8jXg5/wCPxv8Arof5GvJw+FpY&#10;rnVemnbyO/E1Z0tacmj6El8b3UumvqXiLw7o2oIAN95FHGrjPG4nbE+evTOa56C8+DfiSUtbwapp&#10;khXd/o8xmQH/AHJ1kzn/AHxT5/8AkQLr/dT+Zrxjwp/x9H/crysxyalhqTq4eUoNdm7fdqdeCxLr&#10;TUaqT+R7JcfDBdYkC+GdUtLpmYKsV5by2shzyACnnR5HckL9K4jxT4R8T/D6ZW8RQSW28jyZkljk&#10;Vx2wYmDYH+1GDXvXw+/5DFv/ANdh/KoP2rv+PXTvoK+Z4W4qxlbF/Vqsk4+mv3npZxk1CnQdWEbM&#10;+cP+En1u3gMxuJJYYs5aXEqDPTh8N+hqX/hIra8iLXlhaThULF4wYmVAO23bn8c1zsv/ACLt5+H9&#10;KgsP+POf/r0b+tfrUXdXPi6is0kb8c3hTUk8mJblJGHG7bMo49GCHH4mol8EnWo/M0dra5Ccuqho&#10;XxnGCGUAkH/aIrl9B/4+k/3f6GvZ/hp/q7n6f+zCqa01G1rY8J1Tw5JZTvakOkkY5Tcp24xnkYH5&#10;Guek/tmJdtndPKo5MbknHfndwa9X8Vf8jFd/Rv6V5vbffl/3D/6DWcptaEXObk16Uf6Pd2lrJ3Zg&#10;NhOfdcGltdW0+3k821a+snPX7LL8v5cH9axbv/j6P0X+VUf4v8+tZt82jJc2tmSa/pfwp1u+R/F2&#10;u+IINSuoh+/W1jnhDqWA3Au0jKV28ZBBzyeK5DT/ANmv4kazMZdPm0p7XdlLszyKrLn72wxbx9K5&#10;/wAZ/wDIfsf90V+inw4/5FmL/rkK8DMsXOlUcYHq4PDQqRUpLU+ePB3wt+GHwK1m28U/F/UH1u4t&#10;z5ljpFhaskTTY/dl2kyG2t0JPHXbkCu60vwd48+MPia68aRz2t9Ncu00dqkjRrDGzELFGkyqgC9/&#10;mGTznmuK/ae/4/7H/fi/9Cr6j/ZR/wBWn/XFf/QzXzOKx1RRVW+rZ6UcHC7p9LHG6V4T1TSNTOma&#10;szwTxHDxK+1lb/ehZgfwNfT/AIPE+myw2E+XaUiMR3Sx3KZJAH3hk5z3YV5b4s/5KHe/9dx/OvXN&#10;O/5GGx/6+I//AEJa+wwtOLpqTW581VfLPlR3Pi3VrXxD4atfAx0uzN9qmpNZKYHYW8cEa+ZKJYnA&#10;U+YhA2rkZI5GM1+O3x8+H+keEPGtzNpsEaaddO8tvDgK0JUkPHwTkAjg+h68V+uUX/I96D/2Grr/&#10;ANJoq/NH9qz/AJCsP+/df+hmtqVk9EdFSC5T5F8IWljqviVUEeILYG4dHOS237v617lt0L/n2T/v&#10;n/69eJfDf/kPXf8A16f1r1yvWwdKLhdo8HFaTaP/2VBLAwQUAAAACACHTuJAd9J4vXOEAABphAAA&#10;FQAAAGRycy9tZWRpYS9pbWFnZTIuanBlZwAAgP9//9j/4AAQSkZJRgABAQEA3ADcAAD/2wBDAAgG&#10;BgcGBQgHBwcJCQgKDBQNDAsLDBkSEw8UHRofHh0aHBwgJC4nICIsIxwcKDcpLDAxNDQ0Hyc5PTgy&#10;PC4zNDL/2wBDAQkJCQwLDBgNDRgyIRwhMjIyMjIyMjIyMjIyMjIyMjIyMjIyMjIyMjIyMjIyMjIy&#10;MjIyMjIyMjIyMjIyMjIyMjL/wAARCAFTAf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qotTlXiRA3uKvRajC6Aklecc1kbOKeEzCfY5pNE3N&#10;+OZHGVZT9DVhTXLKhB+UkH2Nb+ju0lu25iSG6mlYaZoKKt2qkrIP9moVWrdquHYeqmkMhVeakUc1&#10;BPeWdmC1xcRRgddzAVlHxhprOUtkuLpx2iiPP4mgDolFSha52O+8SagMWWkx2sZ/5aXLZP1wMVZX&#10;wtql6AdU1qUjvHB8oosBoXWp2FkD9ouoo8diwz+XWsqTxbbMdlhaXN4/+wmAT9a1bTwjo9ngi181&#10;h/FKdxrYjhhgUCONEA6BQBT5QORE3izUT+5tILGM/wAUh3MPwqT/AIQ68vTnVtZuZgescbbV/LpX&#10;W7wKaZfQUaIDGsvCOi2WNlkjkfxSfNWzHHHCgSNFRR2UYFN3k9aTNK4XJS6immX0FMzSZFF2A/ex&#10;pufWk3Y70xpVH8Q/CldgSUVF5hP3UY+/Sl/fN2VfrzQwJOaaT6sBVCe31OSYrHdQRxY4Plkt/Oom&#10;0N5h/pOo3UnqEIQfypIC7NeW0IJlnRQPVqzJvE+mxNtRmlfOMRqW5q1F4f02Lk2/mH1lYt/OriQQ&#10;wDEcKIB/dXFMDDbW9Sn+Wz0mUjs0hCiptOGuT3edQSCK3wflRiTntWxvHQUm85NAB5KD+EH9afgY&#10;wBimZbFQS39tbjM1xEg93FAFsU6sObxbo0PAu/MPpEpb+VV/+EuM5xZaRfTnsWUIDRYDpaK5k6h4&#10;pu/+PfSLa3B7zyFv8KUaX4ouv+PjWIrcH+GGIcfjTsB0jMFGWIA9TVO41bT7QHz72FMdQXH8qxD4&#10;GjuJBJqGq310RyQXwP61qQ+FdHgIP2NXb+9IS1PlAqSeLtMHEDS3B7eVGTVf/hItUuTix0OZvRpm&#10;2iujitrW3GI4YowPRQKkNxEv8Q/CiwHMGPxfe/x2lmh9BuI/P/Cmnwjf3n/H/r1247rGdo/IYFdK&#10;16g6AmomvW7KBRoBkW/gbRYDueF5n7mRs5rXt9I060wYbOBCO+wZqJrqU/xfpUTSuerE/jRcZqeb&#10;Eg+8B9Kja8iXoc1lliexppZvSi7EaLX4/hT86ha/kPTAqnhzSFD3NGoyw11I3VzURcnvTET73NMG&#10;75gMk7uPagQ/cC23dz6U7bUaWoDb2JL1Piiwxu0UijinUi5x07mmIQdKMcUoHHWjHFAHMeMLEzae&#10;l3GPntzk/wC6ev8ASudstWhh06dC4ysivj3r0S4gSeB4ZBlXUgg159ZfD7UEvLwyXEUdoTw+csV+&#10;lFhmikj3iKwztIzgdaBoS3JD3IKJ12DqfrWza2dppsIjR97DgseSabNeRJnOfx4o2EQpFDbQiKCN&#10;Y0HQLTWc1n3HiPTYZCkt1ApHUbwT+VaUCi6t0miO6NxlT6igZAck1Z2Muku4HO/infZsYyQKvyos&#10;ehnOMA5NT1A58xkjnrVW6byiABzVx7+3UEqhYetUpj58hcjGegpgTCOpFiPlPxU0GjeJL0fJZw2i&#10;/wB6Vsn8q0YPAdxNzqGrzMD1SEbRTISMGWW3t/8AXTRx+zMBU+na5BErx21tdXbEjHkxHH5muvs/&#10;BehWXzCzEr/3pTuNbEaWtsu2JY4wB0UAUDscdH/wkt8P9G0yO0Q9HuHyfyq0nhXVLnm/1qUZ6pAN&#10;o/Ouna7jXvmmC93OAF4o0GZNr4M0e2be9uZ3/vTHdWxDZWlr/qYIo/8AdUConuH3EZxUe4k8kmlc&#10;C8ZVHemmb0FQKCadjA5IFK4Dy7GkBNM3qON2fpRuJ+6h+pNFwJKDxTdsh7qPoKTyf7zsfbpSAUuo&#10;6sPzpvmg/dDN9BUgjRf4RTqAIf3x/gAHuaXynP3n/ACpaXNAEXkJ3y31NPCKvQAfhVefUbK1z591&#10;DGR2ZwDWZN4u0mNtkUktw392GIsaYG7RXOjX9Ruf+PLRLlgf4piFFAXxVdnpZWi/i5FFgOh/i/Cm&#10;PPFEpaSVEUdSzACsYeH7+cf6brM7eqxAKP0qSPwjpYYPOjzv6yuTRYCSfxJo8H3r+Fj6Rnf/ACzV&#10;U+KIZc/Y9PvbkjuI8A/j/wDWrWh0zTrT/VWsCe4UZqx50KDggfQUWQHOm/8AENy3+jaNHCv96eT/&#10;APVT107xJcf67UILdT2iTJH41uNdoOgJphvD2WnoBkL4VeU7rzVLuY+m7aKsReFNIjOWtvMPq7E1&#10;cNxKehxTS8h6saLgSRadYWwxFbQp9FFTmWJOMjHoKp7c9SaAgouBaN0g6Ammm7PZahwPSgdRSuwH&#10;tcTHpxTC8rdWpz8NSUtRkZU9Sxo2D1pxHFNcNsO080CF2iopMKQaWIvgl80kwJUEUxgEJOR0xTvK&#10;qaNfkGaftFIRW8r2pfK9qmdo413O6qPVjiqUutaVB/rNQtgfQSAn9KYFgR47VBdLgZAz7VTbxVpI&#10;OI5nmPpFGxqtNr09wMWmkX0p9WTZ/OhANk8xJ0kJwoOMZ60281Z11O1062jAaZSxb0WoHh8RXZGz&#10;So4gTnMso/pT08O+IJbyO6kns4JEjMYIUvwTmqFZm4rIkah2UEAd6ja6t16yp+dUU8I3zjE+tSge&#10;kUYFTJ4H09v+Pq5u7j2eU4/KgoWXV7CEfvLmNP8AeO3+dZ03inS4idtwrn/Z+b+Wa2oPCWgwfdsI&#10;mPq3NXo7HTbbiK1t0+kYoEcY3ihpTi0s7iX3WEn+eKmivteuE/d6NcE9t5EY/XNdoJ4kGFU49him&#10;NeouMlQScDJFAHJCx8V3H/LtawD1kmJP6VPH4e8RPE0curQQo/URRZ/U10rXnug/Go2vWwQrDPbA&#10;p2A55fArSDF1rN5IPRCFFTRfD7QU5mSac+sspOa02nnYcs+faq0oncHg89yxpASQeFfDts4Eem2u&#10;8+qgmorqHToZypEoA4CRjCin6RbmKbJzjBPJJ/nVS6JaV2z3oAPtFlGf3dmW93aqGoTzXuYwqRQ9&#10;wOpqRlqFhSsBmy2cMa4yST0FRGHBx1q237y4x2FPMPJpgdbNr1tHnYGc/lVGbxFM3EaKg9epqtDo&#10;l3OudoRT3Y1ZGgwwjdc3WB6A4/nQIz5tWupfvTMKk0yWSSd87myOtXN2jWh+Uea350+DVopZvKgg&#10;CcZyRilqBaSGRuduPrUqxCMgswqEzSP1binDrzn65pDJi0RYsMsTSiRj91FHuaYvPalMiIMswUe5&#10;ApASbXb70hA9AKeIl7jP15rPl1zTYDh7uMn0TLH9Ki/t3zeLTTr249GEe1fzPP6UwNgADoMUo4rI&#10;E2v3H+rsba2B7yyFj+lA0rV5/wDj41byx/dgjA/WiwGuXCjLEAe9U59Y063/ANbeQqR23ZqsPDFm&#10;x3XM1zcHuZJTzVmHSdKtP9XawgjvtyadgKL+KLLP+jxXFw3/AEziP86Z/a2sXB/0XRGUH+K4kC/y&#10;raE9vHwgA+gFNa+QdF/OjQDEay8U3jgyahbWUf8AdhjDn82zUg8Kef8A8f8Aq1/c56r5hRfyFaL6&#10;kF/iRfxzVZ9UXn94x+goAdb+GNFtOVsoiw7v8386volpbDEccaD0VQKyf7SQ8Hd/wKj7Vv8AukUa&#10;hc12uowOBmo2vvRR+NZZkc96klz5UR9RS1AuNeOf4sVG1wzdXNU80ofFAFkuT3zQDUCuKkDigCUU&#10;4VEJEH8Q/Og3Ea9WH4GkMmpTWbda3Y2f+vuEj4yNzAfzqg3i/TM7UlaQ/wCwhb+QNAHQ0ZrnP+Ek&#10;lnH+iaXfTHtiLA/U1NHca7OoKaQ6E/8APSZVxTEbm8UeYuRzWQun+IZuWaygB7Fmc/4VInh3UXOZ&#10;9YYe0UQGPxNOwGncyrHIQT2qpJqMEX35VX6mkPhe3kcPc3t5O3+3Lj+VTJ4a0ZDk2iOf9slv50WA&#10;zJfEmnxkj7ShPoDk1D/wkiScQW9xKe22JjXRxWWn2wAitoVx6IKnEsSj5QB9OKNBnK/2hq8//Hvo&#10;1x9ZCFFPZPFc8apFaWMA7mWQuf0xXTG5Qc5qOa9WJQxyV7kDpRewtzHTS/EUiBZdXtoD38i3B/8A&#10;Qqd/wjU0v/H3rmoSeoRxGPyWtB7tZ4iUZiRzgNtrHuNUSNyjW7Fh2lc1POiuUmPhXw+h33CmVvWa&#10;dif51PHZeHbQgxWlqGHQiPcfzrEk1l1HyRQof90Gqcuv3uDtlCj/AGVxS5hWOzW8tl4htpD7LFgV&#10;PHeRuORsY/wsRmvNpdbunPz3X5uFpkd88j5E8hYjH7tWY/oMUc0iklfU9GvNVgsYTLM2FH41RsfE&#10;lprNvI9hcKWQ7WBHKn3Fc/Yz3c+ntZ3mnX96hyocQhcj3JP61Q0jwlqema2dSsdPki3k+YstwoWR&#10;fcDPPvTSfUGktjvUuJRGoJLHHJA60GWY9F/Os1bfxHJ306Af8Dc0/wDsjWJR++1raPSKBR/OrIKm&#10;tjxK3krozWag58wzgnHTGOfrWRLpHjCfBuPE0FoncRxKf1Irov8AhGVfH2jVb+b2Mu0fpT18LaMv&#10;LwmU/wDTSRm/maYHH3PhyB2zqPjW9YHqiThR+hptroXhGzu4rkXN5eTRMGDF3fkHI6da7yHSNJt/&#10;9VYwKfURirSiCPhIlX6KBQBzy67G3FppN9KO2Idv86kW/wBZlBMOhso/6bTBf5ZreMw7Ck88+lGo&#10;jEWDxHKMbNPtwf7xZyPyxT/7F1WVT52rLGT/AM8YBx+J5rV85yMA1BJJMe5oGVdP0X+x0mlfULq5&#10;Zkx++bgfQVRcby/0zV2TzGHzEmq+3h/92lqBRIOKrygqjEVeIyOlV5x+7bigClbR/OD3PWrLptal&#10;tU5HFOuDtfFMRpSWOvxpsS5hkX05Ws6ex1YHMtm7+pVw1aSa1Ov3iG+oqdNd/vxj8KLBc5eYyW4J&#10;mtp4wOuYzTdN1e0N2PLZ5DggqsZJFdkutW7D51YUv9qWEYLIACeu1cE0gMuO5u5v9Rp05HZpMIP1&#10;qZbTWJT0t4B+LGppPEEYPyR59yaqya7cN93av0FAXLP9hXMp/wBI1KYjusYCinDw9pSczKZT6zSF&#10;qzH1O6ccuSPY4qrJdXLdMfUnNAXOmjGmWgxFHEmP7q059ThH3QT+lci012eshA9qYrSM3zOx/Giw&#10;XOpk1gKpbAAHXv8ApWBd+P8ATbd2Rrh2cdVWMg/rinQLU8tjbXSbLi3ilX0dAaLCuc1d/E2BciK0&#10;lf0Mj4/SsW4+JWoysRDBBFz3BauqvPBej3SELA0JP/PNv8c1zV18MZEkZ7S+DDssi4NOwXNXwdru&#10;qa3fytc3BaNFPygADNdCzOScsTVDwboMuiQOt0UEjsTkHjFXZ72zhZt91EMHpuzQkDFC80pWoV1G&#10;Bz+5jnm/3IiamX+0Jf8AVaXPz0LkKKegrMTZS7SOnFTJpmty/wDLK1hHqzlv5VMvh/UG/wBbqaR+&#10;ohi/xoCzKytIvQ5/WrU1x5dlA8mB97qcdKf/AMIzaY/0m/u5fbzdgP4CnroOgQfMbWKQ+shL/wA6&#10;HqNKxmnWdPT713EMds5P6UDVbeX/AI947mf/AK5wsf6VtxvplrjyLaJCP7kYH8qkOppj5IyaVh3O&#10;eaXVJsfZdInPvKwSpk0zXZRlktoR/tOWNazao+eEUfWo/wC1ZD94Y+gpcoXRTTw5qEhzPqgUf9Mo&#10;gP51Ivha0LYnvrqZh2Mu39BU5vDKD8/B9arJaW8M7XEcapI3VqLBctR+HdEhbd9kjkf+853H9aux&#10;w2MAAighTHoorKa5t4yTJcovrlwKaNSsh0nVv93J/lQM2muolHUAVzk/xC0KN2jjllmkXgrFCzYP&#10;5VcXUkb/AFVtcOfaIj9aej3p/wBTpbLnu7BaAKdv4x+2w3L2ulaixiTeqyQFN/OMDNP0vW9W1Cdh&#10;c6NLZRYyGlkBJ/AVdEesP0jtYfqxb+WKcNO1NuZNSRP+uUQ/rQBZzIRncBQVOMljj1quNF3HM+pX&#10;rn/Zl2fyo/sDSs5kt/Nb1kct/M0gGy3thDxLewKfQyjNQf21pvRJWlPpHGzfyFacdhYQgeVZwr9E&#10;FWAyqPlUD6UAYq6oW/1GmXr+5j2j9TTvP1WUFU0pUz/z1mH8hWx5ntSbz609AuYA0vV2bcptLU/7&#10;G5v50T+Grq9C/atRxj/nlEFre3EnrRk5pWQ7s56HwRYx/wCtvbyXPXMmP5Vbj8J6JGQWtRIR3kYt&#10;WrmjmiwrleLStMg4isYF/wCAA1aQRx8JGqj2GKbzRg0wuP8AM9qTe1MxTHnhi+/NGn+8wFAEu8+t&#10;IScZzVF9W06Prew/g2f5VEdcsT/q2ll/65xMf6UxGjk0tZv9rs/+p069k9zHtH60v2zVH/1eksP+&#10;ukqj+VGgamjikx71n/8AE9fpDZQj1aRmP6Ck+x6y/wDrNStoh6RwEn9TT0FZmltA7UYAPSs7+yLp&#10;xibW7oj0jVE/pSf2BaMMTXl/L6hrpwD+AIouOxoblTJYgD1JxVS41bTYF/fX1sn1kFMXw7oinLWM&#10;cjesmXP61ajsdPtwPJsrdMdNsYFFxWKqTRXMCzQMJIm6MvQ1HtB3/wC6a0pUUnHQdgBVWRAiNtUn&#10;IxmjcZmECq9wP3RqeUEGqs5/dHmpGLaqAc02dd0hOQPrT7UevSs7UbwibCjgcVUVcVymNadf9dYT&#10;p/u809dcsz97zI/99DWudLul7ofwIqNtOuD963RvxqbsLIpJqdnJ924T8TipRLHIPkkU/Q09tJRv&#10;9ZZD/vmoW0a1zzbsn0yKYrDznsaAGHrUX9kxL9yWVP8AgRp32KdfuXbfiAaAsyYZpwzVcx3yHiSN&#10;h7rSG5u4/vwRN9GxTFZlrmnKB6VTGpheJLOQf7rBqkXVbL+Pzoz/ALcZ/pmgDQjUjpU3mmPllJHt&#10;VWLU9ObpeQj/AHjt/nV6NoJhmOaNx/suD/WkBIkgbG0de/pTo/DrOxefVrx93IVGCAD04FKsWOgF&#10;SCSRBgMRRYaY9PDOlqcvC0p9ZJGbP5mnfZ9PsfuabtA7pEDTBezL/EacNVkX7wU0Duhf7YgXhUCf&#10;73FNbVJG+5sHuKf/AGnFIMSQgj86Yf7KnB3wqv0XH8qAImvrgj7+B7cVA12/VpiB7tU8dho8LlgX&#10;YnszscfhUgfSkPy2qk+60CM1ryDvMp9gcmgXCscRxzP6bYyc/pWsL+2j/wBXbov0AFL/AGoT0QCn&#10;qLQytt25+TTbk+7bVH6mpltdVbgWUKD1knz/ACFXvt8jeg+lO+0SMPvGgehSGl6o/wB64s4gf7sb&#10;Mf1Ipf7CmYfvdTfHcJEq/wA81YaRz1Y/nUDlj3NAXGnQLDrLf3T/AFmx/Kn/ANkaLEoLoXHq7s39&#10;aibOOtJKQtqhLAcnqRQFy5Db6QoPlWkXH+xVpJLdBiOFFHsAKwYb61hlKvdQqCO8gqyNRtD9ySSX&#10;/rnE7/yFJjTua/2rsFFJ9pYntWat0zfcsb1x/wBctv8A6FinrJet9zTZB/10kVf5E0hmgJS3Umk3&#10;k+tVFXVSeLa2j/3pWb/2UUv2fU2+9cWkf+7GT/M0gLeTS8mqTWF22N2qlef4I1FPGng/6y/um+jY&#10;H6CgLFvB9aY0safekQfVqrHTbAcyGVvUvKf8aaY9GixuS1H++4/rTCxI+o2Uf3rqIf8AAhTP7Wsv&#10;4Xd/9yMt/KlW906PiJYj7Rxlv5Cpf7RB/wBXb3LfSBh/MCgCH+0t3+rsrx/+2RH88UC7vX+5pUw/&#10;66SIv8iam+2XLfcsbj/gW0f1pPN1BzxaIvu03+AoAj3as/S0tI/drhm/QL/Wgwau3W6so/8AdhZv&#10;5sKk26iRybZPxJpvk3bfevYV/wB1P8SaAGGwvm4fWJF/65woP5g0w6MC++TVdQY4xgTBR+SgVL9m&#10;kJ+bUn+iqBSGzi/jvblvbfigLDDomnkfvTcTf9dJ3b+ZoTTdHg6Wdvn1YD+tB03T3IMiSSEf3pGq&#10;VbKwH3bNW/3hn+dAB9o0236C1j+mKT+2LMcJNGfZBu/lUyQwp/q7KNfogFTAyAcRhR+FOwFI6srf&#10;ciuXP+xA3+FJ9uuX+5p92frtX+Zq6XlA5ZQPc1DJewRf6y+t0/3pQKAIPO1J/u6cB/10nA/lml2a&#10;s3Iis4/rIzf0FRya5pcf39VtvwkB/lVdvE2jA4F60h9I4nb+lAFw22qOvzXtrH/u25P82pBp92w/&#10;eavL9I4kX+YNU/8AhJLM/wCqs9Sm/wBy2ak/t+4f/VeH9SYeroF/mad0Bf8A7LU/fvrt/wDtpt/k&#10;BThplkOWErkf35WP8zVQ6hqjW0UkOjHzGJDRyTqNg7H8aFudYeGY3FnbRKI2KhJcsTjgelF0I0n2&#10;7hyAOgyaikmt0GHmjX1ywFeTW2heIjrEEt7cpFGJVZvNvV6ZyeN1O1oibXbySN/MjaQlWByDTTCx&#10;6Bd3lo7lIJEd/RWzWawleQKeF9K57w2h+34x2rr3McZM852xR8knv7VO7sPoMmlXTrEyuMyvxGnr&#10;UOmaFPqMbXFyfLDdBirNrazavci7lQiAfdBHauhHmooWNMKB0rTZaElbb7Uu2nYpaxKGhB6UeUvp&#10;TxTsUxFc26N1Aphsom6oKt0YoGZ76bCw+7ivPfEmqLpetTWnnFQoBA+or1LFeSfEKzlfxM0iIxVo&#10;VPX60xFMa4rf8vC/iaeuplukgP0NYAjuVKn7Oh28fNCrfzBqMRlHZ3tUJb+8rAD6bSMUDOl+3s3U&#10;5o+1LwSiZ/3ay7bULVIwjaNBIe7LNKp/9CI/SoLu5V3zbRzW3qhl3j9QKAOij1KWP7ssq/7kjD+t&#10;W4/EN8nS7mx/tEN/MVw8l/dQoXMmceqf4UR61cbQSiMPoRSCx6Cnii9H3pY2H+1Hz+lTp4oY/ehi&#10;PuGIrzseIGH34PyapE1+A53o6/rRdhyo9HXxHA33oWH0cGp01uzbn96v1T/CvNxrdicZmx9QakXV&#10;7M9LpRn/AGqdxcp6Smp2T8C6Qf73y/zqwkscv+rlR/8AdYGvN49WQ8JdjH+/VlL52/ijce6g07hy&#10;nooU4pyq2a4KHUp0+6zKP9mRl/kavRa9dxjieXH+1tb+Yz+tF7i5bHaIGBqwhYDpXJw+KJ1ADGJh&#10;/tR4P5g/0rQh8VIfvwJj/ZkP9RQJpm6xyKYLWK6A824lh29BGwG768GqSeILGT7ySL9AD/I1J/ad&#10;i54m25/vAiiwGimj6ecEtLJ/vTt/LNP/ALI0+PldOhfHQlQ386zVnhflJlP/AAKpBPKv3JD+BosN&#10;MvJPHE5jh0yRcd1jAFSm6uiPks2/4EwFZrXt1jHmtUf2q6J5mb86OVjujU8zUG58iNfq9IRfHrLA&#10;n4mqC+bJy0hqVYC3VzSsx3LBSfPz38Y+iZ/rTTGvRr9/+AqBULW5HTJNRIkscoYorKD0YgZosBaM&#10;NsR81zcN/wADx/KkEFj0Mcz/AO9Ix/rUxvrSIAzNDHxz8w4NZmoeJdJtcvJrCxIByEUN/SiwXL32&#10;azPTTo2/3kB/nU0YMYxFZxoPZQK46X4heGVODrN/KR2RMfyUVnzfEzwwhx5WqXB93b+rCkF0eimS&#10;5A5CKPeoXu9v37u3T/gYrz1viPohhVY9FkbDEhZnUYzjnv1qBviXbp/qNCsk9CZQf5LRdDR6E+p2&#10;q8NqUX/ATn+VN/tKzx/x8Tyf7sTH+lecv8Ub/GIbPT0/7Zu3+FVn+JfiBzhPLXP/ADytc/zJpXRX&#10;K+x6b/aELfctr5z/ANciP50ou5m+5pF0fdmUf1ryeTxz4smyFuLnH+zAi/yWq7a74vuRzcagP+25&#10;X+QFJySKjRqS2iz2IS6i33NKRf8ArpN/hTi2pLblmis4ZN38TkrivFH/AOEnuP8AWSSuD/z0uWP/&#10;ALNUf9j61KMtJGMf3nJ/xpe1j3Nlgq7+yz2J9QuYx+91nSYfbIyPzNU59bt4V3TeLbVB/wBMkVv8&#10;a8q/4RnUJDmS6gH+6v8A9YU9fCcp+/qLD2VD/jS9tA0WXYl/ZPQ5fE+ijIfxReTH0ijx/SqEvivw&#10;yp+e61q49mdgK5JfCUPSS9nb6Y/rmpV8J6epBMlw31Yf0FL20TRZVXfY3pfF/hZORpFzN/11n/xN&#10;Vm8faLET5Hhy39jI4P8AjVJPDGlAEmFmx1zI3+NSJoelIOLKMnPBbn+dT7eJayio/tIkb4n7Bi30&#10;bTo/oM4/Sq8nxW1j7sK2cQ/2YSf61YGl6en3bOBT7IKkFtCn3I41/wCA0vrHkaxyd9ZfgZEnxH8T&#10;zAlbllz/AM8rcf1zVWTxd4puDk6lfY9lC/yFdA3mJEQqIckHGPaqMxxy9vg+xpqtcVTKowV7mK+r&#10;eJLxUhe8v2Azt/flev8AOo2s9UuFw6vnPV5STWqsq+YPldRnrmrEchkcKqsVzwSaJVJEUcFRlo22&#10;c/aWMtrqcCS7QxOeOa7VbTKAislbFJvFmm2244kIyR2r0+Pw7ZooUtIw+oFdNPWJ5mKgqVVwXQ5r&#10;QolivCzkKo5JPYVfgm/4SDVMY26bbtx/00PrW/HolgqMvkkhuuWq7bWVtbRCOGFEQdgKuyRhzD1u&#10;7eJAijAA4AFAv1P3Y3b6Cplij/uL+VSqqr0AH0FJuI1co4pcUUtZFCilpBS0CCiiloAOnNc5ruh6&#10;ffXqz3PntLtCiOOVEyP+BEV0Z6Vw3jzxDe6HdWgtfLUSIxZmQE8EdzTGlccdBtIBmPw3eTD1a5Bz&#10;+WaiFu6viHwYM9jIpP6nFVLLxPbX0eZvEt8r7QWRLcDFXZLvRzCWbxFfO+Puu7R5/SgOti3EviLb&#10;ttvD1jbj3CD+bUy40zXpUzdjSLdT13qv/wATWPNqVnbfNFqCNnn95qTj+QqZfFcESDF5ZdP4riV6&#10;YrkGp2drZ6fcT3L6PetEm77PDGNz/iBx6/hVXQrDw8PD1s19YvcXDM4Kwrl8bjjPPFacnja2fbFH&#10;cWMsjjCoImG4/wC8en1qr/wmtlo1rG4lWW4IEbpbpjGB0LHr+HWpbGVZ/D+jzMXtfDuqYPbecfyr&#10;Mu/BU07A2um3luO/mOD/ADArUvfipazQBW0x5CR/HKR/KsxPG+it88miDcevzlgf1o5kXyStexnP&#10;4Gu0kjE8sESM4QlpEyMnHQMT+lUbvwNqcDEhrORe227jB/IkV07+MtPuI0S20+3tirLJlIOwOSPe&#10;rd14uspFDwXl5GGPO3C0XQKMuxwQ8M62eE0wvjugVs/kTUWoeG9f02zeeWxuYEVN+/qAPf3ruH1a&#10;Kb72pamVPcTr/Kq0yQyxS+VfX1xIyELFKQQzY4zz0ouh8kt7HJafZ6lLZLOz3KnIB6irSnUYut9K&#10;v++ua073ZqN08mo6m1sYwqxxPFnC7RwMH1zTrLQra9i3W2tWpGcfOrJ/SlcOSVrsqxXGpgZM8cmO&#10;mYxUFz4kvdPmEc1tG+Rn5cj+proYfBt6WEkWoWMoH924FYHiPRLi0u0SZoWYrkbZVb+tJStuJrU0&#10;vD/iE63PJDFb7HjXJ+fP9K6y3guSyg4A/Gua8GeHp9M1BppTC0c8PAQ/Nng8j6GvQYYgCOKrmuQa&#10;CaFCAOSfc0/+yVX7o/HOK1kGUU+1P21pcDEktPJHLyDPoc1FscdJM/7yiti5jDRjI71UeAYyKVws&#10;VFlmT+FGH1IqdL4L9+F/+AkGl8r2pRACOlK7CyFN/asOWdD/ALSH/wDVVK4uIXziVG+hqd7fGeKx&#10;byObzQqn5fpmncGivdxo5bHNcn4qgRNKlcDBGP511wsHOSe9Y3iex26BeHGSEzS5hWOBs9OgeDzD&#10;nJAON2K04NHsZELmInBAOWp2lxI+nxlhklP1q6sAC4Ukd64pzd7H01DDRUIytuJFplgnH2eP6kVZ&#10;S0s0Py28f5U5V496lCio5n3Or2UF0QYtxJkRKq+yilWTDDaOntTli3delSBFHaobNYUo9hg55PWn&#10;b8dqeFHpRsFG5uoxWwwOT/8AqpyscEDoetOCjPSnBB6daEDGgmlJJp+BiimK6Gc0ZNOxRwKA0EDM&#10;A3oRg/nTcGn5pKdwGHIpDk04kU3dUlCcimvt2/PjHvTg3NRXMInXg1SV2TUcuX3UUzLGZfkhUjNa&#10;aqMkgbQSSBWfCY4G2klm9AKuxyAjOMVcrWOagnq3uM08A+OtO4zj/wCvXq5bmvI9NlJ8d6dk/wCe&#10;a9a716FBe4fK5j/vMiRTUymoFqZauRxEq1JUQZQMlgB7mhJ4nyVkU4461mzSJWooozWZQop1NFLT&#10;ELRUckqxYyCcnHFJ5656Gi4XRNXmvxXMMS6dLK4T7yjIJz3r0YSqfWvOvi/EJNFsJNuSJyP/AB2m&#10;tWCfY8ua/hGQJev+zVIyhm4Yn3qKYDCkDrVTzH5AJ61ryoJd0aSwtMQq4LHgDNbEvhXX4olJsZQm&#10;Mg4rnY3aOSJyc85619Gyn7R4ftZM53QKc/gKagmZynY8IFlNZ6lYDUleK3aQLIxOMLn5ue3BNaet&#10;R6c8cH9mOrRqShA9c8EnvxjmrfjUAJDIR9yUfyrH0PybubEmdhkQnH0//VWFWPLsdWG5ZyVyK4gk&#10;ikEUqqCB2qEuVOFXHviuq8caVBp2rxiAvteJX5965B2IbrXPG7V2epCUeWyLcTussYyyBuCw9KbK&#10;pg3KwwV4Ipk7/wCjRkcENk/pV/WGWTUJnUDacH9BVtaCi1z2KoxJAr+tWNNu20/UobgHow69Px/O&#10;um8L+Dn1jQheCXYgcgkDJ/nS61oUWnaZdBL+UukZO3aAP50KDYVK0OVxRzXiwTTauzyBRJ/GFOQp&#10;9M10Hga8kj094IkMhFwN6gD7p2jnIPvWJpUbajbSSSTSsT8xOdxJ/Gt7wMWgj1FVjYyMwIcqSOPX&#10;HSiKtImtZ0FY6mW5SNr6Q20cc3lxMsbqDgndx+lcT4y2vc20n2YRM0XzfKAGPrXbXDRQ3LzSLJK5&#10;EbBUTOOWwevvXGeN5XlWzkkO0ncvyitZR0PKekkb3hqGJTZyrJMWaEAxtIxVOByATjn29K7FBivI&#10;PAur3lx4ot7GWd2giVwqHoOK9iUUkrCZ0MPMMZ/2R/KpKit/+PeM/wCyKmrQCKYZSq7J8nSrjD5a&#10;jIBWgCqEqVAAOlKVxSqKkCGRetZ0kQMucVqOOtUXH7yhgQGMDtWH4nhDaBfDH/LFv5V0RFY3iJc6&#10;FfD/AKYt/KpGeaaQCdMhI9K0VrN0OQrp0XXHStyCI3EqRxrl2OAK4Z35j7LDRToRd+hGuT0qZUJI&#10;JrRTRb3fGhiCmTOMnjj/APVT/wCx7lWAJj787umKOWXYFVo/zFHOKAavf2XKJGRpIxt64OabJYOj&#10;7S6lQCcgdcAH+tHs5FrEUtkyrmlrQg0nzYnLzKrqcbQPxq/p/h6O7iLyXRjGeAUA/rVKnJmU8ZSh&#10;uzBBoJxW/c6JZxwF47pnIDcgcDBH+NZosYTZ7/Nk83720JyR34zR7NoIYunNcy/Io7sd6QtWobfT&#10;1sRKUfJG0HzRycelSPZ2awzlFZiqfKSDkHH5GjkfcX1uPZmPu5xRuycVpn7FHbSK8KebyQQc9APe&#10;rp/s37B5irbiUx52lhwfypqHmEsZaz5Wc9uo5rqrK50hEczNbYI4AxnOBnsPenXes6PHZL9nhVnI&#10;2gbBkcY5p+zXcyeOnzWVNnIEMex9aQByMhSR6gV0La3aqAownyhcqnTjqePWs611G3gaN2LEozHa&#10;F+9noalwiuptDE1Wn7hR8icOF8pwScDKmpfslyMZgkGeBlauXesxzCIxK6ujZBwAcHOeh9xTJdZD&#10;3EZRW8tByTkFj+BxTcYrqNVsS/sWKq6TdeYziBlYnBJpJYJYGKSFQ4OCPSrraws0TxSRttcclSM5&#10;79e1Z88xnmaQ8bj0znHbGaUuVLRlUPayfvxsZtk7f8J9pasedw6fjXsR614xaN/xcPSQD/Gv9a9o&#10;716VD4EfJZlpipj1p7ttjYjqASKjWnyZMMgAydp/lVSOKO55/p+r3mozTi5dSqn5Quc9TXS2Bzb/&#10;AI1xui2d7az3JurbylYja2V+bk+ldhpx/wBG/GsIu5vJW3NzNFNByPwpc0hDhxS0g5paYiveErEC&#10;OzVzdnqeoXZmVRHG8ZOAy9RXSXn/AB7k+hBrn5tc0+CVojHIWUkHEdc1dpNNysjejd6KNy/ay3jh&#10;2luItqnaAq9TXMfFpFbwrbysM+XcKePcVuRa5ZyozrGwx2IAJFZ3xMg+1eBZegKyRt+tXQlGS913&#10;FVi09VY8KknQkKqggjqe1Z5bazCrv2B0IfIx25qpPbujOSRXZG3cxZNLJuijPGRxxXv/AIcuHu/B&#10;Gnu/XycflXzqZcxqB2NfQHw9k+1fD215yYy6frWsdDGocZ42hB0+Vh1V1P61zmhKUt45E6h8sR25&#10;wK63xjF/oF1kdFz+Rrg9E1NrXzItu5Shzn/erGsu5vhW1JWO18fXPn3VjJ/et1BrhpWxIetb2q6i&#10;kpjkKchMZ61im+CTFkB6YxgVz2R6FOT2SHTZazJAPC84q06SsuSrElR29qk/thhYzKYlO9cDIp0N&#10;xI8COsWcIBwcDpVWWyK55btHU+BNYv7OcWQWQ2kmQ3HCt2Jz07/pR4302+uTPPAzMg/5Zjr7n8MV&#10;r/Dy1W40W9uZFXf5wAUqCegI569RWhrEbHzUwvMZAJ+laxh7pyTq+82jzfw2bwWTvaxo/AHzcV1P&#10;hGC7tLyVJMCM5aba3G3B/rXOfD6SQtcwCQAR8YxXSeGkI1y/Lyln2EKPTJOaz5dTf2jcGjdedpnD&#10;WT7sx8Mp9Gwev1rjvHTpNJAIvvRkhh7136RrAgiTIUZGM+pzXH+PAPKtWAGdxB960mrROOTvJI5D&#10;wOnleOrf1bd/6DXuKmvCfCzGP4gWJ9Xx/wCOmvdlFZXuS1Y6C05tI/pU1V7E5tI/x/nVjNadBA3S&#10;mH7tOY8Ux2CpkkAepOKBkZpV61Xe9tUPz3MK/VwKlikSRQ8bK6EZDKcg1IA/U1SkH7yrrnmqMp+e&#10;mwA1k64u7SLwesTfyrWas3VRu065HrG38qnqM8r8PndpKezGtu2laCZJV+8hyKwPDTZ0vHo5rbWv&#10;PqaTPuMGlLCwT7GsNaujGqbuAAB7cEf1pv8AaM+ABsAH+z1rPHFPzVc8mH1Witol4alcgkhxk9Tj&#10;r6Un9oXO5mEuN3J4HpiqWaUGp5mP6vT/AJS2L25eTHnkFjgnOK0XtXig3/2gRhuVwR9TWHnB4NSf&#10;apv+er9c9auM7bmVXDyfwaGq0En2iKL7c7I4BOG6DHpmgabG88YE0mWHJPUe35Gspru4bG64lOPV&#10;zTTdTlgTNISDkZY0/aRM/q1Z7Ox0w8OQFIpJblkjYcK33vwqiNMshdvHukZV2/LuGST1H1xzj0FY&#10;z3czAZlf/vo1BvodWPYUcHXt70zol06z80AoedoB38HJPQ+mMU63sbIXbwOYy3BAaTsetc0WJpM4&#10;NL2q7F/Uaj0dRmjqEAhupPLwI8/Lg5qkSfXimea23bnj0pvmcVm2dtKm4xsxxPHWm00mjNK5qkPz&#10;TqjFLmi4miQGlJpmaM01sKxnWbf8XH0gf7a/1r2snmvD7Rs/EvSB/tr/AFr28nmvWofAj4TNP97m&#10;SJT3/wBU30NRoakY/u2+hq5nDHdHGfaPtURk2kYcrz7Vqad/x7fjVHUDtjXH96rmmnNqPrXNT2Oz&#10;EK0zcjOY1+gp9RQnMK/SpKDEcKWmilpiIrrm2k+lc/JpFk8zTOxDOcnLCuguObeQf7Jrjr/Rbi9u&#10;/PWcIjY4z7c1zYlJpXjc3oP3visaselafH838361X8bp5ngS+287EDD8DRDpbi38nd/unP8AOrHi&#10;GBv+EJ1GBsFhbsPrToLlWisFV3fxXPn7dl+vBFVLoE7sZORUwkGMACq0juS2B1rpTaMHczgrFDwe&#10;Divd/hDMZfB1zC3/ACynI/MZrwsSeVlJARntXs3wamUWmq2qyB1DI/5jFdCbZjPbUTxrGRZXgUc+&#10;W2PyryXT2XJk57jH5V7J4wTJmHYg/wAq8TspR55jPGc/yqcRsdGCf7xXNKaXzGJWQkY6HtVSWXaM&#10;jBIpcqmRu7+tQzA4PvXKek9FoXdLuUvraUMCpTjrVi21KUTizATYUzkjnisbSH+zCYP/ABkYH51b&#10;hbbqkTcZ2Ec1aWpyubcGeseANcstO07UYb26SIko6Ajrjik1nxfppuXRZS424yozzXnL75htSJj2&#10;PatHS9HivC6zPsmP+rVlyCfrnj8qfO72Qo0o25myDwrqf2G/unjcKsj8FzgV0WjakYfEN7LEA+9S&#10;Qd2R1rltD0WW/wDEVzpBlSF1J+Y5YcGu807wU2nzF31FHyhQgRHGCRnv6VKUmzohKn7O7Nm31v7Q&#10;VymM7v4s5wFP6hq5zxXqUGoWsHlZyrHOf1FbUWixWzMXupGIdmwqgAZUDA/ACq93oekpAXuLhsAd&#10;WcKP0rR3cbHHVUVJNHnmiOI/HmnN2MyD9CK9+Br55sri3Pi60uYGLQw3KbnxwBu719BrINu7PHr7&#10;f0rJaIiW5vaef9EX2zVuuA1j4maH4Wiit5TJd3Dk5jt8HYPVieB9K6nw/wCILLxJpaX9kX2E7WRx&#10;hkPofetVsSzRmkEacnGTgV5P8QtN17WdD04QRzXFykrbwnDAc9cdulel6zcR2lg1zMwWKDLyHGcK&#10;OSfyrzC4+LukLfGGKORod2POZCB+VZzlJPQqJ5+3gfxUyjFhclj1DHH9a928DwXNh4R061vUKXEU&#10;ex1J5BqCz1BdTs0urSaKSGQZDqP0rTimNrAZZnVYUUu5x0AGTWftJGkYJmm5B5qlMfnH1rxjVfiz&#10;4rtNS+2JpsUelM+I43j5Iz3bqDivVtL1WPWdGs9SjUok8Yfae3+TWvNdGbjZmgTVHUObSYeqN/Ks&#10;TxX4507wqEimSS4u5F3LBH1xnqT2FUNC8d6d4ogngVDa3iqx8h2zuGOqnHNC3DVHFeFz/wAS5x3E&#10;preBxWH4UEJtblZGYFZ2AxiukS2ikPExH+8Mf1rgqL3mfbYGovq0L9iINTg1ONso6TIfwNOFq23I&#10;kjP/AALFTqdTnEZmjNP8hwOdv/fQpPKf0H4HNLUFKImaN1IUcdRTdpx0o1HoLupM0mD70YIoHoDU&#10;nFBB70mKNR6CMcdKaSaCpxXL+JdZSCMW0N4EOf3nlglvp7U4xcmY18RToU3OTNufVrK2l8qWdQ/c&#10;dcVYiuI54llibcjdDXk8FzJJdNIHLIT82T1Fd1oesWPmRWUMxaNjgSsMBT/dI/rW06Fo3R5WEzd1&#10;avJNWT2Oh3cUA1bFnH/FN+QqdbeyVCTI7t6AVgkey60VsjP3U4ZOABzV8PZJ0Qk+uB/9erEWoWsa&#10;MPs7NnoQ3T8hVcqM515W92JmLDK3SNj+FOMEg+8VX6kVZl1BH48gfiSahW8UNzEp+gFFkCnVfQwL&#10;XC/E/SFDBvmXkfjXtxavDrWUy/FPSSeDuXj869sL162H+BHxGZX+tTuWEapWP7pv901VV6mZ/wB0&#10;/wDumrmtDij8SOV1EqkSbmwCeprkvEHxIt/DAis7SBLu4J3SZfAQdunetLxxJL/YyiEgSnITPriv&#10;BpdNvJZ3aXhiSSXbBP51x03Y7q6bmz66tzmEVMGB6nBzVW0bMWPQ0+SIvIrBsY7YqjmLO9ACd446&#10;+1J5i7gM8npVUW3DAv8Af64HWpFhVXDbjkDFUBOwDKQeh4qmNNj6GSXHbmre4GjNICuun269mJ92&#10;NQ6vAjaDfQqODA/8jV4tUF3+8s50/vRsP0oC9j5hlJWEKi5as50vDPuLKq4xinXWpol3NGM4SRlO&#10;eOhqA33mRMyR7nHPXpTukik2yZ7T7Q+WlC8dK9B+F99DoF7eRySjbcIACfUV5kLudtpUIvGfmNT2&#10;msXUEmd3zdBtHftWkKiW5MqfMew+Kbz7RI2WAB9K8YvolhmfyyR8+Otb76F4l1ZEumkkkLc7fMxt&#10;rI1PQ73SLqCLUVKmYg5znI/yamdaE3oONGUFce620UYfC5HvT0voyF3Q4U8BvSsmaMJLtXru216Z&#10;Y+E0n0FbR3h+0SKGBx2x61jOSibUlJrQ8+tpFe5lTG0L+tX4bWW5v7REYRmRmG9hkAVmpEbe7n5B&#10;KsUOPY1oaXqDw6nZySqWhjc5BHTNVJ6XQRmrNMuajZ3+gXwWabzomwQ+OCK3rNmji+0jIULnI6Cp&#10;/Fd3byeGWaQIJHdVixjJH8+lcgdU1C50MWccjtEij5VQfdz3PWs4tyVzTmVNuNrjoNXmstZuL6OU&#10;CZ8hWX1ra03xNqc1/GLqeQrJkLzw35d6wo/C+pSGJQnMgByTwBV7V9Fl8PxWbfai7vkjacbGHpVc&#10;yvowjKe9tCXxD4vuEvmt7WTJiblicjOORVU66b/TzFcsQ5yvHeues7cXV+Vmk2jOWcmuwsvBi3KW&#10;11H5jWzMdydTgUSmkZvmqO5Y8Na7p1pbNpM9uiQS/Kz4zn610fxRu72y8LaXDYzuIpmKSMh5YADH&#10;P51weraJcQaixtYHWIthAa6zWPEmmPpen6F5n22a3iTfKv3A4HzfX8KiLSTaHJNtRZw8XhfVJYYZ&#10;EKfvBkhjyK9s+DaTWNhqNlc4EomDcdDxjIrj4rzTJ1ExjLtIuxtrHA9/atz4YWN7c+J9T1H97Dp6&#10;MFgVycE98A/hzU0qknuaVaUYxPQvG6mTwfqcK7sywGIFe27jP6141D4U0u3gxJp7O4wN2/dXr/jO&#10;KWfQ3ELsCjB3UHqo6g/ofwrgtA0641jUtzy7YEADnaO/YUqs25JIVGMVFtml4MtYfD/hV5LicRwG&#10;R5MueEXPAqDWPiFomoWVxpVo0ksjoASVKqRkZ9zVTWb5pNcGnfZ2is7JxGqMOHfru9x6VkfEuG2t&#10;9Gs9WRAl7HMIw4GNylSSp/Kocry5AjFpc5p2sAvLpYIXDCRl/duoZQO+K9Mg05LWxjgh2xwxLhQB&#10;0/D618/+AvEV3Brgu5rwrFGrKkJ56/4V7l4f1SLVLaR43zsHOe4I9a2orl9xk1nz+8ked+ILFbjW&#10;bl9QKNdEgBscBR2Htitbw7odiYzqJ05IZ4lMcLr3GOTXSapoVlNc/briMzMijahzwMjsOvU9atXr&#10;WoBjtpUIAwUH8HtV+zcXdsmU1KNkjyrwn9nI1FZnjUrctgtIF7n1rp4l0xgN93bx5OMm4Xj9a871&#10;Dw3N/Yt/rolG1L14vL46bjzXMiRweufwqXSUnc9CGZ1KUFTXQ9uiXRCwDanbKPeUVMI9FyQus2gG&#10;e8grzjw7okOpeGtau5cedBHmJsgFSoJ4HfOMVzWyQHB4P0pKgglmdbRo9tki0hWPl61Zuv8A12FU&#10;nm04OQNVs8f9da8e+f1NKC3r+lNUETHNq8dz2OOTTGYbtXs1Xv8Avf8A61WFXRcZbXrJfbfXiu4k&#10;Dn9KcGjj5mk2j0CjJp+wiEs1xD2Z7aP+Ec/i162HH98VKH8I7QH1+D/vr/61eHG6gA+WMk+rY/wp&#10;9ndW4vYWuEJgVgXAHUVLoRMnmOJk/iPdUufA6p8+tQt77z/hSG+8BopH9sQ899x/wrx3xNDbRay7&#10;6eU+ySKroEwQoI5FZ5stQ+0fZxC5lIDBVTnB79On+NN0Y21ZDxeJ35mdF411uS91aSy8O+dJYxKB&#10;50YJ8w9zn9K4W6S+tJglxGyk8kPz+desjRm021is/wC0CsqhXbbuAHGW6Ed81x3iG+0vULmK3VpJ&#10;thwzrhc/jUU5pOyQ63PNc1SWpxpaJJS6Ag/Wr+kz24vGa4Z0Z1+VlPRu3HpT7m0tIgAIGUHoxfOa&#10;pTRKIWaM5Hp3FdCdzktY9Z8N63pAg8rXrpoZYiOVXdvX6itr+3/BKPk6lOwByP3PFP8AhlpWia/4&#10;BX7dYwtcFnhabYN+B0IbqOtcL408Ian4SvdwmllsZCfJnB4+h9DUujF62OtZjidlJnejxZ4FRVVp&#10;7hwp/wCedRSeMPAvzFftJz0GyvHPtdzn/j4l/wC+zTTd3J63Ev8A32aXsIErHV1rzM9cfxn4O2hQ&#10;t0QOeEAqKTxr4ObH+i3QOOvrXkxuJW6yufqxqF5GPVj+dHsIlf2hXX2j0LTtRsNT+J+l3Omq4t8g&#10;fOMHIzmva/MzXgeiaNc6d4Yk8UW29buBi8LldyBV6g+5+lel+A9evte8NR3t+6NOZGXKLtGAa6qT&#10;SXKjiruU588nudmslY3i3xTb+GNBlu5cGV8pDHn7zf4VoLJXm/xftDc6Xa3IkwsDH5Seuaqb91mc&#10;FdnlWs6/qOu3TXF3cMxzwgPyr9KpwalcWi7EnfHpmoArMp2YHqaz5mKyEEhh2NcqSZu2z6A+D3jW&#10;81+2udL1BjLPbIHSU9SuQCCe/Uc16pmvNPhzZaRa6vfPYGFZDCiMiHnrn/DP4V6PmlGV1cU48rsS&#10;768X+K/xG1jSNdOhaRL9nCRq0syqNxJGRj04x+dexZrwjxtYfbviReXUkBwgVdh53lQAPzGKUpcq&#10;uwhBydkcLZeOvE1jqCXa6rdO6tkh5CVb2Ir6V8E+KV8WeG4dRMfly5KSoOgYdcV4xHpdlLE0z6U3&#10;yHBG3rXsPgXS4tJ8Nokcfl+c7TbfQE8VMKqnpYupScEdQzUxnAVtxAGOc1GzV518U/GC6Lo/9nW8&#10;+28uhg7Tyqd/zrQyPENV09jrmoAOuPPfBz2ya1/Dmj2NxBcfbLwCbYQkSg8+hz3+lc+NRVZM7Q2f&#10;WpBqQWQMEC4OflNS0y4ySEugsE5jk3FlJXjjoauaLNENUt1aEurNtwf51n30hmkMoydxz+NVra7e&#10;0u451yWQ5x6ijkdh8yvc9njllinRrW4CRbcYYcE+lcl47S/Y2F5cDzIgCokH3d2QccfSsoeJ54Lc&#10;PEu9N3G7+H2rqNRjj8XeC7W+sd5msSTLDnJx/Fx68DmueCcHdo6KklNWR5/cW9yI1uGhdYnOVYjg&#10;/SvWfAWp6ZqNrHFcOXvQm1yc7h24FZGiatp+t2DaLfBfKddqN/dPb8aoaDpt34X8eW9pcqfLmLIj&#10;j7rqRkEfkKuclLR7oiCcdtmcmI3W4khbJYSFT65Bwf1rr7XwaJNDe8+1YdRuVP8AH3qe/wBNtdN+&#10;JbC4jU21w3nIp6Etz/6FmuuB07DWQjwr/MTvOQfTNE6miHTpJ3ueQ6pHOojhkJZlwV5zkH+tdb4f&#10;8M6tpgjvr+xaG1uIzsM2AT3+7nNbtla6TB8UNDt0jV1IbzIpfmAO0kfrg16v4n0o6vphiTAkU7kP&#10;vVSk3GyIVozPLboWgMMsxbahGAr4z+tcb4tAkvbeO28yTygZZCedgJGM16HovhqSfU3hv1dY052A&#10;45roZfBWlWZvb22hBW72pMki7tq55x6DrWNONtWbVJx2PJfBvwx1HxagvWY2Vhv/ANc4yZAOoUd/&#10;r0r0G/0seG4obIO0kUK4RyeWGa7/AEp4baBLKOJY4o1AjUdAPaqPiHSoNUgWKUlGVvkcVpUTmrIx&#10;pyUZXOFsUk1CaVblljtGXCMflJJ44J9K818Y+E73wrfpdLuksnYGK44POM7Tjv19M4zXu1zpNu8M&#10;cKqB5QChh6CuY8QaCb77VZ3F6JbC9RViC8+RIoHJ/EfzrKMnB2b0NZLnWm55fp11bz3Nm8LBnmlw&#10;0Skgg+4HbNer6N4gPh+Ufb9zKQB5acNycA4Jrj/B3gs6Nevd3pV7gMURB2GcZ+profGEVvY6tpF7&#10;cW4SeTchDEEgDp0qXa/ubItXcbSPSH1C3ubuGIENFPGR8wxz2B/I1m29pp+j/anhkRNxDGMMMrjP&#10;+NcVd3xurcxR3HlNjIfPQ07xDoVsmnwSic2++JUeViMyZHJ/EitY1E1dmLpNaI1fGbw3umRTWbxt&#10;qERDqAfvKOx/pWDqenXHjLwm1sgWJomVy8hxsYe3fjIrMsLHT9LgGbqW6YnOXbOPwrrdNkvVsA0d&#10;n9pSc4IIPygnv+FZc3NK6OhQ5Y27nBaF4DFi8pvb+AO5XypIXOV5Ocgge1dzPJJoV7Fb2AIDr9xW&#10;ySRx+FXX0uyt7cTXVna2y9We4kwMViah448G6ISUkN7OOghBIH/Ajxim3OWtiU4QVjuSt7FZi5ne&#10;ObIXMURIfn/CsZY76SW4mFjLApDOofZtY+hO4Hr7VwU/xgvL6cQ2cNvp1uf+WkvzHFUdV1++1zSp&#10;7qPWE8qNGLK0wjL8HhVzk/jW3JUluYqrGOx3Kapo+n6d9m1+6tN55kthh9xz12rmue1Lxd4chO3T&#10;PC8Vyf78qrGp/Dk15KlwxuvtDwIwAxsJOD71tJrs6h1SHhFBABP/AMVV+yHLEc7u/wAjrk+J1tbb&#10;o08L2EfUMFkIH/oNR/8ACyrD/oVLD/vs/wDxNedSzSzXU0pJ+ZiT7ZJpy5f+M1fsYmLqy6M9Hg+I&#10;VpcFhH4S08kDn95/9jU3/CeQKCf+EPscezn/AOJritFmksbh/wB08vmLjb82fwxW2dYPkuzWL7Qd&#10;pyXA/E596n2S/plqppq3c0rrxyLnTLj7N4XsoHUY8wDdtz+FclJpd4+kx6vMuUmJ2+1ek+ANGi8S&#10;W+pySQqELKpXOexqX+xpLZptJuIittESEDMDx7VLfJsCXP8AEzx9JFY4Y9qSSZQoaNvmXqPWum8Q&#10;eGIrG9BSQRwNkknt9KwALSBmATzT6tVxfNqRJcuh6T8M0h1LSLsTWcM7W8gKtJj5QetbHiK9jt/N&#10;v7OcjfgE4AwO4+nP6V5NY69PpjlrTbGGI3Ljg12tv4hi8VR2NvIVWdrlVljPQLnn8MVjVUlstDpo&#10;zjazepLNb6hPbrPNN+9uflSIsdzD6Afj1rm7jQZLS9ljkiYROCI5hggN2yRXptzBZQIj3Wn26MpA&#10;SXzOAfpS3twrwNFsh2MPm4GDWKly7GsoqW54PeTyBzFJ95ODSWE2JDuUOp4Kk/eBrudYs9LghuGj&#10;VTK6MpQJnnsc+1ecM3lNweK66clJHHUhyPc9i+HPjOO3s00YwpFh/wB0SxA5PevVLiK213Sp9Nv8&#10;SxTJt4HKHsR718q2d46XCMGIIPBHavcfAniV9V0sK5AltDtl9T6VrTbvZmUkrXPJtasf7H1efT5J&#10;N0sLlHwpAznt6io47fzrUmGOR5B7dvpWr8Rp0n+IN3MjHYI4ycdvlHSuk+H2mWl5ayTNt+0ycqjH&#10;LbB3/GrloJK5wf2G7/595f8Avk1f0PQJ9W1y0sZkmjimfDuF5A79a9hbQY1PMY/KptM0yKC/jdV6&#10;Z6j2rOU2k7GsKfvK5SfSINP8Nv4dWLUpbVSS00ao2Qee+OPpS6boE/hrSrcadqkktmSWMUsagKDz&#10;nIGf1ra1G9Ri+ntcGINF/rDztPaqc+r6Va6f/Zmo3UssgXazIgyw+gOaxUpNaPU3nGOmhVuL3V4o&#10;iYLlJtx6qg4/8e5/P8K43xXa6ndaf5l7cl1B4QR4/qa7KXQ9Agjime8uLdX+4ZZ1VT+bVT1vw1BJ&#10;o0k0F88qBNyncGUj61nOVS2o4ezvoeEq72szN1A4IPcVvQ6HZ31tHO0bJvG4bTnNVm0i6v8AUFs7&#10;eJmnkfCqB+ter2fgyws9Ds7K5Z1uYxmSUPgEnqB7DtRKexL5YyszJt9Rn8NXK22lw7XY7nBTLL1x&#10;zg4716X4V8QPrdgRcrsu4jiRB39DXmWoXbSyvK6KrfKNwzlhzjP61rWE11Z2V1d2gxLLbsh7fNjg&#10;/Wtqaskc9TWTsdR4n+ImjeGJo7ectc3B5McOGKD3J4H0rx/WPHkviXW5LsW6W8MeFiVOH2/7R7mu&#10;FunmkmdpnLyMSWy2TnvmtzwVoj6rrUbtlbeE75cjgjsKKqSg7jou00eiHVrTSdFS7vFm8yRc5DcE&#10;9h9a6LwZ8UNL1qSPS5omtJx8se5sq34+teL+M9bl1PV5raNgLS2YqiDpkdTWBaysk6shIccg5wR3&#10;qaNPlXMXWqczsfYpkBr5h+ItzLceOtUMhPyybF+gAr2Tw14+03UtBtpLm423ipiWJVLNkdWwO3ev&#10;EvHd/Z6n4svL6xcvBMQQSpHOADwfpWi3MDBRhjkUb8dDVcselOU8+9WBsaNptxrV9FY25USSnapY&#10;8ZrV1fwJrGk2H2q5WLAPzIsmWHvU3gyzuHvEktwVYHHmY4Q+te66cFutJSDUPIupRGVkYqq7u3au&#10;WpWlGaSOiFJNany2C2NoJCnt2zXffD/UF0u7ki8w5kwSp6YxXaXPgnw/YXDxHRBJzkOJGKnPTBzi&#10;tHTdAhguE8nQLa1Gf9bIik1FTERlGxdOg4vmucP4q8MTW12utaDFI0cjbpIogTsb147VqXmtRw+G&#10;9OEokn1iVFlw3KwDtx64r002bCFW+3RQqvJCW5bI9OoxXjd9PJdane3Jw7tIQD0wB0AopyU0k9Wh&#10;TfJsc1ql1fXF8bq4d3kLZ3E810EXiSeLSmmR0Mqrgb1+YH1zWdqLKQoYYJ7Vkney+UG+TPSuhwTM&#10;ozcSbT9QvG1uO/M7LdB94l7gjpX1D4c1NtY0O2uWxveIFgOgbuPzzXyxaQyNPtjXL4OBXqPgzU9X&#10;i0xvKWY20XLDnHvRNqOoopyPXZXjVtuFDn0HNY1p4o06e5uYRKshDFCoNZa64twm9ZF+ZdpPUj6V&#10;ztj4f0PSpnuDc3MkjtuYvJgfkMVhKvHl8zZUXfXY6C41y70vZDAsUqCTibd9xfQ+lKvjK2ur4wtd&#10;RyJtA3h+QfrXlfjfxYuo3b2WmRrDYRNj5eDKe7H1rk1vikeABuPVu9XGnKVm2RKcYv3UfQWuQXmq&#10;eG759KvRDKsbbcAEuw5xntXlnh/xfdXZjhvI5N8Z++FJU8fpWBpfifVtHuRNZ3jjnJjc7lb2INe3&#10;eDb/AEnxNoiXUWn2yTp8ksezOxvr6dT+NZzgoR1NI1HKRUsEe+uUv0k8qFcMWK5LY7AVvC30fxRJ&#10;KNQtxNEpBTcxBU/gRTdV1Pw5pSodQns4SnKpwW/ACuU1P4q2FrvGk6X5rH/lpKdin3wP61EFK1kh&#10;zlB77nZt4V0eHatnYRnJwSxY4H4k1mXVrpGgOk9/rHkqnSN3AP045P0ryPXPiX4k1FHX7eLWI/wW&#10;42/r1rh7y8uL12Z5ZJHbksxzn8TWyw7erMvbcqsj3TV/jFoVjujsIJb2Ud8bVrhNV+LniTUCRbSx&#10;2UZ+6IF5H/AjXnxzHJGehxgirKfIDt7/AN7mto0YozdRs1rjVZ9QhMt9JcXF2WyHklJG30571lNC&#10;8swJ2/7uKkjV3IOCR69BUqgJKMdAfXNaqKWxLZFaRLJByo3ISM1I6EqSSeaLUhLi4i7E5FLJw+0f&#10;hmmyRGUCE4x0/CqY3SuWYrkcYAAz+VdTP4Y1GDQZNTlgMcaKH+dsEj2H4113h3wj4d1bS4Lt7Jtz&#10;wqzETOPm796LBqeVFNuMfWp4WGQCa9iHw88OsXBt5vlbA/fN/nvVd/AHhvzXiRLtZFUkHccfnjFJ&#10;6DSctjzaJtuGXacdiMipd7OAgjUlj2XnNejQ/DvRzHE3nXY3jn5wcfpVuz8BaXaXcFyt1ct5Th8P&#10;tIODnnjpQ11CLd7FPw9DrvhgTW9oIVjZVkuGuRt2H2A696s2Or3N7LPc3kWdzHDJyuB39s1p+KUO&#10;qTsI5g1u+Muh+8PSr9r4UgSxtWW9uoFIXzLdSPLYduCCc1wynzbnfblPEfEesXN9fyM5KxhiFX0r&#10;n2nau28T6G9xqt9HY2k6wwsQWmIzkHnbjtXCyKYyVbgg4rqptWsjkqJ3uNLk9zVvS7xrTUIZNzKN&#10;wyVODVHPNNJq2rqxCdnc9G8Q6pZQyWVxbXUxkt8N5bOSrjv9KrnxPeasyeXGYo2O3O8HH1rgJpJC&#10;wJYnjvVmyk8uZJGzhDuwOM1l7FWs9zX20r3Wx6iNLE9kwdwBj5pGOB+dcDq9hBahkSaN/QowNJqe&#10;v3epkLLIVhX7sSHCisvINFKjKOrHUqxlpYW34kUe9b2j65daNfTvbqGE4ClS2BnPH41jR7VcPgZp&#10;yhhqYmWRVO4MuRk/lWri1qY3R2HjHVNKfSbdo7df7WkO12ZRjZ13H1OeOan8AeJbXRoZ7i+SaWeX&#10;CoV6KnoB2rhL6d9S1YiMMQW2IO+K7W18Ea5NaRTW9qrwOoKMJVGR9M0KLauHMkzu/wDhYemMc+Vc&#10;VqaD4ps9WupVtopmeKPcQ3pmvOP+EL8SKOLL/wAiL/jXafDfQNQ029v5tQtzEWiRUyQc8nP8qzqx&#10;tBs3pVLy1L+ty2dxcRS3VoFeM7t0nU4zgZ+tclc+JFtPED6qkSRmWLYscZwBzzkjrXdXk/nazNYX&#10;kAe0bbtDJkFu5z6V5h4g0yafxDNbabaTMhb93EqkkVzXaj7p30I05zUagfuPEMVxc3CTtdrwCjfK&#10;QT3HqDW1olyUtBo1tvKop3u/VieuT2Fc3pOoNokt5Bdyx2kkbgMkoO7PpgcmvTtH0R9V0dbz7ZbG&#10;K5UOjQs2cfiOO+RQ+dowqeyhO0TK0uS00C5mvWi8+8kG0Og5RfQf41qWv2vxKrzQRlYkYgmfK/N6&#10;Cq+o6JLpsieXdxuHzjd1/OsmXxRqegSGONrdkbqC2Rn2rOC1szOpBSXMjmNQ1X90gIy0jhiR0rs7&#10;C6jOgTFwqoYWBABODg4NcRpvhzU9TkjeaIwwAjmTgn8K626RdD8P3AiuD50cRIY9jW1Sqk0okU6V&#10;02zzPQPDMmuXB23KIC5UD+Jz6e1eh/2X/wAIRoVxHIipJ5RctuB3HtzXEfDy5u7bxVbzSRy/ZXZz&#10;LL5ZKoSp+bpXe+LtJm8R2UFnpdwZovP3ySSN1QjPf37UVrt+89CqTtDSJ4jh5pTnJYkknBOfyrpN&#10;F8G3urWTTqjRSpIAEkUqJF7nPbFer6L4MgsUQFYIiBy6xbmz9TXVQaXpkUe+eS5baPUKKh4vmVoi&#10;9io6y1PPbeG2s7u00MxwxbV826MJwTH0CE99xPPsKPiX4Uk1KDS7nQ9IkMKoyyfZYCcdMZAFWdSs&#10;rO38QXt/bu5jlRESMtyABzk/XNVV1jVLds217cRr/cD8VUJNa3M6lSOyR5fd6Dc2X+ujmQ+jxFSP&#10;0qGz02SeYKATg8+1eyQ+J9bdNkl35qngrMgYH9KyrmzVp2nitVjD8sIhhc+wrSVV9CKbi3ZlPwnC&#10;1vGbSJSJXcBeOvvXf6hp1rp9hunnCsmHKCYbnb2XtWF4NjtJL92l3LcKfkVhgYrnvG/hW70i+Gve&#10;VcC1kuDgbi4Gen0rnUXOWp6HM1G8eh182s6fOIrPT7pXkiTZMMHg8YBz34PSpI9ZuNPQyM5eONSS&#10;M57VxcM0Mz+ZDDskkIdyOCxx3qxq8klvpDBdxeb5FUZJJNRy3lYG9Lslvz45vruYwG7ezcbo9nyg&#10;qeRyab4Y8O3WpTT2l5ILWeEjfvGW55HGa7bQTNL4dsZbhJI2RMNG2QfQcVnW2ia5/wAJbdalbpEL&#10;OdFwXfBO1QMgVtKooqyVjB0tnIpL8N7ufXrd5bm2NhHkyOSdxH0x/Wquo/DG9/tiQW9xaCzLbkkL&#10;849NorvIxe6UTc6jseAgRlIyc5JAzzTIdut3fn2Tm2S2fZJE4z5n19qzVaVr3NPYtLRaHIQfDTTL&#10;SRHuryad852phBn+ddZZwtZQi3sbVniRcNDGu5iO/HWt1bWf/nhZP/vBjUgF7axllWwhj7nJWs3N&#10;y3Yl7i0Rzmn+BYVYzyLd7XO4ROSoTPbFVfGFnpWh+Gr6ZI1+1eVtj6Hk8euffpU+ueJ/Dm5LXU9V&#10;SfB3NHC5UD64OTXAeOfFej6npaWOkWvkwq25nCbd3p9a0p0+aS0M5TdtzzRpjvOTTGlyOlNkGG46&#10;VGTk4Feicg4ynd15rUtdc1HS7WaOyvJYBIP3nltjdWSFPXvUojzbOx5zxSdhq/QsJNM04umlaVjy&#10;S/OatTXct0oDz7COqoMDFZls2YdpPTtUhNaJKxLu9SViijaMN9ec1ExJHHT0FMJp6hmXA4X1NICv&#10;cdFPpU6nKA1HMnyEdcelWLO1ml0+a5C/uYeHbPTPA/nSuNE0eXTDykKvRQDU7Qfu9yA8Dnuf06Vc&#10;0+3to7I3F1vbecKqsAOnfnmujg8R6ZHBBb7VSJPvokQ5/WhO+wNWOGtpUOoK2TsYEE46U6W2ngH2&#10;m4WURs+I32fK+OoqNti6k7wgmNZtyjHOM+1fQGl6LoOv+HIVgjW7sYsrGysRJH3Ofxz+VMDx268V&#10;PqEBguJJ2h2bNijjpgd67D4e6hPDoa20kEoAJKSMMKRWnP4b0lCP7PneYDORJHjH512EmiaVpWjW&#10;zSIounQAP3yazm2tjpoyhe89jPW8OOVG7OWxXQXzTf2Pb/Z7dWVk+ZyQPrisa2sHuJQiLkn2OBV2&#10;DTtfhuNskqGzGAsfmA4GeT09KynNo6JwUlva34kWj2d5frGiwMsaDmVuB+HrXUpo9vFayRkb3dSG&#10;Y/54rQR4woVeAO2K52ey1ptQeSLXECbt/kbB936VnKcpaHPza3MnV9OgsYkit920D+I5pt94iFqf&#10;s39n3L7FXDquQeOtdFf2UF4gkl3NxjGeKdb2VvJANmwInGAc4rCcJ20Kc+bc831W4jvt1xHBJExG&#10;1w6EZP8A+oV5Br1sq305jHy7s19F+N4bK18LXDq8SSxfOpzyeD/jXzZe3LTszHgE5rejGSd2TNpx&#10;Ms8Uh6UHkn61qR6FeTWqzCI4IyvvXVzW3MEr7DdOjsJY3+2SyoyjKBAOT+NVnOMsM47ZqNVeJ8EF&#10;TnBBp90TwMYBoW4PYrE+9LG1RMacpwRV3ILBkxUgkRpPMUnKJg59apsctWpb+HNXurEXltZvLAwJ&#10;3IQentQ3fQa8h3hUofFOm+ZjablNx9BmvovwxEP7J+z/APPvI0WPYHivnbw/p0sl5BczLJHapMFa&#10;UA9Rzj9K958O6irz3zpl1cJL+JXkfnmqjKyKjT5nqdWLcDt+dYuoeLND8Pas1lql8ts7wrIPlLev&#10;oOPxrDvfHOxj9mKLjh1dfmB+lYesLD4s8Gvqdz5YBuDHHOY8sm0DGD6ZJrOtV92zNadJc9o7m/eX&#10;+neIYrbUba6ubRnLeVjJ3gdGYDoMjua8+1Xxn4qubqeBtTtLRF+VmjljjJHvg7q7HQ7Twv8A2NZS&#10;Xd1tnSIRljuHzAdvavJvEumTyeIL17WynNv5hEbLGxGOxzisoKK6lVPa2XtFsSzwwSxGWa4hu5zy&#10;8iSl859Sea6nwt46uPDtounqkcloH3BX6rnrg15/DZ6rCxWOzuSWxkeUxz+lbVj4c8SzTwStpc/k&#10;+YM71C8Z755xVuStqc9nfQ9sOtad4l0mS401JWlj+aQOoAjwOdx9K8H8R6xJf6pK2cIrYVR0r2+/&#10;jstN8Oz21laxWiTAGRUPU+5rwK90+f7fKkcbO2ScAZ49azXK5XRq+ZRse/W+m38zlry6ESk8LAMk&#10;fif8DWtaaDo0cwlkhubhx/z1kyPyGB+leYyfGFI4cQaeZpj/ABSjaF/AE1z9/wDFHxLf5W3kW3U9&#10;ol/rXHChWvrY3nVjse83kGmrbyIYIoUZdpZ324/KuVfWfDPh2ILHdrPclceXC249O2ScD8a8KvtW&#10;1a8kJvL24cnnDOcVTtpGiuUk3cgit1hr/EzL6xJK0T13U/iHf7SbG1jjX6b3x+PFJpeuaxf2TXN/&#10;czfveEjYgAD1wAK4VbneVXJ5Irto1KwIOgCgAYpzpQgtEYzqzelyV5ZGY8qfrTN5/iRR7imMwFQv&#10;OOmahIxLXmcY4xUsV75JGMH6mswzd80x7hcUWGdJDq0QZWJRXHQgc/nXVvd/8Jbon9jT3EcZmxGj&#10;BM4PUHH4V5R5uXyo/KtfSdYls7qNwSCrAjPtTSs7lKTOq1z4f2XhXTLK7trqe4bzdk7ORjkEggdu&#10;hHXuK0NNjVbfIVWwNwOORV7WdSu/EXhC6dBbrCqb2wSWJT5vQY6e9YmgXpe2QNz8vPrXPOXv3R6N&#10;C9rm1ADM7owIUrwa3dP2w2cESxI7xJsEhXLYrmf+Eq0+1DIlpIZlOMvjFc3q/ifxRf7k068sbWM9&#10;Dhgw/HBol7/U669KcldRZ6Vdz2kMZ+3Swxwnlg5AFcnqHxF8KaIrR28xnfukAzk14Zq99q099LBf&#10;XE1xKjYJZztPuKyXbaSrMQw7KK6IYWNtWeZOtJOx6nq3xr1CUsmmWcNsnTfINzVw2r+K9a1ebN5q&#10;k8qnnbu2gfgKxEVtrEr261EDj610QpQjsjFzbNSKURFSzRnPYDmpJpC4yenvUFooZd+0cDlqJZQz&#10;bRVCISoJxjioxHnJ6VKpB3LSN8ppiIjG3UV2Ph23lvNGuXjtYpjbREGORA24k5PXocA9K5NWwc10&#10;3hXX20jUMfwS4Djscf8A66zqXtoaU2r6nJowFxKFQIpYkKOw9KlAJzW34w0U6XrX2yBR9ivPnjx0&#10;U91rpNN8G3N94GbUodOictGzrIxPmHHoKtVPdTHGk5SavY4ILzgDn0q5b2ZcAuVjXP3m/oKzlunA&#10;2KmHHU4q9/akotFhZMYOT8uc/wCFWzJbDNRhSG5iSKTcj8EmrWhWy3K3mmyKrOxDrkkZ2n2NR/Yz&#10;q8saWRjRj91JDjJ9jUVvLLp2pCcAF9xVkzgqfQ5pSQI6ux0xrdvst8gaBSDgjNMbwOtxdF4J98Lk&#10;nMZyw/CumsLuS7sVFxB94Z3Ljiup8JaRDLfNcfaZHjVfusE4/EVldpaGitdOR5tH4CkS5Rorh1QH&#10;nepUn8K7jw9oMWjW8wtpbpUZssFlYDv1xj1rqNRltrm/aNYWBj4DFSFb2z3qtLclUWFVwhOCR0FD&#10;rKKszWOFdVuUdEVxD5n3EyfYcmtePxJZSxwWxtJRPIuFZsYTHU8muk0nTbOC2SaIby6ht7VTn0XS&#10;2KsbaPzVbhgoyKzqVk9h0IwV1UTZnaq9xo95Gtpcxw27AZjaPO71OaltNXE6hZZVz9etaHiPTor/&#10;AEt2wfOiQtHj1x0ry8W2sxSbzBIuP7oGP51ySqNPcpuNtUetQSq6g5GT2Bqwtunnef5Y8wrt3Y5x&#10;npXnmhatex6nawXUMqozgFsHFd5e67BbRZ4zkA4bpzW0JqS1Mmv5QvbWNhkjA/u4P8hUFpam3R3Y&#10;YHaJRg/WnvqeLNZlcMWGVNcpr3iqKKJi9tIjgfM+7ArZRJuZ3j1PO0C8TZHEMZLO2Scegr5/1Bws&#10;pRRwOBXd63rP9pW8kquzJuKcnOOM5rJ8GaGuta41zdIDa23zsD0Y9hTT5byKtdWKmjeD7+50+bVb&#10;mwnNrEhcYwN2O/JrDl1O7dvluZlQfdRXOAK9o8Ua/wCXoV3bxYRTCVAAxxivCTwadKTnqyakeUla&#10;Z2cs7FmPcnmrcckcsJWTJwOKziakWQqRitXHsZpldhhiPenDpSyAFyR3pMFmCDk+lUITOCM16X4W&#10;u7iz0eJIDtQkljwefyriQkEFkyzpucjCIOpat/SLe4gh8kTDO0P1OOamTsjpwyvL/I1dQu5Wsr2A&#10;IdiTCcfIOMgZ6H610Ohan5rrIDIuYfmJGMnPb865OSK6SVlMoYTRFTk9cf5NbXh0l7AKTlo/kNQ2&#10;7HVGMfaW1+YeJZ7c3ayG1WckcqFwxPqT3r0bwukMfhfTbU26xJLGZfLIztyTjj14rkbHSl1XWraC&#10;QnZI21sdcVu6zp2q2F8JrPU9umwNHGIwPmVBwefrn86yqu6SZHKpVG1oU/7Mtdd1XU7KJzEbSTKL&#10;EwQH8wec5rbtbQW1nHlCzoOSeSSPp1o0y5tr27njiLGZAGkfYFzn8ea2I4cJisJNOVkEpTtabOL1&#10;G91WVt8iPalCQfKjVg4B4ODzS2/iKzCKk8xDj++uzP4V2UluJFw1Zl1olrOP3kKN9VqJXewRaOfv&#10;dd0eeIwShJARyM5riNR0dJdSN1avtjdPl2dAOtd9L4TsluUuIIY45YzuUgd6ytctXgvTL5AiVxwE&#10;+7nvilCQ2kzwpuDUqXDD5VO2ozXXeEYPCTJ5uvvK8wbiIPtXHvjn9a9KUrK558Y3djmZVEsyrb+b&#10;KWA4K8k+wFdHpHw28U6vtePTZLeI/wDLS4Plj8jz+lexaB4h8EacgXTILO1bpuRRuP1bqa6uDxHp&#10;VwAUu0575rlnipdEbKjF7s8vg+FLaXYG91TUFZogG8uFeCfTJqpcTgHavavQfGmq2/8AYWyCVWaR&#10;wDg9q8sMmWJqITc/iMqySlZFhpMDrVd2zSF89ahZznrWiRiRyyspwKrPK/X+tTM2TzzUbKrDqapD&#10;KrXfzbW6+hqe3dTIDnn2Wo7fR5dV1W1tLbIeVwpPXA7mu2ufB114V/0o20l5COVuSvyp/wAB/qab&#10;aLjFvU2dD0ye58PzQTX81oZwDEoGCRnnI9COPxp9lbvp04gmwGHII6MPUViQa9g+YZCxJyWJ61PJ&#10;rS3Iwzd8g56GuSqm2ejRioxINZt5k1SZ42O1wCAKIo3EIJyXx0rvfCekabrOmSzajGHdH2hixHGK&#10;0LjwrofSC3lJH+1xWc4e7c9OjmEYe609D568U6bNDNDetHIu75WwMYI6GufeZpDlxz9K+tLDT4LW&#10;LYkYC+hGafLo+mXH+u060kz/AH4FP8xW9LE8sbWPJxUVVqucdLnyRk9D3plray3l7FbQrl5HCL9T&#10;X1VN4I8MXBJk0Kw57rCF/liuX8VeFvCnhXT/AO2INLjhnjdRGwdiAx9icVvHFKWljmdFrU8j8RaR&#10;H4eEVgrBpgu6Ru+TXN8gmtTW9TOqahLcnPzHPJrKD1vEzYikgmmmQlqcTjNNRMtmmIdk4zUkDYkV&#10;89DVuztllxv5V8gEdjVN1NvMyMOQcYotfQaPSLqx/trwvJAPmdFEsX1HNen21hfp4V0+2sGgj2wL&#10;jc+MceleI+E/EqWlyltcSYQnCk8817A/inULS2aOJbZY44wYSVPP61yqTp6SOuND6w/dPHdbsYtJ&#10;8VajbSaWLhVnb7pIxn0rOMgWdvI0rCnoHy5FepPYy6pcHUJrZnknAZ38sgE4Ga1dN0DTplLXV5Db&#10;sD/q2wG+vOK6lOPKm2cs4TU3C2qPMNN0O4vZlnlLRH+6i4wK7Ow8IW1m32mSIu8/zAyHP41101j4&#10;fsYSx1OMEf7SnP4CnQwtdzDyh5ucbdo7ew7UKab0IlTmrcy3M6PS7QgA2sTY/wBgGtO1kfT5YXhU&#10;qu8AhMDcPTmugsfDwAD3R99g/rV3VtFs7uxjjmxFDG2RtYrj8QRWU6l9ImlKKUk57HEaz4ps9SgE&#10;vlzW4tZx1O7ccHjH41NBZyXmwWyeYGG4E9BmthfC2jRPi38hw33t8hO78Ca6KysobeBIoREqgYAQ&#10;iuSSnJ2Z6ft6UI2poTRrKa0sEhlcMQfy9qmniZGLJaI6j+Iybf6U50ulJKzoqn7qmPP9a5jxDq8o&#10;d9OluPKUYLSLA2D7cZrSKjszglKTd0bs8jSphtOncf8ATN1P9adFpVrNAsjQyxMRyj4yPriuL0pF&#10;bUkW0k+1SjB5RkVB3JJFdvcTXrQMiKkWRjzC33adSNNdCU59zJntrRr77PDGZAv334IU+lcj4z1b&#10;RNAtHWSON7krxHnp7mqfjT4gaf4WtG07Sdst4c7nznnuT714VqGqXmq3L3F1O8ju245OeainhuZ3&#10;eiNJ1FFeZ0H/AAsDWIHKwTHyVPyI3OKq3fiHVtfUi9uWMYPCjgVRudFnsFtvtqmN5o/MCN94L2z9&#10;aSOYxAKmFUV6Cgjmc3c3LNoLKymNwCylPlU9z2A+tddpVu2iaAkLKFnm/ey47E9B+ArP8KeHTMI9&#10;Y1MZVDugjf8AiP8AePt6VpapdKZGYtn0rjrSTlaJ00k7XZzevTvJaTdTkdK4CQYauj1zWgJDDEAz&#10;d/SudllErZ249cVtRjyozqSTZH3peM0hpAa2MiZLeSRSyDIB6dz9KiFw6DahC9sjrWrbKEgWZ22R&#10;gZ3H+nvWVIRPeSOqbVdiwHoOwpAX7WFngSRuuSRnrn1rQt3mDIQSeNv3vxqpC5EIG3IWrNt8xAKn&#10;cGzwce1FjSM+XZ2NNp7geUSr8N13V0mhqwE25GQnB5rDjUPHsKkE992f6V1tgF8snuaiWx00JOU7&#10;nQ+F4W/tN5RyYYXfj1x/9etfWo7i88N3dvb+W1wyDarOF5znufSqWiO1lo2sajHgvDbsU3DIyAT/&#10;AEFYkfiS40973U0iWSSVF3p57bOMgELjjrXM5Rv7xrOnUqP3Eb3hLS5bKWaW4A82WNQ2JNwyK6cY&#10;x0rI8M3T6hp8N7IoV5l3EDtzW0wANZ8ybujOSafK9WRnrVPUbww2jRRQS+cwys6Rhwv1BIq2x4pm&#10;1nO1RkmqjKz2uZuN0ca11rYf5rpCueQbBuPyNEjXl1GvnTWhwej28ikGu/i0uFAHuHyeu1asKbaE&#10;YihQD8zXUpKS1ijF3WzPjI9KbTgcpTVwW5zjvitDIUOyHK9asR3V2JCYpZAR/dJFNhCCdD5W5D/z&#10;06Vce3iLkh3jVuoUj9KGk90NNm34f1C6uYJvtE8sgGAA7ZxWn5lYen7NPgYMJBvOQSvarJ1G3/56&#10;4+oNYOOuhLbe5omX3ppk4rON/Af+Wq/nSC9jY4WRfzo5WKxddu9Reac8E/hURl3DjFOiTe3DAn0o&#10;A6Hwl4hsfDes/brsAybCse5MgZ79a9Qg+LWhXMQR8EN1VsgH9DXzfq84fUWUE4jAT8qqxEM3+sK5&#10;96HT6msZJKx7b4lsvDGrK95ol4tldnkwN/qn/qp/SuISaaC58qVWDjqBzke2M5+tckZLmDBjumNW&#10;bfXdUtmHlzA46ZAqXSbRrGrY+jfBcMkWjozkBpPm2+ldUnvXzLa/EPXrID5lIHYcV0Nn8XNVg2Nc&#10;w5U9MNk1yvD1DdVos9+XB6VIFrxqz+NkJH762dQOSdtbln8ZdDnxvcLn1yKh05roLnT6npgWvOvj&#10;TaTzeCQ8WcR3CM+PTkf1Fa1r8SvD9zwLqPPs4rTfUNI8T2FxYK6zxyJ86+x4zVUovmRM2rHyUHOd&#10;tPPFem+KvhRc6bM91o6tcW2wkxk/Mp/rXmd3b3FrO0U8bJIv3lIwRXpnINbP6U//AJdt46ioVLPh&#10;DkBjzirCDyZHt5FIz0z+lAGjoMiTzfZpGwCc5/Cna/amNhNwTjDODwT2qtpNncHXIreNSWbr7D1r&#10;sPEWhTy2CRWyhnULhc4yKdrahc4bSrG4v9Rhjtl+csDn09zX0p4ZIitk86NJopV2iQrxuHXFebeH&#10;fCLwaQrHiZ2BkK8kY7V6bol61tFBZi1O0kKcA8D1/wA+tYVYOSua05cuh2Nnj7KoCgKK8r+KcYsd&#10;esrwLlWTHTPIP/169UtgUj2iuO+ImhtrVlbxxkrIjllYDPGOlcTdo6nbhpqFXmex4ms3n3TSHqz/&#10;ANa+l9EtIrXR7ULEquYl3EDqcV4vpnw/kS4SS6nJw2SqivcLP/j1jx0CgD8qVOa6M6cwqxqKNuhN&#10;JEsq4bOPY4qndadDcR7JHlK9ceY1XhTWHFW9jzk2jHh0K2VsCSXHoxB/mKkj8PW8NzHcRuwkQ7hk&#10;DGa0lGGqYUQk0OTuxqqxO523N60rIp6gGnVBd3cFlbSXNzKscMYyzMcAVV77kCTy29jA9xMyRRoM&#10;s54AFeL+Pviq0rPpmjNjPytIDWX8Q/iPNqs72loxS2X7iHgn/ab/AArzCzSWe5ynLZ6mtYUr6sly&#10;6G1a+G5NTm8281OON3OSSNx/nXW6F4W0PQr6PUb+9F+EYCONIsBWPcjPP6VgafHe2bAs1vMrclJC&#10;BgVs6lcaZ9izEFS4A/5Zev8AWnKck7I0UItXZr+IPDFr4j1L+0ZdX+zllCiJYd20DOOdw55rPj8D&#10;aRZ3Ec8upPdRocmLywoY+53dK5A+Jp7eUoXcleD/APqqT/hJkkGXldT+lH73boL93c7XU9cyvlx4&#10;SNRgAcACuE1rXXy0UTHcepqne660x2xnj1PeqdxGZbVLgjG4ke5+lXTpKOrJnO690oEliSTknrRQ&#10;SKQHmug5xGpUYJyVBPbPSg00DJoGSSTyOp3tnIxz2+lSWEReXgZwPWqzH5qt2RwxIoQGrCnLxmNs&#10;nnpVm3jxKjY4YY6d6ih/1ik9xjg1ftfvEYztPBoC5o2qAkZrp7NQsa1gWe0sMiups1jMa8VM1obU&#10;ZWO38OWkZ8NXQkXck24Eeoxis8eGNCeyYfYIzLt6sAF/IEZrpNMt/I8Pwx46pk/jWTKs8aHygrEf&#10;wt0NedObUjpjfox+jwCztUhSNVRRgKowB9BWiTkmse2bUCjrDcxSHqFVNrr7EHn9KqTT6ksisJpE&#10;kU/3NwP1FbRpcyvcxlNp6nRLFJJwiFj7Vbhga13NJw/b2rCsvE2t28iw32jSTREgCe2TbgepU8fq&#10;K3ZbiOf7pYZ/vCrVPlIlO5DLOSetRLI7fdUkfSpfJRRmQ8Vg6v4jktrgW9mgCqMk+taoyPmMWpWw&#10;juM5EjEY9MVZ07Rbm/AljISMHG49jTrciXQZIypLJJuB3dBx2x9av+HZkTzY2laNgchlzn8xWhJZ&#10;tdAtt7m6d52Vscniq+qW0cFzsjUKhXoK2FnYXco+WfKgk/dP5j+tUtRBnLMYyu1cjJz3oAyjfTrG&#10;ELEgdPWqk07TMCwAx6CppQOarMKLBYb3pMkEY60tNpgbVlcJIo8wbT03dvxrT+zZG9CMjkEVzunz&#10;eXcBW+63HNb6SFFxEu4E847VjLRiOTvlc3sxPJ3kn86gUYPzKcVd1O1kgui7HIkJbNVNxFaLVFE6&#10;GLbxOVPoRQTlsCRT71XL57CmjrkUWC5dWeONSH+bPYVE12/lqi4C98dagbgDKg89c06QxlflidW9&#10;d3FMLkyy2xBDiUHHZs81HGxBBz0NQnGeDmpE5wKBGjcTxxyJiNQGjUnjuRXp3wPZn1fVXycC3A9v&#10;vV5Rc58uBiOdn8jXr3wMj/d61Pj/AJ5J/wChH+lJpDR7ExHIJFYl74a0XUXke40+B3l+820ZP41p&#10;SPg/hUQc78Z6DNITOLh+F2hWmoLdxq5KHKxsflq5qXhbSLudZ5bKIyqMK2K6mSQInPes6ZhIcL0q&#10;kI5UaHY2Vy88FuiStwSBzWHrV+mlOrzn7xwOK7d4l3lm5xyfYVwOp+MntdYuIIbe3mgDAEuCSTjt&#10;TlqrDRb0nxfp6sHW7jjkHVWPBrqY/iPplsigIJZDwfLIIFcJL4i0y8jzcaPabj/sKf5imqPCt0Mz&#10;6PEvvG7L/Iis7O1ilJJ3PYNN8d6PcRjdK8bHqGFXbjWtLvVHl3ificV47FoPhWdN0NzqFq3XCXBA&#10;H55qwnha1/5dPFV1GR0EgV/8K5J4aUla5uqyTPWYvs0hG2aM/wDAhW5bFRGAGU/Q14WdE1235tfE&#10;dtMO3mRMP5ZqOfUvFWksolv9Nbd93Nxsz+dZxwso7FSrRlue/wCaDXg9v438UxYK2qzD/phcI/8A&#10;WpV+MN7aSMl3bXETKcEOmcVTpzW6EpRfU9zFKK8btvjdZt/rGAP+0lbdt8W9NmCbmiJfoAeTU8sl&#10;0Hoeh3d3DZWr3FxII4kGWY9q8B+IvxFk1Wc2lsxW3U/KgPX/AGjS/ET4iy6kwtraRRAB8sangn1N&#10;eTtJLdz4w0ksjdhyT/jXRSpX1ZnOVtB0tyZGLMcs3JNamjxHhu5OaZrXhy78PtZR3+FurmETmEdY&#10;1JIGffg1f0pRwK3ltoZwWpuQW9tKQ0uCfetMy2FpbOypGCFPaufvYJIUM0c+P9k1VZPNsJpLiUsw&#10;QlVHHOKxS6m9zmZ5TNcSSnq7FvzqMn8qO1JXSczL0NvFbxC4vBkH/VxA8v8A4Cq9xcyXEm+Q4GMB&#10;R0UegqJiZG3OxJxjntTDSS1uyubSyFNNNGTSEk8VRIvagHAJpOgxQCMUAM71p6WyLvWQDLDK5Hpz&#10;Wcu0Es3atfSYcTeZKnLA4GOgoEdABbvHHIiRcEcc8/rWjFaIWLhAM9l4qhYRxuijZgg46V00FqBE&#10;OT070CILW2AYfKcZrorZfLhBCZI5x61QtYPn6963baFyeGHSplqXB21Jh47voo1ifT49qgAdRUY8&#10;cI2S1l/3y1JdRuIX3bduDk1zP219HheJ/sf2Y85xk4PrkfyNccsPd7m/tbHXL4x0uVAs9nLnseMj&#10;6VNH4ysEIPmSSgcATL8wHsw5rx/UruwubjzLHUDCSMkQyttz9D0/Kufn1zUrW5aOO+Z1U4BIBzQs&#10;PNbMftYvc+ktO1Twzq0gjS3U3gyUWbLc+xNagAVODnHU1458JNVS91m7l1a+t0aKMLCrkKWZickf&#10;QD9a9hupI0izGwK44IPFbQi46SMZNN6FDUL828J28g8EGuPub2KS+c5OQOSavaxdOxPP5VxOrS3M&#10;k6fZztODux36VqkScFpktslrLBK2xmz1B54pNEl8nVFRuFcEc1E2mXsZ+aFhU6adPJB55cBkBOCO&#10;aom6OnWBftG9QMkYyKkubUtE+R/AaqeF7prsGF1LGP8A5aHvXSXMO23ckcBT/KgVzzJ3LYPtUTGk&#10;BoNAxM0hNLwKMUwEBOfStiwbzdoSSOL1OSSax8CrtjeR26ESEDnjjrUSQjV1CyFzbiBCrSA8OxCg&#10;VQbw405LaffWl1EnDyGUQgN6AOQT9RU9zZLqtvHPDqNnHEoO5JpNjKfp3qmdL0+NAz61CwzyscbE&#10;/wBKIqyGD+HjDzcappsXqBcCQ/kuaZ9n0aEfPfXFwfSGHaPzY/0pJ49EjlKx3F3MuOvlheagklt4&#10;hmG0OD0aU5/SqAkL6bKGWCwuWwMlvNyQPwFU4ykkoQu6xnt1NWoZp2JuBMsDkbUx8ob1qultLI58&#10;tS7KedvNAExspMbYXjkHo3ykfnUS208ZxJE6j1I4q5hgoDqVPcGhZHjb5JCme4JFAHUeH9Lg1LTE&#10;aSMFlYocivWPAOjRaNpNzJGmwXEoP1wP/r15X4UtL/UZJYEv3gcFSmFDBieK7fXIPGvhfSzNDq9t&#10;dWcC/deMKwX6d6TEtzv5JfmAPpSJKqZZj/8Aqrw5finr/VxbN/wCpP8Aha2sEYNvbkH2NIZ7XK8b&#10;fPJKFT3qrPdwIn7ocngE142vxP1JrkzS2sLknoc8D2r1jRp7bVtKttThw/npk552nuPzq0Bj+KdS&#10;mtNIeO2+WWYFVc9sjqa8om8NatFGZVmilONxAY5P0r3HXdLj1bSHgbCPkFWx90isGTSVtbjylGUK&#10;4Gai75rMu0eW/U8Q+3SxyMsgZWBwQR0q3b6sikbyPxrU8ZaL9kuGu0XC79snH61gnTozEXj1GzfC&#10;52FmVvpyMZ/GqIOns9WgkGPMX6FsVqILeXBM2T7GvP7TTLu+jaS1g83adpCkbv8AvnrTJor2wm8u&#10;aKeCTGdjqVOPoaLAelqPKX93dEHsMmuf16dmwZ5jIcYXJziuXj1W6TgTyY9zTZr6Sc5kcsfeiw7i&#10;vIofIJz7GmvcSum1pHK+hbNQgqzYJGfrU1zbCARkTRShxn922cexoERKSrhlxkcirK3TxXBuI5WM&#10;z5LMVAwT1qshIPHpThTAdlnIAyST617r8O/h1BokUWraoqS6hIA0adVhB6f8C968KXqCOo5r6O1H&#10;xfbeHvD+lXVzGzJcxABh0GAOtJgeU/E28F78Qrtc5WBY4h+Cgn9WNZtgNjA1U1i4OqeIb7URJGVn&#10;uGkAB5AJyKtWpwuaiRpEl1W622+3NUvtEZtXXd1QiotTkEny9cVjEljjJAqYxuU5CZ7UmcUhRgab&#10;8w61sZDs0hNJuFJkUhBmjPNITSAjNMY7PNSwqXYgdcVCetWbUEToFPJNAhbe1Yz/AL1SFB7it7/V&#10;tHJ8jYxwtMCFiVI5K8VeWMS2zHAyV9KYrmppkY3kkAAnIANdNCmUGVxXN6VteGJvUCu0s4Q1uOQR&#10;j0oEigqkSdwM1s2qlwCHwKg+x/OeladrbhU6jNSy0yKaJ5InjLKVYYORXnfiC3a0DwXI82E9CDg4&#10;9MV6Xc25aFgjYYjg1wGraVPH5ktwxcqCSzGkkOTOPGjWMqbxGyg9AGNYN7bCC5kjTJAbAHWuugO+&#10;GI9AV3fnWfpNsl14yjVwGRGL4Pcik3ZXHFczsTeH/COoJNBqN7b+Vag5Advmb8Oo/Guq+23lhk2l&#10;5NGP7u7I/KtG8uHIIlfcc8e1YF7KADzXJzucrnX7NRQXXiTVGyJXif8A2tuKgt9RuHuy90FCeX8m&#10;B71lXE4Ckk9Kqtq/lkCRCRjjFdELnPOx332CMnp1pv8AZcOeYwc+orXEWDSFMdq3OUoWljHbZEMS&#10;ID12jFO1AbbCc+kbfyq792qepbm0+4CgkmNsAfSlYDyaO0uJIDOkTNEDguOlQ7h6itq10HWbi3Hl&#10;xskJ5wz4H5VmXlhJZTeVcBN/fawP8qRaIMilyKTyR2bH403y5F5BB+tAx9V5RnHGakDsD8yY96bI&#10;hbAFAEP+c96VUZ2wMkn86cw8scjmo9zZyDigY5kaPgoy/UGtCxaW/hksXJb5C0WeqkelUUuJ0Pyy&#10;sPxrqvDFnNcu13LtIRdynYMnt1/P8qCWXbDwpbXNjGLsSBwONrYxSyeAIWP+j3bp7Muf1rr4Isop&#10;x2q4sXPIp2JueWanotxopjSeRZA+SGGaz2r0DxxahtJinA5jkx+BrgDQNMajyRNujdkYcgqcUs1z&#10;cTACWeSQDoHYmkNMakUNNNpTSUAFesfCHXAyXOizP0/ew57eo/rXk3StXw3qraNr9peq2FSQB/dT&#10;1oA+mntwQQRwetULi1VypI+6cVfsruO5iQq4YOAVP1pssRFwAvIbkj3pNAcL4r0ZLiOWIrkTRn8x&#10;0rw+eOKCZ4ZLVdyEqSCQeP0r6S8ToI4IZMdGxXiPijQpjrDzwmAJL8wV5lQk98Ann8KfQDlIlhBJ&#10;laRfQpzT/MaC6jltrqUSDBWTJVk/EU+SyuEuGt2hbzl6pjP8qhkhkjP7yNlz03DFAzSu7/VLm0dL&#10;jUYrpCOfNIdx9C3I/A1HY3Di0CnR7W7Qfxsrh/zVhWaRx60qsycozL9DigCzJJbjUN01lJDCesKO&#10;QR9C2f1qO6e2M3+iCUR4/wCWuM5/CmedIZBIZGLjoxPSlkcynL4J+lADYzuYAkDJxk1YuYVtpvLE&#10;8U3Gd0TZFVglLsP4UxEyHpivatatZdb+EOmJE370LEwHrgEGvFFAHTivevB0Taj8PLBQSQu5cD2O&#10;KTA8rl8OyWOnW15IAkhYxsvXJySMfhSD5IjXQ+Lp1Gpx6crfNAd7jPQkcfp/OsFY/OdIscHrWb3L&#10;jtqZbYZ2J5zxSMws7B3jjUyzHy1LDO1epI9z0qSZPLmdMdDip54Fkgtd+cCMnA+ppoUmc9nMqr2J&#10;AP41bMIfUDAvCZP8qn+xxFlZc4J4NPYwpOWKjzMFgfwNWSZZUEkdgaGgIOMds1CWJPXirkbmQIHx&#10;t7mgZVMZHamlCO1aUi25k3Fhj+6KF+yMCGjkDdiuCKBGcQAcmt7SrDZbi5lRsuRtxjpWdbWwNwrS&#10;jbGDnLdCa6EToybQy4xjg0xMtG2jWeHJdVJwdw9atwW21dvOAcDiqTS7rYMM7kII+takUofGDwRm&#10;mIdo6YDxEcxyEYrtdMYgBSMiuPsG8rUpV7SKGH1FdjpuOKTA2ViUj7oqRIgE6c0JjaKUk5/CpbLR&#10;BKWjB6EVwHjXVY4tIufLlUs42DBz1OP8a1vHGuXuj20At3hxcMYj5in5ffOf6V49fxzRNFFLcrLu&#10;kPCnIAGMc/iaENnYwxqltGcfdjHH4VfttLsNLaDUVDrdyodwLZHPtWVqN2LbTS64yQFHtT9Q1WO9&#10;kVoo2iAULtYk9utY1bvY1otLcv3N75jFtwrFvrsDOTVG5uXC5DVmNcGaTDPkUqdJmk6qLrSBkyxq&#10;NdznEcZb2AzULFD1PH1q/o+pDSZ2uViWTehQBvqDn9K7VGy0ONu56sWwaaWpGqNmHSpMwkkRFLSM&#10;FUdSTxXO3/irT4pPs8D/AGiRjtyn3R+Nc/4zmuF1IpJIzQsm5IwcBe2SO9YNhb7p7SbzFZml2sg6&#10;rikWkrXL2p6/es72qTFIkJUBeM1imZiflHzdz1NasejXN7eSsE2qXNdBZeGIYQGkGT6UrBdHJ2um&#10;3N22VU49a3YfD+1AJDk98V00dpHCuI0Cge1LtOaYrnLXPhqQKTBICf7rCjRdGmF7KbqAqEXA3Dgm&#10;uokbZGT6c1JFKnmNn2osF2cx4h0u1t9NeaQqj/we5rjBW34m1R9Q1V0z+5hJVAOnHesXvSZaLemW&#10;gvL5I2z5YBeQj+6Bk/yxXqWi2CWmk+XJgSyDe4x93I4X8BivPtAs7qeTbBA7GYgM2ONoIJH44Fes&#10;QWNyYiJjFvycBT1GeP0oTQmLYLvtIj1OMGr6xj0rK0+GU+bGI3zG5Bx2rQR3XueOxp3RBkeNYR/w&#10;i1y3cFT+oryndXqvjK4ZvC10pA5Kj/x4V5MDSKjsO3UhNHSmmkUGaTNBFJigAJopppaAPZPB2o3F&#10;74Yt5YpT5kOYmGe46V09j4juIZwLiPf2zXmHw31ARz3dk0gQOA6k9M9K9RtrC2LiSaVWZugBzTsA&#10;a5dXGrxReTEcKckVw+teHYNee3guJjbFX2+Ztztz616Veatofh+EyX11DD8uNpPJ/CvPtb+LOlFn&#10;hsNIFyG48yXCg/1pAZc3wY122bzdO1O2dh91gzRkfiM1kan4A8dLEUntpbuMHIKyq/8AM5r1DwD4&#10;5HiFTYT2j280S7kJJKlfTNd0SevegR8u3FrrmnxhL/w8QqjG6W0YfrWPbS2qSyG7tHdG6BH2la+u&#10;CSRzVG80nTL4H7Zp9rce8sSt/MUrjufKt0bBgps1uAf4vNIb+QFVgele/eL/AAV4XtfDt/frpUUc&#10;0MLOrRkrz24zivCLS2N3eQ26nBkcJkD1OKYXJLOxuL4stuEZl6qZFUn6AkE/hT7rT76xVTd2k8Ab&#10;gGSMqD9Ca9Hn+C9wIw1tqsZyM7ZEI/lWJqHwt8R2Nu8qCK4jjGcRvkn6CgDi+MjnNereE/GNvoHg&#10;MQ8S3nnOIogfU9T6DmvK3hkglMcqMjqeVYYIrR087gUVd0nb2oew1ua1yZNSunurhi1xKxdn6Hn+&#10;lMikk0+7hkkdHjLbTnqKjYpHGWa8iD8BaQSW+3jjy5H4jisya5WWB3lkzJ0VcdKhIttGrrvljUi8&#10;RG1lBwO1MeaNIoUkfbvgwD+JrMkZ7ja0jEtgDNP1LcDAV5EUS5z9TVW1J6CG3eMKsd0hQHIHSoBb&#10;OJWk8xMEHAz0q2kO6JZFXgjNKYWDYZSue5FOxJmrpsjNjzY8exp6x+STHndjvVpolEoj3nJ6c1OL&#10;CVRnyWx64poDN8kMegp4gNXfs691pwgXtmnYVxsKMLKRfRg34cihBn7yD8KsQR4Lpn7ykURxMWHT&#10;FAieCLerHcwJ96vWaSmNSspHbBFQQKVlK46irtkNryLg8HIpgaVjFNJfqzhflXA2119hGwK1g6Wq&#10;qdx6npXUWig4xUsES6g94ul3Bs0/0gJlOnJ9BXmTeIvEMkrJZavulBx5FwgVgfQdq9Z3DYcjiuV8&#10;Q+FtO1ovOuLe6P8Ay0Ufe/3hUstHkuu6hrVxcsNWaYOSDtcYBx3HaspWYyKecgjmu3vI9X0IeTfx&#10;LeWWcDd864/pVJ18M3qu6wzWk+MqqtlSaAMzWL/z7SKJemc81HobvcXohldmiCk4JqlqG0XRVDlV&#10;GAaveGxm/kPpGaJbDjuQahG4upFVmCg8DNVEQoetal5+8upGx3xVNwAScVso2RLeo1AWIB6VaaUK&#10;ACAeKgT5ACaR2y2fWmI9oY1GetFFQZnGeN4YzFFJsG/BGfaqOh2sAiR/LG7GcmiigrodVbooiXCg&#10;cVKBgUUUMkYeaYelFFAIr3HMD/Q1XYkJIR125/SiikCPOLkYuJP96o05cA+tFFSbHtumQRQWsCRR&#10;qihBgAe1XJGOVOTkdDRRUMC34fmkF/qQDnG9Tj/gNQSO0krsxyd1FFVHcmWxz/jTjw3Njuy/+hCv&#10;MFooqmEdhTSHpRRSGJ1pKKKAEPSkoooA2PDkjxaizIcHyjXWX+r6hZ6ELm3unjnZtpcYzj29KKKp&#10;bB1OBuLq4upTLcTPLIerO2TV3QoIptRRZEDDBOD60UVK3CR6t4SYxzhk4ZZtoIHQccV6i3Siihko&#10;jJ4qNWJPJooqSjkviU7L4F1DBxkKP/HhXh/hVVbxVpoIyPPX+dFFUgPpntSqaKKQHmfxht4V0iym&#10;WJBKZyC4XBIx61zHw80fT9T+2ve2sc5i27N/IHXtRRTA0fGEMVrYOlvGkSr0CKABXmDElsnrmiih&#10;DReLFV4Panak7eSoz1Rc/lRRSKLdoT9kjGe1XTd3EUYMc8i/RjRRVEFF7mWafdIwc/7Sg1pyW0Ud&#10;iJkBWTGchiKKKOomZ0l7crgec7D0Y7h+tXNLb7ZMUnVWHsoX+VFFNgi5fW0NtLF5Sbc9eSf51WjU&#10;AgAUUUIGTxf8fA+lXbYf6W3utFFMk6PT+wrpbUfKKKKhjLUpIjbHpXB69f3UbtsnZee1FFSWjjLv&#10;ULuTIe4kYHqCeKzsB9SgBAwcZwMUUVSEZlz/AMfMv+8a1vDP/H9L/uUUUpbFx3Fn/wBfJ/vGqcvT&#10;8aKK36GT3EYnpUZoopgf/9lQSwMEFAAAAAgAh07iQOcMzAbrdgAA5nYAABUAAABkcnMvbWVkaWEv&#10;aW1hZ2U1LmpwZWcB5nYZif/Y/+AAEEpGSUYAAQEBANwA3AAA/9sAQwAIBgYHBgUIBwcHCQkICgwU&#10;DQwLCwwZEhMPFB0aHx4dGhwcICQuJyAiLCMcHCg3KSwwMTQ0NB8nOT04MjwuMzQy/9sAQwEJCQkM&#10;CwwYDQ0YMiEcITIyMjIyMjIyMjIyMjIyMjIyMjIyMjIyMjIyMjIyMjIyMjIyMjIyMjIyMjIyMjIy&#10;MjIy/8AAEQgBYAH3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mWYf3hT/N4rIZhtBHBpnnSCQDdx6Vjyna52NrzQOppPtCDuKzWbMY9T0qFm&#10;PlEnP3iKOUOc2DcL/eFMN2g/iFZnS3yec9DTCcop6HBo5UTzs11u0P8AEKcLpT0YfnWICcsfYGpg&#10;coDzQ4oaqM1vtIHcUC4XrkVlxkMnJyaM7ZQCeDS5UPnZq/aV/vD86PtI/vD86y5BwccEUowydKOV&#10;Bzs0/tCn+IUfaBj7wrMGAxHtSNx1zRyoHNmn9oH94Un2oetYod9wwxp8hJVCpIJ4NPlQvaM1/tak&#10;9aX7SM8sKypyFCKB83OaBzD3z60cqBVGa32gD+IUfaF/vD86yomyDmhDhyD0xS5UPnZq/aF/vD86&#10;abtRxurNdevNRStym3pxmjlQudmt9sTP3qX7Uo/jrJ3fPLkHGCBT4WyDup8qGqjNI3aYzuFIL1D0&#10;as6P/XdKbJgOcdhzilyoPaM1PtadN1Bu16bqy5BkgYo4aFeDnpT5UHtGan2pB1ekN2gH3qzVOEYY&#10;z701cZIxzzRyoXtGaZu1xndSC9THWstM7SPUU6QYKcdF5+lHKg9pI0ftqDvzSG8XHBzVLb+8f5ck&#10;jikgB3FcZyOKdkHPIui9Wj7ch71RjBWTpznFG0FJCR360rIOaRfa8XqM0C9GMgmqMXClmHAWki+V&#10;s8c0cqDnkXRfr05zR9twfmBFUM/vWYD+KnTHMgB707IXOy612QMhTj1pBfBuMHNVgCYv9nHNRxgq&#10;VfHXpRZBzS7l0Xq9D1pGvcdjVMriRj6GnTHIHHWiyFzyLRvflzg49aPte4ZUZ+tUWYrGV655zT0B&#10;Udeoosg5mWRe9itBu2Q/MMCqm3cGI/zwaJMs65PUZosg5mWzdkjhTTRdsxwBzUMe4DC96YnBJ7c8&#10;07C5mWPtb4zjgd6UXTsMKORVdUJiYehoUsqEjuKLIFJ9yYXTk4xzTTdMSRgVGqEBfU8U1YiSef4j&#10;RZCuycXEjKSOgpFnlfIHaocEIwzilUbBu56ZosF2SieQkjPTvQLlvSoVB5A7ihc4PtRYdyWS4kXt&#10;SNM4UMTkmoTl1LdhSqhdcZ6CiwrkpuHwCaBctjtUQBYhaGXGRjpTDUcbpyaKj2/NiilZCuyZYyTH&#10;xweTUKjc7HHVsVp7AlkWx8wTiqUCcw/7RyaSehpJWZaEXzrkcKMmqZOYU4/vMf6VqzDyrWR8c7cV&#10;nMn+jKf9lVH86SYSRKkW5YlI4VSxqrt3Jn0Un9a1Cvl2kj+iYqpDH8mT6f1p3BogVQTISOFGKnWI&#10;m2U9gCTSKv8AobuerPirkibLBuOwFK41HQp28RJP0pkifvSfRwtaVvEAoOKpYzbmT+9NmkmDQtwh&#10;Az6A5qSCH/RwxHQU++GI2I74FSN8mnkd9oobGlqVLaPzJiD/AM88/nzRcR7YSe5BNWrJMXkq+i4q&#10;O/ADOo/hjz+ooTE1oZ4jKoSeoTP59KmEPMOP4iAafj/iWu56sQM1aMYHkH0Rm/TH9adyYozrnL3k&#10;nooOPyqYQkwJj+LApjLkzufQfr/+utWKMfZ4zj7ozSbHFXuZsUZYSY7HAoePmX/ZIFW9OQNE7Ecl&#10;zQE3+ef9s0NjUSrcJsUeu0mkSIMV44WMvVq+XCufRQPzplsu62lc9Vi2ihMTWpQ2kqg7sxzVqOHA&#10;c46KDSbMzQADsSKuhMPKvogptgolGOP97CP72TSmA7JWPdwtWJIyLu3Uf3aszxbY1H95wanmKUTO&#10;8kmU56KlNgi+QMegBNaEkW1Jn/2cVHGoXTGbH8OKakDjqUUQ+W5PUqDTVTDSE9AP6VPKCpC+sYol&#10;QiR1H8T4/WncmxFHH/qsdz/WpZkHnyDsFx+hNSRxjMB9z/Ol27/Pf1ZsfT/JouO2gRDJlYjoMfpU&#10;dumJIzjkpn9as7NkNyfbNJGu24gH+waLjsVdvf8A6asPyAokj8u1cY+Ytx71KikW9u56tKx/XFLd&#10;xkzQx9s0XCxDImyNx6oKPL2eWT04H6VPfLtYj/pnS3Cf6MfYqf0/+vRcVil5ZCbvVmqS4jAmh96s&#10;GP8A0aIgdc01gJJ7X6UXE1oNCf6EWHbiiSPy4os+lTwjdbSR/wC3/WnahHgRD2P8qV9Smio0REeS&#10;OWYmmlN0BlI+6u0fWr0qfuoeOtVW/wCPVU/2+adxcpFNEqoT32qBUhi4K4/gFPu1KzRDtgfzqSUb&#10;ZVHqtFwsVo4sW6Ejkt/jSRQ74zJjhVK1daLbBEB/fH9abAn+gTH3NLmDlIIEG0n2FVtn+jFz/eq7&#10;GNsRz/zzqJ4/+JYT+P600waHlRGkxI7GoEj3RqMe5+lWbniGT3A/XB/rTXPlwq3qpFCYmiGMCTB7&#10;bjQV/dykdm/+t/SnWo/cIfVyKeiboJvx/nTuJK5XkRQF55OMCnTx7Y/+A0k3CQt7D+VWLgZtQ/cr&#10;RcEiOOMBlPXj/GoYlBWb61cUfKvHY/zqG1XcsvuTRcbWpG8Wy1Y45pY48q+O2DUt3xaD3qS2X5mH&#10;qq0XDl1K0Kbpf+A5pkq4cj3qxEAs8fvkfrTblMSSexpXCxVUbp8e1FOhGZ6KdybGjqP7qx29ycVW&#10;t0zdRLj7qj+VWdV+aS3g7sc0lkobUZT2Gazv7pra8iTUvlsNv94gVVnjwtqg6scn+X+NWdVOTbRf&#10;3mzTZ0zqsEY/hA/xp30B7kmoYSxKjqSBUBQRQqD/AM82b+VTap8zQxj+Jyahv+HcdlRV/Oi+gPca&#10;qbbC3XH3jmrd8Ntmg/vMBTXj/d2iewqTU+Gto/Vs1F9RtaCkeXaO3opqo0e3TIvd81evBtsW9+Ki&#10;u08vT4FxjJFNMbRDfD/Ro/VjVmSPMMSepFVr3mO3X2zWoY8+T7DNDYJalOzT/TZm9zVS/wCbi6H9&#10;1FH61o6cuZJjjvWdNl5b5h2ZR+tCYpDbhNmlRD+81TS/8exYdkCj6k//AFqjvDmxtR6mrCrutosj&#10;hplB+g5pisZ7ji69BIFrXC7bDd6JWSg3WrserTf5/nWzcjbpv/ARRIcUQaZHm3+pNNs1328rerk1&#10;a05cWYb6mo9NXNlJ/vGpuVYq34/cufVgPyohTGlyt64H6ilvv+PeL/aYmnzgx6GCOpYf1ppiaIIo&#10;j9uRcfdiz+fP9atKub6df9kCljiI1eVT/CgX9Kfb4bU7j6gUNiSIJV/4mcQ/2atXKcwj/a/kKidc&#10;6ygx2FW5gDdQr7M360rlFa7TbaSHHaq7LjSh74FXdU+Wyb3IFQSxkabCPUii4WKF2mLqJfVV/nTw&#10;u6eQn+BmNS30eNTt1x2X+ZpUXAu29DVXJsMjT/R4G7hC360xE22n1iZvx3LVjaRa2nvEf1p08YjD&#10;oP4bf/2Yf4UXCwtxH/oTOP4woqvdHyJ4G9Eq/IvmWNso7kZqlqybZYuP4TSuNrQikTbYWp9yf1NW&#10;Wj866t2A425NF2m3TrMY/hH6irlmmYwfRcU7jsZ+oJ+9/wC2ef1p1ymbaYem3+QqbUEzdBf+meP1&#10;FLKPluRj+AH9BSuKxX2j7PBVS1+a6iB7GtJk2wW4x0I/pVK1XF6v+9incGiayQGRwf79S6gmRH/w&#10;KnWK4u5l/wBqpr5R5kK+/P50rjsV5lxBBn2P8qzyPnK+jmtScfubde4U1QkXbduuP4s07isO1FMT&#10;w/iP1oulxLF75qxqa4eE/wC2aZfKQYmHTcaVwsSTJi3i/wCui/zqKMbbO5HoTVu6GLKNj/z0Q/rV&#10;WY7IbtfU8UBYqyZWKP3BFTGPOmEf7Oabcpi2jb3/AKVdjTdp54/gNO4W3M+6X/RVP97b/IUl2n+i&#10;L7Efyp1yR9jtx3Kp/KpbxP8AQ39ttO5Niraf8exPpIKsWqbom/2lb+dVrYH7DOR2YGr9gv7qP3Rq&#10;GwijMuB+4i/3asTKWsIwOpOKiuVxDH+I/Wr2zNomR0YUXBLUhl+S3DejEVHYp+7+p/pVi5UfYX/3&#10;zTdPHyAf7VK+g7ale+H+jL7GrFuP30Of4o6rXpwhX0arCfLHav7YNO+gluR7cPn+7IRT7hAzSfSk&#10;UbjP7PuqdVDbvpRcaRl2wzcY9qKltVxd49jRTuKyLVwRNraYHCZI/CpNIj3TSmqiazvlErxKsoBG&#10;9RUqa6ERttuokPftUOMrDUo6kt+u/WoI8cLjFO2E+IGH93j9KqJqwklE06DzUGAwFSwa0oYyTxAy&#10;jgMB1ptSBOJLfLu1aCP+71qC6Uu0j44aU4PsBSjVYJphNNHtlXoV70q60OQYxt/u4pe9YE4l5os3&#10;dsp6bAabqaZ1K3XHSoP7eUEN5IJHTnkURa1FcT7rmHBH3SOaXLIpyiXdRjP2UfWo9QTMVrGO/wDS&#10;mya9ZtmJ43ZR7U2TWLCeSNmRhs+78vSlysXNEbqCbbiJcdFFag56DO1MfjWMdcjlmKzwB4gfkYDB&#10;AqxJr1vHAfsyZcnowo5ZDUolvTk2pMx7HmsmFS1rdP8A3pB/WpW8SuEIjtUUk885FLHqVhHEwMbM&#10;JG3FcdDTUZIXNFsbqMJjgtFIIO2rQQraWxxxh2P/AHyaptrEd4xjuU2xg/uyByPrUra4q4ij2sg4&#10;AI4pWkF0VIUzp8f+1Kx/lW1exn+zcY6KKz4L/T1iS3dTtGW3ehq1Pr9kB5XltIhGCaGm2F0kWrWM&#10;LZbR2Qmq2nriy25+85FRNr9tbw/6LES5PIbgYp8GradtLEFCx3FSOh9qHFjUokV/Hk269v8A69WL&#10;iIPaWsXZ5gKrS6zZTyeU8RESfdcUsuuWu9Ili3Rx4ZXP96jlkNyj3LkKbtZuT6VBbAi8mbuX6UxN&#10;ftkdpXiJl9VHWnR61p7OZ2idJMcrjrRyyFzR7kzpjWlJ9BU8ibb75uMIAKz08RWzyGWW3IdRhcc5&#10;FQx+JC2Wmg+cdNvp+NHLITnE0dSjZ7NDgn5snHalePdBboBnDCsZ/Ed40mVCiMH7mOv1qdfE0gxm&#10;2Unrwf8A61PkkL2kS5fwH+2bQ44JAB/E1E0ZW3vR33HNU28RXEkoZokwpyvtVlNYtbmFhdKUkb72&#10;0cGjlkNTiy0Yf9Hsz1Hl8Uy4UtNejH3IUH65ptrrMDTlHZVhiAEfByfrTJdZtYZ5ZYcyNJgMMcEU&#10;WY7ouWy7oIeOARVPV03XEY9qcuvWaocQMOc4HrUD+IIZsiSz47HPNJRkJziW72NjZQAKflUVbskw&#10;g9xWN/wkcqFQkY2D+Fh2px8SyBPktkVvrT5JBzxNK6hZ75Tjjb1/Go2Q/bJ0II3AD9Kzf+Ejn6mJ&#10;C2OPQU+LxCSA1xAHkHG5eKOSQc8TTuE2+UMcD/61Z6RlL0DvvFRt4jlbrAMA5AzQfEIYlmtE8zsR&#10;RyyD2kTRt4mTU5MqQCeOKNQVzcRMFON2KyV8R3wUg+WxzxkdKRNfutpEwEnpnoKfJIPaRNK8Dfa0&#10;UA8ZwPWobqIrek4PzAEZ71VXX5yP30KSOPut0xSx+IZySLiNJR1XjlaXJIPaRNLVIj5KMAeHJ/pT&#10;byFntYyFJKtzgdKzzr8zynzI0MJHMYHWhvEF2HBiVUT+6R1o5JC9pE075WbSMqpO3B4qLUbWYbnC&#10;HYzckVlTa1ezNy6hSMFQODSR61exybi+9O6N0NPkkL2kTSliZ7FSFJwR2q3aoWsAAMnaRgVjnX7s&#10;MDGiIg6r61KviCXAHlKmBkle9LkkP2kRt3GwgtPlP3AOncZq7LGZLJ9oJO0GqSarFOhjukOwMCgX&#10;9aWTWTDtFspCjg7h1FNqWwKUbXG2EbS2tyiDc3BwK0NPGYIxjkbhxWaNV8qQvbR+WWI3e/tT21hU&#10;wIITGO596GpApRQ69t3WKPcpBBIP1rQFu7221BkqQTWYNZMqEXCFx2qM6vMZAQpCAfdzRyyDnjua&#10;MlvI9lIqrnDk1DpiZTHfPFUW1a7EwZW2oDnYO/1pZdWkKlYo1i46inyyF7SJNqds8LsSAQ3IIq1b&#10;2r3GnRBByD3rJg1WeGLymVZFznLdaSW/uJGUqxjUdApxTcGLni9TXjt2DOpHzEbSPenxwSRuwdCA&#10;cEVlPql0eFbaT1bGTSrq9wsYVgHYfxGlysr2iJoY2W/bKkDntRUB1m7IwRH9dtFPlkLniVFtJT/A&#10;alWwmaQJtINdGEHoKkCgnpWTxDLVBHNnTZ9+0LStps6MBt/KulC+1PApLEMfsYnLS6ZcRYOwnPek&#10;fTrhQD5bH3xXYKBtHenLw/an7dkukkcc2mXYUN5TEN3ApVsLiNsvGwAGeRXdwgfxYpLsKyScZAQ1&#10;oqrZDpo85KkscDPNOCHGMV2MGlWgQMY85HIzSvpdsOdgxR7UFS1OOCHPSl2nPSuxOm2/GIwM01tO&#10;gJ4jAqfbDdI5AofSk2nqOldkNOt8YKCkTSrccbOKftUL2RxxX60mMdq7hNAtZXDEbQe1OuPD9j9n&#10;bYDuI61XtBezOECk9qXZ9K7GLQoYYipG4HvUS6Jbq3OTUuqP2bOUC8Ubc9a6pdFtw2ecUPocD8oS&#10;KPaoPZM5TZRsrr49BgK4OScdaaPDKZ3M/HoKftEL2bOS2Y6UBB1rsf8AhFYzysmAOuaQ+G4o1bL7&#10;v0odRB7M5DZ70ix5P+FdZFocSk7uakTRoIm6A59RS9qhqkcj5RPanLbSEZCk12C6bACPlH5VbitY&#10;l4EYwOvFHtR+zRwIiOSMdKXy8c9K9Ej0izkbJhXPJPHXmobvw7byyebgKvQKKrnFyI4HZxSBK7K5&#10;8Ow+V+7yDVeLQIlT5yTxSdQXszlSlAj49K6v+wYOG3HHpUr6LbMuMEfjS9qg9mceI8ngGlMePWuy&#10;t9ItYsgxkn1JqU6LZsdxT9aPajVM4gxEDlSKXyGHO04rvH0W1mQDy1BHoakGlWwjCeWMAYzT9oHs&#10;zz4RE/wn8qXyiOxrtjpluhIEYwT3psumWx48sCl7Ufs0cUIm64OKBEWzgGu0XTbYIQUBpU062Rvl&#10;QfjS9qHsjixCS2ApJ9qBE3IAOa7qPT7aNspEMmnro1v5nmmEE+lP2gvZnBGNgcbTml8luPkYV3b6&#10;bA5DNEM/TrSSWURCgxLgdOKPaD9kcJ5R6bTmlMDKoOCBXZnT7fdnyxmkNnCy7TGCM0vah7JHGeW3&#10;900GJ8ElTiu0XT4AR+7HWp/7MgkgZPL+UjtTVUTpI4QRMRnaacsLPyqk/Su3Gl25QR7Ao45qeLTL&#10;W3TbHEDnuarnYvZnAeWfQ8U9raUJu2Hb9K7Q6XaiQsUySc88U6a3ieIptG30FL2gezOHW3kkBIUk&#10;ULC5baFJNdjHaxxJtRRg00WkStuCANnrS9qV7I5OS1lQfMh59qRbOVxwrflXZG3SXhgDirMFpGD8&#10;qKKPasXs4nn8lrKj7SjD61uWnh17hEZjtDDdn2rV1e3TLPtAIHar+l3DJbwHjAQA8UOoNQRiyeF0&#10;yCJTj6VWm8PYbKNlR1JrqJZPnGDx6VXchmqXNlciOZl0Fv4XH5UVvzjB470VPtGV7NFUU8UxeuKe&#10;K5rmw4dOlOFIO1OHAoAcpHSpFxnNQqctUgbBp3sS1clV8YrP1K9nW68iBl5TLAjrzV3PesdiZdfS&#10;MdSUT9a2pPUxqrRHU23hHxLPErxNb4Kjpk9alHgjxQe8H5H/AAr1LSElSwYQPGpLAZfsMY6VcT7d&#10;mYmWMFjlQ3OBjp7Hv3r0KOGjOCk5bnNXrKnUlBW082eR/wDCF+KDxm3GP9k0n/CEeKP79uP+AGvX&#10;wL4WygTwmTvkUP8AbUijKTRO2fnDDHH1rVYOP85zSxvKr2X3s8gPgbxQ3WWEfRD/AIUo8C+KB/y3&#10;hx/un/CvW2j1GSIg3kUbHOSnbjp07VYQSpAVmnEjZ4IHNKeDiot8xmswu/h/M8fHgnxP/wA/MP8A&#10;3yf8Kd/whHiYjH2qD/vk/wCFem3utabpzbbvUIIW9HbB/Kqx8WaCOur23/fdcKi+5usVdfD+Z54f&#10;A3iZhg3kH/fH/wBamf8ACAeJT/y+wj/gB/wr0X/hL/D+P+Qxbf8AfYo/4S/w8M/8Tm29Pv0uSXf8&#10;A+tP+U86Hw88R5z9uh9M7D/hTh8PfEg/5f4T/wAAP+Feijxd4e2Fv7ZtcL/tij/hMPD3X+2bX/vs&#10;UezfcPrT/lPPl8AeJF6X0H/fB/wqQeBPEmP+Py3/AO+D/hXoC+LvD5BxrNrx/wBNBTv+Et0Dcy/2&#10;xbfKMn5/60KEu4fWX/Keff8ACDeJRx9ut+f9g/4U1vAfiYjH263/AO+D/hXoh8VaEHKHV7bOM/f4&#10;p58T6Hz/AMTi04GT+8FPll3D6y/5TzT/AIQDxJ/z/W//AHwf8KYfh94lJz9vg/74P+Fen/8ACTaH&#10;0Or2nAz/AK0dKX/hJdFzgatafd3f6wdKXI31D60/5Ty//hX3iUf8v1uf+AH/AApw8A+JQP8Aj8t/&#10;++T/AIV6a3ifQ0ZQ2r2uW6fvBzT/APhI9GJ41a16ZH7xelHJLox/WX/KeaJ4I8Tp0vLb8j/hSv4I&#10;8UNwLy3A91P+FelL4h0diANVtSSMj94OaePEGjnGNUtjnp+8HNHLLuH1l/ynlzeBPE5HN7bf98n/&#10;AApn/CAeJv8An9t/++T/AIV6mNf0hsf8TS15/wCmgx/OkPiHRwBnVbbk4H7wcmjkl3D6w+x5X/wr&#10;3xKf+X23/wC+T/hSH4f+Jgf+PyD/AL5P+Feq/wDCQaR/0FLXk45kHX86YfEejq4U6ragtwB5g5o5&#10;H3D6y10PLB4E8TjgXMH/AHyf8KcPA3ifvcQf98n/AAr1M6/pQz/xM7Xjr+8HH61FL4n0SB9r6vaq&#10;3YeZT5X3/Ar61/dPNF8FeKV6XFv/AN8n/Cg+CvFGeLiDP+6f8K9P/wCEg0kruGp2uOuRIKDr+kg8&#10;6pa9M/6wf40csu4vrP8AcPLD4G8TsCTdQZ/3T/hTP+ED8Tnrdw/98n/CvVR4g0knH9qWvTP+sHT8&#10;6aPEOkMFI1S1IPQ+YOaOSXf8A+s/3Tyz/hAvE3/P3D/3yf8ACl/4QLxNj/j7h/75P+Fep/8ACQ6R&#10;gf8AE1tTu6fvBzSDxDo5HGq2p5x/rBRyMPrP908vXwJ4mH/L3Bn/AHT/AIVKPBXikDH2yH/vk/4V&#10;6QfEmjAlf7WteDg/OOtA8SaMfM/4mtt8nDfOOKOV9/wF9Z/unmx8EeJyB/pkA/4Cf8KafAviY/8A&#10;L5D/AN8mvSE8T6JIm5dWtcc/xjtQPEmjNjGrWuSM/wCsGaOWXf8AAf1n+6eaHwH4lP8Ay9xf98n/&#10;AApn/CA+I/8An8i/75P+FenHxFo3A/tW155A8wc0weJNFdQV1a1wTgfOO1HI+4fWf7p5r/wgPiPP&#10;/H5Fx/sn/CnjwN4lAx9tjx/uGvR/+Ek0b/oLWvp/rBSHxHovP/E2teDg/vB1o5ZdxfWf7p5z/wAI&#10;J4kz/wAfsP8A3wacPA3iQf8AL7F/3wa9TguILmMSQTrInqrZFSf8Do5X3D61/dPJj4F8SH/l8i/7&#10;5NM/4QHxCet7H/3wa9bz/tUmf9qjlfcPrS/lPJf+FfeID/y/R/8AfBo/4V3rx636f98GvWf+BUmf&#10;9qlyvuH1v+6eUj4d66P+Yio+iGnL8PddH/MSx/wE/wCNeqZH96kz/tU7S7j+tX+yeJ+IfDN/pMMb&#10;XOomQM+0qF5BxVbSZC1oh+o/I123xFUDTGfOSJlP5g1wGiv/AKKw/uuw/Ws7vld+jO23vJrqjUc7&#10;nzn2qHcC3HY0Fvnpin5zWbZqkJI2Tj0oprj99RSGQp1pc81YTT7gH7g/Og2FyGyVAH1o9nLsL2ke&#10;5EWxing5Wh4/9uP/AL7FPit5JeIyrn/ZYGn7OXYPaQ7jEI5pc81Othc5+5+tH9n3JP8Aqz+dL2cu&#10;wc8e5HnArN0ZPtHjKAHp5wyPpWs9ncqufL6c9aqeAoxdeMd55VQ71aTjFtohtOcV5nuWmKFsl+U8&#10;kmrnH901DZKVtIlyOBVn5sdRW9NNQSPGxMuarJ+YnH900cY+6aXn+8KOf7wrQwAY/u0vGPuGgA/3&#10;qZLJ5UZdm4HtmgDwHxrdeb4uvyGyBJtHPpWRZpHc3Ucc1ytvGxw0rgkL+A5q14iS4bxDetJFIrNK&#10;zAMDnGetSeHF0pNSWTWvN+zKMhY0zuPv7VEpKzaZ3w0jqdLpvw8TVALi11dJbQtguIHQkd8Z4p2v&#10;aV4as4ksUupLR4zl3ktJGkc/U4AH0ql4p8a3Ooyx22lGS2sIfuBBtZsd+O1MsPHt55K22s2sWpW3&#10;/TVRux7Gub94/euM5W9+zR3TrZyySQD7rOoVj+ArpvDfhZbyGPUb66tktS20Q7i7ydsbV5FJr58J&#10;XNiZ9MS7gvW6QYyo+ue1Z1prtpa2sUZ0O1lkTrM7vuJ9eDWspOUdNBndx+E9Fgu5gbaU20i4EcwC&#10;Op9QzMvHsabB4U0bSHFtfrILu63LbSXIUxA44BCufzNVdD8Q+HLKKLUJhDBddWighcsPYkms3X/H&#10;aalqJmttLtDGBtD3Ee5m+vNc6VS9hXZia5o8+i6l9keWOffgo8RyGH9DXS6b4EhtrRNQ8SXwtIDj&#10;ESnLH646fhmuSu9RXVb2A3UcFrCDtY28QGB3OO5rsNO1XRtJtzDY+IrqOJuqy2gbn/Pat5uSSSKN&#10;LTfBmia1qv2m0njfToPlMMSvuY/7TN/Sub1XR/D7311NDrqwwliUhjs5G2j0ycD8a7TT/HOh2Wnt&#10;BJqrSTNn94tsEwT0OBXOXmu6fd2zwXHiq/aGQbWSK0VdwP8ASsYOon7wkeeuw8xgjMy5O0kYJHri&#10;u7tfAtlL4bTV7jWjbw7dzO9u2B9B1NYWi23h+TxITd3kkemxncDKnzSexA6CtTx74sj1eePTtNcf&#10;2bb/AHdowHbHXFbyk20kO5Mln4HXTvJfWpmuwSRPHbyAHnjKkY/Ws26t/DMVu7Rare3EoB2qtuFB&#10;P1J4rlwW9KcScVcYWerHY6nwl4Wk8QyPNM8sNkhwZETcWPoMV2f/AAhmi3csNlHpmqQKHy10wUB/&#10;qScgfhXE+CBpj6lJ/a9+1vAi7kj3sBIfQ47V12ra5G94VsdV0SKyj4iEkbO2OMknHqK56jlzWQnc&#10;s6z4K0v7UiWmk3zoiAFreaNVJ99xzmuG8SaBNpjmcWv2W2JCqkl0kjk+uAc/pXVabrtumowm/wBb&#10;0mW23fvESzPI+uK5zx+dFfVIp9GlheORMyJCMBWz6ds1VJy5rSYXYnhvRtP1Wwkknh1eWdG2k2cC&#10;ui/Uk5NdXf8Ag/RIobeK2tNZlcA73hh5J7Z3gAfhXK+Do9GMcjatrc9nh/8AURllDjA5yK6y513T&#10;bZTFouq6bbKOPOmWSSQ+/I4pVHLmsguwv/Cej2OjpJHY6hOy5eRiwjZRjvuwPyzXmup3NrNdk2MD&#10;28GBhHk3n65rpr+OLU3L6j4yhm5zjZIR+AxisDVLfSbW4t1sbyW7TrMdmwfRaum7fE7juadt4Qa5&#10;to5F13R1kcZ8prrkfXg811Gj/DmO1s7m61e4t5f3Z8ry5DsU4+8TgVjp4x0XRbJU0LRlW62/NPcY&#10;ZlPtXUN44tk8ElxqsZ1YxZGFO7eT0xjHSs5ur0JdznZdF8Mx6OILnVLNL5c/6RFK7Aj3XFcTerDD&#10;dvHbXP2iJThZdhTd74PSujTx9cy/LqWl6fferPCA351i6vf2WqajHJaWEWnwEBSqEnvyTmtYKSeo&#10;zZ07whJqawra6xprzuuTCJWLL9cA10g8HaXoNg76veRPeup8sOWES9s8DJqOPxDoPhHw/wCXokqX&#10;WoyjDS7TkH1OR09q57T/AB7rVqWW4kW8gY5aK4G4VH72bvHYRS1Oy0+zgJt9Yju5icbIoWAHvuOK&#10;ybfbLcxpI7IjHDMq7iPw7126XvgzXwRd276VcH+OPlK5p57HQtfEtgw1GCM5BcFOfbHNaRm2mrag&#10;dlpfg3Qr6DCPetICOZiIy3r8vXHvW2PBml+SbIWkBWLl5mY7weuMgj9araT44tdW0mdby7hsJ1OV&#10;DMxAHqMcn86qW3jjSRdpGb25WNJBulZTh1+gPFcslVbYtSDVPC2hQWjBbe9W4OdjWw80D0yATivN&#10;3YrIy5PBxyK9L8TeN4beZVsp7a/tJFw0LBsr75rzKSQvK7hQoJJ2jtXTh+a3vDuet/CiYvpd9Gck&#10;LMpHI4yPTr2r0L/gBrzH4TXAih1JXJALxjIXPPzeg4r0r7XCC26ZU2ttO8befx61s3Hucs0+YeR/&#10;s0n/AAGpCGwORTTu9RRYgbj/AGTR/wABpefUUhz6igYn/AaP+A0vPrRz/eosK5w3xEQto102Pu7G&#10;rzHQ5P3Uy+j/ANK9W8exl9FvRnrCD+RFeQ6AXeWZFUseDgCsErqS8z2b6QfkbWfmpucNT/ImyP3T&#10;/wDfJqNopc8RP1/umsnF9jZNCSHnIopGilJP7p/++TRRysehqXN8sKnaRgHBdugNI8Cy25cyGRiM&#10;qzdB9B0FQ3FxZRWTBtrIowB1rmbvVZ5+Iz5cQ4AFd9zxpVFHQ623uIooVWaRQ/160kEQupJDN5To&#10;DhMKMj3z2rlraxebTprh3bcBmMZPOOtVra9uLZ98bsQOozxSuR7Wz1R2wka2crHJ5qDkxk5Zfoe/&#10;41ejkWVA6nIPSsnSbyK6jabIDgc8VZtZoxdFImzHICw46MOo/rVG8ZaXLN8wSwnkOMrGxz+FZHww&#10;i36teykfch4/E1e12TytDu2/2MfnTvhTATDfT4/jRPrWGJfutHRRV5o9ihVREgwfuipRt9DQoYAD&#10;A6U7De1aqNkeVOV5Njfl9DR8vYGnYb2ow3tVWIEyP7pqpe7TJbjb/GTnnsPb+tXcN7VSuw7XsHAw&#10;AxztyM/XP9KyraU2XD4ilql5b6dYy3ktsZFRcsFUZI/E1wt18QtzC7ttOMenISgZlBaV8ZC9cADu&#10;ea6rxbod7r+j/Y7S5SA7tzb84cemRz+lcDd+FdflvtM04adGLSx2qZEYmJyTuZicA84/SvPoxi46&#10;nYrdzpovFzLZRvcWNl9oRN0yNOqEZ5wo5NZ3h/xtc6jc3U08FikCkLFE77Ng+uCTU+pLrd0kk0Om&#10;6hFd7SERIIfKJ9Tklv51T8OaPrdj5kt5p2pSXEkm5hG8So3pndyPwquWKixnd3Wp6Tp2lDULryUg&#10;AyGC9SewHcmufPjzSIHtGvdNltobkF4ZWVSNuepA5FaWv+Fx4qsbRLySW0aHLeXGwYZI78c9KzNR&#10;+H5up7a8lvprp7OILHA8ahWC9F4xgGsoKFveeotDPm8bDVbv7PpFraWkIBZbq9j4P+6AKt2Pi2OI&#10;iHUdCMmwgNc2kYkQk9+gNZWj2+sy6pPLrVpq1vCo2wQ2dudgGegIHT3qxZXHiPTvGcSW1pqraRLI&#10;qMlyhbaDjJ4zjBOfwrVxjsitOh2l7d6Jp+mf2he28UEJw48yLDEntg85rA/4S/wzHNEt7pn2RZ18&#10;1HlgXDDseK0/FfhL/hKVtg969uICSFChlbOO3Hp+tY2q/D+e6u4dRuL4XhtYgq2v2cASBR93g96y&#10;gqbWrFoUJ/Fthqt3La6LpmmRjG77RfqFVz7L3+p6VcsvFGis7Q6n4dWOQ4EksMCyxufqBzWRobX1&#10;zqNw2tLe6dEgCwW1vZkjHpwp6cc9at6bq2tWHjcWQhvZ9HmkVALqAggEDnoMYJrZxjZpFXR1Gr3H&#10;hfSrBbu70y3IlUbUFqCz/hjisJrqe4VL2HwVarYMfnDQo0zJ7JxW/wCOpLtPDM0dpp73csvyYQE7&#10;B68VwejWskXhx4riaBbyYEGS6gmLxduMDFRBe7dsFqdhYX/g+/8ANDaTb28kSEyrPZhdqjrk4xVH&#10;X9V8M6fpNrdWGjWFxLeN5cAe3ABGcE9OlVIdAv8AVfBg0Oxvt8yy+ZcXVxFIiOuT8ikrk447Vha1&#10;pt1H4v0TSSjNFZJFGWRSVznJIqoxjfcDu9WttD0bSEvZfD1lOwQF0SGNSBjJxnrXJN4i0u1nju5P&#10;DWmPpc5AttkUYmzjnIzzz9K6fxzZ3VyLYWWmSXVx0UrAjoPTcT0H4V5l4c0zWb3WJ5I9NEoXLSxl&#10;Y1Cjdzs3DaOSOlVTScbthY7rVNT0TTbzTrRfC2nSzXXKqvlkJ2wTitOHSrSR083wzo1um7JZ5EOP&#10;wC1yGg6a+vfEOR73TillboQkUiYAC8D8zzU3hC1ivfHupxz2hNqofyo3BKrhuMUpRVtHsB2mq6No&#10;dhp5ni0HTZiGztZI4x9cmuOudZ01rqGK18L6UyM482QtGVHsD2rufFKaPHpBudWsXnghxtSNCzc+&#10;g/DvXl9tILu5lutzrCSVihmVECL24Dg/pU0ndXY0jX1TWtMtUVbfwtpckkp6go4HPfaK19MfQtSv&#10;1t5tK0CMuBuClS547DYK514HmjZUaJWPAaJzn9Farvhi+0yXVYtN1nTZ7i/Em2C6mjDY9BuwD9CR&#10;3q2vd0E9DofEn/CLeG7Tzp9DtpWYbUSO1X9TjArJ0vUdHuIfMuvCMMbE4jWOBGyvbJNdJ4ytLq50&#10;GY25jxEpkaJ7YS+bjoACePrXmvhC2LTy3VzJPHNvG23jsPMwvXIJGFqILmhdsW51l3feHdMvbiDU&#10;PDVtbrDB50LeUh35HI9jk4FZuk6zpF9ZQk+GdPe7nnIiiWJECLxgsSMnvWL4fXVPEHi++vGgkkl2&#10;MQGkEQUbhgZKt+g/+vP480jUrGzsriVBnzSFKXDysOPdVArTlSfK3qNnpY8P6EkG+TSNPTA3PiBc&#10;A/lWO194IQSGS2sEAOGLWwAz+VaOiaxv8IWupXUcjFYR5ihSWJHGAPXiuFMerfETWCjwPY6PA+W+&#10;TB/lyx/SsYQu3d7CsXJvEPh651JbbTNCsngztku5LUFAB1AAGSa6Wwj8N6hcCK30aE4X77WIVQPq&#10;RVJvA8umkyeG9SmsH6+TIfMjP1zzVaTxL4p0HjWtDF1AvW4sz29SP8cU5Wl8DA6b+wNEUA/2TZEJ&#10;0H2dT/SuQ1XV9H0xwW8IxiNXwHmijjLE+gxzXWadrP8Abukvc6fBJCxGE+1xEDP4Hn8DXl/irR9e&#10;0sxXN/eLNHLIWZI5GZVGf9o7j9APxpUYpytL8wsW5/E2l3Ev+iaVo9tFGd0nnW4cMfbCgg1Yh8RW&#10;FztFv4Y068aRsbIo8Egd8FKy4PDkd7bh7TS717Jj803lMufdV3sxqpommTXmtvp5muLAjIgbYQcj&#10;oCp56V08sLOwWPX9HaB9NiaKwaxHTyCgXae/A4qzcbfs8hGQQpIIOMfjzWd4f0/UdNsjb3z2sgB+&#10;Uwq2TnuST1+grVnyIJPlwdp747etcLfv6MlosQMjQIck5UHOc9v1px2+9NtWL2kJ25+UYO7P61Ic&#10;/wB0V7Vro5OpH8vvTSQPWpDkfw1G2T/DWE7lIbvApRJGT3pp3f3aYdw/hrndeUDRRTMDxgiy6Xcg&#10;c5t3/QE14z4UYjWJIyeGjOfzFe463GZLVk2j5o5B+leE+HW2eJVXsS6/pV4Wpzts75fwoJHZOHe5&#10;Ee8rGEzhTg5pTbIAf3kwxz/rW/xpTxdIeMbCKr3N4gaW2KktsyOetdT03LjeTSQy4mt7ZQTJMyk4&#10;ysrf40VnQQrdSCNd7W8YyQcZyaKzTb1R2+xpx0k3czdaOJ1tYslQeg7nNSrZRmxSE5DA7icGn31j&#10;LJqbSr5eP9tgOevGQc9ad9huccNDz6so/wDZa1R87yvmdy4kkaxCMBtoGMc/41Q+xxJZToNxZjkH&#10;H5d6X7Hfj7sSP/uup/pSG2vwCWtwo9Syj+lMJXa1Qnh35rt4m5UjpmukaGOCW28tQuZf/ZTn+lZG&#10;jWhtZHnkxkngA5ra3edfIAPliUk/U00jSlG0dSj4rk26DIP7zAfrmuh+FduF0YOf+Wlwf0rkfGcu&#10;3TbeP+9Jn8h/9evQvhrAY9B0/wCX7wdz+ZrCtrZeZ20tOaXZHoAC+ppQF9TTgCB90Uc/3a67Hjti&#10;YX+8aPl/vUuW/u0vPpRYQ0Bf71NeGGQqXAYrypPapBn0pfm9KOVPcZWWztlK4U/J0+Y96RbG2VWC&#10;7gGXaw3HkZzg/nVv5v7tKN392p9nFbIfMyuLW3GAAcBtw+Y0otbcDG09c/ePWp8n+7VS91a005N1&#10;zKq56LnJP4UKkpOyQnOy1ZN9ltsnIPJ3fePX/Pak+yW53Ar945PzGsa78Su1nI1rZ3CllISVozhc&#10;/wAWPbrWaFS7sptRudQm1AoQBbByke4nA3KOMfXiqlhuVXcdAhVjLRM6G6aFZxawRiS5mGTljhVH&#10;c1nQ29xdzy7LlpIWO0zq5ReOoA7/AF4piw3FzNNBA80N35QjnkKhUjU9FC459q6C3iFtbRxKPljU&#10;Lnp0rnlGHRG6biYyaLqMdwZBqzOjDaySLnaP9n396tf2bcwq7xX8kkmPljlA2n8un1q61/ADtQ+Y&#10;3pEN38qQTXkgxHaCMHvK39BU+zT6BzshtJfMuBbTo0U6xBsLJuVgTg4OOTmqOoadrD3qNaX+21U/&#10;dBGSOM7vyrYtbQwyyTvmW4kADSNxwOgHoOtTPC0zZaRwmPurxn8ev5Yq/ZRtsLnszLhsZ7dS1xqL&#10;9c5YggfnUb3FjAUjk1bMjk7FM65f2Fai21qko2QR+ZjrgFvrnrUd3GjxMzQgsoJUkZI+lcdWlZaI&#10;2hK8kmVhbiVQ0N9MPm3feBz7Vn3M8ouxGLm6jijyZZTC232wcYx61p2UET2oDQqckjlR61Z8hDyo&#10;YEk554P4HisacHLU0q2hNxXQwnlkjvYzHez3aqCZI4RzzjbjAx68Z71r3Ecn2R5IUmMrAERF9pX2&#10;/LtTrGC3sw1tFAsRYl8J0b1OPxqe4lMKoqw75HO1FxXbSw6UbNXOeVTXQw2tNYMLSy6jFb7v4Suc&#10;fSrdtb3Aj+88jEY8xgIx+XWr0dsqt5kwMk3949B9B6VI6F8bZCg7kDmrWHgugnUbKgsrkkbrnZhc&#10;cLn8eaoXcn2KSOIXQZ0/1hIAwPf3rY8iI8Mu/r97nrjPX6UyS0tZTl4VzjGQMHH1FW6ELaISqMyb&#10;bVbS5iSSK68+PJB8s5xx/EMfL074qS3huJbqUx3LPCvOXXGG67RjqMdffHoastpNqfu+Yg44GCOO&#10;nUVPFZwQxKke9Qo7N15zUrDx6op1NCMwspO5pFy2dy/MAP504W4kUlJmIboVPSlkkeFt2zfF/s5y&#10;o9x3oAhmTzYHAJ53AZB+tV7Cn/KiOZjfsQ3MwcjcMcUGyzjdIxwMc9/epYnVwQQQ6nDA9f8A9VNl&#10;ngh4dgCei9Sfwp+wh2DmYxbQKEAkYBe3rSC04H71+G3Zz1/+tRulkxtTyl/vNyfwFIbcnn7VOPXG&#10;3/Cj2FP+VC5mBsxhh5rjLZ+ntQ1krbz5zjPofu0yS3kEbGO4md8cKSgyf++arWE1ybySG5T5VQMM&#10;kE5+ox+VHsIdh8zLf2MBs+bJ93GBTTYKyqryFlAwVbkH615/441HX7nX7bS9Nn/sqyBy93JKqb/U&#10;8nJAp/iG3aPQi+ieLpWvosMVlvVIlwOntS9jT7Fe9pqd6tjtCqJX+U/n7Vy3irxPa+Fbq2huIZ5m&#10;uMkOjAbRnGORWXF4y1iz+H51K5sVa+gkWIlyGSUf3sqTz61yHjzWW1jQdA1aeFFnlEgKJ90EEU/Y&#10;0+xUU76ntX2TcCfOcbsEe30pHsQ4IM0gBGODin2rxyWsL84ZA36VKdnoaf1en/KZc8hFj2IFDcAY&#10;FBU/36Pk9KQ7PSraFcYQf79MYEfxVIQp/hNN2J71jKDexSZER/tUwoTnDVYCxj+Emj5Afu4rB4Rv&#10;4mV7QydUjKQxuxGN2PzH/wBavn3T8w+KkHT98V/PivojWgpsMgdHBr54vB9n8ZyAcBLs/wDoVFOk&#10;qVRxXY9CL5qEZeZ20jKs8Wf4iQPyqvexsSvlRbpSNoYfwin3IzJBgkfP1H0qbyz2mk/T/Ct2rmsJ&#10;cvLIz47K7tV228qEHlgw6Gin3d6bKQCTeyEcHI/worP3VodKjVqe80ivd2X2yPynyJVGVb1rLT+0&#10;7KQo80mzthd36Gt/yZ4BiMebH02k/MPoaiMqqf3jSxj+7JGcD8elbHjSjcy2ubiYELNKThsHyAMn&#10;t24pLXSriVxNeyNjqErWEkX/ACzdif8ApnET/SpoxPIoVE2L/elwW/KgORPcaB5exVXPH7uP19zV&#10;62h8pME5Zjlm9TTYbdYst95z1ZupqcnaCx7c0zZROQ8ay5ltIs9Azfnj/CvYvA1v5WlWSE422qn8&#10;+f614p4pfztfhi67VVT+JzXvnhqIQ2xTaf3caJ+n/wBaspK9WMTS/LRnI3sf7dA/3qTI/umlBH90&#10;13cp44uP9ujH+3SZX+6aPl/umnyhcXB/vUf8Co+X+6aBj+6aOUBcD+9Sgf7VJkD+E0Aqf4T+VKwx&#10;k8yW0Jkd+hwAOST6CuZ1nQ76+u4r+O1t2wPnt2kJ3+mcY/nWzAov7t7kqfIjfbEPUqTk/TOR+FTa&#10;peLY6Vc3RO3y4yQSO/b9cVUZcj5kHJz+6ZravqYtjDDo8yS7dq5PyKeg7VFoWgXls8txfyxFpxiW&#10;HaGDfj2+gpdG1u9v9MWSWziE38RMqkDnjgE/rirD+IvIyJ7IswBOYWD/AKdfyzWf1ylrFW1+Zr9R&#10;q8+12vuLsejxQTyS2txPA0mN4UhgcdOGBx+FUdPvNL1DULizknea6t3KtHO33sHqo6fkKjXxfZoF&#10;N1Z3lqjYxJcQMin8cGvM47kXPjqKaJyFkvlIZemC4zyPatqFCnUUpN7HXHB1Un7RWNbxR8TNYsNa&#10;udN0KxtzBbsY2mdOWYcHAzjGeO9SeG/ipeLceR4liiiV8CO4iXgH0bnFebalOz6nNP58saySMdoG&#10;SMnNOtIGuImWeYypjn5eR9K4JVLOyNI4WLVlufRuna3aao5W3kZ12hlkx8r/AO764rT2Mw+9+Arh&#10;PCtjbi2tIrRnWNQJAWHzcHPPv2/E1qHWZ76N7hZWt7Xc2wJ1KgkZJ98ZxWcMTTUeeZnUwU/a+zjo&#10;R+K9H1271G0udJyphQgsJApBz7nmtuJbwaErXx/0kxjzOnWudsr06kVa0naMsMhpZSrkeoXqR9cV&#10;peZrEEUsMzRXsLL8uw7ZFIPTk4P4kUPEUZxa2OirKq4wpSto9zW0wN9lHzDr/jVohg2dwwaydN1G&#10;zSNYJpDbzE/6ucFCfpn734ZrVUpyM8Z71eGSdOKOHES/et9ChrF/BpsEV1dS7I1kxuAJPQ+gp2ma&#10;lHq1gl5AT5TkhSwweCRn8xWR46VLnQjbQESXHmqdgPIHNZ2mTSWPgB7WNzHfiKTYi/eDEnH863k4&#10;c6i5HbTwUZ4JVlfmbt8jql1K2fUTYR3CPcqu9owc7R7/AOFWdx/u4+teReGG1XRtUnupLCWWSdCg&#10;eRwAGJzkmszVfibrk91LaaY8EBjbEtwctuI7DPStKvs4O0ZXMquAqwin3PbpZVhiaWRlSNRksxwM&#10;VhP400GOXyzqEJb1XJH54xXjcnjfV7yVLHXLxbnTppQXaJdrLwR+XPStu003QdTl+z2r3SS7cgv7&#10;VKr4eP8AEv8AI2wuVzrQb7fgewWt9BfQCa2ljljPRkbIqYlvSuK8FaL/AGBHcSXOoxEzEBYw/Qep&#10;z3rqTqdr9p8kzr9zfvyNv0znrVTdNP3ZaHDUw8oyskyxLKIk3OMDpVAPNbXSyLbM0c4JZYxkKw7+&#10;gz+FGo3UDWrKlzExyOA4zUFzfTW3h2S4tHjlngTds3A5APOfwrnVRSquN+hrHDSdNWWrZaNtcXEy&#10;yTfuYwCDFG3zOP8Aab/D86nit4ofuQop9QAKo6HrdrrtoJYHKyLgSRnqp/rV8rM04dZh5OOU28/n&#10;XRyo56tOdKTjNWaJMt6CoLtZ3tyIWCvkE84yM9M9qnwf71BB/vUWMjP8onrYzk/7Uqn+bVh+Kte1&#10;Dw1pAudN0QzO0gVlPIA9flOa6vH+1QR33GjlKTPBPGmpT6j4t8M315bpC0kULvFzhf3nIORXdeJr&#10;SfWNIvdNstI0yMyjZHc/bIweDwcYyOK7O90bTtSkWS9tILh1G0NIoJA9Kw9SsvB2kv8A8TC3sYPl&#10;3fNF0HPcD2pchfOmzmbXwfq3/CrZ9Ci8h7xpy6lJlZSMj+KuQ8a6JfaF4H8P2OoIi3EU04YIwYYO&#10;CORXr2l6t4eh02WTTZ4o7ONTKzxwsEA9c4wfwrOtdH8NeJn/ALYkvRqoBKq8j/InqAvGKTihxmzP&#10;0z4i2v2SGxWyl+1xW6Z3yxBeg7l/ccdaSD4jTWNgr63p8ZuGfaBYTRupHbjzCc159b6JLpVmtzeW&#10;m61u7wxW00oA3KehweQvHHr6VtxaDLPqd9pMVjHFdwJkGQBRKMcbDjBpal8kT1LSNYXWLdpY4Gi2&#10;nG1nRj/46xrRy/8AdFcX8M9Pn07w5Lb3TFbgXDF4nGHT2IrtMf7VWloYSST0Ey3oKQlvQUuD/fpM&#10;H+9RYQnzf3RSEt/dpcH+9QQcfeo5QKGr7m0yb5egB/UV88eKFNv4wuTjH70P/I19GaghawnGf4Ca&#10;+efHiFPFMr/3kRv0FclRWqr0PToa4d+TOnm5ERHZ1qYnauTnA5qtvBso5OuFVvxqck445qtti7XS&#10;MHUCL5ixKsmcAF9uKKa0MhvJlWNjznAFFccnK57MFTUVqUjExcfv5/8Av4acYnDDFxcD6St/jT+s&#10;gp3V6hVJdzi5IkZjfeALi4z6+a3+NKY5QwH2u6x/12b/ABp2MyUoOZPpT55B7OHYQpKGAF3dD/ts&#10;1BSfdgXl1/3+b/GnDmSlBzJn0o9pIOSJlQxNdeKraFnaQtKiksck9K+ktDRvs0jccvj8q+efDMf2&#10;nxxbf7Mxb8hn+lfRWjqo05GyfmJauyjG9ZeSODEe7h5eb/I0AH9qXD+1IAmPvGlwv9416fKeOL8/&#10;oKPn9BSAL/fNLhP7xp8oAN/oKXDn0pML/fNG1f7xpcoAdwHase71a7VJWgszJAob5weoFbBVCCCx&#10;OeMZrPubKCCOGON3VZHEZXzCRtI6AE4/SonGX2S4tdSnY+IrACK1iUhVXEeOdwHXBPWn+IbkzeH9&#10;0YOJZI8A8Z+YH+lEfhPTYH3xvLnpyQcD244/CneIlUWllErYBukAA7AA/wCFZVFNUpX7GtPldSNj&#10;jte1W7sV+0R2iu3Qy/3PY965Ia9qRulnM5O0/c6L+VelanDb/Zt75be6R467izBf61w+oeFriO+I&#10;sxmIk8OcbPavnqbT0Z+gZXXwrjyVFZnU6brZ1XSHg+QxONskTjO36VzR1LSNOvXRdJDNGxXcxDDj&#10;vg0wrF4Rs21K4ujKWPliKHozfU+lcNqfiJr+4dra2W33sTncWYk/pXZRVad1FuxyVa2XYepJP3l0&#10;9R/iJoG1V5raJkjlwwVjnHHPNWNOjdbUyMuFY4GaiXwxqcisGvRj+EH+npWVqEtxaiGyeUloOWYN&#10;n5jXV7F2szxaWNjRr+1UbpdD1a18X29vaxRiKdXjUDcjYIqQeL7MCUeRMBKzMwGMZPXFeRQ6zdQj&#10;5nDj0YVv6fe/brYvjaQcEVyTw7irX0PpcHPLsdU5YxaketWdzDdaTFKIA0AjyquMnCj/AOtVmO7u&#10;bS2juC89vC4BXzD5iHP15rP0VUTw/D5hPliElh7c5q7ZOLMI0T9VBUXcfO3th+uPrmuLujyMfTUa&#10;jjFIvNrTukcVxaxXKzuIxsYFWJ6ZBqK4juLRt9jOttKrL/o8DFwRkZBU8Lx3GKkea01CeK3uNOV7&#10;hwXQqRjAxkhsg9x6Vn6u11ptrFBbXUccUkgQ2yne209Tu6j6HNdmChz1VG7VzwMbNUoufLaxn+Nr&#10;ueCHfBK0bNN95WwSK4pNS1OSRY0vJy7HAG89a9I1bQ4dScWksrMI0WRihxtyOhPr/jXM6h4e0mwj&#10;Ob14Z8ExeZIAM9j0qaloVJQe9z7jKMZhnhoxtd+lzNNt4m2nIusEf3x/jXn13GYwxV9rmRg+TznN&#10;d8LS625GtwY/67t/hXnF2GM10u4MGcle/Oa1odTjzpxkopWduysWrSNTPKjyiRdhwR64rq9l7pci&#10;PteGQg7W9RXBRCWKMqrAMT1Hp3rs47ye/s4Z5ZmkPIwzk7fX8KqqtiuH5pTlCWl/xNOHVdXuJPLh&#10;uJnfrhQKne68QQqzMbgKoySVHHfPSs2xW4a5AtpvJkwfm37OPrWp5Gryjy31HMTcNm6zx34zXM7J&#10;n0NWEIS0UUvQof27qg5F4/5D/CuptNRmXw6L2R2eVcMx/vANyOPUVUh8HwXOBBds4JwCoB59OtdD&#10;Hplx4e01PNizDGeXc4GM85waa5m04K9jyMwxWF5UoJc3bYn8EwR22o6zEv3A6FP905IrsSI89K4f&#10;w/fpql1IdJtLi2O5VnYuWUrg7STnsR7cHvXcQLKkEayt5sgUBnIxuOOTjtXtUXzxvy2Pic0lKWIb&#10;krOwfJ70fJ70/Lf3RSEt/d/Wt+U84b8nvSfJ707Lf3KMt/do5QG/u68/+JF7YxaZfWsk+qec9rxF&#10;AmYsHPLccfnXoOT/AHayfEFlc6ppV1ptvDGPtUTRNNIcBAeD7k47UpQuioOzucD4HVtW8MwW1yNT&#10;s9PW3ZWnM8Yifk8AEZ/OuN0Cy0+18R3Gl3a3l8sFx5lgtnIvLA9ee2APyr2DT/BWn2+hadpd8rXy&#10;WOSm8lVYknqoPPXvmuH0ZLHxJ8SjJDp76ZPp6kKYJBtlCnbgrtGOD61lKFmjaMk7s6m2t11nxDd2&#10;epC3vLSB2ZIpUDGPkjpjOQDW4nhnQY3V00q1DKcg+UOtclNpN54PvnvpPF6QW87MkcV/GZAe/Xdy&#10;Rjr/AI10FqPEd7ax3NtrWmyQyDKOti2GHr/rKpLoRLXU3hHArFlUAkAEgdQKXCV5/Z+MtcT4ip4c&#10;vhZSQFiC8cTKx+UkfxH0r0PJ/u1SVyGrDMJSfJTyT/doyf7lPlERnZmkOyn5JP3O1Bz/AHKOULle&#10;5VGtpVHdCP0rwD4jRBdbgcdGgH8yK+hTyMbK8G+JUW2exfHOxl/I/wD164sSrVIv1PSwj/cTj6FW&#10;21uJbSKN4JWxGAQBx0qVtfiH/LKcD0wKxraTNtF7KKnZuCTXM6krnZGmrGmfENvnd5EuccnbRWQH&#10;BzRU+0fYfskTJzIaePv1FGcZJpyHKk1gbEgznNIv3jTUbIOaSM/eoGSKcuaQHJakjPU0x32QSt/s&#10;mmldieiJ/h9H53iwzYzsR3/Pj+tfRGnLs06Bdn8IP5814L8MYt2o30/92ILn6tn+le7wXDxwRptH&#10;yqB+ldlGvTpVW6jsedioN4eKXcvdvuUn/AKrfa29BSi7b+7Xb/aGG/mPL9hPsWRj+4aOP7lVzdn+&#10;7+tH2s/3f1p/X8N/MHsZ9ixx/cNLkf3D+VVxeH+4aX7Z/smn9ew/8yD2M+xPkf3D+VVtQBNoXWM7&#10;o2WTpnocnuO2e9PF5/smg3YKkbe3ej67h/5g9lPsThlZQQMg8jArntTtrh7xUihaURzCcLkAkEY4&#10;zgcH3rQtLzyHazIPyZ8vjqv/ANbpUklxDdDKOyyxklWAwV/A9qmpicPUi48+5VOFSMr2Oa1K4Tbb&#10;IYpEf7TG3luhViFYMeD1HFYureIreHUPIuYmfIy7L1X0GK2vE3iFobQtIU+TIAU/6x+xryu4nd5J&#10;J52yWyzGvE9nGM/3T0PuMny9V6Tq4haFPx3qtrPNb2ti5MCAyMDnlm69a5SGYRTRueQGDH8DRfTm&#10;6u3cZO48D+VRTRyW8zRSqUkQ4KnqDXpQ91WPmK/J7R+z2PSr7UEtNOkuwTgJkH1PavN5Z3mlaR2y&#10;zEkn3q9faobjSLS2ySy/fH04FZfaruZN3FLZIre8Py7ZGiJ4YVz38Qrd8MrHLrtpFKWVZH2Ej34r&#10;OprFnZl1f2GJhUvpfU9UsvE2nQabHayw3BxHsYqox7966awv7bULGJ5Ip5bQoAsPAwBxyOh/OuWH&#10;h3TTKyG8kUqMnI4ArptMt4rexihhJnhXAyGweTx+teS4xbsj6DMamAqQc6buy5PZaDd4aOd7OVVI&#10;+VjGwB6/K3XoKx9TtJLO2iNqBdojEBghQtk8cnhvwP4VqtbPcwW91bTy7UkEiLNDu5GeMjr+NKpu&#10;rpIbu4ld5oid0LJtQHPBx1Brvw86+Gi5wkvwPj8Rh6GIqKnJN3Mq71pdDgj+0iSWSckuQB17/wCF&#10;c7qep6ZrOJGiuVaFSACQAe9b2r3ejySiK+CSSKeI+cjP0rkNQktWuH+zxrFGG+6OgHr9a5ILnm5S&#10;3Pr+alhMMuSLUtkzPnkJDhiMAHGO3tXHuDvJ9zXR6hqMEa7Yzub9K58jK5HSupI8mnK7bbISK6Ww&#10;d7eyh9CuSPrk1zj5XHHHrWy0xksoSpO0KB+QxTsKc7W5XqbkUVs0o+0SPHCy5DKMkGrBtdHPTUJx&#10;9Yaz7WQXNieuYwKkt2gRs3ELSL6K201zzSPssvrSxOH5m3daaWOo0bWtL0eJY0u5HIfeCYiP89K6&#10;DVvEg1fwvd+XtZHX5WAIOQR61xcK+HZgPMFzEfdsj8xW5bQ6fcaXLY2NxlSOWOSVBNTTqSg7R6nn&#10;43DUedVZRfMnfU0PhlktqY3f88//AGavQsH+9WT4e0aw0nTUW1jO6RQzu33mPvWsQlfRUkuVanxO&#10;bYmOJxUqkFoJg/36MN/fo+SjCVpocAmG/vfpRtb+9R8nrRhPWnYQYb+9+lN2t/fFLhPWqepX0OmW&#10;32mUHyFYCVh/AP7306Z9qLAXMN/erxrwUXj+MGqxsxyVmXn/AHlNdL468RX+kaxoh0+5YWc5zNsA&#10;YOMjp+HpXLarBdaR4n1DWtHS5E8kZmQvbsSNxGVYEY/WsJtXXkbwi7Ndy7qumal45+IUcdzbXEWl&#10;2pwpkjZU2A8nkfeY9vcZ6EV3Fnrctlqh0W+sZbcR4FvcRRkwyL25A+U/WuKn8VeJkhgaO5DSy2Iu&#10;DGLc5RwhJDcYAyPWuy0bXopfC1jc6zdCG5uI23EArjkjjjinBK+m4p3trscNqUf2b44W0rOAWZdo&#10;6k5Qj+teugNjrXBjQvCra1FrEmrXM13EwYPJIT06Z46V2dne2V+jPa3AlVeCRkdfrVwg1e5E5XtY&#10;s4f1FIQ/96jan940EIOrY/GraRFxu189aCHx1FMeWFesufoaha5XB25+pNctTFUafxSRpGnOXQnw&#10;+OteJfFCIhbckcJPIv8AL/CvX2mYj/WED2NeU/E2LOnM2Sdt1nP1DV5lXG0684qHQ9PBUnGnO/Y4&#10;ayObSP2FWm+7+FUtOObXHoauE8fhUS3OyGsSDvRTTw34UVJRZB+Q0sbYU0z+CndEFZosep+Q0inC&#10;E0mcR0ZGygY9D8hqC8bbYTH/AGalziPjvVPU222GM9WAxVQ+JGdT4Wdn8LrcGyvJD/y0mWPP0H/2&#10;Vev/AC/3jXmnwvt9nh6JiM+bcs+fpgf+y16WDz92uPEu9VmFbSnCIAL60uF9aM/7FL/wCsTlEwpP&#10;U0AL60uf9ijIP8BoAML/AHjQAv8AeNHH900cf3TQIXC/3jRgD+I/nQMf3TS/L/dNArle5t/OUFJN&#10;sqHKNnv6H2rMv74mIr5TLMg+YA8/QHuDW2AP7tQXdjDdoA6kOOVdeoqkzWjUjCalJXR5Dq15c3l4&#10;WuFaMLwsZ/hrM1CwuJ9EuLmM7VQhck43c8gV6xdaPbTDyr2NQTwrsuUY/Xqp9qztZ8JRS6ctuF2K&#10;v3ShJAPuP610QrJWPrlm9CvQ9hH3WzxW3sViZXYkuORz0pb22+1MZS3709WJ61s6npV1ps5SeNlG&#10;cBscN9KzX6YrqVSTd0zy54anCPJYzf7IvMZWPcPRTUMlpLE2JIyh9G4rUE80GXBJA7A1mXd+91KM&#10;ggDoCa64TueNXoxpkflpzuOa0NHEn9pWzRhhsdSSOwz1q74R0CHxDrItZpJETYzkoOTiu2k8JT6d&#10;HmzjSeAdGj6/l3qK1eMfdO7Ksvhipr2k0kdvDe6bqkQV76SRfQspI/76Fa9jpWnqG8qSQg8sC23J&#10;9eMdq4fw/wCGXuZVuLuNgM/JFjk+59q2Jzqs3iqPTdFv1ht4Yc3coiDBDngDPfpXmNa2T0OnNcLh&#10;aEuWlK51dlcRywBrWZLiBcoGixkY6g/p0qWWK3uRh2AYevBFcXHDrNn4vi0rUNWePTpkLwyW8Kxe&#10;YwxlCQOD/wDWq54h+z6XqWnRu9zJbzswmLSyOygDPGDUuB4vM09BfEXh5JcTLgypyr9yPevO9dsp&#10;4rTEbfvCc8HBPOK9Lnja40wSafNtVh+6YsJMexzmuEuobu6n2XiEPE3zMq4HB6cVrSk1oz23CdbD&#10;qblexxd9pV1BCstycSP0XPI+tVEhJgHtXV+K5GnmRRwsY/WsDYQuw4Axmu2LutTz6toysiu9uUts&#10;kA5p8TvBCBIpMLcVY2tNAV6hTjit7RNNg1HTZbefG5XDYB5APf8Az60pysh0lGV+ZlbTJUmiKwxg&#10;IBjAHNaulaPJcX6xXcEohKnJ6duOasRaE2mhvsUUkxUZ45JqqmratZOVM0q842uMj6c1hOV17p9L&#10;k9OqqU4wa1NK48HzCRfInzGT0YcgV2Gh6DFaW6gRBYx2xy5965rRdc1W9uAqxRsq/ekGVx/Ou908&#10;3LwZmbPPylhziuWbktGcmbV8VTh7OckWRlQAFwB2Hal3N6Glw/qKbh/UVPPLufKNBvb0NIZG9DS4&#10;f2pCH9qPaT7isuweY3+1R5jerfnSfOOwpMP6Cn7WfdhyrsL5rerfnUV1JG9pKtycwFCJA3Qjvmpc&#10;v7VUvbJNQiENxloc5aMHAb2PqKaqz6tj5VfY8j1G3v8AVp4ZNEsrmTSNKbdAZGJL4OTtPp9KnnuJ&#10;7jxdHcMbqMXFoWaO4lclGIyQOQccdiK9ZTZAoiREQKOFUYAH0qOS3t533y28TtgjLJ2+v9K3+tyK&#10;5fI8Xnlkj8ZQhN67ouolk3Hg/wAW/djjpuxXX6jOsujWULs3meXKOSx9xyxJP4mumvBodlMsdxaW&#10;6yMNwHk5/kKQX+jNAIRHGYgchPJOM/TFdtH603GpGnJpfictTEUIvllJJ+p58IIvsTBtPBvgTtnD&#10;8bew25x+PWuy8GySQJNE4CyeTGzKOx3SD+QFbENhplxF5sVnbsp77BVmC0htQ32e3jj3ddq4zRi8&#10;z54OmouMkawpp63uiz9of1qNpC5+bNKd3pSZb0ryHXqNWcmbKEV0G/L6UZX0pTu/u0fN6Vm/MoTK&#10;+led/EiENpN4QPuSRt/If1r0TJ5+WuL8fxGTR78bc5gDfkf/AK1aUHaaOrC6uS8jyHTGzC49DV0/&#10;drP0s481fpWh2r0p/EVR+BEDcNRRJ96ipNCUuMDmlaRcAZqLoKXn1rOxdyQyDaBmlMi7QM1FnIpa&#10;LASlhtAzVDVnzBGuepq2D1rM1NsyRqK0pr3zKs/cPa/h3bmPw3pY6HY7n8Sx/rXbhWHeud8JW6wa&#10;TYR9NlmgP1wP8K6PC+tedUd5tnPjG1KMfIAG9RS4b2oAX+9S4X+9UnHdhtb2oAb2owP71HH96gBR&#10;vHYUvz+1Jt/2qNv+1QAvzj0oy3oKQD/bpcf7dAC5b2oG70FGP9ulCn+/TAQjcpVlDKeCD0qu1pLG&#10;pWAgx/8APKTlfw7irWD/AH6UKezUDV07o8z+J90llo8MTWZjd5AQxOQQOuK8vDq6BgeDXqPxj08y&#10;aNbXxnb90+zygvBz3zXiXnyBPLDEJ3FelQpqVNM66GMlG6nqaFxfpHlE+Zu/oKzM7mLHqeaZntTg&#10;T7V2Rio7GNatKq7yOy+HF2bTxhp5HO+Xy8eu4bf6175JotijtOqm2B+ZzHJtX8e1eAeArGG711Z7&#10;id4YrUCfcihjkMMD2r32x1yw1VXiBO1scSp8rD+Vefi/j0JjKa1iTJpEDDcJZ2Vx2lwDVy3tYbSP&#10;y4IEjTOSF4yfeqI0GwzutWktif8An2lZB/3yDj9KhuIPsRxJ4gni4ztlaMnHr93NclrhKUpO7ZqX&#10;NpDeRhLiBZFU7gD2PqPQ1UOlbWDC4lyv3S5DbfoSOKrzwvDGr3OvzRo3IP7tSfplaa2n6UYEnvL2&#10;S5iblTcTkof+AjC/pQroVmWE0aHzFd2lcA7wgO1SfUgdabeaHbXUfzhlIO7IAPbFTx6lYR2ZliuI&#10;ltoyFyg+UE8AfqKgm1u2lt79IJg01tEWYYximk73NI1Ki0T0PFNfkEmq3O35kWQgH1AOKx7hi0TM&#10;Bg5AFat7H+9kbPBY1QuUAjx7V6cVZGy8yK1ZgpBH3q6Tw47Q6mAI2YMp+UfxGsa3hBhjbHIzXQ+E&#10;zs1u1bPKSipmrxYN2R6LpGmBZXmuYmAdAAGq3c6JZXKkMoI6YYZFapbP8NIT/s/pXmt3ZnDE1oO8&#10;JWMqz0W0sgFULsHRVGBWjhMcHFOJ/wBk0ZHdakirWnVd5sZhf71IQP71Pyv92kynpQZjMD+9S4H9&#10;8/nQSnpTdyelIdmOx/tGmkf7dJlKadlA7Dsf7RpkjiJC7ybVHc0vyUjRRzDYcHPZhkU4xcpJLqPR&#10;aspXZiV97gl8Zwp6j88U6IxS48v50xy6sCAfTr1qzf6Xby2+JUMpHIY9F/XNVNL06OCUjyl9ggbP&#10;616cMtnbVmyqU3T5r7GT4ktjPLbqUXPQPu5+mPrWXb6TcTNLGkOWi++NxBWu4vdLjlCOMuyMCCjB&#10;WX/61Z1r/ann4eSTy3ABGzBx+eBX1WWTlRwqptLQ+QzGhCpiHO71GaTcA26wCIxbOAM5rTw396oV&#10;0aONvPE5BHzGNsEj8al+X1r5fOaNKnX5qfX8z2ssnUdHlqLYMN/epMN60uF9aTC/3q8c9ACG9RSY&#10;b1pcL/epCq/3qQCYbPUVzHjGJpNKvF6lrR/0BP8AhXUbR/erG8QQiS225yGikU/lVQ0aOrCfxLeT&#10;Pn3TjieQd8Vpg1k2R2XpB9xWqSBXq1N7lUdrEUn3hRSSkbs0VBoKOTigGgdzQBxUlgBS0uOaTtQA&#10;vQE1m3SGbUY4hySQo/GtIjtWW07W+rJcBN3lOrAHocHNbU1roYV2rI+ldJjWJGAHyqiqP1rSyP7t&#10;eHL8VdRAx9ig/AN/jUg+K193sYv/AB7/ABrheFq3vYmtGlVnzqVj27I9P0oG3uK8THxWuu9kn4bv&#10;8akHxVmPWzA/Fv8AGj6rU7GfsKf8x7R8n92jKZ6V40PipJ/z6n82p4+Kvra/+PsP6UfVqnYXsKf8&#10;57HlPSjKHtXj4+Ky/wDPsfwkP+FPX4rx/wDPu3/f0/8AxNL6vU7B9Wh/Oj14bPSj5PSvJV+K8P8A&#10;zxkH0mP/AMTTx8VoP7kv/f0//E0fV6nYPq0P50esYSl+SvKh8V7boUm/7+f4ipB8VLXus3/fwUvY&#10;VOwfVo/zo9S+TtSgJ615d/wtSz/uzf8Afa0o+Ktn3Wf/AL7T/Gj2FTsP6rH+dGz8VoUk8FSsGIKS&#10;qa+emPJr1XxX4+tNb8PXFjGsu98EbmUjj6GvKW6mvRwkJRhaSMKlNU3umNHWnIecU9YlNu8hfDBg&#10;AvHI/PNMT7wrqMz2j4P6LaXOlX91dQrJmVUTcvTAzkH15r1KDTLG387y4R++IMm45BIHHWvHPAvj&#10;Sx8N6F9jneTzGlL4VUI5xjqQe3pXUj4q6X3knH/bNP8A4qvKrQqSm7I6o4a6TUkjvY7CyikEkcEa&#10;OP4gvNZmreFtP1e5inlaRJY2zuDE8d1APAH4Vyz/ABU0wKdsspP/AFyX/Glt/ilpbOBNLIF9REKx&#10;9nUXQv6m7X51951OoeFdN1CxjtW81REoWJvMY7PcDOM/WkuPCOl3Omx2LNOsUZJBV8Ek984/lisU&#10;fErQD/y9y/8Afg/4U8fEfQCP+P2X/wAB2/wp8tTsZexl3NaDwjpltafZY5JxGWViC4OWHc5HP06V&#10;S1XQ9O0rSrm5t/N84xeXueVmJXHAOewqFfiJ4fP/AC/OPrbv/hVPV/Fmm6vpskNlcmVhywMLJgdB&#10;94D3qoxnzK6H7FrW55zdEFm9Sap3gwmfartyMnNUrz/UmvQLQ+JisC81ueHAy6tEV7Ov86wozm2U&#10;+4/lW94fk8u8RyQAGB5qZbMGro9oG8jPFJlvQVjL4k0wAL/adjkDkG5UEVINdsn+7eWrfS4BrzHF&#10;32MvYSNMlvQU3c390VRGqQN0uLc/SYGni+Q9HQ/RwaVmP2Ei3ub0ppZu4qD7WP7rfmP8aT7WP7rf&#10;mP8AGpH7GfYm3H+7Rn/ZqH7T6I35j/Gj7T6q35UC9lPsS5/2aTP+zUf2pR13D/gBpPtSepP/AABv&#10;8KQezn2JSePu0mRj7tR/ak/2v++G/wAKT7Uno3/fBo16B7OXYsLcOo4J/Knfa5PX/wAdFVvtKe//&#10;AHyaPtKev6GuhYuuvtszdBfylj7VJuyCR7BRil+1yf5UVV+1R/31/Ol+0xf89I/++hR9cr/zv7xf&#10;V43u4kzzF+oA+gFREr6fpTPtkGT+/i46/OP8aPtdv/z2i/77FY1Kk6jvJ3NFRaWiH8en6Uny/wB2&#10;m/a4e0sZ/wCBCj7RGejp+YqLj5J9h3y+lHy+lN86P+8v5ilEiH0P0IpC5J9gwnpWfqyqYYyB/ER+&#10;n/1q0Qw9KqalhrUcdGBpp6nRhk1VWh83Onka1LH/AHZWX9a0m6VX12PyPFd6uMD7S5H0JzVg/dr1&#10;p6pMumrSkvMhk5ANFK/TFFRc0sKKXAGKZmnA9aNCh1GBxTaUGgBe9UHj3Sv71ezTUAyeOauLsTKP&#10;MZ4hGOlOEI9K0AoA6Cg4HYVXtCPZIz/JHoKXyRWhgH+EUu1fQdPSlzj9kjN8kUvl+1aIVSOVH5Ub&#10;E/uijnH7NGd5dHlCtHYh/hH5UgjT+6KOcXsigIhijyR3xWj5aYHyigxpx8opc4/ZmeIV9P0o8keg&#10;/KtDykwPlpTEgH3aOcPZozjCuOg/KjyAewrS8lCOnfFW59KEFt5xKkcd6amJwRz00AETEDkCswmt&#10;/UNkNkxUcnjNc+B8w+veuik9LnHiVadi4kINiWx6mqqcNmt/7PGLDG3PydvpXPrndniiEr3JrQ5U&#10;jTjhV41YcginfZl/uirOnRpJahiCCDjFWvs6bcZP51jKdmddKmnBOxm/Zlx0FILZR/CK1Bboc8mk&#10;Nsg7mp5y/ZIzPs656Un2df7taX2ZPU/nQbZeOTT5/MPZGWbZfSur8IwCK2vJMffZV/LP+NZH2ZfU&#10;102hReTpZ/23Lfpj+lLnuRKmkrjLhcMaz7z/AI92rTueazb7H2ZsdeKtGaFh/wCPYD0rY0k4JNY6&#10;f6o/hWvpRxSG1ocVffaEv7gfaJQPMbgMfWq+64P/AC3c1u6vZkajMwIwx3VQ+ynGcijnLVK5Q33A&#10;P+ub8hS+bcjpKf8AvkVd+yNjPFH2RyM8UcyF7Iqre3qH5ZyPoAKmGq6kvS6f8yKX7M57U028gPSn&#10;zIPZEq67q69LyQf9tG/xqQeI9aXpezf9/X/xqv8AZ3HVTQIW/u0roPZMtjxTrq9L+f8A7+v/AI05&#10;fFmvjn7fMf8AtoTVLyG/umjyW6bT+VL3Q9k+5oL4x19f+X6X/vupF8ba+v8Ay+yf99//AFqyjAQf&#10;umjyD/dNFodg5GbI8d+IF/5e5T/wIf4U7/hPvEA/5epP++h/hWH5J/uGjyT/AHT+VLlp9hcku5uj&#10;4g+IQP8Aj6c/iP8AClHxE8Q/8/Dfkv8AhXPmH/Z/Sm+V/s0+Wn2Dln3N9vHutu2WkyfoP8KB491k&#10;dX/QVgeUc9D+VIY+fu/pRy0+xalVS+JnRj4gasByc/8AARTh8QtUHYf98Cua8uk8v2o5KfYOer/M&#10;zqP+Fi6mP4EP1jH+NH/Cx9S/55RH/tn/APXrlvKHpSeUM9KXs6fYPaVf5jq/+FkaiD/x7w/9+/8A&#10;69OHxL1Af8usP/fJrkTHSeXzgUeyp9g9rW7j9T1B9T1aW+ePY0rBiAOBWjnKA+tZpTAH1rRX/VL9&#10;Kc7WsFNO7bGmikJzRWZqMBH94fnTsr/eH51XWynY4RGPuOaU2U6/fUj6g1fKhKT2LAIPQ0v0qoYJ&#10;V6UCOb1o5SrSLm3C+/1psfeoAsv8QyPpT1Rv7lKwcrJsHPSjGSDUYDA8oD9KUsB/A2PpSsFn1JDk&#10;dqCeKj8wYxtb8qcMN3NFhjs4FKM0mcHvRuXP8VKzAcKBnPSk3DH3v1o3qBnIosA7JyKX+7SBh3NA&#10;cZ60rBdC56UE8Um9c9aTcM/eoswuPzj86mlupnj8tpGZfQiq+4dd2aQNu7c09UhNJ7lTVT/oftkV&#10;g55rb1Uk2wH+10rJhjMs6Rj+I4rqpfCefiNamh0YAW2244CAfpXMfxHFdNdAi0lwQDsNczjmlR2Z&#10;WJ0sjf0rIs8noWJ/pV/IqrZKUtI146Z6VYyfasJ/EzspaQSHAg9DQcZ60zJ9BQGJB4FRYu47NGaY&#10;GyccUu72H50WHdjs4zXS6X8umRj6n9TXM7uT8o/Oums/k0+HPHyA/pTRlVegy4/rWXfHMWB6itCV&#10;t276is65OWRfU1qjCwq8IBWrpzbVY+lZewjOT0rQsRkNz1oB9inrA/fq3cqKzf4Ks6tcCS9ZVyQn&#10;y1SEoAwQazaOqLSRIOFNCn5aYJBgjDUBgF6mpsO44c5pvahTzjNIeDwaYrjz9zNW54rVbYmJ1MuB&#10;8obNUw2BjIyabhAc5XNUtiWru49epo6GmhxnqB+NG5c/fX8xUl3HMOc0E8UjMpGNy/8AfQoJUL95&#10;f++hQAo+7TR3pcrj7y/mKQEe1AXDvTadnntSY56d6BCGkI4pxU+hppB9DQAEDNAAz0FHpR2pgGBn&#10;oKTAJPAoOKBj3ouwG7RnoKQouegpScGjrRdhoRSKB2FSKfkxTJKch/d0C0QmcGiow/sTRRYVzvID&#10;GgA8lMfSrbOmwJKolgbgo/OP8KzEn3cfqKm8xiBwTWanoeZKk1qjM1PTY7e4Plfcb5hUVtpolOW4&#10;X2rWkT7SQX6L196kjwmOBxUSrW93qdssTJUVFbjYNNs0X/Ugn1ZQafNpVlMuwwrGx+66cc+4qZZQ&#10;RxSPL8obPIqFWZyKU1K9znpdPWGVo2HIODSLYCQ7VQk+wq3fTAyk8ZI5qxYomFmO4HPGW611U/fZ&#10;78It0lORSi0WSY4SE8evFPl0C4hUs0JKjupzXRLdkDAxS/aF5bOG9q6PZLuZ6s5A2cY6jn3qxbaP&#10;Ndn91GT7k4FX9V8qCTzkUDcM7R61mpfv1Ykn69K55Np2OmGHlNXRZm8NXkS7zGrAf3GBqgdPXJDd&#10;fpV6O9LkhWaJscFWOPxpzzmdQxBaTocDOTS5tR/V5JXZSi0ppTiNSffOP1qV9EYKSZImx1AcGrIt&#10;dQKktaOR2B4x+FQvIC2y4hKMT94DB54p3fYUaEJdU/QpHS1HVQPwpn9mIDxitaANOrRgZePjg9a0&#10;ItIZ0y8wB/uqpb+uKSncwrKnRdpHNHTlPHB/CkGnhT8uBjpXQzaZKmTGPMx2xg1RVS77QMHPfjH1&#10;p3Jg6c/hOY1yBbe1AJ+Zm44qHQ9NW4kW5uGKW8Z/hPLn0/xNdRqWlW1/bqnmSyMpzmNQF6e9ZYiF&#10;tGIU+4nAz/OrdS0LImOXurW5pbGq8enMDiFVGMYA3dv9omqt3o1leIqxQxxyfwyxjbn6iqrTZp8U&#10;z7l2kjBz1rPntsehPCU5KzQh01o8J/d4o+xMO9bcNu91H5+FUMT8ueat/wBlI2FR2EvYMnH5iqvp&#10;dnmSrUIT5Gc19lYDoKabN/U811sOjxKf3zBz328Af41LLptuOYAY37MDu/nWSrw5rMmdamldK5xv&#10;9nTY3YfHrTPsT56muplZoJGiknlVwSORxjtUQtRNuLuAwP3sZDCu6eHtDnT0OKnmFOUuWcWjmzaO&#10;D/8AXroFcRW8Ck/w4qf+zocZy7Z9sCsu/t7rz0hC7QBkEnAx65rluburSqvlpu44ycsM8E5rLvJt&#10;txCB3Jq5JYTKVKzpISeoBx+ZrG1VLi0vbdpoyFPKt1DD2NaRVxVKcoK7RtK2Ysk5qxaT7YpmXllU&#10;kCqXmqYGK4wV/WobSVoH3OD5bjBO00m7Exs2rkDRzM5Y9TyaaY5MVsmHHzD5lPQ0gROcjFSmdypx&#10;exjGKTPSk2yD+GtryVPoaPIX0oD2MTGVXzyKMNnpWz9nU/8A6qPsy56A0B7JGN85/hprbweFP4V1&#10;FnoT3YDnZHGejN3+gxWg3hKLb8l58x/vQlR+YYn9KtRbIlGK6nDjd/daj5iPumuiu9Hls3Cypwfu&#10;spGDVdbISEBVyc8AVLVtylSurpmL82eho3H+6fyrpE0i2C5uLkJn+GNN7fzFPbSrFvu3Eq8Z/eQ8&#10;fXIJxQlfYPYM5ksPQ/lRkbc4/StybTPJOcq6f3kORUJs19KLah7FmPnB6GjcM5xWv9jX0ppsl9P0&#10;otpcHQfcyTs64FAK84xmtU2aen6Un2EE8Ln8KLX2F7F9zJBGT2+lOzz1P51ptY7eqEfUU02a46UW&#10;F7JvZmcSezn6ZNAY92P4mr5sl9KQ2S+lFh+xkUN56ZpGYjo36Crv2Nc9KRrJTSsL2MyiSSD81Jk4&#10;HNacGjTXOfKjJA4LE4A/GnTaDNBgHYf91waG0ifZSMZm29MfhRV59OZT824Gii6E6MzrreKNCGf5&#10;jWlFcRDGF2/SsRXOc5p5mYVtFRirJDcEtDWupRIOQuR3AxWdJIkas7NgDqarvdkLyRWPrd9kRxRu&#10;CCMnBrL6qqtVROXGw9nT5i4+rh3IQ7F9cZzUsOoSbR5ciyH+669a5UTNkDtUouCnKkg17kMLRpx5&#10;YxPnpTqN3ubt3cQXLBgnlS5wyjoavo/yKBwAK5MTs8gLHLE1v2dwJYwM/MOtceIpU6crxPqcurVK&#10;tPlm72NESn1oaYgZzVfcAetBV3BwpwBnpXLKoluejGKKGpTtJIoJ4xVEOR3q5eKp7kn3FUTxXFKX&#10;M7no02raEquSwGa1LO5SDkZz6g4rHRsE08/Ou0k134WEeW7PNx1RzlyLY6Nb2JsB19OQ1EpikBik&#10;O6N+VbuKwfP2D296UXBYcGumSi9DhjBwfNF2Zr2kP2dGAflj94elakdyyqBuP51jWcm+FcmrgzXi&#10;T0m0jlq3qTcp7mi94SvPLD+KsXV5MlXQbS3D46E1YZyoqETL5qsQCVORnsfWlF6jo144eXNYpbbz&#10;YHEUhGODtOPwqmwYEhgQe+Riuhe/Dt843e5OTVK+WOZcr1xx7VrI9LD5rzVOWUbJmIRU0MTFsgUi&#10;LyWbtVuO+MQARVH1GaSSe560pq2hr2sctvCh4wR/CwP8quR3DhTk81gLeqcNja46behq/bz+avXm&#10;s67ahofP4nAqMnUNE3GBgmmC5I4ycVWPNNziuLpY42uouoyed5LH73Qmm/admAvAAwKqXU4aQAHI&#10;XrTQdxBr1fejRimzzKqUqrsaS3LcEMadPMJ7R0K/MvzR8d6ojOBzVm3bEhb0HFc8qnLsdtCPJJSW&#10;6H2mm3cyb5pxECOExuOPfsKkvdAa9sZLYyKSQWTcMYfsQe1Tfa2xwact2dpyc/WslipXuenUrVKv&#10;xGdoGktp9uPt8f8ApXPysM7fpXQlosbCFxjkEZFUXuTMFLnJHGfWozKc5rmqVpTk2zDlsaCvAvyL&#10;GMehUEVTurG1IaeFFVl5ZMZGPaoTMaI5fn5704VpRNad4tMrH7LIpBUL/tKMH8u9V/sk+87YpHQc&#10;7lUkEVes7eKMmSQbm3fKD0FaP2pUHBbPscV0xxNtDqq1oqWiOfWZYjtkjjVv7rA5/H0qaGOG5mjE&#10;YKk8sM5XHr/9atS7NvfwmO4Xd6MfvL9DWfp0Js0lB5Ytjd7Vf1lW0LdanKm9NToIHWPAVAdowC3S&#10;rX2ssCCsZHovFYIuCyhd3SnibA61ksRO97nA4tlvUFSaJgMMhGCp/hPrXNtJ9liY/wAR+XPpWrJP&#10;nJzXP30hMrD0rojiOdWe53YON3Zj47xYx8gG49SRSG9l5+dsEY61mljmk3n1rZSPU5UXXvZfN3DH&#10;PDe9aFtbvcxLJuRUPct/SsEsa07GUi2PPRsg0Rlqebmc5UaDqQ3RduGktQdkSLEOspw+f8Pxqs1+&#10;rAhijD1KYP5ilkvGZSDjnvjmsq4/dv8ALwp7V6+GnTqe5Janw8sTWc/aKTuaUMiTuAvy84Oe1TSX&#10;pUNFbDy41+84GST9ay7Ixxt58w3KOiA9TV9tREeOUQf3I41xj3yOahzo0Zuyue5Ghi8bRi5Oy/MQ&#10;35KlfOkI9yDUAnVpCp6547Zpk88UrbhgMfRQv8uKhjUG5RW7sKt1KFaDdrM43SxeXzTbvFmzb6Xc&#10;XSb1CpHn7znrVtdD677lR/uoT/hViO6AVVHRRgA9qU3JPO6vm6mLlf3T2/bTlqUJ9IePmFxKPXbi&#10;qAizIEYbSTzmtwTlTw3HtUE8BuSGRfmHenDFSlozalUb0kRz3SgrABshToo71Xa9bogAX0xTZbFh&#10;lvNjJ7gHNU5UkiByDindvc74xjbQmmm8w5IFFZ7SMaKd2PQ1EmQ/xYpk9zFGhYuMCstpe9V5JcLy&#10;a6VVl1R5kZ3LU94JBhQQD696z70oTGVzkLggmmGfPeoZW3nINdNGo4T52LFU/bU+QFHrQxGaZlgO&#10;tS2kMkzb3PyZ4HrXoPGw5bnhSwFSL1Fjt3l6ce5rTtoRb/MJJGfHUninQqE5PAFNkkBbAryq9d1Z&#10;XPVwS9l7vcsfaXzy1SjUZVHDnPrmsxtxFM3NXPvuelK5Ynn3sSSSxOapXUsgCFOpOMetSVYt4Vdg&#10;zY46VpTheWg3OTja4yCCXZukPzelTLgcEc1c2qi+pqGTaw5GDXp00oRsznm+fVFZ8HgimRrubApZ&#10;R+8Gw/L/ABU5Gx92sauISVkEabveRqW8Qgj37mP1NJLqkVsoMhKg8A4zVITsowTn61WmImUK/IBz&#10;g15lk5XkVUoxqK/U1ftyzx5jyQehIxULO2euKoCU9AcCmrcFG+bkU1C2px1cOuVcu5cPmFw244Ha&#10;ntMwXBNV/tqBON30xUL3BY8Dj3p2ZyUcPNTvsiWR8529Ki70xpSCPSlEinuKdj6WnUi0kPDEEGrt&#10;rdtEc4BHcZrOMi4yOadE/wAxJpSjzKxnWnFqzNubWLeADcG/Kmm/81PlQrnn3xWRIUkGxuR1HtTh&#10;Lt71n7GKOONKO5sxmPy9rSKCeoIprkQHBwBWT5/Oc077QWHJzWjTehEqMJK1jRS+t5DtWVSfQGpr&#10;e5DTNHyDjIz3rnLaIJO5TG5j1J6CraSsrhw/I6ZpTpXWhlTw3K7s6LdQGIrPTU4dmZjsI6nGRSjU&#10;7Rh8kwf2ANcbpy7Cm+TcuyXawR73J257DNSxXCTRiRGyp9KxJrtpGyGwPSo3upIUZ4mAkAyD1B9i&#10;KpYe68zmWJV7HQFqjluFgjLOwHp71h2muyzxZeJFbOOKkln87/WEMPSl9XkpWkaRxMLm4s25QwOc&#10;ijzTWbaTqqCM4AH3auA5rNw5WbKqpbEwkJNLvJOOahZlQZJpn2lTwKmxakT7uacJD61XM0YGSwA9&#10;zQZUxneoHqTxVpNoOexMz+9ZN8jCTcO4q4bhNoZWDfSqtzcBxg81rS0dzWjW5JXMwkgnNGRUkg3I&#10;20DcBkA96y474u5DIFA6mu6nFz2O946kt2aGCxAHetWGNUgCZ+tZFtqvkq6rFGwYdXGSKDqTKCdu&#10;R6A10PCytc8HM8w9q/ZxWhekXDkZzVS6cAKKamoJLEZArK2cbW4pv7udv3kgXPf0ooz5Jq/Q8yll&#10;1SprsReaSBg8UxpGB9aaI/KyobcM9aUc+9ZyleTaPqqEOWmk9xRKTVuKRnEZHLKwwKqhParkMbRp&#10;lHwxH1pQmoyuRiaSqU+Vm/HJlRz9amDcVyx1S6tpQsig+46GthdRRVXepDkZKjnFefWoNO62OT2b&#10;WiNEtgZqk16+4ruIX0zTBqSHOUOB71nvLvcsBjJ6VNODT1OzDQte6NJr1sYQ7RUUl00gwxyPeqIJ&#10;NBz61sdqSRJIF+9kAUVXlkRE/eciitYwi1rcxqVJRlZJEbYxVGW4R5DGpz71Slu55hhnOPQcVXBI&#10;ORXTChbc8ZVeV6GkQMdeaQ8CqouWA5Gaa1wzdBinyM6HXhYmkcbgo6k1rRjy0UDoK58MQwbuDmt2&#10;CUTRBgee9TWi0jn5+dk5mPaoWYk5707saglkWNcseKxV2VF8pIZ0GAzAH3pGmiA++v51jzSmZ89u&#10;1Rit1RRp9ca0saE16FyI+T61qWrYt0IPOOa5zrWnY3YEYjc4I6VrGKjsFOs5Npmv5p9ajdz1zUXm&#10;D1qtcXiRr1yfSrcrm2kdbkxfOeaQOayYrtlmLN0PUVopPG4yHFck4NajhVUyUsajaQBgueTUMt3H&#10;GOuT6Cs9p3abzO47UQpt6smpXjDRGnk0c1DHco4HIB9DTnuI1XO4H2FDi9hc0d7kg60byDVH7STK&#10;GxgelXFIYZzkGhxsNVFLRDi5PWkJpSKgnlEan1NJK4XUVdk3SniQAYqvDIJEB796lwKGrB8SuOLn&#10;Oc1OpDrmqcjBFyT0qklzJGxZGxk9PWmqTlsJ1lT0ZtlBUUkqxLkn8Kof2jNjAC5qs8zyPudiTRGi&#10;+opYiNtDTDfNTt/vx6VWRgwBp5B7GqtY0vdXJXfKkE8VDAfKBA9aGO0E1BDJuJHfNNRODHawSNAO&#10;D3pGmBGM1EozxUcjKgJPaiyeh5OrY+NwmcVOJdw61mW825iDwc5FXBhulHLZ6lOLWhbWcqMbqr3F&#10;1PHMjRzuqscEZpp46mqd3JkKvcUlBX2NaUmmdP5zEDJJ4oEtZmn3qzRCNmxIB09av9RXFOnyuzPT&#10;TvqFy/mWsinoVJrlyzdMn862dRu1ihMYOXbjArDzXZhoNR1InLsdNaygWke3ptFOL5rJ0+8VF8mR&#10;sDsa08g8jGPasJw5ZFxaaDdWJcELcyqOhYn8a1Lm4SGNiWG7HArC8wuSx6k5NdmDi03c5sVLRE4L&#10;etTeYSuM4qmCR3p244616sTzZXZL5hVsA8Gpkl45P5VULBetSpyua8/ERSloevg6l4WZZ8wGhQFl&#10;8wHBx0qIUocbgmea5rdjvctFctK/ep45CM1TWn7jUWFKbZZlKygKwzjkH0pgkOeTUQY5600tzSsU&#10;nYsiSlEmDVfJx1oyfWk4opSaZaFyqnDcUpu48dSaozHgZPNRBjQqSZp7ZlyWVZRyOKKqFzRVqFiX&#10;NPVmdijFPpMGuo8qw3FGKdRQIbinxyyRHKNim0tDVwJzfzHjcPyqu7vIcsxP1oxRSUUtgbbG4pRS&#10;0UxBRRTTKF4HWhImcrakm6TGAWxTD15/WkFw/rUgn3DDDIp8pHtb7jMUY9Key+h47U2pZpo9hNtG&#10;KdRQNITFJTqKBiVJHM8fQ8e9MopNXHFuOxM13IRxgfSoWYsck5NFFCSQ3KUtxUdozlTip/tjY+6u&#10;ar0UOKYRnKOiHPK8hy2MelNpaTFFhN33DFFFFMQ+OUpwRkVYFymO4qmelFS4pmsaso6Es05fheBU&#10;IyDkHBpaKpJIxm3P4iQXMgHIBNRvI8h5NJijGKLIy9mlrYbyCCOtWUuiv3h+NQUdqbSYOKZZe7DD&#10;gHNVmJc5NFAoSsOMEthRnOQam+1XG3b5z4+tQ0UNJ7l3YEljkkk+9FFFAwxThLIg+V2H402ko3Fc&#10;GZnOWJJ96Z9006kxTi7ESXMPDil3iosUtb+20MPY6gx3HinKzL0NNAp1YyfM7s6IR5VZD/Of1/Sm&#10;hiGDZ5FJRU2Ro5Nl6G4VwA3DCrAPsSKyaeHYDhiPxrKVO+xvGu0rM0JJFQHJ/CqkdyyyEkZB6j0q&#10;DJPJOaKpQSWpMqzb0NJJ42H3gPY05po1GSw+grKopOkivrDsWHudz5/hqRZFI4NUjRk03BExryT1&#10;L+4etFUMn1opchX1ln//2VBLAwQUAAAACACHTuJAX5WcnLyQAACykAAAFQAAAGRycy9tZWRpYS9p&#10;bWFnZTQuanBlZwAAgP9//9j/4AAQSkZJRgABAQEA3ADcAAD/2wBDAAgGBgcGBQgHBwcJCQgKDBQN&#10;DAsLDBkSEw8UHRofHh0aHBwgJC4nICIsIxwcKDcpLDAxNDQ0Hyc5PTgyPC4zNDL/2wBDAQkJCQwL&#10;DBgNDRgyIRwhMjIyMjIyMjIyMjIyMjIyMjIyMjIyMjIyMjIyMjIyMjIyMjIyMjIyMjIyMjIyMjIy&#10;MjL/wAARCAFSAp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ZNo68lD+VJ9nz1U/lXVNDkdKb5AH8IqPZI05zmVs8nJWp47RR/DzXQfZ1PVF/&#10;KnC0Q/wCk6Qcxm2tuoI4Gat/Zlb5SKsx2qbzweKtLbr6msnSHzGeLRccjNVbuwQpwK3DBxjIqCWB&#10;yMYqfZhzHHz6eFzgVSksyO1dZNbHnKmqElv14p+zKUjm2ttpzimPbH0rdltgQRjmoxADwRT5GPmM&#10;T7ORzyPpUiJMOVdvxrX+yjNSLZj0qWmgujNhF4zhUXeT0AHJqyWuYW2y27Kw6itOC12kEDBrVgs1&#10;kIL8n3qXKSFoc7b3duLiMXPmRxbvnIXkCp7+505Lk/YbkvCRxvGGBrUvdLQ5IArAu9OAP3eaamws&#10;h4uYz0YGnCZT3rKe0K9vyqPY6nhmH41ophym2JB60u8Vih5l6MTT1uZhwQDVKYuU2A1KHrMW7Yfe&#10;Uip1uVP8X50+dCsy8JWHRmH0NOF1MOkr/nSWVpLfxzSQlMRDLZYD8vWqvmineLAvi/uR0lb8acNU&#10;u16S/mBWb5o9aQzD1pcsQ1NhNcvU6SJ+KCrC+JtQUYDx/wDfFc95w9aTzx60uSPYDefxDfv1aP8A&#10;74qE6xdt1ZP++ax/OHrS+cPWjkj2A1Tqlyf4l/75pp1C5P8AGv5Cs4TD1pwlHrS5Y9hl77bcHrJ+&#10;lBuZz1kaqYlHrUgkHrStECfzJT/y0f8AOmneerMfqaQOPWpVIPeldDsRhDTghqdVBqZYc1PMOxTE&#10;ZpwQ1oLa57VKtiT2qXMLGZtPpSMp9K2Bp5pr6c+Pu1PMMwnBFV3bFXtREdmpaZ1jH+0cVy194i0+&#10;EkfaEP0OaadxpGm8wHeq73IHeuan8V2nOwufopqjL4nU/dhlb64AqkUos61rwDvUtjv1C6W3idFZ&#10;u8jbR+dcC/iG5b7kEY/3mJ/wqD+2tSY/LKqf7qii6Q/ZyPQdQZ7G9ktWdJGTgtG2VP0NUnvyv3mV&#10;f944riHuL64yZLmU5/2sUyGJUmV5oxMoOSjk4P5Gp9pEtUWdfLrtvD9+6jH0bP8AKqknim1X7srv&#10;/ur/AI1zU0KvK7pEsak5CL0HsKiMWKPaIfsToH8WnPyQyn6sBVZ/FF+/3ERPqxP+FZAjpwT2pOY1&#10;SRcfWdUlPN0w9lAFR+bcSn97cTP7Fzj8qjVKnjXkVEps0UEdP4LRRrtv+P8AKvoW1P8AosX+4K+f&#10;/Ba51+D6N/KvoK2X/Rov9wfyqMMpOo7HPi+hICaXNLtor0EpdTiPAfiCd3jG/wDbaP0rkWHPSus8&#10;ec+MNR/3lH6Vy5Fee/iZ60PgREFp6pTgvPSpFX2plWBF6VaUDbUSqfSpR0rNloUimEc06kNNAxMc&#10;UmOadQBVohgBUiikAqRRVkjlFTKKYoqVRQIkUVMgqNamSgCZBVqOq6VZiHNMlmjajkV3nhgYhkPs&#10;K4W1+8K73w0uLaQ/St6O5zVvhN2iiiuk5DhhMNuDz9KcJAQcVniAY5LH8akWJccE/nTuOxeDLUiu&#10;uetZ4iGc5b86kWFPQ/nRcC+rKCamVlPeqCRqO361ZRABwKlsC1lT3FRsy45NNCe1Mdc5yBU3GMd0&#10;wckVTlMTZzg1O0Y/uioWi/2Rj6VQFF443+6B+dV/ICjk55rSMCk8qPypnkAHIUUWHcpiIZAxUyw4&#10;7VOYsdhT1SpcQuJGg9KuxcEdqhRfarKL7VnKA7hKu7NZV1AD2rYZMr0qlLGOcCoUAuYM1qD2qlJa&#10;gHpW9JGeeKqyQ+1XyDuYxth6Ugtua1PJ46Uoh56UnArmK9tbbTwoyeDkZq+dHiaIEqMkU6GMccVp&#10;qT5YzWbiFzl59IZHZkkcA/wjpVCSBkPGa62dec4rHuYcuTikrjTMRt68gn86zNR1N7FoweQ4/Kug&#10;kg68VxXjeR7ZbNliL5LA4OMdK0hduwStYtrrxb2qQaznvXBpq6r96OZPqM1OmsW56TY/3gRW/IZ8&#10;x3A1cetPGqj+8K4tdRV/uyof+BCnHUVX7zgfjS5Sk0dsNVHrTxqo9a4X+14h/wAtD+AqzY+JVspH&#10;dbeK4LIUxMm4DPce9S1YpK52f9rD+9ThrKj+IVwq6nI5+SL8zT0uLh5EEjLFGxwX252j1xWbcTRU&#10;2zuP7fRe9L/wkiLXnt7NJHcvHDeNLED8sgXbu/DrVQs7fed2+rUe6NU2emHxjHF1IH1Iph+IMcf3&#10;RuPtXnCipFWodi1SPQv+Fl3C/wCqtQ3+8asWvxJ1WaZFFpbKpYA5ya89Rea0LHieP/eH86wqytF2&#10;NY0on0ZoVyNQt2kliRWXAODmtkRxD+EflXP+Ex/oknvt/lXRhaMM5SgpWOGtpNpHjXxajjOuwAqP&#10;9T/WvMniQHhQK9P+LS/8T23/AOuP9a81cc0pNqbR30UnTRVMY9KaYx6VYK0myjmZfKQiKpEiGakV&#10;M9BVmK3ZuemKmUxpAkIEY4ppjHpVkqqqBnJpjfSseZmlkVjHxUJj9qtNk9Kdb2yTzBJZ0gU/xsCf&#10;5VpC7diJFIRe4p6xpn5ifwrsbDwxpEoBk1IzH0jIWt218MaFHjFsJT6ySE12Qw0n1OeVZLoebBIQ&#10;OAxP1qSOFmPyRO30BNetw6dp0AzFY2ye4jFXoHjU/KAv0GK1WC7sy+s22Rw3gyxuY9ahkktpUjAb&#10;5mQgdPWvdoRiGMeiiuOiYPNEM55rs0GEX6VFKkqdRpGNeo5pNjqKKO1dRzniPi/QdUvPFF/PBaNJ&#10;GzjDbgM8D1NYR8LayDzZH/vtf8a9cv5UF9OD/frPluIx1IH1rJYWG7Z1xxE7WSPM/wDhGdYH/Ln/&#10;AOPr/jSjQNXT/lzP4Mv+Nd5PqdpCDvnjX6sKzJvEmnRk/vtx/wBlSaToUl1NFWqPocs2kaoPvWcn&#10;4YNQvY3sX37WUfVDW/P4piJPkwu3u3FYOpeLZIm2vIId3QIuT+dc8qdPaLubKc0ryKzZUkMMH0Ip&#10;ufas9/ENs7FiZHJ7kdagl1qEt+6Ut7nioVGfYHXh3NbIpy7c81h/2rM33Ys/gTSi9vX6Rkf8BrRU&#10;JEOuuxvYA6UoYCsaKe7z86MR6ZAq+huCHP2A4jXL7mPHuafsrbsl1n2LyyDOM1OnNZJnSSJB5arI&#10;ZBnaOgFa0XQUqlPkHTqc5MoqdKiWpUFZmpYSrUXWqqVai61RLNK0+8K9B8PLiyY+4rz+zHzivRNC&#10;XGn/AI1vR3OWtsaYOaWo4TmPPqTUldBys4ALTZYvNidNzLuBG5eo96mApyr7U7D3ODOt6toV+1td&#10;kzxg8CTqR6g12Wl6jb6raie3bpwyHqp9DRqGlW2pweXcRgn+Fh1X6Gs3Q/D1xo+pSSLcK9u6EFeQ&#10;fbiuOMKtOp3icyjUhPujo0GKd9qt4vvzRr9WFcHr+uXN1dyW8EjRQRsV+Q4LGsIIzOCSzt78muTE&#10;ZkoS5YK5hVx3LK0Vc9dS+tG4W5hP/AxUrgHBrhNC8NTXEqTXcWyIYIUjlvr6Cu927VAxwBXXhalS&#10;rHmnGx00Kk5q8lYrMuaiK84q0wqIr+VdiNyApg+1IVp+dxIRlJHXml8tvWmN3W5Ft5pQmDUpjyec&#10;8Uu00WFcEWp0WmKvtUyioaGKVytVJk5q9VeVc1KQGbIvXiq5T2rQePPSoGT1qrBcpmP260mzHBHN&#10;WCmOOTRt9qLDuRJwelWlJwOKjVeelWVUBcVnKI7lOZmA+4TVGTJ6pWtKmRVGRalRGmZ7Q7zgjiuX&#10;8Y2qi2tjgcOf5Cu0RASa57xhD/oELf8ATT+lOKtIJv3TzmWyhY8ojfhVWTS7ds5TH0NbLJUTJXUc&#10;tzktR0+O3OUyOeapRKckZ6Vv6xHlCfpWLGv7xxUy2NqbuyRFPSrUCncMio0XNW4Uwa5pyO2C1NG3&#10;RRjip58eWBjpRaRlgKkuYyq157l7x3Je6ZUo+aoqnkHNMCjNdCkYtDRViNcgGmKtW4k+UVLkUkCo&#10;cZxxV2zX98n+8KijSrtqgEqfUVz1HozSKPfvCa7bNvcL/KuirB8MDFl/wFf5VvV3YH+BE8rEfxGe&#10;O/Flc63bH/pj/WvNmWvTviuhbV7Y/wDTL+tebHIBGBz3Irkqu1RnoUP4aK+32o2VLgntSYqOY1sC&#10;ACrduN2VHcVk3l/FZkB1YkjPFU/+EhVT+7jJPs1WqE5q6Rm60IuzZvmJkOCM4prLxWF/b19J/q7R&#10;j77Saa19rs52xW23PT5f/r01hZ9QeIj2NvO3tSBhWCbbxC4LO4jAODnjH5Co9NkuV1Ly55mkIznk&#10;kVf1ZqPNchYhOVrHRjGeDUiyyL92Rx9GNRgj0pwI7gVkptbM2smWor26U8XMo/4GanGqX6n5b2f/&#10;AL+GqKlcfcH505SM9Kp1Z23FyR7HdeCr+7u9ajSe4kkUKThmzXsy/dH0rxP4fjOujA6RmvbB0FbY&#10;NuTbbOHFpKSSFoNFIeldzOM8I8V6hdjxHqCLdSqizEBQxAHArnHnlc/PK7fVjWz4mJbxFqJA6ztW&#10;ExINeU5ybep7MIrlWg4ZbsTS856U0SEdGNG4nuTTuVYk5ArA1gCS/gRuQR0/GtvdxWLqG1tZtwuS&#10;PlHP1rbD/GY19YpGkumWqHiBPyqYW0a9EUfhVvbyaXZW7mzrhQilsVfKA7CgRZq15dWY7RDaecfM&#10;3+YFGF4x9fWpUipU1FEOm20a6pCt0AqbhlXXOfTitzWBKujXG/y4zPNnYQSdo6Ae/f2zVWef7Lqz&#10;SsZ2KpgCQDcT6E9hUk+uCaNiY5BPsKowI4z/AD/KuOtGbqppaHLUpyeqRyEPN2i/7ddDFwK5625v&#10;f+BGt+L7ortrvY5qC3LK9qmTBYAkD3NQLUyVzG5YTg9fyqzGelVUqxGapCsado+HBrvNGvdllAgX&#10;d5sxQc9OM5rzyFua7HSJdq6Sv9+eQ/ktbUXqc9de6deiBECjoKdXM3fiaSBAY4lcliPyql/wmU3/&#10;ADwWutK5xM5zVvFFnpzNDGPPnHUKflU+5rlrjxdqs7kxzLCP7qKD/OsGzt7i9uUgt1aSSQ8Ad/ev&#10;RNJ8GWlqqyXoFxNjJU/dH+NedGpVrv3dEe5Klh8Kve1ZzEHinWEOfthcDs6giur0DxUupTLaXSLF&#10;O3Csv3WPp7VPrOi6Wuk3EptYomjQlXRcEHtXn9gsv9p2wibDeau3H1pydSjJJu9xRjRxNOTUbWPT&#10;ZtE0tpQ01vEHkPBJIyfzq7a6RaWpzDbxofULz+dLe2aX1o8Eg+8OD6HsRWF4e16VL46RqDEyqSsc&#10;jdyOxrplGnGSbS1PJhhoyTcVqjrEQKMAU/bxQDTia2sZkTLWdqVylrA4bAZlO3epK/jitQn2rM1X&#10;UotPjUSIzNIDtwO9EnaN2XTi5SSSOK0eyuI9V8+zkklcsS+07UI9Meld8isw5HNcFaJbRu63eo3G&#10;15MvFDlR83PzNXS6AYEvLy2s5jJboQUyxbGfeuehK2nc7cXC6v2NkoR1oC4p/XI9K57xNqs2lxAM&#10;ga3nRk3LwyNiumclGPMzipU3Ukoo1NSM8dhLNbziJ4xvDEZU47H2qHw/rcetWZkC7Jo+JE9D6j2r&#10;lfCAXULO6s7q7Jj3hvILcsPr6VdudVlsY5pbC7tE+zkA2caZBXOM5/HtXL7a6U+h2vC2vT6nbdKi&#10;kXIqvpWorqmnRXaxtHvHKt2P+FSXsk0Vs8lvEJZF5EecZroTTV0cLg1LlZn/ANpWpvzZbyJhwMjg&#10;n0BqVlrktNivtbuSMG2FoxG9uWDE5P41d0TVrhtXudIu5RO8RJSbGCcdQayp1rvU6quGsvdeq3Nq&#10;RGI+U0iqcfN1qwV9uKbtyK6LHGMVcYwM1L2oUU4ioaHciYcVVkSrhFQuvtU2GVVTk1i+KoGl0pAM&#10;cSDrXQovzGsbxWmNELDIIkWktwlscC1hJ6r+dRNYSEfeWpHZwfvH86hd5P75/OunQ5SCXQRdQymS&#10;bZgcYFYU/h828rbLhGyeh4Nad5fT20LhGyCOc1zRu5p7t5Xc72A5HFTNqxtSvc000mUD/WJUpsHh&#10;TeXUgHtVBJpcf6xvzq1C7NwWJHua46ko2PQgnc17NcKKfdgbDk1i6gJZTaQRTvD5sm0spIxVx/CF&#10;vz52pzzEdRXEqKb5mzp9pL4YooTTwqxzIg/GoGvrZPvSrz0xzWh/wjGnocYlf/ef/Cr1x4W0630z&#10;7RHEC+0khsn8q2c6UWk3uZP2hl27rMm5DkVoxFvLAzxWPpPNsf8AeNbcI+QVE9JWNabvG7JEBq5a&#10;j94v1FV0WrluvzL9awqbGiPevDP/AB4g/wCyv8q3aw/DP/Hgp/2F/lW33rvwX8CJ5Nf+Izyn4pDO&#10;q2//AFy/rXmzpzXpnxQGdUt/+uX9a85Zea4q/wDEZ6WH/horbKcIx6VJtxTlWsjY5vVohJq1tFj7&#10;wxWna6Phhx+lVrmIy+K9NiUZZ2AAr0bSbC2uNyq6OyEqwB5BHUV01cQ6VNMijGneUpnNR6O6rkLm&#10;rVnp0sV1DKh2tvwpHXNd1HpcKgDYDj2qrqlsqREphCJNwKJjHHrXJTxntE0zX2sJ+7FHJ6gmp3ll&#10;tkRniUs8joMbjnqfXFed2wxrkv1avQrtCpbBY56+9ef2wzr0/wBW/nXdRbVJo569LklE3lPFO9Oa&#10;RRxTwtciNRRnGaVTzRilUfNTbBI7n4dDOuE+kR/mK9pHQV4z8OB/xOnP/TP+or2YdK68Bszz8b8a&#10;FpD0paRvumu97HEeD65zrV8cD/Xt/OuZm/1z/Wur1hM6pdn1mf8Ama5WX/XP/vGvFXxM9mn8KGY4&#10;pRRQBVli9qxZ/m8Q2y/7S/zraPSqGnWgv/Gllbltqs65NdOH+IwrySSbOpsdMutRcrbRFgOrHgD8&#10;a1z4UljQNNdwRk8AHOM/WurRYbG2WGCPaijgCsTVtTZUzJas8fcHB/KtpJRV2J4ypN2gc7d6XPZT&#10;eXMoB6gjofpU3llNMjLCbZ5uTjG3t09614NT06/t1tpWcMF+VXTDKaoyRts8vcdoOQM8Zrl9skzr&#10;hUc1aRlXrLPdvJGJNh6eYcmqrLitSW3AHOKoyKoDY5wK1jK5tpy6GBZDNzu/2mrfj6Vh6XE8sybV&#10;J4Zj7DNba3FjE6xS3JV8/NlTxWtWLk9DyKc4xTuTr0qZK19PtNCaYJJqcUpY4QKcVY1Lw61nAZ4i&#10;zIPX09aydOSV2Wq0W7Ix1NTpVdanWoNS3E3IrrdM5m0Zc8iO4k/HgVx8Rrr9LU/2jZL08vTpGH/A&#10;jWtH4jnxHwnV2On28NpGPJQsVySRnJqP+zLX/n3H/fIq9vWK3DscKqgk1gf8JRH/ALNddji1OE8C&#10;6SttpYv3X99P90kfdT/69ddnaCSQAO5rP0J4zodh5eNv2dMfkM1U1i01TVla2geO0tj95ycs/wDg&#10;KmnFQpqx01ZOrWbm7HNeL/Eq3jfYLRswofnYH7x/wpfA2kvdXh1CUfuYThM/xP8A/WrQtfh/aAhr&#10;m8kl9lG2up0zSrXSrcw2iFUJ3HLZya540Kk6vPUOypiqVOj7KkXlrzvxWjW3iOSSI7XO1wR2OK9H&#10;UV5v4nu0udenaMgqhC5+lXjLchllqbqM9D026N5pttcngyRhj9cc1aJ4rO8PoY9Bslbr5QP581pV&#10;0Q+FXOKqkptIb1rkvG1teSi1mtVdlTcG2DJHvXYcUjYIIpVKaqR5SqNV0pqZ5lpmm3OqW8nlRvJ8&#10;mSZDtXfnGR68V1NlZNoMausYHmRqr7ecMOv51vQ20Fuu2KJY1znCjipdodSpAIPYiop4dQXmbVsY&#10;6j8itFNHdQrLEwYHuKyvE2kPrGkNFEf3yHegPcjtW2ltFboyQxqgJzhRjmlwcVs4c0eWRzRqOE+a&#10;Jwz+GRp2m28qK6zSfu7lgOVDd/wNVtS0lNJ0+8lu72Ka5njCxrtwcZHT8BXoJXPf61VvdNttQj8q&#10;6hWVAcgHgj6GsJYaNrI64Y2XNeRDoieToFip6+UvFVtf1VtJ05rjazux2IAO9bKoqoqqMBRgAdhT&#10;JYY5kCyIrqCCAwyM1pyPk5Uc3tF7TmZy2kXbaPYTRXyEXMq+erf3y3Y+4pPDejC3kl1KUs085O3P&#10;Yf8A166G802C+MJlz+6PQdx6VPsVQFUAAdAKzhRalrsjaeITi+Xd7kJ9xTBipiBTcD0roOQYKKeF&#10;FNKj1pMYxqiapiBUTgDtU2GMjxuIrJ8ULu0Gb2ZTWzGoLdBWd4ijzoN17AH9RU9RvY8ycc1A4q1J&#10;iqz4rU5DG1YYgY+xrmof9cfpXU6qAbc9utctCV8/jnIqZ/CdFH4i6lW4eDVaPGOlWYiM1wz2PRhu&#10;LqLbPsbjqsoqy984mLFzn0zVTVTi2t29JlrHe5L6sXdvl3446U6UOaA51OSR2djdmWIueG5HOMYr&#10;Rub62fTpF8zkRkDdyc4rl0kIhIHBznOO2KjgdLmGQxOG2ggisp0FJp9i3O61I9G5tm/3q3oF+UVg&#10;6J/x7yD/AGzXRW4+QVnV+NmlJe4iZV4q1bj5qhAwKsQferCexoe7eGf+Qen+4v8AKtysLwwf+JdH&#10;/wBc1/lW7XoYH+AjyK/8Rnl3xOH/ABM7b/rkf5152w5r0T4oHGoW3vGa88By23FcVd/vWelhv4SG&#10;FacAAOaVgQQB196kVcjmsmbmC5RfG+ksxwoYEn8a6LUJBpfii6lQunmYdGUdQfTHWuT1dCPE9iBn&#10;OOMV3d3eRW1vpt09pHcTbQh83sP8ivRpwUoLmMaLak9LnTaVrRnVIbyMxSt91yMBv8DVXXHmRnIG&#10;VP8A00rDu9am1a1KywrC0OSioOeKj3vqltHLbo8j9JSjcqfUiuargk5JwOiFHlfPsUp5XJOV/WuG&#10;s+deuD7n+db17fIk80XmPlGK5z6VgaX82rTN1yCf1rdU3Cm7nPXqKU4pHRKOKcKAOKMc1wI2FoXr&#10;SleKY8iQI0jnCqMmmk3ohNpas9C+Gw/4m8h9Ix/MV7FXytpHxCvNDunnsYI/mG397n1rs9F+Od89&#10;7HHqVjCYGbDMhwRXoYWnKknzHl4maqSvE93pr8IfpVJdZ05raKc3sCxyoHQs4GRWJ4n8e6H4b08T&#10;3F0szyA+VFCQxb/61db1RzHnmqDdqFwf+mrfzNcdN/r5P941UvvH011cSSRwJEHcsATk4JrL/wCE&#10;iDSFmjzuPOK81YWors9GGIgtGbtFRwzJPEskZypFSCos07M6k01dCkHFR+G8L48spGPAf/2U1Men&#10;NYjzSW+qiSJyjgkBh1HFdeFWpx4t+6j3QyxzDaGGT0qg6YLI+D125rymLWNSjYCO6k+U9Cakn8SX&#10;F1GqXV6/yk4CDn6ZrWvRdSNkcsZKOp6I9gJJUkKAsvSpWtB5eHUg+tZeh+LNDm0yNLm5mjuVwnzL&#10;nJ9a2r+SaxjWYMs0Ei/u3Q5Vj6exFeRPC16er2OhYpN2Rzd8oSUx7iQOSazLiWKON3clUUc+/sK6&#10;aSxF1utrd0wv+vnI6seoHvWN4j8NN9hjFmzH5vnLGujD1YuSizqlif3bS3OQudWmmZY4QI0UYAjG&#10;KqSSyu5aVmLHuxya6q30S1sYd3+skPdhWdqFh5gLooBA5Ar1lNXseU6cmrmTDLskV8kEHOQcV6bo&#10;3jCK4t7azuWY5Gwu5zk15iIyufarenqZL2FS20FwM/jVNJmSbTPTdb0+CwuYxC2VkXfj0qio+WrG&#10;qSmTUpVY5EZEa/QCoAflrzp2voerC/KrkkQ5ru9NhB1J8jlNOiQf8CJzXE2ke+QD1Nel/Y1tfLuE&#10;P7ydYoW9gK0w+rbMcT0RgeNbjULVUEMjJbYACjvXE/aZfRq7Xx7I0ZhCsWyPuenvXCebL6GuhswS&#10;0L3gbXYntRpdxIEkTPkknhl9K7fZnqa8Oltp7OdopkaKRD0PBrf07xnq1gixtItxGOAJRk/nXFQx&#10;fIuSoj1sTl/tH7Sk9z1VVx6U/Brzz/hYl1twLKLd6ljWde+LdVv1KGfyoz/DGMfrXRLHUktDlhld&#10;ZvXQ7TxF4jj022aC3kD3TDHy/wAA9TXG6TZvq2pRwKpIc5kb0XvVPTrC71W48m3jLsT8zHoPcmvT&#10;NA0GDRrXYvzzPzJJ6n0HtWEFPET5nsjqm6eDpuMXeTNeNAiKi8KoAGKfgjoQaMAdqXAr00jw276h&#10;t560EAdaUHms3XJjbWcc+cKkybjk5xuA7UAaOcDiqFxrVpZ6jFYyyfvZRnjoPQH0zVfQ5pG+1hpl&#10;K+fJsQj5hzn+tZLpaaf4strRrgm6mjaYySv80jHIAC9DjH4U0JnSx6hBPfXFmhbzoFVnUjs3THr3&#10;p80yQQSTSNtSNS7fQDJrH0y4YeK7q2mYG5+xQvIByM5YVz3xM1e6062tltRDtk3ozl/nXKkfd7im&#10;B3EMi3FvHPEco6hlPqKkGawfDmoj/hG7MXN9bTTpEA7xMAvSuf0/xJdv4qe2uL6IxO/+rDrgAY7/&#10;AI/jSsB3rOE6g/hSAkjIU/jXE6trOpwXs5t5nWJJtoUDO/OMY6+9Xte1bVLbUre3tRhZkDAEdTjk&#10;fhSsM6W4uoLO3ae5kWOMdWbgVWh1GyvLiWG2uElki++qnOKzvEtla6hptrb3YZw7HjcR0Ukk461m&#10;eFx5V5AlvMTZvbMFjKAcq2M5xnpSQHRXd7bWa7riZYwcYyevOP5093RVLsQF9TxXnHxJe4n8Q6FF&#10;a3CqqyhXK87GJ7ge3Suv19Td+E7kRbmOxcFhtJIYev0qgNnj0pCVH/6qWM/uk/3R/KlJ71IETMKj&#10;JBqcmo2FIY2MgOKq66ofQ7wD/nnmrPeq2rMn9l3ajqYm/lUtajex5ZJVZqnftULGtDlMrVR/o5Nc&#10;lB/x8fhXZamu60OK42Hi6I9M1NT4Tej8Rci0/UtSZvsSZjTgndjJprG90q4Ed9Eyq3Q11mgxrbWa&#10;SpIUMhOag8T6dLcwwQ+aJJGO/JP3RjmuW6ejO3le6MXVXD6fGw5HmKRWXHBjUcOhMbsV/Grt8QNJ&#10;CjohWrGlFb2xl2KEaBg7Mx9+1TB8kHYqSUp6lkW95BaMv2OS4QKQGT096qeFLWS4vZlUYLRsAPU1&#10;6Ppligt/3bn514f61zOh6FBpuuNeXV35SBnELMQN5HBBrnp4hSUl1LqL3k10MLRVxFMD2kIrorYf&#10;KK5q1uVtXvCI3lAmY/uxnA9a1NN1uyuXEQZkcngOMZpVISb5kjWlUiopXNw9KmgxuqszcZzWBeeI&#10;5orho7RV2qcFyM5rKNKVTRGk6sYK7Ppvwv8A8g2L/rmv8q3a8u+FfjYayrabdhVuUQbCP4wP616j&#10;Xfhabp01GW55VZpzbR5j8Tl3ahaj/pma8+SLDlu9d78UpTHqNpgD/VmuCguA7YIwa8+vb2rPSw1/&#10;ZIUoxJYD8KkRNoA9qBKpYjHNODZOazZscxewtceMtOiDYLd/Su9i0eO88u0upmYx48st057VxfyD&#10;x7phkdUUDO5jgD6mu6Ms00kcLjPmNgSRYYeZ2P0xXoU4SlFdmjmdTlbtuWP+ERWGKRIrjKuMAOPu&#10;/SsA+FLnSm82PVG28mQKCD+FdBP4nsoYpmlnWJYHMbbjzxXOT+OdImnWITsQ3G4qQBXnOeKhU5Vq&#10;kbU6rfxsy5fDolDTmUNvy3IxXK6WmzV51/ugj9a9JZvtCHyvnBGQRXnOm/8AIZu8jkEj9a6qdWc4&#10;S5iasYqcWjfHSlA5FNFZupaqbNxFCm+U+3SuanBzdkazmoK7NYggetcrq97NLd+QVZVH8PrU0ev3&#10;igiREz7jpWto9xDqF8sxgjeVVIZWOMj1rupUnSleSOKpVVVcsWcdM7BsEdKbG5DAjrXa6/okN3tm&#10;tYfLQrndt+8fQUzSPC4SPFyAZNwbBHaut1VbU5VSlcoWFpfatG4N0Y2gXhHJ5HtSWPh7UNcTzkbE&#10;Stsy56YrprTSXluZJHZ4/KUJuAxnnpWvp0FxaBoYS4tsMxfaOtZ8/Y19kcdceFEtUZWcs46ntXOG&#10;ydXZTkEE16VPpV5uWeSRPIPO4uSTVvVvCsbeHf7SRlLptyoHJBNONRp6inSTWhxmhBhp+G/vHFae&#10;cU3yUgzHGoUDqB645prNtUmuKb5pOx3wXLFJiyyBVyzY+tZdpZ3Gp6uYoChyGKlmwCQOlWtU0e7i&#10;04X0jgsTkx/3RWAJZAw+cj0xxiu2hT5Vc4MRU5naxoXiXVkHgljeKY8ENxgVm4I5J5rqNNuxrUYt&#10;9VZ5xEAI3GAy/j3qeTTLCGbbHaSNtOC0jDn6CtnNRMeRyOTRnRgwJB7V6N4fu9V1TQzp1sY5Fhw6&#10;q2QffmsO/wBKjMayRpg9MYrs/AVi1q87EHf5Z3LjtUuopRsDoyT0NCwaKC2ECt88Z2yAf3upqLVp&#10;WXTZWjkHGDg9+a1FsZiSVhSMMSeSKh1LTxFps0k8wO0D5VGB1rx6eFqe057WR0qatZs4icyFg7Rz&#10;OGAKqpwBUgi+X5hjI6GrVrNKZZTKFC/wgNnFMPzOSetepIEjHi0lGmle4J8tPmwO9Tx29u+o6Ysc&#10;ITzZMMBxkZFa6QLIpV+hxnHetW70WKHQD4iYqGtRtjTtnIxVQk27GVSKUSHVLaaz1GVJM4Ziyn1B&#10;NRxcqcmtTV3+2aNpd5nJKlWPfmodN0qe9AZOFzgEjrXFUTU2kdlOScE2S2AzMmPUV6hdjDWcf/TQ&#10;foDXEaXopSaNp5kjOc4J967mZTNc2jx4ZFYkkfStsNGSTuc2Jmm1Y5fx3bzPDFKkZZFUgsB0rzre&#10;3oa93dFkQo6hlIwQazP+Ec0r/nyjrpcTnU7I5a90qy1OPZd26yY6N0I/GudufAFo7Zt7qWIejDNd&#10;iBTgKudGE/iRpTxFWn8LOFT4ec86iMf7lall4E06Bg08sk5Hb7orqNoNOC81EcLSWqRpLHV5KzkR&#10;WtpBaRCK3iSKMdlGKtA4poFOzjtW6SWxyuTerHg0tNAzTqZIZApsiJKm10Dr1wwyKdgUvagCCO1g&#10;iffHBGjf3guDQ1tC1wtw0SGdV2rIVG4D0zU2RSE0wMqePTdDe/1ub93I6AzzMf4VHAFeC+JPHsWq&#10;arNPY6bCsrniWX5iB2IB4ru/jZq0lvolpp0bFftEhZ8d1Xt+ZrwmNtpJ7nvUSlbYaRrwa1ewXZlk&#10;k8xm5ZT938hWvYm2vboC4gRPM+YMnBX6Vy8TB5zxnK4FdDbo6yo+0gBQB71jKrKJtCmpHpunQXug&#10;Wa3CzLqViCHkhl++uO6nvivRIBp+tWcd4Io5o5UBUsM4Hp7V5z4ble6tFtpw0SkAKzjAJ9q6XwSk&#10;+nXF7pkgY228yW7HpjuBVwq8xM4cp1/lRFEBjU7Pu5HTtxVCDSo7a++1CRjtQokYUBUBOT0rRJA4&#10;5ppJxwK1MjNvtHs76JUeIJtmWfcgAJdehJq1JGk0RjkRXRhgqwyDUp3e1Nwc8n8qAEC4AAGAKQrS&#10;5xQeaTGRnAGKjY+9SkVGw5pARE8VT1DnT7gY/wCWbfyq61Vbxc2c4/6Zt/KgGeUuagY09jUTGqOc&#10;p3+fszmuNQ4vD9TXZ30rCykTggjpXC3Epiu32cEHvUyV0a0nZnW6RO5iCCKR9p42GtC4tL2/u4oy&#10;/kGQN15OMZwayvC2p6fFbst5crFKrZ+f+L6VPrni63A8vTCWlB/1+OF+lcjhK9jv9ouXcxr0YsHX&#10;uGA/Wtq/8J3clukkcEluZEBJiBMcnHcDpXPSXYuLGTJ/efePvzXoFn8S9ItrCCFo7kyJGFJCcZAq&#10;6cWlZmc5Xdyp4UuNU02T7BqMEkkAH7uVRnb7Gon8K694l1CRpIntrHzGaMScYz6CtcfFLSwARb3J&#10;/wCAVKvxa01R/wAeN234CpVCCm5rqL2jtsVPCGjnSo7+OZRJvcoGwCDjiuQ13Rv7I1WSPBUN+8QH&#10;qAa6nwvrdtete+bcJbD7Q06JIOSD2rn/ABdqsep+IHeE5jRAoParXxWHK3KmTLfltJd2PzquCa19&#10;L8KzT+HSrQASzx5TP3snnNcaZSNPkTPLiu48OeJln0y33zASWq7GQoSx9CKhR5LtGikp2TMrwJc3&#10;Gg+P7KK4BR1m8t1PvxX1WMYzXyFq2oufFYvlVkdHDfN1JBr6r0DUV1XQ7O8X/lpECfritIs55o8x&#10;+LLXV1eH7KhVbWLMkmM9fSvEpNTvtOuFlS880ddpr6M8R24uNeuEaUCJk2up9MV4TqXhKOKS/nkn&#10;8uGAsFz39Kz5IXbaNk58q5S74f1mTV3nEkapsAIx71vBlijZmPyqMmud8L2sNrpSXABEsw+Yn07V&#10;0ECC+lS2DY8xgpPtXBUgnO0djvg3ye9uFt4Il8RQNqV3deRuGIo1Gdq9s1yiTal4I8SoBM/lB8+q&#10;uvfivTLm0uLV0s4bmTD8BcZAAHtXn3jG2l/cx+YJZkkJOFxtFd0Xy2RxSi27mh4h0KW90ibxGznE&#10;z5jjVcBE9T71whVVJ5znvXuWj2iaj4Wt4rmfdvtvnjAzgY4rxK/tvsl9PF2RioH0rWm+hjUT3PYP&#10;hbdRXfh64iliVpbZsBiMnaRXm1kf+J/qBH/PRv8A0I1U0jWdY09JY9KuZIvMx5ipjkfjVnSre4S5&#10;mmnQqX55PU1jiHBU2lua4dSc02bmfStvwhp9lFDNql9GkkzNsTfjCj1rCBwK9D064tStps8gJ5Iy&#10;u3ktiuXB2u7nXibtI838b6OLW9+326AW8hwwHQGsfw7cmDWYGx905Ix1Feh+JxHdRusn+qU7sAel&#10;cNo0curahcS2trI8pAWGONcnHvXU5tppHLypNNne31/FBcWnlCIWxXPLdj7etZ0c++9kmLfKTXQW&#10;fhG7t9KJvyizEgxoRu2jHNcxd2Nzb3BRlIUHgAdayd7ao0TXQu318LNVc5Ky9PrUk2oeboqKfNUk&#10;n7hx+daWk6Dc6gim5j22/ow6/StPWPD0Vpprz27CIRoSUcjn6ZpwjLewpVI3scO+os1hHF8yqpON&#10;xzmur8O3i32nT2D/ADs0ZKDPQgcV59PHf3Ucc5+aJxlSOlX9F1P+w7tbyZiVQcjPX2qrag3dEGGX&#10;5XzuHDZ65pUjaWaONOWZgBmqsut2uoX88wXyhJIWC9uaW5vfsQhuF6LIDmsvZSUtTVVYuOhv3kF1&#10;c2v2clCxX5kzxj6159e20tlcvBKMMp/Ouv8At6xSNcB48PyCDziuc1W6jvLtCOcdTXZBtOxyVUmt&#10;Dc8EtD5l35qbmVAygDk4NdKnkzRvcSxBZN3AZcE1z+lxRWlmJQXElx82FHAXsM1P9oaIlXm3HPQ1&#10;NTfQqnpHU3reD7VJHEi5ZmGBWtb6hp/hlGW8vdlxdAttwThQcf0rmrLUHSQMpKnsatePtDkmbTdW&#10;hVntXtEidl52OM8H86iFk7sqo3ay6nRr440EKA19k/7hrK8ReL9JvtFntrS5LTybQo2kfxA15+un&#10;oe5qZNMjPXd+dautExWHmb1u8AUyq2ZD1x2qws4HzGoNH0O8u8JaQu655Y9B9TV7UdHNtdCKOZZi&#10;oAYp0z3FY812btcq3Eguct7V1umBPEHhXUdAMipcON8Ge5HOK42GynZgiRszegFdHpehzwyJcTyM&#10;jqcqqHkfjVQuncznZqzLemWcs+hTaTOhW6tFVgrcdOtNl1GZbA6dp0rJ8/zSn+Hpwtdrpckd7I63&#10;UaecybPMAwxHpXMa54WudGie4tmkmgDZAQfMMnvVuneXMZxn7vKctd6pJYSILuEy/wC3vOagj8Z3&#10;VlqSTWlzL5BA/dO2dpHWtm4so7u0K3CEnGfmHIrz77DJNqTWsfB3EDdVwkRUg1sfQfhrxTbeIIOB&#10;smA5U9/cV0H414T4Di1BPEywIf3Vs+Zm3fKPT9a9i/teH/ntH+taWuZXa3MUZp4NRA+9OXdntVFE&#10;ganKabg0c9eKAJRS5pgJpQW9KAJBxS5pnPrTselMB2aM5HWm5FGAOaBBzRkHgUZFKNpHAxQB4X8b&#10;rudtZsbN4dsMcRdJP7xPX+VeTnrX0F8adOS68KRXgA8y0mBzj+FuD/SvB7S2FzOIydoJwT6VlUdt&#10;WXFX0Ra0Sya7vljUZY/yrvTp8kUSrCi+Zj7zVj6Dp39na2qg71K43fWuwuhhhgda8uvVvPQ9GhTt&#10;HUbbQ6nZaSXuLwv86mNCuNvPY12fhiFrjVG1BLt2hYEGEn7jY54rlVkW702a3mcqwwUPv6Vs+Cfk&#10;u50muhvbG2McZrajN8yIqw91noSsHzg5xxQR2pqIEGFGM07Oa9M84Q8U0ihiR05pMHPJoAYRSZpx&#10;GKaaQxpqNqkNc/q/i3RtEvPst/O8UpXcBsJBH1oA12OOKguAWhkGOqkfpWB/wsHw25AF8fxjNblr&#10;dwaharPbvviboaAZ5BK2JGHuaiZ6W8Oy7lX0c/zquXqjCxDft/osh9ATXBMS7sxPJOa7i8O63dT0&#10;IxVjSPAumXGlwTX1zcx3EgLFUxgDtRZvRFx0VzlLHSEu7F7mScwgEgEplSfTPass8HrXry+FdLh0&#10;aWyh1C4RNpZm2j5vrXkt0iRXUkcbFkViAT3rKMZpvmNLp7D7SXZOueQeK3IIoj/Av5Vz8fDrj1rf&#10;tMla5sTpqjqw2u5fjgj/ALi/lTLyWK0hDeUGZjhRip0zxWXq8pF1Co52AtiuSinOdmddZqELorWY&#10;+0a5CdvJccCtDxXAttrTiNNqBB+dZWnXps7yG82CRo23bT3qTU9Xm1W6e5udoYjAVRgAV6XLZ3PO&#10;5rocySCxglkGFkB2+4Fdd8PIYIbe9vLi5iRM42swzxXM6hlobNOwt1CikhgCQqFiO4DJaqjBSRcV&#10;qN1S4N9rtzNGdytJ8uO/pX0f8Or64stIsdIv2BlaPdHgdB1wa8C8J6U2p+JYIwmYo28yTPoK9w0a&#10;U/8ACV27FcrFGx47cVjN2aSHy3TbLPje5j0/WI25Mk8fCjvivNvEOk3N5p8k0qEbn3FB6V7FqmnW&#10;+sXCT3CDzYxhGH8NRJoFoB+83Sex6USo1JMIVYxSueDpIq26JGAqqMAelXNPuWguI5R1Q5r0jxb4&#10;PsJ9Pe4s4lt54gWGwcP9a868Oz2ZlV79kVJ5/s8Qb26n+lYSoSR0rERaNnVdZto/LuYPP8xxkj+E&#10;muMuJp9R1fc6lI9pP+8a9I1yLQbO08y9uIkRBhI4yCx9gBXk3iLV5pL5YoIPskEZDomfmPu3+FVG&#10;nORm6sUdjYeMrPTLGa0up3jlh+VF7MK881K4NzfTy5zvJIP1qtcySXlx5jjLNjOB1q/f6ZLYiATK&#10;VaSMPgjpmt4Q5TCc+Yr2ssltMkqKSF+9j0rqopFdFZTwwyKb4V8LTa1E7oHdicJGrbQcdSx7Cr2t&#10;6ddaTfLFdRJGSo2+WcqcelcmLp31OnDTtoVy1dd4aeWfTzDGg3qCQzDt9a4m28y91K20+3Xfc3Dh&#10;VX09zXs1j4Wt9G01II3eSWUgO5PXuQPQVOGoy+I0r1o7HLw6Vc6k/lGMkvxiu18MeFLDw1asttH+&#10;+k5kc9foPar1rClsh8qLMxO3djgCrjzJBE8krhY0XLMegFd1Oko6s4KlTm0G3FvHOoDrnHpVJtKt&#10;GcM0KsR/e5rFi8cw3Gr29stlOlncP5cV04wHb29q6WeRYIZJX+6ilj+FauK3I5mtjivG/jAeGVht&#10;bKOOS+lGQrdI19TXkGteItT1eVheXkkmeSucKPbFRa3rUusa7eX8p3NI52j0UdBWaqk9iSeTTsK7&#10;PSdJ1HQoPDdsbm+jVkTDJn5s59K4LV74X97IYgVtwx8tT6epqlt5GRQxAB9ahUop3KlUk1YsWkKb&#10;DPLnYpwAOrGt+11lHgNjeQI8RHEaqMgfX1rBe4WNUCYOwYUH19arxSlJt+cnOSTTtcm5qQ2ixX01&#10;oQ/lsN8e7qB6VVmhMNwVIxj1rrPDq29/JJLMoMkUeF+lc3rssg1B1ePy/Qf1qLrmsXf3SZ9WCiHy&#10;FIeNApYnj8q1NAik1T7XJI++VQMAmuVQ8Z71LDPNA++GV429VOKp001ZCVR31O/jsZYx5j4QD1PS&#10;p4vHY0VZbWJUvY5RiSF+Urz2a9urj/XXEsg9GY4qJWqI0bO7LlXurI79rBL7SF1iwT9zu2zxjnym&#10;/wAK1fC3h4arIbm5yLWM4wP4z6fSuY8IeKDorS2s0YktLkgSqeeOhr2LTLKHTrBLe3JMQJKk9SCc&#10;1LoLmv0KjiHycvUn8tIrbyIVESbcAKMYrGTRURv3km4egFbLsNwXPJphFa8qMuZkENtFCu2JAo9h&#10;UgGKcTio3lChmbooyaLWFclRyjBgxBHTFbNvqk06iGUIyMMHcOtc8hJGW+91Psa0rcZjVqnqBR17&#10;S/sUuFGY35Q+3pXHzaX5N41zEBkqScjv2xXpuqxi98OSE/6yD5gfp/8AWrjTt4Vh1OKxnozeDvEq&#10;eCoxaeHXuZDtklmkeVm4yQSPyAFbf22D/nun/fQrgtc1hNRnn05bpbCzgbYse05k9SfxrA+xW/8A&#10;0F1/WuqOxzPc9qXziSfl+lPAlJByOKkXAp4poY1A5HzfpQN5bA/OpBinDFADB5o4wDT1D55xTqUd&#10;KBCYb1pwB9aKcKYDGLjoAaUAn72MU7Io4oABGvpS7ABwTTcj1o3ZHWmBk+J9NttU8P3dpdAeUyEk&#10;ntjnNfK0d4dM1IyRqJEViMH+IZr6P+I2vpovhiY5HmTAogz1JFfMMhLMSe5zWVRJ6MuLcXdHoOj6&#10;vBfXaz28ZSMKA6seQ2OtdZK6uqtntXkmgXps9QUE/JJ8pFehRXR8sYbIrya9LlnoenQqc0dTS81G&#10;IU5ABzkVq+FfDW3V4tRaUyFWyCWPArnoTJdSCOIEsxwABXonhnQdS05S004Cv1jAzj8a1w8JXJrT&#10;UVudgDmg02MMPvGnV6p5YznPtRSk01jQA0immgt270wk96QxSa82+LWmCbSrXUkX95C/lsf9k16K&#10;T2yM1yXxG58G3qnk/KR+dAHj1toF9caHcavHsNvAQHG75ue+K9J+GWotc6TLbu2TGeP5Vz/hcb/A&#10;2tI7AAxYAPc5qT4aXK2c05mbbGQQT78UkgZj6szx6teJuPyzMOnvVRSzDO81u6podxeaxdzQSIY5&#10;JSyknqDVceGboHDSqB6g5qrMh2MO4IWJmZzgdcnite/1eWC2mlg8tjEihQwyOlJeeE7uWF4o2Zyw&#10;wCI2xUTeHtU8uWFocqygbjx0+tUroC8+pSSaZI0gCSm2DMqjAya870+xfU9SW3Vgu4ksT2Fd4+mX&#10;jzMJXhjVoghLyAYwK5yXwpe2bmVNQshj+JJxmiTbGlYqaxpcWnX0awF2jI6sO9WbM/LUV3cX8Vut&#10;tdTRTxseGByR+NPs/u1wYo7cMaiHpWXqWl3iJLqOA9vu2Fh2z2rTj6Cta4tzdeBb5U+8km41y4aT&#10;jUOnERvA88BI4HApOFcHPA60Z4qfTYorjVbWG4z5TyANj0r1XseYtzqNR0t4tA0zUxkpKgXjtWf8&#10;jAeUr4284PWvS7ubwzc6bHpFxMIo4sbY923afaqEHh3wvyy3ExHI/wBdxUQqqKszqsTfD6wSy0u6&#10;1OUYaZtqZ7KK7Hwu8lzfXd/H8ygiBcdz3ri/EOt2OiaCtrYEbduyNc11nwvvkuPC9sijLhnMjZ5L&#10;E1lD3p3Co+WNjtpLsxx7/IdvmAAUcmplulkU7QePWmSybEDd/Sq8MhkuVBAAzmu5OyscT1ehS8Ry&#10;eXo1/ISQI7djn04r5jkvndIUZQyxg4U98nOa+k/HEotvBupueskflj3zXzDco9tM0MylXXqDWbtc&#10;pXSLT6k6kNDGkTAY353H8z0qg0hkclmLMx5JOSaY0oPStbwrobeItcjsI5hE7AsCRnOKTYbnQeGN&#10;MF54q0y3EOQHQspHpyc1qfFGZZvFYijUAIg6V13gvwrc6XrtzLdHMqR4Vj78fyrM/wCEXm1vxZe6&#10;jeDbbLKUTPfHAqXsaJHUeBdIXSvCtsxH+k3K72PcAngVzXxJAjELk/6tuvsa9ItnsookSO5icxqF&#10;VVYcYGK8t+J7s9jIANzEj+dZ1EpKxrD3dTF+E8baj8QPtLKWEMTMPbsK9+eLzplbPyRjGB3NeO/A&#10;q1Ak1W8YEYVYwf1r2NGKwjBxuJJreEUo2OaTbd2EjrEmAuQOSBXOavN/a8tlpMe4R3DGS4HQ+Wvb&#10;8Titm6c+QxJwD3qtpMUM0j3QUGVcx7vb0qXL3rDtpc5zx3cxaf8A2HHHAX8u7V1ijXnCjoBWZrvj&#10;+RdKvrW+0u4sbiWFvJ3jhs16E9lbyXy3UkavMi4RmGdv0rk/GejWOstAl0XGAT8hwaJSUVdhGLbs&#10;jwSztnur1YoxlmIFdto2iQfZz5N3ClxOHUtPwqKDgHPbNUYdMttI8RSJDI0iLGWG7qK7PUJvDJMu&#10;LOQTuoB3EhV4HTFOElI6FT5Ip9TjNZ09TNY6TbmNnjDBpkHDkdwe/WuRkBErRn7wOK7j+0Fjv5bT&#10;YjxxjzIHHBQY5FZPhSwTUvFu+RQ0MLNK4IyDzxUOSTHWp3ipdTnSAvAOfU0zPNei+I9D0y5neSGI&#10;QP6x8A/hXD32mSWmSGDp6ipjVjIwlSlHU0vC2qRWOpbbhyscq7M+lWfGeoW13cwRWyriPO6QfxVz&#10;CIzE4643Cpb6TfMpB42L/Kjl965N9C1Z2wug48+KMqMgSNjd7CrMujX8MZk8nzIx1eM7h+lZg+6K&#10;niuZoFIimdAwwQrYyK3MxmaN2KYTTS386QHU+CtN/tbxPZwMpaJW8yT6DmvdpDtibtx2rzv4VwWc&#10;WlXl2JYzes20rnlUA/rXZNK7zDy76FR1ZHHPHXmky0ixbweXMzs7M23GCelSO/NZ32yK1d0mv4mY&#10;kAIP4fxqWS5QgbGDZ7g1NyrNbkrTYPJ4qrPcbXVTzlhx60hlDdf1qjPIRfWvcCQD8DU3EbEYIADH&#10;nGSfeteyGYPoazEXJJNathyrCnYTL2C1heRgZ3QnArlNQt4dO0ua4uXBkK7UA7E/5JrrORazH1AX&#10;8yK868c6ghlTTlf94pDFfqrAfrS5U2NSaRzVx5N3pdvdXNos900UlwCW25XeFVT69am/sC9/6Bmn&#10;f+PVFp9zFd2NnHmPfbbEmVGztjj3Pkn3IFYP/CZ6h/z0NWQe4jPqaeCfU0zOBQrHNMomGaCxXnk0&#10;wbh0p4zigB4bjIOKTzV/vj86a0ZfvTVgQHpzTAl80YPNAmGe5oSNQORThGg6AZpAG/PRT+NG49MU&#10;8D2pfwpiIxvz0wKJJRGhLHpUuBjpWPr2qWukWUlzdthAMIv95vSjYe54Z8T9cn1fxJPbF28i2OxE&#10;9+5rz8rzXqEfhWfW9QnvrsmBZ3LnI5x1/CsbxN4NmsomurWIGADO5Dn865FWUpWRq4WRxcQCSK3o&#10;a9C0FPt8AUsdwH5156vNeg/Dt1u7o2bMBKBlQT1FTXjdXNKMrOx6J4P0dV1De6cx85Ir0SsGxiks&#10;MTBcpwJB3A9a6BgMAq25TWuHSUTOs23cYc0EkdqQnHWkL+nNdBiIdxOMYppx0GaUsSKTIoAYRg0j&#10;H6U8kd6jYAjB6HikBxer+E49Rvry4tdbuo7hwZPKjl4U/T0ryZrnWJC6SX8rgMVKSMW6eoNdfol+&#10;vhv4g3sF9P5cLFlZ3PAHUVg6xJaN4gvJbGVZbaSQsjL056iom7FpGKF1VVZElwjdVDgA1PbS63Yg&#10;+RO0QPXawrobGCGSEM0YLYx06+tLe20UMBkSPaRgkZ6day9oyuUy7fWNehdC927bztAIHJrols/E&#10;swUtdxqD71z9s4a4jXah+fowzivRoMeSmOuBUzrTj1BQizmm0XV5P9bqhA9FzSN4VllGX1OZuO1d&#10;QB3oPU9hjtWTrzfUfIjlB4RtgoMlxM57kGszxFo9lpehz3Kl/MA2plu5rtPLEabF6da4/wAcsr2V&#10;vaOxXzH3ZX2ohOUpJXG4pI4CG1uHhFxJMGUDdtY81p2Y4pt0qwW3lKf7qD1wOtSWgwBTxLNsMi+n&#10;Suh0f9/ouqWo5JiLAfhWHZwPdXMUEYy8jBR+NdhDo8/hm/ZL4g+YmBsOQa5aMZc3MjpqSVuVnk9l&#10;pl5qVwILOB5Xzj5RwPqa7y08PaZ4Xsjc6gyT35XIB6Rn2qvqPiL/AIRu6urfSLaMrPhvlH+rb3rj&#10;rq41LU5WkuTNKx7bTgV6dpTXkcHuwfmeg+Lre2l8GWM3lpvbbtbHPPvXGRxKiMQQCDx855rtvEVs&#10;8ngzS4SVVlVWKscZwOlcNGP3yvtXK9QT2rSilaxUpWZHNF5krEeY2DwA2QBXtnw5txY6Jp5B2iUs&#10;7e+a8XL/AOkTFAwZc5I57V61ZXs9p4f0I2rYdlU7vQClVtG1ikua6PSpyGxjmsnUpEigIlJXvgHB&#10;rF0Pxfe3SzzXEKCJcgSY4z6VzWv+Ip9QuGhtmLMTyw7VE6qtoSqEoStIztcub3WNXa2gmkFskZZ0&#10;ZyVAHtXE+LURdWVcAuIwGNdvHax6Z4cvtQDO8lzhQSOeDz+teaancyXV7JM/3mP5UqV29RVbFBkX&#10;6V1/wvm+zeOrNxHuyGH0461yWMc9/eu7+FMIfxTJcPgLDAxyexPFaydlcxjue3zDyrie72s2YwMC&#10;seOI20HkNKWUMZGDH7uexrXvrqGO3B3LkgbvYCuF1rxCuHgtRgueWAyTWFWppZHRTj1M3V5opNUT&#10;y/3bF8Ax8VhePr6T7FEhkJYuFz7CtDUbOeyhtbi4VlkaRX2t1APTNcZ4vvjc6oIQciEc/wC8amlF&#10;lVJaHqnwQjI0DUJMfenA/SvS2YqwjU8CuR+FmmnTvBNsWXDzkyn8eldYnzXB9a7DjKuovlEUHjJp&#10;nh0qI7mP0fdx70zVSI59oPCxkn61X8KSCQXkmfm3Ba57/vDa3uG/NPDE3zuFz0Fcbr03mTTmFw21&#10;MLXXTFVyzKA2Op9K4XxJdizjvL0DcseCn+19falW2sOitbnk011OfEG2UFXL7CD6E4rp7i6EeoyR&#10;oyMrHGSMjaP/ANVWIvDiXs1tqeoTRpLw+yMceoBq4llotg8kgjV3Zi5LHPJqY1lGNjdRfNd7HDGy&#10;1O61G7e1tJXDnaHxgfnXR+GNMl0Cyup7woJ5TgAHJAq5e+IoUXZGQB2Arn7zVzKpG/r71k5ykU7b&#10;sn1HUt7tg1y19emeTyg2R3pL+8wCitljWYpO7NbU6dtWc9WpfRFyB8GNu2SD9DWlZ2i3VjJIzAGD&#10;PBXO4VkRH91joc5q9aOyxzDJG4c1ozFFbng0uab2o960MwJ5ppOaU49ab1oA67w7pF/Hf2tzGw8t&#10;jyqMcsPSuzFpfKrSPay5GRyO2cmsn4Z29xc3AuZZGMUZ2op6ZHU/yr1OT5zz90dvWoa5jpp1fZrY&#10;87jtJZJmmu7d9wJc5B5GK3tKWM2CtECCTzkYyRW5czEIUjxz1NZ6sqnbjFRy2KqVudWsG9WG1uD6&#10;1j6lL5ZXDYZCGBrWmTjIxWBq6mSPOeR3BpNmSVzYuvFJjbba2e9cf6xjjP4VBba9qsk3mC48of3V&#10;XiseHJhT2AFWYjtGaxlUkdEaasdzpGs3V0nlXGJA74DKuMEAkk1znjbw+l5ZXurQuyXiJ5YPZkHJ&#10;FbHhuXZZJEB+9mdmGfTp/Q1p36COzELgEu5Jropu6OaorSPCdMTUFfzbKxneOVDDIgXh0PUZq/8A&#10;8IuP+fDUv++RXp2FQHaoVR0AGBUPmCtLkWOgAOOlOVTnkUD608UxihacBTRTh9KAHLSkDFIKXIzi&#10;gQq/SpBiovpTcP0LcH0pgT8UZFRKoU5yT9TS7gOAKAHSSRxxs7thVGSTXn9w0viHWGu7jizgyIIi&#10;Ov8AtV0viGSRrHyFyDKwT5evv+lYm/aDDBAXdRg9lX8a5MXPlhZdTajG7uPbKQlF2EtwQR2qOdre&#10;LR7lbhV2BCrVnTJqBm3o0Mffuax9STU5IbgyMskYX5lAwcVx0nY3lG549qUP2XVbiNBhQ5wPbtW5&#10;4SvRZ61a3O7BjbJ57UmuaW8kX2+MZIwrisW2uGt5VdkKnsSK7E+aJivckfVlldRX+niRGDCRDS+H&#10;L4yWVzZXWRPaNtJfqUPKmvLvAPjj94mnXMWW2bV2/wAfp+Nd9LcPY+L9PuLlRi+VoH4wGUH5Cfft&#10;UwbjqzRxUrxR0xYEUn+6KVgQxB7GkzXacg36mig00k0ABNMY8UpNMNAHBeNPDugSvdalqFyYbuSI&#10;+WC2AzAccd68ksH2M0XH3uDXuHjHwwPEtrbp56wNC5Jdh/Ca8Z1jTF0bX5bGOcTIOFkU9ayqIuLO&#10;l0tpAmYghAPzbj/KpL7z3gdWjHlgAblbuKpaFLuLjdjKg/lWvJHvV95PK/KNuMcVzvc06HKzP9kl&#10;hkBwu8cmvTLaUG3VguQQDgV5tf5jgjYhTiQA7hxXoViy/ZYiCPuDp9KmpshIniMmX3spwflwO1Pc&#10;gr6Upx14/wAaZI2MgDPpxWBZAzAopPXviuA8YT+brUMYBbykBx7nmu7b5WOe/evOdYuBLrtxKGII&#10;YhWxnGK3oL3iZvQx9RCvfCYLsaQZK9hjirVvworNmDjUZRJIZGBHOMVpQ9BU4nc6MPsdP4RltIPE&#10;dpNeyrHBG24s3r2rrfGF/b3t0txBKs0CYyytXmynioLvVpWtF06AEK0mWI/i9qrBzveDQYmNmpks&#10;2oWy6vLGAkSCXkkcH0roxJG1pLIMYCHGBjtXAXkEcEg/eES7gWQ/411BmLaQ5zhfLz9a9ejpGx50&#10;3zSubOuWcd94UieWcpJEgZHz3x0rg7SJYnV2VncnnJ61rf2ql7Fb2N2XjiT/AJar0J7A1m5WPUFi&#10;bDYcjKcq30rnppp6nW2rojEzfa7ooSgJ9Oler+GtWsr7QbeOVMyWibcDr9a8lilP2qdVIUM3G4V6&#10;n4e8KvN4QhuoXMdy7lwwGNw6AGprK8Rxkk9R/wBsn1nVIdHtozbW5Uv5ij5SvtXYQ6DpumWREUWX&#10;2/M7DJJrE8HaFPa6vNcyptIUjknAz1xXTa9dLY6a8jHIXnNc6StcU5OU7I5j7RDJqj2ioBFapyO2&#10;SM815fqOj20tzJMkzqXlPy44xntXdRX6zQ61dqoDZCqw/wB3/wCvXHugfyxzvzg13YOkpJtnPiJW&#10;djJbw+mMi4z/AMBrs9ISy0Hwg00YDXTuGdjwWwc7fpWM+1EAzwua6jwnZQ6hpN4ZoUk5whbtxV4y&#10;lGMLoWHk3LU6DT7LUvFNul5OWsrWTlY+rMK6Wx8NaVp4Xy7YPKOS8hyam0plOmwIvAVAuB7VYuJl&#10;hhY5wSOK4400tTdyexwPiqym1dL2SEjcsqrGT/s140llPda/9kkVvPkuNjA9ck177e+VbWUMPmLu&#10;Lb35rmptBjm8c+HNSiiAeaUrNjoSvQ1UVqKeqO+Os6N4ags9MvboWzCJUTcODx61ftLqC4T7TbSp&#10;LGc4dTkV5r8VtOurvV9L2Izee/lKByAa72w0tdF0G20uMk+WmGY8ZPU1s1oYXKt5N9q+0Mp5xtFV&#10;/Bu6K3vElBV/N3HP0qE6pa/armOORcQAKxz3rIh1/wAhluLvdHGWaOT046GuRu0rnWoc0Do9e1qC&#10;ygZ5JBtHQZ5Y15/res2+p6FKu8AuD8pPQ1SvJp/Eurs6BhbDhAO9ba+DrXyEe4DZUhht4qWnJgpK&#10;GhwB1nVYrdUmSQKi4BPpWe3iBpPvCQ/jXqOo2Ed5Z52oeMAgda8h1GxfT76SB14ySp9RU01FuzHU&#10;coq6JX1Ut0jP4mqklxJKSScfSmBSfSkbArdQSOdzbE9zS5pMikqiC/bgNFtPB7U8y+U0gX6A1EAC&#10;m7pgCoY33ysSeDzSW43sTdqSlpO+KsgMDvQPmYAd+KQjuasafEZr+CMD7zgfrSbshrc9s8C6ctlp&#10;KADBCDP1PJrppGAGST7AVmaCQunlRx8xxWg7bRnvSjsaS3KcsbzH7+1f7oHNQ/Y2xkvj61PJMCfv&#10;VC7K3XJqWIrXA8tCGkUj681hvH50wAbPNat4yKhwtUI/kDSYxisZs1ghkiLG20c4NQzS7ABSq3mS&#10;VJDZm9v44c4ByWPoBWVrs6L2RsQarFbJbqrYaONOfQ4z/Wt25vxfxxTJkbk6e/euSutDJlO0tlj6&#10;10ccawwpEvSNQo/CumnFo5JyUiOY7UwKqVYm6VXz71oyDqhT6iXPc04AEVQDjIq+/wBKNzsflGB7&#10;0gwOgpQ1MBwUk5Jp4wKYTQOnNICQGl3VHuHQU4D3oAdml60gxSg0CM7VbSS4MMseMxEkj14rmJ9Q&#10;a3vBYx2zyHZvkkHAGa7ZzmN/oa5PUEl+9CVDd8jrXn46+h00OpysOvXE08bAR4L7fswB8zrjH171&#10;qCS5N+Y7m0CR/d3A5znjmqH9qxxXSRGCNL0uQMjoPUmuiuIymkK8smZBIh+buM1nTg7Fzmrnnz6W&#10;Ea4gI3Ri8wF9sdKi1/R4J/DrWf2Im7iOYJYx19jXX2zRL4vaEgGMFnYH1bituXT7ecNFIMrnjHWt&#10;Y3TIbutTynwt4T1aG7t5VTMsEytKqnOABur2XXIF1vSdO1a34khmHB7DP+Iq74ctLTSBsgiG0k/e&#10;5PPXmrsOnCwt5LYYe3eRnQHsCc1pODmhQqcruW7uM4jm6CRRn61X7Vamk3aegbGVbAqkWA4Jrqh8&#10;KMHuOzTC1NLY96bkt04+tUIGYnpim9O+TT9p9DTSrZxtougM3XrN9R0S8tIyRJJGQhBxz2ryi3+G&#10;WrO3nXdzHAF+Yknca9nMZ9RTfIz95xg9ahuLKVz55+2pazSxxyxvtYgnOM1bt9QuZoyYIJplHBMb&#10;bgPrVLxpp0mmeJb+J7cRI8jPEFHBU9CK674MNCLXVFmKj50Iz9Kz5UVc5S8uN8LQywSqdwJ3jHFd&#10;1bajZW9hCJZlTYgzuPTiqfxZitVfTp7cKHbcrFe4rkLJo7jwzqpnAknVFKMeSOealwUgu0drN4v0&#10;gkqk+9lGcJzWPeeP4F3x2sLs4GdzDisX4WtaL44tvtkSywbW3q4yOlex+O5fD8vgnVEs7CCObysq&#10;6RgEc+tCoxFzM8Zm8Z6ncklGEY7BRWKZL6W4eVXc5bOCuRWh4Q0621fxBZ2N3IywyuNxXrj0r6lt&#10;YtBht44Y7KDaihRmIZ4q1G2wc3c+STBMtwzzBt7/ADHIxWjCOBzX1YbTQZ/v2Vqf96IUxtB8Nz8N&#10;p1kf+2YFY1KLmbQrqPQ+ZbW3NzcRQAgGVwgJPrXYeKNO8EadaRRTiU3kUYQJathmPqfevYJ/APha&#10;6HOlQA9cpwaz7j4VeF7hi5tpVc9xITTo0vZirVVUPnDUbzSZIlS20+UMBjfI/NWVJbw+S7MAAAB2&#10;r2fVPgdpV2ubS/mgftuUEVzetfCPXLHRvs9i0V5g5O3gkfQ12U5JMxstDykn5GCuSmBnjOKgXYNR&#10;hVtwCg8Vq6lpt/pEptr2CWBiRxImP1rHRt+qsXfG0bfSrbRswgzLevCgB3ttXdX0ppdqun6JZ2vQ&#10;RwKD+VfNlpO8OqLKqrIY3Djd04Ne1eH/ABvqmtRb30CV4ojiSa2OVX35rGb0Ikmd3Au1eMAYrA8W&#10;MDo9wGCkBc4PQ+1WrPxFo90n7nUId39122n8jWL4ilF5bSJHcRCPaS77xwP8ayErp3OQmBtPDspZ&#10;djXMgO3OcDFc6pOV9zzUjl4VlUzmWNjlF3ZCiq8L+ZKOMKK9XCx5aaOarLmlcZPKWDAYrrU1SXR/&#10;CCNbqDK8ffjLGuN4M7A845x61ZuL+9nuItPh/eCABiB2PWssVFzSRrQkoXZqaTqdzqV7JbrcvHKF&#10;DEbz174FaN1NcZ8lZLmTb1bca5jwwskviYNIBuIOeOldDOrRXDZmMaA9ADzVU0uWxnOT5jNmgeOd&#10;Xmmm2qwJDuTgZrbn+KEFtqltbadZxtHC+PtEw/iPcDsK5fUpvLjlOSc9ya47JeYn1PFctXR6GsHp&#10;qfTsWqpcTQXmpRRNDCBIjAdDjqKyvHXjBtL0We8s4mkcgKjYwqg9zTvC9vcW+gxTamElnigV1i/h&#10;C44z71z/AI+vJtWtI9Pe0it7VgzNsb5wyjqR6VKbtqVPlvoed6F4je0vbia+3TLcnc3PQ9qr67r8&#10;97cAxy4jU8J6/WsWNsqppspH40pQV7iVSVrHZeH/AIgy6ThZ9NgnUdxwa6e++K1le2DQwaXLDORg&#10;EuMCvJErrPAul2usa61peIWiMLH6HHWiMehLkzrYPFmnDSoVBYsqAEAd64jxHci/kkuFX5VxirV/&#10;4bmt9Qu49Od3ihJxu6kVg3seoWsjw3KSIcbWBHFZeytK5v7ZONimMEcEinbR65pqEgUv4VqYCUKM&#10;mg06IZkApAXVQm3YAdqqwr3NaMmbcKB1xzVPqc+tKBUhCSKMse9ITSEk8CrMx27t1rZ8Lx+fr9uC&#10;OFJb8hWMAAPeun8Fxf6dc3BHEcWAfc1E3aJpTV5I9g0T5rBSOOTV6RgeCM4qj4dw+kQOepz/ADq7&#10;cctnpVL4UEviZTlCuC3YdAKrGULxz+NW2GeVxkdR61DIiyLlR83cVLQjOup/kIA5rPmmPlY6Z61N&#10;qCyq3EZ+tZ8rkoN3HtXPM6KaJLdsEmtbQfmu55uyqFB/z9Kw0fbH7ntXSadC1pb+U64kBy4PrRSj&#10;d3CrKyNZvmwcU0nA96jifeuKkOGzXUcyK9w21ST2FZ32pat3qu4wvSs37NN/cqHuUjuRTxUeacDW&#10;gh4oGKbjtk04ADoKAFAJ7YpwApM0nmD6/SgB4pw+tQq2/kcU4qSuAxB9aBEm4DvSF8diaQelLigB&#10;sjny247VwEtjqJvLkxAxblI81myGJPBA+ld5cnZbtWI33jmvOxr95I6qGiZ51beHtbW8ieWdZVjb&#10;cxThmPofWu6udMlOmmZzH+6G51ySE7nFRXcckduxt5AszvtXIz7/AONWTcPNoWorcxlN8JQ89eOo&#10;NFFu2o6jvqcZpErXurXN/wDwyPtQ+wrr/OMOJJDhQu4k+lYGk22yKNI1wSQqgVcv7r7XqC2cRzFC&#10;RvYfxEdvwpvuLyOq0y4e4t1dhtJPH0rUv7iWO1iaMb2XPBPXisnTx5aQoerDdijU9VsY9UtLOSdf&#10;M+YsgPPat07R1MlG8tDbLNJYRFkwz/MV9Kj8gt944rPvrw3TIkU8tuo+6Ux+tCSzKir9pMxA5fGN&#10;1WqqSsL2b3NAJGvUZNBkVeeAKo+ZIf4jVPUku5rCVLZ8SkfLk96Odhyli812ztTteUbvQGsp/FAd&#10;iI4+OxJrhHttRtZm+2W8wc9WIJB/Gnpd4wNwBBqG2yrHYNr1w5PzhfYVA+pSSdZW/OubW56nNPF4&#10;QaAOZ+JTGS7tJ9xJKFDn2qb4YKFtr+bPO5Vx7Yqj4+ffb2bdwzDNO+Hk/l2d8P8AbX+VX9knqafx&#10;HJksrOYcqkhB9siuU0cM2k6oQcIsPP510fjW483QyCOkgIrmNHlP9l6jGoHzRc01sDWovgMGTxTC&#10;gYrlT0r2XUY1bQr2NgCDCwwfpXiXg6aSz8SQyoqs2CAGPHSvVW1me4tpYXthlkI+U57VSFZnnPgC&#10;UQ+L7Ikfxkc17/HfqS2D0rwXwjouqjxLbSrp10UWUkt5TYxzXtcGlatLxHYy8nqwxTTFY0l1DBzu&#10;zR/aXOeaW18I6pLzM8UQ9M5Na9r4NgjIa4uJJP8AZHAouIzI9SnaQLA7luyrya7GwNwbRDcgCXHN&#10;NtNMs7If6PAqH1xz+dXO1JsAppB5pGljT7zgVVk1CNR8nzUgKGv6TY6rYPb6lbRTxuMYZeR7g9q+&#10;Y/GXhuLQPEclrA5ktzhkY9QPQ/SvpW/v2aNiemK8Z8dWqXt4kw64K1nOfQ2pLU4e+0pltLe6UYDk&#10;ocDuK9h+CFwBp2paVKOdwkGe4IxXDLGs2iQIwyQ+T+Vdj8Ilb/hJr4gfKIefzrnoTct+5vXiktDi&#10;PHmh/wBka/cIgxiXIx6E5FcxeQTHIDPjHIya9a+K+lGTxEsyHiSIMw9xXBQWz3UD7o8MmVJJrYUb&#10;Sic7BdRx2KRb8MOuRUttcxiRf3o+hqjdQmC5kj/umolJVlPvXTHFzjZGDw8XqaBkVLkssw5PUdqs&#10;fbm81ZSwhVCcbV5PuTVGWIxneRwK3bKwFzaMwAZSvGaHipPWwKgtjX8MRJKyXsZDtIjK2aW/1C3s&#10;ndXgmE3YkbhmsjwfevaajPp8n8OWStLVXE/mMRwKx+sTi7Ir2MZLU5fV9RiljZfLId655eGBq7qL&#10;ZucdhVPvTc3LVk8qR7jpXiiy1vwZHF/aEdvqUEYVkJwSBx36155rM80F091LLLJHAfmTdkOx/pXN&#10;2jYkxTLy5uTm2eUmIHpWivIzasyEvukZsBdxJwO1MY80v3aa3WrZAqHkivQfhVFu127kP8Fua87V&#10;sODXdfDG78rxPJBnAmhZaS3Bne6baqwvJ2X/AFrkDjtXN3VxFdzyW8kS+YJBvyM8ggGuzYLb2+xT&#10;nbzXFapEsPiZZQMLcKG/HvVtaC6mjP4M0y43GSAA88rxWDceCNPVm2zzqR0Gc16WQuwnHXmuX1Zh&#10;Hv2/fY469Kl6IZ5/ceHIYXf9+5VeM+9V4bGOCRMAsxOOa3rwjyjzwBx7msqab7PGsu3dtPSsW2Wk&#10;VNR++friqRqS6vPtDgBcdyKruSFJNVBWQpbjfMGelPVsjhTVbPNWEcY4HAqiRSfUV2/he1a30Ge4&#10;k+Xzm+X3AriUKtKnmHClhnHYV2l1qTeVJbwrtggjAUfpUT7G9Fbs7zQPGnh8aXFbXFx9kmiGwhxw&#10;T6g1uQanpd2u+DVLZ89t4FfPjvksTUO8DlTgn04rXZGLep9HGNmG6J45PdWFV5yFHKkNXgcOo3sA&#10;xDeToPQSGtSLxdrkO3/T3cDgb+aloLnp2o3ciJhT83bIrDuJCz1k6Nr+q63cP56xmCNfmYDHPYVd&#10;aUtMU965J3vY6qe1zd8N2hvdWgYqDHG4PPQmt6aQyXM0hxlnJ4+ted6X4h1SfWLewtdsVskrB2Qc&#10;sB1Jru1eumEbI5qkuaRdtU3M2WxngGnzwtDgorSMegFQh5I0EcEe+VvmJPRamEE5G6a6cE/wpwBV&#10;iRny/wBpE5WBF/3jUO/Vv7kP51ptEqDJkc+xOajyvqfzqbFXN8yqvWnq6nkUwKpPQU/H6VQhTKB2&#10;P5UKzsRxx3pRThQABc9Sfzp+0AUmRQXA6mgBVB70+oDOgPXNN85nyFGPc0wLJYL1ppk9Bmq+/DYb&#10;nHcmgSA9DkUAFyXMRz0rIkB3kVqzklB9aoyIoO7cMj1ry8Wr1DppO0SldlYXt2ZiuW+8BntVfxMJ&#10;Lawtra3wLec5YA9MVaub1Y5PISIXE4xnj5Urmb7WI5NTnRTvQNjOeAe+KIy5I2Goc7G3WoGxtVS3&#10;VmuJBtUgfcHc/Wo9JlMe3dC55y3vUgubdPmJFRS6rCPuHmodRvY2VNLc6aPUJFvGuWYKu0Ki/wB0&#10;VajSzk3XqRxNMx5kxls1wcusO+VQE/Suek8V38JmihICbgAAepqoyk9w5I9D0661FHIjd8MeMBsU&#10;+3vhCtvGJzCSxUAjKuP8a8zsbu+1C6GJECj5nkPOD7VpLqt5EkkJm8yPflCR0FK9ncbjpY9XWVWA&#10;2kH8akzXl9vr90gA3mtCPxLcKoy5rRV0YOkz0IIrD5gCPeopNLsJzmS0hcnuVFchB4nm4y3HvVtf&#10;EznjdzT9vEXspG83h3SG+9Yx8+lRHwvpB/5dsD2Y1lr4kkz97ipB4lYDnGfpTVeAvZyJb7wHoGpR&#10;LHdWrOqnI/eEYp2neA/D+lI6WloyBzlsyE5qMeJ+PvAH0Iqs/i65VvljjI+lV7aIvZyNS58FaJqS&#10;eTPZeYp7FjWhpXwv8I2cB26ar7+vmOW/CsO38a+RbTSTxKGC8FauR+Pl2AR25x6k1pGrGxLhI6e1&#10;8E+FrFw0Gj2SMOh2DNasdnpluMR29umPRRXBS+LXuFJC7W9c1TbX5X+87Y+tHtYh7NnpontIh8rR&#10;rjsMUh1K1H/LQH6V5e2uy4wpAFMbWZmP+sI9hS9sg9kz059Wt16ZY1AddiA5Cr9WrzVtSmkx87fn&#10;SLcyE8k/nUuuh+yPQJfECgcSKPoKpS6+zjAcn8a5NJC3U1KpzSdZsfs0jfGpSyHB4FPWR2PLGsuA&#10;/LmriycZzQpNiaE1OYrbkZrzzXyGMeeuTXZ6lPuUj0riNbLfbbMBSVdmUnHtU3uzSmrMzbVgbQL/&#10;AHSa9F+D9kfJ1PUCMCSQRqfUDrXmzZs7O6ckMBnGPWvSPBPjHSNF8NWljcW95A4XdI7Q5Use+RUQ&#10;kqerLr6qyJ/iTBjUbSYj5HQr+Nea+asYugvHz5ru/HPiLTdZOnJYXSyncxZQMEceleasx8/UATwM&#10;GtYVFNXQoJqJymotvv5WB71DGhZ1z6ikmbfO7D+9UkeRgg9KUmUkdPqdgptNygABc1peGIkPh8yN&#10;gkErUF1JnRRJ6xineHJT/wAI0/8A10bNWI5tpms/FKTRjJY4x9a6S5R5bI5I3HriuVuZguvxMR91&#10;x/Ou7uoEKyMON3OPSpkCPL9RRlu2DDBqqK6LxDAglVuM1gsgC5Bq09DNrUWL74xTbokuGIxmnxA8&#10;NT5lDQtntzXRSMKm5VcHdxTTUqAsoJqOT5c46VrJaXM0RHiuo8BSbPGFif7xK/pXLZya9I0LSba0&#10;HhLUoABJcyyrMQepGMVnfUdjtb+QiNxuwPbrXK6u++2gnX78D5H0rc1GYFWBzmuYuZ8h4+Ardqu5&#10;Nj0eCRZtOhlByrRgg/hXJau371hnmtbw3def4ajUnLQlk/w/nWJqQPnMx/AUpDRz16cJjv6elY+o&#10;nFmF9WFaV0dznnms3VEIji+prE0RkjAb8KZK3GKfwCSagc5atOhD3EFSqfkIqMDvVySLZDG2OT1o&#10;EQseQOwrVGrJLbtFIrKxULuB64rIY80gPNJq5Sk1sW5TknrVfJDCpmyQKhPWrZBOp5pxJYhQMknA&#10;FRhuKfDIY542UjKuCM/Wk3oC3PSdPgh0rSI7dAN+3c59WPWqwdfMzye9YtxqUhknKSEjgDmqs2oP&#10;Erky4YJwPU1yKLudrkkja8GxQT3t1dIZS6E4wOPmPeu8hkiDo07qke4BixxXi9pqt7poU2dw8R6t&#10;t6H61tjxDqOp6bIl5KrRqQRhcEkev6V1o4j2t18vLRrkHuO1QSZI5JJ96818O+OrzTbNYr1TcRK2&#10;FYn5gP613lj4l0jVVHlXMYc/wyHaf1plFhkGOlQ/J61bnCiPKPx61QwfUVDYzpdw9aXzAO9VwRni&#10;mksWAUgDvVgW/M9KDLgZPFUSJmJKvjI6elKsEjD5pKALRuFPRxUck4IxjP1potU7kn8akFtEDnGf&#10;qaAI1nc8AZp6rM554HrUyqq9AKdjPQ0AMSAAfOd31qVVCjCikBxTgcigQjgMhFc7f6kUZ440DMRg&#10;Meg966I81SbSrV5d7Bgc5PNcmIouXvRNqc0tGcrrV4nhnw8syEvd3WUXPv1J+leexXMpGI1Y574r&#10;2HVNPtbvb5kSSiPhN652/SsR9FiMyqEAHsK4HLWx0wlZXORsdH1K9kUFCgbHLHsa6e28IPbs7S7X&#10;GQAWb8/61ct1Md1IP7oUflXSyRiSUxH+OPcPqDXRTimZ1KkjznU9OmU3UlrAAqEk49hVN9Csxo1o&#10;GbaZGV2cLywPbNem3Fsn9lXe1R8yh8AenWue0iwtZtELXML3DWzeWIg2M84Bq3D3ki6NVKLucTJ5&#10;cTeRDEsUacYXv7mq5FamvWf2PWJo8bQx3gegNZuMk1ySunqbXvqAGKnQZGPSohjFSx9qzYFuFOR6&#10;VcVQDmq0P5iriqeDWbAfGpz0pzJQnBFPPehCK7A0ztUx6VGMnitYiZS1QldLuCP7tW7EZtUPqBVb&#10;VVzpVz/uGrenc2MR/wBkVstiSyKWjFLigQYpwFJTxSAeo6VOhqJOalWmiWWY+lWFYBaqoelShuKa&#10;YmXoXwlSmbCZqismBih5flxnir5ibFa7mLE81b0IAySgqrZA+8KzZjmrOlT7HfnHFOm/eHJaGzc6&#10;Ppt4my4sYWU88DHP4UNols0SohkjVRgAHIH50+O4Vu+M1bVlwMsDXQ4RnuZXZy114Oae+gmjuY1W&#10;IknKcnNczrHhPVLK2v5lgMvmHCmPnj6V6nvU8ACnZVR/rM+uKI04xVkNVGj5WkJglMUoZJFOGVxg&#10;ipopEPRh+dfR+peH9D1mMrqFjFKT/Ftww/EVwmr/AAhs3k83SpyEJ5hl649jSdNMpVWcyx3eEo5D&#10;6EZo0ImPw1cOeAH/AKVW8SWuoeHzFo6wyNbucRIy/Nn2I61PGYrLw4NOuWaK6yXkWQYyfajlsWpp&#10;nH3Exa8aXP8AFmvR5JPNsIpR0aMH9K8xKSt8wCkHpXoWnytL4UtZGHzKCp/ClKOgoyTZy2uS+Y+3&#10;0rEYcVf1OYGY59aohkP8Q/GhXBtXETitOTT1e0MkO4gx55Pes047EGtXRJVklMLEH2rSE+UiUVIx&#10;Yzhc+tRTHcTU0qeVJIn91iP1pBbZsftDkgNJtUV1TkrI51F3Ku3ABr1rwhaG4+HkV+AWbTtSD4HO&#10;FIwa8ndQg4PNew/Dti3wl8TosqLICGQFsHIBNc83y2Y0ZV5qEsrPlWTnoRg1kPIzPXV21xba1pdv&#10;dbAWkT5j6HvWVdaciSHYMCtVFk3NPwddfu7y0J9HFU9WucXRjA71Dobmz1yPPCyAoaZfPG95ISec&#10;mlJ6DRlTHMhqrqYG2D3BNW7jiU49Khk8ua+skcjZ3zWLNIq7Obk4Jx0zxUQXJya3b60t5LiQwjAD&#10;HgdKqRWMbPhs4q1NMJU2jPUZkUAd60rvAtlPcniozZrHJuBJx2NaV5pErWttPwqSnYMHIBq/Mz8j&#10;nicmnRqXcADqallspIpSjEcHrWhp+n71ll3YMSbsetZymkrlxg2ytPHsbbVVq0b1eFYelZrVcZXV&#10;yZx5ZWJEOVFI1EJyD7UjHmqIFWV1GAxAPvSl2c5Y5PvUeaUdRU2Hcmbtn0rWiTytNjTuwyay2AOa&#10;2pcBY1/2RTQEMw2W6DtnmpIlDKPaorg7rdqZZSkxsPSn1Avf2nfWh/0e8mjA7B+PyqT/AISXWv8A&#10;n+f8hWbM2Tio8ipYH0IqqhPPXrUoKgU3aP4eKjcMxxg4HpVlE5lVc805ZARkHg9KqhCTjbn6mrCJ&#10;jGaALAIIzil/lUYNKWyOaBD9wx2pPMUd6YeB0pVA9BTAeG704MetN4xRxjjNIBxf0pCeKWKGSU7U&#10;Uk1PcWhtokLtlmPQVlWlamy4L3ilIoJC4qF4BndjoKnHM4HoKfIvy15NNXkdMnoYiQhZ5CRyea2W&#10;PzWs3vtP41SlTLbh1q0c/wBnk90Ib9a6aejZnPVF2JAYpVI4wwP5Vy2hh1/tC3aKVldgw2cY9811&#10;lqwZm/2lzVew2pc7MAb1Kmt3HmsRGfLdHC+O7CS2nsriQDM8Rzg56N/gRXJJgsRXpXxAg87QLKYj&#10;mCYoT6Aj/wCtXmmMNXJWjyyOqlLmjcfxipowAQah7VNH6Vzs1LkIwRV5OlUYhgir6HC4rNgSAAU0&#10;5FPwc0jdKEIjNRgd6laos1rETINQXfp84/6Zmn6S27T4SD/AKLrm1lHqhpmic6bCf9mtVsSzSFLS&#10;UtAhcZpwFNp4NAD14NSKaiBpwPNAiwjU/eMgVXVuc08tRcROG60hbI61CH5p26i4EM54xWfJdm2d&#10;ecbjV2dvlNc/qEu+7jQclRmqiwOltNQZsc5rYhu2YDIP5VxltczIBtcjHpWzbX11jmeTHs1bRnYh&#10;xOmUswyFbJ9qlRJCTgNz6isJLycj/XSn/gZqQSSP1mk/76rT2hPKb6wyrxg/jSYlTrtH1YVgNuA+&#10;+xPuaZs3dMn8aXtA5TavLa11GHybwQuvYlhlT6g9q8r+I+iSWK2hSRbhGJCTk8j/AGWrudpHBAqt&#10;qGnwahamCYBlPY9j6ihVLhynj9ho15f3MUSYjgLBTKwwBXT3dpJoFk6hpptO2YBYdH7n6VXmvI9O&#10;1GWzv5pjOnCnYAjL29KW88W3ElubUWgdWG0GRwR+ma2s2haI5Ce4gkmYxbmXqcioHkVuDHn6irUm&#10;m3KSmSNSQx3FFXCinfZ5c/OAPwquXsZuV9SlDBbzl900cLgZAbIB/EVq6farqH2eHTLfbexsQ8wf&#10;CY9STXXD4d6Xe+F11C1u2ur0qGMaMAPcVZ03RtH03Sbue40xoLdxt/fyncfXABoULhz2PMr23eGa&#10;5EnLIxBIOQTntUpmWTR1iwgER4G75uepxUet3dpPqR/s+BorccbS27cacvkQaTKZocXLnauTjj1q&#10;qjvYUWZhVnYk8Cu60b+xIvA0sl1M8d05dVCMcse3ArhHcBcDqetWogfsG/zFIDY2d/rUTgpAnY7r&#10;QRPF4ZtZYod0O9vNZTk5q5c6hDH8uMkis/wTq0sOh6jaoQHQ70zzgGofs1xcSedJubcclj3rfbYz&#10;LKXK/ao5UJO1s4I6VefSkZ2kEpGfmOazZQsKoB1zzXQ+JbcWWlW12jBfMRVZc85xUtX3Gclcupuy&#10;inI9arXaFJbfJ6kikjyzlz1NS6gD5VsyjO0k1gzWO5BKpgaRPektWUsVPVqfPh5Syt97B5qPywjK&#10;wrJM6HqNnQqxU9q6a4QL4Ft5DwftA2H8OaxLuPzI45V/iGD9a6LWFePwZo8cilWZ3JHYgdDXUneN&#10;zjmrTRylxCZCkuPvDOam0wEySx/342H6VaMGLJCfSo9L4vkA6HIrmkzsj0KFzzbjINZD9fateZi0&#10;TAk4B7VkzMu44BzW1H4TCv8AEELYfB78U5+tQo3zqferMidy34Vp0MCHNKnLj60zNSQf60elIC2g&#10;Bb5unetKdvnX0xVCIOJwjKM5q1K2TREpis2YT6mobM4aUfSkZzsxmooX2T8fxcU2IsSt81R5FNc5&#10;JqP5vQ0gPo1Xx0qQPgZNRKPWngCrKHbweQKcGYnpTO/NOFADwTnGaXmmA+lOB9aAH8UuQMVHk0wu&#10;2OO3vQBZyAOangjV/mkban86qRgvyelXI0TuD+NZup0RVi4l1DENsWQB6LVe+uPOEYG7jPUVIOFw&#10;gAqvdqQiknvXPXbdNlQ+IqpzcN9KlbpVaN/9MYZ7A1aPIxXBR+I2nsZ7nDn0zV6EB4ZE/vKazZj+&#10;+I96vWh5FdcNzOWxZsWw6j2xVYMY75eex/nU8OVmWql0dmqAelbrYy6i+LIPP8L6goGSm2Ufgf8A&#10;69eRnk17bcQi702eE8iWBkP5V4czbXKnscVzYlapnTh3o0SKKnj4qsrdc1NG/I71xs6TQj7VZQ8V&#10;QikGRVtHrNgW0J6mlLdqgXk5LGn5FCEKx61DnFPLcVGTWsRDZsGCT/dNR6If+JdF9Ke5zE30qHRD&#10;ixAz0J/nWi2EzVzThTKdmgkWnA1Huo3UBYlBpwYZqDfSeaBQFizvpd9VPOFMa4ABOelILF7fQZVU&#10;dazHv0Xvk+1V3upp/lVSo9aaCxevL1Io9o5Y9AKy4IHkkaST7zVYitTnLZJPrWhDaNgMF49atIRF&#10;Db1oww4UHFSQ2pA5q0qKBirSJbGKMDoKkBOKeig/w4FSlRwABVWJIVBPOOKkAXGcjPpUmFAwaiZV&#10;zwRQAbGb0qN0ZVPHNOPHQ1UvLsQRMWbGBQByuuaYNTvjJGAGQbSD3rCl0G4j6RHA9KvX14XvGJuH&#10;iYc7lGc/WiPUL4YCXMMw/wBo4P61opVl8OxDUL6mLJYXEHZ1/Oot0ysN+XXPIPOa6X+1bhR/pFlk&#10;eqc1Gb/S5uJIjG3utUsRNfFEXs09ma8Gt+DrjTVtrdm0m+AH70KVYMO+e9c74mj/ALRJabxIk64A&#10;wkWM/katGw0245jlUZ96pX+gS/Z2a1IkYfwjHNCxEG9dCXSZyraTYR5PnzyEdMKFBqjdb2Y7gFA+&#10;6orTm0/VVyptZR/2zNZsmmaiTlreX/vnFaqce5PKzNbBJwgFXo4idOJVvmVvmHrTTp1wvJgkzU0E&#10;Myo8bxFQ3dqvcRY8PXM0WpPHEAGkjK49a6uD7dJsMshWMZAAHXFcXZ77S/imIw0bhue9drqN/usk&#10;lgBeJhncH6E9qtNJXYrNvQpeY11qFvCvRnGSfSn6xqEuqXzPI/7pDtjQHgAdKj0Ex3OqbXX+Bvlz&#10;k9K1J9HtI8yK5VfRjU2cloGzMRVH4CtGLS7i/hhMSFsEnFU5WRpdkXTOAavXOsajo8Ciw2AOhHzD&#10;kH1FYyTtoWmrleOwur6wdY4CTAzKx285B5FY5c7RW94a8W3+nfuJLBrlMkthTk56nis3Wgj6hJcQ&#10;wNBFOd6oTnHr+tZWa0ZrGSZNb7JbNUeZIvnGGfOK3vFt1KbfT7WYxF403ZiORgjj6Vi6eA9qJOds&#10;Dh3AGSV78Vo+I2+2XaXsWxopUX7owQOwI7cVtCVo2MqmtQzruYJbInfbVfSzi58xuiAscfSmagfm&#10;Ue1TWS+Vau+Dl/lGB+dYnQ3ZGb5kYyGcrnsykVmzv87DAxk4IrpiVyMjP1rl7rP2iT2Y8VvTVjnn&#10;Jy3K+asO5ZF9Mdarkc09MtkelaGQU6PO8YOKaylcZ7+lIM9qQzsNW0S90prGW98rFzEZIWjOQy/5&#10;NZBOc1autautWt9LhnPFnbGBB7Zzn681UPCsT0FKOw5EbGok5YfWhmyKbEf3oHvTJJlOZPXmpNw/&#10;un86gGRKR707mgD6KBb0zShm9Biqtzf2tmu65uYov+ujgfpWXceLNNtpNjNIxIypVDg/QmqcktzS&#10;x0APrTs8Vxlx44BBW1tSp7NKf6VRbxFeXSlZ53Cg/egO3H1FFxHezXUNsu+eZI1/2jisyXxNYrG7&#10;Q752U8KgwT+dcjFJKeYZluR/zzk+9j8aPMtXbEitBJ3B5ArF1JReq0LsmaF143vQSILCMEdQzEsP&#10;w4roNAa/vLZZ72QhpRkR7cbRXM21q8txEJAk0Oc7jg4A56/hXfaeuVU5zxUyq30Q1GxdhjCCraqS&#10;OwoRGbgLgVMqbepzTSExqR+vNR3sJa1YqOV+arPGOBzSggghu4waco80WhJ2dzmS2y+jPZ1I/KtF&#10;OWHvWZqCNA27+KJ/0q/E+VVgeMcV5UfdkdL1RlXp2X7p6DNXLOToap61+71WN/4ZYxTrSTbJtNdS&#10;dpmdvdNzZ8wYVmap8mpqexUGtKNsYzyDVLXE2yW0g7grXU9jFbmpYvujwe3NeH61Etpr19bEgeXM&#10;wx7Z4r2bTJQHVSfvDFYXiPw7a3uoyyS28blwDkjnpWdePNHQ0oy5ZHlayEk81MjnpXQ3PgYMxa3l&#10;ki9s5H61nv4S1WE/I8UgHrkVwODOtTRXR+auRSHaKrnRdWhOWtw2P7rZpUt76PIe1lH0GazcWVdF&#10;5ZB17U7zRjiqRaccfZ5R/wABpw89gMW8uP8AdpJMLlky1GZBUBW5xxbS/wDfNM+z3zH5bSU/hWkU&#10;K6LLSKUP0qvocmbQ98Of51FLb6lGhZrGfaB1C5pvhe1vb2ydo4tqCRvmfjvWqi7EOSN3zO9NaYDv&#10;VgaJeOOZlBHoKYdAnP3rn8lo5GLnRXM6jvTTcqB94VdXw2MjdLK344qxH4ahDcoW+pJo5GHOjEa9&#10;TJAYZoWaaUfu4nb3xiuoj0KKMZWNB+FSf2WFPQU/ZsXOcsLa7frhR+dOXTJCfmYtmupGnAVIthzx&#10;T5Bc5zkenheiZq0tmxwNuBW79kAOD0p32PnjmqUBcxlx2PAzjiraQhBgLmrv2YoAGzT0jAODgj3q&#10;uUVymsYXtgU/Yc9M1a8oA5GCPekby15wVPtTsFyAYB5FPLIF7j0oacdAF+tQs69zk0rgGVxknNNY&#10;p1qvJconUis681eKFSAwz6UrjsXrm7jhQkt0rktb1USRsVbK/wAHuaqX+sGVzuOF/ujvXPX94TFn&#10;8lFC1DYtxx/aF3NuJ9VOaU2jD7sg+jDFYkGolCN64I9Rg1sW2qhgAztj0OG/nXZBtKxzy1ZKI7uI&#10;ZXdj/YP+FMNzMD843D0dQavxXUMg5WPPqMqf61ZISQA/O34B/wD69XddUSZBmgb71ugPqh2mnI0Y&#10;/wBXczxH35FX2toJDgeUT6Alf0NQSaaQMqJFHqBx+lS4wY7yQ1Lm9T/V3cUo9GOD+tSnUrpR++si&#10;w9VGRVJrSVfuuje3Q1ETdwnIV1x3U1Dw8GUqjRoC9sbhtsluVY+orM1aG1dF+yuEZTk5FNnu7maP&#10;a7BsEHDj09xzSgaVOCbi3vI3I58mYMv6jNXSoRg73FKbZgyWsZy0ko39iKrktBjyJ3x3HUVs3FjY&#10;eZm2jlYf9PD/AOFTw2VrwWtrZvYOf61pOaeliYx6lLw9NLFqq3UPzSRHefp3rp/EGq6Pd4khvRkc&#10;vFGDwaxbgzRxFba0WBMcsgH9K5z7I7TBcNvY9TRBtqwpW3OghmjB82DEiY4qC8uLy6fdKqELwqg9&#10;BU9rpka2rFlKKgBZx2ycc1XurS3ihMvnMVHXHNZSqKMuVlKPMrovaN4ivdFBWC2A3HJcMM/rVrV9&#10;aGuxxGS3jSZCSWXAJB+hrmrWD7dMUh4AGWZuMVBeRSaZcZVyQfut6+xobT0HFW946HT5TbyZx8rA&#10;qQa12ifYMRsEA+XKnGK4Q39zeERLkAnkCuzg1G4i0gJPcRyqFCjYf51lytI0fvyujJuFNzfrDGu5&#10;iwUD1ro4rWwjjSKVxuj+VhnHPesXSLf7TczTNJs2jhu+T/k10Fvpum5zcMJAfcitKcerM60+g4jQ&#10;YhummCj8/wCVeb6i0Z1G5MBzEZG2H2zxXrcOm+FVA8yBj9Hz/OvKNZ8gazefZVKwCZhGD2XPFa2M&#10;Uyi1EfPXpSHPelj70DHt9abnmgnikB5pAdQLO4k8K6dex2UhggmlWW4VeATtwCaz5iFUrnv0Fej6&#10;DFJqvwxh8P2qBpJjJM+TjJ/h/UVweuaRfaHcm11CIRzhQxwcgg+hqVNN2K5Xa7MpjgYqOM4mX605&#10;z8pNRqcSKfcVQi1jE+Tk5p2f+mbUTO7SfIp4PWm+fN7UAdMRBcyb2ciU9fMJbP49asJNc2ibCN8J&#10;/gcbkP0qq0HPy5z6dDQs00Jxyyd1ocU9y0y6r2k5wCbV/wC63zRn+opHhnt8MwKr/C4O5T9CKhHk&#10;Tjp5Te3K/lT0a5tATFIRH328ofrUcrjsO6e5Is/IMi89mHH69KvR3rMwSTbOoHRxhh9D1ql51rMv&#10;72MwOf44RlT9V/wpxtJVTfCUnQfxQnOPqvUUKf8AMDj2NzS2g+3IYpXi3ZVo375GOo616LorK8A6&#10;DHH4145b3jxTo5IYA8n0rvtJ1J1AYOf9oZ6+9c1aShNPoawV42PQB0+9+VPBFYdrqPmEDNa0bhhw&#10;a1hNS2IcbE2cninBc/8A16RQO9TADHArQkw9Yg/eZ42yLg/UVn6ZMTAYmPzxHB+lb2pxb7NmHVDu&#10;rm1Hk6isg4WQYP1rzcRHlqXOiDuh2vIWtIJx1ibBPtVSGQEI4NbckK3NpLCf414+vaubsyVLQt95&#10;TiqvdJiXY6m2cSQg0mrp5mmh+8bA1W0qXOYzWpLF5ltLEedy8V2wfNE55KzMi0k2qrDsa3poknSO&#10;XGciuZt2ITae1dLpcgls9pPKmrj2DqV2tcn7v4VH9lVuDGRWuy4/wxQEZuwqXBFcxhtpatzgflUb&#10;aPGR0FdF5WO1MMQzS9kh87Od/sWL+6KBo0f9wflXReWvpQIwecUeyiHOzAGjR9kH5VMukoo+7+lb&#10;gjXHJpwjGOnFHs4i52c/dWSx2kzbfuoT09qyNE0tLfTIgFHzDd+ddbqMJbTp8dWwg/GqSQCJFQcB&#10;RjFDgg5mUPsYHQUv2JCeeK0doFIVX0qeULmf9kT60C0HfpV7YKbjFKw7lU24A6U0wr3HNW+tRsi0&#10;WGVTCD0pPKYc8VYOFphfHoaVkO5EYwGz2PQ+lBwDx1pWbJxTGYUhkm7K8nI9KhfGOBio3lC1BJcK&#10;ozkUmwsSO5UdageX5c5xWddapHECC361h3WvbidmT7CobLSOjknReSazLzVoolzvH51zFzrblSDL&#10;g+g5NYlzqLyN8pP1NLcdjorvW2Y5L7V/X8qwrnUnkJ2ZGf4j1rOkkbflmJz3qtLdCFSx5x2qlG4N&#10;ktxcCNdztgdzWHPetczZI+QcKM9Kjubmad90gKr2XtUQb1UVvGKRhKVy5FMRwHZfY8irsM4zjZG/&#10;0O01nII25yR9eamSPJ4IP0NVYk3IZ0BGTLH74yP6VehYnlJ429t2D+RrCiMqYALL7Grkcsh4ZFb8&#10;K0XkI3Gup4wPMD+2RkfrQuoKD93aT/cJX/61Zcc+z7pkj/3WqZZWb+OKT2dcGm79haGmL1X4L59n&#10;UN+o5pQ0bDhVz/0zkx+hrLO08tAyn+9G2R+tINjfcugD6SKR+vIpWQ7s05IYm++xBx/y1jz+oqs9&#10;gjjChW/3H/oaiX7Qg+Qlh6xnP8qPtYBxIgJH94A09ejF6kT2BHdl+qmq7Wko6FW+laH25OmXX/df&#10;+ho86Nh95SP9uP8AqKLy6hoZzH7LavNcNsXIULu5/KqwDyhWhgeTPKkL/Wtae0tbyPbJAsg7bHB/&#10;Q1VGiWUZ+VpF/wBiTIFV7RrSwuUpz389rbf2cAj+b88oVs4PYZFWLKWxjjPmRyRSsu1iU8xD74yC&#10;DVldIi/5ZQLj/pk2f0pp0vH99P8AeWofKyldGTbWBtLkypfxlGyOIznH0qhq1vKZ1IkeRD/FIAvP&#10;sK6B7F4/m3Kw9jn/AAqz9k064tVje5t9/Xy5/wB06nvgnhqlxs7lJ30MrQNBjurKaSe4Ebk4UI/K&#10;+5HpWQzzW140CSBwrbQR0atW50e+tZB9khMyOuMrIrbT9Qf51Ne+HbuLTYJpoTLcTcKqtuZMew4F&#10;NITdtDR8M2txd2143mwlFA3KDhlbOMAdzzWj/Zsr/wCrkZs1c+HCNoJnfUNLwzEeXJxvxjnn0rob&#10;fTIkYvbX6AZJCyDGPasqkJ390Iyi90cidE1HYzmNtigsT7V57czb55HzksxNey6x4m/siK4tLp7W&#10;e3lt3UbHBYsBshBN72MbT+deLOg3HHFVR57PnFLl6EWSxyTUsfQ1GwC8VftUtxo93LLnz/MRYufr&#10;n+la3IKhpEG58UjMDVnTraW8vobeEEySMFFDdkCR9D+EdEWz0PTGIG8Qq4K9QTzz+dcz8abaMW+l&#10;6hsxK2+BiO4GCP5mp1m1OC0WKfU5o4Y1HMTBeAPaqXiHTJdc8NlI72S4dW8yIPJu5HX6ZFccFaXN&#10;c6G9LHkeS5pZBjFWVtxFkseVOCPQ1WlOWNdhzlyOUPCD045qPd71Eku2BQOuTmm+Z/sigZ3gNvcY&#10;CgQt6Mcofoe1RyWrxkCQfQk9foe9QqAozwue45U1ZiuHhXa2Nh7EbkP+FNDK3k4boc+h601HlhbK&#10;sfStIi3mAGfJbsr8qfoe1QXELxcSAkds9D9DTAr+fDJw4Mb55Zf8KaRJEfNhfhf44+o+o61DLtzg&#10;cH0PWqkkzRn5CRipduoy9NqaT/8AH3EJG6CaM7X/AB7Guh8P6nFKBEk5d1HcYIriJbtHP71ef7y8&#10;H/69R211LZXSXVs4ZlPToSPQiuWtSU1oa052ep7RBd7SDnB9R0rbs9WCqAxwfWvOtG8Qw6lGMHEg&#10;+8h6g1tpcMpyjceh6V5qqTpOzOjlUj0W3v4pQORV9JlYfKRXm0OptHzypHp0rTtddcYywb05rshi&#10;09zKVF9DuSqyxsjAEMMVyVzEVLIfvI3H4Vai19e/FV57hLiYyIevJqcROM1dBCLi9SxBLuQMOtYe&#10;rQm01BLhRiObnjse9aludrFe3WnX9sL2xkh/5aL8yH3qKTurMJaO5Rt5/LlWQdO9dZEwliWQVwdl&#10;KXjKNww4xXVaJdbl8pj7V1UJWfKzOqupRnj8m9lTtnIrR0efZMVzweKi1mHZcxyD+IYqCxfbcV0b&#10;Mz6HYJEoXp+NOIQCq0M+6AHv708NnqcCqAeZMA4FMIyMkUmQOpqRGTHzEfSgBgjU9qcIsdAak3oT&#10;94CjzFB5agBpTA6Emm5PQ5oeRXyNx+gqGSaONcbsmk2A+4OLMA93zWYx61evTnyogeAmfxrPPy9e&#10;lJjQmfWmF6GHemFhnrUDFLGjdTGkRc5YVE93Cv8AGKkZNuzxUbtiqcupQR5JcfnWbc+IrWPOZU/7&#10;6qXJIpRZsM1RO49a5W58W265KSAj2GazZfF4P3A5/Soc0UoM7OWcLyzfrVC61aKL+Ln2ribjxJcT&#10;A4VR7sxNZ0+p3Eh/1pH+7xUud9ilA7G710KCVOP97isK68Qs+cTfglc48u5yzEk+5zUJkOTU6sqy&#10;Ro3GpvIxAJx7mqT3DsMFqrM/FQNcBR1yfaqURXJmk5OTzVSSTDZpGdm5xinQRbm3t0FaKJLY92Ij&#10;3NwSOBWJfzbmEYPPU81oX9ysYZmPHYVhF3kcucHNaxiZyZKjuo6kCpA4b7yKfccVArD0IPtTxyOq&#10;k+/FVYhMtRrCeNzIferC27H7jK/0OKpxghedw+oyKmjU7vlwf904qLMrQvRtNDwwdR79Kvw3AOC0&#10;asPXpVK3uJY8ASHHowrShkifDTWynP8AFHx/KqUpLoJpEqmNxxuQep5p4tQ4+R0b8cGpY4LSY4jn&#10;ZG9HXP6jFSHTLjkxhJAO6Hn8uDWiqLqS4sptbyRc/OvvimEy99rfUVcxNAcHfH7Higy5P7yONx9M&#10;H9KtNPYlmexAPMTKfVTUgnkZdvnbh2Eq5q0TanjDoT68imNFEeI2Riex4NFkF2RBNw+aBG943xTR&#10;FCDhjJEf9pc0PbyqM7CPeo9s44EmR6GlyjuWfLA+5PFJ7E4P6077VLCv3JAv5j/Cqnlr/wAtIgT7&#10;cfyqWIpHyjSRn60ai0J0vw4z5Ct74x/KrKXE0n+rdkHpu3fzqASscbjDL/vAA/nwac1xCpG+CSP3&#10;Rs/of8anfdD9C4tibj5pZ4iTx8yFT+Yqyvh+xcD7Qsjr6IQwrKF2mP3V0F9nBX/GkN1cr84w4H8S&#10;kH+VJqI9Tfi0vQ7ZsR29vu9JYypq0ZYEULFbLgDjymBH5Vyh1eVeHZ8ejcj8jTDq3cIgb+8AVP6U&#10;JNbMTSZdu/FWn27sscshYHlVWsq58aOeIIzk93P+FVpbHS76VpJ2ubWVzlnjAkQn1x1FUrjQ7JFz&#10;DqyufR4ipq7sXKU7zVJr24MtxIZG7dgPwqi5XORVs6ai8tdLj/ZUmpE0mGUZW+jJ9CuKnmQ7GY23&#10;PBzVnASCNM5J+Yj0q3JopiIP2hCvcnjFVJowr7AwbaMbgODTTQmiFnUHAFavh6doNRDxn98QQv8A&#10;9ashhtbpV7S/+PoSY+5zkUpK6sC0PTdM0PXfElpcyRDyLOBC0s8uQDx0Hqa5+0e+0qVooL5fLB+5&#10;KMgfQ9q6S3+Iuqf2HFpMSwwW6JsJRMF/qayZryO5XbLbwv3zjBz+FYKlbY19p3OZ1dSbuef5P3xD&#10;4jPGe9ZEwwR710mqwW6xI0MTI2eQTkYrm52y59q3Wxk9xiFT8rZxntUm2L1aoo+JUx61qbPZaaQj&#10;uH0yK4PmWMvkyHrE5+U/Q9vxrOmhltZNk8Zgk9xlWpEmuLYKxbzIezqeP/rfjWrBqcNzF5E6CSPH&#10;3G6j3B7VzXqUvNG9oy8mYpJUEn5GPccqaRb2SHK7htPUdUP+FadxpqupawlDDqYZOv4etYko8tmT&#10;HlNnlHHGa2jVjPYhwaHyPBMMD9055wxyp+hqhcb4jhl47Bun4GkkbHy/dOehHBqubhoyVPQ/wtyD&#10;SkwSIJACf6Gqz7l56VcbypOn7snoDyv4Gq00bIMMOO2en51KGMivZYZVkViHU5DDgiuu0vxohVYr&#10;9SD08xR/MVxbAfT61EwINROlGe5UZuOx7HbX0F1GJLeVZFPdTU4mrxux1GbTrtJo3PB5APUV6DY6&#10;q1zGjId4YZ5rz6uHcNUdMKikdOt0VxhiPxrR068IulVmyr8VywuWPbkVNFqHlOpzyDkVjZo0dmeg&#10;AlWBq3v27XHasYFyFcseQDgmrqN5kBXPIrWGjMWtDM1OEWeoiZGHlTfMOehq9ZTmOVZFPB681DeW&#10;g1Cxe2ziRfmjPoa5/TNRCTG3uQVcHBzXVHe6M7XVj0i8K3WnrIpBZecVRh4wcc0zSrjyx5THMbdD&#10;Vjy/LdlPY8V3Rd1cwatoTS3htbbzB0B5qi3iNFz86ge7j/GrM0X2i1lgxkupAHv2rz+7LRMyMCrq&#10;cEelZ1G1sVBJnYv4phRcedHn/ez/ACqu3jKBThd7/Rf8cVwks5qo059awdSRqoI9Afxkf4UJ+rAf&#10;41H/AMJkT97aPo2a86a4I70w3FRzzL5Eegy+MJMHYyis6TxZceZ/rFx3P+Fcf9owaa83HXtUuch8&#10;iPSF8bIxTILsI+QD0qtJ42dc4hX8Wrzq3vCLyb/rmMfnUjTEjJNU5zEoROyuPGl433Ni/hWZL4s1&#10;NzxPj6AVzjS+9RmXDdajmk+pajFGzNr9/MfnupPzqnJqE7D5pnP/AAKs8yZzTCxpWYaFxrl2HzOx&#10;+pqCSc54NQNJtHWoHnRRywpqIXLLTEjFMEhPeqL3qDgZP0qI3zfwp+dUosXMaRc45qNpR61nNcTN&#10;xkAewqLDN1YmqURXNBrhEBywzVd7stwi/iagEdTLGBVJIm4355D8zZ9qeqAdqeFAFHWqJFVNx9qb&#10;fXcVrEFJ/AdSahutQWGPZCu9z37CsOQSSyGSRizH1rSMTNsSWVriXc5I9B6Uqx57BvpQFI7flTwF&#10;PfBqyRQCOM/gwp6xbv4PxXmhS3Tdke9TJtHJUj3U0mAqR7fuyD6HipgrZG6PPvj+tCYbADK3swqe&#10;NGQ5AeP3U5FJDJIQo+67L7HkVejTuFRv9w4P5VBGm4dI3+vympfIjU/Nvi/3hkVokSWllVTtZj9J&#10;Fz+tSrIwJ2Kw94nyPyNQIk2zEciSr6Zz+hpu9QcSw7G/2SRVcorl5NSuF+UTqy+kgxTjPDKC01mB&#10;/tR8fqKpCRSMCU+wkXcKcEY/MsY+sTY/So9miuZlnybOX/V3DJ/suA368Gk/s+X+Bo5R6K3P5HFV&#10;TJk4d8n+7In9etKCQPkVvrG+f0o5ZLZhdPoSMstuSHWSM/7QIpftLEAOVcf7S5/Wlj1CaL5Vn/4C&#10;4IpXu4pATNaKf9uLr+lHNJdAshomtyMmJlI7qc00tG4ysi/8CGKTbZzHKXDxn0YBv8Ka1jIeY5Ip&#10;B/vYP6/401UXUTgyOSFsbguR6qciq7B1J2sRUksU0By6SIfUg4/OkFxIR8xDj/a5q009hWZCZZcf&#10;Mqt+FRmRc8oy/wC6as+ZGfvR8/7JpCsT9JMezCiwiIXDrwk5x6MKTfu+9Aje6cfyp7WxYcFW/wB0&#10;1C0Ow9wfQ0uVDuBMJPWSM+hAYf0NKFZvuSo3tuwf1ppMigAkMPfmoyy/xR/lRYLkrLLH95GX8xS+&#10;buXDAN/vKD+tRJKE+5K6e1P8126iKQe4wf6UagJIbQRs0kS4H90kVjGVctlSufQ1pXFndXWDDbna&#10;O27v+NZEgMchRwVcHBB4IoECtiTJUMOeD3rotGsIpLWe4EvlKACocdcdRWTYaZc30yokbKpPMjDA&#10;A/rWtczrFILO14hiAUt/ePeok+g0jSSENjY0TgehwakWJu6OuT25rOjdyACo/EYrVs8qAcsvurZ/&#10;Q0veHoR3dunklmk+VR3BFcXJ9459a9HuGin06eOSVWG3DBlwfpXCahpv2O48vcSpG5WNUr9SWUl4&#10;ZD71obz61Q8vLhcjJOBWh9mP9+qQjqtLObyJT91shh2I96qT/JcMF+UBzwOKKKT2LW5pxk7l57D+&#10;VS64qtpsEjKC+SNxHOPrRRXnw/inTL4Dk25gfPYjHtVNefMB6YziiiutmCEj/wBa47belNtSSWUk&#10;kelFFIZWk6yDsOlR/wAL+w4ooqkSQP0/Cuk8NM32RfmP3j3oorGv8JrT+I6y2J3HmpJxkHNFFef1&#10;OlHf/wDLrH/uj+VT2x5/Ciin1IYo4nH1rkPEwC63KVAHAPFFFdVP4TPqdP4fZm01CzEn3NdLJ0Q/&#10;7NFFdlIxnuLD6981xPjAAazLgAZVSfc4oooqbChucu/8VUn+6aKK5TdFZ+pqE0UVJaEpH60UVI0V&#10;YP8Aj9m/3BVlvu0UU2CGH7tJ/CaKKkYw9KryMfU0UVSEZ87tu+8fzqEc9aKK0iQSCjvRRTYIcKcK&#10;KKQEi9qkHWiimJg3SsrVnZYQAxAJ5waKKcdyWZasQwIJrTcfulPfHWiitzIgNR9UzRRQA6MkdKt9&#10;AD3xRRUsaHuMAYq1bMQRgkfjRRVIRpXCqPLIABI5OOtOtGP2hVydp6jPBooqmCH3ShJWCgAZ7VNZ&#10;kyOUc7l9G5FFFWtiWVbhQsxCgAZ6CoXJA4OKKKaA0LL94VR/mU9m5FU5vluXA4APAFFFJgia3/eD&#10;a/zD0PNVGJDnBx9KKKmG42Wo1D2zlwGIHBPOKpwswfhiPxooqKmxUdzTgkcMPnbn3p+sRRrArrGo&#10;f+8BzRRWNL4i57GOvzJk8kdM02PlRnn60UV2GARkk4zVy1JZyrEleeD0oooAhuVAnwAAMdBVYcsw&#10;PIzRRSArv1qM96KKAIrpmUIVJBz2NbVh88Ss/wAzY6nk0UVnLcqJHq8ki24CuwBHIBqXQzvKq3zL&#10;g8HkUUVnIovXcaRXe2NFQY6KMVMvAU96KK2jsZvclnJLKpOV85OD071ieIQN7f8AXQ0UUDZz1tzd&#10;L9DVzJ9aKKpEM//Z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HQ7MrVAAAANgMAABkAAABkcnMvX3JlbHMvZTJvRG9jLnhtbC5yZWxzvdLLasMw&#10;EAXQfaD/IGZfy3YehBA5m1LItqQfMEhjWan1QFJL8/cVBEIDwdl5qRnm3rPQ/vBrR/ZDMRnvBDRV&#10;DYyc9Mo4LeDz9P66BZYyOoWjdyTgQgkO3cti/0Ej5nKUBhMSKykuCRhyDjvOkxzIYqp8IFc2vY8W&#10;c3lGzQPKL9TE27re8Pg/A7q7THZUAuJRrYGdLqE0P8/2fW8kvXn5bcnlBxXc2NJdAjFqygIsKYPX&#10;4bo6B9LAHyNW8yBWk4jlPIjlJKKdB9FOIpp5EM0Nwe9+e/cHUEsDBBQAAAAIAIdO4kDZOTeHEwEA&#10;AEgCAAATAAAAW0NvbnRlbnRfVHlwZXNdLnhtbJWSTU7DMBCF90jcwfIWxQ5dIISadEEKEguoUDmA&#10;ZU8Sl/hHHhPa2+OkrQRVWomlPfO9eW/s+WJrOtJDQO1sQW9ZTglY6ZS2TUE/1k/ZPSUYhVWicxYK&#10;ugOki/L6ar7eeUCSaIsFbWP0D5yjbMEIZM6DTZXaBSNiOoaGeyE/RQN8lud3XDobwcYsDhq0nFdQ&#10;i68ukuU2Xe+dbDw0lDzuG4dZBdVmEBgLfJJ5WT1PImzjGzqNBOjwhBHed1qKmBbCe6tOwmSHICyR&#10;Yw+22uNNSntmwlD5m+P3gAP3ll4gaAVkJUJ8FSal5SogV+7bBujZZZHBpcHM1bWWwKqAVcLeoT+6&#10;OqcOM1c5+V/x5Ugdtfn4D8ofUEsBAhQAFAAAAAgAh07iQNk5N4cTAQAASAIAABMAAAAAAAAAAQAg&#10;AAAAkL0DAFtDb250ZW50X1R5cGVzXS54bWxQSwECFAAKAAAAAACHTuJAAAAAAAAAAAAAAAAABgAA&#10;AAAAAAAAABAAAAA+uwMAX3JlbHMvUEsBAhQAFAAAAAgAh07iQIoUZjzRAAAAlAEAAAsAAAAAAAAA&#10;AQAgAAAAYrsDAF9yZWxzLy5yZWxzUEsBAhQACgAAAAAAh07iQAAAAAAAAAAAAAAAAAQAAAAAAAAA&#10;AAAQAAAAAAAAAGRycy9QSwECFAAKAAAAAACHTuJAAAAAAAAAAAAAAAAACgAAAAAAAAAAABAAAABc&#10;vAMAZHJzL19yZWxzL1BLAQIUABQAAAAIAIdO4kCh0OzK1QAAADYDAAAZAAAAAAAAAAEAIAAAAIS8&#10;AwBkcnMvX3JlbHMvZTJvRG9jLnhtbC5yZWxzUEsBAhQAFAAAAAgAh07iQFnpNyDXAAAABQEAAA8A&#10;AAAAAAAAAQAgAAAAIgAAAGRycy9kb3ducmV2LnhtbFBLAQIUABQAAAAIAIdO4kCs/MOQGAQAAAoU&#10;AAAOAAAAAAAAAAEAIAAAACYBAABkcnMvZTJvRG9jLnhtbFBLAQIUAAoAAAAAAIdO4kAAAAAAAAAA&#10;AAAAAAAKAAAAAAAAAAAAEAAAAGoFAABkcnMvbWVkaWEvUEsBAhQAFAAAAAgAh07iQE1lKDtGswAA&#10;PLMAABUAAAAAAAAAAQAgAAAAkgUAAGRycy9tZWRpYS9pbWFnZTEuanBlZ1BLAQIUABQAAAAIAIdO&#10;4kB30ni9c4QAAGmEAAAVAAAAAAAAAAEAIAAAAIsuAgBkcnMvbWVkaWEvaW1hZ2UyLmpwZWdQSwEC&#10;FAAUAAAACACHTuJAeQowfE11AQA+dQEAFQAAAAAAAAABACAAAAALuQAAZHJzL21lZGlhL2ltYWdl&#10;My5qcGVnUEsBAhQAFAAAAAgAh07iQF+VnJy8kAAAspAAABUAAAAAAAAAAQAgAAAATyoDAGRycy9t&#10;ZWRpYS9pbWFnZTQuanBlZ1BLAQIUABQAAAAIAIdO4kDnDMwG63YAAOZ2AAAVAAAAAAAAAAEAIAAA&#10;ADGzAgBkcnMvbWVkaWEvaW1hZ2U1LmpwZWdQSwUGAAAAAA4ADgBfAwAA1L4DAAAA&#10;">
                <o:lock v:ext="edit" aspectratio="f"/>
                <v:shape id="_x0000_s1026" o:spid="_x0000_s1026" o:spt="75" alt="Macintosh HD:Users:bingquncui:Downloads:WechatIMG607.jpeg" type="#_x0000_t75" style="position:absolute;left:22227;top:3308076;height:2491;width:4409;" filled="f" o:preferrelative="t" stroked="f" coordsize="21600,21600" o:gfxdata="UEsDBAoAAAAAAIdO4kAAAAAAAAAAAAAAAAAEAAAAZHJzL1BLAwQUAAAACACHTuJAiGFAGr4AAADb&#10;AAAADwAAAGRycy9kb3ducmV2LnhtbEWPS2vDMBCE74X8B7GB3ho5puThRMnBNJAcasiDkONibSwT&#10;a+VayuvfV4VCjsPMfMPMlw/biBt1vnasYDhIQBCXTtdcKTjsVx8TED4ga2wck4IneVguem9zzLS7&#10;85Zuu1CJCGGfoQITQptJ6UtDFv3AtcTRO7vOYoiyq6Tu8B7htpFpkoykxZrjgsGWckPlZXe1Ck7f&#10;X6O82ORm85O66Xn9WTyPvlDqvT9MZiACPcIr/N9eawXjFP6+xB8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GFAGr4A&#10;AADbAAAADwAAAAAAAAABACAAAAAiAAAAZHJzL2Rvd25yZXYueG1sUEsBAhQAFAAAAAgAh07iQDMv&#10;BZ47AAAAOQAAABAAAAAAAAAAAQAgAAAADQEAAGRycy9zaGFwZXhtbC54bWxQSwUGAAAAAAYABgBb&#10;AQAAtwMAAAAA&#10;">
                  <v:fill on="f" focussize="0,0"/>
                  <v:stroke on="f"/>
                  <v:imagedata r:id="rId84" o:title=""/>
                  <o:lock v:ext="edit" aspectratio="t"/>
                </v:shape>
                <v:shape id="_x0000_s1026" o:spid="_x0000_s1026" o:spt="75" alt="Macintosh HD:Users:bingquncui:Downloads:WechatIMG610.jpeg" type="#_x0000_t75" style="position:absolute;left:18356;top:3308076;height:2401;width:3472;" filled="f" o:preferrelative="t" stroked="f" coordsize="21600,21600" o:gfxdata="UEsDBAoAAAAAAIdO4kAAAAAAAAAAAAAAAAAEAAAAZHJzL1BLAwQUAAAACACHTuJA2JZQ1bsAAADb&#10;AAAADwAAAGRycy9kb3ducmV2LnhtbEWPTWrDMBCF94XeQUyhu0a2F3XjRjFJoaGQlZMcYLCmsok1&#10;cizZTm4fFQJdPt7Px1uVV9uJiQbfOlaQLhIQxLXTLRsFp+P32wcIH5A1do5JwY08lOvnpxUW2s1c&#10;0XQIRsQR9gUqaELoCyl93ZBFv3A9cfR+3WAxRDkYqQec47jtZJYk79Jiy5HQYE9fDdXnw2gjNx/b&#10;Kd1tL9XeyH7TIe5Mjkq9vqTJJ4hA1/AffrR/tIJlBn9f4g+Q6z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JZQ1bsAAADb&#10;AAAADwAAAAAAAAABACAAAAAiAAAAZHJzL2Rvd25yZXYueG1sUEsBAhQAFAAAAAgAh07iQDMvBZ47&#10;AAAAOQAAABAAAAAAAAAAAQAgAAAACgEAAGRycy9zaGFwZXhtbC54bWxQSwUGAAAAAAYABgBbAQAA&#10;tAMAAAAA&#10;">
                  <v:fill on="f" focussize="0,0"/>
                  <v:stroke on="f"/>
                  <v:imagedata r:id="rId85" o:title=""/>
                  <o:lock v:ext="edit" aspectratio="t"/>
                </v:shape>
                <v:shape id="_x0000_s1026" o:spid="_x0000_s1026" o:spt="75" alt="Macintosh HD:Users:bingquncui:Downloads:WechatIMG612.jpeg" type="#_x0000_t75" style="position:absolute;left:18356;top:3310876;height:2200;width:4522;" filled="f" o:preferrelative="t" stroked="f" coordsize="21600,21600" o:gfxdata="UEsDBAoAAAAAAIdO4kAAAAAAAAAAAAAAAAAEAAAAZHJzL1BLAwQUAAAACACHTuJAfNpQmb0AAADb&#10;AAAADwAAAGRycy9kb3ducmV2LnhtbEWPS4vCQBCE7wv+h6GFvekk7uIjOnoQFC8KPvHYZNokmumJ&#10;mfGx/94RhD0WVfUVNZo8TSnuVLvCsoK4HYEgTq0uOFOw285afRDOI2ssLZOCP3IwGTe+Rpho++A1&#10;3Tc+EwHCLkEFufdVIqVLczLo2rYiDt7J1gZ9kHUmdY2PADel7ERRVxosOCzkWNE0p/SyuRkF12x6&#10;ZNeJe/PTYuUvv+f9oVjOlPpuxtEQhKen/w9/2gutYPAD7y/hB8jx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2lCZvQAA&#10;ANsAAAAPAAAAAAAAAAEAIAAAACIAAABkcnMvZG93bnJldi54bWxQSwECFAAUAAAACACHTuJAMy8F&#10;njsAAAA5AAAAEAAAAAAAAAABACAAAAAMAQAAZHJzL3NoYXBleG1sLnhtbFBLBQYAAAAABgAGAFsB&#10;AAC2AwAAAAA=&#10;">
                  <v:fill on="f" focussize="0,0"/>
                  <v:stroke on="f"/>
                  <v:imagedata r:id="rId86" o:title=""/>
                  <o:lock v:ext="edit" aspectratio="t"/>
                </v:shape>
                <v:shape id="_x0000_s1026" o:spid="_x0000_s1026" o:spt="75" alt="Macintosh HD:Users:bingquncui:Downloads:WechatIMG612.jpeg" type="#_x0000_t75" style="position:absolute;left:18326;top:3310591;height:2392;width:4522;" filled="f" o:preferrelative="t" stroked="f" coordsize="21600,21600" o:gfxdata="UEsDBAoAAAAAAIdO4kAAAAAAAAAAAAAAAAAEAAAAZHJzL1BLAwQUAAAACACHTuJAk/axQL4AAADc&#10;AAAADwAAAGRycy9kb3ducmV2LnhtbEVPTWvCQBC9F/oflin0UnSjKVKjq6C04KEKsQGvQ3aapMnO&#10;xuw20X/fFQre5vE+Z7m+mEb01LnKsoLJOAJBnFtdcaEg+/oYvYFwHlljY5kUXMnBevX4sMRE24FT&#10;6o++ECGEXYIKSu/bREqXl2TQjW1LHLhv2xn0AXaF1B0OIdw0chpFM2mw4tBQYkvbkvL6+GsUxIf0&#10;0+377TQ9v/yc6k1Wx+8yU+r5aRItQHi6+Lv4373TYf7rHG7PhAvk6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axQL4A&#10;AADcAAAADwAAAAAAAAABACAAAAAiAAAAZHJzL2Rvd25yZXYueG1sUEsBAhQAFAAAAAgAh07iQDMv&#10;BZ47AAAAOQAAABAAAAAAAAAAAQAgAAAADQEAAGRycy9zaGFwZXhtbC54bWxQSwUGAAAAAAYABgBb&#10;AQAAtwMAAAAA&#10;">
                  <v:fill on="f" focussize="0,0"/>
                  <v:stroke on="f"/>
                  <v:imagedata r:id="rId87" o:title=""/>
                  <o:lock v:ext="edit" aspectratio="t"/>
                </v:shape>
                <v:shape id="_x0000_s1026" o:spid="_x0000_s1026" o:spt="75" alt="Macintosh HD:Users:bingquncui:Desktop:市场营销专业建设（校企合作）:专业建设照片:WechatIMG620.jpeg" type="#_x0000_t75" style="position:absolute;left:23186;top:3310591;height:2491;width:3420;" filled="f" o:preferrelative="t" stroked="f" coordsize="21600,21600" o:gfxdata="UEsDBAoAAAAAAIdO4kAAAAAAAAAAAAAAAAAEAAAAZHJzL1BLAwQUAAAACACHTuJA0IXDDb8AAADc&#10;AAAADwAAAGRycy9kb3ducmV2LnhtbEWP3WoCMRCF7wt9hzCCN6VmV2otq1FQEISWgm4fYNiMu8HN&#10;ZJvEn75956LQuxnOmXO+Wa7vvldXiskFNlBOClDETbCOWwNf9e75DVTKyBb7wGTghxKsV48PS6xs&#10;uPGBrsfcKgnhVKGBLueh0jo1HXlMkzAQi3YK0WOWNbbaRrxJuO/1tChetUfH0tDhQNuOmvPx4g18&#10;zr9d/b6dDy+bp3LWu5jq9NEYMx6VxQJUpnv+N/9d763gzwRfnpEJ9O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CFww2/&#10;AAAA3AAAAA8AAAAAAAAAAQAgAAAAIgAAAGRycy9kb3ducmV2LnhtbFBLAQIUABQAAAAIAIdO4kAz&#10;LwWeOwAAADkAAAAQAAAAAAAAAAEAIAAAAA4BAABkcnMvc2hhcGV4bWwueG1sUEsFBgAAAAAGAAYA&#10;WwEAALgDAAAAAA==&#10;">
                  <v:fill on="f" focussize="0,0"/>
                  <v:stroke on="f"/>
                  <v:imagedata r:id="rId88" o:title=""/>
                  <o:lock v:ext="edit" aspectratio="t"/>
                </v:shape>
                <w10:wrap type="none"/>
                <w10:anchorlock/>
              </v:group>
            </w:pict>
          </mc:Fallback>
        </mc:AlternateContent>
      </w:r>
    </w:p>
    <w:p>
      <w:pPr>
        <w:jc w:val="center"/>
        <w:rPr>
          <w:b/>
          <w:bCs/>
          <w:color w:val="000000"/>
          <w:sz w:val="21"/>
          <w:szCs w:val="21"/>
        </w:rPr>
      </w:pPr>
      <w:r>
        <w:rPr>
          <w:b/>
          <w:bCs/>
          <w:color w:val="000000"/>
          <w:sz w:val="21"/>
          <w:szCs w:val="21"/>
        </w:rPr>
        <w:t>图2 工商管理专业学生开展多种形式的创新创业教育</w:t>
      </w:r>
    </w:p>
    <w:p>
      <w:pPr>
        <w:ind w:firstLine="480"/>
        <w:rPr>
          <w:color w:val="000000"/>
          <w:szCs w:val="24"/>
        </w:rPr>
      </w:pPr>
      <w:r>
        <w:rPr>
          <w:color w:val="000000"/>
          <w:szCs w:val="24"/>
        </w:rPr>
        <w:t>在组织实施方面，2015年以前实行专业负责制，组织学生进行创新创业活动，从2015年（2013级）开始，实行导师负责制。指导教师是学生创新创业实践环节教学第一责任人，负责指导学生按要求独立开展创新创业实践活动。学生自主选择创新创业实践形式，在毕业前完成创新创业实践环节。另外，为鼓励创新创业实践，还建立了学院大学生创新创业中心，组织学生走入社会、走进企业，开展创新创业教育和实践锻炼。</w:t>
      </w:r>
    </w:p>
    <w:p>
      <w:pPr>
        <w:spacing w:line="240" w:lineRule="auto"/>
        <w:jc w:val="center"/>
        <w:rPr>
          <w:color w:val="000000"/>
          <w:szCs w:val="24"/>
        </w:rPr>
      </w:pPr>
      <w:r>
        <mc:AlternateContent>
          <mc:Choice Requires="wpg">
            <w:drawing>
              <wp:inline distT="0" distB="0" distL="114300" distR="114300">
                <wp:extent cx="5370830" cy="1356360"/>
                <wp:effectExtent l="0" t="0" r="1270" b="15240"/>
                <wp:docPr id="146" name="组合 146"/>
                <wp:cNvGraphicFramePr/>
                <a:graphic xmlns:a="http://schemas.openxmlformats.org/drawingml/2006/main">
                  <a:graphicData uri="http://schemas.microsoft.com/office/word/2010/wordprocessingGroup">
                    <wpg:wgp>
                      <wpg:cNvGrpSpPr/>
                      <wpg:grpSpPr>
                        <a:xfrm>
                          <a:off x="0" y="0"/>
                          <a:ext cx="5370830" cy="1356360"/>
                          <a:chOff x="18356" y="3316420"/>
                          <a:chExt cx="8458" cy="1926"/>
                        </a:xfrm>
                      </wpg:grpSpPr>
                      <pic:pic xmlns:pic="http://schemas.openxmlformats.org/drawingml/2006/picture">
                        <pic:nvPicPr>
                          <pic:cNvPr id="107" name="图片 107" descr="Macintosh HD:Users:bingquncui:Downloads:WechatIMG617.jpe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22856" y="3316420"/>
                            <a:ext cx="3959" cy="1926"/>
                          </a:xfrm>
                          <a:prstGeom prst="rect">
                            <a:avLst/>
                          </a:prstGeom>
                          <a:noFill/>
                          <a:ln>
                            <a:noFill/>
                          </a:ln>
                        </pic:spPr>
                      </pic:pic>
                      <pic:pic xmlns:pic="http://schemas.openxmlformats.org/drawingml/2006/picture">
                        <pic:nvPicPr>
                          <pic:cNvPr id="115" name="图片 115" descr="Macintosh HD:Users:bingquncui:Downloads:WechatIMG619.jpe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18356" y="3316420"/>
                            <a:ext cx="3960" cy="1927"/>
                          </a:xfrm>
                          <a:prstGeom prst="rect">
                            <a:avLst/>
                          </a:prstGeom>
                          <a:noFill/>
                          <a:ln>
                            <a:noFill/>
                          </a:ln>
                        </pic:spPr>
                      </pic:pic>
                    </wpg:wgp>
                  </a:graphicData>
                </a:graphic>
              </wp:inline>
            </w:drawing>
          </mc:Choice>
          <mc:Fallback>
            <w:pict>
              <v:group id="_x0000_s1026" o:spid="_x0000_s1026" o:spt="203" style="height:106.8pt;width:422.9pt;" coordorigin="18356,3316420" coordsize="8458,1926" o:gfxdata="UEsDBAoAAAAAAIdO4kAAAAAAAAAAAAAAAAAEAAAAZHJzL1BLAwQUAAAACACHTuJAeFQXXtYAAAAF&#10;AQAADwAAAGRycy9kb3ducmV2LnhtbE2PQUvDQBCF74L/YRnBm92ktaXEbIoU9VQEW0G8TbPTJDQ7&#10;G7LbpP33jl7q5cHwhve+l6/OrlUD9aHxbCCdJKCIS28brgx87l4flqBCRLbYeiYDFwqwKm5vcsys&#10;H/mDhm2slIRwyNBAHWOXaR3KmhyGie+IxTv43mGUs6+07XGUcNfqaZIstMOGpaHGjtY1lcftyRl4&#10;G3F8nqUvw+Z4WF++d/P3r01KxtzfpckTqEjneH2GX3xBh0KY9v7ENqjWgAyJfyre8nEuM/YGpuls&#10;AbrI9X/64gdQSwMEFAAAAAgAh07iQGzPb30nAwAAqwkAAA4AAABkcnMvZTJvRG9jLnhtbO1Wy24T&#10;MRTdI/EP1uyTeWTyGjWtStKGSi1UQMXa8XgeMGMb23lUiB0SsGPPpyDxN1V/g2vPTNomragqYIFY&#10;ZHJ9bd977vE949nZW5UFWlCpcs5Gjt/2HEQZ4XHO0pFz9uqwNXCQ0pjFuOCMjpxzqpy93cePdpYi&#10;ogHPeBFTiSAIU9FSjJxMaxG5riIZLbFqc0EZTCZclljDUKZuLPESopeFG3hez11yGQvJCVUKvJNq&#10;0qkjyvsE5EmSEzrhZF5SpquokhZYQ0kqy4Vydi3aJKFEP08SRTUqRg5Uqu0TkoA9M093dwdHqcQi&#10;y0kNAd8HwkZNJc4ZJF2HmmCN0VzmW6HKnEiueKLbhJduVYhlBKrwvQ1uppLPha0ljZapWJMOB7XB&#10;+oPDkmeLU4nyGDoh7DmI4RKO/PL7x4uvn5HxAD9LkUawbCrFS3Eqa0dajUzJq0SW5h+KQSvL7Pma&#10;WbrSiICz2+l7gw6QTmDO73R7nV7NPcnggMw+fwBuB8F8p+P3wmA9f1DHGIRdaE0bYBhYZG6T3DUY&#10;15BETiL41XSBtUXXr5sUdum5pEC+icYWpzk5ldXgGmVev6Hs4tuPyy+fkG88MVUEWuwEk5xprjL0&#10;dBKdKVBcNIOGfzdnZJ5HE75kBcexil5TkmF9dDLt+f32G0FTQ7rJahJVabGp55iTtwoxPs4wS+m+&#10;EtDcQBsgaFxS8mVGIaZxQxD3ZhQ7vFHKrMjFYV4U5viM/XtFiGREyxmF3pJHsW/lAf1wrLRJZzrD&#10;CuR9MNj3vGHwpDXueuNW6PUPWvvDsN/qewf90AsH/tgffzC7/TCaKwo04GIi8katfrh1vLeqoVZs&#10;pTOrV7TA9q1gmLKAmn8LEVyGEoNVSfICyIZ1YGtJNcmMmQBztR8WrycszVfMmjNQIByzY0MqQTC4&#10;reUb0XSG3eEdDQ8NIZWeUl4iYwDDgM8yjBeAvqqoWWIyM27O2VZQsBsOgG48FnWF05oAu+pCMP6C&#10;kvzuppKM5+FKGv67Sgr+K2lLSXdcHldKguumuTr69tV4FaKRyR9Vkr2h4A63r5j6e8N8JFwfg339&#10;G2v3J1BLAwQKAAAAAACHTuJAAAAAAAAAAAAAAAAACgAAAGRycy9tZWRpYS9QSwMEFAAAAAgAh07i&#10;QHPZB/vKjwAAwI8AABUAAABkcnMvbWVkaWEvaW1hZ2UxLmpwZWcAAID/f//Y/+AAEEpGSUYAAQEB&#10;ANwA3AAA/9sAQwAIBgYHBgUIBwcHCQkICgwUDQwLCwwZEhMPFB0aHx4dGhwcICQuJyAiLCMcHCg3&#10;KSwwMTQ0NB8nOT04MjwuMzQy/9sAQwEJCQkMCwwYDQ0YMiEcITIyMjIyMjIyMjIyMjIyMjIyMjIy&#10;MjIyMjIyMjIyMjIyMjIyMjIyMjIyMjIyMjIyMjIy/8AAEQgBRgJ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6PVbJulzF+LYq5FcRSjMbBx&#10;/snNeFC7uJzh3OPQV2vhbcunNtJBEh6H2FRzHG8TboelKBjNI6lkKhiue69RXMxXt1HwJn49Tmrk&#10;Wr3I67G+o/wp3BYyHVFPVfBq6o5dtX1BW7B3DqPwwP51zlz8N9TjJNrqFvN6CRWQ/wBa7qPWQSA9&#10;vnPdTV6K+tZOqyL+GadzWOJpPqeSSeFfElpnfp7uB3idXz+AOf0qhP8AbrM/6VaXEH/XSNl/mK93&#10;iW1mjJS6QP8A3X4/nTmtJAORkU7mylF7M8Gj1DpVuO+HUnrXrtz4c0u7JNxpds5PVvKGfzHNZV34&#10;A0S4VQsU9vtGB5Up9c/xZ9aLjPOrK7US3AyMeZn81FaP2leOa1v+Fbg3V0tpqTLtYACWPOflB6gj&#10;+VVrjwHr8HMX2e4A/uSYP/jwFAWK4uFz1FSeaD3qhPo2uWYPn6XdADqVTePzXIqkLpo3KuGRh1B4&#10;NAjbDADg07dWSt1gBgxAPbFTregjk/lTAtu5xWZdt1q0bhW71SuXDDg0IDntaIMA/wB6ud0rjUJP&#10;90/zFdBrX/Htn0aud01sXsn+6f6VQuo+M/6TL/vH+dadueayUb/Spf8AeNadu3zCgDsPCep2Gl6g&#10;J73T4LsEYHmZyn05x+Yr1S31vwrqaDzLZIW/3cY/KvCYpttXYr916E0rAet+ItJ0dtJlubG83MnI&#10;jL5zz2FeeuMGq9nfzO5DswXb3NOkuYs/fX86aQye3/4+U+tatZFqwM8ZHPNa4Oa6qOxEtxDSEU7F&#10;JWpI3FIRTqDSGRkVGwqYimMKBkDCoXFWWFQsKQHM+KB/o9v/ANdD/KuWf/lmB6j+ddX4p4gg/wB4&#10;/wAq5ZVyY8nuK46/xnRT+ElkGZXqSOI/Z4iR1kqODM960YHb+taiJ/osTFcgScA9q5JuxtFXNaFB&#10;EsTHrvH8q2rK8RJT5ce2TaVMmeoPbFYW/PlqSS24c1etD+8kBPRc1wTjc3NOeTyyyh8q3GT/ACpL&#10;04tbDptYdx05NULqYNFu565x+NWL67UWFlGFO8qCWJ6Yz0/OoUXdAQXTs1/ApJwZP6iqg5vJ8dSD&#10;Tri4abVELAD5iflGB1qG0KveXLMSAASMfWtoxsgbG2EaBLnOD83I/H/61ZmpAFXwMDNa2mfOt86j&#10;aNynH13Vm6kMxHjrmt4/EZsx7ri1QD+9V2SPFrYj2qK9jQW8PHzZq7cIfLtFXqFGK3b0RHU0tMjL&#10;a/o4IIBvIP8A0MV7oprxjSY93iDRs9rqM/lzXsqmtqPwnLiPiJWYBCWGQBnFfOuqB77V7sRIzB5W&#10;lcEjAUngH9cfWvod+YnHqpFfOV558l7MiXESo7EbuOmcgZH4VczjqFKOPy4VMeWZxukAYAKo6Z/P&#10;9aYbK7XaxyI+SFBycn/Gr8XkW80kbIWklPUMCFHdc4/zimPNvBSNm8sAbWz8y4/h479OlRdmdxBE&#10;Le3ysMbTOCD825sYzu/Woi8DxFY90gBIJIwSOuT9OPQ0TyLNeIUAAYHcysD1HPHY4q5JDuVJHcoo&#10;ycMcl+nGffijYDLAHlMB8qup+Ug8DNRNKAnlJkZzn5R9cZ61cleNmTesSnKkiNjkD8arNHJcJNsi&#10;AXIHmE4xjjFaIpD2uDO7RqfTLZ6fTHvmq+9yrttRd5ChgcdsVLFYgYLuVU45C5z7Z9fbrVgWseyS&#10;JFBOcp82MepPv/jT0QaESqsNuOw+ZPNCjLZ9j2wDVq38pLXycM2WyIiNpz2Oe/8A+upIYFtmUqV3&#10;sByH46Z6f5608yeRG7NJh5G2Ng4OOpHI4/M9ahksdHG7NK0brgKqFh0Jz0Hr+dAiSPqry5f5twzw&#10;R/ETgdc/l1pOUfbGY2lztXCkheSSeuM/Q9qha5tHmZXkkkh5LSM7biR29PT8zSsxE0glnEcjqjx4&#10;KskfGRjAIxTLUKJZInaZl7JEeo4AIx371Kl5YWqq5/fDGE2A5A9Dnp17VCLwxebdW6DY5Xb5j46d&#10;eKetrBqXzb27zKZUWJS/mMrdH46e3bt3pZrNnjNwAfKJwsYAYse56c9OKprfQCH7U1qk8hI4yMBu&#10;eo9KW61UHbcJvMoHypGMKjEjPPcEZFLlkKzJpSt/GkVuTC2NkiiMZGOv48dvTtVUae32hAkX7pkI&#10;Ejj5EOeWz+GefWqt3cvI5k8lk54H3ccen9abDJPHbt5MqFTg7TnPqcZrVRaWhSTSJipErpNEyWqq&#10;A23o2Ohz68U9YZp1VPIBLkeWNwwOPT2FQySXOpuvkux2/fjLEZ/DpTpL6Q2uI5DG6fL5QA7defel&#10;Zj1JWiktYtr8xjAfJ+Ziewp6yyyLuhaNB0/ef0rKt5ozKZZlcsrbiN2Afx7GpZlZmDqrhWGRhqHD&#10;uDR0cUeCOK7PwycWcq/7f9K5REwa6nw3/qpx7j+tcaOeWx0CnmplIqBamSmZlmPFadnZSz8xxk+9&#10;VLG38yQFuldnYhI4gqgAVUVcunTU5WZzdzbyW/EiFfrW1beJdFnxEmqWnmjho2lCsD6EHmrt7FHc&#10;QlHAP9K+XvFETweJdQjJLbZ3GSf9o1djtoR9nNwPqZGhlUMuxgehGDS+TGf4a+TrXU7yz+a2upoW&#10;9Y5Cv8q3bH4heKbPAj1i4bH/AD1Ik/8AQgaOU6z3aLQtTMj3E2qRid8ZSO3GwY6d8596tJbarD98&#10;WlyvbBaNv6ivMdA+KetT6pa2V39mnWWZImby9p+ZgMgg+/pXs1FgMrzpY/8AW6fcr7xlZB+hz+lR&#10;zTaVcLsuwmP7t1CVH/jwxW1SYzSsBzcnhHwzqScWVswHQ277cf8AfJrKufhho8jEW9zeQHGR8wYf&#10;qM/rXYS6bZTnMlrCzf3tgz+dV/7FgSTfDcXcP+yk7bfyOaYHAXPwrvUybTVoZPQSxlf1BNYd58PP&#10;E8AOy3huAO8Uw/8AZsV7ALa8j/1d9vHpNED/AOg7aXzL9PvW8Mo9UkKn8iP607gfOGu+Gdet7Zlm&#10;0i9XByWELEfmOK5G2gkgupA6FWA5DDBr69+37P8AXWtzF7+XvH/juazdRt9L1UxnfaGZW6TABvyP&#10;NFxWPle0069u7l/s1pPNz/yyjLfyFdLp/g7X55EP9l3CLkZ8zEfH/AiK+hhomFG+dVX2GalTR7Qf&#10;emdvoQKLsLHh9t8O9Zkx5r2sI77pCT+g/rWP4isrLw1GEOppdXh/5ZRx8Lg4OTn2Pavc/F19pvhf&#10;wxeak0WXRNsQLHlzwP1r5T1jVbjVdRnvLp1aWVtzlVCj8hxQgZYn1meQk78HsAahj1aUSZZj+FZg&#10;jllOVQ49aXyZl6qaq4crOon1TS5LKML9ta5z8xkmBQfRcfXvXSaYlvewxnTvE1zYzAAGK7USxlvb&#10;OMD6ZrzUW8zglEY4HYVa03U/szBZYxLETh1Jwcex9apNrZg/M9MkfxZp05ilsbHUogu4TWs2zcP+&#10;Bd/bFNPi61tmVNTsr7T3PTz4Tg/Q9/yqDw34N0XxXr1xFp99fw6aLMTRxySbikmVBVumRz/9ett/&#10;hvrmiyM2l2mmXcR6oLq4id/qN4WqVZrcnlFs9VsNQUta3cUoHUBuR+HWrdcFLZwxeMr5dc8NTwbI&#10;FJtrAk+QcL8+UIGDzz6mpnvtIhZW0vxXe2qr96K9jMv4dBWird0FjtsUhWuHTxpc20mwzabfLnAa&#10;ORoT+O8Yz+NakPjS0RlXULaez3jKMV3q49QV6iq9omKx0DLULrUVtrmlXvFvfwM393eAR+dWmAK5&#10;BBHqKpMDk/FY/dWw/wBpv5VzCAeZDnpkV1XixRttSegZvx4FcqwIeMe4xXFX+M6KfwktkMXtwVP8&#10;BHH1rSB8u1iVgcljgH61m6axjnuDjPGOfrWhM+5YWPUyZrmqas3hsX/MxJF65zzV62fM0x/2Pz5r&#10;PO3zY89M1dt3DSTbVwoUDArlkjUW4J2AH3qW9ZpPsqIhbbGCcDOOKq3rYC+x5pL2Qi7t0zxtXP5U&#10;lHVAICW1FAe2aZZkyTXRJA+U9BgfeFMgb/T3c88nn8KTTyWW5I/un+daWshXLOlorQXDZIXeoz7Y&#10;aqN8+F2Z+Ut1FW9Obbp7v/00B/Q/41SvT5ZUsgYhhwemaqPxE9CteopiiLZGRx+dXrhSrWgP9wH9&#10;BVK63SGPcRxjP51f1Et5kKIQDsHOOlavoT1NnQf3nivSo/8Aptu/JSa9fBryfw0m7xnpxx0eU/8A&#10;kNq9VBrpo/AcmI+MbeymLT7l1xlYmIyfY189JDbySmTcDMZdoDA7R689wMn8q991Yj+x73PQQOev&#10;+ya+cHO6dVkaYqDjaegx1x/nsaqaOSormnDcwzTtK4jJV16g42knOB6dOvrUH2rbMxEKgvg7g+AB&#10;xwfbOM1FDBGY/MMchwBuDNtBBHGPxAP40gt3L4LEsQCpAPHAzgfjU2RlZBayKbySRYU3knYEHyrn&#10;PA9f8M0t45S4fad7bc7m5PbAx+JJp9sCjgrHuXK7kznsfm/yO9MnjhIlKiYyMc7mwQx+vX3prcZW&#10;aZBEpzmQ5LSEcjPoP61J+8mjCrvdFAVd/G09zj+tMFuCMs64yAWIPHHSrCwwkGTbuXIygbGR1x/L&#10;j8atjK0bMjhckKD3J698UW8s0bfICV+8cDP41MQZDKXVtxO7JI/Km5lWRUEmM8FhwAO1MCqs00bL&#10;IGzgEZJ9RTwss0fmswbyiOS3QHsB+dTyRRshJIEgONo5AznvTliMb7CruvZVGOR6807odytsmlXf&#10;5nAGAM4xjtj8ake0IjDg4UjJUnkYwDx7npVyCKO1kSSXaepBb5gMjjdjtz+lOmDF3klijk4DAIpH&#10;APH50ubUlsZaQhZIgzhklycoAWGM9vw6VZuIImuGZnLxAgRorAcn0GOB71FD5e6RZdyIGyqAYYZI&#10;HJ9BTJkgWMNbyISTt28lvr9Pwo6iGOtuGKeU6oUz8jZLc8HkcVNZko4ZQku7jfIdoQYxyKjaG6XC&#10;7ym4Ab164P8ADx1pySi3iMT25Z2GC3OWB5HXtxT6AXkjJRHWSNl4C7nIwD1HOarb7Z1ZpoljYddh&#10;3Enp+RqeMAXflm3VlkTc25sFcDk88A5zTLiKV3VcM0sQCIwXh8c1KECvaJ86LiTHzFSRn6f57VVf&#10;yHRo3uSQvzs2evsPftTZlJjZlESBuRtDfKM9f/rVBLJCsQRYVznlidxI9faqUSkhxWCeKZ8JCWYC&#10;MnPT+VSxSXGTlgx468cVSZtoCgmRdwba3SnLKrAl48MSTwcCqsOx2qrXR+G/vTr7L/WsELW94c/4&#10;+JR/sj+deejlex0SrVmGPmo0XmrUYqiDQtiFIrdtp/lHNc/EcVoW8pHeqHe2qNd5vl618++L7F5P&#10;E+osAcGdz+pr3N5crXmmvGyGt3KzyIjly3zd81cW3udOGk3Uu+x5obJx1U0C2YHpXd/YrCVcpNEf&#10;+BVA+kQsMoyN9CDVWPQuYPh6Ipr2nyEfduoj/wCPivqDtXz1DZ+RewyYA2yKePYivoXtUsYtFIKW&#10;kAmaWkpaACiiigCKSXZIi8fMcUssEU6FJokkU9Q6giobkHzojz1q1QBTNrDaWQggjEcSZ2qOgyc1&#10;Hb1Zuv8AUmqkJ4FSwPK/j9czJoek26kiCWd2fnqVUY/ma8g0bwrPfRrdSuqwscqp6mvZPjbpz32l&#10;6RIv8N35fsNyk5/8drjLNiLVIbIPJs+UMigrx7kgH8KipNqNka0YJu7Llj4d0y3siJIld+3UVn3e&#10;hWu07Y8GrEWs3huBb3GC4HClNpx/X8KW91hof3Yh3yEcIBk/pXN71zsVrXM6z0mNZCCu3jrXC6zZ&#10;iy1aeNR8u7Ir0C21OcShZ4RGz8KGUqT9M1z/AIt052kjvVX5SNrex7V2Ub9Tnr2a0Ow+BjE6lqme&#10;1uuP++q9pJr568EK1vpbzRsyOZThlODgAf8A1661/FmpaZCZDqEpC9pCHz/31miUvescyWht2t1B&#10;Z/FvXri5mSKJdNiy7nAH3K57xb4l8KX/AIu0S9ZYr22tPP8AtYWHPmblAT64PPtXnPiHxFea9rE1&#10;5OwDOAp2DAIAAH8qyhIzHNaJCPQbnWPB1/dnybHWrBN3Elrd9PfaxIH0FNa3kvfF2jHRPFLXbKku&#10;ybVUIEHyn5WJ67hkfWuGRiDgng1fhlx0OSKG2hpJlnxnHfWGvTafq2laW14FVjLabkV1IyDwRn8a&#10;woX1O1ctbTzQYPRJDgVryRtdOTKCzKuEc8kD0+lKsSrEePWodRo0jTTKC6vqN8/k3twZhEMrlRkE&#10;+4qzDlr23X+8wqjbJm/nA9B1rShU/b7fA6MKipJt3LgtCZV8ueansf3dsPVjRICHkJHLYxRIp8u2&#10;/wB6srmpbLEzr171f0ydUlmUqSWwo9qogq08asSqjdkjr0qzbOm6cqpXpkHmspLQsL4ncQeSGOal&#10;u7l5L2GNdqqEVSAo5wB1PU1WnlRCFbOCQcilmONTB/2ARmhITGx487Bb+FmwO3v+lMs5Gjtbgqdr&#10;cA8c1HAx+1TlTz5fX04p9uf9ClkwASVzjuRnmrYi5Yrt08rg/wCtP8hWdeggoD1LZrUspRHp6vjL&#10;GRjz9BWTeMDJHjvRH4gew+48otFG2QWUcj14qze86igHQDFZ9wN97AnsBV+7B/tjb2q+xJ0nhJXP&#10;iyzJPyhZSP8Avn/64r1HNea+DgW8TRccLBIw/NRXpFddJe4cdf4ylrrKPD+o7iAPs0mc/wC6a+eI&#10;FaR5V2NKgGxd7cjJB6jj1/OvfvFD7fC+pnCn/R34Y4HTvXgcKiVwYizR4BdY+Bxk4xxg46EelOZy&#10;zJvtcyq8ZOx0c5wg5PfIOeaeflilYypvc4Ea8L7gn/ORiqMWxTJKYlOCPLDDndg4yPw/WpyLi6B+&#10;TdJgGQ8fN3/IcfnU2M7DEdpLqNJo9wdsqqbQcc4HOPwqWS3RYgix7JG5Zm44/wA/rSBprZ9hgBKf&#10;fZRkgnp3x1xTUUSSbZGl3AZO5OmPx/XmrAnitoJvKDzbIUzlWOAeck/y/wA8UrWw3vIYTuGAFLdM&#10;HBHsPX8KbJaSW6MUDsMkmRjgjIHJI7dahRp/tEW2BXZAC6oBkgdc+9FriGMXa4TzdyqMYfsee3Hv&#10;U0MmGQTWxmkkxsBb7rZ9PTFNe4JOxY0GflUIuMc/qKlsvMjud5j2qG5SRflY9xjOafQYOWMjj7si&#10;gK656t6e/SqoWcsrbn3Km+PGfc4Ge9XLq3ZbjdAwXcoA8sHKkcj+XakYOE3lJmdMKX3g7Ac59u1C&#10;YIhlm8wx+dE0bHG7dzv6Hn17fgakaW+tAJDhVbDADsM8DnnHFRo7m6jjnXHl5bGBk9/yqUiadMxB&#10;UWM5O05A68f/AFqdgC4kjW681pVabcWkR84PoP8A9dXILrcoZJYXcfvA23qSOfoe2Kpwyww2rlCh&#10;nc8K68KB6elLMLs4kLCZz1WNAxRV6HIoEWorxZl+0JsjbB3eZyCxOOpptxLJJMrNKiF03AuRgMCQ&#10;MEdByaLd44Z3E8Ko0kpJRwdu3t+VQzR+UiO6LkZKjJyq9ee3/wCui2oiPbPJbNuZixHz7gSV5zk/&#10;/W9aRruU/uXZoyqgIEYgD3NS3Es7QxtPbghWw208tuHHI68U2SeEREsis+QCFGQe5z6elUihIvL8&#10;yNlkZFIwzFf88VseIrTSIblItMeR4EgjEkkn8T4yx+g9Pasjy/OubdTkglV2gYHWresF59UupMMu&#10;ZNgBw2SPoMZp9SlsQxXESWgLwQbOg2gh/bJyaoXEiFwIQgAyc5BzzxRdFzNv3JnG3AOSMVWUQtne&#10;zDHTtVKPUD0TbWx4d/4/mHrGf5issritPQONTUeqmvNRx9DrVHNTpUSipVqyCylW4mxVNasRmmUW&#10;y3Fee+JNNgu9WnaUHdkDgewrvc8Vy2sIG1GY/T/0EVUdzpwv8Q4O60OJclHIri9Un1Cxv2WK9nAU&#10;YUCQ8CvULqIAHFeZ+Jl2ao49QK1O9i6H4i1capaRveyNE8qKytgggkA9a+whyK+KdKO3U7U/9NV/&#10;mK+1IjmNT6qKiQRHClooqSgooooAKKKKAGsgcqSBwcinUUUAQ3IzCapw/dFXpxmJvpVSBfkFJgcB&#10;8U1hvtKtdMLgO0wlZcHOza4B9OuK4SbSy1nFHFLJEqDARDgH8a7n4ixqmr6fLjJeF0PsAc/1rkFu&#10;TCm0Lu926Vy1ZPmsdlGC5bmLa6DJCsK3FxK0nngxkOdw69xzimzW0qajdFZWMjncrucn0xV/+1or&#10;CcTSyHzWbag25weufast9SS5keSFwXjcBgDyM0otvVmriloQ+TqUu6K8lSeN8hg4xx7Y71DNbX1t&#10;ocsdxPJcqFzJv+Yr05B68VqtdF0CtWz9iSTw3ducAmM114e7ZhVikjG0GAWmiWykgkrvJHvzXK67&#10;qEt3NNgkJGdoFW9R8SSabJFHbCF4JE3KrggqOmBjp0NY8SyT29zcFcqWyR9aSWvMzCSs+UoQgs3N&#10;SPhTgUfdzgYNQNISSc81rczsTpJtNSCQ5yDg1SEnY0u8g0AbEN0y9e1X1dJbYsCM55rnRdfJjrV/&#10;TJ8iROxFZzjdGkJa2GWRxqFySM4AGPzrStlxfw+5FZliC19c49R/WtaEf8TCL2Gaynuaw2JjHvmm&#10;JOAozSSjK2+OmaV/vyeppSOYF9BmsjUU5+0rj3qzZD5Lg+4/rUXmbrgAAAcmp7Ijy5jjqRx+dS9g&#10;IpwN69Oo/nU16QdUOOyVXkbdOi/7X9afcN/xM5jnnbTSArwAxSXO7qEqW2P/ABKXPr/hUMTcXLdT&#10;g0+3z/ZjezdfwFU9hF2DjTI/qazLof6TGPTNaf3bGLHcE/qayrolr1cKSQCTgdOaI7jew9236jBh&#10;OhA4q3Kd+rnHqBVNWP8Aa0SDI+YVYXP9pyk9jVMk7PwMAfEUrd1s2H5uv+Fei5rzrwAd2s3jeluB&#10;+bf/AFq9CzXZS+BHFW+NmD41naHwnflQCGQIxJ6AkDNeGvOZQI9igKcErnC9vyOP1r2rx86jwheI&#10;2Tv2rgdTyK8VARY5VjjkEGcHB2kA9ASevAz9T2onucstx8XmCTymRAQTtCYLqR0wfpxn2p32zYmE&#10;ZvkOAkpBD+pOOhwAaiQCVhJGCF27jufkqCMkDufl5pkjxtOJRGMsOAflAxwD+HH50krk2LUErSXh&#10;k2l3XLSKrj5vwHUZqUqrSBWAkm6gkcAHBHQ9e/WqiTzBJQZGZxzvjbd8vpmnqoWFVZdhOWZS5JJ9&#10;cdjxir5RNFl1Qs+JZYlP3QSOvvx9aprM9s21JTuJzyP606GORZwVc7hzlc5H4VbLXE0LmOVJCDgl&#10;uD+vT6ZqrWAigMjStFMD5ZxzkD9aa8xiZwpLSFQ64wxA/n0p+yJMlWV4ySBuBGD9fxpI4HVEdyhZ&#10;T8m1u3fnv9PeiwEKSySojuzMiOM5/hXPc1btxH5Ukcu45+XAJ2j0xjrzihIrWUyyTxMvYDd3A6k1&#10;FLbmO1hmSUc5P38YXpjHehoB09tJ5u/Klk4kA+YD8McCoJLg7XERGJG3sMfeOfzxUq3LKXMUu0uo&#10;UA8bfbpVyDavz3MUaPKAFLnORjqeOKT03EU0+xzndtjjCKDzkktjrj0p4YRLEjmM5G93jyN3op7V&#10;aRiYcbQ8XAhGBjjOSc9eKoumFaSJ49uchkG0qMjkj64FCVwIzLHKzZbkDAEnIAz69altrxoE8lk8&#10;2PcDnG7gdgatPDGVz5iGaf5QsTD5uTye3FMWWRFYv5UPlY2oVBLnoT/9eqAZAnnlxBkOQch8bRz1&#10;/X+dRSQCIboyqnPzIGySfbHGKexdLhpdqgP3XGB9B36VK8jTKEKuZcAIu0L/ACpqLuBLp7mO9iYq&#10;ViDIxAG4hQc02/lD3M1zITLNJK7K543Enk47Uy3spJ5CYsMxYIpB5z0qSSMLhBIj5Dbc5IB9vers&#10;rlX0MobEVgR83Zgc5qRIEI+6WGByDj+hqdVeIMJERSOV45zULM5VcBk5PCiqA9CkTAq7oXGqR+4P&#10;8qgkXIqfRvl1aH6kfoa8pHGjr1FSr1pgFSDrViJVqdDUC1MhoGTZ4rltdvLe11FhPKsZcAjcevAr&#10;qB0rl/ENtBc3/wC+jV8IMZq47nRhv4hhT3UEmfLkV/8AdOa8/wDE9hdy6iZIrWeRCo5WMkfpXY3+&#10;maahIZFUnnGcVw+r6dJ9rlew3COJA0hEm3aM/WtD0GZdlaXEd7CXglTEin5kIxzX2ZaHdZwnOcxq&#10;c/hXxta3l1BOjG/n2qQSBI3+OK+mfD3xJ8LX+nW8a6mkU0cSh0mUqQQMHrwfwqZajR21LUAu7c23&#10;2nzo/IxnzC2Fx9azIvF3h2a5+zR61YtKTgKJ15Pse9SM2qKQEEZFLQAUUUUAFFIaWgBsgyjD2qGG&#10;PEQ9xU56GmxDESj2oA5HxroNzqaQT22wmJWDhjjjrx+R/SvLWwQQeBXv8gB2f71eFeJrFtI1u7sT&#10;9wNlD/snkfoa5q8PtHXh5/ZZz19q+mKRb+Ws0nJAXqKzoZrQu7RxFZM9G649as3cTxRl4bdCncbB&#10;WQ0AklEjJ5bj+7xUxtY6Ga6P5ki+ma6kTNHpUgUE5Q9BnGeMkeg61ydtwwNeqfDi28+4ku3XKKPJ&#10;XI4ORk/0/OumjLlTZzVmeS3kzaN4hjt7QwyGSzO/zreOUbWYEABgQOnUU2yt0exu2l2oGk6AAD8h&#10;0rc+IcKH4wXseRGgtYhkLwPkXtUVrZSxaO97cwMts0m0MYiQzegIP88VFTTQiEuaXMzl5NPjnbdA&#10;wYjgisbUbGS0kyVIVuhrpzNZpdMsC7XHbaRUd0wvkMUkLqpHVlxn6VMZtMuUItaHHKNxxWrY6RJd&#10;7SAcVaXSLWO4USXCJk8BmxXUWcllpcaLMTGJCFRyMgn0yOn41tz32MlT7nDahpzWkpXpTLSc2qu/&#10;ll88cHpXW+KbUTBJ4Iy67csyqSMetYtnYyxWRmlhdUc/KzKQDj0NXJ2j7xCXvaFLTZg0tw+CNxHX&#10;8aunU4IboPy2BjgVlhHNxJFEpJdui806aznj+9C4/Cp5It3Y1OSWhqxapBOxBO0k/wAVX2ILQ7fT&#10;JrkTC2eQR9a1LC6eN0jlYlOgPpUzoq14lwq62kbwHzlv9k1PagpbuxByT0I9qpqxV2J5G3Iq5DO0&#10;tszyMWbdjJPsK5WbohbBuo/UsP50ON2rTg9Oc/hTVbdfRDtuH86Yz51C6YHoTj8qpCGEbIrvaeOm&#10;atoVi0kHAJzkA9DwOtUsg2c7kgY7etTtltMjGME9hTewLctsD/Z9sQeoOcemTWfK+68jCMdu0ZHv&#10;V7ASCMHg7R+VZ4yLpVBxkCiKBkkShtbj46HNPQ51CYDk5plrldZ5IOAf5UsLf6ZK3uf61Qjuvhzz&#10;eaq2eiRD/wBDrv8ANcJ8Ohh9VY9zEPyD/wCNd11rspfAjhrfGzjfiS0v/CMExFtxlAwoyT16d/y9&#10;68Yl3yBInmYiMfIOoOccflXsvxLwPDkYBAbz1Iye+DXkkyK6FkBQLzvxxnqdvfHWhuzOd7lQpIjL&#10;siJ2/wAI5+uR2qaN5GLE4Cw5wpbJHbj1FI7KbX90zIT1wx+b8OvrSH5dqgBSCTuRs5/x6VSESxEI&#10;pLxN5e47iowPp/P9KGEm5pGEgw2FJGdp/GpWCgBCrRoAQQpBYHnrQRNkDdI3B+Zjnjtj0qkISNZZ&#10;VQlgxQ5G7n8Pf/8AXVmW6k5JKhScBVGO/Jx/9fvTsvInz7WyMZA6Y9McVNDBEsbCSKQNtxuVefUn&#10;+laKJI10M1mHd5G67ShzhTjII+v8/SmEJHGqOPkOcBf4T6896lSzlRWfaHV1wSOg+tPa2nEH3Oo5&#10;yB/Wq5AKWxfJDZ24kGXLAjB9vWkggknJjVCwHJY8Y/zmtCK1JmwGjCr8wDDIJx3/ADpfsix2QEQO&#10;DlpCRkjtxjoPr60NAZr2UnlSTA7hCQW3DH+fSnKZGQP+/VGbCMg/j6jirq2allSEPKpjBIJPBxz+&#10;WKZ9nmEICgqknGG6A+vtU2C5DaB7eCRJZFi2MCGXqf8AHillspYXYLA7K4wSxGW71Ktk0LuMDchB&#10;+V8nH4VH9nlmcgAM2CxO/t/SiwEFtEyS7th452gAgY9802SXDMd5cs2Tgf1qwI98OZslMEII1HDc&#10;VZjs4pYFCINxXOdx656f1ppDKYKSorbFQr1UEnd+vFOgUSu+WWIoPvgk4+gq4bCWNNqxyy7cFyB8&#10;pX2P51EttGsBLqQWYnCt0HpVWA3vClo1vrDzIyHyLSabcQDjEZ5x+XWsRWRnEG8jg425yWPFdF4Y&#10;aQW2tTYJVdOkQ8AH5sAVjOqnKoVXP97sMY/Gly6sb2KbI8jgeYNq5Aye2P8A9dQtbC4wc9B90fw1&#10;bFnK7ZXbGCOOODSppwx+883PX7lVyknbsARUumjbqcB/2qjAqWzG2+gP+2P515CORHYAcCnjrTVH&#10;FOFaASDpUi1GOlPFAE46VzPiSQQ36M3CtGBu7Zy2P5GukRq5rxf9ilt5LW8z5dxBsO3GQQcgj8aa&#10;N8P/ABEeb+LnjM8UjFioQ8J1J7CsO28J6xexrPKqRq3IEjHdj6V3MOjaJDYWUNiZpjCzSO84Gdx7&#10;ccYH0rSRwCMjgVlVrNO0T2adFSXMzyfUNKk0yTZKpLepHFUxIRjFd/4xkSfT3YoAV+6fSvNC5zWl&#10;GfNG7MqsOVm3Hq939m+zPczNB18oyErn6dK1/DljaatM8Elx5cgGVXOCfpXIB+9WLe5ktp45omKu&#10;hyCDWsldaERdnqe3/DzxRe6DrKeHtQczWc8m2FycmNu34Gvaa+XpdS8+zt9SgLJNFIrBsjOQa+mr&#10;GY3FhBMTkyRqxP1FZq/U1kktixRRRTIENLSNmloAKanCCnUi/dFACN2+teNfEgH/AISicjsif+gi&#10;vYp5oreIyTSJHGvVnYAD8a8Y8bXcGoeIbqa2kWSI7QrDocKB/Ssa7902oL3ji5rmQJsJwKoN8zVf&#10;nUHOaqADdwKwgzrdyWAYIr3LwFaC38O2DYwZZJHPv2/pXiEAzIo96+hPD0Xk6Doy8f6rd+Yz/Wui&#10;BzVtjw/4jf8AJYtRH/TtF/6Alb9peLJ4bjsZBtUS+aGB5zjGK5/4h8/GLVBnpBD/AOi0q3ZzA2YQ&#10;9jUV3ZioJMRtIsprjdLIZHY4AIqTXdDtIobdYiR5agHJqKO7jtpmnkiZ1XpjsfWkudft7iXZMjNl&#10;cZHQVhFnW0ZQ0NS6MY1lVTld2eKvxaVCiqghGAcgHkD86LOYEbXBA7fStCOaNMAHP1q1J3JkkVNR&#10;0hBHFdk7BGCG2nHH4VnatGq6E0sb74CvIHQEHg/rXU3EgkttrKG3LtCmufmSCKzbS5GUhyZCGyMK&#10;P8iumq9rmMNmYPhiyjVzcsuSe5rsV0+3li3GFSW9ulZGm2YtdNG4kckhvbsaLbWZrSc7b1bqEfwY&#10;+ZfrWMrybY4e6rGk/h/T5T++iGPYVheJPCkMNobyw+XYQSnXiugk8TWdsu6SNmJHRRmrpuYLrwlq&#10;N8IpB8jJtlTG04/+vWlCMnIVVxsebgnaOv3BmrtmD9lY9sk1nlmDPzyABV2F9tjH0+ZjWUikNQAa&#10;hGSOMikBjaWfYPmx8x96ckha9jUgZ3Zz6VTiJ824Oe+KaQErR7oJox3bk5p8zYsohkgYHIOKYHKa&#10;XMQPmZsZ9qWcn7PDwDx0+lMDQuf9XB7xL/IVmAMdS2r1yAK0p22xKWBwI1GfTisxGP8AaLkdVPH5&#10;UR2Bk9ojDVmLjDbW4z04NFmw82Yn3pmnnN/MzuMhTkk020OXlJ7k/wA6oR6L8PCBa6gzZyZVHT0H&#10;/wBeu03E9K4/4ert0i8Y9TdEfkiV1+a7IfCjgq/GzifiZKE0KBG2ndKW+ZscqOP515RHJJPAse44&#10;YBevynHbrXpPxXAkstOj3gEyOcEdsDmvN4Y02eUFfzd3ryP+A4/nQ9WYS3LRXy1QxRCRSCCobnPu&#10;Oo9arAmRvLMJaQZIG4KD75/GtA6ZtX9+E3NtJ+cjOPXGcZ9qUWMEUpaPJAPG5eVP1pqLBQkKPs8i&#10;ieYEER/OBwQfX8asQvbXKxoZkRI1OMt8xqrFbFlk/wBbgdWz2/CkMTwPEW5UZ57dapQJdNnQaDok&#10;+rTfZ7G2lndRubA6DPtXW23gPUppZFFsyvGvzKy4x6H61m+C9Y1DTbhhpwUF1w7CMHcPxHtXtug3&#10;bXemi4mJMxP7xmAGT/8AqxWk24K5UIKW55MngfUoImSO13NuyHKk/Tiq6+BtQlu/KMUrSEbsbcZG&#10;f8817qGVl3Agj1FVFWf+1mLMvliLjA569/1qFXeuho6KPIR8ONUBDeSwbGOnH5UsPw31Rd7NESzA&#10;jH4V3l74l1C3uJI0t0cKSAcGn6X4iv72+jhlgVEZgCcVq3UteyI5YbHk97oN1pFyY5IjG5B37QVz&#10;n/6386SHQb+62sUK4IAYLkkfj+Vel+NXhXVLNnTcVUEgd+eldHa6gTb28hsGhilKqnI79OKTl7ql&#10;bcXs1zNXPIbzwHqNtYm8uYwwmGAM/Mo6iuWvrJLSYqtsEOMEMMk9Oc9q9/8AEHinTdAjxdN5kp58&#10;pSM/j6V4x4k8a/2pq63dvY2kaxDaFeIOGH+0D1NFPmmrtWKlTS2MUxJczIrwne52ho/lwPoOM13m&#10;nfC6e4tYZpUEQeMHbuGSD0ziuO0fV7S41iObUUWKAybmaFdu3nsOlet6h4kkit4brR5JZdNChGmK&#10;5UN6ZIompRS5QjCNzGHwtlYLuugGAwMdMemM1n6j8NltmJe4Cb/SLj8Pmrq7DxHdzyLvlyDXT6hb&#10;/b9OGxQzYDKKxdWfc3VOKeqPFotGnsotRsLa5OydEDLswzc5IHJ9qjg8Eag6q3kKoxjvk+9ekeH7&#10;O3XWJ2ugvmr90N612CSM8hHlkIP4iev0FaSquGm5nyRlc8atfh7qNxasxtxhOBlsdP51VbwbfhiB&#10;C6gdkJxXrM/iKKG7MCxbxuxv3cfyrYyxUEBTn3odecdWtxeyi9jwKC+tpW2eYqyDgoxwQfSr0OBc&#10;REf3wf1rg1vi16zIhZSM4Zc/Nmum0/UWkELTSIHZhhF7c15UJ3dmcLg0j0ZB8opaapO0UorczHg8&#10;VIDxUS08UCJC21C3oM1zGrgXUb3OpLKkUSZj8hCcg+uRk/liumI3IV9RXMapM9nbfZ2HzE468Fe1&#10;RJtanXhYc0rLc5JJLC4uFks1IIPDYKkj3FWZb145AqxF/XHWrapFax/aZIIhn7oPU++BWfcyXcey&#10;e0t0nDHLAnBxXK9We8tEZPiMrc6VMyZBUZKnqK84bhsV6Nqsz3VuyyQMjMpxxXnlwuyUg11YfZo5&#10;cRumMU1IDUINPBrpOc7vwHp663OdOckF5FIb+73Jx+FfUlnF5FlDF/dQCvnr4HWgufFE7sMrHBn8&#10;Scf419F9qze5pfRC0UCigQ1zhaR5EiTdI6qo7scCsfU9Y2MYLfBIOGc84PtWHLO8r7pHZ29WOaTl&#10;YDo7jXLaLIjDSkdxwPzrMudVuph+7YxqBwqnqfc1mg1IpAOKnmA4S+eec7ppXkY8kuxJJrElypOa&#10;7LWNPMMrOAfKc5B9D6VzdzYs2StcM009T0KbTWhg3G1u/NUyADxWhcWz7yApNU2jK9qcS2h1ouZ1&#10;J6Zr0bw7Pqc2mz7NTurePcq27IQ2zAO7aGBGOR27Vx2haJPqUodt0dsD80nc+y+/v2r0OBEtoEhi&#10;ULGgwoHYV20tjjrNbHndx8PfGuv+K7i9k1ixnuZo8tdOoQOFwoXaF4OAOg7HmtaDwF4o0K1uLjVp&#10;bSe3UA5gPK++MV2ayNFJGyEhl5BHrXQ2uqxXtvJZ35B3qV3now96qcFNGUZOLujxK7u1tVdDC8gI&#10;/hHFYcOpW3nENbTH3CE4/Su21nR/sWpXFgzA7T8reoPIP5EVzT6NcxzNucNH2wa4o2WjPRTTV0Pg&#10;u4rs5i3fLxhlI/nV6EfOKqiNI0wBhh+tWLcksKcdzKbM7xL4kbSpooIbdpW2FicHC+lc3pviOJ9b&#10;juL52HmgpI7DgA/0yBXfXVos8bK0SsWHGVBqmNHsg482xtnwuCGhU8/lXQ5xe5y3dzS8yOSLyywx&#10;sHTvxxWMumJeX7CE/OTgsR936mi4lzOwT5ccALxiq3nAAxo00Nyh6j+L/EVmjoWu5Pf6TcDUHgWd&#10;iY2ADIwzjt1B4ravFbT/AAlLA7bix+cNgjPbpxnrz7CuegvXFwWaUzOo2sScEUzW9Xlkit7HOFXM&#10;jc9T0Ga1jJxuTJJmFLkO/bgfyqzCC1nGCenIqkxLea30q5EQtpCx79KxZSC1f/T0JGev8qjRAfNw&#10;wyx5GOlOtc/2ig+p/So/Mz5pwB82OmKYDJifsBUMMbu1WJn2wxE9AuaqyEC0HGctVm6ljWOGIDdI&#10;yjI/uiqSb0Qm0tWaF02InjIwcgCsqDAvnJPHP8qkudSjlmbOAueDnOarRtukdh05qlCUVqTzp7E9&#10;ngy3HA4Q596Sy4jZs9zTdNzsuX/2DUlouYZPY02M9N8AD/in5G7vcux/75Uf0rqs1y/gMbfC8R/v&#10;SyH9cf0rpieK7Ir3UcE/iZ5n8T5wb+xjIUlELDcSOp7Y+lcjpcDSSvvfIXP3T7+veun+JAf+2YOr&#10;KYQCqnBOS3Ppx/WszTbQ22n3Us+9ZiQiBuwGc9OPT8qjbUmnHmmNaSGFw+3e2e9VzqmGbYq9e4rO&#10;nu83G0H5QaiZWyWAOOtapmzNQ6n5jAhQueuO9SWrRS3SxTf6qQ7c+h7Gsb371o2gD7MHkVohNHon&#10;gzXrnwzdXEBtomkbCsXHb2PpXs1hNHfaUJ5to8/l9vAz0/wrz7wzD4dl0mK+1MNJIyqo6/KRwenP&#10;NdNZ+KPD8Futst1sVJThWB4APH9Kmqub4VqZR9167HRyfZokjt3YKCQFXPXmqt9ftaahHHFC87un&#10;zIg5Azwapza54elmS5kv4i6fdOT29q5TV/H8VtrbzWBR49gTLjrUU6Tb2+8qUkjtX1SQKS+mXGBy&#10;crn+lUovE+nG4Ef2dlkzj7orG0X4hx310kV0kcSMcbga3JdH0u4vhfJcRjJ3EKwwabgou00Lmb+F&#10;mb4utFfUrB1GXlcIR681W8fa/NpVtBZ2khhckYZThsAdvQf57Vc1XVtMl8TWKS30KRW2XZyw27uw&#10;z+Vef/ELU4NX8Qg20m+KOMID2J56VSulG62Q4pOTOH13Ubi4uWklleQscs7Ekk/WsKS4JUjP5VLq&#10;PlLMSCeaz2Jx0NdCldA1qW4pSc4YDA710Oi65deQ2lSXhjspjllZsKGA4PtXICTBrp/Bvhp/FOtw&#10;2CzrCr5LORnAAz071V1bUlo7PRb6S0VP9Lhu4Dj542+ZDnGCOpHvXqNpcarBpS3GEMW3IzgnFeT2&#10;2kQ+HvGT6Y86zwJKEdiMBh64z1Ga9ruDa6dojRtKPLEZVCx+9npiuWtBKzXU0jNvTsZPhl5Jr25u&#10;G2fO7KcjnjH+IroLq3luUKLOY1PUBetcHounX+ppcSWciQp5md7MefpwfStuHw/q6OGe+Rhn++f8&#10;KiUU5aysJPTRF0+GYS2TO2f93/69aEFlcW8QjS8JUdNyZx+tTSRSNZGJXAk2gbs96w30TUGbIul/&#10;77P+FQpOSs2U15HzkNM1CKfIRGOMDY2DWjFHNaQkTOyYAZUk6+uQRXr8fhuwQsRZRc9cs1Ok8L6V&#10;Pjz9MgfHrI1cfsuxlKk3sQxHMan1FPp0qpHIyIu1QcAelNrU81qzsOFOBpgNOzSESqa5DxUs0uoI&#10;IiPlQdeldaCK4TxpuOoBPtLQblBDAfzrOr8J3Zer1kc/JqcqyNHdxsdvTFX4ZQsCMkgZSOBuGR7E&#10;VkQ3s8Mvl3Ua3C5wso5x9e9WpSGO4ADPpXK9D3mT311HLbFXHQHGDivLtSULcvgkjJ6nNdvfTbI2&#10;+lcPfHMjE+tdGH3OXEFQGpBUQ609a6zlPVvgffJbeMjCzhfPgZVB7kEHH5Zr6Sr468HXBt/Eli6t&#10;txKOfavpzT9WmgC5Yun91j/L0qWiuh1NUNYuzaWDFTh3OxT6ev6Vbt7hLmBZU6H9K5XxVdb7lYAf&#10;ljAz9Tz/ACxUydkBlvKdwHvUkZzVXOQhPrViM/zrFMosYBFIGYHGPxpR60tMBGcMpVwGUjBBGQaz&#10;LnS7WTOxjHnsOn61okYqB0DUmk9xxk1sYf8AwjsRYs12B7bB/wDFU0+G9MjcTNmdh1UnK/XA/rmt&#10;kxqKTBPyqOtSoRXQt1JPqVkkVVCooVQMAAdKlWTJAprWNwuWEZK/UVJFZzt/yzK+7cVujNj93f0p&#10;PMAO7NWotPOP3j/gtZ+sw+RZBoMgBsMT1olKyuCV3Y5zxDIZL8yqecAE1gTTzYxvOK17gBkINZL4&#10;wQa4HLmlc7krKxWUlm5q7bKTKo96rRAbq0bNR5qk+tbxMpEpZQTkc0xWJkChgM++KuzaZc3azw6f&#10;GhujGXt2d/kZh1VvTjoc/WvOI7zWdI8Sva6+k0M0ilAsvAHPBXHGD0yKv2bauYPR2ZtX1z5GotIV&#10;zEzZ47VYcwXKBllH6VDcorwncM8VmQ2yGdfmIXPPNKJtdo07g2thaCViqqDjCjiudmuWub2VyeDj&#10;A9K625NvFoWqrtHlNbuRn6cfrXl6XMqDAcjHoa3VPmM51OV6nQ7ikEoODkirit/ocIwOF4rn4b9n&#10;Ty3PXvW+in7NGewFZVKbjuVCalsMs2/08nsqt/KoyQY5COQWp1r/AK6UjspqEZNof96oRYkwIghx&#10;/erZi02GeAbm/fTj75IBGOgFY8uPIi9a7DS/L2xAKgwoxx371pEVr7nFajpdzp9+tsyvIX5TaMlq&#10;nt02loz8rquCGGDn0r0l7RLmEsyDcuDu7ge1eVi4nm1C6nCoomYyZY9MnpXRrKJjZRZfs1K21x6k&#10;YpIMrGwz1I/TP+NPtwpspWXjPaltipiO7pmsGrM1TPU/Ba7PCVl7mQ/+RGreJrF8KqF8L2A/6Zk/&#10;mSa1yeK7VscEt2eW+PrmH/hJUE3zBFTC5GCBliMVt6+0EljcXUWFFy7SrGOAqsSRx24PPvXK+OnW&#10;TxTcBV+dAhHy/wCyOfTrW7cFr3T1dmBLoCdpyPwrCpJ2SNsKlzM89KkzO2OFbmtI71gVhzx+lVr3&#10;FtO6jOSfmGOtQrdFuCa3jqhvclTYDhuOatJHs+ZHB+lZ7KS2ePzqxHOsONvLeuau5J3Oh6k6WAiI&#10;zjj2rO1e5kinaVHOCcYznB/yaq6NdsC4POabr8m8IxJyBjg1UZNMiotCM6pKSV344qE3jOST396z&#10;SzMRgHPSnDc2FxyRnI9PWt1M5zQhv2QkqSCO4NXRr90g2ec+P96sDdgsNwOaCT1Vs8Z/+tT5xGpN&#10;qEk2CWOR1OeTW7bRvJokMzuTKc44GNoJx/WuSHzgBSenzZPeu00+US6PbfNnam3pjoSP6Vz4ib5T&#10;owyTmZkED2kiXS53524xnIPB/Cq19HEYnG0DGcY7VsvkKdmM9uOlYl+vlx4zXJGTbO9xSicq7bXI&#10;961vD+tXGj363tuxWSMHafcjFZslszSEjoaa48o7K71I4WjbGr3EtyZpJWaRm3FieSa6S81y7ltr&#10;WQ3LlQmMbuhFcCjncMVsC4xBEpPQZqnMmS0O/s/Gep6LawLbTDymTcqtnPJPXBGec1cj+Juqs+TP&#10;jPYdK4HVL+aWO2SSXeUjCRjj5E6gcfWqCzlVJJ6cUoKL1aM3J7Hq6/E3UVHzTA/hTj8U78fxp+Ir&#10;ydblnIwcZ4yaPtMgzkDrVOMOwuZ9z6YBpSaiDU7NeUdZk3OPPf8A3jUQqS6/4+H+tZGr65ZaHZNd&#10;XkuFHAReWY+gFB5E/jaNbFRTTRW6b5pEjT+87AD9a8b1/wCI+qamxhsmNjb548tjvP1b/DFcfcah&#10;PPIXmmklc9WdiT+tPlNY4aT30Pf5vF/h+1YiXVrbI/uNv/8AQc1y2seJdI165KWrmQRjaWZcZ9xn&#10;mvIjKx7mnQNM13EkDskjNgMvaoqQTideHpKlNSWp3UiLG+UfK0v2j5cE1SkDKoCsTgd6qSSOuea4&#10;rXPVch+oXIKMAa5O6fLmtq4JKkk1g3XLnFdVFWOWq7kK81KtRKMVIK6DE0dLm+z30MoONsin9a+m&#10;LKQTWUUinIZAeK+XoOo+tfQngXUDqHhi3LHMkY2N+FBXQ7bRNSW3uGtpWwjjcD6EVz+p3X2m5kmz&#10;kPKSPpnj9KS4kaK+iwcZVun4VVujtiGexzWNXQcSct932NWYTxWZcy7ErQibCA+tYplFpWwacTUO&#10;eKXPFVcQ5jUbMFUk0M1WI7EyAGbIHXbTs3sBUiSSc/IpI9e1aEEIgHzKC396pspEgC4AHYVE0wbP&#10;vVpWJvcXBBNMZ8EKevam+dnBpso3bW9KALC/dyajnhS4geNxlWGDUkZ+WjgHNDGeda1bS6Zc+XID&#10;5bH5JMcN/wDXrFkO5q9XvLWG8iaOSNXU9VYZBrmbvwhbsSYHeA9lPzL/AI1zujr7p0xrK1pHFLw1&#10;XIHO8AVqf8IpeLIQZbcjt8zD+lalh4YWNgZplJ7hAT/PFVFS7Dco73J/DaO90HwcRqST7mt7V9H0&#10;7XLBrPUrSO4iI6MOV91PUH3FPtbaGzhCRrtH6mrDHOCK6YKysc05czucDq3gKW2td+kzSXaL/wAs&#10;ZSPMx7NwG+hwfqa89murWzupYbmUQTRHDxSgo6n0IPNe/Btp4Ncd8RfBUPinSmvrSIDV7ZCUKgZn&#10;UfwH1Pp78d6SpxbH7RpHj2teI0ubA2FoSUcgySYxkDsK5hjyacwKtgggjqDSHmt0klYylJyd2CNg&#10;iul0+7a6syx/gOwn+VcsDjNbWhSH7LMh6M4P5VFVXiVSdpGvZZL3DeiH+dQxuEt+RnJNS2jf68jp&#10;twfpmoZcLAoXpk1yLc6+glwc+T/KuistRMEi24QMeuQfu8965yXJMJ9q7TS7WSKO0ee0XZMzTjfw&#10;ZFXofXGTx/WtqVPnlYzqT5Fc6TQ7Z5jvu5PKgYZJPB/CvNfHmiHQfFcltbQypZyqkluJM5KkDP8A&#10;48Gr1jTG+0XH265UrGv+ohJ6f7bY/StzX9H0/wAV6EbO4KpOoJtrgjPlv259DwCO/wBcV3ezUY2i&#10;cftW5Xex4HaBk06Xce9PhB8jj3qSe3lsree2nTZLFKY3U9iOCKZFxBj1rhk9Wdq2PXPDy7PDmmr0&#10;/wBGjP5qDWizcVR0cbdEsF9LaMf+OirbHiuw4HueN+L5/M8Q3cyIWAk2HPTIGK29NdYdFtVK7coT&#10;tJ9zXP8Aie4WDxPcfK4jSYnKuP0BqmusSQQ5V8KQdgY7sc98e9YShKSsOjPkldmvqWmfbzviIVx6&#10;965y9sZ7IAyLgH0rSsfELPeQRMc75AhwuBzgDvW9q+mPe2JVB83UVKlKm0pbHXpUV0cOrF14yx9A&#10;KcjMG5GMda6Kz0ZrbIfr7VgatPCbpo7fkKcMw6E+1dEKik7IiUHFXZes77yZ1Iar+r3XmgRrx8u4&#10;mufsnAddylue1aV2jPIJzt2kdM9eelatdTnnLSw15XSFR8qtnOfUdqYzbOVIOevzdai+ZsvtO1Tg&#10;gDNOlRgxxuCscLk4yKEzEcAFkAyWOeMDrQ7PtGCFB9qJAXdfUdTnvTY2IXdlcJyc+uadwH7RGMtn&#10;n14rp9Dud+lbM5KORjuB2rl1aNl3yBlUjHHPNNguZoXCpMyAZJZcj+VTNcysXTnySuduJCTg1Xub&#10;YTSKD0rK0vVHe6SKV3kEhwCxyQff/Cu/0vQri72OkOVz95jgCuKScGejCrGcbnIXujNbW5cR5AGe&#10;lcVKxeVmPc171qfhO6u7Nolu41OMfKn9Sf8ACvENY0q50jUZLS4XDIfzrooSdrSMatvslNSQwrWi&#10;kxMASxULtO0/pWQB86j3FX4TKLgBF3bnAHsa2kzmkbHiVLePWpooHfyUVFUk5OQi5H55rFLnJTaQ&#10;c8ZqS6DRyMCWBBIIPB61WY5JIYgE5BPWnF2RnuWWYEkKGIAy1NSYpkFQ31pjsVQKMEHGcimM5LHa&#10;hx+dVzCPqUGn5qFTT815x2GbdnFy/wBa8O+ItzC/iWVYkClAA7D+I/5/lXs2uXsWnxXF3McJEm4+&#10;/FfOOs37alqU9y/3pHLH25po4KcL1m+xT38ZpuRTJDlgvYUw7i3y9qo6yyDWp4dtGu9VBAJEa5rH&#10;BOOeK7HwRiOO4lI6sBnFZVpWgzWkryRdnjaKQqwqlOtbepbZHDKOtUDbbxyMVwpna1cw7gZTAHNY&#10;lzblVLGuxayUZ4zWBrcYiiGO5xXRSlrYwqQ0uYg6CnCmr94CplTnFdRzDouPzr2PwLqKQ28TA4im&#10;XDD0YV47jbXY+DtSVHOnzH5ZeYz6NRexS1PY5HE2oRsOiI2fxI/wqG/GyIgnOOlR6bIRCJZeGKhc&#10;Een/AOulumEo2qeKwqyTZcYspXk2YvqK0baUtBGf7wBrMlt2dANyjjHJq3a5ihiQsCUQLxWCepbi&#10;zWRvkzVmGB5iAo47mshroqoAIGPSol1OWF96yHPuetVzq4uRnTpbxwtuOWPv2pk0nyko/NVLfVEu&#10;7YOCA3QioJLtCcMMHsa6VboZD3uXDbJeM9G7UFmUgVTnncxmM4Kmo7S/UfuphkjoalgaSt09jVou&#10;pAB6dKoeYNikdM1KW5FDGXwGA46UxsluKSGcDANWSiNhgeaNwIdu0Z700yZON22lmbYMVWKs5z3F&#10;ACTkk5G1v+A0yN2B7A+wqQSYG1wM0wD5qYEyknrVj+Gq6mpweKtEkLnmmLOyEYPJNSSiquRvGaWw&#10;zxv4teG4tI16PUrVdtvqILsgHCSj72PY5B+ua88PSvffipYi+8CSXAXMlnMkv4E7T/6F+leAk1sn&#10;dEMiP3m+la+jsECJ/eBJrGY5LY+lX7OXZJEc47UNXTQ07NM6S0xi5wf4aqzufJSprQFYrgHhmwMH&#10;rTbm2ljj2OhBRtrHqAfrXElqdhZsbZbzVLC3b7skiq3OPlyM/pmvSLk/2rrUnkxhYolSH5eiqOij&#10;05/kK4Lw+Y49XNzKQBa2zSKG6FuFAP4tXf6QWtLJcODLJl5H/wBo124aOhx4h+8XZ8RYjViT1at/&#10;R5P9Ai3jKMxjb8a5KeRlmBYk7j1NdRoI86wmg78Mv1ruSscrPK/HMYg1/UkznMwJ+pRSf51zgYi3&#10;z7VvePXZ/EWoZGGMw/8AQVFc8SfsuO5FeXU+N+p6UPhXoe02I2afbKeCIkH6CpXPFIpAUKO1Nk4X&#10;Oa6jhPD/ABK27X76Q7iPOfrz3rALZNaWuy7tUuCMZaRjx9TWYKIbDiia2Yx3ULr95ZFYfUHNeurG&#10;duMHmvJLPm+gz/z0X+Yr1TVPEFvpVg1xLCwkyVijcYMjf4eprnxKbaSOqg0k2zF8V6lHp1n9kix9&#10;rnHOP4E9fqelcEijNS3d3Nf3clzcNulkbcxqMcCuilT5I2Mqk+Z3LKOFq3HeMIyjDch7E1lbyDUq&#10;SVsmZNF4yDbvTKk4DAE8j1P6U4IS/wAwZmPBYtnB759eKgiYZxk4NTyFIydjB26kjrgZ6/55qHoZ&#10;tWCPzT8+Aw5QDvk+3XvUixGTKgYKjLH1Pp9KiMyqMZZSDg5wc+vsKEPll1WTcuC3HGe1K5IyXGFj&#10;QHI+8c9cUowSMN94dz705LiMKwKEA5244ODkY/I1d0uxXUbqytUXBklClf7w7n8qG7DO48AeBo7+&#10;YareMGtFP7pRx5jDufb+devrCkMQRAqgDAA4ArHtJY7CyhtbaNEVFCqo6KBTzfTRuC7lwf4eOa5p&#10;SuzrjCysXpeAeOK4rxv4Wi1uweaKMfbIxlGA5Psa7EuJE3LkjqMGomG5ehKnjBFVF2A+ZVicT7HX&#10;bIrYZT1GDWppMMt14gsreAHzHuEVcdySMfrXc634Cmm8VG8t5Io7WRg778/iBRa6Cul/Euwkhhkk&#10;g86OdFXHZhkcmtpSVjKaOL11IrbX9RjcsyJdSIoY5YjcRknuayXC7GKvnAyKk1C6a5v7mdk2mSRm&#10;68jJzVNHaObLD5evIojsZvclS43EFypwOA3Q4pxV2AJj68jaP0qrw3Xr7U8Ju53MPoaq4j6j8ynh&#10;s1VLYp6S4FcKZ1nBfFe7aDRliU485xnHoK8Q616v8X75P9Etv4sFz7V5Lu5rQwgrNvzGn/WGpEGB&#10;UY5kNa9r4f1W6TdFZyFSMgsMfzpNpbmiTexm4rufB8QOlue7Oa5//hF9YX/lzb8xXaeHNJvLPTFS&#10;aFlfJOK58RJOFkb0ItSuyxPb4TcBVVhW+tjczKVER59aki8MysMzSKvsOa4lc67o5aReDXIeI3Am&#10;jjHUAsa9fHhm0XmaVm9gcUn9g6BFJ5jWcUkn95xuNa05cruzOouZWR4VDDNMwEUbyH0RSf5V02me&#10;Ctc1IhhaGCM/xz/L+nWvWo5LK2GIoYkHYKopW1JK2deXRGSorqc3pfw2062AfUZnu5O6r8if4n86&#10;6m00+w09Alpawwgf3EAqq+pjHFQNqJNZOUpbmiilsa0k6gdaqSXJHIqibkt1NMM4zSsMnM0rtxmr&#10;0TlI9zHms9LpFWoZr35Tg0WAuXN4AetZ8t6SetZ892c9apvclzhck+gppE3Ol0jUCs7xE8MM9e9b&#10;Rv0UBZFGD/F3FcBZzzR6jC4BCg4OTjiuqlbchBraMrI557mzFIH+QnI6qahuQuCwUB1PJFYsV20D&#10;gFjweK0J71JIg4Iyy4NVzJrUSNi3bfFCKunk1l6W++PfnIHFaqcnmhO6GNDE8Ufa3g4BzTW+WSgq&#10;rtg0DA3TTNljViOQbeoP0rB1fU4NNVhG6tIv3i5+VPQHHJP+yOfXA5rjZ9fvr2crbpcTHPTLqPwS&#10;Mj8mL1MqkYK8mdFHC1a3wrTuepAgjsaHX5Ae9eaxDXAu82ioM4zlYj+e4N+tXYPEepWDKLhZFizt&#10;yzGWPPpuJLZ99xx/dNZwxdCbtGSNJZfVS0afozvVPIqdTxWXp+pQ6hCGT5XABK5zwe4Pce/4HBBF&#10;aCtxXWjhaadmLIeKzpnxNGB15NXpG4OayZXzdqPRc05CJNQs/wC1tD1HTyP+Pq3eNfZscfrivmFs&#10;hiCCCOCD2r6qt3KkHBPoK+ePH2lf2R4z1OBRiOSXz4+MfK/zYH0JI/Cqg9BM5T+Jq39A8O6lr0oS&#10;xiG1GG+WQ7UT6n+g5rGtl33W3Zu6cV634P0w3GnFTJLbtGd0bREr1+nXpVc1mNRurmz/AGFrgsI7&#10;eeexuVSMRhhK4JAGORsxUmnaTqUCXQu9NF953BzdYbpjrn09qu2ekeTNvm1C7kHdVbbz65yTW/by&#10;2VuPlg3N/flyzfnTjNJO6Tv3RLk3bVnB6f4CjdpVvJ7i0dlGUISZZFz0B7EYGevUU+WWfTBJCIDN&#10;sYqCjDnHFegm7hlkVm8vI4zsA4qM6dpVy5LW0B3HJ2cfyq1O3wJIWjfvHmlzeyyBXKsZAQ2Odq1p&#10;aT4h1hboG3aKJCcbTHnI988/yrsZvCmlSfdhkjB/uyE/zzSQ+CrKNlkiurhT1w+1v5AU3OpLYqPs&#10;keQeMLprrWrudgoZpiCF6ccf0rJjUv5MY6swH5mvR9X+Gst3PJJFqqFmkZ8PAR1JPUMazk+GurRX&#10;NuyT2ckaOpbDsDjPPBX+tczjJu7NVOKVkdnjvnNQ3EipC7scBVJJrRfS71R/qc/Rh/jWD4n0zUpt&#10;AvI7eKZJDGeQhOR3Ga6DkPCr2bz7yR/ViahPFO25mPHSmuKtFjoJfJuI5cZ2MGx64NWdS1S61e8N&#10;xcvubGFUdFHoB6VTCFun51KFCDjk+tFle4X6CAYFBNBz6UwtVAOxQDikBzQRQBPFJgir6OC4d2ba&#10;c9B3PHFZIOKtRsWRcDOG6ZoeqIki2qKGKu5Yg8KCOv8AjUbBcBiSTkgnHH4VHHIY3LoWQ5G0DIJP&#10;foad5g81WAztJ6jiszMVG2EMRyDkDpXZ+A7RX1ee9ZSyQx5QkdGb+vBrl9JsZ9a1WGws4WaSQ4PP&#10;Cr3PsBXs8GlW2haRHZW4zt+++OXbuTUzdkaU43dy9bzFjnr65q6MOuCDWVbff459avq+wccY7djX&#10;MdZYhuzENrL8oPOfSpJ70K2Il5x97/61ZVxPj5geDwaj+0MXXOM45zWkSJGpI/2i3JY5Yetc9fKs&#10;Gp2OoNFJItssrN5YBYARsc89hiteB8IcjqOtUdXMMGgajLOMD7JOBzjkxsB+pq3sZng0zlZSdysf&#10;60wnzULvjeGwT3NRnjLKeafnowx0OQa0RiDqUbHTAzTY5CiDBIJ680NzHnr296jZgMZ5/GmB9TvC&#10;R96SIf8AA8/yqJljH/LzH+Ab/CniGwmGJLm4jb1JUj9BVXUNPhtbCW6S781UUkBZMEnsMVwptbnU&#10;12PDviRffbPE86BiViAQflXOaZoWpatKq2luzDON54Arv7XwfFLePf6xKHZ2LeXnI/Gtz+1La0xb&#10;2caqAOAo7VM638ppDDu15GX4d+Htrp9wl7qcgnkTlYv4AfU+tdbLqFpENq7AB6Vx+pa9OQVV8Vit&#10;eSyDO8/WsHeWrOhKMdD0VdTtyei1Zhu0m5UDArjdHsLu/VTykP8AFIfT2rqx5FrEIo8AKKjqW0jQ&#10;E3HHFQzXQiQsWrNkvsAhTiqUjPdqcsyxgfewefpVKNzOUkh11rRZiFNUm1B271i61d2+l26t9oV5&#10;2I/dA8getc8/ixUOPKYmrVOXQxdQ7j7WT/EaDc/7VcL/AMJf/wBMD+dKPF47wN+dHspdhe0R3Png&#10;/wAVJ9oA6GuI/wCEvT/ng350Dxcp6QN+dHs5dh86O4FyPWj7SPWufsb6W8sxceXsB6DNK9xJnrUX&#10;tobKEmrm414oHWnWcU2qGUxOqxxEB2PYnt9a5yWZip5NdX4WynhxBtC+ZK75/vc4z+mPwpXFKLSJ&#10;4dHt9wMm6Q+5wK6KOzitrFIIYURpeW2rjIqrZwmaZV7d/pW1GA85kP3UHFOOpk2cNremnTr8hOVP&#10;IrVtInukXBwMAsx7VJfbb68YMAw3YFaUMS29sqrwAKpMlozprCDoQxPrmoZ7VY4gYwQB2zmrUjbp&#10;fxpZsFRSY7ItaG3+j49DW8vSuf0f5Ny++a316VrDYljZQM571zGveLLXRpFhaSNJGON0hbAPsFVi&#10;SMj0HI5rb1a7aysZJ1XLAcfXtXiLOus+JPtOrSXFvZK3XyXZmUHOBgcE8nPvW1OCk9RN2OludTeC&#10;/W/knaOKFt0fmW84GPUny+p6k1oL4sifT57j7dbRM7fucQyYZu/LDFVr3xVYiTUpRfXEwu4Ra29s&#10;YHWGBOm5sjJPU8DNUFv/AA0oa2R7N/sdrGlrJdQSeVJIf9Y7IFzn0BFYVssoYj3qidzqeOqWSstP&#10;IsR+Kb8nKanaN7Fo1/nitqw12C9DRalLp0TshUTC6hII9CCxrB0jV/DsGk6lHLdwx3WoqWaKCGVI&#10;EC/djOBu5yc4/Ol0+LQ2tLSyubuBDdNJcXS29wyR5A/dxHcwUfU+mM96zqZLhZLSNn3WjHLMJtfC&#10;v6+Z0NrcwaVqo+x3tvPaNl1CXCMUPdeD0I/XHpXX2WtWN46JDM25/urJE8Zb6bgM15Zb6RoF5cXU&#10;7MsFvBEFCrdpsaQDLHO52CngA/NzVn4daS0+qNfhXSEElFJz8ueMnucjH/AWrvo4ZUqfK5N27nLW&#10;rurLma1PULiQoxrMSTffSEdFAWrN/L5cbs3RRmsjTJCYd7feZixNTMyW50UDEEYNeX/GnTgJ9J1N&#10;F5kR7eRsf3TuX/0Jvyr0qB8jvWX460htc8D38KKPNt1+1RZHOUySB7ldw/GlTZUkeCeGY47jWlgk&#10;J2tzgd8V7do8QhG1Vwu0AYrx7wNZS3fiRQgO1F3NXss8aQW0aPIyZOdwOP1pP47mydqTNHNLmsZD&#10;L/yxv3P1YP8AzqTzdQT/AJaxP/vpj+VTc5rmpml3Vl/b7tfv2qP/ALj4/nmnDVAP9ZbTr7gAj+dO&#10;4rmorsv3SR9KmW+uUGBPJj3bNZK6pZtwZip9GUj+lWEuYJeI5o2Porg1SYF8Xs3dgfqKkTUXUglF&#10;OPwqj9aM0+ZgbKayp+9AR9Gz/SnnVLaRCpDjIwcisTNNkfZGzHsM0c7GkeH+LdIXR9cuVhJa1lkZ&#10;oT7en4Zrnic13vjBFvLF3HLxtvH9f8+1ef8AQ1rSnzxuyqkOV2Jg4AwKQuDUJNJmtbkDyfc03PNG&#10;aQ0APVsVKCDVbvVi3Vp5VjTG5jgZOKdwFI9BVqxjlkkbyY3kZVLfIM4wM5rptF8NW5kV7s+b329F&#10;/wDr13+l2kFmym2gSMA5wq8VhLExTsjZYeTWp41HJgBgvIxjnp6/nUjuTvCIVUHPzcnrX1G3hzQt&#10;Rgjml0ewlEihgWtkJ5564rLu/hv4WuAd+jRKT3jkdP5EVvynI0ch8P8ASbbT9GF6UC3V3yTjkL6f&#10;j1re1Biq7s5x1GKXy105ntI0KrCdir/s9v0qC6k3jnA7kk1yz3OiCsgtWJORzVtzgBsbs8HFV7GG&#10;SVd0a5UdTVuWGWKPLI+QfTrUmpQuzut2OcYPaqsbFpt3TjoBUt8zJA3+0ORUFmjSyLgE9jWi2M5G&#10;zECsC5xk1Q8SrC3hm/Wfd5RiO4oAWA9s960l5IRTkDiodSt1uNMuLdyu142B/KtIkM8Q+x6C/wDq&#10;9VvIge0lkp/USf0pBounyMPK8Q2o4/5bwSr/ACVqyZQYpXXPCsRxSLJjvWvu9iOUu32nR2CoqXVr&#10;dl882zMQv1DKMVT8oMxKYx7inMfNQIv3yeOae1reRRxNJBJtkQOhCZDL68VPK29CHofQMj7c5B4r&#10;l/EOviwUA4APTNdv5hYYlRZR/tjn8+teQ/FaeGLVYIYIzH+6yQWyOp6VwJqeh006yi72MPVvF88r&#10;MsRJ96u+HZmntWZnLTynLsew7AVwhYDnlifU1s6DqLWdwAwwp6UTp+7obU6zc7yOs1CxldkijUsz&#10;HGB3rZsdEtbGJXvMSSAZK9gamsNQtvI884MmOD6Vi6prMgDvGpduwFc2rVjrcUtTobrXoraHG5Y0&#10;Hao4Tc30CTQv8kg+U0zR/C+lLpy33iST7TdP8/kbyFjHYBVPJ+vFdFYavbLNbWWjadFEhYKRtCkL&#10;34FWoxjo2YOU5bIyo9HlDA3cjKv93GCaux6iDJLYuqpIi/uyuSrDHH0I9KwfiD4gmj1dbS1lYOB5&#10;Q2dff9TWRpTWkVrJI8pMxbcwBwwA6MPxzzXSqXu8xyubbsYnjVYLK7NvHE29j5jzP95zjH5fpXGf&#10;eJJrc8U3/wBt1FdssrqiBR5mMj8qxfLcKGKkD3FWlZEiUdKSgmgBCakjyzKo6k4qEmrmmJ5mo26n&#10;pvzSk7IqKu7HodjEsFpHEBwFAqKZNrEVYiPyAU2YZQ+teYmeq1oZ8m5iEQbnY7VUdyegr0K1thbW&#10;0NqhyIkCZHcjqfxPNcboUAuNeiyMrCDKfw6fqRXpemWYKieQf7oPerSvoc1VktrbtDbE4+dhwPap&#10;buUW1kw6M1WcGR89qydSc3FyIlzgVo9EYbsq2MRdy+KvzHC4p0cPkxAAVBNnB5pJWQMpk5kqUruA&#10;FMCHJNSxAkj60DJbA+XclccYreXkVgxDZej0at2PlOK0gTIJYIbqFoZkWSNhhlYZBrFm8O6dCpNt&#10;bRwyfwyRjBU9jxW2CFbmklTI4rQlHmc8Uljq2Ly7uIrQsd212+Vv7vH5j2rQtZobqyltrXW5Ymlb&#10;P7xzuHPAGSD0rptR0mC/jO/5HxjeFBBHowPUfr6EVyl34MuEJeKN2X1gZXB/4C7KV/Nq8/E4SdV8&#10;0JtHr0cXTnFKq7NeWg6TQ9RTAk1+UA5ILyOMgdeN1SmGw0qHfd3BvHOB+/ztwecqDnd+GfwrKXQd&#10;Sibahu1HosTD+oH61p2Pg64kPmTxlc9WuiM/98ITn8XHuD0rBYLFT0qVXby0NalfD296V/RFKys4&#10;9d1PMen2kMDAiNfssZOOhckr2/ngetd1o9lDp0T20ELIiN99sfPx14AA9MDgYpNPsILCIpFlmbG5&#10;2xlvTpwAOwGAOwrRAwtexSjyQUE9EePXqKpK6Vkc94gucQeSpG6RsD6DrUWn8RKvoK4/xRrFyfFb&#10;2quY0giQrjvuySf5VWN3dOMPcSkem84/KnOVmZQpt6npsmqWOnQ7769gtl7GWQLn6ZqpZeM7HUb5&#10;7TS0knijQyT3joVijT2z94n0xj69K81ufDtx4kNrbW5ClZcux/hUjk/yrdvJNN8M6d/Zdq5K5Vrm&#10;Yt98jjH6URelyuX3rF7wj4YtNFa4khZ5GnfIdwAdvYcVuXcoWQR+WzMnUDHTt1/GuJs/Ess8izuD&#10;FbRtujj/AIn9M1n69411DT/FDXEDK9rJDGXt35Xpzg9jnPNKHvXXU0q6Qsjume3f/WxEf70ef5Zp&#10;oS0P3JFU+gfafyotb43lnDdRwo8UyB1IYqcEZ6c1IZI2GJIJR+AYfzpHIJ9ncDKTyY98N/Ok23C9&#10;Hjb6qR/Wk22ROQ6xn1IMf+FPFuzDMVw5HswYfrmmIjLS9Htww/2WB/niomW2b/WW7L9U/wAKslbl&#10;P4o2/wB5SD+h/pTTLKPvQZ/3Wz/PFAissdqP9VcNEf8AZkKmrCi7UZjvXP8AvAN/OkaWI/6yN1/3&#10;kz/LNMCWbH5WRW9m2mgCYXeoJ18iQe4INW7SeW73pNAEUDqGzmqH2d1+7PIPqc/zrT0qJyJQzbiO&#10;+MVMm7G1FXlqcF4tsQLgpbLgOCCK8vcYYivVfEssyaoypG8jg/KiKST9AK8smIaRiBwTkV1UUlBF&#10;Vn7xFRig8UvUVqYiUU4KSQBkk9BW1Y+D/EOpEfZdGvXU9HaEov8A302BQ2luNJswq2fCtpHe+JbG&#10;GXHlmTLA+gBP9K63T/g5r0+HvprWzTuu7zH/ACHH611Om+CbDw2d6gTTYwZnHP8A9asJ14paamka&#10;UmZdppl/FI6RwGVVYhWDAbx6it22nmt1CT27xt/tCrQu44WznAFVbnU1mOCeK4L3Z3dDQjuXGHjd&#10;lJ/unFWo9Xv4xhbyf8XJ/nWPbzrIp29AasBq7YSdjhmlzMuXOoySTrPdS7jjbkqBj8qkWKG7jyrq&#10;w6k5rH1ONt0QHQ9c1VhjaKUeVKU+hpSeoJHXaeMW+1SCASM1bXcUba3I5rm18R2umRJavDNNIfmL&#10;KwUDNXrDxJptxKI9728rHAWQDB/Ef1oUlsXyytew7UoBPZZjUhicEjpVJXjtIyifeI5NbTWzXUE0&#10;SdSp2/WuOBmikZJB84ODmtEZ2OjtLlUi3yHGepNX7e2GqK/yEwEFSDxurlcSuADnHpW/aXdzbxIF&#10;ldQBwP8A61aLzM5IqXPwy8Nz5J0ooT3jmcf1xWTcfCDQpM+XLqEP+7IpH6qa7KLWbxerqw9Cg/pV&#10;tNdlxh4IW+mQf50c0RcrPNz8EoJYz9n1ueM54324b+RFWIvhtqtlCkEd5BIqDaGIZc49uf516Mmt&#10;xd7YqP8AZbP9Kl/te1PO2QfVR/jWkKsY7MTg2UhZpL/qJVY/3W+U1zXifwVp+tAzahBL5saEKUYr&#10;XSqgFWo7mRF2sQ6d1cZFeXFkXTPk6e18m7eNVOQ2AD1ru9F+Fd9fW0VxqN79jD8+UqbnA9+gB/Ov&#10;RNV8JaFFrketx2/kyJl2jByhfs31qO78RR21nLMxACKWVR3PYV0c6sbR1Rzc/gVdPt1jj1dwckKJ&#10;UADfrWJDbSMkiyIVMbYLepHpXQW7x3Lm6vSsl1IMs7DOPYeg9hUVyUzx0rjqVFeyO+kpW1KlpGXI&#10;jd2Cn2yWPoK7XSrC28PabPfzkecEJJY9PRR+Ncta3QQg5GB0PcVl60yTHM2rXkijkxNKCv8ALiph&#10;OKeqKqRlJWRzmpXv2zWri4B8ybOyJfUk8k/rVnUNRigso7dUja4xy23iP/d9/ese81Owt5CunRDd&#10;03dQPxPWsw3DsSWYsT1Jr0ISc7X0SONxUL9WW2uGDEg89zioI4DqF4kBnSJm4DP0qFpCenSq/JfO&#10;4g9sVu5IzJNRs2sL2S3dlZkOCV6H3qkTUszlmyzFj3JOTUOCT0rGVr6AgzWpoK79Uj/2QTWXitrw&#10;0udQY+iVnUdoM1pazR20edopXPymkUhVprtwa849Js1fBcHnapfMR91UX8CST/KvSYWVAABwO1cF&#10;4L3wNdLtyZire4AyP6126N5eARk1vHQ4ajuy1PNshZsY4rOtYuTNJ1PrU08wYBcGoJJxt25xQ3qS&#10;hZZd7EDoKrs2TQ0i44601c7cmlcCOaQJHgDrUtoMoDVadgRirdmMwjHpQtxjn4dGHY1swHKiskgh&#10;h9a04DxitI7kyJZR3BxT0IdeT2pSAV5qFBtfGeK0JF4D/N92mPLGhwik+5NPuIgRkHH1quqhjgHO&#10;KQEwbf8AMVU49aR5C2Og9hT0YRrg459ahYAvx39KaAlRPfNSE/KfpTE4HU0rE+W30q47ks8j8a2/&#10;keKbe4HSe3YfirD+hqujfKM1u/ES2KzaVP6SSRn8Vz/7LWBGhYKRWdXc2pbGvY3502zuLgMVHl4Z&#10;h1AyK5i8lubxnmnAESHvwOCea662tAthKXxkoTz0FeZ+JNc+3ztb2zEW6nkj+I9/wqqVmiaukrj3&#10;8RRoSIkZyOAegrLuNRmvrvzJiAdoRQOgA7VRApXGCD61rGKjqjNyb3PXPAOu/btMXSxO8d3aggRt&#10;gh0zwRkds4/KuwLXK/eSJx9Cpr5+tLmWGeO4gcpPGcqwr3izkW4tYZIbvl0VtokzjIz0NRONnczZ&#10;P5/9+2cD/YYN/PFRsLNjlhsb/bjI/WpGF0h5KN/vx/4YpvmuPv24Puj5/Q/41AhyRFv9Rcs3+7Ju&#10;H65oJuk6sj/76f4YqGQ2cn+sUof9uM/zGRQE4/0e6Y+yS7h+RzTAeblx9+2B90f+hFNM9tJ99HUf&#10;7cef5ZqB5bhT8xV/95cfypFuSPvQH6q39DQBMkVqT+5lRT6I+0/lWzo0yQGS2Yu0zkMNx7f5zWL5&#10;trIPn3L/AL6Z/lmmMot2W6sZEMkfzbFb7w7jFRLY0pNKWomu2F/Lqly2mWEf2yIAhnlCscjsWIAH&#10;0ry698FeJ4nZ5NFu5CSSxgXzh/45mvd7tom1BLhDzNCo69cZPH50n14FaUpcqOiquZ2PAtH8Jatq&#10;+qCyFrLARzK80ZURr64PU+1euaf8J/C1pEn2z7VdyY+bzJSo/JcY/OusiuhbWxaWVvm4WMN1/Csy&#10;71NcnnGP4R1rOpXk3oVTopLUs6dpfh/w+M6ZptvAw48zG5/++jk/rVq68QWsUYImUt6A1wmv+IVs&#10;bCWd24A4GeSfSvKrzxRql1Oz/aTEp6InQClCE6mo5yjDQ90u/Fi8hDmsG88QNPkFvwrx5tZ1Fut5&#10;L+dbPhbUbiTWUSeWSZXVhtZs9s9/pWn1Z7tmf1hdEds98X6AmmqWk6yKv481YMsfcMPqtMJt3/iX&#10;8eKlQSIdaTFRZY+Y5nX6GrthJeSXUaGbKZ5yAeKoiBeqkj6GtLSI9kru7EgDAzVozTubU0aurErk&#10;gYFQSW/lQs4O0gYUetTj5gM9OtF9J5dsCFz3oZojjrpWa++YnIFVZ1ZGznHvVmWVpL93buafNGJI&#10;yMVzt6nXHYveHtav2u/JN1JImMAPIeK6AW2ZXZmJJOeea5rQbPYxcL0auxCHd7H0rsh8JyVPi0Gi&#10;CMbTjOfSnyjAUj6UrKQgwKjvJmjtC6pkqRwa0MmPU1MprHj1MfxwsPoc1bTUIT1LL9RWUmNGgKXN&#10;VkvLdukq/icVMHVhkEEexqLlG/LZyxruUCRP7yciq5akhuXgOY3Zfp0q2Lu2uOLmLa39+Pj9Kw0e&#10;xy6PY4Hx5FdPaLJbTvEyqcYPBP0rxO88T6tOpt7iVWAOD8gB/Svp3VNEGoWbrbSLL3GOoP0rxHXf&#10;BE9lqssyWspJOSu0nFaw7M1hpoV4NXHlQybgIpEG1s8A9wat/bS65DZB71nSRQaVYtcXBMYHBiP8&#10;Z9MVxlxqVzcXLTCRo/7qoxAUegrN0VJ6HUqzirHfNcDux57VXa5st22aRMHs1UdFjaWzjmvRJITk&#10;gFsZHbNaQkjD/u7OL8VB/nWLjZ2OmLurmVc6JpUil4JGjzz8jZFUJtKhhTcrSygf3VrqGlBHzRqv&#10;0AqMkScdquNWS6mcqcWcE0itLsQGMZwd56V2fhzwzo9y6yajcXEmRkLENqfick/yqO60y2kDMY1y&#10;R1xR4OuU+1zaa5JwS0WO/PIrqhV5jmnDlO/m8B+GdQ0tobW0jhlx+7mhYkqfcnOfpXjepadLpepT&#10;2dwP3sLlWx0/Cva7V2tBsJJB6xr0rjPiVYR7rfUkaPzCPKkVPTqp/nWhnsedMorc8LxZu5W9ABWF&#10;5hrqfCke6OaT3xWNd+4zbDq80dA5xxT7K3+2XsUGQAzfMScYXvUcprovCtmPJmuzncx2LjsB1/z7&#10;VyUoc0rHZWnyxubWmyJZyXKx25/1p/eKM8VqxSbwGD5/CqmlSSWxlSVQYBIdrDqM8n+f6VoMIVZg&#10;i9fmBHGa0e7OToV5GbeSDUDSjOGANLLMckIpP4VAttcStkRsM+vFZtjJfMgPRgp96czAJkEEdqY9&#10;i0K7pto9hyTVdzI5AEbKo9qAHtHuPNXbfhwgHaqasAuc9KksZDJqHP8AcOKa3AvOOfxq9DxzVSYb&#10;X/GrMR5xWq3JZcXkVDJ8rZqRKdIm5c1oSIkgdNpGfrUJZYmwRTfmiOR/OpC5lHzJ0pANfaw7VEMA&#10;96SR8HAOPpQig9SaALEfI64qQcnnpUargcUo4NaQ3JkcX8SkC6ZYyY+7eL+qOK5vT0BQHvXQfFGb&#10;Z4etnz0vYv8A2auf0xsqKiujai9DbGDbvGe6kV4Wy7WI9OK9xU8CvEpwBcSAdmP86WH6hX6EYHNK&#10;54xSKcHNDtnpXSc4IxU16d4H8TW9xbLpWpP86YEDsudw/un3HavMKmgkaNwVYqRyCDgik1dWBn0C&#10;scGcQXOw/wB1XK/oaeY7tORJvH/TRAf1GKp6fcfaNKs5LuCUSvCjOdoYZKjPHWp1S2z+6uBGfQOY&#10;z+XFYEDjLKOHt1Puj4/Q/wCNV5mtn+8GQ/7af1GatlLtBkSBx28xAf1GDVSaQ5xJAPqjf0NAESo/&#10;/LGfPsr5/SlLTr94K3+8uP5UwrbP1JX2dP6inpC5H7mbcPRHyPypAKs4U/NCf+Atn+dT7rSQfPkf&#10;78Z/n0quTcKfmVW/3lx/KpY5xj5oGH+6Qf8ACgYSa3Hpg2MEnSJQR5cvzBScdO/P9Klj8W6ZJJKk&#10;vmReWgf94MBwfT1ry3x7d7vEaiJmXyolGehB5P8AUVjX2vXd/Zx29ztkaMBVkI+YD+tWqbaOmNWN&#10;tdz2D/hIoZLv7UJFfIxGoB2jNV9Q1S3wzebtCLulZvWvGo9RvIduy5lAUYUbjgfhTpdTvJ4PJlnZ&#10;o85IPf6mp+ra7l/WV2L2u63Lq92WyRApwif1rJpM0GutJJWRyuTbuxa1fDkwt9dtZCMjftxnrnj+&#10;tZNXNNJGo2xAyfNTH5imSesmaIj5o5B+GRUbG2f/AJaKP94Yp4nQj5oWX6HNNLWz8bsf7y4rkBCf&#10;ZlIyhH/ATWjpSOqv8xxnq3NZht425Qqf901raPG8RYknaB0POaCo7mqGJUhQWbPSrMy5jVWwABzn&#10;tVO35nJHrmrczEgng4H5UzVHDyYN5IRjG49KnB4qsp3TOfVianByQB3rm6nX0N/SIf3G7OMnPFbq&#10;fwnNZ2lxqsKrn7w9elaLI0YUc9cV2x0Rwy1dx4GVYE9D6YqtcE/ZpF2gnGcZq8U59yKqz/xDjoRW&#10;hBgrMM/NE35VZSSFh6fUVTFyoY7lZfqKtRTwsB8w/HisZFok2xMOopjWyE5qXZG46Kab5CdiR9DW&#10;JR0IlNHmk1ZFrbXqGSwmBPeNjyKz5o5oHKyIVPuKxlFx3OGUZR3LCzvGwZGKsO4OKo+KddFv4Y1C&#10;S6jikYQMEkIAZWPA5p289683+KusmO1t9Mjbl/3kgHp0A/nTptuVkRGT5kkeW3d1NdSlpZXfk43M&#10;Tiks7Vru6jhUfeYCo40aVwqjJPFdR4e04jUImVNxQ5OTgGutuyO5I6WSwWC1UqP9WBxnjFQmyc/N&#10;vABHAX/GtqRXc7ZAi7xtXBPPFMt4dkKRSEeYg2n8O9cz1NlJowZbZ0UsWGO5PakMLrGx3fMBkY6G&#10;tqG1+1SncAYSPkAPXHem3GlRwksu4Y+UfMeB1qeVD52cBqeoX1vcvC8hC4yuFAyPrVrTLB4IItTi&#10;ucyE7hs7HPSrPiuxBs4btRyhMb+1UfDeqW9r59pfSbLaQbg2M7WH+NdEV7uhk3rqeh6VrkV/ZMHB&#10;jljwJAAfm9waxPGd3DLoTRZCkuu0dyc/4ZrGuvFlnBCLfTrZjGvQt8oJ9T3Nc5fajc6lKHncEL91&#10;VGAK0i3Yh6sqYGetdv4bi8rTR6sc1xSrl1Hqa9AsUEVmir0xWOIfu2OrCr3myd8s4UcknArr9PQ2&#10;sMap8wUYIzjNcna5N0r/ANw5rrtLnSS5i3AncwBAqKFkmwxMrvlOisTELXdIgCbiRlcEU++ngWMb&#10;SA3bFPYskm2aLzEP3XXv/wDXqleQW6At5pK9o2ByDUyZmkNF5BCv7yQyMeirzikk1CaRP3AEa/TJ&#10;NRW9gXxIVGDyBmnXZaPCYG49FWo1GUWeeWTlmLepNXoLS7K5FyF9iSasW+nsVBlZQT1GMmrLWnkI&#10;0oLbVGTmmo9QuZ09u6LumuYwB/s8n8Ki0uTzNVb5yxCd+P0qhe3/AJiswGCTxineHUkXUyz8bkNN&#10;LUDp7hcqDU0eCoI4oKB8KeM0hiMTHkkVp1EWUx61MvIwMVVj5GR0qYDBq0SMkTnlc/jTkxGvUgel&#10;K2SMg1XLMzbM8+lACuAxyBx9aZvjzt8s/XNTRxvuwign609oHXqoosAxNuOhFGcE07YcZ5phHHHX&#10;vWkCJHDfFeBpPBrygkeVcRv/ADX+tcroc/mwxP8A3lB/Ou++IsfmeANT9QqN+TrXmHhSbzLOIZ+6&#10;StTWXumlF62O0HC5zXiU5JnkP+0f517bj9zmvEpMmVj6k1GH6l1+gwCkNSAUwg7jXQYE1naT31yl&#10;tbRNLM5wqqK9F8P/AA7ijmSfU7qGR1IK28Z7++4c/TFa/gGzlt/CtrP5UZaVnbLpzjcRwR24Brpi&#10;6sMS27Af7JDD+lZSm9kS2OYXEYwyxuB6rtP6cfpTGkQjElvIB/s4Yf0NIohXiK5MX+yWK/oakYXK&#10;ddjj/aXB/MVBJAqW279zOImPYMYyfw4zSTLcx8sRIv8AtqP5ipGdSMS27qPVSHH9D+lQMkP/AC7z&#10;BD/dBKE/gcUARGRejwEe6N/Q03bbv/FtP+2uP1qRvtCfeAb/AHl/qKZvU/fhI91Of0NAEiJOBmKZ&#10;mX2bcKUTTIfnijb8MGodkDHIcK3+0Nv61KouFGVcsvv8woGeR+LZzP4nvXIxh9uM5xgAVhsRWp4i&#10;Zn8QX5bG7z3zge9ZZrqjshjaXNJSgUwFooxRTAUVo6KpbWLQAZ/fKfyNZwrV8PZ/tyz29fM4oewm&#10;emCc/wAUA/4CaGkgb7wdPquf5UhkkU/NGjfpQZY2+/G6/TmuUEMMMLn5ZIz+OK6Kwi8qwT3rnNsD&#10;nhwP97iukjfyokiIwNvGKC4k9kC08jZBUCpbqTbZzSHsDjNMtfkidyOXPAxUGtO0enHdwGIApN2R&#10;pFXZy8aEAk1p6LbCe9LMMhRn8aqYHl1v6DbqiB2HL1nTV5G9V2iXkTy5MBSAOelaMp3QqR1zzzVe&#10;VM8jkfWpkDG3IHPfmulHKyWMhgDg5HrUUwBb0zVq0UspBGM+tQ3C4Ut0x1zWiZDRyss0STurZGGP&#10;UVJE0LjhlP402/eJLx1ZgO/IpkYhfoVP41lIpFzyIzzj8qPJPaRgPrUaQKOVLL9DS7JB0lOPesWW&#10;TxXDxsGjcqw6EHBrbtteLp5V9Gs8frj5q5YSY71KkwB5qyGdebC1vEMljOvHJjY8ivmvxlqJ1HxH&#10;dylsjftXHoOB/KvX9Z1E2eh3k0bFXWJtpBwQTx/WvBJC01x7k04wSd0ZqmlK6On8M6SZ7S4vdm4J&#10;8qk+veum0S1k+3FhGFCrnJOTn6Vc0m0j07wdbKxCmT5znjOals9TstNguJ55F3YCxxjlpGPQKOpN&#10;RJ3ZsixCnn3LSseIyUUe/c1d2jGDyKgt0dbUSrG7s/ztwBknk9aVLyNmEcgMMh/gk4J+nrWbKILK&#10;NRbeXERvgYhR7elWLlRPBvQ4JGCDTY40E4mjb5H5yOhp0hFrM0k8LpBMAokHzDd6kDp9aEBzWq6Z&#10;cz2dyiypIsgz5ZTGCBxg5rzWRCjlWGCDgivZ502kivMPE9l9j1iTAwknzrW0H0IZjClpvenqCxAA&#10;yT2rUkt6favd3ccSDqcn2FegrBshVR2FZfhvSfssHmyr+8fk+w9K3ZpFVcCuGtPmlZHo4enyRu+p&#10;mMpEmMmu48MWkZYTyMAEwqqe5xzXE7wbkZNd/omv6QLJLWSQQsOGE3AJ9Q3T86qPwnPVV6h0ci+V&#10;G2ctCR25K1nmKKZtwkBb+61XI0DIJLO4yh6DOQaiZWzme1BH95OKLEEMgdOuUPbiq3mMrgmFHP8A&#10;eI5rSSW2IwJXUejjIp32a0Y5Eij/AHTiiwFeJY1USyKqtjOM81nXNve3zFndQnZA44rVmt7AAs8j&#10;SH0U5NY9xeyR5SztPLJ6NJJn9KTAjj0Zwd8uAB3Y4FS2EtoNWSKKYSybTnYPlH41RaxvNQJe8nZl&#10;HYcKKn0ZLNNRYW80MrJ8rGNt20n1NCepXQ6tE3MBTbrjjFS2+9ZBjBHoTVmZ7UffALelbWM7mTAz&#10;o/cirpWUDKjcPbmlYWzjIyPUYwKSEgttViPahKwNk8chxgrg/Sh8sP8AVjPueaUI2cg1IC3QjmrE&#10;RRhwMsnIpSzOSNwA+lSlSAeaiHClsjHbNAEUzBflUqT7URKrRsxPzDgCoZblMkKoz6kUWg81mBbH&#10;eqhuTIzvFdut14P1aFhnNpIR9QpI/UV4j4Nk5lj/ALrhvzH/ANavfNZjD6VeQZ4a3kU/ipr538Hy&#10;EarIn95AfyP/ANenV+EdL4j05jiydvRSf0rxDvXt9x8ulTN6Rsf0rxEdqxw+zNq+6HdDXoXgPw/Z&#10;T2Land2a3LO5RA+CFA7gEdc/yrz0cmvZ/C0As/DljCs5SQx72RuOW+Y8H69q1qOyOc10FqmBHm3P&#10;bjZ+o4qwonxlZElXtuUH9RioiZgcPEj/AEyp/rTcQZyY3jb1A/qKwJJWc4xJbnH+wc/ocVCotwf3&#10;cvkt6ZKZ/A8GpAZCu6OYSL/tAMPzHNMZz0kgz7oc/oaYD2Fwg5KyD/bXB/MVDKysuJIWX3Uhh/Q0&#10;AQA/upTC3pkp+h4NPf7Qq/NskH+0uD+Y/wAKYFQKoOIZtvsDt/Q04mdfvqr/AO8uD+lNdo2OHjdP&#10;/Hh/jSIgH+omx/shsfoaQDt8Z+9E6/7pyKBHHnMcqq312mgmZfvqrfVcH9KQtEw+ZGX9RQNHj2ug&#10;/wBu34JyRcPyf941mMR0rT8QKE16/VTkee2PzrKNdcdgClBpKKYDs0UlFACitfw4rNr9mEJDb+Mf&#10;Q1kCtvwpF53iG2GcbQzdcfwmh7MR6Sz3Cfe2t/vLTDMD96D/AL5NPK3EfR2I9+aZ5j/xRo36GuW4&#10;CKbYuCxKjPO5a0Z7yFwDG+4L6VmNJEeqOh/MUsZVchHUhuoxz+tSy0aUeoXBC+XJIgHHysRVPUpJ&#10;p0XfK8jFv4mJxVmJcRqQe1VrmULcJyODkik9janrIJQYrQHy2LAc10OkX1u0UQOYmwMhuQT9e1Z2&#10;pzCLT1+UfOBg9jTrOLdFF7jt61VM0rI6eReCQc96ktlDAjrnrVSOQR2wDZfA7datWjo0ZZefr1Fa&#10;rc5ixbDYx68Usijz2BB+YfhQnEpHqPSpmj8zYwByKtCOT1qNI5ld+A3HNZiRROeNp+hrp9ZtxJDI&#10;jc45ArlRbxk5A/I1MhIvJCR912X6GpMTD/lpn6iq0UTr92Vx+NTfv/76n6isWWimHp4bNVw3vUqH&#10;irIOf8b3wtPD7R5w07BQPYcmvMtKjWW/UyfcUFj/AJ+tdZ4/eS51a1skP3Y849Mk5P5CsbQLNJbt&#10;0Z1SNiE8xjjA6n+lV9kaPRINWsNW0+NILeQCIBVMqjt+Jq0LW3tIpLz7D5z7AN6AMy+uB/hVK2tr&#10;bT7dII3V3J6KckfX0raiuXt7Zdiqe5Brn6lFu2mt5rNJYjmMjAyMH6Y9aqXItfNSOZA8smdkRG48&#10;e3T8ay7jWD/acYt7NvtJ5dg2FVfVh/KtmLXrWOTM9qV34HyHJY0Ow0LGqlGMu2NE+8ScACrontls&#10;123ETKRwwYYP0rPutW0drlVlmgjQctHMQSx+mcUR6grQyukqbnckbiSoGcDHtjHFIZS1CVYkMmNx&#10;6KByWNcH4piury0S4eDakJOW2bev1NdekVvBJNNcTPNLIcAgYVR/dUdhVXV3W40q5RIdqGMgbjkk&#10;9uK0TRB5RW14dtEuL7zJCNsfOPU1kSxtFK0bjDKcEVq+H2IuyM4yKup8LsXSXvq53El0tvDhewrL&#10;ivmupyMEAetQajJhUi3HLHGAeaq6erQvMrlsj17VyKGlzulUtKxZuLrZLIEJaQLuCgdh1qxZ3Zuo&#10;9w+71PpWNpuoLbeKYLhz8kb8/St2SO2uruV4gY43kZkjXgKCSQMCt+WyRwzleTJEklV91tNJAw/i&#10;iYqf0q4uu+I7ZcRavcsuP4n3H9ahCRQJgnA+tV5buFeFUsaRFy0fFfiJGzJeeYPSSFCP5VKnjTUV&#10;+/HC3+7lf61iN5lw3IIX0FSi1UDkUmkyk2bqePJgMSaaH9zcH/4mqV1461R0P2a3trUE4B272/Xj&#10;9KzHiQDjrVVlVn6AKtJRSDmY651G+1Fv9Nv5pB/dLEL+Q4rvPANqkOkzyx875xz9AK4VViZwioWY&#10;nAA6k16toWmrpOmRWfAfO5z6sev+FNjR1SKrR9/wqBp7iE4Riw9CAakty4UZHHqDmnvFlic/mKsR&#10;CL9mGGjTI68VNHOWXcyovoBVdrWUt8ir7mpfI2gEn5vahXAsicU9bjjkYqGNMDnI/CmuEB4YmrEW&#10;JJS64BA9zVaSNerSbvwqBnZT8pxULTyA8MfxoEPlEf8AChz6k0kQCtu3FSKj3M3JOaekiggAZb0q&#10;0QzG8T6tdWs0VlGViF3G+ZzyVA6gA8Z5HPvXiHhfcviFE9mH+fyr6Ju9MtdVa2e7t/Ma3femTwD7&#10;+vSvCNEhX/hPb1V+5HLMR/31ilNaNm8ZRaiorXqejTxl9MlQdWjYfpXhuMHBr3lHXy8GvD79FTUr&#10;pE+6szgfTcaxw/Uqv0CxgN1fW9uBkyyrGB9Tivc/mRQkkCkAY+Tj9D/jXjvhS1F54nsISMjzd5+i&#10;gt/SvZfs8yf6qZtv91vmH6/0rWZgRo0KkBJmh/2TlR/hVjMwGTskHrjB/McfpUReReJbcH3Q4/Q/&#10;401fsxPySmFj2Pyf/WNZiHuYmOZIyrf3sf1FA3kZimDj0OGH+NDrcR9drj/aGD+Y/wAKhYxE5kiZ&#10;GH8WNw/Mc/pQIlaQ4xJDkf7Jz+hqPMI/1UpiP93JT9DxSrvIJhmDgdj82Pr3qKSU9JIh9VP9DQAO&#10;0qn5gr/UY/lUZaJuHRl/DcKaCgP7uTYT26UpaQH5lVvwwaAsSID0hmz/ALIb+hpS7AfPGp+nBqPM&#10;bfeUr9RmnDfj5JNw9M7qQHk/iqMJ4kvQAVBcNg+6g1iMew6V0/jqNo/EG9lA82JW4H1H9K5euqD9&#10;1AJRmiiqAdmikooAcK6fwTAkmqzPIQFSE4JHckf/AF65jiu48CwqtreTyK2HdUBA9ASf5ipm/dEd&#10;UImH+qfI/wBlqUGcdcH2YUeVG5+WRR9eKeYpYxwxx+YrlKSIXkB+/ER7qajAjJyrHPoRipXkccOi&#10;n6cU0BGPGQaRSRejP7lfasHV5pIL4rjhgCDW5H90Cq2s6cby2SaPAlQYx/eFD2NKcrSKE9y81la/&#10;PkK2CPSuusV3WMD5PXjFcDbrPC7RyxNsbqMdPeu80bB0SPnO1uoz61VM1qu6ua6gtCRmqiNJHMHQ&#10;4Poehq5GevJ5HSozFhxWqOYk/teQN81sFYcZDcGrNtrys5jeIewHes25ToB37+tUwriTcvUHNUBu&#10;XsqyOWAO33Fcpc2SR3DbMgZzwa1/7bRCYpUXeOOCBn86x7lGmnaYF0J6YNKZI+OOVR8srfjzUwac&#10;DBCH3qvGs6jiTP8AvCpvNmHWNT9DWDLM0GpUbFRCnDitCTzrxncbvERjti5mZFVyvJ+gq74X0y4t&#10;tasYZ1BIdpJMMrBfl4BwTzWFqt2yeJLq4xuYs4B9M5Ga2vAcU73txJbgAqACz8jnt+lU9gR3+oui&#10;yRxhf3khOMDoB1PtVe6EkVoqEn52AG3O49/w6daje6YTiefYU7yxnK4qwBcXMqO4WMFCUjzkqvqf&#10;c8ewwetYsomTTohB5iouX+Zj3J9zVVbCGSUyEFdmVGDj681cihup7TZK32eMDA2H5zjvnoM/n9Kl&#10;gRXjwg/dqMKuck+5z/n1qRjbHTbK3gKW9vFGr8nao+b3PrSR6VFbKwjTCE5C9h9KW0u3mnZVtZEg&#10;TK+Y5AywOCABz68+1ag5WkBzOroiWbllwFG7jjpWUA7zG0JLA7HBPpuGRW34jWQ2e6JDIUdWKDqw&#10;ByRWEJL57qSS1hjVAqKJpeRyecKOT1Hp0qktCepxHiq0+y65NgYWT5x+NN8PWV5eXw+yx5Vfvu3C&#10;qPc1q+MbS485Zp5YHZeCsakYB+pNdHHHE/w2K2kKRuYssyDknvVylaKTHG97o5bW9Xt7ctaaeVkl&#10;6S3fc+yegqlprym2kK5b1NYx4qeC/ntonjjIAbrxVcitZFRnAcAPP/Ct2OgPmaiue7967G34Uetc&#10;fpS779D6ZNdhD0qZmfUmKIxyxOfrTgIIxnI/GoX57VC0ZPZqgCeW+ij+6Aapy6gW6LxTTbvnO01D&#10;IAnpSGI1w571Hu3HLHgdqiZyWpwRnpgaGlX8NhqtrcyLuWOQMfb3r2CP/SxviIKtgivD5YhFCznn&#10;ArpdH+I32GxitbyzeQxKFEsb8kD1BpOLeqKTseswfbrdRkbk9KtxTxyDEhlif/a5Fef6Z8WNOMwi&#10;lSaFD/G6j+ldppni/SNVQCK4tps9twz+R5prTce5pB1Qcurf7pppnAGVXn3q2j2rjIgTHsKVorVj&#10;nyv1NWiTPN6w4K0w3LPwqgGr72Vq5z+8X6Gmpp9t2eTPvTsBRBc/e60hbbwUGK0GsYB/y0kB+lC6&#10;fC/VnP4AVSRLMszKv3VzTkupB91FH4VqHS4lIKoW+ppJp7bT4jLPLb26Dq0rBQPxNVYkhhedxl1I&#10;X1xgCvH9M0T7L4n12baQv2uSOPPXbuJ/wruNb+Jmg2CMLeZtQnHRIPu593PGPpmuY0/WZdVklvpU&#10;RXnbeVUcD2qKzagbUVeRqLGduM814lcbvtUu7729t31zXuKnKg968a1+H7Pr99H6TMR+Jz/Ws6HU&#10;0rrY0fBl0tlrv2p4ZJFSJh8mMgnAzz+NepWXiDT7w7EuAsn9yQbWP4HrXlnhXBubhPVAf1/+vXTv&#10;AjrhkDA9iM1rJXZgj0AODSNFHIOVH4Vw1vNdWgAt7mVFH8Gdy/kc4/CtS38R3MfFzAkg/vRHafyP&#10;+NTYDeNmY/8AUSNH7KcD8ulRs1xH/rI0kHr90/4fpUMGvWExAM3lMf4ZRt/U8H8DWgJVYZBBB9KL&#10;CsZ0r2z8uGicdC69P+BCoyJgNyv5iep+YfnV2YJJwVFUjZgNujYq3qDilYLEbOOjx/iv+FIuzP7u&#10;XafTOP0p7faU+9tkH+0P6iojJE3EkbJ7j5h/jQBPl1+8A36U0mMnup96aiZ/1MoPsp/pQS6n94m7&#10;6cGpYWON+IFoxjs7zdvALRE5z7j+tcIa9Q8YRRTeG535DxsrKCPcD+RNeXkc1vTegnuNNAoNJWgh&#10;9FNFOFADhya9W0G2+waDawtCpJTexBwctzz+ePwrzLTbNtQ1CC0VgplcJn0969jeOWGMLu3KBgBg&#10;OlZVXpYaRAPJY85X6inGIAZicf8AATTd6/xRkfQ0jeUw4I/HisCrDXeUfew3+8KiZgeQNp9qkPmK&#10;OGOPfmmnleR+VBRaj+4DVwDfbgE/gaqQIRaK5PU1fhUtACOnrQIptYq4yAM1uaVD5dg6HqDxUCRA&#10;J61oaeD5Eg/nVR3G2SQ5zyDUjdTxUMLHccnvxVhxgDj64rVEsryruGBj8ajihDDkDNWGGfWmqMc8&#10;g1aEc/q0ERutrFN2OmcGqa2joco8ifQ1b1hI5b3Dlc44BNUktmj+47p7BjispbiLSPcpxvDj0YVL&#10;9ok/ig5/2TUCPcL3V/8AeFTic/xREH2NZMtFEKBUgXNMXk1MuAK3JPLvFekvY6pJOcCOViUGeT3P&#10;866Xwdpbt4caeSRxDcTZeNON6jjBPXGe1Yvj25EurxwKRmOMA/U8/wCFd5o8T2OgWdrgBlgBPHQk&#10;ZonogRNE8ITZGqhF+RVA447AVJFsgivLhXLMOS0h+XIHQewqlbRJBcbJ2ctO5IHYcc4xVy9f7Tav&#10;9niLWij53xgOQeAvrkjGenpmsGUixfM720cCFRJKcc9l70yKNWhMSOyQjO6QHDOe/Pb69fT1oKs0&#10;5DsPMaMIu3jC8lj/AC/ShpUWcW6lRtHQ9B9fpx+YpAWI/IhiWONPLjUYXjAqzGw8vOeB3NZ01ol+&#10;VEg326ncS/JkI6fRR+v061YrVrjVgiqiWcAJeIJw7nG3Prjr7ce1IYarcRzRgQyqwZgpZDnHrzWU&#10;y21jaSLFGFaRhhEGWkb0A7nitbV7SeWeOWOYKsYOIyuQT6nkdun1rKhjkW4WeXLFQV+QdM/r+VV0&#10;J6lHWNNe/wBPmluItkzksFznYOgBxx0Az70vgx/tXhy6s3HKblx6VfmuXa7a0dWAK7o3dDhh3H1q&#10;Lw/GLPU7mAKAJfmGBgH1pT+Acdzy28hNveTRHqjkVWat3xXam18QXK44Y7hWGa3i7pMnqaWhrm6Z&#10;vRa6uHla5nQxjecdTXTRHCDtUT3AnWLd1OKWaSC1TLHLdh3qs87fdTr6moxA0mSBk93bgVAFe41G&#10;WQkIm0VnStJ1d8VbndEJWJt57t2qm6gZZiSapICpLMyqcGr1o4khVg/PcVl3BJJ9a6DTdCK+CrrX&#10;ZGKn7WlvCM8N8pLf0/I05LQSdirJM9xLFbxrktIAPc54rX8TeGrSysWvbZnwJhAFxnzGGdzk/wC8&#10;CMCqXh5UHiKy34IjJfHqwUkfqBXo2uaUo0W3tmG5Y5LX6lmkwxP1zScnFpGkVdHnk/w+1+FyqWyT&#10;FYxIwjkHyg565xzwenpWJJpd/DFHM9pcLG43I5jIBHqDXv0Miwapqeo3N4FgjRYxbkADIAO7PUkl&#10;sAVW1mS+0RftFnYW91aWNkouDJNsI7nbxzwB+Ypqo2DikeG2+vavp5H2XUruEDskzAflmti3+I3i&#10;u2GF1iVh6SIrfzFYGoTfbL64uSoUyyNIVHbJziquK2sjO53UPxa8UxgbprWT/fgH9MVYHxi8SY5g&#10;08n/AK4t/wDFVwCDNO25o5UO53p+MPiUn5YrBf8Atix/9mqKT4r+LJRhLu3hz3jt1/rmuI2V2Vpp&#10;Vi/wxvdQNqpvUuAgn5yBuXj9aGkgKlx438W3oIk127APURP5f/oOKzVh1HVHlnYXN20Sl5JDukKL&#10;6k84HvXs2mabpdrPYQPpVmbe709VkZYVBDHGDnHfJGfXFSTXA0aLR9PdfMUO+mTKf44ipZDjvwB+&#10;ZpqSFZnEaZ8PlGjy6lrN2IAU/cxq6jlo9yszHjGew/OsvQr0W+lKx/hbH+fzrs31t4NPvZW0+a5i&#10;0y2totyqCgcIck59A/YGvMrMhrBkMoj2yA5IJzU1VzRLpO0j0+3mEsAceleXeMkVPEtyV/iCsfyr&#10;ubO/SDTdzngDNeaarfHUdUuLok4kfK57DtXPRWrN6zVkaHhUOdXKorMWiYEAZ4GD/Suy21x3hC/l&#10;03xNZ3ELAOCy8jIOVIr1htR0zUP+QjpyrIes1vwc+pH/ANc1pOoouzON1FF2ZzGKaVFdK/hy3uwX&#10;0rUY5u/lS8N/n8Kxb3Tb2xJNzbSIo/jxlfzHFNNPYtNMpFQRyKSKSW2P+jyvF7KePy6Up6U01RRc&#10;j1y7jI8xUlHcj5T/AIVo2+uWcuA7mFvSXj9elYBUUwrSsI7JZVYAhgQehFIQj9QDXHRNJAcwu0Z/&#10;2TgH8Ohq7FrN3Hw6pKPU/Kf04/SlYDfe0jfpxUZSePgNuHo3P/16qW+tQSYEmYm/2un51dW7hfGy&#10;RWz0wc0hozfECy3Hh29iS1LSNHxsPoQen4V5OlvJLKI0Us5PSvcpSptJCcfdNcZqECo4kVQPm5wK&#10;n2nJoVyc2pwV3aNaSKrHO5c59+9ViK6nV7MTQSMo+ZPmX+tc1LE8TbJEZW64YYranPmRnKNmR0op&#10;KUVoSbHhkBvEVkGHHmZPGeMGvVti4Pky49g39K8/8BQxtqk87R72ij+QZxjPBP5fzrv5DA33gVP+&#10;0tYVXqXFERLjhgD+GKjZl75FPZSOUfK/XIqJie4/KsS7CrH12MD9DUqxnyctwetVdy/3sH34rURW&#10;NlHnqV600AeWU0xRgjvU9lcMlh6/MePWnlf9ETvgYzSWUf8AohBXJDGmiS5FJvXkdsjPGKv6WwkE&#10;3OAOnvWLKcHcCcY4IPWtDQZDIZ1Jz0ODTjuN7F5AhZwhIIPfirGCY+ASR1qhHOFvp4nQ8ep4Iqyt&#10;wI/uZKnpg8VoiWSJliQRg9qicLGxJYEZwQDkikSd55ySWH41UMoNzIAchWxxVoky9bghN0u7byMD&#10;cetZy2zR/ceRfoeK1dciSSNXkK8HucVkrbNGP3buv0NZz3AsobhOpVx7jBqTzj/FGwPsc1Aj3C9S&#10;r/UYNSed/ejYH25rJlFZXyM1IGOKKK3Ezhrjw9Pd+LUkupY2imnDMBnO3PT8hivQrsbC+PQEUUUq&#10;gR2M4RSXwa/eQxwWrMGjTrIOMj2B6Vu312q2yGOPCqQAvv8A5NFFZMpDGXzbVWBKuRgMDjGagsLK&#10;KFnlAyzcZPJ9fzyaKKgC3OnmwtHvZA3BKHBx9e1FtCkEYjjUKg7UUUhor3n3HPtWXGAGHFFFUhDt&#10;QG22WVQCykEZ/KqVjIs08U6AjBKkGiij7LDqcn8Q4AmowzDqykGuSs7Y3l5FbhgvmMBk9qKK1pfA&#10;hPc6uPTYbORUhyFC856k+tXo49wC5xRRUMkjmljsyFWPe57tVSV5J/8AWuSP7o4H5UUVKGVHADH2&#10;qpIeCTRRWiBlVUDyZNet+KNNTT/hRotrHjCSxyvgfeZkYn9TRRUzIl0PKTM8VwJEOGVsg10+h+NH&#10;s/OTUY5bvzbhJy+7lSrA4APbIooraaTiXB6kC3w1z4hRXJDCO4vo/lbrtBAAP4CvR9e0O71t9UdN&#10;YuLW3YhHt1TcrBUU88jrRRWM201YpbM8Nc81GetFFdBmPWng0UUwH16X4cs21H4SarbJtV/PZwzd&#10;Pl2N/SiipqbDjudhIz28cdsSN0GluhYdyuzBH4jNcpr+tM7+GNcmDeVK6ySxJ1JAHI/76aiis4Dk&#10;clceKLstq0VqQlpqOFdGXkKvCn2OBg/U1lWvzN5eFIJB5GelFFbv4Qh8R0GuXH2Tw4VQfNIAgPpm&#10;uEFFFYUtjSpuXdKkMWrWbf8ATdM/99CvU8cUUVhit0cGI3Qw8HPcVftdd1C1wBP5qf3Zfm/Xr+tF&#10;Fc6bWxipNPQuw/2RrkwhlsGt7hhnfAQAff8AyDVXVfCctlC9xDcpJEoyQ4IYD8OD+lFFd0G2jvg2&#10;43ObpuKKK0KENIRRRQAjLUJBB+UkH2NFFIpGjY31wEFuz7oyMcjn86S6QOjA9D1oormq/EbQ2KBh&#10;jWMoFG0jBFas+gWeqeFFedM3CQ/JLgBl29vpx3ooqoOxEjzbU9NfTpgjOrhuQR6VR6UUV1rYxO6+&#10;HwK/b5FClsIPmHb5v8K7L7VG8ojaMqx9DkUUVjPcuOws0Cr8w4PqKqOzL3z9aKKyZaIldZH2lcGt&#10;VJfMtwAMGMAe34UUUIGX8Zs0zzwDTrPEcDt/CCTgUUVSIG3WNoxxzVjQci5n91FFFNfEV0J7keXr&#10;RJJIdQcelWFAGTjqexoorQkjtyFuCRwTUBUG6fPcn86KKtbEsrapEs1mwfkDBx+NYSwBDmNmQ+xo&#10;orOYkS/aJY8bir/UUv26M9UYH2NFFZMo/9lQSwMEFAAAAAgAh07iQFQB1UxjnwAAWZ8AABUAAABk&#10;cnMvbWVkaWEvaW1hZ2UyLmpwZWcAAID/f//Y/+AAEEpGSUYAAQEBANwA3AAA/9sAQwAIBgYHBgUI&#10;BwcHCQkICgwUDQwLCwwZEhMPFB0aHx4dGhwcICQuJyAiLCMcHCg3KSwwMTQ0NB8nOT04MjwuMzQy&#10;/9sAQwEJCQkMCwwYDQ0YMiEcITIyMjIyMjIyMjIyMjIyMjIyMjIyMjIyMjIyMjIyMjIyMjIyMjIy&#10;MjIyMjIyMjIyMjIy/8AAEQgBRgJ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QV2Uc9D0PY0sMhN4h/z0qOS0vIch4JB67RkfpSWgJu4+ec8&#10;g9elU5XRCSO1+IRzp+mEf7X9aqfDAE+LSR0Fs5P5rVjx9zpmmNnsaT4VIG8RXTkfdtiAcdCWWs38&#10;Jotz2EGlzTRS1kWOBpc0ynCgB2aXNMpaAHg04Go6UGmIkzSrliFUZJOAB3pro8TYkRkPowxWpotp&#10;5kpuXHypwvuaANO0thbW6p/F1Y+pqUrUuKQimBXaJW6iojCU+4zL9DVzbTStAFTzbhO6uPcYP6U4&#10;XuP9ZGy+45FSlaYyD0pAPS6hk4WRc+hOD+tS5qk9sjdRUQgeP/VSOvsDx+VMDSorPE11H1CuPcYN&#10;PXUAP9ZG6e/UUXAuiioY7qGXhZFJ9M8/lUuRQIKKKSmAuaSiigBaXNJRQApoFJSigBaUDNJSigBd&#10;oI5FQy2UMwIZAQeo9fr61MDThQBzl54R0+clki8t/wC9H8v/ANb9KwLrwddwkmCVZF9GGD+mf1xX&#10;oQNBANUpNEuEWeR3dhd2hBngdFH8WMr+Y4qtmvYHt436qM+tZF54Y0+7yTCqMf4lG0/p1/HNVz9y&#10;PZJbHkcmlSTTkxyM1xO5WNF4yTk4z7DP5U9ri50IOJ7Z0O4fLKpXOFVf6V2WqfD9pijQXDfu23KH&#10;5/Uf4Vzer6f4it7GayuhdzWUjksEPmADeSPUqMY9KiT7GkIpKzM3TtWN/dGQ/unHIzyCcdBWw8bx&#10;QKBKrEncdvOMVzKrHCLaCzTB8wkjPJPHNbH2iKZJPmw6KQzDsO+KaV43FNWaaN/RrszTIh6q3H0w&#10;a3buYraOcZ6fzrkfDtyGuraIOW/dmXnr0IP64rqLo5hUHvIg/wDHhVa6XMmij4hf/TrNe5c4/DJ/&#10;9lr0i1G21hX0RR+leYayfN1zT07bmJ/74evU0XagX0GKl7mkdhaKKKRQVxHjO5kg1a3MbAHycYKh&#10;gcluCD1Hy121ef8AjZmfXrdF6hE/lL/jQD2KJuN5yNoPcL0qvc29teIUuYI5Qf7wquxZD86lfel8&#10;5h3z9a1cexyqb6mLd+DLYkyafcPbSdcZytZzWOqwN5GoQR3cGCEYjPPYZ7Z9jXWi4HfinpKpcHzN&#10;no3PB7dKho1jM83a2066YrBM9pMODFOCQD6Z6j9aqXOnXVqpeSItH/z0Q7l/MdPxr0LUdFsr0E3M&#10;UbsxJEkbg9/UVzk+i3WnOX0+/YAfwSH9KE2XdM5UtSb617loScalp5hc/wDLaH5c/wBP0zUS6VHK&#10;hktbhZ1/unCt+vH61XMhWM3JPSnbSDyMVYkia3YpIrRt3Vhg1GZMH5R+dO4DShxxyPUU3NPad24J&#10;49BwKZwetAgzjoea0bXW7y2wpcSoO0nJ/PrWWxGeDmkpNJ7jTsdda6/az4Dkwv6P0/P/APVWiJwQ&#10;CCCD3rgM1PBeT2v+qlZR/d6j8qzdNdC1PudubgY5xisu7trSTLIvlP8A7HAP1HSsyLWt3Ey7T/eX&#10;p+VT/aFlGUcMPap5WiuZMuaZbtJcyIMsqoD+ZP8AhWpf6aYtOkl6NwBj3OKf4XgEjXbHskY/9CNb&#10;msxD+z41/vzxL+bCmJG9ZWiQYRVAA6AVrqcDFVIhzmrQ6UhngcseOaz5l+dcjODxmth0BWsy7XZg&#10;n1qzjiy544bdo2lHtj+lXPhLHm81OT0SNfzLf4VPe6PPr1vo1nDsDFSxZxwBtrqvCHhD/hGVusz+&#10;a1wVJATAXGfc+tJvSx1xWtzpRS08JS7azKGAUuKdtpdtMQ3FFOxRiiwCVp6LZ+fc+c4+SI5+rdv8&#10;azgpZgoBJPAHrXW2VsLS0SIfeAyx9T3pgTsAylWAIPUHpSIiRqFRVVR0CjAFLRmgApDS5pDQAVmn&#10;XtJGrHSmv4Vvhj9wzYY5GRjPXj0rRNcncav4fm8TGwe3UaxFnyJJbfqQucq+Owz6UAdSCDnBBxwf&#10;agivC9P1me0aa/TWtWs7i5kLS3RsxJbSsCRnH/1q7vwl4i1vVr9InvdJ1GyUEyzQBo5k4OCUOOpw&#10;OlOwHblaaUqSsi/8T6LpeoLYX2oRW9wyCQCTIGCSPvYwOh70gNEpTDED2p9vc293EJbaeKeM9Hic&#10;MPzFSkUAUXtI36qKjEEsX+qldfbOR+VXyKTFFguVBcXUf3lSQe3Bp66hH0kR4z6kZH6VOUFRtEp7&#10;UCJY7iKX7jqx9AeakFUJLON+qimCGeL/AFU7geh5H60AadFZ4urqP78SuPVTg1Iuow9HDxn/AGl/&#10;woAuUoqOOaOUZR1Yf7JzUopgLRS0UAFKKSigBaKSigBc0ZpKKYC8GmPEjjDKD9RS04GgDIvvDem3&#10;7F5rWNpD/Ht+b/vrr+tcrffDeICVrC6kjZwflcBhz+RH5mvQhS4BpWHc8gs/CeraPqiytGJEVGAa&#10;Mnk5X+E89j2rcaRglvHINsgmRSG4PWvQWjVhggEVVn0y2nCho1O05XIBAPsDxVczvqRKNzg5reKf&#10;WbeUXUYmVgv2dgQ5HTI7EYavTyK5aTwvbjVIb9A3mRdFDcEZU9Dn+6PSulW9gP8ArA8R/wBtePzH&#10;FK40rIfijFSKFddyMGX1BzSFaYEZrzXxq/8AxUDj0WLH+fxr0sivLPG04j8TTEruCr0/4DH/AI0u&#10;onsytA7b9hORjoTSyQRtkgbT6isyK9kmk325QAjG3HQ05oZpf9bIzegzVtmKjpqOuZUtwSJBIf7q&#10;9aoR6hPJK4+zmNApOX64HWtCO0RecUXUYWznA6mNgPxFHMxqKuZks1207pvAiDnAA7ZqRI1JDMfm&#10;9xVmeIIQ6jhv51BTsmS20yYxxum1lVlPYjIqoug2LrcLGrQCVOfL7MASCB9aswSKjncMg8Z9KR7t&#10;A0gilGVKggcjGe46VL0Li7nMT2mr2ce2SJL2Ac4A3Efh2/Cs0tZT5C77aT+6eV/XkfnXRXHiCLcd&#10;qgD2zWY81vqcrmaJWWKNnLYwePcc96EVfuZMtpcICVAkT+9Hz+nUflVZQXIA5J4FSxNJC4Mbng5x&#10;2NdPFZRpqkF7MkTaerLMZ5W2lRn7rdy3HTmnewbi+KfDGn6C2nWqXMi3ktqss5kwV3kngdCOMetc&#10;zNaTQKWK7k/vpyP/AK3411Xj27i1zU01K3yqzFgiucEouFXjtwK5NJ7i1YYZk9BQmxshzRVv7RbT&#10;/wCvi2N/fj4pGsWcFraRZl9Bw35U79xWKtKrFWypIPqKAjCUI4KtnBBGCKJFMUrISDg0wPTfBKF9&#10;Pnkbkt5Yz/wAH+tbGrrmOxT+9eQj/wAeFUfBUe3RXP8A01A/KKMVqamM3mlLjreIfyBNYvc0Wx0E&#10;YqbtUSVLSA8SMZ9KzNXHl2rNjnBro/LB7Vla1AJIDGAMlT/MVojjjujrfCBjuYbOYDJjt+D6HjP8&#10;67FWNcn8P7f7P4chXvuc/rXWVm9ztHhhTgQaiopDJsA0uKgyR3pfMYUCJdtG2oRNIM5QH/dNSLOp&#10;4IIPuKpNAa2i2gkuDOw+WPp/vVv1i2Gq2cFskW4gjljjIJ/CtGO+tpfuzJn0JwadmIsUhpM0ZqRi&#10;GkzTjSUAN6jmuW1TxFpNzHqenWd8i6nBDKMGM5Rgp5GRg49jXVFcjFUbjSrSYs728TOylCxQZwRg&#10;jNAHjiSeJtP8IaMkLW5sp7hBAsTMkxYsSFJ4GDz+ddJ4auZ5viUxn0U6ZL/Z7LJEjBgTvB3kgAYP&#10;SrkngW+sgq6Rr1zBFG2+KC4QTRxnqNoPArV8N6Dqlpq93q2s3kNxdSxLCnlJtAUHPPvmm2COqPSu&#10;C1e8sG8efYtalt0082AMaXQGx5C/XJ4BxXdOSFOOteY6vFqa38lldavoWpMpyttqMSxuoPIAI6nH&#10;vSQG23gTQrn/AEvSppbNz0msbggfh1FWfBV3fyDVbK8vXvUsrswRTyffYADIJ74rhzo8ltMJH8O6&#10;np7tjFzpN3vB9wvOB+Ndd4Fin07Udf0mSc3EdtcJIszLh3aRSWLHueBzTA7Sudbxz4dj1WTTpNRV&#10;LhH8s7kbZu7jdjHBq54mlEPhnUpC8iBLd23RPtbgZ4PavOYzqEfgsafdeFme1lt963dvKHbLDdvK&#10;nnOTnrQI9cpMV41Lrerahpk8k92d50+2jAhdgpZphhsf3tvU/XHFeygYAFABijbWF4k8V2XhlbYX&#10;CmSWdwBGuchM/M/APTPTvT7DxfoWqX4s7O/jkkMXmA/dBGcY5xz7UWA2SgpjQKeop1tc293GZLea&#10;OVAxQsjAgMDgj6g1NigDPexjJyFwfUcUBLqL/VzsR6P81aG2k2UrDKa31xH/AK23DD1Q/wBDUyal&#10;bscMxjPo4x+vSpDGPSo2t1bqBQBZWRHG5WDD1BzTqzGsEDbkyjeqnFAF5D9yYOPRxn9etO4rGnRV&#10;AX0yf663P1Q5/SpU1C3fgyBD6P8AL/Oi4WLNLTQwYAg5B70tABSikpRTAWlpKWgBaUUlFAC0bQet&#10;FKKAIjbpu3LlG9VOD+lOElzH0dZB6OOfzFPooAT7WvSWJ09x8w/Tn9K828U+aNfuZ3slmtZHAEjI&#10;eMIvRh06dK9JwKjeCN/vKD70AeLCFR259akE0kWMPuHo3Nem3vhfTbzJMARz/EnB/Tr+Nc1qnga8&#10;Azp1zEcHO2dT/Mf4VXMupm4M55LxT/rFI9xyKbcTRSRbUkUnIBAPIrP1TR/ENjkXFrOUH8UIyMep&#10;29PxrP0tYTLI08jRMSuG2bhycc45pXQuWzNG/wBShgtY+rHIHH0NYdxrcp+4FjH5mqF7FNFdG2N1&#10;58SnIYEkHjtkA96r7UX7xzVrYzluaNvqE8kh4aRSQCT2qSylkZ9RY9FHH4HP9KyUuzA+IyMd8jOa&#10;1LaUGyupEXDPG3A9cVL3NYxsjDMXGWb6VPZW1zcz/ZrRHd5OCiDLMPf0FaEWhfZ4UvdeuGsoWGY4&#10;QMzyj/ZTsPc4FPOsCbTry30+2Wys1VBtQ5eTLdXfqeM8cD2p3FYrPHYaPxcOl7eD/ljG37pD/tMP&#10;vfQce9T6zO96YUwwk6IoA2Afpj8BWA64kJYg+wrafEl9AHDMNhI2nGCRRYLk3ic+WLKLsitgemcV&#10;ixu3lsSwKjjaecmt7xLCJtQQFsbYx0/z7VkrEkQTvzk5oTVgk9Rs1mn2aKYfKsmQSP4W7gj9at6T&#10;pczi7cFf+Pd9jA/xdvpU7TobALnGTnJ9RmtTS5VTQ7yTaMrH1BPPJqXIIu+5zUck5AFwI3A6bvvD&#10;6Gj7JFNIWDuWPO1jTlk8xwm0Nk4zVwLBaq7rLvkGMYZfxHHIqW7bD5kdno2qJp+liGOMSu8rsqq4&#10;zjA7dR071avNetjPp8/BaGVnZSccbWHXp3FcGl9udgrRYB4Mijr6jOeaVrglo3aZmIyCDz2yTnqO&#10;anUOZnrNt4gsplDbio3bc9R+Y46c/n6VrpIksavGysjDIZTkEV47o9wj3kUc7uFZ1J24bj39P1r2&#10;CJiYlzGUwMbTj+nFGpcXc8uC1n30e+dR6L/UVq4qhOMzSn+6g/qf6VqckPiR1vg9Cvh20J6sm78y&#10;a6Csrw1EY9AsVIxiFf5Vr4rM7RlFP20baAGYpcVJtpwWiwEISl2GrAjpwjoA5Lxnqkmj6ZBMm7c8&#10;235cZxtJ71k2OvavsRxOjhgDh0zj8iKn+KK50/Tov70zH8gP8arWMGIox6ACvaymjCpzc6vax52P&#10;rSppcrOisvFV7FjzbTI9YZcE/gcD9a6nS/EBv42KxXY2Y3AwFwPxXI/WuV0rTHv7yG2iHzSNjPoO&#10;5/KvWbDSobG0S3gQKij8SfU+9bY+hh6dklqzDC4irUu5bGJFqcUr7Fmhd/7ofkfhVoTjupFa8unw&#10;3CbJokkT+66gj9apSeHLI/6pHh9BDI0Y/wC+QcfpXkunBneqzKwmQ/xY+tPyCODUcmg3acwajIT6&#10;TxK4/wDHdp/Wqj2OsQ5/cWs4H8UcjRsfopBH/j1S6PZlqqi4RRWY13c2/wDr7G+h9xF5o/8AIZb9&#10;abHrtq0nlrcwNJ/zzLbX/I8/pUOlJFqaZqHpWNqXhzStVcteWMEzn+Mr8359avf2jH0ZWX9ael1A&#10;/wB2Rfx4rNxaLORPgC1tWL6TqF/pzdcQznb+IPWtfw5oD6Il089495dXUgklmdcZwMAYrc4IzSUA&#10;Y3i23nu/CupQWyF5XgYKo6n2FcdJ4givba2tbLxJHpZW1WCW0vbTAyBgneRx6cHtXpWM1XuNNs7x&#10;NlzbRTL6SIGH60CPKBp6Wd81lHMs8JudOt4plxtlGCSRjtnH517GBxWHH4T0WLU4r9LCNbiLGwrk&#10;BcDA+XpwAMcVuCgDkPFZtv7UtDDrNnpupxISpuUUh42425bgDIrmdWtbi2s2vdY0DRdQtR1ubOby&#10;WP49z7CvR9Q0mw1FD9ts4bjA/wCWkYY/hmvM08L22u6/a29roeoaTAqu1278LnHy7CcjrQNHZ+Bd&#10;NFjp801s8i6Zd7J7WCUktFlfmB+pxit7Wb46Zot7fKoZreB5FVuhIBIBqLQ9NvNMtXgutSlvhu/d&#10;tKoDIuOmR1qp42k8rwdqZ9YSv5kD+tCAwLDx9PamS31yzL3QEJiXT0LlxIpb7pPYDnmt3RvGWka1&#10;dC0jeW3vCTtt7iMo7Adx26c4zmuEmubrSLjWpGluTJHcW6m7ghV/JURnapUkDHzAdecVreG9UXV/&#10;ENomoaha3MtvuaJXt3gnD49AAp4zxzTA9FxSYp9MDqxYKwJU4OD0PpSEJik2iqetanHo2kXGoSRt&#10;IsIB2L1YkgAfmayoPGeljSmv9QMlgEuTavHMpLCQDJGFzkYPWmBvlBUb26OOVBpbO9ttQtUurSdJ&#10;oH+66HINTEUgM82CqSYmaM+qHFL/AKbF92VZB6Ov9RV7FG0UWHcpjUJE/wBdbMPdDuqePULaQ480&#10;KfRvl/nTygNRvaxuPmQH8KNQ0LYIIBB4NLWX9gCHMLvEf9hsU4NfxdJElHo64P6UXCxp0VnjUZE/&#10;11s490O4f0qaPUbWXpKFPo42n9ad0KxbopAwIBB4NFAC5pM0Gk70AOozSUUABpDS5pDQAxkVhhgC&#10;Pesu+8O6XqOTcWkZY9XAw3qORzWqaQmgDzbVvhPDPIZtPv5Im/uSqGH4Hgj9aw9O+FOpS6gyajcx&#10;QWq4/eRHc0nsoOMfU/rXsTOFGScCs1b2OTzGLKVZiMZ6jtitIXM5xT1Oavvhj4au4Y4kM9pKq7Ek&#10;Tb8x/wBofxH8s1xc2nXHgw3djDHHcX6sWS5KglVKgjah7+5z39M16Nqt95Eabx0kXBzluo6//XrK&#10;1zw5B4pYXyzTW8xQL8ygjIzzj/69E2tuo9Ur9Dxe5E99cPcXMsjSucu8jFmY/jzW1aWn2fQJwMqJ&#10;OW3HG7jjHrWpqPgDW7Pc0SJdJ6xthsfQ/wBM1l3Cz22jvBcJIkqOMrICCOMdD9ai5KMQIgf8a0gw&#10;N9AAOqgVlorvKqqhJJAHFadvDu1NN7bCqjaCOpzTJF8Qzn+0zzgbAP1NZjSt5a4Unr2q5rJU6lJ0&#10;YjjOKqO3yrihDe5OTuskDEL82ea1rdhB4eusnIbisGdj5EY65NbL5Hh8oTt3SAE/hSaHEzrZkIMj&#10;OFVT3FI4RlO1mCsN5LIAcdOoJ4qNDDHAYy4LdRjseKRLW4uhi0jmnyeRHGSfxxnNDQJXEJCE87sN&#10;/D8uMdasJsiQ+YoYyZCvnkg+3+NXrPwlrN0Rm0MSkcvKQuPqOv6Vv2fgGd0j8+7jhIHzeWvmHOTj&#10;rjt+tZylFbs0jTk9jl7Yi0kGVUsWIUsf5Y7/AJ17B4fvUvNIikQqQMrxJvPB6k4Bz9RWHb+CtOgC&#10;edJczMpDAqwjGR06DP61vWixWFutvaQQwwr0VR/jWTrQNY0ZHDYrPmB2XxHXy8D/AL5b/GtLHFUc&#10;b47kD+J9n57R/WunoefT+JHoWmR+Xp8CY6RqP/HRVvbSW6bYVHpxU2Kk7SPbS4p+KULSAYFzUirT&#10;gtPApiEApwFFOAoA89+JY8yfSYvdz+ZX/CnWiA4xS+Ph5mu6bH6R5/Nv/rU+zwMV9Dky9yT9Dx80&#10;esUd/wCA7JWuLm5I+4oRfx6/yrvlWuS8Bgf2ZcHv52P/AB0V2C1xZhJvESNMHFezRn6y7RaXKyMV&#10;bjBU4I5FMvb82cMMMa+bdOAAp5/E1Nq0BubLyldEyw5c4FRabYbZXvJ3WWZydpByFFeXPn5vd/rc&#10;6HFuVkLp969080E8YjniPzKD1HrSXmoWtnKIpdzORnCrnA96ZqaGzu4tSjUkD5JQO6/5/pUOnXMS&#10;3Uk90RHLcjejMcDbnAGf89qSqyT5L6/p/WhLVnylm2urO/JFvJuYDJG0jH51ieKtR07R7eAaham5&#10;SdiBHsVhgYycHjuK2rTZJrd66EEBEGR7iuM+Jx3T6dH/AHUkb8yv+Fb06kmtTty+gq9eMJ7O/wCB&#10;RTUPB1z9wy2DHoqb4h+SHb+dWotOt7k/8S7X0mJ/gl8uXH4LtP5muUg0hArG4R5N8Akj8oE4z0z7&#10;/pVY6GrbF88pMwHySwMozjpk9az+u072kj0auGwak1Go1byuvwO6Gl6xb/dS3mA6mKVo2P8AwEjH&#10;/j1L9ovrf/X2l9F9YfNH5x7sfjXOeDbjUIPECwG5lMEQfzYS5KkDjgdM5Ir0ZtXtkkSJgokfOxGc&#10;Atjrgd6yrY7B05cs5We9t9PkceKw86E1FPm8zn4dXilfy0mgkcdUVwGH1HWriXsf8YZfqKvXUtte&#10;J5dxYwzJ/dlAYfkRVGLRdOnnCJC9rn7vkTMig/7oO39K44ZrgqlRU6dS7ei0f+Rj76V2idJ4nPyy&#10;KT6ZqUEGsq40uKO5e2i1xPNXgrdRK34ArsH86Y2mazbcpFHKnb7PPgn/AICwA/8AHq9JQb21IVWL&#10;NoLnrQFA6CsI6hf2p/0iC5jx182AlR9WXK/rU9vr0cwJXy5QOphkDUezkaKSNkCszxBpP9t6NPp3&#10;mmITAAuBnGCD0/Cp49Utn4JZD/tD/CrUc8Uv3JFb2BzScWt0O5yc3g+V5mgS7LWl1dfar5pvmkfa&#10;QVRewXj+VPtYDB8QLqSbT5XSeBBb3KxgpGVDbsnsTnFdZTcAHNSO4prL0rQ7bSbrULiBpC99N50u&#10;9sgHnp6dTWpQRTEc544OfDMiDkyTwIB9ZVrlNEgVNRg1K9j868utUuLdo958qLht7Ivr8uMntXb+&#10;INLl1ayhgikWMpcxSksM8KwJH6Vj2vhS4sBBJJem5+yRzSovlhTJPJu3MfwOAPrQA/wJDdjSZrqX&#10;yFtb2T7TBFGCDGWzuH04BH1NR+PdcvNE0+2NlMsUs8hXJXJ4weD2rb8N2sln4a023lQpIlugZD1U&#10;45FcX8WnxbaWo673P5bP8aFuBMfHmrWsQlutIjlS5iElo1s5IbClmJB+YDGD0BGD1ru7W4jvLOC6&#10;iyY5o1kQkYOGGR/OvCorHyLq3Waz+2oluJpGjmMbFPs6MV3dPlBzwO+K9ysPJGmWv2dDHB5KeWh/&#10;hXaMD8qbAitdZ0y9uWtrW+gmmUZKxuDjkj8+OlXEdJEDoysp6FTkGvGIYNRk18SMi2ty7O1u89l5&#10;W8KrEEBRgN3+oHNdr4HiaO4uEgvLqSxS1t2jhmfcFaRd5x6Y46eposB2mKTArm/E3iO50W8tIIFs&#10;1EyM5e7kKKcEDaCOh5zzxVfT/GUrtGNQ04pHJKI1ubWVZol3HC7iDx1Az+lIDqygNRPbxuMMoP1F&#10;T0UWAo/YFQkxM8R/2GIozfRfdmWQeki/1GKu0YpWC5VF/Mn+utW+sZ3fpxUqahbOcGQIfRxt/nUu&#10;wGmtAjj5lB+op6gTqwYAg5B70tZ8tpBBG825oVRSzMjEYArx2X4teITftJZ28P2NWJWOaMlmX3YE&#10;c4oCx7lSGsjSNd/tXSLTUVtmEdxEsg2Nuxkcjt0PFX1vImjdySip94uCoH4nigCRuKx9W12HTImO&#10;0yyBSwRfQd/pxTrq+luAVt8on99hyfoD/X8q5nxBJFZaZOWJLyAgknLHjk+/FK/YLdzTS5nnhe9v&#10;rjbF5ZcoOFRcZP146/yryy6+Iurrcutl9nitlY7Mx5LDPfmum8S6wg8CvKzmIXMCLGvclgDj8s14&#10;8ZM8VcF1Jcr6HpUHjq71XTJLe8ggEkZ8zzIExuUAnGOxzivQvD1wZ9OCtnfGcMDXh/h9NzXTA5xD&#10;t/M//Wr3OLZYay8X3UulDJ6FxkEfyP41FT41IpO8HA0z0rjHt4L3xr5M8KSxncWV1yD8g/xrtGXg&#10;9K43S2WfxtLIrBgEkIwfTYtMxRJqPw90W9+aKN7Z85/dNx+R4/KuU1Pwdc6LMtx9rSWEuAqkEHJP&#10;pyK9LvdUtrDCyMDI33UGSfxx0FYsz3F5cLLJIfl+4iLwPxzn8cVE6iiaQpuWvQ8ovtL1K5vneHT7&#10;qRHwVdYiVPHr0qaHwrrE23NvHHx1kkH9MmvTWRwxMpUnsGJNRszZAjjL9SQBjH51k68uiNlQju2c&#10;ZB4EuJVXzr1Y9o+YRR7v1J4/KtuLwpYi0EExmmUHPzPjP/fOK6CN8QuCxG4AkbqiRTvPzjB/vNWU&#10;61R7GsKMF0M638PaVaDdFp8AI6MVDN+Z5rRRSVX5SoHQAdKnURqMtOv/AAFSf8KUywAcCR/xC/41&#10;k3J7s2SitkMCnriplkIHUD6VGbhcjbDGPdssf50pupQP9ZtH+woXH5VNl1Y9excgthMVeTdhXXIb&#10;gEZ561Yglgt1YFo4yT03g8fn9axXcvyWZvcmoixHQCrVRR2RLg5bs5c/dNVrQAjHd7lce/zL/hVl&#10;vuGm6TGJJtPXbkyXX/szH+lek9jx6XxHokQ+QVJtp8ceFX6D+VSCOpOsiCU4LUoSl24oAjxRin4p&#10;MUAJilAopcUAec+M5d3jC1ixwlupzn/ab/GprU9KxvGGoQQfEGcTOEEdugBZsAkgHH61LZ6xayEB&#10;ZUb/AHWzX0eUThGk02r3PGzCE5TTSPW/AV0MXVsTz8rgfof6V3KmvFvD2ux6dqUM+47Ojj1U9f8A&#10;H8K9StfEmkXAGzUbcH0d9p/XFc+ZYeXteeKumGEqpQ5Xo0X76ETxohL435+UZ5qBR5OnpCpBdTu9&#10;MjdVuOeKVd0ciuvqpyKedrDBAI968ux23T1Kn76LTZVTc0oyBzk/zP5UwIZbCZryNJGi3FfMj6YF&#10;XdiHPyjk5OOOaTyVwQGYZB7+tS4jKejpEEmeOBYmLBW2k4OBnv8AWuD+JL51q2T+7bg/mzf4V6Ui&#10;7CxyPmOeleW/EF93iTBHCwIP5n+tCSSsj1cnX+0ryTINpj1aNckCKzBxnHfFV5y4FqNzgNdKpDPu&#10;yMZ6/hUN3rebuR7eKNo2ULukQ5I9OvTmpLK5+3hFWKBPLkDsAMHvyo9exPvXjOnNLnktDKphq9OK&#10;rVIaJf5/qyfw9ET4sn2dMSE/StjU4NMvdctYjPt1a1BkgiJKh+MgE4xjI7c9apeDsTeJr9x8w8qT&#10;afq4AP61Y8STW6eJPD6s8aOszO7MQCq8YyfQ8/lWVTDSljqco3TdOWq7xi3r3TWjWm+5ePlbki+i&#10;iYN5reqDxVZ/bNMcTWaufIt33Fgw5PGe2OK7zRr1dRiiuUhmgLMUKTptZT06fjXFjTb3VJdU8RQK&#10;6XcNwHtVwcsqcEY7/Lj64967eyv0vNLh1CIYV4/Mwex7j8DWWf8A1ejHDzo00pU3GMuVv3ZfG42b&#10;ejbdnvdNdDgotvmu9zktcuhHeXNwY3cPK5+UdOTjNVbLXntoRLBcyxfMFMYOQCfboR1pmskZijG9&#10;pHBGFfHXHUY5/Ss6CCJ4oXnuJBFubIA+6QAeD7jFddOClH2l2m30OzC5dQqYWNSaak303e/T5eR2&#10;o8YyWNu0t/CksSDLMg2t/gf0qle+OvB96Qbm2eUjoZbUMR+dc7NbyP4euZHlkYNEWCOc4x6flTvh&#10;/p9hrVxLpl7o1vcooMrXLSsjqOABx15+nevpMppwqYapVrNy5XbS21l3PKcXTqSpqV7dS1L4m8Is&#10;f3NxqVufVNxA+isWUflWjojJromOkaos/kkb47u2Ktz0+ZSB2P8ADUl7pOi+IrVdPfTNY09NLjYx&#10;ObfGUyBxnLN2OOtVPhxb2Np4p1C10++N5bNArrKYjGTjtg+ma750qDoylBNSX3GikzoPs2s2w+fT&#10;2kA72twGH5Ps/rVGfxTbWM5gu5ntpV6rdRNHj8SAD+deiBRjpXG+OtMVo7e+VcMD5Tkdx1H9fzrg&#10;w8IVaihPqZ1q8qcHJLYgg8R2syhlZJEP8Ubg1cj1azk48zafRhXnb6VbO5fyUD/31GG/Mc0gtbiE&#10;/uby4QehbeP/AB4E/rXfPKF9lnNDNYP4lY9QSaKUZjkV/wDdOad1rzEXWqQnO6GbHYqUP55P8qsQ&#10;+LLuA7ZEnXHUq4dR+fP6VxVMsrR2R3U8ZSmrpno9UdS0ix1aLy722SZcYG4cgZB4PUcgflXOW3jS&#10;Ej97NGP+uqmMn88VsweIbaVQSpwehQhhXLLC1Y7o3VSL2ZnXXgXTZbZILaW4tFUSAmJ8lg+0Nktn&#10;+FQv0rpo4Uht0hThEUKPoBiq0eqWcnSdR/vfL/OrayJIuUYMPUHNYuLjuirpnn1j4YubHVZtT/s+&#10;aOK0Qra2sd3v85mJBOW+6MEZFa3gSxk03T7uzuoZI7yOYGTecgrtATa3cADH4Gus4oxipGcR44ju&#10;pL+xe0tppZLeNyTHCk4w2AQY2I/u9a5Xw9JBqmvaW09pptrKtwJAY4ZI2fbnAx9w5IB69q9J1bwz&#10;pWszLPe2oeZV2rIGKsB9QfeqWn+E10u7gks9Tv0t4mz9maTfGR6YI4/CmB0gFBormfiFfTad4F1S&#10;4t5NkuxUDDrhnVTj8CaAHf8ACc+G/tr2p1SEOrBN3O1ifQ9PxrolIYBgQQeQRXzDo+iXuqPG2dsD&#10;kgsecYHp+FfSOjWz2Wi2VrIzM8UCIS3Xgd/eldXshuLSuzQrO1nXbDQbNrm9lCgYwgILHJx09Per&#10;N3dR2VnNczOqRxIXZmOBgV4dN4h1C/1fbc5uLhtzvlRiIY9OnHHHsKG7Alc9a1HxTojWAit5F1J7&#10;tTHFb27gmUEYPI6L1yfY+hrnm8AteB5gLG1aQEGCIsQARjGcdRn86xvC3mDXZGliKkW4BY8kknJO&#10;fwP6eldTb6pLb6rbw+ZmFmKn6Z5/nSajJajjKUX7ptRGy8P6faabbIZfKCwIingHH8TdzwSQP0on&#10;jeciS5fO37q4wq/Qdv5/Ws3xHqKWWq6bE6kvJOhOPUnYD+uauzuzDJOaGQ5WKN0UGRCCn+0pwa4b&#10;xTLOsJXJkX5sljznaa7aYZB+lcZ4r4tfwY/0/rRYjmbZpx6fHf6BHYXluzQtAq5Q5I+XAP1rxGa3&#10;kt7maGUFXicow9CDg19E2iqsaL6ACvHPiBaRWvjG8EJBEoSVlH8LFRkH+f41UQTHeF4c27SY/wBd&#10;Msf5Ff8A4qveGhikmjldFaSPOwn+HPWvDPChWX7LAWKt9uQAgdi0f+H616tqesNpS/8AHysr9oyv&#10;P5jFTJpbjs29DfnkVIXLNhQDk9K8+gS6tdWlu7JYkDI6qzsBwWU9M56L6Veub+bV4wZllEXUIpwv&#10;48HNQgqoCjy1x75P8/6VhOr2N4UbayHiNS/mSzB3zk7VJOfqcVOZyFJcv5Y/vNioBL8w5PuVTB/p&#10;Vo2mWBLNIM5G8c/1rC50WBdrINoG08g0wucnJ/LippLaQtlISqg5zjFKsO0fO8an/fX+lZty6FpR&#10;6lYc9Fz+FOAOeh/lU7GAf8t1OP7oY/4UiyxKeBK35L/jU2fVlXXYVUcrgYFHllD88mSfXil+0f3Y&#10;U/4E5P8ALFNW6mJPEa88YQf1p28xXfYUR5Pygt9BmlNtMRnymC+rcUx7mZhjzXx6BiB+lRqjzthE&#10;LvjPAzS0HqS+SFGGmhU+m8H+WaNsI4NwCfZDj9cUxbWdpFjK4ZxlQWAzSy2jxhSWj+bng5/lVW8h&#10;X8zlJeIyav8AhmDzNR0uMjuZPw2Mf61n3J2wMfaug8JxZ8Q2CY+7Yk/jsQf1Nem9jxqC947poNrk&#10;Y6Unl1oyxDexx3qBo6k6iptxTCKsslRstAEGKaRUpWmkUAMxS4pcUYoA8J+IKJP411BmHIKL19EU&#10;Vy/2RezEV1XjCGebxXqUixMy+cQCOenH9KwGR0+/G6/UVstjFsgRbmL/AFVy6/RiKuw61rduAEvH&#10;IHYkH+dVwV9adx61pGpOPwuxMoqW6Ne28a61bMGKoxHcAg/oa6Cy+LmqW+1Xa6X6Tlh+TCuJxSqO&#10;ea2WLrdXf11/MzdCl2t6aHrNj8bJOBNOc/8ATaAY/wDHK6Ww+MFlcEBzZufafyv0avn8xIeqL+VM&#10;a3jI4Uj6Gj26fxQT/D8hewXSTPqS3+IOnTR73t7lF/vqoZfzzT7nWfC2thftMkDOBgGWMggem4j+&#10;tfLUUbwOHgnkjcdGU4I/KtOLXtdhIxqUkuOgnAk/9CBp89B7xa+f+YRjVg7xlqfQr+F/Dl9/x6yp&#10;k/8APvPn+Zb+VZs/w/j3HyL119A6Bv1yteNx+MdUQATWlnN6thkP6MB+la9r8Qri3xiO9i/65XR2&#10;/wDfJX+tHJh5dfvX+R1wx+NhpzX+d/zPYvCnhmfRdQklmkRw67RsB4HXn8QOmadceG9Juby5mubQ&#10;Syy/K5Zjxjjj06dq81s/i/JA+1rq4OO01uhH5qSa6C0+L1hM4M7W7N32l4s/iRXBjstrYhR+q1+R&#10;rqm07aea6pGVXFzqzc60bt+X+Rtf8IpeWB3aHq9xbjqIZPnT/P4GtK3j1WHRLganDEsq5AaBSFZT&#10;3PoeTVay+I2gXWAwcn/YmEgH5mtu28TeHrgfLPEhIwfMjK/qRiuXEZJicRTSxMudpp83IubT+8t/&#10;ncw9vTV0tDhtUiby1nR3UpkHYoJAPes3yneygtIwWklJlIPRRyBj616adN0bUebaaEk94ZB/Icfp&#10;VG48KyKxaCVWOMDeOg+o/wAKz+rV6MVFK9jqw+PqUKcYKKdtV+l/S5y0MS6hpjxIuN0DqV9CFOR+&#10;lZPw7sEuNYvbiUEpbWjsCAxwxxj7vPTPTn0rt9M0ae21E+bEqK+ckEfMSMHjr0JrzTSNa1Dw9DqV&#10;tBA6XFygiMgJVoSp5I468kdq9/IqU/qtamlZtrc4vd5nKKsmz0Wa/maK6S3vlF1b2r3cTxTSn7mM&#10;rJHJng5/nXJfDS4Z/GU0r43zQuTgYGS6k1Pp3i+dtBvoNSi1C7v3hkhgfblcOAOeh4I96qfD6zvI&#10;PFttK9rMkQVg7shAAxxz9cV6sKLp0KsZdvvL6ntwHFY3iqIP4euMjlShH/fQH9a2h0rF8VyhNBlU&#10;nmR1Ufnn+leHh7+2jbuh4hL2Mr9mebNFg8VNFpd5PZy3cVu0kEWd7LjjAyePpSnFdh4TuLQaXNaz&#10;TRq8krfu2YAsCoFfRYmvOlT5oq58/haUKtTlnseX6oLwSxSQWk8oVW3WvlndKpxnGOhAGQfb0zUF&#10;lbfacPa7p4ZF3oyqcgA4IYdiMjI/xr0vSd0VzAv262lZGjWRFUbkO4jbkHt05Gay0vZLHU/7UfTI&#10;4LiXIl2ZjVwccsDwW4HIGeO/biWOmql7H09WNONB4aKtG343v1OYWzZPvIVPuMVC+nxBtyxhW/vL&#10;wfzHNerN4ltoVkMtvJsWbygVZTu4Jz1Hp9ORzUGu3ljdaJqKwhDNBsR/k5BLDHNbQzNzkoyhv5/8&#10;A8SeCcIuSlseWmO4j/1V1Oo923f+hZp0d7qULbhJG+P9kqfzB/pV5o806DTbm6VnggkdF+8yqSF+&#10;p7V6M6dC15pJHJSxNe9ou4sHinUYP9Ysp/3XDj/x7FaMXjhQQJlx67o2GPqelVZU/sG3N1chXh3A&#10;TGNSWjU/xDjseo9Ce+KqavamS4WZcSK6Bg68hh2IPpjFfP0amDxmKdGkvd196+jatpt+p7k3iKFB&#10;VZ79jprbxdY3HQg+vluG/wAK0I9asZP+W20+jA//AKq82+zK5wyg49akW1ZfuSSIPRWwPyrunksP&#10;syOVZrb4kemtqFmsDzNdQiJFLO28YUDqTXlfiv4l6PrFrPpUdnPJaMwJnYD5tpzwp7ZA6n8K5zxr&#10;c3UNjFAbl2ikc7lOOcdOg/zxXBs/PWvGxOG9hUdNs9OhXVWCnE9Y8IQnXL1EsUH2SEr5uWVCi+u3&#10;Oe2OM17CDgV8x+D9QvbTxNprWDN573CRBR/GGYAqfrmvfpfEC2MJScw3N73jgJ8uP/ebPJ9l/MVx&#10;qCgdMqkp7nO/FG/nh0mGHyGNs06DeHxuk5IHTkADnpyy+hry86tPc6oAdi+ZEYwVG0DHOcDjJ/pX&#10;W/EjWpb2005Zmct9o3BeigDqFUdOo9/UmuDV421KByQqhWJAH4f1o3JR6DoGtWkM6u8ZR3Xy1jjX&#10;c0jDOAAB1O7FWJ9N1GS5uLu5MqXBjZYkgc7YT9/bkdSQpBPqag8G262wlurrbHKeYAVyBxzz2OPp&#10;9a7uNNtozEqS7Fsg5B9P0AqYxtHlByUdUcRY3Muoy6WZJ5LhobqMEu5Yqu4HqeccY/Gu/mPy1wTK&#10;mj+IC8Q/dhw2Pbg4rumYOoZTlWGQfUVNNvVMrEJaTjsypN9wmuM8UjckSf3sj/x5K7O4IEZ6VxGt&#10;3EM2pwW4YlhLGp445YVoc63OytyM14Rr9+NQ8Qahdq25JJ2ZD/s5wv6AV61rfiSz0GxaafMzEhfJ&#10;Q8nP8q46+n8Pi7tf9EK280X2m1mjXCAkkbWVRx0x7H86Tny9DSnDmu2yp4cikOlWs0TojLMZAxbk&#10;EN1x17CukWV3O6a48xzySiEfzxVRVuhGBFbbExwTnOPxNWYLScDe4/Ddn9BxXPObbOqEEkWAwI+U&#10;AAd2xViMOcM7AjtgVOtjLsG+IHHBD/5x+VPu0RFYIAoJJ+XjPvxWEnZG0Vdka43ffP5VZV3IJ8yV&#10;gBz8xwO1QRR7m4BPPpV+CMLGytFKd/BIT7oHI+vOPyqYtsckkIkT7C/lkLjdux2qR7OQbCwUl2Cg&#10;fX/9VSGb/RxEybSFAyzqBnBB6n3p0t7v8sExqEOfvk+vcA1pyR6kcz6FVYVYoEdSW+oA/HFLLB5c&#10;qoGU5UHjkgkDrUpu1aRGaYEqMfc3ZPr2oNwhlEn7wsvpGq/41LjEfNIlhtovP8tlZyo2nB2gtn+V&#10;KyQx3m1VjEYXBJdW59R159sVX8+NG3iN93Xc03P6AVAJ0Qnyre3XPc7mP6mneKQrNli7iw/RBtUB&#10;sIF5Oewp9hJFHI5bH3eBjOaqfa5R9wxJ/uxL/hVmyGpalcJbW0kru3ZSQAPU46Ckmua6KafLZlxS&#10;0l1E0cU8mxSoBjJGe2M9Ca6aw8LtNaRvfymKQjhEIGOfpTorWw8JWf2q/lNxeuPlXOST6KD29647&#10;VtdvNUu/NnkdAOEjjYhUH9a6Hyw1lv2MEpT0icNfnFpIf9k12Hg+Ef8ACVSr3hg2f+PAf0rkb1d8&#10;QT++Qv5mu28Dx7/E2pzdsKB+MjH+ldMtjgobneSD5jULCrD1CwqTpK7Co2FTsKiagCErTCoqU1Ga&#10;QEeylCc06lXqKBHiOtC9fWr90iicG4kI/eBTjcfWs8zTRr89rID/ALPIroji6vZXt1R9zkkRzYzz&#10;6Ain3LRWmFvPMjyDtAYPn/voE1pzEcqOVe6tj/rYj/wNKaDpjsNyIR6crn8qibXbgZ/c27LnjKEH&#10;9CKvR30P9iG4ntI5PNuMbRgYwvuD6Vd2TZdxkFjp818gg/ifCxmUc89CTRf6XE93IbcG2HTyid20&#10;455qOK+0sESG2dWUggFVYfz/AKU95NMunLPdTiVyDuO4n6f59KnrcdtLFZdJmLH96hUAnjr7CoTp&#10;94DgQlsc/LzWjHFAFbytUG7tvccfgSKndL9xuingPAGVXAIAx2qri5TDMM6/egkH/AaZuAOCCD6E&#10;VuiPV1Gfs6yD1WmNc3a/LPYtj6GndCszGBBorSa4tGOJbTaf90UhTS37Mh/GmIziueDSeUh/gFaQ&#10;sLN/9XdkfUg0p0hz/q7lH+ox/jTAy/ITqAR9DUkE1zbnMV1MmD0DmrbaVeL0VH/3W/xqvNa3MSMX&#10;gcAd8ZFUpNbC3Oq0e/u5IGMlw7FcYJ5roLbxDqtpjyb2ZQOwcgfoa5vR42W3kDKykNggj2rS2mj6&#10;zWWnM/zH7Cm/so6i38f61ARun8xR2ZVP64z+taMPxFldwLm3iZj0CsyZ/UgV55eXJtmjAUNvOOuK&#10;g+3gSKWjcfL2xVLEy6xT+VvysL2EejaPXrbxxp0h/e2koPfy2EmPryK2bTxVoMrjMyxuOcPGQR+O&#10;MV4Z/aFuerkfVT/hUqXkZ4inH0V8VXt6ct4/cxOjLoz6Lt9VsLnAgvIJCeyyAn8q5PxlqiTXUdlG&#10;2RD80mP7x6D8B/OvJhdTDlZn/PP86cuo3Snibd/vD/DFb4aeGp1FOTf3f8E58RQrzp8kbHX+Z70b&#10;65ddauF4KK3vux/Q1MmvD+ONh6nj/GvZji8NLaa/I8iWAxEfsmwLcRXqXkMrpMkolU8EBgc9Metd&#10;Xa+NpSdl9aRzIeCUOPzByD+lcEut2zDBYr7kED9RUkeowSP8sgP0OauVChXWtn8zapisY7e0b07o&#10;9Sg1Lw5qKFZI4oi53MsqbMn1yOM++ar+I7O0s9GmmtTn7VKgY7twOMnivMXedZ/MgkkIM4YqJSRs&#10;CehPHzHtTpdSvUSFUztKMzmSNlXeEyCegHPf3xXEsBGnUUk3oxvFTnBxaWqNUiuu8HT2q2t3bzzx&#10;xvKwAVmAJGMcV50NaIljQoH3mEH+ErvBySOcYIHGe/0JmbWIBcNDhzh0QMuCG3AkY59q7K9ONam4&#10;N2OSjz0ZqSVz1PT3zcqrSxSbs7lA6HaePpxXFeJPE8vg7wlPcWNlHBNczGGJVyI4W2hshT0+83HT&#10;irvh5NR1KOC/s3SBP+Wcrjk9jgc57+1J458J6t4s0q3WaWGf7IWdYoSUZycckdCQB29TXzEqboJq&#10;drrs7n0sWq0ly3SffQ8i8P8AxD1/S9bhvLq6nvbeRgJYZiXDL04z0Ppj0r1rxdsbW38tAgWNBjbj&#10;qM9PxrjdH0uBNYs4pFjheKQKTJ8oQBsnPoOPY/Q12Gvj7Xq15d+YiWok2+e5wnAA4Pc8dBkmu7Ka&#10;t5upPRJf5HJm9HlShDVs8p+IJCw2Y7lnI/DH+NcCxrvviRNau2nxWwlLKJGZ5OC2duML2HB68/Su&#10;BbpWeYz58Q36fkaYGDhQSZe0VDJrFlGOrToB/wB9CvZxFtbA7dq8s8MaNqJ1ewujZXAtxIr+YYyB&#10;jrn6e9eu28fzV509TrvY4vxM32vUoIJFhlhiOGRl+ZS3Ug/kfwqtp2lWEd4MxJlT3GcV1euaRbQW&#10;l5fqp86QIvPQZYA4+tY+mxmR1lddpdNyn1GSM/oaIq0S5STtY6fTxGNuwZA79Kx7nxY1nfXFos52&#10;RyugUrnoxHpWnYuYZDIx/dxguw9gM15fPc3lxcvLLEuXcscjuTmlYg6S91g3c7XJVH3K5QDgEhAo&#10;/UiuvsfFdlFa2sVykkL+UpxjOBjGD78V5nKm3S4GLbAAw68gllP9DVa3hu72UFJ5CucFySf/ANdT&#10;azuXe8eU9fk1vTrhPku4gfRzt/nXJapHPezCSzUZRl2szqORk5659Ko2mmDyl3FjxyW6n8a2YQqR&#10;4AX8TWM6qWxpToPdmc2jSXMG28kt2bcGw5Y8j6Cq9p4Ya3mKi/LWuSywCMkKTjpk8dK6BSq9VTn+&#10;9nH86nRfMlSJhsG4ZAGD9M9axU5bG/IlqVra2gg+XEpP1Cj+tWRNGuMQDj+8x/pipZ4fLUbWyR3I&#10;/wAKhABzkk1jzmyiWBqk7HcgTnrgf40Ne3DclkB9dij+lVgFA46D0FLuA6H9RRzsfIi0s8j/AH3Y&#10;/VqGxxVUsR3H60vzHG3n61LbYcqRPuPQA0hJ9D+VEYIznFK2DUjGgf7Ldc08lT1H5mgRzNwsTkew&#10;qRbO6PS3k/KqSfQTa6kJK9scU5VDEYH5VJ9gudxzDt92YCuh0Dwlc6hIs1wfKtB1ZTkv7D/GrjTn&#10;J2SJlOMVe5naRoFzrNzshTbEPvyt0X/E+1dhc3mm+DrI2lkgmvnGTk8n3Y9h7VHqniOz0uN9J0eS&#10;BJYhh3zkRZ/m3B/rXEyrDJIzzX293OWbazEmumyoq0dWc93VfvbDb29uL65e5u38yZv4ieAPQDsK&#10;q5b+9/n86lMFgH3NdyE+gi/xNTG2gIBWSZR/tKM/lniufklJ3N+eMUcqy776yQ9GuIwf++hXbfDr&#10;97calNjrMi/+Ok/1ric/8TG0/wBl935An+ld78N4glndyD+O4P6IBXpS2PJw52j1Cwqd6gapOgha&#10;oWqZqhakBGajNPNMNACU2RtkLvn7qk/lTjVe+lWHT7mVmChImYk9OAT700J7HzzPHiVg6upycgj/&#10;AOtWhpluJLSZ2JYKePbjNaPiXWbTUIYPs8kDEszNtC7gfqEBx/PHIqDT3WDQryQkE4dhg/7ArqcE&#10;pcqdzmjJtXaObSIOTu6AZNaU8ZTw5ZkjiSViPfH/AOusyzlMnm7io/dE4GcjpWvq03l+HNFhXaWH&#10;mswLAdSuOtToXZ7GVGm5wuQNxxk9BUzBYnkihmymMM/OHwcjHGcHA61S+0hcb0K+4II/Sl+0ggbI&#10;3b6Ck7BZo070s+ySW6jeUxJtESYG3HQ4A5HAPXJzzVDaM5xzUYuAD+8RkB6EipFljbow/OiNkgZP&#10;HdXMJzHcTJ/uyEVYGr6gMZunbH95Q38xVMYPQ0uKLJhdl9dZujw8cDj3Uj+RFStqVuMeZZxSZAO5&#10;SRj25FZsaqzqGIC55NWJ4UMymJB5bDIXzMgDJHtgfXtik0kUm2XBPpkkJkezlCghSyHgEjI7j0NQ&#10;NNo6glZbhGHZRzUUkI/s91W1dpo5GLXCPuXaAOOOODznPeoF0+PzZYm8wsuCCvT8fzFCYMuWlwLm&#10;+htra7nUSuFy4zjPfGa0n029kzF9qWaMtgnOMjP0/rS6dplnFr+n20MUnntJvLFsjaFY4+vFb93r&#10;ej6jbRJEn+kPNGqB4Bn7w7jOKUnJBHlZp6nEhvMoByozgdTVPyqt8scnr0o21JZm3Wmx3tjeBsCR&#10;IT5bHsxzg/pXKjR7q3j+WeWRx2VwB+tdpOdqyxbtvmBQTjPc1m3Vs9sgkZlaM87h0H19KqJEzlG/&#10;tWNjmKQr/ubqje9nXiaAfipFdJ5u4ZVSR6ngf5/zmoZp1jXdId/oOg/L/GrsTzMwxqSYA8oqfVWq&#10;xHqy4wZJVPvzRd3EdyrIIl3PgBu4NLaaSq7jdBXPQKpOKHEfOSjVf7syN/vKRU8eo7xn92T7NVO5&#10;021UxhEZdzgHDHpn3rNvLWOG4ZUmOwDj+Jv8KSiPnOg/tKIHDKw/DNPF5byDJYf8CFcgZpISArcn&#10;p7VcjF39mMwY7QfvGhqzsUndXOojuQP9VOV9lcj+VTLqF3H924fHoQD/ADGa4z7TN98hT2qeK6lx&#10;lUbH+ycVtGvWh8MmvmYyp0p7xT+R2Da7cQx75jGyJ82SDkfrVeDxTp0l1HLd28bIZAZQCQWUfhz9&#10;DUWi+FtX8RB0aO4htNuTLIh2nngAnrV2XwfbWlhLGcGcEEyEHOM8gCnLNK0fdcvwRUMupS95RPTm&#10;ltLuCK+h8x02CRGjkZcL1GMEADHtXQ2uoiRd4bKnBGPT1/lXFeDre4tvDtlBcq6yKmNrdVGSQD9A&#10;cVqNrltpuqvBdSLHFIgAIQsQ2c9ga4m7bs6FG+iQ7xjLY2V7DdvbLLdToVUtxGdvdsct1HHf1Fcp&#10;NevdyCW4n82QDC5wAg9FUcKPp+OaofErVYtR1i0jgmDwwW45GRhmJzweegWuPt55NxVHfAU5G4+o&#10;r2MFjaVKC543a63/ACR5eLwk6snaVr9LfmdDqfhmz1i4F7cS3BfATYrhVAz24PqTVyDwT4ditzvs&#10;fNfH35JnJ/QgfpVbSriR7BlJLMpIGa3tOufOtgeh6YPY15uLr+0qymurPQw9FQpxj2M3RbZLVjBE&#10;MRRjCc5wvbmujtl+YVi2U0UWo3MMikyOfkI7fWt2261z09mXifiXoVPErbNHI/vSKP6/0rMhjI0f&#10;SSqA/udxxjOCc1Z8Yy7NIh5xmb9ArGi1lja0s4MjEVtEn/AtvP8An2rVbGKJpP3Gl3kqDhYHwT6k&#10;Y/rXnhVU+bkY75xXoepzf8Sa7iXG90ABYgADcBXHCxkjZXWYFxzkSqP5Goc0tzSMHIpJZi7wChcb&#10;Q/TOcsf8K24rGVYk2wuAB2TA/lRucAAy5Pu5anBAerZP+6TXNObkdUKaiWYhKi7SY1HoVXNWAxUZ&#10;8/aP9k/4VBb27ynChsKwBIH/ANerLqqblJ6eoP8AWsm7b/mapX/4YITCJ0kmkEiqc4IJ/pWh9vtA&#10;oWNJCF6cdP1rNATcOfwxVtbYfZjOZOM4Che/1qebmQ3FLcR5YnOQrqPoP8ajUjPG4/p/StB9NESr&#10;mYjc2DuTGP1pp05t8Ss8mWLA/Jxx3B9KXI10DnXcpZAJ/d/mc/0FIsgB5jT8Sf6Gr40+MXTRO8mA&#10;m4evX6Ug02M3MiqzFFIHL47En+E+n6U+WQc0SutwCMLBBj3Un+tSx3RLAeVD/wB+wf51FNa+VKy7&#10;gADwM/44q9Y20TROzBWbJH3wMcfQ+/5U4uTdkD5UrjftM2MAxj6RqP6Uxrm6xjzWH0OKsKiJGCUR&#10;mMu0Atnj8hTlSJkdsIp87aDjIHoMe/NPln3IvHsUGkum63EmP940Ykc4Z3b8a1YLaO5nlSOFXZnA&#10;UKDzjHAA/wAK7HT9DsdFSTU9SMauOcH7qf4mnGhKXUUq0Y9DJ8PeDk2C+1VAkQG5YW7j1b0HtTPE&#10;fjDzFNjpRMdvjaZlGNw6YT0Hv+VJq2u3GsXRg2GKxC7lj6s/IGWHp7ViTASLFj5AZAEITBHXOD1P&#10;NbNqMeWBnG8pc0zmryF7LUYrwQuI2/dzAgj6fjx+laggcx+YkUjxnkOASCKf4kllRrRI2dA0hkLK&#10;uCu3oST0xmubstWvrjxEtlLcebCAz4LkA8Y9vak6PNHXoHtbM6WOGON98igyjoP7v/16n3E9j+dZ&#10;hceZNhgoRjgD8f8ACovtjDpJIKhSUdBtOWpjjnUI/wDZilP/AJDYf1r0j4coBoO/+9LM3/jwFebx&#10;c3sp/uW7H8yo/rXqPgGPZ4WtW/voz/m5rrkcWH2OieoGqZzUDGkbETGoWNStULUgGE1Gae1RscUA&#10;ITgVl6/Jt0C/OcfuHH5jFaBOaxPFsoi8LX7swUbAMk8csB/Wh7CZ5FKV2OzAMApPIzVDzymgyr6o&#10;c/yqWd0+yTsrxk+W33PpWfdNt0yRc9gP1pYfZky3I7FA3ng/3VXg4/z0qzrTApYxA8JAP1//AFUa&#10;fBugupg5GJAuAPrVm8tIZ43uHd8wIi7QOua1V3JoctNjGgJWFiCAc9+lK1wVZFYHJ+9xx+FTFVW0&#10;OI+MnjqTVYgHG5WjKKApIPWmo66ky3LDn9wWBIPGDVQSc8gH/eANWpWDQqQQc+lV1RSGJOMdOOtK&#10;IopPcQyogz5YHuhINWESWVSTHJ8q5+duv04qo65iJHbk1cgUC1j3AYGSMZHf6jNaRWgkRxsyuQIy&#10;jKMgc889Oa08zyxSus6qRHtYPyXXgbRwccfTgVmM7G7dT1AYYzxwO35VfYMVXaceuOabQXswktpG&#10;s444X8zYjOyquNuMk59eO/pWhJ5n9p28TBSjyQnPBwMjoe3U5H581nBJgw3SAoTg44JBqeDd9vjf&#10;/ppn8jmp0QO7OtiVLPX7HUFk34SZQvT/AJZuM/rWJpEZ/tbTTIcqbhSc+3NEt7PLqrLvJjiify0w&#10;OMgZqKwlkXUrRWG0q7sfY7f/AKwq5STehEYtLU9Ccq0rlPuk8UmKZaAtaxserKD+dTbTWLepujE1&#10;sqEYMCVwoIBx3rmtWmzpZiV5cF1+VzkAc10mo3AhvyDt+XBG4ZGcVHHZ2+ryqkioDIQGYL71pFKx&#10;lJtS8jhLe7uLdSkcjBCc46jNXluZbiHMrBsdOMV1mq6bCsMtu8MKyBMo+wKQSMjP+FczPbC3tsMy&#10;7vYimn0DfVFFZisqtgHacjNXl1WYYzGhz6Z5qva26ThyGyQfSnSqmRtCgAYyOvHehy7mkaTnsX45&#10;hcKZJ4gyom7y1OCTkjqOR0FVb2KC4tDcQqIigG5B0xnAxTbO6jt5RvbqQBxnHX/61VNT1GSW6eJW&#10;IRDtx6kdc/jVTvz3WxnFaWe5oeHtFg1e4Zbm5igI+WMO4BYn0BNbmvW9np+hXFkjKZA4RQPvD7pO&#10;f++f1rhxclcfMatvcvPD87E+5NYyg5TUrnRGoo03FIrA4QDPHNe5/Drwtp2m6VbahdwpPfzIJQZF&#10;yIgeQAD36ZPXtXjWjac+rara2SA4kcb2A+4ufmP5V9A2jiJSqjAU4A9MVdSVtDGEb6nUR36iTO7m&#10;snWNBsdUc3kSKlyvLBeFlI55Hr796gRyVyfx/I/4VZ0mYv5yZzskwT+ArFtNmqutjNt7fyYFjjUr&#10;gdSckD6muO8WEQG3cH55JyFz3Cr83/oQrtJA0F5cRs7sA5wCMY9Mn6V5l8RL2SLVLOLyyghi81ST&#10;98sTk/T5cfhUyXM7FwlyO5leIkDXUUq/xxDP1HH8gKoabHumlPoq/qT/AIVoan++sYJx0BKn8Rkf&#10;yNVdNHM59kH/AKF/jV03+7SJrq1Rm3pYwZBn/wCvWvpTZMgyQQ5A+lZNjbzMrTBT5a9SByT7VpaW&#10;WLviN+HLFjwCMd/Q1M0xwehqvFDEC7RqZDgK56rzzj8qswsq96rX7okMGHDZz0PTHr+dZ0+rQ2cZ&#10;aRhx2pwVomNVuUip4w3vLa7rrbC24BMABemWz3PNPspF8yMg5XPJ7Vh3V02usjyK6/wxoHAHJHt7&#10;DvVMDVtPnINqLeRjvjMqMu4g57jafx4pp83wlKFl7xdvb2PUdSe6XzkCnaAR/CPbOPQ08zK3C7vq&#10;cD/GqSz+c+HtIYJSct5asv4Yzj8hWnBbbsHdwR6YrmqcqZ1wTsLGrOQcn8G/+tWzYaY1xapJIwBY&#10;E5U+5GMH6VnpGE4G3ArQhvJ4oljjkCovQbAe+e9YSkraGqTuX4LRrIPli4Pfbj+pqjdkuWx1PtSm&#10;9ncYMgP/AAECkG5uWO7PqBWTV3dspadCBIjgbhuI9auC7lWARfKFAxgYAx6YqPzGHAVf++V/wpRK&#10;4/5Zw/8Aftf8KpWXUbu90W21CZ9pCKNpyOv681EtxP5m/ZGpC4GB75z+dR/aZR08pfpEv+FKLufc&#10;MzD8I1/wqrp9SeW3Qn+2XAlEgZFO3bwAc857+9L9ufe5PlnfjdxnoOKhN5IOBM//AHyBTTdzkf8A&#10;HxJ+HFHN/ef9fMXL5EjztKWyc7m3HjvUsTzIoCKwVTkfKOuMfjVX7VP/AM/Ep/4EaPtEp/5by/8A&#10;fRpXV73HZ7WLhkuwwZd2QS2cdz1NTadaale3aW9qkpYnPUgD3NO0XRb7W7rZBI4QH55WJIX9evtX&#10;bXepaZ4NsBZ2v7+9YdGbLE+rHsK3hBSXM3ZGM58r5UtSW1tbDwfp3mTu092/QKMs59FH9a47V9T1&#10;fWLsTSxyxop/dxKCAn+J96oXl/dahdPc3FyXlbjI4AHoBngVXLO3WT/x6pnWi1yx2CFJp8z3HtY3&#10;kj7ykmT1Pc/rT2s7hAA0bAds1UmlEagmQAfnWfNOZW5I2joARWa5d2W3LZEPiM3EMdugjKKz8BiP&#10;mwO9Gj6Q8F9Jd3MKSXMqYhgZiojUhcs3T8BnvnpjNG+vxpl3aXG3ewYsuQpxjHqCKp2d7NqXiC4m&#10;ndnIV1GecZKV1xdqVzlkr1LHUnTbgDLtEp95V/xphsiOtzbg+8tU/L9z+VJ5eeQa5eZdjos+5WhP&#10;767b/piq/m4P/stet+Dk8vwrYKRyLaMfzNePh9kN7J/txr/47If6Cva9Ej8nRLZP7sca/kg/xruk&#10;cFBe6XHNQPUrGoWoNSJqiapGNQucUgGMcVAxzT3OaiNAhK5nx9Jt8H3YP8RRf/Hgf6V0prkPiPJs&#10;8Lbf79wi/oT/AEqo7ky2PH/LjzzGjfVaV0EsRjPQ1Iq5YDtTUHNbPcyWxcs7IrokqtdxKWmBXe5B&#10;wB06UX5aLRZbgMmJZQANwJwPUfhT5EA0iFv4jM35YFZeqOFsIEBO5nZiPYAAf1qepomU4rkEYcfi&#10;KuxyB42ERJYDODzWODWppEIlmnZ5CixQmTOM5OQAPxJHNDsFrkM0zxsI5EBOM4xjFCTRyoVwy457&#10;GpJxA/m3DMW/hXb61PZrA8bFUXci56HmhtC5SoVTy3TccsOpHTv/AEpUaVCn71MKMbcNgj34q7Cl&#10;tjbIkgLDgk8fWnm1iQNuXAA55q4vohNcpVitzcTPIGUNzweNxP4/0q2VkWJVUBSP7w4xWH5rbic4&#10;ya2rA3NzZXAIzEBxIwztYc4pOTHYHE2U3bAu8Zx16ipoNz3MWQyb3wOPwqneyGOFI25Y9W9cVveH&#10;LOe6lkhuICyLGGVGXqx6Y/nWdSSjqXSp85Utk83UZyjkHy2G4/TP9KjsNwvIyx3cM27rngCtefTY&#10;9P127g8wRI0cjfOD8ilWwTjn9M1jafKryKULYSI9RjnIpxd1cmUbOx6jaR7bOAekaj9KkO1SFLAE&#10;9AT1pl9cLpukz3LAfuIiQD3IHA/OvIpNZu5rp5p38136lqlK5R2eqyoNbn3PtA2gHHsKYLkQhEgm&#10;Ksx6ocH1rCttTRnInjLcDcxOT+taaxwSgyRujgKdqsoBU+nFUpJKwnTk9ehDfamlw5EUzylT8+en&#10;H4c9KwZ53cguct0z3ravFWK2UGGAlB8qruXA/wC+qxJbq2yM2jHP92XH9DU8rbubwqQgmrDIriRJ&#10;MK7Aexq1G5PU5GOc0kFtbXBG1J03DPzOCB/46KbHGTGCD2x0p8jY1WigjUySjABP19vSoYZ4o5ir&#10;wxygn5mcbiT3Ips+YkK5+bcOR9Khs4Dc3UcIO3c2CfSrk7GC9537lq80uVFt5IFMiXEhjQLz8wwc&#10;fkwq/p9nDaagItYlezRE3tmPcxHoB6n3rqJIbXSLDT4RudHvVkjBxlDtOT0zngDr3rM8dQltUs51&#10;RSjwbSfcMc/oRWEK3PJJdTepR5ItsuWmswKYbTSbb7FZSN8+MGSYAfxt/QcV6Xo2f7Mt890DfnzX&#10;i2mzAXNsixkN5gGQeOQc/rj8vevdbK3EVuijoq4qpL3jNP3C+i4iJ9NpP05/xriru8vDrd/ax3Ms&#10;SgL5YRyoyQeSO/413cY/hxkOhGPevL31FJfGepJyrLIMK3onyn8+tZ1F7rNKTXMkylp3jXWLdQJX&#10;+1EcYmUAj8VINYfibU5tW1MXNzEsUhRV2oxIx26/WprhVj1a7RcBRcOAPbcaqa1Crm3uIlwpcRP7&#10;nsfxAP5VcGrmU9NDUg8i40meF2Kyj5k6kEj/AOtx+NVtPTicD/noF5/3Qf61GpMaEDgkVYsfNWC4&#10;nSF5Fik3vsXO1Qq5Jx24ppWuOclJR7nX3Ri0/QMfLhVAGOdxP+JNaGi2y21jCshxJjcxQ9z1/CuJ&#10;1PWmu7qyghDGITo+1jkAjPU9QOhrd1TWkt9GeKGUrNJ8iAjnB+8QRx/LntUNlKPQztd1/wA+7KW7&#10;bgp2I5JOFz71iMv2hQZnZyRyeKjKAEZIPpls1bt4g2Ax4+tZyqGkaViBI1VNgLbemOv9KuaeJoGY&#10;R3VwkZ4MayHafw6VZjto8fdU/kf6Vs6TYRNAzv8A3yNrHcOg9R71k6lk2ma8ndFG3gWa4QER8g/8&#10;skx064Aq1cQRRuPLVVOffn9avPaxxtuWOMY9M5/n/Ss+4b96oPqP51jKq5Pc1jTSGLEWORn6VIsf&#10;Pf6UiONo4P0NPUE9HP61ncuwuAvAyPwpFJxwMflQYnOD5jYHUCjYx6GmIfhj/F+VKqOf4zn0NJsY&#10;cnpTo32L8ykn1GKAFeNgv3iT+VNIGAefpTjMG6qR+VAceh/GkAmAM9cUjEBeOacWBGMCmom1cDn6&#10;0XAVUR1zkiuh8P8AhObV5BLIWiswfmc9W9h/jWn4b8IG5Rb3U08q3HzLG3BYe/oKPEnjBGQ6ZozC&#10;OBBtedBx9F/x/wAjqhSSXPU2OadVyfLAn17xZZeG7ZNK0aNfM3CMyAZWInux7nvXEzO7yvJM5aVj&#10;l2duSfeoJo1kt2TIyeRn1606ObzIVk3AOMK2R19D+P8AT3qak3UjddB04KnKz6il/cfnTZJljXJI&#10;z2GKjknEfQgt9KquzOctgms0rbmjl0QrsZiS36U1YgnTP+fwp6OFXk/yp4kQjGST9KdyTmPE/D2g&#10;5/i6/hTfD+W1O9Ydif1b/wCtTvE5DXdso7Kf50nhbDXV+xz/AA9P9566f+XJzf8AL06Ml+wNMLP6&#10;fpUmFBzz+NMYg98VyXOqxnEF7aRV6yXG38kx/wCz17rajZZovv8AyAH9K8LgXfJYJ3e6c/8Aj0K/&#10;417ugAgXHqx/U16T3PNpaQGsaiapGqFzQaETmoHNSOagY0gGNUZNOJphpiEJrhPiq8n/AAjlskRI&#10;ZroH8lb/ABruia4b4kM5tLBEzy7nj2A/xp3sTJ2R4+kl0ELZYqCATjpWkRtfFWZA4jfJPp1quqGa&#10;U4IAHc1UZXZCd0XpxnTLBOhZpD+oFYOpHfIqKc4GBW/eKyw2UKkGQRErjvknp+VU9E0eTWNWEPO1&#10;QXcAHIA6D8T+lJy1NVHQwjbvG43KcY546CtewsxdRfZkiCsRl5jzgdMY9/6V9B6AbSfT1tXsoDaC&#10;IIIig2nqrHH4frXj2qWaeHBq6QvlrecxRsevX5c++Dmk5XGlZM5LVoILORLeBmbby5Jzz6UyxSSS&#10;ULEGZsdFGarAGZssxyTkk12vhrT/ALBayX8/yQgDezDgcgAfmaKk+WPmOlT55eRm32n3FrBDLcAK&#10;dzR49cY6f571UvJj9jZmI3FQv9Kv+I9VGpauoiwLaJMIR0J7n8xj8KwbiYzKEzhV/U0Um92Oso2s&#10;ikASa6XRZxZ6NfmUgmVVSGPHJYsMnPpgfyrCRVU5boK1IpRgEAFABx6VbVzOLsVHEt5cJbLzIz4A&#10;Hr9K7/Tw9vbxx3TKjoMK3ToP/rVn+CrXT11oTG2kvLxziGN22xRr1Z2I549O+QO+R3HxB8Ni1srb&#10;WrSVWgCMJ4lXARmXAbqTjtz3NZVIub8jenNU0+5xWpXZ1XWdRmEglSOAxRtnIxgDr9WNYGmxYvBH&#10;jBJCn6lq0NIG60vRxkoPukf30qzY2Ql1p5WYJb2gjkc4yWweFA7sxOKpWSsYt80l5nYeK4Xn8NXc&#10;Ua7pJNiqM4yS64ryGOFmBYqfkPzA8Gve57CGez8u4LEnBOzjBBBBH0Irj5/Acct69zb3AijUc+ac&#10;Bf8AaJ9utS52NIQ7nnLMyynHrWlpMzSXKw4zvO0Y9e1V5tMea7dBMpkLEKw6Pj/GulGnL4TtEv7p&#10;Ge5mjP2bCHbn16YBH51E5q1lubRi1q9jK1O6i2SxpklGz/s9cf1rCKh5cnoOmK0LRn+0xuiCN2OC&#10;6O2ev1rUOlW87ee5cMzFmwfeui9kckrN3RXSNRGB1AQt+QJ/pVPTYZ7gLFEryO54VRk9a6i30WOO&#10;Brq+la2tSGALffcYx8o79etRF8G303SYzZRXMnlF+ssmccs3Yc9B+ZpuSsTa7OZ1SyurK6ENzGUU&#10;kEHqD64Pscg+4r1jw/8ADW0vbOG5+0tHJKPMCyRgMuTwTjp61qXGi6de2ttBNaxvDBtEakfdA6fy&#10;ra+3pYWE05wEhiaQjoOAT/SsW+fQ3j7iujwTxLc6xBqa22o2628tnK21FHBYEd8kHp2rV8QyC90r&#10;TbpT8hVhn0yFP9DXT6dpX9v+FPEQu18ydbZJYnYc+bhpePQ8hfoa5HT4nvvAkoDKfs05bBzwMc/o&#10;xP4VpVhGnNKPT9RU5yqQlzdf0Mq0YW1yqwYklEw8qXPAIHp3HNb1t8VPENvIC62c2Ookhxn/AL5I&#10;rnrTCXUZXBCsSMZxwB61l3ICXJ252tyPaq0uZdD2Gw+L9r5gg1PTHRlOPNs5RIpPsDjj8TXHSXoP&#10;ja4uo0kRHunO2QEMFZscg9OvTtXII2SvAGOMjvW/ZzTXF+08h82Z3LMSOS3Un86mUVYuDfMjX1cP&#10;BdXsicMztsb0Lcj+dUbx7lba0hudgkaUN8q4JA7nHHcdhV3VJ/O1SCP7pdEaVO28Lj+lZ120lzqw&#10;ZVxHCPLGTgZHX9azgtEOp8TRaZyFySRTIbl7VZp4iTKiswAPUYPH5VHLC2VJO8n+6Rx+FLJA2wPt&#10;dTtKk46g9qJTWw4Qa1JdH067uQrW15ZJcRceVdSbTJxjjjHr3FLd6brNtqDi8tb2TPWWOImIH/ZK&#10;5GKgto42YZQZ7nHJrbt1iQfKNp9jjFZuolujZU29mU7OEFiJVcEdmyMVqxQRjhV4z6k1asYUkuWO&#10;XyVDE7uTzU9yFWVQFA5HRAK55z10ZtGPdFDasZz0J4qaKWWMFQ7gZz2/wqQordv1ojQGVEJ6kDBb&#10;H69qjnb6mnIuw/7RMc/vH/SpDCZMFyxP+fSrN3YxpIqW5BJLD55hjjHqBzz60+1s5G8xZG2soUja&#10;4IwSfTPp602pXsReNrlPyFRgOenct/jSiMA8D9Sf61eNiG3/AOlFQrkD34BHXjuP8mmJab4iyzRl&#10;t+0Bj16+30pcs1/SDmiQhU7xt+DEUnlW56pL9Q4/wpquQoP61eaxcWvnGRgNof7vH0zn+lJOT2G0&#10;luUDFGDx5p9MsP8ACk8sDvJ+f/1qvSWDpE7mQYQA8Ec5GaQ6dP5TyFOEGeSeeOf8+1FpdgvHuUgi&#10;88y/kKeqqD9+Yf8AAAf61MLGUxeYFQrjr5q/41LZaRe31xHDb27O8vK8jGOOT6Dmj3n9kG13IYrc&#10;TSLHG8pdjgKIskn8DXf6F4TttHhOqazIhZBuVX4WP3Pqat6bo2meD7I3t64ku2GN2MnP91B/nNcf&#10;r2uX+vTkvHJHbI2EhA79s+prpUY0lzSWpzOUqj5YvQu+I/FMmtK9raT/AGayBweDul+uOg9q5YWa&#10;nAW7h46Z3D+lJ5Dq+zYwYn7pGDTJMxjOCT6VzzqubvJG8KairRYt3A1rZXE4u7cssbNhWOeB2BFc&#10;3q2t6haWsAgmlETxHyxIoX5T1wB25698A9hWxfz+VZTnapdY2YqRkDjuO/0rmI7O81mWDckjrybq&#10;U5IRfUntxjj1rpoLRnNXk7qx1MenXUkS7vLY4GSZV/qad/Zt0Dz5Q+si/wCNMnZHf9zGY4wOMtlj&#10;7mocZJzgfjWLsmaJyaJjp98G+WJSvqJV/wAaQ6dedfL/APIi/wCNREZ4BBI96acjrj8qXujvIw9e&#10;gkj1GBZV2kIDjIPc0eEYZZBdSJGzDcAdo92/xqLWH/4msS/7K/zNO8Kj/RJjnkyY6+wP9a6Xb2Rg&#10;r+0OoaG47W03/fBpghnwMwTZ/wCuZqPL9nP/AH1Vy10+9uoy6ylF7FmPNc/LF7GrlJbmZpib9a8P&#10;Q/8APaRm/wDI3/2Ne4J/qI/93NeL6CvmeLfDqf8APOFpP5t/7NXsxbESD0UD9K7Dkp/AMc1Xc092&#10;qBjTLGMaiansaiY0CGE0wmlJphNABXA/ESYC406POPlkP/oP+Fd7mvLviXMBr9hCx+X7OWOfdiP6&#10;UpbCtfQ5S4lkHmDHynHemWC+YWBJ29+etQST+ZEyg5A4H51Jp++QvCmd3UYOM/U9u1TF2V2Nx6Gv&#10;vWHU7L5QQkK/e6DhjWt4ZhkuftF62US6k2oP9kcDP0ArEu9I1a2eWScb7aVdkc4IIQHHXB/u7h9f&#10;rXW6OFWxiSIYVImIHpxj+tU2raAlqdrocp3ADhQmAPxH+BrhPi9HBatGkZVJLlxK6D2BGfx4rt9E&#10;xub0BA/Q/wBSK838caTdat4xvJHlH2aOTYqjJIAAz0HFSpKOrNVBy0RyXh/TPt9/HuZVhU5Ys2N3&#10;tXuy6Tpms+HZNIuCBFKBk2/Lgg5ByOByO4rzrSbJbEqkCMqg5/i5/NK6+LU3hVAzEc9HPQZ9G/8A&#10;iK461RylddDtpUVGHKcD4z8CXvheAXcVwLvTXbYJguCrehH9RxxXCMea+gPFxXWPAt+iY8xovNX3&#10;KYc4P0VhwT9BXgRWuzDVHUjd7nFiKfJKyEDkqQas28rK2M/LtqsFwaeDhcjqDXQYHZ+BrgJrsCk/&#10;6xHX9M/0r3OTTYNX8OfYbokRXSMjEdRk5B/AgH8K+cvD12bLUbS527vLlztBxkdxXvfhTWrrVNO/&#10;0mOCJYjmNEB3FfUknHr2HSobSlY0UW43PFrSM2EN9DP8rxuI2AGec9PzWtfSiqyadEAd11dGaQsO&#10;QsSnaP8AvrJqprAEd9rakcDUSv5M9aGkx51m0YD5YLMHA7FyxqJCilzXO5mmddPupk+/FA7r/vBc&#10;j9cVy/iTXp28I6YivlrqJWlb+8doz+p/SunLJ5WwjIdPmHqOK8wvkuX0o6eqs8ulXLoQBklGOVb+&#10;f6VwKp7SpZ7J/wBfidSXLqVNKtZb3V7eDPLtkc4x717+8Wk/8IzJa6vFHJp6RbpfM56Dr659Mc14&#10;r4EdpdadmPEcYPT3rsbq6m8WasNGhLLpVk4e9kBx5r9owf5//WFZ4iTdbXRRRX2PUxV8AXctpb63&#10;YFF097glY53CtFFnIZieMdvyPelzaaVGEtE+2XK/8t3Q+Wp/2V/i+p/WvS9TRNQ8H6paxhVKWzqg&#10;UdCq5THtwK+fVvbtnA81+uK7MNXdaLZy1IKDsbWo3czBp7tpJXf5SWOD9B/gKveGkN3rtphT+5je&#10;Q57ZAA/HJWsWKWWRWWRwxKnaHxjOOOtdB4HuFj1iW2cRl5FO114GVIJAH+elbqfNElRtI9FVsEVh&#10;eMLxofDUkSH95dSLbr/wLNbZICsasLp1rerAl1bRyhWEih4w20+ufxqYu0ky5bGf4GiX+xr6XHy3&#10;VzIf+A9AP0NeIafqU9lDc2CBdkuQx5z6V9B6dEmn3F1YxIscIdJY1UYCIxII/NWP4181xMVul3dc&#10;4Nbu0ptszTcUrGna4WY5zgJIePpVG6CEKVzkHvV6IrmRj/zyb9ciorfTbrVZmisYjNIq7ioOOPx+&#10;tF7O5NuiKdvDJPMkUSlnY4AFbOmqxYsD0wePenWmiajZCe4uIWtNg8sNKpGS4wQPX5dxp9iNjvGE&#10;3nBUEMF5HQ5NTKSa0KUWi0rq+oTOw4Vtqn0wCP1461LJDJI4KhW5/wCWbKf0BrtNC0Vf7CSQi2n3&#10;qQ2ydD1GMEevsa5TUtMGlaj9nL7ty7wGXDKM9CMn8+9ZT2NYWvoQOs0fJjcL7qRU0MkZxkL+Iqxb&#10;IcjauM/hV0xOQMyP16FiR+tc7aR0qLIAsTxsMDp2rprS0hS0j3orkoud6qwHHbIOKxFgOPl2H2MS&#10;H+ma1ItRuEQIYbZ16YaMj+RrObbVlIajrsTtFBG5McaIcYOxVX+QrLunVpNoJ59K0TfqR+802Jh/&#10;sXDL+hqrIunzSB5La8iwCPkdWH86hQberL5kloivGuEwMipFjJAPIPtU8cFiBg3swHrLCf5gVOlp&#10;auR5eo25P+0dtHJLoP2kSvPNPOFEkhYrnBPJ5pbd54MhDgFgxxxnH/66snSrliTHJE/HAR81G1hf&#10;Qg5t2Pfsf60e8ncV42sOju3WJ45VaQOxLfNycjHp9KclyiquIiAmSoDfxHuePTH5VTcTKPmtZl/4&#10;Aah85e+5T7jFDlMFGJaYIVUBcYHze5yeauyXsLWbRjIfbjmNTnj9P/r1k+cn97/x6nJOmT1P0NKL&#10;kthySZpPqCyQXCgqCy7UO3GeAO3TofzFTvdW7QSASv5hUgHkdgO+fT/9VZRkiK8K2a6bwz4Rn1tl&#10;uZd0NiD9/HMnsv8AjWsZTk7IzkoRV2Jomkya6i21vCVhU/vJm/hOPve5zxiu2nutM8HafHbxjzbp&#10;wFVc/PIemSewqrrXiOw8L2a6bpkcZuFGAi9E929TXm9zdzXtw9xcSNLK/wB52PX/AOtW0pxoqy1Z&#10;hGEqrvsjavdTutUxeXBd55OFVGA8sHcMKD06DnvUUcgzc7mYBZcliTjIxjHB7j3rCKD0o85oVBDu&#10;oU5GCeDWKrNu7NvZJLQ1vM26qSyKVRAzE8hAADwePasu7uxLAjRRIjFyn7sHk8f41TmvJpS48x9r&#10;HLZJOfrTGnldYwzsRH93HGKd0S07lfUFC2U4kcBShywOeCOvFZV/qsNvFa2OnnEUgXzJNwYk4GTn&#10;HX09PxzVvWpCdLuHbrtA6Y7gVykeWnsx/tAfm4Fb0PhbOet8SR6VaQK0jLInmFSMbHXac/jz9Kc8&#10;cbXEJRHTewDLgAdAcjBOOoqvaXn2UOdrEsR0P1/xpj3p/cMqktHy2ehOAP6VknGxq1LmL7W0bOcq&#10;VyOOuck+nt/WqkUccpQNwGZgGDdQO3saedSt/M4WX7uzjtnqep6VFb3EEaKxK7wGJ+TJPoBTfK2S&#10;uZI5TXNiayoV1OEU5HQ1b8MQOmjyzmFzGJeXCnA+VQOaV9NfW/EcixIV2hNxUYVF2jJ/z6112mad&#10;bNZxWdsG+y2xKszNy78Z6cZ469sAVtJJwsZJ2nch0rT/ALU3myKVhH/j1aV1qkdvIIYIxJs4bDAA&#10;e1St9ovLlNN0yItMx2ZXog/z37V6LoPhSx0WwEUkaTzvgyyOucn0GegqIQb0Q5SS1Z4z4ZX/AIri&#10;yHaLTj+flp/WvWnbt6cV5X4Uj3eNLs9fLt9n0+bb/SvUGPJrdGcdIoazVExpzGomNAxrGoiacxqN&#10;jQA0mmmgnNJQAma8m+JSxz+Jog00aFLdR8zYPVj6+9esGvEPiXJu8aTJ/djjX/x0H+tNCZlPbQwx&#10;Fo5QxJxgMD611F7YW8tsxitvK8oZXYAPMXHt39M9/wAa460TfNtzjJrsb8XWmWYlWeOQRKAymMgk&#10;dOueuaib2sVDVO5BoGom60/VNI5w0TSRDOcOPT9D+FXdO1mGy0I3khypeOJcdSSQW/SuRluv7H1a&#10;4ktmbzY2ZUOBgA8D68GrvhiW4u7mCLYnkWZeU5XPztgA/UdvpT5d2N6WXU9a0zULazTzrmVUBfiM&#10;/ebkdPUfTmuZ1OSNtYvirEoZmIMm0Hnnuw9adI13ZLZKJSsE6glcZBIYn8PvCoDK813ez4ZVM7Ab&#10;dwyBx2IrlqvodtCNlzD7Ly2lIBjGVPdfT/eq1O/lWJxkLuxkD5e3oFH8/wCtR2bskgYueD/fP9ZB&#10;TNWiHkOHQnkMsgVT/wCPFm/nXPbU609C7d+JIdB05Li4tnuYW/dFFO3cWU8EkegPUH6144cZzXqP&#10;ieNLv4eSPHyYJ0lLD67Mf+P15aeld2FilFtHm4qTc7MD0oP+rY+lKnPFAHyuvtXUcpb06TY8ZJ6O&#10;GxXp6eINR0ezsXsII5A8bRSbjg4ByMcYzz+n1ryaE8hMYdTj616LcW12PD6CaKWGe3lUSRv8pUMv&#10;fPTsPxrKa9+LNqbvCSMS6vjeW9zeMmJLm6ebZuP1Iz/wKt7w8R5t5Iw5Tan4Ku3+lc/Igby1+9mS&#10;V8Z7sqcfzrpdFgaOCWHdlgg3n1YnJ/nUzdrIIK92bI1ZXu4Ekjw8h2/LyK5bxNN/ZniOK9iyEuoD&#10;FOB37Z/l+VaGoW09rNDe5ZEhO8t2wOv6ZrlNT1SW+iZoiXkcF5n7IueEB/D/ADzXJRwq9pdbdTat&#10;USjoa3hnUFmhSxslEd5cyEF1X/Vx4GW/nj3r07TrK00bSCkKhLeJGd/UnuxPc15L4Cvbe2vXa4CL&#10;IXiWNicHBcAgevBr1K/ud7Weld7q52ynsIlIL5+v3f8AgVcuNpNVVFbPUdKV43Zo6VqNmlnLLdTo&#10;kEiEvzk4PsOe9eK/YblLjPlgoG4I4yPpXb6hJjw7f4OBsOD+Nebh5TOMSSYye5rrwdDki0mRiH7y&#10;N5II3DCaIYwcbuKveCoVPiQFEwsSSt1zj7oH865m7lc6a4LscyKMk+xrsfh9NZxfakdybuTHyBCc&#10;Rr3z9T+grr9nyR3MIy5pHfSAiNB3Y1vRIkZUKuMDrWIksdxOhVgQDwuMVtSSKqBlbPFTEqRxnjeK&#10;eSRY45pIxPatGNrFfmyeTj0yK8Miil+1CEqRIrYIPUY619DeKITcaBJPnD20iOpxngnaR/48D+Fe&#10;S+JLLZqMLWuEWRDI53fxk4b89oP41UJWnZ9SpxvSTXQyIg0kUixqdxjA45ySa7jwJY/YbSW4kwZZ&#10;mxxzhR2/PNcpZafeeVK8cDkYUZXntXWWtx/ZHh5ZZAQY4923/aPQfmcVFaV1yoqjDXmZP4kSe/1C&#10;2t48CL7zOzgAMeBn06H86ntPD5tEmjuLd1WYdTgqD/e/rXHXuuf2tqSOIliYQqpw3Ugcke1aGmap&#10;f2xH2e8mi2njaaUfcVmOV5u8WPvNJvdHuysyHy2Y7JEbIPtx0PtxVpVeWAo8khJH8RJrUtnutbB/&#10;tO4e5iSQEIzMAOO2DVt9Osh9xJFAPA87P8waynUinozSMHbVFeOyhhhJKwsTzkoAR+VVWdULcLjP&#10;ardwwWPGe3rWZ1JII61z87e50KCRdVlZSAB74NSLgY5NQRAqOP0qUsMfMP0qbjsSO2cFcfyppfjB&#10;xUW6P+8AfypwHuT9DSGO8zPTH5Uu9WXkAj6Unyd935ZoJT+FvzFADo0jyMIij1xVpfNiGUkdfQhz&#10;VQSOhB4OPTiphcg9U/Wq5pLZkuK7Flb68XrcSH/ewacup3e4+YInHbKAE/lVUzoT91vwpVw3IJA+&#10;lHtJC5Il0XdvIf31hA3uo5pQNIc82hQn+61Q28Uk0ixRq0kjHCqBkmu/0LwzbaPbjUtYaPzVG4KT&#10;8qf4n/PvWtJTqPyMajjBFTQvA9lP5d9ewyJCPmWGQ43fX0HtU/iPxcIreay0Z418pCDKOBwPup7+&#10;/QVk+I/GEupubSz3xWfQkHBk/wABXLblU7U4I7ZraVaNP3YGUaUp6zHWumnVbVL2O8GZeWEnJDd8&#10;n/PGKcfD98D8ksL/AENZ1kHiuZ7cIxiLZRgMhWPQZ7Z6e5xVie4kt+PMcODjaSaxmo323NYOVt9h&#10;1xpuoWqDzEXLHChWyTWbc2+oZ5tpMD0GasC9nWQyCdt3TOe3pUqaveL/AMttw9GGaFyLYTc2YpN0&#10;uQbeYf8AASKabho/vo4+oroBrVwDhkhYf7lO/tZGHz2cZ/H/AOtTtHuTeXY5DVroS6XMq/xbRn/g&#10;QrBgH+lWg/2oz/5FFdn4murSXR3WO1MchdfmwMda5XTVibV7RZs+X8mcf7+a6aVlBmFR3nqdT54H&#10;BJpwlGCc/nWktro7/dmdT/tEin/2TZyqfKvASTnANc/IzbnRiyAOQCcZ9Kco25ya1DoLdFniP16/&#10;zqxaeF5pXDyAeUOuAQWoUGHtEcykupW6arNFI0NsYzyCQWIXtg+wro/DCXE+j2en2CM9xL6dv8/p&#10;1qhr0V3PM+lWVq0ksn7sKo4GeMf56V6l4R06z8H+H/OvWjEyRDz5yeFA7D2z+JP4V18t4pHKpats&#10;1tJ0rT/BujS3V3KgkC7p5z/6Cv4/iTXm/iDxNqGvX/npPNaWq5EESNg49W9zS+JPElx4nvN7BorC&#10;I5ggPf8A229/btWQRkCsqlS3uxOilSv70iz4JTf4k1Kf+8EX85GNeiO1cD8PU3T3sp7yoPyUmu8f&#10;rWyMFsMZqjY0rGomJoARjUbGlJNRk0ABpM0hNJQAZryDxcIJ/Gl35qB8Mi9P9kCvYMYFeL+JJEXx&#10;ldzndxOV46cHFRJXAoPFEZQY0VTznA68itoyS6pZXcXkBVeIlWQHAcc/0FY1uyyzzHOcEDg8ck/4&#10;VThufK1u3LLvj+ctGTweD1qUtkNOyKWpOZPs054aWBck9yuU/wDZa1PC2sWGmR37XczIXCbFVCxf&#10;G7OO3p1xVa8Xd4eSdskmfAJ64APFYB610R1RD0Z27+MG1TUbW3WJxAnyo0jZb246AfnWwkgHzNAT&#10;lztb5QDyepKmvPtGyNYtSBnEgJFenBQrnywUJPOzqPxUfzauTEpJnfhW3EdbXzviPy7uAD0jVwT9&#10;cVZvIlFo7O8bsBuBYx8+nfP8qW1VZn8tyjv05Kk/qXP6Voskgsmi/ehcHAxIAP8A0EfpXH1O1Mwd&#10;TmEXw41JQf8AWtEB/wB9r/QV5eTXoPiFingMrz/x9pGc8dA3+FeemvSw6tE8vEv3xASpyKnCljuA&#10;ypGOOxqD8afHvBygJHfHetznOr8ITWOm6p/aFzbNcSRhSAIwQh6Ag5POcfw8V0uo6hNr51ee4MQl&#10;TCxFExhUAYdep9zXE6DOttq0E6yiLAIO8ghh/dq3e66k2p3ZgT5ZnZ8sMDpz/hWU1Jysjem4qN2O&#10;tL2FDCLnd57liZHIx144x7Guy0dcw3Ev8MjAg/Tj+ledySgzAEgqCNxI6jJP9a9K0xSmkxZOSyqx&#10;PuRk/rSlH3rkqXu2KHjW8a38MxRoRunl8s8fwjk/0H41w72l9qVn9t2RCGOMgbMLtAz1Hrx7mus8&#10;buj6RaQg5m81iF7bcda5iHw3qctrDKFb7O2RvIJWPBwd3pyf1rSNkjNptlTT/kj2yQYkEmC/Q8da&#10;9W8M297q1vJqOo7S8kXlRMvDYwN5PPXIH6nvXmrWktm7W8ksEy4O1o2JGRz3AOK9S0XV9J0GOa11&#10;bU4be6aXzTFlmVQVXBUkcjr046+1cWPi5Q91am9B2buc9qVxHPbfY4Lq3ZY8eaoYliQemMY6+9Yb&#10;JHKpQQsuAeTiq2kTx3F3dgurNuJVv7wz1rSuFMcTMenauqnFQVjOdSUpXOevoyLWI5+RmBK474/+&#10;vXS+BiiXt45PziJQPoTk/wAhXP3qE2cCqCWXcTjsABya3/BkRXV5QWUo9vnA56Fev51VTYUUr3O1&#10;GpolxEg3rIc4Ow4PHr0q7Bq7xsVljyp6Fev5Vi6kTBDvUfcIYc9xWokW9vYVzbGug7X9VEXh+6lh&#10;mALqFVcZLHI+XHf/AArmorDTtc8PSMpS3njDSq0hxsbqyk/3cfyB9ad41vGsrXTEjbBcytjPUDaP&#10;61yR1S4lQeXGjHPKucg/Shxbs7lRdtCotytu6yMWVNwDFeoFb91rkS/ZlsrtPPC+Z+6bO0+menrw&#10;azD9llgkju9LdWkGFlRjiI/3vlPP0q6vgXy7YSpfbboHcqtHlCO3IOR696pKL3YOTWiRZTV5r1HW&#10;8iiuDIxZiQiMScZ+YL7e1TQWmmHO4Xlq30Eqj8uao2em3lpcMJZIZFABBUEfzrXjUdxj6VjOVnY1&#10;hC6ubui29gsTRx6rC7E9Cm1ug7E5rTk0Ytk/aMg/9M//AK9cg4RshtrezAcU+B5LYgwXM8H/AFzk&#10;IH5dKxfK3qaWktjcutAkcEJMp+qYrIbQNQgYlCHXOatR63qcQ+aaK4X/AKapg/muP5Vdh8SIMfaL&#10;ORf9qJw36HBoS7BeXUxTBdQgiW3b8BTFmB6qy47NxXWxazplwApuERj/AAzKU/nVk2dpcJkRxup7&#10;ryD+VJxtugUzjAyuCcnj1HFLhWHBBHsa6aXQLJslFaM+xxVOXw02CYpc59R/hRoPmMY7i+OMUFfe&#10;rkuiXsZOF3fQ1WMF1ECGic/hmpsUpIiIPYj86Tc47H8qHlZV+dBnPTPNCyIV3fMuPenyj5iRJOeV&#10;zWhp9lcanOLa0Ri5Oc44X3PtUmi6Hc63PiIbIVOHlI4HsPU13U11pfg7ThFAA05HTOWY+pNa06PN&#10;rLRGFWty6R1ZNp+n6Z4P0/7VeSCW6I5Yjkn0ArkNc8Q3etzkyEpbg/JGD0+tZWp6vc6rcma4fPPy&#10;rnhaphmByCfwNOpW05IaImnR15p7lliFx8pNNZhnIBJ9uagaWUKSpOfcVH9pZRlwpYdqwUWzdySW&#10;pj3t7MmiyvFLdCOSYq6ttEZIPYdW6jntx7U7SZ7i8tZJ55GkdinzMcn/AFaf1zWPf3k81tcNIPkV&#10;8R4BAChugHTH0rqdP0safoyCfzVuHXfsyFEfAGGB7+3GO/ORXfUj7ljghL37kJD4wf0pMkHgD8aX&#10;cwPIH4GmmQdyR9RiuOx1XHqxznNO3Ejjn8ahLZ6NTc+jLRcLGf4gLCxGeAZFGPwNY+nrnV7cHj7v&#10;8if6VpeIHJs4lJ/5aZ/Q1RsAf7YjwM7WX/0U1ddP+EzlqfxDqSOOGqNi3Tg/hSgsRxj86s2dnJcy&#10;ZdcRA8nPWueKZu2kLp9pNcSb2ZliXuO/sK2/OupZo7GwDtO5CgLzt/8Ar1FvlaSOys4WaZ8KqqM4&#10;r0rw54etPDOnve3roLnYWllc8Rjqef5muinFvRHPOSWrI7HQovD+jPdX9wpnCbppnPCD0B/zk/gK&#10;881vW5dfuAAGjsImzFEeC5/vt/QdqueKvE8via5CRbo9LjbMcZ4Mx/vt7egrAU4FOrUt7sS6NH7U&#10;h46GlPAH0pi/danP1H0rlZ1Gv8O0H2KeT+9M36Lj+tdm5rlfh9EU0JWP8TyN/wCPAf0rqXNdyOAi&#10;Y1ExpzVExpgIxphpc5pO9AhtKBilxRSGNNeB69e+Zrl8Scj7RIQcerGvfDXz5deRLdSyfaJcs5P+&#10;rHr/AL1FrjTsLYP8sjjpkZqhFI73DTMu0pG2O+a0rZVWyuGVicE4JGD0FZcGf32enlEc00kTJ3NG&#10;/cL4V09McySSMfwOK589BWzqpI0nT0PRIyfzIrG7CrhsTLct6YjPqNsisy75FQkehIFe+2cdvNBy&#10;ysuPy/OvCNGR5NWs1ibbJ5yFSOxyDmvcLQ3k8QkyFU/89j/L1rOruXB6FmKyhJBjPyjgbG4/Tipz&#10;ptsqO+xAdp5CLnp64qG2IjkkjZsuSD0wPcgVZvjM2nSm3XfIRhV9ax5IvWxqqk9rnMRaFa6poDwy&#10;jfD9tLlB8vQNjp/vVVt/DFnaOxW2TgABkhDEY79zVqawu9NsI7e5UrHKDIfn5JJJ5x06H9KtQzS+&#10;ezx+YVIwQGwD7+xH+c1UbpFVLOVyGPQYntpJTCrSA4XKhSMdO2M9ePeuc8WWbQ6Y8yqF2ogbC4xk&#10;jPB6cmuujuS4LIJH3HA4LADGd3Hb/GmzWcE1s/m28ZhkAGxl+8c9x+X41cZWZlJXPGkV4yQvIJ3f&#10;SpU80yyMBuz8mSMe3X/Ir0TxFo0EPhq9eG2SExiN4wqjkZGc49ia8/tTmLaAeXH6c4H5Hmujm5jG&#10;1is8jvPsCl2JwPr0FeuwxCKxjQdBwK8x0e2Nxrlsu3I83efovzf0r1Tbi3A96zkWcJ4xvHs9Sh2/&#10;MksGHQng4LY+h+Y1DbeOZ0sI9OmMv2VQVLxcSFMH5eTj9M8daTx8u29s255jYdPQ/wD1648sQOlU&#10;opoV2mdBca5ajSxbWll/pJk3PdygbtvQBV5x155rIkuJbmYyzyvLI3VnOSfxqsrnHI/Knq2ATVWF&#10;e5p6PNHBe7pHKoUIJAz6VvS3lpMmDcOeMZrlbYM8yooJJB4FX47WXcQVK9zms536FJ9C7eENApin&#10;ATDDkkFvaui8CKDql6rHBEZAPpgrXPRp8oRwGHIAPFdn4LhgD3MkcBRsqHJbOc5/wFZud1YtQa1N&#10;TWMR2jSsQY4/mbHfFbEPCE9zWT4jXNosC/xuMgdgDk1qxtmzQ+1Zso5Xxnaw3kthG8ojkSNihJxw&#10;x59v4a5638P3wYGPEy9tnP8AKuj8SOJdSjRgCEgVcH6k/wBam0yJYbKCQIoYhiOBn7xFZyqWRtCD&#10;MZbG8hVle1mBxj7hraeTyoQuBwKsyTkDO1R74FZF1OFBAU1g5KWiOiMWtWMaYmU/571NGxOM4H1F&#10;Za3StKfpjr71aWYEDDZ9jQ1Ydy6YVZg23n1FXYrFTaeafMZuTwvas+OYjoan+3N5Yi8vjBG4evP+&#10;Joj5ikn0J59Nli2FHB3sEA6Ek/561XlhmhO2RVyBu6gjGcZyM1pG+hlMYVguJASGwOgJzU7SoLhi&#10;4BxGNoYfKRuz6fy4rRwi9jNTktzCODkFQfUA/wBKktx5Mm+PdEw5yrY/lWqIbdmklkhU/vMnjcfu&#10;884Geeo9azxb4SdgWIQgDPB696hxcdmWpKW6L0Gr3sQx9oMgHaTDfr1rRh8Qqf8AX24PqUOP0NYs&#10;dpcGEyhDsC5yDnPPTj696YUfbkg4I3Zx2pOT6i5Y9DrYtU0+YAeayH0cVZVLecfLJG/tn+lcPkAU&#10;+OV1OIywPZR3pXT6A4NdTsJtJgkHzRIfwqG38J2dzKC0ZWPPO3jNXNE026SHz9QmKKBkR5xj61W1&#10;vxPHGptrQlUAO51Ga6YUlH3pHNKo3pE1rjUY9Ot/sOlRKZFGCVHyoK4jUNM1O4neeaTzHJ64PFbl&#10;tremrGqeWYwQCD1zkZzmtCO6srgZjnU/jU1ZSk7LYdNKGp5+9pex8NCD6laiaSRPvxMvuRXpJt45&#10;B8pVhWHc266kxS3ULajhphwZPZPb/a79vWsbdzZ1Dj5L5iCqYPYt/hUInDMA6H6jmurl8O2pHEYX&#10;sMcYrPuPDaIjMjEYGcZq01sjJtvVmRZR23hvS/7VuZDJdsW8pFBXZyRx0yffoO3OMRR6lc6ir3Es&#10;gDNLIAo6AByB+grnLozNYhZJGZd4VATkL9PStqwsLk2Ecix5Vi7DHuxNdNb4TGjuWzI2clVJ9c80&#10;u8Ecgiq7x3EQ+ZHH1HFM8845ANctjouWsq3Bwf8AeFNK46KmPaoUlBbp2qXzE9cUco7mRrqF0gUK&#10;FyxNLolk17q8uGVFiwXdjwoCYyfzq81nNqepW1tbhMkPlncAKMDn36dBzWtbG1hmbTbFFDElp5hn&#10;LFQoOck8/N0HAye+a6ofw9Tln/EEtrRmlZCfkU4LDofpWm27KW1qMyt8qqBnHbOP85qMsIikEK7p&#10;W4Vev4mu/wDDPhxNIh+23mDdAVkfpuCw3Etj92Mfzx+Q49SYhTu7Iqc7asteGPD0GgWhvLx1a7Kl&#10;nkcjEYxzz0z6n8Pc8f4q8Ty+Ipjb25ZNKjbgHg3DD+I/7PoO/U07xR4nOt3BsLRmGmocuw4+0EEf&#10;+Oj9a58/6urqVFFcsRUaTk+eQnOxaYPun8KeQdi/SmgHaa5TtQq/cNK55H0oX7lNk+/QB13gpNnh&#10;q0YfxQhvzJNbkhrK8Mp5Hh2zQ9VgjH6Z/rV55BzzXctjz3uIxqI0Fs800HJoAXHNOC0qrTttFwsM&#10;NNIqQqBTGwBknA9aQFe5Oy3kY9FUmvAG08FifOPX0r3e/mik028CyDKwOSOhHyntXkX9jQE83M//&#10;AH0P8KaEzAbMETxg5B71TjyZGUfxDiuol0G02km5k/4E4/wrIuLCKBxtlUgHqMZqhXIdZwtvaoD/&#10;AMsEz+NYv8VdJ4nEEcFksTKz7SGwRkAAY/ma5tfWrhsKW5veEYTP4nsEABxJuOfQAk/yr2yNmfLH&#10;sMAeleOeBo2k8TwbQTtRycf7uP617RbQsqDePm96yqfEVHY5W+1F08Z2MCn5YmCv7lhz+hH5V3ER&#10;zGp7V5pdRA69e3Cz+aqysySRglT6c+wr0KGUylIYiCSAM+g9aUlaw0VvEs0DXFlblh57wF0U55G4&#10;96zfKmETsH3NuzgLjI6Y6/1FW/FYiXVrKVY2LwWpUt2AJPT3rPildw/70gBQAMdCf1zUtFLYu6bi&#10;PT5JGdihl+UkdBwPyq1KqnTEkBZ183DMRj8TnqBx+npWVY3U8sbRxMFt84wUww9eD05NblvazXEc&#10;fmOzRiTIBxjjH+fypoDK8Tuln4LupFAIa3VAEGQu4gZ/WvHkiMaxvjIZuAOn/wBfpXt/iG3efQb6&#10;38vLFcDIypIIwf0HWvMrTSb6K8jWSx3KDgMuSo/TitIuyIZa8NW8T6izoi5RDyPXIrtXXECj3riN&#10;d8UX+h6vDHbrEQI90sbjcGyeAehGMdvWp4viTZzKoutKliwOWhlDZ/AgU7MVyr8QIg1pYy4+67r+&#10;YB/pXAseK7XxZr+lavoEAs5JBOtwGaGVcMF2sM+np0NcQTmrjsS9x69Kf6Cmp1rct9EnbyJW06/a&#10;NiN5wFU/QkU27AlczrJgt7ESOM8gV2VtbafdqAty0bf3HAX9e9L/AMInax6fPeI7xSgjybdisjH1&#10;yVJA/T6VmCNlk2MCp9COa5qk7ux0U4W1Nibw+ykGNmP4V0XhK2ktorlZFwS4x+A/+vXO2N3dWmNk&#10;pKf3G5H/ANaut0O8a9R2MQjKtjg9eP0rKN7ms/hF8SDabXH8Uij9avQt/oajPIqr4iUH7Hk8+ZxS&#10;xv8AJim2QloRz3mkTXTW99Hh0Cjew4PA7jpWvZ2GnNbobdUePHBEhI/nXE6l82oTnOcPtP4cVXgn&#10;mtX3W8rwt6qcVhJJm8U7Hop0y1wSIR/Oqc+iWcp+aBQf92sew8U3kRC3SJOv99flb9K6K31S0vEB&#10;WUox7P8A/WqOR9B3tuYdz4Wt3RgkMeD6YFY8vhx7f5UDKB03DNd+BjBwDnuKcYVkGDn8aXMx3PN2&#10;trq3zuQkeoponAbDKQc44rv5tMicfdGPas250COUfcBouh8xy4dT3zj8KmimeI7kZgR3U81PdeH5&#10;ImLRllPuKzZLe8tyQV3fSnbsNPuakd+6MSwD5bcc8HPTtTo7tdnkkMqMG3t94k9R+WB+tYgvCG2u&#10;rKf9oVdhlRx95foRReSHaJqJKsdjL5XGVUM+cEtkcD2xmrkkg8gROBkwk4dcnhD0/ECsXap+6SP1&#10;p/nzqrJvyGGDnuPTmnGdtGS4X2Nia2t/sTkogYKeRheQRj+dUrR20+7SSeBmj6fMuPxGaaNQkaB4&#10;5A2XB+YHHUDt07VEl9dRLtExZDxhuacpRumhKMrNM6LUtRvL2GO3t5SUKBgGIBIPoT16Vzuxucgk&#10;DrWnE6Sog8pMbFXDLuA6AE+md3r2NJpiBULjO5yrYwTgZP5dP5Vc05tamcLQT0MG0my0to334SSv&#10;uhP+Jz+J9KlUiJt2SFHJJPSql68cKy3otrlJg4Ec2MQjplDnk/Lu5z3GPd8csOqTPJCrrbptKRu2&#10;ckqG59cZ4/P6FSk37wqdVJOJN/aF3ONnmyfZT/Cx5kHvnoPbv3rRi8QXkeAdhUDAG3pVMoSeVpGg&#10;YKG2nBGRQm9kJpPVm3H4lQ8SwMPoc/5/KrE+q2ctnMAdreW2ARjnFcsis3UYHuatTL+5fj+E0/VE&#10;NW2ZyF5GTHBH2M6j869J0CAN4c09ivDW6PnGeoB/rXn+pDY1px0nDH8MV0ejXVzbaPYokjjZbxgZ&#10;Gf4RWtZJpXMqd+h1MljC45QVTm0O2k6xj8s1XTXLgffRX/n/AFq1Frls/EsMiH1HT+tYcnZmvN3R&#10;nSeGrfJKnaT+FU5PDkq8o+fqK6iO9tJfuXCgnoG4/wDr1YWHeeNuPXPP5U+WQudHnVxYXlnfRbXM&#10;eAW3CoNCZvtl3LHGXdppgpHuyf4V0ni64FrcxDYc+VwMe5zVz4b6ZJp9n5+o24WeWUyx5+8oIHX0&#10;PGcV0xTcUjFv3m2dX4V8Nf2eov78brxxlVYf6sep9/5fnWP4n8SNqzyafYyEWCHEsqn/AF5H8I/2&#10;R696k8S+IXvhJptjIRbji4mU/f8A9hT6ep/D685EmIyAMADjHalUmoLliaU6bm+aREF/eRgDACn+&#10;lKy/uxUyJ8wPop/pRIoEdctjqTID9wf7tNHCGpnGFH0qMr8lKxSYg+6KbIPmp2OBTZPvUAbmreI0&#10;8NaTZgwecZAFChtvRV9jXPH4kM3TTR/3/wD/ALGs/wAX3J1G/SB8xpbfIu0btxPOfbt+VYC2UQXh&#10;3J/3cf1rtWxwnXr8QZn6aeg+spP9Ku2vjG6n6WsIx6kmuMjtIlwcSN64bH9K7PwfoltqENxJLM0e&#10;xgAvB4+v/wBapbKSL3/CU3naCAfgf8aQ+J78jiOAf8BP+NbQ8MacsnzXcmCOMYpx8P6Qp/1t030K&#10;/wDxNL3h6HPt4l1E9BD/AN8H/Goj4i1M94gP9yujOjaUvSKdvrIB/Sk/szSx/wAurn6ymnaRN0cw&#10;dU1K9YWrbHSY7WRYl+YHqP50+Tw7hedNLegAj/q1dF9nsLaRZobTbInKt5jHH602TVG7xrVWYm0c&#10;0NHjVP8AkHyKfQbB/JqhbQIJwQ+nyjP96Qf0Y1vSaqPMOYuvp61C2q4PERp2YtDzHxro10moWsFt&#10;asY0h4AfdyWP41iL4V1s2j3P9nyCFDhmLKMfgTnvXok8zahrc1ww+VSEUemP/r5rVe+B097Qp8jI&#10;VPA796IVG20XOmkk31MD4d6LNaR3U9zH5byMqqQwJ2jk9Pcj8q63xDeHS9DkePIkkPlqc8jIPP5A&#10;0vhu2MWl2+4YJQMc+p5/rWf4wKyyWts0TOqgyEAEjngf1qU7u7JaS0RTttOMfh8yLLEwKeY20E+/&#10;XPp7V02gMzWtuehKrz68da5G2vJRbyWjSFInG0Kw+6PbP411ugIIbaBVOQqgA05BaxY8TWE09zn5&#10;WBhXCkcnk9//AK1c2ls8N00RGx2QEr6Lk9B1xmui8UXYTUNq3CLIsQCxtyWPJx+tcXqt/eWzR3ZV&#10;Q2DHyOx5/pTa0uEd7HUSKEiJVhn1PatPTZy1qgBlIVgwbaBuBH5YzXEQ393cWkcyLGBKckgHt7Z9&#10;u9R6tLqd01vGQ0lnG28hV/iAIHAHOM1F9bF8ul2dzqN5DAtxBcXEQ80HaofB7cD61z6mxV926bPv&#10;K5H865zZceZ/x4TZGMSquOfcdaupJIuXkt3UAEnJGPoOc+1Wn3IcexyXiXRry81y5ureISQyOFUK&#10;eRgAYwfpWbJpE1oAbi1mXjkuhxXpGnRxm4/fEfIoJz/eP+TW8sGnSqBIf0NVCTauwqRUXZHgdwAJ&#10;CFxjrxUBU9a6fx3Bb2/iu4S2GItiEcY/hGawASsEmAMMApJ+oP8AStTIZCu5hk8V3ls6qQ0qO4H8&#10;Kysv5YNcPZxNPcxQoPnkcKv1JxXqN/4VvtJJaFGubYH/AIEBWdS/Q0p26mlpg0ySMGHejnqkrsT+&#10;GSQatXWg2t8vKYPY46VzNtIhJ8skMOqkcj6it2x1OWHCscr75I/xH61xyhrdM6UzKvPDl5ZnMKma&#10;P0xzWr4bH2eEi5HkM0pAEvy54HTNbI1ZFQCQBQ3Tdyp+h6GrFrZW+tOrsxAi3AbRnkgUo83Naw5N&#10;NamXrxEj2jR/Mi5YsORzjHNRREY56mruoz2NpF9llmAwoTLHHtn2q5Y6Lox06eLZuiuCHyjZIIGA&#10;R6Yyfzpq73J0WxwVw4N7PyM+YxP50qoCOas3mgTQkmIZFZ4aa3bZIhGOORWW+x0XLawnP3R9QKsx&#10;N5TjLEcdaihuxtxgCpA+XLAjHTFJ6D3NK1vri2b5Jcqecf8A1q2LbXkJAmQqfUf4VzKseOe2KlDn&#10;HSk5dw5Edxb3UFyP3civ7Z5/KrBgDdDj6iuCSUx4K5X6Vr2ev3MAAdvNX0bmhcrIcZI6RrRiMBQa&#10;qzaTG68xflUlprlrcYDnY35itSORJEyjKw9VOaHFonmOQuvD8cmcAH2NY1x4bkj3GNioPbFekNCJ&#10;RnA/EVA9mRkFMD17VN2irnmMlreWxOU3AdxURuWU4bj2YV6NNpqOTlRmsq50FJAQEGD6ihtFKRyS&#10;3IyAR+RqUMjc5Iq/P4d2cIGX3Ws6XTbqHPVh+VFkVzDkyNyB+GxwMjP1qxFczQLwqPyuN3OMZxj0&#10;6ms9GeMkSKe3Wp/MIHBpq6E7MxdTuJ5NIdDNI8caqUQtkKS6ggDPvWt4WilfT3VVLBfLZhsBwBFH&#10;knuOhqjNYvex/ZoGZTMVUuqhtnzZORn2/WuptYLKwgS3tGErQOQZW5JfG0k++OPbpXc/h1PP6i7I&#10;H+8rKfVG/oauxwr5Uag/wqDtyODnrVHA6cGpo5/LI4IAwPwBzURaW5Uk2NazjkmlcqeigBTjk4yR&#10;+tR3ttHEjADIxjBBzn1qwk+QS5HLqcAfXt+VLdgSKqqc5+bgnB/CnZMlto4TXhskgI/hWRvyUGup&#10;tYfKtIYyTlY1XHpxXNeJUYSeXg5ME+P+/Zrq2RlYgg5Bp1VogpkbQKe9MNuCOp/OrCox9eKY5ZB1&#10;BPpWVjS5AYB3yfxoa7ktQEhLBj0VWx+dNluCmBszI33VFdl4Q8J79up6gmd3zRxsPvehPt6Dv19K&#10;qMXJ2RMmkrsl8OaHdSWovNTO8sMxxsv/AI8R/Ide59Bn67d+XPJZ2j4PSaVT93/ZX39T2+tdH4k1&#10;r7JG1pbPiY8O4P3PYe/8q4gjA4GOK1nNQXKiacOZ3ZGsKpHhQAAMADtQqYQ1MR8jU0D5DXMdJCVw&#10;SP8AZqNx8lWCPmb/AHR/WmOnAFA0yGRen0prL8tWZRj8qZt+SlYaZX2cD60jRHNWggOOO9OdPmos&#10;PmOL020nu7fzZWBYscsSTk1oLpDno6/981s6bZGKwXcoUsxIHtnipjAqnPWupHIY8ekEH5pfyXH9&#10;a7DwfaRQSzxlVbcgP5H/AOvWMAM9sVPYXTW+rxhWI3wuBg+hU0WuO53xgg3rlF546/59KU2UJ/hI&#10;+hrmJb+4BU+Y+A394/T+tI15Ox5JP1pk3OkbT4P+epH1Iph06D/nv/KucNzMfWmm4n9aYjcuNOg2&#10;/wCuH6VnSWFuP+WwP5VkXdxckfKxrLlkvP7z/hTRJ0MunW5H+sX86o3kMMMBKENMeEQHOWrnpZ7g&#10;E7ncfU1nRa6bXV2iaLzUAGTuxyRSk7LQqCuzY0e2hE0izMy43HJHocc/nU2uTWlpYhIJBJcTSpCi&#10;g8/McVdsNdt9RjeM6fdPkbW2QMQfxxUo0YyybxbNCobKK+Cw9+OlZ027WaNKju7mtYxbbRcDHPSs&#10;ifWbddaNpJZvMFZUaTyiVX1+bpxmqlprN6dR+zx3KNB5pQHC9Acda2Rpy3GZAVfJOSpB571UVciS&#10;5dywsulsQQsII6fKKLYo94TFjYX4x6VXGi89KpXOpDRtTgsk8t5nAfaX5UZxkj0q56K4oq7sjW1f&#10;UtOiv5Y5nXzRgMMewrzj4iaxB9ksrezJDs7Oxx2A/wAT+ld3f6ENQnkupHVTIdxOcDmsO/8Ah8bo&#10;BxDFKR0yaad0JqzPNLW/1CGMTpKyuECp6YzkjHpzXfeFfF1rexCzvVS3ulOEUnhx7E9854pR4A1V&#10;w0axWkcZG35z2/CptN+GMtveRz3VzEyxsGCIrZyP9omnZbhzPZs6BriyP8afSud8UX8en2STwQLM&#10;m8eYQ2No7ceh9f8AGuwHhyI9UBqG68GWN6gWaEsuc7d5wfwzRa+4k7O6POtG8SW91rLeadscwwqq&#10;2SCATk/yrr4tTsdwHmMPfitm28F6ZbDEVnGn0FWT4TsWHMC/lQo22G5Xd2eHeOZIpvFly0MjSLsQ&#10;bmI67RVWT7IvgvAB+2SX4LHPBjVGA4+pP511ni/wTf3XjP7HomntIGgVjhgoJ5zyxA9Kh8X6fHoP&#10;gDQtMliZb64lNzJlcYwDkH3HmAfgaskxfh/pw1DxfYhxmOBvPf228j/x7bXv26Nhg4NeafCLRy1j&#10;f6m68O4gjPsBlv5r+VelGzbtSYIxdU8OWF/mRV8qbs6cGuXu9NvNOJEimWMdHVT+orvzZuemajfT&#10;pJBgnI96zlBMuM2jz+K5wMZBRuoPIb6joalt4YBeRzLc3luFPKQTsqH8M10l94T84M8WFkPOVHX6&#10;jvXOXFjd6bIRcREJ/fAyP/rVjKMomycZHT20VhPgLGhU/wAJH+c1o+RFHD5cKBV9AK4+1lZCGifj&#10;uvUVv2eqqQFlwP8AePH5/wCNYOCexpdrcufZ1PGBz2NVLnR7e5Q5jGfpWkrJJ0PPoeDTwMDnkVk4&#10;uLsy1JPVHGXfhoxljDwPSsiayubY5wfwr0vYjen0NVrjTopQTtBz14o5mUmedrdBQBIORwTVhZA+&#10;Np3fjW9f+HlYFlXHoRXOXOlXNrLvA49M07JlKRYA4yM/Q09HOcGs5bt0bbKCCPWrAuFYcHFS00Un&#10;c0AwA5/Ordtf3MG10dvpmsuOQgZBz7VKJQD/AHaFJp6CcU9zqrTxJwFnAz6n/EVtW+oRTrlJ8Z9c&#10;EfmK4HcGAzilR5I23Ruyt7Gq5090Q6fZnoxDEA5BHqKjYBj8yjFcja6/dW+BIN4HccH/AArcttcg&#10;uAu8hWPZhg/4U+VP4WQ7x3Rda3Rzj+YqrLpsbA5X8quCRHHy/kacH9OPxqGmtwTvsc/PoySAgBSP&#10;cVjXuhrDE7qCu0FiB7V3TorYJAz6mqOoxD+z7kAcGNh+YxTW4N6HmF7Ht0+U/wC2o/mf6Vp6Ujx2&#10;sp5x9pn/AEkYf0qPUYMWmzH35U/kf8a6XRdOEukJIMHfLK/5yMf612y0RyLczTIuORQrqehrVn0o&#10;dSpH0qlJp7J90A/UVnoVch4//VT4hmQc8c9qjdHj6ofwqexO+fafQ9aqK1FJ6M5PxKmdUCgf8sf5&#10;nbXTGYsxLZ3E1h6qn2nxOLaNS8pjUgdgBICSfbANbF1NBDGuRh8kFGIOSD16cZ64/WrqEwHPcLGp&#10;6EntVCa4Pcb3boBVaW4Ibd9524CjvXa+CfB7agy6nqSZts5RD/y1/wDsf5/TrlFOTsjV2irsn8G+&#10;D2uSup6kN0R5ijYff9z/ALPt3+nXqNf1tNNiNvAR9pYdf7g/xq5resx6XbbIyPOI+Uf3R6/4V51c&#10;yvcTmRySzHJya3lJU1ZGMYuo+aWxXldpZS7HJNMYHP4VIR81NYc1zPU6loBHyGgD5Kc33DQPuUgI&#10;yv7xv90fzNNkHAqQ8u/4D/P501x0pgiOUGkC5UVNIBSAfLQO4ir92kdfmqQdqTGWNMB8S/6LGBjG&#10;30qKRST7VOgKwxjttFRuwz1Fbo5yuUwOAKWzQNrVnuVT98f+O5/pT8j0NSWW1dWsmZSw83bx7gj+&#10;tMRuyRII2IiTIGenpThwOIo/++a1WtY2Ur5Z5GOtPjtImUEx9R609BamPvf+6n4KKRpH9B+Vbn2C&#10;E/wfqaDp8XaIGnoLU5mWZlPY0w3h/wCeaH8K6J9MjJ/1K/rUR0yMf8sl/KjQNTnzdK/DQow91pI4&#10;rMy+YNPthJ/fEQz+eK3jpsf/ADyX8qclgqnhFpiMptRMaECAlh6Vj63qt82i3qWdhO1y8LLGVwcE&#10;jGa62S0AIbaPQ80os1Hp+VCQM+ftH8Ea9LMJHgks1Xo75z+AHP8AKvUfDtpLoGl/ZEhuLl2kaWSR&#10;hgsx6nHboK7VbZB2/SnCNRVCOeGpX+fl0qRh/vAV514q8K+Kdc8VTaja6bKkZVFjJnRSmFA/vDvk&#10;17PtFAUZoC55fY+HfiG9g1lNqttHbyKUdZ2Ej7SMEZ2H+ddx4V8PJ4c0RbIXDXDFzI7nIGTjgDsO&#10;K1zgdqjOQcj8R60kktgbb3J/l9qbvUelQsSRkVXZmFMC95qCnCVayHd+2aj3z/w5oA3PMUmnq6ng&#10;4z/OudMt2PWo21CeP76v+VAFfxJr0ehawk8UavOyKCM4zjPX86wvG3h++8dNpMlsIrW5Fu8pilY4&#10;O4jAyBx939ay9S0vXNZ8Uu8du7WblcuWAKjAzXe6Z4YntruO4GoyNtUKQ6ZJAGOuanW+hWlifwn4&#10;d/4Rrw3aabI6tcKpecocjexyR+HT8K29op+xU4UfU+tAU1ZI0KKeFHcCgAeopwFAhNg9Kjns4Z0K&#10;yICPpU4Q9vyqQLx70DOI1TwgVZptPby267P4T/hXPs8ttL5V3E0MnTkcN9DXq/l57VSvtItr6IpN&#10;ErA+orGdJPY1jVa3OAhv3jjBQjb1w3I/+tWrZ6skzAE7G/usf5N/jiq2p+FLuy3PZMZIx/yybr+B&#10;rAW4aKQxSo0cg6q3BrGUWtJLQ1TjLVHoETJKSMYYdfX8qmKBRnI/OuQstUkhCqTvQdAeo+h7V0dj&#10;qsUwABy3904Dfh2NYumn8JfM1uWjGkhxgbu+KqXOmFwfkUqfb+laqbJhlSMjqO4pcuvTDDvWTuty&#10;077HD3/h9XYkJx6AAj/Gucu9EuLckxjA64PI/OvWnhjm+8FB/Ws+60oHOPmB9uaabGpHkwmlhbbI&#10;jIc9exq5FdAryQRXW3ehpKGxH168Vzd5oDwEvFlR6AZFGjLUhUZWX5Tt+lP3uvP3hWVme34kUrjv&#10;2qaG7IJ3HrScSuY01lDeo9jUolOOmfpWf5wfnr9KekwA4P4UkDVzUt9QmhwIpiuP4TyPyNbNr4gK&#10;4FxGf95OR+R/xrl94Yc9aBIynAYj61am0ZuCZ39vf290uYZFY9SAeR+FLfnNhMQARjqPrXBJMAVz&#10;wR3HY1r2Wo3Uzi3eYyRMOd4yeOev4VcXFyWhnOMooz9WT5rRB/HOP6f411Ph5AfDtg39+FX/AO+u&#10;f61zmsYS808nos24/TK/4V0nh1kHhvS1z920iU49Qgrpmm1ocsXbc0Sn0NQvbIw5X8qsZ5xmjPFY&#10;6l6GZLYKw4ANZ1xbfZgG4V3OxeepPauiOD1FZesGMW65ALBsgHscVcHqTLY5S5uBptx9nt2826lK&#10;eYzDO0ZAwPw7fjWZeJcBzI6b3PQDrUsLC58Undz84J/BTXeaR4XW+nFzcbhADyp7+3tVTu5JIItJ&#10;Nsx/BHg5tVmGoaijLaKeFPHmkdh/s+p79PWvTNV1WHS7XChQwXEadh7/AEpl7fW+l2gKhVAG2OMc&#10;Dj+QFcFf6hLf3LSSMSM1o2qastyEnVld7DL27lu7tpJGJJ55qA/eH0pp/wBZ+FOP3/wrmbu7s6Ur&#10;DGPNI/3qcRyaHHz/AI0hiH/V/jR0QUpH7sfWk7LTAZ/FJ/vf0FDjOKP4pP8Ae/oKVvvCgAZeaMYX&#10;FKw5pD0oAO4pq9TTsnIpF6mmBMozEv0FQsOaKK6Fsc40gVa0tFbVLbcAcSKR9c0UUMZ3wWiFAIwM&#10;D5eOnpxRRTJJhxSFsUUUwIXeoWbNFFMRGTQDRRTJAjIweQabH1KnqpxRRTAl2jFMK0UUAIEFPEYo&#10;ooAaYhTfKFFFACeSAc9jQbZaKKAImt0zSrbr2AoooAmW3HoKf9ijcfMqH6rRRQBJHZRR/cAX6AVM&#10;IAgJB4oooAPKHrQIV9qKKAHeUKTZiiigBQKkAyOaKKYB0I96eFBooqRoUwq4wQKxNY8M2V/ETLGp&#10;PY9wfY0UUDPPtX0mXRPnE4lhB6H7w/xqG1uy2BjGaKK5KqSeh0022tTftdTljx5n7xR0JOGH0NdH&#10;b3fmQpI2SrDIOMH8aKKILmTUiZe61YtYzxxTS2wc4I9MUUVzWNhksIkGSBn1rPntFIO7BH05ooqe&#10;ozEvtIgYZIAz3Fcxf6IsBJjk29+KKKpOzKRiyPJbS7SQfpUiXRJ5FFFVJIcWyykxqZZexooqCyVX&#10;B7VpaL81+P8AcJooq6fxozqfAw8SHZIhH8MUj/kCf6VPp8jwWUAjcriJRkHHYUUV1zOFGnFrU0QH&#10;moJB6jg/4VrW16t1AJUDBSccjmiinHXcmWmw93Kr71h6zOyIm7k5PSiiotaZV7xOO8L3yHxbqMk0&#10;QkWMMFHHB3jkenAP516/HflYUeMbYo1DbBxkHp/Oiit4rW5EzmdR1GW+u33nCrkY+n9KoD7x+tFF&#10;csndnVFWWghPz0E/OfpRRUlCbjk0jN8340UUCHMcRj60H+GiimAzqz/UfyFKcbhRRQAr0hPAoooA&#10;XuKRe/1oopgf/9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GZS7yb0AAACnAQAAGQAAAGRycy9fcmVscy9lMm9Eb2MueG1sLnJlbHO9kMsKwjAQ&#10;RfeC/xBmb9N2ISKmbkRwK/oBQzJNo82DJIr+vQFBFAR3LmeGe+5hVuubHdmVYjLeCWiqGhg56ZVx&#10;WsDxsJ0tgKWMTuHoHQm4U4J1N52s9jRiLqE0mJBYobgkYMg5LDlPciCLqfKBXLn0PlrMZYyaB5Rn&#10;1MTbup7z+M6A7oPJdkpA3KkW2OEeSvNvtu97I2nj5cWSy18quLGluwAxasoCLCmDz2VbnQJp4N8l&#10;mv9INC8J/vHe7gF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BtNgEAW0NvbnRlbnRfVHlwZXNdLnht&#10;bFBLAQIUAAoAAAAAAIdO4kAAAAAAAAAAAAAAAAAGAAAAAAAAAAAAEAAAADM0AQBfcmVscy9QSwEC&#10;FAAUAAAACACHTuJAihRmPNEAAACUAQAACwAAAAAAAAABACAAAABXNAEAX3JlbHMvLnJlbHNQSwEC&#10;FAAKAAAAAACHTuJAAAAAAAAAAAAAAAAABAAAAAAAAAAAABAAAAAAAAAAZHJzL1BLAQIUAAoAAAAA&#10;AIdO4kAAAAAAAAAAAAAAAAAKAAAAAAAAAAAAEAAAAFE1AQBkcnMvX3JlbHMvUEsBAhQAFAAAAAgA&#10;h07iQBmUu8m9AAAApwEAABkAAAAAAAAAAQAgAAAAeTUBAGRycy9fcmVscy9lMm9Eb2MueG1sLnJl&#10;bHNQSwECFAAUAAAACACHTuJAeFQXXtYAAAAFAQAADwAAAAAAAAABACAAAAAiAAAAZHJzL2Rvd25y&#10;ZXYueG1sUEsBAhQAFAAAAAgAh07iQGzPb30nAwAAqwkAAA4AAAAAAAAAAQAgAAAAJQEAAGRycy9l&#10;Mm9Eb2MueG1sUEsBAhQACgAAAAAAh07iQAAAAAAAAAAAAAAAAAoAAAAAAAAAAAAQAAAAeAQAAGRy&#10;cy9tZWRpYS9QSwECFAAUAAAACACHTuJAc9kH+8qPAADAjwAAFQAAAAAAAAABACAAAACgBAAAZHJz&#10;L21lZGlhL2ltYWdlMS5qcGVnUEsBAhQAFAAAAAgAh07iQFQB1UxjnwAAWZ8AABUAAAAAAAAAAQAg&#10;AAAAnZQAAGRycy9tZWRpYS9pbWFnZTIuanBlZ1BLBQYAAAAACwALAJYCAACxNwEAAAA=&#10;">
                <o:lock v:ext="edit" aspectratio="f"/>
                <v:shape id="_x0000_s1026" o:spid="_x0000_s1026" o:spt="75" alt="Macintosh HD:Users:bingquncui:Downloads:WechatIMG617.jpeg" type="#_x0000_t75" style="position:absolute;left:22856;top:3316420;height:1926;width:3959;" filled="f" o:preferrelative="t" stroked="f" coordsize="21600,21600" o:gfxdata="UEsDBAoAAAAAAIdO4kAAAAAAAAAAAAAAAAAEAAAAZHJzL1BLAwQUAAAACACHTuJAMc6uQrsAAADc&#10;AAAADwAAAGRycy9kb3ducmV2LnhtbEVPTWsCMRC9F/wPYYTeaqJtVVajoFAoiIeu4nncjMniZrJs&#10;Utf++0Yo9DaP9znL9d034kZdrANrGI8UCOIqmJqthuPh42UOIiZkg01g0vBDEdarwdMSCxN6/qJb&#10;mazIIRwL1OBSagspY+XIYxyFljhzl9B5TBl2VpoO+xzuGzlRaio91pwbHLa0dVRdy2+vYefk7LTp&#10;94fJWyh359e5bd97q/XzcKwWIBLd07/4z/1p8nw1g8cz+QK5+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c6uQrsAAADc&#10;AAAADwAAAAAAAAABACAAAAAiAAAAZHJzL2Rvd25yZXYueG1sUEsBAhQAFAAAAAgAh07iQDMvBZ47&#10;AAAAOQAAABAAAAAAAAAAAQAgAAAACgEAAGRycy9zaGFwZXhtbC54bWxQSwUGAAAAAAYABgBbAQAA&#10;tAMAAAAA&#10;">
                  <v:fill on="f" focussize="0,0"/>
                  <v:stroke on="f"/>
                  <v:imagedata r:id="rId89" o:title=""/>
                  <o:lock v:ext="edit" aspectratio="t"/>
                </v:shape>
                <v:shape id="_x0000_s1026" o:spid="_x0000_s1026" o:spt="75" alt="Macintosh HD:Users:bingquncui:Downloads:WechatIMG619.jpeg" type="#_x0000_t75" style="position:absolute;left:18356;top:3316420;height:1927;width:3960;" filled="f" o:preferrelative="t" stroked="f" coordsize="21600,21600" o:gfxdata="UEsDBAoAAAAAAIdO4kAAAAAAAAAAAAAAAAAEAAAAZHJzL1BLAwQUAAAACACHTuJAT9o6j7sAAADc&#10;AAAADwAAAGRycy9kb3ducmV2LnhtbEVP3WrCMBS+H+wdwhl4N9MWHKMay5iKG15NfYBDc2yKzUlN&#10;Ytu9/TIY7O58fL9nVU22EwP50DpWkM8zEMS10y03Cs6n3fMriBCRNXaOScE3BajWjw8rLLUb+YuG&#10;Y2xECuFQogITY19KGWpDFsPc9cSJuzhvMSboG6k9jincdrLIshdpseXUYLCnd0P19Xi3CrbF+Va7&#10;gzlcZNjsOv/5dt/rUanZU54tQUSa4r/4z/2h0/x8Ab/PpAvk+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9o6j7sAAADc&#10;AAAADwAAAAAAAAABACAAAAAiAAAAZHJzL2Rvd25yZXYueG1sUEsBAhQAFAAAAAgAh07iQDMvBZ47&#10;AAAAOQAAABAAAAAAAAAAAQAgAAAACgEAAGRycy9zaGFwZXhtbC54bWxQSwUGAAAAAAYABgBbAQAA&#10;tAMAAAAA&#10;">
                  <v:fill on="f" focussize="0,0"/>
                  <v:stroke on="f"/>
                  <v:imagedata r:id="rId90" o:title=""/>
                  <o:lock v:ext="edit" aspectratio="t"/>
                </v:shape>
                <w10:wrap type="none"/>
                <w10:anchorlock/>
              </v:group>
            </w:pict>
          </mc:Fallback>
        </mc:AlternateContent>
      </w:r>
    </w:p>
    <w:p>
      <w:pPr>
        <w:spacing w:line="240" w:lineRule="auto"/>
        <w:jc w:val="center"/>
        <w:rPr>
          <w:b/>
          <w:bCs/>
          <w:color w:val="000000"/>
          <w:sz w:val="21"/>
          <w:szCs w:val="21"/>
        </w:rPr>
      </w:pPr>
      <w:r>
        <mc:AlternateContent>
          <mc:Choice Requires="wpg">
            <w:drawing>
              <wp:inline distT="0" distB="0" distL="114300" distR="114300">
                <wp:extent cx="5372100" cy="1270000"/>
                <wp:effectExtent l="0" t="0" r="0" b="6350"/>
                <wp:docPr id="148" name="组合 148"/>
                <wp:cNvGraphicFramePr/>
                <a:graphic xmlns:a="http://schemas.openxmlformats.org/drawingml/2006/main">
                  <a:graphicData uri="http://schemas.microsoft.com/office/word/2010/wordprocessingGroup">
                    <wpg:wgp>
                      <wpg:cNvGrpSpPr/>
                      <wpg:grpSpPr>
                        <a:xfrm>
                          <a:off x="0" y="0"/>
                          <a:ext cx="5372100" cy="1270000"/>
                          <a:chOff x="18356" y="3318700"/>
                          <a:chExt cx="8460" cy="2000"/>
                        </a:xfrm>
                      </wpg:grpSpPr>
                      <pic:pic xmlns:pic="http://schemas.openxmlformats.org/drawingml/2006/picture">
                        <pic:nvPicPr>
                          <pic:cNvPr id="127" name="图片 127" descr="Macintosh HD:Users:bingquncui:Downloads:WechatIMG614.jpe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22856" y="3318700"/>
                            <a:ext cx="3960" cy="2000"/>
                          </a:xfrm>
                          <a:prstGeom prst="rect">
                            <a:avLst/>
                          </a:prstGeom>
                          <a:noFill/>
                          <a:ln>
                            <a:noFill/>
                          </a:ln>
                        </pic:spPr>
                      </pic:pic>
                      <pic:pic xmlns:pic="http://schemas.openxmlformats.org/drawingml/2006/picture">
                        <pic:nvPicPr>
                          <pic:cNvPr id="130" name="图片 130" descr="Macintosh HD:Users:bingquncui:Downloads:WechatIMG618.jpe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18356" y="3318700"/>
                            <a:ext cx="3960" cy="1926"/>
                          </a:xfrm>
                          <a:prstGeom prst="rect">
                            <a:avLst/>
                          </a:prstGeom>
                          <a:noFill/>
                          <a:ln>
                            <a:noFill/>
                          </a:ln>
                        </pic:spPr>
                      </pic:pic>
                    </wpg:wgp>
                  </a:graphicData>
                </a:graphic>
              </wp:inline>
            </w:drawing>
          </mc:Choice>
          <mc:Fallback>
            <w:pict>
              <v:group id="_x0000_s1026" o:spid="_x0000_s1026" o:spt="203" style="height:100pt;width:423pt;" coordorigin="18356,3318700" coordsize="8460,2000" o:gfxdata="UEsDBAoAAAAAAIdO4kAAAAAAAAAAAAAAAAAEAAAAZHJzL1BLAwQUAAAACACHTuJAuxIfW9QAAAAF&#10;AQAADwAAAGRycy9kb3ducmV2LnhtbE2PT0vDQBDF74LfYRnBm92Nf0qJ2RQp6qkItoJ4m2anSWh2&#10;NmS3SfvtHb3oZeDxhvd+r1iefKdGGmIb2EI2M6CIq+Bari18bF9uFqBiQnbYBSYLZ4qwLC8vCsxd&#10;mPidxk2qlYRwzNFCk1Kfax2rhjzGWeiJxduHwWMSOdTaDThJuO/0rTFz7bFlaWiwp1VD1WFz9BZe&#10;J5ye7rLncX3Yr85f24e3z3VG1l5fZeYRVKJT+nuGH3xBh1KYduHILqrOggxJv1e8xf1c5M6CVBrQ&#10;ZaH/05ffUEsDBBQAAAAIAIdO4kA32Jm+JgMAAKsJAAAOAAAAZHJzL2Uyb0RvYy54bWztVltv0zAU&#10;fkfiP1h5b3Np1ku0dhrtNiZtUAETz67jXCCxje1eJsQbEvDGOz8FiX8z7W9w7CTd1m5imoAHRKUm&#10;x8f2uXznfHZ291ZlgRZUqpyzoeO3PQdRRnics3TonL06bPUdpDRmMS44o0PnnCpnb/T40e5SRDTg&#10;GS9iKhEYYSpaiqGTaS0i11UkoyVWbS4og8mEyxJrGMrUjSVegvWycAPP67pLLmMhOaFKgXZSTTq1&#10;RXkfgzxJckInnMxLynRlVdICa0hJZblQzshGmySU6OdJoqhGxdCBTLV9ghOQZ+bpjnZxlEosspzU&#10;IeD7hLCRU4lzBk7XpiZYYzSX+ZapMieSK57oNuGlWyViEYEsfG8DmyPJ58LmkkbLVKxBh0JtoP5g&#10;s+TZYipRHkMnhFB4hkso+eX3jxdfPyOjAXyWIo1g2ZEUL8VU1oq0GpmUV4kszRuSQSuL7PkaWbrS&#10;iIByp9MLfA9AJzDnBz0PfhX2JIMCmX1+v7PTdRDMdzp+H1Y08we1jX7YrQ1AG9lZt3HumhjXIYmc&#10;RPCv4QJpC65fNyns0nNJAXxjjS2mOZnKanANsqDXQHbx7cfll08IUnNQTBWBFjvFJGeaqww9nURn&#10;ChgXzaDh380ZmefRhC9ZwXGsoteUZFgfnx51/bD9RtDUJG68GkeVW2zyOeHkrUKMjzPMUrqvBDQ3&#10;wAYRNCop+TKjYNOowYh704od3khlVuTiMC8KUz4j/14SIhnRckaht+Rx7Ft6QD+cKG3cmc6wBHkf&#10;9Pc9bxA8aY13vHEr9HoHrf1B2Gv1vINe6IV9f+yPP5jdfhjNFQUYcDERecNWP9wq761sqBlb8czy&#10;FS2wPRUMUjag5m1DBJWBxMSqJHkBYMM6kLWkmmRGTAC5Wg+L1xMW5itkTQ0UEMfs2KBKEPRva/mG&#10;NJ3BnQ0PDSGVPqK8REYAhCE+izBeQPRVRs0S45lxU2ebQcFuKCB0o7FRV3FaEcKuuhCEv8CkDlC7&#10;OnwaJhnNw5nU/3eZFPxn0haT7rg8tpnkD4KuPRqvTDQ0+aNMsjcU3OH2iKm/N8xHwvUxyNe/sUY/&#10;AVBLAwQKAAAAAACHTuJAAAAAAAAAAAAAAAAACgAAAGRycy9tZWRpYS9QSwMEFAAAAAgAh07iQLQh&#10;8TU2fgAAMX4AABUAAABkcnMvbWVkaWEvaW1hZ2UxLmpwZWcBMX7Ogf/Y/+AAEEpGSUYAAQEBANwA&#10;3AAA/9sAQwAIBgYHBgUIBwcHCQkICgwUDQwLCwwZEhMPFB0aHx4dGhwcICQuJyAiLCMcHCg3KSww&#10;MTQ0NB8nOT04MjwuMzQy/9sAQwEJCQkMCwwYDQ0YMiEcITIyMjIyMjIyMjIyMjIyMjIyMjIyMjIy&#10;MjIyMjIyMjIyMjIyMjIyMjIyMjIyMjIyMjIy/8AAEQgBMgJ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GBzTqYKeDgg8fjVo2DNFSbo26ja&#10;fbpTWjI5HzD1FMBSSB1WmZz3FMOc80UAPwP71S2oDXcK5zlwOnvVerNgAdRtQe8y/wAxSewI9qjj&#10;yKspFmnxRCrSR+1eYzQjjhqwkXtUiJUqrRcQiR+1TKlKi5NTKtSAipUgWnKtSKlMBip6VKseaeqV&#10;IqU7CGBKeqVKqVKqChARLHUgSpAvFPC0wIgvHFOCVKqin7aYEISnBBUwXNOCUBchCU8JipQntTwn&#10;rQK5EEp4HtUm2l2igVxm2jbWbq+u2+lAR482c8+WD0HqfSoX16G7tf8AQyQxHzZHK+1bQw9SVnbQ&#10;zlVjHc0ZL2zicpJdQI46qZACPwzSC+s/+fqL/voVyEOiT6pqGQSqg5aSt640c2mGj+eLue4rd4am&#10;pcvNqYyrT5eZI2k2uoZWDKehB607bWfpRKyNGPukZx6GtTbXLUp8krG1Opzx5hm32oxUm2kxUWNB&#10;mKMU/bRinYBmKQrzT6MUrARleaaV5qbFJiiwEBGKaVzU5WmFaQ7kBGKaRxU5WmkUDIMUwipiOKYR&#10;SsBAy1GVqwelMIpAVmWmFasMuajK0xlcrTCtTstMK0AVytMI9asMtRlaQXIStNK1MRTSOOlS0MrM&#10;tRtHkVaZelMK1IIbEnAqdV4xSRrxUoAFADcE0hFSYpCKBkTComGM1ORUbCgCE5/CmH0qUjFRt0zQ&#10;BwfjJ9lnqjHP+pwPxwK4jQUN7bpFEmGDbSBzn3rsfHMxhs9QwAcqqnIz1KiuN8G3YtrmZiM7cMM/&#10;jXofYTJp25rM3ruyFlDExbLk8+1Vpp3ncs56np2qa6ma4fc3rmoQny9qzV7ams7X0IliLNgHmrSR&#10;BFwB9eKlhj2J7mnEZNZyd9Dopxsrs85GKOK34tKtpYDlSrZ4INU7jRZo+YiJB6dDXbGSZwtGbSZI&#10;5BxTpI3iba6lT6EUw9Ku5JIsgYgOBj+96VObAuu6CRZR6KefyqnShmU5BIPqKLgDIyHDAg+9WdO4&#10;1O074mT+YpVv3Zds6LKPVhz+dXdKht7jWLLyWKuZkOxvqO9JvQEe5RqM4qwiYPSmxpgA1YVeM15h&#10;YItSqp70KtTKtK4CKuKmC0iiplWmIREqZVx0oValVadgEVKlVaVUqVVpgIFqQL7UoHtUgWgBqrT8&#10;U4JTwvtTAYF/OnBfanhacBQS2NC04LTgtOxTSEIFFLilpQtVYQgFOx7U4LTsUrAZdzoGnXk7TTWw&#10;MjdSCRn8qSLw9pkLbo7bafZ2/wAa1cUtaKc0rXFyrsQxW8cCbY0Cj2qjq2qw6dAQcPMw+WP+p9qu&#10;X0rwWM0sYBdEJXPrXCpFcald7BmSVzlmNbUKSn70noiJytoja8M30t3dzLKBkLkEDHGeldPtqhpe&#10;lxaZb4HLkfM1WVuQZMEYU9DUVf3k247ChamkmS7aUCnYoxWNjW40ijFOxRQAzbSYp9GKAuRkU3FS&#10;kUhFIdyIikIqQrTCKmwyMimFamIphFICArTCKmIppFBRXIppFTEVGRQBEwqNh2qYimkZpDuVyKYR&#10;ip2Xg1HigZCVpjLUxFNIzSJZAUppSpiKQikwK7LTCtTOKaRxUtFDUFT7QBTIwKlA45pANxTSOKkx&#10;TTTGRMMVEwqdqiahgQMKY3AqRs5qM96QHm3j51+yagvOcL/6EtcJ4bYC/kUj70Z/Q12/j/8A49r4&#10;+6/+hCuB0J9usQjjByP0r0Yr3DNbnX7c1JHEWkHoOacUBqeFMIT61hJnRTV3qJtwOlARmzhSa3dG&#10;0hbhftE4zEOFU/xGtryrO2JKRxpu4O1fSs7GzqqLseX24/d49akKn0ogUeUAAakK4OK6E7HMV5IY&#10;5V2yIGHoRWZdaLCQzRMUI7dRWyQR2GKguc/Z5D0wpq1ITSMBNKVhzKfyqZdFix80r/kKbGzepqdH&#10;bHU1VybIVdDtu8sn6Vf0rSra21azkBckTLwT71UDN6n860NHydYswxODMv8AMVMtgR7Gi9KnVeaa&#10;i1Oq1xMQKtShaRR7VKq0hiotShaFWpVWqQhyLxUirSKtTKvFMAValC0KozT1HFMAC4qVVoVcVIKC&#10;RAKdilAp4FAMaFp1LinBaaRIgFKF9afjFLiqAbilxS4paYAKKXFLigBMUYp2KqX87QxKqcM+R+FO&#10;MXJ2QpSUVcW+H+gzf7tZukGC3Zsxqpc5LiptPupLmSS0liZotv3/AE9jRJZtat/ej7H0rqhFJOnI&#10;56kpXU4mnL/qXPtWdZyQXkzosoOw8gdT9PapQslzZT26tgshCk9qw9N0y7N991omib5m9P8AGpjF&#10;RjJNj+NqR1gXAwOAO1GKdinba5joI9tGKk20u2gCLFIVqbbSbKAISKQipivtSFKQEBWmkVMVFMIp&#10;DISMU0ipiKjYUmhkTCoyKmIphGKkCFhUZFTkVGwoKRCRTGFSsKYRQBEwqMrmpiKYRSGQkUwipyKj&#10;IpDIsU0ipCOaQ0EkJWmEYqYimMuTSYCIOKlxxTYxxT8VA0NPFNp5HFMqrDGNUTVK1RNSYyBhk1G3&#10;SpWqJuBzSA8w+IDD7Lej1df5ivO9Lfy9Utm/6aAV6D8QD/o93z/Gv8682hbZPG3owP616UF7pl1P&#10;RiueO9W402oB7VAnOD61dRfnT0yM1zT3Oultc6C6lnsraK3hARRGNzY5yf5VEkZNqhHdmJ/T1q3q&#10;SB7qMYZjs4Vep/wqW2sWWALJtQ5yFU9OB/hUk3R5tB/qwKlK+hxRGpEYp+MetbGbIyv1qtdp/osp&#10;PXaauEdqrXa4tZT/ALJ/lTW4HOr9KnRT6VGtWIx0FaiHAMOK0NGBOtWIz/y8R/8AoQqlt6nvWjof&#10;Ou6f6/aY/wD0IVMtgPaEHFTKKai8CpVX0riAVRUyrTVGKlUU7CYqip1WmKtTqKBCqOKlUcUiipFF&#10;MBQKlUd6RRzUgFMTFApwFKF4p6rQSxAKeBShaeFqkhDQtOxS4pcUwEopcUuKYCYpcUtFFgCilApa&#10;YBisHxK7RraMpIIZufwFb9UtT09NRtvLJ2upyjehrSjJRqKT2IqJuLSIdHvIJ7YIgCSjll9fepNU&#10;1OCwgIcb5GHyxjv7n2rEh02+t5PlhcFTwy0260i/uZzKUdmc87+1dDp0ufm5tDJTlazRo6Be/a5J&#10;EdQHUZ46Yre288Vm6PpI06MuxzM4w3sPStYDFc1WSlNuOxrCPKrDAtOxxSgU4LUFDcUuKeFFLtxS&#10;C5HijFS7aNtFxXISKQrU22kK0DuVylRstWSKaVpDuVWWoytWWSomWlYCBhTCM1MVqMrUtFXIGFMI&#10;qdhxUTDmkMhIqNhzUzCoyOtAyIjim08imkUgIyKjYVK1MNIaIiKaRUhGDTTQMZTGHNSEU0ikyREH&#10;FOoXiloSAaaYaeaYaYEbVEetStUZqGWRNUD9KnaoH6UgPKfiCf3Vz/12Ufzrzfo2a9F+IJ/dz8/8&#10;vC/yNeddTzXpw+EyPTrL95bwt6oD+laITueazdHO6wtj/wBM1/lW2IyRx09a45uzOyjsbVpq8AtA&#10;J8iVRg8fexWXd3c97OZEDhBwoHYU9bOSSM7R05yeARVq0XyTKpcfeqOYfJFM4qNf3a+uBUhXPahF&#10;+QfSpAvpXSkc5FsB7VXv0xZTYP8AAavBearX64spjg/dNNAcoMg4Cn8qmjL9drflSbuR8ozU8bjI&#10;+UYrQQ5fM/uGtPQFb/hINP3KQPtEf/oQqmj8Z2L+Vaugndr9gu1R/pCdv9oUpbAexqKkUVnajrOn&#10;aPCJdQu44FPQMeW+g6msaL4keGncqLqU46HyG5/SuPlYjsAKkUZFUdM1Oy1S3E9ncJKhOODyPYit&#10;FBQBIgqVRTVFTKKYhVGamReKai1Oq0xMAtSqtCrUirTSJuIFp6rinBakC1SVhDAKcFqQL6U4IaYE&#10;YWjFS7e9G2i4rkWKXFZes60dIeJF069vDICc26BguPU1l634607QtQt7S4ikcvHvl2EZhyMgEdyf&#10;qK0jSnLVIDqMUYrhD8W/DhuFgjW7d2OAAi8n/vqup0TWY9btGuY7a4gUNtCzqATwORg9OaTpzSux&#10;mlS1ys2s+JHv7q3stNsJ1gkK/wDHyNwH8JYZ4JHNOF/4xIyNH08H0M5rT2EurX3onmOopQK5O31/&#10;XbbXbGw1nTrWOO9LLFJbyEkEDPOSfapPGnjaz8H2aGQCa7m/1UGcZHqT2FROnKDSfUa12OpAp1eK&#10;QfFXxXdu7W2iI8bcJiFsD8c4rrdI+JcF/pd2k1sbfWLaJpGtZFIDbRk4P61Ci27IuUJRV2j0DFOA&#10;rmbPXbq78QaVb/Itvd6cLl0Azhj6Gk8Ua1qUN5DpGiQM9/KnnF+MIgOO/XNbRw83JQ7mXNZHVBac&#10;BXIXd94uvLN47bSY7SRsYk84My89uKW5vvFn9nuhsbW3bZjz/O+7788VX1aX8y+9E86OwxS4rnfD&#10;Gvrq+ntHM8YvLc+VIFkDbiB94Y9a5rz9Tbw7DrZ1O7883G0xh/kxu9KI4ZttN2sDZ6PijFcHNrE9&#10;3c3Xm62bOFZWSMQxFwU7HIBxSuGtbESWfi1ZZEwUjeVSrc9DzTjQi9OZX+YO66HdYpMU2BzJbxu2&#10;NzKCcdM0lxcwWkLTXE0cUSjLO7BQPxNc7jYaHEUwrXLXnxM8JWUxifVVdh18tGYD8cYrV0fxTomv&#10;krpmoQ3DgZKA4YD6HmlaxWqNErUTLVkgVGQKVhoqMtRsvarLLUTLipYysRio2WpJ5oYFDTSpGDwC&#10;7AD9aZuVxlGDD1BzUlEJFRsMVMwqNqRSIT6008insKYaVgIyKY1SU1hSAjNMIqQ009aBkZFIaecU&#10;00mDEAoIpVpGoQdBO1RmpDUZoYiNqjPWpGqI1LKRG1QP0qZ6gkpAeSfEIgrNj/n5H8mrz016B8QP&#10;uy+90P5NXn5616dNWiZs9N0DnTbT/rmtdVahEjLPzkYxiuQ0mdbXQLedgSI4txA7gV1VtOs2nRXS&#10;g7JEDDPoa46idzppuzsXWmd14G0GoQplLMeuai066+0aVFPJgHA3e2aZpkrS3N7Ez8xuMDHQEf8A&#10;1qx1Oixz8afIoPpTynGO1OVcAY9KlCgAYrsTOMhCHFV9STGmz/7taAANVtUX/iVXB/2aaeoHFHPF&#10;TRg4FRtU8f1rW5JOgzV7TbgWeowXRHywuJD9BzVNBx6U8tsRzsD5RhtPfIxUu3Udrmr4Z0yDxtqF&#10;1qOtzyySFsKinAA9B7CvV9M8I+G4oAraXb7lGAdmSfqTXnfgjTT/AGSI4bpLe5Y7skbs59Rkfzru&#10;dOsr8z+XeajbM4X7kCkficsa5Zt8251xglFIk1DwlbRFrjR2aynT5vLjYiOTHYjt9RWrol0b7SoL&#10;g7ssP4sZODjnHeqNqmqpetHvtZrfPMonbcPYrjGa2LCBYbYRKu1UJCj2ycVN31MqsUi2oqZFpirV&#10;lFqjnFVadPNHaWstzMdscSF3PoAMmpEWku7RbyxuLVvuzRNGfoRimkRc8Yl+IniLX9XeLSrW6MQb&#10;93bWow2PVnAz/StFLD4rOwvAJ02DIiaVfmHoRnn8a6jwRPp+g6AAtkqXHmskxRctuBI+Yjp0rrx4&#10;kWTTGuksbgsH2eXt5+vuPcVd0ayTWyMPwR4nutfguLXVLQ2mp2jYkjZSu4dmweR/n1rrwlYls8V7&#10;rNpqEcLxyFHiZtpG5cZHUDIBH610AWjcymrMaFpcVIFpsjJFG0jkKqgkk9hQQNwBQa84XXNT8Z6p&#10;PDp0klvZRNhNp2hhnqx6n6VneJdV1fwrfi5ivLlU3Y8suZEx7g/zHPvRoaKk2eg6zr0WivCj2N7c&#10;mUEj7NEHAxjryMda8dutG1bxx4u1Kcr9mt/tDRksOgQ7R+OBXpul/EDR7zRLa+upvIklLI0aqWwy&#10;4z0HTkEZ9ah/spZJZXsp/Linka4z8wbDndkYI9T1q5Nxgmla/XuVSSUmmcjP8IdBtrTLvcPcEcyi&#10;Tbg+wrL0bxpP8PBdaJqyveRr81i4bsT9056Dv+dd55drqUhe3upPMiXazSxHH4ZA5+lebaRZ2fiH&#10;xhqms6ifOtbObybdXI2nbxk/z+prJSe7OhwTVjQtvHWt6Xd3erDTIGh1CXcyyBhwgAGGzx1PY9K6&#10;XSPidda7ObfT9AMlwqb2iNyA2PUfLyPpUV/4k0S805rGeMSQsfK2eV39v8a8XuWk8NeKmiink8hH&#10;DIyPhjGe2fXHFdFKqpSvNXMqtGyPb9Y1TV4dU0zXNU0J7e0sWYELcBvv4XJGKzfEugte/E59QvYH&#10;ntUtomt8rlVPQ8d+QT+NQSEX2hz2GmWGuzvfGMrLeDKABt2Qa7LxLaXMF3b6irObeKIJKBjC89f1&#10;rbHJKEbaf5fezLDfHqCSs9qsa2zZ9uM8ZwMnr9a8z1ZkvfGd1FZ7YLyGPyWYnhiwwQfwO3qc12Ek&#10;9w2oDUYbdHUY2uZm2ke43f8AsprmvDfhq41GTUNaaWVHl1GSUxxhd5CsdoBY4xnJrzYSS1W53Shp&#10;Zmhb+EfEdikNxHq5a5hDBG8x8Yx90DPT6elaOleKLLWTJpWu6m1vcwASQ30DbXkXkFCcdiT9a6Xy&#10;r5tNt3LsJEcEgbNw4PHXbnB9a4W60CTSPFOna4YHaKa/CvBKqE4cYP3eOx/E1vTrNTTkznnTjKLs&#10;dX5Hh7gL4tv/AMbhv8Ky77wjqniG3VYLu4+yM25TcSk7l7Eiu01JPsVwI7Tw2l4hQMXQquDzxyPb&#10;9aZDc39hHDDDaLs4G1yBgd+c9vTFdWIrScVZ6P0/Q5qMbXfU4q2+Fl3aq7NdpHIB8jxsQaTwrFqG&#10;p6vJoV9cE2Wl5ZkQ8FiTjJ7967uW71aWVomt4Qu7A2n+H1Jzn8MVz+j6QdK1PVbqefbHcTeaH3FV&#10;IwRjI7j3H061xOb2udMdU77nYCHT7S1MaRxRxgYIAwK891WWHRvGVjFb20Eo1D92qyrlAT04/rV+&#10;98QaHp0cTzTThpD+5ZldgwJIzuI5yPTpxWVqVsuqa5pcWnDz72G5WUTPIzFQOSp3dOlOE7STQKm+&#10;V3PVrdWW3jVwocKAwXoD7e1eN+P4Nc8UeMpdDtZjFbW6BzuJ2gYBz9SSK9lhLmBPNAEm0bgOme9Y&#10;Go2Ev9pXV3BGpmdFVeeoH9f8BV1JNK6Oejbm1PnC58Ga4l6bc2UhcEAnt+f4H8qtadaat4O8T6Zd&#10;kAB5kUYPHJwQa9qu9M1uewLxzW0Fy8mDlRnZzxnHWvO/HGk6lbae01/NA0+5fJiiO4jJxknA9ax9&#10;rJuzO9U4SR1sviTW/HGo3dp4cuWstNgk8s3gGC2OpU9SfQDHGMmsvxGfFvheOS/tvEEl3DEoLJMx&#10;LAAenINdTpFnLo2iWGn2tuY0jQB5FKBc/wAROTk5PoO9Z/iNZbi2ubfyTchsxlAygAY75570ObuZ&#10;xpx2L3w78ex+NLCVJ41i1C2A81F+64P8Q/qKi+Ifi240CCKx05c39yjMrYzsUdwO5ryz4aNN4c+K&#10;8emysAJ1eBxnPVdwH5gV7L4m0qObWrDUGjDmOOSLGB3xjr261c9FcyUUp2Z84Xd3qV/I9zeXUzsD&#10;8zTOc5/GtPQfG134e1OGWK4aSEECSLd8rjuMfyrptc8D3OoQ3pithGqtvRmcDv25PY1y6+DprSxn&#10;FwqK4PDM2TgegFJSi1qdEqfRH0ixG3d2rzDxJ8WbTTtRey0u2F40RIkmL4QEdQMDmt3xB4ttx4Bv&#10;Ly2kEd01sFVAeUZsLwe+M5z7V534Z0PTdJWO6v3iad0ziUZAz2AqVbqYwpNlFvjT4gW6z9lsGiz/&#10;AKsxt0+u6vUPB3jOy8X2LywxmC5hwJoGOSM9CD3FeXa5o2h3PnGMLG4yf3SHisz4b6mdF8cWqM/7&#10;q5Jtm9CG+7/49itLRktBzp8p9Dt1ppp5HFMNYGQw00049aaaAGEU0ipKY3egYig0jU9RkUxqSAaT&#10;UbGnmmMaYiNjUTdKkao2qWUiNqrvnpUzGon+6aSGeP8AjxsqR63P9Grgz96u28dN8wHrOT+hriD1&#10;r1I/CjJ7nd2UobwgRnkQsP510PhK8W/8MpC2QYRsz9P8ivModSuEtTbq5CbStdz8N47h5Li3eJlW&#10;RSQW4B4rCcdLmiLOn6jJF4fuYnX5UYBWz1BBx/IfnW7o0jSX17OAhEyQuMe6n+uap/2Ctvok0Ny+&#10;GWNGcLx/eHX8R+VdF4eitFScLENq7V5GexPf61zzta5pzs5bA2jFOA5FJj/61KB+dWiCRV5qDVVz&#10;pU/+7VhTxzUOqH/iVT/7tNbgcM45GKmiGRjHNRyDketQyXyQYAG9u4B6VvYRprwORVG81RIDiPlh&#10;2qnJqssildqqG496tW8mjN4evobu3m/tQyI9tcR8jbyGRhuwB0IOCcinyhe2xb07U540jkSVo89d&#10;prsl0V9ZiiubPWY945bJ2up9Cc89PavPtItbu5SUQwvIluu9yoztXPU+3vXR6akaEMzMjVzVFys7&#10;KMuZHe2lhLpd5CIr8yTTAB1QkhscZOSea9Ct0IiQN1xzXmOm6zYaPsurlZZkyFZk5ZB647ivSdK1&#10;TT9XthPYXUU8fT5TyD6EdRWcU3qZYh62NFFzVhFpka1ZVapHI2OVfaplXjpSItTohJ4FWiTidNS4&#10;0TXrqwDBbeR/MUz8+YD3z3OeM+1XLzUtUi1OOK3ktxaNw4e2cOCP7mSA34dPeq3j6y16RYZ7K0t5&#10;7KH74APnDPUj2+nPFczaeO7y1jMMrhfLXHzoCR+NDi1qdUPfV0d/A09xqtpG77o1G9kUbCCOhP8A&#10;hXSgVx3gLV7fWoLu5EMguN+GmkHEg9FPoK7MCiKZzVX71hMVk+KHaPwxqJTqYSv58f1rYqC7t1u7&#10;SW3f7kiFD9DVNaGcXZps8/8ACFrdaZoqvDEuZmL72I6du44q3q0EmtRGO5t43TA+WRghAI6nuR9D&#10;VUaS+klbW5hSdtuI2c8EDgYJBxWaHVBP5qz3XUbrtyxT2UFQDWPMktT0VHmldFTwrInhnWdTsVsx&#10;cweT9oWPg7CM9z2rrvEeqxWd6scURWQKA3IAI2k8c56A/jWToMen+HjNrupXSR+dD5UcPVioPOB+&#10;lUdQ+JWk6q09jcWc8Nm6hROuGcHP93pj8TW0FzQtYwqP97dFGTxTp8LSrBLeSXBBVRIcqM/jz+Nc&#10;z8Orq0S31DS9QijkV5vNw4znI6/pVmCy8LtfF7XVbuRvvLFJb45/3s/0rgL3UJLO+ae1bbLHJwR/&#10;EvOR/KoUHszo5k9UewT61p0dwmlGysvsAODN56bRx0I65rzT4jnSn1GxTS7ZISgZW2KBv5GPr3/O&#10;rn/CVtLZCVrVTMExuyfz64/SuOia41jVzJI21UOc+lOMWndjm01ZH0f4T165Twz4fhNk0u+COJ5A&#10;ThcME7A9BzyRWnql7d3NsLUwgRzzzwSEqeEVW2n8SB+dUvhrJGfCsNujZ8hih/nXXXNol3CY2JHu&#10;Kq6a2OJ+7PU8ZTRr9bldpwmc/NnB/KtTzpbAyIVaNJJvvLlQCe+R75rvh4YtzgSMSByMVg+O9P8A&#10;s2ixLaLh5ZgjMecKFY5/MCub2cjt9vGTSMC+03xMJoTa3Nx9jABcNdIVPHXO0Y788n8q1ND0+41S&#10;9tpJzLLHBeK4OSynaDySfwrysanqEExikmkUKcFCa9q8A69YS6LDZSXEaXSk/KxA3ZParjH3tSa7&#10;cYaHSaXe3l3JN9otxHEpIRsEZIdh6+gU/jWVqETjULlttwrv/qCGwMgckcEZ+orSvfEujac5S51C&#10;BHXqobcR+ArhfFvi/Ttfsm0+0lki2neJmGASBwOPXJ64ronqrpHFSvzFvVJXh0EebJdrfO+Ekkcb&#10;357gAADt0rQltrm30JHliR4DGHmPByMHOffpXj2lx3z34t4xLLMxwqrlsj2r2vSbHUrzTWtL5jHB&#10;5PktGwGTx+lYK92mjqqpQSdzmdT0zQrnTlS3mRVwMbzI7oR02ndxjtWz4O0oWthc31uC8hVUjJIY&#10;tt659zjn61yOveA9a05muLV4Z4Af7xBA9SMV0ngfUdSsNOFtc2glthISZoQTtz25AzTpp812KtJO&#10;Huu531usq28YmYNLj5iBjmquqrILVpohl4/mx6jvU0t9BDam5dj5QGchSait7tNSt5vKBCg7Mkde&#10;Af61tJXRxRdnc8y8QatKL61ukS6WYOGSMTt5TY/vdl+n86Tw+kfiTVrw35SWYxbo4mP3cEdPcdqq&#10;eJ/CHiG0kY2a3FzAxOBEd36dRWBb+FfFGkabc646tZrEhOHciRu2Me/TnFcyTb1PUbg4e6z0e9mj&#10;uoxPBcSsrpkeSwHUcNnBrgru+/s6G98y7vTMx3RyTSHcPYAqp/MVV0+XWtI8I2d/A7iNjIj7edvz&#10;kA89veuH1/Wb273vNNIxGeWOaIxblYatGInh+4mi+Iej3bMS738bZzyRvAP9a+rr21FxFj+ID5a+&#10;N9CnePWdOuX3fup0bjrgMDX2hvWSASRYcMoZSD1FbzjpY4Zyalc8u8TretZSR2gdCOGMc6xHr33c&#10;H865aNpb1kW5Clkj2/Kc5/HvXe+KdGa8gleEmOc5ODnBrgrDT9Ya8McNhO8v3SDGdo9yfSuTlZ3K&#10;a5Buq2iz6ZLCThQufpjmmahDYpcqpV3fbuCxkkYIznAb39PSuubwlqNwrKYlRSCDvYf0rkPEGhS6&#10;MBNqcOYl/dqy8g8cdKqN1uZ0pJmBd6nYvdSp/ZwxuJUSIAV/+tWc1kp1/TJoIG/eXEagKOAd2f6V&#10;G01qs7NAGLHuQB/KvRvD+lnUdY0F/szLYWdl9p8zHyyXDHBGf9nH861TsOq9D0amEVIaY3WszkIj&#10;TTT2phoGNJxSGlPNJSYAKa1OFMc0gGGo2p5qN6FcQw9DULGpGNQueKTKQxqikPFPJqFzxSGeL+Oi&#10;ftMYPeVzXIR7TKof7m4Z+ldb45OLyHn+N/6VySEeYpYZGeRXqw+FGL3Nua80+OCS2sbUO5bCyMmS&#10;cH35rrPAE+oXWvJJJGEh2smQAOdvTnmuTYQNBb3NpAd3mMgjA5Ix+feup8DHVJNeO0kRLEWAb7uc&#10;D9azqK8WaI9Hv9NSR7qJjtDwL8w9fm4qawaxs7fDOqF+SSetYFrqclzqaC6lXzC20hTxjHbNR6vN&#10;ZW8Vs27iTewzk+ntXLyNlGcfekzk0OcDk1EHB75NMCwxZUJRd7AcLnGfxrG1L+2ZbKZpBawQ45UE&#10;sx59elaE8ywQmSSVY0Xks3ArB1LX4ZLZ4bQ+ezDLEHAH59a0gncRiXDSRJuba2PTishn3uzYxk5q&#10;1d3Mrx4ZQoNURXTElskFPRvmxUY4pM4YVeg7mnp2pXOmXsd3ZytFNGchh/I+o9q9N8Pr4d8Uldt7&#10;HpWotxJayDMbt6xkkdf7vX04ryRTip0fHQkH1rOcVNajjJx1R9Lad8PtMhuI5LmSW4ZCPkICqT7j&#10;/wCvXj/i6+is/G2rNpMn2e3MxQCA7VOMA9O2Qaq2PxE8Q2tgbCS7+1WhXYYpienpuUhh+BrnTL5j&#10;ljxk9PSpp0+QcpuTuzutB+I2t6VKge6a6gHBinO7I9j1Fe6eHNctfEWkx39scZ4dCclG7ivlPJCZ&#10;HWvSPhL4iax1qWwlc+VdxlVH+2OV/qPxonTT2IktD6Et0jYZPJ9KtKQenaszzPIlTP3dp/SrsUyy&#10;HIIK+3ep5dDFox7vRNQ1PUS97ehbJHzHBEOo7ZPr+dY+u+AYtT1GK9+WR1PzqwA8wDoG7cevpXcU&#10;U7sSm4vQ5HQ/C15pWpi9luEcyDbJEpIVQPuhR044rrqKRmwMmk3fcTbbFoyKjBzk54rnvDkiS6lq&#10;zIXIWco27sQTwKzcrAkYfi/Vry2vjHPH5duBmJtuQ34/0ri/7UM8pSELvbsi5Ne3XFrBdRGO4hSV&#10;D1V1BH61l2vhvRrOcyW9miueepNcdSLbudtLEKEbWPNR4IvdcQSJM9uxX/loCV+ntWVpHgS7n8Uz&#10;aRdrHsgGZZASVwehGCDzkV7oEVRgDAHYVQW1ji1C5ulXDSqgLeuM1vRqSXusylU5nc8k8d6bpXhy&#10;CDTtMt41mUhmkJDSuSMDJ6/lxzXlUmmXEmqpAyEljkj1zXuOt6S2veMtTt1t5PMgtIpI5d42ZPAG&#10;3HXhuc9q3/C3g2x0GEzzRrPqEo/eTNzgeg9BW2vNctVIqnbqcFH8HJ1tYQlyrBl/eK7YKH06c/pX&#10;L+IfD6eF724tWhCkqrKUHGMdfzBzX0YrcVla3oGl63EPt9sspQEKw4YZ9DVN3RnCpZ3Z5L8Otcgl&#10;8Zw2qoc7W2jPH3Tz/n1r2e91SDTbGe8uA3lQjLbRknnFeS+DdEh0H4rXtjarcJbC1MgWeMEgZX+P&#10;vzmvRfEBWTSZI5BlJDtYeoIOf51LVkW7VKiRk2PxCGo6o9vHAsMOwlGc5YkevbpWhcTi8XE6CUHq&#10;rV5voeliDXpVklEscIVlccdc5H14wfrXeLLkdaxcrnpTw9KD9xGRqvhDSNVkDbJrZhjmP5vw5rb0&#10;vSNN06JFtrGFGQf6xlDOffdUYkJcCrIkKjilcycFsc34vW3OqR+ZDGN0YJfbjd9T3xWdpvhC41K7&#10;sWQeTa3RJ3bTuQDJGQfUDitPxHdA6rpJ2l2SUttHfuP1FdRo1w/2xSzbj0J7Z74q4zaZVeK9irLU&#10;i1OxtPDiadb2EXlkliX/AImIxyT+NdbuXd0Ye4Gc1yfit/N1vR4ByWkIxn1ZRXXq4CjPWuuqkqcf&#10;meHFtylcjdFaRWw5PbDED8e1SLEFIwAAOwpfMFIZFArA01HEDHI4qpYGIJKY1ChnZiAOOpAP/jtR&#10;Xt+tvbTSAj5EJHucVj61cvpXhC6cNtYW4hDZ6Hb1+uTTGovYwNf+KEVpLJFp0SOiZzNLnt3A/wAf&#10;yrzPWPG+o65iO/uZQhO5YdhVR6dBisHULvfBMCcA8H6d6imuMD2PJNaWRvGKR7b4F+y6r4IhhkRX&#10;CNJE6nocsT/Jq4Lx98OBY2N1qNpdoLSMbmjkzuHOMD1q58Kda8rULvTGPyzJ5qf7y8H8wf0rR+L9&#10;5OPDtrCmRDLcZlYdMAHA/Pn8K52uWehqm9jxFWa1KIi5B6nHSvQPD3xR1zw7BHbiYXNov3Ypxu2j&#10;+6D1H515tJcGecCMkRoRk+tOmmG5j26V0WIdnufWPhDxhZ+M9Le6t4zFLE2yWJiCVOM5B9D/AENb&#10;cpVRyQBXzj8JNeNhr1zYmR1S8iyqqQMsvIyT7bq93WTdbrgtyM/Mcmsno7WM3Eku78QAeWm9jn2A&#10;rk9etX1u3eG6+aM8Y7Ck8X+ILfw7b2V5dSkRNKY2jUZZgR1A9sD8M+1VdO8R6XrKBrG/ilJHKbsM&#10;Pqp5rCrzHTRUUrnnupeCr+wlZrVftEPbH3h9R/hWj4Y0zxDDeRGGaSzXJ+V2ODx3Wu4umiiiaaaV&#10;I416u7AAfjWJpHivSb7xD/Z9jK1xIsbu0iD5FwPU9evalByk9i6jVtTVsdR1ceIZrO8vFlhigWQb&#10;I1XcxP8A+ut62vRPK0ZGCM498da5wOf+EpkwORZxnHqS8g/p+lWbQuuqxNuO1SVA9c9T/n0rWUUk&#10;crOhPWmmnGmHrWIhDTTTiaaelJjEBprHil7UxzUXAYajY4qQnioW5p3BDGNQuakaoHJGaQxrHion&#10;PWnseKhkPBoGeL+Of+P6H/ef+lcojASKxGQDkj1rqfHBzqMI/wB/+Yrl0bZMrkZCkHHrXqx+FGL3&#10;Oksr69kgYafaHaXO3Ck7Rmtfw42qafqiyzyARFSGUtg4I9v5Vj2viS6ETLGkUaFiSAPU5qJ9ZuJX&#10;YtOw5GcHApNM1VrHcQpFDqX9pvMqLhpAnHORjGTWVq2tNLJHGmySKMEJg5x09K5me/KmPB3KDgkn&#10;PWoprr5sKcCkB115cyOSASF9AabZSFWkJztAyabPkd+KrTXRs7N3QZdunsK57D6HO6rqcupXBZmI&#10;iU/InYD/ABqghcviPOfb0qS+kEspbaoOOijAqGCMs+RwF5JJrdGbHM/myxxu528ZJHSuw0PwZaag&#10;qvc3UiqTgBAM/rXGs25uRXX+HNXkjtcKwLJ2J61NRtK6NaKi3aR1Z+E2nTwbrfUrmN8dXRWH6Yrz&#10;3xN4buPDWoi2nlSUOu5JE4yPp2Ney6DraXEChuCfWuf+InhW81uOLUNPKytApDQ/xMD/AHfX6VjT&#10;qvmtJmtSkktDyENUgY1EVZGKsCCOCDSqa7dGjlJw9SCQrVel3GgexchnySrd61/DeoHTddsrsf8A&#10;LKZX6+hFYEWWYYGSegFfSnh/wtoiaNbQyaTYPKkSrI5gUszADJzjPWs5VFHctRujurv95ArJz6H2&#10;rH0PXdNSIQS6jCs3mPlWbHJY9+lSWuo6bHZPYwXYZ7JBG8bt86gDjOevHeqWnaFol7ponkMFzA7t&#10;JvJGQSckEjpjpj2pqzRg1Y7OKdHGVkRh6q2alDA81j2VrBBCsVqgjgHQL3/Gr6uBgAHAqGiWi0Wx&#10;UM8wVCc4A5NNkLAblPPp61lavqSWNmJDDLMr53bB0+p7UgUbs1Ld99pEw6MgNMtLaC0e4MKbTNIZ&#10;X92P/wCquX/4SDX3GLTSIXiUYHz8Y9iSM0yLXNReZjNZ/Z5GYIRuyPr+tedVqOLubqjI7QuMVHvA&#10;6Nj2rnodQuJk3ljtPTiphNK/8RrH60xexsbRl9xUJbg/MTzWHM1wxzHKRV2ynL2Y8xvm5J/A4rfD&#10;VHUnqKcLIjijWPU7mcD53jRCfYFiP/QjV1ZGx1qqXHmkBc571MrZGMV6BmSlztAFU7ueSNCU5arb&#10;fdFZuoS+XA7bgOOpGaY0irp4t7nUpNQeJRdRxGAyDqUznH5ijxAQdIOTgl+KzYbqPTVEtxIVgcFm&#10;Zhjgc8VXutf03WkS3slneVf4GQ9PU9hzUT2N6KammZ1pCv2xEK4Z+GbvgVutNbQgD5d2CcEmuavL&#10;pNLmjkuSyKD3BGR7etaCyqqRt5RaTYocgZ28ck9a50epV1asbELCUhkUEMRggdvrUUl7LDKsbRA5&#10;P3cf1psFwhiEhcc/KpIqr54aVoonzh+eODke56de9Mwiu6I5lil8RFzkvFBlR+JHT1/xrasX8hYn&#10;b5S8yL1x1YCuXsJfP8T3/lK0uyFAoUjkZPqcdqzLfxbrlz8QbfRRZpbWyPykke5go53E5x+VJbl1&#10;fh5fI7/xBcGHxdofyJg+aCzn/Zzx78frWwtzI3Oetc3NFdXvia1SWESxWcbzGU5ABYbQAPXOT+Br&#10;oYVxjPQc11OfMkeSocpdDkcZqvdzuqphvvMAacrYQue9UNQl2xI3pIp/UVA0tTnrQXGo6ysTSMY5&#10;Ix5mT/CDz/h+NO+Js7p4XiiDld04LYONxwTj/PpU3h62uP7elmBXyEikjb13eYCP0z+VYfxdufJ0&#10;qwjwSDcEkjt8jf5/CqW4+qPFbyU5dGJwcg1F9ozCuT25qGe4luHf90qx5wGY8mq4O0Fc5xWhZ03g&#10;nVDZeMtMcuVRp1iYjH3W+X+tdp8cNRCafpOmQbczyPMcNnAAAB/8eNeSQztBdRTpjdGwYfUHNdl8&#10;UZpLnX7C7bBjmslaNlPByzE457Zx74pOKvcTbucMdsEQUdBVeZvlC9yaWdgQAM7t3TFQg75hxwKY&#10;zV8P3v2DxJp9zyRFOjsPYHmvpvR7xb/Sba7XjzEBI9D3H55r5d02PzNThQLnc4z9BzX0H4AujceG&#10;QhGDBNJHx3Gd3/s1TJCZyPxtkxa6OmeS8x/ILXjgkKHKuQR3Br3H4x6RJfeHbbUYuTYud4H9xsAn&#10;8CB+teD5zTjsK9i5PqN5cxrHPdTSIv3VdyQK7T4Uxg6/eXDfditCM9gWZf6A15/XrHgzS30/QbYf&#10;dn1A+fIe4jAO0fkCfxqrEts7KwuHn8X6oAMiO2t4wcdDlz/WtESqmow26HMrMAQP4RnmqugWMsMV&#10;5fsR5l5JvX/ZQDC/1P4060e2ttbtZJjhp5jFEx6s20nP04xWM1oUjrGGKYRT2PNMNcoDSM02nmmH&#10;ikwENQsalY1A5qBoaWyKjbpTjUbGgaGOarM3PNTSGq7nPFAxpPPWoXOQacx7VEx+U9aAPGfG3OpR&#10;fRj+tcuAWYKASScACuu8VqJNVXd0EUhrk4iy3CFBlgwKj3zXrxXuJmHU1bbSr37I5+zsCTwDwfy6&#10;0w6Vcx2rvKY0Bx1bJwee1aMc2rzOsZfY8jNtXIx75/8Ar1FHYalcZYXy4zjIYjHH0FDL6CR6VB5K&#10;LcXe3GGbAwAOe5+lXbaw0mSSUTXJXb0JdQDyfaqdpoBldlluwoIGePX8aS40y0QgLcbxyCwcAZH1&#10;qBo6eZR6Vl3ZCRsT0ArYnHGKxtSQGBgxwP51yw3NTlZTgkA59aZ5hUYzx6VYkh2j5VHuSaqEiuhG&#10;LHMGxu7U+C5eA5U8HqKi56dqRjmqtcE7HaaFrj27q2d0Zr03SNajuYlww5rwS2uXtn3LyO49a6nS&#10;NbaJg8Lnj7yGuapStqjrp1ebRnT/ABA8ILdRPrWmxfvV5uI0H3h/fHuO9eWjg17poevJeRAFh05B&#10;rifHnhCOyLatpqbbZj++iHSMnuPb+VVSq291k1aX2kcGDTqjBx3p+a6TmN/wbYDU/FmnWrjKGXcw&#10;9l+Y/wAq+loPLtYAqKAAK8G+E9q03il5yoKwwNyexJA/lmvY9U1BLO0eV3AVRmuGu/eOqlG6LUGj&#10;R3eqC+VEPnMPOzzuC/8A6qt3Flf6bevLpFhb+U5JZfMIL5OTkHjrVC01Ce3NikDr5jyqnznC89c+&#10;1c5J8c9Ghv5bW70+4aON2Tz7ZwQ4BwGAOCAetbYd3iY101Kx6FaPDKmbm0n0+XqRvwpPtg4q9DKQ&#10;dsF4kw/usQT+Yrye7+NfhgIzWumXM0uPl89QRn3BJrn7j4v390wKypZw9SkSEfgSATW/Lcwsz32a&#10;/FvEGkRwO7BcgVz2uzPf2MtvHKyW8ybfOTqrf56ivJIfi5c/bALaXCs2Assj7T+P/wBam/8AC5Zj&#10;KBPo8Dg9XifYx+vG0/iKTjbcqKsz2uwb7LosJnkVTHGA7FuAQOeaxbnX9DmjATV7DeSd/wC/T5R0&#10;z19q8E8SePtU8QXRjLmKyXiO2T7v1I7mq8XhzUptOnvvJUR7AQpbDcEHgVyzw/OrNmyfU+lLG5t9&#10;QUPZzRy24+VWjYEH8qusQzeUnQfeNfLvhzxhqHh3VI57WRlUHEkRPDr3Br6asL2C702C7t23RTxi&#10;RT3IIzXmVsO6L8ir3JJZBGeOcVQg1m4ktmL6fEqZIKCX5uv0A/UVI7uytIVOG4H0rJaYxRSH0Y/z&#10;q8JK0tClBNanUW7CWzhlCFMr90jkVIsi7sZ/Cq1rNtd4WBxgMrdiKdIVD16yONlxnAGB1rEvS15e&#10;paJwi/NIfb0q5JdRW1tLcSuEjjUszMcAAe9eN6t8WbkXc0Wh2yNliWuJF3Z9MCmOKfQ9W1jRYr+3&#10;gaT7sLhgp6MB1FUblYLBrdbW3iRGcK4Ubfx46/Q+teVQ/FfXrSVxqcQlinUruC7WjUnkpnj1613G&#10;pa1b3Om6fe206tDNKhV+gIzz/hWFXuddGPRj/F2m/aTExlxEZE47HnmqMUT+SgeTa8rGRgM8+ma3&#10;NTlW50dnz0AIPpWHHKouFPA2gZBbnj9KyTPQpaxsbKLbIq7sk4AbnvVee4s4GubyWURwRbnkbPUA&#10;j/HiqVxqCxgncS3Y56fgK5DxbdXE9pbWFujEXMnzkD06D/J7VQSi0r3Mx/GGox6pPd6MPJ34Vd6g&#10;lgPb8TVlPGusabrjapqdihlcCF8ptYBecA9utM020t9LuUmvGUOjAJEHG4Ad8VNezJqb30HlOXWY&#10;3EbPgdRkg59c1XKcrd2exaN4hh1bS4NR08iRZlA2nAIPofQ1v5bCqwG9uuOleJ/DHUWtHvbFyRGX&#10;DKpPT/PFex290skBlJGVGDRB62OatC2qLEsgGIx9TWVrEh+xuF6lGI+o5qdZN0ZkJyzc1ka/fR2W&#10;kzXUnKwRu7Y9ApJrQyitRI9Uh0uyu7q4uUgikY7Sz7SeT3/HtXhfinWbnUdelYXt1PZBspHLcNIo&#10;PqASaqLeXvijXAJZmy7fJHu+VFHatLxV4Z/s5PtVuqlGA3qh6HvSimnds6GlbQ5uVxGWVDx2B6Cq&#10;aysZXDKqn271e0LSdQ8RaounafGJZiC2GcKAB1JJrpdd+F+u6DpMmpzvaSxRDMiwyMWUZ68qM1uY&#10;NnFhsmvQviJYPZ+F/CbS/wCtW2eNx6HCH+przsHLADrXq/xY8qXRNMMQVVhfaVXocryf0/Whh1PK&#10;orGS5O8tsRec9z9KhAEbFQp5Pel+0OX4PTgAVs2uniaPzrnCsRkZOKRVkUbGZbS9inf+E9K9z+HM&#10;8cmlXflnKtcbh+Kr/hXhmpW6wgOhypOOK7z4Ya+LWY2MrDZOcA+jAcfmKkHsew31rDe2c1rcIHim&#10;Uq6nuCMEflXzJ4p8Py+HNeuNPkyUU7onP8aH7p/z3Br6X+0LsHmOo9CTjNcz4n8P6J4je0kv3YNb&#10;PndHxvTuhPpn+vrQpJEcr6HinhXwpf8AiTU4EitpfsfmgT3AX5EXqeemcdq9w+xWtpLO92ypFgRx&#10;xxnkIBjHtwBSyala6VaR2tkLW0tUGEAPBHqAufzrEv8AxXbwxu2+OZh28rA/M1VybE+teNLDTrQq&#10;inYowqA4Bx2ry/WvGGp6nfQTxv5L27b4fKyCh9c1ma9rU+s6m0rhVH3VRBgLXYeGrWy0uy/fRQy3&#10;cgyTIuSv0zSsaxiZEHjvxfaxtm9uGUj70o3Y/E123gr4oS6hfxaZrgjWSUhYrhRtBbsGHv6isLUb&#10;y0mZ42ZOPvADgVwV+qQ3W6FvlzkEHpUuCYSjY+qyaYa4zwP4wTWdBi+1uxu4R5crEfex0NdbFcRT&#10;DMbhq5WraEEjniq79alc4xVcms2NCEnPWo2PFKTUbmkMjc1WdsVO5qrIeaBjWNRlvlNDGmFvlP0p&#10;oR4/4tcrqq4P8DVy4YpIGHUHIrofF5xqqf7h/ma5yvWi/cSMWtTUj1GchSZSGyTkccmomeYFik0g&#10;yc8MRVVWAAqYzLsOAaY7kXmSxuW3E5GMmo97Yxmhn3GkApNILnp8ydSazLuFZBhlBFbUy+4/Ks65&#10;GK4FodBzN/bRoQgBGRk81k3MUceAo571093DE43OcEfxCsa6iZyVij3/AO0eK3jIlxMog8Z6U1ut&#10;XjaOI8FST1+lVJYniOHGCelappmbi0R05HaNgysQR3FNpcGrsTqbWl69PazKS5U5+8O/1rvdN8Tf&#10;a4zDdRCSNhhgeQRXk9bujaiyusWMtjHua56lJbo6aNXpI2/E/hezW2k1HSdyqvzSW/UAdyv09K57&#10;RdBvdamKwBY4lPzzSHCr/wDX9q2W1yWBihG2M8Or9/WtfTNQ0+GCKGCR2RBvjtlPG7+87YA45/xq&#10;eaSiW6cJSudZ4a0az8G2Urm8E802C742j6CtTULK48Q+DdW1NUdYbZBJCenmFWBbHqNoI/H2rzXW&#10;fFDSwED5SOAuc5P+FexfC+/bXPhLPauTLLEs9uV7nIJA/wDHqyUG3zSHVmoJKJh6zqC23hpbtGYG&#10;WIqrKMkF1IB9sZzXljaHYFAWEue5DDJru5TPd/Dp0gDGWOEMRj+6ckfkDXBxaiskYyefSuzBqPK0&#10;ZYm/NcnhsLCA5EEb/wC+nP6moryC0lQqkEcTHoyoOPwpst2pXC81WMpCsSc12NI5iFdJhOAJWB45&#10;wKXUbW0t4CY4yrjABLE1E9yx+7kAHAPvTNRlZlUM2SRmsp8qRUdyXRNPNxcrOdzRxnc21NxGPUV6&#10;JA2sSaTLPGquikBAY9rMD325rkfCmqPYWcixBfMZupGcVpT+JL9bnZ9ok8ksCV8nrjv65rlkzogl&#10;YwdcsGLi6jhbOf3rCJkAPpg11OlfFq40LQLXSk0qKcwIQJnlIzyT0A96yPFWvTXmnfZnII3D5sYJ&#10;rjpMtGp7ipnSjU+JEydnZHoTfGPxBLcqypbpED/qlTt6ZNd9N4ntLfwzBrF9HK0UhV3SIDccnOOT&#10;/WvntAzMFAJJOABXtGq2drB8OJLG5cfaIbRXwDyGGCP1GKydGnCS5VY0ptuMjq7X4s+ELlFZr2W0&#10;I/gngbI/75BFTyfE3wWxB/t2I+v7mX/4ivmkt61G+09BXVynK0j2jx/8QtK1zQP7I0C6lmeeRRKR&#10;EyDYMnGTjuBVDw6bDQLVE86EzsMyAg5Y/XHSuQ8M3diYbaOVFM0UzM6scB1I4P8An0rqpG8MxXqX&#10;DecdrA7Dlk9wAP6msp66HTTikrkXiuS21uzZUnt1lTlFB5J9KwdO1uWz8IxRMSWgv8qvccA4/Otd&#10;bTRpg0kdzck7iwjHCdeOvPt/Wue1W2ls7H7Si7U+1b489/f+VSktjS9tT1601KCfwvL9olEWVKDn&#10;nd2A9TXIS+L7eI4+ymSTHzSK+Fz+NU/BfiZ73xAzXKorBMoF+6pP3iM9zxWl4r8M2tpLLrEF0sUc&#10;mZJozbrOQc8lVYgd+QaiMIqVpGvtpRjeBiXPi1WChQSxOSBzgVesL251OeKaXT54UgQzRSuh2ueO&#10;+MdOfwrEtL601K5TT4jfzpJ98l0tYgByWZEU8DGetd3eafpOi6Jcx6PE3nTR9WdnJIHygZPA5/Wr&#10;qKEdERCtVqb7FO71G1up4ozYCWWMbgVXJH4d/wA6y9R1Kw1LUt7WbmPaq4kADAgAf0qmVgkkIu2Y&#10;FRjI9ap26QW92u5iwZ9vyjt6+1WkrENncaVoz3VimpQtHDeh2ESE4MsSRjAx9QeauaD4yFzI9vMz&#10;RPnYyseOKk1DwtF4gs9LlhkW3WOBQwILHaRnH15NcB4m0+Tw7r8q2g/dnlBnPFZunzarcUaq2kex&#10;HW1Z/KVGXaoAPb3OemK4rx54st302fToJlkMsbRvjsT7154/ibUzviuJXeNlwFztK/QiqcaNch5Z&#10;XyD0pqnJvUblBbGj4b87ToJL9Ii5J2q3llgP1GK6S+OuXFlDKYv3coOY1wD+PBrI0LU7i0s5baAA&#10;KOSCMj61Pe+IbxnS2Ql4VI+bytrE9+T/ADFa2JWxRtZLvwdrttqqRKHIO+MHOFPUfWvT38cW3iDQ&#10;HgWLz5LqEpJBEpbywwIIZiQM/r7GvH/E11I8UMRdjI2S3POPeum+HjtBYXEU6bXSQMv0I6/pUzul&#10;ciMYylZnIQ6TcQeKbbS5UzK1xGmB/Fkjpn613/xfmaOK1QEhZ23bT2x1/pW1qWpWemSWt/PbW8zQ&#10;yriSVQTHnuD1H4Vz/wAUWsdV0/T59NnkmZGctGx3FSR8wz1ONo/OlGdwnScXocJoekTaiskkTICn&#10;HzKD/OuhutIjh0+3Ju0MpYgqMcdMHFc54fvGgmeESFC/I9M1p6j9oNyrsIlkByXRMZ96scUrFbVb&#10;OaC2f7RKrkDjAA/lR4JnK+KNPj2ghp1yD+Wf1qtqVyTAwkcsx4pfBwP/AAlumHOMXC/zpkSZ6Y3i&#10;DydXube9d1eNykbOSB9AMfrVTWNUJi2xSGSVh8oU9B6n0q/4208iW11C3hAw3+kusYYlcAKSO+Oe&#10;vtUCXsNrpimy061w65MlypLP/wB8kY/P8BWfs0ndmqquS91HEaPNd3viJtOuZnAYFsZ+6Quf6V0V&#10;3od2mkqyxZaQsQzEdM4zz9Kw9D1NZfiUlxcQxIJnaNkUcZKkD9cV6tq1kL7TVgYKshjGMcAHHtWz&#10;atZHLrfU8Qs9Ojl197cyLIqAnIPDY9DXQwWkEF6JLm4ZFAOd7g9ug5NZF7pOoaFqwu7iCRrdWwZF&#10;Xgg1ub3urENbXKNG3OzC/wBag6IWKJtzJGVguXMSHkI+AfwrD1qCGCOMRjnuT1JrWy8AZZJF5POB&#10;isHWJ1mmVUzhR1pkzehr+E9fbR7gqU3xvgkA4P4V6zb6gWhjuI2KhlDAg9jXjnhjQptZvwPmjgj5&#10;eTbkfSvU1RLa2SBMhI1Cgew4rCpFNmLZ0dhrovLkWzj94Bnd61qE15/Y3Bh1eNwejDNd4W4rmnGz&#10;KT0FJqNqUnFRk1BZHIaquanlPHWqrnAoENao2PynFDH0NMYnac1SQHj3jFCuqpk5+T+prDt1gYye&#10;exGEOzHdu1b/AI1/5Csf+4f51zVepFe6jLqXUjtsISxIwN3Pek/0U5yo4PHJ5p6/ZDD8okDgDqRg&#10;moZFtfMOxpNuO/rQ15lCgWp4IAPPOTUc3l5XywAMc49aQLCYwS7B88jHGKkEVqVyZmBz0xQohc9Q&#10;k/Cs26HFacoxWdcgeteemdFjEvX2RAFfvcdarRx7znOMVZ1MHyQewaoIDzzWnQ0iRSoQgPvWRqAP&#10;mrnpjitmTJAB7GqU8QuJhG2xVCli7Z/pWlLczrbGRmrd1YXFnBazToFS5j8yM56jOKqbTk8dOtas&#10;9lJPGt3EN1qAqnZzsOBwfrXScxWtNOuL9mW3jLsBnAHvin2enTPqElvKGieEMZA3BXFT6eNRtr5h&#10;DLJaspBkLEqFAII3D0zjg100VrZjw7q+qwb2dyY1kIC7jj5iAOgy3T2qWOxxDtJczYGST0Fa+j6d&#10;c3lxLZpG/wBoRWITHIIqhpkay3BUkq/8DDsa67wtfpH8RkZZzNFM7RGXG3eSp5I+opWQJs5C8Wbz&#10;R5pJJUHk19B/AqylsfCmo3r3AaKSb/UBTmNlXJP4gjjHavCdWtjZ+ILq1KBVW4ZVJ9NxxX0X8Iba&#10;S00i/jaQMksyzKAMbdwxz/3yDUT2CT0OQ0jWI7PSWkmwOCzLnkZ5Fea6ysEes3RtxtiZ94UjG3PO&#10;P1r0n4i/DXVLDV7nxBokKz2TN50kCfeiPVjt7rnnjpnpxXlN/ffbr2W48ryy5GV3Z5Ax1ooK0rm9&#10;WpGcFbcC4A5x+dVLi42RnB5PTFJLKdnU1SkkDEDnHvXU5HMWFlzJHu+6gyR70k8pd9xx0rSsbS1F&#10;m1xMDKSCAg4wfXNY0hy5qakJRSb6jjJPRFiyvZLWbKY5OcGugn8RXEyhnijLY6hRn865THI9av8A&#10;neXagt16CsbGikyG+uZbibLn8Kktdro6MASehxnFUslmJPU1csAvnoHxt3AnNVGPM0iXK2pvaJbw&#10;2niKCN4GIRjlmxncAfwHP/660dc1hJ9PvHjuBJJLFHBJGfvAqTk/TpzWFrWoObiB0cbkBxtAGBni&#10;sS4laaZpG6scnFOvR5KluxVOt+79RM801j3xToY3mkWNAWZiFAHqa9a0r4SWSxRvq2pPJKQCYrUq&#10;oHtluT+QrKdWMF7wQpynseUWspglEoJBFdKgS4jDSllYqCMetemS+EdF0y02afp6K46TyKHkB9dx&#10;J/QVwV/ay2t68cwOScgnuPWso1VU+E3VNwWpDATbRv5YZyR29axdcv3k8mzWSQxwxqhDE4LDqfzr&#10;cVsAACuq8N6Ta3dvJLf2K3C5ARZId+B3NOT5FzSHZzXKjzLSL2Sw1BJYioYjALnAB7ZrstP8UXOu&#10;XC2ckIacE+RFGm4vkEFffg8V1Oo/C/QtSs3ewaWxuWyU/eBkz6Fck/ka3vhx4Mh8J6d9suY0fVLg&#10;EPIG3BEzwFPuACfrRCUKuqIlKdLRnAxeHH8J39tFqdpdww37LvnZ0Bji3DcMKWGeR1P4V69faBbW&#10;toXsYdxMe0szbm+vPrXA/Ga5E2maew+/FcMmCOQGXP8A7KK9E0+7D6XaqGYs0S7y3rtGRW0qV1qY&#10;qs0eManZS2t3IksZXBI5rIYssoK8Yr1rxF4YtbhPOjd4j/FzuA98GuPXQIbe4Jmcy4PAxgH/ABrS&#10;NFyE8RFE48ZXXh3w7a3M9uLnkIULbTt5xg4PYCptds313RbbxCkOLeeEOBnJT1B/xrA8apu8OyED&#10;hHQ/TnFdB4F1YP4JtbWb94i702HpjJ/xFW6XLL3TGM7q55/fWix3sQIHv7jFblnonneH5LuOMtK8&#10;uyNQPTr+ecfhXT6V4Kj1TxG0d8HFjbDeNhx5gP3Rn6dfpXpNnp1jpVtHDZWkcMadABkj3yeaxqVE&#10;nZGy1PFpdJ1PQNGje4swovZCNzdUAHAPoTk4+lZZWU88cdyK9w142MunyjUgptVIZmbse2Pfn9a8&#10;yl0QzzmO1cmE8iXGcD0x60o6mqdkc3L4fk1q3kmhbbNDgIWPDnqRWAbnVdImZboXMO4EA8jntjsa&#10;9dsLOxtLFoDdrE0YwqSjDuxPp+PbNbdjo2jXNhLb6ksNwkw2lWU4A9j2+tOTsjFzSd7ngIu57+Qo&#10;ZJJ2YYwxJ+ldfofgfxFfRTS3OLNHUIhuQVcjjouM9O5r0HTPBmh+Fr2e605Wmd8FGmIcxj0U/j16&#10;1oi+FzqChD9yLoR0JP8A9at6dBSV7Gc8RJPc8c1Tww2jRyy7vNMcm0vjGQDgnH1rPJZ0+8T716d4&#10;i1izEDWENo804BQu6gIP8a4A2KJKyhcD26VVWhZJxCnWvozNt9PF5ciJhuBBLH0rX0Xw+dM160vT&#10;cqYYpkYqw5xkGp7aNrHlYdwbqQeaumUOBgEeoNdFPCx5FzbmE675tD0q3ngup3O9Hh2BTzkHg5/n&#10;XA3ep2w81cbY0JC4HGAccVPYCcsrxsQeep4IHXPtzXL6o7pfy2C42yY2gDHyj0/HNclfDuLOvC1l&#10;Z3H6Lpwv/HgdV4jQTDPGTwB+pB/CvW7lsTbeyjFct4WsgLm5a4RVvITGFYjB4GSPcZAqfxNrjaZp&#10;N5djaLiMAKuc4ZjgH3Hf8Kx2VgnrJlXXtW0+yYxXdxCpJOY25JH09K84ik05zNFZxSFzIGWUuQFX&#10;nIC985HPt71gTTS3EzzTSNJI5yzMckmuy8AadY6gmofaVJkjVSCOynOcD8Kl6K44b2KcdoHPzHis&#10;3WhbxsqKMy47HoPetrXJRpKBActIMxHBGR64PIrj3dpHLuSWJySapbaBN20Om0Xxrd6XHHbywRTW&#10;yDAVVCMPxHH6V1tr4q0vUsJHMUlb/lnKNp/PpXlVFS4pmZ60kgF8pB967+2u4rpCY3DbTg49a8P8&#10;L6rI832Sdy2FzGSeRjtXpfhq4AupY933kyB9P/11y1o2ZpHY6rcKYT3pCRTHYVzlEcjdaqyNippT&#10;zVWQ8mmgELelMYnBppY00niqA8n8aHOqR/7h/nWDb3Bt/NwgbzEKc9s1u+MjnVE/3T/Oufigkm8w&#10;oM7F3N9K9OPwoy6l6O9Cqg2fKAMjPBxRcXlvJx5IGAB90UwTu8QH2aIgDG4AVEzoshaW2ABHyrkj&#10;8aXKmXdkiT2uF3QjOTk461HcmEiPyQB8uGx60K9nxujkH0NKPsRHLyjnpjNNRsK56lLxWbdYxzV6&#10;Q8ZrPuWBHrXnRR0GRfjdbtjsQazlZlUFevvWndDNtJ9Kyx92tUWmPfJXJqm7ITcEsodcBVOcn6cV&#10;YkbbHye9ZEspW7aQHBDcYrWnuZ1XoJO6+cSvQgZ4xXYeHrk2ujJcnTZzbCX97MkxwcdCV9s9fb6V&#10;z+m6LLqsbPE4MrNtjTPJPcn0Fei+GNIv5dEt7WSS2jszG2NgJdtx7k8DqeBWzlY57GBq1nBak3mo&#10;tv8APO+O3aQ5Y/7R9RnHt057s1S/jXwmLaONIi0QcpGMKCzjH6A120vgTTbuJIrkhmUAeYud/wCe&#10;anbwJo3nLDcCaaOVBncxz8p46dBzUuSKseMW0clpFHeNE+PMGw8c454q3pbmw1W3umYHyruKQknt&#10;knmvcG8I6N+6H2MOseNokJYD6ZNaC6FpS27xf2ZbAMu0nywDip50CPHvE50+DxhdxzWskpeZXaQv&#10;8qhgDkAdeD617R8ONT04XsljaTKRJbCYAuSQAQuDnp16VnzXtxp+nr5MEUpiO2TKnPQdKpabqja/&#10;q9raJaEK0qiR8cAZ5pSldCa0PZJkMtvIinBZSBn3FfFlxG9tdzQuMOjFSCOQQa+1QeK+PvGuF8ca&#10;7gAAahccAY/5aNTovchGDK2eKrVNM2agY+grdjRPFcSrGYwTtPWmMvNER4OTRvFRKTluWkkRk7W+&#10;lS3E6yhQo4ApDEXAKAkn0pnlOCQVORwRikmJpli3tWlj3jpmpGhKAknbgdaYly0MQReKJLl5Ewfr&#10;U63NEo2IrgRqyhJjKf4jtIA/Oos9qHIL5FNHWru2ZdbHXfD7TvtXiBbp1JitRvzgH5+i8Hr649q9&#10;bivghKfKDGc7Q6pgehDDPr+dcv4cslsvCmnoqAGYGWQ/3i3QncMdMcj0q2kr2l75Z3hXTGWCopx6&#10;Ekjv2rzaz55HqUI8sDZ1aRZLTC7MMc5CxH9ciuG1aOQ3ClsvtGB8nb8GrsI7gXFq6AqzRnpuhbIr&#10;mtVj3rkhOP8Arj/Q0UXysdRJoxfK55ib8Eb/AOKrstH8mO2jVCnyjLMyIOe/3iTxWFpmmW86b5VL&#10;En5R5SYx/wB9Vu5js7RipROwCmGP/E1dWXNoTTjbU29NvJr64Cby0bNjtIqjPC9Bg9/y45rsXIEQ&#10;wOPQdq4fwKqtaSXUxTziSilyCx5xxz6ADtXaPuEWK6cNT5VfuceKneVux5t8SGjdNOSbBR76JST2&#10;HOf0zXpNmcwgXUKpKBjIIII9jXm/joqdU0NHP7sXyyOCOuATXXpq/wC6GCWVR1J7V22b2OK9jTu7&#10;VpFOVLqe3rXL32j3PmnyoXK9V4/StQa++MxMMUyXX5CP3sgA9B3q4KUSJWZyesaDNeaJMk0Z8uRT&#10;0PKkdOPqBVPwvaNbaPbW/dRhuP4s5NdLqOqedGFK8YzzWZ4RaGe3jeSRVhQhiSeuavu2HTQ7a0eS&#10;0e0hWPc0kZzzjj/JrVZt/BODXOXniG0e4S2sryI3wziNeSoHUH0rXjlM8IYHBIziuCo7Js64J21M&#10;TxBocms7IZLlo4QrFlU5G/HymofD3h5tGWMfaRM4YliFIA46CtuUjZwMHv71Ct7HFFh2VQSQSTis&#10;6cnZofKr8xSuNEsrzbeSiUXJcsjq33efStiLT7QRrGxLsnLHd3qBNQstqok0bsg+6Gyabdzm3sFV&#10;Obi5bnJ6DqfyFNOcn7yJcYS1sYV9ev8AOFjI6kY6H6VQsbsEXF0SRiMjkd8kVcuURlYtwfUZBrBL&#10;SyyJZxAbGfcQuOfrivXp/DY4JbmhcQw3NsPPTd3BHUfSsd/D6XE8bJMuwHBLcHGO9b84CIF9KjuS&#10;IdOk3EGQoWUdMelVcRzF3YvbSsGG5OzgHBqKC3kuZRHGuWNdTesZbUxFcEgDBOaoqtrp0rpFvkkV&#10;fmY9B7CtFMjlKsayW5nVAHEahCe27qf8+1efeJ7qZdYhuFlKzqoZWRvu4PGPSvT7pBa6WI2A3EZY&#10;+rHrXkfiBg2p8Hov9TXNiHeJvRWp6b4T8R32s6TNM+m+ZdIyo1wmFWRsYBb0wOuM/wBKwvGunR6V&#10;4eA3s89xcL5j5OONxwAegyT7+tdT4DtWtPAto7DBnd5P1IH6AVynxLlfy7KLadpZmLY4zxx+tee9&#10;zpW555WnomvXmgXUtxZ7N8kZjO8ZAzg5+vFZlFA7k13d3F9cvc3UrSzOcs7Hk1DRRVAFFIaBUCJb&#10;e4e1uY5oz8yMDXrHh29WS9tJkPyygfqK8i713fgq6LpAhPzRTAD6Eg1jWjeNy4voeuZqN2pN1Rs9&#10;cZSI5Gqs7ZNTStxVV2wKpIYpYCmuflNRluaCeDTA8r8Y/wDIUTH9z+tc8kjpuCsRuGDjuK3/ABf/&#10;AMhZf9z+tYkMcbrKZH2lUyvua9FfCZIkH2m3XHlttPqKinnabbuUAqMcVYAlRNyXBJyPlpRPc8Bk&#10;R9vzfMKFYrUo0VYZ0V282DBOCMHGKFa1wd6SZzwAe1USelyzIOrL+dZtzcxD/lov4VQkcnoDVdlk&#10;k4CHNcMYnUSz3URjYZPQ9qzEkDL0q59hnf8AgP5GpINAvX4jjbB9Rj+dXYdzMkAxmqc9lLCkdy6E&#10;xSN9OfT8v88V0zeEtVkXhEH1cUt7HJJ4akSWzj2xRoUmDdBkdPXr+tawRlUdyNfEFmt1p62cLRRw&#10;nBjIAA9TnvXoPgy9SbwxacEupdST/vn+mK8ea2TYMMxKxGQgMPX26V6P8OWM+gSRg8pOwx7EA1TM&#10;zvYrpEPALv8AoKLuRpEjmEZd1cYVW2k+2frim28GO3A/Wi9WKaF4JFyjDkdKgEaiyrkZ6inPeRlT&#10;kHNZiywxwoqcBVAA9sVBNc5IwakYouFe7mtmEu8qJFDKNmM9j65PT2qXRNWkTxFYQz2ixK9x5Qcc&#10;DcVYj+VRK+HjLN1yP6/0rI1m4az8QeG7oyYjXUo93p/nGaAPcAcD6V8l/EaOGLx/rYhYFTdM+R6k&#10;5P6k19F+K/E0ejWhijINy4wq+nvXy1r9015rt7cO5ZnmYsT1zmnRfvEJGZIQRjNQnI6ipki86ZUX&#10;+IgAmmTHMzn/AGjW7YIapqcQB8bDknoKrVoaNJFHqsInGY2O057E9Kmw+Y6Pwj4fvLrU1aHUBYSR&#10;YdZjHvwQcgYz7V2J8B3ksE6yeIIDule4kkNrkuxGDwWwB/nsKoO8sEGbRF3dgWK5/GsSz1K9n16V&#10;b9pI/OhMXlgnHHP+P51q6emhPPdnKXNvHFfyQrJ5qI5UOBjdz1xVaYNHIykYI4x6V3iaVZW0pkhg&#10;DS9RuPT6VSuPA+uateyXK20VrCcYaV8Z464GT+lZySjuzRXlscV3or0a2+HNhDFnUdUdpMdIVAA/&#10;E5z+lctr/h9dKk3W10txCe+MMv1FQqieiG6Ukrs1vAs17dXj2xv7pIY0yI1kO38uldRrUjWN5bfv&#10;QwLdSqBun97HP41hfDODfcXknBbCqB+dSeKrm4j1OFJVZMSfL78GsZpOVjqptqKZqf2gbeTzVZQA&#10;fmO6Jv6Ut5qXnRBmVGQ9HHlKc/gKyI7rzEVXL56Es+P/AGWnw3b2rMrb2hf720kAj67ay5EjbmbL&#10;VrdC3cjK7TzgLGx/PimXepPO33vlB4ChF/kDUNwyswaCV5IiMBPmdl/MYrMvZHUbozzjlCeR+A6f&#10;SmoobZvmzm1Ozsy03ALE/KOBnjkDJPXrRqmp32jxhrXUryJAD8pmYj8qfZzT6bZ2n22JkaSPcFPU&#10;DJ61fa70zUIjDcQRSqeocc1pGbRlOKZzmjeJ7vxF4i0621JkljjZpNzAA5Cn0wK9Aub5XilEChYR&#10;hc46k+ntgVx6eDra11Bb7TJSu3P7lzkc+h6/nW67GDT4Y5hsdiWbPbsOfwz+Nd9GpGXU8+rSkuhc&#10;hydqg0+GI3l6IwflB5+lUIbnzB+7wyjq1bdq0Wm6a13MwWSUERg+nrXS3ZHPysydZlAeYr0QYH4V&#10;xuqPJY6gbOBnSAoCiKTj0PP4VvXGq2ZIaSdNrvtyx6k1Np1kbrW574sAkKbAcZOTyf6Vx4ipyvc6&#10;6EOhzXhR/s+vvLtDCNScH3xXo8ets9u7wznGPlReCD6ZrznWJH/tq5ksgVLJtkZR2HX+lbFlPHY2&#10;sNs8mSq/MP8Aa6n9c1jGV1cqrT5tLmump6zfzkSMUjBwn94mtvy3uVmkeaJhCf3ijOUYdx65461R&#10;sAsKLcynazj90vf/AHj7elJcm2tgI7J3JlGJiT8pOeDROVnawlT93lZDZaI17qC3EtzIAW3EKMY5&#10;7Y6CtS/13yEubv7Orxxjy4S7kcDqenc/yqZgILB4YXAkICmQ9FHr9a4TxrrEUNiLOBu20Y7VEptu&#10;yNKdKMEbr6nILLzJHyCuc4Az+Vcnb+KZra+mSKREDHO5lyce1ad0HfwxC8Slj5K9PpXIW2h3upXR&#10;SFMbT80jcKPxrahiGviehNajF7I7NPE6TcFwX9+9JHqUl0ZpZXCn69vQCsX/AIReO0KmbVkWT0EX&#10;/wBersdlaom1tUO3uFAGa61jKZzfVZmhPrILsRIFI6M1QWF8l1diFW3yB/NlbP5frVaaw0Z0CzXM&#10;zgergZ/IUkN3pGlq5sokRiOW3Ek/maxrYy8WoI1p4VJ3kWvEmrSwxEKRkjHIrzG9na4vHkYcniur&#10;keXXdRK5/dIpkc+gH/18CuW1GFoNQmRhg7s8eh5/rWMJTcdWOoop+6j23wwvleBdKJJJ8rJ+mTiu&#10;W8d2bahpqSRk74HyF9QetdP4fuBL4H0v5SFWBR17jis+/hF2jQqQrnkZqZOyuTCPM7HjR4OCOaK1&#10;td0yWxuS7oArHGR0rJpp3CUXF2YUUUVfQkQ1NBbSXBxGuahNaein/SSpPBxxUFJXdiWLRCBmZ/wW&#10;ui8PWcVjdRSRsx3yKWBPHBp91brHACV2k9AaZavsVCDgg5rKo7rQ1ULHqeeKY5pkcm6NW9QDSMwr&#10;j6iI5T2qux4yO1SuetVmaqAQ560E8HNM3c0HBBNMDy3xcSdWX/c/rWBW/wCLf+Qov+5/WsWGVESV&#10;WTcXXAPoc16C2MluSfZGbmKVH56A4NNaO4hY5VuOvepUW2ldVzszjJ6UrRSpC0iSNtXGRQmh2Kkj&#10;s7ZbqBim1MbhmQqwVsjGSORT0ktjnzIiOn3TVCPRFsbbupP41Zjgt4jlIxUmDn7tIynPArlSR0Dv&#10;NC9hT1ucYxUBQ46U9IwcADmqAkmvTHbySZ5VSevtXnl74ju7vTIbDaiRqoV8AHdjGPp0ruNUjEek&#10;XbtkARNnH0rzSC2e6u0ghHzu2FBrSOpnIbuxGx3HONvB6813Hw51mKzmezlAxI24ZriZoHsrl4Z0&#10;HmIcMpNaHh9lGqbyyRjbxk47jpTaJPeE1FJPlUYFIzW0ZJdizHrXKWN1bhRNc3wXb0GeMVHd+J4W&#10;YrG6Kg7k8mosCTOoN7CIQAuMcZNZk+pW6vlpUGPeuNudd83hrgKh5+U5/lXV+G/A03iHTYtRa/hg&#10;t5c7dysznBIzjjuPWjRFcttwk1y2PlgS8hhWT4q1W3utLiVZDvhuEl/LI/rXoUHws0MRgXGpXcj/&#10;AN6Mog/Ig/zrk/F/gXw9oltvOqX9xM5wImkQ/jgLU8yEtyfxRqY1PVmmR9yBAAa8UvUaO7lDE53n&#10;r9a9D+326RqisQqjABz0ritYCTancBMZJDL75HNKgtWOasjNQkOuDg5yDXc6X8PrW+thLJqMoJGc&#10;LGP8a4mOGUN8y4Hqa9a8NS/6KoByAMVdZuOxVGKle55v4h8PNod2Ikn89W5B24I+tYoJDBgcEHNd&#10;l488z+1EC9l6dzk1zA0u8IBMLKD03DGauF2kyKiSlZHYaZrSTou915UZ3HocVoXBgvvJSCaBp1dS&#10;vzDPXkflmvPZdNu4F3PEQp71Z0MzQ6mrxZEgU4/L/DNbc7S2MlFNnr+mWtnaASbRJN3djnH09Kh8&#10;Q6rceWLayRpbhv4V4wvrXIt4gvdrKEUg4H/AfStXR9SXypri8kzcStljjoB0Fc6oSk+aR1SrRgrR&#10;Oc1G61O3ybq3uEHqeR+dc1dX805Kk7V7ivRtS1eNo2wY5rc8MvQ/ka8+1aKNLgvDwhPAqvZKJm6s&#10;pI6D4fXn2fU5ot2C6gj8P/110nj21ElpbXg/5ZyDd9Dx/hXnGk3p0/UobgHAVufpXq+pxjVfDMuz&#10;5iY9wx7c1z1Fyyub0nzQseewTNIfk4X1x/8AWrWtYXnAE1zEExgtKVbA9h1qTSNDSa3ST7WiMeqi&#10;Nif/AB08/lXWaZotggZ5ZHm2nBLlkAI/2c/zqJS7G8U1uYUejWt/J5OmXDPIwxskTG73XB/T9a6T&#10;SvBr6NH9tuoJJ5wMqmMhPw7muo0aS1gj3A7mxwzHJArUm1O32FTICT2q405NamFTEJOyPDfFuvfb&#10;rldmQY8gYOK5qLWbqNsNhx7nn869Q8Z6PpWqLI4gW2vAMrLGMbv94d/r1ryGWLyXZGOHU4IxxW0a&#10;a6mMqreqOht/FEtuflkkX2JyK27TxtdPEyiJZgFJPynj61xmm2JvbkIzBIwCWkb7q4BP9K6HTzbW&#10;dluh8qV1Gcs+1c5xyOCe/X+tX7KIlVkdTaa9Yx2kME9uYtgCt8wBJHGeSOvrmr73GmXn7m5uLiJy&#10;P9XOzKcdBXIW+oOgmlls4GVFyGhYMdxPrk7e56Z4qPUb1IbJfKt4mkhfYy7SSM5yQR9PU9abg7aM&#10;r22uqN+6stLjUw2T2iyL0FwnnHP/AAI8fgKlttTfTtFu4AIS4wQYsjHrkHoBXC3utTXBRCqsCuPm&#10;AJU+x7UtzeTXFutkrvGf4ldvlbHYfrWbpX3Zoq0V0O+8J6NBqBl1CeVgsTmMpjhzwSa6Nn0mGXy4&#10;7C3Z+5MS/wCFZHgsSDwtapg5ky3u3JrR1fS4nuLUGdEABDIBliev0HArmd07IF7zNK40zS3T7Re2&#10;ixs3QoWVifbByaqNb2NsgdBIsYByJjk/gc1WuNYC3hjlG+7x+5VBkMp6bR6+tZWpaXreoI8l0fsd&#10;sBuLOwJ+gAP88U0n1YWS1M/xH4wSFDDbvgDjivO7rUXvrgGQkgnjJp+rwpHqc0MchkSNtu/Od1UW&#10;QKQccV1qlpdHPKo27HpdjqIttDtY2AfKBWHoAKWfWIILZ5AwQKOBXJw3rrZowO7ZwQfzzWXqd9Nc&#10;pGjHCDkgdCa51TVzqlUSiWLnVTdTtI8zcnis+W8lLnZK2Kq5pa30scjm2WDeTkfNISPegXT4yXP0&#10;FV6KdkHMzuvAFxBc3FxYyhfOmxjJxuUdR+HWqHxGVU8aXaoEACR/dHH3BXM21xLaXMdxA5SWNgys&#10;OxFW9b1M6xq018Y/LMu3Kbs4IUA/yovoSek+E75H8CQRCbbKjPH03EfMT0+hqGxu3uPENx82YoYd&#10;mccZzn/GuF0XWdRs9tlY7MyvxuGeTxXaXs66Tos3l5kuZPnkYDlmPU49Kzm72RvSTWpy/i69E955&#10;KnIVs1zVXktL/VbjdDBJKxOMgcfn0qw3hnWF62Z/B1P9aaSWhErydzJororLwdf3B3XJS3j7liCf&#10;0rZt9P8AD+lDLD7VMvO5uR+XSi4Km3uc1pPh271Rt4HlQd5G7/T1rsLbTrDRof3MYaXHMjDLGq11&#10;4kUIVhQIv5Vz93rjOSN+72BpNNmi5YmtfXjTPy3A7UW7fu1Peufs75pL1VlxsbgD0NbyNyMVM1YO&#10;e56ZasTaQn/pmv8AKpGNV7Nv9Cg/65r/ACqUmuWxIxzxVZjU8n1qu1CAaTigdDzTcc57UvTNMDzD&#10;xbj+1V/3P61hLGzqzKpKryx9K3fFvGrAZz8g/maw0leNXVTgOMMPWvQS90yJwts46vG3oeRSi3kK&#10;kQuHB6gGhbpGTbJGOO/WlCRH5o22kAH5TSuWVnjeP7ykfUUyrzTTwxKpcNGTwppjzwSHJtwG77Tg&#10;VRLR6qsbZ+Y1J5Qz3NaQthjoOKkWBa5LmxliHjpU0dv7VZmlhtvvj3wBVV9YiXhITn1NFx2LJsY5&#10;4zHLGHRhgqwyDWdH4d8N6dO00qQCQNuAds7fov8A9alfVriXKgJtPbaD/OoAokPzRQ+v+qUf0o57&#10;C5Ti9X0+2XUZjFh4ixKNjGRWaYIoxwgBrr/Elsot451VRg7TgYrj5XycVcZXRfKtz0z4cWtt/Yd+&#10;07qv2p/Kwx/hC/8A2RrzieE211LA/wB6Nyp/A17H4YWOz8O2EP2eBj5QYkpyS3J/nXlHiZl/4SjU&#10;diqo89uFGAOe1TGV2JbkVjaSX15DbRAeZK4RfqTX0dpaWunadbWcLr5cEYQH1wOteO/DnTzPqcmo&#10;EArbLhcj+Js/0zXqiTuDyFP/AAGonNJ2FLsbjXMYTKuPzrxv4g6zFLrfliQMEX+E55r0w3SvGVME&#10;RJHXB/xrldS8OWFxI0j26lm5JyamM0Sjyh9QjPasy9PmTecnpyK9Pk8K6djP2b/x4/41wfijTf7N&#10;1UoA0Vu6gx46H1/WuilJN6ClsYQdjMhbJXIOBXonhC7Z4HXGFV8Zrz3y1yNjsWPQdzXd6NcfY4ob&#10;aRDEUAMm7g7iO9VWVyqGjOjksbCXWRfXJQuEEaB8YBz/ADrWljgaMK0SMB0BHSvJ7nX98eqWV3vY&#10;SOfLKgHBHT+QrS8Farqkt00Et1vtEQnbLyfbaaundKxnWs3dHYahZWtyuHRVx3UVyl9YWmmXn2mB&#10;CFKMrKOhOO3pXRXUrk/Kf0zXDeJLkiYxq/IPPGDXRsYov8Fc0w7lHBqvYXqXNuuT844YVbOCKpSC&#10;w3zSQAyocH+4M1zWokK5jBztY810bcnArCvdLuTcNtikIJJzxzWFRpMuKZlY5r1DwRqaTaN5ErqW&#10;Q7cE9u1eenSroclMfU1t+HYru089liLqMbsDPFYTXMjaj7srs9GW/mhDeZbgKnCSJg7l7cDmuN1r&#10;xFLeXTQWQkG4gPtHU1sw3d1cRgW9rKx7N91V9wxxj6GtzQ9Cj8ySG702wunlbzGkjmGVJqIxsdE5&#10;roxkAure3t0mBSTylyPwpJpGIySTS35tNL1ZrCJ3VWQsiSHO0g8gH05BqGSQcdMGuum9DzprUx9U&#10;uJFkGXyp4wa4TV40N459zwO/Ndb4luUtogxOPmAFcNPctczM5OPSm7FLYtWssS7sjDcbRjOB0Ofz&#10;zTpfNZVZYmzyGwvfJ9PpVKNtsLsVBLcA/iKnVfNiDMQMdeef1oAkjeRInQqVLSIeRjoG/wAatXd8&#10;siyxTh2JwysHwc4HUd//ANfrUMWwQswLgAjOSGU/4GorhlacSCNWVQOOcNxRZsDQ03y3R3uY/tMs&#10;mIokfJ9vX/P8rF8LOSL7Ozl5IxhZAw2IR2XHUUaZewxOvkyGB0iPCMdu455weuN3c9qoX0brNksu&#10;3GSUUAY9QBxzg9KTRSsdr4e8TLZWlvbSIU2gqWBzjk/pjFdN5q6sxtrY+azDLMDwnuT2rlfDmhaZ&#10;faAuoz3dxbSI7RgfKc4wehHvWn/bX2C3+yaaixQd2/ic+pNcUkr6bnQqiUTqLSCx0VNsQM92RiS4&#10;I+Zj6ew9hWD4q1WWS1+zgtulyFjXlm/Cn2evqbdtwXcowCRxms+S+tvNeYtumfq7dfoPQe1a0cNK&#10;T5pHPUqrocv/AMIrFFAbjUJvLnc5EYbgD3rCvbGNQTA6YB6Btw/xrrtQvvNBG/P0rjr9SknmAjHt&#10;wa9CSSRjG7E0aYJfrBKT5UvyN/StTxHowtrZbmF9yA8gjoKydJtXv9VjVTwDuY+gFdzqEMEmmtFK&#10;flxjrXnVJWlod1OHNB3PNMUtTXVu1rOY26dQfUVBmrOZqzsLRRRQIKlhi85iN2MVFTo3Mbhh2oGj&#10;odAitrO7a6mfBThMj17/AFq5davbpqEEskxLxKVYLyHPb8K5aW4aTgZA9Kh+tLlbNlV5VZI7BtfE&#10;qbYZltoV5dscnPYCmr4vSAYSOWXHQuw5rkaKrlJ9qzoLzxZe3KsqARqeMA1jNeTuSTIefSoKKGiH&#10;JvcGZm6kn602nUmKRIKSrBh1HNdTBLvVWB4Irlq1LeZoguD25FKSui4HrOgzGfR4CTkqNv5Von2r&#10;D8P39mNOgg5ik25O48En3rbYEDP61xy3NLEUnBqrPKkKF5GAAqy5rlvEF7vdbdT05aiKuFjbhnS4&#10;TzImDL7VLn5TmuU0e9+zTFGJ2P2966gtxkdxQ4u4M808WAnVhxkbBz+JrAGQa6bxN/yEgc/wdKwW&#10;UEc12xloHsrq6E+0K/8ArYwx9RwaHjiKlopemPlYYNMMXoaYVI6iruZuLW5JIkyqA+So6HtUVPSa&#10;SP7rHHoaeksYB3xByTnOcUyT2+fUreA7VBdvaqUurzMcRqqD8zUb6Zcr0Ac+xqpLBNFw6MPfFefd&#10;nTZBLPJM+ZHJPvUfANN3HFIxOBTZRKrBSTg1OjjHeqqjA5yTUqtipAj1dRNpM4I4A3DPtXAyqoYn&#10;cPwruNZuEj0qRG6yfKK4dpFDYVM+5ramm0S5WPV/DWpQv4Yt7mVsLDHtdmPTbxXll7cm61C4uNnM&#10;kjNj6nNa9tqzp4cfTQu0vLv5444/rWPtdWICgHtVwptNtkOR6j8OZUj0WWMqFkMu49sjAx/Wuz8x&#10;W7frXimiJfLcrJHe+SVOcliB+ler6frNpc+XCZYzclckJnBPtWFWm07juaw2kdDU8enicZkyqnsO&#10;tVftKgYHJ+lWLad2OVl2gHlayQgfRLUkkmT8x/hXi/j+5mu3RYEBsIpCFlByHbOOv4V7jLIZEZQc&#10;ZGM14/dfDC/851Opx+UScZjPr6Zrop2TuI4GwErarb/Zo5JZFdSiIMkkHoK9F8baVeQ3Frd21j5V&#10;gkK+fMzjdvJPBGcjsOnetbwz4QsvDkxuPOa4uiu3ewwAPYf/AF66a9jtNRspLS6XfFIMFatzXMCu&#10;tjw2XTFmmMpJ+Y5PvWppuyykDjjbxgd61dX8PTaXMxjzLbE/K46gehFZqwSOcJGSa7IzgldGMotv&#10;U2Fvo5Y2JmWNsHG6uD1Z3mvSxdX46qc1uXdtdRKW2EZ4zv4/Ksh7XaSz8mhy5tgUbDdHA+2RrI21&#10;HYKSewrprm0bT9RubNmLiJgAcYyMZB/IiuXjidpVxgLmtWO4nLEGN3I6kc1MG2ypKyLH22OzmjuH&#10;RHEbglW6Ng9K77TYvDV7Yw3rxpH5pICPMcZz2yea80ukjmXeyMDnJBHFbGiXtjagRtczlmwoRx8g&#10;+nJrKurl09jsNd1TQ7O3a2isLeVyMDEQCj3zjn8KZ4KsljtLm9kX9zI2wZHGRz/X9Kr2GqaBYXLS&#10;X0kSN0wq5z9cc1dGrCacQ6TLavpTfM0ceFZDjsPTPP51jFO5Tasa6SRNIZPNEhPHQgj8PStCErDi&#10;d3GBztGM1ziXyyuzKAGHBwMYqlfakttFukmwPr1ro5UYucnozP8AH1wst/aahbygFTgpjnPfn8Kn&#10;s5DPpMc3OTyK5a88VQi9bFjHIByrE7Tn14/CrcHi8NZMhtNr5OMPxVQdgcW0VPFskMyLESfNDBgP&#10;QYOf6VztpYu6STGNjEgyx2kjGcZrbHijA8u602yuirEhpIgWAPbNNu9eju4/LtkNhEylXiiVWQ56&#10;4HGKnm1uVy6GTcLv/cpIDCHwpI5/OoraN2yAwwh6kUrRN9miuGuI3O7HlFjuAHr7VLbQXBgaRYW2&#10;nuAcVTYkl1KUxCOVTv1ra+ypbiAFssyL94fLuIB659ay7WIz3sabdxL/AHfYcmtfW2kmOZHUBGAw&#10;CCeR7VcH3JktSkstr9pkJUsskY6HBU5HT8qZdBVK+TKHRsY3DBU+4qk58vaVA6cmpWmMkAQgYBzn&#10;1NDYI6Gyvlgs44Wlwq9s9abLrCyTpAgdUY4aQr0+lWfC2mQS2zz3MYck4Xd2qxrei2bRb7dzE/8A&#10;dAyDVKgrXIdXWxJLejZtXhAPlGay7i9J+XdSWkyvF5TsPMj+Vh6470y5SJmyxA+lNV7aNFuhdXTI&#10;JJJnHyY+u4D+dZNwkrs+75th+YqcgVNcSfK2wn8DVJd5jfbk5PPNTUqX2FGNtza0CRIY5GyQ7NjI&#10;7DB/rVvULp5LSX96SdoYc1zkE0tu+5c47jFW2u4WXO445UjHJBrlcbu51xqpRsLqpR47ORDndCMn&#10;3HWs3v7UUoHrVHO3d3LEduhHzHOehFSSWBQKQ+QfUVpwaG82nSXkV9avHCm9kBbcPbBFNiEUlxbp&#10;OzLCzqHKnkLnk0rlqKZQazjxjkGojYTu4S3jkmbqQiEkflXoieC7FmDxXsrY5AIVh+PFQi2j0DUn&#10;ijkZjIocswA6k9h0HFLmGoJ6HnkttcW52zQSRn0dSKir0jXr+C50x1cKSRtXIztJ4yK4a5txFOyL&#10;yq859q0TJcLFCitSN1gG2SJZI/7pHSplt7G6BKRlCOvJpXFyMxaK120yBScFvpmmraRLkbPzpXDk&#10;ZlUmK3dO8L3+rtIbPyiqH5t0mCM9OOtdHpvw3JYPqV6AAf8AVwjr+J/wpOSQrM4a2tpLmTCIzAcn&#10;ArZtNGnuJQrMsQzyX4r1BNA023sFtLeARovQj72fXPU1z+oaPJZuWA8xOzD+tJSTLirDPsvlAKpB&#10;AGBg1btdQuLXCht0efuN/T0rHEzwHkEr6Zqyl3FLgKCD6GspQNDohqVtNESXEb4+65x+VcVey+be&#10;SOSDljT9ZkZIAOmeaxkuSODk+/elGFhbGhE2HBB6HNdnbyeZao/qtcNHIG5BrqNIvhND5GNpReOe&#10;tKS1Ecl4l/5CYP8AsViVueJv+QkP9ysLtW5rD4Qo60UU0DGFATTPLNauk2cd3dnz2xDGpd/cCtqf&#10;w7a3RWS0lEaEcgHcD9KabM5Rjc9MV8+v404MhGDiqf2geoFN+01zWGXisJ4KIfqKydSsVOJbdRx1&#10;Ud6nN1TTc0+ULmFvbcV2sW7jHNNlu0tyBJwfTNbvnZ7ZqvNa21wP3sKN6cUco+Y5a/vkv9sBVQg+&#10;bk9azma0tj/rIx+VdlJommScPaofzFMXwxo0nAslz6hj/jWsGkjN6nDXDi9ZTbylmXsBTrbTr2WY&#10;MiPIRxjGf5V6fZaDptnbny7WMH3Gf51KqRRthY1H4U/aC5Tj7XQtZlRfKsoYP9qVz/IV0Ph/wpex&#10;6nDdXl8GEZz5Uce0Hj1zmultIElUbxx6VqQW0MZG1B+dYyqt6DSJ47aJBygP1qb5QMKoHsKQRAgf&#10;Nj6GnfZ0P8Tf99VlohkJb/ZxWffNn2FackK4+/8ArWTdoF75pxYGaSuetczrOv72a1tQy7ThpM4/&#10;AV0MiqrHk1yfiCCEXivG43uPnUHofWtUC3M4OznLMSfUmrMZ4qgFIOA35VYjzjlsj0qrFNlHUmD3&#10;AXzgAB0JrIvAMffBx6Vs3sIuGAWMFjxu29Kh0/w/LfTHzN0duDyxGC30rohK0bGMldmJHMQQcV0V&#10;lIkkWFU7T+tV9Z07yr4RQW+yJECptHLepP41a0+R4YliOlzSkd8gA/macGk7iew26ieaMxxx8kYA&#10;WqtvoN1PgyYiQ92PP5V08UN7crti00WqN1YtuP6D+taVppsolRpgAgOSCck1E56lRWhw974ZvfOH&#10;2S2eWLA+dR+efSpE8O3tpatcSBXZeRCuST9a9RSXaAMDA9OKo6lGrxiSNADn5sd6zUrlLQ8oW6ng&#10;fdHI8bd9rEVlTXN357lriVie5YnIrpNVtGGpXG7+Jtw49eazTaAc4zWiJkYoD7txz9TV21cbDucA&#10;g9Ca04tFvLhSYraRx7LVK68P6rBLhtOufm+7tjJz+VMlOxXuceYrAgnODg0RWtxNuaGN5AvXapOP&#10;rWlZ+ENammTfZSRIerSDGPw613ulaH/Z1sIkhOf4nIwWpOVh7nCaDozapPIihnnUApGOAR3JNdHP&#10;o13ZxTLJEoOclQeV4rq4dDgtnN1aKsF7jh1HykehHf61W1iHU9Qh2JZQJLjBkEvB/SiM9QaPH7jK&#10;XcmCQdx5oWZ3YmRic9T610954H1ZZC6osmeThhWK+myW77JFIb0q0ybFGUqcbCT9aVScAYOatfY3&#10;3YAOfQCia2kTKlWDqeQRgg1QHT6VdSx2QhkVU28AA1ZmkDjn9a5WyupIZQk5ZQe/StZpYgnLjHXO&#10;a6FXgkZeyk9UY2opi6dg2MnOelUxM2MbmPpk1JdytLMyryue1RRxOGDYxj1rCTUndGiulZliFHdR&#10;hM7epJpqfIPmG3J4FW4rkxrjy1z61UuA80hc8n0pNKwJjg6kVHMiGMsq4PrWhpGh3OozAsDHbr96&#10;Qj9B6mptZeySKOysB+5jJMj9S7dOv+etYmjdzn84NSRENIM9O9IISx68VIsBHenYhMsNIVARGPzk&#10;Agd6nmO5Rxiq0E6Wt0kjqX28hfep7rU4bmTeIjGSeRwR9aVjVSViaAgxqRwcc81Mlw6yglmYDjk5&#10;qhHL+6+XOCTThIaGCZp3Uyy25XdnJGPzqiwWSQ7yMspH8qjBd/uqzY54FReYRJn0FIbdy0sJkxvI&#10;HvUtzfmys2s7d8CT7wB/nVT7SQMiqDku5Zsgmiwmy7aSu88UbuxVmAP0q7esltdeXGGKEZG881k2&#10;shS5RieAc1oyy/aZ0OB8ooa1BSHx3E0TCS2lkil7PGxUj8a2NF8Q3ly0ttc3MzTAltxc89vwrLRc&#10;cVLo8Ea3NzJ/y0D7c57Hmhx0BnUfb7tPvXEpXs248fWl/tG7xgzsVPrz/OqivlcUjZUZQbl7gdqj&#10;lAqXsMzZeJvqv+FY0k06Njcwx79K6RcONynINVbuxW4GfusO4o2AwJrmeVAruzKPXmqwYg1curWS&#10;BirjA7EdDVJlIyQatWAkWRl5Bwa1tI1Dy76LeSoJwSKwwxzg8VLFIVkVh2NDSA1PE3/IQU/7FYNb&#10;niQ5u4yOhWsOg1j8KCiirNnafa3dN+0hcg0DLuhSBWu0PVoCQPXFSW4MYc+ZsyeuTz+VUYxcadcx&#10;zqM4+bI5BH+TW02paNPiSWIiRuWAU9fwoJZ2YkzS7/Q81WD49KXcOvSs7Ek+8eoo3DqOtQeYAOOa&#10;aWz3pWCxaD4Oc0u85xjHuaq+ZxgU4SEkZNAFvIzzzViFhkYrO8z3qeGQjHrSHY29xENUC/zU77WN&#10;mKqNKS2eKkk3bKc7QAa2I5c85rmbWYJitWG6GKiSA20bI61KAh6k/nWZFdCpxdKOtQBZmZFXgZNY&#10;15JljVqa9THTNY13K7HPCj9auIiCSUZ559qpXNrbXeRKg/Dr+dK78nHFQknua2QEf9jaeQAqMuO4&#10;c1PFpljHx5O73JpofacU4TcdaLgWkjghA8uKNMegApfMHXiqTS5603zeevFAF4urYDKD9RUiyInI&#10;UA+uKzhOc5o83Pc0XEabXGfpTBOM9RWczjHWkDj1oDQ0/tAHFAlB64xWd5goacKADyT0Ap2C5elW&#10;3kH7yGN/ZlBqNLSzjbctrAp9QgqONh3604nI64o1EW1kjTooH0FKJwc1R3AcE809ZB3o1YFwz0CU&#10;Y61SLjk03zsfSmkBfE1O87jGaz/OHSlEo9aTQMtmQVXe3t5H3PBGzf3mQE03zBSGXjrQmKxG9haN&#10;P5xgTzPUcVXm0bTriQyS2kZZjkkcZ/KrgkBpC4z1qrhYo3Oj6fNbCFrONgBtTjkZ9/xqhJ4G0xjl&#10;ZJ1HpuGP5VtCQNMq56AtVjfincRzT+C9PW3dY2fzf4Wc8D8BWVN4Qux/q/JI9mP+FduzUxmNUpMR&#10;xUXhG9b77woPqT/SrkPgyPrPdMfUIuP511O4YpAaOdjsRQWcENstuFBjVduD6Vz+oeEopMvaSbe+&#10;xv6H/GulzSFiBxUKTA4B/DGoqeLcMPZhSp4V1Byu6NUB65b7v1ruzJ1GKaW71XMxWONuvBLm2LRX&#10;G64HQEYU+1Y0fhLVnb5oAgBxy4/xr0rfimk0cw7HI2vhGRIsTTKuOyjNW18IW5+Z7hyPYAV0DN27&#10;U1XwSpP0ouBzN94ZMSqbBmJwQwZ8E/0rFl0S8iPz28o+gyP0r0At1zTCdwxmlcq556dJusZ8iXH/&#10;AFzNV2sjyCcH0xXobQqTyWIPbNQT6XaToQ0QBP8AEODVXsJs4FbTb1OaaUPzEsEK9K6mbw+yt+5k&#10;DD/a4qIaHcfxLGfqad0Cuc/vdWMnnplsnaRxz6AVpaczeWWZcM5y3FaA0WVSMRRg+uRVm30eYN8z&#10;IB7UmO5Grk4qdJG3cdavR6VCuNzs2PwFW4oYYeVjUEd8ZqG7DKC2tw/zrCQT39aa1ldE/wCpYEdQ&#10;a21l5z0qXzAwwetS3cDmZdNuJVKNBkH1IrHuvD95HlkiJXqRkZFd03HXj39aiwWOD09aScrjujzd&#10;rOTODgUi2xyBv/Su9vtDhvB5iMFk/vAdfrWS/hqUNkTJj6VfN3FdGX4kjxPHtHG0D6VgiNipI7V1&#10;eq6dLd3x+bEe0cEHrWJeaRdWQMgQtGOSQOn1p3V7GkHoZhBB560+KeSF90blT7Uh+Z+RjNBXFMq5&#10;ej1EsVEoA2rtDAdqhmijwrL0YdjUQIZdrDkd6UQsfunigZ34Ztv3j+dOQk5ySeO9FFQjNEmTt/Cl&#10;7miigYg7U4dBRRQIOwqZTyKKKTLWxMTxTR1NFFIgtw9B9a0IzRRUPYEXk7fSpU+6aKKz6iYtrzHI&#10;Tyd55rNve/1ooq4iMs/eqP8AioorQANIe1FFAEZ+9SelFFACEnfT46KKaExzU0d6KKbIFXpSp95v&#10;wooqkBYT7/4U9+tFFAETU4fw0UUkUK1Q9zRRTQmPPSkJooqWNbC9jQOtFFSLqIP60UUVS3KI4/8A&#10;j8k/65r/ADNXBRRVCYHpTD0oooJEPSmCiigGBpe9FFIERt1NN9KKKXUBG6ik/hooqgIz1pD1j/Gi&#10;igBW7VG33qKKENDF6/jSt2oooYEeTnr3oPWiipKYx6lX7tFFAMkXpQ54P1oooe4IIzmp170UUmMe&#10;pPnR8+tSzABxxRRVRJZBCT5jDJ6U6T7p+lFFU9yUVMAh888VQueI8Dpg0UVjP4jaJxF8At7IAABk&#10;8CoV7fjRRWyLY5/uj6UIxA4JH0oooY0f/9lQSwMEFAAAAAgAh07iQNukZgxDfAAAPnwAABUAAABk&#10;cnMvbWVkaWEvaW1hZ2UyLmpwZWcBPnzBg//Y/+AAEEpGSUYAAQEBANwA3AAA/9sAQwAIBgYHBgUI&#10;BwcHCQkICgwUDQwLCwwZEhMPFB0aHx4dGhwcICQuJyAiLCMcHCg3KSwwMTQ0NB8nOT04MjwuMzQy&#10;/9sAQwEJCQkMCwwYDQ0YMiEcITIyMjIyMjIyMjIyMjIyMjIyMjIyMjIyMjIyMjIyMjIyMjIyMjIy&#10;MjIyMjIyMjIyMjIy/8AAEQgBJgJ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4XVXktdRu4eQkyDj3HH+NaFjr0kVtp9kiAyOVQk9hnH8q0tV&#10;s4ZLxZmhV3SNnAboxHY1iyfZrS+g1GS2eJY3KtCoHDgAjHoOf0p2a1OazTudnijHFQWF9HqNqLiJ&#10;XVCSBvGCaskUzUZTSKeRSYoAQUtQtKyMcgHnipBIvc4+tAEi1Iwpi1IR0oAjIprqGUg9CMcVJikI&#10;oAwIb2K0uGs5JyX3HaHbkjPY1pRMm3Cnj0JrjPF6Bb8H1qnpuv3Vk4WRmlh6YJ+Zfof6GpjqjZ07&#10;q6PRv4aYTVTT743tsJgn7pgCj5+968dsVZJqjKw6lqMGnA0xD6Wmg04UAOFOpop1ABSiilFAhRS0&#10;gpaYCilpBS0CCilopgJRRRQAUUUUAFFFLQAlNbjrT6jk6UwI2ky20dcZqNvM644+hp0ab5mHP3D2&#10;+lWLq332rqUYqRjaRuzQBTIkx2ppEv8As1PZWohhZY12guTjG3+gqYxNnA5PtTAz8Sf7P50n7wdd&#10;v51eZGHBBz9KYUPpQBVBkz90fnUM7/LtPXNXmT5azLj/AFp/3qQFXdu1uMDsh/z+tS34/fR/jVe0&#10;zLqjzY45UGrN7zOn40DIoR+9arYqtCP3jVaHUUCNzQx/o0h/2/6CtIjmqGhD/QXP/TQ/yFaRFSxk&#10;eKMU40AUCEApwWnAUYpAGKjmH7o1Limzj9y1AHnN2Q3iG8z3UD/0CvX7HxD/AGVEIAXBIzwBj+de&#10;QSLv8Qz+8ir+o/wrudSJS6C+iCrJbsdBeeI0uW3O0h+oH+NUH1W3JBzJx7VhbyRRnIAosTdnEeI5&#10;hceJbyVc4MnGfYAf0ro/B11FaPctLnlUUYHoK5LUm3azdn0lYfrXRaGuFn/38UyzuBq9qe7D/gNS&#10;pq9mOrt/3ya5tRUirmlYVzqU1qwUjLn/AL4P+Fa+n+IrGOQFEaRh0GCK4iOAuRxXRaPpoLgkUrAm&#10;zifFXiWXX/EcpaJESCZo12jnap7+/Fel/DXTs+EkkkkfbLM7BFOB2H49K8WH7zWbxv7085H5tX0F&#10;4Fi8rwZpy+qsfzcmlLRFR1lqbIsLVVwsCD8Kyb6xVCQBxW/0rF1jU7G2X99dRKwGcbsn8qlFySRz&#10;N5ajceKypYMVZvPElk77YElmY9AFxVBptSu/9VZiJT3kOMf5+lUZ7kbx4qrIY0bDuqn3OKuf2Ncz&#10;ZN1fFR3WIY/WmnStEgO2V0dvWSTmpckh8rZy+oWxmi3KpfAIZR1KkYOK5nVpLWNLe1nadojLvY7S&#10;CoxjHzfXpXYQXEc5YxbiqnGSpAJ74qHUdLtdRgIuUPyjIZTgin0sDV0PtI4Y7SJbfHk7Rsx3FTbR&#10;171X06yjsbRYYZJHi6rvOSAat4pDIiKbinuyp95gM+tZzOTOWQAgk4P/ANegZcaMMc1DJE+eORUz&#10;ybIgwGScAUsbl85AB+tACxAhFz6VZxkColFTgfIKBEeKTFSEUmKYHBeNExcI3fk/yrnY/LnWGMcM&#10;sbj0Jbkiup8bqR5be2P1/wDrVytvFFObdG+U5cMy9egx/Ws49Trj8KO98PENocW05UM+DjHG49qv&#10;E1m+GCW0ROmAzcAY6kn+taTdapGEtxwNOFMWnimSPFOFIKcKYhwpRQKcBQAYpaXFLimIQClxS4pc&#10;UAJilxS4opiDFGKXFLQAwijFOxRQA3FGKdijFACYoxS4pcUANxTXXIqTFKBQBQMhhdmxzsOKyP7W&#10;1rBzBGP+2D/410pRD1VT9RR5cf8AzzX8qYHNf2vrGDmIA9sRNT4tf1e3kEgt4XI7SQsw/LFdAY4/&#10;7oppRMdKdwOek8Q6kzktawc8nhhyevaiLXLySQK9vCqnuGPH6VulEHb9aYUX0/U0XAzk1CSSVUKr&#10;g+hqlKZbmZ1VdqFyN3rzWy8UeOV/WqSDaUTbgcH+VJjI4YFgkRV7A8028H+kJ9DVor+/H0qvdDNy&#10;v0oAiiH7xvrVlR8y/UVXiH7x/rVlPvr9RQBv6EP9Ab/rof5CtMiqGhj/AIl5/wB8/wAhWiRUiIyK&#10;MUkrlFLBSxA6DvThJHIoaMnp8wJBIPpQAoFLiq4uWHn74WTy+QT0YfX+lPs7gXVtHJ8oZkDFQc4o&#10;sBLim3AxbtUwXmmXgxbH60hHndtH5niQj1uVX/x412esL/xMZB6Bf5CuS0dRJ4qk9Bex/wDobV12&#10;sNjU5x/u/wDoIqyWZ+PkpVUgHNRyTRQJmeVIl9XYL/Os648SafbjCM85/wBhcD8zimKxyV382q3Z&#10;z1lkP/jxrqtEX91MfWQ1ySsJrx3xje2fpk10+j3iQW0nmYA356jPPtQUzeRM1bihz2rM/tWBE3LH&#10;K3vtwPzrRiTVpfL2W0NurnCtI249Ce309KliSua1rB8y8V0VreWOngG6uYYsc4dwD+XWuDurLVv+&#10;WmoQAdx5zIPyVazruEw2EyOtoRsYl4mct0J78UuZXsVZo5vT5PMlabqSHb8zj+te0aD4muIPDdjb&#10;21k2UiA3uQAf6/oa8V0sEQHj/lkD/wCPLXc2aa+9lAkMttHAI1CZBzjHGcUqs4wXvFQTb0OvvdR1&#10;O9Qi5vkgj7rH/jx/KuD8XSQwxQR21y8hZiXbfnPtxxV99I1iQ5e4s2P+0HNc/wCILS5gntredoWk&#10;bJBiBAwSAM5rKnWUpWRcqdldnXW2rxW9nFHBbHKooPAXJxQb7Vrj/VRlAfRf6mriRy21tH5cFu8w&#10;wH2ny1z3I4NLLrGnWo/0i9t0cdV8wEj8Ov6VxuvOWxuoRW5Q/s3ULnmedsdwWP8AIcVKnh6LHzyu&#10;T7KBVefxto8OfLaac/8ATOPH/oWKpt43nY5t9FnkT+8zEfyU1Ps6sug+eCOdur0WFlpkqnglC5Hf&#10;Od39a0J9Xt/tDWceZJmX5QvOT6Vyd5Hdi3XSJ0ZriJ90Lf8APVcnj6jP5Vd8POLLU7ybUHW3baFH&#10;mnGcnPH5V6V9Thu1Kx10SGOFEPVVAp2KI5Y54xJFIsiHoyHIP406mWZt9L5UgYqSAOgqkWWdyUbb&#10;n16546fp+dad9GpjDOu5R8rDGcg1QSO2ZiiBPLA+6OmTTGLKry2bAucHP4D/APVRbNNFcHzGLqRg&#10;cYweT/hSGBVLNyNmc89Rj/Ckf7REqOpMrAYC4AOfzFAGqhDAEVYQfJWfZ3HmIPMRkc/wkVpRj5aQ&#10;hpFJipCKTFAHGeM0Z4uE+WMby31yMfrXFW8UUpiRm2Es2WB56Aj9a9E8VJusJxjrGf5g15xFCGdQ&#10;zeWSQQxPbBrGDu5LzOuPwI73wswXTpIWYb0kK4J5wFXmtRutc14SiQ73BBdXK7gT6eldM45qoSvd&#10;djKorMFp4pgp61oZkgp4poFPAoEOApwpBTwKYgpRSgUoFACYp2KMUuKBCYpcUuKXFMBMUYp1LigB&#10;mKTFPIpKAG0tLRTASlxS0UAJilApaKAExRilpcUARsKYRUpFMIoAhIphFSmmkcUAV5uIm+lQSjaY&#10;z71Ym+6B6sKiuQSoA7UARn/Xj6VWuR/pQ+lWV+aUH1FQXAzd/wDAaBkEf+sf61YT76/WoI/vt9as&#10;J94UAdLooxp4/wB41fNU9GX/AIlqH1J/nV0ikIp32fsr4IGOTkcY79j/ACqOyKtZKcg5ySyrtB+n&#10;A7cfhU17G0luyoyK3GGfoOfpRbRstuqs6uw6svTPWjoBjW13BBHewHCpvcqWcAHgDaMnnv8A5NX9&#10;JazW2hEJt/tBhXfsK7+gznHPWrQjt5JzAfLaQDcVxkgetSwwwLO0aBBIFBIAwcH/APVQ2InVxUOo&#10;SgWuPU1aWEVn6nt27B260kB5vBqg0vVJbkIrv5qyDdnGQSfx60XvirUtTnkdJG3P1FuuMduo5/M1&#10;V0O1h1DxjDFcRrPG0gJVxkEZPau41S1t4ZLpIYUjVTgKigAVTdiZNROE/s/UbgGZ4yinqztyfyzU&#10;U2myQwSyySSuVHGxMDPqevFdzbgtaoGJIAIAPbk1na4qjR7lhjgAf+PClzake11tY5Oz5uF/3h/O&#10;ug0phGhaSESIQQAULc9uOn/6zWBZD9+p/wBoV12kRbbBTkfMxP8AT+lNuyKm7IdNdTz20cU7ZKgn&#10;p34GfyrXtZ5L64jie4lUDoQjHnp2HHXqayrgZcf57iuj0UfvJD/s1y4mfLC5rQXMy2ukwZy7u5/K&#10;svxTDDaaJMYkCkxvz/wE/wCNdGK5fxxJs0jHqr/+yj+tefhpylWimzsqxSg7HIWA22zH/ZVf5n+l&#10;esWyiO0iXHKoBj8K8rsU3Qsnq6Afk1esJwa6sdrOEe//AADHD7SZBNJPt/chEPq6Fv5EVwuvC5n8&#10;QW8M0waXKqGVNu3J44ya9Akf0rg9QPneNU/2XT9BXRTpwg7pGc5ya1J5/Dt3dH/S727uFJ/ik4/X&#10;NTQeGLOPG5EP+8S36dK1LmSWSa3SEMQp3sQcYG08n1+lSK+4Z796d+hLRnXFpY2EGArB2+4sMPLE&#10;c4woNTLd2W0f6Ben/etpf6Crm44x2o3UriOc1VUEqO6jiNucc9Dmua1GKO9hhc3KqomMQd85CkA4&#10;P05P411euN5WkyzKP3kal0PoQMj9cVm33h2fUYFV5oYiDuxGhwx9TWz2FJXVjas7aO1s4oYjlEUA&#10;H196mxVXS9PbTbBLYzvNt/ibt7D2q5ikUVbo/KqepzWRbl5owbiPazFkIIxyDx/Wtm7j3wE915rF&#10;SOOAbZLrzYzgYY5x29fU/pTAl8hGZ4w5DAYABxx7j05pojkUiRZOGIIU9jUbWNrdMcHhcY2njvx/&#10;n1p4CqVQTHIG/Yf7pOM0DFkmMV3biR8OzN8qDhhgD+ZH61vQnKfUVjRrKz4bGe+7ngdMY/GtqD7o&#10;x6UgY/FJin4pMUxGB4jTdZyj/pm38s15oLZZ3iUtsLKPmOMdG/wFeneJPksJHxnCN+oIrzOO2Mzw&#10;rG5R8KMopyM5yfeudaVJfI6oP3EdT4YV4bu7hklMrLIMuep4rpZBzXLeFYZo9UvYZnd3XY29upGD&#10;z/KuskGDVU1qyKu6IgKkUU0CpFFamI4U8UgFOApgOAp4pF6U7FMQtKKQU4UAFOxSYp1AhKXFApaA&#10;CiigmgBDSUhak3UwHUtR7qXdQA+jNR7qN9AEuaAaj30bqYEtFR7qUGgBxphpSaaTSAaabinGkNMC&#10;tIMyxj6n/P502XG5PrUmM3B9l/mf/rUyYHetIClE+2Zww4TjNRSOGuyfbipLbab+ZhzuVT/OkkjB&#10;vmOOcCkhkERyzH3qzH978D/Kq0I+99atQ/f/AOAt/I0wOq0Vf+JTD/wL/wBCNXitVdGGNJgH+9/6&#10;EavYqWIo3xijty0pcICPudTToo1FnmFm+YZBfkik1I4tiNwXPrVi3G+0iIbdlBzjGeKfQDnYQzNB&#10;ueIytIzs658wAZ5PPQgYxWjokYEhwOlrD+u6raaWwVE+0MYkbeE2jk5zgn0zU9nZNbPNJJL5jybQ&#10;flCgBc4GB9TTuImdvLUnv2rFvmG12Y1ozyFnOOg6Vl6gdttI3TCn+VJAef8AgxCfGFvnqOf0zXYa&#10;s3+k3hz/AMtSP/Hqx/Aht2vLfIg+0srHOFL8F+p6jjH4VqasSZbo/wB6Un/x6h7mc90Jbr/o6fSs&#10;fxBxo8+O+3/0IVt2wJt4/XaKyfE0EsWjksjBS4AJXA7n+lT1Ml8RylgP3pPpz+QNdnp4A06DP93+&#10;tcdpylpSB1w3/oJrvrLTrkWUKlQpCjILf4VUtjWrsUZObhR6kfzrpNEX5pz6Bf61nf2LcNMkhkjA&#10;BB4JP9K2bGM2iuD82/HtjFcmIpynG0TXDyUXqX8Vx3j5/wDQlj9VH6uv+FdWZ2HRR+Ncn46CtpC3&#10;DD94JFRT7cmsMNhpwqKUjoqVoyjZGLpabp7Vf79yF/8AQf8AGvU8YU141p9/OqRshw6vvUgcg+v6&#10;Ctn7TrV3/rL25RD2aQj9K9CtgpVZxndJI54YhQi42PRJSFUsxAHqa4GSUHxZLOxCxLI5DscKeCBg&#10;moRYZO6TdK/95+aSW0ABLbVHqa6oYVdWYSrPojpU13SrXY8l3uc8vhSecY7VlyeLNMt3fb9okXJ2&#10;7UHTPfJFYp06ByczqMDcQGHA9aZ/Ztpjf5okUAnODjjJ6jjsa0WEoLdsTrzfQvT+PYUz5VhI3u0g&#10;H9DVNvHtyx/d2kQHo2TUUTWQi82O3jZdxQHaASRjpnnuK1PLeMY8pl9tuKtYeiuhLqS7HEP4i1a4&#10;jdJrp5Ym+8rAY/lxXp2k6jBqthFdQH5W4Knqp7g15M1/PEfKgmdIVOAing+5HQk10vhHWrewu5Eu&#10;HEcFwA3T5UkHB+gIx+leedKZ2GtWtxdae4tJZElHTy2Iz+VZ+m62ttbWlrqPmLdu2wZGc84BPemx&#10;a6tnqWoxyNmJUWWMj/dAP9Kk0yyt9U8jV50PnkkqM8DBwKTFe70NmdgsLHOOKyZVgcAgoRkA4xyK&#10;154xJCy+3FYptLcFSm8OCBjzWP6ZplkM6wWa/Kh2+zY68dfoKTypy3nLIpj27QCgztx0zn15/Gl1&#10;C1d4Slsib3/vHA4/z+lLGoW3AlkVJVA+QPgZA6Y780tbgWbcsZGAl3EccqO3Xp9a17TJUZ64rGXK&#10;kuW2r9/cOePStm0PC/lQDLGKTFOoqhGRriBrbDcqflP48f1ryjUIZbSdoyhUROVDAdSD/OvYNSiE&#10;sOw9GBFc5faPaXwBkXy58KHZeCwHr61yVqnsp8zWjOii9LGD4FlZtVugx5eLcfruH+NdxIOaydJ0&#10;S3068M8TsSybMED1B7Dnp3radea1pVFUXMianxEAWngUuKcBWpmKBTgKAOKcKYhRS0AUoFAhRTqb&#10;RTAfRTaM0gHg0ZFMpjGmBKWrN1XWbbSYElud+122DYMnOCf6VO7kCuU8YOz2EGe1wp/8dagZePjT&#10;TD0E/wD3x/8AXpn/AAmWnZ6T/wDfA/xrpIfBCzQI/wBsQblB/wBR6j/ep0ngYRxO4vEO1ScGDHT/&#10;AIFU+0j3HyM5r/hMdP8ASf8A74H+NH/CY6f/AHZ/++B/jTns0jGTt9sCremaQdRuUhTALcZ25rVK&#10;5JT/AOEvsT/BP/3wP8aP+Eusf+edx/3wP8a9F034cJO8fmXnylVZ9sIGAVDevqcVb1L4cWVrDHNH&#10;eyFDIiEGMHgkDIOfeldXsOx5f/wmFiP+WVz/AN8D/Gk/4TGy/wCeN1/3wP8AGvSv+Fc2vlo4vn+Y&#10;Qk/ux/G209+1JF8O7aSaKP7fIA7Trnyxx5b7R37jmlzILWPNP+Ezsx/y7Xn/AHwv/wAVS/8ACaWn&#10;azvT/wAAX/4qu2tvB8Nw2nhrt1+1WhnOEHysNny9f9s/lVM+G1Fjp115z7bvIbj7pCk/0q+Rk3Ry&#10;p8aW56WN5/3yP8aE8ZQPLGhsrld7Bctgda359EWK5u4DIxaA8e/Ga5bxFbrCdMdSSXlyc9ulDi0r&#10;gmmdaHzTs1TikLAZqzuCoWPQDNQMagy0jepwPw/+vmo5yFKkkDrgE9eKnRSsag9e/wBarXMe+SIk&#10;8Ant7f8A1qQGZYiSW+kzgKgU7h/F14+n+NWm/wCPxvoKnjXF2R/sj+tRMP8AS3+lAynD0P1q1D98&#10;/wC6f5Gq0XQ1Zh4Yn2NAHX6TxpkA/wBn+tXapaV/yDYP93+tXqQijqUjRQAqUXnqz7cfqP51Zidk&#10;tEcjc2wEgPuycdjzTbiV4dnlqGZjgDJ9CewPpSqzCzQrGrNtGFQ4H4Z7UCMm51GWSG4mikdAbYMo&#10;DH5ST/P3rVS8M5mVUwiOUDZ+9jr+tY81ldFZ1is9qyKFA85ePmLHv71o2yssexrYQKPuqHDdeTTd&#10;gJwu9un1rG1uTZptyfSNj+lb+3y4Sccmub8QnbpF6f8AphJ/6CaSA5HwHF/ptzdLxKjYUjtwoI9O&#10;9ehC0iYktGhJOTlRXD+Ao/3V0+Ok39Mf0r0EcU2ZS3HJbxKgZNxI5wPzxXOeN2z4XmLH5vNUrn3a&#10;ujVyj7l//XXMePpPO0H7uNsq4pDTOC0ld12v4/yr1OyH7kCvMNCXdegf56ivULTiMCmxy3LWMUUp&#10;ORSdakQ01ynj1saLAv8AeuR+itXVE1x3j1/9Dsk9ZGP5D/69C3GtytoVtGmmwPtUMwyWxz1qFf7R&#10;k8jas4zKC5IK8DHX9a1NIiK6TZ7VBZo1IBOB0zWksU39yIf8DJ/pXSp2HynMxafqkk1sZPN2LLuf&#10;MnYbff2NPTw/cSXdy7qqJLLkENyVyx9/UflXTrBN18yIf9syf/ZqkWKf/nrF/wB+j/8AFUe0GoHN&#10;p4eutrqXhAaMIME9ipzjH+zVmPw5J5PltOoO1l3BTnBQrjGcdTmt4W8h63Dj/dVR/MGni2k/5+pv&#10;yT/4mlzsagYcXhny1tx9pyYXDgiPGSAvv/s1tsmKd9mB+9NM3/A8fyxVaWYW8aAscFmALEk4B9TU&#10;uTZVjxE9avaRCbrUI7Yf8tFYDPrtJH6gVHf2j28qMylVlUOv49queGSo8QWhc4GWx9dpxWBFi/b6&#10;Te3aTbcB0Hl7JG2liMHA/D+lb3hzXJPMttJWzGEBDSbzxjJJxj1q3fqpc74HkG7dlDyowOf0P5Vi&#10;W+rDS/EVyY7VZFkkKsc4I55wegFJx5SbcrVjvugJ9BmsCchrlkMWcjcGx19qvtrFm+qDSx5hnYdQ&#10;vyjjPXPpWdcR3aXDFZAqoQMbFPHcZ61RqtQNpBEd0UW4kE43dfzpqW6yLuGUG0ELycD86ajjz3XY&#10;q4BXdnqM4/nj9aexiACzlWAGAew7/wCFG4yYQlVXacFxtOeR69K1LLcqjeQTnrWOiwKmW2Z6uOB0&#10;5P8AKr9lNm2jbjlQeOlAma9FM3ZoyaYiC9I2p9az3VWIJHTpVjVHKRRt/t4/Q1z+vakdP0xpFzuJ&#10;wpz0NKSvuNFq91rTtHwbqYKx6Ig3Mfw/xpuneKNL1abyYJWSU/dSUbS307GvLbm5lu53mmcs7HJJ&#10;qIZBBBII7ikVY9sNKtYnha6ubzREkupDJIHZQzDkgetbi1RI4U7FIKcKAFFLSCloELSUtJTAWiil&#10;oAaaYwqSmNQBA44rlvFQzp6n0lU/zrqn6GuZ8UDOmOfR1/nTGj1vToy2mWjc/NCh/NRU10m2xuWI&#10;6RMf0NP0dQ2gaUwCDdZQsdpznKDr71JqI26Ten0t5P8A0E1wSfvWOhHkUr5uGB7HFdz4Kt0+SXGW&#10;MwT8xXBv/wAfTf71ekeBIt0IbHS5jGfwNejF6GDR1XmPLbG1WRollRcsnDf6rOPpxWvqKGPSpQtv&#10;5wiAKR5JLbcEdOc8VmW0ay6hDG33cKCB/wBc2FSeL3m/sXyreYJLJLGuN2GKlgpx9Mg1mviSGPhL&#10;m0iDqAwW1BGc/wDLU0m7y5bZu4uLpfzZj/SiBfLsgu4ts8jk98SmorxiJIACf+P+Vfzic0kveB7H&#10;MRT+W+kYP3Ipo/8A0H/4msOa6YaVp8e7iK4IH5sK34tE1Gaa0VoWiSJ5GkeT5Qqktg+9YGvWFvp2&#10;mxTQanBeKblkbyeQpzuxnPPBrf20L8t9TPke5SknL39yxP8ArAufyxXI+JgfK0duMGZh19CtbpuB&#10;9sI65Qfzrm/EEgdtOX+7cMP1WqnsJbnRQdBVpx+5Oenf6d6rW/QVcAyKxKHVDOOF9dwp29ohtZGY&#10;DoyjP500BpHDMpVR0B60AQxHN7IPRRUT/wDH1KfapLfm8lNNYf6RN9P6UAUo+lWYRkt/u1Xj6VZg&#10;6v8A7p/mKQHX6YMadB/uVdxVbTh/xLrb/rkp/SreKQFK+ZVjXdDHKC2MSYwPfmrEsvl2xlCo2Fzg&#10;vgfng1U1ESkAxKTt5JAzx3qxfqDZSxFlXKFck4A4xQIy5dcImRBbxEMCQROcD/xytGwkN3GJiiKu&#10;eNr7gf0HfNc7bsJriIGeKLy4yAZJ3UE5xgHd7duK6XS4hb6bHHvjcruyY23DJJPX8abQEs5z8orl&#10;/FB26Lef9cmFdM3IJ71y3i47dCuz/sgfmwFJCMfwGD9knx/FIT+RNd0p4rivAa400Nj7zv8A+hGu&#10;1TFNmT3AmuX8ctjQsf3pFH9a6YmuR8eP/wASeAetwP8A0FqQR3OX8PLm8/D/ANmFel2x/djH1rzf&#10;w6M3Gfp/OvRoOI1HtTZcty0DxS59aYDS4JqRDWNcT4+f5tPT2kP/AKDXatnNcH48f/TrVP7sJP5n&#10;/wCtTW447m9py7NPsVx0RR/45XFz3Wu3Go3CxX0saea21Q5GBk46e1d3bptSFP7q/wAuP61gWtui&#10;navLsSSx71pZs0bsZBg1eIZuNYvMNxhJmH9f6Vb/ANNg0O5MNxd3E0ksaLvmLEcMeCenvW2tvC6j&#10;eobvzTru3VbeNkwpabzDt6H5SP60crvuFzjJNN195Qhkdiy5JEnA9s/hUi+FtVkiEjXEe/HRmJP0&#10;6V1ayP8AKMH8qsxxyE5Ocd+arlFcz/A2nzWbX/nMCxKLjGMY3Zp/im7NrBp+DjerE/8Ajv8AjW5p&#10;UCWlnMyjJLFix6scda5Px2dtxYQ/3Iif1A/pUPbUtEujWNt4h0FYtQhZZopGRsDay87h19mFGo+F&#10;YLPTVbS4z9ohcShicliPWqXgrU3l1C5gkQIJIw64GASvB/mPyruQeazRJwMviq0e4gW4gu4dgPmi&#10;PG7P90cjjvn2Fas2taBDpyX1rbRzSP8AuyoUK6+x4rpzFGWLFFye+Kxb/TYba7+1w2sLrKPLlRxh&#10;fY9OMfyzTYWF0TTbVdt+iOZJUGGkJLAenJ9qbqt1ZxyytPLGrKMhSw3H0wO9JoV3O0t5Zztua3cF&#10;DjHyt0/kaZf6ZayX3nTRBpFwVYk9jkUIEZVvb3h1Q3LzD7M5OEMhJwe23HH51ZBW6hVwI4/XcOAc&#10;An+Y/Khrq3aR0jbNwh5wPuk8iqt1cS6bYvIvlTvkALtAGT3OAOwosVc0TJDIGQY8zJBOzqD16jkY&#10;P6VdtQFhABBHbAAA/QVmW8sTRLKIsSPtcgLn04z+laEU/mcgcH9aBG1HyoPtTqihOYl+gqQ0yShq&#10;wzag+jg1w3jC9txZpZtlpmYSKAfugcZP6122stt02Ru4Kn9RXj+q3RvNTuJychnwPoOB+gpMpEMM&#10;PnyBI2Ac9Ax61s6ToJvJAkjOkgbDLj7o9TWCK9B8Oayuo2gjlYG7iXDk9XXs3+P/ANepLudFaxQW&#10;dulvAu2NBgCrSsDVFDU6GqILYNOzUSning0wJBS0wGlzQIdRSZooAdS0gNLQAlNanU1qYELjiuc8&#10;Tj/iUT+xT/0IV0rdK53xIM6TcfQf+hCgEeueG383wpozYX/jxhHyjHRB196sauMaLff9cHH6GqHg&#10;6Yy+DNHJxxaoo49BV7WuNDvP+uRFcMviOhHjzlTdvx/Ea9L8BSA2xQDGLqI/oa8vc/6VJ/vH+dep&#10;fDy1D2U04csyTRny0GScA464AB+vau/aLuZdTanvXspkuEAJQBsHocROf6ViEa5r3ia3uprd/siH&#10;9yQu1ODz9epro72C6NnMsdrGIvshO7yyXZvLOOSeOccAd6l0a4V72W3ikm+WKPejLmNAUBAU565O&#10;enes3W5VotSlEtxtaW1sftUpG4suwAknbIeQBz1NVr27ia+00C2uIH+3/wDLSPAb922Wz/wIDn+l&#10;V5tSVFdP7ZgsvmmIAjDzf6w87T0Xr2qvrOsW51aysYxcvLa3kSPI4GwZ9+pJyPalre4E+pwNeWcd&#10;re295dgu0hhhK7WG9tu9iRgYxxn+VcN4zt1s9KiRbHTrINOGWOOTfM3ByScDj8+1dHqd19isbuQX&#10;a+Xbpd+YkUvV5JW8pSM5zy30rhdamsbrwvYlb6Nbq0V4zbEHccvnPtxzXPSjLmUulzSVuVox2mIu&#10;QfVSP1rE1lsz2Q/6eD/7LVmS4CyIxPY1k39z51/bKO0oP8q9CT0OVLU7i36Crq9KpW/QVdyFUsxA&#10;AGSTUAOprnCk1nyeIdIjkMbahBuHXDZH5jirP2iG4tTLBKkqEcMjZH6UhkVoP3zH1prf66c+39Kl&#10;gGJSPYVC3+suPof5UAU06VpWMSPb3Eh6quPp/nis1OlPVVLgkcjpSA7ywGNPtf8Arin/AKCKsVBZ&#10;jFlbj0jX+QqfpSApXxXcitaG4DA5ABOPyB6+pxU05hjhYyhBEgyQRwAPauR1Xx9pcF3JFBPK4iyr&#10;NHjDNkdM9cc+g96tWni3StZ0xmWSJbgEAW8smGJyMEdM/hTEbo1GxMKu8q7CQoBXoT/+qrsbRSQZ&#10;g2lM/wAIwKwGz9pC/vCom8nfgc5IBOfLxk9+c1sac7NpcJY5PzAH2DED9BQ0K5I9cl4zONCuR6lB&#10;/wCPrXWv0rjvGzY0Zx6un86BkHgZSNGjPYlj+prqLm4FpZT3JG4RRM5GcZwM4/Sue8FJt0GA+q5/&#10;OtXW22+H7/8A695B/wCOmhmL3Mmz8VXeoW5ntdElliBKlhMByPqPesPxjqX2qzs0MTIzN5mCemBj&#10;H61t+EFCeHM+sjn/AD+Vc74rx5loPRJWoKXxWIvDfLk8cMnX8a9ChPyCuA8NjGT6lf5H/Gu9g+4K&#10;GEtyyvJp5bFRBsdKC1SIUtz615/40Jl8QQR/9MFH5s1d6TmuB8RHzfGMUfo0Sfnj/GmtyobnWO3l&#10;qX/uxuf5VwFtrDR+UhfHG2u+nlMNvPKMZihZhn6E/wBKwLS/nusM9nZOp/ieH/69ac1matXG2esQ&#10;vLjfukQZIxyR9O9aFzcbrSBj8oZ3IBGOBgVHPJbQjzZNM09ucbvJANPN1FJbQFdGglj2sQqkDbyc&#10;449qfNd2JtoMjvYQ3Mq5AqS01OC8JEMisCgYfQ+o7VTE+kPuR9FYORghZTj068U2yl8P21w7QaPK&#10;jgbWKTFh9PvYqncDqLKQS6ZOygAZdRjuQMfzrivHcm7XI1H8MA/ma7m1kil0yKSGNkjZhhX6j5sV&#10;574xk3+JZx/cVF/8dB/rWci+hS0nUGs/EVjaMuBDM0JOeu7I/nivSwa8s1m7Ww1m9TygXMySK4x8&#10;p4avT43Dxq4OQRkVBKJSaY6rIhRgCp6ilzzSZoAjEMSymRY1DtwWA5NUtSWN3QOBwvWr5rK1K2jm&#10;mRpV3Acrkng0wMh7O281pPMxIXBHzDkjpii4j+0LNFIBGqthGC5yMDnHfuPxqRnijcwpbO4x8pRc&#10;gde/4frSCS2tymEIbODtU8GgZJAyxQxwICRtxuPBGB1I/CrsbMxyy7T6ZzVGKeSTzMQMFzxuOMj1&#10;xipLJblWb7RIXyflOAMD8KBHRW/MK/SpTUNrzAtT4piMrWwTpk4HXbmvFiOea9u1ZN2n3A/6Zt/K&#10;vGbxPLvJlHQOcfnSZUSKF1imR3jWRQclGJAP5V3ek6pYXcKpbRpA6/8ALNQBiuDxVjToDcahBCsh&#10;jLtgOBnFRKNy4yselrdhfvLx6g1D/bcKySlY5GEbIpHHOc+9chqIuLK7aAXsrbQPmJwTkZqr9smA&#10;/wBa7epzTi2txtRex6JHqwcqghcO/C45p2p63a6NAr3LFnb7saDlv/rV50NSnDA/aJVYcghyMflU&#10;NzLJdNvmkeRum52LHH40JvqKSXQ7GPx/ZlwJLOdVPdSD/hXTWGpWupWwntJRIhODjgg+hHavHvL5&#10;qza70SUqxAGM4NO5PLc9gEqFygZSw6rnkU/dXj+d3Xn616lp8hbTrVj3hQ/oKadwlGxfBp4NQqc1&#10;IKZA6kNLQaAIm6Vz/iEZ0q5/3c/rXQsKwtfXOlXf/XJj+lMZ3/gKfd4K0nJ6REfkxFbmtMP7Buz/&#10;ALA/mK+c7HX9RsrZIIr29jjTIVI52VRzngA1oDxbfvEY5ry/kQ9VadiD+Zrm9i3K9zbm0NifAupP&#10;9416V4Ev7e006T7ZJaJH5sbIZZFU8ZycZyccY+teJNrAZt2yX8xVlPEOxRtSUH13VvOKkrEJ2Pdb&#10;3W9NS33O8bziE7Y1hkkcEoejk7U79Pes2DxZb29zG8cOpySCMfufNRYWZVVTjqT2rxxvEDMuNsv4&#10;tUDavcTEbWcbPu7pcY+lJUodR87PcY9SvYllu7e3T7atvdMqvGXGd6nbjjOSCKq3NjrU7yuttcSz&#10;m9jlMvlld3+ryR2ABz9K8ZbXtRX5Tc3H4Tkj9DUDaxeNwZZiPQyGtHK2yJ9T1VfBmsTzyS30UkUJ&#10;maV53dXcgdyN2SScjn3rO1/w6dP0kXYlUybGaZG7EMF+XA5wTznFebHUJznO4/V6Y14x/wCWa/8A&#10;fVTeV9yvdsaFzNnZzVB2zqNvz/GDUDSu5wFGfrSW4Y3kJOOHHQ+9Nsk9Pg6CuZ8d3VzHHa26MywS&#10;BmYD+IjHX866e36Cs/xRaJdabCXXhJgS390EEf4Um7IUVd2PMCT3JrqPBFxJ9tubXJ8t4t5HuGA/&#10;rVC40b5g0YYqe2eRWt4VtfsWrOXyFaIjPXHIPPpUKSZcotI7WIf6Qw9hVG9uVs4LydwSEHQflWmk&#10;RDecrBkYdR2Nc9rt1GtpfQAF5TGWAHb0Jq2ZrVnLXfia7dyICIk7cAn9aZbeJtQiYF3WUd1ZQM/l&#10;WMQAef1pQN34Ui7HvXhjW7fXdHS4gVkMf7qRG6qwA/Sr2qzrbaXcys5XbGcEdc9B+uK8Q0rWtQ0u&#10;3mgsbp4ElIZ9uMkj36j8KuL401Y2ctpdyi6hcjPmj5hgg8N+HfNJkpanNSoVldWzlWIpEcoflyCO&#10;QR2rVdI7t5JGt5IxLlkkzkD9ORWc8LxPhlINCZTR7b4YMOueHLS+ljQXLZDyqoDb1bGc/hW/FElv&#10;CsMedicDJz7/AM64bQdttoNjatPtiEKzbPOQDeTu9D69DXZ2MjS2EEjsWZkBJPeqZkSueK4vxzk6&#10;Uqjq0ygfrXZv0riPHcpi0+BgASs4YZ9lY0kPqX/DMf2bSLeMjkRgceoGP6VY8Qtt8PXn/XIj8+Kr&#10;eG5TJpkbNtDYHCjgcDipfFGY/Dl1n+JVx+LChmXUq+GBjwvEe5Mh/wDHiP6Vyni5v9LtVz0iP6mu&#10;m0S8tbTwzbRz3EUbFXIDuB1dq5PxS6vqcYUgqIRgg+pNHUaXvF7w6AFT3fH6V3EX3BXE+Hl+SP8A&#10;66t/6CtdqnAAoYpbk2aKaDRUiFJrgtQPm+Oj7Txfoq13Zrgl/e+OH9rhv0B/wqo7lw3OsuwhtrlH&#10;+68QU/jkf1rNVFVAq9AMCp9em8jRL2YdVCKP++h/jXMr4pt49n7osx5bnAFaJpbmjOga2WdCsgyK&#10;jupYdM0uCOVyMnap9yzEZpbXUra7RHhb5T0z/WuU8X3DHWhFkNEEjJQ9Cdvt/vGnK24I6OK7t7NP&#10;3vm7ihcN5RGcdeoxSi4jlDOzvyAV83aCQehwOxrkdQ12e4hKFgEKBFQAcDvz+f51o6VPe6hGqSxE&#10;7IFETEYDMsobr9CRSc0g5bno9suzT7aP12/4/wBK8y8TSeZ4jvWz/Hj8gB/SvUVyIbXOM8Zx0+4a&#10;8k1iTzNavX9Z3/8AQjUsfQXxDLbJrepLMgZnVBGdoODtH5dq73Qrj7RoVjLnJMKg/UDB/WvMtRd7&#10;i+mknw8hbkkDtxWlo/ia70lEgwstqv8AyzIwRzk4P+NY86uZKoj02iqenalb6naLcW77lPBB6qfQ&#10;1bzWhoITzUUsccgxIisB0yM08mmFgCc0AZF/bxJP1KqV4Ven5VTFzl0iSGViDgtt4B6da6BuazvJ&#10;cXGNnyA53UAU5heK+I1RMjqxzirkUZVFJYk4/AU+eMyFSGKkelOPC49KANOzP7j8as1TsWBiIz3q&#10;3nimIrXy7rSVfVCP0rxfU+NQm+o/lXtN3LFDbvJM4SMDlj2rx69tlkuXkZzhjwAKTHEzKvaTE7Xi&#10;yqceUd2fftQunPIheIOVXqSvA/Gr2mtHbWk24jfkEVEnZGkVdliTTxMWlkJ8xuetZlxZvC3Q+2Ku&#10;i8Prn61Ir+fH6/So5maOKMlYgTlutPKrg4q7BAbm4WJVJZmxhRk4rofEvhqz8MzxOsd1cRmNfMMg&#10;GwPgkjIH0wP1PSqU1exLg7XOP2EEZUgHkZHUVqSQR2+iTMSA8uwD35B/oazx9rk2XlyJGRzsWRhw&#10;cDoPYYqGSeWUjzJGYDoCeBTbuEVY6rQ9OsmsIJ5YFklbOS/I+8ccdPSuphmIAA6DoKwNFU/2Xb8f&#10;w5/WtuIH0q0Zy3NGJ91WBVSFT6VbHSmQOoNAp2KAIiKx9bjZ9Nu1UZYwuAPU4NbuzNUtQt2e1mxj&#10;7jfypgeVNY3ifetpB9VNN+z3A6wt+VekXGkTSk7fL/E1Tfw/cEE5i/M/4VJdzgVWRpDGEO8ckYqT&#10;yLj/AJ5NW3aacz+KLq1GwOsecnp0T/GuiXw3Oed0P5n/AAphc4Pybn/nk1OEF0DkRsCOhBFd5/wj&#10;c/8Afg/M/wCFH/CNzf34PzP+FAXRwf2a6/55H8xS/ZLo9Ij+Yru/+Ecm/wCekP5n/ClXw7MG/wBZ&#10;D+Z/woC6OBltrmGMySJhR1ORTorG6nRXRMqwyDurrPEOkPaaPPKzRkDb93P94e1SaNpLz6ZbSB0G&#10;6MHnNArnLR6ReB1Z0BUHkBuant9BvmukdRGEDg8t2zXcLokgH30/Wp4dLePqy0BcW3HAq1JEk0LR&#10;SKGRxhge4oSAoBkipT0pknJ3ehzWKCSGUzRFgNrLhlz057/pW9a6NZPbpHNbxzDr+8UNz64NPu2B&#10;CQ5GZDgjvj1rSgACipUEndFSnJqzMW58Oi1R7nRXNvLg77fcdkv+B9D/AC61zEepwahBLBeqFu1b&#10;CswwWPT8G9R+VegGZVuXjB52gkfn/hXDeONPWIw6jAu07wHxxz1z+dEldBGVmYOpaMqRqYGLvt3M&#10;D16Dp+v5VnWtm89u5HBUit/SLme6mUCMPK/3QB96tjUtLj0vy2mABuCfMRBkRgcbifrx9a5+dx0Z&#10;08kZao4QK0Muw09ohKcg4Nad/pEwZZ7dJHhkOFcrgH6Zqa+8O3VjaCWQMrbsH0PGeP5Vp7SPcz9n&#10;IxpQYmRfMbYRyAeAa6ezn0xNOQ3LI427cMmSfXj8q51bWWM754gyA4w2cGrf2E+WFAOSvAJyf89a&#10;JWYRujqf+E0gW5BtIbl8RiMA3AjOfbGePat7SfHNnJKtnfRT2shON8z7xn3bqPyxXmp0iRQZXOxB&#10;3NIZo1cZeRiowpPPGc1VyHA94YZXIPFcB8QmxZQr6sx/8dP+NaHgfWmu7Q6dM2WiTfGf9nIBH4ZG&#10;P/rVmfEY/JbJ67/5D/GmtSGrMuaBfQWfhVtRvJliiicpjGd3TGPfmuT1rxbdaqjxHFtZseI1GXcA&#10;8ZPbt0rqfDnhyDX9G0/7W7G3iaSQxKcb2OACT7YP51zHivR7XRtYkhXLAjcoPYVHOuflKVLTmOYa&#10;WWbAQNtHQnk1ZghcLhuD64qVbmKJMKopkt7vQqBx2rQDp/DV0pnSBiN65Ye9dxGeK8g0u6e31K2l&#10;DHKyD8s8/pXrdw6Wlu0xcsq4yAOeTj+tJmM46lnNGagt5ftESSRglWGR608ttOGBB9CMUrkWZITX&#10;BaYfM8ZTSdvPmb/0L/Gu6zXnOlXccWsyTSuFDFuT6k1dNXdiouybO6kWGZJYrmDzIXIOGTeDwO3J&#10;6j0rPl8O+HZgfMtY4ie5Zoj/ADFW4LhJEDI4Yexq0sjdq1cC1MzLTwnp8GZLSecA9BvDKD69P61n&#10;ar4Flv7nzo9RGdiLtkjP8Khc5B9s9K6MiFm3SQoW9WQZqRRH/C8intiVsD8M4pcrDmRwcngbXYJo&#10;5YWspRH91Qx/UECrupWPiCC0h+yWDI4ILeWVc59sdq7QGUcrcsx/21Uj9AKeJLlf+eMn5p/8VUOF&#10;3dlqSJDndEG5IUkn34H9a8ZuH8y5kf8AvOT+Zr1+eaRYpJZEVPLic5Vsg9D6D0rxw0mA/VozFqt1&#10;Gf4ZWH61RNekXvhiyudWurife2+ZztBwOpq1Bo2nWuPKtIwfUjJrL2bbMFTZxXhme9s9SRooJXgk&#10;IWUBTjHr+H+NekZ4qJVVRhQAPYU8GrjGyNEraCMaZ3p5pnemUNNRueKZeXKWsDSv0Arj73xNf7/9&#10;HCKhOAqjc350mxpNnS3l2tsnYuegJ4Hua5m51P7VIyktL2G3p+A6VmXepT3wV2dip4P1FPtYQV3M&#10;hOfUUrlqJDcPLbyeZE/lt1yrEH9K2NH8aXdtIsV+/nwdNx++v49/xqlcKoiICYGOgGP5VjSLzwKV&#10;w5Udb4p1o3UiRW0mYFXcCO7ev5H+dcxFKkp2y5ye9CK725Ug5UHFVF3I4x1FHMHLYum3uDEyxzFo&#10;zjKg9ce34moo0ZcRspGeKIZZFfdk5NXmRpvKAGXOBx7mndAkyiqDeQxzg9BWhY2l1PLhI2x0AxgC&#10;vSdK8M2cOh2+oX2mxwTsnD5OSOzH0J/z1rlNf8RQaffNBZwqXBy2OAP/AK9ciq87tA6FFLWRt+Ft&#10;DtrPVkFzhpGj3p2JORn8MH9Tn0rstbtre7spIbuJZYHU7kYdf/r145H4nuJdXsbgM0fkyAk5zkZ5&#10;H4jIr2jUx52kNNGN4Me9ffjOKiSkmrlXTWh5HfwSp4EtlmQq0EwKKRyASd2fxNZWt+HbnSZ0dY3k&#10;sp18y3mAyGQjPOO4B5r1PdaaiDDdWBcs24xsyYJ+hINdNBFbyWywyQ7IwAAmRjHpxXakc3MeW6ON&#10;ul2g/wCmKn9K2Ia1dX8ORWMcUmmwlLVV2lS+QuOmM89KxfLlUZ3j8Goc1HRkqDlqjSTpUq1loZQv&#10;JlJJ4CsRj68VJKtxEwPnNsIAAycg9+aXtojdGVrmkDTxWR5kuP8AWv8A99GlBnJAEsmScAbzT9oi&#10;eRmvQLc3bC3VgvmfKSfTv+mazhb3+MDzf+/g/wAaVLfU45FdTKCO4lH+NL20R+zZ0i6IP4rn8An/&#10;ANeqs1gEdkEF1IAcblQYP86rQy6gB+8kkz7yZ/rSySXJOfPcf9tP/r0vaoOQih8FWyarJqi3U6TT&#10;IAY3VSF4X0P+z61l+Kb+68MvahVW6W4D4KxEFduOvzf7VapuJxwbgfjIKjkNvOV+1TQPtzjewOKf&#10;tUPkOMPje8x/x4j/AL4P/wAVXp0eiKABNcFj32Lt/mTWJ/xKVH+stB+K1aOr2K9dQtx/21X/ABo9&#10;qg9mJqtvfWk6pp+i3N/GRzKLyNMH0wRn8avWelefZpLdwXFncH70PnJJt/ELg1nNrGmMfm1G1/GZ&#10;f8ajbXNKVcf2pZAe9wn+NHtEHIZnj+xkstEQxymSOaZYnDJyv8QOR7r+tM8PEDSLVW42pt/Lirk2&#10;taRIuP7XsP8AwJT/ABqKO4sbpgsF/bSs3QJIGz+VCqg4Gl5sY/jX86r3eo2tnEZJZVwBnAP+fWqU&#10;saqwUMST6qR/MVlXulxXe/c0gLLt4Y+oP8wKbqCUFfUtzeJ4wP3cSEE4DmXI/LFZt3r10yMxnWNB&#10;1EIx+vJql/wjEe7Jmmz676nHhyTyZEhM8hI5AGazc33NVGK6ENhe3KaitzIjSE8DfLuP4n6V082u&#10;Pawh3ROmSM4/Wuch0PWIJBss7iQDuYmB/lU2oadrM6BBpd2VPDfumPH4CkpSvZFNQtdmhouuxatJ&#10;NcKdjlhmInJUY4/Cr2swrqGkT2/BZl49u4P51yFr4f1W0tvP+zzWlzbufKkljKq6ddrZH+f5bOn6&#10;i95b5ljlhuDwwI6/Q+ldPMktTm5G3oU/AEMq3d3dSQk28MTI5PYnHA98Z/ya9Bkgg1GIPL914pI5&#10;AP7rEHj9ax9MurbQrOVBErpOxd4x3Y9SK19PEbacw3YRTgs3GAT1P0FcFV3ldHZTTirM5+5judGk&#10;+yXuWgX/AFUoU7GHYZx1x1FRy3NtqTLCygsF6+1ddcIl4NjxxzRZyAwDL9ax9ZeETWdsIFYRsXOz&#10;javcDH5/hVyordMmNfo0ZT+H5G02TKKImYIsjrlSScc+w9awdYsGsoLa4EuBLuTrnndn+tey2yG/&#10;0SRYogiSQFUVl9V44/pXKarottOIY7iMS2r/AL2MHtnqPwP6YpO8LMaandHktxdEBlLvk9RnINUP&#10;MGeldf4p0FWvTPZpAhCDzY4hhC3PIHbjGffNcXIrxuQwww7VrCSktDOUXF6nafD+Rn8RgKThYHLD&#10;24H8yK2/GFlLquqWdpE6odkjlm6ADaT/ACrlvCmsWehw393M5F68YSBNhIOeTnHuB6dKt2Pi2ePX&#10;bfUr6OO6ERI8ojaCrAgjj61onZGbjdnc+F1OmWK2zTLIyAnA4xg/561xvxEzNq8cwRlDR9z1r1DQ&#10;rW1vtGN/ARFHKo8pXbOxfVj/AJ6V51480/7MYXE7Sgkg5bIHPauaL/eXZ0Ne5Y89PFNzVq4h2Q+Y&#10;DwWxVTPFdSZztWLFt/x8R/7wr0e9vkntCiudxx8p+tecWxKzxsOoIIr1hNNGoWkU0HlSh1DbVYbh&#10;7YPNDZnITSXKR24MhAAGRiumMqSKAWDA9jXLLoMisBHJLBJnpyP0qZoNesiCrJcoP7w5rkqx5noz&#10;am7LVFrxHdDT9NE8CoJDIqjK8Y5P9K8ztbYyK0h+6oB/Wuq1/ULq8077PPZSQOj7yckjABH9awLP&#10;5bKQ+u0fzP8ASunC88Fd7mdblk9DXh0HUobeK5iRvLdA6lGB4IyOOtTx31/bHbINw9HGDXX26KdM&#10;gRT0iUcc9hVKTTpGJPBrWnjpy/iRRnPDJfCzLh1qNuJFMZ9+RU7zxTRNtbAYYDKeKx7CH7Z43awl&#10;yYAzbkB44Qnt05FXm0Q+Y5ileI54wa6o1aT30MJU6i2GyvNGrGG4HmFVAL8AY796k/tJ189vOYZI&#10;2AY4AHOM+/tTDo96ePNWQfipqpPodyM5if6rz/Ktoxoy+0ZuVWPQ0b/VFOm6iGdfuMsYB7bP8c15&#10;sa3NRs57a3kYsQo4I6ViVz4mnGEkos3ozcldnrN2Nt7MP9oH8wD/AFqLNTX523r/AO0Af0x/Sq5P&#10;Fc6NkLnilBpgPFKDQA6mnrQWpjHApAcv4xmf7KkaZxuDNj8q5lJ1trQGInzuQHz0yMHHpxW14qkc&#10;XokjfCooWQZ/p+NZkNgt7ZsYV2tGuQOu7r3qHuarYXTzALbbIMkNkVK8wH3CNvbFZqRTRkqykeua&#10;6TQNDivUkmuASijIX1qJTUVdlRi5OyMGe5ZgVG40y2iLvuI+UGu98RaRp8Fg1hb2UUKwuoWbZuln&#10;bHJ3Ht/sjjiqumeFJrqNd48uL07moVWLVy3SaZzAjXb87iMOfvE1lKE3YyM9M1t6rJAJCwh8uNMx&#10;pCG+bjgkn61mrZ+fLmJsEgZUnHH+RVXFYIAgcAo24ngdz+Fdj4W8PST+ILCS8VBbK4ldD045AJ6Z&#10;PpWZoeihtRWOUgOkwUomN3HJ7exGK9QF1YWNtHbo6NLIdqoOvuSO31rCrO6aTNIw6s6yQwTo0cnl&#10;srDDK2CCPcGvJ/iH4HUKuoaVHlQMMinOPb/P9RXpEErKAN+FIyCTgVc2+dGVk+ZGGCCBg/pXkQnP&#10;D1BuN0fLtnE7ajDFtIfzVBUjkc819CafmTw7AjckRBT+VY3iDwbbQ6rDqdvCGIBDY6jjv69+a3NP&#10;G3S0X/Zr03VVS0kKMbI4y1v9TbdFLbwTBXKlJTuzg464/wAa2ra9EUTKtoYpiPlUMJEz+OCPwrOm&#10;Nna3E8kzAfOSQTxVCbxpBbpus7VZolOC27FdKqSexm6cUdZe3s1zCiEMsYABBwN3OeeuPXHtVAW8&#10;bMd9xAnJG1t24fXArDsfFdxrbNGIbeBB0IJyv16/yraWOzW3CJ57yY+8SAM1nN3epSdloTR2tiCf&#10;Mvo2Hoqsv9DWK0czsvmzs6r22gD9BV5YWY96kMRUUkwbZQWPn6U5IRLL+8QGJR0YAgn/AOtVxYRn&#10;c5wg6n+lNJ5J9a3pK+rMZu2hR1eGNtEvFWNflgdkAGMMFOCK4/TfAOu61psd9axxyLITy8uCMEjn&#10;P0rtNR/5Bd5/1wf/ANBNdT8PcHwda9/mk/8AQzW7Rmmzy5fhR4lI5trT8ZxTh8JPEZ6xWY/7bD/C&#10;veQtLikO54Svwi8Qd/sg/wC2v/1qmT4Q62T881so9Q2f8K9xApcUBc8R/wCFP6tj/j8gz/u//XoH&#10;we1c9by1H517cVpMUBc8UHwc1X/oI2Y/4C1PHwb1P+LVbP8A74evZ9tIRQFzxr/hTd/jnVrY/SNq&#10;zfCdnJp91qltIRuilVDj1BcH+Ve6kV4vbyxW3ijXklkVAb2UDcwHSR/8aaEzclRZYSjdD0Poexqs&#10;beTy9zEMRwxAxn3x2qzFLFMmYpEceqsDVFr94NVKj5oEXbIn94nn8wMEfU0qkboIOzJ0h3DBFQzy&#10;yWhAT7zhl/Q8H2rTaAYWSJt0bjKsKguLUToF3lCDkEAcfnXI3Y6Y73M2G6vVj3QySRjt5LFPzx1p&#10;8WpXTx/6TPebu/71z/WrUNvewJte4hkXsfJwf0OP0qVIZPJ/ebml54SNdp9MEtn9Kzcmbe6UFktZ&#10;JQTFJLKemVLE0XYeEoTZzITyAyEZ/OrEQv0DMLXG59gUvs3Lgk4demeB65p9tb2t3vJW5icceXLO&#10;7geuAx/Wi/cdtLozArFxNOCo6qprd8P3y3T3NqvVkONwyPx/Ws29sJLkbVuSMDCgrwBTdCsbnSL7&#10;zJXVw5GWH8sfnSlZoCC1a903WpY0mlUBsGNBuVx6kH+fWuw07RBcyyG5+Z5oyr/7IbIOP0FWIbBJ&#10;9TEkcSs0qfexyMc/5/CuitIYrRWkfAYDDE9q6KbvFHLNWkXY41SMIowBWNfWtveTNHt/dg9Bx8x6&#10;kY+lXZ7vepAbanU49Kgs0LhXP8TE1pa+5N7HOa74WijszdQM7KvMiMcnHqK5NPBkWszrBbBfNc8E&#10;jOBXpGog3TtGP9UF2Z9+/wDn61peGtC/sm1eaYqtzMxZguCFHZef85NZ+xvK60NPa6WZ58/wNcad&#10;5jatH9r252CE7PpnOce+K4nSPAWtatqU1sIvs6RO0bTzA7Aw/hBA5NfRlxf5BUDBrNUxpuYY+bBY&#10;D+8O/wDL8quq+RaE0/eepxVt4dbw5o9mLmea4RV8uUQsUCkknBGeRnj+lc78Rnh/s20jjA3SPkAD&#10;nA5r0rVDHeWMtqVGJQc59exryXxgltp6WiXV1510wwqKflQZ5/wya44u87nVdctjjNQtnhsYmkGC&#10;5yBWUK09XlkkdRIenQelZyDJruhsck9yaE7TursvCutqpFlcN+7c5jY/wn0Psa4112Iue9WtPB84&#10;dcVdjNo9vs7qZAFMhdf7rjcP16Voie3f/WQbT6xnH6HNcX4Q1dbxZLOU/voOhPVl/wDrV16oprkq&#10;LU1hsZHiyK2fQbp45kBWJyFkUqfun6j9a80hGLEgdS6foG/xr0TxigTw9dt/sY/Mgf1rgrJCy26D&#10;q1wFH6f41vR0gZ1NWdhL4Xe05sb2aLHYMcVWafXrEHMkdwo/vrgn8q7ySRm/1sUco9SuD+YxVV7W&#10;ymzkywH3G9f0wayhKXUqSXQ83064kstdl1O4hYPIzMQvIGc1vQeILWfJUjOcYbg1bl0y304T3d1d&#10;2r2+DglxkHPHynnNcZqWsWu5hDBHjOQ7d633M7HWnU4vT9akW5Z+UFeYXes5x5J2+uDUdn4nv7KQ&#10;FZC6g/dbpRYLHc+MHk/sVQ+MNIOn41wNbOp+LBrmmR200IjnifduDcMMH/61YuapCsbw16/vZNxe&#10;ZjjG4gLxUM+ratASQ7sv1B/lVMTXEi/MgI/3v/rVRuxIDycZ7ZpXLR0Fv4onXHnJnNdJp+ox38G9&#10;Oo4I9K8yS4mRSN2V9DzXR+GL7988ZGCe/rTTCx226mOeKYZFUqCQGboK2tA0FtZnd5S0dnCN00g/&#10;kPem3YlK55Nrkiy6s828OC+3y/p0zXpvwz0i31BJri+iQsXCrE6AIq4ByPrmvO7jTzJrEkOlpI8r&#10;ymKNSPmcZ4IHbPFfR/gPwz/wjXh+G2mC/aHUGU9cuev4dvwrFyVzZaGVqXwq0S6VpLYPBNnIAO5D&#10;+B5/WuZfQBpLSQSx7CAR7MPUV6+lmkUWyBjGM545H5GsrUtCbUbfyrkRy/OGDLlDj8zXNOlJsqFR&#10;p6nlMNtHcXplnYusYCRhucCut0PS0uyZZEP2deBg43H/AArSXwlp1tdiTypFxz5RfKH8+T+da/AG&#10;BwBV06NneRc6t1ZHI6z8OdE1rUTfTLJHKw+bysDcfU+9RQfDXR7aSKVAd0XI3qHB9N3TNdi0gUZJ&#10;pqybmyxwOwraUIyVmYptbHPDwdYbi629kHzuDC3wQfUEHj8KxNR0WG6lgjO6J45RhweU554Hrx1P&#10;vivQvMXy2Pc8VkajpVrfwFJFIbqHQ4YH61yzwkbqUOnmWqktmPsLCOC3UeUGwOXb5iD+P9Kr6rC9&#10;nave2xVkXmTB3YHqPp3rK0XQ72w1CZp2S4gIBQu279DyD9K6rYrccZI7jr+NbSpQqRtJEczTvc5B&#10;NVjmHzMDnvUZcKXETDy352+h71HdeEPst/LJBqawW8jFkhki3hfUA7hxn8qtW+kQxDD6pGx/2YiP&#10;6mud03F2OhTjY54eFrnUL2S6jtw25uGJH04qHUvhysdrJfXsEComCxDsCecdhz1r0G0ntbWJYo75&#10;DtGOd3+FVNavftlstss5ljJDP8xxwcgc+/P4VtaMY3vqYuUmzgLDwzYWkyzQ24WRc4YknH51qiAE&#10;7EHHrV8x8bVFSpbhFrG7e5ZREIQYFM8os3Sr7R1Xu5RaQEr/AK1h8o9PerinJ2RLdlcwNcmJxbRN&#10;gRnczD+/2/L+dUzrcIjDSbEPcGQDB9KnnTIOetcbqXlDVpI0I8zYrNxz6fyx+ddiVlZGF7s3tQ1d&#10;bixuER1RWjYcsMscdMdv516D8O3DeDrT2aQf+PmvHYPIV289gFMUgXPd9h2/rivXvhwceDLX/rpL&#10;/wChmqQM7IdKMU1TxT8igQYopM0ZoAU0lLkUn4GgYUmKXB9D+VNLBepx9aAEIr568Vutt4o1ZpCV&#10;BvJecE9WJ7V9AvcwIPmmjX6sK+f/ABffQTa3riRMssdxPhHU5GRzn370wKel69BZ3BKysUcYYBTz&#10;6da6q2hYxhpB+8cln9iecfh0/CvM7Z/ssyT7dxRgdp6HB6V6tYSR3drFPH9yRQwz1pAy7YXH2cmK&#10;TJgc8j+6fUVpS2+0gjBB5BHestlWKJpXOERSxPoBWN4J8R3eo3d/b3K77MMZI27xEn7v07/nWNWF&#10;1dFwlY6tYwwwRSfZmHCsQD0IwcfnxWiLcHBBUqeQc1KsCkckVyG5BozNa/aIrvyZ4ZCpB8oIwIz1&#10;AwPxAFbf2XTbmIB7axdQOsiAsPrkZrJa3Cc5FOXcE+VuKam0JxuWpNF0cZYLbqfSNyv8jWPqFppg&#10;VgkjxyAfKysxGe2Qc8VPIpPRyPaoWtg/3sEehpOpfoNRa6l3w7qMcYVpZFUOmFLHvkcfWti5nEzb&#10;3Pyqcqg9fU/4Vxd1oImjIjnnjRuqIRj9RVvQL6S50VEvpme5glkgd2JyxRiOfU4Fa0ZaWZNVXd0b&#10;FxMSoUcFzgD2qf7b5csVpGGZuPMKdUH+NVoLKe5WW5DiNYwMZHJyccf/AF6tWLW9rKkTIcFvnI5O&#10;O5rSU7aImML6s37Kxjk2uFzEORgd/wAavTltuApC+5qYvElupgO6MjjZVB/MlbiCRvrgf1rpRiQS&#10;Ac4OapniYjs4z+I/yK0vsszdY0UfmawPEOqR6BaG5kUyOpBSNep5wfw561nVhzRsVCVmGsN9mspJ&#10;87diFvyrwG/FzreoPczNt3n5QewrqPFfxAutZs1tY7UwRliZCr5MnoOnAH61w8MnmHB4X0xkVjRp&#10;uLuzWpO6sjQfRpZdqLcxEqMbS3NINFkt/nlIK+qcirtnZJMinc65xh4zkf5/wro7XTnYCOSWJiOA&#10;w+U59x3rqUTFyOOfS/tDAo5wOAFwcfUZpYbKW3cnj5e//wBau4ttHge5TaAjnoQev0459/rUt/pV&#10;ujqJCpVztkT0J6MPTtx9PWjlYXRxVpqjabrEOoICMELKg/iHf/H6ivXLe7SeJJonDRuoZWHcGvLN&#10;R0GSOS4RG3BRyD2GeDW54F1SV7WbTpwQ9vhkz/dPUfgf51jUjfUpM2fGc5Ph+4XP3ig/8fFcrpAz&#10;f6WnY3ak/wDfSf4Vt+L5CdKAP8UyD+Z/pWRoq51TTP8AroW/In/CqgrQZnJ3Z6o0wrA8Q+JrXRLY&#10;g/vbpl/dwjv7n0FJresJpenvcNlm6Ko7mvJbu8uLy8lurlg7ucnmopq5cmWbnVrvUrk3N5IWcn5V&#10;xgKPQDtVS4YuM849M0ecjKNqc9h3pOXyzhfZRWxJREYdiOM0ksICcdanI6jIz+gqJ+vXikMpYZe5&#10;qxFcsq4JzTHAOKaU9KBG2kmR0P4VBcoHOQSPY1Gkrwja6hvQ1HJMX7hRQVYYynufyra8MRF9WjUD&#10;jDE/TBrGD7iAM/413/hHRXtrOS7kTE0o2oG7en68n6VnOaiXCNzc07TZNX1qws4gcucOwH3V6k/l&#10;mvUPFGp2PhHwnKUjVAFEMKAdWPH+JrG8A6d9imubu8VUmH7pAT0xyx/kPwrz74t+JY9V1qKztZvM&#10;t7Uc4PBc9cVcpCirHU/CzTNOunk1SKBBcJKyg4ztz/8AW/r6162qEHJYn2ryj4M28sWmyTeW4jld&#10;ssRxwBj+tervKkaF3YKo6k1goRb5gUrocxCjJ6U0SBuhrIv9aiULGkbkMeGOFB/OoNM1NLlJGjY5&#10;BAKnqKKkml7u4ozhJ2T1Ne8hM0Q2/eXkcdfasR5ieEGfc9K6LP8A9asLXR9hX7UqsYmOGCgnaa0j&#10;K42UXlKfNIVY+/GKqTagqjJO1T0LcA/j0/UVTm1qAgjy52PosRJrnL/WEZmNrbXJkP8AEo2/qKp3&#10;EmjqjqnyqA2QP8/561NFf7+teatruoQvsFtliflBySf05rXtrzWlkge8tlgtycOYwXfJ6AKOnv1+&#10;lYynZlpXO/gcFtwJY+gFWfMKYGeQOcGsTw7pmq3NiX1C9TzhIQRAgVduBj7wY56966CPShGBkoxz&#10;zv3P/M4q4yurmctHY5jX7q6nSKOw0571w+ZCCVUD2bBBPtUFrBdvhZfDt4mer+fEQPrmQH9K6qdN&#10;RUP5cSvtb5Qjqu4fiOKpCa+BJuNJ1ALjPyzxN+A2nNHs7u7DnsjkdSvxY30lmumX8kyY/wBXFlDk&#10;Z++Rj9altZbmZW863EGDgLlWJ/IVtamY5pEeKC4iONrCb9Ocn3qvHBtGTXPVdny2saw1V7kKoQM4&#10;GfoKGLE44x9BVlh2HWmbABknAHOTWdyyjdzraW5ldVY5wibR8zdhXmlxrF7D8Q5I79/3M6iKMD7q&#10;g8rj8f513Ukpv7s3H/LFMrCP5t+P8qwPENjYm4ivrxUVBE8DTN/yy3DKv+ByP+BV10YWV2YTld2H&#10;3kiwxPI5wqjJrzK9laDWzcucrKdx+h4I/D/Cun1LWl1HSLXynDO+GlxxyDjH4nJ/Kuf1SHzbbcPv&#10;RnP4d63IQaidrWuD1mFbGma1qWnWwis72eGNmJKo+Bn1x+VYDLNLa2ZZCGjf5geDgdOPpV6A5iUj&#10;puI/GgZsXPijXynyaxeqf9mdhVB/EviI9dc1L/wKf/GoW5FRsOOlADm8Ra6xwdZ1E/W6f/GlTWdX&#10;L7n1O9bCk8zuex96pMp8z7p/KpVUkgYIzx0oAnW+1AtIGvrkjaw5lY/1qs01033riU/VzU3O6XAI&#10;yD2/2hTNjf3T+VAEBWRvvMT9TSCImrIif+6aURP/AHTQBXSIhx054/Pio5lIMSn++o/8cq4VZXQs&#10;CFDAnH1qFo91xGpwTuDD0OFoQFFoRNqCW4+6Dhv5mu70O8EUwtmOEc/L7N6fjXKafahGa78wSbjt&#10;J9CQGI/WtMNjndj3FAjqvEn2mXSGsrJC91chgqjrtAy39B9TSeCtK+w+HYpGXEtz+9bPp2H5c/jX&#10;Pwa/e6h4lis4VQmWH7Mz90B5Zx78Z/CvSY40SNERQqKAoA7AUCI7a4Nq4SXm3Y8N/cP+Fa2zByP/&#10;ANdZzQhgVIyDU1lN9mkW2nb90f8AVOf4f9k+3+fpyVqdveRtTlfRmgFDCoWhKnKjirnl4OMcinhM&#10;iuc1Mx4iykD5Wrk30bxz5zNDeC4g3fK/lqgI/BOtd29ua1rG9hgtEicOCuc4GepJq6dr+8KTdtDh&#10;dAsdehvJW1iUbVUCOJDnJOeT8oxwOPWo9QtbDQYru6u5YnjvLgyxiVOFLAbgCfpn19q7u5FrdSlx&#10;NIhIwQYwQR+YqtHYwxXizvqBKjOV8gru+vzHn3xVO17J6FRatd7nP+HdUkvNIuQVlZo7XeHdSA2C&#10;O56npV1CLaNpJGBZgDmtK7uSjXEdrH9oDLtJRgroCOcZxn2rnRANX0qVZbmSNwxXKYVlIPIwQRUS&#10;fRGkesjA1T4nzeGtUVLMLdKT+9t3Pykeuex9/wCdd/oHxP8ADmu2RlSYWdyi7pLa5IVh6kHow9x+&#10;IFeQ6t4BubW6R7GUzw3MoUyXDKCjH1I6j8Pat/TfhFaXNp5t9q2ZCMbbaLKqfctgn8hXbRtypXOS&#10;rq7tG5rPxYF48lrosiRxDIa7255H90H+f/664bxHrsz+XJPNNOcHcZHOWPYZ+pzVK98P/wDCKeK4&#10;rTUFa4sCfMzHlPNj/oexH69DVDxHMl9dK0QVY1JAC5OFJyPrVshGO9xJPL5knOTk+n/1q0YdMkJE&#10;sII77wM1TsoA06xSoRuOMg8/r/8AWroXFzpKgW8u1uq7W+9+eCD/AD9TTigbLltDNalJ7nTk2oP9&#10;ZACpI/2hz+oqK41KFrjyZHZQ4/dTZx/wE5zg+nUc1kTa5qSSebHcEvH1I6j6j/P1qpdarHqQLXCb&#10;ZSfm5OPr7VXMKxPfX1xApjZiyk53qTyex9j/AJ9qnPie5mtIDIw8+FwRL/ex03D+dc7LM4JjYllB&#10;4zSAkA8Ep3I7VN2Ox6Vp3ie01GcrPGI3MBTb688ge/AP5imNZpp2sRXtngoUUSgd1bqfwwP0rzpm&#10;ZHVlbHHUHvXbeFtbM6Q292+QD5YY9FGP5cUXvoxWsaHi9s6baj+9cg/krVS0IZ1jTx/djY/+hn+t&#10;O8SzGaK1XAGJGJA5HAxU/hm1nuNXj8mGSTy4MnYhbGR7fWklaJL3GeNvNZYOT5Yzn0zXBmQA4Fey&#10;39hHdR/ZrqHO7gBlwRXA6j4JlhmZoHLKTx7Vl7SMXZm0YOSujmFPJA645NSqhZtobCjv61sjwtdQ&#10;oWcEjGTisy4tpbaH5lKtnNXGpF7A6cluQlVbIBwO5qBwGxjGKF3FAp70jDnA7VRAwQZ5JqF0YNUz&#10;PtGAeKgZiTQBpyRvNcrDDG7v91VVckn0A71WeyuY7jyZoXjk/uONp/WvUfCeiWGn6q098Be/ucKZ&#10;U4DcZwD7HrXaJBoLkCPSrQfSFR/Sud143N1SZ5b4a8KqClzeIWc8qnGF+tdvEkVrfW6yRSTknKRI&#10;B8x6Ade/StrUNEiS2N5p6bUUZeJf5is3wttl12S/vHG23X5Exn5zkDA9AM/jis4RlOXNLYupUjCN&#10;kdVNpK3nh9LbU7ZTOdzMqMSVLMTgEfWvPU+Gf9p64gCT21kG3SPIcsw9B/8AXr12zuYbiVSCcg4I&#10;IwRWjPAqoGTuenanGM+fe6MoyTV0VYbZLCzjt7SJYoUGFVegqeHaYmjuSGWTgKf88U58NCMdahkI&#10;QBd/IrSpVUGkxvVWKNzYvJIVa4YxrwnHIH8qxALjTdd3tveKc4Z8HHJ7++a6KN89CGA7iq8/OTSS&#10;UtUZOhF2a0Z0MLiSJW4pt1brdW0kLdGGKzLPUEt41SQOxf7qquSavR6jDIcYdcdcjpV3SHKUYuzZ&#10;51ewrHeyW8luXlRtv7zkD8O9Cx2yPmZ03enf8AK6PxHPo/2uGWaKeZ87JHgQsiD1fHp+NXIrC2gj&#10;3WxtlAHJBA/Wr9pfYXL1OPhsriSYyQWL5PRmXbgexNa1npMkuRdBQg6qDnNastwsTYSQOfULgfrz&#10;moFuQFwG4zXLNRve92bRvbYWUi2dfsjyLJ93CDOcnvmmPdXina8kqt6HINWILO7mukZLaRUU7vMf&#10;CgH2B5P5VrytaxQ7b2WE45+Y9KtRbW9iZNX2OZae6kODPKR7uajkY/dyWb1NaV3Nphjb7Kk7Njgo&#10;PlJ9yapQwk4ZhgnnBrCaae5UWmQrFkZbP40pXvVplH4VGyZqCiqEyaydZuCzLp0TYZxumI/hT0+p&#10;/l9a1r+7i0ywku5SMKPlBOMmuZtG89PtRcSNP+8L+ueR+Fa0oczInKyJGUImFAAHAArM1O3jvLCe&#10;3mwI5EKknt7/AIda1JOa5HxtqJstEe3jbE1yCg9l/iP5cfjXecxw3h6JLuWa0kuYYFVfMVpWwCOM&#10;jP5Va1CNUjlWKRJQOA6Z2n865yGTypUk67Tz9K6KRsxcHORxSLKkEkiRKxDO5kxjAye2B+lWIAQd&#10;uwpiRiVPUH3/ACpjRMIUKsVYNkEVcijkFpGXkZzlvvHOOc/1piHilIpADRg0AQMPnpSuRTyhz0py&#10;xk8UDGtbugeQlSMAYB5G7B6fhTAK0ZIVzOAOgGM9ulU9lAiOipNlJsoGQOMiqs0SmMM0ybg6qIsc&#10;kYPOc9sY6VfZKjktVV1cqNxwc0AVrSIRlu1WJZBHEzt0UZpAm16p6xLtgWEfekPP0oAb4c1dNK12&#10;C9nXcjMRIe6qeMj6Z/SvbIiHUFSCCMgjuK8Ds4vOu1H8K/Mfwr1PwVrHnRHTJ3/eRjMJJ6r6fh/L&#10;6UEs7FVqKeISDaRxVhRVTVLxNO0y5vXxiGMtz3PYfnik0CJtC1u2vZptOM6tPbv5ee+fQ/0Ptit8&#10;Ie46da+atK1a+g8Qrd2zF55ZMMnaQE9D9f519FaVqBul8icgXKjg5++P8a4qtPlZ0Rlc0FUMMEU1&#10;4McrUoGKkXn+tZFFRQOhoYAcNjFWZIt3zL1pkmtW+kadLPqVjFLHCuTLHFyR7jB596qEeZ2uDdkZ&#10;N3aCYsVlXaV6Dg5+uRWattb6bYy/vFUZLEAgc/QVdf4o6DsDRaQZUJwGAXB/Sqd58TdOuYDE/h+C&#10;WM/wysCP5V1LBzJVc52bVmuLQ2sLM4mlQr8vJCuGLc9vlx9T7HHS6Lfyi5ZWjcIYiXLrgYyMHn6/&#10;qa5GbxLpF1dN9p0OJLdjysTjGO3y7QD+JrrdFbQruzf+x402rjzI4Ywm0nsw4B/OolRnSabWhXPG&#10;asct8RdShmuLJF27o9xEikcZ7ZH0rhja/aZFYuA6fKcnBI9M+v6V0Pj+zjs9St447WOFJIizCNcb&#10;uT1x3AxXMRzmNl5DqOAx5yPQjvW8ZcyuYtW0LqjyrVpGCtt4yy/ofQ/h/Ssq71RpiVcDGMDByMVZ&#10;mcOd0Em1sY2E8/ge49jWPKuWOSPx4q7kjXnfdknJH3WzyPxpjSFz82AfYUjRt25+lMKlTgikA9mz&#10;nPfmhOcjPQZpmeMGpIid6svUHNAx/wB4Adep/StW3b7LbIqn5nbOf0/xqXQ/DGq63ciK0tmBeN3j&#10;aQFVcAcgNjBqS60bUI0ZntpUihk8qViMbG64Pp1pXA1b+X7XbWz4xgFs/h/9avW/BmjDSdFR5Fxc&#10;3Kq8meoAXCr+HX6k15J4XnhvPEWn21xgWyyBQp6E84B9if517rHKeh602yWivq9rcXNuDBKcJktC&#10;fuv/AFzxxXKSKs0Ydcj1BHIPoa7gPXL+KNPKL9qs5p0uG6QphkY9ztPr7EZ/PPNXp8yub0Z2djCk&#10;liiUqwyemK5bX44Z4m2qMmr019dFMXFvEG/vxt/SqEo80YYZ+tc8U4u51PVHIyWwXp1qFocjgiun&#10;udPBQkqE4yM9T+H+RWE9q5k2r3PU10xnc5pU7GeIc9s09bAvktkemBmtb7GltCJGXe2e/StCBy0Q&#10;wrREdQRQ6ttio0b7natYuqi4tjGY5P8AlpnarHvtA7ZPXGKcYdQs5kLSpIhYK3lk4Q+hyB6H8q57&#10;wVLqVuyEJHLbvu8qMhiY39geMdTxkZP5dO1xJ9snsZ5YyQdzHdhVYjJZj3I/pxmuCekmd0FeJ22h&#10;kvCFc5DDvSW2hjT3uBAUPmybsOvRfQGq/h248yBSeo4NdNOmUWRe1dNKWhxVqalozIt4Lq2vwwXd&#10;GOGYDAxitue+jS1Mkg+VRziog6mIqevaoeMFCuQevpj3rpi0loznhS9mmkVn1Y2tyj3CCCFhkZOS&#10;c9M1cSZZfmOee/rXM3mnxX99tWeQQqeFXt+JzWzbqIIUiVmIUAZbrRbmfvIml7RN85pZj/hYYqCZ&#10;fkOPzqtcyyR25eKMO3v296z5ri6hxLHObwNwsSqVDH6DnFEpKKKdRRkompFhUcyTCFY/nErHAX1z&#10;WLc66s92sFs5+zO2HmK4Zh7ZJIB9ev0rH8RXHijVHjhTRyIEHIWVUUn1wCxP4n8KoJoXiIoHNtjH&#10;Qb14/WuRyclZM19nByvJHotuYpLcRoqqoGAAOKgZIrWMhVVQOwGK5uz1O+sERL6zuUboWWIup98r&#10;nFTX93e6gBDZW0jbury5RAPcnk/QZ/Cl7RJG3ISX+pRW0bSSvgA4AHJJ9AO5q3o8t6YVuDbRwyHl&#10;TMdzL9AOAag0/QVhdbm9k+03I6EjCp/ur2/n71sLz9KSk73IlbZCSfaZz+/vJnHop2D8hUYhij5S&#10;Nc/3jyfzNTk8U0Jk03JsmyIgpdsnmptoAp4TAprc0AQt1poAY9cAdTUpHbvWLr16Y4xYQnEko/eE&#10;fwr6fj/L60kruwPRHmPxT8UtPIum2pIiI5I4yv8A9fH5D3q54A1X+0NBFu7ZltjtPup6f1qj8RNF&#10;83SotQiX5rc7H/3T0/I/+hVR8KafdeHPsOpXL7Yr1/Jlix/q1b7hPvkfhkV3048qOeUrnorivKPE&#10;Guw6lqsxW3MsaHy4nzxgdx9Tk13vi/Ujp+hyJG2J7j90hHYHqfy/UivLREyjpmrEjKnjEU7oPunp&#10;9K2bNJPskayqVYDoeuO36VTlgjnmAdmQ4PIXJ+mO+ela1vayWxMMrbnQ4J+gAH6YpjHvHiMVbjTN&#10;on1qJl+WrMPMO2gCLbS7asCKniGgRT2c1JFHmQfWrHkU9YtpBxQFxGT5pfcVTMeD0q+yEkkU3yTQ&#10;Io+WaTy6v+TR5P0pjM8x80XCjeuOyirrRgdqrTDLUAVHUDmsnUY1m05dQCH5X8rcG47npj3Hfqa2&#10;nQY6VNpVgwmQ/Z7l7Zny6xHaDkdeSB6UAc1p9u8cLO42sx6H0FdDY2VxazR3ccoRo2Dq+COn15IP&#10;I5rq5NKsoXDW0G6TAId1AI/mao6nHFHZOrL+8RgykHrn8Og5ptWVxJ3djtNLv49TsI7mLjdwy/3W&#10;HUf59q5T4kXk39mLp1sju7KZ5wgztjU4yfbJ/Ss3wrrZ0/V3ilb/AEObiRieI27N/T/9VaGl+IdN&#10;vte1i6kuE85sQwRvxmFRyRnrk5JHtWcXdFSjys5X4daQdQ1/7Sy5itV8w/738I/Pn/gNetPGysHQ&#10;lXU5BHasrwPpUVnoj3UcIi+2ytMqD+GPPyD8uf8AgVdFJH3okk1Zivrc0tOvlvotr4E6D5h/e9xV&#10;0Ag1y5DwSrNESrqcgiuisb2O9hUnCSHOVPcjqRXDUg4M6Iyui0vqPxoeIOOKUJzwRmpFHoagZzN1&#10;4N0O5uWnlslR3PzmI7N31x/Onr4J0CMbk09T/vSO38zXRSAYzg1Gh2jg5X0q1Vmla7sHKt7GMnhz&#10;SIuU0yzB9TApP54rQt7WG3UrDEkY7hVAq0wBOQKaRipu3uFjzL4qWhkitplA/dg5PpXk+5lOOnPe&#10;vdPGFk+o2MiRgGQk7cnArg/E/gNNL0C21C1umnl2AzpgAf8AAfp710UqiSswnTb1Rw/nHJzwRSSO&#10;J1wwyfX/AOvSXEZGJApAI7jGaiIZRkAED3zXSjB6EboVP8X5VF+J/KrSyDb80WfxIqGQg8qNo/3s&#10;0CI8VY0+yur+9itbOF5p5DhI0GSarsMNivRPhP8AZEvtSuLuKPEcKhLiQf6sknOPQnA/KgD0TRT4&#10;rsNCsbS/tIbTyVWIyKVlAAGASFPp1wa0ri/tUR/tsSMLhSkzQbWKk8Bv9pe2PQ9K5nWfGMyN5MU7&#10;JzgPHzu+nWvNJdc1fWtRkie8ZIVkK5wATg8Z7ZqZRUlYItp3O0vPCH9n+KtMuLZ4ora5uNwiXIaN&#10;lUtgA9jtPp1xivSoS2BlsnHWvLtI1KSO9s0mujP5EqlN55UN8pPJ6YY16YrlR82VPfcKUU0rNjk7&#10;u5dVqz9XsZb2AmB1EgXG1u/49qsiXbgt8oPQ9j+NSBuKbimrMIycXdHlswgvriaS+hIcEb2KncTn&#10;kkevr/8ArpZLOG0+6QF7EU3xF4m0qbxK8VriNB8r3Kt8sj/Tpjtn/wDXVa5uhJF94MPUHrXJOLi7&#10;HbCSkineTINxzmsWSbMh2jj1q3cPESczIPYtisq4uYIc/vVP0OaIoJNFlr0R4YjPtmqk2oSyvuUh&#10;B6CqJu4Jnw0wUdgQRU+xcDBBHqDV8ttzPn7HqM8d9aX7QRGYSbfnuZj0T1B7L796WXSNQmH9o6Ks&#10;M235CZPvlgOSAeMenevRL6wttVia1uP9JvJSMuhGI8eh6cflTbfRnsLdorfbJArfIUXGRgfnznnv&#10;XNRUZy1OirNxhocr4Sv7uS4nivo5UuVIL+aCCc9/0r0SB98G01zQJ+2qrKQw7EV0lt/qxWrjyyaM&#10;ebmVypNMYOCPl7VUkvoX3RvkAjkZxVjUU3o6jgkcH0NeX6hreqQXJEunXMeO7RkAj1HqKV30BJdT&#10;0SJbcHMYPPvVkbu1eY2vjgRELKpU1s/8JpCqjM0St6PIAf50/auO4cl9jsft8dvMI5pRvYZWONGd&#10;8euFyce+Ku2ptWQyRKVyeS0RQn8CAa8jbx7Hpd5PKZ4JVmYMZFcM49jjkgdvbjtz2/hjxXD4ghfy&#10;DlkxnKkZ+metDqOWjE6dtTqTsPPJ/CmlC56nHpisZvE1jY6ymmX58ieVtsRk4Dk9MfWto3ESSBHk&#10;VSQSpzwwFRa4OLQfZ8/xfpSGJEPJye3FSR3EcsZaJgwBxketMKlj7mpaQEeAxxuP5VJ5YA608IFH&#10;vTT6UCGbVHr+dGQOx/Og89KcF9aBBw3Y/nT0gVgSSwFLHHubHapJnEaHkKAOST0HrTAzb66hsEDN&#10;yWbaoJ6n/wCtXIIJJpXnmOZJDuY0t3qq6trU0SBzHbqNpx8oz7/3j1x6EVZRMCumjD7TMakuhXvb&#10;KK+sprWYZjlQo30IryrWfEs9npcmhTW+65Q+XLI/QbW4K+pOAc/zr2ADivKfijpiW+qW18gANyhD&#10;D1KYGfyK/lXSZI7/AMPfZtf8MWl1dbZS8YDkjGD0P8iPxrD1P4ezzXLTWF7DIjjO2QbcH0+UYx+F&#10;cP4W8VXmj2ktpBHFIC/mL5n8Jxz7+lbsnjXxBP8AduY7cekSZ/Vy1Fx2MzX/AAhqOjSQS3bKokJC&#10;tE2Rkc85ApibmYsxyxOSadcXN1fSeZdXEs8n96RyxH59KkjSgYm0ntVqGM46U1Uq1CmKYhyxn0qQ&#10;Rn0FPUcU+kIiEZ9qcI6k5pcGgCLZSeXU2KXbQBCIs0eVVjbRtpgUpI+KpSpzWu65FU5U5oGZki8G&#10;ur0y/h1K2RYAvnouHtwQHGO4XuPpmueaPPUUfZoiAWUEjkZFNOwnqdVJDdSKFjtrpHz/ABRED9RW&#10;X/Z135jq08CnoVlcgj24BFZ73EuzYZXKjjBYkVU37egA/CnzAkS6/Y21noVybm8tjK2BHDbsD824&#10;Ht24rjtC099Y1y1sl486UAn+6O5/AZP4Vb8Q3Rby7cH/AGm/pVbQNWbQdZs9RVN5ifcyeqkFSPrg&#10;mpKPouGFIYkijUKiKFVR2A6CnFKbZXMF9Zw3ds4kgmQOjDuDVjbSJKMsfFVGMkLK0bEFTkYPQ1qO&#10;maqyR1MoqSsxp21Rr6bqCahbhlI81RlgOh9x7VoL8wyOveuMt4/7Ol8y1Hl/OXwOmTyePfnP1NdX&#10;ZXSXsPmxnDj76eh/wrhnBwdjpjJSRcwGHvUDpsOR071ODu5HWlxu4PWo3GV14+lOKZGR09aGTafb&#10;+VOUlaEBz80YfcjfwsRWBrihdOlhyGUcbfrXSXmI7uVR0Lbvz5rMv9PWSza7kJwgYqPcgjJoZ0QZ&#10;5EbaNrlrPaCrr8o9+a5ue3MMpjbt39a6WQN/wkA8vnY4Ax9cmqXiO2Ed63GAehxXXSl0OevHW6MM&#10;+nJpjKcfKv45FOBXp1+tG1SMscCuk5SFm4A7gcmrmla3NpErhVEkUhHmRk4zj3/Gq5j3LwMA9Kki&#10;s1wXlPQZApDNWfxFHOZHhiZZSMAFqdZqItFmncZlkkyfY5rO06zRrrzH+4CAM/WtO5kVNMkCHIVl&#10;AppWAoPfSvh9x3evoa7zwX8TZtNZbDWs3NjjCMwy0X0Pp/kV52qZhmbvs3jH1FQM3O4VLGfUtlLp&#10;OsQifSr5VLjO08A/gf8A6/1qC5sXu7K5tlYRmSN4wyHjJGMgdvwrxnwL4g+z3q28km0tgDJ+V/r7&#10;9Oa9jtdWhePB+Vx1Brmq1GnY1hBWufOeoW81neTWtxGY5omKOp7EVnszAEBiB3Ga9k8eaLpuuKbp&#10;JFgvkGBKBw49G/xryC5sbyCUoY9+D1TkGt4VVJGcoOLKu7qKYxzWjFoOt3HMWkXsnrst3P8AIVnu&#10;CpIYEEdQau6IIiM8GkBK8AmlzzQetIZ9UaTrNtKhW3ytufvO5+eX8P4V9upro11a1SMNNLFEnq7B&#10;R+teCW880S7Y5ZFHsxqwXZjlmLE9yetYU8Nyqx0Sr31PW9Y8R6CYPlvo5J15QRAtn2yOP1rIPjqC&#10;KPbDaSSH1dgo/rXnq5qwlbKhFbmbrSOnu/Ft9c52CKIdtq5P61csfEWmpp0R1K8KXgcoqqCXmB6K&#10;qryfTA9K5EZra8LeSNaUyxRtIY2EcjKCynuAe2QP0p1IRjBtIhPndpHTqQYvPulWCMncFkUBhn+8&#10;3r7ZqQu7jMeAp6HGc1YksDc3heZoZbQxhfs00AddwJ+YEnrg4/Clj0LTFOU0zTRn0s1zXmu0t2bw&#10;hGGkUZ0ul2dwcz2lvKfV4lP9KqvoMVu3n6VHBZXQHyvHCAD7MBjIrqItLtk+7FEh/wBiGMY/8dq2&#10;tsi9D+OxP/iank8zTmZ5v4lull0l4NftG+1eU/2a4s3IcMBweOQM44PFaehzanceD9NFxbyNqCDy&#10;nSQgE8EBmz7YJ79a7C4sbWco0sMbsjBlJRc5HToKkSFSxbYu8/xY5q76WHzeRR0u0ntrVI5XDN1O&#10;B3rQ2hB71KFEYyepqBiWNIljTyaa3HFPPyihEydxoEIqdzSgbjgU89cVIibVyetACYCrj865zxHq&#10;BwLCI/O/MhHYdh/n+tbGpXqWNm878kcKP7zdhXGxh5pWmlJaRzkk1rThzMicrIfDCFUACrAWnImB&#10;TwtdyRzEe2vEPHuuDVvEskcbZtrTMEfoT/E34nj6AV6v4t1caLoE0yPtnl/dQ+oY9/wGT+FeDXsI&#10;jKuvQ8H60DRHBIbe5VvQ8/St+C4eQDER/OucPKhvTg10ejT+fa7Cfmj4P0oGXoQ7EZXFXEAHFMRK&#10;sKlACouasxrTUTAqwgoEOVKk2UKKlA4oAYEp2wU8ClwaBEWyl21LtpNtAEe2k21Lto20xkLLVeRM&#10;1cK1C65pAUWjqJwRVx0qB0oApsTUDkAEk4FW3Sql1bPPBJEjbWdSoPoaARxt7Obq8d+xbj6U23jS&#10;4vIonYpGzhWYDO1e5/Ac1Nd6fJp/EzozklQE5HHGQ3Q9+lJpyHzjIB93gUDPePDN1p9rDHZWTqbV&#10;+Ydr7lB9M+/8/rXT4r59gd43EkTvC4IO9CQf0r3LQ9YtNZsRLbXCzFMLIQRkH3HbNBNi+VzUEiVb&#10;IqNkzQBnSR57VFBPLY3AljPTgg9CPSr7x1UnRVRmcgKBkk9hUTgpKzKi2mdLbXEd1CJounde4PpV&#10;jgjNeWeEfHcV1q89m+EkDsY0JwJYwen+8P8APevUYZY54lliOUbp7e1cDTi7M6U7j8bxg9exqIja&#10;f88VJ2z2/lTseYv+0OlIZh65AwiW5Qfd+Vv6GuK1ie9uLfyY7hkT0XjNelyRq6NHIoKEYIPpXBa1&#10;YSabdBH5iJykmOq+n1pGtOVji7XTVS43gHdnAz/n1zUHiqyWS3DA4K9gK6kLGo8xgV9OOcetY2vO&#10;lxEYVDjIyDtP41cG+a4qmqPNCu1+PX1pSqhuSGxVu7smjmbbn8aotHIFxjNegpJnE0SGZF5Jy1Sr&#10;FLOvBVUHVqpomJMvxjtVxpyy7QcKOwp3FYlMwhQKnT+dNmk/0ER5OWJY1AgaRyR17U6QK04jzgAY&#10;oGPhwlnIT3Ur+dUQcttqzdTKEEajAqnk+Zx3pMCSGRopVdTgg131r4nkmtI9znzAuM9zj1rgGGef&#10;zrY0ZIpUYyOcp/AvBPvWc4qS1LhJxN2a+u9Tk8tCTk+tNbT5bbEisfMHIcDPNdB4btYJLS+uDhWg&#10;jIRfUt1/IfzpzKjLg4ORRGKRM5tszdP8SyW8oW5zFJ2kU4FcV4khEetXLqQUmbzVI6ENz/PNdrda&#10;dFMD0z6Vyeuaf5MQdedpwfoa0M1oc53oNLSEZoGeoIM1Oo4qFAQOlTp0rUCRea0YLWL7G7xoxlPz&#10;M3J6cEfqDVBRxW9oOZluLLI/eJkE9vX+n5VM3ZXKiruxlqatWNwbW9hn/wCebhiPUdxUQt5DP5So&#10;zSZ2hVGSTVybSb60jEs9s6IeMmhtbMlJ7o9Oj2uqspBB6Y71ZRQOawvDUzXGjwsclkHlk/T/AOti&#10;txeBk9K8trldjrTuSAd+gpf84pByeevYU8DJwPzoGN2lj71JhYkyf/1044jQk/8A66rOxcknpSAa&#10;7Fjk03oKd7mkCmRsUAIql2z2FSkY4p2AowOBSYyfT/CgBETJz1p7Hg+lZt/qjQM0VsgdxwzHoD6V&#10;WWe9uLWQyR5yMbScBgevFaRptq5DkkYeqakmqaqYUkUxwjKrnkg8bvocH8qdHHinGwaEz3P2VIiR&#10;lioxnA4qSEiSJJF6MoYfQ11Uo8qsYTd3cULTsU/bWV4k1YaJoVzejHmgbIQe7np/j9Aa1IPNfiDq&#10;X9qa59lik/cWWYxg8F/4j/IfhXGT2spiIxkdRSl7oOXfLknJJ7mpUuyhG8YpFGXavGlwnnLujyNw&#10;9q7SDRf7JhiYJgXC7wTKHP0JCgd/fvzXOxaTHePcTfa44URS+MZZjnoozya7AmWSG3WUCNYYxGkS&#10;87QAOp7ngflTBkca1YRaaiYqdF6UCHKtSotOROcVKiUAIq08CnhPSnhRjpQAwLmn7acFpwWmIjC5&#10;pdmKkVacV4oAhK4ppX0qfZxRtoArFc1G6elWtgpGTjpQBQdOagdK0WTnpxVd4+9IZnuh5qtLGSCB&#10;kHsRWk6VXZefagDldesb68kgnEAWGOFIBukRVUqOgyeh5P41HbRCyt1Rgpc85HOfx6Gu00+5t7XU&#10;S9ypIMeInK5CHPP0zxz7Vga0Ir7xA8lnbsYNgDtt2qz85Iz14xTYJmW07E8Ctfwvr8ug6zHciM+Q&#10;/wAk6j+JP8R1H/16b9kRV4j5qrLARnHFSM+gYZY54UmicPG6hlZTwQeQaUivPvhz4gODol0+SMtb&#10;MfTqU/mR+PtXouMimIrslcl491MaV4dm2tiWf90n49f8Pxrs2GAa8U+K2r/aNYSxjbKWy4OP756/&#10;4fhQwR5+tzLDdLPDIySIwKsp5BHevdvAXjJr60RboYnCjzoxwGH99f6j/wCtXg9tCZ7hI/U8/Sui&#10;gu7m1vLVtP3rdGQLGAepzjGM9+nPrWVSnzrzNIysfUKMsiLIjBlYZBHcf40uNuCOnr6VzGjak9mV&#10;huSCjY3bein1HtXRXd/aWFo91d3EcMCruZ3bAI9R6/hXFZrQ3TuTMokHowrJ1iwS/tGhkGGX5kb+&#10;63NO0rxHo+sjOnahFM39zO1x/wABOD+OKsapqFjZ2zTXMwUgH5VBZj9AMmhxewJnnUkbeWyXGVYZ&#10;BHYH+tcrrDRKzDzMHsd39DTfF3jOXVr14rCN7a3T5SWGJHx3PpXFS+YzEkkknOSetb06Et2TKqtk&#10;Xp5wSRuDe9VHlYcLGc/SqpVsnmm7X7CujksZc1wkhlml+7gn1q1FpjqP3rgD2OaqgPzyQas4wMZO&#10;fc1SELK0cKnZ26VRjk+ZnPJ/nSzPvJx0FVwcUxD2YlutMPB5pCeaVsY5P40gLIIfqMH371LaSG2u&#10;43GQAcGq0UwV/wC8vvVwJEwDKeMj5Se1IZ6Lpd5Ha2U0YZfLmQgAjsQehPv2qjHcGMYXH0zXO6bq&#10;ogaNHlZQPlOScdfarg1BQQwIP0NAnqbQmErbSdrHop71BfWS3Nu8bfxAg1Tj1WGT5ZF+U1dWUKEK&#10;vuibj6UEtHm88LwXEkTjDIxU1GQa6/xNohZDqFuuSB+9Uen97/GuSxTGerrbkDqOaesdFFaiJVXF&#10;dJ4Z0ma7uFu0lRI42KnqSePTp3oorOq2oaFwV5HbQWEFpHJ5MMQlfJMm35ifrVrw/bJqVr9suVWS&#10;MsVSNhnkHGT+IoorihrPU6JaROiaJGj8sqNvYelZksXlSkE59KKKqstLmcNxQMfL3PepQoRaKKwN&#10;SszGQknoO1N60UUhjCckn0qwqbFx1PeiikAjdSPQZPvTguP50UUAcPea5PpusXUIiikjMrMNw55J&#10;qaPxpcIoaOziDFQcsc46ewoorVSZm0VL/Wb/AFdN1zKBGOAiDAq1phL6ZaM3UwIT/wB8iiitcO25&#10;O5nV2RdxXmHxI1F5tVh04ZEVugc/7TN3/AfzNFFdTMkcfGqnHFSNbROp3IDRRSGYjXn2aSSFIxgn&#10;g+ld0H88CTHD/MPxoopiZIq1MigUUUAWFTipVWiigRKqinhRRRQA4LgZp+z5Rz1oopgKq5B9qdtH&#10;SiigQhTmmhRmiigYmwbuKTaCKKKAImUce9QunFFFIaIGQEZqB4wDiiigBqAc1VnUbzRRQBAVBFVp&#10;YxjNFFIZVSSS1uI54XKSxsGRh1BHQ17h4f1T+2dDtb8psaRSGXtuBIOPbINFFCBlq+n+y2M9xjPl&#10;Rs+PXAr5xvo21K/kvrlywlcvt7nPqaKKpC6EkcEStuSNVOMfKMGrVpcfZNRivY40M8PKFhkA84OP&#10;bOaKKqwFy78Q6tcybpL6XjkBDtA/LFZ9zeXFy26eaSVgMAuxJ/WiilZBdlFnkjfejlTnsa6rQ/in&#10;4n0ILGt6bqAf8srr5xj0B6j8DRRSaBM6kfGq6vADeeH9PnUc4JIP65q3a/F3w8/F14UVMf8APPy2&#10;H6qKKKVhrU04PHfgTUOG8LZP+3Zwn+tY2o674RluGaPw9HHHHyqJaxLuJ9SD04/z0oopXKshp8T+&#10;EbC2MUWjTNMcnd9njAJ/76+teceKdUsdRvlk0+1e3iWMIVcjJI78UUUBYw7SNZd6sO2R+HP+NLcW&#10;Yj3AH7oDH3Bx/jRRQIphPmK+lNkGB1NFFAElsvmqy9CBkGpFYr0NFFAAzHqDipEnYp6MOQRRRSAm&#10;hum3Hgc9a9F8FaVp2uPPDI1ypQB1CkAL6+uaKKyrNqN0a00m9Ttk8D2IBH2m5I6EEr/8TWW3wg8O&#10;NI7mS8+Y52iQAD6fLRRXL7Sfc15I9j//2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AZlLvJvQAAAKcBAAAZAAAAZHJzL19yZWxzL2Uyb0RvYy54&#10;bWwucmVsc72QywrCMBBF94L/EGZv03YhIqZuRHAr+gFDMk2jzYMkiv69AUEUBHcuZ4Z77mFW65sd&#10;2ZViMt4JaKoaGDnplXFawPGwnS2ApYxO4egdCbhTgnU3naz2NGIuoTSYkFihuCRgyDksOU9yIIup&#10;8oFcufQ+WsxljJoHlGfUxNu6nvP4zoDug8l2SkDcqRbY4R5K82+273sjaePlxZLLXyq4saW7ADFq&#10;ygIsKYPPZVudAmng3yWa/0g0Lwn+8d7uAVBLAwQUAAAACACHTuJA2Tk3hxMBAABIAgAAEwAAAFtD&#10;b250ZW50X1R5cGVzXS54bWyVkk1OwzAQhfdI3MHyFsUOXSCEmnRBChILqFA5gGVPEpf4Rx4T2tvj&#10;pK0EVVqJpT3zvXlv7PliazrSQ0DtbEFvWU4JWOmUtk1BP9ZP2T0lGIVVonMWCroDpIvy+mq+3nlA&#10;kmiLBW1j9A+co2zBCGTOg02V2gUjYjqGhnshP0UDfJbnd1w6G8HGLA4atJxXUIuvLpLlNl3vnWw8&#10;NJQ87huHWQXVZhAYC3ySeVk9TyJs4xs6jQTo8IQR3ndaipgWwnurTsJkhyAskWMPttrjTUp7ZsJQ&#10;+Zvj94AD95ZeIGgFZCVCfBUmpeUqIFfu2wbo2WWRwaXBzNW1lsCqgFXC3qE/ujqnDjNXOflf8eVI&#10;HbX5+A/KH1BLAQIUABQAAAAIAIdO4kDZOTeHEwEAAEgCAAATAAAAAAAAAAEAIAAAALYBAQBbQ29u&#10;dGVudF9UeXBlc10ueG1sUEsBAhQACgAAAAAAh07iQAAAAAAAAAAAAAAAAAYAAAAAAAAAAAAQAAAA&#10;fP8AAF9yZWxzL1BLAQIUABQAAAAIAIdO4kCKFGY80QAAAJQBAAALAAAAAAAAAAEAIAAAAKD/AABf&#10;cmVscy8ucmVsc1BLAQIUAAoAAAAAAIdO4kAAAAAAAAAAAAAAAAAEAAAAAAAAAAAAEAAAAAAAAABk&#10;cnMvUEsBAhQACgAAAAAAh07iQAAAAAAAAAAAAAAAAAoAAAAAAAAAAAAQAAAAmgABAGRycy9fcmVs&#10;cy9QSwECFAAUAAAACACHTuJAGZS7yb0AAACnAQAAGQAAAAAAAAABACAAAADCAAEAZHJzL19yZWxz&#10;L2Uyb0RvYy54bWwucmVsc1BLAQIUABQAAAAIAIdO4kC7Eh9b1AAAAAUBAAAPAAAAAAAAAAEAIAAA&#10;ACIAAABkcnMvZG93bnJldi54bWxQSwECFAAUAAAACACHTuJAN9iZviYDAACrCQAADgAAAAAAAAAB&#10;ACAAAAAjAQAAZHJzL2Uyb0RvYy54bWxQSwECFAAKAAAAAACHTuJAAAAAAAAAAAAAAAAACgAAAAAA&#10;AAAAABAAAAB1BAAAZHJzL21lZGlhL1BLAQIUABQAAAAIAIdO4kC0IfE1Nn4AADF+AAAVAAAAAAAA&#10;AAEAIAAAAJ0EAABkcnMvbWVkaWEvaW1hZ2UxLmpwZWdQSwECFAAUAAAACACHTuJA26RmDEN8AAA+&#10;fAAAFQAAAAAAAAABACAAAAAGgwAAZHJzL21lZGlhL2ltYWdlMi5qcGVnUEsFBgAAAAALAAsAlgIA&#10;APoCAQAAAA==&#10;">
                <o:lock v:ext="edit" aspectratio="f"/>
                <v:shape id="_x0000_s1026" o:spid="_x0000_s1026" o:spt="75" alt="Macintosh HD:Users:bingquncui:Downloads:WechatIMG614.jpeg" type="#_x0000_t75" style="position:absolute;left:22856;top:3318700;height:2000;width:3960;" filled="f" o:preferrelative="t" stroked="f" coordsize="21600,21600" o:gfxdata="UEsDBAoAAAAAAIdO4kAAAAAAAAAAAAAAAAAEAAAAZHJzL1BLAwQUAAAACACHTuJAUmu8TL0AAADc&#10;AAAADwAAAGRycy9kb3ducmV2LnhtbEVPPW/CMBDdK/EfrEPqVpyklKIUJwMShYWBlIr1Gh9JRHyO&#10;YofQ/voaqVK3e3qft8pvphVX6l1jWUE8i0AQl1Y3XCk4fmyeliCcR9bYWiYF3+QgzyYPK0y1HflA&#10;18JXIoSwS1FB7X2XSunKmgy6me2IA3e2vUEfYF9J3eMYwk0rkyhaSIMNh4YaO1rXVF6KwSjYn4qv&#10;l7lPxuT9c3DbhreHH/us1OM0jt5AeLr5f/Gfe6fD/OQV7s+EC2T2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a7xMvQAA&#10;ANwAAAAPAAAAAAAAAAEAIAAAACIAAABkcnMvZG93bnJldi54bWxQSwECFAAUAAAACACHTuJAMy8F&#10;njsAAAA5AAAAEAAAAAAAAAABACAAAAAMAQAAZHJzL3NoYXBleG1sLnhtbFBLBQYAAAAABgAGAFsB&#10;AAC2AwAAAAA=&#10;">
                  <v:fill on="f" focussize="0,0"/>
                  <v:stroke on="f"/>
                  <v:imagedata r:id="rId91" o:title=""/>
                  <o:lock v:ext="edit" aspectratio="t"/>
                </v:shape>
                <v:shape id="_x0000_s1026" o:spid="_x0000_s1026" o:spt="75" alt="Macintosh HD:Users:bingquncui:Downloads:WechatIMG618.jpeg" type="#_x0000_t75" style="position:absolute;left:18356;top:3318700;height:1926;width:3960;" filled="f" o:preferrelative="t" stroked="f" coordsize="21600,21600" o:gfxdata="UEsDBAoAAAAAAIdO4kAAAAAAAAAAAAAAAAAEAAAAZHJzL1BLAwQUAAAACACHTuJAoiArzb8AAADc&#10;AAAADwAAAGRycy9kb3ducmV2LnhtbEWPQU/DMAyF75P4D5GRuK1pAU1VWdbDBhJIcKBwgJvVmKai&#10;caIm3ca/xwckbrbe83uft+3ZT+pIcxoDG6iKEhRxH+zIg4H3t4d1DSplZItTYDLwQwna3cVqi40N&#10;J36lY5cHJSGcGjTgco6N1ql35DEVIRKL9hVmj1nWedB2xpOE+0lfl+VGexxZGhxG2jvqv7vFG6iT&#10;x9vl5TMuLt4fnrpN/XHYPxtzdVmVd6AynfO/+e/60Qr+jeDLMzKB3v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IgK82/&#10;AAAA3AAAAA8AAAAAAAAAAQAgAAAAIgAAAGRycy9kb3ducmV2LnhtbFBLAQIUABQAAAAIAIdO4kAz&#10;LwWeOwAAADkAAAAQAAAAAAAAAAEAIAAAAA4BAABkcnMvc2hhcGV4bWwueG1sUEsFBgAAAAAGAAYA&#10;WwEAALgDAAAAAA==&#10;">
                  <v:fill on="f" focussize="0,0"/>
                  <v:stroke on="f"/>
                  <v:imagedata r:id="rId92" o:title=""/>
                  <o:lock v:ext="edit" aspectratio="t"/>
                </v:shape>
                <w10:wrap type="none"/>
                <w10:anchorlock/>
              </v:group>
            </w:pict>
          </mc:Fallback>
        </mc:AlternateContent>
      </w:r>
    </w:p>
    <w:p>
      <w:pPr>
        <w:spacing w:line="240" w:lineRule="auto"/>
        <w:jc w:val="center"/>
        <w:rPr>
          <w:b/>
          <w:bCs/>
          <w:color w:val="000000"/>
          <w:sz w:val="21"/>
          <w:szCs w:val="21"/>
        </w:rPr>
      </w:pPr>
      <w:r>
        <w:rPr>
          <w:b/>
          <w:bCs/>
          <w:color w:val="000000"/>
          <w:sz w:val="21"/>
          <w:szCs w:val="21"/>
        </w:rPr>
        <w:t>图3 工商管理专业学生进行创新创业实践</w:t>
      </w:r>
    </w:p>
    <w:p>
      <w:pPr>
        <w:pStyle w:val="5"/>
        <w:spacing w:before="93" w:after="93"/>
        <w:ind w:firstLine="560"/>
      </w:pPr>
      <w:bookmarkStart w:id="413" w:name="_Toc30624"/>
      <w:r>
        <w:t>三、培养条件</w:t>
      </w:r>
      <w:bookmarkEnd w:id="413"/>
    </w:p>
    <w:p>
      <w:pPr>
        <w:ind w:firstLine="480"/>
        <w:rPr>
          <w:rFonts w:eastAsia="黑体"/>
        </w:rPr>
      </w:pPr>
      <w:r>
        <w:rPr>
          <w:rFonts w:eastAsia="黑体"/>
        </w:rPr>
        <w:t>1</w:t>
      </w:r>
      <w:r>
        <w:rPr>
          <w:rFonts w:hint="eastAsia"/>
        </w:rPr>
        <w:t xml:space="preserve">. </w:t>
      </w:r>
      <w:r>
        <w:rPr>
          <w:rFonts w:eastAsia="黑体"/>
        </w:rPr>
        <w:t>教学经费投入</w:t>
      </w:r>
    </w:p>
    <w:p>
      <w:pPr>
        <w:ind w:firstLine="480"/>
        <w:rPr>
          <w:color w:val="000000"/>
          <w:szCs w:val="24"/>
        </w:rPr>
      </w:pPr>
      <w:r>
        <w:rPr>
          <w:color w:val="000000"/>
          <w:szCs w:val="24"/>
        </w:rPr>
        <w:t>教学经费是夯实专业教学建设条件，确保教学正常运行，推进教学改革，提高教学质量的基本教学经费。自从本专业开办以来，学校和学院十分重视对本专业教学经费的投入。投入教学经费，主要是山东省名校工程建设经费，用于学科建设、基地建设、充实实验室及资料室，引进人才。为进一步落实育人为本办学理念，调动教师投身教学和人才培养工作的积极性，作为学校学科建设大讨论重要成果之一，学校设立年度教学杰出教师奖，表彰和奖励在教学与人才培养工作中做出突出贡献的一线教师。奖励额度较大，每人5万元。学院也每年资助（人均至少3000元）老师外出开会、学习，增强业务能力。同时，学院还资助学生开展SRT项目，每项500元。</w:t>
      </w:r>
    </w:p>
    <w:p>
      <w:pPr>
        <w:ind w:firstLine="480"/>
        <w:rPr>
          <w:rFonts w:eastAsia="黑体"/>
        </w:rPr>
      </w:pPr>
      <w:r>
        <w:rPr>
          <w:rFonts w:eastAsia="黑体"/>
        </w:rPr>
        <w:t>2</w:t>
      </w:r>
      <w:r>
        <w:rPr>
          <w:rFonts w:hint="eastAsia"/>
        </w:rPr>
        <w:t xml:space="preserve">. </w:t>
      </w:r>
      <w:r>
        <w:rPr>
          <w:rFonts w:eastAsia="黑体"/>
        </w:rPr>
        <w:t>教学设备</w:t>
      </w:r>
    </w:p>
    <w:p>
      <w:pPr>
        <w:ind w:firstLine="480"/>
        <w:rPr>
          <w:color w:val="000000"/>
          <w:szCs w:val="24"/>
        </w:rPr>
      </w:pPr>
      <w:r>
        <w:rPr>
          <w:color w:val="000000"/>
          <w:szCs w:val="24"/>
        </w:rPr>
        <w:t>为了适应工商管理专业教育发展和教学工作的开展，学校和学院在资金投入上给予必要保障，扶持本专业购置经济学类专业书籍、资料和报刊及相应的实习实验教学设备。学校现有与本专业相关图书3万余册，专业报刊80多种，期刊杂志160多种。</w:t>
      </w:r>
    </w:p>
    <w:p>
      <w:pPr>
        <w:ind w:firstLine="480"/>
        <w:rPr>
          <w:color w:val="000000"/>
          <w:szCs w:val="24"/>
        </w:rPr>
      </w:pPr>
      <w:r>
        <w:rPr>
          <w:color w:val="000000"/>
          <w:szCs w:val="24"/>
        </w:rPr>
        <w:t>经管学院目前建有与本专业相关实验室10个，包括工商管理与电子商务实验室、经济分析与预测实验室、学生创新实验室、ACCA培训室等。实验室使用面积867m</w:t>
      </w:r>
      <w:r>
        <w:rPr>
          <w:color w:val="000000"/>
          <w:szCs w:val="24"/>
          <w:vertAlign w:val="superscript"/>
        </w:rPr>
        <w:t>2</w:t>
      </w:r>
      <w:r>
        <w:rPr>
          <w:color w:val="000000"/>
          <w:szCs w:val="24"/>
        </w:rPr>
        <w:t>，现有高性能的计算机560余台、教学软件系统70余套，包括电子商务模拟软件、因纳特市场营销沙盘演练软件、因纳特市场调查与客户管理软件、因纳特工商管理课程训练软件等</w:t>
      </w:r>
      <w:r>
        <w:rPr>
          <w:color w:val="000000"/>
          <w:kern w:val="0"/>
          <w:szCs w:val="21"/>
        </w:rPr>
        <w:t>，</w:t>
      </w:r>
      <w:r>
        <w:rPr>
          <w:color w:val="000000"/>
          <w:szCs w:val="24"/>
        </w:rPr>
        <w:t>仪器设备软件总价值1000余万元。形成了强化学生的能力培养、突出学生创新能力和实际操作能力并兼顾学生个性发展的全新的实验教学新体系。实验教学采用网络教学、多媒体教学等先进技术，手工模拟操作、计算机模拟操作、仿真实验、完全现场教学等多种方式相结合，达到了现场教学的效果。实验室全天候向学生开放。所有这些都为工商管理专业创造了良好办学条件。</w:t>
      </w:r>
    </w:p>
    <w:p>
      <w:pPr>
        <w:ind w:firstLine="480"/>
        <w:rPr>
          <w:rFonts w:eastAsia="黑体"/>
          <w:color w:val="000000"/>
        </w:rPr>
      </w:pPr>
      <w:r>
        <w:rPr>
          <w:rFonts w:eastAsia="黑体"/>
          <w:color w:val="000000"/>
        </w:rPr>
        <w:t>3</w:t>
      </w:r>
      <w:r>
        <w:rPr>
          <w:rFonts w:hint="eastAsia"/>
        </w:rPr>
        <w:t xml:space="preserve">. </w:t>
      </w:r>
      <w:r>
        <w:rPr>
          <w:rFonts w:eastAsia="黑体"/>
          <w:color w:val="000000"/>
        </w:rPr>
        <w:t xml:space="preserve">教师队伍建设 </w:t>
      </w:r>
    </w:p>
    <w:p>
      <w:pPr>
        <w:ind w:firstLine="480"/>
        <w:rPr>
          <w:color w:val="000000"/>
          <w:szCs w:val="24"/>
        </w:rPr>
      </w:pPr>
      <w:r>
        <w:rPr>
          <w:color w:val="000000"/>
          <w:szCs w:val="24"/>
        </w:rPr>
        <w:t>工商管理专业目前设置在工商管理系，该系现有教师13人，其中，教授4人，副教授8人，讲师1人。具有博士学位的教师12人，硕士学位1人。初步形成了一支年富力强、学历层次水平高、学缘结构科学、职称结构较合理，教学作风严谨、教学水平较高的师资队伍，本专业多位老师多次获得学校</w:t>
      </w:r>
      <w:r>
        <w:rPr>
          <w:rFonts w:hint="eastAsia"/>
          <w:color w:val="000000"/>
          <w:szCs w:val="24"/>
        </w:rPr>
        <w:t>“</w:t>
      </w:r>
      <w:r>
        <w:rPr>
          <w:color w:val="000000"/>
          <w:szCs w:val="24"/>
        </w:rPr>
        <w:t>最美教师</w:t>
      </w:r>
      <w:r>
        <w:rPr>
          <w:rFonts w:hint="eastAsia"/>
          <w:color w:val="000000"/>
          <w:szCs w:val="24"/>
        </w:rPr>
        <w:t>”</w:t>
      </w:r>
      <w:r>
        <w:rPr>
          <w:color w:val="000000"/>
          <w:szCs w:val="24"/>
        </w:rPr>
        <w:t>、</w:t>
      </w:r>
      <w:r>
        <w:rPr>
          <w:rFonts w:hint="eastAsia"/>
          <w:color w:val="000000"/>
          <w:szCs w:val="24"/>
        </w:rPr>
        <w:t>“</w:t>
      </w:r>
      <w:r>
        <w:rPr>
          <w:color w:val="000000"/>
          <w:szCs w:val="24"/>
        </w:rPr>
        <w:t>学生心目中最优秀的十大教师</w:t>
      </w:r>
      <w:r>
        <w:rPr>
          <w:rFonts w:hint="eastAsia"/>
          <w:color w:val="000000"/>
          <w:szCs w:val="24"/>
        </w:rPr>
        <w:t>”</w:t>
      </w:r>
      <w:r>
        <w:rPr>
          <w:color w:val="000000"/>
          <w:szCs w:val="24"/>
        </w:rPr>
        <w:t>、</w:t>
      </w:r>
      <w:r>
        <w:rPr>
          <w:rFonts w:hint="eastAsia"/>
          <w:color w:val="000000"/>
          <w:szCs w:val="24"/>
        </w:rPr>
        <w:t>“</w:t>
      </w:r>
      <w:r>
        <w:rPr>
          <w:color w:val="000000"/>
          <w:szCs w:val="24"/>
        </w:rPr>
        <w:t>年度教学质量奖</w:t>
      </w:r>
      <w:r>
        <w:rPr>
          <w:rFonts w:hint="eastAsia"/>
          <w:color w:val="000000"/>
          <w:szCs w:val="24"/>
        </w:rPr>
        <w:t>”</w:t>
      </w:r>
      <w:r>
        <w:rPr>
          <w:color w:val="000000"/>
          <w:szCs w:val="24"/>
        </w:rPr>
        <w:t>、</w:t>
      </w:r>
      <w:r>
        <w:rPr>
          <w:rFonts w:hint="eastAsia"/>
          <w:color w:val="000000"/>
          <w:szCs w:val="24"/>
        </w:rPr>
        <w:t>“</w:t>
      </w:r>
      <w:r>
        <w:rPr>
          <w:color w:val="000000"/>
          <w:szCs w:val="24"/>
        </w:rPr>
        <w:t>讲课技能比赛一等奖</w:t>
      </w:r>
      <w:r>
        <w:rPr>
          <w:rFonts w:hint="eastAsia"/>
          <w:color w:val="000000"/>
          <w:szCs w:val="24"/>
        </w:rPr>
        <w:t>”</w:t>
      </w:r>
      <w:r>
        <w:rPr>
          <w:color w:val="000000"/>
          <w:szCs w:val="24"/>
        </w:rPr>
        <w:t>等荣誉，较好保障了各项教学任务的顺利完成，有力支撑了本专业人才培养目标的实现。针对该专业现状和我校实际，开展学科建设和专业发展学习和讨论。</w:t>
      </w:r>
    </w:p>
    <w:p>
      <w:pPr>
        <w:spacing w:line="240" w:lineRule="auto"/>
        <w:jc w:val="center"/>
        <w:rPr>
          <w:b/>
          <w:bCs/>
          <w:color w:val="000000"/>
          <w:sz w:val="21"/>
          <w:szCs w:val="21"/>
        </w:rPr>
      </w:pPr>
      <w:r>
        <w:rPr>
          <w:b/>
          <w:bCs/>
          <w:color w:val="000000"/>
          <w:sz w:val="21"/>
          <w:szCs w:val="21"/>
        </w:rPr>
        <w:drawing>
          <wp:inline distT="0" distB="0" distL="114300" distR="114300">
            <wp:extent cx="2243455" cy="1684655"/>
            <wp:effectExtent l="0" t="0" r="4445" b="10795"/>
            <wp:docPr id="131" name="图片 131" descr="Macintosh HD:Users:bingquncui:Desktop:市场营销专业建设（校企合作）:专业建设照片:WechatIMG6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Macintosh HD:Users:bingquncui:Desktop:市场营销专业建设（校企合作）:专业建设照片:WechatIMG604.jpe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2243455" cy="1684655"/>
                    </a:xfrm>
                    <a:prstGeom prst="rect">
                      <a:avLst/>
                    </a:prstGeom>
                    <a:noFill/>
                    <a:ln>
                      <a:noFill/>
                    </a:ln>
                  </pic:spPr>
                </pic:pic>
              </a:graphicData>
            </a:graphic>
          </wp:inline>
        </w:drawing>
      </w:r>
    </w:p>
    <w:p>
      <w:pPr>
        <w:spacing w:line="240" w:lineRule="auto"/>
        <w:jc w:val="center"/>
        <w:rPr>
          <w:b/>
          <w:bCs/>
          <w:color w:val="000000"/>
          <w:sz w:val="21"/>
          <w:szCs w:val="21"/>
        </w:rPr>
      </w:pPr>
      <w:r>
        <w:rPr>
          <w:b/>
          <w:bCs/>
          <w:color w:val="000000"/>
          <w:sz w:val="21"/>
          <w:szCs w:val="21"/>
        </w:rPr>
        <w:t>图4 我校参加全国高校工商管理学科负责人联席会</w:t>
      </w:r>
    </w:p>
    <w:p>
      <w:pPr>
        <w:ind w:firstLine="480"/>
        <w:rPr>
          <w:rFonts w:eastAsia="黑体"/>
          <w:color w:val="000000"/>
        </w:rPr>
      </w:pPr>
      <w:r>
        <w:rPr>
          <w:rFonts w:eastAsia="黑体"/>
          <w:color w:val="000000"/>
        </w:rPr>
        <w:t>4</w:t>
      </w:r>
      <w:r>
        <w:rPr>
          <w:rFonts w:hint="eastAsia"/>
        </w:rPr>
        <w:t xml:space="preserve">. </w:t>
      </w:r>
      <w:r>
        <w:rPr>
          <w:rFonts w:eastAsia="黑体"/>
          <w:color w:val="000000"/>
        </w:rPr>
        <w:t>实习基地</w:t>
      </w:r>
    </w:p>
    <w:p>
      <w:pPr>
        <w:ind w:firstLine="480"/>
        <w:rPr>
          <w:color w:val="000000"/>
          <w:szCs w:val="24"/>
        </w:rPr>
      </w:pPr>
      <w:r>
        <w:rPr>
          <w:color w:val="000000"/>
          <w:szCs w:val="24"/>
        </w:rPr>
        <w:t>校内实习主要是在实验室进行，校外实习2016年前主要是学生自择单位实习，2016年以后主要是在校外教学实习基地进行。工商管理系截止当前建有校外实习基地11个，新增3个，与各基地有紧密的联系，可供学生教学实习、毕业实习以及老师科学研究所用。</w:t>
      </w:r>
    </w:p>
    <w:p>
      <w:pPr>
        <w:ind w:firstLine="480"/>
        <w:rPr>
          <w:color w:val="000000"/>
          <w:szCs w:val="24"/>
        </w:rPr>
      </w:pPr>
      <w:r>
        <w:rPr>
          <w:color w:val="000000"/>
          <w:szCs w:val="24"/>
        </w:rPr>
        <w:t xml:space="preserve">本专业积极促进学生校外实习，当年实际增加并在济南沃尔富斯农业科技、泰山区税务局、山东影响力公司等进行了2016、2017级学生的教学实习，并建立了与专业对接的校外教学实习基地，目前已有稳定的校外教学实习基地12个，目前，正跟泰安市工商联、泰安市年轻一代企业家商会等积极协商，促进更多当地企业的校外教学实习基地建设。 </w:t>
      </w:r>
    </w:p>
    <w:p>
      <w:pPr>
        <w:ind w:firstLine="480"/>
        <w:rPr>
          <w:rFonts w:eastAsia="黑体"/>
        </w:rPr>
      </w:pPr>
      <w:r>
        <w:rPr>
          <w:rFonts w:eastAsia="黑体"/>
        </w:rPr>
        <w:t>5</w:t>
      </w:r>
      <w:r>
        <w:rPr>
          <w:rFonts w:hint="eastAsia"/>
        </w:rPr>
        <w:t xml:space="preserve">. </w:t>
      </w:r>
      <w:r>
        <w:rPr>
          <w:rFonts w:eastAsia="黑体"/>
        </w:rPr>
        <w:t>现代教学技术应用</w:t>
      </w:r>
    </w:p>
    <w:p>
      <w:pPr>
        <w:ind w:firstLine="480"/>
        <w:rPr>
          <w:color w:val="000000"/>
          <w:szCs w:val="24"/>
        </w:rPr>
      </w:pPr>
      <w:r>
        <w:rPr>
          <w:color w:val="000000"/>
          <w:szCs w:val="24"/>
        </w:rPr>
        <w:t>本专业十分重视多媒体、MOOCs、微课等现代教学技术应用，积极推进混合式教学改革。</w:t>
      </w:r>
    </w:p>
    <w:p>
      <w:pPr>
        <w:ind w:firstLine="480"/>
        <w:rPr>
          <w:color w:val="000000"/>
          <w:szCs w:val="24"/>
        </w:rPr>
      </w:pPr>
      <w:r>
        <w:rPr>
          <w:color w:val="000000"/>
          <w:szCs w:val="24"/>
        </w:rPr>
        <w:t>（1）运用现代信息技术手段激发学生的求知欲，挖掘学生的情感因素，教学中，教师创造的宽松、和谐的教学环境可使学生心情舒畅，思维活跃，教师对学生的充分信任、鼓励，会使他们产生巨大的精神动力。使学生在充满情趣与快乐的情境中发现问题，解决问题。</w:t>
      </w:r>
    </w:p>
    <w:p>
      <w:pPr>
        <w:ind w:firstLine="480"/>
        <w:rPr>
          <w:color w:val="000000"/>
          <w:szCs w:val="24"/>
        </w:rPr>
      </w:pPr>
      <w:r>
        <w:rPr>
          <w:color w:val="000000"/>
          <w:szCs w:val="24"/>
        </w:rPr>
        <w:t>（2）运用现代信息技术，实现教学方式的变革。将现代信息技术已广泛地用于教育教学过程，如多媒体显示技术及应用软件辅助教学等，工商管理专业多门课程被确定为校级精品课程。</w:t>
      </w:r>
    </w:p>
    <w:p>
      <w:pPr>
        <w:ind w:firstLine="480"/>
        <w:rPr>
          <w:color w:val="000000"/>
          <w:szCs w:val="24"/>
        </w:rPr>
      </w:pPr>
      <w:r>
        <w:rPr>
          <w:color w:val="000000"/>
          <w:szCs w:val="24"/>
        </w:rPr>
        <w:t>（3）本专业所开设课程均已实行多媒体教学，其中有10门课程属于学校精品课程，5门课程属于省级精品课程，均设有精品课程网站。《管理学基础》课程获评省级一流线上线下混合式教学精品课程，《企业管理学》和《管理运筹学》两门课程被确定为校级一流线教学精品课程，教育教学改革效果很好。</w:t>
      </w:r>
    </w:p>
    <w:p>
      <w:pPr>
        <w:spacing w:line="240" w:lineRule="auto"/>
        <w:jc w:val="center"/>
        <w:rPr>
          <w:b/>
          <w:bCs/>
          <w:color w:val="000000"/>
          <w:sz w:val="21"/>
          <w:szCs w:val="21"/>
        </w:rPr>
      </w:pPr>
      <w:r>
        <w:rPr>
          <w:sz w:val="21"/>
        </w:rPr>
        <mc:AlternateContent>
          <mc:Choice Requires="wpg">
            <w:drawing>
              <wp:inline distT="0" distB="0" distL="114300" distR="114300">
                <wp:extent cx="5352415" cy="1486535"/>
                <wp:effectExtent l="0" t="0" r="635" b="18415"/>
                <wp:docPr id="151" name="组合 151"/>
                <wp:cNvGraphicFramePr/>
                <a:graphic xmlns:a="http://schemas.openxmlformats.org/drawingml/2006/main">
                  <a:graphicData uri="http://schemas.microsoft.com/office/word/2010/wordprocessingGroup">
                    <wpg:wgp>
                      <wpg:cNvGrpSpPr/>
                      <wpg:grpSpPr>
                        <a:xfrm>
                          <a:off x="0" y="0"/>
                          <a:ext cx="5352415" cy="1486535"/>
                          <a:chOff x="6167" y="3341038"/>
                          <a:chExt cx="8429" cy="2012"/>
                        </a:xfrm>
                      </wpg:grpSpPr>
                      <pic:pic xmlns:pic="http://schemas.openxmlformats.org/drawingml/2006/picture">
                        <pic:nvPicPr>
                          <pic:cNvPr id="138" name="图片 138" descr="Macintosh HD:Users:bingquncui:Desktop:市场营销专业建设（校企合作）:专业建设照片:WechatIMG605.jpe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6167" y="3341038"/>
                            <a:ext cx="4140" cy="2013"/>
                          </a:xfrm>
                          <a:prstGeom prst="rect">
                            <a:avLst/>
                          </a:prstGeom>
                          <a:noFill/>
                          <a:ln>
                            <a:noFill/>
                          </a:ln>
                        </pic:spPr>
                      </pic:pic>
                      <pic:pic xmlns:pic="http://schemas.openxmlformats.org/drawingml/2006/picture">
                        <pic:nvPicPr>
                          <pic:cNvPr id="137" name="图片 137" descr="Macintosh HD:Users:bingquncui:Desktop:市场营销专业建设（校企合作）:专业建设照片:WechatIMG606.jpe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10486" y="3341038"/>
                            <a:ext cx="4111" cy="2000"/>
                          </a:xfrm>
                          <a:prstGeom prst="rect">
                            <a:avLst/>
                          </a:prstGeom>
                          <a:noFill/>
                          <a:ln>
                            <a:noFill/>
                          </a:ln>
                        </pic:spPr>
                      </pic:pic>
                    </wpg:wgp>
                  </a:graphicData>
                </a:graphic>
              </wp:inline>
            </w:drawing>
          </mc:Choice>
          <mc:Fallback>
            <w:pict>
              <v:group id="_x0000_s1026" o:spid="_x0000_s1026" o:spt="203" style="height:117.05pt;width:421.45pt;" coordorigin="6167,3341038" coordsize="8429,2012" o:gfxdata="UEsDBAoAAAAAAIdO4kAAAAAAAAAAAAAAAAAEAAAAZHJzL1BLAwQUAAAACACHTuJAfYx64tcAAAAF&#10;AQAADwAAAGRycy9kb3ducmV2LnhtbE2PQUvDQBCF74L/YRnBm91sWqWN2RQp6qkIbQXpbZqdJqHZ&#10;2ZDdJu2/d/Wil4HHe7z3Tb682FYM1PvGsQY1SUAQl840XGn43L09zEH4gGywdUwaruRhWdze5JgZ&#10;N/KGhm2oRCxhn6GGOoQuk9KXNVn0E9cRR+/oeoshyr6SpscxlttWpknyJC02HBdq7GhVU3nanq2G&#10;9xHHl6l6Hdan4+q63z1+fK0VaX1/p5JnEIEu4S8MP/gRHYrIdHBnNl60GuIj4fdGbz5LFyAOGtLp&#10;TIEscvmfvvgGUEsDBBQAAAAIAIdO4kCp5AHjfAMAACEKAAAOAAAAZHJzL2Uyb0RvYy54bWztVs9v&#10;FDcUvlfq/2DNfTMzu7M/MsoGhd2QIgGN2iLOjsfzo8zYru3dDUJIULUquUVqTy0HOCBunCNI+Wuy&#10;DT3xL/CeZ3ZJskhFFQKp6mFnn5/Hz9/73vs83ri0X5VkyrUppBh64VrgES6YTAqRDb2b311pDTxi&#10;LBUJLaXgQ+8ON96lzS+/2JipmLdlLsuEawJBhIlnaujl1qrY9w3LeUXNmlRcwGQqdUUtDHXmJ5rO&#10;IHpV+u0g6PkzqROlJePGgHdcT3pNRP0hAWWaFoyPJZtUXNg6quYltZCSyQtlvE2HNk05s1+nqeGW&#10;lEMPMrXuCZuAvYdPf3ODxpmmKi9YA4F+CIQLOVW0ELDpMtSYWkomulgJVRVMSyNTu8Zk5deJOEYg&#10;izC4wM2OlhPlcsniWaaWpEOhLrD+r8OyG9NdTYoEOqEbekTQCkp++vKn+eFDgh7gZ6ayGF7b0epb&#10;tasbR1aPMOX9VFf4D8mQfcfsnSWzfN8SBs5up9uOwq5HGMyF0aAHjpp7lkOBcF0v7PU9AtOdThQG&#10;ncFiersJMYja6/V6YKqNs/5ibx8hLhGpgsXwa9gCa4Wtf+5RWGUnmgP3GE1Mdwu2q+vBGcYAZMPY&#10;/I9Xpwe/kBA9CTcMOuw6ZYWw0uTkq3F804Dg4j3o9x8mgk2KeMzNbStVPD/6cf7oxevDp3//dv/k&#10;6NeTo9/nL1+8fv7qzfHDvx4/OTl+AIU4+fPRm+OD+Oz06c/PYL/4Fmc5tVev7/SC7tr3imdICyJG&#10;kDVkilxck+y2IUKOcioyvmUU6ALqAOgXLq3lLOc0MehGbs9HccNzNOyVhbpSlCVWHu2Pq1+iY17t&#10;cWhLfTUJnbKgla4Zi9thUzlt3W0PtoJgvX25NeoGo1YU9LdbW+tRv9UPtvtREA3CUTi6h6vDKJ4Y&#10;DjTQcqyKhdDDaKU13iukRuy1RJ3UyZS6A6XuQgDkunEBERoTKUGsRrNvgGx4D2yruWU5mikw1/jh&#10;5eWEo/kds1gDA5rDFRdU9n61IDMotyiM4IBDrYFWOue0Av2gjd3hsiJoAMEAzxFMp8BvndDiFdxY&#10;SCyzS6AU5xyAHD0OdA3TmYC6bkIwPoUI4dSoj62lCMHzeUTY+++KsP2/CFdEGMIR01v9Zr1TYQhH&#10;bK3CwF01ll+sT6RC92GEm4M7nZpbDl5Nzo7BPnuz23wLUEsDBAoAAAAAAIdO4kAAAAAAAAAAAAAA&#10;AAAKAAAAZHJzL21lZGlhL1BLAwQUAAAACACHTuJAbtInr2J/AABdfwAAFQAAAGRycy9tZWRpYS9p&#10;bWFnZTEuanBlZwFdf6KA/9j/4AAQSkZJRgABAQEA3ADcAAD/2wBDAAgGBgcGBQgHBwcJCQgKDBQN&#10;DAsLDBkSEw8UHRofHh0aHBwgJC4nICIsIxwcKDcpLDAxNDQ0Hyc5PTgyPC4zNDL/2wBDAQkJCQwL&#10;DBgNDRgyIRwhMjIyMjIyMjIyMjIyMjIyMjIyMjIyMjIyMjIyMjIyMjIyMjIyMjIyMjIyMjIyMjIy&#10;MjL/wAARCAFmAn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ChY61dc/6Q+AcHgH+ldLpmtuT89ywGcgEL6/SvFI/FgQg/ZD/33n+dXrfxwsKk&#10;eRL+BHFef7CXY6FNHvaayVjB81nPbgHP8q89+LeotcWGkgyq224Y8DGOBXJp8RIlUjyrkH2C/wCN&#10;Y3iLxNBrMFskayq0TljvUDPA9z6VUKc09RSaNvwjqHk+J9ObcBiYckZr3X+3DFGGbySn97cV+nY1&#10;8w6Vq6WWp21yxIWKQMePQ13o+IenHBM7467SjAfoKU6cr6Id00exnWwSRtQcdRIf8KDqoABzGD6b&#10;yc/mK8cPjnT2wVu4/X5kbP8AKl/4TW1bkX8fIxgt/UjNRyT7BoeuNrqKSGAyASSGHAH61DL4hUKz&#10;KrHA7Fef1xXk0fiq18tf9OhBHUecMn9aRtfimQg3MRyOMSqSePrS5JBoert4niPRcEf7S/41D/wk&#10;McxO7fj1x/hXlD6s+WWKVSD0IbpUiatKCSHPGPpRyMLo9ai1WFwSrEN3Jjb/AAqZL+M8HIz/ALB5&#10;/SvKI9euNuCxwfTipx4gmXO6Y5J6g9KOVhc9U/tCAY/eYx2J6Un26FQcTphuoJBrzFPEk6ISG3D8&#10;KU+JJzGW7txg9/rT5WB6f/atuOWljI9c9ab/AGzaEfLPHycfe56968uHiSfH3iOOgJqGbXrlwgD5&#10;HcE8+1FmBxnjOYXHxK1CVSCGnXkf7opwrK1OUy+LppDjLS9hjtWsBXTPZEw6iilpRS4qCxKKWlxQ&#10;AlFLilxTA1/C4/4qWx/3z/6Ca9Wryrwt/wAjLY/77f8AoJr1UV04fZnDifiQtLRRiug5gopcUYoA&#10;TFGKXFGKBCYoxS4pcUANxRinYNVbTUbS/LC1uElKqGO3sCSB+qn8qBFnFIRUN5eQafbG4uX2QqQG&#10;fGQuTjJ9uetTg5GRyPUUAJikxUc93BbNCs8yRmZ/Lj3HG5sZwPfinu6xxtI7KqKCWZjgADuTQIXF&#10;GKXORkVGbiESPGZkDxqHddwyq+pHpwfyoGPxSUI6yRq6MrIwyrKcgj60vGcZ5oASkoLLu27huxnG&#10;ecUUAJ3opaQ0AJSU6kNACU2nU2mMaetFKaSgBKaadSGgQ2kpaSgYhpKcabSASm4p1IaAEppp1IaA&#10;G0hp1IaBjDUF2dtpM3pGx/SrFVNSO3TLs+kLn/x00hrc8lpKUiiuE9MKMUUtAxKDS0hpAMNZGqf6&#10;5PpWwaxtS+a6VR/d/rVw3JlsdBb+KdehtYYlsoWiRAq5gPIA471J/wAJbrn/AEDbb/vw3+NepRfC&#10;7VBbRAyWhIQA4Y+n0o/4Vfqf960/76P+Fcrqwv8ACaqDtueRFIT1t4z/AMAFN8mA/wDLtH/3wK0z&#10;YuBnYcetMS1bHTrzWikQZjWsJ/5dgPotUL+3SJEZItuTg8YromgYY4OT1ArN1mMrDED/AH6uEncT&#10;MaNVMiqykgnFaiWVoQNyOPxNQWkRN5Dj++P511qQSFgW3t2GTnH0pzmCRzv9mWR/ikH0Yf4Uf2RZ&#10;npLN+Y/wrrxacfMMjNIdOBJxGCfoM1HtGVyo5D+xYD0nf8QKadDj7XJ/74/+vXX/ANmRMchFHc7h&#10;0HvU0ukwIpYxJ+AFHtX3DlRwzaJjpcA/8A/+vUR0hx0mX8q7iTSYu0PHpzmq50mDkMhB55OR/Wmq&#10;rFyo5Aabdfw3Cj/gRFPFhqAHy3X5StXXDRIOgQk/7x60raJEOhcD+VHtRcpyX2bVh0vJPwmal8rW&#10;gci5kJ/67f8A166ptFRW6zYx2xSHRhgHfMMjPb/Cj2ocpy5GuEY81yPeRaPN14DHmPj6pXTDR2IP&#10;7yQH6Dio20s/89mP4Dmj2nkHKcbEZm1hDcf60v8AN06/hXTAcVgSp5fiMoTnEg5/CugA4q6nQIdR&#10;QKUCgCnVkaCYopcUYpgJilxS4pcUAa/hYf8AFS2P++3/AKCa9UAry3wr/wAjNY/7zf8AoDV6oBXV&#10;h9mcGJ+JBilpcUYroOcTFGKdijFADaWjFOxQIaKMU7FLigDI1+6ktdKkWFgtxcEQQn0ZuM/gMt+F&#10;VPC9ikWjNMgaMXfzRkcMsQG2P8doB+pNWfEtsJNKNxs3m1cTlR/EgBDr+KFh+NO8OzGTSVt2ffJa&#10;Mbdm/vBfut+KlT+NJ7of2Tnddu420LV4UvtWkeBZIHDwB4ywHdhHgDBHcfhVxXhuLix006rrUckv&#10;zxL9mWFcx4OMmIZHtyPXtVW7GPC/i4/9Pk3/AKClal28cvi7QxG6vsiuQ21gcHCDBpMuy/r0K3ii&#10;6lTUNHRbG4k8u9DqQUAkOxuFy2c/UDpVV7TT/EdyIIdOtbeJWD303lpvL9TErDqc/eYfTqaueIrx&#10;G1jSILVTd3UFyZZLeFgWVdhGW7KMkcmsC+sYdbvgwsbaNr6VbaHykByqtvmmBwMj+EN359aGxJaI&#10;7O+ntLXRLmRJ2hgtEOTaldybB90ZyM9sH1rmpLd21K+ulvtXxLaCFGaxbcxBbIb9zgLyOnPWtPw5&#10;YWcukX8bWsJtZb+dvL2DaVV8Dj0G0flWVY3Onf6VJJNaSCe6lmjZdV8s7GYkZUEY+nvTEla5Z0Uw&#10;Wc+j2UmqX5uFhMa27QeXCSFG4cxqTz0JJP58rdzXkniW7vbM2YFukdkhuZ2jBcsGYAAHJO4L1GD6&#10;1Z8Hx2otLko8T3SzyeZtm80orMWUbsnsR06kc8ist7CdPGDRw6Pp8sgs9+Jpd4cGbJckpneefpnr&#10;2pdB6Nsz5dZYX1s7X9rLLDBcx29wZVyFYoEZ/RgN2R1O3pmuuuLy1g8P2y3N5LPHdIsC3MSks5ZT&#10;hgF57Z4rmNPvdngUxf2rZp/o0v7h4Mvzu4B3jn8K6FotOOlaQ1/OYZIYFaBg5Xa2wDPoSM96EEkj&#10;GttWu7Uw388zPP8AYWjuIvJceZKp/dn7uM8nJ/8ArVseHLuyjto9Jiv2urqGESSM2ecnnGewPbsC&#10;KzdQ1SNbmGxs/EMoedGJuJJYtkQHr8mc88DI+orX0O40wyz2lpeC7u40Qzzk7mk4wDnvjHbpn3pi&#10;exS0TUrw6l9ivpjI3lvFkgD97E2G/wC+kZG/OukrlLlfM8V5teH+2QjP+0sbeafp5bIv1xXWYoRM&#10;jB8VXt1Z6LM1rFcB8pieJlAQ71GOTnnp0I55rIufElxewIBjTgb+O381plJAAzJntgbSM9DU/iyG&#10;OVLgxxWpCRZup3ti7RADghtwBbGMLg+vArMsLIaRdWeoTx2USQEq627ZIV45Mb8k8jaoz3yetKTd&#10;y4pWOyg1KxuYppobuF4oGKyuHG1SBk5PTpWNHqeq+fEjW7SeVfm0mKpxJGwyso9MDGe3J/B1loz3&#10;fgi30/zfs7zwKZGCZIDHcwxx6kVWv9NtdOiEk+m6OFdxHGEtW3OxzhQADycU7sSSNXSby5uzcTzt&#10;GLeWZhZrjDFF4z7g4JHsanuri9il2wWKzx4zu84Kc+mCKxtH0NEu7e8vbW2tLuMOYLa3bG0E8k88&#10;kAgY6fnxbubi4ttQtbNtSHnXRbyl+y7uF55wRj600JpX0Hy32qjb5WjMTvG4m4jwFzzjnrjpVy5u&#10;4rUqJFmO7OPLgeT89oOKxdMv9R1WwhJ1C0t7i4iaRVFoxIAYrlSXwSOPpketWNRkuLawtrJ7tlu5&#10;RtivAu1DKoyA45wGwfUdfalcOXWxSj8WIbGKZ4Tve7MG0I4G3cV3ZI64GcVsWep21/NPHAXJhIBL&#10;IVDZ7jPWsDSjc30j28cFmlvB5d3Crq5wXZyGzu68bue5ra0C8ub/AES2urooZZASdgwMZOP0oTY5&#10;JI0aSlopkDaQ0ppKBiGmmnUhoAbWfrJ26Len/pg//oJrQNZmvnboV6f+mJFJlR3R5b3ooorhPSCi&#10;ilpAFJS0lAxprKuBv1WFfUqP1rVNZEzbdYiI7On86uG5M9j7Ja5j2gBhx71H9pi/vL+ded/8Jfld&#10;3mDB9ai/4TFfX/x015zbNylceGW3YB+X0x0+tZq+GpPnAjwTknI464qwvxp0Qg79IvQfZkNPHxf8&#10;LOd0mnamG5yQqH/2cVt7Kp2M+dFCTw4RvIiJz2A5BFcx4y0g2VlZylSC0wU8Y7V3P/C2fCDnP2bV&#10;FPvAh/8AZ65rx3418O+IdHtoNOFys0Vwsh82IL8oBz0J9auEJqSuhOStocpp1mZdStEx96ZF/NhX&#10;p0Og/dO089SRx+IrzrRtb0y31WymnkZIo543clCcAMCelexweP8AwRJtI1iNTjoYpR/NaU1K+xV0&#10;ZTaGCmwjbkc4HTr+FSR6IJMrtwQMgdP8jvyK34vGHg6QYXXLIf7zlf5irEfiDwvKCo17S+fW6Qfz&#10;NRyyDmRzo0IEAnHUHPt+WPSoJtJ2o2EC5U9D0rtI9T0KUjZrOmOe227jY/zpz/YJwdl5atgfKBKp&#10;5/OizC6OGudLPmKojPzDOOAM+lU59NKMQyj6kYFehPYxso8sqc/3WBrPn0hiRhHz2OB09M1LbQHE&#10;w2RyflBUccAY6VZj07cBxwOh6Dj9a6yLSCBhozj6VOukBYyuDuJ4Ow8UrsDjjphLAiP5uzdf/wBR&#10;9velGkBiSV6EnpxXarpGCCQx+i//AFqk/soA4CkfgRRqBwb6SxyAnc+1QTaQxIIOFBzjbz+PFejf&#10;2WCe2O/Iph0hFTqmPQkflRdgfNOsxeT43uI8YKzDj8BWqBUHi+HyPiXfxjos4/8AQRVkCuyey9CY&#10;dRQKXFAFLioNAxRS0UAGKWgClxQBseFR/wAVNY/7zf8AoDV6oBXlnhQf8VNY/wC83/oDV6qK68Ps&#10;zhxPxoSlxS4pRXQcwmKXFKKKQhMc0uKcBS0ANC0Yp2KMUCI2QMpVgCDwQe9U9O0i30wMLcyYZEQh&#10;2zwgwD9cYH4CtDFGKAMjU9Ciu9G1CwtdsDXpZnc5PzNjLH8qnj0ixi1N9RS2QXjxiNpQMEj/AB9/&#10;YVo4pMUWC7KU1hAUuWS1haW4XEm4YEmBgBiBnGOKyZdEvYklvLS8T+1Sm1XeIeUEHSMLyVXvkHOe&#10;TnpWteX62V1ZxSRt5dy5iEg/hfGQCPQgNz2xVG28Q20mn215dK9st1IyQhgW3gZKnjplRnmiyGrk&#10;mkaW2laHDYmTzZUVi79NzsSxP5k1T0bT9Y03RbSyaWyJhjCkbW/nnn8qvDW7GXTrm/gdpoLZyspR&#10;Tldv3uD1wDn6U2TXdNiXdJOwT5cP5LlDuxjDYwc5GPrRYLsh0iwurW81Oe68nNzOrr5ROMBFXv8A&#10;SorrQftfiSPU5J28iO3WLyFJG9g5YbvUcg49QKtwa5p93PDFbyvL527a6xtt465bGBUsmoRR6pBp&#10;5VzLNG8gKrkKFIHPp1oC7uYA03V7XwNDptvBC9ybdoZY3kxjdkZBHHGc10NrCbezhhJyY41Qkd8D&#10;FRx6jbzapPpybvPgRZH+XjDdOfX2qzLJHDG0krqiKMlmOAPqaEhNtmBBBqk/i37Td20cdtbW7xxy&#10;pJkSb2Ujg8ggLzW7IWCMVG5gOBnGT6VSXXNMaxW9S7ja2eUQrIuSC5bbj8/056VfNCQNmBoukXFp&#10;dG4vNpkEW0EHOXc75W/FsKPZK3Kcagt7uC680QSBzDIYpAOqsOoNMTdzmfGdkZLGV1XUZ5J0EUcU&#10;Mh8pHzwWUEdc47jinajpKarpz6XpdtBa2Q+Z5vKAV2HKqo7jOMt6cDPOOo70GixSloZNhKms6dtv&#10;rBopEbbLDNH8ocd1PQj0IrC1q0sTq+madFpsqSG7STeqYR4wCWwQe2RnpXYjBGQcg9KY7ohUM6qW&#10;O1cnGT6D8qLaWBOzKEejWEN2l2kB8+MEK5kYkA9RyelZzyR6bNNrmqpIrSL5aBULi2iHIB255J5J&#10;6ZwO3O+siO7orqWTG5QeVzyM+lNkEbL5cgUq+V2tjDcdMd+M0WEn3OUs9OuLrwNp7WuY7+BBPbN0&#10;O7JOPowOOeOat+Jnuxo8KiSKIzyJBMNuT85Cnac8EZP4GugBU8KRxxx2pskUcq7ZEV1yDhhkZByD&#10;+dK2g+bW5yd7cW1nrGqQSakumPJDB9nkOAPlD9jwRzgir3hu6tmim0+0uEuILJY0SVOQ2VyTnpnO&#10;a32UMMEAj3FNCqowqgD0AosDd0IaSlNJTEIRSU6mmgBMU006kNADTWT4lO3w9en/AGAP1Fa9Yvik&#10;48OXfuFH/jwqXsXD4keZ0UUVxHohRRRSAKQ06mmgYxqxLvcdSwh+fcoX68Vtt0rH2CXXI4z0aVAc&#10;fhWkNyZbGmX11f8Al5c5/wCmgpPP17/nu3/fS1svp6qCQ8nX1FRfYv8Abf8AP/61Zc67Fcp6AvwU&#10;viM+fppHblv/AIikb4LagAflsWx3B/xFeg23iZX4HBxnrWpb6ysibs4OcHPX/PSsFPzK+R5FJ8Gt&#10;UXO21tW+jqK5nxd8PNS8PaSl7NYxpGZhGXR1bqD2BPpX0Ub4Njk5zXCfFq58zwTx0+1Jx6cNVxk7&#10;7ky22PCrPQLm7vIYY4d5kcIAGxkk4713Z+EepBctp1yP9xwf8ay9DuhHqtmen79P/QhX0Yl8irt3&#10;5I6nPSnKpK+47JHz+/wq1BeBp+pf8BiLfyWq7fC7Ul5+x6kv1t2/+Jr6M/tGMjKt79acuoLnLP8A&#10;rS55dw0Pml/hzfp/DdL/AL0JqtL4DvYwczMuP70R/wAa+oRfjs36Zp39oLggt+vSnzy7hofJ8vhG&#10;6iGftKH/AIDj+tVf7EvY2wlxz7EivrGe9jaLGQfwzmufvBavOC0ULHHPyA0OrJBZHzvDpmuL/qb+&#10;VfpM4q0tr4sj+5q10v0u5BX0RZw6c6DNnbN9Yl/wq7/Z+lMRnTbE5/vW6H+lL2rYrI+bg/jaM/Jr&#10;moD6X8g/rUi3/j5B8ut6mQP+n5j/ADNfRf8AZGilj/xKLEe4tlH9KP7C0Vmz/Z1sB/spin7R9kFk&#10;fO6678QU6axfn63Gf50//hKfiJGP+QpeH6sh/nX0CfDmgHOdOiPb+If1pj+FvDxHzaYmO53v/wDF&#10;Ue0fZDtE+VZ7u+vvE5udTkaS8eQea7YyTjHbjpiuhA4qLxtZ29j8UNQtrSPy4EnXYuScZQHvz3qZ&#10;a1qO9hU9mKKdSClrI1CilxRTAKWiloA2fCg/4qax/wB5v/QGr1QV5Z4U/wCRmsf95/8A0Bq9Trqw&#10;+zOHE/EhaKKWug5hRS0gp1AgFL+FIOtOoEH4UcelHFZN34dsry6kuXkvEkkOW8q6dB0x0BwKARr8&#10;ehpOMd6wj4Wtx93U9YT/AHb56P8AhGAPu65ri/8Ab5n+YouOy7m/8uO9JxWH/wAI3KB8viHWh9Z0&#10;P81pP+Efv1+54k1If7yxt/7LRcLLuc94vMg1PU2iVzs0+D5knMezMrjoOuQcVWhX7HrRMdvIpi1N&#10;tsHmGQ/LaEhQcnP/AOodq1PFmkyHTLy7mt7GaQJFEJ3BMm0OMdsA5Y5xUV5ZXGj65pksOn2ohe5k&#10;lFvZE7mcQuCRuwvTHAx096l7mieljUihnsvC9mbHy7tsLJMvG24DnMhBPTli2fbFcurXd2skEd5J&#10;FbzXFnLbwKilVV5SVAyMgBI1OBxwa0bj+07XwBe3KMbIs80qwypllikc4X/ZPzZ9qkEcNl4uuys1&#10;kn2a3t0iW6n2AfKwyB3IGRntk+tHQlaXYzwhLdrPZWr3Ze2axkm8soBhvOx1HPr+dVb8TJpms6sN&#10;Ru4por426lGBCxiYcDgn+I9D6dhitHRYIIvGE5t0tFVrHcfssxkXJlyevT6Cs6ezt20i/uSv7860&#10;QDuP/PwB0zjpR0Hpe5NOLuDw/rWtxX0sF1Nvd4lRcx7RtVCSMghcfieKn8ZbU8Mztc2H2hxbBRds&#10;I/kckDoTkHP90d6l8UaeLbRddu0kYm9WJTHjgEEJke5BH5VH46je50eeIAiC3QTO3ZmLBUX36sT9&#10;F9aYlq0V9deaOzt9QvofsdvZzjyrRZ8PKOhYMhGGCngA8YOeDxraXYNYaVcTXklxJLdHzZVikklK&#10;ZAAVCMscDAyOeM9MVjappUNusVm/2iPTzOYpbt+WRGJZY03Z2xjADHoeOvOLmn382naLfavczSya&#10;eoH2OJolU+WvCnCgYDEjHHAwaFuJ7CfaNM+0xy2ceq3d3BL5aq5uSsbEYO/cCFGDzkHr0qrpmp31&#10;kZybKFlutZeFmE5O0scHHy84wef0ptlqsOjpZ3GZ5La5ZzezvbPGDK2WDgsBkcEfTHpUkcEsWneH&#10;kmUrPcaibmRT1BYSPg/TIH4UXuO3Qv8AiiGKDRb+/Vp0uEhIRo7iRMN0U4BA6n0qoH0xTZ2c6ayZ&#10;bkiHLyXSAnaSScsBjjt/KtLxLa3N7pS29tAZ988RkQMAdgcMepA7VSu7ia68U6JHLZTWwTz5f3rI&#10;d3yY42sf73emyVsL4hgTTfDCx2j3EKwSRJH5UzhgpdQRkHJ4JGOaw/IF4urTJHqTNFchIpzIS0CR&#10;7H5WVwc53Y4J5rf8YOqaEN0giBuYMucYX94pzz6dawbW6mOn+JJ475mgEszmXyAUk+RQMNnGT6D+&#10;tJ72Kj8NzY8PvJPd3F+2nyot+POFy7J9zpGmASfu4P1JrN1SU3s9qqaq8gtb/MnmQKAmzcCcgfNz&#10;xj3rT8NRXzafYvLegJbRtbyWohAwy/Lyc9Rt/I+9UbqKzstd8mHclvFBteOG+ELeYzb8nLqTwc/j&#10;R0F1KS3BtW1a4l1+K1E0ysJFhDOwCqMgZ49MVs65LcTXGmWtoGlkMn2mTypNmY0Hr2BLCqdiltde&#10;I2WUy+S0CmKK4vRNvdWJJwHbOODz9ab4ptN2oWMpsPtBluoo97SLyvzfuwD0B5J9aOg9GynqmrXk&#10;sYiu2hWNpbeQ+TMGMTb1yoK8kFcMD710eiXM95aSzzzxuXmbbGmMwjPCMR1I7/Wub05o7fVNSjuD&#10;pOmuDCpt7lQ4XEY+6d68VteFQn9n3TIYmVr2YhoRhG+bGR7ccUluEkrG4aSlNJVmYlIaWkNACUhp&#10;aQ0gG1heLjjw7ce7IP8Ax4Vumuf8YnGgOPWRB+tKWzLp/EjzqkpaK4j0QooopDCkNLSGgBjdKztN&#10;jM/im2jGcmcdK0W6U7wRHHP8Q9PWVlVPPckscDhWP9KuOibJl0O7fR/m4A+hPemf2Uf7v6GvSn06&#10;1c/JLET7MM1F/Zif7P8A30K4eaRtoebQ6owPynIAxgnI/wAK1LTxFtjBXLNnBw3Qe2a8vHiM/wDP&#10;uff95/8AWqWLxMEB3ROc84yDit/YvsZqZ7GPEoUbtzHjPbj8K5fx9rYvvDQRZGK+euFI6cGuM/4S&#10;1SNrRSbfTiqWqa7Ff2YgVZAQwOWA/wAacaTTuDkiSyvDHeQNk/LIp/WvYP8AhJyiE5zzgjPT614M&#10;lyFdSc4BB6V0KeIbYD/WOD7qac6TYKR6sniggFnfPsG6/n/npU6eJckhWYk9yw9PSvJV8RWwbcJT&#10;n02Gp4/EFpxm479TuH9Kj2T7BzI9XXxJIHUs7Yzxx0+tOfxM3AWQhT3bvXlY8Q2wUr9pUjOeWpBr&#10;0HzbbiNWPJy/X/69L2bC6PUH8RO6AiRcnpk8kGq7a3ukX58c9CeteeLrcDf8vETZ9ZRUyatCcH7Q&#10;mf8AfHB/Ok6bHc9RtNXyAxIxjBzz29K0TrXyqV+UngZ715VHraR8CVCTnjcP8asx6zITt3rgjHyv&#10;nH5VPIw0PUW1cjA8wgZHP/66mXXU+6z4PbIxkV5emrFcYOeO2f8AAU8arIxKkOBt7nAJ+o5FFmB6&#10;emsptADjPUc5yKWTWEOPnOOmAea81XWWC5Llu/JyB/Wga7vLKXbgc5PP/wCqizHocJ4xlE3xNvpB&#10;0adf/QBVkCsTU5mn8ZyyuclpQefoK3BXTPZegqfUUUtApazNAopaKAEp1JS0xm14V/5Gax/3m/8A&#10;QGr1IV5b4V/5Gax/3m/9AavUq6sPszgxXxoWnCm0tbnMO7UoNNpwxTAAeafmo+9PoELRmkpaBBS9&#10;6KOKAHdqSikNAFa9soNQtXtrhS0TkFgDjOCCOR7gUk9lBcXVtcyKTJbMzR88AsNp/QmrVNNAFe8t&#10;Le/tJbW6iEkEo2uh7ioo9OtY7y5uhHuluNgfdyMKMDHp1NW+tGOKAuymmm2sWoNfRxhZmiEJxwNo&#10;JPT1yaoHwxpBBLWaNIbg3BlKjzNxfd97GcZ7elbRpposguzH1Hw/aalewXMzTKY3DvGkhCTbeV3j&#10;ocEVY1bT11XTJrJ5DGsu3LAZIwwP9KvU09adguzMm0j7a4OpXLXMYOfs6rshJ9SvJb6Eke1aBUEY&#10;wMemKfTaLCKV7Yfb5I0nfNqhDtCB/rGB43H+6OuO568cGiNBb+301GS/uJYYtzxWznISRgQSD6YP&#10;A7VtGkosNNopS2140rNHflFJ4Uwqce1UJdHvJNQivjqQ86KNo0zbggBsZOM9eBW0aQ0Bcy4dFiNr&#10;bR6k66jLbMWjmmQZyfUdCf8AAVSh0K4a4uEu5IjZPetdiNCSZDkbVbI4AwDjnJx6c9BSGiwczMmH&#10;Tbi01y4uoJ0FncjdNAyknzQMblPbIAz9KrJp1/FrOp3SR2rRXLxlBKTn5UAPTpzmt4000WC5hLp1&#10;42v2d5Jb2kcUEUqs0LHJLbccED0NS65pU2qxWaQ3Jt/JuVlZ1+8AAR8vvzWuaSlYOZmJp9hdafPq&#10;zwRLiSSP7OJZDhwsaryeSOh5NSaBbXNtppN5EIp5ppJmjDbtm5icZ79a16aaLBe400004000xCUl&#10;LSUAIaQ06mmkA01zfjQ40RR6zL/I10lcz44ONHhHrcD/ANBalL4WaUvjRwNJS0VxM9AKKKKQwppp&#10;1IaAI26GsnTNOk1bWhaRlg0jMcquTwCen4VrN0rf+C52/EaOX+7BKc/hj+tXF2TZMt0Zz+BLpP8A&#10;ls4+sJ/xqH/hC7r/AJ7/APkM/wCNfVDX4GDv6e9R/wBor/erD2ku5ryw7HySbWP2/wC+RTBbRknh&#10;f++a1DYyY4Gaj+xyZJ561fMZWKH2ND2X/vmq95arFBvUL1xwK1/skuMYNVtTgdLIs2RhhVRk7g0Y&#10;yKNwBUHJrUXT4C20xDP+8apLH8w4710YspVycfpTnMaRnf2VAf4B+DmmnSoP7jD6PWuLWQDJUg0p&#10;t2JztP0HNRzvuFjG/smA/wDPX/vsf4U06TD2M35j/Ctr7OW6DP0pBasOBxg0c77hYxv7HjI+/IM/&#10;SmnRkH/LV/8Avkf41uLbvgDac4p7WjjGV4+tHtJdwsjB/sTPSZ/+/X/16T+w3PSRj/2yP+NdCtq3&#10;Ug5qUWpGPlJPtR7RhY5k6HKOjn/v2aP7GuB92Yj/AICwrrfIYxjGeaT7LI2Vwc/XBo9rIOVHJjSr&#10;tcYugP8AgTD+lO/s/UB0vR/38f8AwrrRaOCAdw96kNpKOCrYx370vasOU4G3SSPW40lfe4kGWznP&#10;4musFc9dDb4sYeko/kK6EVdV3sVS2Y8ClpBTqyNRKKWigApaBS0wNjwr/wAjLZf7zf8AoDV6iK8u&#10;8Lf8jJZf7zf+gNXqIrpw+zOHFfGhRS0gpa6DmFzxQDSUUAPzzRmmiigVh2aUGmUuaYiTNGaZmjNA&#10;iTPFJmm5pM0APzTWNJmkJoAUGlJ4popCaAFzTTRSGmAU00tMPWgQtJS000ABpKDRQAhpDRQaAG0h&#10;paQ0AJTTTqaaAG0lKaSgBaaadSGgBhppp5phoASkpaSgAppp1NNIY2uV8cnGm2w9Zs/+OmuqrkvH&#10;R/0S0X1kY/pUz+Fl0vjRxFFFFcZ6IUUUUgCkNLTTQMY/Q1f+F119k8XNLuC/6M4yfqtZ0pxGx9jV&#10;Hw3qMWmahJPM7KDCUBUHqSPT6VaV4sh7o+gpPEO0ZZ8+nFM/4SVP77fkK8oHiyyIwbhvcFG/wpn/&#10;AAlFl/z8n/vhv8K5fZSNeaJ3DeG1MrYjIxxkCm/8I18zfLgen4CsgfGC3P3tCcfS6H/xFL/wtqyY&#10;5OkTge06nt9Kfs6nYnmRpjwyHOAAc1keMPDn2DwvJPjDLIueOnNWo/i1pYI3aXdAd9rKaqeKfiVp&#10;Gu+GZ9NgsryKaQqQzhdvBzzhqcYTTQOSscZDZb2QY6kV7KfCB5zFz0x7e1eO22uWkcimSKXAI6KP&#10;8a9rj+MPg5zkm+TP963/AMDTlCTHzJIpHwZkqyrgAdlwKd/whwAP7sAnnGK1U+LHglyM306/71sx&#10;/pU6fFHwKwIbVyM+tpL/AEWo9nIOY57/AIQ4lsbOO54H/wCulHg4g42MDjofX+ddInxJ8DyN/wAh&#10;2Mf71vKP5pU3/CwPBMgyuu2uR03K4/8AZaOSQrnMp4SAUfuudvUjp701vCD4H7sHrwBXVp408Hso&#10;A8QWI/4Hj+dS/wDCXeEZOmv6b173Cj+dLlkFzjX8KsgUCPJ980N4XJQkLt6dR0rs/wDhJPCzfd8Q&#10;6Rz63iD+tIuueG2BC69pBHcC9iwf1pOMgucYPDrYBxgZwCR/n/PrQfDbY5B/Ln/61dumoaC4IGr6&#10;axP927jOf1qcXOkydNSsjnv56HP61NpBc4ZPDvQ8bhzjGQKefD4wWTgAZ68f54/Su6T7DJ927t2X&#10;npIv+NS/Z7eVVCyRn2BBpWkO58u+Ibf7L8QLmH+7Ov8A6CDWsKi8fRCH4sX6L0E0X/otamWuuey9&#10;ApbMUUtApag1CilxRQFgoxRS0BY2PC//ACMll/vN/wCgNXqFeX+F/wDkY7L/AHm/9BNeoV1YfZnD&#10;iviQtLSUtdBzBRRRQACloooEFFLRTEFLRRQIKKKSgANJSmkoAKSlpKBBTTTsVTjuZJTGUjXbJGHA&#10;LcgHHtjoaALVMNUrnUXinaOOKNwM9ZCC2ADxhSOpx17U+e8MUsSpGsiy/dYMeeM54U8dPzFMLFqk&#10;psLO8QaRAjHsCTx26gH9KguL2O2nSJ+SyFsA88EDp+P6UAWDSVBZXX2u3WUoY844Jz2B/rTraYXF&#10;tFNjb5iK+3OcZGaAJKQ0tIaBCUhpaQ0AJTDTzTTQA00lKaSgBaSig0ANNNNONNNADaSlNJSGFNNO&#10;ppoAbXH+Oz+6sR7uf/Qa7A1xfjs/NYD2k/8AZaip8LNKPxo4+iiiuM9ESlpKWgBKQ0ppDSAguDiB&#10;z6Kf5Vl6TapdTSB1BVV7kjv7Vp3Z/wBGl/3D/KmeFoGlmuSqlsBR+ef8K0TtBsh/EiVtJgHSJT9G&#10;am/2VD/zxH/fRroXsWVMlTzz9Kh+z/7S1jzvuXyo9N/4RHwi7Y/s6MfSV/8A4qopPA/hV3IW1KjH&#10;948fnXER6/OMDzGH0OKuw+IZd4JkY8DneazSkO6OpT4e+GWYYgbH1X/CqPjHwB4f0/wZf31pAyXM&#10;SoUbC8fOoPRfc0ln4iIYAyHOO9P8Xa+s/grUId5y6pgcf31ojJ3BrQ8zttFtJFQtuGQO9e5x/B3w&#10;jJbRsIZcsoOd5/pXhNve4jTntX0HZeKIvscGZDyg9OuBVyk76sFa2hmt8EvCzt8rTj6O2P51EfgX&#10;4cY4FzOMf73/AMVW7/wlcSMNzgEjv/KnHxcmSC6Yx19P1qefzEc0fgNojfc1KdfrGT/7NUR+Aeln&#10;hNWlP/AMf1rqB4tjI3CRSPcH/GkPi6E8mVSOn3ev60c/mByR+AVkRldWl5Gen/1qrv8AAOHgprDc&#10;9uP/AImu1Pi+FcZmBPbA/wDr00eLoWOVZWzz96j2nmBwkvwFdR8mroT7n/7Cq7fAm6HTVIfxJ/8A&#10;iK9GTxMjn5dvPPDf/Wq5Fq6uACQo92/+tSdV9xWPKT8C74LkanB+Z/8AiajPwN1Mn5dRgNezJerk&#10;YKf99f8A1qkF2AeSo/4FR7WXcDxM/AzWf4b+H/vn/wCvUL/A7Xh927gP4D/4qvd/tYBHz/rQ16rd&#10;ye4xj/Gn7SXcND5K1DRLnw74xbSbsgz28qBivTkBh+hFdCBTPiG4k+Ll+w6GaH/0WlSLW1R3SLpb&#10;MUCnUgp1ZGwmKKWimAlLiinAUAa/hj/kY7L/AHm/9BNenivMfDP/ACMdl/vN/wCgmvTq6sPszgxS&#10;99C0UUV0HKLSUtFABRRRQIWiiigQtFFJQAtJRSUALSUUGmAlFJRQICSASuM9s1RSzMUqMsELbEVA&#10;WPPB69KvVQv7iSOSNIyyk5bITdu4Ix+BKn/9dADLm1lklndU3BgcAsAScKBg+20+nLfjT760a6CM&#10;GIdWTGGYEDepPRh6fpUT30gt7aXJVZGzlgPmXaT68ev4UkF5cSW8ufml2Ky7FDY3FgDwTwMdPbvQ&#10;BfjUogUtuxxnn+pNVby3ad0wFKhSDkkfxKexz2pLe4nedlcO2ByNmzbySOuCeMD8M96qWuo3M0x3&#10;xjyxIyjaVO4Fhjv0AOfwzzmgLFmyt/s9rseLcA7FVxyBk46k9sd6XToPs9pDG0AjkjiRCwxzgc4x&#10;VaTUJy91HEAWjYgFUZ8cDrgeufWtNTuUHnkZ5GKYgpKcabQAhpDS0hoAbSGnGkoAYaKU0lACUUUl&#10;ABTTTqaaAGGkpxFNNIBKSlpKAENcP46P+k2Q9Ec/qK7iuE8cn/iYWq+kRP6//WqKnws1ofGjlaKW&#10;krjPQCkpaSkAUhpaQ0DKt6cWkv8Aumus+E2kDUYdWkZN20xKPr81clqHFnL9P61seBfHtz4PtbyG&#10;30uO7Fw6szMxBXAxjj61bTdNpEN2kj1e48LBiMA571H/AMIhF/zzP51zY+N1yDlvDcWfacj/ANlp&#10;/wDwvCb/AKFpf/Ao/wDxFc3sZl86OGVhjBpRKUb5ST0rDGqyjrEPzNKNWcHJhB/4FW/s2Z3Okiuc&#10;YPHvkZpmr3ryaTcRkkgge38QrAXWmX/liP8Avv8A+tTbjV/Ptnh8kruHXf7/AEoVN3HzEKSkADNd&#10;LquqahFZ24s7jyAyYdlYLk445PPY1yAkI7Van1CS5jVHeQIMYUYx0q3DUXNobugalqhlWOW6MsIU&#10;vhmDkemT16+9dIL2V1JDsB06n/8AVXBWeoNaIwSaRcnOPKVh+taVv4hhVT5/ns59FAA9utROm27o&#10;aZ1i3bbRguTyODkn+VC3ZyR75yR/nP51zI8Q2ZJ4mHHXYP8AGn/8JDZ4wHlHuFqPZy7D5jqkuQx2&#10;kkcc7mzn1qbz8naoBOeSTjFcoPENjgfvDnGP9WaeviKwGAZjjvlG5/Sp9nLsF0djb3kiSbjjd3xW&#10;1bamw+UOOBmvPE8S6aAR9pOD1yjf4VMnijTkJK3e3twj/wCFS6TfQd0emx6wp2hiOnTru9KnGtFW&#10;JGcY/hHOP515eniewZsyXSsRjBIP9ast4p05ut3Gc/XH45qfZS7BdHp51sj5d7ZA6bc1Vl19RjDZ&#10;PcDmvOz4osCMfbYsgcHdx+VQP4hsnXBu4DnqN4A+vWj2ch3Rz/im4+1fEa4m67pov/QFFaq9K5e6&#10;nW58WCZXV1aZMMp46CuoWuiorJLyHR6jhTqQU6szcSiilxQAgpwopRQBr+Gf+Rjsv95v/QTXpteZ&#10;eGf+Risv95v/AEE16aK6sPszgxfxIWlpKK6TkFooooAKKKKAFFFJS0CCiiigQUlFFAwpKU0lAgxR&#10;WfqUbzsIowN23PCgnjJ/LjH41HG8n9nO8S7WVjgFTHk4wNwxnGeT06UwsaY6ZqvPA8sqOsgAUEbS&#10;CQc454YelRWuZbdmgCiPGyIiQlflJGQPT8ecUy0VnmYxcxISpJYjdJ/Fx0xnIPuDQA97AyWsMTSn&#10;dGSd+3OflI75459e1LFZLE8hDfIyqoAyCNue+ff2rMhuHlmt5GTHCBSfm6lB1PJOCwz71flMv9qw&#10;gSRgCJwcoeCSu3v32t+VADrewWCIhmLOS5LAnHzEngEn1qGPT3i8kibmKVpMMS2dxOeSc9Dx70zU&#10;JzDJue4hUrhVVZdpJOOoJ9c/gfyHZvJtihEnLLG0LHbnBxkZOcAEE56/XgAWXT3kj2hoV2yeYF2f&#10;K3PCn0HA/H24N8ZwM4z3xVAPKlkWRJUHmKqgvl8btpzu4H1696gs5LoNI0jMWVCMSEgBiqEZ59S3&#10;SgVjWNNNZlrM32xYxcM+07W811xnA4+VjlsDOMdye9RR3TkRf6VKWcKSArHB2DPRWBGGBxxz+jFY&#10;2KbT6ZQAhpp4pxptABTTS0hoASkNLQaAEpDS0lADSKYakNMNIBtIaU0lADa4Lxwc6vAPSAf+hNXf&#10;V5741OdbQekC/wA2rOr8Jth/jOd7UlL2orkO8SiiikMKaaWkNAFLUj/oUn4fzr1n4JaXYXXhW+mu&#10;7O3nc3pUNLGGIAReOfrXkupnFm31H869Q+Emp/YfCU0efv3jsR/wFR/SnPSmR9o9UbQNFIOdLs8e&#10;0QFR/wDCO6F/0C7T/vkVl/8ACQoc+gHJzUf9vw/3v0Ncjkaanh/2KX0JpjWrbsY6V6nL4TYEkR49&#10;/wD61VJfCbCXiINwM5ArRVBcp5r9lbPK8VU1G2CWMrbABxg4HqK9Mm8KuJQPLJXuSKxfFGhNb6Fd&#10;yhMBFBzj/aFVGp7yBx0PMxHkDit2CwiwrtChyo6oKoxWxZF47CvULTwq0lnBIF5aNefqKupUsJRO&#10;FGnWzH/j2jx/uimjTLbvAmPpXoZ8KyCMkxH7vTGaiXws7hl8vb3yKz9r5j5ThF0m1P3rZcetNbR7&#10;Xn9wAf8AeNehDwxICB5QA60Hwy6nGwjvwuTR7XzDlPO10a0IG635Pozf40p0O0Jx5TD/AIE1egf8&#10;I3hCAuckdfpSnwy2fuNnOAQOlHtX3DlPPToVr/cbHf5zSHQbTAwJCT2DV3p8OShsFTsA7UNoBQk7&#10;CMfjT9s+4cpwX/CP2p6edn/eH+FH/COWxz80/wD30P8ACu+Ph9i2Qob2J9u1OXw+3lhjGQD65/wo&#10;9q+4uVHn3/COW2R883XH3h/hUb+HYAMiSbGcckf4V6K2gupXcjbc8Y5xUcnh+UZVVIJ5A9aPbPuH&#10;KjypLcWniCKAEkLMgyevauxUVzmrW7WvjYwOCGWaLIP0U10g6VrVd7MuhsxRS0ClrE3EpaKWgAFL&#10;QKUCmBreGv8AkYrL/eb/ANBNemV5n4a/5GGz/wB5v/QTXpddWH2Z5+L+NC0tJS10nIFFFFAC4ooo&#10;oAKWiigQUlLSUAFBpaSgYlQpeWzzNCk8ZlUlSgYZBxnGPXHNTVhSvcR/2u0P2sO5cxKtu2CwiUBg&#10;dvPKke9ArGxJBDK4eSKN2AwCyg4H40wpaxKIMpGGbhFbbknJ6D1wePY1kCe9W4kUNevGS6jdCRgb&#10;48HO3jhn59Bx0ot7i6lksluRMSBCWDQkYcrJu7D0X8x60BY2Vtoow/lp5e/G7YducfTv7/4VGLG3&#10;VyyxlQylWVWKqw6cqDgn361OhzEmGZhtHzMME+5ozQIqtp9uZUcCRdjbgqysFB/3c4qRraJ45EYE&#10;+ZyxyQc9iD1GO2OlTdqSmBHJEJPLyzAIwYAHqfemXNsl0EEn8D7xwDzgjuD6mpqSgCutlClusO3c&#10;qsXG4Dgkk5xjHBPpSRWqwzPIJGYv94FVAPT0A9KsZpKBEMVusTyOCWZ335YDjgDAwOnFVzp0flIi&#10;SSRsigK6bcjjBPTGT3/CrpNNoAKSgmigQhptKaSmAhpDSmkNAhtFLTaACikoNAxDSGlpppANNJTj&#10;TTQA2vO/GRzrxHpEo/nXohrznxcc+IJfZEH6VlV+E3w/xmF2oopK5TuCiiigYhpDS0hpAZ2q/wDH&#10;p/wIV1Hg26aHQginGZWOPXp/hXLasf8ARlH+2P5GptM0zWZrBJrSZkgYnAExXvjpVtJw1Iv7x3za&#10;gwzh++OtR/2l/tH8jXIHSvEaj/XP9PPpv9neJP8AnpL/AN/ay9nHuiuZ9j6qNupBwv6VWks1Jwc5&#10;x2JH8q8hHjP4qoPm0G6I99KfH8qYfHnxNRju0CbPTnTJKhU2K56y9ggzkufqx/xrmvG9gg8F6qyq&#10;RiIH7x/vCuGf4ifENPv+H8epOnyj+tZutfEHxhfaNd2d7o0cVvMm2ST7LIpAz6k4HShUncd9Dn7S&#10;AGJPoP5V9GaZp6/2XacH/Upzn2FfLkGsXEIUCJSAOOtelWnxs121tIom0KzKqgVWxIMgD6050pNj&#10;5k0eyrpy5OCfyH+FKNMXHJz+C/4V5APjzqqff0Kz/CRxUi/Hy9A50C2/C4b/AAqfZS7Bc9cXTAD3&#10;/Ic/pTX0qPIzuHsMY/lXlSfH2cdfD0X4XB/+JqVfj76+Hx+Fx/8AWo9k+wXPTf7PUdF3Y75H+FNO&#10;nRt0Ue+RivNh8ebbPzeH3/C4H+FSL8eLDq2g3H4Tr/hS9k+wrnoB01Of3anHtUZ02NTzHGR3znH8&#10;64QfHbSj97QrsfSVKT/hd+isfm0e+H/A0NL2T7Bc9BGlxleVX8RmpBpcXTYuCPSuDj+N/h8j5tPv&#10;1/BT/WrCfGvwzgbrTUfxjX/Gn7N9gudqNKh24wv/AHzn+tK+iQOMMisOmNtcgnxq8JkHdFfj/tiD&#10;/Wpk+NPg/bgm/X/t3/8Ar0/Z+QHj3xDthafFq7hGcCa3PPvHGatCszxrrll4j+Jkuq6eZDazS24Q&#10;yLtPyoinj6g1qLW1TRL0NKHUUClopcVkbiUtAFOAoATFKKXFBpgavhv/AJGGz/3m/wDQTXpQrzTw&#10;3/yMNn/vN/6Ca9LFdWH2Z52L+NC0tJS10nKFLSUUALS0lFAhaKKKACiiigBKKKKAEopaSgBKKWig&#10;QlJgUtJQAhFJinUhoAbiilNIaYhpFJTjSUANxSEU6m0CExSUtIaYhDTTSmkoAQ0hpaQ0AJSGlpKA&#10;G0hp1NoAKaaWmmkAGmmlpDQA015v4r58RXPsE/8AQRXpBrzfxTz4iuv+Af8AoArKt8J0Yb4zEopx&#10;FNxXKdwUlLRSAbSGlNJQBl6v/qEH+1/SvQvCWmmXwpZE8FgzA+28157rH3Ih/tGvePBWkg+B9Iyp&#10;+a3V+2OefX3oqu1NEr4zAXTSylWX5xyR2NM/siT+6v5Gu/GkIhY+W2cY7f48Uz+yU/55/ov+NcnM&#10;zW4+TxbEGKKwz35qD/hMI9zFm7DGK8tF0QOJP1qE3bqxy/X6mrSZnoennxcpcgtz/IVk+JfEyTeF&#10;dUiz9+EgVwZuX28PiqOpXDtptyN5PyHOeaajqgbVjKsrgJFGP9kV9CeH/EcQ8N6Ypc5W1iU8/wCw&#10;K+Z4pSFA9q7TT9QnisbcK5AES/XoK0qRY09D3pdehYfM3UdCaet/aSn5kjP1UGvE4tauAT8x9vmq&#10;2niC4Rgd5GO+entWNpBoewGTTXyGtrYn3iU/0qI2+kyNzp9i31t1/wAK8tHiiUdT9OasL4nkONzs&#10;MnjH50e8Fj0ZtN0NhltK008d7WM/0qNtD8Ot97QdHbvk2MR/9lrg4fFEoXccHaMAE4NWIvEzs27c&#10;B6jsOPWi8gsdbL4f8MkE/wDCO6TgdSLKMf0qk/h3wopy+hacB/17qP5Vzp8SlsEyFlJxuGfw781X&#10;l14yKwZuD3ovILHUHw34NPXQrHn0jxTh4P8ABMhwdCtPXgsP5GuH/tiQkHzCh9M5po1qbzQVkzg4&#10;4NVeQjvR4C8DSE/8SOD8JpB/JqX/AIVt4EfpoifhczD/ANnrjofEcyFtrMPqK0oPE0u0YYFTnBB7&#10;96OeSCx5d450nT9D+JklhpcHkWccluUj3s2MohPLEnqT3rRXpWR4xu/t3xGe4JyWkg/RUH9K2F6V&#10;vU1UfQ0odRRTgKAKcBWR0CAU7FFFABTaCaKBGt4b/wCRhs/95v8A0E16VXm3hv8A5GCz/wB5v/QT&#10;XpArrw+zPPxfxoWlpKWug5RaKSloELRSUtABS0lFAC0maM0UAFFFFAgNJRRTAKSlpKACkpaSgBKK&#10;KSgANJRSGgQGm0tJTEIaSlNJQAlIaDSGgQhpKWkoEJSUtJQAlIaWm0ABpKKSgBKaacabQAnammnU&#10;00AIa828TnPiK7+q/wDoAr0cmvNPET7vEF4f9sD8gKxrfCdGG+JmZikxSg0VyncNxSU7FJigY2mm&#10;nmmGgDK1g/6n6n+lfQXhXxn4Ts/CmkW0uuWscsVnEkiMSNrBACDx65r581jloR9f6V7np/wg8JT6&#10;ZayStqAleFGfbOMZIBP8NVO3Krmf2jqv+Ez8IP08Qafn3lFL/wAJj4T/AOg/pv8A3/Wubf4MeECO&#10;LjVBn/pun/xFR/8ACmPCP/P5qv8A3+j/APjdY8sCtTzZn7Icd6Z8zOcPiub2ax/cb8lo26wD/q3z&#10;/urV+z8ybnSEMOM5qpqCn+z5/ZDWKf7Y7xv/AN8io5v7U8h/NhfywPmJXgVSp67hcqK2FFdXZtiz&#10;tznJ8tf5Vx4Z+w4+lX45dRCKVtpGUAYPlseKucLgmdWCSOacHC5PTNcv9r1NeDbP+Mbf40v9oaiD&#10;zanj/Ybj9az9kx3OmEnJOOSc8DrSGVt3BI7VzR1S9H3rf9G/xo/ta6HWAj/vqj2TC50gmkHUjr2P&#10;/wCqnpcOCcHn+93rl/7ZmHHlkZ9HNH9tOCcxHP8Avn/Cj2UgudYLlzzv9unBpWuSVAyR64NcoNdc&#10;f8sj/wB/P/rUh11yc+Uc/wDXT/61HspBc6vzjtGCeT6809Z2HrzyfeuTGvOOPLb/AL+f/WpRrz/8&#10;83/7+f8A1qXspBc69blicenHpTxc4GGPHQDH61x48QMBjy2/Bh/hTx4iYfwOfrg/0o9nILkeqOX8&#10;Xox6+bF/Ja6pRxXFG6N94ggnwRuljHPtgV3CjinV0sa4fZgBTqTpSFqxOgXNITTc0CgBacKQCnCm&#10;BreG/wDkP2f+83/oJr0YV5z4b/5D9p/vN/6Ca9GFdWH2Z5+K+NC0tJmiug5R1FJmjNMQtLTc0uaA&#10;FopKKAFozSUUCFopKKAFopKKACikooEFIaWkpgJRRSUABpKKSgApKKQ0CENJS0lMQlIaWkoAQ02l&#10;NJQIQ0lLTTQAUmaKSgAptKaSgBKQ0tNJoEFNNKaaTQA015brZ3a3en/psw/I4r1I15TqZ3areN6z&#10;v/6EaxrbHVhfiZVBpwNMozXKdo+gikBpaAGkUxhipaYwoGYeqnNxGv8As/1r6Ii10JbJGDyqBeuO&#10;1fPF6N+rQp7qP1r0ttSfOd4AxRVXuozj8TPQDr+4AB/wNM/t5P8Ano/6VwH9oncV3Hn0p32//aP5&#10;1zuJpcQaHId7CP5R0PSoV0hmYqRhhXrS6GiIVCkZ6ADpTf7AiDZ8tSSOpWkpMWh5UNGdNu5gSenY&#10;1W1bRnh0W9kbaSI2PHHavWzooDYZT83pWZ4m0vb4X1RtpwLV8HAz0NNSdxPY+eIrctEDivSdM0N5&#10;NOtXIIJgQ8c9QPyrkbK0D2sZx2Fe86FpSSeH9MJjGfssRDenyD9ea0qzYRVkeftoeSVRCWHGAMUf&#10;8I+4AyN3HTGD+Vep/wBjxeUFCKc9yOv51GNHUBsAqPqax5mO6PLDoAIJHC5wSCBzjPtULaBKP+Wf&#10;Azzu6V60NHQZZgxbuQcZ4qJtGQqwKkdjuUnI575xRzMNDyX+wnUbnUgAkZHQYpg0aTODkggDOa9b&#10;/sRdgAAPJPzf40xtChb7wKgfKBtBp87DQ8hk0aT069Pl6/54qpPppVuVOQeeDyK9im0ONj9zI9VI&#10;6/596oy+HQ8m3aNo+bkZPv8A596aqMVkeTGwOSTGD6/KKi+w4wfKUnOOVr1T/hE9235CCc54Az+V&#10;Oj8Ioud0fB9B1p+0FZHlIsNxH7oZ7jGaedMVl/49k9M7Bn+Ver/8IhEFwI1bHYqDmpovCUYXCoE5&#10;5IH8uMU/aMLHgU0Aj8UW6BQuJIyQBj0rsCQBWL42T+y/iHdDbuEBiOAev7tT/WoP+EkiPW2k/wC+&#10;hW84ykk0XRnGKdzeJJoxWGPEkGP+PeX8xSjxNB/z7zfp/jWfs5djb2sO5uAU4CsL/hJrf/n3n/T/&#10;ABp3/CT23/PCf8l/xo9nLsHtIdzcxSisMeJrX/nhcf8AfK/40v8Awk9mPvRXA/4Cv+NHJLsHtIdz&#10;sfDf/IftPq3/AKCa9Erw+DxbawSrJCbmNx0YKAR+tXh8QJP+f69/If41vSvBO6OWtFVJXTPY6K8f&#10;HxBkx/x+3f4gf404fEGftfXP4qv+Na+08jH2P95Hr9FeQj4hXH/P9P8A98p/jTh8QrrtfTf98JT5&#10;/IPYPuj1ylryf/hPr4Jv+3vj/diz+VN/4WHfA/8AH8//AH7i/wAKPaeQvYPuj1qlryX/AIWNe9Pt&#10;7fjFH/hS/wDCx7wdb9f+/Uf+FHtPIPYPuj1mivJz8SroDJvQfpCp/kKUfEy473Q/G3/+tR7TyD2D&#10;7o9Xoryn/hZs2f8Aj6T8bc/4U4fE6X/n5i/G3b/Cj2i7C9g+6PVKK8uHxPk/572x+tu9KPijJ/z0&#10;sz9YJP8AGj2iD2Eu6PT6K8yHxRkPewP/AGxkH/s1OHxQbv8AYf8Avh/8aftEL2Mj0qivOB8Tx3Fn&#10;/wCPf404fE5D1S0/77Io9ohewmeiUma8+HxOh7w2x/7b4/pTh8TrfHNtb/8AgUB/7LR7SIvYzO+N&#10;JXCD4mWp62tv/wCBo/8AiaePiTZn/l2i/C7U/wBKfPEPYz7Hb5pK4sfEax724H0uFP8ASnD4iaee&#10;tu34SqaOeIvZT7HYmkrkh8QdNPW3m/BlP9acPH+lHrBd/gEP/s1Pnj3F7KfY6o0hrmB490k/8sbw&#10;f8AT/wCKpw8caUf+Wd2PrGv/AMVRzx7i9lPsdJTTXPf8JrpJ7XP/AH7H+NH/AAmekH+Ocf8AbOjn&#10;j3F7OXY6A02sL/hMdHP/AC2lH/bJqP8AhL9FPW6cf9sX/wAKfOu4vZy7G7Tc1i/8Jboh/wCX0/jC&#10;/wD8TR/wleif8/3/AJCf/wCJo5l3Dkl2Nk0maxx4q0U/8vw/79v/AIUv/CTaMf8Al/T/AL5b/Cnz&#10;IXJLsauaSsv/AISTSD/y/wAf5H/Cj/hIdIP/AC/xfrRdC5ZdjSJpCazv+Eg0n/n/AIfxNIdd0v8A&#10;5/4P++qLoOV9i+TXk92268nb1kY/rXo51vTCf+P+3/77FeayMGkY+pJrGs00jqwyabuMNNNOyKDi&#10;uY6xuaUNRgUmKBjwRSmo+lKGpDMS/fyNWjlK7gpVsZxnBrRHib/p1P8A3+P+FQ3AA1qxkJwN6gn2&#10;3f8A169DPh1iwIVWHOcDiqnOKSujJJ3djgv+El5z5DfTzM/0p3/CT/8ATA/99/8A1q7R9A5wIgfw&#10;70z/AIR4f88Y/wBP8Kz9pT7Fcsu57kNX0vAzdR5+h/wpDrOl7s/a049j/hXin/CB/EX/AJ/B/wCB&#10;Ypv/AAgvxHV8C5H1+1LU8vmg0Pa5dX0o9bqL8c1i+JdT0x/C+rAXUW42kgA/4Ca8rfwT8Rx1nB/7&#10;ekrO1Hwx48g0+5e6kBtkjYyg3EZ+QA54+lChruhNqxQ066t1tIQ0gHygc19CeH7yx/4RzS83UXFp&#10;F/F/sivlOKG7IBj5Hb5hXaWEHxCNlbm0L/ZzGDFiSD7uOOp/nVzp+aBS0Po1Lyx3n/Sojn/bFPW5&#10;sD1uoPxkAr57SH4mqeA5/wCBW5p+PievRX/AW5qOR90O6PoEzWO3/j6tjngnzV/xoM9oTj7XbkDv&#10;5or59MnxOXhoX/79wU37T8SR1tnP0ii/pRyPuguj6A32pz/pEB56eYvrTs22R++h6dd4/wAa+exf&#10;fERcg6fIf+2Cn+VL/afxD4/4lMxx/wBOp/xpezfl94aH0C32Y8+dED3w4oAgJyJY/wDvuvn/APtT&#10;4hd9CuG/7cn/AKGnnV/iGOD4dufp9gl/xo9nLyFoe/GOAqQGj+qkZpywxAZDDr2NfPp1nx/38N3P&#10;46fNR/bvjlfveGpvxsZv8afs5BofQiwKQf0FPFthSdmfTFfO/wDwkXjEZ3eHZR/25y/40h8T+KlB&#10;B8PN/wCAstHJLsFkejXPwU8P3lw8txeay0z8s7XCMT26lCagb4DeHD92/wBX/GWP/wCN1wA8X+J4&#10;iM6CwGP+eEgp/wDwnniJODozD/gEgq/3guVHdH4C+H8canqo57vH/wDEVyXj34V6Z4U8N/2laX17&#10;LL56RbZihXDZz0Uc1S/4WTryfe0o/wDfTj+lY3iTxvqOu6ULG5svJj8xZN29j0zxgiqj7S+omkdP&#10;4a+E+n61YS3E2pXiMj7QEC46Z7itb/hSWll9o1a9/wC+V/wrz3SPHN9pNrJAkbOHbcT5pHbHpVsf&#10;EnUA2Qkg+lyf8KTVUqyO/X4Eac65GsXv/fCVzfj74U2nhLwu+rRajczOsqJ5ciKAdx9RWcnxT1FQ&#10;B5Up/wC3s/4Vl+J/Ht54h0f7BNFKiGRXJa4LjjPbAqoe05lcmSVjlI4lIHFfTdj8O/CcljAz6FaF&#10;zGpJIPJx9a+aIRwPpX2HZjFnCPSNf5V6tGK1uZxOc/4Vv4Q/6ANr/wCPf40n/CtPB566Dbf99MP6&#10;11uKMVtZdhnI/wDCsfBp/wCYDB/38k/+Ko/4Vf4MP/MBh/7+yf8AxVdhigUrLsBxp+Ffgoj/AJAS&#10;fhcTD/2emn4T+CT/AMwJf/Amb/4uu1opcq7AeK/FDwH4a8PeEhfaVpotrn7SibxNI3BDZGGYjtXi&#10;7M+7dvbPrmvon42SRr4IhjdgGe9TC55OFfNfPvmKcCKPGOpPJNc1dpMOVs6H4f8Agp/G+r3dmNQ+&#10;x+RD5u8w+Zu+YDGNw9f0r0FvgDcAZHiNSP8ArxP/AMXXnvhHxZL4W1Ge6hQjzofLfy+CRkH+ldkP&#10;jTeAAA3QH1U/1rgnKfNpsWopF5/gFcBCw8RKcDOPsX/2dYfhL4RXXirw3a6zHrEduLguBG1uWxtZ&#10;l67h/d9K0H+NN20Dpm7DMpAOE4P51Q8JfFBvDnhq00rN1+53/wCrRCPmct3+tLmqWHyo2j8AL8dN&#10;egPP/Psf/iqib4B6kDxrdqcjjMDD+tWR8b2UcG//AO/MNN/4Xe+7O69/G3h/xpc9TsHIjPn+BeqQ&#10;qT/a9pkdvKYVRHwY1cgY1OxyexD/AOFa0/xolkB2vdA+9vF/jVRfi5Nu3GSUHv8A6On+NHPV6IOV&#10;Ff8A4Uhr5PGoad+Jk/otKfgX4k5xqGlHH+3L/wDEVqw/GSRQA0pIHrbj+hq4nxnT+N1P1tzRz1Ow&#10;uVHOH4F+J84F7pB/7ay//G6if4H+Kl/5baYfpM//AMRXYD40WYXPmICOxt2pw+Ndpn/WW4+ttIaP&#10;aT7Byo4o/BHxYASDp7ewnb/4moz8FfFwz+7sifQXH/1q75PjXYd5LX/wHlFPHxn04n79tj2jkFP2&#10;k+wciPOj8GPGAGfstsf+3haj/wCFOeNP4dOhb6XUf+NenD4y6WR9+3/8eFSwfGLSv4pLbqTyxFL2&#10;s+wciPKm+DfjgdNHRvpdw/8AxVRt8H/HCnB0PP0uof8A4uvaYfjDonea0/GbH9Ke3xc0Nv8AlpZH&#10;63Y/qKPbS7C5Dw1vhP41XroT/hcRf/FVkan4M8QaOwW/0uWAld4yynj14PtX0MvxU0Jv+W1ov0vU&#10;/wAK4H4h+N9O1a5X7K0LD7KUykwfnLen1pqtJvYfIjz7T/APijVLCG+stFnmtphujkQrhh09anPw&#10;38YKMnw/e/gAf617J4E8b6RYeCNJs5ZYBLDBtYG5UEHJ7GuiHxC0gnrHj1FwppyrNOwlA+dj8PvF&#10;69fD2o/9+jTP+EE8XAf8i/qnpxA1fSJ+IGjlRkrj2kWmx+PNFI53fgR/jS9ux8h83N4K8Wr18P6v&#10;+Fs/+FRHwr4pTroWsj/t0l/wr6XfxxoxPBnP/fP+NQf8JpopblZ/++V/+Kpe3Ych8zXmj67p1v8A&#10;ab7TNTtoAcGSeCRFyegyRis8XDn+KX/vs17v8WfEul6j4De2tfM857iL7wA6ZJ6E+leEQJvlVfUg&#10;V00Xzmc1ynSDwV4wwD/wj+s4PPETn+lIfB3i5evh7Xfwt5P/AImvrlFAAHpUgWul0ojsfH58KeK1&#10;/wCYDr3/AICy/wDxNMPhvxQv3tE1xfrby/8AxNfYe2kK0eyiFj46Og+Ih10rWV+sEn+FRnR/ECnm&#10;y1QfWGT/AAr7I200oKPYxCzPjVtO11OtrqI+sb/4VUme/tpPLna4icjO2QlTj8a+0ytfO3x4wfGl&#10;oPSwQf8Aj8lKVGKV0Gp5j9ruSCftL/8AfdSJNesu5XmZfUZIqpjmvpD4U6rptr8O9Ohmu0SQGXcp&#10;zx+8auSrJQV7BG7Z89mW/H8U35Ggz32PvS/9819cNrWksMC/i57kmgavppwft8PHTLVz/WF2NOR9&#10;z5F3XMkqPJ5jFTkcdK+nLKC01HT4by1BMEyB0YgjIPtxW/8A2pppO77fBn0301tT0wD/AI/bf/vs&#10;CsatT2lulioxaMZ9HjO1lRQQOvNR/wBk+5rY/tDS2J/0+2+nmr/jR9v0z/n+tP8Av6P8a52irnPJ&#10;4iTZkyD65p6+IBvUBixI4GccV5ql6VAG4kdetPXU3EoUsSQMnnrW/KLQ9Cm8QgA5zx6tj9a5bxLr&#10;Rl0e/QN8pt5ACO+VPWsSW+lkj4OO/rmsvUp2bTrodMxPn/vk1UY6iexxEUzKAAa9A0rVp4dLtwGP&#10;yxrj8q84U4xXaae4/s6ADr5a/wAq6KsSYs6EeILkphZMkdeal/4SC4QAGVh696wQxII4Hpzml3bQ&#10;uSaw5UVc321+4Cn98xHoTTV1+dyf3j46Y5rDkfbyDxUYILDBOc/lRyoLnSR67MCw8/oeKtR67cL/&#10;AMtzjPpXHRTSG7ZREPKVf9aD1bPTFXkl4zuwR17UnBBc7Wz12VgCZjg46devNdBZ64xGDITj1Ixj&#10;1615hHO6Dbk7c9j/AJzWjDqZHU4BHrU8nYD1FdawSA3JGQc8GpBrgHRwO/TtXmH9ssowXB9aWPVT&#10;J0J25P3jyKLMVj0066CpIcf8BP8AOmN4hAjzuHTjnGa85j1EyYAdsdR16fyNI96wIVjxjAGP8Keo&#10;7HoX/CSj5jnGB1x/nNV38WKpIDDAHc859K8/NyWABb5SCBz1qGSYplTnIHGaLMVjvZfGYBxvUH0r&#10;hfiR4lOqeGxBz/x8o3PtmqjyqseT8rdOD/hXO+J3J0oAdPOX8Tg1pTT5kD2Oh8J+KJbCxnUNwZM/&#10;oK3U8YtvyD1PSvN9Gb/Q5OP4/wAuBVp3bnGeKcoK4XPToPGUZHzbQfoDmuZ+JPiGLU/CKwIEyblG&#10;yOvRq5Tz5P7x/OszW53ksFRmJHmA/oadOFpJkyehmQjgfSvsSDiGMeiivj6IcCvsNFwoHpXs0epn&#10;HYWRnCAxgFtwGD6ZGT+WaptdXytj7MmCGIO7pgHHf6VcKBuufwJFVLnS7e6lWR94ZVKghuxBB6/W&#10;trDGrdagzN+4iC7VIOT1OMg8+5qaWe8Uw+XAjbpCJMn7q54P1xiq50S1KMo8wKwC4BHAAwAOKm/s&#10;2EhstIdzbuo6/lSHoL9pvPKH+jq0hUng8Zzx/Srcbs0SM4wxUEj3rO/sS28sIWkxs2ZyM4zn09av&#10;RRLDDHEn3UUKPoBiiwHkvx6guH0vRrlM+RHNLG+P7zKpX9EavGdHZfth8zoFzz9a95+Nkqx+ELEM&#10;RzqCErnkgRyZ/mK8ThWAkvHGjA+orz8XozfDxvJO+xcme2edTHbqZlYbQ2Bz/n1ruV1rT3UN/Zdh&#10;gjIzaqOPyrg4nSNkjVU3MwIYH5lx9OnWtdecBen1xXC1oa4n4kzeu9X01reUf2Rp2dhwfs6gjj6V&#10;m+FL3T4/DlnFcaVYTyAPmSW3Rmb52xkkZ/WqdwALWXrxGxH5VW0Q/wDEpthnoG6/7xp2905up1r3&#10;+jOB/wASHTM/9ekf+FVzcaMeuhaZx6W6j+lZhBwTn8c1CeoJY9frU2GarTaGWAOh2Az38lRirNnB&#10;4ccL5uj2fXrs61zvmYPIw2TgU5LhgBtYj6UWfcDvrfSPCMoAfQrTH94DAq9/wjHgohd2h22SezMP&#10;/Zq4CDU3UgbiT9eatLrTr8uQQBjIPIpe/wBw0O3Pg/wIxIOiw5xyBPJ/8VTf+EE8BOM/2Ko9xdTc&#10;/wDj9clDrjAglt+T2bk/jVqLXHG4hwc9Pm5ovPuGh0TfDzwK3TSCnfIupemP9+lHw08DyLlbCVR6&#10;i6k/xrITxA6uPm6HB3Mevr/9ap4tcLYYsOcd/wDP1/zilzzCxfPwt8EkcQXI9xctSL8JPBzrnbeD&#10;3+0f/WqMa9u2+ZJhgPTI/wA/40h15imBIeSflz/9ej2khWB/hJ4LGSZNQUe1wD/7LVOf4VeC063e&#10;qJ9J0/qhqafX9yBizEAfdHv+NZN1rExG4HnI/iNHPMfKiO4+GnhKNuL/AFVR2zJGf/ZK5DxL4X0X&#10;S59ljd3ciiHzMysp+bnjhR6VuTXkj8lhz3zXL69MfOYbt37nH86uDm3qwsjV0bwXoWo6NaXdxqlz&#10;FcSpudFCkA+1Xx8O9AK8a1cjHXKKazdHBGkW2TghBjitVQcZUEfXtTlKd3qJIb/wrXRDnGvzj626&#10;n/2aoh8NNIYkDxHJnOP+PQf/ABdXVDsuN3Q8EmovMYOVU/KSQKXPPuHKiunwu02UjZ4lx9bMf/HK&#10;sL8ILZyNviUY/wCvL/7ZU8LbWYk59wf0rXt78x4UN168g4Ppmj2k+4+VHD+Mfh3/AMIpoceojVxe&#10;LJOsPli3MfVWOc7j/d/WuP01d+oWyesqj9RXovxJvTNoFtDj/l5ViRnBIVvX61wOhJv13T0/vXMY&#10;/wDHhXZhm5WbMaisz7VVeKdtpF6Co7hUkCqzlMEnj3BH9f0rrNCXFJisO4ktoZpY2kuWChFICggn&#10;HBHNKr2y8Ge5y7yEMe3H16fzxVcpNzbxTSKyrmSDc1y1zcBHjA2joOevXGeDSmaP7VGPPmB84qBs&#10;4JGODz7/AK0coGkRXzf8dWz46iHpZRj/AMeavpE181fHA7vH7D+7axD+dTL4QlseYnrXa6D4f8T3&#10;ejQXOn6pFBaSbikbXBUj5iDxj1BriWrttAuZo9Ft1VyFG7jP+0a4a7aQqe5oN4c8ar/zFoSP+vr/&#10;AOtSHRPGyH/kJxH/ALeAf5inveTjH7w4z1BpUvbhuC5965OZ9l9xtbzI/wCyfHQ6X0Z/7bx/1oOl&#10;+PgcC4jb6TQ1Kl3L2kP0qRb2QnO/BPXmlzPsvuC3mU2sfHoONynPo8FN+w+PPb/vuD/GtX7dIOc/&#10;1p329/736GlzPsvuHbzMddSk2gfZ/wDx7/61NF9KDxAAcYzmkPw21EFh/aEPB54Y/TpTW+HWohgB&#10;fxkEZzsbgVolDuTr2JDqUiqf9H5/3v8A61Ub6/Z7KdTCVzGwzu9vpU03w91KHGb2I59M9Ko3vg6+&#10;tLeaV7lGESF2GDyACf6VSUL7g7nNgmuks9QVLKJBFJvVQM+YNp/DH9a55bZ2AIPWt238JalNbxzJ&#10;PGqSKGAJboRn0960nyvdkxuXBqXPER/OlOpjIzCf++qqHwlq4JxcREevmN/hR/wims7tv2iPP/XV&#10;v8Ki0O5V2Wm1Fe0TAd+aa2pAjCowY9T6Cqr+Gdaj6zLkkAAStkk/hTv+EX1vPEi/9/SP6UWj3C7L&#10;keoQopGyTHsB/jUi6lECTsk9un+NZM+havaoHuLiKFScBpJ9oJ9s1SaO5Q/8hG3P0nBpqmnsxXsd&#10;N/akf9yT8gf61NHqcJzuWXkdAB/jXFvdTx9LwMf9kk/0pBqV2vSdqPYi50dwdRgx8qyg9B8o/wAa&#10;fFqVuEYMspJ9hXP2mleI722juYELRSDKMWQZ/OrP/CPeLQARbsQenzx/41Dgu6KubkeqwrJuHmAe&#10;nvU7azbufm8wDHGB3rnBoPi4f8uzd+d8Xbr3pDovi0AlrVwB3Jjx/OjkXdDudB/a1vuH3wMHJAwe&#10;1I+q2p/iY8+hrnjo/ioZ/wBGY464MR/rR/Yvir/n0fPp+7o5F3Fc3G1O1PVm69ClYniG8hnslCMS&#10;3mDtjjmmf2L4oI/49HIzjjy+tUdS03WbS3V7+3dIi4UEhfvdhxVRik9wbJ9LuoY7Yq7kZckjbnsK&#10;uvewZ4c4/wB01mWejazcQmS2tHeMNtJG3g8ep9xU39i6/jP2GUj2Cmm0r7giwbmHHD/htNZuryxv&#10;aKFOTvHGMdjVz+xfEH/PjJ+S1Q1XTtVtLZXvrZ4oi4ALADJwfT2zVQSvuTLYitzl1HqRX2Lnk/Wv&#10;juzGbiIerAfrX2Du5P1r1KK3Mo7EmaCwUZPSmbqRgr4yW4/usV/lW1ihjTfvMq2R1xnHp7U6GZcb&#10;WY7ie+T+uBTxgDqfzpcj1P50rASVQ1jV7TQ9KuNRvX2QQJuOOrHsB7k8Vc3V5H8cdRh+wabpyzuL&#10;gs0xiBG3b0BYeuc4/wCBVMnyq44q7seXeL/F174v1l7u6YrEvywwqfljX0HqfU96zERorZGVu1VF&#10;ZSNvQjtSPJJHyjYB6ivOqXkbpqOpZl1GRQojASQfxgnIro9N1i2urcCdhDOF+Y44Y+vFcf8Au3kY&#10;uzDgbcD88/hmpI3aNgRwRUezTRDk5vU7O9vLJrGfbMu/YQBtPPH0puh3NmmjwLJKokAOQR05PtWQ&#10;dG16SwN2LKRrUxmTzAFxsxnP5UlppGuyWkU1vp8zwOu5GWPOR61lyq1rgdIbi0JGLhTj1NRSXNvz&#10;iVGOf72KxTpHiNQCdJuiPaBj/KovsOu8/wDEquSMZyLdzS5BmzJNADkTxnH+1UJmj2AiRMgdNwrF&#10;aLVVGW06cD3geo918Bk2cn/ftqfISbbThmGWRh9RTluEXjK+1c+bm4HW2I/4CaPtsg62/wDOjkYH&#10;RC6PXcCfXNTLdEDqTXL/ANoEdbcf99f/AFqBqYH/ACwH/ff/ANajkYHWJclR8rFR09qk+1EkfMR3&#10;AFch/aqf8+//AJE/+tThq0f/AD7n/vv/AOtS9mwudit+w/jbPpuqaO+k2sC5OfWuLGsRf88W/wC+&#10;qcNYh7wyf99Cl7Nhc7FrtifvH86YZSxwPx7Zrkf7Yi7Ry/nSf2vH2WUfjR7Nhc6tsoCTzx19q53x&#10;DlbrBUqfJ5VhgjrVQ6sCOs35/wD16pXd39ofcS54x8xzVRg0wbO30aPdpNtgEnylI/wrQRBv9D6V&#10;wttrJggjjEtyNigfK2B/Opx4gOMGe8x/vH/Gk6buHMjuVB5JJPsecVAA7ZAHbg/4VyI8RnGPtN2P&#10;+Bf/AF6T/hIGz/x9XH4k/wCNT7OQ+ZHYxZGTggfrmplkwOee+TXEjxCehupvxFOXxCgGDcvj020/&#10;ZyDmRoeN5i+m2qFuPNyB6fKa5/wuu/xRpKf3ryIf+Pik1rU1v4YlWUvsYnlcY4qfwau/xnoa+uoQ&#10;D/yItdmHVrIxm7s+yl6U6mL0p4roZYm32pm+IZO5OOp9KHlKuqqOT6qcfmKi8uQ5+bGT2Y00hE3l&#10;oRkKvPtSeUn9xeueneiNnGFYLgDsTTyaNQGMK+ZPjY2fiJcD+7BEP/Hc19OGvl74ztu+JN+P7scI&#10;/wDIa0PYJbHnTdK63R5dumQA+h6fU1yTVsWd6IrWNPOVcDpXFWV0KG50Zlx1phm544FYpv1PHnpR&#10;9tXp58f51zcjNbm554Ve2RTRcHru5rF+2L/z3j/76o+1j/nvH+Yo5GFze+1Hru/Kk+1H+81Yf2oE&#10;Y86P/voUv2r/AKbR/wDfVLkC59JvpUflY2BRjqDj+VQHSo9y7fugHk4rpkt1KnjAB7c017cDqM8c&#10;DNYKJVzmF0ZGXKgYznrmsnX9BQ+HdSbaOLWQjv0U13f2cDoADj0qjrsGfDmpjOT9kmz/AN8GqUdR&#10;N6HzDbWe6JTivcdD0BZdA09ivJtYmOO/yCvJbGNWhUCvera6XTPAlpehA5isoiFboTtUD9aqbuwS&#10;0Mg+FYyckH25FSnwzGNvy55PQcCum00te6VaXUqKsk0SyMF6AsAcVZMKovJPA/iPao5QZw0PhmGW&#10;/nk25KERoMcY2gk49STjPsKuJ4cReCFA7AZqrpHi/QYG1Q3OoKz/ANoTCMCN2ygIAOQDVib4g6An&#10;Ci8lH+zEP6kUmhqMnsjzj4v6dHp2lacqLgyTufXoPX8a8ir034teKLbxC2lxWtvLEsAlY+ZjndtH&#10;b/drzVYpH+6jN9Bmu6hpBGM0+aw0ggAnvQKnWxum6W8n4qRUqaVeMR+5IHuw/wAa0corqJQk9kfQ&#10;Oh6ILTwpYmQE7LON2UAHOEBIAPGc5q1YWlvqltFdQhivI+YcqRwQR0qq/wAQfDcdg1pBHd/8e7IH&#10;8lQN2MAdf84qv8O9Zj1DXL2xijfy5UNwAR90ggH88j8q8x3bOr2cuVto2/7D6ZXB69eM/XNOGh8Y&#10;3DBwfXH511y2B3DgEdqDYE8FOO9PlZnc5D+xwu0GPJIP3Rnv64o/siIk7uDxwVI/kPauw+xgEYVu&#10;Qf6U42C8nbk59KOULnGDR4hxggDp+7P+HWuM+JWnRw+H7RlDZN/GPuEdQ2e1ex/YdxwFNef/ABbs&#10;xF4ZsmA4OpwDP4PVwVpILlHwTpET6RMzAlvtDADaSD8q+1dSmhQlgxDE+pVj/Sn+B7Rf7FlP/Tw2&#10;D/wFa62K0GRnPFJK+pT3OTXQo9+QrAYOP3bDn8q89+MWmJaeFbSVQcm9ReVI/wCWb+o/lXugtlYc&#10;DnPTNeMfHi/VbbTNAjgdrl5BdbwOw3IFGOSSSfyHrWtNWkiJPQ8WspVjuopHDbEcFiFJwAea+hh8&#10;W/B5/wCYm/8A4Dyf/E14B/YmvqpB03UQrdf9Hfn9Kh/sHVx/zDL3/wAB3/wr0YV5RMVofQ//AAtv&#10;wd/0FH/8BpP/AImlHxa8Hf8AQUf/AMBpP/ia+dv7F1Uf8w68/wC/Df4VE+nX0boklpOjOcKGjYFj&#10;6Djmr+tSHc+jx8WfB3/QVb/wGk/+JpR8WPBxP/IVb/wGk/8Aia+cxpOpqc/YLrPvA3+FJJp+oKMy&#10;Wc6jpnySP6UfWpAfSH/C1vB2P+Qt/wCQJP8A4mvFPiBr0Gv+L7y+s52ms2CLCxBHAQA8Hkc5rk/s&#10;8u9I/Lk8xuibDk56Y9aleJ4jskRkYAZDDBH4VM60pqzLhuRuN3I4NR7nBxnP1qTkHBpygFuRxWJb&#10;jc3NH0tIbdbqdFaST7gIztHsPX68CqGrQrDfkoSVk+cEnOc9e3rVp9TVIyUwyEY2msma4e4fzZDl&#10;z1rGmpOTkzpqunGChE9o8KumofB6/JyZLW2uYnPXopYfTgj8q6bwdpMcngzSDsyzWqN1PpXAfC1p&#10;5fB3jlMk26aaXI7BjHJ/QfpXtHgayB8B6GwHP2KE9f8AYH+NZVI2bRymedGwcBCoHQAHHtx9c/pU&#10;Euh71OQwJBGfSu1NipIPPI49qjay4xwD+tZ8oXOBfw2CmAzH3ZeT9f8AIrPPhZZkBAbkYIKH9eK9&#10;HezHQg5qNbUgKSBt6e9TYLnl8vgwhwRjcwGQcce3+f8A61VG8Fy7/vDjAOOT9P5168tspwNp9hTz&#10;aKuMjmmkxHicvguZB8xJAIw3+TUcnhCUDh1OOmWFe3NaAN0+hIqJ7KPyyeMEcYHBo97uB4cfCcrd&#10;AB26g89u9Ivhd+eEznAzjivbW01OPlB9qaulKSAIl780XkB41H4ScsxMEbdByoNalt4MgOzNqjZH&#10;3Sgr1b+ykK52AnGMgZpy6UgwQgwBjOP0pPm7jPN18E2562EDc9WjGR68YqRfBViGJNhbjB4AiUg8&#10;fSvQW08AjCj8hUX2FFLABRnk96XvDucH/wAIdpwXnTbQuc8Nbr/h/n8a838e6Na2Go3CwWsMSrEp&#10;AjQLz+Ar6D+y5xwxAOc1498VLcR318wXAESDp7D/ABqoNqSDc19K8F6bJo2nySaZZSFraNizwKSW&#10;KAnJ781O3gjSflI0mzwf+mAz/Ku30qyEej2K7FULbxg5H+yKtG2Ug5QjtyAKTcr7i0POT4D0cnnS&#10;LfIHQL1rOHgXSnQMNOg3bQTwf5Zr1Y2hyQF4HpULWYUAAdqXNLuGh5SfAOlsgAsFJPJxng/nxUw+&#10;HuhmMEaepbjP7xufpzXoclqOSAc/lz2qSK2B75H1Bx+NT7SfcdkeCfEHw5Y6FbWD2dp5Bld1b5id&#10;2APUn1rI8Cru8d6AP+ohAf8Ax8V3/wAbpbZrXRUiljdlkm3BWBI4TrXlel6lLpGo2+o2sii5tpVl&#10;iDJkbgcjNejhZvlTkYzWuh9sBqduFfMa/HPxcOv2A/8AbA/41IPjv4sHWPTj/wBsD/8AFV2c0e47&#10;n0wGpd1fNI+PPikf8sNNP/bFv/iqevx78UdDaaWfrE4/9no5o9xXPpPcKbmvnH/hf3iZeDYaUf8A&#10;tnJ/8XTh+0B4i76ZpX/fEn/xdPmj3C59Fk18s/GF93xL1T2EQ/8AISVu/wDDQGvd9K0w/hJ/8VXn&#10;XibxFceJ9futXuYo4pbgqWSPO0YULxnntSlONtBN6GQ1dFZ6As9lDOUc70DZBrnM5r3/AMOeHxJ4&#10;Y0pmAO61iY8DjKA1w4ipypNDpq7PJ38OxqASsoyfWq50NAxH7z8//rV7fL4ZhJA2nH0H+FVpfB8J&#10;UkhsEdMCub27NuRHix0VMZzJUf8AZKY+8/6V7K3guPA2g8+oqtL4HG4kE89OBT9uxch5F/ZKcfO/&#10;NO/siL+9J+n+FeoyeCmU/wAuKj/4RA0e38w5B5+IcozjXX/C4P8AjUL/ABBmPTW5M/8AXwf8aiX4&#10;f+GG6XOon28xP/iKkX4deGWK/wClaiQev71OP/HahKn3ZpdiD4gzgf8AIbf8bg/41BqPj6WfSruH&#10;+2HYyQugXzzzlSMYrRT4Z+F2Uf6TqO7085P/AIijUPhn4Yt9KubiOXUPNjheRQ0y4JCk8/L04q0o&#10;XJbdjyeHUpY0CrIVx713i+NLibQYdObUJJkWNEMQlJ4XGOPwFcJDZ20i5ZpAfYj/AArtP+EW0S08&#10;J2+sW91dm+cAPFIy7eSQcYX29auoo2ClfmRfPxB1sW4gguZoFVQqlX+6PYYxVU+M/ERhaJtZvXDd&#10;S8nOPTIxXP04dK5zu9nHsOiYwlmjLAsSTlyeT9TUoup85ErD6cVBnikB5o3LSS2JHYyNliSfU03G&#10;CKq3ckwbbE3JH3f8KdazPNHudiW7g9uTT5dLiUlexZApQKQGlzSLA81qeH9Wm0PU/tcF19nfyym/&#10;jocccg+lZVaei+H7bxJf/Ybq5e3iCGTegBOR25+tCtfUip8DOs/4WPqo6ay34FP/AImlX4kawP8A&#10;mMN+Uf8A8TVYfB3SMZ/te7/79rR/wpzSySBrN1nsTCv+NacsO55932LX/CyNZ4/4m5x/uR//ABNO&#10;/wCFka0OmsA/VIv/AImqa/BrTicf21cdP+eC/wCNK3wY09Rk65OB/wBe6/8AxVPlh3C/kWx8SdcH&#10;/MXTj/plF/8AE1zvjXxnqGs6RbW9xfrOiXaS7QiDkBsHKjPetP8A4U5p4wDrk4J5H+jrz/49XN+M&#10;PANr4Z0eO+h1KS4Z50i2NEFwCGOc59qqKjfRib02Ok8L+O9Rs9MeNNRjiBlLhdiE9B6qfT1rfT4k&#10;at0/tNSPZI//AImvM9D8FWuq2EtzJqLw7JNmBEG7A56+9XJPh9ZxsVOrPx6wDn8N1S4wvuO77HoL&#10;fEfWD/zE0/74j/8Aia878aeJ73U/E9vfy3YlktIItrAKMYm3dgB1waa3gW0U86o/t+4H/wAVXO6n&#10;osVnNqCJctILWONwTHjcWYDB54wDV04xvoyZPTY9mb4kaoBj+1o/++I//iaYfiRqoGRrCD2CR/8A&#10;xNebL4JtGjVv7RkyQDjyR3980n/CF2P/AEEJyB1/dD/Gp5Idx8z7Hox+JmrZwNXT/viL/wCJrmdc&#10;8a6he69ok8uoq5tbxpUO1PkO1RngVzzeDdPUf8hCfP8A1zX/ABrNvvD1ta6nZW6XMrRXDEM5QZGP&#10;T86qMYX3Jcn2PVn+JOpYx/aqkf7sf/xNZWq+PdWurVo01b5yVKnCYBBBHRfauN/4RHT+f9NuDj0Q&#10;VA/hexVgFvJzxk/IBj0/rSUIdx8z7Fq58RXEviDSL9bhRLBJu37EBD984HPYc5rM8T38uoa9dXs0&#10;oleYqS4xz8oHbjtUF5o1vb3NtGs8jLKxDZUZAAqLULGOwSPy5GcOT94dOlbxUU1YUZO+pRALfSnE&#10;4HFM300y5GMVoVzJAzZNH8NMqQAnseOTiglanW+E9eudI0DxFa29wsIvbUROhA/eDDDv9T09a9G8&#10;O/EG+svDWm2serRx+RbJGEaNPlAGMdK8z0nw1DqHhDVtbluyjWZ2xQqAS7AAnPoPmH612mj/AAp0&#10;vUdF0++k1a5je6t45mQRqQpZQSP1rnqKLe5SZ1H/AAs7VV4/tKBv+AJ/hTW+J+rEH/S7c/8AbNf8&#10;Kxz8GNL7a3c/TyVP8jUL/BmwGduuykf9e6//ABVZcse47rsa7fEzWT/y3gI/65rTo/iZqwUAm1b6&#10;p/8AXrlbj4S20OT/AG6/B72g/wDi6yn+HduvA1vJ9PsvP/odHLD+YL+R6KnxM1dTkLac/wCx/wDX&#10;qdPibqwwPJs2+qH/AOKrzQfDmEqG/t1QD0/0br/4/Uo+GnQrrqYJwP3B/wDiqOWP8wr+R6U/xM1C&#10;HbutbQHHUxN/8XUf/C1Lkcva2hPsjj/2auBT4W3LKSniGADsSjDP608fCjU2wE8QW3r8wkFHLH+Y&#10;V/I7xPipOz7VsrbLe7L/ADNTL8UZlODYxZGefmNeen4S63nCa9Yn/tpIP/ZaUfCHxGUDLrlh9DNK&#10;P/ZaOWP8wX8j0ZPirMCM2MBHszCrS/FXCD/iXR8f9NW/wry1vhN4qQbhrWn/APgTN/8AEVXk+G/i&#10;2E7Tqtnn0+1P/VaORfzBddj1R/ikp/5hqfUTkf8AstR/8LRToNJGPQXH/wBjXkcvg7xTFwb+3b6T&#10;n+q1XHhrxLzi+gOP+m//ANalyL+Yd12PZV+KUAJLaS3P/Tz/APY15h8QfF0WuXN7stjD5ioAC+7p&#10;t9h6Vlf8I34oAJ+1w/8Af4c/pXOapaahazypeurPGcMQwNaQpq+4nLQ+jLX4hWcdnBGdPkO1FGVl&#10;BJwPpTz8StORjmwnz/vivG4PCvjOSNPLuIsMoIBnX8qmHg3xw33Xhb/tvH/Wo5P7yC67HrZ+JWmd&#10;fsM//fQqFviXpYXBsrkH1ypryg+DfHgBIijYDuJ4cfzqJ/CHjwDJtlI/67wf40ci7oLrsenzfEfT&#10;GPFpce/K8/rVq1+I+ihtz210uB1Cofz5rxyXwz41i+/aflLCf61UutM8VWltLNcQ7IUUlzvi4Hfo&#10;c0vYp9UHN5Fm7Sx8R3WnTXE8tu97d3HmyLErbFzlMDIz6HJrTPw50bqviC9/8F6H/wBrVyX2TWba&#10;006UxbYWcG1JKcluR37+9apfxdGTmEj14jrZqS0jIjR6tGv/AMK50g9PEV1+OnoP/a1Y/iTwlYaH&#10;p/2mHV5rlywVY2tVQE/USN2z27Uz7Z4pxnZ0/wBlKo6vda5LYhNQTEG8EcKPmwcdPxpx9pfWQPlt&#10;sdEvw+0xo1b+3rnJAOP7PX/49SH4f6eOmuT/AI2K/wDx2s7+0PFe0funIHT5RQb3xUetu/p9wf40&#10;r1f5kP3exDrfha00m3hli1R7gyTLGVa2CYBzzw59OlWbjwZZQpuGtljuAx9kx1IH9/3rL1S41qVI&#10;FvoWUeYDHlcZap5bjxA+1XtX5PH7vqRz/SqvOy1F7t9hz+F7VGwNVJ9zb/8A2VZN3pyW908KXSSA&#10;YwxUrn8KvuNcY5a0k/BDWXcfaBMwmjKuOoI6VUXLqxNRJbDSze332Y3EcXyli7BiOPoM17L4H8dW&#10;y6E1prdwv2i1l8mMxwnBjCqBnH4/lXj2lwanLLJJp9nNcFQFfZGWxn6fSrFrHq63dzDDYTPOp3Sx&#10;iJiUPuB0qakeZWY4tI+gR438PZAF2w9/Kb/CnHxt4dGM3jAe8L/4V4R5HiPPGj3mfa2kpTH4kx82&#10;kXpHvbSf4Vh7HzNOZHvA8Z+Gv+ggB9YZP/iaT/hMfDTNk6ivtmJ//ia8Gxrw/wCYPdD/ALdn/wAK&#10;ax1sjJ0q6H/bB/8ACj2IcyPem8YeGzx/aMf4xP8A/E1H/wAJb4d/6CcX/fD/AOFeDM2sDrptyPrE&#10;3+FR+bqv/Phcf9+2/wAKPYeYcyOyXVnOTuJHpVqPVpCyZfj2rjxqiDHB/KpP7ZXH3D+VHIO528Ws&#10;YIVGxg5470mpaw0ml3mZT80Lggn/AGa4tNbCtkIfxoude8y1ljEf3kI6e1ChqDehz0UmFrtY7ppf&#10;CttFjhe+7rye1cEjdq6Kx1DfYR2hByo6ntzWlVaBR+JE3el7UnelrmPRCgUUZ4oGVLyGeVyFQNGw&#10;9QDT7O2eBCHxyegOasl1BClhn0zTXcKygnGTge9VzO1iVBX5h+OaWmbsZJ6AZqCzvFu0Zgu3acYJ&#10;9qVna5XMk7FoVs+Grg22riUHkI30/GsYVNBdLZyea2cYxwKSJqfCz0hNZYkx7ir5wAT/AJz2p6a0&#10;5Y/vTnOOpx+dcJH4giVGAYgnHPT8P8+lSJ4gi53FDnrwavlOE76PV33DnoDyG5PTrUrauwG0knGe&#10;D1rhI/EtuhyChHPBVv8ACnnxHAyHb5YJ6vtOcenIzS5QsduNYwu0vuwO561xHxFv/tGgwx7s/wCl&#10;o3XP8LVG2uIy8Mp984/Suf8AFGoi702JBjicNwR6NV017yFJaG34TugulTrgbvPJ5/3VrTmvSScs&#10;D7DtXIaFrNvZWTxy8sZC2M44wPbFW5NctieP/QxTcdRLY3Xucj7wPNcnqDebN4gb/pnEv5AH+lWf&#10;7ZhLAlGI9jWS17HINWxG5M33R6AKauCsTI62G5D2UBP3iik/kKUSq5OCeOmD1+tc/b6vDDaQxO6h&#10;kjVWBcZyAPentrcDYHmggdAZBx+tTyPsF0bYnIHzFfyNZGqzK2r6Wd3G+Q8DHYVGNatx/GD/ANtF&#10;H9apX94sl1p87DEIMm1ty4PA6HPrVQi7ibVje84FSWb8+wqAt8p68ncR0rNXV4W5YqPbevPv1ofV&#10;rcjkj/vtf8aXKx3Q2/J+32J6/O5wPoKh1tibKPj/AJaD8ODUc13HdX9mIlLFS2QGBzkUmqXCSw+U&#10;OHV/mG4EjGR2rWKd0SjEJNOVKdtp1agojduMV0WlWqyaTJsAEs4Zdx9uPyrnu4J6Ct1tXtIoT9kR&#10;llKbQuMKgJycVnVTaSR1Yfki25PobQRdK8GX9osqvJN80mwfLkkDj8q7Hw/rhTRLCMscJbRIABno&#10;o7V5xf6vDNps8KxuC4GM9ByD6+1XrPXbZLGCJ4pSUjVckZ5Ax61jKLa1MVueq/28HQkvn6jrTH15&#10;mH97PQetedJ4mtVBG2b67TR/wk9qOgf/AL4P+FZ8jGdpPq3mOFyxBPHesxbrKgyEDgcZ6ex6VzX/&#10;AAk1qRhlc47bDj+VMHiS0RcCJ/wXH9KfII6sXK42qB+H+FOe72n5gQRzkf4VyQ8TwKc4P0207/hK&#10;LQ4Bjk2jsCB/Sjk8gOvGotlQcs3HLg4/z0p6azLuPzMeemc5465ri/8AhJrMvuEbr6nI5/SlPiSy&#10;Y5w3485+tLk8hHbf2+6/LuZR05PWrEfiMgMx3E99rH+nFefN4htN5KuQD2I6frTh4gss8yt+Ao9m&#10;B6AfE0gZiTuA6ZySKrXGvuyHL445Cn/P61wz65ZsfkkwAOOaYdYtSf8AWrmjkA6K41Z3zufI7c4r&#10;Ne/fPU8/rWW2pW7f8tkx9aYbyE5Pnrn/AHqpREa41FwAN2CB0/z9a5HWp2mubgk5JfmtcXkI6yxn&#10;6sK57UJFkuZSrAgtwR0rSmtRS2PVLPW2j2oX4AxWnHrz87mJB7ZOR+NcGt1HuGJPxzVpLteP3g/A&#10;1i4oo75dfYkMzcjOM9+B0pkmuDHysV+vP+etcV/aBGdvORg8il+27xtLgL/Kp5EM3L3WN+7584H4&#10;muW8QamzaPcLu5ddv5kU+WTJIEin8etY+sFXighBUebOoOP8/SrhFXRMr2JNVnK6VaJkYt2jxjtg&#10;YrT89iQCW9Kx9YGdOlO5TjHf3FXI3DKGLDkZ+8KuS0Ety4r5IwTgHHSszxE2dOReu6ZR+hq2JAOk&#10;i/XcKzdbkR7eBdwJ84H7wPY0ofEgktDcjYFFUNjadvT0/wA5qwsvXDc/nWU1xCp3b1Azhvm/X/P9&#10;KcbuIDG8Z92FS0NFfXZC9xp4yf8Aj4HX8KuvMxuQSThVJ/E9P61i6ncI93YkOCBLuJz7irAuY3Z2&#10;3gZOBkjoP/r5q7e6hLdl83BIyD06Vy9/IXvZmP8AerYadCPvKf8AgVc/dvm4lI/vGrprUUtjd8La&#10;hJZR3WwkB2XJ+mf8au2eqy23im6mDDM8Sk84yRj/AOvWFpDKsMmWAywqWWQLqsLhgAybSQfrTkry&#10;Ylsju18RzbsBmAI7Gpl8Syq3LYP1rjlmXuw/OlNwOm8Y+tY8iNeZnar4olHSQnHvU6+K5ARhh6E1&#10;wf2gD/loPzpPtHXDD86Xs0FzvT4qkGfn6+9Qf8JJJ/z2f8xXEeeSPv8A60zf/tn86PZoOZmdS1Hu&#10;pQ3Fa2JH5pr8qR6jFIX9KaWJp2AjWIL2q9YjFwPoaqg1asD/AKSB7GlPYul8aNKloNFcp6BRkuTD&#10;lcybi/cZwMjPT2NTSyZsXcjbujOAfUingxRF8Hljk/WkM6kcKTV3XYnlet2ULK3kS6jcxkLtAJxj&#10;nH/16tXdu08ileNgyMngn0xU6zFlOEPApu+Y/wAIFNzbdxKklHlHBWkiAkG1j12t/Wo9PtjbwYYA&#10;OSSfYelKqznqwFSopUklifrSvpYrlV7kg61FdHEP41LUF4f9HP1FJbiqfCypuo3VFuo3VtY4CbfS&#10;bz61FupJZDEwVlbcecY5p2C5KXPrVe4UzKAxOAc0m+Vuiqo96Qq7D5pD9AMVSVguIp2jgcetO82P&#10;HLD8OaYIYx1GfrUg2r0AFGghPNQ9EY/RaIbhILO6ZAvnyMUAJGVXv/hS7wCC2dvfFU54YxN8jMVY&#10;bsn3qo2JlcckKYy3lsT6yikjtxufd5WM8ZlFQMqhwBnHenhIvf8AOrIsWFto2YLmFcnGS4wP1q1q&#10;UyTTwQ28gSC2TZEVYc+pzms4pD/tfnTQsR67vzpBYtETdftj5/66/wD16aRKet0//fz/AOvUGyH1&#10;b86NkPq350wsWrZhBdxzNIWKZIBbPY0yRFwXJBdupBzk1XKRjoW/OlARRlck/Wga0FopN2OtJvX1&#10;qi7oWhR81MLelSRZMijtmi4r3LrRmSPB4yKlRdqgelKGpc1ztl2HCj8KbuoJpDHfhSYFN3UZoEOw&#10;KTApM0bqYC4HpRgelJmkzSAdgelGB6Um6k3UAKVFJtHpRmjNMQwovoKaVUdhTyaYTmgQxgKgeLce&#10;KsGiqTsJoaFA7flTxkdGYfiaOKKQDxJIOkrfjSGecdJP0pmaM0AOM8/r+tR+aBcQSXCM8SPlgrc4&#10;pSajkOVI9aaEy7qYKQ+bBHBNZyH5Zk35U+jAscGqqXcgRV+xwtgAZLPk/wDj1V1mlhRxExVXXa65&#10;4YUiXG1QDFkjvnrV20JuWvtcnexg/wC+5P8A4umzzxTpDH9lWGYSct5jFCPxJx+dQi5BOBCc/wC9&#10;TXl3jHkkCmkK5cnklt5DHNp8akdt7kEeo+bkVCt2AMfY4zj/AG2/xpqXjLEIjG7xjorNnH044phm&#10;B6wt/wB9f/WosFyV5Irma3WOARSAkMHk+U+nJ6UskjQt5clntYermqruGI/dtj3P/wBapVuyIfKd&#10;GeMfdDH7v0OOKdgA3K5x5OPbearuck/LilJXdna350hbnIFNCLNvDI8TNF82D8yqeR749KjZvnU5&#10;zTFdVYMAysOhVsVLNdecF3J84PL9z9aVhpjg5/vUu8+poFLUlibj/epQx/vGk4pDikAu4/3qNx9T&#10;SUUASZozRRipKDNFFFABVqwP+lD6GqtWrD/j5X6Gpn8LLp/EjWpaKQ1ynojDGmSdoyadgDtSmm96&#10;YDqQ0vakoAUUtJS96AAVXvv+PY/UVOKrX/FqfqKqO6IqfAzN3U5AzsFUEmo15OKkeQBPLj+6erd2&#10;/wDre1dB51x/miI4QBn/AL/YfT/Gos8licsepNJn86KBjs0ZoooGGaSlxRigBh5qPYBUxFNxTTCx&#10;CYlZskU/YPQU/FGKdwsM2D0ppjHpUtGKLhYi8selHlj0qXFLii4rEQiHpQUABOKlFNk/1Z+lFwsV&#10;8A0woKcpobpVkkWOasRcFar9TVmEZIokKJcFLSClrE1DNBoxSkUANzRmlooEJRS0YoASilxSYoAT&#10;NGaXFGKAEzSZpce1BFADc0hp2KTFMQ2inYoxQIbRmlxRtoAbSU7FGKAGGmHmpdtNK1SEQMh7U0ZE&#10;ZXnOasFabsqkxWKqhgTT/n9am2UbadxcpDh/Wkw9T7aNlFwsQENSYarG2k20XDlIPmo+ap9lJtou&#10;HKVwDu6VLG22Tnp9M07bRtouCiLnvRmjFLikUGaSlxRigBM0maXFGPegCWiiipGFFFFAAKtWI/0p&#10;foaKKiexdP4ka1IetFFcp6IGm5oopgP7UmaKKAFpaKKAE71Bep5luVzjkGiiqjuiKnwMyiwAAUYB&#10;59z9aQUUV0nnC0uKKKQx2KWiigoMUUUUAJijFFFABijbRRQAmBSgUUUDDFGKKKAF21FcDEJooprc&#10;T2KgOAKeq73RfXmiirZmiIdTVu2GWGaKKJbDiWsUtFFZFhRRRQAlFFFABRRRQAUUUUCCkoooGFFF&#10;FAhMUYoooASiiigQlLRRTAQ8UdqKKAEpDRRTENooopgJSYoooAKSiimAUUUUAJRRRQITFFFFAw70&#10;YoooAMUmKKKACjFFFMD/2VBLAwQUAAAACACHTuJA1XaWUlydAABSnQAAFQAAAGRycy9tZWRpYS9p&#10;bWFnZTIuanBlZwAAgP9//9j/4AAQSkZJRgABAQEA3ADcAAD/2wBDAAgGBgcGBQgHBwcJCQgKDBQN&#10;DAsLDBkSEw8UHRofHh0aHBwgJC4nICIsIxwcKDcpLDAxNDQ0Hyc5PTgyPC4zNDL/2wBDAQkJCQwL&#10;DBgNDRgyIRwhMjIyMjIyMjIyMjIyMjIyMjIyMjIyMjIyMjIyMjIyMjIyMjIyMjIyMjIyMjIyMjIy&#10;MjL/wAARCAFkAn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OHjW8Jxuk/T/Cpo/Gd8R/rjg9Bx/hXma+I4wuPsrZ/wB4f4VMPFSBSPsj8/8A&#10;TSvM9hLsdntEej/8JfqDEBZyH7ggcj8qf/wk+o5GZMj1OP8ACvOB4tiBz9jbI6fOP8KefGMZXabN&#10;yM/3x/hS9hPsHtIno6eJb/fgzMwz1UD/AAq5F4hul2nzWwemea8t/wCEyiAwtkw4x98H+nsKlXxx&#10;GD/x6S4xjaJAB9elL6vPsP2kT2q11yfzFDSAMT0K8/zrorXV3Kgecjcf3f8A69fPcfxCWPBWzlBB&#10;/wCeuePxq9H8UgmM2c2OOA4/Sl7Coug3OB7frOrNJoOpfvAAbaUcr1+Q+9fO2nXhjtYxntWvd/E1&#10;bu2uImtJj5sbICWHGQQD+priIdQ8uNV2k4961hSnbVE88U9D6q0bWX/sOxZZIh/o0ecqf7o96tHX&#10;sqGMkWO42EEdx1P6V4TZ/FGG3022tXtJyYYliJBGCAAPXjp+tPf4qROd32a5Rj1KBP0rP2VTsO8e&#10;57mdXwo/eLzyNq/4Gqj+IFXjzoiCDwBjP69a8RPxNtz8xtbnOexAH8+vvUS/Ea3VMCC5yDkHC/rz&#10;9Pyo9lU7BzR7ntFz4jCIWMqr/dypOf1/rVSTxWSDmRRg/wB3HP5148fiDbFWBhuTkYxtXj/x6qsn&#10;ja0dyRBdAZzjj/Gj2FTsHNE9oj8Sbmx50Z/4Cf8AGrS6+hQF5IjnjhTx+teGf8Jvb7f9RcE59gP5&#10;09PHdsoA8m5PGDwOf1p+wn2Dnie5r4jhC58xSCODg8/rTzr6Y3GWMHP90/414V/wntv0FvOF6BcD&#10;H86R/HdqwH7m6BHpt/xp+xqdhc0T3CTxGoAPmJ78VBL4mGBiVR6bf/1814nJ45tZDzb3AA4AODgf&#10;nTD44g4/dXGM5PT8O9P2FQOeB6xq3ixpdPv4knTmBwfkJ/h78+9eD+Hf9bP9F/rWzceMraSGZUt5&#10;syIy847/AENY3hz/AF0/0H9a3pQcYO5nJpyVj1y0H+gW3P8AyxT/ANBFTAc89Kjsx/xL7X/rin/o&#10;IqfAzx0r6mn8C9D5efxMaKeKABTsCrJD8c0Z96UAUmBQKwE/Nycd+BQGzwOSfajA9KTj0oCw9pC7&#10;bieaUBfLLbuQeBjrTOnYUvGTgAUEuIbgPWlzzg5HGeaQn0FISaYrBu7c/nSbvr+dBJ9aTcxHAOB1&#10;NVYXKDHJ4Bx9aaQSPu0p3KRke/NEaCRwpcKPU0A1ZDGyeoppzjHFDcU3146/pVBY2tJWUWs4w2zh&#10;1CZySeDyoJ7DpVuZ5hb3M22SN0iJDEPjI9mUCsKO9mijWNREVHTdErH8yKd/aE/92D/vwn+FfHY7&#10;IsTXxsq8Yx5W09+1r9Otj16GLpwoqEm7k+lNKJpJBKojRdz+ZIUB7Zzg+tX0k8zdFDc27yOpVR9u&#10;LEcdcbaxYL2e0aRoSgaTqSucc547VMutX6sD5qtjs0a4P5YNb5nk+JxOIlVpxVrK2ttl107/AIEY&#10;fFU6dNRbZJozj7e4kVpJGBO8ueuDn6596usYo7e3R1tYThgI5ojKV+boDnt+tYMNxNbSGSJ9rkEZ&#10;A9akTULpHjkWX5o1KqcA8Hrn1rbH5LWxGJ9tTaSsur3Sa9EtUKhi4Qhyv+ti1qKwNrc63ErRJhfm&#10;VcnO0cVftrq3jtZpxfzSomF3OhwmeBgY5rnZ5ZJ5Wllbc7HJOKln1G6uLVbaSTMSgAADrjpmqxOS&#10;VK9CjRcvhUU9rK27V4t3fqgp4uMZylbe9v6uSNHZPfw7Lp5ImbMruu3HOfQda1bq5g+15af7I6op&#10;DqhZnVh90j24rm6fPcSXMvmSkFsBeBjgV04nJ3XqU25u0U106tdLWemmxNPFciem7NLWo7cyWyxu&#10;5m8tFAPC7OcH65rSto2hRtOtt6siZa5CgqJPTnrXNXFxJcyK8pBKoEGBjgdP5097+6e2Fu07+UM/&#10;Lnrk55PU1y18lxFXCUsPzp8u99r9Htrbs9NdTWGKgqkp23NHXjcYhhdJHjiGWmZMBmP04FXrN1t7&#10;K2U+aWS3abYn8Qz0x3PPFc897cyW4t3mZogQQp56e/WnR6hdwtujmIYRiMHAOFBz3qa2SV6mBhhf&#10;dvFt6Xs738tN3p06DjioKq6mupu6jtTTZN8lxtCkKS/MhPZuO34VU0yJTZwgRQs8szKWkj3YAUn1&#10;HpWUL25WKWPz32y53jOc56/nSfapzCsPm7Iw27jjnGOopU8irwwksM5LWV7+Vu3r/XQJYuLqKduh&#10;0awjzYVltYAsjFSrW4U8KTn7x9KoaJG0tpPtGST/AOykf1rNt76e1gkihfYr+ijOfr9Krjgjjp0p&#10;U8gqqhVw8ppKVrP0be3Ttv0CWMjzxmltc6mOKRlmMkBckttLIpyNxwOTzx2OKyrTzE8QhGDISx3L&#10;042kjIBI9OKz1mkSKVU+7IAJGK5J/H60yKR7d1kifY4zgjqK0w2R1KMayck+dNLTy/zJqYuM3HTZ&#10;m6+bGxAaBbiRZjjqQpIzn8OlZ91aTPqCxF1eaZQ5+XbgnPH6VBb393bLshnKKTk5APPryDUEk0ss&#10;plkkZpD1bof0rbBZbicPVlJta3111b206JeT1Jq16c4pWZ0kkbx3093HI8iBf9TGScvgAAgf5FZG&#10;pRXEQhMk87pIu4rKx+Vu4x261Uiup7dCkMzxoTkheKJbu4njWOWVnVTuG7k5+vWs8HlOIw2IjNuM&#10;ktNrOyWnTe/mVVxEKkGrNMiBPHIOOmaTnPakNNr6Gxw2HnPtRz6UxmJ69hik5pWHYk5/u0mT6Usk&#10;plcM2AAAPlFR5NIQ/dx938aaT7UqI8hIUEkDNNDc85pFIMjvTc+1Lk0mTSKDdxjFNPHalzSZoAaa&#10;KUmikBgCOI/8ucZ/7Zil8iLGfsUX/fsV0P8AY7MfXuPpTBozgsB0HT2+tfE859XZnP8AlQ5/484u&#10;uPuCjy4MZ+xxYzj/AFYrebSJM4A/MYIpg0mR9x25HftijnCxh+VbkgfY4snj/Vik8mAcmyi/79Ct&#10;xtJdDhk6dCeKgOnNuI2sf0pqYWMcx2xOPscWf+uYpPs8B6WUf/fsVqNZSblBRhz0P0pxtG25xgdf&#10;oarmFYw5rKMxvttFGAekY4/SudRTtVtoOfau6kt38iRjnuOa5K2iLQIfr/Otac9GZyjdmrZ2Ye2S&#10;RtN3Kw4byeD+OKurp8RXP9lj1/1H/wBatbSbFpLC1cJuGwdCf8K3IdPdkOV3HHzDrWUqjuaKJx/9&#10;nQjrpaj/ALY//WpP7Pticf2auR1Hlf8A1q7b+zvM+baq7uhIp39mE4DRnHUAd/p71PtWPlRxDaXB&#10;20z/AMg//WqN9Kixxpv/AJB/+tXoctiBGxCgFRglhjHHemT6afMAYgNnG3ij2rDkR5u2mxAZ+wce&#10;vlcUq6Wh/wCYax/7ZH/Cu/Gnspxs3LgY4/z61KlgXy2Mkc8dfyp+2YuRHno02I9NNJ9xETThpkR6&#10;aYT/ANsT/hXoo00tICFBB43Bf/rZph0psneW4Oeeh/wo9sw5Eee/2bB1Om/+Qf8A61IdPgAz/Zox&#10;/wBcf/rV6GdKZiylTt68n/P1/wAKa+lsQFAJ98ZyP8/54o9sw5EeczafGsUn/EtK4U8+TjH6Vk+G&#10;xmef/dFen3OmNJBOoyyohOfXg15j4a/4+J/90V0Up80GZTVpo9fsh/xLbX/rin/oIqYVFZf8g21/&#10;64p/6CKlFfUU/gXofLz+JjgBTgBTRThViFwKcpUKwIySMA+lNooFYNo9aNi49/WlJyeaMUwFkPmN&#10;uOBwBxTdo9RTgCeBzRigVhNq/wCTQVU9efxpcUEUxWEKJ6H86aFT+6f++v8A61OxSAc0xWEKx/3P&#10;/HqMR4+5/wCPGg8U3FOwrCnysf6ofXeab+5xzCuf99qGHFMOMDA570+ULD8w/wDPuh/4G/8AjSl4&#10;B0tY/wAXf/4qo8UEU+VAOMlvnizix7vJ/wDFU3zYP+fGD/vuX/4um45ppWjkQXY/z4P+fC3/AO+5&#10;f/i6T7TCP+XC2/76l/8Ai6iIppHFPkX9MrmZKbqH/oH2v5y//F0n2qL/AKB9p+cv/wAXUGKQ0ezj&#10;/TZSkyf7XF/0D7T/AMif/F003cfbT7P8pP8A4uoMU0ij2cf6ZXMyc3if8+Fn+Un/AMXSfbE/58LP&#10;8n/+LqvikNP2cR8zLP21P+fCz/75f/4uk+2J/wA+Fn/3y/8A8VVY0lHs4hzMs/bE/wCfGz/75f8A&#10;+Ko+2J/z42f/AHy//wAVVakxS9nEOZlr7Yn/AD42f/fL/wDxdH2tP+fG0/J//i6q4paPZxC7LH2p&#10;P+fK1/J//iqT7Sn/AD52v5P/APFVBSUuSIrsn+0If+XO2/8AH/8A4qkM6f8APpbf+P8A/wAVUNJR&#10;yICYzJ/z62//AI//APFU3zU/594P/H//AIqoqSjlQWJTKn/PCEf99f8AxVNLr/zyi/Jv8ajoo5UF&#10;iQso/wCWcXPpn/GmkqP4I/wz/jTKQ0rDsPyv9xPyP+NISv8AdX8jTaCMHGc/SkNIduCsdpx74xTf&#10;l9B+VJSUh2A4pOKKSgYvFJwKSkNIAOKKSikB6ouhIhOQeffj6Un/AAj6kJhBtHQNjB+lcKvx9jBH&#10;/FNf+Tg/+Ip6/H2HqfDjfheD/wCN18T9Wn2PqPaI7UeHwBgR8fr9KP8AhHRu3BAp6Yx2rjl+Plr/&#10;ANC7L/4Fr/8AEU8fHqyJOfDs4z/09L/8RR7CfYPaI6tvD4VAFTA2+mcVD/wjSBWKrtycniubHx40&#10;7GD4euPr9pX/AOJpB8ddLGf+Kfuef+nhf/iaXsJj9ojSuvDDNt3Akhic7RuXH/6vSmSeGiykug5w&#10;RxjHfHf/AAqg3x00hsA6BdY9BOv+FN/4Xhou3H9gXf8A4ED/AAo9hUD2iLcnhncs26IhSvcD8q8j&#10;0u28yyjOO5/ma9PHxx0cdNBusehmX/CvLLDXobKERG2d8MTncB1Oa0hTqJNWFzxb1PZfDehb/D9k&#10;/l5LRKRn8+K6BdEIXCrnnpjoK4nQ/jLo2naPa2U+k3bNDGELIV5x+Na6/HTw530rUB9An/xVZ+xn&#10;1Q+dHSRaNt42KFxgcEYH9anXRl24EeRnd0Hr/OuWX45eGc5Om6kM+iJ/8VUi/HHwr0NhqePTyo//&#10;AIun7GXYXOjoJ9IdVPBJ2kDt/L/P1qObS280tuOzHIxyT6+9YTfG3wm6tmy1XJH/ADyTj/x+oX+N&#10;XhVhxaan9fJT/wCLpOjLsHOac+mLuICAgnI468UR6WQhOAwOcjrz1+tYT/GPwu5INpqeD/0xT/4u&#10;pE+MfhQDm11X8YY//i6XsZ9h86OlXTdqjcoAPA4wfwqRNLB5Ck8dOfxrmx8aPCa4H2TUgo7eQn/x&#10;dPHxr8Jgk/ZtT/78pz/4/R7GfYXOjp10rI2kNkjqaQ6ONrELyeTgc/5/xrm/+F2+Eh0ttU/GFP8A&#10;4unf8Lv8Ij/l21P/AL8p/wDF0/Yy7Bzo2rvRV+yzHb83lt29q+b/AA1/x9T/AO4P517lP8cPCbwu&#10;q2upklSAPJT/AOLrw7wz/wAfc3+5/WumjBxjK5nJ3kj2GxH/ABLLT/rin/oIqbbUenn/AIldp/1w&#10;Qf8AjoqYV9TT+Beh8zNe+/UQCnAUoxkZ6UoFWKwmKMU7FGKAsIBg89KMUtI2QpIp3BK4ZAOMjNO6&#10;Dtz7VpLBZiD7Ik8p+0/vEYr8xAwePl6cDr61CIrCG1S4kSa4DSNGueOQT1Hy/wB09a8GHENCTcVC&#10;Td7JW3++1tn9x6Dy6aV+ZWKWKMVLIY5rxPKiMMcrqpUEcZOCQOg+lXG062zOkVzNJPEm4xgqTnGR&#10;xt712V82oYZQ9unFyV7WvbprY54YOdS/I00jMNFaOlWzPfH7TZt5flH/AF0XGcj1HXGazQrxQhZo&#10;3SQKCQ4x+ldFDH0q2InQg7uKT3Wt/wDLqZ1MLOEFN9RDSVengigTRkaFfNllVpSR1UkZB9fvDr6U&#10;Xkdkk+pKHWGeORDFH0UgovyqB1JJP6e9ccM8oynGPK7O+vpLlv6XN3gJKLd1coEcU0jnoB7VMBnt&#10;TSOeRj8M17iZ55HgbevPpQcBTnr607af7tTQQxXF1HDcPIkbjapTrnsOhrOvWjRpyqy2SvoOEHOS&#10;iupUyrEhXDY7imtgDk4rf1IWFxZu7TXA+wAwZAx8xAwDkc87enrUd1Jp2k3bW0WnLLJsyzSPng5G&#10;MnJ7elfP4fiSOISjSoyc3fTTp5u3Rp/M755dyaymkjBIpjEYyenrVyyihe6cS2c1xEEJEULEleRj&#10;nIzgcVtTRWraJDG2lXbwB/ltgf3inJ5PzdOvfvW+ZZ/DA1Y0nTbbtfVdfnv9y8xYfAurFyucuRzj&#10;pTSK6vU4bd7pDLpV1dMIwBJEcKBk8H5hz/jWBo8DXGp2yHnyz5j+23/6+KrA59TxOEniHHl5Fd6r&#10;z269OqQVcE4VFBO9ygCD0OaQkHgGt24k0qXWkuJb2K5SVijRkjbGAp5PryMc/wB6pfJs/sWnGeZG&#10;tYhKyh8jzBzjg98HP4Vzy4npwUHKlK8lr9z0XfVW6dzVZe3f3jnKb3pyncNwXaCSQuc4HYZ70EV9&#10;OndXPPas7DTTaeRU9hFbz3yQXSuySDaoRsHd25yPessRXVClKrJNqKvoXThzyUe5WIIxkEZ5GRjN&#10;NYgdSBXQ6n9guLSSWWKf/QybdTu2/McY78j7tR3l5aaPetbW+nxF9mS7Pg4ORjJBJ6V8/h+IniEo&#10;U6Lc3fS6S0835NdDvngFDWUtDCHNHcCp7V7dLlnmtjLEwO2KMngk8Y5+takU1tbW51CDTJo8HZhT&#10;8+Ppnp0rszDNnhGo+ybbtbVWu+m/6GVDCKrrzGL/AEpK2rsWESRXEthI0lx85UE7h3JPOBWWhjN4&#10;ZEtWliySIRknHbpmjB5ssVSlUVNqy8rNronf8xVcJ7OSjzbkBZRxkU0sB1Na+oSGLTljg09UE8RZ&#10;9ox5ZwDzgfzx0p1jHbx3ImtZPle15QtlgQRyf89q5v7ej7D2zptatLVPbvbY2/s/3+VSMXqM0URK&#10;fJTqTinbT6V79zzmrMaBSGn7SO1J8iuhl3eUCN+3rjvUylypvsOKu0hmeM9umaQnHWt0w23lf2bs&#10;m2qnnY3dBu/vZx1qmGsbWygultPOMrHZ5jdsnBOcjoB0FfPU+IIVHyxpSbbslpr29D0pZe46uWnU&#10;zQQelBOOtT3Mv2mdpxCsW7AYK2cn16CpLCzN3OJHGLeM5dj0JHb/ABr1auLjRw/t6y5dNvPsckaL&#10;nU5IalMMG6EGlrUvAuqxC8syXaNmVk6Fh6/1+hrKzyVIIYcFSOQfpUYHHQxUL25ZLddUXWw8qT7r&#10;uISB3FJuX1H51d3xjTIbeSF0nNwoz5RAb5upJGOhIrXMA3y/6LbbQP3fAyT78cfrXl4rP44eXK6b&#10;3a37dfmdNPAc6vzHNcHoRQRWnqqhIbX93GjsSWEY46DvgZrOIOM4r1MDi1i6CrJWvf8AB2OWvS9l&#10;PluRminYorrMTuG+CqFv+Q0h+sOP60n/AApFCR/xN05/6Zf/AF60x40YfNyFxyTxxUi+NcnDBh2G&#10;e1fDqZ9Pysx2+B5A41aIj18uoT8EJOn9qQ4PrGa6MeNAS24+xJ6D9eKcvjJNrZbnvk/1o9oHLI5k&#10;/BCbPGp230KH/Cmj4I3YbH2yxYf8CH/stdbH4xjZsFiCBnrmrMHilZGGGJHJ60e08wtI5AfBS6Xn&#10;7RY5+p/+Ip5+C93j/X2Gfqf/AImu/h1/zAo3Ag44z05/z+VXl1NW75GexquZdybzPLv+FM3oOPO0&#10;8/n/APEV45B4dmllmhLIJIpnjPpkHFfWgvhnG4D15+tfM0dyItT1Dti8l/8AQqqM2k7DSu/eO68N&#10;/CWXUNBtLtl01zIpPzA56kf3fatQ/Bt/+fXTD9B/9jXWeB9UQeENOwckq2fb5zXQjWI8bc/ianmv&#10;uwbknZHmP/CmSetrp3+f+A0n/CmD/wA+mnf5/CvTV1dM8tz6E8/lTv7WQ85xnp9ad/MV5+R5c/wX&#10;+U4s9P8AwP8A9aqlx8F5FjytrYD/AIH/APWr1ttXQK3zDGDVafVkZcFhihvzGnLrY8Wk+EV2sxX7&#10;PZD/AIH/APWq7b/BueQc21if+B//AFq9Gl1BDPwQCe3qK0LXUCFAz0qfaPuV8jzIfBeXP/HnYn/t&#10;p/8AWpR8F5Dz9isfwevWP7QVXwx57Uq36BgDJkk/5xT5n3J18jyf/hTB2kfYLTd/v00fBiT/AJ8L&#10;L/v5/wDWr1434Vcg5J9KT7ZlgC/OKfM+4Xl2R4/J8FZ9rbbKzHH/AD0H+FeM+GRi+mB/55/1FfYp&#10;vRvIGR688V8d+G/+Qlcf7h/9CFb0W3GV2Q78yuexaf8A8gq0/wCuKfyqwBk+lV9O50q1/wCuS/yq&#10;wK+op/w4+iPnJr35erFApwJ659qbS1YrDuKOKSimKw4YobYoyRlQQSDxkelIKGGVwMZPGSePxpSt&#10;bUcVqjVjMiQmQacyyQfJFH52cgkZweg/+tUUXkJY2cMlkoR7ho1iY7vLOX5569D+dLKUt7a5Je4M&#10;CPEpkadsn5gGIOcj3x3BpJkWCXTLdXZwbhpQWJJx83XPP8ff0r8xjHnm1G+rbTu+kW+/S9++p9O9&#10;FqV5jF/aMKRwLEI51Q7f4vmHNXneCG41KWFnN2kQaQEcDCfLjjHp61QkH/E0/wC3pf8A0IVemFoJ&#10;9TZJmM7xbZEbhR8uBjjnt3NetmdL93Qj7zvBed7yi9fL9bHHh5LmnfuS2bXQ1COOe4E8Mlt5isI1&#10;X5ty+nsw/Osm2MmpXEAmcFpcB2IC/L3Ax69Pxq/orTveJv3mGKDy0+XCjleM9zgfpWTCo+yJkj7g&#10;r0MqwTp4jEU/dU1FJNLa9+mmu10c+KqpwhLpc2NTuLJLi0uLiFpk8tpIih6HKnPUDHf8KXUNQlst&#10;RaOG2gDFA5lYEluo7Y9PWqmpIrW2mJ2+y4xj2SrJt/7VtrOdG/eRERTjODjjJ+vcfWvLoYLDUKVC&#10;vibun78Xduy1dtu9tfM2nVnOU6dPR6NGUWYszE8sxY46ZJzUun2yXuoCCR3VNhb5TySCOP1z+FJO&#10;iwXMsO7f5bbd2MZ4qF9jA7lB9MjNfcTi6+GtQly8y0fa+zPEX7ureor23GMAssiK29VdlDj+IA4z&#10;U1nvW8BjsVvJAMojOE2kEHIJHtUQbsOPpVmzSKW8dpZHWKONmwshV37AAgj17e1ZZlaGAqe0d7R8&#10;9fua3fmaYbXEJpW1NHU1mFiR/ZKSJKhmnLTD90+Bz0+Yj2/uipLqa2a71DzLCCV7WBZd7gEtkMdv&#10;I4+7+tRSRpcS2tjdedHM1qjACRjggjcDjg+mT7+tV2m8648SuPurAsYP0R8/rmvzTDUudJWatrdN&#10;9ZxXd9LrTsfQzdv68jNjvntJbq5igRWmQgKrYEeeeOO34Vsy27QrGFt9UuSUBLRXeAD77pBWFAiy&#10;3dtFINyPIqsM9QTzWvch4biSKLS9QmRSAsi3rhW47fN+FfRcS4elHEU40l71tdd0rJatrY4MBOco&#10;Ny2EvLh9MjtbmOK53yMVeG4uWbAwevLDPHaqOgtcJdTmC2SXdtDsXxsBP69/yFWL+BDoUt1JaTwT&#10;I6hVmnaQjLqM8kjkE1l2e/8AtK1VJGTdMm7a5UEA9D61eW4SlWyivyr39U29vd95bPon3CvUlHEx&#10;vsbrRTx67bEWcMNqrMqSRkbnJQnkduh/KnWN3eTXEyz3enTRqpIW1Ylxz3yf8mo/LgTxKm25kluG&#10;LO8ZYlYl2YAx0B7+vNR6TcQXCXE8GlR2qbCPOQj5z6cAfWvnHTlKlzuN0ox1t3b7u+vlv2sd11c5&#10;aD/j3j/3RWjpUFncXEy30gRFjyuX2c9zn2rPh4t4/wDdFOIr9WxVGVai6cJuLfVbo+ehJQnzNXGj&#10;vgkrk4JGCR2NXNL8/wC2EW1tBPLt3KJv4cHqD61UNWdPjtXnlN0qSbUxFC5x5jk4A/z657VzZrZY&#10;Gpza6f1s1+aNcNrWVja1NLpLTCWFq0RQyTlj9x8ckDufepLi5H2u/QwRt9mgEoZhyxO7j9KgktoJ&#10;r23srq3BlW1jZXUZ2FW5Gew4H+TVYTie48QyA5VYgg/BWB/XNfm+Ho88dVsr316yil19Ue9KVihZ&#10;SmfWoJSqoXk3FV6Ditidr8wXD28oml8zbGqBcIAeQxYjJrF0sf8AE1sx7n/0E1ZMtpsvYLi4miY3&#10;zv8AuQd2OPQHjivoM+wzljIRpxvyxjpa+l38zjwc0qbcnuzUcyBZS03BhJ8pgNynHXIrmrRrhHiF&#10;q+2ZwEBwD1+tbIkW5ub+7iDGE2oRXKFQSNxIGR7ismxuRZsZzHvYREJ7N2/w/GryWjOGGxEOTmlZ&#10;e7bq09H6dRYuSdSm72Xc19WjuvsrGCUMiIfMiKAmUd/pxnpVe2+zSX9xNZlSj2ykqg+6fTjjOMcV&#10;FdXMttNp8ufMJtvnVjgPkDr+PNTWeo3NyLoyeWoij3IEU8Hn1J9K82GDxNPBc6Xu972+1azXXVaM&#10;6/a03V5b6mOqPEBHIjI6gZVhgjiprONJr2OOU4jIJPOMnHSofNklPmyOXkblmPelyD1AP1FffTp1&#10;KlBwb5ZNbro/I+fUoxqc1rq4+YKlxKkT741bCtnrSRFvtMWIkmJbaI3PDE8c/nSZH90U+BYZbmNJ&#10;mCR5yzM2Bgc4/Gs6y9nhpKbvaOr6vTyCm+asmlbU1iLv7JuFhCbhvkeMyDGznvjn6e9RRSqI9Phe&#10;2iPnF8qQCI8Anjj8KY/kx2tos1tiCW5O2MEtwQxU8Hvxx2z7UMqw6tplmhyIImzn/dwP5GvzqEHJ&#10;NW/mfXon5vZ/8Oz6STsUbydGvT/o0SxwuUKrxvAPfGKvG9mlTyxpEj2rYCDoCvuMYx7VmTLuubno&#10;f3z/APoRrTiW9GlRqDPHPHKqkFc5TIGOnTB/SvfzWjSp4Sg7JvRat6X1vo+/U4MNKUqsx9wWsZWW&#10;x0wMWT/WRrhc5PBAHP596zr29lupoy8flND/AAE5+bP/ANYVrsLg6jMxaQWqQjaqj7z5Ocd84/nX&#10;PyCUO5mR1kJ3EP159ay4fp06tVymk5Jb3bbv6+X3DxzlGGj3NJpJ7+wspCivIbndtU7QQu49/pVt&#10;YQwuXeyCvKMOCwPmcYwfwqtHAr6NbQAb5XUshBI2E5y2fbd+dSpdw21rOqbnjtAEZiclj3/GvExa&#10;bnKFJaKTstdr6dfRHZTeib7FLUlcQ24Nv5McZKKocHtwOPpVAkYq3qFr5DrNHJvglOUBfOD149qp&#10;Gvt8mio4KCTvv+fn1PHxjvVYhxRSHrRXqHLYhMpIDeacjuKIrhiMeYVHqDj+dcb/AG7qeAPITj/p&#10;kaU6/qfeBP8Av2w/rXxvsJH0nOjuknkVgd5ODwd2Mfr05poundDtyMdN/JP4VxI8R6mAR9ni5GD+&#10;7bnjHrSHxHqO4N9niBHH3G/xo+ryH7RHfpcOSCWJxnnGP1FXk1IR8iTJAz9788V5rH4q1GPrCjeu&#10;Q3+NOPiy+P8Ay7x5Jzk7v8aTw8h+0R6pDrflGLd0LcEDJ6juTWzbeIch1Y7VHTa+fzrxD/hKrvIz&#10;AnBz3BqceNL1QMQIDjGcmk8NLoHtIntp8TKXMbEggclWOB7ev8q8Mkuj9tvDnrcSH9amPjW7J3Nb&#10;Rk+u6ufN2xd2wPmYt19a0p0JK9yXNdD2jwp4iMHhqzh34KB8c8Z3nr79K018TMWy0hLN0z0z9PSv&#10;F7PxJLZ26QiBXC5wS3vn096sHxdMcZthkdD5nP8AKoeHlcr2kT2VfExH3nC56gAev4+nvSjxAv30&#10;lRsH5vp7V46vjKZf+XYc9SJOT+lOPjSYk/6KOf8Apr/9aj6vIPaRPXn8R7s7u3UHA/EetRPr+8DB&#10;3EfMfm/z/kV5E3i+ZgQ1vn/tr3/Knf8ACZSf8+zf9/u/5UfV5B7SJ6wutF5QA+exb3+lattrahdy&#10;lt2M8nPFeKr41cYzZZwMY83j8ttSf8Jyx4azYj0E2P8A2Wl9Wn2D2kT2/wDt+MHl3YIMHAwacuvc&#10;ZU/KOMA14knjzZ0sGI9GnyP5U7/hYMh62TduRMO3/AaX1eYc8T2weIccZJU9MAdPxPf2qUa+Dk7+&#10;OSMDnH0rw8fEHapAsZDk5+abOD/3zTm+IrH/AJcpM/8AXbP5cU/q9QOeB7Y+vqrBmfABwQD0/pXz&#10;l4a/5Ck//XM/+hCt4fEJhGENm5HceYP8KwPDJzqkx9Yj/wChCt6VOUIy5iJSTkrHsWmn/iVWv/XI&#10;VZqpph/4lVt/1zFWOa+npfw4+iPn5r35erH5p1MGaUCrIsPpaaKXFMLDhjnNOGMVGBTxQOw8s32f&#10;7NvxDnOxcYznPUc9ae80jTrOX3PGAFZgM/55qLOKTFYfVaF2+Ra36d9/v6l+0n3Y5nZ3ZmwSxycC&#10;m4HTAxSY5oIreMYxSjFaIzd27sliubiCFooZdisxYkDnOMcHt0qEKANo6YxS4painQpU5SnCKTlv&#10;5hKUpJJvYdJI8oiEj5ESbEGAMDj/AAFEM0ttIZIJGjYjBxgg/UHimGm0fV6Lp+ycVy9radxOcubm&#10;vqKcsxZiWZiWZj3J601hxS0h6VvFKKSWxk9XdjOKQqCQe4OQfQ07FLtPpVOzVmJOw77ZdfbBdG5k&#10;MwG3PAGPTA4xUUckkENxHG+FnXbLkAluvf8AE0baCB6iudYPDJcqpq2nRdHdfcy3WqXvzMiDNHIk&#10;iHDowZTjOCKSS4uZpWke7udzHJ2zMo/AAgClYimcZrWeHo1Jc84Jva7QRnOKsmK09y1sbd7mV4SQ&#10;Sjndk5z1PPUDvUBHII4IOQR2qVjgVGTV06NOmnGnFJPsgcpS1bFimltpzPDIUlOcvgEnPXqDTYZ7&#10;i3t2t4Z3jicksq45JGDzjNIaZ3qZ4WhP44J7dF02+7oWqk1sxmABgcCkpzU2uggSk5DAjgg5BHY0&#10;40maTSasxrQf9onFyLnz5fOHG8sScen09qZFJLBFLHFIUSUbZBgHcOfUe5pKM1h9Wo25eRW06Lpt&#10;93Qr2k97gjPFIskbFHXow6imsSzMzEszEkk9yadRxWnJHm57a7XJ5na3QVZp0gaBZnWJiSVGOc9e&#10;etR47U/ijA9amFKEG3FJX1fmDnJ7sZJJJKV8xy+xdq5xwPSiOWSESCJ9okG1+Acj8frS7aQrUujS&#10;cPZuK5e1tO41UlfmvqR4wMUCn7aTFaEsSmsARg0/FIRQIHllcRhppMR/cw2Nv0xQJ5hdfaRIfO/v&#10;kA9sdOnSkxTcVzvDUbW5F1W3R7/eaqrPuISSxYnLFtxPvnNTfb73P/H3J/3yv+FQkUhpVMLQqpKp&#10;BO210VGpOOzJvt97/wA/cn/fK/4VE8zyuXkcu56kgU2kpUsJQpPmpwSfkkglUnJWk7jlkZJFdGKs&#10;oIBB5APX+dIkjxwPAjbYpOWXA5/HrTaSqlQpS+KKfy7bApyWzFJyqrltq52gngZ9KacUGmmqUUlZ&#10;C3EOM0UlFMdjmTawBc7GB+po+zw7vutj2NdCNBlOQVO4cFcdqBob5IKEDPcHmviufzPpOVmALaA8&#10;fOPxqJoYgT9/H1ro/wCxJCDgHIyCCOKh/sOTbkrj8MfhT5w5WYgt48HBk/MUfZ48/ffOPWtv+w5B&#10;lRG24dQO1MfSHA5B/CjmDlZiPCoXIaT8TSCFCcbpPzH+Fa8mkyhCcEgjtTTpMwOAp9eafMhcrM1b&#10;dc8vIPxH+Fc+6Ms0oDHhyOvvXZppcu/GM54PFcu8BFzcpj7szL+taQluS4mhp6s1pG25iTnPPTn6&#10;VoiIY++/6f4VNoekS3OmRSqpI3MP1rSXSJUU7gevpxWUpq5oouxktFjHzt7cD/Cm+X6k/kK3P7Iu&#10;GbGw5AoGkT7uY8AcZxU86DlZhCMMOGyM46D/AApRACBz1H90VuLo0jHlMkevWpE8P3DKMqdoHXFP&#10;2iDlZzxgBOOv/ARThao3Y/XYMV0T6DMSMIc9TnnFSroMx2gIcduOtL2gcpzi2EbYBBGe/lgipG0q&#10;Idx/37BrozokpxxjPQe/+TU7aOSPmzj6cZ+lL2nmPlOSOmwgAlRycf6tacNLiyRtU46YhBrq10Y7&#10;uYyTnqKsRaHISQBxjPPf6Ue18w5UccdIhHZMDr+5Fcp4aGNYmH/TNh/48K9ebQ2VW2RsG6jIzk/1&#10;ryTQV2eIblPQOP8Ax4VvQnzRkZzVpRPXdK50u2/3Kt4qppP/ACCrf/d/qauZr6ej/Dj6I8Gov3kv&#10;VgBTgKQGlzWpA4CjFIDS5oCwuKXpTc4petMBaKBS/jQAU007IppPtQIKOcdKCxpuTTJaFxScetNO&#10;aTmqJ5R2R6Uhf2FNxzRjNMTig3mmlzigjmkIpishu400mnYqzYRQyXG2ZUI9GfaOh9jmiUlFXKUb&#10;uxQY+1JzV5Et0iuZXiEgRflCy/QZ+76sP19Kv22mW/n3cZQTrG7BTjdjAJx95ec4B9fbrUSxEYrV&#10;FqncwCaZWy9vBC0xSBJXWVisTqRwoBx9CGY456Cs2dI47iZFyVViqkc5xxn6VcKql0JcLFc0mK07&#10;SC3a1kdwjvsYkNOqbeVA4I46nmrkFpF5MohtRMqh2STyVk3YcgDcVPapliFG+g1A55hSYrpILW0H&#10;2kzJGoE0mAIgfkDHGOOD8rdOwptjaQm3KzR23nK0in5D94HDc7SOg4qXikr6ByHOEU3FdDFbQfYo&#10;maG2JxITIykZAbHGByOR16cYxUcUNoIoyYYWk2O0isWwqbyCc5HIXseR+Bp/WV2DkMGkNbVpFaPb&#10;qjwoZJdu0iJyBmQqP+WgPbtjj1p9rbQm1jleFYy0ZwXiWRS25uxww46c85Xn1bxCV9A5DBoNblrb&#10;W32Us8AYxrySU+c847+56jsM9KdBbW620Lv5JBUL89uDk5z1xzwcfgaTxKXQOQwM0ZrYhitPsUTm&#10;3hkBH7zlt+QB05H97nGOo445ZFa2xsQXGN4yzloshuOhMgIAzyCOc9uMP267ByGVk0m40UmK2M7C&#10;7zRu9hTcUYpAOyKTj1ptJQFh2PcUhBpOaTNIYGko3Gjd7UhiUlKSKSkMSkoNIaCgIphp2aaTSGhp&#10;FFITRSGenjSoh1RRj2Ip40mFtpEaAdfu15APiJ497uje/wBlj/oKenxI8cqTuSJvraj+lfEqhLuj&#10;6Tn8j19tIQ/JsXHQDHH0qA6HFzhMEtk9/wBK8sHxP8a9TbwEn/p1o/4Wh4yHW0tz/wBup/xo9hLu&#10;HOeqR+HoChURgdOGzx/n+lJLoMO1m8vnsMZzXl3/AAtTxiowdPtT9bV/8aP+FseL8n/iXWvP/TrJ&#10;/wDFUewkLnPR/wDhHUCH5FBwc46Uh8OwY2hc+4Fecn4r+LWBzpdpyOv2aX/4qhfit4sB40qzP/bt&#10;L/8AFUewkPnPTrbwzCXDMhPt0Oa8avNO8rxHrMOOI7+Vf/HjXQQfFjxgh3R6HaPj0tJv/i64m78R&#10;6jLq99eS28Mc9zO00sexgFYnkAE5H41cKUkmJzV9T3HwH4eWfwpbyFRkvIPu8j5j37V0x8LRvw0Y&#10;PPX/AA9K8d8N/FnxLo+kJZ2uh2txCjsfM8mU8k5xw2K2R8cfEw4fwzan/tnKP60vYvqDm+h6YPDC&#10;Y/1Y6dMdqaPC8ec7F6enJrzgfHTxCCT/AMIzb/8AfMlH/C9teDfN4at/ykpexFzSPSv+EZjU/wCr&#10;68cD3z605fD8YQblBGMYxXmp+POtkfN4ah/OSmr8edWUf8izBn2L/wCFHsGHMz0xvDkIAUJzjjAp&#10;smgRtztxj/ZrzU/HvVT18OQ/99v/AIUxvj1qJHPhuDH++/8AhR7B9g5melvokRXOwbs55pF0OPgB&#10;BjkdO1eZ/wDC+78dfDkOP+urf4Uo+Pl6qgHw3Fj/AK7N/hU/V5dg5j046Ig42KMdOKkGkKRwo44z&#10;jp+vpXl3/DQN0Bg+G4f/AAIb/wCJpR+0HMBg+Gozx/z9H/4mn9Xl2DmPUn0pAcFFJznp0/z/AEr5&#10;dsY/K8Z6jEP4ZZl59nr1A/tEMOvhpTj0vCP/AGSvK9Ku/t/iy6vPL8v7Q8suzOdu5s4z+Nb0abgp&#10;XIbvKJ6zpIzpVv8A7p/maubaraOM6Rb/AEP/AKEau4r6Sg/3UfRHi1f4kvVjAtOC08CnYrW5AzbR&#10;ipKTFO4EeKdinYpQKLhYbijbT9tLtp3Aj20m2pdvuKTaPWi5JHikIqXAHrSYHpTuIi20mKmwey0Y&#10;PsKLksg2mjYfSpiCe9IVHvTuS2QlD7U0p7ipiFH/AOumkqPSquIhKj1p0c0sGfKIBPcxqx/Mg0pY&#10;CmF/anvowV0L58wOcqOd2PLTBOMcjGDwT+dReY6szh8M27cSc5yMH+ZoZqWH5riMEqBuGSxIA9yR&#10;giiySvYrViQ3UkWBFKowdwwqnB455HsKidnZ2YsdzdccZ/AVvXzRzLaxoZpSpDbJG3t82TjBznoB&#10;k9M1XkaFpoJZ0jX/AEg7G8tEWSJQvPOAR6Z46iso1lvymjh5mMCyhgpOHG04HXkHH6CpBczpGqLI&#10;Qij5Rgcc5/nmty6kga5ttrJJIGVxs2bslM5+UknLYPvWdqMc6W0JlhKKT8hNusewbQduQo7s3HsT&#10;TjVU2k1uJxtsykbu4DFvPfJJJGeDkknI6HknqO9R+dKhdt7AyZLE85znJ578nnryasW6k3RChVwh&#10;Jw5wBs5Oeevp744rQmtWhnib7PMCHwnlod2AXPHIxjIOfpVSqRi7WEotmOLidAoWRlC4wPzI+vU/&#10;nS/arlCcTSKc5JBwc5zyevUk1eurfdeK0QW4VkVd7KBENqgMdyNxjHtj8qdJMhvxcRRwrBJnZIVf&#10;5uACp4bDdeNvQ0vaRa0iHKzK86aMtiV0zwcHB+nt1PHvRFPLASIpChzyAO/4/wCeB6Ct/wA2L+1o&#10;k81SIhhsZBBJGQflQbc//X9Kju5l862csp3Rsp3szAnC5wRvyTuIzj1Hap9tfTl3HyeZgl2WMxEg&#10;IWyQQMkj1PX8KeJ5wqqJW2qcqCenH/1z+dbwmVdRmWOVS0cTqSM7gxZc8bVDfMTgck8+tZ+sbg0J&#10;zuT5gG2bQSDjAO45xj6U4VVKSi4kyjYopcTo6MrkFF2rgDAH06Uou7hYvKEhCBSuNoPB6jpUO76U&#10;u6tnCPYi7GbR60bc96fuFGRTJ1I9ppNh9KlwP8mk2/Wi4XIsU3FTc+tIc+xpXC5DikxUpHtTePSn&#10;cdyPFNIqXApu0etIpMZimkVIRSEUrjI8UlPIpMUhjKYRUmKQikMiIop5HNFAz1tdW0/bgmE574FH&#10;9paX1xBjP90V46muXu3/AFxY+g7/AK0Prd5jJlcfjXw6iz6W6PYl1PTTGCEgIHJ+Uc0p1LS3wfKg&#10;/wC+R/hXjB1a6bJ8wk9qBqtyv3nOPUUcrDQ9lN7pbEYtrYg+sQpPN0ZufsNnk9zAv+FePLqk+cly&#10;fTJp/wDa8wfJOfTnpRZj0PXtmiujf8S6zPB626Z/lSLZ6I/P9mWP/gOn+FeUx6zIDluvqRzWjZ69&#10;sGTt+mMUrMEeqWWmaPkf8Syyx6/Z0/wrxXxBbWkfj7xDGsESoLhSFVQAMr6V3Nh4kwvzcY55XFeW&#10;a/qXm+L9XnU8SSqRj6VdO7ugejVz3n4YWemy+FXLWluSLlxkxj0Wux/svSmIzYW3/foV4t4A8TR2&#10;Xh2dJHRQtyzbn6AbV79B+Nb6/EPS57iS3t723kmjxuRWHf07H8M0k7dCJQu73PSjo2jnk6fa/wDf&#10;sUz+xtFJx/Z9r/37FcGfFqEjBX8gagXxijgkhOuBgA0c67C9m+56EdF0Qf8AMPtv++BTTouh8ZsL&#10;f/vivPf+EvLfdjXrgYA9aR/FsmwFF4I4yPb/AD1pe0XYPZvud+dD0AnH9nW2f9yoX0Hw+c506Afh&#10;XDDxPO3LKfTIOatW+vvI+MkD1B4/nUua7D5H3OtPh3QeMadB+R/xp3/CN6I3H9mwj6k/41jw6rjB&#10;3n35q8uo5OMsf+BGlzIGn3LY8M6HnnTo/wAC3+NO/wCEW0Bjg6fH/wB9N/jVdNRAP3vyc1KdSX+/&#10;/wCPGmmhWl3Ebwn4eJ/5BsZ/4G3+NfKphS2+I2rQRLtjju7hFUdgHIAr6lbVEDHLnI9HPH618uTN&#10;v+JursOjX10f/H2rpoNWlYmzUo3Z6jov/IIt/wDgX/oRq9iqGi/8gmD/AIF/6Ea0K+kofwo+iPHr&#10;L97L1YopaSlrZGYUUUtABS4NFLTGGPejHvS0ZoATb9aMD2opKZLQvApN31pKSgmwu72ppY0UlMTQ&#10;hJPekZWUZIwOP16fyNONaK3aLahGdSu0B0EgXcNhGMDvlh2zx7UpScbWQKKZkkHaG7EkA+uOv8xS&#10;vBMsfmGJwmAdxHGD0rQa5P2Z0aUyRiEJ5Znz8xK9BnnAGc4wDkVLc3kD6cY1yWO5cFR2Cegzzj1/&#10;PFT7WWmhXJHuYrRsoyykDIGfcjI/SmYz71r3kjSJcMLlMMSojW4GMFy2Qu704xjoaoxbUmgZypVW&#10;BI2gfxdCSOf1/pWkKjcbsmSSK720yOEaKQOzFQu05JHUAd+tK9ldJjfazqG6ZjP+FbF9ex3LKnnx&#10;7fPUsoYBWUHGcZIPP44AOO9MnuraZoJENuGFxvOOD0PJyMjnHPf3rNV52WhXJEypLK83EvbzFixU&#10;5Ukk/wBehpn2G68xU+zy7mIVcr1JGQM9P8Oa1Z57bdCfMjygWQKhzgqrEAnGMZIGOvtS3d5avLBL&#10;9p84RuRnbkgEHOVODjhfbk9aarT00Fyox5LS6i2GSGVN/CbgQT2x+nSovs7AjEYBYEjGOQBk/pWx&#10;eX8Rnt3hfZIBkvEqjA+7jIbjIAznBHt0pZNTzeDbPK/lxsAXl+QvsPO7ce5xxgdOtNVamnuhyx7m&#10;QbO5DIpt5QXGVGw8j/IpDYXSN5f2SYMwPyiM5I78Y96tXywz7Ejkt8YJc7jhWwAVHqowMHnvz6yR&#10;NbQau1y7wPHu3Ajkjkc9Ov68VXtJWvYXKiidOu/N8s2soc54K8HHXB6GkNhdrIo+zShiu4YXnHrW&#10;sLq2+2WrI0IXy3VyGVcgKCuThcfMOMgfrTLi5ha+RzLAU8lgNzeZhiSOoP06kDr61CrVOw+WJky2&#10;txEwWSMgtkgZBzgZPT25pBa3RnEIhlaUdFUZIwcdu2c81tXN6j3kTidAqxnLrKPlJ2543tnp0x+d&#10;QT6gh1GG43rIh3Hc+0lc9PlwdpBxyBzjvTjWm+gOMe5lNbXMcyxPDKkjnCqylSxz2z15piwSu2xY&#10;2ZlXdtAzhcZz+Va0c0CaioQwiJVXe26NRnIbIKqucYHUZ69Kkt7qGC7DFoSEt9qsGVvmwMnkjnoB&#10;9KbrSS2J5VcwzDIJDGUIcAEqeCB7/nSrbys4jEbbiAdvQ8nH862HvSb1Cl1hSm35HyoOSWHLLtGe&#10;nOCAOtOS9WS+kZbiVY/lRS0m3A3r6k7uMnngc8YNDrT7ByxMYWlwW2+RLu27sFCDj1+lILW4MvlC&#10;CUyAZ2hDnFazTW8dwPmQI8JyqIjDO7P8DAAnavc++Kek8K6gSpVQka/O2FAbGcE7iD6e361Lrz7B&#10;yx7mL9mnMhjEMhcDJUKSQPpTTDMsoiMTiQkAIVOT+Fa/mR/bHZvKZNiq0jEbWXdknAPtwB+VMRka&#10;4csIfmg5KkbcDIwvzDGeB69c0/bS7C5EZBZgSDkEdjSbj7Va1Ft12eFzgZZRw3v1OfrVQitovmSZ&#10;DSTF3D0pN31pKKoQHHqKTAoptIYEU0inZpCaRQ00hp1NNIY00hpxppoGNNFB60UhmCmMArxn8akM&#10;hxjJz7VhDTNVBwLo/hM1KNM1cfduW5OP9aa+P5F3PorvsbOeMkDI780ocLg84J47ZrGbTtaGAbhv&#10;wlJppstZAx55+m+nyLuF32Np5HyCvY9BSiTI3ZGf5Vgm31gHHnHP++Kb5Grk48wk/wC+tHIu4X8j&#10;pPMDYzkkelEMzKQQRg9BmudEWtdA5/77Wk261gAMcf7yUezXdBzeR16XbKFVScjpzXIanKTrF2xb&#10;JLDJzntS41xRwTj6pWZcG5a6k8/Jmz8/T+nFVCmk9xSlc6fTZ428OXcEs6xK7t1YDkAHj8qx9Ktb&#10;abUkIlZCHD5ZwBtHJ/H8qqRLePFiMFo84wcEZ/GrC2WpRtkWq594kNUopX13E3e2h6LFeJJKVEyO&#10;cZAD7iOfanC8OMGQqM8EnOPzrgIJNbtifKjKk+kafl06cVY/tDxFu3bGJ/65LWLo+Zpz+R3H2krk&#10;vIoX09fb/IqdLlwcncwwMFm/KvPzqXiFQQY2Hr+6FKNV8Q4wITx6Qil7HzQc56J9sWTBbcy57Hr7&#10;1ZguAqBl7dBjuPb868z/ALY8RA58ps8DPk0/+3vEYP8AqCcdvs5pfV33D2iPW4dW2KxbaADxzj+l&#10;WY9bIk2oVaPgbyeR7c/0rx3/AISLxGuR9nYZ6/uGoTxL4ij6Wh4Of9Q3+NT9WfcOdHs51fyznzCu&#10;DnAbt+VPk1xgGO4hcZB3D8vWvGP+Et8SA5+zcDt5D4/nTG8W+IWB3WikE55gf/Gj6tIOeJ65Nr8i&#10;qGZ8KOp3YA/xrxm3cyePrxydxe5nJPryxqZvFOuHrZx/XyXz/Os3Q5Xm8UpLIoV5GkZgBjBKsTXR&#10;SpOCk2RKSco27nsmif8AIJh+rf8AoRrQ6VQ0P/kFRfVv5mtDGTXv4f8AhR9DyK6/ey9WJzS80CnC&#10;tzOwYNGKWloHYMUYpaWmFhMUUtJQKwlGKWjFMVhppCKfgUdPSi4miPBNG09+KeWHvTC1Mmwm33ow&#10;B/8AXNGSeSeKaWHpVCsBIFMOfT86C5ppppC5QJP978qjJHuacajJqkOwmfakJOKWkNUFhnWg0tIa&#10;ZIw0UppDTAaaSlpDTENNJSmkNADTSGlpDQAlJk0tNNMQuR6UmfQ4oNNpBYeSfUGkz68Uw0bjSsLl&#10;H8H0pNo9KTd6gUZBpCsG30NNKkUpYg880bh/+qkFhlJTyQfSkwPSgBhpDTiPemkUDEIptONNpMaE&#10;NNNOpDSKGmkNLSGgBtFBopDLkehS5B2E56cjHHb/AOvUp0TZGdsbEnsBivV10NGGAi+h470qeHIw&#10;u1R+dfCrmPqLo8mbQmcKm0MxOACc/wBPrTG0FwrHBVfp0H4CvXW8OquThSMdAKZ/YEYwQNrDvjOP&#10;yp+8LmR47/wj0jAvtVefvdqibQWYlRG28e2K9jbw9EEA5C9hjnmnDw8jA/J1z270XkK6PFTokq8g&#10;fgBzUA0eZkBCEZ9Vr2tvDKgg7QT24x/WqP8AwjUaxkbOMDA2dPpRzyHoeQrpcjA4RgOucfT8a5DU&#10;Ldo9YuoyMFSvH4V9DHw4iRlB36k1474p0wW3jjVLdQML5R46coDWlKbuyZJO1inoOnvPayMqbsSY&#10;z+ArdTTJyR8hP0rqPhxocd1o92z7f+PjHJ/2RXZr4agHdOTnkionN3KSSPJBp0pZj5bDHtUkemzE&#10;b1QgHkCvVB4Yi8wkshzwRuHT86f/AMI1AcfcH1YVPOx6HlR0uZmbCED3pselyhPlQ8HuOSa9Yfw5&#10;ErD7gPvjP4Un/CNqw6R8+9HOw0PKjpsitnbkeu3/AD7Uh084G5cEnjgj9cV6ufDiA/dTrnGOtQ/8&#10;I3GrFgMMRzgijnYaHl/9nSscMrLgZLDinfYZt2CrZHGf/wBXXtXpZ8PKxONuPwx71IfDiPkhVBb+&#10;INg/pRzsWh5mNOm242tgnOf8mj+z5NwA3E7Dkgdf8a9R/wCEaBQYQEjsBmlPhgh8oMDoVHenzMLo&#10;8ll09iqllc5POOfxriLJSnjd1PUTS5/Jq+jJfCfJPlAp1xg5z7V4Ff2v2L4o3tsMgJdSAZ69DXTQ&#10;k3zehnO3NH1PT9D/AOQWn+83860az9F/5Bcf1b+daFfQ4b+FH0PJrr97L1FpaSlFbmdhaUUlLTBI&#10;WlpKCaAaFopuaKYrDqTNFJTCwZpCaWmmmKwlNNONNpiYHhRTDT27UwimhWG4pDTqaaoVhhptPNNx&#10;TCw2mmnkU00ybDaSnUKu51UdScCncViM02tCBYZdQ2LGrRKzbcZ+cAnaDz34HqarXEKxTPGWwFHy&#10;kDO707/59KlVFewcpXxTTWp9hiOmedyJPY+xP8yPyHfOa95DEjxlCqxnCttySp6nIJ6gEcZpRrRb&#10;sLlKRpDWnp9lHcxzM4J2g7SO/b+ufwHvmKa1jW1ITHmLIck53FQSOnccrzgDOaPbR5uUOUz6aa0z&#10;axrcw4iMqsFTAOB5mACCc9QTnFU7tY1uGWIAKOODnkcH1qo1FJ2QWK5pKWkNaCG0hp1JQFhppKWk&#10;oASiikpAKT8tJS9qbSFYM0ZxSUlAWFLUhNJmm0gsOzSGm5ozSCwUhozSGkUIaQ0tNNIY00UhooCx&#10;9CpqOmnkahan0/fp/jU6X9iwI+125HY+av8AjXjw/Z/gYceJ3x72X/2yl/4Z9j/6Ghh/24//AGyv&#10;jVGPc+gdj2QXlkQP9Kg+vmCjzrTqLiIn0DivGD8AVzgeJs/9uX/2yj/hQLYyPEyj0/0M/wDxdHLH&#10;uKy7nswMLbsPHknsRTgsatkSK3tXih+Acw6eJlH/AG7H/wCLpv8Awoi8GdviaPj/AKYt/wDFUuWP&#10;cfzPbnijIGSD3xVZoV2A/pXjJ+Bl+vA8Uxj/ALZN/wDFVC3wT1JU3DxVGOP+eb/40uWPcpXPZmhB&#10;OB39OteDePEWP4naup7x25/8hirrfBjVwQF8Tx8+z/41wfiTwlfaH4ll0uTUUuJVjWUzAsAQRTjC&#10;OvvDcn2PdvhPbrJod7tI/wCPjt/uivQhacg8cV80eDfh/wCIteguXsPEC2YhZQV86Qbs59B7V0w+&#10;EXjcfd8XRH/t6n/wqeSK6ik232PdBbLnp+VKLZc14X/wqjx8v3fFcX/gbP8A/E0H4W/EVeV8VR8f&#10;9P8AN/8AE0+VdybPue6G2HbioWs8seDjPGDXh5+G3xKTp4nQn21CX/4mmnwB8UE+74jz9NQk/wAK&#10;ORdwSfc9x+yeuD3+lRG0Iz2+nFeJf8IP8VVB26+x/wC4g39aYfB/xZj/AOY1Ic+l/S5F3KV+57W0&#10;B3A7ck+vcVOLfC9Mn0rwgeGfi3khdUlbHpfL/U1IPD3xlUfJfXGB6X0X/wAVTVNd0DZ7qLUMeVzx&#10;TxagD7gxXhI0X41ryLu7I/6/YP6tSnTvjgmQJrw49Lq3P/s1P2fmiHfue8i0iAB2LnvgV8oeL0Ef&#10;xq1RQMD7Y3/oFdr5HxxUHD3vH/TS2P8AWvM7gauvxCca8X/tTz/9I3lSd23/AGeOmOlbU42vr0Ev&#10;iWvU9h8PWRudEWRGw6yMNp6Hp/jU8kTxPtkQqfQ1J4SONEx/02b+QrbdUlXbIoZfQ16mGrONNJ7H&#10;PXpxc21uc/ilArSl0xTzC+P9lv8AGqclvLD/AKxCB69R+dd0akZbHK4NEWKdSgUEVYrCGm0ppBTE&#10;KKWiimAUlLRTEJxSYpaKYDcUhFKTSUCsNPJppp+KbiqFYbTSKeaaaYrDMc0mKfimngUxWGEU0in0&#10;hFMloZTcZ7U41ZtbsWyOMSEsRwGwuPp6/wCFEm0rpXBIpHB96Uxsqg7CARuBx2zjP58VoNqZLOyx&#10;j51lBU9BvYnj6Z/Gq8l0JLJICnzLxnA6cYPTOe30qFOb6A0imQpPQUNGyAM0bKD0JUgHv/UVbmux&#10;JC8eJMssQ56fIuD37024uVmhiRd4KHAPsFVQevX5SapSl2E0intDEcAntSFcY4x3HFaM1+ks4bbI&#10;E+1GfB4wCScdcE4x9Mdearzzxy7PkLbUK5Py4Jdm7Z/vChTk90DSKfA9Bigg46cVox38cdr5RSQt&#10;9naLOBjJZjnr7j9eKhluUezEQ3bsRjpx8u7Pf/aFCnK+wrIpUhpxptaisNpDTjSGgLDKSnGkNMLD&#10;aSnU2kKwCkIoNJkigLBSGlzmk4pBYaaSnEU00BYbSUtNNIAzQaSjNSMKQ0tIaQxhooooA9Zi8VqM&#10;bpOvQkY/nT/+EowD+8yPT/8AVXlS30qnhzgjB44NWDfNKv3iAvU4wa+FVz6WyPSD4sRMgSbiBnv+&#10;X603/hLx5gQyE59Ca84F07NnezFBye+Pc1Eszb/nlChh2JBz/X09qeoWR6S/i5HX77ZI5AqNvF+3&#10;JyxUcZznNeeqFGWD9h0zkH/OaDNsORli3XIH9KWoWR3D+LGK7yWBzxVZ/FkhjUFyBjAJ9a497jcM&#10;MNrEZwD+hqqtz6FcDkDkEUWDQ7VvFjLtDuAevvXmni7VTeeMri5yeYEXn2FabzY4XAzz9cVx+uvj&#10;XJCAB+7XgVrSjqyZM9I+HHiUaeuoRs5G/wAvGP8AgVegReL4yM+YSfavCPDc2Fusn+5x6/ero0mZ&#10;WB3E98ZqJxtLQpa6nsCeKoiRmQH16VZHiOPOQ6kHvXjq3snyjLnucn3qU6lOpJ384B+9wPap94LI&#10;9f8A7fjzy4+gqRdajccMMZPOeOteQDWJI8AyAHPU/wCfSnrrTgsTIxYns316Cj3gsevDVoydueRj&#10;v3qKTV4znEnOM+1eWw64QScKwHfqR60v9tsoBEgVs5+X7pz+PWj3gseiza2EUsjZK9QMc1AfE4R1&#10;+Yj+vtXn8mrPs+83PQe2OgquuoFFX+77jt9KVpBZHpkXiyPzdu49AavQ+JomH+s5z0OfWvJUumLF&#10;i6h8nGAOn4nPvU6XjKTtfOPmBP6ZP+fwqtULlR7BFr0ci8OM+gOTXzX4ylE3xmv5R0a5U/8AkMV6&#10;AurOEG47uBuBfv8ATP8An8K8u1aZrj4lyStjLTpnBz/AK6MO3d37Gco2a9T2Lwq2NHI/6bN/IVuB&#10;qwfDHGkn/rq38hW0K9Oh/DR5eIqtVpLzJw1PDVADTs1rYx9uK9tBJyYwD6rxVWTTx/BKR7MP61Z3&#10;Um7NaRnJbMl1jOaxnXoob/dNRtDIn3kdfqK1gacCa1VaXUXtjFxRitkqjfeRT9RUZtoG6xj8CRVq&#10;uuqH7ZGTRWi9gh+4xU+/IqnLBJCfnXj+8OlaRqRlsXGcZbENIadTa0KEpDSmkpgJSGlNJTAbSYpx&#10;pDTFYaaYRTzTaomw3FNNONNNMVhtIadTaBDcU00/FIRTEMxSEU4ikIoEMIppp5ppFMQw0hpxFNNM&#10;BppppxpDTENNJSmkNADTSGlNIaAsIabTqbQAlJSmkpANozRSUAFIaWkoEIaaRTqlitJpuVXC/wB5&#10;uBUuSW4m0tWVjTa149NjXmVix9BwKspFFF/q41X3A5/OsJYiK2M3Wj0MVLaeT7sTkeuOPzqYabck&#10;cqq/Vh/StUsfWml8Vi68ugKujMOlzf34vzP+FFaBfmip9vMftkcOniTTwuPNH4q3+FTJ4m04ceYv&#10;t8p/qKmPg6x2AiB8nsHYnP0p3/CDWe4ZWXB9GPFfMXpeZ9RaZCPEunBgwlyQcjnA/lSf8JJYHdmR&#10;Qp6APUzeB7PcQqy5xxlqhfwTbBXO2bgZADDPT3p/uvMPfFXxBpueZh9Nw9/enjxFp4JImQA/7Y/x&#10;qufBln8oJuVyOpYcfXioz4Kh4/4+V4zksMH9KP3XcPfJ21zT2BzNESRjll4/WhNa00LzNHu653r/&#10;AI1V/wCEMt9pYyXO3scj/Cmnwfa5wZrgfiP8Kf7ruL3+xb/tnT+f9ITn/bX/ABrmdZuYrjVWkhdW&#10;QxgZ3DrW6fBNvg7Z5+uMcZ/lWBrGjDTNU+yK7MpjD5bGeTWlP2d9GTLmtqXtCvYrX7QZGXLbdvI7&#10;Z/xrcj1O1IGWHr2P9a53RvDh1Xz/AN6yeVt6Lnrn/Ctb/hAnK5W6Zh2Pl8H9amap31Y481tjSGow&#10;Y+Vjn6Cj7bHyQW59BWV/wgjHO28yQeQIs/1pj+BZ1J/0rjnGYuv61NqX8xV59jYN0jdN/wCRpPOj&#10;52rJ14yCQf8AD9KxP+EKmAH+k8noPK/+vTD4OuA2PPX3+TpT5af8wry7G8Lhc8rJj/dPFSC8Qc/M&#10;D7qa5z/hErjnFyv4rj+tNPhe6XpdJ36Zo5IfzBeXY6Rr5QR8zH3AP9aUXsJC5Yg9zsP8q5c+HbxS&#10;ALoEn60f8I9fc4vFIHfcwz9KOSHcOZ9jqhfw8Zdue3P+RT01CIDmXjPZT/KuRGg3+cfbU/77b/Cj&#10;+w9RBAF6AT0+duf0p+zh3DmfY7Jb+LA2zYHcEVxlwyt49Uo25TMmD6/KKe+h6pGMm+UD181/8Ko2&#10;NvLB4rt4pnEkiyrubJOeB3NaU4pXafQmTba9T3XwwP8AiVEf9NT/ACFbYFUPCMaHSH3KD++PX6Ct&#10;4pF/cFdNCpaCPMxOHlKtKSfUpUmaveXEf4BSiCL+4tbe1Rz/AFSXcoClArSWGIfwL+VO8mL/AJ5r&#10;+VHtUH1SXczQKdir/wBnhP8ADj6GkNpGejMP1p+1RDwlRFHFLirLWjD7rA/pUTRSJ95Dj1q1NMwn&#10;SqR3RHikKggggEHsaXNGaq5jcz7mxK5eEZHdf8Komt7NU7uzEuXjwH7jsa6KdbpI6aWI6TMvpTae&#10;wKsQwwR1BphrrR2BSGgmkzTCwU00tJTCwhptOIptMQ00hp9NxTJY2kIqQIWICgk+gFW4tOduZWCD&#10;06mplOMdzKdSMPiZn4pyW8snKRsR644/OtmO0gixtQE+rcmpTz1rCWJ7I454xfZRjjTpz12L9T/h&#10;S/2ZJ/z0T9a1aQ4qPrEzD61UMdtNmHQofxP+FQPaTp96Jse3P8q3TScU1iJLcFi5rc5wjqO9MIro&#10;pIo5PvorfUVUk02FvuMyfqK1jiYvc3jjIPfQxiKaRV+TTpl+7tcexwf1qq8Ekf342HuRxW8akXsz&#10;ojUhLZkBpCKefakIq7lkZFNqQimkUXAZimmnkUmKAGGmmn4pCKLgNxSYqwlrPJ92JsepGBVmPS2P&#10;MsgA9F5rOVWMd2ZTrQjuzNqxFZTS87di+rVrR2sMP3EGfU8mpDXPPE/ynLPGdIIpRWUUOCRvb1b/&#10;AAqwadSHFc0puWrOV1JSd2xhFNNSGmmlcakRkVG1Smo2xSbKUiE9aKVhzRU3HzHZQ6IhAZkfIHQn&#10;p6/Xn1qb+xApJRMMc8/z6fWuqjtAQBjp1/L0qZbVTgYIA54FfMKOh9xdnJPom4YKAk4zx6fWov7B&#10;QuQVA/u9PmrtTY/LvweaVLNZOGVdw9KrkFzHCv4eQKdqFs+gyc+30qOXQnbayQ4OecemO3PX/wCv&#10;7V6A9qrDpyD1AoWyA4xgHkj1o5B8x5zJ4ZQQKEU8ZO4jp+lNj8OMFBkjXIOccmvSv7OGcY4HQimf&#10;2dGw5Ucdsf59aORhzo87Tw4pOZEjODlSef515l4+0z7N40hhCAbrJXwP99q+izp4UFTyv9K8b+Jl&#10;oqfESxAH3tMHH/bRqqneLuD1Kfw50YXD6lkDK+V19PmrvxoAfouCOTwOD+lUPhhZgzapxj5Izx16&#10;tXpItQONvX0HSpa5ncbfLocINBQDATkHIOOPzpv9gKWIVARjGM4/nXfGwXdnaD6ccZpFsdp4AwOv&#10;tS5CedHnr+HEZySqrk88YyeMf0quPDcYQsPlO7gDoT1r0c2Awcnk9jXkfxc8V6xoF9Do+mERC4gM&#10;jz7fm5JGFPYjB596cabk7IfOaLeGijKXU7jwSO4+v49Khm8Lkj/V5B5JCcY+n414jY+KPEOkX32m&#10;11W7WXPzB5C6t9VOQfxr6d8M3H/CQ+GNO1aWNUkuYQXUdAwOCB6DINXUoyhrcSqXPP7nwyx6ckNw&#10;PQ/n0/KqTeH3/hTk5I257da9hOkKZCxXkjqQP0pDoiAbiu4DjGOazXMVzI8cXwxO6D93nBPGM/rT&#10;h4Wn4BXPcDvXsi6RGDkLjPUU/wDsqM8FAeR2/T6VXvC5keQL4UlKDcGRjnjHJ59PSvPNRtDY/Epr&#10;d85jkTORgn92DX1IumRrGSFyAOeBzXzX4u8P+I9c8WX2q2nhfW4YpmUxqbOTcoChecDHbtW9BO7u&#10;+hEpbPsd5o3iSDTbIwSQzMS5bKYx0HqfatMeMbLvBc/98r/8VXix8MeLFHOia6P+3ab/AApP+Ed8&#10;VDro+uD/ALd5v8K6I3irJkSjTk3Jp/ee3DxjYf8APG5/75X/AOKp48Zaf/zyuf8Avhf/AIqvA7uy&#10;1zTxH9stNVtvNbannJIm4+gz1NSR6Z4jljEkdjrLoejLHKQfxxVXn3J5KXZ/ee9jxlp3/PO5/wC+&#10;B/8AFUv/AAmem/3Lj/vgf414KNM8SZ/48da/79y0v9meJB/y460P+2ctO8u6Dkpdn9573/wmWmek&#10;/wD3wP8AGl/4TLTP+m//AH7/APr189XTa7p2zzxqNv5jbVM4dQT7Zq6LLxI2Ct4f+/xrejh8RWV6&#10;av8AIxqSw9P4218z3oeMtK/vTD/tnTh4y0n/AJ6S/wDfs14L/Z/ijtdt/wB/qPsPikf8vT/9/wCt&#10;vqGM/k/BmX1jB/zfij3hvFuiP96R/r5Tf4VE3ibRD926cexhf/CvCzZ+Kf8AnvJ/4Ef/AF6ng0nx&#10;dcKzRtIwXr/peP8A2an9TxsfsP7mZyeBnu/xR7V/wk2j/wDP0f8Avy/+FH/CS6P/AM/Z/wC/L/8A&#10;xNeLnTvFkSMrwsxP8Ru+R/4/Vd4PE6nlJB9LnP8A7NT+rY3+R/czP2OAf2/xR7Vca1olwObza46N&#10;5T//ABNZ51WwyR9pUj12N/hXkJTxMD0l+nng/wDs1SwW/imY5CTbB1YSA4/8erWMcdTWsPwZtSjh&#10;V7sZN/NHrH9p2H/Pyv5H/Cj+0rI/8vKfrXkd0/iGxgea4aWONcfMcHrx6/Ss0a/qbf8AL26/QDmo&#10;nicRB2nFL7zdU6D2b/A9u/tCy/5+Y/zo+32f/PzF/wB9CvEv7d1Xteyf98r/AIUv/CQaqP8Al9b/&#10;AL4X/Cp+vVey/EfsaXn+B7Z9us/+fqH/AL7FH220/wCfuD/v4v8AjXig8Q6t/wA/n/kJP8KUeItW&#10;H/L2P+/Sf4U/r1Xsg9hS7v8AA9q+12n/AD9W/wD39X/GrMH2NwGkvrZR6CZc/wA68N/4SPVf+fhT&#10;/wBsl/wo/wCEk1P/AJ7J/wB+xSeOqtaJGc8NBqyk18j6CiuLCJcR3FuPcSDn9af9qtj0uIj/AMDF&#10;fPQ8S6n/AH4j/wBs6X/hJdR9YT/wD/69YuvN7r8TjlldN6ub+7/gn0J50R6SofowpdynowP4189f&#10;8JLqH92A/wDAD/jS/wDCS33eO2P/AAA/40e3l2/Ej+yKf87+7/gn0Jj2pCp9DXz5/wAJLe/88LX/&#10;AL4P+NL/AMJRej/lhbf98t/jT+sS/l/El5RD/n5+H/BPoAqfQ00g+leBjxVfD/ljB+G7/GnDxbfj&#10;pHH+DN/jR9Yf8v4i/seP/Pz8P+Ce8kU2vCh4w1EfwgfSRv8AGlHjLUv9r/v63+NP6w/5SXk6/wCf&#10;n4HudJXh48aamP4pR9J2pf8AhN9TH/LSf/wIej6w/wCUX9jv+f8ABntbxRv96NW+oBqFrO3PWFfw&#10;4/lXjY8c6oP+Wtx/4EtS/wDCdap/z1uP/AlqpYqS2TGsqqLap+Z6+dPtj/AR/wACNMOnW/8Atj6G&#10;vJP+E81T/npcf+BDUDx5qn/PSf8A7/n/AAqvrk/Mf9nVl/y8/M9YOmQesn50f2dbg/xn8a8o/wCE&#10;+1T+/N/3+/8ArUf8J9qn9+X/AL+j/Cn9cl5ieXV/+fi/H/I9ZFjbL/yyB+pJqRYo4/uIq/QV5H/w&#10;sDVf78n/AH2P/iaP+Fgap/fk/wC+l/8AiaTxTe9yJZZWe81+P+R66aaa8l/4WDqn/PR//Hf/AImn&#10;L8QdW7SN+Uf/AMTU+3XYj+yan8y/H/I9WNJtJ6A15aPiJrI6St+Uf/xNL/wsXWsf61/++E/+Jo9v&#10;5Ff2TL+ZHqGx/wC435U0qR1BH4V5j/wsXWP+ej/9+0/wpR8RdY/vv/36T/Cj2/kH9ky/mR6Uaaa8&#10;3PxD1Q/eyfrEn+FNPj7UD1U/9+lo9uuwnlVTpJHo5qNjXnf/AAnl93Vv+/S0h8d3ndT/AN+xSdZd&#10;gWWVe6/r5HfnrRXn58c3X90/9+x/jRS9quxX9mVe6/r5Ho0XxsiXGXvB/wBu0f8AjU6fGy27yXf4&#10;20f+NaltY+EJlwND08EjvCKtro3hAvg6Fp+MZ5jArw1Kn5n09pGP/wALutguPNuT9bdafH8bbTPz&#10;TXA/7dhW7HoXgx2A/sGxz/1zxVgeGPBhBJ8P2QH+5VXp+YreRz//AAu3T+CZZcj1tqlHxv0wjDTS&#10;f+AxreTwl4MZsf2BZHPsR/Wnf8Ib4K/i0G0Hr97/ABo9zzC3kYB+OGmE/wDHw+Pe2ahfjdpeD/pO&#10;Pb7K/wDhW+fA3gnHOgW2Pq3H60weAPA5Un+woMZP8b//ABVP3PMLLsYDfGvSixJul+v2Z/8ACvPf&#10;G3ju313xTaanbSo6RWfkkiNl53seh+or1W68A+CQvGhwjJ6+bIP/AGavJviHo2iaVr9jDptiLe3k&#10;t2Z1DudzbiAeSaqnyXtqDujofAHxJsNFmvWv7iGISooQtE5zgn0HvXeD4y+H2IzqVp+MMvH6V494&#10;Q0nw/qF5PHqNmZFEeUHnOuDn2Ndmng/wQw/5B8gOM/8AHzJ/jUy9mnbULN6tHar8YvD+edVs8f7k&#10;lP8A+Fv+HmB/4mdj/wCPCuI/4QzwQwJNpKoA6/aH/wAaQ+B/BDf8sbke4nOKm8O7DkXY7r/hbXh8&#10;4/4mVgf+2mK82+JXiDT/ABTqFpeWE8EjwQshaFw3Ug4PBx/+un3nhDwFZx+ZczXMC9ebkfpxzXHa&#10;ifDal4vDseofL88stw6lSoIHyrgHqep/Krgk9Y3KppRkrozZrBXlG/AyPmIx3r2/wR490nS/BWk2&#10;E09hHNBDsZXvFVgQTyQehPX8a8LVlik3HJQMMhAFJ/Tr+ddJptj8Ob+TZeXuuWExPPnNGy5/3lT+&#10;eK2nBuI6ri5bHuQ+JOi/8/enE/8AX8lKfiRpDDiawP0vV/wrhbX4O+E7yFJoNV1B4nGVdZIypHsd&#10;tWx8DPDbdNV1EfXYf/ZawUY/zGdl2OyHxF0thw9n+F4v+FOX4haZtxm1/wDAsH+lcUfgT4fPTWr0&#10;HtlFP9KYfgToYH/Icuv+/S/40+VfzCtHsd3/AMJ9ppXhbf8AC6X/AAp0fjrTtxAWHoOBcKf6VwTf&#10;AfRe2vXP/flf8aib4EaRn5fEM3T/AJ91z/6FRyr+b8AtHsekjxxpxwSsf/f9ak/4TTT3X7qY/wCu&#10;q15c3wH0zt4jlGfW0H/xVQyfAnTh08TN+NmP/i6fKv5vwFyx7Fv4u+IbW8Hhxo0GIb7zG2sG4AFd&#10;H4b8Z6enhq1yj5G7K7hx8xryHxp8ObbwounGLWPtX2ufyT/o+zYMZz945q5pPwrtNU0uK8/4SIRM&#10;+f3f2POMEjrv9qqUY8qvL8Co6aJHscPjfTS+PJmOfTb/AI1pp4z01sD7PP8Ap/jXikfwctnOP+El&#10;QfWy/wDs6tJ8D4XHHieMfSy/+zqFGH834DavujQ+OOu2uq6bocUEUilLxmO8DpgVzsSrtHHb1rJ8&#10;a/D0eDP7LnGqre/aZ9m0Q7NuMHP3jW9HGNowP1r7LhxL2U9b6nzedNKUUblzrlhNY2FtFpMUZt9h&#10;kdgrGQgYOeOQTk4OevsKrnVLFmLNYwA4C48lcYAAHGevH86fpl9a2SqtxpcN1hyxZnwSMYx0Ix3r&#10;S06+t727htIdFiaVgAMzAZ2qcnOO/H5V6VVeyv8Au3Zdbr9Wc9OXtbfvFd9LP/IyG1Ww2gCwtRgb&#10;f9QvIw3+11+b9BTU1S0jJWKFI0dsttiC46453E9+ldILOVlR10WNkKQnIvB3br+PSmtbTZdRoRGc&#10;gEXn96TA784yBXMsbST0j/5Mv8zpeCqSVnL/AMlf+RzdxLE4JV1I9jUmhX+nWOoSS6jarcwmIqqt&#10;GHAbIIOD9DW3cadOQJBoswCmV5F+28FVIyOvbBHvVC4jisFke+0eVVfdGpW63bZNq46N2wx/4FW7&#10;xdPEU3Ttv2kr/mYRwk6E1Uvt3Tt+RgeZZiNUKc4GT5GTnbjr5nvn6gVbtJImt38tQoDAY27c/KBn&#10;GT1x61da90SSbMmjzrH5m47LhiduzGOT/e56/wD18SAtCc8nIwRXZBOad4tetv0Mo1Y0Zp8ya8jP&#10;8XMp0G4AHdP/AEIV1nwCvNMtdF1lb/ZuNxGV3x7uNp9jXH+KWRtBuMAg5Tr/ALwrL8HeH/EWrQ3j&#10;aJqi2aRyBZVNy0W484OAOa+X4gjaoltovzZ7OXyjUi2u59QG/wDDLNw1uD/17/8A2Nc38Q5/DrfD&#10;/WzCtqJjbMEKwYO49OcV5T/whXj9eRr6H3+3v/UVna94c8bWWiXU2pamJrFFzKgut+R9K+ditfiR&#10;6XKvM918Jx+GT4Q0TzrexaX+z7fcXtwST5YznjmtU2fhBhzZ6Z9TbJ/8TXgOmaJ8RZNKsnsdQAtW&#10;gRoFF0g2oVBUYPTjFWH0f4pJwLtm+l1B/U0Na7ofIj3I6b4MctusNGx720f9RWdeaN4IKbTY+Hx/&#10;vQQ/4V4w2n/FJf43I9fPtyP51XlsPiaQQ6SMPZrdv5VPK/5l941FLuevDQ/AxO06f4c/78wf4VYj&#10;8K+BZMEafoBz2EUP9BXiUdh8RsApbSvnp8kJq0lp8TEGRpszf9sE/pRyS/mX3j0Paj4H8Cu24aRo&#10;5z2VFH8qafh/4Hfj+xtM/Qf1rxv/AIuZGMnQrlvpZk/yqRdR+JsK4Ph67Ye9hIafLPv+IrI9fb4a&#10;+BnB/wCJJYY9mI/k1NX4U+CCcnQ7VuO0z/8AxVePNrHxHGS/hq6OfXTpab/wkPj9Rz4al/8AACb/&#10;ABp8s+/4isv6R7G3wi8En/mAw8ntNLj/ANCpp+D3gZuf7BT8LiYf+z146fFXjkfe8OPx/wBOUw/r&#10;R/wmvjKPhtBZT/17yii1T+mFkevP8G/A+4AaLjnH/HzN/wDF09fgp4GI/wCQQ3/gVL/8VXjv/Cfe&#10;Kww3aM2Rz/qpBUyfEvxPH10Vvycf0pWqf0wcfP8AA9dPwR8DEf8AILkH/bzJ/wDFVA/wQ8FYONPm&#10;H0uX/wAa8vPxZ8RRjDaNIB/10cf0qNvjDrSj5tNkH/bw4/pTaqdPzEo+Z6a3wQ8FEn/RLlf+3hq8&#10;u8deAdD0G61NLJZ1W3j3Rhpc87Af5mn/APC6dWH/AC4yf+Bbf4Vxuv8Ai+9129up5Q6CcYKGUvgY&#10;x3+lOMatx+6tz2rw78F/CuoeGdLvrqG8M9xaRSyFZ8AsygnAx71ot8B/B5zhL9fpcf8A1q8z0r4z&#10;Xem6TZ2B0+V/s0CQhxeFdwVQM428dKuD44XIP/HhdL9Lw/8AxNDVa4rLud+/wD8IYGG1IH0E6/8A&#10;xNV/+FA+Ez/y21Uf9t0/+Iri/wDhelzgYtLwH/r6z/SkX46Xi/8ALvdHnvNmlat5hZd0dk/wB8Jj&#10;/l51cf8AbZP/AIiqz/ALwxnC3urj/ttH/wDG65c/HW6Ix9muf+/gph+ONyf+WN0P+BrT/feY1ydT&#10;qV/Z/wDDbf8AMQ1b/v7H/wDEV5b4y8E2Phzx8mg201xLbtCshaVlL5IJ6gAdvSuti+O1yg5iuv8A&#10;xw1yF/4lk8XfEJdVdXG6IIAwGQFXHau3L4zniYRqLRtHNi5KNGUo72FXwdp5HMlz/wB9j/CtK4+F&#10;s1sITLbX6+ecRgMpLHGegGelaSscccfhW3c6zrmrNFJPunEeWTEC7eOpwBg9efrX2lTAUU1ywjbr&#10;f8D5aljask+aUr9LficY/wANGV9nlX+/AO3aCecY7f7Q/Ooh8N5WVWSHUCrfdPlHnp7e4/Ou2W61&#10;UEk26k+rRqPTj9BTTqGqAAMyALyN0oGMEf7XsKy+pUf5ImyxVT+aX3L/ACOLtvh15s5SR7yMbS2T&#10;F0Axz06cj86Sf4fQRE4v5f8AvgV2El1flCjeSp4GfP5HTtu9h27U1pWlX5wgbviRSP51ccDhX8UV&#10;95nVxeKWsG/u/wCAcJJ4JjXP+mv+MY/xpbj4f3NsqtPJPEH5UvbkA/Tn3FddKjNnABH+8K09Q8QX&#10;d/FAkkCBYozH8rMN2cZzgj0HFTUy6hzx5Kaa1vq/l1KpY+rySdSbT0tote/Q84/4QebJH2mXIOCP&#10;IPH60V3A1W4jZuXBY5P76QZP/fVFP+y8P/z7/F/5h/aFb+f8EQ2ksrfKCQTyfbitFLmVJB82SPU5&#10;5rLtbm0TB+1w+nMv6mrk1xZbjILu2cnHHmrX5tY+2RrpeuDkkZzxzj60+LVXHykkc9uhrGS7gzze&#10;Wwxz/rVOc1Ks9q5wLq0GOhMq8fqKmwzYTW2MufOAI6jHI4q6dcZFJ3Ak9BzjP+fxrmJLm2eNl+0w&#10;rg9pFOf1pjyw9ftUPHIAlBGafKI61ddkwpyQB94gZz9KkGtD58sc54OcYrkWmiUEiaI+qhx3qOOd&#10;AGVp0Zt2Rg4zRyhY6S61xiXjBDZGDk9a8x8e3Jn1ezbOcQsOvua6uZ4wBiRcgY69q4bxg2dQtvaM&#10;5P41vQXvEVPhJ/CTn7bNyR+6znPuK60PIHJLEAnByOTXFeEy7ahMsaM58onaoyeorqywJzs+Yccj&#10;nPcUVV7wQ+Eti5ZFZVfBBycA0l1qElnZSzO2diEgHjdwahLZQ7epPBHesTxLdtDp62w4MrZwO4HX&#10;9cVMIc0kipOyOWuruW9uHmnkZ3J6k9uw+lXtDmEF3M3kibdbyL5Z/i4/+tWMjfMwra8MuF8Q2m7O&#10;3cf/AEE4/XFd8klExpu8kadlol48kUzWxQgCRY352n/a+lcxcc3Mpxglzx+NexM4AzjjPJzXkF9/&#10;x+z/APXRv50UZ8xpiafKkd/8KvEMtneXemO5MUi+bGCThWHBx9Qf0r1hdcU8gjkdAcV806Vfyafq&#10;cV3EwDRtkj1HQj8s16wL2R1DK67DypGcY/8A1evrXLiqdp8y6kUndWO+/t5sEAnJHGSP/rUja7lS&#10;MnPU+1cPb3EpjLglm7E9/r+tWba5bftZnPHXbx+Yrm1NLI6uTXH27VOW9Oh/Wqz69IqOFZycA9ee&#10;9YMrMG+U/LjkgfhUayEMQOMgZCjGeT+XalqOxrya5Py+RzjknBPoPfpVObWbtRlnwuOMH+v/ANas&#10;+QklupUkZB71WkaRwqg8dDnn9aaQWOc8e30s8emiRyWWctjOccCptG1G4i0aDY5HLdP941l+Mmyl&#10;mNuf3rHd2+lSaUwOmW6D73zZ+m4102/dohfEzcGvTxkMWJxxyf8ACrCeLLiMBRIdvWuflTPGTkdc&#10;dKrsBzg896lQixtsk8a62+rNpCM2dk5P8q3oiSFAxzXC6vn7Vp49Zv6iu2jJVR1zX2XDkbUZW7nz&#10;Od61I3/rY6C58N39r9oLSWrCBPMbDdRhiMAj/ZP51n3treaZemBpITIiht0RBABOOuKrtc3EjFnm&#10;mYkYJLk5Hp+p/Omu8spVpHdivQsxOOSf5kn8a9mlSxK/izTXoefOphv+XcWn6m9LoGswNch721zb&#10;RLIRv5Iy2MZX1U4ziqGo2up6LdC2knQMUEmYhxt3FR2HcfypIDdXgkA1G4aaRMNF+8cuBng4ByME&#10;/mamm0+4uHD3N7K06KARLDMzJknAztPfNctOFWE7VZRa/wAP9dTuvTlG9NP7ye40nXITdLJdxn7N&#10;F5kmHP3Tnp8vfaaz9Th1K0uDa3rtIQPMwXZl6lc8/ln3FW7i2v0DPc6nMnmDy3aZJ1B4PykleeCf&#10;1rFleWV98ju7DgMST3J/mT+daYWnWcrycWvKNv61M8XOko2Sd/U0bnQtRt2nVoYz5EYkkKvwFJI7&#10;/Qn/AOvxVXUNPutKnSG5VQ7xiQbWz8pyP6Gmyapfv5we6lbzk8uTdg7l54/U/nVe6vLm9lEtzO80&#10;gXaGfk49P1rooxxakvauLXknfp+tzlrPCuL9knfzsY3iZj/YdwOOq/8AoQqn4Hu5ILa9wTkuOQM9&#10;jVjxGSdDn+q9v9oVn+DlZ7a6CbSfMHXPpXzXEi/er0X5s9nJf4fzf5HaHVrgdGPHoKyvEl9cy6Fd&#10;LI7FWX1ODn9KtLEyvkghyQAuT/Ks7xCWXRJ1bv0OO2a+YilzI9x7GvpOpXEWjWaeaQoto8fMcDCj&#10;H+ferj6rctnzJmx0IJrJ0uN10q1cqAnkpyDz90f/AFqtErjAzk/lj61LirjWxP8A2tPkATPknIO4&#10;8f1pv9r3XnD96/TncepFU3DL6ZB6H/GqxLYCg55yST+I6dKOVAdLZ+IJoEXdJwvYknArpLXxO20N&#10;5uMZzg8Hv3rzRZSFTscDHf8Az0qZL2SFh19PlPP5d6Th2C560niYNGChDEnGKnXxOpOAxIAySTyO&#10;a8lGps7hkZ/fIP8AL/P9anj1SSMD1J4A/wA/pS5WGh60niH59p4z/D3P4VMutDYcSDqR6c15Smqv&#10;uG9y2Bxxgn/P5GrA1kghTIQOc5BA9vp9M+tKzCyPUhrO0YBOOwHNTrq4I++PxNeYJrL5CySMCRjI&#10;7n16/WrMWvq2WVx15O7g/wAuetGoWPRl1dSwDSD65FSnWFzhW7djXnX9u/cw2ATz+8/+vTG1ZlYY&#10;xjB4zj/9VK7DlO/k8Q4zhuB6D9KzLnxVsVvmwOua4efVnkA/eEJjO0dqzLm7ZnyZCAcCl7zHyo7G&#10;48ZBM4XI9wK8p8X6z9vu9ScgfvFx0/2QK13mzkkMw9M8CuI1yTNzdD3ralH3iZaI9N0HxGkXh/TL&#10;d7OF9trGuSq84UCtMeIbdh82n25I9YlOP0rjtKG3SbNeARCnOP8AZFaSgMep4/hAxUSWrGlodH/b&#10;diVydMsWB9bdP8KhGraeSd2j2AGSebdPX6VkoqlWUnd7A9KrOCZCy5yGPHPqev6UreY7I301DSJG&#10;AbQtPcev2WP/AOJrSgTw9cYDaBpXTPzWcX+FcnE6+Z+77DHBzkdqvRXTIgAPzD34o17hZHYQ6V4Y&#10;k+/4b0n6jT4//ia8h16Gyh+Ll3Fp9tDb2yRrtjgQIoPlrnAHA5Nd7FfHYNpCv1Ockn6Y4rzaeYXP&#10;xMv5R024H4Kor1Mmu8ZBPucGZJLCz9DqAuepP5Vp2etahYQrDBc/ulVlVWQEAMcntVHToY7q/ggl&#10;lMccjhWfIGB+PFbkug2SifbqoDRuqheG4Owbjjt81feYqvhoyVKsr312v5Hx+Ew2KknVoO1tN7eY&#10;un67qNzqEcM99BbxSH5pZIl2rtBxnp9OtX5rp2hZ/wDhJLEHyZCV8tedxyV+/wBeK5nUrZbK68uC&#10;7MkZjV0c5G7Ppj05646GujPhbZeSwf21MAkBlyiE9yOea83FRwkHGafKmtFy9vl5o9XC1MW+aElz&#10;NPfm/wCD5Ev264a8wniHTD+/5JRQMiMjJG/pxjjvimNJc3FmUfVtKcSWwU7hjaHPI+/wRjPT+lZO&#10;q6bdadY2VwNWllFyu4DeyhflB67veprfQLu5srC4/taZftZwFO47eGP97nhf1rF06EYKr7RJbfD2&#10;v5eR0qrXlN0+Rt/4u9vMumC9kmXGoaU58xlU4JGcMfX/AGj1/wAayD4lvCAot7L5VRf9WedhyO9L&#10;f6Lc2lnc3B1BpRA5Uqc5bDKM9f8Aa/SoLPRrm9sbq6E8YW3JBBOd2Bng9K6qSwvJ7SpJSV0tra/1&#10;Y468sYpqnTi4y33vp/SZai8USwhgdOsWLOXJCkdTRVK/0W6sJ1ileEsyB/vY6/WitVh8BUXOrO/m&#10;zB1szg+V3+5f5HnypqaKCdMmA9TC9OL6kCf+JbLx/wBMnr6B/s4HIB2jGRt9fypf7Ny2QGOOQD69&#10;K/OFV8j7O3mfPhutQTG7TZAe37tqab6+Ubjp0mP9xv8ACvoxNNyN5AXtg+lSJpiscbsKBnk5wfxp&#10;+1X8ofM+bDqV4Oumv+Tf4Uh1e5HXTH49z/hX0i2mHkAAf7Xf2pDp+cAHC8gZ6HH480/ar+UVvM+b&#10;f7ekHXTj/wB9n/Ck/wCEhxwdP/8AImP6V9HyaOy4Cgk54xgY5/l1qA6SUZyEOc/xjin7WP8AL+I7&#10;PufOb+IEP/Llj/tr/wDWrNvr5byRGEJTaMY3Zz+lfSk+gKxYlPmP6/5xXlvxH0YWWsaUoQASRP29&#10;MVpTqxcrWIlF23PPLW6S3csYy2Rjg1eGsRY5hkH0IrtfAWhRX2p3KSwq+2DIDKD/ABAd/rXbzeDb&#10;U8NY27dx+7Gf5UTrRvqhqLS3PFv7Zgx/q5h+X+NVb27N0UMe/aB0bqP1r27/AIQaxdedNtFI5x5C&#10;8e1cX408BajZzG+06wDWWwb0t05Qjqdo7e4/GnTqwctFYUk7bnmyEq7Bgc11OhaUp+zaiLkja27Y&#10;E7gkdc1lWCW8l6BdLmJVZiDxkgEgfnitkajFaW4jtlVI1yQBj+prp9pFStJXKo0rrmudWb0uMZ4+&#10;lec6ygh1a6X/AKaEj8ef61MfF91/Dbwg++TWVealNe3bXMixh2xkKDjgY9a65Omo2grGE6jk9WCQ&#10;kfOxwSeBiurt/EUAtIkk1B1YKu5djdcfSuNNzKw5I/KvRvh14QsfEOk3l5f25mKTiNPmZR90E/dI&#10;9RXFX5eW8gpPWyKS+JrcAgapIB7I/wDhUieJrcHP9qNnGM+W3/xNd6fhl4dOwDTnxzk/aH/xpn/C&#10;sfD/AB/xL5QSDx57f/FVyc9LzOj3jiP+EphBJGqEZGD+6PP/AI7SDxREH3DVPmxjPlH/AOJrtz8L&#10;/D/G21mznBDSuePbBpB8LNDYZa1lXgHAmb+v0o5qXmHvHDt4nQ/8xMcdP3X/ANjUb+JsjjUwev8A&#10;yz/+xruj8K9DGf8AR5zjt5rDn/OKQfCvRABmG4B/iIlP6f8A16Oal5h7x5ZrWpm/EObvzijE/dxj&#10;9KdZ6tJBbpGt0F2jGNoPcn0966bxl4KsdDn0tbWORRczNG+XJ6AHit3RfhlpV/o8F1LHP5jhiSJD&#10;g4YgfyrV1IKKJSd7nBHVnY5N2M9Puj/CkbU9w+a7X/vkf4V6YPhHpRI4ugMZ5fr+lKvwh0lm5+04&#10;9pO/5VPtKY7M8lu7r7Re2AEwkxMOgxjkV3iN8o5qn4q8FWnhnXPDq20cji6u9jLI27dhk4/WvRJf&#10;BkMy74rS5tyf4UcMPyOT+tfWZDiKdOjK/Vnz+bUZTmmuhxe8+pqWC5MBLCOJyf8AnrGrj9RWnqHh&#10;yazBMbs7DkxvHsb8PWsMtgkHgivpYzjUjpqjxIRSlo9UX4tRaLOLazbLbvmgU/h9OOlTi7uy2V0+&#10;BsnHFtwe+OKyVLOwVFLE9ABnNaa2GoyjzPs8A9AYox+mKzqU4Lojo9uoaTlYJdRlVmSWytVJIO1o&#10;SMfQZqCe+EyOn2S1jLfxRoQRz25qOe1u4iPNtyuBjKRgD814Jqod2cYOfSrhTho0ROrzrR3Q5mPr&#10;Td1W7XS7y7YbYtin+OT5R/ifwrbg8LWe0faL+Qt3EcYH8yaqdaENzmXI3bmX3nB+JSToc3+8v/oQ&#10;rC8M6k1hBOoEZ3OD8xrvfG+g2dl4Wuri3uZpGRk+V1GOWA7Vy/gXwEPFtjd3TXckKwSbCEjDE8Z9&#10;a+Qz+pCdVPpb9T6TKFano76l3/hI5GXHlQkdvmPB9etZ+t6y95prw+Sij1Vq6w/BcgkDVZQOoJth&#10;7f7XvWX4n+FreHdCudTGqGcQY+Q2+3dk467jXz0XTvoz2m3YhsNfePTreI2YbZEi534zgAentUv9&#10;v85NkQCMEeacfyqWD4RXVxZwXEeqR/vY1fBgPGRnHBOac/wh1RSRFqluxHOGDKRxnnrSap33Gmyi&#10;+sqQALZlGegfOf0qOTWI2YkQOMnP3qsP8LtdQNjULTIGcGVx2z2U1Tl+HniONSwuLdh/szt/h70e&#10;53C77DDqURjVTHLkDHb/ABpjXkZKkCQY9h/jULeD/EUYzuB4yMTHmqraF4gjkCbGLEZHzjkfjVJR&#10;6MWvY0vtyg5UOee4pwvk5wXA5421kNpniCNgDC+e3KUxrbXUGTG3HpsNHKu4rm6l+ijhvm914z+V&#10;TLqUeT8+0Y64P+Fc3s1wDJhcj/rmppN2tDGYHOen7oc0ezXcOY6j+0otpAbHtg4/zwKeNShzkHI9&#10;CK5ZZtaPSzkb/tgaU3OsqMmwfHr5DUezHzHWDUoyOZB6gAYqc6nF/wA9h0xyTXHC61rOP7Ocnr/x&#10;7vTxc64emlOf+3Z6l0g5zq/7Rhyf3q88g5oF9bOPnuEGeuSK5PztbP8AzCX/APAaSmb9af8A5hcv&#10;4W70eyHznWfa7feirdwqM9XbjpnmuM1qVHvrso4YF+CDnNSkaweuly/9+HrKuDNvfzoSjZwwKkYP&#10;41pTp2dyJyuj0nTLm1XTLZTdwIViTGXGRwMiriXVoB811Ae5IlX/ABrzpLjUo41A09yoAwfLbpS/&#10;2her96xI/wCAsKzdFtlKoj0qO4tsZFxDkd/MHNV/NhZyTcRAZPRx/jXnf9tTKcNaD8yKYdaOebYf&#10;99f/AFqXsGHtUelRugfmdMDONrDFOS4jycOgOecd68zGuAH/AI9R/wB9/wD1qcNfQdbQ/wDfz/61&#10;P6vIPaxPTUuYywOeh4GK4i2Yy+OtQc4z839KzB4ijH/Lo3/f3/61S+HJhPr1zPgqHQkDOccivUya&#10;k44yFzgzKopYaSR2yk+lPCnH3RUKkVICK/RLHxLRLjA52irljaWdwyxvJKsrE4CIhHTPUsPSorW+&#10;ntM/Z5DHkgngHp061Yi1a9jLFZl+c7mzEhyfxHtWVRTatH+vwNKTjF3l/X4lqLRIyqJLJOszAnbH&#10;GjjH1D+4qQ6BiJm+0XIiUEn/AEcEY79HqI3upON5ETAANnyYz7elE99fRFTPbWwJzjdax8/pXLas&#10;3bmX9fI7Oeilflf9fMzrmNEkxDcNOpGSxQrznpjJ9BTFeaNWVHkQN94KxANXTq0gGDaWJ+tqn+FU&#10;5JfMkZ8Km452oMKPoK6Yp2tJHDUlZ80X/X3iS3d1K2ZLmdyBgF5CTj86KjPXrRTUIrZEe1m92z3c&#10;WpZMEZFSLbk5+Ujtye1cVH8RLj/oHwk/7/8A9ep08f3LEf8AEujH/AzX5EnE/SeV9jsjbDdyv607&#10;yOh25PbtXIf8LBcOd1jEP+Bn/CrCePWfDLpyMPXzT/hRzRFafY6kW598npkULbnnaMZ79q5k+PWJ&#10;5sEH/bU//E0Dx+oUK1gvHPEx/wDiafNEVp9jpmtC6HAx6lahey+9j5QT6d8Vg/8ACwogoH9nj/v/&#10;AP8A2NQv8Q4d+WsB/wB//wD7Gi8QSn1R0v2VTgFOc/wrxXk/xftFXWvDeBwy3K/kqmu2X4g2pPNm&#10;R/21H+Feb/FbxVBqWo+HpEgMfkm4LZcHOVQVcLN6B7y3Rs/C+xB1u8Xbwbb/ANmWvUXtIVlEZ2B3&#10;GVXIyfoK8Y+HPjO0s9bnaSByDblQQwHO5fX6V2U/jDT38ZWupOjrBDamPBYE7iT746Goem5VnJ6H&#10;bfYl2lfLprWXZVyM9axJPiNo0aEmK4GO+F/xrjvFHxUu4586JkQbAChiUuWyc9TjHSnoxRhOXQ8o&#10;+J80Enj/AFb7GiRpHIIz5Yxl1ADn8WBrmtMbdFeK5yVhLrntj/8AXWnqdtqOsardX00YEl1K0jli&#10;o5Jz2/oKgTw/eorFLiEFwVIBPIP4V2xqQjFJshUavNdI57FOXbtOQc9q3R4Ymz81wgHspNTJ4WTj&#10;fdE59Ex/WqeIp9yVhKz6HN19I/BjTSnw8jnKHE9zLJnGeAQv/sleNJ4YtAfmlmb8QP6V2ej+KNZ0&#10;HSbfS9PvjHZ25JjjMaHGW3cnGTye9c9etGcbI2p4OondnqOk3jPr91ptzIZNxLQE44x1X9P0NdGL&#10;FDhdgx7+leGaf4hvW8S2d7c3JX/SkeRlQDgtluAPrXug8XeHc/8AH0+f+veT/wCJrmj5lV4ODWgG&#10;z9IwT6CgaeCcfMuAMAAY7juKB4t8Ok/8fjfjBJ/8TR/wlvh0Mf8AiYH/AL8yf/E1Vl3MeaXYBp7g&#10;dSR7gZ/lSGx28Zb6Hb/hUh8X+HSP+QgB9Yn/APiaRfFnhzP/ACEkJ90f/CiyFzPseafFC0P2/wAM&#10;K275rxxg4/uj2rufDNhjw/aDJAAbHA/vH2rjPidrekXWqeF2tLxJRHeO0mARgbR7V3PhvxFoq6Da&#10;D7dH0bIAJ/iPtTfQq75djXSwyeC3PsPz6U/+zsDksc9eB/hSL4i0bHF9Hx/st/hSnxJo2Ob6P8j/&#10;AIVooruZc0+x4z8fA2nnwxcRybXjnmdZMA7SPLIOK89T4neJUtiw1oeYPux/ZV5/HFdl8TVtfGPx&#10;TsNMbWBDYeVFCrlCwjLh2YgEjn5VH4j0pW+CWhj7njVB9bL/AOzrspYh0YcqlYznSjUd5RucNJ8V&#10;PFUq7JL2J19GgU/0rMufGmrXT75fs+71WIAmvRm+CWjZ48a2/wCNoR/7PTG+COmY+XxpZfjAf/iq&#10;6I5nUj8M7HO8DSb5uRX9Dgbbx5q9oMQpajPU+VyfxzVuP4ja4xIP2Tp3jx/7NWq3wvtx4pttFHiS&#10;xKzWjXJuSh2oQ23b161rP8Eo16eL9H/Ekf1q3mtXrUZnLK8NJ3lTX3HLn4kaymAYrUsOuFJH6Gnr&#10;8UNYQc21kx/2kb/4qtO8+Fj6cYxH4n0GXzXKDc3QhS3cHHSsK08C3N74nGif2ppcUjQmYTtN+72g&#10;8ZIBwT1x19cULM6r+2J5RhV/y7Rpp8XdaQYGn6V/4Dn/ABoPxa1Nzl9K03P+yjL/ACatRfgdqTjK&#10;+JPDp9P9Kb/4mlb4E6x/Br2gN9Lpv/iaSzKe6mDyzDtWcDB134malr+gy6PLY2sNvIVY+SCPukH+&#10;lekfAWz87wvqj5HN4FwR/sCuTPwI8Qfw6porfS6P/wATXoPwZ0O88J6zr+i6hcwMY0glAim3IS4b&#10;ke+APyrmxFYBUh2t4nXWr1OujSVFWitD0T+z+QdgI6jk4zXI/FGzI+HuqsVThUzg8j5h2xxXpeYj&#10;yGU/jXGfFdVPw21c5HEa/wDoYrl9m1qbRqXdizpNjv0awAUAfZ4znPX5RVhtMG4qQPwJOO/p/nFa&#10;2kRL/YlgMdLeP/0EVbMCYOFAz6Ck6TD2pzD6SrLhlVhgZHUGqr6LDtAMQ4HAHb6c11z26N1qF7YY&#10;I2g8daylC25SqI4r/hH4pEUtbnOOxHT/APVVeXwpFgYjOTwTwM/rXbLagIvPy/3afHAM42gZ5wKn&#10;kRXtDzqTwVEzHEZ59Mfj06darzeBk3FhERnkj1r1E2wUAbQfoOlNe3XhgOnXJo5Re1R5OfBESoBs&#10;dT6hT/Sq7+DACV2kjHUqevftXrptU53AnHHIqH7EjFuoPbHU0uV9yvaI8ibwaAy8Njk/dY4qRfCL&#10;8sodc84KnH8q9X/s/GPlGcYp6aaBjIGcc8Ucr7h7RI8ztvCwRyHViuOnPArSg8PKI/uYHY4/X3rv&#10;Bpq5PyDpxzStpwAAx19OKORh7RHFf2Gig5ZOnoKeNGixwqEnng11bWKkHcAQfXnNRta/KOGPPHFL&#10;lK5jmjpig4wAAORivCfGVntv9RGCc3jLz/10NfTa2h6lO2MjvXz/AOMLXdqci7f9bqIGPrJV0/dk&#10;g3TPVxpCxxgK+dq7V6ED8KRtM2/dbb2xnpXVG2IYn36AUzyDjlSD35zWfKF2cqdLxz8pOOMVnDRB&#10;InzIN2ME7Rz/AFNd0bUknofqaiktdvA//VS5QuzgzoERBPlIWbr8oBP1qSHw7aqm1rSInpuKA/0r&#10;q5LYbjlffpSxW49SG74zU6juconhe3d1X7BblD1+QNyPqK8+8IaUJ/id4ktFsoZ0j8xfKfaAo8wd&#10;M9Pwr3RzbWkIa5mggQnbvlcICfTmvl/XfEF5pHj/AF670m88oyXUq+ZHhgy7/wCXFellVT2VfnZy&#10;YyLnScVv/Xqez3PgaNgXSxnhHpDOrfocmuc1Lw/NZEmLzHA6o6bXH4d68+/4Wb4qjUbNYdj3BiX/&#10;AApH+KPiuRNst+ki+jwqf6V9dRzlRfvSuvR/8E+Yr5VXbvTa+b/ySOrVqlTLkKoJJ6AVwE/jXVrh&#10;98ht9x6lYQM/lVq1+IWr2g/dQ2YPcmI5P45rueeYZrqZSyvFcuiV/X/gHpsdtqcihtkY9N6J/Iiq&#10;9zbXqLtlgXAOcxxr/NRXCr8UdcHWCxP1jb/4qpv+Fp6wuN1lYnP+y3/xVYxzbDp30+453l+adUmv&#10;U6ZhjrSxxSSnbHGzn/ZGa5ofFbUc/Pp1o34sP61bi+L9zGMHQ7FvqzH+davOaFtP6/AFluNe8Evm&#10;dVF4fvJUDl4I8/wu/P6A0Vzn/C5Ze/hzT/8AP4UVj/a8e6LWV4v+Vf18xV8A+JUOF163/C6l/wDi&#10;akHgTxWB8uvQn/t7lH/stXT4ifqHxg80+PxCzOMSYPb3P518BzzPvLLuUR4B8W9tagP0u5P8KX/h&#10;BPGQOF1aInP/AD9v/hWoPETnBL8j17VJ/wAJJICCWIIPPNLnn2CxjnwR42UZ/tSI84/4+W/woPgr&#10;xypwNRiI9Rcj/Ct4eJ5Gxt5wR1OB9etSR+IizkE/KBkkHijnl2Q7eZzp8F+PO17GfpcrTT4K8fg4&#10;89Djr/pCV1ieIGwd2RjOSD/KrkWvF3kCHBHfaTR7R9kFjix4J+ImdolQn/r4irmvFnh7xVpcln/b&#10;gVvNLLbkSI2SMbvu9O3WvaoteAJ3HcAMg8c/T/PeuA+Kuptdpo2QAY5Zehzzhf8ACtKdS8rWImnY&#10;4vQdJ8T3F95GkQsbgoW2h4xkDk9TW1dWmuWLCDXBJFdkbtu9Tlex+U47Gn+B9SMHie2bzAnyP8xb&#10;bj5T3rW8YXsl9rKzSEEiFQCBjcMnn9amtK+ljfDK0jAUdPWn0wHmnHrWB6ApwKCyom5mCqO5pp60&#10;24YLauSVGP73ShasT0Q5bi3fKrMrNnAC85/KpFOcVhWrLFfhEDgEbWz0zwcj24NbY4ANVOHKRTnz&#10;okBpCeaQUHrUGopcxr5irll5A9SKrnxbq+MnSiB9CP8A2WtHTn8vULR/7syH9RXuA1gYzvP/AH1W&#10;kJRW6OPFXurHz5/wmOoDrpzf99n/AApf+E1vRybBv+/p/wAK+hF1hST+8Y+oz3/Onx6kCT8xIIBG&#10;DnNac0P5TlvI+eD44ue9h/5F/wDsaT/hOp/+fAf9/j/hX0VJqKheGI4ye9Ma8BU/N2+tF4fyivI+&#10;ZdY8TTaq9s0kBQwEkfvM5zj29q07Dx7LZWUVsLBXSMYB84j+ldr8XbtZo9C2kEC6c/oK0vC84/4R&#10;ex+VMZfJI5PzmrlKCgnYS5rvU4NfiO4znTv/ACY/+xpf+Fjkf8w4/wDgR/8AY16HJcICcCIjOPuD&#10;mqssydBHHj12isuan/L+JfvdzyO88SG48Rx6sLfaUmicJ5meEBBGcd63z8TP+ocf+/3/ANaodUKN&#10;q+oz7U2pqln/AAgYAVhXdPJGp2+VEG5x+7UenNbVJQsrxM4813ZnFH4l5/5hzD/tr/8AWpo+I4/i&#10;sZPwl/8ArV2JmjB+aKNT3zGpHt2pGZS3+pt8j1jHH6Vnen/L+JVp9zz4eNAPEEWpi2ceXA8W3fz8&#10;zFuv41pn4kAj/j2nH/A6mnWKPx1FmOHa1kSVMYKg5Izj8BWxI1sUH+h2pHp5KYx+IrSXs9LxIjz6&#10;6nI3/jOG/QK8E42ncpyDtbsev1/OqMXiUJ4gTU3WTJi2uqf3unGT0wBXWyLZyO5+x2fzcAC3XAA6&#10;9vXNYE8Vu3iO3QWdusf2ckp5SgE56kYq4OG1hSUt7mpF8RrZQA0V5+GP8asD4kWJGDFef98r/wDF&#10;VXFtZDA/s6zI9BApz+lWIbfSwV36VZMMjpCvSocafYq8+5KvxI03+5efjGv/AMVVCz8a2UXiC/vm&#10;M4iuI41X5OflBzkZ963IbbQG4bRbH2xGKr6RZ6BJ4p1aOfSrZ7dUg8qMr8qkqd2MHvxSSp66MLz0&#10;JE+IWmZyXm/GLNZ3iXxhp2q6HNawTSeY+MAxkDg13cPh/wAGyEA6Jbc+hb/GsX4geHfDFh4NuLzT&#10;dLjt7tZECOrvkAtg8FiOlKKp8ytcpuVitZfEHSY7C3ha6eN44lU4R+oAHpVj/hYdgPuatMB9JBXU&#10;WHw/8FXGn2rvoymR4kLsLmXqQO273qZ/hh4JOcabIvPa5c/zNDjTv1DmZyX/AAsaPHya3MP+2rj+&#10;tJ/wsSQ/d8QTD63T/wCNdHN8KfBxBIiuk+lwf6isq7+FXhaNSfN1BPTE6c/mlK1Puwu+xXi+I9wo&#10;wPEP/fVxn+ZqynxHveo8QL/38U1hy/Dfw+pwl3qW703IcfjtxUY+Guhsu4andqM4O7acH8qX7vux&#10;a9jq4viRqf8ADrsTfXyz/Srq/ETVvJ3jUUf3URH9MVxJ+FmkMu4avdqPQwA/1qRPg/p0mNviGRT/&#10;ALVoP/i6LU/5hf8Abp2A+JeqrybgOPeJP6Cl/wCFo6p3MJ9MxCuO/wCFMW7AeX4kBJ6Zs8f+z0v/&#10;AApVgPk8Rx59Dbkf+zU1GH8wadjtl+J2p7Q/+gnPUEAH8t4NSL8UdR4/488f9cj/APF1wn/Clb8n&#10;Ca/Bj1KMP5GlPwW1gfc8QWv1/eD+lHJH+YWnY9Bi+KN8T80dmfpG3/xVSt8ULvp5Fof+AN/8VXmb&#10;/B7xGgJTX7IgdczSj/2Wqcvwy8UQrka3ZsP9m6l/+Josv5wtH+U9Tb4n3e7JtLU/g4/rTf8AhZ11&#10;zmwtm+jNXkMvgfxRCMnVoP8AwKf+opg8HeKeMapCfTF23+FLkj/MVp/Kew/8LTlWPDaZCcekhH9K&#10;8g1bxS1/qsEjQKhW+SXbuznDZ601vCHizbxqMTcEkC6NcibW9M8IMgMksgVDv/iPStadOLd73JlK&#10;y0R9Pf8ACxxkY01W/wB2b/7Goz8TYkO06Xg/9dv/ALGvHk8FeOjkLext/wBvQ/rSr4G8fnO2SNsf&#10;9PUf9ay5F/Mh3XY9e/4WdbdTphH0m/8AsajPxQs1XB0yT6iYf4V5GfBPxCXJEasB3FxD/jUT+Efi&#10;GoybMkH/AKbwf/FU/Zr+ZBzLseqy/E2wb/mHTZ9TIP8ACpLb4k6YdoexnHr8wNeNy+G/HkX+ssH/&#10;AAaI/wAjUB0rxrGebCX/AL5Sl7FP7S+8OfyPTvH/AI30zWodE0yKKdEm1BDOSFz5Q4YDqM/N3rzu&#10;x8H6Rrmta0n9p3FpHbXJSFRbrIWQ5wT864PHasO5i8RNq9vDNayG+iUyRx7ATt9cDr0pbS58QWup&#10;3awWchu5MNNGYSSPQ47df1reNOUI+69TNyTeqOpPwu0zt4juB/vaev8A8dpv/CrLRvueIifraAf+&#10;1KyG1/xXF8r6dJ/wK1emHxN4kX72nfnbv/jS/f8A8y/AdqXYh8TeD4/D1ok41Nbku20J5JQ/nk1p&#10;D4ZuyKy65acgHDQyD+QNYOua5qeqWkcV9aLCiNlWERUk+mTWovjXV0VQ2nxgAYH7sirftuVWepKV&#10;Lmdydvhndg/LrOm4/wBoTD/2nUMnw4vo0Lf2vpZwM4/f/wDxqmHxzqA+9ZIPzFRSeNrmRGRrRPmB&#10;Gd3T9Km+IHaiUdJ8K3WsWTXUN3ZxKrlNsrOGyAPRSMc+tPfwhfI7qLizYocHEp9Ae496h0vxA2mW&#10;ZtxbhwXLbt2OuPb2qQ+JGZnPkYLNn73sB6e1aN1uZ22ISp21Gf8ACK6j/ftP/AhR/WikOvuT/qz/&#10;AN9UUXrBama/2yIjG9frmn/bY+zpn13VkBR7UoVaw5Ub3Nn7YjDHmr/310qQ3UeOJEPuWrECr6Cl&#10;2r6UuUdzeS8QYBkGPZhUq3sSMwEmVPAJxyPcZ/rXO7V9KXavpRyjudQl9ANoLjA9xVkarAGBE2OM&#10;ckVx21fSjatLkHzHcw6xbBNrzH22nt+Nc74z1CO7jshHKZNjt1xxwPSsj5e1VbyPzAgX+E5NVTgl&#10;K5M3dWL/AIculh1y2diABu5Jx/Ca6bVJkuLrejhgVHTt14riIYdhB7+tb+m5+ytn+8f5Cprpbo2w&#10;r96xbApx60namyypCAznAJAzjPJrmPRuO70SQpPE0b52n0OKQOpcgEEqeR6VTu9TWzlKeUzsFDYB&#10;A4JxTjGTdkTKUYq8tiaHTraHDgMzL03HOKskjFV0uN9ms5UgMm7C8mmWVz9rtFlxjPFNqT1YouK0&#10;RdpO9ZBubhvECxozGELynQehPPXBrXolBxsOE1O9uhLCds8bejA13sWoYBYyDy842k56+/8An0rz&#10;5jgEjriqa6pdL/y0B+qiiEbmGItdXPUor+TGVkRucgBuP/1VbguixY7lBAyR+NeTLq94vSQD6Iv+&#10;FSDXb0DmX/x1f8KvkZzaHq73bIm9nUKfujI9aifU9qjLKAeVP+FeYf2/cD0z65P+NB8RXGOAn/j3&#10;+NHIw90v/Ea8Nx/ZOSCBK5GCTjha1vDcrf8ACNW3HADnOP8AaNefa/qU18bVXOdjMRjPfHqTUtnr&#10;F7bWyQKyhE6dc9c+vvWrg3BIzTXMz0OS5cMcZz9P05qH7US3Hb2rh31i9fnzG/77NC6tfKwKzyKR&#10;3DVHs2XdC6hITaa1L83y6ihyf9k4/rXYyXLkhsjPOB/n+dedqZ7rTNSeSZhEZ98jH+Jiw/XqfwqR&#10;fEd65LRwTEdMh/8A61bypuWxjGai9TvTcL5ZjyWGckgHGfem+fhfkC4xyOf8n/69cGviW7kG4QTv&#10;2yHB/wDZad/wkl4Bzb3OMf3xj/0Co9hIr2sDbvJWXxjATj/jz28dPvH/AD+NajTNtVQAG6Aenv8A&#10;hXJ6rPNY6vbPK2ZpLIb0ZlXZuJO3OMcfSmprc6jGULHG5vOj5/SrdNtJolTSbTOmkftg9lwD0H41&#10;iznPiGDaSB9mPTjvVNteuDydn/fyM02yupdR1xGMioRCRuIDDGc9jTjCSu2KUouyR0eT2I9vanEs&#10;o3beMjrXNL4lCn+If9sV/wDiqk/4SiM/eDf9+R/8XU+zl2K549zo0l6sSw5xwapWNwV8Qai2SDti&#10;6H/ZrLHia3IwfMx/1z/+ypseoNDqFxcJEH85YyMkjHygj9Kag0ndBzRdrM7e21F0GGZxg9QeapeM&#10;NRNz4Wljy/MiZDPknB61gJrk6EFbVQR0+c1V1fWZbvTGt2gWNSwbIbPT8PeojD3kym1Y9Y0vXfL0&#10;+2DnGY0AwQO2O9a41vK53D5eMda8mtPFMkdtEhtAQqgZDA9vcVcXxgyrj7C/5j/GolTdylY9LOtO&#10;3RgST3IqjNqvPIAVup3Y/wA/X2rg/wDhMeebWUZ+n+NMXxegAzbScdOP8Oan2bDQ66O8VowXZWAH&#10;QDA/TP8AntUv23JI4J77slvp6VxQ8YRKP+PaQnP3mBJo/wCExTcpMb/L0Bjz/MU/ZvsF13O4a5Kg&#10;AoSMHnoe3FC6kQoAZiScgfe/lXFf8JlbbQGhl9yMDP6UN4wsWGPIlA9S4/wpeyfYLrudu2qyRkKZ&#10;MKV/hJxn6VMdbdOxGerHj/61cJ/wl9iwAIkB9SQaZJ4psXClX2sD3HB+vNL2T7Cuj0GPxCQR8+4d&#10;Thiefw5/pUr+I2AITKnOOScH/GvOR4nsW+9MO/bP9ae3iPTSp2zsW6DPb9aPZPsF0egv4jZsjKgA&#10;f561mXeuOxI80g/nXGf23ak8Trj6mmNqtswwsqfQcUezC5uXOqlx15zzg5qn/aL7sjJx+lZZvYiO&#10;JVyR/eppmTtID65NWoJCuzXfVXCsRIcYrgo5ibyy56Tof1rpHuECPgrnHU4rk7dv9Ntef+Wq/wA6&#10;2pR3Im2e1WmvEsQZMmtCLXSAA7Zz0welefx3IDja/A7E9auJdEY/eHjtmuVwRsegrruTu3DjPU9a&#10;a+trt+Vvf1P864c6iVz1bIx0oN80gCbgAe5BGKnkCx0l3rO44LjPfJrCn1h+fm7jFZs0jg8EfgRV&#10;RlY5IQg455qlBCbZSTUHn8YXdyXJ8uARg/l/9eozdSR+LpJS5DS2+CT3xj/Cqmkh5rnULhQW3zbR&#10;j0Gf8RRdb4vENm5DAujLyOeh/wAa6eVXt5GN3a/mdD9pZsM0hz0Az+lPSVhnL5x1qn84U5J/Lofx&#10;p/mNk9B79OawsamV4sZm06BWP/LYY/I1v208+yMmXkAhju7jr+ua5rxM+6G3XzA26bJHpxWyz+TO&#10;GD4V89uh/wDr/wA/rWkl7iXqQviZrrcS4xuJGenpVS+vG+x3GWB/dMMY6fKag87aOXBJPTrVO/nP&#10;2G55/wCWbcDtxWcY6lt6FXw3KqaKuVQgOzHKg1fjkUQqGhjLMMklBwTz6Vi6W7DQo4wcl2ZQB15P&#10;P6Zq/v4PY4rWa95mcPhRZL238dtbk+vlj/CiqJlYn735GipsMxw1LvqHNKDWtibk26gNUWaXNFii&#10;bdS7/pUWaM80rATb+KXcO9Q5pC1FguTlgKjJBNMzSZp2C5IMVr6Yc27/AO9/QVi7q2NIObd/9/8A&#10;pWdX4TfD/GXh1qO53eTlNxYMpAU9eR19qlxzTZS4jPlgFuwNcy3PQaurFW3tJ4bhpJbjzAwOVxjn&#10;gZ/IU2bTftVzI8r4RkCAKOcA56+uamIuWJ+ZRxR5MpJxKccjkmr5ne9yfZQtZjxbqtoLfcdoULno&#10;SKYkVvFM8iEKz8EBuD+FOe3DuWLHkg4pFto92SCfxpX8yuWIoFuLrzwcyMoXp2qwetRrEiABVp5N&#10;Sx2S2HOflP0rDD1tMcqfoa5wPWtJXucmK6FoMfWl3Z71WD1LErTE7eFUZZj0Ue9bWOS4/d700njJ&#10;NQTMXk2wyHyxwXIwWPt6CmCCMnLAufVjmnyhcWWaIfxqT7c/yqISM33ElJ98AVOAq/dUD6Cl3VWg&#10;WYwG4P8ACi/Uk0oWU9ZgPooo3UhlaP50+8ORxn9KAsUHv/8AQTZENtExkZgR8x4HP5Uq30A/gmA9&#10;N9PmbzrjzUQfdHRQvOOeBVZy32lCRyB0rZWZztNdSSC5tYoyoE3Jz97/AAqeG/tEnjd0kdVYMVPf&#10;H40wPL/cpDJKf+Wf6UtGUk0SXeow3t7LcTZYyHOSgJHYCojLYkdD/wB+h/jTVZl6xg/gKXzPWEf9&#10;8iiyFZib7M9R+OzH9amtru2t5HZMgtGyZAxjIqHev/PBf++BTGIPSFf++aYWLYuoCc+aM+4NK08D&#10;oy+dHkgjJB/wqqCmOYR/3zUcvlmM7Ywp9cUuVA27FuBoI4FRri2Yj1UkdfpVq31Ax3DCBYpF2RDL&#10;DIyqj1HqKzIkgk2IyMGPdasoscMziHOzPc5pSSHC5tnVZ3gkjNtbDeMbgi5H0+Ws94fNUq/Q0qvx&#10;Tg9ZbbG713HKm0ADtUgJqPdS7xSAdnmjPPSmFvekLY5oAfSYB7UzfRuoEOIHpSYHpSb6N9AhcD0o&#10;2j0pN1G+gBdo9KQouOgo30m+gBDEn90flTDCn9xfyp+6kLUaiIzDH/cX8qYYo/7i/lUpamHFUmxW&#10;IXjXsB+VVzCfMUr0BzVw0mBVKTRLVwVnHSRx9GNSrPOOk7/jTABRxUjLAvLsf8tQfwNH9o3Y7/k1&#10;Vs0Zosh3ZYOp3P8At01tTnwfmfP0NQZFIeOaLLsK77l3SIWbSJZoZZZJEctLDDguo4+bBxkfSqFx&#10;qEU1zBKs1x+7OSWQZHTpzz39KgWSWC8E0ErRSLyrqe9PvL2O7KzSQKl2G/eMnCyD1x2NaKOtzNyd&#10;rF8avB/z/XQ+sA/+LpRq0R/5iM3/AAKE/wDxRqjmI/8ALSI/jSYj/vQn/gQpcq7D5pdyxqknmW9t&#10;Kt+k6M54GQUI9QamN+GBX+1IcEYOVk/+JrLkRUkV43RXByMEEZq47QXozNBDDOerxsNjfUDp+FPl&#10;VkLmdywt85BzqUGRxk7xn/x2lle4ntLhku4JVRCWCyc4+hFZrWgUkAKfowIqN7YgE7SuO46UckR8&#10;0izYzSrCm2eFQmcBpADz9asm7uP+e0B/7ap/jVGFoniSK5tjgZCzRD5vx9aZcWnlruQb0PRhn9R2&#10;puKb1JUmkXjeXBPWH/v4v+NFZCoSPumin7OIc7NMUoFAFLWJqGKWilpDCiijFAwpMUtFABRRSUAF&#10;bGj/AOpk/wB6sjFa2kf6qX6ioq/Cb4f+IjTpKM00GuU9AD1NKvWmk80qmgBTRQetFAxc8Cg9RRQe&#10;tIA7Eeorlwa6jrXMRpuXcThR3/pXRQ6nFjOhNFHuVndtsa9SBkn2HvSSt5mF+7GDkIDxn39T702S&#10;TzNoxhV4VR0H/wBf3pua3ORD84opM0tIoWkpaKBjaaafSGmBFik285qQikxTEJikIp1JTAaVpNlP&#10;waMUAM2UoSnUooEM2010DDBHFSUYoCxD5YGMDGOmKmQAcAUY5p4FDYJAKcDQKUVIxc0ZopMUgFJp&#10;pNOxxTaYBnijNFGKQgzSZpcUmKYBmjNJijFAC7qTdRikxQIN1G6kxSGgBSaaaXFJimITNGaMUYoA&#10;KM0YoxQAhpCaXFJigQhNMY04g5ppFUhELDJqKTBHIqyVppX2q0yWrkDRIsavz83vUcYUk76sFcjB&#10;6CmiIA9KpMhx1GFYuxP50m2P1aptg9KTYPSi4+Ui2R/3jRsTsxqXy19KTyx6UXDlIto/vGjaP7/6&#10;VL5Y9Kb5YouLlGbT/eop+wUUXFymiKUdKKK5joCloooGLRRRQAUUUUAJSiiigArV0n/VzfUUUVFX&#10;4TfD/wARGietJRRXKegNbrSrRRQAHrSjrRRQMcKQ9qKKQCg1zEjk44AGMADsPSiiumh1OLGfZAU4&#10;daKK2ONC9vxpw+7RRQWhaQ0UUhhQaKKYDaMUUUAGOaO9FFMQAUYoooACBRgYoooAMCggYoooATHN&#10;OAoooAXHFLiiikAtJRRQMKTqaKKQhMc0tFFABRRRTAQ9KQUUUCFpKKKAEoxRRQAlIaKKYhKO9FFA&#10;gNB6UUUAJSGiigBDTTRRTENpMUUUxCECmkUUVSEGKKKKYBijFFFACUmKKKBBgUUUUAf/2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ZlLvJvQAA&#10;AKcBAAAZAAAAZHJzL19yZWxzL2Uyb0RvYy54bWwucmVsc72QywrCMBBF94L/EGZv03YhIqZuRHAr&#10;+gFDMk2jzYMkiv69AUEUBHcuZ4Z77mFW65sd2ZViMt4JaKoaGDnplXFawPGwnS2ApYxO4egdCbhT&#10;gnU3naz2NGIuoTSYkFihuCRgyDksOU9yIIup8oFcufQ+WsxljJoHlGfUxNu6nvP4zoDug8l2SkDc&#10;qRbY4R5K82+273sjaePlxZLLXyq4saW7ADFqygIsKYPPZVudAmng3yWa/0g0Lwn+8d7uAVBLAwQU&#10;AAAACACHTuJA2Tk3hxMBAABIAgAAEwAAAFtDb250ZW50X1R5cGVzXS54bWyVkk1OwzAQhfdI3MHy&#10;FsUOXSCEmnRBChILqFA5gGVPEpf4Rx4T2tvjpK0EVVqJpT3zvXlv7PliazrSQ0DtbEFvWU4JWOmU&#10;tk1BP9ZP2T0lGIVVonMWCroDpIvy+mq+3nlAkmiLBW1j9A+co2zBCGTOg02V2gUjYjqGhnshP0UD&#10;fJbnd1w6G8HGLA4atJxXUIuvLpLlNl3vnWw8NJQ87huHWQXVZhAYC3ySeVk9TyJs4xs6jQTo8IQR&#10;3ndaipgWwnurTsJkhyAskWMPttrjTUp7ZsJQ+Zvj94AD95ZeIGgFZCVCfBUmpeUqIFfu2wbo2WWR&#10;waXBzNW1lsCqgFXC3qE/ujqnDjNXOflf8eVIHbX5+A/KH1BLAQIUABQAAAAIAIdO4kDZOTeHEwEA&#10;AEgCAAATAAAAAAAAAAEAIAAAAFQkAQBbQ29udGVudF9UeXBlc10ueG1sUEsBAhQACgAAAAAAh07i&#10;QAAAAAAAAAAAAAAAAAYAAAAAAAAAAAAQAAAAGiIBAF9yZWxzL1BLAQIUABQAAAAIAIdO4kCKFGY8&#10;0QAAAJQBAAALAAAAAAAAAAEAIAAAAD4iAQBfcmVscy8ucmVsc1BLAQIUAAoAAAAAAIdO4kAAAAAA&#10;AAAAAAAAAAAEAAAAAAAAAAAAEAAAAAAAAABkcnMvUEsBAhQACgAAAAAAh07iQAAAAAAAAAAAAAAA&#10;AAoAAAAAAAAAAAAQAAAAOCMBAGRycy9fcmVscy9QSwECFAAUAAAACACHTuJAGZS7yb0AAACnAQAA&#10;GQAAAAAAAAABACAAAABgIwEAZHJzL19yZWxzL2Uyb0RvYy54bWwucmVsc1BLAQIUABQAAAAIAIdO&#10;4kB9jHri1wAAAAUBAAAPAAAAAAAAAAEAIAAAACIAAABkcnMvZG93bnJldi54bWxQSwECFAAUAAAA&#10;CACHTuJAqeQB43wDAAAhCgAADgAAAAAAAAABACAAAAAmAQAAZHJzL2Uyb0RvYy54bWxQSwECFAAK&#10;AAAAAACHTuJAAAAAAAAAAAAAAAAACgAAAAAAAAAAABAAAADOBAAAZHJzL21lZGlhL1BLAQIUABQA&#10;AAAIAIdO4kBu0ievYn8AAF1/AAAVAAAAAAAAAAEAIAAAAPYEAABkcnMvbWVkaWEvaW1hZ2UxLmpw&#10;ZWdQSwECFAAUAAAACACHTuJA1XaWUlydAABSnQAAFQAAAAAAAAABACAAAACLhAAAZHJzL21lZGlh&#10;L2ltYWdlMi5qcGVnUEsFBgAAAAALAAsAlgIAAJglAQAAAA==&#10;">
                <o:lock v:ext="edit" aspectratio="f"/>
                <v:shape id="_x0000_s1026" o:spid="_x0000_s1026" o:spt="75" alt="Macintosh HD:Users:bingquncui:Desktop:市场营销专业建设（校企合作）:专业建设照片:WechatIMG605.jpeg" type="#_x0000_t75" style="position:absolute;left:6167;top:3341038;height:2013;width:4140;" filled="f" o:preferrelative="t" stroked="f" coordsize="21600,21600" o:gfxdata="UEsDBAoAAAAAAIdO4kAAAAAAAAAAAAAAAAAEAAAAZHJzL1BLAwQUAAAACACHTuJA1S24Dr8AAADc&#10;AAAADwAAAGRycy9kb3ducmV2LnhtbEWPQWvCQBCF74X+h2UK3urGFkWiq2CxoJ6MFqS3ITtmQ7Oz&#10;MbuN+u+dQ6G3Gd6b976ZL2++UT11sQ5sYDTMQBGXwdZcGfg6fr5OQcWEbLEJTAbuFGG5eH6aY27D&#10;lQvqD6lSEsIxRwMupTbXOpaOPMZhaIlFO4fOY5K1q7Tt8CrhvtFvWTbRHmuWBoctfTgqfw6/3sCm&#10;L3bl6eT262Y7Pl5Wk2Lcf6+MGbyMshmoRLf0b/673ljBfxdaeUYm0I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UtuA6/&#10;AAAA3AAAAA8AAAAAAAAAAQAgAAAAIgAAAGRycy9kb3ducmV2LnhtbFBLAQIUABQAAAAIAIdO4kAz&#10;LwWeOwAAADkAAAAQAAAAAAAAAAEAIAAAAA4BAABkcnMvc2hhcGV4bWwueG1sUEsFBgAAAAAGAAYA&#10;WwEAALgDAAAAAA==&#10;">
                  <v:fill on="f" focussize="0,0"/>
                  <v:stroke on="f"/>
                  <v:imagedata r:id="rId94" o:title=""/>
                  <o:lock v:ext="edit" aspectratio="t"/>
                </v:shape>
                <v:shape id="_x0000_s1026" o:spid="_x0000_s1026" o:spt="75" alt="Macintosh HD:Users:bingquncui:Desktop:市场营销专业建设（校企合作）:专业建设照片:WechatIMG606.jpeg" type="#_x0000_t75" style="position:absolute;left:10486;top:3341038;height:2000;width:4111;" filled="f" o:preferrelative="t" stroked="f" coordsize="21600,21600" o:gfxdata="UEsDBAoAAAAAAIdO4kAAAAAAAAAAAAAAAAAEAAAAZHJzL1BLAwQUAAAACACHTuJAwu6jmbsAAADc&#10;AAAADwAAAGRycy9kb3ducmV2LnhtbEVPTWsCMRC9C/6HMAVvmqwWla3RgyBYKUJV8DpsppulyWTZ&#10;pLr21zeFQm/zeJ+z2vTeiRt1sQmsoZgoEMRVMA3XGi7n3XgJIiZkgy4waXhQhM16OFhhacKd3+l2&#10;SrXIIRxL1GBTakspY2XJY5yEljhzH6HzmDLsamk6vOdw7+RUqbn02HBusNjS1lL1efryGo7XefG2&#10;i/Tqtvvjs/p2tjmEXuvRU6FeQCTq07/4z703ef5sAb/P5Avk+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u6jmbsAAADc&#10;AAAADwAAAAAAAAABACAAAAAiAAAAZHJzL2Rvd25yZXYueG1sUEsBAhQAFAAAAAgAh07iQDMvBZ47&#10;AAAAOQAAABAAAAAAAAAAAQAgAAAACgEAAGRycy9zaGFwZXhtbC54bWxQSwUGAAAAAAYABgBbAQAA&#10;tAMAAAAA&#10;">
                  <v:fill on="f" focussize="0,0"/>
                  <v:stroke on="f"/>
                  <v:imagedata r:id="rId95" o:title=""/>
                  <o:lock v:ext="edit" aspectratio="t"/>
                </v:shape>
                <w10:wrap type="none"/>
                <w10:anchorlock/>
              </v:group>
            </w:pict>
          </mc:Fallback>
        </mc:AlternateContent>
      </w:r>
    </w:p>
    <w:p>
      <w:pPr>
        <w:spacing w:line="240" w:lineRule="auto"/>
        <w:jc w:val="center"/>
        <w:rPr>
          <w:b/>
          <w:bCs/>
          <w:color w:val="000000"/>
          <w:sz w:val="21"/>
          <w:szCs w:val="21"/>
        </w:rPr>
      </w:pPr>
      <w:r>
        <w:rPr>
          <w:b/>
          <w:bCs/>
          <w:color w:val="000000"/>
          <w:sz w:val="21"/>
          <w:szCs w:val="21"/>
        </w:rPr>
        <w:t>图5 我校教师参加工商管理专业相关课程混合式教学培训及学科发展年会</w:t>
      </w:r>
    </w:p>
    <w:p>
      <w:pPr>
        <w:pStyle w:val="5"/>
        <w:spacing w:before="93" w:after="93"/>
        <w:ind w:firstLine="560"/>
      </w:pPr>
      <w:bookmarkStart w:id="414" w:name="_Toc7986"/>
      <w:r>
        <w:t>四、培养机制与特色</w:t>
      </w:r>
      <w:bookmarkEnd w:id="414"/>
    </w:p>
    <w:p>
      <w:pPr>
        <w:ind w:firstLine="480"/>
        <w:rPr>
          <w:rFonts w:eastAsia="黑体"/>
        </w:rPr>
      </w:pPr>
      <w:r>
        <w:rPr>
          <w:rFonts w:eastAsia="黑体"/>
        </w:rPr>
        <w:t>1</w:t>
      </w:r>
      <w:r>
        <w:rPr>
          <w:rFonts w:hint="eastAsia"/>
        </w:rPr>
        <w:t xml:space="preserve">. </w:t>
      </w:r>
      <w:r>
        <w:rPr>
          <w:rFonts w:eastAsia="黑体"/>
        </w:rPr>
        <w:t>产学研协同育人机制</w:t>
      </w:r>
    </w:p>
    <w:p>
      <w:pPr>
        <w:ind w:firstLine="480"/>
        <w:rPr>
          <w:color w:val="000000"/>
          <w:szCs w:val="24"/>
        </w:rPr>
      </w:pPr>
      <w:r>
        <w:rPr>
          <w:color w:val="000000"/>
          <w:szCs w:val="24"/>
        </w:rPr>
        <w:t>（1）重视科研对教学质量提升的引领作用。近年来，教师主持国家自然科学基金项目7项，国家社会科学基金项目6项，教育部人文社科项目6项，农业部软科学项目1项，省级项目24项。出版学术专著6部，教材7部，在《管理世界》、《中国农村经济》、《中国农村观察》、《农业经济问题》等国家级学术刊物发表论文80余篇。所取得科研成果获得省级社会科学成果一等奖1项，二等奖5项。本专业教师每年参加社会服务活动人均5次以上，为山东省经济发展做出了一定贡献，为本专业发展奠定了良好的基础。</w:t>
      </w:r>
    </w:p>
    <w:p>
      <w:pPr>
        <w:ind w:firstLine="480"/>
        <w:rPr>
          <w:color w:val="000000"/>
          <w:szCs w:val="24"/>
        </w:rPr>
      </w:pPr>
      <w:r>
        <w:rPr>
          <w:color w:val="000000"/>
          <w:szCs w:val="24"/>
        </w:rPr>
        <w:t>（2）积极转变观念，根据专业实际加强教育教学改革。根据工商管理专业的培养目标和人才培养的业务规格，进一步强调坚持培养复合型高级专门人才的办学思想，定位于适应经济社会发展需要，按照厚基础、强能力，坚持以基本素质和职业能力的培养为主线构建教学体系，重组课程，优化课程结构。主要内容包括：进一步改革和完善课程和教学内容，建立结构合理、体系完整的理论课程体系；构建以针对性、应用性、实践性为基本特点的实践教学体系；加强精品课程及试题库建设，以精品课程建设为课程建设的推动力；加强教材建设，专业注重教材建设，积极鼓励教师参加全国统编教材的编写。</w:t>
      </w:r>
    </w:p>
    <w:p>
      <w:pPr>
        <w:ind w:firstLine="480"/>
        <w:rPr>
          <w:color w:val="000000" w:themeColor="text1"/>
          <w14:textFill>
            <w14:solidFill>
              <w14:schemeClr w14:val="tx1"/>
            </w14:solidFill>
          </w14:textFill>
        </w:rPr>
      </w:pPr>
      <w:r>
        <w:rPr>
          <w:color w:val="000000"/>
          <w:szCs w:val="24"/>
        </w:rPr>
        <w:t>（3）顺应时代发展和社会需求，积极探索校企合作办学新模式。目前，正积极探索相关办学模式改革的推进工作，</w:t>
      </w:r>
      <w:r>
        <w:rPr>
          <w:bCs/>
        </w:rPr>
        <w:t>努力培养学生数据收集、数据处理、数据分析、数据可视化等数据分析核心知识和方法，并通过对不同商业场景中业务问题的分析和处理，培养学生的商业洞察、营销思维、逻辑思维、</w:t>
      </w:r>
      <w:r>
        <w:rPr>
          <w:color w:val="000000" w:themeColor="text1"/>
          <w14:textFill>
            <w14:solidFill>
              <w14:schemeClr w14:val="tx1"/>
            </w14:solidFill>
          </w14:textFill>
        </w:rPr>
        <w:t>沟通与表达等核心素质，具备利用营销科学和数据思维解决复杂商业问题的能力，具有良好数字营销职业素质，掌握新媒体营销、产品思维、短视频内容营销、数字广告、大数据营销、智能营销的核心知识，具备以数据驱动为支撑的商业策划与运营能力。</w:t>
      </w:r>
    </w:p>
    <w:p>
      <w:pPr>
        <w:spacing w:line="240" w:lineRule="auto"/>
        <w:jc w:val="center"/>
      </w:pPr>
      <w:r>
        <mc:AlternateContent>
          <mc:Choice Requires="wpg">
            <w:drawing>
              <wp:inline distT="0" distB="0" distL="114300" distR="114300">
                <wp:extent cx="5238750" cy="1250950"/>
                <wp:effectExtent l="0" t="0" r="19050" b="6350"/>
                <wp:docPr id="153" name="组合 153"/>
                <wp:cNvGraphicFramePr/>
                <a:graphic xmlns:a="http://schemas.openxmlformats.org/drawingml/2006/main">
                  <a:graphicData uri="http://schemas.microsoft.com/office/word/2010/wordprocessingGroup">
                    <wpg:wgp>
                      <wpg:cNvGrpSpPr/>
                      <wpg:grpSpPr>
                        <a:xfrm>
                          <a:off x="0" y="0"/>
                          <a:ext cx="5238750" cy="1250950"/>
                          <a:chOff x="6347" y="3353638"/>
                          <a:chExt cx="8250" cy="2000"/>
                        </a:xfrm>
                      </wpg:grpSpPr>
                      <pic:pic xmlns:pic="http://schemas.openxmlformats.org/drawingml/2006/picture">
                        <pic:nvPicPr>
                          <pic:cNvPr id="140" name="图片 140" descr="Macintosh HD:Users:bingquncui:Desktop:市场营销专业建设（校企合作）:专业建设照片:WechatIMG602.jpe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6347" y="3353638"/>
                            <a:ext cx="4111" cy="2000"/>
                          </a:xfrm>
                          <a:prstGeom prst="rect">
                            <a:avLst/>
                          </a:prstGeom>
                          <a:noFill/>
                          <a:ln>
                            <a:noFill/>
                          </a:ln>
                        </pic:spPr>
                      </pic:pic>
                      <pic:pic xmlns:pic="http://schemas.openxmlformats.org/drawingml/2006/picture">
                        <pic:nvPicPr>
                          <pic:cNvPr id="139" name="图片 139" descr="Macintosh HD:Users:bingquncui:Desktop:市场营销专业建设（校企合作）:专业建设照片:WechatIMG611.jpe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10487" y="3353638"/>
                            <a:ext cx="4111" cy="2000"/>
                          </a:xfrm>
                          <a:prstGeom prst="rect">
                            <a:avLst/>
                          </a:prstGeom>
                          <a:noFill/>
                          <a:ln>
                            <a:noFill/>
                          </a:ln>
                        </pic:spPr>
                      </pic:pic>
                    </wpg:wgp>
                  </a:graphicData>
                </a:graphic>
              </wp:inline>
            </w:drawing>
          </mc:Choice>
          <mc:Fallback>
            <w:pict>
              <v:group id="_x0000_s1026" o:spid="_x0000_s1026" o:spt="203" style="height:98.5pt;width:412.5pt;" coordorigin="6347,3353638" coordsize="8250,2000" o:gfxdata="UEsDBAoAAAAAAIdO4kAAAAAAAAAAAAAAAAAEAAAAZHJzL1BLAwQUAAAACACHTuJA3LJBFdUAAAAF&#10;AQAADwAAAGRycy9kb3ducmV2LnhtbE2PQUvDQBCF74L/YRnBm91Npdqm2RQp6qkItoJ4mybTJDQ7&#10;G7LbpP33jl70MvB4jzffy1Zn16qB+tB4tpBMDCjiwpcNVxY+di93c1AhIpfYeiYLFwqwyq+vMkxL&#10;P/I7DdtYKSnhkKKFOsYu1ToUNTkME98Ri3fwvcMosq902eMo5a7VU2MetMOG5UONHa1rKo7bk7Pw&#10;OuL4dJ88D5vjYX352s3ePjcJWXt7k5glqEjn+BeGH3xBh1yY9v7EZVCtBRkSf6948+lM5F5Ci0cD&#10;Os/0f/r8G1BLAwQUAAAACACHTuJAETbkXWADAAAhCgAADgAAAGRycy9lMm9Eb2MueG1s7VZLb9Qw&#10;EL4j8R+s3LdJdrPdbdQtKrttQSpQ8RBn13EeNLGN7X1UCAkQCLghwQk4wAFx41xB4dd0aTn1LzB2&#10;dpd2txIIIUCIQxJ7nBl/8818iRfPDIoc9ahUGWctx5/zHEQZ4VHGkpZz7epqpekgpTGLcM4ZbTnb&#10;VDlnlk6fWuyLkFZ5yvOISgRBmAr7ouWkWovQdRVJaYHVHBeUwWLMZYE1TGXiRhL3IXqRu1XPm3f7&#10;XEZCckKVAmunXHRGEeWPBORxnBHa4aRbUKbLqJLmWENKKs2EcpYs2jimRF+KY0U1ylsOZKrtHTaB&#10;8aa5u0uLOEwkFmlGRhDwj0CYyqnAGYNNJ6E6WGPUldlMqCIjkise6znCC7dMxDICWfjeFDdrkneF&#10;zSUJ+4mYkA6FmmL9p8OSi70NibIIOqFecxDDBZR8/8P94ZNHyFiAn75IQnhtTYorYkOODEk5MykP&#10;YlmYJySDBpbZ7QmzdKARAWO9Wms26kA6gTW/WvcWYGK5JykUyPjN14KGg2C5VqvX5mvN8fLKKEQT&#10;vEp/6CLr7I73dg3ECSKRkRCuEVswmmHr+z0KXrorKXBvorHeRkY2ZDk5wlgAgErGhi8+7T9+iHxj&#10;iagi0GEXMMmY5ipF5zrhNQWCCzeh3292GelmYYeqLc1FONy5N3z5/uDJmy/P7uztPN3beT788P7g&#10;3afD3UefX73e270Lhdj7+PJw93F4dHn/wVvYL7xOSYr1+Qtr81517oagiSHNIDYgS8jYcLHOyZZC&#10;jLdTzBK6rAToAuoA6McmKXk/pThSxgxB3ONR7PQYDZt5JlazPDeVN+Nfq18kQ1psUmhLeT7yrbKg&#10;ldaVNtuZprLaulVtLnveQvVspV332pXAa6xUlheCRqXhrTQCL2j6bb9923j7QdhVFGjAeUdkY6H7&#10;wUxrnCikkdhLiVqpox62HxTDlAU0flqIYDKUGKxKkstAtm11pSXVJDXmGJgb2eHlyYKl+RuzpgYK&#10;NGc8plR2slrGcgt8H4prtDajFegHqfQa5QUyAyAY4FmCcQ/AlwmNXzEbM27KbBPI2TEDIDcWC7qE&#10;aYeAumxCGPwGEdYWpkVoLH9EhL7/74qw+l+EMyL04RNzwj/r71Gh/THCycF+nUanHHM0OTqH8dGT&#10;3dJXUEsDBAoAAAAAAIdO4kAAAAAAAAAAAAAAAAAKAAAAZHJzL21lZGlhL1BLAwQUAAAACACHTuJA&#10;eCcoYbydAACynQAAFQAAAGRycy9tZWRpYS9pbWFnZTEuanBlZwAAgP9//9j/4AAQSkZJRgABAQEA&#10;3ADcAAD/2wBDAAgGBgcGBQgHBwcJCQgKDBQNDAsLDBkSEw8UHRofHh0aHBwgJC4nICIsIxwcKDcp&#10;LDAxNDQ0Hyc5PTgyPC4zNDL/2wBDAQkJCQwLDBgNDRgyIRwhMjIyMjIyMjIyMjIyMjIyMjIyMjIy&#10;MjIyMjIyMjIyMjIyMjIyMjIyMjIyMjIyMjIyMjL/wAARCAEtAn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oxKPWnCQetc+txOP+Wh/Kni8u&#10;B/ED+FcKqI9P2LN3eKN9Yf2+cdQDThqMo6oPzo9oheykbe+jfWMNTbvH+tPGpL3VhT50L2cuxrb6&#10;N9Zg1GPvuH4U4ahCf4/0p86FyS7Gjvo31RF5Ef8Alov504XKHow/OnzIXKy5uFG4VV84etL5tFxW&#10;LW6jdVXzfel82i4WLO6l3VW8z3pfMp3FYsZpd1VxJTg9O4rE+6jNQh6UNRcLE2RRmo80oNO4rElL&#10;TAaXNO4WHUopuaXNArDxVyzsLi8YCGJmBOC+PlH1NJpn9niRm1FZZAD8qocD8e9dTB4g0uNBHGGi&#10;QdFCYA/KrikZyb6Ihs/DCKubuQs2fuxnAx78VozaJp82N1uoI6bCV/lSrrOnsMi5QfXIqaO/tJSA&#10;lxGSe26rMncof8I3Y7sgzAem4Y/lVaXwrGzEx3TKPRkz/UVvh1PRgfxpss8UCb5ZFRfVjimF2c2f&#10;CsoVsXCFv4flIzVKTw1qK9Ejf/df/HFbV34ltocrApmb16CuevdbvLwFWl2p/dTgVDaLSkyhPE9v&#10;O0Mi4deoBBx+I4qM0F800tUl2FpKTdSZoHYWkpM0ZoCwUlFFArBSUtJQFgpKXFGKYWEopaMUCEop&#10;cUuKAG0U7FJimAlFLSUAFFGaTNAhaKaWpC1AWH5ozURekMlMVibdS76rGUetNMwouOxa30bxVMzj&#10;1ppuR60XCxe304SCs03QHem/bUHVgPxouOxtRtmrsURYcVy0fiHT4ZMNdxZHVQdx/IV6Xo+nQXem&#10;w3W44lXcOMUtxOyMHyWHamNGa6K4sUicr1rkfHV22meHHlt3aKUyBQynBxg55pcyvYtU21cfczRW&#10;0ZknlSNB1Z2AA/E1zepeNNHseDdCViOBECwP4jivMvGNxJP4inLuzAMwG45wM1XvRut7Q+qf4VVy&#10;eU6+4+IQuJNlrayYJxlyB/jWY/ibUbp5BuSPaQBgZP61z9nF+9X/AHxVqAYubge4NJspRRpGe6mn&#10;USzyMD1G7j8qqPADczL/ALIP61oFMXMX1qNUzqcq+sY/nUmo5IhvTj/ln/hUbLieAeqGrirwh/6Z&#10;n+VVpxi4tP8AcNIC0YsmirYAKqcfwj+VFMLm6EFGyrYgNIYT6VwHbcq7Pak2e1WvJPpSeUaLBcq+&#10;X7Unlj0q0Yz6U0xmiw7lfy6Qx1Z2U0pSC5X2UhjqzspNtAXK+wjpSjeOjt+dTFaTbTAYJJR/G1OE&#10;8w/j/Sl20baLsVl2AXUw9D+FPF5J3UUzbRtp8zFyR7EovWHVP1p4vv8AZNQbKXZT52T7OJZW+XuG&#10;FSC9j9SPwqmE9qXZT9oxeyiXheRn+IVIt1Gf41/Os3y6PLp+0YvZI1hOp7iniUetY3lUCMjoSKr2&#10;pPsfM2xIPWnBx61iDzB0kb86cHnHSQ0/aoTos2w4pwesUXFwP4gfwpwvJx1C/lT9oifZSNrzPegS&#10;kd6xvt8g6oPzpf7QPdDVe0QvZS7G0Lhx0c/nQ9y743OWx0yaxf7QHdWFOF+h7kfhT50L2b7GoZc0&#10;3zKzxeof4hSi6U9GH50+ZC5WXt9Jvqp549aXzh60XFylrdRmq4lHrSiSncLE+aM1Fv8AenBqLisP&#10;opoNKDTuFhaWgUuPai4rCUYp4FTW0UUkwWaXyo8feC7j+XFAWIAuacsTMwVQSx6ADJNdJZweHkI8&#10;yeSVv+mgIH6f1rbtb3SIhst5baMei4WrSM3LyORt9A1G4+7bOg9ZPl/nzT5PDepp0tt3+66/4123&#10;221wT9phwO+8VSn8Q6bBked5hHaMZ/XpTsiOaT2ONk0i/i+9Zz/ghP8AKqksMkP+sjdP95SK6i48&#10;X8Yt7X8ZG/oP8ax7rxDqVzkeeY1P8MY2/r1qW0aKMjJyOxpCaCDTCppXL5RS1MLUFTUbZFK4co4y&#10;VG0tVrm4S3QvK6xoOrMcCsK78V6VbMUN2ruDjEYLc/UcUXDlOhabHeo2uAO9cpN4pUwSSQW0jBMf&#10;fIXPX0z6VnSeIb+X7Lt8uITKSQFyR+dO4+Q7ZrsetVLjVYLf/WzxpngbmAzXFTXV299bLJcylXBy&#10;u7APTsOKralGF8o+so/kaB8h1kviezWXy1kZ29FU+uOp+tU5/EsvlO8cGArBcu3v6CudRMXie8Z/&#10;oat3S4sZuP8AloD+pNMOVFy/1W/a1Z1m8v5SflHt71mSGW6iDTSvIRz8zE+/9au3K7tOJx/A38jU&#10;NshazRv7yKM/lQhSRNpFuFlAI6A/+hEV9J+Fm3eHLP2TFfOun8XjAdMN/wCh19C+Dm3eGrb2BFUt&#10;zGexcvx+8NeZfFOUx6HAuRh5HBH/AAH/AOvXp1/9/wDCvKviswbTrKHHzFpHH4bR/Ws7e+bxf7o8&#10;i8TnOuSn1Y064GbKzP8A0zP86Z4m41mT61JJzptof9g/zNadEZLcfYpmRP8AfWkU7b+YeuKlsR+8&#10;j/3xUMh237/SkX0N+QYntz6kVCCBq+fVB/OpZD+9s/fBqJ+NUB/6Z/1qSuhZf5bZW/2CP0qpeHEt&#10;kc/w1bujjTQfYj+dUdQO02Z9v60Bc0w/yJz/AAj+VFV0fMSf7oopk3PSvs/tSG39q0xD7UGL2ri5&#10;Tp5jKNt7U02/tWqYvammHNPlDmMk23tTGt/atcwj0phgpWK5jHNv7Uxoa1zBUTQe1Kw1IyTGRTSl&#10;aTQe1RNB7UrD5ijso2VaMNNMdIdytso2VPso2U7DuQbKNlWNlL5dArlcJS7ParSwk9qkWD2osFym&#10;IzThEavrb+1Srbe1OxPMZohPpR5J9K1ltfani1HpT5Rc5j+SfSjyT6VtC0HpS/ZB6Ucoc5ieUfSj&#10;yj6VtfY/ak+xj0o5Q5zF8uk8utk2ftTTZ+1HKw5zGMftTTHWu1l7VC1mR2osNSMsp7U3Z7VoNbEd&#10;qjMJHakVcolPak2VbMdNMdAXK2z0pcMOjN+dT7KNlMZCGlHRzThLMP4v0qTZSiOi7FZdhouJR2Bp&#10;63cg6p+tKI6cIvanzMXLHsKL0jqhqVb5O4YfhUQh9qd5PtT55C9nEsLeRH+L9KlF1F/fH51U8kel&#10;L5A9KftGT7KJdE8Z6OPzpwcHvVH7OPSnLb+maftGHsl3Lob3pd/vVdYWx1NY+vtc20cTwzum4kHB&#10;p+0EqV9EzoN4/vUoKk43CvOkvr0zhnuZGCMCATx1rY8Mw511C3zEu3JOexp+0H7FrdnZrADTxbpV&#10;4WqAfdqrcxhAcChzJVO/Urym0gGZZFH6/wAqrm+suiRu/wCGBVTUF+Rf96q0YrF1pdDojh42uzVW&#10;5RvuwIPrzU8exjyif98is6M4NXImoU29wcIrZHNfE4F/D2moo+U6lECB6bXryS4QC6uPaXP6iva/&#10;Gdobvw6kmMi3uY5T+q/+zV43er/pN97c/wAq6aWxy1TZWL/iUSMRgmJSfrmq8y7ItOf3YfpWk6/8&#10;SaQj/nhn9T/hVK8H+gWLdcSkfmBVITHXi7b2yI9WH61Hq+Ps8R9JF/kanvwPMsmz3Y/rUetLiyU+&#10;jrTQXIVwb+07BhtP8qv30W3T3z1JU1nSNiSyf/PU1r3/ADYufZTTEREbtMHup/rVfTmD6ZGO4x/n&#10;9KsQkNpo/KqGkPnTmP8AdK/zNCJkaOnN/pKnPXzP/Qwa+g/BDZ8Nw+xP8hXzjpsvNsc9fM/mtfQX&#10;w9vEn0Qwj70ZBP4iq6mM17pvah9/8K85+IOnNfWlhIgyUulib/dkIXP54r0K/fMh9qw7uBLmPy5P&#10;u7lb6FSCP1FZt+9c3gv3dj5v8VDGtyj3pzj/AIlVp/uH+ZpnigE6mG/vKD+lTsmdHsz6of5mtGYI&#10;l08fvIx/tiq1xxet9KvabH/pEP8Aviq18mL+QehI/WkWa8hzJp/uBTZVP9or/wBc/wCtTvFiXTvd&#10;V/lUlxDjUwMf8s6Q76EN0D/ZUfucfzqpqa4W1+h/nWzeQf8AEjtm9XP8zWfrEWBaj2NIE9BsPMCf&#10;Sip7aP8A0ZOPX+dFBNz2TYKNgryuXxBqFvMdmqXbKDx5jf8A16tDxVqgAxdsfqK5HNI9j+zaj1TR&#10;6QUFIUrzn/hMNXH/AC3H4ov+FOHjXUx1ZW/4AP8ACl7SIf2bW8j0IpTTHXBDx1fr1ihP1U/408eP&#10;rkfet4D9FYf1o54kvL666HbmOmNF7Vxw8fv/ABWiH6EinDx+vexB+kuP/ZaOeIvqNddDqmiFRND7&#10;Vzf/AAn0B62LD6S5/wDZaX/hO7TvaS/g1HNEX1Ouvsm60NRmH2rF/wCE5sD1tbj8Mf40f8Jtpp62&#10;13+CL/jSug+q1/5TWMNJ5NZf/CZaYf8Alhdj/tmv/wAVT18XaU38NwPrGP8AGjQPq9b+VmmIvapF&#10;hpsWp2Mlr54aQrjoqZb8hSf29o6nDXbKe4aB8j68cVXKZclTpFlhIPap0gqomv6K3C36E/7jD+lT&#10;Lruk5x9ujH1yP6U7ITp1P5X9xbSH2qZYarJrOkn/AJiNsPrIB/OrCappjfd1GzP0nX/Gq0M3CfZk&#10;qw+1PEPtSpeWb/du4D9JFP8AWrCPE/3ZEP0YUyGpLoQiH2pfJq0qZ6U8R+1OxOpS8j2pfI9qu+XS&#10;+XRYLlAwe1MMHtWj5ftSGOiwXZmm39qja3HpWmYxTDHRYOYyHth6VWktR6VttFUTQ57UnEpSOfkt&#10;sHpVdoiO1b8kA9KqSW/tUOJopGT5dHl1eaAjtTPIPpU2KuVBH7U9Yc9quJB7VZjtvamkJyKKWpPa&#10;p1s+elaUduPSrCQD0q1ElzMpbH2p/wBhHpWwsA9Kd5A9KfKTzsxvsXHSk+xe1bnkDHSjyB6U+UOd&#10;mH9i9qUWhHatowD0ppgHpS5R87MpbfA6VheKIf8ARYf98/yrsTB7VgeIrUvEo/2gf0NKS0KhP3jz&#10;woq7g+Bu4APf2rpNCjEfiJVHQTlf1IrH1CxfymdMho/nAC5yRnjHFdHoEU0urQzzoFleXe4AIAJb&#10;ng/WoS0N5y1+R3WziqF8mAa1tnFZ9+vyVbRjF6nM34/dj/eqqgq9fj93/wACqqgrne51p+6SJVmM&#10;1XAqZOKpEMbr0uzwtfn/AGFH5sBXiN5/x93+e8Wf0r2bxHk+GL4f7AP5EGvGdUHl303o9qG/Q110&#10;jjrHQxjfoS+jQf8AxZrOu3/4k9s/pKv/AKCK1NPXzPDEMnpAR/6EKy7uM/8ACNRN6SKf/HTVolsk&#10;v2/0Wyf2/wAKNZ503d/tj+lLfJnSrJ8d2/nTtTjJ0PP/AE0P81oFcoXGRbWDjuP/AGZq158vpkh/&#10;2B/Os+4ixpemN6qf/Q2rWWLdo8xx0X+tAFWyBayZfQn+lUNHH/Eouz/dZf8A2atfTYswOPXP9Kzd&#10;LTboWonph1H6NTRMhNOjOLQejyD+X+Fe8/De3eO2upD9xljGPfFeKadCc2/oJW/9BzXvXgQbdPnX&#10;0Kfyp31In8Jq3wPmNWTKDhsehrbvl/eH3rIlGA3spP6Vn1Nov3D5s8TJi7h94kP6Vb8v/iR2Jx/A&#10;f5mmeKkxd2//AFxT+VXQn/FPWJ/2f6mtWc6JdMh/0i2J7yCqWox41SYf7bfzrb06P/SLLjrJWbqi&#10;Y1m4H/TVv5mpGjVkjG/TP91f5CpbmL/ia4H/ADzqWSMf8So46qv8qmuE/wCJseP4KXUfQZeR/wDE&#10;mh9POAH61na1GAbUD0NbmoIBodiP70rH9azNZT57bj1/pQxxehDaxE2y8ev86Kt2af6Mv1P86KCW&#10;9TMvrfF5LEqjKuQxJ96l8uFEG51J9Fq94lihXV7kIpQCUgqzZycnkcdKqJCmwFiuT2FcE9z7Ok+a&#10;CZA3lf8A6qGhARWaNlVxlSVwG7cetXrSC2N5AJCGQyLuB7jIyK3l0+1uLSC3lG7y1u41GSNrL8w/&#10;nThTcia1dUmro5IWodHdUcomNzAEhc9MntUfkR5wCK7jQZLaTS/s7ywZMhQhrQEHCkqC20gnPPPP&#10;HvVbS2WLxRPDI6KvlqzCKLyVYjbjKlcgYJ6Cr9jonfcweMac1y/D/XY5BrVVYq2QwOCCORSeQntX&#10;aeKmjFlaTuzMgkAkUMjFh83O4DqcEdfwqTVtPh/sl43LGG1iDowOCflKJ/6CtN0NWr7ExxycYtrc&#10;4byox3GaTYtd5YzPJodm48sPsA3MobAG7qNuQPk61Q0Wxgl1TUpwNxhnYFGA27N+QcY6/J+tHsNr&#10;PcFjVaTcdjkCqjsKQgY6V19vottb69PavG0q/ZWeQNIFCEqSe2ccjpyM5qHxBp9lBPYnyVjiePDN&#10;blmY7VAGA2ARyOe/NJ0mlcuOMhKailurnK49qUKTXX+INJsLKOxRg6biqvIkS5wAobJB68Zxg8k1&#10;Y1S00k6LNNFDHFu4ikRRncMtjGMjOefTgU/YvXXYSxsWotJ6nE+X7VIsbBdwUhc4zjjNd5LpGny2&#10;zNHpykPGG3IMduMcjBz145rkkXOkz/7M8f6q/wDgKUqbjuXRxMaqultb8Sko9alVaRR61u6Hoker&#10;wXh+0eVJAFKk42856/lURi5OyNqtSNKPNLYyUHNTKB6ZrR1HQ5NMgSZrm3lDPsxE2SOCf6Umnad9&#10;ttr2XzdhtoTKBtzuxnj26U+SV7Ee3puHtE9CkEQ9VH5UvkxH+BfyrSttJmn06a8DKBEygoQckN/F&#10;9P8A69F1pNxa6n/Z+FknJAUIeGJGepxRyO17Aq1Nycb6ozxEqj5QR9DTw8yfduJ1/wB2RhWzD4X1&#10;WWUI1usORw0kgwfb5c0X/hrUNOs5LqfyjGmM7HJPJA9Pen7OVr2JWJoOSjzK7Mpb6+T7uoXY+k7f&#10;408avqq9NUvP+/zGmR288ylo4ZXUHGVQkZq3qGi3VjDbSsvmLcR7xsUkr04PHB5qUpWujSXsVJRl&#10;a7Il8QayvTU7j8cH+Yp48T66vTUn/GND/wCy1Rjtp55DHDBLK4GSsaFiB9BVyHw/qtyjNHp82FOD&#10;uAQg/Q4Pehc72uKcMNH41FfcSjxbroxm9VvrCn9BTh4y1odZLdvrF/gazLywubCYQ3ULRSFdwVvT&#10;1/Q06LSr6cI0drIwkRnQ44ZRwcH29KLzvYl0MLbmsrfI0x431cdY7I/WJv8A4qrFv42vnnRJLW2I&#10;bj5Aw/mTXMNGVOGBBwDyOx5FWbTT76aSN7W3lduXQqp524JI9ccU1KVyZ4TDct3FI37rxnPBdSxC&#10;xjkVGKg7yhOPbBqufHWP9ZpLD3E+f/ZawbiznhSOSeGRVmG9GYY3j1B70xbactGFjdjL/qxtOX5x&#10;x688UOUrmawWGtt+J0K+N7Nz81pIv/AxVhPFtg3W3uP+AhT/AFrlJLVPMaOeEpIpKsGGCD6GkGlM&#10;FEkEjKCeCeho5pA8Dh/6Z2ieKNMP3lnT/eQf0NXIvE2jnrclT7xP/QVwQ+32/wB5BIv0zUqX0B4n&#10;tgp9QKamzN5dSe1/vPRYtf0hul7GP94EfzFXY9X0tsY1G0/GZR/WvNl/s6UcfKfyqT7FbNykzD/g&#10;VVzsyeW0+7PT476yf7t5bt9JVP8AWrCywv8AdlRvowNeTnTj/Dcn8aadOlHScGj2j7E/2XF7T/A9&#10;gVARxzSmP2rxz7DMP+Wy/kP8KcILhf8Al5P4Cn7V9g/sn+/+B6+UppT2ryQJN3uX/A07DAfNcSf9&#10;9mn7TyF/ZT/n/A9XKe1Zesxgwplf4q89Vv7hkY+pc1S1qaeOx/1zAhugY0OegLK2n8X4HV3NmPJl&#10;bbn5T0rWsISNRV2IP7wEHGOMiqWlKZNCsmk5ZraPdz6qK2LFAJo8diKcVoebUdnY6ArxWdfp+7Na&#10;pFUr1MoaqSCLOTvkPln6iqyRnFat3FlT9ahSDjpXO1qdHNoV1iNSpCatLD7VOkXtVKJm5mNrsX/E&#10;kmB6Hg14vry7J7V8Y32QH5ZFe4+J12aC/bLgfoT/AErxbxPHiDTJPWF1/Jq6aZzVXc6DRYs+DEY9&#10;omH6tVK+t8eEkPtEfz3j+la2hJnwID77f1emalDjwdEO/lxH/wAfemQ2ZVzHu8P2LejMP61JqEX/&#10;ABThP/TT/wCJqWRc+GLE/wDTRh/46tTagg/4Rgn/AGx/7LTGjNuo8aLpR/2W/wDQ2rVt492j3PH8&#10;I/mapXKf8SDSz7P/AOhmtWwTOlXQ/wBn+hoGtirpSAof+Bf+g1k2K7dD1YY/5bAfo1bmjrnP0b/0&#10;FqxITt0fWB/08gf+hUIUjTsIxiL2nP8A6BXtfgc4trgf7v8AWvHNLXcufSbP/jor2HwQf3c/0H8z&#10;TW5FT4Tob5ehrGuRtimPpG5/8dNbt6MoKwtR+WyuiO0En/oJqX8RUH+7PnfxWB9qtv8ArkP61oKn&#10;/FOWB9V/qao+LRi9gBH/ACzH8zWmAB4Y03jnH+NWzJF/T0AuLA+sn9RWVqwzrU5/6at/M1s2OPtN&#10;gP8Ab/rWTq4xrM//AF0P86Q0bjrldJP+yKmuF/4mvr8tRjldK/3f8anuMDUx/u0D6BqPOm6evuT/&#10;AOPGqGuDElv9f6Cr1+c29ivp/iapa5/rYP8AeH8hSY4j7Fc2w47min6eM2v/AAI0UyXuN8ZxhPEt&#10;x6NtYD/gIrLRSY1IYdPSt7x7Ht19XA4aFefxI/pXPxH90OTXnz3PssI70IvyHbXBBB5BzkVpr4g1&#10;ZRg3CsvPBhTnPB5AzWbhj2Jrbh8I6pcQwyIsO2ZSykydsZHbvRDn+wVXdFJe2t8zNtNSuLIxeX5T&#10;LEWZEdMgMwwTxyTTI9RuYpVl3qzrCYFLDkKc/qM8ZplzZyWs8kE21ZIztYA5war4QfxilzSWhXsq&#10;UveSWpoTaxc3NssNyyz4lEu+TJJwCAp9uT+dTv4jke2W3fT9PMK4wnlNgYzj+L/aP51jFo+5zWlD&#10;od3cC28kQv8AaBlMTAkLkDJA7AnnuMH0qoym9jOpSw8EudJDoPEN5BYSWe4PE0flqGH+rGCDjHqD&#10;3pYPEE1vcy3AtLZ5pfvO6tk8YPRh15J9yayHJjdkK4IODTdxP8Jpe0kupf1ak7+7uaz62z6h9tNn&#10;bLLhw23eAxYEEn5veludekn+zlbWBGtmXyCFJ2KP4eTyO/NZttDLdXMVvEmZJGCKD6mr+oaDqOmR&#10;LLOkflnjcjg4OSOnXtn8apSm02iHTw8ZqL36aiTa1eTQrESQNgVieSxDFg3seeoqWXxBfzaclq08&#10;+QWLyGZiZAexHoBWUFbvShan2ku5p9Xpae6tDbj8RSBBHJbJLHsWN1Zz8yqm0D2GSW+pqnCQ9jeg&#10;AAZR8Dtgkf8As1TWmh3F1bxzJLbqHVnUPKFO1SQTj04NNhgeA6lbSDEiRFCBzysiZ/kau83bmMEq&#10;Mbqnvpf7yTw8QNestwDAyYII9QR/WvQbSRnmuUY2KqC4VE+98rEZYelefaEpbXbED/nup/WuwOky&#10;2Ws3epxXPLRTSgKgIyCPlPr19ulb4dtR07nn5nGLqWbs7afeQ6tdW0uj3aokE/CYnto/kU7uhOTg&#10;8fqKZ4UvYmhnsfsUbSCJ338ZlGR8h49/erPiRdR/su7Et1CbdJEXHl7WfoeDk9z+lVPB1+EuDYCF&#10;d8pZxL3GF6fpVN/vUYxipYOTSvrffyXoW9T1E2Wn2+62wtxbywtDux5ZUgDnHbJFUPERlPiYeSxS&#10;VvL2sDggnpzWtBbxaj4esWvwZbmXesfPO52J3fgBn8DWN4rjlXX3JTAdVMZHfjH8waKt+W/oXg+T&#10;2vIt/ev951cdvfC908TSFovs/lTDfnMm08+/fmsu4t4o9CvUiTYsljbTkDPLZbJ/QVMyXWnafpeo&#10;3If/AEJWWaHdlm3YVcdj1zU+stDp/h/MkUplnthajbztO1iM89ua0ezOSF1OKWuvTyZi+G9UMNjJ&#10;YwmQTvOJNyx79qfKGOPoDWxfX99ptkLqS9inQXKodkYwYyAc8dDiue8Mz6faXDXV1qE1tKhAQIMr&#10;Ip6g/KeOBXTXdhpdzo08rTzpaXE32kyJGRg4xwNvTjqR+NZ0m3T0Z0YuMI4j3o6N9t/Q5uC9mufG&#10;pn0liyzSLnIA3R4UuPm+h9+OK6cpeS3NxDdSTRxm6Xy2ifYTGQwHK89fWuKkt0i1uGPQ7ia4JwUd&#10;flbPOR0Hb9K7VxNB4hlglMki3rxyW2DkRrFgvnPQHPGM9aKTet+/yKxsYrl5f5eu+n/A/U5LxTuk&#10;OlyyMzO1kiszHJJBOST+NdJYWNzHNoKCMmBLR/O/2Syg/wA8VheMJbdL+2s4Vctahg3mAYO7awx6&#10;9au3uu3Ello2qbjCPOkEscbEBlDLx7jAqU4qcm/Iqcak6FNRW/N+KdvwKHirT7yKK0u742qz7Fhc&#10;ROSzkA/ORgemOK6axNho+mafby60IZkXz4/MgL7VdSCvHGMkn64rjfEemy2ut3zLG7QlxL5gXgB+&#10;Rz9cj8K7DwpZ65b21q0eqWTWs+yQpI7NIqkD5RkccdqcP4j0FiUvq0Ly0+75ddjK8WW1heaPbXmn&#10;3/nw2Sx2ohVeF4659eBV62W0vodLuYdOmudPtQIYoxlXWT5SZTg8gEEH3HfNQ+NNP1SVru+e9g+x&#10;R7VFukzZIDYBK4wTliasWUwvtK037A1zapb21xvWJ+WZQh9OcnP51Vvfehi3/s8GnfV/LTbpqYfj&#10;G1tY7xpLfTLmFmlYPO4JSUnkbefY+lbeo2VrJYRQSafdt5MgQNFGQM7F+c99vYn1BrK8YBYpjENU&#10;kmHmA/ZGBPlDbw24nnr+tbdsyzaVbq15eGWRUkL7xyTGWxn+78p4oilzyQVJSVGnK+1+5havbypq&#10;dlBaR72VWSJWweEkfA59vWtBYLS6M8s9kqNDcOwR8EqwCOenB/i/OszxX5kc1rJFLtbM2GBwf9Y3&#10;f8a3bu3lto7tiwczmSQAdRiEjH6A00veYVJP2UHfe/5nPW2iRT6zqsccCllEqpuHAZm2g/hkn8Kn&#10;1fR7Cx0OFQt2jgMYmIU7nI4DHHTjt2pYL2K08Y3rTXDwIC+AoJ3njAwOvXP4VoXLRXfhqVWtbsrb&#10;RAxl2AJ2hwHxn2OQeenFSoxcXbzNZ1KkakG27afkVtA05Bo+Z9NV3lTlzPgyjfnp/Dgfyqj4mit7&#10;TV7WdrFkhkkZpNs2fPAK5wM/LwfbrVvwxNNc2twjI8qpsWNxEr7OWJHJ96r69cvaa3BI9snlRrvi&#10;imjG3JADHAPcilK3s0XTU1jJJu+/V9v6/qxblj8PRWJum0ubaIIptonfo7FQPve2ai8MaXFd6dPL&#10;Np8lwzB0WQSLg8DgAng9ef1rUn1hVsGP2G0L/YIrjY0fy4MmMY9ADkfWsvwzJLcyXEPkCWJELIqx&#10;K4jZmHQMe4X9Kdo86RKdX2E3dqzW7bG+IdHSPV7WOC0e2S4kKbty7X5UZUA8de+OtW7/AMO2Crds&#10;hWKSETzLGjltyBgFzn0ww471DrN3Jp+s2btblYYQsixMqoGboWwucdB+Va+psv8AY+qzIjmaOd7U&#10;MBwEZ1c5P1yPxotH3tA9pWUaVn/VzI0bQpZzDcEW7QOr/Kz89CBx9a57xhpkdl9qRCCgIZPm3YB9&#10;67Dw6LdbITHT1kmhnRXnBJKo27LewAGPxrkfENhNaWFzFKhVkyvIwDhsEj8jUTS9mrHVQnOWJkpP&#10;bS39M6bQ8NoOnt/07Rj8lArS00/LD/uIf/HRWV4cz/wjljn/AJ5CtLTj+6iJ/uJ/6CKI7HjVvjfz&#10;OtIqndDKGr7iqNx0NVIzgzFuI+DUax+1W5lyKYq1katjVjqZI6VRUiiqRDZieLIi2jKoHJk/9lav&#10;GPFC/wDEq01v7rSL+ZzXuviBU/skO/3UlQn8Tt/rXiXiiPHh+x45WZs1tAxm9Tc0L/kRIhjrOB/6&#10;HU+qR/8AFLKv92BT+Ujf41D4c+bwQg7faF/9nq1qHPh1x/07N/6MNAjHI3eFbM/9Nn/9BFT3ahvC&#10;z+zj/wBBFQoM+EbU+k7/AMhU8gz4Wn/66D/0AUxlO4H/ABTmmH2f/wBDNaunAf2fcjvsP/oJrMnH&#10;/FNacf8Af/8AQ61NL5tLgf7B/wDQTQC2INE++R7H/wBAasLGNM1f/r7H9a3dD/4+Px/9lasSQf8A&#10;Er1f/r7X+tNCmbOj/fA9ZB/Ja9d8Ef8ALUeq/wBa8j0b/Xr/AL6H9BXrngviSQf7B/mKS3Jn8J1V&#10;2MxVg6mP+Jfd/wDXCT/0E10Fz/qjXPaw2zSbxvSB/wBRih/EFN+4z568YH/T4T/0zH8zWmTnw3p4&#10;9FB/nWR4wyNQQHsuP1rYAz4csP8AdWqZCNCwb/TLAejf1FZmtca3OP8Apqa0bTi9sh6HP6is7Xhj&#10;Xrj/AK6mkNG3Ec/2b7Kf5GrVyB/aIP8As1RgJJsPZT/I1duf+P7/AIB/hSGR3Zz9kH0qp4gwlzEP&#10;Rl/kKmuD81qPpUPij5bwAdmT/wBBFA0W9JG6zJ/2z/SipvDyGTTmOM/vCOnsKKpGcnqWfH0eLy2f&#10;g5jK5+h/+vXKQFghAZRzXafEBP3NnJj7rOPzx/hXDQSqSylgD16V58z6/L5XoRLJVz/y2Feg+H5C&#10;+i2rTPG0iKWA2OWxlgDgeoU/lXnZIxww/KpIby5tSTb3MsJIwfLcrn8jTpVPZu5eMwv1iCinaxd8&#10;QWhj1u7EjnBcsvup+7+mKy/IjH8VIzFiSxJJ6k03NZyd22dNODhBRb2H+UnrXaWt9pyaLpjXNyCY&#10;yV3eTkBhtOBgAgjcOehwc5zXD8+tHz7du4kZziqp1ORmWIwyrpJu1jQ1iGGHWLyONiVSVh8wwc55&#10;/WqWVHpUbF2YszFmPJJOc03Yalu7ubQjyxSbL2nyvHqFu8Tsj+YAGQZIyccCu38TNHd6JIBKpdfn&#10;KrtJXB5z9Ohx3rzvyzS+WSAD0HStIVeWLjbc5q+FVWpGonblHYA6sTS/KKaIyTTvLNZnWdnoN0ya&#10;EVjmEZKTRDdMqANjIPJHOSOe3NZd3j/hIdSX/nokzcHI+4X/AKVhBD61JF5kTbo2IbBXI9CCD+hN&#10;aurdJdjijhOWcpp7mjoV5b6frEF1cq7RoT93tkYz79a6qLxZo6wlDBeYfcXXAIy5y38XrmuFEZqR&#10;YmNEKsoKyDEYKlXlzTudlqPiTRdStHhmt71v4kzgANggHh/esfQdXh0i6kmkt1mJTCEYBU+xPQEE&#10;5rJELGpBbsabqyclLqKGDpQpunrZ+ZtaV4iOnwzK8RkkCt9mOeIix549O/4Y71XvNYa/062tZ490&#10;kDMfOJJYg9v8+gqgLZ6cLZ/Q/lS9pO1ilh6KnzpamzYa+v8AaAudV867Ma5hG4YRh0O3p+P86v2P&#10;jCNA7X1s00pnM0bIRhOMADPoMj8a5j7NIf4T+VJ9ml/55t+VNVZoieCw891/XkaNhqltbarLd3Nl&#10;HcRuWYRsAdrE5GM/lVw+MtS/tEXI2CEcfZ/4dv1659//ANVYP2eX+435UfZ5f7h/KpVSaVkaywtC&#10;bvJX0sX77VI21o3+mx/ZcEMgwOGxycdOufardt4hNvp12dsj6pcfIbp3ziP29Pp+PbFYv2eX/nmf&#10;ypPs0uP9WaSqSTuhyw9GUVF9LfgdBrXiS31XTjAlk0cryK8jkggkDH+ArMl1GKTQLewCv5sU7Sbi&#10;Bt2kfXOc+1Ufs0wP+rcUvkT/APPNj/wGm6km7sUMPRpxUY7J33N9vFHn+GJNLuIC1xtSOOcY+4rA&#10;gN9BxVDQLyzsNat7q+hMkMbbsL1BHQ9R3xVAWtw3S3kP0Bp4srw/8us5/wC2Zo55NpvoT7CjGMoL&#10;RS8x+q3Ud5q15dxIVSaZ5FDdQCSea2dG8TjSdJMMURa780lGb7qqdvv/ALPT9aNS8P8A2Xw3p19D&#10;DNLPM7Cb5D8noMYz+NYy2E7crC49iCKq8oSv1M/3FekovZP8tDb1rW9L1aB5RYSRahIV3SlsrgcY&#10;6+gA6Ulp4jFvZ+UbcNIsaRxkHgAKy5Pv8386xxp93niJj+FSLp9wSM2z/UA0/aSvcj6vh+TkbuvU&#10;sXt9DLZ6fBawtF9lQ793IZjgkjk8ZBP41YuPEk06oTCBL+98w54beNox6YHFVBpVweiN+INPGjXR&#10;6Ix/4Cf8KOeW6G4YayT6X699x0mvzQ6vd31l8n2jIxIgJUcfhnirL+Ki1tIfs2Llyq+sZQIQQRn1&#10;Zj+PXisPUntNJO3ULyG3bGdjk7iPp1qxp1h/bFv9o09hcxZwTGDwfQjqD9aFOotUJwwcrXa08ybT&#10;dUtLHTpLaaze5LzCQDzjGBhSOo5z7dOaj1XU4L+ezeO2aOOCMKYWcsD8xJGeuKtjwtqLf8usv/fJ&#10;p48Iamf+Xdx9RU807WNE8Kp+05tfUpS6w9zcahNJHzdRCJFBwI1DKQPyWnaRqMWnw3cc1v8AaBOE&#10;AUsVAwSecVoL4N1M/wDLL8yP8akXwXqZ/wCWaD6uKac73E6mE5HDmVtOvb/hilqGpQ6gbbZbCFYY&#10;ymzduH3iePzrbfxZcPcs0MESWzK4aBvmV9xJJPqen5e9QJ4J1Hv5I+r1YTwVekDMkC/8DP8AhVqU&#10;zCbwbSTd7fqVotXu00sadHKI7bncFHL565NUPFepyarp2ZAoaKDyyVP3sZJat9fBNzjm7jH0JP8A&#10;SqmpeApXsJs6iAdvaLP9RTfNawRrYOM+dPX0fUPDjK3huwKkEeSORWhYSI0caK2WEakj26f0NV9J&#10;04aVpcFkJPMEQI3YxnJJ6ZPrU9mu2NCBg9CfXBNEdjxqrTm2vM7WTpmqFxV0nMSn1AqhOeauRnT2&#10;KMvSo1qSU8VEtZmrJRUi1EDUimqRBU8QIZfDl+oHIhLj/gPP9K8Z8Vr/AMU7gjBiuMfnz/jXuckQ&#10;uLaWBukiFD+IxXiXiNC/hy83D5kaIt9QCp/WtIGcy94U+fwUvtcL/wCzVcvRnRZB/wBO7/8AoRql&#10;4LO7wew9Llf61oTjOnyL/wBO7j9TTZKMKA58JQ/7NxJ/IVZP/Iq3P/XQf+gVVsznwmPa4f8AktWx&#10;g+F7r/roP/QKYypJz4XsPYv/AOhGtTSebaYf7B/9BrMb/kV7L/ef/wBCNauikGGUAf8ALM0Atito&#10;gxeY/wBsfyNYs/y6Zq//AF9J/KtvRP8AkIY/6aD+tY16Nthqv/X0n/oNNCma+jD/AElB/wBcv1Ar&#10;13weMTy/7p/mK8l0cf6Yo9oP5V674VAFy4Hof6ULcmXwnUXP+pNc14gONA1A+kBP6iuluP8AUmuV&#10;8Stt8Oaif+mWP/HhSfxCp/Az5/8AG/y6sB7D+QrVDf8AFPWX+4lZXjz5dXHuo/8AQRWko/4kNn/u&#10;p/KqZKLto/8Ap1ufQE/rVTxHxr9z/wBdantTi7i9gf51W8SnHiK5H/TWkh9TWtzlrL/cP8jWjdcX&#10;ze0f+FZVs3z2hz0jP8jWpf8AGoTD0jpIopzHM1sPp/SovFR/03/gSf8AoIp8p/f2/wBP6CovFR/0&#10;pT/1zP8A46KBrc0/DbD+zG/66nv7Cim+Gj/xLG4H+tPb2FFUjGW513inR59Y0+OK2CGVZN3znAxg&#10;/wD1q5S38D6jGTviQ+/mDmvSBS1yuCZ6lHG1aMeWOxwH/CEXZHKqPo4pB4Fuu5Qf8Dr0GkqfZRNf&#10;7TxHc4MeBbjH+sjH/Aj/AIU5fAs/eeH9f8K7rNFP2USf7SxHc4geBJO9xD+tOHgU97iP8jXaUUez&#10;iL+0cR/MccPAy/8APyo+iU4eB4+91+SV1xpKPZxF9fxH8xyY8EQ/8/TfglPHgm373L/98iupop8k&#10;RfXsR/McwPBVp3uH/wC+akHgyyH/AC2kP4V0dLRyRJeMr/zM59fB+njq0h/HFSDwlpvcSn/gVbop&#10;RT5IkvFVn9pmIPCumD+GX/vupV8MaYP+Wbn6tWuKcKOSPYX1ir/MzLXw5po/5Yk/8CqVdA0wf8uw&#10;/wC+jWhThT5UT7ap/Mykuh6aP+XVf++j/jUi6Ppw6Wifmf8AGrYp4p8qF7WfdlVdJsB/y6x/lUg0&#10;uxH/AC6xf981YFOFFkHPLuQDT7If8ukP/fAqQWVovS1gH/bMf4VLS54osg5n3I/IgHSCIf8AABTg&#10;kQ6RoP8AgIpjPzTd9FhczJwAOgA/ClpqtlRS5oAQ1G7KilmICgZJPYVIcAVk67qFvZ6NeSySooWF&#10;zyfamJnj2qfEjX/FGsxWOjajJaQNLstoIowGPPBZuv8AQelej+HdQ1u3vhpHiCWC4uHgM8F1CNu8&#10;AgMjDAGRuByOoPtXg3gyOL/hNbOOfcqb3GVwSDtbHXjrXr/2q0bxd4fltZbgSNLLAYZCjDaIW3HI&#10;56heM984rSfYxpp7nfGTHelR93Gark0Rvh6zNC3k+tLmow2ahvL620+0kurudIYIlLPI5wAKdgue&#10;M2Gmw3t9falryG5u7m6dfmIwgB4AyRx6Y7Yrp/C1ha2PiixuNNFxBFIJbe5SRjiTC7l4yQMEVmXe&#10;u6ffNJc2Imt7SaRmhkljKq5B5PynO3dn0qxpnjGy0KeG41IXNykuVSaFMgPxn7xz0J9+uBUrncrd&#10;TRqKjc9aBp2azdK1ex1qxS9065S4gY43L2I6gg8g+x5q/mqsSmSA0tMBpc0hjxSimA04UwHioL0Z&#10;spv901OKiu+bOb/cP8qBHM/xCo7cfKB6M3/obVJ3FNhGPzP/AKE1ZopnXLzbRn/YH8qz7g/NV6I5&#10;soT/ANM1/lWdcn5jVyFDYqSniogafIaiBrM0ZMDT1NQg1IpqkSy3EcmvJvF9k0Om+IF2/KJZCP8A&#10;vtXH6GvVoW5FcX4wtUa51SI4/wBIhRwPXKsn/sorSG5nPY47wM+7wlIuel0v9f8AGtmRAY2Q9DGw&#10;/nWB4AJ/sGaM9RIGx+Irod3ynPXY386bJRzVlj/hE29rhv5LVqPnwvde0n/shqnYH/ilZva5b+S1&#10;cg/5Fa7/AN//ANkNMZXIz4Vs/wDff+ZrU0EZV/8Armf51m4/4pWy/wB5v5mtHQMlyP8AY/rQHRlf&#10;RuNSx/00H86yNR4sdVH/AE9R/wDoNbGi8arz/fH/AKEKyNTGLHU/e7j/APQKaJmbOkHGpRr6xwH9&#10;K9c8McXZ9x/SvItOJXVoPeCE1634YP8ApY9x/Q0Ev4Tqrj/UmuP8WsV8NX2OpVR/4+K627dUhO5g&#10;Pqa8/wDF+uaWdImtV1C2aeRlAjWUFuuegofxBD4GeL+PjnUYm/vRqf0rUQH+wbEeyfyFZXjo7ri0&#10;YHIMKfyrYQf8SOx+if8AoIqmQh8Jxcp67Tn/AL6qr4nP/FQ3B9Zc1aiP79D/ALB/nVTxMf8AioJz&#10;/wBNKlFdTRtj81t/1yNbOojGp3XstYlqfnt/+uZrZ1M/8TC99aSKZSn4uIfZf8Kg8WH/AElfpH/6&#10;CKluDi5i/wB2q/ixv9JX6J/KgOpreGD/AMStv+up/kKKTwxk6U2Bn94f5CiqRlLc9MBpc0wU6uc6&#10;R2aTNJRmgBc0ZpM0lMB2aTNJRQAuaSikpALRSUUAFLRRTAWlptLQA7NOBpgpwoAcKcKZThTESA04&#10;VGDTgaBkgNOBqMGnA0ASA01mwKAahduaAAnmkLU0mkzSAkEhAxUsb7s1VzTonw1AIg1q4aCy3KcZ&#10;bGa5K51YPG0FzAk0cilXBHBUjBBzXdGKO4/dyoHRuCpGc1X1LR9Lu7f7OtskYI2q8QAI9/f6Gjlb&#10;2JnJI8e1vwZpMduNV0EyWd1bESeX5h2tg88seD364rkdO1TXpPG0V5ez/vrK4MGW2qEySCOBjJ5y&#10;a6n4j2WqeH7COx3Zs7iTBlUYJxk7fx/pXC3FzJcLHe7Qu6Ys5Xrvzkk/n/nmtoJtamLfY+kbW5+1&#10;WscwGNw5HoehH507dg1heC7h7zwZp11I253Vg5/2gxBP44raJrK1jdaj5b6KytZrm4fbDCjSOfRQ&#10;MmvFPF/jK+8TAwkpBYo+5IAeW9Cx7/yr0Px3cND4QvtjEO+xBj3cZH5Zrw83RSVUKsuTnaB+H9a6&#10;sNBPVmFaTWiOj0nxB5ehw6NdRJJAs5dZ2BJiU9lxz157/Q0niCcyxGytrzz7RSkgO35fNB425GcA&#10;Ej3JPFZKvs/d7XxnIZlxSXD4twvOMg8fWvQ9nG/NbU5OeVrX0Ox+H/ia40zVGGxWtb2SNJE2HcD0&#10;3A9P4u/X8q9yBr5oW7Itk8szqBgjC7UHsTj+tfQ+jXo1DRbO7DFjLCrMT645/XNcOKpqLTR14eba&#10;aZpA0uajBqN7qCKRY5Jo0dvuqzAE/QVyHQWgacDUQNODUxk4NMuebWX/AHD/ACoU0TcwOPVT/KgD&#10;lweRTYj972cj9f8A69UtV1W20bTpL67YiKMdFGWY9gB61w0HxXthO3mac6QliT8+WHT29qiMXJOw&#10;Tkla57jbnNhD/uAfpWddn5zWTofjjSdX0mCSxM0z/deIIAyH0OTj8qmi1iy1QObWbLxtskiYFXRv&#10;RlPIrOVempcl9RwWlx7moxUb3duOs8Q/4GKj+32g63UA/wC2gpmhaBplxdQ2dtLc3EgjhiQu7t0V&#10;QMk1X/tOwHW9th/21X/GqGupZa14dv7ZZ45k8vLeW4bkHcAcHoSv5ZqiTkLv42WFtdlLXSZp4Qcb&#10;2lCMf+A4P8619S1+y8S6fYatYMSkiPFIjfejZSDtI/GvN9Zms1iktY9Lghx8skgjBYnHQHjp+NW/&#10;DGo22l6S1q8T+TPch/tJIGw7SuGHofX2rblVrowUnzWZqeDQIZ9StT/BL09t1b+AD+BH/j1c1od5&#10;b2viy6DzxLDOisHLjbnIHX8K3f7Ssi+Ptlvgqf8Alqvr9aGhpnm0viK7tYHsYY08nzS7M3f/ADit&#10;HSfFAmsZtNuYwrSgsjr0yFIwRWXc6BKcpHcrLPkBI0IffnpjBqpcaPqeiyNdXUKgQhWIYkAluABx&#10;171fuvQxvJO53u7/AIpSy+rfzatHw6QZiPVB/MVxlr4tsrnSYNNkR4biMnlsFWznofxrqfD02boK&#10;TwY/6ioaaNVJNC6Sw/tRgOu8f+hCsvVObHUf+vtP/QKt6VKP7bOTgeYP/QhVDUX/AOJdfjOS12h/&#10;8cNNEyZs2bY1a3H/AE7xfzr1fwxMBfxjI+bj9GrxG+1gaVcRTKokkNtGEXPGRzzTG8fa3abHa4WL&#10;cBJH5cYyPTBNO1xcytY6H4y+K9THiWbRxIYrWFVwqnG/IByfz6V5YJJJWBDOzk8Y9a39V8Q3/ia+&#10;gvNWIu2hG0MyAHbnOOMZFbdrp1vE8E8LrDExB3LGThT14yc96HPlBU3I4++e4bToFnDDYxVd3XHX&#10;+tdxt26FYn6f+gitzUfBtprOiPbxzuLy2g3wOWJViM4DDPfp7Vymnap9v0S1hkTy7iBsOuCOMcEf&#10;lVWbVyXo+U0Ih++X/crO8VXMEGuzGaUL82fUmr/mrGd7EBVjJJ/CvOdV1CXVNSuL2TOZXLAHsOw/&#10;KlGNxSlY7FfE1hGiNDKpkRNoDq2Cfy/rVC58X61LdTXLLAySHLAR4X+ef1rlcDtWrosiyT/ZrjmF&#10;yFb2BOM1fKkSpNnXaVrq6zId0YjmRfmUNkEeorQ8W8XuPTb/ACpo8IS+Hbl7iVh8ylFwvBG7g59e&#10;OlN8Wt/p7fhWLs3obK6tc3fCwzpLf9dT/IUVD4Vc/wBktyP9af5CirRnJ6npoNOzUQNPzXMjqHZo&#10;zTc0ZoEOzRmm5ozQA6ikzRmgBaSkzRmgBaM0lGaAFzS5ptLQAtOptLTAdS5ptLmgBwpwNMzSg0CJ&#10;AacDUYNOBpjHg04GmA1na9rlr4e0ebUbvJROFRerseiihBexpySBFJJ4qs1xEZNnmJv/ALu4Zr58&#10;8R/ETXNalYGf7Lb5ysUJIx9T1Nc2NUv2k3faZvm4Y7zyK09kzF1UfVG6jNeGeC/iDd6XeLbaldy3&#10;Fi3GGO4x+4zzj2r26OVJY1kRgyMAysDwQe9Zyi4vU0jJSWhITTA2GzQTUbNzUlGjFMiSRltxDHHy&#10;jJou9Ts54/3ZdZx0+Q4f61l3V8tpZiWR9kYOGNea+JPiwJS9vpdsiFMjzz3PrgYrSCb2Mqm+p0Hx&#10;CgbW/Dd2iLvlgCvHntyCcfgP515Zo2ki/wDDusoYz9qtVWVBjng8j/PpV+D4i6pEHEjQzBxgh4hj&#10;Fd18NpdN1fUdVv0gVJJlHmQnkckkkeozx04rS0orUyuuhF8L9Qln0S509VQpFLuUFuVB5GP8+tdk&#10;WqHQdH0/w5q+oJG7QpeSb0LKdo46AgjuT1qScCKZo92dpxn1rKRtB9Dj/iPJjwswz1nQfzrxCWQy&#10;agqkOVXJGBzXt3xCBbws5xkCZCfYV4rJbKdUIAZQVznPuPWuvD/CZVty+D+7Df6TleRvHy/yq9cW&#10;5ks8gZZBng1Sa0CW53TuRsJwCCOPyq9BLG8bKGYqBjKqTXdGpF6XOVxZTv5B9g81XmIODgD5Rk//&#10;AF/WvcfhhdyXPgi2EjM3lSOgJGOM5/rXg8qSy6dPBtmby2+RVQgEZBr2D4TXm3Q7q1kJTZIrhXOP&#10;vDH/ALLXLinzK50UNGUviV4zvrTUpNGsLiS1jiRTNJEcOzMM4z2GCOnrXlb6hPLK0kjszHqznJPf&#10;8a9Q+KPhhbiT+27a4RHk2pKjkAEgYBB9cDp7VwaaFpzrGJb54mHLAJu/D8654NW0LmnfU9B8A/ES&#10;y0/Q7iDxBqWxLdlMEkgZ2ZTxtGAScH9D6CvUrDUbTU7OO7sbmK4t5BlZIm3A182XVlZHQ/scDLNc&#10;SncZdn3cNwATzjH6n2rW8GeJdQ8IXkcTMX0x3HnR9jwASPQ9Prik4X1RSny2TPolWpzNlCPaqdtd&#10;wXUKzW8ySxN0dGBB/EVg+L/Gdp4TsleRDNcyg+VCGxnHcnsP51Ci27I15kldnH/EXw9rmvaRapo9&#10;q9wIpi0iKwX+Hg8kZ7/nXjN5b6lo119m1SyntpOuyaMqSPUZ6iuh1Lxxrmp37XH2+5tFHCRW0zqi&#10;j6Bh+dar+PzquhyaP4ks4tUhI/dz8Qywtjhg2GBI+nPfIrphRlGJyVKqlItfD6RxZ3lxHI2yRhGU&#10;HqOc/wDj1SjUbka1fzRD94JvKMhmlQ4CggfKwHr2qTwPNpkOjrZQXStdFyzo3BY+w78Y/Ksgu6a5&#10;qBIfyvtMozg7c9PzrxqdPmxlSUo626mirO6prZDZdNsYy2dJ09QOS2+Xgd/4q5i7uYmnDWlpDEvp&#10;GCenf5iT/Sux8mPUYprSOVUeZGUszYxxyfwFZH/CHy+VGRdDc7lSDgYIxxkn6+9ejCdviHKDexgM&#10;qygmUA85xswfpxW74c1m70Wy1JbV5I7ScorOqdxn5d3OOtdM/heC0tkkSMTYABUL81UNNuNM0vXn&#10;sNTtfPspf34VcMGzxgg+hHXmq9q38KuyJRlDU5bVr6WTymVV8tc/KMkducmtHRLG41OxuSFO1YWc&#10;KoGWwQB+p/IV1Wr+NtA0fTW07wvYqHMu95JlLp7gKcc9ByMYrh21q+lnlkRIbdn++qgIp/4CMAfg&#10;KFB2HzpvU1fBfhew1/Wri0vmFrEkbOryTrGGIYDALKR0J4rtv+FY6E0o+yamyBhgkzKwP0Owe1eV&#10;nUb1G8yWUk9tvOK63w541DAWF9IzQsoRRjIX/Oat3Wxk2zrZvhTLpl1G0DanJIg3LJbxRuFJ49Rz&#10;xWVrHgg3Lgapea78rAkPpxIXtn5WwTivdYrbw9PaqqRae0TLkKAnQ1g+KrDStO0tL2xtLXz0mUgZ&#10;JU9TyAenFJtblK70R8/axomhadbubC/vZ5hkYltfKGApOc7s59q492TvNL/37/8Asq9G1bUvO1iG&#10;UwRoPtBfcmB2IwBnha2bS8M394fjXHi8b9XaXLc56tV03ax49ug6edN/37H/AMVTh5BOBNL/AN+x&#10;/wDFV7hGwbqM/Wp9kewsUXAGelcizhP7H4/8AzWJv0PL/DvhyTWJmZnZbWI7d3qe/wDn6V0ms+CY&#10;JdOjNrM5uIxgBmzkelP0K0kv9NvRZuokWYyEGQrgsTnpjsAce9auoaPdSW9tgjzCu7L8o3OD0P4j&#10;PrXdzybueooqx5k0l1pEjQToVH+0MFT6f5611+k3y6j4buYhZx3MgGBltpQ+oOPpx35pfFGjxL4d&#10;nadkM8I3Rsq4/CsjwJcCK6khf7rjoa1p8kpJz2vqD5o3Ud7GXNolyjEkY57EVWfTJR1Lfp/jXp82&#10;kx3OSlYOsaQNNh8+aVAhPHrX1qyzCOPNzO3qeLDFtz9nL4jhLi3+zjLE5qrLJjAFXL24WefK8L2q&#10;i7Ro/QnFfO1uRTap7HorbUmTkVo6OokuGTvjIrM83PAGMitLw9PHBqwMpAQowOfcVkxrc9k1Dw7e&#10;auLUza08zRDKCKW2GM9QfnGaz9X8C77WS61DVbkRQrvZgYW4HssuTUOmanHqNqjW8gJAwU4yprH1&#10;tne0kRmTDS4x3GGppRtdIluV7NlQ+GdHBx9v1j/wBPP/AJEorvmiztweworg+uP+U9tZVT/mZ2oN&#10;OBqMGnZoOMfmjNMzS5pgOzRmm5ozQA/NGaZmjNADs0ZpuaTNAD80uajzTgaBDs0oNNzRmgB2acKZ&#10;mlzTAdmsXxL4osvDNh9oucySvkRQqfmc/wBB71s5rw34hpq934ruXlt5fIH7u3yOCi9x+OT+NVFJ&#10;vUmTaWhT1T4jeI9RuCwvHtYSfljtjsAH16n8TVnTfiZrtiVVr1biMclbld5Ptu6/rXJyaRqKRb2g&#10;fbnGaoxWs9xKY4Ynlcc7UG4/kK6PcaMG5pn014W8TWnijSxd2/ySods0ROSjf4Hsa3Qa8N+DmoJB&#10;4iubR32me3IVSerKQf5Zr3AGsJKzsbQd1ckBry/4w2mqXEGnSWsbyWiFxIF/hc4wT+AP616burlP&#10;GmoXUVhLHb2zssCC4dgQdyjIwF6t+Y/Gkm1qimk9GeFjw9qrRI/kOS+cNtyB6ZNRXXhvVrSAyygb&#10;e4Dda9Ej1HVXWMQrHKZnK/vn2ImAeCAucjaf8ag1DT9Q1GNxPfxxxHgRQx7c/ick/pT9tJPUn2MX&#10;seYnMQRgMEHtXv8A4Z1cHQ9OhO5Xht40O712ivPp9G0uyjXzYEMSyxosrMxZ3J5H4D04rrYHt7UJ&#10;HFCp/ugHn86mpU5krE8jps72ORmjy3X2FSQxea2ScKOprloPEdhYXSWd7cGB3A2GQfL9C3b8a6N5&#10;uIoUbBlOAw9OpP5Zpwg29RzqWjoUPE+j3Ou+HL/T9ODCVlBjZyACwIOMj6frXzZqdre6VeyWd9by&#10;29wh+ZJBg/8A1x719VmZVAii2rGOgH/66yde0DRvEVkYtWt1kWMZWYy4aPPcE8j88VvFJbHM5t7n&#10;zdaWV/d20lxBbvJDHgMwHFeufC/w5d6Lqkl/ezQrvtwqwAksSxByQR2x+tadloKeHz5dvtmstoRH&#10;GG2/UjjJ7/0rqLARLbiZsb87eRwB2/rWbqNuzNuWPLdMt3Ulk891HthEz24DllGXUlsDPfBX9a4j&#10;XUll1nSLZZpFSSOcE+ZInKhCD8jLk4z3710eqKDeo+3BeLb/AN8k/wDxVczqzeVr+iSHGN8y8nA5&#10;jP8AhXEsS/rKo2/qxn7RxfKZmt2vkRLb3ks88EoJ2m4kI4I7OzV5nqEkE1/K1srLAp2oGIJ446gD&#10;vn8K9G8c3q/2XbPGcNIWRGzxhgOfyFeXF1AL4wD0HpXqLYG29yWOdwwBOVPBB9KsQXTsNvGMdKob&#10;gFZxyEUE1K58ho3H3WH9KdyUMu4rZZzuLpkZwsYYfqRUKw27sAk8oPp5QH/s1dDqVpaP4JttSSEC&#10;6+2+Q8oY8rsJxjOO3pXO2R3XsY9TWcJqd7dBKV2X3a4sIms2lYRKwdl9WxwevXH8zVd7y43DbIzY&#10;5wDkL6VLeTf6S6EKc9AapCUAEDpntWmw2aFtqjwlVcK6AABWHI+hq1FfRXUI38SZ5A5Gf85yKw1h&#10;mvLhVjUlj6Vq2vhe9nuHjt5QJYhvcNxg4zSckNRe5r2Gu674fnafTLjbvyhCRhhgY6jGO/FVta13&#10;W/ENwlxqdq11IieWreSyYXJPRMDqTUUGj3Wq2UYNxDC8RJImLc7gCOgPp+tKvgjUpSfLuLOTHo7f&#10;1WspV6UHrKzM3VitGzLdnTOdNXcOoIk/+KqMSqcltPiAHfMn/wAVWz/whPiNRiKGNx6LcIv8yKQ+&#10;DvEKqfMsGJx2lRv5GqWKpvaa+8XPDuY08pgv5YYY1KLJ+7LMRgduQRXYWCW2saUr6jrdnZ3gmcmJ&#10;4VJIb5ixcMM5J6EkjHpXN6h4c1uC6a4k0y68lVVmkEZKqAoySR0xzXoGnajfvpluY45J1iREIdi4&#10;bgAADGR6Y+tXOSqL3X8xpJ7HMzW501zPY6taXE0b4CoyjIz16tkY6j8K7q316yvIISZokbZuClDk&#10;seSCTxwf5Vy8PikXt3HAumWk8kzBERrOBssTwPmTP6101pomoakxQ+FLaIquSz2caq3PYqvv69qz&#10;lBte8zelJx03I7jxF9nYsv7x8fu1UcfpXl9/qMup6y97LHHEFzHHHHwEQZwoB/OvWJvB7BiZvB9o&#10;y+qylT+ki1zuvQaFp8N9ZS6P9kvRbs0KJPISpxkE5kYEe1KnFRe5dVya1Wh5k8zCQklR6YqF7kv/&#10;ABY+gpsqkuTniowtamBK927MDn6UsE7iUHPOahCFmworW07SpXmSRh8inJ+lAHSy63JDBE0sr7gi&#10;gqHJJ9OCaNP8WR2l4JpftMq4PycYyRjPWqniMG/uY7uKKOOKKFY2UNycE84/EVd8IeDn8XXN1b28&#10;kUUsCK+HV23AnHY+uPzpW01EpMZeeIrK9uLV/mQQ/eJTBbj0Fa+meJtFicCa6ZATyfLY/wBK0pPg&#10;nrY+5Np7f8BuAf8A0AiqUvwc8QITiOFvpMyD/wAeSsK2Fp1neRnOnGbuzqrrxN4Je0DWGq7ZwR8s&#10;isAR36is2+8Q6Y2nyrbahavIykBfOVTz9TXMXHwt8RW43NYRsv8Ae/tGBf54qo3w38Qlf+QdcY/6&#10;ZNHL/Jqyll1GU1NK35B7KHMpFnw7cXOm6yW8tpbW4+WTyiHxzwePT+RrqmW+a9eR7Qm367suVH5n&#10;H6VwrfDvXoh82la4fePTy38npE8JalbSI72+qQlTnM1hIpH5ZrodG51RrNGh4116EWrWEDB5X4YL&#10;/CPesPQ5xb3CS8jGDx6U248OlJC0t/DHzn95DOD/AOi6b5UdoFEd5DOOhMQcbfqGUUcnKrFKd5XP&#10;YNPkhu9OeaEr5yrkxEfe/wB31+leZeKNRm1LUWUq0cSfKsZ4I+vvXU+DvtIjSVsgdB712PiXQ18V&#10;+Hnt1iX7fEQ9vKeCD3Un+6R+RxXQsXUlTVKT0Mp4eCqe1S1PA2jK5JwKrvE0j4HJq5f21xaXstpc&#10;KVlgcpIp7MDyKbb/ALqYMRkY5qBEDQMJBgdOtOCgbRuwR3rsJPC7v4dhunyrSDzBKBkLnoG9B7+/&#10;NcbeK8LGJ1KyKcEVN7jsegeBbuFbhBKgeJW8uU4/hb39c8j8a2PGOkvpTtFs8xJDvSbZjjPTrXGe&#10;C1ucXTKdsZ2MMj7xBJFLqPj/AFvVbWO3vTbTRRnKAwgY/Ec0RerQpbJnU23iqZIQtxAZJB/Gj7c/&#10;h60V5/8A25KP+XW2/wC+W/xorN4ek+h1LMMQla/4I+nAadmuW0fxxpGqssZm+zTnjy5uMn2PQ10o&#10;YGuezW5ad9iTNGaZmjNAx+aM0zNcv4g8R3uk61DawRRSRvB5uHyCTuIPP5U1qI6vNGa5W08b2TkJ&#10;ewy2rnuwyp/GugsdTt762+02F0ssRyokibjI680WE3ZXLXIFGaTzXkiy7sxB/iOabuoFGXMrkDal&#10;ZRyGN7y3V1OCplUEfhmpFvbZvu3ER+jivE/H9kbTxZeMGVVmIkXOe4Gf1zXJlHPSaH8Wx/StFTur&#10;kupZn06syN0dT9DTwc18vhbgZ23EI9/PVf5kU37VewHJvDt9EuAf5Gn7J9xe1R9R5pwNcnpPiext&#10;PBmkX+oXHlrLCse4gnLqMH/0E1ch8aeHpuE1WAH0bI/pWdmaHQg1zXizSjfxJIXVQpC/dAJHORnr&#10;1wfzrVh1vTJ/9XqFs3/bUVJcrb6jZTWwkjdZUK8EHqKAR5pDZ2pjGZ3khxjYoKAHuPWltbHTLDT3&#10;hMBMjOTEU4IPHXnGMcc+ue1SahbXmlLNHcQtthBO9UO3aO49q5+TUHazkvd48pBuTDdcj/6wqdWV&#10;JpHPTINJ1+a5SQlkO9Cpxhyf6V6ToPxSlmUJqFoJVAA82L5WPHUqeCfxFePGdr28O5ywLZJ9TW1D&#10;KlqNsZHHUnP+TXcoJqzOHnad0fRem6raarbC4s5hIncdCp9CO1TXFtDdR7ZY0bggFlBK5GOM14Fp&#10;/iW70e5S8t5tuOCQDgj0Ydx/KvbPD2v2viHTVurcgOMCWLOSjf4ehrnqU+U3hUUjipoVj1K48/eJ&#10;95DFYGVOO+Txk+xxWZql9FbozBugrufE2kxCC51UTiERQs8o8vdu2j6jntXidle32uX0yzCExKch&#10;xkbfbHeseRvU2dRI2NMlmu7gzyuziP7inJ25Pb0rpbS4cmPkE9Rx0zyT0+g/CsjTjHDC0Ee3JOcn&#10;ua0JJ4NM0+S6lk4jUkHuemB79f5UJXdjGT6nMeKNTM/iKZcq6JhCFBx0rtPButatcackEFm84jYx&#10;JNI2EiXAO0nvj+RAryQ3L32pzysSsbSMwA46mvQPCXio6MyWsxJsCcFRz5ef4h/UV6PL7lkcrep6&#10;kqDaBcu0jdxHnH5Dn86Fv7aGUIsRSNOixoTk+pwMVSuL+0ZUEskG1xlNzD5h6jnn8Kh07VLSKWXB&#10;RWV8c8/L2I71kI3LixXUrdzbW/kyMPvKAm72PNR2hk3RRmCQM6KWAACqSOV5/EVasb0MwkaUMD91&#10;Uzgfnyf0+lR+JrqyttGudYkcxm3j3bVYqJD2HHckgCpkroqDs7GB4t8SWOhpGl2u2dA3lwJyz5xz&#10;7DjqfevNNV8WXOqyROYIrfySWiUsSwJGMk/ie1c7fandXmoTajqDtLPIcgsc49APYDp9KzZLlpDw&#10;MKeorKOGpqp7Vr3huOtzVvNUmudiXLiWIZwp42k+lZNxaOqGSKRWiX+FjgikBCHDdHGOe1WbaQrI&#10;qt/usD3/AMit7l2uZySgwujH74IIq5M63duoTqmMD26VovptkzktEPf5iKP7KjcA6fExnU4Eaknz&#10;AewB7/4VryO10Z8yTLc8bH4XuOQU1MHpn+DH9a5bSN8moRkn7pU/+PAf1rpJ9SZdBm0JrKVH+0+a&#10;7NwUIxlSMcdDUTXkMVvDiCFJUZWDwwqpXB4JKjJP1rnoQlHm5u7JSabv3MzUoDKFdQcrwfpVNraS&#10;MhQpJPoK27LVbW3mlM9qZo3TZt34xyDnp7VqNrWjzFH8hrcjsyZGfYjrWlWTUvdRtCKa1ZS0SKK1&#10;ntxdREjcGb69Vz7ZxXciCxnM4mWJFKH97KNwRuu7865V5YgvnqRIrdCvIrsdD0F9e0sZu47aN3wS&#10;yFy2MHAHHqD19K5VGU5HROUYQOTsTC19fi2Lm3E2It5ydvOM/hiun0iMvNtA6+lSX/guPw3btcx6&#10;iboTzAbTB5e3IJ4+Y56Va8PKi6hGZFDJ3BOM8V5+Kpt1+R9bHh1WnM2bzS3spkwpMTL94tn5vTpT&#10;NmK6PXEj+xoymPIZT975uevFYRGRxXFjMPGhU5Y7EzVpGN4iGPDmpf8AXtJ/6Cay/CiFLWIfKwEk&#10;GcnPf/8AVWx4jX/imtS/69pP/QTWd4QtmbTxIxKs8kRAKE4AIORjt79K9LKf4cvU6cNszz6K3MU8&#10;Mi5VldWBHbkUxPEesJGqf2lcsqklQ77gDnJ6++K9Es/DlhLZxyyWd7IAAWlUkB/dV25I+uKybzwf&#10;o+5lgmuLRT0E6eZg47cqR+Oa9uDtudDZU8HeLL0eI4DqepsLHa/mbwAudpxkgZ64o8ZXiXXii8ub&#10;G5WWB4UjLRPlWUoCQcfyqhc+B9QlXda31jKg+4pyjfhkYz+NYM2malo8ge5hmjPQOUJU/wDAhkGs&#10;5xTlzI0VX3OQw5beXzzGAfypDbODgg5rrLTVLZA4vbWN3cf65FwR9R/hV5NJt3UXA2urcqR0rGU3&#10;HdFRgpbM5qw0kv5ReQRl2AGVyT9K9G0WyjsGmuPJgmtUQRGKYnMx5JHGMEnAGMAY6dax7SCE3iBg&#10;MoflHvXUJGI0CKOM5P1rjr4r2S5hYicaVPzJ76y8N6jYTw/2CttPJGVWWO4kby2I4OMgHB7Guc8G&#10;2J0/xzfWMU5kRbXO5sJnlD0z710IWsfw+dvxMvAVBzad/wDgFY4HFVatXlm9LHDRqSlKzO8eJ/N/&#10;4+LhW45juHX+RpTqF/Z2szQ395lULDfcPJyBn+ImrIRHy8hYYwAFJx/P2qneoPs9xtJOY25yfSvX&#10;V7nTpbc4/wAVeNtdOmyxi4Kxll3LnPcdDk8fjXBjxTfqG3AMG5YZ612XiyyaLSREUbBK/eiKkHPr&#10;0b6j0q74N0bwVeCCLUFRrkxZl+0ysg3ei9Ae5z2qm7BG1jioPHF9bY228Iwc8orc/iK3tG8ba/LI&#10;slsJQHdYN4fgEnI+XOfbIHoKXx54Y8MWEkUnh7UEleRsPbRyiVVGOobPHbg56+1clp9o8F9C/wB0&#10;qwIHemncLI9Hfxh4iLM7SyZYA/LNKOnHAHFeW6peS3eq3t1M5eWWYszE5JOTXqKXVlFY2fnTqSg2&#10;yIpO7p6V5lewi51TUHQnYkjPn2zSnsVT3PUPBhS70u3ZFwFQAg+tddBcNbyKV655ArzbwdJc6NBA&#10;k29VuWMi5PBGOldwt2pyxfA7mudHU0zB8Z+A21C6utQspUR7uRZykpxhtuCAfQ9a4KXwXrqsYhaH&#10;jnOeD+P5V7jJcW99Yq0TBriL7oPGRjnHr0qm6i2j8yZy0jfw5pyk0zGxj6LYyWWiQ2l2QXCbWXqK&#10;4q/8DSXWuSMXCWgGV9W6/KP5Zr0Is7Zkfg9h6Vl6rew2cAvZn2Rqdsgz+WKhN3GchFNFYaoLOFfK&#10;REVevTk1wbEI5BUMAe9b2p67FcTBrSBVdRgyE8tz1PYVjxyF5uVXGcnAxW0Y2M5O5FujPPkR/m3+&#10;NFbrR28KoGghYlQcsOaKomxR80pkK29e4PWuz8DeOprG7i06/laSykYIjO2TCT05/u/yrgELF/lO&#10;eOaV4pbeRC6kZAI+lRJKSszSDcXdH1ArZFOzWXoFw9z4f06eQkvJbRsxPclQa0c1yHYPzXEeNk26&#10;xpUv9+KaM/gUP+NdpmuR8dLiPSpv7tyU/wC+kb/CqhuJnPsBt479QatfCrVWK3uhsg/cO0ytnsSA&#10;R+f86qH7tVPh0/2f4iXsPTzElA/77BrZrQzn0PXwP3bfWuY8T65caRd6ekJ+WYSFxtBzt2f/ABRr&#10;rSmEk+lefePMHUdHBOBtn/8AadZKOthU37ph+O54NUWzvoSDmLY+BwCDn+v6V5/JF14FdJrs9xaP&#10;aW0MwRLmXbICAQRkc89OtZuo2b2c7wyjDr+o9a2irIib1MG4QBOlVl5rrNG0GDW47kSXhtzHgAiL&#10;eCTnryMdPeoL3wNrFoGkt40voR/HatvI+q/eH5Ue1hzcrepg5K9jq9AhGu/CO5tGcK9hcllYjO0c&#10;MT+TtXFnSZXciG7s5PQCcA/ka7X4Rybn1vSJwQJY1YoRyByrf+hCuC1e1a01K4t3XDRyMjD3BxQt&#10;2jWT91MnbQdWUnbbl8d0dSP51XLara84ukx3G7H6VQDtE2UYr7g4qRtTvgNv2y5x6ec2P51ehnzM&#10;0DrerPEbae+uvJcYaNpCAw96x/tE32O5VXYI0iKUHA/iPT8qd5zyMGd2Y/7RzT7eFmN+wIAVVfn1&#10;LD/E00gu2R2qmIbmbBHNW4p3ubiK3QqGkYDc3QE1ScHax7EYos92wuNwYMMMD0/DFVcR1EmkWq28&#10;rRTTXPlj5t/CsMgEjB+Xkjr6jntU3hnWbnQNWjltJG8peWQsfmXPKtWbb3kl5mG8uPLh4J+zxKpY&#10;jpkAL/OrA05FcvY3sEpI5SVjGxP48frQ2tmEU1qj27xpLHqHw81Ga1lYxzWwdHTgkEg//rH1r590&#10;7VH0iV1ZAQTzXpsWvrF8LrnSL1pYb9EKoAjMrLvDY3gFemR1ryeS2e5naU4CMflGeSKzhDRpm1R6&#10;pnZWmpW0e66MqhQm6sHXdebV5FjgQxwrnABx9eKzfs7/AHQ2RjpVeUtCMYAzwTTjSUXchzvoXoZI&#10;oEG5uat29yZnDBCEHQk9axoWiD7nVpW7gc4rQSeWU5hRWXuN3NdMWZNHoHg3UGvLa80uf98qFWjV&#10;ofN+Q5zx6ZAH/AqkvbBbW53WUzW1wTwqIqL/AMCGBx9enrXI+H7x7HW7VlWbdM4ikTdjerHHG0/p&#10;Xd/YdOmujLJYQFNwARUKtknuAB+uawqKzAvaVe6oQ5iQXTRIHmjhO4p9V6n8PeqviTxBFq2nWtu0&#10;mIWuB5q7snhWxn23YqCwtNKvPEtxLHHJDcmNY2VW2gkKCCAPb19B71V8VafBpkEV0ivKZZdsgkbg&#10;8E846/z96xlK2hrCN3c5fUNNZ5vKT7zIGX3OOR+YNcwztEzIwKkHGD2r0+40DzNKt7gq8rSRqyFH&#10;I2Z7j1/Guf1DwhNPbPcGTbN1w3VvrUxqJbnROnfVHJvLvt8/xCpfNLxQTL1IwfqP/rGqjxvAzRSD&#10;BGamsD5lrLGf4WDA+gPBrVmKO7Ghf2n4civtNm825iH+k2xI3YHG5cdRkdOtZEEzQTI+SrDv0weo&#10;/lXqXwr8OH/hHBJcK2bt2ZHA5iPQY/HJP4VyfjrR5bW/uJo7ZtiqpldE+QMc4PHTIGfrnvW8JtLU&#10;xkk2cPc3Ul1dTTzOXkkcs7E8sxOSf1qo7Yb5TRyAfWrej6XcarOyQxs5UbjgVDaSuykruyG2ln9q&#10;G+ZtkQ43Ack1PK9tbDba2wbBwZJTuz746Vv2Gh3MjmOa3YQD5SSuMfSszxKIYbz7PaoBAgwAO/uf&#10;WoU03ZFODSuZn2vKgbkjT+6oxmuq8NeLbbT0FvfI0kSFni2sR8x2g5wQcfIK4Kdju45FSxSgeXkd&#10;8Yq7voRKKkrM9gl1zT9UsHMaww7WRw3nO2QSwOS5PP3ePermjw+dPH5LK2SMFTkV49HpdzqF3DDb&#10;3EcfmyrGWeXYACRyxPGB619LaR8O/D+l21hssYZbu2RMXQBDuw/iODzk8964cRg/azU7nLPDq+5X&#10;1CDdaEkrvUg43e4qgsfFdTqGm6dHE5vLhrZX43AgEc/SpE0G0IAjufN7neBn/wAdx/KubE4F1Z3T&#10;RMqLepxPibSrtNBvYDA3mzWz+WgwS2R0GK4K6uoXtIUuNAvtMmijCvKiSFXwvXBIAye/pXvGr6Pc&#10;alsEE9usiZxvJPXHYfT1rJ/4RrUY+H8p/VlOP05rSnSq4aTjTjeL8y4qVP4Vocjp+o/adNtlRz8s&#10;KA88/dHWpDdSMpRpcfUcflXN30s1prN2qsVkjnkUkezEUyXWWSJnZCzKP4eK9VbamlmaN7HaTSFZ&#10;QqyY+aSL5cD6Zxn8KrHfbg/ZrssmMbHXHH6/yrJF62Pl25JyeSefrUb3cx6Nj6CqCwajZaXchmu9&#10;PWCVv+WtudpP5Ar+YzWTZWE9nOyWcyyRHkwSttJPt2B9+K0HuGTksST6nrVf7KZQCish6jZMdv8A&#10;3zx+mKmUU1ZlRbi7ouaXaslx5swIl/ukEFa6NUrmHub2C3C+Y0YGcvt3r06gnofrx71p6cZ4vD8Q&#10;uJjJKmWZ1k3FhkkfpivIxOX1Kk7xehhWjOcrtmvtrB0l1g+Jdw75C/ZOTgkD7o5xXRWq7rWI84KA&#10;jJycYrmmvdH07xzcnWll+zzWqIrRnG07hyeDkYB7dq5cuXLiXF+ZnR+I9D+32YGxrmNSeQWOB/nm&#10;obmeFoJVSeJj5bfdYHtXm2panYW8+dP1aSSPII2lRt7gYAHTucVTTXGjO5bqMnszw8j8T719BZnW&#10;jf1tS9hHvijV3fcWR85B9skjr35/KptP00SeHZtQgaC2ktH2yl4fMMoPuTlev8JHSsQa893H5Mkt&#10;kV4I+YKe3TApCySsHMDo20KXt7pV3jJOGGcMB9M0STYmm1Y1rLxLperwXFhd6alzd2tudlzFuQcE&#10;LwWJbvnJ6+neuegtysytjpVi0gtdORzBbXayzqRLLJHuJy3IXHGOB78VJ51umd0m088OpH86UYJb&#10;FqTe5qrYRzWi3Bkt2YjDIXKsD64zyK4iI+XrF8u1ThzwenBruItTg+yxQl7aQBME4yw9sn+nFcKQ&#10;X1u92kLmUjJOAMt1PtVS2CL1PSJ9E1qaSELbJHGh3BnkUA+wOetbNnp2rRDfNZwfJ1zJuP5DpWXp&#10;19NYzRC01F4PKU70uZmkSU/3QhJwPcc/Wuo07X01iATWdtcpMq/v4VibdET2PHcZI9a5o2Z2NtaM&#10;ngvVtE8y4sJ4ARzMcSqPf5SePauDvPE2sJfTRpYWd3sPyyx3eAy9iAV4/p0rtb6W4h0w3P2ecujA&#10;qhRlz65HX8PeuBv7hW1S6ubZlJhuCFtpFwbgnAba2eQQDxjOTxmqkrxMJvsMm8TeICpcaZaovq9z&#10;n+lcNr2v3eszBZmVUT+GP7ua6XxZqH2LTCiKVkl+UAnketefI3BJNZ0G5LmkRfQlDBBx+FOilKEs&#10;Dhic5qu7bcUx5CTXQItSTyO2fMY0VWEgxRQB2XhI6XbX7NeNksMKXHyit+/h0rXrlHllCQxjCJCV&#10;TcPckV52kpV8jj2rQtZjcN5TOR2HvWfJd3NVOysfRFmscVnDHGgRERVVAchQB0z3qxmvEdN1q90V&#10;8wahN5agZRzuXH0NeieGfF8Ot3aWMgVLpvukH5X/AD6GsZ0ZR1N4VoyOqzXN+N036LA+P9XdxN+Z&#10;K/8As1dtHodywyzxKPqSf5Uy98K22oWb2t1cnY+M7F5BByOfwpRhK45VI9zyXb8lZfhcm2+KsOAc&#10;Nuz+Mef513Gq+EtQ0HfcRr9vsV5ZlGHQepH/AOv8K851HXptF8YLqWlQq8rw7Qkqbuq4PHqMVvYy&#10;lNOx9ASsiBlYjcynC9SfwrzHxrdRT6xpcSFt8cUzMrIVIBKAdR7GuaHia/JilgJtpxjc0cmCxz3z&#10;nOCo6DHFPi1G88QeI4Zr24eR0tXG5zngFT7eoH4UnDW5EXyqxieMMoLAg4O5yD/3zVGD7HfQxR3v&#10;nrJGpIljOeG4yw/Ctfx7EsUWl46t5pP5rWJpchXUI9pw32fH/jxq0r6Cv750fhbT/wCzpLwrdLPB&#10;MqbGB7jdwR2PNdCrsjhlYqw6EHBFcg2xJTJGzW0396PofqtXYNdmtwBexh4+nnRcj8R2/wA8Vy18&#10;LKT5kTOmpao7O11ORLgTTRRTSBdvmsuJAPTeOfzzXP6z4RtNXnkurS+eG4kJZku+VJPX5wP5irVr&#10;qFnMqMlxFhztXLAZPp9fatHaRXC5VKLstDlk5x0Z5nqvhLWdKjMs9k7QD/ltF86Eeu4dPxrn5V21&#10;7jBcT2zboZXjPfaev19azNb0/S9Ts5Tc6XB9pIOLiHMbZ9SBwfxFb08d0mgVW2548prY01oBDOZA&#10;SZU2FT0I9frn+VYpIQjPGa6Xwdob+J9ah0qK5jgkl3FXkBI4BOOPoa9OJsUJbe3kUDe444Gf/rVF&#10;bWkKDekjc89Bx+leh+IPAGi+Dkik1fWpLubGVtIIghf05LE4/Ks/RpvC2o3sdjD4buRI/G7zZHx7&#10;nDcClKaXQ0jTcluc7p9rPfXDQxyxEhCw38E4xxx/hTZ7a4gY+bC64PXGR+ddd4i0DSNLsXlsYGiu&#10;AQpAlLqBnpzn2rlY9UvLY4WUuo/hkG4frUqalqhyi4uzK8V7NAcwzOn+61Wf7Tac/wCk20Fz2yyY&#10;b8xg1Z/tmzuxi90+Pdjl4xg/0qu1pYyAvBqMMf8AsSAjH51XoTcTZpMxIzc2j9PlIkUfgcH9a5++&#10;ihW8VUu2uYyfvGMoR+BrWniZIxuubZ1U8bZ1J/LOe/pWM6uzOUB47gZwKpN9QNFdPvDCs0VpOYB1&#10;dIzt/OoPI3ncSVUfxk/yFX9P1O9tYIvJnlTCgYJ9PatP/hIPtBH9o2Vtd+rsgD/99dR+FNT7isZV&#10;nc/Y7y3mVivkSLID1IwwP58V6JqfiS1a5JAvZJIT848hwBj1B4U1yLx+Hr+JoxLc6e7nJOPMQH2B&#10;5/Wuzh0yHWbGGKPxMlwUAZ47mIEO2P4irA468EmoqzS1FaxDpGp2UtxLfpp1zLdbwy+WrfKAu3Pp&#10;yOKseKZG1Xw/A8du6ymcDyV+d+uOg7+1TpouqaDZGXbYPD0/cu4eRicAAbcEknpmuw8PwafZA6hc&#10;Sl51B/gwFzkADvnPU4/rXPFKpdpmkaqS0R57pGtstudIuxFbS2EgizJJhtuc5x+lal6ySRFg4KEZ&#10;BHQ1wXie68jx7qFzAoCSuzBSOCPcfhUV344eW08uKyEcoGM78qPoMfpSlTd9DpjVXLqZmvoBqDFe&#10;gIqnpBAuyjDKuNpH6VEtxNdLK0zl2J3c10vhfw8L/SdV1KVti2yDy2Jxk7hkc98Z4+vpWyWljCT1&#10;ue+eGJotP8KQNDsKQRK6ucj5SM5ye/X8quaM8+pX4uLeEG2aDYWkXiQk5xz1AH6k1wGh6hcavYWe&#10;iRn5YI9tyDyCd5RE9x1YjuBjvXr8dv8A2ewty5kiRQ439eDjqP8ACtVsYPc888efCbTp9Mu9V0mP&#10;7NqCIZDBCMRS46gL2J7YwPauY+Htpa2vh3zVkQ3Uz75V/iUfwg/hz+Jr2+6uWk3wrESCoySfr09e&#10;nrXjriQ+Jp7SCy8tLcMokXgFeTgjAxj0rDEX5DfDWcmauoHNsyBRlq8r1uwkWR5HT5lOCCccV3Au&#10;tQ3tKJrdolbDROPmFZurRJqaswXaxGCPWuWEuV3OyUOZWPK7gRiV15DA49CKriYowDEkA9cVb1ux&#10;ex1CSNiTn5sms1WOeCfpmu+LurnDJWdjoI7sRJ9oMPmRNjJBK4PrXpHhD4o32m2kFizefYRKVCED&#10;zEBOeG74z0P515RIgOnoWGxicZ7mq8Uk1hOpDEDqCO9KVwVnufSF54tsL+ye5g1O3RiNxZ13Mvb7&#10;uRivN5NTtTceVFqt9dDJaWW5RQu/ORs6EY57Hr+FcfNdvGILuByofglTyDnn6dK6O4+J3idtPtrQ&#10;airQRHDhoEZnHbcSOamnCz5gqS05Tah1y9gBFtq12hUfK3nSIvAPTdgdh+ePcz2njTxdcXyQ2viB&#10;3V8qGcJKAOvp2HPX+eBxkvi+TUInWa2sVduPMjtY4nB9coBz9a0PDOonbNJNkycRhskgDnPX6Ct9&#10;zC1jU1G5kTULjzH3yO5IOcls8kn8c1Qu5Ctsf3igk8kmtXU7GG8RJbZ9kmOHHf2NYVwl5bEGe2aR&#10;O5jG4Y9x1pjRaNwrORsKgeopfOBrGfVHmZYbWB3IGNiAn8/SrUVlcTRF7qRkGM+VGeT9T/hQOxYe&#10;/gicKWDOeigZJ/Crlut1cYJi8lD3k6/kP64qK0jsoFJtogjH7xPJP4mrS3OAcnpQJmpaWCMQWupQ&#10;f9nAH5EGlfR4bKY3FjeqWZhut5SApI7A4GPoax/Pc5KyMEPYcE01dT1C1DJZxlCwwAQCp9iPSmSe&#10;mad4cvH0m1lVV2mFflPB6D8KztS0t4XC3emGVD/HhHA+uTmuNtPGviEg2mjOMphzE8uwKTjKjJAH&#10;P86vr8Y9cKLst7VnUESpPExwRxwVIB5wK82WBpSk2lZ+pLoRtcbdW/hMsVube1hbvuhMX64FZlx4&#10;c8NXKk2VzGhI4MNzuwfoSa3h8YLp8i90GymAzu2ykdOvVT9Kpaj8QdCuLeQw+D7dbvoGZl29MnJU&#10;AmhYOcfhmyVTa2bOPufD0EMU6reyfaoIy7ROQwYAZyOnB/SuUa/cPlEVPpXSX+qxX0jyHTrW2faV&#10;UWsYjC5H05+pJrmTZy5wNrH0Ug/yrrpqcfidzaCa3NWw1DVrnyo7eV2+baieawwT6c4FdAus+KdI&#10;V5JllEayeU+WV/mAzjoex61h6Fd/2Xvae3j3gho2lVxtPqMMB+YNdLJqQ1DT5nuFKiRoyAp4ZgG+&#10;YHHpx27elXzT1Ey3Y+MUvdkF14ZguJUUkSNlWOB1yGUZwD2rn7KW3v8AxLdTRWzRwSy5SHBYgE9K&#10;7Twx4MGtae15FcTQhZCiq8AO/gHI+au5ls7bVIo7OO7igFovlmZnMUkrDhlU5yqZGCRnJGO3Mqcp&#10;K0kSpSuFtFpOguzw2rX1tGCPtMMYzAc8qWOAVHqCSMc+tYo8R6jp3jeTVV0edNIuUitXYyKUY7sJ&#10;JvHHU4+hrZGlapHGLewawkjVNq4VHdRjswZOP+A1xfi7TdZ0+y8hdLnY3DZdrNWZcgg5ZFJAJ9ev&#10;FPqVds9Ul8Qokjhbd0nRMi3mG12/3SCQRx1GaxvDnjn/AISW6uLe40poIkTeshO9GOcbc4xn/CvM&#10;NW8dSm+0aeWz+y6hpzl5HkiZGZWAG0ryR0z1PXtWnqHjiG1t71LR7mO1ktgbcYj+WU5yT6Dp05pj&#10;RyHxQ12HXPE8ptohHDbDyRgDLMOpOPwH4VxWfkAp07s43sSWYliTTWxtBFSagec57CmMACMmlDYY&#10;0koJxigRHnmim0UAaJBOMc1LGzLKvUEGu/0Pw3aSQ+bOgYnoKwvG1hFYX0AgTYJI8nH1NZRqKUrG&#10;kqbirlB54kXDzA5OCB3qrHqE1teJPbyMjowKspwQRWe0wUqTT1UN8ynINb3Mkj6s8H69deIPDVre&#10;nZ5hXZJt4O8dePfg/jVrUdTj06R/7QuJERl3KFjLFf8AvnjH1rgPg9c3Emn3sAc7VKSBTgjJyD79&#10;AK9E1DTotTi8u6tdx/hdWwV+h61Azi/EHxCZNKlt9CSaS6I2iZ4wQg7kLnk/XivGNV1AtrcV0paz&#10;SIbdud0hHQ8YHXJ64Fe133wyguEYvf3RVmyRJOAoHpwoPp3qinwusI5A0Om2E4A4LySbT9Qd2fwo&#10;SG5I8WOuRRMQPtM2STksqc5z02nv710PhfUZ7vUPtZgjRIonXCrjqV9eT0NeqW/giO23Rmw06N25&#10;DRWYwg9i2cn6kfSom8E2FhYXTF5DqEkrSpK2FBHXG1eMdencihsVzy3x/ctcNppKBQFk5HQ8rWLZ&#10;NtvosdfIH869PuHvYdISxmkUiSXk/Iu0NuHPc9uR0wK8wtrWWy1uS3mGHjyOuRjOR+lOGshX942p&#10;F81ASuSKpuZLWUMhyvUZ/lWgOuKguwBCxIzjpXRYpmIZFOv2Em1VAljyFGP4h2r2FlUoGXkEZFeK&#10;X3/H3F26fzr162nC6Xag9oUH/jory8dFXTMK3QnKiuWPi2za5lt7mKSHy3K7h8w4OO3P6V0YnBrk&#10;/Dszi61iExQTwm7YtDNEHB6888jp1FYYTDxrScWiKcYu/McnN4evJUX7G8F5GmcGFxuA9wcGrXhl&#10;tQ0TxHZzrFLDNFMpG5D68/oTXazaBoF8wKQ3GnXHJ32rGRB7lG+YdzwagPh7xDCu/Tby11mFDkIT&#10;+8X/AIC2Gz9Ca9adOaWp02i9jrNW+weI43GqQvDcPjN1bAbjgYAIPb2BrZ0Pwvof9nxWdrqk4VBl&#10;hGFQsfVgQfzrzZfFctnP9n1fTZ7WYdQVIx+Bwa27HWrC9INvdoX6gZww/DrXmWr099UZL2sNUdl4&#10;r8IaVb+DtSlghd5o4TIskkrOQVIJPJx0BrwGQYY17UNUnltnt7nF1BIpRlkPJU9RuHNczqHgnSL/&#10;AC1hdyWEp/5ZT/PH9A3Ufjmrjio3tJWF7W7948zc4aq8kxU9vxFdLq/gzXNKUyy2bTW/UT258xMe&#10;uRyB9cVytwMEiuqE4yV4stNPYY0mamspRHOxPQiqZNaOjaTea3qcdhYbftEoO0M2BwMnn6CtE7FG&#10;1app95bv5rMkxbCOGwOlRXOkTwH5JEkB6YNOvvDWpeG5Tb6mFSSTkIA355KhT+BNUUuJ7c4ilYAf&#10;w9R+RptpiGTW1xAAZYXQHnJHH51HHM8bBkYqR0INaUWtMp/fRA/7SHFWR/ZV8nzMkch74Kn/AOvS&#10;sFxbDxlrWmsDFfOy+kh3Z/HrXUab8UE6X9iCCcs0DYz/AMB7n3JrjZ9Bl/5YSiQHoCKzpdPuo8s1&#10;u+1TywUkD8uKNUG50nie60PWNXF3p9zcieVfmieEBQQP72ep9MHr1rmZdJuY4TNIhRSGcZ7gY/xp&#10;LSZYNRtpmRZESVWKN0YA8g13muxW9zoUDx/KSLiEBm3MoOCAfoMD6ilbqVzW0PPrZBscqD93nNeh&#10;+GdWtdM8E3lrcSBVu43X6HDDce/BI6dSwFctp2mNjypFZoxnc6+npz35rvPD/geJ7H7frdrcNH/y&#10;wtYSuV7gsM579Me/piYasJNWIfBN8bTUklmz5BJlmKk5AHTpz0LV7Tb61a3wEoklUgBfLlA3DP8A&#10;n1zXm3hLRZLvVri8ECx2glKQp5eCNpwCR35BIHHbPbHqI02C0jQpboHI+/gZP+FaRVkQ3dg95NcT&#10;BbK2LbVwZJPlGcccdTz9O9eb6rqptWvDMyLeSMBIEyu5uC2PXjgfT3ruvEktzYeHnvLG6S1lt/mY&#10;SICki5wVOf0x3rxyfX21CKY3EEc0fm78HhlznBHascRskbYb4ixPplvqU0V4sp+YbGOcMD9c5/Xv&#10;Vho4LWHauSR3Zsmsu2ug8XlpkIGBXI5GO38vyqd2LJlzXHI7zivEsb3WqZjP3Bk4Fc/PZCIb3wgz&#10;wD/Kuq1q4S0LyoR5rH5e9ctdXs99MGuCHfGFUKAqj6V1Um7HJVSv5j2uRLbJEV+VTx6mmXzBxGFX&#10;CqDitLTNHMuJJULjP4Vr6loYn09nt1IuEGQu3G8en+FW5rYxRzNlIZbaa3PJA3qPp1qn55Qnv9ad&#10;bT/Z7pJRxhuRXQw+GNLvTv8A7Z+y/JuKyQbgCewIbn8qpOxTVzlvMOSemTmvVvBV5YQeHYoSiOsv&#10;M+7kk9P0rlbnwjpcVr50GuG7ZW2uiQbNv4lj/KpbC0is4Gjtp5Qd/wDGQQOO+B0OKcZrmsRKD5bn&#10;aT3MCTukKbYAeDSOytGNpBz3rCh1S4jAtpoovNPCF/ut7A+tWYLxfNKhTDJ1aJj+oPcVqZWL8m1E&#10;O0Dce9V3ZMDORjoRRJKGXPJ9geTWdPchcjkezdaYWIroGCQSxfcbtT45S0YI53N19qy7y8kZNsT8&#10;g5x60y2vGk2LCQSzYKt/CR1qblWN7zQDywGP0qzFdIrKrNwe4OKyYwskheTlVPTPGakGmyXR3fao&#10;uf4Q2AKYrGvp/gs+IPFN/pwnls45E+0eYYyd3TPGRkZJ71vy/B+9iGLW8sZR6yCSI/kCwpfBF6dG&#10;1BFlmMkO3Y+ASAPXHtXpkOu6VcY2X8GT2dtn88VL0YXPHLz4Za/APksjMB/FDcxkdc9GCmufu/B+&#10;sWpIm0/UFXnJazbb1z95S38q+hbzV7GzjDPOrkjKqhBJrn7vxE9xwh8pPRTyfxoV2Jux4hY+HtQv&#10;7o29pEk0q5LgBl259dwUCt5Ph3qqDdJcWaeiJuZsj6Cu3vNYmEnmfanyBjEjFgR6c/0qv9tN6nnJ&#10;HuU5RlLcg9xkfzHsayqznDY2pRjM8yvNNudJl8q+tPIdiQH7N7g4FNicRkNGiEgA/MAw+pDcV6hY&#10;2FjqQOntPsWVwriGZiyN9Sx/lV0fCWzebf8A2pK0ec4aBNx+rAAmrp1OZXZNSHK7HlkV5qMlwsWn&#10;tdrIxO5bQlSV/wB0EA4H0rvdD1i50vT5I9NmZngypabSJAVbAyH2HGemSea9B0rwpp2kRbbeGND/&#10;ABOqjLfUnJNOfRNIkvGlksoLp26q0KsR9DjiqbRmee/8LQ1F2CXmnafKCeClu7YAPPDMOR6d/Wpb&#10;HWdX1y9upLa8t4oo1Ugi3ZBk9sMzdMdjivT7bTWihEVtBDZQDokSjP6cCpl06zjYu4DyDqzncf8A&#10;61J67CPLdOg1OfVHvb2O7vGhBSKaa1zGoPXaB16dcGsfxtp1nDouoXsNppyvJCVeJoTEynn54wQM&#10;Hnkd/r19jN9ppR2juopAjbDskDYb0471k+KZdIj0K4j1e6ht4J42QiTknIxwOp/ClZjR8xz2X2jS&#10;Jr2JQUikSM4PbYMHH4NWKy/ux9a9D8PW+hT6ZLbanJbhUdoBc/cJH8L4OD2J56hiOoAPH6tpb6Xd&#10;y25kjmiRvlmibcjqeQQR6iixomYzHmjzSBgU5lDdD0qMrjqaQxtFOwKKAPfLS3isrVQ7gBRyxrzv&#10;x7rNtfX0EVsCfJUhmI65roNSudSWEyC8jZFGQn2bJJ/OudvPtFolxf3fkblcIEMf3yckgc9hz+I9&#10;awow6m9WXQ46Vs7fpUtpK0cgIwe3IzTbgqzBgu0HJwO3NT2Nq9zJsVSQPmbA6KOprcxPYvhn4o0r&#10;S5LsXtzJA0ojjjCpkNjdx04PIrvU+IGkyX0ltsum2PtMhYLkeoUYyP8APtXjGm2H2aHb5QdnXLKT&#10;xNGf7p/vL/ntWgN7siCb9+oJt5i3EyjqpI7+uPqKAsj6At5rW4hSe38po3GVZRUxcnvXk/hTxLcW&#10;krKIJmjxmaErjkdSueCRjr0P8vSobieeJJVijCuoYZk55+gI/WgUlYv5GMsRgetY9/q+nKSn221D&#10;IehdSS3oBVi7tDqNpLbXGPLkQoVUkjnuT3+n868cvlOl30tkY5nuIm27IoWbntjAxSYkdjN4Xtbl&#10;lkmmnk29Fd+B+QFea+NLSO18awQwIFX7IpOB1+Zuvc/U17RnMAbBGRnBrx7xuxTxxHJtyFs1z7De&#10;1cuFqylUsypJIoCJsg46VFeQt5D8en860IpVdAVII9abKBJGydK9MDidRXbeQj6fzr0my1S1uIEt&#10;XbypowEAY8Njjg/0rzvWBi+h/wA962ZWV5ZCrAgMQcdj6Vy1qSqaMznFSOxkLREg9q47SZmi1XVG&#10;U/8ALwf5mtPTNel0+KaGWCK5ilTb+9GWT3Vu1N8E6bb61rWrxzGRVDeYpUgEfMaeBp+xq80tjOMG&#10;rot/bZGxlzkd+9Tw3zq+58S57sTkcg5B7HitubwRyfs94fYSJn9R/hWfN4S1aE/Ikc3f92/+OK9p&#10;VKUuoWmidNckkg+z3IS6gzxDdoJVA9s8j6iqdz4c8P6gnm/ZbjT3yB5tm/nRbj/sMdw/A1TnsNQt&#10;c+daTKo7lDj8+lQrNJHtdGZT1BqJ4aEtUNVGty6PCniixt0u9G1CLU7RxlAr4Yj/AHXwfwBNZtx4&#10;y1DSpTbalpbJcL1ViYzj6EVoRahN5ZL/ADoSN2GwcjpnHNch4uu2vNXV2kkfbEqjzG3EDJ4+ledX&#10;wsV8SNbqS1PTdP1Gf7Lb3cEjwmWNZNqtxyAcHsai1Gz0PW1P9raVGZT1ubX91J9Tjhj9ah0z/kC2&#10;P/XtH/6CKdIe1eF8MtDgbs9DmL/4X/aCX0DVYbnPS2uf3Uv0B6H9KytAsNV8J+MbCTUNPlgcOyjz&#10;WWNWypHDt8vfrnFdsSc1oW+t3kMRhkZLm3PDQ3C71I/GuiGJmtJamkazW5a8Xa7oWpeAbu1OoK+q&#10;AxyLCGVgCHA4ZVVSdu7pnFeKTMAxr1q50vQNVRxH52jzSKVYxDzYWz6qen4Y+tcjq/w31y1ja4sF&#10;i1S2/v2jbm/FeufpmuunXpy0WhsqkWcWz03zKdNDJDK0UsbxyKcMrjBB9xUWDWxohy3LRH5XdP8A&#10;dbFPbULtgALy4I95W/xqq4waah5oGWCzs+XYsT3Jya9pHw8m1LS7S/t79c3cKTGMoSPmVWznPXPf&#10;/CvFCeFNe46H8Q4dN+GNgYLdrjUoClqsbNgH58Dn/dx+NNaikTaV4FvNOXdPH5syviNk5VAe+O5y&#10;W/DFWptL1+G7hms55Lgk7LiLecKRh1PfAOCD0GPzpLf4qi0cJrWlXdiR1Z4m2f8AfQzn8hW7Z+ON&#10;D1CaG7sLuOS4Bw0e8bnXHAwMnIOMZHc1XLy6WIUuZaFnTbPVtI022s7GC0nkKBTLLKwy3ckbfXmt&#10;WfVBYWMU2rBoeAfNRNyEntxzntz9awtR+Iel6Nq7xyQ3ToQSGVNnJ5xk+2PxrAvfi1KoZIrCGWF2&#10;OS55TJyBgVDnFbjsyH4oayt3a6a1pc7rSRJCUHGHGOo65we9eZ6XdBmKPNEisNreYcDGcjBo8Qa9&#10;caheMZ5CUVfkTOQgzyB+dYGQ6OwPAYY/HP8AhWT993ZrFuJ3km6KDzoYzKAM/uiDn6c1zWp+J75C&#10;YhZSQZ4zMCCfwrJju54H3RSujeqtg/nWhF4ivFQpNsmQ9Q65/wD1/iaPZRNHWkzn7i8muZtzsZJD&#10;+n0qzbweT8z8yN29K2kvtInJ83T0gY/xQ/L/AID+dPXTtOuG32+obSeAsw6/jx+gqnHTQzvcTTZX&#10;h+YEjNdZp10J08uQDd6HuKwE0e6RhgLIo6GNsn8uv6Vctl+zyjO9ZFPR1x+lYyiwMPxloH2O4/tG&#10;2U+RI371QPuP6/j/ADqjYiS6hjKLnb8rc4xXo0slnfWbQTum2RdrKWrgPss2j6jLaue+VbswzwR+&#10;BqoO+jHFktxa3dvCz2ZzIw+YDHT8awxfXtnc7pC+7+JZMjIrdW9YuOc56Z71YE8cybJVVlPZhkV0&#10;ci3RHO9mZsHiBHUxzx+ZC38LHBX6Hof0q+JorlNkV6hj7RXYI2/R/wDA0h0qz3MyRbQwwyj7p98f&#10;4Vmz6OqNmIspPTacUnJx3ROhtm1vxbbUdtnXKyg/k2P5j8aoy6ffbgf9PZcc4hWX/wBBasjN5Zk7&#10;JXYdSCSD+dX7PXZ4Skxn3KOJFxhl/oacZxlsPUlXSb2fPleeMd5Ydg/mahtLe4sbwiVAI26MuMZ/&#10;pXVQaj9riGJcqw7HrWfqlvtUsv3SOaqwriC4LLt7VPFIM9eaxLe5OfLk+8p/Or8Uv4j3oCx0NldP&#10;FICrY7VLEuq2d/P5twt1ATuhjbajBD0ycc46fhWTBN0xn+cBsh1N4lfubtjc2TZICq0Z54bPOCPb&#10;GabSZJsHUBlQwaPcuRuxj86Hvio61myzBo9hUH09jWNNqawRlXbbtHc0XsKxtXepMVb58cVp+Eb/&#10;AE++SSK9inngaTavlzlR78Dr+deS6nrkt0xSFiiEYJ7msy3aWNjJDI8bLzuRsGs5O5oo2PrPSj4c&#10;0qEx2VkLRScttjHJ98cmt1Lvzm22yg47k4/TrXypoGveLLzUI7LTtRu5pG52ufMwB1PzZr099du9&#10;BslGsPJc3Qy8j42hQeg6YJ+lRzWE0z2HyN/+uct7DgVHe6rY6JatPdMIoV6tjivGbb4t2jRnyWvI&#10;XHQNyv6H+lcvrvxH1/Ww9mborBJ8vlooAYe9XEVmetj4yaUb24gjtZ5Y0QmOVAMFuwOT0Pr+leY+&#10;KPG15ql48sszKzA/JE+0AHt69u9cp/aENlH5UcbZHXcOSfWsqW9Ek7yPk56D0q9gUTXk1UxYJkIk&#10;HVgxFZlzrEs7/vJGYdMk5rMllLsefpUVS5FpFyS8JyByDVYTMFZVOA3WmcmjFIYo5oz7UnTmnFRj&#10;IpAJRRxRQB7pq9tFchIomEZ3ByR0BUgj9a8/8do8dxao93HJ8rAQxrjYBjk89SSfyrrPFEbNoc00&#10;UzRTRp8rBsdxmvLPKIYvKdx6nnJNY0k7G9VrYl+wyzzWsMalpJQAoHqTXrHgPRobA3hkt43cMgDs&#10;vTC9iffJ/KvO9L1aCDW7K7mUCBGVWHcD1/XP4V3c3jXRrBpPsrPcSuRhU7miak9EKm4rVnZajqVn&#10;DZtJdGPyYyOdhZVPb5ugrgfEk9jZ2MtzYspilkDBYyT8/qrY+U9zmudv/FGv6xPKHIjgYFRF2APH&#10;PrTtEsYLOSOS+R7mNW3CLztqg+uMYrow+Fm9WzOrWjskVTr+sXPyKzJETyE5J/Ht+GK+i/Bsksvg&#10;/SdkKnFsi7jJwcDB9Tn2x1rxme5S5lC2dksa5+VEG4/n3r0b4ZDXLOaazutOuk06UGRJJUKiN/bP&#10;UH27ge9a1acYbMyTbWp6CsVw33pUQeiLkj8Tx+lPFqi5YZLnqzHJNW1XHanFOK5xnPXFncbmAiJB&#10;PByMfzry74g+GNQjv01YRB4PJEUjRknZ8xPzcdORzXtNzLHborSg7CcEjtUB8i5Rtg3xng7h1H0r&#10;OFJQlzoblc+aIfMilwmQe4PQ1pxo02CFIPcGu78WfD5o2bUdDQ8Zd7VeSPdP/ify9K5K01e2Me24&#10;jEcinBYDAz7jsa7IzTJu0cN4ghaG/hDjBPP60mpeTZajNLFdpFKzksjHIbnuB0+tXfGU8dxqVs8X&#10;QR44+tYVxp+bvzyssiu2SCCTn2z1rOW40asGqWsqEvLHGw6hnH6HvXV/C2RZNd1VkOVaMEH1G6uF&#10;gsTOPIt7fzXccIsW5uv4/pXb/CuCS017UreaN45I4QrI6lWUhuhB6GnHcaPVyADuPbvUsahmDg9s&#10;fWoiA3B6Gn29uWRT9oIbGcds/iKtFEhh/elzggqBj8T/AI15v4st3t9WcOuN7F1Pqpxj9c16UUnB&#10;yHR8jHIIxXO+LNNk1DSzKIQJrYGRWDZyuPmHr/8AXFb0J8s9TOcbo4ex8ucSJKB8kfy++Dn1HvXG&#10;+JQF1XAORsXH+cCu6sYlS8lYYAaENgdASgb+bcCuN8ZKq68QoAHlIcA57UYp3YQWh3umNjR7If8A&#10;TvH/AOginyHmo9OH/Eos/wDrgn/oIqR6+Z6s4XuQk0o5o281Iq1QhVHFWLeaa3k3wyvG/qjYqNVp&#10;4XFS0M5j4hSSXl7ZzXEhdijgE9uRx9Oa4VlA4ruPHw2rpz7lAxL1PX7nFcE0yseDz716OEd6KudV&#10;H4EQz9ahU81NKc1AOtdBsWDzH9K2LJrh9FZVjcwR3UZdwOFLHgZ/4Cfyqlp+mX2p7o7GzuLl8fdh&#10;jLkflVq3lurNJNOkjeLzJ4mkjkUghkJxkHp940JhdHriT3CBVmwY2QFRKDGv3sZHUHjPOMfjVK70&#10;PTNSjU3OlRI5PzzJFg525A+Q56EdqW3u5Z7eKT7QscihuFUAkdeeOfxNSbbiIMzRoxyP3g4IOM4B&#10;6dCK7I1JpWuccqFOTvb7tPyM5NAuoEVdN1q7gy2wW7yCVQc4wY25rPu9N1WOR/tek6det0LQg20p&#10;+uPlrpZrxJGjM4kLcg+eMjJJJPvySati4h80tBOYUbCvjEitjaM7TzjG49Pb6NunJe/D7tP+AR7O&#10;tB/u5v56/wCT/E8yvbDTGZmuf7R0t26m4h82L8GXn9Kq2/hy5ZJBY3dpfxnBAt5RvGPVTgjgmvUw&#10;sLiKHdA4BO9yTGSvORzkZx3rHvvDOiXkMdwbNoQ7hfMaPytpIzncpweOeaj2FKXwyt6/5or6xXh8&#10;cL+j/R2/M85u9KvLMkSx49jwR+dZ+/BweD716S+h6raBksNXeaFcZiuwJ4yD0+bsPpWPd2bAEal4&#10;dBXvNpr8fXYamWFqJXSuvLUuGNoyfK3Z9np+Zx2QaN5U8HH0rbbSNJu2IsdXjjk/543amJh7ZPH5&#10;VWvPDWq2ah2t2eM8h0GQfxFc9mdV0U4b+5t/9VM6j0B4/Kte28XX0KhJgk0f91gCD+HT9K5+SKWL&#10;PmIRjqe351HuoA7iy8TaK8m65sFjc9WTP+fyWtHUYdM8Q28Asr2JLmHO1ZBjKnqDjJ/SvNs0ocrw&#10;CQOuO1LlW4HS3PhvV4Jw4tHmjAPzW7CT9ByPxFVIy0RYSAqV6hhgiq1rr+pWePKupMDsTkfkcgVt&#10;R+NpZowmpWEF3GOPnXOB+Of0xV3RLuRwXC4QbvvHvU7ru4xmpbe58JXsquUnsJexUkr+XzYH5VsR&#10;6Cl6pfTNStrsDqA2CPyz/SncRhSRQXMYWRNr9N3r9a5nVrB7KbzBnaTg12d1pWo2ILS2cxUd0G4f&#10;pWDf3VrdQtbMWDt8oyOhrH2PLLmiCMvSb+4t5NqDemQNufWuvt5hqluyxsokUYaJxhq5fSbc2mtp&#10;bTgEOpwex4yD+ldPJHArq8gYSL0kQ4b861Ww5HM6qktlcKzIykHH4VPa3olUHcPfNa+qRLe2ZfAZ&#10;l5PuK47ZLDmWPOwMRx2oeg1qdZbzgMGabYg9DjJqWS+TzohI4G1g2Qe/Tn9a5KOVHYeaSfY9KZcX&#10;bFdqABRS5h8p0uoa3HEMbskcgqe9cxf6lNfybpDwM49/rVQsW6nJpKTdxpWCpEIC/exnrUdbOl2l&#10;mbZ7q7O7Bwsfv70hna/B+ONNR1G8YAuiLGp+pJP8hXQfFq+jj8NxRKo3zzAZ74HNc94AnRJr4Qp5&#10;a7k4z9am+JriXT7EyE4EjdPpUdSep53aW5Kh2IAPQVamlFuMKfmqtDMiAKmc1FcOWOSa1TC2oSXb&#10;yZyc1Ax96ZSg0rjDFGKUUuKAEAyKD7UuCKULQA3FKMinijZmgCOipNgooA3tf1+XUbsrHM/2dei9&#10;AT64rFeZgeDUm1d+JADnvRHCTayKI2Mm7AYKen1qUrKyBu7uzpPDfgy/8RNHcadZtdRLt80F1UA9&#10;xyR6Gu+074M6q+DcTWlsvpkuw/IY/WuL+Gfi1/DGvqkzEW0p2yIfTv8Aj3H09693HxJ8PS60mlWd&#10;yLmZ0LCRP9XuH8Oe5xk/hT57By9jDtfhFpFnGH1DUp5AOvlqIx+ua1I/Dvg7Sl3LpsczD+O4kLD8&#10;icfpTdS1ea5ckyLnHAJwBWRCunm1YX9u+o6g7HakcrbFHbGMGs/bSbsmbRopas6O08U6ZZMYrXT7&#10;ZEH8NqVBx9MDNasHjPQJYXkN/HEY/vpL8rJ9R+FcppeipHaTi4toVjKsyWoQyyAkddxzt/A1wNzp&#10;ck9/PHcXJW8hJ8liMDb6Huw/yKuEZtc3Qmap7I9Pvvijo8RiSwR7l5gfLdvkjJ7DPvXN3XjrVNe0&#10;ma1hnNhqEb72SP5SVwfkzyQD2Yf/AKvNWLWxmiaDMQP7+1BztP8AfT2+n8+KnjnwIHa4IP8Ay7Xy&#10;9R/sP6/j19jWkbJ6mTier6B4+j12zax1AGK5jIy7gDDf3WHr6HofrXb2yNDbksjeo4614EWF/Iq3&#10;Ei2GoxqdkqniVT2HdxnsOR/PatPGOvfZk0lLmWCeIYCNg7l6YVjyf85Iq6kY7w2Fyvc9VuNYjgJ8&#10;wCMDqXIFeWePbjw1fRy6lY3ax6on3xEhKTDPO7jGff8AyOZ1V7jUixubiWV88+YxOD+PSuSv1uLZ&#10;XjBOx+GHY1hqmWkmN1CZbiSBlBGQeM5HXsfSr0sEjOWeOJk4+6BGevsOfqa5yJJA3EhUZz0roYtV&#10;KK3mMr574Gapu4rHpfw0Ooq27SdStnXeRcaffjJB7FXGSAfX14wag0S4C/E/xPLdoLWV5CDGzA7S&#10;WzjI47Vw+kajcx3iSabb3Mt0rBkEOQQfYLk10nhxJ9a1/wAQRatb+Xqs+yVC58p1cE5GMe4/wqob&#10;6krc9SxSpAhYsNysT1UmuAjv9W8P3H2dizRr/wAspfT29K6jSvFFjfYR2+zzf3ZDwfof/wBVbuDW&#10;qHzJmqq3q24ImBcLzvXJzSF7sDmJHHqG6/hVvfxSbh61NxnnuowrpOqSExvHFKpEYxjaNqjHBzgY&#10;Fea+KW36wcMWAjUA+teweOebeyx/ef8AkKw/B3guLWNfl1TVLKWaxhjXyo9vyyvkjn2H+fQlWV4X&#10;YkuiHaep/siz/wCuCf8AoIqQxk9q9PtbGG3kDR/aRGOFhAVIlHYYVRxWH4n06BbmK5iiSMyg71Tp&#10;kd/rzXjyw7S5rnLUo8qunc4xYTUoi4rsdA03TTbmW7RZZGJAVjwo+nrWfr+n21neI1rxDKpITOdp&#10;HXHtyKnksrkujJR5mYQTFLtxU20UxqzloZkkXlS7oJ7eG4gdfnjlXcD0/wAa5vxn8NtFTw/c61oz&#10;XFrLbr5kls+HjI74Ocj9fwroYWAmT/ayv9f6VvvAt/4evrVxkSR4I9R6V0YaXLA6cPtY+YPMcDB5&#10;HvT9p27+1et638GrltFtNQ0smaVrZGkgjIzu2gn7xA656H8DXn0mkaj4c1C0/tjTpIU81W8udOHU&#10;EbvqK74u+50ySWzuepfBnw5qt/pdxd29yttbySjaxflscH5e/wCNdD8YdEax8P6ZcyGC4b7fFGZz&#10;GFkHyucD2OP0HWuqsktrU5062js1zvMcC7UDHkkAcAHr+Nc38XtTN74U0u3kH70arCcjuNklYqlD&#10;n5+pm4K/Mc/YQwSWtpG0KEtEDuB2nJdh6+mOxPtUpiFrPNE8DFGBUbyQR6HoM4+lO01T5doDniBe&#10;pPTzD/nqB71LflVnG3gbB93BHU+gx/P613vcyWqNDw5BCby7j2B12AENhgentzWnc+GtMuckQmBj&#10;3hO39On6VneFiDcXB4+6On1rqO3B/A1LKRyNz4Tuo8m0u0kH92UbT+fP9KzZxqunQNDPbyxw7i5K&#10;gMuSpXORnHykiu/IIHT8qSlcLHnNxqCXczThESVuS0bFT29OvQ9fWpBLB9nf95l9xbbPHyfo6njj&#10;BwRXXX+h2F4nmSWqZJ5kT5Tn3I/rWLJ4OkkLnT7zOwlSkw4yOoyPf2qPrMYztezFKkpQ95XRz13p&#10;9jfRKLmz8znazlQ6jjJIYDIwOayv+EWNt+80fU7i03NgLFL5kZPoVz/OuhudN1TSiWubOQIM5dBu&#10;QjGOSPYnrTrbUrOaaA3kCSIjDLoMPtCbQM5+h69q6liHP40pf13OX6pGP8NuPpt9z0OSuI9Ztwy3&#10;+l2upp3kgPly/wCfYCsaS08O3kmwzT6bcd4ruPAz9R/WvSgsU9wsNvMMSkZe652sVJJyOeo9+v51&#10;L2zt7qyRrnT2MYUFzIA6c8Ag4yMkGjkoT2vF/ev8wU8TT3SkvLR/5fkedXXgu+VfNsyLmE9HiYOD&#10;+XP6Vg3Flc2blJ4mVh2xXop8LWyOZdJvbiwkP/PKQlT9QTz+dRT/ANvW6BNR0+01q3HRlG2QD246&#10;/QVEsJO146ry1/4JccdTvyz91+en47fieb7qYWIJYEAjpXZy2/hi/lMZe50q4/553SEgH69vxNVr&#10;jwRe+V51k8V5F1DQOG/TqfwzXM4tHWpJnLCRipJAI9cVJHcsjBldkZehznH0qS4065t3ZHjZWHVS&#10;MH8QarMGUbSo/EYNTYZ0Vj4012w2iO/eVB/BKRIP/Hsn8qtal45OoWmy40bT5Lgn/XtGePoM8fUG&#10;uTXgUknSndhZHT6BD4eltxJqGrz2d4JN6r9nLRrz0yCT+n+NdNJo66hzp2q6ddkjhEuArfk2DXmC&#10;ningkdCaakDR6SdD1KxjKXNlMqY5baSp/HpXLQWcsKSJJGwAcjJHXgVnWeuarp+Baahcwgdo5SB+&#10;Va8XjvWM/wClfZrwf9N4FJ/MYP60XQrMzLuxOQ8MeB/EBUEmmzGEsq547V0sfjDTZhi60RYyer28&#10;pH6Nn+dTx6p4duOEnnts9pYs/quf5UWQ7s4FeMnt0ptdVL4Wgunc6fq9pKGYsIy2Mf1/SqU/hHV4&#10;ekCSgd45B/I4NKzK5kYVXrOG6eM+XC7xE5z2BqK4069tBm4tJ4h6vGQPzq/pV6sVs0MjYUNn86mV&#10;0tCo2b1Or8Exy20935gwG2Y5+tW/iL82j2rekv8ASoPD11FJI/lMDgDNaviOOO606BZUDLv6H6Vk&#10;n1YNe/ZHldvbzXMojhQsx9O31qxPYyw28ksjKdkvlkD1rrYYlgXbCPLX+6v3T+HSsLU+Le+TgkTI&#10;+cYPK+3H6ValfYbi1uYJGaToakZcDI71GOtWSLkZqVQCKYqF2wOtLh4zyCKLiJNopStRiQHqKcCh&#10;qhC+wox+NLxSFhQAuKKZuopAW3CyNtI47H0qNbiaM+WWBA6E9xR5h5yM1HjKj1U8GgSJWkxtbHzD&#10;jNWdPW7mvohZh2uQ4MYQEtu7Y96it4BLIqliN3Ga6zR9LtrK5iuEDtPGwZHLEBSOhAFJnRRoub0P&#10;QtJ0nxLqVtG15ZNaHHJmYDP4ZrdgtrTR1IutVhDkfMsY3E/UVy3iXxvqFzp4tVVYg6Au6Mctj+XI&#10;rz7+1LtZS6zPuBzknrUckUzSanHSTPcW1yyt4JHwzqmQPNbqfZAMD61ja0mi+I7QG0LW10v3VCEs&#10;DnoAOWHsOR6Y6ed2mr3U9uWkdiVHGTkVHLq90sZCvhymQw7c1pGbjsYqHM9TR1e3u7d1iuol+2xn&#10;/R7snCyp/tYzuHT/ABqLS7FrzUntbu8jsLa55lEUQaPpnqx4PQVUtrqea4hguJWmWXqXPIPrWnew&#10;4C7WI2LxUXZ1qgnHmRBqVrY2k7Wttdtd26NhLzYfMibphiPvDPcUS30WxrLW1Dv96OcA/Nj0K8g4&#10;9OvGc44ggY54yPMOCQSDx61bt9Qh0jyDDp9s8jch5AWIOSO59qtSsclWnNao6qw8JJqWjwvY2y2o&#10;2bowf4sjOG6nPb/9XODL4G8R6mJI00xIQmQXnkUD8MHmtfRr/Wte1mCG41eSOIv/AKqOJRHj0K9/&#10;xr2i0t444VXaD5YAGR+v1961qVVPWxhaUdz5vj+FOqrOPt0ipH6xjOfYHpXTaT4B0vT5Vkl0/wC1&#10;H1uGyD+HSvYr+BJSykdACfeshdKjd9zSMTnvWDGnc5C9g1UXUNtpdlBFpuz5rdLj7MXfPcopOMY6&#10;Ee+axtS+G+pX002pWsFrp0yIXWCG5aUu454+QYJ+tepR2MSEHkkdM9qlY7NiqBlzjJ7UJgeCt4t1&#10;JdNbT9UhS6XH7q4YDehyM4bv79/Wm2U0V84CHc2R8gOG59PX8K9vk0HR5Ynin0y2lV8hi8Yyc9ec&#10;cdunpXlHj3wVaeGDb6hpdzNHHNLtELc7D6huv9fet6dZx0Fa5Np+r3+nqPIlFzbgf6thkgfTqPw4&#10;rqdO8SWd/hDJ5M3TZI3GfY15FZ6ncQSLhs7WxzXTW7LqSPKyeW/HKnuT/n/GunljNcwk2nY6fxlk&#10;wWmf7z/0rD8Na/d6NeXZka5+xZjVPLUMFc7s4HfjBIH5VRmu7ksLOWZpI4idu7t9Pyrq/BVw9pYm&#10;cCOTN+EVXQHblFyQe3/1q5sTFKnqaweuh0+m+KtN1BmWQGOTcQTjGfpkVZ1XT59RCSW1xG8MaMfL&#10;2/MTxjn6bv0q0vhfS7maW6gt1t7iUHe2N4P4Hp+GKwLxn0mKeWJ2Jh5Cg4Un6c4riUZNWuKpyPRk&#10;FpuhmKMCD6Gk1w7ltT3w/wDSrseq3Ot2brcMo8tQ4YDLdQOv41pwaPZ3dj+/RmbHyvvO5f1xXPGN&#10;3ZDqU37LlOHY4qBic1p6laCy1G4tQ28RNjdjGeAf61nMorCas7M8xmebtl1a3h42Bgenchh/Wu20&#10;phtaNv41xXnWqzPHdZB4jaMqMf7Q7/jXc6ZK2IH7llH5kA/oa9GrFRhFJfZX5G2Fej9TnfFHiLXv&#10;Dlzbz2l/KLdT5fkscoO4yuOehH4VkDxZp/izW7d/E1qJYYIWSOONvLjDuy88sCOF5ySOe1dd4zso&#10;7jS7tm4aJDMp91Gf8R+NY3wktLWV7/Ubu1huniaMIsqBguSRkZ79OfaqoyvBHW9z1HS7V7mOB4IS&#10;YWjXknIxj16H8M1xXxdtpLXStIEgA/4mUfI7/I/SvYF4Ht6V5P8AG+6Mmj6LDtwBqaHOf9hv8a1I&#10;T1MXT2BFoO3kx5IA7uf89CaivJHku5C27IOOpz+vNM0WXzp7RCMHZHGDn3J+v4AikuhsupFODhuo&#10;GK6Opmtjd8KczXPP8K9vc11Ncx4UH7y657L/ADNdPUsoOR0pCc9RS0lIBHfbHsBwpPINReHobmHS&#10;FF3g3BllaQjoTvb+mKWf7n41ZsGPlyJ2V+v1AY/qxrz6ulVo2t7iZarn9X0PT7u43SWyKzDl4/lO&#10;fw6/jXQVQvPmmUe5/pU3aat3HBXZx9z4Sniy1ldBx2SXg/mP8BWW51LSiRNHNANwJYcqSDkc9DzX&#10;oB6gVV1W5ay0a9ukVWeC3eRQwyCQpPPtxXo3sYWOMS5tZoDG9tHvIUCRAFIwxJ6dSQcfgKmFksgz&#10;a3Knj7knBqr4us00fWNNmibNvfy+U8AULsPHzKfx6HPSnalavpN55Am80DnJXH9aKVbmXNBkOMZK&#10;zV0NuNJS8ljtb+zQhiFDSLkDPfPaql98MLuwZrjSJ7i3PrbuXU/VeD/StO11GdUwGyv91uR+Va9p&#10;qlxDETbu0TAZwGyvT+6a3eIlLSaUvX/M51g4R1pNx9Nvueh53cNr9pH5WqadBqsC8bgvzj9Mg/QV&#10;mAeH7wNGjPp8veO4Tcmfx6fia9Q1+5kTV5kuFSV87A6grjAHOMn1qjrGi2ExkjuLaOfIGHcfMv0I&#10;pqnSqu0G0/PUUqtegnKolJLqtH9x5XqHhi7RPNtrWO4ixnzLWXP/AI6R/KuYmUoWUgqQcEHqK7rx&#10;VpEXhxoJNOnnjWcfMhfjoD+P45rh7ueS4uHlmdnkb7zMck1zVabpy5WddCrGtBVI7MjQEjjmnUxM&#10;7cg9K2bS4+0L5M0aSELkOygmsjZmTRWpdWsAwEj2E9wT/WqEsPljO7P4UBciopKO9AC7j61ag1K8&#10;t8CG5lQegY4/KqlLQBu23izVLc/60P8AVcH9MVdHii0ueL/SLWbPVvLXcfxwD+tcrS07sVju9L1f&#10;wxbys8dnLas4wRHK2P8Ax7d/Ougebw/rNukA1OSPDbvuj+a7j+leSg804Mc9aWnVDPYofD2l4HlS&#10;RXP/AG8YP5Eg/pST+GdOG7ztM2q+C3mBucdOteVQaneQf6u5kXHbdkflWxY+L9WtPuTcd8Ern8sU&#10;1y9gfM+p2x8NaKRg6fBj2WtXRvhf4f8AEETuklrAQQAgkOec8nB46Vy+meLbnUmMcsEZ7Etg5/EA&#10;H9aWeyilvftEct1b3DncGhmwoP0IJ/IirsmRqdufgNopw0esmNyMgbDx7HJ4/Guc8Q/CCbSLf7QL&#10;kTW2cb0+bHOORj1rL1fxD4k0GAR/2/d3CkZG48j8Tmuck+IGv3UX2e4v7iZN24K8nAI6E8c49Klx&#10;XUauPuPA0wJ8qdD9Rj/Gsu58JarB0iSQf7Lf416VAS9hayuQXliDscd8n/CgjdwaOVBzM8imsL22&#10;z51tKgHUlTj86rZPevX5YUfAYA1ENLsmJ320LH1KA0cocx5Luor0+TwvpU0jObVF56KCB+QNFHKw&#10;5kf/2VBLAwQUAAAACACHTuJAnWfUgYBsAAB7bAAAFQAAAGRycy9tZWRpYS9pbWFnZTIuanBlZwF7&#10;bIST/9j/4AAQSkZJRgABAQEA3ADcAAD/2wBDAAgGBgcGBQgHBwcJCQgKDBQNDAsLDBkSEw8UHRof&#10;Hh0aHBwgJC4nICIsIxwcKDcpLDAxNDQ0Hyc5PTgyPC4zNDL/2wBDAQkJCQwLDBgNDRgyIRwhMjIy&#10;MjIyMjIyMjIyMjIyMjIyMjIyMjIyMjIyMjIyMjIyMjIyMjIyMjIyMjIyMjIyMjL/wAARCAEtAn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t&#10;QgxnoB3prA5wp+Xvxyac9tvO7c6sOm1iB+XSm+TOv3ZQw/205/TFSWN2+lRyW8cnLxq3oSKl3yr9&#10;+DP+42f54o8+L+LcnrvUgD8elAFbyCv3JJF/Hd/PNLmdf+ebj3yv+NWlCyLuRlYeoOaDH7UAVfPx&#10;9+J19wNw/Tn9KVZIpDhXXd6Z5/KpzHUbQq4wyhh6GgAKU0pTfs4X7hZP908D8OlGLhekiuPR15P4&#10;j/CgAKUwpTJb0wtseFmfqFiYMfyODUXnvMRvkW1U9FYYc/nwPwz9aAG3KWwIMwTefu8Zb8Mc/lUA&#10;t7p/9RLLbx/9NCJCfwOcfn+FaMdpDExdUG9urnlj9TUhj9KAMqK1lt38x40uZe8pYh/wByB9AQKn&#10;+1xL/rVkhPfevA/EcfrVwoRTCntQBGrpIoaN1ZT0KnIpcc1G9pE7FzGA5/iXhvzHNN+zzJ/q52Ho&#10;HG4f4/rTESkUm2mbrlPvQrIB3jbBP4Hj9acLmL/loGiPfzFwB+PT9aAFCkHIyCOhomszc+bco7NN&#10;954z/F6sP6j8fXE6BXUMpDKehByKlQFHDISGByCOoNNMTRzzWRu28sDjufStGKG6t41jHlzKowMk&#10;q2B+eT+VaaQEnhQuTk4GKmFuo680PUErGfFJvba0MiN6MM/qMirkcDnttHvVlIwo4FSgUgI44QvJ&#10;5xWPaPJIzb5CVBwAB7VuPxE59FNYOn85+ppgakaAcgc0/FOjX5RSkc0xCAU1l4qXbSMtAFUjmmt0&#10;qdlqCTigBgqRVqrNd29pH5lxPHEnTLsBk4z/ACBqi3i3RY4rh0vFl+zxiVxGCflIyMHoeKFFvYGz&#10;dxTTXn8nxLe6vIF03TGa3ZtrtcuEYkkAbQCc12VpdPd28cxQpvGdp6iqlBx3EncuUhoApSKkZGah&#10;cVYIqNloAqstM21ZKUmykMgApQKk20mKYDMUhp+KQ0AMYNtO372OM+tedS+HfGurMRqmtG3j/uQH&#10;A+ny4H869GpppqVhWOEsvhlpcTB7uSW5fqd7cfpiuhtfDmlWK7YLKFR0OEHP1rZ7Uwihyb3GRqio&#10;uFUAe1LSkUlSAlFLRQA2kpTSUAFNNOpKAGmmmnmmmgBhppp5ppoAYaQ04000ANpKWkNACGm04000&#10;AFJQaTNIBaQ0ZppNAwJpKM00mi4C0lJmmlqVwF/Gim7hRRcD0feR96Fx78H+VHmRHq4U+jcfzq2A&#10;jcK6n6Ggw57UDKxiBFMMXtUxtEHITafVeP5U3yHX7srgeh5/nQBVe0jdtzRqW9cc037KQPllkX/g&#10;W7+eat/v17I35r/jTWm2KTJEygdWBBH+P6UAVSlwvQxv7EFf15/lSFnX78Le5XBH+P6VKb2JztiP&#10;Pq+VH4Z6/hTvs/mcyNuH90cL/wDXoAoveQKwQEmQ9FI2/wA6X7LPNzK+xf7kZ/mev5YrR8sAYwMe&#10;lRG1jH3V2f7hK/yoArpapCu2NAo9hQY+2Kn8qVfuyk+zqCP6H9aP3o+9Gje6nB/L/wCvQBRNlEPu&#10;ps/65krn8qPJmX7sxP8AvqCP0xV/K/xI6/UZ/lShEY4DKT6UCM7dOv3oQw/2G5P4H/Gl81B99WQ9&#10;9y8D8en61oGGk8qgCkojkGUZWHqpzTvJqy1lHIdzRqW/vEc/nT47ZI+hY/7zE/zoAqCHnHWpVtSf&#10;arYAHQAUtMCmNPgEm8ou/ruAwfzqZY1XoKlIoxQAwClxTgtOC0CGgU8CmNLFF/rJFX6moH1S3ThA&#10;zn2GBTAnn4tpj6Rt/KsTT1whP+0386vfb2uUkUKoQo3Tnsa4zxVqL2unw2MLFWuWO8jP3c4xxzyT&#10;+IUipbtqVCLk7I6mHxLozXH2ZdQgMoOMA8E+gPQ/nWmrhzxXntxodiNNis4o0/tBovNWQyn92FGR&#10;xnDE4HCjAB9OT0uhS3F7oEeyYRTFMLJgPt4yDjoeDSpz5tCqkFHY6FmVVLMQFAySegrDk8X6Ct6b&#10;NdRjknBAKxKzgE+4BH68Vytpc6nLba9eXmpS3S2a3EYikA8qQJuAygwOdvP1NcR4eurmbxJZkySA&#10;AvleigYc4xj1Hv09q7I0LqTb2MOY7XUvinBbXDw2+mPJiQqryzeWGUHG4cE+lYPijx1rKXctvaSx&#10;WsYCEbFDOMqSQScjqOwFc4bZf+Ejkt1BMf24oBnJZRIRzzkj1ODXQar4O1vVL2eWysMW8wj2OxXk&#10;BQCxzkjJzjHPrWjhCMkK7aK873mq+FbSa71IN5LtI63FxsDg7sHPUkDgAf3qpaX9nl8PaxP5KwN5&#10;QUFAwDDOBknOTyc/hXf2HgOeTQHs7wW0d2UKLcFfOKAk5xnBzjv69uK27DwdZW+jPpt0BNE+0Ejg&#10;4XGBn/gIqFUS+8djxLT9xv7MuEQb1RXEfzMcAgEn6jOPWvdtLTNjBsYOuwYYLgH8KlsfDum6cD5F&#10;spLZyX5zk5NaIRUUKoAUDAA7VnUmpu6Q0rEYXApCKkIphFZDIzTDUrCoyKAGEU0inmmmgCMimVIa&#10;aaBjKbTzTTQA0000+mkUANPSmGnnpTKQDaTFONJQAlJTjSUANpKU0lACUhpTSUAIaaacTTSaAG0h&#10;oJppagBDTTQWFNLUrgFIaaWPpSZNLmAUmm5owfWkI9zSuAFqbupdopMUXGNLU0kntT8UmKVwG80m&#10;PenYopXAZiggU6kNK4xtFFFFwPVmhRxyAR71GbcD7u5f91iKn8qEnhkJ9jQyKn8ZH45qwIQko6SE&#10;/wC8BTXZ0XLBCPXOKk/enheB6sKBCA25l3N65pgVGnkJGyBwD/Ew4/Ic0bY3IMrAkdAwx+hq9lR1&#10;BH4Uh2HuPxoAg2DtimG3TqFAPqvB/SpzAnZQD6jik8kjo7D9f50AVzCw+67D26/zo2yD+636f41Y&#10;2SDup/DFGHHWPP8AunP88UAVtzD70TfUYNJ5kX8R2/7w2/zq6sZYfdI+tL5A7mgCoEDDK8j2pTAW&#10;GCv51bCIn3VApCaBFT7KA2SxGOwPFO2KB0qVjTDQBGabTmpBQAmKUCuaufG2mQOUQSuwOASMA/Q9&#10;6pS+NVc8PHEP1oA7I4UZJAHqarSX1tH/AMtNx9F5rhbjxXETkmSc9sHA/Xp+VZc/ie9bIgCwj1xu&#10;b9eP0ppNibR6JJqx/wCWcQA9WNYmoeKLe2yJ9QjUj+BDk/kvNcHc3V1cjfc3Lle3mPgfhniqMsPn&#10;njfIx7qCc/j0/Wq5e7FzHVy+N9OVsIlzKSfvKgAHvyazLzxjdvlbWJIl4IZvmb/AflWRHpE7kbY8&#10;HBPzHJ49h/jV2Pw7cMNzl8Btp2rjDHOAe4JwR+XrRaK3FeTNPwde3t/4jBubmWULBJgFvlHGOnTv&#10;UvixDFrC3DuFeCOJoR/eOXP6ZB/P2FbPg7w7/Z+pXlwwUPChgfIySxYdD3GAD+NXvEmhz30dpqNr&#10;B58kUYV0CgnHUMoIPIyex7cdazqe9HQ3w8uSacjm/EWs6fqR0g6an723USSsEIKgbRs9+mPTpXVa&#10;HbXcPh6NLFYVnAATz8lQBgc457GuZ0zw9qd/qHmTxTDJG5pYynA6ZBAP5+2Pb0y1s0tbdIl6IoAo&#10;pJrVlYiUdIx6HH6f4KvIrS/t7vVi0d8sglSKEKAXJJIzk9z3q3ZeBNGsnSVYSZ0JIkU7c5Pcd+OK&#10;6oimmt3Uk+pzWKMWlWFu7PDZwRs5yxVAMn1NWtoAwAMU6jFSMb2ppp56U2gBpppp5phoAaaYaeaa&#10;aQEbCmHpUh6UwigCM0008000AMNMNSGo2oGMpDTjSUANNNNPNMJoAa3SmU5mFM3Z6c0gENFGG/um&#10;k2v6CldAFNJpSjdzTSnvS5kAhNN3U4qKTA9KXOA3dTSx9KdSGp5wGEtTDn1qTFIVNF2BER70mKl2&#10;GkKUajIsUhFSFaTbRZgREUmKlKUbadmIj2mk21LSYquUCPbSbRT8UmKLDIyvem4NSkU01DQEZFNN&#10;PNJipAYaqabk6fExOdwLfmc1bc7UJ9BmqunLjTbYf9Ml/lQV0LBFFLiikI9VYNIMMNo+maRI4E6E&#10;A+5wasEP2wfwphRz1QfnWow28fK5x9c007x3B/Cgxd9lKIj6t+tFwE3N3X8jSbx3Vh+GanFu+Pvf&#10;nT1iVepyfagCqAjHAGD9MGni3Y9GYfU1YJAHAxTd1AEYjC8Fi1LwO1BPNIaBATSGikNMBpphp5pp&#10;piIzTDUhphoAjNN7U401+EY+goA8N8TRLFpzlCRtcBfz/wAK5/SLtJJPJRJXfOMgDA+pJrpPFI/4&#10;lv1kH9axvBKEamsmzcBLnb6ntVbIjdnRW+mzuMtGsYHXcS3t2xitKDQnd1Us4LOI+oTDdcHHPTmt&#10;h1EUfkmQYTdA21SMqp3A57ZJxQ0bTEqVzK+eWbGJAQWPtxgfhUczK5UZ0OkW/liQBAXiaRcDLEjI&#10;A98n+RqwLCEqy28bvK6qYT0G/wCUv+Q9fU1aMoHzxKi8rcoqjOecKv8AM/jTSSFZUmlkZD+6bpkM&#10;CZCPXv8ApSbY7IUqjLKIooooJlE8W7+FI88Y9zg/iaWSUTM5eV/3y/aAsY6TnOxAfYY4PcU3gZZY&#10;B5cbfaF3H/liM4Uemcnip3imjVwXG6IfbhtHWQ/w/Tr+YpFGhoKFru4nVXCi32Tlj96feC3HtnGa&#10;6m04gT/dFcpookt7y8gLsU+zpK2e8jHLH9B+ZrrLfhAParjsS9yYmkJpDRVEjDTSKcaQ0ANoxS4o&#10;xTAaRTDUhphoAbTSKeaYTQA000040w0gGmmGpDTQuTQMiIpjcVcMSjrSeXGP4QfrzUc6AoO4FRGQ&#10;HvWP4vvIbS/07fMkOd2CzBc57fpV635xTUrgX1gkcZAwD6ml+yv3ZR9OatJwij2oJqeZiKhtgOrk&#10;/TikMEY7E/jU7VGaTbGRGNB0UflTTUhqM1IEZppFPNNNAEZFMNSGmEUgGGmmnmkK8UAZl5q9rZXA&#10;glE7SlA4WKB5CRnH8IPpWY/i+ykhhNjbXN5NOrNFEibSQrbSST05qdLS9h8S6lfrBvia3iSHLgb2&#10;G7I9uorG0nwXIjWR1MxOlvbsnlox5dnLHPTgDAraMYJai1C9+IEVvBE8WmyF3meJkllClSpUHGM5&#10;+9+lU38banc2d1Ja2kSg3EUFuwO7BYZ+bPB/+v7V0F94O068lsigNtDaksIYkAD5ZW5/FRUUPhKy&#10;giMJnck3a3ZCKqAEdFwBwKu9NK4tSn4Z1LXNR1C8kvZIhaxTSReXkblYEYAwvOBxnNdX1rItbPSr&#10;TU3uoZwJrlj8gmyjNgEkLnGcAf5NXRqloYjIHcxhPM3iJtpGM8HGD9KhyUndDLeKSslvEdmrMCk2&#10;0BiH2jB2gkgc9eDU2naumpSOscLoFRXLMynr0GAc0BzIvEUlONJTGNxSU6koAbSU40lIYw0wipTU&#10;Z61EgGUhFPxSYqAK122y0mb0jY/pSWq7bSFfRFH6UagjPp9wqKSxjYAAck4qZV2oB6Cgr7I3FFOx&#10;RSEev7Sf4RS7G9MfjVg9cd+uKg3bicdq0QwCgdeaf24GKaoyagv9TtdMRWufMO7ONi5piZYwTR5Z&#10;JrCj8Y6XcStFDMqupwVcHP8AhS3erMIWkxI6AE+gP0zjNDaCzNhyinBdc+meaYRiuD8PeM38TakL&#10;exszEscoV/NYbsdzgZ/nXfyDBoTG0QnrSU49aQigQ3FIacabTAQ0w0802gBhphp5pjUxEZqG6bZZ&#10;zP8A3UJ/SpjVfUTt0u6PpC/8jQB4n4rYixiX1l/oao+Bo914pIXaXI+bpk8c/nVvxaf3MC/7TH9P&#10;/r1J8PIxLcRKYmfktgDr8wqn8JK3O8coVAEoO0OuE/6Zfd/MkmnGBMPyxP7vHPd/vfmKlFm5j3JC&#10;nEczknHQnBOKebe4WQqxRT5kKnCH046+1ZFjIokW6QrGnFxIR+AxUcSsLeEZxttZenuf/rVPHbFp&#10;Ii8rndJKeMDGB/WolsYvKBYE4tGk5Y9c8UCIXaNEZWkUE2SqBnqc9KbPdKy3ARXfNsq5Cnj6+1Tv&#10;FDEkwXZk2yAAY5J6/jSXUseLzblsxIikKcfj6U7Bct6U7PJeO0bIwgiHzdTw3+FdXD92ub087pb/&#10;ACjJjyVwwwfuvWs2oCJ3iVVZlKD73XLAH8s1cdhPc0qQ1k2eqyXcuPLCoyK6euD6/lVO81WUO/lT&#10;KUEb/dUgghWPce1OwjoCRTGlRPvMB9TXNT3d5JPPGsrSKIBgRRE85wTjPU549h3qkfMd5ZmkkG2Z&#10;8JISAeFBJBK4yTnBYdeKdh2OsN5BuIDhiBnC8+3aq8ur2sUKSmTdG5ADLzjnGT6DPGfeuZngD7ne&#10;LMcUj+XuGMv5jYOWB6ZHOOMn1ppWVtPLvFJHttVHmjau7JB2cKGxz0zQFjoLrXraCVohvaQZG3Yw&#10;y2CQAcYJOD3qrPrskccz+UqhM9T/AL+M/wDfHSqF4jS7I7K3LT27KxBZmVQBjg4wWHHHf1zTrrT7&#10;m5F1HHBIquN6scc5Zyf/AEP9KAsSah4gmtYJ5RGNsajbtJbO44UkbcD6bu/0rTtJppYY2l4kKgsB&#10;2PesjUNFm1GFI9jKVUj5kHPIPUliOlbtvbtHEm/G7AyB60ASjpSU4jApKQhppUHzUGnR9aBnJ/EF&#10;9XGjxjSzOEMgFwYCobaSAOTz1Pb+VU5F1iCTQLa5uL1pjt+0eUSVY7wSCQMHpznHGeucVB8TX1PO&#10;mR6aLlmPmsyQ5IbBjwGHQ8FsVN4fN3aXWg2M8l8HOniWWF1/dq2McnIIbrwcj8aaVqafqLqc98WC&#10;X1zQoPXB/NsV3dqMBa4P4k/vfHegRenl/wDoyu+tRytSvhQdTWB4FITRSE1kAw0w080w0DIzTDTz&#10;TDSAYaaacaSgBuKoanfpplss7ozhpFjAHqa0CBVa7s4byLyp0EiZztJPX/Jp2B+Rz03iggQiO2G6&#10;VWYZJ4I6g5AOen6/jDL4hu/tgRY4lty6fOyNwrAHk5wDg+nGR1roxp9qqsPs8RBO4gqDz1zTxHGv&#10;8CjnPT2x/KixFpdzk4tU1e5FwsZz8pEbxxjg5Yjjk5IUjp6d6bENYuraQb7lHdAqM24Asc88EbcY&#10;/lwSa6/p0FN4NOw+XzOWnsNQnjgBS4JVf3gMuNpzyVy5y3XGeMHn0praJenUpLpI4EBztLkbgcEK&#10;eAfYn3zjiurxxTcCiwciOcTQpUuS4lj8oEbUYFsKpyAQev6AfgKS18NpbSqxnRlXaOIQrEKVIyf+&#10;A/jk10RWoyMVLTQ+RGMPDtmszyb5juVlwXz945PXr6VbsNLt7Bg8e8yBPLLM3UZzz2q5QDTi9Q5U&#10;OIpKAaK1GIaaaWkNIYhpKUmmk0mwEam0tJWbASkpaKQxtJinUhoAYRRTiKKQHpF9aXlm63NuvniH&#10;5hJLKcgEgFSTk45yKu6bMLqzE4BG5jwfY4/pVu5Xz7KS3HBcY3Z6VV060NjYRwM2SMkn6kn+ta2G&#10;W0HNYviRQwiB/umtpOtYniI/vIx/sf1piPMtAtll8WannO3zsDBxXrTWsUPh6RkiUEwNltvJ4Pev&#10;LvDI3eINTcf8/JH616xdF18NyKYJOLdvmGMdD75pWBs8z+FMIGr6iwH/AC1kP6V6dL1rzn4VLi81&#10;B8fxyn9cV6LK3NKOw2RmkprOB1qNrhFHLAUxEpptQfaA/wBwM/8Augn+VL/pDD5bd/8AgWF/nVJN&#10;ibSJScU0nimeRdN1Eaf7zf4UfZJDy04HsE/rmq5JEOpFdQJGaY1Zmv3Eulx2jQuWaacRtvAxjB6V&#10;oRMWiUnqRSaa3HGSlqgqnqxxo92f+mTD9KvHFZuutt0W5P8AsgfqKRR4n4vbDW6/7Ln+VbHwxRjL&#10;GVjJKjPbn5s1i+MeZoMAkhG4H4V0/wAMybG3eS6t5o9qLsLxsN3XOOPpVS+Elbnb7ZhbNtRMG2bO&#10;T2L/AM6sNHcPdfMyKTdxg7V7qvB5P6Uw6jbeWUWN2HlhD8uOM574qGTWjvLJCwbf5nzYHzYx71HK&#10;yroetrvhgZpZOUuHwABjGf50x9PiEDtjJWxR+T/ET1qhLrEwAVYlVVBA/eE8HqOg61nzardNn/VD&#10;t90k/qarlZPMjdu7WCMXiKU+7CqgY59aZeGFmvwsqkSPGFIH3gOpFcw+oXbHAmIz6KP8KoSXV0x5&#10;uJfwcinyBznoNq6SXF7MhDI8sWOvOFIp66bMJG8soseIwBkkna2TkkmsTwnvbT5yzMxM4GWOeg/+&#10;vXUfbUiJTYxKuEPTGSM5+gHWi1tAvchsdLa2nd2cFQqog9Ao6n3NH9jAXPmCYhAOE2juCDk/571Y&#10;t70XDMApG1ynPscVW/tWQzW0YRAZkLAEMCSPTj+nvTAT+wbcoUkPmIQBtkRWHByOoqX+x7XYysHb&#10;c24/MRzx2HHYflWWfEhDXJOzy4sKNodnDncQpG0Y4Xv07mlk1eYCUyOVSOV1ZgDwAcDp/PI6ge9A&#10;zXXTLNFZfIQhiScjOc1N5MOcmNMj2rk5NXnbSlna74aFm3R4yTnHG5SDyPXOMmi6e5W0uN0zs4Ic&#10;ODwpAUBc7Sv8RzlgeKLAdYzxK+NyhjzjuahN5bEZE0ZHHIYdzgfrxXMXhf7Tama8/cXMxRlE+Q3C&#10;YCjPB3A9OnPaq908iWoZcxyb9vH8JDxN/WgLHWz3cNupaVtigZLMMAc469KBMrdK4nWbdYpo4YY0&#10;jjlljkcRIEwmSCp2oMjIByW69q663XCgelDEWc5pKWkpAIadH1ppp8dJjOE8cyvHfw+VeFHNtIpg&#10;8uWRXQ8OXCAkKByG9R9as2VvEPF2nsb7z5otLCYEp+Ybh85XbznPXd+FZvxCu47fVtOhFrPK9whj&#10;kMdy8QdNwAQ7eoyx646+9blveRReK0tGjsY2ezAQqB5pxg7c5zgZJxj0PPOG/gXoxdTifG/774oa&#10;PH/d2fzzXoVqOVrzzxH+++MdknZFU/8AkPNei2o+ZaS+FD6mgaaTSmmk1iAhppBp4pDVqIERB9KY&#10;QalJppp8oEJBpCpqQ00mjlAYQaYTUN1qVlZ8XN3BCfSSQA/kaqf8JBo5/wCYnaf9/RRoilCT2RoZ&#10;qM8npVH+39I/6Cdp/wB/l/xpDr2k/wDQTs/+/wCv+NGg+SXYvUwiqZ1zSv8AoJWf/f8AX/GmnW9L&#10;PTUbT/v+v+NLQOSXYut0pmaptrGmdf7Qtf8Av8v+NZ9x4s0uFvLike5k7LAm7P0PSpckNU5y2Ru9&#10;qQ4Nc5/a+vX3FlpK26H/AJaXTY/8d4P86adD1W951HWZAD1jthtH58Z/EUcxXsrfE0vx/I1rzUrG&#10;x/4+LuKM/wB0tz+XWseTxdaFyLS1urvHVo4+B/X9KtW3hjSbXkWolb+9Kd36dP0rUSNI1Coqqo6B&#10;RgVGo70l0b/AxoPF+lSnbI0tu3pLGf6ZrUt9Qs7v/j3uoZT6I4J/KnTWttdLtuIIpR6Ogb+dZVz4&#10;T0i4yRA0TesbkfocitFJi/dPuvxNosBTC1c5/wAI7f2v/HjrM6gdEl5H+H6Unm+J7P78NteKOpU4&#10;P9P5VLmx+yT+GS/I6I0lc9/wlBtzi/025tz6gZH64qb/AISzSsA+c+fTyzS5kJ0KnY3cCg4Fc+fF&#10;+mDoZm+if/Xpv/CX2J+7BdN9EH+NHMg9hU7HQGkxWB/wlcbfcsLtv+Aij/hJJ2+5o9234H/CldD9&#10;hU7G8aTFYX9vag33dDuPxLf/ABNJ/a+ssPl0Vh/vMf8ACi6D2E/6aN3FFYP9o68eRpSD6n/69FK6&#10;D2Mu6+9HvrGmF61hptuPvbm+rf4VItlbL/yxQ/7wz/OuixjcxUkUNjIzWTrdlfXl0n2a1lkXyx8w&#10;XjOT3rY8SIFisgihf3+eBjsa0kgknsYlExjBRTlQcjj607C5jzLw/wCB9etL27nntkiEs5dd0qnj&#10;8Ca9IaynbSvsrTBWMRQ/IGAJGK0qCcUJWE7s4fwz4IHhwXLG/aZ5i3SHaBuOfU07WJpLDU9Pgidm&#10;Sffv347YxjH1rsXcHGAetcn4nAOraZxyBIf5U7JLYNb7krPbpDBvhWR5Fdslj2OAMe/P5Utmzy3M&#10;y/YlhjTbscR7dxOc9u3FXrR3TS42EYIAPLN1+Y9qa8l4ZkjjjhKsu7exIxz6Cqi9NCZK+4/ymJ+Z&#10;qcIU75NRvFc+U5EoV9p2kAEA9sjHT8aLSNpbZJLhy7sAfkygHHsaJOXUFGJMEQdEFOwijLBQPU1V&#10;ubVXkh2zTIGLIyhsggj3z0x+tW3WztIXuJVihjjG5nIAAFRdlaHNeMFhngsNhRttxnIOccGsbVfH&#10;HhXw8BBqFzI1yvDxQsHwf+A9M9a82+J3j3+29Tez01jFZxn5pFbmU9M15a6s543H3otcpO3Q9uHx&#10;s0QXTIdJuDBu4cNk4+hNS3fxB0LVbC6WO+VXlK7IzGUwAw+vOOp714MyMOoIpUkKdRmjlQOT2O68&#10;U3CC8ikzuQRBsrz1JrqtB8VW99bJFa2VyzRoAS+xR/6FXk6XgeMxv0IwPau+8BQjbIcelV0I6naN&#10;eXzLlbOEA/3rg/0Sqzzak/Q2sf1DP/UVpFPlqB05oQGPdHUlgLm6hHzonyQY+84Hdj2JqKWzuCed&#10;QnP0VB/7LWhq37uwhx1a5jH5ZP8ASmNzGG9aoRkPY8/PcXLH/rsw/lioG062P3kZ/wDfct/M12H9&#10;gwNKyPegAEjO0f41leIbO00fSLi7iuvMkiKBQWXacsq/XvQmDTRt+D4IrbRHWGNYwbp/uADnanNa&#10;6afN5jARDy1lhKktkkKuD/T9ay/Cp36HEwwd9w54/wB1P8K6Q30ECMZH2qjFGYjgEDJqWUhtjaTQ&#10;hywAYuzDn3NZ0OkXcdzazBUU28ZQHcCWJABbpx0PHqc+udSPUoHWRi+xYywdn4C46k+1Rf2zAM71&#10;ePapYhscc4x1oGUbbQriIXTNIuZ49gReFUjIyMAdj0qdtHuDBcxpcqhmlZ/uAgZYE9evpTo9fik8&#10;0iKRhGSGMZDA429MHp836Go5PEKru2xoSsZkKmZQcDPb8B+Z9OQB/wDYKrEsazMB5XlE5OMey52j&#10;r6UsmgQyszPK5ymw8DpkH09QKibxCBI0Ih3Tj5vLVx93cBz78njHanNrE0bwebEirJLJHndnOMbS&#10;PrmgNSRtDtmeRpWkkLkH5mPy45GPTHtTho9mrOwQgsQ2Qx4I6Y9O35CsttfuJZWijiVX2GTIYMqo&#10;NwLZ78gHHpT21e5FxbwjYWlLL04zlwPw+UH86A1NNtNtmz5ilwezMTVjAHSuXm1u9F5ZwBSGuJG3&#10;ZjKBVXGRhue+e1b0Tsw5NICyabRmigBDTk6H6U2nL0P0pPYDz7x1e28et2NvNp9jOdiyiSaMNIp8&#10;zaoA3KWXJzjnvxWvZ6hdT+ML2w823e2tYkIiCkNGWQYI+Xud38R4x05rmvGWqynxbFpnkQyRHyAd&#10;5lJJZuMKrhcjGeldTpchk8TawdlwoQRIDIm1T8v8JB5H1GeeuMAOStTV10/yEtzh7/8AffGbPXZH&#10;/JCK9GtRyK84h/ffGG/b/nnG/wCmB/WvSbTrSfwofUtUhpaaTWIC01jgZPSk3Go5cOjKRkEYI9at&#10;SVgM678SaPZ583UIcjtGd5/Jc1QPih7j/kHaRfXXo7J5aH/gRzVOOeCxdFtNJtkfbnKYLZwCBngn&#10;PQd+M4PStzTrqS6tRLIAGJ7Dj8OTn61PM2bXpLZX9f8Agf5mYX8U3nSOxsEP94mRx+WRTD4burr/&#10;AJCOt3s4PVIiIlP1AyK6ENmlNUoph7Zr4Ul8jEt/C2i2w+Wwjc9zKS+fwPFTHQtI/wCgXZ/9+F/w&#10;rSNMNVyrsS6s3u2Zp0HSD/zDLT/vyv8AhTToGkf9A21/CMVpmmmjlXYPaT7syJPD2k/9A+D8FqE+&#10;HdI/58IfyNad/bm7sLi3U4aSMqp3EYOOORWJdeH5ria4fzVUSvkcgkD5+fu8kbuPTHBFQ4IPaz7s&#10;l/4RzRjnFjEcHsT/AI1dgj07Th5UQtrchdxUbVO31Pt71FpumtYCXe4YyMCAOgAGPQZP159z1pl3&#10;pMl1deb50aqrI6Dy+jKQcnnn0+h4xSjGzFKcpLVlp7+zwf8ASoM7Q/8ArAflPQ/TkfnT0Kyxq6MG&#10;RhlWByCPWsxdBZG3C6GRIJhmPjf8uT16fL09+tadtALa1igViwjULk98d6txIAim1KwzUZrNqwxt&#10;FFJQAlJS0UgMq71U21y0Jtt44Aw/OTgDIxwpJxnr14qoNRiEjj+z4F8p1SY7hwWcoNvy88jPOK1T&#10;p1qzysYyfNOXBdiCfXGcdhSjTrNWRhbx7kGASuT3/wAT+Zo0C7K+nXLXEk8UsEcbxbfuA4OR7gZH&#10;XnvV/ApsFtBaoVghjiU8kIoGakoGJilxQKcOlNAG0YppWn4JNKRxTsBFiinFaKVgPa5ZJvPEavgE&#10;jkDtVgRkooZ2JHUg4zUTITdqe2M1OT8wFbGaMLxDAv8AojgtkS9NxI+6f8a2LfcLKLGNwjGM/Ssv&#10;xCf+PQerk/pWvEP9HQf7I/lQNCHzSmVKBscAjNVjHeum7zYwTztCf1NXGOEJ9BQvCj6UAY8X28R7&#10;55BjjJRAOwz1z3zXPa6znX7RTIXXymZQew4H9DXbRANAuRkEVxniFVHiqEKAAtt0H+9SY1ubMEhG&#10;nRR4wNufr3pLZgJt0hAGDjJ+lKqkWVv3zGv8qFijklCyMVAXPFNXuSyw80PluVkU4UnGcUy2G23j&#10;HooqK5tbdbaZ1lOVRjg/SrMY+RcDtTld7iiRznE1uPcn9P8A69TzWkF9AYLiNZI2HKnoaguB/pls&#10;P9lz/wCg1Lc3ttpllJeXcnlwRAFmwTjJwOnvUWKPnvx7oOk22pXRtbV42W5MOGACnaoJIUdByPyr&#10;ipII4xtAA9q774qOZPGUtxH5hidEZRuXbzgcYJBOa4RfnkJ2qT3zSZ0wtymRfW5K5QdKyyK6m9tG&#10;imxG42lVbBHTI5rEmspDPgAcnrVRkZ1I63RQr0/4d3MCWjLLKquTgA964NNNR0b5zvBx7Zr0j4e2&#10;yf2E77fmIPPp1qk7kSi47nZPNCkIlLgxswUMvIJJwKhM1rhmabCgZJKNgfpUUKgaXpf91pbc4+pU&#10;1JqUSLpF1hFB8ogHHtTJKWvxmKK1ib7y3ZX64V/8KjyFjjRoi4ILnnAwCo5/76HSrviVc3diMctd&#10;SsfwVv8A4qolT9/yoZVtXyD7yRf4UxDEMKS7vIiKHoA2cfmw/wAiuZ8bzGTwzOghWILJHyowW5HB&#10;5OR0P1+ldIilby3VUTEs8cRDAsAGYL3PvWfd2kesy2tndAfZ3kZyqIqk7UZh29QKLDubng3d/wAI&#10;dYjDo7K+CpGQcYBH5VqzWsshmzGCizuUEjEhxtOM46DJNM0aIJpVgiLgYbAH++w/pW5HcQ4jHmKS&#10;5KrjnJHWkCMrS7S6GnXG9ybmUSEvkqN5B5BxkDpzioDDdF5HXcjtGAWVT/e5P/jvT3+prfW7gZC4&#10;kBUHGfxxSfbrYZzJgAAlmBAwRkHJ7cGgZz8Md0AzmNd0plUuI25LKu3/AICCD7/L7002U7acsCpK&#10;ZBFhmK/KQS5wBnrkjP074rojqNoqsxmTapIJz7Z/kM0S6jZwoXluERQAcscZHt6/hQFzBuLO7Mfl&#10;RxXCq8iyFScoEyCVxnhs85x7e9Nj0eU3Vq5tSEimnchyrH5gMH06iujW6ifpuAyAGZSAc9ME9etR&#10;HU7NQCZhg4wcHnIJBHsQDz7UguYDaff3N2lw0KQxlHhkiCqC6kHDFgAercjp3GKBpt68sErwKDHI&#10;52+YDwckdVPqe1bL6tZh41Mq5kQugDAlgMk9PoaiOsWXmLH5o3MAVHqCQM/qKAMo6JPLq0d8yFGV&#10;skFkIAIxxtUH8ya3ki2DrVcapZtgrcIVZdwcH5SuM5DdMc9aY2s2ao7iVXVd2ChDBsLuOMe1AF7F&#10;JVU6nbhwhbDEkDI9M5/9Bb8qjOr2WGZZ42RcZdHDAZ+hoAumnr9xj7VXW4V+lThsxtUy2A8q8U6y&#10;8XxAW0TT7CTElvCZZIQ0mH25+uM4z2yK6fw6YbjXdZuREFmEojJaFFZcEgjcpJPQcH0B71zer65N&#10;H8SDpalTC91bll+zx8navJYgkkfgRgYxiuo8NyCfUNamWcSJ9saPaCx2kdeoHr2z9auorQWnRCW5&#10;xWjHzfiprkn93ePzZa9Ktf6V5n4TPm+O9fm9/wCZ/wDrV6ba9DUy2XoNFgmmGlNU9RuPs1o0plWL&#10;DKN7DIGWArEZYJphNYFjqdyJVe7voZISDhYo23MflH93nk9vWtm5Mxt3+zGMTfw+Znb+OKGCJDVe&#10;6uPs0BkCFzkKFBAySQB19zVAprp6zWI+itTDDrbf8vdqPpGajn8jT2a/mRVPigEnyrXedu5cybcj&#10;OO469eO5HGetWr7W2tn8uO3DuF3MrPgjnAOAD1/Om/Zdax/yEYR9IRQLPWW6asg+lutVGp5B7Nfz&#10;L8f8h0GrzyCSSS02xIkkmVYkkKFOOmM/MR14IIqKDWbiaeONrIqrSbWf5iApBII47/L+vTjLzYaw&#10;eusj8LZaYdN1U9dZb/vwtXzvsw9nH+Zfj/kRtrd2yZi0qViULAEsv4H5PTP4jHvVabVtWN6I0sHS&#10;IqcsI2bB5xzgenp35q2dK1E9dZl/CP8A+vTTpF6eusXH4D/69HO/5X+Aezj/ADL8f8ixpM99PaM9&#10;/EsUvmMFULj5c8fpV3NZB0W676xd/gf/AK9NOh3B66xffg5/xo55fy/kHJD+b8zYIzSZrH/sKXvq&#10;+of9/TUX9jxFnU6xeFo+XHn8r9fSjml/KHLD+b8DcJphbHWsI6VaYydVuDk45nHJp/8Awj8B63V2&#10;f+2n/wBapc5dg5YfzfgbOc8CmsMVj/8ACPW/ee5P/A//AK1J/wAI7af89Jz/AMD/APrVDm+w+Wn/&#10;ADfgaxIpCwrEm8J6dcMGk88kDH36hPgvSO6TH/tpTT8jGXMn7uqN8yIOrD86YZ4R1lQf8CFYf/CG&#10;aOP+WUn/AH8NKPB+jj/lg/8A39ai5N59l9//AADZN1bjrPEP+Bimm9tB1uYf+/grHXwtobFgsO4o&#10;cMBMxx9eabHoHh2QExrG4VdxK3BOB69elAXn2X9fI2f7Qsh1vLcf9tV/xpp1PTx1vrYf9tV/xrLX&#10;Q/DxVGCQkOcKfPJyfbmlOjeHEdkZbcMoywMxyB78+xoD955Gl/a2mjrqFr/3+X/Gk/tnTB/zELX/&#10;AL+r/jVKDRNBnJEMMEhXkhZCcfrVlfDmlf8APlH+tNC/eeRJ/bml/wDQQt/wcUh17SR/y/w/nSDw&#10;9pY/5cYfyp40DSh/y4Qf98VWvYP3nkRnxDpIP/H/ABfr/hRUv9iaUP8Alwt/+/Yop3YfvPI94a5j&#10;DhsNwppi3sbSk/MABzkVYaKLoUXniofscXnN8nysvY960KMfXbiOWezCNnhz0+lbZuIVhI8xcgYr&#10;C1uJF1K0RRjEb9/UrWxNZxmNjubOPagCaS4iMLkSIflPeniRCOHU/jVWayRYHwx4HcVHJpqrGzCT&#10;gAnkUAXLY5toj6qK4rW23+LJP9m3Ufqa62K2dYU2sBwOmRXGakT/AMJVfZOdkaL+maTGlqdC3yw2&#10;49I1B/KhCGnbj+EfzNFx8oAPRcComLeYSmeg6fjWltjN7C3YURS4HWJq0gD8oUdqxSZXSRpOhIT8&#10;yBXSpGAmR1PrSluOOxmXP/ISgX0iY/qKmubSPUNPms5SQkyFSR1HuPcUyZP+JwBn7sA/Vj/hVuBT&#10;u61BZ4j8WpXs/EhVmMszWiBCE7fxH26frXliSHzc7SFPUHtXtHxZsGvb2WSAN9oW38sEDOBnd0/4&#10;Dj8a8UWORfvkn6jFJnRT+EkcktmmEAcmguBTS+7gVBo2Vbxvs1uxBy8hx9K9H8BXFuNHMJlSORk+&#10;UOcdq85vYvMgPqK6bw14xt9Fs4bZ7JblgAPkkAb+VaQ2Oeq9T0XYINP0pJcLskhDFjjBVc/+y1Ne&#10;eVcWpgjmhZpGVcCRST8w96ytA8babr7m3MLWs27CJKQQ/wBD0z7V0DxIf4QPwqzIydbO+/07381/&#10;/Qf8aRzHFKRI6p5luVG5gM4dT39s07VF/wCJvYL2EMpx/wACjqy6IyDcoOPUVRJRQo11ZmORGZbq&#10;F8BgTgOCf5VSSRLbUrOR2Cqqy9e58sgD9a0JIlDZUAEelUp0BOGUH04oC50mmH/iW2IWTY3l/KwG&#10;cZkOf0JptqWdbXJnjYSSqjeXnGWUZxnjjd/OpLFMQ2Sgf8sRwPfn+ta8RRlBUqRjIxUloytNMn2B&#10;yGktyC2HZQD970ORzVOO5jkd5mPOyPd8+SThywwCOctjr3FdIux0IXaVPp0qMC12KR5W3PBGMZpA&#10;crHtUOZEjkkD3MqEs+NmwjLDec5OF6464p16yPZmMhN8dtGFZ1DsD+7G4Z6cOfyrqhDb/d2J0PAH&#10;Y04wRHkovTHTt/k0Bc5l4bW2uUvHt9r/AGqMeZ5ZBY98ZYgjgdMYpMzmEFFmDxoMu0ZT7qnn7xz/&#10;AD9Sa6h4Y5Nu5QdpyPY04KAeKLgcdLGsmoRqkxYxtPECIo1IC4HBA5GWP68VSazW1ukmKSyfu+Wk&#10;27uSgAyMABcj8Aa7G5soVwyRRlyG4boeAOv/ANY1jb4tzRyaWsb9GVm7HP4EVEqsU7MtRbVzLM6X&#10;V7ZELN8hnUqi5JK4wRzjHOQeR0qMRwRXssEDrIXswkEqoBGrKgTKtk87h25HFWnZLdWWbTYpQcqv&#10;ljGEPYjBzipft1rbRDbpsfyBmA8znpz27gYpe2iHKyKV/P1G0eI70Ny5G3JyNzN2z/fqtrEb/aYb&#10;cmZo/PSViwfA3DkfcC4HbnPXIrTimtmVAumxKobcvz9Cev8ADT28gDP2JABznzen6VPt4dx8kuxo&#10;W64UCr68RmuEm+IVrYTNDcW5lk3naYCAAueOvXitzw/4qt9feaGK2lhaNQ3zkcg/Sqck1oTytHFv&#10;q2pTfEpbIuPsovmGwwp2BAOduc4U85rsfDqXEcmoGe2nhV7oyJ5qBQwIHT5ifzx1rnbS51KX4lTQ&#10;/a7wWAdmCTMNvAPygY9SSB12gGtTwm6vo13fKpHnSO2TkE446YAA47VrW+HTsiI7nH+Acya7rkx7&#10;yKP1avT7b7przL4dDNxrEnrcY/U16bbfcNTPYESmqWpOiWUhkt/PTgGPAOQTirprM1hEltAjXZtc&#10;tw46ng8e/GfyrAopWTWl83lvpQj+UtmSLI4xxkj36e35OfR5ftd/cLfy/wClKqrG3KxYx05/w61V&#10;hsFu2Jt9Zlk2nJKsT1wPXp8p/OtqGMxQRxli5RQu49Tgdad7O5LinuZTaPcFcLfsvC5wp5wMetax&#10;pSaaTTlJy3CMVHYDUNxdwWUDT3MqxRL1ZjgCpCarX1lb6jatbXUfmRNjK5I6HPUc1Kdhu9tBz6lZ&#10;KATcxY2hs7ux5B+lOhu4bkssT7ioBIwRwen8j+Vc1qsmyee3XSRLHbwoIj8+COABwMcbj09KsaFf&#10;vJdm0WwMEPlCQtz1woA5/wA8VsncDoTTTSk000xla5vrW0eJLieOJpm2xhmwWPtVVtd0xZZI/taF&#10;422MoBODzx09j+VPv9IstSnt5rqLe9u25DuI9Ovr0FVZPDmnSNIxjfMhJYhsZOCM/kTQTrc1EkWW&#10;JZEbKOAyn1BrCbQ7awm1O/jlnMt0jhu+zPJwOO/vW2irDEka/dRQoz14qOVVlUq6hlPUGokx2T3O&#10;IK2FyLVvMk2mXcgNuu0cDI+904GQOea6fTdYttUMgt1lHlgbt646546+1SDS7FeltGOQenWpYLS3&#10;tSTBCkeVCnaMcDoP1qG0wJ6KSipGJSGq2otdJp87WShrkL+7B9ayYLnWV0+1+0R/6WzncPLyNoP8&#10;RHCkj+nTBpi5tbG9SdqwFv8AVgQXhcptzlbcknhs8Z4IIUAd8/jWzaPK9pE0+PNK5bAI5+hoGZem&#10;eHY9MkupEuJHaZSoLD7o/qabF4bRIjE1wGQ4BHlDJA7Hn2HHStylouSoqKsjGPhqzkSJZGdtmQcE&#10;jIO7jg8cuakfRFklnkM5BmVkKhBhQRjK+h4HJz0rVrD1TU9TtdWt7e1svNhfGW2k5555HAx707hK&#10;Sirsu6bpEOmSzNC7FZAoww6Yz379a1AOKydS1KSznijiEcjlSxjPDMB6HP6ck/rVSLXbgyIpjjdd&#10;wAaME+aCVB2D/Zyc9elNFHRUhrHXWGfTJ7uVRbMkpjRZUOT0wMHHPP0H4UkGrStKkcj2Yb5AVDkm&#10;TPUp6gdPqD0qtQua+DRWKuss8aSfatOi3qG8uSUhk9j70UrMZ9GMQCMjv6UZXdtyN2M49qp/2ggb&#10;aSPqGGP505b+Fjjdz9DWtjLm8jI1XDeILdM/8s/5sP8ACt+X7n4gfrXMXMhn8VE+WfJSKMBwCAx3&#10;EkA+vSt6WdZECnevIOVPpT5XcOZWLE/+pPuQP1pLk4tZT/sH+VU7i782PYjeW24HJGehp09151tI&#10;ke0Mwx8x456/pRysd0Xl+4PpXAXQ8zxPqRHcoP8Ax0V3C3SbOnzY6D1rg7VjN4hvsjBN0EwfbAqG&#10;UtzprsF2YAZyaii43gDngfpUwWXIMsTKdoyOuD6cVWSRWklUpIoDDG5MA4JHB79P5etaJkWJXXNu&#10;BjrMn/oQroawbmeKC3t/NdUDSA5YgDj5j+grcEikcZ/Kpk9SktCkIw2syk8gQIP1auc8aeO7HwnA&#10;YI2jl1BlysbNhU92/wAK3L/UbfS/tl7cuERUVQT3bkgfrXy94t1E6vqt3c3DEySOWWUenoKErjJb&#10;/wAXapqOpya1d3plnR8IVHyL7ADtXMvqD3MrFU2k5OKtQwL9hWMyDYRnIGD+NVL66jhuovs8ZVY4&#10;hEwY/ex1NOUdCoysxodieamVuKrC4glGQwU+h4qRHT++v51k0apkxPGD0rLSJlvJDCMiIbyPQZH+&#10;NTz30aAhPmb9KzdzF9xOWJqoJozqST0NuKdEXzEZFGchMHk9+R0+td34V8Znyo4NRkbyGOEmc7jH&#10;9fUV5i7kLjoamsrl4IwcnAJwM461pczPdr/D65aEHIFq5/Nx/hSy3SJK8RDZQLuwCeucdB7GvPPC&#10;vify7wNfvlNiwJ2EaAnBx9TzXezyr9ouXTDBjFhvorH/ANmFArDBdJJL5aqwbDNkjAwAWPX2BrNu&#10;9Thhfbh3OM/IM4FV5rkm4nc5HkwyH/vpSv8AWs2wuD5OozMckW6qD6EyJ/hV2JPR7OQ/Z7SWN1Rv&#10;IhILg8AqpPQHnGR+NZ5b7ZY28LeYsf2ff5iZXYVZuTx0OCecZrQsT8sGf4bdAfwUf4Vda2gmQK8a&#10;suMAe1ZGiKNjIE0aNUAAdAoGWGflJ6ryOlUkmZTctBMQ0s6CNmndcOyDGPlORySFYkDA6da3ZLWC&#10;aEQvEjRgghSOBjpUR0y2Mok2tvBJB3HjIwaAMGBsafYKSpkxFuIJLYLOef8Avkn86kuriZNSWSIr&#10;ue4e2QFc4IZtzfguwfhW1/ZNuYjGu5VKCM4OMgEn+p/M0jaPA9w07Fy5YMMnIBBJzg8dSfzPrQO5&#10;mT3V6lyYH3KjwSM0gk+8csFCjtwAcj16U77XcNqDwwuwZojKuMHkhDgA8c8jn1q2NDX7Qlw1xI06&#10;bgJDjIU/w/T26UsOjtbukkcxaVECBnHYHjp7cfhRcCXR5Wv9NlneTc0MgTcHDckAkcE9N2PwrI1j&#10;UIrHUi78s0SqqDqzZbAroLOFdL0O93tuYsJAvmMxY+g3E/3a4p7Y6r4jkupzuhKLhOcewI9u/r9O&#10;vDV+Jtm8SST+09dh3xoYojjkHaDkevX34746Vm3ugy2sflmZGmuXYsQOFAwSPxO3n2rvbZYkswC6&#10;LyeMj6f0rntYZTqMAVlbG7oc9lqOd2GlqZC2WpWq+ZAzFVdnCo+cDB4wQM9uMHt6VFquutF4ek+0&#10;fJKwChhxk4yQfQ8GunhB8sVxPxJhSPToJVQLIzHcw4zjHX1qYPmkkypaI4a0imv7vKh5ZWJwByT6&#10;mvS/h3ay2t/qccy7ZEjiBG7OAc/4Z/KuK8DtEuqlXxu8o7c9zkZ/TNeieDW8zWPEEoHDSwqP+Aqw&#10;rqb1sYW925iaK+vN45u5LkaiLEy3DRiQOI+SSg9+CMD/AArodBDReELiWTcJmWZpNzOSGGRzvJIP&#10;HI9axdG028i1bWLzVJtQW1ZJSq7JR5qDBD5zhSAOBwea34Gt18FzPbSTSRNbyEPMQXbOeSRkE57j&#10;rXTXae3kZxOP+GozZahJ/euj/If416Tb/wCrNec/DQf8SKV/71wx/QV6NB/qqVQEPJrM1eC4urXy&#10;4FiJ5yJOhBGP61osaxtdnijiijeeaKR2Ozyupx17j1FYDK0FnfWSSfZooVc5H3euBxjn1z6enpjR&#10;snu3if7bGiPu+UIcgrgfr1rH07U7ezEv2i+uJS3QSoQQF+Ukcngk/ofSti2vILyNpLeTegbbuAOM&#10;4B/HrQwJyaQmkzSZpAFITQTTSaAOWvIvPvrspq6xFiVKuSu0gg8evC4P19627W/s4raKI30DsiKh&#10;IlBJOMeuc1JNZWs4AkhRgC3BHHzdfzrNv4dFtjbxXgjQyS/ugS3L8c8fh1qlKwtjZimSeISRNuRu&#10;h9aVjgVSjvdPto/KFzAipkYMg45x/OrCyxzAmKRHCsVbawOD6fWtG9BmVfzawusWa2kcbWJ/17Nj&#10;I559+nTHes+bUddSJilqN5Y7f3bN8vYnp/j7Ctma/s1vBYvcoly6Fgmecev6H8qw47S3kjAtdWhU&#10;llQGJcKSoJPG7kng59veoTZK66k0uq6qDIRZEhXKj905yOeeOuTj/J42LaR5bWKSQYdkBYYIwceh&#10;5FYhRzIzx69GsQB2guDjIOzJJ5wfzxV+xtryF909556EHA6+mOcf73PfIoYzQNJRmkzUjFpKTNGa&#10;QBWRqtu9ze2ix3SxMgZtpfBPzKc4xz0I7deta1YWtfYZL2GCcSNLJGwCKwHGCe/fg9PxpoCBotWj&#10;thFb3ySyKqr8rrx8pwx3DpnB759qs/2dqG4FbgI4kLmTznbf97GVPAGSvA7fQVjEaVIHDRXivIu5&#10;juUZ+ZSevAGW9u47AVv6Rp9tbK11bNKRcorfvDnA6j+dUxF6zjlisoI533zLGqu2Sctjk5PvU9JS&#10;ipGLS4pKeopgYuqLqhu/9DB8ryhjJON2T6c+lWXmvlmd0gkMAjKLnBYuOQ2PTt/TFJqNtPNcqYpF&#10;Qbepboeef5Co3tLs3m9C+zHQynpxxw3Xqf61okWoJq9yjG/iJHZXJyUBBMe4feXrjvjP+cGtPQ5b&#10;6aGVr4Sbtw2749mARnHQdK03LiJigDOFO0E9TWJod1rUs1x/acJWJRlSY9pB9BjqKDJys0u5u7R6&#10;CisqxuL+aJ3cNgv8olhKMBgdRgd8+v1ooLPajBAZXUp8gxgbjUaQQMCSpByehNSZ3SufpUQJ8nIz&#10;3q0kSH2eHYCQST7mmfZYQF2h1JHVWIpSHA6mpe4HtVbC3IPJK5KzyjkDBIb+YNA80bNsgO7ruXPb&#10;2xUjnCk+hpFGHQegouxcqG+ZKoY7EO04yHIP5YrB0jSL2C9muZAr+ZdmY7GyQC2e/wDSt5+IpT/t&#10;D+YqSxzsZh/DJ+mBUTm9iowW5GNSt2PNwFz/AH1K/wAxUouEkP7uWN/91gf5Vk7Qzpx61YFvC2xp&#10;IkcBgeVB71SlfoTytdS9kE8xjrVlHCgs0jIqjJJcgAfnTZrWFo8hNvuhK/yrg/itr0ehaImmwTyC&#10;a8+8C2cIPfrUqSfQbjJdTlPiZ42tL6IafpEOY1nLyXG/HmN0JA79O9eTSzAEhSSh6ox6VbkuBKet&#10;ZtxjfuHersMmErJGNg3L6ZqlPGrguMg+lG8qcg04zb0x8pPuKdxGeaQ1LMm3kdKhpCEp8Sbnz2FN&#10;qzEu1B6nmkMRhk803OTgUrNnIH50ijpQBYjcpjBxXd+GfEBNk1nMNzJllfPbAGP04rgCdorR0qYw&#10;TK47nmhbgdu1wJbXUpFHy/Zwf/Iij/2YVRtJQulagfVoV/Vj/wCy0kTk6XekHhoSp/7+wkfyqC0D&#10;NpN7g/fmhTHqcPWpHU9RumeC2m2MgAjKOGz02t0wPXH5Vn3szyxZileMshJwPlIEaEBh1/iOPet1&#10;UWS4uQRlWJGPbmmzWEFwrK6/KxBYDjOPWsTREUl00enoPMO5gCSXUEgEZ+8CMc8/pWcLu8t9NkYT&#10;vJIksoRtuFOMgbgvIwATwMevrWzPZxzhASy7M42nGQex9R04PpVJ9EVlAEzfKkgUEd3yCfrg4oAh&#10;g1O+fZzgbEIdiRlmdV5XsD83HbBq5Lq1xClntIcyths4BOVYqOM45AycfQHpSR6XJEr7Z2YtMJQr&#10;sSq4OcAdhnmoDpd0s0Tq7BYwcKsmB0OB645PegehJb6/PPcCPyRHjy2kywdUD7MYOATwx7dcdqlT&#10;XWG7zItxRAzqmAR8zAn5iBgYH51RfT9ReeW4coXlhA2DhVdSCpH5DqT3ojtpElupriEBJlAEZ+YD&#10;OT+hPp2oA2p4ota0tVlLKG4ZUfBBB6Guf1I6hYX0osLTfH5OQxhZsuCPT2/ka3dHUw6TCkrgyHcz&#10;HPqx9h7dqsuQTwRXnVJe8zpitDkLzWNRgmKtpqEEy7MoxJCg7T7Zx+oHWo11qFwPMtolYFMYkA5d&#10;M8Z9+PwrT1fUL6zvAsEAeHyizMY2bDc9x+FZ8XiK6WRUurZU3GJRj5clgc9T0yCKW62LUWIniNAw&#10;V7dY1JfBaQj5VUNnBX0P/wCuuR8eayl/axW4iZGjXewJz1KcV21lqcd/MkU1iYnfcP3iemRjkA9A&#10;c8fzrk/iVHDDb27LFGruCCwQAnkHr+FVT5edKxE00jjNJuprR45bYhXbbuJGeAf8/pXqPw8meWy1&#10;O7lPLzKzEcfw5P8AOvKLL5RGv0H6ivU/ACu/g6/aEfvXlkVOcciNcc/jXTJHPfQo+Fba4s7zVbqa&#10;32wm2b93A6/OdxYgMp+UjOMk88EcCtozR/8ACA3U8XnBGidgs0/nFecY3dxXL+FdG1C0t9aklurQ&#10;B7cRi485ZURzyQ3XGOOo7jrXT666wfDi4CSwyhbVV3w42MQQDjHat6++5MTE+G6bfDMZ/vSuf1xX&#10;oMXEQrhfh8u3wta+5c/+PGu5TiIVNTqCFY1m6jPcxPELcQsD94SHn7y8jkdif0q+xrE1ltOSWJr2&#10;2aQkbVYdv1FYjLVruljZblIDIuAQg45XnjJ7lhU0cccKlYo0QE5IVQOap6WlksMjWSMg3FXDEkhg&#10;SSOT6k1dJpAKTTSaM00mgYuaaTRSE0hCE1TvNPtL54XuYFkaBt0ZP8J/yBVsmmk0CavucVqWpWrJ&#10;NLNYbnGMBbjkgknP3eCMH/OK0LLWIbCGcJZzKrTMzZYE9SMjgZGFJ/D8az1muPLCprCyOzZ5kcY5&#10;7ce4rr2jRgdyKc+orS9gOcv73TG8QyLLp0rX0dozCXdgY2E4x06EjPrxVeJ9HtGaJlu1eNmmAfac&#10;EHaTn1wOh7H1q/d2+qR6tdXZu4lsPIIRCcFTj6cc5Oao+dqRu4RFfwtBkkjzVO4DqfmyccE4z+XW&#10;hO6Jj1K82m6dGjosF3kklgHVjlGK5x74P58DrXWWxBtoihJUoME9SMVycjaw8AP7i4csysQsT5Xj&#10;H6knH/1q7IKAuBTs2UNyazdatLu+054LK48iYkHdkjI9MjkVp4pCtLlYNXVjAuFvYLaztRer9pET&#10;AyNIAXbHHynrz35+nOQscerkufOIQgmM5U/Lldo+oG7J+nWr17pq3kgZpZEwACFA5wwYdR6gVT/s&#10;SRVZY76VQd+OvG4DkYPUY/WkFrGzmmSRxyjbIiuPRhmsyPTLj7UJZr0yqG3BMMADu3dNxHt9B9c6&#10;lIZXNhZkEG1gIICkeWOQOgqwMAAAYA7UlVNT1GLTLF7qVWZVIG1epJoE3ZXZdzSg1iDxLZfY7a5Z&#10;ZQs+7au0ZBXqOtWl1qzM3lFnV9u7BQ59elFgTTV0aYNPU8Vlw63YTR71nwm/ZuZSozz6j2NX7a4h&#10;uoRLBKskZJG5TkZBwaqIzKv2gfUuL2COQEKVYgnO3gEEH+8KiWJLu9LQ3VtOS+/aJQTjHYfgPyqz&#10;c6BDc34u2lbeJBJtIyM4Ax9OKdYaHHYXKSpMSFBJUr1bBGc56YPv9a0LVSSNjNJIpkidNxXcpG5T&#10;gj3FAqK8UvZTIs3kkowEn9zjrQQYb2evttdboBmX5138KenH4AH6k0VXiQhWNv4ghhUuxZQ27nJ7&#10;scnsPwopCPflZAWyyjPTmmB0EONy5x61BskIzsHHvUWHAP7s/lQpMqyLbSIRjcv504yRB+XGMCqG&#10;X3cRn8qCJT/BT5mHKXJZomRgG7jselAngEgPmcAH+E1QxP2j/UUm25/ukD8KXOw5UXZpY/KIVuWY&#10;HofUVPYYFtKf9s/yFZjCY8HtzjIpbeaZDMWVsGMj6VMm2UlYZHzIv0q1vAAGOBVOPJkUjoBVxUJT&#10;LKfrVp6EM0lk3xIuOwrxz43XKz6nb2uxQY0DbsZY/wCHWvZlVI4UkY7UVAWPoAMmvmj4gavca94m&#10;ubpYjFCDtQOeSPXHalBajZxTM0blSePWiQbhuJ59KWcADkYaoA5IxWpI1qj24NSNTe1AhpORhqrO&#10;NpxVk8ioZF4x+VADIxucZ6VMzbuF6VDGMnFTdKQABhcU+JGkYIgyxpuaFco24HBFAIddRSwkLIhW&#10;rOno0jdSqryzDtVi0uvOUh0SRR1VwCKuPcCRBEkaRp2VBgVm5M3jST1voX4bmGPSLmAOxkaRCu45&#10;JXv/ACFT6Zh4bSL/AJ7alGPyGP8A2esma4nigClSY845PStTw/IkmpaXb5/eLqKuVPYfJ/ga1hK6&#10;1MqsbS0PSdRuWitnb5fKJDOxbHIZcD8s1Xku7sTeTHMQ0l0VGBjCrgn3rSjhjnhdZFDLvzgj0xT1&#10;soROJdvzAsfxOM/yqREd/fTWylVYLtTfnBznDHrgj+H/ADxTJdXuYY7UC2MkkzIpK8qucZJPbrxU&#10;+pWS39o0J59AWIH4469eh4qmNFzdWjttIto/lbvv45/SgC1/bT/bYIRCHjmYhWRgemeeDnn0wPc1&#10;Jb63FPdNbNGUlVA7qf4M9A3occ4rMNpcxvDJNEZUjEjMoP3sgcfnnr+tVILeS3beylCqxsUDvtBy&#10;T8u7JGOOOn4UDOn/ALTsiHK3MT+W4R9rj5WPY8+9Rwa1p88MkqXMZjjOHYMGA/EZFcrCJYVnc/bJ&#10;hviVd0iyMpC8nc3QE+gz9KVZpY7O7uZ9ReLynZHaMNtz5keCNvXgY6dz70gsdfcSq5LqQVKggj6V&#10;z+oXIOI4ryKCUNk7scjp398VZhvrd7KArPGWdFbG8ZGRnH9KqXFnazNukgjLZznHOa8mT99tnbFa&#10;Fe3vNSQOPtkE2FO1Vb+Lt2+lVpNT1sSHMasnONj7T1+vpTLyxtlHyWpcnH3WOeMYrOeCKKdIxHeo&#10;FGBjBXquOn4fkapWY7FttTvt43WkjMON248Zxnt9fyrlvF17Jd2qGaGRCgIAkz37jNdAsckoaGG9&#10;lDQgZLKckkHGcn8a5vxVHdLDHHPciQYLdAO4/wAK0pJcyIqfCYVsyuYz0IYfzr1HwfHH/wAK7vRL&#10;/qpBPvOcfLtwecHsPQ15LbSMqjBGR/SvXNA2x/DKchlVGjuBvZC4A3MMkAHPr0rs6o5TD0S1TSvD&#10;uuXE13bynEUZMcoZVwQOflJzn/Z9PqN/xUXh+G8iSYD+QinD7+ceuBmsPSUiHhbVnFxbXoby4wse&#10;5fmHTP7v1IxkH3NbXxDcx+CJAepZFP5GtKrvP5/5Ex2I/Ay7fDFiPVSf1NdkD+7X6VyXg9dvhzTh&#10;/wBMVNdZnCr9KmoCGsaytRRXmBF8sDhR8jSEAjnnAYen6HtWmxrE1CB5r4O1mJIgu3eHIJGOmB2+&#10;Y9qxKSuSWtrdR3KP9uMluoIKnksenJ9q0CayIbw2VqIhYXXy5wNuRk5OM+laMUvnQRybSu9Q2D1G&#10;RQx2aJM0hNITWSNSvvtuoRNp7CG3TdDISQJTjOM4/lSJbsa2aaTWI3iJUuGiktXXaSMg56HHp/k8&#10;VsbqdgHE1FK4SJ2PQKSadmmSbjGwX7xBxzjmkBxsbWQjJFgUIw+FnYZztz2PoPbiuyDArkEEHkGs&#10;VbLUE2b5ixLqH+YOAoznhhk54H4Z5rUtvMW0hExzKEUP0+9jnp71TKbT2VjDvNZM9xqWnzWU0cUS&#10;AecGxuyQPTjr78A1kKNICJzdIwDopyu7ADsT0AznI79R747Y81G0UbghkUg9QVHPGP5UJmaTOetP&#10;DdvdQw3ImfBLSAOnPzYyDg+1dTTI1WNFRFCqowABgAU7NbIYUUmaM0wEIzTGFPpppNAMpKcRTaya&#10;GFMkjjmjaORFdG4KsMg/hTqKQGLq4tofs8X2OJ0XHAcp5S55OAOB71TWTT11SRltmR4kbEkcpLYV&#10;ew6EckADPIPHHHTdaaYo2+8in6incVjl47iyigdmtmREkJVWmDfwsOuDj5e2eK6PSXRtOheMsVYE&#10;5YgknJz04p32O2PW3i9PuD0I/qfzqdQAABwB0ouBODS1EDTtxqlIZLUF8Y/sM3nMVj2HJABx+fFP&#10;DmqeqXaWmnSzSByqjOEPNPmQ0ZcWmWkcS+XfTRowyAVU/jnFFMSWzuC58u7yjEE7sZJ5zj8aKOZF&#10;2p9z6De0GxQrgHPKqePX+lSiwkHSQVDbn9zck84Xj9a0pc+UcHngfrV2Mii1mTMqkjJzyKQWRPIk&#10;UgNjke+KtE4ugT2U/wBKYr4wAerk/qTVcoXKr2u0ZDlfmx93ijyCEY+YpC9wKkaQkrj+8T/P/Gop&#10;BnzM8Annt2FHKFyOSJDFvY8nHakWJRAQpxkH8ajmLm0ByDlh1pkTsbU8NkLxjmokikxnk5Yboh9V&#10;4qwkJ2jaT9DVFJZC4G9vpmtKPcVAySfc0JBcqeI9Yj0Lwzc3lxGWCxbEVTyzEYFfLeoXklzcSSFE&#10;TcxO0N0r0L4v+N4dRv49E02dZbe1/wBbIh+Vn9M98V5LM5zjduPsDiqirEtiXDEnkYqsGwcUrZ78&#10;fWomJVgc1QibNJUkFtcXLbYYmY/TgfjVptH1BRk2x/BlP9aV0OzZQIpjj5alljeGQxyKVYdQaiY8&#10;GgQxAAxp9RqeafmgBTTGNLSEE0AMSWSGTchIP862tMmknJfBUqeT2qrc6bcppMF28ZETZ2N/e5wf&#10;1qrFNJEu1XKg9RUtXNIT5Wa+qynYsayBmdug9K0vD04i13TpCM7JkHHoTj+tcyr/ADZ6se/U10Hh&#10;qCW51yyjj+/5qufYKdxP5ChKyFKXM7ns9qf3RPqxqwDVS1P7gf7zfzNWAaCSYGnCogaeDQBJTSoP&#10;YUmaM0wI2toXUqYlweuBUb2Nu1q9v5a+W/VcZqxmgnikBn3Gk2VyF8yBfl6YHTnP86rtoNv/AMs2&#10;ZPpWrmjNJpPcabRitokgHyXLfiTVSfSNSG3yZozg/NvGePbpXSk0lQ6UH0KVSS6nLtp98v3o1J9h&#10;XPa/4cvtSIaMKhCFMMT+fSvSOKXA9KSowTuhupJqzPCh4P1u2ZgbdZFzkFHH9cV6noelSyeA4tLZ&#10;zbyvG6s2MlcuT0BHY+tdA0UbdUU/hVeWxhlUjbt91q3F7ojQ5az8FXVr4Vk0mS5t5pGmEoLh9ikD&#10;tgg9f5mmfExing5UYjcZkzjpV8+FbiH/AI89c1KEDoplLL+VZeteFNe1azFrcawlzCG3BXiCnP1H&#10;NU05STbF0NTwuu3Q7BfSBP5V0rHAH0rN0jTWsrK3gcgtGiqSPYVoy8OR6VFRgiNjWFfzFtRKR6h5&#10;OwDzEOeM+n4VtMaw9QuJBdbX0wXMYYAOBuKg7ck8H3474rJFK3UvWEjyWUZknjmkHDunTP8AQ1YJ&#10;qvaBBbI6QiHzAHZAOhI5p5lQNtLDPpmkHoPJqlqbqthKXuRbKNv70nG3kf8A6vxq3nNRTRxzxmOW&#10;NXQ9VYZBoEc463qg2tvq6tN98BnJ+XJH3sY9vwrQ0x9S8/ZdsHiWFQSNv3+M8g59e1WbnTbS6k8y&#10;WMl9uzIYjjOexqm/h+zMLRo00eTncj4I5zgH0/wFVdAa+aTNULSyktp2c3csiFSAjknBznPX8Ku5&#10;qQFNNNKTTSaBi5pua5G40jxC0U0cl4J99wrx4cjauD144HTgZqjJHrtvEnz35cOchC5GOOc+nB/O&#10;maqkntI75W7U7NcTFqWrxXSiS9VUVkUpKAGbO3OBtyf4u/8AKrmja3qV3cQi48gwyjII2g5wDjhs&#10;+vatIy6Euk0rnU5ozSZzSVoZC0UlFABSUZpM0AIRTCaVmrI1fX7PRjCLrzCZScBFzgDqT+dZSGk2&#10;7I1s0tY934htLN41ZZHEgBDKBjnp1NOXxFp5KjdLk9hCxx9cCpK5JdjXpRUMFxHcRLLE4ZGGQRU1&#10;BI6lzTaKBjs1n61LHHYDzIopVaRVKy9OT1qLXJNRjsQ2mrmXcN2ACQvsDUDTaw2gxOU23pPzgICc&#10;ZPOPXpQTze9yjrDy5IXcFP8AWMMrcOc4OM9faik02eY2ga8j/eljyyYJHuAo560U7jPeUciGcf3l&#10;xVxrgMuOeo/nWTHIxQ5z1xUuJG6MTXShF7zAZycnAWoRJlx1+8T/ADqqFkLH5mH1NAtyWGZDRcRM&#10;ZQCMn16mmPMpSX5hnnAz7VGbSPIzJS/Z7dTzIPzFAC3EkYtU+YE5ycH2NJasFt0yeTUVyLcRAK27&#10;nsfY0W7RuqhhyoFRLcpEbENdMf8AaNaC7Cu1uYyMMD6VmLgz+2a0oWQuBtOKEJnytdafDc69qEhL&#10;x26TNt45bk/kK0rLS1e2+0yfuoP4FPVh6mtTxvZNp2ozkQtHG0hDDGDjP9a5W/1iW4VEztjUgbR0&#10;xVoEasjafDEWESO/bK5x+dZ7Xwlu47WDbEZD80mMlF7496rTy7SQTxWPHcMupNIT1yBSb0Gtzuby&#10;20+K1jht7tY2ZdwYnO76n1rldSlu7RlG/dGw4dWyCfSpJWidVKblJHIz0qIWDToI3kn2HlTsyM1k&#10;t9Tpd7WRjvI0jFmOSe9NzT5YmgkZHBDA9xiozWpyMROpp9Rp1NSUAKKUcAmgUoA3/WgD0G1046v4&#10;L0iFNiC3Z95OSWHmE1zGq6MUuGeNgAeq4/lXT+HL0xeFpz3tzJtHvjI/U1Bq9rIJ5I2Kl0cqe3Q4&#10;71cUrEtu5ySWhTk11PgePHiDPcQuf0x/Wsm6tZbdYmkUASpvTnqNzL/NTW74GA/tm4b+7at+roKH&#10;FJCTbZ6Ra/8AHuvvk/rU4NVrU5tYiDkFAf0qcGsjQlBpwNRg04GgB+aXNMzS5oAdmgnim5oJoAM0&#10;ZppPNGaAHUlJmjNAC0tJRQAtJRSGgYE02lJpKAHp1FRzH9631p8f3hUErfvH/wB41nUAYxrnrw2H&#10;22RGvp7aUtyFJQHPvj+v6Vusaw5rO6lvT50NrPbtISS6gsFzwOg7Z9frWaAlt7W/jljk/tHzoTgs&#10;jJ1HPQnJ7+39KfO9k1yyy4EoI5Prgc/yq4oVECKAFUYAHYVTl+1GZiEhljxjYeoPv+GKCkWYpI2Q&#10;CNwygcEHP60/NMRERdqKFHoBilpEsXNNNLTSaACmvIsalnOAO9BNQ3MsMcW6cgJuHUZ5zx+tABHd&#10;28xAjnjYnoA3NS1np/ZqSpMhjVxwpBwfTp+NX8gjI6U2AtNNVrqGeVlMU5iwCOB1z/8Aq4/yKLVL&#10;mMP9omWTONuFxj1oAsHFMWCIS+YI03/3toz+dOpy1UdwHg0UlFbCFpM0m9Q23cM4zjNITQAppCcC&#10;mF6YWz1qHIBc1Wu7C0v1Rbq3jmCHK7xnBqxRWY07bGZf6Fbagp3tIrYG3B4XHoKzrrwo08USJdov&#10;lj5S0RJ6H/ax39K6UUUFqpJdSKyge2tYonKlkUKSowPyqzTRSigkdS02jNAh2az9Wv2sbdGRoxIz&#10;YVZOjcdM5AH1NXqy9bbUVhVrAsMZL7FBY9MYB/GgCrN4gkjkI2Wy8sNrykEYYjnj2z+NFVZdUv41&#10;izYu7spLkx4OdxHp6AUUfIZ9CRxu8XDADNIUkHBkOKlt1ZYirDDA8inbSa60QQIqsSGdifc80vkr&#10;vGOcDuad5R5IqJmlib5+n1oAf5cYPKmneVDx8g/GoftkXQkZ9CaQzoRlTRYCy6RCB/3aD5Tzio7c&#10;qIAQB07VEblTE4O7kYGBUlvxbqO9ZyKRVQ5ux9TVxm2k8kbuBVMcXGR2qeRyzJ8vTnrQIpeJPDNn&#10;4n00wzAJchcJLjr7Gvm/xD4Y1HQr6a0vbaSMg/KxHDD1B719SCU7RwM0NO7LtJGPSlew7HyBI8p+&#10;WQEH17GiXSL/AOym8+yzLAD/AK4xkJn69K+tJbeFjuaGMnPXYM1598VbuKLRYLRtuJRISD6BeP1x&#10;VJ3YNHg0d4FXbJwR6VOb/bGFErgemTis90Ctz19KYc0uVDVRomu7j7Q6sRyBjJ71XNGKKohu7uNX&#10;rUgpi9TT6AHCnquXBz0pgFSrx0pAdd4WkE+k6nbHrwy/icf4Vpa4QdTu5AeGnkYH23HFc/4QlCal&#10;5R580xr/AOREP+Nb+pKXJHdga0gTIx9VyIbNP7lt/N3b/wBmrpfD0EcGsXiRqAqWcIJAxyVQn9c1&#10;zursplUjoLaI5+sYP9a6nRBjUdafGNpjQfhu/wDiacthLc6yH5YYx6KKmBqFeFA9qkWsTQkBpwNR&#10;g04UAPBpc02loAdSMaKaxoATNLmmZpQaAHZpc03NFADs0oNMpc0AOzSGikJoGFJQTTc0ASx/eFVJ&#10;Gy7fWrCNhxmqDPg4Jw3cVlUAVjXKziBbiWeRbu1UFtzYwOdxyMYP8R55/HOa6ZmzUZNZp2AI5Fli&#10;SRDlGAZT6g1XeyiZy6tIjk7iyORk1PnjApM0DTGwxNFu3TPJnGN3apKTNITQIXNITSZpCaAAmq12&#10;szxAQbQ+4HLDOMe36fjU9JQBlyGZpBJJpylVBDY5Y5xjaPr1+laUTl4UdkKFlBKnt7U6gmncDJvv&#10;s/8AaCu9y0ciquF2krjJbt/un/Jp9nHJ5gdbzz4xw2SeCAQeM/Q8+h9aW+kjWQiSxaZTjLqmfr70&#10;2K+s4H8kK0WecFep6Y4zzxTEaQNPFV4pops+XIrY64PSrFXABaKSmlxV3sBTurK3u7g752EoX7qs&#10;AVXkemec0lta/ZnfEhZTwo54GSfX3plxYRXE5lZ5FYj+FscjoR6YyfzqJ7CQwmNLyUAqVy3J57/U&#10;c1DlcDQzVCaa+WWQxQq0Y+6Gxz+R+v5e9W0GyNVJzgYzVRmvUkkYIrqWO1MgbR0/HPWpAmtpppS3&#10;mRFAAMZGPX/P41ZBrOOoui/PaSqTgDPTJ9T2p8eqW0hIy4IxwVJ64x0+uKQy9mgsB1IH1pM1HMiS&#10;AB32j0yOaBEwYGnZqp9kGDtkYZ61aFDBDgaM02oTK4JwhI+lBRZzWNrljdXjQNbOV8vOQrYJz2zW&#10;okhY4IxTqAOeWLXI4IY43ddkYVtxVyW7nJzRXQUUXFY9eDXcsjEyqOBkhR7+1BjuCP8AXn8Klt2L&#10;wZPrilIwp5NdaJK4t5W6zn8zTPsrMTmWrar8uaVEAzxQBQNmA2Cyt+lIEjQ42H8c1obcnpSFVPDA&#10;YpiKdw6oqALnP5/nUoOR8oIIHQ9aivEHmKqkcdqid2VTnIIqJK5SHDPm5PWrDEsw9qz4Lgs3zHOP&#10;WrJmQkbTU2sMsHPrTDn1pnmGmmTnrUjJGPy814p8ZLstrVjaA4HkZb8WP+Feyu/HWvGvi/ZsdVsr&#10;3+HytvXngn/GnHcTPLLsl7qRm6lqrGppTudj3JqI1ZI2kpaSgQ1DyaeDTFHWnigY9akVsVEKeBzS&#10;A2/DGR4gsdve4Qn6bhn9K6W8lzOrH0rlNFdo9UtmU4PmAfma6XUCFbP0zWkCZGdf/NtjH3hBCn4i&#10;NR/Suv0UhrnXGHINyqD8PMFclKofX/KbobkIR/wLFdN4VYvYX0hzl7sfyJ/rTlsTHc7AdqetRipF&#10;6ViajxTxUYNSCgBwooFBHNAC0xzT6Y9ADc0uabmigB+aM00GloAdmjNNpRQA7NITRSGgYhNNJpTT&#10;SaBBmq88Czcnr61NSGgZRayYD5JCK4jxH4p1LQ9cNrGsEsQjVisinOT7givRM8Vm6ho2n6nzd2kU&#10;rAYDMoyPxoio395CdziLb4jRHAu9PkT1aJw36HH862bXxpodzgG7MLekyFf16frTbv4e6TPkwmaA&#10;/wCy+f55rCu/hvdJk2t5HIOyyLj9R/hVunSls7E3kjt4L22u13W9xFMPWNw38qmzXk1z4Q1uybd9&#10;kLY/iibP/wBeok1fxBpZAN1eRY/hmBI/Jql4a/wsOfuevZpCa81tvH2qQ4E8NvOO5wVJ/EcfpWvb&#10;/EKykwLmznhPqhDj+lZuhUXQfMjsS1N3VjW3irRbrAW/jQntLlP51qRzRTJvikR19UYEVk4tbjJs&#10;0ZpmaXNAxabtXn5RycnjrS5pM0AJHEkfCIqg/wB0YqYVGDzTyeK0iIR27VGTQxzTc1LYC5ptGaTN&#10;SAuazRayrdySRXZLE7jGegz/APs8fjWgayTBAS5UtBIc/MCW7kA/mSaaGlcmj/tGFdpRJQGwMt8x&#10;HrmrcLySM3mwhCuMHOc1DbFIoyxuGdWIA3nJX2q2jq6hlYFTyCD1oCzH0x4xIVJJyucY7e9OpjzJ&#10;Gyh2wTnH4DNP0EIIZB92Zuvfn8KFW5RQAyvj1pwnj4G8DODzx1qTNF2FkNiMu0+aADk4x6UGYDqD&#10;9afRSGhgnQjrUgYN0INJtU9hQFVegxmlqPQXNFITRQB67BdRpBsLYYE8UrXaBcZ/Sk+zRbeRSC3i&#10;UHP511ogQXo24GaT7bwflP50n2eP+8cU5YY/TNUBH9sbso/GkF2+fuj8KnEaD+FfypQFU8ACgRWe&#10;QvKGPFPlwYjn0pbo/NHUczDyjWb3KRSFu7AlORUJLI2CenvWjat+6P1pJo0fJIGcdaYFdbvaMH5h&#10;+tPE6vyv61RmRkyRyKqGfac55qLDTNdpe1eRfF25ze2cIxxDk88nJNejC+I4bkeoryX4q3Im16Ha&#10;cgQLziiK1BnnrHmmGnMaYasgSiikoAap608VGnSnbgO9IB4qRTVYzKPU00zMenFAzd0hXl1GFYxl&#10;g278ByT+QrotVJMMpHXyzj8q5vwrubVmcnOyFj+ZC/1rp7sbyiYzuYCtIbESKTjzPEuV/jvsj8ZM&#10;11HhTnRGf+/esf8Ax2P/ABrlbaT/AImySnqGaT8QCf6V1nhZdugWw/vXDn9FH9KJ7CjudUpqUHio&#10;AeafGxJINZGpOOakWoxUi0APFFMaTYVB/i705W3DNADqik61LUEh5oAbnmlpmeadmgB1Lmm5paAH&#10;ZopKKAFpDS000DA000pppoASiikoADTDTjTTQIbSE0tNNAAcGoZLeKUEPGrA+oqam0AY114U0a7y&#10;XsYgT3QbT+lYl38ObF8m2uJoj2Bww/x/Wu1oNUpyXUVkeXXXw91KLJgmhmHvlT/WseXw/rWnvvFp&#10;cIR/HCc/+g817OaaQD2q1WfUXKjxqLxDrli2z7bPkfwzDd/6EM1q2/j7UI8C4tYJh6rlD/X+VekT&#10;2NrcJtmgjcejKDWNdeDNFusn7KI2PeMlf0HFF6ct4is11MW38fWD4FxbXEJ9Rhx/Q/pWtb+J9Guc&#10;bL+JSe0mU/nisq6+HUJybW9kT2kUN/LFYt14D1aDJi8mYf7LYP6/40vZUnswvI9DjmjlXfG6up7q&#10;cipA4xivIZNI1fTn3G1uYSP4owf5rUsHiTWbU4W+kbH8MuH/AJ80vqz+yw5+56sabXn9v47v0wLi&#10;2glHquUP9a1Lfx5YvgT208R9Rhh/Q/pWUqE10HzI6vNGayIPE2j3A+S+jU+kmU/nWjFcRTpuilSR&#10;fVGBFZuLW5RKT6VnMdQSLaYY5Ts5+bq3Prjir+aKkDNmuAsQVrB8ls4xgE9jkepAqe3ihniWSF5E&#10;XG0c4x+dXKWmVdjYo2RjmUsCOhpzxpJw6g0uaikeZJAUQMgHIzznj/69NEtjvs0W7dt59zn+dCWy&#10;o6kMcLkgfXB/pTFuuzxsp9+lSR3EcjbVb5sZxijUSsSk8VEvmoOu7609uQece9R7GGNjCpZaHeZI&#10;Mll49qkVtwzTFMmcMo+op9AxSaKQ0UAex4ATjOKMcdKr+bLENo5B9e1L5spH3gK67mZL5ZA4H4Uq&#10;rVfLnrIaQHac73J+tO47FgDDHFLxmqhkY9SaYWpcwWH3jjzEGelQSSArio5G5qIuKhsaQ9JjFx2o&#10;e7DcYqBnGKhLAEHNK47EzvnrzVOaJJD/AHT7VIZfU1C8nPWkBRuInjBONw9RXh/j3UGvPFM6gkLC&#10;BEPw6/qTXuzyV8++MQg8VaiUbcGnc/TnpVImRh729TTfMb1oNNqiR3mN60eY3rTaSgB29j3ppPNF&#10;JQMWlpKWkI6LwpATczzMWWMR7MjHXIPf6V03lu9zb7XR1EqEnOCBuGcg+2e9YHhuf/RZUxgJjn1J&#10;ya05JMng1pHYmRVtvlvI8/3JD/5Dau28OLt0PTx6vI3/AI8R/SuJyofLLuFd3ooC6VpirkDy3OD/&#10;ANdHonsEdzdQ5qYDvUEdTisjQlWpFqJalWgAkhEijsVORRGnlrjOaeG7GkDBicdqAFqCT71T1WlP&#10;zGgBopwpgpwoAcKUUgpRQAtLSUtABSGlppoGIaaTSmm0AFFFJQAhpppxphoAQ0lLSUCCkoJpKAFo&#10;NJmjNAAaaaU0lADTQKWloASkNOpDQAxkVuoFU7nSbG7GJ7WKT/eQGrxptF7AczdeB9InyUieFj3j&#10;Y/y6Vi3Xw8YZNten2EiZ/Uf4V35pDVqpJdSeVHlF14M1e3zthSYf9M3/AMcVky2F/Yvukt7iAj+L&#10;aR+te14zTGiRuqg1arPqhch4/Br+rW2BHfykejnf/PNalv431GPAnggmHsCp/wAP0rvLnQNNu8mW&#10;ziYn+LaM/nWNdeA9NlyYWlhP+y2R+uaL05boLSRRt/Hdm+BcWs0R9UIYf0rVt/E+j3OAt6iE9pAU&#10;/nXPXXgC7jybe6jk9nUr/LNY9z4Y1e2zutGcDvGQ3/16XsactmHNJHpkc8Uy7opEdfVWBFNeHezM&#10;GwWxyR0ryQpcWknKywyD1BU1et/EOr22Al9KQO0nz/zqXhmtmHOup6Z/pCf3XqwAAc4GfWuAt/HN&#10;/HgT28Eo/wBnKn+tatv45snx59vPEfUYYf5/Cs5UZroNNHVnmk24UKO1ZVv4k0m5xsvY1J7SfJ/O&#10;tOOaOVQ0bqynupyKxcWtzRMUmQfdwR70nmOPvJ+VSA0uaVh3I/PU9yKKeQD2opWYXR7CyjGDzmqz&#10;EQuEY9elTq3I471VvDm6jGOgrqTuRaxNnjimkmnR9SDzxmoZbjGUCAc9c0DuKTxULtUbTNioHdiO&#10;tIY6RwOtV2mUd6jdjzVdmOM1IEz3AxwCahM7HsPzqFmOKYSfWgY5pW7nH0FRl89STTGNMJOKQAzV&#10;4D4glFxrl9MBgPO5A/GveiTXgOpKBJM3fzWH61cSJGaaQ0tIaZIUlLSd6YBSU+RNjlc5ptAwpaSl&#10;pCOg0FwltL6lv6Vos2elTeFbS2uNBcywhiZ2+boRwOho1G0FjIoRyyt0DDkVUZrYUoO1ytnmu/0f&#10;jT9NHpBn/wAeY/1rzstwDXoumE/ZNPH/AE6ofzGf6057CgbUZ5qwtVIzVpelZmhKKlSoQeR71OlA&#10;DyBio1TaxI6GpaaaAE9aqSE72q52NUpOWNACA8U8HIFM7U8dKAHinCminCgBaKKKAA0w0+mmgBpp&#10;tKaQ9KBhSGjtSUAIabSmkNAhDTaU000ABpKDRQAtFJRQAlJSmkoAKKKKACg0tJQAlJTqQ0gG0hpa&#10;SgBppDTqbTASilxSUAJTSoPapMU0gUAV5bWGZSskasD2IzWTdeFdJuck2iIT3j+X+VbhFJTTa2Cx&#10;xdz4CgOTb3UiezgMP6Vj3PgvU4cmIxTD2OD+v+NemYpCBVqrJE8qPHrjSNQtc+dZzKB325H5iq0c&#10;ssD5ikeNvVGINezlFPUCqV1pVjdZ862if3KjNWq66oXJ2POLfxLq9tjbeu49JAG/nzWrb+OrxMC4&#10;tYpB6oSp/rWzdeD9LlBKLJCf9hv8c1z2q+GU0+IypdFwP4SnP55ppUp9Be8jZTx3ZFRvtblW7hdp&#10;H86K4TgHpRR9XgLnZ//Z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BmUu8m9AAAApwEAABkAAABkcnMvX3JlbHMvZTJvRG9jLnhtbC5yZWxzvZDL&#10;CsIwEEX3gv8QZm/TdiEipm5EcCv6AUMyTaPNgySK/r0BQRQEdy5nhnvuYVbrmx3ZlWIy3gloqhoY&#10;OemVcVrA8bCdLYCljE7h6B0JuFOCdTedrPY0Yi6hNJiQWKG4JGDIOSw5T3Igi6nygVy59D5azGWM&#10;mgeUZ9TE27qe8/jOgO6DyXZKQNypFtjhHkrzb7bveyNp4+XFkstfKrixpbsAMWrKAiwpg89lW50C&#10;aeDfJZr/SDQvCf7x3u4BUEsDBBQAAAAIAIdO4kDZOTeHEwEAAEgCAAATAAAAW0NvbnRlbnRfVHlw&#10;ZXNdLnhtbJWSTU7DMBCF90jcwfIWxQ5dIISadEEKEguoUDmAZU8Sl/hHHhPa2+OkrQRVWomlPfO9&#10;eW/s+WJrOtJDQO1sQW9ZTglY6ZS2TUE/1k/ZPSUYhVWicxYKugOki/L6ar7eeUCSaIsFbWP0D5yj&#10;bMEIZM6DTZXaBSNiOoaGeyE/RQN8lud3XDobwcYsDhq0nFdQi68ukuU2Xe+dbDw0lDzuG4dZBdVm&#10;EBgLfJJ5WT1PImzjGzqNBOjwhBHed1qKmBbCe6tOwmSHICyRYw+22uNNSntmwlD5m+P3gAP3ll4g&#10;aAVkJUJ8FSal5SogV+7bBujZZZHBpcHM1bWWwKqAVcLeoT+6OqcOM1c5+V/x5Ugdtfn4D8ofUEsB&#10;AhQAFAAAAAgAh07iQNk5N4cTAQAASAIAABMAAAAAAAAAAQAgAAAAtBEBAFtDb250ZW50X1R5cGVz&#10;XS54bWxQSwECFAAKAAAAAACHTuJAAAAAAAAAAAAAAAAABgAAAAAAAAAAABAAAAB6DwEAX3JlbHMv&#10;UEsBAhQAFAAAAAgAh07iQIoUZjzRAAAAlAEAAAsAAAAAAAAAAQAgAAAAng8BAF9yZWxzLy5yZWxz&#10;UEsBAhQACgAAAAAAh07iQAAAAAAAAAAAAAAAAAQAAAAAAAAAAAAQAAAAAAAAAGRycy9QSwECFAAK&#10;AAAAAACHTuJAAAAAAAAAAAAAAAAACgAAAAAAAAAAABAAAACYEAEAZHJzL19yZWxzL1BLAQIUABQA&#10;AAAIAIdO4kAZlLvJvQAAAKcBAAAZAAAAAAAAAAEAIAAAAMAQAQBkcnMvX3JlbHMvZTJvRG9jLnht&#10;bC5yZWxzUEsBAhQAFAAAAAgAh07iQNyyQRXVAAAABQEAAA8AAAAAAAAAAQAgAAAAIgAAAGRycy9k&#10;b3ducmV2LnhtbFBLAQIUABQAAAAIAIdO4kARNuRdYAMAACEKAAAOAAAAAAAAAAEAIAAAACQBAABk&#10;cnMvZTJvRG9jLnhtbFBLAQIUAAoAAAAAAIdO4kAAAAAAAAAAAAAAAAAKAAAAAAAAAAAAEAAAALAE&#10;AABkcnMvbWVkaWEvUEsBAhQAFAAAAAgAh07iQHgnKGG8nQAAsp0AABUAAAAAAAAAAQAgAAAA2AQA&#10;AGRycy9tZWRpYS9pbWFnZTEuanBlZ1BLAQIUABQAAAAIAIdO4kCdZ9SBgGwAAHtsAAAVAAAAAAAA&#10;AAEAIAAAAMeiAABkcnMvbWVkaWEvaW1hZ2UyLmpwZWdQSwUGAAAAAAsACwCWAgAA+BIBAAAA&#10;">
                <o:lock v:ext="edit" aspectratio="f"/>
                <v:shape id="_x0000_s1026" o:spid="_x0000_s1026" o:spt="75" alt="Macintosh HD:Users:bingquncui:Desktop:市场营销专业建设（校企合作）:专业建设照片:WechatIMG602.jpeg" type="#_x0000_t75" style="position:absolute;left:6347;top:3353638;height:2000;width:4111;" filled="f" o:preferrelative="t" stroked="f" coordsize="21600,21600" o:gfxdata="UEsDBAoAAAAAAIdO4kAAAAAAAAAAAAAAAAAEAAAAZHJzL1BLAwQUAAAACACHTuJAfIjj6r4AAADc&#10;AAAADwAAAGRycy9kb3ducmV2LnhtbEWPQW/CMAyF70j8h8iTdoOUCVWoEDgwEFzp0KTdTOO1HY1T&#10;NRnt+PX4gLSbrff83ufVZnCNulEXas8GZtMEFHHhbc2lgfPHfrIAFSKyxcYzGfijAJv1eLTCzPqe&#10;T3TLY6kkhEOGBqoY20zrUFTkMEx9Syzat+8cRlm7UtsOewl3jX5LklQ7rFkaKmxpW1FxzX+dgevP&#10;1/l92Ka78r5ID/u+yC+fh9yY15dZsgQVaYj/5uf10Qr+XPDlGZlAr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Ijj6r4A&#10;AADcAAAADwAAAAAAAAABACAAAAAiAAAAZHJzL2Rvd25yZXYueG1sUEsBAhQAFAAAAAgAh07iQDMv&#10;BZ47AAAAOQAAABAAAAAAAAAAAQAgAAAADQEAAGRycy9zaGFwZXhtbC54bWxQSwUGAAAAAAYABgBb&#10;AQAAtwMAAAAA&#10;">
                  <v:fill on="f" focussize="0,0"/>
                  <v:stroke on="f"/>
                  <v:imagedata r:id="rId96" o:title=""/>
                  <o:lock v:ext="edit" aspectratio="t"/>
                </v:shape>
                <v:shape id="_x0000_s1026" o:spid="_x0000_s1026" o:spt="75" alt="Macintosh HD:Users:bingquncui:Desktop:市场营销专业建设（校企合作）:专业建设照片:WechatIMG611.jpeg" type="#_x0000_t75" style="position:absolute;left:10487;top:3353638;height:2000;width:4111;" filled="f" o:preferrelative="t" stroked="f" coordsize="21600,21600" o:gfxdata="UEsDBAoAAAAAAIdO4kAAAAAAAAAAAAAAAAAEAAAAZHJzL1BLAwQUAAAACACHTuJAcWrWPLsAAADc&#10;AAAADwAAAGRycy9kb3ducmV2LnhtbEVPS2sCMRC+F/ofwhR6q4kWZF2NgoroQQruiudhM91dupmE&#10;TXz11zdCwdt8fM+ZLW62ExfqQ+tYw3CgQBBXzrRcaziWm48MRIjIBjvHpOFOARbz15cZ5sZd+UCX&#10;ItYihXDIUUMTo8+lDFVDFsPAeeLEfbveYkywr6Xp8ZrCbSdHSo2lxZZTQ4OeVg1VP8XZaiizL7+c&#10;rOlXFltcqjje+5PJtH5/G6opiEi3+BT/u3cmzf+cwOOZdIGc/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WrWPLsAAADc&#10;AAAADwAAAAAAAAABACAAAAAiAAAAZHJzL2Rvd25yZXYueG1sUEsBAhQAFAAAAAgAh07iQDMvBZ47&#10;AAAAOQAAABAAAAAAAAAAAQAgAAAACgEAAGRycy9zaGFwZXhtbC54bWxQSwUGAAAAAAYABgBbAQAA&#10;tAMAAAAA&#10;">
                  <v:fill on="f" focussize="0,0"/>
                  <v:stroke on="f"/>
                  <v:imagedata r:id="rId97" o:title=""/>
                  <o:lock v:ext="edit" aspectratio="t"/>
                </v:shape>
                <w10:wrap type="none"/>
                <w10:anchorlock/>
              </v:group>
            </w:pict>
          </mc:Fallback>
        </mc:AlternateContent>
      </w:r>
    </w:p>
    <w:p>
      <w:pPr>
        <w:spacing w:line="240" w:lineRule="auto"/>
        <w:jc w:val="center"/>
        <w:rPr>
          <w:b/>
          <w:bCs/>
          <w:color w:val="000000"/>
          <w:sz w:val="21"/>
          <w:szCs w:val="21"/>
        </w:rPr>
      </w:pPr>
      <w:r>
        <w:rPr>
          <w:b/>
          <w:bCs/>
          <w:color w:val="000000"/>
          <w:sz w:val="21"/>
          <w:szCs w:val="21"/>
        </w:rPr>
        <w:t>图6 开展工商管理专业办学校外考察</w:t>
      </w:r>
    </w:p>
    <w:p>
      <w:pPr>
        <w:spacing w:line="390" w:lineRule="exact"/>
        <w:ind w:firstLine="480"/>
        <w:rPr>
          <w:color w:val="000000"/>
          <w:szCs w:val="24"/>
        </w:rPr>
      </w:pPr>
      <w:r>
        <w:rPr>
          <w:color w:val="000000"/>
          <w:szCs w:val="24"/>
        </w:rPr>
        <w:t>（4）加大通识课教改力度，为学校</w:t>
      </w:r>
      <w:r>
        <w:rPr>
          <w:rFonts w:hint="eastAsia"/>
          <w:color w:val="000000"/>
          <w:szCs w:val="24"/>
        </w:rPr>
        <w:t>“</w:t>
      </w:r>
      <w:r>
        <w:rPr>
          <w:color w:val="000000"/>
          <w:szCs w:val="24"/>
        </w:rPr>
        <w:t>新农科</w:t>
      </w:r>
      <w:r>
        <w:rPr>
          <w:rFonts w:hint="eastAsia"/>
          <w:color w:val="000000"/>
          <w:szCs w:val="24"/>
        </w:rPr>
        <w:t>”</w:t>
      </w:r>
      <w:r>
        <w:rPr>
          <w:color w:val="000000"/>
          <w:szCs w:val="24"/>
        </w:rPr>
        <w:t>建设和</w:t>
      </w:r>
      <w:r>
        <w:rPr>
          <w:rFonts w:hint="eastAsia"/>
          <w:color w:val="000000"/>
          <w:szCs w:val="24"/>
        </w:rPr>
        <w:t>“</w:t>
      </w:r>
      <w:r>
        <w:rPr>
          <w:color w:val="000000"/>
          <w:szCs w:val="24"/>
        </w:rPr>
        <w:t>双排头兵</w:t>
      </w:r>
      <w:r>
        <w:rPr>
          <w:rFonts w:hint="eastAsia"/>
          <w:color w:val="000000"/>
          <w:szCs w:val="24"/>
        </w:rPr>
        <w:t>”</w:t>
      </w:r>
      <w:r>
        <w:rPr>
          <w:color w:val="000000"/>
          <w:szCs w:val="24"/>
        </w:rPr>
        <w:t>贡献本专业力量。工商管理专业教师除了承担本专业主干与主要课程的教学任务外，积极承担全院各本科专业的有关必（选）修课程的教学任务，并针对我校特色积极探索适应</w:t>
      </w:r>
      <w:r>
        <w:rPr>
          <w:rFonts w:hint="eastAsia"/>
          <w:color w:val="000000"/>
          <w:szCs w:val="24"/>
        </w:rPr>
        <w:t>“</w:t>
      </w:r>
      <w:r>
        <w:rPr>
          <w:color w:val="000000"/>
          <w:szCs w:val="24"/>
        </w:rPr>
        <w:t>新农科</w:t>
      </w:r>
      <w:r>
        <w:rPr>
          <w:rFonts w:hint="eastAsia"/>
          <w:color w:val="000000"/>
          <w:szCs w:val="24"/>
        </w:rPr>
        <w:t>”</w:t>
      </w:r>
      <w:r>
        <w:rPr>
          <w:color w:val="000000"/>
          <w:szCs w:val="24"/>
        </w:rPr>
        <w:t>人才经营管理能力培养的经济管理类通识教育选修课的教学改革，开始进行《营销管理》课程教学改革探索研究。</w:t>
      </w:r>
    </w:p>
    <w:p>
      <w:pPr>
        <w:spacing w:line="390" w:lineRule="exact"/>
        <w:ind w:firstLine="480"/>
        <w:rPr>
          <w:rFonts w:eastAsia="黑体"/>
        </w:rPr>
      </w:pPr>
      <w:r>
        <w:rPr>
          <w:rFonts w:eastAsia="黑体"/>
        </w:rPr>
        <w:t>2</w:t>
      </w:r>
      <w:r>
        <w:rPr>
          <w:rFonts w:hint="eastAsia"/>
        </w:rPr>
        <w:t xml:space="preserve">. </w:t>
      </w:r>
      <w:r>
        <w:rPr>
          <w:rFonts w:eastAsia="黑体"/>
        </w:rPr>
        <w:t>教学管理</w:t>
      </w:r>
    </w:p>
    <w:p>
      <w:pPr>
        <w:spacing w:line="390" w:lineRule="exact"/>
        <w:ind w:firstLine="480"/>
        <w:rPr>
          <w:color w:val="000000"/>
          <w:szCs w:val="24"/>
        </w:rPr>
      </w:pPr>
      <w:r>
        <w:rPr>
          <w:color w:val="000000"/>
          <w:szCs w:val="24"/>
        </w:rPr>
        <w:t>本着</w:t>
      </w:r>
      <w:r>
        <w:rPr>
          <w:rFonts w:hint="eastAsia"/>
          <w:color w:val="000000"/>
          <w:szCs w:val="24"/>
        </w:rPr>
        <w:t>“</w:t>
      </w:r>
      <w:r>
        <w:rPr>
          <w:color w:val="000000"/>
          <w:szCs w:val="24"/>
        </w:rPr>
        <w:t>宽口径、厚基础、强能力、高素质</w:t>
      </w:r>
      <w:r>
        <w:rPr>
          <w:rFonts w:hint="eastAsia"/>
          <w:color w:val="000000"/>
          <w:szCs w:val="24"/>
        </w:rPr>
        <w:t>”</w:t>
      </w:r>
      <w:r>
        <w:rPr>
          <w:color w:val="000000"/>
          <w:szCs w:val="24"/>
        </w:rPr>
        <w:t>的原则，以及注重理论基础和实践能力培养的宗旨，根据社会需求变化，不断完善专业人才培养计划。具体做法：</w:t>
      </w:r>
    </w:p>
    <w:p>
      <w:pPr>
        <w:spacing w:line="390" w:lineRule="exact"/>
        <w:ind w:firstLine="480"/>
        <w:rPr>
          <w:color w:val="000000"/>
          <w:szCs w:val="24"/>
        </w:rPr>
      </w:pPr>
      <w:r>
        <w:rPr>
          <w:color w:val="000000"/>
          <w:szCs w:val="24"/>
        </w:rPr>
        <w:t>（1）创新教学内容。坚持以主干课程为主导，以社会对人才培养实际要求为主要内容选用教材，建立模块化的教材体系。 一是根据需要，参照国内外其他高校同类专业课程设置状况，适当增减课程，并合理安排时序，以优化课程体系。二是合理界定专业教学指导委员会、教研室及课程组的职责与功能，使围绕课程建设的教学研讨活动常规化，调动各方面进行课程建设的积极性。三是围绕课程内容、配套材料、教学方式、教学手段开展教学研究。四是以课程组为基本单位，充分发挥课程负责人及主讲教师的作用，以课程组为基础组成项目组，完成各类课程建设项目。</w:t>
      </w:r>
    </w:p>
    <w:p>
      <w:pPr>
        <w:spacing w:line="390" w:lineRule="exact"/>
        <w:ind w:firstLine="480"/>
        <w:rPr>
          <w:color w:val="000000"/>
          <w:szCs w:val="24"/>
        </w:rPr>
      </w:pPr>
      <w:r>
        <w:rPr>
          <w:color w:val="000000"/>
          <w:szCs w:val="24"/>
        </w:rPr>
        <w:t>（2）转变教学方式。一是在课程体系设计上，按照省重点专业建设目标和我校按类培养的教学模式，现已形成通识教育课程、专业基础课程、专业必修课程、专业限选课程、个性发展课、实践教学环节六个模块，按照研究性和实际应用型培养目标在各个模块进行课程修订。二是在实践教学上，注重充分发挥校内专业实验室的优势，在利用校外利用好校外实践教学基地上做文章，培养学生理论与实践相结合分析问题解决问题的能力。三是在教风、学风建设上，通过课堂听课制度、专业教师集体备课、定期研讨等提高老师的教学水平。充分发挥导师制的作用，从新生入学抓起，培养学生良好的学习风气和专业兴趣。</w:t>
      </w:r>
    </w:p>
    <w:p>
      <w:pPr>
        <w:spacing w:line="390" w:lineRule="exact"/>
        <w:ind w:firstLine="480"/>
        <w:rPr>
          <w:color w:val="000000"/>
          <w:szCs w:val="24"/>
        </w:rPr>
      </w:pPr>
      <w:r>
        <w:rPr>
          <w:color w:val="000000"/>
          <w:szCs w:val="24"/>
        </w:rPr>
        <mc:AlternateContent>
          <mc:Choice Requires="wpg">
            <w:drawing>
              <wp:anchor distT="0" distB="0" distL="114300" distR="114300" simplePos="0" relativeHeight="251671552" behindDoc="0" locked="0" layoutInCell="1" allowOverlap="1">
                <wp:simplePos x="0" y="0"/>
                <wp:positionH relativeFrom="column">
                  <wp:posOffset>305435</wp:posOffset>
                </wp:positionH>
                <wp:positionV relativeFrom="paragraph">
                  <wp:posOffset>53975</wp:posOffset>
                </wp:positionV>
                <wp:extent cx="5143500" cy="1223645"/>
                <wp:effectExtent l="0" t="0" r="0" b="14605"/>
                <wp:wrapNone/>
                <wp:docPr id="68" name="组合 68"/>
                <wp:cNvGraphicFramePr/>
                <a:graphic xmlns:a="http://schemas.openxmlformats.org/drawingml/2006/main">
                  <a:graphicData uri="http://schemas.microsoft.com/office/word/2010/wordprocessingGroup">
                    <wpg:wgp>
                      <wpg:cNvGrpSpPr/>
                      <wpg:grpSpPr>
                        <a:xfrm>
                          <a:off x="0" y="0"/>
                          <a:ext cx="5143280" cy="1223645"/>
                          <a:chOff x="0" y="0"/>
                          <a:chExt cx="5143280" cy="1223645"/>
                        </a:xfrm>
                      </wpg:grpSpPr>
                      <pic:pic xmlns:pic="http://schemas.openxmlformats.org/drawingml/2006/picture">
                        <pic:nvPicPr>
                          <pic:cNvPr id="69" name="图片 2"/>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514600" cy="1221740"/>
                          </a:xfrm>
                          <a:prstGeom prst="rect">
                            <a:avLst/>
                          </a:prstGeom>
                        </pic:spPr>
                      </pic:pic>
                      <pic:pic xmlns:pic="http://schemas.openxmlformats.org/drawingml/2006/picture">
                        <pic:nvPicPr>
                          <pic:cNvPr id="70" name="图片 3"/>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2625505" y="0"/>
                            <a:ext cx="2517775" cy="1223645"/>
                          </a:xfrm>
                          <a:prstGeom prst="rect">
                            <a:avLst/>
                          </a:prstGeom>
                        </pic:spPr>
                      </pic:pic>
                    </wpg:wgp>
                  </a:graphicData>
                </a:graphic>
              </wp:anchor>
            </w:drawing>
          </mc:Choice>
          <mc:Fallback>
            <w:pict>
              <v:group id="_x0000_s1026" o:spid="_x0000_s1026" o:spt="203" style="position:absolute;left:0pt;margin-left:24.05pt;margin-top:4.25pt;height:96.35pt;width:405pt;z-index:251671552;mso-width-relative:page;mso-height-relative:page;" coordsize="5143280,1223645" o:gfxdata="UEsDBAoAAAAAAIdO4kAAAAAAAAAAAAAAAAAEAAAAZHJzL1BLAwQUAAAACACHTuJAf+YYxtcAAAAI&#10;AQAADwAAAGRycy9kb3ducmV2LnhtbE2PQUvDQBSE74L/YXmCN7vZaCTEvBQp6qkItoJ422Zfk9Ds&#10;25DdJu2/d3uyx2GGmW/K5cn2YqLRd44R1CIBQVw703GD8L19f8hB+KDZ6N4xIZzJw7K6vSl1YdzM&#10;XzRtQiNiCftCI7QhDIWUvm7Jar9wA3H09m60OkQ5NtKMeo7ltpdpkjxLqzuOC60eaNVSfdgcLcLH&#10;rOfXR/U2rQ/71fl3m33+rBUh3t+p5AVEoFP4D8MFP6JDFZl27sjGix7hKVcxiZBnIKKdZxe9Q0gT&#10;lYKsSnl9oPoDUEsDBBQAAAAIAIdO4kDfb/PhzAIAAKsIAAAOAAAAZHJzL2Uyb0RvYy54bWztVslu&#10;2zAQvRfoPxC6O1oiW44QO0jtJCgQtEaXD2AoSiIqkQRJL0HRW4G2t977KQX6N0F+o0NSdhI7QIIu&#10;hwI9WBouM3zz5g3lw6NV26AFVZoJPgrivShAlBNRMF6NgrdvTnvDAGmDeYEbwekouKQ6OBo/fXK4&#10;lDlNRC2agioEQbjOl3IU1MbIPAw1qWmL9Z6QlMNiKVSLDQxVFRYKLyF624RJFA3CpVCFVIJQrWF2&#10;6heDLqJ6TEBRlozQqSDzlnLjoyraYAMp6ZpJHYwd2rKkxLwsS00NakYBZGrcEw4B+8I+w/EhziuF&#10;Zc1IBwE/BsJWTi1mHA7dhJpig9FcsZ1QLSNKaFGaPSLa0CfiGIEs4miLmzMl5tLlUuXLSm5Ih0Jt&#10;sf7LYcmLxUwhVoyCAdSd4xYqfv3949XXzwgmgJ2lrHLYdKbkazlT3UTlRzbhVala+4ZU0Mrxernh&#10;la4MIjDZj9P9ZAiUE1iLk2R/kPY986SG8uz4kfrkAc9wfXBo8W3gSEZy+HVEgbVD1MPyBC8zVxRo&#10;t9H4YsbITPnBLbIO1mRdfftx/eUTSmw+1sHu8R7YQjkX5J1GXExqzCt6rCUoEjiwu8O7293wznEX&#10;DZOnrGksvdb+sy2CVE7bCwqVV8+LGGoDTW+g+lIxbpyWoXzn2tjTbSGdmt8nw+MoOkie9Sb9aNJL&#10;o+ykd3yQZr0sOsnSKB3Gk3jywXrHaT7XFNLHzVSydWvF6U5F7pVu116+KVxzoQV2LWyJc4DWbwcR&#10;pixDFqs2ihpSW7ME8l4B4d5ns+CYviHXlkGDtq3HY9ScgJwH0Y2aY0jc1fPGXSptzqhokTWAYMDg&#10;GMULQOvRrLd0OvAAHDLA46UExt9XcgaJ+LbvlLz/bys5+a/k+5ScDJJ+P+oHaPd2Bj1nWQZLW7fz&#10;5o6Fi+y39ezuafiGua7tvrf2I3l7DPbt/xjjn1BLAwQKAAAAAACHTuJAAAAAAAAAAAAAAAAACgAA&#10;AGRycy9tZWRpYS9QSwMEFAAAAAgAh07iQN7gJCNMGQEAPRkBABUAAABkcnMvbWVkaWEvaW1hZ2Ux&#10;LmpwZWcAAID/f//Y/+AAEEpGSUYAAQEAANwA3AAA/+EAjEV4aWYAAE1NACoAAAAIAAUBEgADAAAA&#10;AQABAAABGgAFAAAAAQAAAEoBGwAFAAAAAQAAAFIBKAADAAAAAQACAACHaQAEAAAAAQAAAFoAAAAA&#10;AAAA3AAAAAEAAADcAAAAAQADoAEAAwAAAAEAAQAAoAIABAAAAAEAAAJdoAMABAAAAAEAAAEmAAAA&#10;AP/tADhQaG90b3Nob3AgMy4wADhCSU0EBAAAAAAAADhCSU0EJQAAAAAAENQdjNmPALIE6YAJmOz4&#10;Qn7/wAARCAEmAl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sA&#10;QwABAQEBAQECAQECAgICAgIDAgICAgMEAwMDAwMEBQQEBAQEBAUFBQUFBQUFBgYGBgYGBwcHBwcI&#10;CAgICAgICAgI/9sAQwEBAQECAgIDAgIDCAUFBQgICAgICAgICAgICAgICAgICAgICAgICAgICAgI&#10;CAgICAgICAgICAgICAgICAgICAgI/90ABAAm/9oADAMBAAIRAxEAPwD9JfEPwH+JvhM513RtRtQv&#10;UzQso/MjH615xd6RrFo2ZYiv1BzX6s+Gf+CrTXyrF418OWFyh4YwMy5H0feP0r0Iftc/sS/Ej5fH&#10;XhVbOR+JJRbRsR/wOIq/6V8ZHLqb+Goe79dmt4H4ly3U0DfvMHFSJrsyEbSRzxzX13+1en7LV3cW&#10;958AnvIZCT9qSUsbcg9NgkG8Ef72PbvXw84A/iz9RiuTF4R0ZcrafodWGxKqR5rWPR7PxtqlqQyT&#10;OCpyMMfzr1jwv+0Z8RvC8yvo2rXtts6eVMwH484r5fLNj0pRJIvIJ/z+FcqrzjszsWHhNXZ+ovhL&#10;/gop8ZtBCLqN3DfouMreRhif+BDDfrXoni3/AIKXeMNe8NPpOm2Vrp91KhV7u3LFgCMfKGztPvzX&#10;49/aG/2vz/8ArUj35Q4I/lXRHNa6VlIxqZVRnuj1Tx14v1HxhqU2p6vNJcTysS0srFmOeeSa8omG&#10;1yM5xTDfO57/AEFV3m9Ac+//AOuvOqVdbtnowgoqyGyS5+Vfxqr5jdf6n/H+lOd+/cmocGsac92y&#10;i4bsdh+v/wBaklWxuVxcRo/+8AT+eM1SLADPtmovPUc4P+fzqJzk+g0Ml0HRpmJVWjz12H/HNZcv&#10;g+LnyZgfQOMc/rWx9qA7H8//AK1L9sX/ACam7a2NFKSehyM3hbUowSibh/sEGsC702eJh56Few3A&#10;ivUF1Dac5P51Ob0SL+82sPRhn+dNQvujuo46pFni0lqCMYI96xr3SLa7+W5QMP8AaGeK90e00edD&#10;5kKqT12cdfoRWRL4Wspsm2mZPQOAw/TFZyw/Md0cyi37yPnu78FafPkxFkPbHSuSPw4ktcLashxw&#10;Cww2B0BNfTU/hC/Rd1v5coH9zr+RxXO3Gj3Vu5+0Rupz3H/1q5pUUuho61OXwnzte+G9VskIeNvT&#10;cnzf418g+OfgL441W6e9i1mbUmz8seokq6j0XH7sD2AUe1fp0bVfunNZ9zpEFyMToh78gUo80HeG&#10;h2eyTVtz8YNV+EvxA0MmS50yV0Q482EiTgey5P6VwM1hd20pEwkhfusilW/Lg1+4c3haxkyFQqT3&#10;Xj/EVxuufC/RdWi8m/tbW5XniaMZ598GuhZhOPxRuZ1Mtg1c/GrDhfnG49M0gAxhz+dfpN4g/Za8&#10;IagGezt57N2/itpMgf8AASCP0rzGb9kmeKfEepusf/TWDLfTIYD9K3hmcHurGLyyS0i0fFYY+xrp&#10;vDfhjxV4gvE/4R6zvJXB3JNACoXHcPwB+dffPhn9m7wbozxz3cEmoSjC5m+6Se+0YUfU17rafD26&#10;MSW0EdtZQxncqRLkjHoowoI991cuIzV7U0dFLKm/iZ8x/C3wl8adFvIb3xXrP/EvjJMlleOLl2XG&#10;P9a2WTH+9j2r6MW1tNVXy1hjn5wNyBx+BIINeh6Z4F0yFlluzLcupyGnOQD6hcBV/wCAgCu3ttPt&#10;bWPy4Y0Qf7I9K8mrKU3zM+mwVJU4cqPK9H8J3ltIptLaO2iJLOVVU3E+y47969AtfDyKQ0zu5PJQ&#10;YArphC/Ycewq5HCq4fnOKmMe56Pt5dyhbW626+VEu1ewq/G7Z+fP5VZUZNSCLccLmtDJu462B8wG&#10;tCooYjGpHUn0qbDe9BqmhQDkVOBk4po6CrKwZGW/Sg6KU4pakkahQQDmpKQADoMU8KTyKDRVk3YT&#10;B61pQ/6oVTVeNuM1bgVsEYI9qaV9DW6J8E9KtxICfYdajVSRgCrcSFM570jNVlexOMHir1thTn8M&#10;VVRePercCsGPBpqLZqdpod69pKtzHwysCOa+pdG/aT+IGl6Iuj2eo3McKpsCLIwGPTGa+QYHwuB2&#10;q2JpDwWOMdM16tDEzpr3HY4sVl9Ks06ivY7zxZ4s1DxLdPe38rSuxJYucmuFJJOTTA4J/wAadXJW&#10;i5a3O6jGMFyoXBPSpY488t0p8JAXBPep65Da6FwaMH3qRSNtOHTirhPlGlF7sS3IEoJrSrJIJJx6&#10;1qb19RXajsjViy9bXBibIr6J+Fv7RHxI+Fl1HJ4b1CQ242hrWZi0RUdgDnGBwOoHpXzUOOatRyso&#10;4/z/ACrejiZ05c8HZnNjcBTxEeWrG68z91PhP+3n4G8WC30nxfC2nX8nyPKSBb59dxPA/wA8V9va&#10;drEmt2a32ly2jwyDck0TmUEfhgfrX8rVvOV5U4PtX0L8KP2kfib8KLpf+Efvna1BG+yuCXhYD/ZP&#10;T8Pyr7TLuJ01y118z8rz3wyhK88E7Ps9vkf0Vm0vJR++upM/9MVVB+oY/rQdHsn/ANcjy8YPnO0g&#10;/JiR+lfFvwa/bi+Hvj7ytJ8XbdG1B8DMjZt3P+y/b8fxxX2/Z3trewLc2kiSxuAUeMhgQfQivqKV&#10;aFRc0HdH5HmOUYjCz5K8HEda2tvax+Vbosag5CoNo/IVapNy0tanmBRRRQAUUUUAFFFFABRRRQBy&#10;fjHwbonjfSf7K1uNjscT2txCdk9tOnKTQyDlJEPII+hBGRXn9p4w8W+BIv7D8cWV/q7IcWer6TbG&#10;X7TEO88SY8qVeN2PlbOV7ge2UVz1KF5c8XZmkamlmrn/0PQrbWjtCpLyOOuKkvtY8TBN2k3EauP4&#10;ZBnPtXk8V1g/eB+mKvrfSAblY8V8Oj6ho6xvHHxDtpUjnsra5XJ3nJXGOmNpBOfrx710uk+M77Um&#10;Md7YTWjAZ3Fw0Z9gD8w/M15FN4ouYMlHY7epPQVlL8RdRglj3xht2SsW0GWQdMgZGxf9o/lSkk1a&#10;wRSR9MRatI3f3yKvR6oxGcfnXyr4n+Png/4e6CNd8dyRWi7fljibfLI4HKxJ1b+Q7kV5Tof7fn7P&#10;OrXIiubvU9PzxuvrQhB/37aQ/pXJKg+xftY9dD9CE1HdycCnvdwOd2cdsV82eHP2gfg14tAPh7xP&#10;osxYgKktykEhJ9Em2N+Qr1WPUftEazQssiEDbJG25SPZgcGuaVNrdHRQqK+56GHQqMMM+n/16jZw&#10;O4z9a4hNQbaMk5qX+08jqRXLKmrts7Uzq2bALGqjyF8HJyOtYS6q4GN2Qexq0NRVjlh+IqaaS+IC&#10;1vfpn2qPzOdmTn0pn2mBh3BppEUg3ZAPvRUndqwIe8oXjOT6VXa5HQA01rct9wqT7VTmtpwMEE49&#10;qPaSXQ1U+5cNye38qYb5hnPbrWRIXjGGHANQlyelRKo2Wbf9oH1qRb1iMg9fp/U1zLXGDj0NMe55&#10;9vep/eXNqdO+52S6iy/dP6irEepPjO7255rg/tJB6CpluVPWk5S2aNlSR2jNYXB2zwROT1JXH8qr&#10;TaHpFx/qt8Z7EHI/JqwUvCo5wR3NWU1GQEKAMUK1tTaMmtnYdJ4TuD81vNG/+y3yn+tZdzoGqQDL&#10;QOw9UG8H8q6RL3jIHarsV+5GCxH41HslJPU66eOqx8zzZrUK2SDnPQ8VGYozkMo79RXrv2uGdf8A&#10;SkSQdPnUN/Oq8mjaBeAnyjGTzmJiP55Fcs8LbZnXTzNfaieWpFAi4VQKsg4INd1L4Hjf5rO4/CRc&#10;fqCaoP4Q1iHLRoswB/5ZsOPwOKwlQkuh6FLMKL+1YwUORnGKeBnirNxZXlp/x8xSR+7qQPzqFUbO&#10;ahxa3R6FKut4u5fWRAoBPapR83SqYicjNXohhRntQot7HVCr3J1VecnH4VZiQDDjuKIkwNx61aRN&#10;x5+lP2cuxaqIfEvPTPtVpUVxu24HbmnRRBTlv/1VKq8bVH4VUKbvqi0xojj4+uauCBsYA4NRLDI3&#10;QfnxWkOBit3STG2ZmFbpUqqTwoq75SMckZ+lSJEAOBjmuWas7AmRxRYGDj61oRw4PzDApkUW48cD&#10;vV2kot7BOp5ixQk5EYzVpbdG4DHjrxUce5OR3qzB1J9q6I0O5kqyYqRYbJ7dKuJj8aaq5GTUgGK1&#10;jBLY7aFd7FiFDnd2/nVmoI3Zz6AdanqjuTvsFPDEdTTKKBk4OeRVuJxjaTzVSKNm+YfSpvJes3ST&#10;1At09GwMGoYwVQA0hlUHBpexiNOxPhs5WpkYFgfQ1T+0D1NPBGcAitQTd7mp5kfrT0mXO0HP+fpW&#10;aMjuDTwXXletR7WJ2RryvqjVWTmrSTsnbPGKxI5nDfvOlWkmVuENaRd3odKknsb0F245Xgg/l6V9&#10;H/Cj9pv4ofCm5A0e+lntcjNldO0kX4Anj+XrXyuHNTrcMOh6dq68PiatJ3pysc2Ly+jiIOnVgmmf&#10;vn8If23vht4+8jS/E7f2PqD4QiXmFmPo31/x4Ffa9lf2d/bJd2Usc0TjckkTBlYHoQRkGv5SLWS+&#10;kOIUcj2Br6P+FH7SvxW+FE/kaTezyWpPz2lyTInHXG7OP84xX12XcRuStXXzR+U5/wCF0ZXqYGVv&#10;7r/Rn9GW9aRWy2K+HvhH+3H8MvHqQ6b4pLaJfvhD9ox5Dv8A7LgnGT619q2d3a39ul3ZSxzRSDck&#10;sbB0YeoIyDX1NGvCouaDufkOY5TiMLPkrwcWXd606q9PDnvWp57JaKZ5i+/+fwo8xff/AD+FAkh9&#10;FRbzmlLntQNqxJSAg9KiLkjFIC46A/hQI//R8/gZ8nBxV1XkPGaxre+tiSNw7da04pUblCCOma+H&#10;PsbMkeNZAVYAg8YPT8ao2+l2dln7HFFGW+8VUDOPXHWteNVfIzz2q/FAjDAH4UE2l2Plj4nfszeC&#10;fihrDa/rtxq0d0V2KYLnfGoHQLHMsiqPZcCvnrWf2DY3JbQPETJwcR3tpx+LxOf/AECv07jtk2gE&#10;flxUwto1IKj/AD+lNOxMqae5+NWp/sX/ABb0ly2lSaVqAHA8i48lvymWOszR/g1+0l4Uvlj0Gy1u&#10;zkLAedp1yVQehMkTYAHrmv2oFlE5xtB+v/16mi0W0lbLRrnpx/8AWolJ20M3h49D5o+Cmg/G3wfG&#10;l78TPFWoanLLHth0cBboBsfxTyK0hK/7DAepI4r6ps9fukhzqCKr/wDPPILL/vEcfln619DfA79l&#10;f4ifHm4utO+HFlPdy2sH2iZYyAFXOOrEDk4wK8m8e/CrxP8ADrxHc+F/FFvPaX1rIY5oLlCjowPc&#10;GvOq0Zpc7RrTqJPli9jnovEEUh2SKfqprUj1O3kGRmuOOkXO75SDkZ4/yKf9gvgmdjf7w/8ArVzn&#10;V7W3mds2oA8Ix59TUi3bD5st+FcEGuYuWDKe4Iq5DdSgge9JpFxbb3O9F7Kn3skDvVqLUR1yf6Vx&#10;kd/IGy9akN7C/B44pKCNTqDqEb8OAfrzUbSWcpwY1/3hxWMkkLcA89qs+UC2IyDVWC5cbSrSTLI7&#10;Kc98Gqz6JI3+pdW/Q1PEkwyPxq5GZV5wc1CbuX7RmC+iaguTsJHqvNUGt7iI7XVl+oIrv4JpcBzk&#10;GrqSvKRu556HmuarBrU1WJZ5kGf7pz7inpI3BYnryK9QawsZzmaGNvUgYJqA+HNMnHyB4/8AdOf0&#10;Oaxs+hvHFrqjhIpzyFJHt/nNacU28YPB7it2Twi3LW86+yuuP1FRHwrqadAp9NhH9SKlxl1Rv9Zg&#10;2rFWOVgM/pWlHK20Hpx2r1bwn+z78VfF+iPr3h3Q9TvLKM7Xure2keNT6FgCKyNR+GXizRmMWpWV&#10;xCV4PmRsOlbeylbWJLr027JnJwzsB8pw1a9tdnfgk57Un9gXkJ/eKQRnkg0iWbxP8wJI9qmFV25S&#10;tGrm3FfFjh+fUHkH61I+naBenM9pESed8Y8s5+qY/WsnynB+YEd6uQt/CT9BVS5bJjjo7ojfwNpM&#10;7f6NPNFns+HAP6GqcngDVA26zaGb2Rtp/JsfpXQRTshx1Ga9m+EPw/8AEvxU8WQeE/CkcUl3IC+J&#10;pY4UCjqS0jKO/TOfarpUIS0ih1Mxr01fn0PmuXw3q1m2Lu3lQepU0qaXIo5HTnNfvL4D/wCCcviJ&#10;4El8X6tZ2wIy0doDO358L+RNL4u/4JvaoxZtCvdOvh1C3CmCT6Zww/WvUlw5WcbxOenxpCMrTV/Q&#10;/B9bB8jP5VItkyfM3HoRX6deMf2D/iRoG9jo95tXJ8y0YToR68buPyr5o1z4CeJtKlaG4jdGU42z&#10;Rsh/r/OvPq5ViIPWJ7OG4qw9Rr3rHzAsLA9SfrU3lsn3xXqV98OtesdzS2shAP8ACNw/SuVuNGuY&#10;TtZCD6EYrhnTlH4lY96hmlOfwTTObSMt93FSCE55x/n8Kvm1lQn5T61DXL7P3m2d9OvfcaqBBgVI&#10;oJPFNoq4QsTObZYqzACAT61ngkdKmWUj2/z9K0MzUVgBg1IDuGRWWs+Bt/KpEnZevNBpTnZmtE4T&#10;Oc81L5y+/wDn8ayVuh1fIpy3UR7k/h/9eg9ClVVtGannL7/5/Gno4fpnisr7TF7/AJf/AF6UXqR9&#10;CRn2oNliH3NpZHQYU4qVbmQDBwfrWD/aK+p/KmfbYyc5P5Gg0+tLsdILmT/ZqJpQTk/p0rnzeKDj&#10;P6Gk+2r/AHv0NBar90dB5i+/+fwpRKAcjNYAuh13fzpRcj1zQbnRi6b0FSC6bB5+lc+bqUcnGPp/&#10;9emfbh6n8qydKPYrnZ0X2qT1FPF2+MJgH29P0rmvt49fzFSJeA8kgjp+NXCFg5mbktxfumLcjI5O&#10;a8l8V/Dzxx421IWk3iPXtPsyuWi0KZbV39QZVQyD/gLKfevS7e6G7jrX6A/suaH+zlPp13rXxj1U&#10;RTIVFrYxq5yADuZmAPsAB+favQwGG9pO3Ml6nj5vmLw0FUUXLyR+YXg34B/Bbw1qQm8UaFrOuSLh&#10;mudc13VLiXcOfklklldGyOCmMH0r23TIdG8N6bHp/h+51iaLfJIY9Yn+1SwqzEpGlwx3yqo4BYBv&#10;rXuP7R+rfCOTxg3/AAqR7htOEQB+0KF/eDOdvqp7ZFfLMmorksxH51vVm4t0+bQ9TLsZOrSjNppP&#10;ozvU1mZCCDX0X8J/2qfij8JpUTQdQeS0yC9jdEywsPTB6enHSvjL+1EHfj60HV1XBB/KsaWOqU3e&#10;ErHZi8voYiPJWipI/oq+Cv7dnw0+IyRaV4uZdE1JsJidv9Hkb1V+30PT1r7ntbu1vYEurR0likUM&#10;kkZDKwPQgjg1/HqmvLE+S3bpX0T8I/2vfix8G38rwpqRe2xhrG9zNAfTCt0x7Yr6vA8SppRrL5r/&#10;ACPyjPvDBSbqYKVvJ7fef1DuAOlM7Z7V/N/4i/4KJ/tFa8WjXWI7JDxtsbeKI/g23dXhXiL9pj4w&#10;eJgTrniXV5wc5V7lwOfYGu6fEVJfDFs8LC+F2Mk17SpGP4/5H9T2oeIdB0dDJqt7aW4Uc+fMiY/M&#10;ivI/EP7TfwG8NAjVvFGkq6j/AFcUwlf8kzX8tF/431C+y91czTE9TM7OfzY1iN4jdjndXFPiST+G&#10;Fj6DD+E1NO9Wu36JL/M/o91//goZ+zzo7MlhcahqLLnItbZlHH+1LtFeL6r/AMFRPBcVzt0fw5qM&#10;sWPvTTxxtn6KHH61+DM2uyZAZuPX1rKudd/ecNjjsa46vEGI6aH0eF8M8rh8cXL1b/Q//9IHg1XH&#10;7yIHHTjP86D4FgPzCPbxuyuR/KvpWHw8rcNirq+Gk25A6H/P4V8osK2fafWvI+XV8EtES0TSjvwc&#10;9fqKkXwzqMRJhdj2G9c/yxX1OPDEcn3V6etTp4Tib765pfVg+trsfKo0fWIhgiNvzH+fyp6Wupwk&#10;h4CScfcYH/Cvqh/B1swwVqs3gqPPTP4VLwkuhmsTDqj5mjkKHM0Mw+qk4/LNaUN3aI2dwUg9G4r3&#10;2TwMrDCL3qjL4CV+Cme3TIrKeHlsN1qTZF8Mfjj49+FV6178P9WutMllXbLJaSFS4HY4OCPrSfE3&#10;4p+MPi7rA8RePLyTUb4RrD9ruOZCi/dUtjJxniqsnw9hAwIowe/GDzVM/D/b/q/NQ9flc/1zR7Gb&#10;jyvYx9zmujgvsylsgmlECg5ya7WTwReDGyVh67wG/wAKrzeENVUZheNvZgR/U1yxoNXui1NM5oxA&#10;kbsGkNhFKeUGD7Y/Wul/4R7WIlOYVfjsw/rimDTtTj+/bPgDtg/1puinrYq5z40a1Zdu3GfSpB4d&#10;t2+6zj69K22jljO145F+qn/CrMcibQMjPTFDpIPaNLRnOf8ACPyocRNwPWnJpd6nUAjttNdUB6f/&#10;AFqlI28dKh4eJHtpXucsIbyIcqcZ6YzV2OWYINwIxW8quR8uanjg3DLD8D0rKWF7B7aW9zNsLgW8&#10;vmvFFNkfdnUsn/jrKf1rvNM17w0526rosb8cvZ3MtufwU7x+dcq1tFnkY+lWLe1Tdxkf4VSoNEOb&#10;Z6/p8PwV1JfLe48R6TIcZeVLe/iH0VBA2Pq1dSnwi8E6qA/hnxtoEjHlYdVS406U/XKTRj8ZBWP8&#10;PfgP8SfiXomoeIPBGlXWoW2mKGvJIE3eXkE4xwScDOBzXk1zFc2szQsvzKcEHgg1M8NZK8CY4lt2&#10;Uj6BH7NPxXmXz9DsbXWI+z6HfWuoFv8AtnBK0n5oDXAa94A8aeE3MfiXSdR09geVvLaWA/h5iivO&#10;IdX1GzYPDI6Fem0kdK9U0H9o/wCM3huI2ul+JNZhh27fsxuXkhIPYxOSh/EGpdKHmjV4ib0PXvhN&#10;+1T8aPhDYR6H4R1u7gsYWLJZSYlhGeSAjg7QT1AxX1xpn/BRDxHq8QtviL4c8Oa2hXDvc2o3sPqS&#10;efoK/JK68Q3d3dSXk53SSu0jtwAWY5JwB606LX2X/WDHpg04YurDaRk6EJa2P2Kj+M/7F3j/ABH4&#10;08FPpU0n37nSJcAZ9EPSrS/s+fsO+Pl83wn4xvdJmkPyQakq4B9zsA/8er8f08TIMYJHvWlF4ruU&#10;JEUxyDzWv1xS0qU0/kT7Ca+GbR+quqf8E2r7Vka7+HPifQtaTqqxTBW+ny7xn8RXz54v/YQ+Pvhc&#10;PLLoVzcRrkiSyAuMj6Rkt+lfK+i/EvxHp8oNvqeo2S55m05kW4XHQoZQyA+5U/Q19g+Ef23Nf8La&#10;etlb698Q/MSLYJbrUNL1CJ2xjLRNZW5HP9yQY7U1h8HNXcXFlrE4qm9Hc+LvEXhfWvCuqSaNrttc&#10;WtzFjfDcRtG656ZVgCPyqLTbiewkWaFirg5BBxXS+Pvi34k+Iuty+I/GN3Nf3cvytPcMXcKOijPQ&#10;DsBwK8//ALYtfQ/5/CvI9lCMnZntfWJTirqx9geA/wBq34x+Bgkeja5eiJMYhmkaVB7bXyBX2F4S&#10;/wCCk3xEsykPiC006/UHLNsaNyPqrYz+FfkRHqsJ7kZq5FqQALIR+J5rqoZlXh/DmzmqYKjPeJ/Q&#10;j4Q/4KJ/DTV9kfiOxurJyRueFlkUfgdp/Wvf9P8Ajb+zn8TYlt7jUNKnaUf6rUYwj/Tc4wP++q/l&#10;4g1uaNsrnjrg1qweMb63kDRPIp9jXqUs9rx+NJnFUySk/hdj+mjV/wBmP4C+OIze2FpFFuH+v0uc&#10;bc+v8Yr598af8E8/Cmrq7eHNUeMkHal9Esg+gZACK/FjQvjz4+8NyLNpGqXkDrwDHKycfUGu48Qf&#10;tj/GbXtLGmaj4g1KWIKVKGdwGH+1g8/jW9XNcPOP7ykc9PKq0X7lQ7n9oH9mn/hTN2I9Wv8ASJRI&#10;xCRWN4rzYH96Ejcv418m3GiaduJilxg87wD+orntd8c3+tTG4vpXkc8ksSxz+Ncw+vSD+P8AA185&#10;VlTqT92NkfXYKWIpxtKpc6250qRT+6w3+73FZE0UsKkyAj6ishddlbo5/wA/nU41mVh8zcehP/1q&#10;56lGPRnr0szqReuoGR/f6VH9pIU8/iakfULabBkAz0yOP5VEwsZkKozqfXqK53TOuOcR+0hPtQ/v&#10;frTHvAqkqwJ9M1TmtJRk27K314/nWPNDqEZy8b4Pccjn6ZpOm72sdUMxpvqbp1CX2/OkGpMPv8D6&#10;1yb3rRsUbcD75FQvqCAZYtUHdTxDto9Dr5NSVhgH8yKi+3L6/rXGS6pDGm92CgdS/AqvBrlvdPst&#10;G885xiAGQ/kgY0LXY7I4iNtXY9Bj1IIpGf1o/tJGOZOfxqn/AMIp4xTTE1mTSdR+zyfclS3kbIH+&#10;yAWH1Irl2vVDtDnDrwyHhgfcdRVypyW6HSxNOp8Ek/RnbnVou74+vNNbVo8fK4rz9tSIHI5/z71W&#10;bWIw3U+uO1QdakemLqakZY0g1WP+8R6815Rc+IoIycyIO2Mism58baPacT3UanPALDNJSW51QqSe&#10;h7V/ay56jHbB/nTG1gL3z9DXgP8Aws7RmlNvBN5koAJjjOWwc4OPQ4ODWjB46s3I+0MYepzKQBj1&#10;zV+1gVGM+57curqxwWA96U6tzt3L9TXlUPiBJ1EkLBwRkFTkEVONYY85x7Gtb6BOpKPQ9Vh1ry8/&#10;MOcdDWgniu5SMIsm0einivGhqsjclvpUL6o+7OW/OtFBswliE90esXOvvI3zuW/GqLa1GfvEk+ua&#10;8vOoZOSTz+HNH9pkDBJ468461fsWP68kemnWEz8v8qgk1hsHk/SvOm1URrlhn3JqudXiJzk/lR7F&#10;mscdF7Gz40TxLrPh64tPDOojTr1gDb3JQSKhBGcr3BHFZHgW3+IOkEv4w1tNQHkhBBHCsarJ3YN1&#10;PcAVXbWSvO4n6U0a4rZIPI5x3pPD3lzHo0c8qwoSoRekt9F+e56a+ssvVj6mojrjY+9+deZHWy5w&#10;pJ7mkbU2weMenrXXFO12cKxltz0l9bJz8+eM46/yqm2udznPqa8pvtcu0jIt9m/tvPGPwrlrnVfE&#10;zuHWa2RMkt8pPXpj0qlBsr+0H1PdZdb3fePPtWc+vYY/N+Zrx+11a8jBa8nWU46KMAVIdYXJwxH0&#10;pOLNVjL9T//T+5odK28bR7Vpw6bn5Rjr0rooLMjkfh/nFasNjyD3xmuCnQtuesqj7nOLpqrggf5/&#10;X+VXYtMbONoJrr4dP7sOfetKGywBj9BWjguxk2cWNHOPmUVYi0aMHLLn6f4V3sViCc47Z4HP8qvR&#10;2Geo/OplQTYXPOjosDdVP5YqM6FGUJxj5jj39q9QGnKRghfx/wD1U86ZuHQY6cf/AKqSoR6hdnkL&#10;aCpbhQfwqpJ4cBPyJ9a9lOk4H+f8KqvpAPA5AHanKhF6WKc2ePN4d2j5kH86qHwzFztjH4V7T/ZK&#10;+jflUZ0uM9QfzFccsPfaI1Vkup4z/wAIynePP5VE3hiMEnZ+leyjSskArUp0ePHQ/p/jUqhLZIft&#10;pdzxM+FlYYK8fSqb+C7Vwd8atkYwRXvf9lL/AHWp66TGecfnSeDX8posVK1j5wf4eWLncIFU/wCz&#10;8v8AI1nXHw5iziEyofZsj9Qa+pP7GhPAGak/sJCMED86SwMW9VYaxT7HyUfAV7GD5c2QOcMg/mCK&#10;oP4P1lBlRG34lT/I/wA6+wP+EbhPO2kPhm3JyYxTeWxuH1p9j44l0DU05e3JPcgg1W/s27gG5oZF&#10;46lTivsaTwjasOF4PbNZkvg6EHhcAdPpWM8sa2ZUcV3R454G+L/xI+G1jc6f4N1W+06K6Xbcx2sj&#10;RiUYxhsEdjXmV7O13cPcP1clm+p719NXPg5WBO1PoRmsO68C2snLwIfyH8q5ZYaW1xqvBO6R81zx&#10;c5HT1OaiEe1d7dPb/wCvXvF54BswCREykf3Ccf1ryfxD4curCZfsx+UsQQa554drdHRCopbGGlvD&#10;KN3r1BApH0y2kGMEfQ4r0fwb4MXVrSeS6WRmRwqsCRjjPat64+HEin91LIvswBH6VP1FzV0hKvHu&#10;eLnRUYfI7D64P+FQPoN+DmKRfp0NetS+CtZiJETRyAHvlf8AGsqXRdat8iSBjj+4yn+eKl4Jx6Fq&#10;su55q9jrMC/cZh7HP6ZrMvb7VrMFnik47ba9GuDPb/66KRD3LqQP8KyH1KItgn8DUvCkSxPQ8gu/&#10;HWoxM6W9nOSmcmVSqHHoT/Qf/W811H9ozRNDnaHWIgHUE+VB5znPu4j2j8RX6TaI37PNx8GNSk8S&#10;NqY8ZJKp05I0Q2TR5GQ5PzA7d34496+TNTstHv3EVzawOp42yKGB/A1NTLra6GlLG8r1R4NZ/tXf&#10;Dy4uDBLb6pEB/wAtvLjaP68Sb/8AxyvS9J+Onw31cgW+qxxluB9qjkt+frIqimP8Mvh1fT+dNolk&#10;WHQomwf+O4zXf6J4T8I6WV/szSreDjqqBsfnWH1N3NpZgtLI17DUxeoJ7GRZUJ4eMhl/OtUXdwDy&#10;Aa2rG2JULBG23P3UUD9AK1zp7kYmtyB6lKf1GVroX9oxOcSQTcMvHXvSPZpKD1Ga96+GfiHwL4Vk&#10;uI/F/hmw1+OcLt+1zTwSQBevltC6cnvkHpXtq3H7J3iFf9K8P+IdEZur6dqC3SD6JcITj/gVJYGT&#10;6jjmUbXPgiTQZ5F3RMp7Y5FZ8uharGMiJmHqvzfyr9AJfg98BdWPmeGPGN5aE9Itb0xtv/fy2kfp&#10;/uf4VwnjL4JX/h3S21fQtb8P6xGrqgSxuJBL8xxnyZo4n474BxWTy2e6Ros5tomj4oks76I4eN1+&#10;oxVbEmcYNfR9npOvRt5erWseMkAoWIx9GH9auP4b02dt1zaRZHAyu05/DFZvLX3NI58tnE+boIpZ&#10;W+QH8qt+TPH9/dz0/wAiv0l+DWi/sz6dpJsvip4b1K+vJGYm+s71okRSflCwgDkDuW5r2iX4CfsQ&#10;eMRu0PXdc0KRuiX0ImjB9yu5v1rWOTTcbqSuV/b8OzPx7UTKCMtjpz15q3HvReSa/Vi//YB8Ka2v&#10;meAfHHh3UC33IbuQ2kh9Btbcf0rwz4k/sP8Axb+G2kSa9qNnBPYxDc11Z3MUy7enCht5/BaP7MrQ&#10;V3H5hHN6U3ufD0mycbJUVx6MM1mS+HrC5yQrox5zG2B+RyK9Lfw5dWzFWQrzj5hjpUQ0ebOSCPpz&#10;XM6Se6OmGP5fgkcjpOm3ujMs+nw6XK6j5TdWi5/4E0eC31Nd5F4r8Q28aOmjW8soB3fZpmSM+4VS&#10;HH0zUK2UiAAjGOK99+COl/Ca811/+Fw3WrWllhfs/wDZUUbsWyd3mGQjA6Y28114XCxbstDLE5i+&#10;Xmep46fj78V9N0+PTNNs7axSJPLG6BpGwPeYsfxrxzxf418ceL1MeuTI+emIIxtHfGF4PvX9Dfgb&#10;4ZfsE67Yi0tNR82R1x/xMLmW3YZ+oWP9av8AiP8A4J2/AXxxD9s8GanGu7LKUMdxFz05iZT+Oa7q&#10;uTVpKyncwwXEtKi7qkk+6P5ZdV8PeILlClnqCQEnC+fG21R3OY1YnHphc+tclc+APFAt387Vzezb&#10;crHagQK7dlBkZtn4mv6GfHf/AASr8WWyNL4UuLO8AyVWOUxuf+AyjA/77r4J+LH7HXxP+GT+Z4j0&#10;6a3Qnas00bCJiPSVCyE+2a4amQ1YauJ9FR4yjLXnsfiz4pg8eeH3k+1eFNVkiTLNcTXMl3b/AFPk&#10;rs/8erzNfiF4wc+RpGkWdq3fybN5G/HzS4/QV+puseBfibpM7PpiFY1GEdA0jAHrkITx+ArlktvF&#10;MTPHq1yT/sIGTB75/wD1VwywDj0se9h+J4taWfzPz3065+PNy4ubGDUIgcZkjt1gQn/vlQa9i0hf&#10;i1qxiTxbpOmXIiyFumnW0uF3Y3bXty23OOcR19KTacQ+4/MeuSarvYE4BA/OhYdLU6J5856cqR50&#10;3g5IFW4srtraVwGlRQXUHuA6GIvj1kB+lbliL2CIJdT+awyN5UAkZ446dK2ms5BzgkYqlLC0fUGr&#10;9nbWxSzCbVuYd9pOMFulQvfYGVb9KoPGynnvWXclmHfpTSuXSrybtc2H1En5ienpVRtQXOQcCsCU&#10;ybcCs98qec5q3T7G/Mzo5NTGMsRjPHT+lVH1ZOgIH4Zrm5yUTKnBrPMvPzEfnTjDuVGbR1p1hzwa&#10;Z/aj9jiuQe8gQcsOfeq51K37MT9BTcUdtK71ufQPwvh8K654rtNP8Z6j/ZmnSSqLq8EZlMaZ+Yqg&#10;I3HHbI+or7n/AGh9I/YY8KfDSO3+DWv6trHiLcnzTwCOBk/jLdCp7gDP1r8mItWkDbYQ/XOcGrM0&#10;2oSAFg3PIFdMKsYwcFFO/U46uVSqVo1XUenRPQ3rzVVDl0PU9BWHLqbk/Ke/IP8Ak1Qe3uTyyk55&#10;qu1tcH7oI9v85rA96NBrpcszas2cMx9qqNqrqfkcc881A2nvICJPwxVY6MzcgmgPZPsf/9T9Qrez&#10;56A/y/lW5Dboo2ge1Pt7cpwOec1qQxcgYyTXOd7fUjitjuGAD7VpQ2hzzx9KmjiAHzj8K0YYzu/X&#10;8qDFV12I47fOMfiauR24Bz1NXIkLLgD1q5DH5YJ9aA9toUUtt54Aq2lmyjAwKvojVcWJQPmGTQRO&#10;rdWMb7K/rULWQ7459P8A9VdLTDGhOSKdmZXZzP8AZeedxprabtGcmuoEaKenNJ5KkjA/CizKjNrY&#10;5X+z/r+dKumg9DiunMKkjHHtU6W2SMLj3osx+1l3OZTTVUep9cVKunbjx/n+VdSLVyfmIH6/4VMl&#10;qgPzZNPkYe1l3OZj0se4P4Vei0hDyQT6c10SWitwF/OtFLYA+uaahcPay7nMLo6Ac1KNGVhlQf8A&#10;P412EdqRxjg1aFo3QEVaghfWH3OBbRk2j5R7VRl0csdpTvnivTfsIIyeD344qtNZL1wCR7UciM/a&#10;+Z5PPo+5iqjgdqypdLyMbfxr1mexVuQOnY1ny6eu3aARnvmpcDanX0PF9T08QwMQvr+lfImu6542&#10;uvHB0mbRIRojSPs1dbhfMAEMTLuhIz80zSx/RA3ev0C1XTYzbNuGa+b9Z0QJIseOBNlSRzgsScnO&#10;eprjr4fmad7HRSrXN34UaSk+nXW8HPnL+W2vVv8AhHYSfuj8/wD61Z/wl0sR2d2hHSRTx7CvaItL&#10;zyFJ9OldNOlaKRjKs7s8n/4RKKbkoAO1I/gKGZSRGnPAyM817fDo5Hbr1rRmtrXTdOm1G+JEVvE8&#10;8jBSxCRqWYgDk8DpitoYeL3Rk8TK9j5g1D4YwyRn92o69B3rzPWfhfCEJMcbjkfvFBNfRlt8dPgh&#10;qSgrr1rBnkfbUe2/9GqtNn1/wNrwI0TVtMuu+YbiNs/rUyw1Loa06076o+I9Q+G8Me5fJXr/AA5H&#10;8uteZ+Jvhrq72kr6JP8AZZSo8uUx+cE5HOw4z371936lpUDuywskmc8xsGx+Wa5a60RDaSq4AO3G&#10;SO+a5K2BUuhvCvc+TdH8F3SFRc/M/Q+9emaf4Ozj92Bx1Ir1bTtAVm80IQB1JHH511K3XhTSoTca&#10;jf2FuqjLGa4iXH4Fqmlg47GVTEeR5zpvguRlGFGM9hXoOmeDGB3hAcGuD1z9qL9l3wVn/hJfHfhe&#10;1kj+9E19EZB/wEEmvG9T/wCCqX7Cvh68/sqPxpBf3mJGW2sYJHZxEhkfazBUO1FJPzdAa9GGHt00&#10;OGpUcmfcWneBba5UC6ggk7YlRX/mDXd2Hwb8DX+Df6bDuH8cTSR+3RWA/SvyHu/+C4n7Lp8F+IPH&#10;fgDSte1vS/DEdm+r3qrHHCn9oTrbWyqUaVmMkrgAKpOMnoDj5y+Kf/BwjeeD/hRo/wAWPBnw8hls&#10;9e1q90Owtry8kmuxLYrEXlmt8WrRxMZQFJOTg4GMGlB0Jz5ErsueWYlRdRqy9T+gPxB+z94Lj0qa&#10;fRZb+3nRGdA0iyx7gOBtKg4z714Jp/wy8R3TBJLmXbnovy/0Nfhl+xb/AMF3/wBpP9tf9q3w9+zl&#10;beGtB8O2mvJeO+oQxmaSMW0LSgKkrSjLY5y9f0RWHw9+JuouH1PxNfxEjkWccUHHplUFZY7CqL5V&#10;C34HNQk7Xcrmj4a+AMl2BJd+dIOMl2Yj/CvYNO+EPgLTohHqjaZGMDIuJYw35MQaxdE+Fktrprfb&#10;NQ1DUZS+4vfzNKRwOBk4Az2xWfd+BNX3EQY2jodq8Y+oNcluVW5TacOZbnSXngf9n6Ast5dQxt3+&#10;xyTFyfbhkzXE6t4a+CEMRGj6h4ijfnGbaKRCf95njx+VKvw51+54mlcDrhTj+WBU6fCC4b/Xux9y&#10;KmVJtWcAjBR1c2eT3TWtncf6FcsIlPymUhXI9Sqkj9azb7WluEMMlw8gHQDcR+te7p8G7eEBmOfb&#10;rUn/AAquyi+YqOPaudYWS2Op4qKbsfNX2i1f5DE75GMMoI/WqEuhWF62TYpk9x8p/wDHcV9VxfD2&#10;yjPMWfwrTh8C6ex2iLHfvWiwKesiHiLu6dj4yPw/tpnLIhi9Buz/AE/rT/8AhXKLhkkGR2Of8K+0&#10;x4Esw2FjFRzeCIEGVUUf2fTeliPrkr2Uj53034M+OJtLi1fTkimikXzFWOQeZj3U4x+dcfJ4q8Ve&#10;Cr9xGdThmico3kK4IK/7QOP1r9C9G06W00KC1QZ2RivONa8IJc3LTOnU56etOWXxXwto1o4p397U&#10;+ftE/aP+OGsRDRtO1nWo02EgzXLggDqM7i3615f4u1fxp4ivzN4jnur2VfutcTNKRn0Lk19TXvg6&#10;CwgNzDEoP3dwXnB964i98Oxz5Zl7df8AOap4d21Z6CqJ7I+W49P1bfxEPxPSr6eGbrVQIb+G2lUd&#10;FmQOPyINfR9p4NinT93jOSMjBxW5b+C3jYBQprSNCLWwp1dD5XT9nnwzrjDzYfs7N1a1JXH4MSPy&#10;FQXP7GD6gC+g6qik/djv4TtH/Ao8k/lX2zZeHJoAuVB54rudKt5Lf5XFbQyyjN+9E5Y5pXi/dmfm&#10;HrP7Dnxgt4TNp1lZakpBIWwuBvxjrtl2fzr5i8efCzXfh9P9j8ZWM+mysCUju0K7gOpU4wwHqCa/&#10;oOj1c2MW9eCBx/niviD9piJPF0kE1wPMMG5VLc4DYz/KvPzLJqUYc0Nz2snzyvKso1HdH4xXt5o9&#10;v8ofJ/2VNcvdapasp8tJDjPYAH9a+1dU8F2zscwpjp92uHvfAulumXtouv8AcFfNPCs/RsNjqfU+&#10;P59VDS+TFFyBnJIHFUJ5buU5VFH1NfSOp+ANJF15iW6qSMfLkfxVnXHw/sMbowR+NZexkenDE07X&#10;R8s6q9/Gp2MC23PIzWR4ZgvNQurgXpLBdpQeh719H6z8Po2iYRuen9KwfCvgMW81yWbrtA4+tVGj&#10;3Oeli+askcGulRt91E/KrMekr90Kc+g6Gvax4JKHcMinr4Pl6gfjSdFn1NHEQWh5BFou0himPWtY&#10;abufCjoOPSvTB4WljOeo/nVe30zzCVAJI65FL2Mj1IVqe55lLpxVSecEVSbTioywH5V6xNpJyV2m&#10;s6XSihwAfoK3hRWxt9ah3PNP7OXAUDp3701tMycivSm0pm/5Zn8KadKY9VP50vZLcyniI7o//9X9&#10;UtIuLpbhY52zG67hx3/P0ruYIv4vUfp+lc6NWtdXubdrSFYdkR3Y75IrrLdVIGT6CuexUr9RVQZ4&#10;yf8AP1rSRCAAoJxTY4U3ZGeK0YU/i7UCTHwBsbSCD16VoxRhvoKhjU5471oIgQcfjQIeAAMCpI0M&#10;jbfzpgBPAq5bI6klhgEcVUY3AmEMSjGM/X/9VJ5Cbsjp6VNXlPxc+OPwl+BHhibxd8WtdsdFsoIJ&#10;J83T4klWMEkRRj5pG9AoP4VquwNnqXkruzyfak+zrgDB45r45+AH/BQn9jv9pvxnP8O/g14203U9&#10;dgVnGlSq9tcTKi7nMAlAE2wfeCEkc8YGa+06Un2AqCJNwIA9qvR2ruu4DNVLgrFFvB7H8xXz1aeI&#10;/Fk/xpliOqvHYweHricWDp+5MiSId/ynO/aCBnjmm3YD6YWzyOQc/T/61T/ZCAOM571z8d/m8EC6&#10;gQvneTuKd/KEg4z6nFa1pe3vloyXlq3mrC3zqePOkMeeCOhFUot7HNUrpGkloxAb09RVyOyOPnDA&#10;j0qrBc6gn7wy2cqgkEFtv3ZfKP61l614j8SaZfxRWemQXUEkcpZ1uxG6SRuqhcFCCCCTnIxgcc0S&#10;TW4QkpbHXQwADnPXoatCHHzAY96+dfHPx61XwH9hFz4anuWvNQgs8R3keI0lbDSklRkIOSBya+jZ&#10;dYtbeRreeNlZWKFRzyCAenuR+dJMqWm4bGI45+lQmAHjBH0qWHWNPlkAVghYMV3AjIVthOcdm4+t&#10;SvfaYQXaaPGAchv73Q/jQIyJbXnOMmqUloQO+feuiM+nMP8AWrj13AUkkCOMpl/dRu/UUDRwmpWO&#10;Lchhx1zXz7r2nhbwb+olX64yK+kb7U9IlvZNCEyC7jhW5aFjhxGzFA208kbgRnpnivDPEMO65eRh&#10;/wAtVwfxH8s1nM3R2vwotAILsP0Ei4/KvZYrcD7ory34WR5gu2P99P5V7PEgABHcVcdjGe463hIz&#10;nvjGKsahaJPplxbuceZbyoT/ALyEVNApyPbrUt0CbWUD/nm38jXbBe6SfH978LtOmXa3lNwP9ZEK&#10;8z134JeH52Zp7O0f3KYP8q+sGg3rk8HHGa5fVbdivQk+mKj6tE0VWSd0z4f1X4IaXHlbSOeHng28&#10;zR4/AMP5V4T8PPh78Y9I1XW5dQ8V6nNp7XhXT7dGeNrZN7q0bvvO8YAweD9O/wCiV/agzAMMc5b8&#10;K840bTQ39rIwyBekr/329cuIwcLI2p4ifU/Gr9vHwF4707wLrviPQPEOvW8lnpMt4ptr2ZCHji3Z&#10;+VvXn61/HT4n+InxY8U6WNQ8S+ItcvmZIcm5u5HOXkdT1PtX95P7bGmK3wg8ZFhkL4bu8H6QV/BT&#10;dQH/AIRtQDnAtwf+/wDMK+w4ewEZU3Kx5OPxbczbPh6WS/theNJKHi3HzXZ+evO4mu28CeD9WvNX&#10;Fj4ZuI7C9b7WYrksYwix2sskgLAEjdGGT3zj1NbD2gS909v70ZH/AI7WlY6XoWoST2mv3f2CzeWf&#10;zbvYZNjLAzRjaASd7hU9s57V9dj8thHC1LLozw8BipSxFNPuj6e0C00HxjE/xY8JWuneH5PDEfhG&#10;0s/Al3eK8/iW8EsMMsvkJ5Ms6Nh5n2I5jBA3fxV6n+1ZoltFqFn8XhJawfEHV/EupTeIvCyQSBNK&#10;ijSEw/JKm3awZwi73KhBuweuVo+rap4p10eI/GtvJpnxKtovCFr8OdP0jT91g6wG3VJbkO0o3G1U&#10;EDY3mSNkgDg+k/tkWWpW1jG3iWW9f4iHxFqM3i7UpGjEEm5Yzsi2ADcCJAwAAAIUDivxHIF/t8aK&#10;6v8Ar5H7DxBHkwk5d/8AgfiS/wDBDTR0j/4Ki/DtQowE1hc+32FjX+ibBpamQduMcV/nw/8ABDy1&#10;Cf8ABUPwA/ICtrAP0Gnn/Gv9EG1iJ68c8GvtuK8OqeLaR+Z5bPmjoael6YGtyFHAJ6j1rYXQcWxJ&#10;X17VzWv+Lf8AhCtHGpCwmvw0m1o4JFjKgDOTkHI+leQ3v7XQtoXtbPwrOxiViWmugATj/ZSvj62O&#10;p03aT1PU5Xa6R77F4e3Hdjoa0F8OMedpP0FeK+Kfjp470QO2maJpzxrjy5GlkLEH+8uAMisLw18c&#10;/ix4i1htPuIdOsojazOjRwF2WRV+U5LYIyeR3rJ5nTvZXfyM+WfkfQ7+GmYYCnp6Vny+GWH8JI+l&#10;fLXiTx/8flvVtINVEaYO57e3jX6YBBI4qHQW+JHibSr9PEusakJhNC1vLHI0JUbZNwxGVBB4zXNU&#10;ziN7KDNPZu9ro+oz4dAcIw2n/awP8KdHoVr5nl70LY+6CCa+Fbv4d/EG9eVrnU9RuU3bVE0zuPwy&#10;Sa9BsYfGngLwRp+laOtm0267uJxfQmZjvlJXB3LjgehrCOavW8LAqCvZSPrF/Dm37qk8+lVpfDbs&#10;uChxg9RXx54T+K3xq1TUZdNvryOztVt5fLWzgVSpBG0qWDc8965vxHrXxuub6O3TxDqDxsGLY2oT&#10;/wB+wvSms6huoMlYWbTakfeyaesVokRHQYyKyZtLjL9D+VSfDqK/Pw70RtVeSa5Omw+fLMdzvJjk&#10;sTk5966eS3BORwa9xe8kxQWmp5J4w0xI9HZkB+8BXzJ488HJ4z8G33h+9nuLaORA7y2jrHKDCwlw&#10;GYEYJXByOhNfYvjO3xo54BzIua8Y1HTkbQ7yQgYEb/yqJ01azOyhVseXfDDwXB4ctb61sXnkFxd/&#10;2hObiTzT590ivJg8YXOMDsK90g0dQo3daz/C+nxJHNhQq5iAC8dI19K9BjgAXmlTgloicQ7yuc0u&#10;nY6/rT3gaMZYcV0DW4HTjmqE6qfk6itzBHH6nJiPaM9MGvnfxxpQvhkjnnrX0RqcTlDjr6fSvLdb&#10;svMUjGcj8hWFX3lY9DBvllc+P9Y8MbWYY+YE9uua871DQAmQF719V6npeHJ25z2P0rzzUNHRwSRj&#10;2NeTPC3uz6zD4y6PlDXNEMc0bKP4senQ5qhNozAkYz7Dp+de8eJtCHkpKABscYx71lPoeVBAzkZr&#10;jlhddD14YrQ+d9U0ZWt2+XHGa5zQtKXzJwccBTwOa+htU0b9242DleK5TR9GCSykjBYr6e9SsIy6&#10;OMakmcMNLUHlTmrDWtvbj/SHVATz5hx/OvSZNJ6BAOvb/wCvXjHxH1F/DkjBo42MsYMMkq5UN0Iz&#10;zzTqUbbHu0MTdo2pv7G8soLm33Mp2rvXcTjsM1yun6aZC5xzwc1yPhrxPNqcS2F/EqvJIAhROQPc&#10;gV7Joth8jkj064rONO7R79Ku+XRnHS6UQPnGO+f6VVbS1JGcHNemvZbu34VTOnkvhcZJ6V0exRft&#10;5dzhzozY5z+FQNoRJztJ/wA/jXoq2QboKkWwBHK4+tHsUYTxfQ//1v1e0qeyuXtTZJtAhG4565xi&#10;u+t1BYZ9M1438ONc0DxP4e0nxX4YuYryw1GwiurW5gbckkciqVZTzwRXstv94fSuWhWU4px2Z2Y6&#10;i6dR05bovR9T9a0oFZlCqCT6Cs2PqfrX86H/AAXa/aS/at+GEvhn4bfBW81LQ/Duo6bcajq+p6NO&#10;ILq6kibaYGdGEqxIpBIAAYkdcVpU5Y6t2OWEHJ2SP6UER0dVcEH0IxVyv4av+CUP/BWz4ifBH472&#10;nw0/aU8Yajf/AA/15mtLi516aS6/se8YfuLiOVyzxxF8LKM7dp3EZUEf3EafqNhqtjBqelTRXVtc&#10;xLNb3Nu4kikjYZV1dSQykcgg4NDiS2asC5yScAV+Qv7XP/BYH4Xfsw/Fqf4IeFPDGseN9e0zadci&#10;0h0jjsmdBJ5RZgxeRUIL4AVc4JByK/V3XdUudI0a4vdPiFxcLGxtoCcB5QPlDHsuep9K/i9+E/hN&#10;tU+KfxB+IPxuXWdI+If/AAks9zqltGM3EsNzIZS8Ssjgq5LDjGAMZArweIM4lhKceRas+g4dymOM&#10;quEpWR/WF+x9+198Mf2z/hYfiX8Nxd2rWt22m6xo+pKsd7p94ihjFMqkjlWDKwOGB471/L7/AMHB&#10;+g/tM+Of2wvCPw8ZLtvBGo6NajwxKkbLYLeySOl350qrgyg7SVYnC4x1r9Gf+CQ+ha5ofx/+JXiH&#10;wLPe6h4E1Cy0rTbi5lXcLjXLFX8+4RlVRthVvIkOPmYjkhK81/4KW/8ABYX9iqfRdS+E3hrQdb8b&#10;eK/DuoXdrZ3gibSrPStSh3QSv51zGZJdrDDKkRRwOJBwa0oY+dbCupR+K34nNVwlChjVSru8E/wP&#10;xn/ZM/YE+M3w4+OPhT4kWniQaRq+ieJ9PnVtPSQGOLz08wvK2wLG8W9DnIOcHg1/oBRq0ihsg5UM&#10;SO+Rmv4HvEn7eejeH/C0PxKnhuGvzaZ0uKO6hZJJ3jIj835TL8hPzLgdDyOtfZ/7BH/Bwl8S/Dt7&#10;beCP2ybdfEWjPLHCvijToVg1PT4mIG+eGNRHdxxryeFlxk7nIC1z8N4jF1I1JYpPfS57fGGHwFKd&#10;KOBfTU/sQv4lMHtgjFfN2hw6Y3xumj1VikT+Gb0bl/vArjr9a970PxN4f8a+E7Hxj4SvINQ0vVbK&#10;LUNNv7Vt8VxbXCB45EburKQRXz0sIb40IvZtBvFyev3kr6S91c+LktD6DmtfCv2oNFIWBvrflj/f&#10;VUz/AEpbCx0NUiKz7gYrHjIyM3p/wrhJJ1cRuF2lnsHz0GTN/gMVTspjIkC/NjydPJz/ANfjn+ld&#10;dGfQ4atNKLPZ7aDw0tntZwwMrnIOCM6gKyvHnxF+EPwpgt77xz4j0LQobu7u4YJNZ1CC1ErLMcLG&#10;JnXJGecZ98V4J48+Jvw/+Evgu78a/EfV7HRdK09RcXd/qEywxxp9vzyScnODgDJPYV/FX+2b+2F4&#10;V/bE/a6vfiL4311rLwvpVzL4d8J2ttayzQHRzcTM17OCNyzzFxIcL93ahxtrDMazpw54xu10N8qw&#10;rqzUG7J9Wf2s/GjxB4V8U6Bonivw3fWOq6dJqCNFe6fPHc20qjIOySMsjYOQcE88V9O6iPC1rqNx&#10;DZhUhRrnykiXaqeWUYBQOAPYV/FZ+19+1Xr/AOyF8DvA/wANP2RPEJfw74psl1KbXDbxq3n2Cojv&#10;YursiGZZUW4ZVU74gVC7mz+m3/BPX4e/toft2fs5aD8WLH9qKfRNduprx7jw/HpFtrUkAjnKxpeu&#10;11HKTKIwzhlyEIAyOvn5Xjvb0Y1nHlv0Z25tlro1pUea/KfvBrur6VokTapeTw29rbWc8txc3Uix&#10;xRqb1SzO7kKoXOSSQBXnHhb4x/DH4jGW08CeKdB1yeFLBJbfSNRt7tkCTSBiUhdiAD1OMV+U3/Bd&#10;v4FftV3n7Mnhf4XeENSs7q91Ave+IYNBkktrfVmhZZPs6Cch0XdumWNnOdu3c2M1/HX+zl8Vvi9+&#10;zb8dtD1Twst/puvWGvWZt7eNWWV5hOqmFk/jV87WUgg56V0wx1Kc3ST95bownlWIjSjWafK9n0P9&#10;KfU5pmsJgTt2kREg9P8AROtWp5bhdUvFViN0qkEHAX5oeB+BP51nac95f6THcX0H2ea5khkmtSST&#10;C7WhLxn/AHW4/CtI4kZ5P+el0qk++YCK72vcOKpdS3Jv+EM8Oa6Y9Y1i0t57xLMWv2mVA0vl53FN&#10;/Xbu5x681wOq2MGltLaWaLHCHBCqOB8yE4r23SlC2DqcEgsPfAJryPxI/mPOCu0iUBQMHI3IMn06&#10;1wM64M9D+FPK3oI6MhFewjrXkPwpBP20DruQYH416/sYEA8Z5Ge9dDFN66Fy3dSSKj1OVoNNuJ1G&#10;SkEjAe4U1CN0ZDfyr5+/a1/aK8Ifsufs6+Kvjr42SWXT9C00ubaDAluJ7h1t4IU9N8signB2rlsH&#10;GKtV1Fe9sEIOTtFXMOD4g6kAI9qE+pHuR/SsfVviPdrIY3hQnrxx3x/Svzb/AGN/2t/iZ+0PYWeq&#10;fEjwXaeGbfV4DeaNPaaotxJNBsadGltZUjmjDoQVYbs7lyqg5r7d1cbrneBzt5H/AALtTwWOpYiH&#10;tKUrrY0zDC1cPLkqxs/8x2rfEPUJ45I9Mt4jcmEvCHOAzkMQrHtnYfpUngme4vdCv77UIhBcPNvu&#10;IQ28Ryl33oGH3gDnB7ivm/4k/GP4WfAy1i8X/FzXtO0HTmlSCOfUZRGJHxMdka8s74/hUE16b+zp&#10;8c/g/wDtAeANZ8W/B/XLTW7CLUTBPLbFleGVmd1WWKQLJGSpyAyjIpVXdk0trngn7aMCSfA/xtcA&#10;fd8M3jdOv7kiv4CJ42/4Rs59Lf8A9KZa/wBBD9sREb4C+OTjGfCt/jj0hNfwDWOnXer6QljYoXmm&#10;MKwxjq7LdS5Az1PNfdcOVo08O5zdknuzwsbCUqiUVc9XusC50zOfuHH/AHzV/Sp9IsGmvPENvLd2&#10;QnmEtvBjexa3dYyMkfdcqx56A9elSaxaPpF7YRasrQPDmOVJFIZWC/dIxnOe1dfbaN4q8Mzlf7Km&#10;+3sk11BYajbOpkhltZAX8pgpOELMp6Arnsa+szPMaDoTp+0V3FtLq1Y83K8JWdenNQdlJJvsz6r0&#10;u01qygufA/xDMfiDX/EVj4U+weO5NR8+DwtZmW2eNZZAG8tliEdvhpUESsRtzivS/wBsmDT9H8Fa&#10;V4Btxbat/ZXiW9ZvHEEskv8AbTeXAAm98gomzKENzvz7nzj4aQTeG/Bnijwx8Or6PVfAGpW3hWT4&#10;g66liftVkpubR3hQyrHMFS8IQ+WNsm3gkV7B+2HcrL8J/DZ8Hee3w9i8U3tv4Slmg8qWWcRwGWSR&#10;mUOcr5eQxOzsB3/BeGnzZlTf94/Y+KpWwEvT+vkbP/BD6Nv+HnfgQ/3ZdXB/8F1f6Gtr0Wv89/8A&#10;4IdW4m/4KZ+DWUHEJ1hwPf8As8AnNf6DMEowAOP5195xk/8AbH6H5Zkv8M0b2wOoxLAAW55HUY+l&#10;chL8Gba8tnuBatmVypIU+lfOf7ZMHirVPhktp4N1rVtDvVkeWO60q5ktnfaoyjmNgWU56HvzX8xn&#10;7RXx11j4FeA38XfGnxh40uRdX8lha2ltd3FxLNLtz8gMiqAAMkswH1PFfnuKs6iXJc+kp0uaPxWP&#10;7Io/CFtcSJHqCqkbSgZkO1QM9STxU174f8KaNM09te6fvVWDbbiLhOjMfm4AHU9q+JNV+H0muaPa&#10;a5pxuQl3bQTN+8fJ8xA2evGe4rX+HXw9/svxK8t5FI0b2U8TiXLKwcAY59a876xOM7Ric8qezufT&#10;kmq+A4bxXutV0oD+8bmIj8wxqXU/FfwuihFxYa1pTRKwSd4pgwV2BKqSvcgEgfWvl/Xvg7bnUitr&#10;ApQgsigdM9hiuu8E/DxLDRdS0q5t1RbiaBhuHeNZB3/3qmOJqtuKijRRjzLU9Uf4w/CLTrURXGrQ&#10;lwxLiFGk+nQGtSO60b4j6dB4i8LmS5sSskKyeU6HdG5DfKwyBnv3r59m+DbDfIkScscE4/rUfiP4&#10;e3CeFbDSUZ45bZLgqImKjE0rP2IrOWIqKL5kCpwctGfS0nhXR9L0YXIaFJWhYMZGVSMtznJ9q420&#10;XwtDrEUlzf6eIxkMz3MQHT/fr5R8BeAbyLWriTUmnlje0njZJHZgQxXsTWTrnwfV9Y/dRFwQSmB0&#10;X2rmqYmcuVqmbQpLlfvH6raM1i+iW0mnvHJbmBTE8RDIydirDgg9jT3VS2RXJ/Di2j0r4c6JpXQw&#10;6ZDDtHGNo711RdRX2dN3imcaON8c7U0Zcd51H6E15NfKn/COXeecxv8Ayr03x/MBpkQyAPPH/oJr&#10;zDUpAPC9y3pG3P1qZm8FobPhKIvbz7B0mx+SgV3scLBOnXgmvGNL1/xNBPd2+jWFvJGkxy5JBJIH&#10;8TSgH8FFUbzUvGlr4ntvEmrPJYWUNrJbTQtNEbZ3kI8tmQBn378BSGGOhyDRB6mc9z3V7YKdhGCR&#10;1zWRc2wzkkf5/KvLLrxxrbsuZEG5LRunT7TK8Z6EfdC5989q4y/8fa/DIDHPg7L1uARk2xjC9++8&#10;5/pWrEj1jUIrfcV3qT6ZridTsVYEMP8AgWCQRXl2p/EHxH5zKLhyqpaOM9f9I37u/baMfrXnt543&#10;8R6hbNLcXcoP2/ULYBQMbbZ51Tg98RqTWfIdVOpY9J1OC1TKs6e4JrzvUo9P3n94ox7ivJ/EOs3i&#10;3c1us8pC6Vb3mSefMkllVjn0wg46CuD1zUrhbsBZZcHxALLG7/liLZpNnX+8M+tYystWepQm09D0&#10;vxHJYtamNGV23DgEGuXutT0ixs3ub6RYo4YzJI8hwEVRkk+wHNeRPqVy7HMkn/HzqkR+Y8iCSYJ3&#10;/hCjH0rMujJdtf2zs5ifw/EwV2JG9zOrtj1ICg/QVw1GneS6Hu0KjbUT0221jQfEmlrqWhXVveW8&#10;sayxTQuGVkYZBGPUVl6bZozyuvfH9a+UPhm72VusVixiRcoEU4UAEjGOmKwvHv7cvw8+EOjz63e2&#10;GrajZ/ajYQ6rFF5Omy3cZKvClywYsQQQSkbrkEZ4OIot1Gox3Zviayozalsj7dNoBUB05ZMswH0I&#10;zX4/3n/BXKwk1hjpngyOawjmAmU6ssdy0WPmeEvAsbMDj5G25Hev1S+DnxZ8A/HPwPZ/EL4e3sd5&#10;Y3aZIUgyQSj78MygnbIh4I/LI5rvxGWVaLTqLc1wOb0a11CV2dHf2dta2EsrKqjyzkge1fOFl8T/&#10;AIe6cki6hqtqjFuFUljx9BX1V4ktQ+jTcY+T6V8MWPgXSJ57ia4gVmGMcdBmvFx7nTaUT6vIJxnz&#10;qbfyO2vPjz8JbIZm1PpydkMrE/kKztO/aE+FetS3EGk3N5cNbQ/aJdlpKoVNwXgsBk5I4rl7zwRo&#10;2xh9njPpkc4/Guf0Hwnp9ncaj5ECJ5llswo9ZFrz3iaqW521K1NVlG7sd5J+0V4CTiO21WQjglLR&#10;sZ9jWRcftLeDoZDGdM1piO/kKP5tV/S/CFkNFgb7Mhba2WZcknJ71Tm8LWzvkQR+hyv/ANasY4jE&#10;Xu2eniadBfB+Z//X+nf2ENNt9O+ElnDpty0unxuba1tycpCYQFdlJVOZGO5gFC56DnJ++/tNtZQv&#10;e3skcMMMbSSzSsERFUZZmYkAADkk8V/HH/wTi/alb9oT4tS/DX4++NLrwfc6yQfD99poS209JkH/&#10;AB7yhnGzcB8jEnJ4J5Ff0c/8O8vFeqTPYS/FDxBLatBHMqvF58b72YZI84Aj5RiviMNj8bRpxpOk&#10;m0t+b/gH6LmuT4KvXnX9u4qTvbl/4Jm/tDftdvpsdrofwL1nQpvt0ZaTXItuoN0JxZopMDEBSTJI&#10;WUYwFPWv5kv+Cj/xz+KOseLtKuPEPiKXxzAbaa1lspvsz3GnyZ5wtmqsgbJyrrj9K/pduf8Aglfe&#10;/ZHsYPHj+QwcG3l0eNoyJc78r9pC4bJ3cc5Oetc5bf8ABPH4p/DrRG0TwL8UrjSLFNzJZaZpj2du&#10;C33j5UF4qfN3wOampmONqaToK3qYxyvA0otwxGvex/Ad4c8Ea941+Ith4L8L2ct1f6vqUOn2FnGN&#10;7yzXDhEQAdck1/oc/sPfDDX/ANgT9nS1+Hv7W3j7wLpOnaav/EoZryW3EcZAaSISahOA+0nhYhtH&#10;QCvy2+JH7AGpfBmz1D40J4p8LabJ4djl1oaxb+HY4LyCSDMnmxzpMJFkz0ZWzk9a/AzU/jX+0x+1&#10;D42vJtRudW8TpaxhZrjUZZZ4bG0DnG3ez7FzklRnJJ6nmt55tiW71I8iXmfNrLKdaXLhZc/yP9Cn&#10;w/8AGD4WfELwm3jD4Q6nYeM9PgbbczeHLqG8lRTzlY0Y5bb/AAff/uhjxXwV8XPg38B/2i/Htr4i&#10;1rwLdQapet/Z0GpeILW4htL+yhZ8fPDIstvcqxYolyiB1O3cD0/kx/Zf8d/Eb4DftCaVoHw/8Q6l&#10;py6zqtnpGrLosrL5i3UyxD92Gw7wtJkd+qjrX9gtv+y7+0NdxK83xd1mQkDiaEP/AOhMa8rGfWMR&#10;K8Icy+RrHKfq/vVa3I+2v6I8j+MesR/8Eu/2KtQ8X+EtSsrKWw0yd7LRrazjW0bVJ3jit4oSwaVY&#10;jLISwLkn5iTgGv4GPiZ4x1T4peMNV+JXiK4a41fWdRudT1icokayXNw5kdlSMALlmJwBiv8AQD+L&#10;v/BPHxx8e/Co8E/GTx7N4j0lbmO8Gnajb5g86IMEcrGy5Kh2xnpn1r5bm/4IK/AydSAuhndwQLWd&#10;Tzx/DMK9PKa+JwycXhX96/zMpZbhasrvFL7n/kfwh3VqkaJvJYkkIvJBJOfwro9K1AWMqyXLpGyg&#10;fIh+6R/Ovvb9vPTPAH7Pfx28ffs5+CPBukJd6Pfw6L/b8Us80iRWrCdpLeGQlYZJ9yrIxZ/kGFAy&#10;TX52adp8kkj3F2N0mNxSQEmvusPUUoqTjZvoeHXpRhNxUr26n92n/Bv5+1J/wtz9k+8+BmvXTzap&#10;4AuhFZ+fKGdtIvdz24UYGEhcPEBzgAZ61xHx6/4LX/s+/Bj9o+90rw3oereLbPQjPoOqanp9zDb2&#10;7Tuw8z7LvV/PERQqT8gLA4OOT+W//BGX40fDz4C/B345ePtUvpV8Sy+CZl0TTrW3eV4o9OtLq6Nz&#10;JIBtjjaR1TJPVPpn8VpvA9/rHwxg8f6TqcEh8yV7uzkZvPAXPOcYJ4PFeU8zw7qypRldxdn5PzPQ&#10;jlleUHUUNLX+R/obfs1ftSfCD9rH4dWnxL+DeoNd2Yl0y1vrW4Xy7uxuhM7GC4iydjgYIIJVhypI&#10;r32C31640x/+Ecsri/vFsbJre1tgpeSRZ5WVQXIQZOOWIHqcV/B7/wAEn/25NZ/ZU+NtzZSR/bNI&#10;8TWsdhd2cjfIL2CQS2c4Qsis6tuQAsMiQjIzmv65V+OXiH9pDw3P4uk8P6z4M0vwtfNeWM2u3J0l&#10;WniiUuTaQJK0kUQO7MiEZ5XOAa58ZnuHw9VUZztJq6XcvDZL7SEalSVov718j+c3xX+z18VviR44&#10;+Imn/tna54qbxJZXccTWtwzPHperTL9okR7eGVrcRWyyKIwnyFCXB5r8X/jJ8IfiH8Edfg0/xbJB&#10;dWWrRSXWkajavmK6hVgN4BAZeoOD+BNf0Q/tueMP2h/gv8dpv2pvF0Gl2PgH4hSWEQ1nSNTS5hv7&#10;yCAyQXU/mw/bAwTdGQIhmMIGboa/Dn9rf40WXxlvYPE9rPPfxJcPbw3s5J+795V3cjjHGBXh5dic&#10;T9cd3eEj7vMMDl6wKcJrnXb9T5dv/F+o+KrWz8PKbu4WwjkS0tQxdI9x3yMidAWPLEDnv0FdZ8Cv&#10;jP8AG/4E/Eax+JnwQ1bVdE17SZheW17pTOroIjk+agBEkePvq6lSOoxXqnwXsPhymj2/iawuPses&#10;2E0cN9bTRhzKsjMWmU5I8vYVXoCGLZyACfobxT4j+FnhO2n12FY47mdopk+zBUkMkOeF24++cbs9&#10;cV14/P50qvsI07lZZwNh6+EeLrYjltf7vI/rX8Xftr/A39s79hP4e/HD9p34l+GPA+varZxTajZQ&#10;X9v9ttJYJ3tLjybEeZPtmaJpgDEdocDhetD9lvw7/wAEqLufT/HPwk8QeAvFGrWus2qprmuXduuq&#10;Ld2twPJKwXXkvE5B3DbENx55xx/n7yXckOszSRSvsZzvKfeKdAn4Ywa1HmvLy7W/0+FA0ZDqwfMg&#10;K/dP1B6V79LLaPN7e15Pr1Pz2rmGIdJYf2j5V06H+rVaIstwm4n55zJx6eTIuap2/meXCzDGbsFu&#10;44WGv5sP2J/+C6fgy7+AWiaJ8UfDGvXmveGtItNDnv8ATp7Xy766tIWi8yZJpI3jDIVJKhiTmvof&#10;T/8Agu/+zve6UlvpPg34g399bXPkTw2emNcweYgQMoki3EuNoOMd/pWtbHRjFxs7+h5v1Kc3pb7z&#10;+hxtFfR9MtdQluLaaLUY5LiBoXJ25c/I+4LhhnGBkV4p4rTFw+ezgk/Vlr4j+CP7dc/7bfwdsvGX&#10;wr+GfiW80LR9SuNLt9QgvI7W7jvLcL54aKU7cjfjayn8KfofxN/bYvfEWtWXxA+GouLOW0vP7Ln0&#10;VxHPaXLtusftCTSeW6oP9btfJxkAZArwXntJaSTv6M9t5BWtzRlH/wACRS/4KI+PPi/4C/Yf8dXH&#10;wKvG0zxFqMmnaUmrxyiBtNsru5VLu780/wCr2x/JuHzjf8nzYrxX/gl144vPhj8R5PgBqHxDuPF8&#10;V54da+vLDVdXk1W4stXtCHluYpbhBJFDPBnMYdk3FSADkn+Xb/goh+2D8RPjT+0rrf2XUNS05tEt&#10;ZPBN4kd1NALqK0ldbqGaGFxAUM24FduGK5OeMfnvpt/4w0bURq0bajI11cO819BKxuNkilXRlUhj&#10;GwOGPp2xxXoPAVZ1IYjnaSW3+ZlSxFOOHlh3TXM38Xb0P9XK3u7a7j822kSRf7yMGH5jivxt/wCC&#10;uPw9/bZ/aG+Gfhb4YfseeEv7a0x/En9reIvE8t5pxsYmsI5I47OS1lmM7oWkcy7odpwoHc1/H/N4&#10;m+NXwU0C30rwN498T6X4b8UacupXsGm30sAmZJXiEbxwThXKlCSW28cHIxn9fP8Agm3+11/wUU8Y&#10;aNL8G/gZaQ/ELw9pF5Fc3Wq/EC0m1C00W5PMTRTRtJPld2UQCQrnPyKc1z43E+1otU3udWEy+dDE&#10;Jz0cex9xeAL74peA/Hmiao3g3Ur/AEXwpZLY+KpdKt4gmkWcVuYortUO2dvKcYmhBZljDMAQuK+y&#10;/wBoT9qH4Jfs5/D1vij8TtatrewktklsIID5t1fvIA0cdtCoLuz5HOAq9WIHNfzk/tLfEv8A4Kye&#10;J/ihrLfFTXtV0x4Z7xo5fD95NaaRb2uHdmhtrY4MTRjGJFZ2Bw+TmvnG4/ZC/ad/bD0fTvj7onhq&#10;2tBd2BlvbxJdUYzCEuhmMNzFKkKHYSFhcxqoG0KOK83h3H4TB0PYutzWfbqz2eKMtxuMqRxNSly3&#10;Wnnb/hz6bP7Wnw6/4KQ67qHhz44WkfgqTQY7i48KeVcFy9nOwDG4EmQZlcLuwFRlIC9OfivwH+1Z&#10;8c/2NfF/jD4Q/se6xBd3uurbv4i1eWzju4oHtXfyharJlFwJCplbOcgADFeGaJ4a8MaN4us9Kng0&#10;zxHcWsyiSA3Ev2e5JOBtMEayCPpk70yRnpxX6Ofsx/AnR/g7ruu/EZ41kh8QMLi/09GjuYLa2Ulm&#10;t/8AWmRuWJy6kFcgjIBq81qSwftcVRk531t0Ps8g4Mq42jRwuIpqKV7yW/kjS+HH7UP/AAUiuvAm&#10;oeGvj/p8/irwz4q0S/tpdXuoY1uNKQwyMZ2NuqFUIUld4KEY5BIr5a/YL0nw/wDAbxfYfEf9oHwt&#10;rGm2+p6Pdf8ACE+K9QtrmLTxdQt58zQvs2s3lEMsqhiqg44YGv2y17xN4b8R2+ieGPBv79tRtIYW&#10;02C4ht7a/wBNe5iE1g7MGMXmIhVWRRjBBZQc1+nnxV8A+Av2jvhl4k/Zh8cWtrNp+swyWEUMqIGs&#10;riRRHa3dsMERvEzJ5WOuNmCCRXFgeIpZhl7w1d2u9bHi8W8LxyHMYVKMdGtL6p9z+Qj4hfF34ZfG&#10;n9sT/hav2e98QaOL4eJtTexikd1trCNEe+mCR/LAjqBvkCqflZmAJNfYn7T/ANo/aB+GelfFn4K3&#10;UiPoEGoeZrN9LInl6bdQlNgNyiLubadwGQd2UZt2a+APD/wH+KP/AAT1/bl0r4Z/tHWF3puiam83&#10;gzW9ZgilGl6po+uW7Wc0lvdOiq6L5qysAQ8fl8jjn4Y1TXfiX8Kb3X/AWn6lf6a8Uk2kavYqxVLh&#10;bafDRTRtwV3oDgjkcdDivssRg3XxFLF0qluSKil0ta33nyuW5xHD4WthalO6m+a+zT3+4/RzwVqd&#10;jqvhzW/EfhRLvRPDGlReGH17wdc3gL67cpcW8JYRnazBnZ5lVI28sck8ZrtP2rvEunXPg7RfEUd3&#10;BYWN/rl4+l+DJbvdPpUUSI5YwM4KhziMOUXeV6mvMPgx4H8Y/tHeCLv4waHc3S67p8GkW2i6RJDb&#10;W9m88MyQXJE8s8flQQx5miIRy2Qh5Bav0V1H/gl7p3xb+B918XviJrE9v48vbG5vZrpdSiu4JNRS&#10;RhDG6hGwroqr8khx97jpXg1c5oZdiY1W9Uz3KWVYnOISoU49PT+rnCf8EKI5tQ/4KKeG9ZtopPLt&#10;rTV7i7fBCwq9qkalz0UM/Ck9cjFf33QXW/5l474PpX8fH/BGj4Q/s7fs8xeJvF3jzxrpNx8UNI1Q&#10;2F9o9le7otO0RYo59sgdFjknnlO1QkjFNmCAW4/pw0b9pP4K6tYDUrPxZ4f8hlMgaS+hhKgcHcsh&#10;Vhj3Ar6nM+IaWLqqo5K7SPzutkVbB81NRbs7ehy/7cF34xb4RGz8CPHDqVzMbWO6lUskCyL8znac&#10;hsDCkdCc8EDP8H/7ef7MvxU8H+MrLVv2gfiRptxJrs101jAy3UjWtrEF3bU+fy0Y7V/doSzcseM1&#10;/S//AMFFv+CsrfDL4reF/gD+zloGifEK91eCO71K/j1BJbSISylEt4Xti6+aFUySM5URrjg84/Dr&#10;9uH9nPxV+0h8Z7/42fEnXbLwVpt1ZWOk6Np4J1NkuYot0kBaEbFTe7EPkZyOODXx+ZZtSwlfnqzs&#10;n2Vz6XhvhfGY9qFCnd+bsf1J/sUf8FDPg/8AEb9lfwX4j0vS9a1JrPRLTSNSKyRSN9t06NLecFid&#10;3zMu8EqCVYEjmvrzQP2qvC/i/V5rPQPDGpRSQWct4onuI1EoixmPIjO0tng89K/ly/4I9fCjxX8F&#10;tR1/wjr/AIks9Z8L668ctjMiCO3i1OORIvMV3YbVMe5JOMNhDk7CB2+kf8FJfjjeftSa9pnwc07R&#10;v+EO8MTXNpci9hllN9BEWjAaaHLRyXMy7YiqkJ3D4OeWWZU3acJ6MmvwpjI4qeFVO8o7/wDD9T6e&#10;/bB/4KH/APBQzQv2oZbr9nqLwlpvg/wsNNuX8CahJbXet+I4PMQ3jEmPzIUdXKI25Nm3cMmv280b&#10;9p/VvFWgXniKw8MRWws54IXhmuGJKzo7B+FHQpgj3r+Rz9oz9tpPGXxe0Dx1PLZaHcz6VDf31hpg&#10;mlQwqzOhuwR8ksRDLIQp+RTnoDX7R/sJ/tw6V8Z/FrfC3xJYWsE2s3DWVpqNlIRBJe2cbOVKS4IW&#10;VDlCpY9B0Oa9yjw5mLpVa6nGUY/ytN/ceZnGaZfTeHpxhKMno7p2v5H6NTftX+PFjaC18L6Uyg/I&#10;8kszFvyYV+dXxU/4Lr/s+/DnxxefD/WvB3jjxZq2g3H2TxXP4F0z7Vp2lEnKx75ZA0siqfnAwoOQ&#10;GODX6a6t8N7bTLWXV72aC1giJeWe4ZY4o1XkszuQoA96/l08XaX4J8EeM/G0/gnUo79pvFl5rV3d&#10;aEUnS7jmkY5VmA3RAkqDyNxOOOa+SzHH1cPFSfvX6H2HA/C1HNsRKnOXKkt7n9MngH9tD9lT4j/C&#10;C0+M3gTWLu60q50ltVYnTrmO4jhR9kySRFMiSKT5JFBOGBwSBmvB7z/gqn+xNpWsGKfVdbnManel&#10;rpEpIH/bQoP1rxn4dfDz/hVH7JEms6taTkReEbjUbmIxBZ5DdMLuUMgwA7szHZ2J29s1/HX8Xf8A&#10;goTpGqa9ql18DNHEYld0juPEEakw4POIImOSD6uPxr2sFRq1mnFanyFahQh7Rc17NpfI/wBNz4ee&#10;LtE8ceBdH8ZeHDL/AGdqmmw31kZ02SGGVQybkBO046jJrrXnKng5/Cvgr4E/Gfw98Kv+CfXhH43/&#10;ABPufJ03Q/hnZa/rU8SDPlwWYlkEaDGWbGEXjJIFfFP/AAT/AP8Agt18If28vjze/ATS/DGp+GNR&#10;fRJ/EGgzX1xDOt5a20vlypIEP7uYAhgo3Ajdzxz9Va2h5aTtc/Yf4iXGNJhY9Tcj/wBBNeWalcu3&#10;hS6GcDaf6fWuw+JF3nTLY+tx/JTXxL+2T+0Yn7LH7I/jD48SWf8AaL6BYLLbWWVVZLm4lS3txISD&#10;iPzZF3nBwueDWNR2OuC9yx9heFJN8d03rck/oMV0WqS4hAXIJ4zmv4hf2cf+Dh/9qPVf2t/CnhD4&#10;k2vhibwj4l8Q2OiazpmnWvlNarfzLbC5t7l5AQ0LMsjhwVKgjAPNf2y6pdMIlypA3Dr7kVKephWT&#10;VnY8Rlm3+WxzkW+mH/yYnP8ASuRvHD6gIByMaqufrJBWpLcbLNXHQWmmsf8Av9OawxsOsAHu+pD8&#10;5IKtTZmcnNcCWOSYD/l10tvzL/41yazqloqA5P8AbGqsfxa6rdLh9CaXv9i0kgf8CrlGby5VTt/a&#10;2pgfibk05S2N4qyOZ14qJrmQ/wDQv24J9vMuDXG+IFK3iKef+KlWTI4/5dJBXRavJ5sd8/f/AIR2&#10;Pj/gV1/hXP6z8+qLFxxrkbfnayf4VhUjdM9al8SOJdQrxqv8ep6yOnbzLk07SLK91bUpLOxhmnmm&#10;0CJUhgjaR2IaXoqgknntU6xK09pnPzaxrC5+sl2K/UL4J6tp9/8ACrRdW0+3t7fzNPjE0dvGsa+b&#10;GNrcKB/EDXh4jEezj6n0GBouc9Oh+avwQ/Y7+Mfi2y261p7aFaTlg1xqv7qXYxIJW3GZdwz0cJ9a&#10;/P7/AIKW/svQ/Cz/AIJ/eK/Avi29ha/8DXUl94YvbaUC4ltopwYPPiUBR+5fZzuZsbmJYk1/Urpt&#10;9cWUv75t678E46FunPp2r+bD/g4Q1i68GeCNQ0+xK+V4z8ONnGAQ9g6eaAP4iysp45wD2rwpYypK&#10;vScekl+Z9/LKMPLC1qslq0z+DjxN8RvFVzbwOL6UN5jgorbTgYOSPQg8fSv6Q/8Ag3T+KRvNS+If&#10;wt1K5keZ4bDXbKN2JGzLwzbVPGQQhJ681/MvfeHbu70tdViOWSdoZYsHft/hcDHKjv6V+gX/AATD&#10;+Out/snftX6R441WCQaXextoerIwKiWzu2Q74ycAtGyiQZ6gEdTX6li6cpJn5Dl9WEJ6H98/iBAd&#10;Ilx3Q14z4X0aB4J90ak7gMMAf516hLr+l+JPBL65okyT21zZmWGVDkEMmQcivzhX4d+ItTuZpotS&#10;uwA+NrTykEE/7xr43NHaaP0XIYe0jNuVj7QutAidiPKUDdgcCuSuvDzQGcRxHLoF+RecA5/pXyVf&#10;/BzVp4j5l/Nx2Mjn8eTVHwn8K7nSo9XW6uHl8+0ijXcScESbgefpXmOT5b2NHGHtlDnPv7w5p1vF&#10;oUMc6qrANndgHqe1Zdzpto0xYNEPqQP618W23wQllsluWnzvXOME4zWHc/AVJZMtOARx0rLnl/Ke&#10;viMNS5f4p//Q/lg+N3wF1j4fftGeIfBHha2EC6Zrt/DZWunlm8uK1kfAjzyVVFzk87a/uz/4Ju/G&#10;m1+Nn7Kvg/xXA0f2uDQYNJ1aJGLGK9smeKUNk5BbAcA9mFfzH/tC/s4ReNtS1j4uw3GrNrYnl1OW&#10;a0kZfPuXO4oI0U8SfdKqMYJ7V+8v/BPHW7vwrpuo3MHhi6tdO8T3EWpSaxamC006C5jtI0ktzaO0&#10;RhkUIhxGrFy+WAwTXxWHzSFaq3G+p+qZhUoTwlqcLONtb+Wp+t+o3arGWY9PWvnb4g+Lfs0Txh1H&#10;UsScAAdz7CvT9Q1vQtQXyo75yhfa5giJwO5BYqcj028+teJy+EvCWteNNKt/EWqL9gbUUmmtpiiG&#10;9ihbd5PLcByAGHPy5U8E17UIX3PznMcTP4Y7H5kftmfsc/8ABRX9tXwdp3gL4C+Fl0/wDqbx3Oq+&#10;J9TvYLdrmLduVktC32prdQN4Ijw/BB2jn5Q8Z/8ABOnx7/wSa8JzX3jrULLxJ4M8RERnxZbhYBBM&#10;6bjaXtvIzMi5z5ciko3seK/pB/4KH/8ABUX4GfsEfAF/ih4iWCbxHcQyWHhTw7bPGl1qN2o+XPlY&#10;WO2iHzSvtG0YVclgD/mrftbft/ftOftoeO7zxp8c/FOo6ik9y01ro8czx6ZZKT8sdtaA+UiqOBgZ&#10;96WNySliKfJNnTkOb18DVVSkv+CfpX4a/a4/Z1+G37Rnw78a6Pp8MWm6B4jbVdd1G2ja7LQ+XNGq&#10;wohYMwaQMTjsMHIr+mj4Q/8ABYH9hv4ma/Y+ENJ8US2l9qDiO3/tS0mto2c9FLuAFJ6cmv8AO2XX&#10;tQkXb5z8YAOegroNF1vU1SVXmkZGAQgnPDdfzFdWCyuGHgoU27I1zPMJ4yq61Xdn+pB8Q/jn4B+G&#10;/wAJda+NWpXcd3oeh6Pc61cT6eyzmSG1iaRlj2khmOMAZ61/J5rn/Bxf+2nrvinWLn4e/DTwdYaF&#10;p0X2w22sQahd38FsWAQzSx3dtGztkHCRADnGQM1+L3wv/am+J/gjwxeeAdN8Ra1baLqNo1jdWMN9&#10;MbaSBhzHJbMxiZeMYABx3q9e3PxD8Yedr2lLczrHEJLu5sg2zy4hkGRR/Ao79qrEVHT1drHPhMu9&#10;o2o3bMH4++Kfjp+1J8VfEf7QeveHmtbzxJfHU7uLT7WSK2VmVUxEsjSSbcKPvOx96t/st/sJ/tH/&#10;ALYFz4uHwf05bt/BOgya/rCMwR1jBKRRIrFdzyPxjsATzivuT9nr9mz9pr45272vhTw3eQi3hjnn&#10;utakXTbcxynCPE90U84HriLe2OccGv3D/Y4+DXx3/Ym8Na7qN9b3NuvieeyXxHceGdUsmilgtIJ8&#10;/a/tNvFIY1aZ1iSFmcgZJJYY48Rn1CCaUlfsTWy1w1aZ+cn7N3inwB+xX8Idc/Z7vPD9h4t8T6jb&#10;WN98RmuVgls1N6rSQWKsUmMggMe11wBkZryb9pT4P3Gu2tx4w0nTtP8Ah/D4g0+5Xw7o2jQRfZNT&#10;fRZJ7O88uIKCk8k0sUeONw5Gccfp/wDtU67+z5H8J/D+p+FtL0/Qba7klgutQawurWe9mEboWlvL&#10;i2iWdkcfLhm65wOteZ+Lfhlc/tJ/CH4e6lf2+pXejeDdZ8Va/YTG+Wws5r+9uzcWqCdFEjQHJMhR&#10;thIK8kFa+QliaMZSnHR3u7dT9xrYmu8gwtCNmpNp7JrR213P52fjz+xt8d/2SPDnw7+JvxM0+3i0&#10;/wCImj/8JH4cCOZCbdY7eYpcKQux9twhK59eeK/YX9kf/gpdrPgr4DyeGPiLHquq6jo+g3WoLqF1&#10;l47x1nSKzgeaSQ5jVJdodULkKckAEn7l/wCCvPw++Lv7Tnws+FXgfwz4f1fVjp2o+Y1vM8MFnZRC&#10;wVFMk4VPL67RErEN2VjjH4dfHX/gmr+3X8JNPuL3xP8A8Izb2MmnLdz2Ta1bw/Z7QrxIFuhAgXae&#10;kbMwOQQDX1DlgsXGMsQ1zLa5+LV8FiYWUI6bnK+MvGXxC/bUtNR8X+O/Fxutc0q6cWlhqrutjb2c&#10;3QWyRpII1XG0ggDkZY1w2u/sD/EvT/htceL9D13w7rTxQtqdzpOmXDtKSoyUhygVpVXOVO3OMLur&#10;0b9nCx8Q/AXwx4ng8V+Dtc1HUdbtbZtMvUs5UthZpLvuRHJPEqv50bBkdD1Vf4STX2t8RP2Wf23l&#10;8FXFv8OfBt4w1G1BtLiHVdLgkWG4TIZg90pQgHkdQa8TGV8ZTxahh2uS/lsfd5Lh8olgZzxcX7RK&#10;y1a11t5H4GeB9W1XRNSbVbTMDRK8UhnQMNr8FSjZBPGOnHXg1zfjHxFr1xr91b3FyszgbhNjO1WH&#10;QAcLtHU4r9CJf+CYv/BQIqwuPAN3JgCRx/a+ks2G74F4Tz618e/Gj4SePvgb41k8DfGPRTpOs/ZY&#10;bqS1eeCZ/ImG6M+ZbySJhgOm7PqK+8pTw87bXPz2tHFKLi07fOx5hoOk26anbLrCvLbxyI0sKllM&#10;wbDeXkEEFh1OcjtXba5oen2XiGW7tFt9GiEoeOxe4MjRr6Hcd/HfP5CrujibS/Ctz4w8wxusnk2C&#10;MudzNw0gY9Cvb/61eNtcSXl0Z7p3Yu+52OWJzXYlD40zkhramzvdcbxDokFxceGLndpc7iaaS0lD&#10;BHfrvA5XB6E/hXuH7PXxu+N/hWOTwb8P/GfjDQopJHv/AOz9F1GayWRzhWkG0jLHAyaxfD/gfStC&#10;0TS/Fd7Ncmx1J3t7mEwNgLGRvwxOxiMgqOoNbnwz8T+G7XxhpPinxOxWK1u1srq4YDMKSsF3N0+R&#10;Tgn0GT2xXl18RCUJOnJM2xGW1aNRRqxa9T+mb/gmV+2p8QP2Pv2ez8C9G+H974jkv/EF7rg1e41f&#10;yGWW9RGdGT7NKXdRGzbt4zk+lfrF+1x/wVU+GfwH/Y+tviZp1vcab4v8UW11pnh3wzOI5rq1vEBS&#10;a7nUsgeCAkNvJHmkqowScfjd8G/Fei/B74Ny/Gf4uGK0sre5E9vaQR4uHOSsNsmZpEaWXOGYHaR6&#10;CvwP+OXxO+JX7SHxUuvF+ryXepahql0YbDSbUPPJCjyYhtbaBNx2jICoi8k56mvLy6PNeVV2S7mV&#10;epLVQWp88+INTX+2bjU7iaS6uLu4lup7ufBllkmcu7vgkb2JLNz1Nc1BrkWpX6291mRQ3J3bQOf1&#10;Nen/ABD+CXxy8B6Kdc8deCfF2jWBk8oX2r6TdWdv5g4K75o0GfbrXm/wY+FfjH4yfF/w/wDCHwTD&#10;JJqniLVbfS7dUUtsM7hWlYD+GJSXb2Br6d4inyOSlojhpc8mrrU+t1/Z6/ab+LEvhW38FaRrWqx+&#10;J7dYtAKb5VW0jkaHfJJjbHGrRsdzkfLg9DX9ln7Inglf2F/2dNH+F/w/kS3uLKxe51zUYvv3moSf&#10;PcvvPLZfKqeuwAe1e9fDz4UeG/hL8KdI8HeEtFe6HhrSrfRJrXT5Fjl+z2sYVJAjRtuViCSex646&#10;18JftGfF7x/c2tzoHhbw7e2GmeW7Ndag6oybAS77gF4UdgPzr8/x2YSm+ZO3off5bl99Hu+5+jlh&#10;p/w9/a8iFh4zvEsPEVzcwlNZhjiVprRGy1swCjcGjJCs+7ax3EHpX03+0l8cvhd+w7+z9L4n1m3h&#10;ew03TU0XRtHQCP7dMIyscHf5NoJc84XPfFfyi/Dj9uyz8DXMGmeK9fsrdoZttqsaETeX92PMi+gA&#10;3biOPU8Vy/8AwUq/a7+IXxzTw54I1+9nlttDsmNtbPlcvOQS7j+I7AirkdBx1OZyipS55SUFzS3f&#10;c9ujw9UxuKpQqTbp09bf5H5h+PPFGjTeK9W1nwnYWekJqepXN+bSw4SITyM4ii3EsI03bUGThQBX&#10;IaP448Wac5Gl6heWzP8AeENw8JYf8BOD7ggj1FcfrMEd4vluC2M9iWB/DBFeY3Gsax4ZlW38QgrD&#10;LKVtbj7zED+GQdfxr6FRvofqVWvHC03OWyPsrxV+1N4m8CHwda+HWgsLmxFzca3cxzOJrtzKnlP5&#10;W5hCyqMgw7VJLY2jKj9kfiN/wV5/Z+i+FFx8SPhy15N45/siPThoUNtI5tXnK+ddtPIViLIyI6Mm&#10;cBcLgucfyX+KNWfUNVm1GV9zPNnIPJA6D6e1b+ki4tr21uZFeCC5ifaU6uz8Zz36Yp4jhzDeycUr&#10;N/I/D874kxGZVlUqLSL0W9kf23f8FAviJ8OP2kP+CV/iK5+OlpHe6ppvhHTfF/hHWUjD30d9cTQR&#10;QFflA3MZfKmIYbkbdtJFfym+NP8AhY/xl0Wz1j4x2tjd6zDaQQx67YRC31d7RFEavfSDba3KLgIX&#10;k/eh/lLg5Ff0ufsh/s46X+1V/wAE/PDXw++PvxAsNAt5opI4xHqmnpfy2dtco9tb3SzlpYDE0PAK&#10;ZKFeMYNeo6H/AMEzPgR8KPA/ifw74e8aeCfFFxq8dsmk6hreqWltc6b5SyiQq1s68s5ibCFQ20qe&#10;GOfzDw74rxeCwSwWbJyqQlKPNdWcU7KW99VZ6o7s44UnXr8+Ei1BpO1nvbbY/mb+FvjbwF8CvAl7&#10;4T8aJoniW41Qp9hS+iS4k0o9JzHJBtUyOuworOyoI22glzn1/Tf2ovjt8INBuPAHg0addeFb+4mN&#10;swQWmpAyguivLt2NCjZH7tdwU/eFfUHxA/4I/wDw60rxFpsPjP4j+I9bNxALnXLnwvYaVeRSyKxC&#10;rbTNqI8kqBg+crk9ehFetfD/AP4Je/sWzfEyxl8d6v491bwu3h8W81pq11b6ZLb6sAoeYtp8sjvE&#10;3zNEiyDZ0cPX32PznJZxbqyjLr3OPAZRnlF3oRnGy80fkD8FPF3jD4V+Ok+KmvzaPf3Flq6a7a6f&#10;PZ/aYZbsSea0kpcIxbPyfKwGDjpUX7WX7Znxh/aJ8az+IvGl7Hbm7lb7DoejR/YtNtEPZIUPIUDl&#10;nLOx+8xr6Z/bx/Z3/Z8/Zi+Ith4R+BHiPxJren3VjLe3MWvzRSpZICNiQNGiNgktnzMtx1xX49eJ&#10;teOoau8sXCx5WPHUf5FdeFrU8XONekvdtpocccNUoQca11NvVM960f4ra7YT2trLciKBEKTfZT5X&#10;mALgbiPU9a+w/gl8dfE+maaLaHUPMhW68pEvD50cbu5WOTa2eDxu9ua/J1ryTZvZstnvz1r0bwf4&#10;ju9PmkiWRgrHkZ4JOP64rbMsDGrC0kelk+MqUqt4Sa9D9HdS8WfG/wAA6l/wtzwvrt7faJJ5ser6&#10;PJGk9vaRudhCW8weJFw2ElVQ8b8ht2GrzXwp+0x4y+Hi3uqfC+9lt5NTuLeC6imQyEwktLvBVg2+&#10;Mtxk4P8AEpxXsn7M9v4r8deDPEa6Rc2kws7XdqGl3u7dcWM+Yrho8KykplWIYqCAcHIAOb4a/wCC&#10;d/7Qkfim11LVdGDaVJcrKz2F5EJVTqrKsilWHQlSORxXhfWcEnKliLXjt5+R7tTJ8zT+s4RSale7&#10;7eZ9lfBH4eaPofhq9+NPjfQNE1+y1ZXjtNX0++W7kg0eK3+zTw3dvC5mtn6mVpIwuDvYgEkmt/Az&#10;9vr9kOz8N/FXx/NYx+C7i6t59L1HTb+GaOCAW8d1DLHNAxMabTtjf7xIwK981/xh8TvhL410258H&#10;+H9Y0vX3spktLbQ/D1tq0a6fuWLUJLSxtoXSFpvkRpTHkLlW3KSK+Mf+CqP7ZH7SHjzwJ4T+AHjy&#10;41mw8PNp8Wu2mlavp9rpd4EieS0h8yG2igZYR5TeXHLEpG0MAQQa9ThXM40a04xbUqnR7WR8VxZT&#10;niKdOE+Vxp31W+pB8e/+CrXib4g2cvh7xHr3ijxBbxTOLeA30iRbGxkySPuLk+gUcdcV8Y2H7Xet&#10;anqVn5Eh0+G1uhPaugzLF84YgSfeAzzxzxxX57XF+kZKj7vf60+31FCUC9M5x3r6zEUadW3PFaHk&#10;YLEVaUGqU2r9j++X9kj/AIKoaT+0b8KbL4NeMtKTUvFNvoyQ6hqAvPJOqJHgG4RfIceZjb5oPJOW&#10;Awa/OvxH/wAEKfhd8Vtc1Xx18NR42020ivJbrVtPgv8ATp9wusssVmrWULrtOSeJuMfd6n+d34A/&#10;Hfxh8HfiVoPjrwlPIs2l6lDcbN5AaMOPMQ+zIWU+xr+o3w1/wW18BaApt38H3xXcJTPJp2pT7XIU&#10;OqiNERlyvysGOfTmvjc5pV8NU58K3qtkdOW5Y6k7yty9bv8AK5+uXgP42/A749fsCw/s8WNlfppL&#10;+EbzwRqUWvrD9u8rTt2nNLGsMhQkTqGV8qcjouRj8b/+CXH7NHgD4aftpQePfBugXQ1jQDN4c0+W&#10;4uDNbJcymWGSVYUYscoGJD5xk4yea8e+Gn/BRD9mP4ZeAZvBq6Lql6wudUv11x9Iv7K/RNRme4kj&#10;Z1Vx5cW75M8Lt3/eya8Jg+CHxp/afsbH46fs1eI/HmnaVcajeT2upaDK9qJX37eZHnid5E5Duw5J&#10;JwM1lk1VSwmLeObU3ycmjvo/e+9G+d5Jip5lQp5Sr0ff5lddly7u+9z+5vxzqOoy2qxXseDFfmLf&#10;GpVTthUk4wAPmJ7Cvz2/4KKXnhPW/wBhnx14M1Wa3ku9U042ttasys4lV1ljYrn++q4BGWGceo/m&#10;l079kn/goxpeuWniWL4l/Fhrqzuo7yH7Tq0TqzxsGw6PfhWVsYYMCGHBr678D3X7XukeJ/EXivx5&#10;4SuPEtx4juvtV295a2VvLG/m+ZiOX7WWVBwqKOEABXBqcVm1qcY005P0aPbwXCVeE067SS80/wBT&#10;+cHxN8KPC3wa1+ZhY6nH4hUhreO9AMNuT1ljYdSDkDOSCO3f9d/2If8AgtN8af2fL3TvBHxh1K78&#10;TeFg8cMtjqDNPcWsIP3rWZjuQjHCMSntnmvY/GvwA+IfxD8S3WpeLPhnquoWE1xNcR6fd32lkwtK&#10;xOY7l5DMpGeu75uNwNeRWv8AwTkttQ8S2/ie08AX2mG3nDSWN5r1pMkiryONtwgB6HHPsOtKnmKj&#10;ryyuezXylVqahPl080f1k+EvHGgeO/AFn4z8NzrcWV/o2nXkEq91ZpmAPcMM8gjittLuEauk87Ii&#10;rPqW93IChQ8RJJJwAACST2r8ZP2Y7j9rD4b+ILHwY1top8NymVNVhub1pLgWyxsQ8RWPYHiwCAqL&#10;uxtyoJNeJf8ABdX9qLUPhb+z5afCTwZqs9jq/i7XLuK/NnIYpho0JDXCEqwdRM/lpxwyh16ZFe/g&#10;6/tkmla5+cZrlrw1d07366G1+0Z/wXZ/ZY+AXxGPwisNM8QeKvslvp1rq+saALZrS2uINrSxRmWV&#10;DO0fRinyhsgEkED9NfgV8cPhv+0x8NdE+MXwnvzfaHrWpahLaTshikVj9oDxyxt8ySI2VZSMgj8/&#10;82Y6qk1ywMXzLkLuAPA9j0r+nn/gjJ+2b8Nfgx+z6fhl43n1WW/vfiBeXWmWFhYzTpHbzabCJJGn&#10;IWBERkZ3UybwMsFNd+PjGjSc+xlhcPKrNQitzhfi9/wXP+Pv/C7Nb8I/BD4d6be+H9JM2jXceo/a&#10;p9RuoLSWWN51e3dI7fcXbaCkoHGS3Sv3e/Zx/aB0b9qP4ReHvjfoenXukR61fK82l6gP39rPFFNF&#10;NGTgBwrqdrgDcMHAPA/nQ8X6Dp0HxY1nQ/DeiQG41K4m1kT25eMS20cm9pWlT5hHChJcMeACeea/&#10;oe/Zil8IQfB/w7ovg+4+0WumraWssjAK5uhDM0xcAtyzsWzk5BBNfMZXnLxXMnG3Y/Q8/wCFIYHD&#10;0qsJuTbs+y7HvMKB7jTt/B/trVTj1/eXdfWn7MnjKM+BH8O3MscZsrd9T2yHbi2OBIQTnhW6/wC8&#10;K+H/ABX498G/DXw4njr4halaaRpGm6hq9xe6hevsiiiR7osxPUn0ABJPABNfgTY/8Faf2l/G/iXx&#10;h4r+AfhHS7r4ceArGGy1nU7tGLXdlqV/FawrdecwUG9YMEhRC20MxGFZhGY0p/V5zS2OLIMNPEYy&#10;nhqPxSdrH9l2p/H/AMKaXo+meLrGaC+8P3M622pX0T4ks9zqscjocHaGJWQEArwegOPyT/4OJfAm&#10;i+MP2LrP4tQy75/AmuwXwMJ8wm31QGxl3L/Gm2UHH0NfPfwJ+JHjLx7+zZp37ZPivQ9D8NeC9bvr&#10;3RpdAACA/38ywmd0tZrJvL/0tZf3SwysGZBIJEONuEOCf0O/Zt+IX7OX7ePgjxL8O/G2q6PfaZLa&#10;x6Xf+HtVXyfNjDp5c9vFLgPHuG1CvzKwGQMqa+Q4fxlf+0FRrRtazP3nP+Daq4dxGY4alKUKb5Zt&#10;Jvlfnbaz6n+en8IPhP8AE348fFePwh8F9GuNQvQv2y4vFVhHZ2sZzJPOfuoir1zyTwMmv9Ayz/4N&#10;vP2HvFH7EsPw5tX1bTvif/Y0GoJ438+5aNdYMIkaN7GWVoVtnm4KxrG6j7pGCD+kfwJ/Y1/Zi/Z4&#10;shD8JPB+k6REYIYGFnbRi7uo4G3KJ5sbn3kZJYnAz619tPr+p6Ho8cup+Ur3pNwLSMYESDp15596&#10;/XcdmjhT5ux/N3DmRPG4qNKCP5X/ANiKLxhpH7KsHhDx5Bc2+p6FNf6Ldx3WfMWW0nlgdTkc7WQj&#10;Nes6B4anmguJo4nKjZnI+tfVf7Wkdr4LvfF9/oUMUA+x3Wt2/loAhllhaZnK9DmUMzepzmv4m/jP&#10;/wAFWP2xbmbU9A0/xxceHJNNmjNjF4c06G3+3v5gDrcTqQUVEyQNrBjxgda8WeDeJkpJ20Pap476&#10;jKrTcb2lb7j+sGbw7cgZMT88cCuUTQZ7Wa5DIV3BANw4OCfrX8vXhr/guD+19o3hq1j8W6no0kik&#10;wJe3WjRs9xswC7MibSRn5iK+o/gX/wAFT/2ivjd4c8Yaol7oFxc6DZ2FzaeTpqRgNcTSI+9SACCF&#10;GPSsamVypx94yoZmqtZO1mz+iSy8NXDaPAwiYjZwcZBrLm8NXLyErEcdOB/9avws0/8A4KW/tuGw&#10;jt4BonlbfkxpcRyK+Jv2qP8Agqn+3toHiHTNPtNWXRITayTLJpNhHELhmYBhIQrZMe0YHbcfWuFY&#10;Xmdlp6n0WJrSjDma08j/0flPTP2vvhpr1nJfaR8HpL21unE0LjWb14QvXCiKHac/X6Yr2/wz/wAF&#10;JPjT8OvDi+GfgZ4F1TwjZvctc3Fpp88l1BcO+AzSLd2crk7VVeJAAB06k/kJ/wAEl/2p7mx1X/hn&#10;Lxx80Ny8tzoFzL/BKBuktiT2I+ZR659a/okhtoSgTYvscd6/Mf7LxVKcl9Ya9Ev8j99wNLLMTRVR&#10;YVNdrv8AzPmPxR/wU5/bC8X+Fb3w1L4RUfbbOazN7FpoF5F5yFDJHKtsu1xnIYDIIBr8EfG/w4+J&#10;vwk0a+8d6z4j+IOl2gZpphPdzxQvI2SNyP8AIxJ9VJr+ouVIoE3OqjbnPAr+Y/8A4K+ftKxeKPEF&#10;v8FPDF0Xg0+Y3WpCNsr5oBWNCe5AySPpXbhMBiJVY3xEn9xwZ7LLsNh244WKk9Fvufkj8XPjR4/+&#10;LmqQ6l451nVNY+w2wsNOOp3DTmC2QkrHGG4VcnOFAFeMFgMD9aa8jMVQ9gPxqrcuVOBX38I8qsj8&#10;aq1N0jRjQmRM9Cc1tW14LaNUPVmJYdD6CqNuiT3Sxw84XnHaqszN9rYr2JC/hVFUk7XudpbyOrrL&#10;uySRheK+0v2Xfj14h+FPipXt4oLuwv28i9tLqISqYyOSAcdB1GeRXw5pfnTMEAJPbvk19cfATR9J&#10;kvLp9ZkTekCpCWP3XkdQW/4Cu7k+w715Oc8vsJcx9PwrCbx1JQdnc/dDw0nxyspdF0TwX4fub631&#10;2HdoEtvcP5V1GsRmIT/TYlXYinKlVxjHOOfedM8C/trxKFi8CkAHgXF2Dn6j+0GFO/Y6e90hfhfo&#10;niN/s1z/AGlq0mnWt5Li4a1aykKkRNgj74HyjGSB1zX7SW0pDYbJz+lfn2HySjVj7SV9T9YxWOVG&#10;tOlGlH3X1R+N1x8Ef2vPESJZ6p8O/Dc0YOQt99mkUH1xJNJzz1xXRWX7OX7YKWqQWHgjwfaJFlUW&#10;E2MeA3XpE1fs3ZOpIOB6109qVcjGPwqnw7h03a/3ntYHO7xUfZx+4/G+6+BX7eutQQQ6np2h7LYD&#10;7Mh1KFBHt4AGy3yMDp6VoaP8Af2x/GWt3Xgjx9q0Olx2thBeRImrSXUEsU8kkYARI4wjKYjkc5GO&#10;a/ZZAM4rzp0C/FS6Yd/Dlj+l1d/41qskopJa/ezv/tFf8+o/+Ar/ACPzY1b9gX4v+JrhbzxH4ntL&#10;yQAfvbqW6mfAxgbmbPGOPpXTaV+wp8XtMBS08aWkKlQu0RzSqB/uuxFfqEn3B9BV62VWUkgHnvW0&#10;cjoef3sr+1p2tyR/8BX+R+bFh+xN8ZbZCtr4/ggDcN5VkVz+RFfF/wC25+yP4J+A/wAHtb/aD+MG&#10;paH4i1K0t47HS7e40aOe71C9cbbe2R5NzbRyzHkKisa/RD9vr9ujwX+w/wDCn/hKb+JL/X9QLRaJ&#10;pGeHK4DzzBTkQxllB6bmIUEckfxjftR/t3/Hn9qvxifFHxC12eeC2Qw6fplviKys1f7wjgQBQxPV&#10;23OwxljXrYThqi2ptO3q/wDM+K4k459lGeHpRXP5RWn4bnhl/oniL4j6nH4Z1aaGxuSz30drDHGk&#10;SRSN0OzCoScBQOBnFdR4T8A+B/CnjXRPtcMt0pvSbmO8h3ZVI5Nw2chsOo4x1FfNl9411rRb+bU4&#10;nLXFzaG0WXcQYgWDb1xjLDHHPB55rtfC3xih1HUbV/Glm90sN6l3dSW7KklwscbJsOVJG7IJ+bHX&#10;ivVzDBV6kJwg9LbI+C4ezHB0qsKldWkmne1+p+rXxw+J3g6z+C50yy01ftenazYDTop7RYoIXRvP&#10;b92+CwMcbBhsK4PzGv3B+GHwp+GX7V3hCy8U+K/g78NtI0XV7GG4uL+90xLd5/NRXby4rEWznkn5&#10;iVH1Ffy1+H/jnL4x068F5ZQR6J/a8ctnokrubZDHvlTzCrKZDuAGTxgkAAGv6zf2L/2nfCH7UXw+&#10;3aJbLpGo6GIrHUtEEqyGEbAElixgmFuQrFQc8H3/AI6+k3l+aZPlmDx2Bpu0G+aak7xva10nrqt+&#10;nzP3LhbG4DPsyrPEy3S5Y2Wttzmv2yf2Qf2U/FXws8O/DewfxNphsZZWs59Iuh9ljcRhPMNrc+aZ&#10;Ngwq7psgMeTmvnz9jT4ej9mLStR+HGkDRr++0rUv7VsPFLabbi+vLW++eJneRZJI3idHi2q+BsyO&#10;tfS/7TXiMW3i1NGgYYsLJQcdpJ/nb812V8W/D/xlen482Wisf3N7oOoAKecyW8lu6/kpkx9TX8w4&#10;XjvP80yyvhMXi5SglzpN7OOujWuqurXtrfoe/U4RyzCYhVqFFJ7fJ/8ABP0v8R/GHWvH/hq78FfE&#10;jTdL1/SNQiMF9p99bJ5MqMSSCIwh5LE5BByc5rzf9nr4R/slfs8fFOL4z/Db4XaPpOuxWctlFc2t&#10;zdsI45xiQxpcSzKjMvy5HQEjvVrTLqIxjzotpHT3p2rX6xWx8kFW7GvhMv46zvCyvhsfUj5c8rfc&#10;3Zn0L4Zy6rG08PF/JH2zfftGfDvxC0994putT8Nx20DzNJYr1WNS7bpYF889DtVVyeAc1/P7+27+&#10;2lpHjExjwdrWv+JPCjXCPDcahMljbajHFIpkhSSMSzSAA4ZGeNv7wHAr6q8T61OhbzmZlb5WXPBX&#10;vn6iv5TfjL4x1zwf8R/FHw2t7u5i0uz8RXs1vYLI/wBnRnf5XELMU3+XtTdjO0AZr+9fo08UY7ib&#10;BY3L81rc04LSXXlldWduqfU/BvFDKaWTVsPiMLD3ZbrzR/XNq/gP4C+PdLgHiT4feB9X064tY2hX&#10;+y4bRzA43ptntFimHDZ4cda4XxF+xR+yP4/0iHS08P6z4Z+yxCCz/sPUneCFF+6PLuUlZsZ7yZNc&#10;3+xj46k+Jv7MPgvxXcuJbh9IWzuHUAHzLJ2tug4BxGDivtXRbIyRqB25ziv4gzPi7P8AJMfXwtHH&#10;VISpTkn7zaum1s7o/oDIcowOIpwqukveSd1p+R+Ynjz/AII93Gr6ZNqXwS8cLeXQHmRaZrtt9kaU&#10;gfd8+J3RT6ZTn2r8KfiZ4V8RweLtR+D2t2ctr4k06eSymsblDHKk0UgSXB5BAAJBBIIwRkEGv7bd&#10;BZrJP3eQy4ZSPQV8BftU/spfB7xl+0fZ/F69gns9bu9Mt9Re5sp2VriSEGCQPG4eMAoEViqhjgc1&#10;/Un0dvH7Ncwx1TLM5qe193mjKyurPVO2979jwvEThinSwTlh9ObRn8n3h79n+/1tVvLy6NlFJfNY&#10;NDIgeSOaN9rocMMttwy4ByG7Yr9i/wBl/wCBfwM+Kc9h8KvGOh3F7f2Ei2NopLRiSYZJaRo1BjRQ&#10;C7EueF79K6T4kfs7+BPhz4P12/8AAvinTtdez1kX8uiahDbS3tvPdqiuhvISrNlIlOyRPlwTkEnP&#10;qP7Lni3xXr/xFsvFGnLpun2+2PT/ALDaqn+v27Nw75x8zNnnDHAFf1DxTnsqkOZzaS+Vj5TwvyKh&#10;CNS0E3bXRO9j+k3/AIJ8fswfBv8A4UH9r1jTNK16L+2721sLmSGSNlhs2FuwcbxukMqOWb6Y4Ffe&#10;8X7OnwLjUGHwpo3tuhz/ADJr+Sux8CfHbwz4g1bw3ZeM/F+jxQa7fzxWdrqFzbQAT3DzJNFGrBQs&#10;iuGBUYyT6V/U9+xt4q8XeLf2d/D2oeO72TUtUigezudQm/1twYGIWSQ93KkBj1YjJ5Jr6PJaWEdO&#10;FONNPTeydz4jHZ1VniKnNNp3emqSPQv+FE/BuIZXwpoH0NlE381NZHiP4D/AM2b6vrfhHQJDDEVQ&#10;LZxru7hQFAUknuR+OK90dgo578V8Y/tlfGnRvhl8LNXmvrn7OlvpVxqGoToxU29lGMSMGBBWSTmO&#10;EjnzDkAhTj08Vh6FODapr7l/kZLF1nJWqP72fwN/8FZfiV4e1n9rfxefCFvZ22n288Wl2VvYKI4R&#10;HCm4lQBghmfII/g29TzX5Dl8nc3J9a+ivjn4l1H4l/EXWPiDqy7TqWoTXYhQYRBKxZY19FRcKo7K&#10;AK+dZMbmwP4q9zLqHs6cY2sfmGb4t1K853vqRzOfKyOuR/Wu48PI89yGXpuC49c4P9K4NPmUhufm&#10;PX616r8OYTd3Rt2wRujZfXIJGP5VeYVVCk5M6+HqPtcTGJ+rv/BP7WfE/wALL/xF8UIfMW1PhzVd&#10;MuVVGcPBeW7wOMAcn5hgdc4r+wf4hf8ABSf9lP4bfsz6Z4l8V+I7nSG1nRbvRtItr2ynSefUdNtI&#10;RPBiNXVGBmiI3MMhwfXH8on/AAT98KXurfFbw/4Ta3F3BdeIbWRrJ13C6/fKVi6NwWUZ+U/Q1h/8&#10;Fhbj4wWPxIHwM0Pwjrml+EPh1E99f3jwyTQte6iyI1zJPsUKCiwxHhcuCcd6+QyKuqtacZSspO3b&#10;7j9R8QKbwmDoxpR15b993bX7j64+MHxIl/aA1LSNe8FavZXenQQrFJPaybbmNZ8yTBmWTeCGIypG&#10;fr1r4a/4KsfALxF8JPDHww8S+IfJJ1jwzO9hMbs3N3PYmc3ETXCHPlFTOwVd78dxjFfGH7GOveI1&#10;+KUuh6WZit3ps0soiZgQLbEm/gE4VdxOMcck4FfoZ+0loOr/ABB8CaJrXiaW51DT9NmbTbS4uJjN&#10;FFsAdreNmLBQFOdo4HpXq5hhoYbEU8Q9XHb57n5Nk8HioTw0tG1+R+A9xMWQKMjHXNRxSkHA/Kum&#10;8e6dFpfiO6WBAkXnN5SryqrngA+1cnB87jHevtKdRSSkj5ypTdOpyPoem+GbiWO7QRgn2HvX9J3w&#10;s+EPibUfhbpWu+H/ABx4iF5Jp0B/sn+1NQtowypl1jaK4KIFzjGwDoOM1+FX7Ofw8sfEPiGCXWJI&#10;gzkLaW0rhTLIT8ox1xmv6Lf2Y9MOnaH5F1KzzwTGyWNuQqQP5Z47BnDMP9kqO1efjqUJxeup9Ngp&#10;tSjBo4rUPhH8X/Geknw3rfiHxhJYapbT2l7ptxreoSJPbyRlJYnV5droynawGcg+lfoZ+xqfFHwH&#10;+Hugfs/aH4SWDQba9uFj1N7xxJG10xlYiNkOQMH+Lp719OeE/BGnahomk31lOLl7S8W8S4m8tt8b&#10;B43UeWirgJIQvHYZJ6169fRJHd6cqBQBecYGP+WUlfKptPc9l4iKadNFi/aMPuUc+v1rMvJI1jV/&#10;Vc/nVm9mRn2j261hajcARhCRwOKUpXdzSrVujKkkjJbOcE+tc/dzrDM+GP4mua0Txf8A27rWpaJb&#10;W8yTafdLb5lKgT7oxKGhwxJGCRg4OQeOlfnX8Zv+ClvwV8G3MmgeELzS9a1mPUjp8lm1/wDZ/KEe&#10;fNmk3oDlWxH5YBO4EkgVzQxMZ1JUoO8oq7S3V9r9h4anZc8mkvN2+4+zNT+Nlx8Pde8e+KNVtbi6&#10;0rwb4Dl1lLexhaa4uLyYcKAgJI8slcAYHLH2/ir/AGiP2kfFv7RXxU1f4reMrh7m71e+muxC8jSR&#10;WkMjFo7eHPRI1IUYxnGe9fvl+01+29p2hfsj+NfiJ4UVLfV/iMbLwbabJfOEKqkkN40bdCqRxXBV&#10;goO5lJ6iv5dL69hEpitVXb0yBxj2r6HhrBTpU5SqO7bb+9nyXEGLVTEOUeyX3CyTIZiY8ckkEV+3&#10;P/BLjXDZ/CfxzcSRkG1mUFxnErzRKIuOmVw4BH98ivwwV3iuArd+tfrH+wd8Sl8OfC/xl4b0G4S6&#10;15/JvrDQiqrJcRwjBlikmIiZ42bIj+8QCcHAr0uIKzjg52V76feb8KUFUxcVJ23/AA1P2M/aE/Zk&#10;8O+F/D3gjxxdTtqA8YieNbaZSi2XkBGXaVf5sySKRwCMH1riP2X/AIieOvBCeLvEHwsvFvdbvWub&#10;bT/D+quselW11YmdII1jiVfLUyMTu/u4Q8DI+w/jHd+GPiX8GPhBp2keJdKGoaNZy3Wr2plWWSPm&#10;1d1lEf3GyjDHrnjAr40+F3wV8ZfDfxFqPiB9T0jUtNl1O51FJNKad5mSeZ5ArRtGMMofnkdPpXzG&#10;TKnCnNKza/I9jNcbVlSTldtp9HvfQ/BT9sD4y/tTeMfifq/gv9ojXtSvNT0m/ka705boyafbTTfv&#10;SYYY9sIB8zhgoJBwSa/ef/gk18JPAnxn/wCCdfxG+GWsPcW//CTePbO4vLi0dRcxf2VaWktsMkHK&#10;b2kYAjGHOKxvGv7NnhHx/wCKvFfjfWbnw1F/wkN1E0g1jQb5rmOKKFIcSXMdtIZFYoGwhOB75rxf&#10;9kj4gXX7Pfj7xTpvw51TTNP022u4NNSK8uxb2V6lmHAZoJkWSX+J1PyOivgnnA2zDGyxtGeHoWTJ&#10;yWnPBVsPjlJqW+1mn8z9zvit+znqepf8Ewov2YvhQmpzXumeMbO58P20V3FCdSfbM90bsSPGjRoc&#10;yEno23GTiur/AOCP37DuufCrxLp37T/7QEOntPYNNb6Z4Ouglw8UzqY/tVyQxjVlyTEg3YOGJBwK&#10;4n4B/EXVvi/r+n+MJFsRFp1rqGV064+02ssrLGjPGDjBO7GDnpwTX05bfEu5+GVzBqGvLMunySiK&#10;7KE/uiedzgdhnkgcD2r42E/YVI1Kq96On3H7Hl3iZnEMsxXD+GrWpV5OUrLV31cb9n1/pH7ufDPQ&#10;fg98CfA9svhy816TSLrU5o3bxDM15NprXDSXBd55T+9gMrMFZj8oKLjApnxLu76y1a8a/u0VJYGW&#10;K6mYKiIw4ct0wB82a+Bbzx7a/Gj4eWp0qa7n0Czd0vl0mdHmdZFABzkgjg9uPrXqGpaHe/HTRPC/&#10;hSK7lt9N0RbdtZ+1uPOnjtxiCOVhgMQoDOMcnHpXq4rNpYr93D5frc4+EcneWyq16ismvnfokfj1&#10;/wAFyf29vAn7H6aJ4EfTrjxDrXjfwtLb2VpbzLbRQWoaS3+1yzOrZG512qBz1yAK/kL+IVr4C+HM&#10;UPiLxxpKaqsmqGS7td6SMIbj5siSPkoMAjrgHgnt+9v/AAcu/s/+Ovjd+1P4Aj+GbQTxab4C+yxQ&#10;tv3yb7piSNqsMfKO9fhV8O/+Cfn7TNnCJ9b0TS5fKRlW51i9ktfJQj+FmZV2gZ6jivr8HhIVqcFO&#10;dlbXc/OcwqVqGNrunBXbvd9PkfGf7RFx4D13xut78NdUS+0i5t1mjhETRrYtIPmt1DAbtp5yAM/W&#10;veP2YLHVfBvwq+KGr+G4L+8WbS9Jgtns4ZHZ5t8zlV8sNkrkE46d6+ufAv7B3w48C6hFdXthcfEL&#10;XZQJYtI0wvF4fs/9q4uWAMwyOBwp6bWFe73HgZvEsEcnjNNTez0qbNtoPhayuLLTbbyum10jSVyv&#10;ZkKL6A17cKUVD2cXdI8aOAqVasq89G+iPCv+CV3wO+MnibxbfeOfixJ4itPCgtkFhZalI6x393K+&#10;FYJOC/lIoYlk25OBkiv2M+K+leD/AAvqFraXfh3Ub2J43aA2FnbTRpggMCZJFIJ47c96+Ffg78WP&#10;iL8UPinb31jol/pek6cDp9k98yyF0hYFN32gTqJGY5/dqkmB80hPyj7j8TfE99N1eXSPEkEySQMD&#10;G620kiukihuNiEDaflIPPFfGcS1/YS55O9z3cgwKk+RS27n/0v59vgJ8DdZ+Hv7SfgXwIEV/ENnc&#10;nWNfSAhhbS3IDGBmBI/dRjB7ZNf08K6xQDc2AB1PpXzN8GP2bfAfwf1K88X2/m6p4g1J2kv9bvzu&#10;mkLnLBQPlQE+g9uleK/tv/tZ2n7OvgLztNeM6zqG+PToHIIBH3pGHPyr+p4r4ZVvaO6P3OhThg6L&#10;votzS/bS/a/8J/s6+Brp5rhDqcsLLZ2iMPNmkYYUDuq85Zuw6cnI/jZ8ceMdX8b+J77xZrjtJPd3&#10;Ek8jk5yzkk49h0HtXqfxZ+Jviz4q+JLjxZ421C4vriWQsZJz69gOgHYAcAV89alMJpNqjgHgDkV9&#10;Hl2GUVc/MuIc2niKl9ktit5gkk46bf1p20MRxz2qhUkfDbz0BGa9Vux85CTTud34asTJcttPzbcY&#10;qOfSryOR22dGwMe/StLw/cvBciYfdIxnt0r2bwf4fTXLYXu3d8wBTu2CPlx6k8V5GLxUqbbPrcsy&#10;tYiKRi+D/hp4w1lo7axtZJZJiFhSFdzsx6AAda9r8b+CvFn7Onhn/hJL6eCDVBfW8cEUgWRmlK+Y&#10;doOQRFgbuD8xxX6f/Br4F6P4H8KxfEHxDf2th5dysP8AxNV8pI3dtiQ5G4l+eSAQRkjABr8xv+Cj&#10;PinW/Efx7SPVbKKxgttHto7FLa7+121xF83+kxNtTAk6YZQw289q8uhWr4jEKlVSUVq13Ptc1wOC&#10;wGX/AFrBtuctE+3mfMXiv45/FTx94itvFHi/W9Qur60Ty7S4WUxG3TOdsQTbsBPJ29a/p7/4I+f8&#10;FGPFfxtnf9nH43XxvdasrFrvw9rt1IPPvYIiFe1mLcyTIp3RtyzIGB5UE/y0WHwx8V6h4N1vxyiQ&#10;x2WgfYDfpK5ExGpEC3MaAEMCCCckYB/CvpPwR+yn+2d4Y8O2fxz8EeFNbgtbBE1i01Kwkha7hSH9&#10;4s626SG5G0DccR5A6jFfQ1sHCUORK1tj81wWaV4V/bNt3363P9B+ykGRz9BXV2Uu4Kg6k/KB1J61&#10;+dH/AATr/a0sP2vf2ddM8eXUi/8ACQacqaR4oh4GNQijUtKAONs6kSLgcZx7V9M/FzU/iBYRaK3w&#10;6Szkv2v5j5V5tKtGIDuK7/l3L1BJB64r52NDmmoydj76edSp0fbUoOXkfTFpdQ3SloHVyrFG2kHD&#10;DsfQ1wVw+PirOvb/AIR20JP0urmsXwBrWpTPCvi+2jt9burZmcwkbJIoCoJOxiuVL8EjOCRnHFXr&#10;mX/i6UjDGf8AhHLYY/7erioxdGNOXLGXMu59RleazrUFOcOVvoejROAeeh71cG7OFzknj61jxuMZ&#10;PcVQ1zxHpfhLQr7xbrcggstKs5tSvJn6RwWqGWRj9FUmlTWx21cY1Fy2sfxcf8Fgvjvr3xZ/ak8R&#10;6TJKJtL0O4OgaesZICQ2TkZHqJJN0hPct6Yr8gLGOLU9SS2tn8q4dW+bGVbYOQw717j8aPGeufET&#10;4hav44cLDa6lqFzdW8l4fLM8UkhKsoPLAjByBj3rxHTNL1CHWFubCGWYxOLmF7dGkGAfnjJUHkjI&#10;HrX2dGC5OVH4POq5zlOTu2xvi7QZDpS3UC7pVkRQqDOS3y8AZPXtXBWVrd24Z1imDoMtlSAMdzxg&#10;V91/DnwDceJfHNpo13HqNlbzXHmm5tSYbiIRozB42IypU457V+rPwU/YF+APiH4a+K/EfjnW/F8g&#10;tLNHmla+/d+U7EOZEVcvxzjJya8bH8QYfCz5Kjd/LU9zKeGsVj23QSt5n4JeBJpG8L3MbY3NdpKg&#10;HHK5yf1r9X/+CXnxo8O+A/2rtI1XWnZE1+Obw2EMhTZJclSkjKrbWG5AMN0zkc1wnxl/ZC8DeB7u&#10;yj+Cl/JdaNKkiagLm5W5uoGD/LJHGI43YPGwwrLwwIZgMGub8Y/Abwf4G0G6+JnwJvvFMEWjWUS+&#10;IT4ksov3F1I6hZFkjaIxRZIBkMbKCV5Gefm+Kf7Oz7Kq+VVamleLj6N7fifYZVkeaZRXWP8AZ39k&#10;7+vc/fH48eJPBF5461ybU9eltnivZ4pI49Lkudn2c+WV3efGG2heoHPYV8efs/fEf4L/ABB/aHLa&#10;L4sjtV8KaFqOqaze+JdLutFs7S1k8u2LSzuZtoMkkeMrjBJyAK8D+DPxW8U/EvRGh8dhZdYjDG6n&#10;Uho7uKVTi4RlJB3E/Njvz3qfWfBd9f8A7LnxD1rRIYY9Z8RR6P4NtLh1w0kMcj3dzCxAJO5BGBx6&#10;duK/CMs8Iskw8amAxGGs2uVtNrS2/wA0fQ47izHVVGtRq762sv60P3G0rXfhLqUCNp3xI+GU4IBU&#10;p4jtl4PQ4facHscV1viDwHptjotjrmpeK/BUVnqwkOlXT63aiK78ptj+Q5bEoV/lJXODxX8XP7Yf&#10;gnRPDnhv4earosCJI3h6XSdQUDLNd2cxZsnudso/lX6DftV6HL4b+A/7EHgqUoXh8P65dsNu0Zu9&#10;aSUHB6ferWH0WeFZ041Yxnqm/i/4B4kPFjN6dSUJNaeR+u3xAm+HunzyLdeP/AEJUtuDa1E+COx8&#10;tXPFfjT+1H+zl8APGUviHx/4H17Q9c8Qx6bd+Ib9fDuqXU5lS0i3SN5U1qsYCqoztb+dfCvhXwdP&#10;p66trN9GI2udTuntQVAKwiRvmP8AvdvYCvWv2avFNrL+1h4X+H+pNt0/W7HUPDl8DwGGq2zxqPxY&#10;IK+64N8JssyDESrZZKcXbX3nql36M4M740xeZ040sUotdNNmfs3/AMEd7Lxf4u/Y6hOlaXqeoLZe&#10;JtSs0NlA1xwVhlwBHuYYLnqPWv2F8LfD74ltMYX8M+I1OM86bc8A9P8Aln3r+X74daJrHwC/4J6a&#10;zH4curvTNb8Q+Pp9LN/YTyW9ysmj2heVUljIZRulUHB5x3r6S+JPxi+MHw9/4JkfsxXdr4r8Rwa/&#10;4svvHut6pqS6jcLeXNtaXiRW6Szb/MdEWVdgLEDHFfmvFX0YclzfHYrMpV5xdWbk0rWu9dND6bJP&#10;FPHYGlTw7hFqEV/kfvp8c9c1T9m/4L678b/iNpGrWWjaDYNdTSXdrLbCaU/LDbo8qhRJNIVjQHqx&#10;FfyBftYf8FJ/j7+09rSMkq+GNItrWSwttM0WRo3aB2DEXFxxJKSQO6qOyjNcJ+0b+0l8XvG/g2x+&#10;HvjLxZ4g1i0kuRqM9jqF/cXMW6MFImKSOVyNz44r4TfUm+0tDCDjqT3zX6f4Q+AWS8Mc2KoRdSrL&#10;7UrNpdl0X5nynHPibj82SoOXJBdF1fn1PpL4N/HTxr8LdTaR4k1PTbl91/YXTsBLj+JX5KvjuQR6&#10;g1+znwC/b/8A2H/h1BpOua74K8TW2qWnm/azYGKYTF/njdc3ESllb5fmCjaT9D8RWf8AwSb/AGqp&#10;fhx4V+Itpf8AgZ4PF3hnT/FunWF1r8djfx2GpxmS3Nwl2kMKM6hsKJm3bW252msTUv8Agl/+3Z4d&#10;8VQeDj4Fn1G9mMn2eLRtW0rUzP5RIcRC0vJWdgQRsA354254r9azThTAYyXNXhr5O33ni5DxZm+W&#10;xdPDvR91c+5/jl/wV11r4t/GXRPFfg/w9B4f0DQrZtOGlTyedcahbyPuZrmZQoVh1iVQRGc8vk5/&#10;rl/4JbftMfCP9oT9mmHUfh/qcT3OkXU0etaXMyrd6e0p3J5yZ4RlBKSDKtg8gggf5u3xV8F+P/hT&#10;4ql8KfELRdX0DVIMedp2tWc1ldJgleYp1RwOOuK/Wn/gjZr3jiH40a5qGg3V3BYJ4duLbXEt5ykE&#10;1tcbUjjmA+V8ykFVPIwTjg13f2BSjGMcNG1tPkcFPO6vtZVK75m9Wf16/tc/8FQvhf8As+WJ/slJ&#10;dQkkkNvZyxbT9qlHUW8Ry8oBx8xEcZBB80dK/mB/bt/4Ki/G749+Cdb+GHiqz0LSdN8Q3VteTR2i&#10;MNTaC1QrGkuJpFjjP3ipzluRmvMP23fizqWofHDUNP0lDcahb2sdhpLEbls4WQGSdRyC7sW2E9AS&#10;x6KK/K/4gaTqGlahb2F5K91f3MjT3s0jF245xk8nA4rw6uFXO+Z3PenmVVw9xHlPinVCY5EjHAkz&#10;jPTIry63t2vLgR45Zug/yK7+a2D6m9rdn5Z4mIHoVbANe7fs9fDjQ/E/xS0vSPESFrZlMjqDjeyg&#10;sB+J4r3MCueUYd9DwcRBtSk1sdR8O/2PdA8VeG01fX9U1G2nuQHiW3WNY0XGcnzEYn9K6/wf+xN8&#10;WLTWbjUvhts8T2Ns3MVuVi1Bto3Hy7ZjmYA8ZjJY9doFfrLo/gnwrY2H2Q25jgCBFK8HA/nXqngf&#10;wP4Tg0eG606dreT5nyp2nJYlfTtivssTw7Sr03RlocGX5pUw9WNakrtdz6E/4Ic/s733if4sX3xZ&#10;8R2ckVn4QQxotzGQf7TuAwiTDYIaJN0h/ukLn7wrrf8Ago58P/ix8Qvif8WtB8EaTrWqf2loerWV&#10;nbWNrNOss8IhuIQqop3E+UyKMHJbA61znwC+NvxD+FXx8tn0/wAQX0NvrGjXNtqrxMrDam0W1w0U&#10;gaJ5kfADsNzIpQkqMD6k/aj/AG3f23f2V/g/qHx40zxLofjPw3pskEcyQaJEl5AbhtsbXSqCqRBi&#10;FaYHG4gYGRX5jmXC+KwSgqNPnjF7rz7o/QMdxHHMJOpWmovl210SP5wP2A/2Cf29/Bf7QuhfEdvh&#10;D4/srWwgu/8AStS0O7htg09u0IVzJGAynecrxkcZGc1+gv8AwUW+Fifsz/s7+CtF8UxaToFlqGu6&#10;vqer6JdXsUWow3l80UURtrEMJDbokOSq7hEJBkBc4/Nn9ov/AILt/wDBQT433ri08WnwrZlNi2nh&#10;W3jssIeoaUAyMT65zX5FeMfiL41+Iuv3Hizx9qmo6zqdySZ9R1a5lurhz7ySlmP51608BVrtOvZe&#10;SPzrD4/2FS9PU9d+I9j8OJ7uaO11i1uXjYkm3DyBiOTtYLtIPYhselfPL2Gn/aB5GdgOScnJ/Tiq&#10;z3CjnqT1I5qza3IDbieMc16WHwqp6JhiMR7V8zSP6G/+CXf7Dvg7476h/wAJtoWrWzzRafJJd2L4&#10;uJtMaKaLyztLqVMoDbGY5Izjoa/oa+HX/BObT/A1u2oapr2rXpurk3fl6fp4BjBwdhwZ+Ac8nrX8&#10;T/7MH7aPxw/ZN8RTa/8ABLV/7PuL23S11C3lVXhuoFcP5cgZSRyOCMEdq/qb/Za/4KWfsnftPeE4&#10;4PjT438Y+APFEaql7pV3CmoWczMMGS2niQuUz/CyBhwNxr4vOcDj6dSValK8f68j6PB46jOMYO6f&#10;l/w5+r+nfCXw98NPDVvpaWnjq/jt4hEkkdpbJkcnLGUQrWLdaj4GEkNxe3MmntbSGXytY1rQ7Nwd&#10;rLhlNwx6HtzXguleCv8AgmV4nk87WPidp2pTMeDrEevWmSfUQPAlfQ/gT4J/8E0YIgtpr/wavyTn&#10;OsTlpDnoM6ncSdPpXz9DNYyXvVo/id9bCzhqqM38l/wTzhviV8AL7VJtHuPHvg7TruMhZYb7X7Fy&#10;pIGP9Ua0tauPgjJan+zPiX4RvJjCXENtdRShmA+7vjlbGemSPfFfVdl8DP2ONSjMXhf/AIVRNlQi&#10;/wBlalo5GP8AcWJ/yryfxP8A8Ev/ANnLxpey61ax6KZJSGYWWn6ddJjHTcIOn0xXXLF0VZqsvw/z&#10;PMU67lZ0mvX/AIY/BT4g+Iv24/HcmreD9N8K+FNEtNRLW9h4j0rUZr2ewkfKx3bNGcuUBz8kW7jh&#10;e1fAc/8AwRf+OfiWaLU/E3xI+HRlndp7me8k1ZLlZGJZnbfYIGZjycuOvJr+ljx//wAEmfhPYWrS&#10;6dYR3jNwkdjptvFIDnjJM9so/A18p33/AATI8S6bfGXSvDutW1uCCDa7fM29+IdXXB+g4p4TNKCl&#10;UlRqqMpWTdtXbbXyFiaUpKPtKbdj8Nfil/wRX+O+nQRaZ8M/iT8PPENl5bXFwt5qbaT5UgdgAkU3&#10;mqcphi25eSRg4yfl/Uv+CQX7Ytnk2kfgq/C8ZsvFOktnHoHuENf1g6d+xR4O03RLm21ax+L9reCI&#10;i2k07UNZSINjHzJDeTjGfQV8YeIP2Zf2i9GdvJ1TxqiBiB9uufErjaOmfM0+VOnuRXr08yrtLkxE&#10;fmcc8HRbvKk/6+Z+C/w9/wCCSn7V2reIZbDxf4Pe5tZrV0gutG1jTLvyJwQVkdIbpmZcAqQPX8v3&#10;E/Yl/wCCWMHgC0u774k+BplM8EVulvslwPKJYyySGSR5JHJyTuCqAAiqBVNPh/8AtneC7aG/0DXf&#10;E1nDcsyW8kP2iJJiCc7GvdPiVsEHPJ6V9nfBL4U/8FDtf8PP4u1vxJ4zuls7oyr4avrGzksNSgij&#10;DgT3dpa+dEjtlSVYMByeK0VXMJys5QlF+p3UcVg8PB8icZdz1/T/ANhv9ne2dY7zwkkL5yQZZ0Of&#10;++xzXwz+3F+x5eeD/AWteIf2fo/EVlei70yW1isZLm4WOFllW4jRSW4JCseDg/Wtn4wftSa7qHhX&#10;V9F8H/D/AMF2Hi1Wh03TZT4lSNZbqd0ilkcNfKkYgUPIGmMYZ3VcFVIHhvhTxZ+2voV/pg8faH4m&#10;0rT57qNbrUtJmh1qBbYvhpkOm37YAXnkkDuSBXzmZZjBwqQ9yLXXbp2Z6WEw9d8k+eXvdN+vkdJ8&#10;Of8Agnd4b1vxHpus6x8SvifNY293FcXuk6vp1o8d1CpDPBJJEkEgRx8pKkHB4r9Y/hR+yX+zP4Q1&#10;W+g8AeG/A8z6q63l/a+JbQQ3IwCAbSR5JEjXjkPby7iMEknI8K+Gtrb/ABF8T3Efh74qaoNDgtze&#10;SPe2t3a3UEZYBA88l4YHZwTgrGF4JxXo/jL4M/smeL2WTxn481e/uYbYWzXceurI/lhi+DHb7yoD&#10;Enpnk1+MZXgMywuL9tiM6qSp6+7GFOPpryvY+6q5TKvalhsJeem7k/wuex+DvhVonha+un0S20yB&#10;VP2aKPSECWSgtvbyVAQbWbuFAOOABxXWSfDiw1SZrDxAgnt7h/3vOQrHgY9K/Nbwf/wVZ/Zj8JX8&#10;3gPXLLWdOs9EuW0bT763j+3W1xaWP7iKcONko3KoO0xk9819UeDP+Chn7IfjGQx6B470ZPObIttW&#10;MmlyRN7PeJEh/wC+q/ZKNfD1IKM539eppifDjiPAV1Ungppp30V/yudv/wAMbeLvDPi5n8GrMlnd&#10;nzI57aV4Y8Hkq4UgA+2Pev0E+HGgeMdL0uHwz9ge1iRRBcgkksy9WyeWzXMfBn9sb4KRWkdjqeva&#10;BqlvuAV7HUbW5I7ZHlSMc17p8S/25v2cPhd4PvvF2p6lpkVpZ2M180+ozRwjZBGWYKc5cjBwFBJP&#10;Ap4PDYOhJuFSzfQ/Q8xxGeZhSjGeCkuVXb5XoktW/Tc/nr/4KvWX7R+uftYQxfAa5+F80Nh4PsNH&#10;ltvE3iGDT9Tt7kySzOzwybcLhkaM7uue1fnLf/su/wDBQT4gWgi8ceEfA3iyMkMItM+JVhp8QwOg&#10;iR41P1bNfI+n/t9ar+1V+0pqXxB8epBHH428TWVo8TCOTyhNI0UMQjUh/LhUxpnGGAJJ61+qP7R/&#10;7Pnib4b/AAE8TeP7OPRY7jTdLaeC4GnI7xHIUOu/cuRnIypFe5j8Q4KMKtJteUmvyPzTD4CjifaY&#10;ijira6+6n+Z4N4e/Zv8A+ChnhSBdN0j4J311aRrthttM+KGk3CxqOynzDIfoSRTdZ0D9tHwxKj+K&#10;vgh44tAuc+X4y024BDEj518zBX6ivYv2f/2VPEeta/DoVv8AG2bwe/kNL/aWpeHdLNqrYyVknhWF&#10;0B6As2PUjOa+r9T/AGFvjLp1jNqOh/tX/DK4gxvkaWwtNxx2IjuXY/QDn0rKphlUjelBr1qS/wAz&#10;xqGdwjNU3Wb9Kcf0R+GHxi1/9qPQ9a0+90rwadJ0s23mN4c8Q3mnPqEszuQ81vcW0vnwMBjYzbcE&#10;EjcTivafAHiP9u2/0f8AtC08IfELVIJtrQyXFjLeSRgDGzz7eOZJFHG1sISOoJ5rD+PPxp+K/wCy&#10;v4/h8F/ErXtD+KGkXchaD4g6Jod1ZTacHdibOQXNtGDszujkhZvl43AgZ+g4v2ovHfj3w9pk8fjb&#10;xStpa23k2Mmk6k0G6EnIEhwS5XoC3zAcHpXj08rjVbWKkn2tr+NzsxVanZSwsJXe99PwSP/TTWdA&#10;0bwzpLSW/mWdvEpJS2nlgjUAZJCROiDj2r+S39tj49f8Lf8AjDqF7ZTyyadZTPZaeJJWkxDEeWJY&#10;k5Y81+1P/BTb9rGTwB4Pf4T+B5o/7X1aAi8dHBktoD9DlS4455xX8t+qzGKd2uH3zSHe46859a+R&#10;yXCKV5s/RuJs2cpKjHpuQalqZu2YA4A4UDr9axjazyYWJSzn0Ga0YjxvYDPUVoyai9nb7oQPOcfK&#10;3oDX1FODWiR8LWV1dnGTQywSbJRg9T61HGys2CeO9bO0SEvMwLEnJIzn+VVJrJgN0Y98Z/lXXOi+&#10;hyRep2Xh67WECGfG04OT2IPFfavwZ8P6P9rj1PUrkwpZ3328xxEDzBDiSJWzkbZHXBP8q+BrLc6O&#10;vQhc4r3nwLe2Opi303V7+6sIiVhmmtQGfyycg4JXOPr+deZXSTvJXPp8DiJctk7H7Y2vxI1P4wIT&#10;o+g+E9b0u98ibVdDTUTHJZyRxqhCiZo85wWwOclsE5rxa9/YjvP2i/2+tA8EtouoQeFk8PWur+IL&#10;azmBNpZW3m5t0mdn2edIqxqcsRvLAHFfK3wL+Jvhe18cSaRf2UF5awXDRwatMxt7vYDtUu8RjzkD&#10;OMV9A/Fr9uP4p/sw/G7Ttf8AhVqMOoaY2iwQXlm8rBGlYuWHmRneDt2nBJGRkivl8DQxP1+VS17o&#10;+6z3MsHWy2nFvZ7f10P6TtP0G28M2V14J8B/CjwzpnheK2gRfD+laZZJ9rS3VEX7TNKVa7kK5Ja4&#10;L46jHIPxn+3P+y3+zT+y38RNM/aw8Oz654a+26X9isnvTcXWgabrskTOl1JbRXHniMqSqwxnyt6E&#10;hQrBa4D9nP8A4KMeEf2kvCh0zQ77UrTxT9mjhvtMv7iNHicON88GwL5se3JyAOmGAzXP/wDBQ79m&#10;7xT+1o/w78K6B4ts7Ox0yGd9Y1rxDfWsVtuuBDH9odZbmKSVoxE+BFG5+YgY7/SrEOLfOfM/VPaU&#10;efD2l6HnH/BAn4sWtz48+JPw1vpke41BbXxJauieUs+yV4biRUAAQfPEduBjdjtX9G3jScJq/h5l&#10;PTULn8jbsK/no/4J5/sW6n+xv+1N/wAJzf8AxA8C+LdHutBvdFmbwzNfTXKNO8MsbmJrZQRuhCkK&#10;7YzX796F8RPhT44M1lNeebrenedJFoULuLuI7APPmWKOZ1iAyDmM/hXi4qrGVRqLNY069CjGVSDV&#10;jttNYjxrp9weQum3afQl4f8ACrU9yg+KcuT18PW+PwuZ/wDGvlH4tftqfBX9nHxLo3iX4w3ajSL+&#10;GfTrO0sIZUummzG0k4xbGZoYQuxmdY1LP14UnY8Yft+/s7+LvD6a9+yZo1h4r8QzWYtpLnV9Ut/J&#10;s4gzMA1rHcGSZwzEhAE68txiuSouWDk+h9Pw7Xniq9PDwSi5dZNRS9Wz681nxVonhnTzqniG5gtL&#10;ZR/rJmxuIHRR1J+ma+O/j/8AtFfBrxr8G/GHw90/Ubh7jV/Duo6VbsltIU864t3SPcccLvIBJ7Zr&#10;5Z0278R6tZf8Jv8AH7R9c1u417UYbKa/njt0ttM82TyoYrWzWVZo49xG50hUHjGQMnyr43aV8NfB&#10;GpyaH4F1C3+1QuPtst1cO9mmBlowzLKXcdCFwF75IxXkYnMKtOHtFZW6Pc/ojg/gLLswxkssqxlV&#10;bT9+LXJpo/Na6K+r7H88cX7I37Sttc3Gomy07ULlwEQJqUB2r6KHYAcAYHpxQf2cf2r7O2VLXwxe&#10;FGJ33EE1uyKfVVWToOgwv61+1Xh268E+JNeSx1PV9BtWCSOJ3jmEIaNC4DSGVFJYjaoEZyxAp3iD&#10;xbeaHqbaesdpdQoyiK6idkhbI4CZG79Kmnxnio2bsz7H/iUrKK1SVOi6ia/vJr8Y/qfiZ8ILzxd8&#10;NPjta+EviFpmqWD6hA9rZzajbvF5syjc7KWwGQgbcgnrzX7T+G/iLH4S/Z0+JAS2lvbn+wHe2srd&#10;Xea4kTkRoEVjkk46V23he58O/G+PVPCk3k6XqY0uSDSZtQtIrqWCTjzZYmJOQQMMqsrgfN9PLPAX&#10;gn44fCZ7jVvCnxG8H299HIjQPqUCHJjJHzW0lrcK/wBCxFeVmOZUq+IjXmrX3WruflXFPhdjeGKs&#10;8LSbnFp8rtZq/fpofmLqH7Rvxt1Iwnw98KtbT5FWWW4trppTGOGKL5SqD7knHpWL8Qfiz+1N498C&#10;6r8NfBfw+1nTbHV4Vtry4ltn+0Sx5DsGOxRyVA5ZsAe9fuVr3xd+N3jLwpJ4b+Inxu0ixaZdki6L&#10;4S0502HquIbGF+fXzlx6V1nwM+Iel+Cbm/g8S+NfE3xSiktUgazudBV1tox90xCS+xHwP7uCO3Fd&#10;6zDLaTjWVNRt1af+Z+a4jA5/UozpVKkmnutNV62Px2/4JU/svftMePvi3J4HvtPuLbw8LG6le7nZ&#10;ZIbS4Rd6oHRm2GTGChPvjNf0OWH/AATu1jRvA2m+F9U1S3T7Hq1xr9zDZ3rWsst48CwQeXMUBj2B&#10;Ac8Yz1714Rr/APwUW/Zs/Z70e603w54Z1+1aEtLLpUB0zTmd2HeOOzlYE+pY8d6wfBv/AAVp/ZC1&#10;7ypfHngvxbZzPgkWOuLcMucZypksx/47XfV9hXqfWmm2+y/4J8PPC4rDr6vFRVujkmz2vUf2XvBP&#10;xL0+TwP+0d8KovFEFm7XFhqN9dQ3F+JXCKSmo2j28hU7ct5jMfUNXL/tE/8ABOT4T/tDXvwx1U+K&#10;NS8E2/ww0s6Vo+i3UcGoGSIXZuAbi5MkI3Nhc7QcD3r3Xwj/AMFC/wDgnFrlssOojVrHJGF1rTri&#10;+Iz6vEbhf1r0zw/+0d+zNrGpibwH4++FkSEnZZalaT6VPhjwC8k8nPYnyvwrWrmS0gptf16HLPC1&#10;Ze9Kmr+V/wDM/nn/AGzf2O/+GU7HT/E9lrTeNU1ee7jhh0XTyy2TxBXWW7IFxGkI3Z+cbW2kHFfk&#10;bB+2X8era9g1SzufC1pe2sv2i2vrDwl4dt545o2BR0ki04MpXAwQeK/ua/aO1XXvFP7Nvji98P3X&#10;gXUbRPCmqSM+h6nazybBbOSQJ4oX6f3CSe1f52sJxAoHQA4+mRX0/D0IVKUpN3t1PAzFvmV00f0S&#10;aZ4F/aD/AGtP2V/hprHh+DQ9UuPtGu6r4gMN3pWlyy6hc3QiV/scZt13NEnzMkY3Hk5JNfWv7Un7&#10;Bn7RPxG+A37PHw2+G+ixzwfDz4b3dnq73F7bQRwavqt0j3EDMzgMUjhRiy5Xkc5r5M/ZB8CftXSf&#10;su+Etf8AAciR+GZ7K4ktFvLNpIzJ9rmWQpI0EqHJGeORX6EfArxt+1n8Obua/j1LQbeMSqXlutMs&#10;r9wy9kF1YEovqFP4V4jqV6U5WhzRu+p6dWdKra1XldktUz4I+FP/AAb0/t3ftN6vrV5olz4K0o6f&#10;bJN5l7qy3KySSMVjgDWyuEfapbLYAA68iup8bf8ABsT/AMFCfBPheyv/AA34csPE2tMzDVIbTW7B&#10;bZFAJBgDTJI5PA+bHev6dP2Zv27/AI/+GdSuLH4hal8PdY069nWVFNtfaXqEQVFQIJIImtivGcC3&#10;UZJwcV+mOk/tzfC12UeKzBpysB++hufPTPf78cLEf7qk+wr6XB5xTcV7RONuh58sudOVoSU/PU/j&#10;m+DXw4+LPgYx/CT/AIKX6LceD9ai0uz8K+FtV1G1MTJo9naJaR2sc1vdxW262jhj8gxRzOrFpG+d&#10;ix9N8ZfEL9lb4N/EPUdF+P8AqmteENa8Q3Z13w74yVri5sbiFJbeSC4sryytTCrxfZoogm2AxR7l&#10;3DzGY/1m/FD42/AX4j+FLrwn4ugTU7K5heJftemPdrGzDiSNWC4ZTypDAgjrX5A/G79iv9nP4+eE&#10;k+Ed9BrniPRvMSa3h1WyMF3BeDCmW0vIZjLGzAnOFGRwxYE18nmHEU8PilKE1UpvdK11/mff5fUp&#10;VcJyeydOrHq9Yv8AVP7z+TD/AILU/tI/BX9oT9pbQL34G6ja3/hXw34B0jw1pstnvaKO5Qyy3KKz&#10;AFtpZSW5yf4icmvqz/gnl/wj/wCzh+yre+OfEGTdeIYJvENw2P3ssELLbWMIAHIdpN6+z89K/WLx&#10;B/wbGfsyeK9Ml8UXt9428J21rbSztPNrNkY0jhUyOfJubaaVsKCTjtX5cW/hZfGnizSPh14aEqeH&#10;9IWLTIUIzi109MxCQgAE4QE8YJr9ByvMJYihKVGD6LXzPzjF0bYjmqT63djzPSvhxcy22pfFbx2F&#10;/tDWGfUroyH/AFEZG5IueiovHH07V+aniS7tfEHi3WNccAK0YtbMHrhzksByfur+tfp3+1S3xIiM&#10;3hfSrSEaSyrFHLaMTLJH/dkBbjkc4GCK/MLXdHufC9ws2tRGN5QXjRvy5rwM5U4z5I03FLr3PqMt&#10;cJR5uZNvoeP6ppNo2slN28RxCNv95hlh+de/fD/wtrBM+ueE2Iv9CnivoAOd8RzvX3GACPxFeP3t&#10;nFBphuZmY3lzPuUcYVWOSSPbtX17+ypp2qSeOSzKzRy6YsdwpGV/h2hs98VGUQnVqxp3tfqaY5wp&#10;0pS7H6T+APE2m/EHwJaavanZJLAizxEcpKo+dfz6V3cUz6dapbxYAXpj2r568GaRf/C7xpcxQDzt&#10;M1BzILbvExP3lzxx3GOnSvcdS1ZJ8pbJtH54r9dy2rWcLVI+8t/8z5WeHi5Xpu6LB1MQ6gNUjysw&#10;jCb144FfW/wO+L2jazbX3w2+I6peaDrthPpGq2lyN8ctrdRmKVWHORtY18SNBdyxNcFWKquWOOg9&#10;au+GrhrTVrNskeeAFweoziitWUXZnq4TLuePvH85X7THwY179nb43+JPg74gD7tF1CWCyuH5+1WL&#10;kvaXKsOGE0BR8joSR1Br5+80ngk1+2//AAVv8DW9x4f8GfFi+ljGrRzXfhS4Q/62eyt1FzayE9W8&#10;syunsMV+IQUnpXylaHLJo+VxeHdKo4PoTBgeK0tPjSSTbJnGeazI4m3jPSteFkhBfocYFZBSkktS&#10;vNORds0bEKeMjrxXeaD4zv8ASp0ZGYFehBIIPsa8zj3O2B3yamguVGN3TNbUqlnqaqSbPvrwp4zP&#10;jia8jvfEvi3TtXGlTf2RDpF8yQXmoon+jQzLJIEiSR8Kzr04JGMmvp39lf4Yfton9o7wb4S+Kuj+&#10;J5NBvdcit9YfUJlmhNsVbhirMV5xk7j+FflPFqs+maiLu1JBQq6kfga/qd/4J9fE/wCI/wAQvhLo&#10;nxQa3sro6TqLWMQu5nVrpLVUILMiSbSu/ZyP4c18VxbKNGn7SNONno9Ndex9NkVSU6jTqSTWq1ND&#10;4l/CO5s/HE/hfw6IrAPqDWMLXDMYIGLlFaRiSdqnqfSvDD+x1/wUGsbRR4ev/AWtXSPITNBfRrHI&#10;Nx2bVLow4wDx1r9KPE1lq/jrXtU1fWtPgsnuEkvohazedFvzlozuRGzjJDYx+dfPb216dHnXUNPn&#10;ks5EkRmXa6NFyGyofIBHYgV+YYWpQp6ToqWvU/QcdKvVXNTqOJ8rw/CX/gsN4PLS6P4bsLjYOmka&#10;+LUn0wTdrWmnxc/4LS+CSJL/AME/EAonUad4vmuQfpGlxIDXDfBbx3qHhTxpNZ2+o65HpjS50KyN&#10;zK4tbKVyIWIB+cO+drPkqCBnGK/SbT/i1eWIUXOp3sbEAr5pk/rXs42jgaUuSphl+R4dGvjKnvRr&#10;/qfE1t/wUN/4KyeDSTq/gv4yxBed/wBk/tBRj/amgcH8TWgf+C1v7cHhpVXxnp3jyzwQCNW8N2J5&#10;9zHbK3619+W3xw1oR4tdeYZGQS6nHvhwR+YNWrP44/EYHy7bxJFNgcNLDCzEjoW2bVP0CiuJrLGv&#10;4LXzf+Z1t45bVIy9Uv8AI+BLD/g4Q+IkDtDrf2VzANzjUfDVyXj7bi1vNFt57jFfpJ+x/wD8Fwv2&#10;uf2gdRk8OfBFLHWBYCA30CC7tvJhnYqhVbu4mx904Ar5l/a18H3P7YHwiHwm8b6qbG2/tO11SS90&#10;yFRO7WocBPnZlCMXyRg9BXpX/BF/9hnwp+zh8Z9c1LSdXvdYXUzpiFLuGNDF5EkpHKE7s7vQdKqG&#10;DwFRcuGnKM35s6MsniHiaaxdKEoXV9EfqR4w1T9qP4v6/L4l13SfDUF4/TUn0+GW67AFnbzMnAH8&#10;PavJvEH7PPx48Sf6R4j8V3drn7y6XFHaZ/GAQY/EGv2cvdHt4Lfb5YTHGABXjPimzTyXUqoJz71z&#10;Lg3Dyk5VZObfds/oaOfUqNNLDYaEPSKPwd8YfsXpN4nt5NTvNRvvMwJ3mmUt1/vMpbH4/jX3p8GP&#10;2NvhtZWUccuk2spMexzcl5wwI7iRiv6V6P4isVk1iPIUkSYHHvX1J8NoFWND2IwRXr0sgwsIpcux&#10;85lHEmIeIq62d90fw1f8FtfAvhr9in9rW28D/CrSYLXQNT8OWWtLYM8hCTSlkmMbuzkKXU4XBA7c&#10;cV+UGmftGaTewr/a+jyoCf8AWQTCT9GC1/QV/wAHVHg6G2+O3wx8Wwrg3nge4tJHxjc1vfyEAn2V&#10;hX8q3h2JJ9OuYWGDGyuv/AhX1+XcPYOvQi509T4LPvGribL8zrU6ONlyp6J2kvxR9weHfj58LIp1&#10;h1qO4jGfmLQMwGf93NfZ/wABdBb9pzUNW+DfwBt7jW9f1Dw7qcltbFGgjWPyGXLSSYRF3OqjJ+8Q&#10;K/E+Nz80RAcgHBav6Uv+DbL4d/D7xh+0b4o8Yal4h1XT/E3hvRUk0vQbOVI7bU9PvS0N01yGRmlS&#10;CQQsEVlw5RjngVNTgfAxmqyTTWu59rlf0vOLVgq2V1JU5QqxcG3Bc1pJp2aa6eR8zfAr/gkD+338&#10;O/jZ4U8V+MvAlxZ6Xp/iHT73UL4X1o6QwQzo7sdkhJ4GAACSeK/rf/bv8JW0f7EnxCuYlBCeGJZA&#10;wGQQGU1+jOq6VHe6RNZxD52j3ISf+WiEMv8A48BXzV8evhrD8bf2evEfwjmv59Ih19ZdNN6kPmPb&#10;wbwJWEbFQyhkY4yBtPtXbj6Epxk3qfh2BnTotqnoup+JWiSubPUoh0/syTH/AHyK+QfiD4K0T4gw&#10;WuieIPNMCSyTqIH8tt4AAOcNwMntX2BpSLbrq0YOfL025VW9di4zj3r4L+N/jbx34B0S21/wFosO&#10;vXAufJmtZrkWoWFlyXDEHkEYxivnVG+j2OHDKrzr2V+bpY+RvjVqHwW+CGt2/hmW88UfbpoVuWSw&#10;ljZYInYqrMWWMEnacAHPFereDPAmseOfDFp4s8CeP/EDadeIWi8xpkYFTtKsvncFSCD9K+Qfiv49&#10;m+L+p22p/EL4aahFfWsXkC80XW4jK0QJby2VrcqwBJIzyMnBGTX0B4D/AGgtT8EeELHw34b+E3jq&#10;HT7aHba/Z4VuFdcklzIWG4scknuan+yqMlpFX9T2KmaZjR0qNr1P/9T+Lj9oP413vxF8X3utI0m2&#10;WYiMzMWkKjoztzmRvvMfU+lfMAnklkzJyXYZJq3e/PJtYk5Yk55JNZ6LiTr905/KssJg1ThyQR1V&#10;sXOcnKRtLIfMAJwKS5k3PuPQAKDVJrhDnBxVUO7fNnkDpXfTp23MXVbVi+GB4FaCruK+wrnxPIOR&#10;VmK+ZWG8nPb0rYzL8G21vA82QrHa+B616r4Yh08XP2W+yFdMRyDuMfz9K80lSO+iLxkF1G41t6DK&#10;80G4gt5bggZwVJIHH515eZQtHmR6uAq62MfxZ5Nrqj29hLI8ak5ZhtJ9yK5hWAOXye/rzW74pUJq&#10;0uRg8g9+lc9W+GiuWLODE61JM6Lwt4v8R+B/Etp4v8J3dxY6hYTie1urdiroy+46gjqOhHBr+pHx&#10;3JqvxU0nwL4m8UeNdP8ACWqP4E0691DRpY1S4jmuZJpGYBpEbBzgYB6ZzyK/my+A3w7l+JfxHsdB&#10;mwunxmS/1iZmCrFp9mpnumJJHPloQO5JAFfpx8Q/+ChOg+OPiHBpeh6KG0tWttN0+5vPLSWGGLCK&#10;wKJnAHRS2BXjZ/eSUIu1tWfb8DxpqryVJ8vO0lp/wT9ZfA3wm+22i32p/E3xRLEEVt9gZUiUNgLk&#10;upC7iRjPXtmvYbv4MfDH4JWl78SPH2p+JoLLSYX1bU9R1CWKE3CnjygI2EzvOxChHChs815X+yf+&#10;11oXizTl/Z01rwqt/dX10J3MYjeOZYjukkud6EFUPzZP3eg5xn4U/wCChH7TmmfEvxI/wU+G8dlb&#10;eG9Dvmlvp9OjSGC/1JBsOxIwq+Tb8ovXewLehPx+V4d1v3jqt26H7R4i4fAZbzYGnh/f3U+fmuvT&#10;o/U+Of2kfj14l/aI+Jl94+8Qgw25/wBF0jTFbMVhYIf3UEY6cDlyANzkk185Ryy2t2tzatJFMhzH&#10;NESrofVWHI/Cul+yk/Nmqk0KRnGBk819dRpPtofjHN0TPYvA/wC1R+0h8PbiJ/DfjDWfLiYOlvfz&#10;NeQ5T7pKT7+nav1u/ZJ1zWf2sfCfiHxn8e/D2hWvh/QbUwL4n0tJNPvLrUGG5beNY38jAB3SEICu&#10;R/er8ePgr8IPE3xy+J+lfDLwoEW41KcLLcyLmK0tlI824k5HyxqemRuOF71+7nxgh8QfDX4ZaX8J&#10;vgr4c1h/h/4TtFTUdfjt3W2v52P76drkrsO98l3yQCSOBgDwuJakKVJ2hzPsfrHhDlWJx+c0KFPF&#10;uhC6cpc3Loui1V29kj5f8Q+DvBfg+5Ii1YXkzzf6JZxyxpM4Y4QZkIB9M8fjWxe28U7wXGrTl1h2&#10;yRqrZRSOytnBOeCcV5Zq/wASpo7m2u9H0zSmvwcQXMriY2oIxlXXJZjn7qBfTd1rgvD/AMR9S1O5&#10;1C68S3cNy1xfZtTbR+THIqoqvKF3MFDMCMhiCRnOa/K3TlGKqJn+p+B4lw1PExwjd9Pi0tZL1u/W&#10;1j6s0Txpp+i+KtM1eyRxs1SJ2mH3lR/kfj0Kk59q4Dw98GdO8Q6Hq/i2+1fV5RYlpmiNy4D7mPAw&#10;QBXm3hzxDbeOvEa6Vpd/p1ulsreW086RrNcEFBGCT1AJJ/CvuH4b+A/EulfCbxDc3VmJNqRkxyNh&#10;W2nO0kZ4PrX2GRYfmh3bZ/GH0rOK28xoKldU4wfvdG79H5I8j+H3wi+GOtSp/aWmpdkqSftMjSn8&#10;dxr79+Gn7PPhqTT4rfwBPceFZDdg3R0iRoBcIq4USbGGSCeCen4187/Dbwhq+oXsN/PFDaxxjZ9m&#10;iywOTksWwDX6M+Alj0O6gtdojJRX4/iJPX8cV6/FnDdOvl/1fExvGTV0fxVw/wAc4hY5ywtV3Sdm&#10;z6N0b9n34UaVHa32p6RJ4u1dtPjtrvUtZiFzK/ljaA5kEhPcD0XbjjFfNPxJ/Yd/Zx+Jlxd6ja+B&#10;NLF0MyGQRr5S7Thk27VX6DOQa/UXwLcwL4cQu/zSnzMHnGVVcD/vn86sajEZwSSSv3cHsPQV9Zlm&#10;W06NGEIKyS0R8JnOZVqtac5y1bP5kvFX/BPD9nnVt0mnaPdaYzc79LvJrbr3wrYrw7WP+Ca2jxBm&#10;8KeL/FFgc/KlzIl4g+vmgnFf0D+Kfg5rtlqso021aa0knK20iYIAbkBgPugdMmvJf+EciM3zIFIb&#10;ByO/evceX0Jr3oo+SWeYylopv7z+dj4n/sL/ABp+H/g3WvE1p4usb+0stLubm7jurMxTywRxlnVG&#10;jZQCVBHIr8A0f5DIegB4+uK/vW/ac8Gtdfs1ePdUsLSZ0g8I6oWmVCVUrayHk9B61/BQkeLTb1yo&#10;P1opYWlQTjTVrn0mWZrWxUHKtK7R/QL+x9+2D+3P8H/2ePCmk/BjUvEcPhizspVtbeBFuLESfaJW&#10;l2whZGJLNz8uM/nX1un/AAWX/aZ0FwPi5ofhvW9nBfxDoEduf++sQufyr6u/4JcaRcW3/BPfwP4e&#10;8RWAtnEWpXAW7tdkwEt5MUY71DYIwV6AjBHBr9PG/Zy+FOteC7aPxPpGnveNZB5bny8uHK7iSucH&#10;HTGOa+ar5FSlJyV18z2afEtWP7vlTt5H5C+Cv+C4Pw8dQniT4ceFmDEBzpExtQD7CeKYD6A19K+H&#10;/wDgsb+y3rUAtNQ0DW9I3feXTRaXcYz7h4M/981l+LP+Cefw0+IQkuLf4dJqXmMdlxZ6RKGIPQ74&#10;k4P418U+NP8Agkt4Fv8AUpbLQvDXiXS542KyJEbiII3+7PhRXJiOF1TjzOs16nr4bihN8roL5aH2&#10;X4z/AGs/2dPi1cNceG/jH4n8EGQfu7eHSUVUOAPmkNrNnnk5k/Grtv4z/Z/8P/DS51bx18bJPFuq&#10;COb7JPqniK506zcrtKKbXRo5LteuDv2huxABr8R/2lv2F1/ZJ8L2/wARPFmr+ImtPtsMC+H0vbaK&#10;+uVlk2N5LElcIfvnnaAeK+ctF+DvwB8aaYdb8XH4paZI6B8xLFrAQMM7coyHj2GK4cDw/TTl7Ste&#10;L8j0K+f12v3GEk2u1mvxaP2/H7akXjzQtU8D6F4osriPT9OuLuG20m31C+WdSFgOdR1C882HHmAk&#10;CA79uOM8Xv2fNIXQ/hAut3SYuNUvLi9WRx8/lkiFRnrg+WzD2bPevzO/Zk+EHw90vw5r2o/CbUfF&#10;N1Hq+o2Hh2MeKLYWsisWDvJHEGb5FLgsc8ge1frhra22jeHLXRdNHl21rClvbpn7sUChEB9flUZr&#10;9b4ZyqhhcOoUNnqfGZnmFXEVHOsrPtorfceH+OfD2l6vKZbgbn3FiSeMk9Pyr528dfAnwT4quIbn&#10;U7eN2iX5SQMDH4V7nrOoM0jFmIB5/AVy0OrxSSi2m5LcD0r6hYaFRNTjdHDTqyjrF2Pluw/Zc8Lx&#10;6/JqVzDF5JH7qLG72wARgfWvZ/CvgWw8L+dewRRws7YVUUDCg8DjHWui1j7bprGSNz5bE7TVfQ/F&#10;NpcXH9nasDsYhC2e/tRSwVGk+aMbGyrTm/eZ11ndaVcsBqcStggh2ANehWOm6DfgJbNGGPTPf9K4&#10;PUfBF4bb7bpU0c8GNwKEBhntj2rzhNY1DRrsW2X3b9qj3zxTjOzbR6mHm07I+wrXwC6eENfu5Ixi&#10;DS5p42xkHaM8H6V8wXtwdOh8Myx8O0RkbHcecQK9i+C/xm1LxTr/AIk+GV66y2r6LqNnb9yZIIWy&#10;R9SDj2xXh3jVmsdc0DTMHFpBDGy+rMwc/q1eFi613zH3GWqKpXPzR/4K16/q2sfEbwvZzSOtna6d&#10;eotsp/di4Fxtd8dNxXAJ9ABX5Kxvs596/Uz/AIK36hbxftFWnhK3bc1jpjXswHY38pkUf98rX5XE&#10;gDJrxq795nwWbSTxNRruW2uSwwRSNPuTaeuaqB1JwDTZWKrx64rE84cJhG4wefWmSnZGxHHJPH1q&#10;sCOc85qS8YJCATjdxQNM6WbUJZIkmHeJB+S4/pX9K3/BCjxpHrfw48ZfDW9k3vp+oWur20bc7Y7l&#10;WikwPdkWv5l42Daepz0O3Nfr3/wRl+JJ8G/tRWegyyBLfxFY3WjupOA0uzz4ifp5bAf71eJxDQ9p&#10;hKittr9x7uVV3GtBrqf1datodlBYTSxoMrFJg4xjKmvyI/bW+Kniz4P/ALLEvifwY1vHe3OoW2lt&#10;NNGJNkN1v8wqDxuwMAnpnPWv2a1OPzLCVPWNh+YIr8kv25/gN8QPjB+y1ceE/hnp51LUrfVrTUPs&#10;aMqSPDCz+Zs3HBKhgcZBPOOa/JMBGCxVNz2ufoNenVlg6jp7n81/gX4ian4ekbW7fXJ7TUYLJrK3&#10;jeKSVZotuUBlWQbWDDC5UgcHPp/Wv+yP4rm+MXwN8PeNNbiEdxfabFPOiElQzDJ25ycfU1/IprXw&#10;S+LXhQmfxD4Y8R2iKN7Pc6bcxoq9csxj2gfU1/W9/wAE+/DOs+Gv2bfCml6/BJbXMejW/m28w+dC&#10;VyAR2OCK+r4tqU50oSi03c8PhxVVOcZ3se9a58NtGmvdPMUMP7y7kWTfEhDD7NMcHjkZA61Um+D3&#10;h5/mNhZMB6RKv8gK7r4neGNZ8U6HH4f0DWLvQby6kmjt9XsY45Z7ZzazYdElBRiPRhg131lp72tj&#10;DbXErTyxxIkk7gKZGUAM5UDALHkgcc18MqV1ds+vhVcdkfN83wT8OY3CxiQ7SCYmZP5NVfS/h5qH&#10;hJ5L3wnqWv6RM4GZtN1G4gYFfun5WHTJxX1CbcsMZBqnPYh4yrqMfSnGm1rFlPEPZn1B+wD4k8Zv&#10;Z6h4T8R6nqmqwRW7zR3GqzvcS70kXHzuST8smPoor7Y8TEOj8EEjAzXyT+x3apZ6nfxx/wDPrNg9&#10;+Xhr6y1596szZPBr6zLYtUY3e597klWVXBpvuz5u1e23asO22TJP19K+kvAAURpt9P6V4LqduHv/&#10;ADOeXUV7r4LkNraeaBuKIWwO+BnFd1S3KZ5OrYmofzNf8HVHhVpfB3wb8ZqmR9q1zSpHx0CpbzKM&#10;/wDAzX8X+iyvHf3NmBkywNgf7Scj+tf6Av8AwXB+FPjv9r//AIJyP8QvDnhfWLLWvh74sGqTaO6C&#10;5uJdMMRgu7mDyQTJFhopMqOFVyfumv8APw3tBrKM+FPmFT+Pr+dfWZDUj7FR6n4/4i4SUMxlUa0m&#10;k0WIZtk+3nqQT2Ff0C/8G7Hhy51j9v8Ai1e0umRNK8Gaxd3MMRx5ySNBAqOO6bpQ+P7yqe1fgW2m&#10;yTXBZWRM/eDnHPt0r9iP+CL0niCx/bAtvD+k6jfaK+r6HqNnLeWFwbe4ZYVS4CoVySC0Qyvp9K9D&#10;Ma3s6Mp2vY+cyinGpWSbP9DtWB+bkfXiuWQzaXo72UsMzuY5VLwFCGJVmLHcyEZ5J6/U1+d9honx&#10;V0U77L4g+Jd55zfvDcD6ASJ/M1rr4g/aRs4m2+Nbe7j2P8lxpUBJUryN0bL2718ZLiODi04s+1lk&#10;zjdqovuPzAtCN+tKc5+w3h/Q18peIob64jRNOkSKbJKvIpdRjHVQykgjI+8K+pdPZmGsSNz/AMS+&#10;7yfU4Oa+Y7mTdeoB0w3WuaMr6o8k5iJvHMchlkXSLkKAAkiTx5CjHOJX9K6K2Z/L3TIkbMxYpHwo&#10;yeg46VaLYBHORxUBzTbOikn1P//V/geupQ0of3NVAw3MfUHFST9R9TVY9K70rALU0S5z+WagXpT1&#10;YqcimBI8YjGTz2qSKNJByv0OahaUtwQP8/jViGVSfnIHpQBYgMtnL5sPK9GHfHevS/DtrHBA3knc&#10;X/eSN2A/hrgYmixweO+a+7/CHh3wH4v/AGLNe1HSVYeLPCPiG0v71RkNPo16fIAjAzuCTsC/cfL2&#10;PHNi4qULM9DLmuZ3PiXxzZiO/W5U8TIGP1zg9/aj4deBNf8AiX4003wP4YjMt9qd7DZWydt8rYyx&#10;7KoyzHsATXpWk/CL4h/E/UbLQvC1hNPMsZNzO4KQxF2zh35xj0HPtX7C/sZfsVXfwZ8SWvxG1W6a&#10;fWooZI48qpt4RKNrGNCpO8LldxPQnAFZxo1HRfItegKlF1rz+G59xfAz9gD4Q/s86fNY+E/EOr3G&#10;o6lYfZdW1J1t4Xk3rtkjiYRu8UTZPyh8n+ImvDPE/wDwS4+HFos2reGdOnmMT+ckkZeY8c9Yz2+l&#10;ftN+zheaTqOsm28WaXpd+sUass93bo7q2eoJFfo9qXxU+FXw38I3Pirxfquh+HtJsIvMvby8mhs4&#10;IU7F2YqB7Z618guGcVzc1au3c+olxFSoyiqFHbY/lt+DHw717Qfg34l0/wAGWuq6B468Q3c2irqu&#10;r6ZdgQ6ZG5GLeSCNzGZxyHOMZzwQK+DPiV+xl+0V8KLVdQ8VeFtQazcZhvbBTcwunZvk+YD2IBr+&#10;mf45/wDBS7T9Zshbfs1X1pf6XLEf+KqRvMjm7H7Gp+XC9PMYE5+6B1P5m3f7SVyt/cat4ov728vp&#10;g2L1pjLMjnqwL5GfYjFeBi86o4OXscMuax+hYTIcXmcpY7Gz5efXuz8Prbwf4nv9XXQ7WwvPtkm3&#10;y7aSJo5H3EAbVfGckgCuc17RtW0TVJtH1i2mtbu1la3uLWdCkscinBVlPIINfs/8OLiT4heO5tU1&#10;zUG8ZWI228/h3XLWKa5dpJFaI2UsXkrERIEDkxvle61+zOh/8ElvhV458a6b8e/i+9zbeNorr7fd&#10;afYSC50hniG2zSeGRQzvAAhco6B3XnI6+9keb1MVJqMNEtX2fY+c4jyqnl8lzT1b09O5+LPwk8Na&#10;P+w1+z9F4q8YQ258dfEBYdlpcyJFJY6cAXjhDODskkB3PgE5IGODX6NfAr/gom+l/DS0tfiBqOkW&#10;2jQWU2ianpEUEcdmsZjb7PBDB5SrI6ABXO0Lht3fn5d/4KD/APBNzxRrniafx18b/iDoF7Ckss+m&#10;6NpUr2+oSJgBQLeUPswAACGcZPJrwv4H/sZ+ArrwxNpXiewv9Q05k3xRa3dLdNHJwAUZYIyOOOAB&#10;65r5riPM/q9VSdRqXZHo5NgniKSUI3XRm54Z+KX7Ovg/423nxV0G607U9d1HUFOmwpHHaxWEs2Y4&#10;0sbKzCxxyNuGXdpWJww2EsTD+1h4X8OeMfBUPx0v7/wpo39jhtKtfh7cpJbX2oXFxMbmeaAWiuu6&#10;Qyea/nxKq8lTg0viD/gnD8GNUkF34XW90q5EgZXjYSqGHI+8GwAR/CFNQ6p+wb8UINNYaRc6brDy&#10;SiaXbO1tdOFXYiYk3hsKOC0iD2r5jATw1SpKdSs3fdNf5H22Bx2Po4mFWpJvl0vdvRdNTwf4CfHP&#10;4YaJ4gtrXXNEutNt3lHn7YI7yAL3yF+Y/wDfFfuz8MfF/wCzD8R9Ki0Kw1rSDFIqY02Yizc7fujy&#10;X2dO3HFfiDrf7MXxD8Exm58UaFqunxJ88ly9u0lsi9i1xD5kI/7+Zr56PxQ8N6X4/PgbSk1e+niv&#10;Es57qwtvMsopSAWVpmcAeWPvYBxg4zX3PD/DVKV3hpO/lqfOeKPFUcVOn7RbLqf14aF+yb8Ob2Bb&#10;zw9cXFur/MGgZbiIHrwBjj/gVcR8ZPBJ+HPivQLIeSyzafN/pEe4GVopFGZARw3zAAAkYr8hvg54&#10;4+IfgW5hls9VurWOMhUlSVoR+GCK1f2rP2w/iO2veG7SHxCbprW1nV4ZGLMzSMp+aRdrknHZq9PO&#10;MHWjQ5XUT9Wfk2TVqLxN40rXXQ/ow+GV0+leCbW41i21CQyIz/bFtzLCU3Hb88aKBgdiB+Na+p+L&#10;PC0NnLqEt9bJDDE08zM20okYLMSDg8DNfBH7Fn7ZfjrxB8JLPRtZ8B+L7+WzLR295o2mX8sUyOxf&#10;Pnzx+TkFv4p1HSvvj4r+HvE3xW+BOt6XpumXFrq2s+Hrq3tNO1XyFuILieIqiSvDLJGrKxGdkpHv&#10;U182rQws3SS5lHTrrb8TKOS06uLj7R2i5a+lzxC2/a+/ZfjzBJ400TO4g5lPUcHoDSab+0B+x7Be&#10;vqdj4o8NRzuS7uHyct1xkHGe+K/nY8S/8Elv2rrGaW9nvksYtxkKyXthGijqeXmUY+pryvRP2OdW&#10;8H+K7RPH/jC01G3gul+16XoepWl5cyBPmMMgtZnMIYDDSOyBR/FnFfk39p8QNe9i2v8AtxH6hW4Q&#10;yKzcaV7ebP6gPid4n+GH7RHwM8afDH4aeIdNu59a8O3+iJcw73gt5b2B4laQoDwpbJAGcdq/lq0n&#10;/g3P+LCTxHxT8TfCdraOvzNZWt5cXGF7okiRRk+xkFft/wDDP4jatoPhm20LwNbaXdaTZRhF0Gzi&#10;+z3FuqDA2KHYS+7Bmz15r6N8CfGfRtVlWK3k8mXdtuLC8ABDd1OQPw4r67J86xULfWMS5v0SX9fM&#10;+YxeRYeKl9Xo8q9dT6E/ZT8JfB39nv4SeDfgj4uFp4s1XTtLjt7vxTqlqqzXkrO20sJmn2OB8oHm&#10;Y44xwB+l9h4m+GWk2qXV7dxaamQoWfZCMnoOhH5V+J3jP4k6b8P/AB3pdrrNo8Wja2/2b7WI1ezW&#10;VwQEdtw2tnoDjIPynI49nXxjbajbTfC/xtPcW9ndxtBpOsJOynyp1I8hpwQ6OMHypMgnAGQwIr6a&#10;lxBOEm+a/qeDPJ1dNK3ofpjrX7Tf7OHhdH/tbxPpFuF+95khA49CRj8q+Rfiv/wUb/4J6adC1v43&#10;8TWVwkSsQ0NtPcOp6ny3hRiD9DzX4u/Gf/gmlpHju4vF8MeMfEVjqYctEutXsup2UoJ43LI4lAb1&#10;Ehx/dPSvxQ+M37J/7QnwX8XyeEPGum2FqroZbTUY5nntryHOPNhZY13DPVWKsvRgOM4Rz7G1m0oo&#10;9fC5TgNHUk2z9kvj9+1n/wAEq/iFquq658M/FPxJs9XvVzfyaPDfQ21xgYVZLa9V7KUYAGHhGe5r&#10;8FfjZ8Z7HSL97b4QwwSWgd2W+vdIt9IunjYcpJBYXD2Z9dyQRse/pVeH4NeIJWP9o3+z2s4VTk+7&#10;lzUmh/BXTdQghv8AVnu53kw5DSMFwT0AXaP0qKWVVpVFJO3kj6b+1qdCDVO8rd2fXH7M6+M7tPD+&#10;teKJIFSPRHu/sEUewW8t25S3PJO4tCCxY84I9sfYnjjVgiC3zgRoqgDmvKvg1p1lc6Zc+IIhtjjn&#10;8gLnoIEVEQf7KDAFN8Y64HnIYgN3BPOK/ecHDkpxj2R+N4qtKpUcpbs5DVtUVpn2k5PrXA6jftDI&#10;Jw2Ap5rR1G78194I5znHTFc5dqt7bvEvX2rsVdrYmFK+h6NZeIbS50tf7SUPHgDOAa53W/Dthfwf&#10;2loDZZDvKA84H8q4rwnrCxahJomoHargoM9Oe9UdZutV8Gaqz5IQHPsVPQ05V7qzOiNBnSa1q3if&#10;wxY2PiLTLiXyZg0U8B+6sidQfqMU7TPFdr4j1G31edQHtc3lwOxS3UyNn2wpr0/RodK8aeA57e/w&#10;FYhhIB9xj3+ua+TtXkl8D6X4rW7bZ9m0C/Qy9gs0ZhDfj5nFeRNvmep9LVw6jSjPpY7v9hzxC1z8&#10;WU1W4JZGjulbd/EZY2QdfUmvSvHN2t18SLqzY/8AHvqhiUegDhRXwd+yZ8UfDFt460LRNP1G3Rpd&#10;TtUbzm8pmDSLkEPg4+lfWHxe1u18FfE3Xdc1Z9trZzXWozPngRQhpCR+A/GvPxWyPVyvExlQk77H&#10;4p/ttfECf4h/tU+NfEc7F1GsPp0OTwsdiq22B7bo2P418pz3AUBQM7jipvE+sX/iPxBeeIL4Hz7+&#10;8nvZR1/eTyNI2PxY1BZabqmoMIra3mlcEgKiMxP5CvNc+rPhZxlOTkle5B5n+f8AIozv4/z/AEr1&#10;zw78D/HfiBoy0UVoj/xXEi7h9UBLD8cVd8ZfATx94J059euIo73T4sCa5tDuMWeMvH94DPG4ZXpz&#10;QmjrllGJVP2rpux4qNyNt6jtVu5jDwZY52uGP06VWk2kZX14q/bfvLOcN/zyyPbvTPNLEPFgU/2q&#10;+k/2U/Hs/wANPi94b8Y2zlW0vxDpty56DyhMolGf9qPcv418zW8jNaEcdTj8K6Tw3d+RFdNL8o2x&#10;lcdchsiscRBSpyi+qOrDVGpJ32P9D5mW5tjJ2dNwx7iuH8LwKkciDoGIx7bjVX4O+IZfF3wj8MeJ&#10;rgqZNS8PaffPs6Ez26OSPbmtDw65jldsfxkfT5mr8Iqq1WzP3HK/9zb8/wBDcuNNsbpdlzEjr/dd&#10;QwP1zmp7W2tLVcW8Spn+7x0+lTFh6iostjGP1rapaSsZtXOO1zV7uDV7TDcRXUhX5Q2P9Em+mck+&#10;tegWcxuYVkIwT1/CuD1vTftGo2bh8GS6l6jOD9lm5HT06V21iCkIiYgle4rj9naViZU9NDTSLLYr&#10;ThtcD/PSmWcAcg81vRxhBXbTpX0Rwzn3Por9ktDHqeoqe9tN+rxV9P6ypkyo+pr5i/ZZKrreoKeA&#10;beYnH+/FX1DqXLsG96+jwtoUopn6JwzK2DXqzyTUrPdOGB/iGa9d8KWqXNqYnzjy2H6V51dQ7pDt&#10;9e9eu+CImZV7EgZ960rS926Fg/dxMmjufDHgfTdL8L3GhxGYRX/mPcEuSwNxGEfYf4cAcelf5G/7&#10;Q/gCX4VfHDxb8NpHed/DvibU9CaZgQ0jWF1JAWOehJTNf7BNt8luq9e3Nf5dP/Ba/T/CGh/8FQPi&#10;/YeBo3jsz4lW5uEcYAvrm1gmvNvThrh5G/Gvc4arN1JRPkPFGh+5o1num195+XbyzzgPuI7Z71+m&#10;H/BKbxTrHg39u74bX1tLDJHda8ukubpfMUJqET27bTglWIkwp9a/NJBmPPav0M/4JgaBL4h/bm+G&#10;dgnmfuvE9vqDGJSzbbINckhQCTxH0xzX0WbW+rVL9mflGVRbxEPU/wBBoRGT+BD64Ix+uKdd6DA1&#10;hKzxL8sTknGeinv2qha2mv3jhbFPJQ9Jr8DJ+kKYbB/22Qj0NdBqeiSWvh+7vtQY3klvZz3A8z5U&#10;DRxswwikKOnXGfevxGnX97c/VJxdnofiJp7f8hcj/oH3v8jXy5LKftiA/wC1zXzr+yv/AMFBV+NP&#10;xN1L4W+LtDttLu7/AEzVRZ31rcsYpJoEaXy/JdSQWRWIPmHkYxzXvjSkXSN14bmvuXRlT92R8ZTq&#10;xmuaJrFs9arSuwb5T2qJpi4wcVCSf4eak9CC0R//1v4EXkZyM+tMPQ0tIehr0AET7tOqJCc4qWgA&#10;oopRjGMc9qALUTSMpGeAOle7fA5dQ1D4h6T4TtbqS2j1y8TSLvaxCvDcnaVcDhhnBGehwRzXgQlM&#10;Y2qOe9dFpOozwML23d4p4T5kEsTFHR05VlZeQQeQQeKTVyouzuf0bjxR+zP+yR4ej0rxdrNnHe26&#10;DzNOtmW81B5OpzDGSVY9f3pQe9fCvxz/AOCk/irxF4hh/wCFFTXnh7S7AKc3McbXV9K+Q7OuHRUU&#10;Y2oDnqSx6D8sr7ULzU4luL53lldmaSWQ7ndjySzHkn1J61Rjn2w8tyD1raVV2sjadf8AlPtzxZ/w&#10;UM/a78W2S6a/jO+0y0VPL8nRUjsS+P4nkjUSFvcMPpXy14j+I3jnxjK03i/WtX1V3ZXdtSvJrosy&#10;DCkmV2yRng9vauEknCjnkE5/GqcsrmQ7Tx2rK5g3c+/P2VPjL4us9OvPhVYJcXUZ36lYQQgvIp48&#10;5VUdRzvIHT5ieBX0Nf3HxDupvMNlPGp5ZpZYeB/uLIz/APjtfk7ot7Np9/BqNnPJFLG4dXQ7CD04&#10;IwRX6G/DX46+LdOtoG1SSPVrcgL5dzgPgdhKoyP+BBq/LuLMphGq61KCdz9h4L4nnOisNVk/d29D&#10;9e/2HfG/hD4L6g3j7xXZXev6srLNaaXbwqtojRnKGWaRlc4OGA8vaCB1r9GPGH/BRX44eOw9jZQ2&#10;nhmykGGTTmL3TA9Q1w+due+xRX4yfDD49fBTUE8rV5bnRp3GGF3GzxhvaWIMMem4CvftT8XeDNAx&#10;LDrljMrASLEu6UlSMggopr4qnnWLw8HTi+T0PvKmUYPFT9tNc8vM/QDRvjXpGsWo0PUtN0uPzmLX&#10;F+bRLi9ldhgtJczlpnPpufjtiva9A0LSdQtAdJubWQMvETgRN+RyM/SvyPj/AGhPAdkQQl3O6jpD&#10;FtOR6GTAq+37atxo0fk6Dojuc4DXlwE/EqisD9M185jqtfET5qkm35nbSyyFFONGPKfrFL4K1K1O&#10;ZFMYJyodDgfj0NdFYaRcLsF3EpCn76dvw/8Ar1+MN5+3/wDH6CJodBu7DToipA8q3ErL25M7Oh/7&#10;4ryPWP2l/wBonx1I7XXinXpvM4ZdLf7Ip9iLJYxWdGlKLuOVGW0pH7nftE+CPFnj34Mat4G8JeKT&#10;4Tur2JY49YM7WvlKrgsPM3KVDLlSARwa/Lr4Hfsefs3/AAjlvrH9or4taJqGl3TCWXTfDV1mWSTn&#10;IkNossig/wAWMEnkmvkE+EPib4rnF/fW2pXcjc+deuWY/wDApGJ/Oum079n74j35/eQR2+cH9424&#10;499or6jBZ1j6MOSg2kfMZjkeBqtzxErs/Wi1/aA/4JSfCm2W38NeF9V8QzQKFQ3NvPfRSYH8R1C4&#10;28/9cvwr5g+Kv7fnwu1LVUuvhP8ADuz0WOD5Y0T7PbRuOxZLWKPH5184af8AspeIJ8Nql7jjJSNA&#10;B+BYn+VdtYfsteHbeMG8aaXHXex5/wC+dtTUli68OSo9DloYfAYbWite56Raf8FeP2lfCuif2L4N&#10;tPDGmRKu1WezkupB9GllH8q+dvHX/BR/9tzx/E8F/wCO9ciiYHNtpKx2iYPo0MYcf9916j/wozwb&#10;pjHyLKNmHQ7AT+ZBNZOpeBrK1jJhs0wo43gD+ddWHwMmlFyehyVK9FNuNNa+R+ePjTx/8V/HVwre&#10;NNT1nUvMcK8urXc10ygnk4nkbpnOK/Xv9nrRNH1H4a+HfCWlaf8A2Po1xFLcalqUtlFJczsmQqxt&#10;NkqZDy0wU56LgYx8r+HvD3w1h1M+KfGl9ZO+n3KiHRMKV3D5lkug3VM8hAGD454yD2l7+1TpOm6t&#10;9pTU4ZlZ3Qzu+A8qsUZHU8AYGVA6HI9Kms400+XdFwm6i00PtrTbOLwdr8kdlKxWCdxDLGRFcoqH&#10;go6jbtKlWKlTwetenav45i1ZkvZysV0FUG6QBZCV6HcOo9R27V+dcf7SmnapfNcapcRuMxywSqRw&#10;AoUNj0xlWHpXf+FfiBe/EK8l0jwwYrhI8eZO8ixRQl/uBpHwoJ9M5wK4Itt2Rz1504RcpSsj9L/B&#10;3xotfE/h+48L+JWinntwN8cnzJKoOQwB9McehGeor2Xw18TvBc9i2i+IirWjxH5ZsyFQcbkX+8jY&#10;Bx2PINfmn4Y+Avxp1fWV1Owhi+zW8TyTyWF5b3bygjiKNUlC73OMGQqoGSTxXrD/ABD+Hb3umaB4&#10;et4BYQNBcXl/rayPOtxEGWSIiEgOCcqu1VVV6FiST7VCnPltOSXY+Yx2bYeOlJc3psfdy3WrT6HH&#10;ceHL+7isW4sZbiF55VhHePOGb2LHp2PWvO/iLoWm/EXwUPAnjL7RqESyGa11Fo1S4trh2JZkJIIB&#10;/iXbtZcDtx6z4V8V6J4wi2eE9dh1aZ7cMdOhg8iSEL12KCwCDgAsRXCeINO8fLBd3cPhrVjFbq8k&#10;k0zwBVVBliP3mTgDPANeipRopcsfmfKVMxxE5tydl2PzP8cfs76l4Mn+0RyR3NkX4nUYdRno68/m&#10;OPpXinhvwbZLodp5zEFoRkqBxya/UnwC9t431S7tvEMqWUUKeTbQSg+aZyQxba2AoQdQQc56Yya8&#10;A+IXwbGk3klz4XiWK3hmMM9qhysZVsO0XfZ3Ck5HYmvp8mzC/L7V7nf9aqTheTPkX4YvrfhPwMdH&#10;1gFJnubmYhh1DSsqn8VVWHsa5DxRq3m3JctuPrXefEXVpINRUAYXysADsB0r501XViJWyQAeRnmv&#10;2ek7QVz5pUrydjo47z7Zbvs+8uePpWJ9taOQ54PQ+1cjofiFI9U+yyNkOScGtvVW+y3ZXs3I+lN1&#10;Va5pCNpWKWtGVsajbffjIJxxn3r1nT7aD4meD2SE79SsoztTqZI8cjB7ivJRdq8ZQ9xyKd4M8U3f&#10;gXxRBqlseFfcV7FT1Fc0K/v3ex3Umr6nsX7ON5FqGv6p8I9ckWCTVbVotNkl4Vb2I74VYnoHwU9i&#10;RXinx48MXkvgvxppl1E8dy+lmxWNshhJE4lK/XMWPxr6J+L3w8Mmn2Px8+GoJsZ3VrvyOGs7sfOU&#10;fuATypr6U8PfDnSv2vvCkHinRDHFrcax2/iaxBCmRsbBdIO+8ffH97nvW06Tb0Paw9eLpujP5H87&#10;n7PHw104eJ9N1nxMhEUV5FcTDuFicPgfXFep/twftFeHfEWqP4I8MMksskWdadSCEjyCluT6nGZP&#10;QYHcivjfXvjh428Ftq/glYPs2pW1zNp8l0W+eB43KSYXH3xjAPY818zCeaSaS5kdmkfczuxJZi3J&#10;JJ6596+UxmL5m0tgw01SjyQXqe02PiPS7eS3OmW9oI5TtkhlhRip7MrEFvqCa7AeLYhbfZ90ezcS&#10;I8AD2r560+Urhvbj861jLIeCT1zXl3PXoYmyvY970jx26T7pH2k/KCP7q9M4r1u28azfZU85xLDI&#10;oK7zlSPcZwfxr4wiuWiA+YgDjFfQPw38H+NviLpq6b4OsprowBjIxIRAeqqHbC5I6DPWuXGZnRwt&#10;N1a01GPds+jyV1MRP2cI38kcZ8T9P8AeJRd3+nwnS9UgiM223Vfs1ztHOVXG1iO4GOOnevmiK4aG&#10;0mwBygX869e8VT3Oly3w1hHt72MtZG1kBEkcgO1wy9iOQa8Z+9G8Pfg/lXp4HEOpDmPzfiWUHiW4&#10;xs+poWLb08tR1GR+Nel/C74deMPiz41sfhz4Etjdarqt1Ha20WdqBmPLyMeFRBlmY9APoK8s0dpB&#10;drxlRwRX3l/wTxj0C4/aV0/RvFBaK11aCTSvPWR0MU9yyiFt0bKw3OAnB6sKWZ4l0aE6kVeyPNyz&#10;Dxq14U5O12f2UfBvwq/wz+GXhf4c3M/2l9C0Gw0eS5xgStZ26Ql+vRiua6PR2VJZgSMeY2P++jXx&#10;x4O+Bvjj4W+KYfEHhfU7yaGBJUGmXV081tIJFK5dZhv3LnIIfg9q5rVr39qTwvq1zq1pqmnz2807&#10;yx2FxZLDGoY52LIryu2OwHNfhCzGlUqOTkfvOBy6ccM6d+p+hAmUnB496ElBGG4NfnVaftH/AB70&#10;iUx6x4VtL5c5ea2lazjA6/euSCx+iV3Gn/te2dtCJPFHhvXLf+/Laxi4hT/gSct+ArqVWD2kjllQ&#10;kuh9k6m2NT0set5Ln/wEnrqLVjuCnoc18Z2v7WXwT1m/0+WbVWsTBcvJKNRgltQoMEsYO6ZUB+Zg&#10;OK+gvDXxe+GviKEXGi6zYXC/31lCrk/7TYFawsznrKUVse8WMYVQe/8AjWmen51y+katb38Yks5Y&#10;pl4+aFlcfmpNbjXkYAA55xXXh4K7Z5M073Z9H/swj/icagT2tpf1kjr6j1B/nbf1Gcivk79mCf8A&#10;4mN95Z+9byZ/7+JX0rqdyyf7QI5+telCXu2P0nhpXwUfn+ZiMytITx1r1nwdIY0RjgDjrXyX4i+J&#10;ug6BetaXMjS3C8i1to2llODggKuckdwMkdcVn+KPjZ4p8PeCdT8U2dldWVrpemz6hNGsJn1GVIYy&#10;5jt4VDL5xx8gOQ2ccGpr4ymopXFCooYiTkfoTr/jfwz4U05b7xHe21jFnYrXEgjLvj7qA8ux7KoJ&#10;PYV/myf8F4tT+Evi7/gox4v+IfwW1BdUs9WgsG1wJEYfs+sW0AtbiMo+JOVhRmLIvzkjngn+mrxj&#10;+0F4V+Pvwi07xp8P9Q1rQLa+uI08SeKbhoLrWEtCcTWNkbhpfInfgGVkl+zEH/VkDH5d/tC/Dj9i&#10;Hw1pV3a/D7Q9Q1SbRLaRvF/jDU/tct1Gk9vHHNJO7/Nes7KrbHeRUdsp8mFr2sojKj++npfZHzHF&#10;eLjmUPq9KNlHVyfl5H8vEnhXWovBFp46+zOmm3+pXek21wxBWS6sYreadAOvyJcxH/gXtX7Gf8EF&#10;PCtn4v8A+Cg+gyzFduk6FrOpNkH+G2+zcYwQczjvUf7M/wDwSf8Ai3+258Ootf8Ag9BPp0FndTvP&#10;LrdiLezlMzuu6wvopCtwiiBh+9ClXUqCc4r9pP8Agjx/wTw8S/so/F3x18R/ilGP7Xt4z4a8MXER&#10;VVudNlZJprzapPMpSNR6FW65ru4ozWEMFUg3qz47h/hvEynHExj7i6n9Dw0aKKRTBOygHIUH/EE/&#10;rVPxdbXcfg/WHMqvt0m9boO0DmrltcXCN5hnckjgOqkfkoX+dc/8Q9Turf4ea/cZicroWoN93y8Y&#10;t356tX41hb88Un1PvqmHaTP83X9mdblvjnp+pWzPGU1uBN8ZKnM1yAQNvPK5UjPIODxX7VapqutW&#10;l48cUrfIzAZ574r8af2Wgsfj3S75n2mbXbRQcHBKzpjj8TX7ReIbdXuXdB/y0bp9fWv1bM6nvn5l&#10;llKybOXfx34qtcgC3k9N6YJ/Wok+KniBPlktLckddu//ABqG6tFkAPr/AErFazAYh8A+mM1486kr&#10;7nrn/9f+A+kPQ0tIehr0AIKkQknmo6MkdKznVs7WAsUoJHIqJCSeakq4tNXQAeTk1JHI0bAgkfSo&#10;6KYGssnnWuI/vryFrO5D7OxPIHSkikMTbl79aazh2LqMZ7UAK5JYjPAJpg5IA5z6V1Gg+D9c8QuP&#10;skeyL+KeX5UH0PU/hXuVl8OdO8OeHLiaQfaLhlDec6gbNpzhRyQD39a87E5nTp6XuzphhZNXPHdE&#10;8I6rqSExp1PyhjyRXomneF/HXh1lms2ngT+6sZdWPpjB/lU2la5/Yt+knymMEswzjoM49q+wfhX+&#10;0T8MdS01rHUrhNNvBbSmIX6gIZRG23bLyvXGN2Oa8qpUdT7Oh10bR1TsfPi+Prrw5Zi48T20qqCF&#10;LRoVJPT7rGv1D+F/wx8ZfEnwtpuuaJDCttcWFvJC8zkbomX5SVQMRn0NfgnqFxrOv37y3UlxdzSS&#10;NteRmkJ5PQsTX9dv7BPh97z4DaAZQNyaJYBt3UHy6+U4kyOilCUVqz7/AIO4gxEpzhKV0l1Pmq1/&#10;ZJ8b3OPNvYIWYjdthZ1C98EuuT6dK9f0X9j3QVCy6rPd3ByCQ8hUH8EC/wA6/SKLwpCp3Pt+gH/6&#10;60I9B0+LhlyR7185TyuFrJH3tXOJW92R8TaT+zR4C04CRNPgYjqzIGP5tk16hpfwn0W12/Y7KMBe&#10;m1f8AK+lBZWkKYSJD+WaiyEHy8ewrojgYrRHj1cwm3ueQWvgNI1/dwRr65AFaS+D40++UHY7f/1V&#10;6FLMEPH/AOqsq4udgJ/Gt1SjtY82vVbd2cpJ4dsYvv8AIH4VzV9bWEShI4we+etdBfXysS5z/wDq&#10;rib64Yk4PuayqNL3Ujm3OT1qeNY22AD9K8F8a3pjtWVSdzjGRXrOu3ixgtKcDpz6187+ML/7VIRG&#10;cqBgYrjnV5Xc6IUpPQ+MfizbWV5feayjzUjO91+VmUdFOMZFfqn+zX4L/ZI+H3gC20DxZ4W0jUL6&#10;7t1bV9S1C3W5e5kkG58lwSqBmO1RgD6k1+WvxFjEupsW7KBXuPgfxbc6r4Vs52Ys8UQt5STzvi+X&#10;nryQAfxr8Y8VcPXq0KbozcYp62e/Y+44Sw1FynCotT6j+JX/AAT9/Yk+Iuvf8JB4A8S+IfBYlkDz&#10;adodxFLYEE5by4bmN/KJ7bW2j+6e/wBeeHvgR8GPh74G0/wp8CLPRZ1tPmu31u7mmnvJSADJJvBh&#10;aRz95iFAGFUBRivzNj1u6HIZwfYnNddpPjPVrU/6PPMAOThzivzGlxrndCCpwxbajsnZ/i9WfS47&#10;w7y3FRvUh9zP0+v/ABJ8V/DfhSQeHNFAnhjzDbaI8M8e/sEigbOPXcD9BX5f+IPh/wDtg6DrEd/a&#10;eBJb7Ti0k92bi/ihlAwTtMCOr9ecpJ7Yrv8ATPip4ltiPKvJenQk4/mK7vSfjx41sZAwvnHYfO3+&#10;Nd1Lxdzmnb2lKE7d7r9T5iv4M4N3VGtKN/Qp/skfGH4geAV8Sa14rsLrTL68u4oFhlhMSrBCmQsY&#10;2qNgdm6dT1NfQnxQ/af8UXnwb8SXOnXO+7kstlvEW4Jknjjx8pB+6T71xln+0b4olQR3s0dwoGCt&#10;wRICPo6mu10j9oDR4mV7rRtGdgMbhbQjOTk8eWBzXX/xG/GRl+9wvu+Uv+AeRW8GJWtTr/ejzX4Z&#10;/Gb4q6XZwwqxk3osrxOPPRWccgFjnH15xX1V4e+J8+rExeJvDiSb/wDWzWO6FyT1bbjBP1NY+mft&#10;EeDo5labw/pHHJZbeFSffIUV6jpn7THg2YCE6RYKmNpwqINp+i17OH8e8JF/vMLUXo4v9UeJ/wAQ&#10;VzOHwV4v7z8vv2/bdfhHq+kT2kO201mN5kJG2QFcNtZcnBw355r8+rXxtp+rKfKkbeOSOvSv3f8A&#10;jT8MP2Yv2otUttW+J7aqk9pCsMC2OpzW8UYUEA+Uo2k89SOa8Rsv+CaP7KF5difw14w8Racx42Ga&#10;3uEH18yIn9a/YOHvpT5IqEKWIjUi13Sf6nHjPCXM4y5oJP8Ar0Pxx1HxBDbXkWpW7gFXGQeK9vuL&#10;qPWfDcOtwMPlG12Hb619/eNP+CS+h6/ak+BviBZRSjOz+0rLIbHq0Uqge/y15jo3/BOb9qH4fW0+&#10;kvDonifTJFZQ+iX6tNjH3vJuBC2R6KXNfp+QeN3DuNklHFqN/wCa8fzsfPY7gbNMOm50G/TU+Lre&#10;68wbkbPqM5p2qWU00AmiBJA557e1Z3jnw34v+FXia48LeLbG7sLqF+YbyJoWK9jtcA4PrWpo3iyI&#10;Wx+0LuUD5lABx71+qYbG06seeEk09mtUfOfV5J8rVme+fs1fHm0+HuqTeFPGkAv/AA9qq/ZNTsZu&#10;VZDwGU9mU8qRyCK+z9P+EviX4F+LrD42fALUP7Y8K3dzEtwIuZraOVh+7uYx25IDDg+3SvyZ1d9H&#10;1Njd6W3lSg5IPAPuB61614Y+PHxc8EfDPxHD8PZbifUrPTjeWloJGEcix5E29BkOEUiUrjkIa7MN&#10;mKgnGeqWx0+zfLufiZ+2N/Z4/a0+Jg0vb9n/AOE814xhfuhTfSkAewzivnFSBXo/iXwf46v9al1f&#10;W/8AS7zUrqS4lnL5eaeZizsxbHzMxJOa5G+8MeI9Lcw6lZXELjkhkPT1yOK+dqQs2x06qkVLRioB&#10;9DWrHcF3C4/X/wCtWJFvUjqOf51758A/hqnxL8e2+m3yObGDNxfFQcFFHCZ7b2wK8HOM0pYLDVMV&#10;WfuwTZ7mWYOria8MPS3kzsfhB+zv4p+JdxBqN+j2OkFwzXMgw8yg8rCp656bjwPrxX6+fDHwH4d8&#10;AafDpHh2zjtbdTkKg5Y92c9WY9yam8NaFbWdsiRRCNY0VI1AwqqBgADtiu7toxFIrH1r+FuPfETG&#10;ZzU/ePlgtorb592f1Dwxw3h8up/u9ZPd/wBbH5Tf8FOvhd/whvxQ0X4j6XEiWHizSUmldBgfb7HE&#10;M2cdynln3OTX5rEYkF3bruC8Sr2+tfvD/wAFKdIttW/Z08N6kFaWa38QS28Q6ld9u7cexK9q/BeG&#10;5ktbnABz90oe4PXNf2H4OZzPG8PYWpUesVy/+Atr8kfzJ4pZV9Vzmvy7S1+87zwnoVprWqGzsssZ&#10;YwE9GcLmJjTOGEhYAD9a/bD/AIJz/Af4Q+Gf2utIbxRbzatAqwTaXJqEpSziv5HYW7SNFHywkQGN&#10;WBG4g4yAR+OPwkhjX4l6SbclUec715JACljj8BX6q/Bf4jNcftE+G/DPhfUJ7GH/AISfRF1L7MwH&#10;mBruNI7f/gROHxyAa/UMfhKNbAVoVXumfn+CxdSjiqU6a2fU/sbvvh1f3Zxd3CqGzlLaLyuD/C0j&#10;F34/vIU+lct/wpvQoZWljs0808NPyzvj1YncfxNfUsmkQHBVbiMAD/VykAn3HOaqNp04kys6sx42&#10;3MWFA9vL2kn8a/ketr8B/RNKu0tz5Gv/AIP2kpIwevRxkfqDXD3v7PulXzGZ7S2Z8cFoxn9OlfdE&#10;lhewsRLbRzAc74ZPmYf7MbjGfrIKrC0tNoNxa3kG/orwGRvyg80D8TWet7m8cUl0Pzj1j9lXRb59&#10;1zbOSemZDIBnttkDr+lea6x+wz4G1CU3Mtjb+af+XiS1TzF+jw+URX60w6XpN7L5VpcRPIDzEjqZ&#10;AfdAdw+hFLqOnaToNjJqWuT29pbRgeZcXTCGNeccu5AGT7100pVO5Txias1c/IL/AIYg1bTnE3hT&#10;XtasGUfI1vqtw4X/AHYbpZohVs/Af9rvw5GU8L+OL64AU7RrtjFeqMen2SSIL9TGa/UmO8u9ekFt&#10;4L0h5EI/5CmsK9naD3SJlFxNjgjCRow5WWtK3+Cq6rN9s8Y6nNqhJz9ggJtNPT28mJt0gB6GVnYd&#10;M16EMRiI/wDLxnFVpUZ6uB8n/sh/FT4meDrS88OePLWz1vxLvng83SJkjswpdXj87cBJAdg5LRFc&#10;nG7vX2ldaF448bkr401RrK3YAnTtCPlhgedss2WZuOGUEqeoxXpHgnwnY+HbU6bptnDa2yAhYLFU&#10;jiGeSQigAZ78V1tzommqC6W0anPURhW59wAa9n+0K1SCTke5gcV7OgqUVoeO6P4L8NeEoPs2iQJa&#10;gtlmALSOexd3yxOO5JrT1nSv7T0a5siVdJ4XiYbc5DDByK7W40axbjdJH32RSMgP15rUtdDbyP8A&#10;X7v7qNGhXHuQAx/OuacOZWNY4iN7tH5Ia5/wTc/Z+uobi7sPCmm209wZ/PazD2ok+1AiYMsZUHzA&#10;cNkfN3zXxB4C8K/tkfslftA+ItD8AeFb3UfhxqwjtLePRXs5J7aMpGjs8MtxFcSg7MNiVWxgoQVA&#10;r+lObSLlU2qlrLu9GaEL9QRLmvnTxFaXVh4glkeKQDOW8sxyIPpyrn8FrP8AtCthEnTlf11M6lGh&#10;U1tY+RdH+P8A8en8FT/Cr4e/DjxLaaLdwW8P2TXpbdo4YRLL9pty+o3l4I1nXB3wxswWQAYkQlve&#10;Phlo3xl0y/07TxoPh3w74eWyI1FW1KfV9UmmRVW2hilNvDHBbwDfhQXLE817bpviGzhsi16sargY&#10;NzE8Gc+hkVQfwro9K1exv0yiHbjgxOCOPoaK2dV8Rb2krnZLHcuHdCCSRZs7G9TDMS/sjKR/4+F/&#10;rXOfFKG9Pwv8SJbwu8jaBqCRoE3Fna3cKuVJBJJwKtt42tby6k0jwZC+q3cTmK4cEpZ2zjqs9ztZ&#10;d47xoGf1Cg7hq6f4Fj1OZdQ8a3X9pz/eS0KlLCE/9M7ckhiOzSF296dKFmpXPnqvN1Z/C/8AsLf8&#10;E7v2p/iVfQ+Jrjw5ceHdK0O9Gp3uo+Jo3sEZbYiZo4EdfMmkYLgBFIBI3EDmvtzUbOR55CVypY/z&#10;r+ujxush8E6tDLhl/su6GOo/1Tdq/k0uebhz23H+dfb5fj54icpTWx8bXwMKCUYnmF3p93C5HlnH&#10;bis825B/eKc/Q16W7bmJqqwBJzXfVo31Oc//0P4D6Q9DS0h6GvQAgooorlr7gFSIQM5qOvXtL+Av&#10;xd1zwdF490TQ7y80qbeUuLUCQ4jO1iUHzAZHUisfbKGsnYuFKUvhVzycuB0rpfBvh/8A4S3xJa+H&#10;/PW1Fw+1rhwWWNQMliBzT9K8BeNda1IaNpek6jPdM20QJbvuz78V9e/Df9kb4s+H9c0/XfF+mLHb&#10;XG5Ps6yK8q5wP3iqSVyDiufG5pCnB+8kzqw+Aq1GrRdjxKX4I351AWekXKagOhkgRgC2cYGf513u&#10;ifsx/ESa5jkttEnuRuQ7lwcnPI2k5zX7UfDf9lPR5NPjv5VmtJNo/dxgYBA47V9b+Dfg7p3hxVki&#10;HmNniRxlj/h+FfG4niiSj8Vz6OhkUep+KXg79mL4oX7RwXWlz2CYxuuYyoX8AK+l9G/YYudatPK1&#10;u/maCRdrx28exj/wI5xj6V+xuleHY4kG4AY7E13ll4UsGxLcBB7AYOPrXzrz2Td7WPYhlK5bM/D6&#10;8/4JTSx6JL4iN0NRhRTKthNuSQx+oZOpA7HrXxz4+/YFlRjd+Cp7i02g+Zb3I81QR6Nwf51/VxPd&#10;WsEAgUKEVNgXtgDFfIWsaJYPcToVXHmNjgdM1P8ArJiINcswp5JSkuVo/lV8Q/Bnxv8ADa/Q6tse&#10;BZlHmx5BBJ7gjp+Nf1TfsEny/gPorPzu0aw5xyf3Zr4N/ac+FGlah4T1We2jAdLdriPAGQyfNX2F&#10;8A/ir8Mfgv8ACOyTxZqcdrBFp9skI2M7uI0ydqICTwa9Krnf1mEOfdHXlOXRw1Sdtmj9C2nBGE6+&#10;tQyT7uuMegr8v/Gn/BVD4HaHlfB2ma5rjYJWQRrZwk+5mIfr6Ia+SPGX/BV/4sahMY/Bnh3RNLQA&#10;hZbyWa+cg98L5Cg/nVRoSaujfEZpQi7J3P3wMqjrgfU1UmuMZAx9a/BT4ff8FOPjYmrx/wDCbWej&#10;anZsw8yO3ga1mCEjOxw7DI7Aqc+tfsF8Pfir4e+KXhK28XeHXzFOmZIn+/E/Qqw5/wDr1E4OLszS&#10;GLjP4T0u7uUQ7gecYwK5q6u8k8kn061HPdHtWVPKdu4dTXLVq20RMnfVlO7lZjzjrnFcrfTiNCSe&#10;AMn8K17mQ7ufrXJ6hJ5isG4BBzXFM6IK54/4jv5bqYs5+Udh6V5BrZwjN14r1nxHDFCTsbk5+U9R&#10;Xj+vyGO3kduyHp+NcVd63PRhGyPlnxO5u7mWVv42JIrf+El7u+26O/T5biMf+Ot+fFYuspksTjkc&#10;f41k+BLw2Hi+AE8So8LD1JHH6ivjuLMP7TAVfJXPoMiqKNeDfXT7z6UwBwOQOPyrQs3YHd2zj8az&#10;gQRkVdtXw4VQfev5uxWyP1+grOx0KuDgZ5xUnK8kniqIY7hgDIq6r7huHf1rzaklbU62tCwruDks&#10;c9Bz/SrC3s8XJYnjFVFIJ5604Lk8+tebJXuCL66tcs2EJXsa1INUu4fmSRs+oNYEabjjPH0q2g2q&#10;AaydKL3RVzr7fxZqMYx5je/PWuhs/HOqQONkrD6GvMcGr9v/AKzp+NY1cPG10jqoVHc990z4ta/A&#10;Bsnkx6EnFej6P8b/ABDDtmS4lGMZAPNfLdshC/Xt9a6W03KAAPrmvPnhodj6KjCLV2j6c+Jn2b9q&#10;X4d3Pw/8TeXJqdtGbrQtQlUNNBdRg4jD/e8uUZVlzjJBxkCvxek0vXfAuuTaZrFuxKHy5Y8ZyPVa&#10;/U3wPr0uj69b3kR2sJBkjtz1rwL42zeHtS+LOteFbqb+z5oroXFpchQyNFdxpcKjDjhRJgEHiv7B&#10;+ixxRNvFZNXm2o2lC72vo16dT+efGThqnCpSxtFWvo7fmfIEvhWHUmSfSpPLEnJU8fgfSm+Ete1n&#10;wV4ogvlO17ebcGIDKQM5DA8MrDgg9Rwa+j9M+EGrTOr2d3bzc7g+4AH867hvgtoM1vJqHjG7tbJI&#10;VLyzM6qiKBnJYnAGPWv7JeGlu9D8SeGW9z8pf2vvB2g+CvF1rrng1Vi0nVUg1qxgU/8AHqZHZZrf&#10;PPEcqttzzsZcknNc14osbe+8FNq5VSXRdrccY5PNXf2q/GvhPxZdmw8DzSXek6SzW1netwLgswLy&#10;L/0zyAE9eT3rQS3F58HE27cbc5HX5hXiVpJydjyUkpSSE8MfD7wvPHpWsXdrb3CzW4SeOSNXTpwc&#10;EV9seHfBek+HLO3fRLW1traaFGCWsaouec52gZ+tfLPw4n+1+GdPAIJhBDd8bDj+lfdB8uPw3YeW&#10;Au5gxA6DcpP+FfkvjDUtklfXovzR+m+G6Tx0W1qXYV2KFwTxxV2IHJ69Ko2z7kxnNaUAbH8q/g+o&#10;3d3P6RhufOv7fdob39lq3udxU2viezZSDggyxSrmvw21LRzrOjnU5Tm7gmAZnwN6EdyB1yK/fz9r&#10;HwvrHjf9mTVND0K3lu7qLU7C8SCEZcrGzAkD23V8yfsX/wDBNr4ufHjXVvvGlpLoPhZHMd/qV2q+&#10;Z8ozthjYje3bPRep9K/rPwh4zwOXZBF4qsouMpaX11d1pv1PxXxD4drY3MZOMNHFa9LrzPzN0m60&#10;nRYLW80GOZNSjhKyXZb5VaVSG2Kc5IBIB7ehr3b9m26uNE+KXh3VbZj50Gv2eqMc/MTYyi46nudh&#10;6968K8Q6MnhrxVqXh+CYSx2OoXFnHKpzvWCVkDfiBXsPwJkZ/iFpZU4K3cYOfQnDfmDX9TRqKpS2&#10;0kvzP5vcVGra2zP9InSdYh1PS4Ly3dSk0KSqG44YZHarhdjncqHPoa8V+HPiTTtU+GGi+KLHUUSz&#10;udHtZlmvUiaNFMSnG6Mx5YdMl25FSf8ACd6lqiBfBulnV0ZSEvo5vstrkDhi86ruBPBEXmEdxX8q&#10;V8O6c5Rl0bP3ihWjKCkj1iSSzT/XLgZ7f48VQuPFPh/Trj+zYbiSa9JH+gWf7+fnkb0HEeR0MhQH&#10;sc15ZFZa9qb58Y6jcwRgZaw0+OS1tV9A92P3spHqrRow4MdejaDaaFa2kdjolvaxRDIVbZURSc54&#10;CYPueK5mzRVUx+oW3jPxDCbZFsrC2f7wulF3cH28vPlLkdyWKnsag0j4ceFNLuk1KSxkub6JzIl5&#10;PPI7o5GC0agiKIkdo41Hsa6MZhcJuZCD2PA/PmrYu5WXhxJ2Xt9a2pRv1J5knoWWmki+YTTjsftK&#10;rKMH0ChMfmaRbmcuCi2rKCCDuKSEfTGB+dQ+dMHJk3hQOdpyP1FW/Os5kGUGehJAzW6i11NU7nR6&#10;NqF3G20wXHPTyCsox7kkYxXQTazAzbWmEeB83nRtGB7FmAX9axtES2TiM4yeCDx/SuimLKgCvkZ5&#10;Vuf55rroprVGtObT0IYZFuYvOgEc6buXiYOM/UcfrWlB5YGHWRB7DiufuLPT7mUXFxaQySAYEgUb&#10;x+OMj8Klijtgu2C6v4G6Z8wyj8pvMUfgBXXGbb1R1OpzaM6i4khjtmLP1UjnrXz/AOKLEXd5IYzH&#10;gt/EP611fjjx9p3guyV9X1C1lkm+Sz05bd5b27Y9EiSIlmJ/2YsV8yahafFL4iXK3GtxHwzpUq7m&#10;sNGu1bVpeT8s103lrbKRjKwB5TnAkjIxXJjqfPZXHCcYm7qHjyw0DVf+EZ05bjUdXwCdN0wh5IlP&#10;Rp2JCQKQcjewJH3Q2K2PDvw+17xXqrat8RJ7Qwk5i0TTflQDPBuLnCyyn1VdidQd4NReGNI8PeE9&#10;O/srRbNNOtlYs3mQNHvcnJZ5GyZHY8liSSeSea9W8Otbb/MhMTbuhjYDP4Zz+lcdCmlNJImvO+qO&#10;k0jwpp2jWMWm6DHNY28C+VDDaSHy40H8KJJuRQOwAGK2JrO8EPlfaWKj/n4hVm/76Qp/KpIN6ncW&#10;dDnGP/11tRSyE7vkbFev7Ppc47nnXjM36+ENT+W3Kf2fcDEUjKf9W3UMP0zX8od24S6fv8xx7c1/&#10;W5438tvCGqs6L/yD7g4/7Zt04r+Re7YtcyZP8Z5/GvqeHlZTPGzb7JCz+lRFgDyRSFwp54qJ5Ygf&#10;m5r6Ns8c/9H+A+kPQ0tIehr0AIKKKK5a+4AeOa/pb/Zy8PWGg/BHw1pY3kx6TAzMh4LOu8nt3Nfz&#10;Rnoa/p5+C3/JKtA/7BNr/wCixXyHFMmqcLdz7rgmCcqza2SOuudKtZG8wFlU9QuATn1PWsD4feN/&#10;CviX4kzeBbOC9F1pkXnzyzqgicMwT5SHZicnuorsZP8AVj6183fAj/k5zxF/14r/AOjlr46rrTb8&#10;j7LFRVlofqzp1jb29uqKowVH4V1FvGojBGOnpWJa/wCqT/dH8q3of9UK+ci9TlglZl2EjPHHFNn1&#10;29UmMHKrng+1LB1NYlx/rJP+BVA4FiXVLqSMtnoD15ry6+JaQnoTya78/wCqb6H+VcBef6wVwNse&#10;Gep498RtCg1rRprWbGJ7aWE/RlIrxT4baBaeOvhVaJfBQ0dhbyqxGeilSPxC19E+K/8Ajx/4C38j&#10;Xin7PX/JL4P+wXD/AOzV6HM+WPr+h1UknJ3PyK/ae8CwfCr4oS6HpzK9te26ajAo48sSk5Q/RgcY&#10;7GvCo2Lwhm6kZr60/b3/AOSzWP8A2A4P/Qnr5Jh/49x9K+/wjvSg32PhMdFKtNLudn4fGZh/ug1+&#10;w37BviC8he40UM3lSRyZXtuTDKf1Ir8evD3+uH+7X6zfsJ/8hyT/AHZv/QFrlx3c9XA7r0P1Lmdm&#10;c5NVZCcn2A/WrEv+sNVpOrf8BrzWvdTPSnuZEwYng1yGrSNBG0w5wM4+grsJev4muL17/j0k/wB0&#10;/wAq56h0w3PFtVneZ3dj15/OvJPFTsbGX3GP1xXqt/8AxfQV5R4q/wCPGT6/1rgxB6VP4UfPOtRh&#10;SynmuA06U2/iO0mTqlzGf1r0LXPvtXm9r/yHLf8A6+E/nXh5ok8NVT7M9TBO0oNd1+Z9WwnDY59u&#10;a0YHZXGKzYv9YK0Ivv1/K+L3Z+14bc3eSeKux4KjHHOKpp96rcP3F/3v8a8Y7CdOtW41AUueapp1&#10;q6v+pNZdyJbonWNcbBwPalpyfeptQWSR96uQd/wqnH3q5B3/AAqKnws2pHR2+UUEnPPSujhO2ESe&#10;oHFc7F9yuhj/AOPRfoK86ofUUfgLdhNIl7G+ejA+lfLH7Zk93YfF+3urUopu/DtjdscHOQ0sHPvi&#10;IfhX1DZ/8fSfh/Ovl79tj/kqelf9ijZf+lN3X7j9Hp/8L8l/07l+aPynxfS/s6D/ALy/Jn5x+MP2&#10;ttW8J3c2h6Qt3PdQ5TM22KBW7H5GZnHt8v1r5a8WfFv4j/EpluPGWr3l3GZiUtGkIt4w3ZYx8oH4&#10;GuX+J/8AyPl9/wBdf8awrD/j2j/66iv7vi29+x/JmMqS5mr6HtM2X8HlGPAPT6Cvr/wVB/aPwCkj&#10;OA8EccysfQsBj9a+QX/5FFvr/Svsb4b/APJCrv8A69Iv/QlrSxC+Jlr4G5bTJrV8MonkQZHOCAf6&#10;19xzusOkabp8edpVzk/7AUf1r4c+Bn/HpP8A9fcn/oIr7eu/9Tpf+5N/7JX4541NrJavqj9O8N/9&#10;/gjStXIAX1FdFDyFFc1b9V+n9K6WDov1FfxBX3P6Shuei+DL9bJ5XmRZU8jcUYZBw6kZr9nf2Nvh&#10;pf8Axd8Kj4teI7i3g8OaDqw04aLbKfPvLqJBNiQkBEgAIzgsznIwo5P4oeHvuTf9ex/9CFf0Jf8A&#10;BOP/AJM/1z/sdp//AEkSv1XwQyfC4zPOXFU1NRV0nsmtnY+J8TMZVoZXzUpWbaXyZ/n2/tLeHJNF&#10;+PnjWGy8gRJ4o1IpEoKKivcOwVcZ4Gap/Bmyvb3xDHfiXyY4ZQkpj/1hz2Q4wP8Ae6j0ruv2rP8A&#10;kv8A44/7GW+/9HGuc+Bn+vm/6+kr/QGj8ET+OK/xyP7U/wDgmn4Es7H9l/R9W19Ib57nUNSutKWY&#10;GQWVpLcufIQP8o/eiR+FwAwGeK/QG+s4JRldyHPVT3r4+/4J6f8AJpPhL/rjef8ApZPX2VP0P+9X&#10;8ucQVJSxte7+0/zP1nKajWFg0+hiRW99ExaGcnB53DB/Q1oxTySIxu0ilDA53Lgn8etJH0f/AHqZ&#10;F/q/wNeRLc9iMm9wgjsyd9r9otup2QSsseT3KZ2k/Wtuzk1lM/Z54JQOSbmEBsegMJjH5g1gWn3P&#10;+A11Gn/cf/dreg9SjE8RfEO18PWKXmv2siI5Kq1lIJmLKM8q6xYBH+0a622uvOjW4TlWUMA3B557&#10;ZrwD4zf8i5b/APXaT/0E17ppn/IOi/65r/6CK7zWk3dI7fTJ47hflBHHpW0d5xsOAOCK5rQun+fe&#10;umXqf94V6WH+BHbDcrS3EtvIDnPGcfSvH7L4j+IfiN4u1zwJ4KMWkpoF0thqurXCCe5M0kSygWcJ&#10;zEAFYfvZS2DkeUeGr1m9/wBZ+Br5n+AX/JYvil/2M1v/AOkUNbN2TaNj2Ky8D6T4RjmudLMst7P8&#10;15qd5I015cHHWSZssR6DgAYAGBXHahqF3Gzu5BCsRj/Ir2bWv9U/+7/SvDtW+5N/vmvBxsne9wH2&#10;esGVg4DqQeqnFeiaRfQXZEN1DHJ0UsyjJB9TXkGm9D9a9M0H/j4H+8tc2DqybjdilseiwwafEu2G&#10;J4l7i3laPP1wea0kjuY5Abe4clv4ZkVlx/wHYx/E1mr938K2U/1sf1FfTnFJ+8kc18QpdUsvBWqG&#10;ZIGVtNuR5kbsp5jI+4Vb1/v1/JXdjF1IP9s/zr+uD4qf8iFqP/YOuP8A0A1/JBef8fcv/XRv519T&#10;kasp/I8rNH7yRkO25s0wqD1paK9+x5R//9lQSwMEFAAAAAgAh07iQGVWCRyJ6gAAf+oAABUAAABk&#10;cnMvbWVkaWEvaW1hZ2UyLmpwZWcAAID/f//Y/+AAEEpGSUYAAQEAANwA3AAA/+EAjEV4aWYAAE1N&#10;ACoAAAAIAAUBEgADAAAAAQABAAABGgAFAAAAAQAAAEoBGwAFAAAAAQAAAFIBKAADAAAAAQACAACH&#10;aQAEAAAAAQAAAFoAAAAAAAAA3AAAAAEAAADcAAAAAQADoAEAAwAAAAEAAQAAoAIABAAAAAEAAAJe&#10;oAMABAAAAAEAAAEmAAAAAP/tADhQaG90b3Nob3AgMy4wADhCSU0EBAAAAAAAADhCSU0EJQAAAAAA&#10;ENQdjNmPALIE6YAJmOz4Qn7/wAARCAEmAl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sAQwABAQEBAQECAQECAgICAgIDAgICAgMEAwMDAwMEBQQEBAQEBAUFBQUF&#10;BQUFBgYGBgYGBwcHBwcICAgICAgICAgI/9sAQwEBAQECAgIDAgIDCAUFBQgICAgICAgICAgICAgI&#10;CAgICAgICAgICAgICAgICAgICAgICAgICAgICAgICAgICAgI/90ABAAm/9oADAMBAAIRAxEAPwD+&#10;bFbo4qwLo8k+n45rLjBPUfhVkLgYGa+DWyPreQvC5UDpyecUrTLnI5PX8qpY6jrxTtjbc88HjFXJ&#10;2CKsWBNxjNSLcnt06VSUdznp39anUH6c9Kx2dy0yyLjjv6etSec3XtVUDjHH09aB93GelVzE37lg&#10;3JB5/I03zsjOKiMZ6H86csRxjFSLnQ8XAJ/HrUguePw7VCIiOf0pREQefyo1Jk9bk5lOMe+M560v&#10;mY+Vc9elReWc/wCFLg46fn2oKvdXJhIc5/Wn+acVDgjmngY5oTsZ3uOEpHX86kD8fhUark1J5frV&#10;7Ax270oB4x79u9AU47CpBF2/WhJtDlYiySM98045HTP1qZYif5Zp5hyfYda0TfUcV1K2DS8joPrV&#10;vyDjj9KaISfU/hVLYPIoMxXr/wDrqsZwOuK15LUupKg5HYV5d4x1DWdGXNpErsfuZbHFbQjzswqv&#10;lVztvPQHgj61ahmDng18ReI/i78StIuZ7c6fCDCUyqPJLkSZ242RlckA55474rvvAvxG+IGqW6Xe&#10;qaWWjyFkaAksMqH+4wVujAnAOOnY13zy+ajzXRywxybtY+rVOcYx05qXb/8AWxVbw/Mus2a3UOeR&#10;yDwR9a22tWj4/pXA1Z2PShZooCMk4NPCEGraxnHIH9akEZA5GKC0rFMRMTyOacYmVcGtFYgy8nmp&#10;Cibeo/z+NAzIMJoaLGQM1qlIz9ewoMYPp+FNMDIELf54pvlEZPpWv5aj0+tRGNG/LrRcDLMJzxS+&#10;V/F+FaghHfFK0AHT60XAyfL7HvTTGcY59vatQxY5I47cUuwA4AyaEBj+Xgc5phiPUCth4eMBaaYs&#10;D7pH4UJgYuwg5I/OoynHHNakkLL0U/Sq42yZAByO1DfULlHGTzjmo9gGetaDQ55/+vURgIqlbqFz&#10;OcelQ7cc44rSMJ5IH41CYeKbtYTZnPnvTMDvzWiIBjmkFsTz/OkmkTzGdtHGOKiYgcDn2rTMX8O2&#10;oTAdx/Q1MvIcpdjNx/hTTzzitH7NxnrzUJtj+nWo5epm5XM9uuetRsimtA2zDGQaQ25qnG6JM3YR&#10;0/Ef5zTGT5fmrRMBzxmomiyce1JRsFzK9u1Rsueg/CtRrfOT0qEW+eo7dDQo21IczMZBnFROuBgV&#10;rGDnP51F9mD8f0qoxasJz7GUQBk1Ay85raNsg7ZqM2uO34U3FsPaGOUIJzTljPQjkc1qrb5Gcd6Q&#10;2+OFpKAKoZRQH7v500RqCOM+9axtxjj61CICe36U+Rh7QzWRSuCPz6VEYwF4rZ+znHPPvjpmmm3G&#10;OPzp8jBVO5iGIj7wPHemeST69OlbRgI659elILfgD09qauSqmphNDkdDx2Jqq9upODxiuq+ynGSP&#10;cVUls2HIHX8KLMHU7H//0P5sVjJ59OnNTBMcnHtWmlqCMnP/ANapvseRlc+vTmviUulj6f2l9zI2&#10;AjAx9KUIeCa1vsZx/n/CnfY+Mc1nJXKVRGQsQJyD+BqQRN1/lWkbYAc1KlucZGcf41Cgxc6RlbOx&#10;6+1L5ZzyM/StsWnGCKmSyHbnvVyg3qJ1DERG7565NSiNumK2RZkYOKl+yHFS4C50YfknPenGEk8D&#10;v1raFrk9+nNSfYz0HOTVqN1YOdGF5BPH+cU37O31FdGLPHXr9KPsTDnrmp5Be1sc4sTDpThEQOeD&#10;mt5rQlcqPbpSC24wRS5SfamMsP1FS+SVOf19q1fIOeM/lTjasTyDVKFtQ9qZqxEjipFhwQT0xjit&#10;QWpxyKmW1OP51aj0D2hliIAVPHGpPTP6VoGxYjK5/CnpYv0YVSiCmVo4x6VKsMY+arcdnyc1Mtsw&#10;GQM0Kmw52Z4gBOBXP6x4VutYkEtoUJWML5ZADE5Pr1ruVtmPt6VOsGeMH3rZQ6g6nc8YPhi4sw63&#10;sN3nYREIlGBJkffBH3cZ6EHOOvQ3NM8N3U0gdoJQVIxlCD/Wvdbe+1GNRHHPMoHAAY1ow6nq4+U3&#10;M/0DkU407faCnWhFtuN/66HceFvhjN4x8GDWfB+j3cusW13HaanYWVvLMZo5UZoruIIrFeUKSqej&#10;FWXIYhdi0/ZP/aI1tx/ZngfxZPu4HlaReNn8oq/QT/gmB+3v4p/Yp+MsWrzyPd6DqpS01mzmbKyQ&#10;ls5yejKeVbsfUZFf3a+Ef20/2V/GXhWx8XWHjzwtbwX0CzLBfanbQXERI+aOWJ5AyOp4IP4EjBr0&#10;qWBdRL3vwOetjVCT5Y6ev/AP84TS/wDgnf8Atl6zj+zvhj45l3dNujXY/nHXoGn/APBKL9v/AFXB&#10;tPhL45wehfS5ox+bhRX+iRcftl/slWhIufiX4HTb97drVmMf+RKwLj9vP9i22GZPil4GPtHq9tIf&#10;yRya2WTu/wAX4f8ABMP7V8vx/wCAfwH2H/BGP/govqIAj+FfiSPd3nEMP/ocgxXcWH/BCz/gpHfE&#10;AfDq6iB73GoWKf8Atf8ApX9zd1/wUW/Ycs22z/E/wn0zlbsOPzUEVzV3/wAFQ/8Agn/Y5+0fFPwz&#10;xwQjzOfwCxEmnHKbbv8AAFmcuiP4vdP/AODfv/gpBegA+D9Pg3f899YsVx9cSGuxs/8Ag3S/4KJT&#10;qPO0bw1Dnr5ut2x/9B3V/Xlc/wDBWb/gnnbjI+JmkS/9cre8P84RXM3f/BYz/gnlaBi3j2J9v/PK&#10;xvHz9MQ1SymPWT/ATzOf8v5/5n8sdh/wbZft53PF3J4LtgTz5mqs2P8AviFq77TP+DZD9sKdlOo+&#10;JvANsD1/0q8lI/AWoz+df0a3n/Bbb/gnXZnB8YXsn/XLSL5v/aQrmL7/AILsf8E97QEw63r1xzx5&#10;OkyjP08wp+tP+zab3l+X+QnmFT+X8/8AM/DnS/8Ag16+PUmDqnxD8HQeoit72X+aLXoOl/8ABrj4&#10;uJB1f4paPH0z9m0qd/r9+Va/Ve9/4L+/sF2ufIPjG5wOPJ0uMZ/77uFrjdR/4OGf2NoM/wBm6L4z&#10;nwMjzba2hz+Vw9Ustpb3/FC/tCt2/A+H9L/4NcPC4H/E5+K8/Xn7Noan/wBCuhXf6Z/wa9/AyHB1&#10;X4m+I5j38jS7aL/0KV69r1D/AIOM/wBmq3z/AGf4K8WXPGQTLaRg/m5rj7//AIORfg8qH+zfh1rz&#10;MBx5+o26gn/gMbVSwFHa/wCJEsZWf/DEmm/8GyX7IkGG1Pxn44uD38v7FCD/AOQHP616Hpn/AAba&#10;/sC2uP7R1Dx3d+udRt48/wDfFqK+f9S/4OVPDkSn+y/hdcSEDjz9aVBn/gNq1cFqn/Byz4jZT/ZP&#10;ww06E9vtGryz/wDoMEVW8JQXb7yPrdZ/8Mj7807/AIN3/wDgmxY/8fekeKb0dxda1IAfr5SR9a/i&#10;H/bf+F3wp+Ef7Q3iXwV8GbWW00O31i5FnFPcPcusKSFYl3uSThR9T3zX9E3iz/g5Q+O15pdzZ+Hv&#10;AHhS0kmheKOea4vJGjZ1IDAK6gkZyK/md+KPiS/+JXjC88Y6rEqT3kpmkRCWUMxyQCecc1y4unTU&#10;fc3N8NWqX94+dWiIPAqMwORkA1376N321EdHOPumvLcG9zv9t5nBeRIM+1Ma2bGdtd3/AGNg5Kk8&#10;UHR26BT+XpQoEvEHn0lu2M4H9KT7O2M4ru/7GfP3elJ/Yr9dtCpvsHtzgvs753AUfZHLdPeu9/sJ&#10;8fd70LoUwP3aHSfRGbxBwRtmxgVH9lOc16KNAkPUe/SnjQJDwFP0AqvZS7Ee3Xc82+xOex6U37CV&#10;FelDQWX+Eg/Skfw/Ieiknr0/SmqLI9ueZ/Y+M4/WozZHsM16afDzDnaePaon0J/7p/Kn7KQ/rFjy&#10;42JpFsvm4FeknRZQCqqfypDoM20ZU59hT9lLsS6/mebGx3HJFMexAGfwr0VtBnAwqH8RSp4dnLZ2&#10;E+3Wl7OXYbrabnmX2IMe2e9I1lg7sV6j/wAI7L0CH8BSnwzK3/LM9PSmqUr7EvEeZ5SbPBHp6Uv2&#10;MngD3r1QeE5j91G/KpT4SuTyUxTdKXYPb+Z5G1oc4Az9KaLA5zj8a9gTwfcE5Kn2qWPwbOQcKfyp&#10;qhLsR7fzPHPsLMdoH5Z6Ug06TP3f0r29PBsuAQp9MAVYPg+fslU8NIr60keGLpUjcEHHvUg0fbgY&#10;6mvcB4KmI+bPHpzSjwXMOQpNVHDS7EPEqx4adJ44/SoH0xkOQoP1OK9+HgyXoU9xxULeCLgrjbkj&#10;2pPDyTIliT//0f5+V06QDJ79Kf8A2awHNe3p4PfG4Jkd6lHhJ1ALxH29K+WhhZWPSWLj3PDP7OI4&#10;PWnLprE8jPrXuH/CIA8rEc9eab/wiEg5SLJyeAKmWFYfW0eKjTDgDH/16BpZHOOPpXtQ8JT5w0ZH&#10;arI8GyHkqBQ8LLoT9cR4ouluOQDTl02UHOOOma9xXwdKBwo/pU48HzYyEx9Kt4OQvriPD005z746&#10;1ONJLNnB+mK9uXwZc5wE4qdPBl1jHlk+v1o+pMX1tHiA0lvTP4dKkXSHPbrXuieCLlj8sdTf8INd&#10;9dmB+tV9QZLxaPCP7J2rkj8aBpbFs/ka93/4QW6bkofwFKPANyRwrY+ho+pMn64eD/2STkYz+FMO&#10;iS9VGR78V74PAd8B8sbH8OtSr4C1L7pi7dMUfUA+to+f/wCw5T82PoKcmhyNww/z619CD4e6iTgR&#10;Hj2NaEXw9vTx5TZ45waawHUPrqPnVNAc9asJ4fY9Bz719JxfDDUpDkRn8u1alv8ACvUQMiJifpWk&#10;cDoJ45HzEugSDBAP+fwq0ugyE8rnv0r6mi+E+qEYMT+vAP8AhVxfhFqjHPkyH1wKv6kS8wXc+UP+&#10;EekPIyP504eHpxhlUn1r68T4P6qy/wCofj/ZNSj4NawBnyH/AAWq+peQf2hFdT4/XQJs52mpP7Bc&#10;Hoa+wo/gzrDE7reQ/hU6/BPVici3k/z+FH1PyJWYLufIEeht0x+dW49DZfmwT+FfYEfwO1lulvIc&#10;+xrUt/gRrTDBt3/I1osL5EvMY9z49g0qQEbc5rpLZb+JQsbMB14r67g+AetN/wAuzn8DW1F8A/EO&#10;AUtX/I/4VtGi10MpZhHqz44aPVSMoWp6x6jgfM34V9pp+z/4jbk2zfkauRfs7eIWIItm/AVSoPsC&#10;zGHc+J/JvT1LdPfvTo7C+PzLu/WvudP2c9fcf8e7fgtaMP7OWuDn7M/5U/YsSzKHc+EV0m+Y4IY/&#10;nSnR7wHIDZ981+gsH7N2vNjFs35GteD9mTxHIMR2rknjG0/4VaoPsJ5nDufnD/Yl4w+63NKPD92T&#10;0YV+mUP7KXi6XBSxuDnjiNv8K1YP2QvGsv8AzDbrHTIibn9Kv6uzP+1Ydz8ul8PXn91s9qX/AIR6&#10;8Iyyt+v+FfqtH+xx45K/Jpl39fJf/CrMX7F/juUjOm3X/flv8KpYWRLzWHc/J3/hHL09Fag+Gr7P&#10;Ctz2r9dYP2HviHOCU0q8PpiB/wDCta2/YH+JtwcJo2osc9raQ/8AstNYKfYj+2Idz8bj4ZvGOCpp&#10;jeE705O08V+3Vr/wTm+LNwuYvD+qt06Wkn/xNbcH/BM34zXC/L4d1Mf70BX/ANCxVf2fUfQh51TX&#10;U/CF/CN0f4Saqt4Mujz5TD8K/f8Ah/4Ja/GybpoF2M/3zGv82/pW9a/8EnvjXcYzo+zn+OeEf+zU&#10;/wCy6v8AK/uFLPKf8x/O2fBd3kgxN/n8KafBF4eBGfyr+keH/gkV8Y5cE2Fqn+/dRf41qQ/8Ef8A&#10;4qkDzYbBfXdcqf5CreT1v5H9xn/b1L+Y/mkHgi7Bx5Z/KpF8CXZOFiPXHQmv6dbX/gj748IxdSaa&#10;nY5lLfyWunsP+CP2pjH23UNOjPszf1ArWGR139h/cZviGmup/LSnw9vm5ETe2RUw+HN8eBEfyr+s&#10;jT/+CQmiAD7drFmvrhgP5kV2dn/wSU+GduAb7WLXHU4lQf8As1bw4erfymEuJafc/kOT4Y6jJz5L&#10;fiKtp8K9Tb5fJbn2r+w+2/4JcfAW04u9WsSR/fu0H9a34P8AgnJ+zFYgCa/0Zj6PeKc/+P1suHav&#10;VowlxNDoj+N6P4R6kRzC35f/AFqtr8INRYcQt+Rr+y+H9hX9lay/5baC3/A/Mz+prVg/ZE/ZPs+r&#10;aEPpbM//ALIa3jw1UfVGb4mXY/jBX4Oamf8Aliw98Gph8GdTbjySPbFf2mxfs0fskwYz/ZhH/TOw&#10;P/xur6fAP9kW35MVu3+5p5P/ALJWv+rMv5kZvibyP4p0+COqEY8pvT7tNPwN1ZufKbp2Wv7ZB8IP&#10;2SIfu2Svx308/wBUFL/wrf8AZVi/1eko2P8ApxXn88VX+rf99EviV9EfxN/8KG1YnmCT/vmpV+A+&#10;rg/6h/xWv7XP+EI/Zhj+7oMTf9uMX9WqzF4Y/Zpj/wCZciP/AG4W/wDV6f8Aq3/fQnxJLsfxPL8B&#10;NUbrA/8A3zmpP+FCasDkQP7kA1/bXHpH7OMRxH4ZjP8A24Wo/wDZjV5Lf9n5PueGkA9RaWw/rT/1&#10;aX86G+JJfyn8RKfALVmbAt5D9FNWk/Z9108LayH/AIASf5V/bgZPgPHzH4cB9vs9uKjN/wDBGPlP&#10;DAOP+mVv/hS/1aj/ADk/6yT/AJT+KKL9nTxI5+W0nIPpG3+FakH7Mfi6c4TT7pvpEx/pX9pR1z4R&#10;RcweFYf+BpAP5IaVfG/gO2/49vC9mPQ7kGPyhrWPDcV9sX+sc/5T+Nez/ZD+IV2QYNGv3z/cgf8A&#10;wrr7L9hn4u3pBt/D+onPQ+SR/Ov693+KWiRZ+y+HrJMesmf5RiqrfGHyv9Vo9gB7lv8A61dEOHaX&#10;WX4GUuIanRH8oNn/AME8fjddAKnh67+p2r/Miumtf+CZ/wAebrGNCZPTfLGP6mv6jZPjTegfu9K0&#10;8f8Afw/1qhN8adXx8mn6cvvtc/8Aswrb/V6h3ZnLiGr3P5p7X/glt8d5sZ0y1XP9+ccfkDXQ2v8A&#10;wSf+N0mN9vpqHp80zH+SV/RDL8Z/EmSUttOX/tix/m9U2+Mfi1j8osl5/hgH9SaTySgujD+36z6n&#10;4E2//BI34zS/ffS1z/tyHr9I62U/4I9/FqRcz3mlKfTEh/8AZK/dk/F3xqR8ssAz/dt4/wCoNRP8&#10;U/HD/euk/CCL/wCJqJ5Lh+xLzus+p//S9lP/AASe+NjriPTYyB/00Sqr/wDBKD47p93Ss/R1/wAa&#10;/oEXx542GMajdj23Y/pVhfHXjhv+YlefTf2r6dZBhrdT4RZ1Wufz2D/glR8dwSDo0uP9kg1LH/wS&#10;q+OrH/kCTA9P4R/Wv6C38ceNu+pXv18wis+Tx14vz82pX3/f5v8AGolkOHXVmn9uVT8JrD/gkv8A&#10;Gu4I8zSgpP8AfZf/AIquzsP+CPHxhuSA9rBGD/tqf61+1UPjfxa5wup3/wD3/f8Axrfg8T+N5gAN&#10;R1Aj/ru/+NbUskwr7sylnNfoz8a7H/gi58UbjH2l7WPoTgA/+zV19l/wRL8Ytg3WoIo9I4N3/s1f&#10;rcdb8aNyb6/9/wB9J/jUL6x4t6teX3P/AE2k/wAa1eT4b+T8TB5tiH1PzBs/+CJN5kG51S5+iWq/&#10;1auotP8AgifpUYAuNTvjx3gjH8ya/QyXW/E69bu9/wC/8n+NZ82qa/Jw9xct/vSuf5mqjlmG/kMp&#10;ZpXf2j4mtf8Agiv4WGDJqV5+KRD+lb9v/wAEXfA0WGm1S4HPORF/hX1S7apKcs0jf7xJqSKwvJhy&#10;mT15/wD1Vqsuw99Ka/H/ADIeY139s+Z4/wDgjb8LIuLnVpRj1aEVaH/BIH4Jx8Sa44x1/fW9fUsG&#10;hX7D7n6VY/4RzUcZ8s/lWqy7D/yL8f8AMzeOr/znygP+CSH7PkbZm8QNx2+12q/0q4n/AASj/Znh&#10;XM+uMff7bb/0Q19Jz+Hb8H/V8/7tVBol8nG0/lUvAYe38Nf18x/Xq/8AOeEW/wDwS2/ZRg4m1tT6&#10;k3sP9FFa9v8A8Ey/2OoSDJrSnHYXqH+SV7GNMvVOMGtC30m+k6AmsvqdC/wIPrdd/bZ5da/8E6v2&#10;L7UbZdRd8cfLMW/9BjNaifsE/sP2337m5boPlMx/lEa9Yg8OahJ2bP0rYg8G6rMAERz9BVLCUb6R&#10;RDxNb+dnkEf7En7D0I4N0+Pecf8AtMVpQ/sgfsR2wBWzuHP+0Jz/AIV64vgHWSOYX+uDQ3gnVIh8&#10;8bAe4oeDor7K+5ErEVes2eYp+zD+xHbfL/Y0z/8AbKc/+z08/s//ALFtsP3Xhtn9jE/b/ekr0IeE&#10;rx22hTn2FNbwBq0jfu4pDn2pwoUukU/kgdeq/ts8+HwX/Y9hJ2eEVYDpmFD/AOhS1Ivwu/ZJgP7v&#10;wZGcetrbf1kNdvP4A1S2G+SNx7la5HUNFmtzhqKlOmvsL7gVSp/Mye28CfsrQnEfguD8bW1/+KNb&#10;sHhb9mSAAw+DLXj1tbYf41wkNnJux/n+Vdfpuhy3OAOeaSdL+RfcT7Sf8zOih0f9naLmPwVY+37i&#10;3/8AiKvpafARB+78E2H08q3A/wDRdX9O+G+rXmDDGxB6cV2Vr8GtdkXc0RA9wa0cKb+yg55dZv7z&#10;hhH8EF6eCNO/74g/+NVMJfgyn+q8E6aP+AQf/Gq9BPwe1ZcZRifoeKjb4R6uq8xt+VJ04dkP2j/n&#10;/E4IXnwnU5j8HaWP+ARf/GqlGq/DaM5g8JaUPqsf/wAarorv4c31oD5g249q5+bwxJGcEVLcVukV&#10;dvaT+8lTxR4PhObfwxpi+mGA/lFUreO9HXiHw/YJj/bJ/wDZBUNn4Wkum2oOp9K7bTvhRf3qgqhx&#10;64rWNSPQl+bOJb4gwrzHo2nDH94M38sUxfiPdJzFpekgephcn/0OvVv+FHX7puXFZj/B2SI7Z57e&#10;P/rpIq/zNX7f+8vwJa8zg1+Juqr92w0tfpAf6tUw+J3iAYMdvpq+mLYH+tddN8LrC2BMmoaeCOcf&#10;aIxj8yK4XWLLw3on/HzqWnLjubmL/wCKrKVZb3uLl1saP/C0vF+PlNovpst0H+NQt8UPHB+5couP&#10;7sMf9VNcVH4u+GsUhS917RIQv3jLfQJj67nGK6S28Yfs+EYvvHXg6Bv7sus2St+RlzVQq31CVJIW&#10;b4j+PHyWv5PoIoQP0jrPk8ceNn+b7fcj3XC/yAqS9+KH7LlguZviB4SP/XPUoZOn+4xrznWf2jf2&#10;T9NY58feGjg4+W53c/gppVKyitGONO+y/A7Cbxd40YYbUb4+3mt/jWJc+JPFD/fvr0/9tnH8jXl1&#10;3+1z+yXak7/HGiuME/ujLJ+WENcdqn7bf7H1quf+Evgf/rlZXkn/AKDAa53jFtc2WFn0i/uPZLjX&#10;ddz893dn/emkP82rJl1TUJCfMmmb2Lsf618vax+3z+yLDnyfElxLg4xHpWoj9Xt1H61wNz/wUO/Z&#10;WtmO3U9WlA6eVpsvP037axeNXf8Ar7y1gqj+y/uPtUyTSHJLZ+tWore6l4Xd+tfBMn/BTT9lWzIA&#10;PimTHdNMTH5tcD+VTwf8FY/2X9OP/IM8WTgdcWkEefznP86qGYRtuV9Qq/ys+/F0i8kHKn8qk/sG&#10;825CEfhXws//AAWY/ZVsYsR+EfGty+eirYxj82uD/Ksy6/4LX/s6BB9g8A+LCewmuLFAfxWRv5Vp&#10;9eh/MvvD6hV/kZ93yaLfJ/yzP5VmS6dfLxsYfhXwk3/Bbj4GqnzfDTW5CPXVrdB+kDVzl/8A8FuP&#10;hEM/YvhVqLc8eZ4hiT+Vi1N46n/MvvE8urfyM/QN9Ovf7r/TFQ/2bef3G/KvzYu/+C3PgjrafCph&#10;/wBdfEAf+VitYkn/AAW+0lGJh+FtifaTWZTn8Rbito46l/Oillld/Y/L/M/UddHv3OFR/wABVmPw&#10;5qj8hG9uK/KNv+C6lxb4+y/Cnw+ef+Wur3J/lEKpT/8ABeXxUnFr8LPCKe76heP/AOyrUSzKjtcF&#10;ldZ/Y/I/XFfCmrP0ib8qm/4QvWCM+Wa/Gu5/4L2/FVSRZfDvwREOwaS9k6f9tFrmL/8A4Ly/Hybi&#10;28F+AIvTMF62P/JoUPNKH8xUcqrdY/kftq3hHU1+8jfhU8Pg7U5ThUavwNvf+C5P7Tc7HyfD/gCM&#10;Y7afeN+pvqyh/wAFxP2rYRmDTfAyHsRpc5/9Du2qHm1L+Y0WUVv5T+h+P4f6qV3bDVafwXqMA3SK&#10;eOtfzsX3/Bcj9sa5H7o+EYB/0z0dD/6HI1cBq3/BaD9tHUAVOreH4gc/6rRLTP8A48rVz1c2p9GW&#10;smrdj+lCTQZ0bac+4qWLw3cTnaoPNfyyX/8AwVk/bKvHL/8ACSWKf9ctJsV/9pVjt/wVN/bPkbfH&#10;4zlh/wCuNhYr/OA1zrN0WsirH9YA8GXv8SmrkPw/1G5OI0J+gr+SG4/4Kg/ts3GQ3xC1YA9BHb2K&#10;/wArYVVi/wCCnH7bcPMPxI8Rp3/dGFCP++IhWlPOYdSv7Cq+R/Xp/wAKp1hwB5Lfkary/B/XW+7B&#10;Jx6Kf8K/kMn/AOCl/wC25c/8fHxR8ZD/AHL94/8A0DFZM3/BRP8AbHnTbL8U/HWPT+2roD/0YK64&#10;59S7MbyKt5fj/kf2BL8G/ETci1lx/un/AApG+DHiL7xtZvwVv8K/jauv25v2ob4n7d8SvGkmRz5m&#10;t3Zz/wCRa5m8/a6+N95lr/x94pbPXzNbuuv086m8+pdE/wABf2DVZ/ZzP8H9fhBMlrKPcrj+dZo+&#10;Gl+j7XjKnPOcV/Fjd/tN/EO5z9s8Za5Jnr52sXDZ/OauWufjzqdyc33iS4kz3l1Bm/PMlYVc9h0N&#10;o5BVP7j4Phbdbd7eWo9WcCop/A2m2rbbm6skPo00Y/8AZq/hdm+M1gwIuNcib/evA3/s1ZE/xf8A&#10;Dqkedq1mT7zqf61y1M7g/wDhy1w/U/pH/9P+hQ/ts/8ABO6Ll/iFCccfLpl8f/aNVpf29v8AgnNZ&#10;jnx5I+P7mkX5z/5Br+HuX9ojTW5js7rB6/Og/wAaov8AH+0blbK464/1y/4V3rimP9f8MeFDhGp5&#10;/gf2u6//AMFGf+CfFtEVsPF95MccY0a/GfziFeDa3/wUe/Y480mx17UXXsRpV2P5oK/kKl+O1sf+&#10;XOXP/XUf4VnyfHCJ+VtHH1l/+xrCpxNFvdfibw4Rn1u/uP677P8A4KW/sjWkweXVdXdfRNMn5/PF&#10;eqaF/wAFXP2JbUAX914hI77NLY/zcV/FoPjgc/8AHscH/pr/APY0w/HKRDxajt1lP9FrKPEkU73/&#10;ADLlwjK2z/A/uLH/AAVv/wCCfwTr4xkP/TPSU/8AZrgVzmr/APBW/wDYgMZGlWfjZ29W021Ufrd5&#10;r+JZfj3cxjC2g9OZT/8AE07/AIaHvkGVs0PofMb/AArWXFaejl+BnHgyfn96P7HL3/grF+zBI2bX&#10;SvFpHPW0tV/9ujWav/BWf9m6E5GgeKZPbZarx/3+Nfx7/wDDRWq7cR2sIHoWeoW/aH10L8sFoPQ/&#10;vP8A4qs48S0/5vzK/wBTZ32/FH9jf/D4T9l6zH73wd4vmYektkgP5uacP+C1f7NVrxbfDrxPLj/n&#10;tqFon/oIav42ZP2gdfk+UwWue5Akx/6HVNvj34iIwsFsPfa5/wDZq1XF0EtJfgV/qVJ7r8T+yG8/&#10;4LlfBqEZ0z4Y6ngdPO1aFf8A0GFq5if/AILv+FIyfsfwsDjPHm69t/lZNX8frfHTxE+AY7ccf3G/&#10;+Kqu/wAa/Eb9BCB7R5/m1Q+Me0vwNY8Dd1+J/XPqX/Bduwuoylr8KrCI44Z9dlf+Vmtecal/wW51&#10;2Yk2fgDRYu4EmoXD4/KNc1/Kw3xi8Tv0ljHt5I6+vWq7fFrxQTxOvXP+qWsqnF193+BrDgj0+9n9&#10;PV1/wWk+I8rH7J4L8ML6eZcXjfykWqa/8FpfjAgxB4S8Hoc9c3zfznr+Y4/FjxWek2PcRr/hTf8A&#10;havixuBcN0/uJ/8AE1yvidM3XBS7L72f07r/AMFtPj5DhrXw54PX2MN03856vxf8Fzf2nIMG00Xw&#10;Qn+9Y3DfzuRX8vDfE7xa+CLqQf8AAE/+JpP+FmeLe93Lz3+UfyFL/WlrZ/kV/qRB6NL72f1Hyf8A&#10;Bdj9rp+IrHwLF2/5BMzZ/O7rGvv+C2/7YWpIVYeC4snrFo7g4/4FctX8w/8Awsfxe3AvbgfRsf0o&#10;HxG8aKeb+6H0kP8ASk+Kd9WP/Uen2X4n9KQ/4LBfteyTCSO98OxnOcx6Un/szNXQp/wWY/bXEPl2&#10;2s6FER0ZNFtCf/H0av5jF+I3jXGRqN5n/rq3+NH/AAsXxrn/AJCN79POaoXEzW1/wNf9SKb7fif0&#10;sX3/AAV1/bi1UFbjxVYBT1VNE0wfztjXF3P/AAUc/a41dt934oXnr5emaen/AKDbiv53R8Q/HBAx&#10;qd6PXEzf40x/HXjSb72qX/TtcSD+TUpcTS2uzRcEQ6cv3H9D0f7eH7UU7bj4onX/AHLW1UfpFXQ2&#10;X7df7Va7Xh8ZalGR0MUVuv8AKKv5uR4t8WscNqeon/t6l/8AiqhfxD4mlb5tQvvxuJD/AOzVD4ll&#10;5/eXHgiHdfcf0/2X7f8A+2WMLD8QfEKDH3UMAH/oqtiP9ur9sG6+ab4g+KSD6XAX9FQCv5YJNV15&#10;zte7um92mc/zNVHutQYfvJpWPu7H+Zpf6wz8/vLXAsP5l9x/VcP2xf2pLlhJcePPFX1/tCVf5EUh&#10;/ar/AGhpjm58f+Kh6k6xcL/KQV/Ker3WcmRsdDyaXfdHozfmcUv9Yp9n941wJTX21/4D/wAE/qrf&#10;9pD4uXPzXfj7xJk9m8QXQH5eeKhPxz8aTHdd+N9VY+suvTH/ANCnr+VwLKRiniF2+8AapcQy7fib&#10;R4Fh/wA/PwP6pG+Nersf9K8aSnH/AD01vP8AOaqVz8c7UfLf+M4sDj95rS8f+Rq/lp+xIxyUT8QK&#10;U2SIMIqfTA/wqY5/N9PxNP8AUWlt7T8D+nWf46+BWYyXfjPTd3cvrCZP/kWufuv2gvhBHn7X448P&#10;jHUSaxCf/atfzVm3I5AX8BStbSjjP9KP7emun4jXA9H/AJ+fgj+i+7/aM+AbE+f4z8OyHuVvopf/&#10;AEFmrlbv9o79nCEHPivQhz1j3N/6Chr+f1IGH3ifzqZbXPX61Es9qdUaw4Jw/wDz8f4H7vXH7Uv7&#10;OETYXxZpx4/ghuW/lCa5y7/a0/Z5Uny/EcTj/pnaXP8AWIV+I62+0dcUjxYXj/P61nLOp/yo3hwZ&#10;hl9t/h/kfsje/tefABM7dZnb/csLlun/AGzrj779sH4GHi31DUH5/gsJ1H/jyivyUeDIyM+9Q/Z8&#10;njIrKWcVOyN48G4X+Z/ev8j9Q7z9r74Pn/VPq0n+7aAf+hOK5W7/AGufhg2fJt9bf0/0eED9Z6/O&#10;U2vGR0+tMa1Poaz/ALWq+R1R4Swfn95963n7V/gRhujsNVP+8sS/+1DXL3X7VPhQE+XpWpH0zJCB&#10;/M18Wm1duoprWkmOKX9qVWD4Vwi+y/vPrK5/ah0hifJ0i6wP786f0U1iz/tNwM37rSG/4FcgfyjN&#10;fMJs2zyB7VAbN+mPyoWZVu4Ph3CL7H4s+kJv2lZGBMelRr9bgn/2mKzpv2kr7PyabDj3lb/AV8+N&#10;ZN06+tV3sm/iHenLMq/SRMsjwq+x+Z71N+0fqpB8vT7f/gUj/wBKyJ/2ifEhP7uzs1/77P8A7NXi&#10;hsJDzio2sW79fSoeZV/5jP8AsXDW0pnrsv7QXjCT7kNkOemxj/7NWfJ8ePG7D5RYr/2yY/8As9eX&#10;mxbPQ8VXNm4ycH6Uo46t/MwWUYf/AJ9o9Kk+N/jl+C9p+EJ/qapS/Gfx0x/10I+kS/1rz82Uhbof&#10;Q1G1gwGMGmsbW/mD+zaC/wCXa+47hvjH46IwLmMf9sY/6qaoSfFvx0c5vR+EMQ/9lrkDZH7pHFQm&#10;xY9R0pfXKr+0xvA0elNfcdXJ8VfHR/5fn/BEH/stVG+KXjggj7dLk9wEH/stc01kw4xSfYSeMdPS&#10;oeLqbcz+8n6nR/kX3I22+I/jeT/mIXHPuo/pVZvH3jKQfNf3X4PjP5Vlixfo1PNixHSp9vUezBYa&#10;nuoIst4z8WPkG9uv+/rVUk8V+J2O37def9/n/wAaeLLnHFMNgSO3+fwpKrPuP2MF9lFV/EPiFhlr&#10;u6P1mc5/Wq76rrMnJubgnr/rW/xrU/s7OTQdP/8A1VHtJjdOFtjEe81B/vyzHnn5zx+tNMt1J9+S&#10;XP8AtMa3Dp+eg/E0v9ntjOKHKTM+WKexzj+awIy2Pc1EIWOMjj2FdR/Zz8ZHX2pPsGM4B9Knnew7&#10;I5ryGGcY/Kl+zsCc49OgrpDYndjB9qcumMegP4U7SEcyYJMcY5z6UjRScdPyzXVnTHA5HUnpUUmn&#10;cdD19M1TixOSP//U/nZW24Gfyqb7IWGB+HNfrH8dP2TP2GdGtLi++BHxu1HVJEVmh0/xB4QvbUuR&#10;0T7RA8i/8CMY+lfnqPA0kBKSSLIVYgmNW2kDoRuwefcZr5N4OpHf9D6Olj6c9meSGxYHPNMaxJPQ&#10;169/wh0yfdXPtS/8Incd4iKzdGaNPrUd7njf9ls/K4HsRTG02YAjH4+1e1r4QmbgxNntircXgm8P&#10;Kxv+X/1qn2Un0B4yNjwf7A3emfYXxjjgV7//AMINek8xE+5U1XbwDdM2fKIz7U3hpdhrHQR4OLB8&#10;cD8c0v2Bgv617w/w+vivEXH0qk/w61RDlYz07ipWHn0Rax0H1PEVsz3FP+xkdK9gfwFqgbLQEd+l&#10;Vm8Fakhx5Z/KpeHlfYpY2DW55SLNiMkVKtkAOe3WvWI/BOoP/wAsW/AH/Cri+AdSPIgY8/3SP6U1&#10;h5di/rsEtzxw6fk5XFL9iYDmvcIvh1qjnPkvx2Cn/Cra/DbVm/5d5PT7n/1qr6rPsT9ehvc8GS0B&#10;IGKsJYHqQa9xb4a6tnBt369dp/wq1B8MNbYgx28p6dEo+rT7Gn9oU+54aunseCD0zUgsmb7wP419&#10;Cp8LfEBXm0n9c7Mf0pj/AAv1/O37HNntxT+qz2sJZlT7ngK2BbjGRUn9lE8gGvfV+FniHG0WkoJ9&#10;RV2L4VeIf+WdpN0HO0/4Vf1Kb6CeZ0+587/2U/YZHrTxpcmehxX0xbfCLxLLxLbOP+A8/wAq2Yvg&#10;zr5X/j3kP+8tWsDMh5rTXU+UBpcnQij+zW64P1r63PwV8RYyLV/wU1ny/BzxJGTm0l/75Iz+lS8D&#10;LsWs3pdz5bXTJD1BqRdMccEGvqCL4NeJG+UWj5PqMfzqVvgv4qXn7K2PYZo+oy7F/wBsUlrc+ZU0&#10;3J+ZWNWl8Po4+UOD7V9NW3wT8VTEKtqx/L/61bB+BfjSBBKtjOQR1EZI/MVawMxPOqf8x8nf8IvJ&#10;/BmlPha+ztRST79q+ubb4M+OSNqWM3tlCPyOK2ofgn8QlG9bGU/RTWn1B9gWe01u0ee/Ar9hj9q/&#10;9o/T7zWfgv4B8S+IbKxuBbXN3YWxaFXIyAGYqCCOQRwfWvqXTv8AgjL/AMFGb0AJ8KfEqAnpL9ni&#10;/wDQ5lr0D9nn4i/td/sxaxLrnwT1XVtBnuE8q5W1QNFMvo8TqyNjqMjrz1r7LT/gof8A8FRrvk+N&#10;NbU4B+W0t1H/AKJqllveT+4wqcQtP3WrHxDZf8EOv+CkN5JhfhnqceO817YIP1ua62z/AOCCP/BS&#10;O5AP/CCJGT083VtPX8/35r6qm/bt/wCCoV3yfHniVc/88oYV/lDWXP8Atn/8FQLjr8Q/GPts2p/6&#10;DGKpZdFfaf4GP9v1H1R4paf8G93/AAUgufveFdJiH/TXXLAcfhKa6C1/4N0v+CiM53TaR4bh7Yk1&#10;u3P/AKBuruH/AGrv+Cnt+cP8RPHec9I7iRf/AEFRV+L45/8ABTnVcK3j74jtnj5Lu6H/AKDirWXQ&#10;as2/wMpZ7U/mX4mJYf8ABtv+3tcAfan8GW+evmaszY/74hauysv+DZv9tKcqbzXvAMAPXN/duR/3&#10;zaf1rObxT/wU21iQb/G3xQbn+DUdQXP/AHy4oXwn/wAFJNYP+k+JvijMD13X+psD+G+rWWwfWX4f&#10;5Gb4imvtr8f8z0Gz/wCDYf8AajlT/TfGngWI9wGvX/X7OK6i1/4Nd/js2DefEXwZGO+y2vn/APZF&#10;rxtv2fv+Cg2rrm51H4lT+mbjUz/7MagP7Gn7dGpcyQfEKYt/eOoMT9cmtI5ZDz/D/IylxDN7TX3M&#10;+jLT/g1/8Ww8a58WfDcGRz5WmzN/6HKlY/xJ/wCDcXwB8OvhxrnjjXfjfpwfSNKub+O2h0iP99JB&#10;GzpGC18Dl2AUYBOTXz43/BPX9uPUn+fQvHkwPd4bxh+tQN/wSu/bG1kbb3wl4scdczWsvX/geKt5&#10;dB/Yf3kriGd/4v4H4Sa34Fi0bU59Lt5jcpbytALkr5fm7CVL7MttDYyBk49ayf8AhGRjpk1+9qf8&#10;EbP2rLg7v+EP1wEnPzwY/ma3LH/giv8AtVy8t4T1Nc93WNcf99PULKm3ex3PiqC0/Q/n7XwnKy/L&#10;GSD0zQ/hCbGduMiv6OrH/giL+1DcIA+gXMeeMPLCP5yV2Fh/wQz/AGjXwZ9JjXnq95bj/wBnrZZU&#10;2tjKXF0EfzFHwjKThUY/hSjwZcOeEPX0r+p23/4IQfHu5wHg02AkdZb6Pj8t1dBbf8ECfjSVAuL3&#10;Q09Qb3/BKf8AYjfQ5ZcY0+5/KMfBFxn/AFbflVWXwdMrbSh6dhX9bsH/AAQC+JLYE2qaEh7n7USP&#10;0WteL/g3x8YSpmbxH4eRj1y0rY/JKqOSyfQylxlS7n8gn/CJT/e8tj6cVXk8Lzj+Bq/sPT/g3l8Q&#10;lf3nirw6PfbMf/af+NMf/g3rv4Ti58YeH0+kM5/klH9hzeyMZcY0e5/HK/heYnhTTP8AhFrnuh+t&#10;f2X2f/BvNHcDD+NdFAH9yznbB/HbXQW//Bu7oy/67xxp/wDwHT5T/N6HkMuof65UbaM/ixXwndEZ&#10;WPr7UjeELs87B9K/tph/4N4vCqjDeN7b1405/wD45WpD/wAG83gTObjxqn/AdOb+stH9hyZH+t1N&#10;9fy/zP4eG8H3J4MY59qgPg26zzH39DX90cf/AAb0fCPGbnxrOP8Ac0wH+cwrTh/4N7fgEhHn+MtU&#10;k9RHpkS/qZjVf2FN7Gb4yop6v8V/mfwkHwdc54iP5U8eDrkn5Yj+Vf3jj/ggB+zFaqGvvE+vPjut&#10;pbp/NjVyD/ggz+ySo+fXPE8gHUrFaL/Q1pDhyo9UZS41o9H/AF95/Bb/AMIVck58s9auw+AL2QZE&#10;J/75r+9qP/ghp+xlZfNdal4sfPYG0X/2lXSaZ/wRF/YrI3KfFsw/6724/lDW/wDqxVtdoxlxtSR/&#10;AYnw91AjJgxz3xQPh3fnBML9ewr/AEJbT/gif+xRAo/0LxM/+9dwj+UVakf/AARo/YbgBNxo3iGT&#10;H8TXyAf+OxikuHG+pjLjemf55P8AwrfUW6RNz2K1MPhpqTHPlOeewr/Q/h/4JAfsIjiPw5q8h99Q&#10;P9Eq8f8Agkl+xDaruXwjqDgd21KQfyWtP9V57fqZvjemf53S/C7VnHEEmfXaaX/hVGtMCPJcH0x/&#10;9av9EGL/AIJdfsNW7bX8DyuemX1O4/pitKP/AIJmfsPxj5PAMf8AwPULk/8AswrVcH1v6YnxrDsf&#10;52P/AAqXViB+6b8jVVvhVqSn/VuTn8P5V/ol3/8AwTj/AGK7GMyRfD62Ygcbr25Ix+DivINe/Yn/&#10;AGPtLYrb/DjSGOTjzLi+b+U4onwnOPxNFLjFPaLP4Fk+FWpDnySc+2avxfCfUpCAsMvXnA/+tX92&#10;Nt+yb+yzHJ+6+Gvh0j0YXjj9bivTfD37LH7MLOFj+GfhQk4Hz207f+hTGs48LvbmX9fIHxe/5Wfw&#10;Jx/B/Vun2aT/AL5NQz/BzWzylrKR/ukV/ow6X+yL8CI7cT2Pww8FgY6vpxb/ANCc1y+v/BP4P6TI&#10;LeLwB4Hi55A0aBj/AOPbjW0+EmldysZvi1/yn//V/UX/AIh9PEJX/S/Fvh9B3IW5b/2iKig/4N/L&#10;cybbjxtowOf4ILhv5xivQNU/4LHfHzUFMR8OeEoYz95R9q3fmZv6VyJ/4KzfGNZPMTQ/DCN6tLcM&#10;P/Rgr08PhsFb35fcfLyq47ZLT+vM3LH/AIN8tCwGufHFljjOyxkcfqVrbT/ggN8N7VduoeOhnv5e&#10;mH+stcen/BYT49WbE22m+EF4/jE7D6/8fArnNV/4K8fHrUG3y2/g2M9flim/rd1UaGCT1d0ZueYv&#10;t/XzPcrD/ggZ8H5FGzxpcOR/d00D/wBq10UH/BBH4SRjH/CW3R9/sA/+O18sW/8AwWJ/aE0cN9ll&#10;8FKD1327sf1uzWff/wDBbT9paAZXUvBEfoBaR/8As05rGt9WT9z+vwKpUsa/jlb+vU+yV/4IKfBt&#10;/wDWeKrw/SxX8f8AlrVlP+CCHwRDbn8U6gfb7Eo/9q1+fWo/8FyP2pI+I9f8Gxf7tnbH/wBCkNcP&#10;f/8ABcX9rUyFo/F/hSM9RtsNPPH/AALNc/PR62/r5HYsPiFs393/AAT9Vrf/AIIN/AZCDL4j1Fvc&#10;2SH+c1WR/wAEFf2c2OZ/EWrn2jtI14/7+GvyBu/+C6f7YUeQvjfwwv8A3D9M/TKmuTvf+C6X7YTH&#10;n4g+H1P/AEzsdLH/ALTqXOj5L+vQ6Xh69tE3/XqftW3/AAQa/ZZiXNzrfiF/dI4V/mTXF6n/AMEY&#10;f2LdDl8u9vPFU5B5KNaJn6blb+VfjDf/APBcT9rW4QpN8R9MAI/5ZWmnD9RFXmmq/wDBYf8AaO1E&#10;l7r4jQE9fkgsv6RGuilWwaXvas4Z4LMZS9xNL5n9CXhn/gjT+w7q5AQeLSc/xXVpj9LevU7f/gin&#10;+w5bfNJb+Inx133cP9IBX8wMP/BYz9pXTsiy+KM0HvDFZj+VvWfqH/BZr9qK5UxzfFnU2Gc4UQL/&#10;AOg24p1MVgdOXT7gWW5pf3fyf+R/VpZ/8Eaf2G48GPSdZlHo16B/KOuhg/4I/fsMwD5vDOoSY/v3&#10;8n/soFfyIN/wWS/ajjGyH4t68oHTy5Nv/oMQrNuP+Cxv7UUxKyfFvxV/wC7mXP8A3yorneMwyejR&#10;2UsozBx95O/p/wAA/rh13/gmF+wl4YwZfBLy5GR5mpXA/QVP4Z/4JwfsN63J5dl4CVSOTt1C4bH5&#10;mv47NR/4KufH7VSWv/ir4xkPr/aV6P5EVlQf8FTvj3YN5lh8U/G8RPUx6tqI/wDZ66f7TwCjsr+v&#10;/BMVkWZve/3f8A/t7h/4Jb/sWhQP+ELI4x/x+TH+tXR/wTB/Yst/mPgpD/vXU2P/AEKv4fJv+Crv&#10;7Skq7G+LXj5gc8HV9SOf/H65yX/gpr+0FqDCGb4l+O5tuSqjU9QYj6DfXE8fhr6v+vvO55BjeX4X&#10;9y/yP7r4f+CZ37FRIK+BLUketxP/AEatiP8A4Jx/sX2i5b4f6ew/27i6P8pRX8FT/wDBRX48yAtL&#10;44+IUqt1b7XqbjH13Vlzft9/Fa7jJvfFvjmRSf47m/xxx0LCtfrWHez0/rzMFk2Mta2vov8AI/v1&#10;g/YG/YwibbB8PNGz2y9y385TXRw/sJfsmhQYvAGiD/v9/WSv87S+/wCCht7pN2bTVPFnimKfAYrJ&#10;cXobB6ZO/vWjaf8ABQbWNRh3af4q8US+yXtxkfgZgf0qamOwq2l/X3m2EyDMX8cW/RL/ACP9EQfs&#10;LfsnL83/AAgehDHr5v8A8cqrL+xn+yHY/wCt8EeGhj++rMB/309f53837b3iSbIfW/FLA9d1zLz9&#10;czVhS/td3lw2Zr7XZfXfKx/nLWCzLDJ/Ev6+Z21OHMe17lNp/wBeR/o1W37KX7IcXzR+CfBo/wB+&#10;2hYf+PE1af8AZw/ZJsVLjwd4FXHUmytTx+Ir/OOi/axtwP3j6u/scc/nIasJ+1Xo5OJINQbnnKpn&#10;9WpxzHC3u2T/AKs5m425Hc/0XLT4S/shLIVi8M+AY9pwSbOyX+Yre/4QL9kvTwC2lfD2H/ei09R+&#10;or/OQi/au0ReVtdQz2wI/wD4uriftcaOnWz1L6Axj/2ernmWDv7rsTQ4VzWKtKDf9ep/ozLoP7Jg&#10;GFtfhuB/uab/AIU9dO/ZKt/n8v4bJ7ldMr/OgH7XWjFv+Qfqh5/vRf8AxdWo/wBrvRQcjTNTPuXi&#10;/wDiqyea4XpI9CHCmZvai/vP9Fb7b+yPCcC4+GiH/e0sf1p7+I/2TLUb31P4bRDsTNpaj+df520f&#10;7XuiA4Olagee8kX+JrVg/bB0YDjR70/WaL/CsZZvhukjrp8FZtLbDP8A8C/4J/oaL4+/ZNj4XXvh&#10;sv0u9LH/ALPSS/F39lXTgSvij4foQM/u7zT+3+6xr/Pej/bJ0iE/8gK6bjvcRj/2WryftuaZH93w&#10;9cn/ALe4x/7SNKOc4b+b8P8AgGr8P86ktMM1/wBvL/5I/v5P7Tf7MFtP5Efi/wAIL7pdW2381OP1&#10;q637Uv7LEKZn8c+EV9cXkB/ka/z+W/bmsU+74ZnOO51BB/7bmmn9u6NT8nhd/wAdSH/yNWs89wj2&#10;lb+vQww/hnnkW3Ki36yj/wDJH+gK/wC2H+yXYqDJ8QPCqD/ZvIv6VSl/bk/ZDgO1viF4fOf+ec5c&#10;fmqmv8/5/wBvC5HEXhpQf9q/J/lCKozft26w4wnh63Hpm7c/yQVh/bWF6z/r7juXh7nVtMOl/wBv&#10;L/5I/v5n/b3/AGPYpCjeP9NOO8aXLD81iIrDuP8Agol+xhb5Mnju3OOu2zv2/LFuc1/AbN+3P4nl&#10;H7vQNOH+/cTH+QFZVx+2t4zmGE0XSl/7aTnn/vqhZ/hV9p/18iv+IZ5zL/lzFf8Aby/zP72dQ/4K&#10;afsX2vzW/jKSbPRU0zUs/wDj1sorIb/gqb+xZbrmbxHfSH0j027/APZkFfwNXX7YfjyXJGnaWv8A&#10;3+OP/H6566/a2+I0udlppC/WKZv/AGqKt8SYa1kYQ8I83VTnkl6c2h/fTf8A/BWv9iO166vrUg/6&#10;ZabKf54rkLn/AILJfsQWpYef4qfH9zSjz9CZBX8FFz+0/wDEmcY26cv+5bt/7NIaxJv2g/iNcdZL&#10;UfS3X+tZriSj0udy8JcfJ3koff8A8A/vRvf+C1/7FVsAYYfGM3qF06Jcf99XArltR/4Lmfse2pxB&#10;onja44/htbNf/Q7sV/CJN8cPiJIMPcwDJzxbx8fpWPcfGT4gSdbxB/uwxj/2Wh8TUeif9fMp+EON&#10;+04f1/26f3TXf/BeD9l+Mn7H4S8ZOB0Mv2FP5XD1ytz/AMF8vgLHnyPAviNyOga8tlz+jV/DTN8W&#10;PH7NzqEg9lSMf+y1ly/E/wAfOSf7SnHPQLH/APE01xNT7P8Ar5nLPwlrr4pQ+7/7U/uGuv8Ag4E+&#10;EMRAtfhtrMnHPmavAn8oGrCuv+DhjwEin7H8MLwY6ebrcZ/la1/D9c/EHxxIctqVz+G0fyUVly+N&#10;/GTD5tTvufSUj+WKX+s0P5X/AF8yf+IXzX2or0X/AAD+268/4OJdLhXNv8Moye3ma0f6W1cdqX/B&#10;xXqH/Lr8LtM4/wCeutSn+VrX8WM3inxW/L6lf/8Af+T/ABqjJ4h8Rty1/ek9f9c/+NQ+Jktof195&#10;cvDVtWlNfcv8j+zS5/4OLfGgUiz+GugRntu1W4fH5QLWJJ/wcWfFhSWt/AHhcDHG+6u3/ltr+Nl9&#10;Y1w/8vt3z6zP/jVKTUtWYbftVz+Mr/40nxS/5TJeF8E786+5/wCZ/ZDcf8HGnxxQH7L4F8GKexdr&#10;1v8A2sK5u8/4OOf2lycWfg/wAg9Xgv3/APbta/j4a81E8G5uD9ZG/wAaqvcXpGWnm/7+NWL4n/uH&#10;QvD5LT2n4P8AzP629a/4OJP2sNQiMcGgeA7bPGYrO9J/8evDXHJ/wcF/tj22UgtfBqjrzp8zY/O4&#10;NfynFruRtiySsx6AMSax9T1mw0olNQuT5uOLeImST/gWOF/E59qt8V1LcqX5f5BHwwpz9+/zf+dz&#10;+qTWP+C+v7aeq5Dy+E4l/ux6X/8AFSmuYP8AwXe/bfVTFb6t4ahGMfLpEBPPuzGv5Uz4k1C4G63C&#10;nnjAY1nT+J9YhcrLFu44IXj6fez/ACq48TV9kcMuA8NHpf5f8E/qZvP+C4X7bl6d1x4k0ND6x6Va&#10;D+YNaFl/wXV/bo0+AQQ+L9IjUdP+JVYE/m0Zr+U8+J9UbkRjnpx/9eoW1/WieHUDPTYuD+tOXEde&#10;Ss3+ILgnDaWj/wCSn9XMv/Bdz9u2X5W8d6bGP9nTNMH84jWPf/8ABcD9uC8jKz/Ei2VTnIjstKX/&#10;ANt81/KjJq+uPg/bGT12JD/UE1PFf67KAEnkbA67YufrhcflURz+p0HU4Mote8n93/BP6gn/AOC0&#10;X7ZgYuvxOZMd0h0xf5W9VLv/AILSftmTx+VJ8V7pQf7gsEP5rCDX8xsC+JpGP7+UjtkRdPwQfzrb&#10;tLbVA265uXPXA2qf5AUPiCs3q/xMYcG4f+X8Ef0S3n/BXr9rG5JeX4t6qhycmO6hT/0FBXL3v/BW&#10;L9qi7y0vxj8Rgf8ATPVGUf8AjuK/B+BYkH713PHXjrVedvmKwNLjHOcUnnld/a/E2XCGGWlvwR+2&#10;+o/8FOv2jL8Mt78YfFbhuoGsXP8A7K1ebaj+338SrgbdS+KXiRu3z6xef/FV+QhNwTjMgB9WA/oa&#10;x5NIs3l82YFjnJG44NY/2xV+1L8zdcKUEvdX4I/WuX9ui/Llrz4l6+5PX/ibag38nq5B+28l0mV8&#10;feIpgMD5b/UWA/NulfkYlhp8fKxJ+IzVuNoYlCxhVGe386h5pU6Fx4XpX1/r8D9dT+2zp5XF14u8&#10;RyDuTPet0+rVRm/bN8EvzeeINckOeC/2luvuXr8mWnGDg9qgE+W59P8APWk83rLQ1lwthl3/AAP/&#10;1v5s18QX7HDXE5H/AF0Y/wBae2t3jdZpT9XNcTF9qABYAdqsB5lGD3718VGo+5+rPKJLodWdUuG/&#10;5aOR2+Y9ah+2sQd3455/nXPK7fdGePWphLngnik5th9Qt0Nk3S9cD34FOF2DyMAegH/6qxfN3Hr1&#10;p+/HQ/SpF9VfY2DOkqlZOhHIAxWQ+kaZKfmVx/uyOOn407f8uM04OANoP5UObWxTwsXuTW1haW7h&#10;o2l9su2PyzWx5ueFzWQGPepkck4NK7ZpHDpKyNVW45/SiReMgn8K+rv2Uf2W5v2ote1Dw7beMPBH&#10;hGWwtUuVuPG2qppcFyXJXy4HdWDuMZI4wMGvJfjR8K774NePL7wHqWqaFrEtjKYzqHhu/h1KwmHZ&#10;op4SVYexwQeoFaOjJR5raGKcHP2d9TxO7tL5/wDj3nZP95Qf161z1xa+Ll/495IWAPU56fTFdoQS&#10;fwqZASvasG7G0sDB7nl1xceL7bmR057AP/LH9az/AO1fEaviaUrj1DjP6V7SseRhh9Qak+wW8mC6&#10;KeucgdKHV8jSlltL7V38zw46trmT/pJ/BWH9KdHqmp/8truT8FY/plc/nXsx0zQFYiWO1U553BRW&#10;ha6Tok3MMVs/+6qt+vNS5StsdkMBhf5X9549b3wkb57yZD6uGA/RjXZaVq00SeWvk3QGdoWQlseu&#10;ev4EHFeiR+H9M6/Z4fT/AFa/4Vfh0SxjbckUansVQD+lYSu9GddKhTpu9KNvXU53TPGNxanyfMu7&#10;Pj+P5059x0/Kuhk1PU7sEm9eYeokJP5HB/Srw0uIc7R69KnGnDGP0pxnUWik7HY6dKa96kr9zg7/&#10;AMNaVqtybvUbdJpCAhkkySQOnemQ+D9DgcPBaorDkFNwPHuDmvRBp4HYflU6WBPUc+wpOb7kxwK6&#10;I5qK2KAKATjjmrSwZ7c1W1fxV4Y8OajDpWvT+RPcKGhRlJ3gnaMYz3ru49MUjkcHpx2p85008A3d&#10;o5VbZic4qwlq/p+PSuxj0tCOg+ldBo/ha61jUIdLsI1eaeRYokZlQMzHAG5yFH1JxVRk3ojRZfpd&#10;7Hm8dm/p+PpVuPTpG/hzn2r9GdJ/4Jl/tt6vYRalpvw38Qz286iSKeFYXjdT0KushVgfUGvq/wDZ&#10;3/4JW/EbUL3UIv2lfA/xR0uAQr/ZcnhXTbG9Zped4nFxdRADGNu3Oec4r1IZPi5f8uZfc/8AI8qp&#10;m+X0028RHTpzK5+IKadJ1x3+tWV0+XPOK/VvxB/wSv8A2w/+Eivbfwh8O/FU+mJdSrYXF/Bb208l&#10;uGPlNLGJ3VHK4LKHYA9CarR/8Eov26M8/DrWB9ZLYf8AtaplkuMWioS/8Bf+R6eFzjLGlfFQX/b8&#10;f8z8tV06Tt9Ktx2EyjHp7V+qlp/wSY/bwuWCwfDnVsnjJktQPzM1fBPxv+FPx6+BHxNvvhT4z8Da&#10;wup6aUW9VFLpGZEWRQHjR0fKsDlGIHTOcivPrYDEw/iUnH1TR9XhMRgpJOlWjK/8rT/Jnlkdo6e/&#10;1qX7K38Nfa/7L37B/wC1n+1r4XvvEvws8D306aZcpa38V1c2tm0Mkil0A+2SQFwVB+ZAw6gkGvoP&#10;xR/wSG/bs8F6SNc8T+BXtLT7Tb2jXLarpTokl3KsERkKXbbEMjqC7YRc5YgZImOX4lrmjSk0+qTP&#10;Xp18JdQlXin2ckn917n5QtaOTioTZyYwf/rV+wp/4Itft+g/vvBcERHVZNY0zP8A47ctTYv+CLn7&#10;eEkgjk8LWEee76zp+P8Ax2Y1t/Y+N6YeX/gL/wAjnlnOVrfF0/8AwJf5n47nT8/eJNRmywMc/jz/&#10;AEr9qV/4Idft57fM/wCEc0jHXP8AbFnjH/fdXbT/AIIYftzXShpNL8NW+SQRc6zCuP8AvhXrSORY&#10;6/8Au8vuZh/beVvbFQf/AG8j8RxZ7csAaVYAuQBk1+6C/wDBCD9tg/62Pwanv/bef0EFdDYf8EBP&#10;2zb4bvtHgpBgZJ1SRsflbnNP/V7HN/wJfcYy4gyuP/MVD7/+AfgTJag9qqPb7eFH6V/QwP8Ag31/&#10;a48wRXGreCI89WN9ctj8rbNc/qv/AAQd/aS0jxjofgSXX/Bcl7riX08PlXF4Vhg0+NGmmmP2UEJu&#10;ljjG0El5F4xki/8AVvMF/wAuGYf6y5XJuKxUb6vrsld9D8APs0rEE/pTlspjyBmv6V7D/g3P/aan&#10;Kl/F3gFR3KNqbkfgbMA/nXQx/wDBuN+0MQftHjbwaqgZJS2v2/nEtW+HMfs6T/A5P9Zcpf8AzFL7&#10;n/kfzCGxkJwwxUL2DNxj8a/p0/4h1PjM14tk/j3wyzk8rDYXbEfgSv8AOusg/wCDa/4nSYW4+JGg&#10;R567dJuHx/5MLWn+rWPT/hW+a/zOWtxTlkf+X6/H/I/lWfTZTUcekTyttQHOe3Nf1bP/AMG23iaF&#10;tt58VNMHrs8Py8fne12/w7/4IB3fw08aWHjG3+Jmi31xp1yt1Haap4YS8tJGT+Ga3nu2jkX2YEV6&#10;OH4NzCdv3enqv8z4zMvEbJYcy9vdrpaX+R/Ijd6BeW3MyMv+8KxpLKQHnPWv7bf2h/8AgjRe/tF3&#10;9r4m+JPxI8OaNHpVq8Snw94PsdGtkh+8zTGCZA2McNITtHQgZr+cz9sP9nL9kj4D6k/hD4L/ABL1&#10;L4h63BLsvJ7LS4bbR4Npwyi7892mcf8ATJCv+1WOZcN4rDJyqJJequ/lczyLi7BZlNUsM3KXW0ZN&#10;L1dkl87H5cyWT+/FVns5MYINeoS6UgG0dqz7jT1ANeCoPdn2MsskjzlrJ8VXa0Yc8g+1d89mqjFZ&#10;ktrGOTRyu9jCWAZxbWvbB/Kq72xHQV1skSrms+RUHU+9Dh5HNUwtjjdR0++vYWtorh7eM9UhG3d7&#10;MRhj9M1y0fgkR5Pm5PTJX/69enPt9qqO0ak9OvrRytbGFaMmtXc84fwXcOeLt0XuioBx9c5qufh/&#10;aj70znn+4K9LYIeR/OmMFPeqszFNwWjseZP4GsU6yyD8F/wpn/CFabj/AFsn4bR/StDxR4ItvEd7&#10;FdyX+oW3lEHy7WUIjY9eD171sy2MP3RJMox0VsDirjT7nPVxElopHPReGNKtedpY+rYJ/lVtLO2g&#10;4VfX73NX1hjj/ikPb5mJr6r+AP7F3x5/ab0jUNf+FGnabc2WlnbfXWpazpulIh27sf6fcwFuO6gj&#10;t1reFKUnywVzzq+IglzTkfI7NtyRj6VUeYZycVf1e0k07UJrCfG+GV4m2kMNyEqcEcEcdRwaw3Y4&#10;IPGM0+ToZSlF9R7yZ6d+v1rovCPhjWfG3iG08MeHovPvb64jtbaHcq75JWCou5iqjJOMkgDua5Bm&#10;Ocj9Kkgu5LeQSRMQwOQVOOlaJW3OapJNaM/SX9ob/gl3+1X+zB8JV+MPxi0rS9M0kywwlY9b0u7u&#10;t85wg+z21zJKcnqVUgdyOtfmnKyhj9a39R8XeINUhWDULy4nRRhVlkZgo9gTXLuc96txi3eKsc1F&#10;SUbTdxryD8O3rUDS++O3ShgSfpUZx1p2sdEUu4rv6np3qo7jOP61Oyjnqe/SqboT1DfhROxUoaaH&#10;/9f+aMWe09Py61MLMkZIrqHsWXCkfWlW0IJH5dq+DdE/oRTTOUNirHBH+RTDp2egNdh9kI+UelN+&#10;ynncKfI7WQ5Rj1OR/sxD60o0wBcD9a7BbMniphaDOMUJPuc8oQfQ4waYw5BzTlsG9D7812osx1A5&#10;NJ9k4PA+n+RVNM5ZU4nGiz+vTBzUyW/PHFdUbHjkConsh3HOOtTFM46lknYzbaSa3/1bEfQ0kjtM&#10;cyHPv1qS4s+Mrmua1CO9ix5LsvPPetVF2OCWJtrY3ggNTpGoAFcJ5Wt3F/A0E2I9+JlfOSPRQOMm&#10;t27fUIJFCPhT6gGh0hRx3kdVEi5r6nOjfsoH4ExalHrPjYfEXJ87TP7Ns20I/OcYuvtQuANmDnyi&#10;d3G3HNfGUU+oNglzz7CtSKXUcjMhPPoP8KuELdCZYxu1tDqDDEzEFQw9wDxVyGOFT8qgduBisO2i&#10;1WQhVlI/Af4V1mm6FrdwQqzN+Cr/AIU1h5S0Rr/aairsv2dm9w22FWY+ijmrhg2nDZGOua+gvghq&#10;vxj+EfiuPxx8LtcvdG1VIXt4720WMyCOUYdfmRgQwAzxW5rfwn8ceNtYu/E/iHULq6vb6d7q7uZA&#10;m6WWQlnY4UDJJz0xXTDKJSWhzPiKKlrsfMf7pep4pPtEA5ZvrXrGu/BHXLFSzXVxx9P8K8I8S+Ad&#10;as9/+k3HA/vEfyxWc8rnFao66XEcHsbh1GyQ4ZvpUqaxpoHMi/nX5ffHW88TaF43awttT1BF+yQy&#10;GKO4lQAsW5wrAc4rxgeJPFG0btS1A8d7iU/zasv7P7s7o8TNfYP2te60O7eOW6SCVozmNpFVih9V&#10;JBI/Ct6HULIrncMV+Gh1zxKAN99fc8jM0n5/eq/p+ueJVuRJHfXiOASrLM4YcHuGpLAR7nXDit7e&#10;zP3Ot720ZvvR7ev3ufyxj9a34LmxLfeXGPWvyT8E+J/G19ocM9zqd87b5FLtKxOFYgDPfAr08a94&#10;nhtzM+o3oCjk+a3+Ne9h+GXOKkpWOWXiLCnJxdDbzP3F+BP7Wvx7/Z1uxc/CDxdqujxFgZLCOXz7&#10;GTHZ7WbfCfrtz71+2PwB/wCC8GsW3laV+0X4ZgvkGEfWfC5jgn92eznzGx9dkiD0Hav4t7OP4iwx&#10;/aLu5v0iODv+0E/e6cBj1regm8WMfm1C/wD+/wA/r9a+jyjC46iv9mxOnbdHhZ7m+T473cblvvd0&#10;+WX3r9bn+hlb/wDBZ/8AYbmgWQan4jBZQSh0dt6k9jjK5HsSPeryf8Fmv2IQQP7Q8UsPVdJ/xINf&#10;56+3xSLZribUr9UUFmbz5BgDr0NdrY/Dz4jtbrf3d3qSQkLlvtbt988HAfPOR9MV9HVzDMLxjKcE&#10;3to/8z5TDcOcPSTk8NVaW9qkf/kD/Qf8L/8ABYj9kLX9Yg8O+FY/G+pX93KIbSzsdFEs0rnoqJvy&#10;x9hS+Jv+Cyf7JfhrWZvDvi6w8e2V9Zv5c9pf6HBHNC2M7WjkmDKec4IFfwIaL4K8YW10l5Z6pq8U&#10;0bZSWG6mVlI7hgwINa2o/C7xVqszX+o6lq08shLPLNczO7n1LFiTWdXAZnNXc43/AML/AMz6jLcX&#10;w7QkoRw9Xlt/z9V7/wDgFrH93D/8Fxf2O7ceXbJ43ZQPl26VaAfTBnH8q57XP+C4P7G+saZPo+r6&#10;Z4zvbS6ge3uba40yyaKWKRSro6tcYKsCQQR0r+DrUPhbr1vk/a9S/GeXP/oVcVe+Addjzm51H6+d&#10;L/jXHPBZpH7cP/AX/wDJH0+HxnDU9fqdZ/8AcZf/ACs/un07/gtn+zN4Zgj0SysvHGoadEBFbG8t&#10;rQXdvGvCo0rXLeeqjhWfEmB8zOeadd/8FwP2Xjymi+Njn+9BYj/24r+C+58Ga4vHnah17yy/41iT&#10;+ENY7y3p+skh6/jWLWbpJe2jb/A//kjsm+GZPmeW1W3/ANPl/wDKz+/K2/4Lwfs0W1t9mfw/41kx&#10;xnZp4OPxnNZNx/wXi/ZtTJt/DHjNgegdtNH6+bX8C7eD9QPVro/V3P8AWoz4PvDwftHrjcxqf+Fd&#10;71o/+Af8EIf6tR0jldT/AMH/AP3M/vMuf+C8nwC5KeE/FBxyN91YJ/6DJVGD/g4A+C+myb7fwZrx&#10;46Pq1on5jLV/B4fBkvdJTx33cUi+CMnAjkPboaapZu1/vC/8AX+YpVuHP+hRJ+teX6QP7trv/g4W&#10;+F0kvmjwTqIx0zrlqPz/AHZrzRf+C9nw9T4nXXxKuvCFxJIdEg0LTrf+3raP7NCJnuLli32ZstPJ&#10;5WcDhYl61/E+nw+l4PkSY/3T/hVhPh5IPvQyDsCVI/nUPC5o7J4laf3I/wCY443h6HNy5K9Vb+PP&#10;/I/uM/4iNvB8AzD4KUcceb4ojHX2W0Wuevf+DjDQbklD4SsVTPIbxRk/+iK/ijtfh1bMcSIM984r&#10;o7P4Z6QxxMbZf950H8zXTDLswbu8Sv8AwCJxVMxyCGqyVfOvV/4B/ZFJ/wAHFmhWqeXp/g7REJ+8&#10;7+J3LMT64hrsvhz/AMF+7f4i+I08NQ6D8N9GYxPKdQ8S+KHtrVQuPlMvkE7jngAHPPpX8bdj8K/D&#10;Df6yWwGOfmmiGP8Ax6uoX4XeDYIfOku9MjUnAZrmBQT6ZLYzXpUcnxzd54q//bsf8j57Mc/yRwlC&#10;llEYt7P2tV2/8m1P6pPF/wDwcWXGhazd6TF4S+H1z9luJIBc22szzQS7GxvicKu5GxkNjkVwc3/B&#10;y54htM+T4O8BEdgb65f+tfzAn4ZeFtRleLSrixuXQZdbWaKYqDwCQjMRn3rntS+FsFucJGPqQK3j&#10;lGMW+JbXpH/I+WxOPyWf/Mphf/FU/wDkz9bf2xP+Cwvxf/a78zR/GXiOw0fw4WBj8LeHj9mseOhm&#10;OTJO3vKxA7AV+Z998YPBRBK38H0DCvCL7wIsWfk965G98JCPnZXjYjhJVJc9WbbPdwPiLPCUVQwe&#10;Fp04rok/89X5vU96vPjJ4PTI+1xn0x1P0rl7r41+FFyROD/wE/4V4Nd+Gyp4Tr7VzF3ou08CuOpw&#10;dSW1yKniZjpdI/d/wT3q8+OXhtScSEj2U/4Vx+o/tAeGYAWZ3+UFm+U8AV4tJofnOI8bckCvPfiR&#10;4XXQ9IuNQhkkdldYirYxhjt7D3ryMbkmHoWUr3YUeNMwq3atp5Ht15+1F4ZQ7Yo7uTjO5Yxj8NzA&#10;/pWJL+1BojD5ba956fIv/wAXXyLc2YRIsZ+eMN+NUjFnIP4V4DoU76I7553i+svwPriX9prST922&#10;vCOvKoP/AGaq1v8AtHWtw5Ftp99IcbtsYUnA68A18nC2bGVGcda19Jub7S5xc2EjwyqMq8ZKsPxF&#10;CoU+xzSzTEy3kfofo3ir+1LWO4EVwokRZACnPzDOOPyrrLO48+eOIxXJaRwqgRnqele8fB7wBa6t&#10;4S0/UbpQ7yWdtISQOskStz619C2fwysIriyl8peL+1BwOzSqv9a9WnkqaueTVz6a0bueT654a/Zn&#10;t/gnb32jXnxAl+ITSoLqwutNsodBjj3Hf5dwty9w52425jXJ6gV8qXS+XnMNwD7qOf1r9S/Efw3s&#10;YVbbGvQ9BXzj4o8DWq78RjPP5VeIymK2MKGcTlo5HxRNcIvWOX2HH+NVRrstuCsQlXIx16ivZ9b8&#10;MLBuCL0PQ15ve6TsJ+WvLnhuVna8TKS3OHuNVZjko2fqKzJdSZRxGfzro59O25FZMtnjio5PIl1p&#10;bXOS1LxJJZIG8lm3MEAVWc5PsvNWYtQvWXM0ahuoHPIrWj08NcLx1q3f2Aj2ZHUH9Kr2ZPPK+5zZ&#10;vrp324ABrRjS4flz29KfBZhphxntXRwWWD096nlRpCo7mILY9Tz+NTLaYxt4ro1s8kjH6VYSyxg4&#10;/Os3BdTvoyRzf2Xrj6c1FJbKPvA49q677Jjkj86heyU/ewB7+tL2Xc9Sk7n/0PwKu7BfPwo7VSOm&#10;4+6OOorfslkuZjunWUAbfuhf5VtCzG04FfJQjc/bY4hrQ4M2TAc9vSozajOO1drPaBRjFZckKhs4&#10;xTdNo1WIuYiWgxxj6ip1swOBWxFbjPrmtGOzA5wenNZ8rIdc50WQHbk0psfQd811gs+aPsQGQKap&#10;MxnVOP8AsQJ9eOKiNlwRx7V2bWWOMVEbMEHHrVqmcFeqcPLZYPr9P/1Vzmr2GIw2B94V6jJZjtWB&#10;rNji36fxCrcLankyq6nnenWQa9iX/bFbOraZhlOB1q/plmP7RgU8fvBXVazYLhD9f5U4xurkTn0P&#10;OILLHA5+ldBaaepIyPrV6O05yeOa3rS2UjGKUYu4vaeZc0rS0YgsB9f84r23wvokR2kgflXB6Pbg&#10;YJ6Y5r2bw3iPaG6ZFelhYJHn1p3PefBOhWw2EgZ4zX0jpemWaWoG1elfO3hrUEhCknFet23iBUh2&#10;7u1e5SaR4FeLcij4x0mzkibaAeK+NfHOhxAuNo719XeIddWSEgEdzXzP4wuRKzYNZV2nudGEjI/D&#10;39q/Tltvi44QD/kGWp/WSvmyO0DMp6djxX17+1tGv/C2t+Dxpdr/AOhSV80iABtx7/418viKjU2f&#10;YUKd4JmY9msw9dowM9MCrmn6cWnUleMGtYRoBk91x+ta2lwhrhUUcbCQfzNZKrqjupUVc9l+G2jr&#10;J4bgbAx5034fOa9ji8Li+tTb8DcpGfTNY/wn0zzPCUJx/wAvE/4/PXv+l6ThVGB0r9gybCp4eDfV&#10;H51mlXlrzS6Mq232u7s/sNxBEFwvzIzE/LjHWt3T/DaMRkc5rqrDSOQMeld5p2kquMrXtYHLIUo8&#10;tKNkcWJzGdSXNN3ZyUfguLUNPlsWAUyxtGDjONwxmvZ9M/tuTTk0y9gsxCqIu+IyeYSmMcNwM45q&#10;xpemLwK7y3sFW3Lj616kcmpVJRnON3HY43m1SnGUYyspbnw/8G/h8fi/N4o8UeK/EPiW1ntfFt9p&#10;VrBpusT2NvFbwpEURYo8j+I89695X9nDw1DC3/FT+NcOAHB8TXnPtwRXK/soiWLT/GUEJlH/ABX2&#10;pcRKp/5ZW/8Aer6wle+UeXMbkEjGCsfXrX8o5/nuOhjsRBV5JKctOZ7XZ/0+fRN+jb4f5p4ccO5j&#10;mPD2Gq1qtCMpznSg5Set224ttny7J+zH4FljL3GueK5B6P4j1An9GFZsn7LPwzyC+peIz9fEOon/&#10;ANqV9UMbsr1uB248v/GgWeqyRl18/rkZMfII+leR/buL3deX/gT/AMz+l6f0WfDOGv8Aqxg//BNP&#10;/wCRPkG5/ZW+FWSftWvsQed2u6if/atRJ+yp8Jiv7x9ZbPJ8zWdQYf8Ao2vr99I1EjBEpz2LJ+FZ&#10;d3Z3On2cl9qUqwW8CGWSaaVEjjReSzM2AAAOSTgU5Z7Wa1rP7zvj9Gnwupxc5cNYNJdXRpbf+Any&#10;zD+y18HogFe1vn4536lfHP8A5FpZP2XvgqeW0t3zwQ17enHr/wAtq+obK3fWLSPUdJuI7q3lTfFP&#10;bzJLG6+qspKkfQ09vD2pyA5654+YYrJZxU61n97PQwv0d/DGcVOHDmDcXqmqFJpry9zY+Xh+y58C&#10;SuZNFQ/71zen/wBrUD9l34Bocjw5aH3aW6P85a+ojoGovHjk/wDA6D4f1ErhsA/7/wD9ak82k96r&#10;+9nZR+j34bQd48OYNf8AcCj/APIHyy37Lf7PpOW8KaU/PVhOf5y04/ss/s7AgHwlpP8AvbJj/wC1&#10;K+oG8O3zDjH/AH2OKT+wL4jBA46fOP8ACspZin/y8/FnorwL8PFtw/hP/BFL/wCQLP7L3/BKv4ef&#10;tS65qWl+BfDPhe0i0i2juL281IOka+c+yNQC5JLHPp+ZxW9e/wDBIuWw8T6j4YT4deH5k0zxNa+E&#10;59SESCyN/dnEY89yFCKSokZiNjOqnlq774PfFj4wfAXVrjWPhrqQspLyIRXUUgWWGUKcruRu6knB&#10;BFJrPx3+NVxeX+saprRnfU9QOpXf2iG3uA10VRA4E0T7dqouMemepJPtYPNMD7OCm5uWt7P7tz8O&#10;znwLzBZ5jJZLluWRwcowVKM8LFzUvd53Llir3962ttVpozPsP+COf2jXLXw//wAIb4Bjubvxvc/D&#10;+NZpIABqtohkfJK48plB8thkueFBNR+B/wDglDpvjDU7HTLPwp4Aso9Sg1W4sbu/FolvKukPslG5&#10;VcqZQC8O4Deis/CgmsaD41/EiwEJs9SiQw3DXMTLbWm5ZWPMmfJyW7AknA46cVXg+NnxOsIXgs9U&#10;EayF8hbe1B/ecNg+TkZGRxjC5UYHFdyx2B5leE7f4vT/AIP9I66XgJxGozUcNlibVk1hI6P39fh8&#10;4Ozv8Mlf3rr857jwT4V8EftY6RpXgzTrHSre78JXf2qHTYUgimeO5OGYRgBiMDB9q+ntR0SNk5Xs&#10;e1eE69tP7WnhmU4BPhW+XjnOJ1P9a+uL60Uxg47V/Q/hdR9rk0JPXWX5n/ON+0Ey+hlvi9xBhMNS&#10;jThGcLRilGK/dweiVktT5v1jw5G+SFHPbFea6n4fQZO31r6Y1SyBzxXAanp6kZxX19TBn8gQxR8y&#10;anom0nI9Sa4XUtHBzxX0ZrOndSB+NeZ6tZ7QQM/1rneFv0F9YR4Pe2PlMSnB6givO9f0r7dazpdl&#10;5QYpGxISwyEJBwTjg817tqNkCTgH3rhtSsP3M4/6YTf+i2rwcyypOnJtdDtwuNfOlc+O9RtSgj9k&#10;6e26sX7OScgEnNd9qtsEMWe8Z/Q1zxj2k4HQ/wAq/E6ztNo/UPZ3SZRjttq8ipEhBBHH41pQRs6E&#10;n0/rUyQnn/OKxuV7M/e34EaVYaV8OtES03kTaXZ3DmWR5CXkhQnliSB6AYA7V9GtNDFawycfLe2j&#10;Z+k6V8tfB7VFj+Hfh9sn/kC2Pf0gQf0r2S+1v/iXbs9JrdsfSZDX21Oa5UfF16N5s928QXkciN0P&#10;WvnfxQkbl8Cu11LXvNUgNXmusXivnmidRMihTsjxXxDYqSxwPpXkGq2CgmvctZIJbn8a8s1SLdkf&#10;lxXjYlI9WlJnk9zZ4J/yaw57UDJ967m6tyGJI4zWNLEM81xOB0JpnO2diDcBfrT9astqxn6j6V02&#10;nWpN2g9z/Kn+I7ZVSJgO7D69DRyaEp9Eef2dpmdePWunjtM8fpUFlADcrx1PauuS0C8jr3pwhoXB&#10;9zEW0A69cVMtp2Nb4tRnkVKlorNg+9TKmj0aUrnPG0yKhe2x0x+Irqxa9SBUMtkrdvfrWXK9jujO&#10;x//R/C3R/Ct1pDbruRXbsEBwPxP+FdYLcAc1Ym1BJdSltEiYmLaGbIA+YZrzST4y+DtzwiO+JRip&#10;xCuMg4/vV87aMd2fq0MdCaumXPFWuWGhW7XF7IkaAZ3McCvm/X/2mPhnoOpJYXV48xdd/mWqeYig&#10;9ASMZPsK1viXbaZ8W4Dpen3F3aYBffLbCRVGCScCReeOK+SLv9nywv44kfW5BsOSw00ZYk5zn7SK&#10;Uq1O9rmE8XWv7iPsPw/+0j8HNSiWWXWoLUmTyxHeI8TZHfGDgehr07SvjD8ItVbZZ+I9ILD+F7hY&#10;z6/xlea/OyL9k63u7SXUf+EguFjhwzbtNAZsnHy/6TVeP9l7SzIpHiC9Yk52rpqKT/5NGplOl/MZ&#10;xxuI60/xP14t47a6tkurRkkjlQPG6HKsjcgqRwQRyDTvsYI6V8g+Bb3x98NdAsfDaa81/bQKGjjv&#10;dMjZxFuP7vzFuQ3Y4POK+lvCvj+HxRqS6dHYywbkLeZIy7cqMnAGTRTqwb5bnZOo2ro6JrMg/wA6&#10;4RvGugGTUVjS9ddJZlv5UtZTFGVODhguHwR0XJHpXsJtgee+a84k8C6zZS350HxBq2nxag7ySQQm&#10;NkieRzIWh3LmMljk46kAnpRjI1lD/Z0m/PRW+Vz5LimvmccOnlMISqXV/aNpcvX4U3e2xYtXttSs&#10;4r+0JaOeNZY2KlSVcZHBwRwehGazdZtAtnlv7wxXX2Wl/wBn6dBZeY8xhhSLzZDl32DG5unJ6msv&#10;Xogtlk/3hXS4aanXTm7rmOB0mDOqwf8AXQdK7HXLUBFOO5rntDG/W7dR0Mn9DXf65b4iXjHzH+VT&#10;Rp+7JlVZe8kedeUsYLsMAc59q4K4+KWk6detZSQuShOGyMEDjPQ/l1r0q9jK20h/2GOPwr5W1eVo&#10;7+SNByzEnJ6c16OU4WnObVRbHlZvialKEXTerZ9F6T8V7EkMlrIe33x/hXs3gr4jW+r6nFpiWrxm&#10;Td85cELgE8jAznHrXwnp9zcmQIoJz3yf0r6E+E1zM+u25cFT82dwIP3G7n6V9HPCYaMJNRs/U8Gl&#10;jsTKpG8tPQ+rvEPxZg8C3VvaT20lx567tyMflywUcAE8nqeg71PZ/tD29wuIrJxgc7pGT+aV8+fF&#10;69uI9StWgUM/kbRuP+0ff+VeaQXuoOctJHuJ4AMwHH4V6WXYTDyoRlON38zy8yxmJjiZwhKyXofY&#10;mpfG6SeNtlkCT90ecf8A4isS78Q2+t6cmpWpISVNw3dQckEfmK+arW61F5kjkKGPf2D7sdf4h/Ov&#10;RtBuinhS0GefLb/0Nq8bPIUocvslY+gyD201J1XfY/Pn9qiZJPilkgk/2ZbdB/tSV85/vXIPlyc8&#10;DAHr9a+hv2kHWb4ltJxxp9sCfxf3rxCMBZPxr4HET99n6RhaV4RKT7lwojfjg8D1+tdB4dBkvY1C&#10;SZ2sOQMZwfeqcgQsR7H891dH4UQf2jCj4zsY/oTXLCp7yPRp0Ndz7J+EOnKfA9qdpBae4PPX/WGv&#10;oDS7JSBkcV5d8H7Qt4HteP8Alvcdf+uhr3zTrTYo3ce1f0Jw/SvhaVuyPxfPKlsVV9WX7GzweP1r&#10;tLC06fWs21tewrstPtxtHWvq8Phz5+riPM3NLtuRu5rrfLC2zEcDGRWTYQbcYrfuhi0Yf7NexRon&#10;mVcRd7nx/wDsyrClv41DiIkePNQI81HbrDb/ANyvpl5bcSZxBt6E+TL+tfNX7NEvlL43Xfsz48v8&#10;E3Hk/wDLG37Y5+tfSksysrbnU4Pa9Jzmv4R4kdsyxS/vz/8ASmf9jP0Irvwo4Xvf/d49u7IS8RXa&#10;BDtHfyZMH9a3fEXijQ/Bnhe68V+JJ47WwsLU3N1M+SFjUZ4HcngKOpJArBSRTzI6HOdoa7OR9ap/&#10;E/Q/B/i74Zat4c+INxHa6Pd2Pk3ly8qoIQSvlyBm4DLJtK56sAO9eBiWrx5tr6n79x1XxVDK8VWw&#10;PL7WMJuHO7Q51FuPM+kb25n0Vz8Xtc/b7+MVz8XJPHOgGP8As6OOay03w7Pva0EcgKo8qRsrSzA4&#10;fOfvDAwvFdp+0R+1D8bfiP8AAg6Tq3hS48PWsurtpGv6nHvEMs0KiQWio/zxc/60MxBI25HIrhfj&#10;h+zr8KPgL4UGlah4ymk8cpcPf2lvZWkzQzWxx9nQleIXyu8Sbjy2MYAavEbT4rftK/D3wVc+Dp7n&#10;XbLRNfiey8vVbZxA4uCWkNvJcLhHcsxZ0YE5JJ71+i0MBgq6pV8HSj7r+1eN7dV0fe9vU/5vOJ/F&#10;fxByKed8O8Z53iLYqnKVSNB0q6pzqfYq+9eldrklGM4NRdoppnvHwi/blufg3o2h+BvBHh6B9BsY&#10;c6sl7Kz3t7dSkNPOki4SEA8RptZQBzk9P2y8AeONI+Ivg3TvHGghxZ6nbLcRLLGVkQHgq4/vKcqc&#10;cZHBI5r8P/hzp3xC/Yusbb4zeItP8L6k2vwf2Za6XJqglvFgZhK8qJbl4ypKLubL7eBwTX6nfs2/&#10;tTeDP2iNNuLaxgl0zWdPhSS+0udyy+Wx2iSGUYDx7uMYDLkZHINfK8U4Km28RhaV4J6z5r3fW66a&#10;9b2/A/vL6A3ivj8NWjwxxfnnJiakF7HA1KHs3TjFLkdOppFqVNX9klf7W976/wC0V+0R4S+Angq6&#10;1K4ns7jXHjxpWjsf3s0rHAd0UhliTO5jxkDAOTXyp+y9+3R4p+LHxAh+HnxC0vT42vIJnt9R0uOR&#10;FiaBGlYzo7uBHtU/MCNpxnOeLn7f3wL+Gn/CudW+N8VrLF4hSWxtmuIJ28qYSTpEWliOVJEZIBGD&#10;06188fsSS+EU+EfxLNmsH/CUx6DeSQyOpM4sPszDETYPy+b98Dk5XPalgsDg5ZTUxHI5TvbtZ6bb&#10;6K/XfyK8V/GXxEwnjbl/DjzCnhMJGnKtGnF86rUoKpJqfNGP76p7NxSWkNHFvW/6D/Gv9o5PA3wM&#10;X4v/AA+sE1eG7KpZyzr5UEIZzH5sylldhvGAq8t1ztGa/O7xF8bf2ooPhRpf7Rlp43jazvtXl019&#10;EtbSOJLWaMvlHQoySKQo684YH3rzz9o34mfECf4UeCPh9D/Z8HhU+HNPurb+zLlLlruWGNY2e6xh&#10;4mSUMojZQN6tyxGR4pBrmn6f+z3LoEusyT3ep+JkuIdATJjtIrOEh7tyejTNIqKBjIQk5wMe1k3D&#10;8Y4enUlBScp21XN7uqt1s+t/v7H8tfSG+lvmmdZ/isLRx1ehToYKMkoVJYeMcXaE/aQSlGVWDb5Y&#10;Kbk2pc0VZXP3C/ZV/aJT9oTwJPqmoW8VprGlTR2uqQQKTCxkUmOaPJJCyBW+UklSp5wRX0Br7MLA&#10;jGPmHRAK/PH/AIJnWMUXww8RampXfPrqQOCSDiCBGX8P3jV+g/iED7CW+XllHU8YNfGZpQp0cwqU&#10;qWiT0P8AYX6HXGmacR+H2QZ1nVX2mIqwfNKyXNyzlFN+bjFNvq7s45j8uRn/AL5HT6VBkliCWPH9&#10;0UxgoAA2jnrk1CcBsZX8c13xnfqf2JCCPnHxSdn7U/g+Xn59B1JOeOjxnt9a+zrhN0GPVa+MPHBW&#10;L9pTwK4wS+mawhIz28k19olcwDbjpX9c+DSTySP+KX5n/H1+03Xs/GriBf3qb++lA4fUIQCQfWuG&#10;1KEHJNek6jHiuD1JTgj+dfpFaij+FadfQ8j8SzafptnJfajLFBEgy8szBEXJwMseBknFeB6z498C&#10;w/63V9NUldyg3EfI9fvdK7r9oWLf8MNWAGR5KH8pFNfkd4nLxazCIneMNplwh8slfukntXyudZnP&#10;Cu0Y3PRw1FVb3dj7wv8A4gfD9ySms6Yw9RcRH/2auNvvH/gLbIiavpu5kdR/pCY5U+/vX5/S2Vop&#10;AQL06bRWVb6fFd65DZu2xJJ40Jx0DcdK+RrcV1Zpw9mtT0qWBjFqXM9D6Bv76y1ARtYzQy7Vw2xt&#10;wHORnFYjfewMc15/pxNjrF7bwMFCXDKMDA4Yjp+FdtbStNuOOhr8nzCk4VZH6ll2L9rSjK1jdCus&#10;WcBe2B+NRIG3seB8vHHTkVcRhJF9B/WqznbnH0rzuY9Cx+wPwm1T/i3uhrnppNqB/wABjUV6tfas&#10;Bph5/wCWkOcH/pqtfM/wm1Bv+EB0ZSeBp0A/JQK9Uv7/ADpj49Yz+TrX1NKtoj5SrR992PZp9V3j&#10;BPFc/e324En9Kxxd5JH+c1TuLjI4P61rKoc6g1uZmpzb2NcHqIyDj86627bPpzXLXqBga5KjudMV&#10;Y4u4QZJJ96xJItx6V09xD8xH9KzzDk4Ncy02LTItKt83SAD/ADipPFlv5dtC3X5z/KtbSYR9rj4/&#10;ip3jaPZp8R/6ann14rTk91jjuefadF/pSAd2HFdvHbn09ulcPbX9rZyCe5YIiEM7HoBn8a7GHxP4&#10;WfGzULTnnBkAP61lGpBbstxfYw/FzrZWdvPcX9xptv8AalFxc21uLh9m1jt2kHaGOAX/AIetY11q&#10;2mp8TLPSPCmtNqFlcwvJNZGMN5IEO4P54UZy+fl6jv2r0qLXvDbD/j+siPeVP8atx6n4fJ3RXdkT&#10;7Spn+dcs8M3XjW9s0kvh0szxa2Q4ipmNLHQxc4xirOmrckvN6Xv8/S2t2ra4HHpTHtdihmHWotdv&#10;bCXRbpLW5iLmBgnlSruzjPG05/Kvma4i1pDuhvb0qSTgzPx+RoxFZRdj7GMu5//S/FmGEDXb9+p8&#10;1F/DYK+WBoS3F9ISOrsf1NfW1uobWr/r/rl5+ka14Pp9vG9yxi5G8nP418pi9/mfYZZUtGRLpuix&#10;WUAES4O1ifXlT1riNM0KJ2DSrk5/l7V7oLMJEfUISR+BrkdKslaUbeeen865JxWh6lGq0mZVzpQG&#10;k3MQXGY1H5MKwdM0eOMHaoz1r1vUNLljtJAEY71AUYJzyK8h8YfEfwJ8MoUbxreC1klXdFaojSXE&#10;i9MrEoztz/EcD3oVKUmlFA8QowcpPQ1b/S45HhkIz+67/wC81SPqV74Ys5tb0vCTwRZQkA9WAIw3&#10;HINfLuo/tl+B3uxHp+kanLCgCea7wxk85yFy3r6iur1H9pb4Uat4YKG6ntZblRGYZ4WJj+YE7mTc&#10;vbqCaurga0U5KLM8NmmHlOK50btz+1F4+QbY7VR3yI4x/MH+Vc3e/tQ/E0fMkCjjuIhz+EdcXaxa&#10;RrVuNQ0i4S4hZcK8JBH09jWfe6JCFOS1eO8wqJ2bd/Vn0U6SkuZWt8ia7/az+KrTvbhI1IbGd6/y&#10;EY/nXpPw1+L3jvx3qslv4iuD5Udu0oiQ8E5UDPA6Zr5TvtPSPU5gg/5aHNe6/BO3RNXucdrQ/qy1&#10;1LEtuKu/vZ50aXxcy/A+1vBspuPENoD0Mn/spr2bWrfdAOP4jXifw++fxPZL/wBND/6Ca9/1pMQj&#10;juRX1GDX7tnhYzSSPKNTixaSk/3D/KvkzWo2bUHzj75A5wOvfj+pr7E1dALSU4/hP8q+UdVgY37G&#10;3BLq+75QSRnPov8AWvRy6ajJvyPMzGk5wivMr6bazQjC+Vzxl3A6/Q17v8LkCatG+UJJOdjZH3G6&#10;cn+leSWdvqAkUM1yoxncFZjn6cfzr2n4eMf7UQETAh92ZVYdUP8AeZvxxiuurib3RlhsFbUvfFbz&#10;HvYinaEfxAYyW6Zry6ztpJHVGdwB3Jbr74ya9T+JGybUFDbdoRRycY6nj1+mK4Wz08uNyEHoADGz&#10;D8RjFduHxnLSijgrYHnrSlYsWZhN6m54j82Fwr5JHuQBXdaW+3w3ag5/1X9TXLwROlyGAAGVHELI&#10;cD3Kitq1kI0K3Gf+WQ614uY1+ax9Dl+G5Is+Ef2gl8z4hu3T/QLf+b144GRj8vSvWfjvKW+IjjJ4&#10;srf/ANnrx7LBVBGDivj8TL32fa4SPuRHs2+QLn6n2zXY+DgW1iDjjY5z9Aa45UGAT1Hv712ngof8&#10;T2FOf9W+f++Grmoy99ep6UI9T9Dvg3b7vA1r3/0i4/8ARhr3y0h6fkK8W+DEDjwHaMcfNPc/l5hF&#10;e8WSZAIzmv6f4bp/7JRfkj+feIZ/7ZW9WdBaQdyK6rT48fLWJaqRg9cV01odvIr6yjCzufKV6rOi&#10;s0ORWlf5Sxfj+E1Ts36HHarWpyD7C/8Aunv7V6VOKscilrc+Qf2avNYeOdgmx/wnd9u8pI36wW+O&#10;WOfyr6Q8q6VSW+0gAHBMcP8ASvmT9nP7OW8bmYRf8j1ff6yN5DjyLfutfRztbbW2rbHB+6IJRzX8&#10;DcTL/hTxf+OX/pTP+y36DkW/CXhd2/5h49PNk5W7IDEXBOM52RY9u+ea+Jf+CgfijWtK8GeF9JYy&#10;w6Lfa5GdXljAy624WRIzj23OB0JUelfZw+zhdoWD6+Q5IP0zWl40+Hngz4oeD5vCHjWzgvdPukRm&#10;jIdHWQDKyRuuCjqehH05BIrxFio0a1OpUjdJ/wBfPsfoX0jeA8fxNwhmGR5ZXVKtWjaMndRupRly&#10;ytryztyStf3W9GfCn7fdj4C8ffs96d8WfD8iXclpfwHSNStyVBt7pisi84O3KDGRlSPrn8oPiP4o&#10;1f4oNo08WoeJ/Euo2+mw2l6+oxB44HRVRYLVIi52L0LthnPJAJOf2A/bR8LeGPhv+yD/AMIPpRb7&#10;JZ3NjZactwxebIl3j5jjcQobt0+lfmR4+1CDwv8AB3SvD2meP7e+nljtrqLwv4WgaGztiyq8kmoX&#10;I2ebcg4B4c7xjIVRX2XCde1Cnyq752lfomlfZO33peZ/h79PTh+v/rXi3i+Si5YLDVMQqcopSrRc&#10;opJTqQ59uWL5atTlStFK7X0j+xj+xzrfie/bx98ZtH26GkMlta6TrVvIkl2ZFGJ4wzKUVCOpHOTj&#10;vX2J408T/A39j7VrfRPh14Th/tzXYDKLawcIxtYm+9JLIZWA3fdVV+Yg+lfnF+xD8QPji/xo07wz&#10;4Nvrm9sZ387WrDUJ2ktvsKECWXDklXTcNpT5icDkZr7k/a18afCWy+IMGlX9zpFxrLaQRNDOJjJB&#10;bJKdoje3zicuXIjfGBknGa83OqFeeaKjiZc0Wr2i2klra66ep974S8eZBw/4J1+JuEcvjQzDDVlT&#10;+sYmFOdSU5uKm6E5LW0HZQS9xXbT1b+NP2pv2l1/aA0S4htdRbR9O0mS2jt/DEm6S51C+Y/6RPI6&#10;ARiK3GVTcck8hQSceffs1eKtTtba6+GHwyt5R4w8a3K6K+ry4EOn6So8yfysZYvJhjITgBVAGWOR&#10;5Z44v5/iR4zj8EeCtEsGuItRuRanRUE11fNeSeaBI6s2/wAvO0DOE5z3Nfpp4A/Y/wDil8JfgdqN&#10;54Dmsx8QdbFvDLOzKn9n2TNiW3t52BVZCDmWQcEDC9AT7mYvC4HARw0tHN3Sb/GTW8Vu777eR/O/&#10;hdhuNfEjjfEcXQjPE/V6TeIrUovmacXzUqCk+WNaUW6NNQSUf4qV1zP8/fj38NdW+CGuat8NNM1u&#10;31bSftVrJKtsu6SNYRIbYXZVNkUoMsg8sSEk8kdMc58I/gvd/GdZdA8F3qf8JLHJ50elXirBbz2Y&#10;wGkjudx/eRk5aNkGU5ViQRXO+MdU+IWhxXHwi8USGBNM1aeS8s9qJ5l9uKNNPKAGmIH3HkY7VPy4&#10;BNfp/wDsm33wg+Bfwgv9f1bWfBUvi+U3NwV/tGJ5fJ2qYbRp1LBQxUn5MqCwLZI47MyzKtgsApKX&#10;NUk1ZxXxbavS2q3+Wp8Z4T+GGR8acf1sLiYPB5dRjN1IVZtSoRTk3SpylK8pxk2ocy1ak5QtofZv&#10;7OfwPs/gH8NIfB0MrXN3NMb7VLoEBJLqRVVgg6iNQoVc8nGT149Y1yNxpzlt2QQeo9a8v+CPx/8A&#10;h98eNCfUfCMwivbcD+0NLuF/0i3J4zxw8ZOdrrwe+DxXqeu7V02UgDPHRD6j8K/Ha9Sq8S/rF+dv&#10;W/c/6T/BWPDlPh/LaPCU4SwMIxjScHzR5Vpvve9+a+vNe+tzz1zIW5z+Yqu7uTls57YIqRmEfQZP&#10;+5UHPTsT/dr6KErH9CwifNvxILRftCfD6Q5+a31pM/8AbOE9q+14zutx/uiviX4syC3+OXw5k6fN&#10;rKcDBIMUP+FfZsE+62XHoDX9c+CE75L6Tkf8gX7U6l7Pxsz3zVF/fRpmZfoDn+VcVqKAqc/SuxvJ&#10;MjFfNPxd+Pfw5+EyLB4nuy13Iu6OwtR5k7D125AUe7ECv1DGV6dKDnVkkl1Z/nzh4ym+WCucl8e7&#10;aSb4Wa55SM3l2TSMQMhQGHJr8dPGTNDq1qz8k2N0OOOik19o/EP9uPwR4l8K6r4T03TdTh/tG1az&#10;MsoixtJB5wWxyK+Ddd8T2Wt6hbTICiRQXEZJOd3mxlV4/wB7Ffl3E2cUK8rUpp7d/wDI+oyvC1IQ&#10;99WMOPV4rO4JeC3uPkYgSBipOPYjNRS6/bSXUc8VlZQMNhVog+VI78seRnjtWfcDeVSLcm1cEhTz&#10;j196qRRxm6RZ1Ll5IxnpwW5618PGTZ7PKux1kW0+IL89jO5z/wACNd7poAVlAyMiuCQY8R3q4488&#10;n8MkivRrHcoGMAnB4FfMZy7VZH23D/vUIm7DAghLZIzyPwNVyi8r/wDWp7SSRRDnPXmq32ifO1Se&#10;QT19q8Pmbeh9G4pLU/Q74XXWPBOk7ScCzjA/CvU7y5LabJuOOF4/4EK+dvhVqbt4N0uDI3LaIG9R&#10;9a9nnvQ2mSqx52/jwRX0kHofM1FeTaPXUmGCc96RpFI5rBGoQ4LswwBzzxWBqnj3wrpeTd39qhHB&#10;BlXjNaqZyyj3OruCM9etYVzgqcVTsPE2l6xbi506aOZW5DROHGB7jinyzKyk9O+M0pPUImNLHuOe&#10;feqzRYzir0rZPPSoOQc9azaQzV0iANcJgfxcVU+Ia7NJicdftAH5qa19HwbhMf3hVP4kxj+wkPpc&#10;J/I1rJfu2xU176PnLVZWe2mjHQxP0+hr4Y1NtSSdmtrm4TnGFlYD9DX3Xcx70aPHBR/5V8W6jFm5&#10;cY/iNfO4mVpI9aMbxOUttS8TAX9qgJUbgRHULxeP+ejHp9TXW2tz4m25GoXJ7ZLZ/nVTTLZG1BVK&#10;gg7jg/SvQLbT4Co+RQK46+IV9jWjTfcvfD6619/FlilzdySRtKVZGx8wKkelfT5sy2CAPxrwjwZa&#10;QQ+J7KYqSFmBr3i48W6Ip8maC9iZTgjZG4/9DFa0HzrQ0qwasmz/0/5Cov28PiPY382oSWOjyCeT&#10;e0ASQAYAX5W3k9B3rnbX9tjxrBOXXR9HRWbOY1ct+cjOK+MA0b4LCrEf2UYDD8Kh4Om90b0sbVgv&#10;dZ+p/wAMf2qLLxxdNp2s6idNuDDIIbe4jiSOSTYdoWQLjr0BwTXpMWseLbgiNdQu+SABE2wc/wC5&#10;ivyCtBZXUgVcoR+Rr7T/AGa/iTqNnry+DPEcrz2sig2s0py0BBAxk9U5HH8PXpmvHx2XNLmh0Pdy&#10;7OG5clRas+u/GGsz+BvhtqniPWLu6keCFZctM5YtuwqKSTjcTivxq8T+KNW8TazPrOrTNNcTuS8j&#10;EtgDoq5zhVHAFfpb+2rd39h8NLa0tiVim1GIT++1XKj8xX5Tsc9fyroyuilDn7nHnGJlOSg3oaMd&#10;4QArDn1HHWtWJlnjIJGCvX/EVzAz1rqodF1S00JPEjrGsEsrQwlnG9yvDME67VJxnGM16cp7XZ5E&#10;aTd3FbHp/wAM/EE/hjV42t5G8uZQJoQco4zjp6+nvX2Tc7JYxKvKsMqfY9K+GvCnhvUtR+zTW3SS&#10;5jiLHsHYDP0zX31q2kTaPJ/ZU23dEgVtp3dAOCfUdD718NxLTjzxnH0Z+h8LqaoyjP5Hg2oxgapc&#10;cdJDxXtXwTizqd6SOlqOfT51rxvWZYbS+ubidgiI7OzdgAOteHXHx08Y6Lqc48GXK2cDfu/NEavJ&#10;Io75cNgEjsK5stwNStJOC0R05jmFLDx996s/ZT4ex/8AFW2OMf6xv/QWr6E11CIgMY5Oa/Gf9nr9&#10;pH416n8S9O0qGzg8R75QGtD5VnLsPDOsw2qNoOfmBH061+z2sqz26MRgnJIz0PHFfX4eg6cXFnzd&#10;XEqracUebX8Zlt3jXqVIFeMTeBtQknMjbGUsSoDlSP0Ne5zIMmmxoeOO9ZSbi7o1jLTVHkVn4Mu4&#10;G3CONsgjDyk9fqtd14V0W7stRSZlijRdxIRixPGB2FdrCo6ECtOJQMAfpVJtu7Zf1h2aSOK8S+H7&#10;zUb0ToUKMgG1mZTx7qP0rnW8Kzr83lwEn/ppJj8scV7OnTJ5prbQvOOPWtPaS2uYxaWtjw2bQ5rU&#10;iSKKFXUYDb3PT2IqORWtdLjhznbHtyK9av8AbsJwOnXFeY6621GPbFcNaT6s9GjUufnh8cpJD8Rn&#10;KY5s7br7Bq8teeRQhAQkjHQ8frXpPxweOP4gSzSsqItpbjcxwAOeSTx3rzaKS1uQGiZZEHRkYMPz&#10;FeDiE+Zu2h9XhGuVK+pbJfb0X6YPr9a7PwSr/wDCQQgEA7JAcjP8DV5ddeL/AA1YyyWtzdxLImdy&#10;jc2CD0yB1ruvhn4l0TWvEccNhOryJFIzIQVJypHGcZ/ClQw1RSjLkdrrobLH0HLkVRX7XP0/+DSE&#10;+ArPkH99c/8Ao017naKVYZrxD4OAp4Hs/ea5/wDRpr3S1UgZ71/UPDsf9joeiP574gl/tlf/ABP8&#10;zpbXBwR+NdLa4/KuYtuororbI/xr6inpofLVWdRaPx+melLqkgFjIcfwmqlswGPrS6tIPsUmf7pr&#10;thKyML6nyX+zlMyHxuqswz45veBceT/ywt+3evo95toLGQ/Njre56fnXzX+zisjjxq0Ycn/hN70/&#10;JCsv/Lvb+vSvpGYXDZAWXAGT/o6Cv4M4k/5GWK/xy/8ASmf9nH0GEn4R8Lf9g8e/diJMGQsWyT0P&#10;2v8ApivSLO6hWyjR5o8hFB/0lR2rzSJJFU/LMPYQLj880itJj5fNx/1wQf55r5/E4b2itc/qbG4F&#10;VrK9rep5H+2J8FL/AOPHwtTQ/C89t/a2n30d/YRT3SKko2lJIyzEKuVYkEnquO9c54A/YX/Zz8Me&#10;HbG18TaRZaxqSWsI1G8ur6RkluAg810TeoVGbOFx0xXu85uWUhvN9QTEo5/DpXH+L/GVj4F8PT+I&#10;tRttWvPJDeVbaXZ/aZJJFQsFbDDYDt2hiCMkZxWsJYmFFUKdZqN72XmfzVx/9Hjw/p5njOO+JcHC&#10;rP2cITdSn7WMVBtKShyyak7qLaT0itrO/nvxD+HHwJ/Zn+G3iP4veAtD0/TdU0/RrqK1vLW4dpVl&#10;uh5SKu5zwXdc4GcV/OlHZLqSQ6lJdpNeXdxPEbUbvOVwI9jsxAGJWkIXnPyNnHGf1w+J2p/tXftJ&#10;eFbjwBo3gq28M6PqUg+03uuTqJpIUkWSMBWG6IgqCxRCT0BA4P4+eJNGufDHiK98N3ckUk2n3ctn&#10;LLASY2eByjFCQDjI4OBX6LwTQ9jGo6tTnnK3W7t01u1vfqf4U/tFsywmMx2Uz4ZymphMqpwkqcpY&#10;eWGhVrSalUlCEoxlJciprmcVe2l1ZvoPCfizxT8J/Hdn4k0Gaex1PRr/AHh4ZCjCSFtskZZDyrAF&#10;G7EEjkV/WV4V8U6L4r8Nad4p0ueNrXUbGC/t2+0g/JPGJAD7jdg+hFfyZeAfB2pfEDXx4U0cK99e&#10;IEshI20GYyIACx6ZBI/Gv2S/YF+Jd7q3w+vPhJ4k82HV/CV21uLWVcSCzkYkAg85il3q3oCork49&#10;ypYinCpF6w372f8AwT9A/ZO+JP8AZfFOK4dx8nChmKtTk78nt6ScuS+3NKnJ6bu0V2PuP4qfs7fA&#10;/wCMkzXvjnSrSa/ZQn9qWtyILwKvA/epjcB2Dhh+FfKWrf8ABNn4N3UrPpGv6vZofuI89tcbfxKJ&#10;mvsIl+Cpb8QKP3hJBL/98ivgcLPGYePJRxEku3T7j/bDjn6IHh9xJipY7Oslo1astXPlcZN95Sg4&#10;uXzbPPvgf+y18KvgLqT+IPC015c6nLaNZTXl5fId0TMrsqxoqqoLIp7kete/a9JHNp0qpIh4Bx9o&#10;Dd/TP8q87+Yjv1/u0xtxwwJ/75FclXCVKlX21Wo5S8z9U4B8Jcl4YwNPK8hw8cPRg7qEFZXere+r&#10;fVu7ZEcHjI9vmqMKCT93tj5qkw3qfTpWbq+safoOlT6zrUyWtraxma4uJQAkaL1JP8gASTwOa9DY&#10;/S8Ti6WHpTr1pqMIpttuySWrbb0SS1bex81fGs+R8Y/hzMT/AMveqpkHPJgQmvsW0mBtU/3a/JH4&#10;0ftdfDHXfHHhnWNAi1K4j8O6hdTXDNHHH50c8YjzGN5ORjOG259q/S74d+OfDfxD8HWfi7wpcrdW&#10;N3HuikHBUjhkdTyroeGU9D7Yr+tfBGahlkqE9JczdnvZ9T/j1/aY8Z5PxF4sZnnOQ4qOIw840Upw&#10;d4uUaUIySfWzTV9u1zkP2gvid/wqb4Vax44jCtcW0CxWaPyDcTsI4sj0BbcR7V/PFrPjLV/EOrXO&#10;va9cSXV5dSGSa5mO53Y+/YDoAO1fud+2L4P1Dx18CdY0/SVaS5szDqkUMYyZBbNudQB1OwsQPUV/&#10;PzOeg/EH1zXT4hVaixEIP4baevU/i7h5R9lJre5bdEYM4KsSeuf5VJ9oGArhSAMdPSsoORTg2a/P&#10;OdH0BuwyuzBVb1wTnkf41LaQ3l1fL5CGRlmU7V5+UHk1kW0u2QY9cV0Ggz6tNq0UGirLJeTSJDBF&#10;aoXlkZmA2Kqgli3TABrppSS3EzfKunia8TBB3gnPrj/69egWfm+Xwc4A6Cu7P7MH7TV54lub0fD7&#10;xowndB5n9jXYUybFyM+UAMHrmuA8Zaf4h8Eand+EfENvLYajZER3ltLjzIXIB2vtJAYZGR1B6814&#10;WZYd1MRJLY+lynHRo4VO+o+71eO1QwnLkZJ2DdjPbPTtXKnU9Vu3MscxjUcnoAAPb/8AXXI3Wp+Z&#10;hFdiByev61WvdRu1tvIhb5Dy23+tdmGwVOmrJXPJxuaVq0tXZHoieMdS02ZJodSmSSPG3ynZQB0x&#10;hcCu98O/H/xlpSSQ3d213bOuGWfl0J7o/Xr6kj+dfLpbexLnn1rUsSXiliBPK5B9cGupxi1Zo441&#10;ZxfNGTPpLxN8Y/Ht/M8VpqFxBFIvAU43Kec55wD7V8+X9xeSXLXV1PLI5O5ndizH8yc+1dVpOpeH&#10;b/SX0/VmuYbsbRaXSFWiVSRvR4yMkY5BVgQeoOeODvTJBM8UmCysVyOnH+NTGmo7BOtObvJly01/&#10;VrN/Ns7me3fPyNC7Jj8iK+hvhj+07418H3sVt4oll1fTGYCVJ2zcRgnBeKQ8nH91uD6jrXyyXPvz&#10;2pxlPA9BSdNNWY4VJRd4s/dDRdd0rxLpEGu6LMs9rdRiWGVONwPUH0IPBB6HrWjH97HFfnZ+yR8S&#10;rjT/ABBJ8PNQkzbXytPZhv4LhBlgP99RyPUDua/RZE5H8q86pTs7HuUa/PHmOh0kYuU/3hUXxHiz&#10;4ez/ANN0/rVjSwPNQn1FfFv7UP7UF94X8SS/DrwbBbyTWjI2oXdwC6rKRuESKCM7QfmJ78Voo80H&#10;FBOvGEuZnohjO/b0zkV8ZarAFvZQvaRv515xL+0H8UZrsXK6gqAHPlpBF5f4gqT+taXh/wAYHxG7&#10;JfbFujlgU4V/XAPQ+1eHmOAqxXP0R6OBzKnJ8nVnV6XEF1KMj1P8jXo1snH41wempjUI9397v9K9&#10;HtgQuD1zXzld6o96jE6Pw0u3XbM9P36g/ia9tv8AR4bjDMvI75xXjOgnbrFp6/aY+O/3hX1FPpck&#10;cY3KRk9CDXdgFeLMMZK0kf/U/gOyR/8AWpwqPJxSq3at/ICwrtGcg8ivcfh9LOt//wAJCwnKWFu8&#10;pNuAzNK6kRxkEjhyCGx/DnHavCCxH5V946VosE3w0uHittNsV0zQ7Gaa8eONRLP9pB3S7lwxWNjh&#10;vvcYHOK8zMcUqajFr4tPyPZyjLXXc53ty6/n/keS/En4oeLvjHo95Nq9/bQWulLE9vpHKu6jCmXd&#10;jDMM8gnPJ4r5h9wK67XdRi1HWbi+hAdZH2qQgQFFAVTtAAyQAT3J6881jlVPO1Bnriu2lSsrHl4i&#10;qm7lewgFxcKsn3c/Ma9ghu7C/wDCcGlSylZ7bzIltyvBV33B1b6nBFeYQFCccnPQjAxVl0uG5t5i&#10;reuSP5VjicI5212OjB49Urq177n2N8N9H0/S7db/AFZSLGARJIxyRl3QDGOcg/NmvpvxzoFzp149&#10;9H5stpNPILaeUqXkXarqxC4xuRww4HFflraeJPGulxlI7y4uLfdua2aZ2jYjoSmevp6V+xXw51Lx&#10;RqHhewfU7aTAskM8EzK5jyjJjeAMDyZCM45A9K+E4hwU6PLKcrps/RcizSjXpuEI2asfDPim1N6N&#10;RtEBLSrKigdywOK+KraxnnvRaKjb9+0oeuQcEfh3r7J8bapfaZPKmlQPd3k9yYbS3jVnZ3PfC8kD&#10;qay7X4eSWs/2u+tbmW9lzLdSfZnhQM4Gdq7e3rnnrXscPQrKlOUY3XQ+c4jnQdaEZzs+pt/BzwnP&#10;4T8WRarKyb4V/wBFmhOMSk7SeR0HNfs/p17c6t4R03VLxdk09qkki4OQxUZ6gH36CvyC+H8Wqax8&#10;RdL8GaTbSzNPKu1SRtMUXMhZnIA2KCTk9OnUV+zWrNHHZouRgcL24AAFdmEhV55yq9jfGToKhTp0&#10;ddWzgZgQ2M+tMTOevf8Az2p87DdupIyDz3rSaucKehoR8c1cjJ3YNVIsdfSvgb9qH9rnX/hj4sb4&#10;ffDqK1N9bRpJqN9dp5qxPKodYo48hSwUgszZ6gAVdOm5aIzqVYwV5H6LRnv2FfnD+0z+2d4n+HHj&#10;64+Hnw7tbBn09Y1v7++Rpj57qHMcaBlUBQQGJyc5xjHPAfB39vPxvdeKLLw/8S7PT7u0vbmO2a9s&#10;0NvNCZGADsoLIyjPIAU4718D/EjxA/iz4ha54lZi/wBu1W6uVZupV5WK/wDjuK6qVCz944cRjPdT&#10;gz9Wf2Zf2l/GHxr1TUNC8X2enxNa2q3EVzYq8W4lgpVkd26g5BBHQ8V6d8bPFMngr4d6z4mtyqy2&#10;tm5gLDcBM+EjyO+HYV8ufsDx6cdJ1hJEX7SLlZ1cgA/KhjGG6nCu3HTnNe8ftSv5fwU8Qny/Nzax&#10;oPbMyDd+HWvOklKq01ZJnuKDhh4y5tXG5+Nmq+I9Z12WS41y6nu5JH3s87lyT68/oOlUrO/urFi1&#10;pLJEWBDbCRnPrium8GeCrvxXfLHl44S4Quq7ndsH5IwcAscYHPWvcPDnwQsLHVb7WvF/nNoulxC6&#10;YQfvJLhWICoMbehOGOPwArvrY6jTbhJ/I8PD5ZiaqVSK07ny3IxSQ7jk5zn1z3r0j4QWV1qPxG0u&#10;GycxutwZmbP8EalmHvkDGO+a82mV3uWRUZfmIWMjkDPA/Cvs79nLQYvCGqL4tt7gS3l1pk8VuyJg&#10;25kJRiu4ZJKqwzgY5x2NaYrEKEdeuheR4KVbEx7J3foj9WPg+G/4QWx6H95cH85mr2K61Sy0bT5t&#10;V1F1igt4zLLI3RVUZJP0FePfB7CeA7AY4/fEf9/Wrhv2xtSvNP8A2b/EU1nI8TOlpAzRnBMctzGj&#10;rn0YEhvYkV+z5TV9ll9Odvhjf8D43PI82OqrvJ/mcrq3/BQz4N6VeyWun2uq36xhsXMMaCEkA4A3&#10;NuwfXFcXo3/BTzwk+ti21rwzfQWJl2/aobpJJVTPDGIooJxyVDfjX43GZ/L2qcD2qtXxs+Mcbe8Z&#10;JfI3/smjazVz+sT4afEzwT8VPDMXi7wHfRX9jKdnmR8NHIACY5UPzI4yMqfXPI5rtdXdTp8g9Ur8&#10;t/8AglzpV/a/D3xNrc5cW91rFvbwKT8pe3hLSMB2OJFBPf8ACv1GnjNzCYlxkjvX6pk+OliMLCtJ&#10;WckfI4ygqVZwT0R8ofs4Swp/wmiStAD/AMJrfcSytH1t7foFr6QLWWzKtZsc42rO+f518neL/wBj&#10;/wANeLvEl34jnWFZryXzZWCYLNgDJwRk8Vgx/sM+HlbKSqvuAR/7NX885z4Q4/EYutiIVFaUm9u7&#10;v3P9svAf9rNg+DeD8p4XlkDrPCU1T5/buPNa+vL7GVt+7PssLbGQjNrj081zjP41Li3K5VLcLnG/&#10;fIAefUmvjlf2HtDI2rcHPp82P/Qquf8ADEtmYfs39oTeVnPl732H327sfpXBHwVzJ71F93/2x+ty&#10;/ba4P/omX/4Uv/5QfWEnkD5g1oRwMeYx/rUZlgUZDW4yf75/x/rXyV/wwnobdbnr7H/GoX/YN0Nu&#10;PtQ/75/+vWi8Fcy25193/wBsL/it1hF/zTF/+5l//KD7d8Kv4FOsoPHLXQsBGxI0po/PaX+AZmOw&#10;IT949QOma/ky8VymfxPqMzHJe/uGJznJMjHr3r94Lr9hDwzaW8l3d3apFEjSysV4VEBLE89gDX4G&#10;6mbU6lcGx3eR58nk7uvl7jtz74xXRR4JxOUO+IafNtZdvmz+F/pk/Tap+MLy10sulhVhefR1vaRf&#10;Py6pezhyv3dXrfytr7t+yprei+H/ANo3wVf+JxP/AGZ/wktjBqLW23zRbTyrFK0YfCl1Vyy7uNwG&#10;eK/eL4ufAL4aaX+1/wCGPjR+znq+uJ4f1LfZfEFdctbSO5jtw3EttHBcbbhpIgoO4oRKoY/KTj+c&#10;nwFcRW/jbSJrk7Y11O1Lt6L5q5NftZrn7Hfgbwd4Ok8ZeJ9RhtbC1tFurm4fO1UKgkja3PXjHJ7V&#10;vU4WxOYJ1MM0uVWba6P5o/P/AAH+kLlHCOBngM5wNWuvrFLEUnSrqi4VaW0taNVttaaOPutpp30/&#10;SLxxbfDa0ubNfh5eanewmzU6hJq8MVq63e9wywrDNKGi2BCCxDZJGMAE8MXiJyAnp98mv59fFXxQ&#10;+HNhqLWvg/TJry3RiouLl3iLj1Cqx2/mT617L8BG+E/xp8SJ4IvfP0XVpwTZxyyvJBcsBkojhwQ4&#10;HOD1HQ9q+Oh4f1q1XkhVjd+Wny1P9O8u/bJ4bCYaNOpw5Opy/aliU5PrrbDxWm2iWh+0DqvVVGR/&#10;tGmAMSAB146mvkY/sMwgYF7KMdB5s3/xyoj+xM0WNmo3KkdCs84/9q17T8Gc0XVf18zppftuMqe/&#10;DUv/AAo/+4n11NEyPgDOThcMTn2HrX5+f8FA/HMGlfDW38F6fdoLu61KNtQtopMyJBGhYLIB0yxH&#10;B7jsRW/4v+G2r/A63tr2S91O4huzJA8iXEzsqKuWjBkd1j3bt2QATgjNfOXiL4U+PPjzp9zqnh/T&#10;57iwgF8JLgygbJN5mjjG8L5jIMZCknJHHJr56hwjXoZm8LUTbp2dkt9n56H5h9Ij9qVX404MxWRZ&#10;RlCwsMXF051JVuZqLeqilGCTdrO99HsfmfLcl2KjgdQK/Sj/AIJ1+OtQk8S638HbW+tbOfVrX+1d&#10;GbUVle1+2Wo/fRERfMGmi+6ehZAO4FfnTfaXBp2ozWF1J5hhbbmM45HUHI6jvX2B+xH4msfCnxVn&#10;1uDw5qGtlLaEGeydTLp6pcxyNMEfaHzs2lQwbbkjPIr9EweMqUX7WjKzs9fU/wAacRRi3yVVfXr5&#10;H1fbftbeJbfxRdab4xs7FrGGR4kewRzLIUJU53uqqCQTzu9MV8yePv2PfEfiLTh8UfhcqNpGs3Et&#10;3Y6ZNhJraFnIwWJ2lQ4YKB/CB1rwu+1jxV4n+Jk/hrw1LZzPqWvyWVhlFO8z3BSM5GeuQa/cP4j6&#10;no/gTwRpvgTRGBi0vTYLDzyAC/kRhC+Og3EE+2a+M4i4qzSlGjTxNbn3snr662v+J9tgsoyyvzfV&#10;aHK3u9vu1t+B/PT4w8C+JvAuo/2Z4ktzBIc7WBDI2DjhhkVyYUjmv0s+IkHgHxnp7N4mvLWMI5KM&#10;J48kkYwcEn39aX9nH9inSPiT49+16/cSz+HrAxzXKodpuS3KQq6no4GWI/h9zXblmdxqpRqRtL00&#10;PGzbI3QvUg7xPDP2Z/2Qfib+0XqC6jpqDSfDsUvl3XiC9jYxEjrHbRjDTy/7KnaD94iv6Hvgr+zj&#10;4I/Zi8Ox3Hwr8NafDqnleXP4m13E2rXBb7zKMfuVJ/gBQY4INfQngTw7pfgvQLS10Kwhit7a3WKy&#10;gtkCRQRAYCxoo+Ue/U965/xR8SNMsZtus2bDcdqyE/KT6Bvu59jg17NWo35I+UdRydkjx/xr4l8U&#10;6tHJ/wAJNeavcoik+RHJ9ktvoFUuSD7EV/Mz8QtVXV/HmuahISxudYvG5JbC+a23k5J4r+o/VfiV&#10;o89owtLJbpl5EEoAKj1A53Yr+UPxXNLbeK9UEgIZdTutynsfNbIxXNSSUtD0aDvFpqxx10TvaIk4&#10;DcVRlb5dpJ/Pird9hpNw781nNXpJ6GT3E6d61dNginJnuSPKjwGHPOayR05q7FKyW5iHAbkgVSEz&#10;TvptPectbRmIDoASR9eajnUXo8xclgvPuKyi3OT3rR02+eznAz8p69/xqJ9xxKMlrNHy4IyMgGqo&#10;Hc8H3rotXffP5g5DAH2J9RWCR6UQndBJWOh8G6/eeFvFFl4isdvnWk3nRhxlSwBAz7V7Zf8A7THx&#10;mmuVuItVWHZwI4beERn6hlbP5185wbvPXb61O8hdiVx1pcqb1RpGpKK0Z+gHwy/bUltbpLL4oWKm&#10;IsANR0tSGT3kgY8jv8h/4Ca+VviXNafET4s694i0Er9gu9TmmhmUEBos4DbTg5YDdgjPPNeUdjub&#10;9KfBPdWMwubNiGHQqf5ionT09zRlRrXaU9Ud/qHgGQeUNNDfvGKbZGDMQOrnaMAHsKz5PDeo6Dq9&#10;qLNxNIJV3eXn5ST/ACx1rp/DHiua9l8jaBIB0HGfwrZ0vxDp767PpcibZjhTPuyJHUn5ccYwOg9a&#10;8SpiK8E1JXse+sHh52nB2uzu9Mx/aERP/PQV6NAleSXGsaXol7GNTnSHDKxDH5seuBk/pVy9+Lvh&#10;OxhY2ry3Ug4VI0KKffcwwP1r5Z4CtUtyQbPoljKULqckjlfil4x8W6Nq66bpszWkGxZEmt8rIzEf&#10;3+ox6DFcp4b+OPxO8MB47XVr2eJhxFczSOFPqp3ZH0ziqniz4m6l4l8yzjhRbRsbYZQrODjGdwA5&#10;rzNUYgvg4Bx68mvtMvwvJRjCcEmfIZli3Os5Uqja+4//1f4DAM0nI6049BTScHFbvQAIzkdq+2Pi&#10;R8Q9Eb9nHRNI0nat5rcyG/A+8I7EAMD7GTbj6GvipOeB3rR8+WewSGRmKwsURSeAGOePTJ5rgxeE&#10;jVnTlL7LuejgsdOlTqwj9pW/r5XKu4k/XuaUEN7gdfeq7N/CKepIGP5etd9zzi2suB6e3tSiciqo&#10;5/Ol6dc/UVVxcqNSO5cgBSRz1GP/AK9e3fDn43/EX4bvt8PahutzGYjaXy/aYNp6gIx+X/gJHU18&#10;/gAnjI+lPWWZOATxWNehCrHlqRTXmaUas6UuanKx916D8ctDu4fJ+zwaTNtzJKrbkldsbiXI3DJ7&#10;HgDgGuoPjvTbg/Zbe8inkbkGORcn8Fr89Y7lt2WLY7gVq2+rSQyCSNipyCGHBBHQ59a7sPXVOKjG&#10;KSR5uJwvtJOcm22foTpfiF/D848SQ6gljPbB3WYH94oI2nD4OAx6+o68V6l4X/akfxckekeJSC1t&#10;PHdG7gUkFYm34IQfMWA/hH518CWfiy113TTPdp+8RDFOQVVGz0JHXkenQ5qHwvc3M9tG1iWGAQWR&#10;ipVjxkkYxxwuCKqty1U4s1wFaeHmpp7dOh+nf/DTHwrTh9UX8Y5R/NKtwftPfCJ3CLqaFmIUAI4J&#10;J4A5WvnHS/FsD6bBZkJLMIYIgzSqMucK7SO54A+8xJzjPWu0ispJ9fk0HSLObUpYn/e3abYbFV4I&#10;bzvm3DuNvJ7V8riMPOnLlbf4f5H2FDGU6kHNJWXqfU/i34ueB/As1nZ6/dMkuoLI1tEkcjM3lbQw&#10;AC5ONw6CvxG/aF1u28R/GrxJrVmXMU+osyGRSrABVXBVgCMYxgiv0y/aH17xN4Q+Hk3jTw1cqbnT&#10;3ERi+zq+I7hkQymRmBUIR90KckjOAK/HO8vLi/u5L68dpJZpGllkY5LOxySfqa3wFOorymeXi66l&#10;Sgmve6k+nQSTNLMpUCCFpWLMF9hjJGTkjAHNZ5wCas293JbH5QCpyGXpuU9Qfavon4TfCvTPi/oO&#10;q6f4W0q/uNbs44ri1SGR2WU+Zh4ySvlqChyGZgQR3B46q9eNNc09jHDYV1nyQ31Oe+EvjjxP4FuG&#10;1Hw5dSWxYrueIJLgDruRhkqe+K1fiF8cfFXi3xL/AGl4nMk6QSlUsdxW1wBtwqDj3yec9a+sPD37&#10;CXxqktori/fRIEChvs09wZGgPYGRISoI74cj61ha/wDsEfFfULx54b3w+yZwWE8/5D9xz+Ga8v8A&#10;tvAXlzVkerLL8a1GEIOyPJ/Bt5rvjfTRN4L8N3lzHFII90aAwLIuDgSEKoYZBxmtf4z3fxG8D+BU&#10;ttY0250xtXka1knZ42HlbSzRnYWwz49jgGvtP4dfszWnhPwPpfhy8t4tTvY/MnvZ4biS3iE8kjFl&#10;TzAuQi7VyE5IJzzW98cv2VtV8bfCIaR4UsNIsbhNWguPtV5fyzSxgI4bCqpGG3AHjjNcKp01P27S&#10;5Fre7enc+pr4HEfVnGEm5NaqyWvVH4padrtzZyHzdsoYHmUbmB9Qev4Zr7x+D9p4Yvfh3Z6ho203&#10;8F1M18jshlRJE29VIZo920gsuRuxmuP1X9hTx94etlvPE3iTwlptuzBUlvLm4XeT2RBAXc/7qmsz&#10;S/2Y/Fnh6/8AtekeOPC1rNtMfmQXVyrlG6qQIAcHuD+NddXE4bEKM6dTZ306+R4OV/W8JN89JtWP&#10;1U+DshPgiyBzwZgPp5rVhftURX17+z34ksdLtWvJp7e3hSBVLtl7iMblA5LL1FVvg3LD4a8I2eia&#10;/r2n6neBnLS2iFEzI27ZGoUFgCcAkZNe933hXxHr0bWekytEu3cstu5WQD5TucPGUABHc4x1r9Nl&#10;xhgKGXQpTqe842tZ9rHyGKyLGVsZUrRpe7zX6d/U/nYm+BnxngVXm8K6+ofAXNjNzk4GPl9a5HW/&#10;BnirwxqK6V4m0+80+4fBWK8ieJiG6EbgMj6V/SLdfBbxDqKQx2epOk8WXe5jhVw2R0ygix9UGT2r&#10;P0T9nj4n6tPNaX6R3CAjyZWu7pkbnrJbvGyc+7vX5/HNcPL4Z/19x2rLsT1pnlv7AmnvpHwDjs2E&#10;e3+1bl1kT+N2WPeT67T8me+2vuWOX/Oa9i+AX7Pc/g7w42j+LBp8cMT7rBdItdmxZMtJ5sZCIW3c&#10;hh1zyMjJ93k+F2mR3MR0+SWWJVCt9riUMCPTYMHPctk57mv0DK+PIYXCwounzcq3vuctThP65iXL&#10;n5FLy2PjCGXJwOldxoPhq61fErt5SEfu2K7i59hkce9eneI/gX8ZfFGrG50nXdO0mzT5La1s1uF2&#10;pnq7LGC7nuT9AAK7L4c/s+eNfD2sNrHjnxBPqYiQfY7WB7jyjIcgvNvA3BR91AME8npg/J8TeLeY&#10;ypSo5bQ9nJ/bbUrLyXf1uf174YfRl4NpxhmfEWeRrxUb+whGcZOT2Tn2W7s169+Z/wCFJXMVnHeT&#10;alDGZRvWJomyF9T83Ge3HvXjHxF1Dwp8Nb2HSdU1E3V5KpkktbOIFoI/4WkLuoUv/CvXHPSvpb4v&#10;fDr44arZxr8G9S0HTbpN8s9xr1pPdrK2AI4giABVJyzvy3AAXkmvl27+EH/BQaQF7rX/AIUyEnLM&#10;dFvNx/HbXwtDjvi1rmePj/4DD/I+/q+HnhJhcTatk1WtFfyVJpP5uV9PQt+GbvTvE3h2XxRC0tpa&#10;K7LFLeIqLKsefMdSHOEXoWPGc+hrwaf9q39m2CVom8TzsUYqxj0jUXQkddrrCVI9CDg16hefB79v&#10;W4gNpca58Lni2lDF/Zd8E2nqNuCMHPSsNPgn+3BbwrBHqnwrCKMKiabfooHsAlerhePeJlf2uNUv&#10;RQX/ALaz844g4D8Pa1dywGVVKUOzdSfp/wAvI/f+COIT9q/9mrIeXxQwAwcNpWojOO3/AB71+Mfh&#10;bwr8CtA/aBh+J2s+NdA1DSIPEc2sPpf2K7DyRNK8iREPDs4JGQRjiv3Yh+Dv7cKjB1D4TuP9ux1H&#10;/wCNmsuX9mb9qu4O6Ww+BzknJL6PeZz6n/R61rcZZtXlF4qtzcuq+D/5FHyeZ+GXDsoJZbTnTb3v&#10;Cbv99WR+IL+CPgBf/tFD4mx+M/D0Hh1/FCa22jfY7vK23niZrfasHl4PK4Axjivpb/goX8aPAfxB&#10;+EOm6V8Itfh1W0t9UibWLayhuYVhh2MIPM8yJF2eYAAP7wGBX6Ot+zL+1NEw8rSfgSWHIYaXeoc+&#10;oItq4j41/si/tOfGz4Qah4G1qX4X21zeXSRtJp0N/EY0tZA6OtwyMSS6kGMxYxzuzTw3FONjekqn&#10;uTfvL3dfuVzxsT4c5XSwtWUuaVVL3PckrO3+O2vmmfzGaXbvrGrWmk+aIvtNxFb+YwLKnmMF3EKC&#10;xAzkgDJr+gzwD/wTk/Yv+H/h+38R+KfHfxN1fxbYTiWJdC0q00mwiu4SGBBvPOlKBuNxKkjPyivl&#10;rRP+CP8A+0ZpWqprc2teDpIdMdNQuFW6utzRQESOFBthk7VPpX2J4m8Y3e/mJPm56nv7V0YrM/Z2&#10;dOWp+QRy+afLUjY+9/hj4G8bfEm0trPwvZPql19jSS4ktWjSASKpDgNcSRkfOpAB5PFdh4r+B3xH&#10;8G+H38Q+KbH+zgjlPsd1LF9rIQgM4iid/kXIyxI61yX7OPi3x7p/gazsfFur+EbLQ/s5uNNCrJJf&#10;KJ3eVhPuZVUgnPGetfUlxefE27sIdT+F50DWIZI3MlzMFRVdSNoUFxvBGTncMYAxzmvosN4gZpTh&#10;GdaqnZ/y7q+3fbqn5n6FHw6wmInGhQytrngrS9pb3nH4rt8qV9eV9Pd31Pz48banp+m+FLpL+1mm&#10;LKX8wRgxIACACSw5OTwAeK80+HuiQ+H/AIbW1tpsaxGeGbUAluMfvLpmmAA45+YD8K8k/bk/aQ+N&#10;fwU19vDfxr8JaZZf2pFPe6JqOlF5bO7VZGRklUybYZwAHZBI+A6nHPH2x+z2n/C7P2UPBPxX0jQt&#10;H0+UafLDqCXV6LVGSzka2EzuxGRIYvN+YdGwDgZPoZdxZThjquYV4O1RWVrXX5X2Pj8TwXWVGrlv&#10;NapQd3Gzd7Oz1V0rXvduzP5ENdN5Hrd4t8X8/wC1y+d5gw/mbzu3A85znNdF4F8f614Dvbm60vYy&#10;3lq1pcRyd1f+JDzskXna45ALAdTX6u/tTfsg3ep/Gi+8a+H7zwTp8epI/wDamnjV4Uia4cYMkY2h&#10;QJOpwR83Pevnbw//AME0f2lfGumPqHg2PwtrEUBCSy6brtpNsY9A+GyOOmcZr532ym20tGeXWwE4&#10;fE9exwP7C3g7/hLfj3beIrtM2Xhy2m1mQkZUTAeXbr9fMcMP90mvpT9r74g3EXhi/jtWKtdyLp6E&#10;HBCyZLkf8AVq+1f2Pv2BPi58K/h9qcXjGHT9P1XUL4teOJ1ucQwptgRTFlSMs7nLD73tXvmhf8E8&#10;/hT400w237QJfVZtS1cQaO9jeTWSWkEafv53C43Sbm2oGLKAM4O4ivi8XgquJzONWcPch19NfzPe&#10;wmZ4bDYCpT5/3kui8/8AgH80Hwr8D678TfHej/DfwfEkmp6xfx2FurtsTdIeWkbB2oi5ZmwcAE1/&#10;UJ+zj+zbrf7JvwjttB1yKLxFrEc1xcXLaYjtZLJM5O7dMqswSMIv3FGc4719c+Ffg38NP2Z/hLF8&#10;Ivh5bWAi061hgXUZ7SA3N3Krky3E524eWVDhm9GwAFwB8weP/ibL4Vjv8LqBt7VTPaW9nMVeDHLJ&#10;Gzf8sx95QQcrxjpX11epFtO2x8hSrzqR5I7C+JPjjNDCQ1s1rICd4ViP/HfavEr74rSeJbh7aUqy&#10;t8jBwCsgPZgeCPrUWl/FH4UfFa4jtPFTNaXrAeTfxjy0l/66IMhW9ccVv6x8Hbazh+36DNHcx9Q8&#10;R7fSkp8yunc6FTjB2nGzPD/Ep8Y+CZx4j8Mxz3ung75rVCZGhHcx9yo/unkdiRxX46/GPw/BqPxe&#10;19LNNp1dpNX05cY3TPmV4sYHJO9cdd2PWv3Etrq70uc2l5vQDhsccfSvmL44/sv6N8Tm/wCEn8DX&#10;bWmtW5M8ImGI5JByF3D7uSPvdqwUXGV09GdKqxt733n4n39s8ISX+CRQyn+lZPevqj4g/CvxB4f8&#10;y/1/Sryxt5Hxc+dEQlrcscOC6/KEkb5kbhTnAxwK85PhW1itFjgiSbLjIx8zKTg4bPBHUdq2eOUN&#10;JI0pZe6usHoeN89AKl3cYNdBqmijTdQns3PETfK3qDyP0rn3AyQvI9a64VlJXRx1sPKDsyMnAyKU&#10;MTz6Uh6VGOora/UwOl0i7thIEvY0lUD5Q/QZrtpbnwlcwGK7s4FdhhDbjaw46kjH5c15hBwSTngc&#10;1K0cn+uhO4dSO49eK4K9FSle9j6LLMzdKk4OmpJ90bD6OtleBpGLW7E+VLjr7HHQisu7CRvsjHHb&#10;tXR6H4lMDfYtQRZYHOGDDP6d6TxPo1vbt/aOlktbtjcjcmMn37qexqqeIamoT3M8Vl0JUnXwzuuq&#10;6r/NHH7v50fMxx39KjyQ2Kdv967zwTsvBWm2V5qnnXsjqYQGSKKQRM7HP8ZDYA74BPNei+GdN8Ke&#10;D/GUGreO45haszyRxEeaSem4qMEqM9ccntXkmkX93Y3aXdqiOUP3JUDofZlIwQa7HXr5vFXiCbxF&#10;qUaW4kI2WsTMY4lUABFLHOO/rk15GMg3Ozlo1rbc9zB16aocvL7yd1orebb3+R2Pxb0LSvFXiVPE&#10;Hw7vRqsN3EqzQ7BbzW7xKFAZG2jaVxggf/X5nTdJ8Bad4HubjxELiTWpLh4YbeNjGYFTGG6FSCc5&#10;J+gHeubl1MI5S0byccBlA/n1rn7kTszSuxkyfvZzye9Xg+eEVC+i27ixlSlL94o+8737fJb/AIsW&#10;KdLX/VqCff8AzzW5p+vyQoyKVXcQzDHUjIH8zXPw24lzvICqPmc9B7e5p/k2+PlU9erGuxq+55aq&#10;OLP/1v4DVIPH50HBXHenFcYPrQR3FXzgIvQH0Oa1Rb5iYjo6Bhj1FZKcNj2rpNLVZ4TD3B3p/UVl&#10;Vlpc2oK8rHNDk4/GpwcDFWLy1a1nKNkA8g+oqoXxzWsZJq6M5Rs7MfkHk8UCTHTioN56gUhy3Pf0&#10;q+YknZwTnj6il81SKi8iRhkZNMaJ06g1Lk+gXJuM9aaWYfyzUOW7ZqSJGmfGCfUDrilcD234M/Dm&#10;L4kS6nbXd6LOK1hifcYvN3s7EAA7gVIAJyK9L1T4QeKvCyBvD+pwXMEeWZQhikYZzg5LA/Su2+A3&#10;iDwU2jDw7pVutnefeuFkbc9wwHL7jgkgfw9h0717Xd2qys0QBIORgc1+KcQ8bZlhcyqU1eMFayaW&#10;q738/U/T8m4XwWIwcZy96T3ab+75HxnpviDWtOkEOpFsh+VZFBOeCOOv0r7S+GkusaHoqWN+s0Bc&#10;CeCOTIxE6jHHoO1dT8J/2dfFvjTW45/D2i32qyPLtiW2t2ljV1wctJjYpAIJLMMda/Uvwd/wTh8W&#10;eJ3tdX+JOrLpKxW7RNY6ZGLqcKXD/PM2Ikx0OA496+lyfjmvj68KFPDvks7z1snbRI8LMeHsNgKc&#10;pzrrm6R6n5eeNNQtdW8LXHhbUmVk1O3e2kDtt+RuMg4bBzjBwcHFfEnhX9iT46+K9clsFsI9PsYZ&#10;zH/aupyeVBImeHiUBpJAV5G1cepFf1UXP/BKnw7qFvbSeF/FepeHbiNh5moGztL66kTHCq0oIi7n&#10;Me0885ra0f8A4Jn+EoNJ1PTZvil4v1TWArRW92n2IJYS8EGS2VWZzjqruuc9q+mr4ytblpWj5vX8&#10;j5/63hJO9Rt27I/ED4U/8E+vg/4UEWpfECe58R3akFops2tiGHpChMjj/efB9PT7m0z/AIQ3wVp0&#10;ei6NbWGlafCpywWK0tIFUcEqCg56fxE+mM16N41/Y9Pwm1Mad4t+Lvia/ne2M8VlpXgyTUJpME/I&#10;JLfzYxI2DiNmVj19M8df/CzU/Bng3VfFUB8YalfXMMiabpvjeCz0FZBGAUZbTfJMkbkkMzQhuO/F&#10;fNZjltecfaVqnN5bI97AZthb+zox5b9bXZWt4tX8TXrWunwzX8cYDD7GEkRR1yFR/wAvlzUllpuj&#10;3GtWuia7frpEV1+7iuriJ3y5GQpAH4nPQA14f8MPhdrGraXda94/0m30Cb7Uktqnh6+ureKPap+a&#10;SQNGruCeNiDHPBrL8bab4UaG+i8OxP4n1uRF/wBO1hUuLTT5YnGC7eVvknIHyqSdowzf3T8/UoUK&#10;rtTp28+a6/FH2uH5Vo6zas/spSv99vwRb+J2dK1/TY7eeVwtu0UrHABcSHO3HVc5xnnH5VyPxJ8a&#10;+JPBnww1HxD4fmRbuNoYo5Z1Eqp5siqWCt8pYA8ZBAPY1yPxJ1S103UdLvZroyXl9aJc6mHVU2XY&#10;JR+gUHcAGJx1Jz140B4d1n4raZf+Ebi+sLPSpoIpYJogJ7x5I5I3z5W4AJ94En2r7mhUpU8KvafD&#10;b1NMRzKDjG8pH54alresa7fyaz4hu57y6kOZLm6cu/0GegHYAADsK+gPgt8LvFvjK6i1eG0jh0xW&#10;5vb9SI39fLQYMn/oPvX0h4A/ZQ8G6Bqz6rrk0utvEQYheosNrFju6AtvPoCcf7Jr6Y1PX/Dvg7S2&#10;1O7nit4LdQr3k2EjTj5UjXseOAAWPYCvGxfE0YpUsHH8PyR5FHLG/frv+vMzfCHw78MeDpPOMWbh&#10;gMvgeeQ3QAH5Yk9Bj8Grl/in+0boXgm3fw14dht9Q1NMuLGNj9lt2X/lpdy5+Yr12k8H+5Xyf8Vf&#10;2mL7VYH03wo8mm6dKxT7Zgm+vT0IhUEkA+uc+rYyK4H4b/C7VvGlyl54nia000sJF07OXmPZrh+C&#10;x/2fujtnrXVleQVq01Xxknr06v8AyOPF5pHWjhVt16L/ADM+Txf+2Z8R9alv/hZrmvXcUjmSaS3v&#10;G06wjY8BLdRJHlR6hQD1Gep9F0f4V/8ABUjVEDadq+spnn5vEjr/ACmr9JPhXomn6RbxWtnCkcca&#10;hVRRgCv0W+D3hLVfFmoRaRoVq9zcyDdsQYAUdWZjwqjuSa/WMq4VwNRXnCyPz7M8zxNN+5U+8/nz&#10;PwK/4K4RDcNa1vB5yvimQY/8jiq7fBX/AIK1Budb1/8ADxXJj/0fX9gq/so288MYvNXlSYoPMWG3&#10;BQMRyFLMCQOxI59KkT9jvRpm51q7H/bvHz/4/XbPhvKeib/r0OPDcRVn8VRn8gMHwP8A+CuEg/d6&#10;/wCIAOP+Zsl/+PGtJfgT/wAFczw3iXXl+vi6b+khr+xCx/Yy0EAM2t3me3+jx/8AxVav/DGmh/d/&#10;tm7I5JH2eP8AQ7q8ypkeVp/D/X3H2WAx9Scb/WJL7z+N4fAb/grWThvFetD6+LrjA/ANSt+z5/wV&#10;kYEv4v1dQOx8W3X9DX9jD/sY+HyTnW70c8DyI8flmqM/7GeiBc/21dED/p3j5+vzVzf2Nln8n4f8&#10;A9lVb74qf3n8dy/s6f8ABViQ/wDI46mMdz4svP8A69WI/wBm3/gq0f8AV+NNQH/c2Xv+Ff1neIf2&#10;VNO0OJTaa3JLNNIIba3a1XdLIQSBuEnAABZmxgKCfY1pf2WJIEH/ABOI8gDOLc9f++6f9kZbvyL+&#10;vkX7r1+tT+//AIB/Kbb/ALNH/BWUkmPxtqA+viy+/wAKv2PwN/4KhaL4o0Wy8aePdag06/1SC0up&#10;bPxTeSzJAWHnPGrAAsseSAeM4r+qO1/Zt1cHy7fU7Rj2Dxuv9TXzR8cvhJ4l8J+KNL1DVJrKS0tI&#10;pABA7F/tE4O35Co42rnOTTnlGXOOkF/XyM69R06cqixU9F3PzN0n9kr9p74qeNtV8NfB/wCPniPT&#10;DprxQLp/ii8vp57hvIjmkkhnt8I4XzQrRhNy7SSSDx+hvhv4ReIPhX8OtI8K/EPxVZa3rtjYJBqV&#10;6jz3E95cAkvKzMgILE/xkGvyr+OvjTxR4X8Dv4r8CeIL3R9c1a617WdOjhSWW3uLaxufKJbyWWSM&#10;sjRBHT+9g8Zx6FbfCr4t3ng+wudQ1PU7q8msoprieLV72AmV0DH92JwowTjg18RnmHpYaScaW/Yy&#10;4Xz/ABMnKU6spW0tp+bPuq6sIjbTD94BJBLG3XBDKQfrX4n+Kw0cik9SBXsl58OP2pdHuDLpupXJ&#10;iU5bzL7VF+UdcnzpFPHY8V4L478WaFFckeaUKMQUljdG47FWUH9K8FY+FWy5eX1OnN5e1nGUY9z7&#10;F0H4kfA7wl4Y8P8AhzX/ABPY/wDCQX+nRTxeH0lg8/jqshllSOMEcDzGBOflVjxX05D8abL4B6Oi&#10;64slrZagI/KYbDHHMXjQhZCVVQVbJPouQMmvgf4Wfsvr8ZNH0Xxl4ij8F6lo6XL6tZ6be6DFDdSO&#10;2Vzd38SpeTEMudrP5ZAAKnFfo7N+zh4s+L3g+HwxfReE7fTdFltfKUR3kpIxsWNI9jAgJ68Ack8Z&#10;r7eGNhPD+znq7Ky9Pke/g+JsdhsNKrKTgoqyl2TVv6/Q8Ufx18L/ANroQ+FvFt9p08seoXB0XTbM&#10;rPIYxEplkbfG3z/KwcAkDaME544H9pL9jf4D+A/2ZPHvjTQtMkh1Sz8K6hfQTNdTECZYCCwh3eWC&#10;fQKAM19n+H/2EIfDtxBqenPYWGo2Zl+yanoV09pcw+YD88b+ShVgTnqQc4ORxXOfHzU/2ovD/wCy&#10;R8Wfh38abbT/ABRp0vgrXhp/i61ks4LqG2TTpnAvLeIr5khkVQHRFPzEtnAJ+anS56ilVo2bfrt+&#10;R4NDipYeFSdKtdzTTtKzs/LqvI/iRudZ1a5jFtNd3TxKTsjeVyo+ik4Ff0G/8EDfhb41+LGv/Etv&#10;A2jXetXmlaZpDSmAqTBBcSXW7O91GGMQ/wC+e1fzwZw3PNfvx/wQR+GHhL4k/Eb4gy6/bSTX2kaV&#10;pV/pEkdxPCYZxPOC2IZEDjO3KuGX2r7CVWMIty1R+byqyj70dz9yfiz8UvA/w50KGDTEbVLsyG2t&#10;rGEFYJLhQDJub7zgMcEIPmPAavlnxB8XtQvL3T4fHE9sLmODZNHBhYkE8jSeWMcfJGyqSOMjI4xW&#10;x8dIbTStUD3slva2+nwfY5ZXkRZkGS0saAncHlYkNjt1OBXwN4k8S+Hb/VJdVvNQtnldi4jSVcgd&#10;gFznAHT2r5ivmbUtNTrweChON2fb3xD+Klg3hUxRxzXcpitzb3ySjaEtGYEsuMszR/JnIz3HSviV&#10;f2idG8RRanbappMlysO+ECCQC4Cqp2OMjHHBYcnbyOlYPiX4kwQLaxw6nDFp8OnzSSpG28vMzYjU&#10;Bc9OrZ7V8bXXjPRLLxedS8OXBeOWFHmyNqpMpPC8/MMd8e1VQx7qXO6GAhCN2jVgE8QaWHKfOWXH&#10;8IJ4H4V694G/aC8V+CZktrp2uLdcAo33seldl8PfBHhP4k2T6tbXEUKDDXMXmKoRj16kED+VeM/F&#10;JPB3hnWZbDR7i3u4x9xYmEmGXAIGM/h+NddnD3kzo54VLwkj728LfGP4S/EqFbbVo1iuW6jOx8+3&#10;rXajx18EfBKeYJpZ5fuqr4b9AK/IzTIC0q6gQ0J3Bo1Ukbcd+K9j0O+trq/EuoL5zk8Bjx/k1bxk&#10;+yucksBTu9XY++NW1rwr40WR2ghltJ4NvkTxq8ckb8FXRgQQRxg1+Vv7V37Pdj8LNJX4p/DSykXQ&#10;hKsWrWMMjMdPkkb93LHv3HyHJ2lSfkbHZuPv3w/DctArSqFIHCDsPSvRP7N0vxRoV34c12FZ7G/t&#10;ZLK9t3GVkilUqwPvzx6EVzSr3+NXM6V6T9xn8zWvakdan+1xhjv5YnqewBA4HtXOm3Kk7uo6j0r7&#10;h/ai+CHwi+B+q2GieALrU7vUbrzpru2vpI5FghUhYwuxFI3Nu+8ScCvjm9tyjfPw3cU8lzmji6Ea&#10;uHTUXtdWemm39XPaxuVVIK9X4vIwDFiMsfpVUKSw960nyBt6Cqe3Awfzr3YyufO1KNmWlVQuB+NK&#10;uV+ZTj3FQxuCNjdexqZjjp9KykdlNq10WYhHM2SAH/IN/wDXroLe5byvKboQUZT3HcVyQY5zWzY3&#10;8bERXmR2WQdR9fWsKsLq56mX4mKdn1MbUbNrK7eEklRyreqnp/hVnQtE1HXr5bHTIZp5DyY4I2lf&#10;GQOFUE9SK7L+wG8QyQWMckMUzyrHFPO4WHEjAZd8fKozknsM5r9YLn9mjUvg18Go/BHwljt9T8Ra&#10;68Y8SeIjIIglvtD+TEeSLfnJA5cDJzkAV9ctT03ODE5Z7Ot72kWfliNKOmL9hSI+djGwDLDHUtj0&#10;7/zrr/Afwp134kz3LW08VrZ2gUT3TqXJkkO2OGGMYLyO3AGQPevUPFPgWx0i7bwH4BvDrF48pXW9&#10;bgjARVU4MUBDN8mck4PPG454H0Rd3Xh34a+BrPw3pETGKP8AeTStEA82wHLuy8qdx28cgZxzg15i&#10;qSV29zSrUTajFWR8x3H7Pi6Hp0uoXpt5zEjNNPdzmO0hIONm6PBkkHfaSgPGTXzu2m3Oo69/YWim&#10;Kf8AeFFe3B8tvUjPOPevdPGfiPVtXE+t+KEtXjiiLWekQD/RIGPyqXjUgFlzn5iefyq18A9Lj06x&#10;u/GN3HK00pdI5BGVWJEIKuJPuqGkBBJGBtrpo1ZKLlJ3/r+v+Ccs6eqS6nzXrVncaZePpkoYPBI0&#10;bAjGXU4J557VjN5jNgDcQOQOlfani/4feBdX1KO81GG5tru7Ym8DK9ukcky+bG6h3JYSgMFJHJHQ&#10;dKwtL+GvhiVWttCS4na3YxvdxCJkmUkkHc7qCw6EoWXjrWsceuW9jGrhfesnof/X/hGuNBaOzid0&#10;O52wOPbp9a5ybTLq2vRaMjBzjCkc89K+yNQ0OwtUtJowu2yninUcHODliR9K8r+Ntvp9l8TYjpRH&#10;lSwwPwP4ieRiuGhib6DdNo8iv/B/iHTfKkvLKeNJv9W5Q7W/HpXe+Dfgt8QfFetro+iWu25MYuEj&#10;uGCbo/7y9dwHfGcd6/QXwEmj+Kfhq3hPXI43kgL5lYcqOqkHHcEHNYPhK6vvB3jfR9MlkHn6Zfhr&#10;C4HeGT7y5Gcgdx0xx6Vy1MxbVkjeNCSZ8eeN/gh8RvDEos/EGlzrvQywzW2JlIX72CuSQO/cdxXz&#10;xd2c9pKYZRgg1/UxqWjeFPib4dgluLW2afcJAGCgeaRtKHPZun5HtX4mfts/AGz+E/jmG98NQypp&#10;OrWv2+z8zJ8uQMVngJPOY37HkAijCZgnLlka1KLau9z4RCnucVIpCnI/OoScDFJXtJnEaMcyjrz9&#10;akZkYEAV6R8G/gP8Xf2gfEcvhT4PaHd61eW8P2m5W32pHBFnG6WWRljQE8LuYFjwM19laZ/wSW/b&#10;u1FVP/CKWcCuAR9o1fT1yPoJyf0pe1S0bM5cvVn50wzW6BlmGQTgcc4q/bxW0vyxneCflC/LID6D&#10;1r9ivh5/wRH/AGkNUlW5+I13oumxZy1raXnmzEejSCNkX8A1fenwy/4JYxfDm5RNOTw/DcquXupX&#10;mvLkj18xoxt5/u7RXk4/OXS92nSc35aL73+lzrw9GlPWdVRX3v7j8K/hH+zP8afiBfQ3mk2Z021D&#10;BotU1QtbEYPGIwDK/qCFx71+u3gj9nrSNH06K48VTHVLqJFE1xIPs1ozgckLuJP0LH6V96/8M46L&#10;4JhZtd8V+H7ER8u0+XK46nYWTGOpzmuWt9H+COsTItr4v1jxBK7hE/4R7QLu7j5OMrIoeLb7hunO&#10;K+JzXLMZmUoyr0UuXZafmfUZZm2FwcWqVV6+v+R4zYaPoWky79FjkRmxuNpLJaw4Xp/q2Utj2A+t&#10;dzpuu+K7O/gvbXWdWt3gYNEYL2eNFx7bzvHqGyCOuRXsnjj4aeDPh74Rl16S28SSGQ+TZSXiw24l&#10;nZSVBQoXKgKS2On4183JHc6miSFJIlkiRmjl5IYqNw4A3AHODgcV5tXCVMI1CTt5JnrYbEUcUnKK&#10;v5tHVan8dfG/xF8PzLonxL8RowUxz2EE7WNyi52kAxwICP8AdkzjNeKeGPh8NLvf7WjvNWuJWcyN&#10;c319O5L5ySQX+Y59jXT6d8OvAvhaWfxhLbWNn5KM02pXJWJYw2d2XchVBz9TXz18RP2svDOiFtK+&#10;G1sdXul+X7fcho7JD/sJ8skvsfkX694jg62NqJ04vTzY41aGGg07K/kl+R+oPwh8O6n4tt1Gj/FF&#10;7O7K4/sxbu6DxNn7vlvLCD/wAMPSu+8Sfsi+P30y4m8O6/p0+qzkv9u1e1muUDNyXZBKGkb03OR7&#10;HpX8vOs/H/8AaA0DXJdSnggubdpWlACGNgGOeGTgewxX0x8Kf+CpXxa8BeVatfajYorDdBej7Va4&#10;9twfA/AV+hYfI6MYRVWF2vN/kfEV8yr87dGaS9F+drn6A+Of+CZPx78Y6qdY8Y+P7C+n6RiW0uEi&#10;jX+7HGj7EX2UAVwzf8Eovia+AnjPSCQM7fsVwOeveUV6r8Pf+Cv8Wt3EFj4p0Wz1OJzGpvNIkC53&#10;lQ25GLAEZz1XPSvqPWv+CiHwC0+8e0utB8QO4VCrqLWJXLg5C75t3BGOhzXoTqYalGzSRywxOPb0&#10;1+4/LTxP/wAEpfjGPEKX2qT2+safboPk0qXbcTHOSNk23YP90uT29a9y8J/BYfCXTxpmr6RPpESp&#10;lLPyWjZ/eSVh378s30r6l1P/AIKhfBHw6jTSeGdUt414Ml/qdlbLx2yxb8q8a8V/8FqP2dbWB7Vt&#10;A+3ggj7OmotMrfUpaOn64rwczyyjjWnCtJW6WdvyX5nv5dxDicPFqdJO/W9n+bPmn4tftF+FPBMZ&#10;0WzjjvtQXKwaXaHEcbHvM68j3UEue5XrX5s+N/in4t+I2vm3uHGqX6ttjs4vlsLAHswXgsP7o5P8&#10;RJ5r7a8VftPfsmfHe4uJoPgdHpy3mRNqWmatNpdw+7JyDboi5J65jPvXhun+FfBWi3bx+B7CbT7E&#10;nMNtdTrdyoPRplii3/XYPxroyvJ6OFXMlzS7s66uOrYrSXux7dzlvAXw1SwuF8QeIpGvtQcDMsoG&#10;1B/djXooHoK+u/CDeRMn/wCqvKbCIxkAfhXrngq3t7vVYLW9uEtYpJFWS5kV3WND1YqgLNj0A5/W&#10;voKCbknIKlWMYcsVZH278EfC/iHx54ht/DnhmAz3Mw3EklY441+88jfwovc/gMkgH+gf4D/D21+F&#10;3hiPSLFYJbqRQ1/fEktPJ6DgFY1/hX8Tkk1+XPwE+J/wA+F+kf2T4e1VWkl2m7vJ7ebzp3HQk7Pl&#10;UfwoOF9ySa+5PDv7T3wvFsG/tYHAGNltcH+UdfU4CrUrNQjB2PzvOKkpX0Pte4utQkIz9nAU5H3s&#10;/jSx6hfjlnt0A9FZj+rCvkG+/aj+GUSgnU5uef8Aj0uP6oKyG/an+F4ww1KYkfwC0nz+qCu+rhqk&#10;X8D+48zC0W7M+97PWboEKJozx1MZx/6HWmdUvNuTcQ5/65N/8dr4Ctf2rvhxFz51+3PVLY8/99Fa&#10;TUf2xPBFugGmQajdMR8wZEgAx7sxz+FeVUw1R/YZ+iZUkopM+9/7UvWJ/fwEe8Tf/HKz77VblY/m&#10;ni6cbYyP5ua+CLD9sbw3cSeXfWOoQDb8rIY5eR2xlcfWlv8A9rHww8LGC21J2x8u5I1Ge2fnPHrX&#10;M8NW25D3HZaH0m2pPq/iK61SSdvJsA2nWhATmQ4e5flT32Rjv8retULzW5skG5k+gVP6LXxjZ/tH&#10;6Np2kQ6cLK+llRCZpd0QDzOS8j/eP3nLHp3rKn/aOt5htgsJvq8yj+StT+pVb/CROurn2/pGqO07&#10;MZpSOnVR/SvhP9ojx9p8NzrXibVpHlttL0++u0DkMqm3hbaxHA4CE9Kr61+1JJ4X8OX2tvp/Fpay&#10;3AJuAclFJUf6vueK+Gvih461Pxx8CW1p4vJufEBtNLit1Jk/5CF4lqM8AnKOWPH3c0nhZx1kjys0&#10;xVqTj3L3w1i8FeJv2S28YTa4LOKHQrn+y7GSzn824ht7IKJWZguBc3KybARkIysa95060S1sLWz2&#10;f8e9tHCcnOSigf0rwj4rf2nD4Ge1hZgl5fWGnSIEBURXd1FBJzjIARj0Ir6BKyRHaG4/TPtXyHEz&#10;9+EeyPf4FpKKrSkt7fqW7S2sJrgwXYAHllinUFsHgnp+FfzL/tP+Hde034967oOmXV2iS6jJJFGk&#10;7hVVuRgA4A9sV/SbqBvpLbZC+3J69j+XP5V+J/7TfhVE/aIuLpx+8lWzu3Y4BIKKCT9cGvHyihzY&#10;i0tdD0+JoRUIuOmvQ/XL9jTw54Wb4B+H4dQhD3KWMYlkLuGJIyc4bjk1418SP+Cpvwb/AGYvjVq3&#10;wL8V2c1vDpc8LXF3HHNLKWmjikB2glSuxsrzngZHJrG+BHxL/wCEa8K2+iKw2248pe33civmb9qP&#10;4SfsreJvFifEnx14fe41fWrp31G5tJpA85SIJudDIBnhQNuOnvX38qtDDxdSvFW21vp9x8nmkamI&#10;oqlGT32P0I0f/goZ4G+NXgPUtU+FEs8MqQ77XUrq2nt4XKOu5IzPGokdhlQEyc9M4r4T+PH7T3xQ&#10;uPhF4x0bxTLc29jqXh3U9OaXUJQVeS8tnhEYUufnfO1eOvSuxn1ibStH0gX+mafYeHbOa3tdBKXn&#10;2WWW2hkVYFVF+eR2j+YKyspVSOmK4b4v2Wk/ED4d6/o2saQ/lz6VfzRQTyRSkTWkcksUoMTMMqyC&#10;Qdx3wcisc7rZa50pYGbkre9r18up8Bk2CxknVeMgo2fu21082fzDkd6/bD/giX4u8R+GPi541Ph2&#10;4vrPzvDMAmlsoYpjhLoFQ/mxyKoy3XAPGM81+JmTwPXmv3s/4IGS+X8bPiBG27H/AAhsMuFBYnbf&#10;xDgDqfmrixFJThKPc9r2vJ71rn6F/HLx7ruqapNH4tvNDvpcnNxeaZpZmOezM0G4MK+U47TxKkh1&#10;nwnbWOxiczWmlWRTgkEh1gIOCCOvBr98/FXwz+CPjG3SLx94a8O6hOzHet/pcNxJuIzgyeU3zAfe&#10;O6vzP/a1+Jvwt/Zc1nQ/Dng/4U+Etb8P6rYzXbzxB7Y29wkpBUxRrja4IYHHXOa+Lq8LR+KOIlf8&#10;D2sDn9N2prDI+DPF/wDwm91HK2ts42qEMk1hAojdxuQZ8oAEg5AzzX5O/FS/+J/gz4gKfFzwX9le&#10;L5dtdQW0USSxgk/wqCsqZ+bnOO+0iv3C0X9t/wDZt1TTJotX+EelWkyuM2yXFwsMzKcDEiW7gYB/&#10;jAx+tUbn9p/9i3xHA9t4k+DWivbq4kWO6vY5AWA4YLJCBn8a68oyarh6rbnzRe99/kdGY5lCrT5V&#10;QcZLqrWPx+8MXT6rbmK2ndd65GxyocHtxWslvdaPcCQchvb/AOt1r9VPEXx//YHt/BGp+F9J+GWn&#10;eG5dYspbOPUtMFjdXFk8q4S4VlPmII2w5CkEgEYr8+30Z9W0l7pVDtbOYrho+V3DgOPZv8D3r2K1&#10;BxehyYau5q0lY0fCnh+fxTEf7AvgZ2GXtJMI/H1PP4V3Vn4F8V6W23UNkAHO6SQZ49utfPQgu9Nu&#10;hcWsjxuhyjocMCPevojwJ8SfCGuNHo3xQtQH4SPWLfIlX08xRww9+tc9428zduS2PoD4feKiqppl&#10;zIss0eBHzw/+zn+X5V7xYXiSXYmjJSIqXkUnAQjlifTHevG7f4XS2EEeu+E5Y761bDxXEGH47Hjo&#10;f5Unxu8Sp8P/AIE65r+tTLp91e2EumWXmZVnuLlDGu0dc4JY+gBNY+zldX2MIqNSSUOuh+NHxz+J&#10;S+PfirrviPTT5kNxqEwgmGeYI2KRBfRdoB+pNeHXMvm58w5J7+9bE6WMFukEE6nAzIVBOW/wrnXe&#10;z3EO79fSu/D0oxilBWse9mFaT0lIrTIyHrkdqrhgThvSrLzRkkR9D2NVXHGR0rvh5nz1a28RGGDm&#10;riESLs71RByMflUwOORTmTSnZkjRlD+OaZ9eavRlZ0weoFQshUkYx1NZJnQ6TtdbGrpery2RCP8A&#10;NH3U1+ivwM/bIi8A+FoPDHjPT31axgHkQ3qyFp7aE/dWSEkCVIz0wwO3jBwK/NTYQOnHrWrp91Jb&#10;sGU8dD+NYVaSupI9CliHOm6NTVPbyP231bxn4D8T+EpLn4WR2EtveERfarSyIVE25eOUqo2v1OHx&#10;jI4NeVXuupd6MPD6od0qt5McfIkw+1Vfdnjqx7A1+bvhPx74q8D6jJN4ZmkSKcfv7VXPlSgAhS6A&#10;gFlydpxkV6h4X+MeoX99HLereCSPeigKzoAwGSdo5JI54FOph+qPnZKUJOL3Ra+Pb/Z7a9j05Fa1&#10;DwxI4VQ58vgykqNoDsTjHXjrW18PfFVj4f0WHSZr2KJLWxtrqOFlWRZ5xvwud2F8tn8wFlI3jOCQ&#10;BXP/ABS/trxNpc/2NWMLXcbYKgAowzjOAx2knjtmvJ8yI8Vgy/Iq7fKcFGjRFzk8ZL59T9OK2weB&#10;hVi4c1jPF4yVJqXKfRmpeOIdD1q2t2aDU5ptEl0+1NzIsu6aZ2mje7dl8osrNsG09yTjpXOa1cLo&#10;kcEE2lwahceUv22bU2WSRZiPuRwIxSKNcEDb1rwcXVvYxSXsPAKqJ03Myxy4JBULkc8Z9Khu/F2q&#10;zIk00xmkKjdK5DbuPVuew60q+VOnsyaOYqo9Uf/Q/jhjv3u9HJcg5jK+/A7/AI18+69fXWu+Lrae&#10;ZtzDyoz7FQM/yr6MsdDeOy2ycblz7c14cmktB4/itZM4FyzjIxngEV8/g52Un5HoVY3kmfW3hK9n&#10;06DIAbz4Nkg5wDjg/UZrvNW0y51OO11S2AE8F1HJC+Pu4BOPTBxzWh4J+H+peINJa6soWkWCI3N0&#10;6sCsUTYUM3oNzKv1Ir6Dsvhu9r4WNzvSTyY1mCqeTtIBA9zyK8XEOe6PVp8ijqel/CvXHbw/FNcK&#10;wEsYYqfX8+CK6r9o3wz4P+I3wggbxWzR2UWuWU1zJEFMkQYmOTYzA7TIpAP0B5qv4P8ADsOjaHZ2&#10;OpNH58kIwC20Bgu52brhUAJZuwHQ8A/Kvxj+Lk+q+Fr34dRR7457qC4EyFo41aBgwwZNrMCCf4V+&#10;lVl2Dqyd2tDHGYinHZ6nyN4i+CnwofxPqGm20NxbRR3ksdujsTOsYb5Q5GAXx1wv4VZsP2O/Bus3&#10;dvINU1mxtXmT7SyWqXUqw5+fy4y0WW25xlgM9a/SLwr8Evhp8TtN0zxYupaRY3WtG4l1KXT7q4N3&#10;ptxsZwbqKZDv3sBhosRkNhWypFedeIPhbqvgDxRP4burs3zQOPKuoHYwzxsMpImcHDA9CMjoea+e&#10;zahmuAmq31l8rei3XpqfT5XRwONpyXstYpXe3z3P0C+APxa/Ze/Z08BW/wAPfhH4T8TWtkm2W7u5&#10;7a0+1384GDPdTG4Bdz24CqPlUAcV9Dwftw+BUUi30LW84wpxafy+0jpX5daB4WvkjWTUphbxEZ/f&#10;E7mz2VB8xr1jSpdE08BbKHzmA5muACMj0Qf1NZUeKsTN3lb7jz8RwxhE9Lv5n2Hrf7Ws3iNvI060&#10;1mCJhjZb3Nrasfq4iuGH4MDTV/aDgsdAbQv+EbjlgnJe4a71aV5JieplkW3Vj9K+Yobua9bzFAHH&#10;3toVfwAA/lVlhFC2ZD5sh4CD+grrjmdeTU1oRHIcLFW5fzPUovif4O012n0fwL4Ot5H3bnkSa5f5&#10;zljk+WdzHq2QT613kH7UXxklAttMg8NadDjEapYTlto9FN0Rge4Ar51vJLXSrFtW8QXNvptrGMtJ&#10;KVDfmcAH05z7V4Drv7U3gzRrxrHwxYXd/GMiS8LLFvP+yHBYj8BXfQr46tdUrv7v+GIrYLAUrc8U&#10;vW590+IvGXjb4krFJ4zuoLs2oYRyxQi1giVyCxCgkbjgDJJOBivI/HGvatoulEfDu0sNV1HeF/4m&#10;c8lvaxrg5b92js5z0X5QfXtXylL+1RYXMQin03URH12CaNh+RxTH/ad8PlAsel6gBzyzRkA/TPP+&#10;eKmWR4yb55wbfnb/ADNoZhhIx5YzSXkcR8QvAf7RPxGvVvfFM2lXRjbdBbLfMtvAf+mcS26ov+9g&#10;t6mvL5f2dfi48u4WmlsWOWIvm5Pbkw819G6b+0BoWpXsVhaadq09zO2yC2t0SWWRvRERizfgOO9f&#10;V2iWtjBpkOpeJYpba4liDnTHKPPGT/DIY2ZAfUAn61018zxeFShJKPlZGdLCYWs3KDb+8/M5P2fP&#10;jbHF5cdlphXoSb8Z+nMeK9f8Bfsi+G5HjvfH0UOp3gG9bOFcWsJ9XY4MmPVtqf7J619m6hfQ3cm9&#10;Yo4UHCRxjGB7nqTVYfapYfJV/Jt3bLl+AxHt1OPSuOtn+Jqx5eay8tDqo5RQg+dR18z508R/szfC&#10;q9uvtVlZwNdoQBPEDDHER0xJFtdyO2CF+tfOnxW1T4XfDZ5dP1VpNc1RB5f2fz2ZyR0W5mQgkL0E&#10;Z3Pjg7etfpTCnh2Sza0vk84NlWyxQ4YYIG3OMg9jn3rzR/gl+zvLc+e/hbShIeC+MdevbPNeTCpH&#10;mXtJSsuiZ3VVPlfs4q/dn8+vxY16/wDF+pebexwW6x8QafYxLGIweg2qPlz7ku3Uk1o/Dr9mX4ue&#10;O5oX0jTZI5Zh5tla3CMskyj+MqR+7Qf35dq+ma/fG0+AH7Mmmz/arXwrpMcocyeYo+bcT97JXr71&#10;6lZ2XgHS0b+zUe3LgBzDc+WWAGAMgdAOlfYUOKMNCKhGm7HzVXIcROXNKSufll4C/ZX+N3h6zF/4&#10;0S2s7WNd8oLgFRjuSFAI79vety4hFlNIttGNqyeXCrS72kH/AD0HH3D1DE4PbNfo3q2neAtbkB1Z&#10;JrnZ08+7Zx+TZH6VzjeBPhNJO040tGeRt0j+auWJ45JFH+s9Ju/I/wAD06eUzjG1z4jtBgqW6+gr&#10;0XQ5dsgU8GvqFPAXwqUjGljJP/PVf/ia3bLwP8MY/wDl0jjx1/eHP6JXXh+KKKfwsxqZXUaaucL4&#10;RnAZMHB4/wA9K/XD9h79m/Q/2k/EGoaX4p8deGfA1hpNit5cah4hnWN597FRHbxO8YkIwS53gKMd&#10;civz70zw74EhdRbx7R7TbR+qV6Vp39hWS4tpGUDptuU/+Ir6vBccUqcbRjJPvZf5nzmL4eqTerVv&#10;68j1v4s6Ro3g3x7rHhLw3q9tr1hp2oT2VtrVmrJBexxMVWeJW5CuBke3evKEu9jZBBx3JraA8M3W&#10;PPkuHPr9oX/4ir8GkeDHG9vO9P8Aj4T/AOJr1avHuHl9iX4f5mOG4bqrqjOt9QcuCDnJ/CrstyCw&#10;OSe3pXTWWieCjgj7R/4Ep/8AE10EeheCWA+S6Y/9d0P/ALLXDLjWg/sS/D/M+kw2QVbbo4G1mC4Z&#10;D79ck1pS6gSvPPGATXexeHvCBGUhuc9MmZQP5VL/AMI34PY8x3BPvMprF8Y0P5X+H+Z2f2RVS+JH&#10;l5vGNAvyoJYgc9M16cPCvhVnwsM/sfNH+NQSeEPDjPhYpsZz80qkH/vk1L4vodn+H+Zk8qqd0fI/&#10;7RHjE6P8OW022IM+qXkNjEuclhnzGAHf7oH1IrvPGWnx6ZdeA/AcZAEOoi5kVOhTSrGU7vp5zxn6&#10;4r1XxH8Evhn4vu9OvfEdpNO+l3P2yzC3ToiygqwZlBw3Kjg/1rtLvwD4P1jxBaeKL1bl7yyguLa2&#10;fzfkVbsxmX5MYJPlLgnoMgdTWdbimhJJa6Hn4/IK9XlUWtDwv4lXEjafpGmKxIu/EGmRbWY4O2bz&#10;m/SMn8K95iljmmxnoe446dq4r4heD9JuL/w8bYzCSLWlnjBYAZS1uBkjHON3Q9+a6x7eSKTasrcD&#10;JJCnGe3Ar5TNsbDEVFKGyR9Dwzgp4WlOE92y1cTW4tgQ3G45xjivyz/az8P6rcfFe21Cw07ULlZ9&#10;Khjaeysrm5X9zJIMEwRuA2DnBOcV+jnizVdJ8NaBc67r13FaWVlbTXlzc3G1Y4YIRueRmxwAAc/4&#10;1/Nl+1h/wUc8W/F6+ufDHwllutB8OQ7oBdo3lajqK8gs7rzBEw6RqdxH3mPQZ5RGr7dTprYOIcVB&#10;QSk9eh9jWfxj8GeEp2t9d1E2BDYaO7tLuNkbHIYGHg5r5m+Nv7SOn33jizuPC0a65p8CQefP5zxL&#10;8rNvSIeXuXgjDEcMScHivyf/ALXv7u4NxcyyOSejMSAPQc11FprTRoI3couOQh+ZvbPYV9fiaUcR&#10;T9nVV0fFSzOa1ij9H5P2rfHfjrx14Uh1C0ttNj0e5kuUvkmLrbEQyxxqFAUbRmPl1JyCe9fRWo/G&#10;a11Lw74psZNVgYHRZorFzOhnlMsMiSKrYUsX2g7dpZSxGSCAPyCsfEt6kYFqkcMY/ibkn610lr4l&#10;X+OQn12jAOew9ayWXUlTUI6WOH69K95K588TW9zbShLmORCvZ1K/oa+nP2V/HfxG8C+M9R1X4a3u&#10;sWV3JphjmfRmUSmISo2H3EZTcB074pDq0F2hNyqqO3mEE/kafa38umf6ZprCIMMeZCPLJHoSME1t&#10;icK503CL1YsPioxmpTWh+iGl/ttftr6FGBaav4sul6oJLZ5iR9E3dvanXv8AwVJ/bC0SZ4PF+hS3&#10;9vEcr/aekgHAxgnzoWOPyr4G0n4veMPDVyZdC1fU7KQrsLWt1LGSvXHysO9dVpv7QXxLtXlY6zdX&#10;fncTJqJF4HGMY/0gOQMH+EjNeJ/YtWMW0036yS/Nnp1Mfh5yV4aeib/JH2jZ/wDBXvxEdsfizwD4&#10;emBGZC2lWxO49cfKmfrXbab/AMFTvgTqhA8SfDXwlk/e87Roh168qslfANl8XFlcf25pGnXfOSYh&#10;5Ln8ty/oK9K0PV/gJ4unMOpQppU0nSO/hQx7vaZflGf9oCvMxU8VQXNOhK3eMr/pc9TDYbA1naFW&#10;KfmmvyZ55+1Z8Z/C37QHxVh174XeGdG0vSrfSYbRLHRdPaKNpN7SStJ5axFmJIGSvAAA70vwL+Me&#10;oeAPHo8N/EmCcaTrhEC3F3E0SJKuI9yB8fuz8uR/Cfavq/w18JfB1ji70WKII2CJINpRs9wykgj0&#10;xXceNfgZ4Y+JHgp/CesoFxuls7tP9bbTkcSIe/ow6MOPQ159DihSkoyp+71fU9DF5BFU/dnr07fm&#10;ef8AxA+GqafqBn03m2ny8Djkc87c+3b1FeJah4bvrQ4lQgjnpX0f4Dv/ABD4TtrX4WfFLbcT28Hl&#10;22pJuMdzGp2o6kgHcBgMDyD19+n16x0vTZ/sesW4ljYbon6bl9jXvR5JK8XofPc8oPllueCfDX4x&#10;eM/hbqAk02ZmtWYedbOcxt/gfevDv2zfit4j+N3xAsoIS8WlaXpkRjhziNZ58tK5AOCxwFHste4/&#10;EHTvB+kaNca/CZLdUA/cH5lYnoB6Zr4a8W68urXRmjeNFAChc5PHQ+5xWCqzjOyPo8tyyFaMq9RW&#10;X5nidzYyWzHYxPuarCVX+SdQf0NdFdXlmrsCc9u1Y8jWc53Jke/vXsU5trVHkYrDxjL93L5FY2qn&#10;mF/wbiq0iuh2uP8ACrm0Icgg89qglfb9K3jJ7HBVhG19irwD7HpUynPy1WZgSSo/CpVPcVo1c5Is&#10;sRuyHIJrWR0nTIwGHasYdOKlSRkIYdf8/SsakbnoUK/Lo9jSAAP8xUyoMZWoYmW4X0anI7odpFcz&#10;R6UbF+QzfZy0fDR/N+H5dq7H4Z+KxovjjTbzUAtzbLcqk1tMA8UiuCpV1IwQc9MVh+HdaXSdatdU&#10;Ko7W80cwSVQ8b7GB2urAhlPQgjkV+y2geD/hL4/0+28Rf8In4Xs7GeJLqO4ksofOIYbsgqF249f1&#10;NcWOrr2U6Mk/eTWnmZ18K/aU69N7foeI6ZffCHaZI9DitPMGG+wzSRgg+iFin5LWbqHgf4I67ALW&#10;K6vtPZWLK0scVz94YIZiFdhj1bI7EV9jafa/AwQPp1po+lzwQpiS5a1RYB/21cDJ+mfrXm+vfC/4&#10;A65e+d4e1OSxm2tK1pYzpcROEGWAWRiy8dwcD0r8mpcPZhRlfDY2V30vf/0q59RVzfBVo8tfD2S/&#10;rofLlx+yLpd7ZLq+j6639juS8009uLfbg5+8SVYHHrnivkX4r+GfBeheJBpnhe8uLu3WIZuHUDcw&#10;4OBxx6V9zftIfE3W/iL4x0b4QaIksejaVbpbww6ZDiSQyIpLuo6lUKpuJwoBPc5+GvEvhw3XiOfT&#10;vJ8lrNfKkQN5nz5Oef8AOOlfq2Bq16VKNKvVc2t3pr8kj4qthaMpOpTp2v66f8E//9H+MG28X3iy&#10;LDMM43Akeg7V5v4w1K4k1ODVUO2SLp7gZxWyn/H3+LfyrlvFP8P0/wAa8SjBc1jvrv3rH138Nfih&#10;4psP2eviD4qs5Ak0c3h/R4Tk5Rbu4luJG/8AJYD8aPhL8UfixrsaqmoQCMS7j56tJllI5KAKvXnr&#10;15rznwB/yaf8Q/8AsYfC38r6t34A/wDHt/21b+YrzM8Sp4ZygrNHt5HFTrqE9UfSnjDxj4p0jVLO&#10;71y7Opyqu6JJVCRx4OW2hfXAzuDZrivGnxGPjbVBrXiDS7KWYIEVE/cwjaAufLhWNckKNx6nvWl8&#10;Vv8Aj/s/+uTfzryOf7o+p/nXVklWTwlOTerR5Gb0o/Wqit1PojwR+0b8SfC8FxpXhK5h0e3vY47e&#10;4XTYURpIoz8qM7h22jjABHvX0XpviTU7+xtb2Ry11NCXkupPnlPJ/ibJzX59aH/x8J/v19y+Hf8A&#10;kG2P/Xsf5mvM4wbeBu+6OrhrTFNLsdfZTTzSF5ZGYn7zN8x/X+tel6SqwKNoyPVjknNeYad1P1/w&#10;r1HT/uL+Ffn2Wq71PuMToehaTp0t/C9y8myJPvBRljjsO1eZeNvinH4VnutC8NWoF7Cnz3NyAyDK&#10;5BGDk/8Ajor2Pw1/yBp/qf5V8cfE7/ketU/65r/6LFfaZHQhVxMIVFdHzObYicKUpQdj518T634m&#10;8bX733iK+muSrlV8w/KnskYAVR9BWBFpkMQyv0yeTWnB0l/67Gk/g/Gv1T2UYpRirI+BnVk5pt3u&#10;cpfXQtpfJRctjqegrtvhb8P774oa7cWC3a2dvZCN7ybaZJcS5KiJOFzwcljgf3WrzzVv+P7/AIDX&#10;0r+yj/yH/EP/AFzs/wCT15Wb1pU8LOcHZ2PSyuCqV4Rnqj628GeCvC3wzsWs/CdqIZpkC3N9IfMu&#10;5/8AfmPIX/YQKg7CukEjytkHBPfvxT73/WD/AHRUEHX8TX4/Ocpy5pO7Z+lU6cYLlirI8f8AiZ8e&#10;/A3wX1CysvFtpqt3Lf273MH2FImUKrFDvMksZHI6AfjXERftx/Cm7GRpevYHTMNvwPQD7RXzx+3T&#10;/wAjR4b/AOwXP/6OavjjS/uH6H+VetRw8PYqVtTNO87H61W37X3wyujlNP1sZPeC3/8Aj9a0H7Tv&#10;w8uv9TZauDnHzQwf/HjX5maR2+o/lXoukdf+Bf41x1ILU0W5+gkXx88GzKrx2mo/OcDMcX/x2r6f&#10;GDwtc52Wt5wdvKR//HK+N7D/AFUP++K7jT+h/wCulcrOpJWR9OxfEXw9cZEdnN6HKp/8Uasx+OND&#10;Z9gtZQQeeFxn868O03qf94Vuwf8AHy3+8f5U4PRmc+x7Tb+LtNnwqQSDvkhf8at2/jHTd2zyJOcn&#10;ovb8a8x037w+g/lVm2/1q/Q/zrejJ3ZjJ6nt9p4k00/MIG9eg/xroLTxPpy8+TJzjoF/xrymz+6f&#10;p/QVuW/QfhXfRqS7nNUiro9ctPFNlJ8yxyrzg8L/AI109t4gtjxtfH+6v+NeO6b93/gddpa9q9JP&#10;czirM9Tsda018M0b5IBzsXv+NegabJaS8qGHttFeJ2H3U/3V/nXr+jdPw/rU871PTp7XOtjNuDhg&#10;eRnoP8atbLZhnn1+6P8AGs4ffH+7V5Pu/wDAaIyehLbJUt7Vxubdx7D/ABqUWNnnoTn1FMi/1Z+t&#10;W1/h/Gm5u5Eth6WFowBGevPSrf8AZ0AjyCcGkh6fif6VoH/Uj8aG9DPnZ5j4itfJ8W6MI2OAt5IQ&#10;fZEAI9xWt5zxu0RJJIDZPvVTxN/yNukf9cLz+SVLL/x9f8BWqh3OnDvRn5c/8Fa/ijN4N/Zxt/BN&#10;oJxP4q1NbJ5o2ColvZstxKr9zvOwADrzk9j/ADJ5OMV/Qd/wWg/5J34H/wCw3qH/AKIir+fCvpsn&#10;X7n5nxXEUm8Rr2RIjEdK0reRYE8xhk1lr1q83+pFevE8FovJfTTN5kxJz91ey/hWjFqk8YCxkjpz&#10;3rAh+4tXE+8Pw/nW0XsTyI6RdRvrjCxsATzub/8AVWjc6zdW2li2dnd5JjlyeyDpjPHJrDsf9Yv0&#10;NP1X/Uxf9dpa0S0uY2H2epGeYQYJZjjJPGfyr0S00uOOLzrgluegryfSv+Qin/XSvbR/x6H61UXd&#10;FTWph3F+sDFIkC4x0qa31MOAHXNY97/rm+gp1r2pszkj0fQPFPiPwzL9s8O311ZOOT5EhCt/vL91&#10;h7EV9W+AP2utd0uaPTvHNml9ExWP7XZgRTgngFkJ2N+G2vjNP9WfpU0X/H5D/wBdk/nXj5hgKNSE&#10;5Tgm11PRy7GVYTUIydj9ptb0vR/HWjx292skYdVuLWYY82CTGVdTk884I6EZHpXDeGo28WW954I8&#10;QBHutPlkgS5QfKWjOMjODg16B4e/5Bdn/wBe6f8AoK1wvw7/AOSia7/2ELn+dfJZVN6q59HmsFZO&#10;x+Xfx1+IuoX19J4NtVMVrb3L72Jy0jRkqM+gHXFfM80jhDuJP416j8X/APke77/r6n/9GGvKrj7l&#10;fQYVXim+p6GZxVOfs4aJFCVOeD1qsy9R6GrkvUVVfq3+9Xpw2PlK694apIbPpUUmQ2D68U8dT9ab&#10;L94/X+gqznm9CPkVIo9DTD0FSp1P1NALYmTmpCpAzUcf9T/Kp2+4KxluddP4biRyNGdwrWQrcLu6&#10;EdfTmsatez+4fw/lWU0d+Bk3dMQ56/nX1n8FfiB4o1PR08DvOfs1vIPJ3ZOFkP3P90HkCvk09DXv&#10;37P/APyMD/78P/oVcGMinDU9PBP3mvI/WD4daFpO6GPUIxdzBdwe4AZV/wB1TlV/AZ9TXtvijS9P&#10;vPC9zGsEMXkoZiY4wpKqDlcj1HtXk/gD/j9i/wCude0a1/yLmo/9ej/yNeDhn7yZ5mYpJ6H5ta/o&#10;72vxMOraEVtb2DS5r5G3MUkUAxMWPVXGQQBleB0xXg1z4S1O+1a61WylgBnmYymYNuLZyTx65r6Z&#10;1v8A5KJN/wBivc/+ja8o0z7k3/Xdv6V9RCjF1LtdDgxdacaaSZ//2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ZlLvJvQAAAKcBAAAZAAAAZHJz&#10;L19yZWxzL2Uyb0RvYy54bWwucmVsc72QywrCMBBF94L/EGZv03YhIqZuRHAr+gFDMk2jzYMkiv69&#10;AUEUBHcuZ4Z77mFW65sd2ZViMt4JaKoaGDnplXFawPGwnS2ApYxO4egdCbhTgnU3naz2NGIuoTSY&#10;kFihuCRgyDksOU9yIIup8oFcufQ+WsxljJoHlGfUxNu6nvP4zoDug8l2SkDcqRbY4R5K82+273sj&#10;aePlxZLLXyq4saW7ADFqygIsKYPPZVudAmng3yWa/0g0Lwn+8d7uAVBLAwQUAAAACACHTuJA2Tk3&#10;hxMBAABIAgAAEwAAAFtDb250ZW50X1R5cGVzXS54bWyVkk1OwzAQhfdI3MHyFsUOXSCEmnRBChIL&#10;qFA5gGVPEpf4Rx4T2tvjpK0EVVqJpT3zvXlv7PliazrSQ0DtbEFvWU4JWOmUtk1BP9ZP2T0lGIVV&#10;onMWCroDpIvy+mq+3nlAkmiLBW1j9A+co2zBCGTOg02V2gUjYjqGhnshP0UDfJbnd1w6G8HGLA4a&#10;tJxXUIuvLpLlNl3vnWw8NJQ87huHWQXVZhAYC3ySeVk9TyJs4xs6jQTo8IQR3ndaipgWwnurTsJk&#10;hyAskWMPttrjTUp7ZsJQ+Zvj94AD95ZeIGgFZCVCfBUmpeUqIFfu2wbo2WWRwaXBzNW1lsCqgFXC&#10;3qE/ujqnDjNXOflf8eVIHbX5+A/KH1BLAQIUABQAAAAIAIdO4kDZOTeHEwEAAEgCAAATAAAAAAAA&#10;AAEAIAAAALsKAgBbQ29udGVudF9UeXBlc10ueG1sUEsBAhQACgAAAAAAh07iQAAAAAAAAAAAAAAA&#10;AAYAAAAAAAAAAAAQAAAAgQgCAF9yZWxzL1BLAQIUABQAAAAIAIdO4kCKFGY80QAAAJQBAAALAAAA&#10;AAAAAAEAIAAAAKUIAgBfcmVscy8ucmVsc1BLAQIUAAoAAAAAAIdO4kAAAAAAAAAAAAAAAAAEAAAA&#10;AAAAAAAAEAAAAAAAAABkcnMvUEsBAhQACgAAAAAAh07iQAAAAAAAAAAAAAAAAAoAAAAAAAAAAAAQ&#10;AAAAnwkCAGRycy9fcmVscy9QSwECFAAUAAAACACHTuJAGZS7yb0AAACnAQAAGQAAAAAAAAABACAA&#10;AADHCQIAZHJzL19yZWxzL2Uyb0RvYy54bWwucmVsc1BLAQIUABQAAAAIAIdO4kB/5hjG1wAAAAgB&#10;AAAPAAAAAAAAAAEAIAAAACIAAABkcnMvZG93bnJldi54bWxQSwECFAAUAAAACACHTuJA32/z4cwC&#10;AACrCAAADgAAAAAAAAABACAAAAAmAQAAZHJzL2Uyb0RvYy54bWxQSwECFAAKAAAAAACHTuJAAAAA&#10;AAAAAAAAAAAACgAAAAAAAAAAABAAAAAeBAAAZHJzL21lZGlhL1BLAQIUABQAAAAIAIdO4kDe4CQj&#10;TBkBAD0ZAQAVAAAAAAAAAAEAIAAAAEYEAABkcnMvbWVkaWEvaW1hZ2UxLmpwZWdQSwECFAAUAAAA&#10;CACHTuJAZVYJHInqAAB/6gAAFQAAAAAAAAABACAAAADFHQEAZHJzL21lZGlhL2ltYWdlMi5qcGVn&#10;UEsFBgAAAAALAAsAlgIAAP8LAgAAAA==&#10;">
                <o:lock v:ext="edit" aspectratio="f"/>
                <v:shape id="图片 2" o:spid="_x0000_s1026" o:spt="75" type="#_x0000_t75" style="position:absolute;left:0;top:0;height:1221740;width:2514600;" filled="f" o:preferrelative="t" stroked="f" coordsize="21600,21600" o:gfxdata="UEsDBAoAAAAAAIdO4kAAAAAAAAAAAAAAAAAEAAAAZHJzL1BLAwQUAAAACACHTuJAJeQaRb0AAADb&#10;AAAADwAAAGRycy9kb3ducmV2LnhtbEWPQWvCQBSE74L/YXmF3swmImJTN4EKFk+Vrl56e2Zfk7TZ&#10;tyG7Nba/visIHoeZ+YZZlxfbiTMNvnWsIEtSEMSVMy3XCo6H7WwFwgdkg51jUvBLHspiOlljbtzI&#10;73TWoRYRwj5HBU0IfS6lrxqy6BPXE0fv0w0WQ5RDLc2AY4TbTs7TdCktthwXGuxp01D1rX+sglP2&#10;90Uvb7QfPxZ6X79anZ20VurxIUufQQS6hHv41t4ZBcsnuH6JP0AW/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5BpFvQAA&#10;ANsAAAAPAAAAAAAAAAEAIAAAACIAAABkcnMvZG93bnJldi54bWxQSwECFAAUAAAACACHTuJAMy8F&#10;njsAAAA5AAAAEAAAAAAAAAABACAAAAAMAQAAZHJzL3NoYXBleG1sLnhtbFBLBQYAAAAABgAGAFsB&#10;AAC2AwAAAAA=&#10;">
                  <v:fill on="f" focussize="0,0"/>
                  <v:stroke on="f"/>
                  <v:imagedata r:id="rId98" o:title=""/>
                  <o:lock v:ext="edit" aspectratio="t"/>
                </v:shape>
                <v:shape id="图片 3" o:spid="_x0000_s1026" o:spt="75" type="#_x0000_t75" style="position:absolute;left:2625505;top:0;height:1223645;width:2517775;" filled="f" o:preferrelative="t" stroked="f" coordsize="21600,21600" o:gfxdata="UEsDBAoAAAAAAIdO4kAAAAAAAAAAAAAAAAAEAAAAZHJzL1BLAwQUAAAACACHTuJAG/ae27sAAADb&#10;AAAADwAAAGRycy9kb3ducmV2LnhtbEVPS2rDMBDdB3oHMYXuEjktNMGNEmggdhdpQtweYLAmlrE1&#10;Mpb86e2rRaHLx/vvDrNtxUi9rx0rWK8SEMSl0zVXCr6/TsstCB+QNbaOScEPeTjsHxY7TLWb+EZj&#10;ESoRQ9inqMCE0KVS+tKQRb9yHXHk7q63GCLsK6l7nGK4beVzkrxKizXHBoMdHQ2VTTFYBRkOzdld&#10;8uL+2WRXcw4v8r3MlXp6XCdvIALN4V/85/7QCjZxffwSf4Dc/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ae27sAAADb&#10;AAAADwAAAAAAAAABACAAAAAiAAAAZHJzL2Rvd25yZXYueG1sUEsBAhQAFAAAAAgAh07iQDMvBZ47&#10;AAAAOQAAABAAAAAAAAAAAQAgAAAACgEAAGRycy9zaGFwZXhtbC54bWxQSwUGAAAAAAYABgBbAQAA&#10;tAMAAAAA&#10;">
                  <v:fill on="f" focussize="0,0"/>
                  <v:stroke on="f"/>
                  <v:imagedata r:id="rId99" o:title=""/>
                  <o:lock v:ext="edit" aspectratio="t"/>
                </v:shape>
              </v:group>
            </w:pict>
          </mc:Fallback>
        </mc:AlternateContent>
      </w:r>
    </w:p>
    <w:p>
      <w:pPr>
        <w:spacing w:line="390" w:lineRule="exact"/>
        <w:ind w:firstLine="480"/>
        <w:rPr>
          <w:color w:val="000000"/>
          <w:szCs w:val="24"/>
        </w:rPr>
      </w:pPr>
    </w:p>
    <w:p>
      <w:pPr>
        <w:spacing w:line="390" w:lineRule="exact"/>
        <w:ind w:firstLine="480"/>
        <w:rPr>
          <w:color w:val="000000"/>
          <w:szCs w:val="24"/>
        </w:rPr>
      </w:pPr>
    </w:p>
    <w:p>
      <w:pPr>
        <w:spacing w:line="390" w:lineRule="exact"/>
        <w:ind w:firstLine="480"/>
        <w:rPr>
          <w:color w:val="000000"/>
          <w:szCs w:val="24"/>
        </w:rPr>
      </w:pPr>
    </w:p>
    <w:p>
      <w:pPr>
        <w:spacing w:line="390" w:lineRule="exact"/>
        <w:ind w:firstLine="480"/>
        <w:rPr>
          <w:color w:val="000000"/>
          <w:szCs w:val="24"/>
        </w:rPr>
      </w:pPr>
    </w:p>
    <w:p>
      <w:pPr>
        <w:spacing w:line="240" w:lineRule="auto"/>
        <w:ind w:firstLine="480"/>
        <w:rPr>
          <w:color w:val="000000"/>
          <w:szCs w:val="24"/>
        </w:rPr>
      </w:pPr>
      <w:r>
        <mc:AlternateContent>
          <mc:Choice Requires="wpg">
            <w:drawing>
              <wp:inline distT="0" distB="0" distL="114300" distR="114300">
                <wp:extent cx="5143500" cy="1223645"/>
                <wp:effectExtent l="0" t="0" r="0" b="14605"/>
                <wp:docPr id="157" name="组合 157"/>
                <wp:cNvGraphicFramePr/>
                <a:graphic xmlns:a="http://schemas.openxmlformats.org/drawingml/2006/main">
                  <a:graphicData uri="http://schemas.microsoft.com/office/word/2010/wordprocessingGroup">
                    <wpg:wgp>
                      <wpg:cNvGrpSpPr/>
                      <wpg:grpSpPr>
                        <a:xfrm>
                          <a:off x="0" y="0"/>
                          <a:ext cx="5143500" cy="1223645"/>
                          <a:chOff x="18551" y="3352598"/>
                          <a:chExt cx="8100" cy="1927"/>
                        </a:xfrm>
                      </wpg:grpSpPr>
                      <pic:pic xmlns:pic="http://schemas.openxmlformats.org/drawingml/2006/picture">
                        <pic:nvPicPr>
                          <pic:cNvPr id="154" name="图片 154" descr="Macintosh HD:Users:bingquncui:Desktop:市场营销专业建设（校企合作）:专业建设照片:WechatIMG615.jpe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18551" y="3352598"/>
                            <a:ext cx="3960" cy="1926"/>
                          </a:xfrm>
                          <a:prstGeom prst="rect">
                            <a:avLst/>
                          </a:prstGeom>
                          <a:noFill/>
                          <a:ln>
                            <a:noFill/>
                          </a:ln>
                        </pic:spPr>
                      </pic:pic>
                      <pic:pic xmlns:pic="http://schemas.openxmlformats.org/drawingml/2006/picture">
                        <pic:nvPicPr>
                          <pic:cNvPr id="155" name="图片 155" descr="Macintosh HD:Users:bingquncui:Desktop:市场营销专业建设（校企合作）:专业建设照片:WechatIMG616.jpe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22691" y="3352599"/>
                            <a:ext cx="3960" cy="1927"/>
                          </a:xfrm>
                          <a:prstGeom prst="rect">
                            <a:avLst/>
                          </a:prstGeom>
                          <a:noFill/>
                          <a:ln>
                            <a:noFill/>
                          </a:ln>
                        </pic:spPr>
                      </pic:pic>
                    </wpg:wgp>
                  </a:graphicData>
                </a:graphic>
              </wp:inline>
            </w:drawing>
          </mc:Choice>
          <mc:Fallback>
            <w:pict>
              <v:group id="_x0000_s1026" o:spid="_x0000_s1026" o:spt="203" style="height:96.35pt;width:405pt;" coordorigin="18551,3352598" coordsize="8100,1927" o:gfxdata="UEsDBAoAAAAAAIdO4kAAAAAAAAAAAAAAAAAEAAAAZHJzL1BLAwQUAAAACACHTuJAZXc9BNUAAAAF&#10;AQAADwAAAGRycy9kb3ducmV2LnhtbE2PQUvDQBCF74L/YRnBm93ditrGbIoU9VSEtoL0Ns1Ok9Ds&#10;bshuk/bfO3rRy8DjPd58L1+cXSsG6mMTvAE9USDIl8E2vjLwuX27m4GICb3FNngycKEIi+L6KsfM&#10;htGvadikSnCJjxkaqFPqMiljWZPDOAkdefYOoXeYWPaVtD2OXO5aOVXqUTpsPH+osaNlTeVxc3IG&#10;3kccX+7167A6HpaX3fbh42ulyZjbG62eQSQ6p78w/OAzOhTMtA8nb6NoDfCQ9HvZm2nFcs+h+fQJ&#10;ZJHL//TFN1BLAwQUAAAACACHTuJAdAj5rXIDAAAjCgAADgAAAGRycy9lMm9Eb2MueG1s7VZLb9w2&#10;EL4HyH8gdF/rsdI+BK8DZ9dxAiSpkQd6pinq0UgkS3J3HRQF0qJF45uB9pTkkB6K3no2Eje/xhsn&#10;p/yFDilpvbYTJCiKFCh6WO1wSA6/+WY+UetX9qoSzahUBWcjx1/zHEQZ4UnBspFz/961zsBBSmOW&#10;4JIzOnIeUuVc2bh8aX0uYhrwnJcJlQiCMBXPxcjJtRax6yqS0wqrNS4og8mUywprGMrMTSSeQ/Sq&#10;dAPP67lzLhMhOaFKgXdSTzpNRPkpAXmaFoROOJlWlOk6qqQl1pCSyguhnA2LNk0p0V+kqaIalSMH&#10;MtX2CYeAvWue7sY6jjOJRV6QBgL+FAjncqpwweDQZagJ1hhNZXEhVFUQyRVP9RrhlVsnYhmBLHzv&#10;HDfbkk+FzSWL55lYkg6FOsf63w5Lbs92JCoS6ISo7yCGKyj5ycsfFgePkfEAP3ORxbBsW4q7Ykc2&#10;jqwemZT3UlmZf0gG7VlmHy6ZpXsaEXBGftiNPCCdwJwfBN1eGNXckxwKZPb5gyjyHQTz3W4URMNB&#10;O7/VxBj4ywDDwCJz28Ndg3EJSRQkhl9DF1gX6Pp4k8IuPZUUyDfR2GynIDuyHqxSFraULZ6+Otn/&#10;CSgDT0IVgRa7hUnBNFc5uj6J7ytQXLwLDf/1lJFpEU+oeqC5iBeH3y+evXhz8NvbXx4dH/58fPhk&#10;8fLFmz9evTt6/Pr5r8dH30Eljv989u5oP16dPvnxdzgv/pKSHOsbt7Z7frT2laCZIc0gNiBryNhw&#10;cZOTBwoxPs4xy+imEiAMoBzQty4p+TynOFHGDUHcs1Hs8AwNu2UhrhVlaUpv7H9WwEjGtNql0Jfy&#10;RuJbaUEv3VTaHGe6yorrm2Cw6XnD4GpnHHnjTuj1tzqbw7Df6Xtb/dALB/7YH39rdvthPFUUaMDl&#10;RBSt0v3wQmu8V0mN2muNWq2jGbZvFMOUBdT+W4jgMpQYrEqSO0A2rANbS6pJbswUmGv8sHg5YWk+&#10;ZdbUQIHozI5zMvuAXFrBdYe9Vm3DoGcLehpCSKW3Ka+QMYBhwGcZxjNAX2fULjEnM27qbDMo2RkH&#10;QDcei7rGaU2AXXchGJ9DhdEFFYLn31Fh77+rwuB/FZ5KqLnsgqA3XL20hvWl9V4Vnr2y4LX8OVRo&#10;b0b4drCvp+Y7x3ycrI7BXv222/gLUEsDBAoAAAAAAIdO4kAAAAAAAAAAAAAAAAAKAAAAZHJzL21l&#10;ZGlhL1BLAwQUAAAACACHTuJACIcm6wVxAAAAcQAAFQAAAGRycy9tZWRpYS9pbWFnZTIuanBlZwEA&#10;cf+O/9j/4AAQSkZJRgABAQEA3ADcAAD/2wBDAAgGBgcGBQgHBwcJCQgKDBQNDAsLDBkSEw8UHRof&#10;Hh0aHBwgJC4nICIsIxwcKDcpLDAxNDQ0Hyc5PTgyPC4zNDL/2wBDAQkJCQwLDBgNDRgyIRwhMjIy&#10;MjIyMjIyMjIyMjIyMjIyMjIyMjIyMjIyMjIyMjIyMjIyMjIyMjIyMjIyMjIyMjL/wAARCAEmAl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AA&#10;p4pAKeBUiAClApQKcBQIQCngUAU4CgAApwFAFOAoAQClxS0uKAExRtp2KdigBm2l208ClxQBHtpd&#10;tSAUu2gCLbS4qXbS7KYEWKXFSbKXbQBHilp+2k20ANpwo20oFADhT1pgFSCgY6lFJS0ALSikooAc&#10;DTwajFOFAEoel8w+tRUUAOZs0w0tJQMSilxRikAlFLijFACUlOxRigBtJT8UlADaSnGk4oASkxTq&#10;TBoAbijFP2mgRk+lFgI8UGphCT/FSiDPVqLAVzSGrYtl7k04WsfcH86dgKFNrVW1i/uCni3iH/LN&#10;fyosBjUm0k8An6VvLEo6KB+FShaLAc+LeVvuxOfoppwsrlukLfjxXQhc1IEosBzw0u7P/LMD6sKk&#10;XRrk94x9Sf8ACt8JUiwseik/QUWAwF0OU9ZUH0BNSDQeebn8o/8A69dALaXj92/P+yakW0lP/LM/&#10;jQMwU0CH+KaU/TAqZdDtB18xvq3+Fbgs5R1UD8RS/ZWHXFAGQui2I58jJ93Y/wBamXTbNelrF+KA&#10;/wA60fKx1IppwtFguVltIF+7BGv0QCpViAHAA/Ckefb0AqrLfuvTaPwp2C5c2UbaxJ9WnXpJj6KK&#10;wdR8SXsTrHDKzyE4IDldo/AfpxRYLncFKaU46V5bd6zcxktPezyzNyE8w4FZDvcX8m+d2YdlJ4FI&#10;Z7DJNbx/fniX/ecCqrahp4bBvrbP/XVf8a80hg2gYFWgmBRcLE4WngUgp4oMxMU7FKBTsUAIBSgU&#10;oFLigAApwpKWkAtKKAKcBTABSijFKBQAU4UmKcBSAKdSClpgKKWkpRQAtLiikLqvVgPqaAFxRimG&#10;eEf8tU/Ok+1QD/loPyNAEm2l21Cb2AfxE/QUn9oRdlc/hQMsBacBVT7evZD+dJ9vPZB+dArl3FLi&#10;qP25z0VaQ3kh6ED8KAuX8U7FZv2qb+/+gpftEh/jNFguaWKUCszzWPVifxo3Zp2Hc08gdSKTen94&#10;fnWdmnA0WAvGWP8AvCm+cnr+lVM04A0Bcs+cvoaQzjsv61CFY9jSiJz0U0gJPP8A9kfnR57egpqw&#10;u2eOnBqQWrn0/OgNRnmt7UeY3rU62bH+IVIthnrJ/wCO0BqVQx9TRk1fWwTu7fhUq2EI7ufqaB2Z&#10;mClArVFlAP8Alnn8TUq2sA/5ZigLGOBTttbawRDpEn/fIqVY1HRQPwp3CxgqjN0BP0qZbaU9I3P/&#10;AAE1t0tAWMcWk5/5Zn86eLGbuoH41qUhoCxnC0cddtSC1PqKtEZpwWgLFYWv+1+lOFuvqas7aVUo&#10;GMS0jPXJ/GrKWcPdM/iaVEqYCk2Ai20I/wCWY/GpVhiH/LNP++RQoqQACkBFPdwWaBnDYJx8q/5A&#10;qzDKsyBwGAPIzTTgqVIBBGCCOtNgIEW0dFJA+gJApCJn6r7H+hpCwqKR8Ln3H86RnpgPZ6hd6a8m&#10;KrSTVSQD3kqpLMBUU1wAOtZdzegZ5qhFqe6AB5rKub4AHn9azb/VVhXLsRnoB1P0rBur55FLzv5c&#10;XZAeW/z/AJxRcdi/danJMWSBsAfek9Pp/n8qw57/AKx2vLHgyn+lQyTS3hCKuyHso7/WrMFoFI4q&#10;WykQQ25PLZZjySe9aEUIUDipUiAqYLipARFwKdinAcUUAOAp4FZQv5cfwj8KT7dP/f8A0FMzNkCn&#10;CsI3k5/5at+dNNzMesr/APfRp2Fc6ECgkDqQK5wyuerMfxpu40WA6IzRDrIg/wCBCk+0wD/lqn51&#10;z4NLzRYDe+3Ww6yj8jR/aVqP4yf+AmsIK7dAT9BTzDKq7jG4HqVOKLAbJ1S3HQOfw/8Ar006tF2j&#10;c/UiscI/oaXY3pRoBqnVvSH82pp1aTsifjms3a3cUuDQBfOqTn+4PoKQ6jcH/lpj6KKpUhzRcC6b&#10;yc/8tW/A0n2mU9ZXP1Y1SRyVB9RTvMx3AoAs+YT1OfrShqhAkMfmAHZ/exxTdx9aLjsWgxpQ9VOT&#10;3NGKAsXfMHcj86PMT+8KpCnCgLFvz0H8X6Uv2hPU/lVTFKBQFi2LhewNPWUHtVMVIpxSCxcDe1PB&#10;qujVLRcZLmnqajWpVFAWHgU8CmqKkAoGPX6VKBUaipVoAcBS89hS4pwFICnDNeDUAksMa2zuF8xS&#10;SRwOvp+VaLFd52btvbNVyMFh6urfy/wqYcUxky81KKjTmpQKQDhUgpi1IBQAop4pAKkC0xiAU8UB&#10;acBQIKKXBpQtADaQinKdxbgjBxzTgM9iPrTAjC08LUgSnhKQEQSpFSnhadt/KgBAKeKjEsQPMqf9&#10;9CnefD2kU/7pz/KkBKOKdmoPtEQ6l/8Av23+FL56kfKrt+GP54oETbqjjbCEf7TfzNRmc/8APGT/&#10;AMd/xqDzpNz7Y1A3d3x2HtRYCxLJ8v4g/rUby471Vmnm2N8ka8dd+f6VTuLmWNSXmhUDklkP+NUk&#10;BdlnA71QnuwM81Rmlmdc+eceqKMfrmse880g5nmI9PlH8hVIRb1HWLe1jZ5ZlRR3Jrj7/wAa6cqs&#10;YrhXIOMnOB/jWdrVvFLcDzfOIBzzKxyc+lVNQ2mfZHEoBXoKYydNbguXLoxnmb+I9B/n/OKmitnm&#10;bzJWLMf0rnNIQPrVypXaCVYD6iu4giwo4rNsZFDbhQOKuJHgdKekeBT8YpDGKuKDS9M0wtSAcDRm&#10;mJk1MtuzjODQBVGkSEcuo/CnjRz3k/8AHa2FHFOxTuQZA0hO7t+FPGkwf7R/GtTbSbaLsLGeNMtx&#10;/AT+Jp40+3H/ACyX8eaukYphoHYgFpAOkMf/AHyKmWJF6KB9BRuFPVgaQChaeBQKcKQFSXToZclR&#10;5bf7PT8qoTWM0IJK7l/vLzW3Sj2pgc0UppWugns4ZgSV2t/eXiudmkMc8kZGdjFc+uDTuIMUlN83&#10;NG+gBEGI1+gpGiR+qg0qn5QPanUAKjnyzFxtVuOPalxTF+831/pTxQAUtKBShaAG04CnBTTgtMBA&#10;tLtp4SnhD6UARBaeFqURH0qRYvalcBiCpVFPWL2qRYye1ADAPapUzT1ib+6fyqVYG/umgY1aeAae&#10;sDVKsDe350AMAJqRRzThDjqwpdoXvQMcBS/KByQKkSFCMk0SmC3jMjKSBjoMmgDOutUs7V2SSRt2&#10;zICxs3c+gPtV6ynjvoFmiSVUYZHmxlCRz2YA9vSqpu7fULa6VIJVKxMR5i4+6SM/njFa7+cZcbwI&#10;9oIwBnOB7UrjESOplSoxHnqzf99Efyp4iB6s+PQuf8aYEgQmnHan3mC/U4qMQRf880/75FSJGqfd&#10;UL9BigBRJEOssf8A30Kd50Q7n6hTRtDdRmnBF/uigA+0Rn7oZv8AgOP54pftA/54yf8Ajv8AjTgo&#10;9BTgKBEfmydoVP8AwM/4U4SSn+BV/HP+FSYpcUARhpu3l/ip/wAaXEp/jI/Af4VKBSgUARbZD96V&#10;j+n8sUvln/no4+jn/GpcUuKAIfJB68/XmgW6ZzsXP0qfFLigBgTinBB6U7FOAoAZtHpS44p+KXbQ&#10;BEVqEL87j3z+lWsVjX+q+VK8Nsu+YnaCBnB+nc0XsA3VLyO1iKDDSt/CfT3rK0+xvpYWmvJPMMue&#10;oxx2Az2q/b2Cw5ur9g0nXaxyB9fU1KRNqPI3RWx7/wAT/wCA/wA81DvIrYyXaY3UUcKB0C4lO75V&#10;/HHJ+nFQXcXB4roWt0ij2IoVR0ArLvI+DxWsVZEPU4DWoPn981m3UWdQH+7/AFFb2tx4yfSsy6j/&#10;ANNiOPvJ/UVYGBax/Z/EyDHyywj8wTXbRKNorkrxfL1/TGx13qf0rsYx8grIrqO6CmE808jipIbZ&#10;5WAAOTwKAKjU+O3eTGBXTWnhWQx+deMLaLqTJ1/Lt+NPmew8p7PR7eW4mZSvnqcBffd/hxQMw4or&#10;S1Ae8n8teyqNzN9BXXQiztLaLyLJZFkUNucBifzrz+9sZYtTm+0EmTecjOQPavUNMthJolg+P+WK&#10;j8hihgeX2GvQyMUvttlLuIWOYFcjtyQB+VbakMoZSCD0I71h3F6kbmK4tZGiJwHCbkPTr+f6Gq9v&#10;BpkzbrC5NtIecW8uz80PHcdqdjBT6tHTYoxWBbJe6ZKGMsVzFJKodpE2yDcwHUcHr0wK6DtSLTT2&#10;GkVGy0lveQXTOIH8wIdrMo4B9M9/wqUikMpyBhTVkI61ZdaiMYPagB6zD1qVZAaqGI9jTcuh5FAG&#10;iDmnZqik+ODUyXAJoAs9q528sphcSuE3KzE/Lzjn0roFYEVTk/1jfWkwOf8ALPoad5Tf3T+VVNU1&#10;BoLyZAZF8pkJxgbgzYOPYdTV/Sb6y1SOWDJguYHKHJ3K4HRh6g0rhYZHExQHHapBA3t+dWTYz268&#10;jzIx0kXkGmDpTuBEsB3EZFSi39WFC/6w/Qf1qUCmAwW6/wB79KkFun94n8KcBUgFACLBH6tTxDH6&#10;GlApwFAAscf92pFVB0QUgFOAoAcNv90flThjHAH5UgFOxQAoJp4Y+tNAp4HFMADGpFY1HinAUASB&#10;jUimoRUinFICSkPUUoNIeWoGWF+6KxPFcdwdKW5t/mNrIJ3jxkOo6j9c/hW2vSlKhgVYZUjBB7ig&#10;DzSSWayme6gdWSN/tS4GN8E3D8+itx9K9TjlSeOKaM5R40ZT7FQa84ubddKu5rKZC8NoWkQH+O0k&#10;4kX/AIDwfwNdF4NunSC50id901i+1W/vxn7p/r/wIUAdUKetNFOFAxwp1IKcBQAop4popwFMBwpw&#10;poFPAoAKcKTFLQAop4pAKcBQIBSgUoFLlR1IoATFOxSbkH8S/nS+ZH/eFACgU4CmedEP4v0pfPiH&#10;c0APxS4qP7VEOxpPtkfZTTAydVv5xc/YLVT5hGWYHkA/yqpELbTVHzCW5fgbeSfZR6e9bDm1O8m3&#10;GXBDHPXPWqkmoaVbXTXTtaxzbQhdpACAP5VPK2x3HQadJOwmvsEjlYR91fr6mr7JWNN4w0eJgrap&#10;YKx6A3CZP4ZrPuPH2jQgn+0bc467Tu/lVJWE9ToZI+Kyr2PCmuduviTpgJCXm4+0Lf4VkXXj+GTp&#10;JIwPpHj+dVYRJrqfI1UpoPMutNAH+sQj/wAdqnceKLacHdbzufdFx/OtmIiX/hH7hRgPIox9cU0x&#10;2Ob1e0ZNS058fdnK/p/9auqhhYhQAeeAKvXmmWslvLc3O5UtZ/NJRdxxg59PWtuw1COz0tL2y03Y&#10;8hwkkjhmI6Zz2+grBMtogsvC0zx+ffOtpAOcyfeP4dvxq7bXUNo7xaNYrO4AAuXP58n+nFWbDTJ9&#10;ddpbycyhWwVIKqp9Md/8811dppltaIoVASOhI4H0FUncT0OXi8OXuqyrNqVw0q9Qn3UH4d/8810l&#10;lotpZRhUjU47YwPy/wAa0aTNVYm55T4ygCeJLkgYB2n/AMdFdr4YQT+GbInqoZfyY1z3jqDGqxyY&#10;+/ECfzIrf8Fvu8PKv9yVh/I/1osO54+dwk3JuGfQ8/jjn8zUjw20+fMVGboTJGCf++l6dBUgSFkC&#10;mPKdmU5H4jG2jZHklZjgcZccD6H7o/KrsciYrAC0jRQoRJIQu19wwHWtiVcwOPVT/KsUxssLElWH&#10;mR4YNuzhx3/+tW8wzGQPSoka09jlrOyslsYrhz9nkI5micxn8SMZ/Gr8T6jGA1vexXcfYTryf+Bp&#10;/UGq8IzpcSkrtxyrAYPX1yP0pqW0UTnylMLMDzExUnJ645zz7ClFe6hSlaTLi6rMkzC+s3ghwMPG&#10;PNGe+SOQOnVRWqYfSsNzINPvVkmaX92+3KAbRtPBx/WuiFDVioyuV/KI7UhjB7VbFGxWpFlBoAar&#10;tbupyprWMPpUbRH0oApQs44NI5+c/WrgjqtKmHb60mBk3Cxyu6SosihjgMM4+npWdPosDnfCxjcH&#10;IDHOD7HqPqc1pTAi4k/3jTc0AUYdR1XSj+9Jli9XP/s3T8+a1YNW06/IWVTbzH1G0n+h/nUIY1BL&#10;p1vOPubD/s8D8un5c0rDNVrCUOXiKyx9Pl6j6j86jCkcEYIrIiTU9NYfZZfMjHRDyPy6j8Ca1rfV&#10;HulaO7spI5ecPjIzj1o1AeBT1poqRRVCHCnCml1HVgPqaPPhHWWMfVhTAkAp9Qfa7Yf8t4/wYU3+&#10;0LUdZlosBcApwFUv7Usx/wAtc/8AAT/hQdXtR0Zj/wABoAv04VmnWbYfwyn6KP8AGk/tuHtE/wCO&#10;BQBqgU4Csf8At1R0g/N8f0pp1/HSJR/wLNFgNwLTsVgf8JCw/hj/AFpv/CQsT1jH0U0WA6IZpAfn&#10;rnf+Ehb/AJ6/kn+NINdJOS0hPsoFFgOtU0/tXJjXZD0Mv54pw1edv+WUrfVz/hRYZr6ppA1GW2uF&#10;KrJAxDZHDxsCGU/pVfSPD7ade2979oJItliOf+WidVzz1AI+uBVH7fdMOLdvxyat3txcpLCIo1Zf&#10;IiwWB5+Qe9FgOn82MdXUf8CpRPEP+Wi/ga4yS61FQCqJ1AwMd/xqYSX5/wCWqr+A/wAKAOu+1wD/&#10;AJafoaX7bCO5P4VyWb0/euR+A/8ArUuy5PW7kH0J/wAaAOs+3w+j/kKU6ggH+rP4muTFux+9PI34&#10;04WcWcksfxpgdOdViXrsH1ekOswj/lrCP+Bj/GueW3iH8P5mniKIfwCgDcOtxf8APVPwGaYdehA/&#10;12fpGf8ACskIvZF/Kmsg9BQBqN4ihXvKf91f/r1EfEan7sc5+uP8ayXQ1CcimBst4hftasfrJj+l&#10;RHxDP2t1/Fqy+tIVoA0W8R3Y+7DAPqCf61Xl8S6gCuPKXJxwvtVNk4qCSPJXjv8A0oAsyeJNVJIW&#10;4VfpGv8AUVTm8Q6swOb1x9AB/IVEEEksiIVLou5lyAQKhuIDHI8ZKllODtOeaVwsV7nW9VbP/Exu&#10;h9JmH8jWFe6nqDqd17cNz3kJrVmj68VkXcfyniqA5a/ubg34V5pGUjoWpJAWtgoAHKjH44qTU4sa&#10;ihx/CaWRdsGfQg/rQgYyT5bqzf8A2iPzH/1qvTjKye4NVrtCIrd8fdmH8mFaUcBmGfUUN2GiCOMv&#10;ggZ4BrWttLkmTOOwIq/pelK0UTYySmK6mw04BFG3t/WsZVexaj3MCz0ZZ7+C35AkkCZC56j0rpri&#10;2Fjp+nRjJ+y33l5J5wre30pdPtlTXNOLDj7XCDn0JxWh4hjAttU2jiHUWIHpzn+tOnq7il2NSa28&#10;/TNaiAzhf6Ln+tO0uLzfBNq3dQ3/AKETWpoUS3U9/E33ZkdT+PFQ+HYD/wAIOY2HzRuwP5ClbUDp&#10;NGjEcVwAMfvif0FadUdNH7st/eVW/MVezWiWhmwpo60tGMUwOL8cx5ktn/2SP1/+vVvwM+dKuE/u&#10;z5/NR/hTfHCj7JbP6Mw/lVLwRfwW8V6k80cYLIV3sBnrn+lA+hwJQZ3McL1Xcf6n/CmBAXDMcL/e&#10;xz+bf0FTopYkBTnPOOMflk00qVYMV2n+9gKePrk/pVnGNkiRbZ2Vs52nJUg8N6mtpsKhJ7DNZEio&#10;bO5dVYHYTkknOPrzW06Bo2HqMVEjansc3a86dCwH8P3h1HPtzTkJVhtUDJwVx/Qc/maSwQtpcCgZ&#10;JT1NTG3ZAwKcem3g/gOPzNKHwoifxMjmKNZXAVm4hYbDjjg+nFdAOlYZCmCSMHkxt8u0YHB6Y4Fb&#10;kPzRIfVQaci6fUcBS4pwFLtqTUSlpcUYoAbtB7VSmCmRhxx19qv4rPuthlIaNSR0bHP50mBm3dtJ&#10;5heIo2ecMcGqEgvVbH2cA/XP9a1njyeJHX6/MP15/WlMcp6BJB/snB/I/wCNSBibb8/8s1H5UbdQ&#10;7Mi/5+la7FV4fKH/AGhjP+NNZBTuBlFL7vMPw/8A1U0pdd7hx9Ca02QVGUouBQ8mU/enc/iaY1u3&#10;dya0NtMZKdxmcYWGSCMelHlMR1FXinBpCnFFwOfa/l3zKiD90cEk1Pb3M7ybTbl42B/eiQAIQemO&#10;pqrFbOLvUlyWzkjcQAO/6VZtRcqjKsUbfMeQ59fpRcdhY5muLgwFiu3+JSc/54qWMTwlozIHXBI3&#10;dRj3/D9abBaXSzu4VM9QM9znH9asrZXTuGcoOxAHb86VwsXktVP8RqT7Gnq1OgWUA+ZtznjHpU9U&#10;hFb7InufxoNpGP4f1qzmgnigCp9lj/ufqaPs6f3F/KrDNhelZ0100ZOMjFAFjykU/wCrX/vkU9SF&#10;PQflVC0lvLhpJFMbQlsDdkFTgdOOlWfLnP8AGgoAvxzkcZqZZQe9Y7Iyffu40+uP8apvqUC3YtYr&#10;5HkGNx3KAoPTknk+w/8A1gHTiaJXRXkVNxwMkf1q1cyK8cToSyIgj3Y4O3A7VwmlLqRuZTe6ZeSw&#10;mPO9onIJyOoP4+tacJ1eWJZliaKbJTOPLYDpwxPHyn9MdDwMLmrNqMMRO/fhC24BeQQUHr6Pn6A+&#10;lWxcxYzvX86y/EN1pFvrU1tb3EZIVA0RyRkr8vOMYILIeeAw9KzIdXs7dPKNhqF26kgSQWzNvHUH&#10;64Iz75pK5TtbQ6j7XEP4xSfb4AfvisAa1u/1PhXVyfWW1CfzqRdU1c/6jwnMf9+4SOqsTc3BqEB6&#10;Nn6U8Xqn7qufoprFF74pf7vh62hH/TS9Vv5UFPGEylRbaJGp6iVpG/lRYLm0bkvx5cg98YxSiWfz&#10;4kADR7jvbpxtPH54rl9SXxTpWmTX015pkcUW0ultCckFgOCw96lPijToniY6mjhWO/cc5GD0wOuc&#10;frRYLnXhx60u9fWuSfxtoyDi7LH0WNv8KqyeP9KXp5zfRf8A69OwztGKmo2QN0rhJfiNYjOyGY/7&#10;xUf1qq3xLjT7ltn6y/8A1qLCueg7MHpTilcfoPj3+29SisFsQjuG+fzcgYBPTA9PWut3TngFPxQ/&#10;/FUADLxWbdXLeb9ngUNLn14A9T6VolZz1ZB9F/8A11SOn+WkhR5NznLHIyx+uP8APNJjRBGnlb1i&#10;/ezsCJJTnavt7/T8/Sgw7SxJLOxLMzHkn1qb7NIiBVdsDoAAuPyqOS2Of9Y+PZ2/xpJWGUZ4+tY9&#10;6nyNW1Paqcks5+rE1z+pWqYZNvUdhzTEYOqR5voSO6mkmtnNkzY4xV+6j3zWZHO7j9K2Z7Ef2Er4&#10;6bf8KhzsUo3Cx8MDW0W1RtjebkNjPQE+o7A96mudFOlatLYHnywvfPVQeuB6/wD6+tdl4GtQdRti&#10;RwXUnj1Rh/Wl8Z2QTxvcBQdrRxHk5/hx/SpbbVyla9jP0SzzaR8dCRXS2VkS3Tpn+YpNC08C3II6&#10;PXSWtoFkIA7/ANAahQvqDZzDWXkzxS4/1d3Fz9HxUmuRBpPEUWP+XgP+YFbGqQbLC6bHKOr/AJOD&#10;WZreBrWvx9ikb/8AjtdEFYze5r+D38zy5D1dCf1NaVhAIbbV7YDAW4dgPQN8w/Q1jeC3AtrM+qsv&#10;/jxrcS4ihvb9JHAM0Ucig9/lK/8AstFgZf0tgbSPBGfLXI/DFXTjqa4mTxE+mx+XEgLgEZP1rAvf&#10;Et/dnDzttP8ACvAoQrHo93rNhZg+bcLn+6pya5698bIuVtov+BNXCvcSyk5JyaRbeWVwOST0HrTC&#10;xd1fXbrVCPOkLKM4UcAVkgFu/wCtaq6PKQN4Ef8AvnB/Lr+lTrpMIGDK5P8AsR5H6kH9KGMqC3Rc&#10;EZz6g4z+VMZShPzzY9Nu4H8hmuLh1vRxgJJqtp7QXe//ANDrQi1iD/lj4kmQdlu7MP8AqtNTOf2b&#10;6G1cqv2K6wY93kv91NrdK2QMrXLDUbyaNolvdGnVwVz57RNz7EGuohAaBSrK4x1U5FJu5cIuO5zt&#10;lGTp0IBwoUZJ/wB0e9WERzny3DDrhHzj8OBVCHUbCxhW21AmCRDj97CwHTHBIx2q5Hc6ddrm3vIH&#10;PYCYH9Dn+VKn8KRnUT5myZfNf5ZAehHIyensMCtKyO6ygb1jU/pVKNWRhlDgn+F8j8uKt6b/AMg2&#10;1/64p/IVUh0upbFOApBThUGwYoxS0UANrPuh+/atLFcrrKXQ1WZ4LuaIYXjbvUcDt/8AWpMC+1RY&#10;I6GscX+pxHDfZZ/bOx/yOKsLq7LxcWNxEfVRuH51IzR86RRjOR6Goy0PeLYfVDt/TpTIry3uCBG5&#10;yexUj+dPdKYCbVP3JQfZxj9R/hTGRxyYyR6r838uaayEUzLqeCRSAXKk4BGR1FIRSmdmADqrgf3h&#10;SboiOjofY5H60wG4yD9Kbt4pGm2S7ArOCudyqcfT0/WlEoIOFbjjpQMxSuNQux6qf5CrWmKxDhgB&#10;h+x9gf61CVMmqTgh1BUjkY7DoaXT4il5PFvkIGCMk+4/oKOoGvGg81/90fzNS7ahFuhO7YM4xmkN&#10;lBIw3xg4piLIKjuPzphubYdbiEfWQVEdMtsg7Mc8jsakSwgQnamOAMAnFADHvrSMZadMexzVGfxH&#10;pUCFpLsAD/ZY/wAhVy9tYTA2YkPHdQa43XYI10642oo/dseB6CqSA1ZPG+hr0uWf6RN/UVTn8c6M&#10;ykDzmP8Auf415aRyaMU7CudfeeJrWUYi89RzkYAz+tdjofg7R9Q0SyurmOaWSWBHfdO+NxHPQ+te&#10;QAV9A+Awtx4UsCwBxEBySOhI7fSnYTZTj8CeHY/u6Ymf9qR2/m1W4vCWhx9NLtD/AL0Yb+ddYbSN&#10;IGl8ndt6gsR6c9eetN8hZVhMVuoMhxjLEfX6f4UnZFxhKWxmJZRbQqxpwMAbO3tU6aYxG4Wx47+X&#10;WraRKLt4du6Mr94Ky5OR6mprqGJpEt4kXeeXYjdtX8anmV7Gywz5btmYbMptDEkkZ2g4I/Cg20Y6&#10;nb/vOBV9ooTfwmCIeUFAOEwM8+30pY2kF3Iu+Mdic8D0AHHNPmD2Kvv5FFLdD0w3/Ah/Sn/ZS3SM&#10;/grH+lWEZ5Whd2lfBO8gscCrNk8ptMiOSVt5BwCccD2NNt9EKNOm37zsjOESAshDbgOT0xz70eQG&#10;B2bifTA/oautaztNK5hI3AZU5BH5j2oXzYcAREDuWWml3MZuPQ5fxfaufCGplhjEJOPoQa+eXd8/&#10;eP519K+Ko5JPC2rbmBAtJDjPopNfNzxgnvTehK2ICWPUk/jRUvlD1NL5Q9TQMgxRirHkj1NHkrSA&#10;3/h+23xdZn1Lj80Yf1r2mSNH2bkLFXBXHY+teKeDisHimwYkAeYAST68f1r3J4I5VAkQMAwYZHQg&#10;5B/OhgG3io2TirG2mMKkZWZKhdKtkVE60DM+eMYrntVhJVmXOdpHFdRMnFYuoR/I1IZzP2Zg1i5c&#10;sN4GD24NdhJaFvC7NjoE/wDQwK5+NAVtj6XCD82xXdmAf8IlMMDhc/k+ayauzROyNfwtb/Z/skgH&#10;JEA/8eUVL4wtwfFyvj71vGfyZhT9FdRplvKP4Yy3/fLZ/pVnxeFHiGBs8/Zf5Oa0asiepY0mILHI&#10;PRga24IwLoj3H/oJ/wAK5ux1CKETAt2Bq9/bA+1tt9Bg/nS5opCsy1qqKbLUVP8AzyYj67c1x9/d&#10;i61zUWC48yxib/yGp/rWnfX8souo8/eU/qK5sP8A8Tg/7dgq/lGo/pTpzu9Aasjb8J3Pk2Vsf7rM&#10;f/H2qDW76ZdftSGIV43j/wC+WP8AjTPDykadat/e3fo7Vp6rYeYRMBhkeZQ2OQWw3H5Gs5SfNYpJ&#10;WMe5iaU7m7+pxVbyE7At9B/jir/hfSJdVlu0Mqr5UmNzDJwQD+PJNdrb+FbKMAzM8p7j7oP9f1q4&#10;tsl2RwCRqCMRLx3Yk/yxV+3h1Sc7bfTpyCO2EUg9Dxx2713raRYw2sqxWsQJRgGK5PT1PNS6YB/Z&#10;8BA/5ZgflV6kXOSt/DGsT8yyQWqnqByf6/zq+nge0YZubu4lf1GB/PNdTRRYLnxR5rkYLEj0PNOE&#10;gC8BlbPUNgflUdLVnKmTC6mAADtx3znNSR6lcwvuR8H17/pVWjtSsPmZtQ+K9Uh4F3PjsDISPyOa&#10;nPil5jm6tLO5PrLbIT+YANc7RijlRXOzqYfEFgmG+xeSf+na5ki/TJH6V1Fh4+0pIY4Wt5kVFCja&#10;4c4A75INeW4ox70uUftGe1weMNDmx/pZjPo8bfzAIrTg1fTbjHlahasT/CJRn8s5rwEMwOQTmpRc&#10;Sjo5H40WH7RH0MOVDDkHoRS18/waneQNmKdkPqpx/KvVfAN7d32jSyXdxJM3mnaZGLEDAGMn6Umi&#10;lJM6qvM/GXy+JpXHDbEwR16V6bXmXjbI8Rv7xIaRRlJqV7EMLdSkejnePyOa2BPKI7F1cr5hVm2f&#10;LnkZBAwCOa5zBIreUH7LYHuE/wDZlpMZrWfN1Ge+6tthWJZf8fMf++BW61IDD1y6ntTbmCXZu3ZG&#10;Ac9PWs+PW7kf62COQeq5X9eRUnjAfuLY+7fyFc/CMR2ZBxmbaSO4osCOwt7pbghTEyMRkZIIqwY8&#10;CqFjzNH/AJ7VqkcUAU5I38tthINNtoisK7s7ySWzmru35D9aYBzQBnMoF631/wDZf/rUlsuNSk91&#10;/wA/zqWZcXn1Zf8A0Fv8KSIY1Q+8Z/mtAzQApQPnFOA4pQPmFMQ8LxShacOlKKYFS8/1R+lcbra7&#10;rG4HrGw/Q121yuYjXH6qubaQeqkfpTQmeVMPmP1pMVI4+c/Wm4qhCAV738MplHhKz3dg4/8AIjV4&#10;MBXtvwyIk8N26M21RKyk9MDd/wDXpg9UegTypNbsmQCfUkevoD+VIsC4t3Yxv5aFSCMg8k9/rUn2&#10;eyDoDdNtLYbaQT06jA9cVqQwWUTRrC00gw27Eeee3b60NJjVVxVkZa7Y5/tOFVVXG1UwCe3etTT7&#10;ItG8sjosrkFy3GM9B/SrRu9PF0kbQyToo+VGQsytntmpotQsyWmhjcDPGOPz5qXTubRxLivMhe3C&#10;pkOGIOCqjPp3/Gm/2XCrGUyybc5OBgDgnr6ZwPxq3Hq825sAOMkjeQMDjA/n+dRT3xlys6hxz8ok&#10;GOfp7cVCikdDdaS1RXitbNIkRXcKSSwD9OuOR9BU0ECQKFiDLE3MhVsYPqCfwqFbwiAQhE2BSNx4&#10;IzTpNRMkbodpB53L+BPWq0Jcai3sIZYGAJiYEgjGD1PTH6Uy4mjVThHiG/qeNueg/Q/lUb3LyyER&#10;o3J6KCx49+9JK0xTGCRgE7hjkZ/xNNEyjpa6RkeI2eTw3qkRYMHs5QOB/cPpXy/IQHxX1HqI8zS7&#10;yMr96Bx19VNfLkwPmHk9T/One7OeVPk0Ez7H8qTeR/CabsFGwUyR4kPcfrSlwRwR+dXNL1IaVK88&#10;dnbTTlSqNcJvEZPcKeCfqDWfPI80rSO252JJPqaQGz4aZD4i05X2spuYwwPQgsAa9/A+WvnXQX8v&#10;W7N8/dlU/qK+i16UmCDFMYVNimNwDSGVyKjIp7tUW6kxkcy5XisXUFyjVtO3FZV8uUb6UhnPhvLt&#10;g/8AcmRvyYGu1a+T/hHrqLPOxx/WuFuwf7NusdQCa6q1tzLplyeuY3I/75rGU+VmkVdGj4f1V5NJ&#10;S3X722VB+PP9a2PEEj3N9azk53xHn8c/1rnfCUOQvtM36qK7XVLFRY6TKCSWiO7PY4WlKTaYaJnP&#10;2kbGUg5+7WxFD+8U+oH86ZbW2Jjx2NaUcWNhx2rGzG2UpoB9pPHBQf1rnbuHyNS04/8APS05/wDH&#10;h/7LXZzW7eepx1WuX1uLyrjSJD/zzeP8nkH9a6qC1M5MvaHHjQ7A46PMp/Bwf6109xAJLe4GOjo3&#10;5x4rB0JN3h+P/YupFH4hTXWxoHicdmgVvxGf8KHH3mF9DnvA6eXeX6+uG/p/Su0zzXJ+GE8vWLwe&#10;qAf+PGusPWtI7Ey3AjIqrpYxpluD1CYq3VaxG22C+jMPyJqiSzRRRQB8UbflzkUlWJJEeNQFK4J4&#10;BGKaIGKhmIRT0Ld/oKo5SGkqd440GQTIvqDj9MU1Y1cHBK47tyKAIqSpTGvTzFz+NMKlTgjmgY2l&#10;oooATFFLRQAqLl1+ter/AA6G3RJB/wBND/M15QK9W+HhzpEv+9n9TUyNKe52VcN4t0S+vtYE9vEH&#10;QxKPvAHIJ9a7kVTuljaQB1B47ipZoeYv4f1ZBkW+T/dyMj8en61faKaCztlniaORFwwI6fOveu3M&#10;cXJwfzppijYYyeako562G27T/roP51unpVb+zIUmEokkyDnGRj+VWT0oEc54rgaa1gwVGHPU47Vz&#10;cS7LWAkj93LvY5HA9a7LWo0e2TeobD9xnsawTbxHjbx6AnFS5W0KRo6c6vJGyEMrAEEdDxWwelY9&#10;iNphx0GB+Va+aaEKPuNTKev3W+lNyKYylMP9NT3K/wAnqNN39qryMbD2+lTSjN9GP93+ZqIcaon+&#10;4f6UAaY6Uo+8KaDxTs8imIlFLSA0uaYiOf8A1ZrktQXKkfhXWyn5DXK6hwG+tCA8lcfMabVuRP3j&#10;DA4OKrOuGxWggXbnnOPavd/gxPbGzdvI/cieRVjceZj5VPtXg4Fev/Ci7S00S6kllWKOOd2d2OAo&#10;2Lkk/hR1E9j6AtdQiDSKkSIM/u9uF3DAz+ual/tSLOGbYQcYKE/r0rx6f4s+G4JTEst5LsIAeGAF&#10;fqCWB/Su00LxNYeIbIXFncCVMkAldp47Edj7fiOKtRizNuSO13215GVzBOMfdJDCuTviIr2VI7aO&#10;3wcFYwQDVuSSPHzDOPp/hWbd3CM2Szegyc4FTKBtQrKMtR8cnBDHOfWMN/PpT3uEjUKSMjoAoFZ7&#10;XQThQGb1OeKrtMWIBxkd+5qLHbKsky88xbqePQUnnZ71V3ZFJvOaLGbq3LJcHrg0PKdowgX3AqDd&#10;SsHKBiflzgc0WM5THlzKjRtzuBWvl2b/AFh+pr6ejOGBr5q1GHyr+ePH3ZWH5GhGbbe5SowaeFpS&#10;Cf8A9dMRHimkZqTafb86QgDqyj8aYD7BjFexyf3TmvpYYr5qtseco3A8+9fR1m/m2cD/AN6NT+Yq&#10;WBZqOT7pqSmSD5D9KQGVNOq55qk+oIh5IH1OKralM8e4gE/jiuV8S7H0+CSUJw5Hz7cDj/aGP1FF&#10;h3OtfWbJVYvdRKFGWJccD3/OorbUtJ1S6S0h1GKSVw2FiO48KT/SvPNPKsLkIVx5JxsK9iDxsk/l&#10;itTwy0o8SWW7ziCzLlvMI5QjqwPr60+VCuz0m78D2yRTQi6mIkBBJA4qbS7M/wBnOnXEWP8Ax0iu&#10;tnQSKG9Rms/SIAUkXH/LVk/JmWuWpC7RvF6GL4Rtso5x92RT+ef8K7u6t/M0yyB/hkYfqf8ACuV8&#10;IoBHOPZG/LP+NdzJGDZQr6S/41rGBMmY8VoBMMCr8dr8q8d2H86siHFwvHep9mAV9JP5j/69PkJb&#10;ILm1HnQgDqCP5VxHiyHy7XTZOm24mX/yL/8AXr0OQbzC/vXE+N48aQjgf6u4l/nn+laQVmS3cf4d&#10;GfD0vH3b4n/xwV1dmuY4s/xREfr/APXrlvDRzod4B2uVb8wBXV2fSP0Xcv5kGhrUOhi6Onl69OP7&#10;279Mf4105rAtE8vxHJ7hv6VvGkge4tQWvEbj0kf/ANCJqcVDAMSTD0f+YBpiJqKKKAPiyNQW56Dk&#10;08uHbdISewx+lCtsjBRyr56qcGmmeb/ntJ/30as5QiBL7Afv8Y/lTJCM7QeB0qxDLIxOZ5FI6fOa&#10;ikklRyDMzH13GgB37kx4KAMehBNIIiy7M5/u/WkdphyzM3ueaSORt2SyjbyOBQBHt6+1NqUsqM20&#10;hsj0wOaioGFFLgkdDRjBpALXqfw6P/EqlA9v5tXllen/AA3P/EunH+7/ADalIunudxVO6GZB9Ku4&#10;qpcj5x9KhmpVIpnQ1KabipGRNTSeKlK1GwoAy9ZfbbRDGd0oH/jrH+lYvetjW/8Aj1jPpKD+hrGD&#10;AnArOW5SLWmlm27xg7yB9NxxWuay7TgRn3/rT7nVYbZyjHmrjsI0lJ2v9Kj3VzF74vFrIY4LQzkj&#10;k79v9DVL/hML1vuaUf8Avsn+lXyti50dPNcFNTiURMwIUlhjA+bvzUbygapFweQR+hrl38Q6rJMJ&#10;V00ggAY2se4P9KZL4luopRNPaKHRgCBkYyOM/nRySFzo70PxTw1cOPGVyfuaeW9wx/wpw8V6o33N&#10;M/NWP8qfJIXOjulb3p26uEHizV0bdLYxJHkDlGH9au23ii6a4Rbi3hWIkBmVjke/pQ4tDUkzq5W+&#10;Q81zGon7/wBa1m1ayZcC4jJ9mzWDfXUUjNsbOTxwalMqzPObiRY7qZTnhz/Oq5+9n16VZ1O0niup&#10;pWiIjMhw3rzVMNkLWl7iHgZrtvDduLvwdqNsxbBuYydo69OD+X54riFNekfDiJbzS9Xtn6MUH0JD&#10;YP5ilLYFuZOp+FmTS5dStydsJ/eoR2zjI/nXQfDC9a3vLyz3Eb0Eg56FTj/2b9KpNfvLYX2mWxdp&#10;TmK43gDBHBArI8K61FoHieKa5UtGHZZAF3cHpx35xWdOT2ZrVguh70uokgb1yw/I1BLceY2cAe1S&#10;2tyJY/tEFqWimRSreVtBGM5BI7mr8NvK0dlGNi7sSR7z07YOADzyev8AjXRc5tuhjedJGwwDk9Bt&#10;zn6U8SyNGFO9UPzAEYHQHP5EfmKvsLpmiufOijFszgFkJBAALMe/Rl4GenX1ajvKYj56sIwXhyu5&#10;iQ23nllI79/QcdEO5l67ef8ACP8AhsazMElR5RDFCjEM7nJxyMDgHnmoPC+qS+JPtkLW32S9tEEr&#10;27vu3R/3lbAB+nHUVzvxbv5YbLSLRC0kMlw9wsO0fMRgduucnpxWFo3iqLTtesvMUWqvE1vcuCRl&#10;WI2hunA2jP1NZuTUrG0YqUGz2f8AsUi48j7Spcw+co2fe9gM5/Smppe91SOZJHK5KBgrg4zja2D+&#10;NUkvpLgRTR32/cgCOjjG303A9PalzJIQWuR0x8zk8elUZES9a+dfES+V4g1GP+7dSD/x419E5INf&#10;PvjFdni/VV9bl2/NiaRRh7qN+O1MZ1XrTfMB6GmASMcVDSyN82O1SwWzzkAMi56bj1oAktj+9Q+4&#10;r6K0STzND09/71tGfzUV8+LZSW03lz7lbqMDOa9q8J63aXHhyFS5jazhRJhKNuABgH3BxSYWOqzS&#10;OMqawbHxhol/eLaQXn79jhVdGXcfYkYraubiK2tZJ55FjijUszscACkBzGopuZ1JI57VmC0guoxH&#10;OrMFbIw5U/mCKjm8UaVeXYSG4J8wnaxUgfj6fjT2hacFVmeLByShxTAtW+jaercWqNkYbeS2R6cm&#10;tnS9H0yC7gkh060jcOuHSBQRz64ryS48RO+pOLe4vXtwcZM5G4eo9P1ruvDot7+3trqKa5jkinVX&#10;W5kB5GG4OOc00Fnuevp81nA3rGp/QVW0kBXnH924c/m27+tWbb/kHWwPURKPyGKp6e+LzUE/uzjH&#10;4xof8aiSLWxT8LDZeXEX/TI/oRXdN82ngj1U/mR/jXhHii/1aLV5bDTLqSz37x5kRw8h3EbQRyAM&#10;Dp61r/Dy58U6YtymsXkstqw2xwXDl2Bz94ZOVHHTvmmmthyTtc9lZP3m70Yf0qR1wCfV1P8AKqOm&#10;akl8GGMEd/WrV3eW1lA893PFBAgBaSVgqjn1NMzJsfIo9MV4x49+Jmm/aLjRLa3MjQXLCSdmG3uG&#10;AA689/au21jx5os+i6jHpOr28uoLbymBVJ5cKcYPQnNfK8cdxe3QVQS8jfePqe9PYaR7v4Y+IGkQ&#10;2UsU4kRZymXAyEKnv7V6lpl1Dc2UNxbyLJFI3ysp4I218w2PhW4ATzLwqhI3BV6Cu48UeJR4V0iP&#10;wtol48w2757g4DDdyFGOhwefy9ajnT1Ro4Nbnol/4u0LTfEJE98mVOG2AtjjB6VatviN4Zu5Wjj1&#10;D7pwS0TAfyr5oa5kc7mJJqxDdFdrg/lS5hcqPrGzv7S/i8y1uI5l77T0+o7VJHxLMPVgf0H+FfMm&#10;meI7zSblZrSd4yD/AAnFeweH/iVZXwtzfRmEy7YmmU5QSdsjsDnrzTUhODWx6BRRSZqiD4rJptFF&#10;Wcoo6Uq/LkjqKkt1jedVlbah75xTkCggLtZskcZOaAHxww71LSnGecCqrhd2QeD7YqV8g7toGelS&#10;hZPLLYYRKwVmGRk4yfx4oAryReWinPzHqPSohUtzIJZTIEVA3O1egqHNAydJsDB6YprgbVIOeoFR&#10;ZpM0gHivT/hsf9BuR6bP5vXl4Nel/DWTNreL6bB+r/40maU9zvs849arXP3x9KsYBOe9Vrk/OPpU&#10;s1IDSGlJrN1zVU0fSLm+dd3lJlV9WPAH5kVIF41m6vqH9m2X2gRCU7gu0vt9e+D6V41feJtd1OUt&#10;Lfz43ZCRnYo/AV1HgfxLdNfNp+o3Ek8bqWRpm3FCoyRk9sZ/KmlZ6g0dpqkgfTBJjhivfNYaH5q4&#10;tvE8xWWL7dPDCz7ljjhVunQsW57dq6fQdUXUtNEhC/aFYq+0cH0OD61m4t6lySjs7m3bsNqc9z/O&#10;uf1x2N6VQFmIGAoyTUupa5b6aBFKC0vJVIwAR9awbbxEg1IXU8DkIjBQGB5IIGfxNaRjYi9yzpMh&#10;M9zn72F4P41DBq1yUR52RAx42gDj8TTBczxPqFyUAbyQ6EHcDxxyPpXIhi7ZYmna4lpud1Bqd0dV&#10;jRJ/3DHGNq5PHrj1rP18/vLv/fiP6CsrSbiSK8tgfu78Ak9Kls4J9d1S4kkndYQdzkc8dgB+FCfL&#10;qNxcmkje1fVZ7ARmFY23gk7wT6ehFYz+I79/+eS/RT/jVfUtVe5dY0RWjjyquRy3v7dKzyjy4Zj+&#10;FMVjf/thxZx3F0TJsfhRVFPEWovIEiSMBjgIEzn8etR3NtKNFiZwQrPlD/eHSt7SdDhikt5xJvAA&#10;Yg9Q2Pb3qJNJGsISk7E9jqt1JGEu7U28idCVID+4zUyatazzJDFcLuwF6EZ9QD0Pepdd0291K0za&#10;OJJIQT5a5BKnHT1PHeofCWhWv2Wa61S0aVMcjfjYPbBzms9Grmzi0+VGVr4X7BIQBwR/MVyq8sK6&#10;TUbWMyXVqjOzLuA3cEYJI/Hsao6HbpHq0DT8AEkEjgEDIzWsdEYy1kMtNLee8S3lZ4GZdw3R5J79&#10;MivVfBmknTtHngSQCaSTImMQBAwMAjPOOfzrG1O+tpDaecimSIs6TbcYGMbB69c/hXS+G5ln05pA&#10;cqZGA9sUU5uT1QVIKKumQr4Mi0q2v9TfUWuJ55w5BhCD5m/3j6muN1Xw6F8RJM5CW0zoNynkE46+&#10;mcGu41jU57jSLmyskMt3G6nae4BySPXHpXn0kknky3LMJFdmAxJ/FjrjOfTrWVV2l7ptShzR949m&#10;tbnRdO0OO6v5fsdtHiMtGvGT7AH3qs/xA8C25UjWL5in3NsZ4/8AHR3rFngPiH4b30MW3zJIklXd&#10;0BVlb+QNeYxeE7rcfPMYHbYSf5itKMvd1MK0LSPVH+I/gmNNoa8lAJwAGUcjHr7CsW/+JWgtdO9q&#10;t0kOAEjI3lQB0yT65rjR4R9WP5j/AAq1b+CUl+85H41rcyUSn4g8UTeINdtmtmYQRFVgRlAO44yS&#10;Oe/6CjU9Dvmubq9CN9lLuQzyZ3EZ3Y5J6hutXZfC6eHroapLPG1pFjIIO5WJx0xz1rmrjxBqUxdE&#10;vJ44JJHcRK5AG4kkfqazteR0QcVH3jdsdWvvDkMN5YXyiGQAmLcCGPoUz79f1rpj8Xk2/Lorn3Nz&#10;/wDYVznhfRU8Raa9vO5RbeTKOhG9cjpz2P8ASt//AIV3YL1u7w/8DX/CmtNzOVnsNf4uzfwaNj6y&#10;k/0FcFrWrSaxq8980AiedtxT0rZ8T6RH4eubdLaaV0lRmPmHPIrPstSFo6zBV83sfLDf1FV6ErfU&#10;zPLL4EgxkdSKZFFHHIwmBYDsDjNbl5cy3oXzYVwvKgRqmP8Ax72qjc6W7eXNHLBl/vJ5ygp9eaBu&#10;3QqC2SRdyxsPTmtC20HUA4aS0kVeu4jin2FsYZcztCU5yBMpPTqOa6bUdRmjsltCApb5sgYyO3c/&#10;0qKknHYuEU1dmdJbmCNY0Klx1c9fwqOPULqBli85ljc5bnrjkVSlkLcknNVXkLSKNx4NQmUdJZta&#10;Xs0SXDBXDD96PvL6H3wa6H4oalJBoOm2XmZNyfMkK/xBQP0y2fwrz9GZJwVJBB6iuj16OLWvD1pc&#10;SyMk9mQpZU3Fo2/EcBgfzqVJxkuzKceaPmjl9JlMNx5vHA6+ldwNeigUGWN3Lr1GMH8zXHWsFtCT&#10;maZ1ZdpHkD/4urV2Yry3hiU3CmPILKgG4HHv/nNdLTMLqxv+FbqLQUnuIZ4sIGkEUgz5uB0HvXJ6&#10;zrt9r+qy3t4wLk8KowqDsBWkivsAS3u2YLt3Ae3XGDUq2qmMqdEuGJGNxBz9fu1ChZ3NJVE1y9Dp&#10;vBvjm+0azaxZftkJAMUcspHlnvtODx7V0KeOr6GW5uV0yFzJhjGJiTwMcfL6CszSPh/oLWUM2q60&#10;EeZcRi2nVWgYjgODz7H0+lcbdbdPuZbPzxJ5Lsolzw2D1yCR+tX01M/Q7208X35vJLr+zhbQXDsz&#10;iacA4Jz0xnv6VYm8SXbbpLeO2UjkbmLDHueMV5ZcavNIoDtkjgHqfzqH+05PLKlzwOOalpDT7nqj&#10;fFG6sLdkt7WMS8AOHyPc8j/PrXJeJ/HGq+KSiajOHjjOUjRdqj8O/wCNcb9pnkJYNwPWmmc9zzTF&#10;c6PSNUFldKwh3jOGCnt9DWnbWcEd0JrN9kRJAXGce3PI/OuJjuGDcGtiz1KeJlZCDjqG6Gpkm0XC&#10;STOvjtrlJ0dpTtLYLYOAPpmuWvJFM8rDoWJrqNHvhq9xFbM/kuXUYL4xk4znuK4/UVaG5njb7ysV&#10;P4Vkk+ptNprQXeNoxSwv+8ZegPI+tQB+OtOBHmkZwaZBbVyJWX0rZ0C9CzyWkpHlyjacnoex/A1i&#10;4LxrKPvDr/WnI3lypOvTuaTKR7povxS0nTNCit9Ymma9t/3ZCR5LqOAc9M9vwpG+MunzOfsWnTSI&#10;OrSNtP5AGvKdR0xL6wkvQcgIGZR1z03f41l6XewWds0Uum2lzJuJMkpkB+nDAfp3rWnLmVzGpHlZ&#10;kfZpBngHGPukHr7d6JLZkd8KwUHgsOvt+tS3BuIX2u4bgc7fyqAXkuSrNlARnPOe1W2kcsIORG42&#10;dSPqDmmC7WI8MGA7gGrT3EUow6D2qr5TKysmOvap5zX2JIlwk5USMQufvYwcU8zSD9y7NsUn5R64&#10;xn61R6s29OcE5Har9rGRp73bt8wbYmR1NUnciVOxDPtD4HUDB9qizQTUz25VCMZdRlsHPFMzIM00&#10;tUhCbQVDfU96ikUjkA0hobJcLEOeT6CtbQfG17oBkS1t7eVZMbvMDE8Z6YI9a5uRyZWPvikDgH3p&#10;M1jGx7t4T8ZweJY5Imi+z3kQ3NHnIZf7wP8AnrWtqF5DbRtNPKscSLlmY4AFeAKz2oUx/wCvIzn+&#10;7SPe3l1+7ubqWVN24qzkjPr9ancux6VffEaxiLfZbaWdQcb2OwH6cE/nisvVfGFr4h0G605oHt55&#10;Qvl5bcpIYHrxjp6VwMzEtgdB0FOQuZEVR14xRZAjZ8QJZ2wgitYhFIy/OF6Adv681ghSpyCd3tVy&#10;bzbmXzJHXdjHzN6V1GhatpWm6QI5REt6HJ81UycZ6ZHPSlrFdy9JS7HIz6fcW/lm4gkj8wbk3LjI&#10;9a7Dw9f2+jaWkrNDKyxu2wfMVJyV3enIH51leIb+LV7iKRbvJjG3MgPI/BaqajNbJZRQ2Er+UoHn&#10;Bl2729apK61Jdk2kVLy7ku55bl/vyMWOBgZPp7VDGSImz1Nb2i2cN5E0FwhUSDKyBc7at3fge+h+&#10;zNBPFNHO4QMDjbmjmSHyPoYdvcOlo8bANG6lTk9M1dtPCzXTDy7iNgPvEEED8q1PEPhkWLRx28Hk&#10;yhMSRli2/k4bnkZAzXLxS3NlctGXkjkHHUg4/wD1VF7q8WXZRdpI0deis7Rre0t5NxiBZiB3OP14&#10;z+NZdtK6ShIrh4RIQrMo2jB9cdqkMUPB8qRiRkky/wD1qTZEP+XbP1c1cY6GcpXZVGQxVhgjgirE&#10;R+U56Yp2xM5+yp+Lt/jTgwQZ8mMDp1J/rTsTc1tLjtJYohqeprBFFnZAsZcnJzkkcCtG6vtPtsfY&#10;bwzAf3oyprnJ1JkZlUAA4qMZ9al00zSNWUdjbfXr0Sl7aSKDKhTgkk8nnpx1qL+3dUhjcx3iICMM&#10;scKjP6VmBT605x+7b/dNPkj2F7SV73IZZXuZZZpSGkcl2YqOSTk1XLiK7YhVIV+nbg1IhHzfQ1Nc&#10;adItzCvmR/v4lmU54wR398giqJLsutT3YIAEY2k8HJ4r1DTLyaPwzcXtwryPbQCV8n5pBznn1GCP&#10;w968ktLS4jvokaBnBPIwcMMdM+4r0a91s6NoipkMrlrQqFDeaNpDEZ/Hn3rKTUHobwjzp8xmp41S&#10;K7+1Q2Uiv/DlxyfQ+n61fTXfDGqWsr6jp4tp5SqnY2wkckk7cDrjk/0rkAYvMjVSNhO1weBjPHI/&#10;zxV2C3tnGZtjvFIAz+Zu3r9O/wCFc8pJu50Qi9kek6FNosGmXFtp07BWgdRG77uo7VkyRgP0qnpt&#10;1DYYhNwZImcJHhcKueh56c5B98da0pOWrWlZoxxEWpWK/ld6sxoVAxTVxUnmAVqc5zXj6Z4/Dyxg&#10;8SzqjfTBb+YFeY+lev6zZ22pQQxXUfmIsobbuI5wR2+tUrzQ9GtLUGOwh3HbgkZI9ev1ovYdrmP8&#10;Nrsx61cWpPyzQ7v+BKeP0Jr0iW7t/M8oTxebnGzeM/lXFqlsl4n2W2htXijL+bBEFfHQ8jk8E1Rm&#10;tkg1BLyKRkmd8mQ27F2Y+nv196tR5tSW7aF7x3pU97bwXcTR7bcMHUk7juKgYGOa8/ljkhbypUZJ&#10;F4KsMEGu6nhhaVbuS3vrp4x5g82HGQOfvEcCsDxOgvLoajawymKcBi2CecZ568/jSacWkG6uU4Zo&#10;ljUNbrI3qWPP5VJ50X/PhF+LP/8AFVQUkKvY1cF48IWNIYGwo5aIMTx71RI8Sx9tPt/++n/+Kqee&#10;d5W3OACFxgdBxTYbi6lZc21sEPU/ZYxx+VJcrhCf7xxWVR3NIaFZ2xtHsDVU8Nu9MVLcE+acDpxV&#10;PfhyDUpFNmiz7ZnH4it7TlN5p1xbjOWjeMf+hr/48tc3K2Qr/ga3PD90I59pbDYBH1B4qJrS5pB6&#10;2KAheO1R5GuVJGB8mFz0xknP6VXNxND80c0ik8EhyKuamZ7bUJ4mmkKKTgMx5UjI/TFZTMZYwVG4&#10;ZIBFdSd1dHNJWdiwt5K65e7l+m4mmmUHrNIfxNRQ/u1IeIH2bI/kRQxDNkKFHoM/1piJAyZ+85ok&#10;n3tnsKjwQuagZsGpY0PkfjJqIXAU4waglkJOKYoJNIZpLMWGaryMd3YiiPOMYqOUgHrQBKjjuCPc&#10;VcgfPCuD7GsxHI6Cp0kHXFAG5Z3s1rKjYPynI9vp6VPqUi3s5uIjkysWYY6GsmK7wAMfnWlZ28t1&#10;dolltM0nymMkAHPTBPGalotMhkURpgnpUKOd3mH1wfpXfeHvh9FeXMo1+4kgcD5EhdRgjqCSCPy9&#10;etdFqHwz0IWbfZNQeKYLwZXVwx98YqVF7lc6PMraQHoeCKmijVCUf/VseD6GoJ9Pu7O7khjtpSyE&#10;ruRCyt79OlSpb6kU/wCPG6IJwV8huPfpUtMpSR1Om3L2NoGGSFPynr+HpW9YaD4X120W9ESxyscS&#10;LbylAG91OcH6YFcnpA1FCYJrC4MTcHdC2P5UzUdE1mO5zaW0rRt3BJP45pU7xlqh1LSWjOauLtpw&#10;dxBOAd2Bk8dzWc7hRye9TxW9wCQY2UH+9x/OqEwIfB6g1pPVnPR0RIZ8v7VYilywXPP8qoBSasWl&#10;tPPLtijZj7dqho2TN3SbAahqCw7N4bIKg4J4x/Ws/WXmS6+ziIwiIbTEqkBW79zXoHhvQodMkiun&#10;YmRVOTnvXF69dfbdbvJlv0jRpW2qsnbPHenSd5MKytFGDi4J4WQ/RDT9l854juST6Rt/hVjA76mP&#10;++8/1pCsR66hn/P1rc5iMWupHpDefhE3+FL9i1XqILv8VYUphtCeb0H/AIDSCGyzxcZ+i0AQT6be&#10;hi7W0oXqWYYqTS9A1TW5pBp9nJOIhukZRwv4+vtRCV88hAQvOM9a+idEtLPSbGG20+COOHbuKjvn&#10;uT3NcOOxX1eKaV2zSnHmZ8+waTqepXzRWtrI8iHDkDAX6ntXRaR4eZNOvYJjGs0gGWKk4Az0/HBr&#10;3NYIHjZWRctknisHUPC2XaexmjjZuGicYVvoe1cKzNSdmrG8YJPU8msfBi+X9ovpmKA52RjqPrU1&#10;xcaPpYQQ6aATysi4cH6EmtvUriawne3mjeJ1OGXGcf41x2ua3HqjQxxQrGluCAwJO7OP8K9GlJ1H&#10;d7BUUYR0KTLZsxJeck/7Cj+tM2WWf+W5/wC+RTRcyIoAWMCj7TN/siuuyOQfi0HSGdvrIP8A4ml/&#10;0faR9lcg9cyH/CojcTf3h+VHnTH+P9KANVNZnTPl2sYz/s1abxPqdy0cE7rs3AhdgGPSsASSZ5en&#10;KxFyjE/xClZFKT7nS6/4xklmZbEKshGGmZckewrk5ria6YNcSySkdC7E4+npTbwFLuYdPnP86hR8&#10;nFJQUdhym5bkrKQMgnH1qPNTIc0jRoOdrfgf/rVRJFUo4h+jVHna3GRg/jT9+UbJy2RQBtWlv5jk&#10;yo32dtiyyBSRHuGVP4fqMiq13ZzWF5Na3CFJYmKMPcV3PgnR4dW8P3dpNqIhS8eMKjKPkdCPmGWG&#10;cjisbxajyRaVqcW1vtNuYpWI5aSI7CfxG2kjapBxSfc5kMvqKlt4mu7mO3jXe8reWFPGSeMfrW3p&#10;WmTyaWJpZ4be1kkKu7xqSTjoCR6D1qFtPitbmKRZXd0cHduXaxBGNpp3TdjPlduY6WH4T3ZZJb+a&#10;3tI8gmCAF3PsCTgH88V3sHg/SYrOOF9IsAqLjAX94R05kHzZ+hrjF8X69JJERIodFwOASwx3zn8x&#10;6VOviXXpWwbiFaXI3uw5l0NHXdO03w7cWksDXy27q3lQRvkI6lcjJGcYI9awtbu7fVdPuJIoHh8n&#10;a6+Zzgk7epPvzwK6TX/OOjAyTNMbeTzBuA5BIBHHbp+VcneSmbSL4bUXMajjgffWlKMUttS1UlKy&#10;OWVWfOxolQDeUZuPTv3PPFWEdvMWJmVw6s0YjZV2sf73FRbVnWeXcoYYwiIdrAde/sDSS5EccZSM&#10;SyHIxwU5IwfTp+tcTO9aGnJNIdFDlCi7DEHRRhju3Dd/wILz7V0OmaguoWEc+fnIw49DXMi4B094&#10;mcg4CoIgAm4fxEdzx+NN0nU/Kv8AyBKRHcFTlflG7nH4cmnSdmKtHmidmWx3qMuc1EGxjmhpAB1F&#10;dR54k7ZiJ9MH9apXjCSEj0Td+RFTzSq0TAMM49apSSBDyeqEVLKQunQfa9RMW9UMkJUM/Qd+fyrp&#10;xaXiIgOswKy4wQoyPxrmNKhju9XhtJX2JKME57AEn+VdU3hbRx969Yf9tBW1PYznuc/qa6vPNLBc&#10;ajbT6e3DH7RhypHOAQRnrio1W1tYBDBqTwRJwqhuW46nHf8Awrpbfwhod1MY1vZi2M8MrfyFWofA&#10;em21wJmiW9C8rEZlAJ9wQP51Ta5r3YK9rWPF9UiEepTbX3oXJVxj5h61HFP9nvIpQPugEexxXTeM&#10;dBntNURLfSntojHlUUl/Ykn61y0sEkUirMjKyrlgwwepxUNp7Bqi1dapJN99vnPtiktIL3UFMkKI&#10;yxnGTKic/wDAiKzpAZX+X8TU8a+VbABv4z/IVCgkVzsvnR79x84tlPvcx/41Xk0G6ZgfPtAcc5nH&#10;9Kr7/ejn0quVC5mXzo0jRbTe2anPeQn+Qq5pthDZyB59StOOm0uf/ZaxefSjn3pOCY1Np3Oi1RNO&#10;vnRjqkKMFKE7GJI7dqboiaZo2qw3jX0d3HExfyXhOCcY9f6Vz/PoaMH0NVFcqshSfNudr4l1jQNe&#10;SHyoY7F42LM8EAJbPXPIrnhBoinJvbtiP+mC/wBSay9rHsaXY/oadyUkiG6dftEgjYlAcKSAOPoK&#10;rZzVi6tZY2DOjKGGRkda39C8NpeW6TXCO5k5Vd21VX1J689gKiUkjSMHJ2RybjnNOSQL2rV1rSjp&#10;12yICYiflPX9ayCp9KE7iaadmWFlQ9OD71BLncab0pwBbimISPmpwwHUVBtZTnGKlHNAFiJlFXrW&#10;Qw3Mcy9VIIrMXircL5OCcUwOz8U69Leadpt/aSMkyiRZyB/ESvJ9zzXLf8JJq3/P4/5D/CrFtdbM&#10;wb2MMg2up6flWHIFWVgD8oPBoQmaf/CS6x2v5h9Dik/4STWv+gndD6SEVniSNQBg0vnR/wB1qdwL&#10;58R62f8AmK3v/f5v8aafEOtd9Uvf+/7f41R85P7pphmT+6aQG9exxo3lRTCIY4llY4/QVa0yz8KQ&#10;xM2p6pcTTH+G2RlUfiykn8hV6XwneP4JuNduSY0Rk8lMcuCcFvpyMVx0cBkG4yIg/wBpgM1EIvlu&#10;ypyXNaJ0dwvhVJQ1rdXXl91kXcT+O0Vbg1/QrO1aGIXRyc5ES/1auV+zRY+a7hH/AALNHkW/e8j/&#10;AABpuCYlUktmdcfGloqFEW6I90Uf+zVzLPo2Sfs13J/vSqv9DVUx2Y63YP0Q/wCFIRZj/l4Y/RDT&#10;jFR2FKTluWvtGkdtLlP1uf8ABaDeaYPu6Qv/AAK4Y1U3WY/jlP0Wk8yyx0mJ+g/xpkls6hbL9zS7&#10;Uf7xY/1qW2vo5plj+wWaBu6x8/rms9ngMeY0bPqxpLR9t1Gf9qgZMyiPUGUDA3kAV9C6FcCTRbF2&#10;OS9tG35qK+fLz5NRz2JBr2vwxcF/DWntn7sW38jj+leVmsfci/M1pHRG5VJQCeAMmrlq/mIJT1YZ&#10;HsK5u5lO1jnlmArooVHkgDpjGK+ffc3sZWtRJPZ30JC72i+Un1PHX64rxHUvB+qaNpzX101v5IcJ&#10;hJNzZOfbGOK9p1uIRwkyybElQjhtpGCD1riPEtxpt14Rv4Yr2Oa5jZJFTz95HzDPGfQmvpsslz4d&#10;eRlKC1Z51Hd3EaBEuJUUdFVyAKjJLEknJPUk1CHAHWnJId6+Xhn7ADOfwr0LnOSUVMDfMMiKQD2j&#10;x/SoZnlQr9oLjrjeaYC596GOGBpiuG+6c/Sk8wPjbyPWkA7UR/p0nocH9BVF8xyD3FX707plb+8i&#10;/wAqpXH3kHtQxokiY5zVtGIyVxnHeqEbYFWo3yM0AacEdutqTPpC3Eszllk+0BGHsAMnqD1og0K9&#10;vr+O1gttskhAXe6jOenPFXNOGpSRwtY2wnEbZYbeTnPft3/PvXoE1rHeXNnMNHmt32q7lpVAVweD&#10;hW5//VRrsBl+G/DsFvFbyXNxfWt5GSH8gIU68ENn0wabPpZ1LQr60gLFrDVpFQsMkRsCP5qK9DQw&#10;Rl1W0SFCqorYBIUAD1zzik2W5huYbWygi+0PummRMNIc5yffPPfrWsIX1Nq1SPIopanm8Ph28eyS&#10;yu5ZZ7NG8xIAuwB+mcg5Pf8AOtTS/Dlt5yW7WKrGMnLncfzOa6ciCKYxyMCq8EbsHp9aIWh+1xLC&#10;R905G4nnn1Jp8yTskcyT6sqXOnWdnZShYVRcYOz5f1rKKW7QeVHPLGCMBSQy9c9MZ61015DHJbyC&#10;Zd0ZHzLnGaw5vDzFFn0+clV+Zon5OPY/0/Wok3LcatHYuam5/s66xjPkv/6Ca4maQJpN8SCQYgCB&#10;6b1rp7+8gisRLNIEgO0Fj6Hj+tcbctMNEaR1eHz0QqWGDtLrg/lzWc+ptFbFbTJZEZF3mOGUCJpA&#10;pII/iB9wPTriqN6otwv7tSd5wxOdwHPT05x+FSWCp5cbSbRHIxj8w5+TkHdjr0NLqp4WVI5I4JQF&#10;IDcOR356DPNcPU9H7JIz7LKUlRBujEqBVBJ6Yweo9fwrFRwQpUYVG9QCQef6GrzkQ2EkSzMXbPmK&#10;vK5HTkdeprNQHawUb/lHJHI5qoozk9jqrS6+02yyENk9cjrUjN7Vm6fFcxT/AC2tyYGIA+U4A710&#10;R0/j74rWL0OaaszJMjqwIU8GprxiyRkKc559qunTQf8AlotQyWEjosX2xwgOdoAwfxxn9aZAaVpl&#10;3q2rwJawtIFGXxnhe/8AOuqbw3b20uL9zGo52JKS7ewAzj8aydAvbjQ5WMczyRk7vJJYqT64FaF1&#10;r9zcKfKZrZz1eOIlifqynH4Yrppxny+6/wATKcoc3vHR6DcwI5Sz0a6traIHeWHMx5x82efxOBWv&#10;Lq372K3tLcsZeFlYLtyOuMkbvqMgevavPrTX9Us7doBIJEYsXYROsj5HGW5xj2FNh1m+TUo70eaX&#10;RCmJQz5z1JwFB/Kn7KTerX3j9pCx1msWDXs+Z5TH8h/ethMNxtznIIxk8Y/DNeH62/matcJ5/nhH&#10;KeaOj44yPb09q9B1zxBPc2k9zeQI7LHtQNEdinscHvk9a8wJ5zUunyO4e05lYRiEUAUoYG247Of5&#10;CoJHy+c06A5s2/66H+VIQ0SESetTefL2x+Qquoy5q5E8CpiSF2bOciTAx6dDSAi82U9/0FG+X+9U&#10;7yW5QhIGVuxMmcfoKhAJOBTATdKejGrEEErSDeSR/dDcmnRoIxzy3rUUkEm7ejFTQBq2nhzWdRZ3&#10;trQvCCQGLqn8yK2dK8FSRzLPqrFI1P8Ax7kglj7kEjH8/aq2geN7jSYfst7B58I+66HDj+hrdXxJ&#10;aawha0kIkXkxvww/z6iuarOotDenGEiHV9OhvZ8lAMAAYHYUs8E0dpEluu2NFAODjoABU7tvAcdD&#10;UqOWgKH7prCMmdCVmYd/p01zZ7pRuxnBY5Ncbc23lSMpHIr1CRY4bN07Y4rkYNLN1eNuXC7q3hLu&#10;Y1I3ZyfkMeQDitbTNO81ssldmNKgVR8i8e1Si2ijXgCr5xKkcpc6QhRtq49KxJ7KSA8iu+dA5wCu&#10;PrVS405ZEIZQRTUinTTOFBwcEVOhweK0pdL/ANPSJcAOcDJqK702W1m2kd+Ce/8ASrWpg1ZkKbWV&#10;wWxkVQbhjWvaIrBvMX5TkVQuVjRyq84oEyuF3PjcF9zTvJGP9dH+Z/wpjdabTEOcbDgMre61MtlK&#10;Y1dyqBvu7jyas6dYGVhNKv7scgHv/wDWroDc2rACS1jbHQ4z/OolKwrntnjG2jk8EanbRqAi25Kq&#10;vYLhv6V80i3eeQrGjM3XAr6h1B0n026twAzTQvH+YIr5el/1jfWt5fCRHce2nzopZ4yoAyckCq+x&#10;adjFJWZY3aPSl2j0oooAMD0owKKcqhjgsB9aAAdDTUbbID6Gh/lyAQfcVEGyaANW/jZ7uNlBYsgO&#10;AM969F8NeI9PsNBt7a8u0jeMuCvJIyxPQfWuC0xJr0rFESHb5N2MjHHGK6uwsdEhw+qTSkocbcgD&#10;8Dz+QFc+JpU60eWf4GlNS3Rq3/jPTW2i1864IbPyRnB/OnyeKvGGqwk6TpTW0AB/elAeP95+PyFR&#10;nVLHRoVlsbMxySxb1aQgtj145Hf0/SpPC3iq5uUFo0KvAWLs8vJwck7v8Tn36VzU8HQgrxjf1NG2&#10;92ZEWharrrzXOrah9qNvw6GVmEfHGfbtxitDU9LsrDwxdKCr3EkBVI0X7rcdAOvQitPVz/ZdrcmJ&#10;1XzIiBs5DY5C+/Hfr8uK4i/votJskg8xTe5PDKR8xALMT684FdMHeyWiBxUbnIG3mY5FvKf+2Zqz&#10;aRXtjI119kmVRGw3PEcAHgnke+PxrQute1T92YDEisuTkDIPcc/55FbPhTUrrUb24S5EBVYsEDkn&#10;kd8n15+gro1uYaWMY+Jrs9HX8BVeJrjVdQtv9HkuJQwzGmQWAOT/AF5r0K6e0tYTJIqAdgFGT9K5&#10;1EbUNTnuHjjgihQRMks4jG05JBPH4/lVS0REWmyrPYveWclza6O8SQHEs/nccDJyzMRx/Wuc8wE5&#10;jiYL2GR/9auv8SG4fRra1hnt1tTIBstn3jHPJAHIzzxnmuLUvC21yRz0Ix/OpUm1qW0lsTXEjssZ&#10;ELnC4OKru6s4LxMMDGC2KtpcIOufyqUTQnqKYjP3qSMKuPTJ/wAKswgNAzg4YMBsx0HrmrIeJjxj&#10;NKzrzhyCRjI9P60JAdB4fN1Jp58qdVRZCMHPt7+9bcWn39xnZI0mOu1c4rE8OXCPJdokYjDP5qxg&#10;5Cg9vw4rp4p5IlYIcBuoKA/zFX7Sa0TI5VfVGl4YsZLbVXE5bJhPysoHdea6/IXgCuW0K4ebVd8h&#10;yTERwoUduwrpmahylLdlJJbGTdzbb2Vc9x/IUWr/AOmx/j/I1X1pfIvYpOcTR78+4JXH/jo/OorS&#10;YG8i57/0pLcTNHVpWXT7gqcEIT+lU9K1IwoJpTtSNMsPp1NSanJ/ok4/6Zt/I1zGpXfkaLIgOGlU&#10;Jj2PX9M0we4zXlS98JvG8nlBo4zu27sfMp6VjXd3PeeH4beW7gnuI2RElVXEhTPQ8YI75JrXmxN4&#10;dCsRjyV6+2P8Kz9HEaX0YG0cN/I1nLU1i7GTpUEik7liJ3YAlGMEqQCfy71IsH2mCOMKZzydhcqo&#10;PpyR79Pati6sFm1V1myodQ4x1x0/pV+DTIIAqxglCf4uea5HD3jsVX3TjbOFhLGrOxAJZQo+63HX&#10;NdGttAbnzxbjzc53gH/Jpus2UdpfW8qnHm53D6Y5/Wt4wr2FXFWMZyvYpgkjpQSateRTDF7VRmVG&#10;LY61WO/cPm4rQaI1VaFs9O9AFzQbC9nvRNHDLJCu5GYDIBxnH8q6b+zLv/n3f8qu+DoDFoCsRjzJ&#10;Xb9dv/stb/NbR0RlJXZyf9lXp6W7fmP8aT+yb7/n2P8A32v+NdYQ3ocVE270p3J5TzPxzbXNl4eP&#10;nR7VlmVPvA+rdj/s15fIcV6r8VrgrYadbk/6yV3x/ugD/wBmryWV9rZHUc0XGlY1rfwhr99GJYNL&#10;uTG0RlDshClQu7r6kdPWqAtJ7W1kW4hkhfeDtkQqeh9a+iYdZ8xVkafarqCN/HB571wXxVu4rqws&#10;QkgdkmOQOwKn/CpuXy6HlUf+sNS5qBeJKlzTJH5qxGm0ZPWoYgPvHoOlTbjimBKHVPc1HJLmomao&#10;yaABzmoFkkt5lliYo6nIYdq1dLs4L2aRbiV41Vcjbjk/5zWkdF0g9bm5P5f/ABNJjTsaOh6uuoWj&#10;K3Eqclf8K17a6QAqcVztnYaXYXHnQz3G7GMEjB/StBZ7INnzHFc7o66G6raamhcSebwDxTbdVjPu&#10;e9VPttoP4mpf7RtO7H8qfs2Cqo2B8y4rH1CaS3O2RW8tv4l7Uv8AbEKD5ZD9MClOs278Of5U1TZX&#10;tomeumG4O6O4kUHn5TWtp+h6nNcCGB/MTbkmQ9KgXV7NTnofw/xq5b+KorUkxTOhIwcEVagyXVjb&#10;Ram5N4ZtrS3jltkEt4nWSQkZ+npXI6xaXtyFR0Ece/AAwTmtSXxbDN/rZZH+pH+NQHxBpjMGdCxH&#10;IPHH61roYczerOb1zTv7O02AL8rOzEjv2rmDnPNelXWv6Re7BdW4nCD5fNCtj86hXVPDa/8AMLtf&#10;+/MdKwXPOiDU1rb+dJ833F5avQ11rw2v/MKtf+/Sf4VKvibQI+BpVuB/1zT/AAosK5wzzTSQmSJP&#10;lDBcD0AoWYAY3Cu+TxfoSjA0uDH0X/4mpB410UD5dLtwPoP/AImp5SbHpCxI3KymvnLXLb7Hrt9b&#10;f88p3T8mIr1fwJrD3dkbFwd0C5jJPJXPI/DIxXnfjyAW/jC/A6M4k/76UH+tat80QtZnOE0lNLY7&#10;GhdzsFA/+tWZRINg/hP50vyf3P1qVLcsO/5UrW23+8STgUBcqsfm4GBSZpJiQx2jgetW49I1CWIS&#10;xwvIpAPyxv0/KgCmx4qJTzU7QuXWNSAzED5uBzUSRksFHJJwKck1uCdzt/CscJ0kL5Iln3vKVYjG&#10;zAXOD9Pr6U+5WCyhWSeJ3SNiylRkFj0BJ6dz+ArU0rSWsYQ4WWZVAjK/Nt5+nbp/nFWL3RJ9XKpw&#10;luHO5wNoT2UAYGfU81ycy5r9DpjpGxjW1tdarcPErIzMjKuckAY2jnr6da09P8OBrJrVZY/tEa/6&#10;wcgsMkKDngfh3Fa1ro8Gn6bKbjbFMThWdsYyOF/XOOn1qjPevF9me1lKO6ZfOSS3b3HWoU2noaci&#10;kjQ0rUWutLNs0cb3dqxYyEfOV2kAAn0/pXM654dvNa1ea6j1K0ihc5KSyEFWwM8Y7cD8KfNc6n4d&#10;1WHVrhVmSYsspyNrEg9cfn9RWzPprNpMNwZB5xbLbCD8hA289/8A69dNPlVS72Zzzv7N23Ry58Gr&#10;CIzcaxaS7pV4UDC/XnoeAeK3bPQ4LNUMepaajo5bKIRkEY2kKBVa4sn+zSkSOWCkjOOo6dqmhtFl&#10;iSQM+11DD5uxrr/dLuct5MnbTYluTO+sWs0meAYH2oO2ADzVZNBsd7tLrzEyEl9lq4znrjmrA09P&#10;9r/vs1ILBO+7/vo/4070vMXvElppHhe0G4I80v8Az0kQk/qOKbPo/hS4ctJZSuSecEj+tOFhH/dz&#10;9TT1sIv+eaf980r0uzD3+5BHo/hCLldJmb/fYkfq9bGlWPh+4nMVto1qjqu7LQoT1A9/Wq8OjyTg&#10;mC2R8ZyTgAd63NF06Swu/wB8kSs8WQI2JxyOvAoU6d9I/iU4Tte5l+LtFWfw60cNtEoEikBUAx24&#10;x9a4jRPAUuqSXMpuhHBb3ckJBXllXup+vFeq+ICRoN6yjLJEzj8Of6Vm+E5IZ9JSWAgpLI7k+5Yk&#10;/rkVEpOWrKjHlWh5h4ZOL5gB1t8n/voV1g6VyfheIrc3DM3zRII9v1Oc/pXUqaiW4zX0Jtupx+4b&#10;+VdMz1ymjtjU4f8AgX/oJronemtgRj+I72JntoFLebFuL+mDtx+PBqlYzE3kPP8AEKr683/E2+sa&#10;n+f+FMsnxdQH/bX+dLqDNzUZB5UmTxtOfyrz7VdSS5eBI5EdcbzsYHHYDjv1/Ou31B8o6+oIryu2&#10;s7oEbLbnHdhRKXQpLqdlbTLPp6QOAymPaQeQatWNjBDKrRwxqw6FVArO02CVIAZFw4UgAHOK0raN&#10;y4ywH1NZXLsOvlK3cEvXnYfxq5CAzJk+tUNSO0KhJyzqAVGcc59qtbCbhShJXnkjBqOpp9kZrsIe&#10;KCRYvNZZNoXk8Eeg+gq7apIlpELhDG+0cN1I9ajYyphkIDA5G7pSyTTzSGSbYCQAAgOAKZF9LE5K&#10;f3hzSZj7sKrdaKBEzGL+9VctFg8n8qUq2VwF2/xZPP4VVZipIx3oGXY/E+q2UQt7RwsKcKPLU+/f&#10;3pp8Ya/2uSPpDH/hVWNQyMT61He+dp88cQszNdmRFjtnBHmE4IB6cY5PPT0rpjV0tZHO467mpD4o&#10;8W3m5Lae7m2jlYrdGwPwXiqkviPxFG+yW4nRvRokB/lXpmmXFtb6VDDPALORUBkWNMRh8ckH0z68&#10;+tW7iYPaqkqrLEABll3L/Wj2/kvuHyPufPninUb7UJ7c3krvsU7dwHHr0/CuSmb94a918WeBYddt&#10;zNpojt71MsseAscg9B/dPT29fWvDb6zubG+ltbuF4Z4m2vG4wVNQ5c2pSVj6ElgAtIMdPLX+VcR4&#10;7tt2jGT/AJ5urf0/rXcq3m6dasD96FD+grmPF1q0vh68GM4Td+RB/pWN9TW2h4+QQxNOQszBQv61&#10;ZNlcHnyWx6mmBdmQevetjIfkD6DpTS/vTGbimKSTk0AS5zSE00sB1OKaHLfdX8TTAu2h/dT/AEB/&#10;Wnb2/vH86ZZ52Tgn+D+oozSEO3N6mkLH1puabnJwOaYD9x9aMmpFg9Tz/n/P4Gl8jPr7D/P1FAEW&#10;TRmpvIGM5OOv+f8APcUeQM4yf8//AKj+VAEOaTJqfyBjvn/P+IpDCo7kj/8AX/QfrQBDk0man8kZ&#10;xznp1+g/nn8qTylxnn16/U/4fnQBDmjNT+Succ5zjr+H+NHlLjPPTOPwz/hQBXzSHmrXkJnHOen6&#10;4/xpPJTGcf5wT/hSAq4NLVnyVzjHt1+g/wAaVYIz1B6ev+fagDrfCt59m1+AgtiU7AAPvE5AH603&#10;4h6LfT66l5FayNFLEoL443DIx+WK0Nc05NMj0O0iYCYTgbQv3vuktnnv2ropNTJs1hXUJo1UYCGE&#10;q+PoyZxSpyTiOorSseOf2Jf97dh+FRXNncacv77CFxwD1I/wr2G5bRxpJ+2XkzXDYDobhFZhjPGM&#10;be3fPBrzfVodNSecxWqpIWURjznkwuMlizfeJJA6Y+U/Wq0Juc/9ucDG+mNeOxHzng5q2I09F/Cl&#10;+UKTjtSGUFIZgGICk8k9q6e31+a2t44Uu4dqIE4hfJAAHPzYzxXQ/DLwcmutealeW8MttH+6jEwy&#10;pfgk4wc4H866OTwRDrXiSKG1tbeHQ7VgZriKJU+0MDyi45IzxnoMHvgU0mJs8vSF9UuJplmhMj9U&#10;8pRwMc859P1oGjmxvrZrhs7pFI2keo/LrX0VH4Y8PwH91pduh/2VxXFeIfCNnfalczpdiEw5aGBQ&#10;MZHIBJYnqPSlNStoaU3C/vGHZXE0er+VBcq9o+1lR3BIO0dMe4zj+taE1xc2tnEJh9lYNkGNc7sk&#10;9QD+OMZFZEkggmgumyI3iC5QZPHH+cfSpL+8uZre3nlYqqsCI5DuQgDgEZ9z3riudCHHSZbu5gnu&#10;gWVATuL4Pr1/xP4VIus6dpkiNbW7PPglV5YNyQDk8AZH61u6dqDapGqvFb4KF9rNx1wex4Ge+OKz&#10;byxtrA26ymNEilILbAVRSDkEcZX7p/GhWvqUr2diPWLLdb3VldQrG0sZZcEHAHQk/UY/P8cnwXek&#10;vdaVdsBIYtq+ZzhV+bI9MDJ46jFW0ni1OR2d5BAkewSStgvnJA5x19PYVX1/QJ3tIb/T4ZTPapsc&#10;42mVMdh1J5I6dPWtYLozKdlqaDQyPbNKkUjR7CwYISCMdc1Dottcvoliwt5mBgTBCEg/KKYmuRTe&#10;Evs2nTPLdzqYFiONyO3B4HQDk/lXWadbvZ6dbWob5YYljHvgYrshCUtkcc5KJjrZXf8Az7TD6oaa&#10;VKMVZSGHUGun8uVo2I7DPNchPILiZpXVdzdcCqnFRW+ootvpoWQcUokUfxD86pgJ/dH5VICPQVlc&#10;svJdBI2jzGytydyhv51p6Pc+behdycRnCqAMdOwrBDCtTRHxqC+6miO4G/ex+faTQ4zvQr+YrynR&#10;PEF/4QF3p0mmyXUSzloyGKlfUdD7fjmvWmNUtiJK7KuGY5J9adyjynQ4juurx4GgNw+VibOVX9PW&#10;tlW5p+qAJfFR2VR+Qx/Sq6Nmpbu7hY19LbF/Cfc/yNb8j1zemti8h/3sVvO3NNbAjntf/wCQhGfW&#10;Ef8AoTVXtX2yxt6MD+tS+IZES6hLMB8mOTjvWdHe264/0iIHt84pdQsauoXJLkA1zuk210If36bC&#10;OFz1xW/DbNcSGVx8mcqD39/pU62+GyRWcndmi2IoLV/KPPOKmigKIFB+fPPFXoYv3eMUCL95070g&#10;KUV1d2t55Q0O1vkJBEs0uNv4bTUnlSICXKhi7NtUDCZOcDjkfX0q5KhAAx1qRIEaPLLz9aLjM4KS&#10;3Jp7pk1entoo7eN0PzseRnp1/wDrVahsIJok3SGMldxOAfw60hN6GL5RFMZSO9b76Vb4yt2T9UA/&#10;rUT6RDgn7UOAT0H+NOwuZHPybyPlfb+GaiZgqktj61r/AGIe5rjvFV5LGYLGyDm5eRWO3oAcqAT7&#10;k/pSSHc6G1l0yJN2o36WiSHERPIcj735ZH51032WDULy3v8A5bhkt0ijmHRlHc+54z9BXmeNcPht&#10;7GfRZ57hJjLBMmGKEjBUgckcKRWLpOn+I7HUkt4JJLaaTDyDzCrRg85bHIJ9OprS2hB9A2txJCdk&#10;uH44Lf41eBhJDRBI39GHB/Ecj9axrC8hg0hZNSlEwijCs6qBI749B36+1ULnxSAsb2ulskMh4eSb&#10;P4EY4/Op0C7OnnZFtnkZVhCAsXHKAAZJJHSuB8T2ela9eW7apaN9mdAhvbbHmw/NkEHkMhGR0OPa&#10;ulk1S0u9NnWZ1hiZCJRJwNp681yOoXwW3a40+YfZLdHlKsAQ+BnCr26devNHoWvM6qS3it4Ugt2L&#10;QxqEjYnJKjgHPfiqj6dHqUZspiwiuP3TlTggNwSPzqbTbr7dodldldvmwq5Gc4yKcHZGBQ4bPyn0&#10;NQaHNeL/AAbofgvw5JfwSzveyHyIN8rHlgcnGccLnt1xXkjHvXU+N9V1W71CKy1O4lke3XdsdlO0&#10;sAf4eOmK5JzW0XdXM5x5ZWvcY7ZNIXCjk4ApueSaai7zvPA7UyABZjlRtHqetPWMnq7fnThinA4o&#10;AtWK7Wl5PMR6n3FIzc0WTZlcesZqNjyaAFyT3qSKSNT1HqarMcilXk4FAi/9oi6Fsj6f59/zpftU&#10;Z/i59QP89yf0ql5bnt+tAif0/WgC79riB6/p/n0H5UfaoumTjp0+g/ln86pGNx2/Wjy39KALhu4+&#10;uTn6d/8A9Zo+1RZ74+n+fQVS8tvSl8tvT9aBlv7THjqc49Pb/wCuaPtUWe+M5xj3/wDrCqnlt6fr&#10;R5ben60xFr7THjALdPT2/wDrml+1RZ/ixn09/wD6wqp5beg/Ojy29P1pAWvtMeMfNn1x7f8A16Pt&#10;UeT97H0/z6VV8tvT9aTy2/yaALf2qPHfP0+v+NNa6TgAsKreW3t+dIUb0oA76S+l1PxHaXxbaUuI&#10;liTaCFXdXZXdrq2rTrNdSWEbBdoCxM4x+Y9aKKiK0sOqMXw4gO6W6bcP+eMMaD+RP615X4hujdan&#10;ckFzGrlE8xssAOOtFFXZIzRmRPvG0jkVFIfvKp4zmiigs7jTvGl3pHh210xYUSxjU70iJDTEnJ3N&#10;1xz0GPTOKsT/ABa1jYsNnaWdvEoCqNpOB2AGcAUUUXYM0NO17Wb7/SNV1BnhI4gt1CA/U8H8Knv9&#10;cRLOVLWJ4pZU8rzN3I3cdqKKG3YIpXONZksoHhJd2VhGnYDLH+ua6Tw3Ol1dyRzW8cq4BCPggAnn&#10;qD7UUVxM7I7HTafZ2kdzc+UpjTczShFwc9wDn7vTA46VTmSbVrJlRo7eBwwaRVzNIDwQSen60UVd&#10;NXMpton0zSbWxQCCFdwGN7ct+daLIWG0sffHH/16KK7qEFKdmctaTUboitNMtIp3lhgjSVj88m3L&#10;N9T1Na8Vsicnk0UVtXk0+VbGdFJrme5MwGwr2IrzYMcD6UUVzGzHBjTwxoopCJA1aWit/wATKL3D&#10;fyoopx3BnTE5qrKaKKCjhdYONQb8f/QmFVY6KKkZoWDYuov98fzrecnNFFUthIzb7T7W+lRriCOQ&#10;qMAsoOKItGsEwVtYQR3CCiis3uUjSS3AGaj8kZJooqRluCMbKQqA+feiigAlUHBxSLcR2y+ZIhZQ&#10;wHHXmiikMZcAB1AGOPXrV6xaNQjFCTn17UUULcT2L2YjDKORls/cB6f/ALVNYxOEwu0lS4IXGCAR&#10;689KKKogYhilLEBgS4547jGfzrzeFUubywnZFL3t9JcksM7ViDBF/DC/rRRQUifWLS1t0W6M10XV&#10;l3xs29CTuxjkf3elNj8T6Vptusy29zI6nDZRQDxx3oop30Aov4/NxOGW2kjAP3VbArstBjuL8GaJ&#10;ViDIMFpS2B/uhQP1oopJDJUt4v8AhIzbtGJZoIg7TsdoXJ/hTkZ6ck5/KoNcYxSG3SCJlYE5cnHU&#10;jpjk9ec/4UUUFLY1dMuw1jFDIgBUYAThQO2Ktv5IXID7hyKKKybN7Kx4Rq9499q95cyfeklY49Bn&#10;gflWY5ooroRyMhOS2AetSjGMKOB60UUwFpCaKKALNgc3B/3DSP8AeNFFAhmM06P79FFAFkHik3UU&#10;UwDNJRRQAUUUUAFFFFACZozRRQMKSiikAdqKKKAP/9lQSwMEFAAAAAgAh07iQGr6ob0waQAAK2kA&#10;ABUAAABkcnMvbWVkaWEvaW1hZ2UxLmpwZWcBK2nUlv/Y/+AAEEpGSUYAAQEBANwA3AAA/9sAQwAI&#10;BgYHBgUIBwcHCQkICgwUDQwLCwwZEhMPFB0aHx4dGhwcICQuJyAiLCMcHCg3KSwwMTQ0NB8nOT04&#10;MjwuMzQy/9sAQwEJCQkMCwwYDQ0YMiEcITIyMjIyMjIyMjIyMjIyMjIyMjIyMjIyMjIyMjIyMjIy&#10;MjIyMjIyMjIyMjIyMjIyMjIy/8AAEQgBJgJ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40DIoxWpJYxScr8je3T8qqy2ksQzt3L6rUklXFGK&#10;dRigQ3FGKXFFMYxhyv1p1I/QfUU7FABkUgZScZGaMCm+UpPTmgCYxsq7ip2+vam0olZ4wp4AyPrS&#10;UwClxRRmgApaKSmA6ikpaQBSg0UUAKDTwcUwUtMCZWxUgOaripF+tICUGnA1GKcCRSAlApwqNTUg&#10;oAeKWminA5oGPU1IKjpwNAD6WkFOxQMin/1D/wC6TS/8vA91/kf/AK9OkOIZCR0U/wAqUoftC5/u&#10;t/MUAPUVOgqIIc8VNGDQBIM1ItNVakC0AOFOA9aRQakC0AAWnAUoWpAtADAKeKcEp2ygBlKKdto2&#10;GgBuMml24p+wgcDmmwGSSJWki8tyMlM5x6UAN2ZpfLqREfncRyeABjA/OpBHQBCI6f5dTiOnCOkB&#10;AI6lVKkCYpwWgBAKkAppZE+8yj6mm/bbNThrqAH0MgpAWAMU4VV/tCy/5+4D9JBS/wBoWxHyuzf7&#10;iM38hQBa3Uheqhv4PSb/AL8v/hTDfr/DDM3/AAHH88UwJnfF5H/1zf8AmtOaWs2W+fz0xazfdYYy&#10;vPT/AGqikvLg/dtcf77gfyzTSEaDzgVRE+2CME9FA/SqM17ec/uIR9ZT/wDE1lSX1y0e7zYFH4t/&#10;UVVgNma8C55rLudQUZywrNl+3zKjLIpV2A+WPkD161ha9BPaooa8kYuuflAGP0oTQWZfv/EFrASr&#10;zoD6ZrDufEULtsSULnv3/wDrf56Vn2lrAjTNIfNbjBYA44qrMInjOYxjkD5f8+lDYzRW/RuIhvY/&#10;xGnpAZG3uSxrL0ZN8Sk10ccQwOKQDI4farCR4p6pUoWkMaq4oYc1JTWHpQBrgUvQ0gNOqSSCW2im&#10;5ZcN/eHBqlNYSICYyHHp0NalIw4phY57evrRuFRyJiVvqaQA0CJGwR+Ip2ahJIFOBoAkzSU0UuaA&#10;Be/1p+ajXqfrTqYD6KQUtABRS0uM0wEpwpdtKFoASlxTttOCGgCPFOAqQIacIz6UARgU8CpBGfSn&#10;iJvQ/lSAiAp4WpBC3oaeIW9KAIgtSAVIIT7fnT/J9xQMjApwFSCEeop4iHqKAIxj1pwxUgjUd6Xa&#10;goAaCO9KGHvU0aoeuae7QQRtI4wqgkn2oGUrl2+zSBY2b5T/ACqi15qsl5HFBp0XmtkAPPgYz16e&#10;wqk+qzTyWpSWdUnL7V+XD8fX/wDXWzpF3DfTWEkZbesjxSb+uef04/Q0rgaMMcvlDz1Cyd9vQ9+P&#10;zqZEqCOKV9xllZskbdrMuAABjr7H86kW2XuXP1cn+tAFpY6fsAGTwKrLZwHrFGfqop62VsDkQx/9&#10;8CgCXzrdOGniB93FL9rtP+fqD/v4KVI1UYUYHtUgUYoGRi8th/Gx/wB1GP8AIUv2+2HeU/SF/wDC&#10;n+SjNkrzinCGMD7ooAiGoIfuwTMPoB/Mil+3+lpP+JT/AOKqYRp2UflTggHQCgRB9suD9y1T/gcu&#10;D+imlFzeH/l1iH/bUn/2WrQFLtFAFYS3h7RL/wAAJ/qKUPe/3of+/Z/+KqyFApwUUAVNt0TzOw/3&#10;VX+oNKIro/8AL3J+Sf8AxNWwtOwKAKn2eQ/enlY/9dCP5Yo+yk/8tZv+/wA/+NXMcUoWgCn9jU/e&#10;y3+8S386X7DCesMf/fAq6FpdtAFRbCBTxCg+iip1hAAAHFShacBSAi8lfSnhNowKkxRtzTAiINMZ&#10;T6mrGykKUAZs6kSxe7EfoT/SmSRdeKtXRSN4y7BQCWJPQDGM/qKwNR1reTFZ5weDJjk/QUXsAmpT&#10;xQIUBzKf4R2rEj0y41W9Vk3eWhB2jhVPT/IrZstCeU+dekop52fxN9fT+f0q9NfxQJ9msYlYqOi/&#10;dH49/wDPJqW2ytihNpgtbQh5IhhsqWyf/wBZ/wA8VzGvyRztJj7pxt7ngd/St67EshLTOWb9K5vU&#10;l4NVGNhN3MC2jwspx2FV1i3QDjv/AFNaMCgwy4FQwJmEf57mqewkVNDX5nT+65H610qLwK57S126&#10;pcoOm7P9a6RBxSGOAxTjQOKRqAE701qeq5pRCx7UgNFXyKeDVFZCBT1noJLooNQJMDxU24EUDMe7&#10;azSQ+a3ltuxkA9TUItmaMyRnzEB64xVPVFuxNdMQwVgPJZVyFPv+nWmWWq3FpfBgWNm6gMp+ba3q&#10;PakItOhEbH2zThEfatJJLDUFyMA9SyH+YpjadIi5iYSp2x1pcw7FIRH1FKIvcU4qythgQR2NKKoQ&#10;1YuW5708Qj+9+lIo+ZvepKAEES/3j+VKI096UU4CgQCNPenCNPT9aAKcBQAu1P7v60oVP7ooxSgU&#10;AKNv90flTwR6D8qZTgKAHbuKduNNFKBTAXJzS5NJinCkAoJozS4oxQAoanZpoFLQA8U8GoxTxQMX&#10;mg04Ud6AJI+lOeNJo2jkGUcFW+hoj6U8UDOKfTpUivrDn7XYt9og+Y5ZRyQP+A5/IVo6J5dr4mtn&#10;jOLW82XMPPGW+Vh7kPx+Jq9rqPayWmtW65ktmEcy/wB9O2f5Vk3USRW00dux22UgvbRl+8beT76j&#10;3U/yNNK6Ibszs06CpVFVNPuPtdlFNxlhhsdMjg/rV1aRY5aeKaoxTxSAdSikFKBQMdinAUAUooAU&#10;U8CmgU8UwAUopcUoFABTlpKeBSAUCnY4oxTgKAEApwWnBadimIaBS4p4WlxQAzbShaftpwWgCPHN&#10;OxUgSl2UARYqnf6hb6fHumbLH7qDqavyERxs5yQozgDJNch/Y93dXc1zeQzBd4PljknPQZ9Bn8Md&#10;qTY0VZZb3XLpii7Y+B1O1R7+prRht7LSEDufMnI+8Rz+A7f55qeWK8SVbG0tdhCg7sYRQff/AD9K&#10;vWejx2x82VvOuOpdux9hSSvuFzOMF3fjMuYID/D/ABMP8/8A6qk+yxwx7I1Cj+dbDR1Wliq0rCOb&#10;vY+tctqaYBrtb+PCkmuP1QDmqAwrNS32ge3+NR26f6Opx3P8zVzTY9z3I/2aWxty+lmQD7shH8v8&#10;aHsCMmxGNbuR9P5CujQcVkWtqy63OcHkKf0ro7SwuLyQRW8Lyv6IM4/wqE9CmittNOSFpHwASSeA&#10;BXVQeForSLz9YvY7aMD/AFaEFvz6D9ak/tS0jVrfw/pz+Zgr9qbIIz3z/kUXCxSsPCl7KgluAtrD&#10;1LzcH8v8cVaeTwtpx8mR5byT+J0yQD+FWbbw3q2sBPt9zNLGABtBwv4k9f1rpLTwVp0EW2RYyfQR&#10;7sfiahzSGkeXmIEdKha3Par/AJZx0phT2qzMohXU1YRz3qTZzTxGPSgCnJ981Vms4JdzFNrY5ZeD&#10;/wDXq5KmHNRkdfpUjMhrAbt0MmGHT+Ej8Rx/KpY769syPMG8dMn5T+fQ08daeHI47elPcRai1a2u&#10;QEnUBvRxgj8amNnFIP3MmCeivWY0MMnVNv8Au9Py/wAMU1YZ4ObeX5f7v/1j/wDXpW7BctvbzQSH&#10;zIyqngHtQBRBrMsJ2XEZx3wMj8jyKuK9neYaMqnqU7fhTvbcCqBThUksPksBuDAjIIpgpiFFOUU0&#10;U8UwClxQBTsUAAFOxxQBS0AFOApAKeKAEApwFFFADscUYpRSigBAKdigU8YpAIBxS4o3KOpFAkjy&#10;cuo/GgBRS96TzYv+ei/nSeamfvCgCyg6U8CoVnjx94U8Tx+tMdx5jjljeCbBilUo/wBD3/rXNx20&#10;1hGomiZm0+4a3kU8+ZC+Aw+nzAj/AIFXQ+cp9ak89Jb+zYoNzSpGzBeWGCBn8DimtCWrlDQbeSxS&#10;ezdtyRylUb+8ABg+2VZD+dbi1UWVAFAXG3pUouB2U0mrjTSRZAp4FVhcf7P6077ScdBilZj5kWlF&#10;PC1Q+3BerIPqaadTjHWeEf8AAhTsw5kaYFOC1kHWIh/y8xj6EGo21uHvc/kD/hRZhc3QKeBXOHXI&#10;e07n6A0067Hj78xosFzp8cUYrlv7djP8Ex/Af40064v/ADwk/EinYdzrAVHVh+dOEkY/jX86446+&#10;R0tif+B4/pTT4hmP3bZR9WJ/pS5QO0E0X98Uv2mEfx/oa4j+3bs9IYh9Qf8AGkOt33YRj6L/APXo&#10;sB3P2yEdz+VKL2L0b8q4E6zqHaQD/gIqN9a1H/n4x/wFf8KLAeh/bo/7rUv25P7n615m+s6iX/4+&#10;nHHbioH1bUMn/TJunZyKLAep/bx/c/Wj7eOyivIpNSvzyby4P/bVv8aozXly33p5G+rE07Ae1HUS&#10;OoUVC+txR/emhX6sB/WvB7maQg5OaxruWRZ1XeQD7UAfRD+KLBPvahZr9ZVH9arSeM9JTIOr2OR2&#10;EyH+teBIcjkZJIOT1psSktIfcj9KLCPdW8c6UQSupwMB12nP8qozfEHSkBP28nHXEbn+leP2HBnX&#10;/bNKw+ST6UDPT5/iHZkfJcStkZ4Rv61mz+OEl+605z7f/XrgwMqn0qzDCz9B0p3A6GXxT5rEDzz9&#10;QP8AGqsmvZ/5YOx92qrDp7ecCRwRV200v7Vdw268GQsM4J6D0FS5FJF/Qpftc077cZj6Zq5o0e7Q&#10;brgcXIH8ql0vSm0vVDbOrgtCW+cAHr6DpTtDH/EpvkPa5B/Q/wCFO94itZlu5SzsNStgbNrm5uIV&#10;KxmTYh5IGSOe1bd7rF/ZCKxtIIbXcOfKXgHGTj1rO12LZrehSAfeiHP0f/69dDq9sBrdqcdSw/8A&#10;HTWEdjQr6P4e/tZFvbmdpgxPzy5zwecD6/SuystIs7JAFiDEdNw4/LpR4etM6RAFGBl//QzXQJCi&#10;EBEBPqeaI05zZLkkU0SWThV/E8YqZLXcPmk59qtQo0kmMAVJHGxBwF/Kto4eK3IdRnhANLgGkAp2&#10;KQhhjBo8upKKYFKVBvOagMZBq3Oshkyuwj0Jwarlyn343X3xkfmKlgZRXDGkwB3FXpY7ebJ2I3uv&#10;B/Sq76bEwyjuPY80AQblH8Q/OlEsY/jX86d/Zqf32o/s2P1b86YgaWEjDMpHvzUJWz3hwxUj+6TU&#10;v2CIdj+dH2OIfw/rQA4XcQUAys+O5HNL9uhH978qZ9ljHRab5CD+EUwJf7QiH8LflR/aKdkP51F5&#10;S/3R+VNMY9KBk/8AaQ7Rf+Pf/Wo/tM9owP8AgVU2iB6jNMMWG4zigLF7+03/ALqfjTTqcn/TP/P4&#10;1n3K+Xbuy/eAzWcryvDG5c8tg4ouFjof7SlP8S/lTX1SVDhpdv0T/wCtWVbfaCpJnBgdQRHsHB+t&#10;JE7NcGNsmPuD079KdwsbAvpnTes25fUAUn22U/8ALVvwrP8ALEcmUJGeCM9auwIpQZANFwsP+1yn&#10;/lpJ/wB9Gk+1P/ec/U1KI0/uil8tf7q/lQKxAbg98n8aT7Qf7n61Z8tf7o/KgoPQUAVvtbDon60v&#10;25/7gqcrRtp3CxCNQm7RL+Rp4vrg9I/0NO20vSgLCrd3Z6J/47Ugub76f8BFIrYqVXouA0TXx7/y&#10;q1pr3R1Wz81iV85eC3vUYYU6C6gjnVzIu6Jg2Aw4we/PrgfjSbGRyC98xh5zjBP8ZqCWK7IB84k5&#10;AHzn1q/IwZvMHRzkUhjcsm5Wwc4wvcMFPPsSM0CukVfs8p+9L+pNKLMnrJ+lT71GcnBpRInqKYEI&#10;sx3c/lThZp/eapfOT+8KUTx+tA7jBaRj+8fqaeLeIfw5/Gjz4x3oNzGO9AXHiGMdEFOEaD+BfyqD&#10;ztxyhHHrTobh5Z3QoVVUByR1JJ6H8P1oAsBR/dH5U0r7VIDRxQMrOhqFlIq6QDUbIDQBVAp22pDH&#10;ilCUAQFajZKt7KjcBRk0gKLp84+hqPyy8gRRlj0AqeeVY3Cjk44A7mo1TyJUuJmxKDlI15J+tICr&#10;JEwRXKkK4yp9RVSRK0ZA8jB34wu0L149/eq0qUwMe4T5TWNqCf6THxXQXK/I1Y+or/pUVAEEY+Uf&#10;hSwDLP8A77fyFSIv7vpUllbmSVv+up/kKAIrT5Z5x/t/0qcRFgwx2NWItHujdzMIysRfh24B4HT1&#10;/CrVvDuB47GlcdiG1sS8UTGtm0sAufl7VPp1rutozitqC0xxjqtYymaKJQFnhFOPSr3hezWXxXpc&#10;T/deVx/46avNaH7KrAf3as+GLTy/F+hsw4Nyw/Q0o3egPQ0/FtnDZ+NNPihGA9m2eP8AaNcho42w&#10;ahF/03B/8davQPiEip490gqAAbNhx/vGuB08bNQvYfWbP/jr1ulaNiE7s6jxHZ7rTw7eAfddoifr&#10;gj+Rre1qEDXLAf3pcfoah1iDzPCFo+P9TMsn6hf/AGer+tru1fTW/wCmy1nFFNm9oA26NGO4dx/4&#10;8T/WughhG1T7Vg6IMaWF9JG/pXSxjEa/St1pExlqxqR7WyAo+lOC46AflT8UlK4cp89BaXFKBS4q&#10;RjcUuKXFLigClcg+Zx6VXLN61auh84+lViKlgRuqucuit7kc0gjjAwruntnI/WnmoyOaAHeVIPus&#10;j/8Ajp/rTWO378bp7kZH5jik5HQ0olde5oENG1hlSCPakK0rSIxzJEpPrjn86B5Z+67r7Hkf40wG&#10;FeKjK1OVfsUf6HB/z+NRtlfvIy/Ucfn0oAiK0wipcg9DmmkUDRAVpCvzVKRTSOfwpjKt3GHtZFPQ&#10;qay7eAjT0VcLtfJJrblX9030rLgH+jH1BHFJgJbxz+UoRkK467TUsdpKJWbcM4zjH/16sWIJhG4A&#10;Hnv71bVQJT7r/WgCj9jnb70n5DFWoYXRh83ygYx7+tWdtOC07AIBxRmn7TSFcdeKYhM0ZppmiQ/N&#10;Io+pqJ721TrcRD6uKAJXbiqrzFSccUjarYDrdwf9/BUEuraaVP8ApMWf96mBJFJcSTMyFWQABlY9&#10;OvIq1snP93865ufV4IwfIugpJGcE8irOi6dc63BPcDVrqNFmZFVD2wD/AFoEbghn/vL+tEitBGZJ&#10;ZkRB3NQL4Pkf72q6k30kqT/hBoZMeZc6lJjn5pM/+y0DszM1O8uYlj27thBJQgqTj8vyp0OpxRWE&#10;M4dRPg4DSFSOvQf5610+l+Gk08N5cEtwp7XCiQA+oyOK1DZSBATaQKq+kKLjv2FA+WXY5K0vHlv7&#10;eISRsk0iRtsfcShIP4DFdwzwR3NxbPMsoDkshcbi4XEin3eM7h/tL7VNZabqt1OkFrGofqAuxcY9&#10;6dN8OL66upLm4trczSOHd2lBJYDAPHcAn86qK7GNXTSWhyuqHTLS8b7TqECyH7+ZcZPqB6EYYezC&#10;qJ1Xw/GPmv4z9C5/lXdJ8Lc8tb6SOn31yeBgfwHtVmP4ZxJ1OnJ/uQ//AFhT5X2IVWKW55wfEPht&#10;P+Xvd9IpD/MU0eJ9CP8Aq0mk/wB23z/OvVYvh9En/L9En+5bZ/8AZhVlPA9sD89/I30jA/qaORi9&#10;vDueR/8ACSWJH7rStRk/3bYf40x9blkOY/D+q+xIZB+leyDwTpi/euLtvoyj/wBlp/8Awiekr/DM&#10;3+9J/gBT9mxfWYHjUGu3b3q2k2lta5jLhppCSQCB6e9aEd4zSsjgDABDDoaqfF23j0jXrAWIeFWt&#10;z0c5+9615y2p3bdZnP1Y1DVjojJSV0er/aQB94VE9/Cn3pVH1NeUPeTv96Rj9Saj+0S/3qRR6q2s&#10;Wq9biIfVhUX/AAkFkh5uYj9GBry0zSHq1J5j/wB40Aerx+ItKfO+8jQj+8cVoC4i/wBv/v23+FeM&#10;ozFxkk17PGoaJSAORmkMQzL2Rj+X+NVriWRoiIonDnoSRgfrV6JXMSmRVD4+YL0z7UFKAMdI5Is7&#10;FzL3duv4elKodGP7oFz1ZnOT+laLRLu3beemaYYxnO0Z9cUrAZzNKc/u1H/Aj/hVSXzuflUfrWs6&#10;c1UmTrTGc/ePMqNgKT9P/r1Svo900J960b9cLISDwOMVTndZJLYDOd3cY7VLBFizsRJFnHrTtLt8&#10;u5x/y0FbelW+6AcdzUGj2xYz4HRl/mazUi+U9S8JaBHc6QkpRQ2+RS+Ofvt+P4cV5RZwfMVx0yP1&#10;r6A8DW4OiMv92ds/iAf614tYWubx1x0dh+tFmrjL+j2Re16dDXQwadiRQR1FSaDZj7LJx3/xrfFu&#10;BPBx1B/pQoX1Bsy5bELpg47L/MUyytxba/oMmP8Al+VfzBrengH9lH/cBqjcxiO60eQfwahCf1I/&#10;rWkY2aIk9GRfEltvjbRm/wCmBH/jzVwlkM+JLhfVmP6NXcfFI7PF+it/0x/9mauI04j/AISmf/dc&#10;/wCfzq5fCKJ6TMBL4QkT/plI35bW/wDZaXWWy9hL6SIf5U22kVtAKMcBg6H8UasO416HUtNhwNhR&#10;RwG7gVC2KO60a7gh0+T7RcRR7Zjnc4HYVYvPHGi2KY89pSB/CMD8zivGr/Vrl2KiZtvovFY8kzsS&#10;SST71V9LE8up6tqHxTAytnboPdvmP9K5e7+IGtXEu8XboPRW2j9K435zRsY+tMDowKdSDpT8DFSS&#10;NpcUAc06gDB1uCR5Y3jnliwpGUPH5VlC5vo+BdQv7Sjaf8au+Jlxf6Yw4PmMOPpXHLq97GxC3Llf&#10;RwD/ADzSsB1A1G9TBlsg4/vRtT11m3ziVJYj/tLXNx61MD88MLe4UqfzBq7b6x50ix+U6luOHDfz&#10;FAHQJfWkv3J4z9Tj+dS8EZByPaufEwlmKmGPbtJyUw2Qcdjirdiu25TAAyTnH0oCxplaYUqwRTCP&#10;loEVyCOhpBLIvQ1QTWUbh4Dn/YcN/hUy6jaPwXKH0ZSKALJlDH541J9e/wCdJmM9GZfryKarxSf6&#10;uRH+jA0bOtAxshCIXLJtUZJzjj8aYs0ciqVYEYpxXHIqvIzNKIwANx64oGSyOuwjPasy3XzLdwj4&#10;5ByOa1dh5B6g4qpboApAAHAP6mhgRWIf50Ln5T29+av+Vlg258j3qtZqFuJeOuD/ADrQxTAgaEuM&#10;eZIv0ag2RI+WaUHHBLd6nI6VMBkUCM9tNV+Wd2bjljkU8aZCORkfl/hV3b2p2OM0wMO6sIRwdx/H&#10;H8q5rXreOKBGRSDvx1J7GuxvBXLeIVzaD2cfyNMRzOT60ZPrSUUihcmvR/hu2bOdP+mpP/jo/wAK&#10;84xXoHw3fBul9HU/mCKBx+JHpkA+RPqf5U/+99KSD7g/3qf/AHvpUnsRXuj7f/UsKbMMrHH/AHmy&#10;f8/TNPh4Qimt805yeFXH+f1oKa92x0XhWLNxc3B6RoEH1Y5P6AfnXQvKQetZ2gQG30ONmGHnYyke&#10;x4H6AVaYkmuumrRR8xjqnPXk16DzJ70wyVGaStDibJPMNR3U7Q27uM5AJyO2AT/SjFDoJEKmkyWZ&#10;EGoTvcxgtH+8OAquSVPOM8nI6VsB96BvUZqqlkFYFnYgdAWJ/meKs0Rv1IVzxT44J/xNtJbHWBv/&#10;AEKvJSp9K9i+N6/6Xozf9M5B/wCPLXkRFc8/iZ69D+GiHafSk2n0qajioNiHafSjafSpuKQ4FADI&#10;lPmL9a9ntButYWHdFP6V45GP3i/WvZNJLSaZbMy7T5Y4z144P49aAJbZXECCRdrAcgtu/XvT2Wpt&#10;tNYUhldhUbLxU5Wo2FAFZhzVSdetaDLVWVevFIZg38QZDVOSMMLbj/loBWneL8pqptyluf8Apsn8&#10;xUyGtzqdBtd1ueP4j/IU3w9bBmvBjpz+TGtXQFC2zf8AXQ/yFU/DrgXmoJ/suf8Ax8UoxLuew+CA&#10;F067X0uf/acdeQ2kITVZ1x0uJF/WvTfDWqJZQ3aFQxYpJ1/2cf8AsteZJcr9tuZzxuuHfHpk1Umh&#10;JM7HQlHlSj3H9a1yAJLU/UfpXH6drSwCcD1GP1qzLrkrPa7eg6/lU+0ikHKzqrp0TS33ED93/SsH&#10;xFdrFpCMj4kSaN1IPIIYVQvtQmn05lyRhTWHqdxLNYZZicFT+oqHVvsNRLvxBumm8Y6exdjiFepz&#10;/E1c/ZSFfElww7Kf/QlH9a1PHuV8TWLkEZhTGf8AfasvTk8zWNSf+5Bu/wDIiVre9O5NveOyju3f&#10;T44geDMAf++WrjNLZo7dlkOAGI5rrtPTfZg/3ZkP64/rXL+KrJrOSbaSGTft9sE4rCDbZbQSBHOQ&#10;yn6c/wAqiKZPyo348V1uj+Ejf2UN010saSA4UJk8HHqK6ix8EaOsIefzpmzghnAH6DP61cJ80uVE&#10;yVlc8qCsD0X9TTxuI53fgoFeyxaHotrIBFY2gxj/AFihyP8AvrNQa1IVMMdu3lIu75FiwB06YFdH&#10;KyLnicPjawYfNDIP91gf8K07DxDYahcCCFnEpG4Ky9vrXkkDYlGeh4rqvCSga0DgdDg/gakzUtbH&#10;o2M0UgPAp1Io53xOuZtNb0n/AMK88lyk0inqGIr0TxSMR2Tek6/zFeeXQxezg9pGH60AIpq1Yti9&#10;h/3hVRas2nF5Cf8AbH86ANhOLtvoR/WtK0P+kRn3rPUf6afct/6CDV60P7+P/epDNs00inUhoIOE&#10;a5lDFWwwB/iGalSU7oFKD96P4eMVVnGJ5B/tEfrU8fWyPvj9aGikblv/AKyPHqK0yKy7b/WJ9RWt&#10;igCEjmmyRqX5A4NSnrSOPnNADAPlqlCMNj/Z/wDZjV4dKqRD9434/wDoVAxtsMXkg/2R/M1oAcVQ&#10;gI+2uMjO3+taA6UxMQipVFRnpUq9KBC4oI44paKYGdeLXM68ubJj6Efzrqr0fLXM64ubCX8P5imB&#10;yGKXFLijHtQMQV3Pw5bF3dL6mM/q1cQB7V2nw7fZq0uf7qt+TUBe2p6xB0/4EKe38ValxpS5Z7XC&#10;sTkoTx+Hp/npWZLujd0dSrA8g0505Qep6mHxFOrD3XqOTAUk9ByabEhldUPBlbk+g7/h/jTXf5FR&#10;ckt1/wA/5710PhnTBcm4u5QRGqGKM+5HJH4fzFKMbsrEVvZUnLt+ZsSanaJGUi3FIgEAUdgOMfgK&#10;pvq8KhSIpW3LuGAPU+/tVs6XAUdDJKyOckEgdiOw96STTrd/LyG+TOMMR3zXcnTR8i/aPVlT+1Fa&#10;4MKwuSN3Ix/Dn/D9aj/tY+UX+zMuGAwzjvnnjPoPzq6dPtROJvK/ec87jznrxn3o+zWiJ5ZSMDO7&#10;B9f8mq5qfREcs+5RbVJPsxkEA34BwX47+3tUbapceWjJHDkkqcscZ4xitAfYcEA2+M+q9ev9KQyW&#10;gACvD13AAjr60c0f5SbPuUTqU4uY0PlqrOAcg8DjuTWlbO0tvHIwwzKCQPpUYvbMk4mjJHXHJoOo&#10;W4UMGYjBPCMePypPXZB8zyj43pn+x3/66D9Vrxwg/wB6va/jcubHSJP+mkg/Ra8XIrjn8R62H/ho&#10;i2+9ATJwMk/SpKbkg5B5qDYu3miXunW0U95H5HmjKRyMA5HrtzkfiKz8geppzsWJLEknuTTO9AyS&#10;NxvUYPUd69m0Y7tIsj626f8AoIrxhB8yn3FeyaASdDsT/wBMEH6CgDSApHFSYpGFIZWYVE1SyHGa&#10;ru2KAA1WmXvUxbNQyHIqRmPej5TWfI2y2jb+7Ih/UVp3o+U1j3ef7OY+hH86T2Gtzr9N1AwxuB13&#10;ZrK029eHVbor/Gjj/wAeBq7p1vuJHuKo2kONblTH8Tj+dZKe5q0d1olzLNJMS5GYIv5vXOvEwuLh&#10;fSRv512nhCyjln2yKTutQeCR0b2/3qx72yEeq36KMATuAP8AgRqJSbGjLsoSXcVqLb/JEfQilsrf&#10;Ejcdq0RDiFeOjD+dZNjIfs4a1dfZqxruH/iVsSP4Qf5V1cMJaJhjuf51hXkDf2LKQOkZ/lVQRLY/&#10;4s20VtrOkNEm0NbjPPX5v/r1g+H08y91k4yRZ5H/AH2ldR8ZE23Wiyf9MSPyI/xrA8Ip5l9rK4zn&#10;T3P5EV2SVoWMYvVHQ6Wv/EuuPUMh/wDH1rL8ewYuGOPvIT+Y/wDr1uaMm61vF9I935EH+lVfHEO9&#10;bV8ffiX+WP6VzxWpqdP4Yj3eG7Ij0P8AOt6NdkLDP8VZHhIbvC9mfStvHBHvW1GFp3Im/dK7bs9T&#10;UF2C+z5c4zVohdzc0jhcAV0sxPjUDkEV1nhXjWV9D/8AEtXKiul8KOf7Uh+oH6NWXQmO56SOlOpq&#10;9KcKDQzNZtI7u3jWRiu1wwI9a5i58NWsk0k32xlLsWOQD1NdpdcIPrVTcPSpEccfCyfwX6/Qp/8A&#10;XoTw1cRyo6zxNtYHnIrryI2+8gP1FN2RE8ov5UDObNhcxXKyuqldzElW6fKB3qS34njHfcP51vtF&#10;Cy4KAj6VB9jtkbcsYDDkHJoC5LimmndqbQSchd2oM8wERDbzzk+v0qIxFUj2JITGcqCOPxOK1rni&#10;5l/3j/Ooai5ZJaknymYAE4JAOa2DWRB0X6/1rVJq0IQ0Sff/AApM80sh5H0FADcVUjGJm/4F/MVb&#10;BqvFg3DD/f8A5CgCOMYvj7qf6VfHSqCn/Tl/3T/SrwPFMGKelSL0qPORT1PFAiTqKKbmlzTAqXg+&#10;U1zmsrmxm+n9a6S7+4a5/VebKf8A3Cf0poDjQo25zznGKQginKPm/GlkHFAEddX4DYjWJx6wE/8A&#10;jy1y2K6bwOca6w9YWH6igGfRAuI3UsWA4z9KvrBBc2NulzbIzY3fMPmXuRnr3rjDqZFptCEPx7gj&#10;v+ldVpWpLfLI7grIowU9uef1/SuydSMo2OP2M4y5l0Ir3w9FNPCbAiEu22QMSwAx1Gf5f/XrRFu9&#10;rC9tbC48tVAVmYD5sncePwqTTNQgvZpUhYExkhvXNXmZcPlhhfve1Zwstgr1ak0oSexgNb6k1uoR&#10;pA25shpc8YGO/PepFs7tL5J+WVQeGk9u9TahqLWc3lrGDwCDj1z/AICok1SRpwhWNQWQDOckHGf5&#10;/wD666PfavY4fdTJ761a7VACBtYEgjryPaqn9mSiZHLqcYzyR2APHvg+nWgalc7pQ4jXYpJwp4x+&#10;P+famLfXkqTlASUZQuI+xY/XsKIxmlYTcWOj0l/LZXeMHIPyr7Ef1py6OEKsJjlSMfL7k/8A1vz/&#10;AAhN9dOOHAAHJQgg5KDvj1qGS4viqbXlCvznGOn8+aq1TuT7vYvjTY8SAu2X7jjA/Cnf2fH5PlGS&#10;UqOBls4H8qqme6S681ywjBAOUYLj69Px9a0pJPLEhJUBQCCx4rOTkuo0rnmXxrT/AIkWlt/duHH5&#10;qP8ACvEm+8frXu3xoTd4Wsn64uwPzRv8K8LYc1yT+I9XDfw0M28U3FSEGmlTUm4w00dacfqv5im4&#10;54I/OkMevGPrXsPhw50CyP8A0zArx0DnqOteu+Fju8PWZ/2T/wChGkBuikalAobpSAz7lwjHJrPk&#10;uQO9T6oxVsgE+1YJmZ5cFSBnqSKdgND7cg+86j6mo31G0C7nuYlXOMlq4/UYc38x8rPzdfKz+vln&#10;+dNwEsVONv70jpjsPZaLBdnZWh07VboW0V8ryHkiMgnGQD/OtW88GWy27w/aZyp7nGf5VyHhGbPi&#10;CNfMzmNuPMz056bz6elexXsIy2elRNaaFQepymk2x546baz7K2J8USpj/ltKP/Qq3tBu7C5mkt4L&#10;uCWeMDciuCRg+lV7KEDxlKMf8vMg/PNc8IvU2bO68IW2y9jyOPs7r/48p/pVLUbANrd/x1mY/rXQ&#10;eG0CXsY/2XFRXsI/tq+/38/mAa1VO5DlqYFtZBZTx2q4bUCH7vRx/Or0UQEvTtTpExFLx0Yf0oVI&#10;HIbb2wCvx0NYl/aAaJdD0jb+VdVAnEvHf+grIv4g2mXqY7OP501CwrmN8ak/0fRnHZZB/wCgVz/g&#10;RPM1XUx62Dj9VrqvjEom0HSpQO78/VVP9K5v4cjfrF4O7WTfzFbSWjIgdDoabhcoOhtpCf8Avk1H&#10;4uiLWOlyf3owP/HjVvw8o86Yf89IHQfkKTxKm/QdKb3YfyP9ay5TS5seDBnwrbfh/IVvEcGsTwcM&#10;eGYR3GP/AEEVtHNaw3IlsQkEO2M4obIPelYMW+WkYEmtGZnxvW94U41OM/7Y/rWFitvwwxGqxjtu&#10;X+YrN7ER3PUEPFSU1B8op1I0K90P3X41S21fuRmI1SxzSYEZHNJipMUhpAR9qa1S4ppWgQwmkpWF&#10;NoAwJ5N97cLjGx8fWo6W4+XUrsf7QP6CkBBqHuWh1puAbf8A3jj6ZrXI96zIR8n4mrM90sI+aqQi&#10;ZqWQ/dPtWRdaykMZYKXOcAZxWfJ4ncgD7KOB/wA9P/rVVmJtI6TdVSGSX7a+Qm3LY556f/qrC/4S&#10;Sc9LUf8AfdNTW7kSlxbDk5/TFHKw5kbm8i+Tjgg96v7q5NtckV43MHPY54qZfEjZ5gB+hxT5WLmR&#10;04binK3FcsfEr5x9nH/fdKPEdwThbdcevNPlYcyOr3e9KGrml164dQyQKc9+a0rLUftCHzFCOp6Z&#10;PP5ik1YaaZbuT8hrC1Lm0mH/AEzb+Va886FD8w/Osa9YNA4BzlSP0oQWONJIY804tuXk0jo68sjA&#10;HoSKRehpjHcV0fgs48QIPWNhXN10Hg448R249Q4/8dNAj2OMBo1z/cH8qtQzTW1x5sLlGBxn2qlC&#10;+Y0A/u1bHb61J6MUnHU1P+E60LSb5X1m6is7gpklYy7SjpztUkD/AA9q29H1e31qa9eG5iuLFwHj&#10;lj+7t6dfX618+X92LjxpqsshUhH8v5v7q/Lx+Vd78N57az1m50NpSYtSs2ZAeP3g64HbKjP/AAGt&#10;YVfe5WeVicOrOceh6BNfGTxWLHCSRbTtDdD8mR+ua0GjUNGgSNHbO3jvjH+ArJsrBYfEGnyuMS/Y&#10;1BH+1tYZ/JauC3a6u4XYqplViQE5UDj168nmupPuzzJrsUNMnt7K0uZ7t02iUIrFfmzjnHtWhb3e&#10;bu7WN42HybCTwc54rMawM+nTKrhX+0pnOe5APerctqllLetI7lY1SRW4yRyOap8t9WTq9kVYbsxe&#10;K7o7z5JV9pHI+6D/AEqKa9a9OkSBnCO5JC5GPm9O/BHSlkhZ9XgSBiN4UMSccMhJ/lVW1jRNK0mU&#10;LgNcmJs9hu/+t3pPlvuXZ22L2pSG60eDazYNyiMv97mptYST7JfqzgrtQoMdMMKDBHC8tuX/ANVP&#10;HOoPdRipNWy0d5xwbbg++azk7tsIq1kcZ8VsTfDy0lXOBdRkZ6/ccV4QzHca96+Iw834YJ6xyRE/&#10;UZX+teByE9qwn8R34de7YTePWmkk5owFXkZINNLDHFSdAw05OtN5oHHUmkBYVcvjuRxXq/hFs+G7&#10;T/gY/wDHzXkyuCo5wRXqXg18+HoR/dZx+pP9aAOnBoPIpitmng8UgMfVQc1z7R7Jc7sjPTFdBq3U&#10;VhTGmBWk0S0ubhppC25zk4VP57c1Zh0Gz8vyj523Och8fypjNfbm8pYsc7d39aWP+3CRj7EBnn71&#10;AjZ0rRrSzuxNEJS6o+C0zMPunsTirXxX8Qvp1lHpds22a7BMjDqsfT9T/I1nWs+oQXiC4aPyir7i&#10;uMAbT+NcL401/wD4SLxJPeJkQqBHED/dHf8AE5P40SQ4sq219Fp1mk1pPPFqYlOZEOAEwOh6g5z0&#10;7VZXxVrX2n7QuoTLNu3bwRkn1rB709RkjnFTYdz234YfEa7OrJa61MJo2+VZSAGQnjnHUfrXrV8o&#10;Ot3RHIYKR/3ytfJVlcCO6jaMsrZA3Zr6Y8M6qdZ06K8OctHtOevynH9KpIdzVjX96vvRMv7i5/P9&#10;KkRfnjP+elE4+Wcf9M807CJ7cfNJ74P6VnXSB7K8A/2/51o24xLg941P86pygC1vz/dV/wCZoa0B&#10;Mx/ilH5ngzS3x0ZR+af/AFq5b4YfNrrA97Rv5rXYfEBd/wAOrAnkpJED/wB8MK4z4aNs8TRKB96C&#10;RfyGf6U3sKOx1nh1c3tmjd3wfoQan1pQ/hqzI/gkI/8AHVqPQ/l1G3bsrAmrF+hPhgqeqXbL+lRb&#10;QvqX/CIx4fI/utj9BWz2rI8Jf8geVf8Apo3862ccCqjuS9iuVLN/OkYHPFTMY4gzyOqIo5ZjgCqB&#10;1/QwA39rWRBOMiZTWjIPkGtjw4cavEf9pf8A0IVkVqaCcakh91P/AI8KyexEdz1iMfKKkpifdFOL&#10;EMFzx9KRoRXA/cmqWKv3H+pNUaTAb0ptONFIBtIelLikJoERMcKSelVLe8gut/kSbthw3ykYP41Z&#10;kAIIPQ1gSZ0i5ihhkLJJgnzCCeuOOn9abaSuyoxlKVkO1Aj7dIB1AGfyqstTXwzqkpPClVOfwppR&#10;UAzk5GeGFRYB8X3P+BVW1VtqjmpASFO055zis+9laeRYc8swAqkgbM2SXdKgPTeOPxq5dXptZURY&#10;lYMM5JximayIop0EaKu2TbkD0qDVJjDcQOMdCOf8+9UyUWlv3MbH5AQMgbSc1LYXslz5gkRF24xj&#10;/PtWH9r4Jypz7GnwambXdsTzHfAA6VJQuebTPIE2CP8AvmtO7vYrORE8gMWGcjArEM7bkR0KOsu4&#10;g/StHU1V7mHJxweatkpW0Yj67tOFt/8Ax/8A+tT4NUku0kUoEwOoOTz7/hWVNGdzlImfaMsR0Aos&#10;7hIQ5f5cjjHekVY34fKUKCWwF6dKlj8pixKg8EgY61gx380rhUjXngVO9zcxXLwGMB0OCKzs7mml&#10;i4dTtI7gQ+WzENj5VBH0q1GVcNhNp75GDWfo1kv24yO4LjPH90//AKqv6lctHchY1JYr82VPODgG&#10;k12GlpdmXrSjyEPfd/Q1i5rU1HzntgXwMEHbjsRWWFJNaR0RD3JYIJrl9sCFiOvoPqa6Lwzp93ba&#10;/aySRgKC2SHB6qR603RmgaNIYxyPvAjknua3HgeA70+Vl5FWkQ2d1av+6Q+1W3mWNGd2CovLEnAA&#10;9a8q1nW9UgjtpoL6WNX3Iyhscrjn8Qw/EH1rCn17VbiJo5tRuJI3GGQytgj3Gamx0RrWVhTO0mqm&#10;4O52kmZm2Zy2T2rqUh1f7faarplndia1UNvkXacqcjgnJ78VW8GxILu2cPsuJWYKG/iUc8D6A16j&#10;EgII+8cZOKEru5nJtK3c2PA3ipPGdv8AbyEhvbRljlhQEjGGwwz2O4/98murVFhdWL4YAjJ78k/1&#10;r5ItRczXLRWjOrEZwpxkVcGkaq3XzPxYVuqmmpwTw13oz6eH2KFZA11GoaTzOXA5qK8vNImE3n6n&#10;aqJUCnNwg4B+tfNP9hai3VT+dRPo+oI+0W8z+69KftBLC26n0i2s+Ho51lbW9OVl24/0uPsCPX3N&#10;VDrnhaO1hgOuWGyKXzFAuVPOc9j7188/2JqTcfZJj+IFOHhzU2/5cn/GRf8AGl7QawvmfQNz4v8A&#10;Chkd5NatSWGDtYn+Q9qrz+PfB5V1fW4yGTYQI5Dx+C14SPC+pH/lyx9ZBT38M6jgvJboABk/PS9o&#10;NYVdz0fxt4z8Nal4Qu9O0/UPOnd0ZV8pxnDgnkgDpmvGXc5APpVwQwsuUXIH95gP61BNtjYYRcH3&#10;BqG76m8IKCsiBi20EggeuOtMzzVhWLMBgH2I4rStdLF4QIp4A5x8hQ5AJxz271JoZKSLnDLnNLKE&#10;DADr3rV1PSpNJaIStG4lzt2jpiqG8D0p9BFZQAc/pXqHgp86CPaVh+grz2OaJnAKufxrag1q70qD&#10;yrWSJISdxwmefxz6UhnpokGcVMhyK880XxHqV7q1tFLcq0LsQVEajOBn0zXdLMqjlgPqaQFPV/uq&#10;a861/VLgag1tDI0aRgA4ONxPNaHie/v28QTxQXE3kgLtCOQv3Rn2rJghEvntexsXcDbKxyQRx/hQ&#10;9FccVd2Nnw9b69dMHWN5bdeX3uOntnnPtXSoxVSQMkDpTdGiLWcbRSTIFXY218LjHWrdrClpAseQ&#10;zgY3Y/lmpjJ9TaVHax51qtxrwMi3ZuFjY8qPu49OO1YLDnHevXL6D7bayQAhGIK5x0zXOt4Rt4gG&#10;RmLj+9zmmmJ0n0OMlhUYaM7lIz9Pak8mQIWIIFdb/YyRySArwpDAHvUf9kT6hKlrbREs5xupXD2T&#10;Mvw1pT6zrlvYg4EhJZvQAEn+VfQfhVotH8E6bdzAqq6e1xMe5wzkn8gK5zwN4StNFuIiNs12wJkm&#10;6gDPRfQV1HjTQ7jWPCkq2N1Lbzwhx5cbELNGchkIHt0/LvWkSXCx5efif4u1G/NzZeTb2ik7IvKV&#10;hjtknk/hXqnhDxI3ijQpbu5hW3uowYZ0B+XcOcjPYgivDoRbwgRJMw4ChV9a9A0kCyt1ijbaeNzd&#10;2OAMn8qSk1uJpW0PWLb5nideQYRyKr7QYtSB6At/LP8AWs3w9eSm42BWktwSC2OR/jWPqXjy00W4&#10;8QwanbsotpYoozC25pTIhYHBxjAGetXe6I2Oh8ZQmT4ay8ZMRVv/AB/H9a8++G5/4qu3H+xJ/wCg&#10;mpLb4sWGs+HL/RNQilW5uXf7MyINgUtlVPOc+9V/hyyr4qi3dVWUD67DQloKJ2GnSbIhIP4nUZ9s&#10;1p3ozoN8P7uoPj9a5iXWLDRtHt7m/uo4EOGXceWPsOp/Ci3+IOg6jpuoQxyTojXm5JJI8KwYnB9Q&#10;OR1FSloWdj4S502Yf7Z/ma09TvF03TLi8dSywRtIQOpAGazPCBDWkoBB+bPH41pa8IRoV957KsRt&#10;3DFumNpoWjA+aPFfjnU/EV87SzukAOEhRiFUfTufeuXNw7HJY5+tdB9jtJugUj1pDo9sTwCPxrN1&#10;F1NPZs5gVoaO5W/XHfH6Gs6rNhMkV2rO6qBnknFWzjjueyxnKinYGc4Gaq2txHNCrxSK6noynIqc&#10;yDFI2Cc/uWqhmrM8g8psnHFYVzr2mWpKy3sQYdVDZP5CkxGkTSZrJtfEOmXsvlQXStIeikEZ/Or3&#10;mj1pASPKFyarrdB2xmqt1cBUPOK52bxLBZ3TxNDKzL1Ixj+dNBY6q4uY4IzJLIqIOrMcCuA1TX73&#10;Ur0rZl44l4QR/eYepNZ2o6lc6ncs8kjbC3yx54UfSo7eaS13GNsHucUNFLQ1bDUbt7zyL2R3bbhS&#10;/Ud8V00Uay28lw0ixxrnljwPxriEuHe7SeQ5YHrU+rXTSCKMOdgy2O2aaJa10Nh9cs1b5Zu/UKar&#10;XV8GkR7Yxs5YGNycBe/PtXPAFuAuSacy7AVdTuBxjpQFjXgvfKuJE1JYrhHBZXGDtbHqPWql5drd&#10;iMhDlc5B/D0qjgEcL+tKCAGA5z3oHZDy6r0RfzP+NPglSObzZB93GApzk5otuJUbyxIFYMVPQ4qE&#10;QOSflIx0zQNaFi6uvtlyJNpX61fn1OPcDGVJGc7lrMjjYAllxilk5wwA568ChOwNX1Zd06ZC8iyE&#10;AnknIAwKoSKrOwjBPJ249P8A9VIXbvn8qUSMOjMO3BpW1uF9LFm3aKx8mdyzShtxix27dabPqc09&#10;w8xVQzHPTNMhtJLyUhW5wOTW/p/h+1VSt3JmR+BzgCpbS3LjGUtjJsdSS3YuYN7n73z4B/St+/v5&#10;NQhRdMs4lWGPDzsMu7HlgPYEkVk6noL6Yzl5AUyu0gZ3A5/wosdUFlbeSsbtwec45znNPfVBqvdk&#10;VY7yYlxKiyMRjkY6VGIGu7jezQwrwDvfGKVyC3mKCMsePTp/jVeZdknAGDyKoguxrPY3SywyRSsG&#10;wPLbfnPsK6dE1hJLSW+SH7NcFowU6qwUnB9+PesjwtL5d1dAAcwhhn2I/wAa72M2VzoEcDTp9ojc&#10;SxKQeq9eemdpalzWKULq5nLZwSRxq0SnBJ5Hrj/Cs/xBpKy2UAhh4WYFlReTwfStmP7y/wC9/Q1c&#10;TFPchaHmM97c6dr0cojaKS1IUIeOO/55rUfxzqTKVUBEbhsMckdxmsbX5nm8QXrydRMyD6DgfoKz&#10;88U7aWHfW56Noum2t7errUcMkO8EgbhtY8huB/nNdGYkH8I/KuW8B3Zl02e2Y5MLhh7Bv/rg/nXW&#10;HpQlYG7u5EQoHQVGcZqRsYqJmFIQ8YqVVBFQKwqaN6YhxQelV5xmNwO4IrP1fXZbCWNILJrkN94h&#10;sY9ulRnXN782cgj8vcW3rkN/dxn9aOVhdHnkEM06gRIWwSSew/Op9qbvKMaFgBk7c1pststwUtYj&#10;FC3RGJJBx3yfasa7BS6lB6imBOECnhVB/wB0VLDcS2zloZfKYjBK7QcVQiUyYCxgn1ZsD9atwWcJ&#10;+a4liQD+FHBY/rigB9zcXF2gM9wJSoO3zJFJH054rNlR1HODk9QQf5Vsu2npBiG2iEqkYkklLZAO&#10;eQBjPatG1ktJLkmKNAjAArFHx36gD61MnYuMbvc5eFPStm0Ali8pkIbsw6106W1jAm7yk+bkbYyx&#10;P4AUySzV5hPEBgjkbcYArNVLs19i0cgZWGVacEg8/M3+FNLIerg/TNSX8SwX00cc42hyBuHOe/Qe&#10;uap+Y/8AeNbIwas7FjMfqf8Avj/69a+i28dy0gdWMQxklcfh1rBDv/fb860NN1F7KU72Yxt1yc49&#10;6U03HQcHaV2ej2pjNkgtEUwJ8u2P+AjtSFVcnDAn0Pyn8jwaztOvtxE1vIu5hhlPRvSodY8Ry6fI&#10;iSWQlDjILHj86xi76HXdJXNhU7HrUnkhvrWHpfiFL0MWt2jAOCN26uggkjlXMb59j1FWNNPVFZrM&#10;SP05q9Z2yRSByWLBdoO0AgfWp4kHXFTDjoKB3N/w/sR2IzvIwCfStrV9Ts7CxeKWdFncZjj3fMxz&#10;gED6iuX0y48qdcnHNQ+JvLvPG9hEhyY4I0c+hJLfyYVTlaOhDjeR5b4saLSvEuqRwxRALcsVX68+&#10;vvW54a1NLqFt07v82VLEkgeh+lYHi2xvL7xZqc4iJjN06qcgcA4H8qyEv77Rne2hdIiDk/u0Y5Pu&#10;RSvzGLjy7o948NeIYo7krDbtLsZVchQAM/XntXD/ABQn0bUNUmv7BMvdvGzuwwFaNWRlBHH9w1xc&#10;PifXYoyIdQ8pX5IREXP5Cqv9rakECC92oDkIu0KD64xirSZDcehb8P6LqGrarbpp8BkZZFckkBVA&#10;Pqa7Q6k/gnWmur2EM8bHMCyAOQylQwzwRz2PauEi13VoP9Vqckf+4+3+VPbxDrEjbn1i5ZvUzn/G&#10;rT0JLkGv32oapLeyzSKqR7Y0VjhVHQCtjT/Ed/LAJI5rwZPRGY9D9a55Nc1ZgxGrXZ2jJAuG9cev&#10;vXWaBeXQs0kMzF3JZmbkk+pJrSCvoRJlyPxHrQGFuNRx/vv/AI02/wBZ1O5sJo7l7uWNkIKysSB7&#10;8k81cVQ5OCC45PPPP/6q0D4bN3EBdXLIGH+piHP/AAJj0+g/H0pzikgg9TzY27hCwkyrHBU8kVJF&#10;DKo+QowPoCKuX2mXGkXjxXJKAE7S68MPUGq5voweDmvPeh3Kxxk0hA2iq2WNSMGLsQCQKZknPFbH&#10;HFWRpaNq9zpF6k0Dtsz+8jzw4rqG8S39xK4Fy0KOcgIikqvtkc1wmWGDg4q0t9MFQfL8nQ45oOij&#10;OnF++rmvrXiPUrrNq05WMdSo2lvrXP7TWwlg9/CJHkVZNudwXjHoayeQcUGc2nJuOw6ItG6spIYH&#10;II7GvQNO1L7XYJKeGIww968+zg1paZem3uVUuRGeozxnFBBv6jeYlCl8d8Vy2onN+zdcgH9K0Lq5&#10;866bg8DvWfHBJqEzBXjUohJLnA4P86LWVxX1IRKQu3jGegFWZooYo0RSWlYAtzwvtVRDtcHAOOgI&#10;71YjgeUhVPzdaRQSRtCVDHBIzjFM3CRx5mWA/PFSpE7TCNznJxzUc0LW8xSQYYUAdFCml6Xax3Uc&#10;pmdyDtUZYj0x2/GsG8dby8MiwSQxE9MZI7n9c1W3H3oHKlqFGw5TurD3tXALRq7wj+Pbj8x2qILX&#10;T6DMwjyke7y8bu3B7movFFtFHcQzQoqh1IYKMDP+TSUtbDcfduYAwOvSkIIPtSgZpdwPDVRAq8nA&#10;6kVpaHDaG5b+0iiw4z82T+AArNUfMB65FRqw7gn6UWBOx3cs3hO9t5YbgRwMQfLkgiIKHt0HP41x&#10;cVsplAlmVE7so3H8qjDL/dP508MP7v61QjViOmW6kRtcMx+8zAfoKvLq9ksUa+S7uhOCeMiueBPY&#10;CnrnvipcEy41JR2Oxkni1/TTIYwiwtt8nP3zjjkcg5OB/WorzwK+zztLvBOc8QSja59gejfpVXww&#10;4CS7icIwYD1OP/rV12mytJOAOvQew78UQjYc581meXyo0TskilHRypVhgg+h/KmSI0kAKgkqe3pX&#10;pPj3w7PqV3pzafa+bf3G/wAwJxlVC4JycDr1965NfDWs6eAbvTLgRt/Eq7kPtuHAolowjG6KHh9H&#10;k1URLwzRkH8Of6V0t5cLpemCSRGd4pzEMHAB65/IVJpmnC0f7UNOijVcKX3qWyc9Pm+tOvPPuhJE&#10;0G6JnVsKAWJAxnk+mBUyV2jRJwTRmWXiSW5m2BI02qW3E5JrqbW5EyJz8xUE8VinS4YTlXTpkYOC&#10;ePpU19dLaGHMwgDnG/Gcd+laOyRik72ObufDepX+oXMyCLMkrPhnweTn0p0fgvUd6rNJDHubb1J9&#10;P8a6rT5xJIkoP38GtK/lC30AH90SfqR/So5mVymbofhiXw67yveLKJlKlAmMEHrnPua12m460/Ub&#10;gfuFyPuFsfU//WrPaYVRD3J2lzmojJzURfNNzQIsLJjmni4xVMvSeZQBWmXS/m82R4piTkCLcOvB&#10;qtHBYQRStJPLdOchdkAVQRxjqe/FXLWWx8+6iv4ZJIpFIBiALKc9s1JYx6Fp5k2QajNvH/LUBv5k&#10;4+orRKTWhPup6nOXUKxwBow0ky/Mi7e/p+WaqeINHksLgyBmljdA5kMewZ6EDJOcetdJdraOHe3F&#10;3ERlhlFwD2/hqpNdS6v4e8t41mnIZUcrjo3UdhnFZuM00jS8XdnGRH5vwp6uOcrn8a0H0W4trF7i&#10;TaGUncnt6/nVC3YK+WBYY6BiP5UJiasBkX/nmPzrS0aWJ7oW8sa7ZOBk9/8AOarGa2PW0BPvI3+N&#10;OSeGNldLRVZTuB3t1/Ohq6BOzudjBYBoo903m8nMe8jYc8cjtj1q1dyDTNFvZLfCyIoZc/NzkDvX&#10;ILr10n3VwPTcaePEl8CSAp3AqQVyCDwRg1l7NnT7aNtDEaQsQzNljkknucmhCW3ELuC8k+lWWnRi&#10;T9jhyf8AZNN+1hM7bSEA9fkNbHKV/NxnCjHvU0tx5iIjRomADlF6j+tMa8VgAbeAc/wxitN7O0vN&#10;M+0pNtlQfMuMY/D86auBXsNRuLCZdp3RHnrXX299Z6zamGbB9eeQa4SMeS5R87gQyEeuf5f4Vdte&#10;dVhSBzHuI5Hbis5001c0jNrQ6O0sH0q/kiebzIZlBjYnnj1/OteOV4CCeVHf0/GoIIIxExcl5Mcu&#10;/JNVLy5J0e6B4ZY2XKnPbiojK5utEdPb6tCFG6aMfVhVg6ta/wDPxF/32K8e+0zkgCV/++jUm6c9&#10;Z3/76Na2Rl7Znriaxa+aoF1EOeu7pVQ+II/+EimvXOQZV8twc/KoCgn6hc/jXlv73vM35mkwx/5a&#10;n86TimrB7Z9j1mXVbSd7xm1MqGmYx/KACpyeBsPT696861qyuLzVbiaNldHPDtIozxj2/lWTsHeS&#10;jYn9+iMbMU6vMrWLaaXIFG9owf8ArstR3Fi9tEspkgdWYrhJAxH1H+elQbE/v0tvG88ixRxvJI7B&#10;URASWPoAOpqjIaMVIoHpQyGN2R42R1OGVgQQfQilXrVATx/LHKcfwgfqK6uK5udOsI2jCOoxkbDn&#10;BPPeuWhBfKdWZlAH519N6zZ6ZZ2JjaTT7CdYfkmmVVCnGO+M554rSL5UTo3Y8g8H6jcapq92bhFj&#10;MIQptBB6nHWux1jxHa+H9PJYGS+cZiTHGP7zH+nepfsVnFfebb6jBfnYFa5hVFUqOR0J6ZPX8q8t&#10;8Qam+ranNcE/ITtjHoo6f596mUmy0kitqOpXF35k9w5mnmYDL8457VW86G3O2ZGyem3FRyMUMkqg&#10;E5wpPQY4/nVS8di6bgoOO1YuKb1K52loGmwyxyTu0DeRkKcjkGrkiwwxMph2MSCAQBx/OremapHc&#10;ebGwG4OwxnsTTtWt99mphHKcLjnA9Kxbd7GkLcpzOozK5WNFwF96gS2LplnjU/7TVYsLFr/Vo7Zf&#10;my3zH2HWrniC2Wz1aaILgcEAe4BrZLQxk9Svau9rFLH58RDrgcnj9KrfZxnm4i/X/Cmbh6Gk3D0p&#10;2FdjzBH/AM/C/wDfJ/wpRFD3uB/3waj3D+7Ru9qAuyzEYozkzFuMfdNTafJBazE5Mm4jOVxgVQB9&#10;qfEcSU7iLOm2JvtSMSgmIElmHYdq37TRza3BzKsgPKsBV6HTbWy8mFdxRxG7OByT8xz0/wBkdxWp&#10;DJard73XbH1JReWPbpWUmb0o3OY/sW5mnkaNVCAH5icfSrmuaKt3pZv40K3EaDeq9DzitmKK2Fz5&#10;jQhiPuuy4zVrVZC2ltGhBHAIHcZrNyaaNvZqzPOryzgs7e0JEjSyR75FLY2nPHaqoeIAgW+QfVzU&#10;+ozzz3s000ZjkkckIQfl9APoOKqkzAZKkD/draOxyS30Lttqs1pG8dvEqK4w3fP50lzqlxeIFnjV&#10;wDkAjGPyqh5j/wB79KPMf+9Tsgu7WJvNIPFvGPwP+NG9j/ywj/75qHe3940b2/vGmIsxSkTKDHGO&#10;RxsFTavpZ064wudjcjnP5H0qpnEyn3FdXevHf6esFzCYZ1UbWI4YfWgcVc44N61IoJ7VFKjwytG4&#10;wynBqZYx/fH50CZIKcD0p0Fv50oQTRRjBJaQ4FEsRhYr58UhHO6JtwNMDX8Pq7i6EfLAKceoyc16&#10;P4f0v5FlySx5J9a8z8O3Bt78nHDLj9a7S31ObTop5LaRgxOUA6DPqOnWo9pyysbRpc0L3OwvbI3F&#10;yQ8h8pVCbFfGfXPHvVy0kbTSgti8kR+XymPA+npXnTa7rE8jN5wUscnCir2lSXdzI73EzAoQRsY8&#10;5z1rV023e5jzGXrlnJF4gvkMxjja4lKKGwAu4447VLo8YjuJAZPM+QHOcjtS+I2MmprIxyzR5J9T&#10;uY0zSDiaT/c/qKG3fQfTUbqTgXuP9kf1rG8Svm0tz6S/0NaGqsw1EHd8pjHGO+TWVrgaWxi2qWIk&#10;B4+hrN7FwdpI0dDmJtIiT04/I4rZv3zqYHdY1H9f61z+jBksl3DBDH/Gtu4YPqTv2ZUP/jgqOhcv&#10;iY7UrpBPEC2CsKj9TVVbqL+/+hqvq5I1BMA48tQfyqqCcdKq5mzU+1xf3v0pDeR+prN+bsP1pp3n&#10;sKLisX3vUA4z+VRfbR3yfwqmVemFXouFjsvC1hpupQXE1yp86OTr5hUbSOP1BrdfSNGRSfLTHqZm&#10;/wAa88sLOS7ZkSKSRlGcRqSf0q02h3nazuv++GraPLbUwknfcs3XhwQ38twmtbkLE+UWXp/d69O1&#10;Ef2W2swkKpGqjKorgnPfqTVE6Hdjk2twPqDUR0+eBw3kTFuy4JJ/ConGO6uawb2YzUGzplyCf+WZ&#10;/OuPi+8fpXdz6VqLWEkk2nXaQFDvYxEbR0JPp+NcTMsS3zJAWMa5ALHOeOayp6aM1q2eqEVyM4A/&#10;Gl8x/wDZpqEg5BwQeDUhmlIwZHI9NxrUyG739qN7+1JSUAKZGHcVE7NICCePanE9qFjLnC5z6CkB&#10;W2sW2gEn2rasoJBb7JOFKnIHJH+eevrS21rFCRv+aT09KszBym1flX2rNz7Gij3IH+yDCmN2IxyT&#10;1NSx6VBeA+S5jkHTLZqm7LFnjJpiSyZypCe5qbyfUv3eqNKddR0yI+Y0rqP4gx69BWEbu5YsrTPh&#10;wAwDcMAOM+tb8Wp3cMBWWLzbdvvMBkH61GdCbUbmE2ALLKeir90/ien41pBEzemhhHrUwjUqP3ij&#10;2Of8K19W8JappEDXE8DeSpALgAjn6E1jHitGrGKdxCoBxwfcUfhSgbmAGMn1OKkNu/rH/wB/V/xp&#10;DIsUVI0LqpJaPHtKpP5A1HmgAzW34awlybhU3SowC/MRt9+PwrDNT2kjwESo2MHnik9i4bnV6vCJ&#10;T58xRHzsdoIiyE4444K/yPalTQ7aSxgkJgFw5+R97q0nPptI6e9QrqE0jPNBM5gf0PTPUGrKatNb&#10;bCkaS7egeNWUZ+owKI1HE0lTUh0PhC/kuBL5kK/OGIz716jbS6ncx+XPfM0bdV5wf1rm9L1+5hKr&#10;feFGlUjiSNnQ/Xk4P6V0sF5JKks8FtBAqRF0ieIsZDnhfv8Ayn8xXVCso7HNKk29TA8V3ieHoTaW&#10;kMStdwtuZAFxnIJwO+O/+FebM2IyxPQ5rsdc0TxBrV/JePYbWkPCiVAqjsBlu1ZMfgfXvIkEkEIL&#10;MQF+0JnHr1xWEp87uXy8qsYPmlbeONgM7hk/jn+lUb6QPcZ6ADFdXP4J1l9gC2q4bJ33KDt9ary/&#10;D/V5Hz9p00fW7WlYRxCb1uSYmO4HgrXZQMz2/kTH5ivJFc3p8kMl2ZLhI9i9MkLz/WtVb22VkInj&#10;UIgTCg44zz0rJq6Li7FvwtptzDe3KxRF7gnYpIAG31BP4cVV8Y2dza6sDcLgsgI569u1X9P8SW+n&#10;Xn2hXVztK7csAff7tUtf1e316dJZZBGUGMKGOfzFXG9tTOW+hzrSKRxCgz3Bb/GozV3ybEdZ5D9B&#10;/wDWoMenj+O4P4CmBRoq9jTx/DOfy/xozYD/AJZSn6n/AOvSAp4IGcHFIpxIPrV0vZdrd/xc/wCN&#10;J5lpn/j1Of8AroaANu41aJIbczE7lgUKBnr68Ee/51Z0rUYtQW4co0RR+CCSNp6d65S+VFkUxrtU&#10;jpnNFhfy6fcebHggjDIejCpktLGkJWdzuJp7ZcFJS0npuJ/SrFo4VDNcMEiQZ+Y4rm/+EktNu77N&#10;N5npkY/P/wCtWVqGsXN+NjHZCDkRqeD9fWsuRs2dVE2u6t/ad9ujG2CPIj9/U/jWZuJ6k0yitkkl&#10;ZHO3d3Y4jHNJT0bB44qQedIflZj/AMCpiIcGnALt5Jz6YpXSTeAQSxGeOeKbg88HjrxRYB7feQ+1&#10;eo6ZFaaxowWeLLCIc+m0ZP4//XrywnOBjpxzXoXgvVY44FtXyZSSeEHKn1J/Kg2oRTlqYOv6SNKu&#10;w08fmxMMpJj7w7ZrnhFk5AwPrXsXibTotX0m5SMIZYRuXbyM4B/ka8ti093/AI1H61Si3ojOpaLK&#10;qGOFD5n8R459Pwp8SrcSKqvjOQCoJxng8D2rVg0g5UtIzANkgJ19utbMS+SoVLcgD2/+tVqnIjmR&#10;SstMcTCRcIp5xg+p9fbA/CundANHeExbFU+Y8iglmwP5U/S7cTQCZ1IOSMHtWq8StC8X3QylSfTI&#10;pqEYPmerG5ykuVbHH20yhjlCRjun+Irb0qUSSTkLt4XjGB3rn4HyufWtrSH+aUewqEBU8QH/AE2L&#10;/c/rUekn/SH/AOuZ/mKXX2/0mE/7J/mKj0tsXLf7h/mKXUfQrawcXqH/AGP6moJl8y3X6g1LrJ/0&#10;uM/7JqGNi8WAMkY4qWNFqwX900f8QO4e9XlBlljUffK4x9Kyg0iyx/IwUHkr1q5cXD3M8EkMbqY8&#10;hvMGN3Tn3qC7lnUrfddoQpGIwDn6mq4tfarjTyTvulgWMgYyrZz+HalyBTIKn2U+lH2Q+lWd/bNI&#10;ZMdzQIrGzb0phsn9qtGX3NN84e9AF7wq4sNZk+0PGiPCQGZgB1B7/Q12DanYdPttoD7zKP615xMR&#10;NKFIIH1qNrWP1b/vo1tBxtqYzg27nfXGqaeMj7faZA7Tqf61lnVraG5SaK9gDIcgiQf41yJto/8A&#10;a/76Namj+H7PU45jNdvA6kKnUj3z+nem3AIwa2Ne68RzTWTW6alGN+Q3lkAkHt3/AErzO70s2k29&#10;HDxYPXqOK9HHgie2DSQTwzjGBliD+XI/WuY13QL+0V5JbaRY1BJYDcvTjkZHNYyfvWjsdEY+7dnI&#10;r3p2ac1tL3RvyqFomBxxkdQTVEFu1hSYsZJ44VHdxnNWvslp/wBBOD8IiazUUi2kz3Zf60gjYhSB&#10;944FIDSFhZu2BqSsfRYD/jQY47Viscm84+9txj8KhjiNuodm57CmbtxJzmok76FpdSZHAOSeO/vT&#10;zdvK+0dOgFVHbJ2joOtOi4G78qgq5PJDsXe5BJ6Cq5kK9BjPal80sSTyvak6vupgSQ3LwgqCcn3q&#10;/aXk9ldxzKdsbDGAe9ZfBBbvVm2lXd5coDKR0NO4HR6x4gkltBDOskttIBlS23pz2xXM3VxZSRER&#10;WZiYDIZZCfzyTWmFBtntnO9M8Z/hP1rAO1S24EgdQDiqjK5M42I0bzJFQdWOBmr66VdMMhOOR0qh&#10;hS4VEYODjJbvV/7NqHZGH/Ax/jVkA+l3Kfw5JBIHriq0kM0JAlidAehYYzVyOyvvOQyAhQwJy/at&#10;G6+zOYUMeAz9pG9D7/SmBzx960LSDzLMnH8RzWjFosdzKI4YJJHOSFUknjmp/syWdusewqCTwall&#10;wWpSsrXy5GZeHKNt+uOKrTzziBoWkfaTyueDWwvOCpGRVDVUHleYMDJwRULc1lsUF1K9RAi3c6qO&#10;AokIAoF/fO20XVwx9PMY1SJqe2ufszbgm449a0uc5YMl+x5kuD9WNNxet/z1P1Y0/wDtZ8nEI/Og&#10;6tKT/qloDUiMF2f4XP40n2W7/uN+dS/2rL/zyT8jSf2pP2jT8jRoLUz0YnPYVahtzJyeF9fWqyxu&#10;OSRj0pyRGUkKrMeuAM0kOUWnqXfssQ6ufzFN8iAfxn/voVB9jmAJMMoAGSdhqHYPemTYuGK3H8Y/&#10;76FJstv7w/76qptFLtFFxlrFsO4/Om5tx3H61X2j0o2j0pAWQYO2D+BqB2y3AAHoKFGDSOKAJbsb&#10;oYmqnirsg32IP90iqeKBoAKKKUUAJimmnmmHvQMcvUVLHI0bfKcE1Ap5FOzg5oEzSs/P87zRBHIy&#10;LjbKOo9h3qWVpbxh/o1spHeMMPzqOA+YPMwxGMYAPPHtWloF/BFf+VdwfuD8u5Yydv1/xp7CM+00&#10;i41C4lSNow6qZG3Pzjv9etdvoMcdvpkFvcQS+cmSzRY7+hPTjFQwwab/AGvKIvNMB4+VSBjgkAnq&#10;OK6bT5rEbjtSM7jgPzx2HNUkjow8rSu1cZDcFNRgt7WxnktJcCaT5pMHodxAx0CjHGOtc7Lol3ps&#10;siyQOsAkZY3I4IycfpXaR6i9o+XhiYSEEiNs4A49OtQTmXUZ/On4RfuIOij2/wAa1VJPV6Iyr1Pf&#10;aSOZjiK8EYNWGt0C7vN52bsZXrjp1qJt+9iZWzn0H+FRsW/56E/gP8KzfkQma+mn/RSP9o/0q7kb&#10;hnkZ5FUNLP8Aojc5O88/gKsTyGOF3X7yqSPypgcTA2EX6VsaS/72Qf7P9aw43Lcnqa1NMf8AfuP9&#10;g/zFQtxjdbbM0B/3v6VHpp/0ke6mnaz1hPu39Kj03/j7T6H+VHUCHWI2kuI9rYIB7Z9PemWcbomG&#10;bLHqRxWjPameUP27VJDaAEVm9ykVSnIz9c1J1wT2q1JbgECgw4VeKQxoGVBpcVMsZ2jil8sgdKYi&#10;sRyaQip9hx0phQ+lAiAouc4GfWkIFTFD6U0ofSgCGyjjvdYjshIVYkbjtzjgmujbwqmP+Ptv++P/&#10;AK9Y+lLbwa3DdXEhQJ6LnPBGP1rr9QngeCMxpNJ5gyE3lc/988n6A1aaSIcZN6GF/wAIzbeYEa/C&#10;E/3sAn6DPNbOmQw2k6aVZsrnDO5kUEt6njp+vaue1HdHCY7ie1tkkH+qVghI9wuSf+BGtLQ9KhtN&#10;Me5N7coJujFwmVx2HJHr1H5Ur3NVHlR07W9vEmXhL5zwiAk468daxdXnF3pssQs5Et8E9Rkgc8jO&#10;QMgf56Z+qXsP2L9/qBCgBI4beQ/P7vJznHUgfma03trePTVmywWKMMWDb9w6tgntikP1OKbRw671&#10;kZIyBtaUY3AgHIwD61RfwbbyM0rXOSSSf3n/ANjWz5t7MxBufLtixKwRLjjtk9TUGo+fDp8ir5mH&#10;Gz1PJwffpVXM35HJ6hpQsdMt5wcm5w5Gc44z+HWo40/cRyIOn8Q6g+lWNRmvJotlxG8aoSFDAiqC&#10;XHlqVzgelZyepURt5MzuF6e1MDhQcdhTZBuk3DnvmomOEx6mlYdyQH/69Od8LioUOTTgQz9eBQA/&#10;OFFPzhB6moi248dKAxLj2oGWAAG56Co8/vC340ZJzjkk8U9YyAfbqaQ0W0nO9S33WGDTdH+zjXIf&#10;tbKIctuLqGA+U4yO/OKhzhQPapdPiSTWkSRQysGJB/3TTp7hU2O1l1bTX0CXTo9M0eaZ7cxiVYDH&#10;MrY+9nByc9+M1z8BElukn95Qanj0qFJdwZCuRxINwFSCweFSsN3bFCxYB1bIyc4znmuizMLojRSW&#10;GOCOlek3+oeDtQtNNnnk8m4WZJWBV1EZH3jyMYHqOOleaNZXD5zqKIP9lAP61p6eEtIxE91CQ3Du&#10;SWZhnOMkn8qaUuwro0vFesWLSKumXH2iJVILZ3Zz6DH9K5TWZZLYiJnEsnDnhgSG5P3gDnNdRdXd&#10;pPhPMi2nqc/d+grNma3kdmaUMQMA461DpyfQ1VRJWMCK+gCjJ2H0NR6jKktspVwTu7fStp47Zx82&#10;0/Vc1j6xDbwxoYVUMxOSoxS9nJatDdS6sYRPNOpnenUiCz5dp/z8SfhF/wDXpkoiXHlSO3ruTb/U&#10;1DmigBSaTPvSGjNAHUW+g2k2jm5eeczmLesaoNucE9c59O1c0rFWO0kfQ13cFpG1uobeu4DK7uBX&#10;CzJ5VxJGeqsR+VO1jSo27MUuxHLE/U03vSZpM0GQ6kqcfY+8k5P+4o/rRus/+m5/IUgIRSjmnSNC&#10;ceUsg9d7A/yFMzQAvQih6SlbkUAWIVaa1eNBlj0H40z+zps4Z4VPoZVP8jS2zFY5MdccVD9rvEG9&#10;ZpkU9CrEChgWP7Km27t8eMZ6McfpTf7PcEAyxAnpncP5iqxvLlvvXEp+rmnrPdbPN8+UKDtz5h60&#10;gswms54slo2Kj+JRkfnVarIuppTtlmkde+5s/wA6rGgaGr1p9MB5p4IoGza0IW8kjrcOy4GVwM59&#10;a6e3n0+3ACJwP9muItA4lV0R2GcHaDXSLZx5+85+prSLhb3kQ0+hurq1sJN2xsf7tadhfx3pYQqw&#10;KYzketc8uiSsqMsQZXxg7vUZrX8PQLbXtwm3DBcN9Qa0jKnfRA1JLc344udznJqfdxxUZNANKUnJ&#10;3YkrHKzyhZ5BzwxHT3qPfkdafrM8e944JAxExWXA6dTjP4VSV+KmSSejGnc6DSmzbP8A75/kKtTH&#10;dE6+oIrO0d/9HlHo39Ktu/OKBnERN8orV0xsXP1UisaE/KK0bJ9lwD7GoRRc1SA3SxqsrRlT1UA/&#10;zBqOysTDcK5uJXxn5WC46ewFShvMP0NWIgAwJNJsZNI3TiljJHamue9JvCjOakCVySRxTmyUWoFl&#10;Dck1KZF8se1IZMnCU5h8uB3qHzQISR2qNbnLdOlNEssEf7NNx/s0z7QT2ppnPYUySXH+zSED+6Kr&#10;mdvSmNcPigLjb87UVtqnDDgjNQNqF4yhS1xtxjaGOMemM9KZdzOyAHpuB/WtE4raE+VbIlq5jOiP&#10;n/RNpP8AEkYU/mOafHNeRuj+bdyFFKr5rFwFPbBP/wBetWkqnV8l9wreZkEzMqIYAiK24CKMKc/X&#10;qfxNWTe3jKVL3ZU9VLnB/DNXaKFUtsl9wNX6lD7RcH+CX8hQbm7Ixtmx6Zq/XP6rrwQNBZnLdGlH&#10;QfT/ABp+2fZfcLlKut3uxUjfPmA/dP8AWudaRXOcEGrtvNEt5FLdRedGrZdCfvCjWbSK1ug0DB4J&#10;Bvjb1BrnnLmldm0VZFeNlCEdxUT8n2pobgelSkDYOmTUDGj5I89zSxqW+Ud6a5yf0q1ax5B45pMa&#10;VxhXbxTF4BbvU0y4Y+wqEAso9zSQ7Fq2jz8xBxUrkY2L1J5qUwiKBU3HJHOO1Vd652IMk8ZqTS1h&#10;6oZJDt6dBUtj+91tRGRwCAT7Co55hB+7AG7b1HanaB/yFUP+yx/StKd07mdRq1jojbT/APPQflSG&#10;2mP/AC1H/fIq7mm10+1n3MOWPYpG1m/57f8AjopptJf+e/8A46KvGmGl7SfcOVdimbSX/nufyFN+&#10;ySf89m/KrhNNzS9pLuHKiobST/ns1ZerQtEse5y2Qev4VvE1ia42TGvoCf8AP5UnOTVmxpIwu9ON&#10;JQTUFBRSFvamF/agCZHUE7ow/pkkfyqQSxf8+6fm3+NMs4DdziFWAdvu571ox6DcSJuBHUggkDBH&#10;XvRqB2CNiGI56j+tcTrSeTrFyuOr7vz5/rXTyXU9gIYNQtngbkCTqjc+tYviW0ma+S4SF2jeMfMq&#10;kjI4/wAKad1oaz1ijC306PdLIsaIzOxAVQOSaTyZT0if/vk1JAs9tMs3lyKVPDbSMGkZGlH4c1GT&#10;JELcHB4PWnnwzfqCWTAHc1VXVLpUA81/++zTX1Kd0IMjHIx96noTqR3do9ltEh+ZhuAx0FQqrsu4&#10;Bcf74B/KnTStMxZiSTW5YRapY2YxYsU5bcWA4PrxSGYQBK5x26U07uNyleMgGti5t7y6IuPsBwRu&#10;LZ4I9eMfnWOzgtwoHsM/1pu3QFcngOGIodoZLdIFEaOrHe+D8wwAP65+tRI5Vvu8fWkeFWYnnk5p&#10;AS/Y4F5a8TjsMf402c2pKiEkKO55J+tRfZx60CA9iKVhiEx4xlvwFISrLjv2yKf5LD+KneRkcsT9&#10;aYFeWIxEBsZ7juPY16f4F0u0bToZxbxtIwy0jKCc/WuCWBr940AlkuGO0kjPtnPevXPD+hw2Oiwx&#10;xyyrKq8Shj1+nTHtUVYtRujWlZysQeLXhttPjgVVVpHHQY4HP+FcaGHqK0Na1F9Svy5+6g2gfzP5&#10;1QFOCtEmo7y0LUd04wf3ZIAAzGp4H4Vp6JIWv5GJyWQk4+orIU8VpaO2L4e6kVpHczZ0u6gNUWaX&#10;dVCOQvRtlvR/095/PfUCtU+pcXd8v/TZT+h/xqqpqGNGzpMmI5h7j+tWy/zVm6a+PNH0/rVzPNV0&#10;A44TBWYbJTgnpG3+FXbWVnmULFKM92QgVoiEb24HU1ZiiGRgVncqw1IwkQA9etSx/eFStFhOKWOL&#10;5hSGJIM4pu3KmrLxYGTSxxg/hQBSVMcEYqUgbcZqWdMYNQhPekMegXaRnqMVMumXXaF+uOlMgi3z&#10;IqjJJHHrXVQsXjB4wCF/SqSMpyscz/Zl108ps0f2Tef88T+Y/wAa6eQkREjrnFMkFwcCExbsBsOD&#10;gj6jp+tVYz52cydIvP8Anlj8RTTo113Cj/gVdP5jbo93RlPT1qu04MJbPzArxiiwudnK32lXMVs7&#10;kL8uDjPvUnmA5xn8q3dR+dLmMEkbARx7imf8Ivd95oPzP+FNFp3Rh+Yf7p/MUhdv7h/Mf41t/wDC&#10;MXPeeL9f8KQ+GbjvPH+Ro1HdGLvb/nmfzX/Gk8w/3G/Mf41tf8I1MOtwn/fJrG8SW/8AYemGVrgG&#10;WQ7I1C857nr2FAHP6xq7OWtYDtUcOe59vpXNyNyc8mlaUZ75phYGk2URFjnrVyGcT232SXnBzEf7&#10;p7j8apsKbnn3qWrlIeyFGKnIIpU9617G4i1BRb3IHm9mP8X/ANek1DSxEm+JSTkDjsKjm1sy+W6u&#10;jJIwcmtmCEJGrryCOajtNOFwkiy7kZMc4qKO7+zSNb5MiLxvAx+lS9diorl1ZHdY3tjpSWw/eLkZ&#10;AI4p0rI4YjksePanW52yDnk9KfQOpe1KeOaKOOFGULksT1JNVLWIBwzcKPmJq5bWM2oXLRR7Q20u&#10;c98da09M0Oe8SYKwTadpYnGP/wBVJJsbl1OVnOZn+bODjPrV/QFJ1Lg4Ow/0rqD8PZslmulOTk9S&#10;f5Vp6L4Li029NzNMsylNqoF4575rdRZzt3M3Y398/gBSNG2M+Y35D/Cu0/syz/594/8AvmnjTLT/&#10;AJ9YT/wAVVhXOHMbf89X/If4U0xtn/WP+Q/wrvBp1n/z6w/9+xTxYWg6WsH/AH7FFguefGMj/lox&#10;/Af4UbP9o16ELG1z/wAe0P8A3wKsiwtscW8X/fAosB5iVHqfzrH1aCSSVdiFhtxkfWvb4bG3A/1E&#10;X/fAq3HZWwOfJj/75FKw7HzkdOuuvlf+PD/Gk/s+6PSP2+8K+mYreFTxGo/CtGFUGMKPwosM+Vv7&#10;JvT0gJpi6TeyOyrAxZDhgB0r66jOO1ZF6/8AZfiG31Dpb3gW0uD6Pk+Wx/Elf+BClYZ8qokkUhyp&#10;V0PIPBBqwL11LckZOetejfF3w8LHxMNRjG2G/XcxHZxw39D+NefnS17SNS1EzqrrxZbatEbObTz5&#10;UnGS+T9R6H35rO0vxMdOtZLWWEzpj92c4IHoaKKiCUVoWpO5A/iiUODHZWyr6Fcn8+KkTXF1K4gt&#10;7i0jWPJ4QcMcYGfbmiitEZslHh+xJJIf6bqf/wAI9p+3IR8/7xoorSyIuzHu7SCHVY7aJMINu7n7&#10;1bVxpOs30iyme1wOVUliF9OMYoorN7juZN5o9wjSS3915smDt2knJA7k9BWVPGsDR+WzMGjDfMMc&#10;0UVJfQRG3dam28ZFFFNCFxSkAUUUwGk5HSgc0UUASRytbss0ZIZGVh+BBr27TrkXWmxyKu0OgIHp&#10;xRRWVbZHRQ6nma8Ej0qQCiitTAkXpV/Szi/j98/yoopx3EzoAeaC2KKKYHKaqf8AT733ZD/46tVF&#10;ooqGBf09sO49qtl+aKKfQaI1XLE+9WYgAwooqGUTycJUaN84oooAnYbhg05F2jiiikNEU7gqRjvU&#10;FFFAMkilaKVWU4YHg10Omy+bbEHOQ3WiinExqbD5JCFkHcHNQS5nVUYsFeMqdrYOPqKKK1RgNtoU&#10;gg2xl9oOfnct/OoiP3bnvkUUUxoivXIiuCf7n+FdXnP40UUikNJphoooKQwmvN/iXMTeWMPOFjZv&#10;zOP/AGWiikyonAnmmHiiipLQmaaaKKQxVYg5HBHeti212RIwlwnmAfxDrRRSkk1qVFtPQLvVPMQi&#10;FSpYYJPpWVnaeKKKmCVhzbbJvMwmcd8VJGnmtsB+9yuexxRRQBa0m6nhvGaCQq/lsik9t3Br1Xw9&#10;ph0/SkSYo8snzOVHHsPy/rRRWkTOTNdQFGOfxqNyIwXx8vUiiitEQx9JmiigBQ3FODGiigBVfJq6&#10;jcCiihjRZRuKmRulFFIosoelXImoooGUp/EdrZ37Wckc5kRQxKgY5/GlutSsNUsZrSaKcxyoVPAB&#10;HuOeo60UUikcb4puk8Q/Dyb7UGN7p8pUy4GHZDtJ/Ec/WvJIpS0YznI4oopLcmex/9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GZS7yb0AAACn&#10;AQAAGQAAAGRycy9fcmVscy9lMm9Eb2MueG1sLnJlbHO9kMsKwjAQRfeC/xBmb9N2ISKmbkRwK/oB&#10;QzJNo82DJIr+vQFBFAR3LmeGe+5hVuubHdmVYjLeCWiqGhg56ZVxWsDxsJ0tgKWMTuHoHQm4U4J1&#10;N52s9jRiLqE0mJBYobgkYMg5LDlPciCLqfKBXLn0PlrMZYyaB5Rn1MTbup7z+M6A7oPJdkpA3KkW&#10;2OEeSvNvtu97I2nj5cWSy18quLGluwAxasoCLCmDz2VbnQJp4N8lmv9INC8J/vHe7gFQSwMEFAAA&#10;AAgAh07iQNk5N4cTAQAASAIAABMAAABbQ29udGVudF9UeXBlc10ueG1slZJNTsMwEIX3SNzB8hbF&#10;Dl0ghJp0QQoSC6hQOYBlTxKX+EceE9rb46StBFVaiaU98715b+z5Yms60kNA7WxBb1lOCVjplLZN&#10;QT/WT9k9JRiFVaJzFgq6A6SL8vpqvt55QJJoiwVtY/QPnKNswQhkzoNNldoFI2I6hoZ7IT9FA3yW&#10;53dcOhvBxiwOGrScV1CLry6S5TZd751sPDSUPO4bh1kF1WYQGAt8knlZPU8ibOMbOo0E6PCEEd53&#10;WoqYFsJ7q07CZIcgLJFjD7ba401Ke2bCUPmb4/eAA/eWXiBoBWQlQnwVJqXlKiBX7tsG6NllkcGl&#10;wczVtZbAqoBVwt6hP7o6pw4zVzn5X/HlSB21+fgPyh9QSwECFAAUAAAACACHTuJA2Tk3hxMBAABI&#10;AgAAEwAAAAAAAAABACAAAAC/4QAAW0NvbnRlbnRfVHlwZXNdLnhtbFBLAQIUAAoAAAAAAIdO4kAA&#10;AAAAAAAAAAAAAAAGAAAAAAAAAAAAEAAAAIXfAABfcmVscy9QSwECFAAUAAAACACHTuJAihRmPNEA&#10;AACUAQAACwAAAAAAAAABACAAAACp3wAAX3JlbHMvLnJlbHNQSwECFAAKAAAAAACHTuJAAAAAAAAA&#10;AAAAAAAABAAAAAAAAAAAABAAAAAAAAAAZHJzL1BLAQIUAAoAAAAAAIdO4kAAAAAAAAAAAAAAAAAK&#10;AAAAAAAAAAAAEAAAAKPgAABkcnMvX3JlbHMvUEsBAhQAFAAAAAgAh07iQBmUu8m9AAAApwEAABkA&#10;AAAAAAAAAQAgAAAAy+AAAGRycy9fcmVscy9lMm9Eb2MueG1sLnJlbHNQSwECFAAUAAAACACHTuJA&#10;ZXc9BNUAAAAFAQAADwAAAAAAAAABACAAAAAiAAAAZHJzL2Rvd25yZXYueG1sUEsBAhQAFAAAAAgA&#10;h07iQHQI+a1yAwAAIwoAAA4AAAAAAAAAAQAgAAAAJAEAAGRycy9lMm9Eb2MueG1sUEsBAhQACgAA&#10;AAAAh07iQAAAAAAAAAAAAAAAAAoAAAAAAAAAAAAQAAAAwgQAAGRycy9tZWRpYS9QSwECFAAUAAAA&#10;CACHTuJAavqhvTBpAAAraQAAFQAAAAAAAAABACAAAAAidgAAZHJzL21lZGlhL2ltYWdlMS5qcGVn&#10;UEsBAhQAFAAAAAgAh07iQAiHJusFcQAAAHEAABUAAAAAAAAAAQAgAAAA6gQAAGRycy9tZWRpYS9p&#10;bWFnZTIuanBlZ1BLBQYAAAAACwALAJYCAAAD4wAAAAA=&#10;">
                <o:lock v:ext="edit" aspectratio="f"/>
                <v:shape id="_x0000_s1026" o:spid="_x0000_s1026" o:spt="75" alt="Macintosh HD:Users:bingquncui:Desktop:市场营销专业建设（校企合作）:专业建设照片:WechatIMG615.jpeg" type="#_x0000_t75" style="position:absolute;left:18551;top:3352598;height:1926;width:3960;" filled="f" o:preferrelative="t" stroked="f" coordsize="21600,21600" o:gfxdata="UEsDBAoAAAAAAIdO4kAAAAAAAAAAAAAAAAAEAAAAZHJzL1BLAwQUAAAACACHTuJAESZ+Nr4AAADc&#10;AAAADwAAAGRycy9kb3ducmV2LnhtbEVPO2/CMBDeK/U/WFeJBYEdBAUFDEMJiKEdSiOxnuIjSRuf&#10;09i8/n2NhNTtPn3PW6yuthFn6nztWEMyVCCIC2dqLjXkX5vBDIQPyAYbx6ThRh5Wy+enBabGXfiT&#10;zvtQihjCPkUNVQhtKqUvKrLoh64ljtzRdRZDhF0pTYeXGG4bOVLqVVqsOTZU2NJbRcXP/mQ17LKP&#10;rFX593uC09/19lZmh20/17r3kqg5iEDX8C9+uHcmzp+M4f5MvEA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SZ+Nr4A&#10;AADcAAAADwAAAAAAAAABACAAAAAiAAAAZHJzL2Rvd25yZXYueG1sUEsBAhQAFAAAAAgAh07iQDMv&#10;BZ47AAAAOQAAABAAAAAAAAAAAQAgAAAADQEAAGRycy9zaGFwZXhtbC54bWxQSwUGAAAAAAYABgBb&#10;AQAAtwMAAAAA&#10;">
                  <v:fill on="f" focussize="0,0"/>
                  <v:stroke on="f"/>
                  <v:imagedata r:id="rId100" o:title=""/>
                  <o:lock v:ext="edit" aspectratio="t"/>
                </v:shape>
                <v:shape id="_x0000_s1026" o:spid="_x0000_s1026" o:spt="75" alt="Macintosh HD:Users:bingquncui:Desktop:市场营销专业建设（校企合作）:专业建设照片:WechatIMG616.jpeg" type="#_x0000_t75" style="position:absolute;left:22691;top:3352599;height:1927;width:3960;" filled="f" o:preferrelative="t" stroked="f" coordsize="21600,21600" o:gfxdata="UEsDBAoAAAAAAIdO4kAAAAAAAAAAAAAAAAAEAAAAZHJzL1BLAwQUAAAACACHTuJACFdmmLkAAADc&#10;AAAADwAAAGRycy9kb3ducmV2LnhtbEVPS2vCQBC+C/0PyxS86SaCotHVQ0WR3nyQ85CdJqHZmbC7&#10;jfrvu4WCt/n4nrPZPVynBvKhFTaQTzNQxJXYlmsDt+thsgQVIrLFTpgMPCnAbvs22mBh5c5nGi6x&#10;VimEQ4EGmhj7QutQNeQwTKUnTtyXeIcxQV9r6/Gewl2nZ1m20A5bTg0N9vTRUPV9+XEGpB8q2eOn&#10;z6Xkfbl6duVxcTBm/J5na1CRHvEl/nefbJo/n8PfM+kCvf0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hXZpi5AAAA3AAA&#10;AA8AAAAAAAAAAQAgAAAAIgAAAGRycy9kb3ducmV2LnhtbFBLAQIUABQAAAAIAIdO4kAzLwWeOwAA&#10;ADkAAAAQAAAAAAAAAAEAIAAAAAgBAABkcnMvc2hhcGV4bWwueG1sUEsFBgAAAAAGAAYAWwEAALID&#10;AAAAAA==&#10;">
                  <v:fill on="f" focussize="0,0"/>
                  <v:stroke on="f"/>
                  <v:imagedata r:id="rId101" o:title=""/>
                  <o:lock v:ext="edit" aspectratio="t"/>
                </v:shape>
                <w10:wrap type="none"/>
                <w10:anchorlock/>
              </v:group>
            </w:pict>
          </mc:Fallback>
        </mc:AlternateContent>
      </w:r>
    </w:p>
    <w:p>
      <w:pPr>
        <w:spacing w:line="240" w:lineRule="auto"/>
        <w:jc w:val="center"/>
        <w:rPr>
          <w:b/>
          <w:bCs/>
          <w:color w:val="000000"/>
          <w:sz w:val="21"/>
          <w:szCs w:val="21"/>
        </w:rPr>
      </w:pPr>
      <w:r>
        <w:rPr>
          <w:b/>
          <w:bCs/>
          <w:color w:val="000000"/>
          <w:sz w:val="21"/>
          <w:szCs w:val="21"/>
        </w:rPr>
        <w:t>图7 工商管理专业学生开展多种形式的校内教学实习</w:t>
      </w:r>
    </w:p>
    <w:p>
      <w:pPr>
        <w:ind w:firstLine="480"/>
        <w:rPr>
          <w:color w:val="000000"/>
          <w:szCs w:val="24"/>
        </w:rPr>
      </w:pPr>
      <w:r>
        <w:rPr>
          <w:color w:val="000000"/>
          <w:szCs w:val="24"/>
        </w:rPr>
        <w:t>（3）树立对教学质量进行全过程、全方位、全员监督的新理念。教学质量是学校办学的生命所在，对教学质量的监督不仅仅是对教学结果的监督，而应体现在对教学环节整个过程进行全方位的跟踪监督，包括人才培养方案制定和落实的监督、教材编写或选用的监督、任课教师任职资格和授课效果的监督、学生学习过程的监督、实习实训环节的监督等方面。</w:t>
      </w:r>
    </w:p>
    <w:p>
      <w:pPr>
        <w:ind w:firstLine="480"/>
        <w:rPr>
          <w:color w:val="000000"/>
          <w:szCs w:val="24"/>
        </w:rPr>
      </w:pPr>
    </w:p>
    <w:p>
      <w:pPr>
        <w:ind w:firstLine="480"/>
        <w:rPr>
          <w:color w:val="000000"/>
          <w:szCs w:val="24"/>
        </w:rPr>
      </w:pPr>
      <w:r>
        <w:rPr>
          <w:color w:val="000000"/>
          <w:szCs w:val="24"/>
        </w:rPr>
        <w:drawing>
          <wp:anchor distT="0" distB="0" distL="114300" distR="114300" simplePos="0" relativeHeight="251673600" behindDoc="0" locked="0" layoutInCell="1" allowOverlap="1">
            <wp:simplePos x="0" y="0"/>
            <wp:positionH relativeFrom="column">
              <wp:posOffset>2930525</wp:posOffset>
            </wp:positionH>
            <wp:positionV relativeFrom="paragraph">
              <wp:posOffset>75565</wp:posOffset>
            </wp:positionV>
            <wp:extent cx="2473325" cy="1855470"/>
            <wp:effectExtent l="0" t="0" r="3175" b="11430"/>
            <wp:wrapNone/>
            <wp:docPr id="71" name="图片 71" descr="一群人站在室内&#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一群人站在室内&#10;&#10;描述已自动生成"/>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484649" cy="1863910"/>
                    </a:xfrm>
                    <a:prstGeom prst="rect">
                      <a:avLst/>
                    </a:prstGeom>
                  </pic:spPr>
                </pic:pic>
              </a:graphicData>
            </a:graphic>
          </wp:anchor>
        </w:drawing>
      </w:r>
      <w:r>
        <w:rPr>
          <w:color w:val="000000"/>
          <w:szCs w:val="24"/>
        </w:rPr>
        <w:drawing>
          <wp:anchor distT="0" distB="0" distL="114300" distR="114300" simplePos="0" relativeHeight="251672576" behindDoc="0" locked="0" layoutInCell="1" allowOverlap="1">
            <wp:simplePos x="0" y="0"/>
            <wp:positionH relativeFrom="column">
              <wp:posOffset>34925</wp:posOffset>
            </wp:positionH>
            <wp:positionV relativeFrom="paragraph">
              <wp:posOffset>75565</wp:posOffset>
            </wp:positionV>
            <wp:extent cx="2783205" cy="1856105"/>
            <wp:effectExtent l="0" t="0" r="17145" b="10795"/>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05534" cy="1870995"/>
                    </a:xfrm>
                    <a:prstGeom prst="rect">
                      <a:avLst/>
                    </a:prstGeom>
                  </pic:spPr>
                </pic:pic>
              </a:graphicData>
            </a:graphic>
          </wp:anchor>
        </w:drawing>
      </w:r>
    </w:p>
    <w:p>
      <w:pPr>
        <w:ind w:firstLine="480"/>
        <w:rPr>
          <w:color w:val="000000"/>
          <w:szCs w:val="24"/>
        </w:rPr>
      </w:pPr>
    </w:p>
    <w:p>
      <w:pPr>
        <w:ind w:firstLine="480"/>
        <w:rPr>
          <w:color w:val="000000"/>
          <w:szCs w:val="24"/>
        </w:rPr>
      </w:pPr>
    </w:p>
    <w:p>
      <w:pPr>
        <w:ind w:firstLine="480"/>
        <w:rPr>
          <w:color w:val="000000"/>
          <w:szCs w:val="24"/>
        </w:rPr>
      </w:pPr>
    </w:p>
    <w:p>
      <w:pPr>
        <w:ind w:firstLine="480"/>
        <w:rPr>
          <w:color w:val="000000"/>
          <w:szCs w:val="24"/>
        </w:rPr>
      </w:pPr>
    </w:p>
    <w:p>
      <w:pPr>
        <w:ind w:firstLine="480"/>
        <w:rPr>
          <w:color w:val="000000"/>
          <w:szCs w:val="24"/>
        </w:rPr>
      </w:pPr>
    </w:p>
    <w:p>
      <w:pPr>
        <w:ind w:firstLine="480"/>
        <w:rPr>
          <w:color w:val="000000"/>
          <w:szCs w:val="24"/>
        </w:rPr>
      </w:pPr>
    </w:p>
    <w:p>
      <w:pPr>
        <w:ind w:firstLine="480"/>
        <w:rPr>
          <w:color w:val="000000"/>
          <w:szCs w:val="24"/>
        </w:rPr>
      </w:pPr>
    </w:p>
    <w:p>
      <w:pPr>
        <w:spacing w:line="240" w:lineRule="auto"/>
        <w:jc w:val="center"/>
        <w:rPr>
          <w:b/>
          <w:bCs/>
          <w:color w:val="000000"/>
          <w:sz w:val="21"/>
          <w:szCs w:val="21"/>
        </w:rPr>
      </w:pPr>
      <w:r>
        <w:rPr>
          <w:b/>
          <w:bCs/>
          <w:color w:val="000000"/>
          <w:sz w:val="21"/>
          <w:szCs w:val="21"/>
        </w:rPr>
        <w:t>图7 工商管理专业进行校外参观实训</w:t>
      </w:r>
    </w:p>
    <w:p>
      <w:pPr>
        <w:ind w:firstLine="480"/>
        <w:rPr>
          <w:color w:val="000000"/>
          <w:szCs w:val="24"/>
        </w:rPr>
      </w:pPr>
    </w:p>
    <w:p>
      <w:pPr>
        <w:pStyle w:val="5"/>
        <w:spacing w:before="93" w:after="93"/>
        <w:ind w:firstLine="560"/>
      </w:pPr>
      <w:bookmarkStart w:id="415" w:name="_Toc25739"/>
      <w:r>
        <w:t>五、培养质量</w:t>
      </w:r>
      <w:bookmarkEnd w:id="415"/>
    </w:p>
    <w:p>
      <w:pPr>
        <w:ind w:firstLine="480"/>
        <w:rPr>
          <w:color w:val="000000"/>
          <w:szCs w:val="24"/>
        </w:rPr>
      </w:pPr>
      <w:r>
        <w:rPr>
          <w:color w:val="000000"/>
          <w:szCs w:val="24"/>
        </w:rPr>
        <w:t>本专业2017-2021届毕业生就业率均为100%。</w:t>
      </w:r>
    </w:p>
    <w:p>
      <w:pPr>
        <w:ind w:firstLine="480"/>
        <w:rPr>
          <w:color w:val="000000"/>
          <w:szCs w:val="24"/>
        </w:rPr>
      </w:pPr>
      <w:r>
        <w:rPr>
          <w:color w:val="000000"/>
          <w:szCs w:val="24"/>
        </w:rPr>
        <w:t>1</w:t>
      </w:r>
      <w:r>
        <w:rPr>
          <w:rFonts w:hint="eastAsia"/>
        </w:rPr>
        <w:t xml:space="preserve">. </w:t>
      </w:r>
      <w:r>
        <w:rPr>
          <w:color w:val="000000"/>
          <w:szCs w:val="24"/>
        </w:rPr>
        <w:t>2021年毕业生就业单位分布情况是：考取或保送硕士研究生占23%，考取公务员、事业单位占7%，进入企业等单位61%，自主创业占9%，并涌现出了多位成功的创业精英。与前几届毕业生的就业情况相比，多数用人单位在首次聘用工商管理专业毕业生后会多次来校招聘新的毕业生，这说明社会与用人单位对市场专业学生素质和能力满意度较高。</w:t>
      </w:r>
    </w:p>
    <w:p>
      <w:pPr>
        <w:ind w:firstLine="480"/>
        <w:rPr>
          <w:color w:val="000000"/>
          <w:szCs w:val="24"/>
        </w:rPr>
      </w:pPr>
      <w:r>
        <w:rPr>
          <w:color w:val="000000"/>
          <w:szCs w:val="24"/>
        </w:rPr>
        <w:t>2</w:t>
      </w:r>
      <w:r>
        <w:rPr>
          <w:rFonts w:hint="eastAsia"/>
        </w:rPr>
        <w:t xml:space="preserve">. </w:t>
      </w:r>
      <w:r>
        <w:rPr>
          <w:color w:val="000000"/>
          <w:szCs w:val="24"/>
        </w:rPr>
        <w:t>近两年，学生就读该专业的意愿较强，2022级省内外工商管理类专业本科生的一次录取率及报到率都是100%。</w:t>
      </w:r>
    </w:p>
    <w:p>
      <w:pPr>
        <w:pStyle w:val="5"/>
        <w:spacing w:before="93" w:after="93"/>
        <w:ind w:firstLine="560"/>
      </w:pPr>
      <w:bookmarkStart w:id="416" w:name="_Toc13631"/>
      <w:r>
        <w:t>六、毕业生就业创业</w:t>
      </w:r>
      <w:bookmarkEnd w:id="416"/>
    </w:p>
    <w:p>
      <w:pPr>
        <w:ind w:firstLine="480"/>
        <w:rPr>
          <w:color w:val="000000"/>
          <w:szCs w:val="24"/>
        </w:rPr>
      </w:pPr>
      <w:r>
        <w:rPr>
          <w:color w:val="000000"/>
          <w:szCs w:val="24"/>
        </w:rPr>
        <w:t>本专业积极响应国家号召，进行创业教育的宣传，一方面，通过职业发展与就业创业指导课、创意创业教学模块等课程，教师业余时间的指导等，改变了学生的择业观念，有创业思想的学生越来越多；另一方面，通过鼓励指导学生参加并承办各类创业大赛，提升了学生创业的能力。但是，由于工商管理专业毕业生只有两届，人数不多，真正进行创业的学生较少，只有个别学生尝试开设网店或者进行微营销业务。</w:t>
      </w:r>
    </w:p>
    <w:p>
      <w:pPr>
        <w:pStyle w:val="5"/>
        <w:spacing w:before="93" w:after="93"/>
        <w:ind w:firstLine="560"/>
      </w:pPr>
      <w:bookmarkStart w:id="417" w:name="_Toc8730"/>
      <w:r>
        <w:t>七、专业发展趋势及建议</w:t>
      </w:r>
      <w:bookmarkEnd w:id="417"/>
    </w:p>
    <w:p>
      <w:pPr>
        <w:ind w:firstLine="480"/>
        <w:rPr>
          <w:color w:val="000000"/>
          <w:szCs w:val="24"/>
        </w:rPr>
      </w:pPr>
      <w:r>
        <w:rPr>
          <w:color w:val="000000"/>
          <w:szCs w:val="24"/>
        </w:rPr>
        <w:t>目前我国经济社会正处于调结构转方式转型升级的关键历史时期，完成两个百年目标正日益成为激励全国人民的动力源泉，实现中华民族伟大复兴的中国梦深入人心。这对培养适应新时期社会经济发展的工商管理专门人才提出了更高的要求，也为高级专门管理人才发挥自身才能提供了广阔天地。尽管我国一些高校已培养出一定数量的、杰出的营销人才，但无论从规模上、质量以及结构上还远远不能满足社会经济发展的需要。</w:t>
      </w:r>
    </w:p>
    <w:p>
      <w:pPr>
        <w:ind w:firstLine="480"/>
        <w:rPr>
          <w:color w:val="000000" w:themeColor="text1"/>
          <w14:textFill>
            <w14:solidFill>
              <w14:schemeClr w14:val="tx1"/>
            </w14:solidFill>
          </w14:textFill>
        </w:rPr>
      </w:pPr>
      <w:r>
        <w:rPr>
          <w:color w:val="000000"/>
          <w:szCs w:val="24"/>
        </w:rPr>
        <w:t>本专业以经济管理学院现有经济与管理两大学科群体系平台为支撑，面向经济主战场着力培养基础理论扎实、创新创业意识强、综合能力高的复合型高级专门人才，能够广泛适应社会经济发展的需要，招生就业前景最为广阔，发展趋势好，社会需求量大，建议学校给予大力支持开展专业建设和学科发展创新，对接社会、对接需求、对接培养方案、对接学生诉求，着眼互联网时代的社会需求，</w:t>
      </w:r>
      <w:r>
        <w:rPr>
          <w:bCs/>
        </w:rPr>
        <w:t>培养学生的商业洞察、营销思维、数据思维、逻辑思维、批判性</w:t>
      </w:r>
      <w:r>
        <w:rPr>
          <w:color w:val="000000" w:themeColor="text1"/>
          <w14:textFill>
            <w14:solidFill>
              <w14:schemeClr w14:val="tx1"/>
            </w14:solidFill>
          </w14:textFill>
        </w:rPr>
        <w:t>思维、成长性思维、沟通与表达等核心素质，培养学生利用营销科学和数据思维解决复杂商业问题的能力，培养学生良好的营销职业素质，具备以数据驱动为支撑的营销策划与运营能力，让学生成为适应社会需求的</w:t>
      </w:r>
      <w:r>
        <w:rPr>
          <w:color w:val="000000"/>
        </w:rPr>
        <w:t>应用型、复合型、创新型人才。</w:t>
      </w:r>
    </w:p>
    <w:p>
      <w:pPr>
        <w:pStyle w:val="5"/>
        <w:spacing w:before="93" w:after="93"/>
        <w:ind w:firstLine="560"/>
      </w:pPr>
      <w:bookmarkStart w:id="418" w:name="_Toc15131"/>
      <w:r>
        <w:t>八、存在的问题整改措施</w:t>
      </w:r>
      <w:bookmarkEnd w:id="418"/>
    </w:p>
    <w:p>
      <w:pPr>
        <w:ind w:firstLine="480"/>
        <w:rPr>
          <w:rFonts w:eastAsia="黑体"/>
        </w:rPr>
      </w:pPr>
      <w:r>
        <w:rPr>
          <w:rFonts w:eastAsia="黑体"/>
        </w:rPr>
        <w:t>1</w:t>
      </w:r>
      <w:r>
        <w:rPr>
          <w:rFonts w:hint="eastAsia"/>
        </w:rPr>
        <w:t xml:space="preserve">. </w:t>
      </w:r>
      <w:r>
        <w:rPr>
          <w:rFonts w:eastAsia="黑体"/>
        </w:rPr>
        <w:t>人才培养质量还需进一步提高，需要加大教学研究力度</w:t>
      </w:r>
    </w:p>
    <w:p>
      <w:pPr>
        <w:ind w:firstLine="480"/>
        <w:rPr>
          <w:color w:val="000000"/>
          <w:szCs w:val="24"/>
        </w:rPr>
      </w:pPr>
      <w:r>
        <w:rPr>
          <w:color w:val="000000"/>
          <w:szCs w:val="24"/>
        </w:rPr>
        <w:t>整改措施：一是从教师队伍、教学改革、教学管理、实验室、教学基地及资料室等方面加强建设与改革，努力提升教学水平与培养质量。二是加强教学研究与科学研究激励，促进高水平教研论文的发表。</w:t>
      </w:r>
    </w:p>
    <w:p>
      <w:pPr>
        <w:ind w:firstLine="480"/>
        <w:rPr>
          <w:rFonts w:eastAsia="黑体"/>
        </w:rPr>
      </w:pPr>
      <w:r>
        <w:rPr>
          <w:rFonts w:eastAsia="黑体"/>
        </w:rPr>
        <w:t>2</w:t>
      </w:r>
      <w:r>
        <w:rPr>
          <w:rFonts w:hint="eastAsia"/>
        </w:rPr>
        <w:t xml:space="preserve">. </w:t>
      </w:r>
      <w:r>
        <w:rPr>
          <w:rFonts w:eastAsia="黑体"/>
        </w:rPr>
        <w:t>师资队伍层次相对合理，但还需引进更多高端复合型双师型人才</w:t>
      </w:r>
    </w:p>
    <w:p>
      <w:pPr>
        <w:ind w:firstLine="480"/>
        <w:rPr>
          <w:color w:val="000000"/>
          <w:szCs w:val="24"/>
        </w:rPr>
      </w:pPr>
      <w:r>
        <w:rPr>
          <w:color w:val="000000"/>
          <w:szCs w:val="24"/>
        </w:rPr>
        <w:t>整改措施：一是根据学科和专业发展需要，引进学术水平高、有一定知名度和社会影响力、有广阔发展前途、在工商管理专业方面具有领军资质的教师。二是根据专业发展需要，引进一些高学历的年轻教师，进一步提升专业教师队伍结构层次。三是加强现有师资队伍在职培训，激励教师参加各类业务培训班和进修班学习。</w:t>
      </w:r>
    </w:p>
    <w:p>
      <w:pPr>
        <w:ind w:firstLine="480"/>
        <w:rPr>
          <w:rFonts w:eastAsia="黑体"/>
        </w:rPr>
      </w:pPr>
      <w:r>
        <w:rPr>
          <w:rFonts w:eastAsia="黑体"/>
        </w:rPr>
        <w:t>3</w:t>
      </w:r>
      <w:r>
        <w:rPr>
          <w:rFonts w:hint="eastAsia"/>
        </w:rPr>
        <w:t xml:space="preserve">. </w:t>
      </w:r>
      <w:r>
        <w:rPr>
          <w:rFonts w:eastAsia="黑体"/>
        </w:rPr>
        <w:t>实践教学环节仍需加强，学生的实际动手操作能力有待提高</w:t>
      </w:r>
    </w:p>
    <w:p>
      <w:pPr>
        <w:ind w:firstLine="480"/>
        <w:rPr>
          <w:color w:val="000000"/>
          <w:szCs w:val="24"/>
        </w:rPr>
      </w:pPr>
      <w:r>
        <w:rPr>
          <w:color w:val="000000"/>
          <w:szCs w:val="24"/>
        </w:rPr>
        <w:t>整改措施：一是继续深化工商管理专业本科培养方案的修订，增加实践学习环节，延长教学实习的时间安排，适应数字化管理趋势，增加《创新创业与企业数字化管理虚拟仿真综合实验》课程；二是继续加强校外教学与实习基地建设，创造机会鼓励同学们深入社会生产第一线，提升学生的实践操作能力。</w:t>
      </w:r>
    </w:p>
    <w:p>
      <w:pPr>
        <w:ind w:firstLine="480"/>
        <w:rPr>
          <w:rFonts w:eastAsia="黑体"/>
        </w:rPr>
      </w:pPr>
      <w:r>
        <w:rPr>
          <w:rFonts w:eastAsia="黑体"/>
        </w:rPr>
        <w:t>4</w:t>
      </w:r>
      <w:r>
        <w:rPr>
          <w:rFonts w:hint="eastAsia"/>
        </w:rPr>
        <w:t xml:space="preserve">. </w:t>
      </w:r>
      <w:r>
        <w:rPr>
          <w:rFonts w:eastAsia="黑体"/>
        </w:rPr>
        <w:t>工商管理专业学生对该专业的认知仍存在误区</w:t>
      </w:r>
    </w:p>
    <w:p>
      <w:pPr>
        <w:ind w:firstLine="480"/>
        <w:rPr>
          <w:color w:val="000000"/>
          <w:szCs w:val="24"/>
        </w:rPr>
      </w:pPr>
      <w:r>
        <w:rPr>
          <w:color w:val="000000"/>
          <w:szCs w:val="24"/>
        </w:rPr>
        <w:t>整改措施：一是加强学生对工商管理专业认知的教育力度，提高学生对工商管理专业的认知、认可度；二是做好学生的毕业就业推进工作，用工商管理专业毕业生高质量的就业信息来增强低年级学生对该专业的信心。</w:t>
      </w:r>
    </w:p>
    <w:p>
      <w:pPr>
        <w:ind w:firstLine="480"/>
        <w:rPr>
          <w:rFonts w:eastAsia="黑体"/>
        </w:rPr>
      </w:pPr>
      <w:r>
        <w:rPr>
          <w:rFonts w:eastAsia="黑体"/>
        </w:rPr>
        <w:t>5</w:t>
      </w:r>
      <w:r>
        <w:rPr>
          <w:rFonts w:hint="eastAsia"/>
        </w:rPr>
        <w:t xml:space="preserve">. </w:t>
      </w:r>
      <w:r>
        <w:rPr>
          <w:rFonts w:eastAsia="黑体"/>
        </w:rPr>
        <w:t>学生培养跟社会需求的衔接存在差距</w:t>
      </w:r>
    </w:p>
    <w:p>
      <w:pPr>
        <w:pStyle w:val="31"/>
        <w:spacing w:line="400" w:lineRule="exact"/>
        <w:ind w:firstLine="480"/>
        <w:rPr>
          <w:color w:val="000000" w:themeColor="text1"/>
          <w14:textFill>
            <w14:solidFill>
              <w14:schemeClr w14:val="tx1"/>
            </w14:solidFill>
          </w14:textFill>
        </w:rPr>
      </w:pPr>
      <w:r>
        <w:rPr>
          <w:color w:val="000000"/>
        </w:rPr>
        <w:t>整改措施：一是利用校外教学实践基地、校友企业走访、企事业单位参访等形式积极对接社会需求，</w:t>
      </w:r>
      <w:r>
        <w:rPr>
          <w:color w:val="000000" w:themeColor="text1"/>
          <w14:textFill>
            <w14:solidFill>
              <w14:schemeClr w14:val="tx1"/>
            </w14:solidFill>
          </w14:textFill>
        </w:rPr>
        <w:t>增加相应课程或教学实践机会，培养学生利用营销科学和数据思维解决复杂商业问题的能力及以数据驱动为支撑进行商业管理与运营的能力</w:t>
      </w:r>
      <w:r>
        <w:rPr>
          <w:color w:val="000000"/>
        </w:rPr>
        <w:t>；二是顺应时代发展和社会需求，积极探索校企合作办学新模式。着眼互联网时代的社会需求，</w:t>
      </w:r>
      <w:r>
        <w:rPr>
          <w:bCs/>
        </w:rPr>
        <w:t>基于开源大数据平台，努力培养学生数据收集、数据处理、数据分析、数据可视化等数据分析核心知识和方法，并通过对不同商业场景中业务问题的分析和处理，训练和培养学生的商业洞察、管理思维、数据思维、逻辑思维、批判性</w:t>
      </w:r>
      <w:r>
        <w:rPr>
          <w:color w:val="000000" w:themeColor="text1"/>
          <w14:textFill>
            <w14:solidFill>
              <w14:schemeClr w14:val="tx1"/>
            </w14:solidFill>
          </w14:textFill>
        </w:rPr>
        <w:t>思维、成长性思维、沟通与表达等核心素质，具备利用管理科学和数据思维解决复杂商业问题的能力，具有良好数字经济管理职业素质，掌握新媒体运营、产品思维、短视频内容、数字广告、大数据管理、智能管理的核心知识，具备以数据驱动为支撑的营销策划与运营能力。</w:t>
      </w:r>
    </w:p>
    <w:p>
      <w:pPr>
        <w:ind w:firstLine="480"/>
        <w:rPr>
          <w:rFonts w:eastAsiaTheme="minorEastAsia"/>
        </w:rPr>
      </w:pPr>
    </w:p>
    <w:p>
      <w:pPr>
        <w:rPr>
          <w:rFonts w:eastAsiaTheme="minorEastAsia"/>
        </w:rPr>
      </w:pPr>
      <w:r>
        <w:rPr>
          <w:rFonts w:eastAsiaTheme="minorEastAsia"/>
        </w:rPr>
        <w:br w:type="page"/>
      </w:r>
    </w:p>
    <w:p>
      <w:pPr>
        <w:pStyle w:val="4"/>
        <w:ind w:firstLine="600"/>
      </w:pPr>
      <w:bookmarkStart w:id="419" w:name="_Toc23604"/>
      <w:bookmarkStart w:id="420" w:name="_Toc107"/>
      <w:r>
        <w:t>专业</w:t>
      </w:r>
      <w:r>
        <w:rPr>
          <w:rFonts w:hint="eastAsia"/>
          <w:lang w:val="en-US"/>
        </w:rPr>
        <w:t>三十八</w:t>
      </w:r>
      <w:r>
        <w:t>：工商管理（中德合作）</w:t>
      </w:r>
      <w:bookmarkEnd w:id="419"/>
      <w:bookmarkEnd w:id="420"/>
    </w:p>
    <w:p>
      <w:pPr>
        <w:pStyle w:val="5"/>
        <w:spacing w:before="93" w:after="93"/>
        <w:ind w:firstLine="560"/>
      </w:pPr>
      <w:r>
        <w:t>一、培养目标与规格</w:t>
      </w:r>
    </w:p>
    <w:p>
      <w:pPr>
        <w:ind w:firstLine="480"/>
      </w:pPr>
      <w:r>
        <w:t>本专业培养践行社会主义核心价值观，具有社会责任感、公共意识和创新精神，适应国家经济建设需要，具有人文精神与科学素养，熟练掌握德语，及现代经济管理理论、管理方法，具有国际视野、本土情怀、创新意识、团队精神和沟通技能，能够在中外各类企事业单位、行政部门等机构从事工商管理工作的专门人才。</w:t>
      </w:r>
    </w:p>
    <w:p>
      <w:pPr>
        <w:ind w:firstLine="480"/>
      </w:pPr>
      <w:r>
        <w:t>学生主要学习管理学、经济学和现代企业管理的基本理论、基本知识和基本技能，受到战略管理、生产与运作管理、人力资源管理、质量管理、营销管理、财务管理和管理信息系统等方面的方法和技能的训练，具有从事企业管理、教学科研、管理咨询等工作的基本能力。学生完成学业经考核合格，颁发中国山东农业大学本科毕业证书、学士学位证书及德国埃森经济与管理应用技术大学（以下简称FOM大学）学士学位证书。</w:t>
      </w:r>
    </w:p>
    <w:p>
      <w:pPr>
        <w:pStyle w:val="5"/>
        <w:spacing w:before="93" w:after="93"/>
        <w:ind w:firstLine="560"/>
      </w:pPr>
      <w:r>
        <w:t>二、培养能力</w:t>
      </w:r>
    </w:p>
    <w:p>
      <w:pPr>
        <w:ind w:firstLine="480"/>
      </w:pPr>
      <w:r>
        <w:t>本专业于2003年开始招生，招生对象仅限山东省内。招生纳入国家统招计划，学制四年。经过第一学年1000余学时的德语强化学习后，学生应达到德语B1（欧盟统一语言考试标准）水平。第二学年起，专业课程由德方选派德籍教师到中国讲授，采用全德文教学资料及德国的教学、考试方法。</w:t>
      </w:r>
    </w:p>
    <w:p>
      <w:pPr>
        <w:ind w:firstLine="480"/>
      </w:pPr>
      <w:r>
        <w:t>本专业4个年级、88名学生在读，其中四年级21人中18人具有赴德学习资格。</w:t>
      </w:r>
    </w:p>
    <w:p>
      <w:pPr>
        <w:ind w:firstLine="480"/>
        <w:rPr>
          <w:szCs w:val="24"/>
        </w:rPr>
      </w:pPr>
      <w:r>
        <w:rPr>
          <w:szCs w:val="24"/>
        </w:rPr>
        <w:t>课程体系由理论教学和实践教学体系构成，主要包括通识教育课（通识必修、通识选修）、专业教育课（学科基础、专业核心）、拓展教育课（专业方向、专业拓展、学科交叉）和实践教学环节（基础实践、专业实践、综合实践）四部分。</w:t>
      </w:r>
    </w:p>
    <w:p>
      <w:pPr>
        <w:ind w:firstLine="480"/>
      </w:pPr>
      <w:r>
        <w:t>主干学科涉及管理学、经济学、德语等。</w:t>
      </w:r>
    </w:p>
    <w:p>
      <w:pPr>
        <w:ind w:firstLine="480"/>
      </w:pPr>
      <w:r>
        <w:t>创新创业教育主要在通识教育课中设置创新创业类课程；在拓展教育课中根据创新型和专业型人才分类培养的需要，设计专业方向课程，同时设置学科前沿专题讲座和职业发展与就业创业指导课；在实践教学环节中要求学生完成一定数量的创新创业实践任务。</w:t>
      </w:r>
    </w:p>
    <w:p>
      <w:pPr>
        <w:pStyle w:val="5"/>
        <w:spacing w:before="93" w:after="93"/>
        <w:ind w:firstLine="560"/>
        <w:rPr>
          <w:lang w:val="zh-CN"/>
        </w:rPr>
      </w:pPr>
      <w:r>
        <w:t>三、培养条件</w:t>
      </w:r>
    </w:p>
    <w:p>
      <w:pPr>
        <w:ind w:firstLine="480"/>
      </w:pPr>
      <w:r>
        <w:t>学校按照中德双方合作办学协议及国家财务规章制度和学校有关财务管理办法进行管理，在享有充分办学自主权的基础上，完全共享学校各种办学资源，学校为国际交流学院建设发展提供各种条件支撑。</w:t>
      </w:r>
    </w:p>
    <w:p>
      <w:pPr>
        <w:ind w:firstLine="480"/>
      </w:pPr>
      <w:r>
        <w:t>本学年中德双方共为本专业投入经费487.1万元。</w:t>
      </w:r>
    </w:p>
    <w:p>
      <w:pPr>
        <w:ind w:firstLine="480"/>
      </w:pPr>
      <w:r>
        <w:t>学院现有专用多媒体教室21口，座位数达1350多个；多媒体语音室1口，30座。一年级德语使用《Studio 21》第二版教材，以《走遍德国》和《柏林广场》为辅助教材；坚持小班化上课，每班固定一名教师，每周不少于30学时，强化学生德语教学；德籍教师辅助口语教学；学生德语B1通过率保持在95%以上。各级别德语试题均由德方按照欧盟语言标准等级提供。前三年学业成绩合格的学生，第四学年可自愿赴FOM大学继续学习。</w:t>
      </w:r>
    </w:p>
    <w:p>
      <w:pPr>
        <w:ind w:firstLine="480"/>
        <w:rPr>
          <w:szCs w:val="24"/>
        </w:rPr>
      </w:pPr>
      <w:r>
        <w:t>建立健全教师选聘制度，完善教师考核评价体系，狠抓师德师风建设。在引进高质量师资的同时，组织教师参加相关培训，提高素质和水平。</w:t>
      </w:r>
      <w:r>
        <w:rPr>
          <w:szCs w:val="24"/>
        </w:rPr>
        <w:t>15名大一德语教师，具有硕士学位的占93%，有海外留学经历的占67%。</w:t>
      </w:r>
    </w:p>
    <w:p>
      <w:pPr>
        <w:ind w:firstLine="480"/>
      </w:pPr>
      <w:r>
        <w:rPr>
          <w:szCs w:val="24"/>
        </w:rPr>
        <w:t>德方选派的德籍教师，均</w:t>
      </w:r>
      <w:r>
        <w:t>具有德国教育部认可的教师资质、丰富的教学经验和工作经历、较高的学术水平。本学年，工商管理专业选聘德籍教师23名，其中拥有博士学位的教授16名、占70%。</w:t>
      </w:r>
    </w:p>
    <w:p>
      <w:pPr>
        <w:pStyle w:val="5"/>
        <w:spacing w:before="93" w:after="93"/>
        <w:ind w:firstLine="560"/>
      </w:pPr>
      <w:r>
        <w:t>四、培养机制与特色</w:t>
      </w:r>
    </w:p>
    <w:p>
      <w:pPr>
        <w:ind w:firstLine="480"/>
        <w:rPr>
          <w:szCs w:val="24"/>
        </w:rPr>
      </w:pPr>
      <w:r>
        <w:rPr>
          <w:szCs w:val="24"/>
        </w:rPr>
        <w:t>本专业完全引进德国的学位教育模式，在一年级打好语言基础的前提下，学生在二年级开始的专业课，严格按照德国的教学机制进行，采用</w:t>
      </w:r>
      <w:r>
        <w:rPr>
          <w:rFonts w:hint="eastAsia"/>
          <w:szCs w:val="24"/>
        </w:rPr>
        <w:t>“</w:t>
      </w:r>
      <w:r>
        <w:rPr>
          <w:szCs w:val="24"/>
        </w:rPr>
        <w:t>教授+助教</w:t>
      </w:r>
      <w:r>
        <w:rPr>
          <w:rFonts w:hint="eastAsia"/>
          <w:szCs w:val="24"/>
        </w:rPr>
        <w:t>”</w:t>
      </w:r>
      <w:r>
        <w:rPr>
          <w:szCs w:val="24"/>
        </w:rPr>
        <w:t>的方式授课，全部由德方聘请的德籍教师任教。学院主动改变固有的教学思路，引入现代化、信息化的教学手段，积极进行教学方法与手段的革新和改良，始终以学生为中心，不断增强学生利用所学知识分析和解决实际问题的能力。</w:t>
      </w:r>
    </w:p>
    <w:p>
      <w:pPr>
        <w:ind w:firstLine="480"/>
      </w:pPr>
      <w:r>
        <w:rPr>
          <w:szCs w:val="24"/>
        </w:rPr>
        <w:t>教师注重教学过程，积极引导学生依据认知水平、兴趣类型、个性特点等，按照每组5人左右的标准组建若干个学习小组，进行小组合作学习。在学习过程中，小组成员相互合作，共同来完成学习任务，实现学习的预期目标。在小组任务设置上，一是明确任务，突出任务目标的共性，让小组内的每一个成员都能知道自己要干什么，通过大家的努力共同完成教师布置的任务；二是辩论研讨，小组内成员相互讲解、相互探讨，有助于对知识更好的理解，提高学习的积极性。例如：在进行会计专业课教学的时候，先检查预习，后讨论专业知识。小组讨论交流时，教师现场巡察、及时指导。由于对专业知识的理解程度和看法不同，每位学生在争鸣和解说中发挥奇特新颖的想象力，既提高了德语口语表达能力，又加深了对专业知识的理解。</w:t>
      </w:r>
    </w:p>
    <w:p>
      <w:pPr>
        <w:pStyle w:val="5"/>
        <w:spacing w:before="93" w:after="93"/>
        <w:ind w:firstLine="560"/>
      </w:pPr>
      <w:r>
        <w:t>五、培养质量</w:t>
      </w:r>
    </w:p>
    <w:p>
      <w:pPr>
        <w:ind w:firstLine="480"/>
      </w:pPr>
      <w:r>
        <w:t>本专业2022届有21名毕业生，占本届毕业生229人的9.2%。</w:t>
      </w:r>
    </w:p>
    <w:p>
      <w:pPr>
        <w:ind w:firstLine="480"/>
      </w:pPr>
      <w:r>
        <w:t>本专业本科毕业生一次就业率超过85.7%，有6名（28.6%）学生在国外读研，1名（4.8%）学生在国内读研</w:t>
      </w:r>
      <w:r>
        <w:rPr>
          <w:rFonts w:hint="eastAsia"/>
        </w:rPr>
        <w:t>，</w:t>
      </w:r>
      <w:r>
        <w:t>12名（57.1%）学生顺利就业（见图3）。学生就业主要面向大中型企业，就业专业对口率达90%以上。</w:t>
      </w:r>
    </w:p>
    <w:p>
      <w:pPr>
        <w:spacing w:line="240" w:lineRule="auto"/>
        <w:jc w:val="center"/>
        <w:rPr>
          <w:b/>
          <w:bCs/>
          <w:sz w:val="21"/>
          <w:szCs w:val="21"/>
        </w:rPr>
      </w:pPr>
      <w:r>
        <w:rPr>
          <w:b/>
          <w:bCs/>
          <w:sz w:val="21"/>
          <w:szCs w:val="21"/>
        </w:rPr>
        <w:drawing>
          <wp:inline distT="0" distB="0" distL="0" distR="0">
            <wp:extent cx="5274310" cy="3076575"/>
            <wp:effectExtent l="5080" t="4445" r="16510" b="5080"/>
            <wp:docPr id="74" name="图表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pPr>
        <w:jc w:val="center"/>
        <w:rPr>
          <w:b/>
          <w:bCs/>
          <w:sz w:val="21"/>
          <w:szCs w:val="21"/>
        </w:rPr>
      </w:pPr>
      <w:r>
        <w:rPr>
          <w:b/>
          <w:bCs/>
          <w:sz w:val="21"/>
          <w:szCs w:val="21"/>
        </w:rPr>
        <w:t>图3  国际交流学院2022届工商管理专业毕业生情况</w:t>
      </w:r>
    </w:p>
    <w:p>
      <w:pPr>
        <w:pStyle w:val="6"/>
        <w:ind w:firstLine="482"/>
        <w:rPr>
          <w:rFonts w:eastAsia="宋体"/>
          <w:b/>
          <w:bCs/>
          <w:kern w:val="2"/>
          <w:szCs w:val="22"/>
        </w:rPr>
      </w:pPr>
    </w:p>
    <w:p>
      <w:pPr>
        <w:ind w:firstLine="480"/>
      </w:pPr>
      <w:r>
        <w:t>学生在国外申研的学校主要有德国埃森经济管理应用技术大学、德国科隆大学、德国乌尔姆大学等国际名校，在国内读研的学校主要有南京师范大学等，就业主要面向行政单位、事业单位、金融机构（主要是各个银行）、大中型企业等。毕业生到了相应岗位之后，发展状况良好，得到了就业单位的认可和社会的高度评价。</w:t>
      </w:r>
    </w:p>
    <w:p>
      <w:pPr>
        <w:pStyle w:val="5"/>
        <w:spacing w:before="93" w:after="93"/>
        <w:ind w:firstLine="560"/>
      </w:pPr>
      <w:r>
        <w:t>六、毕业生就业创业</w:t>
      </w:r>
    </w:p>
    <w:p>
      <w:pPr>
        <w:ind w:firstLine="480"/>
      </w:pPr>
      <w:r>
        <w:t>学院在学生培养过程中注重培养学生的创新创业能力，设有创业学理论课程和创业创新实践课程，有针对性地对学生进行创业教育，培养创业意识、锻炼创业技能，鼓励他们创业。同时学院会要求学生在寒暑假积极参加社会调查、社会实践并设置相应学分，鼓励学生参与各种实践活动活动，积极调动学生的积极性撰写专业调研报告和实践报告等。但是由于学生的经验不足，有创业思想的学生越来越多，再加上核心竞争力及资金的缺乏等各方面的原因，真正将创业付诸实施的学生少之又少。因此学生大多选择就业或读研。</w:t>
      </w:r>
    </w:p>
    <w:p>
      <w:pPr>
        <w:ind w:firstLine="480"/>
      </w:pPr>
      <w:r>
        <w:t>毕业生典型案例：</w:t>
      </w:r>
    </w:p>
    <w:p>
      <w:pPr>
        <w:ind w:firstLine="480"/>
      </w:pPr>
      <w:r>
        <w:t>江玉辰，2018级工商管理专业学生，共青团员。连续三年获得优秀学生奖学金，校三好学生，曾获2022年山东农业大学优秀毕业生等奖项，积极参加社会志愿活动，在企业校园招聘中担任校园宣传大使。在校期间考取雅思德福两项语言证书，现已推免至南京师范大学攻读硕士研究生。</w:t>
      </w:r>
    </w:p>
    <w:p>
      <w:pPr>
        <w:pStyle w:val="5"/>
        <w:spacing w:before="93" w:after="93"/>
        <w:ind w:firstLine="560"/>
      </w:pPr>
      <w:r>
        <w:t>七、专业人才社会需求分析及专业发展趋势分析</w:t>
      </w:r>
    </w:p>
    <w:p>
      <w:pPr>
        <w:ind w:firstLine="480"/>
      </w:pPr>
      <w:r>
        <w:t>现代信息技术革命催生了发达国家工商企业管理变革，这种变革使新的工商企业经营管理理念随之产生。现代交通技术手段、通信网络技术设备的迅速发展和应用，世界经济呈现一体化。市场和企业管理的国界变得模糊，企业经营管理需要放在国际环境中来考虑和布局。因此，培养在品牌形象、资本运作、人力资源以及企业运营、市场营销等管理方面知识扎实，又具有国际化思维的人才是工商管理专业人才培养的目标。</w:t>
      </w:r>
    </w:p>
    <w:p>
      <w:pPr>
        <w:pStyle w:val="5"/>
        <w:spacing w:before="93" w:after="93"/>
        <w:ind w:firstLine="560"/>
      </w:pPr>
      <w:r>
        <w:t>八、存在的问题及拟釆取的对策措施</w:t>
      </w:r>
    </w:p>
    <w:p>
      <w:pPr>
        <w:pStyle w:val="6"/>
        <w:ind w:firstLine="480"/>
      </w:pPr>
      <w:r>
        <w:t>1. 存在的问题</w:t>
      </w:r>
    </w:p>
    <w:p>
      <w:pPr>
        <w:ind w:firstLine="480"/>
      </w:pPr>
      <w:r>
        <w:t>专业人数过少。近几年，选择本专业的学生过少，这与大类招生和社会就业环境有关。</w:t>
      </w:r>
    </w:p>
    <w:p>
      <w:pPr>
        <w:pStyle w:val="6"/>
        <w:ind w:firstLine="480"/>
      </w:pPr>
      <w:r>
        <w:t>2. 拟釆取的对策措施</w:t>
      </w:r>
    </w:p>
    <w:p>
      <w:pPr>
        <w:ind w:firstLine="480"/>
      </w:pPr>
      <w:r>
        <w:t>进一步优化专业人才培养方案。根据学院专业特点，从人才需求、岗位分析到课程体系的建立等方面进行调研，对人才培养方案进行细致、全面的评审。通过人才培养方案的顶层设计环节，明确实践教学目标，拓宽就业之路。</w:t>
      </w:r>
    </w:p>
    <w:p>
      <w:r>
        <w:br w:type="page"/>
      </w:r>
    </w:p>
    <w:p>
      <w:pPr>
        <w:pStyle w:val="4"/>
        <w:ind w:firstLine="600"/>
      </w:pPr>
      <w:bookmarkStart w:id="421" w:name="_Toc25947"/>
      <w:r>
        <w:t>专业</w:t>
      </w:r>
      <w:r>
        <w:rPr>
          <w:rFonts w:hint="eastAsia"/>
          <w:lang w:val="en-US"/>
        </w:rPr>
        <w:t>三十九：</w:t>
      </w:r>
      <w:r>
        <w:t>会计学</w:t>
      </w:r>
      <w:bookmarkEnd w:id="421"/>
    </w:p>
    <w:p>
      <w:pPr>
        <w:pStyle w:val="5"/>
        <w:spacing w:before="93" w:after="93"/>
        <w:ind w:firstLine="560"/>
      </w:pPr>
      <w:r>
        <w:t>一、培养目标与规格</w:t>
      </w:r>
    </w:p>
    <w:p>
      <w:pPr>
        <w:pStyle w:val="31"/>
        <w:spacing w:line="400" w:lineRule="exact"/>
        <w:ind w:firstLine="480"/>
      </w:pPr>
      <w:r>
        <w:t>本专业培养具备管理学、经济学、法律和会计学等知识和能力，掌握会计、审计、财务管理理论与技能，实践能力强，综合素质高，能在企业、事业、行政单位从事会计、审计、财务管理实务工作或教学科研工作的应用型、复合型高级工商管理学科会计专门人才。</w:t>
      </w:r>
    </w:p>
    <w:p>
      <w:pPr>
        <w:pStyle w:val="5"/>
        <w:spacing w:before="93" w:after="93"/>
        <w:ind w:firstLine="560"/>
      </w:pPr>
      <w:r>
        <w:t>二、培养能力（专业基本情况、在校生规模、课程设置体系、创新创业教育等）</w:t>
      </w:r>
    </w:p>
    <w:p>
      <w:pPr>
        <w:widowControl/>
        <w:ind w:firstLine="480" w:firstLineChars="200"/>
      </w:pPr>
      <w:r>
        <w:t>山东农业大学会计学本科专业是为适应社会主义市场经济发展需要，顺应我国市场化改革对会计人才急剧需要于1994年申报设立的，并自1994年秋季开始招生，招生对象涵盖文理两科，招生范围涉及山东、北京、陕西、山西、湖南、贵州等十几个省份。</w:t>
      </w:r>
      <w:r>
        <w:rPr>
          <w:rFonts w:hint="eastAsia"/>
        </w:rPr>
        <w:t>“</w:t>
      </w:r>
      <w:r>
        <w:t>十二五</w:t>
      </w:r>
      <w:r>
        <w:rPr>
          <w:rFonts w:hint="eastAsia"/>
        </w:rPr>
        <w:t>”</w:t>
      </w:r>
      <w:r>
        <w:t>期间会计专业毕业生1775人，占全院毕业生5403人的32.85%。经过27年的发展，会计专业已成为山东农业大学经管学院第一大专业。</w:t>
      </w:r>
    </w:p>
    <w:p>
      <w:pPr>
        <w:widowControl/>
        <w:ind w:firstLine="480" w:firstLineChars="200"/>
      </w:pPr>
      <w:r>
        <w:t>截止至2022年10月，会计学在校生人数为704人（2019-2021级），其中：2019级236人，2020级229人, 2021级239人（注： 2022级按工商管理大类招生，确定专业后预计会计专业学生将大量增加）。由于会计专业就业较好，加上学校</w:t>
      </w:r>
      <w:r>
        <w:rPr>
          <w:rFonts w:hint="eastAsia"/>
        </w:rPr>
        <w:t>“</w:t>
      </w:r>
      <w:r>
        <w:t>低限度转专业</w:t>
      </w:r>
      <w:r>
        <w:rPr>
          <w:rFonts w:hint="eastAsia"/>
        </w:rPr>
        <w:t>”</w:t>
      </w:r>
      <w:r>
        <w:t>政策的影响，使会计专业的学生数量保持了较高水平，但随着</w:t>
      </w:r>
      <w:r>
        <w:rPr>
          <w:rFonts w:hint="eastAsia"/>
        </w:rPr>
        <w:t>“</w:t>
      </w:r>
      <w:r>
        <w:t>大智移云</w:t>
      </w:r>
      <w:r>
        <w:rPr>
          <w:rFonts w:hint="eastAsia"/>
        </w:rPr>
        <w:t>”</w:t>
      </w:r>
      <w:r>
        <w:t>对会计的影响，核算型会计需求下降，会计在校生人数有逐年回落的趋势。</w:t>
      </w:r>
    </w:p>
    <w:p>
      <w:pPr>
        <w:widowControl/>
        <w:ind w:firstLine="480" w:firstLineChars="200"/>
      </w:pPr>
      <w:r>
        <w:t>主要课程：管理学、微观经济学、宏观经济学、统计学、初级会计学、财务管理学、市场营销、经济法、税法、中级财务会计、高级财务会计、成本会计、管理会计、会计信息系统、审计基础、审计实务、经济管理综合实验、会计学专业综合实验等。</w:t>
      </w:r>
    </w:p>
    <w:p>
      <w:pPr>
        <w:widowControl/>
        <w:ind w:firstLine="480" w:firstLineChars="200"/>
      </w:pPr>
      <w:r>
        <w:t>创新创业教育方面，2015级实行导师负责制。指导教师是学生创新创业实践环节教学第一责任人，负责指导学生按要求独立开展创新创业实践活动。学生自主选择创新创业实践形式（可从10种具体方式中选择），在毕业前完成创新创业实践环节。另外，为鼓励创新创业实践，还建立了学院大学生创新创业中心。</w:t>
      </w:r>
    </w:p>
    <w:p>
      <w:pPr>
        <w:pStyle w:val="5"/>
        <w:spacing w:before="93" w:after="93"/>
        <w:ind w:firstLine="560"/>
      </w:pPr>
      <w:r>
        <w:t>三、培养条件（教学经费投入、教学设备、教师队伍建设、实习基地、现代教学技术应用等）</w:t>
      </w:r>
    </w:p>
    <w:p>
      <w:pPr>
        <w:widowControl/>
        <w:ind w:firstLine="482" w:firstLineChars="200"/>
        <w:rPr>
          <w:b/>
          <w:bCs/>
        </w:rPr>
      </w:pPr>
      <w:r>
        <w:rPr>
          <w:b/>
          <w:bCs/>
        </w:rPr>
        <w:t>教学经费投入</w:t>
      </w:r>
    </w:p>
    <w:p>
      <w:pPr>
        <w:widowControl/>
        <w:ind w:firstLine="480" w:firstLineChars="200"/>
      </w:pPr>
      <w:r>
        <w:t>教学经费投入充足。教学经费是加强专业教学建设，确保教学正常运行，推进教学改革，提高教学质量的保障性基本教学经费。近年来，学校十分重视对本专业教学经费的投入，其中2021—2022学年本专业投入教学经费300多万元。另外，为进一步落实育人为本办学理念，调动教师投身教学和人才培养工作的积极性，学校设立年度教学质量奖，表彰和奖励在教学与人才培养工作中做出突出贡献的一线教师。奖励额度较大，一等奖每人5万元、二等奖3万、三等奖1万。学院也每年资助（人均至少3000元）老师外出开会、学习，增强业务能力。同时，学院还资助会计学生的SRT项目20余项，每项经费500元。</w:t>
      </w:r>
    </w:p>
    <w:p>
      <w:pPr>
        <w:widowControl/>
        <w:ind w:firstLine="482" w:firstLineChars="200"/>
        <w:rPr>
          <w:b/>
          <w:bCs/>
        </w:rPr>
      </w:pPr>
      <w:r>
        <w:rPr>
          <w:b/>
          <w:bCs/>
        </w:rPr>
        <w:t>教学设备</w:t>
      </w:r>
    </w:p>
    <w:p>
      <w:pPr>
        <w:widowControl/>
        <w:ind w:firstLine="480" w:firstLineChars="200"/>
      </w:pPr>
      <w:r>
        <w:t>教学设备设施完备。为了适应会计专业教育教学工作的要求，学校在资金投入上给予了大力支持，从办学经费中拿出大量资金优先为本专业购置专业书籍、资料和报刊及相应的实习实验教学设备。学校现有与本专业相关图书5万余册，专业报刊200种；除学校的图书馆、计算中心等条件外，本专业还自有资料室1个，有专业图书6万余册，期刊杂志180多种。</w:t>
      </w:r>
    </w:p>
    <w:p>
      <w:pPr>
        <w:widowControl/>
        <w:ind w:firstLine="480" w:firstLineChars="200"/>
      </w:pPr>
      <w:r>
        <w:t>经管学院目前建有与本专业相关的具有显著学科及专业特色的教学实验室11个，具体包括智能会计实验室、沙盘实验室、虚拟仿真实验室、金融证券分析实验室、财务管理综合实验室、市场营销及电子商务实验室、工商管理综合实验室等。实验室使用面积1200平方，现有高性能的计算机590余台、教学软件系统60余套，总价值1000余万元，居于全国同类实验室领先水平。实验教学采用网络教学、多媒体教学等先进技术，手工模拟操作、计算机模拟操作、仿真实验、完全现场教学等多种方式相结合，达到了现场教学的效果。此外，实验室全天候向学生开放。良好的实验设备与先进的教学方法构成了着力于强化学生学习能力、创新能力、操作能力并兼顾学生个性发展的实验教学新体系，为会计学专业创造了良好办学条件。</w:t>
      </w:r>
    </w:p>
    <w:p>
      <w:pPr>
        <w:widowControl/>
        <w:ind w:firstLine="482" w:firstLineChars="200"/>
        <w:rPr>
          <w:b/>
          <w:bCs/>
        </w:rPr>
      </w:pPr>
      <w:r>
        <w:rPr>
          <w:b/>
          <w:bCs/>
        </w:rPr>
        <w:t>教师队伍建设</w:t>
      </w:r>
    </w:p>
    <w:p>
      <w:pPr>
        <w:widowControl/>
        <w:ind w:firstLine="480" w:firstLineChars="200"/>
      </w:pPr>
      <w:r>
        <w:t>教师队伍建设合理。该专业师资力量雄厚，有14位专业老师，教授3人，副教授7人，具有博士学位的7人，占50.00%，具有硕士学位的8人，占57.14%。博士生导师1人，硕士生导师7人。本专业教师平均年龄在44岁，年富力强，富有朝气、干劲十足，年人均工作量在600学时以上。会计系先后被授予</w:t>
      </w:r>
      <w:r>
        <w:rPr>
          <w:rFonts w:hint="eastAsia"/>
        </w:rPr>
        <w:t>“</w:t>
      </w:r>
      <w:r>
        <w:t>山东农业大学青年文明号</w:t>
      </w:r>
      <w:r>
        <w:rPr>
          <w:rFonts w:hint="eastAsia"/>
        </w:rPr>
        <w:t>”</w:t>
      </w:r>
      <w:r>
        <w:t>、</w:t>
      </w:r>
      <w:r>
        <w:rPr>
          <w:rFonts w:hint="eastAsia"/>
        </w:rPr>
        <w:t>“</w:t>
      </w:r>
      <w:r>
        <w:t>教学先锋先进集体</w:t>
      </w:r>
      <w:r>
        <w:rPr>
          <w:rFonts w:hint="eastAsia"/>
        </w:rPr>
        <w:t>”</w:t>
      </w:r>
      <w:r>
        <w:t>等荣誉称号,袁建华老师被授予</w:t>
      </w:r>
      <w:r>
        <w:rPr>
          <w:rFonts w:hint="eastAsia"/>
        </w:rPr>
        <w:t>“</w:t>
      </w:r>
      <w:r>
        <w:t>五四岗位能手</w:t>
      </w:r>
      <w:r>
        <w:rPr>
          <w:rFonts w:hint="eastAsia"/>
        </w:rPr>
        <w:t>”</w:t>
      </w:r>
      <w:r>
        <w:t>等荣誉称号，首届</w:t>
      </w:r>
      <w:r>
        <w:rPr>
          <w:rFonts w:hint="eastAsia"/>
        </w:rPr>
        <w:t>“</w:t>
      </w:r>
      <w:r>
        <w:t>教学杰出教师</w:t>
      </w:r>
      <w:r>
        <w:rPr>
          <w:rFonts w:hint="eastAsia"/>
        </w:rPr>
        <w:t>”</w:t>
      </w:r>
      <w:r>
        <w:t>和</w:t>
      </w:r>
      <w:r>
        <w:rPr>
          <w:rFonts w:hint="eastAsia"/>
        </w:rPr>
        <w:t>“</w:t>
      </w:r>
      <w:r>
        <w:t>教学质量奖</w:t>
      </w:r>
      <w:r>
        <w:rPr>
          <w:rFonts w:hint="eastAsia"/>
        </w:rPr>
        <w:t>”</w:t>
      </w:r>
      <w:r>
        <w:t>等,董雪艳老师、吴金波老师、崔红老师等主持会计教研课题并分别获的</w:t>
      </w:r>
      <w:r>
        <w:rPr>
          <w:rFonts w:hint="eastAsia"/>
        </w:rPr>
        <w:t>“</w:t>
      </w:r>
      <w:r>
        <w:t>一等奖</w:t>
      </w:r>
      <w:r>
        <w:rPr>
          <w:rFonts w:hint="eastAsia"/>
        </w:rPr>
        <w:t>”“</w:t>
      </w:r>
      <w:r>
        <w:t>二等奖</w:t>
      </w:r>
      <w:r>
        <w:rPr>
          <w:rFonts w:hint="eastAsia"/>
        </w:rPr>
        <w:t>”</w:t>
      </w:r>
      <w:r>
        <w:t>，2021年下半年袁建华、高露、李永珍、张志、颜彦、崔红等老师分别荣获山东省第十二届大学生科技节创新创业大赛一等奖、二等奖、三等奖优秀指导老师荣誉称号等。</w:t>
      </w:r>
    </w:p>
    <w:p>
      <w:pPr>
        <w:widowControl/>
        <w:ind w:firstLine="482" w:firstLineChars="200"/>
        <w:rPr>
          <w:b/>
          <w:bCs/>
        </w:rPr>
      </w:pPr>
      <w:r>
        <w:rPr>
          <w:b/>
          <w:bCs/>
        </w:rPr>
        <w:t>实习基地</w:t>
      </w:r>
    </w:p>
    <w:p>
      <w:pPr>
        <w:widowControl/>
        <w:ind w:firstLine="480" w:firstLineChars="200"/>
      </w:pPr>
      <w:r>
        <w:t>实习基地运行稳定。在多年的教学实践中，经管学院共建有6个稳定的校外教学实习基地。其中，学校和地方签订协议的教学实习基地有3个，分别为青州市教学实习基地、岱岳区教学实习基地、泰山区教学实习基地，正式挂牌运营使用多年，教学实习效果良好；经管学院与地方协定的教学实习基地有3个，分别为泰山集团、山东泰山会计师事务所，山东省会明信会计师事务所，作为实习基地的会计事务所，均实力雄厚，业务范围广泛，执业水平高，非常适合会计专业、评估专业的学生实习。</w:t>
      </w:r>
    </w:p>
    <w:p>
      <w:pPr>
        <w:widowControl/>
        <w:ind w:firstLine="482" w:firstLineChars="200"/>
        <w:rPr>
          <w:b/>
          <w:bCs/>
        </w:rPr>
      </w:pPr>
      <w:r>
        <w:rPr>
          <w:b/>
          <w:bCs/>
        </w:rPr>
        <w:t>现代教学技术应用</w:t>
      </w:r>
    </w:p>
    <w:p>
      <w:pPr>
        <w:widowControl/>
        <w:ind w:firstLine="480" w:firstLineChars="200"/>
      </w:pPr>
      <w:r>
        <w:t>现代教学技术应用广泛。学校和老师们都很重视现代教学技术的应用，100%采用了多媒体教学，根据会计专业课程重实践重实务的特点，购置了13套教学辅助软件，实验室、利用计算机等现代化手段加强实训，提升学生动手能力和应用水平。</w:t>
      </w:r>
    </w:p>
    <w:p>
      <w:pPr>
        <w:pStyle w:val="5"/>
        <w:spacing w:before="93" w:after="93"/>
        <w:ind w:firstLine="560"/>
      </w:pPr>
      <w:r>
        <w:t>四、培养机制与特色（产学研协同育人机制、合作办学、教学管理等）</w:t>
      </w:r>
    </w:p>
    <w:p>
      <w:pPr>
        <w:widowControl/>
        <w:ind w:firstLine="480" w:firstLineChars="200"/>
      </w:pPr>
      <w:r>
        <w:t>会计专业实务性、操作性强，属应用型学科和专业，在重视会计理论学习基础上，同时重视实践教学环节，设置充分的实验课时及教学实习，并通过校内校外相结合的实践模式增强学生应用能力。</w:t>
      </w:r>
    </w:p>
    <w:p>
      <w:pPr>
        <w:widowControl/>
        <w:ind w:firstLine="480" w:firstLineChars="200"/>
      </w:pPr>
      <w:r>
        <w:t>在教学管理方面，严格规范按照校院两级管理体制和机制。学校层面，由教务处统一进行教学运行的事前、事中和事后的布置、检查、监督；学院层面，院里设置专职教务秘书，在分管院领导领导下具体落实学校的要求和任务；在具体落实层面，专业主任将具体任务进行安排、协调、落实、完成。多年来，形成了井然有序的管理体制和机制。</w:t>
      </w:r>
    </w:p>
    <w:p>
      <w:pPr>
        <w:pStyle w:val="5"/>
        <w:spacing w:before="93" w:after="93"/>
        <w:ind w:firstLine="560"/>
      </w:pPr>
      <w:r>
        <w:t>五、培养质量（毕业生就业率、就业专业对口率、毕业生发展情况、就业单位满意率、社会对专业的评价、学生就读该专业的意愿等）</w:t>
      </w:r>
    </w:p>
    <w:p>
      <w:pPr>
        <w:widowControl/>
        <w:ind w:firstLine="480" w:firstLineChars="200"/>
      </w:pPr>
      <w:r>
        <w:t>该专业本科毕业生一次就业率达75%以上，就业专业对口率达90%以上，主要面向行政单位、事业单位、金融机构（主要为银行）、会计师事务所、大中型企业等。会计专业考研率继2017届第一次突破20%以来，2022届考研率达到23%。毕业生到了相应岗位之后，发展状况良好，得到了就业单位的认可和社会的高度评价。用人单位普遍认为山农大会计专业学生专业基础好，工作上手快，适应性强，工作踏实肯干务实，具有很强的团队合作精神和沟通交流能力。社会对山农大会计专业总体评价高，尤其谈到农大会计专业的学风，更是得到社会的普遍赞誉。</w:t>
      </w:r>
    </w:p>
    <w:p>
      <w:pPr>
        <w:widowControl/>
        <w:ind w:firstLine="480" w:firstLineChars="200"/>
      </w:pPr>
      <w:r>
        <w:t>学生就读会计专业的意愿强。近几年，会计专业招生时的报录比都在100%以上，省内外本科生的一次录取率及报到率都是100%。2018年大类招生以来，选会计专业的学生人数也很多，就读会计专业的意愿依然强劲，但随着科技发展对会计专业的影响日趋明显，学生就读会计专业的意愿趋于理性！</w:t>
      </w:r>
    </w:p>
    <w:p>
      <w:pPr>
        <w:pStyle w:val="5"/>
        <w:spacing w:before="93" w:after="93"/>
        <w:ind w:firstLine="560"/>
      </w:pPr>
      <w:r>
        <w:t>六、毕业生就业创业（创业情况、采取的措施、典型案例等）</w:t>
      </w:r>
    </w:p>
    <w:p>
      <w:pPr>
        <w:widowControl/>
        <w:ind w:firstLine="480" w:firstLineChars="200"/>
      </w:pPr>
      <w:r>
        <w:t>学校在学生培养过程中注重培养学生的创新创业能力，学院为同学们配备了校内指导教师和校外指导教师。从大学三年级开始，建立学生导师制，专门指导学生的创新创业实践。另外，要求学生在大学一、二年级积极参加社会调查、社会实践并设置相应学分，在大学三、四年级通过参加社会专业技术考试、专业竞赛、创新创业能力专项大赛、学校的学术调研活动和撰写学术论文和专业调研报告等多种形式开展创新创业实践。</w:t>
      </w:r>
    </w:p>
    <w:p>
      <w:pPr>
        <w:widowControl/>
        <w:ind w:firstLine="480" w:firstLineChars="200"/>
      </w:pPr>
      <w:r>
        <w:t>2022届本科毕业生在毕业时85%以上的同学都考取了会计初级职称、银行从业资格证或证券从业资格证等证书，这些证书的取得对于同学们找到合适的工作岗位发挥了重要作用。</w:t>
      </w:r>
    </w:p>
    <w:p>
      <w:pPr>
        <w:widowControl/>
        <w:ind w:firstLine="480" w:firstLineChars="200"/>
      </w:pPr>
      <w:r>
        <w:t>会计专业特色决定了毕业生创业的少，就业的多，相对就业的质量较好。自建专业以来，很少有毕业生自主创业的情况。即使有创业的，目前企业规模、影响也都不大。以后在教学、培养各环节应进一步增加学生创业意识的树立和创业能力的锻炼。</w:t>
      </w:r>
    </w:p>
    <w:p>
      <w:pPr>
        <w:pStyle w:val="5"/>
        <w:spacing w:before="93" w:after="93"/>
        <w:ind w:firstLine="560"/>
      </w:pPr>
      <w:r>
        <w:t>七、专业人才社会需求分析及专业发展趋势分析</w:t>
      </w:r>
    </w:p>
    <w:p>
      <w:pPr>
        <w:pStyle w:val="6"/>
        <w:ind w:firstLine="480"/>
      </w:pPr>
      <w:r>
        <w:t>1. 专业人才社会需求分析</w:t>
      </w:r>
    </w:p>
    <w:p>
      <w:pPr>
        <w:widowControl/>
        <w:ind w:firstLine="480" w:firstLineChars="200"/>
      </w:pPr>
      <w:r>
        <w:t>专业人才社会需求与社会环境有着密不可分的关系。一方面，随着科学技术的日新月异，</w:t>
      </w:r>
      <w:r>
        <w:rPr>
          <w:rFonts w:hint="eastAsia"/>
        </w:rPr>
        <w:t>“</w:t>
      </w:r>
      <w:r>
        <w:t>大智移云物区</w:t>
      </w:r>
      <w:r>
        <w:rPr>
          <w:rFonts w:hint="eastAsia"/>
        </w:rPr>
        <w:t>”</w:t>
      </w:r>
      <w:r>
        <w:t>时代已经到来，现代的会计的工作发生了巨大的变化，主要依靠计算机技术和电子技术为主，人工智能会计得到广泛运用应用，核算型会计大量减少；另一方面，社会经济不断发展会导致会计专业人员需要处理大量的会计信息，信息量和信息范围在不断加大，需要精通数据分析（大数据分析），参与管理决策，即管理型会计人才、高端会计人才严重缺乏；会计专业人才需求由原来的</w:t>
      </w:r>
      <w:r>
        <w:rPr>
          <w:rFonts w:hint="eastAsia"/>
        </w:rPr>
        <w:t>“</w:t>
      </w:r>
      <w:r>
        <w:t>金字塔</w:t>
      </w:r>
      <w:r>
        <w:rPr>
          <w:rFonts w:hint="eastAsia"/>
        </w:rPr>
        <w:t>”</w:t>
      </w:r>
      <w:r>
        <w:t>型变为</w:t>
      </w:r>
      <w:r>
        <w:rPr>
          <w:rFonts w:hint="eastAsia"/>
        </w:rPr>
        <w:t>“</w:t>
      </w:r>
      <w:r>
        <w:t>纺锤形</w:t>
      </w:r>
      <w:r>
        <w:rPr>
          <w:rFonts w:hint="eastAsia"/>
        </w:rPr>
        <w:t>”</w:t>
      </w:r>
      <w:r>
        <w:t>即两端人才需求少中间人才需求多。</w:t>
      </w:r>
    </w:p>
    <w:p>
      <w:pPr>
        <w:pStyle w:val="6"/>
        <w:ind w:firstLine="480"/>
      </w:pPr>
      <w:r>
        <w:t>2. 专业发展趋势分析</w:t>
      </w:r>
    </w:p>
    <w:p>
      <w:pPr>
        <w:widowControl/>
        <w:ind w:firstLine="480" w:firstLineChars="200"/>
      </w:pPr>
      <w:r>
        <w:t>基于会计人才社会需求变化，会计专业发展趋势一定是：</w:t>
      </w:r>
    </w:p>
    <w:p>
      <w:pPr>
        <w:widowControl/>
        <w:ind w:firstLine="480" w:firstLineChars="200"/>
      </w:pPr>
      <w:r>
        <w:t>第一，树立</w:t>
      </w:r>
      <w:r>
        <w:rPr>
          <w:rFonts w:hint="eastAsia"/>
        </w:rPr>
        <w:t>“</w:t>
      </w:r>
      <w:r>
        <w:t>大会计</w:t>
      </w:r>
      <w:r>
        <w:rPr>
          <w:rFonts w:hint="eastAsia"/>
        </w:rPr>
        <w:t>”</w:t>
      </w:r>
      <w:r>
        <w:t>意识，由重</w:t>
      </w:r>
      <w:r>
        <w:rPr>
          <w:rFonts w:hint="eastAsia"/>
        </w:rPr>
        <w:t>“</w:t>
      </w:r>
      <w:r>
        <w:t>核算型</w:t>
      </w:r>
      <w:r>
        <w:rPr>
          <w:rFonts w:hint="eastAsia"/>
        </w:rPr>
        <w:t>”</w:t>
      </w:r>
      <w:r>
        <w:t>会计人才培养转为重</w:t>
      </w:r>
      <w:r>
        <w:rPr>
          <w:rFonts w:hint="eastAsia"/>
        </w:rPr>
        <w:t>“</w:t>
      </w:r>
      <w:r>
        <w:t>管理型</w:t>
      </w:r>
      <w:r>
        <w:rPr>
          <w:rFonts w:hint="eastAsia"/>
        </w:rPr>
        <w:t>”</w:t>
      </w:r>
      <w:r>
        <w:t>会计型人才培养。一定要</w:t>
      </w:r>
      <w:r>
        <w:rPr>
          <w:rFonts w:hint="eastAsia"/>
        </w:rPr>
        <w:t>“</w:t>
      </w:r>
      <w:r>
        <w:t>厚基础、宽口径</w:t>
      </w:r>
      <w:r>
        <w:rPr>
          <w:rFonts w:hint="eastAsia"/>
        </w:rPr>
        <w:t>”</w:t>
      </w:r>
      <w:r>
        <w:t>培养，从经济学、管理学的视角思考分析，使学生深刻又具体地感受到会计核算背后实实在在的就是</w:t>
      </w:r>
      <w:r>
        <w:rPr>
          <w:rFonts w:hint="eastAsia"/>
        </w:rPr>
        <w:t>“</w:t>
      </w:r>
      <w:r>
        <w:t>管理</w:t>
      </w:r>
      <w:r>
        <w:rPr>
          <w:rFonts w:hint="eastAsia"/>
        </w:rPr>
        <w:t>”</w:t>
      </w:r>
      <w:r>
        <w:t>，会计是一项重要的管理活动，实现价值管理、价值创造。</w:t>
      </w:r>
    </w:p>
    <w:p>
      <w:pPr>
        <w:widowControl/>
        <w:ind w:firstLine="480" w:firstLineChars="200"/>
      </w:pPr>
      <w:r>
        <w:t>第二，重视计算机技术和数据挖掘与分析能力的培养。随着</w:t>
      </w:r>
      <w:r>
        <w:rPr>
          <w:rFonts w:hint="eastAsia"/>
        </w:rPr>
        <w:t>“</w:t>
      </w:r>
      <w:r>
        <w:t>大智移云物区</w:t>
      </w:r>
      <w:r>
        <w:rPr>
          <w:rFonts w:hint="eastAsia"/>
        </w:rPr>
        <w:t>”</w:t>
      </w:r>
      <w:r>
        <w:t>技术的发展，随着</w:t>
      </w:r>
      <w:r>
        <w:rPr>
          <w:rFonts w:hint="eastAsia"/>
        </w:rPr>
        <w:t>“</w:t>
      </w:r>
      <w:r>
        <w:t>数字经济</w:t>
      </w:r>
      <w:r>
        <w:rPr>
          <w:rFonts w:hint="eastAsia"/>
        </w:rPr>
        <w:t>”</w:t>
      </w:r>
      <w:r>
        <w:t>到来，会计人才要善于利用计算机技术进行数据挖掘与分析，得到准确地结论，提出有价值的建议，参与决策。</w:t>
      </w:r>
    </w:p>
    <w:p>
      <w:pPr>
        <w:widowControl/>
        <w:ind w:firstLine="480" w:firstLineChars="200"/>
      </w:pPr>
      <w:r>
        <w:t>第三，重视立德树人，加强课程思政建设。</w:t>
      </w:r>
    </w:p>
    <w:p>
      <w:pPr>
        <w:widowControl/>
        <w:ind w:firstLine="480" w:firstLineChars="200"/>
      </w:pPr>
      <w:r>
        <w:t>总之，信息处理水平高、效率高、专业能力和综合素质强的会计人员才能胜任经济发展和企业发展的需要。而高水平的懂管理的会计人才供不应求是现今社会存在的问题之一。因此，会计专业的发展趋势，就是以培养</w:t>
      </w:r>
      <w:r>
        <w:rPr>
          <w:rFonts w:hint="eastAsia"/>
        </w:rPr>
        <w:t>“</w:t>
      </w:r>
      <w:r>
        <w:t>管理型</w:t>
      </w:r>
      <w:r>
        <w:rPr>
          <w:rFonts w:hint="eastAsia"/>
        </w:rPr>
        <w:t>”</w:t>
      </w:r>
      <w:r>
        <w:t>高端会计为主，不断加强高级会计人才队伍的建设。</w:t>
      </w:r>
    </w:p>
    <w:p>
      <w:pPr>
        <w:pStyle w:val="5"/>
        <w:spacing w:before="93" w:after="93"/>
        <w:ind w:firstLine="560"/>
      </w:pPr>
      <w:r>
        <w:t>八、存在的问题及拟采取的对策措施</w:t>
      </w:r>
    </w:p>
    <w:p>
      <w:pPr>
        <w:pStyle w:val="6"/>
        <w:ind w:firstLine="480"/>
      </w:pPr>
      <w:r>
        <w:t>1. 存在的主要问题</w:t>
      </w:r>
    </w:p>
    <w:p>
      <w:pPr>
        <w:widowControl/>
        <w:ind w:firstLine="480" w:firstLineChars="200"/>
      </w:pPr>
      <w:r>
        <w:t>第一，会计专业学生培养规模偏大</w:t>
      </w:r>
    </w:p>
    <w:p>
      <w:pPr>
        <w:widowControl/>
        <w:ind w:firstLine="480" w:firstLineChars="200"/>
      </w:pPr>
      <w:r>
        <w:t>会计专业学生人数多，每级都有240人左右，而会计系教师只有14位，师资紧张，导致大班上课现象普遍，教学效果受到一定影响。</w:t>
      </w:r>
    </w:p>
    <w:p>
      <w:pPr>
        <w:widowControl/>
        <w:ind w:firstLine="480" w:firstLineChars="200"/>
      </w:pPr>
      <w:r>
        <w:t>第二，会计教学内容特点：规则性强、方法性强、实务性强、知识点繁多细碎且抽象，语言又枯燥乏味。教学很难引起学生兴趣，学生学的</w:t>
      </w:r>
      <w:r>
        <w:rPr>
          <w:rFonts w:hint="eastAsia"/>
        </w:rPr>
        <w:t>“</w:t>
      </w:r>
      <w:r>
        <w:t>累</w:t>
      </w:r>
      <w:r>
        <w:rPr>
          <w:rFonts w:hint="eastAsia"/>
        </w:rPr>
        <w:t>”</w:t>
      </w:r>
      <w:r>
        <w:t xml:space="preserve">。 </w:t>
      </w:r>
    </w:p>
    <w:p>
      <w:pPr>
        <w:widowControl/>
        <w:ind w:firstLine="480" w:firstLineChars="200"/>
      </w:pPr>
      <w:r>
        <w:t xml:space="preserve">第三，对实践课程重视程度不够 </w:t>
      </w:r>
    </w:p>
    <w:p>
      <w:pPr>
        <w:widowControl/>
        <w:ind w:firstLine="480" w:firstLineChars="200"/>
      </w:pPr>
      <w:r>
        <w:t>会计专业是对学生的实际操作能力要求很强的专业，重理论、轻实践，这是现在会计专业教学中普遍存在的问题。我们已经在培养方案和教学大纲安排上已经特意重视实践教学环节了，但仍存在较大问题：（1）专业教师实践经验缺乏。大多数教师都是从学校毕业就进高校教书，基本没有实践经验；再加上教学任务较重，无法积极参加技能培训或进入企业实践。教师实践技能的缺乏必然造成学生实践技能的不足。（2）教学软件使用效率低。近几年，学校加大了教学经费力度，教学软件随之更新较快，但是，由于缺乏精通软件使用人员，造成软件教学软件更新快，但是使用率偏低。（3）学校建设实习基地不足，专业实习机会不多。由于学生数量偏多，学校、学院挂牌建设的实习基地不能满足需求。大多数学生实习都是依靠专业课老师私人关系和学生自己联系实习单位。</w:t>
      </w:r>
    </w:p>
    <w:p>
      <w:pPr>
        <w:widowControl/>
        <w:ind w:firstLine="480" w:firstLineChars="200"/>
      </w:pPr>
      <w:r>
        <w:t>第四，会计专业学生的创新创业能力普遍较弱</w:t>
      </w:r>
    </w:p>
    <w:p>
      <w:pPr>
        <w:widowControl/>
        <w:ind w:firstLine="480" w:firstLineChars="200"/>
      </w:pPr>
      <w:r>
        <w:t>这个特性是由会计专业的保守特性决定的。学生在长期的数据精算与统计过程中养成了谨小慎微的个性，在创新性、踊跃性、交往能力等创业潜质上有明显弱势。在现在大学毕业生就业难的前提下，在</w:t>
      </w:r>
      <w:r>
        <w:rPr>
          <w:rFonts w:hint="eastAsia"/>
        </w:rPr>
        <w:t>“</w:t>
      </w:r>
      <w:r>
        <w:t>全民创新、大众创业</w:t>
      </w:r>
      <w:r>
        <w:rPr>
          <w:rFonts w:hint="eastAsia"/>
        </w:rPr>
        <w:t>”</w:t>
      </w:r>
      <w:r>
        <w:t>的大环境中这也是会计专业教学中一个主要的问题</w:t>
      </w:r>
    </w:p>
    <w:p>
      <w:pPr>
        <w:widowControl/>
        <w:ind w:firstLine="480" w:firstLineChars="200"/>
      </w:pPr>
      <w:r>
        <w:t>第五，计算机技术和数据挖掘分析能力培养不够</w:t>
      </w:r>
    </w:p>
    <w:p>
      <w:pPr>
        <w:widowControl/>
        <w:ind w:firstLine="480" w:firstLineChars="200"/>
      </w:pPr>
      <w:r>
        <w:t>一般的计算机技术培养较系统完整，但新技术尤其是与财经和会计更相关的计算机技术还很缺乏；一般的数据分析还可以，比如开设了统计学等，但新兴的数据挖掘与分析缺乏，尤其是缺会计大数据分析能力培养。关键原因是缺乏师资，即懂会计又懂计算机的复合型教师严重短缺。懂会计是老师计算机不好，计算机好的老师不懂会计，不利于高水平会计专业人才的培养。</w:t>
      </w:r>
    </w:p>
    <w:p>
      <w:pPr>
        <w:widowControl/>
        <w:ind w:firstLine="480" w:firstLineChars="200"/>
      </w:pPr>
      <w:r>
        <w:t>第六，课程思政元素挖掘发挥不够，思政示范作用不突出。</w:t>
      </w:r>
    </w:p>
    <w:p>
      <w:pPr>
        <w:pStyle w:val="6"/>
        <w:ind w:firstLine="480"/>
      </w:pPr>
      <w:r>
        <w:t>2. 整改措施</w:t>
      </w:r>
    </w:p>
    <w:p>
      <w:pPr>
        <w:ind w:firstLine="480" w:firstLineChars="200"/>
      </w:pPr>
      <w:r>
        <w:t>第一，控制学生培养规模，并积极引进师资尤其是即懂会计又擅长计算机复合型教师，改善教学效果。</w:t>
      </w:r>
    </w:p>
    <w:p>
      <w:pPr>
        <w:ind w:firstLine="480" w:firstLineChars="200"/>
      </w:pPr>
      <w:r>
        <w:t>第二，大力进行内涵建设——教材、资源库、说课、微课、精品课、一流课程建设。加强教材配套建设，以及对应的一流课程、精品课、资源库建设等。进行教学方式探索，包括：微课、慕课、线上线下混合式教学等。这些教学内容、教学方法的改革措施目的是为了增加学生学习兴趣 、 让学生听懂、学会。</w:t>
      </w:r>
    </w:p>
    <w:p>
      <w:pPr>
        <w:ind w:firstLine="480" w:firstLineChars="200"/>
      </w:pPr>
      <w:r>
        <w:t>第三，加强各项实践技能的培养。改变过去理论为主，实践为辅的培养模式，加强人才培养模式中实践教学。</w:t>
      </w:r>
    </w:p>
    <w:p>
      <w:pPr>
        <w:ind w:firstLine="480" w:firstLineChars="200"/>
      </w:pPr>
      <w:r>
        <w:t>（1）提高教师实践技能水平。</w:t>
      </w:r>
    </w:p>
    <w:p>
      <w:pPr>
        <w:ind w:firstLine="480" w:firstLineChars="200"/>
      </w:pPr>
      <w:r>
        <w:t>一是走出去，让老师出外学习或培训。由系骨干教师去本专业排名靠前的高校</w:t>
      </w:r>
      <w:r>
        <w:rPr>
          <w:rFonts w:hint="eastAsia"/>
        </w:rPr>
        <w:t>“</w:t>
      </w:r>
      <w:r>
        <w:t>取经</w:t>
      </w:r>
      <w:r>
        <w:rPr>
          <w:rFonts w:hint="eastAsia"/>
        </w:rPr>
        <w:t>”</w:t>
      </w:r>
      <w:r>
        <w:t>，注意学习吸收其他院校的已有成功经验。二是请进来，请外面的专家教授相关技能，或者让已有成果的毕业生作经验介绍。</w:t>
      </w:r>
    </w:p>
    <w:p>
      <w:pPr>
        <w:ind w:firstLine="480" w:firstLineChars="200"/>
      </w:pPr>
      <w:r>
        <w:t>（2）提高教学软件利用率。利用年轻老师热情、容易接受新事物、好学的特点，培养系里年轻老师掌握操作教学软件的使用水平，以提高软件利用率。</w:t>
      </w:r>
    </w:p>
    <w:p>
      <w:pPr>
        <w:ind w:firstLine="480" w:firstLineChars="200"/>
      </w:pPr>
      <w:r>
        <w:t>（3）加强校内外实习基地的建设。</w:t>
      </w:r>
    </w:p>
    <w:p>
      <w:pPr>
        <w:ind w:firstLine="480" w:firstLineChars="200"/>
      </w:pPr>
      <w:r>
        <w:t>一方面加强与企业的沟通与联系，进行合作办学，增加实习基地，充尽可能安排学生实习。另一面可以创办专业实体，在专业实体内完成项目实训。结合实训，顶岗培训等环节的实践，并通过老师的指导和管理，加强保障学生的实训效果。</w:t>
      </w:r>
    </w:p>
    <w:p>
      <w:pPr>
        <w:ind w:firstLine="480" w:firstLineChars="200"/>
      </w:pPr>
      <w:r>
        <w:t>（4）定期邀请企业界人士对本专业学时开展实务报告类活动。</w:t>
      </w:r>
    </w:p>
    <w:p>
      <w:pPr>
        <w:ind w:firstLine="480" w:firstLineChars="200"/>
      </w:pPr>
      <w:r>
        <w:t>通过报告，让学生与企业界专家直接对话交流，与企业接触，了解企业，了解实践，理论联系实际。从而也能更好地根据社会需要，来改进和完善自己的学习。</w:t>
      </w:r>
    </w:p>
    <w:p>
      <w:pPr>
        <w:ind w:firstLine="480" w:firstLineChars="200"/>
      </w:pPr>
      <w:r>
        <w:t>第四，培养学生的创新创业潜质。</w:t>
      </w:r>
    </w:p>
    <w:p>
      <w:pPr>
        <w:ind w:firstLine="480" w:firstLineChars="200"/>
      </w:pPr>
      <w:r>
        <w:t>结合会计教学内容的专业特殊性激发学生的创业潜质；利用创业创新实践活动提升创业潜质；利用丰富的课外活动提升创业潜质；利用毕业设计培养创业潜质；通过技能比赛挖掘创业潜质。</w:t>
      </w:r>
    </w:p>
    <w:p>
      <w:pPr>
        <w:ind w:firstLine="480" w:firstLineChars="200"/>
      </w:pPr>
      <w:r>
        <w:t>第五，加强课程思政建设，加强会计职业道德教育。</w:t>
      </w:r>
    </w:p>
    <w:p>
      <w:pPr>
        <w:ind w:firstLine="480" w:firstLineChars="200"/>
      </w:pPr>
      <w:r>
        <w:t>积极申报初级会计学课程思政示范课省级和校级项目，以此为基础大力挖掘课程思政元素，比如诚信教育，进而强化学生的职业道德教育，将会计职业道德教育作为教学的重要组成部分，同时加大会计职业道德内容，在2022级新培养方案中，专业必修课新增加1.5学分的商业伦理与会计职业道德，融合思政教育于专业课教学。使学生就业后能坚守客观、公平、公正的职业道德，诚信为本，树立风险防范意识，居安思危，增强抵御外界干扰的能力。</w:t>
      </w:r>
    </w:p>
    <w:p>
      <w:r>
        <w:br w:type="page"/>
      </w:r>
    </w:p>
    <w:p>
      <w:pPr>
        <w:pStyle w:val="4"/>
        <w:ind w:firstLine="600"/>
      </w:pPr>
      <w:bookmarkStart w:id="422" w:name="_Toc4903"/>
      <w:r>
        <w:t>专业</w:t>
      </w:r>
      <w:r>
        <w:rPr>
          <w:rFonts w:hint="eastAsia"/>
          <w:lang w:val="en-US"/>
        </w:rPr>
        <w:t>三十九</w:t>
      </w:r>
      <w:r>
        <w:t>：会计学（中德合作）</w:t>
      </w:r>
      <w:bookmarkEnd w:id="422"/>
    </w:p>
    <w:p>
      <w:pPr>
        <w:pStyle w:val="5"/>
        <w:spacing w:before="93" w:after="93"/>
        <w:ind w:firstLine="560"/>
      </w:pPr>
      <w:r>
        <w:t>一、培养目标与规格</w:t>
      </w:r>
    </w:p>
    <w:p>
      <w:pPr>
        <w:ind w:firstLine="480"/>
        <w:rPr>
          <w:szCs w:val="24"/>
        </w:rPr>
      </w:pPr>
      <w:r>
        <w:rPr>
          <w:szCs w:val="24"/>
        </w:rPr>
        <w:t>本专业培养适应社会主义市场经济建设需要，具备人文素养、科学精神和诚信品质，掌握会计、管理、经济、法律和计算机应用等国际前沿的学科理论知识与方法，熟练掌握德语，了解国际经贸规则及会计准则，具有国际视野、跨文化沟通能力和国际竞争力，能够在中外各类工商企业、金融企业、中介机构、政府机构、事业单位及其他相关部门胜任会计及相关工作的专门人才。</w:t>
      </w:r>
    </w:p>
    <w:p>
      <w:pPr>
        <w:ind w:firstLine="480"/>
      </w:pPr>
      <w:r>
        <w:rPr>
          <w:szCs w:val="24"/>
        </w:rPr>
        <w:t>学生主要学习会计、审计、财务管理等工商管理的基本理论和知识，接受会计、审计、财务管理方法与技巧的基本训练，具有分析与解决会计问题的基本能力。学生完成学业经考核合格，颁发中国山东农业大学本科毕业证书、学士学位证书及德国埃森经济与管理应用技术大学</w:t>
      </w:r>
      <w:bookmarkStart w:id="423" w:name="_Hlk27662948"/>
      <w:r>
        <w:rPr>
          <w:szCs w:val="24"/>
        </w:rPr>
        <w:t>（以下简称FOM大学）</w:t>
      </w:r>
      <w:bookmarkEnd w:id="423"/>
      <w:r>
        <w:rPr>
          <w:szCs w:val="24"/>
        </w:rPr>
        <w:t>学士学位证书。</w:t>
      </w:r>
    </w:p>
    <w:p>
      <w:pPr>
        <w:pStyle w:val="5"/>
        <w:spacing w:before="93" w:after="93"/>
        <w:ind w:firstLine="560"/>
      </w:pPr>
      <w:r>
        <w:t>二、培养能力</w:t>
      </w:r>
    </w:p>
    <w:p>
      <w:pPr>
        <w:ind w:firstLine="480"/>
        <w:rPr>
          <w:szCs w:val="24"/>
        </w:rPr>
      </w:pPr>
      <w:r>
        <w:rPr>
          <w:szCs w:val="24"/>
        </w:rPr>
        <w:t>本专业是为适应社会主义市场经济发展需要，顺应我国市场经济改革对具有国际视野、跨文化沟通能力和国际竞争力会计人才急剧需要而设立的，于2003年开始招生，招生对象仅限山东省内。招生纳入国家统招计划，学制四年。经过第一学年1000余学时的德语强化学习后，学生应达到德语B1（欧盟统一语言考试标准）水平。第二学年起，专业课程由德方选派德籍教师到中国讲授，采用全德文教学资料及德国的教学、考试方法。</w:t>
      </w:r>
    </w:p>
    <w:p>
      <w:pPr>
        <w:ind w:firstLine="480"/>
        <w:rPr>
          <w:szCs w:val="24"/>
        </w:rPr>
      </w:pPr>
      <w:r>
        <w:rPr>
          <w:szCs w:val="24"/>
        </w:rPr>
        <w:t>本专业4个年级、580名学生在读，其中四年级139人中127人具有赴德学习资格。</w:t>
      </w:r>
    </w:p>
    <w:p>
      <w:pPr>
        <w:ind w:firstLine="480"/>
        <w:rPr>
          <w:szCs w:val="24"/>
        </w:rPr>
      </w:pPr>
      <w:r>
        <w:rPr>
          <w:szCs w:val="24"/>
        </w:rPr>
        <w:t>课程体系由理论教学和实践教学体系构成，主要包括通识教育课（通识必修、通识选修）、专业教育课（学科基础、专业核心）、拓展教育课（专业方向、专业拓展、学科交叉）和实践教学环节（基础实践、专业实践、综合实践）四部分。</w:t>
      </w:r>
    </w:p>
    <w:p>
      <w:pPr>
        <w:ind w:firstLine="480"/>
        <w:rPr>
          <w:szCs w:val="24"/>
        </w:rPr>
      </w:pPr>
      <w:r>
        <w:rPr>
          <w:szCs w:val="24"/>
        </w:rPr>
        <w:t>主干学科涉及管理学、经济学、德语等。</w:t>
      </w:r>
    </w:p>
    <w:p>
      <w:pPr>
        <w:ind w:firstLine="480"/>
        <w:rPr>
          <w:szCs w:val="24"/>
        </w:rPr>
      </w:pPr>
      <w:r>
        <w:rPr>
          <w:szCs w:val="24"/>
        </w:rPr>
        <w:t>创新创业教育主要在通识教育课中设置创新创业类课程；在拓展教育课中根据创新型和专业型人才分类培养的需要，设计专业方向课程，同时设置学科前沿专题讲座和职业发展与就业创业指导课；在实践教学环节中要求学生完成一定数量的创新创业实践任务。</w:t>
      </w:r>
    </w:p>
    <w:p>
      <w:pPr>
        <w:pStyle w:val="5"/>
        <w:spacing w:before="93" w:after="93"/>
        <w:ind w:firstLine="560"/>
        <w:rPr>
          <w:lang w:val="zh-CN"/>
        </w:rPr>
      </w:pPr>
      <w:r>
        <w:t>三、培养条件</w:t>
      </w:r>
    </w:p>
    <w:p>
      <w:pPr>
        <w:ind w:firstLine="480"/>
        <w:rPr>
          <w:szCs w:val="24"/>
        </w:rPr>
      </w:pPr>
      <w:r>
        <w:rPr>
          <w:szCs w:val="24"/>
        </w:rPr>
        <w:t>学校按照中德双方合作办学协议及国家财务规章制度和学校有关财务管理办法进行管理，在享有充分办学自主权的基础上，完全共享学校各种办学资源，学校为国际交流学院建设发展提供各种条件支撑。</w:t>
      </w:r>
    </w:p>
    <w:p>
      <w:pPr>
        <w:ind w:firstLine="480"/>
        <w:rPr>
          <w:szCs w:val="24"/>
        </w:rPr>
      </w:pPr>
      <w:r>
        <w:rPr>
          <w:szCs w:val="24"/>
        </w:rPr>
        <w:t>本学年中德双方共为本专业投入经费3210.34万元。</w:t>
      </w:r>
    </w:p>
    <w:p>
      <w:pPr>
        <w:ind w:firstLine="480"/>
        <w:rPr>
          <w:szCs w:val="24"/>
        </w:rPr>
      </w:pPr>
      <w:bookmarkStart w:id="424" w:name="_Hlk57186075"/>
      <w:r>
        <w:rPr>
          <w:szCs w:val="24"/>
        </w:rPr>
        <w:t>学院现有专用多媒体教室21口，座位数达1350多个；多媒体语音室1口，30座。</w:t>
      </w:r>
      <w:bookmarkEnd w:id="424"/>
      <w:bookmarkStart w:id="425" w:name="_Hlk27665065"/>
      <w:r>
        <w:rPr>
          <w:szCs w:val="24"/>
        </w:rPr>
        <w:t>一年级德语使用《Studio 21》第二版教材，以《走遍德国》和《柏林广场》</w:t>
      </w:r>
      <w:bookmarkEnd w:id="425"/>
      <w:r>
        <w:rPr>
          <w:szCs w:val="24"/>
        </w:rPr>
        <w:t>为辅助教材；坚持小班化上课，每班固定一名教师，每周不少于30学时，强化学生德语教学；德籍教师辅助口语教学；学生德语B1通过率保持在95%以上。各级别德语试题均由德方按照欧盟语言标准等级提供。前三年学业成绩合格的学生，第四学年可自愿赴FOM大学继续学习。</w:t>
      </w:r>
    </w:p>
    <w:p>
      <w:pPr>
        <w:ind w:firstLine="480"/>
        <w:rPr>
          <w:szCs w:val="24"/>
        </w:rPr>
      </w:pPr>
      <w:r>
        <w:rPr>
          <w:szCs w:val="24"/>
        </w:rPr>
        <w:t xml:space="preserve">建立健全教师选聘制度，完善教师考核评价体系，狠抓师德师风建设。在引进高质量师资的同时，组织教师参加相关培训，提高素质和水平。15名大一德语教师，具有硕士学位的占93%，有海外留学经历的占67%。 </w:t>
      </w:r>
    </w:p>
    <w:p>
      <w:pPr>
        <w:ind w:firstLine="480"/>
        <w:rPr>
          <w:szCs w:val="24"/>
        </w:rPr>
      </w:pPr>
      <w:r>
        <w:rPr>
          <w:szCs w:val="24"/>
        </w:rPr>
        <w:t>德方选派的德籍教师，均具有德国教育部认可的教师资质、丰富的教学经验和工作经历、较高的学术水平。本学年，会计学专业选聘德籍教师30名，其中拥有博士学位的教授24名、占80%。</w:t>
      </w:r>
    </w:p>
    <w:p>
      <w:pPr>
        <w:pStyle w:val="5"/>
        <w:spacing w:before="93" w:after="93"/>
        <w:ind w:firstLine="560"/>
      </w:pPr>
      <w:r>
        <w:t>四、培养机制与特色</w:t>
      </w:r>
    </w:p>
    <w:p>
      <w:pPr>
        <w:ind w:firstLine="480"/>
        <w:rPr>
          <w:szCs w:val="24"/>
        </w:rPr>
      </w:pPr>
      <w:r>
        <w:rPr>
          <w:szCs w:val="24"/>
        </w:rPr>
        <w:t>本专业完全引进德国的学位教育模式，在一年级打好语言基础的前提下，学生在二年级开始的专业课，严格按照德国的教学机制进行，采用</w:t>
      </w:r>
      <w:r>
        <w:rPr>
          <w:rFonts w:hint="eastAsia"/>
          <w:szCs w:val="24"/>
        </w:rPr>
        <w:t>“</w:t>
      </w:r>
      <w:r>
        <w:rPr>
          <w:szCs w:val="24"/>
        </w:rPr>
        <w:t>教授+助教</w:t>
      </w:r>
      <w:r>
        <w:rPr>
          <w:rFonts w:hint="eastAsia"/>
          <w:szCs w:val="24"/>
        </w:rPr>
        <w:t>”</w:t>
      </w:r>
      <w:r>
        <w:rPr>
          <w:szCs w:val="24"/>
        </w:rPr>
        <w:t>的方式授课，全部由德方聘请的德籍教师任教。学院主动改变固有的教学思路，引入现代化、信息化的教学手段，积极进行教学方法与手段的革新和改良，始终以学生为中心，不断增强学生利用所学知识分析和解决实际问题的能力。</w:t>
      </w:r>
    </w:p>
    <w:p>
      <w:pPr>
        <w:ind w:firstLine="480"/>
        <w:rPr>
          <w:szCs w:val="24"/>
        </w:rPr>
      </w:pPr>
      <w:r>
        <w:rPr>
          <w:szCs w:val="24"/>
        </w:rPr>
        <w:t>教师注重教学过程，积极引导学生依据认知水平、兴趣类型、个性特点等，按照每组5人左右的标准组建若干个学习小组，进行小组合作学习。在学习过程中，小组成员相互合作，共同来完成学习任务，实现学习的预期目标。在小组任务设置上，一是明确任务，突出任务目标的共性，让小组内的每一个成员都能知道自己要干什么，通过大家的努力共同完成教师布置的任务；二是辩论研讨，小组内成员相互讲解、相互探讨，有助于对知识更好的理解，提高学习的积极性。例如：在进行会计专业课教学的时候，先检查预习，后讨论专业知识。小组讨论交流时，教师现场巡察、及时指导。由于对专业知识的理解程度和看法不同，每位学生在争鸣和解说中发挥奇特新颖的想象力，既提高了德语口语表达能力，又加深了对专业知识的理解。</w:t>
      </w:r>
    </w:p>
    <w:p>
      <w:pPr>
        <w:pStyle w:val="5"/>
        <w:spacing w:before="93" w:after="93"/>
        <w:ind w:firstLine="560"/>
      </w:pPr>
      <w:r>
        <w:t>五、培养质量</w:t>
      </w:r>
    </w:p>
    <w:p>
      <w:pPr>
        <w:ind w:firstLine="480"/>
        <w:rPr>
          <w:szCs w:val="24"/>
        </w:rPr>
      </w:pPr>
      <w:r>
        <w:rPr>
          <w:szCs w:val="24"/>
        </w:rPr>
        <w:t>本专业2022届有138名毕业生，占本届毕业生229人的60.26%。本专业毕业生一次就业率达82.6%以上，有51名（37%）学生在国外读研，9名（6.5%）学生在国内读研，54名（39%）学生顺利就业（见图1）。学生就业主要面向金融机构（主要是各个银行）、大中型企业等，就业专业对口率达80%以上。</w:t>
      </w:r>
    </w:p>
    <w:p>
      <w:pPr>
        <w:spacing w:line="240" w:lineRule="auto"/>
        <w:jc w:val="center"/>
        <w:rPr>
          <w:b/>
          <w:bCs/>
          <w:sz w:val="21"/>
          <w:szCs w:val="21"/>
        </w:rPr>
      </w:pPr>
      <w:r>
        <w:drawing>
          <wp:inline distT="0" distB="0" distL="0" distR="0">
            <wp:extent cx="4740910" cy="2676525"/>
            <wp:effectExtent l="4445" t="4445" r="17145" b="5080"/>
            <wp:docPr id="76" name="图表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pPr>
        <w:spacing w:after="156" w:afterLines="50"/>
        <w:jc w:val="center"/>
        <w:rPr>
          <w:b/>
          <w:bCs/>
          <w:sz w:val="21"/>
          <w:szCs w:val="21"/>
        </w:rPr>
      </w:pPr>
      <w:r>
        <w:rPr>
          <w:b/>
          <w:bCs/>
          <w:sz w:val="21"/>
          <w:szCs w:val="21"/>
        </w:rPr>
        <w:t>图1  国际交流学院2022届会计学专业毕业生情况</w:t>
      </w:r>
    </w:p>
    <w:p>
      <w:pPr>
        <w:ind w:firstLine="480" w:firstLineChars="200"/>
        <w:rPr>
          <w:szCs w:val="24"/>
        </w:rPr>
      </w:pPr>
      <w:r>
        <w:rPr>
          <w:szCs w:val="24"/>
        </w:rPr>
        <w:t>学生在国外申研的学校主要有德国埃森经济管理应用技术大学、德国乌尔姆大学、德国拜罗伊特大学、德国弗莱堡大学、德国科隆大学、澳大利亚悉尼大学、英国南安普顿大学等国际名校，在国内读研的学校主要有东华大学、山东财经大学、中国地质大学等，就业主要面向行政单位、事业单位、金融机构（主要是各个银行）、大中型企业等。毕业生到了相应岗位之后，发展状况良好，得到了就业单位的认可和社会的高度评价。</w:t>
      </w:r>
    </w:p>
    <w:p>
      <w:pPr>
        <w:pStyle w:val="5"/>
        <w:spacing w:before="93" w:after="93"/>
        <w:ind w:firstLine="560"/>
      </w:pPr>
      <w:r>
        <w:t>六、毕业生就业创业</w:t>
      </w:r>
    </w:p>
    <w:p>
      <w:pPr>
        <w:ind w:firstLine="480" w:firstLineChars="200"/>
        <w:rPr>
          <w:szCs w:val="24"/>
        </w:rPr>
      </w:pPr>
      <w:r>
        <w:rPr>
          <w:szCs w:val="24"/>
        </w:rPr>
        <w:t>学院在学生培养过程中注重培养学生的创新创业能力，要求学生在寒暑假积极参加社会调查、社会实践并设置相应学分，鼓励学生参与各种实践活动活动，积极调动学生的积极性撰写专业调研报告和实践报告等。但是由于学生的经验不足，有创业思想的学生越来越多，再加上核心竞争力及资金的缺乏等各方面的原因，真正将创业付诸实施的学生少之又少。因此学生大多选择就业或读研。德国学校与很多中小企业有合作关系，能够为学生大四实习提供广阔的平台。</w:t>
      </w:r>
    </w:p>
    <w:p>
      <w:pPr>
        <w:ind w:firstLine="480" w:firstLineChars="200"/>
        <w:rPr>
          <w:szCs w:val="24"/>
        </w:rPr>
      </w:pPr>
      <w:r>
        <w:rPr>
          <w:szCs w:val="24"/>
        </w:rPr>
        <w:t>毕业生典型案例：</w:t>
      </w:r>
    </w:p>
    <w:p>
      <w:pPr>
        <w:ind w:firstLine="480" w:firstLineChars="200"/>
        <w:rPr>
          <w:szCs w:val="24"/>
        </w:rPr>
      </w:pPr>
      <w:r>
        <w:rPr>
          <w:szCs w:val="24"/>
        </w:rPr>
        <w:t>赵嘉政，国际交流学院2018级会计学专业学生，专业成绩排名第一。自入校以来严于律己、表现优异。在校期间曾任院学生会办公室负责人等职，曾荣获校</w:t>
      </w:r>
      <w:r>
        <w:rPr>
          <w:rFonts w:hint="eastAsia"/>
          <w:szCs w:val="24"/>
        </w:rPr>
        <w:t>“</w:t>
      </w:r>
      <w:r>
        <w:rPr>
          <w:szCs w:val="24"/>
        </w:rPr>
        <w:t>三好学生</w:t>
      </w:r>
      <w:r>
        <w:rPr>
          <w:rFonts w:hint="eastAsia"/>
          <w:szCs w:val="24"/>
        </w:rPr>
        <w:t>”</w:t>
      </w:r>
      <w:r>
        <w:rPr>
          <w:szCs w:val="24"/>
        </w:rPr>
        <w:t>、</w:t>
      </w:r>
      <w:r>
        <w:rPr>
          <w:rFonts w:hint="eastAsia"/>
          <w:szCs w:val="24"/>
        </w:rPr>
        <w:t>“</w:t>
      </w:r>
      <w:r>
        <w:rPr>
          <w:szCs w:val="24"/>
        </w:rPr>
        <w:t>优秀团员</w:t>
      </w:r>
      <w:r>
        <w:rPr>
          <w:rFonts w:hint="eastAsia"/>
          <w:szCs w:val="24"/>
        </w:rPr>
        <w:t>”</w:t>
      </w:r>
      <w:r>
        <w:rPr>
          <w:szCs w:val="24"/>
        </w:rPr>
        <w:t>、</w:t>
      </w:r>
      <w:r>
        <w:rPr>
          <w:rFonts w:hint="eastAsia"/>
          <w:szCs w:val="24"/>
        </w:rPr>
        <w:t>“</w:t>
      </w:r>
      <w:r>
        <w:rPr>
          <w:szCs w:val="24"/>
        </w:rPr>
        <w:t>一等优秀学生奖学金</w:t>
      </w:r>
      <w:r>
        <w:rPr>
          <w:rFonts w:hint="eastAsia"/>
          <w:szCs w:val="24"/>
        </w:rPr>
        <w:t>”</w:t>
      </w:r>
      <w:r>
        <w:rPr>
          <w:szCs w:val="24"/>
        </w:rPr>
        <w:t>、</w:t>
      </w:r>
      <w:r>
        <w:rPr>
          <w:rFonts w:hint="eastAsia"/>
          <w:szCs w:val="24"/>
        </w:rPr>
        <w:t>“</w:t>
      </w:r>
      <w:r>
        <w:rPr>
          <w:szCs w:val="24"/>
        </w:rPr>
        <w:t>二等优秀学生奖学金</w:t>
      </w:r>
      <w:r>
        <w:rPr>
          <w:rFonts w:hint="eastAsia"/>
          <w:szCs w:val="24"/>
        </w:rPr>
        <w:t>”</w:t>
      </w:r>
      <w:r>
        <w:rPr>
          <w:szCs w:val="24"/>
        </w:rPr>
        <w:t>、</w:t>
      </w:r>
      <w:r>
        <w:rPr>
          <w:rFonts w:hint="eastAsia"/>
          <w:szCs w:val="24"/>
        </w:rPr>
        <w:t>“</w:t>
      </w:r>
      <w:r>
        <w:rPr>
          <w:szCs w:val="24"/>
        </w:rPr>
        <w:t>社会工作单项奖</w:t>
      </w:r>
      <w:r>
        <w:rPr>
          <w:rFonts w:hint="eastAsia"/>
          <w:szCs w:val="24"/>
        </w:rPr>
        <w:t>”</w:t>
      </w:r>
      <w:r>
        <w:rPr>
          <w:szCs w:val="24"/>
        </w:rPr>
        <w:t>等荣誉称号。已通过英语四六级、德语四六级和德福考试。现已推免至山东财经大学攻读硕士研究生。</w:t>
      </w:r>
    </w:p>
    <w:p>
      <w:pPr>
        <w:ind w:firstLine="480" w:firstLineChars="200"/>
        <w:rPr>
          <w:szCs w:val="24"/>
        </w:rPr>
      </w:pPr>
      <w:r>
        <w:rPr>
          <w:szCs w:val="24"/>
        </w:rPr>
        <w:t>汪可欣，国际交流学院2018级3班学生，中共党员。曾担任班级团支书、2019级7班班助、院辩论队骨干成员、校大学生党员读书会干事。本科在校期间多次获一、二等奖奖学金、社会工作单项奖学金，多次获得</w:t>
      </w:r>
      <w:r>
        <w:rPr>
          <w:rFonts w:hint="eastAsia"/>
          <w:szCs w:val="24"/>
        </w:rPr>
        <w:t>“</w:t>
      </w:r>
      <w:r>
        <w:rPr>
          <w:szCs w:val="24"/>
        </w:rPr>
        <w:t>三号学生</w:t>
      </w:r>
      <w:r>
        <w:rPr>
          <w:rFonts w:hint="eastAsia"/>
          <w:szCs w:val="24"/>
        </w:rPr>
        <w:t>”</w:t>
      </w:r>
      <w:r>
        <w:rPr>
          <w:szCs w:val="24"/>
        </w:rPr>
        <w:t>、</w:t>
      </w:r>
      <w:r>
        <w:rPr>
          <w:rFonts w:hint="eastAsia"/>
          <w:szCs w:val="24"/>
        </w:rPr>
        <w:t>“</w:t>
      </w:r>
      <w:r>
        <w:rPr>
          <w:szCs w:val="24"/>
        </w:rPr>
        <w:t>优秀学生干部</w:t>
      </w:r>
      <w:r>
        <w:rPr>
          <w:rFonts w:hint="eastAsia"/>
          <w:szCs w:val="24"/>
        </w:rPr>
        <w:t>”</w:t>
      </w:r>
      <w:r>
        <w:rPr>
          <w:szCs w:val="24"/>
        </w:rPr>
        <w:t>、</w:t>
      </w:r>
      <w:r>
        <w:rPr>
          <w:rFonts w:hint="eastAsia"/>
          <w:szCs w:val="24"/>
        </w:rPr>
        <w:t>“</w:t>
      </w:r>
      <w:r>
        <w:rPr>
          <w:szCs w:val="24"/>
        </w:rPr>
        <w:t>优秀学生团干部</w:t>
      </w:r>
      <w:r>
        <w:rPr>
          <w:rFonts w:hint="eastAsia"/>
          <w:szCs w:val="24"/>
        </w:rPr>
        <w:t>”</w:t>
      </w:r>
      <w:r>
        <w:rPr>
          <w:szCs w:val="24"/>
        </w:rPr>
        <w:t>、</w:t>
      </w:r>
      <w:r>
        <w:rPr>
          <w:rFonts w:hint="eastAsia"/>
          <w:szCs w:val="24"/>
        </w:rPr>
        <w:t>“</w:t>
      </w:r>
      <w:r>
        <w:rPr>
          <w:szCs w:val="24"/>
        </w:rPr>
        <w:t>山东农业大学优秀团支部书记</w:t>
      </w:r>
      <w:r>
        <w:rPr>
          <w:rFonts w:hint="eastAsia"/>
          <w:szCs w:val="24"/>
        </w:rPr>
        <w:t>”</w:t>
      </w:r>
      <w:r>
        <w:rPr>
          <w:szCs w:val="24"/>
        </w:rPr>
        <w:t>等荣誉称号。2022年荣获山东农业大学</w:t>
      </w:r>
      <w:r>
        <w:rPr>
          <w:rFonts w:hint="eastAsia"/>
          <w:szCs w:val="24"/>
        </w:rPr>
        <w:t>“</w:t>
      </w:r>
      <w:r>
        <w:rPr>
          <w:szCs w:val="24"/>
        </w:rPr>
        <w:t>省级优秀毕业生</w:t>
      </w:r>
      <w:r>
        <w:rPr>
          <w:rFonts w:hint="eastAsia"/>
          <w:szCs w:val="24"/>
        </w:rPr>
        <w:t>”</w:t>
      </w:r>
      <w:r>
        <w:rPr>
          <w:szCs w:val="24"/>
        </w:rPr>
        <w:t>、</w:t>
      </w:r>
      <w:r>
        <w:rPr>
          <w:rFonts w:hint="eastAsia"/>
          <w:szCs w:val="24"/>
        </w:rPr>
        <w:t>“</w:t>
      </w:r>
      <w:r>
        <w:rPr>
          <w:szCs w:val="24"/>
        </w:rPr>
        <w:t>校级优秀毕业生</w:t>
      </w:r>
      <w:r>
        <w:rPr>
          <w:rFonts w:hint="eastAsia"/>
          <w:szCs w:val="24"/>
        </w:rPr>
        <w:t>”</w:t>
      </w:r>
      <w:r>
        <w:rPr>
          <w:szCs w:val="24"/>
        </w:rPr>
        <w:t>荣誉称号。现已推免至东华大学会计专业攻读硕士研究生。</w:t>
      </w:r>
    </w:p>
    <w:p>
      <w:pPr>
        <w:pStyle w:val="5"/>
        <w:spacing w:before="93" w:after="93"/>
        <w:ind w:firstLine="560"/>
      </w:pPr>
      <w:r>
        <w:t>七、专业人才社会需求分析及专业发展趋势分析</w:t>
      </w:r>
    </w:p>
    <w:p>
      <w:pPr>
        <w:ind w:firstLine="480" w:firstLineChars="200"/>
        <w:rPr>
          <w:szCs w:val="24"/>
        </w:rPr>
      </w:pPr>
      <w:r>
        <w:rPr>
          <w:szCs w:val="24"/>
        </w:rPr>
        <w:t>随着科学技术和社会经济的不断发展，会计信息量不断加大，信息范围呈现出国际化趋势，现代会计工作的手段和核算策略由人工向主要依靠计算机技术和电子技术转变，现代化企业中的高层管理人员也更需要具备丰富的会计知识。因此，会计专业培养信息处理水平高、效率高、综合素质强的会计人员，更能适应经济发展和企业发展需要。</w:t>
      </w:r>
    </w:p>
    <w:p>
      <w:pPr>
        <w:pStyle w:val="5"/>
        <w:spacing w:before="93" w:after="93"/>
        <w:ind w:firstLine="560"/>
      </w:pPr>
      <w:r>
        <w:t>八、存在的问题及拟釆取的对策措施</w:t>
      </w:r>
    </w:p>
    <w:p>
      <w:pPr>
        <w:pStyle w:val="6"/>
        <w:ind w:firstLine="480"/>
      </w:pPr>
      <w:r>
        <w:t>1. 存在的主要问题</w:t>
      </w:r>
    </w:p>
    <w:p>
      <w:pPr>
        <w:ind w:firstLine="480" w:firstLineChars="200"/>
        <w:rPr>
          <w:szCs w:val="24"/>
        </w:rPr>
      </w:pPr>
      <w:r>
        <w:rPr>
          <w:szCs w:val="24"/>
        </w:rPr>
        <w:t>一是会计专业课程建设不适应新形势发展；二是实践课程（环节）较少；三是教师尤其是青年教师实践技能不足。</w:t>
      </w:r>
    </w:p>
    <w:p>
      <w:pPr>
        <w:pStyle w:val="6"/>
        <w:ind w:firstLine="480"/>
      </w:pPr>
      <w:r>
        <w:t>2. 对策</w:t>
      </w:r>
    </w:p>
    <w:p>
      <w:pPr>
        <w:pStyle w:val="2"/>
        <w:spacing w:after="0"/>
        <w:ind w:left="0" w:leftChars="0" w:firstLine="480" w:firstLineChars="200"/>
      </w:pPr>
      <w:r>
        <w:t>第一、加强教材对应的精品课、资源库等专业内涵建设，加大说课、微课等教学方式方法探索与研究，培养学生学习兴趣，让学生听懂、学会，培养学生的统计分析能力。第二、增加实验课程，加强实践教学条件建设，定期邀请企业界优秀人士或已有成果的校友来校开展报告或座谈交流，让学生了解社会、了解企业，增强理论联系实际能力。第三，采取</w:t>
      </w:r>
      <w:r>
        <w:rPr>
          <w:rFonts w:hint="eastAsia"/>
        </w:rPr>
        <w:t>“</w:t>
      </w:r>
      <w:r>
        <w:t>走出去，请进来</w:t>
      </w:r>
      <w:r>
        <w:rPr>
          <w:rFonts w:hint="eastAsia"/>
        </w:rPr>
        <w:t>”</w:t>
      </w:r>
      <w:r>
        <w:t>的办法，安排骨干教师外出参加学习培训，学习借鉴其他院校的已有成功经验；邀请国内外相关专家教授来校进行学术交流，提高教师实践技能水平。</w:t>
      </w:r>
    </w:p>
    <w:p>
      <w:pPr>
        <w:ind w:firstLine="480" w:firstLineChars="200"/>
        <w:rPr>
          <w:rFonts w:eastAsiaTheme="minorEastAsia"/>
        </w:rPr>
      </w:pPr>
      <w:r>
        <w:rPr>
          <w:rFonts w:eastAsiaTheme="minorEastAsia"/>
        </w:rPr>
        <w:br w:type="page"/>
      </w:r>
    </w:p>
    <w:p>
      <w:pPr>
        <w:pStyle w:val="4"/>
        <w:ind w:firstLine="600"/>
      </w:pPr>
      <w:bookmarkStart w:id="426" w:name="_Toc25619"/>
      <w:bookmarkStart w:id="427" w:name="_Toc7500"/>
      <w:bookmarkStart w:id="428" w:name="_Toc16726"/>
      <w:bookmarkStart w:id="429" w:name="_Toc32283"/>
      <w:r>
        <w:t>专业四十：财务管理</w:t>
      </w:r>
      <w:bookmarkEnd w:id="426"/>
      <w:bookmarkEnd w:id="427"/>
      <w:bookmarkEnd w:id="428"/>
      <w:bookmarkEnd w:id="429"/>
    </w:p>
    <w:p>
      <w:pPr>
        <w:pStyle w:val="5"/>
        <w:spacing w:before="93" w:after="93"/>
        <w:ind w:firstLine="560"/>
      </w:pPr>
      <w:r>
        <w:t>一、人才培养目标</w:t>
      </w:r>
    </w:p>
    <w:p>
      <w:pPr>
        <w:pStyle w:val="6"/>
        <w:adjustRightInd w:val="0"/>
        <w:snapToGrid w:val="0"/>
        <w:ind w:firstLine="480"/>
        <w:rPr>
          <w:rFonts w:eastAsia="宋体"/>
          <w:color w:val="000000"/>
        </w:rPr>
      </w:pPr>
      <w:r>
        <w:rPr>
          <w:rFonts w:eastAsia="宋体"/>
          <w:color w:val="000000"/>
        </w:rPr>
        <w:t>在社会经济平稳快速发展过程中，社会财富的积累日益增长，全社会对银行、基金、财富管理机构、投资银行中财务管理人才的需求日益增长。为了适应时代的发展，财务人才的培养目标必须超越原来会计人员记账、算账、报账的培养模式，建立财务融资、投资、资金配置以及经营成果分配等更完善的培养体系，以适应现代企业和经济社会发展的需要。</w:t>
      </w:r>
    </w:p>
    <w:p>
      <w:pPr>
        <w:pStyle w:val="6"/>
        <w:adjustRightInd w:val="0"/>
        <w:snapToGrid w:val="0"/>
        <w:ind w:firstLine="480"/>
        <w:rPr>
          <w:rFonts w:eastAsia="宋体"/>
          <w:color w:val="000000"/>
        </w:rPr>
      </w:pPr>
      <w:r>
        <w:rPr>
          <w:rFonts w:eastAsia="宋体"/>
          <w:color w:val="000000"/>
        </w:rPr>
        <w:t>财务管理专业培养德、智、体、美全面发展，具有系统的财务知识、会计学知识、税收知识和管理知识，具有会计核算能力、筹资投资分析能力、资金管理和运作能力、企业纳税筹划能力等综合管理技能，能在国家经济和行政管理部门、金融机构（银行、证券投资公司、基金管理公司）、社会中介机构（会计师事务所、税务师事务所等）、企事业单位从事会计核算、财务管理、纳税筹划、经营管理等工作的应用型复合型高级专门人才。</w:t>
      </w:r>
    </w:p>
    <w:p>
      <w:pPr>
        <w:pStyle w:val="6"/>
        <w:adjustRightInd w:val="0"/>
        <w:snapToGrid w:val="0"/>
        <w:ind w:firstLine="480"/>
        <w:rPr>
          <w:rFonts w:eastAsia="宋体"/>
          <w:color w:val="000000"/>
        </w:rPr>
      </w:pPr>
      <w:r>
        <w:rPr>
          <w:rFonts w:eastAsia="宋体"/>
          <w:color w:val="000000"/>
        </w:rPr>
        <w:t>本专业立足于学用结合，理论知识和实践技能相结合的培养目标，培养具有会计、财务、纳税筹划能力等综合技能的高素质应用人才。</w:t>
      </w:r>
    </w:p>
    <w:p>
      <w:pPr>
        <w:pStyle w:val="5"/>
        <w:spacing w:before="93" w:after="93"/>
        <w:ind w:firstLine="560"/>
      </w:pPr>
      <w:r>
        <w:t>二、培养能力</w:t>
      </w:r>
    </w:p>
    <w:p>
      <w:pPr>
        <w:pStyle w:val="7"/>
        <w:ind w:firstLine="480"/>
      </w:pPr>
      <w:r>
        <w:t>1.专业设置情况</w:t>
      </w:r>
    </w:p>
    <w:p>
      <w:pPr>
        <w:pStyle w:val="6"/>
        <w:adjustRightInd w:val="0"/>
        <w:snapToGrid w:val="0"/>
        <w:ind w:firstLine="480"/>
        <w:rPr>
          <w:rFonts w:eastAsia="宋体"/>
          <w:color w:val="000000"/>
        </w:rPr>
      </w:pPr>
      <w:r>
        <w:rPr>
          <w:rFonts w:eastAsia="宋体"/>
          <w:color w:val="000000"/>
        </w:rPr>
        <w:t>山东农业大学经济管理学院财务管理本科专业于2010年设立并开始招生，2017年以前按照本科一批招生分数线录取，从2018年开始按照工商管理一级学科开始大类招生，第一学年末开始学生的专业兴趣，自愿选择专业，学生可以在财务管理、会计学、工商管理、资产评估等四个专业中自主选择专业进一步学习。财务管理专业现有四个年级本科学生在读，生源质量较好。本专业立足于学用结合，理论知识和实践技能相结合的培养目标，培养具有财务管理、会计、纳税筹划能力等综合技能的高素质应用人才。</w:t>
      </w:r>
    </w:p>
    <w:p>
      <w:pPr>
        <w:pStyle w:val="7"/>
        <w:ind w:firstLine="480"/>
      </w:pPr>
      <w:r>
        <w:t>2.在校生规模</w:t>
      </w:r>
    </w:p>
    <w:p>
      <w:pPr>
        <w:pStyle w:val="6"/>
        <w:adjustRightInd w:val="0"/>
        <w:snapToGrid w:val="0"/>
        <w:ind w:firstLine="480"/>
        <w:rPr>
          <w:rFonts w:eastAsia="宋体"/>
          <w:color w:val="000000"/>
        </w:rPr>
      </w:pPr>
      <w:r>
        <w:rPr>
          <w:rFonts w:eastAsia="宋体"/>
          <w:color w:val="000000"/>
        </w:rPr>
        <w:t>山东农业大学财务管理本科专业现有在校学生757人，其中2019级243人，2020级240人，2021级229，2022级尚未开展专业分流。目前，财务管理专业已经成为经济管理大类中热门学科，这一人数不断增长的趋势与社会经济发展的宏观环境有较为密切关系。</w:t>
      </w:r>
    </w:p>
    <w:p>
      <w:pPr>
        <w:pStyle w:val="7"/>
        <w:ind w:firstLine="480"/>
      </w:pPr>
      <w:r>
        <w:t>3.课程设置情况</w:t>
      </w:r>
    </w:p>
    <w:p>
      <w:pPr>
        <w:pStyle w:val="6"/>
        <w:adjustRightInd w:val="0"/>
        <w:snapToGrid w:val="0"/>
        <w:ind w:firstLine="480"/>
        <w:rPr>
          <w:rFonts w:eastAsia="宋体"/>
          <w:color w:val="000000"/>
        </w:rPr>
      </w:pPr>
      <w:r>
        <w:rPr>
          <w:rFonts w:eastAsia="宋体"/>
          <w:color w:val="000000"/>
        </w:rPr>
        <w:t>本专业设置的主要课程：管理学、微观经济学、宏观经济学、政治经济学、统计学、会计学、财务管理、市场营销、经济法、财政学、货币银行学、保险学、投资学、企业筹资学、证券投资、财务分析与评价、经济管理综合实验、财务管理综合实验。在课程设置方面，财务管理学科既考虑了财务会计专业方面的主要知识内容，又对金融等经济管理专业的知识进行补充扩展学习。</w:t>
      </w:r>
    </w:p>
    <w:p>
      <w:pPr>
        <w:pStyle w:val="7"/>
        <w:ind w:firstLine="480"/>
      </w:pPr>
      <w:r>
        <w:t>4.创新创业教育</w:t>
      </w:r>
    </w:p>
    <w:p>
      <w:pPr>
        <w:pStyle w:val="6"/>
        <w:adjustRightInd w:val="0"/>
        <w:snapToGrid w:val="0"/>
        <w:ind w:firstLine="480"/>
        <w:rPr>
          <w:rFonts w:eastAsia="宋体"/>
          <w:color w:val="000000"/>
        </w:rPr>
      </w:pPr>
      <w:r>
        <w:rPr>
          <w:rFonts w:eastAsia="宋体"/>
          <w:color w:val="000000"/>
        </w:rPr>
        <w:t>本专业的创新创业教育坚持以培养具有创业基本素质和开创型个性的人才为目标，不仅仅以培育在校学生的创业意识、创业精神、创新创业能力为主的教育，更要面向全社会，分阶段分层次的进行创新思维培养和创业能力锻炼的教育。着力从以下四个方面展开：（1）意识培养：启蒙学生的创新意识和创业精神，使学生了解创新型人才的素质要求，了解创业的概念、要素与特征等，使学生掌握开展创业活动所需要的基本知识。（2）能力提升：解析并培养学生的批判性思维、洞察力、决策力、组织协调能力与领导力等各项创新创业素质，使学生具备必要的创业能力。（3）环境认知：引导学生认知当今企业及行业环境，了解创业机会，把握创业风险，掌握商业模式开发的过程，设计策略及技巧等。（4）实践模拟：通过创业计划书撰写、模拟实践活动开展等，鼓励学生体验创业准备的各个环节，包括创业市场评估、创业融资、创办企业流程与风险管理等。</w:t>
      </w:r>
    </w:p>
    <w:p>
      <w:pPr>
        <w:pStyle w:val="6"/>
        <w:adjustRightInd w:val="0"/>
        <w:snapToGrid w:val="0"/>
        <w:ind w:firstLine="480"/>
        <w:rPr>
          <w:rFonts w:eastAsia="宋体"/>
          <w:color w:val="000000"/>
        </w:rPr>
      </w:pPr>
      <w:r>
        <w:rPr>
          <w:rFonts w:eastAsia="宋体"/>
          <w:color w:val="000000"/>
        </w:rPr>
        <w:t>学校设置创新人才计划，鼓励优秀应届本科生免试攻读研究生，凡本科前三年必修环节学习成绩（按加权学分成绩排名），位于所在专业排名前15%，且纳入学院当年招生计划的本校应届本科毕业生，学生入学后一次性奖励8000元优秀学生奖学金。优秀应届本科生免试攻读研究生工作一般在本科第四学年初进行。</w:t>
      </w:r>
    </w:p>
    <w:p>
      <w:pPr>
        <w:pStyle w:val="5"/>
        <w:spacing w:before="93" w:after="93"/>
        <w:ind w:firstLine="560"/>
      </w:pPr>
      <w:r>
        <w:t>三、培养条件</w:t>
      </w:r>
    </w:p>
    <w:p>
      <w:pPr>
        <w:pStyle w:val="6"/>
        <w:ind w:firstLine="480"/>
      </w:pPr>
      <w:r>
        <w:rPr>
          <w:rFonts w:hint="eastAsia"/>
        </w:rPr>
        <w:t xml:space="preserve">1. </w:t>
      </w:r>
      <w:r>
        <w:t>教学经费投入</w:t>
      </w:r>
    </w:p>
    <w:p>
      <w:pPr>
        <w:pStyle w:val="6"/>
        <w:adjustRightInd w:val="0"/>
        <w:snapToGrid w:val="0"/>
        <w:ind w:firstLine="480"/>
        <w:rPr>
          <w:rFonts w:eastAsia="宋体"/>
          <w:color w:val="000000"/>
        </w:rPr>
      </w:pPr>
      <w:r>
        <w:rPr>
          <w:rFonts w:eastAsia="宋体"/>
          <w:color w:val="000000"/>
        </w:rPr>
        <w:t>教学经费分配方式为学校下拨。具体使用分配比例均严格按照学校财务部门要求执行，使用情况合理。学院在编制新一期教学经费使用计划前，都对上一期间经费使用效益进行分析，取得较好效果。</w:t>
      </w:r>
    </w:p>
    <w:p>
      <w:pPr>
        <w:pStyle w:val="6"/>
        <w:adjustRightInd w:val="0"/>
        <w:snapToGrid w:val="0"/>
        <w:ind w:firstLine="480"/>
        <w:rPr>
          <w:rFonts w:eastAsia="宋体"/>
          <w:color w:val="000000"/>
        </w:rPr>
      </w:pPr>
      <w:r>
        <w:rPr>
          <w:rFonts w:eastAsia="宋体"/>
          <w:color w:val="000000"/>
        </w:rPr>
        <w:t>学院在教学经费使用中，本着本科人才培养优先，分阶段突出重点，切实保障教学经费的利用率和使用效益。近3年教学经费用于教学材料和实验材料的开支占总教学经费支出的26.9%，用于学生实习费支出的占49%，用于实验设备购置和维护的占18.1%，用于师资培训的占9.1%。教学经费支出首先满足学生实验实践教学需要，经费支出占总经费的75.9%，其次用于改善学生实验实践教学硬件和软件设施。</w:t>
      </w:r>
    </w:p>
    <w:p>
      <w:pPr>
        <w:pStyle w:val="6"/>
        <w:ind w:firstLine="480"/>
      </w:pPr>
      <w:r>
        <w:rPr>
          <w:rFonts w:hint="eastAsia"/>
        </w:rPr>
        <w:t xml:space="preserve">2. </w:t>
      </w:r>
      <w:r>
        <w:t>教学设备</w:t>
      </w:r>
    </w:p>
    <w:p>
      <w:pPr>
        <w:pStyle w:val="6"/>
        <w:adjustRightInd w:val="0"/>
        <w:snapToGrid w:val="0"/>
        <w:ind w:firstLine="480"/>
        <w:rPr>
          <w:rFonts w:eastAsia="宋体"/>
          <w:color w:val="000000"/>
        </w:rPr>
      </w:pPr>
      <w:r>
        <w:rPr>
          <w:rFonts w:eastAsia="宋体"/>
          <w:color w:val="000000"/>
        </w:rPr>
        <w:t>为了适应财务管理专业教育教学工作的要求，学校在资金投入上给予了大力支持，从办学经费中拿出大量资金优先为本专业购置金融类专业书籍、资料和报刊及相应的实习实验教学设备。学校现有与本专业相关图书5.6万余册，专业报刊200种；除学校的图书馆、计算中心等条件外，本专业还自有资料室1个，有专业图书6万余册，期刊杂志180多种。</w:t>
      </w:r>
    </w:p>
    <w:p>
      <w:pPr>
        <w:pStyle w:val="6"/>
        <w:adjustRightInd w:val="0"/>
        <w:snapToGrid w:val="0"/>
        <w:ind w:firstLine="480"/>
        <w:rPr>
          <w:rFonts w:eastAsia="宋体"/>
          <w:color w:val="000000"/>
        </w:rPr>
      </w:pPr>
      <w:r>
        <w:rPr>
          <w:rFonts w:eastAsia="宋体"/>
          <w:color w:val="000000"/>
        </w:rPr>
        <w:t>现有经济管理专用实验室12处（南校区西北片区），共1023.84㎡。配备专用服务器、计算机及专业模拟教学软件，对本科生开放利用率达到100%左右，有利地支撑了各专业实验教学和模拟实践教学的需要。</w:t>
      </w:r>
    </w:p>
    <w:p>
      <w:pPr>
        <w:pStyle w:val="6"/>
        <w:ind w:firstLine="480"/>
      </w:pPr>
      <w:r>
        <w:rPr>
          <w:rFonts w:hint="eastAsia"/>
        </w:rPr>
        <w:t xml:space="preserve">3. </w:t>
      </w:r>
      <w:r>
        <w:t>教师队伍建设</w:t>
      </w:r>
    </w:p>
    <w:p>
      <w:pPr>
        <w:pStyle w:val="6"/>
        <w:adjustRightInd w:val="0"/>
        <w:snapToGrid w:val="0"/>
        <w:ind w:firstLine="480"/>
        <w:rPr>
          <w:rFonts w:eastAsia="宋体"/>
          <w:color w:val="000000"/>
        </w:rPr>
      </w:pPr>
      <w:r>
        <w:rPr>
          <w:rFonts w:eastAsia="宋体"/>
          <w:color w:val="000000"/>
        </w:rPr>
        <w:t>经过多年的建设与发展，财务管理专业建立了一支年龄结构合理、学历层次水平高、学缘结构科学、职称结构合理，教学经验丰富、教学作风严谨、教学水平较高的师资队伍，切实保障了各项教学任务的顺利完成，有利支撑了人才培养目标的实现。现有专任教师9人。教师队伍中，有教授2人、副教授4人，管理学博士5人，有注册会计师资格的2人。</w:t>
      </w:r>
    </w:p>
    <w:p>
      <w:pPr>
        <w:pStyle w:val="6"/>
        <w:adjustRightInd w:val="0"/>
        <w:snapToGrid w:val="0"/>
        <w:ind w:firstLine="480"/>
        <w:rPr>
          <w:rFonts w:eastAsia="宋体"/>
          <w:color w:val="000000"/>
        </w:rPr>
      </w:pPr>
      <w:r>
        <w:rPr>
          <w:rFonts w:eastAsia="宋体"/>
          <w:color w:val="000000"/>
        </w:rPr>
        <w:t>本专业师资队伍，能够保障各项教学任务的顺利完成，有利支撑了人才培养目标的实现。根据学院总体建设规划和师资队伍建设的要求，结合我系</w:t>
      </w:r>
      <w:r>
        <w:rPr>
          <w:rFonts w:hint="eastAsia" w:eastAsia="宋体"/>
          <w:color w:val="000000"/>
        </w:rPr>
        <w:t>“</w:t>
      </w:r>
      <w:r>
        <w:rPr>
          <w:rFonts w:eastAsia="宋体"/>
          <w:color w:val="000000"/>
        </w:rPr>
        <w:t>十四五</w:t>
      </w:r>
      <w:r>
        <w:rPr>
          <w:rFonts w:hint="eastAsia" w:eastAsia="宋体"/>
          <w:color w:val="000000"/>
        </w:rPr>
        <w:t>”</w:t>
      </w:r>
      <w:r>
        <w:rPr>
          <w:rFonts w:eastAsia="宋体"/>
          <w:color w:val="000000"/>
        </w:rPr>
        <w:t>发展规划和办学规模，坚持引进与自我培养、自我提高相结合的师资队伍培养方式，建设一支专业能力精湛、年龄结构、职称结构、学院结构科学合理的动态的师资队伍。</w:t>
      </w:r>
    </w:p>
    <w:p>
      <w:pPr>
        <w:spacing w:line="360" w:lineRule="auto"/>
        <w:jc w:val="center"/>
        <w:rPr>
          <w:rFonts w:ascii="宋体" w:hAnsi="宋体" w:cs="宋体"/>
          <w:b/>
          <w:bCs/>
          <w:kern w:val="0"/>
          <w:sz w:val="21"/>
          <w:szCs w:val="21"/>
        </w:rPr>
      </w:pPr>
      <w:r>
        <w:rPr>
          <w:rFonts w:hint="eastAsia" w:ascii="宋体" w:hAnsi="宋体" w:cs="宋体"/>
          <w:b/>
          <w:bCs/>
          <w:sz w:val="21"/>
          <w:szCs w:val="21"/>
        </w:rPr>
        <mc:AlternateContent>
          <mc:Choice Requires="wpg">
            <w:drawing>
              <wp:inline distT="0" distB="0" distL="114300" distR="114300">
                <wp:extent cx="5292725" cy="2096135"/>
                <wp:effectExtent l="0" t="0" r="3175" b="18415"/>
                <wp:docPr id="42" name="组合 42"/>
                <wp:cNvGraphicFramePr/>
                <a:graphic xmlns:a="http://schemas.openxmlformats.org/drawingml/2006/main">
                  <a:graphicData uri="http://schemas.microsoft.com/office/word/2010/wordprocessingGroup">
                    <wpg:wgp>
                      <wpg:cNvGrpSpPr/>
                      <wpg:grpSpPr>
                        <a:xfrm>
                          <a:off x="0" y="0"/>
                          <a:ext cx="5292725" cy="2096135"/>
                          <a:chOff x="6367" y="3345659"/>
                          <a:chExt cx="8335" cy="3346"/>
                        </a:xfrm>
                      </wpg:grpSpPr>
                      <pic:pic xmlns:pic="http://schemas.openxmlformats.org/drawingml/2006/picture">
                        <pic:nvPicPr>
                          <pic:cNvPr id="82" name="图片 82" descr="b8ed4ab4c17ddbed654d60bcd0b905e"/>
                          <pic:cNvPicPr>
                            <a:picLocks noChangeAspect="1"/>
                          </pic:cNvPicPr>
                        </pic:nvPicPr>
                        <pic:blipFill>
                          <a:blip r:embed="rId106"/>
                          <a:stretch>
                            <a:fillRect/>
                          </a:stretch>
                        </pic:blipFill>
                        <pic:spPr>
                          <a:xfrm>
                            <a:off x="6367" y="3345659"/>
                            <a:ext cx="4046" cy="3346"/>
                          </a:xfrm>
                          <a:prstGeom prst="rect">
                            <a:avLst/>
                          </a:prstGeom>
                        </pic:spPr>
                      </pic:pic>
                      <pic:pic xmlns:pic="http://schemas.openxmlformats.org/drawingml/2006/picture">
                        <pic:nvPicPr>
                          <pic:cNvPr id="81" name="图片 81" descr="40d6a295e95b6a314b04c86c588b9d6"/>
                          <pic:cNvPicPr>
                            <a:picLocks noChangeAspect="1"/>
                          </pic:cNvPicPr>
                        </pic:nvPicPr>
                        <pic:blipFill>
                          <a:blip r:embed="rId107"/>
                          <a:stretch>
                            <a:fillRect/>
                          </a:stretch>
                        </pic:blipFill>
                        <pic:spPr>
                          <a:xfrm>
                            <a:off x="10680" y="3345741"/>
                            <a:ext cx="4023" cy="3259"/>
                          </a:xfrm>
                          <a:prstGeom prst="rect">
                            <a:avLst/>
                          </a:prstGeom>
                        </pic:spPr>
                      </pic:pic>
                    </wpg:wgp>
                  </a:graphicData>
                </a:graphic>
              </wp:inline>
            </w:drawing>
          </mc:Choice>
          <mc:Fallback>
            <w:pict>
              <v:group id="_x0000_s1026" o:spid="_x0000_s1026" o:spt="203" style="height:165.05pt;width:416.75pt;" coordorigin="6367,3345659" coordsize="8335,3346" o:gfxdata="UEsDBAoAAAAAAIdO4kAAAAAAAAAAAAAAAAAEAAAAZHJzL1BLAwQUAAAACACHTuJAZG/iZtYAAAAF&#10;AQAADwAAAGRycy9kb3ducmV2LnhtbE2PQUvDQBCF74L/YRnBm91dQ6Wk2ZRS1FMRbAXxNs1Ok9Ds&#10;bMhuk/bfu3rRy8DjPd77plhdXCdGGkLr2YCeKRDElbct1wY+9i8PCxAhIlvsPJOBKwVYlbc3BebW&#10;T/xO4y7WIpVwyNFAE2OfSxmqhhyGme+Jk3f0g8OY5FBLO+CUyl0nH5V6kg5bTgsN9rRpqDrtzs7A&#10;64TTOtPP4/Z03Fy/9vO3z60mY+7vtFqCiHSJf2H4wU/oUCamgz+zDaIzkB6Jvzd5iyybgzgYyDKl&#10;QZaF/E9ffgNQSwMEFAAAAAgAh07iQDLTIDiwAgAAeQcAAA4AAABkcnMvZTJvRG9jLnhtbNVV227U&#10;MBB9R+IfLL/T3LNJ1GyFKK2QEKy4fIBjOxeRxJbtvfQdCXjjnU9B4m+q/gbjJJvtTaJCFRIPm53x&#10;2OMzZ04mxye7rkUbrnQj+hx7Ry5GvKeCNX2V448fzp4lGGlDekZa0fMcX3CNT5ZPnxxvZcZ9UYuW&#10;cYUgSa+zrcxxbYzMHEfTmndEHwnJewiWQnXEgKsqhymyhexd6/iuGztboZhUgnKtYfV0DOIpo3pI&#10;QlGWDeWngq473psxq+ItMVCSrhup8XJAW5acmrdlqblBbY6hUjM84RKwC/t0lsckqxSRdUMnCOQh&#10;EG7V1JGmh0vnVKfEELRWzZ1UXUOV0KI0R1R0zljIwAhU4bm3uDlXYi2HWqpsW8mZdGjULdb/Oi19&#10;s1kp1LAchz5GPemg41c/P19+/4pgAdjZyiqDTedKvpcrNS1Uo2cL3pWqs/9QCtoNvF7MvPKdQRQW&#10;Iz/1F36EEYWY76axF0Qj87SG9thzcRAvMIJwEIRRHKX78MspRRLAkeE8bIht1Nnf7ViIMyLZ0Ax+&#10;E1dg3eHqzwqFU2atODBvs/WbVUNXanQOfCUzX5c/fl19+4LsAuOagrqKhLOQFCH1FowVnMVRyGK3&#10;oMwtUjfiFr7NbJONqYnF/FrQTxr14kVN+oo/1xLUC2/oUOzN7Y51b+Aq2kaeNW1rW2Htx32dkMp4&#10;B3XkWL1iAyCSaaO4obW9sISL3wHYsStzYEB5AGYxa9DQPaq5v/t7+YQudPz+3gNvSptzLjpkDcAH&#10;MKBvJCOb13oCtN8CmjlgGExwx06A8Q8U4+3fsL1iYGFSTOiymPhpxNOoiEnghYUb0iSmUZIUKRsE&#10;b7H/n4oZBsnjKsZz4wRm+DQwFuEkyoNk/GCSjD8Ok3lcPIZkhpEDE3mYQtPXw4786z7Y17+Yy99Q&#10;SwMECgAAAAAAh07iQAAAAAAAAAAAAAAAAAoAAABkcnMvbWVkaWEvUEsDBBQAAAAIAIdO4kALGdDw&#10;bWQAAGhkAAAVAAAAZHJzL21lZGlhL2ltYWdlMi5qcGVnAWhkl5v/2P/gABBKRklGAAEBAQDcANwA&#10;AP/bAEMACAYGBwYFCAcHBwkJCAoMFA0MCwsMGRITDxQdGh8eHRocHCAkLicgIiwjHBwoNyksMDE0&#10;NDQfJzk9ODI8LjM0Mv/bAEMBCQkJDAsMGA0NGDIhHCEyMjIyMjIyMjIyMjIyMjIyMjIyMjIyMjIy&#10;MjIyMjIyMjIyMjIyMjIyMjIyMjIyMjIyMv/AABEIAesCZ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Lui/wDIHsv+veP/ANBFaFZ+i/8AIGsv&#10;+uEf/oIq/VgL3oPSjv8AhSdjQB5vL/rn+ppo7UP/AK1vqaBUAPFSKf3f41GKk/gH1oAliPFe5/Dk&#10;g+Dbb/fk/wDQjXhUR4r234bMT4QiGePNf+dUxM7QHIpjnnFPQYUCmyLkfSkg6FWUAGo+aSVst9KD&#10;IAtNiLtv/q6lNRwDES1IakaIpe1VZDg1ZuW2qDVSXlc1SJe4zfVm2kydtU6sWv8ArM02IuNwDj0r&#10;nbr/AFrn3roHbg49KwLrliazNEZ8nWqr1akqs4NBRXaomqVqiYUEjGqM080w0AMamGnsKYTQAhHF&#10;Np+eKSgBB1qeAfNmoR1qaI4poTNGPqKvQ8sKzI36Vo275IpiOhsv9Ytao6Vl2PMi1qUMaCvHPivz&#10;r8P/AF7r/M17HXjvxWcHWok28+SvPryaI7gzjtA/18n0qhd/8fMn+8av6AcTvn0rOuz+/k/3jVMC&#10;k/eojUjnmon6UwEopAc0tNASp90Vbh+9VROgq3D96kI1rX7tXo6o233avRmpY0db4I/5GKD6N/6C&#10;a9XHSvKPA3/Ixw/7rf8AoJr1cdKkYUUUUAFFFFAHP+L7v7J4buTnBkwg/E/4V4hcH941er/Eq48v&#10;SbWLP35SfyH/ANevI5j8xq4iZC5qButSSnFVWfmrQh56Gmdqbu4pu6mAN1ptIxpm6gB9LUe6jdQB&#10;JSE0Z4ppPNAATSZpCaTNAD80U0GlzSYC0U3NGakBSaYxzSk0w0APVhiimZooA9D0b/kD2X/XCP8A&#10;9BFaFZ+jf8gey/64R/8AoIq/mpuUL3/CjOEpc9fpTCMKfpQB5s5/eN9aBTWPzN9acKkB4qQ/6sf7&#10;39KiBqRiPKH1oAkjPy17b8NuPB8J7GV/514ejDbXtXw6cjwfbj/pq/8AOqJkd0jArSM42nnpUIcK&#10;tV2mwGB70rBcYeZTQy4wT0zTA2TmnGTIA96piRpx8xr9KdUNu4ZBipqgsq3v+qFUd+VxV+85irNq&#10;4kSH5FTW7fNVenxNg0yTTUZz71gXY2yMPQ1qCVlBxWVcEszE9TWbNIlGSqz9KsyDBqs44pFMryCo&#10;j0qdxxUJ6UCISKYalYVEeKAGnoagwQeanzUTdaAEopQM0pFABinpTcGnqOaaEyzH1FadrjNZkQ5F&#10;adqORTBHQ6f/AKwVrVlafgyA5rVzSAK8p+JNqZNYikMYYbAAenORzXp8tzFbjMrqgJxya888bPDd&#10;X6SLNlAhG0Hjoec0IZwNgFW4cDAAHAArDu1JmkbkksTXQQIkM0jGVDkBcA9DWLdBVlcZ5DdKsDKY&#10;HNRP92rk6YAx1qsYy3HfPFAiAHnFPBpmPmpwqgJo+1XIvvVSj4Aq5EfmpCNe2+4KuJVO2PyCraHi&#10;pY0dj4F/5GKH/db/ANBNeqivKvAfPiKL/cb+Rr1YVIwooooAKKKKAPO/ijnytP8AT5/6V5ZKfm5r&#10;1j4oqP7NsZO4kYfmB/hXk0vJzWkdhMryGqrdasSdKrE/NVIQueKYaXNNJzTAa1JQTzSZFABkUZFN&#10;JzSUAPU/LQTTVOKCaTYCE0maQmikA4GjmkzRmkAvNHNJmm7qBoeTTSaCc00nmgQtFIKKAPRdG/5A&#10;1n/1wj/9BFX6oaN/yB7P/r3j/wDQRV+syh3+FI33Sfal9fpTX/1bfSqQHmfUmnjpTO5FOzxSYCin&#10;scxD61Hmnk/uh9f6UgHRnivavh5x4St/99//AEKvFEPFe0+ADjwla/77/wDoRqkKR17SVE3zAmjO&#10;RQeIjTMyMGnVErU/NMZds2OcVdrOtm281M0x3CpZSY26Y4xVI1YuJMjNVN3NUiWPpycGmbhQrc0C&#10;LOflNZ0w+Y1eByKpTdTWcjWBRl61WfpVqUc1Vk9KkbIH6VEelSv0qKgQw1A1TtwKruaYDaawpw5o&#10;JoAYtOIpB1pQc0AKBSPNHEMuwFMll2AADLHoK5vWddt9OJUYefrg9uOppisdMmo24+bzUU/7XFRX&#10;niSCyXJkR8DOB1rym71aa8l3u7En8MVXM7nGXJ+ppjPVtN+IAtrgyu48r/nmetJqvxNu5Lj/AEVw&#10;kXGABzx1zXlazHuTS+bnvmmkB1+seNdQ1KMRyTnapOCOuDWFNrE8sW0yN0xkmswvUZftQkBObuQM&#10;DuPHvTXuHZgxJJ71Dv8AamluKYXLf2knAbFNWQhveq+crSqdw9xSAtNHuUkDJ6jHeoB1qxa3AVgj&#10;/dPf0NOu4NpMqj5Seo9aaEyJOg+tWovvCqqdBVqH71MRr233KuR9MVTtvu1bQ81Leo0dn4B58RR/&#10;7jfyr1YV5T8PxnxCp9I2P6V6tUjCiiigAooooA8++KJzp1mv+2xP5CvJmPavWviKPOWKMfwoTXkk&#10;oKOQe1XHYCvL92qhPzVPM3aq4OSaoTAmmk0mcmkY07iGk0A000A07gLmimk4pM8UXAdmjNR7uafn&#10;ipYBmkzRmmk0APBozTM0ZpAPzSZpuaKAHZppNFNoAdmimg0UAek6N/yB7L/r3j/9BFX6z9GP/Ems&#10;/wDrhH/6CKvjms7FEn+FMk4if/dNOzzUcp/dP/umqQHmnRj706mE8mnZpMBacf8AVj60zNOJ+QfU&#10;0gHIeK9p8An/AIpK1/3n/wDQjXiq9K9q8Aj/AIo+1/3n/wDQjVImR1G7ilJyuKhyaATTJH7eaTd8&#10;2KeDkVHn5qYi3CcCnMcmoY87c0qksCaXUaCQ5qpIeasMDtJNVSc1VhDxnFPQ0wcCnqKQXJweKpTd&#10;asqe1VphzUSNYFSXrVST71WpaqydagpkD9KiqRzxUdBI1+lQMuanfpUZpgMC0xl5qao25NADNtMy&#10;F5JwBUh4Fc54g1E29sx3HHTaP4j/AEpiKniHxNHZq0VqcykEE56V57LcPczGSRiSTkk026uGmmLM&#10;xJaoASBTSGThsU4vUIORzQWpoCYPTg1VlfNSBqoLkxbNN3c0zdTS/PSgRLupA2RUe6lBxQIlBxxQ&#10;DtcntUW7mnFs4pDJt2GrRsp1lBgk5B6E1lbqljcowIPIoGaH2R08zOAE/wA/1/SnQnLVaikW5tWP&#10;8YHPvVSIbWpiNa2+7VxT3qnbfdFWlOBUdQR2/wAPDnX8/wDTJv6V6oOleWfDsf8AE9J/6ZN/SvUx&#10;SGLRRRQAUhpar3knk2c0o/hUmgDg/FUn2u7m54Hyj8K8w1GLy5nr0S9YyAnOSeTXEa7CQGcCnHct&#10;rQ52fhvwqsp+9U8p3E1XHGaszY0HmmuaaG5pHamICeKTNJmm7uaAHk0maTNHagBCaUHimNQDQBJS&#10;GkzTS1ADwcUZphajdSAfmkJpu6gmgA3UE0mabmgB2aKbmigD0zRv+QPZ/wDXCP8A9BFaArP0b/kD&#10;2f8A1wj/APQRV9RUlDqjl/1Mn+6akz/KoJzi2lP+wf5UwPN+9OqPPNOyKgBwp5+6v40wUrH5V+po&#10;Acp4r2rwCf8Aij7T/ef/ANCNeKL0r2nwIdvhGzHu/wD6EaqJMjpzSU0tSEkjiqZNx2SBQDTG6CnL&#10;0oET78QAdzSCTapFR4JAFG33pAh7v+7quDk1MRtWoG9qq4mTNwKcpytQZPc05Cd2M0ATqvzVBN1q&#10;0vWqk/3qzkaw2KclVH61bkqpJ1qS2QN3qMdakfrUXekIJDxUVSP0qI0xC1GeCc0vIqKQnGaYmR3E&#10;yrG3t1rzbxZqBluBHn7ozgd/T+teg3RVLZnf7qqWI9a8i1Scz3jMx9qFuNFDOWzT8YFRjqKlmXZg&#10;dyKoCHed2KUscU33pM0wHq1Sb6hpQaZJLn3pDmmA0uaAFyaduqPNOBoAeDRuptFAEoanq3FQKakB&#10;oGbOmXPlfISOeue4q1cwrFLuj/1b/Mv0rDhbDKc4rchf7RYlSP3kTcf7p6VPUfQuWx+QVaXrVS2+&#10;7VkUhHd/Do/8T1v+uLfzFeqCvJfhy/8AxUW31hb+letCkMKKKKACqWrAnSrnH/PM1dqveR+ZZzR4&#10;+8pH6UAebScjFc1r0Y+xyHFdK3DEGsDxEP8AiXSECpW5u1ocFMcE49ahY4Bp0vPfvUcn+rJrY5yJ&#10;TyaH60i01jQAE00Hmgnim5piH5oB4pmaM0AKTSA01zxTRQBIWNIWpuaaTzQBJuozTewpM0gHEmly&#10;TTcmjNADqRjTSeaaTQA7NFNzRQB6hon/ACB7PP8Azwj/APQRWh0rP0X/AJA9n/1wT/0EVfNIod3P&#10;0qG5/wCPSb/cb+VS+lRXRxZzf7jfypNgeadSaWmjrTqkBwNKx4WmjpTj9xfqaAHqa9p8D/8AIo2X&#10;/A//AEI14ovQV7R4IP8AxSNl/wAD/wDQjVxJlsdIx4pR0qNgeKeoJFUzMVzwKkhAP4VXc09ScHHp&#10;SAmLAjikjOTTEU7STTo87zSGh0x+Xiq/bBq1wWwaZOgUZFF9bAQ0IfmpCaFHyk1Qi5Ec1Xn+9T4O&#10;tNm71lLc1gUZKqP1q5NVN+tItkD9aiNSt1qJutBIxzxTDT3qM0AITUb9KeSKZIcrQBieIZzDpEx7&#10;sNorym4UvPI3pzXo3jGYrpxUdRz/AErziYsN59SBVIEJb2xlheXPCuq/nUt9GUkyewFX9NiT+xLo&#10;kkMsiPj/AD9DVbVBgD3X+WafUpqyMo0UNSZ4pkhnmlyKbRQSPyKXNRZpfxpgSUlMyaUGgCQNTs1H&#10;Sg0ASDpTgeaiBp4agCxEeBx3ra02YGcxbSGdSN2fxFYcbDkZq/Zy+XcI4/hYH8BzSZSN+Ibc1YGK&#10;iI2sy9gxwfalGfWpCx23w658Sj/ri/8ASvXB0ryP4bAnxIT6Qt/SvXaQBRRRQAU2T/Vt9KdTX+4f&#10;pQB5jccO31rnfEb/APEucA10F7II5XTHzg9K5jXMmxkYnmpW50dDhJevWo2OY6dKcyYqOQ4StjnY&#10;0HmmOeaVetRueaBATxTc0maTPNMQ7NGaM0UAIxyKAaQ0maAHUh603j1oJoAdmim5pDSAfu96WoQe&#10;alzQAGkPFBphOaAA9aKKKAPU9G/5A1n/ANcE/wDQRV8dKoaN/wAgaz/64J/6CKvikULmoLzmwuP+&#10;ubfyNSmoro/8S+4/65N/KpYHmg60/tTBT+1IAFOf7q02hz8qUASJ0r2zwOo/4RGx9w3/AKEa8SXo&#10;K9u8E8eD9P8A91v/AEI1cCZHUSKgiyKrKeDTpHOwc8VEr8VTMwblqerY4qLdk8U5BlqEhkofHFWI&#10;kBBNVZBtxU0DnbSYDZfkcc0+T5ouajmG9x9amxiIcVL0aGUqep+Wo8c81IB2rRkk9sOtRzdTViJc&#10;LUE3U1i3dmsNilN1qm/Wrkwqm/WkaEDdaibrUrVE3WghkbUw9KcelMNADD0pjfdp7d6ZQBxnjVm8&#10;iNB/G2D9M/8A6q4e8G0DB6gGvQPF0Sy28e7osqn8P8muEv4sRw4ByeB/P+v6UwJ4Y2tlaKQ4VolP&#10;HcHpVfUSGtEJ+8pIyD2rtvEugNa3UcsaAxtEFK/QYNcLeRbFkjbscfShGmxmk8U3dSnpUeDVmdx+&#10;6jIqLnNO4oEx2aM0mRS0xDsmlFMzSgigCSlFMzRmgB+eKcDTRSigCVDjmrtucHPtVBTxVuE/OppM&#10;aOtR/NtopPVQDSiqtg5azCn+FiKs1I2dx8NCP+Eif/rg38xXrleQ/DLnxI//AFwb+Yr16kAUUU0t&#10;QA6mt901GbiIEKXXcTgDNPZgELHpQB5vr3lNq1zJGMZOMfSuR1w5sHrpdUlMl3K395if1rmNYBNl&#10;L9KhbnSlocDKf3ppkp+WllYea1RyHg1ucw1DTX604VG7CgAqMHmlzxSUCH0gNNJoBoAUnIpMig9a&#10;aetMQuTS9qbuo3UAKDxSZozTd3tQAo+9Tt3vUeaAw9KQEmeKSm5pCaAH5oqPNFAHq+jf8gaz/wCu&#10;Cf8AoIrQ71naN/yB7L/rgn/oIq+DUlC55P0qC9bGnXPH/LJv5Gpj1P0qtfnGmXR/6Yv/ACNIDzkd&#10;KdkU1fSlpALkUr9FptDnhcUASJXvPgdR/wAIRp5wM7W/9CNeCKeleo+GPHmn6botpYXMcqmJdpdR&#10;kHqapEyPQZgVToarAGsweONBuRj7Yqn/AGhirUGvaRPxFfQk/wC/VXIZaUZNTRgK1RJcWz8pPG30&#10;YVIsqnoQfpzTuA+YjcKIyAtROSWzQrUNAWOuDU4OVxVVScYqdGHTNRIaK8q+WelNRwTVqYCRMVUh&#10;QiQg0J3QNWZfTlRVaYfNViPIHPSoJqg0joUpqpuPmq5NVR/vUFNlZxzUTDvUzdajbpQSV2FMbirB&#10;XNROBQBARTT0qYgYpm2gDnvEkO/TZHx93n8sVy6af9q1bTIeCpuFB91zk/jXe6jALizmQjgpXIo5&#10;0+ezuSozHIGPsORj86aA72/hW5YqMfIhzXlviHTxHdM8QG2QZwOxr0aHUUmhnuB1MfrXI6tsktIZ&#10;M5IGazUtTo5bo82kQqxBFRE8VpahDiViOhNZp71sjCSsJS0zNOBqiWLRg0maM0CFwacKZmlzQA8N&#10;S59qZmlzQA8GniowaeDQBIuScVYjYgrgd6qoeanU4x7GkNHS6XIGSRPoRV+sjSWzcEeq1rHg4NSM&#10;7j4YD/iopv8Ar3b/ANCWvXa8j+GB/wCKhm/69z/MV65SAQkAEk1554m8Wz/aBbWL7Vzy3c138yl4&#10;XTOCVIz+FeQ6rpE9gZbidgSHKGmioiafr9x/wkdkryloxKgP4mvWdQmFvps8v91D/hXgZYxXkcoO&#10;Pm3D8DXsms3yy+F0nX/luq4/EZoloLdnB3UhaRjWHqh/0KX6VrynrWNqrf6JL9KxT1Oroefz8TN9&#10;ajc9fpTpjmdvrTX6n6V0nINzxULNz0qTtUTHmgAyaQGkJ44pAeaBDiaAaZmlB5oAfuqNzk0E0GmA&#10;maM0UUCFzQaSgnigApKKKQDqSkzRmgBaKTNFAHqujH/iTWX/AFwT/wBBFaNVNLgKaLYsOht0P/jo&#10;q0DioKFJ5P0qtqPGmXX/AFyb+VTFjuNV9SP/ABK7r/rk38qYHnOeacpzUeakXpUgLQ33VopGz8tA&#10;Dx0pVnkXIB4B6UgHFRAHJJ9TTAsi5bvg/hTxdY5x+XFVeKXFILF5b4qchnU+zEVai1q7i/1d3cL9&#10;HNY2TTh0o1DQ6JfE2pL01KcfrVqHxjrEP3b/AHf761ynNAFO7DQ7u3+Ierwn79vJ/vLV+H4mXqvm&#10;azib/devNeacCQaG7iseuW/xPtiCJ7CVf91wanh+JGjmQmSGdR/u1475retL5rf3jUhY9zi+IPh6&#10;Rebh0PoYzUb+OPD8n3b0D6rXiQmb1p3mHqeaSVho9k/4S3RJfu30Y+pp/wDbGnSDcl3Cf+BivF96&#10;4+6DSgoAPlI+lMOp7Qt1byj5J42+jCnHDJkEH6V4wk5Q5SSRT7NU66ndxjCXsw/4FQB63nHWmNXl&#10;qa3qSHKX8n481ZTxPrC/8vKP/vCmB6MTxTa4KPxhqa/fSF/0qUeM70H5rSM/Q0gO1K7hz06Vz02l&#10;Lc3XlPwgUn+R/wAaojxq2BvsW/A1f0vxDbX9zKRE0ZSFid3OeQB+RIoew47ly0tI4rKWNHzhCK5S&#10;ZTNaGPdyjEY9q3tGvFfUZrcn5Zc7fr61z14Tb38idtxBrB6Hco6WMbUNNk8kyKNwHUCuZmTafxxX&#10;pPEOmpIeQ/auO1WzVpmMYwp5rWEjnnTe5g0opWUqSCORTa2MBcmjJozRQIMmnU2gGgB1GaKKYDxT&#10;xUQPNSCgQ9fvVOvINVlPNTjr6Uho2NOYJcRMGx2rdySTmuatTjYR1BrpdwO09iKloo7v4XrnX7g+&#10;luf/AEIV63Xk3wt/5Dt1/wBe5/8AQhXrNIQhGa47xbppm0+79N3mKfw5rsqp6jAs9pIjDg8Ggadj&#10;wSYHyQe6nFd9DqQvfBVlGBzE+0/gDXGeJNPl0q/kt3zsckqR6Vf0BydMaMMdobdj1olsVFaks7YJ&#10;rF1Js20n0Na054JNY2pN/osn0NYrc6WtDg5WP2huO9Nc9aWX/j4b61GzHmum5yMQnrUJPNPz1qIn&#10;mmIcTxTQeM0c0itweKADNGeaKKADNGaKKBBmkzSZppPNMRJmikHTmm7vm9qAFJozTCaM0gJRRTA3&#10;FKTQAZopuaKAPZtHnV9DsRxxbRj/AMdFWmiVlJFcfo180Wn2gzx5SD9BXT2N4kxAJ+tZlCujITxV&#10;PVD/AMSu6/65N/KugaFXTAGawdbjMOm3QP8Azyb+VUB5xUi9KZnmnr0qQFpGP3aWmueR9KAAPSgk&#10;0wdKcDTAcKXNJmjNAC5pab3paQDhS4FMzR+NAD8CnYFR/jR+NAh+BRgU2igY4jml5xTPxpc0AOpO&#10;aTNHNIBaXA9KSlzTGxeBR0pM0tArBz60ZYdDRS8UAG5vU1asrnybmN2JADZOPTuKq8VJBG0sqxou&#10;52IUKBySTikxrc6CwWeHVomdQHNwAu3gFSeP0qrr3yarcbecOf511z6Ytlqwu2GVt1Mm736DH6Vx&#10;V+WluWdurEk/nWEkd9N3VyGTWWliFqyf6sqgHc8dvpiqbhZUIHbqKsR2Mgn+0/KYzjcPpwMfnVO6&#10;3GbdH8vPSqJs9mZd7Z7AXA+tZbcGurUCZCGHPesPULBoWLr930q4zMalPqihmk5oFLWxzMTmnCkp&#10;OaAHZopKUGgBc8VID8tR5qQfdpgKp496s9waqLndVkHgfSkMvWjYTPcGunjH7pD7VytrypFdLasT&#10;bLnqOKlldD0T4W/8h279rf8A9mFesCvKPhUM6reN38j/ANmFerikSLTWAIwRwadSGgDkvE/hWPV4&#10;B13Kcq3pXJWmg3elxSxSx7kAyHFetVDJbxSoVdAVPUetD2Gnrc8cuhtFYWocwuPauo12AW1/cQjo&#10;rkD6dq5a95VvoawW517o4Wfi4b61Ex60+4z9ob61Cx610nIxuaiJ5p5NRE81Qh2eKOlA5FNNACk0&#10;maSm55oAkJozxTc0hNAh2aQmm80nNAiQHimE80uaSgBOaWjNJmgB3NLTM0qk96AH8UU2igDr9Pci&#10;wt/aJf5Cta1uCrA5rDsWxYW//XJf5CrsT4PWsjRnd6ZqCyx7HPNO1a2W702dD3UiuTtboxkfNiuj&#10;tL0ToI3PUU0yTzi8spLOQqw47VAOlegavpCSW7MBz2NcFNG0MrRnjFADaZJwfwp9RTSIHClgDigB&#10;AeKXNR71/vCnBlx1FMCQNxRTAwPQ0ufegB+aXNMBoJoAfinA0zNOyKAHZozTM0ZoAfRmm5HrS5pA&#10;OzSUhI9aMj1pgLS00Uc1LAfkUtMFLmgY6ikyKWgApaSjmi4Dq6bwLaLc+Iklf7lvG0v/AALov5E5&#10;/CuXruPhxF5lzqDYz+7Vc/Uk/wBKLjW5v+KLjy7MIOGkI6f3Rj+ua4K4GT05zXTeKLoTaiyq2VjG&#10;wH+dc4+GFcsnqehTXuk9onmIUwKrXWlGJyzDvWhpbqtwpPTPNW9alVmwuMVV9LiS96xzP2ZVP1qr&#10;dwqykHpWq1U7kcVClqVKGhxt1CYJSMcdqirY1CHeuaxzwcV1wldHBUjZ2DNGaQmm55rQhD6KbmlB&#10;zQJjs05aZT1NAhwPzVMhyKr/AMdTIe1Ay5Zk7feulsmzAQeuAR/L/CuYtjt4ro9LkDIo/wBkg/hz&#10;SZSPTvhWMapef9cB/wChCvVhXlfwrYf2nfDv5K/zr1TNSQLSGjNBNAwooozQB5n40h8rWJWA+8Fa&#10;uHux+6cn0Nek+PIf9IgkA+8hB/OvO75MQuPasmveOum7xPPJ/wDj4b61Wc8mrNx/x9MPeqjnk1uj&#10;mluJ3qInmpAeaiPWqJHKaQnmgU0nmgAoNJmjNABzS0UGgBM0tNoBoJHUhpaaTQAmKXNFM5oAfmlB&#10;qPmlBoAlopoYYooA6exP+h2/p5a/yq0GIOapWR/0K3/65r/KrQNZFlhH6Vp2d3sI54FYwqRJCpoQ&#10;M7+2mW6t9pwTiuU8RaM0eZ0XPfirOlagY5V3dO9dZNBFe2ecZBFMR5CeOtUbtd0gz6Vt6tZtY38k&#10;ZBC54rCuZF84juBQAwRijyvekEopfMHrQAoTjgkUbHHRjSiQeop24HvTAaDIP4qdvlHelyPWjNAC&#10;iaX2pRPJ6Cm5FLgUAKJ37il+0N/dpMCjigB/2j/ZpwuBjkGo8fSjC0gJROp9aUSpnrUJUGk2g0wL&#10;Hmp/ep3mL/eFVfLFJ5dIC5vX+8KdkZ61SEfuaNh/vGgC7S81Rw47mnAyD+KgC6DS5qlul/vUu+Uf&#10;xUrAXCeOa7n4fzfZrDWrkclEj2j67q878yXHY12nhK4aPwxrG4fM8kSgjsOaUtEXTV5JDbqTezMS&#10;eSSTVB5hVl/nODVO6i2ocdK5bHppWLlpJhciprliwBPNZ1jLvh47Vbd92KG9At1IWNVJuQatNVWX&#10;vUx3KexkXa5BFYc64Y1v3Q61jzrmuqBxVV1KVNFPYYplbI5WGacpplOBpkjieKUGmE8UqmgCXIzU&#10;qetQA81OvSkwLEB5re0ljuAz/F/SucgOTkd619LlIlwKRaPYvhX/AMhe/wDaEfzr1bFeWfCwbtTv&#10;n/6ZL/OvVBQSJijFLRSASkp1NNAHL+NYC+mxzgfcbn6GvLb4Zjce1ez69bC50a5jxk7CR9a8dvkw&#10;jZ9KzludFJ6HmdzxeN9TVFjz+NaF6MXk31NZrH+dbIxkO9ahJ+aps8VB/HTJJAaiIyak/hpmeaYB&#10;RRmjNABRRRQAUUmaXNAgzSZoJpAaAHZptKTSZoEGaM0lFABiilooA6Wy/wCPGD/rmv8AKrIPFVLE&#10;/wChQf8AXNf5VaFYs0Y8OaeGFRUoNCYJluGXawNdt4fvxLEIXYHHSuBVsGtfTbtoJFYN9aYmbPi3&#10;SRcQNLGvzryK86eNSSGQZ71628y3lnuHJI5rzjXLA2l2WUYVjTEZHlxf3BSfZ4f7lPxTs0AQm2iI&#10;+7ik+yxdsipqM0wI/saf3jQbUdmNTAU7FAFX7L/tmj7Kx6MKtYoIzUgVRbv/AHhR5D+oq0BiloAq&#10;eRL6Unkyf3TVzkdDS5PrTAp+XJ/dNJ84/hNXQc0UAUfm9DS7z71dz9KXC/3RTAo+YaPMFXdq+gpN&#10;iH+AUrgVA69yKduWp/JjPVBSeRGe1FwId3vSbx6VMbWMjvQLROxYfjQBErAkDB5rr/BcsbxapZSY&#10;xLEJBnsVOP6iuWS32MTuz6Z7Vp6BL9i1u3YsSJD5TD1Dcf4H8KmexdN2lcs6lPNp8gHkmRCeWBxx&#10;7VFNdJLa71JwfXqK6nW7ZUilVQNkMSwj03H5if0/WuQFopchjkegrlselF3RNpPyoQ3fkVffiqiK&#10;FdSvG2rTHIzSZfQiY4qvLUznnFRSGlHcHsZV0OcVlzL1rXul+as2deDXRFnJURlP1NR5qWbgmoa3&#10;RxsKUUlLnFUID2pRRnjNKKAHDtU4OI/rUA6/Spif3YpMFuSw8KK0NOJFwx7Cs+M/IM1btX2zuPcd&#10;Kks9x+E4/wBJvGPeJf516nkV5P8ACqbE93/1zX+deneeaqxm3qWs0uRVT7QaPPpcrC5a3CkyKrmU&#10;jpSed7U+ULkk674WHYgivGtdgNtczwtn5GIFewGc7SMV5l44jEepSSD/AJaIG/HHNZzXU2pM8Yvz&#10;/pcvuxrKJ5rS1E4upPrWaetXHYie48/dqH+Kpc/JUQ+9VEj/AOGoc81I3AxUfemA6gdaKO9AC00m&#10;nE0w0XAUmlzxTaXNABmkooouAE4pM8UjE4pAeaYh9FGaaTSAfmimA0UAdLYn/Q4P+ua/yFWs1Vs/&#10;+PKD/rmv8hU/NZFsfmkB5pvNHeixJKGxVq2fkVQY1LbygEZPNBR2Wm3JVQueDTtZ01Lu2PA9jWVY&#10;zgha6a0kWaLY/pTEeW3NvJbTmN1xj1qOvQNa0JbqJnRcN2NcHPBJbytHIMMKBEWaUDNL+FOxQADt&#10;TqQUtABRRRigAooxRigAooxTqAGijNOxRikAlLSYpcUAFFGKKQCZpQKWigApQaSne1MBMc1oaAYf&#10;+Ej09Z2whl3Z915H64qk3yrzTLewv7q7jktonYpIBGQOrZyB+NJlw3Ou1S5USS2+8EmQsef8+9Y4&#10;Xk+tXdT0a9tZkl1BFtnljLF2b5Sw64NZE8jWdxskbcV4P1rBx1PSja2hacYGRSpLlQKrpdRyjCMD&#10;SoRuqJKxROw71CwzzUgJIprdKlbgyjcAZNZdxwprUmOQaybpgcgVvA5qmxkzHLGoqc/3zTa6EcT3&#10;CkHNKTxSL1qgHH0p69KiPMlSgYFAhV+8alP3QKjTqakPQUmxomH3APep4Di8wPaq4bhanhX/AE5f&#10;ekUe2/DHYtzeEEA+WvFekFx61892t5cWWWt5niJGCVOM1dHiDVM/8f03/fVNMiS1PdjJ70hkx3H5&#10;14gPEmrf8/sn51IvifV16XslVzE8p7gsgKZyPzprSEdK8VXxZrK9L16lTxhrC4/0on60cyCx7EZD&#10;tauF8doWjjm9sGufXxlq3/PcH8Kq3+u3WpWstvOwbAyDjvUSd0XBWZ5rqX+vdu5NZx5rS1L/AFjV&#10;l0LYJbjs/JTVpx+5TVqhA5plOfrTaAHUUUmaAFNNJFK2SOKRELHmkgCin7DTlhZugzRcCHFLU/2a&#10;T+6aDbsDjBoCxWNNHFTvCRTDHjvTuIZmlpCpFKAR1p3QBRTqKQHQ2P8Ax5Qf9c1/lVmqVi2LWD/r&#10;mv8AKrvWs0WwoppODSA5pkiseKiEm1gac2cVXdsGpKRuafdAMM11tlKMAivP7KYBhXZaXOGRaaEz&#10;rbPy7ldkmBkVma34G/tFTJb3Nuko5+ZsZqWCbaQRW5EUuoADjOKYjz9vhvqufluLNvpMKb/wrbXD&#10;9z7M30mWt/V9NlTc0DbPxxWYIb0QBVlGfXfQBSb4c+IFX/UQn6SrUbfDzxIBxZA/SQVoeVdKMCZy&#10;2Oz0wm/Uki4m/BzRcDNbwH4jXGdOc/Qg0xvBHiNeulz/AICtM3WqBCVurkHPZzTk1DWU/wCXu5H/&#10;AAI0gMVvB/iBeulXH/fNRHwxrYODplyP+2Zrpk1rWkXH224/OnHxBrajIvZ/zzTA5M+HtXXrp1z/&#10;AN+zTDouqAZNhcY/65muvbxVr4IUXkv5D/CpB4t8Qp/y+Mf+AigVzim0y+T71pOB7oajNldAZNvK&#10;B/uGu7PjDxABnzVb1zGDTT411nGWMP8A36FILnB/Zpsf6p/++TQYZR1jcfVTXdjxtqg+9FaN9YRT&#10;v+E0vZODY2RH/XEUBc4Dy3/uN+VJtI6g/lXoX/CWueH0rTyD1/cinDxZEfv6Hp7f9s8UBc87/A0u&#10;K9CPiKwkH7zw7YHPXC4qSLVNKuJVjTw3au7fdUZyaB3POlQt0Fb+l6JFJbi6vmMcBUleMbz6e1eh&#10;abpOl3m97nw9HaiM4Byclv8ACo9Xs7FgA4KxDhY06AdqTGjhd8UlwFtbdEx/Ey5H1+v/AOutfTWm&#10;iuPMLMI4TkBh95u5P602ZIY2xDbhVH8RXJ9uKqy6k0SbGAiwMkgdT39qhyNEibxjNPrNrZiUZRAW&#10;Uj1ribnMj/O2Sc85rpptT+36eIbdvMmSM7hjkDJ5/WsFbIoQZBzUtnpUnHkRUitfKPmA49qv27bm&#10;OaGQYxRGNjZrNyuBaUcU2TpTlYEUyQ/LWYmUJ+9Yd7JsB9a2LqTYmSa5y5fzXJPQV000clWWhXJy&#10;TSUUHpXQjkEJ4pw4WmdqXPGKYBGMnJqbNQocU7JNAyVOKkHJqFakBwagETGrdliTUISOQQKoFsnH&#10;WtHQUMlyD/dFBR0zcmgDmgg0oINK5LFFOpARTlouAtKCemKcgwalCrmgLDYwcZNIp2vn65qQnCEi&#10;oSwAo3KRympKPOl+prI9q19RP72X61jDr+NUiXuTMOBTac3QU2qEMfrTaCcmigApQM0laGnabNfO&#10;FRDg96TdtwKiR561dtrCWc4jRvyrrrLwxFCqNKMnvW3bafDFwqAfhWbn2LUTlLLwq8m1pmI/Ct22&#10;8O2kK5K5NbYQDgCkILHmsnJlqxkSaPbOMBABWfeeHo2j+Thq6jYBUTjj1oUmOyPP7nw/OmcHNUxo&#10;lwW+YcfSvQJEBbmo2hRh0qlNkuByNvoUYHzjJqLU9JSOLdGK62S1UHIFU7q33oRtzRzai5dDz9lK&#10;nBHNFbGo6ftfIFFa85FhbTi0h/3F/lV2M5FUbX/j0h/65r/KrMbYakVYncc1HUrcioM4OKBWFY1T&#10;uDzxVtjxVObvSGJbykOK6rSbo8DNcYrbXzW5pVztkXmmJndxXPAya1rG/wBjYB4rnIn3QhqjS9MU&#10;mM0xWOw1OWOWAE8A1j2uiNe7vKuRjtVSfUt9qQT2qHwprZ/tN7Z2yucikI1v+EPvONtwpPrSHwjq&#10;Y/5bLj613MXzRhuxqx8pjxVpGbZ52fCmrKTiRSP96mt4Y1fH3gf+BV6CemKbzQ4iuzgh4b1fb/Af&#10;+BU+LwtrTn/VAj/ervkTFW7Y7WwOlJoaZ5hL4W1wthYPrzTD4a10D/j1avXHxnOKacAGs07lHko0&#10;PXY0I+yPz7VVn0fV1xus5P8AvmvZ1UFTVaWMGmB40bLUUHzWb/8AfNLHFcovz2DH/gNesSIDniqj&#10;xr02j8qBnmmSPvWDj8DTGaH+K0ZR9K9IeJO6L+VQm1gbOY1z9KAPO90eR+4OK6vwhYRM76nJEy+U&#10;dsQPdq1/skGP9Un/AHzV25At7ZIUAVQvOOx70pOwJFRr9mDhiSelZVxE8jh5GwOvNSwkRZI+ZySR&#10;u6D61UuZGkySDJ7twKzu2apIgumiZ1WNS4HXjNY2pxCYFDCxB46VpM55DMqDqFXnJqGVQYy3lyc9&#10;DnmmWZHh3TBHrs7IMo1q2R+IqHWIxFPtAxWnpLlNWcAnJiYDPB6iszVyXumPWpnsb0G27GXTWFPx&#10;g0YrE6RqMaZNLtGBUmOKhkUd6aIkzFvGeRsHA9yayJyoO0c1sXoZwwGFWsZ1PPFdUNjiqkdIelOI&#10;IqPmtUYWFpDS0gpgOxxTgeKTtQOlJjJF6UpbFN6LTWcdKQD0lKnK10vhC0nu7t47eMuxXOPauT5x&#10;xXUeDLz7Nq0Z3FSQQMd/akwTPUNM0W1t4R/aNlI7uc+mKnaLwwjkNZTDBxwalttan4BkBjUcbznN&#10;Wmk02+w81qm48bo+P5VmmHLYqpp/hiYcQTr+NPGj+G8kBZwPrV4aNG6+ZaSEgjHlnrTP7IkAOUf6&#10;7aoRTbRfDx6POPek/wCEe0IqMXEwJ9qtPpsgjZdr4/3akaxYRKu1x+FArmTPoWjjCLeybs8cVVvd&#10;D0yC1d1vGJAzyK0JNOd7kH5uPaqusWZFnK/zZCntQUmeT6kAssoByM1jj7w+tamqHEjg+tZafeq0&#10;D3JnNRt0p5pjVQiPvTqMc1LAyK2XGaANLRtFe/uFMhxH7139tBZ6bEEXaMd685GqzRAeU2wDsKZJ&#10;q13IPmmb8DWbVyk0eqx3UM+RGwpTcRI2C4Bryy31q5t2JWRqfNrd1K5cyEGp5CuY9Qiu4ZgWRhgd&#10;6mSVG6MMV5Vb67dW8LIrHk0+28R3kLljIW+tJ0x86PUXkRfvMB9aia5gQ4LrmvNbzxLd3IA3Yx6V&#10;SbWLt2yZD+dCphzI9Olnty2A65qGOeJ8gOMivM21S63h/NbP1p8OrXMMxcOefej2Yuc9LDKw6ioX&#10;2Eda4mDxHPGTnn61E/iKdsnJFCgPnOovIUlPAzRXOxeImUfNzRVcjFzISEYtIP8Armv8qk6UIuLS&#10;A/8ATNf5CkY8UyLluNgyYqvJ8rGnWzYNLcDrSGRMeKqTHipmPGM1Xk6UxlcnBq5ZTbXXmqLnFOgf&#10;GKdibnfadcB7fBNVbyQpLx61S0m5+TGalvX3HIoKCS+IiIz2rN0e/MOtxuDUdyxEZrNspCL1T3zQ&#10;I+jdKu1msl5zxWgDXJeEbozWKZPQV1iDK1aMHuOFOA4zioxTg+FpgSZxU1uRnrVfOVyaRCw6UnsC&#10;NXtUbc1Gjk4FSDmsrWLJE+6aik61OnSoZutAyozAVUlOW44qxJxmqzDmmBC/NREVOyim7QOtAiJR&#10;8y/Wl1J8u4H4/Wpo1DyKAOpFUdXYxzOw5ViWP0/yKmWxpFGXv4JGPl6E9P8A69Zs7q8hBLy+w4FW&#10;ZrmKJRnG4n5R/gO9Zj3rFmCo+PXgDr+dZFomjDLkpEqf7TUTFDExLMx7nNUJJpME8Dg9eenWpMeb&#10;G45Jx1NNBcofavsd+s5y0YOCe4FO1FUnn8yMgo65UjvWVf74t204wckZ7elcxN4jurGXy02vFnOx&#10;u30puPMjSFTlOjYYJppOK59PFiMG8y2IPqDVWfxHLLu8mMJ9aj2LN/bxsdFNcpEuWYKD61AZvNGc&#10;8HpXHTXU07hpJGbB6Zra0283IFc9OlV7LlM1W5maTwq7fNzVd7ZcYCgVaVg3Io2+9TexVkY89kxO&#10;cVSlt9i810Mo9qyNRXauO5rSEmzKpBIzaaDSj7uKaDg1ucw/PFKDxTNwzinUAKzfKaiJzTm6Uyiw&#10;Cr1rofCqB9WBP8CbhXPgc13HgaDy7e5uiqkswQZ68D/9VTLYEdpFC0rLh5AoHQ8VtW9om0YkwOvN&#10;ZVqwZgzMPxNbMcgUYLKOO44/Q1hc0Niyj8sACYYHT2/KughviI181Qw/vr1rjo5mJA6jPUMGrQtr&#10;qRMEFgB0yMfzpxlYTR2SojrlVBH0qN41AA2j8qz7K/Tcu44J6471ou4PTnjNap3JsQiGPJJjU/hW&#10;Zr8Mf9k3AKLyvpWyBxWN4nfytJmYnotUJHzX4iULqE6rwA9ZCA5zWrrp3XsrdQWrMU4WmhscTzUZ&#10;IppNIaYh2aaxopueaAFzQRn60gOaWlYBtPDDFMIxQKAHZpM0maM8UwEzS9aTFCmgBc9qXPFNY80g&#10;JNICQYxTTwKB0oPNFhhiiiimB1SpnTrc/wDTJf5CqzelX7Ub9Mt/+ua/y/8ArVRlGHNZgtRsb7TV&#10;iQ7o6osdr1YV9y0DRXY8monbIp7nBJqAngUIZDIOKahxTpDxUYbmmSzc0uU+YOeta06/JmubsJtk&#10;i5OK35JlaEYNA0Zl64EZFZllzdA+9W75uGqnYH/SFPvQDPaPBjlbRRj0ruo+Frj/AAfGPsMTY6jN&#10;diSMcVSMZbiY5ppGTQwI70qZNUImRQVwaljhBpiccVcg27PeobGhqx81LjnFNDgNTjyeKgseKry9&#10;TVgVXl6mgZTkHWoGWrL1XY0ARkZqNgdtSE4pDVCC1Qi4XHOAT/47WXfP5kTf34+PwySP61tWeFaR&#10;yRhVx+dc/qhFpeFmOYyMNj+6RgmomXAwbtfnwAPmPXsfrVB1O7r6Zz/nt1rV1EfONwyMDI7cisiQ&#10;8kMDkHn+v6VmWBAPAIyBzx+VOt2BEi8jIOOaiY4BDehz/I/4U6Bis5XPJ4PA9P8A9VAGXqEYztxx&#10;gkZ7fX3615tqvF/KuPuk16ddgeYQBnrjP8zXm2vJt1ece4rSApbGaBT4xkvk8YpnQZpQcDFambYH&#10;k4FWbVih4NUz96poz0oauhxdmdFbTk960FORmsSzPSteM8YrlmrM7IO45hms2/gDEEVpE1WuMEGh&#10;OzHJXRgNEy5qEjBrQnABqjJy1dCZySViMLlqk70oGBSd6sgYx7UznsCac5+akB60APTrXpHhW2Me&#10;jwIpGZMuT9Tx/SvOIkZnCKMsSAB7mvYtDtDBaRhi4UKoBA4GKznsOO5sW1pD5YAkO/3A/rTnsnRv&#10;k4HtxQXJ7CZfbhqVWOfkace1YGth8VvMNoZsDphsD/CtGNJrchlcMOM8dR7VXgQ45YgkcEgEVbjk&#10;KRnI5JxgdjQSW7ecBN3c1tabPmRQ7ngY5rnFGDtA25/hHWtSxdo5Bnj2PWqTsxM6fGPzrkvHV2IN&#10;FlBYAsMCugvdSt7O286eUIu3qTXgXj/xk+s6k8FtKfs0XHB+971uQcjqsim4YA55qgT8tRvJubOT&#10;SEmmgH00nmmhqUnmmAueKb3pKKAFBxS5poOaWgAJzRRRQAUUUmaADNHeiigA70UhOKM0AFLmk3Uh&#10;OaAHZoqOigDsdMfdYQD/AGB/KobtcOai0eX/AEaNT/dH8qs3fK5xWbGig470Rvjimk1GDzQULMet&#10;Vye1SyNk1ATyaYDJORUXensc1HnmglliBvm61sxOWi61hIcGta0fMeKARXvfuGotMXNwox/FU199&#10;2jRE3X8Q/wBoUAz3bwxGI9Oi46LW/nisrQ4gljHx2rUq0YvceckCpEIBpqDctMJOadxlgPlqlimC&#10;nFVowScipo4zu5FQwRYZCSMVImeAaVEIwTQfv1nctEoPJqtKeTVgd6ryjk00MqvzUDVO4xmq7ZxQ&#10;Aw0xmwaeah8tncAdSeKYFmQ+XYbgBljn64H/AOusLU8XVl5nBdOCPb/Ofyro7pQLcJk4UVzTl1Z0&#10;PzZHb/P+c1L1KiYpJktNpwzxjr6jtWXICDgnv9f881onMN6m44V/lORj6frVe5iKvnkdf/rVjc1s&#10;Z4yHx1xknPf/ACakhX/Sl2nPH5jHFRkASKAQemKljYG6QHgc/wAun5U7hYgukO5j17V5j4iYHXLk&#10;DsQP0H+Nep3S4LewxXk+tNv1m6P+3/T/AOtWtMiWxQPNFFFbGYmMmpFNRninqflpMEa9meAc1rRs&#10;MZrCs3zxWsrYXrWE0dUHoWS1VJnzTw1Vrg1CLbKdw3WqO7dIamun5wKqg4fFdEUcs2WT0FMPWn5y&#10;BTT61ZBC3LGkAoJ5NAPFAGz4ZtGvNaiGBtj+dif0r2C12xwAq5U4GCe9ebeDrQlJJjwzuFB+ld5g&#10;KnyEqcZ4rCb1NErF8n5vmiBb+8pxT45Ikf8AeKcZ75IH1qnF5mQWIIHbHWpJGPCjPJxj1+tZjubM&#10;bKwJA+Q4yo7VKu5m5Zsjg/SsyzMkEeThuBir3n4O5jtJHNAWLUTbWAzgegp91qEFlbyOTyoyCetZ&#10;d1qltZ2zSOwBrzTxB4rlvp2SJyI89u9XGNxC+J/Gt5rCC1DMsSEgc9a5CQk80jPuOTTC2a2RmIVG&#10;aQ8ilzSdqYCUE5oopgFFFIeKAF6UtMyaWgBc0tJSYNIBc0UUZ5pgFITilpDQAhOaTPNLTaACgU4U&#10;GgBtFFFAGtpcuxIx/sitqY74vwrnLRtqxnP8I/lW9G+6IVAyg/DEVGakm4kNQk0BcRjzUBPJqVzU&#10;R5OaBsYxpnentTO9BI4HFaFo+MVnVZgfGKBosXzDbVnwynmanHx3rPvGzitvwbHu1KOgTPdNJBFk&#10;g9BV2q9liO1UVOaoye49WwOKQHJpQBihULPgUyi1bkL1qVp0VqfBAuz5utNktVLcVDGOjuQRT924&#10;ZFQGDy1p0R4qbalFtelQSfeNTK1QyfeoAqyVC1TyVWY0ANNLbpmXJBO0E00mpYSREzDuQKYDLtv3&#10;TcGuXmd45Gwdw7g8Gugu3ARuoNc3cNuZuQ/6Gsmy4lW6dJPvZXAyNw71Bc4dcjHIH/1qlkYldu7k&#10;/wALiohxCFx04qDQyrhcHd0A7+3/AOrNPgO69jJ46k/XFLeD5CR1zTNPVnuxnIAXOT0JpgOveImJ&#10;HOCPwrybWMf2nIR3AJ/IV6vqyNDbSN1+U4xXlmuWzwX5dvuyKGU1pT3InsZZ4zRQCO4orczEPSnx&#10;00jinR0gL1mPnrUWsq0OGNaQfgVjI3psexqrcMeOanJz0qhdTrGSOppRV2XJlSXlmqBjyTT3Ynmm&#10;E9a2RyvVliNspQ5+UmoYyQafKfk+tUAxCPmL80DpTcVJCu+VE/vMFFID0fw7bCG0s4yMHYHY+9dF&#10;991AJwMY/HvVCxUJGfYbBV+1UM+T0bP5Zrmk9TQnLiJS3rwBT7CJ53MjjgfrVIk396Yk4jjz83qT&#10;WvLNHY23POOMDqaBk8s0cedxwoxkn+lct4i8TLaxlY+GNSa1evBYtdSZGD8q/wA68zv72S9neSQ/&#10;QVUIibLN5r91eKVZztNZjsW6mmdsUda2WiJYUUhOKQmi5I4UUzNG+mA89KbRuzxRTAdnimk5oJpt&#10;AC0uabRQA6lBplFIB54pBzTcmndKYDqQ9KTPNBNAAKbigUtAAKG6UDpQ1ACUUUUAWYOIY/8AdFbF&#10;pJuixWPHxDH/ALg/lV60c9AagCa561WJqzccrVRjSGhHNRk04mo6Y2I1NPWnGm96CRKnhNQVLEcG&#10;gB9ycmup8CIDqSZrkpmya6/wMMajGfWgD2+2X9ytTMuDRYrm3Q+1SSjB4qjLqRseKt2QBOTVQDOB&#10;V6MeVGvrSb0KRcBx0FRu+BTBcZGMUsh3IKzLHiRXGDTFVQ3FQorbzxUqKQ3NMCygFRS9TU0fSoJT&#10;yaAK0hqs/FTSGoGOQaYDMe9SwqTaSDOMNkGolUs4QdTU0koUMiKSq0mBiXkjBtxf5fSsaadGUBhk&#10;nvitbUZE2shRwPYZrGkjRuEfP+znFZNmiK8hBH99R2PUfQ0yBVkEi5bIIJHpSyoQMdB6GobaRlum&#10;Q8Blzn6VDLJpo4xGQcAjrVTT3BuZFTkgc56VZk2c4BJqtZLtv5d5wNowB9aVxketf8eku75cKa4L&#10;xnCVjsmC/KFIz+Vd1ri77RowSd5C/TJxWX4l0/7VpEsAA3IhZPwH/wBatIPUUloeVmijr+tFdJgF&#10;OThqbSqeaAL9tyCatA1UtT8pqaWQRoWP4Vk9zePw3GXF15eVU8n9KzmcliSc560rEsST1PWmEVa0&#10;MpSbHDpSGl6Uh5qkSGcHNKSTSUD9M9aYC1s+G7H7XqPmOMpCA5z+lY1d14XsRb6YrkYeY5OfTt+l&#10;RN6DW51Nuv7lVAxnn9avykw2RCLh2wiH3qtaRlpO4C8VaGJL/n/VwLzn1PJ/SsGaklrDHp1kC3Uf&#10;nUaq00guLnKgHCp1wKeHNyd6KSp4XNV9SaS0tGlYYCjnmkhHK+OdS3xx20fCgncBXBsffNauoXB1&#10;K6dicdetZDrtYj0NdEVoZt6iilApgp27AqrAKaYaM0hNFgCkxS0UIApd1JRimIWkJoxRigAzS0g6&#10;0tABRTqa3WkAUUmaXtTAM0U3FLQAvSkxS0UAKOlBozTTyOKAFopM0UCNBU/0eI/7A/lT4G2yVMsR&#10;NnCcf8s1/lVbBV6govSfcqk55NW85jqlJwaAGk0zNBNFIGxDTTTjTTzTEANSKeaZjFKtACufmFdh&#10;4NJF5B9a41j89dh4SYLdQH/aoA95sVb7Ihx2q59mlkHC1DpTZskPtWtFKFAyKEyWjJe2libJU4qw&#10;FZkq7PJ5iYxVcEBcd6GCREkZwKshPlFICKeW4FJlBgelIfvdKccYpTtxSSAI+hqGTnNTrUEnGaAK&#10;clQN0NTuDULDimAkfyK8mcEDA+tVSQiHdgk+hq7Gv7g89G5rLu5VViWIGBUspFK7k5JyyY65HH51&#10;mSjzcj5JPpxVyR45ASjgg88Ht9KoTIMkFQx9Oh/OsmUis5ZH2qcf7L/41WkIS5hYoRg4Iz1Bqy2T&#10;8m7/AIDJ/Q96qXS4iJ2EFTuAJ70iyzIHOcAKKqWHzXc5T5sAZJ71aZ1MYJJfI7VnWE5a7udqfKoH&#10;T8ahlLYmviWntwvUyjcP7yjNLfoGB44IIP0NLvEt9AcKdgZ2GeemP61Jc7Sj5OAATk1cdyXseNax&#10;ZGw1SeAjC7iV9xVGtPxBfi/1eaSM5jQ7UPqB3rMrrWxgwpvenU09aYF21fBP0qO6l3vjnAqONtuD&#10;TWJJyahrUrm0sJmgUUdKCQNFBNAPNNAFGTtK9j1oo96YFzS7Nr7UIYAMqWy3sO5r06JQgRVXAXoK&#10;wvBuk/ZrY30oHmSoCp9FrrLOBWmDtWU5FxRcsxsjLlWAAySRUUYZofL/AIrhizkdh3/wq/NKsdts&#10;3fe4wR2qpCwy8ka7t3AJPygfWsWyy7EBGu0FFx0AGf6VznjW8eLSCokUh+OBzXQpvJ4VB/urmuR8&#10;eSJ9i8vI3qegFXBXYjzoSMjbgcGoWYkkmgv603I210IyHCkPWm5o3cUxi0h60maXvQAUuaSkoAdm&#10;lBpoBxSgUALmlowPWmtQAo60tN3YpwNAhc0MKTNHWgBKXtSUtACUUHiigBaKTNLQAh61IrApjFRH&#10;rSg0CFwKKN1FAHQQfNZQj/pmP5VUlXD1Navi3i/3B/KnSrkZqCiJT8mKqT9asA4NV5utAmQ04dKb&#10;Tu1IBtFFFMApR0pKM4WgBjHL11nhx8SRY45FckOZK6bRG2lPrQB9EaMwbT0wewrXX7orA8OPv02M&#10;+qiugUfKKQAw4qFxsqeo5FyKAGRtuNTFc1XVdtTKxNDEKyHFI2akPK1E7UIZJEetRS1JCetRyUAV&#10;ZOtQN1qaTrUDHvSAEOI5D24rDv0YsQv+f88/mK2i2LY/7RrGuZQGYnp0H+fyqWUjmrh5VkYfxDJz&#10;7f54phunAw3zA9Qeg9KtzEMzEry2f/r4qq0SrleDn249xWZaGC7SXK5x/st3ol2yRlQ3H93/AD0q&#10;rcQ5O8N1H3v/AK1QF5I2yxwO3tQUWLcNJakMSxVivHHHb+lSaZbBEuXbB3NjHpimWky/v1Oc7g2A&#10;PYVPbbDblsNGSxJz9aze5XQigiUanPIDyIlTHpkn/Cuc8Za0LKxNpG/7+bjjqq9zXQxuqtdTEf7B&#10;P0GR/M149ql6+oajPcyFjvc7dxzgelawVyJaFTpx2ooorpRiw7gAZJNI6NHKUcYYHGKX9D60h5Y5&#10;JOevvTAcOlJTl6UhGCKkBKQ0tGKQDaeVUAEHJpmOaUACmAtbfhrRjqd/ulX/AEeMksT3PpWTbW8l&#10;3cxwQrl3OBXq2iaUlhZw20agEAGRh/ET1qZSsVFFmWPyLQGOP5QMYHArQsFKomABnuah1AoI4oV/&#10;iYAVehCqg4rBu7NEinqk0oKRIAX6getT20HlRIpG7aoAx0FUYJEuNVmlxnyiFTPY961FRpMs7HH1&#10;wKQx5dxGTjHHavLvGV4ZdSdCc+ozXpRCHK8D8a8u8XWiQarlH3FhzWlPcmRzbDmjHFSYHWmtgg1t&#10;bUyRGaTilpMVQwzRuNJilxQAUUUUALupymmYoBxQA/NIaQUGgBaUdKMcUDpQAtNB5NONNoABTqOg&#10;ooEFB6UhozQAA0tMzinZoAD1pKCaSgB/FFNzRQBvQIfs0JH9wfypXOBipLXBs4Of4B/KmzLjmsyk&#10;Vu9V5utWD1qvN1pkshp3am07tQA2iiikMKRulLTHbAoASPl66DTH2lfasCEZat2yO3GKBHvvhGXf&#10;pcP+6K6pTxXG+C2zpUB/2a7EcAUAPoPIpM5NGaAYxgMUijFOb7tItAiTPFMbpTscU0igY6Lgmo5O&#10;lSJ1qOTpQwKcvWoGFTy9aixkge9ICG6by40X8f8AP6Vg3bgqTkYxg/5/Kte+bMhOeOw/L/Cse7WN&#10;k2hhjpmobKRju4HJxkHt+dRMc4GR2OD0HpViW2OSUYc/nVGRXUncvccdveoNERSMQ5OR9T2/zxUD&#10;EEE4wT3PWnSNy2W+pb+lRNwOu0+vegdyOxkeO8uY+CNikEnnqa1Y3kSyG/aw55HasRXQX4JQ7ihG&#10;RWo7otmu1ivGcVLQzivFGqy21n5FvMym4mdmIOPlACkfnn8q4gFRIM11HjSRPNsYBjcIjK2PVjn/&#10;ABrlcVtTWhlJ3Yp6+1FGKK2ICkNOxTGoAeDxQaQdKU0DEopQKCKVhCUUUUWA3/B2w65hlyTEdvsR&#10;ivVrWP8Adgkdu/avK/BabvECnjiNj/KvW4ztiGemKxqblxM27kQ38MSg4B3FvoOn8qtvfRxWzMxA&#10;CDceO1U9jXGsZI2xpH09Scc/kKXVbQT2htkcqZCAW9u9Zmgmgh3svPK8zuZP1rbWM98c+vNZcUyw&#10;RJFCMKgAXHpT1uJcjGc5/wA/jQJi38Lx5cHt2FeX+IJxJqMu45I4r1B5S0bh/T8q8n11c6tMV5UN&#10;WtPcmWxkOxXgU0EkU5xzTenStzMaTzRRRQMUCkoooAKKKKAFoxSUUALS4ptLQAueKUdKbSg4oAU9&#10;KSgnNJ2pAOJoB4zTaXPFMApCaDSUCF60UopKACilxRjkUANop5GDRQBrWFxiKNW/uj+VXnw49qxo&#10;Dtij/wB0fyq/DNuGKgaEdcNVWbrV2QZ5FU5h1oEyCndqbTu1ADabk0402gY7ioZDzipCcCoCcvQB&#10;YgFbFocFay4VrUtR8y0CPcfA8hOnRL6Cu3JrivA6bNPiz6V2hFIB6ikJpyilONpqOYTIi3alWof4&#10;6nUcVYDwOKax4qVRkU1xQMbH1qOTpUqDmopOlDApy9aYuFJPUgZx60+XrTYyFDO3AC4zSuBzmrCf&#10;cAJSH5OB6dq564gueouW966W+dJbh22HGe5rNkCMP9WD9CaybNEjBaa7hOSQ9IuqdPNDL7MK0pLe&#10;N8/fH61Snssr0V/pSTKsRmSGcdlf1HQVQnLRnnkeopk0DROfLYqc/dNAuxgpMOT+VAWM+5uGju4W&#10;XjORx9K07+QxaeGB+YJnB+lQHSxNMk0rmNFOVA6tVTxdO1rphdD8rrtU+hpX1sW4NR5jgdduGudY&#10;nYnOw7Bg9gMfzqhQxJJJOSTnNFdKMG9QoptOqxC0xqfTWFTcQo6Uppq0vamMUUhNLTT0o2EBNApO&#10;1KKTYHSeB+fESgY5iYHPavWQQkeACW7V5F4MkCeJLfIzuVkH1wa9VuLgRRkZPT8axqbmkdiO0U+Z&#10;PKWBYyAZ9hVC4uZZdZjtg25ShLewNWNPdV05ZGLHeWY+2Sals7aEO0xHzPgZ9qgsmjiVB0Ge2asA&#10;de3cZ/lUghUAlee/0pu48EAjPI9j6Cgm414gw2gDGOPYV5R4ntHs9TkDfdY5FeuGRMEkAYAb2981&#10;5b42mEmqHacjHBHetKYpbHKN1pKM5pM81uZiGl4xQRSUAFFFFAxKKKKACiiigBRS02loAWkoooEF&#10;KKSikhhTgOKZzTx0pgGKNoxSGigANFLjJpxHFAhM02kooAUsc0UlFAFtTiKMf7I/lUsblWzmo2XE&#10;cR/2R/KkBqANNXDJ71WmHBzSwP0on+5kUAVM0uTTe9OoAaTzRxQetJQMbIaZGMtmkkJp8Q4oAtxc&#10;GtWyGZFHvWTEeRW1pa75kGM5YUCZ7j4RG3T4v90V1qn8q5jw1GY7CPjtXRo2Rip6CZMJAOKXfkGq&#10;pb5qlSkkAnfJqUSADrzUEjBVqq82DVIDTSXFDOD35rNWZqlSXc+KBl+M5JpknFOg5ZvpTZutDApS&#10;jk1FcMI4TnOMdPepyNzhfU1S1OTZE3uegqXsNIw5nPzHpn3qhIfQceu7/wCtVyVyT8hX6Z/wzVRw&#10;S2MA/Tj+eKyZois7YyTkE+v+NQv1OMc9xViVcnPII71WkXAyQAfUcGkUVZUEn3uT2I61nyWyhjJK&#10;CYoxvIHU+1XJJCpIJ49e9c7r+qTBVgtzhmPzH0FXGNxOViT+2lvZnIPKnGPQVleMbvdoVvGRkvMc&#10;fQD/APVVS3G3UWlXhXA4H603xd81hZc/dLkj64/+vUctpHbUneicmSDjA7c0maM4pDXSjzRD1qQD&#10;io+9SDpTEFNanU1hSGApe1IKWmAUh6UtIelDASl5xSUuaQGr4YkMXiGycDPz4/MYr1eRD5TM5JPQ&#10;eteQaVcLa6raTtjakqlifQGvWrq5D2UhQ/JtyX7ke1ZVNy4bDnDpYxQxqA2wDb7+lX7a0IjUSOB7&#10;A1mLPIHQIoaV/lC+lacVkWXdPIzHvjtUFMuJsQcEHHT3qTMUq7W4z3z3qo2mwsCqnB/GqU+m3UWT&#10;HcSqO3zE0BYv6hayJZytE24BS30/CvFNXuJJr6XexbBIGa9Wurm6i0+XzJD93nnrXkd4VNzIwOcm&#10;taZMimQaTmpGHFAXitjMZRSlaSgAopM0tAxKKXFJQAUtJS0AGKKKKACiikoEFFFFAx1KO1IPu5oB&#10;xQAEc0UrHNJxSAKcTkU2lzTAaaKUikoAKKKKANJ0zaxHvsH8qqd60FXdZx/7g/lWeRgkVAieFwCB&#10;ViXBj96ppw1WS2VoArHg0bqD1pKACiikbgUAQyHJxU0YwtQ/eb8asjpQBLF1FdH4cj36lAp6F65y&#10;PqK67whH5mrwADJ3ZoA910qIRWSfStELk5qK0hKWcY9qtrGcUCZW2HfVhU+Umjy+aeFITFKwiAw+&#10;YDUTWJJq4i+1PquVgUDZMo60JAUfmtAZxUUhwtFhj4FIJ56imyjrUkHIyBSS96VhlMjlie3NZF6u&#10;9t8hAX3q7qN4tlaPKwJPQDsa5KW6vNRfOwxRnuRWbZSLc93EuQn61Ra6XJOMf7vNNOlSEnfIWz0y&#10;xH9KoS6ZKiFvMIOeCH3foazZpFXLZnD8qQfpwaZMjPGmFLMyk4A9CazJEurdA6hbhMfMB8rCt+KX&#10;UbpNPEkkFs0ytHD5m2JiSCOijccjHPqaa1CWhzmrxPZAluUwMOBwcjI/HBHFZV14Rumu0jm1DT4m&#10;nk8rcZi21yMhWCgkE/Stvxfcyw6ZcyLqdvcWcs6iFRcs7/JuBOP+BjJ+lXnFk948kUEqzW920ped&#10;wYxKtuWD4Vc4GDxyc4rVKxnc4jVPD8mi/ZWN7aXSyvIgNsWbBTAbO5R61z/ibzJ57S2iUvIQAqgZ&#10;JJPAx6niuw1qKF9L0YWkiywIsoaTLkvJlS7EMBgcrXGhjf8Aiy3hFgdQy+0WqyGMscHHzD7uODn2&#10;qV8Z0zlakkTSfDjxBFe2MNxaPBHdGJTNKhRI2c4wc8krnJxnGOlc1a6fdahfpZWMEl1cSEhI4VLF&#10;8DPA6noT9K9v+0wW0FjFGLMSRWcjWU6XXm+beRxsiKEOdyruYZPBO71Fea+MtQu7zXbGArEJYrS3&#10;yLeFIiZHiRmzsAzySParOQYvw48VNphvP7Gvt6zCI25t2EhBGdwGOnb6/hnNvPDesafeLZXWnXEd&#10;0wGISpLknphRzk177baRpNvdwX05gjuIlEEKPPJJHGnICAbBzgnnr3zXnd34gt7rxk/2mG4RLctD&#10;AYHwwZW4LE5yAuemDnFFwORuPBet29jp9wbC5LXhK+WYWUxtv2KrZA+8SMfhWbZ6PfX2r/2XFGFu&#10;wXVkc42lAS2SemMHOa9tkstU0/RbZ/sWu3F6qzxxx/aA5iDNnzGB43jnaDnA54Irzrwnd29lq+o6&#10;ho97a2Eog8u0fVZhuRnA3uAFIc4DDoMbhnNMDlb3Sriws7C5lKFL6AzRbSchQ7J83HByhPGam0fQ&#10;L3XBMbNrUeTgv591HFweeN7Dd07e3rXrviK98THSYbV/FmiRNFG1lqJlWMAzlpDgHZx8mOmOhPWu&#10;I8HaXZLJqMJmub29kaSwWDTwknmxlG3SDcRwNowfpTAz7nwTJaWt3NPreklreHzjDBK8rMD93ouF&#10;zkDLEdR61Q0Pwnq/iG0vbmws5pYbWMsXSIsHYFfkBH8XzdPavR76ysotMktNVg12xXUDDbvfXUcK&#10;ArFGdkbEMePlBPc7RWd8OrdYdPF0dKgDywyxQme7KfbpA4bG08BV2gE9MAjqaVwOC1Xw/eaNZwTX&#10;uyOWWaSEw5yylAuST0x82OvUGrOk+DPEGs/ZZbXSr1rS4YKtytu7RgZwWyByBznHvXoOuaw9poFz&#10;NYNaSWf9miTc0aT7byS6Al+dlJJwzDr71z/gCWzTRdZa/ZI4CYoGlaeRCFfcdg2RvjOzJOB0680A&#10;YWoeDPEOjSyyXuj3i2ttJh7gwMIyN2M7iOhPT613s0TJo8c7FCsjGNUU8ggKcn/voVheM1sR4TsZ&#10;LA2siRXTQRzW0kpbby5R96ru5KkHt/LvdK+0nw5Z/bIo20mPTLeVtix+YzYiJx/Fz83JNRNXKTK8&#10;dkbW8kjkKGRcDIzgcdOmc546V0UWkBlDLqViRkdC/fn+77Gqk93f3FtIl7N5pFxEwIAx8ySNke2N&#10;uPpW/YvOmnwIbuaMxQxB08gkqVARu3OW5qLIbZkzWwhVSl1BcZ6iMtkfmOajSPckr9PLUNjHX5gO&#10;PzFW9REwlilaR5iq43tGUGcn/wCtWhBeXs/n+Vcsy+SNh2dHLD5frwcfge9SPm0OF8VWMi2MixhQ&#10;QCMq2VIx1BxXjFwjJO6sPmBr6F166k+yubiYShUxuHTdjnHt2zXz/qEolv5pB03E1rTFLYqZwPem&#10;7qCcmkrYgQmkoooAMUtJRQMM0UUUAFFFFABmjNFFABmiiigAoopM80AO7YoxSZooAWgjGDRSk5UC&#10;kAcUYpKKYB3oo70GgA5oozRQBswc2cY/2B/KqEo2yGrtm2bZB/sioLpQGzioEQDrUw+7UK1Mv3aA&#10;IX4NJmlk+9TaAFFNY9qWo3bmgAjHzVZqCMVPQA9O1dz4AUvr8A7ZzXDJ1rufh+5TXYivPFJuwH0N&#10;Gm23jqwsYCiq9u5e2TIqwGOKXMiRBGM08xZpO1BkK0Kdx2FS3JqX7JTI7rHUVILtfQ1akxDhar3o&#10;NnERyKPtad6d9pjPekMjlhSKI7RiqEnSr88ytFgGs+bhD9KbBHI6kTfamySMRbQHoDwzdxTGDbRg&#10;hUHepZFSMDaM5Y45+8aj8osC8pz9T2rnkaIrusJPL5rI1GX9+sAbJI3E5/Ktc3FtkhGU1x3iG9Fp&#10;qwBbDMopG9KOupoCUQMBgE96stE893Y3EdzbiSKEyuZnyqqSRg+/OcVzK6kGGc5J71etrhUt9xx0&#10;yalStsdEqHMUfFMFjqcEb6VcrFbWR8p7WUEN8xJDj1BJI59BmtG81eYXPGrsRY3sUSvsT5kZGV2H&#10;y89OM9iKoXNnDOgCdZJBK5+nSpXtoApMkSnjOcVXtdDONEh1i7lu7COWe+W5e2nlhwFVRjjDLtA4&#10;P9K82jvIrfVluri3+0RK53RBym4f7wr0ZrO2lQxRKVBHOK4nW/C95YuZo1aWIt1Xrz6inTlrqZ14&#10;NaHa3Oo2b3mjBX0u1ttMhhneKz/eTNJ5ryJDGWyTkYJ9NxJ44rUbRNNtNYvPEtzIS1yDcKkgA+z7&#10;s/Jj2xj6YrG8KeGodDtDq2q7ROBlQ38A/wAaxfEGvT63dFEJW2U/KvrVt9jnWx6C3jyK48TQaVAb&#10;xY4plQTJfqkRA5ycr09s15nceJJNH1+/uNNaF5pJXCTMgfy/m4Zc/wAXv71jXt0LceVFje3X2rKJ&#10;y2Sc1URdD3KS+0E+Opbv7R4bz9rZvNE0/m9eD12bv0ry3wpY2Mt81/qVzFFYWBWeaMsA82DwijuS&#10;cA+mawNpHTrTwCAAT06U0B3WnRHxfpV+k99bW88+sreXHnTBMRsrhmGeuM9KxtC0xh4gmvNN1azt&#10;oNOuQ8d1dyBCyhuDtzk5A6D1xXOMc8UiruPtTQWPRtftND1rTUtPDWrWMFlDNLczW905id5D3XcO&#10;VCgADrVLwZq9lY6ZfySWNiLi2s5QJ7mVsyFwyqipkDBzg1w3A/lS4FNBY9FvrnTJPDN54Zm1e2W/&#10;Mrai0sSgW/mBeYFIHpzxxu4rM8F+IofDehazcStcb5J7ZFW2nETkYlJOcHIHA/EVxtN60gaPQfGX&#10;iGLXvBOmS+bP5j3krLFcXazyBQoXPAGBnI/Wup0i40y40mHybmZ719Jhh2BR5ZYLGCAc5yMcj2Ne&#10;LLyR2Ga9h0t7XTdPgihAB8sDjknipm7DUTrY7ZrbTYxJOjmUxlVByVVAy8+nUD6CtyC6aOAC9u5m&#10;XduXybglz7YB6cH061xK3ty20pbuQ3TnFSwatKB+9tygGRzWXUrl0OlvXkmZHkvnnjc7jycqfoen&#10;WkjlBSUxsI41CqkZb5shlYH3OByfYDpWbBqEUkY3/Kf9qrWzO2RDke39DRdhbQyfGkyHR5pIQULI&#10;Sy9AD6D2rxGO2ecyNnoK9n8X2rXWkM6EjaMtntXisk7w7lQ9TirpilsVTwTTaVuaStyBpPNLTcU6&#10;gAooooAKT8aCeaSgB1FNBp1AwooooAQ07tSUZoAKbinUUAFFFFAC0UgpaACiiigA70lFFABRRRQB&#10;pWD/ALpAf7oqS7TOaq2TcJ9BV+T5kNQIzQcVMhyKgcbWIqWOgBkn3qYafJ1pmDQAhPFRFsmpW6VG&#10;OtAE8fSpKjTpUlADk6133w3iEuvx57LXAL1xXovwvGdcz1wo/nUz2DqfQdvH+5X6U4jFEGfKX6VL&#10;tz1rkTLsRb6MBu1P8ul2VVybDPL9qULz0qSjBo9oyrFS9ZYYwQKofbMdKuX65jAzxWLPlCMV0wdy&#10;LGtazearU27crbvj72OP6VX0tifMpdWYrZNtPJwB9e1UwRhIA5MmMDoo9BWJrt95EAiRsGQ/p3rd&#10;lXauxfTFcv4pgJS3uFHyoSp9s1gzeklzameswhVWzyeTWXremxaywkWVkmVcA9qR5sn5jUC3BDEq&#10;axcjujC5zVyLzR5hHOhKk4Dg8GtG21FrpfLjz6Ma2mtBqcXlyqrLjj61iyae+jXCRg5jc5B9TVXT&#10;Q7yjI6GzQrGhbsM0OGup/LRsIDhjSWglkQfKVBH3iOlXoY0t4wq9e5PeswbtqCwJEgVRgCp7eW0E&#10;cryyIRDguD2rG1TUGtVwB8zDOfauPuryV9yrI2JD8wB61rCN9Wctapd2L/iLX5dYuTDCStqhwq92&#10;96wrpms02skis4+8F6Cuk0HQ/MIublTtHKr610V1DDLEY3jUrtxyKtySZCpcx5VHp6XKb47lT65H&#10;NOGjOW/18Yqxq9oNO1BjF8sZPSollYYOcqa1TvsYyjyuwDR2B/16UNYkNgyR0/cMZB60hnI6jNUi&#10;St9iiEm2SUqWPBx0qH7OynAIIHpV2Qi4t2A4ZeRVFXYjHOaYEYR+fkPtgelJtYHBB6V7b4M0nRL3&#10;w5bv5Ec8qht7MOck85/CrOreAdG1JSBGbdz0aP8AwrPnKSPCD0oVGdgqqSScAAV7Inwn01F+a5kc&#10;9zWppPgfSdJmEiLvcYw0nOPenzoLHkdn4P1q8j82OykAA/iGK9S0PRDbWkIuwfNVArEiuvjgCn5T&#10;kU9olkBDDn1rNyuUkZq2dvgfIfwol02N48IcnqQ3erTW+x/mYn0qTy2UZGWHf2qBHO3NrLAyC3IB&#10;GWZH6beKs6feA5SLhs4MbHr9K2JbdZ0Yr9/ace4rBurfy900a/vEGT78jimMn8RxmfQJvLyuUJP9&#10;K8GuYjHM6N1Fe5zzi70ecK275CAf6GvEtUf/AE2YehIrWmTIzz1pKU0lbEBRRSDrQAtFIaB1oAQ9&#10;aKD96lNACd6dSAcUtAwoopDQAmaKU9KSgAzRmiigAzTh0ptKOlACilpBRQAUUUUAFFFFAC0U3NFA&#10;Fi3O1Ux6CtQHdGKyIT+7X6CtOBspUCKcg+c5pU61JcLhs1GmM9aAEemHpUj1DmgBrUg60rHmkAoA&#10;mXpTqavSloAkT7wr074TxBtUkk7AAV5enWvWvhEv+kTn6VFTSJUVdnu0XCCnGmR/cHP5VJXIUFFJ&#10;+dKASO9OzJ1Gk4o3U/yjThEce9VFNjuULsbgOaxrtcOK3LuIquax7pfmFdUFZENkmlDAkpNRGVRe&#10;28E/gKk01cRyUl929Of6U5bAjEfLNuqrf2aXOnTxzYAkUhTnoavlRuy3AHJrlPEepMZxCjbUHLYP&#10;WsJuyN6ceaSPO5r5ra8kgnBwpwGA6003ZzhAW+gNdJGVnm27FOOpIp4nhjl2LGg9Djmsrpnoaop6&#10;WbqRAPIdc9CwxitI6b5jo05D4OVz2oF7gcGq0t8egPzHtSE22aa25K4MwHoFFV5QIG5k3/hioFnk&#10;27hyccCsvVNUSBmCElmqowuc9Sp0RFrrxzQsindIvIqhoWkieUXFwPlHIX1qfTHE1wZZIvMU8DNd&#10;BFbBeYfun+H0q5O2hEIdWTDaqgAYA6VVuXwpqwTtrNu5fmI7Vj1OmJyHiEb5qxICXiKdwa3NY+aU&#10;msFD5cp9DXVT2OSutSZMg7T0okHFSKVY+9Ei8Vqc5FAclh6iq5fDkAe4qxEMMapZIkGewIpMDqPC&#10;niu48Oyuyx+bDIQXUnH5e9e3WV9BqNjDeWzboZlyp/z7183h5FjKL9xjnFewfDXUY7rw89mJczwO&#10;TtPZTjH61nOK3Ki+h3aSblAz04NNkTeMgDOOnr7VFFIFkYEfeG7FS5znt/nFY2KIEk8hlJz5THr6&#10;H0q7tDDI+v1qnKqszJ/DKu4exH+RS6fMZImibl4zt+o9aYXJyAybDTYzsO0jKH9DSuMHk4BqLjd9&#10;eD9P/wBf86AHurRybgfcfWqt7EZJY9mBFJ1H9KuNmS3z/GtRpiW2YHrEdwx6YpoDznxVqF1pccv2&#10;YBVcdq8tndpXLtyxOTnvXrnj5RFpxLLjJwM+leSXAXf8vpW1NEyITSUppK1ICkHWlptACmkoooAK&#10;KKKAFHSlpO1NoAdSUlFAxaKKKACiiigB2KTvS03vQA6kOaQmlBoASnUmKWgAprGnZFNNACUUUUAT&#10;w/6pfoKu2p6g1Sh/1SfSrMBO+oET3AzmqqfeNW5elVV++aAFk6VHipJOlR0ANIpKU0negB606mrT&#10;qAHJXX+E0vd++1MmAcHa2K5BOtd34D/1j/WpmtBx0Z28WtavbhQ15cR+5JNdDp954kuoklstQhuR&#10;/dLAn8utUXAaIBgCPesfUEWGQNENh9VOK5uVG61R6ho97rDlYtT08Icf65GBH4jOa3sDsK8asPEm&#10;s20qRx6hNsyOHO/+ea9ht2LwKzHJKg/pW0UrGUlZk2KKKYxOevarSsQV77Ah96x5Y955rRvieOTV&#10;KriJjrSPYj+9Q6h/qc99wq1D9w1U1H/Vr/vClLYaOf1m8h06zlmnfYiKWfnsO1eXPrH9rN9qWMqJ&#10;juVPT2rc+K88qaUqq7BWmAYA9RtPFYmjQRLZ2eEA+RT+OOtc89jroPU0I4xa2+D948tWHqF55V1G&#10;R64rS1FiJRgkc1zGqsfMXn+KskjtZp/bsqOasWcUjzefJgKOFB7+9Y1n888KtyCwyK3r1jHby7Tj&#10;BIGOw9K0sYVZNKxWv9Zjt2CIwY5+Yis6CzutVvTIYmEA53NwDR4ftobm/d54xIwPVua7dAAAAMAG&#10;i9jGMVuUYdPWGNRgce1Wov3fFSnpUZ61k9WbLYcyJMNp496wtRglhLbgcHuK3R1pxUOu1gCPQ0DT&#10;seaapzn1rClX5wfeuy8S20MUv7uMLz2rkphya6KZhVWo0Eo2RVkkNGG4qoelPiJ2mtzlHiqMwIlb&#10;j3FXhVS4/wBav0pMBsbEtg+leg/CuJ/7XvJeQnk7Dz33A/8A1687j/1g+temfC//AFt4O27+lRPY&#10;cdz0eRzHIhHXcf15H86sM5K7x8oI6f5+lQ3QGzp0ant/qVPt/Q1iWLN0jGejlc+2KqwyeTqSnoHB&#10;BGemOR/WnXBIVcE/63+lVrni8gxxmTn9aBmxPgJnrzUK/wCtAPXof5f0FST/AHP+BCm4+f8AAf0o&#10;ETJysg9QMD8P/rVDZH966D+JCP1qQdT+H9ahsf8Aj8j/AB/kKAPL/iJfXD3JtmUlRyD7CvN2GGNe&#10;xeP4o/LLbF3CI4OPevHX++a6IbES3GmkpTSVoSFNp1NoAKKKKACkFLSDrQAtJS0lABRRRQAtFFFA&#10;wooooAAc0U1adQAlKKSlFADqQ0tMP3qAFooooASiiigD/9lQSwMEFAAAAAgAh07iQIA8A3XnXQAA&#10;4l0AABUAAABkcnMvbWVkaWEvaW1hZ2UxLmpwZWcB4l0dov/Y/+AAEEpGSUYAAQEBANwA3AAA/9sA&#10;QwAIBgYHBgUIBwcHCQkICgwUDQwLCwwZEhMPFB0aHx4dGhwcICQuJyAiLCMcHCg3KSwwMTQ0NB8n&#10;OT04MjwuMzQy/9sAQwEJCQkMCwwYDQ0YMiEcITIyMjIyMjIyMjIyMjIyMjIyMjIyMjIyMjIyMjIy&#10;MjIyMjIyMjIyMjIyMjIyMjIyMjIy/8AAEQgB+AJ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M8O/wDItaV/15w/+gCtOszw7/yLWlf9ecP/&#10;AKAK1R0qwFopRRQAop46UwU8UAKKKKUdaACloooAUdKWkFLQAUtJS0AA606kFOFACUUppKAHUUUU&#10;AApaQUtABRRRQAUUUUAFFFFABRRRQAUUUUAFFFFABRRRQAUUUUAFFFFABRRRSYCGig0VIBRRRTQB&#10;RRRVAFFFFABTGp9NPWkwMTUv+Pwf7tVOwq3qY/0xfpVUDOK46nxM2jsUZ/8AWH61GOtST/60/Wox&#10;1rI0HnpSUppKAGnqaQ0tIaAEPWoz1NSHqajI5pMBT2pf4hSHtS/xCkA0/eFIOtKeopO9ADf4jS0f&#10;xGigBr9Kb2FOcZFN6AUAI33fxph6int938aZ3FJjRGByfpSdCw+lOA/lSEck/SkMZjkmmmnZ5Ipp&#10;oAjf7tJSv92m4NIZ2fh3/kWtK/684f8A0AVqr0rK8O/8i3pX/XnD/wCgCtcdK9Y4goHWilFMBacK&#10;QU4UAFKKSnCgAp1Np1ACHrS0neloAKWkpwoAWiilFAC0UUUAKKSiloAKKKKAClpKKACiiigAoooo&#10;AKKKKACiiigAooooAKKKKACiiikAUUdaKACiig0MApKKKkAoooqkAUUUUwCiiigApGpaa3akwMTU&#10;/wDj6U+1VQcEVb1T/j5X6VTFcdT4mbR2KM3+uP1NMX71Pm5mP1pg4asjQcaRulKaRulACdqG60na&#10;lbrQA0/eNIOlKeppB0pMApO9LSHpSAQ/eFJR3ooAaOppT0pB940p6UAMJ+Wmt2pxHy0xugoY0D8g&#10;fWmY5FOboPrSdxUjEA5/Cmn+KnD+lN/vUARfxmg9KB940daAI3+7SU5/u02kM7Lw6MeGdK/684f/&#10;AEAVqDpWX4e/5FrSv+vOH/0AVqDpXrI4gFPpgp9MBRThTRThQAU4UmKUCgAp1JiloAQ9acKbjJp1&#10;ABQKKXFAC0opAKUCgBaKKWgAooooAKKKKAFpKKKACiiigAooooAKKKKACiiigAooooAKKKKACiii&#10;pAjZ8Nik3GiTiQfSikA/cPWms2elN7Gl42igBymnU1RxTqAAUUCimAUUUUwCiiimAU1u1OprUmBi&#10;6n/x8p/u1Uq3qX/H0n+7VSuOp8TNo7FCT/XN9aZ/HT5eJj9aZ/HWRoO7UjdPxpaRun40AM7fhTjS&#10;Y4/ClbtQA096B0oPWkB4qWAdKG6UelSR28s/EaFsUIZC3Wk71cOn3OR+7NMNjcDJMRquVi5kVB94&#10;06pfsdwCf3TUv2WcA5jajlYJlc8qaYRxU/2afaf3bflTTDLgfu2/Kp5WO5Cw6UzHzVO0UnHyN+VR&#10;+VIDnYfypOLC5H2H0po6GpGUqo3LUfr+FIYzFIBTqAMYNAET/dptOcfLTcUhnZeHf+Ra0r/rzh/9&#10;AFanasvw7/yLWlf9ecP/AKAK1BXrI4hBT6binUwFFOFNFOFADhSjrSClHWgBaKKKAFFFAooABTqa&#10;KdQA4dKKB0ooAWiiigAooooAKKKKACiiigAooooAKKKKACiiigAooooAKKKjnmitoHnmkWKJF3M7&#10;HAH40gJKK8z8QfGTStOkaLTLc3sgOPNZ9ifhwSf0rj7n44eICT5Wn2UAPQgMx/U4/Slcdj3zI9aM&#10;185n4teL5nDJd2y5/gWEVbX4veKrB0kuvslwn8UbJt/oP50CPfJfvj6Ulcb4T+JOjeKysBcWeohQ&#10;TbynG7/cPf6V2WaQB2NKPu0mOKB92gCRelLSL0paAAUUCigAoooqkwCiiimAUhozSE5pXAxtT/4+&#10;1/3apmrmpj/SVP8As1TJrkq/GzaGxnzf678ab/HTpv8AXH603OXrE0HUjdPxpaQjI/GgBvYfSnN2&#10;pCMChj0oAQ9ab2pSeRTTwpqWBfstOe62u3yxfzrehgS3jCRqAB+tQab/AMg+D3UVbzxXVCKSuYyk&#10;7geagubhbaPewJFT1Wu7X7SgRmIGc8VZBGb6ESohU5YAjHvTTexF5VwcxjceO1BsP3sbbvuKB+Iq&#10;IWWyWZvMzvVgfxp2AcNQtzb+fzs3Y6VOjJKgkUDa3I4qgNOxZmHeCd27OPartunlwrGSMqMcUrId&#10;2PKKew/KmtGn90flUlI1KyC7MPXlVTCFAGc5xWKehrb1770B+tYh7/hXLV0kbwfujO9P/hH0pnen&#10;dhWZoRN0pKVvu0lIDsPDv/ItaV/15w/+gCtQVl+Hf+Ra0r/rzh/9AFagr1TiFpc0lKBTAUU4U3pT&#10;gKYDhSjrSUo60ALRRRQAtFLQBQAYpaKKAHDpRQOlFAC0UUUAFFFFABRRRQAUUUUAFFFFABRRRQAU&#10;UUUrgFFFH/6qLgV728t7CzlvLqRYoIVLs7fwjtXz98QfiSPE8osdPjkj0+InDdGlP97HYegrc+NP&#10;jBA8fh+0kyIzvusHA3EfKD68ZyPevFGnVny4j/PFTuNFl2YvnHy9SKJoiY0eNxsI4waas0JIIfp1&#10;yamV13kKdwPJ9/rSGyO2j+Xc7yRk/wAXl7qtLfTwqY9zSp7oFP8An8KYrOkmBkA/wnpUuY/MUtGY&#10;2HJb79MLdyq7AyLLESkgOVPTH5cfiMGvVPBnxWvbZoNO1Yo8a/KJpCV+mW7fXGPbvXm5zOSTtcHq&#10;wQD8/Skazc+WrAg4+RzyGHp/9egTR9V6VrNpq1oJrfepGN8TgBkPuBx+I4rQUjb3r5s8H+K73QdQ&#10;jWSV8R8AMc7k7ofoeQfY+tfQlnNPdxpOHjaJlDZA7UAzTXpTqavAp1AhRSUopKACiiihAFFFFWA0&#10;9aDQetIagDI1P/Xp7iqPereqH/So/wDdNUs1y1fjZvFaFOX/AFp+tRj75qSfiU/Wo1+9WRY89KO3&#10;40h6UmePxoAH9KQ9RQ3JobrSYITvTH6H60rfeFI33aRR0+mf8g63/wBwVbqnpXOmQH/YFPu5Whh3&#10;r1rtivdRyvcsDHrSk1nJcyEjJ7Zq0Jd1v5intmnYklNRmNSSfWm+Zm38z2zQJAYPM7bc0xieSnqa&#10;aYFByCaljYSRq46EZpxpNDQzbgU0jNPJ4pppAYmvDiH6msP1/Ct3XuUg+p/lWHj734VyVviN6fwj&#10;B1NOPQfSmgfMacegrMshb7hpKV/u0lIZ2Hh3/kWtK/684f8A0AVqCsvw7/yLWlf9ecP/AKAK1AK9&#10;ZHEKKUGgClxTAU9KcKbThQAtKOtAGaMYoAWiiigB3elptOoAKKKXFACjpRRRQAtFFFABRRRQAUUU&#10;UAFFFFABRRRQAUUUUAFFFFQwCqupX0Wl6Zd38zYhtoWlf6AZq1XEfFq9Nj8ONTIzmbbCCO2SM/oD&#10;QB8w6vfTaxqt1fzsWeaVnbPqTnFT6foF9qSeZbwsU7N0FLo+lPquqW9kudrfO5/2e/8AhXstjpaQ&#10;RJEiBETgAdhWVSpyG1KnznnFr4AvJpAJmVAfxrZtvhlty73Lj+6BXptpYxREOQCR61O+AQRisnVe&#10;50KkkeUXvgi4tuI5fNUc4cZrIvdMuIbYRugwOpZc4+h617ctukudwBqhqWiQzx/dAA64FEar6ilT&#10;R4dbo/nFY8qTwQOlbllDJtWCTaYz8yqTg59Qeoq5qenW0eqPFHv3A44/nWdHAtxd4kLuzkBeegre&#10;9zntZljVdGZENzb7mMfQele0/DDUJb/wfa+YcmLMSknkAf8A6xXmkkw0y2ggGGV1POBzngGuy+FW&#10;u2qQy6LLsjnR2aL/AGwTnH1/wpxZMkeoilpBS1RAooNFIaACiiihAFFFFUA09aQ04immpAw9UP8A&#10;paey1SJ5FXdU/wCP1P8AdqkR83tXJU+JnRHYq3H+uao1+9Uk/wDrmqMferMocelIOn40vU4pKQAe&#10;tI3WlbtQR0NDBDD1FIw+X8afimnoaQ7nR6V/yDIP92pLtA8Sg9Aeaj0r/kGQ/wC7VqVdy4ruh8KO&#10;aW5nsojkCA8EDBPvTmYIwiBIVuBU8lrvlV89MVBNFJJOiqPlBzmmSNZtpWEk4YYFI8nl/uS3BWlu&#10;I5JLqIKpKqck++abJA811GNvCNkn15oAvQgCFcdAMUpOc+1OAAAA6CqoaOFnwTyxY5oZSJzRgVGJ&#10;4ywUN16VJSsMxtdH7uD/AHj/ACrBJ5aug1wZjh/3j/KsBhya463xG1P4SMH5jTj0po+8acazLIX6&#10;UlK/Sjj0pDOv8O/8i1pX/XnD/wCgCtUVleHf+Ra0r/rzh/8AQBWqK9ZHEOHWlpB1paoBaUUlOFIB&#10;RQelLRQAUUUtABSikpRQAtOptOoAKD0oooAWijtRQAUUUUAFFFFABRRRQAUUUUAFFFFJgFFFFSAV&#10;5v8AGxXfwMuOEF5HuHqMMP616RXJfErTf7T8BalGCA0aecpPqpz/AEoA8Y+Hmmr5l7f4yS/koSP4&#10;RycfmK9FWP0rnvBtsLTwvZFgA8qGVv8AgRyP0xXRiRGXljXJU1kd9FWiSLwRyTn3qw2GznHFZ0t2&#10;kKEntWVL4mcSYij5HcjNJxuaPQ62FdmG9qrXsxEUhHcdKztP1uaciO4RQCOGFXpxmNsHNS9CdzzT&#10;WmNteyKnLsmMn3JrFhmByc43cZ9AK2/FsT280dz1A4P51x8VwEk2k5XnBrohqjmn8RtajfOxtw/V&#10;VAz+NRWmpPYanHdRPtcHcCOuQeD+VU7iQTQkE/MrHFZ7TgSK3XkitEtDNs+udKvV1HTLa7UcTRh/&#10;pkdKvVxPwtvmvvAtoSxYxM0Zz7Y/xrtqozYUh6UtJQAUUUUAFFFFUAHpTG6U89KjbpSAw9V/4+kP&#10;+z/Wqnereqf8fSf7v9arY5FcdT4mdEdilP8A65qjH3qkn/1xqNTzWZQ8daae9Opvc0AD9qU9BSHk&#10;Cl/hoAb2pD0NLSN900mB0OkHOmQ/SrpqlpH/ACDIfp/Wrprsh8KOeW4jOEQk/hUaSF2ORgdar6nK&#10;0dsrKcc0zTpmljy/XOM1Qi8zBVJ79ahWQs+MDmklDmUY+6QaSIZkPtQBYqu8W4sQBViqcs+2Rxhs&#10;CgB6wLuDEDIPFS1DbyiQEYIxU1A0ZOt/6mL/AHj/ACrAfqa6DXP9RF/v/wBKwD1NcdZe8b09iH+O&#10;lPak/janEViWRPytMzUkgwppmPagDsfDo/4pjSv+vOH/ANAFagrM8O/8izpX/XnD/wCgCtQV6yOM&#10;UdaWiiqAWnDtTacO1IB1FFFABS0lLQAooFAoFAC06m06gAooooAXtRRRQAUUUUAFFFFABRRRQAUU&#10;UUAFFFFSwCiiikAVy/xFkePwDq5Q4YwgfmwB/nXUVznjq2a78F6pCucmLdx/snP9KBrc8dt/t/7t&#10;LaRkjjQIPTAGK6G0klWELK2WHerNvbRwQ8jgDpUR2tONvQ+lcsnqehAZdJuIPb09arQ6f5r524U9&#10;MVfvI9pUVh3/AItg0W5WNoHmPGQh6ZqXctnQpYlIlLLjFaCDdDgc4rO0/wATWWr2gaIkbuqPwwq3&#10;aSN5rJmhu5Bk69pK39i6Eds5rxy7t3tbp4m6q2K+h5YlaPbjORXjvjawFrrDMo++M496unK2hjVX&#10;U5oSsWz2I/lVSb93IVPQ4IrW03S5dS1KKyjOwO3zPjgDvXe2vh7wzcL/AGY9g3mONi3u87g3+e3S&#10;tXUUdGQqMprQ7b4JPu8Dyjri9kA/75X+tek1xXwu0ttG8HfY5MGRbqYMR0OHIB/ICu0rS5zsKKKK&#10;ACiiigAoooqgA9KY1KTUeDmkBjar/wAfKf7tVe4q5qy/voz7VTrjqfEzeHwlKf8A1xqIdaln/wBc&#10;ai71mWSDvTe5pfSkPegAPQfWk7Uf40dqQBTW6GnUjfdNJgdDpH/INi/H+dW3cRqSegqppH/INj/H&#10;+dWZ/wDVYxnNdsPhRzvcrzvFOVjPzc5xS26xxMUC7QRmq8EZguPMYE7s4FXQwdySuMCqJI2mCuFA&#10;9aFmj27hnn2p5UB95IxioUykj5A29BQMtK24ZHSmNFuyTxmiJsxqR3qTtmgCER7TnOMU6nEc0hoG&#10;jJ1z/j2j/wB/+lYB6n6V0Guc2qf7/wDSsA9TXHW+I3pfCQfxNTzTSOTTieKxLI5ehplPf7ppMcUA&#10;df4d/wCRZ0n/AK84f/QBWoKy/Dv/ACLOk/8AXnD/AOgCtQV6yOMdS0lLVAFOHam04dqQDqKKKACl&#10;pKWgBRQKBQKAFp1Np1ABRRRQAUUUUALRRRQAUUUUAFFFFABRRRQAUUUUmgCiiiiwBVLWYxNot9Ee&#10;N8Ei5+qmrtVtQwdOuM9PLbP5UpDW587eKdW1d9XmitHlS3hdYwsfG4kdc/Wuk0O3uQ6iZ/M5BUng&#10;9Of1rSlsYXk8xgAQSeB1NW9Mty0hOPpXJJp7HfBMt3VkWgEhHHWuJ1Xwql21wpZy0sm8sOox2+nW&#10;vRL0iJWt25wMfjWK0YyH5B9jS2dytzAs/C8IEIRnV4lCKQ3Qf1rrrTTTAilm3H1qG1Co2enNaHng&#10;qADSkK1tBpODg1xPjLSft0qNCBvbCZI967Bn3nFU7m3MpDZ6dKlSs7ktXVjloNBTTbclOHKN831B&#10;qJEI01GHEqEfN+NdH4gidNLYqDyhUEepFc5prySWEiy8sq8+9J3buzopKyPYPDLibQ4XAwWLE/Xj&#10;/GtodKxvDERh8P2wPUgn/P6Vs12wXuo8uorSYUUUVRAUUUU7AFFFIaAG0hpT0pM0AY+rEebGKpH+&#10;lXNV/wBfF+NU+/4VyVfiN4PQpz/601D3qe4/1hqDPzVkWP8ASkPel7j6UlACZ5P1pR0po7/71OHS&#10;kgE70jfdNKaQ/dNDQHQaQc6bH9T/ADq1Pu8vKHByKqaN/wAg5Pqf51eKgjBrsh8KOd7lYiZmDNty&#10;DT0zyXwam8paTyhVEkRKjgrSeWrwt8tNu0KW5ZD83bNJbmQxZOOpoAkhwIwF7VHJLMJMKoK5/Sp0&#10;XG7jGTRtBpjRAskpL7gMKOPemRTTN99AOP1qyY1I+7196b5a+lIoy9X5sUJ/vjP5GsE9T9K39bGL&#10;NQP74rB7muOt8RtT2Iv4jSNS/wATUjViWMb7ppueKc33T9KZ2oA7Hw7/AMizpX/XnD/6AK1BWX4d&#10;/wCRa0r/AK84f/QBWpXrWOMdmlzTR1paYC04dqbTh2oAdRRRQAUtIOlLQAooFAoFAC06m06gAooo&#10;oAKKKKAFzRmkooAXNGaSigBc0ZpKKAFooBopAFFFFK4BRRRTAKp6scaVdH/pk38quVV1GMy6bcoO&#10;rRMB+VTLYa3PNJl3gc1Zt7yG1wG7Yxiqi/cZjXKapdXj6tJaKXEMseUlT7yGuRaHppaHeXsn2qJr&#10;lHyepxTLfbNArDHTNcVo93qGnNNb3ErzwMoKO33s9810elXDKuxxjI70MLaFubepKiliZgvOalI3&#10;jdTQuKlhYcpO+rCcsBiqpY7qtRsMipZBW8QSBdNMfVi6kD1wc/41h2lsZLqZduxCqZ/ma6C7iS4n&#10;i8yMOoqv4hkW30W5MEf+lzL5EIUfxN8ufwyfyqootStG56BpW3+yrQp90xqePpmr1UdHtpbTRrGC&#10;chpY4URiOhIAFXq7VsebJ3k2FFFFBIUUUh6U7gGaCaSigBD0ptONITQBkarjzYvXJql3q7qv+th+&#10;pqlnpXJV+I2hsU5/9aarn734VPcf64/SoD9/8KxuaDs4I+lLSGg/d/Gi4WEH82pR0pOw+tL2pILA&#10;aa33TTqZjIptgdBox/4l6/7x/nWjXKwX15bR+XD5ezk/N1p41jUScYh/Wt1WSSRi4O51AFIT+Vc1&#10;/a+o9xCfzoOs6h/dh/Kn7aIcjOkZQ4INN2BOnrXN/wBtajnhIf1pTrOon+CD9aPbIORnSUn0rm/7&#10;a1Aj/Vw/rTf7b1D/AJ5Q0KtEORnTGoJp44IzJI4VR3NYB1vUP+eUNVLmee8mDXBGP4UXoKJVY20G&#10;oMnvtTe+bYi7YVORnqT61SP3j9KdjBxSHqa5ZNydzaKsiI9WpGpT3pG6VIxjdD9KZ2p7dD9KZ2oA&#10;7Hw5/wAizpX/AF5w/wDoArUrL8N/8izpX/XnD/6AK1K9a5xijrS0g60tMBacO1Npw7UAOooooAB0&#10;paQdKWgBRQKBQKAFp1Np1ABRRRQAUUUUAFFFFABRRRQAUUUUAFLmkoqWAtFFFIAooopgFI3IIPfI&#10;NLSEce9JgeWXUZid4s9GINU4LWPO9hlsEVra7F5WqXK9B5h/Xmua1HXotJeNXwAy5JPvXL1senB3&#10;ibi2kShGKA5HpUbxhXDKOBxXP2PjOOWcxT7SnYjtW9Hdw3BHltlSMgigpMtQuSMU9jgioUYKKUPv&#10;b6VAMkHLmnBwCOaa3yjI71X3Zbk1LMh13f8AkTBTk7lyMU/wWF8SeIbi7kbMelyCMRnoXYdf0x+d&#10;UdRuEhieZzxGvU1V+CV7m41LzDzqEjzr/wABJ/oT+VbUVeRlWqWjyrqez/hzRRRXXY5AooopMApD&#10;S0UgEwaSndqbmmAhptOPSm0AZOq/6yH8ao1d1U/vYj9ao5rkq/Ebw2Klz/rvwqA/fqe5/wBf+FQH&#10;71YtFjj1oPT8aU9fwoJ4/GkNDc8D60vam9h9ad2oQMKZng4qQjio8cGmxDh/OgcGjPC0VLHYD1ox&#10;xRnmlphYb0NLxSH71LikCEA+WmdKdnimnrQFgYnimP8AeX609zyKY33h9aAEP3qaeppx+9TT3pMZ&#10;E3ekbpTm70hNAEbdDTe1PbvTO1IDsPDf/Is6V/15w/8AoArUrL8N/wDIs6V/15w/+gCtSvWRxijr&#10;S0g60tMBacO1Npw7UAOooooAB0paQdKWgBRQKBQKAFooooAKWkpRQAtFFFABRRRQAUUUdqlsBtOp&#10;tOHSmgCiiikwCiiigBc0UlANAC0Gkpc0AcB4uj8vVJDj7yhh/KvNta0QazzLOYxxtA9K9V8cwlBb&#10;3HYgxn+f+Nef30DS26NGcMBXLJ8s2ehRleCMW38L6XCimV3dkwCc8nFaVjZmyYyQyyGPPCMegpsO&#10;n3KfM5zk1pQwt5eBUylfY2aXQv8Ambo+tNimZSapJIVco3apkbnOaglmiZflH0qu8gQ5zUEk+z6V&#10;nXd6FQkmkZlDxXfN/Y80cX35MKv1NO8HudH1bSEjP+qkRDjuDwf5msie4F7dKfvKjbse9TQ3Bhfz&#10;1bBQ7wfTHNddGNldnJWldn0iOlFcN4L8eQa5INPvGVbxQArngSf/AF67mtTIKKKKACiiikAUmKWi&#10;mAw9KaTTmph7UAZOr/fh/GqC9Kv6v96L6mqC9BXJV+I3hsVbn/XfhUB+9U91/rfwFQE/OPpWLLHk&#10;8/hSGjv+FLmgBh6D60/OVFMPQfWnDpRYBSflph+7Tj0pp+5QwA9F+tLjmkbotOqQuGOaDR3oPWmM&#10;bn5qM9aTvSikMQimjrinjkYpg+/QAjCkYfMPrTnpD1FADT60w9T9Keeg+tNbqfpSAiIzmkIpx6Gk&#10;PegCNj1pnanN3pvakB2Hhv8A5FnSv+vOH/0AVqVl+G/+RZ0r/rzh/wDQBWpXrI4xR1paQdaWmAtO&#10;Ham04dqAHUUUUAA6UtIOlLQAooFANFAC0UlLQAUUUUALS0g60tABRRRQAUdqKO1SwG04dKbTh0oQ&#10;BRRRTsAUUUUWAKKKKGAUUUdO1SBzfjUwDQiJXCuZFEQPdu4/LP5VwCqrIrenSoPib4hll8Wpp8bY&#10;isFBx/00bkk/gAPzqpb36/Zmkz+7cbkPp7VhVXU6qD6GnFchnIOMCpWZVX5eK5lr/YdysM1MusZh&#10;+8N3pWJ1XRZnn2Skk9aFuwB1rLe685ckVWkuVRfvYqSGzTu9RwhIIrBvL55zsU5JqrcXTTEgHApF&#10;Xyxt/iYZJ9PatadK7Mak+VFiAeWjY/A03U5jb6RO69cAfhmlWQIck8KMkVV1KUPYTI2fnGMfyrsS&#10;srHI3d3EtrprZHuonZS7AhlOCMDqK978C+N7XxXphVnCX9soFxGT1/2h7GvnPUGZEhsbcFnICgDr&#10;WvpYXw9bMySMtzIDvdWIOOw/kaGB9S5/xorwv4dfES8l8V2+j3U8klpcMY13nO1sfKQfqP1r3TNJ&#10;AFFFFIAooopgNaoyakao+KAMnVuTF9T/AEqgOMfWr+rdYvqaofxYrjq/Ebw2Kt1/rfwqufvj6VYu&#10;v9aPpVc/fH0rJlj+9OxxTe9OHShAR9QKfTO4FPPApgJTT92nCkJ+U0mAmOFp1J2Wl71IDc80Z+al&#10;PWk/ioGhD1pRSH71KOhoGA6GmAck0oPFCmgBHpp6inPTT1FACHoPrTW7049vrTT1xQBHng0MODSP&#10;xmgmkxkbd6jzxUjHrUWeKQ7HZeG/+RZ0r/rzh/8AQBWpWX4cP/FM6V/15w/+gCtTPFesjhFHWlpB&#10;1paYC0opKUUAOGaWkFLQAUtJS0AFHNFFABzRRSmgBKdTacDQAUUUUAFOHSm0o6UABNJSnmkpAFOH&#10;Sm04dKACiiigAooopAFFFGecd6AGBgWKhgWHUDtXnfxS8Qy6dDZadaXLRTSsZZDG2CFA4/XP5V5R&#10;4ggKeM9Tniv7uJ0uWHmxyEFsNwd1F7NdajOtzeX0tzMFA3zMWOB0GSSaQFHVrq6v9U+3XEpmmkAW&#10;Vu5I712UsMsPhbSrlLdmjMJ3jHXknI/E1xE3yzjA+Rup/wBqvara2SLwtpMMxVXS3QEMR1K5qZq6&#10;NISszyyUQyrvjfiq4kSE8muu13wlE9vLcaefJm67VPyt+FcPFBdEN50Y3g7SueQawatudUZ3J5L8&#10;4+U1WMzv15qeOEFsbeasizBAYnFQh2KcaAsN52rnJNK0m52k6ZOaL5/JIhXAXG4nHPtVCSYldgNd&#10;MFZXOSq7uxYSU3E+B90HP1qO4YyXCSNkRIc8fxY6/wBKQOtvEq7gGkOM+lXYrW4jDorRqrHIbOcL&#10;2x/M1sZFW2K2SvczbftM2WO4jKjsopqbtUlUxsducNtBNaNvYQxHIjR37yyDNE+s2Vh8okEkv92M&#10;f4UgJrOzWz1izvFtGE0DpKsijBDKQfX29K9/0DxTY68pSINDcIMtDJ/MHvXzlB4klvNqoUikLYCM&#10;mcZ9TW/aC6CI0sivKOcqxGPpjH50hn0V69eODgZory3w542n05VttSEs8PRWL7mT6E9R7frXo9hq&#10;VpqdsJ7SZZU74PI+ooAt0Uds0UAIelMPSnnpTSeKAMjVhxF/vGqPfNX9X6Q/7xqh2/GuSr8RtHYq&#10;XP8ArB9KrfxD6VYuT+8X6VXx8wrFmiJO9OHSm96cDxQgZGR0NP5xTT0WndqYCCkI4pR1oJ4/GgBC&#10;OKXvQTxQOtSAn8VKRzSfxUp+9SAZ/HS9zR/HSdzSKEHQ0qDNJ2pUNADXpvcU6Sm9xTAQ9vrTT978&#10;Kee31phPzfhQBERwaQ04ngim96QDD3qPHFSHvUfakUdh4d/5FnSv+vOH/wBAFag6Vl+Hf+RZ0r/r&#10;zh/9AFag6V6yOEcOtLSDrS0wFpRSUooAcKWkFLQAUtJS0AFFFFACigigcUpOKAG0oOKTvTqACiii&#10;gAooooAKKKKACnDpTaUHigBaKM0UgCimu6xqWchVAySTgAetec+NPiJHbI+naLIHuGG2S4HRB6D3&#10;pAdlqviTSdFXN9fRRnO0IDlifYDmuO1z4qWsUTR6TAZmx/rJRtUfQdTXk1zK9xdF5JGdiclmOST7&#10;1FctsjPqRQBi6xdTSzuELtI3L5PBzzVa1v72ygBmHmx7sBT1H0NaBBnu5ZNhUNgDPsKju41M8UOM&#10;gDJoAmW8guosofm6hT61Jr+oapr80ElxcuFiiWNFQkAYABJ9SfWs+fT8DfESrUW9w+wCZirLwR60&#10;rXBOxbsdU8Q6ac22pz46bJDvGPxzXQafNca1J57rFHdniREG3ePXHrXJz6iE4UEn16VWh1u8t7lZ&#10;E28HPAqZRTRcZNM9DNiSfuYNV7lk0+IzysoVBnae57fhTtD8QLq9uRIFS6ThweAy+tcv4kuJJtRe&#10;ENkA7jg/pWMadnqbSq3jdFa5v5L68luXxukbdgDGPanW3725/wBlaoqGI4rWsICFzj8a6Voc7dzP&#10;1Z2eaJEU8cfh3qyNdS1RbeGMzSAckngVJqVmWkDLkEjHFRWGlA/Mw6npVElea41HUPlllKqf4UGB&#10;Wpp2hJFaGSTmRhmtG1tI4mJKg1dUEjHYUAUrWzto5BKkeHGOvrWgjsHGDxVZF2yVOp+YUDNBJcd6&#10;vWWp3mlzi4sJTG/G4A8N9RWHNLtTg81bgmLwKx64pNAeteGfGMOtP9muVWG7x8vpIPb3rqv8a8Dj&#10;lZGVlYqwOVZTgg+orvfCvjGZriKx1GTzBIdqSnqCeg9waQHfHpTMcU/NN6UAZOrj5Yv941n54rR1&#10;b/Uof9qszt+NclX4jeOxVuf9av0qFfvVNcD5l+lQ/wAQrFljz1z7Uo6UhPT6Uo6UIBp6LTu1NJyF&#10;p2eKYCDrSHoaUdaQ9DQADpS96QdKU9aQAetB60E5IFB+9UgN/jpM8mlz89GOTSKGjoaEGKMcUq0w&#10;GyU3uKV6THIpAB/rTD978KeT/OkPWmwID3pD96nEcU0/eqQGNxQF4pz0g6CgZ1fh3/kWdK/684f/&#10;AEAVqDpWX4d/5FnSv+vOH/0AVqDpXrI4hw60tNB5pc0AOpRSUopgOFLSCloAKWkpc0AFFFFAC0Gi&#10;g0AIOtOzmm0ooAWiiigAooooAKKKKACiiigAoHWiqWr3y6bpVzeMceTGWHue1IDzf4j+KJ31J9Ft&#10;ZNsEQHmlTyzen09q8zlOJD61Pf3Mk2oPPKxZ5mLsT3Ymqk7HBY9aAFziTNQXDl3xUrHGc1CnL9KA&#10;HxRYyTVFxm9/CtNvljx61n4zc5oAmcYQ1VeNck45Aq7KPlpvlBhz6UWAx54Mkehqt9mKEHtW7NCP&#10;L98U2GBXGGFOwxfDdok+tW8ZuDArnG9RnAxTdRgiTUZ1RzIMDlhg5x/9erlvbpbzPKjbCkTtu9Pl&#10;IH6kU2SDfqEj7gd+xwfqoqbahfoU4LcuwymBWjCm0KoFTxxACpFiGQaqwEcsKtzUiRhVwKcRxQKC&#10;RyjvUkbYfHrSAcUDgimCFZOc0L1qUjK1ACd+KLjIpXHmAZ6davWrf6N9Ky1bfcOcdK0LQ8EGkIs7&#10;jlRVqCXa6ndhlIIPp/k1Q8zBJPampPl8CgZ7t4c1YaxpEcxYGZcJKB/erUcV5b4D1b7HrIt5GxFd&#10;DZj0fqP1JFepv2qQMvVuIE/3qy171p6xzbp/vf0rLVhiuWt8RtHYrXA+ZagH3h9KnuT8yVAPvD6V&#10;gzQce30pw6U1qcOhoQDPSndqb6U7PFMA70h6UvekbpQAnanHrTe1KTzSuAdxQfvUHqKPQ1IDf46d&#10;Tf46dSKEI4pi089KYtMBHGaOpFK3WkzgihgNP9aD1FGMn8aQn5gKGBHJ/SmfxU9xn8qaPvVIDWHy&#10;mkpzfd/HNMzQM6zw7/yLOlf9ecP/AKAK1B0rL8O/8izpX/XnD/6AK1AeK9ZHELRR2o70APpRSUop&#10;gOFLSA4ozzQAtFFFAC0UUUALQaM0E5oASlBxSUUAO60UgOKM0AKTigHNITmgHFABmlptOzQAUUUU&#10;AFcV8R9WjttC+wK2ZrhgxHoqn/HFdo7BELsQFAySe3c14T4n1c61q9zd7jsJ2RD0VelIDlbrmLd3&#10;U5qOU74sjoanf5gynoaqRf6pU9GApgOf7xpYV+bmkPU0/wC7FmgAc5zVSMAyE1Y/5Zk+tMhQcmgC&#10;R1yKbjFSMvNNYdKAGFdwIp0ce1qeF5pyjmgLjJ5ZYWDRbfmXaQy5GMg/0ptrGzSSPIxZy2P8KdN8&#10;xxjJ7f5/CpYAQzgjnPNAMnHHSnrShaMc0MTYEUBadQOKADGBTXOMGnE5pGGRTAeJRtqJ3wGYdqZj&#10;gCmznbbyH2pWGQ2hAUu3er8Jxz61jwyZiUdq00fbED7UALPMRlR1NTQR7VzVJS7uXxV1ZixAx2oJ&#10;NG3leGZHRtrKcgjsc5Fe36VfjVNJtrxesiDcPRgcEV4OHwQa9L+HeqiSCfTnP3f3sYP5H+lJjOo1&#10;cf6Kv+9WOBxWzq//AB6D/frGB4rjrfEdEPhILn7yVXH36nuTylVx9+sHuWSN/SnDpUZOMU8Hr9aa&#10;Ab6Uvam56fWlz8uaLgOpG6UA5obpQwE7Uvem57UueaQCt1FGeKRjyPrQRgUgE/jp3em9Xp2fmoKE&#10;PSmL/Wnk/LTF4A+tCAGpp7U5jTT1FDAF6/jTCfnpynn8aafv0MBrd/pTP46cTyab/FUgI33aiqRv&#10;u0ygZ1vh3/kWdK/684f/AEAVp1meHf8AkWdK/wCvOH/0AVp16yOIcOlA60A0d6YD80optOBoAWlH&#10;WkBzSjrQAtFFFAC5pMiiigBc0UlLmgAoozR1oAKKKKACiiigApc0lFK4C5pe1NpQeKLgYfjG5a18&#10;H6pIpw3kFAfrxXhAk3xY9sV7L8SZ/K8GTr0MsqJ+uf6GvD4JMMwNAA3BqouRdFD3IYfSrDTJIcqe&#10;lVWJN7CfXKn8j/hTAm2kk0THACDpT845qI/MxNAD/wDliKSMYFOZfkFIg4oAeetJjpS4pcUALICA&#10;GC8EdfekFTWpaR1iYfuyQD9ahYYalf3rCIbhHdFERxJ2P4GrFqsixkynLnqaFXlSamU8UxkgbNLU&#10;dPBpkjqTNLSUDFpD0pcZpHHy0AR1BeNi1k+lT1U1E4s2+tFxlGD5UXnNaLPwiZ7ZrNt+UWrCMWu2&#10;9gB/KkBtQKhtxxzTFGHx6UsTrHFubhRTUkWQl16HpRYRYHK1teG9UfS9YtrnOFVwr/7pGDWRGvAB&#10;qaMDPFDA9u1Vg9irqQVLbgfUVjD7tQaDqX9oeE0VzmW2fym+mOP8KnH3a4q3xHRDYrXB5X8ahXl6&#10;muPvJ+NQqcNmsHuaCt2p470xhzTx3oExpPT60fwfjSH+tLn5PxoAUUpPFNU8mlJ4oAbjjNOPUUn8&#10;NL1pIAbt9aVhSHnH1pSc07jsN6PS/wAVIRk5pP4jSGK33aavIH1pTyKYh4H1pAK1I3UUOcUHkigB&#10;B1/Gmn71KD8340jHD02Aw9T9KaOtKT82PUU0HmpAQ9PxxTe1KTx+NNzxRcZ1vh3/AJFnSv8Arzh/&#10;9AFaY5rM8O/8izpX/XnD/wCgCtMV6yOIUdaWkHWlpgOpRTM04HigBwpQeabnFLnmgB9FNzSg80AL&#10;RRRQAUUUUAFKKSjOKAFooooAKKKKACiiipYBRRRQB578Vb1F0u0sc/O8plP0AIH6sfyrx1mKNx61&#10;3XxHvDc+JbhM5WBVjA/DJ/VjXAynNNAMmcxTCTohODTgN0iH0JP+fzqQhZbcqwznr9ap2krG4Mb/&#10;AHlBFMC8/pQFOaU80qnmiwhccYoAxS0Y4oGOAyBSjj3zVjTrOW/vIreIcsQCfQetep2OgaVaW6ql&#10;pGxxgu4yTUOaRcabkeUQM8XIjdwGDfKpqKXg5II+oxXtSw20Y2pFGF6Y2is++02ymBL2sTc/3az5&#10;9bmnsdDydTnb9akWu6ufBtncqXtHaGTsOormL/Qr3TcmWMsgP3l5FaRkmZSpuJm0oNIaAa0IJM0g&#10;PzUlSRxF24/CqhFzdkTKSirsBTMnNP2EY7//AKqTBxjHNNwkugKcX1ImGOKp6l/x6N9a0GHJ9az9&#10;Sz9laoaa3KujOtzhQKsWpBupSTjAyfwFVLdsxg06HL3Msf8AedR+G3mpGWy8+p3G1Ny2w7j+Krk0&#10;nlFUj4CipN6wxBIwFAHaq6jcxLciquImju5wNzEBT0qzbzys+QcCq0cXmNk9B2q6q7RgUgOs8Kai&#10;Yb17ct8lwBx/tA8fzP512oPFeVWUrQTxyqcMpBFepQSrPBFKhBV1DCuWutbm1N9CK5+8n41Ap5qa&#10;5PzJ+NQKea5OpsPY9KcDTTyBQM5piYf40H7v40h6D60rfdoCwL1NKelIvANBPFA7Cg/LSE0dEzQ3&#10;QUgQq9KWkHApSeRSGA603+I04fe/CmZ+Y0AGeaYvp708dajB5/GgBXFIO1OPSigBnekb79BPJ+tD&#10;D56AGN96mL1NPY/NTF6mkAxulN7U5vu/jUeOKQzsfDv/ACLOlf8AXnD/AOgCtMVmeHf+RZ0r/rzh&#10;/wDQBWmK9dHEKOtLTc4pQc0ALTh0ptOHSmAo5pRzSClHWgBaQdaWigBwPFFIOlLQAUUUUAFFFFAA&#10;DmlpKAeKAFooopAFFFFDAKKSo7idLe3kmkYKkal2PoAKQHhPjl/+Kp1IKc/viMiuTK5rZ1m6N7fX&#10;F2w5mkZz9Sc1ld+lNARxn76+1V0UHUFfGPkNSqds2KjQ41AL6qcU2BcIxQOtKetFO4hw5pyguQq8&#10;lug9fSmA10HhaxW4vTcyDKQ8j/eqJOyuVFXOn8OaSum2oMigzyZLH09q6iJwEGelYnmEnrVqOdtv&#10;3siuWTuzujFJFqWFTJuErAHoKbLZoYtxnYVny36RuAW/M006mjRkBs1NyrFpLe6CZgIkUdu9IlyC&#10;TDdxYB4IYcVVttV2O3POfWrj6lBPt3AEn1oTd9At5HJ+L9EtbHyr2zb91M2CncHFcuBxXe65ocmo&#10;WW+2mLGP5xGTxXBdOPrXXTd1qcVWPLIKfHKyBgpxmo6RT81aqUou6ZjJJqzRMHIHI7YpfNCjgHNN&#10;prdauNaSM5UoskeRSpIXBrM1D5rVvpV1jxVK85gf6VM6jm9SoQUFoY1nlogKmtnxqxU9yT9OBVax&#10;bDsPen2x/wCJ5/wD/CszQ3ZDlaWNC2MUEZIFSxnZjNMTLMSbBUq/Mah8zPFSK2AAOp6UATZC49K6&#10;3wxr3mGLTpI2J52P2+lciFBB3n8K09KmEWoWrrwokUH86zqRuiouzO/ueqGqw61Zuf4PrVUHkV5z&#10;3OkkzwKXPJpueRThyWoG0B6fjSseBTT0P1oHQUDHDoaOoNA6GgdPwpgB+5SZ4FBPyUDmkApPQUH7&#10;wFB6ig/fFIAH3qT+I0oPzUn8RoAB1qMDn8aeD8xpoHNAAx4/GlpG5zRihAMI5P1pT98UHqab1cUA&#10;Mb71NXqaVvvUnTNIBjfdqPPFSN0FR9qQzsPDx/4prSv+vOH/ANAFaYNZXh7/AJFrSv8Arzh/9AFa&#10;vavXRxC0opoNL3oAdTu1NopgPFAPNNFO6UAOoptOoAUdKWm0UAOoptOoAKKKKACgdKKKAFopKKQC&#10;0UlFK4BXGfEPVjaaOljG2JLpvmx12A8/riuzHNeHeNNdXUvEl24b91CfKj+g6n8TmnuBzl8cJVTH&#10;y1LLcLL8oIJqvzyCelCArSHE6n3p20fbIm/2WqOf74pkkm3ULUZ4III/CmBoHrRR944FNkcQpJI/&#10;CxqWf2ApCJoIZLiVI41JdztUepr0HTrJbCxSBQN2Nzkdz61geBdGnYPrV9kNKP8AR4j/AAL3P1rr&#10;JjgmuapO+h10YaXZErc1dideBVAc81Isu1feszdF94LAtveMFqY89pHGQkMY/CsaW8leUxpG7N7C&#10;lS11CU4NscHsaBm9GthPGN8Sbj3FQtplj5xAkwD05rMWw1UNtSAr9TR9g1RpCMDjvmhD17ms1q9n&#10;bvLbyF2VSduevFedy6Rqchaf7JJtY54FbcXiC4jvWg2uzI7RsAO44rpLG7nlIIiIA7HpWsZcplUp&#10;c+tzzJ45ImKyRsh9GGKYpwxzXrlzZW9/GVubWNvfHP51zGqeCohGZLB2V/8Anm3IP0Naqp3OaVJr&#10;Y5DPFNbrTnjkgleKVCrqcEGo3arWuxlYa3SqlxzG/wBKnZveoJOUIpiMG14mce9LZtnxA4/2D/Sh&#10;PkvmH1qKyYf8JE3upFIZ1S81Jt560yIbsYqcx4BYnAp2EMVdoJNSpNHCd0rY9BVF7xDIzE4ij7/3&#10;j6VQkna8ucZ+lAHUNsuYRNEcj2ptvcGOYDGMMCPwqGyk+zQrHj6090y29RQ9UB6lK5eGJ/XB/SoD&#10;94Vm6Hqf27TEjkP76HCt/Q1odXFeZNWZ1x1VyTPIp6/xUw9RTlH3vpUlATwfrQPu009/rTh92gBw&#10;6GkB/lSLSHqR7UwF/gpRTV5SnCkAE8ignDiihvvrSAQfepf4jSDrR/FQAD7xpB3pf4qRe9ACHvRS&#10;0UAMbqab/GKeRyaYeXFICNvvfjSf4UrfeNJ/hQAxulR8VI3SocUrDOw8Pf8AItaV/wBecP8A6AK1&#10;e1ZXh7/kWtK/684f/QBWoDXro4hRS96QUtADqKTNLTAUUuabmnDmgBadTaUGgBaKKKACnU2nUAFF&#10;FFABRRRQAUUUUmAUUUVIDXOFY+g/pXzbqUbSOZOzV774n1BtM8N3tyjYcRlU/wB48D+deEoSyneP&#10;l7U0BhvCY8spwalWTzlyfvDqPWr8lqr5wwqq1i6vlSBVICjKQH57VWmR31C12Akhucdqu3du/nJs&#10;BYscHHetS3tI7VQWK+YerGgBpVbZcsCTjNV1CXLrA/zI7gyZP3iD/KnXl7tVkMisf4cdqowM0d2n&#10;POCQPSk9hpa6nr9rhIEVRhQoAA9KZMQaqWV15lqjA8Fc1K8lcLR3p9BrnAOKqeZLnJHepmmANQS3&#10;SjvTGjRgv1hQ5Az9Krz63KJAQTgVgahqi2qGRskeg5rBfxItxAzxqyJnaC3emk2HMr2PQH8SHyzl&#10;8e9U7jxgLaM4be3oK8+a9urrJViqVLC6JgOcv9M1SQ7qx11vfK8jSEBWdixI9TXS6Rc7mJzla4ix&#10;t57kjC7I/wC81dvpdskcGVbj3pXK6G+SMdc0xjmqqz44p/m5AouZmTrugRapAxRQtyoyr+vsa84v&#10;Lea0mMVxGUcHBBr2FGqvqekWer2rxXEQLFflcdQaqE3EynSUtjxsnJ61CTzzxW3d6ULaaWzmZfNj&#10;bCuOAw7VBHaQwqAyhj6mulO5yNWdjkZxs1D2NU7J9uvlj0ANdrcaRZ3bqzLtfttOK5nUdHl0rWBL&#10;9+GQcN6e1CEdNbzxFBgc1U1C5llIgi4J7+lUrS6CkA9O5NWNTuI7W13hh5snA/xqriMm8LzTC1ts&#10;ssfJPbd61dsRFYAmWQNIR2qKLT2uos2s4xj5h60yTRoLT/j6umLDnA6VLGdPYzQ3ChtwyTjFaqRK&#10;F45FcRp0qm6HlZSADCknlj61vx6jJbtsuOVPRhTA6nR3+z6jHtPEnyGup6OK4O1uh5iOrdDkGu5R&#10;xIEcdGGa4sTGzub0W3oTnqKcO9JjkUo71zGw0/1pwPyU3/Gl/gpgKtNJ+Y/SnLTT1NACr92lBpB9&#10;0UUAOoJ+daKafvikAo6mj+KgdKDx+VAB601acKSgAJ60gNIe9IOlACk8mmH7w+tOPU0w/fB96AGN&#10;9403/CnHhvqaYfvUgEbpUVSSVDQM7Hw//wAi1pX/AF5w/wDoArTWszw+c+GtK/684f8A0AVprXqo&#10;4h3SjNFFAC5pc0lGKYDhzTh1pgpwHNMB1HSkxRQA4dKWkHSloAKdTaKAHUU2lUUALRRRQAUUUUmA&#10;UUUVNwOH+Jd3s0q1sgcNNMWP0Uf4kV5VM2CI1612/wAQ7zz/ABD9nU/6iJV68Atkn9CK4WWdIGUA&#10;bpD09KaAY4K9SBn14zUZc7gq/MaZeRfapkBTcV9+BVkDYixr97uRTER2kTorSXMgkYZ244xVO6me&#10;VzjP4VZmlAfyl/h6mmrDj5jTGZskYhhMjjfIfurTYFLTbmP7xjkn0HpVyRQ8zO+AF6GqPnqjSOBw&#10;OB/tGlYZ2Giamvk+Q7YZDxnuK2XvV24zzXlyXUscmd53ADp61Yk1+5t4ySpc9uawnT10OmFVWO9m&#10;vgBjIz9aybzVFi5zk+lclZa1e3Akecgc8CmG6kkmy7ZoVIJVrGrcXT3MhLE7T2qvMsaoAcYByMUx&#10;MuQBU8dkZZQGzxTmkkTSbk7siiW4uMrANietbWkWEcE3mP8AO47tU8aQWkI+YAY6UsN4skmyFCzD&#10;qBWZ1o3YpCwA6D2rYspWVVXecZrnbW2v5SGaMIoPOTW/bRrGgBbkdallPY0wsY+bzOaesnzdapAg&#10;4qULg9aEZmkr56VYD4XmsyNsnipvMIB5pAcP4xjP9sGSNA29ORnFc4JHbG3Idf4WNbfix0k1MK8o&#10;QAda5x4VIP8ApeVJ6jtXVDY4KvxtGvDHxuZgT6ZqWWKOdQJUDgHIz61mWyxQAMs5cn1rS8wbA3rW&#10;hBQurK2KlJIhhvSsK78N3M8yvDcKYR3btXTsBMSp/Cq6b4XIByKLAUNP0r7KBEJDgdcd607u2hk2&#10;pLGCAO9I1yquBt5qSc+bHknnFFgOf1DRpoT59rkj+6KhtNVBItr1dueMntXRWk+4tG3UdM1la1pi&#10;zI0ka4YcnFAFqwme0k2M2+E/dYc4r0vSJxPp1uwOcKRxXiumXslnN5cuTCTz7V6T4ZvDFPHDuJhk&#10;yQc9Kwrx5o3NKbsztM9Kd603uPpS4rgOm40n+dLn5KaR/OjHFAEinimnvSqOKT1oAVfu0Ui9CKXa&#10;KAHHtTT94U4imn7y0AKPu0P0/Cj+E0Nzj6UANFLRjmk/xoARuCaShvvGkxQAp6k0xuGH1p2etNfq&#10;v1oAjfrTT96nP1/GmD71IYj1DU71FQB1vh3/AJFnSv8Arzh/9AFainBrL8O/8izpX/XnD/6AK069&#10;Q4iSigHNFMApaSlpgKKUdaQUo60AOooopgLmlBpMUCgB1FJS0AFKKSlFIBaOKQnikzjrimA7NFQt&#10;Oi9WH51GbyH/AJ6CkwLOaRnCqzE4CjJPtiqv2uM8g5rm/HHiJNK8MXAQn7ROPKjA9+v6UgPJfFWv&#10;XGoeILo2kZdpZCSx6KucD9Kz7e2VJQ00nmS9S3YfSonlKoWbjAzT0JEPPU0IC3vUKwTknvTGlEMZ&#10;PVjUMbhep6VVml33CgHimAMxyTnmplutyhcY9ahYcmoSmKYFmcK64zway7oBiI4xjZzmrTuAMntV&#10;F5RhsdTSAqqf3jZPNBcKRnmkCFmPqarzNslC55pMC0nyIexNReYd9O3ZFVSxDE0ILG3pt0qXS+Z9&#10;3PWtxpjK4FupJbocVyML4lUn7ua9DgltEtUaAqQeQayqI6aDILXSGb57mQsR/DWpbRwWzgIgUd6p&#10;tfpjbEC7HsOaSK31C5lx5Xlg85bisjsRvG+QAKCOPepopt+CCPrVS30eGJS88+9/QGpW2RjEQwKl&#10;oTNASqOhGalEvHWshMqcljmpPtHvQiWannFehps18I4yxPas03OOrVm6vfhLM4I/Ojck5rXb/wC1&#10;6m+GXg8b+hrLM0gGwQJkegyDUMu6WTd972qSxkMc5UHHpmuuKskjgk7ybJoPOmcllIHpjArWSQhF&#10;B7VGLkouwxj605WDZqiSXfjDUSDDZ6ZqNv8AVsKhhvkmi2NneD0qrgEx+fNW7dxJGV7gVTlpkVx5&#10;M8foeDRcCxzHOW6VZ3CdDj8ahmXdIGHRhxVe2lMczIelDYGDqSfZLskj5GNdJ4dv8vEwP3SKo6vb&#10;LcQMQPmFZWgXRiuxExwQamWqaBHvQYEKw6ECnZ61XtDutIT3KD+VT4+9XldTsQh5/OjtR0H40g+7&#10;+NAx6nig9KFHFB6Gi4AtOpq06hAKaa3VaWhuooAP4fwpCeg9qX+H8KQj5h9KACkPSlpD0oAaetIe&#10;lKaax6UAIeuKRjyPrStw9I33h9aAI2PzfjTe9OYfN+NN70hiOajp7imUAdb4d/5FrSv+vOH/ANAF&#10;adZnh7/kWtK/684f/QBWnXqHEKDTx0qOnqadgFooooAUUo60gpR1pgOzS03FOFMApaSigBadTaWg&#10;BaNwCkk0122LuPSuS8ReKodOjZQ43D3qbgbt/rNtYxsXdeB3NcNq/wAS7O13KkoJHTFeceIfFN1q&#10;UjqsjBD71x0kjOeST9aLlWPRL/4n3EpxAp+pNUB8Q9RJ7fnXClj0zT0NAkesaT8Qo2IFxIymqPjL&#10;xBHrNzbpHJmKJSfxrz9dwX5TTvNccE80DaNaVhJhAc5bJqbNYsNyfNBJ6VqRzB1BpA0Pf1qsCDPm&#10;p2bioE/1pNNEk5phHFI0gFRtcpiqAbOv7vFVPLFSzXCngVXaXHakAkrLCjMaxncySls1Pe3BkYIO&#10;g61WUYIpMDRTmIVC4qaD5oAaay0DBRgitTTps3EUckjCLPPNZoXpUycGk0mCdmeo2lvZWKI8e1vU&#10;jmp59TVuEPAGK81XVLmJAiyN+dRvq15yPNPNZch2RrpHdS6nGDzIB+NVv+EgtQdvmiuDeeQsSzsc&#10;+9M3040iHiPI9Jj1KOVeJB+dOF0v98D8a8yM0iHKOw+hqZJ5inMr/nS9kH1jyO21LX7WzhZjIGK9&#10;l5rk7rXJtQYthki7A96zHOWO7J+tJnjOapU7Gc6rkTF2PIJHuDVm3mQEeYxB9T3qlB+9fB6+tXTD&#10;lApGa0RibFvdpcJweRVxOmKwYUMDhgOO9aAuCooEXTIBWLLKYL9j0Bq55rORxVTUVyyuBTuBpiQP&#10;GCO4qnc5VlINQQTNtAz0p8hLAUwNO2ufMiVT1qKZtkwIqKzOHUVJMP3maAJnIkTHrXNXCGx1RZcf&#10;KTW+H5qlqlt58O4dR0pMEex6RcLd6VazL0ZBV3s1cx4CnM3hmJScmMlfyrp+zV5k1ZnZHYOo/Ggf&#10;d/GgdPxo7VIxU6UrUidKVqdgBelKaRelLSAXtQe1B6Uh6CgBTwMUh+8PpQx5oP3h9KAD1puflpw6&#10;mmfwmgBGPFI3VaU0h7UAIfmk4pH+8PrQP9ZSP98fWkCI2+9+NIetK33vxpp6igY16ZT3pnFMDrvD&#10;3/ItaV/15w/+gCtOszw9/wAi1pX/AF5w/wDoArTr1EcQUDiiiqAcCaUUylyaQD6XNNBJpaAHZNOy&#10;aZTqYC5NApKKm4DqUtgUmaw/EGtRaZZuWYA46UXAoeK/Esem2rqj/N6ZrxPVtSuNRnLyucE5q5rO&#10;sSandu7sdmeATXP3VyN+1TSKSI5FzmqEqYJ4q002EqjNMTQK5A74NCTAVGRTe+asZox3Axgipgyy&#10;DjrWWrkGrEMhFICR1Ktnmpra+2PhulM3B6GjQr70WJubKyrImQaQKck1lW9z5JwRx61rQTJMnB5p&#10;DK0+c1XI71auWAc1ULjFADHHOTVW6m8tMDrU8rjFZd0++TGelDYiA5Jz3qVR0poGRUirzSAv2y4h&#10;FSMnFFuMRAVIw4pjIgOBUgXikxwKeBQIjckMOKawBqbbl/oCah5oYWG0u0UuBS4poZGy8ZoQ8YqZ&#10;l+SokHNMBkqEnNM2/Lip3YfjUBb5qkB0L+W4rVhnjK/NwaxWznIqSG43LtPXPWgRsNIH4BpykMOt&#10;ZwfuDU0c+KANNMAU3aJwy/lVTzSRU1pKEnG44BoENWBkJp5BA5rWltgV3KMgisycFcjpVCuLak+a&#10;p96tTghs1UtT8wq/Mu5PwpDK4qKeTagyOCalGAat6fpMusXSwoCIwcyP/dH+NTOVlqNI7jwXaGz8&#10;PRBhgys0gHoD0roSeG+lQwxJBGkaDCqoUAegqQk/N9K82Tu2zrSshynr9aU9KYp6/Wnn7tIYsfSl&#10;boaROlDdDTAOwp3am9hTu1IAJOKQk8UpHFIRwKAAjjNB+8PpQelB+8PpQAdzTf4TTu5pn8JoASii&#10;igBv8dNc/Mv1p38dMf7y/WkCGN978aRvvUr/AHvxprfeoGI/SosmpHPFRZpXA7Hw7/yLOlf9ecP/&#10;AKAK0qzPDx/4pnSv+vOH/wBAFaQ6V6yOIWlzSUYoAKWkpaaAUU+o6cCc0AOp2TTaWlcBRS02jdjm&#10;gCO4mEELSMRgCvFPG3iBru+eNXOwcda7/wAa62tlYPGGwxGK8H1C6MsrEklieaTKiRzXZ3HFUy5L&#10;5o70zvQMV2J71C+MVIxprkEUElVuppoHFObvTATVgOHWpkGBVcE5qcE4oETKcVIDk1ApJqzFHnqa&#10;BEbLuFTaeXil5PGaR1IIAFCFkcZGKTKRcuxwW71ns2BzWnIDNENqk4GTgZwOnP51lSqx3qqsdoyS&#10;BnA45Pp1pDuRSyfKTmqPVsmrDo7wuyoxRCA7YOBnoM9u/wCRqFI3bcQjELyxAzt9M+lIkAvpU0S8&#10;0iocA9OKsoirg5HJ4PagC5AP3Yp5HFNtwSFRQWLfdAGSfTipimAQQcjggjGD0pjIApJPtTsGpUik&#10;dWZELBRuYhcgA45Pp1pQM0AJEnzn/dqtgVfhX94OCcj07VVCYOGHNAEO2jbUu0A8n8P5UFcY9PpT&#10;AaRkYqPbip9hILYO0EAnHA9s+p5qNlwOv+cUAVZOtR7TnNWZI2G0spAYblJ4yDnke3FIIyeikkDJ&#10;+nehiIdnGKrEFJD9avlCACRgNkgngen4gVVuFGc+/WkMfHNzyasL0rPljeGRo5VZJEyGVgQQemMV&#10;Zs3aZxGBlj0x3zxj60CLyscU4NjHtSNDNEpLROArbWJHAYdj6GgYPBoA39NvleLY/Wpru1SWPcpw&#10;awIhJuwgJbrhevvWhbX7bcNzQJojhXy5ip6g1eMgxg1BKyM+8cfoKu6VpN1rN0sUCkIThpSPlT/G&#10;k5JDSbI9O0241S88m3QsAcseyj3r0XS9Lg0u0EMIz3dj/Eat2Gk22kad5MC88b3xy5pQeTXFWqcz&#10;OinCxIMUvZvpTM4FOHQ/SsDQUDrUn8P40wd6fn5fxpgC8EilP8VIOpoPVqAFH3ad2po+7ThQAdqb&#10;Tqb3oAU9KG6j6UHpQ3UfSgBPU+1MPSn+tRseKAFP3c0npRn5aT0oAQ/fpHHzD60MfnpG6j60gQx+&#10;uaYx5FPemN1FAxj96hqZ+9RYpAdl4e/5FnSv+vOH/wBAFaOazPD5P/CNaV/15w/+gCtGvWRxDs0Z&#10;5ptFUBJkUU3NKDxSYDhQOtIDS0gHg8UtR5NSDpSAKinkEcTMTgDJqWud8UakLLT5WzgkGgDyzx3q&#10;5utReNDlVrz923tk1pateNPcO+eprIZ6RpYUuBmog5JpGOTSovOTTQgZjimdqdI2DTAc0ARP0NR1&#10;K/Q1EasnoKODUgaoc0oPNAiyjAVOk+2qarUmOaANa02yNzVq5gTZu9qzLUspBFWLmdvKxmoY7Hof&#10;grQb8eHXvINNj1H+0mMEkYlA8u3H3ucjazEDB7bT61n6zoNpoWn6x9jlklW40hpS7gA/8faKvHb5&#10;QOuec1H4Kkgh07T7i7naGGDVTOzKpO4oiOF/4ERj8aveIZjNo9+j8TR6KVkjPVT9tUgfkR+dTcC3&#10;4asLgeC4Yv8AhDLe4Sa0M0jNFJmaRP8AVHqAd28nIxxmsXxHaeKU0BVto1j8P/2dZtLGhjVSxhQn&#10;I+8TuzyRk444q/oFhYL4IaGbTMz3McE7wnUGQyYExUn5Pl3BDgc5yOlZXiIbdK1iHABgl0qBs9il&#10;rIrD8wfyoYjore48RXeradp2m+ILeyhFpZKtpJKEd/8AR42YqNpz37+tZ3jS4vn0m/tbvU0v1g1d&#10;VhZHDlE2y/KxAHIwM1OnkWutW0kcgj1K4s7OCOSRSscEP2WMyMW/vEAqPTJNYuqkTaPrU6bjHPr4&#10;kjJGN4Ky8j86oR0mtXMz6rY2rxW6lvEDpb+VbohWKJlULlQCclj1z933rh9ZVk1zUEYYdbmQEemG&#10;NegTwx2+o3t5cTxMbXWZtRjjBy0Sx7924dt0ixKBXH+Ibd7rUINRiUuupRrOoXqZTxKv1Dg/mPWm&#10;M6Kwe3t9EjntPC9u0l85sbiFppwSMowJ+boSOoHasvVNItbzxcmkafZxafEZzbxy7pCsp3YDfOSR&#10;zxx6itfVfEnij/hI72x0zULryIZTFGkeMKF+X09qnHh7xbrl1aXeoXbySWzB4Wl5KnIPGPcCgCnp&#10;29fD9rG64KabqC4I5yD/AEOaytO8Mt/wlFpasv2kiBL2aJB82NnmGMD+8RgfjXow8Mvd6hPGy+Ur&#10;C6jKDovn5bGfaiT4erceIRql2z7GkLeUvIAA+VccccAe9HUGchZaVK2uG3vrPTmjWQXV88sWzynk&#10;xiDJIAboAOxY9hXPaTaXS+JL0jTrYyRLK02nTDbvTOWjTPO7GeRyAvr173V/DTrbT2179uu4Eae7&#10;DCZYj5nlFyCArAklTjngNXE+W+s+JnmvY7iO2hhLzK75dIo48bd2BycBQcdSKANrQ00Kbww7Posj&#10;2Sru1CX7af3ckYJUgbf4t2B7kj+Gsbw5bWmqXusW8Wj372txAqpHaATSwYdWBy2P7pH41tadq04G&#10;iJBBBZwS291JLbRJ+7mCI20uDkt8yHr0GcVk6LLLqEetS21lCJJjblbWEFYzmVflAzwDj1pPQZ0g&#10;0O2W70ic+H/EznTY1jSN7aMiUB2f5uf9vB/CuQ8M2TweH/Eusyh1iigS1G3r+8lUNtzxkLn/AL6F&#10;dhBYaVDq2lHSJITcpqlu9/Cbgu1v8yjZGf4lyWyRnt6VxOmXNzLoXiGxLs1ukPmpGP77XEAP57R+&#10;VJk3NOZPD1zp39mtBr//ABLBJOxa3iDorlBz83TODj/aqHwV4Zg1R4n1Dw5qN/BcTokV1BLsjiGc&#10;MW45q3qrmTQNU1GMFpr60sLaTA539XH5wA/Rq5vwjdz2viSDyrKW+kKTIlukpQsxRgMH16noaY+h&#10;0XjHRI9QTVL+38Ga3BevK05u5ZS0ajduYlQOBgH6UeC2sLltItNNtdC/tFIBJLNexTtIZvMc4BQg&#10;cKFPI781keKIdJtPDlsV0q603V7qQlYZLppNkKnGWBAxk5AHtmug8E3AsNCtZ4TZRSIGeQw53OAx&#10;+a4k5Kp/sDlsYoA7nwylnqZvo2i0K53yq8jWEcgG4nBzv65APT/DN4eE9BuoYvM0yDfIQTtTHBxk&#10;fhu+vHvUPhb7BDq1xbaXbrDZozOy5+YtIqujHPqrMoHbHvXRRGUWltkHO9dwK9+MkH16/makDjrz&#10;4dWlhrlrqGkHy1CzBoP7xMTAYrkNJ+FWu3YD3jwWaNg/Mdx/IV7NODPMkaEqUJOcdDjj9M5+oqW2&#10;I8gKBgDOB04Bxj/GquDOB0/4XaVp1u8l9LLezAEjcdqj/gI5/WtG2tobWERwRJGgGAFGK6u7A+yS&#10;4GPlNcyv3a56+5rTZFdf8e7/AErMVjuNXtSnS2064nkPyxpuOPQVxCeN9I3Z81/++a5nFt6GqaR1&#10;o5p6nk/SuYj8b6Metzz7rUy+NNFzj7T+lLkl2HzI6Ud6UfdNZWneINO1OUxWtyjyf3ehIrV/hNDV&#10;tx3HL0pSOD70i0E0gFHQUA80DoKBQAvOaYxwRUmRUTfeFADz2pGJ3D6UUjfeH0oAXNMboadkUw85&#10;oAB92kNHakJoAQ/fobqPrQfvZpHPIpAhp5qM080w0DGOaSkejNIDrvD/APyLWlf9ecP/AKAK0azf&#10;D5/4pvS/+vOH/wBAFaWRXrI4gooyKMiqAKcKbS5pMBwpaaDThSAWnBqbSZxQBIWABNeTfEfWeWtk&#10;b8q9B1LWILSGTLgECvn/AMVat9v1OVlbIzgUhowp5PMfNVSdxNKxyaYDgE0i7ijjrTmlVRgGq7Fi&#10;Kj5pkkjS5NKrVFt9KcoPemMcx4qI9aex4qOhE2CnCm04CqAkVsVKCDjmq/TinITmkI1E+VF9abcN&#10;8oAqLeDjFMlky4AqWWtjr/B2r3Wn27W8cVvJC8m8rNEHw2MZH4Vva3LezaHqbARs9+QZnKfNwd20&#10;HsDx+VYHhe2BTee9d+LITaRIhH8PSspPUtK6PJLfxFfLYf2fIsUsfnRzM8gJdvLUqqE5+4ATgVam&#10;1i5v7fUxMiFtQu1upW9GXfwPb94fyrNntDb6hcRkY2uQBU8IxHitTJm4fGniHbEkOoNBHFFHCsca&#10;jACqFHXuQM/jUV94l1bVtPFjf3JuIhMsyllwVIDDtxj5j+VZQXnp17V3PhLwBc608c042W5OQO5F&#10;FgMqGfWNca/hgt1P2+4FxOY0xuOSduf7uTnHtXpPgvwTeR2duL8grb3H2iFCoOxjjP8AIflXcaL4&#10;VsdKgRIoVXA7CugVFQYUACjqJmJY+GbG0bcsK7iSSSOTWstrGgwq45zxU9FAES28avvCKH/vY5ps&#10;lrHKwZs8dMHGOCP6mp6KAKbWMJR1ZA25ifnGevWuR8TeDotRhuTCFhe4jEb+WoGVyDj8wPyruCKQ&#10;rkYIyKAPnrWNG13TNTjvzbRyR28Bt40QYCpsKcD/AIEW+prjYbyeztbu1UBftAUOSDuG1t3H48V9&#10;V3WmwXMZUoPxFeVeNfh8j77myjCyDk4HBoA8s0TWZtCvjeW8EEswUhDMm4Ix6Mv+0Oai07VbjTBd&#10;GAgSXCqvm912yLJkfioqKe3eGVo5FKspwQR0qLy+KYG0vjbxKE2/2tMRnOML1/KueZ5VkMyuyy7t&#10;wdTgg+tSbSvamuCaQE+ra5qOuwWseouk8lsCFmZB5hXjhm74x+pqa18RXsMFlaMIns7N9/2fYAkp&#10;znMmPvelUUjDIR3pnlFW6UWA9C8C69dXHj+C5mlx9ucxyovCn5flGPQYA/CvduMAenSvmXwxObTx&#10;BYXGeI542/AEGvpfdnj0pAxsUKxcDJOMZP8An3pGhXzhJlhg7toPBOMU7dgU0tQIjuv+PaX/AHTX&#10;ML0610tyc2sv+6a5bJ5rCu9jWmUtfUtoN+ijJNuwAH0rwY2N3ni2m/75r6DuObSUf7JrnPIGfuis&#10;41eQ0cOY8d+x3I6W8n/fJpptbkf8sJf++DXs4hXjKj8qlSBB/wAsx+VV9Y8g9keZeDLG7fxNausU&#10;iqh3OSCOMV7IOhqtDGqElVAJ7gVYX7prGcud3KjGyHjrSd6UdaT1qChR2o7UDsaO1IAz8uaaeop3&#10;amt2oAXPWg9fwpPWjPI+lMApnenA80w9aAFPSmdqXNNzxSAUnmkftQetI54FAIax5qMmnPxTDQMa&#10;3em05ulNpAdZ4fP/ABTmmf8AXpF/6AK08iszQP8AkXNL/wCvSL/0AVo5FesjiHZFGRTcijIpgPFL&#10;TN1O3DGTQA4U/OKqSXkUP3mrE1LxNBZoxLgYHFF0B0hkVB8xH4msPxD4gt9L0+SXzBkDnFedaz8R&#10;WDMsDFj9a4XVfEt7qqmOZ8IeoqALms+Mbi/uZSrkIeBz1rlZJi77jUMzkSY7Gmu4xxVWGiQSDvQX&#10;BqDrTlpAS8GkIFJ2prGgYZFG6mZNFMYjGm5FDHtTaES2OzTwaip46UCJOpqQBQahB5qVQSc0AS5C&#10;jikj+eWkY4WprFN0oPvSKR3/AIahxbouK9Et4wLPGOq81xPhqLheK7yBf3OPaueW50RWh4x4htxD&#10;rlxjuRVRI/lFbvi63Ka4wAOWOOBXTeC/h9Nqe25vl2xHkJ61vB6GE9zjtI0e71C9iEVu7oWAJA7V&#10;9MeHrBbHTIk2AMFHamab4ds9PiVI4lGPQVrnEacVRFx+ce1APvVTe7v7VaQYFIB1FIelNLHFAD6K&#10;i8wijzKAJaKaGBHWlBzQAtQXEEc8TK68YqVnVRknFZGqazFao2WAA96APH/iVoMNtM11CgVw2Tjv&#10;XmYmHSvQviJ4otrmJ41cF/Y15GbptxIp2HY2WcMeopAVNZKXLZqylwM4oFY0kCk5pWQZzVRLkYqX&#10;7QGGKLsdi7aNsnRs/dr6KstTW4t423AkqD+lfNcUnI5r0nQ/EwEUSM+CFAqWJnrIk3LkGkD5rnbP&#10;W45Ix8w/OtBNRQ96Qi/Of9FlH+ya5o8VrzX8ZgkGR901gC6VzgEVhXNqZJMP9GlP+yaw+9bTvutJ&#10;RnOVNYoB3VzM3iSelSKOaZtIxTwDSGWo+RmpF6GooCdhBqVe9CEPzzSHofpQKQnqPamA5fuD6Udq&#10;RT8g+lFSAvakboKB0xSHtTAWk7/hRmjv+FADe4pp60vemk4Y0AKelMPSnE1GelIBx7U1zwPrS01+&#10;g+tAIa/SmnoKWQ9abngUDGmjNBpMigDq9BOPDemf9ekX/oAq/ms/Qv8AkW9L/wCvSL/0AVfr1TiH&#10;iikoJoAUkCq8sjbSBUrHiq80mFNAGPflgDlue1eZeKrv96Yt/I969E1ecQ27yyHGBxXjWsXZuryV&#10;wflzxUlRRjXMmSQKgHTmiRsuajZ+KpA0V7g/PUavV6PSNRvWUw2sjB/utjjFVbywudOmMVyhR/Q0&#10;xApyKcOtRRtkAVKBSsA/tTGGRTqax4oGAApG60mcUhagYw9TSUpxmm0EC09e1MpQeKAJ1UZzUm4V&#10;CG4xSbjQBK53Vo6bGd4rLUliK39Li3OoFJlo9A8Nr93mu6g6VyHh622quRXZ2MRmmVFHU1zvVnRs&#10;jOtPBw1fXhezrmOP7oPevTrKzjtIVjRQAB6UljbLbwqAOcVcraOxzTeoUjDIp1IaogjSPbUgooFM&#10;YUm2nUlICMx5qNoyOlT5pMj1oAiAIFRzXKwKcsBipZZFjQkkVwHizxItgjZcdKYzU1jxNBbRnLjA&#10;968i8W+OGl3R28m4niuf1fxNcahO+1yI88Vzs/zcnmgRQu7iW7mZ5XLMarGrUicdKrOCM8U0ykxA&#10;3NOEuDxUfSkyBQMtLcYqVZ8nGeapA5pVODSE2bEUuBUyX7xHKMR+NZaTU4yZFDJOv0/xZLCArsa6&#10;K38W7lyHryvzOatwzso4NFgPUW8VFkYbuo9ait9cUvy36150L1wetTRXzZ61nOFy4ux63a6oskLg&#10;kcj1qWFlkIOa84stZeHhicfWun03V1k2/MK5p02jeEkdVszilC8jioreUSqCDVn+KsC2CDFPHRqa&#10;P6U4d6EIUHikzyfpSjpTf4se1DYDx90fSkzQD8tJSAcOTSMelApHNMApe/4UlBP8qAGk4P4Uw9ac&#10;eaYTzQAGmmnU1ulIAJwBSMcqPrQ33RTSRtAoGhsnemnoKGbOaOy0MBppKU03NSB1Wgf8i5pf/XpF&#10;/wCgCtGiivXOIdRRRQwI34WqU53DFFFAHnfjrVjFCLdGIJ4rzWb/AFbUUVm9zWOxlt1qbTrNtQ1G&#10;3tF6yyBfwPWiitESz6Q0vw7aWemQoIwCqADArxT4owJFr2EGKKKZJw0YINWMcCiihgANI9FFIaI2&#10;OBUZOaKKBic0tFFAmApwoooJHqM0p4oooAmtkLsABXZ6BYEspIoorOpsa09z0fTIvLUD2rt/DdmH&#10;InI78UUVlDc2q6ROvApRRRW6OQWmZzRRTAdSiiimIKaxxRRSGRkntUbSYFFFMZz+u6stnbud3QV8&#10;/wDjDXn1O+ZEcmMHBoooA5UPjikZ8iiigCJjkVBJHxRRQBWfrTKKKooUcUBqKKRI7JFSBuKKKQgH&#10;WrUPQ0UUwHsODSRMQaKKGCLqudlWbLUHtpB83GaKKzlsWmehaHqYmjUFq6WN/MwRRRXBPc6iUdvp&#10;ThRRUiFFN/5an6UUUgFX7tFFFACimvRRTAM0HtRRQAnaoj96iigBe1NbpRRSAa/3VphGaKKBkbDr&#10;Sk4C0UUmA002iigD/9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GZS7yb0AAACnAQAAGQAAAGRycy9fcmVscy9lMm9Eb2MueG1sLnJlbHO9kMsK&#10;wjAQRfeC/xBmb9N2ISKmbkRwK/oBQzJNo82DJIr+vQFBFAR3LmeGe+5hVuubHdmVYjLeCWiqGhg5&#10;6ZVxWsDxsJ0tgKWMTuHoHQm4U4J1N52s9jRiLqE0mJBYobgkYMg5LDlPciCLqfKBXLn0PlrMZYya&#10;B5Rn1MTbup7z+M6A7oPJdkpA3KkW2OEeSvNvtu97I2nj5cWSy18quLGluwAxasoCLCmDz2VbnQJp&#10;4N8lmv9INC8J/vHe7gFQSwMEFAAAAAgAh07iQNk5N4cTAQAASAIAABMAAABbQ29udGVudF9UeXBl&#10;c10ueG1slZJNTsMwEIX3SNzB8hbFDl0ghJp0QQoSC6hQOYBlTxKX+EceE9rb46StBFVaiaU98715&#10;b+z5Yms60kNA7WxBb1lOCVjplLZNQT/WT9k9JRiFVaJzFgq6A6SL8vpqvt55QJJoiwVtY/QPnKNs&#10;wQhkzoNNldoFI2I6hoZ7IT9FA3yW53dcOhvBxiwOGrScV1CLry6S5TZd751sPDSUPO4bh1kF1WYQ&#10;GAt8knlZPU8ibOMbOo0E6PCEEd53WoqYFsJ7q07CZIcgLJFjD7ba401Ke2bCUPmb4/eAA/eWXiBo&#10;BWQlQnwVJqXlKiBX7tsG6NllkcGlwczVtZbAqoBVwt6hP7o6pw4zVzn5X/HlSB21+fgPyh9QSwEC&#10;FAAUAAAACACHTuJA2Tk3hxMBAABIAgAAEwAAAAAAAAABACAAAAAdyQAAW0NvbnRlbnRfVHlwZXNd&#10;LnhtbFBLAQIUAAoAAAAAAIdO4kAAAAAAAAAAAAAAAAAGAAAAAAAAAAAAEAAAAOPGAABfcmVscy9Q&#10;SwECFAAUAAAACACHTuJAihRmPNEAAACUAQAACwAAAAAAAAABACAAAAAHxwAAX3JlbHMvLnJlbHNQ&#10;SwECFAAKAAAAAACHTuJAAAAAAAAAAAAAAAAABAAAAAAAAAAAABAAAAAAAAAAZHJzL1BLAQIUAAoA&#10;AAAAAIdO4kAAAAAAAAAAAAAAAAAKAAAAAAAAAAAAEAAAAAHIAABkcnMvX3JlbHMvUEsBAhQAFAAA&#10;AAgAh07iQBmUu8m9AAAApwEAABkAAAAAAAAAAQAgAAAAKcgAAGRycy9fcmVscy9lMm9Eb2MueG1s&#10;LnJlbHNQSwECFAAUAAAACACHTuJAZG/iZtYAAAAFAQAADwAAAAAAAAABACAAAAAiAAAAZHJzL2Rv&#10;d25yZXYueG1sUEsBAhQAFAAAAAgAh07iQDLTIDiwAgAAeQcAAA4AAAAAAAAAAQAgAAAAJQEAAGRy&#10;cy9lMm9Eb2MueG1sUEsBAhQACgAAAAAAh07iQAAAAAAAAAAAAAAAAAoAAAAAAAAAAAAQAAAAAQQA&#10;AGRycy9tZWRpYS9QSwECFAAUAAAACACHTuJAgDwDdeddAADiXQAAFQAAAAAAAAABACAAAADJaAAA&#10;ZHJzL21lZGlhL2ltYWdlMS5qcGVnUEsBAhQAFAAAAAgAh07iQAsZ0PBtZAAAaGQAABUAAAAAAAAA&#10;AQAgAAAAKQQAAGRycy9tZWRpYS9pbWFnZTIuanBlZ1BLBQYAAAAACwALAJYCAABhygAAAAA=&#10;">
                <o:lock v:ext="edit" aspectratio="f"/>
                <v:shape id="_x0000_s1026" o:spid="_x0000_s1026" o:spt="75" alt="b8ed4ab4c17ddbed654d60bcd0b905e" type="#_x0000_t75" style="position:absolute;left:6367;top:3345659;height:3346;width:4046;" filled="f" o:preferrelative="t" stroked="f" coordsize="21600,21600" o:gfxdata="UEsDBAoAAAAAAIdO4kAAAAAAAAAAAAAAAAAEAAAAZHJzL1BLAwQUAAAACACHTuJAZsQKJcAAAADb&#10;AAAADwAAAGRycy9kb3ducmV2LnhtbEWPT2vCQBTE74V+h+UVeim6UUsN0dVDoVQQxKYB9fbYfSah&#10;2bdpdv376V2h0OMwM79hpvOzbcSROl87VjDoJyCItTM1lwqK749eCsIHZIONY1JwIQ/z2ePDFDPj&#10;TvxFxzyUIkLYZ6igCqHNpPS6Iou+71ri6O1dZzFE2ZXSdHiKcNvIYZK8SYs1x4UKW3qvSP/kB6sg&#10;17/6ZTnar4rP7Wuxu258sx5rpZ6fBskERKBz+A//tRdGQTqE+5f4A+Ts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mxAol&#10;wAAAANsAAAAPAAAAAAAAAAEAIAAAACIAAABkcnMvZG93bnJldi54bWxQSwECFAAUAAAACACHTuJA&#10;My8FnjsAAAA5AAAAEAAAAAAAAAABACAAAAAPAQAAZHJzL3NoYXBleG1sLnhtbFBLBQYAAAAABgAG&#10;AFsBAAC5AwAAAAA=&#10;">
                  <v:fill on="f" focussize="0,0"/>
                  <v:stroke on="f"/>
                  <v:imagedata r:id="rId106" o:title=""/>
                  <o:lock v:ext="edit" aspectratio="t"/>
                </v:shape>
                <v:shape id="_x0000_s1026" o:spid="_x0000_s1026" o:spt="75" alt="40d6a295e95b6a314b04c86c588b9d6" type="#_x0000_t75" style="position:absolute;left:10680;top:3345741;height:3259;width:4023;" filled="f" o:preferrelative="t" stroked="f" coordsize="21600,21600" o:gfxdata="UEsDBAoAAAAAAIdO4kAAAAAAAAAAAAAAAAAEAAAAZHJzL1BLAwQUAAAACACHTuJA8u3UP7wAAADb&#10;AAAADwAAAGRycy9kb3ducmV2LnhtbEWPW4vCMBSE3xf8D+EIvq1JF5RSjT6INxAX6uX90BzbYnNS&#10;mqyX/fWbBcHHYWa+Yabzh23EjTpfO9aQDBUI4sKZmksNp+PqMwXhA7LBxjFpeJKH+az3McXMuDvn&#10;dDuEUkQI+ww1VCG0mZS+qMiiH7qWOHoX11kMUXalNB3eI9w28kupsbRYc1yosKVFRcX18GM1nE/L&#10;/ar5vWzyxfco3VG+xDUprQf9RE1ABHqEd/jV3hoNaQL/X+IPkL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Lt1D+8AAAA&#10;2wAAAA8AAAAAAAAAAQAgAAAAIgAAAGRycy9kb3ducmV2LnhtbFBLAQIUABQAAAAIAIdO4kAzLwWe&#10;OwAAADkAAAAQAAAAAAAAAAEAIAAAAAsBAABkcnMvc2hhcGV4bWwueG1sUEsFBgAAAAAGAAYAWwEA&#10;ALUDAAAAAA==&#10;">
                  <v:fill on="f" focussize="0,0"/>
                  <v:stroke on="f"/>
                  <v:imagedata r:id="rId107" o:title=""/>
                  <o:lock v:ext="edit" aspectratio="t"/>
                </v:shape>
                <w10:wrap type="none"/>
                <w10:anchorlock/>
              </v:group>
            </w:pict>
          </mc:Fallback>
        </mc:AlternateContent>
      </w:r>
    </w:p>
    <w:p>
      <w:pPr>
        <w:spacing w:line="360" w:lineRule="auto"/>
        <w:ind w:firstLine="363"/>
        <w:jc w:val="center"/>
        <w:rPr>
          <w:rFonts w:ascii="宋体" w:hAnsi="宋体" w:cs="宋体"/>
          <w:b/>
          <w:bCs/>
          <w:kern w:val="0"/>
          <w:sz w:val="21"/>
          <w:szCs w:val="21"/>
        </w:rPr>
      </w:pPr>
      <w:r>
        <w:rPr>
          <w:rFonts w:hint="eastAsia" w:ascii="宋体" w:hAnsi="宋体" w:cs="宋体"/>
          <w:b/>
          <w:bCs/>
          <w:kern w:val="0"/>
          <w:sz w:val="21"/>
          <w:szCs w:val="21"/>
        </w:rPr>
        <w:t>财管专业老师授课现场</w:t>
      </w:r>
    </w:p>
    <w:p>
      <w:pPr>
        <w:pStyle w:val="6"/>
        <w:ind w:firstLine="480"/>
      </w:pPr>
      <w:r>
        <w:rPr>
          <w:rFonts w:hint="eastAsia"/>
        </w:rPr>
        <w:t xml:space="preserve">4. </w:t>
      </w:r>
      <w:r>
        <w:t>实习基地</w:t>
      </w:r>
    </w:p>
    <w:p>
      <w:pPr>
        <w:pStyle w:val="6"/>
        <w:adjustRightInd w:val="0"/>
        <w:snapToGrid w:val="0"/>
        <w:ind w:firstLine="480"/>
        <w:rPr>
          <w:rFonts w:eastAsia="宋体"/>
          <w:color w:val="000000"/>
        </w:rPr>
      </w:pPr>
      <w:r>
        <w:rPr>
          <w:rFonts w:eastAsia="宋体"/>
          <w:color w:val="000000"/>
        </w:rPr>
        <w:t>在多年的教学实践中，经管学院共建有稳定的校外教学实习基地6个。其中有学校和地方签订协议，正式挂牌运营使用多年、教学实习效果良好的青州市教学实习基地、岱岳区教学实习基地、泰山区教学实习基地；有经管学院与地方协定，投入使用的山东省银监局、人行、山东农村信用联联社、人民银行泰安市分行、农业银行泰安市分行、建设银行泰安市分行、交通银行泰安市分行、泰安市保险公司、天同证券泰安营业部、山东证券公司投资银行部、济南瑞华会计师事务所、山东天昊集团、泰安市泰山会计师事务所、致信会计师事务所、泰岳会计师事务所、东岳会计师事务所等教学实习基地。学生在校期间参加了泰安市精准扶贫绩效评价、财政支持项目尽职调查等大量的社会实践活动。</w:t>
      </w:r>
    </w:p>
    <w:p>
      <w:pPr>
        <w:spacing w:line="360" w:lineRule="auto"/>
        <w:ind w:firstLine="363"/>
        <w:jc w:val="center"/>
        <w:rPr>
          <w:rFonts w:ascii="宋体" w:hAnsi="宋体" w:cs="宋体"/>
          <w:b/>
          <w:bCs/>
          <w:kern w:val="0"/>
          <w:sz w:val="21"/>
          <w:szCs w:val="21"/>
        </w:rPr>
      </w:pPr>
      <w:r>
        <w:rPr>
          <w:rFonts w:ascii="宋体" w:hAnsi="宋体" w:cs="宋体"/>
          <w:b/>
          <w:bCs/>
          <w:kern w:val="0"/>
          <w:sz w:val="21"/>
          <w:szCs w:val="21"/>
        </w:rPr>
        <w:drawing>
          <wp:inline distT="0" distB="0" distL="114300" distR="114300">
            <wp:extent cx="2033270" cy="1824355"/>
            <wp:effectExtent l="0" t="0" r="5080" b="4445"/>
            <wp:docPr id="83" name="图片 83" descr="be692b64ec0c08663a9decbcf30a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be692b64ec0c08663a9decbcf30ad01"/>
                    <pic:cNvPicPr>
                      <a:picLocks noChangeAspect="1"/>
                    </pic:cNvPicPr>
                  </pic:nvPicPr>
                  <pic:blipFill>
                    <a:blip r:embed="rId108"/>
                    <a:stretch>
                      <a:fillRect/>
                    </a:stretch>
                  </pic:blipFill>
                  <pic:spPr>
                    <a:xfrm>
                      <a:off x="0" y="0"/>
                      <a:ext cx="2033270" cy="1824355"/>
                    </a:xfrm>
                    <a:prstGeom prst="rect">
                      <a:avLst/>
                    </a:prstGeom>
                  </pic:spPr>
                </pic:pic>
              </a:graphicData>
            </a:graphic>
          </wp:inline>
        </w:drawing>
      </w:r>
      <w:r>
        <w:rPr>
          <w:rFonts w:ascii="宋体" w:hAnsi="宋体" w:cs="宋体"/>
          <w:b/>
          <w:bCs/>
          <w:kern w:val="0"/>
          <w:sz w:val="21"/>
          <w:szCs w:val="21"/>
        </w:rPr>
        <w:drawing>
          <wp:inline distT="0" distB="0" distL="114300" distR="114300">
            <wp:extent cx="2181225" cy="1823720"/>
            <wp:effectExtent l="0" t="0" r="9525" b="5080"/>
            <wp:docPr id="84" name="图片 84" descr="ca1834c94489560a1e49e8b46b86f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ca1834c94489560a1e49e8b46b86fe3"/>
                    <pic:cNvPicPr>
                      <a:picLocks noChangeAspect="1"/>
                    </pic:cNvPicPr>
                  </pic:nvPicPr>
                  <pic:blipFill>
                    <a:blip r:embed="rId109"/>
                    <a:stretch>
                      <a:fillRect/>
                    </a:stretch>
                  </pic:blipFill>
                  <pic:spPr>
                    <a:xfrm>
                      <a:off x="0" y="0"/>
                      <a:ext cx="2181225" cy="1823720"/>
                    </a:xfrm>
                    <a:prstGeom prst="rect">
                      <a:avLst/>
                    </a:prstGeom>
                  </pic:spPr>
                </pic:pic>
              </a:graphicData>
            </a:graphic>
          </wp:inline>
        </w:drawing>
      </w:r>
    </w:p>
    <w:p>
      <w:pPr>
        <w:spacing w:line="360" w:lineRule="auto"/>
        <w:ind w:firstLine="363"/>
        <w:jc w:val="center"/>
        <w:rPr>
          <w:rFonts w:ascii="宋体" w:hAnsi="宋体" w:cs="宋体"/>
          <w:b/>
          <w:bCs/>
          <w:kern w:val="0"/>
          <w:sz w:val="21"/>
          <w:szCs w:val="21"/>
        </w:rPr>
      </w:pPr>
      <w:r>
        <w:rPr>
          <w:rFonts w:ascii="宋体" w:hAnsi="宋体" w:cs="宋体"/>
          <w:b/>
          <w:bCs/>
          <w:kern w:val="0"/>
          <w:sz w:val="21"/>
          <w:szCs w:val="21"/>
        </w:rPr>
        <w:t>带领学生去天健会计师事务所参观学习</w:t>
      </w:r>
    </w:p>
    <w:p>
      <w:pPr>
        <w:pStyle w:val="5"/>
        <w:spacing w:before="93" w:after="93"/>
        <w:ind w:firstLine="560"/>
      </w:pPr>
      <w:r>
        <w:t>四、培养机制与特色</w:t>
      </w:r>
    </w:p>
    <w:p>
      <w:pPr>
        <w:pStyle w:val="7"/>
        <w:ind w:firstLine="480"/>
      </w:pPr>
      <w:r>
        <w:t>1</w:t>
      </w:r>
      <w:r>
        <w:rPr>
          <w:rFonts w:hint="eastAsia"/>
        </w:rPr>
        <w:t xml:space="preserve">. </w:t>
      </w:r>
      <w:r>
        <w:t>专业培养定位与课程设置</w:t>
      </w:r>
    </w:p>
    <w:p>
      <w:pPr>
        <w:pStyle w:val="6"/>
        <w:adjustRightInd w:val="0"/>
        <w:snapToGrid w:val="0"/>
        <w:spacing w:line="390" w:lineRule="exact"/>
        <w:ind w:firstLine="480"/>
        <w:rPr>
          <w:rFonts w:eastAsia="宋体"/>
          <w:color w:val="000000"/>
        </w:rPr>
      </w:pPr>
      <w:r>
        <w:rPr>
          <w:rFonts w:eastAsia="宋体"/>
          <w:color w:val="000000"/>
        </w:rPr>
        <w:t>山东农业大学财务管理专业依据社会需求、地域特点、师资力量和教学资源条件，确定了专业定位及培养目标、培养规格和培养要求，构建了科学的专业课程体系与实践体系，制作了分学年、学期的教学计划进程表，规定了课程和实践环节的前修后续关系，对学生任意选课、跨年级选课进行了合理限制，有效地提高了学生的修读质量，夯实了学生的专业基础。</w:t>
      </w:r>
    </w:p>
    <w:p>
      <w:pPr>
        <w:pStyle w:val="6"/>
        <w:adjustRightInd w:val="0"/>
        <w:snapToGrid w:val="0"/>
        <w:spacing w:line="390" w:lineRule="exact"/>
        <w:ind w:firstLine="480"/>
        <w:rPr>
          <w:rFonts w:eastAsia="宋体"/>
          <w:color w:val="000000"/>
        </w:rPr>
      </w:pPr>
      <w:r>
        <w:rPr>
          <w:rFonts w:eastAsia="宋体"/>
          <w:color w:val="000000"/>
        </w:rPr>
        <w:t>在设立专业模块课的基础上设置个性发展课，突出因材施教和个性化培养。人才培养方案搭建了通识教育、大类内专业基础教育和专业教育三个课程平台。在专业教育课的基础上实施个性化的分类培养，使学生在保证专业主体教育的前提下，可以按照自己的学习兴趣和自身需求，设计和修读所需要的课程，实现了课程的个性化选择，达到了个性化人才培养的目的。</w:t>
      </w:r>
    </w:p>
    <w:p>
      <w:pPr>
        <w:pStyle w:val="7"/>
        <w:spacing w:line="390" w:lineRule="exact"/>
        <w:ind w:firstLine="480"/>
      </w:pPr>
      <w:r>
        <w:t>2</w:t>
      </w:r>
      <w:r>
        <w:rPr>
          <w:rFonts w:hint="eastAsia"/>
        </w:rPr>
        <w:t xml:space="preserve">. </w:t>
      </w:r>
      <w:r>
        <w:t>实践教学与能力培养</w:t>
      </w:r>
    </w:p>
    <w:p>
      <w:pPr>
        <w:pStyle w:val="6"/>
        <w:adjustRightInd w:val="0"/>
        <w:snapToGrid w:val="0"/>
        <w:spacing w:line="390" w:lineRule="exact"/>
        <w:ind w:firstLine="480"/>
        <w:rPr>
          <w:rFonts w:eastAsia="宋体"/>
          <w:color w:val="000000"/>
        </w:rPr>
      </w:pPr>
      <w:r>
        <w:rPr>
          <w:rFonts w:eastAsia="宋体"/>
          <w:color w:val="000000"/>
        </w:rPr>
        <w:t>根据本专业的人才培养目标和规格，结合理论教学，对实践教学环节做出整体规划与设计，优化了实践教学课程结构，规范了课程设计。设计了基础实践、专业基础实践、专业实践系统的实践教育体系，并在各实践教学环节的安排上注重与理论教学、创业教育有机结合，强化了实践教学环节，提高了学生的实践能力。</w:t>
      </w:r>
    </w:p>
    <w:p>
      <w:pPr>
        <w:pStyle w:val="5"/>
        <w:spacing w:before="93" w:after="93"/>
        <w:ind w:firstLine="560"/>
      </w:pPr>
      <w:r>
        <w:t>五、培养质量</w:t>
      </w:r>
    </w:p>
    <w:p>
      <w:pPr>
        <w:pStyle w:val="6"/>
        <w:adjustRightInd w:val="0"/>
        <w:snapToGrid w:val="0"/>
        <w:spacing w:line="380" w:lineRule="exact"/>
        <w:ind w:firstLine="480"/>
        <w:rPr>
          <w:rFonts w:eastAsia="宋体"/>
          <w:color w:val="000000"/>
        </w:rPr>
      </w:pPr>
      <w:r>
        <w:rPr>
          <w:rFonts w:eastAsia="宋体"/>
          <w:color w:val="000000"/>
        </w:rPr>
        <w:t>近3年来财务管理专业毕业生就业率每年均在90%以上，学生就业适应面广泛，基本上都走向社会中的财务管理、会计和金融机构等专业对口岗位，就业专业对口率在80%以上。毕业生经过四年的学习有的顺利进入了会计师事务所、资产评估公司等中介机构，还有中国人民银行、国家税务局、民政局、人社局等政府机关，也有中国农业银行、中建设银行、交通银行、中国银行、农村信用社、莱商银行、邮政储蓄银行等金融机构，还有的进入了福田雷沃重工、海尔制药、神威药业、泰开集团等著名企业。同时，也有部分学生进入中国人民大学、首都经济贸易大学、中央财经大学、中南财经政法大学、中央政法大学、中国石油大学、天津财经大学、浙江财经大学、南京财经大学、北京国家会计学院、上海国家会计学院、中央民族大学、上海大学、暨南大学、东华大学、苏州大学、东北师范大学、天津师范大学、山东师范大学、青岛大学、山东农业大学、东华理工大学等知名院校继续接受研究生阶段的培养，还有学生申请进入英国、德国等国外院校攻读硕士研究生。2021年财务管理专业有18.7%的毕业生考取硕士研究生，2022年财务管理专业考取研究生的比率为22.91%。</w:t>
      </w:r>
    </w:p>
    <w:p>
      <w:pPr>
        <w:pStyle w:val="6"/>
        <w:adjustRightInd w:val="0"/>
        <w:snapToGrid w:val="0"/>
        <w:spacing w:line="380" w:lineRule="exact"/>
        <w:ind w:firstLine="480"/>
        <w:rPr>
          <w:rFonts w:eastAsia="宋体"/>
          <w:color w:val="000000"/>
        </w:rPr>
      </w:pPr>
      <w:r>
        <w:rPr>
          <w:rFonts w:eastAsia="宋体"/>
          <w:color w:val="000000"/>
        </w:rPr>
        <w:t>学生和家长对财务管理专业的培养质量和就业状况有着较高的评价，每年都有大量本科大一学生在专业分流时，选择进入财务管理专业。</w:t>
      </w:r>
    </w:p>
    <w:p>
      <w:pPr>
        <w:pStyle w:val="5"/>
        <w:spacing w:before="93" w:after="93"/>
        <w:ind w:firstLine="560"/>
      </w:pPr>
      <w:r>
        <w:t>六、毕业生就业创业</w:t>
      </w:r>
    </w:p>
    <w:p>
      <w:pPr>
        <w:pStyle w:val="6"/>
        <w:adjustRightInd w:val="0"/>
        <w:snapToGrid w:val="0"/>
        <w:spacing w:line="380" w:lineRule="exact"/>
        <w:ind w:firstLine="480"/>
        <w:rPr>
          <w:rFonts w:eastAsia="宋体"/>
          <w:color w:val="000000"/>
        </w:rPr>
      </w:pPr>
      <w:r>
        <w:rPr>
          <w:rFonts w:eastAsia="宋体"/>
          <w:color w:val="000000"/>
        </w:rPr>
        <w:t>学校在学生培养过程中注重培养学生的创新创业能力，学院为同学们配备了校内指导教师和校外指导教师。从大学四年级开始，建立学生导师制，专门指导学生的创新创业实践，要求学生在大学一、二年级积极参加社会调查、社会实践和专业调查，在大学三、四年级通过参加社会专业技术培训考试、专业技术竞赛、创新创业能力专项大赛、学校的学术调研活动和撰写学术论文和专业调研报告等多种形式开展创新创业实践。</w:t>
      </w:r>
    </w:p>
    <w:p>
      <w:pPr>
        <w:pStyle w:val="6"/>
        <w:adjustRightInd w:val="0"/>
        <w:snapToGrid w:val="0"/>
        <w:spacing w:line="380" w:lineRule="exact"/>
        <w:ind w:firstLine="480"/>
        <w:rPr>
          <w:rFonts w:eastAsia="宋体"/>
          <w:color w:val="000000"/>
        </w:rPr>
      </w:pPr>
      <w:r>
        <w:rPr>
          <w:rFonts w:eastAsia="宋体"/>
          <w:color w:val="000000"/>
        </w:rPr>
        <w:t>历届本科毕业生在毕业时90%以上的同学都考取了会计资格证、银行从业资格证和证券从业资格证等证书中的一个或多个资格证书，这些证书的取得对于同学们找到合适的工作岗位发挥了重要作用。</w:t>
      </w:r>
    </w:p>
    <w:p>
      <w:pPr>
        <w:pStyle w:val="5"/>
        <w:spacing w:before="93" w:after="93"/>
        <w:ind w:firstLine="560"/>
      </w:pPr>
      <w:r>
        <w:t>七、专业发展趋势及建议</w:t>
      </w:r>
    </w:p>
    <w:p>
      <w:pPr>
        <w:pStyle w:val="7"/>
        <w:spacing w:line="390" w:lineRule="exact"/>
        <w:ind w:firstLine="480"/>
      </w:pPr>
      <w:r>
        <w:t>1</w:t>
      </w:r>
      <w:r>
        <w:rPr>
          <w:rFonts w:hint="eastAsia"/>
        </w:rPr>
        <w:t xml:space="preserve">. </w:t>
      </w:r>
      <w:r>
        <w:t>加强组织领导，促进专业分类发展</w:t>
      </w:r>
    </w:p>
    <w:p>
      <w:pPr>
        <w:pStyle w:val="6"/>
        <w:adjustRightInd w:val="0"/>
        <w:snapToGrid w:val="0"/>
        <w:spacing w:line="390" w:lineRule="exact"/>
        <w:ind w:firstLine="480"/>
        <w:rPr>
          <w:rFonts w:eastAsia="宋体"/>
          <w:color w:val="000000"/>
        </w:rPr>
      </w:pPr>
      <w:r>
        <w:rPr>
          <w:rFonts w:eastAsia="宋体"/>
          <w:color w:val="000000"/>
        </w:rPr>
        <w:t>组织领导是专业建设顺利进行的前提条件，目前经济管理学院（商学院）有关专业已经按照一级学科进行重新安排设置，其中工商管理一级学科及其下设的财务管理、会计学、工商管理、资产评估、市场营销等专业隶属于未来设置的商学院专业序列中，农林经济管理一级学科和应用经济学一级学科及其下设的经济学、金融学、国际贸易等三个专业，以及工商管理类的旅游管理专业隶属于未来设置的经济管理学院专业序列中。目前经济管理学院（商学院）是为全校在校生规模最大的学院，学生人数大多，有必要强调不同类型专业分开管理，按照一级学科分设行政管理机构，科学规划、有序工作。</w:t>
      </w:r>
    </w:p>
    <w:p>
      <w:pPr>
        <w:pStyle w:val="7"/>
        <w:ind w:firstLine="480"/>
      </w:pPr>
      <w:r>
        <w:t>2</w:t>
      </w:r>
      <w:r>
        <w:rPr>
          <w:rFonts w:hint="eastAsia"/>
        </w:rPr>
        <w:t xml:space="preserve">. </w:t>
      </w:r>
      <w:r>
        <w:t>树立全局观念，与相关学科协同发展</w:t>
      </w:r>
    </w:p>
    <w:p>
      <w:pPr>
        <w:pStyle w:val="6"/>
        <w:adjustRightInd w:val="0"/>
        <w:snapToGrid w:val="0"/>
        <w:spacing w:line="390" w:lineRule="exact"/>
        <w:ind w:firstLine="480"/>
        <w:rPr>
          <w:rFonts w:eastAsia="宋体"/>
          <w:color w:val="000000"/>
        </w:rPr>
      </w:pPr>
      <w:r>
        <w:rPr>
          <w:rFonts w:eastAsia="宋体"/>
          <w:color w:val="000000"/>
        </w:rPr>
        <w:t>财务管理专业一贯秉承学校</w:t>
      </w:r>
      <w:r>
        <w:rPr>
          <w:rFonts w:hint="eastAsia" w:eastAsia="宋体"/>
          <w:color w:val="000000"/>
        </w:rPr>
        <w:t>“</w:t>
      </w:r>
      <w:r>
        <w:rPr>
          <w:rFonts w:eastAsia="宋体"/>
          <w:color w:val="000000"/>
        </w:rPr>
        <w:t>学用结合，学以实为贵</w:t>
      </w:r>
      <w:r>
        <w:rPr>
          <w:rFonts w:hint="eastAsia" w:eastAsia="宋体"/>
          <w:color w:val="000000"/>
        </w:rPr>
        <w:t>”</w:t>
      </w:r>
      <w:r>
        <w:rPr>
          <w:rFonts w:eastAsia="宋体"/>
          <w:color w:val="000000"/>
        </w:rPr>
        <w:t>的办学理念，构建人才分类培养模式,坚持厚基础、强能力、重实践、广适应的目标要求，培养适应经济社会发展需求的拔尖创新人才和高素质应用人才。根据专业的学科域继续完善专业课程体系建设，从卓越管理人才培养的全局出发，既坚持厚基础、宽口径，又要培养个性，把理论教学与实践教学结合起来，适应社会对现代化管理人才的需求。</w:t>
      </w:r>
    </w:p>
    <w:p>
      <w:pPr>
        <w:pStyle w:val="6"/>
        <w:adjustRightInd w:val="0"/>
        <w:snapToGrid w:val="0"/>
        <w:ind w:firstLine="480"/>
        <w:rPr>
          <w:rFonts w:eastAsia="宋体"/>
          <w:color w:val="000000"/>
        </w:rPr>
      </w:pPr>
      <w:r>
        <w:rPr>
          <w:rFonts w:eastAsia="宋体"/>
          <w:color w:val="000000"/>
        </w:rPr>
        <w:t>从本专业建设出发，进一步密切加强专业同学院、学校整体专业建设规划的联系，特别是加强与农业经济管理、工商管理、会计学、金融学、资产评估专业的联系，在课程设置、师资力量运用、实验软硬件设施建设、教学实习基地建设等方面协同发展，建立通用的教学实习基地，建立标准化的一专多能的实验室，开设课程互通有无，协调培养师资力量，推进经济管理学科的系统发展。</w:t>
      </w:r>
    </w:p>
    <w:p>
      <w:pPr>
        <w:pStyle w:val="7"/>
        <w:ind w:firstLine="480"/>
      </w:pPr>
      <w:r>
        <w:t>3</w:t>
      </w:r>
      <w:r>
        <w:rPr>
          <w:rFonts w:hint="eastAsia"/>
        </w:rPr>
        <w:t xml:space="preserve">. </w:t>
      </w:r>
      <w:r>
        <w:t>突出师资队伍建设和科研建设</w:t>
      </w:r>
    </w:p>
    <w:p>
      <w:pPr>
        <w:pStyle w:val="6"/>
        <w:adjustRightInd w:val="0"/>
        <w:snapToGrid w:val="0"/>
        <w:ind w:firstLine="480"/>
        <w:rPr>
          <w:rFonts w:eastAsia="宋体"/>
          <w:color w:val="000000"/>
        </w:rPr>
      </w:pPr>
      <w:r>
        <w:rPr>
          <w:rFonts w:eastAsia="宋体"/>
          <w:color w:val="000000"/>
        </w:rPr>
        <w:t>把青年教师队伍的培养放在首位，努力为教师搭建发展和展示的平台。坚持引进与自我培养、自我提高相结合的师资队伍培养方式，建设一支专业能力精湛、年龄结构、职称结构、学院结构科学合理的师资队伍。加强专业教师师资引进力度，提高新进教师的工资和住房待遇，争取引进2名具有博士学位的高水平专业课教师。通过国内外访问学习，加强对在职教师、特别是已具有博士学位教师的师资培养，进一步提高教师的教学科研水平，争取形成一只具有财务管理特色、在山东省居于领先水平的科研团队，推出2-3名具有较高学术水平和社会影响力的团队带头人。</w:t>
      </w:r>
    </w:p>
    <w:p>
      <w:pPr>
        <w:pStyle w:val="5"/>
        <w:spacing w:before="93" w:after="93"/>
        <w:ind w:firstLine="560"/>
      </w:pPr>
      <w:r>
        <w:t>八、存在的问题及整改措施</w:t>
      </w:r>
    </w:p>
    <w:p>
      <w:pPr>
        <w:pStyle w:val="6"/>
        <w:adjustRightInd w:val="0"/>
        <w:snapToGrid w:val="0"/>
        <w:ind w:firstLine="480"/>
        <w:rPr>
          <w:rFonts w:eastAsia="宋体"/>
          <w:color w:val="000000"/>
        </w:rPr>
      </w:pPr>
      <w:r>
        <w:rPr>
          <w:rFonts w:eastAsia="宋体"/>
          <w:color w:val="000000"/>
        </w:rPr>
        <w:t>财务管理系本科教学规模较大，现已拥有本科学生共700多人，存在的主要问题表现在以下几个方面：</w:t>
      </w:r>
    </w:p>
    <w:p>
      <w:pPr>
        <w:pStyle w:val="7"/>
        <w:ind w:firstLine="480"/>
      </w:pPr>
      <w:r>
        <w:t>1</w:t>
      </w:r>
      <w:r>
        <w:rPr>
          <w:rFonts w:hint="eastAsia"/>
        </w:rPr>
        <w:t xml:space="preserve">. </w:t>
      </w:r>
      <w:r>
        <w:t>精英教育向大众教育转变带来的问题</w:t>
      </w:r>
    </w:p>
    <w:p>
      <w:pPr>
        <w:pStyle w:val="6"/>
        <w:adjustRightInd w:val="0"/>
        <w:snapToGrid w:val="0"/>
        <w:ind w:firstLine="480"/>
        <w:rPr>
          <w:rFonts w:eastAsia="宋体"/>
          <w:color w:val="000000"/>
        </w:rPr>
      </w:pPr>
      <w:r>
        <w:rPr>
          <w:rFonts w:eastAsia="宋体"/>
          <w:color w:val="000000"/>
        </w:rPr>
        <w:t>由于招生规模较大，精英教育向大众教育的转变带来的问题已经在本专业非常明显。教师数量与本科生规模不相适应。</w:t>
      </w:r>
    </w:p>
    <w:p>
      <w:pPr>
        <w:pStyle w:val="7"/>
        <w:ind w:firstLine="480"/>
      </w:pPr>
      <w:r>
        <w:t>2</w:t>
      </w:r>
      <w:r>
        <w:rPr>
          <w:rFonts w:hint="eastAsia"/>
        </w:rPr>
        <w:t xml:space="preserve">. </w:t>
      </w:r>
      <w:r>
        <w:t>教学资源的整合与共享</w:t>
      </w:r>
    </w:p>
    <w:p>
      <w:pPr>
        <w:pStyle w:val="6"/>
        <w:adjustRightInd w:val="0"/>
        <w:snapToGrid w:val="0"/>
        <w:ind w:firstLine="480"/>
        <w:rPr>
          <w:rFonts w:eastAsia="宋体"/>
          <w:color w:val="000000"/>
        </w:rPr>
      </w:pPr>
      <w:r>
        <w:rPr>
          <w:rFonts w:eastAsia="宋体"/>
          <w:color w:val="000000"/>
        </w:rPr>
        <w:t>实践教学环节还有待于进一步完善。争取签署协议并建立起与密切联系的专业实习基地。</w:t>
      </w:r>
    </w:p>
    <w:p>
      <w:pPr>
        <w:ind w:firstLine="480"/>
      </w:pPr>
    </w:p>
    <w:p>
      <w:r>
        <w:br w:type="page"/>
      </w:r>
    </w:p>
    <w:p>
      <w:pPr>
        <w:pStyle w:val="4"/>
        <w:ind w:firstLine="600"/>
      </w:pPr>
      <w:bookmarkStart w:id="430" w:name="_Toc419"/>
      <w:r>
        <w:t>专业</w:t>
      </w:r>
      <w:r>
        <w:rPr>
          <w:rFonts w:hint="eastAsia"/>
          <w:lang w:val="en-US"/>
        </w:rPr>
        <w:t>四十一：</w:t>
      </w:r>
      <w:r>
        <w:t>资产评估</w:t>
      </w:r>
      <w:bookmarkEnd w:id="430"/>
    </w:p>
    <w:p>
      <w:pPr>
        <w:pStyle w:val="5"/>
        <w:spacing w:before="93" w:after="93"/>
        <w:ind w:firstLine="560"/>
      </w:pPr>
      <w:r>
        <w:t>一、培养目标</w:t>
      </w:r>
    </w:p>
    <w:p>
      <w:pPr>
        <w:pStyle w:val="31"/>
        <w:spacing w:line="400" w:lineRule="exact"/>
        <w:ind w:firstLine="480"/>
        <w:rPr>
          <w:szCs w:val="24"/>
        </w:rPr>
      </w:pPr>
      <w:r>
        <w:rPr>
          <w:szCs w:val="24"/>
        </w:rPr>
        <w:t>本专业方向培养德、智、体、美全面发展，能够适应社会经济发展对人才培养规格和质量的要求，满足市场经济发展的实际需要，经济管理理论基础扎实、知识面宽、专业能力强、业务素质高，富有创新精神，能够在资产评估领域胜任专业工作，成为有理想、有道德、有文化、有纪律的应用型、复合型和创新型人才。学生毕业后，能分别在到资产评估机构及相关的部门、中介服务业和企事业单位从事资产评估、财务会计、财务管理等实际工作和科学研究工作，或到国内外大学继续专业学习深造。</w:t>
      </w:r>
    </w:p>
    <w:p>
      <w:pPr>
        <w:pStyle w:val="31"/>
        <w:spacing w:line="400" w:lineRule="exact"/>
        <w:ind w:firstLine="480"/>
        <w:rPr>
          <w:color w:val="3A423B"/>
          <w:szCs w:val="24"/>
          <w:shd w:val="clear" w:color="auto" w:fill="FFFFFF"/>
        </w:rPr>
      </w:pPr>
      <w:r>
        <w:rPr>
          <w:color w:val="3A423B"/>
          <w:szCs w:val="24"/>
          <w:shd w:val="clear" w:color="auto" w:fill="FFFFFF"/>
        </w:rPr>
        <w:t>为了实现本专业方向的培养目标，完成教学计划所规定的学习任务，使学生在知识获取能力、知识应用能力和创新创业能力等三个方面实现和谐统一。具体培养要求如下：</w:t>
      </w:r>
    </w:p>
    <w:p>
      <w:pPr>
        <w:pStyle w:val="15"/>
        <w:spacing w:before="0" w:beforeAutospacing="0" w:after="0" w:afterAutospacing="0"/>
        <w:ind w:firstLine="480" w:firstLineChars="200"/>
        <w:rPr>
          <w:rFonts w:ascii="Times New Roman" w:hAnsi="Times New Roman" w:cs="Times New Roman"/>
          <w:color w:val="3A423B"/>
        </w:rPr>
      </w:pPr>
      <w:r>
        <w:rPr>
          <w:rFonts w:ascii="Times New Roman" w:hAnsi="Times New Roman" w:cs="Times New Roman"/>
          <w:color w:val="000000"/>
        </w:rPr>
        <w:t>（一）</w:t>
      </w:r>
      <w:bookmarkStart w:id="431" w:name="_Hlk53843334"/>
      <w:r>
        <w:rPr>
          <w:rFonts w:ascii="Times New Roman" w:hAnsi="Times New Roman" w:cs="Times New Roman"/>
          <w:color w:val="000000"/>
        </w:rPr>
        <w:t>要求学生</w:t>
      </w:r>
      <w:bookmarkEnd w:id="431"/>
      <w:r>
        <w:rPr>
          <w:rFonts w:ascii="Times New Roman" w:hAnsi="Times New Roman" w:cs="Times New Roman"/>
          <w:color w:val="000000"/>
        </w:rPr>
        <w:t>具备人文科学和自然科学基础，</w:t>
      </w:r>
      <w:r>
        <w:rPr>
          <w:rFonts w:ascii="Times New Roman" w:hAnsi="Times New Roman" w:cs="Times New Roman"/>
          <w:color w:val="3A423B"/>
          <w:shd w:val="clear" w:color="auto" w:fill="FFFFFF"/>
        </w:rPr>
        <w:t>具备较高的英语水平和较强的计算机应用能力。</w:t>
      </w:r>
      <w:r>
        <w:rPr>
          <w:rFonts w:ascii="Times New Roman" w:hAnsi="Times New Roman" w:cs="Times New Roman"/>
          <w:color w:val="000000"/>
        </w:rPr>
        <w:t xml:space="preserve"> </w:t>
      </w:r>
    </w:p>
    <w:p>
      <w:pPr>
        <w:pStyle w:val="15"/>
        <w:spacing w:before="0" w:beforeAutospacing="0" w:after="0" w:afterAutospacing="0"/>
        <w:ind w:firstLine="420" w:firstLineChars="200"/>
        <w:rPr>
          <w:rFonts w:ascii="Times New Roman" w:hAnsi="Times New Roman" w:cs="Times New Roman"/>
          <w:color w:val="3A423B"/>
        </w:rPr>
      </w:pPr>
      <w:r>
        <w:rPr>
          <w:rFonts w:ascii="Times New Roman" w:hAnsi="Times New Roman" w:cs="Times New Roman"/>
          <w:color w:val="000000"/>
          <w:spacing w:val="-15"/>
        </w:rPr>
        <w:t>（二）</w:t>
      </w:r>
      <w:r>
        <w:rPr>
          <w:rFonts w:ascii="Times New Roman" w:hAnsi="Times New Roman" w:cs="Times New Roman"/>
          <w:color w:val="000000"/>
        </w:rPr>
        <w:t>要求学生</w:t>
      </w:r>
      <w:r>
        <w:rPr>
          <w:rFonts w:ascii="Times New Roman" w:hAnsi="Times New Roman" w:cs="Times New Roman"/>
          <w:color w:val="000000"/>
          <w:spacing w:val="-15"/>
        </w:rPr>
        <w:t>具备自主学习能力、交流与沟通能力、</w:t>
      </w:r>
      <w:r>
        <w:rPr>
          <w:rFonts w:ascii="Times New Roman" w:hAnsi="Times New Roman" w:cs="Times New Roman"/>
          <w:color w:val="3A423B"/>
        </w:rPr>
        <w:t>组织协调能力、</w:t>
      </w:r>
      <w:r>
        <w:rPr>
          <w:rFonts w:ascii="Times New Roman" w:hAnsi="Times New Roman" w:cs="Times New Roman"/>
          <w:color w:val="000000"/>
          <w:spacing w:val="-15"/>
        </w:rPr>
        <w:t>创新能力、</w:t>
      </w:r>
      <w:r>
        <w:rPr>
          <w:rFonts w:ascii="Times New Roman" w:hAnsi="Times New Roman" w:cs="Times New Roman"/>
          <w:color w:val="3A423B"/>
        </w:rPr>
        <w:t>拍板决断能力</w:t>
      </w:r>
      <w:r>
        <w:rPr>
          <w:rFonts w:ascii="Times New Roman" w:hAnsi="Times New Roman" w:cs="Times New Roman"/>
          <w:color w:val="000000"/>
          <w:spacing w:val="-15"/>
        </w:rPr>
        <w:t>和社会责任感。</w:t>
      </w:r>
    </w:p>
    <w:p>
      <w:pPr>
        <w:pStyle w:val="15"/>
        <w:spacing w:before="0" w:beforeAutospacing="0" w:after="0" w:afterAutospacing="0"/>
        <w:ind w:firstLine="420" w:firstLineChars="200"/>
        <w:rPr>
          <w:rFonts w:ascii="Times New Roman" w:hAnsi="Times New Roman" w:cs="Times New Roman"/>
          <w:color w:val="3A423B"/>
        </w:rPr>
      </w:pPr>
      <w:r>
        <w:rPr>
          <w:rFonts w:ascii="Times New Roman" w:hAnsi="Times New Roman" w:cs="Times New Roman"/>
          <w:color w:val="000000"/>
          <w:spacing w:val="-15"/>
        </w:rPr>
        <w:t>（三）</w:t>
      </w:r>
      <w:r>
        <w:rPr>
          <w:rFonts w:ascii="Times New Roman" w:hAnsi="Times New Roman" w:cs="Times New Roman"/>
          <w:color w:val="000000"/>
        </w:rPr>
        <w:t xml:space="preserve">要求学生熟悉国内外资产评估行业发展现状、趋势，能够运用专业知识和技术规范（准则），分析并解决资产评估的复杂问题。 </w:t>
      </w:r>
    </w:p>
    <w:p>
      <w:pPr>
        <w:pStyle w:val="15"/>
        <w:spacing w:before="0" w:beforeAutospacing="0" w:after="0" w:afterAutospacing="0"/>
        <w:ind w:firstLine="420" w:firstLineChars="200"/>
        <w:rPr>
          <w:rFonts w:ascii="Times New Roman" w:hAnsi="Times New Roman" w:cs="Times New Roman"/>
          <w:color w:val="000000"/>
        </w:rPr>
      </w:pPr>
      <w:r>
        <w:rPr>
          <w:rFonts w:ascii="Times New Roman" w:hAnsi="Times New Roman" w:cs="Times New Roman"/>
          <w:color w:val="000000"/>
          <w:spacing w:val="-15"/>
        </w:rPr>
        <w:t>（四）</w:t>
      </w:r>
      <w:r>
        <w:rPr>
          <w:rFonts w:ascii="Times New Roman" w:hAnsi="Times New Roman" w:cs="Times New Roman"/>
          <w:color w:val="000000"/>
        </w:rPr>
        <w:t>要求学生能在会计师事务所、资产评估公司、国有资产管理部门、金融机构、政府机关等从事</w:t>
      </w:r>
      <w:r>
        <w:rPr>
          <w:rFonts w:ascii="Times New Roman" w:hAnsi="Times New Roman" w:cs="Times New Roman"/>
          <w:color w:val="3A423B"/>
        </w:rPr>
        <w:t>资产评估、财务会计、财务管理等实际工作和科学研究工作，或到国内外大学继续从事专业学习深造</w:t>
      </w:r>
      <w:r>
        <w:rPr>
          <w:rFonts w:ascii="Times New Roman" w:hAnsi="Times New Roman" w:cs="Times New Roman"/>
          <w:color w:val="000000"/>
        </w:rPr>
        <w:t>。</w:t>
      </w:r>
    </w:p>
    <w:p>
      <w:pPr>
        <w:pStyle w:val="15"/>
        <w:spacing w:before="0" w:beforeAutospacing="0" w:after="0" w:afterAutospacing="0"/>
        <w:ind w:firstLine="480" w:firstLineChars="200"/>
        <w:rPr>
          <w:rFonts w:ascii="Times New Roman" w:hAnsi="Times New Roman" w:cs="Times New Roman"/>
          <w:color w:val="3A423B"/>
        </w:rPr>
      </w:pPr>
      <w:r>
        <w:rPr>
          <w:rFonts w:ascii="Times New Roman" w:hAnsi="Times New Roman" w:cs="Times New Roman"/>
          <w:color w:val="3A423B"/>
        </w:rPr>
        <w:t>（五）要求学生具有自主学习和终身学习的意识，有不断学习和适应发展的能力。</w:t>
      </w:r>
    </w:p>
    <w:p>
      <w:pPr>
        <w:pStyle w:val="5"/>
        <w:spacing w:before="93" w:after="93"/>
        <w:ind w:firstLine="560"/>
      </w:pPr>
      <w:r>
        <w:t>二、培养能力（专业基本情况、在校生规模、课程体系、创新创业教育等）</w:t>
      </w:r>
    </w:p>
    <w:p>
      <w:pPr>
        <w:widowControl/>
        <w:ind w:firstLine="480" w:firstLineChars="200"/>
        <w:jc w:val="left"/>
        <w:rPr>
          <w:rFonts w:eastAsia="黑体"/>
          <w:szCs w:val="24"/>
        </w:rPr>
      </w:pPr>
      <w:r>
        <w:rPr>
          <w:rFonts w:hint="eastAsia" w:eastAsia="黑体"/>
          <w:szCs w:val="24"/>
        </w:rPr>
        <w:t xml:space="preserve">1. </w:t>
      </w:r>
      <w:r>
        <w:rPr>
          <w:rFonts w:eastAsia="黑体"/>
          <w:szCs w:val="24"/>
        </w:rPr>
        <w:t>专业基本情况</w:t>
      </w:r>
    </w:p>
    <w:p>
      <w:pPr>
        <w:widowControl/>
        <w:ind w:firstLine="480" w:firstLineChars="200"/>
        <w:jc w:val="left"/>
        <w:rPr>
          <w:szCs w:val="24"/>
        </w:rPr>
      </w:pPr>
      <w:r>
        <w:rPr>
          <w:szCs w:val="24"/>
        </w:rPr>
        <w:t>山东农业大学资产评估本科专业是为适应社会主义市场经济发展需要，顺应我国市场化改革对资产评估人才急剧需要而于2014年申报设立，并从2015年秋季开始招生，招生对象涵盖文理两科，招生范围涉及山东、陕西、山西、湖南、贵州等十几个省份。</w:t>
      </w:r>
    </w:p>
    <w:p>
      <w:pPr>
        <w:widowControl/>
        <w:ind w:firstLine="480" w:firstLineChars="200"/>
        <w:jc w:val="left"/>
        <w:rPr>
          <w:rFonts w:eastAsia="黑体"/>
          <w:szCs w:val="24"/>
        </w:rPr>
      </w:pPr>
      <w:r>
        <w:rPr>
          <w:rFonts w:hint="eastAsia" w:eastAsia="黑体"/>
          <w:szCs w:val="24"/>
        </w:rPr>
        <w:t xml:space="preserve">2. </w:t>
      </w:r>
      <w:r>
        <w:rPr>
          <w:rFonts w:eastAsia="黑体"/>
          <w:szCs w:val="24"/>
        </w:rPr>
        <w:t>在校生规模</w:t>
      </w:r>
    </w:p>
    <w:p>
      <w:pPr>
        <w:widowControl/>
        <w:ind w:firstLine="480" w:firstLineChars="200"/>
        <w:jc w:val="left"/>
        <w:rPr>
          <w:szCs w:val="24"/>
        </w:rPr>
      </w:pPr>
      <w:r>
        <w:rPr>
          <w:szCs w:val="24"/>
        </w:rPr>
        <w:t>本专业在校生人数141人（2019-2021级），其中2019级60人，2020级41人，2021级16人,在校人数达到117人。2022年继续按照工商管理一级学科大类招生，第一学年末开始根据学生的专业兴趣，自愿选择专业，学生可以在资产评估、会计学、财务管理、工商管理等四个专业中自主选择专业进一步学习。</w:t>
      </w:r>
    </w:p>
    <w:p>
      <w:pPr>
        <w:widowControl/>
        <w:ind w:firstLine="480" w:firstLineChars="200"/>
        <w:jc w:val="left"/>
        <w:rPr>
          <w:rFonts w:eastAsia="黑体"/>
          <w:szCs w:val="24"/>
        </w:rPr>
      </w:pPr>
      <w:r>
        <w:rPr>
          <w:rFonts w:hint="eastAsia" w:eastAsia="黑体"/>
          <w:szCs w:val="24"/>
        </w:rPr>
        <w:t xml:space="preserve">3. </w:t>
      </w:r>
      <w:r>
        <w:rPr>
          <w:rFonts w:eastAsia="黑体"/>
          <w:szCs w:val="24"/>
        </w:rPr>
        <w:t>课程体系</w:t>
      </w:r>
    </w:p>
    <w:p>
      <w:pPr>
        <w:widowControl/>
        <w:ind w:firstLine="480" w:firstLineChars="200"/>
        <w:jc w:val="left"/>
        <w:rPr>
          <w:szCs w:val="24"/>
        </w:rPr>
      </w:pPr>
      <w:r>
        <w:rPr>
          <w:szCs w:val="24"/>
        </w:rPr>
        <w:t>主要课程设置包括微观经济学、宏观经济学、管理学基础、企业管理学、统计学、初级会计学、财务管理学、审计学、经济法、税法、资产评估、企业价值评估、房地产评估、无形资产评估、机电设备评估、财务会计学、投资项目评估、市场营销、金融学、经济管理综合实验、资产评估专业综合实验等。</w:t>
      </w:r>
    </w:p>
    <w:p>
      <w:pPr>
        <w:widowControl/>
        <w:ind w:firstLine="480" w:firstLineChars="200"/>
        <w:jc w:val="left"/>
        <w:rPr>
          <w:rFonts w:eastAsia="黑体"/>
          <w:szCs w:val="24"/>
        </w:rPr>
      </w:pPr>
      <w:r>
        <w:rPr>
          <w:rFonts w:hint="eastAsia" w:eastAsia="黑体"/>
          <w:szCs w:val="24"/>
        </w:rPr>
        <w:t xml:space="preserve">4. </w:t>
      </w:r>
      <w:r>
        <w:rPr>
          <w:rFonts w:eastAsia="黑体"/>
          <w:szCs w:val="24"/>
        </w:rPr>
        <w:t>创新创业教育</w:t>
      </w:r>
    </w:p>
    <w:p>
      <w:pPr>
        <w:widowControl/>
        <w:ind w:firstLine="480" w:firstLineChars="200"/>
        <w:jc w:val="left"/>
        <w:rPr>
          <w:szCs w:val="24"/>
        </w:rPr>
      </w:pPr>
      <w:r>
        <w:rPr>
          <w:szCs w:val="24"/>
        </w:rPr>
        <w:t>创新创业教育实行导师负责制。指导教师是学生创新创业实践环节教学第一责任人，负责指导学生按要求独立开展创新创业实践活动。学生自主选择创新创业实践形式（可从10种具体方式中选择），在毕业前完成创新创业实践环节。另外，为鼓励创新创业实践，还建立了学院大学生创新创业中心。</w:t>
      </w:r>
    </w:p>
    <w:p>
      <w:pPr>
        <w:pStyle w:val="5"/>
        <w:spacing w:before="93" w:after="93"/>
        <w:ind w:firstLine="560"/>
      </w:pPr>
      <w:r>
        <w:t>三、培养条件（教学经费投入、教学设备、教师队伍建设、实习基地、现代教学技术应用等）</w:t>
      </w:r>
    </w:p>
    <w:p>
      <w:pPr>
        <w:ind w:firstLine="539"/>
        <w:rPr>
          <w:rFonts w:eastAsia="黑体"/>
          <w:szCs w:val="24"/>
        </w:rPr>
      </w:pPr>
      <w:r>
        <w:rPr>
          <w:rFonts w:hint="eastAsia" w:eastAsia="黑体"/>
          <w:szCs w:val="24"/>
        </w:rPr>
        <w:t xml:space="preserve">1. </w:t>
      </w:r>
      <w:r>
        <w:rPr>
          <w:rFonts w:eastAsia="黑体"/>
          <w:szCs w:val="24"/>
        </w:rPr>
        <w:t>教学经费投入</w:t>
      </w:r>
    </w:p>
    <w:p>
      <w:pPr>
        <w:ind w:firstLine="480" w:firstLineChars="200"/>
        <w:rPr>
          <w:szCs w:val="24"/>
        </w:rPr>
      </w:pPr>
      <w:r>
        <w:rPr>
          <w:szCs w:val="24"/>
        </w:rPr>
        <w:t>教学经费是加强专业教学建设，确保教学正常运行，推进教学改革，提高教学质量的保障性基本教学经费。近年来，学校十分重视对本专业教学经费的投入。教学经费分配方式为学校下拨。具体使用分配比例均严格按照学校财务部门要求执行，使用情况合理。学院在编制新一期教学经费使用计划前，都对上一期间经费使用效益进行分析，取得较好效果。</w:t>
      </w:r>
    </w:p>
    <w:p>
      <w:pPr>
        <w:pStyle w:val="33"/>
        <w:spacing w:line="400" w:lineRule="exact"/>
        <w:ind w:firstLine="480" w:firstLineChars="200"/>
        <w:rPr>
          <w:rFonts w:ascii="Times New Roman" w:hAnsi="Times New Roman" w:eastAsia="宋体" w:cs="Times New Roman"/>
        </w:rPr>
      </w:pPr>
      <w:r>
        <w:rPr>
          <w:rFonts w:ascii="Times New Roman" w:hAnsi="Times New Roman" w:eastAsia="宋体" w:cs="Times New Roman"/>
        </w:rPr>
        <w:t>学院在教学经费使用中，本着本科人才培养优先，分阶段突出重点，切实保障教学经费的利用率和使用效益。近3年教学经费用于教学材料和实验材料的开支占总教学经费支出的26.9%，用于学生实习费支出的占49%，用于实验设备购置和维护的占18.1%，用于师资培训的占9.1%。教学经费支出首先满足学生实验实践教学需要，经费支出占总经费的75.9%，其次用于改善学生实验实践教学硬件和软件设施。</w:t>
      </w:r>
    </w:p>
    <w:p>
      <w:pPr>
        <w:pStyle w:val="33"/>
        <w:spacing w:line="400" w:lineRule="exact"/>
        <w:ind w:firstLine="480" w:firstLineChars="200"/>
        <w:rPr>
          <w:rFonts w:ascii="Times New Roman" w:hAnsi="Times New Roman" w:eastAsia="宋体" w:cs="Times New Roman"/>
          <w:color w:val="auto"/>
          <w:kern w:val="2"/>
        </w:rPr>
      </w:pPr>
      <w:r>
        <w:rPr>
          <w:rFonts w:ascii="Times New Roman" w:hAnsi="Times New Roman" w:eastAsia="宋体" w:cs="Times New Roman"/>
        </w:rPr>
        <w:t>此外，为进一步落实育人为本办学理念，调动教师投身教学和人才培养工作的积极性，学校设立年度教学质量奖，表彰和奖励在教学与人才培养工作中做出突出贡献的一线教师。奖励额度较大，一等奖每人5万元，二等奖3万。学院也每年资助（人均至少3000元）老师外出开会、学习，增强业务能力。同时，学院组织青年教师讲课比赛，设一二三等奖予以奖励，学院还资助学生的SRT项目多项，每项经费500元。</w:t>
      </w:r>
      <w:r>
        <w:rPr>
          <w:rFonts w:ascii="Times New Roman" w:hAnsi="Times New Roman" w:eastAsia="宋体" w:cs="Times New Roman"/>
          <w:color w:val="auto"/>
          <w:kern w:val="2"/>
        </w:rPr>
        <w:t xml:space="preserve"> </w:t>
      </w:r>
    </w:p>
    <w:p>
      <w:pPr>
        <w:ind w:firstLine="539"/>
        <w:rPr>
          <w:rFonts w:eastAsia="黑体"/>
          <w:szCs w:val="24"/>
        </w:rPr>
      </w:pPr>
      <w:r>
        <w:rPr>
          <w:rFonts w:hint="eastAsia" w:eastAsia="黑体"/>
          <w:szCs w:val="24"/>
        </w:rPr>
        <w:t xml:space="preserve">2. </w:t>
      </w:r>
      <w:r>
        <w:rPr>
          <w:rFonts w:eastAsia="黑体"/>
          <w:szCs w:val="24"/>
        </w:rPr>
        <w:t>教学设备</w:t>
      </w:r>
    </w:p>
    <w:p>
      <w:pPr>
        <w:pStyle w:val="3"/>
        <w:spacing w:after="0"/>
        <w:ind w:left="0" w:leftChars="0" w:firstLine="480" w:firstLineChars="200"/>
        <w:rPr>
          <w:szCs w:val="24"/>
        </w:rPr>
      </w:pPr>
      <w:r>
        <w:rPr>
          <w:szCs w:val="24"/>
        </w:rPr>
        <w:t>为了适应资产评估专业教育教学工作的要求，学校在资金投入上给予了大力支持，从办学经费中拿出大量资金优先为本专业购置专业书籍、资料和报刊及相应的实习实验教学设备。学校现有与本专业相关图书5万余册，专业报刊200种；除学校的图书馆、计算中心等条件外，本专业还自有资料室1个，有专业图书6万余册，期刊杂志180多种。</w:t>
      </w:r>
    </w:p>
    <w:p>
      <w:pPr>
        <w:ind w:firstLine="480" w:firstLineChars="200"/>
        <w:rPr>
          <w:szCs w:val="24"/>
        </w:rPr>
      </w:pPr>
      <w:r>
        <w:rPr>
          <w:szCs w:val="24"/>
          <w:shd w:val="clear" w:color="auto" w:fill="FFFFFF"/>
        </w:rPr>
        <w:t>经管学院目前建有与本专业相关的具有显著学科及专业特色的教学实验室11个，具体包括资产评估实验室、智能会计实验室、沙盘实验室、虚拟仿真实验室、金融证券分析实验室、财务管理综合实验室、市场营销及电子商务实验室、工商管理综合实验室等。实验室使用面积1200平方，现有高性能的计算机590余台、教学软件系统60余套，总价值1000余万元，居于全国同类实验室领先水平。实验教学采用网络教学、多媒体教学等先进技术，手工模拟操作、计算机模拟操作、仿真实验、完全现场教学等多种方式相结合，达到了现场教学的效果。此外，实验室全天候向学生开放。良好的实验设备与先进的教学方法构成了着力于强化学生学习能力、创新能力、操作能力并兼顾学生个性发展的实验教学新体系，为会计学专业创造了良好办学条件</w:t>
      </w:r>
      <w:r>
        <w:rPr>
          <w:szCs w:val="24"/>
        </w:rPr>
        <w:t>。</w:t>
      </w:r>
    </w:p>
    <w:p>
      <w:pPr>
        <w:ind w:firstLine="539"/>
        <w:rPr>
          <w:rFonts w:eastAsia="黑体"/>
          <w:szCs w:val="24"/>
        </w:rPr>
      </w:pPr>
      <w:r>
        <w:rPr>
          <w:rFonts w:hint="eastAsia" w:eastAsia="黑体"/>
          <w:szCs w:val="24"/>
        </w:rPr>
        <w:t xml:space="preserve">3. </w:t>
      </w:r>
      <w:r>
        <w:rPr>
          <w:rFonts w:eastAsia="黑体"/>
          <w:szCs w:val="24"/>
        </w:rPr>
        <w:t>教师队伍建设</w:t>
      </w:r>
    </w:p>
    <w:p>
      <w:pPr>
        <w:ind w:firstLine="480" w:firstLineChars="200"/>
        <w:rPr>
          <w:szCs w:val="24"/>
        </w:rPr>
      </w:pPr>
      <w:r>
        <w:rPr>
          <w:szCs w:val="24"/>
        </w:rPr>
        <w:t>该专业依托会计系，师资力量雄厚，有14位专业老师，教授3人，副教授7人，具有博士学位的8人，占57%，博士生导师1人，硕士生导师7人。本专业教师平均年龄在43岁，年富力强，富有朝气、干劲十足，年人均工作量在500学时以上。本专业师资队伍，保障各项教学任务的顺利完成，支撑了人才培养目标的实现。根据学院总体建设规划和师资队伍建设的要求，结合我系</w:t>
      </w:r>
      <w:r>
        <w:rPr>
          <w:rFonts w:hint="eastAsia"/>
          <w:szCs w:val="24"/>
        </w:rPr>
        <w:t>“</w:t>
      </w:r>
      <w:r>
        <w:rPr>
          <w:szCs w:val="24"/>
        </w:rPr>
        <w:t>十四五</w:t>
      </w:r>
      <w:r>
        <w:rPr>
          <w:rFonts w:hint="eastAsia"/>
          <w:szCs w:val="24"/>
        </w:rPr>
        <w:t>”</w:t>
      </w:r>
      <w:r>
        <w:rPr>
          <w:szCs w:val="24"/>
        </w:rPr>
        <w:t>发展规划和办学规模，坚持引进与自我培养、自我提高相结合的师资队伍培养方式，建设一支专业能力精湛、年龄结构、职称结构、学院结构科学合理的动态的师资队伍。</w:t>
      </w:r>
    </w:p>
    <w:p>
      <w:pPr>
        <w:ind w:firstLine="539"/>
        <w:rPr>
          <w:rFonts w:eastAsia="黑体"/>
          <w:szCs w:val="24"/>
        </w:rPr>
      </w:pPr>
      <w:r>
        <w:rPr>
          <w:rFonts w:hint="eastAsia" w:eastAsia="黑体"/>
          <w:szCs w:val="24"/>
        </w:rPr>
        <w:t xml:space="preserve">4. </w:t>
      </w:r>
      <w:r>
        <w:rPr>
          <w:rFonts w:eastAsia="黑体"/>
          <w:szCs w:val="24"/>
        </w:rPr>
        <w:t>实习基地</w:t>
      </w:r>
    </w:p>
    <w:p>
      <w:pPr>
        <w:ind w:firstLine="560"/>
        <w:rPr>
          <w:szCs w:val="24"/>
        </w:rPr>
      </w:pPr>
      <w:r>
        <w:rPr>
          <w:szCs w:val="24"/>
        </w:rPr>
        <w:t>在多年的教学实践中，经管学院共建有稳定的校外教学实习基地6个。其中有学校和地方签订协议，正式挂牌运营使用多年、教学实习效果良好的青州市教学实习基地、岱岳区教学实习基地、泰山区教学实习基地；有经管学院与地方协定，投入使用普尔特资产评估公司、泰岳联合会计师事务所、中审联会计师事务所、泰山集团等教学实习基地。实习基地业务范围广泛，执业水平高，非常适合资产评估专业、会计专业的学生实习。</w:t>
      </w:r>
    </w:p>
    <w:p>
      <w:pPr>
        <w:ind w:firstLine="539"/>
        <w:rPr>
          <w:rFonts w:eastAsia="黑体"/>
          <w:szCs w:val="24"/>
        </w:rPr>
      </w:pPr>
      <w:r>
        <w:rPr>
          <w:rFonts w:hint="eastAsia" w:eastAsia="黑体"/>
          <w:szCs w:val="24"/>
        </w:rPr>
        <w:t xml:space="preserve">5. </w:t>
      </w:r>
      <w:r>
        <w:rPr>
          <w:rFonts w:eastAsia="黑体"/>
          <w:szCs w:val="24"/>
        </w:rPr>
        <w:t>现代教学技术应用</w:t>
      </w:r>
    </w:p>
    <w:p>
      <w:pPr>
        <w:ind w:firstLine="480" w:firstLineChars="200"/>
        <w:rPr>
          <w:b/>
          <w:szCs w:val="24"/>
        </w:rPr>
      </w:pPr>
      <w:r>
        <w:rPr>
          <w:szCs w:val="24"/>
        </w:rPr>
        <w:t>学校和老师们都很重视现代教学技术的应用，100%采用了多媒体教学，根据资产评估专业课程重实践重实务的特点，购置了10余套教学辅助软件，实验室、利用计算机等现代化手段加强实训，提升学生动手能力和应用水平。</w:t>
      </w:r>
    </w:p>
    <w:p>
      <w:pPr>
        <w:pStyle w:val="5"/>
        <w:spacing w:before="93" w:after="93"/>
        <w:ind w:firstLine="560"/>
      </w:pPr>
      <w:r>
        <w:t>四、培养机制与特色（产学研协同育人机制、教学管理等）</w:t>
      </w:r>
    </w:p>
    <w:p>
      <w:pPr>
        <w:ind w:firstLine="539"/>
        <w:rPr>
          <w:rFonts w:eastAsia="黑体"/>
          <w:szCs w:val="24"/>
        </w:rPr>
      </w:pPr>
      <w:r>
        <w:rPr>
          <w:rFonts w:hint="eastAsia" w:eastAsia="黑体"/>
          <w:szCs w:val="24"/>
        </w:rPr>
        <w:t xml:space="preserve">1. </w:t>
      </w:r>
      <w:r>
        <w:rPr>
          <w:rFonts w:eastAsia="黑体"/>
          <w:szCs w:val="24"/>
        </w:rPr>
        <w:t>产学研协同育人机制</w:t>
      </w:r>
    </w:p>
    <w:p>
      <w:pPr>
        <w:ind w:firstLine="539"/>
        <w:rPr>
          <w:szCs w:val="24"/>
        </w:rPr>
      </w:pPr>
      <w:r>
        <w:rPr>
          <w:szCs w:val="24"/>
        </w:rPr>
        <w:t>资产评估专业实务性、操作性强，属应用型学科和专业，目前在重视资产评估理论学习基础上，重视实践教学环节，设置较多的实验课时，以及教学实习。通过校内校外相结合的实践模式增强学生应用能力。在设立专业模块课的基础上设置个性发展课，突出因材施教和个性化培养。人才培养方案搭建了通识教育、大类内专业基础教育和专业教育三个课程平台。在专业教育课的基础上实施个性化的分类培养，使学生在保证专业主体教育的前提下，可以按照自己的学习兴趣和自身需求，设计和修读所需要的课程，实现了课程的个性化选择，达到了个性化人才培养的目的。</w:t>
      </w:r>
    </w:p>
    <w:p>
      <w:pPr>
        <w:pStyle w:val="33"/>
        <w:spacing w:line="400" w:lineRule="exact"/>
        <w:ind w:firstLine="480" w:firstLineChars="200"/>
        <w:rPr>
          <w:rFonts w:ascii="Times New Roman" w:hAnsi="Times New Roman" w:eastAsia="黑体" w:cs="Times New Roman"/>
          <w:color w:val="auto"/>
          <w:kern w:val="2"/>
        </w:rPr>
      </w:pPr>
      <w:r>
        <w:rPr>
          <w:rFonts w:hint="eastAsia" w:ascii="Times New Roman" w:hAnsi="Times New Roman" w:eastAsia="黑体" w:cs="Times New Roman"/>
          <w:color w:val="auto"/>
          <w:kern w:val="2"/>
        </w:rPr>
        <w:t>2</w:t>
      </w:r>
      <w:r>
        <w:rPr>
          <w:rFonts w:hint="eastAsia" w:eastAsia="黑体" w:cs="Times New Roman"/>
        </w:rPr>
        <w:t xml:space="preserve">. </w:t>
      </w:r>
      <w:r>
        <w:rPr>
          <w:rFonts w:ascii="Times New Roman" w:hAnsi="Times New Roman" w:eastAsia="黑体" w:cs="Times New Roman"/>
          <w:color w:val="auto"/>
          <w:kern w:val="2"/>
        </w:rPr>
        <w:t>教学管理</w:t>
      </w:r>
    </w:p>
    <w:p>
      <w:pPr>
        <w:pStyle w:val="33"/>
        <w:spacing w:line="400" w:lineRule="exact"/>
        <w:ind w:firstLine="480" w:firstLineChars="200"/>
        <w:rPr>
          <w:rFonts w:ascii="Times New Roman" w:hAnsi="Times New Roman" w:eastAsia="宋体" w:cs="Times New Roman"/>
          <w:color w:val="auto"/>
          <w:kern w:val="2"/>
        </w:rPr>
      </w:pPr>
      <w:r>
        <w:rPr>
          <w:rFonts w:ascii="Times New Roman" w:hAnsi="Times New Roman" w:eastAsia="宋体" w:cs="Times New Roman"/>
          <w:color w:val="auto"/>
          <w:kern w:val="2"/>
        </w:rPr>
        <w:t>教学管理方面严格规范按照校院两级管理体制和机制。学校层面由教务处统一进行教学运行的事前、事中和事后的布置、检查、监督，院里设置专职教务秘书，在分管院领导的领导下具体落实学校的要求和任务。具体任务再由专业主任安排和协调落实、完成。多年来，形成了井然有序的管理体制和机制。</w:t>
      </w:r>
    </w:p>
    <w:p>
      <w:pPr>
        <w:adjustRightInd w:val="0"/>
        <w:snapToGrid w:val="0"/>
        <w:ind w:firstLine="482"/>
        <w:rPr>
          <w:szCs w:val="24"/>
        </w:rPr>
      </w:pPr>
      <w:r>
        <w:rPr>
          <w:szCs w:val="24"/>
        </w:rPr>
        <w:t>（1）创新教学内容。坚持以主干课程为主导，以社会对人才培养实际要求为主要内容选用教材，建立模块化的教材体系。一是根据需要，参照国内外其他高校同类专业课程设置状况，适当增减课程，并合理安排时序，以优化课程体系。二是合理界定专业教学指导委员会、教研室及课程组的职责与功能，使围绕课程建设的教学研讨活动常规化，调动各方面进行课程建设的积极性。三是围绕课程内容、配套材料、教学方式、教学手段开展教学研究。四是以课程组为基本单位，充分发挥课程负责人及主讲教师的作用，以课程组为基础组成项目组，完成各类课程建设项目。</w:t>
      </w:r>
    </w:p>
    <w:p>
      <w:pPr>
        <w:adjustRightInd w:val="0"/>
        <w:snapToGrid w:val="0"/>
        <w:ind w:firstLine="482"/>
        <w:rPr>
          <w:szCs w:val="24"/>
        </w:rPr>
      </w:pPr>
      <w:r>
        <w:rPr>
          <w:szCs w:val="24"/>
        </w:rPr>
        <w:t>（2）转变教学方式。一是在课程体系设计上，通过培养方案修订进行优化。现已形成通识教育课程、专业基础课程、专业必修课程、专业限选课程、个性发展课、实践教学环节六个模块，按照研究性和实际应用型培养目标在各个模块进行课程修订。二是在实践教学上，注重充分发挥校内专业实验室的优势，在利用校外利用好校外实践教学基地上做文章，培养学生理论与实践相结合分析问题解决问题的能力。三是在教风、学风建设上，通过课堂听课制度、专业教师定期研讨等提高老师的教学水平。</w:t>
      </w:r>
    </w:p>
    <w:p>
      <w:pPr>
        <w:adjustRightInd w:val="0"/>
        <w:snapToGrid w:val="0"/>
        <w:ind w:firstLine="482"/>
        <w:rPr>
          <w:szCs w:val="24"/>
        </w:rPr>
      </w:pPr>
      <w:r>
        <w:rPr>
          <w:szCs w:val="24"/>
        </w:rPr>
        <w:t>（3）树立对教学质量进行全过程、全方位、全员监督的新理念。教学质量是学校办学的生命所在，对教学质量的监督不仅仅是对教学结果的监督，而应体现在对教学环节整个过程进行全方位的跟踪监督，包括人才培养方案制定和落实的监督、教材编写或选用的监督、任课教师任职资格和授课效果的监督、学生学习过程的监督、实习实训环节的监督等方面。</w:t>
      </w:r>
    </w:p>
    <w:p>
      <w:pPr>
        <w:pStyle w:val="5"/>
        <w:spacing w:before="93" w:after="93"/>
        <w:ind w:firstLine="560"/>
      </w:pPr>
      <w:r>
        <w:t>五、培养质量（毕业生就业率、就业专业对口率、毕业生发展情况、就业单位满意率、社会对专业的评价、学生就读该专业的意愿等）</w:t>
      </w:r>
    </w:p>
    <w:p>
      <w:pPr>
        <w:pStyle w:val="33"/>
        <w:spacing w:line="400" w:lineRule="exact"/>
        <w:ind w:firstLine="480" w:firstLineChars="200"/>
        <w:rPr>
          <w:rFonts w:ascii="Times New Roman" w:hAnsi="Times New Roman" w:eastAsia="宋体" w:cs="Times New Roman"/>
          <w:color w:val="auto"/>
        </w:rPr>
      </w:pPr>
      <w:r>
        <w:rPr>
          <w:rFonts w:ascii="Times New Roman" w:hAnsi="Times New Roman" w:eastAsia="宋体" w:cs="Times New Roman"/>
          <w:color w:val="auto"/>
          <w:kern w:val="2"/>
        </w:rPr>
        <w:t>资产评估专业2015年开始招生，第一届毕业生已顺利走上工作岗位，一次就业率近90%。就业专业对口率达90%以上，主要面向行政单位、事业单位</w:t>
      </w:r>
      <w:r>
        <w:rPr>
          <w:rFonts w:ascii="Times New Roman" w:hAnsi="Times New Roman" w:eastAsia="宋体" w:cs="Times New Roman"/>
          <w:color w:val="auto"/>
        </w:rPr>
        <w:t>、金融机构（主要是各个银行）、会计师事务所、评估公司、大中型企业等。毕业生到了相应岗位之后，发展状况良好，得到了就业单位的认可和社会的高度评价。实习单位认为山农大资评专业学生专业基础好，工作上手快，适应性强，工作踏实肯干务实，具有很强的团队合作精神和沟通交流能力；保研或考研名校的比例增加</w:t>
      </w:r>
      <w:r>
        <w:rPr>
          <w:rFonts w:ascii="Times New Roman" w:hAnsi="Times New Roman" w:eastAsia="宋体" w:cs="Times New Roman"/>
        </w:rPr>
        <w:t>，优秀学生成功保研或考研到中南财经大学、中央财经大学、河海大学、首经贸大学、山西财经大学等国内名校继续深造。</w:t>
      </w:r>
    </w:p>
    <w:p>
      <w:pPr>
        <w:pStyle w:val="5"/>
        <w:spacing w:before="93" w:after="93"/>
        <w:ind w:firstLine="560"/>
      </w:pPr>
      <w:r>
        <w:t>六、毕业生就业创业（创业情况、采取的措施、典型案例等）</w:t>
      </w:r>
    </w:p>
    <w:p>
      <w:pPr>
        <w:ind w:firstLine="539"/>
        <w:rPr>
          <w:kern w:val="0"/>
          <w:szCs w:val="24"/>
        </w:rPr>
      </w:pPr>
      <w:r>
        <w:rPr>
          <w:kern w:val="0"/>
          <w:szCs w:val="24"/>
        </w:rPr>
        <w:t>学校在学生培养过程中注重培养学生的创新创业能力，学院为同学们配备了校内指导教师和校外指导教师。从大学三年级开始，建立学生导师制，专门指导学生的创新创业实践。另外，要求学生在大学一、二年级积极参加社会调查、社会实践并设置相应学分，在大学三、四年级通过参加社会专业技术考试、专业技术竞赛、创新创业能力专项大赛、学校的学术调研活动和撰写学术论文和专业调研报告等多种形式开展创新创业实践。</w:t>
      </w:r>
    </w:p>
    <w:p>
      <w:pPr>
        <w:ind w:firstLine="539"/>
        <w:rPr>
          <w:kern w:val="0"/>
          <w:szCs w:val="24"/>
        </w:rPr>
      </w:pPr>
      <w:r>
        <w:rPr>
          <w:kern w:val="0"/>
          <w:szCs w:val="24"/>
        </w:rPr>
        <w:t>资产评估本科毕业生90%以上的同学都报考了资产评估师考试、会计从业考试、银行从业和证券从业资格考试、计算机二级考试，英语六级等，并取得相应证书。这些证书的取得对于同学们找到合适的工作岗位会发挥一定作用。</w:t>
      </w:r>
    </w:p>
    <w:p>
      <w:pPr>
        <w:pStyle w:val="33"/>
        <w:spacing w:line="400" w:lineRule="exact"/>
        <w:ind w:firstLine="480" w:firstLineChars="200"/>
        <w:rPr>
          <w:rFonts w:ascii="Times New Roman" w:hAnsi="Times New Roman" w:eastAsia="仿宋" w:cs="Times New Roman"/>
          <w:color w:val="auto"/>
          <w:kern w:val="2"/>
        </w:rPr>
      </w:pPr>
      <w:r>
        <w:rPr>
          <w:rFonts w:ascii="Times New Roman" w:hAnsi="Times New Roman" w:eastAsia="宋体" w:cs="Times New Roman"/>
          <w:color w:val="auto"/>
          <w:kern w:val="2"/>
        </w:rPr>
        <w:t>资产评估专业特色决定了学生创业的少，就业的多，相对就业的质量较好。据我们目前所知，很少有考虑自主创业的情况。以后在教学、培养各环节应进一步增加学生创业意识的树立和创业能力的锻炼。</w:t>
      </w:r>
    </w:p>
    <w:p>
      <w:pPr>
        <w:pStyle w:val="5"/>
        <w:spacing w:before="93" w:after="93"/>
        <w:ind w:firstLine="560"/>
      </w:pPr>
      <w:r>
        <w:t>七、专业人才社会需求分析及专业发展趋势分析</w:t>
      </w:r>
    </w:p>
    <w:p>
      <w:pPr>
        <w:ind w:firstLine="480" w:firstLineChars="200"/>
        <w:rPr>
          <w:rFonts w:eastAsia="黑体"/>
          <w:kern w:val="0"/>
          <w:szCs w:val="24"/>
        </w:rPr>
      </w:pPr>
      <w:r>
        <w:rPr>
          <w:rFonts w:hint="eastAsia" w:eastAsia="黑体"/>
          <w:kern w:val="0"/>
          <w:szCs w:val="24"/>
        </w:rPr>
        <w:t>1</w:t>
      </w:r>
      <w:r>
        <w:rPr>
          <w:rFonts w:hint="eastAsia" w:eastAsia="黑体"/>
          <w:szCs w:val="24"/>
        </w:rPr>
        <w:t xml:space="preserve">. </w:t>
      </w:r>
      <w:r>
        <w:rPr>
          <w:rFonts w:eastAsia="黑体"/>
          <w:kern w:val="0"/>
          <w:szCs w:val="24"/>
        </w:rPr>
        <w:t>专业人才社会需求分析</w:t>
      </w:r>
    </w:p>
    <w:p>
      <w:pPr>
        <w:ind w:firstLine="539"/>
        <w:rPr>
          <w:kern w:val="0"/>
          <w:szCs w:val="24"/>
        </w:rPr>
      </w:pPr>
      <w:r>
        <w:rPr>
          <w:kern w:val="0"/>
          <w:szCs w:val="24"/>
        </w:rPr>
        <w:t>资产评估专业具有良好的社会需求。资产评估专业主要满足社会公正类和中介服务类社会需求等的专业，资产评估机构、会计师事务所、证券投资机构、金融行业、企事业单位也需要大量的资产评估专业人才。我国现有评估机构 4100 余家，评估从业人员 10 万余人，其中资产评估师仅仅不到30%，这和现阶段日益增长的资产评估业务需求量相差悬殊。资产评估人才的供给缺口很大。</w:t>
      </w:r>
      <w:r>
        <w:rPr>
          <w:szCs w:val="24"/>
        </w:rPr>
        <w:t>当前，我国资产评估从业人员呈现老龄化趋势，后备人才不足问题逐渐显露。从2018年的数据来看，50岁以上的老年阶段虽不是行业主力军（占比为35.05%），但呈现持续增长的趋势；40岁以下评估师呈现增长趋势（占比为14.80%），处在黄金年龄段，但并不是行业的中坚力量；行业中坚力量集中于41-50岁年龄段（占比为50.15%）。统计数据表明，资产评估行业呈现老龄化趋势，后备力量不足问题初步显露。</w:t>
      </w:r>
      <w:r>
        <w:rPr>
          <w:kern w:val="0"/>
          <w:szCs w:val="24"/>
        </w:rPr>
        <w:t>未来10年甚至更长时间，评估行业需要大量综合素质过硬、职业岗位能力和实践能力强，富有创新精神和创业能力的青年行业人才，这需要社会各方给予支持、共同努力。同时，高等院校相关专业和具备实力的评估事务所也应出台新措施来吸引国外、留学归国和高端人才，为评估行业注入新鲜血液，助推评估行业改革发展，开创新时代资产评估行业发展新局面。</w:t>
      </w:r>
    </w:p>
    <w:p>
      <w:pPr>
        <w:ind w:firstLine="539"/>
        <w:rPr>
          <w:rFonts w:eastAsia="黑体"/>
          <w:kern w:val="0"/>
          <w:szCs w:val="24"/>
        </w:rPr>
      </w:pPr>
      <w:r>
        <w:rPr>
          <w:rFonts w:hint="eastAsia" w:eastAsia="黑体"/>
          <w:kern w:val="0"/>
          <w:szCs w:val="24"/>
        </w:rPr>
        <w:t>2</w:t>
      </w:r>
      <w:r>
        <w:rPr>
          <w:rFonts w:hint="eastAsia" w:eastAsia="黑体"/>
          <w:szCs w:val="24"/>
        </w:rPr>
        <w:t xml:space="preserve">. </w:t>
      </w:r>
      <w:r>
        <w:rPr>
          <w:rFonts w:eastAsia="黑体"/>
          <w:kern w:val="0"/>
          <w:szCs w:val="24"/>
        </w:rPr>
        <w:t>专业发展趋势分析</w:t>
      </w:r>
    </w:p>
    <w:p>
      <w:pPr>
        <w:ind w:firstLine="539"/>
        <w:rPr>
          <w:kern w:val="0"/>
          <w:szCs w:val="24"/>
        </w:rPr>
      </w:pPr>
      <w:r>
        <w:rPr>
          <w:kern w:val="0"/>
          <w:szCs w:val="24"/>
        </w:rPr>
        <w:t>虽然现代资产评估在国外已有百余年的发展历史，但在国内还是一个相对年轻的行业，不过20多年。但正因为年轻，资产评估行业朝气蓬勃，充满进取精神。2014年，国务院发布的《关于加快发展生产性服务业促进产业结构调整升级的指导意见》中，明确提出了要积极发展资产评估等专业咨询服务。2015年，</w:t>
      </w:r>
      <w:r>
        <w:rPr>
          <w:rFonts w:hint="eastAsia"/>
          <w:kern w:val="0"/>
          <w:szCs w:val="24"/>
        </w:rPr>
        <w:t>“</w:t>
      </w:r>
      <w:r>
        <w:rPr>
          <w:kern w:val="0"/>
          <w:szCs w:val="24"/>
        </w:rPr>
        <w:t>资产评估专业人员</w:t>
      </w:r>
      <w:r>
        <w:rPr>
          <w:rFonts w:hint="eastAsia"/>
          <w:kern w:val="0"/>
          <w:szCs w:val="24"/>
        </w:rPr>
        <w:t>”</w:t>
      </w:r>
      <w:r>
        <w:rPr>
          <w:kern w:val="0"/>
          <w:szCs w:val="24"/>
        </w:rPr>
        <w:t>作为新增职业，首次写入《中华人民共和国职业分类大典》，在类别上属于</w:t>
      </w:r>
      <w:r>
        <w:rPr>
          <w:rFonts w:hint="eastAsia"/>
          <w:kern w:val="0"/>
          <w:szCs w:val="24"/>
        </w:rPr>
        <w:t>“</w:t>
      </w:r>
      <w:r>
        <w:rPr>
          <w:kern w:val="0"/>
          <w:szCs w:val="24"/>
        </w:rPr>
        <w:t>经济和金融专业人员</w:t>
      </w:r>
      <w:r>
        <w:rPr>
          <w:rFonts w:hint="eastAsia"/>
          <w:kern w:val="0"/>
          <w:szCs w:val="24"/>
        </w:rPr>
        <w:t>”</w:t>
      </w:r>
      <w:r>
        <w:rPr>
          <w:kern w:val="0"/>
          <w:szCs w:val="24"/>
        </w:rPr>
        <w:t>。2016年，《资产评估法》经人大常委会审议通过，首次明确了资产评估行业的法律地位，开启了行业依法治理、依法执业的新纪元。同时，供给侧结构性改革，国有资产证券化，</w:t>
      </w:r>
      <w:r>
        <w:rPr>
          <w:rFonts w:hint="eastAsia"/>
          <w:kern w:val="0"/>
          <w:szCs w:val="24"/>
        </w:rPr>
        <w:t>“</w:t>
      </w:r>
      <w:r>
        <w:rPr>
          <w:kern w:val="0"/>
          <w:szCs w:val="24"/>
        </w:rPr>
        <w:t>一带一路</w:t>
      </w:r>
      <w:r>
        <w:rPr>
          <w:rFonts w:hint="eastAsia"/>
          <w:kern w:val="0"/>
          <w:szCs w:val="24"/>
        </w:rPr>
        <w:t>”</w:t>
      </w:r>
      <w:r>
        <w:rPr>
          <w:kern w:val="0"/>
          <w:szCs w:val="24"/>
        </w:rPr>
        <w:t>国际化战略，国家治理现代化建设，都催生了大量资产评估服务新需求，为资产评估行业带来了前所未有的良好发展机遇。可以说，资产评估作为商务服务业的重要组成部分，如一颗新星冉冉升起，日益灿烂夺目。2017年5月，资产评估师职业资格考试制度改革，放开了专业与工作年限限制，向广大年轻人尤其是在校大学生抛出橄榄枝。希望越来越多年轻人考取资产评估师职业资格，更希望资产评估能成为年轻人心目中的好工作，成为年轻人坚守一生的事业。市场经济越发达，资产评估的前景越广阔。</w:t>
      </w:r>
    </w:p>
    <w:p>
      <w:pPr>
        <w:pStyle w:val="5"/>
        <w:spacing w:before="93" w:after="93"/>
        <w:ind w:firstLine="560"/>
      </w:pPr>
      <w:r>
        <w:t>八、存在的问题及拟采取的对策措施</w:t>
      </w:r>
    </w:p>
    <w:p>
      <w:pPr>
        <w:pStyle w:val="33"/>
        <w:spacing w:line="400" w:lineRule="exact"/>
        <w:ind w:firstLine="240" w:firstLineChars="100"/>
        <w:rPr>
          <w:rFonts w:ascii="Times New Roman" w:hAnsi="Times New Roman" w:eastAsia="黑体" w:cs="Times New Roman"/>
          <w:color w:val="auto"/>
          <w:kern w:val="2"/>
        </w:rPr>
      </w:pPr>
      <w:r>
        <w:rPr>
          <w:rFonts w:ascii="Times New Roman" w:hAnsi="Times New Roman" w:eastAsia="黑体" w:cs="Times New Roman"/>
          <w:color w:val="auto"/>
          <w:kern w:val="2"/>
        </w:rPr>
        <w:t>（一）存在的主要问题</w:t>
      </w:r>
    </w:p>
    <w:p>
      <w:pPr>
        <w:pStyle w:val="33"/>
        <w:spacing w:line="400" w:lineRule="exact"/>
        <w:ind w:firstLine="480" w:firstLineChars="200"/>
        <w:rPr>
          <w:rFonts w:ascii="Times New Roman" w:hAnsi="Times New Roman" w:eastAsia="黑体" w:cs="Times New Roman"/>
          <w:color w:val="333333"/>
        </w:rPr>
      </w:pPr>
      <w:r>
        <w:rPr>
          <w:rFonts w:ascii="Times New Roman" w:hAnsi="Times New Roman" w:eastAsia="黑体" w:cs="Times New Roman"/>
          <w:color w:val="333333"/>
        </w:rPr>
        <w:t>1</w:t>
      </w:r>
      <w:r>
        <w:rPr>
          <w:rFonts w:hint="eastAsia" w:eastAsia="黑体" w:cs="Times New Roman"/>
        </w:rPr>
        <w:t xml:space="preserve">. </w:t>
      </w:r>
      <w:r>
        <w:rPr>
          <w:rFonts w:ascii="Times New Roman" w:hAnsi="Times New Roman" w:eastAsia="黑体" w:cs="Times New Roman"/>
          <w:color w:val="333333"/>
        </w:rPr>
        <w:t>资产评估专业师资弱</w:t>
      </w:r>
    </w:p>
    <w:p>
      <w:pPr>
        <w:autoSpaceDE w:val="0"/>
        <w:autoSpaceDN w:val="0"/>
        <w:adjustRightInd w:val="0"/>
        <w:ind w:firstLine="480" w:firstLineChars="200"/>
        <w:jc w:val="left"/>
        <w:rPr>
          <w:color w:val="333333"/>
          <w:kern w:val="0"/>
          <w:szCs w:val="24"/>
        </w:rPr>
      </w:pPr>
      <w:r>
        <w:rPr>
          <w:color w:val="333333"/>
          <w:kern w:val="0"/>
          <w:szCs w:val="24"/>
        </w:rPr>
        <w:t>资产评估专业设在会计系下，会计专业学生招生规模大，每一级近300人，8-10个教学班，资产评估专业差不多要2个班，而会计系教师（包括会计专业和资评专业）只有</w:t>
      </w:r>
      <w:r>
        <w:rPr>
          <w:kern w:val="0"/>
          <w:szCs w:val="24"/>
        </w:rPr>
        <w:t>14位，尤其是资评的专业老师非常奇缺，自2015年新上资产评估专业以来，一直没有资产评估专业的老师，资评专业的学生规模在加大，</w:t>
      </w:r>
      <w:r>
        <w:rPr>
          <w:color w:val="333333"/>
          <w:kern w:val="0"/>
          <w:szCs w:val="24"/>
        </w:rPr>
        <w:t>师资严重不足，有些时候，一位老师在同一学期要给本专业学生开设多门课程，影响教学效果。有</w:t>
      </w:r>
      <w:r>
        <w:rPr>
          <w:bCs/>
          <w:color w:val="000000"/>
          <w:szCs w:val="24"/>
        </w:rPr>
        <w:t>些课程像</w:t>
      </w:r>
      <w:r>
        <w:rPr>
          <w:bCs/>
          <w:szCs w:val="24"/>
        </w:rPr>
        <w:t>企业价值评估</w:t>
      </w:r>
      <w:r>
        <w:rPr>
          <w:bCs/>
          <w:color w:val="000000"/>
          <w:szCs w:val="24"/>
        </w:rPr>
        <w:t>、机电设备评估、</w:t>
      </w:r>
      <w:r>
        <w:rPr>
          <w:bCs/>
          <w:szCs w:val="24"/>
        </w:rPr>
        <w:t>房地产评估、无形资产评估</w:t>
      </w:r>
      <w:r>
        <w:rPr>
          <w:bCs/>
          <w:color w:val="000000"/>
          <w:szCs w:val="24"/>
        </w:rPr>
        <w:t>等</w:t>
      </w:r>
      <w:r>
        <w:rPr>
          <w:bCs/>
          <w:szCs w:val="24"/>
        </w:rPr>
        <w:t>专业核心课程</w:t>
      </w:r>
      <w:r>
        <w:rPr>
          <w:bCs/>
          <w:color w:val="000000"/>
          <w:szCs w:val="24"/>
        </w:rPr>
        <w:t>，由会计专业老师承担教学任务，教学中需要投入更多时间和精力。</w:t>
      </w:r>
    </w:p>
    <w:p>
      <w:pPr>
        <w:pStyle w:val="33"/>
        <w:spacing w:line="400" w:lineRule="exact"/>
        <w:ind w:firstLine="480" w:firstLineChars="200"/>
        <w:rPr>
          <w:rFonts w:ascii="Times New Roman" w:hAnsi="Times New Roman" w:eastAsia="黑体" w:cs="Times New Roman"/>
          <w:bCs/>
        </w:rPr>
      </w:pPr>
      <w:r>
        <w:rPr>
          <w:rFonts w:ascii="Times New Roman" w:hAnsi="Times New Roman" w:eastAsia="黑体" w:cs="Times New Roman"/>
          <w:bCs/>
        </w:rPr>
        <w:t>2</w:t>
      </w:r>
      <w:r>
        <w:rPr>
          <w:rFonts w:hint="eastAsia" w:eastAsia="黑体" w:cs="Times New Roman"/>
        </w:rPr>
        <w:t xml:space="preserve">. </w:t>
      </w:r>
      <w:r>
        <w:rPr>
          <w:rFonts w:ascii="Times New Roman" w:hAnsi="Times New Roman" w:eastAsia="黑体" w:cs="Times New Roman"/>
          <w:bCs/>
        </w:rPr>
        <w:t>资产评估专业教学能力需要加强</w:t>
      </w:r>
    </w:p>
    <w:p>
      <w:pPr>
        <w:pStyle w:val="33"/>
        <w:spacing w:line="400" w:lineRule="exact"/>
        <w:ind w:firstLine="480" w:firstLineChars="200"/>
        <w:rPr>
          <w:rFonts w:ascii="Times New Roman" w:hAnsi="Times New Roman" w:eastAsia="宋体" w:cs="Times New Roman"/>
          <w:bCs/>
        </w:rPr>
      </w:pPr>
      <w:r>
        <w:rPr>
          <w:rFonts w:ascii="Times New Roman" w:hAnsi="Times New Roman" w:eastAsia="宋体" w:cs="Times New Roman"/>
          <w:bCs/>
        </w:rPr>
        <w:t xml:space="preserve">资产评估专业作为新上专业，有很多新开设的课程，理论知识多，专业老师不足，需要老师投入更多的精力，有的课程对工科要求高，计算量大，学生学习难度大，需要老师调整教学方法，培养学生的学习兴趣。 </w:t>
      </w:r>
    </w:p>
    <w:p>
      <w:pPr>
        <w:pStyle w:val="33"/>
        <w:spacing w:line="400" w:lineRule="exact"/>
        <w:ind w:firstLine="480" w:firstLineChars="200"/>
        <w:rPr>
          <w:rFonts w:ascii="Times New Roman" w:hAnsi="Times New Roman" w:eastAsia="黑体" w:cs="Times New Roman"/>
          <w:color w:val="auto"/>
          <w:kern w:val="2"/>
        </w:rPr>
      </w:pPr>
      <w:r>
        <w:rPr>
          <w:rFonts w:ascii="Times New Roman" w:hAnsi="Times New Roman" w:eastAsia="黑体" w:cs="Times New Roman"/>
          <w:color w:val="auto"/>
          <w:kern w:val="2"/>
        </w:rPr>
        <w:t>3</w:t>
      </w:r>
      <w:r>
        <w:rPr>
          <w:rFonts w:hint="eastAsia" w:eastAsia="黑体" w:cs="Times New Roman"/>
        </w:rPr>
        <w:t xml:space="preserve">. </w:t>
      </w:r>
      <w:r>
        <w:rPr>
          <w:rFonts w:ascii="Times New Roman" w:hAnsi="Times New Roman" w:eastAsia="黑体" w:cs="Times New Roman"/>
          <w:color w:val="auto"/>
          <w:kern w:val="2"/>
        </w:rPr>
        <w:t>对实践课程重视程度不够</w:t>
      </w:r>
    </w:p>
    <w:p>
      <w:pPr>
        <w:pStyle w:val="33"/>
        <w:spacing w:line="400" w:lineRule="exact"/>
        <w:ind w:firstLine="240" w:firstLineChars="100"/>
        <w:rPr>
          <w:rFonts w:ascii="Times New Roman" w:hAnsi="Times New Roman" w:eastAsia="黑体" w:cs="Times New Roman"/>
          <w:color w:val="auto"/>
          <w:kern w:val="2"/>
        </w:rPr>
      </w:pPr>
      <w:r>
        <w:rPr>
          <w:rFonts w:ascii="Times New Roman" w:hAnsi="Times New Roman" w:eastAsia="宋体" w:cs="Times New Roman"/>
        </w:rPr>
        <w:t>资产评估专业是对学生的实际操作能力要求很强的专业，现行教学中重理论、轻实践。我们已经在培养方案和教学大纲安排上特意重视实践教学环节了，但仍存在较大问题：（1）专业教师实践经验缺乏。实践教学任务是由会计专业老师承担，并且多数老师都是从学校毕业直接进高校教书，基本没有实践经验；再加上教学任务重，无法积极参加技能培训或进入事务所实践。教师实践技能的缺乏必然造成学生实践技能的不足；（2）教学软件使用效率低；近几年，学校加大了教学经费力度，教学软件随之更新较快，但是，由于缺乏精通软件使用人员，使用率偏低；（3）学校建设实习基地不足，专业实习机会不多。由于学生数量偏多，学校、学院挂牌建设的实习基地不能满足需求。大多数学生实习都是依靠专业课老师私人关系和学生自己联系实习单位完成实习任务。</w:t>
      </w:r>
    </w:p>
    <w:p>
      <w:pPr>
        <w:pStyle w:val="33"/>
        <w:spacing w:line="400" w:lineRule="exact"/>
        <w:ind w:firstLine="240" w:firstLineChars="100"/>
        <w:rPr>
          <w:rFonts w:ascii="Times New Roman" w:hAnsi="Times New Roman" w:eastAsia="黑体" w:cs="Times New Roman"/>
          <w:color w:val="auto"/>
          <w:kern w:val="2"/>
        </w:rPr>
      </w:pPr>
      <w:r>
        <w:rPr>
          <w:rFonts w:ascii="Times New Roman" w:hAnsi="Times New Roman" w:eastAsia="黑体" w:cs="Times New Roman"/>
          <w:color w:val="auto"/>
          <w:kern w:val="2"/>
        </w:rPr>
        <w:t>（二）拟采取的对策措施</w:t>
      </w:r>
    </w:p>
    <w:p>
      <w:pPr>
        <w:pStyle w:val="33"/>
        <w:spacing w:line="400" w:lineRule="exact"/>
        <w:ind w:firstLine="480" w:firstLineChars="200"/>
        <w:jc w:val="both"/>
        <w:rPr>
          <w:rFonts w:ascii="Times New Roman" w:hAnsi="Times New Roman" w:eastAsia="黑体" w:cs="Times New Roman"/>
        </w:rPr>
      </w:pPr>
      <w:r>
        <w:rPr>
          <w:rFonts w:ascii="Times New Roman" w:hAnsi="Times New Roman" w:eastAsia="黑体" w:cs="Times New Roman"/>
        </w:rPr>
        <w:t>1</w:t>
      </w:r>
      <w:r>
        <w:rPr>
          <w:rFonts w:hint="eastAsia" w:eastAsia="黑体" w:cs="Times New Roman"/>
        </w:rPr>
        <w:t xml:space="preserve">. </w:t>
      </w:r>
      <w:r>
        <w:rPr>
          <w:rFonts w:ascii="Times New Roman" w:hAnsi="Times New Roman" w:eastAsia="黑体" w:cs="Times New Roman"/>
        </w:rPr>
        <w:t>强化师资力量，提升教学科研水平</w:t>
      </w:r>
    </w:p>
    <w:p>
      <w:pPr>
        <w:pStyle w:val="33"/>
        <w:spacing w:line="400" w:lineRule="exact"/>
        <w:ind w:firstLine="480" w:firstLineChars="200"/>
        <w:jc w:val="both"/>
        <w:rPr>
          <w:rFonts w:ascii="Times New Roman" w:hAnsi="Times New Roman" w:eastAsia="宋体" w:cs="Times New Roman"/>
          <w:color w:val="auto"/>
          <w:kern w:val="2"/>
        </w:rPr>
      </w:pPr>
      <w:r>
        <w:rPr>
          <w:rFonts w:ascii="Times New Roman" w:hAnsi="Times New Roman" w:eastAsia="宋体" w:cs="Times New Roman"/>
          <w:lang w:bidi="ar"/>
        </w:rPr>
        <w:t>通过</w:t>
      </w:r>
      <w:r>
        <w:rPr>
          <w:rFonts w:hint="eastAsia" w:ascii="Times New Roman" w:hAnsi="Times New Roman" w:eastAsia="宋体" w:cs="Times New Roman"/>
          <w:lang w:bidi="ar"/>
        </w:rPr>
        <w:t>“</w:t>
      </w:r>
      <w:r>
        <w:rPr>
          <w:rFonts w:ascii="Times New Roman" w:hAnsi="Times New Roman" w:eastAsia="宋体" w:cs="Times New Roman"/>
          <w:lang w:bidi="ar"/>
        </w:rPr>
        <w:t>引培结合</w:t>
      </w:r>
      <w:r>
        <w:rPr>
          <w:rFonts w:hint="eastAsia" w:ascii="Times New Roman" w:hAnsi="Times New Roman" w:eastAsia="宋体" w:cs="Times New Roman"/>
          <w:lang w:bidi="ar"/>
        </w:rPr>
        <w:t>”</w:t>
      </w:r>
      <w:r>
        <w:rPr>
          <w:rFonts w:ascii="Times New Roman" w:hAnsi="Times New Roman" w:eastAsia="宋体" w:cs="Times New Roman"/>
          <w:lang w:bidi="ar"/>
        </w:rPr>
        <w:t>方式增加高层次人才引进和培养力度，提升高水平师资占比；</w:t>
      </w:r>
      <w:r>
        <w:rPr>
          <w:rFonts w:ascii="Times New Roman" w:hAnsi="Times New Roman" w:eastAsia="宋体" w:cs="Times New Roman"/>
          <w:kern w:val="2"/>
        </w:rPr>
        <w:t>基于培养资产评估专业博士点的学校非常有限，可以考虑招聘一流财经院校的资产评估专业硕士生来校任教。</w:t>
      </w:r>
      <w:r>
        <w:rPr>
          <w:rFonts w:ascii="Times New Roman" w:hAnsi="Times New Roman" w:eastAsia="宋体" w:cs="Times New Roman"/>
          <w:lang w:bidi="ar"/>
        </w:rPr>
        <w:t>充分利用社会资源，加大</w:t>
      </w:r>
      <w:r>
        <w:rPr>
          <w:rFonts w:hint="eastAsia" w:ascii="Times New Roman" w:hAnsi="Times New Roman" w:eastAsia="宋体" w:cs="Times New Roman"/>
          <w:lang w:bidi="ar"/>
        </w:rPr>
        <w:t>“</w:t>
      </w:r>
      <w:r>
        <w:rPr>
          <w:rFonts w:ascii="Times New Roman" w:hAnsi="Times New Roman" w:eastAsia="宋体" w:cs="Times New Roman"/>
          <w:lang w:bidi="ar"/>
        </w:rPr>
        <w:t>双师型</w:t>
      </w:r>
      <w:r>
        <w:rPr>
          <w:rFonts w:hint="eastAsia" w:ascii="Times New Roman" w:hAnsi="Times New Roman" w:eastAsia="宋体" w:cs="Times New Roman"/>
          <w:lang w:bidi="ar"/>
        </w:rPr>
        <w:t>”</w:t>
      </w:r>
      <w:r>
        <w:rPr>
          <w:rFonts w:ascii="Times New Roman" w:hAnsi="Times New Roman" w:eastAsia="宋体" w:cs="Times New Roman"/>
          <w:lang w:bidi="ar"/>
        </w:rPr>
        <w:t>师资培养，</w:t>
      </w:r>
      <w:r>
        <w:rPr>
          <w:rFonts w:ascii="Times New Roman" w:hAnsi="Times New Roman" w:eastAsia="宋体" w:cs="Times New Roman"/>
        </w:rPr>
        <w:t>进一步优化教师队伍建设，</w:t>
      </w:r>
      <w:r>
        <w:rPr>
          <w:rFonts w:ascii="Times New Roman" w:hAnsi="Times New Roman" w:eastAsia="宋体" w:cs="Times New Roman"/>
          <w:lang w:bidi="ar"/>
        </w:rPr>
        <w:t>提升整体师资水平。</w:t>
      </w:r>
    </w:p>
    <w:p>
      <w:pPr>
        <w:pStyle w:val="33"/>
        <w:spacing w:line="400" w:lineRule="exact"/>
        <w:ind w:firstLine="480" w:firstLineChars="200"/>
        <w:jc w:val="both"/>
        <w:rPr>
          <w:rFonts w:ascii="Times New Roman" w:hAnsi="Times New Roman" w:eastAsia="黑体" w:cs="Times New Roman"/>
          <w:color w:val="auto"/>
          <w:kern w:val="2"/>
        </w:rPr>
      </w:pPr>
      <w:r>
        <w:rPr>
          <w:rFonts w:ascii="Times New Roman" w:hAnsi="Times New Roman" w:eastAsia="黑体" w:cs="Times New Roman"/>
          <w:color w:val="auto"/>
          <w:kern w:val="2"/>
        </w:rPr>
        <w:t>2</w:t>
      </w:r>
      <w:r>
        <w:rPr>
          <w:rFonts w:hint="eastAsia" w:eastAsia="黑体" w:cs="Times New Roman"/>
        </w:rPr>
        <w:t xml:space="preserve">. </w:t>
      </w:r>
      <w:r>
        <w:rPr>
          <w:rFonts w:ascii="Times New Roman" w:hAnsi="Times New Roman" w:eastAsia="黑体" w:cs="Times New Roman"/>
          <w:color w:val="auto"/>
          <w:kern w:val="2"/>
        </w:rPr>
        <w:t>大力进行内涵建设——教材、资源库、说课、微课、精品课</w:t>
      </w:r>
    </w:p>
    <w:p>
      <w:pPr>
        <w:pStyle w:val="33"/>
        <w:spacing w:line="400" w:lineRule="exact"/>
        <w:ind w:firstLine="480" w:firstLineChars="200"/>
        <w:jc w:val="both"/>
        <w:rPr>
          <w:rFonts w:ascii="Times New Roman" w:hAnsi="Times New Roman" w:eastAsia="宋体" w:cs="Times New Roman"/>
          <w:color w:val="auto"/>
          <w:kern w:val="2"/>
        </w:rPr>
      </w:pPr>
      <w:r>
        <w:rPr>
          <w:rFonts w:ascii="Times New Roman" w:hAnsi="Times New Roman" w:eastAsia="宋体" w:cs="Times New Roman"/>
          <w:color w:val="auto"/>
          <w:kern w:val="2"/>
        </w:rPr>
        <w:t>加强教材配套建设，以及对应的精品课、资源库建设等。进行教学方式探索，包括：PPT、flash、动漫、说课、微课等。这些教学内容、教学方法的改革措施目的是为了增加学生学习兴趣 、让学生听懂、学会。</w:t>
      </w:r>
    </w:p>
    <w:p>
      <w:pPr>
        <w:pStyle w:val="33"/>
        <w:spacing w:line="400" w:lineRule="exact"/>
        <w:ind w:firstLine="480" w:firstLineChars="200"/>
        <w:jc w:val="both"/>
        <w:rPr>
          <w:rFonts w:ascii="Times New Roman" w:hAnsi="Times New Roman" w:eastAsia="黑体" w:cs="Times New Roman"/>
          <w:color w:val="auto"/>
          <w:kern w:val="2"/>
        </w:rPr>
      </w:pPr>
      <w:r>
        <w:rPr>
          <w:rFonts w:ascii="Times New Roman" w:hAnsi="Times New Roman" w:eastAsia="黑体" w:cs="Times New Roman"/>
          <w:color w:val="auto"/>
          <w:kern w:val="2"/>
        </w:rPr>
        <w:t>3</w:t>
      </w:r>
      <w:r>
        <w:rPr>
          <w:rFonts w:hint="eastAsia" w:eastAsia="黑体" w:cs="Times New Roman"/>
        </w:rPr>
        <w:t xml:space="preserve">. </w:t>
      </w:r>
      <w:r>
        <w:rPr>
          <w:rFonts w:ascii="Times New Roman" w:hAnsi="Times New Roman" w:eastAsia="黑体" w:cs="Times New Roman"/>
          <w:color w:val="auto"/>
          <w:kern w:val="2"/>
        </w:rPr>
        <w:t>加强各项实践技能的培养</w:t>
      </w:r>
    </w:p>
    <w:p>
      <w:pPr>
        <w:pStyle w:val="33"/>
        <w:spacing w:line="400" w:lineRule="exact"/>
        <w:ind w:firstLine="480" w:firstLineChars="200"/>
        <w:jc w:val="both"/>
        <w:rPr>
          <w:rFonts w:ascii="Times New Roman" w:hAnsi="Times New Roman" w:eastAsia="宋体" w:cs="Times New Roman"/>
          <w:color w:val="auto"/>
          <w:kern w:val="2"/>
        </w:rPr>
      </w:pPr>
      <w:r>
        <w:rPr>
          <w:rFonts w:ascii="Times New Roman" w:hAnsi="Times New Roman" w:eastAsia="宋体" w:cs="Times New Roman"/>
          <w:color w:val="auto"/>
          <w:kern w:val="2"/>
        </w:rPr>
        <w:t>加强人才培养模式中实践教学，改变过去理论为主，实践为辅的培养模式。</w:t>
      </w:r>
    </w:p>
    <w:p>
      <w:pPr>
        <w:pStyle w:val="33"/>
        <w:spacing w:line="400" w:lineRule="exact"/>
        <w:ind w:firstLine="480" w:firstLineChars="200"/>
        <w:rPr>
          <w:rFonts w:ascii="Times New Roman" w:hAnsi="Times New Roman" w:eastAsia="宋体" w:cs="Times New Roman"/>
          <w:color w:val="auto"/>
          <w:kern w:val="2"/>
        </w:rPr>
      </w:pPr>
      <w:r>
        <w:rPr>
          <w:rFonts w:ascii="Times New Roman" w:hAnsi="Times New Roman" w:eastAsia="宋体" w:cs="Times New Roman"/>
          <w:color w:val="auto"/>
          <w:kern w:val="2"/>
        </w:rPr>
        <w:t>第一，提高教师实践技能水平。一是走出去，让老师外出学习或培训。由系骨干教师去本专业排名靠前的高校</w:t>
      </w:r>
      <w:r>
        <w:rPr>
          <w:rFonts w:hint="eastAsia" w:ascii="Times New Roman" w:hAnsi="Times New Roman" w:eastAsia="宋体" w:cs="Times New Roman"/>
          <w:color w:val="auto"/>
          <w:kern w:val="2"/>
        </w:rPr>
        <w:t>“</w:t>
      </w:r>
      <w:r>
        <w:rPr>
          <w:rFonts w:ascii="Times New Roman" w:hAnsi="Times New Roman" w:eastAsia="宋体" w:cs="Times New Roman"/>
          <w:color w:val="auto"/>
          <w:kern w:val="2"/>
        </w:rPr>
        <w:t>取经</w:t>
      </w:r>
      <w:r>
        <w:rPr>
          <w:rFonts w:hint="eastAsia" w:ascii="Times New Roman" w:hAnsi="Times New Roman" w:eastAsia="宋体" w:cs="Times New Roman"/>
          <w:color w:val="auto"/>
          <w:kern w:val="2"/>
        </w:rPr>
        <w:t>”</w:t>
      </w:r>
      <w:r>
        <w:rPr>
          <w:rFonts w:ascii="Times New Roman" w:hAnsi="Times New Roman" w:eastAsia="宋体" w:cs="Times New Roman"/>
          <w:color w:val="auto"/>
          <w:kern w:val="2"/>
        </w:rPr>
        <w:t>，注意学习吸收其他院校的已有成功经验。二是请进来，请外面的专家教授相关技能，或者让已有成果的毕业生作经验介绍。</w:t>
      </w:r>
    </w:p>
    <w:p>
      <w:pPr>
        <w:pStyle w:val="33"/>
        <w:spacing w:line="400" w:lineRule="exact"/>
        <w:ind w:firstLine="480" w:firstLineChars="200"/>
        <w:rPr>
          <w:rFonts w:ascii="Times New Roman" w:hAnsi="Times New Roman" w:eastAsia="宋体" w:cs="Times New Roman"/>
          <w:color w:val="auto"/>
          <w:kern w:val="2"/>
        </w:rPr>
      </w:pPr>
      <w:r>
        <w:rPr>
          <w:rFonts w:ascii="Times New Roman" w:hAnsi="Times New Roman" w:eastAsia="宋体" w:cs="Times New Roman"/>
          <w:color w:val="auto"/>
          <w:kern w:val="2"/>
        </w:rPr>
        <w:t>第二，提高教学软件利用率。利用年轻老师热情、容易接受新事物、好学的特点，培养系里年轻老师掌握操作教学软件的使用水平，以提高软件利用率。</w:t>
      </w:r>
    </w:p>
    <w:p>
      <w:pPr>
        <w:pStyle w:val="33"/>
        <w:spacing w:line="400" w:lineRule="exact"/>
        <w:ind w:firstLine="480" w:firstLineChars="200"/>
        <w:rPr>
          <w:rFonts w:ascii="Times New Roman" w:hAnsi="Times New Roman" w:eastAsia="宋体" w:cs="Times New Roman"/>
          <w:color w:val="auto"/>
          <w:kern w:val="2"/>
        </w:rPr>
      </w:pPr>
      <w:r>
        <w:rPr>
          <w:rFonts w:ascii="Times New Roman" w:hAnsi="Times New Roman" w:eastAsia="宋体" w:cs="Times New Roman"/>
          <w:color w:val="auto"/>
          <w:kern w:val="2"/>
        </w:rPr>
        <w:t>第三，加强校内外实习基地的建设。一方面加强与评估所及企业的沟通与联系，进行合作办学，增加实习基地，尽可能安排学生实习。 另一面可以创办专业实体，在专业实体内完成项目实训。结合实训，顶岗培训等环节的实践，并通过老师的指导和管理，加强保障学生的实训效果。</w:t>
      </w:r>
    </w:p>
    <w:p>
      <w:pPr>
        <w:pStyle w:val="33"/>
        <w:spacing w:line="400" w:lineRule="exact"/>
        <w:ind w:firstLine="480" w:firstLineChars="200"/>
        <w:rPr>
          <w:rFonts w:ascii="Times New Roman" w:hAnsi="Times New Roman" w:eastAsia="仿宋" w:cs="Times New Roman"/>
          <w:color w:val="auto"/>
          <w:kern w:val="2"/>
        </w:rPr>
      </w:pPr>
      <w:r>
        <w:rPr>
          <w:rFonts w:ascii="Times New Roman" w:hAnsi="Times New Roman" w:eastAsia="宋体" w:cs="Times New Roman"/>
          <w:color w:val="auto"/>
          <w:kern w:val="2"/>
        </w:rPr>
        <w:t>第四，定期邀请理论界和实务界专家对本专业学生开展报告类活动。通过报告，让学生理论与实务界专家直接对话交流，了解学科前沿，与企业接触，了解企业，了解实践，理论联系实际。从而也能更好地根据社会需要，来改进和完善自己的学习。</w:t>
      </w:r>
    </w:p>
    <w:p>
      <w:pPr>
        <w:pStyle w:val="33"/>
        <w:ind w:firstLine="480" w:firstLineChars="200"/>
        <w:rPr>
          <w:rFonts w:ascii="Times New Roman" w:hAnsi="Times New Roman" w:eastAsia="仿宋" w:cs="Times New Roman"/>
          <w:color w:val="auto"/>
          <w:kern w:val="2"/>
        </w:rPr>
      </w:pPr>
    </w:p>
    <w:p>
      <w:r>
        <w:br w:type="page"/>
      </w:r>
    </w:p>
    <w:p>
      <w:pPr>
        <w:pStyle w:val="4"/>
        <w:ind w:firstLine="600"/>
      </w:pPr>
      <w:bookmarkStart w:id="432" w:name="_Toc30080"/>
      <w:bookmarkStart w:id="433" w:name="_Toc31968"/>
      <w:bookmarkStart w:id="434" w:name="_Toc11467"/>
      <w:bookmarkStart w:id="435" w:name="_Toc19538"/>
      <w:bookmarkStart w:id="436" w:name="_Toc15292"/>
      <w:bookmarkStart w:id="437" w:name="_Toc14292"/>
      <w:bookmarkStart w:id="438" w:name="_Toc9165"/>
      <w:bookmarkStart w:id="439" w:name="_Toc15742"/>
      <w:bookmarkStart w:id="440" w:name="_Toc1424"/>
      <w:bookmarkStart w:id="441" w:name="_Toc600"/>
      <w:r>
        <w:rPr>
          <w:rFonts w:hint="eastAsia"/>
          <w:lang w:val="en-US"/>
        </w:rPr>
        <w:t>专业四十二：</w:t>
      </w:r>
      <w:r>
        <w:t>农林经济管理</w:t>
      </w:r>
      <w:bookmarkEnd w:id="432"/>
      <w:bookmarkEnd w:id="433"/>
      <w:bookmarkEnd w:id="434"/>
      <w:bookmarkEnd w:id="435"/>
      <w:bookmarkEnd w:id="436"/>
      <w:bookmarkEnd w:id="437"/>
      <w:bookmarkEnd w:id="438"/>
      <w:bookmarkEnd w:id="439"/>
      <w:bookmarkEnd w:id="440"/>
    </w:p>
    <w:p>
      <w:pPr>
        <w:pStyle w:val="5"/>
        <w:spacing w:before="93" w:after="93"/>
        <w:ind w:firstLine="560"/>
      </w:pPr>
      <w:r>
        <w:t>一、人才培养目标</w:t>
      </w:r>
      <w:bookmarkEnd w:id="441"/>
    </w:p>
    <w:p>
      <w:pPr>
        <w:ind w:firstLine="480"/>
      </w:pPr>
      <w:r>
        <w:t>本专业培养具有系统的经济科学与管理科学的基础理论，掌握农（林）业经济管理的基本知识和技能，能在各类涉农（林）企业、各级政府部门、教育科研单位从事经营管理、市场营销、行政管理、金融、财会、教学、科研等工作的应用型、复合型高级专门人才。其应主要获取的知识和能力如下：</w:t>
      </w:r>
    </w:p>
    <w:p>
      <w:pPr>
        <w:ind w:firstLine="480"/>
      </w:pPr>
      <w:r>
        <w:t>1．掌握现代经济学和管理学的基本理论与方法，具有相关的农林业科学知识和较宽广的人文社会科学知识；</w:t>
      </w:r>
    </w:p>
    <w:p>
      <w:pPr>
        <w:ind w:firstLine="480"/>
      </w:pPr>
      <w:r>
        <w:t>2．掌握农业产业经济、涉农企业经营管理、技术经济分析与社会经济调查等基本技能；</w:t>
      </w:r>
    </w:p>
    <w:p>
      <w:pPr>
        <w:ind w:firstLine="480"/>
      </w:pPr>
      <w:r>
        <w:t>3．熟悉国内农业经济管理制度、政策与法律法规，了解国际相关农业经济管理制度与发展规律，掌握国际前沿问题；</w:t>
      </w:r>
    </w:p>
    <w:p>
      <w:pPr>
        <w:ind w:firstLine="480"/>
      </w:pPr>
      <w:r>
        <w:t>4. 具有计算机应用和信息处理的基本能力，具有一定的学术语言表达能力和外语应用能力；具备分析和解决农林经济管理实际问题、从事农林经济管理相关工作的实践能力；</w:t>
      </w:r>
    </w:p>
    <w:p>
      <w:pPr>
        <w:ind w:firstLine="480"/>
      </w:pPr>
      <w:r>
        <w:t>5. 具备国内外文献检索、资料查询的能力，具有较强的实际工作和科学研究能力。</w:t>
      </w:r>
    </w:p>
    <w:p>
      <w:pPr>
        <w:pStyle w:val="5"/>
        <w:spacing w:before="93" w:after="93"/>
        <w:ind w:firstLine="560"/>
      </w:pPr>
      <w:bookmarkStart w:id="442" w:name="_Toc6835"/>
      <w:r>
        <w:t>二、培养能力（专业设置情况、在校生规模、课程设置情况、创新创业教育等）</w:t>
      </w:r>
      <w:bookmarkEnd w:id="442"/>
    </w:p>
    <w:p>
      <w:pPr>
        <w:ind w:firstLine="482"/>
        <w:rPr>
          <w:rFonts w:eastAsia="黑体"/>
          <w:bCs/>
        </w:rPr>
      </w:pPr>
      <w:r>
        <w:rPr>
          <w:rFonts w:eastAsia="黑体"/>
          <w:bCs/>
        </w:rPr>
        <w:t>1.专业设置情况</w:t>
      </w:r>
    </w:p>
    <w:p>
      <w:pPr>
        <w:ind w:firstLine="480"/>
        <w:rPr>
          <w:bCs/>
        </w:rPr>
      </w:pPr>
      <w:r>
        <w:rPr>
          <w:bCs/>
        </w:rPr>
        <w:t>农林经济管理专业是我校具有传统优势的专业，是山东省特色专业。1960年正式设立山东农学院农业经济系并招收两届农业经济管理专业本科生，1962年院系调整时撤销农业经济系保留了农业经济管理专业。</w:t>
      </w:r>
      <w:r>
        <w:rPr>
          <w:rFonts w:hint="eastAsia"/>
          <w:bCs/>
        </w:rPr>
        <w:t>“</w:t>
      </w:r>
      <w:r>
        <w:rPr>
          <w:bCs/>
        </w:rPr>
        <w:t>文革</w:t>
      </w:r>
      <w:r>
        <w:rPr>
          <w:rFonts w:hint="eastAsia"/>
          <w:bCs/>
        </w:rPr>
        <w:t>”</w:t>
      </w:r>
      <w:r>
        <w:rPr>
          <w:bCs/>
        </w:rPr>
        <w:t>期间停止招生，1978年农业经济系恢复并连续招生农业经济管理专业至今，已毕业41届2415名毕业生，目前大部分毕业生已成为经济社会建设的领导者与骨干力量。</w:t>
      </w:r>
    </w:p>
    <w:p>
      <w:pPr>
        <w:ind w:firstLine="482"/>
        <w:rPr>
          <w:rFonts w:eastAsia="黑体"/>
          <w:bCs/>
        </w:rPr>
      </w:pPr>
      <w:r>
        <w:rPr>
          <w:rFonts w:eastAsia="黑体"/>
          <w:bCs/>
        </w:rPr>
        <w:t>2.在校生规模情况</w:t>
      </w:r>
    </w:p>
    <w:p>
      <w:pPr>
        <w:ind w:firstLine="480"/>
        <w:rPr>
          <w:bCs/>
        </w:rPr>
      </w:pPr>
      <w:r>
        <w:rPr>
          <w:bCs/>
        </w:rPr>
        <w:t>目前本专业在校生人数547人（含公费农科生203人），其中普通农林经济管理专业在校生344人，2019级83人、2020级76人、2021级85人、2022级100人，公费农科生</w:t>
      </w:r>
      <w:r>
        <w:rPr>
          <w:rFonts w:hint="eastAsia"/>
          <w:bCs/>
        </w:rPr>
        <w:t>，</w:t>
      </w:r>
      <w:r>
        <w:rPr>
          <w:bCs/>
        </w:rPr>
        <w:t>203人，2019级58人、2020级69人、2021级49人、2022级27人，招生人数逐年增加。此外，自2018年开始，根据省委组织部等6部门《关于印发山东省基层农技推广人才定向培养工作实施办法的通知》（鲁农科技字〔2018〕11号）精神，启动实施公费农科生招生（农林经济管理专业全省唯一一家），学费、住宿费国家财政负担，学生毕业后带编制到基层农技推广机构工作。2018年招收一个班30人，2019年招收两个班61人，2020级招收两个班69人，2021级招收两个班49人，2022级招收一个班27人，普通农林经济管理专业学生100人。</w:t>
      </w:r>
    </w:p>
    <w:p>
      <w:pPr>
        <w:ind w:firstLine="482"/>
        <w:rPr>
          <w:rFonts w:eastAsia="黑体"/>
          <w:bCs/>
        </w:rPr>
      </w:pPr>
      <w:r>
        <w:rPr>
          <w:rFonts w:eastAsia="黑体"/>
          <w:bCs/>
        </w:rPr>
        <w:t>3.课程设置情况</w:t>
      </w:r>
    </w:p>
    <w:p>
      <w:pPr>
        <w:ind w:firstLine="480"/>
        <w:rPr>
          <w:bCs/>
        </w:rPr>
      </w:pPr>
      <w:r>
        <w:rPr>
          <w:bCs/>
        </w:rPr>
        <w:t>主要课程：农业政策学、农业经济学、西方经济学、管理学原理、统计学、会计学、市场营销学、财务管理、货币银行学、经济法、林业经济管理、农业技术经济学、财政学等。按照学校要求对2022级及以后培养方案进行了修订。培养方案修订后，增加了专业综合实验的课时和部分专业课程，减少了部分课的学时。对公费农科生，单独设立培养方案，增加实践环节，加强实践能力培养。</w:t>
      </w:r>
    </w:p>
    <w:p>
      <w:pPr>
        <w:ind w:firstLine="482"/>
        <w:rPr>
          <w:rFonts w:eastAsia="黑体"/>
          <w:bCs/>
        </w:rPr>
      </w:pPr>
      <w:r>
        <w:rPr>
          <w:rFonts w:eastAsia="黑体"/>
          <w:bCs/>
        </w:rPr>
        <w:t>4.创新创业教育</w:t>
      </w:r>
    </w:p>
    <w:p>
      <w:pPr>
        <w:ind w:firstLine="480"/>
      </w:pPr>
      <w:r>
        <w:rPr>
          <w:bCs/>
        </w:rPr>
        <w:t>创新创业教育方面，2022年以前实行专业负责制，组织学生进行创新创业活动，从2022年开始，为加强人才自主培养，优化人才培养模式，把创新创业教育融入人才培养全过程，提升大学生创新创业能力，为推动高质量发展提供人才支撑，本专业实行导师负责制。指导教师是学生创新创业</w:t>
      </w:r>
      <w:r>
        <w:t>实践环节教学第一责任人，负责指导学生按要求独立开展创新创业实践活动。学生自主选择创新创业实践形式，在毕业前完成创新创业实践环节。另外，为鼓励创新创业实践，还建立了学院大学生创新创业中心。</w:t>
      </w:r>
    </w:p>
    <w:p>
      <w:pPr>
        <w:pStyle w:val="5"/>
        <w:spacing w:before="93" w:after="93"/>
        <w:ind w:firstLine="560"/>
      </w:pPr>
      <w:bookmarkStart w:id="443" w:name="_Toc13514"/>
      <w:r>
        <w:t>三、培养条件（教学经费投入、教学设备、教师队伍建设、实习基地、现代教学技术应用等）</w:t>
      </w:r>
      <w:bookmarkEnd w:id="443"/>
    </w:p>
    <w:p>
      <w:pPr>
        <w:pStyle w:val="6"/>
        <w:ind w:firstLine="480"/>
      </w:pPr>
      <w:r>
        <w:t>1. 教学经费投入情况</w:t>
      </w:r>
    </w:p>
    <w:p>
      <w:pPr>
        <w:ind w:firstLine="480"/>
      </w:pPr>
      <w:r>
        <w:t>2011年：共70万元，其中农林经济管理一级博士点学科建设经费15万元，农林经济管理博士后流动站建设经费25万元，争取中央、山东省建设经费30万元，自筹专业建设经费15万元。主要用于学科建设、基地建设、充实实验室及资料室，引进人才。</w:t>
      </w:r>
    </w:p>
    <w:p>
      <w:pPr>
        <w:ind w:firstLine="480"/>
      </w:pPr>
      <w:r>
        <w:t>2012年：共80万元，其中农林经济管理一级博士点学科建设经费15万元，农林经济管理博士后流动站建设经费25万元，山东省名校工程建设经费30万元，自筹专业建设经费10万元。主要用于学科建设、基地建设、充实实验室及资料室，引进人才。</w:t>
      </w:r>
    </w:p>
    <w:p>
      <w:pPr>
        <w:ind w:firstLine="480"/>
      </w:pPr>
      <w:r>
        <w:t>2013年：共65万元，其中省人文社科农村经济管理建设经费10万元，农林经济管理博士后流动站建设经费15万元，山东省名校工程建设经费30万元，自筹专业建设经费10万元。主要用于学科建设、基地建设、充实实验室及资料室，引进人才。</w:t>
      </w:r>
    </w:p>
    <w:p>
      <w:pPr>
        <w:ind w:firstLine="480"/>
      </w:pPr>
      <w:r>
        <w:t>2014年：共60万元。主要是山东省名校工程建设经费60万元，用于学科建设、基地建设、充实实验室及资料室，引进人才。</w:t>
      </w:r>
    </w:p>
    <w:p>
      <w:pPr>
        <w:ind w:firstLine="480"/>
      </w:pPr>
      <w:r>
        <w:t>2015年：共70万元。主要是山东省名校工程建设经费，用于学科建设、基地建设、充实实验室及资料室，引进人才。</w:t>
      </w:r>
    </w:p>
    <w:p>
      <w:pPr>
        <w:ind w:firstLine="480"/>
      </w:pPr>
      <w:r>
        <w:t>2016年：共80万元。主要是山东省名校工程建设经费，用于学科建设、基地建设、充实实验室及资料室，引进人才。</w:t>
      </w:r>
    </w:p>
    <w:p>
      <w:pPr>
        <w:ind w:firstLine="480"/>
        <w:rPr>
          <w:color w:val="000000"/>
          <w:szCs w:val="24"/>
        </w:rPr>
      </w:pPr>
      <w:r>
        <w:rPr>
          <w:color w:val="000000"/>
          <w:szCs w:val="24"/>
        </w:rPr>
        <w:t>2017-2018年：年均投入教学经费85万元，主要是山东省名校工程建设经费，用于学科建设、基地建设、充实实验室及资料室，引进人才。为进一步落实育人为本办学理念，调动教师投身教学和人才培养工作的积极性，作为学校学科建设大讨论重要成果之一，学校设立年度教学杰出教师奖，表彰和奖励在教学与人才培养工作中做出突出贡献的一线教师。奖励额度较大，每人5万元。学院也每年资助（人均至少3000元）老师外出开会、学习，增强业务能力。同时，学院还资助学生开展SRT项目，每项500元。</w:t>
      </w:r>
    </w:p>
    <w:p>
      <w:pPr>
        <w:widowControl/>
        <w:ind w:firstLine="480"/>
        <w:jc w:val="left"/>
        <w:rPr>
          <w:color w:val="000000"/>
          <w:szCs w:val="24"/>
        </w:rPr>
      </w:pPr>
      <w:r>
        <w:rPr>
          <w:color w:val="000000"/>
          <w:szCs w:val="24"/>
        </w:rPr>
        <w:t>2019-2022年，开始建设农大经管片区农经教学实验室，投入200万元改善实验条件，建立农经VR实验室，加强实验教学效果，目前实验室已投入使用。</w:t>
      </w:r>
    </w:p>
    <w:p>
      <w:pPr>
        <w:widowControl/>
        <w:ind w:firstLine="480"/>
        <w:jc w:val="left"/>
      </w:pPr>
      <w:r>
        <w:rPr>
          <w:color w:val="000000"/>
          <w:szCs w:val="24"/>
        </w:rPr>
        <w:t>此外，</w:t>
      </w:r>
      <w:r>
        <w:t>为进一步落实育人为本办学理念，调动教师投身教学和人才培养工作的积极性，作为学校学科建设大讨论重要成果之一，学校设立年度教学质量奖，表彰和奖励在教学与人才培养工作中做出突出贡献的一线教师。奖励额度较大，一等奖每人5万元，二等奖3万。学院也每年资助（人均至少5000元）老师外出开会、学习，增强业务能力。同时，学院还资助学生的SRT项目多项，每项经费500元。</w:t>
      </w:r>
    </w:p>
    <w:p>
      <w:pPr>
        <w:pStyle w:val="6"/>
        <w:ind w:firstLine="480"/>
      </w:pPr>
      <w:r>
        <w:t>2. 教学设备</w:t>
      </w:r>
    </w:p>
    <w:p>
      <w:pPr>
        <w:ind w:firstLine="480"/>
      </w:pPr>
      <w:r>
        <w:t>针对农林经济管理专业的专业要求与培养需要，确保日常教学与实践工作的进行，推动教学改革，提升教学质量的保障。目前，学校在资金投入上给予了大力支持，从办学经费中拿出大量资金优先为本专业购置金融类专业书籍、资料和报刊及相应的实习实验教学设备。学校现有与本专业相关图书5万余册，专业报刊200余种；除学校的图书馆、计算中心等条件外，本专业还自有资料室1个，有专业图书6万余册，期刊杂志180多种，</w:t>
      </w:r>
    </w:p>
    <w:p>
      <w:pPr>
        <w:ind w:firstLine="480"/>
      </w:pPr>
      <w:r>
        <w:t>经济管理实验教学中心现有实验室11个，面积1197M2，实验仪器设备原始价值1000余万元，其中，高档微机500余台，各类实验教学软件60余套。本中心适应学科建设发展需要，打造了云平台，为实验教学打造了一个先进的、灵活的、稳定的、易维护的数字化教学环境；同时，建立起了具有显著学科和专业特色的11个实验室：（1）金融科技实验室（2）智能会计实验室（3）ERP沙盘实验室（4）农经综合实验室（5）数字经济实验室（6）国际贸易实验室（7）财务管理实验室（8）资产评估实验室（9）虚拟仿真实验（10）创新创业实验室（11）经济分析实验室；形成了强化学生的能力培养、突出学生创新能力和实际操作能力并兼顾学生个性发展的全新的实验教学新体系。</w:t>
      </w:r>
    </w:p>
    <w:p>
      <w:pPr>
        <w:pStyle w:val="6"/>
        <w:ind w:firstLine="480"/>
      </w:pPr>
      <w:r>
        <w:t>3. 教师队伍建设</w:t>
      </w:r>
    </w:p>
    <w:p>
      <w:pPr>
        <w:spacing w:line="380" w:lineRule="exact"/>
        <w:ind w:firstLine="480"/>
      </w:pPr>
      <w:r>
        <w:t xml:space="preserve">农林经济管理本科专业师资队伍正式建立于1960年，真正建设与发展则是1978年以来，特别是近些年，通过引进、培养、进修等多种方式，师资队伍得以稳定发展。2021年，农林经济管理本科专业师资队伍共有专职教师20人，其中，50岁以上4人，占20%，35-50岁8人，占40%，35岁以下8人，占40%，老中青相结合，年龄结构合理。有教授4人，占20%；副教授12人，占60%；职称层次较高，作为一个传统优势专业，职称结构也比较合理。有博士研究生导师4人，占博导的20%；具有博士学位的教师17人，占85%，硕士学位的教师2人，占10%，学士学位的教师1人，占5%；团队学术水平和学历层次高。 </w:t>
      </w:r>
    </w:p>
    <w:p>
      <w:pPr>
        <w:spacing w:line="380" w:lineRule="exact"/>
        <w:ind w:firstLine="480"/>
      </w:pPr>
      <w:r>
        <w:t>经过50多年的发展，农林经济管理本科专业教学团队现已形成了一支年龄结构、学历结构、专业技术职务结构合理的师资队伍，在农林经济管理专业人才培养、课程建设、教学内容与方法、教学研究、科学研究与应用等方面在全国同类学科形成了明显优势和特色。</w:t>
      </w:r>
    </w:p>
    <w:p>
      <w:pPr>
        <w:pStyle w:val="7"/>
        <w:ind w:firstLine="482"/>
        <w:rPr>
          <w:bCs/>
        </w:rPr>
      </w:pPr>
      <w:r>
        <w:rPr>
          <w:bCs/>
        </w:rPr>
        <w:t>4. 实习基地</w:t>
      </w:r>
    </w:p>
    <w:p>
      <w:pPr>
        <w:ind w:firstLine="480"/>
      </w:pPr>
      <w:r>
        <w:t xml:space="preserve">本专业依托省级、校级和院级的本科生联合培养基地，在校内老师的共同指导下，由学院统一组织和选派本传业学生进入实践基地进行专业实践，现有校外教学实习基地10个，具体情况如下： </w:t>
      </w:r>
    </w:p>
    <w:tbl>
      <w:tblPr>
        <w:tblStyle w:val="17"/>
        <w:tblW w:w="491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7"/>
        <w:gridCol w:w="1983"/>
        <w:gridCol w:w="62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tblHeader/>
        </w:trPr>
        <w:tc>
          <w:tcPr>
            <w:tcW w:w="403" w:type="pct"/>
            <w:shd w:val="clear" w:color="auto" w:fill="auto"/>
            <w:vAlign w:val="center"/>
          </w:tcPr>
          <w:p>
            <w:pPr>
              <w:adjustRightInd w:val="0"/>
              <w:spacing w:line="312" w:lineRule="atLeast"/>
              <w:jc w:val="center"/>
              <w:textAlignment w:val="baseline"/>
              <w:rPr>
                <w:rFonts w:eastAsiaTheme="minorEastAsia"/>
                <w:b/>
                <w:kern w:val="0"/>
                <w:sz w:val="21"/>
                <w:szCs w:val="21"/>
              </w:rPr>
            </w:pPr>
            <w:r>
              <w:rPr>
                <w:rFonts w:eastAsiaTheme="minorEastAsia"/>
                <w:b/>
                <w:kern w:val="0"/>
                <w:sz w:val="21"/>
                <w:szCs w:val="21"/>
              </w:rPr>
              <w:t>序号</w:t>
            </w:r>
          </w:p>
        </w:tc>
        <w:tc>
          <w:tcPr>
            <w:tcW w:w="1113" w:type="pct"/>
            <w:shd w:val="clear" w:color="auto" w:fill="auto"/>
            <w:vAlign w:val="center"/>
          </w:tcPr>
          <w:p>
            <w:pPr>
              <w:adjustRightInd w:val="0"/>
              <w:spacing w:line="312" w:lineRule="atLeast"/>
              <w:jc w:val="center"/>
              <w:textAlignment w:val="baseline"/>
              <w:rPr>
                <w:rFonts w:eastAsiaTheme="minorEastAsia"/>
                <w:b/>
                <w:kern w:val="0"/>
                <w:sz w:val="21"/>
                <w:szCs w:val="21"/>
              </w:rPr>
            </w:pPr>
            <w:r>
              <w:rPr>
                <w:rFonts w:eastAsiaTheme="minorEastAsia"/>
                <w:b/>
                <w:kern w:val="0"/>
                <w:sz w:val="21"/>
                <w:szCs w:val="21"/>
              </w:rPr>
              <w:t>专业实践基地名称</w:t>
            </w:r>
          </w:p>
        </w:tc>
        <w:tc>
          <w:tcPr>
            <w:tcW w:w="3482" w:type="pct"/>
            <w:shd w:val="clear" w:color="auto" w:fill="auto"/>
            <w:vAlign w:val="center"/>
          </w:tcPr>
          <w:p>
            <w:pPr>
              <w:adjustRightInd w:val="0"/>
              <w:spacing w:line="312" w:lineRule="atLeast"/>
              <w:jc w:val="center"/>
              <w:textAlignment w:val="baseline"/>
              <w:rPr>
                <w:rFonts w:eastAsiaTheme="minorEastAsia"/>
                <w:b/>
                <w:kern w:val="0"/>
                <w:sz w:val="21"/>
                <w:szCs w:val="21"/>
              </w:rPr>
            </w:pPr>
            <w:r>
              <w:rPr>
                <w:rFonts w:eastAsiaTheme="minorEastAsia"/>
                <w:b/>
                <w:kern w:val="0"/>
                <w:sz w:val="21"/>
                <w:szCs w:val="21"/>
              </w:rPr>
              <w:t>专业实践基地简介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 w:hRule="atLeast"/>
        </w:trPr>
        <w:tc>
          <w:tcPr>
            <w:tcW w:w="403" w:type="pct"/>
            <w:shd w:val="clear" w:color="auto" w:fill="auto"/>
            <w:vAlign w:val="center"/>
          </w:tcPr>
          <w:p>
            <w:pPr>
              <w:adjustRightInd w:val="0"/>
              <w:spacing w:line="312" w:lineRule="atLeast"/>
              <w:jc w:val="center"/>
              <w:textAlignment w:val="baseline"/>
              <w:rPr>
                <w:rFonts w:eastAsiaTheme="minorEastAsia"/>
                <w:kern w:val="0"/>
                <w:sz w:val="21"/>
                <w:szCs w:val="21"/>
              </w:rPr>
            </w:pPr>
            <w:r>
              <w:rPr>
                <w:rFonts w:eastAsiaTheme="minorEastAsia"/>
                <w:kern w:val="0"/>
                <w:sz w:val="21"/>
                <w:szCs w:val="21"/>
              </w:rPr>
              <w:t>1</w:t>
            </w:r>
          </w:p>
        </w:tc>
        <w:tc>
          <w:tcPr>
            <w:tcW w:w="1113" w:type="pct"/>
            <w:shd w:val="clear" w:color="auto" w:fill="auto"/>
            <w:vAlign w:val="center"/>
          </w:tcPr>
          <w:p>
            <w:pPr>
              <w:adjustRightInd w:val="0"/>
              <w:spacing w:line="312" w:lineRule="atLeast"/>
              <w:jc w:val="left"/>
              <w:textAlignment w:val="baseline"/>
              <w:rPr>
                <w:rFonts w:eastAsiaTheme="minorEastAsia"/>
                <w:kern w:val="0"/>
                <w:sz w:val="21"/>
                <w:szCs w:val="21"/>
              </w:rPr>
            </w:pPr>
            <w:r>
              <w:rPr>
                <w:rFonts w:eastAsiaTheme="minorEastAsia"/>
                <w:kern w:val="0"/>
                <w:sz w:val="21"/>
                <w:szCs w:val="21"/>
              </w:rPr>
              <w:t>临朐县农村经济发展服务中心</w:t>
            </w:r>
          </w:p>
        </w:tc>
        <w:tc>
          <w:tcPr>
            <w:tcW w:w="3482" w:type="pct"/>
            <w:shd w:val="clear" w:color="auto" w:fill="auto"/>
            <w:vAlign w:val="center"/>
          </w:tcPr>
          <w:p>
            <w:pPr>
              <w:adjustRightInd w:val="0"/>
              <w:spacing w:line="280" w:lineRule="exact"/>
              <w:jc w:val="left"/>
              <w:textAlignment w:val="baseline"/>
              <w:rPr>
                <w:rFonts w:eastAsiaTheme="minorEastAsia"/>
                <w:bCs/>
                <w:kern w:val="0"/>
                <w:sz w:val="21"/>
                <w:szCs w:val="21"/>
              </w:rPr>
            </w:pPr>
            <w:r>
              <w:rPr>
                <w:rFonts w:eastAsiaTheme="minorEastAsia"/>
                <w:bCs/>
                <w:kern w:val="0"/>
                <w:sz w:val="21"/>
                <w:szCs w:val="21"/>
              </w:rPr>
              <w:t>临朐县农村经济发展服务中为县政府直属公益一类事业单位，由县农业农村局代管，定编24名（含动态编制6名）；内设综合科、农村财务指导科、农业经营主体指导科、农村经济经营指导科4个股级机构。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 w:hRule="atLeast"/>
        </w:trPr>
        <w:tc>
          <w:tcPr>
            <w:tcW w:w="403" w:type="pct"/>
            <w:shd w:val="clear" w:color="auto" w:fill="auto"/>
            <w:vAlign w:val="center"/>
          </w:tcPr>
          <w:p>
            <w:pPr>
              <w:adjustRightInd w:val="0"/>
              <w:spacing w:line="312" w:lineRule="atLeast"/>
              <w:jc w:val="center"/>
              <w:textAlignment w:val="baseline"/>
              <w:rPr>
                <w:rFonts w:eastAsiaTheme="minorEastAsia"/>
                <w:bCs/>
                <w:kern w:val="0"/>
                <w:sz w:val="21"/>
                <w:szCs w:val="21"/>
              </w:rPr>
            </w:pPr>
            <w:r>
              <w:rPr>
                <w:rFonts w:eastAsiaTheme="minorEastAsia"/>
                <w:bCs/>
                <w:kern w:val="0"/>
                <w:sz w:val="21"/>
                <w:szCs w:val="21"/>
              </w:rPr>
              <w:t>2</w:t>
            </w:r>
          </w:p>
        </w:tc>
        <w:tc>
          <w:tcPr>
            <w:tcW w:w="1113" w:type="pct"/>
            <w:shd w:val="clear" w:color="auto" w:fill="auto"/>
            <w:vAlign w:val="center"/>
          </w:tcPr>
          <w:p>
            <w:pPr>
              <w:adjustRightInd w:val="0"/>
              <w:spacing w:line="312" w:lineRule="atLeast"/>
              <w:jc w:val="left"/>
              <w:textAlignment w:val="baseline"/>
              <w:rPr>
                <w:rFonts w:eastAsiaTheme="minorEastAsia"/>
                <w:bCs/>
                <w:kern w:val="0"/>
                <w:sz w:val="21"/>
                <w:szCs w:val="21"/>
              </w:rPr>
            </w:pPr>
            <w:r>
              <w:rPr>
                <w:rFonts w:eastAsiaTheme="minorEastAsia"/>
                <w:bCs/>
                <w:kern w:val="0"/>
                <w:sz w:val="21"/>
                <w:szCs w:val="21"/>
              </w:rPr>
              <w:t>安丘市农村经济指导中心</w:t>
            </w:r>
          </w:p>
        </w:tc>
        <w:tc>
          <w:tcPr>
            <w:tcW w:w="3482" w:type="pct"/>
            <w:shd w:val="clear" w:color="auto" w:fill="auto"/>
            <w:vAlign w:val="center"/>
          </w:tcPr>
          <w:p>
            <w:pPr>
              <w:adjustRightInd w:val="0"/>
              <w:spacing w:line="312" w:lineRule="atLeast"/>
              <w:jc w:val="left"/>
              <w:textAlignment w:val="baseline"/>
              <w:rPr>
                <w:rFonts w:eastAsiaTheme="minorEastAsia"/>
                <w:bCs/>
                <w:kern w:val="0"/>
                <w:sz w:val="21"/>
                <w:szCs w:val="21"/>
              </w:rPr>
            </w:pPr>
            <w:r>
              <w:rPr>
                <w:rFonts w:eastAsiaTheme="minorEastAsia"/>
                <w:bCs/>
                <w:kern w:val="0"/>
                <w:sz w:val="21"/>
                <w:szCs w:val="21"/>
              </w:rPr>
              <w:t>安丘市农村经济指导中心是隶属安丘市政府的全额拨款的正科级事业单位，由农业农村局代管，主要指导辖区内14处镇街区的农经工作.在编工作人员24人，其中高级农经师10人，农经师4人。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 w:hRule="atLeast"/>
        </w:trPr>
        <w:tc>
          <w:tcPr>
            <w:tcW w:w="403" w:type="pct"/>
            <w:shd w:val="clear" w:color="auto" w:fill="auto"/>
            <w:vAlign w:val="center"/>
          </w:tcPr>
          <w:p>
            <w:pPr>
              <w:adjustRightInd w:val="0"/>
              <w:spacing w:line="340" w:lineRule="exact"/>
              <w:jc w:val="center"/>
              <w:textAlignment w:val="baseline"/>
              <w:rPr>
                <w:rFonts w:eastAsiaTheme="minorEastAsia"/>
                <w:bCs/>
                <w:kern w:val="0"/>
                <w:sz w:val="21"/>
                <w:szCs w:val="21"/>
              </w:rPr>
            </w:pPr>
            <w:r>
              <w:rPr>
                <w:rFonts w:eastAsiaTheme="minorEastAsia"/>
                <w:bCs/>
                <w:kern w:val="0"/>
                <w:sz w:val="21"/>
                <w:szCs w:val="21"/>
              </w:rPr>
              <w:t>3</w:t>
            </w:r>
          </w:p>
        </w:tc>
        <w:tc>
          <w:tcPr>
            <w:tcW w:w="1113" w:type="pct"/>
            <w:shd w:val="clear" w:color="auto" w:fill="auto"/>
            <w:vAlign w:val="center"/>
          </w:tcPr>
          <w:p>
            <w:pPr>
              <w:adjustRightInd w:val="0"/>
              <w:spacing w:line="340" w:lineRule="exact"/>
              <w:jc w:val="left"/>
              <w:textAlignment w:val="baseline"/>
              <w:rPr>
                <w:rFonts w:eastAsiaTheme="minorEastAsia"/>
                <w:bCs/>
                <w:kern w:val="0"/>
                <w:sz w:val="21"/>
                <w:szCs w:val="21"/>
              </w:rPr>
            </w:pPr>
            <w:r>
              <w:rPr>
                <w:rFonts w:eastAsiaTheme="minorEastAsia"/>
                <w:bCs/>
                <w:kern w:val="0"/>
                <w:sz w:val="21"/>
                <w:szCs w:val="21"/>
              </w:rPr>
              <w:t>山东省农科院东营基地实训基地</w:t>
            </w:r>
          </w:p>
        </w:tc>
        <w:tc>
          <w:tcPr>
            <w:tcW w:w="3482" w:type="pct"/>
            <w:shd w:val="clear" w:color="auto" w:fill="auto"/>
            <w:vAlign w:val="center"/>
          </w:tcPr>
          <w:p>
            <w:pPr>
              <w:adjustRightInd w:val="0"/>
              <w:spacing w:line="312" w:lineRule="atLeast"/>
              <w:jc w:val="left"/>
              <w:textAlignment w:val="baseline"/>
              <w:rPr>
                <w:rFonts w:eastAsiaTheme="minorEastAsia"/>
                <w:kern w:val="0"/>
                <w:sz w:val="21"/>
                <w:szCs w:val="21"/>
              </w:rPr>
            </w:pPr>
            <w:r>
              <w:rPr>
                <w:rFonts w:eastAsiaTheme="minorEastAsia"/>
                <w:kern w:val="0"/>
                <w:sz w:val="21"/>
                <w:szCs w:val="21"/>
              </w:rPr>
              <w:t>山东省农科院黄河三角洲现代农业试验示范基地（简称东营基地）成立于2014年11月，作为山东省农科院在黄三角国家农高区建设的开放共享的综合性农业科技创新平台，突出问题、产业和市场导向，围绕黄三角区域滨海盐碱地改良与利用，集聚国内外优势创新资源，创新管理体制机制，搭建特色鲜明、优势突出、装备先进、功能完备、管理科学、开放包容的现代农业科研创新平台，开展科学研究、技术研发、试验示范、产业孵化、人才培养和科技服务等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 w:hRule="atLeast"/>
        </w:trPr>
        <w:tc>
          <w:tcPr>
            <w:tcW w:w="403" w:type="pct"/>
            <w:shd w:val="clear" w:color="auto" w:fill="auto"/>
            <w:vAlign w:val="center"/>
          </w:tcPr>
          <w:p>
            <w:pPr>
              <w:adjustRightInd w:val="0"/>
              <w:spacing w:line="312" w:lineRule="atLeast"/>
              <w:jc w:val="center"/>
              <w:textAlignment w:val="baseline"/>
              <w:rPr>
                <w:rFonts w:eastAsiaTheme="minorEastAsia"/>
                <w:kern w:val="0"/>
                <w:sz w:val="21"/>
                <w:szCs w:val="21"/>
              </w:rPr>
            </w:pPr>
            <w:r>
              <w:rPr>
                <w:rFonts w:eastAsiaTheme="minorEastAsia"/>
                <w:kern w:val="0"/>
                <w:sz w:val="21"/>
                <w:szCs w:val="21"/>
              </w:rPr>
              <w:t>4</w:t>
            </w:r>
          </w:p>
        </w:tc>
        <w:tc>
          <w:tcPr>
            <w:tcW w:w="1113" w:type="pct"/>
            <w:shd w:val="clear" w:color="auto" w:fill="auto"/>
            <w:vAlign w:val="center"/>
          </w:tcPr>
          <w:p>
            <w:pPr>
              <w:adjustRightInd w:val="0"/>
              <w:spacing w:line="312" w:lineRule="atLeast"/>
              <w:jc w:val="center"/>
              <w:textAlignment w:val="baseline"/>
              <w:rPr>
                <w:rFonts w:eastAsiaTheme="minorEastAsia"/>
                <w:kern w:val="0"/>
                <w:sz w:val="21"/>
                <w:szCs w:val="21"/>
              </w:rPr>
            </w:pPr>
            <w:r>
              <w:rPr>
                <w:rFonts w:eastAsiaTheme="minorEastAsia"/>
                <w:kern w:val="0"/>
                <w:sz w:val="21"/>
                <w:szCs w:val="21"/>
              </w:rPr>
              <w:t>山东省农村经济经营管理总站实训基地</w:t>
            </w:r>
          </w:p>
        </w:tc>
        <w:tc>
          <w:tcPr>
            <w:tcW w:w="3482" w:type="pct"/>
            <w:shd w:val="clear" w:color="auto" w:fill="auto"/>
            <w:vAlign w:val="center"/>
          </w:tcPr>
          <w:p>
            <w:pPr>
              <w:adjustRightInd w:val="0"/>
              <w:spacing w:line="312" w:lineRule="atLeast"/>
              <w:jc w:val="left"/>
              <w:textAlignment w:val="baseline"/>
              <w:rPr>
                <w:rFonts w:eastAsiaTheme="minorEastAsia"/>
                <w:kern w:val="0"/>
                <w:sz w:val="21"/>
                <w:szCs w:val="21"/>
              </w:rPr>
            </w:pPr>
            <w:r>
              <w:rPr>
                <w:rFonts w:eastAsiaTheme="minorEastAsia"/>
                <w:kern w:val="0"/>
                <w:sz w:val="21"/>
                <w:szCs w:val="21"/>
              </w:rPr>
              <w:t>山东省农村经济经营管理总站是省农业农村厅直属事业单位，承担全省农村经济经营管理系统相关业务的指导和服务工作，在农村新型经营主体培育、农业社会化服务、农村财务管理等方面有较强的技术力量，其中正高级职称2人，副高级职称7人，可承接学生开展社会实践活动，在参与具体业务工作中培养学生工作能力。可根据校方要求</w:t>
            </w:r>
            <w:r>
              <w:rPr>
                <w:rFonts w:eastAsiaTheme="minorEastAsia"/>
                <w:bCs/>
                <w:kern w:val="0"/>
                <w:sz w:val="21"/>
                <w:szCs w:val="21"/>
              </w:rPr>
              <w:t>与合作单位共同制定培养目标、建设相关课程、参与培养过程、评价培养质量。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 w:hRule="atLeast"/>
        </w:trPr>
        <w:tc>
          <w:tcPr>
            <w:tcW w:w="403" w:type="pct"/>
            <w:shd w:val="clear" w:color="auto" w:fill="auto"/>
            <w:vAlign w:val="center"/>
          </w:tcPr>
          <w:p>
            <w:pPr>
              <w:adjustRightInd w:val="0"/>
              <w:spacing w:line="312" w:lineRule="atLeast"/>
              <w:jc w:val="center"/>
              <w:textAlignment w:val="baseline"/>
              <w:rPr>
                <w:rFonts w:eastAsiaTheme="minorEastAsia"/>
                <w:kern w:val="0"/>
                <w:sz w:val="21"/>
                <w:szCs w:val="21"/>
              </w:rPr>
            </w:pPr>
            <w:r>
              <w:rPr>
                <w:rFonts w:eastAsiaTheme="minorEastAsia"/>
                <w:kern w:val="0"/>
                <w:sz w:val="21"/>
                <w:szCs w:val="21"/>
              </w:rPr>
              <w:t>5</w:t>
            </w:r>
          </w:p>
        </w:tc>
        <w:tc>
          <w:tcPr>
            <w:tcW w:w="1113" w:type="pct"/>
            <w:shd w:val="clear" w:color="auto" w:fill="auto"/>
            <w:vAlign w:val="center"/>
          </w:tcPr>
          <w:p>
            <w:pPr>
              <w:adjustRightInd w:val="0"/>
              <w:spacing w:line="312" w:lineRule="atLeast"/>
              <w:jc w:val="left"/>
              <w:textAlignment w:val="baseline"/>
              <w:rPr>
                <w:rFonts w:eastAsiaTheme="minorEastAsia"/>
                <w:kern w:val="0"/>
                <w:sz w:val="21"/>
                <w:szCs w:val="21"/>
              </w:rPr>
            </w:pPr>
            <w:r>
              <w:rPr>
                <w:rFonts w:eastAsiaTheme="minorEastAsia"/>
                <w:kern w:val="0"/>
                <w:sz w:val="21"/>
                <w:szCs w:val="21"/>
              </w:rPr>
              <w:t>枣庄旺达农业科技股份有限公司实训基地</w:t>
            </w:r>
          </w:p>
        </w:tc>
        <w:tc>
          <w:tcPr>
            <w:tcW w:w="3482" w:type="pct"/>
            <w:shd w:val="clear" w:color="auto" w:fill="auto"/>
            <w:vAlign w:val="center"/>
          </w:tcPr>
          <w:p>
            <w:pPr>
              <w:adjustRightInd w:val="0"/>
              <w:spacing w:line="312" w:lineRule="atLeast"/>
              <w:jc w:val="left"/>
              <w:textAlignment w:val="baseline"/>
              <w:rPr>
                <w:rFonts w:eastAsiaTheme="minorEastAsia"/>
                <w:kern w:val="0"/>
                <w:sz w:val="21"/>
                <w:szCs w:val="21"/>
              </w:rPr>
            </w:pPr>
            <w:r>
              <w:rPr>
                <w:rFonts w:eastAsiaTheme="minorEastAsia"/>
                <w:kern w:val="0"/>
                <w:sz w:val="21"/>
                <w:szCs w:val="21"/>
              </w:rPr>
              <w:t>基地是枣庄旺达农业科技股份有限公和山东农业大学教学科研、实践育人基地，是全国农村创业创新示范基地、全国示范农民田间学校。基地主要是在科学研究，教育教学，人员培训，企业发展等方面开展校企合作，成立校企合作建设现代农业产业研究院，乡村振兴讲习所，乡村振兴大数据服务中心等，打造乡村振兴示范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5" w:hRule="atLeast"/>
        </w:trPr>
        <w:tc>
          <w:tcPr>
            <w:tcW w:w="403" w:type="pct"/>
            <w:shd w:val="clear" w:color="auto" w:fill="auto"/>
            <w:vAlign w:val="center"/>
          </w:tcPr>
          <w:p>
            <w:pPr>
              <w:adjustRightInd w:val="0"/>
              <w:spacing w:line="312" w:lineRule="atLeast"/>
              <w:jc w:val="center"/>
              <w:textAlignment w:val="baseline"/>
              <w:rPr>
                <w:rFonts w:eastAsiaTheme="minorEastAsia"/>
                <w:kern w:val="0"/>
                <w:sz w:val="21"/>
                <w:szCs w:val="21"/>
              </w:rPr>
            </w:pPr>
            <w:r>
              <w:rPr>
                <w:rFonts w:eastAsiaTheme="minorEastAsia"/>
                <w:kern w:val="0"/>
                <w:sz w:val="21"/>
                <w:szCs w:val="21"/>
              </w:rPr>
              <w:t>6</w:t>
            </w:r>
          </w:p>
        </w:tc>
        <w:tc>
          <w:tcPr>
            <w:tcW w:w="1113" w:type="pct"/>
            <w:shd w:val="clear" w:color="auto" w:fill="auto"/>
            <w:vAlign w:val="center"/>
          </w:tcPr>
          <w:p>
            <w:pPr>
              <w:adjustRightInd w:val="0"/>
              <w:spacing w:line="312" w:lineRule="atLeast"/>
              <w:jc w:val="left"/>
              <w:textAlignment w:val="baseline"/>
              <w:rPr>
                <w:rFonts w:eastAsiaTheme="minorEastAsia"/>
                <w:kern w:val="0"/>
                <w:sz w:val="21"/>
                <w:szCs w:val="21"/>
              </w:rPr>
            </w:pPr>
            <w:r>
              <w:rPr>
                <w:rFonts w:eastAsiaTheme="minorEastAsia"/>
                <w:kern w:val="0"/>
                <w:sz w:val="21"/>
                <w:szCs w:val="21"/>
              </w:rPr>
              <w:t>诸城常山永辉生态农业</w:t>
            </w:r>
          </w:p>
          <w:p>
            <w:pPr>
              <w:adjustRightInd w:val="0"/>
              <w:spacing w:line="312" w:lineRule="atLeast"/>
              <w:jc w:val="left"/>
              <w:textAlignment w:val="baseline"/>
              <w:rPr>
                <w:rFonts w:eastAsiaTheme="minorEastAsia"/>
                <w:kern w:val="0"/>
                <w:sz w:val="21"/>
                <w:szCs w:val="21"/>
              </w:rPr>
            </w:pPr>
            <w:r>
              <w:rPr>
                <w:rFonts w:eastAsiaTheme="minorEastAsia"/>
                <w:kern w:val="0"/>
                <w:sz w:val="21"/>
                <w:szCs w:val="21"/>
              </w:rPr>
              <w:t>家庭农场</w:t>
            </w:r>
          </w:p>
        </w:tc>
        <w:tc>
          <w:tcPr>
            <w:tcW w:w="3482" w:type="pct"/>
            <w:shd w:val="clear" w:color="auto" w:fill="auto"/>
            <w:vAlign w:val="center"/>
          </w:tcPr>
          <w:p>
            <w:pPr>
              <w:adjustRightInd w:val="0"/>
              <w:spacing w:line="320" w:lineRule="exact"/>
              <w:jc w:val="left"/>
              <w:textAlignment w:val="baseline"/>
              <w:rPr>
                <w:rFonts w:eastAsiaTheme="minorEastAsia"/>
                <w:kern w:val="0"/>
                <w:sz w:val="21"/>
                <w:szCs w:val="21"/>
              </w:rPr>
            </w:pPr>
            <w:r>
              <w:rPr>
                <w:rFonts w:eastAsiaTheme="minorEastAsia"/>
                <w:kern w:val="0"/>
                <w:sz w:val="21"/>
                <w:szCs w:val="21"/>
              </w:rPr>
              <w:t>诸城常山永辉生态农业家庭农场（永辉乡间田园综合体）成立于2013年9月，注册资本1000万元，规划面积2000亩，总投资1.2亿元。现已投资8500万元建成1350亩，是一处集生态农业观光、研学旅行、休闲采摘、会议培训、旅游度假、餐饮民宿、户外婚礼、拓展宿营、农事体验、科普田园教育、农耕文化展示为一体的综合性生态休闲农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6" w:hRule="atLeast"/>
        </w:trPr>
        <w:tc>
          <w:tcPr>
            <w:tcW w:w="403" w:type="pct"/>
            <w:shd w:val="clear" w:color="auto" w:fill="auto"/>
            <w:vAlign w:val="center"/>
          </w:tcPr>
          <w:p>
            <w:pPr>
              <w:adjustRightInd w:val="0"/>
              <w:spacing w:line="312" w:lineRule="atLeast"/>
              <w:jc w:val="center"/>
              <w:textAlignment w:val="baseline"/>
              <w:rPr>
                <w:rFonts w:eastAsiaTheme="minorEastAsia"/>
                <w:kern w:val="0"/>
                <w:sz w:val="21"/>
                <w:szCs w:val="21"/>
              </w:rPr>
            </w:pPr>
            <w:r>
              <w:rPr>
                <w:rFonts w:eastAsiaTheme="minorEastAsia"/>
                <w:kern w:val="0"/>
                <w:sz w:val="21"/>
                <w:szCs w:val="21"/>
              </w:rPr>
              <w:t>7</w:t>
            </w:r>
          </w:p>
        </w:tc>
        <w:tc>
          <w:tcPr>
            <w:tcW w:w="1113" w:type="pct"/>
            <w:shd w:val="clear" w:color="auto" w:fill="auto"/>
            <w:vAlign w:val="center"/>
          </w:tcPr>
          <w:p>
            <w:pPr>
              <w:adjustRightInd w:val="0"/>
              <w:spacing w:line="312" w:lineRule="atLeast"/>
              <w:jc w:val="center"/>
              <w:textAlignment w:val="baseline"/>
              <w:rPr>
                <w:rFonts w:eastAsiaTheme="minorEastAsia"/>
                <w:kern w:val="0"/>
                <w:sz w:val="21"/>
                <w:szCs w:val="21"/>
              </w:rPr>
            </w:pPr>
            <w:r>
              <w:rPr>
                <w:rFonts w:eastAsiaTheme="minorEastAsia"/>
                <w:kern w:val="0"/>
                <w:sz w:val="21"/>
                <w:szCs w:val="21"/>
              </w:rPr>
              <w:t>泰安市农业科学研究院实训基地</w:t>
            </w:r>
          </w:p>
        </w:tc>
        <w:tc>
          <w:tcPr>
            <w:tcW w:w="3482" w:type="pct"/>
            <w:shd w:val="clear" w:color="auto" w:fill="auto"/>
            <w:vAlign w:val="center"/>
          </w:tcPr>
          <w:p>
            <w:pPr>
              <w:adjustRightInd w:val="0"/>
              <w:spacing w:line="312" w:lineRule="atLeast"/>
              <w:textAlignment w:val="baseline"/>
              <w:rPr>
                <w:rFonts w:eastAsiaTheme="minorEastAsia"/>
                <w:kern w:val="0"/>
                <w:sz w:val="21"/>
                <w:szCs w:val="21"/>
              </w:rPr>
            </w:pPr>
            <w:r>
              <w:rPr>
                <w:rFonts w:eastAsiaTheme="minorEastAsia"/>
                <w:kern w:val="0"/>
                <w:sz w:val="21"/>
                <w:szCs w:val="21"/>
              </w:rPr>
              <w:t>泰安市农业科学研究院是泰安市唯一所综合性农业科研单位，主要从事农业新品种、新技术的研究与示范推广工作。设有小麦、玉米、植物保护、土壤肥料等10个专业研究所，以及办公室、组织人事处、科研管理处、财务管理科等8个管理服务科室。现有职工116人，其中研究员9名，高级农艺师40名，博士17名、硕士33名。拥有国家现代农业产业技术体系小麦、食用菌和绿肥试验站3个；省现代农业产业技术体系小麦、玉米、食用菌和蔬菜岗位专家4个，花生、杂粮、甘薯和茶叶试验站4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7" w:hRule="atLeast"/>
        </w:trPr>
        <w:tc>
          <w:tcPr>
            <w:tcW w:w="403" w:type="pct"/>
            <w:shd w:val="clear" w:color="auto" w:fill="auto"/>
            <w:vAlign w:val="center"/>
          </w:tcPr>
          <w:p>
            <w:pPr>
              <w:adjustRightInd w:val="0"/>
              <w:spacing w:line="312" w:lineRule="atLeast"/>
              <w:jc w:val="center"/>
              <w:textAlignment w:val="baseline"/>
              <w:rPr>
                <w:rFonts w:eastAsiaTheme="minorEastAsia"/>
                <w:kern w:val="0"/>
                <w:sz w:val="21"/>
                <w:szCs w:val="21"/>
              </w:rPr>
            </w:pPr>
            <w:r>
              <w:rPr>
                <w:rFonts w:eastAsiaTheme="minorEastAsia"/>
                <w:kern w:val="0"/>
                <w:sz w:val="21"/>
                <w:szCs w:val="21"/>
              </w:rPr>
              <w:t>8</w:t>
            </w:r>
          </w:p>
        </w:tc>
        <w:tc>
          <w:tcPr>
            <w:tcW w:w="1113" w:type="pct"/>
            <w:shd w:val="clear" w:color="auto" w:fill="auto"/>
            <w:vAlign w:val="center"/>
          </w:tcPr>
          <w:p>
            <w:pPr>
              <w:adjustRightInd w:val="0"/>
              <w:spacing w:line="312" w:lineRule="atLeast"/>
              <w:jc w:val="center"/>
              <w:textAlignment w:val="baseline"/>
              <w:rPr>
                <w:rFonts w:eastAsiaTheme="minorEastAsia"/>
                <w:kern w:val="0"/>
                <w:sz w:val="21"/>
                <w:szCs w:val="21"/>
              </w:rPr>
            </w:pPr>
            <w:r>
              <w:rPr>
                <w:rFonts w:eastAsiaTheme="minorEastAsia"/>
                <w:kern w:val="0"/>
                <w:sz w:val="21"/>
                <w:szCs w:val="21"/>
              </w:rPr>
              <w:t>山东农业规划设计院有限公司实训基地</w:t>
            </w:r>
          </w:p>
        </w:tc>
        <w:tc>
          <w:tcPr>
            <w:tcW w:w="3482" w:type="pct"/>
            <w:shd w:val="clear" w:color="auto" w:fill="auto"/>
            <w:vAlign w:val="center"/>
          </w:tcPr>
          <w:p>
            <w:pPr>
              <w:adjustRightInd w:val="0"/>
              <w:spacing w:line="312" w:lineRule="atLeast"/>
              <w:textAlignment w:val="baseline"/>
              <w:rPr>
                <w:rFonts w:eastAsiaTheme="minorEastAsia"/>
                <w:kern w:val="0"/>
                <w:sz w:val="21"/>
                <w:szCs w:val="21"/>
              </w:rPr>
            </w:pPr>
            <w:r>
              <w:rPr>
                <w:rFonts w:eastAsiaTheme="minorEastAsia"/>
                <w:kern w:val="0"/>
                <w:sz w:val="21"/>
                <w:szCs w:val="21"/>
              </w:rPr>
              <w:t>山东农业规划设计院有限公司是受山东省农业农村厅指导、山东农业发展集团公司主管的国有企业，具有农林工程、农田水利、城乡规划等多种资质，现有博士、硕士、本科以上学历员工60多名，下设规划发展院、工程设计院、建筑生态景观院、等10多个运营管理部门；同时，设立了覆盖农业、畜牧业、水利、建筑、生态等多行业、多专业的专家委员会智库服务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7" w:hRule="atLeast"/>
        </w:trPr>
        <w:tc>
          <w:tcPr>
            <w:tcW w:w="403" w:type="pct"/>
            <w:shd w:val="clear" w:color="auto" w:fill="auto"/>
            <w:vAlign w:val="center"/>
          </w:tcPr>
          <w:p>
            <w:pPr>
              <w:adjustRightInd w:val="0"/>
              <w:spacing w:line="312" w:lineRule="atLeast"/>
              <w:jc w:val="center"/>
              <w:textAlignment w:val="baseline"/>
              <w:rPr>
                <w:rFonts w:eastAsiaTheme="minorEastAsia"/>
                <w:kern w:val="0"/>
                <w:sz w:val="21"/>
                <w:szCs w:val="21"/>
              </w:rPr>
            </w:pPr>
            <w:r>
              <w:rPr>
                <w:rFonts w:eastAsiaTheme="minorEastAsia"/>
                <w:kern w:val="0"/>
                <w:sz w:val="21"/>
                <w:szCs w:val="21"/>
              </w:rPr>
              <w:t>9</w:t>
            </w:r>
          </w:p>
        </w:tc>
        <w:tc>
          <w:tcPr>
            <w:tcW w:w="1113" w:type="pct"/>
            <w:shd w:val="clear" w:color="auto" w:fill="auto"/>
            <w:vAlign w:val="center"/>
          </w:tcPr>
          <w:p>
            <w:pPr>
              <w:adjustRightInd w:val="0"/>
              <w:spacing w:line="312" w:lineRule="atLeast"/>
              <w:jc w:val="center"/>
              <w:textAlignment w:val="baseline"/>
              <w:rPr>
                <w:rFonts w:eastAsiaTheme="minorEastAsia"/>
                <w:kern w:val="0"/>
                <w:sz w:val="21"/>
                <w:szCs w:val="21"/>
              </w:rPr>
            </w:pPr>
            <w:r>
              <w:rPr>
                <w:rFonts w:eastAsiaTheme="minorEastAsia"/>
                <w:kern w:val="0"/>
                <w:sz w:val="21"/>
                <w:szCs w:val="21"/>
              </w:rPr>
              <w:t>山东省现代农业农村发展研究中心</w:t>
            </w:r>
          </w:p>
        </w:tc>
        <w:tc>
          <w:tcPr>
            <w:tcW w:w="3482" w:type="pct"/>
            <w:shd w:val="clear" w:color="auto" w:fill="auto"/>
            <w:vAlign w:val="center"/>
          </w:tcPr>
          <w:p>
            <w:pPr>
              <w:adjustRightInd w:val="0"/>
              <w:spacing w:line="312" w:lineRule="atLeast"/>
              <w:textAlignment w:val="baseline"/>
              <w:rPr>
                <w:rFonts w:eastAsiaTheme="minorEastAsia"/>
                <w:kern w:val="0"/>
                <w:sz w:val="21"/>
                <w:szCs w:val="21"/>
              </w:rPr>
            </w:pPr>
            <w:r>
              <w:rPr>
                <w:rFonts w:eastAsiaTheme="minorEastAsia"/>
                <w:kern w:val="0"/>
                <w:sz w:val="21"/>
                <w:szCs w:val="21"/>
              </w:rPr>
              <w:t>山东省现代农业农村发展研究中心成立于2016年12月，2019年与山东省农业信息中心合并，主要承担我省现代农业农村发展政策研究、12316农业公益热线服务以及《农业知识》、《农村经济》杂志的编辑等工作，承担农业农村系统电子政务外网信息采集、安全等级保护、个性化业务平台建设以及电子政务内网建设管理等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2" w:hRule="atLeast"/>
        </w:trPr>
        <w:tc>
          <w:tcPr>
            <w:tcW w:w="403" w:type="pct"/>
            <w:shd w:val="clear" w:color="auto" w:fill="auto"/>
            <w:vAlign w:val="center"/>
          </w:tcPr>
          <w:p>
            <w:pPr>
              <w:adjustRightInd w:val="0"/>
              <w:spacing w:line="312" w:lineRule="atLeast"/>
              <w:jc w:val="center"/>
              <w:textAlignment w:val="baseline"/>
              <w:rPr>
                <w:rFonts w:eastAsiaTheme="minorEastAsia"/>
                <w:kern w:val="0"/>
                <w:sz w:val="21"/>
                <w:szCs w:val="21"/>
              </w:rPr>
            </w:pPr>
            <w:r>
              <w:rPr>
                <w:rFonts w:eastAsiaTheme="minorEastAsia"/>
                <w:kern w:val="0"/>
                <w:sz w:val="21"/>
                <w:szCs w:val="21"/>
              </w:rPr>
              <w:t>10</w:t>
            </w:r>
          </w:p>
        </w:tc>
        <w:tc>
          <w:tcPr>
            <w:tcW w:w="1113" w:type="pct"/>
            <w:shd w:val="clear" w:color="auto" w:fill="auto"/>
            <w:vAlign w:val="center"/>
          </w:tcPr>
          <w:p>
            <w:pPr>
              <w:adjustRightInd w:val="0"/>
              <w:spacing w:line="312" w:lineRule="atLeast"/>
              <w:jc w:val="center"/>
              <w:textAlignment w:val="baseline"/>
              <w:rPr>
                <w:rFonts w:eastAsiaTheme="minorEastAsia"/>
                <w:kern w:val="0"/>
                <w:sz w:val="21"/>
                <w:szCs w:val="21"/>
              </w:rPr>
            </w:pPr>
            <w:r>
              <w:rPr>
                <w:rFonts w:eastAsiaTheme="minorEastAsia"/>
                <w:kern w:val="0"/>
                <w:sz w:val="21"/>
                <w:szCs w:val="21"/>
              </w:rPr>
              <w:t>山东农业电影电视中心实训基地</w:t>
            </w:r>
          </w:p>
        </w:tc>
        <w:tc>
          <w:tcPr>
            <w:tcW w:w="3482" w:type="pct"/>
            <w:shd w:val="clear" w:color="auto" w:fill="auto"/>
            <w:vAlign w:val="center"/>
          </w:tcPr>
          <w:p>
            <w:pPr>
              <w:adjustRightInd w:val="0"/>
              <w:spacing w:line="312" w:lineRule="atLeast"/>
              <w:jc w:val="left"/>
              <w:textAlignment w:val="baseline"/>
              <w:rPr>
                <w:rFonts w:eastAsiaTheme="minorEastAsia"/>
                <w:kern w:val="0"/>
                <w:sz w:val="21"/>
                <w:szCs w:val="21"/>
              </w:rPr>
            </w:pPr>
            <w:r>
              <w:rPr>
                <w:rFonts w:eastAsiaTheme="minorEastAsia"/>
                <w:kern w:val="0"/>
                <w:sz w:val="21"/>
                <w:szCs w:val="21"/>
              </w:rPr>
              <w:t>山东农业电影电视中心始建于1958年，原名山东农业电影社，1992年更名为山东农业电影电视中心，为山东省农业农村厅处级公益一类事业单位。自成立以来，一直承担着国家和地方农业科技教育影视片的制作任务。六十年来，摄制农业影视科教片、纪录片数百部，发行电影拷贝上万个，为全省农业科学技术普及、农业农村经济发展做出了积极贡献。</w:t>
            </w:r>
          </w:p>
        </w:tc>
      </w:tr>
    </w:tbl>
    <w:p>
      <w:pPr>
        <w:pStyle w:val="6"/>
        <w:spacing w:line="390" w:lineRule="exact"/>
        <w:ind w:firstLine="480"/>
      </w:pPr>
      <w:r>
        <w:t>5. 教学改革</w:t>
      </w:r>
    </w:p>
    <w:p>
      <w:pPr>
        <w:spacing w:line="410" w:lineRule="exact"/>
        <w:ind w:firstLine="480"/>
      </w:pPr>
      <w:r>
        <w:t>农林经济管理专业为适应现代教学模式，创新教学方式，高度重视利用新式教学手段，利用多媒体、MOOCs、微课、雨课堂等现代教学技术的应用。</w:t>
      </w:r>
    </w:p>
    <w:p>
      <w:pPr>
        <w:spacing w:line="410" w:lineRule="exact"/>
        <w:ind w:firstLine="480"/>
      </w:pPr>
      <w:r>
        <w:t>现代信息技术在课堂教学中的运用，对改变传统的教学模式和学习方式，提高教与学的效率，推进教育教学改革，突破教学重点、难点，激发学生学习兴趣，优化课堂教学具有重大的影响作用。（1）运用现代信息技术，激发学生的学习兴趣。借助信息技术手段激发学生的求知欲，挖掘学生的情感因素，教学中，教师创造的宽松、和谐的教学环境可使学生心情舒畅，思维活跃，教师对学生的充分信任、鼓励，会使他们产生巨大的精神动力。使学生在充满情趣与快乐的情境中发现问题，解决问题。（2）运用现代信息技术，突破教学重点难点，改变学生的学习方式。。在教学过程中运用现代信息技术，能突破教学的重点和难点，化难为易。（3）运用现代信息技术，实现教学方式的变革。将现代信息技术已广泛地用于教育教学过程，如多媒体显示技术及应用软件辅助教学等。</w:t>
      </w:r>
    </w:p>
    <w:p>
      <w:pPr>
        <w:pStyle w:val="5"/>
        <w:spacing w:before="93" w:after="93" w:line="410" w:lineRule="exact"/>
        <w:ind w:firstLine="560"/>
      </w:pPr>
      <w:bookmarkStart w:id="444" w:name="_Toc15106"/>
      <w:r>
        <w:t>四、培养机制与特色（产学研协同育人机制、合作办学、教学管理等）</w:t>
      </w:r>
      <w:bookmarkEnd w:id="444"/>
    </w:p>
    <w:p>
      <w:pPr>
        <w:spacing w:line="410" w:lineRule="exact"/>
        <w:ind w:firstLine="480"/>
      </w:pPr>
      <w:r>
        <w:t>经过多年建设，本专业形成了自己的培养特色：一是强势科研带动教学发展的特色。本专业所在的农林经济管理学科系一级博士学位授权点、博士后流动站、省级重点学科、</w:t>
      </w:r>
      <w:r>
        <w:rPr>
          <w:rFonts w:hint="eastAsia"/>
        </w:rPr>
        <w:t>“</w:t>
      </w:r>
      <w:r>
        <w:t>泰山学者</w:t>
      </w:r>
      <w:r>
        <w:rPr>
          <w:rFonts w:hint="eastAsia"/>
        </w:rPr>
        <w:t>”</w:t>
      </w:r>
      <w:r>
        <w:t>设岗单位，有很强的科研实力，属国内一流水平，能将最新研究成果充实到教学中，大大促进了教学水平的提高。二是教学与生产相结合的特色。建立了校外基地11处，做到了教学与生产相结合；本专业教师曾多次参与各级政府相关政策的制定与实施，为农业和农村经济的发展做了大量工作。三是注重人才实践技能培养特色。在全国同类学科专业中率先把实践操作技能训练列入了教学大纲和培养方案中，形成了一套较为完整的操作技能训练体系。</w:t>
      </w:r>
    </w:p>
    <w:p>
      <w:pPr>
        <w:spacing w:line="410" w:lineRule="exact"/>
        <w:ind w:firstLine="480"/>
      </w:pPr>
      <w:r>
        <w:t>学校教务处、本院教务员及本系有关人员一直特别重视本专业的教学管理工作，制定了相关教学管理规章制度，并能严格执行。近几年本专业先后二次制定、修订本专业培养方案，以满足社会对本专业技术人才的需要。各年级教学严格执行教学计划，教师认真填写教学日历，严格按教学日历教学，注意加强实践教学环节，培养学生的动手能力、实际工作能力。各类教学文件都由教务员严格履行收缴手续，存档管理；目前本专业各项教学文件齐全。具体实施方案如下：</w:t>
      </w:r>
    </w:p>
    <w:p>
      <w:pPr>
        <w:spacing w:line="410" w:lineRule="exact"/>
        <w:ind w:firstLine="482"/>
        <w:rPr>
          <w:rFonts w:eastAsia="黑体"/>
          <w:bCs/>
        </w:rPr>
      </w:pPr>
      <w:r>
        <w:rPr>
          <w:rFonts w:eastAsia="黑体"/>
          <w:bCs/>
        </w:rPr>
        <w:t>1</w:t>
      </w:r>
      <w:r>
        <w:t xml:space="preserve">. </w:t>
      </w:r>
      <w:r>
        <w:rPr>
          <w:rFonts w:eastAsia="黑体"/>
          <w:bCs/>
        </w:rPr>
        <w:t>探索实施专业导师制度，做好学生质量培养服务</w:t>
      </w:r>
    </w:p>
    <w:p>
      <w:pPr>
        <w:spacing w:line="410" w:lineRule="exact"/>
        <w:ind w:firstLine="480"/>
        <w:rPr>
          <w:bCs/>
        </w:rPr>
      </w:pPr>
      <w:r>
        <w:rPr>
          <w:bCs/>
        </w:rPr>
        <w:t>根据农经系教师队伍较大的特点，探索实施专业导师制，积极发挥各老师的作用。拟从2022级农林经济管理专业本科及公费农科生开始，为学生配备专业指导老师，根据我系目前师生比的情况，拟定4-6位学生一位专业导师，提前介入，从课程学习、专业方向、考研、就业等方面为学生提供全方位指导，有利于学生较早选择未来方向，有效减轻学院毕业生就业等工作压力。</w:t>
      </w:r>
    </w:p>
    <w:p>
      <w:pPr>
        <w:spacing w:line="410" w:lineRule="exact"/>
        <w:ind w:firstLine="482"/>
        <w:rPr>
          <w:rFonts w:eastAsia="黑体"/>
          <w:bCs/>
        </w:rPr>
      </w:pPr>
      <w:r>
        <w:rPr>
          <w:rFonts w:eastAsia="黑体"/>
          <w:bCs/>
        </w:rPr>
        <w:t>2</w:t>
      </w:r>
      <w:r>
        <w:t xml:space="preserve">. </w:t>
      </w:r>
      <w:r>
        <w:rPr>
          <w:rFonts w:eastAsia="黑体"/>
          <w:bCs/>
        </w:rPr>
        <w:t>学生分类指导培养，提升学生培养质量</w:t>
      </w:r>
    </w:p>
    <w:p>
      <w:pPr>
        <w:spacing w:line="410" w:lineRule="exact"/>
        <w:ind w:firstLine="480"/>
        <w:rPr>
          <w:rFonts w:hint="eastAsia" w:eastAsia="宋体"/>
          <w:lang w:eastAsia="zh-CN"/>
        </w:rPr>
      </w:pPr>
      <w:r>
        <w:t>在学生正常学好培养方案规定的各门课程的同时，针对农林经济管理专业学生特点，针对学生本科毕业时是考研、直接就业还是考公考教资的方向，进行分类指导培养，对考研的同学提前请专业教师进行考研学校、专业选择、复习备考等方面的辅导，对直接就业的同学提高教学实习、假期实习的单位选择指导，并进行简历制作、职场能力提升等</w:t>
      </w:r>
      <w:r>
        <w:rPr>
          <w:rFonts w:hint="eastAsia"/>
          <w:lang w:eastAsia="zh-CN"/>
        </w:rPr>
        <w:t>。</w:t>
      </w:r>
    </w:p>
    <w:p>
      <w:pPr>
        <w:pStyle w:val="5"/>
        <w:spacing w:before="93" w:after="93"/>
        <w:ind w:firstLine="560"/>
      </w:pPr>
      <w:bookmarkStart w:id="445" w:name="_Toc28949"/>
      <w:r>
        <w:t>五、培养质量（毕业生就业率、就业专业对口率、毕业生发展情况、就业单位满意率、社会对专业的评价、学生就读该专业的意愿等）</w:t>
      </w:r>
      <w:bookmarkEnd w:id="445"/>
    </w:p>
    <w:p>
      <w:pPr>
        <w:ind w:firstLine="480"/>
      </w:pPr>
      <w:r>
        <w:t>本专业本科毕业率达90%以上，就业专业对口率达40%以上。毕业生毕业工作后能迅速适应社会工作，个人发展较快，许多成为单位骨干、社会栋梁之才。早期的毕业生多从事本专业——农村经济管理工作，近期的毕业生则分布在公务员、企业、教育、科研等不同岗位，就业多元化趋势明显。本专业优秀校友很多，如农业农村部副部长韩俊、原农业部总农艺师孙中华、中国人民大学副校长、长江学者朱信凯、江苏省人大常委会副主任曲福田、河南农业大学经济管理学院院长、长江学者马恒运等。用人单位对毕业生的满意度很高。</w:t>
      </w:r>
    </w:p>
    <w:p>
      <w:pPr>
        <w:ind w:firstLine="480"/>
        <w:rPr>
          <w:spacing w:val="-3"/>
        </w:rPr>
      </w:pPr>
      <w:r>
        <w:t>近几年，学生就读该专业的意愿较强，省内外本科生的第一志愿录取率及报到率都是100%，大二学年自由转专业后，专业人数连续多年出现净增长。随着国家乡村振兴战略的实施和新农科时代的到来，农林经济管理专业的发展前景与毕业生就业形势利好，2019年9月5日习近平总书记给全国涉农高校的书记校长和专家代表的回信中指出，中国现代化离不开农业农村现代化，农业农村现代化关键在科技、在人才。新时代，农村是充满希望的田野，是干事创业的广阔舞台，我国高等农林教育大有可为。希望全国</w:t>
      </w:r>
      <w:r>
        <w:rPr>
          <w:spacing w:val="-3"/>
        </w:rPr>
        <w:t>涉农高校牢记办学使命，精心培育英才，加强科研创新，为</w:t>
      </w:r>
      <w:r>
        <w:rPr>
          <w:rFonts w:hint="eastAsia"/>
          <w:spacing w:val="-3"/>
        </w:rPr>
        <w:t>“</w:t>
      </w:r>
      <w:r>
        <w:rPr>
          <w:spacing w:val="-3"/>
        </w:rPr>
        <w:t>三农</w:t>
      </w:r>
      <w:r>
        <w:rPr>
          <w:rFonts w:hint="eastAsia"/>
          <w:spacing w:val="-3"/>
        </w:rPr>
        <w:t>”</w:t>
      </w:r>
      <w:r>
        <w:rPr>
          <w:spacing w:val="-3"/>
        </w:rPr>
        <w:t>事业发展作出了积极贡献。山东农业大学经济管理学院全体教师有信心、也有能力把专业同学培养好，教育好。</w:t>
      </w:r>
    </w:p>
    <w:p>
      <w:pPr>
        <w:ind w:firstLine="468"/>
        <w:rPr>
          <w:spacing w:val="-3"/>
        </w:rPr>
      </w:pPr>
      <w:r>
        <w:rPr>
          <w:spacing w:val="-3"/>
        </w:rPr>
        <w:t>2020-2021届毕业的典型学生代表：王洁群、徐欣晨，中国海洋大学，农林经济管理专业学硕；梁旭、谭婧怡，西北农林科技大学，农林经济管理专业学硕；王鑫，北京农学院，农林经济管理专业学硕；王海明，北京林业大学，农村发展专业；方质彬，石河子大学，农业经济学专业。</w:t>
      </w:r>
    </w:p>
    <w:p>
      <w:pPr>
        <w:ind w:firstLine="468"/>
        <w:rPr>
          <w:spacing w:val="-3"/>
        </w:rPr>
      </w:pPr>
      <w:r>
        <w:rPr>
          <w:spacing w:val="-3"/>
        </w:rPr>
        <w:t>未来将重点在毕业生就业与考研方面提升做以下措施：</w:t>
      </w:r>
    </w:p>
    <w:p>
      <w:pPr>
        <w:ind w:firstLine="482"/>
        <w:rPr>
          <w:rFonts w:eastAsia="黑体"/>
          <w:bCs/>
        </w:rPr>
      </w:pPr>
      <w:r>
        <w:rPr>
          <w:rFonts w:eastAsia="黑体"/>
          <w:bCs/>
        </w:rPr>
        <w:t>1.做好考研支持计划，切实提升考研率</w:t>
      </w:r>
    </w:p>
    <w:p>
      <w:pPr>
        <w:ind w:firstLine="480"/>
      </w:pPr>
      <w:r>
        <w:t>利用我系农林经济管理专业考研入取率最多的特点，利用毕业生和优秀校友的示范带动作用，分别针对大三打算考研的学生进行</w:t>
      </w:r>
      <w:r>
        <w:rPr>
          <w:rFonts w:hint="eastAsia"/>
        </w:rPr>
        <w:t>“</w:t>
      </w:r>
      <w:r>
        <w:t>考研学习支持计划</w:t>
      </w:r>
      <w:r>
        <w:rPr>
          <w:rFonts w:hint="eastAsia"/>
        </w:rPr>
        <w:t>”</w:t>
      </w:r>
      <w:r>
        <w:t>，进行学校选择、专业选择、学习计划、考研辅导等的全方位支持、帮助学生提前进入备考状态，提高专业整体考研率。力争本年度大四（2022届）毕业生将考研率提升到40%以上。</w:t>
      </w:r>
    </w:p>
    <w:p>
      <w:pPr>
        <w:ind w:firstLine="482"/>
        <w:rPr>
          <w:rFonts w:eastAsia="黑体"/>
          <w:bCs/>
        </w:rPr>
      </w:pPr>
      <w:r>
        <w:rPr>
          <w:rFonts w:eastAsia="黑体"/>
          <w:bCs/>
        </w:rPr>
        <w:t>2.提前做好就业工作，确保专业毕业生就业率</w:t>
      </w:r>
    </w:p>
    <w:p>
      <w:pPr>
        <w:ind w:firstLine="480"/>
      </w:pPr>
      <w:r>
        <w:t>不断拓宽就业工作思路，提前做好就业能力和就业基础教育，利用教学就业实习基地签约等方式，广开学生求职渠道，利用学校</w:t>
      </w:r>
      <w:r>
        <w:rPr>
          <w:rFonts w:hint="eastAsia"/>
        </w:rPr>
        <w:t>“</w:t>
      </w:r>
      <w:r>
        <w:t>新商科服务乡村振兴产教联盟</w:t>
      </w:r>
      <w:r>
        <w:rPr>
          <w:rFonts w:hint="eastAsia"/>
        </w:rPr>
        <w:t>”</w:t>
      </w:r>
      <w:r>
        <w:t>平台，探索校企合作多种模式，促进学生职业发展和就业工作，力争2023届将农林经济管理专业就业率稳定在95%以上。</w:t>
      </w:r>
    </w:p>
    <w:p>
      <w:pPr>
        <w:pStyle w:val="5"/>
        <w:spacing w:before="93" w:after="93"/>
        <w:ind w:firstLine="560"/>
      </w:pPr>
      <w:bookmarkStart w:id="446" w:name="_Toc25110"/>
      <w:r>
        <w:t>六、毕业生就业创业（创业情况、采取的措施、典型案例等）</w:t>
      </w:r>
      <w:bookmarkEnd w:id="446"/>
    </w:p>
    <w:p>
      <w:pPr>
        <w:ind w:firstLine="480"/>
      </w:pPr>
      <w:r>
        <w:t>本专业积极响应国家号召，进行创业教育的宣传，通过职业发展与就业创业指导课、创意创业教学模块等课程以及教师业余时间的指导等，改变了学生的择业观念，有创业思想的学生越来越多，但由于学生的经验不足，核心竞争力及资金的缺乏，真正将创业付诸实施的学生数量相对较少。</w:t>
      </w:r>
    </w:p>
    <w:p>
      <w:pPr>
        <w:pStyle w:val="5"/>
        <w:spacing w:before="93" w:after="93"/>
        <w:ind w:firstLine="560"/>
      </w:pPr>
      <w:bookmarkStart w:id="447" w:name="_Toc19734"/>
      <w:r>
        <w:t>七、专业发展趋势及建议</w:t>
      </w:r>
      <w:bookmarkEnd w:id="447"/>
    </w:p>
    <w:p>
      <w:pPr>
        <w:spacing w:line="390" w:lineRule="exact"/>
        <w:ind w:firstLine="480"/>
      </w:pPr>
      <w:r>
        <w:t xml:space="preserve">农林经济管理专业人才需求具有广阔的发展前景。一方面，中国是一个农业大国，历年来国家对农业高度重视，并逐步加大了对农业的投入，对农林经济管理专业人才有着巨大的需求；山东又是一个农业大省，由农业大省向农业强省转变，需要有高水平的农业经济管理人才队伍支撑和服务。另一方面，社会主义新农村建设正如火如荼的在全国全面展开，需要大量懂经营会管理的专门人才。然而，目前这方面的人才还较少，一些农业经济管理人才转入其它领域，按目前的培养速度还远远不能满足需要。山东农业大学经管学院农林经济管理专业在学生理论水平的培养、实际工作能力的锻炼、教学管理的制度化、科研与教学的结合上具有自己的明显优势，社会对该专业培养人才评价优良。只要现有基础上适应新时期社会对人才素质与能力上的需求特点，充分挖掘潜力，继续加大投入进行建设，保持这种优势，本专业发展前景仍将是一片光明。  </w:t>
      </w:r>
    </w:p>
    <w:p>
      <w:pPr>
        <w:spacing w:line="390" w:lineRule="exact"/>
        <w:ind w:firstLine="480"/>
      </w:pPr>
      <w:r>
        <w:t>建议进一步改进教学质量，加强实践教学，增强毕业学生的竞争力。同时可考虑实行本硕连读。</w:t>
      </w:r>
    </w:p>
    <w:p>
      <w:pPr>
        <w:spacing w:line="390" w:lineRule="exact"/>
        <w:ind w:firstLine="480"/>
      </w:pPr>
      <w:r>
        <w:t>对公费农科生的培养，要围绕乡村振兴，在实践能力方面，全方位加强，与地方联合，探索创新培养模式，面向懂技术、会管理培养全能型实践人才。</w:t>
      </w:r>
    </w:p>
    <w:p>
      <w:pPr>
        <w:pStyle w:val="5"/>
        <w:spacing w:before="93" w:after="93"/>
        <w:ind w:firstLine="560"/>
      </w:pPr>
      <w:bookmarkStart w:id="448" w:name="_Toc11007"/>
      <w:r>
        <w:t>八、存在的问题及整改措施</w:t>
      </w:r>
      <w:bookmarkEnd w:id="448"/>
    </w:p>
    <w:p>
      <w:pPr>
        <w:pStyle w:val="7"/>
        <w:ind w:firstLine="482"/>
        <w:rPr>
          <w:bCs/>
        </w:rPr>
      </w:pPr>
      <w:r>
        <w:rPr>
          <w:bCs/>
        </w:rPr>
        <w:t>1. 存在的主要问题</w:t>
      </w:r>
    </w:p>
    <w:p>
      <w:pPr>
        <w:ind w:firstLine="480"/>
        <w:rPr>
          <w:bCs/>
        </w:rPr>
      </w:pPr>
      <w:r>
        <w:rPr>
          <w:bCs/>
        </w:rPr>
        <w:t xml:space="preserve">（1）教学水平与效果方面存在的问题：一是人才培养质量还需进一步提高。二是教学研究成果还偏少。近些年，虽然对教学研究比以前重视，也有不少成果，但离要求还差较大，且研究成果的水平不够高，特别是国家级水平的甚少，不能很好满足教学需要。三是毕业实习效果有待提高。表现为：学生有时不在岗位；学生实习不认真，不能深入实际调查研究；教师指导不力。四是学生的实践技能不能很好满足社会需要。 </w:t>
      </w:r>
    </w:p>
    <w:p>
      <w:pPr>
        <w:ind w:firstLine="480"/>
        <w:rPr>
          <w:bCs/>
        </w:rPr>
      </w:pPr>
      <w:r>
        <w:rPr>
          <w:bCs/>
        </w:rPr>
        <w:t xml:space="preserve">（2）教学管理方面存在的主要问题：一是由于专业无专职管理人员，由专业保管的资料有些不够规整。二是由于部分教师科研与社会服务任务较重，有时有调停课现象。 </w:t>
      </w:r>
    </w:p>
    <w:p>
      <w:pPr>
        <w:ind w:firstLine="480"/>
        <w:rPr>
          <w:bCs/>
        </w:rPr>
      </w:pPr>
      <w:r>
        <w:rPr>
          <w:bCs/>
        </w:rPr>
        <w:t>（3）教师队伍存在的主要问题：一是教学环节师资略显紧张，特别是专业课教学上，任务较重，师资还需补充。二是由于上课任务较重，专任教师外出进修较少，影响了专任教师业务能力的进一步提升。</w:t>
      </w:r>
    </w:p>
    <w:p>
      <w:pPr>
        <w:ind w:firstLine="480"/>
        <w:rPr>
          <w:bCs/>
        </w:rPr>
      </w:pPr>
      <w:r>
        <w:rPr>
          <w:bCs/>
        </w:rPr>
        <w:t xml:space="preserve">（4）教学条件方面存在的主要问题：一是校内实验室软件有的有些陈旧。二是校外实践基地条件略显差些。表现为办公条件有些简陋，学习场所紧张，指导教师不能及时指导。三是校外实习经费紧张，指导教师有些下不去。 </w:t>
      </w:r>
    </w:p>
    <w:p>
      <w:pPr>
        <w:pStyle w:val="7"/>
        <w:ind w:firstLine="482"/>
        <w:rPr>
          <w:bCs/>
        </w:rPr>
      </w:pPr>
      <w:r>
        <w:rPr>
          <w:bCs/>
        </w:rPr>
        <w:t>2. 整改措施</w:t>
      </w:r>
    </w:p>
    <w:p>
      <w:pPr>
        <w:ind w:firstLine="480"/>
        <w:rPr>
          <w:bCs/>
        </w:rPr>
      </w:pPr>
      <w:r>
        <w:rPr>
          <w:bCs/>
        </w:rPr>
        <w:t>（1）采取措施，进一步提升教学水平。一是从教师队伍、教学改革、教学管理、实验室、教学基地及资料室等方面加强建设与改革，努力提升教学水平与培养质量。二是进一步开展教学研究与科学研究。在完成现有教学科研项目的同时，积极申请教学科研项目，特别是国家级的教研项目；加大奖励力度，促进高水平教研论文的发表。进一步搞好科学研究，并将教学研究与科学研究成果及时应用于教学中，促进教学质量的提高。</w:t>
      </w:r>
    </w:p>
    <w:p>
      <w:pPr>
        <w:ind w:firstLine="480"/>
        <w:rPr>
          <w:bCs/>
        </w:rPr>
      </w:pPr>
      <w:r>
        <w:rPr>
          <w:bCs/>
        </w:rPr>
        <w:t>（2）狠抓实践教学环节，提高学生的实践能力。一是完善实践教学环节计划安排，进行实践教学环节内容与方法的改革。二是搞好教学实习、毕业实习的指导与管理。三是加强实验室、教学基地及资料室建设。四是加强对学生的教育，处理好实习与找工作、其它学习的关系，进一步提高毕业实习效果。</w:t>
      </w:r>
    </w:p>
    <w:p>
      <w:pPr>
        <w:ind w:firstLine="480"/>
        <w:rPr>
          <w:bCs/>
        </w:rPr>
      </w:pPr>
      <w:r>
        <w:rPr>
          <w:bCs/>
        </w:rPr>
        <w:t>（3）进一步加强教学管理。一是明确目标与基本思路。要以</w:t>
      </w:r>
      <w:r>
        <w:rPr>
          <w:rFonts w:hint="eastAsia"/>
          <w:bCs/>
        </w:rPr>
        <w:t>“</w:t>
      </w:r>
      <w:r>
        <w:rPr>
          <w:bCs/>
        </w:rPr>
        <w:t>双主体</w:t>
      </w:r>
      <w:r>
        <w:rPr>
          <w:rFonts w:hint="eastAsia"/>
          <w:bCs/>
        </w:rPr>
        <w:t>”</w:t>
      </w:r>
      <w:r>
        <w:rPr>
          <w:bCs/>
        </w:rPr>
        <w:t>思想为出发点，形成办学以教师为主体，教学以学生为主体，以质量保证为前提，以严格高效为目标的教学管理特色。教学管理要从被动管理走向主动管理，树立管理就是服务，面向市场、面向社会的思想，把握时代特征，以动态、多方位地观察、分析现在乃至未来社会对人才的需求趋势为参照系，考察人才培养模式，考察专业人才培养的现状与社会需求之间的差距，考察学校与其他大学相比较的优势和不足，为培养方案制定、课程设置、专业调整更好地适应社会需要提供咨询建议。二是采取有力措施。严格的教学管理制度是执行教学计划、保证教学质量和维护正常教学秩序的关键，这需要做好六方面工作：维护教学计划严肃性，实行教学环节规范化；慎重选聘任课教师，保证主讲队伍水平；畅通信息反馈渠道，强化教学过程管理，减少甚至消除调停课现象；严肃考风考纪，改进考试办法；实行教学考评制，提高教师责任心；严格档案管理制度，保障院、系各项教学文件齐全规整。</w:t>
      </w:r>
    </w:p>
    <w:p>
      <w:pPr>
        <w:ind w:firstLine="480"/>
        <w:rPr>
          <w:bCs/>
        </w:rPr>
      </w:pPr>
      <w:r>
        <w:rPr>
          <w:bCs/>
        </w:rPr>
        <w:t>（4）进一步搞好师资队伍建设。一是加强人才培养。对于本专业现有人才，要通过鼓励读学位、送出进修学习，让其参加科研及社会实践活动等形式，进一步提高教学、科研能力。二是加强梯队建设，优化队伍结构。引进30岁左右的具有博士学位的教师2-3名，使专业人才的年龄结构、学历结构、学缘结构、职称结构进一步优化。第三，积极实施走出去、请进来的方针，加大对国内、国际间教学、科研合作与交流的投入力度。</w:t>
      </w:r>
    </w:p>
    <w:p>
      <w:pPr>
        <w:ind w:firstLine="480"/>
        <w:rPr>
          <w:bCs/>
        </w:rPr>
      </w:pPr>
      <w:r>
        <w:rPr>
          <w:bCs/>
        </w:rPr>
        <w:t>（5）努力改善办学条件。一是积极向学校、学院及上级有关部门争取较多资金，加大投入，切实改善教学条件。二是尽快及时更新有些陈旧的实验室软件，增加更先进的实验室软件；以数字通讯及网络技术为基础平台，规划建设专业多功能实验、实践教学平台。三是进一步加强校外实践基地建设。在提升现有基地功效的同时，适当增加特色实训基地，为专业实习提高质量、拓宽领域开辟新的着力点；与实现基地单位协商解决实习场所紧张问题；采取物质鼓励措施，调动指导教师的积极性，提高指导水平。四是图书资料在逐步丰富品种、增加数量的同时，根据专业人才培养的需要着重在优化结构、提高新购图书资料的质量上做工作。</w:t>
      </w:r>
    </w:p>
    <w:p>
      <w:r>
        <w:br w:type="page"/>
      </w:r>
    </w:p>
    <w:p>
      <w:pPr>
        <w:pStyle w:val="4"/>
        <w:ind w:firstLine="600"/>
      </w:pPr>
      <w:bookmarkStart w:id="449" w:name="_Toc3261"/>
      <w:bookmarkStart w:id="450" w:name="_Toc7029"/>
      <w:bookmarkStart w:id="451" w:name="_Toc1555"/>
      <w:bookmarkStart w:id="452" w:name="_Toc13806"/>
      <w:bookmarkStart w:id="453" w:name="_Toc31527"/>
      <w:r>
        <w:rPr>
          <w:rFonts w:hint="eastAsia"/>
          <w:lang w:val="en-US"/>
        </w:rPr>
        <w:t>专业四十三：</w:t>
      </w:r>
      <w:r>
        <w:t>旅游管理</w:t>
      </w:r>
      <w:bookmarkEnd w:id="449"/>
      <w:bookmarkEnd w:id="450"/>
      <w:bookmarkEnd w:id="451"/>
      <w:bookmarkEnd w:id="452"/>
      <w:bookmarkEnd w:id="453"/>
    </w:p>
    <w:p>
      <w:pPr>
        <w:pStyle w:val="5"/>
        <w:spacing w:before="93" w:after="93"/>
        <w:ind w:firstLine="560"/>
      </w:pPr>
      <w:r>
        <w:t>一、人才培养目标</w:t>
      </w:r>
    </w:p>
    <w:p>
      <w:pPr>
        <w:ind w:firstLine="480" w:firstLineChars="200"/>
        <w:rPr>
          <w:szCs w:val="24"/>
        </w:rPr>
      </w:pPr>
      <w:r>
        <w:rPr>
          <w:szCs w:val="24"/>
        </w:rPr>
        <w:t>本专业培养适应旅游业发展需要的管理类专门人才，具体培养人才目标具有四个子目标：1.具有良好思想道德品质和综合素养；2.具备自主学习能力、创新能力、团队协作能力、组织领导能力和社会责任感；3.熟悉旅游管理专业发展现状、趋势，能够运用专业知识进行旅游分析、预测、规划等；4.适应各级旅游行政管理部门、旅游企事业单位从事旅游管理及科学研究等方面工作。</w:t>
      </w:r>
    </w:p>
    <w:p>
      <w:pPr>
        <w:pStyle w:val="5"/>
        <w:spacing w:before="93" w:after="93"/>
        <w:ind w:firstLine="560"/>
      </w:pPr>
      <w:bookmarkStart w:id="454" w:name="_Toc11272"/>
      <w:bookmarkStart w:id="455" w:name="_Toc15687"/>
      <w:bookmarkStart w:id="456" w:name="_Toc19737"/>
      <w:bookmarkStart w:id="457" w:name="_Toc30063"/>
      <w:r>
        <w:t>二、培养能力</w:t>
      </w:r>
      <w:bookmarkEnd w:id="454"/>
      <w:bookmarkEnd w:id="455"/>
      <w:bookmarkEnd w:id="456"/>
      <w:bookmarkEnd w:id="457"/>
    </w:p>
    <w:p>
      <w:pPr>
        <w:pStyle w:val="6"/>
        <w:ind w:firstLine="480"/>
      </w:pPr>
      <w:r>
        <w:t>1.专业设置情况</w:t>
      </w:r>
    </w:p>
    <w:p>
      <w:pPr>
        <w:ind w:firstLine="480" w:firstLineChars="200"/>
        <w:rPr>
          <w:szCs w:val="24"/>
        </w:rPr>
      </w:pPr>
      <w:r>
        <w:rPr>
          <w:szCs w:val="24"/>
        </w:rPr>
        <w:t>山东农业大学旅游管理本科专业于2013年设置并招生，连续8年招收本科生，每年招生1-2个班，30-60人左右。2021年，因专业调整，暂停招生。至2022年已有6届旅游管理专业本科毕业生毕业，一次就业率达90%以上；2022届毕业生42人，一次就业率到90%。</w:t>
      </w:r>
    </w:p>
    <w:p>
      <w:pPr>
        <w:pStyle w:val="6"/>
        <w:ind w:firstLine="480"/>
      </w:pPr>
      <w:r>
        <w:t>2.在校生规模</w:t>
      </w:r>
    </w:p>
    <w:p>
      <w:pPr>
        <w:ind w:firstLine="480" w:firstLineChars="200"/>
        <w:rPr>
          <w:szCs w:val="24"/>
        </w:rPr>
      </w:pPr>
      <w:r>
        <w:rPr>
          <w:szCs w:val="24"/>
        </w:rPr>
        <w:t>山东农业大学旅游管理本科专业目前在校学生人数为36人，其中2019级为23人，2020级13人。</w:t>
      </w:r>
    </w:p>
    <w:p>
      <w:pPr>
        <w:pStyle w:val="6"/>
        <w:ind w:firstLine="480"/>
      </w:pPr>
      <w:r>
        <w:t>3.课程设置情况</w:t>
      </w:r>
    </w:p>
    <w:p>
      <w:pPr>
        <w:ind w:firstLine="480" w:firstLineChars="200"/>
        <w:rPr>
          <w:szCs w:val="24"/>
        </w:rPr>
      </w:pPr>
      <w:r>
        <w:rPr>
          <w:szCs w:val="24"/>
        </w:rPr>
        <w:t>本专业设置的主要课程：管理学基础、旅游经济学、旅游学概论、政治经济学、微观经济学、宏观经济学、管理学、旅游经济学、会展旅游、导游实务、酒店管理学、旅行社管理等。</w:t>
      </w:r>
    </w:p>
    <w:p>
      <w:pPr>
        <w:pStyle w:val="6"/>
        <w:ind w:firstLine="480"/>
      </w:pPr>
      <w:r>
        <w:t>4.创新创业教育</w:t>
      </w:r>
    </w:p>
    <w:p>
      <w:pPr>
        <w:ind w:firstLine="480" w:firstLineChars="200"/>
        <w:rPr>
          <w:szCs w:val="24"/>
        </w:rPr>
      </w:pPr>
      <w:r>
        <w:rPr>
          <w:szCs w:val="24"/>
        </w:rPr>
        <w:t>本专业坚持以培养具有创业基本素质和开创型个性为目标开展创新创业教育，一方面努力培育在校学生的创业意识、创业精神、创新创业能力，另一方面注重利用社会资源，通过多种形式分阶段分层次进行创新思维培养和创业能力锻炼。具体教育工作着力围绕以下方面展开：（1）培养创新创业意识：启蒙学生的创新意识和创业精神，使学生了解创新型人才的素质要求，了解创业的概念、要素与特征等，使学生掌握开展创业活动所需要的基本知识。（2）提升创新创业能力：培养学生的批判性思维、洞察力、决策力、组织协调能力与领导力等各项创新创业素质，使学生具备必要的创业能力。（3）营造创新创业环境：引导学生认知当今企业及行业环境，了解创业机会，把握创业风险，掌握商业模式开发的过程，设计策略及技巧等。（4）模拟创新创业活动。</w:t>
      </w:r>
    </w:p>
    <w:p>
      <w:pPr>
        <w:ind w:firstLine="480" w:firstLineChars="200"/>
        <w:rPr>
          <w:szCs w:val="24"/>
        </w:rPr>
      </w:pPr>
      <w:r>
        <w:rPr>
          <w:szCs w:val="24"/>
        </w:rPr>
        <w:t>在组织实施方面，实行创新创业导师负责制。指导教师是学生创新创业实践环节教学第一责任人，负责指导学生按要求独立开展创新创业实践活动。学生自主选择创新创业实践形式，在毕业前完成创新创业实践环节。另外，为鼓励创新创业实践，还建立了学院大学生创新创业中心。</w:t>
      </w:r>
    </w:p>
    <w:p>
      <w:pPr>
        <w:pStyle w:val="5"/>
        <w:spacing w:before="93" w:after="93"/>
        <w:ind w:firstLine="560"/>
      </w:pPr>
      <w:r>
        <w:t>三、培养条件</w:t>
      </w:r>
    </w:p>
    <w:p>
      <w:pPr>
        <w:pStyle w:val="6"/>
        <w:ind w:firstLine="480"/>
      </w:pPr>
      <w:r>
        <w:t>1.教学经费投入</w:t>
      </w:r>
    </w:p>
    <w:p>
      <w:pPr>
        <w:ind w:firstLine="480" w:firstLineChars="200"/>
        <w:rPr>
          <w:szCs w:val="24"/>
        </w:rPr>
      </w:pPr>
      <w:r>
        <w:rPr>
          <w:szCs w:val="24"/>
        </w:rPr>
        <w:t>教学经费是夯实专业教学建设条件，确保教学正常运行，推进教学改革，提高教学质量的基本教学经费。自从本专业开办以来，学校和学院比较重视对本专业教学经费的投入。每年教学经费和实习经费投入约20万元，用于教学实习、毕业实习、创新创业和实验教学。</w:t>
      </w:r>
    </w:p>
    <w:p>
      <w:pPr>
        <w:pStyle w:val="6"/>
        <w:ind w:firstLine="480"/>
      </w:pPr>
      <w:r>
        <w:t>2.教学设备</w:t>
      </w:r>
    </w:p>
    <w:p>
      <w:pPr>
        <w:ind w:firstLine="480" w:firstLineChars="200"/>
        <w:rPr>
          <w:szCs w:val="24"/>
        </w:rPr>
      </w:pPr>
      <w:r>
        <w:rPr>
          <w:szCs w:val="24"/>
        </w:rPr>
        <w:t>为了适应旅游管理专业教育发展和教学工作的开展，学校和学院在资金投入上给予必要保障，扶持本专业购置旅游管理类专业书籍、资料和报刊及相应的实习实验教学设备。学校现有与本专业相关图书3万余册，专业报刊80多种，期刊杂志160多种。</w:t>
      </w:r>
    </w:p>
    <w:p>
      <w:pPr>
        <w:ind w:firstLine="480" w:firstLineChars="200"/>
        <w:rPr>
          <w:szCs w:val="24"/>
        </w:rPr>
      </w:pPr>
      <w:r>
        <w:rPr>
          <w:szCs w:val="24"/>
        </w:rPr>
        <w:t>经管学院目前建有与本专业相关的具有显著学科及专业特色的教学实验室4个，其中专门建设旅游管理虚拟仿真实验室一个，居于全国同类实验室领先水平，实验室使用面积500m</w:t>
      </w:r>
      <w:r>
        <w:rPr>
          <w:szCs w:val="24"/>
          <w:vertAlign w:val="superscript"/>
        </w:rPr>
        <w:t>2</w:t>
      </w:r>
      <w:r>
        <w:rPr>
          <w:szCs w:val="24"/>
        </w:rPr>
        <w:t>，现有高性能的计算机120余台、教学软件系统20套，价值540余万元。形成了强化学生的能力培养、突出学生创新能力和实际操作能力并兼顾学生个性发展的全新的实验教学新体系。旅游管理信息综合实验室，该实验室包括旅行社信息实验室、酒店信息实验室；财务会计与财务管理综合实验室，该系列实验包括财务管理系列实验与财务会计系列实验；市场营销及电子商务实验室，该系列实验包括电子商务模拟实验、电子支付模拟实验、市场分析模拟实验；工商管理综合实验室，该系列实验包括：工商管理模拟实验、人力资源管理模拟实验及企业信息化系列实验和信息智能分析系列实验等。实验教学采用网络教学、多媒体教学等先进技术，手工模拟操作、计算机模拟操作、仿真实验、完全现场教学等多种方式相结合，达到了现场教学的效果。实验室全天候向学生开放。所有这些都为经济学专业创造了良好办学条件。</w:t>
      </w:r>
    </w:p>
    <w:p>
      <w:pPr>
        <w:pStyle w:val="6"/>
        <w:ind w:firstLine="480"/>
      </w:pPr>
      <w:r>
        <w:t>3.教师队伍建设</w:t>
      </w:r>
    </w:p>
    <w:p>
      <w:pPr>
        <w:ind w:firstLine="480" w:firstLineChars="200"/>
        <w:rPr>
          <w:szCs w:val="24"/>
        </w:rPr>
      </w:pPr>
      <w:r>
        <w:rPr>
          <w:szCs w:val="24"/>
        </w:rPr>
        <w:t>旅游管理专业现有专职教师7人，其中，教授2人，副教授4人，讲师1人。6名教师具有博士学位，30-50岁中青年教师占比超过90%，初步形成了一支年富力强、学历层次水平高、学缘结构科学、职称结构较合理，教学作风严谨、教学水平较高的师资队伍，较好保障了各项教学任务的顺利完成，有力支撑了本专业人才培养目标的实现。</w:t>
      </w:r>
    </w:p>
    <w:p>
      <w:pPr>
        <w:pStyle w:val="6"/>
        <w:ind w:firstLine="480"/>
      </w:pPr>
      <w:r>
        <w:t>4.现代教学技术应用</w:t>
      </w:r>
    </w:p>
    <w:p>
      <w:pPr>
        <w:ind w:firstLine="480" w:firstLineChars="200"/>
        <w:rPr>
          <w:szCs w:val="24"/>
        </w:rPr>
      </w:pPr>
      <w:r>
        <w:rPr>
          <w:szCs w:val="24"/>
        </w:rPr>
        <w:t>本专业十分重视多媒体、MOOC、微课和虚拟仿真等现代教学技术应用。现代信息技术的运用，有助于改变传统的教学模式和学习方式，激发学生学习兴趣，提高教与学的效率。（1）运用现代信息技术手段激发学生的求知欲，挖掘学生的情感因素，教学中，教师创造的宽松、和谐的教学环境可使学生心情舒畅，思维活跃，教师对学生的充分信任、鼓励，会使他们产生巨大的精神动力。使学生在充满情趣与快乐的情境中发现问题，解决问题。（2）运用现代信息技术，实现教学方式的变革。将现代信息技术已广泛地用于教育教学过程，如多媒体显示技术、虚拟仿真及应用软件辅助教学等。目前有微观经济学、宏观经济学、计量经济学、产业经济学、资源经济学等5门课程构成的经济学系列课程被确定为省级精品课程。</w:t>
      </w:r>
    </w:p>
    <w:p>
      <w:pPr>
        <w:pStyle w:val="5"/>
        <w:spacing w:before="93" w:after="93"/>
        <w:ind w:firstLine="560"/>
      </w:pPr>
      <w:r>
        <w:t>四、培养机制与特色</w:t>
      </w:r>
    </w:p>
    <w:p>
      <w:pPr>
        <w:pStyle w:val="6"/>
        <w:ind w:firstLine="480"/>
      </w:pPr>
      <w:r>
        <w:t>1.产学研协同育人机制</w:t>
      </w:r>
    </w:p>
    <w:p>
      <w:pPr>
        <w:ind w:firstLine="480" w:firstLineChars="200"/>
        <w:rPr>
          <w:szCs w:val="24"/>
        </w:rPr>
      </w:pPr>
      <w:r>
        <w:rPr>
          <w:szCs w:val="24"/>
        </w:rPr>
        <w:t>（1）重视科研对教学质量提升的引领作用。旅游管理专业教师除了承担繁重本科教学任务，另出版专著2本，发表论文20余篇；先后承担国家自然科学基金项目、国家社会科学基金项目、国家科技支撑项目等国家级课题3项，省社科规划重点项目、山东省自然科学基金项目、山东省软科学项目6项。本专业教师近年来获奖得省级及以上奖4项，为旅游管理本科专业奠定了良好的基础。</w:t>
      </w:r>
    </w:p>
    <w:p>
      <w:pPr>
        <w:ind w:firstLine="480" w:firstLineChars="200"/>
        <w:rPr>
          <w:szCs w:val="24"/>
        </w:rPr>
      </w:pPr>
      <w:r>
        <w:rPr>
          <w:szCs w:val="24"/>
        </w:rPr>
        <w:t>（2）转变观念，加强教改。根据旅游管理专业的培养目标和人才培养的业务规格，进一步强调坚持培养复合型高级专门人才的办学思想，定位于适应经济社会发展需要，按照厚基础、强能力，坚持以基本素质和职业能力的培养为主线构建教学体系，重组课程，优化课程结构。主要内容包括：进一步改革和完善课程和教学内容，建立结构合理、体系完整的理论课程体系；构建以针对性、应用性、实践性为基本特点的实践教学体系；加强精品课程及试题库建设，以精品课程建设为课程建设的推动力；加强教材建设，旅游管理专业注重教材建设，积极鼓励教师参加全国统编教材的编写。</w:t>
      </w:r>
    </w:p>
    <w:p>
      <w:pPr>
        <w:pStyle w:val="6"/>
        <w:ind w:firstLine="480"/>
      </w:pPr>
      <w:r>
        <w:t>2.教学管理</w:t>
      </w:r>
    </w:p>
    <w:p>
      <w:pPr>
        <w:ind w:firstLine="480" w:firstLineChars="200"/>
        <w:rPr>
          <w:szCs w:val="24"/>
        </w:rPr>
      </w:pPr>
      <w:r>
        <w:rPr>
          <w:szCs w:val="24"/>
        </w:rPr>
        <w:t>本着</w:t>
      </w:r>
      <w:r>
        <w:rPr>
          <w:rFonts w:hint="eastAsia"/>
          <w:szCs w:val="24"/>
        </w:rPr>
        <w:t>“</w:t>
      </w:r>
      <w:r>
        <w:rPr>
          <w:szCs w:val="24"/>
        </w:rPr>
        <w:t>宽口径、厚基础、强能力、高素质</w:t>
      </w:r>
      <w:r>
        <w:rPr>
          <w:rFonts w:hint="eastAsia"/>
          <w:szCs w:val="24"/>
        </w:rPr>
        <w:t>”</w:t>
      </w:r>
      <w:r>
        <w:rPr>
          <w:szCs w:val="24"/>
        </w:rPr>
        <w:t>的原则，以及注重理论基础和实践能力培养的宗旨，根据社会对旅游管理人才需求变化，不断完善旅游管理专业人才培养计划。具体做法：</w:t>
      </w:r>
    </w:p>
    <w:p>
      <w:pPr>
        <w:ind w:firstLine="480" w:firstLineChars="200"/>
        <w:rPr>
          <w:szCs w:val="24"/>
        </w:rPr>
      </w:pPr>
      <w:r>
        <w:rPr>
          <w:szCs w:val="24"/>
        </w:rPr>
        <w:t>（1）创新教学内容。坚持以主干课程为主导，以社会对人才培养实际要求为主要内容选用教材，建立模块化的教材体系。一是根据需要，参照国内外其他高校同类专业课程设置状况，适当增减课程，并合理安排时序，以优化课程体系。二是合理界定专业教学指导委员会、教研室及课程组的职责与功能，使围绕课程建设的教学研讨活动常规化，调动各方面进行课程建设的积极性。三是围绕课程内容、配套材料、教学方式、教学手段开展教学研究。四是以课程组为基本单位，充分发挥课程负责人及主讲教师的作用，以课程组为基础组成项目组，完成各类课程建设项目。</w:t>
      </w:r>
    </w:p>
    <w:p>
      <w:pPr>
        <w:ind w:firstLine="480" w:firstLineChars="200"/>
        <w:rPr>
          <w:szCs w:val="24"/>
        </w:rPr>
      </w:pPr>
      <w:r>
        <w:rPr>
          <w:szCs w:val="24"/>
        </w:rPr>
        <w:t>（2）转变教学方式。一是在课程体系设计上，按照我校按类培养的教学模式，于2018年进行了培养方案修订。现已形成通识教育课程、专业基础课程、专业必修课程、专业限选课程、个性发展课、实践教学环节六个模块，按照研究性和实际应用型培养目标在各个模块进行课程修订。二是在实践教学上，注重充分发挥校内专业实验室的优势，在校外利用好校外实践教学基地上做文章，培养学生理论与实践相结合分析问题解决问题的能力。三是在教风、学风建设上，通过课堂听课制度、专业教师定期研讨等提高老师的教学水平。充分发挥导师制的作用，从新生入学抓起，培养学生良好的学习风气和专业兴趣。</w:t>
      </w:r>
    </w:p>
    <w:p>
      <w:pPr>
        <w:ind w:firstLine="480" w:firstLineChars="200"/>
        <w:rPr>
          <w:szCs w:val="24"/>
        </w:rPr>
      </w:pPr>
      <w:r>
        <w:rPr>
          <w:szCs w:val="24"/>
        </w:rPr>
        <w:t>（3）树立对教学质量进行全过程、全方位、全员监督的新理念。教学质量是学校办学的生命所在，对教学质量的监督不仅仅是对教学结果的监督，而应体现在对教学环节整个过程进行全方位的跟踪监督，包括人才培养方案制定和落实的监督、教材编写或选用的监督、任课教师任职资格和授课效果的监督、学生学习过程的监督、实习实训环节的监督等方面。</w:t>
      </w:r>
    </w:p>
    <w:p>
      <w:pPr>
        <w:pStyle w:val="5"/>
        <w:spacing w:before="93" w:after="93"/>
        <w:ind w:firstLine="560"/>
      </w:pPr>
      <w:r>
        <w:t>五、培养质量</w:t>
      </w:r>
    </w:p>
    <w:p>
      <w:pPr>
        <w:ind w:firstLine="480" w:firstLineChars="200"/>
        <w:rPr>
          <w:szCs w:val="24"/>
        </w:rPr>
      </w:pPr>
      <w:r>
        <w:rPr>
          <w:szCs w:val="24"/>
        </w:rPr>
        <w:t>专业注重在校生素质培养，除了认真做好教学工作外，在实习实践中，联系高标准五星级酒店和休闲农业园作为实习基地。引导学生积极参加省级专业大赛，1只参赛队伍表现突出，获山东省大学生互联网+旅游大赛二等奖。2022届毕业生就业率90%。就业专业对口率60%；就业单位分布情况是：考取硕士研究生10%，考取公务员占15%，社会事业单位约占15%，企业管理部门占38%，其他单位占比22%左右。社会对旅游管理专业学生素质和能力满意率超过90%。</w:t>
      </w:r>
    </w:p>
    <w:p>
      <w:pPr>
        <w:ind w:firstLine="480" w:firstLineChars="200"/>
        <w:rPr>
          <w:szCs w:val="24"/>
        </w:rPr>
      </w:pPr>
      <w:r>
        <w:rPr>
          <w:szCs w:val="24"/>
        </w:rPr>
        <w:t>学生就读旅游管理专业的意愿情况：因学校和学院专业建设调整，该专业2021年暂停招生。 2020级专业调整后，就读本专业13人。</w:t>
      </w:r>
    </w:p>
    <w:p>
      <w:pPr>
        <w:pStyle w:val="5"/>
        <w:spacing w:before="93" w:after="93"/>
        <w:ind w:firstLine="560"/>
      </w:pPr>
      <w:r>
        <w:t>六、毕业生就业创业</w:t>
      </w:r>
    </w:p>
    <w:p>
      <w:pPr>
        <w:ind w:firstLine="480" w:firstLineChars="200"/>
        <w:rPr>
          <w:szCs w:val="24"/>
        </w:rPr>
      </w:pPr>
      <w:r>
        <w:rPr>
          <w:szCs w:val="24"/>
        </w:rPr>
        <w:t xml:space="preserve">本专业积极响应国家号召，进行创业教育的宣传，通过职业发展与就业创业指导课、创意创业教学模块等课程，教师业余时间的指导等，改变了学生的择业观念，有创业思想的学生越来越多，很多学生愿意从事民宿、旅行社等创业活动。 </w:t>
      </w:r>
    </w:p>
    <w:p>
      <w:pPr>
        <w:pStyle w:val="5"/>
        <w:spacing w:before="93" w:after="93"/>
        <w:ind w:firstLine="560"/>
      </w:pPr>
      <w:r>
        <w:t>七、专业发展趋势及建议</w:t>
      </w:r>
    </w:p>
    <w:p>
      <w:pPr>
        <w:ind w:firstLine="480" w:firstLineChars="200"/>
        <w:rPr>
          <w:szCs w:val="24"/>
        </w:rPr>
      </w:pPr>
      <w:r>
        <w:rPr>
          <w:szCs w:val="24"/>
        </w:rPr>
        <w:t>目前我国旅游发展处于黄金时期，这对培养适应新时期社会经济发展的旅游管理专门人才提出了跟高的要求，也为高级专门旅游管理人才发挥自身才能提供了广阔天地。尽管我国一些高校已培养出一定数量的、杰出的旅游管理人才，但无论从规模上、质量以及结构上还远远不能满足我国旅游发展趋势。</w:t>
      </w:r>
    </w:p>
    <w:p>
      <w:pPr>
        <w:ind w:firstLine="480" w:firstLineChars="200"/>
        <w:rPr>
          <w:szCs w:val="24"/>
        </w:rPr>
      </w:pPr>
      <w:r>
        <w:rPr>
          <w:szCs w:val="24"/>
        </w:rPr>
        <w:t>本专业以经济管理学院现有经济与管理两大学科群体系平台为支撑，面向旅游市场需求，着力培养基础理论扎实、创新创业意识强、综合能力高的复合型高级专门人才，能够广泛适应社会经济发展的需要，招生就业前景最为广阔，发展趋势良好。</w:t>
      </w:r>
    </w:p>
    <w:p>
      <w:pPr>
        <w:pStyle w:val="5"/>
        <w:spacing w:before="93" w:after="93"/>
        <w:ind w:firstLine="560"/>
      </w:pPr>
      <w:r>
        <w:t>八、存在的问题及整改措施</w:t>
      </w:r>
    </w:p>
    <w:p>
      <w:pPr>
        <w:ind w:firstLine="480" w:firstLineChars="200"/>
        <w:rPr>
          <w:szCs w:val="24"/>
        </w:rPr>
      </w:pPr>
      <w:r>
        <w:rPr>
          <w:szCs w:val="24"/>
        </w:rPr>
        <w:t>1.教学水平与效果方面存在的问题：一是人才培养质量还需进一步提高。二是教学研究成果还偏少。整改措施一是从教师队伍、教学改革、教学管理、实验室、教学基地及资料室等方面加强建设与改革，努力提升教学水平与培养质量。二是加强教学研究与科学研究激励，促进高水平教研论文的发表。三是加强教师的实践锻炼，通过鼓励老师带领学生实习实践和参与创新创业大赛，提高教师的实践育人能力。</w:t>
      </w:r>
    </w:p>
    <w:p>
      <w:pPr>
        <w:ind w:firstLine="480" w:firstLineChars="200"/>
        <w:rPr>
          <w:szCs w:val="24"/>
        </w:rPr>
      </w:pPr>
      <w:r>
        <w:rPr>
          <w:szCs w:val="24"/>
        </w:rPr>
        <w:t>2.师资队伍层次难以满足有效需求，高端人才引进难度大。具体解决措施包括：（1）根据学科和专业发展需要，引进学术水平高、有一定知名度和社会影响力、有广阔发展前途、在经济学专业方面具有领军资质的教师。（2）根据专业发展需要，引进一些高学历的年轻教师，进一步提升专业教师队伍结构层次。（3）加强现有师资队伍在职培训，激励教师参加各类业务培训班和进修班学习。</w:t>
      </w:r>
    </w:p>
    <w:p>
      <w:pPr>
        <w:ind w:firstLine="480" w:firstLineChars="200"/>
        <w:rPr>
          <w:szCs w:val="24"/>
        </w:rPr>
      </w:pPr>
      <w:r>
        <w:rPr>
          <w:szCs w:val="24"/>
        </w:rPr>
        <w:t>3.专业定位方面，专业特色还不够强，培养方向主要面向旅行社、酒店和景区旅游。下一步的整改措施要调整方向定位，依托农业大学和经济管理学院特色，重点发展休闲农业与乡村旅游。</w:t>
      </w:r>
    </w:p>
    <w:p>
      <w:pPr>
        <w:ind w:firstLine="480" w:firstLineChars="200"/>
        <w:rPr>
          <w:szCs w:val="24"/>
        </w:rPr>
      </w:pPr>
      <w:r>
        <w:rPr>
          <w:szCs w:val="24"/>
        </w:rPr>
        <w:br w:type="page"/>
      </w:r>
    </w:p>
    <w:p>
      <w:pPr>
        <w:pStyle w:val="4"/>
        <w:ind w:firstLine="600"/>
      </w:pPr>
      <w:bookmarkStart w:id="458" w:name="_Toc10246"/>
      <w:bookmarkStart w:id="459" w:name="_Toc3634"/>
      <w:bookmarkStart w:id="460" w:name="_Toc23781"/>
      <w:bookmarkStart w:id="461" w:name="_Toc20350"/>
      <w:r>
        <w:rPr>
          <w:lang w:val="en-US"/>
        </w:rPr>
        <w:t>专业四十</w:t>
      </w:r>
      <w:r>
        <w:rPr>
          <w:rFonts w:hint="eastAsia"/>
          <w:lang w:val="en-US"/>
        </w:rPr>
        <w:t>四</w:t>
      </w:r>
      <w:r>
        <w:rPr>
          <w:lang w:val="en-US"/>
        </w:rPr>
        <w:t>：</w:t>
      </w:r>
      <w:r>
        <w:t>食品科学与工程</w:t>
      </w:r>
      <w:bookmarkEnd w:id="458"/>
      <w:bookmarkEnd w:id="459"/>
      <w:bookmarkEnd w:id="460"/>
      <w:bookmarkEnd w:id="461"/>
    </w:p>
    <w:p>
      <w:pPr>
        <w:pStyle w:val="5"/>
        <w:spacing w:before="93" w:after="93"/>
        <w:ind w:firstLine="560"/>
      </w:pPr>
      <w:bookmarkStart w:id="462" w:name="_Toc21826"/>
      <w:r>
        <w:t>一、培养目标与规格</w:t>
      </w:r>
      <w:bookmarkEnd w:id="462"/>
    </w:p>
    <w:p>
      <w:pPr>
        <w:autoSpaceDE w:val="0"/>
        <w:autoSpaceDN w:val="0"/>
        <w:adjustRightInd w:val="0"/>
        <w:snapToGrid w:val="0"/>
        <w:ind w:firstLine="480"/>
        <w:jc w:val="left"/>
        <w:rPr>
          <w:rFonts w:eastAsiaTheme="majorEastAsia"/>
          <w:color w:val="000000" w:themeColor="text1"/>
          <w:kern w:val="0"/>
          <w:szCs w:val="24"/>
          <w14:textFill>
            <w14:solidFill>
              <w14:schemeClr w14:val="tx1"/>
            </w14:solidFill>
          </w14:textFill>
        </w:rPr>
      </w:pPr>
      <w:r>
        <w:rPr>
          <w:rFonts w:eastAsiaTheme="majorEastAsia"/>
          <w:color w:val="000000" w:themeColor="text1"/>
          <w:kern w:val="0"/>
          <w:szCs w:val="24"/>
          <w14:textFill>
            <w14:solidFill>
              <w14:schemeClr w14:val="tx1"/>
            </w14:solidFill>
          </w14:textFill>
        </w:rPr>
        <w:t>本专业面向我国食品工业转型升级、产业创新发展的战略需求以及</w:t>
      </w:r>
      <w:r>
        <w:rPr>
          <w:rFonts w:hint="eastAsia" w:eastAsiaTheme="majorEastAsia"/>
          <w:color w:val="000000" w:themeColor="text1"/>
          <w:kern w:val="0"/>
          <w:szCs w:val="24"/>
          <w14:textFill>
            <w14:solidFill>
              <w14:schemeClr w14:val="tx1"/>
            </w14:solidFill>
          </w14:textFill>
        </w:rPr>
        <w:t>“</w:t>
      </w:r>
      <w:r>
        <w:rPr>
          <w:rFonts w:eastAsiaTheme="majorEastAsia"/>
          <w:color w:val="000000" w:themeColor="text1"/>
          <w:kern w:val="0"/>
          <w:szCs w:val="24"/>
          <w14:textFill>
            <w14:solidFill>
              <w14:schemeClr w14:val="tx1"/>
            </w14:solidFill>
          </w14:textFill>
        </w:rPr>
        <w:t>双一流</w:t>
      </w:r>
      <w:r>
        <w:rPr>
          <w:rFonts w:hint="eastAsia" w:eastAsiaTheme="majorEastAsia"/>
          <w:color w:val="000000" w:themeColor="text1"/>
          <w:kern w:val="0"/>
          <w:szCs w:val="24"/>
          <w14:textFill>
            <w14:solidFill>
              <w14:schemeClr w14:val="tx1"/>
            </w14:solidFill>
          </w14:textFill>
        </w:rPr>
        <w:t>”</w:t>
      </w:r>
      <w:r>
        <w:rPr>
          <w:rFonts w:eastAsiaTheme="majorEastAsia"/>
          <w:color w:val="000000" w:themeColor="text1"/>
          <w:kern w:val="0"/>
          <w:szCs w:val="24"/>
          <w14:textFill>
            <w14:solidFill>
              <w14:schemeClr w14:val="tx1"/>
            </w14:solidFill>
          </w14:textFill>
        </w:rPr>
        <w:t>和新工科建设需要，聚焦北方区域农产品的资源特色，依托山东省食品产业优势，培养</w:t>
      </w:r>
      <w:r>
        <w:rPr>
          <w:rFonts w:hint="eastAsia" w:eastAsiaTheme="majorEastAsia"/>
          <w:color w:val="000000" w:themeColor="text1"/>
          <w:kern w:val="0"/>
          <w:szCs w:val="24"/>
          <w14:textFill>
            <w14:solidFill>
              <w14:schemeClr w14:val="tx1"/>
            </w14:solidFill>
          </w14:textFill>
        </w:rPr>
        <w:t>“</w:t>
      </w:r>
      <w:r>
        <w:rPr>
          <w:rFonts w:eastAsiaTheme="majorEastAsia"/>
          <w:color w:val="000000" w:themeColor="text1"/>
          <w:kern w:val="0"/>
          <w:szCs w:val="24"/>
          <w14:textFill>
            <w14:solidFill>
              <w14:schemeClr w14:val="tx1"/>
            </w14:solidFill>
          </w14:textFill>
        </w:rPr>
        <w:t>德智体美劳</w:t>
      </w:r>
      <w:r>
        <w:rPr>
          <w:rFonts w:hint="eastAsia" w:eastAsiaTheme="majorEastAsia"/>
          <w:color w:val="000000" w:themeColor="text1"/>
          <w:kern w:val="0"/>
          <w:szCs w:val="24"/>
          <w14:textFill>
            <w14:solidFill>
              <w14:schemeClr w14:val="tx1"/>
            </w14:solidFill>
          </w14:textFill>
        </w:rPr>
        <w:t>”</w:t>
      </w:r>
      <w:r>
        <w:rPr>
          <w:rFonts w:eastAsiaTheme="majorEastAsia"/>
          <w:color w:val="000000" w:themeColor="text1"/>
          <w:kern w:val="0"/>
          <w:szCs w:val="24"/>
          <w14:textFill>
            <w14:solidFill>
              <w14:schemeClr w14:val="tx1"/>
            </w14:solidFill>
          </w14:textFill>
        </w:rPr>
        <w:t>全面发展，具有坚定理想信念、良好道德情操、扎实科学理论、工程技术和实践技能的社会主义事业可靠接班人和合格建设者，能够在食品生产、流通、贸易等领域从事食品工艺与工程设计、产品开发、品质控制、检验检疫、项目管理等工作的工程师。本专业毕业生经过5年左右的职业历练能成为技术骨干或中层领导。</w:t>
      </w:r>
    </w:p>
    <w:p>
      <w:pPr>
        <w:autoSpaceDE w:val="0"/>
        <w:autoSpaceDN w:val="0"/>
        <w:adjustRightInd w:val="0"/>
        <w:snapToGrid w:val="0"/>
        <w:ind w:firstLine="480"/>
        <w:jc w:val="left"/>
        <w:rPr>
          <w:rFonts w:eastAsiaTheme="majorEastAsia"/>
          <w:color w:val="000000" w:themeColor="text1"/>
          <w:kern w:val="0"/>
          <w:szCs w:val="24"/>
          <w14:textFill>
            <w14:solidFill>
              <w14:schemeClr w14:val="tx1"/>
            </w14:solidFill>
          </w14:textFill>
        </w:rPr>
      </w:pPr>
      <w:r>
        <w:rPr>
          <w:rFonts w:eastAsiaTheme="majorEastAsia"/>
          <w:color w:val="000000" w:themeColor="text1"/>
          <w:kern w:val="0"/>
          <w:szCs w:val="24"/>
          <w14:textFill>
            <w14:solidFill>
              <w14:schemeClr w14:val="tx1"/>
            </w14:solidFill>
          </w14:textFill>
        </w:rPr>
        <w:t>本专业本科毕业生的具体培养目标如下：</w:t>
      </w:r>
    </w:p>
    <w:p>
      <w:pPr>
        <w:adjustRightInd w:val="0"/>
        <w:snapToGrid w:val="0"/>
        <w:ind w:firstLine="480"/>
        <w:rPr>
          <w:rFonts w:eastAsiaTheme="majorEastAsia"/>
          <w:color w:val="000000" w:themeColor="text1"/>
          <w:kern w:val="0"/>
          <w:szCs w:val="24"/>
          <w14:textFill>
            <w14:solidFill>
              <w14:schemeClr w14:val="tx1"/>
            </w14:solidFill>
          </w14:textFill>
        </w:rPr>
      </w:pPr>
      <w:r>
        <w:rPr>
          <w:rFonts w:eastAsiaTheme="majorEastAsia"/>
          <w:color w:val="000000" w:themeColor="text1"/>
          <w:kern w:val="0"/>
          <w:szCs w:val="24"/>
          <w14:textFill>
            <w14:solidFill>
              <w14:schemeClr w14:val="tx1"/>
            </w14:solidFill>
          </w14:textFill>
        </w:rPr>
        <w:t>培养目标1：能坚持正确的政治方向，具备良好的人文素养、高度的社会责任感、国际视野和团队合作与领导能力，德智体美劳全面发展；</w:t>
      </w:r>
    </w:p>
    <w:p>
      <w:pPr>
        <w:adjustRightInd w:val="0"/>
        <w:snapToGrid w:val="0"/>
        <w:ind w:firstLine="480"/>
        <w:rPr>
          <w:rFonts w:eastAsiaTheme="majorEastAsia"/>
          <w:color w:val="000000" w:themeColor="text1"/>
          <w:kern w:val="0"/>
          <w:szCs w:val="24"/>
          <w14:textFill>
            <w14:solidFill>
              <w14:schemeClr w14:val="tx1"/>
            </w14:solidFill>
          </w14:textFill>
        </w:rPr>
      </w:pPr>
      <w:r>
        <w:rPr>
          <w:rFonts w:eastAsiaTheme="majorEastAsia"/>
          <w:color w:val="000000" w:themeColor="text1"/>
          <w:kern w:val="0"/>
          <w:szCs w:val="24"/>
          <w14:textFill>
            <w14:solidFill>
              <w14:schemeClr w14:val="tx1"/>
            </w14:solidFill>
          </w14:textFill>
        </w:rPr>
        <w:t xml:space="preserve">培养目标2：具备坚实的数学、自然科学、工程基础与食品专业等知识； </w:t>
      </w:r>
    </w:p>
    <w:p>
      <w:pPr>
        <w:adjustRightInd w:val="0"/>
        <w:snapToGrid w:val="0"/>
        <w:ind w:firstLine="480"/>
        <w:rPr>
          <w:rFonts w:eastAsiaTheme="majorEastAsia"/>
          <w:color w:val="000000" w:themeColor="text1"/>
          <w:kern w:val="0"/>
          <w:szCs w:val="24"/>
          <w14:textFill>
            <w14:solidFill>
              <w14:schemeClr w14:val="tx1"/>
            </w14:solidFill>
          </w14:textFill>
        </w:rPr>
      </w:pPr>
      <w:r>
        <w:rPr>
          <w:rFonts w:eastAsiaTheme="majorEastAsia"/>
          <w:color w:val="000000" w:themeColor="text1"/>
          <w:kern w:val="0"/>
          <w:szCs w:val="24"/>
          <w14:textFill>
            <w14:solidFill>
              <w14:schemeClr w14:val="tx1"/>
            </w14:solidFill>
          </w14:textFill>
        </w:rPr>
        <w:t xml:space="preserve">培养目标3：具有使用现代工具解决农产品加工及贮藏的复杂问题，具备沟通交流和工程技术方案评价能力； </w:t>
      </w:r>
    </w:p>
    <w:p>
      <w:pPr>
        <w:adjustRightInd w:val="0"/>
        <w:snapToGrid w:val="0"/>
        <w:ind w:firstLine="480"/>
        <w:rPr>
          <w:rFonts w:eastAsiaTheme="majorEastAsia"/>
          <w:color w:val="000000" w:themeColor="text1"/>
          <w:kern w:val="0"/>
          <w:szCs w:val="24"/>
          <w14:textFill>
            <w14:solidFill>
              <w14:schemeClr w14:val="tx1"/>
            </w14:solidFill>
          </w14:textFill>
        </w:rPr>
      </w:pPr>
      <w:r>
        <w:rPr>
          <w:rFonts w:eastAsiaTheme="majorEastAsia"/>
          <w:color w:val="000000" w:themeColor="text1"/>
          <w:kern w:val="0"/>
          <w:szCs w:val="24"/>
          <w14:textFill>
            <w14:solidFill>
              <w14:schemeClr w14:val="tx1"/>
            </w14:solidFill>
          </w14:textFill>
        </w:rPr>
        <w:t>培养目标4：具备能够解决农产品加工及贮藏领域复杂工程问题的创新意识、终身学习能力。</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本专业基本学制为4年，学习年限为3-8年。</w:t>
      </w:r>
    </w:p>
    <w:p>
      <w:pPr>
        <w:pStyle w:val="5"/>
        <w:spacing w:before="93" w:after="93"/>
        <w:ind w:firstLine="560"/>
      </w:pPr>
      <w:bookmarkStart w:id="463" w:name="_Toc13750"/>
      <w:r>
        <w:t>二、培养能力</w:t>
      </w:r>
      <w:bookmarkEnd w:id="463"/>
    </w:p>
    <w:p>
      <w:pPr>
        <w:pStyle w:val="6"/>
        <w:ind w:firstLine="480"/>
        <w:rPr>
          <w:color w:val="000000" w:themeColor="text1"/>
          <w14:textFill>
            <w14:solidFill>
              <w14:schemeClr w14:val="tx1"/>
            </w14:solidFill>
          </w14:textFill>
        </w:rPr>
      </w:pPr>
      <w:r>
        <w:rPr>
          <w:color w:val="000000" w:themeColor="text1"/>
          <w14:textFill>
            <w14:solidFill>
              <w14:schemeClr w14:val="tx1"/>
            </w14:solidFill>
          </w14:textFill>
        </w:rPr>
        <w:t>1.专业基本情况</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始建于1985年的农产品加工与贮藏专科专业</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1989年设立农产品贮运与加工本科专业</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2000年在全国专业调整中改为食品科学与工程专业</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2006年食品科学学科被列为山东省十一五重点学科建设项目</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2007年食品科学与工程专业列为山东农业大学特色专业</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2010年成功申报食品科学与工程一级学科博士点</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2010年食品学科被列为山东省骨干学科</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2011年食品科学与工程专业被列为山东省特色专业</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2011年山东省</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十二五</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高校重点学科建设项目</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2013年山东省高等教育名校建设工程重点建设专业</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2013年山东省省级卓越工程师教育培养计划试点专业</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2017年山东省高水平应用型立项建设专业群核心专业</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2019年省级一流本科专业建设点</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2020年国家级一流本科专业建设点</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2020年获批第二学位专业</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2021年通过教育部工程教育专业认证</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学科水平位于全国同类学科前列，2022年软科排名位列25名。</w:t>
      </w:r>
    </w:p>
    <w:p>
      <w:pPr>
        <w:keepNext/>
        <w:keepLines/>
        <w:adjustRightInd w:val="0"/>
        <w:snapToGrid w:val="0"/>
        <w:ind w:firstLine="480"/>
        <w:outlineLvl w:val="3"/>
        <w:rPr>
          <w:rFonts w:eastAsia="黑体"/>
          <w:color w:val="000000" w:themeColor="text1"/>
          <w14:textFill>
            <w14:solidFill>
              <w14:schemeClr w14:val="tx1"/>
            </w14:solidFill>
          </w14:textFill>
        </w:rPr>
      </w:pPr>
      <w:r>
        <w:rPr>
          <w:rFonts w:hint="eastAsia" w:eastAsia="黑体"/>
          <w:color w:val="000000" w:themeColor="text1"/>
          <w14:textFill>
            <w14:solidFill>
              <w14:schemeClr w14:val="tx1"/>
            </w14:solidFill>
          </w14:textFill>
        </w:rPr>
        <w:t>2.</w:t>
      </w:r>
      <w:r>
        <w:rPr>
          <w:rFonts w:eastAsia="黑体"/>
          <w:color w:val="000000" w:themeColor="text1"/>
          <w14:textFill>
            <w14:solidFill>
              <w14:schemeClr w14:val="tx1"/>
            </w14:solidFill>
          </w14:textFill>
        </w:rPr>
        <w:t>在校生规模</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00"/>
        <w:gridCol w:w="1358"/>
        <w:gridCol w:w="1458"/>
        <w:gridCol w:w="1864"/>
        <w:gridCol w:w="1516"/>
        <w:gridCol w:w="9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048"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入学年度</w:t>
            </w:r>
          </w:p>
        </w:tc>
        <w:tc>
          <w:tcPr>
            <w:tcW w:w="749"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2019</w:t>
            </w:r>
          </w:p>
        </w:tc>
        <w:tc>
          <w:tcPr>
            <w:tcW w:w="804"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2020</w:t>
            </w:r>
          </w:p>
        </w:tc>
        <w:tc>
          <w:tcPr>
            <w:tcW w:w="1028"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2021</w:t>
            </w:r>
          </w:p>
        </w:tc>
        <w:tc>
          <w:tcPr>
            <w:tcW w:w="836"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2022</w:t>
            </w:r>
          </w:p>
        </w:tc>
        <w:tc>
          <w:tcPr>
            <w:tcW w:w="532" w:type="pct"/>
            <w:vAlign w:val="center"/>
          </w:tcPr>
          <w:p>
            <w:pPr>
              <w:spacing w:line="240" w:lineRule="auto"/>
              <w:jc w:val="center"/>
              <w:rPr>
                <w:color w:val="FF0000"/>
                <w:sz w:val="21"/>
                <w:szCs w:val="21"/>
              </w:rPr>
            </w:pPr>
            <w:r>
              <w:rPr>
                <w:color w:val="000000" w:themeColor="text1"/>
                <w:sz w:val="21"/>
                <w:szCs w:val="21"/>
                <w14:textFill>
                  <w14:solidFill>
                    <w14:schemeClr w14:val="tx1"/>
                  </w14:solidFill>
                </w14:textFill>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1048"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学生人数</w:t>
            </w:r>
          </w:p>
        </w:tc>
        <w:tc>
          <w:tcPr>
            <w:tcW w:w="749"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117</w:t>
            </w:r>
          </w:p>
        </w:tc>
        <w:tc>
          <w:tcPr>
            <w:tcW w:w="804"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143</w:t>
            </w:r>
          </w:p>
        </w:tc>
        <w:tc>
          <w:tcPr>
            <w:tcW w:w="1028"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139</w:t>
            </w:r>
          </w:p>
        </w:tc>
        <w:tc>
          <w:tcPr>
            <w:tcW w:w="836"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（大类招生）230</w:t>
            </w:r>
          </w:p>
        </w:tc>
        <w:tc>
          <w:tcPr>
            <w:tcW w:w="532" w:type="pct"/>
            <w:vAlign w:val="center"/>
          </w:tcPr>
          <w:p>
            <w:pPr>
              <w:spacing w:line="240" w:lineRule="auto"/>
              <w:jc w:val="center"/>
              <w:rPr>
                <w:color w:val="FF0000"/>
                <w:sz w:val="21"/>
                <w:szCs w:val="21"/>
              </w:rPr>
            </w:pPr>
            <w:r>
              <w:rPr>
                <w:sz w:val="21"/>
                <w:szCs w:val="21"/>
              </w:rPr>
              <w:t>629</w:t>
            </w:r>
          </w:p>
        </w:tc>
      </w:tr>
    </w:tbl>
    <w:p>
      <w:pPr>
        <w:keepNext/>
        <w:keepLines/>
        <w:adjustRightInd w:val="0"/>
        <w:snapToGrid w:val="0"/>
        <w:ind w:firstLine="480"/>
        <w:outlineLvl w:val="3"/>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3.课程体系</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本专业为涉及生物学、化学、机械学等领域的综合性交叉学科的工科专业。本专业的核心课程：数学类、化学类、食品微生物学、食品工程原理、食品营养与安全学、机械工程基础、食品机械与设备、食品工厂设计、食品工艺学等。</w:t>
      </w:r>
    </w:p>
    <w:p>
      <w:pPr>
        <w:ind w:firstLine="48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主要的核心课程</w:t>
      </w:r>
    </w:p>
    <w:tbl>
      <w:tblPr>
        <w:tblStyle w:val="1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038"/>
        <w:gridCol w:w="7213"/>
        <w:gridCol w:w="8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序号</w:t>
            </w:r>
          </w:p>
        </w:tc>
        <w:tc>
          <w:tcPr>
            <w:tcW w:w="3980" w:type="pct"/>
            <w:noWrap/>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课程名称</w:t>
            </w:r>
          </w:p>
        </w:tc>
        <w:tc>
          <w:tcPr>
            <w:tcW w:w="447" w:type="pct"/>
            <w:noWrap/>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学分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w:t>
            </w:r>
          </w:p>
        </w:tc>
        <w:tc>
          <w:tcPr>
            <w:tcW w:w="3980"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高等数学A1  Advanced Mathematics A1</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w:t>
            </w:r>
          </w:p>
        </w:tc>
        <w:tc>
          <w:tcPr>
            <w:tcW w:w="3980"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高等数学A2  Advanced Mathematics A2</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3</w:t>
            </w:r>
          </w:p>
        </w:tc>
        <w:tc>
          <w:tcPr>
            <w:tcW w:w="3980"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线性代数A Linear Algebra A</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4</w:t>
            </w:r>
          </w:p>
        </w:tc>
        <w:tc>
          <w:tcPr>
            <w:tcW w:w="3980"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概率统计A Probability Theory and Mathematical Statistics A</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5</w:t>
            </w:r>
          </w:p>
        </w:tc>
        <w:tc>
          <w:tcPr>
            <w:tcW w:w="3980"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无机及分析化学1 Inorganic ＆ Analytical Chemistry 1</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6</w:t>
            </w:r>
          </w:p>
        </w:tc>
        <w:tc>
          <w:tcPr>
            <w:tcW w:w="3980"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无机及分析化学2 Inorganic ＆Analytical Chemistry 2</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7</w:t>
            </w:r>
          </w:p>
        </w:tc>
        <w:tc>
          <w:tcPr>
            <w:tcW w:w="3980"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有机化学 Organic Chemistry</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8</w:t>
            </w:r>
          </w:p>
        </w:tc>
        <w:tc>
          <w:tcPr>
            <w:tcW w:w="3980"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大学物理学C1 College Physics C1</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9</w:t>
            </w:r>
          </w:p>
        </w:tc>
        <w:tc>
          <w:tcPr>
            <w:tcW w:w="3980"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物理化学与胶体化学 Physical and Colloid Chemistry</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10</w:t>
            </w:r>
          </w:p>
        </w:tc>
        <w:tc>
          <w:tcPr>
            <w:tcW w:w="3980"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工程制图与CAD  Engineering Drafting and CAD</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11</w:t>
            </w:r>
          </w:p>
        </w:tc>
        <w:tc>
          <w:tcPr>
            <w:tcW w:w="3980"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生物化学B Biochemistry B</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12</w:t>
            </w:r>
          </w:p>
        </w:tc>
        <w:tc>
          <w:tcPr>
            <w:tcW w:w="3980"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食品工程原理 Principles of Food Engineering</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13</w:t>
            </w:r>
          </w:p>
        </w:tc>
        <w:tc>
          <w:tcPr>
            <w:tcW w:w="3980"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机械工程基础 Fundamentals of Mechanical Engineering</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14</w:t>
            </w:r>
          </w:p>
        </w:tc>
        <w:tc>
          <w:tcPr>
            <w:tcW w:w="3980"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食品微生物学 Food Microbiology</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15</w:t>
            </w:r>
          </w:p>
        </w:tc>
        <w:tc>
          <w:tcPr>
            <w:tcW w:w="3980"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食品化学（带案例教学学时） Food Chemistry</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16</w:t>
            </w:r>
          </w:p>
        </w:tc>
        <w:tc>
          <w:tcPr>
            <w:tcW w:w="3980"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食品营养与安全学 Food Nutrition and Hygiene</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tcBorders>
              <w:top w:val="single" w:color="auto" w:sz="4" w:space="0"/>
            </w:tcBorders>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17</w:t>
            </w:r>
          </w:p>
        </w:tc>
        <w:tc>
          <w:tcPr>
            <w:tcW w:w="3980" w:type="pct"/>
            <w:tcBorders>
              <w:top w:val="single" w:color="auto" w:sz="4" w:space="0"/>
            </w:tcBorders>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食品机械与设备 Food Machinery and Equipment</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18</w:t>
            </w:r>
          </w:p>
        </w:tc>
        <w:tc>
          <w:tcPr>
            <w:tcW w:w="3980"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 xml:space="preserve">食品工艺学1（带案例教学学时） </w:t>
            </w:r>
            <w:r>
              <w:rPr>
                <w:color w:val="000000" w:themeColor="text1"/>
                <w:sz w:val="21"/>
                <w:szCs w:val="21"/>
                <w14:textFill>
                  <w14:solidFill>
                    <w14:schemeClr w14:val="tx1"/>
                  </w14:solidFill>
                </w14:textFill>
              </w:rPr>
              <w:t>Food ProcessingⅠ</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19</w:t>
            </w:r>
          </w:p>
        </w:tc>
        <w:tc>
          <w:tcPr>
            <w:tcW w:w="3980"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 xml:space="preserve">食品工艺学2（带案例教学学时） </w:t>
            </w:r>
            <w:r>
              <w:rPr>
                <w:color w:val="000000" w:themeColor="text1"/>
                <w:sz w:val="21"/>
                <w:szCs w:val="21"/>
                <w14:textFill>
                  <w14:solidFill>
                    <w14:schemeClr w14:val="tx1"/>
                  </w14:solidFill>
                </w14:textFill>
              </w:rPr>
              <w:t>Food ProcessingⅡ</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03" w:hRule="atLeast"/>
          <w:jc w:val="center"/>
        </w:trPr>
        <w:tc>
          <w:tcPr>
            <w:tcW w:w="573"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20</w:t>
            </w:r>
          </w:p>
        </w:tc>
        <w:tc>
          <w:tcPr>
            <w:tcW w:w="3980"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食品工厂设计 Food Plant Designing</w:t>
            </w:r>
          </w:p>
        </w:tc>
        <w:tc>
          <w:tcPr>
            <w:tcW w:w="447"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2.0</w:t>
            </w:r>
          </w:p>
        </w:tc>
      </w:tr>
    </w:tbl>
    <w:p>
      <w:pPr>
        <w:ind w:firstLine="480"/>
        <w:rPr>
          <w:color w:val="000000" w:themeColor="text1"/>
          <w14:textFill>
            <w14:solidFill>
              <w14:schemeClr w14:val="tx1"/>
            </w14:solidFill>
          </w14:textFill>
        </w:rPr>
      </w:pPr>
    </w:p>
    <w:p>
      <w:pPr>
        <w:ind w:firstLine="480"/>
        <w:rPr>
          <w:color w:val="000000" w:themeColor="text1"/>
          <w14:textFill>
            <w14:solidFill>
              <w14:schemeClr w14:val="tx1"/>
            </w14:solidFill>
          </w14:textFill>
        </w:rPr>
      </w:pPr>
      <w:r>
        <w:rPr>
          <w:color w:val="000000" w:themeColor="text1"/>
          <w14:textFill>
            <w14:solidFill>
              <w14:schemeClr w14:val="tx1"/>
            </w14:solidFill>
          </w14:textFill>
        </w:rPr>
        <w:t>优化课程体系过程中，强化了实践教学环节，实践环节学分占总学分达到30.29%。主要实践性教学环节（含实验）包含基础化学实验、物理化学与胶体化学实验、食品微生物实验、食品化学与分析实验、食品营养与安全学实验、食品工艺学实验；食品科学与工程专业认识实习、食品科学与工程综合课程设计、食品工艺实习、金工实习、食品工厂实习、创新创业实践、毕业实习及报告、毕业论文（设计）等。</w:t>
      </w:r>
    </w:p>
    <w:p>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t>主要实践课程</w:t>
      </w:r>
    </w:p>
    <w:tbl>
      <w:tblPr>
        <w:tblStyle w:val="1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17"/>
        <w:gridCol w:w="7530"/>
        <w:gridCol w:w="81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序号</w:t>
            </w:r>
          </w:p>
        </w:tc>
        <w:tc>
          <w:tcPr>
            <w:tcW w:w="4155" w:type="pct"/>
            <w:noWrap/>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主要实践性教学环节</w:t>
            </w:r>
          </w:p>
        </w:tc>
        <w:tc>
          <w:tcPr>
            <w:tcW w:w="449" w:type="pct"/>
            <w:noWrap/>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学分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w:t>
            </w:r>
          </w:p>
        </w:tc>
        <w:tc>
          <w:tcPr>
            <w:tcW w:w="4155"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基础化学实验1 Basic Chemistry Experiments 1</w:t>
            </w:r>
          </w:p>
        </w:tc>
        <w:tc>
          <w:tcPr>
            <w:tcW w:w="449"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w:t>
            </w:r>
          </w:p>
        </w:tc>
        <w:tc>
          <w:tcPr>
            <w:tcW w:w="4155"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基础化学实验2 Basic Chemistry Experiments 2</w:t>
            </w:r>
          </w:p>
        </w:tc>
        <w:tc>
          <w:tcPr>
            <w:tcW w:w="449"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3</w:t>
            </w:r>
          </w:p>
        </w:tc>
        <w:tc>
          <w:tcPr>
            <w:tcW w:w="4155"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大学物理学实验B2 College Physics Experiments B2</w:t>
            </w:r>
          </w:p>
        </w:tc>
        <w:tc>
          <w:tcPr>
            <w:tcW w:w="449"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4</w:t>
            </w:r>
          </w:p>
        </w:tc>
        <w:tc>
          <w:tcPr>
            <w:tcW w:w="4155"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物理化学与胶体化学实验 Physical and Colloid Chemistry Experiments</w:t>
            </w:r>
          </w:p>
        </w:tc>
        <w:tc>
          <w:tcPr>
            <w:tcW w:w="449"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5</w:t>
            </w:r>
          </w:p>
        </w:tc>
        <w:tc>
          <w:tcPr>
            <w:tcW w:w="4155"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工程制图与CAD实验 Engineering Drafting and CAD Experiments</w:t>
            </w:r>
          </w:p>
        </w:tc>
        <w:tc>
          <w:tcPr>
            <w:tcW w:w="449"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6</w:t>
            </w:r>
          </w:p>
        </w:tc>
        <w:tc>
          <w:tcPr>
            <w:tcW w:w="4155"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食品工程原理实验 Experiments of Principles of Food Engineering</w:t>
            </w:r>
          </w:p>
        </w:tc>
        <w:tc>
          <w:tcPr>
            <w:tcW w:w="449"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7</w:t>
            </w:r>
          </w:p>
        </w:tc>
        <w:tc>
          <w:tcPr>
            <w:tcW w:w="4155"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食品微生物学实验 Experiments of Food Microbiology</w:t>
            </w:r>
          </w:p>
        </w:tc>
        <w:tc>
          <w:tcPr>
            <w:tcW w:w="449"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8</w:t>
            </w:r>
          </w:p>
        </w:tc>
        <w:tc>
          <w:tcPr>
            <w:tcW w:w="4155"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食品化学实验 Experiments of Food Chemistry</w:t>
            </w:r>
          </w:p>
        </w:tc>
        <w:tc>
          <w:tcPr>
            <w:tcW w:w="449"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9</w:t>
            </w:r>
          </w:p>
        </w:tc>
        <w:tc>
          <w:tcPr>
            <w:tcW w:w="4155"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食品分析实验 Experiments of Food Analysis</w:t>
            </w:r>
          </w:p>
        </w:tc>
        <w:tc>
          <w:tcPr>
            <w:tcW w:w="449"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10</w:t>
            </w:r>
          </w:p>
        </w:tc>
        <w:tc>
          <w:tcPr>
            <w:tcW w:w="4155"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食品营养与安全学实验 Experiments of Food Nutrition and Hygiene</w:t>
            </w:r>
          </w:p>
        </w:tc>
        <w:tc>
          <w:tcPr>
            <w:tcW w:w="449"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tcBorders>
              <w:top w:val="single" w:color="auto" w:sz="4" w:space="0"/>
            </w:tcBorders>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11</w:t>
            </w:r>
          </w:p>
        </w:tc>
        <w:tc>
          <w:tcPr>
            <w:tcW w:w="4155" w:type="pct"/>
            <w:tcBorders>
              <w:top w:val="single" w:color="auto" w:sz="4" w:space="0"/>
            </w:tcBorders>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食品机械与设备实验 Experiments of Food Machinery and Equipment</w:t>
            </w:r>
          </w:p>
        </w:tc>
        <w:tc>
          <w:tcPr>
            <w:tcW w:w="449"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12</w:t>
            </w:r>
          </w:p>
        </w:tc>
        <w:tc>
          <w:tcPr>
            <w:tcW w:w="4155"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食品工厂设计实验 Experiments of Food Plant Designing</w:t>
            </w:r>
          </w:p>
        </w:tc>
        <w:tc>
          <w:tcPr>
            <w:tcW w:w="449"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13</w:t>
            </w:r>
          </w:p>
        </w:tc>
        <w:tc>
          <w:tcPr>
            <w:tcW w:w="4155" w:type="pct"/>
            <w:noWrap/>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食品科学与工程专业认识实习 Field Practice on Food Science and Engineering</w:t>
            </w:r>
          </w:p>
        </w:tc>
        <w:tc>
          <w:tcPr>
            <w:tcW w:w="449" w:type="pct"/>
            <w:noWrap/>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w:t>
            </w:r>
          </w:p>
        </w:tc>
        <w:tc>
          <w:tcPr>
            <w:tcW w:w="4155" w:type="pct"/>
            <w:noWrap/>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金工实习 Metalworking Practice</w:t>
            </w:r>
          </w:p>
        </w:tc>
        <w:tc>
          <w:tcPr>
            <w:tcW w:w="449" w:type="pct"/>
            <w:noWrap/>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15</w:t>
            </w:r>
          </w:p>
        </w:tc>
        <w:tc>
          <w:tcPr>
            <w:tcW w:w="4155" w:type="pct"/>
            <w:noWrap/>
            <w:vAlign w:val="center"/>
          </w:tcPr>
          <w:p>
            <w:pPr>
              <w:spacing w:line="240" w:lineRule="auto"/>
              <w:jc w:val="center"/>
              <w:rPr>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 xml:space="preserve">专业综合实验1 </w:t>
            </w:r>
            <w:r>
              <w:rPr>
                <w:color w:val="000000" w:themeColor="text1"/>
                <w:sz w:val="21"/>
                <w:szCs w:val="21"/>
                <w14:textFill>
                  <w14:solidFill>
                    <w14:schemeClr w14:val="tx1"/>
                  </w14:solidFill>
                </w14:textFill>
              </w:rPr>
              <w:t>Speciality Comprehensive ExperimentⅠ</w:t>
            </w:r>
          </w:p>
        </w:tc>
        <w:tc>
          <w:tcPr>
            <w:tcW w:w="449" w:type="pct"/>
            <w:noWrap/>
            <w:vAlign w:val="center"/>
          </w:tcPr>
          <w:p>
            <w:pPr>
              <w:spacing w:line="240" w:lineRule="auto"/>
              <w:jc w:val="center"/>
              <w:rPr>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3.9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16</w:t>
            </w:r>
          </w:p>
        </w:tc>
        <w:tc>
          <w:tcPr>
            <w:tcW w:w="4155"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 xml:space="preserve">专业综合实验2 </w:t>
            </w:r>
            <w:r>
              <w:rPr>
                <w:color w:val="000000" w:themeColor="text1"/>
                <w:sz w:val="21"/>
                <w:szCs w:val="21"/>
                <w14:textFill>
                  <w14:solidFill>
                    <w14:schemeClr w14:val="tx1"/>
                  </w14:solidFill>
                </w14:textFill>
              </w:rPr>
              <w:t>Speciality Comprehensive ExperimentⅡ</w:t>
            </w:r>
          </w:p>
        </w:tc>
        <w:tc>
          <w:tcPr>
            <w:tcW w:w="449"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17</w:t>
            </w:r>
          </w:p>
        </w:tc>
        <w:tc>
          <w:tcPr>
            <w:tcW w:w="4155" w:type="pct"/>
            <w:noWrap/>
            <w:vAlign w:val="center"/>
          </w:tcPr>
          <w:p>
            <w:pPr>
              <w:spacing w:line="240" w:lineRule="auto"/>
              <w:jc w:val="center"/>
              <w:rPr>
                <w:bCs/>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食品科学与工程综合课程设计 Integrated Curriculum Design of Food Science and Engineering</w:t>
            </w:r>
          </w:p>
        </w:tc>
        <w:tc>
          <w:tcPr>
            <w:tcW w:w="449" w:type="pct"/>
            <w:noWrap/>
            <w:vAlign w:val="center"/>
          </w:tcPr>
          <w:p>
            <w:pPr>
              <w:spacing w:line="240" w:lineRule="auto"/>
              <w:jc w:val="center"/>
              <w:rPr>
                <w:bCs/>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18</w:t>
            </w:r>
          </w:p>
        </w:tc>
        <w:tc>
          <w:tcPr>
            <w:tcW w:w="4155" w:type="pct"/>
            <w:noWrap/>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食品工厂实习 Food Factory Practice</w:t>
            </w:r>
          </w:p>
        </w:tc>
        <w:tc>
          <w:tcPr>
            <w:tcW w:w="449" w:type="pct"/>
            <w:noWrap/>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19</w:t>
            </w:r>
          </w:p>
        </w:tc>
        <w:tc>
          <w:tcPr>
            <w:tcW w:w="4155" w:type="pct"/>
            <w:noWrap/>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食品工艺实习 Production Practice on Food Technology</w:t>
            </w:r>
          </w:p>
        </w:tc>
        <w:tc>
          <w:tcPr>
            <w:tcW w:w="449" w:type="pct"/>
            <w:noWrap/>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20</w:t>
            </w:r>
          </w:p>
        </w:tc>
        <w:tc>
          <w:tcPr>
            <w:tcW w:w="4155"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创新创业实践 Innovative and Entrepreneurial Practice</w:t>
            </w:r>
          </w:p>
        </w:tc>
        <w:tc>
          <w:tcPr>
            <w:tcW w:w="449"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21</w:t>
            </w:r>
          </w:p>
        </w:tc>
        <w:tc>
          <w:tcPr>
            <w:tcW w:w="4155"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毕业实习及报告 Graduation Practice and Report</w:t>
            </w:r>
          </w:p>
        </w:tc>
        <w:tc>
          <w:tcPr>
            <w:tcW w:w="449"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25" w:hRule="atLeast"/>
          <w:jc w:val="center"/>
        </w:trPr>
        <w:tc>
          <w:tcPr>
            <w:tcW w:w="396" w:type="pct"/>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22</w:t>
            </w:r>
          </w:p>
        </w:tc>
        <w:tc>
          <w:tcPr>
            <w:tcW w:w="4155"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毕业论文(设计) B.A. Thesis Writing (Design)</w:t>
            </w:r>
          </w:p>
        </w:tc>
        <w:tc>
          <w:tcPr>
            <w:tcW w:w="449" w:type="pct"/>
            <w:noWrap/>
            <w:vAlign w:val="center"/>
          </w:tcPr>
          <w:p>
            <w:pPr>
              <w:spacing w:line="240" w:lineRule="auto"/>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10.0</w:t>
            </w:r>
          </w:p>
        </w:tc>
      </w:tr>
    </w:tbl>
    <w:p>
      <w:pPr>
        <w:autoSpaceDE w:val="0"/>
        <w:autoSpaceDN w:val="0"/>
        <w:adjustRightInd w:val="0"/>
        <w:ind w:firstLine="480"/>
      </w:pPr>
      <w:r>
        <w:t>2022年按照工程教育专业认证要求、《关于本科专业人才培养方案修订工作的指导意见》《关于做好本科专业人才培养方案修订等工作的通知》等学校文件要求，结合任课教师、用人单位等对培养方案提出的意见和建议，对培养方案进行了重新修订。主要包括《CAD工程制图》课程及其实验课的课程名称、学分分配、学期进行了修改；《食品微生物实验》《食品营养与安全学》《专业综合实验》等课程的课程名称进行了修改；《专业综合实验》《食品机械与设备》《食品机械与设备》《食品科学与工程学科前沿专题讲座》等课程的课程性质进行了修改；培养目标中对专业发展历程、专家的规范名称等内容进行了修改；</w:t>
      </w:r>
    </w:p>
    <w:p>
      <w:pPr>
        <w:keepNext/>
        <w:keepLines/>
        <w:ind w:firstLine="480"/>
        <w:outlineLvl w:val="3"/>
        <w:rPr>
          <w:rFonts w:eastAsia="黑体"/>
        </w:rPr>
      </w:pPr>
      <w:r>
        <w:rPr>
          <w:rFonts w:eastAsia="黑体"/>
        </w:rPr>
        <w:t>4.创新创业教育</w:t>
      </w:r>
    </w:p>
    <w:p>
      <w:pPr>
        <w:ind w:firstLine="480"/>
        <w:rPr>
          <w:color w:val="FF0000"/>
        </w:rPr>
      </w:pPr>
      <w:r>
        <w:t>按照工程教育专业认证的要求，以学生为中心，针对学生的需求，将《食品创新与创业》课程采用企业家论坛方式。每年在国内大中型食品企业的总经理、总工程师等核心管理与技术骨干人员中遴选10位企业家与同学以报告形式进行交流，对交流内容进行提前沟通，使讲解内容更切合大学生的需求，报告内容既包括企业创业史、产品研发，也包涵国内外食品相关领域的发展现状与趋势、食品企业对毕业生的基本期望和要求等。通过企业家论坛，实现了学生与企业家零距离、学生与行业近距离，实现了知识、能力、素养的综合提高，为将来从事研究、就业、创业等打下了良好的基础。因为疫情原因，暂时还未进行完毕，在学期末前完成剩余的报告。</w:t>
      </w:r>
    </w:p>
    <w:p>
      <w:pPr>
        <w:jc w:val="center"/>
        <w:rPr>
          <w:b/>
          <w:sz w:val="21"/>
          <w:szCs w:val="21"/>
        </w:rPr>
      </w:pPr>
      <w:r>
        <w:rPr>
          <w:b/>
          <w:sz w:val="21"/>
          <w:szCs w:val="21"/>
        </w:rPr>
        <w:t>食品创新与创业课程表</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9"/>
        <w:gridCol w:w="2787"/>
        <w:gridCol w:w="933"/>
        <w:gridCol w:w="1331"/>
        <w:gridCol w:w="34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noWrap/>
            <w:vAlign w:val="center"/>
          </w:tcPr>
          <w:p>
            <w:pPr>
              <w:adjustRightInd w:val="0"/>
              <w:snapToGrid w:val="0"/>
              <w:spacing w:line="240" w:lineRule="auto"/>
              <w:ind w:left="-120" w:leftChars="-50" w:right="-120" w:rightChars="-50"/>
              <w:jc w:val="center"/>
              <w:rPr>
                <w:b/>
                <w:sz w:val="21"/>
                <w:szCs w:val="21"/>
              </w:rPr>
            </w:pPr>
            <w:r>
              <w:rPr>
                <w:b/>
                <w:sz w:val="21"/>
                <w:szCs w:val="21"/>
              </w:rPr>
              <w:t>序号</w:t>
            </w:r>
          </w:p>
        </w:tc>
        <w:tc>
          <w:tcPr>
            <w:tcW w:w="1538" w:type="pct"/>
            <w:noWrap/>
            <w:vAlign w:val="center"/>
          </w:tcPr>
          <w:p>
            <w:pPr>
              <w:adjustRightInd w:val="0"/>
              <w:snapToGrid w:val="0"/>
              <w:spacing w:line="240" w:lineRule="auto"/>
              <w:ind w:left="-120" w:leftChars="-50" w:right="-120" w:rightChars="-50"/>
              <w:jc w:val="center"/>
              <w:rPr>
                <w:b/>
                <w:sz w:val="21"/>
                <w:szCs w:val="21"/>
              </w:rPr>
            </w:pPr>
            <w:r>
              <w:rPr>
                <w:b/>
                <w:sz w:val="21"/>
                <w:szCs w:val="21"/>
              </w:rPr>
              <w:t>报告名称</w:t>
            </w:r>
          </w:p>
        </w:tc>
        <w:tc>
          <w:tcPr>
            <w:tcW w:w="515" w:type="pct"/>
            <w:noWrap/>
            <w:vAlign w:val="center"/>
          </w:tcPr>
          <w:p>
            <w:pPr>
              <w:adjustRightInd w:val="0"/>
              <w:snapToGrid w:val="0"/>
              <w:spacing w:line="240" w:lineRule="auto"/>
              <w:ind w:left="-120" w:leftChars="-50" w:right="-120" w:rightChars="-50"/>
              <w:jc w:val="center"/>
              <w:rPr>
                <w:b/>
                <w:sz w:val="21"/>
                <w:szCs w:val="21"/>
              </w:rPr>
            </w:pPr>
            <w:r>
              <w:rPr>
                <w:b/>
                <w:sz w:val="21"/>
                <w:szCs w:val="21"/>
              </w:rPr>
              <w:t>企业家</w:t>
            </w:r>
          </w:p>
        </w:tc>
        <w:tc>
          <w:tcPr>
            <w:tcW w:w="735" w:type="pct"/>
            <w:noWrap/>
            <w:vAlign w:val="center"/>
          </w:tcPr>
          <w:p>
            <w:pPr>
              <w:adjustRightInd w:val="0"/>
              <w:snapToGrid w:val="0"/>
              <w:spacing w:line="240" w:lineRule="auto"/>
              <w:ind w:left="-120" w:leftChars="-50" w:right="-120" w:rightChars="-50"/>
              <w:jc w:val="center"/>
              <w:rPr>
                <w:b/>
                <w:sz w:val="21"/>
                <w:szCs w:val="21"/>
              </w:rPr>
            </w:pPr>
            <w:r>
              <w:rPr>
                <w:b/>
                <w:sz w:val="21"/>
                <w:szCs w:val="21"/>
              </w:rPr>
              <w:t>职务</w:t>
            </w:r>
          </w:p>
        </w:tc>
        <w:tc>
          <w:tcPr>
            <w:tcW w:w="1907" w:type="pct"/>
            <w:noWrap/>
            <w:vAlign w:val="center"/>
          </w:tcPr>
          <w:p>
            <w:pPr>
              <w:adjustRightInd w:val="0"/>
              <w:snapToGrid w:val="0"/>
              <w:spacing w:line="240" w:lineRule="auto"/>
              <w:ind w:left="-120" w:leftChars="-50" w:right="-120" w:rightChars="-50"/>
              <w:jc w:val="center"/>
              <w:rPr>
                <w:b/>
                <w:sz w:val="21"/>
                <w:szCs w:val="21"/>
              </w:rPr>
            </w:pPr>
            <w:r>
              <w:rPr>
                <w:b/>
                <w:sz w:val="21"/>
                <w:szCs w:val="21"/>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303" w:type="pct"/>
            <w:vAlign w:val="center"/>
          </w:tcPr>
          <w:p>
            <w:pPr>
              <w:adjustRightInd w:val="0"/>
              <w:snapToGrid w:val="0"/>
              <w:spacing w:line="240" w:lineRule="auto"/>
              <w:jc w:val="center"/>
              <w:rPr>
                <w:sz w:val="21"/>
                <w:szCs w:val="21"/>
              </w:rPr>
            </w:pPr>
            <w:r>
              <w:rPr>
                <w:sz w:val="21"/>
                <w:szCs w:val="21"/>
              </w:rPr>
              <w:t>1</w:t>
            </w:r>
          </w:p>
        </w:tc>
        <w:tc>
          <w:tcPr>
            <w:tcW w:w="1538" w:type="pct"/>
            <w:vAlign w:val="center"/>
          </w:tcPr>
          <w:p>
            <w:pPr>
              <w:adjustRightInd w:val="0"/>
              <w:snapToGrid w:val="0"/>
              <w:spacing w:line="240" w:lineRule="auto"/>
              <w:jc w:val="center"/>
              <w:rPr>
                <w:sz w:val="21"/>
                <w:szCs w:val="21"/>
              </w:rPr>
            </w:pPr>
            <w:r>
              <w:rPr>
                <w:sz w:val="21"/>
                <w:szCs w:val="21"/>
              </w:rPr>
              <w:t>链接未来－－大学生职业规划的工具和方法</w:t>
            </w:r>
          </w:p>
        </w:tc>
        <w:tc>
          <w:tcPr>
            <w:tcW w:w="515" w:type="pct"/>
            <w:vAlign w:val="center"/>
          </w:tcPr>
          <w:p>
            <w:pPr>
              <w:adjustRightInd w:val="0"/>
              <w:snapToGrid w:val="0"/>
              <w:spacing w:line="240" w:lineRule="auto"/>
              <w:jc w:val="center"/>
              <w:rPr>
                <w:sz w:val="21"/>
                <w:szCs w:val="21"/>
              </w:rPr>
            </w:pPr>
            <w:r>
              <w:rPr>
                <w:sz w:val="21"/>
                <w:szCs w:val="21"/>
              </w:rPr>
              <w:t>于路霞</w:t>
            </w:r>
          </w:p>
        </w:tc>
        <w:tc>
          <w:tcPr>
            <w:tcW w:w="735" w:type="pct"/>
            <w:vAlign w:val="center"/>
          </w:tcPr>
          <w:p>
            <w:pPr>
              <w:adjustRightInd w:val="0"/>
              <w:snapToGrid w:val="0"/>
              <w:spacing w:line="240" w:lineRule="auto"/>
              <w:jc w:val="center"/>
              <w:rPr>
                <w:sz w:val="21"/>
                <w:szCs w:val="21"/>
              </w:rPr>
            </w:pPr>
            <w:r>
              <w:rPr>
                <w:sz w:val="21"/>
                <w:szCs w:val="21"/>
              </w:rPr>
              <w:t>总经理</w:t>
            </w:r>
          </w:p>
        </w:tc>
        <w:tc>
          <w:tcPr>
            <w:tcW w:w="1907" w:type="pct"/>
            <w:vAlign w:val="center"/>
          </w:tcPr>
          <w:p>
            <w:pPr>
              <w:adjustRightInd w:val="0"/>
              <w:snapToGrid w:val="0"/>
              <w:spacing w:line="240" w:lineRule="auto"/>
              <w:jc w:val="center"/>
              <w:rPr>
                <w:sz w:val="21"/>
                <w:szCs w:val="21"/>
              </w:rPr>
            </w:pPr>
            <w:r>
              <w:rPr>
                <w:sz w:val="21"/>
                <w:szCs w:val="21"/>
              </w:rPr>
              <w:t>山东六和集团有限公司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Align w:val="center"/>
          </w:tcPr>
          <w:p>
            <w:pPr>
              <w:adjustRightInd w:val="0"/>
              <w:snapToGrid w:val="0"/>
              <w:spacing w:line="240" w:lineRule="auto"/>
              <w:jc w:val="center"/>
              <w:rPr>
                <w:sz w:val="21"/>
                <w:szCs w:val="21"/>
              </w:rPr>
            </w:pPr>
            <w:r>
              <w:rPr>
                <w:sz w:val="21"/>
                <w:szCs w:val="21"/>
              </w:rPr>
              <w:t>2</w:t>
            </w:r>
          </w:p>
        </w:tc>
        <w:tc>
          <w:tcPr>
            <w:tcW w:w="1538" w:type="pct"/>
            <w:vAlign w:val="center"/>
          </w:tcPr>
          <w:p>
            <w:pPr>
              <w:adjustRightInd w:val="0"/>
              <w:snapToGrid w:val="0"/>
              <w:spacing w:line="240" w:lineRule="auto"/>
              <w:jc w:val="center"/>
              <w:rPr>
                <w:sz w:val="21"/>
                <w:szCs w:val="21"/>
              </w:rPr>
            </w:pPr>
            <w:r>
              <w:rPr>
                <w:sz w:val="21"/>
                <w:szCs w:val="21"/>
              </w:rPr>
              <w:t>就业与创业</w:t>
            </w:r>
          </w:p>
        </w:tc>
        <w:tc>
          <w:tcPr>
            <w:tcW w:w="515" w:type="pct"/>
            <w:vAlign w:val="center"/>
          </w:tcPr>
          <w:p>
            <w:pPr>
              <w:adjustRightInd w:val="0"/>
              <w:snapToGrid w:val="0"/>
              <w:spacing w:line="240" w:lineRule="auto"/>
              <w:jc w:val="center"/>
              <w:rPr>
                <w:sz w:val="21"/>
                <w:szCs w:val="21"/>
              </w:rPr>
            </w:pPr>
            <w:r>
              <w:rPr>
                <w:sz w:val="21"/>
                <w:szCs w:val="21"/>
              </w:rPr>
              <w:t>杨国会</w:t>
            </w:r>
          </w:p>
        </w:tc>
        <w:tc>
          <w:tcPr>
            <w:tcW w:w="735" w:type="pct"/>
            <w:vAlign w:val="center"/>
          </w:tcPr>
          <w:p>
            <w:pPr>
              <w:adjustRightInd w:val="0"/>
              <w:snapToGrid w:val="0"/>
              <w:spacing w:line="240" w:lineRule="auto"/>
              <w:jc w:val="center"/>
              <w:rPr>
                <w:sz w:val="21"/>
                <w:szCs w:val="21"/>
              </w:rPr>
            </w:pPr>
            <w:r>
              <w:rPr>
                <w:sz w:val="21"/>
                <w:szCs w:val="21"/>
              </w:rPr>
              <w:t>总经理</w:t>
            </w:r>
          </w:p>
        </w:tc>
        <w:tc>
          <w:tcPr>
            <w:tcW w:w="1907" w:type="pct"/>
            <w:vAlign w:val="center"/>
          </w:tcPr>
          <w:p>
            <w:pPr>
              <w:adjustRightInd w:val="0"/>
              <w:snapToGrid w:val="0"/>
              <w:spacing w:line="240" w:lineRule="auto"/>
              <w:jc w:val="center"/>
              <w:rPr>
                <w:sz w:val="21"/>
                <w:szCs w:val="21"/>
              </w:rPr>
            </w:pPr>
            <w:r>
              <w:rPr>
                <w:sz w:val="21"/>
                <w:szCs w:val="21"/>
              </w:rPr>
              <w:t>泰安悦美客食品有限公司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Align w:val="center"/>
          </w:tcPr>
          <w:p>
            <w:pPr>
              <w:adjustRightInd w:val="0"/>
              <w:snapToGrid w:val="0"/>
              <w:spacing w:line="240" w:lineRule="auto"/>
              <w:jc w:val="center"/>
              <w:rPr>
                <w:sz w:val="21"/>
                <w:szCs w:val="21"/>
              </w:rPr>
            </w:pPr>
            <w:r>
              <w:rPr>
                <w:sz w:val="21"/>
                <w:szCs w:val="21"/>
              </w:rPr>
              <w:t>3</w:t>
            </w:r>
          </w:p>
        </w:tc>
        <w:tc>
          <w:tcPr>
            <w:tcW w:w="1538" w:type="pct"/>
            <w:vAlign w:val="center"/>
          </w:tcPr>
          <w:p>
            <w:pPr>
              <w:adjustRightInd w:val="0"/>
              <w:snapToGrid w:val="0"/>
              <w:spacing w:line="240" w:lineRule="auto"/>
              <w:jc w:val="center"/>
              <w:rPr>
                <w:sz w:val="21"/>
                <w:szCs w:val="21"/>
              </w:rPr>
            </w:pPr>
            <w:r>
              <w:rPr>
                <w:sz w:val="21"/>
                <w:szCs w:val="21"/>
              </w:rPr>
              <w:t>乡村振兴浅谈</w:t>
            </w:r>
          </w:p>
        </w:tc>
        <w:tc>
          <w:tcPr>
            <w:tcW w:w="515" w:type="pct"/>
            <w:noWrap/>
            <w:vAlign w:val="center"/>
          </w:tcPr>
          <w:p>
            <w:pPr>
              <w:adjustRightInd w:val="0"/>
              <w:snapToGrid w:val="0"/>
              <w:spacing w:line="240" w:lineRule="auto"/>
              <w:jc w:val="center"/>
              <w:rPr>
                <w:sz w:val="21"/>
                <w:szCs w:val="21"/>
              </w:rPr>
            </w:pPr>
            <w:r>
              <w:rPr>
                <w:sz w:val="21"/>
                <w:szCs w:val="21"/>
              </w:rPr>
              <w:t>朱俊科</w:t>
            </w:r>
          </w:p>
        </w:tc>
        <w:tc>
          <w:tcPr>
            <w:tcW w:w="735" w:type="pct"/>
            <w:vAlign w:val="center"/>
          </w:tcPr>
          <w:p>
            <w:pPr>
              <w:adjustRightInd w:val="0"/>
              <w:snapToGrid w:val="0"/>
              <w:spacing w:line="240" w:lineRule="auto"/>
              <w:jc w:val="center"/>
              <w:rPr>
                <w:sz w:val="21"/>
                <w:szCs w:val="21"/>
              </w:rPr>
            </w:pPr>
            <w:r>
              <w:rPr>
                <w:sz w:val="21"/>
                <w:szCs w:val="21"/>
              </w:rPr>
              <w:t>董事长</w:t>
            </w:r>
          </w:p>
        </w:tc>
        <w:tc>
          <w:tcPr>
            <w:tcW w:w="1907" w:type="pct"/>
            <w:vAlign w:val="center"/>
          </w:tcPr>
          <w:p>
            <w:pPr>
              <w:adjustRightInd w:val="0"/>
              <w:snapToGrid w:val="0"/>
              <w:spacing w:line="240" w:lineRule="auto"/>
              <w:jc w:val="center"/>
              <w:rPr>
                <w:sz w:val="21"/>
                <w:szCs w:val="21"/>
              </w:rPr>
            </w:pPr>
            <w:r>
              <w:rPr>
                <w:sz w:val="21"/>
                <w:szCs w:val="21"/>
              </w:rPr>
              <w:t>淄博禾丰种业科技股份有限公司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Align w:val="center"/>
          </w:tcPr>
          <w:p>
            <w:pPr>
              <w:adjustRightInd w:val="0"/>
              <w:snapToGrid w:val="0"/>
              <w:spacing w:line="240" w:lineRule="auto"/>
              <w:jc w:val="center"/>
              <w:rPr>
                <w:sz w:val="21"/>
                <w:szCs w:val="21"/>
              </w:rPr>
            </w:pPr>
            <w:r>
              <w:rPr>
                <w:sz w:val="21"/>
                <w:szCs w:val="21"/>
              </w:rPr>
              <w:t>4</w:t>
            </w:r>
          </w:p>
        </w:tc>
        <w:tc>
          <w:tcPr>
            <w:tcW w:w="1538" w:type="pct"/>
            <w:vAlign w:val="center"/>
          </w:tcPr>
          <w:p>
            <w:pPr>
              <w:adjustRightInd w:val="0"/>
              <w:snapToGrid w:val="0"/>
              <w:spacing w:line="240" w:lineRule="auto"/>
              <w:jc w:val="center"/>
              <w:rPr>
                <w:sz w:val="21"/>
                <w:szCs w:val="21"/>
              </w:rPr>
            </w:pPr>
            <w:r>
              <w:rPr>
                <w:sz w:val="21"/>
                <w:szCs w:val="21"/>
              </w:rPr>
              <w:t>功能益生菌制剂的研制与产业发展简介</w:t>
            </w:r>
          </w:p>
        </w:tc>
        <w:tc>
          <w:tcPr>
            <w:tcW w:w="515" w:type="pct"/>
            <w:vAlign w:val="center"/>
          </w:tcPr>
          <w:p>
            <w:pPr>
              <w:adjustRightInd w:val="0"/>
              <w:snapToGrid w:val="0"/>
              <w:spacing w:line="240" w:lineRule="auto"/>
              <w:jc w:val="center"/>
              <w:rPr>
                <w:sz w:val="21"/>
                <w:szCs w:val="21"/>
              </w:rPr>
            </w:pPr>
            <w:r>
              <w:rPr>
                <w:sz w:val="21"/>
                <w:szCs w:val="21"/>
              </w:rPr>
              <w:t>王</w:t>
            </w:r>
            <w:r>
              <w:rPr>
                <w:rFonts w:hint="eastAsia"/>
                <w:sz w:val="21"/>
                <w:szCs w:val="21"/>
              </w:rPr>
              <w:t xml:space="preserve">  </w:t>
            </w:r>
            <w:r>
              <w:rPr>
                <w:sz w:val="21"/>
                <w:szCs w:val="21"/>
              </w:rPr>
              <w:t>静</w:t>
            </w:r>
          </w:p>
        </w:tc>
        <w:tc>
          <w:tcPr>
            <w:tcW w:w="735" w:type="pct"/>
            <w:vAlign w:val="center"/>
          </w:tcPr>
          <w:p>
            <w:pPr>
              <w:adjustRightInd w:val="0"/>
              <w:snapToGrid w:val="0"/>
              <w:spacing w:line="240" w:lineRule="auto"/>
              <w:jc w:val="center"/>
              <w:rPr>
                <w:sz w:val="21"/>
                <w:szCs w:val="21"/>
              </w:rPr>
            </w:pPr>
            <w:r>
              <w:rPr>
                <w:sz w:val="21"/>
                <w:szCs w:val="21"/>
              </w:rPr>
              <w:t>院长</w:t>
            </w:r>
          </w:p>
        </w:tc>
        <w:tc>
          <w:tcPr>
            <w:tcW w:w="1907" w:type="pct"/>
            <w:vAlign w:val="center"/>
          </w:tcPr>
          <w:p>
            <w:pPr>
              <w:adjustRightInd w:val="0"/>
              <w:snapToGrid w:val="0"/>
              <w:spacing w:line="240" w:lineRule="auto"/>
              <w:jc w:val="center"/>
              <w:rPr>
                <w:sz w:val="21"/>
                <w:szCs w:val="21"/>
              </w:rPr>
            </w:pPr>
            <w:r>
              <w:rPr>
                <w:sz w:val="21"/>
                <w:szCs w:val="21"/>
              </w:rPr>
              <w:t>山东凤凰生物科技股份有限公司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Align w:val="center"/>
          </w:tcPr>
          <w:p>
            <w:pPr>
              <w:adjustRightInd w:val="0"/>
              <w:snapToGrid w:val="0"/>
              <w:spacing w:line="240" w:lineRule="auto"/>
              <w:jc w:val="center"/>
              <w:rPr>
                <w:sz w:val="21"/>
                <w:szCs w:val="21"/>
              </w:rPr>
            </w:pPr>
            <w:r>
              <w:rPr>
                <w:sz w:val="21"/>
                <w:szCs w:val="21"/>
              </w:rPr>
              <w:t>5</w:t>
            </w:r>
          </w:p>
        </w:tc>
        <w:tc>
          <w:tcPr>
            <w:tcW w:w="1538" w:type="pct"/>
            <w:vAlign w:val="center"/>
          </w:tcPr>
          <w:p>
            <w:pPr>
              <w:adjustRightInd w:val="0"/>
              <w:snapToGrid w:val="0"/>
              <w:spacing w:line="240" w:lineRule="auto"/>
              <w:jc w:val="center"/>
              <w:rPr>
                <w:sz w:val="21"/>
                <w:szCs w:val="21"/>
              </w:rPr>
            </w:pPr>
            <w:r>
              <w:rPr>
                <w:sz w:val="21"/>
                <w:szCs w:val="21"/>
              </w:rPr>
              <w:t>进出口食品的安全监督管理</w:t>
            </w:r>
          </w:p>
        </w:tc>
        <w:tc>
          <w:tcPr>
            <w:tcW w:w="515" w:type="pct"/>
            <w:vAlign w:val="center"/>
          </w:tcPr>
          <w:p>
            <w:pPr>
              <w:adjustRightInd w:val="0"/>
              <w:snapToGrid w:val="0"/>
              <w:spacing w:line="240" w:lineRule="auto"/>
              <w:jc w:val="center"/>
              <w:rPr>
                <w:sz w:val="21"/>
                <w:szCs w:val="21"/>
              </w:rPr>
            </w:pPr>
            <w:r>
              <w:rPr>
                <w:sz w:val="21"/>
                <w:szCs w:val="21"/>
              </w:rPr>
              <w:t>侯健宁</w:t>
            </w:r>
          </w:p>
        </w:tc>
        <w:tc>
          <w:tcPr>
            <w:tcW w:w="735" w:type="pct"/>
            <w:vAlign w:val="center"/>
          </w:tcPr>
          <w:p>
            <w:pPr>
              <w:adjustRightInd w:val="0"/>
              <w:snapToGrid w:val="0"/>
              <w:spacing w:line="240" w:lineRule="auto"/>
              <w:jc w:val="center"/>
              <w:rPr>
                <w:sz w:val="21"/>
                <w:szCs w:val="21"/>
              </w:rPr>
            </w:pPr>
            <w:r>
              <w:rPr>
                <w:sz w:val="21"/>
                <w:szCs w:val="21"/>
              </w:rPr>
              <w:t xml:space="preserve">副处长 </w:t>
            </w:r>
          </w:p>
        </w:tc>
        <w:tc>
          <w:tcPr>
            <w:tcW w:w="1907" w:type="pct"/>
            <w:vAlign w:val="center"/>
          </w:tcPr>
          <w:p>
            <w:pPr>
              <w:adjustRightInd w:val="0"/>
              <w:snapToGrid w:val="0"/>
              <w:spacing w:line="240" w:lineRule="auto"/>
              <w:jc w:val="center"/>
              <w:rPr>
                <w:sz w:val="21"/>
                <w:szCs w:val="21"/>
              </w:rPr>
            </w:pPr>
            <w:r>
              <w:rPr>
                <w:sz w:val="21"/>
                <w:szCs w:val="21"/>
              </w:rPr>
              <w:t>济南海关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Align w:val="center"/>
          </w:tcPr>
          <w:p>
            <w:pPr>
              <w:adjustRightInd w:val="0"/>
              <w:snapToGrid w:val="0"/>
              <w:spacing w:line="240" w:lineRule="auto"/>
              <w:jc w:val="center"/>
              <w:rPr>
                <w:sz w:val="21"/>
                <w:szCs w:val="21"/>
              </w:rPr>
            </w:pPr>
            <w:r>
              <w:rPr>
                <w:sz w:val="21"/>
                <w:szCs w:val="21"/>
              </w:rPr>
              <w:t>6</w:t>
            </w:r>
          </w:p>
        </w:tc>
        <w:tc>
          <w:tcPr>
            <w:tcW w:w="1538" w:type="pct"/>
            <w:vAlign w:val="center"/>
          </w:tcPr>
          <w:p>
            <w:pPr>
              <w:adjustRightInd w:val="0"/>
              <w:snapToGrid w:val="0"/>
              <w:spacing w:line="240" w:lineRule="auto"/>
              <w:jc w:val="center"/>
              <w:rPr>
                <w:sz w:val="21"/>
                <w:szCs w:val="21"/>
              </w:rPr>
            </w:pPr>
            <w:r>
              <w:rPr>
                <w:sz w:val="21"/>
                <w:szCs w:val="21"/>
              </w:rPr>
              <w:t>企业农牧食品安全和质量技术管理实践</w:t>
            </w:r>
          </w:p>
        </w:tc>
        <w:tc>
          <w:tcPr>
            <w:tcW w:w="515" w:type="pct"/>
            <w:vAlign w:val="center"/>
          </w:tcPr>
          <w:p>
            <w:pPr>
              <w:adjustRightInd w:val="0"/>
              <w:snapToGrid w:val="0"/>
              <w:spacing w:line="240" w:lineRule="auto"/>
              <w:jc w:val="center"/>
              <w:rPr>
                <w:sz w:val="21"/>
                <w:szCs w:val="21"/>
              </w:rPr>
            </w:pPr>
            <w:r>
              <w:rPr>
                <w:sz w:val="21"/>
                <w:szCs w:val="21"/>
              </w:rPr>
              <w:t>张希斌</w:t>
            </w:r>
          </w:p>
        </w:tc>
        <w:tc>
          <w:tcPr>
            <w:tcW w:w="735" w:type="pct"/>
            <w:vAlign w:val="center"/>
          </w:tcPr>
          <w:p>
            <w:pPr>
              <w:adjustRightInd w:val="0"/>
              <w:snapToGrid w:val="0"/>
              <w:spacing w:line="240" w:lineRule="auto"/>
              <w:jc w:val="center"/>
              <w:rPr>
                <w:sz w:val="21"/>
                <w:szCs w:val="21"/>
              </w:rPr>
            </w:pPr>
            <w:r>
              <w:rPr>
                <w:sz w:val="21"/>
                <w:szCs w:val="21"/>
              </w:rPr>
              <w:t>食品安全质量技术管理中心总经理</w:t>
            </w:r>
          </w:p>
        </w:tc>
        <w:tc>
          <w:tcPr>
            <w:tcW w:w="1907" w:type="pct"/>
            <w:vAlign w:val="center"/>
          </w:tcPr>
          <w:p>
            <w:pPr>
              <w:adjustRightInd w:val="0"/>
              <w:snapToGrid w:val="0"/>
              <w:spacing w:line="240" w:lineRule="auto"/>
              <w:jc w:val="center"/>
              <w:rPr>
                <w:sz w:val="21"/>
                <w:szCs w:val="21"/>
              </w:rPr>
            </w:pPr>
            <w:r>
              <w:rPr>
                <w:sz w:val="21"/>
                <w:szCs w:val="21"/>
              </w:rPr>
              <w:t xml:space="preserve">新希望六和股份有限公司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Align w:val="center"/>
          </w:tcPr>
          <w:p>
            <w:pPr>
              <w:adjustRightInd w:val="0"/>
              <w:snapToGrid w:val="0"/>
              <w:spacing w:line="240" w:lineRule="auto"/>
              <w:jc w:val="center"/>
              <w:rPr>
                <w:sz w:val="21"/>
                <w:szCs w:val="21"/>
              </w:rPr>
            </w:pPr>
            <w:r>
              <w:rPr>
                <w:sz w:val="21"/>
                <w:szCs w:val="21"/>
              </w:rPr>
              <w:t>7</w:t>
            </w:r>
          </w:p>
        </w:tc>
        <w:tc>
          <w:tcPr>
            <w:tcW w:w="1538" w:type="pct"/>
            <w:vAlign w:val="center"/>
          </w:tcPr>
          <w:p>
            <w:pPr>
              <w:adjustRightInd w:val="0"/>
              <w:snapToGrid w:val="0"/>
              <w:spacing w:line="240" w:lineRule="auto"/>
              <w:jc w:val="center"/>
              <w:rPr>
                <w:sz w:val="21"/>
                <w:szCs w:val="21"/>
              </w:rPr>
            </w:pPr>
            <w:r>
              <w:rPr>
                <w:sz w:val="21"/>
                <w:szCs w:val="21"/>
              </w:rPr>
              <w:t>肠道菌群生理功能及其对宿主健康的影响</w:t>
            </w:r>
          </w:p>
        </w:tc>
        <w:tc>
          <w:tcPr>
            <w:tcW w:w="515" w:type="pct"/>
            <w:vAlign w:val="center"/>
          </w:tcPr>
          <w:p>
            <w:pPr>
              <w:adjustRightInd w:val="0"/>
              <w:snapToGrid w:val="0"/>
              <w:spacing w:line="240" w:lineRule="auto"/>
              <w:jc w:val="center"/>
              <w:rPr>
                <w:sz w:val="21"/>
                <w:szCs w:val="21"/>
              </w:rPr>
            </w:pPr>
            <w:r>
              <w:rPr>
                <w:sz w:val="21"/>
                <w:szCs w:val="21"/>
              </w:rPr>
              <w:t>李军训</w:t>
            </w:r>
          </w:p>
        </w:tc>
        <w:tc>
          <w:tcPr>
            <w:tcW w:w="735" w:type="pct"/>
            <w:vAlign w:val="center"/>
          </w:tcPr>
          <w:p>
            <w:pPr>
              <w:adjustRightInd w:val="0"/>
              <w:snapToGrid w:val="0"/>
              <w:spacing w:line="240" w:lineRule="auto"/>
              <w:jc w:val="center"/>
              <w:rPr>
                <w:sz w:val="21"/>
                <w:szCs w:val="21"/>
              </w:rPr>
            </w:pPr>
            <w:r>
              <w:rPr>
                <w:sz w:val="21"/>
                <w:szCs w:val="21"/>
              </w:rPr>
              <w:t>总经理</w:t>
            </w:r>
          </w:p>
        </w:tc>
        <w:tc>
          <w:tcPr>
            <w:tcW w:w="1907" w:type="pct"/>
            <w:vAlign w:val="center"/>
          </w:tcPr>
          <w:p>
            <w:pPr>
              <w:adjustRightInd w:val="0"/>
              <w:snapToGrid w:val="0"/>
              <w:spacing w:line="240" w:lineRule="auto"/>
              <w:jc w:val="center"/>
              <w:rPr>
                <w:sz w:val="21"/>
                <w:szCs w:val="21"/>
              </w:rPr>
            </w:pPr>
            <w:r>
              <w:rPr>
                <w:sz w:val="21"/>
                <w:szCs w:val="21"/>
              </w:rPr>
              <w:t>山东泰山生力源集团股份有限公司</w:t>
            </w:r>
          </w:p>
        </w:tc>
      </w:tr>
    </w:tbl>
    <w:p>
      <w:pPr>
        <w:ind w:firstLine="480"/>
        <w:outlineLvl w:val="2"/>
        <w:rPr>
          <w:rFonts w:eastAsia="黑体"/>
          <w:kern w:val="0"/>
          <w:szCs w:val="20"/>
        </w:rPr>
      </w:pPr>
      <w:r>
        <w:t>同时，学院加强对大学生实践能力的培养，通过创新创业计划项目，使理论联系实际，培养解决实际问题的能力。2021年，立项国家级创新创业计划项目1项，山东省创新创业计划项目4项。</w:t>
      </w:r>
      <w:bookmarkStart w:id="464" w:name="_Toc20373"/>
    </w:p>
    <w:tbl>
      <w:tblPr>
        <w:tblStyle w:val="17"/>
        <w:tblW w:w="4997" w:type="pct"/>
        <w:tblInd w:w="0" w:type="dxa"/>
        <w:tblLayout w:type="autofit"/>
        <w:tblCellMar>
          <w:top w:w="0" w:type="dxa"/>
          <w:left w:w="108" w:type="dxa"/>
          <w:bottom w:w="0" w:type="dxa"/>
          <w:right w:w="108" w:type="dxa"/>
        </w:tblCellMar>
      </w:tblPr>
      <w:tblGrid>
        <w:gridCol w:w="587"/>
        <w:gridCol w:w="2524"/>
        <w:gridCol w:w="1159"/>
        <w:gridCol w:w="1133"/>
        <w:gridCol w:w="1617"/>
        <w:gridCol w:w="1062"/>
        <w:gridCol w:w="974"/>
      </w:tblGrid>
      <w:tr>
        <w:tblPrEx>
          <w:tblCellMar>
            <w:top w:w="0" w:type="dxa"/>
            <w:left w:w="108" w:type="dxa"/>
            <w:bottom w:w="0" w:type="dxa"/>
            <w:right w:w="108" w:type="dxa"/>
          </w:tblCellMar>
        </w:tblPrEx>
        <w:trPr>
          <w:trHeight w:val="600" w:hRule="atLeast"/>
          <w:tblHeader/>
        </w:trPr>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b/>
                <w:bCs/>
                <w:color w:val="000000"/>
                <w:sz w:val="21"/>
                <w:szCs w:val="21"/>
              </w:rPr>
            </w:pPr>
            <w:r>
              <w:rPr>
                <w:b/>
                <w:bCs/>
                <w:color w:val="000000"/>
                <w:kern w:val="0"/>
                <w:sz w:val="21"/>
                <w:szCs w:val="21"/>
                <w:lang w:bidi="ar"/>
              </w:rPr>
              <w:t>序号</w:t>
            </w:r>
          </w:p>
        </w:tc>
        <w:tc>
          <w:tcPr>
            <w:tcW w:w="139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b/>
                <w:bCs/>
                <w:color w:val="000000"/>
                <w:sz w:val="21"/>
                <w:szCs w:val="21"/>
              </w:rPr>
            </w:pPr>
            <w:r>
              <w:rPr>
                <w:b/>
                <w:bCs/>
                <w:color w:val="000000"/>
                <w:kern w:val="0"/>
                <w:sz w:val="21"/>
                <w:szCs w:val="21"/>
                <w:lang w:bidi="ar"/>
              </w:rPr>
              <w:t>项目名称</w:t>
            </w:r>
          </w:p>
        </w:tc>
        <w:tc>
          <w:tcPr>
            <w:tcW w:w="63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b/>
                <w:bCs/>
                <w:color w:val="000000"/>
                <w:sz w:val="21"/>
                <w:szCs w:val="21"/>
              </w:rPr>
            </w:pPr>
            <w:r>
              <w:rPr>
                <w:b/>
                <w:bCs/>
                <w:color w:val="000000"/>
                <w:kern w:val="0"/>
                <w:sz w:val="21"/>
                <w:szCs w:val="21"/>
                <w:lang w:bidi="ar"/>
              </w:rPr>
              <w:t>负责人</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b/>
                <w:bCs/>
                <w:color w:val="000000"/>
                <w:sz w:val="21"/>
                <w:szCs w:val="21"/>
              </w:rPr>
            </w:pPr>
            <w:r>
              <w:rPr>
                <w:b/>
                <w:bCs/>
                <w:color w:val="000000"/>
                <w:kern w:val="0"/>
                <w:sz w:val="21"/>
                <w:szCs w:val="21"/>
                <w:lang w:bidi="ar"/>
              </w:rPr>
              <w:t>班级</w:t>
            </w:r>
          </w:p>
        </w:tc>
        <w:tc>
          <w:tcPr>
            <w:tcW w:w="89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b/>
                <w:bCs/>
                <w:color w:val="000000"/>
                <w:sz w:val="21"/>
                <w:szCs w:val="21"/>
              </w:rPr>
            </w:pPr>
            <w:r>
              <w:rPr>
                <w:b/>
                <w:bCs/>
                <w:color w:val="000000"/>
                <w:kern w:val="0"/>
                <w:sz w:val="21"/>
                <w:szCs w:val="21"/>
                <w:lang w:bidi="ar"/>
              </w:rPr>
              <w:t>负责人学号</w:t>
            </w:r>
          </w:p>
        </w:tc>
        <w:tc>
          <w:tcPr>
            <w:tcW w:w="58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b/>
                <w:bCs/>
                <w:color w:val="000000"/>
                <w:kern w:val="0"/>
                <w:sz w:val="21"/>
                <w:szCs w:val="21"/>
                <w:lang w:bidi="ar"/>
              </w:rPr>
            </w:pPr>
            <w:r>
              <w:rPr>
                <w:b/>
                <w:bCs/>
                <w:color w:val="000000"/>
                <w:kern w:val="0"/>
                <w:sz w:val="21"/>
                <w:szCs w:val="21"/>
                <w:lang w:bidi="ar"/>
              </w:rPr>
              <w:t>指导</w:t>
            </w:r>
          </w:p>
          <w:p>
            <w:pPr>
              <w:widowControl/>
              <w:adjustRightInd w:val="0"/>
              <w:snapToGrid w:val="0"/>
              <w:spacing w:line="240" w:lineRule="atLeast"/>
              <w:jc w:val="center"/>
              <w:textAlignment w:val="center"/>
              <w:rPr>
                <w:b/>
                <w:bCs/>
                <w:color w:val="000000"/>
                <w:sz w:val="21"/>
                <w:szCs w:val="21"/>
              </w:rPr>
            </w:pPr>
            <w:r>
              <w:rPr>
                <w:b/>
                <w:bCs/>
                <w:color w:val="000000"/>
                <w:kern w:val="0"/>
                <w:sz w:val="21"/>
                <w:szCs w:val="21"/>
                <w:lang w:bidi="ar"/>
              </w:rPr>
              <w:t>教师</w:t>
            </w:r>
          </w:p>
        </w:tc>
        <w:tc>
          <w:tcPr>
            <w:tcW w:w="53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b/>
                <w:bCs/>
                <w:color w:val="000000"/>
                <w:sz w:val="21"/>
                <w:szCs w:val="21"/>
              </w:rPr>
            </w:pPr>
            <w:r>
              <w:rPr>
                <w:b/>
                <w:bCs/>
                <w:color w:val="000000"/>
                <w:kern w:val="0"/>
                <w:sz w:val="21"/>
                <w:szCs w:val="21"/>
                <w:lang w:bidi="ar"/>
              </w:rPr>
              <w:t>级别</w:t>
            </w:r>
          </w:p>
        </w:tc>
      </w:tr>
      <w:tr>
        <w:tblPrEx>
          <w:tblCellMar>
            <w:top w:w="0" w:type="dxa"/>
            <w:left w:w="108" w:type="dxa"/>
            <w:bottom w:w="0" w:type="dxa"/>
            <w:right w:w="108" w:type="dxa"/>
          </w:tblCellMar>
        </w:tblPrEx>
        <w:trPr>
          <w:trHeight w:val="645" w:hRule="atLeast"/>
        </w:trPr>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1</w:t>
            </w:r>
          </w:p>
        </w:tc>
        <w:tc>
          <w:tcPr>
            <w:tcW w:w="139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一款旨在提升人体免疫力的益生元果蔬粉</w:t>
            </w:r>
          </w:p>
        </w:tc>
        <w:tc>
          <w:tcPr>
            <w:tcW w:w="63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刘可心</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2班</w:t>
            </w:r>
          </w:p>
        </w:tc>
        <w:tc>
          <w:tcPr>
            <w:tcW w:w="89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2020216147</w:t>
            </w:r>
          </w:p>
        </w:tc>
        <w:tc>
          <w:tcPr>
            <w:tcW w:w="58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李大鹏</w:t>
            </w:r>
          </w:p>
        </w:tc>
        <w:tc>
          <w:tcPr>
            <w:tcW w:w="53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国家级</w:t>
            </w:r>
          </w:p>
        </w:tc>
      </w:tr>
      <w:tr>
        <w:tblPrEx>
          <w:tblCellMar>
            <w:top w:w="0" w:type="dxa"/>
            <w:left w:w="108" w:type="dxa"/>
            <w:bottom w:w="0" w:type="dxa"/>
            <w:right w:w="108" w:type="dxa"/>
          </w:tblCellMar>
        </w:tblPrEx>
        <w:trPr>
          <w:trHeight w:val="655" w:hRule="atLeast"/>
        </w:trPr>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2</w:t>
            </w:r>
          </w:p>
        </w:tc>
        <w:tc>
          <w:tcPr>
            <w:tcW w:w="139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超声辅助提取板栗仁多酚及抗氧化特性研究</w:t>
            </w:r>
          </w:p>
        </w:tc>
        <w:tc>
          <w:tcPr>
            <w:tcW w:w="63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刘玉丽</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3班</w:t>
            </w:r>
          </w:p>
        </w:tc>
        <w:tc>
          <w:tcPr>
            <w:tcW w:w="89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2019213682</w:t>
            </w:r>
          </w:p>
        </w:tc>
        <w:tc>
          <w:tcPr>
            <w:tcW w:w="58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王兆升</w:t>
            </w:r>
          </w:p>
        </w:tc>
        <w:tc>
          <w:tcPr>
            <w:tcW w:w="53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省级</w:t>
            </w:r>
          </w:p>
        </w:tc>
      </w:tr>
      <w:tr>
        <w:tblPrEx>
          <w:tblCellMar>
            <w:top w:w="0" w:type="dxa"/>
            <w:left w:w="108" w:type="dxa"/>
            <w:bottom w:w="0" w:type="dxa"/>
            <w:right w:w="108" w:type="dxa"/>
          </w:tblCellMar>
        </w:tblPrEx>
        <w:trPr>
          <w:trHeight w:val="654" w:hRule="atLeast"/>
        </w:trPr>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3</w:t>
            </w:r>
          </w:p>
        </w:tc>
        <w:tc>
          <w:tcPr>
            <w:tcW w:w="139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一款旨在提升人体免疫力的益生元果蔬粉</w:t>
            </w:r>
          </w:p>
        </w:tc>
        <w:tc>
          <w:tcPr>
            <w:tcW w:w="63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刘可心</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2班</w:t>
            </w:r>
          </w:p>
        </w:tc>
        <w:tc>
          <w:tcPr>
            <w:tcW w:w="89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2020216147</w:t>
            </w:r>
          </w:p>
        </w:tc>
        <w:tc>
          <w:tcPr>
            <w:tcW w:w="58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李大鹏</w:t>
            </w:r>
          </w:p>
        </w:tc>
        <w:tc>
          <w:tcPr>
            <w:tcW w:w="53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省级</w:t>
            </w:r>
          </w:p>
        </w:tc>
      </w:tr>
      <w:tr>
        <w:tblPrEx>
          <w:tblCellMar>
            <w:top w:w="0" w:type="dxa"/>
            <w:left w:w="108" w:type="dxa"/>
            <w:bottom w:w="0" w:type="dxa"/>
            <w:right w:w="108" w:type="dxa"/>
          </w:tblCellMar>
        </w:tblPrEx>
        <w:trPr>
          <w:trHeight w:val="700" w:hRule="atLeast"/>
        </w:trPr>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4</w:t>
            </w:r>
          </w:p>
        </w:tc>
        <w:tc>
          <w:tcPr>
            <w:tcW w:w="139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Tomorrow Meat——低速离心花生油体代替植物油和部分乳化剂在人造肉中的应用</w:t>
            </w:r>
          </w:p>
        </w:tc>
        <w:tc>
          <w:tcPr>
            <w:tcW w:w="63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杨睿智</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4班</w:t>
            </w:r>
          </w:p>
        </w:tc>
        <w:tc>
          <w:tcPr>
            <w:tcW w:w="89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2019213799</w:t>
            </w:r>
          </w:p>
        </w:tc>
        <w:tc>
          <w:tcPr>
            <w:tcW w:w="58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赵路苹</w:t>
            </w:r>
          </w:p>
        </w:tc>
        <w:tc>
          <w:tcPr>
            <w:tcW w:w="53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省级</w:t>
            </w:r>
          </w:p>
        </w:tc>
      </w:tr>
      <w:tr>
        <w:tblPrEx>
          <w:tblCellMar>
            <w:top w:w="0" w:type="dxa"/>
            <w:left w:w="108" w:type="dxa"/>
            <w:bottom w:w="0" w:type="dxa"/>
            <w:right w:w="108" w:type="dxa"/>
          </w:tblCellMar>
        </w:tblPrEx>
        <w:trPr>
          <w:trHeight w:val="475" w:hRule="atLeast"/>
        </w:trPr>
        <w:tc>
          <w:tcPr>
            <w:tcW w:w="32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5</w:t>
            </w:r>
          </w:p>
        </w:tc>
        <w:tc>
          <w:tcPr>
            <w:tcW w:w="139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一类再造粒南瓜丁</w:t>
            </w:r>
          </w:p>
        </w:tc>
        <w:tc>
          <w:tcPr>
            <w:tcW w:w="63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李世闯</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1班</w:t>
            </w:r>
          </w:p>
        </w:tc>
        <w:tc>
          <w:tcPr>
            <w:tcW w:w="89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2019213816</w:t>
            </w:r>
          </w:p>
        </w:tc>
        <w:tc>
          <w:tcPr>
            <w:tcW w:w="58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朱传合</w:t>
            </w:r>
          </w:p>
        </w:tc>
        <w:tc>
          <w:tcPr>
            <w:tcW w:w="53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省级</w:t>
            </w:r>
          </w:p>
        </w:tc>
      </w:tr>
    </w:tbl>
    <w:p>
      <w:pPr>
        <w:ind w:firstLine="480"/>
        <w:rPr>
          <w:color w:val="FF0000"/>
        </w:rPr>
      </w:pPr>
    </w:p>
    <w:p>
      <w:pPr>
        <w:ind w:firstLine="480"/>
        <w:rPr>
          <w:color w:val="FF0000"/>
        </w:rPr>
      </w:pPr>
      <w:r>
        <w:t>2022年学院自设本专业SRT项目立项93项，总参与学生272人，其中，食科专业主持49项，总参与学生138人。</w:t>
      </w:r>
    </w:p>
    <w:p>
      <w:pPr>
        <w:pStyle w:val="5"/>
        <w:spacing w:before="93" w:after="93"/>
        <w:ind w:firstLine="560"/>
      </w:pPr>
      <w:r>
        <w:t>三、培养条件</w:t>
      </w:r>
      <w:bookmarkEnd w:id="464"/>
    </w:p>
    <w:p>
      <w:pPr>
        <w:keepNext/>
        <w:keepLines/>
        <w:ind w:firstLine="480"/>
        <w:outlineLvl w:val="3"/>
        <w:rPr>
          <w:rFonts w:eastAsia="黑体"/>
        </w:rPr>
      </w:pPr>
      <w:r>
        <w:rPr>
          <w:rFonts w:eastAsia="黑体"/>
        </w:rPr>
        <w:t>1.教学经费投入</w:t>
      </w:r>
    </w:p>
    <w:p>
      <w:pPr>
        <w:ind w:firstLine="480"/>
      </w:pPr>
      <w:r>
        <w:t>2021-2022学年本专业投入使用的教学日常运行、教学改革、课程建设、教材建设、专业建设、校内外实践实习、教学研讨、教学差旅、图书资料购置、学生活动等教学的费用为53.6614万元。</w:t>
      </w:r>
    </w:p>
    <w:p>
      <w:pPr>
        <w:keepNext/>
        <w:keepLines/>
        <w:ind w:firstLine="480"/>
        <w:outlineLvl w:val="3"/>
        <w:rPr>
          <w:rFonts w:eastAsia="黑体"/>
        </w:rPr>
      </w:pPr>
      <w:r>
        <w:rPr>
          <w:rFonts w:eastAsia="黑体"/>
        </w:rPr>
        <w:t>2.师资队伍建设</w:t>
      </w:r>
    </w:p>
    <w:p>
      <w:pPr>
        <w:ind w:firstLine="480"/>
        <w:rPr>
          <w:color w:val="000000" w:themeColor="text1"/>
          <w14:textFill>
            <w14:solidFill>
              <w14:schemeClr w14:val="tx1"/>
            </w14:solidFill>
          </w14:textFill>
        </w:rPr>
      </w:pPr>
      <w:r>
        <w:rPr>
          <w:color w:val="000000" w:themeColor="text1"/>
          <w14:textFill>
            <w14:solidFill>
              <w14:schemeClr w14:val="tx1"/>
            </w14:solidFill>
          </w14:textFill>
        </w:rPr>
        <w:t>本专业共有专任教师29人，其中教授7人，副教授11人，讲师11人。2022年引进博士1名。获得山东农业大学教学质量一等奖1项。</w:t>
      </w:r>
    </w:p>
    <w:p>
      <w:pPr>
        <w:keepNext/>
        <w:keepLines/>
        <w:ind w:firstLine="480"/>
        <w:outlineLvl w:val="3"/>
        <w:rPr>
          <w:rFonts w:eastAsia="黑体"/>
        </w:rPr>
      </w:pPr>
      <w:r>
        <w:rPr>
          <w:rFonts w:eastAsia="黑体"/>
        </w:rPr>
        <w:t>3.实践条件与实习基地</w:t>
      </w:r>
    </w:p>
    <w:p>
      <w:pPr>
        <w:ind w:firstLine="480"/>
      </w:pPr>
      <w:r>
        <w:t>根据设计性实验和创新性实验课程开设等教学实际需求，新增了相关的实验室仪器设备，新增离心机、分光光度计等设备，价值17余万元。满足了课程教学实习、各级大学生创新性实验计划、SRT计划、大学生创业训练等的需求。</w:t>
      </w:r>
    </w:p>
    <w:p>
      <w:pPr>
        <w:ind w:firstLine="480"/>
      </w:pPr>
      <w:r>
        <w:t>在加强与相关国内外食品企业科研合作的基础上，促进产学研交流，从而促进校外实践教学基地的建设工作。目前本专业建有和与其他专业共享校外实践教学基地达到了32个，成为本专业学生实习实践的有益补充。</w:t>
      </w:r>
    </w:p>
    <w:p>
      <w:pPr>
        <w:jc w:val="center"/>
        <w:rPr>
          <w:b/>
          <w:sz w:val="21"/>
          <w:szCs w:val="21"/>
        </w:rPr>
      </w:pPr>
      <w:r>
        <w:rPr>
          <w:b/>
          <w:sz w:val="21"/>
          <w:szCs w:val="21"/>
        </w:rPr>
        <w:t>校外实习基地明细表</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26"/>
        <w:gridCol w:w="3337"/>
        <w:gridCol w:w="4119"/>
        <w:gridCol w:w="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tblHeader/>
          <w:jc w:val="center"/>
        </w:trPr>
        <w:tc>
          <w:tcPr>
            <w:tcW w:w="296" w:type="pct"/>
            <w:vAlign w:val="center"/>
          </w:tcPr>
          <w:p>
            <w:pPr>
              <w:spacing w:line="240" w:lineRule="auto"/>
              <w:jc w:val="center"/>
              <w:rPr>
                <w:b/>
                <w:bCs/>
                <w:sz w:val="21"/>
                <w:szCs w:val="21"/>
              </w:rPr>
            </w:pPr>
            <w:r>
              <w:rPr>
                <w:b/>
                <w:bCs/>
                <w:sz w:val="21"/>
                <w:szCs w:val="21"/>
              </w:rPr>
              <w:t>序号</w:t>
            </w:r>
          </w:p>
        </w:tc>
        <w:tc>
          <w:tcPr>
            <w:tcW w:w="1874" w:type="pct"/>
            <w:vAlign w:val="center"/>
          </w:tcPr>
          <w:p>
            <w:pPr>
              <w:spacing w:line="240" w:lineRule="auto"/>
              <w:jc w:val="center"/>
              <w:rPr>
                <w:b/>
                <w:bCs/>
                <w:sz w:val="21"/>
                <w:szCs w:val="21"/>
              </w:rPr>
            </w:pPr>
            <w:r>
              <w:rPr>
                <w:b/>
                <w:bCs/>
                <w:sz w:val="21"/>
                <w:szCs w:val="21"/>
              </w:rPr>
              <w:t>实习基地名称</w:t>
            </w:r>
          </w:p>
        </w:tc>
        <w:tc>
          <w:tcPr>
            <w:tcW w:w="2313" w:type="pct"/>
            <w:vAlign w:val="center"/>
          </w:tcPr>
          <w:p>
            <w:pPr>
              <w:spacing w:line="240" w:lineRule="auto"/>
              <w:jc w:val="center"/>
              <w:rPr>
                <w:b/>
                <w:bCs/>
                <w:sz w:val="21"/>
                <w:szCs w:val="21"/>
              </w:rPr>
            </w:pPr>
            <w:r>
              <w:rPr>
                <w:b/>
                <w:bCs/>
                <w:sz w:val="21"/>
                <w:szCs w:val="21"/>
              </w:rPr>
              <w:t>顶岗实习、关键能力训练</w:t>
            </w:r>
          </w:p>
        </w:tc>
        <w:tc>
          <w:tcPr>
            <w:tcW w:w="516" w:type="pct"/>
            <w:vAlign w:val="center"/>
          </w:tcPr>
          <w:p>
            <w:pPr>
              <w:spacing w:line="240" w:lineRule="auto"/>
              <w:jc w:val="center"/>
              <w:rPr>
                <w:b/>
                <w:bCs/>
                <w:sz w:val="21"/>
                <w:szCs w:val="21"/>
              </w:rPr>
            </w:pPr>
            <w:r>
              <w:rPr>
                <w:b/>
                <w:bCs/>
                <w:sz w:val="21"/>
                <w:szCs w:val="21"/>
              </w:rPr>
              <w:t>建设</w:t>
            </w:r>
          </w:p>
          <w:p>
            <w:pPr>
              <w:spacing w:line="240" w:lineRule="auto"/>
              <w:jc w:val="center"/>
              <w:rPr>
                <w:b/>
                <w:bCs/>
                <w:sz w:val="21"/>
                <w:szCs w:val="21"/>
              </w:rPr>
            </w:pPr>
            <w:r>
              <w:rPr>
                <w:b/>
                <w:bCs/>
                <w:sz w:val="21"/>
                <w:szCs w:val="21"/>
              </w:rPr>
              <w:t>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96" w:type="pct"/>
            <w:vAlign w:val="center"/>
          </w:tcPr>
          <w:p>
            <w:pPr>
              <w:spacing w:line="240" w:lineRule="auto"/>
              <w:jc w:val="center"/>
              <w:rPr>
                <w:sz w:val="21"/>
                <w:szCs w:val="21"/>
              </w:rPr>
            </w:pPr>
            <w:r>
              <w:rPr>
                <w:sz w:val="21"/>
                <w:szCs w:val="21"/>
              </w:rPr>
              <w:t>1</w:t>
            </w:r>
          </w:p>
        </w:tc>
        <w:tc>
          <w:tcPr>
            <w:tcW w:w="1874" w:type="pct"/>
            <w:vAlign w:val="center"/>
          </w:tcPr>
          <w:p>
            <w:pPr>
              <w:spacing w:line="240" w:lineRule="auto"/>
              <w:jc w:val="center"/>
              <w:rPr>
                <w:sz w:val="21"/>
                <w:szCs w:val="21"/>
              </w:rPr>
            </w:pPr>
            <w:r>
              <w:rPr>
                <w:sz w:val="21"/>
                <w:szCs w:val="21"/>
              </w:rPr>
              <w:t>山东富世康制粉有限公司</w:t>
            </w:r>
          </w:p>
        </w:tc>
        <w:tc>
          <w:tcPr>
            <w:tcW w:w="2313" w:type="pct"/>
            <w:vAlign w:val="center"/>
          </w:tcPr>
          <w:p>
            <w:pPr>
              <w:spacing w:line="240" w:lineRule="auto"/>
              <w:jc w:val="center"/>
              <w:rPr>
                <w:sz w:val="21"/>
                <w:szCs w:val="21"/>
              </w:rPr>
            </w:pPr>
            <w:r>
              <w:rPr>
                <w:sz w:val="21"/>
                <w:szCs w:val="21"/>
              </w:rPr>
              <w:t>面粉生产工艺及技术</w:t>
            </w:r>
          </w:p>
        </w:tc>
        <w:tc>
          <w:tcPr>
            <w:tcW w:w="516" w:type="pct"/>
            <w:vAlign w:val="center"/>
          </w:tcPr>
          <w:p>
            <w:pPr>
              <w:spacing w:line="240" w:lineRule="auto"/>
              <w:jc w:val="center"/>
              <w:rPr>
                <w:sz w:val="21"/>
                <w:szCs w:val="21"/>
              </w:rPr>
            </w:pPr>
            <w:r>
              <w:rPr>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96" w:type="pct"/>
            <w:vAlign w:val="center"/>
          </w:tcPr>
          <w:p>
            <w:pPr>
              <w:spacing w:line="240" w:lineRule="auto"/>
              <w:jc w:val="center"/>
              <w:rPr>
                <w:sz w:val="21"/>
                <w:szCs w:val="21"/>
              </w:rPr>
            </w:pPr>
            <w:r>
              <w:rPr>
                <w:sz w:val="21"/>
                <w:szCs w:val="21"/>
              </w:rPr>
              <w:t>2</w:t>
            </w:r>
          </w:p>
        </w:tc>
        <w:tc>
          <w:tcPr>
            <w:tcW w:w="1874" w:type="pct"/>
            <w:vAlign w:val="center"/>
          </w:tcPr>
          <w:p>
            <w:pPr>
              <w:spacing w:line="240" w:lineRule="auto"/>
              <w:jc w:val="center"/>
              <w:rPr>
                <w:sz w:val="21"/>
                <w:szCs w:val="21"/>
              </w:rPr>
            </w:pPr>
            <w:r>
              <w:rPr>
                <w:sz w:val="21"/>
                <w:szCs w:val="21"/>
              </w:rPr>
              <w:t>德州福源生物淀粉有限公司</w:t>
            </w:r>
          </w:p>
        </w:tc>
        <w:tc>
          <w:tcPr>
            <w:tcW w:w="2313" w:type="pct"/>
            <w:vAlign w:val="center"/>
          </w:tcPr>
          <w:p>
            <w:pPr>
              <w:spacing w:line="240" w:lineRule="auto"/>
              <w:jc w:val="center"/>
              <w:rPr>
                <w:sz w:val="21"/>
                <w:szCs w:val="21"/>
              </w:rPr>
            </w:pPr>
            <w:r>
              <w:rPr>
                <w:sz w:val="21"/>
                <w:szCs w:val="21"/>
              </w:rPr>
              <w:t>玉米淀粉生产工艺及技术</w:t>
            </w:r>
          </w:p>
        </w:tc>
        <w:tc>
          <w:tcPr>
            <w:tcW w:w="516" w:type="pct"/>
            <w:vAlign w:val="center"/>
          </w:tcPr>
          <w:p>
            <w:pPr>
              <w:spacing w:line="240" w:lineRule="auto"/>
              <w:jc w:val="center"/>
              <w:rPr>
                <w:sz w:val="21"/>
                <w:szCs w:val="21"/>
              </w:rPr>
            </w:pPr>
            <w:r>
              <w:rPr>
                <w:sz w:val="21"/>
                <w:szCs w:val="21"/>
              </w:rPr>
              <w:t>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96" w:type="pct"/>
            <w:vAlign w:val="center"/>
          </w:tcPr>
          <w:p>
            <w:pPr>
              <w:spacing w:line="240" w:lineRule="auto"/>
              <w:jc w:val="center"/>
              <w:rPr>
                <w:sz w:val="21"/>
                <w:szCs w:val="21"/>
              </w:rPr>
            </w:pPr>
            <w:r>
              <w:rPr>
                <w:sz w:val="21"/>
                <w:szCs w:val="21"/>
              </w:rPr>
              <w:t>3</w:t>
            </w:r>
          </w:p>
        </w:tc>
        <w:tc>
          <w:tcPr>
            <w:tcW w:w="1874" w:type="pct"/>
            <w:vAlign w:val="center"/>
          </w:tcPr>
          <w:p>
            <w:pPr>
              <w:spacing w:line="240" w:lineRule="auto"/>
              <w:jc w:val="center"/>
              <w:rPr>
                <w:sz w:val="21"/>
                <w:szCs w:val="21"/>
              </w:rPr>
            </w:pPr>
            <w:r>
              <w:rPr>
                <w:sz w:val="21"/>
                <w:szCs w:val="21"/>
              </w:rPr>
              <w:t>山东万德福实业集团有限公司</w:t>
            </w:r>
          </w:p>
        </w:tc>
        <w:tc>
          <w:tcPr>
            <w:tcW w:w="2313" w:type="pct"/>
            <w:vAlign w:val="center"/>
          </w:tcPr>
          <w:p>
            <w:pPr>
              <w:spacing w:line="240" w:lineRule="auto"/>
              <w:jc w:val="center"/>
              <w:rPr>
                <w:sz w:val="21"/>
                <w:szCs w:val="21"/>
              </w:rPr>
            </w:pPr>
            <w:r>
              <w:rPr>
                <w:sz w:val="21"/>
                <w:szCs w:val="21"/>
              </w:rPr>
              <w:t>大豆蛋白生产工艺及技术</w:t>
            </w:r>
          </w:p>
        </w:tc>
        <w:tc>
          <w:tcPr>
            <w:tcW w:w="516" w:type="pct"/>
            <w:vAlign w:val="center"/>
          </w:tcPr>
          <w:p>
            <w:pPr>
              <w:spacing w:line="240" w:lineRule="auto"/>
              <w:jc w:val="center"/>
              <w:rPr>
                <w:sz w:val="21"/>
                <w:szCs w:val="21"/>
              </w:rPr>
            </w:pPr>
            <w:r>
              <w:rPr>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96" w:type="pct"/>
            <w:vAlign w:val="center"/>
          </w:tcPr>
          <w:p>
            <w:pPr>
              <w:spacing w:line="240" w:lineRule="auto"/>
              <w:jc w:val="center"/>
              <w:rPr>
                <w:sz w:val="21"/>
                <w:szCs w:val="21"/>
              </w:rPr>
            </w:pPr>
            <w:r>
              <w:rPr>
                <w:sz w:val="21"/>
                <w:szCs w:val="21"/>
              </w:rPr>
              <w:t>4</w:t>
            </w:r>
          </w:p>
        </w:tc>
        <w:tc>
          <w:tcPr>
            <w:tcW w:w="1874" w:type="pct"/>
            <w:vAlign w:val="center"/>
          </w:tcPr>
          <w:p>
            <w:pPr>
              <w:spacing w:line="240" w:lineRule="auto"/>
              <w:jc w:val="center"/>
              <w:rPr>
                <w:sz w:val="21"/>
                <w:szCs w:val="21"/>
              </w:rPr>
            </w:pPr>
            <w:r>
              <w:rPr>
                <w:sz w:val="21"/>
                <w:szCs w:val="21"/>
              </w:rPr>
              <w:t>山东金胜粮油集团</w:t>
            </w:r>
          </w:p>
        </w:tc>
        <w:tc>
          <w:tcPr>
            <w:tcW w:w="2313" w:type="pct"/>
            <w:vAlign w:val="center"/>
          </w:tcPr>
          <w:p>
            <w:pPr>
              <w:spacing w:line="240" w:lineRule="auto"/>
              <w:jc w:val="center"/>
              <w:rPr>
                <w:sz w:val="21"/>
                <w:szCs w:val="21"/>
              </w:rPr>
            </w:pPr>
            <w:r>
              <w:rPr>
                <w:sz w:val="21"/>
                <w:szCs w:val="21"/>
              </w:rPr>
              <w:t>植物油生产工艺及技术</w:t>
            </w:r>
          </w:p>
        </w:tc>
        <w:tc>
          <w:tcPr>
            <w:tcW w:w="516" w:type="pct"/>
            <w:vAlign w:val="center"/>
          </w:tcPr>
          <w:p>
            <w:pPr>
              <w:spacing w:line="240" w:lineRule="auto"/>
              <w:jc w:val="center"/>
              <w:rPr>
                <w:sz w:val="21"/>
                <w:szCs w:val="21"/>
              </w:rPr>
            </w:pPr>
            <w:r>
              <w:rPr>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96" w:type="pct"/>
            <w:vAlign w:val="center"/>
          </w:tcPr>
          <w:p>
            <w:pPr>
              <w:spacing w:line="240" w:lineRule="auto"/>
              <w:jc w:val="center"/>
              <w:rPr>
                <w:sz w:val="21"/>
                <w:szCs w:val="21"/>
              </w:rPr>
            </w:pPr>
            <w:r>
              <w:rPr>
                <w:sz w:val="21"/>
                <w:szCs w:val="21"/>
              </w:rPr>
              <w:t>5</w:t>
            </w:r>
          </w:p>
        </w:tc>
        <w:tc>
          <w:tcPr>
            <w:tcW w:w="1874" w:type="pct"/>
            <w:vAlign w:val="center"/>
          </w:tcPr>
          <w:p>
            <w:pPr>
              <w:spacing w:line="240" w:lineRule="auto"/>
              <w:jc w:val="center"/>
              <w:rPr>
                <w:sz w:val="21"/>
                <w:szCs w:val="21"/>
              </w:rPr>
            </w:pPr>
            <w:r>
              <w:rPr>
                <w:sz w:val="21"/>
                <w:szCs w:val="21"/>
              </w:rPr>
              <w:t>山东新绿集团</w:t>
            </w:r>
          </w:p>
        </w:tc>
        <w:tc>
          <w:tcPr>
            <w:tcW w:w="2313" w:type="pct"/>
            <w:vAlign w:val="center"/>
          </w:tcPr>
          <w:p>
            <w:pPr>
              <w:spacing w:line="240" w:lineRule="auto"/>
              <w:jc w:val="center"/>
              <w:rPr>
                <w:sz w:val="21"/>
                <w:szCs w:val="21"/>
              </w:rPr>
            </w:pPr>
            <w:r>
              <w:rPr>
                <w:sz w:val="21"/>
                <w:szCs w:val="21"/>
              </w:rPr>
              <w:t>屠宰加工理论技能和实践操作技能</w:t>
            </w:r>
          </w:p>
        </w:tc>
        <w:tc>
          <w:tcPr>
            <w:tcW w:w="516" w:type="pct"/>
            <w:vAlign w:val="center"/>
          </w:tcPr>
          <w:p>
            <w:pPr>
              <w:spacing w:line="240" w:lineRule="auto"/>
              <w:jc w:val="center"/>
              <w:rPr>
                <w:sz w:val="21"/>
                <w:szCs w:val="21"/>
              </w:rPr>
            </w:pPr>
            <w:r>
              <w:rPr>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96" w:type="pct"/>
            <w:vAlign w:val="center"/>
          </w:tcPr>
          <w:p>
            <w:pPr>
              <w:spacing w:line="240" w:lineRule="auto"/>
              <w:jc w:val="center"/>
              <w:rPr>
                <w:sz w:val="21"/>
                <w:szCs w:val="21"/>
              </w:rPr>
            </w:pPr>
            <w:r>
              <w:rPr>
                <w:sz w:val="21"/>
                <w:szCs w:val="21"/>
              </w:rPr>
              <w:t>6</w:t>
            </w:r>
          </w:p>
        </w:tc>
        <w:tc>
          <w:tcPr>
            <w:tcW w:w="1874" w:type="pct"/>
            <w:vAlign w:val="center"/>
          </w:tcPr>
          <w:p>
            <w:pPr>
              <w:spacing w:line="240" w:lineRule="auto"/>
              <w:jc w:val="center"/>
              <w:rPr>
                <w:sz w:val="21"/>
                <w:szCs w:val="21"/>
              </w:rPr>
            </w:pPr>
            <w:r>
              <w:rPr>
                <w:sz w:val="21"/>
                <w:szCs w:val="21"/>
              </w:rPr>
              <w:t>山东六和集团</w:t>
            </w:r>
          </w:p>
        </w:tc>
        <w:tc>
          <w:tcPr>
            <w:tcW w:w="2313" w:type="pct"/>
            <w:vAlign w:val="center"/>
          </w:tcPr>
          <w:p>
            <w:pPr>
              <w:spacing w:line="240" w:lineRule="auto"/>
              <w:jc w:val="center"/>
              <w:rPr>
                <w:sz w:val="21"/>
                <w:szCs w:val="21"/>
              </w:rPr>
            </w:pPr>
            <w:r>
              <w:rPr>
                <w:sz w:val="21"/>
                <w:szCs w:val="21"/>
              </w:rPr>
              <w:t>畜禽屠宰操作流程，牛奶采集及预处理、肉制品加工</w:t>
            </w:r>
          </w:p>
        </w:tc>
        <w:tc>
          <w:tcPr>
            <w:tcW w:w="516" w:type="pct"/>
            <w:vAlign w:val="center"/>
          </w:tcPr>
          <w:p>
            <w:pPr>
              <w:spacing w:line="240" w:lineRule="auto"/>
              <w:jc w:val="center"/>
              <w:rPr>
                <w:sz w:val="21"/>
                <w:szCs w:val="21"/>
              </w:rPr>
            </w:pPr>
            <w:r>
              <w:rPr>
                <w:sz w:val="21"/>
                <w:szCs w:val="21"/>
              </w:rPr>
              <w:t>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96" w:type="pct"/>
            <w:vAlign w:val="center"/>
          </w:tcPr>
          <w:p>
            <w:pPr>
              <w:spacing w:line="240" w:lineRule="auto"/>
              <w:jc w:val="center"/>
              <w:rPr>
                <w:sz w:val="21"/>
                <w:szCs w:val="21"/>
              </w:rPr>
            </w:pPr>
            <w:r>
              <w:rPr>
                <w:sz w:val="21"/>
                <w:szCs w:val="21"/>
              </w:rPr>
              <w:t>7</w:t>
            </w:r>
          </w:p>
        </w:tc>
        <w:tc>
          <w:tcPr>
            <w:tcW w:w="1874" w:type="pct"/>
            <w:vAlign w:val="center"/>
          </w:tcPr>
          <w:p>
            <w:pPr>
              <w:spacing w:line="240" w:lineRule="auto"/>
              <w:jc w:val="center"/>
              <w:rPr>
                <w:sz w:val="21"/>
                <w:szCs w:val="21"/>
              </w:rPr>
            </w:pPr>
            <w:r>
              <w:rPr>
                <w:sz w:val="21"/>
                <w:szCs w:val="21"/>
              </w:rPr>
              <w:t>山东金铭集团</w:t>
            </w:r>
          </w:p>
          <w:p>
            <w:pPr>
              <w:spacing w:line="240" w:lineRule="auto"/>
              <w:jc w:val="center"/>
              <w:rPr>
                <w:sz w:val="21"/>
                <w:szCs w:val="21"/>
              </w:rPr>
            </w:pPr>
            <w:r>
              <w:rPr>
                <w:sz w:val="21"/>
                <w:szCs w:val="21"/>
              </w:rPr>
              <w:t>（山东澳士达牧业发展有限公司）</w:t>
            </w:r>
          </w:p>
        </w:tc>
        <w:tc>
          <w:tcPr>
            <w:tcW w:w="2313" w:type="pct"/>
            <w:vAlign w:val="center"/>
          </w:tcPr>
          <w:p>
            <w:pPr>
              <w:spacing w:line="240" w:lineRule="auto"/>
              <w:jc w:val="center"/>
              <w:rPr>
                <w:sz w:val="21"/>
                <w:szCs w:val="21"/>
              </w:rPr>
            </w:pPr>
            <w:r>
              <w:rPr>
                <w:sz w:val="21"/>
                <w:szCs w:val="21"/>
              </w:rPr>
              <w:t>肉制品加工</w:t>
            </w:r>
          </w:p>
        </w:tc>
        <w:tc>
          <w:tcPr>
            <w:tcW w:w="516" w:type="pct"/>
            <w:vAlign w:val="center"/>
          </w:tcPr>
          <w:p>
            <w:pPr>
              <w:spacing w:line="240" w:lineRule="auto"/>
              <w:jc w:val="center"/>
              <w:rPr>
                <w:sz w:val="21"/>
                <w:szCs w:val="21"/>
              </w:rPr>
            </w:pPr>
            <w:r>
              <w:rPr>
                <w:sz w:val="21"/>
                <w:szCs w:val="21"/>
              </w:rPr>
              <w:t>2010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9" w:hRule="atLeast"/>
          <w:jc w:val="center"/>
        </w:trPr>
        <w:tc>
          <w:tcPr>
            <w:tcW w:w="296" w:type="pct"/>
            <w:vAlign w:val="center"/>
          </w:tcPr>
          <w:p>
            <w:pPr>
              <w:spacing w:line="240" w:lineRule="auto"/>
              <w:jc w:val="center"/>
              <w:rPr>
                <w:sz w:val="21"/>
                <w:szCs w:val="21"/>
              </w:rPr>
            </w:pPr>
            <w:r>
              <w:rPr>
                <w:sz w:val="21"/>
                <w:szCs w:val="21"/>
              </w:rPr>
              <w:t>8</w:t>
            </w:r>
          </w:p>
        </w:tc>
        <w:tc>
          <w:tcPr>
            <w:tcW w:w="1874" w:type="pct"/>
            <w:vAlign w:val="center"/>
          </w:tcPr>
          <w:p>
            <w:pPr>
              <w:spacing w:line="240" w:lineRule="auto"/>
              <w:jc w:val="center"/>
              <w:rPr>
                <w:sz w:val="21"/>
                <w:szCs w:val="21"/>
              </w:rPr>
            </w:pPr>
            <w:r>
              <w:rPr>
                <w:sz w:val="21"/>
                <w:szCs w:val="21"/>
              </w:rPr>
              <w:t>临沂市康发食品饮料有限公司</w:t>
            </w:r>
          </w:p>
        </w:tc>
        <w:tc>
          <w:tcPr>
            <w:tcW w:w="2313" w:type="pct"/>
            <w:vAlign w:val="center"/>
          </w:tcPr>
          <w:p>
            <w:pPr>
              <w:spacing w:line="240" w:lineRule="auto"/>
              <w:jc w:val="center"/>
              <w:rPr>
                <w:sz w:val="21"/>
                <w:szCs w:val="21"/>
              </w:rPr>
            </w:pPr>
            <w:r>
              <w:rPr>
                <w:sz w:val="21"/>
                <w:szCs w:val="21"/>
              </w:rPr>
              <w:t>果蔬罐头及果蔬汁加工</w:t>
            </w:r>
          </w:p>
        </w:tc>
        <w:tc>
          <w:tcPr>
            <w:tcW w:w="516" w:type="pct"/>
            <w:vAlign w:val="center"/>
          </w:tcPr>
          <w:p>
            <w:pPr>
              <w:spacing w:line="240" w:lineRule="auto"/>
              <w:jc w:val="center"/>
              <w:rPr>
                <w:sz w:val="21"/>
                <w:szCs w:val="21"/>
              </w:rPr>
            </w:pPr>
            <w:r>
              <w:rPr>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9</w:t>
            </w:r>
          </w:p>
        </w:tc>
        <w:tc>
          <w:tcPr>
            <w:tcW w:w="1874" w:type="pct"/>
            <w:vAlign w:val="center"/>
          </w:tcPr>
          <w:p>
            <w:pPr>
              <w:spacing w:line="240" w:lineRule="auto"/>
              <w:jc w:val="center"/>
              <w:rPr>
                <w:sz w:val="21"/>
                <w:szCs w:val="21"/>
              </w:rPr>
            </w:pPr>
            <w:r>
              <w:rPr>
                <w:sz w:val="21"/>
                <w:szCs w:val="21"/>
              </w:rPr>
              <w:t>济宁市食品工业经济技术开发区</w:t>
            </w:r>
          </w:p>
        </w:tc>
        <w:tc>
          <w:tcPr>
            <w:tcW w:w="2313" w:type="pct"/>
            <w:vAlign w:val="center"/>
          </w:tcPr>
          <w:p>
            <w:pPr>
              <w:spacing w:line="240" w:lineRule="auto"/>
              <w:jc w:val="center"/>
              <w:rPr>
                <w:sz w:val="21"/>
                <w:szCs w:val="21"/>
              </w:rPr>
            </w:pPr>
            <w:r>
              <w:rPr>
                <w:sz w:val="21"/>
                <w:szCs w:val="21"/>
              </w:rPr>
              <w:t>食品加工</w:t>
            </w:r>
          </w:p>
        </w:tc>
        <w:tc>
          <w:tcPr>
            <w:tcW w:w="516" w:type="pct"/>
            <w:vAlign w:val="center"/>
          </w:tcPr>
          <w:p>
            <w:pPr>
              <w:spacing w:line="240" w:lineRule="auto"/>
              <w:jc w:val="center"/>
              <w:rPr>
                <w:sz w:val="21"/>
                <w:szCs w:val="21"/>
              </w:rPr>
            </w:pPr>
            <w:r>
              <w:rPr>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10</w:t>
            </w:r>
          </w:p>
        </w:tc>
        <w:tc>
          <w:tcPr>
            <w:tcW w:w="1874" w:type="pct"/>
            <w:vAlign w:val="center"/>
          </w:tcPr>
          <w:p>
            <w:pPr>
              <w:spacing w:line="240" w:lineRule="auto"/>
              <w:jc w:val="center"/>
              <w:rPr>
                <w:sz w:val="21"/>
                <w:szCs w:val="21"/>
              </w:rPr>
            </w:pPr>
            <w:r>
              <w:rPr>
                <w:sz w:val="21"/>
                <w:szCs w:val="21"/>
              </w:rPr>
              <w:t>莱芜东兴源食品有限公司</w:t>
            </w:r>
          </w:p>
        </w:tc>
        <w:tc>
          <w:tcPr>
            <w:tcW w:w="2313" w:type="pct"/>
            <w:vAlign w:val="center"/>
          </w:tcPr>
          <w:p>
            <w:pPr>
              <w:spacing w:line="240" w:lineRule="auto"/>
              <w:jc w:val="center"/>
              <w:rPr>
                <w:sz w:val="21"/>
                <w:szCs w:val="21"/>
              </w:rPr>
            </w:pPr>
            <w:r>
              <w:rPr>
                <w:sz w:val="21"/>
                <w:szCs w:val="21"/>
              </w:rPr>
              <w:t>蔬菜加工技术</w:t>
            </w:r>
          </w:p>
        </w:tc>
        <w:tc>
          <w:tcPr>
            <w:tcW w:w="516" w:type="pct"/>
            <w:vAlign w:val="center"/>
          </w:tcPr>
          <w:p>
            <w:pPr>
              <w:spacing w:line="240" w:lineRule="auto"/>
              <w:jc w:val="center"/>
              <w:rPr>
                <w:sz w:val="21"/>
                <w:szCs w:val="21"/>
              </w:rPr>
            </w:pPr>
            <w:r>
              <w:rPr>
                <w:sz w:val="21"/>
                <w:szCs w:val="21"/>
              </w:rPr>
              <w:t>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11</w:t>
            </w:r>
          </w:p>
        </w:tc>
        <w:tc>
          <w:tcPr>
            <w:tcW w:w="1874" w:type="pct"/>
            <w:vAlign w:val="center"/>
          </w:tcPr>
          <w:p>
            <w:pPr>
              <w:spacing w:line="240" w:lineRule="auto"/>
              <w:jc w:val="center"/>
              <w:rPr>
                <w:sz w:val="21"/>
                <w:szCs w:val="21"/>
              </w:rPr>
            </w:pPr>
            <w:r>
              <w:rPr>
                <w:sz w:val="21"/>
                <w:szCs w:val="21"/>
              </w:rPr>
              <w:t>山东省食品发酵工业研究设计院</w:t>
            </w:r>
          </w:p>
        </w:tc>
        <w:tc>
          <w:tcPr>
            <w:tcW w:w="2313" w:type="pct"/>
            <w:vAlign w:val="center"/>
          </w:tcPr>
          <w:p>
            <w:pPr>
              <w:spacing w:line="240" w:lineRule="auto"/>
              <w:jc w:val="center"/>
              <w:rPr>
                <w:sz w:val="21"/>
                <w:szCs w:val="21"/>
              </w:rPr>
            </w:pPr>
            <w:r>
              <w:rPr>
                <w:sz w:val="21"/>
                <w:szCs w:val="21"/>
              </w:rPr>
              <w:t>食品发酵工程</w:t>
            </w:r>
          </w:p>
        </w:tc>
        <w:tc>
          <w:tcPr>
            <w:tcW w:w="516" w:type="pct"/>
            <w:vAlign w:val="center"/>
          </w:tcPr>
          <w:p>
            <w:pPr>
              <w:spacing w:line="240" w:lineRule="auto"/>
              <w:jc w:val="center"/>
              <w:rPr>
                <w:sz w:val="21"/>
                <w:szCs w:val="21"/>
              </w:rPr>
            </w:pPr>
            <w:r>
              <w:rPr>
                <w:sz w:val="21"/>
                <w:szCs w:val="21"/>
              </w:rPr>
              <w:t>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12</w:t>
            </w:r>
          </w:p>
        </w:tc>
        <w:tc>
          <w:tcPr>
            <w:tcW w:w="1874" w:type="pct"/>
            <w:vAlign w:val="center"/>
          </w:tcPr>
          <w:p>
            <w:pPr>
              <w:spacing w:line="240" w:lineRule="auto"/>
              <w:jc w:val="center"/>
              <w:rPr>
                <w:sz w:val="21"/>
                <w:szCs w:val="21"/>
              </w:rPr>
            </w:pPr>
            <w:r>
              <w:rPr>
                <w:sz w:val="21"/>
                <w:szCs w:val="21"/>
              </w:rPr>
              <w:t>山东驰中集团</w:t>
            </w:r>
          </w:p>
        </w:tc>
        <w:tc>
          <w:tcPr>
            <w:tcW w:w="2313" w:type="pct"/>
            <w:vAlign w:val="center"/>
          </w:tcPr>
          <w:p>
            <w:pPr>
              <w:spacing w:line="240" w:lineRule="auto"/>
              <w:jc w:val="center"/>
              <w:rPr>
                <w:sz w:val="21"/>
                <w:szCs w:val="21"/>
              </w:rPr>
            </w:pPr>
            <w:r>
              <w:rPr>
                <w:sz w:val="21"/>
                <w:szCs w:val="21"/>
              </w:rPr>
              <w:t>果蔬加工技术</w:t>
            </w:r>
          </w:p>
        </w:tc>
        <w:tc>
          <w:tcPr>
            <w:tcW w:w="516" w:type="pct"/>
            <w:vAlign w:val="center"/>
          </w:tcPr>
          <w:p>
            <w:pPr>
              <w:spacing w:line="240" w:lineRule="auto"/>
              <w:jc w:val="center"/>
              <w:rPr>
                <w:sz w:val="21"/>
                <w:szCs w:val="21"/>
              </w:rPr>
            </w:pPr>
            <w:r>
              <w:rPr>
                <w:sz w:val="21"/>
                <w:szCs w:val="21"/>
              </w:rPr>
              <w:t>2010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13</w:t>
            </w:r>
          </w:p>
        </w:tc>
        <w:tc>
          <w:tcPr>
            <w:tcW w:w="1874" w:type="pct"/>
            <w:vAlign w:val="center"/>
          </w:tcPr>
          <w:p>
            <w:pPr>
              <w:spacing w:line="240" w:lineRule="auto"/>
              <w:jc w:val="center"/>
              <w:rPr>
                <w:sz w:val="21"/>
                <w:szCs w:val="21"/>
              </w:rPr>
            </w:pPr>
            <w:r>
              <w:rPr>
                <w:sz w:val="21"/>
                <w:szCs w:val="21"/>
              </w:rPr>
              <w:t>烟台绿杰饮料有限公司</w:t>
            </w:r>
          </w:p>
        </w:tc>
        <w:tc>
          <w:tcPr>
            <w:tcW w:w="2313" w:type="pct"/>
            <w:vAlign w:val="center"/>
          </w:tcPr>
          <w:p>
            <w:pPr>
              <w:spacing w:line="240" w:lineRule="auto"/>
              <w:jc w:val="center"/>
              <w:rPr>
                <w:sz w:val="21"/>
                <w:szCs w:val="21"/>
              </w:rPr>
            </w:pPr>
            <w:r>
              <w:rPr>
                <w:sz w:val="21"/>
                <w:szCs w:val="21"/>
              </w:rPr>
              <w:t>饮料加工，发酵技术</w:t>
            </w:r>
          </w:p>
        </w:tc>
        <w:tc>
          <w:tcPr>
            <w:tcW w:w="516" w:type="pct"/>
            <w:vAlign w:val="center"/>
          </w:tcPr>
          <w:p>
            <w:pPr>
              <w:spacing w:line="240" w:lineRule="auto"/>
              <w:jc w:val="center"/>
              <w:rPr>
                <w:sz w:val="21"/>
                <w:szCs w:val="21"/>
              </w:rPr>
            </w:pPr>
            <w:r>
              <w:rPr>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14</w:t>
            </w:r>
          </w:p>
        </w:tc>
        <w:tc>
          <w:tcPr>
            <w:tcW w:w="1874" w:type="pct"/>
            <w:vAlign w:val="center"/>
          </w:tcPr>
          <w:p>
            <w:pPr>
              <w:spacing w:line="240" w:lineRule="auto"/>
              <w:jc w:val="center"/>
              <w:rPr>
                <w:sz w:val="21"/>
                <w:szCs w:val="21"/>
              </w:rPr>
            </w:pPr>
            <w:r>
              <w:rPr>
                <w:sz w:val="21"/>
                <w:szCs w:val="21"/>
              </w:rPr>
              <w:t>山东寿光蔬菜产业集团</w:t>
            </w:r>
          </w:p>
        </w:tc>
        <w:tc>
          <w:tcPr>
            <w:tcW w:w="2313" w:type="pct"/>
            <w:vAlign w:val="center"/>
          </w:tcPr>
          <w:p>
            <w:pPr>
              <w:spacing w:line="240" w:lineRule="auto"/>
              <w:jc w:val="center"/>
              <w:rPr>
                <w:sz w:val="21"/>
                <w:szCs w:val="21"/>
              </w:rPr>
            </w:pPr>
            <w:r>
              <w:rPr>
                <w:sz w:val="21"/>
                <w:szCs w:val="21"/>
              </w:rPr>
              <w:t>果蔬膨化加工技术，</w:t>
            </w:r>
          </w:p>
        </w:tc>
        <w:tc>
          <w:tcPr>
            <w:tcW w:w="516" w:type="pct"/>
            <w:vAlign w:val="center"/>
          </w:tcPr>
          <w:p>
            <w:pPr>
              <w:spacing w:line="240" w:lineRule="auto"/>
              <w:jc w:val="center"/>
              <w:rPr>
                <w:sz w:val="21"/>
                <w:szCs w:val="21"/>
              </w:rPr>
            </w:pPr>
            <w:r>
              <w:rPr>
                <w:sz w:val="21"/>
                <w:szCs w:val="21"/>
              </w:rPr>
              <w:t>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15</w:t>
            </w:r>
          </w:p>
        </w:tc>
        <w:tc>
          <w:tcPr>
            <w:tcW w:w="1874" w:type="pct"/>
            <w:vAlign w:val="center"/>
          </w:tcPr>
          <w:p>
            <w:pPr>
              <w:spacing w:line="240" w:lineRule="auto"/>
              <w:jc w:val="center"/>
              <w:rPr>
                <w:sz w:val="21"/>
                <w:szCs w:val="21"/>
              </w:rPr>
            </w:pPr>
            <w:r>
              <w:rPr>
                <w:sz w:val="21"/>
                <w:szCs w:val="21"/>
              </w:rPr>
              <w:t>山东省农业科学院农产品研究所</w:t>
            </w:r>
          </w:p>
        </w:tc>
        <w:tc>
          <w:tcPr>
            <w:tcW w:w="2313" w:type="pct"/>
            <w:vAlign w:val="center"/>
          </w:tcPr>
          <w:p>
            <w:pPr>
              <w:spacing w:line="240" w:lineRule="auto"/>
              <w:jc w:val="center"/>
              <w:rPr>
                <w:sz w:val="21"/>
                <w:szCs w:val="21"/>
              </w:rPr>
            </w:pPr>
            <w:r>
              <w:rPr>
                <w:sz w:val="21"/>
                <w:szCs w:val="21"/>
              </w:rPr>
              <w:t>农产品加工</w:t>
            </w:r>
          </w:p>
        </w:tc>
        <w:tc>
          <w:tcPr>
            <w:tcW w:w="516" w:type="pct"/>
            <w:vAlign w:val="center"/>
          </w:tcPr>
          <w:p>
            <w:pPr>
              <w:spacing w:line="240" w:lineRule="auto"/>
              <w:jc w:val="center"/>
              <w:rPr>
                <w:sz w:val="21"/>
                <w:szCs w:val="21"/>
              </w:rPr>
            </w:pPr>
            <w:r>
              <w:rPr>
                <w:sz w:val="21"/>
                <w:szCs w:val="21"/>
              </w:rPr>
              <w:t>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16</w:t>
            </w:r>
          </w:p>
        </w:tc>
        <w:tc>
          <w:tcPr>
            <w:tcW w:w="1874" w:type="pct"/>
            <w:vAlign w:val="center"/>
          </w:tcPr>
          <w:p>
            <w:pPr>
              <w:spacing w:line="240" w:lineRule="auto"/>
              <w:jc w:val="center"/>
              <w:rPr>
                <w:sz w:val="21"/>
                <w:szCs w:val="21"/>
              </w:rPr>
            </w:pPr>
            <w:r>
              <w:rPr>
                <w:sz w:val="21"/>
                <w:szCs w:val="21"/>
              </w:rPr>
              <w:t>菏泽天鸿果蔬有限公司</w:t>
            </w:r>
          </w:p>
        </w:tc>
        <w:tc>
          <w:tcPr>
            <w:tcW w:w="2313" w:type="pct"/>
            <w:vAlign w:val="center"/>
          </w:tcPr>
          <w:p>
            <w:pPr>
              <w:spacing w:line="240" w:lineRule="auto"/>
              <w:jc w:val="center"/>
              <w:rPr>
                <w:sz w:val="21"/>
                <w:szCs w:val="21"/>
              </w:rPr>
            </w:pPr>
            <w:r>
              <w:rPr>
                <w:sz w:val="21"/>
                <w:szCs w:val="21"/>
              </w:rPr>
              <w:t>果蔬</w:t>
            </w:r>
          </w:p>
        </w:tc>
        <w:tc>
          <w:tcPr>
            <w:tcW w:w="516" w:type="pct"/>
            <w:vAlign w:val="center"/>
          </w:tcPr>
          <w:p>
            <w:pPr>
              <w:spacing w:line="240" w:lineRule="auto"/>
              <w:jc w:val="center"/>
              <w:rPr>
                <w:sz w:val="21"/>
                <w:szCs w:val="21"/>
              </w:rPr>
            </w:pPr>
            <w:r>
              <w:rPr>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17</w:t>
            </w:r>
          </w:p>
        </w:tc>
        <w:tc>
          <w:tcPr>
            <w:tcW w:w="1874" w:type="pct"/>
            <w:vAlign w:val="center"/>
          </w:tcPr>
          <w:p>
            <w:pPr>
              <w:spacing w:line="240" w:lineRule="auto"/>
              <w:jc w:val="center"/>
              <w:rPr>
                <w:sz w:val="21"/>
                <w:szCs w:val="21"/>
              </w:rPr>
            </w:pPr>
            <w:r>
              <w:rPr>
                <w:sz w:val="21"/>
                <w:szCs w:val="21"/>
              </w:rPr>
              <w:t>泰安亚细亚食品有限公司</w:t>
            </w:r>
          </w:p>
        </w:tc>
        <w:tc>
          <w:tcPr>
            <w:tcW w:w="2313" w:type="pct"/>
            <w:vAlign w:val="center"/>
          </w:tcPr>
          <w:p>
            <w:pPr>
              <w:spacing w:line="240" w:lineRule="auto"/>
              <w:jc w:val="center"/>
              <w:rPr>
                <w:sz w:val="21"/>
                <w:szCs w:val="21"/>
              </w:rPr>
            </w:pPr>
            <w:r>
              <w:rPr>
                <w:sz w:val="21"/>
                <w:szCs w:val="21"/>
              </w:rPr>
              <w:t>食品冷冻工艺学</w:t>
            </w:r>
          </w:p>
        </w:tc>
        <w:tc>
          <w:tcPr>
            <w:tcW w:w="516" w:type="pct"/>
            <w:vAlign w:val="center"/>
          </w:tcPr>
          <w:p>
            <w:pPr>
              <w:spacing w:line="240" w:lineRule="auto"/>
              <w:jc w:val="center"/>
              <w:rPr>
                <w:sz w:val="21"/>
                <w:szCs w:val="21"/>
              </w:rPr>
            </w:pPr>
            <w:r>
              <w:rPr>
                <w:sz w:val="21"/>
                <w:szCs w:val="21"/>
              </w:rPr>
              <w:t>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18</w:t>
            </w:r>
          </w:p>
        </w:tc>
        <w:tc>
          <w:tcPr>
            <w:tcW w:w="1874" w:type="pct"/>
            <w:vAlign w:val="center"/>
          </w:tcPr>
          <w:p>
            <w:pPr>
              <w:spacing w:line="240" w:lineRule="auto"/>
              <w:jc w:val="center"/>
              <w:rPr>
                <w:sz w:val="21"/>
                <w:szCs w:val="21"/>
              </w:rPr>
            </w:pPr>
            <w:r>
              <w:rPr>
                <w:sz w:val="21"/>
                <w:szCs w:val="21"/>
              </w:rPr>
              <w:t>烟台朗源股份有限公司</w:t>
            </w:r>
          </w:p>
        </w:tc>
        <w:tc>
          <w:tcPr>
            <w:tcW w:w="2313" w:type="pct"/>
            <w:vAlign w:val="center"/>
          </w:tcPr>
          <w:p>
            <w:pPr>
              <w:spacing w:line="240" w:lineRule="auto"/>
              <w:jc w:val="center"/>
              <w:rPr>
                <w:sz w:val="21"/>
                <w:szCs w:val="21"/>
              </w:rPr>
            </w:pPr>
            <w:r>
              <w:rPr>
                <w:sz w:val="21"/>
                <w:szCs w:val="21"/>
              </w:rPr>
              <w:t>果品采收、商品化处理、贮藏工艺</w:t>
            </w:r>
          </w:p>
        </w:tc>
        <w:tc>
          <w:tcPr>
            <w:tcW w:w="516" w:type="pct"/>
            <w:vAlign w:val="center"/>
          </w:tcPr>
          <w:p>
            <w:pPr>
              <w:spacing w:line="240" w:lineRule="auto"/>
              <w:jc w:val="center"/>
              <w:rPr>
                <w:sz w:val="21"/>
                <w:szCs w:val="21"/>
              </w:rPr>
            </w:pPr>
            <w:r>
              <w:rPr>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19</w:t>
            </w:r>
          </w:p>
        </w:tc>
        <w:tc>
          <w:tcPr>
            <w:tcW w:w="1874" w:type="pct"/>
            <w:vAlign w:val="center"/>
          </w:tcPr>
          <w:p>
            <w:pPr>
              <w:spacing w:line="240" w:lineRule="auto"/>
              <w:jc w:val="center"/>
              <w:rPr>
                <w:sz w:val="21"/>
                <w:szCs w:val="21"/>
              </w:rPr>
            </w:pPr>
            <w:r>
              <w:rPr>
                <w:sz w:val="21"/>
                <w:szCs w:val="21"/>
              </w:rPr>
              <w:t>山东营养源食品科技有限公司</w:t>
            </w:r>
          </w:p>
        </w:tc>
        <w:tc>
          <w:tcPr>
            <w:tcW w:w="2313" w:type="pct"/>
            <w:vAlign w:val="center"/>
          </w:tcPr>
          <w:p>
            <w:pPr>
              <w:spacing w:line="240" w:lineRule="auto"/>
              <w:jc w:val="center"/>
              <w:rPr>
                <w:sz w:val="21"/>
                <w:szCs w:val="21"/>
              </w:rPr>
            </w:pPr>
            <w:r>
              <w:rPr>
                <w:sz w:val="21"/>
                <w:szCs w:val="21"/>
              </w:rPr>
              <w:t>果蔬保鲜</w:t>
            </w:r>
          </w:p>
        </w:tc>
        <w:tc>
          <w:tcPr>
            <w:tcW w:w="516" w:type="pct"/>
            <w:vAlign w:val="center"/>
          </w:tcPr>
          <w:p>
            <w:pPr>
              <w:spacing w:line="240" w:lineRule="auto"/>
              <w:jc w:val="center"/>
              <w:rPr>
                <w:sz w:val="21"/>
                <w:szCs w:val="21"/>
              </w:rPr>
            </w:pPr>
            <w:r>
              <w:rPr>
                <w:sz w:val="21"/>
                <w:szCs w:val="21"/>
              </w:rPr>
              <w:t>2011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20</w:t>
            </w:r>
          </w:p>
        </w:tc>
        <w:tc>
          <w:tcPr>
            <w:tcW w:w="1874" w:type="pct"/>
            <w:vAlign w:val="center"/>
          </w:tcPr>
          <w:p>
            <w:pPr>
              <w:spacing w:line="240" w:lineRule="auto"/>
              <w:jc w:val="center"/>
              <w:rPr>
                <w:sz w:val="21"/>
                <w:szCs w:val="21"/>
              </w:rPr>
            </w:pPr>
            <w:r>
              <w:rPr>
                <w:sz w:val="21"/>
                <w:szCs w:val="21"/>
              </w:rPr>
              <w:t>德州齐河美东工贸有限公司</w:t>
            </w:r>
          </w:p>
        </w:tc>
        <w:tc>
          <w:tcPr>
            <w:tcW w:w="2313" w:type="pct"/>
            <w:vAlign w:val="center"/>
          </w:tcPr>
          <w:p>
            <w:pPr>
              <w:spacing w:line="240" w:lineRule="auto"/>
              <w:jc w:val="center"/>
              <w:rPr>
                <w:sz w:val="21"/>
                <w:szCs w:val="21"/>
              </w:rPr>
            </w:pPr>
            <w:r>
              <w:rPr>
                <w:sz w:val="21"/>
                <w:szCs w:val="21"/>
              </w:rPr>
              <w:t>商品化质量标准、工艺要求</w:t>
            </w:r>
          </w:p>
        </w:tc>
        <w:tc>
          <w:tcPr>
            <w:tcW w:w="516" w:type="pct"/>
            <w:vAlign w:val="center"/>
          </w:tcPr>
          <w:p>
            <w:pPr>
              <w:spacing w:line="240" w:lineRule="auto"/>
              <w:jc w:val="center"/>
              <w:rPr>
                <w:sz w:val="21"/>
                <w:szCs w:val="21"/>
              </w:rPr>
            </w:pPr>
            <w:r>
              <w:rPr>
                <w:sz w:val="21"/>
                <w:szCs w:val="21"/>
              </w:rPr>
              <w:t>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21</w:t>
            </w:r>
          </w:p>
        </w:tc>
        <w:tc>
          <w:tcPr>
            <w:tcW w:w="1874" w:type="pct"/>
            <w:vAlign w:val="center"/>
          </w:tcPr>
          <w:p>
            <w:pPr>
              <w:spacing w:line="240" w:lineRule="auto"/>
              <w:jc w:val="center"/>
              <w:rPr>
                <w:w w:val="90"/>
                <w:sz w:val="21"/>
                <w:szCs w:val="21"/>
              </w:rPr>
            </w:pPr>
            <w:r>
              <w:rPr>
                <w:w w:val="90"/>
                <w:sz w:val="21"/>
                <w:szCs w:val="21"/>
              </w:rPr>
              <w:t>枣庄市山亭区豆制品标准化生产基地</w:t>
            </w:r>
          </w:p>
        </w:tc>
        <w:tc>
          <w:tcPr>
            <w:tcW w:w="2313" w:type="pct"/>
            <w:vAlign w:val="center"/>
          </w:tcPr>
          <w:p>
            <w:pPr>
              <w:spacing w:line="240" w:lineRule="auto"/>
              <w:jc w:val="center"/>
              <w:rPr>
                <w:sz w:val="21"/>
                <w:szCs w:val="21"/>
              </w:rPr>
            </w:pPr>
            <w:r>
              <w:rPr>
                <w:sz w:val="21"/>
                <w:szCs w:val="21"/>
              </w:rPr>
              <w:t>豆制品加工</w:t>
            </w:r>
          </w:p>
        </w:tc>
        <w:tc>
          <w:tcPr>
            <w:tcW w:w="516" w:type="pct"/>
            <w:vAlign w:val="center"/>
          </w:tcPr>
          <w:p>
            <w:pPr>
              <w:spacing w:line="240" w:lineRule="auto"/>
              <w:jc w:val="center"/>
              <w:rPr>
                <w:sz w:val="21"/>
                <w:szCs w:val="21"/>
              </w:rPr>
            </w:pPr>
            <w:r>
              <w:rPr>
                <w:sz w:val="21"/>
                <w:szCs w:val="21"/>
              </w:rPr>
              <w:t>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22</w:t>
            </w:r>
          </w:p>
        </w:tc>
        <w:tc>
          <w:tcPr>
            <w:tcW w:w="1874" w:type="pct"/>
            <w:vAlign w:val="center"/>
          </w:tcPr>
          <w:p>
            <w:pPr>
              <w:spacing w:line="240" w:lineRule="auto"/>
              <w:jc w:val="center"/>
              <w:rPr>
                <w:sz w:val="21"/>
                <w:szCs w:val="21"/>
              </w:rPr>
            </w:pPr>
            <w:r>
              <w:rPr>
                <w:sz w:val="21"/>
                <w:szCs w:val="21"/>
              </w:rPr>
              <w:t>山东金保罗食品饮料有限公司</w:t>
            </w:r>
          </w:p>
        </w:tc>
        <w:tc>
          <w:tcPr>
            <w:tcW w:w="2313" w:type="pct"/>
            <w:vAlign w:val="center"/>
          </w:tcPr>
          <w:p>
            <w:pPr>
              <w:spacing w:line="240" w:lineRule="auto"/>
              <w:jc w:val="center"/>
              <w:rPr>
                <w:sz w:val="21"/>
                <w:szCs w:val="21"/>
              </w:rPr>
            </w:pPr>
            <w:r>
              <w:rPr>
                <w:sz w:val="21"/>
                <w:szCs w:val="21"/>
              </w:rPr>
              <w:t>食品加工</w:t>
            </w:r>
          </w:p>
        </w:tc>
        <w:tc>
          <w:tcPr>
            <w:tcW w:w="516" w:type="pct"/>
            <w:vAlign w:val="center"/>
          </w:tcPr>
          <w:p>
            <w:pPr>
              <w:spacing w:line="240" w:lineRule="auto"/>
              <w:jc w:val="center"/>
              <w:rPr>
                <w:sz w:val="21"/>
                <w:szCs w:val="21"/>
              </w:rPr>
            </w:pPr>
            <w:r>
              <w:rPr>
                <w:sz w:val="21"/>
                <w:szCs w:val="21"/>
              </w:rPr>
              <w:t>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23</w:t>
            </w:r>
          </w:p>
        </w:tc>
        <w:tc>
          <w:tcPr>
            <w:tcW w:w="1874" w:type="pct"/>
            <w:vAlign w:val="center"/>
          </w:tcPr>
          <w:p>
            <w:pPr>
              <w:spacing w:line="240" w:lineRule="auto"/>
              <w:jc w:val="center"/>
              <w:rPr>
                <w:sz w:val="21"/>
                <w:szCs w:val="21"/>
              </w:rPr>
            </w:pPr>
            <w:r>
              <w:rPr>
                <w:sz w:val="21"/>
                <w:szCs w:val="21"/>
              </w:rPr>
              <w:t>山东省分析测试中心</w:t>
            </w:r>
          </w:p>
        </w:tc>
        <w:tc>
          <w:tcPr>
            <w:tcW w:w="2313" w:type="pct"/>
            <w:vAlign w:val="center"/>
          </w:tcPr>
          <w:p>
            <w:pPr>
              <w:spacing w:line="240" w:lineRule="auto"/>
              <w:jc w:val="center"/>
              <w:rPr>
                <w:sz w:val="21"/>
                <w:szCs w:val="21"/>
              </w:rPr>
            </w:pPr>
            <w:r>
              <w:rPr>
                <w:sz w:val="21"/>
                <w:szCs w:val="21"/>
              </w:rPr>
              <w:t>食品安全监测与分析</w:t>
            </w:r>
          </w:p>
        </w:tc>
        <w:tc>
          <w:tcPr>
            <w:tcW w:w="516" w:type="pct"/>
            <w:vAlign w:val="center"/>
          </w:tcPr>
          <w:p>
            <w:pPr>
              <w:spacing w:line="240" w:lineRule="auto"/>
              <w:jc w:val="center"/>
              <w:rPr>
                <w:sz w:val="21"/>
                <w:szCs w:val="21"/>
              </w:rPr>
            </w:pPr>
            <w:r>
              <w:rPr>
                <w:sz w:val="21"/>
                <w:szCs w:val="21"/>
              </w:rPr>
              <w:t>2010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24</w:t>
            </w:r>
          </w:p>
        </w:tc>
        <w:tc>
          <w:tcPr>
            <w:tcW w:w="1874" w:type="pct"/>
            <w:vAlign w:val="center"/>
          </w:tcPr>
          <w:p>
            <w:pPr>
              <w:spacing w:line="240" w:lineRule="auto"/>
              <w:jc w:val="center"/>
              <w:rPr>
                <w:sz w:val="21"/>
                <w:szCs w:val="21"/>
              </w:rPr>
            </w:pPr>
            <w:r>
              <w:rPr>
                <w:sz w:val="21"/>
                <w:szCs w:val="21"/>
              </w:rPr>
              <w:t>中粮长城葡萄酒有限公司</w:t>
            </w:r>
          </w:p>
        </w:tc>
        <w:tc>
          <w:tcPr>
            <w:tcW w:w="2313" w:type="pct"/>
            <w:vAlign w:val="center"/>
          </w:tcPr>
          <w:p>
            <w:pPr>
              <w:spacing w:line="240" w:lineRule="auto"/>
              <w:jc w:val="center"/>
              <w:rPr>
                <w:sz w:val="21"/>
                <w:szCs w:val="21"/>
              </w:rPr>
            </w:pPr>
            <w:r>
              <w:rPr>
                <w:sz w:val="21"/>
                <w:szCs w:val="21"/>
              </w:rPr>
              <w:t>葡萄酒酿造</w:t>
            </w:r>
          </w:p>
        </w:tc>
        <w:tc>
          <w:tcPr>
            <w:tcW w:w="516" w:type="pct"/>
            <w:vAlign w:val="center"/>
          </w:tcPr>
          <w:p>
            <w:pPr>
              <w:spacing w:line="240" w:lineRule="auto"/>
              <w:jc w:val="center"/>
              <w:rPr>
                <w:sz w:val="21"/>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25</w:t>
            </w:r>
          </w:p>
        </w:tc>
        <w:tc>
          <w:tcPr>
            <w:tcW w:w="1874" w:type="pct"/>
            <w:vAlign w:val="center"/>
          </w:tcPr>
          <w:p>
            <w:pPr>
              <w:spacing w:line="240" w:lineRule="auto"/>
              <w:jc w:val="center"/>
              <w:rPr>
                <w:sz w:val="21"/>
                <w:szCs w:val="21"/>
              </w:rPr>
            </w:pPr>
            <w:r>
              <w:rPr>
                <w:sz w:val="21"/>
                <w:szCs w:val="21"/>
              </w:rPr>
              <w:t>洁翼流体技术(上海)有限公司</w:t>
            </w:r>
          </w:p>
        </w:tc>
        <w:tc>
          <w:tcPr>
            <w:tcW w:w="2313" w:type="pct"/>
            <w:vAlign w:val="center"/>
          </w:tcPr>
          <w:p>
            <w:pPr>
              <w:spacing w:line="240" w:lineRule="auto"/>
              <w:jc w:val="center"/>
              <w:rPr>
                <w:sz w:val="21"/>
                <w:szCs w:val="21"/>
              </w:rPr>
            </w:pPr>
            <w:r>
              <w:rPr>
                <w:sz w:val="21"/>
                <w:szCs w:val="21"/>
              </w:rPr>
              <w:t>设计、加工、制造、安装于一体的食品工程与设备</w:t>
            </w:r>
          </w:p>
        </w:tc>
        <w:tc>
          <w:tcPr>
            <w:tcW w:w="516" w:type="pct"/>
            <w:vAlign w:val="center"/>
          </w:tcPr>
          <w:p>
            <w:pPr>
              <w:spacing w:line="240" w:lineRule="auto"/>
              <w:jc w:val="center"/>
              <w:rPr>
                <w:sz w:val="21"/>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26</w:t>
            </w:r>
          </w:p>
        </w:tc>
        <w:tc>
          <w:tcPr>
            <w:tcW w:w="1874" w:type="pct"/>
            <w:vAlign w:val="center"/>
          </w:tcPr>
          <w:p>
            <w:pPr>
              <w:spacing w:line="240" w:lineRule="auto"/>
              <w:jc w:val="center"/>
              <w:rPr>
                <w:sz w:val="21"/>
                <w:szCs w:val="21"/>
              </w:rPr>
            </w:pPr>
            <w:r>
              <w:rPr>
                <w:sz w:val="21"/>
                <w:szCs w:val="21"/>
              </w:rPr>
              <w:t>中粮君顶酒庄有限公司</w:t>
            </w:r>
          </w:p>
        </w:tc>
        <w:tc>
          <w:tcPr>
            <w:tcW w:w="2313" w:type="pct"/>
            <w:vAlign w:val="center"/>
          </w:tcPr>
          <w:p>
            <w:pPr>
              <w:spacing w:line="240" w:lineRule="auto"/>
              <w:jc w:val="center"/>
              <w:rPr>
                <w:sz w:val="21"/>
                <w:szCs w:val="21"/>
              </w:rPr>
            </w:pPr>
            <w:r>
              <w:rPr>
                <w:sz w:val="21"/>
                <w:szCs w:val="21"/>
              </w:rPr>
              <w:t>葡萄酒酿造</w:t>
            </w:r>
          </w:p>
        </w:tc>
        <w:tc>
          <w:tcPr>
            <w:tcW w:w="516" w:type="pct"/>
            <w:vAlign w:val="center"/>
          </w:tcPr>
          <w:p>
            <w:pPr>
              <w:spacing w:line="240" w:lineRule="auto"/>
              <w:jc w:val="center"/>
              <w:rPr>
                <w:sz w:val="21"/>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27</w:t>
            </w:r>
          </w:p>
        </w:tc>
        <w:tc>
          <w:tcPr>
            <w:tcW w:w="1874" w:type="pct"/>
            <w:vAlign w:val="center"/>
          </w:tcPr>
          <w:p>
            <w:pPr>
              <w:spacing w:line="240" w:lineRule="auto"/>
              <w:jc w:val="center"/>
              <w:rPr>
                <w:sz w:val="21"/>
                <w:szCs w:val="21"/>
              </w:rPr>
            </w:pPr>
            <w:r>
              <w:rPr>
                <w:sz w:val="21"/>
                <w:szCs w:val="21"/>
              </w:rPr>
              <w:t>山东泰山立福食品科技有限公司</w:t>
            </w:r>
          </w:p>
        </w:tc>
        <w:tc>
          <w:tcPr>
            <w:tcW w:w="2313" w:type="pct"/>
            <w:vAlign w:val="center"/>
          </w:tcPr>
          <w:p>
            <w:pPr>
              <w:spacing w:line="240" w:lineRule="auto"/>
              <w:jc w:val="center"/>
              <w:rPr>
                <w:sz w:val="21"/>
                <w:szCs w:val="21"/>
              </w:rPr>
            </w:pPr>
            <w:r>
              <w:rPr>
                <w:sz w:val="21"/>
                <w:szCs w:val="21"/>
              </w:rPr>
              <w:t>调味品</w:t>
            </w:r>
          </w:p>
        </w:tc>
        <w:tc>
          <w:tcPr>
            <w:tcW w:w="516" w:type="pct"/>
            <w:vAlign w:val="center"/>
          </w:tcPr>
          <w:p>
            <w:pPr>
              <w:spacing w:line="24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28</w:t>
            </w:r>
          </w:p>
        </w:tc>
        <w:tc>
          <w:tcPr>
            <w:tcW w:w="1874" w:type="pct"/>
            <w:vAlign w:val="center"/>
          </w:tcPr>
          <w:p>
            <w:pPr>
              <w:spacing w:line="240" w:lineRule="auto"/>
              <w:jc w:val="center"/>
              <w:rPr>
                <w:sz w:val="21"/>
                <w:szCs w:val="21"/>
              </w:rPr>
            </w:pPr>
            <w:r>
              <w:rPr>
                <w:sz w:val="21"/>
                <w:szCs w:val="21"/>
              </w:rPr>
              <w:t>泰安悦美客食品有限公司</w:t>
            </w:r>
          </w:p>
        </w:tc>
        <w:tc>
          <w:tcPr>
            <w:tcW w:w="2313" w:type="pct"/>
            <w:vAlign w:val="center"/>
          </w:tcPr>
          <w:p>
            <w:pPr>
              <w:spacing w:line="240" w:lineRule="auto"/>
              <w:jc w:val="center"/>
              <w:rPr>
                <w:sz w:val="21"/>
                <w:szCs w:val="21"/>
              </w:rPr>
            </w:pPr>
            <w:r>
              <w:rPr>
                <w:sz w:val="21"/>
                <w:szCs w:val="21"/>
              </w:rPr>
              <w:t>速冻食品</w:t>
            </w:r>
          </w:p>
        </w:tc>
        <w:tc>
          <w:tcPr>
            <w:tcW w:w="516" w:type="pct"/>
            <w:vAlign w:val="center"/>
          </w:tcPr>
          <w:p>
            <w:pPr>
              <w:spacing w:line="24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29</w:t>
            </w:r>
          </w:p>
        </w:tc>
        <w:tc>
          <w:tcPr>
            <w:tcW w:w="1874" w:type="pct"/>
            <w:vAlign w:val="center"/>
          </w:tcPr>
          <w:p>
            <w:pPr>
              <w:spacing w:line="240" w:lineRule="auto"/>
              <w:jc w:val="center"/>
              <w:rPr>
                <w:sz w:val="21"/>
                <w:szCs w:val="21"/>
              </w:rPr>
            </w:pPr>
            <w:r>
              <w:rPr>
                <w:sz w:val="21"/>
                <w:szCs w:val="21"/>
              </w:rPr>
              <w:t>凌云餐饮管理有限公司</w:t>
            </w:r>
          </w:p>
        </w:tc>
        <w:tc>
          <w:tcPr>
            <w:tcW w:w="2313" w:type="pct"/>
            <w:vAlign w:val="center"/>
          </w:tcPr>
          <w:p>
            <w:pPr>
              <w:spacing w:line="240" w:lineRule="auto"/>
              <w:jc w:val="center"/>
              <w:rPr>
                <w:sz w:val="21"/>
                <w:szCs w:val="21"/>
              </w:rPr>
            </w:pPr>
            <w:r>
              <w:rPr>
                <w:sz w:val="21"/>
                <w:szCs w:val="21"/>
              </w:rPr>
              <w:t>餐饮</w:t>
            </w:r>
          </w:p>
        </w:tc>
        <w:tc>
          <w:tcPr>
            <w:tcW w:w="516" w:type="pct"/>
            <w:vAlign w:val="center"/>
          </w:tcPr>
          <w:p>
            <w:pPr>
              <w:spacing w:line="24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30</w:t>
            </w:r>
          </w:p>
        </w:tc>
        <w:tc>
          <w:tcPr>
            <w:tcW w:w="1874" w:type="pct"/>
            <w:vAlign w:val="center"/>
          </w:tcPr>
          <w:p>
            <w:pPr>
              <w:spacing w:line="240" w:lineRule="auto"/>
              <w:jc w:val="center"/>
              <w:rPr>
                <w:sz w:val="21"/>
                <w:szCs w:val="21"/>
              </w:rPr>
            </w:pPr>
            <w:r>
              <w:rPr>
                <w:sz w:val="21"/>
                <w:szCs w:val="21"/>
              </w:rPr>
              <w:t>山东金彩山酒业有限公司</w:t>
            </w:r>
          </w:p>
        </w:tc>
        <w:tc>
          <w:tcPr>
            <w:tcW w:w="2313" w:type="pct"/>
            <w:vAlign w:val="center"/>
          </w:tcPr>
          <w:p>
            <w:pPr>
              <w:spacing w:line="240" w:lineRule="auto"/>
              <w:jc w:val="center"/>
              <w:rPr>
                <w:sz w:val="21"/>
                <w:szCs w:val="21"/>
              </w:rPr>
            </w:pPr>
            <w:r>
              <w:rPr>
                <w:sz w:val="21"/>
                <w:szCs w:val="21"/>
              </w:rPr>
              <w:t>白酒酿造</w:t>
            </w:r>
          </w:p>
        </w:tc>
        <w:tc>
          <w:tcPr>
            <w:tcW w:w="516" w:type="pct"/>
            <w:vAlign w:val="center"/>
          </w:tcPr>
          <w:p>
            <w:pPr>
              <w:spacing w:line="24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31</w:t>
            </w:r>
          </w:p>
        </w:tc>
        <w:tc>
          <w:tcPr>
            <w:tcW w:w="1874" w:type="pct"/>
            <w:vAlign w:val="center"/>
          </w:tcPr>
          <w:p>
            <w:pPr>
              <w:spacing w:line="240" w:lineRule="auto"/>
              <w:jc w:val="center"/>
              <w:rPr>
                <w:sz w:val="21"/>
                <w:szCs w:val="21"/>
              </w:rPr>
            </w:pPr>
            <w:r>
              <w:rPr>
                <w:sz w:val="21"/>
                <w:szCs w:val="21"/>
              </w:rPr>
              <w:t>临沂金锣集团有限公司</w:t>
            </w:r>
          </w:p>
        </w:tc>
        <w:tc>
          <w:tcPr>
            <w:tcW w:w="2313" w:type="pct"/>
            <w:vAlign w:val="center"/>
          </w:tcPr>
          <w:p>
            <w:pPr>
              <w:spacing w:line="240" w:lineRule="auto"/>
              <w:jc w:val="center"/>
              <w:rPr>
                <w:sz w:val="21"/>
                <w:szCs w:val="21"/>
              </w:rPr>
            </w:pPr>
            <w:r>
              <w:rPr>
                <w:sz w:val="21"/>
                <w:szCs w:val="21"/>
              </w:rPr>
              <w:t>肉制品加工</w:t>
            </w:r>
          </w:p>
        </w:tc>
        <w:tc>
          <w:tcPr>
            <w:tcW w:w="516" w:type="pct"/>
            <w:vAlign w:val="center"/>
          </w:tcPr>
          <w:p>
            <w:pPr>
              <w:spacing w:line="240" w:lineRule="auto"/>
              <w:jc w:val="center"/>
              <w:rPr>
                <w:sz w:val="21"/>
                <w:szCs w:val="21"/>
              </w:rPr>
            </w:pPr>
            <w:r>
              <w:rPr>
                <w:sz w:val="21"/>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96" w:type="pct"/>
            <w:vAlign w:val="center"/>
          </w:tcPr>
          <w:p>
            <w:pPr>
              <w:spacing w:line="240" w:lineRule="auto"/>
              <w:jc w:val="center"/>
              <w:rPr>
                <w:sz w:val="21"/>
                <w:szCs w:val="21"/>
              </w:rPr>
            </w:pPr>
            <w:r>
              <w:rPr>
                <w:sz w:val="21"/>
                <w:szCs w:val="21"/>
              </w:rPr>
              <w:t>32</w:t>
            </w:r>
          </w:p>
        </w:tc>
        <w:tc>
          <w:tcPr>
            <w:tcW w:w="1874" w:type="pct"/>
            <w:vAlign w:val="center"/>
          </w:tcPr>
          <w:p>
            <w:pPr>
              <w:spacing w:line="240" w:lineRule="auto"/>
              <w:jc w:val="center"/>
              <w:rPr>
                <w:sz w:val="21"/>
                <w:szCs w:val="21"/>
              </w:rPr>
            </w:pPr>
            <w:r>
              <w:rPr>
                <w:sz w:val="21"/>
                <w:szCs w:val="21"/>
              </w:rPr>
              <w:t>山东泰乐源农业科技有限公司</w:t>
            </w:r>
          </w:p>
        </w:tc>
        <w:tc>
          <w:tcPr>
            <w:tcW w:w="2313" w:type="pct"/>
            <w:vAlign w:val="center"/>
          </w:tcPr>
          <w:p>
            <w:pPr>
              <w:spacing w:line="240" w:lineRule="auto"/>
              <w:jc w:val="center"/>
              <w:rPr>
                <w:sz w:val="21"/>
                <w:szCs w:val="21"/>
              </w:rPr>
            </w:pPr>
            <w:r>
              <w:fldChar w:fldCharType="begin"/>
            </w:r>
            <w:r>
              <w:instrText xml:space="preserve"> HYPERLINK "http://b2b.11467.com/search/-74f688c5996e75286c34.htm" \o "瓶装饮用水公司" </w:instrText>
            </w:r>
            <w:r>
              <w:fldChar w:fldCharType="separate"/>
            </w:r>
            <w:r>
              <w:rPr>
                <w:sz w:val="21"/>
                <w:szCs w:val="21"/>
              </w:rPr>
              <w:t>瓶装饮用水</w:t>
            </w:r>
            <w:r>
              <w:rPr>
                <w:sz w:val="21"/>
                <w:szCs w:val="21"/>
              </w:rPr>
              <w:fldChar w:fldCharType="end"/>
            </w:r>
            <w:r>
              <w:rPr>
                <w:sz w:val="21"/>
                <w:szCs w:val="21"/>
              </w:rPr>
              <w:t> , </w:t>
            </w:r>
            <w:r>
              <w:fldChar w:fldCharType="begin"/>
            </w:r>
            <w:r>
              <w:instrText xml:space="preserve"> HYPERLINK "http://b2b.11467.com/search/-996e6599751f4ea7.htm" \o "饮料生产公司" </w:instrText>
            </w:r>
            <w:r>
              <w:fldChar w:fldCharType="separate"/>
            </w:r>
            <w:r>
              <w:rPr>
                <w:sz w:val="21"/>
                <w:szCs w:val="21"/>
              </w:rPr>
              <w:t>饮料生产</w:t>
            </w:r>
            <w:r>
              <w:rPr>
                <w:sz w:val="21"/>
                <w:szCs w:val="21"/>
              </w:rPr>
              <w:fldChar w:fldCharType="end"/>
            </w:r>
            <w:r>
              <w:rPr>
                <w:sz w:val="21"/>
                <w:szCs w:val="21"/>
              </w:rPr>
              <w:t> </w:t>
            </w:r>
          </w:p>
        </w:tc>
        <w:tc>
          <w:tcPr>
            <w:tcW w:w="516" w:type="pct"/>
            <w:vAlign w:val="center"/>
          </w:tcPr>
          <w:p>
            <w:pPr>
              <w:spacing w:line="240" w:lineRule="auto"/>
              <w:jc w:val="center"/>
              <w:rPr>
                <w:sz w:val="21"/>
                <w:szCs w:val="21"/>
              </w:rPr>
            </w:pPr>
            <w:r>
              <w:rPr>
                <w:sz w:val="21"/>
                <w:szCs w:val="21"/>
              </w:rPr>
              <w:t>2021</w:t>
            </w:r>
          </w:p>
        </w:tc>
      </w:tr>
    </w:tbl>
    <w:p/>
    <w:p>
      <w:pPr>
        <w:keepNext/>
        <w:keepLines/>
        <w:adjustRightInd w:val="0"/>
        <w:snapToGrid w:val="0"/>
        <w:ind w:firstLine="480"/>
        <w:outlineLvl w:val="3"/>
        <w:rPr>
          <w:rFonts w:eastAsia="黑体"/>
        </w:rPr>
      </w:pPr>
      <w:r>
        <w:rPr>
          <w:rFonts w:eastAsia="黑体"/>
        </w:rPr>
        <w:t>4.课程建设及现代教学技术应用</w:t>
      </w:r>
    </w:p>
    <w:p>
      <w:pPr>
        <w:adjustRightInd w:val="0"/>
        <w:snapToGrid w:val="0"/>
        <w:ind w:firstLine="480"/>
        <w:outlineLvl w:val="2"/>
      </w:pPr>
      <w:r>
        <w:t>在《肉与肉制品工艺学》《果蔬产品加工学》两门国家一流课程、《中国饮食文化》省级一流课程、《乳与乳制品工艺学》校级一流课程的建设基础上，《中国饮食文化》已被推荐评选国家一流课程。</w:t>
      </w:r>
    </w:p>
    <w:p>
      <w:pPr>
        <w:pStyle w:val="5"/>
        <w:spacing w:before="93" w:after="93"/>
        <w:ind w:firstLine="560"/>
        <w:rPr>
          <w:color w:val="000000" w:themeColor="text1"/>
          <w14:textFill>
            <w14:solidFill>
              <w14:schemeClr w14:val="tx1"/>
            </w14:solidFill>
          </w14:textFill>
        </w:rPr>
      </w:pPr>
      <w:bookmarkStart w:id="465" w:name="_Toc29169"/>
      <w:r>
        <w:rPr>
          <w:color w:val="000000" w:themeColor="text1"/>
          <w14:textFill>
            <w14:solidFill>
              <w14:schemeClr w14:val="tx1"/>
            </w14:solidFill>
          </w14:textFill>
        </w:rPr>
        <w:t>四、培养机制与特色</w:t>
      </w:r>
      <w:bookmarkEnd w:id="465"/>
    </w:p>
    <w:p>
      <w:pPr>
        <w:keepNext/>
        <w:keepLines/>
        <w:adjustRightInd w:val="0"/>
        <w:snapToGrid w:val="0"/>
        <w:ind w:firstLine="480"/>
        <w:outlineLvl w:val="3"/>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1.产学研协同育人机制</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以</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增强校企联系，产学研共赢共进</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为宗旨，建立了由教学、科研、生产等多方组成的产学研合作委员会。建立了覆盖</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从农田到餐桌</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全产业链的产学研协同创新平台，形成了完善的产学研合作体制和规章制度，建立了校外实践教学基地和校企联合开放实验室的运行机制与实施方案，建立和完善了校企联合研究项目申报和监督运行机制。</w:t>
      </w:r>
    </w:p>
    <w:p>
      <w:pPr>
        <w:keepNext/>
        <w:keepLines/>
        <w:adjustRightInd w:val="0"/>
        <w:snapToGrid w:val="0"/>
        <w:ind w:firstLine="480"/>
        <w:outlineLvl w:val="3"/>
        <w:rPr>
          <w:rFonts w:eastAsia="黑体"/>
          <w:color w:val="000000" w:themeColor="text1"/>
          <w14:textFill>
            <w14:solidFill>
              <w14:schemeClr w14:val="tx1"/>
            </w14:solidFill>
          </w14:textFill>
        </w:rPr>
      </w:pPr>
      <w:r>
        <w:rPr>
          <w:rFonts w:eastAsia="黑体"/>
          <w:color w:val="000000" w:themeColor="text1"/>
          <w14:textFill>
            <w14:solidFill>
              <w14:schemeClr w14:val="tx1"/>
            </w14:solidFill>
          </w14:textFill>
        </w:rPr>
        <w:t>2.教学管理</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（1）学院设立领导机构、明确各岗位职责</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学院成立食品科学与工程专业建设领导小组和建设工作组，明确工作职责，分工合作，确保重点专业建设工作的顺利实施。</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学院以</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既重视目标管理，又重视过程管理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为指导，建立院、系、室三级教学管理体系；成立教授委员会、教学督导组等教学管理与督导机构；制定学院工作制度，完善教学质量管理规章制度，明确各有关机构、岗位职责，加强内部管理，从体制上保障教学运行顺畅。</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全面加强各项工作管理。在学院管理上，除了院级领导班子外，分别按学科组成系，设立系主任、副主任岗位，强化系级行政与业务管理；在学生管理上，除了团委、辅导员外，通过实施本科生一、二年级班主任制，三、四年级导师制，加强学生全学程思想教育、专业引导与创新创业教育；在教学管理上，除了教学秘书外，按照本科专业设立专业主任岗位，强化教学与专业建设；通过教授委员会对教学重点工作审核与教学督导组对教学各环节检查监督，建立考核与评价机制，确保教学运行顺畅，保证教学质量稳步提升。</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（2）完善食品科学与工程专业学生形成性评价机制实施细则</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一是责任到人：系或教研室主任负责落实课程目标达成的形成性评价工作实施；课程责任教授负责组织任课教师开展形成性评价工作、形成性评价档案资料的收集、整理工作；</w:t>
      </w:r>
    </w:p>
    <w:p>
      <w:pPr>
        <w:adjustRightInd w:val="0"/>
        <w:snapToGrid w:val="0"/>
        <w:ind w:firstLine="480"/>
        <w:rPr>
          <w:color w:val="000000" w:themeColor="text1"/>
          <w14:textFill>
            <w14:solidFill>
              <w14:schemeClr w14:val="tx1"/>
            </w14:solidFill>
          </w14:textFill>
        </w:rPr>
      </w:pPr>
      <w:r>
        <w:rPr>
          <w:color w:val="000000" w:themeColor="text1"/>
          <w14:textFill>
            <w14:solidFill>
              <w14:schemeClr w14:val="tx1"/>
            </w14:solidFill>
          </w14:textFill>
        </w:rPr>
        <w:t>二是对不同的专业核心课程采用不同的形成性评价方法：理论课程开展课程质量（课堂教学）评价，实验实习课采用实验教学效果、实训课程效果评价；包括课程过程评价与课程目标达成评价）。</w:t>
      </w:r>
    </w:p>
    <w:p>
      <w:pPr>
        <w:adjustRightInd w:val="0"/>
        <w:snapToGrid w:val="0"/>
        <w:ind w:firstLine="480"/>
        <w:rPr>
          <w:color w:val="FF0000"/>
        </w:rPr>
      </w:pPr>
      <w:r>
        <w:rPr>
          <w:color w:val="000000" w:themeColor="text1"/>
          <w14:textFill>
            <w14:solidFill>
              <w14:schemeClr w14:val="tx1"/>
            </w14:solidFill>
          </w14:textFill>
        </w:rPr>
        <w:t>建立了形成性评价工作的监督与检查机制：专业责任教授负责定期对任课教师开展形成性评价工作进行督促检查，包括检查教师实施形成性评价的原始记录、作业批阅记录、成绩评定是否合理，及时发现问题并纠正。</w:t>
      </w:r>
    </w:p>
    <w:p>
      <w:pPr>
        <w:pStyle w:val="5"/>
        <w:spacing w:before="93" w:after="93"/>
        <w:ind w:firstLine="560"/>
        <w:rPr>
          <w:kern w:val="0"/>
          <w:szCs w:val="20"/>
        </w:rPr>
      </w:pPr>
      <w:bookmarkStart w:id="466" w:name="_Toc5600"/>
      <w:r>
        <w:t>五</w:t>
      </w:r>
      <w:r>
        <w:rPr>
          <w:kern w:val="0"/>
          <w:szCs w:val="20"/>
        </w:rPr>
        <w:t>、培养质量</w:t>
      </w:r>
      <w:bookmarkEnd w:id="466"/>
    </w:p>
    <w:p>
      <w:pPr>
        <w:adjustRightInd w:val="0"/>
        <w:snapToGrid w:val="0"/>
        <w:ind w:firstLine="480"/>
        <w:outlineLvl w:val="2"/>
        <w:rPr>
          <w:color w:val="FF0000"/>
        </w:rPr>
      </w:pPr>
      <w:r>
        <w:t>2022届食品科学与工程专业毕业生人数为138人，截止到目前的学生就业率为78.99%，其中考取研究生76人，升学率55.07%。其中考入中国海洋大学、上海海洋大学、江南大学、西北农林科技大学等</w:t>
      </w:r>
      <w:r>
        <w:rPr>
          <w:rFonts w:hint="eastAsia"/>
        </w:rPr>
        <w:t>“</w:t>
      </w:r>
      <w:r>
        <w:t>双一流</w:t>
      </w:r>
      <w:r>
        <w:rPr>
          <w:rFonts w:hint="eastAsia"/>
        </w:rPr>
        <w:t>”</w:t>
      </w:r>
      <w:r>
        <w:t>大学30人，占国内升学总人数的39.47%。毕业生当前所在工作单位或者所从事工作岗位与所学专业对口率较高的共26人，占已就业总人数的81.25%。主要集中在济南伊利乳业有限责任公司、山东千喜鹤有限公司、中粮家佳康（江苏）有限公司、龙大食品有限公司等。</w:t>
      </w:r>
    </w:p>
    <w:p>
      <w:pPr>
        <w:adjustRightInd w:val="0"/>
        <w:snapToGrid w:val="0"/>
        <w:ind w:firstLine="480"/>
        <w:outlineLvl w:val="2"/>
      </w:pPr>
      <w:r>
        <w:t>2022级招生一次录取率为100%，报到率为98.26%。</w:t>
      </w:r>
    </w:p>
    <w:p>
      <w:pPr>
        <w:adjustRightInd w:val="0"/>
        <w:snapToGrid w:val="0"/>
        <w:ind w:firstLine="480"/>
        <w:rPr>
          <w:color w:val="FF0000"/>
        </w:rPr>
      </w:pPr>
      <w:r>
        <w:t>本学年，学院先后组织学生参加</w:t>
      </w:r>
      <w:r>
        <w:rPr>
          <w:rFonts w:hint="eastAsia"/>
          <w:color w:val="000000"/>
          <w:kern w:val="0"/>
          <w:sz w:val="22"/>
          <w:lang w:bidi="ar"/>
        </w:rPr>
        <w:t>“</w:t>
      </w:r>
      <w:r>
        <w:rPr>
          <w:color w:val="000000"/>
          <w:kern w:val="0"/>
          <w:sz w:val="22"/>
          <w:lang w:bidi="ar"/>
        </w:rPr>
        <w:t>建行杯</w:t>
      </w:r>
      <w:r>
        <w:rPr>
          <w:rFonts w:hint="eastAsia"/>
          <w:color w:val="000000"/>
          <w:kern w:val="0"/>
          <w:sz w:val="22"/>
          <w:lang w:bidi="ar"/>
        </w:rPr>
        <w:t>”</w:t>
      </w:r>
      <w:r>
        <w:rPr>
          <w:color w:val="000000"/>
          <w:kern w:val="0"/>
          <w:sz w:val="22"/>
          <w:lang w:bidi="ar"/>
        </w:rPr>
        <w:t>第八届山东省</w:t>
      </w:r>
      <w:r>
        <w:rPr>
          <w:rFonts w:hint="eastAsia"/>
          <w:color w:val="000000"/>
          <w:kern w:val="0"/>
          <w:sz w:val="22"/>
          <w:lang w:bidi="ar"/>
        </w:rPr>
        <w:t>“</w:t>
      </w:r>
      <w:r>
        <w:rPr>
          <w:color w:val="000000"/>
          <w:kern w:val="0"/>
          <w:sz w:val="22"/>
          <w:lang w:bidi="ar"/>
        </w:rPr>
        <w:t>互联网+</w:t>
      </w:r>
      <w:r>
        <w:rPr>
          <w:rFonts w:hint="eastAsia"/>
          <w:color w:val="000000"/>
          <w:kern w:val="0"/>
          <w:sz w:val="22"/>
          <w:lang w:bidi="ar"/>
        </w:rPr>
        <w:t>”</w:t>
      </w:r>
      <w:r>
        <w:rPr>
          <w:color w:val="000000"/>
          <w:kern w:val="0"/>
          <w:sz w:val="22"/>
          <w:lang w:bidi="ar"/>
        </w:rPr>
        <w:t>大学生创新创业大赛、第十三</w:t>
      </w:r>
      <w:r>
        <w:t>届全国大学生数学竞赛（非数学类）、第十四届山东省大学生科技节——食品加工与安全创新设计大赛、2022年全国大学生英语作文大赛等，获奖明细见下表。</w:t>
      </w:r>
    </w:p>
    <w:tbl>
      <w:tblPr>
        <w:tblStyle w:val="17"/>
        <w:tblW w:w="4997" w:type="pct"/>
        <w:tblInd w:w="0" w:type="dxa"/>
        <w:tblLayout w:type="fixed"/>
        <w:tblCellMar>
          <w:top w:w="0" w:type="dxa"/>
          <w:left w:w="108" w:type="dxa"/>
          <w:bottom w:w="0" w:type="dxa"/>
          <w:right w:w="108" w:type="dxa"/>
        </w:tblCellMar>
      </w:tblPr>
      <w:tblGrid>
        <w:gridCol w:w="698"/>
        <w:gridCol w:w="2011"/>
        <w:gridCol w:w="1547"/>
        <w:gridCol w:w="944"/>
        <w:gridCol w:w="898"/>
        <w:gridCol w:w="944"/>
        <w:gridCol w:w="849"/>
        <w:gridCol w:w="1165"/>
      </w:tblGrid>
      <w:tr>
        <w:tblPrEx>
          <w:tblCellMar>
            <w:top w:w="0" w:type="dxa"/>
            <w:left w:w="108" w:type="dxa"/>
            <w:bottom w:w="0" w:type="dxa"/>
            <w:right w:w="108" w:type="dxa"/>
          </w:tblCellMar>
        </w:tblPrEx>
        <w:trPr>
          <w:trHeight w:val="684" w:hRule="atLeast"/>
          <w:tblHeader/>
        </w:trPr>
        <w:tc>
          <w:tcPr>
            <w:tcW w:w="3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spacing w:line="240" w:lineRule="atLeast"/>
              <w:jc w:val="left"/>
              <w:textAlignment w:val="center"/>
              <w:rPr>
                <w:b/>
                <w:bCs/>
                <w:color w:val="000000"/>
                <w:sz w:val="21"/>
                <w:szCs w:val="21"/>
              </w:rPr>
            </w:pPr>
            <w:bookmarkStart w:id="467" w:name="_Toc14398"/>
            <w:r>
              <w:rPr>
                <w:b/>
                <w:bCs/>
                <w:color w:val="000000"/>
                <w:kern w:val="0"/>
                <w:sz w:val="21"/>
                <w:szCs w:val="21"/>
                <w:lang w:bidi="ar"/>
              </w:rPr>
              <w:t>序号</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b/>
                <w:bCs/>
                <w:color w:val="000000"/>
                <w:kern w:val="0"/>
                <w:sz w:val="21"/>
                <w:szCs w:val="21"/>
                <w:lang w:bidi="ar"/>
              </w:rPr>
            </w:pPr>
            <w:r>
              <w:rPr>
                <w:b/>
                <w:bCs/>
                <w:color w:val="000000"/>
                <w:kern w:val="0"/>
                <w:sz w:val="21"/>
                <w:szCs w:val="21"/>
                <w:lang w:bidi="ar"/>
              </w:rPr>
              <w:t>学科竞赛名称</w:t>
            </w:r>
          </w:p>
          <w:p>
            <w:pPr>
              <w:widowControl/>
              <w:adjustRightInd w:val="0"/>
              <w:snapToGrid w:val="0"/>
              <w:spacing w:line="240" w:lineRule="atLeast"/>
              <w:jc w:val="center"/>
              <w:textAlignment w:val="center"/>
              <w:rPr>
                <w:b/>
                <w:bCs/>
                <w:color w:val="000000"/>
                <w:sz w:val="21"/>
                <w:szCs w:val="21"/>
              </w:rPr>
            </w:pPr>
            <w:r>
              <w:rPr>
                <w:b/>
                <w:bCs/>
                <w:color w:val="000000"/>
                <w:kern w:val="0"/>
                <w:sz w:val="21"/>
                <w:szCs w:val="21"/>
                <w:lang w:bidi="ar"/>
              </w:rPr>
              <w:t>(全称)</w:t>
            </w:r>
          </w:p>
        </w:tc>
        <w:tc>
          <w:tcPr>
            <w:tcW w:w="1870"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spacing w:line="240" w:lineRule="atLeast"/>
              <w:jc w:val="center"/>
              <w:textAlignment w:val="center"/>
              <w:rPr>
                <w:b/>
                <w:bCs/>
                <w:color w:val="000000"/>
                <w:sz w:val="21"/>
                <w:szCs w:val="21"/>
              </w:rPr>
            </w:pPr>
            <w:r>
              <w:rPr>
                <w:b/>
                <w:bCs/>
                <w:color w:val="000000"/>
                <w:kern w:val="0"/>
                <w:sz w:val="21"/>
                <w:szCs w:val="21"/>
                <w:lang w:bidi="ar"/>
              </w:rPr>
              <w:t>获奖情况</w:t>
            </w:r>
          </w:p>
        </w:tc>
        <w:tc>
          <w:tcPr>
            <w:tcW w:w="9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spacing w:line="240" w:lineRule="atLeast"/>
              <w:jc w:val="center"/>
              <w:textAlignment w:val="center"/>
              <w:rPr>
                <w:b/>
                <w:bCs/>
                <w:color w:val="000000"/>
                <w:sz w:val="21"/>
                <w:szCs w:val="21"/>
              </w:rPr>
            </w:pPr>
            <w:r>
              <w:rPr>
                <w:b/>
                <w:bCs/>
                <w:color w:val="000000"/>
                <w:kern w:val="0"/>
                <w:sz w:val="21"/>
                <w:szCs w:val="21"/>
                <w:lang w:bidi="ar"/>
              </w:rPr>
              <w:t>获奖学生</w:t>
            </w:r>
          </w:p>
        </w:tc>
        <w:tc>
          <w:tcPr>
            <w:tcW w:w="6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adjustRightInd w:val="0"/>
              <w:snapToGrid w:val="0"/>
              <w:spacing w:line="240" w:lineRule="atLeast"/>
              <w:jc w:val="center"/>
              <w:textAlignment w:val="center"/>
              <w:rPr>
                <w:b/>
                <w:bCs/>
                <w:color w:val="000000"/>
                <w:sz w:val="21"/>
                <w:szCs w:val="21"/>
              </w:rPr>
            </w:pPr>
            <w:r>
              <w:rPr>
                <w:b/>
                <w:bCs/>
                <w:color w:val="000000"/>
                <w:kern w:val="0"/>
                <w:sz w:val="21"/>
                <w:szCs w:val="21"/>
                <w:lang w:bidi="ar"/>
              </w:rPr>
              <w:t>指导教师</w:t>
            </w:r>
          </w:p>
        </w:tc>
      </w:tr>
      <w:tr>
        <w:tblPrEx>
          <w:tblCellMar>
            <w:top w:w="0" w:type="dxa"/>
            <w:left w:w="108" w:type="dxa"/>
            <w:bottom w:w="0" w:type="dxa"/>
            <w:right w:w="108" w:type="dxa"/>
          </w:tblCellMar>
        </w:tblPrEx>
        <w:trPr>
          <w:trHeight w:val="867"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1</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第十三届全国大学生数学竞赛（非数学类）</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中国数学会</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国家级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一等奖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巩嘉伦</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20-5</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田祥</w:t>
            </w:r>
          </w:p>
        </w:tc>
      </w:tr>
      <w:tr>
        <w:tblPrEx>
          <w:tblCellMar>
            <w:top w:w="0" w:type="dxa"/>
            <w:left w:w="108" w:type="dxa"/>
            <w:bottom w:w="0" w:type="dxa"/>
            <w:right w:w="108" w:type="dxa"/>
          </w:tblCellMar>
        </w:tblPrEx>
        <w:trPr>
          <w:trHeight w:val="912"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2</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2022年全国大学生英语作文大赛</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全国大学生英语作文大赛组织委员会</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国家级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二等奖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高化镜</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20-3</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林鑫</w:t>
            </w:r>
          </w:p>
        </w:tc>
      </w:tr>
      <w:tr>
        <w:tblPrEx>
          <w:tblCellMar>
            <w:top w:w="0" w:type="dxa"/>
            <w:left w:w="108" w:type="dxa"/>
            <w:bottom w:w="0" w:type="dxa"/>
            <w:right w:w="108" w:type="dxa"/>
          </w:tblCellMar>
        </w:tblPrEx>
        <w:trPr>
          <w:trHeight w:val="1139"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3</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"六百光年杯"第十五届全国大学生节能减排社会实践与科技竞赛</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全国大学生节能减排社会实践与科技竞赛委员会</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国家级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三等奖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武宇昊</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19-1</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kern w:val="0"/>
                <w:sz w:val="21"/>
                <w:szCs w:val="21"/>
                <w:lang w:bidi="ar"/>
              </w:rPr>
            </w:pPr>
            <w:r>
              <w:rPr>
                <w:color w:val="000000"/>
                <w:kern w:val="0"/>
                <w:sz w:val="21"/>
                <w:szCs w:val="21"/>
                <w:lang w:bidi="ar"/>
              </w:rPr>
              <w:t>王文涛</w:t>
            </w:r>
          </w:p>
          <w:p>
            <w:pPr>
              <w:widowControl/>
              <w:adjustRightInd w:val="0"/>
              <w:snapToGrid w:val="0"/>
              <w:spacing w:line="240" w:lineRule="atLeast"/>
              <w:jc w:val="center"/>
              <w:textAlignment w:val="center"/>
              <w:rPr>
                <w:color w:val="000000"/>
                <w:sz w:val="21"/>
                <w:szCs w:val="21"/>
              </w:rPr>
            </w:pPr>
            <w:r>
              <w:rPr>
                <w:color w:val="000000"/>
                <w:kern w:val="0"/>
                <w:sz w:val="21"/>
                <w:szCs w:val="21"/>
                <w:lang w:bidi="ar"/>
              </w:rPr>
              <w:t>郭海涵</w:t>
            </w:r>
          </w:p>
        </w:tc>
      </w:tr>
      <w:tr>
        <w:tblPrEx>
          <w:tblCellMar>
            <w:top w:w="0" w:type="dxa"/>
            <w:left w:w="108" w:type="dxa"/>
            <w:bottom w:w="0" w:type="dxa"/>
            <w:right w:w="108" w:type="dxa"/>
          </w:tblCellMar>
        </w:tblPrEx>
        <w:trPr>
          <w:trHeight w:val="1109"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4</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第十四届山东省大学生科技节——食品加工与安全创新设计大赛</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山东省科学技术协会</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省级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一等奖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杨</w:t>
            </w:r>
            <w:r>
              <w:rPr>
                <w:rFonts w:hint="eastAsia"/>
                <w:color w:val="000000"/>
                <w:kern w:val="0"/>
                <w:sz w:val="21"/>
                <w:szCs w:val="21"/>
                <w:lang w:bidi="ar"/>
              </w:rPr>
              <w:t xml:space="preserve">  </w:t>
            </w:r>
            <w:r>
              <w:rPr>
                <w:color w:val="000000"/>
                <w:kern w:val="0"/>
                <w:sz w:val="21"/>
                <w:szCs w:val="21"/>
                <w:lang w:bidi="ar"/>
              </w:rPr>
              <w:t>帆</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20-3</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李宁阳</w:t>
            </w:r>
          </w:p>
        </w:tc>
      </w:tr>
      <w:tr>
        <w:tblPrEx>
          <w:tblCellMar>
            <w:top w:w="0" w:type="dxa"/>
            <w:left w:w="108" w:type="dxa"/>
            <w:bottom w:w="0" w:type="dxa"/>
            <w:right w:w="108" w:type="dxa"/>
          </w:tblCellMar>
        </w:tblPrEx>
        <w:trPr>
          <w:trHeight w:val="1169"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5</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第十四届山东省大学生科技节——食品加工与安全创新设计大赛</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山东省科学技术协会</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省级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二等奖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王立康</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20-5</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kern w:val="0"/>
                <w:sz w:val="21"/>
                <w:szCs w:val="21"/>
                <w:lang w:bidi="ar"/>
              </w:rPr>
            </w:pPr>
            <w:r>
              <w:rPr>
                <w:color w:val="000000"/>
                <w:kern w:val="0"/>
                <w:sz w:val="21"/>
                <w:szCs w:val="21"/>
                <w:lang w:bidi="ar"/>
              </w:rPr>
              <w:t>朱传合</w:t>
            </w:r>
          </w:p>
          <w:p>
            <w:pPr>
              <w:widowControl/>
              <w:adjustRightInd w:val="0"/>
              <w:snapToGrid w:val="0"/>
              <w:spacing w:line="240" w:lineRule="atLeast"/>
              <w:jc w:val="center"/>
              <w:textAlignment w:val="center"/>
              <w:rPr>
                <w:color w:val="000000"/>
                <w:sz w:val="21"/>
                <w:szCs w:val="21"/>
              </w:rPr>
            </w:pPr>
            <w:r>
              <w:rPr>
                <w:color w:val="000000"/>
                <w:kern w:val="0"/>
                <w:sz w:val="21"/>
                <w:szCs w:val="21"/>
                <w:lang w:bidi="ar"/>
              </w:rPr>
              <w:t>郭海涵</w:t>
            </w:r>
          </w:p>
        </w:tc>
      </w:tr>
      <w:tr>
        <w:tblPrEx>
          <w:tblCellMar>
            <w:top w:w="0" w:type="dxa"/>
            <w:left w:w="108" w:type="dxa"/>
            <w:bottom w:w="0" w:type="dxa"/>
            <w:right w:w="108" w:type="dxa"/>
          </w:tblCellMar>
        </w:tblPrEx>
        <w:trPr>
          <w:trHeight w:val="1199"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6</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第十四届山东省大学生科技节——食品加工与安全创新设计大赛</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山东省科学技术协会</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省级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三等奖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孙泽芸</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20-5</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李杰</w:t>
            </w:r>
          </w:p>
        </w:tc>
      </w:tr>
      <w:tr>
        <w:tblPrEx>
          <w:tblCellMar>
            <w:top w:w="0" w:type="dxa"/>
            <w:left w:w="108" w:type="dxa"/>
            <w:bottom w:w="0" w:type="dxa"/>
            <w:right w:w="108" w:type="dxa"/>
          </w:tblCellMar>
        </w:tblPrEx>
        <w:trPr>
          <w:trHeight w:val="1124"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7</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第十四届山东省大学生科技节——食品加工与安全创新设计大赛</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山东省科学技术协会</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省级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三等奖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梅珂宇</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20-1</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赵路苹</w:t>
            </w:r>
          </w:p>
        </w:tc>
      </w:tr>
      <w:tr>
        <w:tblPrEx>
          <w:tblCellMar>
            <w:top w:w="0" w:type="dxa"/>
            <w:left w:w="108" w:type="dxa"/>
            <w:bottom w:w="0" w:type="dxa"/>
            <w:right w:w="108" w:type="dxa"/>
          </w:tblCellMar>
        </w:tblPrEx>
        <w:trPr>
          <w:trHeight w:val="1184"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8</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第十四届山东省大学生科技节——食品加工与安全创新设计大赛</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山东省科学技术协会</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省级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三等奖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怀欲晓</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21-8</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李杰</w:t>
            </w:r>
          </w:p>
        </w:tc>
      </w:tr>
      <w:tr>
        <w:tblPrEx>
          <w:tblCellMar>
            <w:top w:w="0" w:type="dxa"/>
            <w:left w:w="108" w:type="dxa"/>
            <w:bottom w:w="0" w:type="dxa"/>
            <w:right w:w="108" w:type="dxa"/>
          </w:tblCellMar>
        </w:tblPrEx>
        <w:trPr>
          <w:trHeight w:val="1204"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9</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第十四届山东省大学生科技节——食品加工与安全创新设计大赛</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山东省食品科学技术学会</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省级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三等奖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张</w:t>
            </w:r>
            <w:r>
              <w:rPr>
                <w:rFonts w:hint="eastAsia"/>
                <w:color w:val="000000"/>
                <w:kern w:val="0"/>
                <w:sz w:val="21"/>
                <w:szCs w:val="21"/>
                <w:lang w:bidi="ar"/>
              </w:rPr>
              <w:t xml:space="preserve">  </w:t>
            </w:r>
            <w:r>
              <w:rPr>
                <w:color w:val="000000"/>
                <w:kern w:val="0"/>
                <w:sz w:val="21"/>
                <w:szCs w:val="21"/>
                <w:lang w:bidi="ar"/>
              </w:rPr>
              <w:t>珂</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20-3</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唐晓珍</w:t>
            </w:r>
          </w:p>
        </w:tc>
      </w:tr>
      <w:tr>
        <w:tblPrEx>
          <w:tblCellMar>
            <w:top w:w="0" w:type="dxa"/>
            <w:left w:w="108" w:type="dxa"/>
            <w:bottom w:w="0" w:type="dxa"/>
            <w:right w:w="108" w:type="dxa"/>
          </w:tblCellMar>
        </w:tblPrEx>
        <w:trPr>
          <w:trHeight w:val="957"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10</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rFonts w:hint="eastAsia"/>
                <w:color w:val="000000"/>
                <w:kern w:val="0"/>
                <w:sz w:val="21"/>
                <w:szCs w:val="21"/>
                <w:lang w:bidi="ar"/>
              </w:rPr>
              <w:t>“</w:t>
            </w:r>
            <w:r>
              <w:rPr>
                <w:color w:val="000000"/>
                <w:kern w:val="0"/>
                <w:sz w:val="21"/>
                <w:szCs w:val="21"/>
                <w:lang w:bidi="ar"/>
              </w:rPr>
              <w:t>建行杯</w:t>
            </w:r>
            <w:r>
              <w:rPr>
                <w:rFonts w:hint="eastAsia"/>
                <w:color w:val="000000"/>
                <w:kern w:val="0"/>
                <w:sz w:val="21"/>
                <w:szCs w:val="21"/>
                <w:lang w:bidi="ar"/>
              </w:rPr>
              <w:t>”</w:t>
            </w:r>
            <w:r>
              <w:rPr>
                <w:color w:val="000000"/>
                <w:kern w:val="0"/>
                <w:sz w:val="21"/>
                <w:szCs w:val="21"/>
                <w:lang w:bidi="ar"/>
              </w:rPr>
              <w:t>第八届山东省</w:t>
            </w:r>
            <w:r>
              <w:rPr>
                <w:rFonts w:hint="eastAsia"/>
                <w:color w:val="000000"/>
                <w:kern w:val="0"/>
                <w:sz w:val="21"/>
                <w:szCs w:val="21"/>
                <w:lang w:bidi="ar"/>
              </w:rPr>
              <w:t>“</w:t>
            </w:r>
            <w:r>
              <w:rPr>
                <w:color w:val="000000"/>
                <w:kern w:val="0"/>
                <w:sz w:val="21"/>
                <w:szCs w:val="21"/>
                <w:lang w:bidi="ar"/>
              </w:rPr>
              <w:t>互联网+</w:t>
            </w:r>
            <w:r>
              <w:rPr>
                <w:rFonts w:hint="eastAsia"/>
                <w:color w:val="000000"/>
                <w:kern w:val="0"/>
                <w:sz w:val="21"/>
                <w:szCs w:val="21"/>
                <w:lang w:bidi="ar"/>
              </w:rPr>
              <w:t>”</w:t>
            </w:r>
            <w:r>
              <w:rPr>
                <w:color w:val="000000"/>
                <w:kern w:val="0"/>
                <w:sz w:val="21"/>
                <w:szCs w:val="21"/>
                <w:lang w:bidi="ar"/>
              </w:rPr>
              <w:t>大学生创新创业大赛</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山东省教育厅</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省级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金奖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武宇昊</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19-1</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kern w:val="0"/>
                <w:sz w:val="21"/>
                <w:szCs w:val="21"/>
                <w:lang w:bidi="ar"/>
              </w:rPr>
            </w:pPr>
            <w:r>
              <w:rPr>
                <w:color w:val="000000"/>
                <w:kern w:val="0"/>
                <w:sz w:val="21"/>
                <w:szCs w:val="21"/>
                <w:lang w:bidi="ar"/>
              </w:rPr>
              <w:t>王文涛</w:t>
            </w:r>
          </w:p>
          <w:p>
            <w:pPr>
              <w:widowControl/>
              <w:adjustRightInd w:val="0"/>
              <w:snapToGrid w:val="0"/>
              <w:spacing w:line="240" w:lineRule="atLeast"/>
              <w:jc w:val="center"/>
              <w:textAlignment w:val="center"/>
              <w:rPr>
                <w:color w:val="000000"/>
                <w:sz w:val="21"/>
                <w:szCs w:val="21"/>
              </w:rPr>
            </w:pPr>
            <w:r>
              <w:rPr>
                <w:color w:val="000000"/>
                <w:kern w:val="0"/>
                <w:sz w:val="21"/>
                <w:szCs w:val="21"/>
                <w:lang w:bidi="ar"/>
              </w:rPr>
              <w:t>郭海涵</w:t>
            </w:r>
          </w:p>
        </w:tc>
      </w:tr>
      <w:tr>
        <w:tblPrEx>
          <w:tblCellMar>
            <w:top w:w="0" w:type="dxa"/>
            <w:left w:w="108" w:type="dxa"/>
            <w:bottom w:w="0" w:type="dxa"/>
            <w:right w:w="108" w:type="dxa"/>
          </w:tblCellMar>
        </w:tblPrEx>
        <w:trPr>
          <w:trHeight w:val="1456"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11</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rFonts w:hint="eastAsia"/>
                <w:color w:val="000000"/>
                <w:kern w:val="0"/>
                <w:sz w:val="21"/>
                <w:szCs w:val="21"/>
                <w:lang w:bidi="ar"/>
              </w:rPr>
              <w:t>“</w:t>
            </w:r>
            <w:r>
              <w:rPr>
                <w:color w:val="000000"/>
                <w:kern w:val="0"/>
                <w:sz w:val="21"/>
                <w:szCs w:val="21"/>
                <w:lang w:bidi="ar"/>
              </w:rPr>
              <w:t>建行杯</w:t>
            </w:r>
            <w:r>
              <w:rPr>
                <w:rFonts w:hint="eastAsia"/>
                <w:color w:val="000000"/>
                <w:kern w:val="0"/>
                <w:sz w:val="21"/>
                <w:szCs w:val="21"/>
                <w:lang w:bidi="ar"/>
              </w:rPr>
              <w:t>”</w:t>
            </w:r>
            <w:r>
              <w:rPr>
                <w:color w:val="000000"/>
                <w:kern w:val="0"/>
                <w:sz w:val="21"/>
                <w:szCs w:val="21"/>
                <w:lang w:bidi="ar"/>
              </w:rPr>
              <w:t>第八届山东省</w:t>
            </w:r>
            <w:r>
              <w:rPr>
                <w:rFonts w:hint="eastAsia"/>
                <w:color w:val="000000"/>
                <w:kern w:val="0"/>
                <w:sz w:val="21"/>
                <w:szCs w:val="21"/>
                <w:lang w:bidi="ar"/>
              </w:rPr>
              <w:t>“</w:t>
            </w:r>
            <w:r>
              <w:rPr>
                <w:color w:val="000000"/>
                <w:kern w:val="0"/>
                <w:sz w:val="21"/>
                <w:szCs w:val="21"/>
                <w:lang w:bidi="ar"/>
              </w:rPr>
              <w:t>互联网+</w:t>
            </w:r>
            <w:r>
              <w:rPr>
                <w:rFonts w:hint="eastAsia"/>
                <w:color w:val="000000"/>
                <w:kern w:val="0"/>
                <w:sz w:val="21"/>
                <w:szCs w:val="21"/>
                <w:lang w:bidi="ar"/>
              </w:rPr>
              <w:t>”</w:t>
            </w:r>
            <w:r>
              <w:rPr>
                <w:color w:val="000000"/>
                <w:kern w:val="0"/>
                <w:sz w:val="21"/>
                <w:szCs w:val="21"/>
                <w:lang w:bidi="ar"/>
              </w:rPr>
              <w:t>大学生创新创业大赛</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山东省教育厅</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省级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金奖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杨睿智</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19-4</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赵路苹  华欲飞  齐宪磊  郭海涵  张亦梅</w:t>
            </w:r>
          </w:p>
        </w:tc>
      </w:tr>
      <w:tr>
        <w:tblPrEx>
          <w:tblCellMar>
            <w:top w:w="0" w:type="dxa"/>
            <w:left w:w="108" w:type="dxa"/>
            <w:bottom w:w="0" w:type="dxa"/>
            <w:right w:w="108" w:type="dxa"/>
          </w:tblCellMar>
        </w:tblPrEx>
        <w:trPr>
          <w:trHeight w:val="1441"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12</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第八届山东农业大学</w:t>
            </w:r>
            <w:r>
              <w:rPr>
                <w:rFonts w:hint="eastAsia"/>
                <w:color w:val="000000"/>
                <w:kern w:val="0"/>
                <w:sz w:val="21"/>
                <w:szCs w:val="21"/>
                <w:lang w:bidi="ar"/>
              </w:rPr>
              <w:t>“</w:t>
            </w:r>
            <w:r>
              <w:rPr>
                <w:color w:val="000000"/>
                <w:kern w:val="0"/>
                <w:sz w:val="21"/>
                <w:szCs w:val="21"/>
                <w:lang w:bidi="ar"/>
              </w:rPr>
              <w:t>互联网+</w:t>
            </w:r>
            <w:r>
              <w:rPr>
                <w:rFonts w:hint="eastAsia"/>
                <w:color w:val="000000"/>
                <w:kern w:val="0"/>
                <w:sz w:val="21"/>
                <w:szCs w:val="21"/>
                <w:lang w:bidi="ar"/>
              </w:rPr>
              <w:t>”</w:t>
            </w:r>
            <w:r>
              <w:rPr>
                <w:color w:val="000000"/>
                <w:kern w:val="0"/>
                <w:sz w:val="21"/>
                <w:szCs w:val="21"/>
                <w:lang w:bidi="ar"/>
              </w:rPr>
              <w:t>大学生创新创业大赛</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山东农业大学学生工作处</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校级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一等奖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杨睿智</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19-4</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赵路苹  华欲飞  齐宪磊  郭海涵  张亦梅</w:t>
            </w:r>
          </w:p>
        </w:tc>
      </w:tr>
      <w:tr>
        <w:tblPrEx>
          <w:tblCellMar>
            <w:top w:w="0" w:type="dxa"/>
            <w:left w:w="108" w:type="dxa"/>
            <w:bottom w:w="0" w:type="dxa"/>
            <w:right w:w="108" w:type="dxa"/>
          </w:tblCellMar>
        </w:tblPrEx>
        <w:trPr>
          <w:trHeight w:val="927"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13</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第八届山东农业大学</w:t>
            </w:r>
            <w:r>
              <w:rPr>
                <w:rFonts w:hint="eastAsia"/>
                <w:color w:val="000000"/>
                <w:kern w:val="0"/>
                <w:sz w:val="21"/>
                <w:szCs w:val="21"/>
                <w:lang w:bidi="ar"/>
              </w:rPr>
              <w:t>“</w:t>
            </w:r>
            <w:r>
              <w:rPr>
                <w:color w:val="000000"/>
                <w:kern w:val="0"/>
                <w:sz w:val="21"/>
                <w:szCs w:val="21"/>
                <w:lang w:bidi="ar"/>
              </w:rPr>
              <w:t>互联网+</w:t>
            </w:r>
            <w:r>
              <w:rPr>
                <w:rFonts w:hint="eastAsia"/>
                <w:color w:val="000000"/>
                <w:kern w:val="0"/>
                <w:sz w:val="21"/>
                <w:szCs w:val="21"/>
                <w:lang w:bidi="ar"/>
              </w:rPr>
              <w:t>”</w:t>
            </w:r>
            <w:r>
              <w:rPr>
                <w:color w:val="000000"/>
                <w:kern w:val="0"/>
                <w:sz w:val="21"/>
                <w:szCs w:val="21"/>
                <w:lang w:bidi="ar"/>
              </w:rPr>
              <w:t>大学生创新创业大赛</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山东农业大学学生工作处</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校级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二等奖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武宇昊</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19-1</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王文涛  郭海涵</w:t>
            </w:r>
          </w:p>
        </w:tc>
      </w:tr>
      <w:tr>
        <w:tblPrEx>
          <w:tblCellMar>
            <w:top w:w="0" w:type="dxa"/>
            <w:left w:w="108" w:type="dxa"/>
            <w:bottom w:w="0" w:type="dxa"/>
            <w:right w:w="108" w:type="dxa"/>
          </w:tblCellMar>
        </w:tblPrEx>
        <w:trPr>
          <w:trHeight w:val="654"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14</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食品安全与营养健康知识竞赛</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山东省食品科学技术学会</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省级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优胜奖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玄世超</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19-2</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adjustRightInd w:val="0"/>
              <w:snapToGrid w:val="0"/>
              <w:spacing w:line="240" w:lineRule="atLeast"/>
              <w:jc w:val="center"/>
              <w:rPr>
                <w:color w:val="000000"/>
                <w:sz w:val="21"/>
                <w:szCs w:val="21"/>
              </w:rPr>
            </w:pPr>
            <w:r>
              <w:rPr>
                <w:color w:val="000000"/>
                <w:sz w:val="21"/>
                <w:szCs w:val="21"/>
              </w:rPr>
              <w:t>无</w:t>
            </w:r>
          </w:p>
        </w:tc>
      </w:tr>
      <w:tr>
        <w:tblPrEx>
          <w:tblCellMar>
            <w:top w:w="0" w:type="dxa"/>
            <w:left w:w="108" w:type="dxa"/>
            <w:bottom w:w="0" w:type="dxa"/>
            <w:right w:w="108" w:type="dxa"/>
          </w:tblCellMar>
        </w:tblPrEx>
        <w:trPr>
          <w:trHeight w:val="654"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15</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食品安全与营养健康知识竞赛</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山东省食品科学技术学会</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省级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优胜奖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陈姝帆</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19-2</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adjustRightInd w:val="0"/>
              <w:snapToGrid w:val="0"/>
              <w:spacing w:line="240" w:lineRule="atLeast"/>
              <w:jc w:val="center"/>
              <w:rPr>
                <w:color w:val="000000"/>
                <w:sz w:val="21"/>
                <w:szCs w:val="21"/>
              </w:rPr>
            </w:pPr>
            <w:r>
              <w:rPr>
                <w:color w:val="000000"/>
                <w:sz w:val="21"/>
                <w:szCs w:val="21"/>
              </w:rPr>
              <w:t>无</w:t>
            </w:r>
          </w:p>
        </w:tc>
      </w:tr>
      <w:tr>
        <w:tblPrEx>
          <w:tblCellMar>
            <w:top w:w="0" w:type="dxa"/>
            <w:left w:w="108" w:type="dxa"/>
            <w:bottom w:w="0" w:type="dxa"/>
            <w:right w:w="108" w:type="dxa"/>
          </w:tblCellMar>
        </w:tblPrEx>
        <w:trPr>
          <w:trHeight w:val="1744"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16</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第十二届全国大学生电子商务</w:t>
            </w:r>
            <w:r>
              <w:rPr>
                <w:rFonts w:hint="eastAsia"/>
                <w:color w:val="000000"/>
                <w:kern w:val="0"/>
                <w:sz w:val="21"/>
                <w:szCs w:val="21"/>
                <w:lang w:bidi="ar"/>
              </w:rPr>
              <w:t>“</w:t>
            </w:r>
            <w:r>
              <w:rPr>
                <w:color w:val="000000"/>
                <w:kern w:val="0"/>
                <w:sz w:val="21"/>
                <w:szCs w:val="21"/>
                <w:lang w:bidi="ar"/>
              </w:rPr>
              <w:t>创新、创意及创业</w:t>
            </w:r>
            <w:r>
              <w:rPr>
                <w:rFonts w:hint="eastAsia"/>
                <w:color w:val="000000"/>
                <w:kern w:val="0"/>
                <w:sz w:val="21"/>
                <w:szCs w:val="21"/>
                <w:lang w:bidi="ar"/>
              </w:rPr>
              <w:t>”</w:t>
            </w:r>
            <w:r>
              <w:rPr>
                <w:color w:val="000000"/>
                <w:kern w:val="0"/>
                <w:sz w:val="21"/>
                <w:szCs w:val="21"/>
                <w:lang w:bidi="ar"/>
              </w:rPr>
              <w:t>挑战赛 校级赛</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第十二届全国大学生电子商务</w:t>
            </w:r>
            <w:r>
              <w:rPr>
                <w:rFonts w:hint="eastAsia"/>
                <w:color w:val="000000"/>
                <w:kern w:val="0"/>
                <w:sz w:val="21"/>
                <w:szCs w:val="21"/>
                <w:lang w:bidi="ar"/>
              </w:rPr>
              <w:t>“</w:t>
            </w:r>
            <w:r>
              <w:rPr>
                <w:color w:val="000000"/>
                <w:kern w:val="0"/>
                <w:sz w:val="21"/>
                <w:szCs w:val="21"/>
                <w:lang w:bidi="ar"/>
              </w:rPr>
              <w:t>创新、创意及创业</w:t>
            </w:r>
            <w:r>
              <w:rPr>
                <w:rFonts w:hint="eastAsia"/>
                <w:color w:val="000000"/>
                <w:kern w:val="0"/>
                <w:sz w:val="21"/>
                <w:szCs w:val="21"/>
                <w:lang w:bidi="ar"/>
              </w:rPr>
              <w:t>”</w:t>
            </w:r>
            <w:r>
              <w:rPr>
                <w:color w:val="000000"/>
                <w:kern w:val="0"/>
                <w:sz w:val="21"/>
                <w:szCs w:val="21"/>
                <w:lang w:bidi="ar"/>
              </w:rPr>
              <w:t>挑战赛 竞赛组织委员会</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校级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二等奖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涂歆雨</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20-3</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贾铖</w:t>
            </w:r>
          </w:p>
        </w:tc>
      </w:tr>
      <w:tr>
        <w:tblPrEx>
          <w:tblCellMar>
            <w:top w:w="0" w:type="dxa"/>
            <w:left w:w="108" w:type="dxa"/>
            <w:bottom w:w="0" w:type="dxa"/>
            <w:right w:w="108" w:type="dxa"/>
          </w:tblCellMar>
        </w:tblPrEx>
        <w:trPr>
          <w:trHeight w:val="654"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17</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山东农业大学生命科学竞赛</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山东农业大学教务处</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校级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二等奖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杨睿智</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19-4</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赵路苹  郭海涵</w:t>
            </w:r>
          </w:p>
        </w:tc>
      </w:tr>
      <w:tr>
        <w:tblPrEx>
          <w:tblCellMar>
            <w:top w:w="0" w:type="dxa"/>
            <w:left w:w="108" w:type="dxa"/>
            <w:bottom w:w="0" w:type="dxa"/>
            <w:right w:w="108" w:type="dxa"/>
          </w:tblCellMar>
        </w:tblPrEx>
        <w:trPr>
          <w:trHeight w:val="927"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18</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山东农业大学大学生节能减排社会实践与科技竞赛</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山东农业大学学工处</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校级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二等奖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张</w:t>
            </w:r>
            <w:r>
              <w:rPr>
                <w:rFonts w:hint="eastAsia"/>
                <w:color w:val="000000"/>
                <w:kern w:val="0"/>
                <w:sz w:val="21"/>
                <w:szCs w:val="21"/>
                <w:lang w:bidi="ar"/>
              </w:rPr>
              <w:t xml:space="preserve">  </w:t>
            </w:r>
            <w:r>
              <w:rPr>
                <w:color w:val="000000"/>
                <w:kern w:val="0"/>
                <w:sz w:val="21"/>
                <w:szCs w:val="21"/>
                <w:lang w:bidi="ar"/>
              </w:rPr>
              <w:t>珂</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20-3</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唐晓珍</w:t>
            </w:r>
          </w:p>
        </w:tc>
      </w:tr>
      <w:tr>
        <w:tblPrEx>
          <w:tblCellMar>
            <w:top w:w="0" w:type="dxa"/>
            <w:left w:w="108" w:type="dxa"/>
            <w:bottom w:w="0" w:type="dxa"/>
            <w:right w:w="108" w:type="dxa"/>
          </w:tblCellMar>
        </w:tblPrEx>
        <w:trPr>
          <w:trHeight w:val="912"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19</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第十三届</w:t>
            </w:r>
            <w:r>
              <w:rPr>
                <w:rFonts w:hint="eastAsia"/>
                <w:color w:val="000000"/>
                <w:kern w:val="0"/>
                <w:sz w:val="21"/>
                <w:szCs w:val="21"/>
                <w:lang w:bidi="ar"/>
              </w:rPr>
              <w:t>“</w:t>
            </w:r>
            <w:r>
              <w:rPr>
                <w:color w:val="000000"/>
                <w:kern w:val="0"/>
                <w:sz w:val="21"/>
                <w:szCs w:val="21"/>
                <w:lang w:bidi="ar"/>
              </w:rPr>
              <w:t>挑战杯</w:t>
            </w:r>
            <w:r>
              <w:rPr>
                <w:rFonts w:hint="eastAsia"/>
                <w:color w:val="000000"/>
                <w:kern w:val="0"/>
                <w:sz w:val="21"/>
                <w:szCs w:val="21"/>
                <w:lang w:bidi="ar"/>
              </w:rPr>
              <w:t>”</w:t>
            </w:r>
            <w:r>
              <w:rPr>
                <w:color w:val="000000"/>
                <w:kern w:val="0"/>
                <w:sz w:val="21"/>
                <w:szCs w:val="21"/>
                <w:lang w:bidi="ar"/>
              </w:rPr>
              <w:t>山东农业大学创业计划竞赛</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山东农业大学</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校级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金奖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杨睿智</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19-4</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赵路苹  郭海涵</w:t>
            </w:r>
          </w:p>
        </w:tc>
      </w:tr>
      <w:tr>
        <w:tblPrEx>
          <w:tblCellMar>
            <w:top w:w="0" w:type="dxa"/>
            <w:left w:w="108" w:type="dxa"/>
            <w:bottom w:w="0" w:type="dxa"/>
            <w:right w:w="108" w:type="dxa"/>
          </w:tblCellMar>
        </w:tblPrEx>
        <w:trPr>
          <w:trHeight w:val="967" w:hRule="atLeast"/>
        </w:trPr>
        <w:tc>
          <w:tcPr>
            <w:tcW w:w="38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20</w:t>
            </w:r>
          </w:p>
        </w:tc>
        <w:tc>
          <w:tcPr>
            <w:tcW w:w="1109"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第十三届</w:t>
            </w:r>
            <w:r>
              <w:rPr>
                <w:rFonts w:hint="eastAsia"/>
                <w:color w:val="000000"/>
                <w:kern w:val="0"/>
                <w:sz w:val="21"/>
                <w:szCs w:val="21"/>
                <w:lang w:bidi="ar"/>
              </w:rPr>
              <w:t>“</w:t>
            </w:r>
            <w:r>
              <w:rPr>
                <w:color w:val="000000"/>
                <w:kern w:val="0"/>
                <w:sz w:val="21"/>
                <w:szCs w:val="21"/>
                <w:lang w:bidi="ar"/>
              </w:rPr>
              <w:t>挑战杯</w:t>
            </w:r>
            <w:r>
              <w:rPr>
                <w:rFonts w:hint="eastAsia"/>
                <w:color w:val="000000"/>
                <w:kern w:val="0"/>
                <w:sz w:val="21"/>
                <w:szCs w:val="21"/>
                <w:lang w:bidi="ar"/>
              </w:rPr>
              <w:t>”</w:t>
            </w:r>
            <w:r>
              <w:rPr>
                <w:color w:val="000000"/>
                <w:kern w:val="0"/>
                <w:sz w:val="21"/>
                <w:szCs w:val="21"/>
                <w:lang w:bidi="ar"/>
              </w:rPr>
              <w:t>山东农业大学创业计划竞赛</w:t>
            </w:r>
          </w:p>
        </w:tc>
        <w:tc>
          <w:tcPr>
            <w:tcW w:w="85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山东农业大学</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校级</w:t>
            </w:r>
          </w:p>
        </w:tc>
        <w:tc>
          <w:tcPr>
            <w:tcW w:w="495"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银奖</w:t>
            </w:r>
          </w:p>
        </w:tc>
        <w:tc>
          <w:tcPr>
            <w:tcW w:w="52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武宇昊</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left"/>
              <w:textAlignment w:val="center"/>
              <w:rPr>
                <w:color w:val="000000"/>
                <w:sz w:val="21"/>
                <w:szCs w:val="21"/>
              </w:rPr>
            </w:pPr>
            <w:r>
              <w:rPr>
                <w:color w:val="000000"/>
                <w:kern w:val="0"/>
                <w:sz w:val="21"/>
                <w:szCs w:val="21"/>
                <w:lang w:bidi="ar"/>
              </w:rPr>
              <w:t>19-1</w:t>
            </w:r>
          </w:p>
        </w:tc>
        <w:tc>
          <w:tcPr>
            <w:tcW w:w="643"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adjustRightInd w:val="0"/>
              <w:snapToGrid w:val="0"/>
              <w:spacing w:line="240" w:lineRule="atLeast"/>
              <w:jc w:val="center"/>
              <w:textAlignment w:val="center"/>
              <w:rPr>
                <w:color w:val="000000"/>
                <w:sz w:val="21"/>
                <w:szCs w:val="21"/>
              </w:rPr>
            </w:pPr>
            <w:r>
              <w:rPr>
                <w:color w:val="000000"/>
                <w:kern w:val="0"/>
                <w:sz w:val="21"/>
                <w:szCs w:val="21"/>
                <w:lang w:bidi="ar"/>
              </w:rPr>
              <w:t>王文涛  郭海涵</w:t>
            </w:r>
          </w:p>
        </w:tc>
      </w:tr>
    </w:tbl>
    <w:p>
      <w:pPr>
        <w:pStyle w:val="5"/>
        <w:spacing w:before="93" w:after="93"/>
        <w:ind w:firstLine="560"/>
      </w:pPr>
      <w:r>
        <w:t>六、毕业生就业创业</w:t>
      </w:r>
      <w:bookmarkEnd w:id="467"/>
    </w:p>
    <w:p>
      <w:pPr>
        <w:adjustRightInd w:val="0"/>
        <w:snapToGrid w:val="0"/>
        <w:ind w:firstLine="480"/>
      </w:pPr>
      <w:r>
        <w:t>毕业生就业工作事关民生和社会稳定大局，食科学院高度重视访企拓岗就业工作，全院形成合力，切实保障就业各项工作的顺利开展。贯彻落实党中央、国务院</w:t>
      </w:r>
      <w:r>
        <w:rPr>
          <w:rFonts w:hint="eastAsia"/>
        </w:rPr>
        <w:t>“</w:t>
      </w:r>
      <w:r>
        <w:t>稳就业</w:t>
      </w:r>
      <w:r>
        <w:rPr>
          <w:rFonts w:hint="eastAsia"/>
        </w:rPr>
        <w:t>”“</w:t>
      </w:r>
      <w:r>
        <w:t>促就业</w:t>
      </w:r>
      <w:r>
        <w:rPr>
          <w:rFonts w:hint="eastAsia"/>
        </w:rPr>
        <w:t>”</w:t>
      </w:r>
      <w:r>
        <w:t>决策部署，落实《关于强化落实高校毕业生就业工作</w:t>
      </w:r>
      <w:r>
        <w:rPr>
          <w:rFonts w:hint="eastAsia"/>
        </w:rPr>
        <w:t>“</w:t>
      </w:r>
      <w:r>
        <w:t>一把手</w:t>
      </w:r>
      <w:r>
        <w:rPr>
          <w:rFonts w:hint="eastAsia"/>
        </w:rPr>
        <w:t>”</w:t>
      </w:r>
      <w:r>
        <w:t>工程的通知》（鲁人社函〔2022〕39号）文件要求，针对就业实际，学院早计划、早部署，采取了以下措施保障顺利就业：</w:t>
      </w:r>
    </w:p>
    <w:p>
      <w:pPr>
        <w:widowControl/>
        <w:adjustRightInd w:val="0"/>
        <w:snapToGrid w:val="0"/>
        <w:ind w:firstLine="480"/>
      </w:pPr>
      <w:r>
        <w:t>1</w:t>
      </w:r>
      <w:r>
        <w:rPr>
          <w:rFonts w:hint="eastAsia"/>
          <w:lang w:eastAsia="zh-CN"/>
        </w:rPr>
        <w:t>.</w:t>
      </w:r>
      <w:r>
        <w:t>形成四位一体的就业工作格局。由学院党委领导、教师党员、政工干部和学生党员组成</w:t>
      </w:r>
      <w:r>
        <w:rPr>
          <w:rFonts w:hint="eastAsia"/>
        </w:rPr>
        <w:t>“</w:t>
      </w:r>
      <w:r>
        <w:t>四位一体</w:t>
      </w:r>
      <w:r>
        <w:rPr>
          <w:rFonts w:hint="eastAsia"/>
        </w:rPr>
        <w:t>”</w:t>
      </w:r>
      <w:r>
        <w:t>的就业工作格局。实行就业导师制，导师负责实习期间就业指导；实施学生党员帮扶制度，学生党员负责实习返校后签约高峰期的就业带动和帮扶，并把帮扶成效作为检验学生党员先进性标准。</w:t>
      </w:r>
      <w:r>
        <w:rPr>
          <w:rFonts w:hint="eastAsia"/>
        </w:rPr>
        <w:t>“</w:t>
      </w:r>
      <w:r>
        <w:t>四位一体</w:t>
      </w:r>
      <w:r>
        <w:rPr>
          <w:rFonts w:hint="eastAsia"/>
        </w:rPr>
        <w:t>”</w:t>
      </w:r>
      <w:r>
        <w:t>就业体制，引导毕业生根据自身特点做出理性的选择，破除</w:t>
      </w:r>
      <w:r>
        <w:rPr>
          <w:rFonts w:hint="eastAsia"/>
        </w:rPr>
        <w:t>“</w:t>
      </w:r>
      <w:r>
        <w:t>等、靠、要</w:t>
      </w:r>
      <w:r>
        <w:rPr>
          <w:rFonts w:hint="eastAsia"/>
        </w:rPr>
        <w:t>”</w:t>
      </w:r>
      <w:r>
        <w:t>的传统就业观念，从现实出发，客观分析，理性就业。</w:t>
      </w:r>
    </w:p>
    <w:p>
      <w:pPr>
        <w:widowControl/>
        <w:adjustRightInd w:val="0"/>
        <w:snapToGrid w:val="0"/>
        <w:ind w:firstLine="480"/>
      </w:pPr>
      <w:r>
        <w:t>2</w:t>
      </w:r>
      <w:r>
        <w:rPr>
          <w:rFonts w:hint="eastAsia"/>
          <w:lang w:eastAsia="zh-CN"/>
        </w:rPr>
        <w:t>.</w:t>
      </w:r>
      <w:r>
        <w:t>制定就业帮扶1159工程的考核机制。为促进高质量就业，学院专门下发《食科学院招生就业考核办法（试行）》，学院实施就业帮扶1159工程，帮扶方式实行1对1结对，一个院领导与一个专业结对，专业主任与辅导员与毕业生导师结对，导师与毕业生结对；帮扶频率要求5月20日前结对主体与未就业毕业生每周至少联系帮扶1次，5月20日后结对主体每天至少与未就业毕业生联系帮扶1次；对就业率明确实施奖惩机制。</w:t>
      </w:r>
    </w:p>
    <w:p>
      <w:pPr>
        <w:adjustRightInd w:val="0"/>
        <w:snapToGrid w:val="0"/>
        <w:ind w:firstLine="480"/>
      </w:pPr>
      <w:r>
        <w:t>3</w:t>
      </w:r>
      <w:r>
        <w:rPr>
          <w:rFonts w:hint="eastAsia"/>
          <w:lang w:eastAsia="zh-CN"/>
        </w:rPr>
        <w:t>.</w:t>
      </w:r>
      <w:r>
        <w:t>落实</w:t>
      </w:r>
      <w:r>
        <w:rPr>
          <w:rFonts w:hint="eastAsia"/>
        </w:rPr>
        <w:t>“</w:t>
      </w:r>
      <w:r>
        <w:t>双创四驱</w:t>
      </w:r>
      <w:r>
        <w:rPr>
          <w:rFonts w:hint="eastAsia"/>
        </w:rPr>
        <w:t>”</w:t>
      </w:r>
      <w:r>
        <w:t xml:space="preserve">工作模式。加强院企合作聘任校外兼职教授、创业导师，邀请企业家为学子做报告，指导学生创业实践； </w:t>
      </w:r>
    </w:p>
    <w:p>
      <w:pPr>
        <w:adjustRightInd w:val="0"/>
        <w:snapToGrid w:val="0"/>
        <w:ind w:firstLine="480"/>
      </w:pPr>
      <w:r>
        <w:t>4</w:t>
      </w:r>
      <w:r>
        <w:rPr>
          <w:rFonts w:hint="eastAsia"/>
          <w:lang w:eastAsia="zh-CN"/>
        </w:rPr>
        <w:t>.</w:t>
      </w:r>
      <w:r>
        <w:t xml:space="preserve">食品企业创新与创业讲座和创业实践项目产品展等在内的系列措施和活动，培养学生创新创业意识； </w:t>
      </w:r>
    </w:p>
    <w:p>
      <w:pPr>
        <w:adjustRightInd w:val="0"/>
        <w:snapToGrid w:val="0"/>
        <w:ind w:firstLine="480"/>
      </w:pPr>
      <w:r>
        <w:t>5</w:t>
      </w:r>
      <w:r>
        <w:rPr>
          <w:rFonts w:hint="eastAsia"/>
          <w:lang w:eastAsia="zh-CN"/>
        </w:rPr>
        <w:t>.</w:t>
      </w:r>
      <w:r>
        <w:t>搭建创新创业平台，加大经费投入。举办</w:t>
      </w:r>
      <w:r>
        <w:rPr>
          <w:rFonts w:hint="eastAsia"/>
        </w:rPr>
        <w:t>“</w:t>
      </w:r>
      <w:r>
        <w:t>新品味</w:t>
      </w:r>
      <w:r>
        <w:rPr>
          <w:rFonts w:hint="eastAsia"/>
        </w:rPr>
        <w:t>”</w:t>
      </w:r>
      <w:r>
        <w:t xml:space="preserve">大学生创新创业大赛，完善评价激励制度，引导学生组建创业团队，鼓励学生参加挑战杯等各种创业大赛； </w:t>
      </w:r>
    </w:p>
    <w:p>
      <w:pPr>
        <w:adjustRightInd w:val="0"/>
        <w:snapToGrid w:val="0"/>
        <w:ind w:firstLine="480"/>
      </w:pPr>
      <w:r>
        <w:t>6</w:t>
      </w:r>
      <w:r>
        <w:rPr>
          <w:rFonts w:hint="eastAsia"/>
          <w:lang w:eastAsia="zh-CN"/>
        </w:rPr>
        <w:t>.</w:t>
      </w:r>
      <w:r>
        <w:t>加强业务教师指导，提高学生学术创新能力；</w:t>
      </w:r>
    </w:p>
    <w:p>
      <w:pPr>
        <w:adjustRightInd w:val="0"/>
        <w:snapToGrid w:val="0"/>
        <w:ind w:firstLine="480"/>
      </w:pPr>
      <w:r>
        <w:t>经过全体教师和全体学生共同努力，学生就业率为78.99%。</w:t>
      </w:r>
    </w:p>
    <w:p>
      <w:pPr>
        <w:pStyle w:val="5"/>
        <w:spacing w:before="93" w:after="93"/>
        <w:ind w:firstLine="560"/>
      </w:pPr>
      <w:bookmarkStart w:id="468" w:name="_Toc22805"/>
      <w:r>
        <w:t>七、专业发展趋势及建议</w:t>
      </w:r>
      <w:bookmarkEnd w:id="468"/>
    </w:p>
    <w:p>
      <w:pPr>
        <w:adjustRightInd w:val="0"/>
        <w:snapToGrid w:val="0"/>
        <w:ind w:firstLine="480"/>
      </w:pPr>
      <w:r>
        <w:t>针对社会发展的需求、国家一流专业和新工科的培养要求，以及教育部工程教育专业认证要求，凝练专业培养目标，深刻理解毕业要求的内涵，合理分解观测点，建立合理的课程体系，进一步完善人才培养方案。</w:t>
      </w:r>
    </w:p>
    <w:p>
      <w:pPr>
        <w:adjustRightInd w:val="0"/>
        <w:snapToGrid w:val="0"/>
        <w:ind w:firstLine="480"/>
      </w:pPr>
      <w:r>
        <w:t>建议：</w:t>
      </w:r>
    </w:p>
    <w:p>
      <w:pPr>
        <w:adjustRightInd w:val="0"/>
        <w:snapToGrid w:val="0"/>
        <w:ind w:firstLine="480"/>
      </w:pPr>
      <w:r>
        <w:t>1</w:t>
      </w:r>
      <w:r>
        <w:rPr>
          <w:rFonts w:hint="eastAsia"/>
          <w:lang w:eastAsia="zh-CN"/>
        </w:rPr>
        <w:t>.</w:t>
      </w:r>
      <w:r>
        <w:t>加大实践训练、毕业论文（设计）等环节的学分设置，加强学生工程能力的培养；</w:t>
      </w:r>
    </w:p>
    <w:p>
      <w:pPr>
        <w:adjustRightInd w:val="0"/>
        <w:snapToGrid w:val="0"/>
        <w:ind w:firstLine="480"/>
      </w:pPr>
      <w:r>
        <w:t>2</w:t>
      </w:r>
      <w:r>
        <w:rPr>
          <w:rFonts w:hint="eastAsia"/>
          <w:lang w:eastAsia="zh-CN"/>
        </w:rPr>
        <w:t>.</w:t>
      </w:r>
      <w:r>
        <w:t>增加学生到企业实践的机会，提前了解企业的运作；</w:t>
      </w:r>
    </w:p>
    <w:p>
      <w:pPr>
        <w:adjustRightInd w:val="0"/>
        <w:snapToGrid w:val="0"/>
        <w:ind w:firstLine="480"/>
      </w:pPr>
      <w:r>
        <w:t>3</w:t>
      </w:r>
      <w:r>
        <w:rPr>
          <w:rFonts w:hint="eastAsia"/>
          <w:lang w:eastAsia="zh-CN"/>
        </w:rPr>
        <w:t>.</w:t>
      </w:r>
      <w:r>
        <w:t>提前到企业实习，提前了解对企业等工作环境的认知；</w:t>
      </w:r>
    </w:p>
    <w:p>
      <w:pPr>
        <w:adjustRightInd w:val="0"/>
        <w:snapToGrid w:val="0"/>
        <w:ind w:firstLine="480"/>
      </w:pPr>
      <w:r>
        <w:t>4</w:t>
      </w:r>
      <w:r>
        <w:rPr>
          <w:rFonts w:hint="eastAsia"/>
          <w:lang w:eastAsia="zh-CN"/>
        </w:rPr>
        <w:t>.</w:t>
      </w:r>
      <w:r>
        <w:t>更好的引导学生选课，做好规划，减少与实际情况的落差。</w:t>
      </w:r>
    </w:p>
    <w:p>
      <w:pPr>
        <w:pStyle w:val="5"/>
        <w:spacing w:before="93" w:after="93"/>
        <w:ind w:firstLine="560"/>
      </w:pPr>
      <w:bookmarkStart w:id="469" w:name="_Toc1898"/>
      <w:r>
        <w:t>八、存在的问题及拟采取的对策措施</w:t>
      </w:r>
      <w:bookmarkEnd w:id="469"/>
    </w:p>
    <w:p>
      <w:pPr>
        <w:adjustRightInd w:val="0"/>
        <w:snapToGrid w:val="0"/>
        <w:ind w:firstLine="480"/>
      </w:pPr>
      <w:r>
        <w:t>1</w:t>
      </w:r>
      <w:r>
        <w:rPr>
          <w:rFonts w:hint="eastAsia"/>
          <w:lang w:eastAsia="zh-CN"/>
        </w:rPr>
        <w:t>.</w:t>
      </w:r>
      <w:r>
        <w:t>部分专业基础课程非本院教师上课，存在跨校区开课问题。目前的《食品微生物》《食品工程原理》等专业基础课程分别由生命科学院、机械与电子学院教师授课，存在实验跨校区开课等问题，今年在新的培养方案中已将《食品微生物》《食品微生物实验》课程调整为本院教师授课。</w:t>
      </w:r>
    </w:p>
    <w:p>
      <w:pPr>
        <w:adjustRightInd w:val="0"/>
        <w:snapToGrid w:val="0"/>
        <w:ind w:firstLine="480"/>
      </w:pPr>
      <w:r>
        <w:t>2</w:t>
      </w:r>
      <w:r>
        <w:rPr>
          <w:rFonts w:hint="eastAsia"/>
          <w:lang w:eastAsia="zh-CN"/>
        </w:rPr>
        <w:t>.</w:t>
      </w:r>
      <w:r>
        <w:t>实验实训硬件条件不足的问题。学院增设食品工程原理实验室，拟淘汰并新购置约1000万元实验实训设备，可满足学生的实验实训需求。</w:t>
      </w:r>
    </w:p>
    <w:p>
      <w:pPr>
        <w:adjustRightInd w:val="0"/>
        <w:snapToGrid w:val="0"/>
        <w:ind w:firstLine="480"/>
      </w:pPr>
      <w:r>
        <w:t>3</w:t>
      </w:r>
      <w:r>
        <w:rPr>
          <w:rFonts w:hint="eastAsia"/>
          <w:lang w:eastAsia="zh-CN"/>
        </w:rPr>
        <w:t>.</w:t>
      </w:r>
      <w:r>
        <w:t>课程设置仍需优化调整。针对学生学情状况，2022版培养方案将《食品工厂设计》由第七学期调整到第六学期，将第七学期的《食品工厂设计实验》课程的授课时间提前到前五周完成，同时将《食品工艺实习》实践课程的时间也进行了相应调整，确保了前后课程衔接的紧密性，有效提高了对学生知识、能力、素养的培养质量。</w:t>
      </w:r>
    </w:p>
    <w:p>
      <w:pPr>
        <w:ind w:firstLine="480"/>
        <w:rPr>
          <w:color w:val="FF0000"/>
        </w:rPr>
      </w:pPr>
    </w:p>
    <w:p>
      <w:r>
        <w:br w:type="page"/>
      </w:r>
    </w:p>
    <w:p>
      <w:pPr>
        <w:pStyle w:val="4"/>
        <w:ind w:firstLine="600"/>
      </w:pPr>
      <w:bookmarkStart w:id="470" w:name="_Toc18329"/>
      <w:r>
        <w:rPr>
          <w:rFonts w:hint="eastAsia"/>
          <w:lang w:val="en-US"/>
        </w:rPr>
        <w:t>专业四十五：</w:t>
      </w:r>
      <w:r>
        <w:t>食品质量与安全</w:t>
      </w:r>
      <w:bookmarkEnd w:id="470"/>
    </w:p>
    <w:p>
      <w:pPr>
        <w:pStyle w:val="5"/>
        <w:spacing w:before="93" w:after="93"/>
        <w:ind w:firstLine="560"/>
      </w:pPr>
      <w:r>
        <w:t>一、培养目标与规格</w:t>
      </w:r>
    </w:p>
    <w:p>
      <w:pPr>
        <w:adjustRightInd w:val="0"/>
        <w:snapToGrid w:val="0"/>
        <w:ind w:firstLine="480" w:firstLineChars="200"/>
      </w:pPr>
      <w:r>
        <w:t>本专业培养具有高度社会责任感、良好职业道德和创新实践能力；良好的科学、文化素养和自我发展能力；掌握食品质量安全基础知识、基本理论和基本技能，分析并解决食品质量安全较复杂工程问题；能在食品及相关领域从事食品生产、分析检测、质量控制、安全评价、质量认证、监督管理、科学研究和教育教学等工作的应用型技术与管理人才。</w:t>
      </w:r>
    </w:p>
    <w:p>
      <w:pPr>
        <w:adjustRightInd w:val="0"/>
        <w:snapToGrid w:val="0"/>
        <w:ind w:firstLine="480" w:firstLineChars="200"/>
      </w:pPr>
      <w:r>
        <w:t>分解为4个子目标：</w:t>
      </w:r>
    </w:p>
    <w:p>
      <w:pPr>
        <w:adjustRightInd w:val="0"/>
        <w:snapToGrid w:val="0"/>
        <w:ind w:firstLine="480" w:firstLineChars="200"/>
      </w:pPr>
      <w:r>
        <w:t>1.具有高度社会责任感、良好职业道德和创新实践能力；</w:t>
      </w:r>
    </w:p>
    <w:p>
      <w:pPr>
        <w:adjustRightInd w:val="0"/>
        <w:snapToGrid w:val="0"/>
        <w:ind w:firstLine="480" w:firstLineChars="200"/>
      </w:pPr>
      <w:r>
        <w:t>2.具有良好的科学、文化素养和自我发展能力；</w:t>
      </w:r>
    </w:p>
    <w:p>
      <w:pPr>
        <w:adjustRightInd w:val="0"/>
        <w:snapToGrid w:val="0"/>
        <w:ind w:firstLine="480" w:firstLineChars="200"/>
      </w:pPr>
      <w:r>
        <w:t>3.掌握食品质量安全基础知识、基本理论和基本技能，分析并解决食品质量安全较复杂工程问题；</w:t>
      </w:r>
    </w:p>
    <w:p>
      <w:pPr>
        <w:adjustRightInd w:val="0"/>
        <w:snapToGrid w:val="0"/>
        <w:ind w:firstLine="480" w:firstLineChars="200"/>
      </w:pPr>
      <w:r>
        <w:t>4.能够在食品及相关领域从事食品生产、分析检测、质量控制、安全评价、质量认证、监督管理、科学研究和教育教学等工作。</w:t>
      </w:r>
    </w:p>
    <w:p>
      <w:pPr>
        <w:pStyle w:val="5"/>
        <w:spacing w:before="93" w:after="93"/>
        <w:ind w:firstLine="560"/>
      </w:pPr>
      <w:r>
        <w:t>二、培养能力（专业基本情况、专业设置、在校生规模、课程设置情况、创新创业教育等）</w:t>
      </w:r>
    </w:p>
    <w:p>
      <w:pPr>
        <w:pStyle w:val="6"/>
        <w:ind w:firstLine="480"/>
      </w:pPr>
      <w:r>
        <w:t>1. 基本情况</w:t>
      </w:r>
    </w:p>
    <w:p>
      <w:pPr>
        <w:adjustRightInd w:val="0"/>
        <w:snapToGrid w:val="0"/>
        <w:ind w:firstLine="480" w:firstLineChars="200"/>
      </w:pPr>
      <w:r>
        <w:t>本专业于2003年设立并招生，2017年获批山东省高水平应用型立项建设专业群建设专业，2020年获批山东省一流本科专业建设点。本专业面向国家食品工业转型升级和产业创新战略需求，依托山东省农产品资源和食品产业优势，聚焦农产品全产业链质量与安全管理技术，构建形成了</w:t>
      </w:r>
      <w:r>
        <w:rPr>
          <w:rFonts w:hint="eastAsia"/>
        </w:rPr>
        <w:t>“</w:t>
      </w:r>
      <w:r>
        <w:t>食品加工与安全理论技术基础扎实、安全与质量管理能力突出</w:t>
      </w:r>
      <w:r>
        <w:rPr>
          <w:rFonts w:hint="eastAsia"/>
        </w:rPr>
        <w:t>”</w:t>
      </w:r>
      <w:r>
        <w:t>的专业特色鲜明的人才培养体系。</w:t>
      </w:r>
    </w:p>
    <w:p>
      <w:pPr>
        <w:pStyle w:val="6"/>
        <w:ind w:firstLine="480"/>
      </w:pPr>
      <w:r>
        <w:t>2. 专业设置</w:t>
      </w:r>
    </w:p>
    <w:p>
      <w:pPr>
        <w:adjustRightInd w:val="0"/>
        <w:snapToGrid w:val="0"/>
        <w:ind w:firstLine="480" w:firstLineChars="200"/>
      </w:pPr>
      <w:r>
        <w:t>本专业基本学制为4年，实行弹性学制，学习年限为3-8年。按要求完成学业且符合学位授予条件者授予工学学士学位。</w:t>
      </w:r>
    </w:p>
    <w:p>
      <w:pPr>
        <w:pStyle w:val="6"/>
        <w:ind w:firstLine="480"/>
      </w:pPr>
      <w:r>
        <w:t>3. 在校生规模</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0"/>
        <w:gridCol w:w="1682"/>
        <w:gridCol w:w="1682"/>
        <w:gridCol w:w="1682"/>
        <w:gridCol w:w="22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5" w:hRule="atLeast"/>
          <w:jc w:val="center"/>
        </w:trPr>
        <w:tc>
          <w:tcPr>
            <w:tcW w:w="994" w:type="pct"/>
            <w:vAlign w:val="center"/>
          </w:tcPr>
          <w:p>
            <w:pPr>
              <w:ind w:left="-27" w:leftChars="-49" w:hanging="91" w:hangingChars="43"/>
              <w:jc w:val="center"/>
              <w:rPr>
                <w:b/>
                <w:sz w:val="21"/>
                <w:szCs w:val="21"/>
              </w:rPr>
            </w:pPr>
            <w:r>
              <w:rPr>
                <w:b/>
                <w:sz w:val="21"/>
                <w:szCs w:val="21"/>
              </w:rPr>
              <w:t>年级</w:t>
            </w:r>
          </w:p>
        </w:tc>
        <w:tc>
          <w:tcPr>
            <w:tcW w:w="928" w:type="pct"/>
            <w:vAlign w:val="center"/>
          </w:tcPr>
          <w:p>
            <w:pPr>
              <w:ind w:left="-28" w:leftChars="-49" w:hanging="90" w:hangingChars="43"/>
              <w:jc w:val="center"/>
              <w:rPr>
                <w:sz w:val="21"/>
                <w:szCs w:val="21"/>
              </w:rPr>
            </w:pPr>
            <w:r>
              <w:rPr>
                <w:sz w:val="21"/>
                <w:szCs w:val="21"/>
              </w:rPr>
              <w:t>2019级</w:t>
            </w:r>
          </w:p>
        </w:tc>
        <w:tc>
          <w:tcPr>
            <w:tcW w:w="928" w:type="pct"/>
            <w:vAlign w:val="center"/>
          </w:tcPr>
          <w:p>
            <w:pPr>
              <w:ind w:left="-28" w:leftChars="-49" w:hanging="90" w:hangingChars="43"/>
              <w:jc w:val="center"/>
              <w:rPr>
                <w:sz w:val="21"/>
                <w:szCs w:val="21"/>
              </w:rPr>
            </w:pPr>
            <w:r>
              <w:rPr>
                <w:sz w:val="21"/>
                <w:szCs w:val="21"/>
              </w:rPr>
              <w:t>2020级</w:t>
            </w:r>
          </w:p>
        </w:tc>
        <w:tc>
          <w:tcPr>
            <w:tcW w:w="928" w:type="pct"/>
            <w:vAlign w:val="center"/>
          </w:tcPr>
          <w:p>
            <w:pPr>
              <w:ind w:left="-28" w:leftChars="-49" w:hanging="90" w:hangingChars="43"/>
              <w:jc w:val="center"/>
              <w:rPr>
                <w:sz w:val="21"/>
                <w:szCs w:val="21"/>
              </w:rPr>
            </w:pPr>
            <w:r>
              <w:rPr>
                <w:sz w:val="21"/>
                <w:szCs w:val="21"/>
              </w:rPr>
              <w:t>2021级</w:t>
            </w:r>
          </w:p>
        </w:tc>
        <w:tc>
          <w:tcPr>
            <w:tcW w:w="1223" w:type="pct"/>
            <w:vAlign w:val="center"/>
          </w:tcPr>
          <w:p>
            <w:pPr>
              <w:ind w:left="-28" w:leftChars="-49" w:hanging="90" w:hangingChars="43"/>
              <w:jc w:val="center"/>
              <w:rPr>
                <w:sz w:val="21"/>
                <w:szCs w:val="21"/>
              </w:rPr>
            </w:pPr>
            <w:r>
              <w:rPr>
                <w:sz w:val="21"/>
                <w:szCs w:val="21"/>
              </w:rPr>
              <w:t>2022级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4" w:type="pct"/>
            <w:vAlign w:val="center"/>
          </w:tcPr>
          <w:p>
            <w:pPr>
              <w:ind w:left="-27" w:leftChars="-49" w:hanging="91" w:hangingChars="43"/>
              <w:jc w:val="center"/>
              <w:rPr>
                <w:b/>
                <w:sz w:val="21"/>
                <w:szCs w:val="21"/>
              </w:rPr>
            </w:pPr>
            <w:r>
              <w:rPr>
                <w:b/>
                <w:sz w:val="21"/>
                <w:szCs w:val="21"/>
              </w:rPr>
              <w:t>学生人数</w:t>
            </w:r>
          </w:p>
        </w:tc>
        <w:tc>
          <w:tcPr>
            <w:tcW w:w="928" w:type="pct"/>
            <w:vAlign w:val="center"/>
          </w:tcPr>
          <w:p>
            <w:pPr>
              <w:ind w:left="-28" w:leftChars="-49" w:hanging="90" w:hangingChars="43"/>
              <w:jc w:val="center"/>
              <w:rPr>
                <w:sz w:val="21"/>
                <w:szCs w:val="21"/>
              </w:rPr>
            </w:pPr>
            <w:r>
              <w:rPr>
                <w:sz w:val="21"/>
                <w:szCs w:val="21"/>
              </w:rPr>
              <w:t>117</w:t>
            </w:r>
          </w:p>
        </w:tc>
        <w:tc>
          <w:tcPr>
            <w:tcW w:w="928" w:type="pct"/>
            <w:vAlign w:val="center"/>
          </w:tcPr>
          <w:p>
            <w:pPr>
              <w:ind w:left="-28" w:leftChars="-49" w:hanging="90" w:hangingChars="43"/>
              <w:jc w:val="center"/>
              <w:rPr>
                <w:sz w:val="21"/>
                <w:szCs w:val="21"/>
              </w:rPr>
            </w:pPr>
            <w:r>
              <w:rPr>
                <w:sz w:val="21"/>
                <w:szCs w:val="21"/>
              </w:rPr>
              <w:t>54</w:t>
            </w:r>
          </w:p>
        </w:tc>
        <w:tc>
          <w:tcPr>
            <w:tcW w:w="928" w:type="pct"/>
            <w:vAlign w:val="center"/>
          </w:tcPr>
          <w:p>
            <w:pPr>
              <w:ind w:left="-28" w:leftChars="-49" w:hanging="90" w:hangingChars="43"/>
              <w:jc w:val="center"/>
              <w:rPr>
                <w:sz w:val="21"/>
                <w:szCs w:val="21"/>
              </w:rPr>
            </w:pPr>
            <w:r>
              <w:rPr>
                <w:sz w:val="21"/>
                <w:szCs w:val="21"/>
              </w:rPr>
              <w:t>57</w:t>
            </w:r>
          </w:p>
        </w:tc>
        <w:tc>
          <w:tcPr>
            <w:tcW w:w="1223" w:type="pct"/>
            <w:vAlign w:val="center"/>
          </w:tcPr>
          <w:p>
            <w:pPr>
              <w:ind w:left="-28" w:leftChars="-49" w:hanging="90" w:hangingChars="43"/>
              <w:jc w:val="center"/>
              <w:rPr>
                <w:sz w:val="21"/>
                <w:szCs w:val="21"/>
              </w:rPr>
            </w:pPr>
            <w:r>
              <w:rPr>
                <w:sz w:val="21"/>
                <w:szCs w:val="21"/>
              </w:rPr>
              <w:t>226（食科大类）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994" w:type="pct"/>
            <w:vAlign w:val="center"/>
          </w:tcPr>
          <w:p>
            <w:pPr>
              <w:ind w:left="-118" w:leftChars="-49"/>
              <w:jc w:val="center"/>
              <w:rPr>
                <w:b/>
                <w:sz w:val="21"/>
                <w:szCs w:val="21"/>
              </w:rPr>
            </w:pPr>
            <w:r>
              <w:rPr>
                <w:b/>
                <w:sz w:val="21"/>
                <w:szCs w:val="21"/>
              </w:rPr>
              <w:t>总人数</w:t>
            </w:r>
          </w:p>
        </w:tc>
        <w:tc>
          <w:tcPr>
            <w:tcW w:w="4006" w:type="pct"/>
            <w:gridSpan w:val="4"/>
            <w:vAlign w:val="center"/>
          </w:tcPr>
          <w:p>
            <w:pPr>
              <w:ind w:left="-28" w:leftChars="-49" w:hanging="90" w:hangingChars="43"/>
              <w:jc w:val="center"/>
              <w:rPr>
                <w:sz w:val="21"/>
                <w:szCs w:val="21"/>
              </w:rPr>
            </w:pPr>
            <w:r>
              <w:rPr>
                <w:sz w:val="21"/>
                <w:szCs w:val="21"/>
              </w:rPr>
              <w:t>454</w:t>
            </w:r>
          </w:p>
        </w:tc>
      </w:tr>
    </w:tbl>
    <w:p>
      <w:pPr>
        <w:pStyle w:val="6"/>
        <w:ind w:firstLine="480"/>
      </w:pPr>
      <w:r>
        <w:t>4. 课程设置情况</w:t>
      </w:r>
    </w:p>
    <w:p>
      <w:pPr>
        <w:adjustRightInd w:val="0"/>
        <w:snapToGrid w:val="0"/>
        <w:spacing w:line="420" w:lineRule="exact"/>
        <w:ind w:firstLine="482" w:firstLineChars="200"/>
      </w:pPr>
      <w:r>
        <w:rPr>
          <w:b/>
          <w:bCs/>
        </w:rPr>
        <w:t>学分总体设置：</w:t>
      </w:r>
      <w:r>
        <w:t>毕业总学分170学分，其中必修课共103.5学分、选修课31学分；实验学分和实践环节教学48.5学分（理论课所含的实验实训学分按所占理论课学时进行换算），占总学分的28.5%。</w:t>
      </w:r>
    </w:p>
    <w:p>
      <w:pPr>
        <w:adjustRightInd w:val="0"/>
        <w:snapToGrid w:val="0"/>
        <w:spacing w:line="420" w:lineRule="exact"/>
        <w:ind w:firstLine="482" w:firstLineChars="200"/>
      </w:pPr>
      <w:r>
        <w:rPr>
          <w:b/>
          <w:bCs/>
        </w:rPr>
        <w:t>课程类型包括：</w:t>
      </w:r>
      <w:r>
        <w:t>通识必修课、通识选修课、学科基础课、专业核心课、专业方向课、专业拓展课和实践性教学环节。</w:t>
      </w:r>
    </w:p>
    <w:p>
      <w:pPr>
        <w:adjustRightInd w:val="0"/>
        <w:snapToGrid w:val="0"/>
        <w:spacing w:line="420" w:lineRule="exact"/>
        <w:ind w:firstLine="482" w:firstLineChars="200"/>
      </w:pPr>
      <w:r>
        <w:rPr>
          <w:b/>
          <w:bCs/>
        </w:rPr>
        <w:t>主干学科：</w:t>
      </w:r>
      <w:r>
        <w:t>食品科学与工程、化学、管理学</w:t>
      </w:r>
    </w:p>
    <w:p>
      <w:pPr>
        <w:adjustRightInd w:val="0"/>
        <w:snapToGrid w:val="0"/>
        <w:spacing w:line="420" w:lineRule="exact"/>
        <w:ind w:firstLine="482" w:firstLineChars="200"/>
      </w:pPr>
      <w:r>
        <w:rPr>
          <w:b/>
          <w:bCs/>
        </w:rPr>
        <w:t>核心课程：</w:t>
      </w:r>
      <w:r>
        <w:t>食品化学、微生物学、食品毒理学、食品分析实验、食品营养与安全学、食品工程原理、食品工艺学、食品安全检测技术、食品质量管理学、食品法规与标准。</w:t>
      </w:r>
    </w:p>
    <w:p>
      <w:pPr>
        <w:adjustRightInd w:val="0"/>
        <w:snapToGrid w:val="0"/>
        <w:spacing w:line="420" w:lineRule="exact"/>
        <w:ind w:firstLine="482" w:firstLineChars="200"/>
      </w:pPr>
      <w:r>
        <w:rPr>
          <w:b/>
          <w:bCs/>
        </w:rPr>
        <w:t>主要实践性教学环节：</w:t>
      </w:r>
      <w:r>
        <w:t>基础化学实验、大学物理学实验、物理化学与胶体化学实验、食品工程原理实验、工程制图与CAD实验、生物化学实验、食品微生物学实验、食品化学实验、食品分析实验、食品营养与安全学实验、金工实习、专业综合实验、食品质量与安全综合课程设计、食品质量与安全实习、食品工艺实习、创新创业实践、毕业实习及报告和毕业论文(设计)等。</w:t>
      </w:r>
    </w:p>
    <w:p>
      <w:pPr>
        <w:pStyle w:val="6"/>
        <w:spacing w:line="420" w:lineRule="exact"/>
        <w:ind w:firstLine="480"/>
      </w:pPr>
      <w:r>
        <w:rPr>
          <w:rFonts w:hint="eastAsia"/>
        </w:rPr>
        <w:t xml:space="preserve">5. </w:t>
      </w:r>
      <w:r>
        <w:t>创新创业教育</w:t>
      </w:r>
    </w:p>
    <w:p>
      <w:pPr>
        <w:adjustRightInd w:val="0"/>
        <w:snapToGrid w:val="0"/>
        <w:spacing w:line="420" w:lineRule="exact"/>
        <w:ind w:firstLine="480" w:firstLineChars="200"/>
      </w:pPr>
      <w:r>
        <w:t>本专业以</w:t>
      </w:r>
      <w:r>
        <w:rPr>
          <w:rFonts w:hint="eastAsia"/>
        </w:rPr>
        <w:t>“</w:t>
      </w:r>
      <w:r>
        <w:t>宽厚基础与专业素能并重</w:t>
      </w:r>
      <w:r>
        <w:rPr>
          <w:rFonts w:hint="eastAsia"/>
        </w:rPr>
        <w:t>”</w:t>
      </w:r>
      <w:r>
        <w:t>为人才培养目标，不断优化完善课程体系，强化专业条件建设，大力进行教育教学改革，注重加强学生创新创业能力的培养。</w:t>
      </w:r>
    </w:p>
    <w:p>
      <w:pPr>
        <w:adjustRightInd w:val="0"/>
        <w:snapToGrid w:val="0"/>
        <w:spacing w:line="420" w:lineRule="exact"/>
        <w:ind w:firstLine="480" w:firstLineChars="200"/>
      </w:pPr>
      <w:r>
        <w:t>（1）立足专业特点，加强创新创业能力培养体系的顶层设计。学院建立并完善创新创业工作制度，全程实施本科导师制，聘请经验丰富、年富力强的专业教师担任导师（班主任），形成了稳定的创新创业指导教师团队，成立创新创业学生服务组织；</w:t>
      </w:r>
    </w:p>
    <w:p>
      <w:pPr>
        <w:adjustRightInd w:val="0"/>
        <w:snapToGrid w:val="0"/>
        <w:spacing w:line="420" w:lineRule="exact"/>
        <w:ind w:firstLine="480" w:firstLineChars="200"/>
      </w:pPr>
      <w:r>
        <w:t>（2）转变教育理念，培养学生主动创新创业的意识。高度重视创新创业类通识选修课、大学生创新创业教育、大学生就业指导等专业拓展课、学科交叉课、创新创业实践等课程教学，优化师资力量，加强大学生创造型思维的训练，并与专业课程有机融合，融入创新知识体系；</w:t>
      </w:r>
    </w:p>
    <w:p>
      <w:pPr>
        <w:adjustRightInd w:val="0"/>
        <w:snapToGrid w:val="0"/>
        <w:spacing w:line="420" w:lineRule="exact"/>
        <w:ind w:firstLine="480" w:firstLineChars="200"/>
      </w:pPr>
      <w:r>
        <w:t>（3）逐年加大创新创业活动支持力度，丰富创新创业活动形式。逐年加大创新创业条件建设，设立创新创业实验室；为学生组织高质量的创业报告、企业家论坛和成功校友创业事迹报告会；科研实验室等全部面向学生开放，引导学生积极参加学院教师的科研课题，在导师的指导下从事科研创新活动和科学研究；积极组织学生参加</w:t>
      </w:r>
      <w:r>
        <w:rPr>
          <w:rFonts w:hint="eastAsia"/>
        </w:rPr>
        <w:t>“</w:t>
      </w:r>
      <w:r>
        <w:t>挑战杯</w:t>
      </w:r>
      <w:r>
        <w:rPr>
          <w:rFonts w:hint="eastAsia"/>
        </w:rPr>
        <w:t>”</w:t>
      </w:r>
      <w:r>
        <w:t>、</w:t>
      </w:r>
      <w:r>
        <w:rPr>
          <w:rFonts w:hint="eastAsia"/>
        </w:rPr>
        <w:t>“</w:t>
      </w:r>
      <w:r>
        <w:t>互联网+</w:t>
      </w:r>
      <w:r>
        <w:rPr>
          <w:rFonts w:hint="eastAsia"/>
        </w:rPr>
        <w:t>”</w:t>
      </w:r>
      <w:r>
        <w:t xml:space="preserve">、SRT等各类形式的创新创业大赛。积极拓展建设校外教学科研实践育人基地，强化产、学、研一体化教育模式。 </w:t>
      </w:r>
    </w:p>
    <w:p>
      <w:pPr>
        <w:adjustRightInd w:val="0"/>
        <w:snapToGrid w:val="0"/>
        <w:spacing w:line="420" w:lineRule="exact"/>
        <w:ind w:firstLine="480" w:firstLineChars="200"/>
      </w:pPr>
      <w:r>
        <w:t>2021-2022年度，本专业新立项学院SRT项目43项，参与学生67人；立项国家级大学生创新创业训练项目1项、省级创新创业训练项目4项，获省级及国家级创新创业大赛奖励3项。</w:t>
      </w:r>
    </w:p>
    <w:p>
      <w:pPr>
        <w:rPr>
          <w:b/>
          <w:bCs/>
          <w:sz w:val="21"/>
          <w:szCs w:val="21"/>
        </w:rPr>
      </w:pPr>
      <w:r>
        <w:rPr>
          <w:b/>
          <w:bCs/>
          <w:sz w:val="21"/>
          <w:szCs w:val="21"/>
        </w:rPr>
        <w:br w:type="page"/>
      </w:r>
    </w:p>
    <w:p>
      <w:pPr>
        <w:spacing w:line="360" w:lineRule="auto"/>
        <w:ind w:firstLine="422" w:firstLineChars="200"/>
        <w:jc w:val="center"/>
        <w:rPr>
          <w:b/>
          <w:bCs/>
          <w:sz w:val="21"/>
          <w:szCs w:val="21"/>
        </w:rPr>
      </w:pPr>
      <w:r>
        <w:rPr>
          <w:b/>
          <w:bCs/>
          <w:sz w:val="21"/>
          <w:szCs w:val="21"/>
        </w:rPr>
        <w:t>2021-2022年度食品质量与安全专业学生立项国家及省级SRT项目汇总表</w:t>
      </w:r>
    </w:p>
    <w:tbl>
      <w:tblPr>
        <w:tblStyle w:val="18"/>
        <w:tblW w:w="512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03"/>
        <w:gridCol w:w="1215"/>
        <w:gridCol w:w="5175"/>
        <w:gridCol w:w="1065"/>
        <w:gridCol w:w="1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trPr>
        <w:tc>
          <w:tcPr>
            <w:tcW w:w="331" w:type="pct"/>
            <w:vAlign w:val="center"/>
          </w:tcPr>
          <w:p>
            <w:pPr>
              <w:spacing w:line="360" w:lineRule="auto"/>
              <w:jc w:val="center"/>
              <w:rPr>
                <w:b/>
                <w:bCs/>
                <w:sz w:val="21"/>
                <w:szCs w:val="21"/>
              </w:rPr>
            </w:pPr>
            <w:r>
              <w:rPr>
                <w:b/>
                <w:bCs/>
                <w:sz w:val="21"/>
                <w:szCs w:val="21"/>
              </w:rPr>
              <w:t>序号</w:t>
            </w:r>
          </w:p>
        </w:tc>
        <w:tc>
          <w:tcPr>
            <w:tcW w:w="666" w:type="pct"/>
            <w:vAlign w:val="center"/>
          </w:tcPr>
          <w:p>
            <w:pPr>
              <w:spacing w:line="360" w:lineRule="auto"/>
              <w:jc w:val="center"/>
              <w:rPr>
                <w:b/>
                <w:bCs/>
                <w:sz w:val="21"/>
                <w:szCs w:val="21"/>
              </w:rPr>
            </w:pPr>
            <w:r>
              <w:rPr>
                <w:b/>
                <w:bCs/>
                <w:sz w:val="21"/>
                <w:szCs w:val="21"/>
              </w:rPr>
              <w:t>项目类别</w:t>
            </w:r>
          </w:p>
        </w:tc>
        <w:tc>
          <w:tcPr>
            <w:tcW w:w="2837" w:type="pct"/>
            <w:vAlign w:val="center"/>
          </w:tcPr>
          <w:p>
            <w:pPr>
              <w:spacing w:line="360" w:lineRule="auto"/>
              <w:jc w:val="center"/>
              <w:rPr>
                <w:b/>
                <w:bCs/>
                <w:sz w:val="21"/>
                <w:szCs w:val="21"/>
              </w:rPr>
            </w:pPr>
            <w:r>
              <w:rPr>
                <w:b/>
                <w:bCs/>
                <w:sz w:val="21"/>
                <w:szCs w:val="21"/>
              </w:rPr>
              <w:t>项目名称</w:t>
            </w:r>
          </w:p>
        </w:tc>
        <w:tc>
          <w:tcPr>
            <w:tcW w:w="584" w:type="pct"/>
            <w:vAlign w:val="center"/>
          </w:tcPr>
          <w:p>
            <w:pPr>
              <w:spacing w:line="360" w:lineRule="auto"/>
              <w:jc w:val="center"/>
              <w:rPr>
                <w:b/>
                <w:bCs/>
                <w:sz w:val="21"/>
                <w:szCs w:val="21"/>
              </w:rPr>
            </w:pPr>
            <w:r>
              <w:rPr>
                <w:b/>
                <w:bCs/>
                <w:sz w:val="21"/>
                <w:szCs w:val="21"/>
              </w:rPr>
              <w:t>负责人</w:t>
            </w:r>
          </w:p>
        </w:tc>
        <w:tc>
          <w:tcPr>
            <w:tcW w:w="582" w:type="pct"/>
            <w:vAlign w:val="center"/>
          </w:tcPr>
          <w:p>
            <w:pPr>
              <w:spacing w:line="360" w:lineRule="auto"/>
              <w:jc w:val="center"/>
              <w:rPr>
                <w:b/>
                <w:bCs/>
                <w:sz w:val="21"/>
                <w:szCs w:val="21"/>
              </w:rPr>
            </w:pPr>
            <w:r>
              <w:rPr>
                <w:b/>
                <w:bCs/>
                <w:sz w:val="21"/>
                <w:szCs w:val="21"/>
              </w:rPr>
              <w:t>项目级别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31" w:type="pct"/>
            <w:vAlign w:val="center"/>
          </w:tcPr>
          <w:p>
            <w:pPr>
              <w:spacing w:line="360" w:lineRule="auto"/>
              <w:jc w:val="center"/>
              <w:rPr>
                <w:sz w:val="21"/>
                <w:szCs w:val="21"/>
              </w:rPr>
            </w:pPr>
            <w:r>
              <w:rPr>
                <w:sz w:val="21"/>
                <w:szCs w:val="21"/>
              </w:rPr>
              <w:t>1</w:t>
            </w:r>
          </w:p>
        </w:tc>
        <w:tc>
          <w:tcPr>
            <w:tcW w:w="666" w:type="pct"/>
            <w:vAlign w:val="center"/>
          </w:tcPr>
          <w:p>
            <w:pPr>
              <w:spacing w:line="360" w:lineRule="auto"/>
              <w:jc w:val="center"/>
              <w:rPr>
                <w:sz w:val="21"/>
                <w:szCs w:val="21"/>
              </w:rPr>
            </w:pPr>
            <w:r>
              <w:rPr>
                <w:sz w:val="21"/>
                <w:szCs w:val="21"/>
              </w:rPr>
              <w:t>创新训练</w:t>
            </w:r>
          </w:p>
        </w:tc>
        <w:tc>
          <w:tcPr>
            <w:tcW w:w="2837" w:type="pct"/>
            <w:vAlign w:val="center"/>
          </w:tcPr>
          <w:p>
            <w:pPr>
              <w:spacing w:line="360" w:lineRule="auto"/>
              <w:jc w:val="center"/>
              <w:rPr>
                <w:sz w:val="21"/>
                <w:szCs w:val="21"/>
              </w:rPr>
            </w:pPr>
            <w:r>
              <w:rPr>
                <w:sz w:val="21"/>
                <w:szCs w:val="21"/>
              </w:rPr>
              <w:t>淀粉复合全降解膜在生鲜肉制品包装中的应用</w:t>
            </w:r>
          </w:p>
        </w:tc>
        <w:tc>
          <w:tcPr>
            <w:tcW w:w="584" w:type="pct"/>
            <w:vAlign w:val="center"/>
          </w:tcPr>
          <w:p>
            <w:pPr>
              <w:spacing w:line="360" w:lineRule="auto"/>
              <w:jc w:val="center"/>
              <w:rPr>
                <w:sz w:val="21"/>
                <w:szCs w:val="21"/>
              </w:rPr>
            </w:pPr>
            <w:r>
              <w:rPr>
                <w:sz w:val="21"/>
                <w:szCs w:val="21"/>
              </w:rPr>
              <w:t>丁滋宸</w:t>
            </w:r>
          </w:p>
        </w:tc>
        <w:tc>
          <w:tcPr>
            <w:tcW w:w="582" w:type="pct"/>
            <w:vAlign w:val="center"/>
          </w:tcPr>
          <w:p>
            <w:pPr>
              <w:spacing w:line="360" w:lineRule="auto"/>
              <w:jc w:val="center"/>
              <w:rPr>
                <w:sz w:val="21"/>
                <w:szCs w:val="21"/>
              </w:rPr>
            </w:pPr>
            <w:r>
              <w:rPr>
                <w:sz w:val="21"/>
                <w:szCs w:val="21"/>
              </w:rPr>
              <w:t>国家级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31" w:type="pct"/>
            <w:vAlign w:val="center"/>
          </w:tcPr>
          <w:p>
            <w:pPr>
              <w:spacing w:line="360" w:lineRule="auto"/>
              <w:jc w:val="center"/>
              <w:rPr>
                <w:sz w:val="21"/>
                <w:szCs w:val="21"/>
              </w:rPr>
            </w:pPr>
            <w:r>
              <w:rPr>
                <w:sz w:val="21"/>
                <w:szCs w:val="21"/>
              </w:rPr>
              <w:t>2</w:t>
            </w:r>
          </w:p>
        </w:tc>
        <w:tc>
          <w:tcPr>
            <w:tcW w:w="666"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rPr>
                <w:sz w:val="21"/>
                <w:szCs w:val="21"/>
              </w:rPr>
            </w:pPr>
            <w:r>
              <w:rPr>
                <w:color w:val="000000"/>
                <w:sz w:val="21"/>
                <w:szCs w:val="21"/>
              </w:rPr>
              <w:t>创新训练</w:t>
            </w:r>
          </w:p>
        </w:tc>
        <w:tc>
          <w:tcPr>
            <w:tcW w:w="2837" w:type="pct"/>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sz w:val="21"/>
                <w:szCs w:val="21"/>
              </w:rPr>
            </w:pPr>
            <w:r>
              <w:rPr>
                <w:color w:val="000000"/>
                <w:sz w:val="21"/>
                <w:szCs w:val="21"/>
              </w:rPr>
              <w:t>不同糊粉层添加量对面包品质的影响研究</w:t>
            </w:r>
          </w:p>
        </w:tc>
        <w:tc>
          <w:tcPr>
            <w:tcW w:w="584" w:type="pct"/>
            <w:vAlign w:val="center"/>
          </w:tcPr>
          <w:p>
            <w:pPr>
              <w:spacing w:line="360" w:lineRule="auto"/>
              <w:jc w:val="center"/>
              <w:rPr>
                <w:sz w:val="21"/>
                <w:szCs w:val="21"/>
              </w:rPr>
            </w:pPr>
            <w:r>
              <w:rPr>
                <w:sz w:val="21"/>
                <w:szCs w:val="21"/>
              </w:rPr>
              <w:t>柴浩宇</w:t>
            </w:r>
          </w:p>
        </w:tc>
        <w:tc>
          <w:tcPr>
            <w:tcW w:w="582" w:type="pct"/>
            <w:vAlign w:val="center"/>
          </w:tcPr>
          <w:p>
            <w:pPr>
              <w:spacing w:line="360" w:lineRule="auto"/>
              <w:jc w:val="center"/>
              <w:rPr>
                <w:sz w:val="21"/>
                <w:szCs w:val="21"/>
              </w:rPr>
            </w:pPr>
            <w:r>
              <w:rPr>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31" w:type="pct"/>
            <w:vAlign w:val="center"/>
          </w:tcPr>
          <w:p>
            <w:pPr>
              <w:spacing w:line="360" w:lineRule="auto"/>
              <w:jc w:val="center"/>
              <w:rPr>
                <w:sz w:val="21"/>
                <w:szCs w:val="21"/>
              </w:rPr>
            </w:pPr>
            <w:r>
              <w:rPr>
                <w:sz w:val="21"/>
                <w:szCs w:val="21"/>
              </w:rPr>
              <w:t>3</w:t>
            </w:r>
          </w:p>
        </w:tc>
        <w:tc>
          <w:tcPr>
            <w:tcW w:w="666"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rPr>
                <w:sz w:val="21"/>
                <w:szCs w:val="21"/>
              </w:rPr>
            </w:pPr>
            <w:r>
              <w:rPr>
                <w:color w:val="000000"/>
                <w:sz w:val="21"/>
                <w:szCs w:val="21"/>
              </w:rPr>
              <w:t>创新训练</w:t>
            </w:r>
          </w:p>
        </w:tc>
        <w:tc>
          <w:tcPr>
            <w:tcW w:w="2837" w:type="pct"/>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sz w:val="21"/>
                <w:szCs w:val="21"/>
              </w:rPr>
            </w:pPr>
            <w:r>
              <w:rPr>
                <w:color w:val="000000"/>
                <w:sz w:val="21"/>
                <w:szCs w:val="21"/>
              </w:rPr>
              <w:t>淀粉复合全降解膜在生鲜肉制品包装中的应用</w:t>
            </w:r>
          </w:p>
        </w:tc>
        <w:tc>
          <w:tcPr>
            <w:tcW w:w="584" w:type="pct"/>
            <w:vAlign w:val="center"/>
          </w:tcPr>
          <w:p>
            <w:pPr>
              <w:spacing w:line="360" w:lineRule="auto"/>
              <w:jc w:val="center"/>
              <w:rPr>
                <w:sz w:val="21"/>
                <w:szCs w:val="21"/>
              </w:rPr>
            </w:pPr>
            <w:r>
              <w:rPr>
                <w:sz w:val="21"/>
                <w:szCs w:val="21"/>
              </w:rPr>
              <w:t>丁滋宸</w:t>
            </w:r>
          </w:p>
        </w:tc>
        <w:tc>
          <w:tcPr>
            <w:tcW w:w="582" w:type="pct"/>
            <w:vAlign w:val="center"/>
          </w:tcPr>
          <w:p>
            <w:pPr>
              <w:spacing w:line="360" w:lineRule="auto"/>
              <w:jc w:val="center"/>
              <w:rPr>
                <w:sz w:val="21"/>
                <w:szCs w:val="21"/>
              </w:rPr>
            </w:pPr>
            <w:r>
              <w:rPr>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31" w:type="pct"/>
            <w:vAlign w:val="center"/>
          </w:tcPr>
          <w:p>
            <w:pPr>
              <w:spacing w:line="360" w:lineRule="auto"/>
              <w:jc w:val="center"/>
              <w:rPr>
                <w:sz w:val="21"/>
                <w:szCs w:val="21"/>
              </w:rPr>
            </w:pPr>
            <w:r>
              <w:rPr>
                <w:sz w:val="21"/>
                <w:szCs w:val="21"/>
              </w:rPr>
              <w:t>4</w:t>
            </w:r>
          </w:p>
        </w:tc>
        <w:tc>
          <w:tcPr>
            <w:tcW w:w="666"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rPr>
                <w:sz w:val="21"/>
                <w:szCs w:val="21"/>
              </w:rPr>
            </w:pPr>
            <w:r>
              <w:rPr>
                <w:color w:val="000000"/>
                <w:sz w:val="21"/>
                <w:szCs w:val="21"/>
              </w:rPr>
              <w:t>创新训练</w:t>
            </w:r>
          </w:p>
        </w:tc>
        <w:tc>
          <w:tcPr>
            <w:tcW w:w="2837" w:type="pct"/>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sz w:val="21"/>
                <w:szCs w:val="21"/>
              </w:rPr>
            </w:pPr>
            <w:r>
              <w:rPr>
                <w:color w:val="000000"/>
                <w:sz w:val="21"/>
                <w:szCs w:val="21"/>
              </w:rPr>
              <w:t>麦芽原料组成对原浆啤酒品质的影响</w:t>
            </w:r>
          </w:p>
        </w:tc>
        <w:tc>
          <w:tcPr>
            <w:tcW w:w="584" w:type="pct"/>
            <w:vAlign w:val="center"/>
          </w:tcPr>
          <w:p>
            <w:pPr>
              <w:spacing w:line="360" w:lineRule="auto"/>
              <w:jc w:val="center"/>
              <w:rPr>
                <w:sz w:val="21"/>
                <w:szCs w:val="21"/>
              </w:rPr>
            </w:pPr>
            <w:r>
              <w:rPr>
                <w:sz w:val="21"/>
                <w:szCs w:val="21"/>
              </w:rPr>
              <w:t>杨炳龙</w:t>
            </w:r>
          </w:p>
        </w:tc>
        <w:tc>
          <w:tcPr>
            <w:tcW w:w="582" w:type="pct"/>
            <w:vAlign w:val="center"/>
          </w:tcPr>
          <w:p>
            <w:pPr>
              <w:spacing w:line="360" w:lineRule="auto"/>
              <w:jc w:val="center"/>
              <w:rPr>
                <w:sz w:val="21"/>
                <w:szCs w:val="21"/>
              </w:rPr>
            </w:pPr>
            <w:r>
              <w:rPr>
                <w:sz w:val="21"/>
                <w:szCs w:val="21"/>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31" w:type="pct"/>
            <w:vAlign w:val="center"/>
          </w:tcPr>
          <w:p>
            <w:pPr>
              <w:spacing w:line="360" w:lineRule="auto"/>
              <w:jc w:val="center"/>
              <w:rPr>
                <w:sz w:val="21"/>
                <w:szCs w:val="21"/>
              </w:rPr>
            </w:pPr>
            <w:r>
              <w:rPr>
                <w:sz w:val="21"/>
                <w:szCs w:val="21"/>
              </w:rPr>
              <w:t>5</w:t>
            </w:r>
          </w:p>
        </w:tc>
        <w:tc>
          <w:tcPr>
            <w:tcW w:w="666"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rPr>
                <w:sz w:val="21"/>
                <w:szCs w:val="21"/>
              </w:rPr>
            </w:pPr>
            <w:r>
              <w:rPr>
                <w:color w:val="000000"/>
                <w:sz w:val="21"/>
                <w:szCs w:val="21"/>
              </w:rPr>
              <w:t>创业实践</w:t>
            </w:r>
          </w:p>
        </w:tc>
        <w:tc>
          <w:tcPr>
            <w:tcW w:w="2837" w:type="pct"/>
            <w:tcBorders>
              <w:top w:val="single" w:color="auto" w:sz="4" w:space="0"/>
              <w:left w:val="nil"/>
              <w:bottom w:val="single" w:color="auto" w:sz="4" w:space="0"/>
              <w:right w:val="single" w:color="auto" w:sz="4" w:space="0"/>
            </w:tcBorders>
            <w:shd w:val="clear" w:color="auto" w:fill="auto"/>
            <w:vAlign w:val="center"/>
          </w:tcPr>
          <w:p>
            <w:pPr>
              <w:spacing w:line="360" w:lineRule="auto"/>
              <w:jc w:val="center"/>
              <w:rPr>
                <w:sz w:val="21"/>
                <w:szCs w:val="21"/>
              </w:rPr>
            </w:pPr>
            <w:r>
              <w:rPr>
                <w:sz w:val="21"/>
                <w:szCs w:val="21"/>
              </w:rPr>
              <w:t>天下谁人不识菌-食用菌功能型复合调味料的先行者</w:t>
            </w:r>
          </w:p>
        </w:tc>
        <w:tc>
          <w:tcPr>
            <w:tcW w:w="584" w:type="pct"/>
            <w:vAlign w:val="center"/>
          </w:tcPr>
          <w:p>
            <w:pPr>
              <w:spacing w:line="360" w:lineRule="auto"/>
              <w:jc w:val="center"/>
              <w:rPr>
                <w:sz w:val="21"/>
                <w:szCs w:val="21"/>
              </w:rPr>
            </w:pPr>
            <w:r>
              <w:rPr>
                <w:sz w:val="21"/>
                <w:szCs w:val="21"/>
              </w:rPr>
              <w:t>薛皓月</w:t>
            </w:r>
          </w:p>
        </w:tc>
        <w:tc>
          <w:tcPr>
            <w:tcW w:w="582" w:type="pct"/>
            <w:vAlign w:val="center"/>
          </w:tcPr>
          <w:p>
            <w:pPr>
              <w:spacing w:line="360" w:lineRule="auto"/>
              <w:jc w:val="center"/>
              <w:rPr>
                <w:sz w:val="21"/>
                <w:szCs w:val="21"/>
              </w:rPr>
            </w:pPr>
            <w:r>
              <w:rPr>
                <w:sz w:val="21"/>
                <w:szCs w:val="21"/>
              </w:rPr>
              <w:t>省级</w:t>
            </w:r>
          </w:p>
        </w:tc>
      </w:tr>
    </w:tbl>
    <w:p>
      <w:pPr>
        <w:spacing w:line="360" w:lineRule="auto"/>
        <w:jc w:val="center"/>
        <w:rPr>
          <w:b/>
          <w:bCs/>
          <w:sz w:val="21"/>
          <w:szCs w:val="21"/>
        </w:rPr>
      </w:pPr>
      <w:r>
        <w:rPr>
          <w:b/>
          <w:bCs/>
          <w:sz w:val="21"/>
          <w:szCs w:val="21"/>
        </w:rPr>
        <w:t>2021-2022年度食品质量与安全专业学生创新创业竞赛获奖情况</w:t>
      </w:r>
    </w:p>
    <w:tbl>
      <w:tblPr>
        <w:tblStyle w:val="18"/>
        <w:tblW w:w="512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04"/>
        <w:gridCol w:w="1065"/>
        <w:gridCol w:w="4106"/>
        <w:gridCol w:w="1368"/>
        <w:gridCol w:w="1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31" w:type="pct"/>
            <w:vAlign w:val="center"/>
          </w:tcPr>
          <w:p>
            <w:pPr>
              <w:spacing w:line="360" w:lineRule="auto"/>
              <w:jc w:val="center"/>
              <w:rPr>
                <w:b/>
                <w:bCs/>
                <w:sz w:val="21"/>
                <w:szCs w:val="21"/>
              </w:rPr>
            </w:pPr>
            <w:r>
              <w:rPr>
                <w:b/>
                <w:bCs/>
                <w:sz w:val="21"/>
                <w:szCs w:val="21"/>
              </w:rPr>
              <w:t>序号</w:t>
            </w:r>
          </w:p>
        </w:tc>
        <w:tc>
          <w:tcPr>
            <w:tcW w:w="584" w:type="pct"/>
            <w:vAlign w:val="center"/>
          </w:tcPr>
          <w:p>
            <w:pPr>
              <w:spacing w:line="360" w:lineRule="auto"/>
              <w:jc w:val="center"/>
              <w:rPr>
                <w:b/>
                <w:bCs/>
                <w:sz w:val="21"/>
                <w:szCs w:val="21"/>
              </w:rPr>
            </w:pPr>
            <w:r>
              <w:rPr>
                <w:b/>
                <w:bCs/>
                <w:sz w:val="21"/>
                <w:szCs w:val="21"/>
              </w:rPr>
              <w:t>负责人</w:t>
            </w:r>
          </w:p>
        </w:tc>
        <w:tc>
          <w:tcPr>
            <w:tcW w:w="2251" w:type="pct"/>
            <w:vAlign w:val="center"/>
          </w:tcPr>
          <w:p>
            <w:pPr>
              <w:spacing w:line="360" w:lineRule="auto"/>
              <w:jc w:val="center"/>
              <w:rPr>
                <w:b/>
                <w:bCs/>
                <w:sz w:val="21"/>
                <w:szCs w:val="21"/>
              </w:rPr>
            </w:pPr>
            <w:r>
              <w:rPr>
                <w:b/>
                <w:bCs/>
                <w:sz w:val="21"/>
                <w:szCs w:val="21"/>
              </w:rPr>
              <w:t>竞赛名称</w:t>
            </w:r>
          </w:p>
        </w:tc>
        <w:tc>
          <w:tcPr>
            <w:tcW w:w="750" w:type="pct"/>
            <w:vAlign w:val="center"/>
          </w:tcPr>
          <w:p>
            <w:pPr>
              <w:spacing w:line="360" w:lineRule="auto"/>
              <w:jc w:val="center"/>
              <w:rPr>
                <w:b/>
                <w:bCs/>
                <w:sz w:val="21"/>
                <w:szCs w:val="21"/>
              </w:rPr>
            </w:pPr>
            <w:r>
              <w:rPr>
                <w:b/>
                <w:bCs/>
                <w:sz w:val="21"/>
                <w:szCs w:val="21"/>
              </w:rPr>
              <w:t>获奖级别</w:t>
            </w:r>
          </w:p>
        </w:tc>
        <w:tc>
          <w:tcPr>
            <w:tcW w:w="1084" w:type="pct"/>
            <w:vAlign w:val="center"/>
          </w:tcPr>
          <w:p>
            <w:pPr>
              <w:spacing w:line="360" w:lineRule="auto"/>
              <w:jc w:val="center"/>
              <w:rPr>
                <w:b/>
                <w:bCs/>
                <w:sz w:val="21"/>
                <w:szCs w:val="21"/>
              </w:rPr>
            </w:pPr>
            <w:r>
              <w:rPr>
                <w:b/>
                <w:bCs/>
                <w:sz w:val="21"/>
                <w:szCs w:val="21"/>
              </w:rPr>
              <w:t>授予部门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31" w:type="pct"/>
            <w:vAlign w:val="center"/>
          </w:tcPr>
          <w:p>
            <w:pPr>
              <w:spacing w:line="240" w:lineRule="auto"/>
              <w:jc w:val="center"/>
              <w:rPr>
                <w:sz w:val="21"/>
                <w:szCs w:val="21"/>
              </w:rPr>
            </w:pPr>
            <w:r>
              <w:rPr>
                <w:sz w:val="21"/>
                <w:szCs w:val="21"/>
              </w:rPr>
              <w:t>1</w:t>
            </w:r>
          </w:p>
        </w:tc>
        <w:tc>
          <w:tcPr>
            <w:tcW w:w="584" w:type="pct"/>
            <w:vAlign w:val="center"/>
          </w:tcPr>
          <w:p>
            <w:pPr>
              <w:spacing w:line="240" w:lineRule="auto"/>
              <w:jc w:val="center"/>
              <w:rPr>
                <w:sz w:val="21"/>
                <w:szCs w:val="21"/>
              </w:rPr>
            </w:pPr>
            <w:r>
              <w:rPr>
                <w:sz w:val="21"/>
                <w:szCs w:val="21"/>
              </w:rPr>
              <w:t>朱孟慧</w:t>
            </w:r>
          </w:p>
        </w:tc>
        <w:tc>
          <w:tcPr>
            <w:tcW w:w="2251" w:type="pct"/>
            <w:vAlign w:val="center"/>
          </w:tcPr>
          <w:p>
            <w:pPr>
              <w:spacing w:line="240" w:lineRule="auto"/>
              <w:jc w:val="center"/>
              <w:rPr>
                <w:sz w:val="21"/>
                <w:szCs w:val="21"/>
              </w:rPr>
            </w:pPr>
            <w:r>
              <w:rPr>
                <w:sz w:val="21"/>
                <w:szCs w:val="21"/>
              </w:rPr>
              <w:t xml:space="preserve"> </w:t>
            </w:r>
            <w:r>
              <w:rPr>
                <w:rFonts w:hint="eastAsia"/>
                <w:sz w:val="21"/>
                <w:szCs w:val="21"/>
              </w:rPr>
              <w:t>“</w:t>
            </w:r>
            <w:r>
              <w:rPr>
                <w:sz w:val="21"/>
                <w:szCs w:val="21"/>
              </w:rPr>
              <w:t>白马杯</w:t>
            </w:r>
            <w:r>
              <w:rPr>
                <w:rFonts w:hint="eastAsia"/>
                <w:sz w:val="21"/>
                <w:szCs w:val="21"/>
              </w:rPr>
              <w:t>”</w:t>
            </w:r>
            <w:r>
              <w:rPr>
                <w:sz w:val="21"/>
                <w:szCs w:val="21"/>
              </w:rPr>
              <w:t>全国大学生畜产品创新创业大赛</w:t>
            </w:r>
          </w:p>
        </w:tc>
        <w:tc>
          <w:tcPr>
            <w:tcW w:w="750" w:type="pct"/>
            <w:vAlign w:val="center"/>
          </w:tcPr>
          <w:p>
            <w:pPr>
              <w:spacing w:line="240" w:lineRule="auto"/>
              <w:jc w:val="center"/>
              <w:rPr>
                <w:sz w:val="21"/>
                <w:szCs w:val="21"/>
              </w:rPr>
            </w:pPr>
            <w:r>
              <w:rPr>
                <w:sz w:val="21"/>
                <w:szCs w:val="21"/>
              </w:rPr>
              <w:t>铜奖</w:t>
            </w:r>
          </w:p>
        </w:tc>
        <w:tc>
          <w:tcPr>
            <w:tcW w:w="1084" w:type="pct"/>
            <w:vAlign w:val="center"/>
          </w:tcPr>
          <w:p>
            <w:pPr>
              <w:spacing w:line="240" w:lineRule="auto"/>
              <w:jc w:val="center"/>
              <w:rPr>
                <w:sz w:val="21"/>
                <w:szCs w:val="21"/>
              </w:rPr>
            </w:pPr>
            <w:r>
              <w:rPr>
                <w:sz w:val="21"/>
                <w:szCs w:val="21"/>
              </w:rPr>
              <w:t>中国畜产品加工研究会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31" w:type="pct"/>
            <w:vAlign w:val="center"/>
          </w:tcPr>
          <w:p>
            <w:pPr>
              <w:spacing w:line="240" w:lineRule="auto"/>
              <w:jc w:val="center"/>
              <w:rPr>
                <w:sz w:val="21"/>
                <w:szCs w:val="21"/>
              </w:rPr>
            </w:pPr>
            <w:r>
              <w:rPr>
                <w:sz w:val="21"/>
                <w:szCs w:val="21"/>
              </w:rPr>
              <w:t>2</w:t>
            </w:r>
          </w:p>
        </w:tc>
        <w:tc>
          <w:tcPr>
            <w:tcW w:w="584"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jc w:val="center"/>
              <w:rPr>
                <w:sz w:val="21"/>
                <w:szCs w:val="21"/>
              </w:rPr>
            </w:pPr>
            <w:r>
              <w:rPr>
                <w:sz w:val="21"/>
                <w:szCs w:val="21"/>
              </w:rPr>
              <w:t>乔涵</w:t>
            </w:r>
          </w:p>
        </w:tc>
        <w:tc>
          <w:tcPr>
            <w:tcW w:w="2251" w:type="pct"/>
            <w:tcBorders>
              <w:top w:val="single" w:color="auto" w:sz="4" w:space="0"/>
              <w:left w:val="nil"/>
              <w:bottom w:val="single" w:color="auto" w:sz="4" w:space="0"/>
              <w:right w:val="single" w:color="auto" w:sz="4" w:space="0"/>
            </w:tcBorders>
            <w:shd w:val="clear" w:color="auto" w:fill="auto"/>
            <w:vAlign w:val="center"/>
          </w:tcPr>
          <w:p>
            <w:pPr>
              <w:spacing w:line="240" w:lineRule="auto"/>
              <w:jc w:val="center"/>
              <w:rPr>
                <w:sz w:val="21"/>
                <w:szCs w:val="21"/>
              </w:rPr>
            </w:pPr>
            <w:r>
              <w:rPr>
                <w:sz w:val="21"/>
                <w:szCs w:val="21"/>
              </w:rPr>
              <w:t>山东省大学生科技节——食品加工与安全创新设计大赛</w:t>
            </w:r>
          </w:p>
        </w:tc>
        <w:tc>
          <w:tcPr>
            <w:tcW w:w="750" w:type="pct"/>
            <w:vAlign w:val="center"/>
          </w:tcPr>
          <w:p>
            <w:pPr>
              <w:spacing w:line="240" w:lineRule="auto"/>
              <w:jc w:val="center"/>
              <w:rPr>
                <w:sz w:val="21"/>
                <w:szCs w:val="21"/>
              </w:rPr>
            </w:pPr>
            <w:r>
              <w:rPr>
                <w:sz w:val="21"/>
                <w:szCs w:val="21"/>
              </w:rPr>
              <w:t>二等奖</w:t>
            </w:r>
          </w:p>
        </w:tc>
        <w:tc>
          <w:tcPr>
            <w:tcW w:w="1084" w:type="pct"/>
            <w:vAlign w:val="center"/>
          </w:tcPr>
          <w:p>
            <w:pPr>
              <w:spacing w:line="240" w:lineRule="auto"/>
              <w:jc w:val="center"/>
              <w:rPr>
                <w:sz w:val="21"/>
                <w:szCs w:val="21"/>
              </w:rPr>
            </w:pPr>
            <w:r>
              <w:rPr>
                <w:sz w:val="21"/>
                <w:szCs w:val="21"/>
              </w:rPr>
              <w:t>山东省食品科学技术学会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31" w:type="pct"/>
            <w:vAlign w:val="center"/>
          </w:tcPr>
          <w:p>
            <w:pPr>
              <w:spacing w:line="240" w:lineRule="auto"/>
              <w:jc w:val="center"/>
              <w:rPr>
                <w:sz w:val="21"/>
                <w:szCs w:val="21"/>
              </w:rPr>
            </w:pPr>
            <w:r>
              <w:rPr>
                <w:sz w:val="21"/>
                <w:szCs w:val="21"/>
              </w:rPr>
              <w:t>3</w:t>
            </w:r>
          </w:p>
        </w:tc>
        <w:tc>
          <w:tcPr>
            <w:tcW w:w="584"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jc w:val="center"/>
              <w:rPr>
                <w:sz w:val="21"/>
                <w:szCs w:val="21"/>
              </w:rPr>
            </w:pPr>
            <w:r>
              <w:rPr>
                <w:sz w:val="21"/>
                <w:szCs w:val="21"/>
              </w:rPr>
              <w:t>杨炳龙</w:t>
            </w:r>
          </w:p>
        </w:tc>
        <w:tc>
          <w:tcPr>
            <w:tcW w:w="2251" w:type="pct"/>
            <w:tcBorders>
              <w:top w:val="single" w:color="auto" w:sz="4" w:space="0"/>
              <w:left w:val="nil"/>
              <w:bottom w:val="single" w:color="auto" w:sz="4" w:space="0"/>
              <w:right w:val="single" w:color="auto" w:sz="4" w:space="0"/>
            </w:tcBorders>
            <w:shd w:val="clear" w:color="auto" w:fill="auto"/>
            <w:vAlign w:val="center"/>
          </w:tcPr>
          <w:p>
            <w:pPr>
              <w:spacing w:line="240" w:lineRule="auto"/>
              <w:jc w:val="center"/>
              <w:rPr>
                <w:sz w:val="21"/>
                <w:szCs w:val="21"/>
              </w:rPr>
            </w:pPr>
            <w:r>
              <w:rPr>
                <w:sz w:val="21"/>
                <w:szCs w:val="21"/>
              </w:rPr>
              <w:t>山东省大学生科技节——食品加工与安全创新设计大赛</w:t>
            </w:r>
          </w:p>
        </w:tc>
        <w:tc>
          <w:tcPr>
            <w:tcW w:w="750" w:type="pct"/>
            <w:vAlign w:val="center"/>
          </w:tcPr>
          <w:p>
            <w:pPr>
              <w:spacing w:line="240" w:lineRule="auto"/>
              <w:jc w:val="center"/>
              <w:rPr>
                <w:sz w:val="21"/>
                <w:szCs w:val="21"/>
              </w:rPr>
            </w:pPr>
            <w:r>
              <w:rPr>
                <w:sz w:val="21"/>
                <w:szCs w:val="21"/>
              </w:rPr>
              <w:t>三等奖</w:t>
            </w:r>
          </w:p>
        </w:tc>
        <w:tc>
          <w:tcPr>
            <w:tcW w:w="1084" w:type="pct"/>
            <w:vAlign w:val="center"/>
          </w:tcPr>
          <w:p>
            <w:pPr>
              <w:spacing w:line="240" w:lineRule="auto"/>
              <w:jc w:val="center"/>
              <w:rPr>
                <w:sz w:val="21"/>
                <w:szCs w:val="21"/>
              </w:rPr>
            </w:pPr>
            <w:r>
              <w:rPr>
                <w:sz w:val="21"/>
                <w:szCs w:val="21"/>
              </w:rPr>
              <w:t>山东省食品科学技术学会</w:t>
            </w:r>
          </w:p>
        </w:tc>
      </w:tr>
    </w:tbl>
    <w:p>
      <w:pPr>
        <w:pStyle w:val="5"/>
        <w:spacing w:before="93" w:after="93"/>
        <w:ind w:firstLine="560"/>
      </w:pPr>
      <w:r>
        <w:t>三、培养条件（教学经费投入、教学设备、教师队伍建设、实习基地、</w:t>
      </w:r>
      <w:bookmarkStart w:id="471" w:name="_Hlk57636750"/>
      <w:r>
        <w:t>现代教学技术应用</w:t>
      </w:r>
      <w:bookmarkEnd w:id="471"/>
      <w:r>
        <w:t>等）</w:t>
      </w:r>
    </w:p>
    <w:p>
      <w:pPr>
        <w:adjustRightInd w:val="0"/>
        <w:snapToGrid w:val="0"/>
        <w:ind w:firstLine="480" w:firstLineChars="200"/>
      </w:pPr>
      <w:r>
        <w:t>本专业依托山东农业大学食品科学与工程学院，学院拥有食品科学与工程一级学科博士点、硕士点及食品科学与工程博士后流动站。多年来，上级主管部门、学校和学院持续加强本专业的经费投入和软硬件条件建设，该专业2017年入选山东省高水平应用型立项建设专业群建设专业，2020年获批山东省一流本科专业建设点。2022年本专业投入使用的教学日常运行、教学改革、课程建设、教材建设、专业建设、校内外实践实习、教学研讨、教学差旅、图书资料购置、学生活动等教学费用为53.6614万元。</w:t>
      </w:r>
    </w:p>
    <w:p>
      <w:pPr>
        <w:adjustRightInd w:val="0"/>
        <w:snapToGrid w:val="0"/>
        <w:ind w:firstLine="480" w:firstLineChars="200"/>
      </w:pPr>
      <w:bookmarkStart w:id="472" w:name="_Hlk83201568"/>
      <w:r>
        <w:t>学院高度重视专业师资队伍建设，</w:t>
      </w:r>
      <w:bookmarkEnd w:id="472"/>
      <w:r>
        <w:t>目前食品质量与安全专业现有专业授课教师21人，公共课兼职授课教师5人，专职教师中教授7人，副教授9人，讲师5人，20人具有博士学位，占比达到95.24%。2022年从江南大学、华南农业大学等高校引进优秀博士师资2人。教师队伍中拥有山东省现代农业产业技术体系创新团队岗位专家3人。实施青年教师教学能力提升计划，建立青年教师学校与企业双导师制和课堂准入制，采用听课、试讲、一年期企业实践等多种方式提升教师理论与实践贯通能力，双师型教师比例达到81.58%。形成了一支师德师风良好、教学能力突出、职称、年龄和学缘结构合理的高水平师资队伍。</w:t>
      </w:r>
    </w:p>
    <w:p>
      <w:pPr>
        <w:adjustRightInd w:val="0"/>
        <w:snapToGrid w:val="0"/>
        <w:ind w:firstLine="480" w:firstLineChars="200"/>
      </w:pPr>
      <w:r>
        <w:t>食品科学与工程学院拥有中澳牛肉国际合作研究中心、山东农产品加工流通星创天地等3个国家级科研创新平台，国家牛肉加工技术研发专业中心、山东省农产品精深加工技术与质量控制协同创新中心、山东省粮食加工技术工程技术研究中心、山东省高校食品加工技术与质量控制重点实验室等4个省部级科研平台，以及粮油加工工艺室、畜产加工工艺室、园产加工工艺室、酿酒工艺室、贮藏工艺室、分析检测实验室、微生物实验室、精密仪器室、物性分析室、分子生物学实验室、综合分析仪器室和感官鉴评实验室等学院实验教学中心。2021年度，学院进一步对实验教学中心的通风设施进行了改造，对教学科研仪器设备进行更新和扩充。现有仪器设备1312台（件），总值4509.25万元，其中40万元以上的高值仪器21件（套），包括液质联用仪、流式细胞仪、激光共聚焦快速成像拉曼光谱仪、凝胶成像系统、实时荧光定量PCR、离子色谱仪、液相色谱仪、气相色谱仪、喷雾干燥机等先进仪器设备。教学相关设施设备完善，很好地满足了课程教学、实验实习和学生创新创业实践的需要。</w:t>
      </w:r>
    </w:p>
    <w:p>
      <w:pPr>
        <w:adjustRightInd w:val="0"/>
        <w:snapToGrid w:val="0"/>
        <w:ind w:firstLine="480" w:firstLineChars="200"/>
      </w:pPr>
      <w:r>
        <w:t>围绕人才培养目标，本专业强化学生创新能力培养，深入推进课程改革，鼓励引教师进行教学方式的信息化和智慧化提升。《中国饮食文化》入选山东省一流本科课程，作为我校第一个推向全国的在线共享通识慕课，截止到2022年10月份，选课高校325，人数24.03万人次，互动250.50万次，在国内产生了较大的影响力。《食品营养与健康》在线课程，校内线上选修514人。教师积极提升教学能力及课程思政建设能力，2022年立项校级课程思政教改项目3项，获山东省第九届教学成果奖2项。21人次参与国家高等教育教学成果奖培育与申报交流会、国家高等教育智慧教育平台暑期研修培训课程等提升教学能力。</w:t>
      </w:r>
    </w:p>
    <w:p>
      <w:pPr>
        <w:adjustRightInd w:val="0"/>
        <w:snapToGrid w:val="0"/>
        <w:ind w:firstLine="480" w:firstLineChars="200"/>
      </w:pPr>
      <w:r>
        <w:t>本专业突出实践育人环节、强化创新创业教育。通过与地方政府、检测机构农业科技园区、食品企业等共建校外教学实践基地，不断创新和完善产、学、研一体化协同育人机制。截止目前，建立了29家校外实践教学育人基地。</w:t>
      </w:r>
    </w:p>
    <w:p>
      <w:pPr>
        <w:spacing w:line="360" w:lineRule="auto"/>
        <w:jc w:val="center"/>
        <w:rPr>
          <w:b/>
          <w:bCs/>
          <w:sz w:val="21"/>
          <w:szCs w:val="21"/>
        </w:rPr>
      </w:pPr>
      <w:r>
        <w:rPr>
          <w:b/>
          <w:bCs/>
          <w:sz w:val="21"/>
          <w:szCs w:val="21"/>
        </w:rPr>
        <w:t>校外教学科研实践育人基地一览表</w:t>
      </w:r>
    </w:p>
    <w:tbl>
      <w:tblPr>
        <w:tblStyle w:val="18"/>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5103"/>
        <w:gridCol w:w="1134"/>
        <w:gridCol w:w="13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04" w:type="dxa"/>
            <w:vAlign w:val="center"/>
          </w:tcPr>
          <w:p>
            <w:pPr>
              <w:spacing w:line="360" w:lineRule="auto"/>
              <w:jc w:val="center"/>
              <w:rPr>
                <w:b/>
                <w:bCs/>
                <w:sz w:val="21"/>
                <w:szCs w:val="21"/>
              </w:rPr>
            </w:pPr>
            <w:r>
              <w:rPr>
                <w:b/>
                <w:bCs/>
                <w:sz w:val="21"/>
                <w:szCs w:val="21"/>
              </w:rPr>
              <w:t>序号</w:t>
            </w:r>
          </w:p>
        </w:tc>
        <w:tc>
          <w:tcPr>
            <w:tcW w:w="5103" w:type="dxa"/>
            <w:vAlign w:val="center"/>
          </w:tcPr>
          <w:p>
            <w:pPr>
              <w:spacing w:line="360" w:lineRule="auto"/>
              <w:jc w:val="center"/>
              <w:rPr>
                <w:b/>
                <w:bCs/>
                <w:sz w:val="21"/>
                <w:szCs w:val="21"/>
              </w:rPr>
            </w:pPr>
            <w:r>
              <w:rPr>
                <w:b/>
                <w:bCs/>
                <w:sz w:val="21"/>
                <w:szCs w:val="21"/>
              </w:rPr>
              <w:t>基地名称</w:t>
            </w:r>
          </w:p>
        </w:tc>
        <w:tc>
          <w:tcPr>
            <w:tcW w:w="1134" w:type="dxa"/>
            <w:vAlign w:val="center"/>
          </w:tcPr>
          <w:p>
            <w:pPr>
              <w:spacing w:line="360" w:lineRule="auto"/>
              <w:jc w:val="center"/>
              <w:rPr>
                <w:b/>
                <w:bCs/>
                <w:sz w:val="21"/>
                <w:szCs w:val="21"/>
              </w:rPr>
            </w:pPr>
            <w:r>
              <w:rPr>
                <w:b/>
                <w:bCs/>
                <w:sz w:val="21"/>
                <w:szCs w:val="21"/>
              </w:rPr>
              <w:t>级别</w:t>
            </w:r>
          </w:p>
        </w:tc>
        <w:tc>
          <w:tcPr>
            <w:tcW w:w="1355" w:type="dxa"/>
            <w:vAlign w:val="center"/>
          </w:tcPr>
          <w:p>
            <w:pPr>
              <w:spacing w:line="360" w:lineRule="auto"/>
              <w:jc w:val="center"/>
              <w:rPr>
                <w:b/>
                <w:bCs/>
                <w:sz w:val="21"/>
                <w:szCs w:val="21"/>
              </w:rPr>
            </w:pPr>
            <w:r>
              <w:rPr>
                <w:b/>
                <w:bCs/>
                <w:sz w:val="21"/>
                <w:szCs w:val="21"/>
              </w:rPr>
              <w:t>建立时间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1</w:t>
            </w:r>
          </w:p>
        </w:tc>
        <w:tc>
          <w:tcPr>
            <w:tcW w:w="5103" w:type="dxa"/>
            <w:vAlign w:val="center"/>
          </w:tcPr>
          <w:p>
            <w:pPr>
              <w:spacing w:line="360" w:lineRule="auto"/>
              <w:jc w:val="center"/>
              <w:rPr>
                <w:sz w:val="21"/>
                <w:szCs w:val="21"/>
              </w:rPr>
            </w:pPr>
            <w:r>
              <w:rPr>
                <w:sz w:val="21"/>
                <w:szCs w:val="21"/>
              </w:rPr>
              <w:t>山东泰乐源农业科技有限公司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2</w:t>
            </w:r>
          </w:p>
        </w:tc>
        <w:tc>
          <w:tcPr>
            <w:tcW w:w="5103" w:type="dxa"/>
            <w:vAlign w:val="center"/>
          </w:tcPr>
          <w:p>
            <w:pPr>
              <w:spacing w:line="360" w:lineRule="auto"/>
              <w:jc w:val="center"/>
              <w:rPr>
                <w:sz w:val="21"/>
                <w:szCs w:val="21"/>
              </w:rPr>
            </w:pPr>
            <w:r>
              <w:rPr>
                <w:sz w:val="21"/>
                <w:szCs w:val="21"/>
              </w:rPr>
              <w:t>临沂金锣文瑞食品有限公司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3</w:t>
            </w:r>
          </w:p>
        </w:tc>
        <w:tc>
          <w:tcPr>
            <w:tcW w:w="5103" w:type="dxa"/>
            <w:vAlign w:val="center"/>
          </w:tcPr>
          <w:p>
            <w:pPr>
              <w:spacing w:line="360" w:lineRule="auto"/>
              <w:jc w:val="center"/>
              <w:rPr>
                <w:sz w:val="21"/>
                <w:szCs w:val="21"/>
              </w:rPr>
            </w:pPr>
            <w:r>
              <w:rPr>
                <w:sz w:val="21"/>
                <w:szCs w:val="21"/>
              </w:rPr>
              <w:t>山东安谱检测科技有限公司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4</w:t>
            </w:r>
          </w:p>
        </w:tc>
        <w:tc>
          <w:tcPr>
            <w:tcW w:w="5103" w:type="dxa"/>
            <w:vAlign w:val="center"/>
          </w:tcPr>
          <w:p>
            <w:pPr>
              <w:spacing w:line="360" w:lineRule="auto"/>
              <w:jc w:val="center"/>
              <w:rPr>
                <w:sz w:val="21"/>
                <w:szCs w:val="21"/>
              </w:rPr>
            </w:pPr>
            <w:r>
              <w:rPr>
                <w:sz w:val="21"/>
                <w:szCs w:val="21"/>
              </w:rPr>
              <w:t>山东杰诺检测服务有限公司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5</w:t>
            </w:r>
          </w:p>
        </w:tc>
        <w:tc>
          <w:tcPr>
            <w:tcW w:w="5103" w:type="dxa"/>
            <w:vAlign w:val="center"/>
          </w:tcPr>
          <w:p>
            <w:pPr>
              <w:spacing w:line="360" w:lineRule="auto"/>
              <w:jc w:val="center"/>
              <w:rPr>
                <w:sz w:val="21"/>
                <w:szCs w:val="21"/>
              </w:rPr>
            </w:pPr>
            <w:r>
              <w:rPr>
                <w:sz w:val="21"/>
                <w:szCs w:val="21"/>
              </w:rPr>
              <w:t>中诚海诺有限公司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6</w:t>
            </w:r>
          </w:p>
        </w:tc>
        <w:tc>
          <w:tcPr>
            <w:tcW w:w="5103" w:type="dxa"/>
            <w:vAlign w:val="center"/>
          </w:tcPr>
          <w:p>
            <w:pPr>
              <w:spacing w:line="360" w:lineRule="auto"/>
              <w:jc w:val="center"/>
              <w:rPr>
                <w:sz w:val="21"/>
                <w:szCs w:val="21"/>
              </w:rPr>
            </w:pPr>
            <w:r>
              <w:rPr>
                <w:sz w:val="21"/>
                <w:szCs w:val="21"/>
              </w:rPr>
              <w:t>新泰市检验检测中心</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7</w:t>
            </w:r>
          </w:p>
        </w:tc>
        <w:tc>
          <w:tcPr>
            <w:tcW w:w="5103" w:type="dxa"/>
            <w:vAlign w:val="center"/>
          </w:tcPr>
          <w:p>
            <w:pPr>
              <w:spacing w:line="360" w:lineRule="auto"/>
              <w:jc w:val="center"/>
              <w:rPr>
                <w:sz w:val="21"/>
                <w:szCs w:val="21"/>
              </w:rPr>
            </w:pPr>
            <w:r>
              <w:rPr>
                <w:sz w:val="21"/>
                <w:szCs w:val="21"/>
              </w:rPr>
              <w:t>山东恒宝食品集团有限公司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8</w:t>
            </w:r>
          </w:p>
        </w:tc>
        <w:tc>
          <w:tcPr>
            <w:tcW w:w="5103" w:type="dxa"/>
            <w:vAlign w:val="center"/>
          </w:tcPr>
          <w:p>
            <w:pPr>
              <w:spacing w:line="360" w:lineRule="auto"/>
              <w:jc w:val="center"/>
              <w:rPr>
                <w:sz w:val="21"/>
                <w:szCs w:val="21"/>
              </w:rPr>
            </w:pPr>
            <w:r>
              <w:rPr>
                <w:sz w:val="21"/>
                <w:szCs w:val="21"/>
              </w:rPr>
              <w:t>山东泰山立福食品科技有限公司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9</w:t>
            </w:r>
          </w:p>
        </w:tc>
        <w:tc>
          <w:tcPr>
            <w:tcW w:w="5103" w:type="dxa"/>
            <w:vAlign w:val="center"/>
          </w:tcPr>
          <w:p>
            <w:pPr>
              <w:spacing w:line="360" w:lineRule="auto"/>
              <w:jc w:val="center"/>
              <w:rPr>
                <w:sz w:val="21"/>
                <w:szCs w:val="21"/>
              </w:rPr>
            </w:pPr>
            <w:r>
              <w:rPr>
                <w:sz w:val="21"/>
                <w:szCs w:val="21"/>
              </w:rPr>
              <w:t>山东金彩山酒业有限公司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10</w:t>
            </w:r>
          </w:p>
        </w:tc>
        <w:tc>
          <w:tcPr>
            <w:tcW w:w="5103" w:type="dxa"/>
            <w:vAlign w:val="center"/>
          </w:tcPr>
          <w:p>
            <w:pPr>
              <w:spacing w:line="360" w:lineRule="auto"/>
              <w:jc w:val="center"/>
              <w:rPr>
                <w:sz w:val="21"/>
                <w:szCs w:val="21"/>
              </w:rPr>
            </w:pPr>
            <w:r>
              <w:rPr>
                <w:sz w:val="21"/>
                <w:szCs w:val="21"/>
              </w:rPr>
              <w:t>青岛东海药业有限公司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11</w:t>
            </w:r>
          </w:p>
        </w:tc>
        <w:tc>
          <w:tcPr>
            <w:tcW w:w="5103" w:type="dxa"/>
            <w:vAlign w:val="center"/>
          </w:tcPr>
          <w:p>
            <w:pPr>
              <w:spacing w:line="360" w:lineRule="auto"/>
              <w:jc w:val="center"/>
              <w:rPr>
                <w:sz w:val="21"/>
                <w:szCs w:val="21"/>
              </w:rPr>
            </w:pPr>
            <w:r>
              <w:rPr>
                <w:sz w:val="21"/>
                <w:szCs w:val="21"/>
              </w:rPr>
              <w:t>泰安凌云餐饮管理有限公司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12</w:t>
            </w:r>
          </w:p>
        </w:tc>
        <w:tc>
          <w:tcPr>
            <w:tcW w:w="5103" w:type="dxa"/>
            <w:vAlign w:val="center"/>
          </w:tcPr>
          <w:p>
            <w:pPr>
              <w:spacing w:line="360" w:lineRule="auto"/>
              <w:jc w:val="center"/>
              <w:rPr>
                <w:sz w:val="21"/>
                <w:szCs w:val="21"/>
              </w:rPr>
            </w:pPr>
            <w:r>
              <w:rPr>
                <w:sz w:val="21"/>
                <w:szCs w:val="21"/>
              </w:rPr>
              <w:t>泰安悦美客食品有限公司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13</w:t>
            </w:r>
          </w:p>
        </w:tc>
        <w:tc>
          <w:tcPr>
            <w:tcW w:w="5103" w:type="dxa"/>
            <w:vAlign w:val="center"/>
          </w:tcPr>
          <w:p>
            <w:pPr>
              <w:spacing w:line="360" w:lineRule="auto"/>
              <w:jc w:val="center"/>
              <w:rPr>
                <w:sz w:val="21"/>
                <w:szCs w:val="21"/>
              </w:rPr>
            </w:pPr>
            <w:r>
              <w:rPr>
                <w:sz w:val="21"/>
                <w:szCs w:val="21"/>
              </w:rPr>
              <w:t>山东郓城华宝食品有限公司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14</w:t>
            </w:r>
          </w:p>
        </w:tc>
        <w:tc>
          <w:tcPr>
            <w:tcW w:w="5103" w:type="dxa"/>
            <w:vAlign w:val="center"/>
          </w:tcPr>
          <w:p>
            <w:pPr>
              <w:spacing w:line="360" w:lineRule="auto"/>
              <w:jc w:val="center"/>
              <w:rPr>
                <w:sz w:val="21"/>
                <w:szCs w:val="21"/>
              </w:rPr>
            </w:pPr>
            <w:r>
              <w:rPr>
                <w:sz w:val="21"/>
                <w:szCs w:val="21"/>
              </w:rPr>
              <w:t>山东百枣纲目生物科技有限公司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15</w:t>
            </w:r>
          </w:p>
        </w:tc>
        <w:tc>
          <w:tcPr>
            <w:tcW w:w="5103" w:type="dxa"/>
            <w:vAlign w:val="center"/>
          </w:tcPr>
          <w:p>
            <w:pPr>
              <w:spacing w:line="360" w:lineRule="auto"/>
              <w:jc w:val="center"/>
              <w:rPr>
                <w:sz w:val="21"/>
                <w:szCs w:val="21"/>
              </w:rPr>
            </w:pPr>
            <w:r>
              <w:rPr>
                <w:sz w:val="21"/>
                <w:szCs w:val="21"/>
              </w:rPr>
              <w:t>山东金胜粮油集团有限公司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16</w:t>
            </w:r>
          </w:p>
        </w:tc>
        <w:tc>
          <w:tcPr>
            <w:tcW w:w="5103" w:type="dxa"/>
            <w:vAlign w:val="center"/>
          </w:tcPr>
          <w:p>
            <w:pPr>
              <w:spacing w:line="360" w:lineRule="auto"/>
              <w:jc w:val="center"/>
              <w:rPr>
                <w:sz w:val="21"/>
                <w:szCs w:val="21"/>
              </w:rPr>
            </w:pPr>
            <w:r>
              <w:rPr>
                <w:sz w:val="21"/>
                <w:szCs w:val="21"/>
              </w:rPr>
              <w:t>中粮长城（烟台）葡萄酒有限公司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17</w:t>
            </w:r>
          </w:p>
        </w:tc>
        <w:tc>
          <w:tcPr>
            <w:tcW w:w="5103" w:type="dxa"/>
            <w:vAlign w:val="center"/>
          </w:tcPr>
          <w:p>
            <w:pPr>
              <w:spacing w:line="360" w:lineRule="auto"/>
              <w:jc w:val="center"/>
              <w:rPr>
                <w:sz w:val="21"/>
                <w:szCs w:val="21"/>
              </w:rPr>
            </w:pPr>
            <w:r>
              <w:rPr>
                <w:sz w:val="21"/>
                <w:szCs w:val="21"/>
              </w:rPr>
              <w:t>君顶酒庄有限公司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18</w:t>
            </w:r>
          </w:p>
        </w:tc>
        <w:tc>
          <w:tcPr>
            <w:tcW w:w="5103" w:type="dxa"/>
            <w:vAlign w:val="center"/>
          </w:tcPr>
          <w:p>
            <w:pPr>
              <w:spacing w:line="360" w:lineRule="auto"/>
              <w:jc w:val="center"/>
              <w:rPr>
                <w:sz w:val="21"/>
                <w:szCs w:val="21"/>
              </w:rPr>
            </w:pPr>
            <w:r>
              <w:rPr>
                <w:sz w:val="21"/>
                <w:szCs w:val="21"/>
              </w:rPr>
              <w:t>洁翼流体技术（上海）有限公司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19</w:t>
            </w:r>
          </w:p>
        </w:tc>
        <w:tc>
          <w:tcPr>
            <w:tcW w:w="5103" w:type="dxa"/>
            <w:vAlign w:val="center"/>
          </w:tcPr>
          <w:p>
            <w:pPr>
              <w:spacing w:line="360" w:lineRule="auto"/>
              <w:jc w:val="center"/>
              <w:rPr>
                <w:sz w:val="21"/>
                <w:szCs w:val="21"/>
              </w:rPr>
            </w:pPr>
            <w:r>
              <w:rPr>
                <w:sz w:val="21"/>
                <w:szCs w:val="21"/>
              </w:rPr>
              <w:t>山东驰中集团有限公司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20</w:t>
            </w:r>
          </w:p>
        </w:tc>
        <w:tc>
          <w:tcPr>
            <w:tcW w:w="5103" w:type="dxa"/>
            <w:vAlign w:val="center"/>
          </w:tcPr>
          <w:p>
            <w:pPr>
              <w:spacing w:line="360" w:lineRule="auto"/>
              <w:jc w:val="center"/>
              <w:rPr>
                <w:sz w:val="21"/>
                <w:szCs w:val="21"/>
              </w:rPr>
            </w:pPr>
            <w:r>
              <w:rPr>
                <w:sz w:val="21"/>
                <w:szCs w:val="21"/>
              </w:rPr>
              <w:t>菏泽天鸿果蔬有限公司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21</w:t>
            </w:r>
          </w:p>
        </w:tc>
        <w:tc>
          <w:tcPr>
            <w:tcW w:w="5103" w:type="dxa"/>
            <w:vAlign w:val="center"/>
          </w:tcPr>
          <w:p>
            <w:pPr>
              <w:spacing w:line="360" w:lineRule="auto"/>
              <w:jc w:val="center"/>
              <w:rPr>
                <w:sz w:val="21"/>
                <w:szCs w:val="21"/>
              </w:rPr>
            </w:pPr>
            <w:r>
              <w:rPr>
                <w:sz w:val="21"/>
                <w:szCs w:val="21"/>
              </w:rPr>
              <w:t>济宁市食品工业园</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22</w:t>
            </w:r>
          </w:p>
        </w:tc>
        <w:tc>
          <w:tcPr>
            <w:tcW w:w="5103" w:type="dxa"/>
            <w:vAlign w:val="center"/>
          </w:tcPr>
          <w:p>
            <w:pPr>
              <w:spacing w:line="360" w:lineRule="auto"/>
              <w:jc w:val="center"/>
              <w:rPr>
                <w:sz w:val="21"/>
                <w:szCs w:val="21"/>
              </w:rPr>
            </w:pPr>
            <w:r>
              <w:rPr>
                <w:sz w:val="21"/>
                <w:szCs w:val="21"/>
              </w:rPr>
              <w:t>临沂市康发食品饮料有限公司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23</w:t>
            </w:r>
          </w:p>
        </w:tc>
        <w:tc>
          <w:tcPr>
            <w:tcW w:w="5103" w:type="dxa"/>
            <w:vAlign w:val="center"/>
          </w:tcPr>
          <w:p>
            <w:pPr>
              <w:spacing w:line="360" w:lineRule="auto"/>
              <w:jc w:val="center"/>
              <w:rPr>
                <w:sz w:val="21"/>
                <w:szCs w:val="21"/>
              </w:rPr>
            </w:pPr>
            <w:r>
              <w:rPr>
                <w:sz w:val="21"/>
                <w:szCs w:val="21"/>
              </w:rPr>
              <w:t>山东泰山啤酒有限公司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24</w:t>
            </w:r>
          </w:p>
        </w:tc>
        <w:tc>
          <w:tcPr>
            <w:tcW w:w="5103" w:type="dxa"/>
            <w:vAlign w:val="center"/>
          </w:tcPr>
          <w:p>
            <w:pPr>
              <w:spacing w:line="360" w:lineRule="auto"/>
              <w:jc w:val="center"/>
              <w:rPr>
                <w:sz w:val="21"/>
                <w:szCs w:val="21"/>
              </w:rPr>
            </w:pPr>
            <w:r>
              <w:rPr>
                <w:sz w:val="21"/>
                <w:szCs w:val="21"/>
              </w:rPr>
              <w:t>龙大食品集团有限公司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25</w:t>
            </w:r>
          </w:p>
        </w:tc>
        <w:tc>
          <w:tcPr>
            <w:tcW w:w="5103" w:type="dxa"/>
            <w:vAlign w:val="center"/>
          </w:tcPr>
          <w:p>
            <w:pPr>
              <w:spacing w:line="360" w:lineRule="auto"/>
              <w:jc w:val="center"/>
              <w:rPr>
                <w:sz w:val="21"/>
                <w:szCs w:val="21"/>
              </w:rPr>
            </w:pPr>
            <w:r>
              <w:rPr>
                <w:sz w:val="21"/>
                <w:szCs w:val="21"/>
              </w:rPr>
              <w:t>山东金保罗食品饮料有限</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26</w:t>
            </w:r>
          </w:p>
        </w:tc>
        <w:tc>
          <w:tcPr>
            <w:tcW w:w="5103" w:type="dxa"/>
            <w:vAlign w:val="center"/>
          </w:tcPr>
          <w:p>
            <w:pPr>
              <w:spacing w:line="360" w:lineRule="auto"/>
              <w:jc w:val="center"/>
              <w:rPr>
                <w:sz w:val="21"/>
                <w:szCs w:val="21"/>
              </w:rPr>
            </w:pPr>
            <w:r>
              <w:rPr>
                <w:sz w:val="21"/>
                <w:szCs w:val="21"/>
              </w:rPr>
              <w:t>山东新绿食品有限公司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27</w:t>
            </w:r>
          </w:p>
        </w:tc>
        <w:tc>
          <w:tcPr>
            <w:tcW w:w="5103" w:type="dxa"/>
            <w:vAlign w:val="center"/>
          </w:tcPr>
          <w:p>
            <w:pPr>
              <w:spacing w:line="360" w:lineRule="auto"/>
              <w:jc w:val="center"/>
              <w:rPr>
                <w:sz w:val="21"/>
                <w:szCs w:val="21"/>
              </w:rPr>
            </w:pPr>
            <w:r>
              <w:rPr>
                <w:sz w:val="21"/>
                <w:szCs w:val="21"/>
              </w:rPr>
              <w:t>得利斯集团有限公司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28</w:t>
            </w:r>
          </w:p>
        </w:tc>
        <w:tc>
          <w:tcPr>
            <w:tcW w:w="5103" w:type="dxa"/>
            <w:vAlign w:val="center"/>
          </w:tcPr>
          <w:p>
            <w:pPr>
              <w:spacing w:line="360" w:lineRule="auto"/>
              <w:jc w:val="center"/>
              <w:rPr>
                <w:sz w:val="21"/>
                <w:szCs w:val="21"/>
              </w:rPr>
            </w:pPr>
            <w:r>
              <w:rPr>
                <w:sz w:val="21"/>
                <w:szCs w:val="21"/>
              </w:rPr>
              <w:t>山东美佳集团有限公司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4" w:type="dxa"/>
            <w:vAlign w:val="center"/>
          </w:tcPr>
          <w:p>
            <w:pPr>
              <w:spacing w:line="360" w:lineRule="auto"/>
              <w:jc w:val="center"/>
              <w:rPr>
                <w:sz w:val="21"/>
                <w:szCs w:val="21"/>
              </w:rPr>
            </w:pPr>
            <w:r>
              <w:rPr>
                <w:sz w:val="21"/>
                <w:szCs w:val="21"/>
              </w:rPr>
              <w:t>29</w:t>
            </w:r>
          </w:p>
        </w:tc>
        <w:tc>
          <w:tcPr>
            <w:tcW w:w="5103" w:type="dxa"/>
            <w:vAlign w:val="center"/>
          </w:tcPr>
          <w:p>
            <w:pPr>
              <w:spacing w:line="360" w:lineRule="auto"/>
              <w:jc w:val="center"/>
              <w:rPr>
                <w:sz w:val="21"/>
                <w:szCs w:val="21"/>
              </w:rPr>
            </w:pPr>
            <w:r>
              <w:rPr>
                <w:sz w:val="21"/>
                <w:szCs w:val="21"/>
              </w:rPr>
              <w:t>临沂新程金锣肉制品有限公司</w:t>
            </w:r>
          </w:p>
        </w:tc>
        <w:tc>
          <w:tcPr>
            <w:tcW w:w="1134" w:type="dxa"/>
            <w:vAlign w:val="center"/>
          </w:tcPr>
          <w:p>
            <w:pPr>
              <w:spacing w:line="360" w:lineRule="auto"/>
              <w:jc w:val="center"/>
              <w:rPr>
                <w:sz w:val="21"/>
                <w:szCs w:val="21"/>
              </w:rPr>
            </w:pPr>
            <w:r>
              <w:rPr>
                <w:sz w:val="21"/>
                <w:szCs w:val="21"/>
              </w:rPr>
              <w:t>校级</w:t>
            </w:r>
          </w:p>
        </w:tc>
        <w:tc>
          <w:tcPr>
            <w:tcW w:w="1355" w:type="dxa"/>
            <w:vAlign w:val="center"/>
          </w:tcPr>
          <w:p>
            <w:pPr>
              <w:spacing w:line="360" w:lineRule="auto"/>
              <w:jc w:val="center"/>
              <w:rPr>
                <w:sz w:val="21"/>
                <w:szCs w:val="21"/>
              </w:rPr>
            </w:pPr>
            <w:r>
              <w:rPr>
                <w:sz w:val="21"/>
                <w:szCs w:val="21"/>
              </w:rPr>
              <w:t>2004</w:t>
            </w:r>
          </w:p>
        </w:tc>
      </w:tr>
    </w:tbl>
    <w:p>
      <w:pPr>
        <w:pStyle w:val="5"/>
        <w:spacing w:before="93" w:after="93"/>
        <w:ind w:firstLine="560"/>
      </w:pPr>
      <w:r>
        <w:t>四、培养机制与特色（产学研协同育人机制、合作办学、教学管理等）</w:t>
      </w:r>
    </w:p>
    <w:p>
      <w:pPr>
        <w:pStyle w:val="6"/>
        <w:ind w:firstLine="480"/>
      </w:pPr>
      <w:r>
        <w:rPr>
          <w:rFonts w:hint="eastAsia"/>
        </w:rPr>
        <w:t>1</w:t>
      </w:r>
      <w:r>
        <w:t>. 瞄准新工科培养要求，持续优化培养方案</w:t>
      </w:r>
    </w:p>
    <w:p>
      <w:pPr>
        <w:adjustRightInd w:val="0"/>
        <w:snapToGrid w:val="0"/>
        <w:ind w:firstLine="480" w:firstLineChars="200"/>
      </w:pPr>
      <w:r>
        <w:t>根据行业发展趋势和社会需求，坚持</w:t>
      </w:r>
      <w:r>
        <w:rPr>
          <w:rFonts w:hint="eastAsia"/>
        </w:rPr>
        <w:t>“</w:t>
      </w:r>
      <w:r>
        <w:t>学生中心</w:t>
      </w:r>
      <w:r>
        <w:rPr>
          <w:rFonts w:hint="eastAsia"/>
        </w:rPr>
        <w:t>”</w:t>
      </w:r>
      <w:r>
        <w:t>的教育理念，对标《普通高校本科专业类教学质量国家标准》和工程教育专业认证标准要求，形成</w:t>
      </w:r>
      <w:r>
        <w:rPr>
          <w:rFonts w:hint="eastAsia"/>
        </w:rPr>
        <w:t>“</w:t>
      </w:r>
      <w:r>
        <w:t>以思想教育为基础、以学习成果为导向，以创新能力培养为目标</w:t>
      </w:r>
      <w:r>
        <w:rPr>
          <w:rFonts w:hint="eastAsia"/>
        </w:rPr>
        <w:t>”</w:t>
      </w:r>
      <w:r>
        <w:t>的新工科人才培养模式。以提升学生解决复杂食品质量安全工程问题为核心，逐步形成了</w:t>
      </w:r>
      <w:r>
        <w:rPr>
          <w:rFonts w:hint="eastAsia"/>
        </w:rPr>
        <w:t>“</w:t>
      </w:r>
      <w:r>
        <w:t>多学科理论基础融合、多学科专业技术覆盖、系统性专业工程实践</w:t>
      </w:r>
      <w:r>
        <w:rPr>
          <w:rFonts w:hint="eastAsia"/>
        </w:rPr>
        <w:t>”</w:t>
      </w:r>
      <w:r>
        <w:t>的专业人才培养机制与特色，培养方案初步达到了农业科学、检验科学、营养卫生、工程管理等多学科基础融合，生物与农业工程技术、分析检测技术、食品工程技术、管理科学技术的覆盖，食品生产、制造、食品检验分析、食品安全质量监督管理的系统实践实训体系。</w:t>
      </w:r>
    </w:p>
    <w:p>
      <w:pPr>
        <w:pStyle w:val="6"/>
        <w:ind w:firstLine="480"/>
      </w:pPr>
      <w:r>
        <w:rPr>
          <w:rFonts w:hint="eastAsia"/>
        </w:rPr>
        <w:t>2</w:t>
      </w:r>
      <w:r>
        <w:t>. 深化教学改革，突出思政引领作用和能力导向</w:t>
      </w:r>
    </w:p>
    <w:p>
      <w:pPr>
        <w:adjustRightInd w:val="0"/>
        <w:snapToGrid w:val="0"/>
        <w:ind w:firstLine="480" w:firstLineChars="200"/>
      </w:pPr>
      <w:r>
        <w:t>按照新工科人才培养要求设置基础课、专业核心课程、专业方向课、专业拓展课和学科交叉课，突出课程思政在</w:t>
      </w:r>
      <w:r>
        <w:rPr>
          <w:rFonts w:hint="eastAsia"/>
        </w:rPr>
        <w:t>“</w:t>
      </w:r>
      <w:r>
        <w:t>三全育人</w:t>
      </w:r>
      <w:r>
        <w:rPr>
          <w:rFonts w:hint="eastAsia"/>
        </w:rPr>
        <w:t>”</w:t>
      </w:r>
      <w:r>
        <w:t>过程中的引领作用，将思政案例融入课程教学各环节；强化实践教学，聚焦学生实践能力和创新能力培养，提高课程实验和实践学分比例，创新开设综合性实验课程，形成了先后逻辑紧密，贯通</w:t>
      </w:r>
      <w:r>
        <w:rPr>
          <w:rFonts w:hint="eastAsia"/>
        </w:rPr>
        <w:t>“</w:t>
      </w:r>
      <w:r>
        <w:t>基础实验-综合实验-创新实验-生产实习-毕业论文</w:t>
      </w:r>
      <w:r>
        <w:rPr>
          <w:rFonts w:hint="eastAsia"/>
        </w:rPr>
        <w:t>”</w:t>
      </w:r>
      <w:r>
        <w:t>各环节层次的实践教学体系；重视教学改革和教学研究，构建了院级、校级、省级三级教学研究改革课题的</w:t>
      </w:r>
      <w:r>
        <w:rPr>
          <w:rFonts w:hint="eastAsia"/>
        </w:rPr>
        <w:t>“</w:t>
      </w:r>
      <w:r>
        <w:t>金字塔</w:t>
      </w:r>
      <w:r>
        <w:rPr>
          <w:rFonts w:hint="eastAsia"/>
        </w:rPr>
        <w:t>”</w:t>
      </w:r>
      <w:r>
        <w:t>支撑体系；革新传统课堂教学模式，充分发挥雨课堂等智慧教学工具在互动教学中的积极作用；基于OBE的培养理念，建立了基于课程目标达成评价的课程质量形成性评价体系和持续改进机制。</w:t>
      </w:r>
    </w:p>
    <w:p>
      <w:pPr>
        <w:pStyle w:val="6"/>
        <w:ind w:firstLine="480"/>
      </w:pPr>
      <w:r>
        <w:rPr>
          <w:rFonts w:hint="eastAsia"/>
        </w:rPr>
        <w:t>3</w:t>
      </w:r>
      <w:r>
        <w:t>. 强化创新创业教学，强化产学研协同育人机制</w:t>
      </w:r>
    </w:p>
    <w:p>
      <w:pPr>
        <w:adjustRightInd w:val="0"/>
        <w:snapToGrid w:val="0"/>
        <w:ind w:firstLine="480" w:firstLineChars="200"/>
      </w:pPr>
      <w:r>
        <w:t>强化创新创业教育，构建形成了</w:t>
      </w:r>
      <w:r>
        <w:rPr>
          <w:rFonts w:hint="eastAsia"/>
        </w:rPr>
        <w:t>“</w:t>
      </w:r>
      <w:r>
        <w:t>创新创业课程+创新创业活动+校外实践锻炼</w:t>
      </w:r>
      <w:r>
        <w:rPr>
          <w:rFonts w:hint="eastAsia"/>
        </w:rPr>
        <w:t>”</w:t>
      </w:r>
      <w:r>
        <w:t>相结合的大学生创新创业能力培养阶梯式育人新模式。加大学生创新创业活动的支持力度，募集企业赞助60万元投入大学生创新创业活动，立项院级SRT项目122项，对本专业学生的覆盖率达80%以上。加强与食品企业合作，建立了29家校外实践教学育人基地。创新校企、校院、校所协同育人协作机制。与行业企业共同修订人才培养方案、共建专业课程与实习实训基地，探索构建</w:t>
      </w:r>
      <w:r>
        <w:rPr>
          <w:rFonts w:hint="eastAsia"/>
        </w:rPr>
        <w:t>“</w:t>
      </w:r>
      <w:r>
        <w:t>企业+共建实验室+专业</w:t>
      </w:r>
      <w:r>
        <w:rPr>
          <w:rFonts w:hint="eastAsia"/>
        </w:rPr>
        <w:t>”</w:t>
      </w:r>
      <w:r>
        <w:t>、</w:t>
      </w:r>
      <w:r>
        <w:rPr>
          <w:rFonts w:hint="eastAsia"/>
        </w:rPr>
        <w:t>“</w:t>
      </w:r>
      <w:r>
        <w:t>3+X</w:t>
      </w:r>
      <w:r>
        <w:rPr>
          <w:rFonts w:hint="eastAsia"/>
        </w:rPr>
        <w:t>”</w:t>
      </w:r>
      <w:r>
        <w:t>产教融合模式等协同育人机制。实现专业链与产业链、课程内容与职业标准、教学与生产对接，增强专业人才服务地方经济社会发展的能力。</w:t>
      </w:r>
    </w:p>
    <w:p>
      <w:pPr>
        <w:pStyle w:val="5"/>
        <w:spacing w:before="93" w:after="93"/>
        <w:ind w:firstLine="560"/>
      </w:pPr>
      <w:r>
        <w:t>五、培养质量（毕业生就业率、就业专业对口率、毕业生发展情况、就业单位满意率、社会对专业的评价、学生就读该专业的意愿等）</w:t>
      </w:r>
    </w:p>
    <w:p>
      <w:pPr>
        <w:adjustRightInd w:val="0"/>
        <w:snapToGrid w:val="0"/>
        <w:ind w:firstLine="480" w:firstLineChars="200"/>
      </w:pPr>
      <w:r>
        <w:t>毕业生就业是衡量高校人才培养质量的重要指标。本专业面向国家食品工业转型升级和产业创新战略需求，旨在培养</w:t>
      </w:r>
      <w:r>
        <w:rPr>
          <w:rFonts w:hint="eastAsia"/>
        </w:rPr>
        <w:t>“</w:t>
      </w:r>
      <w:r>
        <w:t>食品加工与安全理论技术基础扎实、安全与质量管理能力突出</w:t>
      </w:r>
      <w:r>
        <w:rPr>
          <w:rFonts w:hint="eastAsia"/>
        </w:rPr>
        <w:t>”</w:t>
      </w:r>
      <w:r>
        <w:t>的高素质专业人才。质量安全控制、安全评价、质量认证、监督管理、科学研究等工作的高素质人才。专业自设立以来，始终围绕提升人才培养质量这一中心目标，通过树立就业工作新理念，构建就业工作新体制新机制等措施，有效提升了人才培养质量。</w:t>
      </w:r>
    </w:p>
    <w:p>
      <w:pPr>
        <w:adjustRightInd w:val="0"/>
        <w:snapToGrid w:val="0"/>
        <w:ind w:firstLine="480" w:firstLineChars="200"/>
      </w:pPr>
      <w:r>
        <w:t>2022届本专业毕业生130人，截止到9月30日，毕业生就业100人，毕业去向落实率为76.92%，就业去向主要包括升学、协议就业、劳动合同就业、其他录用形式、待就业等多种方式，其中以升学方式就业人数最多，考取研究生人数为73人，占全部就业人数的56.15%。其中考入</w:t>
      </w:r>
      <w:r>
        <w:rPr>
          <w:rFonts w:hint="eastAsia"/>
        </w:rPr>
        <w:t>“</w:t>
      </w:r>
      <w:r>
        <w:t>双一流</w:t>
      </w:r>
      <w:r>
        <w:rPr>
          <w:rFonts w:hint="eastAsia"/>
        </w:rPr>
        <w:t>”</w:t>
      </w:r>
      <w:r>
        <w:t>大学9人。升学学校主要是山东农业大学、中国海洋大学、东北农业大学、吉林大学、南昌大学等。其次为协议就业方式、其他录用形式就业，分别有13人和12人。毕业生当前所在工作单位或者所从事工作岗位与所学专业对口率较高的共16人，占已就业总人数的62.96%。</w:t>
      </w:r>
    </w:p>
    <w:p>
      <w:pPr>
        <w:adjustRightInd w:val="0"/>
        <w:snapToGrid w:val="0"/>
        <w:ind w:firstLine="480" w:firstLineChars="200"/>
      </w:pPr>
      <w:r>
        <w:t>综合近五年毕业生和用人单位的调查结果分析，本专业培养的毕业生行内认可度高、社会整体评价好。2014-2016届毕业生对学院人才培养质量满意度调查表明，</w:t>
      </w:r>
      <w:r>
        <w:rPr>
          <w:rFonts w:hint="eastAsia"/>
        </w:rPr>
        <w:t>“</w:t>
      </w:r>
      <w:r>
        <w:t>非常满意</w:t>
      </w:r>
      <w:r>
        <w:rPr>
          <w:rFonts w:hint="eastAsia"/>
        </w:rPr>
        <w:t>”</w:t>
      </w:r>
      <w:r>
        <w:t>和</w:t>
      </w:r>
      <w:r>
        <w:rPr>
          <w:rFonts w:hint="eastAsia"/>
        </w:rPr>
        <w:t>“</w:t>
      </w:r>
      <w:r>
        <w:t>满意</w:t>
      </w:r>
      <w:r>
        <w:rPr>
          <w:rFonts w:hint="eastAsia"/>
        </w:rPr>
        <w:t>”</w:t>
      </w:r>
      <w:r>
        <w:t>的学生达到90.27%，普遍认为创新实践能力的培养对就业后工作影响最大，在校期间学习方法、职业道德、团队协作、专业知识等方面收获较大。从对用人单位的调查结果看，93.06%的用人单位对我院人才培养质量满意，反馈毕业生较好地掌握了食品质量与安全领域的理论基础和专业知识，能够在相关领域从事质量管理、检验检疫、工艺与工程设计、教育教学等工作。</w:t>
      </w:r>
    </w:p>
    <w:p>
      <w:pPr>
        <w:pStyle w:val="5"/>
        <w:spacing w:before="93" w:after="93"/>
        <w:ind w:firstLine="560"/>
      </w:pPr>
      <w:r>
        <w:t>六、毕业生就业创业（创业情况、采取的措施、典型案例等）</w:t>
      </w:r>
    </w:p>
    <w:p>
      <w:pPr>
        <w:adjustRightInd w:val="0"/>
        <w:snapToGrid w:val="0"/>
        <w:ind w:firstLine="480" w:firstLineChars="200"/>
      </w:pPr>
      <w:r>
        <w:t xml:space="preserve">本专业暂无学生自主创业数据统计。近3年来，学生就业创业面临着新冠肺炎疫情带来的严峻挑战。学院采取多种措施，更好地帮助学生提升职业发展和创新创业能力，主要包括： </w:t>
      </w:r>
    </w:p>
    <w:p>
      <w:pPr>
        <w:pStyle w:val="6"/>
        <w:ind w:firstLine="480"/>
      </w:pPr>
      <w:r>
        <w:rPr>
          <w:rFonts w:hint="eastAsia"/>
        </w:rPr>
        <w:t>1</w:t>
      </w:r>
      <w:r>
        <w:t>. 调研社会及产业需求，适时调整专业培养目标</w:t>
      </w:r>
    </w:p>
    <w:p>
      <w:pPr>
        <w:adjustRightInd w:val="0"/>
        <w:snapToGrid w:val="0"/>
        <w:ind w:firstLine="480" w:firstLineChars="200"/>
      </w:pPr>
      <w:r>
        <w:t>专业人才培养必须与社会需求相对应。因此，下一步我们将在调研食品产业发展需求的基础上，根据新工科的人才培养要求，适时调整专业培养目标，在课程设置、实践训练、教学内容等方面加强与产业的对接，加强学生综合素质的培养，尤其是注重提升学生的批判性思维、创新能力和组织管理能力，提升专业人才培养与社会需求的契合度。</w:t>
      </w:r>
    </w:p>
    <w:p>
      <w:pPr>
        <w:pStyle w:val="6"/>
        <w:ind w:firstLine="480"/>
      </w:pPr>
      <w:r>
        <w:rPr>
          <w:rFonts w:hint="eastAsia"/>
        </w:rPr>
        <w:t>2</w:t>
      </w:r>
      <w:r>
        <w:t>. 以学生产出为导向，加强校企协同育人机制</w:t>
      </w:r>
    </w:p>
    <w:p>
      <w:pPr>
        <w:adjustRightInd w:val="0"/>
        <w:snapToGrid w:val="0"/>
        <w:ind w:firstLine="480" w:firstLineChars="200"/>
      </w:pPr>
      <w:r>
        <w:t>进一步完善学校学院的大学生创新创业工作、训练计划项目管理、创新创业实践学分认定等制度建设，把创新创业教育作为深化教育教学改革的重要内容，融入人才培养全过程，强化创新创业</w:t>
      </w:r>
      <w:r>
        <w:rPr>
          <w:rFonts w:hint="eastAsia"/>
        </w:rPr>
        <w:t>“</w:t>
      </w:r>
      <w:r>
        <w:t>双创</w:t>
      </w:r>
      <w:r>
        <w:rPr>
          <w:rFonts w:hint="eastAsia"/>
        </w:rPr>
        <w:t>”</w:t>
      </w:r>
      <w:r>
        <w:t>精神和工程实践能力培养，加强校企合作，落实</w:t>
      </w:r>
      <w:r>
        <w:rPr>
          <w:rFonts w:hint="eastAsia"/>
        </w:rPr>
        <w:t>“</w:t>
      </w:r>
      <w:r>
        <w:t>双创四驱</w:t>
      </w:r>
      <w:r>
        <w:rPr>
          <w:rFonts w:hint="eastAsia"/>
        </w:rPr>
        <w:t>”</w:t>
      </w:r>
      <w:r>
        <w:t>工作模式。聘任校外兼职教授，指导学生创业实践；搭建创新创业平台，举办</w:t>
      </w:r>
      <w:r>
        <w:rPr>
          <w:rFonts w:hint="eastAsia"/>
        </w:rPr>
        <w:t>“</w:t>
      </w:r>
      <w:r>
        <w:t>龙大杯</w:t>
      </w:r>
      <w:r>
        <w:rPr>
          <w:rFonts w:hint="eastAsia"/>
        </w:rPr>
        <w:t>”</w:t>
      </w:r>
      <w:r>
        <w:t>等创新创业大赛，完善评价激励制度，鼓励学生参加挑战杯等各种创业大赛，为学生工程实践能力提升提供智力支持和技术指导。</w:t>
      </w:r>
    </w:p>
    <w:p>
      <w:pPr>
        <w:pStyle w:val="6"/>
        <w:ind w:firstLine="480"/>
      </w:pPr>
      <w:r>
        <w:rPr>
          <w:rFonts w:hint="eastAsia"/>
        </w:rPr>
        <w:t>3</w:t>
      </w:r>
      <w:r>
        <w:t>. 突出</w:t>
      </w:r>
      <w:r>
        <w:rPr>
          <w:rFonts w:hint="eastAsia"/>
        </w:rPr>
        <w:t>“</w:t>
      </w:r>
      <w:r>
        <w:t>三全育人</w:t>
      </w:r>
      <w:r>
        <w:rPr>
          <w:rFonts w:hint="eastAsia"/>
        </w:rPr>
        <w:t>”</w:t>
      </w:r>
      <w:r>
        <w:t>，构建</w:t>
      </w:r>
      <w:r>
        <w:rPr>
          <w:rFonts w:hint="eastAsia"/>
        </w:rPr>
        <w:t>“</w:t>
      </w:r>
      <w:r>
        <w:t>一二三</w:t>
      </w:r>
      <w:r>
        <w:rPr>
          <w:rFonts w:hint="eastAsia"/>
        </w:rPr>
        <w:t>”</w:t>
      </w:r>
      <w:r>
        <w:t>就业指导体系</w:t>
      </w:r>
    </w:p>
    <w:p>
      <w:pPr>
        <w:adjustRightInd w:val="0"/>
        <w:snapToGrid w:val="0"/>
        <w:ind w:firstLine="480" w:firstLineChars="200"/>
      </w:pPr>
      <w:r>
        <w:t>坚持</w:t>
      </w:r>
      <w:r>
        <w:rPr>
          <w:rFonts w:hint="eastAsia"/>
        </w:rPr>
        <w:t>“</w:t>
      </w:r>
      <w:r>
        <w:t>以生为本</w:t>
      </w:r>
      <w:r>
        <w:rPr>
          <w:rFonts w:hint="eastAsia"/>
        </w:rPr>
        <w:t>”</w:t>
      </w:r>
      <w:r>
        <w:t>的原则，依托专业教师、辅导员与就业指导中心教师，加强</w:t>
      </w:r>
      <w:r>
        <w:rPr>
          <w:rFonts w:hint="eastAsia"/>
        </w:rPr>
        <w:t>“</w:t>
      </w:r>
      <w:r>
        <w:t>五个一帮扶</w:t>
      </w:r>
      <w:r>
        <w:rPr>
          <w:rFonts w:hint="eastAsia"/>
        </w:rPr>
        <w:t>”</w:t>
      </w:r>
      <w:r>
        <w:t>工作，完善</w:t>
      </w:r>
      <w:r>
        <w:rPr>
          <w:rFonts w:hint="eastAsia"/>
        </w:rPr>
        <w:t>“</w:t>
      </w:r>
      <w:r>
        <w:t>一个目标、二个阶段、三个体系</w:t>
      </w:r>
      <w:r>
        <w:rPr>
          <w:rFonts w:hint="eastAsia"/>
        </w:rPr>
        <w:t>”</w:t>
      </w:r>
      <w:r>
        <w:t>的</w:t>
      </w:r>
      <w:r>
        <w:rPr>
          <w:rFonts w:hint="eastAsia"/>
        </w:rPr>
        <w:t>“</w:t>
      </w:r>
      <w:r>
        <w:t>一二三</w:t>
      </w:r>
      <w:r>
        <w:rPr>
          <w:rFonts w:hint="eastAsia"/>
        </w:rPr>
        <w:t>”</w:t>
      </w:r>
      <w:r>
        <w:t>就业指导体系。实行就业导师制，导师负责实习期间就业指导；实施学生党员帮扶制度，学生党员负责实习返校后签约高峰期的就业带动和帮扶，并把帮扶成效作为检验学生党员先进性标准。引导毕业生根据自身特点做出理性的选择，从现实出发，客观分析，理性就业。</w:t>
      </w:r>
    </w:p>
    <w:p>
      <w:pPr>
        <w:pStyle w:val="6"/>
        <w:ind w:firstLine="480"/>
      </w:pPr>
      <w:r>
        <w:rPr>
          <w:rFonts w:hint="eastAsia"/>
        </w:rPr>
        <w:t>4</w:t>
      </w:r>
      <w:r>
        <w:t>. 加强学生就业观念指导，提升学生就业能力</w:t>
      </w:r>
    </w:p>
    <w:p>
      <w:pPr>
        <w:adjustRightInd w:val="0"/>
        <w:snapToGrid w:val="0"/>
        <w:ind w:firstLine="480" w:firstLineChars="200"/>
      </w:pPr>
      <w:r>
        <w:t>提前对学生的就业意愿进行摸排，有针对性地为学生提供职业生涯规划、就业形势、职场礼仪、就业技巧等方面的指导，帮助他们客观认识自己，树立正确的就业观念。积极开展多种形式的就业辅导与培训，提升他们的自信和就业能力。通过网站、短信、电话、电子邮件、QQ群、微信等多种载体，有针对性的为困难毕业生及时提供信息，加大就业信息服务力度。</w:t>
      </w:r>
    </w:p>
    <w:p>
      <w:pPr>
        <w:pStyle w:val="5"/>
        <w:spacing w:before="93" w:after="93"/>
        <w:ind w:firstLine="560"/>
      </w:pPr>
      <w:r>
        <w:t>七、专业发展趋势及建议</w:t>
      </w:r>
    </w:p>
    <w:p>
      <w:pPr>
        <w:adjustRightInd w:val="0"/>
        <w:snapToGrid w:val="0"/>
        <w:ind w:firstLine="480" w:firstLineChars="200"/>
      </w:pPr>
      <w:r>
        <w:rPr>
          <w:rFonts w:hint="eastAsia"/>
        </w:rPr>
        <w:t>“</w:t>
      </w:r>
      <w:r>
        <w:t>民以食为天</w:t>
      </w:r>
      <w:r>
        <w:rPr>
          <w:rFonts w:hint="eastAsia"/>
        </w:rPr>
        <w:t>”</w:t>
      </w:r>
      <w:r>
        <w:t>，食品质量控制和安全保障是人类生存和发展的基础，事关国计民生和社会稳定。自2002年教育部正式批准设置食品质量与安全本科专业以来，目前已有254所高校开设了食品质量与安全本科专业，培养了大批服务于食品产业链延伸和拓展，食品工程化制造技术革新，食品安全检测与监督管理技术应用的专业技术人才。近年来，本专业的吸引力持续上升，选择本专业的人数逐年增加。但是随着食品质量与安全学科与产业的飞速发展，以及新工程背景下对人才培养的新要求，本专业面临着以下挑战：1. 社会和产业对学生工程化专业水平和能力要求进一步提高，要求学生具有更多、更扎实的知识基础和技能，对专业培养质量提出了更高要求；2. 食品质量与安全专业是一个涉及理、工、农、医、法等多个学科门类的专业，交叉属性很强。但是，目前我国大多数高校在课程设置上并没有突显出该专业知识交叉的融合性和创新性，过分侧重于检验检疫技术、食品质量控制监督等。而社会、企业需求的是掌握全面的综合知识、并能对食品行业整个产业链进行研究和管理的人才，培养目标与社会需求存在</w:t>
      </w:r>
      <w:r>
        <w:rPr>
          <w:rFonts w:hint="eastAsia"/>
        </w:rPr>
        <w:t>“</w:t>
      </w:r>
      <w:r>
        <w:t>错配</w:t>
      </w:r>
      <w:r>
        <w:rPr>
          <w:rFonts w:hint="eastAsia"/>
        </w:rPr>
        <w:t>”</w:t>
      </w:r>
      <w:r>
        <w:t>。因此，根据新工科和工程专业认证对于人才培养的新要求，需及时确定专业人才培养的重点方向，突出专业特色和交叉融合属性，加强专业培养方案和课程设置内容修订，更新完善凝练课堂与实验教学内容体系，提升人才培养质量。</w:t>
      </w:r>
    </w:p>
    <w:p>
      <w:pPr>
        <w:pStyle w:val="5"/>
        <w:spacing w:before="93" w:after="93"/>
        <w:ind w:firstLine="560"/>
      </w:pPr>
      <w:r>
        <w:t>八、存在的问题及拟采取的对策措施</w:t>
      </w:r>
    </w:p>
    <w:p>
      <w:pPr>
        <w:adjustRightInd w:val="0"/>
        <w:snapToGrid w:val="0"/>
        <w:ind w:firstLine="480" w:firstLineChars="200"/>
      </w:pPr>
      <w:r>
        <w:rPr>
          <w:rFonts w:eastAsia="黑体"/>
        </w:rPr>
        <w:t>1. 存在问题：</w:t>
      </w:r>
      <w:r>
        <w:t>新工科人才培养和工程专业认证对新时代食品质量与安全专业创新人才的培养提出了更高的要求，本专业应进一步加强学生工程知识和解决食品领域复杂工程问题能力的培养。本专业尚存在以下问题：一是师资队伍尚显薄弱，高层次人才匮乏。本专业目前有专任教师21人，但是高级职称特别是正高级职称的教师只有7人，占比较低。现有教师工程实践执教能力仍需提升，缺乏在国内特别是国际上具有影响力的高层次人才。二是现有教学条件尚不能完全满足专业人才培养需要，亟待改善。由于本科生扩招、教学专项经费不足、土地和空间受限等种种原因，食品质量与安全专业校内实习实践条件仍受到很大制约，实验室空间紧张，处于超负荷运转状态，加之生均仪器设备数量偏少，难以满足人才培养工作需要。</w:t>
      </w:r>
    </w:p>
    <w:p>
      <w:pPr>
        <w:adjustRightInd w:val="0"/>
        <w:snapToGrid w:val="0"/>
        <w:ind w:firstLine="480" w:firstLineChars="200"/>
      </w:pPr>
      <w:r>
        <w:rPr>
          <w:rFonts w:eastAsia="黑体"/>
        </w:rPr>
        <w:t>2. 对应措施：</w:t>
      </w:r>
      <w:r>
        <w:t>一是改善人才引进的措施，提高条件、待遇，积极联系、吸引知名专家学者回归；加强对青年师资及新引进师资的培养，每年选派2-3名教师进行国内、外学术交流或进修，追踪学科前沿，把握学术发展方向，提升教学、科研能力，尽快弥补师资力量的短板。二是多方筹措资金，加大专业建设经费投入，不断改善办学条件。在省一流建设专业基础上，力求早日成为国家一流建设专业。进一步探索将科研资源转化为教学资源的体制机制，更大程度上发挥科研平台对本科人才培养的支撑作用。同时，进一步扩大校内实习实践基地，完善配套设施和装备，满足校内实验实习工作需要；继续发挥校企、校所、校地合作优势，丰富和完善产教融合、产学研协同育人模式，在有条件的单位建立大学生校外教学实践基地，充分利用社会资源拓展办学空间，弥补校内资源短缺局面。</w:t>
      </w:r>
    </w:p>
    <w:p>
      <w:r>
        <w:br w:type="page"/>
      </w:r>
    </w:p>
    <w:p>
      <w:pPr>
        <w:pStyle w:val="4"/>
        <w:ind w:firstLine="600"/>
      </w:pPr>
      <w:bookmarkStart w:id="473" w:name="_Toc660"/>
      <w:r>
        <w:rPr>
          <w:rFonts w:hint="eastAsia"/>
          <w:lang w:val="en-US"/>
        </w:rPr>
        <w:t>专业四十五：</w:t>
      </w:r>
      <w:r>
        <w:t>食品质量与安全（中英合作）</w:t>
      </w:r>
      <w:bookmarkEnd w:id="473"/>
    </w:p>
    <w:p>
      <w:pPr>
        <w:pStyle w:val="5"/>
        <w:spacing w:before="93" w:after="93"/>
        <w:ind w:firstLine="560"/>
      </w:pPr>
      <w:r>
        <w:t>一、人才培养目标</w:t>
      </w:r>
    </w:p>
    <w:p>
      <w:pPr>
        <w:adjustRightInd w:val="0"/>
        <w:snapToGrid w:val="0"/>
        <w:ind w:firstLine="480" w:firstLineChars="200"/>
      </w:pPr>
      <w:r>
        <w:t>针对我国食品安全发展的战略需求，本专业培养能够承担社会责任、具有国际视野、扎实专业知识和创新创业能力的应用型专业技术与管理人才。培养</w:t>
      </w:r>
      <w:r>
        <w:rPr>
          <w:rFonts w:hint="eastAsia"/>
        </w:rPr>
        <w:t>“</w:t>
      </w:r>
      <w:r>
        <w:t>德智体美劳</w:t>
      </w:r>
      <w:r>
        <w:rPr>
          <w:rFonts w:hint="eastAsia"/>
        </w:rPr>
        <w:t>”</w:t>
      </w:r>
      <w:r>
        <w:t>全面发展，具有坚定理想信念、良好道德情操、扎实科学理论、工程技术和实践技能的社会主义事业可靠接班人和合格建设者。</w:t>
      </w:r>
    </w:p>
    <w:p>
      <w:pPr>
        <w:adjustRightInd w:val="0"/>
        <w:snapToGrid w:val="0"/>
        <w:ind w:firstLine="480" w:firstLineChars="200"/>
      </w:pPr>
      <w:r>
        <w:t>具体培养目标如下：</w:t>
      </w:r>
    </w:p>
    <w:p>
      <w:pPr>
        <w:adjustRightInd w:val="0"/>
        <w:snapToGrid w:val="0"/>
        <w:ind w:firstLine="480" w:firstLineChars="200"/>
      </w:pPr>
      <w:r>
        <w:t>1. 具有良好的职业道德、高度的社会责任感、团结协作精神；</w:t>
      </w:r>
    </w:p>
    <w:p>
      <w:pPr>
        <w:adjustRightInd w:val="0"/>
        <w:snapToGrid w:val="0"/>
        <w:ind w:firstLine="480" w:firstLineChars="200"/>
      </w:pPr>
      <w:r>
        <w:t>2. 具有食品质量与安全领域基本知识技能和创新创业能力，兼有食品商务管理能力；</w:t>
      </w:r>
    </w:p>
    <w:p>
      <w:pPr>
        <w:adjustRightInd w:val="0"/>
        <w:snapToGrid w:val="0"/>
        <w:ind w:firstLine="480" w:firstLineChars="200"/>
      </w:pPr>
      <w:r>
        <w:t xml:space="preserve">3. 具备食品科学、食品安全科学、食品检测和分析、商务管理学的基本理论、知识和技能，熟知国际食品质量安全体系和标准体系，能运用所学知识对食品安全领域的复杂问题分析评价，能够提出切实可行的解决方案，并能对解决方案的实施效果进行预测、评价和交流。 </w:t>
      </w:r>
    </w:p>
    <w:p>
      <w:pPr>
        <w:adjustRightInd w:val="0"/>
        <w:snapToGrid w:val="0"/>
        <w:ind w:firstLine="480" w:firstLineChars="200"/>
      </w:pPr>
      <w:r>
        <w:t>4. 能在生产企业、科研机构、检验机构、卫生监督机构、疾病预防与控制中心、环保机构、食品安全等企事业单位从事分析检测、质量控制、企业管理、生产经营、安全评价、监督管理和科学研究等方面工作的应用型复合型高级专业技术人才。</w:t>
      </w:r>
    </w:p>
    <w:p>
      <w:pPr>
        <w:pStyle w:val="5"/>
        <w:spacing w:before="93" w:after="93"/>
        <w:ind w:firstLine="560"/>
      </w:pPr>
      <w:r>
        <w:t>二、培养能力</w:t>
      </w:r>
    </w:p>
    <w:p>
      <w:pPr>
        <w:pStyle w:val="7"/>
        <w:ind w:firstLine="480"/>
      </w:pPr>
      <w:r>
        <w:t>1.专业设置情况</w:t>
      </w:r>
    </w:p>
    <w:p>
      <w:pPr>
        <w:adjustRightInd w:val="0"/>
        <w:snapToGrid w:val="0"/>
        <w:ind w:firstLine="480" w:firstLineChars="200"/>
      </w:pPr>
      <w:r>
        <w:t>本专业所招学生全部纳入山东省统招计划，在本科二批录取。按照《中外合作办学条例》及《中外合作办学条例实施办法》等法律、法规要求，为加强本项目管理，成立联合管理委员会，由山东农业大学委派6名委员、英国皇家农学院委派5名委员组成。联合管理委员会负责制定合作办学章程，发展规划、培养方案及教学计划、招生规模、财务年度预决算等重大事项。</w:t>
      </w:r>
    </w:p>
    <w:p>
      <w:pPr>
        <w:pStyle w:val="7"/>
        <w:ind w:firstLine="480"/>
      </w:pPr>
      <w:r>
        <w:t>2.在校生规模</w:t>
      </w:r>
    </w:p>
    <w:p>
      <w:pPr>
        <w:spacing w:line="360" w:lineRule="auto"/>
        <w:jc w:val="center"/>
        <w:rPr>
          <w:sz w:val="21"/>
          <w:szCs w:val="21"/>
        </w:rPr>
      </w:pPr>
      <w:r>
        <w:rPr>
          <w:sz w:val="21"/>
          <w:szCs w:val="21"/>
        </w:rPr>
        <w:t>在校生情况表</w:t>
      </w:r>
    </w:p>
    <w:tbl>
      <w:tblPr>
        <w:tblStyle w:val="17"/>
        <w:tblW w:w="91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522"/>
        <w:gridCol w:w="1521"/>
        <w:gridCol w:w="1521"/>
        <w:gridCol w:w="1521"/>
        <w:gridCol w:w="1521"/>
        <w:gridCol w:w="15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1522" w:type="dxa"/>
            <w:vAlign w:val="center"/>
          </w:tcPr>
          <w:p>
            <w:pPr>
              <w:spacing w:line="360" w:lineRule="auto"/>
              <w:jc w:val="center"/>
              <w:rPr>
                <w:sz w:val="21"/>
                <w:szCs w:val="21"/>
              </w:rPr>
            </w:pPr>
          </w:p>
        </w:tc>
        <w:tc>
          <w:tcPr>
            <w:tcW w:w="1521" w:type="dxa"/>
            <w:vAlign w:val="center"/>
          </w:tcPr>
          <w:p>
            <w:pPr>
              <w:spacing w:line="360" w:lineRule="auto"/>
              <w:jc w:val="center"/>
              <w:rPr>
                <w:sz w:val="21"/>
                <w:szCs w:val="21"/>
              </w:rPr>
            </w:pPr>
            <w:r>
              <w:rPr>
                <w:sz w:val="21"/>
                <w:szCs w:val="21"/>
              </w:rPr>
              <w:t>2019</w:t>
            </w:r>
          </w:p>
        </w:tc>
        <w:tc>
          <w:tcPr>
            <w:tcW w:w="1521" w:type="dxa"/>
            <w:vAlign w:val="center"/>
          </w:tcPr>
          <w:p>
            <w:pPr>
              <w:spacing w:line="360" w:lineRule="auto"/>
              <w:jc w:val="center"/>
              <w:rPr>
                <w:sz w:val="21"/>
                <w:szCs w:val="21"/>
              </w:rPr>
            </w:pPr>
            <w:r>
              <w:rPr>
                <w:sz w:val="21"/>
                <w:szCs w:val="21"/>
              </w:rPr>
              <w:t>2020</w:t>
            </w:r>
          </w:p>
        </w:tc>
        <w:tc>
          <w:tcPr>
            <w:tcW w:w="1521" w:type="dxa"/>
            <w:vAlign w:val="center"/>
          </w:tcPr>
          <w:p>
            <w:pPr>
              <w:spacing w:line="360" w:lineRule="auto"/>
              <w:jc w:val="center"/>
              <w:rPr>
                <w:sz w:val="21"/>
                <w:szCs w:val="21"/>
              </w:rPr>
            </w:pPr>
            <w:r>
              <w:rPr>
                <w:sz w:val="21"/>
                <w:szCs w:val="21"/>
              </w:rPr>
              <w:t>2021</w:t>
            </w:r>
          </w:p>
        </w:tc>
        <w:tc>
          <w:tcPr>
            <w:tcW w:w="1521" w:type="dxa"/>
            <w:vAlign w:val="center"/>
          </w:tcPr>
          <w:p>
            <w:pPr>
              <w:spacing w:line="360" w:lineRule="auto"/>
              <w:jc w:val="center"/>
              <w:rPr>
                <w:sz w:val="21"/>
                <w:szCs w:val="21"/>
              </w:rPr>
            </w:pPr>
            <w:r>
              <w:rPr>
                <w:sz w:val="21"/>
                <w:szCs w:val="21"/>
              </w:rPr>
              <w:t>2022</w:t>
            </w:r>
          </w:p>
        </w:tc>
        <w:tc>
          <w:tcPr>
            <w:tcW w:w="1521" w:type="dxa"/>
            <w:vAlign w:val="center"/>
          </w:tcPr>
          <w:p>
            <w:pPr>
              <w:spacing w:line="360" w:lineRule="auto"/>
              <w:jc w:val="center"/>
              <w:rPr>
                <w:sz w:val="21"/>
                <w:szCs w:val="21"/>
              </w:rPr>
            </w:pPr>
            <w:r>
              <w:rPr>
                <w:sz w:val="21"/>
                <w:szCs w:val="21"/>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1522" w:type="dxa"/>
            <w:vAlign w:val="center"/>
          </w:tcPr>
          <w:p>
            <w:pPr>
              <w:spacing w:line="360" w:lineRule="auto"/>
              <w:jc w:val="center"/>
              <w:rPr>
                <w:sz w:val="21"/>
                <w:szCs w:val="21"/>
              </w:rPr>
            </w:pPr>
            <w:r>
              <w:rPr>
                <w:sz w:val="21"/>
                <w:szCs w:val="21"/>
              </w:rPr>
              <w:t>在校学生人数</w:t>
            </w:r>
          </w:p>
        </w:tc>
        <w:tc>
          <w:tcPr>
            <w:tcW w:w="1521" w:type="dxa"/>
            <w:vAlign w:val="center"/>
          </w:tcPr>
          <w:p>
            <w:pPr>
              <w:spacing w:line="360" w:lineRule="auto"/>
              <w:jc w:val="center"/>
              <w:rPr>
                <w:sz w:val="21"/>
                <w:szCs w:val="21"/>
              </w:rPr>
            </w:pPr>
            <w:r>
              <w:rPr>
                <w:sz w:val="21"/>
                <w:szCs w:val="21"/>
              </w:rPr>
              <w:t>121</w:t>
            </w:r>
          </w:p>
        </w:tc>
        <w:tc>
          <w:tcPr>
            <w:tcW w:w="1521" w:type="dxa"/>
            <w:vAlign w:val="center"/>
          </w:tcPr>
          <w:p>
            <w:pPr>
              <w:spacing w:line="360" w:lineRule="auto"/>
              <w:jc w:val="center"/>
              <w:rPr>
                <w:sz w:val="21"/>
                <w:szCs w:val="21"/>
              </w:rPr>
            </w:pPr>
            <w:r>
              <w:rPr>
                <w:sz w:val="21"/>
                <w:szCs w:val="21"/>
              </w:rPr>
              <w:t>130</w:t>
            </w:r>
          </w:p>
        </w:tc>
        <w:tc>
          <w:tcPr>
            <w:tcW w:w="1521" w:type="dxa"/>
            <w:vAlign w:val="center"/>
          </w:tcPr>
          <w:p>
            <w:pPr>
              <w:spacing w:line="360" w:lineRule="auto"/>
              <w:jc w:val="center"/>
              <w:rPr>
                <w:sz w:val="21"/>
                <w:szCs w:val="21"/>
              </w:rPr>
            </w:pPr>
            <w:r>
              <w:rPr>
                <w:sz w:val="21"/>
                <w:szCs w:val="21"/>
              </w:rPr>
              <w:t>140</w:t>
            </w:r>
          </w:p>
        </w:tc>
        <w:tc>
          <w:tcPr>
            <w:tcW w:w="1521" w:type="dxa"/>
            <w:vAlign w:val="center"/>
          </w:tcPr>
          <w:p>
            <w:pPr>
              <w:spacing w:line="360" w:lineRule="auto"/>
              <w:jc w:val="center"/>
              <w:rPr>
                <w:sz w:val="21"/>
                <w:szCs w:val="21"/>
              </w:rPr>
            </w:pPr>
            <w:r>
              <w:rPr>
                <w:sz w:val="21"/>
                <w:szCs w:val="21"/>
              </w:rPr>
              <w:t>131</w:t>
            </w:r>
          </w:p>
        </w:tc>
        <w:tc>
          <w:tcPr>
            <w:tcW w:w="1521" w:type="dxa"/>
            <w:vAlign w:val="center"/>
          </w:tcPr>
          <w:p>
            <w:pPr>
              <w:spacing w:line="360" w:lineRule="auto"/>
              <w:jc w:val="center"/>
              <w:rPr>
                <w:sz w:val="21"/>
                <w:szCs w:val="21"/>
              </w:rPr>
            </w:pPr>
            <w:r>
              <w:rPr>
                <w:sz w:val="21"/>
                <w:szCs w:val="21"/>
              </w:rPr>
              <w:t>522</w:t>
            </w:r>
          </w:p>
        </w:tc>
      </w:tr>
    </w:tbl>
    <w:p>
      <w:pPr>
        <w:pStyle w:val="7"/>
        <w:ind w:firstLine="480"/>
      </w:pPr>
      <w:r>
        <w:t>3.课程设置情况</w:t>
      </w:r>
    </w:p>
    <w:p>
      <w:pPr>
        <w:adjustRightInd w:val="0"/>
        <w:snapToGrid w:val="0"/>
        <w:ind w:firstLine="480" w:firstLineChars="200"/>
      </w:pPr>
      <w:r>
        <w:t>本项目学生入校后，完全按山东农业大学学生管理规定进行规范管理。学制四年，全部在中国国内完成。培养方案和教学计划均由双方共同制定，其中英方课程及课时均占33%以上。为保证学生第二学年能顺利听懂英方教师授课，在经过第一学年英语强化学习后（双方共同组织），全体学生还必须通过英国皇家农学院语言中心举办的英语水平入学考试。从第二学年起，英方将派教师每学期到中国讲授2门以上专业课程，全部使用英语授课，并采用英国原版教材及英国的教学、考试方法。2019年修订专业课程大纲，增加应用型和思政型教学案例，充分体现课程教学内容对培养要求的支撑作用。</w:t>
      </w:r>
    </w:p>
    <w:p>
      <w:pPr>
        <w:ind w:firstLine="480" w:firstLineChars="200"/>
      </w:pPr>
      <w:r>
        <w:t>中方主要课程设置：</w:t>
      </w:r>
    </w:p>
    <w:p>
      <w:pPr>
        <w:ind w:firstLine="480" w:firstLineChars="200"/>
      </w:pPr>
      <w:r>
        <w:t>思想道德修养与法律基础、国情教育、综合英语（强化）、计算机基础、高等数学、试验设计与数理统计、有机化学、无机化学、生物化学、食品化学、食品微生物学、食品营养与卫生学、食品安全科学、食品毒理学、食品质量安全专业英语、食品营养与安全学、食品营养与安全学实验、食品工艺学1 、食品工艺学2、食品机械与设备、食品法规与标准、食品安全检测技术、食品质量管理学。</w:t>
      </w:r>
    </w:p>
    <w:p>
      <w:pPr>
        <w:ind w:firstLine="480" w:firstLineChars="200"/>
      </w:pPr>
      <w:r>
        <w:t>英方主要课程设置：</w:t>
      </w:r>
    </w:p>
    <w:p>
      <w:pPr>
        <w:ind w:firstLine="480" w:firstLineChars="200"/>
      </w:pPr>
      <w:r>
        <w:t>*经济学 Economics、*金融学 Finance、*国际商业 International Business、*市场学 Marketing、*食品和农业经济管理 Food and Agribusiness Management、*食品商务策略 Food Business Strategy、*商业策划与创业 Business Planning and Entrepreneurship、*研究方法论 Research Methods。</w:t>
      </w:r>
    </w:p>
    <w:p>
      <w:pPr>
        <w:pStyle w:val="7"/>
        <w:ind w:firstLine="480"/>
      </w:pPr>
      <w:r>
        <w:t>4.创新创业教育</w:t>
      </w:r>
    </w:p>
    <w:p>
      <w:pPr>
        <w:ind w:firstLine="480" w:firstLineChars="200"/>
      </w:pPr>
      <w:r>
        <w:t>中英双方老师在授课过程中都注重引入先进的创业理念，创造机会锻炼学生的创新能力，为将来的创业打下良好的基础。</w:t>
      </w:r>
    </w:p>
    <w:p>
      <w:pPr>
        <w:ind w:firstLine="480" w:firstLineChars="200"/>
      </w:pPr>
      <w:r>
        <w:t>在提高学生的创新、创业能力方面，由外籍教师专门开设《中小企业创业》课程。该课程由英方在食品专业具有丰富实践经验的教授授课，组织学生分团队进行模拟创业,撰写总结报告，开拓了学生的思路，激发了学生的创业热情，锻炼了学生的能力，得到学生的一致好评。</w:t>
      </w:r>
    </w:p>
    <w:p>
      <w:pPr>
        <w:ind w:firstLine="480" w:firstLineChars="200"/>
      </w:pPr>
      <w:r>
        <w:t>新的培养方案加强了创新与创业实践内容。学院通过设立覆盖面广的大学生研究训练计划（SRT）、形式多样的食品创意大赛以及小型食品企业的创立、生产与经营，提高了学生新型食品开发、生产管理和市场营销为主体的综合能力和素养。</w:t>
      </w:r>
    </w:p>
    <w:p>
      <w:pPr>
        <w:pStyle w:val="5"/>
        <w:spacing w:before="93" w:after="93"/>
        <w:ind w:firstLine="560"/>
      </w:pPr>
      <w:r>
        <w:t>三、培养条件</w:t>
      </w:r>
    </w:p>
    <w:p>
      <w:pPr>
        <w:ind w:firstLine="480" w:firstLineChars="200"/>
      </w:pPr>
      <w:r>
        <w:t>以中外合作办学为契机，学院大力加强本专业建设，加大对专业实验设备和仪器投入，建立了较完备的综合实验中心；通过招聘人才，加强了师资队伍建设；通过中外教师交流、观摩教学及举办学术报告等，促进了教师教学水平和科研能力的提高，开阔了视野，这对促进专业建设、提高办学水平、推动教学改革和提高人才培养质量起到了积极的作用。</w:t>
      </w:r>
    </w:p>
    <w:p>
      <w:pPr>
        <w:ind w:firstLine="480" w:firstLineChars="200"/>
      </w:pPr>
      <w:r>
        <w:t>2022年本专业投入使用的教学日常运行、教学改革、课程建设、教材建设、专业建设、校内外实践实习、教学研讨、教学差旅、图书资料购置、学生活动等教学费用为53.6614万元。</w:t>
      </w:r>
    </w:p>
    <w:p>
      <w:pPr>
        <w:ind w:firstLine="480" w:firstLineChars="200"/>
      </w:pPr>
      <w:r>
        <w:t>学院高度重视专业师资队伍建设，目前食品质量与安全专业现有专业授课教师21人，公共课兼职授课教师5人，专职教师中教授7人，副教授9人，讲师5人，20人具有博士学位，占比达到95.24%。教师队伍中拥有山东省现代农业产业技术体系创新团队岗位专家3人。本专业现有外教23人，其中教授4人，副教授1人，讲师13人，6人具有博士学位，占比达到26.01%。2022年从江南大学、华南农业大学等高校引进优秀博士师资2人。实施青年教师教学能力提升计划，建立青年教师学校与企业双导师制和课堂准入制，采用听课、试讲、一年期企业实践等多种方式提升教师理论与实践贯通能力，双师型教师比例达到81.58%。形成了一支师德师风良好、教学能力突出、职称、年龄和学缘结构合理的高水平师资队伍。</w:t>
      </w:r>
    </w:p>
    <w:p>
      <w:pPr>
        <w:ind w:firstLine="480" w:firstLineChars="200"/>
      </w:pPr>
      <w:r>
        <w:t>食品科学与工程学院拥有中澳牛肉国际合作研究中心、山东农产品加工流通星创天地等3个国家级科研创新平台，国家牛肉加工技术研发专业中心、山东省农产品精深加工技术与质量控制协同创新中心、山东省粮食加工技术工程技术研究中心、山东省高校食品加工技术与质量控制重点实验室等4个省部级科研平台，以及粮油加工工艺室、畜产加工工艺室、园产加工工艺室、酿酒工艺室、贮藏工艺室、分析检测实验室、微生物实验室、精密仪器室、物性分析室、分子生物学实验室、综合分析仪器室和感官鉴评实验室等学院实验教学中心。2021年度，学院进一步对实验教学中心的通风设施进行了改造，对教学科研仪器设备进行更新和扩充。现有仪器设备1312台（件），总值4509.25万元，其中40万元以上的高值仪器21件（套），包括液质联用仪、流式细胞仪、激光共聚焦快速成像拉曼光谱仪、凝胶成像系统、实时荧光定量PCR、离子色谱仪、液相色谱仪、气相色谱仪、喷雾干燥机等先进仪器设备。教学相关设施设备完善，很好地满足了课程教学、实验实习和学生创新创业实践的需要。</w:t>
      </w:r>
    </w:p>
    <w:p>
      <w:pPr>
        <w:ind w:firstLine="480" w:firstLineChars="200"/>
      </w:pPr>
      <w:r>
        <w:t>围绕人才培养目标，本专业强化学生创新能力培养，深入推进课程改革，鼓励引教师进行教学方式的信息化和智慧化提升。《中国饮食文化》入选山东省一流本科课程，作为我校第一个推向全国的在线共享通识慕课，截止到2022年10月份，选课高校325，人数24.03万人次，互动250.50万次，在国内产生了较大的影响力。《食品营养与健康》在线课程，校内线上选修514人。教师积极提升教学能力及课程思政建设能力，2022年立项校级课程思政教改项目3项，获山东省第九届教学成果奖2项。21人次参与国家高等教育教学成果奖培育与申报交流会、国家高等教育智慧教育平台暑期研修培训课程等提升教学能力。</w:t>
      </w:r>
    </w:p>
    <w:p>
      <w:pPr>
        <w:ind w:firstLine="480" w:firstLineChars="200"/>
      </w:pPr>
      <w:r>
        <w:t>本专业突出实践育人环节、强化创新创业教育。通过与地方政府、检测机构农业科技园区、食品企业等共建校外教学实践基地，不断创新和完善产、学、研一体化协同育人机制。截止目前，建立了29家校外实践教学育人基地。</w:t>
      </w:r>
    </w:p>
    <w:p>
      <w:pPr>
        <w:rPr>
          <w:sz w:val="21"/>
          <w:szCs w:val="21"/>
        </w:rPr>
      </w:pPr>
      <w:r>
        <w:rPr>
          <w:sz w:val="21"/>
          <w:szCs w:val="21"/>
        </w:rPr>
        <w:br w:type="page"/>
      </w:r>
    </w:p>
    <w:p>
      <w:pPr>
        <w:spacing w:line="360" w:lineRule="auto"/>
        <w:jc w:val="center"/>
        <w:rPr>
          <w:b/>
          <w:bCs/>
          <w:sz w:val="21"/>
          <w:szCs w:val="21"/>
        </w:rPr>
      </w:pPr>
      <w:r>
        <w:rPr>
          <w:b/>
          <w:bCs/>
          <w:sz w:val="21"/>
          <w:szCs w:val="21"/>
        </w:rPr>
        <w:t>校外教学科研实践育人基地一览表</w:t>
      </w:r>
    </w:p>
    <w:tbl>
      <w:tblPr>
        <w:tblStyle w:val="18"/>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5103"/>
        <w:gridCol w:w="1134"/>
        <w:gridCol w:w="13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b/>
                <w:bCs/>
                <w:sz w:val="21"/>
                <w:szCs w:val="21"/>
              </w:rPr>
            </w:pPr>
            <w:r>
              <w:rPr>
                <w:b/>
                <w:bCs/>
                <w:sz w:val="21"/>
                <w:szCs w:val="21"/>
              </w:rPr>
              <w:t>序号</w:t>
            </w:r>
          </w:p>
        </w:tc>
        <w:tc>
          <w:tcPr>
            <w:tcW w:w="5103" w:type="dxa"/>
            <w:vAlign w:val="center"/>
          </w:tcPr>
          <w:p>
            <w:pPr>
              <w:spacing w:line="240" w:lineRule="auto"/>
              <w:jc w:val="center"/>
              <w:rPr>
                <w:b/>
                <w:bCs/>
                <w:sz w:val="21"/>
                <w:szCs w:val="21"/>
              </w:rPr>
            </w:pPr>
            <w:r>
              <w:rPr>
                <w:b/>
                <w:bCs/>
                <w:sz w:val="21"/>
                <w:szCs w:val="21"/>
              </w:rPr>
              <w:t>基地名称</w:t>
            </w:r>
          </w:p>
        </w:tc>
        <w:tc>
          <w:tcPr>
            <w:tcW w:w="1134" w:type="dxa"/>
            <w:vAlign w:val="center"/>
          </w:tcPr>
          <w:p>
            <w:pPr>
              <w:spacing w:line="240" w:lineRule="auto"/>
              <w:jc w:val="center"/>
              <w:rPr>
                <w:b/>
                <w:bCs/>
                <w:sz w:val="21"/>
                <w:szCs w:val="21"/>
              </w:rPr>
            </w:pPr>
            <w:r>
              <w:rPr>
                <w:b/>
                <w:bCs/>
                <w:sz w:val="21"/>
                <w:szCs w:val="21"/>
              </w:rPr>
              <w:t>级别</w:t>
            </w:r>
          </w:p>
        </w:tc>
        <w:tc>
          <w:tcPr>
            <w:tcW w:w="1355" w:type="dxa"/>
            <w:vAlign w:val="center"/>
          </w:tcPr>
          <w:p>
            <w:pPr>
              <w:spacing w:line="240" w:lineRule="auto"/>
              <w:jc w:val="center"/>
              <w:rPr>
                <w:b/>
                <w:bCs/>
                <w:sz w:val="21"/>
                <w:szCs w:val="21"/>
              </w:rPr>
            </w:pPr>
            <w:r>
              <w:rPr>
                <w:b/>
                <w:bCs/>
                <w:sz w:val="21"/>
                <w:szCs w:val="21"/>
              </w:rPr>
              <w:t>建立时间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1</w:t>
            </w:r>
          </w:p>
        </w:tc>
        <w:tc>
          <w:tcPr>
            <w:tcW w:w="5103" w:type="dxa"/>
            <w:vAlign w:val="center"/>
          </w:tcPr>
          <w:p>
            <w:pPr>
              <w:spacing w:line="240" w:lineRule="auto"/>
              <w:jc w:val="center"/>
              <w:rPr>
                <w:sz w:val="21"/>
                <w:szCs w:val="21"/>
              </w:rPr>
            </w:pPr>
            <w:r>
              <w:rPr>
                <w:sz w:val="21"/>
                <w:szCs w:val="21"/>
              </w:rPr>
              <w:t>山东泰乐源农业科技有限公司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2</w:t>
            </w:r>
          </w:p>
        </w:tc>
        <w:tc>
          <w:tcPr>
            <w:tcW w:w="5103" w:type="dxa"/>
            <w:vAlign w:val="center"/>
          </w:tcPr>
          <w:p>
            <w:pPr>
              <w:spacing w:line="240" w:lineRule="auto"/>
              <w:jc w:val="center"/>
              <w:rPr>
                <w:sz w:val="21"/>
                <w:szCs w:val="21"/>
              </w:rPr>
            </w:pPr>
            <w:r>
              <w:rPr>
                <w:sz w:val="21"/>
                <w:szCs w:val="21"/>
              </w:rPr>
              <w:t>临沂金锣文瑞食品有限公司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3</w:t>
            </w:r>
          </w:p>
        </w:tc>
        <w:tc>
          <w:tcPr>
            <w:tcW w:w="5103" w:type="dxa"/>
            <w:vAlign w:val="center"/>
          </w:tcPr>
          <w:p>
            <w:pPr>
              <w:spacing w:line="240" w:lineRule="auto"/>
              <w:jc w:val="center"/>
              <w:rPr>
                <w:sz w:val="21"/>
                <w:szCs w:val="21"/>
              </w:rPr>
            </w:pPr>
            <w:r>
              <w:rPr>
                <w:sz w:val="21"/>
                <w:szCs w:val="21"/>
              </w:rPr>
              <w:t>山东安谱检测科技有限公司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4</w:t>
            </w:r>
          </w:p>
        </w:tc>
        <w:tc>
          <w:tcPr>
            <w:tcW w:w="5103" w:type="dxa"/>
            <w:vAlign w:val="center"/>
          </w:tcPr>
          <w:p>
            <w:pPr>
              <w:spacing w:line="240" w:lineRule="auto"/>
              <w:jc w:val="center"/>
              <w:rPr>
                <w:sz w:val="21"/>
                <w:szCs w:val="21"/>
              </w:rPr>
            </w:pPr>
            <w:r>
              <w:rPr>
                <w:sz w:val="21"/>
                <w:szCs w:val="21"/>
              </w:rPr>
              <w:t>山东杰诺检测服务有限公司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5</w:t>
            </w:r>
          </w:p>
        </w:tc>
        <w:tc>
          <w:tcPr>
            <w:tcW w:w="5103" w:type="dxa"/>
            <w:vAlign w:val="center"/>
          </w:tcPr>
          <w:p>
            <w:pPr>
              <w:spacing w:line="240" w:lineRule="auto"/>
              <w:jc w:val="center"/>
              <w:rPr>
                <w:sz w:val="21"/>
                <w:szCs w:val="21"/>
              </w:rPr>
            </w:pPr>
            <w:r>
              <w:rPr>
                <w:sz w:val="21"/>
                <w:szCs w:val="21"/>
              </w:rPr>
              <w:t>中诚海诺有限公司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6</w:t>
            </w:r>
          </w:p>
        </w:tc>
        <w:tc>
          <w:tcPr>
            <w:tcW w:w="5103" w:type="dxa"/>
            <w:vAlign w:val="center"/>
          </w:tcPr>
          <w:p>
            <w:pPr>
              <w:spacing w:line="240" w:lineRule="auto"/>
              <w:jc w:val="center"/>
              <w:rPr>
                <w:sz w:val="21"/>
                <w:szCs w:val="21"/>
              </w:rPr>
            </w:pPr>
            <w:r>
              <w:rPr>
                <w:sz w:val="21"/>
                <w:szCs w:val="21"/>
              </w:rPr>
              <w:t>新泰市检验检测中心</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7</w:t>
            </w:r>
          </w:p>
        </w:tc>
        <w:tc>
          <w:tcPr>
            <w:tcW w:w="5103" w:type="dxa"/>
            <w:vAlign w:val="center"/>
          </w:tcPr>
          <w:p>
            <w:pPr>
              <w:spacing w:line="240" w:lineRule="auto"/>
              <w:jc w:val="center"/>
              <w:rPr>
                <w:sz w:val="21"/>
                <w:szCs w:val="21"/>
              </w:rPr>
            </w:pPr>
            <w:r>
              <w:rPr>
                <w:sz w:val="21"/>
                <w:szCs w:val="21"/>
              </w:rPr>
              <w:t>山东恒宝食品集团有限公司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8</w:t>
            </w:r>
          </w:p>
        </w:tc>
        <w:tc>
          <w:tcPr>
            <w:tcW w:w="5103" w:type="dxa"/>
            <w:vAlign w:val="center"/>
          </w:tcPr>
          <w:p>
            <w:pPr>
              <w:spacing w:line="240" w:lineRule="auto"/>
              <w:jc w:val="center"/>
              <w:rPr>
                <w:sz w:val="21"/>
                <w:szCs w:val="21"/>
              </w:rPr>
            </w:pPr>
            <w:r>
              <w:rPr>
                <w:sz w:val="21"/>
                <w:szCs w:val="21"/>
              </w:rPr>
              <w:t>山东泰山立福食品科技有限公司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9</w:t>
            </w:r>
          </w:p>
        </w:tc>
        <w:tc>
          <w:tcPr>
            <w:tcW w:w="5103" w:type="dxa"/>
            <w:vAlign w:val="center"/>
          </w:tcPr>
          <w:p>
            <w:pPr>
              <w:spacing w:line="240" w:lineRule="auto"/>
              <w:jc w:val="center"/>
              <w:rPr>
                <w:sz w:val="21"/>
                <w:szCs w:val="21"/>
              </w:rPr>
            </w:pPr>
            <w:r>
              <w:rPr>
                <w:sz w:val="21"/>
                <w:szCs w:val="21"/>
              </w:rPr>
              <w:t>山东金彩山酒业有限公司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10</w:t>
            </w:r>
          </w:p>
        </w:tc>
        <w:tc>
          <w:tcPr>
            <w:tcW w:w="5103" w:type="dxa"/>
            <w:vAlign w:val="center"/>
          </w:tcPr>
          <w:p>
            <w:pPr>
              <w:spacing w:line="240" w:lineRule="auto"/>
              <w:jc w:val="center"/>
              <w:rPr>
                <w:sz w:val="21"/>
                <w:szCs w:val="21"/>
              </w:rPr>
            </w:pPr>
            <w:r>
              <w:rPr>
                <w:sz w:val="21"/>
                <w:szCs w:val="21"/>
              </w:rPr>
              <w:t>青岛东海药业有限公司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11</w:t>
            </w:r>
          </w:p>
        </w:tc>
        <w:tc>
          <w:tcPr>
            <w:tcW w:w="5103" w:type="dxa"/>
            <w:vAlign w:val="center"/>
          </w:tcPr>
          <w:p>
            <w:pPr>
              <w:spacing w:line="240" w:lineRule="auto"/>
              <w:jc w:val="center"/>
              <w:rPr>
                <w:sz w:val="21"/>
                <w:szCs w:val="21"/>
              </w:rPr>
            </w:pPr>
            <w:r>
              <w:rPr>
                <w:sz w:val="21"/>
                <w:szCs w:val="21"/>
              </w:rPr>
              <w:t>泰安凌云餐饮管理有限公司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12</w:t>
            </w:r>
          </w:p>
        </w:tc>
        <w:tc>
          <w:tcPr>
            <w:tcW w:w="5103" w:type="dxa"/>
            <w:vAlign w:val="center"/>
          </w:tcPr>
          <w:p>
            <w:pPr>
              <w:spacing w:line="240" w:lineRule="auto"/>
              <w:jc w:val="center"/>
              <w:rPr>
                <w:sz w:val="21"/>
                <w:szCs w:val="21"/>
              </w:rPr>
            </w:pPr>
            <w:r>
              <w:rPr>
                <w:sz w:val="21"/>
                <w:szCs w:val="21"/>
              </w:rPr>
              <w:t>泰安悦美客食品有限公司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13</w:t>
            </w:r>
          </w:p>
        </w:tc>
        <w:tc>
          <w:tcPr>
            <w:tcW w:w="5103" w:type="dxa"/>
            <w:vAlign w:val="center"/>
          </w:tcPr>
          <w:p>
            <w:pPr>
              <w:spacing w:line="240" w:lineRule="auto"/>
              <w:jc w:val="center"/>
              <w:rPr>
                <w:sz w:val="21"/>
                <w:szCs w:val="21"/>
              </w:rPr>
            </w:pPr>
            <w:r>
              <w:rPr>
                <w:sz w:val="21"/>
                <w:szCs w:val="21"/>
              </w:rPr>
              <w:t>山东郓城华宝食品有限公司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14</w:t>
            </w:r>
          </w:p>
        </w:tc>
        <w:tc>
          <w:tcPr>
            <w:tcW w:w="5103" w:type="dxa"/>
            <w:vAlign w:val="center"/>
          </w:tcPr>
          <w:p>
            <w:pPr>
              <w:spacing w:line="240" w:lineRule="auto"/>
              <w:jc w:val="center"/>
              <w:rPr>
                <w:sz w:val="21"/>
                <w:szCs w:val="21"/>
              </w:rPr>
            </w:pPr>
            <w:r>
              <w:rPr>
                <w:sz w:val="21"/>
                <w:szCs w:val="21"/>
              </w:rPr>
              <w:t>山东百枣纲目生物科技有限公司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15</w:t>
            </w:r>
          </w:p>
        </w:tc>
        <w:tc>
          <w:tcPr>
            <w:tcW w:w="5103" w:type="dxa"/>
            <w:vAlign w:val="center"/>
          </w:tcPr>
          <w:p>
            <w:pPr>
              <w:spacing w:line="240" w:lineRule="auto"/>
              <w:jc w:val="center"/>
              <w:rPr>
                <w:sz w:val="21"/>
                <w:szCs w:val="21"/>
              </w:rPr>
            </w:pPr>
            <w:r>
              <w:rPr>
                <w:sz w:val="21"/>
                <w:szCs w:val="21"/>
              </w:rPr>
              <w:t>山东金胜粮油集团有限公司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16</w:t>
            </w:r>
          </w:p>
        </w:tc>
        <w:tc>
          <w:tcPr>
            <w:tcW w:w="5103" w:type="dxa"/>
            <w:vAlign w:val="center"/>
          </w:tcPr>
          <w:p>
            <w:pPr>
              <w:spacing w:line="240" w:lineRule="auto"/>
              <w:jc w:val="center"/>
              <w:rPr>
                <w:sz w:val="21"/>
                <w:szCs w:val="21"/>
              </w:rPr>
            </w:pPr>
            <w:r>
              <w:rPr>
                <w:sz w:val="21"/>
                <w:szCs w:val="21"/>
              </w:rPr>
              <w:t>中粮长城（烟台）葡萄酒有限公司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17</w:t>
            </w:r>
          </w:p>
        </w:tc>
        <w:tc>
          <w:tcPr>
            <w:tcW w:w="5103" w:type="dxa"/>
            <w:vAlign w:val="center"/>
          </w:tcPr>
          <w:p>
            <w:pPr>
              <w:spacing w:line="240" w:lineRule="auto"/>
              <w:jc w:val="center"/>
              <w:rPr>
                <w:sz w:val="21"/>
                <w:szCs w:val="21"/>
              </w:rPr>
            </w:pPr>
            <w:r>
              <w:rPr>
                <w:sz w:val="21"/>
                <w:szCs w:val="21"/>
              </w:rPr>
              <w:t>君顶酒庄有限公司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18</w:t>
            </w:r>
          </w:p>
        </w:tc>
        <w:tc>
          <w:tcPr>
            <w:tcW w:w="5103" w:type="dxa"/>
            <w:vAlign w:val="center"/>
          </w:tcPr>
          <w:p>
            <w:pPr>
              <w:spacing w:line="240" w:lineRule="auto"/>
              <w:jc w:val="center"/>
              <w:rPr>
                <w:sz w:val="21"/>
                <w:szCs w:val="21"/>
              </w:rPr>
            </w:pPr>
            <w:r>
              <w:rPr>
                <w:sz w:val="21"/>
                <w:szCs w:val="21"/>
              </w:rPr>
              <w:t>洁翼流体技术（上海）有限公司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19</w:t>
            </w:r>
          </w:p>
        </w:tc>
        <w:tc>
          <w:tcPr>
            <w:tcW w:w="5103" w:type="dxa"/>
            <w:vAlign w:val="center"/>
          </w:tcPr>
          <w:p>
            <w:pPr>
              <w:spacing w:line="240" w:lineRule="auto"/>
              <w:jc w:val="center"/>
              <w:rPr>
                <w:sz w:val="21"/>
                <w:szCs w:val="21"/>
              </w:rPr>
            </w:pPr>
            <w:r>
              <w:rPr>
                <w:sz w:val="21"/>
                <w:szCs w:val="21"/>
              </w:rPr>
              <w:t>山东驰中集团有限公司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20</w:t>
            </w:r>
          </w:p>
        </w:tc>
        <w:tc>
          <w:tcPr>
            <w:tcW w:w="5103" w:type="dxa"/>
            <w:vAlign w:val="center"/>
          </w:tcPr>
          <w:p>
            <w:pPr>
              <w:spacing w:line="240" w:lineRule="auto"/>
              <w:jc w:val="center"/>
              <w:rPr>
                <w:sz w:val="21"/>
                <w:szCs w:val="21"/>
              </w:rPr>
            </w:pPr>
            <w:r>
              <w:rPr>
                <w:sz w:val="21"/>
                <w:szCs w:val="21"/>
              </w:rPr>
              <w:t>菏泽天鸿果蔬有限公司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21</w:t>
            </w:r>
          </w:p>
        </w:tc>
        <w:tc>
          <w:tcPr>
            <w:tcW w:w="5103" w:type="dxa"/>
            <w:vAlign w:val="center"/>
          </w:tcPr>
          <w:p>
            <w:pPr>
              <w:spacing w:line="240" w:lineRule="auto"/>
              <w:jc w:val="center"/>
              <w:rPr>
                <w:sz w:val="21"/>
                <w:szCs w:val="21"/>
              </w:rPr>
            </w:pPr>
            <w:r>
              <w:rPr>
                <w:sz w:val="21"/>
                <w:szCs w:val="21"/>
              </w:rPr>
              <w:t>济宁市食品工业园</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22</w:t>
            </w:r>
          </w:p>
        </w:tc>
        <w:tc>
          <w:tcPr>
            <w:tcW w:w="5103" w:type="dxa"/>
            <w:vAlign w:val="center"/>
          </w:tcPr>
          <w:p>
            <w:pPr>
              <w:spacing w:line="240" w:lineRule="auto"/>
              <w:jc w:val="center"/>
              <w:rPr>
                <w:sz w:val="21"/>
                <w:szCs w:val="21"/>
              </w:rPr>
            </w:pPr>
            <w:r>
              <w:rPr>
                <w:sz w:val="21"/>
                <w:szCs w:val="21"/>
              </w:rPr>
              <w:t>临沂市康发食品饮料有限公司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23</w:t>
            </w:r>
          </w:p>
        </w:tc>
        <w:tc>
          <w:tcPr>
            <w:tcW w:w="5103" w:type="dxa"/>
            <w:vAlign w:val="center"/>
          </w:tcPr>
          <w:p>
            <w:pPr>
              <w:spacing w:line="240" w:lineRule="auto"/>
              <w:jc w:val="center"/>
              <w:rPr>
                <w:sz w:val="21"/>
                <w:szCs w:val="21"/>
              </w:rPr>
            </w:pPr>
            <w:r>
              <w:rPr>
                <w:sz w:val="21"/>
                <w:szCs w:val="21"/>
              </w:rPr>
              <w:t>山东泰山啤酒有限公司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24</w:t>
            </w:r>
          </w:p>
        </w:tc>
        <w:tc>
          <w:tcPr>
            <w:tcW w:w="5103" w:type="dxa"/>
            <w:vAlign w:val="center"/>
          </w:tcPr>
          <w:p>
            <w:pPr>
              <w:spacing w:line="240" w:lineRule="auto"/>
              <w:jc w:val="center"/>
              <w:rPr>
                <w:sz w:val="21"/>
                <w:szCs w:val="21"/>
              </w:rPr>
            </w:pPr>
            <w:r>
              <w:rPr>
                <w:sz w:val="21"/>
                <w:szCs w:val="21"/>
              </w:rPr>
              <w:t>龙大食品集团有限公司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25</w:t>
            </w:r>
          </w:p>
        </w:tc>
        <w:tc>
          <w:tcPr>
            <w:tcW w:w="5103" w:type="dxa"/>
            <w:vAlign w:val="center"/>
          </w:tcPr>
          <w:p>
            <w:pPr>
              <w:spacing w:line="240" w:lineRule="auto"/>
              <w:jc w:val="center"/>
              <w:rPr>
                <w:sz w:val="21"/>
                <w:szCs w:val="21"/>
              </w:rPr>
            </w:pPr>
            <w:r>
              <w:rPr>
                <w:sz w:val="21"/>
                <w:szCs w:val="21"/>
              </w:rPr>
              <w:t>山东金保罗食品饮料有限</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26</w:t>
            </w:r>
          </w:p>
        </w:tc>
        <w:tc>
          <w:tcPr>
            <w:tcW w:w="5103" w:type="dxa"/>
            <w:vAlign w:val="center"/>
          </w:tcPr>
          <w:p>
            <w:pPr>
              <w:spacing w:line="240" w:lineRule="auto"/>
              <w:jc w:val="center"/>
              <w:rPr>
                <w:sz w:val="21"/>
                <w:szCs w:val="21"/>
              </w:rPr>
            </w:pPr>
            <w:r>
              <w:rPr>
                <w:sz w:val="21"/>
                <w:szCs w:val="21"/>
              </w:rPr>
              <w:t>山东新绿食品有限公司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27</w:t>
            </w:r>
          </w:p>
        </w:tc>
        <w:tc>
          <w:tcPr>
            <w:tcW w:w="5103" w:type="dxa"/>
            <w:vAlign w:val="center"/>
          </w:tcPr>
          <w:p>
            <w:pPr>
              <w:spacing w:line="240" w:lineRule="auto"/>
              <w:jc w:val="center"/>
              <w:rPr>
                <w:sz w:val="21"/>
                <w:szCs w:val="21"/>
              </w:rPr>
            </w:pPr>
            <w:r>
              <w:rPr>
                <w:sz w:val="21"/>
                <w:szCs w:val="21"/>
              </w:rPr>
              <w:t>得利斯集团有限公司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28</w:t>
            </w:r>
          </w:p>
        </w:tc>
        <w:tc>
          <w:tcPr>
            <w:tcW w:w="5103" w:type="dxa"/>
            <w:vAlign w:val="center"/>
          </w:tcPr>
          <w:p>
            <w:pPr>
              <w:spacing w:line="240" w:lineRule="auto"/>
              <w:jc w:val="center"/>
              <w:rPr>
                <w:sz w:val="21"/>
                <w:szCs w:val="21"/>
              </w:rPr>
            </w:pPr>
            <w:r>
              <w:rPr>
                <w:sz w:val="21"/>
                <w:szCs w:val="21"/>
              </w:rPr>
              <w:t>山东美佳集团有限公司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4" w:type="dxa"/>
            <w:vAlign w:val="center"/>
          </w:tcPr>
          <w:p>
            <w:pPr>
              <w:spacing w:line="240" w:lineRule="auto"/>
              <w:jc w:val="center"/>
              <w:rPr>
                <w:sz w:val="21"/>
                <w:szCs w:val="21"/>
              </w:rPr>
            </w:pPr>
            <w:r>
              <w:rPr>
                <w:sz w:val="21"/>
                <w:szCs w:val="21"/>
              </w:rPr>
              <w:t>29</w:t>
            </w:r>
          </w:p>
        </w:tc>
        <w:tc>
          <w:tcPr>
            <w:tcW w:w="5103" w:type="dxa"/>
            <w:vAlign w:val="center"/>
          </w:tcPr>
          <w:p>
            <w:pPr>
              <w:spacing w:line="240" w:lineRule="auto"/>
              <w:jc w:val="center"/>
              <w:rPr>
                <w:sz w:val="21"/>
                <w:szCs w:val="21"/>
              </w:rPr>
            </w:pPr>
            <w:r>
              <w:rPr>
                <w:sz w:val="21"/>
                <w:szCs w:val="21"/>
              </w:rPr>
              <w:t>临沂新程金锣肉制品有限公司</w:t>
            </w:r>
          </w:p>
        </w:tc>
        <w:tc>
          <w:tcPr>
            <w:tcW w:w="1134" w:type="dxa"/>
            <w:vAlign w:val="center"/>
          </w:tcPr>
          <w:p>
            <w:pPr>
              <w:spacing w:line="240" w:lineRule="auto"/>
              <w:jc w:val="center"/>
              <w:rPr>
                <w:sz w:val="21"/>
                <w:szCs w:val="21"/>
              </w:rPr>
            </w:pPr>
            <w:r>
              <w:rPr>
                <w:sz w:val="21"/>
                <w:szCs w:val="21"/>
              </w:rPr>
              <w:t>校级</w:t>
            </w:r>
          </w:p>
        </w:tc>
        <w:tc>
          <w:tcPr>
            <w:tcW w:w="1355" w:type="dxa"/>
            <w:vAlign w:val="center"/>
          </w:tcPr>
          <w:p>
            <w:pPr>
              <w:spacing w:line="240" w:lineRule="auto"/>
              <w:jc w:val="center"/>
              <w:rPr>
                <w:sz w:val="21"/>
                <w:szCs w:val="21"/>
              </w:rPr>
            </w:pPr>
            <w:r>
              <w:rPr>
                <w:sz w:val="21"/>
                <w:szCs w:val="21"/>
              </w:rPr>
              <w:t>2004</w:t>
            </w:r>
          </w:p>
        </w:tc>
      </w:tr>
    </w:tbl>
    <w:p>
      <w:r>
        <w:br w:type="page"/>
      </w:r>
    </w:p>
    <w:p>
      <w:pPr>
        <w:pStyle w:val="5"/>
        <w:spacing w:before="93" w:after="93"/>
        <w:ind w:firstLine="560"/>
      </w:pPr>
      <w:r>
        <w:t>四、培养机制与特色</w:t>
      </w:r>
    </w:p>
    <w:p>
      <w:pPr>
        <w:pStyle w:val="6"/>
        <w:ind w:firstLine="480"/>
      </w:pPr>
      <w:r>
        <w:t>1.合作办学</w:t>
      </w:r>
    </w:p>
    <w:p>
      <w:pPr>
        <w:ind w:firstLine="480" w:firstLineChars="200"/>
      </w:pPr>
      <w:r>
        <w:t>根据双方共同制定的教学计划，新生入学后第一学年主要进行英语强化学习，使学生能熟练掌握并运用英语来学习英方课程打好基础，为此，我们首先在教学资源上实行了优化配置，一是英语师资向本专业适当倾斜，二是推行小班教学，提高课堂效果，三是改进教学方法，变教师一言堂的传统教学方式为互动式、启发式教学，活跃了课堂气氛，激发了学生的学习兴趣。第一学年的最后四周，由英方派教师到学校给学生做口语和听力强化训练，然后进行英语水平入学考试（难度相当于雅思6.0），教学成效显著。</w:t>
      </w:r>
    </w:p>
    <w:p>
      <w:pPr>
        <w:ind w:firstLine="480" w:firstLineChars="200"/>
      </w:pPr>
      <w:r>
        <w:t>引进了先进的教学和管理理念：在合作办学过程中，学校引进的不是简单的课程，而是一个学科或专业团队，这样能够使我们全面了解和掌握国外大学整个的教学和管理团队的运行过程。同时在与外教的交往交流中，师生也能感受到外国专家教授的国际意识以及教学、管理理念，引导教育学生树立起面向世界的视角和思维，增强了学生国际交往能力，学会与外国人和谐相处，懂得了尊重异国风俗与宗教信仰，也更加注重维护国家主权和民族尊严，拓宽了学生的国际视野。</w:t>
      </w:r>
    </w:p>
    <w:p>
      <w:pPr>
        <w:ind w:firstLine="480" w:firstLineChars="200"/>
      </w:pPr>
      <w:r>
        <w:t>引进了优秀教学团队：合作方选聘优秀的教学团队来校教学，所有教师均具有副教授以上职称，学校国际交流处处长、研究生处长和商学院院长等知名教授均来校授课，有些教师还曾是联合国粮农组织的官员，他们不仅具有多年丰富的教学经验，且大多具有多年业界的从业经历和宝贵的实践经验（如讲授金融学的steve教授曾是苏格兰银行的副行长）。他们渊博的学识及丰富的工作经历，极大地拓宽学生的国际化视野。</w:t>
      </w:r>
    </w:p>
    <w:p>
      <w:pPr>
        <w:ind w:firstLine="480" w:firstLineChars="200"/>
      </w:pPr>
      <w:r>
        <w:t>引进了先进的教学模式和培养方式：外籍教师不仅有严谨的教学态度，而且教学方法丰富多样，通过案例教学、课堂讨论、课堂答辩、演示教学等教学手段使学生接触和了解了境外教育机构的互动和启发式教学方法，拓宽了学生的思路，提高了学习的兴趣和理论联系实际的能力，使教与学良性互动，保证了课堂教学质量。</w:t>
      </w:r>
    </w:p>
    <w:p>
      <w:pPr>
        <w:ind w:firstLine="480" w:firstLineChars="200"/>
      </w:pPr>
      <w:r>
        <w:t>引进了优秀的教材：英方所授课程均采用英国原版教材，这些教材与英方大学所使用教材相同，版本新，知识新，同学们通过教材可以预习或复习英方课程，对提高课程的教学质量大有裨益。学院还组织中外教师编写了实用性强的辅助教材，同时引进了相配套的各种语音辅助教材，强化学生的听说训练，取得了显著效果。</w:t>
      </w:r>
    </w:p>
    <w:p>
      <w:pPr>
        <w:pStyle w:val="6"/>
        <w:ind w:firstLine="480"/>
      </w:pPr>
      <w:r>
        <w:t>2.教学管理</w:t>
      </w:r>
    </w:p>
    <w:p>
      <w:pPr>
        <w:ind w:firstLine="480" w:firstLineChars="200"/>
      </w:pPr>
      <w:r>
        <w:t>学院以</w:t>
      </w:r>
      <w:r>
        <w:rPr>
          <w:rFonts w:hint="eastAsia"/>
        </w:rPr>
        <w:t>“</w:t>
      </w:r>
      <w:r>
        <w:t>既重视目标管理，又重视过程管理</w:t>
      </w:r>
      <w:r>
        <w:rPr>
          <w:rFonts w:hint="eastAsia"/>
        </w:rPr>
        <w:t>”</w:t>
      </w:r>
      <w:r>
        <w:t>为指导，建立院、系、室三级教学管理体系；成立教授委员会、教学督导组等教学管理与督导机构；制定学院工作制度，完善教学质量管理规章制度，明确各有关机构、岗位职责，加强内部管理，从体制上保障教学运行顺畅。</w:t>
      </w:r>
    </w:p>
    <w:p>
      <w:pPr>
        <w:ind w:firstLine="480" w:firstLineChars="200"/>
      </w:pPr>
      <w:r>
        <w:t>全面加强各项工作管理。在学院管理上，除了院级领导班子外，分别按学科组成系，设立系主任、副主任岗位，强化系级行政与业务管理；在学生管理上，除了团委、辅导员外，通过实施本科生一、二年级班主任制，三、四年级导师制，加强学生全学程思想教育、专业引导与创新创业教育；在教学管理上，除了教学秘书外，按照本科专业设立专业主任岗位，强化教学与专业建设；通过教授委员会对教学重点工作审核与教学督导组对教学各环节检查监督，建立考核与评价机制，在疫情特殊时期，确保教学运行顺畅，保证教学质量稳步提升。</w:t>
      </w:r>
    </w:p>
    <w:p>
      <w:pPr>
        <w:ind w:firstLine="480" w:firstLineChars="200"/>
      </w:pPr>
      <w:r>
        <w:t>在合作办学过程中，学校引进的不是简单的课程，而是一个学科或专业团队，这样能够使我们全面了解和掌握国外大学整个的教学和管理团队的运行过程。同时在与外教的交往交流中，师生也能感受到外国专家教授的国际意识以及教学、管理理念，引导教育学生树立起面向世界的视角和思维，增强了学生国际交往能力，学会与国际友人和谐相处，懂得了尊重异国风俗与宗教信仰，也更加注重维护国家主权和民族尊严，拓宽了学生的国际视野。</w:t>
      </w:r>
    </w:p>
    <w:p>
      <w:pPr>
        <w:pStyle w:val="5"/>
        <w:spacing w:before="93" w:after="93"/>
        <w:ind w:firstLine="560"/>
      </w:pPr>
      <w:r>
        <w:t>五、培养质量</w:t>
      </w:r>
    </w:p>
    <w:p>
      <w:pPr>
        <w:pStyle w:val="6"/>
        <w:ind w:firstLine="480"/>
      </w:pPr>
      <w:r>
        <w:t>1.毕业生就业情况</w:t>
      </w:r>
    </w:p>
    <w:p>
      <w:pPr>
        <w:ind w:firstLine="480" w:firstLineChars="200"/>
      </w:pPr>
      <w:r>
        <w:t>2022届中英合作食品质量与安全专业毕业生121名，截止2022年8月31日，毕业生就业83人，毕业去向落实率为74.11%，毕业生毕业去向主要包括升学、出国（境）、协议就业、劳动合同就业、应征义务兵、科研助理、国家基层项目、自主创业、其他录用形式就业、自由职业、暂不就业（不就业拟升学和其他暂不就业）、待就业等多种方式就业，本专业毕业去向中升学方式就业人数最多，其次是合同方式。毕业生总体就业方式如下表所示。</w:t>
      </w:r>
    </w:p>
    <w:p>
      <w:pPr>
        <w:spacing w:line="360" w:lineRule="auto"/>
        <w:jc w:val="center"/>
        <w:rPr>
          <w:b/>
          <w:bCs/>
          <w:sz w:val="21"/>
          <w:szCs w:val="21"/>
        </w:rPr>
      </w:pPr>
      <w:r>
        <w:rPr>
          <w:b/>
          <w:bCs/>
          <w:sz w:val="21"/>
          <w:szCs w:val="21"/>
        </w:rPr>
        <w:t>毕业生就业方式统计表</w:t>
      </w:r>
    </w:p>
    <w:tbl>
      <w:tblPr>
        <w:tblStyle w:val="17"/>
        <w:tblW w:w="4997" w:type="pct"/>
        <w:tblInd w:w="0" w:type="dxa"/>
        <w:tblLayout w:type="autofit"/>
        <w:tblCellMar>
          <w:top w:w="0" w:type="dxa"/>
          <w:left w:w="0" w:type="dxa"/>
          <w:bottom w:w="0" w:type="dxa"/>
          <w:right w:w="0" w:type="dxa"/>
        </w:tblCellMar>
      </w:tblPr>
      <w:tblGrid>
        <w:gridCol w:w="1051"/>
        <w:gridCol w:w="1098"/>
        <w:gridCol w:w="993"/>
        <w:gridCol w:w="1007"/>
        <w:gridCol w:w="870"/>
        <w:gridCol w:w="1083"/>
        <w:gridCol w:w="888"/>
        <w:gridCol w:w="994"/>
        <w:gridCol w:w="886"/>
      </w:tblGrid>
      <w:tr>
        <w:tblPrEx>
          <w:tblCellMar>
            <w:top w:w="0" w:type="dxa"/>
            <w:left w:w="0" w:type="dxa"/>
            <w:bottom w:w="0" w:type="dxa"/>
            <w:right w:w="0" w:type="dxa"/>
          </w:tblCellMar>
        </w:tblPrEx>
        <w:trPr>
          <w:trHeight w:val="617" w:hRule="atLeast"/>
        </w:trPr>
        <w:tc>
          <w:tcPr>
            <w:tcW w:w="61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就业方式</w:t>
            </w:r>
          </w:p>
        </w:tc>
        <w:tc>
          <w:tcPr>
            <w:tcW w:w="5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国内</w:t>
            </w:r>
          </w:p>
          <w:p>
            <w:pPr>
              <w:spacing w:line="240" w:lineRule="auto"/>
              <w:jc w:val="center"/>
              <w:rPr>
                <w:b/>
                <w:bCs/>
                <w:sz w:val="21"/>
                <w:szCs w:val="21"/>
              </w:rPr>
            </w:pPr>
            <w:r>
              <w:rPr>
                <w:b/>
                <w:bCs/>
                <w:sz w:val="21"/>
                <w:szCs w:val="21"/>
              </w:rPr>
              <w:t>升学</w:t>
            </w:r>
          </w:p>
        </w:tc>
        <w:tc>
          <w:tcPr>
            <w:tcW w:w="48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出国</w:t>
            </w:r>
          </w:p>
        </w:tc>
        <w:tc>
          <w:tcPr>
            <w:tcW w:w="59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协议</w:t>
            </w:r>
          </w:p>
          <w:p>
            <w:pPr>
              <w:spacing w:line="240" w:lineRule="auto"/>
              <w:jc w:val="center"/>
              <w:rPr>
                <w:b/>
                <w:bCs/>
                <w:sz w:val="21"/>
                <w:szCs w:val="21"/>
              </w:rPr>
            </w:pPr>
            <w:r>
              <w:rPr>
                <w:b/>
                <w:bCs/>
                <w:sz w:val="21"/>
                <w:szCs w:val="21"/>
              </w:rPr>
              <w:t>就业</w:t>
            </w:r>
          </w:p>
        </w:tc>
        <w:tc>
          <w:tcPr>
            <w:tcW w:w="51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劳动</w:t>
            </w:r>
          </w:p>
          <w:p>
            <w:pPr>
              <w:spacing w:line="240" w:lineRule="auto"/>
              <w:jc w:val="center"/>
              <w:rPr>
                <w:b/>
                <w:bCs/>
                <w:sz w:val="21"/>
                <w:szCs w:val="21"/>
              </w:rPr>
            </w:pPr>
            <w:r>
              <w:rPr>
                <w:b/>
                <w:bCs/>
                <w:sz w:val="21"/>
                <w:szCs w:val="21"/>
              </w:rPr>
              <w:t>合同</w:t>
            </w:r>
          </w:p>
        </w:tc>
        <w:tc>
          <w:tcPr>
            <w:tcW w:w="6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自主</w:t>
            </w:r>
          </w:p>
          <w:p>
            <w:pPr>
              <w:spacing w:line="240" w:lineRule="auto"/>
              <w:jc w:val="center"/>
              <w:rPr>
                <w:b/>
                <w:bCs/>
                <w:sz w:val="21"/>
                <w:szCs w:val="21"/>
              </w:rPr>
            </w:pPr>
            <w:r>
              <w:rPr>
                <w:b/>
                <w:bCs/>
                <w:sz w:val="21"/>
                <w:szCs w:val="21"/>
              </w:rPr>
              <w:t>创业</w:t>
            </w:r>
          </w:p>
        </w:tc>
        <w:tc>
          <w:tcPr>
            <w:tcW w:w="52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其他录用</w:t>
            </w:r>
          </w:p>
          <w:p>
            <w:pPr>
              <w:spacing w:line="240" w:lineRule="auto"/>
              <w:jc w:val="center"/>
              <w:rPr>
                <w:b/>
                <w:bCs/>
                <w:sz w:val="21"/>
                <w:szCs w:val="21"/>
              </w:rPr>
            </w:pPr>
            <w:r>
              <w:rPr>
                <w:b/>
                <w:bCs/>
                <w:sz w:val="21"/>
                <w:szCs w:val="21"/>
              </w:rPr>
              <w:t>形式就业</w:t>
            </w:r>
          </w:p>
        </w:tc>
        <w:tc>
          <w:tcPr>
            <w:tcW w:w="52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暂不</w:t>
            </w:r>
          </w:p>
          <w:p>
            <w:pPr>
              <w:spacing w:line="240" w:lineRule="auto"/>
              <w:jc w:val="center"/>
              <w:rPr>
                <w:b/>
                <w:bCs/>
                <w:sz w:val="21"/>
                <w:szCs w:val="21"/>
              </w:rPr>
            </w:pPr>
            <w:r>
              <w:rPr>
                <w:b/>
                <w:bCs/>
                <w:sz w:val="21"/>
                <w:szCs w:val="21"/>
              </w:rPr>
              <w:t>就业</w:t>
            </w:r>
          </w:p>
        </w:tc>
        <w:tc>
          <w:tcPr>
            <w:tcW w:w="52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待就业</w:t>
            </w:r>
          </w:p>
        </w:tc>
      </w:tr>
      <w:tr>
        <w:tblPrEx>
          <w:tblCellMar>
            <w:top w:w="0" w:type="dxa"/>
            <w:left w:w="0" w:type="dxa"/>
            <w:bottom w:w="0" w:type="dxa"/>
            <w:right w:w="0" w:type="dxa"/>
          </w:tblCellMar>
        </w:tblPrEx>
        <w:trPr>
          <w:trHeight w:val="657" w:hRule="atLeast"/>
        </w:trPr>
        <w:tc>
          <w:tcPr>
            <w:tcW w:w="61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人数</w:t>
            </w:r>
          </w:p>
          <w:p>
            <w:pPr>
              <w:spacing w:line="240" w:lineRule="auto"/>
              <w:jc w:val="center"/>
              <w:rPr>
                <w:sz w:val="21"/>
                <w:szCs w:val="21"/>
              </w:rPr>
            </w:pPr>
            <w:r>
              <w:rPr>
                <w:sz w:val="21"/>
                <w:szCs w:val="21"/>
              </w:rPr>
              <w:t>（比例）</w:t>
            </w:r>
          </w:p>
        </w:tc>
        <w:tc>
          <w:tcPr>
            <w:tcW w:w="57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37</w:t>
            </w:r>
          </w:p>
          <w:p>
            <w:pPr>
              <w:spacing w:line="240" w:lineRule="auto"/>
              <w:jc w:val="center"/>
              <w:rPr>
                <w:sz w:val="21"/>
                <w:szCs w:val="21"/>
              </w:rPr>
            </w:pPr>
            <w:r>
              <w:rPr>
                <w:sz w:val="21"/>
                <w:szCs w:val="21"/>
              </w:rPr>
              <w:t>（33.04%）</w:t>
            </w:r>
          </w:p>
        </w:tc>
        <w:tc>
          <w:tcPr>
            <w:tcW w:w="48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9</w:t>
            </w:r>
          </w:p>
          <w:p>
            <w:pPr>
              <w:spacing w:line="240" w:lineRule="auto"/>
              <w:jc w:val="center"/>
              <w:rPr>
                <w:sz w:val="21"/>
                <w:szCs w:val="21"/>
              </w:rPr>
            </w:pPr>
            <w:r>
              <w:rPr>
                <w:sz w:val="21"/>
                <w:szCs w:val="21"/>
              </w:rPr>
              <w:t>（8.04%）</w:t>
            </w:r>
          </w:p>
        </w:tc>
        <w:tc>
          <w:tcPr>
            <w:tcW w:w="59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6</w:t>
            </w:r>
          </w:p>
          <w:p>
            <w:pPr>
              <w:spacing w:line="240" w:lineRule="auto"/>
              <w:jc w:val="center"/>
              <w:rPr>
                <w:sz w:val="21"/>
                <w:szCs w:val="21"/>
              </w:rPr>
            </w:pPr>
            <w:r>
              <w:rPr>
                <w:sz w:val="21"/>
                <w:szCs w:val="21"/>
              </w:rPr>
              <w:t>（5.36%）</w:t>
            </w:r>
          </w:p>
        </w:tc>
        <w:tc>
          <w:tcPr>
            <w:tcW w:w="51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w:t>
            </w:r>
          </w:p>
          <w:p>
            <w:pPr>
              <w:spacing w:line="240" w:lineRule="auto"/>
              <w:jc w:val="center"/>
              <w:rPr>
                <w:sz w:val="21"/>
                <w:szCs w:val="21"/>
              </w:rPr>
            </w:pPr>
            <w:r>
              <w:rPr>
                <w:sz w:val="21"/>
                <w:szCs w:val="21"/>
              </w:rPr>
              <w:t>（0%）</w:t>
            </w:r>
          </w:p>
        </w:tc>
        <w:tc>
          <w:tcPr>
            <w:tcW w:w="63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1</w:t>
            </w:r>
          </w:p>
          <w:p>
            <w:pPr>
              <w:spacing w:line="240" w:lineRule="auto"/>
              <w:jc w:val="center"/>
              <w:rPr>
                <w:sz w:val="21"/>
                <w:szCs w:val="21"/>
              </w:rPr>
            </w:pPr>
            <w:r>
              <w:rPr>
                <w:sz w:val="21"/>
                <w:szCs w:val="21"/>
              </w:rPr>
              <w:t>（0.89%）</w:t>
            </w:r>
          </w:p>
        </w:tc>
        <w:tc>
          <w:tcPr>
            <w:tcW w:w="52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30</w:t>
            </w:r>
          </w:p>
          <w:p>
            <w:pPr>
              <w:spacing w:line="240" w:lineRule="auto"/>
              <w:jc w:val="center"/>
              <w:rPr>
                <w:sz w:val="21"/>
                <w:szCs w:val="21"/>
              </w:rPr>
            </w:pPr>
            <w:r>
              <w:rPr>
                <w:sz w:val="21"/>
                <w:szCs w:val="21"/>
              </w:rPr>
              <w:t>(26,79%)</w:t>
            </w:r>
          </w:p>
        </w:tc>
        <w:tc>
          <w:tcPr>
            <w:tcW w:w="52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1</w:t>
            </w:r>
          </w:p>
          <w:p>
            <w:pPr>
              <w:spacing w:line="240" w:lineRule="auto"/>
              <w:jc w:val="center"/>
              <w:rPr>
                <w:sz w:val="21"/>
                <w:szCs w:val="21"/>
              </w:rPr>
            </w:pPr>
            <w:r>
              <w:rPr>
                <w:sz w:val="21"/>
                <w:szCs w:val="21"/>
              </w:rPr>
              <w:t>（0.89%）</w:t>
            </w:r>
          </w:p>
        </w:tc>
        <w:tc>
          <w:tcPr>
            <w:tcW w:w="52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28</w:t>
            </w:r>
          </w:p>
          <w:p>
            <w:pPr>
              <w:spacing w:line="240" w:lineRule="auto"/>
              <w:jc w:val="center"/>
              <w:rPr>
                <w:sz w:val="21"/>
                <w:szCs w:val="21"/>
              </w:rPr>
            </w:pPr>
            <w:r>
              <w:rPr>
                <w:sz w:val="21"/>
                <w:szCs w:val="21"/>
              </w:rPr>
              <w:t>（25%）</w:t>
            </w:r>
          </w:p>
        </w:tc>
      </w:tr>
    </w:tbl>
    <w:p/>
    <w:p>
      <w:pPr>
        <w:pStyle w:val="6"/>
        <w:ind w:firstLine="480"/>
      </w:pPr>
      <w:r>
        <w:t>2. 就业工作的专业对口情况</w:t>
      </w:r>
    </w:p>
    <w:p>
      <w:pPr>
        <w:ind w:firstLine="480" w:firstLineChars="200"/>
      </w:pPr>
      <w:r>
        <w:t>毕业生当前所在工作单位或者所从事工作岗位与所学专业对口率较高的共11人，占已就业总人数的29.73%。毕业生就业主要集中在中粮可口可乐企业、曲阜市中兴动物医药有限公司、淄博和易精细化工有限公司、今麦郎饮品（兖州）有限公司、莱州市明洋安装工程有限公司、泰安泰山亚细亚食品有限公司等。</w:t>
      </w:r>
    </w:p>
    <w:p>
      <w:pPr>
        <w:pStyle w:val="6"/>
        <w:ind w:firstLine="480"/>
      </w:pPr>
      <w:r>
        <w:t>3.毕业生发展情况</w:t>
      </w:r>
    </w:p>
    <w:p>
      <w:pPr>
        <w:ind w:firstLine="480" w:firstLineChars="200"/>
      </w:pPr>
      <w:r>
        <w:t>毕业生国内升学37人，升学率33.04%，其中考入</w:t>
      </w:r>
      <w:r>
        <w:rPr>
          <w:rFonts w:hint="eastAsia"/>
        </w:rPr>
        <w:t>“</w:t>
      </w:r>
      <w:r>
        <w:t>双一流</w:t>
      </w:r>
      <w:r>
        <w:rPr>
          <w:rFonts w:hint="eastAsia"/>
        </w:rPr>
        <w:t>”</w:t>
      </w:r>
      <w:r>
        <w:t>大学16人，占国内升学总人数的70.27%。从升学专业来看，跨专业升学的12人，占国内升学总人数的32.43%。升学学校主要是山东农业大学、华中农业大学、中国海洋大学等。</w:t>
      </w:r>
    </w:p>
    <w:p>
      <w:pPr>
        <w:ind w:firstLine="480" w:firstLineChars="200"/>
      </w:pPr>
      <w:r>
        <w:t>通过毕业生回访、跟踪调研，发现大多数毕业生毕业离校后，由于专业技能扎实，作风务实，具有深厚发展潜力，发展势头良好。</w:t>
      </w:r>
    </w:p>
    <w:p>
      <w:pPr>
        <w:pStyle w:val="6"/>
        <w:ind w:firstLine="480"/>
      </w:pPr>
      <w:r>
        <w:t>4.就业单位满意率</w:t>
      </w:r>
    </w:p>
    <w:p>
      <w:pPr>
        <w:ind w:firstLine="480" w:firstLineChars="200"/>
      </w:pPr>
      <w:r>
        <w:t>经对中国农业大学、中国海洋大学、江南大学、天津科技大学、南京农业大学等的调研，2022届毕业生在工作岗位上尽职尽责，受到兄弟高校和企业一致好评。</w:t>
      </w:r>
    </w:p>
    <w:p>
      <w:pPr>
        <w:ind w:firstLine="480" w:firstLineChars="200"/>
      </w:pPr>
      <w:r>
        <w:t>5.社会对专业的评价</w:t>
      </w:r>
    </w:p>
    <w:p>
      <w:pPr>
        <w:ind w:firstLine="480" w:firstLineChars="200"/>
      </w:pPr>
      <w:r>
        <w:t>通过对历届毕业生回访和用人单位反馈，企业对食品毕业生满意率高，江苏益客、南京雨润、烟台喜旺、亚太中慧等本专业稳定的毕业生企业用人单位，定期来校专场招聘毕业生，彰显了企业对毕业生的满意程度。学院与六和、龙大、益海嘉里、渤海实业集团等大型食品公司达成毕业生需求意向；研究生得到中国农业大学、中国海洋大学、江南大学、天津科技大学、北京工商大学、上海海洋大学等毕业生考研比较集中高校的一致认可，江南大学、中国海洋大学、华中农业大学等高校分别通过暑期夏令营或现场招生宣传等方式，抢占优秀毕业生生源。</w:t>
      </w:r>
    </w:p>
    <w:p>
      <w:pPr>
        <w:pStyle w:val="5"/>
        <w:spacing w:before="93" w:after="93"/>
        <w:ind w:firstLine="560"/>
      </w:pPr>
      <w:r>
        <w:t>六、创新与创业</w:t>
      </w:r>
    </w:p>
    <w:p>
      <w:pPr>
        <w:pStyle w:val="6"/>
        <w:ind w:firstLine="480"/>
      </w:pPr>
      <w:r>
        <w:t>1.创新创业情况</w:t>
      </w:r>
    </w:p>
    <w:p>
      <w:pPr>
        <w:ind w:firstLine="480" w:firstLineChars="200"/>
      </w:pPr>
      <w:r>
        <w:t>针对本项目学生二批次录取和思想相对比较活跃等特点，学院不断加强学风建设和专业思想教育，着力营造积极向上、生动活泼的学习和教育氛围。学院积极搭建平台，加强创新创业意识的培养，提升学生综合素质。积极动员该项目学生参加社会实践，在社会实践受教育、长才干。</w:t>
      </w:r>
    </w:p>
    <w:p>
      <w:pPr>
        <w:ind w:firstLine="480" w:firstLineChars="200"/>
      </w:pPr>
      <w:r>
        <w:t>2022年，2022年，中英合作食品质量与安全专业申请创新创业项目34项，其中郑静洁、李文璇、朱晓琦三位同学作为负责人所在团队申请了猴头菇多糖干预糖脂代谢的调控机制和构效关系、基于分层效应探讨具有差异润湿性精油Pickering乳液膜体系的可控构筑、亲疏双面膜——一种具有差异润湿性的可食用抗菌膜三项省级创新创业实践训练项目。2020级常宽获得第十四届山东省大学生科技节——食品加工与安全创新设计大赛省级三等奖。这些成绩的取得，充分展现了本项目学生良好的综合素质，达到了预期的培养目标。</w:t>
      </w:r>
    </w:p>
    <w:p>
      <w:pPr>
        <w:pStyle w:val="6"/>
        <w:ind w:firstLine="480"/>
      </w:pPr>
      <w:r>
        <w:t>2.采取的措施</w:t>
      </w:r>
    </w:p>
    <w:p>
      <w:pPr>
        <w:ind w:firstLine="480" w:firstLineChars="200"/>
      </w:pPr>
      <w:r>
        <w:t>（1）就业和学生党建有机结合</w:t>
      </w:r>
    </w:p>
    <w:p>
      <w:pPr>
        <w:ind w:firstLine="480" w:firstLineChars="200"/>
      </w:pPr>
      <w:r>
        <w:t>根据学生年级特点及思想变化情况，将就业教育和党建工作有机结合，贯穿大学四年学生成长全过程，制定</w:t>
      </w:r>
      <w:r>
        <w:rPr>
          <w:rFonts w:hint="eastAsia"/>
        </w:rPr>
        <w:t>“</w:t>
      </w:r>
      <w:r>
        <w:t>四段式</w:t>
      </w:r>
      <w:r>
        <w:rPr>
          <w:rFonts w:hint="eastAsia"/>
        </w:rPr>
        <w:t>”</w:t>
      </w:r>
      <w:r>
        <w:t>就业教育和</w:t>
      </w:r>
      <w:r>
        <w:rPr>
          <w:rFonts w:hint="eastAsia"/>
        </w:rPr>
        <w:t>“</w:t>
      </w:r>
      <w:r>
        <w:t>四段式</w:t>
      </w:r>
      <w:r>
        <w:rPr>
          <w:rFonts w:hint="eastAsia"/>
        </w:rPr>
        <w:t>”</w:t>
      </w:r>
      <w:r>
        <w:t>教育培养相结合方案，即大一职业规划指导与</w:t>
      </w:r>
      <w:r>
        <w:rPr>
          <w:rFonts w:hint="eastAsia"/>
        </w:rPr>
        <w:t>“</w:t>
      </w:r>
      <w:r>
        <w:t>启发计划</w:t>
      </w:r>
      <w:r>
        <w:rPr>
          <w:rFonts w:hint="eastAsia"/>
        </w:rPr>
        <w:t>”</w:t>
      </w:r>
      <w:r>
        <w:t>入党启蒙教育相结合；大二创业教育启发与入党积极分子</w:t>
      </w:r>
      <w:r>
        <w:rPr>
          <w:rFonts w:hint="eastAsia"/>
        </w:rPr>
        <w:t>“</w:t>
      </w:r>
      <w:r>
        <w:t>头雁计划</w:t>
      </w:r>
      <w:r>
        <w:rPr>
          <w:rFonts w:hint="eastAsia"/>
        </w:rPr>
        <w:t>”</w:t>
      </w:r>
      <w:r>
        <w:t>骨干教育相结合；大三</w:t>
      </w:r>
      <w:r>
        <w:rPr>
          <w:rFonts w:hint="eastAsia"/>
        </w:rPr>
        <w:t>“</w:t>
      </w:r>
      <w:r>
        <w:t>准毕业生</w:t>
      </w:r>
      <w:r>
        <w:rPr>
          <w:rFonts w:hint="eastAsia"/>
        </w:rPr>
        <w:t>”</w:t>
      </w:r>
      <w:r>
        <w:t>就业分流与预备党员</w:t>
      </w:r>
      <w:r>
        <w:rPr>
          <w:rFonts w:hint="eastAsia"/>
        </w:rPr>
        <w:t>“</w:t>
      </w:r>
      <w:r>
        <w:t>锻炼计划</w:t>
      </w:r>
      <w:r>
        <w:rPr>
          <w:rFonts w:hint="eastAsia"/>
        </w:rPr>
        <w:t>”</w:t>
      </w:r>
      <w:r>
        <w:t>模范教育相结合；大四就业教育指导与毕业生党员</w:t>
      </w:r>
      <w:r>
        <w:rPr>
          <w:rFonts w:hint="eastAsia"/>
        </w:rPr>
        <w:t>“</w:t>
      </w:r>
      <w:r>
        <w:t>旗帜计划</w:t>
      </w:r>
      <w:r>
        <w:rPr>
          <w:rFonts w:hint="eastAsia"/>
        </w:rPr>
        <w:t>”</w:t>
      </w:r>
      <w:r>
        <w:t>先锋教育相结合，实现人才培养与就业工作有效衔接，学生党建与就业工作良性互动</w:t>
      </w:r>
    </w:p>
    <w:p>
      <w:pPr>
        <w:ind w:firstLine="480" w:firstLineChars="200"/>
      </w:pPr>
      <w:r>
        <w:t>（2）构建</w:t>
      </w:r>
      <w:r>
        <w:rPr>
          <w:rFonts w:hint="eastAsia"/>
        </w:rPr>
        <w:t>“</w:t>
      </w:r>
      <w:r>
        <w:t>四位一体</w:t>
      </w:r>
      <w:r>
        <w:rPr>
          <w:rFonts w:hint="eastAsia"/>
        </w:rPr>
        <w:t>”</w:t>
      </w:r>
      <w:r>
        <w:t>就业工作体制</w:t>
      </w:r>
    </w:p>
    <w:p>
      <w:pPr>
        <w:ind w:firstLine="480" w:firstLineChars="200"/>
      </w:pPr>
      <w:r>
        <w:t>创新就业工作体制，不仅学生党支部主要干部亲抓就业，学院党委及其他教职工党支部也积极促就业，形成学院党委领导、教师党员、政工干部和学生党员</w:t>
      </w:r>
      <w:r>
        <w:rPr>
          <w:rFonts w:hint="eastAsia"/>
        </w:rPr>
        <w:t>“</w:t>
      </w:r>
      <w:r>
        <w:t>四位一体</w:t>
      </w:r>
      <w:r>
        <w:rPr>
          <w:rFonts w:hint="eastAsia"/>
        </w:rPr>
        <w:t>”</w:t>
      </w:r>
      <w:r>
        <w:t>就业工作格局。实行就业导师制，导师负责实习期间就业指导；实施学生党员帮扶制度，学生党员负责实习返校后签约高峰期的就业带动和帮扶，并把帮扶成效作为检验学生党员先进性标准。</w:t>
      </w:r>
      <w:r>
        <w:rPr>
          <w:rFonts w:hint="eastAsia"/>
        </w:rPr>
        <w:t>“</w:t>
      </w:r>
      <w:r>
        <w:t>四位一体</w:t>
      </w:r>
      <w:r>
        <w:rPr>
          <w:rFonts w:hint="eastAsia"/>
        </w:rPr>
        <w:t>”</w:t>
      </w:r>
      <w:r>
        <w:t>就业体制，培养了学生党员大局意识和责任意识，引导毕业生在客观分析形势的基础上，从实际出发确定个人就业理想，根据自身特点做出理性的选择，破除</w:t>
      </w:r>
      <w:r>
        <w:rPr>
          <w:rFonts w:hint="eastAsia"/>
        </w:rPr>
        <w:t>“</w:t>
      </w:r>
      <w:r>
        <w:t>等、靠、要</w:t>
      </w:r>
      <w:r>
        <w:rPr>
          <w:rFonts w:hint="eastAsia"/>
        </w:rPr>
        <w:t>”</w:t>
      </w:r>
      <w:r>
        <w:t>的传统就业观念，从现实出发，客观分析，理性思考。</w:t>
      </w:r>
    </w:p>
    <w:p>
      <w:pPr>
        <w:ind w:firstLine="480" w:firstLineChars="200"/>
      </w:pPr>
      <w:r>
        <w:t>（3）就业中心致力学生党员服务党建</w:t>
      </w:r>
    </w:p>
    <w:p>
      <w:pPr>
        <w:ind w:firstLine="480" w:firstLineChars="200"/>
      </w:pPr>
      <w:r>
        <w:t>就业服务中心由学生党支部大三和大四高年级学生党员组成，是协助就业辅导员统筹就业工作的学生党员组织。中心内部成员分工明确，各司其职。他们发挥学生党组织优势，搜集、整理、发布就业信息，调研毕业生所需、所想、所盼，组织毕业生招聘，举办就业指导讲座等活动，开展毕业生就业服务各项工作。通过就业服务，增强学生党员责任心和使命感。</w:t>
      </w:r>
    </w:p>
    <w:p>
      <w:pPr>
        <w:ind w:firstLine="480" w:firstLineChars="200"/>
      </w:pPr>
      <w:r>
        <w:t>（4）新媒体就业确保网络平台促进党建</w:t>
      </w:r>
    </w:p>
    <w:p>
      <w:pPr>
        <w:ind w:firstLine="480" w:firstLineChars="200"/>
      </w:pPr>
      <w:r>
        <w:t>针对大部分毕业生因实习、找工作和做毕业设计等不在校内较松散的现状，当今信息时代，网络新媒体是加强和改进学生党建的重要资源。学生党支部通过党员飞信群、毕业生QQ群、微信群和微博等网络资源发布就业招聘、时政要闻、班级就业评比公示等就业讯息，让毕业生党员能够及时浏览信息、进行网络互动并转发给自己班级同学。新媒体就业平台的利用，拓展学生党建网上教育空间，提高学生</w:t>
      </w:r>
      <w:r>
        <w:rPr>
          <w:rFonts w:hint="eastAsia"/>
        </w:rPr>
        <w:t>“</w:t>
      </w:r>
      <w:r>
        <w:t>两学一做</w:t>
      </w:r>
      <w:r>
        <w:rPr>
          <w:rFonts w:hint="eastAsia"/>
        </w:rPr>
        <w:t>”</w:t>
      </w:r>
      <w:r>
        <w:t>学习教育活动的具体性、实效性。</w:t>
      </w:r>
    </w:p>
    <w:p>
      <w:pPr>
        <w:ind w:firstLine="480" w:firstLineChars="200"/>
      </w:pPr>
      <w:r>
        <w:t>（5）建立特色创新创业项目以提高就业工作效率</w:t>
      </w:r>
    </w:p>
    <w:p>
      <w:pPr>
        <w:ind w:firstLine="480" w:firstLineChars="200"/>
      </w:pPr>
      <w:r>
        <w:t>针对本项目学生二批次录取和思想相对比较活跃等特点，学院不断加强学风建设和专业思想教育，着力营造积极向上、生动活泼的学习和教育氛围。学院积极搭建平台，加强创新创业意识的培养，提升学生综合素质。积极动员该项目学生参加社会实践，在社会实践受教育、长才干。学院一是举办食品企业创新与创业讲座和创业实践项目产品展等创新创业活动，培养学生创新创业意识。二是加强业务教师指导，提高学生学术创新能力，加大经费投入和场所支持，引导学生组建创业团队。三是加强院企合作，加大校企培养力度，邀请企业家为学子做报告，指导学生创业实践。四是搭建创新创业平台，举办</w:t>
      </w:r>
      <w:r>
        <w:rPr>
          <w:rFonts w:hint="eastAsia"/>
        </w:rPr>
        <w:t>“</w:t>
      </w:r>
      <w:r>
        <w:t>龙大杯</w:t>
      </w:r>
      <w:r>
        <w:rPr>
          <w:rFonts w:hint="eastAsia"/>
        </w:rPr>
        <w:t>”</w:t>
      </w:r>
      <w:r>
        <w:t>等创新创业大赛，完善评价激励制度，鼓励学生参加挑战杯等各种创业大赛。通过以上举措，提高学生创新创业水平，让有创新、有创意、有创业意识的学生把创意变成实践、把实践做成产品、把产品转成效益。</w:t>
      </w:r>
    </w:p>
    <w:p>
      <w:pPr>
        <w:ind w:firstLine="480" w:firstLineChars="200"/>
      </w:pPr>
      <w:r>
        <w:t>（6）以毕业指导老师为主，加大就业工作力度</w:t>
      </w:r>
    </w:p>
    <w:p>
      <w:pPr>
        <w:ind w:firstLine="480" w:firstLineChars="200"/>
      </w:pPr>
      <w:r>
        <w:t>学院多次召开就业动员大会，确定了以毕业导师对学生就业的负责制，通过导师帮助联系单位、关心学生、做好学生思想工作等切实的帮助，加大专业就业的工作力度。</w:t>
      </w:r>
    </w:p>
    <w:p>
      <w:pPr>
        <w:pStyle w:val="6"/>
        <w:ind w:firstLine="480"/>
      </w:pPr>
      <w:r>
        <w:t>3.典型案例</w:t>
      </w:r>
    </w:p>
    <w:p>
      <w:pPr>
        <w:ind w:firstLine="480" w:firstLineChars="200"/>
      </w:pPr>
      <w:r>
        <w:t>2019级蔡颖萱授权实用新型专利3项，发表论文3篇、2019级胡新宇同学发表论文3篇、19级陈泓汝以共同第一作者发表影响因子为8的论文一篇。</w:t>
      </w:r>
    </w:p>
    <w:p>
      <w:pPr>
        <w:pStyle w:val="6"/>
        <w:spacing w:before="96" w:after="24"/>
        <w:ind w:firstLine="480"/>
      </w:pPr>
      <w:r>
        <w:t>七、专业发展趋势及建议</w:t>
      </w:r>
    </w:p>
    <w:p>
      <w:pPr>
        <w:ind w:firstLine="480" w:firstLineChars="200"/>
      </w:pPr>
      <w:r>
        <w:t>立足教研课题，利用</w:t>
      </w:r>
      <w:r>
        <w:rPr>
          <w:rFonts w:hint="eastAsia"/>
        </w:rPr>
        <w:t>“</w:t>
      </w:r>
      <w:r>
        <w:t>利益相关者</w:t>
      </w:r>
      <w:r>
        <w:rPr>
          <w:rFonts w:hint="eastAsia"/>
        </w:rPr>
        <w:t>”</w:t>
      </w:r>
      <w:r>
        <w:t>理论探析山东省食品产业结构及区域发展与山东高校食品专业建设之间的人才供求关系，提出山东省应用型本科专业建设的新途径。明确专业发展方向及人才培养目标，完善人才培养方案及课程体系，探索搭建协同育人平台，建设双能型教师队伍的具体方法与实现路径，建立校企协同育人机制，以</w:t>
      </w:r>
      <w:r>
        <w:rPr>
          <w:rFonts w:hint="eastAsia"/>
        </w:rPr>
        <w:t>“</w:t>
      </w:r>
      <w:r>
        <w:t>产出导向</w:t>
      </w:r>
      <w:r>
        <w:rPr>
          <w:rFonts w:hint="eastAsia"/>
        </w:rPr>
        <w:t>”</w:t>
      </w:r>
      <w:r>
        <w:t xml:space="preserve"> 教育理念确定应用型人才培养模式。八、存在的问题及整改措施</w:t>
      </w:r>
    </w:p>
    <w:p>
      <w:pPr>
        <w:ind w:firstLine="480" w:firstLineChars="200"/>
      </w:pPr>
      <w:r>
        <w:t>存在问题：</w:t>
      </w:r>
    </w:p>
    <w:p>
      <w:pPr>
        <w:ind w:firstLine="480" w:firstLineChars="200"/>
      </w:pPr>
      <w:r>
        <w:t>疫情特殊时期的在线授课由于中英双方所处情况不同，没有达到很好的教学效果。</w:t>
      </w:r>
    </w:p>
    <w:p>
      <w:pPr>
        <w:ind w:firstLine="480" w:firstLineChars="200"/>
      </w:pPr>
      <w:r>
        <w:t>整改措施：</w:t>
      </w:r>
    </w:p>
    <w:p>
      <w:pPr>
        <w:ind w:firstLine="480" w:firstLineChars="200"/>
      </w:pPr>
      <w:r>
        <w:t>1.项目管理委员会经过多次会议讨论，对接双方能够共用的平台，通过组建QQ群、微信群等手段，尽可能优化在线授课效果。</w:t>
      </w:r>
    </w:p>
    <w:p>
      <w:pPr>
        <w:ind w:firstLine="480" w:firstLineChars="200"/>
      </w:pPr>
      <w:r>
        <w:t>2.加强对外教教学的管理和教学全过程的监控，定期召开学生座谈会，全面掌握外教教学状态及教学效果，对教学效果及道德修养达不到要求的外教及时进行调整，以确保教学质量稳步提高。</w:t>
      </w:r>
    </w:p>
    <w:p>
      <w:pPr>
        <w:ind w:firstLine="480" w:firstLineChars="200"/>
      </w:pPr>
      <w:r>
        <w:t>3. 进一步完善并实施针对外教教学质量的考核、监督、评价、淘汰的教学管理机制。</w:t>
      </w:r>
    </w:p>
    <w:p>
      <w:r>
        <w:br w:type="page"/>
      </w:r>
    </w:p>
    <w:p>
      <w:pPr>
        <w:pStyle w:val="4"/>
        <w:ind w:firstLine="600"/>
      </w:pPr>
      <w:bookmarkStart w:id="474" w:name="_Toc25319"/>
      <w:bookmarkStart w:id="475" w:name="_Toc16365"/>
      <w:bookmarkStart w:id="476" w:name="_Toc30856"/>
      <w:bookmarkStart w:id="477" w:name="_Toc439256232"/>
      <w:bookmarkStart w:id="478" w:name="_Toc8109"/>
      <w:r>
        <w:t>专业四十</w:t>
      </w:r>
      <w:r>
        <w:rPr>
          <w:rFonts w:hint="eastAsia"/>
          <w:lang w:val="en-US"/>
        </w:rPr>
        <w:t>六</w:t>
      </w:r>
      <w:r>
        <w:t>：葡萄与葡萄酒工程</w:t>
      </w:r>
      <w:bookmarkEnd w:id="474"/>
      <w:bookmarkEnd w:id="475"/>
      <w:bookmarkEnd w:id="476"/>
      <w:bookmarkEnd w:id="477"/>
      <w:bookmarkEnd w:id="478"/>
    </w:p>
    <w:p>
      <w:pPr>
        <w:pStyle w:val="5"/>
        <w:spacing w:before="93" w:after="93"/>
        <w:ind w:firstLine="560"/>
      </w:pPr>
      <w:r>
        <w:t>一、人才培养目标</w:t>
      </w:r>
    </w:p>
    <w:p>
      <w:pPr>
        <w:adjustRightInd w:val="0"/>
        <w:snapToGrid w:val="0"/>
        <w:ind w:firstLine="480"/>
        <w:rPr>
          <w:color w:val="000000"/>
        </w:rPr>
      </w:pPr>
      <w:r>
        <w:rPr>
          <w:color w:val="000000"/>
        </w:rPr>
        <w:t>本专业立足我国目前快速发展的葡萄酒产业背景，针对基础性强、涉及面广、知识更新快等专业特点，培养能够承担社会责任、</w:t>
      </w:r>
      <w:r>
        <w:rPr>
          <w:rFonts w:hint="eastAsia"/>
          <w:color w:val="000000"/>
        </w:rPr>
        <w:t>“</w:t>
      </w:r>
      <w:r>
        <w:rPr>
          <w:color w:val="000000"/>
        </w:rPr>
        <w:t>德智体美劳</w:t>
      </w:r>
      <w:r>
        <w:rPr>
          <w:rFonts w:hint="eastAsia"/>
          <w:color w:val="000000"/>
        </w:rPr>
        <w:t>”</w:t>
      </w:r>
      <w:r>
        <w:rPr>
          <w:color w:val="000000"/>
        </w:rPr>
        <w:t>全面发展，具有坚定理想信念、良好道德情操、扎实科学理论、工程技术和实践技能的社会主义事业可靠接班人和合格建设者。毕业生经5年左右的职业历练，成长为基础理论扎实、创新实践能力强、具有国际化视野的葡萄酒工程技术人才和品牌文化建设者，并达成以下培养目标：</w:t>
      </w:r>
    </w:p>
    <w:p>
      <w:pPr>
        <w:adjustRightInd w:val="0"/>
        <w:snapToGrid w:val="0"/>
        <w:ind w:firstLine="480"/>
        <w:rPr>
          <w:color w:val="000000"/>
        </w:rPr>
      </w:pPr>
      <w:r>
        <w:rPr>
          <w:color w:val="000000"/>
        </w:rPr>
        <w:t>培养目标1：能坚持正确的政治方向，具备良好的人文素养、高度的社会责任感、国际视野和团队合作与领导能力，德智体美劳全面发展；</w:t>
      </w:r>
    </w:p>
    <w:p>
      <w:pPr>
        <w:adjustRightInd w:val="0"/>
        <w:snapToGrid w:val="0"/>
        <w:ind w:firstLine="480"/>
        <w:rPr>
          <w:color w:val="000000"/>
        </w:rPr>
      </w:pPr>
      <w:r>
        <w:rPr>
          <w:color w:val="000000"/>
        </w:rPr>
        <w:t>培养目标2：具有葡萄栽培与管理，葡萄酒酿造技术、微生物培养与选育、葡萄酒品鉴、葡萄酒工厂设计、管理与营销等基本知识技能和创新创业能力。</w:t>
      </w:r>
    </w:p>
    <w:p>
      <w:pPr>
        <w:adjustRightInd w:val="0"/>
        <w:snapToGrid w:val="0"/>
        <w:ind w:firstLine="480"/>
        <w:rPr>
          <w:color w:val="000000"/>
        </w:rPr>
      </w:pPr>
      <w:r>
        <w:rPr>
          <w:color w:val="000000"/>
        </w:rPr>
        <w:t>培养目标3：能运用所学知识对葡萄与葡萄酒工程以及酿酒工程较复杂的工程问题分析评价，能够提出切实可行的解决方案，并能对解决方案的实施效果进行预测、评价和交流。</w:t>
      </w:r>
    </w:p>
    <w:p>
      <w:pPr>
        <w:adjustRightInd w:val="0"/>
        <w:snapToGrid w:val="0"/>
        <w:ind w:firstLine="480"/>
        <w:rPr>
          <w:color w:val="000000"/>
        </w:rPr>
      </w:pPr>
      <w:r>
        <w:rPr>
          <w:color w:val="000000"/>
        </w:rPr>
        <w:t>培养目标4：能在葡萄与葡萄酒的生产、加工、流通及教育、研究、进出口贸易、卫生监督、安全管理等相关部门，从事葡萄酒或相关产品的科学研究、技术开发、产品研发、工程设计、生产管理、质量控制、产品销售、文化推广、检验检疫、教育教学等方面工作。</w:t>
      </w:r>
    </w:p>
    <w:p>
      <w:pPr>
        <w:pStyle w:val="5"/>
        <w:spacing w:before="93" w:after="93"/>
        <w:ind w:firstLine="560"/>
      </w:pPr>
      <w:r>
        <w:t>二、培养能力</w:t>
      </w:r>
    </w:p>
    <w:p>
      <w:pPr>
        <w:pStyle w:val="7"/>
        <w:ind w:firstLine="480"/>
      </w:pPr>
      <w:r>
        <w:t>1.专业设置情况</w:t>
      </w:r>
    </w:p>
    <w:p>
      <w:pPr>
        <w:adjustRightInd w:val="0"/>
        <w:snapToGrid w:val="0"/>
        <w:ind w:firstLine="480"/>
        <w:rPr>
          <w:color w:val="000000"/>
        </w:rPr>
      </w:pPr>
      <w:r>
        <w:rPr>
          <w:color w:val="000000"/>
        </w:rPr>
        <w:t>葡萄与葡萄酒工程专业的前身为我校20世纪50年代的果酒酿造学科，2005年获教育部批准设立，2006年开始招生，是山东省内高校设置最早的葡萄酒专业。本专业立足我省葡萄酒产业资源优势，以我校食品科学与工程一级学科博士点、山东省食品科学重点学科为依托，同时构建由高校、企业、产业协会组成的产学研教学指导委员会，配套建设酿酒工程试验室、葡萄酒品评室、酒文化长廊等，突出实践育人环节、强化创新创业教育。</w:t>
      </w:r>
    </w:p>
    <w:p>
      <w:pPr>
        <w:adjustRightInd w:val="0"/>
        <w:snapToGrid w:val="0"/>
        <w:ind w:firstLine="480"/>
        <w:rPr>
          <w:color w:val="000000"/>
        </w:rPr>
      </w:pPr>
      <w:r>
        <w:rPr>
          <w:color w:val="000000"/>
        </w:rPr>
        <w:t>根据目前我国葡萄酒行业发展现状和规模，本专业采取小班化教学模式，每年招收1个教学班约20人。通过引育</w:t>
      </w:r>
      <w:r>
        <w:rPr>
          <w:rFonts w:hint="eastAsia"/>
          <w:color w:val="000000"/>
        </w:rPr>
        <w:t>“</w:t>
      </w:r>
      <w:r>
        <w:rPr>
          <w:color w:val="000000"/>
        </w:rPr>
        <w:t>双师双能型</w:t>
      </w:r>
      <w:r>
        <w:rPr>
          <w:rFonts w:hint="eastAsia"/>
          <w:color w:val="000000"/>
        </w:rPr>
        <w:t>”</w:t>
      </w:r>
      <w:r>
        <w:rPr>
          <w:color w:val="000000"/>
        </w:rPr>
        <w:t>师资，优化专任教师学历、职业资格和从业经验等组成，强化学生技能培训和企业实践锻炼等，形成了以葡萄酒为核心，以酿酒工程为手段，以葡萄酒行业技术型、国际化、高水平应用与管理人才需求为导向的教育培养体系。</w:t>
      </w:r>
    </w:p>
    <w:p>
      <w:pPr>
        <w:pStyle w:val="7"/>
        <w:ind w:firstLine="480"/>
      </w:pPr>
      <w:r>
        <w:t>2.在校生规模</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414"/>
        <w:gridCol w:w="874"/>
        <w:gridCol w:w="874"/>
        <w:gridCol w:w="874"/>
        <w:gridCol w:w="2993"/>
        <w:gridCol w:w="8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5" w:hRule="atLeast"/>
          <w:jc w:val="center"/>
        </w:trPr>
        <w:tc>
          <w:tcPr>
            <w:tcW w:w="1356" w:type="pct"/>
            <w:noWrap/>
            <w:vAlign w:val="center"/>
          </w:tcPr>
          <w:p>
            <w:pPr>
              <w:adjustRightInd w:val="0"/>
              <w:snapToGrid w:val="0"/>
              <w:spacing w:line="300" w:lineRule="auto"/>
              <w:jc w:val="center"/>
              <w:rPr>
                <w:sz w:val="21"/>
                <w:szCs w:val="21"/>
              </w:rPr>
            </w:pPr>
            <w:r>
              <w:rPr>
                <w:sz w:val="21"/>
                <w:szCs w:val="21"/>
              </w:rPr>
              <w:t>入学年度</w:t>
            </w:r>
          </w:p>
        </w:tc>
        <w:tc>
          <w:tcPr>
            <w:tcW w:w="491" w:type="pct"/>
            <w:vAlign w:val="center"/>
          </w:tcPr>
          <w:p>
            <w:pPr>
              <w:adjustRightInd w:val="0"/>
              <w:snapToGrid w:val="0"/>
              <w:spacing w:line="300" w:lineRule="auto"/>
              <w:jc w:val="center"/>
              <w:rPr>
                <w:sz w:val="21"/>
                <w:szCs w:val="21"/>
              </w:rPr>
            </w:pPr>
            <w:r>
              <w:rPr>
                <w:sz w:val="21"/>
                <w:szCs w:val="21"/>
              </w:rPr>
              <w:t>2019</w:t>
            </w:r>
          </w:p>
        </w:tc>
        <w:tc>
          <w:tcPr>
            <w:tcW w:w="491" w:type="pct"/>
            <w:vAlign w:val="center"/>
          </w:tcPr>
          <w:p>
            <w:pPr>
              <w:adjustRightInd w:val="0"/>
              <w:snapToGrid w:val="0"/>
              <w:spacing w:line="300" w:lineRule="auto"/>
              <w:jc w:val="center"/>
              <w:rPr>
                <w:sz w:val="21"/>
                <w:szCs w:val="21"/>
              </w:rPr>
            </w:pPr>
            <w:r>
              <w:rPr>
                <w:sz w:val="21"/>
                <w:szCs w:val="21"/>
              </w:rPr>
              <w:t>2020</w:t>
            </w:r>
          </w:p>
        </w:tc>
        <w:tc>
          <w:tcPr>
            <w:tcW w:w="491" w:type="pct"/>
            <w:vAlign w:val="center"/>
          </w:tcPr>
          <w:p>
            <w:pPr>
              <w:adjustRightInd w:val="0"/>
              <w:snapToGrid w:val="0"/>
              <w:spacing w:line="300" w:lineRule="auto"/>
              <w:jc w:val="center"/>
              <w:rPr>
                <w:sz w:val="21"/>
                <w:szCs w:val="21"/>
              </w:rPr>
            </w:pPr>
            <w:r>
              <w:rPr>
                <w:sz w:val="21"/>
                <w:szCs w:val="21"/>
              </w:rPr>
              <w:t>2021</w:t>
            </w:r>
          </w:p>
        </w:tc>
        <w:tc>
          <w:tcPr>
            <w:tcW w:w="1681" w:type="pct"/>
            <w:vAlign w:val="center"/>
          </w:tcPr>
          <w:p>
            <w:pPr>
              <w:adjustRightInd w:val="0"/>
              <w:snapToGrid w:val="0"/>
              <w:spacing w:line="300" w:lineRule="auto"/>
              <w:jc w:val="center"/>
              <w:rPr>
                <w:sz w:val="21"/>
                <w:szCs w:val="21"/>
              </w:rPr>
            </w:pPr>
            <w:r>
              <w:rPr>
                <w:sz w:val="21"/>
                <w:szCs w:val="21"/>
              </w:rPr>
              <w:t>2022</w:t>
            </w:r>
          </w:p>
        </w:tc>
        <w:tc>
          <w:tcPr>
            <w:tcW w:w="491" w:type="pct"/>
            <w:vAlign w:val="center"/>
          </w:tcPr>
          <w:p>
            <w:pPr>
              <w:adjustRightInd w:val="0"/>
              <w:snapToGrid w:val="0"/>
              <w:spacing w:line="300" w:lineRule="auto"/>
              <w:jc w:val="center"/>
              <w:rPr>
                <w:sz w:val="21"/>
                <w:szCs w:val="21"/>
              </w:rPr>
            </w:pPr>
            <w:r>
              <w:rPr>
                <w:sz w:val="21"/>
                <w:szCs w:val="21"/>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35" w:hRule="atLeast"/>
          <w:jc w:val="center"/>
        </w:trPr>
        <w:tc>
          <w:tcPr>
            <w:tcW w:w="1356" w:type="pct"/>
            <w:noWrap/>
            <w:vAlign w:val="center"/>
          </w:tcPr>
          <w:p>
            <w:pPr>
              <w:adjustRightInd w:val="0"/>
              <w:snapToGrid w:val="0"/>
              <w:spacing w:line="300" w:lineRule="auto"/>
              <w:jc w:val="center"/>
              <w:rPr>
                <w:sz w:val="21"/>
                <w:szCs w:val="21"/>
              </w:rPr>
            </w:pPr>
            <w:r>
              <w:rPr>
                <w:sz w:val="21"/>
                <w:szCs w:val="21"/>
              </w:rPr>
              <w:t>在校学生人数</w:t>
            </w:r>
          </w:p>
        </w:tc>
        <w:tc>
          <w:tcPr>
            <w:tcW w:w="491" w:type="pct"/>
            <w:vAlign w:val="center"/>
          </w:tcPr>
          <w:p>
            <w:pPr>
              <w:adjustRightInd w:val="0"/>
              <w:snapToGrid w:val="0"/>
              <w:spacing w:line="300" w:lineRule="auto"/>
              <w:jc w:val="center"/>
              <w:rPr>
                <w:sz w:val="21"/>
                <w:szCs w:val="21"/>
              </w:rPr>
            </w:pPr>
            <w:r>
              <w:rPr>
                <w:sz w:val="21"/>
                <w:szCs w:val="21"/>
              </w:rPr>
              <w:t>20</w:t>
            </w:r>
          </w:p>
        </w:tc>
        <w:tc>
          <w:tcPr>
            <w:tcW w:w="491" w:type="pct"/>
            <w:vAlign w:val="center"/>
          </w:tcPr>
          <w:p>
            <w:pPr>
              <w:adjustRightInd w:val="0"/>
              <w:snapToGrid w:val="0"/>
              <w:spacing w:line="300" w:lineRule="auto"/>
              <w:jc w:val="center"/>
              <w:rPr>
                <w:sz w:val="21"/>
                <w:szCs w:val="21"/>
              </w:rPr>
            </w:pPr>
            <w:r>
              <w:rPr>
                <w:sz w:val="21"/>
                <w:szCs w:val="21"/>
              </w:rPr>
              <w:t>13</w:t>
            </w:r>
          </w:p>
        </w:tc>
        <w:tc>
          <w:tcPr>
            <w:tcW w:w="491" w:type="pct"/>
            <w:vAlign w:val="center"/>
          </w:tcPr>
          <w:p>
            <w:pPr>
              <w:adjustRightInd w:val="0"/>
              <w:snapToGrid w:val="0"/>
              <w:spacing w:line="300" w:lineRule="auto"/>
              <w:jc w:val="center"/>
              <w:rPr>
                <w:sz w:val="21"/>
                <w:szCs w:val="21"/>
              </w:rPr>
            </w:pPr>
            <w:r>
              <w:rPr>
                <w:sz w:val="21"/>
                <w:szCs w:val="21"/>
              </w:rPr>
              <w:t>13</w:t>
            </w:r>
          </w:p>
        </w:tc>
        <w:tc>
          <w:tcPr>
            <w:tcW w:w="1681" w:type="pct"/>
            <w:vAlign w:val="center"/>
          </w:tcPr>
          <w:p>
            <w:pPr>
              <w:adjustRightInd w:val="0"/>
              <w:snapToGrid w:val="0"/>
              <w:spacing w:line="300" w:lineRule="auto"/>
              <w:jc w:val="center"/>
              <w:rPr>
                <w:sz w:val="21"/>
                <w:szCs w:val="21"/>
              </w:rPr>
            </w:pPr>
            <w:r>
              <w:rPr>
                <w:sz w:val="21"/>
                <w:szCs w:val="21"/>
              </w:rPr>
              <w:t>226（大类招生）</w:t>
            </w:r>
          </w:p>
        </w:tc>
        <w:tc>
          <w:tcPr>
            <w:tcW w:w="491" w:type="pct"/>
            <w:vAlign w:val="center"/>
          </w:tcPr>
          <w:p>
            <w:pPr>
              <w:adjustRightInd w:val="0"/>
              <w:snapToGrid w:val="0"/>
              <w:spacing w:line="300" w:lineRule="auto"/>
              <w:jc w:val="center"/>
              <w:rPr>
                <w:sz w:val="21"/>
                <w:szCs w:val="21"/>
              </w:rPr>
            </w:pPr>
            <w:r>
              <w:rPr>
                <w:sz w:val="21"/>
                <w:szCs w:val="21"/>
              </w:rPr>
              <w:t>272</w:t>
            </w:r>
          </w:p>
        </w:tc>
      </w:tr>
    </w:tbl>
    <w:p>
      <w:pPr>
        <w:pStyle w:val="7"/>
        <w:ind w:firstLine="480"/>
      </w:pPr>
      <w:r>
        <w:t>3.课程设置情况</w:t>
      </w:r>
    </w:p>
    <w:p>
      <w:pPr>
        <w:adjustRightInd w:val="0"/>
        <w:snapToGrid w:val="0"/>
        <w:ind w:firstLine="480"/>
        <w:rPr>
          <w:color w:val="000000"/>
        </w:rPr>
      </w:pPr>
      <w:r>
        <w:rPr>
          <w:color w:val="000000"/>
        </w:rPr>
        <w:t>在满足人才培养目标的需要同时，结合学科发展和葡萄酒产业发展需求的定位构建新的课程体系，以适应人才培养规格及满足学生多样化发展的需要。2022年修订了专业培养方案，进一步突出专业认证的教育理念，强化实践教学和创新创业教育。根据人才培养目标，建立能够支撑培养目标的课程体系，调整了学科基础课、专业核心课程、专业方向课及专业拓展课的组成。核心课程包括酿酒葡萄栽培学、葡萄品种学、葡萄酒化学、葡萄酒鉴赏学、食品微生物学、食品工程原理、酿造酒工艺学、酿酒机械与设备、酿酒工厂设计等。主要实践性教学环节（含实验）包括：基础化学实验、物理化学与胶体化学实验、酿酒葡萄栽培学实验、葡萄品种学实验、食品微生物学实验、葡萄酒化学实验、葡萄酒分析实验、葡萄酒鉴赏学实验、酿酒机械与设备实验、葡萄与葡萄酒工程专业认识实习、葡萄与葡萄酒工程综合课程设计、专业综合实习、酿酒工艺实习、金工实习、酿酒工厂实习、创业实践、毕业实习、毕业论文等。新的培养方案毕业总学分不少于170学分。毕业总学分不少于170学分。其中，必修课148学分、选修课22学分；实践教学学分53.5（含操作性实验课学分和实践学分，其中理论课所含的实验实训学分按所占理论课学时进行换算），占总学分的31.5%。</w:t>
      </w:r>
    </w:p>
    <w:p>
      <w:pPr>
        <w:pStyle w:val="7"/>
        <w:ind w:firstLine="480"/>
      </w:pPr>
      <w:r>
        <w:t>4.创新创业教育</w:t>
      </w:r>
    </w:p>
    <w:p>
      <w:pPr>
        <w:adjustRightInd w:val="0"/>
        <w:snapToGrid w:val="0"/>
        <w:ind w:firstLine="480"/>
        <w:rPr>
          <w:color w:val="000000"/>
        </w:rPr>
      </w:pPr>
      <w:r>
        <w:rPr>
          <w:color w:val="000000"/>
        </w:rPr>
        <w:t>以学生为中心，针对该专业学生对未来就业比较迷茫，不知到毕业后具体从事什么职业，职业具体内容是什么等实际问题，组织《葡萄与葡萄酒工程专业职业规划系列讲座》，主讲人是我院葡萄与葡萄酒工程专业的优秀毕业生同学。因疫情原因，讲座采用线上讲授，在校生集中听课的形式进行。</w:t>
      </w:r>
    </w:p>
    <w:tbl>
      <w:tblPr>
        <w:tblStyle w:val="17"/>
        <w:tblW w:w="8758" w:type="dxa"/>
        <w:tblInd w:w="0" w:type="dxa"/>
        <w:tblLayout w:type="fixed"/>
        <w:tblCellMar>
          <w:top w:w="0" w:type="dxa"/>
          <w:left w:w="108" w:type="dxa"/>
          <w:bottom w:w="0" w:type="dxa"/>
          <w:right w:w="108" w:type="dxa"/>
        </w:tblCellMar>
      </w:tblPr>
      <w:tblGrid>
        <w:gridCol w:w="742"/>
        <w:gridCol w:w="3004"/>
        <w:gridCol w:w="993"/>
        <w:gridCol w:w="2003"/>
        <w:gridCol w:w="2016"/>
      </w:tblGrid>
      <w:tr>
        <w:tblPrEx>
          <w:tblCellMar>
            <w:top w:w="0" w:type="dxa"/>
            <w:left w:w="108" w:type="dxa"/>
            <w:bottom w:w="0" w:type="dxa"/>
            <w:right w:w="108" w:type="dxa"/>
          </w:tblCellMar>
        </w:tblPrEx>
        <w:trPr>
          <w:trHeight w:val="482" w:hRule="atLeast"/>
        </w:trPr>
        <w:tc>
          <w:tcPr>
            <w:tcW w:w="8758" w:type="dxa"/>
            <w:gridSpan w:val="5"/>
            <w:tcBorders>
              <w:top w:val="nil"/>
              <w:left w:val="nil"/>
              <w:bottom w:val="single" w:color="auto" w:sz="4" w:space="0"/>
              <w:right w:val="nil"/>
            </w:tcBorders>
            <w:shd w:val="clear" w:color="auto" w:fill="auto"/>
            <w:noWrap/>
            <w:vAlign w:val="center"/>
          </w:tcPr>
          <w:p>
            <w:pPr>
              <w:widowControl/>
              <w:adjustRightInd w:val="0"/>
              <w:snapToGrid w:val="0"/>
              <w:spacing w:line="240" w:lineRule="auto"/>
              <w:ind w:firstLine="720"/>
              <w:jc w:val="center"/>
              <w:rPr>
                <w:b/>
                <w:color w:val="000000"/>
                <w:kern w:val="0"/>
                <w:sz w:val="21"/>
                <w:szCs w:val="21"/>
              </w:rPr>
            </w:pPr>
            <w:r>
              <w:rPr>
                <w:b/>
                <w:color w:val="000000"/>
                <w:kern w:val="0"/>
                <w:sz w:val="21"/>
                <w:szCs w:val="21"/>
              </w:rPr>
              <w:t>2022年葡萄与葡萄酒工程专业职业规划系列讲座</w:t>
            </w:r>
          </w:p>
        </w:tc>
      </w:tr>
      <w:tr>
        <w:tblPrEx>
          <w:tblCellMar>
            <w:top w:w="0" w:type="dxa"/>
            <w:left w:w="108" w:type="dxa"/>
            <w:bottom w:w="0" w:type="dxa"/>
            <w:right w:w="108" w:type="dxa"/>
          </w:tblCellMar>
        </w:tblPrEx>
        <w:trPr>
          <w:trHeight w:val="482" w:hRule="atLeast"/>
        </w:trPr>
        <w:tc>
          <w:tcPr>
            <w:tcW w:w="742" w:type="dxa"/>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序号</w:t>
            </w:r>
          </w:p>
        </w:tc>
        <w:tc>
          <w:tcPr>
            <w:tcW w:w="3004"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讲座题目</w:t>
            </w:r>
          </w:p>
        </w:tc>
        <w:tc>
          <w:tcPr>
            <w:tcW w:w="993"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主讲人</w:t>
            </w:r>
          </w:p>
        </w:tc>
        <w:tc>
          <w:tcPr>
            <w:tcW w:w="2003"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职务</w:t>
            </w:r>
          </w:p>
        </w:tc>
        <w:tc>
          <w:tcPr>
            <w:tcW w:w="2016"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公司名称</w:t>
            </w:r>
          </w:p>
        </w:tc>
      </w:tr>
      <w:tr>
        <w:tblPrEx>
          <w:tblCellMar>
            <w:top w:w="0" w:type="dxa"/>
            <w:left w:w="108" w:type="dxa"/>
            <w:bottom w:w="0" w:type="dxa"/>
            <w:right w:w="108" w:type="dxa"/>
          </w:tblCellMar>
        </w:tblPrEx>
        <w:trPr>
          <w:trHeight w:val="482" w:hRule="atLeast"/>
        </w:trPr>
        <w:tc>
          <w:tcPr>
            <w:tcW w:w="742" w:type="dxa"/>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1</w:t>
            </w:r>
          </w:p>
        </w:tc>
        <w:tc>
          <w:tcPr>
            <w:tcW w:w="3004"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葡萄与葡萄酒专业职业规划系列讲座——酿酒师</w:t>
            </w:r>
          </w:p>
        </w:tc>
        <w:tc>
          <w:tcPr>
            <w:tcW w:w="993"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刘</w:t>
            </w:r>
            <w:r>
              <w:rPr>
                <w:rFonts w:hint="eastAsia"/>
                <w:color w:val="000000"/>
                <w:kern w:val="0"/>
                <w:sz w:val="21"/>
                <w:szCs w:val="21"/>
              </w:rPr>
              <w:t xml:space="preserve">  </w:t>
            </w:r>
            <w:r>
              <w:rPr>
                <w:color w:val="000000"/>
                <w:kern w:val="0"/>
                <w:sz w:val="21"/>
                <w:szCs w:val="21"/>
              </w:rPr>
              <w:t>伟</w:t>
            </w:r>
          </w:p>
        </w:tc>
        <w:tc>
          <w:tcPr>
            <w:tcW w:w="2003"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center"/>
              <w:rPr>
                <w:color w:val="000000"/>
                <w:kern w:val="0"/>
                <w:sz w:val="21"/>
                <w:szCs w:val="21"/>
              </w:rPr>
            </w:pPr>
            <w:r>
              <w:rPr>
                <w:color w:val="000000"/>
                <w:kern w:val="0"/>
                <w:sz w:val="21"/>
                <w:szCs w:val="21"/>
              </w:rPr>
              <w:t>培训及管理榨季实验室技术员</w:t>
            </w:r>
          </w:p>
        </w:tc>
        <w:tc>
          <w:tcPr>
            <w:tcW w:w="2016"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新西兰石英山脉酒庄</w:t>
            </w:r>
          </w:p>
        </w:tc>
      </w:tr>
      <w:tr>
        <w:tblPrEx>
          <w:tblCellMar>
            <w:top w:w="0" w:type="dxa"/>
            <w:left w:w="108" w:type="dxa"/>
            <w:bottom w:w="0" w:type="dxa"/>
            <w:right w:w="108" w:type="dxa"/>
          </w:tblCellMar>
        </w:tblPrEx>
        <w:trPr>
          <w:trHeight w:val="482" w:hRule="atLeast"/>
        </w:trPr>
        <w:tc>
          <w:tcPr>
            <w:tcW w:w="742" w:type="dxa"/>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2</w:t>
            </w:r>
          </w:p>
        </w:tc>
        <w:tc>
          <w:tcPr>
            <w:tcW w:w="3004"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葡萄与葡萄酒专业职业规划系列讲座——酒庄管理</w:t>
            </w:r>
          </w:p>
        </w:tc>
        <w:tc>
          <w:tcPr>
            <w:tcW w:w="993"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梁</w:t>
            </w:r>
            <w:r>
              <w:rPr>
                <w:rFonts w:hint="eastAsia"/>
                <w:color w:val="000000"/>
                <w:kern w:val="0"/>
                <w:sz w:val="21"/>
                <w:szCs w:val="21"/>
              </w:rPr>
              <w:t xml:space="preserve">  </w:t>
            </w:r>
            <w:r>
              <w:rPr>
                <w:color w:val="000000"/>
                <w:kern w:val="0"/>
                <w:sz w:val="21"/>
                <w:szCs w:val="21"/>
              </w:rPr>
              <w:t>宁</w:t>
            </w:r>
          </w:p>
        </w:tc>
        <w:tc>
          <w:tcPr>
            <w:tcW w:w="2003"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center"/>
              <w:rPr>
                <w:color w:val="000000"/>
                <w:kern w:val="0"/>
                <w:sz w:val="21"/>
                <w:szCs w:val="21"/>
              </w:rPr>
            </w:pPr>
            <w:r>
              <w:rPr>
                <w:color w:val="000000"/>
                <w:kern w:val="0"/>
                <w:sz w:val="21"/>
                <w:szCs w:val="21"/>
              </w:rPr>
              <w:t>总经理</w:t>
            </w:r>
          </w:p>
        </w:tc>
        <w:tc>
          <w:tcPr>
            <w:tcW w:w="2016"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宁夏甘麓酒庄有限公司</w:t>
            </w:r>
          </w:p>
        </w:tc>
      </w:tr>
      <w:tr>
        <w:tblPrEx>
          <w:tblCellMar>
            <w:top w:w="0" w:type="dxa"/>
            <w:left w:w="108" w:type="dxa"/>
            <w:bottom w:w="0" w:type="dxa"/>
            <w:right w:w="108" w:type="dxa"/>
          </w:tblCellMar>
        </w:tblPrEx>
        <w:trPr>
          <w:trHeight w:val="482" w:hRule="atLeast"/>
        </w:trPr>
        <w:tc>
          <w:tcPr>
            <w:tcW w:w="742" w:type="dxa"/>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3</w:t>
            </w:r>
          </w:p>
        </w:tc>
        <w:tc>
          <w:tcPr>
            <w:tcW w:w="3004"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葡萄与葡萄酒专业职业规划系列讲座——侍酒师</w:t>
            </w:r>
          </w:p>
        </w:tc>
        <w:tc>
          <w:tcPr>
            <w:tcW w:w="993"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武肖斌</w:t>
            </w:r>
          </w:p>
        </w:tc>
        <w:tc>
          <w:tcPr>
            <w:tcW w:w="2003"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center"/>
              <w:rPr>
                <w:color w:val="000000"/>
                <w:kern w:val="0"/>
                <w:sz w:val="21"/>
                <w:szCs w:val="21"/>
              </w:rPr>
            </w:pPr>
            <w:r>
              <w:rPr>
                <w:color w:val="000000"/>
                <w:kern w:val="0"/>
                <w:sz w:val="21"/>
                <w:szCs w:val="21"/>
              </w:rPr>
              <w:t>中国区首席侍酒师</w:t>
            </w:r>
          </w:p>
        </w:tc>
        <w:tc>
          <w:tcPr>
            <w:tcW w:w="2016"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乔尔侯布雄集团</w:t>
            </w:r>
          </w:p>
        </w:tc>
      </w:tr>
      <w:tr>
        <w:tblPrEx>
          <w:tblCellMar>
            <w:top w:w="0" w:type="dxa"/>
            <w:left w:w="108" w:type="dxa"/>
            <w:bottom w:w="0" w:type="dxa"/>
            <w:right w:w="108" w:type="dxa"/>
          </w:tblCellMar>
        </w:tblPrEx>
        <w:trPr>
          <w:trHeight w:val="482" w:hRule="atLeast"/>
        </w:trPr>
        <w:tc>
          <w:tcPr>
            <w:tcW w:w="742" w:type="dxa"/>
            <w:tcBorders>
              <w:top w:val="nil"/>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4</w:t>
            </w:r>
          </w:p>
        </w:tc>
        <w:tc>
          <w:tcPr>
            <w:tcW w:w="3004"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葡萄与葡萄酒专业职业规划系列讲座——销售</w:t>
            </w:r>
          </w:p>
        </w:tc>
        <w:tc>
          <w:tcPr>
            <w:tcW w:w="993"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吴爱民</w:t>
            </w:r>
          </w:p>
        </w:tc>
        <w:tc>
          <w:tcPr>
            <w:tcW w:w="2003" w:type="dxa"/>
            <w:tcBorders>
              <w:top w:val="nil"/>
              <w:left w:val="nil"/>
              <w:bottom w:val="single" w:color="auto" w:sz="4" w:space="0"/>
              <w:right w:val="single" w:color="auto" w:sz="4" w:space="0"/>
            </w:tcBorders>
            <w:shd w:val="clear" w:color="auto" w:fill="auto"/>
            <w:vAlign w:val="center"/>
          </w:tcPr>
          <w:p>
            <w:pPr>
              <w:widowControl/>
              <w:adjustRightInd w:val="0"/>
              <w:snapToGrid w:val="0"/>
              <w:spacing w:line="240" w:lineRule="auto"/>
              <w:jc w:val="center"/>
              <w:rPr>
                <w:color w:val="000000"/>
                <w:kern w:val="0"/>
                <w:sz w:val="21"/>
                <w:szCs w:val="21"/>
              </w:rPr>
            </w:pPr>
            <w:r>
              <w:rPr>
                <w:color w:val="000000"/>
                <w:kern w:val="0"/>
                <w:sz w:val="21"/>
                <w:szCs w:val="21"/>
              </w:rPr>
              <w:t>济南公司总经理助理。</w:t>
            </w:r>
          </w:p>
        </w:tc>
        <w:tc>
          <w:tcPr>
            <w:tcW w:w="2016" w:type="dxa"/>
            <w:tcBorders>
              <w:top w:val="nil"/>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澳洲1847酒庄</w:t>
            </w:r>
          </w:p>
        </w:tc>
      </w:tr>
      <w:tr>
        <w:tblPrEx>
          <w:tblCellMar>
            <w:top w:w="0" w:type="dxa"/>
            <w:left w:w="108" w:type="dxa"/>
            <w:bottom w:w="0" w:type="dxa"/>
            <w:right w:w="108" w:type="dxa"/>
          </w:tblCellMar>
        </w:tblPrEx>
        <w:trPr>
          <w:trHeight w:val="482" w:hRule="atLeast"/>
        </w:trPr>
        <w:tc>
          <w:tcPr>
            <w:tcW w:w="742"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5</w:t>
            </w:r>
          </w:p>
        </w:tc>
        <w:tc>
          <w:tcPr>
            <w:tcW w:w="3004" w:type="dxa"/>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葡萄与葡萄酒专业职业规划系列讲座——WSET认证讲师</w:t>
            </w:r>
          </w:p>
        </w:tc>
        <w:tc>
          <w:tcPr>
            <w:tcW w:w="993" w:type="dxa"/>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赵</w:t>
            </w:r>
            <w:r>
              <w:rPr>
                <w:rFonts w:hint="eastAsia"/>
                <w:color w:val="000000"/>
                <w:kern w:val="0"/>
                <w:sz w:val="21"/>
                <w:szCs w:val="21"/>
              </w:rPr>
              <w:t xml:space="preserve">  </w:t>
            </w:r>
            <w:r>
              <w:rPr>
                <w:color w:val="000000"/>
                <w:kern w:val="0"/>
                <w:sz w:val="21"/>
                <w:szCs w:val="21"/>
              </w:rPr>
              <w:t>娜</w:t>
            </w:r>
          </w:p>
        </w:tc>
        <w:tc>
          <w:tcPr>
            <w:tcW w:w="2003" w:type="dxa"/>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jc w:val="center"/>
              <w:rPr>
                <w:color w:val="000000"/>
                <w:kern w:val="0"/>
                <w:sz w:val="21"/>
                <w:szCs w:val="21"/>
              </w:rPr>
            </w:pPr>
            <w:r>
              <w:rPr>
                <w:color w:val="000000"/>
                <w:kern w:val="0"/>
                <w:sz w:val="21"/>
                <w:szCs w:val="21"/>
              </w:rPr>
              <w:t>培训部副经理。</w:t>
            </w:r>
          </w:p>
        </w:tc>
        <w:tc>
          <w:tcPr>
            <w:tcW w:w="2016" w:type="dxa"/>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ASC 精品酒业</w:t>
            </w:r>
          </w:p>
        </w:tc>
      </w:tr>
      <w:tr>
        <w:tblPrEx>
          <w:tblCellMar>
            <w:top w:w="0" w:type="dxa"/>
            <w:left w:w="108" w:type="dxa"/>
            <w:bottom w:w="0" w:type="dxa"/>
            <w:right w:w="108" w:type="dxa"/>
          </w:tblCellMar>
        </w:tblPrEx>
        <w:trPr>
          <w:trHeight w:val="482" w:hRule="atLeast"/>
        </w:trPr>
        <w:tc>
          <w:tcPr>
            <w:tcW w:w="742"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6</w:t>
            </w:r>
          </w:p>
        </w:tc>
        <w:tc>
          <w:tcPr>
            <w:tcW w:w="3004" w:type="dxa"/>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葡萄与葡萄酒专业职业规划系列讲座——葡萄酒营销创新</w:t>
            </w:r>
          </w:p>
        </w:tc>
        <w:tc>
          <w:tcPr>
            <w:tcW w:w="993" w:type="dxa"/>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杨</w:t>
            </w:r>
            <w:r>
              <w:rPr>
                <w:rFonts w:hint="eastAsia"/>
                <w:color w:val="000000"/>
                <w:kern w:val="0"/>
                <w:sz w:val="21"/>
                <w:szCs w:val="21"/>
              </w:rPr>
              <w:t xml:space="preserve">  </w:t>
            </w:r>
            <w:r>
              <w:rPr>
                <w:color w:val="000000"/>
                <w:kern w:val="0"/>
                <w:sz w:val="21"/>
                <w:szCs w:val="21"/>
              </w:rPr>
              <w:t>茜</w:t>
            </w:r>
          </w:p>
        </w:tc>
        <w:tc>
          <w:tcPr>
            <w:tcW w:w="2003" w:type="dxa"/>
            <w:tcBorders>
              <w:top w:val="single" w:color="auto" w:sz="4" w:space="0"/>
              <w:left w:val="nil"/>
              <w:bottom w:val="single" w:color="auto" w:sz="4" w:space="0"/>
              <w:right w:val="single" w:color="auto" w:sz="4" w:space="0"/>
            </w:tcBorders>
            <w:shd w:val="clear" w:color="auto" w:fill="auto"/>
            <w:vAlign w:val="center"/>
          </w:tcPr>
          <w:p>
            <w:pPr>
              <w:widowControl/>
              <w:adjustRightInd w:val="0"/>
              <w:snapToGrid w:val="0"/>
              <w:spacing w:line="240" w:lineRule="auto"/>
              <w:jc w:val="center"/>
              <w:rPr>
                <w:color w:val="000000"/>
                <w:kern w:val="0"/>
                <w:sz w:val="21"/>
                <w:szCs w:val="21"/>
              </w:rPr>
            </w:pPr>
            <w:r>
              <w:rPr>
                <w:color w:val="000000"/>
                <w:kern w:val="0"/>
                <w:sz w:val="21"/>
                <w:szCs w:val="21"/>
              </w:rPr>
              <w:t>市场拓展部主管</w:t>
            </w:r>
          </w:p>
        </w:tc>
        <w:tc>
          <w:tcPr>
            <w:tcW w:w="2016" w:type="dxa"/>
            <w:tcBorders>
              <w:top w:val="single" w:color="auto" w:sz="4" w:space="0"/>
              <w:left w:val="nil"/>
              <w:bottom w:val="single" w:color="auto" w:sz="4" w:space="0"/>
              <w:right w:val="single" w:color="auto" w:sz="4" w:space="0"/>
            </w:tcBorders>
            <w:shd w:val="clear" w:color="auto" w:fill="auto"/>
            <w:noWrap/>
            <w:vAlign w:val="center"/>
          </w:tcPr>
          <w:p>
            <w:pPr>
              <w:widowControl/>
              <w:adjustRightInd w:val="0"/>
              <w:snapToGrid w:val="0"/>
              <w:spacing w:line="240" w:lineRule="auto"/>
              <w:jc w:val="center"/>
              <w:rPr>
                <w:color w:val="000000"/>
                <w:kern w:val="0"/>
                <w:sz w:val="21"/>
                <w:szCs w:val="21"/>
              </w:rPr>
            </w:pPr>
            <w:r>
              <w:rPr>
                <w:color w:val="000000"/>
                <w:kern w:val="0"/>
                <w:sz w:val="21"/>
                <w:szCs w:val="21"/>
              </w:rPr>
              <w:t>宁夏嘉地酒园</w:t>
            </w:r>
          </w:p>
        </w:tc>
      </w:tr>
    </w:tbl>
    <w:p>
      <w:pPr>
        <w:ind w:firstLine="480"/>
        <w:outlineLvl w:val="2"/>
        <w:rPr>
          <w:rFonts w:eastAsia="黑体"/>
          <w:color w:val="FF0000"/>
          <w:kern w:val="0"/>
          <w:szCs w:val="20"/>
        </w:rPr>
      </w:pPr>
      <w:bookmarkStart w:id="479" w:name="OLE_LINK152"/>
      <w:bookmarkStart w:id="480" w:name="OLE_LINK151"/>
      <w:r>
        <w:rPr>
          <w:color w:val="000000"/>
        </w:rPr>
        <w:t>学院加强对大学生实践能力培养，通过创新创业计划项目，提高学生</w:t>
      </w:r>
      <w:r>
        <w:t>理论联系实际，培养解决实际问题的能力。2021-2022年度获批省级大学生创新创业计划8项。</w:t>
      </w:r>
      <w:bookmarkEnd w:id="479"/>
      <w:bookmarkEnd w:id="480"/>
    </w:p>
    <w:p>
      <w:pPr>
        <w:pStyle w:val="5"/>
        <w:spacing w:before="93" w:after="93"/>
        <w:ind w:firstLine="560"/>
      </w:pPr>
      <w:r>
        <w:t>三、培养条件</w:t>
      </w:r>
    </w:p>
    <w:p>
      <w:pPr>
        <w:pStyle w:val="7"/>
        <w:ind w:firstLine="480"/>
      </w:pPr>
      <w:r>
        <w:t>1.教学经费投入</w:t>
      </w:r>
    </w:p>
    <w:p>
      <w:pPr>
        <w:ind w:firstLine="480"/>
      </w:pPr>
      <w:r>
        <w:t>2021~2022年度本学科投入使用进行教学日常运行、教学改革、课程建设、教材建设、专业建设、校内外实践实习、教学研讨、教学差旅、图书资料购置、学生活动等教学的费用为53.6614万元。</w:t>
      </w:r>
    </w:p>
    <w:p>
      <w:pPr>
        <w:pStyle w:val="7"/>
        <w:ind w:firstLine="480"/>
      </w:pPr>
      <w:r>
        <w:t>2.教学设备</w:t>
      </w:r>
    </w:p>
    <w:p>
      <w:pPr>
        <w:ind w:firstLine="480"/>
      </w:pPr>
      <w:r>
        <w:t>教学实验中心的仪器设备和数量有较大更新完善，截止到2022年度，学院教学仪器设备总计1192台（套），主要包括流体力学分析、色谱光学测试、食品加工教学设备等，总价值达4023.09万元，</w:t>
      </w:r>
    </w:p>
    <w:p>
      <w:pPr>
        <w:pStyle w:val="7"/>
        <w:ind w:firstLine="480"/>
      </w:pPr>
      <w:r>
        <w:t>3.教师队伍建设</w:t>
      </w:r>
    </w:p>
    <w:p>
      <w:pPr>
        <w:ind w:firstLine="480"/>
      </w:pPr>
      <w:r>
        <w:t>学院高度重视本专业师资队伍建设，主讲教师的教研水平、科学素养不断提升。截止到2022年，葡萄与葡萄酒工程专业有专任教师10人，博士学历占比100%；其中教授2人，副教授6人，博士生导师1人，硕士生导师9人。</w:t>
      </w:r>
    </w:p>
    <w:p>
      <w:pPr>
        <w:pStyle w:val="7"/>
        <w:ind w:firstLine="480"/>
      </w:pPr>
      <w:r>
        <w:t>4.实习基地</w:t>
      </w:r>
    </w:p>
    <w:p>
      <w:pPr>
        <w:ind w:firstLine="480"/>
      </w:pPr>
      <w:r>
        <w:rPr>
          <w:color w:val="000000"/>
        </w:rPr>
        <w:t>本专业突出实践育人环节、强化创新创业教育，通过与地方政府、农业科技园区，第三方检测机构、食品企业等共建校外教学实践基地，不断创新和完善产、学、研一体化协同育人机制。截止目前，本专业自建或与其他专业共享校外实践教学基地29处，可为本专业学生的实习实践提供充分的基础保障。</w:t>
      </w:r>
      <w:r>
        <w:t>2021~2022年度受疫情影响，无新增教学实践基地。</w:t>
      </w:r>
    </w:p>
    <w:p>
      <w:pPr>
        <w:widowControl/>
        <w:adjustRightInd w:val="0"/>
        <w:snapToGrid w:val="0"/>
        <w:spacing w:line="240" w:lineRule="auto"/>
        <w:jc w:val="center"/>
        <w:rPr>
          <w:b/>
          <w:bCs/>
          <w:color w:val="000000"/>
          <w:kern w:val="0"/>
          <w:sz w:val="21"/>
          <w:szCs w:val="21"/>
        </w:rPr>
      </w:pPr>
      <w:r>
        <w:rPr>
          <w:b/>
          <w:bCs/>
          <w:color w:val="000000"/>
          <w:kern w:val="0"/>
          <w:sz w:val="21"/>
          <w:szCs w:val="21"/>
        </w:rPr>
        <w:t>校外教学科研实践育人基地一览表</w:t>
      </w:r>
    </w:p>
    <w:tbl>
      <w:tblPr>
        <w:tblStyle w:val="18"/>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5103"/>
        <w:gridCol w:w="1134"/>
        <w:gridCol w:w="13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704" w:type="dxa"/>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序号</w:t>
            </w:r>
          </w:p>
        </w:tc>
        <w:tc>
          <w:tcPr>
            <w:tcW w:w="5103" w:type="dxa"/>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基地名称</w:t>
            </w:r>
          </w:p>
        </w:tc>
        <w:tc>
          <w:tcPr>
            <w:tcW w:w="1134" w:type="dxa"/>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级别</w:t>
            </w:r>
          </w:p>
        </w:tc>
        <w:tc>
          <w:tcPr>
            <w:tcW w:w="1355" w:type="dxa"/>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建立时间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山东泰乐源农业科技有限公司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临沂金锣文瑞食品有限公司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3</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山东安谱检测科技有限公司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4</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山东杰诺检测服务有限公司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5</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中诚海诺有限公司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6</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新泰市检验检测中心</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7</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山东恒宝食品集团有限公司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8</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山东泰山立福食品科技有限公司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9</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山东金彩山酒业有限公司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10</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青岛东海药业有限公司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11</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泰安凌云餐饮管理有限公司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12</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泰安悦美客食品有限公司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13</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山东郓城华宝食品有限公司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14</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山东百枣纲目生物科技有限公司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15</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山东金胜粮油集团有限公司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16</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中粮长城（烟台）葡萄酒有限公司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17</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君顶酒庄有限公司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18</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洁翼流体技术（上海）有限公司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19</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山东驰中集团有限公司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菏泽天鸿果蔬有限公司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21</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济宁市食品工业园</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22</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临沂市康发食品饮料有限公司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23</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山东泰山啤酒有限公司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24</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龙大食品集团有限公司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25</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山东金保罗食品饮料有限</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26</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山东新绿食品有限公司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27</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得利斯集团有限公司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28</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山东美佳集团有限公司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29</w:t>
            </w:r>
          </w:p>
        </w:tc>
        <w:tc>
          <w:tcPr>
            <w:tcW w:w="5103"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临沂新程金锣肉制品有限公司</w:t>
            </w:r>
          </w:p>
        </w:tc>
        <w:tc>
          <w:tcPr>
            <w:tcW w:w="11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355"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2004</w:t>
            </w:r>
          </w:p>
        </w:tc>
      </w:tr>
    </w:tbl>
    <w:p/>
    <w:p>
      <w:pPr>
        <w:adjustRightInd w:val="0"/>
        <w:snapToGrid w:val="0"/>
        <w:ind w:firstLine="720" w:firstLineChars="300"/>
        <w:rPr>
          <w:rFonts w:eastAsia="黑体"/>
        </w:rPr>
      </w:pPr>
      <w:r>
        <w:rPr>
          <w:rFonts w:eastAsia="黑体"/>
        </w:rPr>
        <w:t>5.现代教学技术应用</w:t>
      </w:r>
    </w:p>
    <w:p>
      <w:pPr>
        <w:adjustRightInd w:val="0"/>
        <w:snapToGrid w:val="0"/>
        <w:ind w:firstLine="480"/>
      </w:pPr>
      <w:r>
        <w:rPr>
          <w:color w:val="000000"/>
        </w:rPr>
        <w:t>围绕人才培养目标，本专业重视现代教学技术研究、应用，鼓励引教师进行教学方式的信息化和智慧化提升，努力提高教师课堂教学质量。同时注重教学资源库的建设，先后购置和收集了较丰富的模型、实物、多媒体等教学资源。《葡萄酒鉴赏》课程的慕课录制完成后于2018年11月在我校正式运行。目前该课程已在山东省高等学校在线开放课程平台上上线，目前该课程已运行9个学期，累计选课2.99万人次，累计选课学校85所，互动教学31.40万次。</w:t>
      </w:r>
      <w:r>
        <w:t>2021-2022学年，受新冠疫情影响，本专业所有课程均建立起成熟完善的线上、线下相结合的混合式教学模式，教学效果良好。</w:t>
      </w:r>
    </w:p>
    <w:p>
      <w:pPr>
        <w:adjustRightInd w:val="0"/>
        <w:snapToGrid w:val="0"/>
        <w:ind w:firstLine="480"/>
      </w:pPr>
      <w:r>
        <w:t>本专业任课教师积极提升教学能力及课程思政建设能力，2022年立项校级课程思政教改项目3项，获山东省第九届教学成果奖2项。15人次参与国家高等教育教学成果奖培育与申报交流会、国家高等教育智慧教育平台暑期研修培训课程等活动，提升教学能力。</w:t>
      </w:r>
    </w:p>
    <w:p>
      <w:pPr>
        <w:pStyle w:val="5"/>
        <w:spacing w:before="93" w:after="93"/>
        <w:ind w:firstLine="560"/>
      </w:pPr>
      <w:r>
        <w:t xml:space="preserve">四、培养机制与特色 </w:t>
      </w:r>
    </w:p>
    <w:p>
      <w:pPr>
        <w:pStyle w:val="7"/>
        <w:ind w:firstLine="480"/>
      </w:pPr>
      <w:r>
        <w:t>1.产学研协同育人机制与合作办学</w:t>
      </w:r>
    </w:p>
    <w:p>
      <w:pPr>
        <w:adjustRightInd w:val="0"/>
        <w:snapToGrid w:val="0"/>
        <w:ind w:firstLine="480"/>
        <w:rPr>
          <w:color w:val="000000"/>
        </w:rPr>
      </w:pPr>
      <w:r>
        <w:rPr>
          <w:color w:val="000000"/>
        </w:rPr>
        <w:t>根据葡萄与葡萄酒工程专业多学科交叉的特点，结合面对山东省企事业单位对葡萄与葡萄酒工程人才的需求的办学定位，树立开门办学思想，立足培养具有一定的国际视野和跨文化环境下的交流与合作能力，努力探索本专业人才培养机制与特色，根据学生个性发展方向，与项目、导师、企业协同分类培养，初步形成了产学研协同分类培养育人体系、机制。</w:t>
      </w:r>
    </w:p>
    <w:p>
      <w:pPr>
        <w:pStyle w:val="7"/>
        <w:ind w:firstLine="480"/>
      </w:pPr>
      <w:r>
        <w:t>2.教学管理</w:t>
      </w:r>
    </w:p>
    <w:p>
      <w:pPr>
        <w:adjustRightInd w:val="0"/>
        <w:snapToGrid w:val="0"/>
        <w:ind w:firstLine="480"/>
        <w:rPr>
          <w:color w:val="000000"/>
        </w:rPr>
      </w:pPr>
      <w:r>
        <w:rPr>
          <w:color w:val="000000"/>
        </w:rPr>
        <w:t>学院以</w:t>
      </w:r>
      <w:r>
        <w:rPr>
          <w:rFonts w:hint="eastAsia"/>
          <w:color w:val="000000"/>
        </w:rPr>
        <w:t>“</w:t>
      </w:r>
      <w:r>
        <w:rPr>
          <w:color w:val="000000"/>
        </w:rPr>
        <w:t>既重视目标管理，又重视过程管理</w:t>
      </w:r>
      <w:r>
        <w:rPr>
          <w:rFonts w:hint="eastAsia"/>
          <w:color w:val="000000"/>
        </w:rPr>
        <w:t>”</w:t>
      </w:r>
      <w:r>
        <w:rPr>
          <w:color w:val="000000"/>
        </w:rPr>
        <w:t>为指导，建立院、系、室三级教学管理体系；成立教授委员会、教学督导组等教学管理与督导机构；制定学院工作制度，完善教学质量管理规章制度，明确各有关机构、岗位职责，加强内部管理，从体制上保障教学运行顺畅。</w:t>
      </w:r>
    </w:p>
    <w:p>
      <w:pPr>
        <w:adjustRightInd w:val="0"/>
        <w:snapToGrid w:val="0"/>
        <w:ind w:firstLine="480"/>
        <w:rPr>
          <w:color w:val="000000"/>
        </w:rPr>
      </w:pPr>
      <w:r>
        <w:rPr>
          <w:color w:val="000000"/>
        </w:rPr>
        <w:t>全面加强各项工作管理。在学院管理上，除了院级领导班子外，分别按学科组成系，设立系主任、副主任岗位，强化系级行政与业务管理；在学生管理上，除了团委、辅导员外，通过实施本科生一、二年级班主任制，三、四年级导师制，加强学生全学程思想教育、专业引导与创新创业教育；在教学管理上，除了教学秘书外，按照本科专业设立专业主任岗位，强化教学与专业建设；通过教授委员会对教学重点工作审核与教学督导组对教学各环节检查监督，建立考核与评价机制，确保教学运行顺畅，保证教学质量稳步提升。</w:t>
      </w:r>
    </w:p>
    <w:p>
      <w:pPr>
        <w:pStyle w:val="5"/>
        <w:spacing w:before="93" w:after="93"/>
        <w:ind w:firstLine="560"/>
      </w:pPr>
      <w:r>
        <w:t>五、培养质量</w:t>
      </w:r>
    </w:p>
    <w:p>
      <w:pPr>
        <w:pStyle w:val="7"/>
        <w:spacing w:line="420" w:lineRule="exact"/>
        <w:ind w:firstLine="480"/>
      </w:pPr>
      <w:r>
        <w:t>1.毕业生就业率</w:t>
      </w:r>
    </w:p>
    <w:p>
      <w:pPr>
        <w:adjustRightInd w:val="0"/>
        <w:snapToGrid w:val="0"/>
        <w:spacing w:line="420" w:lineRule="exact"/>
        <w:ind w:firstLine="480"/>
        <w:rPr>
          <w:color w:val="000000"/>
        </w:rPr>
      </w:pPr>
      <w:r>
        <w:rPr>
          <w:color w:val="000000"/>
        </w:rPr>
        <w:t>截止2022年8月31日，毕业生就业10人，毕业生就业率为83.33%，其中毕业生留鲁就业的3人，出省就业共7人，这主要受本专业生源地差别的影响。未就业毕业生2人，未就业原因主要是二战考研。</w:t>
      </w:r>
    </w:p>
    <w:p>
      <w:pPr>
        <w:pStyle w:val="7"/>
        <w:spacing w:line="420" w:lineRule="exact"/>
        <w:ind w:firstLine="480"/>
      </w:pPr>
      <w:r>
        <w:t>2.毕业生就业去向</w:t>
      </w:r>
    </w:p>
    <w:p>
      <w:pPr>
        <w:adjustRightInd w:val="0"/>
        <w:snapToGrid w:val="0"/>
        <w:spacing w:line="420" w:lineRule="exact"/>
        <w:ind w:firstLine="480"/>
      </w:pPr>
      <w:r>
        <w:t>2022届毕业生中，国内升学4人，升学率33.33%，其中，考入</w:t>
      </w:r>
      <w:r>
        <w:rPr>
          <w:rFonts w:hint="eastAsia"/>
        </w:rPr>
        <w:t>“</w:t>
      </w:r>
      <w:r>
        <w:t>双一流</w:t>
      </w:r>
      <w:r>
        <w:rPr>
          <w:rFonts w:hint="eastAsia"/>
        </w:rPr>
        <w:t>”</w:t>
      </w:r>
      <w:r>
        <w:t>大学1人，跨专业升学的2人，升学学校主要是郑州大学、山东农业大学、天津农学院等。国外升学3人，主要院校包括英国</w:t>
      </w:r>
      <w:r>
        <w:rPr>
          <w:kern w:val="0"/>
          <w:szCs w:val="24"/>
        </w:rPr>
        <w:t>曼彻斯特大学</w:t>
      </w:r>
      <w:r>
        <w:t>、法国勃艮第高等商学院、澳大利亚</w:t>
      </w:r>
      <w:r>
        <w:rPr>
          <w:kern w:val="0"/>
          <w:szCs w:val="24"/>
        </w:rPr>
        <w:t>阿德莱德大学</w:t>
      </w:r>
      <w:r>
        <w:t>等。</w:t>
      </w:r>
    </w:p>
    <w:p>
      <w:pPr>
        <w:adjustRightInd w:val="0"/>
        <w:snapToGrid w:val="0"/>
        <w:spacing w:line="420" w:lineRule="exact"/>
        <w:ind w:firstLine="480"/>
      </w:pPr>
      <w:r>
        <w:t>2022年，毕业生当前所在工作单位或者所从事工作岗位与所学专业对口率较高的为1人，主要就业单位包括中供（山东）酒业有限公司、山东泰山啤酒有限公司、保龄宝生物股份有限公司等。</w:t>
      </w:r>
    </w:p>
    <w:p>
      <w:pPr>
        <w:pStyle w:val="7"/>
        <w:ind w:firstLine="480"/>
      </w:pPr>
      <w:r>
        <w:t>3.就业单位满意率与社会对专业的评价</w:t>
      </w:r>
    </w:p>
    <w:p>
      <w:pPr>
        <w:adjustRightInd w:val="0"/>
        <w:snapToGrid w:val="0"/>
        <w:ind w:firstLine="480"/>
      </w:pPr>
      <w:r>
        <w:t>对中供（山东）酒业有限公司、山东泰山啤酒有限公司、保龄宝生物股份有限公司等多家单位调研确认，2022届毕业生在工作岗位上尽职尽责，受到用人单位一致好评。通过对往届毕业生的回访和用人单位反馈，本专业毕业生的工作满意率较高；张裕、威龙、醍恩红酒、泰山啤酒等本专业较为稳定的用人单位，定期来校专场招聘毕业生，彰显了企业对毕业生较高的满意度；升学的研究生得到西北农林科技大学、中国海洋大学、天津科技大学等毕业生考研比较集中高校的一致认可</w:t>
      </w:r>
      <w:r>
        <w:rPr>
          <w:spacing w:val="-3"/>
        </w:rPr>
        <w:t>。</w:t>
      </w:r>
    </w:p>
    <w:p>
      <w:pPr>
        <w:pStyle w:val="5"/>
        <w:spacing w:before="93" w:after="93"/>
        <w:ind w:firstLine="560"/>
      </w:pPr>
      <w:r>
        <w:t>六、毕业生就业创业</w:t>
      </w:r>
    </w:p>
    <w:p>
      <w:pPr>
        <w:adjustRightInd w:val="0"/>
        <w:snapToGrid w:val="0"/>
        <w:ind w:firstLine="480"/>
        <w:rPr>
          <w:color w:val="000000"/>
        </w:rPr>
      </w:pPr>
      <w:r>
        <w:rPr>
          <w:color w:val="000000"/>
        </w:rPr>
        <w:t>学院注重培养毕业生的自我发展与创新、创业思维与能力，毕业前通过实训活动，培养学生创新创业意识；加强业务教师指导，提高学生学术创新能力，加大经费投入和场所支持，引导学生组建创业团队；加强院企合作，加大校企培养力度，邀请企业家为学子做报告，指导学生创业实践；搭建创新创业平台，完善评价激励制度，鼓励学生参加挑战杯等各种创业大赛。</w:t>
      </w:r>
    </w:p>
    <w:p>
      <w:pPr>
        <w:pStyle w:val="5"/>
        <w:spacing w:before="93" w:after="93"/>
        <w:ind w:firstLine="560"/>
      </w:pPr>
      <w:r>
        <w:t>七、专业发展趋势及建议</w:t>
      </w:r>
    </w:p>
    <w:p>
      <w:pPr>
        <w:adjustRightInd w:val="0"/>
        <w:snapToGrid w:val="0"/>
        <w:ind w:firstLine="480"/>
        <w:rPr>
          <w:color w:val="000000"/>
        </w:rPr>
      </w:pPr>
      <w:r>
        <w:rPr>
          <w:color w:val="000000"/>
        </w:rPr>
        <w:t>近年来我国葡萄酒产业发展迅速，国内消费市场潜力广阔。我们的往届毕业生有的成为葡萄酒企业的技术骨干，有的通过葡萄酒文化传播的形式促进葡萄酒产业的发展。目前葡萄酒产业面对国外酒商云集的激烈竞争，中国葡萄酒业要改变传统模式，加强科技创新，形成自己个性化的产品、传播自己的酒文化、树立国内优秀品牌，形成中国风，才能走向国际化。</w:t>
      </w:r>
    </w:p>
    <w:p>
      <w:pPr>
        <w:adjustRightInd w:val="0"/>
        <w:snapToGrid w:val="0"/>
        <w:ind w:firstLine="480"/>
        <w:rPr>
          <w:color w:val="000000"/>
        </w:rPr>
      </w:pPr>
      <w:r>
        <w:rPr>
          <w:color w:val="000000"/>
        </w:rPr>
        <w:t>面对葡萄酒产业竞争和机遇并存的局势，我们的葡萄与葡萄酒工程专业也应该形成自己的特色，正确定位。进行专业规划时应考虑市场变动需求及学校办学特色。加强国际合作交流，国际化办学。虽然目前法国外学习交流已成为本专业学生继续从事行业发展的主要形式，但国际合作交流还应持续加强。</w:t>
      </w:r>
    </w:p>
    <w:p>
      <w:pPr>
        <w:pStyle w:val="5"/>
        <w:spacing w:before="93" w:after="93"/>
        <w:ind w:firstLine="560"/>
      </w:pPr>
      <w:r>
        <w:t>八、存在的问题及整改措施</w:t>
      </w:r>
    </w:p>
    <w:p>
      <w:pPr>
        <w:adjustRightInd w:val="0"/>
        <w:snapToGrid w:val="0"/>
        <w:ind w:firstLine="480"/>
        <w:rPr>
          <w:color w:val="000000"/>
        </w:rPr>
      </w:pPr>
      <w:r>
        <w:rPr>
          <w:color w:val="000000"/>
        </w:rPr>
        <w:t>1</w:t>
      </w:r>
      <w:r>
        <w:rPr>
          <w:rFonts w:hint="eastAsia"/>
          <w:color w:val="000000"/>
          <w:lang w:eastAsia="zh-CN"/>
        </w:rPr>
        <w:t>.</w:t>
      </w:r>
      <w:r>
        <w:rPr>
          <w:color w:val="000000"/>
        </w:rPr>
        <w:t>葡萄与葡萄酒工程专业的特点是面榨而线长，从原料的品种，栽培种植，处理，发酵，调整，感官分析等各个环节都对技术要求比较高，另外葡萄酒的很多职业相对较新。目前我院专业师资方面原料品种，栽培方面没有教师比较缺乏，经验丰富的资深教师以及高水平的学科专业带头人相对缺乏；专业特色还需要进一步挖掘。</w:t>
      </w:r>
    </w:p>
    <w:p>
      <w:pPr>
        <w:adjustRightInd w:val="0"/>
        <w:snapToGrid w:val="0"/>
        <w:ind w:firstLine="480"/>
        <w:rPr>
          <w:color w:val="000000"/>
        </w:rPr>
      </w:pPr>
      <w:r>
        <w:rPr>
          <w:color w:val="000000"/>
        </w:rPr>
        <w:t>2</w:t>
      </w:r>
      <w:r>
        <w:rPr>
          <w:rFonts w:hint="eastAsia"/>
          <w:color w:val="000000"/>
          <w:lang w:eastAsia="zh-CN"/>
        </w:rPr>
        <w:t>.</w:t>
      </w:r>
      <w:r>
        <w:rPr>
          <w:color w:val="000000"/>
        </w:rPr>
        <w:t>目前从毕业生的就业形式和后期发展来看，葡萄酒专业所学的课程知识体系需要根据市场需求进行调整和完善，学科建设在现在的基础上能多加销售及其新前景发展，可以更贴近职业需要。增加鉴赏学、实验课、市场营销学等专业相关课程的比例。同时应做到外引内联，提高社会专业认知水平及办学水平；加快教师队伍建设和学科发展，专业发展与研究方向有机统一。</w:t>
      </w:r>
    </w:p>
    <w:p>
      <w:pPr>
        <w:adjustRightInd w:val="0"/>
        <w:snapToGrid w:val="0"/>
        <w:ind w:firstLine="480"/>
        <w:rPr>
          <w:color w:val="000000"/>
        </w:rPr>
      </w:pPr>
      <w:r>
        <w:rPr>
          <w:color w:val="000000"/>
        </w:rPr>
        <w:t>3</w:t>
      </w:r>
      <w:r>
        <w:rPr>
          <w:rFonts w:hint="eastAsia"/>
          <w:color w:val="000000"/>
          <w:lang w:eastAsia="zh-CN"/>
        </w:rPr>
        <w:t>.</w:t>
      </w:r>
      <w:r>
        <w:rPr>
          <w:color w:val="000000"/>
        </w:rPr>
        <w:t>2018年学校实行大类招生，2019年开始学院按照学生自主选择专业的方式进行专业分流，针对2018级专业人数分流情况，学院启动</w:t>
      </w:r>
      <w:r>
        <w:rPr>
          <w:rFonts w:hint="eastAsia"/>
          <w:color w:val="000000"/>
        </w:rPr>
        <w:t>“</w:t>
      </w:r>
      <w:r>
        <w:rPr>
          <w:color w:val="000000"/>
        </w:rPr>
        <w:t>精英</w:t>
      </w:r>
      <w:r>
        <w:rPr>
          <w:rFonts w:hint="eastAsia"/>
          <w:color w:val="000000"/>
        </w:rPr>
        <w:t>”</w:t>
      </w:r>
      <w:r>
        <w:rPr>
          <w:color w:val="000000"/>
        </w:rPr>
        <w:t>班教学模式，为每位学生配备了专业导师；教务处也为本专业小班制教学提供了政策支持，确保学生的培养质量。在专业招生方面，下一步应提高专业特色和培养质量宣传，必要时建议葡萄与葡萄酒工程专业实施单独招生。</w:t>
      </w:r>
    </w:p>
    <w:p>
      <w:r>
        <w:br w:type="page"/>
      </w:r>
    </w:p>
    <w:p>
      <w:pPr>
        <w:pStyle w:val="4"/>
        <w:ind w:firstLine="600"/>
      </w:pPr>
      <w:bookmarkStart w:id="481" w:name="_Toc18896"/>
      <w:bookmarkStart w:id="482" w:name="_Toc23566"/>
      <w:bookmarkStart w:id="483" w:name="_Toc27537"/>
      <w:bookmarkStart w:id="484" w:name="_Toc10061"/>
      <w:bookmarkStart w:id="485" w:name="_Toc439256233"/>
      <w:bookmarkStart w:id="486" w:name="_Toc11424"/>
      <w:bookmarkStart w:id="487" w:name="_Toc30329"/>
      <w:bookmarkStart w:id="488" w:name="_Toc438025700"/>
      <w:r>
        <w:t>专业</w:t>
      </w:r>
      <w:r>
        <w:rPr>
          <w:rFonts w:hint="eastAsia"/>
          <w:lang w:val="en-US"/>
        </w:rPr>
        <w:t>四十七</w:t>
      </w:r>
      <w:r>
        <w:t>：生物科学</w:t>
      </w:r>
      <w:bookmarkEnd w:id="481"/>
      <w:bookmarkEnd w:id="482"/>
      <w:bookmarkEnd w:id="483"/>
      <w:bookmarkEnd w:id="484"/>
      <w:bookmarkEnd w:id="485"/>
      <w:bookmarkEnd w:id="486"/>
      <w:bookmarkEnd w:id="487"/>
    </w:p>
    <w:bookmarkEnd w:id="488"/>
    <w:p>
      <w:pPr>
        <w:pStyle w:val="5"/>
        <w:spacing w:before="93" w:after="93"/>
        <w:ind w:firstLine="560"/>
      </w:pPr>
      <w:r>
        <w:t>一、培养目标与规格</w:t>
      </w:r>
    </w:p>
    <w:p>
      <w:pPr>
        <w:autoSpaceDE w:val="0"/>
        <w:autoSpaceDN w:val="0"/>
        <w:adjustRightInd w:val="0"/>
        <w:ind w:firstLine="480" w:firstLineChars="200"/>
        <w:rPr>
          <w:rFonts w:eastAsia="黑体"/>
          <w:kern w:val="0"/>
          <w:szCs w:val="24"/>
        </w:rPr>
      </w:pPr>
      <w:r>
        <w:rPr>
          <w:rFonts w:eastAsia="黑体"/>
          <w:kern w:val="0"/>
          <w:szCs w:val="24"/>
        </w:rPr>
        <w:t>1. 培养目标</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通过各种教育教学活动，培养学生德智体美全面发展，具有健全人格，具有正确的世界观、人生观和价值观；具有成为高素质人才所具备的人文社科基础知识和人文修养；具有较强的自然科学基础（特别是数理化基础）、较强的计算机应用能力和外语综合应用能力；具有国际化视野和受到严格科学思维的训练、掌握生物科学的基础理论、基本知识和基本技能，受到扎实的专业理论和专业技能训练；具备运用所掌握的理论知识和技能从事生物科学基础理论及其相关领域的科学研究、技术开发、教学及管理等方面的工作，或者有进一步深造基础和发展潜能的人才。</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 xml:space="preserve">本专业毕业生经过5年左右的职业历练，将达成以下培养目标： </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培养目标1：</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具备创新创业能力、敬业精神、社会责任感和职业道德，并有能力服务社会；</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培养目标2：</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能够进行生物科学及其相关领域的科学研究、技术开发、教学及管理等方面的工作；</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培养目标3：</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在植物生物学、动物生物学和生物制药等领域具有较强的竞争力；</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培养目标4：</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能够在植物、动物与微生物科研、教学、技术开发、生产和管理团队中作为骨干有效地发挥作用；</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培养目标5：</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能够不断拓展自己的知识和能力。</w:t>
      </w:r>
    </w:p>
    <w:p>
      <w:pPr>
        <w:autoSpaceDE w:val="0"/>
        <w:autoSpaceDN w:val="0"/>
        <w:adjustRightInd w:val="0"/>
        <w:ind w:firstLine="480" w:firstLineChars="200"/>
        <w:rPr>
          <w:rFonts w:eastAsia="黑体"/>
          <w:kern w:val="0"/>
          <w:szCs w:val="24"/>
        </w:rPr>
      </w:pPr>
      <w:r>
        <w:rPr>
          <w:rFonts w:eastAsia="黑体"/>
          <w:kern w:val="0"/>
          <w:szCs w:val="24"/>
        </w:rPr>
        <w:t>2. 培养规格</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（1）具备较高的思想道德素质：包括正确的政治方向、世界观、人生观和价值观；爱国守法、诚信友善，有较强的团队意识和健全的人格。</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（2）具备良好的身心素质：具有健康的体魄、良好的心理素质和积极的人生态度。</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（3）具备较高的文化素质：掌握一定的人文社科基础知识，具有较好的人文修养；具有国际化视野、现代意识和健康的人际交往意识。</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（4）具备良好的专业素质：受到严格的科学思维训练，掌握比较扎实的生物科学基础理论和研究方法，有较好的综合分析素养和求实创新的意识。</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（5）工具性知识：具有较好的外语知识及计算机、信息技术应用等方面的知识。</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（6）人文社科知识：具有通识性文学、历史、哲学、生物伦理学、思想道德、政治学、艺术、法学、心理学等方面的知识。</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（7）经济与管理知识：有初步的经济学、管理学等方面的知识；了解国家科技政策、知识产权等有关政策法规。</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（8）自然科学与工程技术知识：具有较强的数学、物理学、化学等方面的自然科学知识和一定的电子电工学等方面的基础知识。</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9）专业知识：系统扎实的掌握生物科学的基础理论、基本知识和基本技能，受到系统的专业理论和专业技能训练，了解生物科学的理论前沿、应用前景及发展趋势。了解生物技术、生物工程等相近专业的一般原理和知识。</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（10）获取知识的能力：能较熟练地运用外语阅读专业期刊和进行文献检索，有初步的科技写作能力和较好的表达交流能力；有一定的计算机及信息技术应用能力。</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（11）应用知识能力：具有综合运用所掌握的理论知识和技能，从事生物科学及其相关领域科学研究的能力。</w:t>
      </w:r>
    </w:p>
    <w:p>
      <w:pPr>
        <w:ind w:firstLine="480" w:firstLineChars="200"/>
        <w:rPr>
          <w:color w:val="000000" w:themeColor="text1"/>
          <w:kern w:val="0"/>
          <w14:textFill>
            <w14:solidFill>
              <w14:schemeClr w14:val="tx1"/>
            </w14:solidFill>
          </w14:textFill>
        </w:rPr>
      </w:pPr>
      <w:r>
        <w:rPr>
          <w:color w:val="000000" w:themeColor="text1"/>
          <w14:textFill>
            <w14:solidFill>
              <w14:schemeClr w14:val="tx1"/>
            </w14:solidFill>
          </w14:textFill>
        </w:rPr>
        <w:t>（12）创新创业能力：具有较强的创新意识和创业精神，具备一定的开展创新实验、科技开发及创业能力。</w:t>
      </w:r>
    </w:p>
    <w:p>
      <w:pPr>
        <w:pStyle w:val="5"/>
        <w:spacing w:before="93" w:after="93"/>
        <w:ind w:firstLine="560"/>
      </w:pPr>
      <w:bookmarkStart w:id="489" w:name="_Toc438025701"/>
      <w:r>
        <w:t>二、培养能力</w:t>
      </w:r>
      <w:bookmarkEnd w:id="489"/>
    </w:p>
    <w:p>
      <w:pPr>
        <w:autoSpaceDE w:val="0"/>
        <w:autoSpaceDN w:val="0"/>
        <w:adjustRightInd w:val="0"/>
        <w:ind w:firstLine="480" w:firstLineChars="200"/>
        <w:rPr>
          <w:rFonts w:eastAsia="黑体"/>
          <w:kern w:val="0"/>
          <w:szCs w:val="24"/>
        </w:rPr>
      </w:pPr>
      <w:bookmarkStart w:id="490" w:name="_Toc438025702"/>
      <w:r>
        <w:rPr>
          <w:rFonts w:eastAsia="黑体"/>
          <w:kern w:val="0"/>
          <w:szCs w:val="24"/>
        </w:rPr>
        <w:t>1. 专业基本情况</w:t>
      </w:r>
      <w:bookmarkEnd w:id="490"/>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生物科学专业自2000年开始招生，2002年首次进入全国第一批次招生。专业基本学制为4年，学习年限为3-8年。</w:t>
      </w:r>
    </w:p>
    <w:p>
      <w:pPr>
        <w:autoSpaceDE w:val="0"/>
        <w:autoSpaceDN w:val="0"/>
        <w:adjustRightInd w:val="0"/>
        <w:ind w:firstLine="480" w:firstLineChars="200"/>
        <w:rPr>
          <w:rFonts w:eastAsia="黑体"/>
          <w:kern w:val="0"/>
          <w:szCs w:val="24"/>
        </w:rPr>
      </w:pPr>
      <w:bookmarkStart w:id="491" w:name="_Toc438025703"/>
      <w:r>
        <w:rPr>
          <w:rFonts w:eastAsia="黑体"/>
          <w:kern w:val="0"/>
          <w:szCs w:val="24"/>
        </w:rPr>
        <w:t>2. 在校生规模</w:t>
      </w:r>
      <w:bookmarkEnd w:id="491"/>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目前，生物科学专业年招生人数为120人左右，现有在校生共计359人，其中山东籍学生与非山东籍学生比例约为5:1（注：2022级，生物技术和生物科学两个专业按</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生物科学类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大类招生268人，其中31人经选拔进入齐鲁学堂，余237人，每个专业平均约119人）。</w:t>
      </w:r>
    </w:p>
    <w:p>
      <w:pPr>
        <w:autoSpaceDE w:val="0"/>
        <w:autoSpaceDN w:val="0"/>
        <w:adjustRightInd w:val="0"/>
        <w:ind w:firstLine="480" w:firstLineChars="200"/>
        <w:rPr>
          <w:rFonts w:eastAsia="黑体"/>
          <w:kern w:val="0"/>
          <w:szCs w:val="24"/>
        </w:rPr>
      </w:pPr>
      <w:bookmarkStart w:id="492" w:name="_Toc438025704"/>
      <w:r>
        <w:rPr>
          <w:rFonts w:eastAsia="黑体"/>
          <w:kern w:val="0"/>
          <w:szCs w:val="24"/>
        </w:rPr>
        <w:t>3. 课程体系设置情况</w:t>
      </w:r>
      <w:bookmarkEnd w:id="492"/>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生物科学专业课程体系包括课内教学和课外实践教学两大模块，其中课内教学体系主要分为通识教育课程、学科基础课程、专业核心课程、专业方向课程等四大类别，其中通识教育课程包括必修课和选修课。本专业主要的学科基础课程和核心课程主要包括植物学、动物学、普通微生物学、生物化学、普通遗传学、植物生理学、细胞生物学、分子生物学、基因工程、植物学实验、微生物学实验、遗传学实验、植物生理学实验、生物化学实验、细胞工程综合实验、基因工程综合实验等。其中《植物学》和《植物生理学A》是国家一流课程，《植物生理学》是国家级精品资源共享课程，《生物化学》是国家级双语教学示范课程，《生物化学》《植物生理学》《植物学》《植物学实验》《生物化学实验》《植物生理学实验》《基因工程综合实验》是省级精品课程，《生物化学》《细胞生物学》《分子生物学》是山东省一流课程。课程共170学分：必修课139学分，占课程总学分的81.8%；选修课31学分，占课程总学分的18.2%。</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实验实践教学体系按照基础、专业、综合三个层次构建。主要包括基础课程和专业课程实验课、社会实践与调查报告、生物学认识实习、专业教学实习、创新创业实践、毕业实习及毕业论文等环节。实验实践教学环节总学分为59学分，占毕业总学分的34.7%。</w:t>
      </w:r>
    </w:p>
    <w:p>
      <w:pPr>
        <w:autoSpaceDE w:val="0"/>
        <w:autoSpaceDN w:val="0"/>
        <w:adjustRightInd w:val="0"/>
        <w:ind w:firstLine="480" w:firstLineChars="200"/>
        <w:rPr>
          <w:rFonts w:eastAsia="黑体"/>
          <w:kern w:val="0"/>
          <w:szCs w:val="24"/>
        </w:rPr>
      </w:pPr>
      <w:bookmarkStart w:id="493" w:name="_Toc438025705"/>
      <w:r>
        <w:rPr>
          <w:rFonts w:eastAsia="黑体"/>
          <w:kern w:val="0"/>
          <w:szCs w:val="24"/>
        </w:rPr>
        <w:t>4. 创新创业教育</w:t>
      </w:r>
      <w:bookmarkEnd w:id="493"/>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创新创业教育是人才培养体系的重要组成部分，生物科学专业学生的创新创业教育采取</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人生导师</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制，每位学生都有自己的</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人生导师</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，并在人生导师的指导下开展相应的科研或应用实践锻炼。专业培养方案包含由企业家主讲的课程《职业发展与就业创业指导》，并在实践环节设置了2学分的创新创业实践。</w:t>
      </w:r>
    </w:p>
    <w:p>
      <w:pPr>
        <w:widowControl/>
        <w:adjustRightInd w:val="0"/>
        <w:snapToGrid w:val="0"/>
        <w:spacing w:line="240" w:lineRule="auto"/>
        <w:jc w:val="center"/>
        <w:rPr>
          <w:b/>
          <w:bCs/>
          <w:color w:val="000000"/>
          <w:kern w:val="0"/>
          <w:sz w:val="21"/>
          <w:szCs w:val="21"/>
        </w:rPr>
      </w:pPr>
      <w:r>
        <w:rPr>
          <w:b/>
          <w:bCs/>
          <w:color w:val="000000"/>
          <w:kern w:val="0"/>
          <w:sz w:val="21"/>
          <w:szCs w:val="21"/>
        </w:rPr>
        <w:t>表1  生物科学专业本科生参加科技创新实践情况统计</w:t>
      </w:r>
    </w:p>
    <w:tbl>
      <w:tblPr>
        <w:tblStyle w:val="17"/>
        <w:tblW w:w="4998" w:type="pct"/>
        <w:jc w:val="center"/>
        <w:tblLayout w:type="autofit"/>
        <w:tblCellMar>
          <w:top w:w="0" w:type="dxa"/>
          <w:left w:w="108" w:type="dxa"/>
          <w:bottom w:w="0" w:type="dxa"/>
          <w:right w:w="108" w:type="dxa"/>
        </w:tblCellMar>
      </w:tblPr>
      <w:tblGrid>
        <w:gridCol w:w="780"/>
        <w:gridCol w:w="1368"/>
        <w:gridCol w:w="1700"/>
        <w:gridCol w:w="1220"/>
        <w:gridCol w:w="1446"/>
        <w:gridCol w:w="1472"/>
        <w:gridCol w:w="1071"/>
      </w:tblGrid>
      <w:tr>
        <w:tblPrEx>
          <w:tblCellMar>
            <w:top w:w="0" w:type="dxa"/>
            <w:left w:w="108" w:type="dxa"/>
            <w:bottom w:w="0" w:type="dxa"/>
            <w:right w:w="108" w:type="dxa"/>
          </w:tblCellMar>
        </w:tblPrEx>
        <w:trPr>
          <w:trHeight w:val="340" w:hRule="atLeast"/>
          <w:tblHeader/>
          <w:jc w:val="center"/>
        </w:trPr>
        <w:tc>
          <w:tcPr>
            <w:tcW w:w="431" w:type="pct"/>
            <w:vMerge w:val="restart"/>
            <w:tcBorders>
              <w:top w:val="single" w:color="auto" w:sz="4" w:space="0"/>
              <w:left w:val="single" w:color="auto" w:sz="4" w:space="0"/>
              <w:bottom w:val="single" w:color="000000"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年度</w:t>
            </w:r>
          </w:p>
        </w:tc>
        <w:tc>
          <w:tcPr>
            <w:tcW w:w="2366" w:type="pct"/>
            <w:gridSpan w:val="3"/>
            <w:tcBorders>
              <w:top w:val="single" w:color="auto" w:sz="4" w:space="0"/>
              <w:left w:val="nil"/>
              <w:bottom w:val="single" w:color="auto" w:sz="4" w:space="0"/>
              <w:right w:val="single" w:color="000000"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SRT及创新创业大赛</w:t>
            </w:r>
          </w:p>
        </w:tc>
        <w:tc>
          <w:tcPr>
            <w:tcW w:w="1610" w:type="pct"/>
            <w:gridSpan w:val="2"/>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省级科技社团</w:t>
            </w:r>
          </w:p>
        </w:tc>
        <w:tc>
          <w:tcPr>
            <w:tcW w:w="591" w:type="pct"/>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第二课堂（人）</w:t>
            </w:r>
          </w:p>
        </w:tc>
      </w:tr>
      <w:tr>
        <w:tblPrEx>
          <w:tblCellMar>
            <w:top w:w="0" w:type="dxa"/>
            <w:left w:w="108" w:type="dxa"/>
            <w:bottom w:w="0" w:type="dxa"/>
            <w:right w:w="108" w:type="dxa"/>
          </w:tblCellMar>
        </w:tblPrEx>
        <w:trPr>
          <w:trHeight w:val="340" w:hRule="atLeast"/>
          <w:tblHeader/>
          <w:jc w:val="center"/>
        </w:trPr>
        <w:tc>
          <w:tcPr>
            <w:tcW w:w="431" w:type="pct"/>
            <w:vMerge w:val="continue"/>
            <w:tcBorders>
              <w:top w:val="single" w:color="auto" w:sz="4" w:space="0"/>
              <w:left w:val="single" w:color="auto" w:sz="4" w:space="0"/>
              <w:bottom w:val="single" w:color="000000" w:sz="4" w:space="0"/>
              <w:right w:val="single" w:color="auto" w:sz="4" w:space="0"/>
            </w:tcBorders>
            <w:vAlign w:val="center"/>
          </w:tcPr>
          <w:p>
            <w:pPr>
              <w:widowControl/>
              <w:adjustRightInd w:val="0"/>
              <w:snapToGrid w:val="0"/>
              <w:spacing w:line="240" w:lineRule="auto"/>
              <w:jc w:val="center"/>
              <w:rPr>
                <w:b/>
                <w:bCs/>
                <w:color w:val="000000"/>
                <w:kern w:val="0"/>
                <w:sz w:val="21"/>
                <w:szCs w:val="21"/>
              </w:rPr>
            </w:pPr>
          </w:p>
        </w:tc>
        <w:tc>
          <w:tcPr>
            <w:tcW w:w="755"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总数（项）</w:t>
            </w:r>
          </w:p>
        </w:tc>
        <w:tc>
          <w:tcPr>
            <w:tcW w:w="93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国家级（项）</w:t>
            </w:r>
          </w:p>
        </w:tc>
        <w:tc>
          <w:tcPr>
            <w:tcW w:w="673"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参加人数</w:t>
            </w:r>
          </w:p>
        </w:tc>
        <w:tc>
          <w:tcPr>
            <w:tcW w:w="79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飞协（人）</w:t>
            </w:r>
          </w:p>
        </w:tc>
        <w:tc>
          <w:tcPr>
            <w:tcW w:w="81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百奥（人）</w:t>
            </w:r>
          </w:p>
        </w:tc>
        <w:tc>
          <w:tcPr>
            <w:tcW w:w="591"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p>
        </w:tc>
      </w:tr>
      <w:tr>
        <w:tblPrEx>
          <w:tblCellMar>
            <w:top w:w="0" w:type="dxa"/>
            <w:left w:w="108" w:type="dxa"/>
            <w:bottom w:w="0" w:type="dxa"/>
            <w:right w:w="108" w:type="dxa"/>
          </w:tblCellMar>
        </w:tblPrEx>
        <w:trPr>
          <w:trHeight w:val="340" w:hRule="atLeast"/>
          <w:jc w:val="center"/>
        </w:trPr>
        <w:tc>
          <w:tcPr>
            <w:tcW w:w="431" w:type="pct"/>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2018</w:t>
            </w:r>
          </w:p>
        </w:tc>
        <w:tc>
          <w:tcPr>
            <w:tcW w:w="755"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w:t>
            </w:r>
          </w:p>
        </w:tc>
        <w:tc>
          <w:tcPr>
            <w:tcW w:w="93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3</w:t>
            </w:r>
          </w:p>
        </w:tc>
        <w:tc>
          <w:tcPr>
            <w:tcW w:w="673"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72</w:t>
            </w:r>
          </w:p>
        </w:tc>
        <w:tc>
          <w:tcPr>
            <w:tcW w:w="79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47</w:t>
            </w:r>
          </w:p>
        </w:tc>
        <w:tc>
          <w:tcPr>
            <w:tcW w:w="81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23</w:t>
            </w:r>
          </w:p>
        </w:tc>
        <w:tc>
          <w:tcPr>
            <w:tcW w:w="591"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45</w:t>
            </w:r>
          </w:p>
        </w:tc>
      </w:tr>
      <w:tr>
        <w:tblPrEx>
          <w:tblCellMar>
            <w:top w:w="0" w:type="dxa"/>
            <w:left w:w="108" w:type="dxa"/>
            <w:bottom w:w="0" w:type="dxa"/>
            <w:right w:w="108" w:type="dxa"/>
          </w:tblCellMar>
        </w:tblPrEx>
        <w:trPr>
          <w:trHeight w:val="340" w:hRule="atLeast"/>
          <w:jc w:val="center"/>
        </w:trPr>
        <w:tc>
          <w:tcPr>
            <w:tcW w:w="431" w:type="pct"/>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2019</w:t>
            </w:r>
          </w:p>
        </w:tc>
        <w:tc>
          <w:tcPr>
            <w:tcW w:w="755"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21</w:t>
            </w:r>
          </w:p>
        </w:tc>
        <w:tc>
          <w:tcPr>
            <w:tcW w:w="93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w:t>
            </w:r>
          </w:p>
        </w:tc>
        <w:tc>
          <w:tcPr>
            <w:tcW w:w="673"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69</w:t>
            </w:r>
          </w:p>
        </w:tc>
        <w:tc>
          <w:tcPr>
            <w:tcW w:w="79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44</w:t>
            </w:r>
          </w:p>
        </w:tc>
        <w:tc>
          <w:tcPr>
            <w:tcW w:w="81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19</w:t>
            </w:r>
          </w:p>
        </w:tc>
        <w:tc>
          <w:tcPr>
            <w:tcW w:w="591"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41</w:t>
            </w:r>
          </w:p>
        </w:tc>
      </w:tr>
      <w:tr>
        <w:tblPrEx>
          <w:tblCellMar>
            <w:top w:w="0" w:type="dxa"/>
            <w:left w:w="108" w:type="dxa"/>
            <w:bottom w:w="0" w:type="dxa"/>
            <w:right w:w="108" w:type="dxa"/>
          </w:tblCellMar>
        </w:tblPrEx>
        <w:trPr>
          <w:trHeight w:val="340" w:hRule="atLeast"/>
          <w:jc w:val="center"/>
        </w:trPr>
        <w:tc>
          <w:tcPr>
            <w:tcW w:w="431" w:type="pct"/>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2020</w:t>
            </w:r>
          </w:p>
        </w:tc>
        <w:tc>
          <w:tcPr>
            <w:tcW w:w="755"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18</w:t>
            </w:r>
          </w:p>
        </w:tc>
        <w:tc>
          <w:tcPr>
            <w:tcW w:w="93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w:t>
            </w:r>
          </w:p>
        </w:tc>
        <w:tc>
          <w:tcPr>
            <w:tcW w:w="673"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62</w:t>
            </w:r>
          </w:p>
        </w:tc>
        <w:tc>
          <w:tcPr>
            <w:tcW w:w="79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42</w:t>
            </w:r>
          </w:p>
        </w:tc>
        <w:tc>
          <w:tcPr>
            <w:tcW w:w="81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w:t>
            </w:r>
          </w:p>
        </w:tc>
        <w:tc>
          <w:tcPr>
            <w:tcW w:w="591"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47</w:t>
            </w:r>
          </w:p>
        </w:tc>
      </w:tr>
      <w:tr>
        <w:tblPrEx>
          <w:tblCellMar>
            <w:top w:w="0" w:type="dxa"/>
            <w:left w:w="108" w:type="dxa"/>
            <w:bottom w:w="0" w:type="dxa"/>
            <w:right w:w="108" w:type="dxa"/>
          </w:tblCellMar>
        </w:tblPrEx>
        <w:trPr>
          <w:trHeight w:val="340" w:hRule="atLeast"/>
          <w:jc w:val="center"/>
        </w:trPr>
        <w:tc>
          <w:tcPr>
            <w:tcW w:w="431" w:type="pct"/>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2021</w:t>
            </w:r>
          </w:p>
        </w:tc>
        <w:tc>
          <w:tcPr>
            <w:tcW w:w="755"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14</w:t>
            </w:r>
          </w:p>
        </w:tc>
        <w:tc>
          <w:tcPr>
            <w:tcW w:w="93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w:t>
            </w:r>
          </w:p>
        </w:tc>
        <w:tc>
          <w:tcPr>
            <w:tcW w:w="673"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53</w:t>
            </w:r>
          </w:p>
        </w:tc>
        <w:tc>
          <w:tcPr>
            <w:tcW w:w="79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45</w:t>
            </w:r>
          </w:p>
        </w:tc>
        <w:tc>
          <w:tcPr>
            <w:tcW w:w="81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22</w:t>
            </w:r>
          </w:p>
        </w:tc>
        <w:tc>
          <w:tcPr>
            <w:tcW w:w="591"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43</w:t>
            </w:r>
          </w:p>
        </w:tc>
      </w:tr>
      <w:tr>
        <w:tblPrEx>
          <w:tblCellMar>
            <w:top w:w="0" w:type="dxa"/>
            <w:left w:w="108" w:type="dxa"/>
            <w:bottom w:w="0" w:type="dxa"/>
            <w:right w:w="108" w:type="dxa"/>
          </w:tblCellMar>
        </w:tblPrEx>
        <w:trPr>
          <w:trHeight w:val="340" w:hRule="atLeast"/>
          <w:jc w:val="center"/>
        </w:trPr>
        <w:tc>
          <w:tcPr>
            <w:tcW w:w="431" w:type="pct"/>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2022</w:t>
            </w:r>
          </w:p>
        </w:tc>
        <w:tc>
          <w:tcPr>
            <w:tcW w:w="755"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10</w:t>
            </w:r>
          </w:p>
        </w:tc>
        <w:tc>
          <w:tcPr>
            <w:tcW w:w="93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3</w:t>
            </w:r>
          </w:p>
        </w:tc>
        <w:tc>
          <w:tcPr>
            <w:tcW w:w="673"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38</w:t>
            </w:r>
          </w:p>
        </w:tc>
        <w:tc>
          <w:tcPr>
            <w:tcW w:w="79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40</w:t>
            </w:r>
          </w:p>
        </w:tc>
        <w:tc>
          <w:tcPr>
            <w:tcW w:w="81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24</w:t>
            </w:r>
          </w:p>
        </w:tc>
        <w:tc>
          <w:tcPr>
            <w:tcW w:w="591"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38</w:t>
            </w:r>
          </w:p>
        </w:tc>
      </w:tr>
      <w:tr>
        <w:tblPrEx>
          <w:tblCellMar>
            <w:top w:w="0" w:type="dxa"/>
            <w:left w:w="108" w:type="dxa"/>
            <w:bottom w:w="0" w:type="dxa"/>
            <w:right w:w="108" w:type="dxa"/>
          </w:tblCellMar>
        </w:tblPrEx>
        <w:trPr>
          <w:trHeight w:val="340" w:hRule="atLeast"/>
          <w:jc w:val="center"/>
        </w:trPr>
        <w:tc>
          <w:tcPr>
            <w:tcW w:w="431" w:type="pct"/>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合计</w:t>
            </w:r>
          </w:p>
        </w:tc>
        <w:tc>
          <w:tcPr>
            <w:tcW w:w="755"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83</w:t>
            </w:r>
          </w:p>
        </w:tc>
        <w:tc>
          <w:tcPr>
            <w:tcW w:w="93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18</w:t>
            </w:r>
          </w:p>
        </w:tc>
        <w:tc>
          <w:tcPr>
            <w:tcW w:w="673"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294</w:t>
            </w:r>
          </w:p>
        </w:tc>
        <w:tc>
          <w:tcPr>
            <w:tcW w:w="79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218</w:t>
            </w:r>
          </w:p>
        </w:tc>
        <w:tc>
          <w:tcPr>
            <w:tcW w:w="81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108</w:t>
            </w:r>
          </w:p>
        </w:tc>
        <w:tc>
          <w:tcPr>
            <w:tcW w:w="591"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214</w:t>
            </w:r>
          </w:p>
        </w:tc>
      </w:tr>
    </w:tbl>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本专业的创新创业教育贯串大学生培养全过程：大学一年级学生即有40%-60%的学生进入实验室，根据个人兴趣申请参加</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百奥微生物科技协会</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和</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飞</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动植物艺术协会等国家级科技协会的学术社团。自二年级开始，自愿组建团队，通过</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双向选择</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选配导师，开展大学生科研训练计划（SRT）、科技竞赛计划和创业训练计划等多种项目，参加</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全国大学生生命科学竞赛</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山东省生物化学实验技能大赛</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等多种学习竞赛活动；更为重要的是，每一位学生在这一年开始通过双向选择的形式找到了自己的</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人生导师</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，可以结合自己的兴趣和导师的研究方向直接开展科学研究，</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人生导师</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还会在学生们专业学习或动向迷茫时提供全方位的指导或点拨，为学生们走好自己的大学科研之路出谋划策。三年级开始，学生们将会从泮河校区迁回教师的科研中心岱宗校区，在</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人生导师</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的指导下继续从事相关研究方向的科研实践或与企业结合密切的应用实践。大学四年级的专业综合实践和毕业实习阶段，学生分别进入科研实验室或</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人生导师</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推荐的科研院所等科技创新平台、校企共建创新创业基地开展相关训练。近5年，本专业学生参加科技社团、SRT、创新创业等各类项目83项，参加学生人数占学生总数的80%以上（表1）；在</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全国大学生生命科学竞赛</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中有7名学生获奖；在</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山东省生物化学实验技能大赛</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中有27名学生取得优秀成绩；5个实践创新小组获得了由学院与企业合作设立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实践创新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奖学金创新奖学金，获奖学生30人。</w:t>
      </w:r>
    </w:p>
    <w:p>
      <w:pPr>
        <w:pStyle w:val="5"/>
        <w:spacing w:before="93" w:after="93"/>
        <w:ind w:firstLine="560"/>
      </w:pPr>
      <w:bookmarkStart w:id="494" w:name="_Toc438025706"/>
      <w:r>
        <w:t>三、培养条件</w:t>
      </w:r>
      <w:bookmarkEnd w:id="494"/>
    </w:p>
    <w:p>
      <w:pPr>
        <w:autoSpaceDE w:val="0"/>
        <w:autoSpaceDN w:val="0"/>
        <w:adjustRightInd w:val="0"/>
        <w:ind w:firstLine="480" w:firstLineChars="200"/>
        <w:rPr>
          <w:rFonts w:eastAsia="黑体"/>
          <w:kern w:val="0"/>
          <w:szCs w:val="24"/>
        </w:rPr>
      </w:pPr>
      <w:bookmarkStart w:id="495" w:name="_Toc438025707"/>
      <w:r>
        <w:rPr>
          <w:rFonts w:eastAsia="黑体"/>
          <w:kern w:val="0"/>
          <w:szCs w:val="24"/>
        </w:rPr>
        <w:t>1. 教学经费投入</w:t>
      </w:r>
      <w:bookmarkEnd w:id="495"/>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进一步改善办学条件，优化教学环境。2021-2022年度，学院本科教学经费总投入220多万元，生均教学经费约1750元。保证了教学工作的正常运行。</w:t>
      </w:r>
    </w:p>
    <w:p>
      <w:pPr>
        <w:autoSpaceDE w:val="0"/>
        <w:autoSpaceDN w:val="0"/>
        <w:adjustRightInd w:val="0"/>
        <w:ind w:firstLine="480" w:firstLineChars="200"/>
        <w:rPr>
          <w:rFonts w:eastAsia="黑体"/>
          <w:kern w:val="0"/>
          <w:szCs w:val="24"/>
        </w:rPr>
      </w:pPr>
      <w:bookmarkStart w:id="496" w:name="_Toc438025708"/>
      <w:r>
        <w:rPr>
          <w:rFonts w:eastAsia="黑体"/>
          <w:kern w:val="0"/>
          <w:szCs w:val="24"/>
        </w:rPr>
        <w:t>2. 教学设备</w:t>
      </w:r>
      <w:bookmarkEnd w:id="496"/>
    </w:p>
    <w:p>
      <w:pPr>
        <w:ind w:firstLine="480" w:firstLineChars="200"/>
        <w:rPr>
          <w:color w:val="000000" w:themeColor="text1"/>
          <w14:textFill>
            <w14:solidFill>
              <w14:schemeClr w14:val="tx1"/>
            </w14:solidFill>
          </w14:textFill>
        </w:rPr>
      </w:pPr>
      <w:bookmarkStart w:id="497" w:name="_Toc438025709"/>
      <w:r>
        <w:rPr>
          <w:color w:val="000000" w:themeColor="text1"/>
          <w14:textFill>
            <w14:solidFill>
              <w14:schemeClr w14:val="tx1"/>
            </w14:solidFill>
          </w14:textFill>
        </w:rPr>
        <w:t>目前，实验室教学科研仪器设备总数4041台（套），仪器设备总值达到3953万元，生均教学科研仪器设备值为3.16万元。</w:t>
      </w:r>
    </w:p>
    <w:p>
      <w:pPr>
        <w:autoSpaceDE w:val="0"/>
        <w:autoSpaceDN w:val="0"/>
        <w:adjustRightInd w:val="0"/>
        <w:ind w:firstLine="480" w:firstLineChars="200"/>
        <w:rPr>
          <w:rFonts w:eastAsia="黑体"/>
          <w:kern w:val="0"/>
          <w:szCs w:val="24"/>
        </w:rPr>
      </w:pPr>
      <w:r>
        <w:rPr>
          <w:rFonts w:eastAsia="黑体"/>
          <w:kern w:val="0"/>
          <w:szCs w:val="24"/>
        </w:rPr>
        <w:t>3. 教师队伍建设</w:t>
      </w:r>
      <w:bookmarkEnd w:id="497"/>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高度重视师资队伍建设，不断完善人才引进和培养机制，切实优化师资队伍结构，形成了一支适应学科发展需求、素质优良、结构合理的师资队伍。</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（1）加大高层次人才引进力度：2022年度，引进优秀青年人才7人。</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送出去、请进来</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拓宽教师视野：近5年选派优秀中青年骨干教师到国外知名高校培训或进修20多人次，每年教师参加国际或全国学术会议（含线上）110余人次。经常邀请国内外教学科研领域的知名专家来校举办学术交流会或专题讲座，使青年教师经常向知名专家学习、与同行交流，学习先进的教学和科研理念，从而拓宽视野。</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（3）传帮带制度加强青年教师培养：实行新老教师挂钩，实行导师制。年青教师在独立讲授课程前：一是听课制度，要跟随富有经验的</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导师</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完整观摩听课2个学期，并完成详实的听课记录；二是试讲制度，在正式上讲台前先在团队教师内试讲2-3次，由同行教师提出改进意见，如果仍处于不适合上讲台的状态，则推迟其授课资格；三是试讲合格后，与</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导师</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合作讲授同一门课，由</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导师</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进行具体传帮带。</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（4）鼓励教师参与和申报科研项目：近五年来，学院教师承担了国家</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973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计划、国家转基因生物新品种培育重点专项、国家自然科学基金、国际合作项目等国家级科研课题83项，省部级项目51项、横向课题30项，年均立项经费2030万元。在Nature </w:t>
      </w:r>
      <w:r>
        <w:fldChar w:fldCharType="begin"/>
      </w:r>
      <w:r>
        <w:instrText xml:space="preserve"> HYPERLINK "http://e.so.com/search/eclk?p=a249RQ-RF4aUVBNOMm2LGKvnWPrvkISjjpuDXgiHly-ErTmOjL7WXRAk4VWRTfBHUY7N3zJh8eFVC7o9AndGHN_mgp3JML3UjVknZRTAB3imf0Id8iWUF5bKi3hhxckSE7R17tjSZw5CwhkIduzgP_IqUavkqfQ59Lg1G8HUecRjdFiMpNch5woNM6a1JgwJG0SFYQj41l_sWME5ZQurX7y43PCPYTQH340c78kD1t8zOQMMXyhhkcLoeA0bwJYT3o5GwFw3D4DAsE0uK2OZ-9JFCOTkTTPL59jJv7ZxjINkOGSF5jADmFn0pNyKiT--JwSeY1UdYxJbS1lNTGZAGCyTaJWy2d-x7yPwIEPSQ6-viXD9GHbzcQSSmNWDiAnlSCecER3AHhwxPHPkRwgyroTEHyF6Ka6d5ev4Xb0-CbtEQHyk9n9EC3v1KO7BdH0YprzyNl2udCebCjOeNmHNcgNnctOjfToT52hBJaV8kbtKzMcu_YzmhYXWf8zvzdplTisgi6pb-ALCzpCP-UlhXPgFb7WeizZlBF-aatBhwOJr5GmxaqGctCvcP29N_uOXgllZoT9NihbTNhLVAxhgaJ7S1jdgn2w1KRG5vOl6FkvzH3iYVLzlEYnMRgqP0kaEv_XoZzA2Z57dLWHPYqY2knYsGOms_aFwKkiSddfGnzntGiu7I8lpz85anCTk8w_nnNSQqOBI2k1p8uc&amp;ns=0&amp;v=2&amp;at=AW5hdHVyZQIgY29tbXVuaWNhdGlvbnPkuKjnu7zlkIjoh6rnhLbnp5HlrabnsbvmnJ_liIrkuKhTQ0kg5pS25b2V5pyf5YiK&amp;aurl=aHR0cHM6Ly93d3cubmF0dXJlLmNvbS9jb250ZW50L3NjaXJlcC1mYWN0cy9pbmRleC5odG1sP3V0bV9zb3VyY2U9MzYwJnV0bV9tZWRpdW09Y3BjJnV0bV9jb250ZW50PW51bGwmdXRtX2NhbXBhaWduPUpSQ05fMV9STF8zNjBfc2NpcmVwX2ZhY3Rz&amp;sig=4d39&amp;bt=1&amp;ud=1569119469929" \t "https://www.so.com/_blank" </w:instrText>
      </w:r>
      <w:r>
        <w:fldChar w:fldCharType="separate"/>
      </w:r>
      <w:r>
        <w:rPr>
          <w:color w:val="000000" w:themeColor="text1"/>
          <w14:textFill>
            <w14:solidFill>
              <w14:schemeClr w14:val="tx1"/>
            </w14:solidFill>
          </w14:textFill>
        </w:rPr>
        <w:t>Communications</w:t>
      </w:r>
      <w:r>
        <w:rPr>
          <w:color w:val="000000" w:themeColor="text1"/>
          <w14:textFill>
            <w14:solidFill>
              <w14:schemeClr w14:val="tx1"/>
            </w14:solidFill>
          </w14:textFill>
        </w:rPr>
        <w:fldChar w:fldCharType="end"/>
      </w:r>
      <w:r>
        <w:rPr>
          <w:color w:val="000000" w:themeColor="text1"/>
          <w14:textFill>
            <w14:solidFill>
              <w14:schemeClr w14:val="tx1"/>
            </w14:solidFill>
          </w14:textFill>
        </w:rPr>
        <w:t>、Trends in Plant、PNAS等国内外学术刊物上发表SCI研究论文600余篇，其中，影响因子5.0以上的高水平国际学术期刊论文120篇，其中影响因子大于10的16篇；获批国家发明专利27项；获得山东省自然科学一等奖1项、山东省自然科学二等奖2项、山东省科技进步奖1项。承担教改项目40余项，其中国家级教改项目4项、省级教改项目8项、校级教改项目30余项；获教学成果与奖励50余项，其中省级教学成果特等奖1项、一等奖2项、二等奖1项，其他各级各类教学奖励40余项；出版国家级规划教材5部，发表教研论文30余篇；2门课程被评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国家一流课程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，3门课程被评为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省级一流课程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，2门课程被评为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省级课程思政示范课程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学院现有教职员工132人，其中教授44人，副教授49人，博士生导师36人，包括国家</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973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项目首席科学家1人，杰出青年基金获得者3人，国家优秀青年基金获得者1人，国家</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万人计划</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入选者1人，国家</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百千万人才工程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入选者4人，国家级教学名师1人，青年长江学者1人，国家有突出贡献中青年专家2人，享受国务院特贴4人，山东省</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泰山学者攀登计划</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1人，山东省</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泰山学者</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特聘教授8人，山东省</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泰山学者</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青年专家4人。学院拥有教育部长江学者创新团队1个，国家级优秀教学团队2个，省级优秀教学团队1个。</w:t>
      </w:r>
    </w:p>
    <w:p>
      <w:pPr>
        <w:autoSpaceDE w:val="0"/>
        <w:autoSpaceDN w:val="0"/>
        <w:adjustRightInd w:val="0"/>
        <w:ind w:firstLine="480" w:firstLineChars="200"/>
        <w:rPr>
          <w:rFonts w:eastAsia="黑体"/>
          <w:kern w:val="0"/>
          <w:szCs w:val="24"/>
        </w:rPr>
      </w:pPr>
      <w:bookmarkStart w:id="498" w:name="_Toc438025710"/>
      <w:r>
        <w:rPr>
          <w:rFonts w:eastAsia="黑体"/>
          <w:kern w:val="0"/>
          <w:szCs w:val="24"/>
        </w:rPr>
        <w:t>4. 实习基地</w:t>
      </w:r>
      <w:bookmarkEnd w:id="498"/>
    </w:p>
    <w:p>
      <w:pPr>
        <w:spacing w:line="240" w:lineRule="auto"/>
        <w:jc w:val="center"/>
        <w:rPr>
          <w:b/>
          <w:bCs/>
          <w:color w:val="000000" w:themeColor="text1"/>
          <w:sz w:val="21"/>
          <w:szCs w:val="21"/>
          <w14:textFill>
            <w14:solidFill>
              <w14:schemeClr w14:val="tx1"/>
            </w14:solidFill>
          </w14:textFill>
        </w:rPr>
      </w:pPr>
      <w:bookmarkStart w:id="499" w:name="_Toc438025711"/>
      <w:r>
        <w:rPr>
          <w:b/>
          <w:bCs/>
          <w:sz w:val="21"/>
          <w:szCs w:val="21"/>
        </w:rPr>
        <mc:AlternateContent>
          <mc:Choice Requires="wpg">
            <w:drawing>
              <wp:inline distT="0" distB="0" distL="114300" distR="114300">
                <wp:extent cx="4897755" cy="3280410"/>
                <wp:effectExtent l="0" t="0" r="0" b="0"/>
                <wp:docPr id="85" name="组合 85"/>
                <wp:cNvGraphicFramePr/>
                <a:graphic xmlns:a="http://schemas.openxmlformats.org/drawingml/2006/main">
                  <a:graphicData uri="http://schemas.microsoft.com/office/word/2010/wordprocessingGroup">
                    <wpg:wgp>
                      <wpg:cNvGrpSpPr/>
                      <wpg:grpSpPr>
                        <a:xfrm>
                          <a:off x="0" y="0"/>
                          <a:ext cx="4897755" cy="3280410"/>
                          <a:chOff x="4376" y="86570"/>
                          <a:chExt cx="6870" cy="4634"/>
                        </a:xfrm>
                      </wpg:grpSpPr>
                      <pic:pic xmlns:pic="http://schemas.openxmlformats.org/drawingml/2006/picture">
                        <pic:nvPicPr>
                          <pic:cNvPr id="86" name="图片 1"/>
                          <pic:cNvPicPr>
                            <a:picLocks noChangeAspect="1"/>
                          </pic:cNvPicPr>
                        </pic:nvPicPr>
                        <pic:blipFill>
                          <a:blip r:embed="rId110" cstate="print">
                            <a:extLst>
                              <a:ext uri="{28A0092B-C50C-407E-A947-70E740481C1C}">
                                <a14:useLocalDpi xmlns:a14="http://schemas.microsoft.com/office/drawing/2010/main" val="0"/>
                              </a:ext>
                            </a:extLst>
                          </a:blip>
                          <a:srcRect t="11215" r="12341"/>
                          <a:stretch>
                            <a:fillRect/>
                          </a:stretch>
                        </pic:blipFill>
                        <pic:spPr>
                          <a:xfrm>
                            <a:off x="7831" y="88944"/>
                            <a:ext cx="3414" cy="2261"/>
                          </a:xfrm>
                          <a:prstGeom prst="rect">
                            <a:avLst/>
                          </a:prstGeom>
                          <a:ln>
                            <a:noFill/>
                          </a:ln>
                        </pic:spPr>
                      </pic:pic>
                      <pic:pic xmlns:pic="http://schemas.openxmlformats.org/drawingml/2006/picture">
                        <pic:nvPicPr>
                          <pic:cNvPr id="87" name="图片 2"/>
                          <pic:cNvPicPr>
                            <a:picLocks noChangeAspect="1"/>
                          </pic:cNvPicPr>
                        </pic:nvPicPr>
                        <pic:blipFill>
                          <a:blip r:embed="rId111" cstate="print">
                            <a:extLst>
                              <a:ext uri="{28A0092B-C50C-407E-A947-70E740481C1C}">
                                <a14:useLocalDpi xmlns:a14="http://schemas.microsoft.com/office/drawing/2010/main" val="0"/>
                              </a:ext>
                            </a:extLst>
                          </a:blip>
                          <a:srcRect b="9302"/>
                          <a:stretch>
                            <a:fillRect/>
                          </a:stretch>
                        </pic:blipFill>
                        <pic:spPr>
                          <a:xfrm>
                            <a:off x="4426" y="88941"/>
                            <a:ext cx="3377" cy="2261"/>
                          </a:xfrm>
                          <a:prstGeom prst="rect">
                            <a:avLst/>
                          </a:prstGeom>
                          <a:ln>
                            <a:noFill/>
                          </a:ln>
                        </pic:spPr>
                      </pic:pic>
                      <pic:pic xmlns:pic="http://schemas.openxmlformats.org/drawingml/2006/picture">
                        <pic:nvPicPr>
                          <pic:cNvPr id="88" name="图片 23"/>
                          <pic:cNvPicPr>
                            <a:picLocks noChangeAspect="1" noChangeArrowheads="1"/>
                          </pic:cNvPicPr>
                        </pic:nvPicPr>
                        <pic:blipFill>
                          <a:blip r:embed="rId112" cstate="print"/>
                          <a:srcRect b="53246"/>
                          <a:stretch>
                            <a:fillRect/>
                          </a:stretch>
                        </pic:blipFill>
                        <pic:spPr>
                          <a:xfrm>
                            <a:off x="4376" y="86570"/>
                            <a:ext cx="6870" cy="2354"/>
                          </a:xfrm>
                          <a:prstGeom prst="rect">
                            <a:avLst/>
                          </a:prstGeom>
                          <a:noFill/>
                          <a:ln>
                            <a:noFill/>
                          </a:ln>
                        </pic:spPr>
                      </pic:pic>
                    </wpg:wgp>
                  </a:graphicData>
                </a:graphic>
              </wp:inline>
            </w:drawing>
          </mc:Choice>
          <mc:Fallback>
            <w:pict>
              <v:group id="_x0000_s1026" o:spid="_x0000_s1026" o:spt="203" style="height:258.3pt;width:385.65pt;" coordorigin="4376,86570" coordsize="6870,4634" o:gfxdata="UEsDBAoAAAAAAIdO4kAAAAAAAAAAAAAAAAAEAAAAZHJzL1BLAwQUAAAACACHTuJAns5yU9YAAAAF&#10;AQAADwAAAGRycy9kb3ducmV2LnhtbE2PQWvCQBCF74X+h2UK3upmK8aSZiNFqicpVAultzE7JsHs&#10;bMiuif57t720l4HHe7z3Tb682FYM1PvGsQY1TUAQl840XGn43K8fn0H4gGywdUwaruRhWdzf5ZgZ&#10;N/IHDbtQiVjCPkMNdQhdJqUva7Lop64jjt7R9RZDlH0lTY9jLLetfEqSVFpsOC7U2NGqpvK0O1sN&#10;mxHH15l6G7an4+r6vZ+/f20VaT15UMkLiECX8BeGH/yIDkVkOrgzGy9aDfGR8Hujt1ioGYiDhrlK&#10;U5BFLv/TFzdQSwMEFAAAAAgAh07iQN0QeHtMAwAAdAsAAA4AAABkcnMvZTJvRG9jLnhtbN1WzW4T&#10;MRC+I/EO1t7T/XOym1VTVNJSISGo+HkA1/FmV+yuLdtJihA3JODGnUdB4m0Qr8GMvUnatBItqhBw&#10;yMZ/M5755pvx7D84bxuyFNrUspsE8V4UENFxOau7+SR49fLRIA+IsaybsUZ2YhK8ESZ4cHD/3v5K&#10;FSKRlWxmQhNQ0plipSZBZa0qwtDwSrTM7EklOtgspW6ZhamehzPNVqC9bcIkikbhSuqZ0pILY2D1&#10;yG8GvUZ9E4WyLGsujiRftKKzXqsWDbPgkqlqZYIDZ21ZCm6flaURljSTADy17guXwPgMv+HBPivm&#10;mqmq5r0J7CYm7PjUsrqDSzeqjphlZKHrK6rammtpZGn3uGxD74hDBLyIox1sTrRcKOfLvFjN1QZ0&#10;CNQO6r+tlj9dnmpSzyZBPgxIx1qI+I+v779//khgAdBZqXkBh060eqFOdb8w9zN0+LzULf6DK+Tc&#10;4fpmg6s4t4TDIs3HWTYE/Rz20iSPaNwjzysID8rRNBsFBLbz0TDbbB73CkY5rDlpOkopmhWubw7R&#10;wI09quYF/HqkYHQFqV/zE6TsQgvAHbV1y9Oan2o/uYAWWOvR+v7l249PH0iMVqEAnvESDE15Ivlr&#10;Qzo5rVg3F4dGASUh7ZwPl4+HOL103VlTq0d10yC+OL7bHCG6EO2ZgNDrx7MY4IWstxB+pevOOjJD&#10;/J4Yi7djJB2d3yb5YRSNk4eD6TCaDmiUHQ8OxzQbZNFxRiOax9N4+g6lY1osjAD3WXOk6nVuxfRK&#10;RK7lbp9fPitcdpElcznsgw8GORKsTQQ+IEJoq9H8OYCMuR7HSQy0g3yPk5Q60GHfamF5hUdLABfP&#10;ep2bDReJLfgYFwPkR4kdumd5CsghbfMxdcT0WCHr4ULqSZskIx/wrbzSxp4I2RIcQATACAc5WwLi&#10;3pz1Eby26fDbSWSD38UVZ6e3zA3BUM9BGPyBFMh2UiD5t1Mg+f9SAJ64cRq5uNwt7ylN+nINvO/z&#10;CmuE432aATOw1P+nvIcG6VLpT9JbEn/7HGgtV5VgM/MXPgnpbj5A4dlWV6DWME3oCF2/Y25d0wqs&#10;ubVtBJJ0eLkRgNf2djV1U01vVV5dvwHNmHt9+sYRu72LcxhfbJYPfgJQSwMECgAAAAAAh07iQAAA&#10;AAAAAAAAAAAAAAoAAABkcnMvbWVkaWEvUEsDBBQAAAAIAIdO4kCeSlmRVcoFABnKBQAUAAAAZHJz&#10;L21lZGlhL2ltYWdlMy5wbmcAAID/f4lQTkcNChoKAAAADUlIRFIAAAIRAAABcggGAAAASxaIewAA&#10;AAFzUkdCAK7OHOkAAAAJcEhZcwAADsQAAA7EAZUrDhsAAAAZdEVYdFNvZnR3YXJlAE1pY3Jvc29m&#10;dCBPZmZpY2V/7TVxAAD/kElEQVR4Xuz96ZOtWXafh+3MPDnPc955rLo1V3VVN3oAGiRBgiAFSpRk&#10;07QZobAj9E2fHOG/wWF/djgcDIcVCjtkWpRkUZZIiiQIgATQQI/VNY+37jxl5s15Hk6mn2etd+fN&#10;qu4GAVAM0aTPraw8ec477HcPa/3Wbw279X/7P/3vjtvto3J8fFyOjvP38dFR8TM+KMf8PvK3nzfH&#10;lOPif/x08P9nryPO85iO5puODt41550cxT06O/PzTr/3Os370hzveV7Z7+qr0+t2eO16T76Nt/yP&#10;/475znY2n/BZPbJprEc29+OGzXHNHfzlZU7O4dHzg5P7+V1tka3u4n6e5KXomeZ6ecxxNinO9Z/P&#10;d9KueOtn9G/TpnyEzi/1ZT0n+9pr2v/NIc3184Pm+Zsvoy38Zx9HEz236ao8vfm/4xJPWc/nStHH&#10;tCO+yxGuY+3j53ja19mOGGv7qBm35sNnzxF95nXzvjHa8ZkDlueeOri5Fl/ZNfUZ8wmav+uNPZ2D&#10;vnR+bVP2fcypZgxrv2VvNWNSny9blX0UTWtm9slceTYPT2ZNNKe2vZknMc/bcYejZlz87Zpq25au&#10;7LuYo6eeLY9lvLhfZ2dX9gFjF2uho4uf7Kvox+bEVqtVOrt7Skerq3T73vPsX4Yux8+51Bn37Ozq&#10;LN3d3cVzuji+1d3F8Z1c0vvYQxzH/VpdXXzfWbp6WlyzO977+ie/fafj8cefHC8tLZW9vb2yvb1d&#10;5ufny6VLl8qZM2fKRx9/WNbWV8shz+X1RkbHS09PbxkaGirXnn+hDA+Nl1u3b/HcjBfPsbW1Hfdf&#10;Wl6O57z+3HPl888/L+tr6xzTLgcHh6WL4/onRsq5sxPlYnuj/G//xl8qlwf7y62//d+W6ftbfF8K&#10;reW5+kurb6jscfw+T/LgzLny97v2yg8Olnnu3nK8d1j2uo7KC5cvI8c6yqOnS2VgcLAMDw+Xvd3d&#10;eJ7Ddrv09XIdnvng8KDcunW7LC8vlcmJyfLiSy+V7a2teObNzc2yt7/HOHWWQa5x/vz5MjDQH33n&#10;835x64ty79690sVYeB2f9cLFC9FHPu8W1+nr6ysbGxtlZXWtHOwflN293Zin9vf0zHSZGJ/g2gO0&#10;vass09/vvPtuHLd/sM/4MC6M4+TUZJmemi4truln29tbcf/B3t6YOz29PRx/UB48flQePX4cYz7c&#10;11+mJ6fiuo7d08XFaP/4+Hj0wfrGerRhgmsfcj+PsS0T9EH3QG/Z2NuM1XtmYrx0bT0p3379fCm9&#10;w+UH79wrj1fb9Oty2dheKVfOX+Bew2V5bbVs7WyXlZWV6Nfz58/R7in6dblsbWyWHfrT5+7r7y+z&#10;MzPl8PCwjI+N09c7ZeHJfFnl/G7m6YUL9vEAk/qorK5vMo/uxLG7tHmfn5HR0TI3O1uGOXd8cjLu&#10;9/Dhw2Z+H5ce1sj62kqMRT/3GhsfKyPDI2WLsVxdW2Msc93ZX23mgXPCsXbtPf/Ci2VicqJ0M557&#10;u/tlcWG+zD9+Qn+26O/uWBtTPJPtbdOmPsZgn/lxzBzuYM0xPGV0dDjmx9Ly0/jOuWc/bLIG9pnn&#10;S8urpbe3r8wyRx4uPCkrS0/LQN9g2Wsfl1Y5LK+dHyq/+Z3nyv5Ou/xnf++flVsbR2VgbKqMjwyi&#10;f0rZRzdPzzAfJmbL8eZyuTy8Ub52vbe89NKVcvvxZvnP/+En5c7DrfLa619jnh+Xd99/r+zu7zAP&#10;e0vfAPfZOyhDtMkxv8B8sG8+//yz0s8cPOCZ7Bf72nnTxc+1566XpcWUA/v7+7HGX3jzzY5Wf78n&#10;HPDwx6XNQnexH9GhHQycizp6mgb4fcgyhOKRAEPBeBokOCAeq6gLTdMoiTjG4xthbO+GwK5KuiqT&#10;VEaIYL4M8Z/qo7kW8ASx0Qj8qvwqzGiOCdBzSi1VVXjy0akvU2l4b7FS/g71EjI7nyFBToKARh2m&#10;MPecL32Sik79c0wfHHVWoX9K2TRtq4oz9WptkHdun/Tnl5Ry9EKjSPMu8Vfqu3xfQUuqzzyWIUxQ&#10;UBVQfJXHBziqitCPVNoCyOgDe7oOVqNQmw5MYMMCCSXVgKN4hKY3GpDh09h3TKETRe+1K/jITs6/&#10;mxmTd2Dc494Nnqrf+2l2V86VBBVdJ8/65T59pvSzVc6hBgxyrvM72hb3yjFw2sYUinvnH/HkgoDm&#10;WbLnGaWYOE2H5BknoKCDGep39FC0M1sYNzlp/+kZGtePDqjrJude9E30TwO8anvicVCYLPCOnf04&#10;brtBXFVJq+QScNr2Bo01TYjxC5DUjF9eLtoawCIAjAIQ8BJ9zAE9V0IwqxwVniMjc+Vb3/pWKMRP&#10;P/00FOnw8GDZRdCubW2W5adPSzcCVaH9+MGj8ns3/yAUnQpwbGyM8/pLP+c+j0AaHhlGoG6VGZTX&#10;HEpUhX6Awjw7O1P6JkbL/NJi2Xi6X249Wi1T44elF2HXoyg5apU2gvqItvKWZ+gqfSjUVZTIo/Z6&#10;2R9CCCNlB2nH8OhAeYoQPzN9tpw7dzbGwb4SENgfXYz3YxTuyvIKzzaCUpsuZ+dmeZ5dFMTj+H3u&#10;3Lnywo3nQ4FsAgIePXpUPvrwg1A49bkmUWI3nnu+LD5dLLs7uyhIlArCdm1VRYGC574qm56enjJK&#10;P+zuH5YD7qkw5sJlc3u37B4sxvV3OH8MBXn9+Rejjevr63HeAH1qf92jX1c51zWr8p+bmyv9Z+kz&#10;QQXHbtPm4b6B8o033gKUDPGMnYCRXYDJcnnxxoul9dIrMecOUBI9gMb9/emQ+Xu0ZZAxUTGrrB+h&#10;MPY3Dkv/MIAMmX/n9nJ5+cIIY9sqP/jpO+WHP/yiXHr+rXL5/MXy4MlxuX/vfunt7CsTjN/FK1fK&#10;CEBkYWGh3Obzp4yNwGyKse44HqfP58sS3927cyem//lz5xnjSZRxd+kF+KytrpT36MuBgb5Q/pMz&#10;c+XVV18GAD2NdqvI7NTNzY2yubNT1vndz9yaRPEL2Fbp90ePHgJiusognwvY/Ny5fvbsuXKGMX0K&#10;MBDA+rlzspefORS6175/nzbz/KP0x9DAEMp/GiU7GgumfXxQtrY3Gcch5n5/OdzbL7vbO7GGuhgP&#10;73GITt1iPThHBgeHmUPnA+R8+OEnZWd3hx+AYaun9AOSOhi3K5eulqmxibIG0BrmGq3OQ5T2BcDR&#10;eJkYGSrfffq1MvDFclnZ2i9dXLvNz8HhUXlye7u0V9bLr37rRnl+uqdcP9cu0yPHzLm5Ug5+UvZ3&#10;18vNTz4ol68+X14EsD958qQMDA2U3TawGwG9v78Vun13d7MMDnSz6unb3a1Yi0qQfj5rdbfKDHNi&#10;fWOpbKwtItc6GaPu0tedcq3VPzxRWkyYNoBBcCAi88dJFSYhP4d+ToNTVyegaKRsCrxGwKZiSAkY&#10;or6RQ40ITYUhQPAaftgcm6oqpXHI01BQ3O8UKPDzsNZCATTCTkuLf95TACNaUgCmVcd94qd5ny06&#10;0dt5m2fCPRRrfNZolGxN/D8/PtEcJ4rDr05Yk6qs47KNqmiUXjymQ6ICDCWVl02WotEhFVA0968K&#10;znur7jq05Go/NUDO8ZI1qkxRAKGmndm9gol2OQT1Bjj0vBzEuFYzeI3SzDYHQDpplH/n8c/GVQCS&#10;fVHbWK8WnzbXDyvcOdSwQzGe9V/MD61krfY6DF5F5POsn096P/qxtrgBltmBOVdCueb39fmZwdnm&#10;2qaTBjulG6XdXNTnSYDE5wDmABJxLaw9QW88VrY5gWfTmBzYfCoZAJaX71Xkqe+b+RVoyues87tR&#10;3rFustMrs5Frxk8ddSBMM08S6Ob5yV4kOGpmR6yVWBtNf7RhRfKRZB2yjxME0TOMRQLVgOzP5r3z&#10;CeHEiue4vHfpKTANKyG4zyF8ZVveeeftsBZ99rRqBgAIE+UcgqUbhdmDdaWF9fnnN7EwR1B0aYk/&#10;XVwIa+wyLMb21nr57LOPygZWYcwTXoNDg3GP9dWn5e1P3wuLbBhL8icjpdx488Wyvb/NOoBZATTA&#10;VyB8e8rRYS6grq5uFDHW7/5qaWMY9fX0lz2Uy8Olxwj53fLFp1+UsemZcuXK1TCOWozxJuBGZmQE&#10;ZuI8SmWb9z5nNwr76ksvhiyx3YKMOyi7LoCLlrE/M4CNNRiFLa6h5e55ly5eLK+9+loAi24E7wYW&#10;/qeffRaCe2szgZT3mj5ztkyhFK9fuxaM7xLMxzzH3PriVii/w/YhAn0QJmCiPP/88/w8h5CHBeJ5&#10;Bukn+0vLHQoZxmAc4LFZPub5vF8XCqmP51fhbe8dl7W1uyEbJ1BGWp0rG9vR546/lufGwiLtexx9&#10;6DPJbqyt3Yvv+1F+nTAC8w/mSydrZoTnf9TeLOuXxsvD+eWyDtPzRz98uwyNYg2fmShjk7M8x1J5&#10;9MFntKGvTE9Pl5mJs2WttVaWsLJv33yAAusHSEyUyemp0tU/WHrW10Jpz6+uoxQ7yzD3fPVr34h5&#10;Zt8uYKHv8NyPaSO3DzA1MTaKAh6jr9ZQzKtlGcCx9HQhgOvw0HAwCNevXIrrqtwXASsr9Osyv+cf&#10;PioP7t3lGuOAxuHyS19/EyXZDYhcLk9hqmQMWsz7IcCLwOvxw9UAgwI4x6SP+49NAB4GumAI1gGM&#10;zBnArWPRC2jd3F4PcDA0PFRGh6cb4XYM2FlnnR2WkaE+nuM4wMkglry6dW9no7z/7k/LpbNnytRo&#10;f7kDgOnoQGYfz3BMHwBpCYD2WTk7c60cPVopG4CRXtrcybrq6wAEwgS2OvfK0AgArB8GhjY+ur1A&#10;mw7LEGC2xeJ/Sv9dAKgcjO2XDdaeTMcIoLiDedrN2pllXh4wR0cYf1nLQ/UmAMz1OsR361sb5Rhw&#10;O0U/ABZijs1NzcS6bX3trd9IYJCiMgUkgkc52qWSrsK7sSpD7IVAzeNT8Tyj7FNa5ndVsJ/8rrI3&#10;BGwed3Jv3it6qwpJ10QeVFmLELbNT9D1PmjT1kCBdIBAQutCCiZo3ua4bFRVd9HKfIIQroKf+kHz&#10;+0SXnW50tjl1Uyqiqsjq8zY98qUbpOcjWY3kUuq9Tm7yrM/qd6mFmi5o+iKuI4jTmgIcHKIogiVK&#10;pieb0/RXPO0hk1TEilIIt1SySycgsLbmZPzr41RXy7Mxyhs07amdVjswmtqwHoJOFNGeQg+hvs/v&#10;cHMJUmW2TsY0+yR6Mq4nyGi+jl8NWOUcLbhDhLTWkQI2QG4A2dCoCYDjp2k3z6UVHgCouWS4Gk6A&#10;XrrdfOU5DRgId9xpIJ19FmPajPmXwEwzlh0BkLKvAnA1kyTAScxjwVIDAuP7ZibESYLq5nlP5kXD&#10;QMQUc1BPj2kzRnFqzsGcvxXyJlB2XZzMuQpS4n7aEU2/cKBuuWTe+Kqbb1AW8RbhZJ9iJ8M8fPNk&#10;3WlZ7i/tBe3+ZP4JdPERgvYBFhiK99r1MsoafLT4MKjr4dExhOVICLwzWMuzWKgDQaPultt3byHw&#10;+/hJl4AuglGsb+fqwqMHZQwLTyr+xuXJcubsUNnp3C47g7hDlo/KME8sYOqB+kXLBaDYACgPYeU+&#10;D5gZHu0uWytbZe9gG4sey7l3Cqupr6xtAiru3ytTsAbKiXNYnRtY7tGHjM8gArcLVsX59sVnn4bi&#10;Ua7okhgfHQplvYyyesqcuAhgeP3VV8L90g1tLoh4iqL88Q9+GOzFGIpOq3tiZLSMYMmq0Krscg7f&#10;uvlJzGnPt48EUK+9/EIc55wThNn/a8uL5aP334m5P8AxU7glLl24EJaz7RHkHu5uQ4mfLZewNvv7&#10;e4I1UvFtAiomJ0dQAig/lLoumVZPF0p2NECOdPX0zBj91ReKR2V9ABtx5twUYIJ+xVpuo0hHcWP0&#10;wTCc5Zm69p+WnVWsVsb/O9/5JViedllYXClrsEYzZ6bL66+/XPY3cRUByARghzAEVxj7G/SX/fPg&#10;6RMA6AqW+HYwKGdRnCr/pzBYKwvLZRGgeevOTZ6/u4x7X0CqDJiAcIfrbdI3848fRJ+dBfjNTY+X&#10;A9bYFrJmVTCxtFCePLwdc+fs2bPlPC6uG9cuMh+Hw2UnSJOiL4c7ZfnJWlldeBjzzvl3bnosxlHZ&#10;sHe4T/90lOlr56JP1E1t5K1zdWdvlTnTRhkDDGUekK1DKNX2wQ6uNlwEtP2IYza2D6LPFxfnQw+9&#10;/Mor5dWXrgZrtwwQWMWFt46bpru3MN9xs/Xsl3OskSvndc0slWMYge3NNdbXbcCLOvagvHjtQlme&#10;7015wolg/PAg7OzC4nWOsQ72y8d3dsrvff824EhmjfnQ1QcAGoNBBkzSp4OsuS7kISRetL+XsVdo&#10;tDtbZXCOxjT6XCPceSnYHsF1ONo7CNMEkIbZcV0Igpa5Ruvy9Rer6Pq38neje0+UTe2ECpK+3CkV&#10;iJxS/j+3105f9U/TrT8Lck6pjFR2zUvXTnrm/nV+peLMV+2zn9eHDUD5mUepwCVdbMmmqPQEJQnm&#10;asxNgoIKGqob51l/adWftCJif5LpisXYgLWw3hEIAVgQ7lJ6Cu+T+JQAaF4lgUD8bpCP1wsGqonN&#10;qWDkAKrzoPEhKqACAMX9GmDSYNHK0kRcEsKqLVhCIKgMbI9Us78ra1F7Md19AiT+a1yR7SPazo/3&#10;quimDdhMjBOcWAOwsh3V5eURR+E0rKclC6MVaUyENKzX83uVyBViDcYEClh/HSiu1fWNcH1sbOLz&#10;5t99YgTEUJNY1CqCx/jo9fUbF6A3qrcPHz8KXbp3l2s/AoxoJU+i+EemR8rYSE+5ONKJvxaFOnBQ&#10;Ln7n1bL9258XJCXKjJbSJ90oE8ylYPmWtpbKex98XG71tMtQa6CM9mDpTvBDnIB+I5VAR0eOKf8r&#10;25xjP+8yRl0IUF/bWJb60rXGLhHTEDEMMAUqGv3GKjyBjv7zBw8ewDDshNUpQJAZ1PpWuatsnuBD&#10;HwFE6PIZn52LdjgHFhafIMBzAh8e7ZdNlGobX/Uwz6KbqNXqDbeO7GMv/XT1IvflGk41++mjD94p&#10;myifI4EF7TF+YXp6lt8ANGjpY+4xMthTzk+M0ZZVztrhObcwrA6I/+gLV87+5l4Z5ZpCxu6O3dKP&#10;khiEyt46AnwBAjbpkwGZJdq5u0GswBaA8lFfuTg3WI7p99bBAu6eJ9zzSpm5MFoeza+VtYXPy+re&#10;EnT6VDkzO4Q7wbEGOMCGCB5lCF65MlXmF45RrItl/SGuF+5xDmX//JnJ0p4egq1aRikyPty3uxv2&#10;Y5TYnzDARnAdjMXke0i/y948Yb64HkcAeCOMwfQlXFaAoh5Aaw+MmKCok/4dJU5jcGY8xvTCbLo7&#10;dCMM8/y+X1khPifWNmuf/p6CJZmchelhrrSY186bNs8cLlDGZP+QuAlaJCjpJ55GUKzccF0ICjVw&#10;xPBtDDgB43H7UsiZFmugfbSL8u2EcZgG/ExyRmeAOWMkBpmCXR7PQ43OTZT+Tvp9bSNkwBws2k4Z&#10;CAZt7Nw0EAZ3GNRMi3bsH/WUjZ2u8v6n6+Xj9lpZXtwsG7uDMG+4NIIVhXEAbB/Qr7IXjjWNTKem&#10;BgYgwufvYywEB3vMPdttPItxV0PMMWOrXCu9PMOgbATHyaxpZdDsKuhPm+IpRirfUHXXacsu2YiG&#10;6q0WWSN8nqnYRhVLAZ9E46WmOG35J9OQAu6ZoqxtyOMrR3FiCTaWZHO1OOJEwsUN6p957ZPXMwl5&#10;8vmJqqn0yKlW1POeuTOeUd8/F1Kc3OsrgODPiiuk5U86q/ZFPmBtbgYsZi996RV66suK/OSIRhl6&#10;zrOW5rdfYkuaT+p189hnjFHqUO9fWZaqWHOC/uLX6f5x8E+N01f7iq+U8V8OPf1jLv3/c1/VeV9/&#10;M+bhVpSBSaXnoq5MSzxe9FczAxs2RUGmJbuHQgpFEcCD82ShjGOKoUoXpeu+jbWllaWQ8lh/VF7h&#10;uozDj8vN+Q2usY/yVLlB76Pkta52sE4uXroY4O6Lm3egOzdRrm0ESy++4omg7Q3Q6kLQKHgMpNyB&#10;Wp4mkO4y4KMPANEFb6xwVZDrt1dJR8Adx2/vr5dNrNaZS5fL5LhxBCgJrLRH80fl7vfeL4Od/WV1&#10;Yw3/MJY43Xb+W18vnXc+Kuf7L5bhcXzgq7BgUPfzuCKGsaZaCNEUm51lYf4xCgZfNYrkwoWLSvuI&#10;CzNmY3TYQD4EZgSXIzRR/B4neDC4bgOA4PNLhXdxzRH8y1tY28Z9DAGmjKu4TEBgb19PjJnA7wnB&#10;d7dufp7BdVxrcmqsXL98PixxQYVjpEtEK/zx/duh/ARpFwhUPDMz1Sg4lA3nj/aNlAksyW3dIyjF&#10;y5cvRVBfJ/cCdZZu2tPGykbT86xbgIvuGLt0acLZwDC027IOMA0GgEKbG8Oi1+4Qy/tQK7WLOAqu&#10;3Yam34Mx2N/lWTDeh3pRvH1tFNpAuXzjrfLOB/cBWNuMc6uce/EsOI0gUlxMEfaKsjo3eymofhnJ&#10;6mIeHhkvL1+G5ncGwrTo5nHetXGTtOjr2ctTKPi+6G9Z1B1iDwSiWyjKHZUt4GYUkClL4XglGAdM&#10;Mpf6ASrOZ+ew73fpR0GAFvXhgW0yGJcgVtiLXhiOfpRnsnZX8hjmryy28RObu7gIcOUY4Nkr5Q8z&#10;Foyo8wRWy3nr8Y6DrMkwVnmIYZlv1qVs1AYuDIMrBYbBAPPMsc4YC11+zrED5p7Hyo6MM+YDABPZ&#10;NV97q09wwTyhrS3iVMYBzJdgDgHMjO8B4GjnGFAA0NltE9d4NISxslOOu4gfuTJY+g9wMwLCemGe&#10;DhqXn2zvofOC3+G19V787qctvtJ80KObzKpgwleCH0C7QbqyWoxP9JuT5tZjQcRXRfNpCNC8/7Lm&#10;+Rl99Uyl/Iwai0bE9/UaP/+SeVwIxS9r/Gd/fVmzPFNQzeehk76itOqjVX31pa+rwoxb5+uPVXqn&#10;DzvdR6fOf3ahn/3wj9OnP+8Sp671i5r17PNfcPHo9l+kev9Fz3DSKV9q3VfvlNjl9OA+8/v/4sf6&#10;Oe398rD/sT3yL/flnxnN/cvd9l8wxl+du1rqrFkW8L/C256+9AnDU109CVD+9/+H/2PZWF1OAYyr&#10;Ymp8tFy9dD4U6T4KZh63QXfvaOkbRNgiaIzY1sfsmt826G2LTASEv1fT0p7EH65CkaZdhHoWNIyg&#10;FM7isxegmIlwAIBBpBOFjlXZO4Keg2I9JKiQjI2Dl14tP/zBPZROZxkbGkPo9tCuvbKw8aj8aPV2&#10;ubP8qLSfHqHopsuZ56DR8StL74+MDWIBYxmvE3WOIujAUj8ixqJ7fR53AwrCiM2DpQykBQgd4spt&#10;9ZL50tEHjY6lubderpybQbldCst1HYaiH2t3DDAxPHyp9GC1HQO+zHw4xto8wg3QieKYAMA899ZL&#10;0NdzEXApPSxz4bJcJ9ZEwCA4u35xrrx0/SIK1xgRnp1YBy1f6XfBo2BkwP6D1Qk3M3NDoGEA5zYA&#10;bh8/99F+O9wSOIc4h2cCNAgQj1HGg4MI/iMzUFA84frt49mwMHvM4lG5qZCgswnE9HcE1nX2EkDX&#10;wjWxGeBjYKCnbK/eBygZ7DhFsGk/sQwAjQK7wbO3ATmE+pdh2ugYHhrBj8tpaHCk7AgWoPG3dziG&#10;jBnBrHNlZIJxZdwFObqcjMnYp917KL4e6POJ0YlQaEMsiH3QhPElu1zjpZdfgYXBMqffD9t7sA9w&#10;O8wlAanBrLIBBqf2kF0yPj4SzIRzTSbHrARZuoFR3Db6EpzpMf9TURwS7zNaADr8PcR46VryO0GE&#10;ylQg4e9++nHMgGTu5bMYM3MYTAVgg/nRY2YPrR8lUFdwLZC3/xcJDu1GGXcw17sAA2MAzl0w4BGY&#10;rp9sI1qAKwPXzOObZfhgD/cSgJUYjqesgf2eM8gE3FH0emtvg346KC1YuR6Ah1k6Bsrqxu8j02V7&#10;jbnEuLVol+7kCDJ1vG0zbTHzSAOlA+Ytx5vYIs4V/Ps6IF5FI6HN8b2AX13iHTAvOnd8GUvhKzm8&#10;X/j610ng/iIt/FVU0jzMH6eU/swK/V+1QP8Ke3Fyu3+ZBv9Zzv2znPOvum/+x7r+v5nP9szl8i9i&#10;gJ71Y0Mg5QcRd6HV9iynpB75+isvEPtAgBlWpdb18sLjSAvcwyoUWAxybu9QpnUag2Cmgz5qKdPx&#10;MQLpyIwwBkEBv7+fQZpnSFN7/erLkW2gNdrT2yZoC4HdM6FIjyDBHpTNCtb/ai9poyi21nC7fG/5&#10;cfkjrOEeBO/kMOAAeTY80lWe9q+V/kuj5WvnUJ4oL9mHzk6ENu/lTAdoy3mo8SPcCx3SsJDDRyjX&#10;/S0EttR5v9ZWiO9gvY4UqFjTw0MAJAR39pFCvq/M8EyuVMQvgjcpbnttD5Awc4a4D+lfYw4MUpUd&#10;QrkOjUIvT46FID/gswGUSD9R98YOmb0hE6IiHQE87GMJHzA4o/rJyUyI63EfFZ/ZCAdcT8v3EIZ3&#10;3cA+xmQTxTt1ZjZYhwD1NFCFdWBmB/T1FO6OTO1NmS4Q8e3+AfdC8Xf60LBbupacBx6D8wcgQNuJ&#10;5Dc4dps0wnK8Vtbp8xZsxfjVS6UbYLK2A5uEYpfrOT7cLftcdxAFb9D7Fn5/AUR3P8/KmB4RFNsy&#10;PZmbL/PstqmnfxiFbsAiQf66IXh+rXwzRewnx28fZar/fkSwiYI8DwMjEnOetQ0g3cmMAsfnHJkh&#10;Wv/RXwQ6HvNsrR7YGGOyzPDBstfK3o3ju0JRdgKWnJcC2R5YjGHHBgD2FPdbD6DDeLvq2hQkC7YE&#10;Jt5TENSBad/DNbb3iN0BGA4AnOYmcUHAvi2sbrA2mIP0wQ7fbwOQOgMwMAf6x8P1dUS7NlZ3UNDG&#10;9XXijtglA6lVJubOku0yVI6HJ7nuWFlZg50h5baLud0pY9ABo2KwptlKxjAZYG2AOuO1x7zYoC0z&#10;uGe6BWhaJc52A+xhMAyh3hHI6O7j+G76TFeQ7hSv18PfAmbZM+MffE5ZIWBKEKGHAMcGRBjsdtpa&#10;/TdTyP6PpYL+1V7nXwWI+Ffb4v//1f/164GaCltbdhpg1M+SyfuTGQlS/NKmKmSt4vExLCNAgYJ0&#10;QIV7YOocaYQR/Irwn8HK7UTwIIzD6g0FiEIn7fAQKt17h++fQM7+7oEyO47AjpRLo+9xc3DsOMBB&#10;9uNoe7ncJeL/AMv54f7j8s79R2V/erQcoaQXCJzsBHhMnR8t1958uey9/27pwBqXBRFEdCs0iRdR&#10;2BrwRigmQharknN1l6iYiBEL5sSsgZb0trENXsFcfwXqIRYurEekzip8EdQGpkWgokIUC1Nfe9Dm&#10;9mgEERNnEO4MU1ZxMaA0BQq6R8wACWWG4vAz+0cLWoVnP3WhwK1LoE/dOgoCCK+nQtMFc4hy7gWo&#10;DRO0GePHuX7edQxIwILsJ/ixxtwco6THpm0PIAtTdwB3hDERvkxQ0n+/c7yJlQmbw+fS6ttQXx4j&#10;vb9NRP4uRTnGJ2aCtVmaf8C4wSycnys7ZEdsHPZQo4Mx4vzRiT7icgVt27iSiP6HNdkHWKh0honZ&#10;aNGvQ4BOwx2MAbBPBJ0yJ0sEVXq/LhihHgIcaVi4bg6ZY23mkK4irzNArZBprjsGa7LJ9wKeLtwS&#10;R4CcDYMleY0DPOw3X8e4ZzqNL6G7/WFqAuy4DkqxBbBaZyx6AKS+jH1xfjuuph47Rp20rYdj79y5&#10;HbE/xkq0ACSCB5dPhInrBmHMl2A/dC8JSMwQMZXZY2yL83jNIErca46lilp3WB9zRNeB7o0OrPpO&#10;gO08WRSmJXcCevqJmziGIescgtnpAdwdAjoA6ysLqzGvJ3DxGVxs8YOI89HFwCwUzEbALm7FY+Mg&#10;6EfnuPOvzmEDR+27ftcI6yHmGf9cPfoyDdg3DsKaKj6IgNTxivURbIwxE8lBtJ4FnJ2mpP/1E4z/&#10;drTo31yv/78d4/c/3VN+NUPqT8JMfClt+UsxRl9+DrMCBrEIpYgVRCoAc8ejSB3OcqIYQpkNNEAi&#10;FB4KCSmJ3zqVnfSvyiNTkvVXSKMbUzAUgEIBqCtDBdZv6i+W2q7561v4pqFuNxDc+13D5a1vXSw3&#10;NnbK0spCWbp7t0xjRV2dJTDvLP73vSOUi2Ahfd/9xF2MoOAK1vYaEfLj47PUlRgta1i6y+S8DwOG&#10;WmQdqKD2OEalbrqqCkShqTyFGEa5p9Lw+VW0kSmBEugHCGzxdwRBGuWOUFaK6uqQ0TCrIRQ2zxux&#10;KmiyPoIdDbBMN0YrYigSRBxGuun+7gFAYCzDjKShda2g/XaOsMRxg/Thf18n2I5kV5RRBg9iypOt&#10;MBr3XYNZMYhRZbFHO3sBDtLcHd17UWCpi+Ol6L2+luUwx3ajsCz90sa8FAzt8/x7kboIozM2g0Lr&#10;B0TgbkBFDWLRLq/g3iEO4rhnCOpb1wyqC7BxxFzoIqC1v+8YZbgcSmcCAKKrJ9KPZUccZ57Hmgmr&#10;MlnMof4IrqWAEse1nWM83SDttl/v3jF4soMg17PB7ujL18VvfES3MSeyVrR1GpeBz7TL5y1ZCOMb&#10;UJCdtNfMjl5Qk7EBhDdGarB2s/e5R7ZOBTOjsD6OSdZYkcnB6gesmPkS60mWjhiJfe4b8QChb83k&#10;OCiPiWkx+2iG7JmuiKnJwnO2XZeLa+bh3XvURJkmxoc5IBNk3I28Aa6IY4CQ58gKHbRxk+G+6Dm6&#10;iMtjp6wBfPd2Sb3dAfQRpjAzB7gwXgSQt09MkMyO7XYO1SygftNnZb3oQ2NSzFaTiTDgOlxcZkTJ&#10;8vCgzhuZGVOba00n61C4ZkeYi87fyOzhHpXh8bMAGIKIFBc/L2jgz8ZIVOH1xwfVNXdlYP4kx/1P&#10;J5r/xXf+qtX3Lz4j/W++/uTP/vMYigxg/Nk4kj9JC/50x/zp2/vl6//Lnv+na+2/fUfXOfjV+XQa&#10;SJyepz+Pmfjjem2EzIIjI9Sl7U3xQuArTPQNH+pLRlBqSatgj3VjqGQN2kJA7WG5GSQXVTQ4XytQ&#10;oKDSMqisFrlTsVocSiaiw2wUi/F09pQpBFsfCkprbwVj8xigMD1xWCYvnSmrs1OFulJl7trVsokg&#10;Hjh7OSLPJQh0k2wSaKbiP9zbKm386weD1FTYw81Ae1q0oROl3EM8h7n6KsAlqNvdp0buW0CLQDar&#10;gbZoq/U/uI/KvnsQChihe3tpFX+/VjtWnL53AERKUiAVCsIaEsu4HhS0FkMypsFYCPtO1uawCb4D&#10;K0W/bkF7C076bRNsgP5qBbuUtIrBAM9eGBBLFXYfEKcBWDpAo5pZMo6lbwXPYZ7R2gmolKyTg8bu&#10;xU3DzekXlA1ZDLbr4d2FGL8ZIv4zvQ/7U1KFIdtce5qVSxm/KaxvLeJDKnoZMjKAouuhNsQhoKp7&#10;mLRBagzpstH6PSIIogNWQp67EwagjcLr7IXCh2mKGia6fhRjjLuuoz6s6nkCTp0bEwAV51UHit44&#10;Ekgv4iNITeT5JgZxP6GKdHkd0AcCoj360rEwGHENQGVAq8DJ+bcD+zJIG4zhUNF1My66RwQaKm0V&#10;pQUnZAy0zjcYI9mHSeMjrI+ABR8v2rNGTEE3TMYwY2K/PqUyp9k3uh+k8gVGMhjHTOaLF7IuhS4x&#10;LXhdBrJXGaexQ3Gx/fICNT92iXl5dO+LchV3TCcAtgM3ncBogyDhHoIgr+CKWSEgc32HAM6Rafrg&#10;oKzR79v07wqf9ZAuHM9gX3UME2Ni4KpMjWHDABaAln0askAGTpaMNWXNjQGeU5DiHBW02bGRrcHn&#10;PscAbRXwtJssMplEj4lrsm6NJ7HwmS+DWgNI8Wpl+eXTFvBXAcXpv58p/T+rYoirhfILNZoT60/8&#10;+tn7//Gn/kmC/H7xFX6xsK0AKxtf/Yz1Sr+ob/KZn2VLnPZJN1f6hQzzlyFd02np+vz5r5Nh+0UH&#10;fXmc/4QxpV+615f7p9LjOa4/r2V/WuX17Gann/7ZE/8iEPbV+9TjfjGt/+xOv6iNf5zV/icHg3/i&#10;if4LD/xF7Xv2efZ9rUlwOmDsj+v/P+4ZZq48H9aLdRNUhttQ7u1jItaDNtYXexyC7ADFM0DgpCxA&#10;+N8R2jtUYtRaz8p9FmoaK4dYRFE+OOq8QL9GJgnX3aIE85OnsBs7ZZzywAMosXbcC+qUO41aBRIw&#10;s0mJZQHC3iB1Hbj/olYuQvYI5au/9ghBOECGRtvKexTqWcMXPzUFgEAgdw3hCsA33SJNz0j68PtD&#10;9x/w091LnAHC+YiCVl0AGGlrLeNI31VERvCdZY3pX/TlLsGTE5Qc1g1SK5ka196Dy2EAJTNPSusq&#10;Ss4qiqMNdW/54U6KDfWgnFeh/R89ooIgAlrFM0Tbwm+tgoQZsSaH1RqjyJG0Pf0gQhqAYXn4kBLM&#10;Fgki28XSzPa1QXW6cazc2W3lRxRuCtjMgjGmwArFWp4KjrBeo9pbykljNR4RgzI3N1Mmpil5bU0E&#10;GJBjA+jaZATgWjrqoJYB9SgeoKx3N5ZpG0yONeLCLaMy3PKPcpWiXmsoHItB+QyWRY+WcKN1iiPJ&#10;Yl27eiXmxSqZOwaSev4BFJQVf/ewwP3OIlkCnY0dMoIY8wPYHLOHVOqCB3/6mRe6mbT2yzHzkLlU&#10;56D0R4sYiNu3bxPgORQluA/sR8bT8bty9WrMPyuN6rKw33yt0m7ZjGGAl8Cil2ubiWFRKsuBuw7W&#10;YHYEIqb/ZkwCFSTnFyhLTgwCbTbAMtwkHDsBAzWkS4GKkwuP7pTJoZ4yc+4C43xEf1hqOwOMO3Cd&#10;DVIEbHV7oyys75AJQhwPYGOdZ+8DtFnMTZbATpdpGRiwOu4xacML4UYxdsHA3AS9djixDTyThJW1&#10;KXyeYeI1dPn5fKA2wCN8m89n3RHTOhl32ZlI6zSrxKJ7AIk+AnGtqCoorK4M+wpXVVa0OyVGQzD8&#10;7Evl98ezE88s46+enRM51YuTtlriXz3OY57d46RZJ6dn8mG9UvoEf16z6plOXJ7lTwVUsk21JPbP&#10;gpyvKshTfRJf+XwJkn5+b9XCQbXh9mtTXCj65ud0fdNzz7451Ze/6IQGpP3MqXE3//dlxVyfsxbG&#10;On3ZnykmFo/51U49PT++PFf+pLT5L3ry08ArKMIcoF98+M/55svtfQagauGnP9XF/iUO/tl2RIZ6&#10;WAe5Pk6/8q9nPf0nmchfPqaO3c8bw9N3inZ9GRuffN3RQ2le1PMQqZbh11fwYzkTWBDCUxZC4TNE&#10;7ETQwbYZgSod34dVr//d6ndat6aCagUPWn5Qs43PtLLNud/lONP3OsiI2CeGYW+NoC4UYcuI86Y1&#10;7ocB344v1/LKBGwihJdWscS2D7GOsNKwfp0a4SK27gcwwdLExKhBgVMMqJNjMbv3UEqjgpQAL/nZ&#10;AIWaJsbI30e5bG1SknqX9uPbrul4Fk7TGlNhnpub5LhDFDLpnsQh+KyxkllXWpYqSRW27ILn2z9J&#10;b+faqX5lrWcVqH0SPmmAju02vdGSz1ERFCWpVZlF2WBWDJhEqYBzSFPMdEMtykPO6wNYbexuUIb6&#10;AdbxRQCAqbw2jNgF7r1DbMTU1LkYs/UNsidQWBGjwaU36dtzl68FIFzfJp5iCB+/cQlEAR7zs7rN&#10;3iOtI4os8Xv8UlnaXC0HW7qkhoNN2QhlyP4pWO5RjGhkACBBFg7shhU2vYnMgW4Sn7mbY7pR7O5V&#10;YrnnflxEBzyDSn4bJsp0QopYwMYchKvJAln2oemw+5b2nj0TMRVazll4EJaG+beGstRStl/2sbwF&#10;HwaiOr3NsFDxOz8DbFDlURbDQF5rociS6XYzKHSaQE8V7RGgpRvUOEIMRpTT3rwXgahmfxg/IYju&#10;BHiOEYTreZbm9v6yYeqDCdw1BiDrUrCNo4Bp3RerFJTaOWbuAxKMyTly4ujq4xhTVLcZlseUKtcx&#10;MgWwC3cD39c9p+peVc7xaUCfbq9DmYbK8DPmUQ/HacM1XX9RHMu4BmumeJzMCXPWNM8N2RbKWp85&#10;fzbWY2RucGzU0zEOQjDFOAhOlQG+99WybKzV5lJYkUssNo/6/SrfnPRVXkc1/lrdLo6vZZszB9Zz&#10;Uiir3J305qRD8Ry70QzOHIOOoshPDfDIY0KARucRAILA6jRdKiKERVmWsU6UK/XTYRSxvzUNbGPg&#10;jtOKPUTYKZGcyjqP+Cri+LkI5ERwR43JMEG++krF/2Wpm7n3/ljQ5sgoZeqS71LS1Dr+6WtL/6gb&#10;nuwjjA6wNo70pzpNwgBxMeegpWJ5plKylkbW9Iy+Dm0vlZzjlK8GoDSTyIXlV4MUaekb0PeqICcA&#10;SqUAJfkMLHq+z5n3OHlVkioHN/sv7tVMirDM7KNUXE05o+ybZuLG80RX5byoIxWFoppmx+jE36eS&#10;heMA50adY19RpfX6cedcKCfPH+2rwCxblv9vylGnuI9nfjYv/CifPZ9H6y0kfi6kpg+yb74KwDzm&#10;WbedfpfnJfuUh5w6MG7ug/is9fmefX9SqeVLU80xtt+bcWie7eQ6cYum1HXTkOzfphhWM86xR0rz&#10;nLm3SDbNZiikor+aNtkrFsf0HN+rJPpQ/FalXMOalqbvMac+gEJmABicaNaAAtyaCRYa0loMyhmz&#10;SGWp4OrEStyGrTB/PveVIE4B6t3iWro0dkz75J4qBztZ5awQGyTVLAqDoyQHARRG6a+wR8YhNLtl&#10;h2F5iakgwJLAs4EelCDU/gjlmdehk5/evYlLgIyENfbr6JwuPZOk5wVzS5uRU13sFzBEPYaoNoiL&#10;w2VpLQUFsGmHEcPBvbttO+1cQklqbSufDgA128QlWN9jenY66hqYUdET39uvqSQsgzw00g8AMagU&#10;gcy1gjXCCrdYVzdxCGNQ7NLHWaadnpfd8VyUuNUaLYW9SmrnUMRVQF1H/2RJ7wtY3DswMd1Q5O5z&#10;oAB1Ppu50kvxpVaLwk4oqF6qJLZI+zPbxuDHccplD3LvVdJ6O6mt0D+cdPZjMnL2sZKvUq9g7BDw&#10;0HGudBPvskbWzmPKNJu9oFtF14D3ce7qonLDMK1xS54bZzKIop2kCJKpnLFMOW5qBtcU1SZXnnJd&#10;lNsASnZ8AreBAKbWNYk1oIsMdguwM0nJZVNmB5wHwahkmfctimg9pLS11SYFHeqL3r4JKo4CaMga&#10;2t1AiaOwrSHRcQhwOyDtlc3ZBnpgPIi5saaHhbBefPEFxo5CTgTqto2lMHOH/ug4Gix3H3zBs1Lp&#10;c5jNtDb5IsS+97f0PLqUOf/DP3ib/SbmYlOzhcfrgZfbgBfZiBHjYmAi7hJEOTJ1iWDQUc5F97pf&#10;VaxtIzdw6RD/ckjdD29+5B4rxhGFqExNpqvEUuiyLs5JFbv7ruiqcB7Yt1E9GBbRz2QXMhYngURe&#10;JeNxnEvG8MgAyjrWrCGfqR2F9zJwU1ZMXeZ1zLby1fp7/8V/Vr721rdiUMam9a1ZMcsiJD5GIr+0&#10;5quCEmi4EFJY5X4BCqiYEanioLwg5BQjnGfVMDb5OMYnBSVGLVUGjihd/aFRwpgf82+jIqFoEvom&#10;FluCiNwPQ4FkFTD8gv0jpKQYHW4hG2nAjKjOioGNaufvSFkKwJEK5SviuxGvX/31TFE5cLYrVaNK&#10;ymIte2Gl2OYUs84en4NgGFKMLMwileRn+1gD26QXHWL95J4GFtzyGhYRyuI/0QfRX43lnqbMSWGu&#10;mCyxIFOg1xLKCR4qBKjMRqMqvVeD/FqmAfHe9Cbzod0brkWfGXRzLKgxnxgfWy8Ao6ub331YVAhk&#10;A9O0HDs7tJ7sw1qQvAFt0aJGUccc+DJD1KEyrvSvgCr6MHYAaQRpAzXrgMXgBCqoKjH6PTqZOZHU&#10;fPbNibb70tBVaNKMc9XDFWR6+WfTIOZVvVO9ZIVtWX47qgUk4o+50wCrUNyn5ohPdPIMpzX9s8Z5&#10;3/ymASj5UHmdsBKyiFQ8Y1PGOs+ugKoC2Qrymu/iwglaIwws5lim6VXQFjM0ujX7sAKtXCiVAcmh&#10;PNl0Lq5ZW1Cf1bkn+E8jQDo56hbgzjB9TFeEIEBloQUaVjU3U3jpn42dGOOVe0/4vQpgGaGucBrG&#10;GtbvLIhwvWvhdzH3hqnloGWoIp1HsHueOycqNH0eFXVWB8yy2XvUk1h8TK0HhN7UmfNYfDAThd03&#10;AToyFoOD09C5E/i2H0Bt8/zd+Krbq2WQQj1d+/qnK5ZzV1MqA+L2ON59ApBA2CPop7Ces7OSLnYO&#10;jSLkV9eXy5MH9yNbwEyIboILh4PixkCDSXB/BTdjGnFXR0DWtnUnEI2j7Ctif7lnwx6sjnS7oOsQ&#10;tmCSyPw+4zhIn9zHJB0mJVaLcx3Lvh8lMEaswBHdOs/eF6O87yHzxQdwAy6LRU1Qz0NFuYh1PUKd&#10;hF7YDAFfp0XDqBlxdMgqBywtUudjYIC9ETaOKe89R4oijIUxELhMlqikebhs/YkFNj/DDz56FhcW&#10;WQKtCeqDEE+ArCjU4Xj4dDv2UijUODhkp0njV7ISrIyMyrWb6p4W6lovZy8KzlcTaDJ2Bv6F0UQ/&#10;qPzdk+UCJbIFEGKnytrE7FGu88/6I05hQZMUvuoy9ThuDs7Xgr69dDOCTXeZI2525arTeJMFcRdY&#10;q8iaIusMV/lGFgVtqEXXvvfxnQy+VHcGfW/9jawuaV2K0nGPOfIhbg7ieKxV4VzkWbuRHwJpN0Hr&#10;fLCYesjUaUBTJwb1wPFS+e4b50trsp+dcM+XLTJc3NW0h9iaFmyS7hyf2XYIuEfdJ8RxNcaH/nMN&#10;OP89RkUeG7MZDMwz+12kqTY7xpqC7d9+ngGRsC9m5MAiWtBLuVNjmWQ5LKrm+tsVJNCmyl7YFo+1&#10;1LgsjnPWe0ZQL6/WZx/+sNy79Vls2HKBCNhLV6Y5mMAjLNYBfHT64XZBtBaw6B1gq9qhMyic0Tg5&#10;LZVGOMZ7/FkUWjkEqR4fgCpRovsWQgHlqFiPABL7pINF2olDYtlOQYIKUWoL5Ej3h+Dzaj7gwV6z&#10;54I+NWbV/lpT0YtAKtN3wheXcrVR7IFuGBBoUCJzEwxV5Ve1SyMkUzOFEA4BGWAhJ79pQ0YoC3QC&#10;KCjsBQukhcne1JLLIU1CqPDskRduO72E58jquKBc36m44p9+VweUH32SosAob4xwlmaKsroMnKgy&#10;Nu3ielo0UcY49UVGHpsWJTSQNgaRR5lmc579XL9wBCIBFgJUmfduah2+UmrpajVq3enPNb2oKyLu&#10;BWX6xPy7P6yvLkEFfSjj0euWyVh2HQbNcV9rwHfRx9Zl158c0cuWffaZLejD4ukC5HWJzqNId61B&#10;UAGnQ1UV1ZfHJueVXJv9ry1qJwacCkn/TJWnig4QGYCmUbbBksQkzcHOCRvHVjbLa1UwcQIK9Zc2&#10;DEjOKNuqEvbZkpLO2emsc9ybQKy4zQl6OXW/nFsW3nEtdSgkKDCzR6GYA3LGpdMriHA95FUcr2Yb&#10;cJ6pM1g5rCqerWVxJQRCJzR7i/FwrHzmYCYAudlPTVvi3Iydjk23rKbXGAb2ZczPpixu7hjq5Drd&#10;s/lecOBLAeNLoetcVHHbTnd1rFHbCjCVvoFwY/iz8xirAWZEu89ao7wV6ApK53Mqm8psZR+7NgQi&#10;3td9ELJOAimJbvIltWt2SIBuhK5Bbe0uZBebArFGO1lH/frXqTy48ehWmUB57i6T1ocBYqxF58EK&#10;Ue6TpdUeIvd+kyyQraDYjUkIyE9/6fPuIPbjwoXngyZ2Luc0asB9zAn3Ixgsny99HozDuXNUkCSz&#10;ILJRrCBEf7b6xvBHL+MuQMG7Gdk6yoHAzeV1wSrHtfvK/N0lKHBBAtkoKByNlQPjEBD6T/HXu/9F&#10;m/FVSQ4il7seAUSQI1vEIHx6k51CAWEH3HPVvP7I91c2ZOT92q51MHAVWJdBo6LrTshclZ6ph8rg&#10;SD3s/SSePaqjIseOdC3Ql/trC+WXqUj5OpUm263h8gcfPi7/9MOPSTelmibXs26FY5ubHrrmo5fi&#10;WioxgYJj6LGfP3iPJ841k8zms+maq7GzvPvJnaC+VGy5aWACYZW8Cjv2Rmp8/Sv7VEqVAbD2hGuH&#10;Uud9sFG+3+b4Nv3d6qclXGNAkBosXcOIstyUucHY8r0y0XnVjcwEKsQTJDh/trljgFb6JdYCJ7lk&#10;bY9xBfajCt+CTbqglMEq3W7kcOxOSqbR//B3/s9lkyJrR5TnHh3HbUBRsCWAnPGcuq7sw0i1jRgi&#10;MlbsN8bVAF3XoesrdiLmOAG6gabBgPisjKfKPUrUB8DojUBe+y3Xv6XmewAjuuV2A+z4W5ed9/Y6&#10;4X6jDzQSvJ9r1b9rqqfHOKa2qxoHrSj9SSDT6lM2l3lyq3z8kwMW7Ei5duUMKNtIYgOJQFhugtI7&#10;VvZH2ON99CL5vHP45CZiMoRyaAS89Mnq8nzZXrrDZjkPoagW2JVPK936/wTLMOGk/NKKSiDhQ7p4&#10;5yjUonDWVxUlNrm/5XP1Dfbir+yw0pkbLWHdpxxPhZJCPrdfDqXA9Q4QqlJQX6LnnQ6NVZu6JYVk&#10;bN4UVmEyAyGDRcoNKEigkIg0GJdO2ITYJdEFpNKHedCXGbM9hZqUkbtU6kfaBvkZYLS1ydSkEouW&#10;1rb+1UCK+Df525z18L/FrZiUDOwwW+Oaqz7K7wugVmlF1cwGexRovWwxUbRyOrnnvvXS8deZiF13&#10;/Qw2gfO19ES5VrZT6Rk7ZH9r/fVT0U36sxc62v4ecMMbgIbR5iqIXPz2Y25qFnsMWE8eAS2FKDsk&#10;xdvdnZsh2Xm0hj5VUBgpDMVJVLyKuzIkYXE3Sj6tSlPDM2o4t5zPuRFUGlRvG/bKq4a/L9Cz4Cvz&#10;u0PdNCjSYL2qzJzoVULFMY1u9N69AJ5eLbcY57SachdbfYoEktmHCpuw3rPwiv7tFs+Zyty5YZlo&#10;QF6AAgFo7L3+DGPEPRP0dPpMBkOFwksw2gZIRABUgMJ81ljo2aoALdbyNwgv3sOqxK60AgOpYN1+&#10;PEcnVq+AL4OtENa2IwCIaY5Q8AANFYLBYwaeGdAXtDD3UmB0a2GZo+45jp+74Go1xVgmqKkbJMW2&#10;1bwUWAqVrHyo5ZpCrbIQClrP8XkEFArDGogVY0o/Z2nnwYh2d6yilHbzmULLl4LU76RhBQ4ViHis&#10;VrZ7XNhfvnfeWBhqgMh/gyxXoON3t6HQN+6VPvYTmOpHJhR8vltawPQRxsmTO8vlEVbyOj87uAh2&#10;bt2PzAylSGRH0Gc9KMoDaOwNYiRkFlynqWCxSrHm/e0zmbIYxbdaN6M/3NfCuR2srfMaI8NgSecW&#10;mo7xz/OyTkRaiD6f22DHhl6MJHsqpWvA68lgSgjr1sEV6fbnMoYDjHGHfv6uR5yX29oTRlBG6P8+&#10;1nSn8wrWtr2LOwfGotv0Wb4fgI3QJTV7FqMDGV8DCiP2wG2eVSrOIQtuwSy31km1ZC+HrtHx8tw3&#10;r5ez32b8cXvkpofJVIZxE7tAokzN8Ij5mjLX51Sh0qATGewx9fvQ17TNNNMAlS4llXuu4mat51qs&#10;hGAQd4Ie108A5Ly21r87ZQpI6rmhJoIdbZZ9ivS4VmNL1hCd+JvhOTFmU040pzYNct2Gi0914++G&#10;fAW7JZg55RX2FHHVY/Z1uXiWcucjsuZZO0X9NwLLZHqv8RY148HUX9dMGBic65qJLCf60T1oVODG&#10;XYRqOgW+K3vg2rEWhX2csRNpHCv/3bPGoF3npzvFOuZ1LibzQ2xN4x5xXlumvsqoun7DoG1esQ9M&#10;J0Ezne4Nbo4PM/Ue25+usFPb2RkpPHJBY5Lrk5kn9eR9gAAD1DNWLl9/s1y+8iJKbiKUxLE9L8U0&#10;TJnP2MyIZQuFdngEG8GibeOn6jjoCSsh6voz+aOmvzW9eX//zgKdlQg2gmRoj+VM3WBlbGq0icKl&#10;LSxWB1qsrcCxTKd0nZNWoZuLlv+76HzWxnqvSqxqlObIRmklvdaw8xH0ZefXveulcP2+y8p5+BAN&#10;YtkjaXeXAKQ96VzaFPfl/k6MCECJzW6M4qVqG6yC2xgf4ZuNDYHaRLdH1CvCD3+ofk0VlUK8G0vG&#10;7YIvP3cjSpIKeqVXs92JFi0hq8/5GH+em8CsU0Y4NjySindB2T/8mC7mXva9KI8ISELxrUNTfvTu&#10;2/j+1rik1KCCBAtRhM8dFNoGnQkwpFz7oxiNEfWJuEORo7BisfG/XQRspByp6Fww3ptr2V+bx1+E&#10;oE3CqsYOpGAJP64Kkc/TWsn54+oNy7qxGJLmT8s5rlIBgYtVPy9zxoItBkAlSMhtcmNhR1vyuuEg&#10;4LcbL6Xk8NeX2+TFG4yTSrsRhLshhQTLaX26JiJGQKEYrUuBFfeK2Ipsv6dFKefYpyDbEH2EgMgI&#10;8toUqx56Dy2Z9BeHhIs+UACYDimLwluUl/njFmJqGwAV/aNgqkBGdg4/MQfvNq4o+3uPn30Fvvds&#10;hHTbv4MxQvliaQft2gWANCK/YTEUWAq1e8wv554AIoMp04+fY5IUbFTrQxE7h6R+t3DzCSRinTap&#10;Z5WGjTQzXvaDLICCT4DgtStlWlPJ6r4hETeBqyBcHMzn3BabyHf3x+gD1OM6PaII1eHRTnmP3S/7&#10;jtbKd14kg4J7t7HG/8F//bulBwD4Kzcul08f3Cn/8NbHZaFnlj4k2BKrLJkSrF361dQ3ciyicFRn&#10;y751J07HOF2tbfZzaANAIvCMzZEoRhBzr4Nr9TGwM2SqDCOXEBeAczMn+mMfBitZHAnQtR65n/M+&#10;CmPxEkQ4Kdqs1x2ufcRg2T8Yx7SRwFSiT7dgFnRNyjSOszb73Vq6G7oZoNTHvB9Ebo4TYDnSb9S9&#10;Cha5BQCiaXyPfKE9bned3NazwvjNrD0Bso5szFV+nt7/tNz68O0yxVbt33jtl6Otp19VWcdcaM6r&#10;v3Ol5eeNI+/nnp/c3omePwEQp6+dDuSvXK8CA0fFJeM1TtzAz2xNYwjSSEtEUPckyuPzfwfI5xBB&#10;AUl82dd+18RdNa7AGpsQAZ3BjLBuNTzc6M3DBZo0NuJQXMPKSdbt5OxFxoUy5MzXI8Ck6ci2R9eg&#10;89857a6x1WURYqCRg7GHDj+zs7NRjMt15JpylDIcgHgcXTMAgNgozpoZdY02YMPjXKe10FllMCpI&#10;yEfN8uGpB0aDkaiMYgBkmVXaEXuX8MoNuAKONYGMUjrQ2tsIqU/vrpaHCywsoz6lCDlGYelAlI61&#10;snD/Sfnk7R9EQYoolxsBQDnEIvF9KNu11aek0niu6BBL0YporKqeHqVY00ENFIzBYiAcjBzkZAek&#10;1dZX2Hp1BffCyTmZKmWKSueKCs1CKSlMg00IeOifVWynYvNf5vAGbo0pGxXevPUz3RIDEx0almoG&#10;7YSSIF4kaTcpMoUL0dOsyAHKmtYAQxsZQo//XLhnZtgvAMEQ3RaKLWzZUMZV4QSij/Quv8MKgRp9&#10;/yc/arpUV4nV3/LZwjfYBM/Fe9mcsABIdVJpQMHGePAIh5Rs/fzTT0NZKYB1bwwCDl584UZQ6Wn9&#10;1362NjwCHL+uz+s4b6zre5MZ0jq3z1Ucqdyk5xWCAfqa2JVQws1WLoGA6S8tDIVuoHct3lDIBirh&#10;++aZjTGRvtUvGQArFrTnpMLNVxOAG52Y9GQ6NUxVIurbXQ0BfqYzjRBxjTgI5kKXjb7RLQLqpMcD&#10;qBn3YDK6148xrwzVM3HX0QDKuEfDeLUdtyYIsa9Gi6tU4iJWbKR8DalZ1h2QTTPdTfC4skypYKLS&#10;vV9QvhyuFTiEP70bX2gPAO3ChXMRrKV1skURmVrhznoAPqkWhaA05jDn9+rWQCEZhCjm6MdyVNm7&#10;xrooIaciM3hRdkuB5LFRFpfPLM+bys5mC0xgE9jh0T0ougTulNIN901TkS7XwXGZIZ1QoaRwkgat&#10;QsrrK1T8zDYEC9GwE/qsD/syo8Ptnu1rU9ksixzMnvPXtcH1K2OhleS1vVaAzaAUc5xiJjQuEe9r&#10;7+R3eY2sAMgeFrgMbj8gdbAbOfQ8Pn82hzoaebm8/J2RsnH7p/R1X3n90gtl97tvlo86zlPPwmj0&#10;3IDJfSakomOsVb4o41EyU8D2YdgYKqVNtbpOf8JSJFslc6QBQZ0IlPk4gGa8F98x07mPfuajQixd&#10;KPBqFbsepLF9PLtaQ11ITTwfBYbYPRXCFdsr5vcAWScYkGwMxY8x6hzjtUeIj5ZTm+G7Md5zS7Zt&#10;JgDOOcF7nV0aFrKDggStRkY7AKs0uaxIuriaZefxad7GdtGyEZ45fu5KeR2Xd4t51iYm4Blnlv0f&#10;cTknyjzZjhiXHJyT9wZ3y6LEwafRheuYv42gcp06L+s1YswbGR2cn7InwELyPFFfogENcc0G5AeQ&#10;aAB9zI2UuvkTyzplzMmrmT82zdiLvKVzVONEINYYZwG8M2bqBIQJHjg+imFxccGBz6EsUEYqr1vU&#10;fXifDateu0LKL7uW7gISD2WimDPu2Ot8tk6E60gw7XoIUajR1qwvZbggwbUQG9eF3E020DXm51FZ&#10;ksYb9LpLnF4yDcm47xFzI0gWiOgq9BoVIPi0rjsN4hprEbFH3NtrV/eF59XYJs+hTkT6g3JB6+vJ&#10;qE6Jc/3hGtjHZkNgEesXV/Ak3FChUA8flOJGMgpbxBcTz0FiZagUEWiH+6Bqr8FnKrugrFT8ThLV&#10;ZaD6RH0GyoRXLKwnhbMLU/rOtmVgnopLZWG7wyJQYcfZDRjiGK8T7E1cJ4ahEUCeH3fyLidWVOSU&#10;JBRtwEsz/bWsIzuEZ5feCvRUI2RdRrkYDCQSO8Wkt13+qohBFBnUO32bMzz/S5MmJnIEHUJzuiFL&#10;PHscb5tzMVdXUcIQwUcyALZFK1+GVA8eZGk8R9DiAVSavk2sFGOUMErKWuVhP6lJMje4et7t71C0&#10;rGqbYIU4EbqATmwW7h/6QhIpA/Q8nuczGroBgLEwg5lAsnmfsNyrMKmLl99uKqcgQ3Ht7VkzICVR&#10;0m8hKfLVBJ82j5JujzCnbQRjAjMWT8tzr7FtsdHSshRk6UWUugrevtmw9GwEVFV6z9MVGamcAqA0&#10;oDagnlHXkQKXQi88VhwrlR6gLwCd1l5SjtsUlnEzIy8VloN57cfsK4Gf1nkbhYYaF9byEsK4A03B&#10;ZQ7xjT55woY9pNdtUpHR9LBgmyIIOaBe9kUAmaYRMZVsDeAJUKLlHODZNdqYZFos0sjm2gewB5Qo&#10;RAzkChYkLKl0W/XJPKHgZZ+ksweMDOdVGQaFV9DSjZ+0snTPcuHZvrgpOdyMWrTVvlLTKXzsY4WU&#10;lRH1/Vd3iMf7vddUwHkfr2sGiEIxXAMNM6iQ9b2gxj52vwNjBfoQuh63A+O5vsFY7LNNM3241rpU&#10;OkZfKh2Tr5VXf/3b5bPfxmXVs1iGr5wtz117kz0cBssKUl83q7PJXSnNJtwkZmGXioAE8FPmWYoX&#10;QEG/HVp2cYB7ANZIpABQKM8U5k5ZQJv21CBzimd+SlBkizEcYtzGmedDGlCAlV4ZS+eaaw2ZdoCV&#10;2tZFwdyUWdIp2caN4EZgKtYt1mKLuTPGXg8jbHamkurFrdrPLpzDtG0apmPUceF8TAk+53uNpVCe&#10;tBmF5XpwnuMVDibCAMOAZ36YUyvlsHNKYNQE/R5ZhIkSVr3Gm2gYKH8Efg04aFZsrltno8DvNIho&#10;Pq/fx+Wr8q4Lmi8ZNtrp/E0ZqYuimfQBHBrpF0AxQEADHMOZ0rQl7pFWbgMC0uDzJ6VwgohGK5zI&#10;l8wazPOqkSZDFGukIR8rUaoxkWCB0xumWxGhPGQYI9CzHfVGMGU4UNAp60QBk/L9dz4u06NvsQsq&#10;9RzUDX6MoWd2kYGNrjEVuK4Nf1TwR4J2UyqbAMlwQ7qmTcskxViFnrFFCSByLAXDBP2S9ZKGS8an&#10;VEZQEVLdGLE1umWv+TBiJKwaGxlIir0E98qjLKwF6wU7UQ0Fj2n98l/898KScUZ1HeFfJwcWUY5Q&#10;htK0ChusRDmGMmlofH1NTiQ3ZtG/YkBeBSERFEilMunbNej1VSww/WM2yDSRXSKQDRjUstcf3KaS&#10;mJaSAZzdZAx0Q6M6On7nYlJGmwZpHvkIgUhd+P9GEHBjpIvZ+6LknPgKf1OcQqudKHGzDyKITrwo&#10;ixI6WVpS5Sgeb4Sz14jvUnFlimUMRfwEAxAT1uskY5BZFvq0U2nH5iyRbaGiaQK+mra5IYrAIJRN&#10;YAJjCQxqy2ntUs5pnpO20wA8YywOiGHg+StMCuaiWYnNdA/BEH3gD+2yMMwxwjnBFxYl7ITWRupj&#10;q8Ep6dLfbVsOEZLcKhSbOfAHMFBR819XU7hwMg5FmGLbrH7mvSMeghu3mgkaAjF+cgLHTy7lWKgB&#10;3qLfec7Gmje9dY97OjdUmPZnnOGJATJtpixLvZZ9mP0U0d8NwnAeBuWncOPzlmMd4+02uFD6Drkp&#10;rQroGGj76xSbEeSZH2YwYwrFtLWEVlGcVou9GlscoEvviMA5QZ8vBX3gQsCQcQj1Gb1IBLVqLcQc&#10;y3l1bDpXuCjyKezPDWodsLShOgUdEw3ks9k+WI5FCsecEUnNNvOtgh3GyYJGCl1BnZZxKF+RoLUM&#10;rSdg4K71FkKBpWiO7aQ698t8N5HirUWs7mQ2sHFDsChwVPiVNnV8FSQCCkFGFVL12GAYVCY0UjeB&#10;AmzaksBcY4cxdw+JqCWAgPLaWjo1m0NBF9HgCCspW60yhabnekwyaubMM+ZI9vHeiQQguBfXEJqr&#10;bBRlDFUv2RULXRPlzhv/i9I5OxkbL01g0Y/+ym+W9cXHZRDauAvRdmmQIFHGcxHZtc0c2Oa6ZIWG&#10;ArZuwTbrvgt6YJv4p5YggXZb8Gli1IqMWG4ydfwTTGhQdLLfRtlhDdG2PQO0sdwjx98RlS7nty7K&#10;QUCI1Tidp/uwfxEDwY97oPYy54dxSexyPeskOEpjaP9REEpLxkO1zm9dJb2s91GuN6Bx5tLh4JZr&#10;rLH4Y6434xFGRKObc54/e+XcfPaSbnf+Ymk2SjgNED9rMEKzVhIUhIxpAEL9PlZWXDddezH7my8F&#10;GiGDQ/5GVFEAh/BI286YnikzBSaNaRU3yTLaaTT5T6UedwlWNU73Ck3mRgXeGScXu1Hm0TEWAaw4&#10;yaBIC2wFGJQyqmCG7wMgBJjXZZb7cChLsjhZMhANBknjqopqXdi2lx/reHQQmL7D/jHr24QQKJKQ&#10;sbsr67ikma9NcGONOTIoVvbOnVSNDXTOu46qC1Ggv4cONSXV+AddelX+eozGgsHwZkEJTmp57zoG&#10;HlPBgMGY3le3Yuzz0jDMaSJyLWSJVS+jcFY3NVKQ1UDt6MXWN//CX+FXA0Xx/2388O9SzY0gIhZW&#10;yyhXA42cTCiozz67Uz759EFsIPLyc2fK7CR+SOjCjZWdcvPWw/L+p7fLXXK1d1hsK083ytIy1gEP&#10;akRom8+00HYJsFSwCAzcB95As04GTF9sBxZxm0VmcKaTQYEX/IODq+VHs8+z8N96/bny+uuXqGk+&#10;GsdJHzkpDOYTJETxGrMOABBH7v3OTnMRIBqQUqmdky/zOgQIpjTyrPhMo4JLzGoFehN5H9ohU3Wi&#10;r0LLNd0WocgGgonckjzMH4+p1zBeQuK1+TtqZmjCbDL7sET9cWZq4URAoqvA+yDhVPgqkVqIJOd+&#10;s4ptV6wAfjiOYDuqtzBW/FY6+llElPvc8qbcJwK7DHASGDZZEwiwWAlGsxPrIHTOAEfv5UqWebCI&#10;SWabRHvsNxV39nw0I6yBRJS5wMMcT19dnBMLW2jfjBfjfLA/EPsWCGBM8U2WyPYKEF3IPnACxMhs&#10;EGBFG3JemCmT7jZ+mF8HLMoWAV9uDLTHc+mzNvhQH7+KPAOzAnZG2wUpcZMQGDUQy7ZzDFb7HkGx&#10;e9QxMG961xK/BswGsMmgQl8nz930WQrp1PDGQhiHYoleg+dkFbRajeSOeg92h73SmDyC1aBZ/U/G&#10;x3LTsih2X9RhScF64sOUVjVOxdgSmSIK1+TS1srRpgyOJf4FMGvce8myVMnn4dy3CQxt4zrbIA1x&#10;DUVfemZinBU2AgRfp4MkVd4KJ78XTFQwIABR8deUueqqsF/dwtlthA1c1Nqq1zTW4kt9yhexWRJC&#10;VF+xgEJ/sfervtmIZ6XD++iDboPVWGMHHaRKyvlzj1UU+t19hO8ekfLMnWHm4rkZ0j+JjF9Hpq0T&#10;S9BL359HaQ/Qh6ssj3VKa28w5oJHs2E6YJK0xrV89wVzjGE3a3Ucc39uDBftBCwO1zjc1o3FGHCt&#10;LJZNzxtLRGDjIGMxxLj1MZ7Gn/VzvQHu3a956zyh7fwZtQmqO8G9OShIyDx2apJyipzURWKlzxZG&#10;QrdykXmit7CbuaKyD6s85kfK9NStCXDjb9el6yYm7ilRkl9/6VVVbVW4aQg0hzQANuZjBQPNDXN1&#10;P4MRiSEahR8NSaBezQCvG9c5+X8CiAgqzS+C2agpnzG36734zmDMWpsi1nIDSkLsNO9DJnGOKyhk&#10;SdM7ma2SciEARDYV91aKY11JUeMhXBTJgB8yVgKKBA8CmGQmEmK4blO6yAbmPZWPGp68Z06aXeM9&#10;Hj1h23pkzDSB84PGGfmMTZZSbHDH3JfpF3HGFu8aOI3cywBI3bfGzOU+LCcyoY4zx3gdv0uXZqaG&#10;nn7VAMnKINbAznotn0mjw7VnXJRgRFbC4l3Vzdg61NrFh26p0WOQxgYZBAbqHLY3y+ZD4hmc1Cgg&#10;rdx/9FvvlJ/+9FFQem+9fr68+eKl2B7t8ZPV8vbH94l8RilwblDspFsNILwt8qLlET4hFPE4FKkT&#10;3E1DAiCYLtPoZS2zTnyJ6QeVAspsgIxJEAPjB8K3/OMf/KgsPfysXDxDXQu+M0XStMOg2hEUI9It&#10;oDKNL/eOj9rtBo+F70gWIMR2KDYFRcRhADZ6IvBLYdHQYw1tHzv6BYBwpqSrJfz8LojIgFBhW62G&#10;3y7wyPmtMQ4yFhb99z7ufMY5lt8NVoB4Aa1oN13BV2UEv+otdHEoAS9v+JO6v6HUG4rSg2I6eLDK&#10;TOXTyViGQpSF0IqwZGqmALYUPuIRLU5WoywN2pY+cXOcJnVRZiQsLe+rkkzrL3yCtlOXizsjNZZ/&#10;LEwVcgT12L5kmFx1LqQO3U7hevL8BB0nwiJ0dvazPuNBHLmxEGQ2IobCxdwECwbACedwLD5dBpFp&#10;QFRziCIjhU9LJXvM5xNE2Q/BJtgzHmedkxSkKcwUOvXHfgxaLqVPGwq9TUBe5ICjIAS8EUOQtwu2&#10;1SvY5mZthmJuMpXCEjKQCUVrQaVD6XJAjtRmFE/iewP6nENdZiQ41xnvYJL412J+mHo4/2QRoGWM&#10;g/eGIWTcAmc4pyM4M32iyfBpIukCseT0HlY8O2zqVtTKpT+7TgBYuiWfCaWYTDFu+8G8YYV7Eq8a&#10;7xDME+2uwVjSoJWRqJkZCjXBhumRAorYG8EtnmukeaztjEoPqpb3AolaW6LS0qcDNr2/rIQg43Tw&#10;WE0brG4Vl9Y4x3VC+W+uL0aGAyKJDbdIDd3C2EAbd6Lk79IvQ4xhn2wrkGsUmTXM392siyFlhTEl&#10;uAy2lTsUE3LtseUGOyka+8DYcI1IDYQ6CMVunBHnuz9FJ9do6T83+FVlrl+E73QhdDKG3Tw3Ng3y&#10;j+Npr/xEBJErSgQTVISMtR8yKAGm7KLvvQe7nrtrc4CFJJCVof44H2UykzGr5zczNOarbt7wclXl&#10;mhKtARpf0i3NH07wZs2qyEP+5Vchk/wzD8nvTq6V6/f0q8HUkUkRx4WM83f+ncDJpSPYSJATLowA&#10;EslSqMyrG7JZvgHodP0El5sCMeVM1ZWNgelKl8ExO8Xg8IBYIQJSjivzAzQI5LiZxcryb10TGXAZ&#10;JdBtc4PAQiypzJtuiT5WRsiKh5s+Hdj1VgHgBX8I4iG2Gt9uE59D3Y8wxZTnsokCQeRDrRMxrctO&#10;cE4WnvFcUT+jySbchYVQP+jWc63VnTWjv5oASt/rHoxYB65Ta6xU5lBw4HsZiHDHNunbdW35WU2z&#10;rsGYxoPVGhE+W+s//7/+bR46g+ZUEB27FMhg+R3zWZtJL90dNRAYxsGJa+U7f+GV9LeSFvrRPTpQ&#10;Ado5U668fKbcgDoXhTeEXXZg6Liw+QJKRg4yRxi45PhJySniKwXuh/GvkdR5jYyYT5rLjs40v02F&#10;gquHxRtCPebEcVmicEqhMllWQFRJOvsSofq3L4+NhM6wQJ3RzgT2hXcix+SKqI9EkqnVc4B966NE&#10;uxqwEZMojmziJKs12YCVxvJ2S+JasjRnViJVLxhMSRNdn26PBgFjFR6gvBNRIvJOzsnJGeBPkNfQ&#10;+9ETdoYTXGDRxEX4YIGM41G9q8yMD5sVQW1IAJiIP+FJjBPQko1FlkxCEFtxnFIjVnx8Zt9FHIbK&#10;IVp1yhaJjqrSphEWXsEFKbJXaGsBiLahag3scw5Jw0cbYh5w0wBcabsEEDSbBB+1X+lasw01hiRj&#10;JTKGJsgMBLeb23QjqU1ZM8MmGI94pjq29pkdF5MkRWIOfuODRQDFXHU+6yYziC5Tk4NOVVg51xNZ&#10;VNkUyqEfADeG9Rlj5HGyKRZji77NZ4jUSjWL0XWheERyRtsNlasvTzZgSLbBc+Khmh/HrnHaemMd&#10;sJEJQnYGv6y4dwxIDKsszbLop3Dryew4UeKREaRaVwCmXRz9eyjIPej9v/v7KyFgTPWqPlGBgQJL&#10;AaNyr4GRQZnT7kqRKnx8+bumgEbKWqM4dFP4/hzVFxVyXl8wEXtJaNk3AV1eQ8ARgZQcpwATeNTj&#10;UshlwLBuoa59rDhcGWaZHAKSKXbNfh1INUC1e2+sIQuUeX3ItyGauNqDS9Vux/Dp4TszJCaZL2Pu&#10;xcHn2gBLZppZK4J//boz6LMB02Z3mFu4oIY5Z4g52QsIUFlF/RtnC8OjBd1kz8b6jXREjxHUNQrf&#10;Z9TXfgRQiYwh5xmT0GBxYyH8W6ZBSGzKsOvMAuNJHoWjspFjHplrsr5iPTsnm+ndiIc8pM71Zrp7&#10;TpzZfHkC6vyoYTf8urIIcWjIw7xf/r+6BLMFMbeaS6bL4qRpKXbj6ZQpfl4jv4I/ibV10t5GdmX7&#10;fJ50NadrL5mOyuKEG9QfzomKwbyPOJCmL0L22G6ugxcKlpHQU+sQ8V5PHwkwQQ77fcQ1RFpvPp/9&#10;f9JxDZpJ0rTRW01fBzsR4iBjRPa5x6HgMtzs1BehjopBxivzVAcFkPcG608bGkYvdpV1ozuOjXRn&#10;mVCeI+oIMeejUmWztXvEArEuBNr2g+ukZlIpr8KNyPfVZVhBiuC+Mnu1fksN2PTveh/XX9XR3qtW&#10;rfTpWo/u3uKBIuko1Y2LgKmavq8sZtRJLfvI849AqJwSLS3vSDlLP7JCPTpNn3sIJoGISExUlHpI&#10;l8YuI9TCAtAHLq2k7zLoUYWrSgMa2iuEwHUxNQIvJrNRuA3N3U0wUeyu56IMH3iuIQ27VGypoCPK&#10;N3y/ttF8+1QS5vdHSl0EZzYKsYHH8Wcj3GP5xt85ocMqD4vdiWSwUizlXKV1OeTMCQWYxbBSaGck&#10;7zP/nG2JIL/ov6Sjoj5+tJ3NbxTCWDxuD4xpEzRw5grnIoypHM0LNZYTPPonmRz97gnIHJHQIqm8&#10;HVPFUazGfK6QQY2bwrUchJ/rOiKHGgUdzyeojJnCxw24iL7373zuvGxjGQTqauSDCiw7Mxccx/vb&#10;QClTonZMHW7GLtoY2UA22/NyLqUcg1OIa+bOdbrbahyLtGYA1ZhPtscJgQUoQImx86epLx99nT+R&#10;jcH1Q3Cd9GmKyqghQT+40ZGv2N2RdRAuDc1CV4Tsi9dRUsXMy+tm4S3ZpqzO6vpRqHWbLhsFv9Jt&#10;k4xAjme6HlCi7kTImpN1EfzUcajz23L1FiwzhsUaBZEZgdBpQaH7DAZRHkZZe32jxFnUinPer02c&#10;gpkkWDMuUON8rGzqeu7rJBiTsP8OMo58BbXaFL4ROOg/VYmfP38+10WjsGpqZq1wNzc3F98plPws&#10;i+MYQ0VAIgCishf+/mptCNurIAymimeqAZh1+2wFou2Q9bCKZQSVChbCFaqyAAxI32r+MHbhmORz&#10;uYcDNPoh3+vTbgOW1rnHMif1M6kGAFEDvB/CMBkdICvDsDAIxmmyMHb56Za1MI2SfhpEJo6g9N0C&#10;vZdxsMJEX7iqBADOpEzrTUHEPGXMBZnuZtoZPmfbmaxD1fDJzikH02iqYCGpcf/lXI1x8bLNGpZl&#10;OKH/XVO5CuOVVnezNnOp57pqfk4ODDn17K+UZ3le/mre25XKktPXcE7lUq9L6tl5LoU4tsY1NF3i&#10;Z9Xn4NEuN+W168m1E2shxUr9LA2gZ2Ah2hsB3wJY5XAKxwAQodjzoziLYwUGFSDpBt83PZzPtvgf&#10;xUFxHbkhm8BCl0W2mynRuEt8RlFhdlKwPyEbm4DVuLX6y8qTJhrUDmHNc+wWQbZeK9209l/ueTLO&#10;3horFAmzwV6rpm6qrH25EZzNXofdi9RNAytZR5UZcIxc+64/11rNlhIcVMVf17Dr1hgKPxdw1LTr&#10;yoBUt0ldW3Vfl9MMYWUi65ptzc8DIoJxY396FkCvEcjEB+h6oJxWCmlqGqQvOTRT9KzGj4szva5p&#10;SR5HmWX7Jyk6D1IARxUvu1ume5PpfSBVbvojn66LDdK/FK4kLp4+HDs0pktMksgWcHB1J4Te1zfu&#10;gjJWIZWxkyWsxIQh+V8s4GQu3J0vCl3x2cQEHUishseEEvMnFlEquVCtgW5juuSCaHz7Mfgh+IND&#10;CSASeDjod5VjVg8zT15fuBsIWdzF9MpMM/WKAqJME8r2NwtTJR+eC4rDODkRPGOU6DVViMo5UKL4&#10;yFSwDTixX6NWgoGeKlZ+Iq2IY6LYSy65KsdOAN8hnXhkKqj/bMIJCMogwLSoG6UeAigD+4xbSVdQ&#10;dklye42o8Tma7joRGNmdseJOKNoYngQ6UUMiVruAtOmb6P/sdsVOPIWfxQRRItTI8EY0xaL0ogS3&#10;RQSULjAj01PBqbi7neSBeXgOS3GLNk+eIedKzDfPyQdrrmHTkoGKIKoQRCmJa2GsBH85PxLU5vkx&#10;ZTz0GAWnCynMxoRoTRRoMxc8XDCZbYpgVkM1vafpK9Q+sA0RLWJbVIxeRaaJU8Jfa8Ehxs26KrlV&#10;cdbMdyMnn6gHsG4xMUGPz9Klxc7JbSuhqnh1O7mGvS4WtgHUbh1cygvZG42l530UPAoo39egx0qT&#10;1hiImsnhs3hsZRCqlXM6Va1Wq6xWkYzEo0ePQshNImDt37oZUMz7hs0QXJ1O/6zZUzElragJm9CC&#10;Re3SoMHoECQPSE/z9W7Tj50sthY4ynVm8JjUgLSyAY9DADDgBvt0dJQzFLEaH+snsBGh3ignDQ13&#10;oHHL6i5kS/BbiSkTlCoPQsHk/K2AQndHElYhBZqsNOdJMyFlSpo5GPI3l0+MY7ya9ZG0evORCs2v&#10;lSOOr/PIcWvmaRVhMZbPTnsmI2OtN22PW+T6zAkcgvjZjVy7KcRUoSeZGNF8PnM+1pRMT6rNDCni&#10;+gobLPkH7yFD6/OluwRQ7HjbnlgOCYiCBWgMQM/L3VVTpjDMkRGT2RQV1Db8Rqz5DCkzdsEmuo79&#10;OxgI3BR7zBWZCNmHfY2QJrMivaTGQIT5mG5uZdZJVzT6jk9cS7rP1ZjJnso0xSDH/S3DtEmcUWzt&#10;EHtDpZHjc8miOdcfEyPhS/DteqpBzOqWAN9896SpIxEMBesv5Xfex3UpQPBzY4fUhXXd5nhSv4Tz&#10;zHjKOka5gVZdQ/VY71t3Qa3rrU4Zj1GuuM5dm75aU8Ns/xlNyb0SBD9tAv96GZlgHSx4wjD2UEgl&#10;0hzxE2fQYXZsF4su/Lz61Z1v/q1fHDdI1o7QyrTqJYU12Ab1wU/uwh9SN34I62LCnH1LaKaFu2eA&#10;HOdq6fnj/aOapRZfKEQXq7MpfUcx5xy4OgF5066WXfZrLqrwNfEbKsmAMVvemh4ve5TrrTEIqUSa&#10;laFeS84gLhC3bCzVyNmNCSlSboCLTIqHNgstfjGBtnfY755iWxFtblAKlTdDOQeEzYAeX9WqDUUe&#10;Lm33L6ENWp+CKZW6AT4E5uWGNN7bya4fnM9NJQxXQu47YH0CfeVRq1/3hM+mkm2C6iw+E38HE5J9&#10;lFHN2actVqRxIKH4Q2c34iukVhVraaWEFW3Usm3imtENWp9Q4rZVuk23SORN++i6Kk6CgHQHWGLb&#10;4EBBozdLwZsRKILEFDhpaeSQBvBwQYfVlsI5xw5l2QCMcEVFhwp+UKTECPowtc/TkkqLJwRVgyki&#10;ndJuCECjkFJj6GJJJZGosgKiFK6RKdLMnaR1s33V3+vThDBPTRD3i+kZsqaJFfExUvYEYIiZx8NL&#10;Xwe5lzZVWmjRCwEjon3JajSKxu8ty8587UfbJTDOMzbXa4nuZuyi7QQ/GvxqX0QVOtcyoMc+tzS+&#10;7W2Um5SqwqNWkKx19+tGPFXwOd9Px0B4b4WXnxltrhCaolJldmdjiefQNqCPNMbYlAiXJYxFbniV&#10;r0gRjaJW2xGNPoJv2biPqP6HDBJqqUh6WFuWOe7uJDXOFM3+VCp9kAMuq0EYBAs/jfDIAxIG0sSN&#10;+d9L/08SmzXFvOymff2Azlnen43qjVaETCuSKJm0RJVe4VJKFjDq5wles/ti5IIBdUYpR+pYxxNF&#10;B6fhFVMr5112xsm0amRLdRqkQutq1q9HhyRR1jl/lE8x3/IyaQPoqjR4NpV1zC/+5zN7nXC5+Bnz&#10;/4AvBKSRRt6AR6/VZH7H2coxp4VR/Gar7DVuBY8zliBqN3A9ZUB/rENdBbYhU1ZtEqVnyPzN8twa&#10;PqgM7s2c5yIq3R30gimfzaw96eswCkJBqoCzQmcN+A4vnWsgUUezlo1Akx2orgtdC8Y4CSLcNVSg&#10;EPlJGV8R66IBNWEsZgh+NTBOsFsufz6XqVTOIovDMMzBUF6E3jEQlw830Ac7gPZap8iLxuaS9Eut&#10;i1LZt1xzOQ98axZGxFJQZTiM3kZu2xaN9LzG4YlrorKClSmMedlUipVB9D61MFUNyqztcH3qpqxZ&#10;U7J9tqemhMqUnM70IAIQBcsouTC6cWtE8I0NU+GE79kiNQhh2AhdDV1E+FvEJpgJQYS0TwTb5dTX&#10;Z2gQXFjOgTKdIDIWRI3jzhi18AT3G4ap76f6WmdLx61R5fhm1BIqOGIAjnB3RKEnlaWdJOXJou8J&#10;QOG0a1C+ujEUQS4iLRDJS+nnlP+JfEMFSDsCjoK1oPjQwQ7nRYpVM9kaBdLYDmHxqbwi+jbXYwh2&#10;nyuUTsR/5CiH0PU6LlLuk1vTdpWJiGZE8EFXbS+aIZFI9jiCNf0qaXD/0BKMKnKCIQGU3/u5SjJQ&#10;sT3eCN1moXjPYGkEWR5HA9zfUCu8vbTS9JMKXuvE8cr2ZTYAgAiL3M+TOjUwLActykfYoUkthSRK&#10;+PBMgXoPH1iAIDUY1H0DRjqZ0HFNBblFkVygEQ+TgsdzQugZKGQgUsMg1epvpy2wHNrKbtWllf73&#10;CHoVkOkKo43GKEgRqvhNfbN/3A44nieq9Ql6GlBpW0KJpUWv4ImfUBH5zOFii/5SSVSFmkyQXW+B&#10;ItmPLIeerqsAmLa4Edj65iut6PVSNKSED1CoEAzw4yAlMIvjfT5BdIiTZ5kZobaS+sgZ0cibZyA4&#10;Bi/HL3ou7+gIV792PGdFZQgASx0LTHS56GIJ4ZemYDyrAsd1UrMuqvXi3zWv3XK8CpdKo9p/acgm&#10;k7ZN4a0hLK7xicnYkMq9M06yNjjOmhgZ/OVunmORdiyIWGGLYgWYx+5QPMdAVa0u8+QFD93EYhls&#10;K9t3aOZTuBKURGysFaBdN0Oyny3SWEdhdy6SPnkVX8VIWLQoOMcShaI3qh83UT9vzJzoJQqSu8T7&#10;QZkHvu/m+pofKpfTm+IlhZgyIW4bPG19NSg1xIUyKRFxLqFc4yp+12ed4THfTsYuLXY/MXZin58h&#10;jKI960jwXIPbzZo1+JML7WBkqpSHA7nnuu3cxNhwTg5i5doXXI1wbjbXog4FLrBBxFMfcnmXGJGj&#10;W49KPztQdpGhZ27ZWpQAoB8s9c05+7eX4z799Pne7Sel46WzpQMXmFb7nu4vFpzPYjzXxu/8iL25&#10;2L7grZcLZYO4l8GQx+UcLPLxuw9Km3THfvYxufPhB+XcL71Ueh4TlPvocWn9xmtl20Jm6iLGI4qh&#10;h+HgtG4AFe8Nfgx2QUYunjQDqavh4tq2ZtuegME20W6r3O7KGFtxNMZE9VBRQaDA/In4pZSnsSa8&#10;9cmgphtSgBI6qGEoY7Uq/5tjBSj2xcIWFjwfdlNosdMgceOPZAtpnMfPzs7EfHejMpV4XWPOdwHC&#10;GFWEXUvGJ+2SNRZFp7iH6ZaWVVDXTbCzqi/dFla27W9KWtc4i5pSXTOs6h4dEWsR+5xkmfka6FzX&#10;t8BBhlAgUrOxTrIzvvfBk3Kd3dvGyCUaJFVEgiPYBzM27EOAhb0cpGjsKaCeZpIBFfUDK1xrmogL&#10;ukZvq1SilkAjsI9ZvC2cTv1Gk2NYaDnF5lZNloPnHjPqES8WdHoGNnptQUgUZHHPCS1Cg/Ca3yrZ&#10;oHkdNIOZpGsdUEBJpDyFsAx7LBBwL6kACXYa61UL2NEW3UUmQQpeF1uAg6CoQyzknFLheN3M6Ul6&#10;TqXB+ekWSUtSuiKi5SMgMturOggxEB2bEzbS6mwLQiWyWlRgVYBrHkRz0vIJpRsyISITQkn7HK0o&#10;hpXtiKImtDEUmRHkkfZnwGfWSFAOhYWhcvQaAiqj/gOoJcLFi5WWhPdyBfodizb2u/cZuaftDuDg&#10;0MTCbPanj3sJgHxavMKAQbNnklTJzyNzQ0ZHt4vt5LoRfe3Th9JJJVrjO3L0kj0J2tOD4ifHJvx5&#10;J5JA/KBrzUAq6WyFnlQ99xZgOPa0W7CcyjuBZgbtpnCSdYg0UDvD/g9eN75KgRw/zfGOt+MXA58b&#10;8NQdWPRdOndVihFVHYqnAawJU+I5gryuLE4A0FT2fm8fB5vneXVuqPg8tZk7jndYw87lSOslvbXZ&#10;KdfNdQzIjVvF//PaCtycwllfNIK9zBIJYJbrQXBZJmYogvUk2IOoiNmwZ9EfzosYx5xj7oNhO2uZ&#10;654I+krAU6O5jTD3PIWk+1OYxVEr5mnxyGZk4GY4jwN0dAJgFHYKTyttTrJlsRRwpg5bNMeiO2xo&#10;ZpaW4+aQqWxg1PoY2FkluHvG0MYhMqcmMCTOojTP8N1IdH1MOgCvaX4YKwIFPhcoWEDPmZwg297K&#10;qVeLxEXPxlyoE6j57SWbKfLVXylh8oyk8es18shfeF5zab9PdiNMtpDDT7//YVkjxuXyr3+ztHnG&#10;cKuYTryCr2ZNZNAuD/7RD0gZ7S3j332jdBDsu01OqaWJBnHtAktKzxdrVBeGQVxeLAv/5W+V8Vde&#10;La2rF6l3AbB86UzpvThXBjaAFLjGPvitH5Z+YkSuvPhi+ei/+Sfl0n/yH2LkzUQ/9aDwh6OPuDaH&#10;f/L7Py0j52fLyNdfiTknGyTlfsDeJYu/9aOy+um9cu1r3OtHH5SNm0/L+qOHpXN1o4xenCjdX3+u&#10;jEScMC3kmeq8TeAA6OUmZhMdRD2GNJCCMWfuRj0HBsvAyL1I/05wr1s7YqdSqsacdTCqEymZTztZ&#10;di7H6eSHN7FuUlCdAPhmmYYMCzaoYUmDeVEv0q6drDrF2tzD7bAQdVwsBDbobrPMVfWla6wqfNeB&#10;LJ+KXXdHjRPyvSAh1mLDzNUKkzGP+RmG+d50uwUZauZ03ZemsoWuwbruXDuuJb8TIJwuZx/uoiaO&#10;yUqy/l1jnaobpbVx0F/uPF4ps6N95dJUBp+lDylnQRRpin+p/ILGsixybD6TVJgoLxCZWwRHCpsC&#10;OEt+hgDkvAO2Qe0BLfe7M2T0uEFTsYwCsQsMMke2sWYVZo5jWBBpGYkeVYx71hews1SYKAAXfQQs&#10;GYSmQG0yREL/cS8PU+C2MedDwfN516lyqBGM6Q1yJqUQUnQEPWk7c2l3MvlC2am4pN0V5qJfL8lN&#10;nFwK/aimqdxyogq4VMyNaIgYCAFPMxG9T9Lc3juCIVJ5c5z7K2RlynT3RPsqiKinNEotpU/2SRYK&#10;SYkTKNqTcp00DIkUeSrwbtsaiykVearZ1K6h5ux33Sbx434oNsN0qARNQeMFwPKcXJwuvIxzUfnJ&#10;JmVwrdSkrqsYU9MTeb5YjLEWGnaA37G7KTd2S64Q8HEPAUiK1wByvgn6oGmj8y90iv9zgBtXVQCd&#10;8LDG9uYxxNHUZHX8IOZOCITGlRJpxYIWF2RjbTZ4IrqkAR8pZ3KeJhBNliZ6nOeLDaP4OzYDi3Lp&#10;CSCii/NJmt/pLgl2IIBVrqcoaBZFzLLCayrkpK6zxLLjnQAgvmgAbuw/Y8aC44klkm6f7EevESC4&#10;uU6oxQBtzsNkH4LF43fccgLrEXag0p+xj0OTs27j/VzQEIGbTbW8KgQt+R07MTaCrH5fn76yGoID&#10;z8kAyaycV1+eWzffEkjEjJbxiXXtPMgxs12LT+ajZHUHdME+8/sIlnOke698Y7pVxqgL7VW1WYx3&#10;GOaNRYUHFJI8a6/rTb+6wyPToKyLEcuMGMfXOZi8TiP7XHvRST/7Ov0MX/32xMh1WSoOmqGpmPXn&#10;XjA+zBnrHVvI3507T/TLlO7Z8bJ/Z75s4S/v/NVvxK7LK/OLZebC2fLk4y/K0j/9oLQesLPqw/ky&#10;fe5s2aSGz9pQCxABSBsdKNf+6jfL1gd3yp3/5z8pI5dmyhH1flp358vuxCybm+2Vlc/vlam7L5fp&#10;/2C23PoHf1DOvvFiGVjD8rVSJ4EEI6tsVf64Xe789Edl9NxsGZ0YLYvv3S69MAwjuJ0ufETG3+Je&#10;Wer+x2WHjtwDoV3/+tfK4+9/VHZuPiwvXbheutggbOy1V8p6DwHk5y8TO/egLP72u2XojWscj35g&#10;HkTGBGtBN4R1NQ6aIEi5AmWMczn2qmD+y0JYM8YYOHVSqLP4Pud7BX4ZTG6nJtMZ9D/HGffUkOkB&#10;PDK8PI04YykUOymXUjqnIYmM44PY/zMO0GBKw8GYjagz4Xgz0WQcxkh9jk20XPdRHyhfggQVdgXY&#10;Au5a6K3OdZmChw8fsn38YJkiNuGkBoTtcC6zNtyfY2F+IYKP3QW3Vn2trKjtcr3FhnYcU1nB03EQ&#10;Hlsr1ro+fWlQuCZPQMQeI7PJYjfi+HCMIi1R+hVla7CQ3aBwCZ9PqrHY3cwFHAAjlaoIT5bAgQqh&#10;b4fYYUEPpZV27D4J+iM5Pmq3a52rRDKdIgSvwU1ZUTKV6Okf6T4Z1w7uFSmeKj2Fk2kz+oOMfFbh&#10;6b+Oe/ITilyFn9aiQWnqmAAXzVxyClSfcUygsAATk2bYpOAjQVQth9oyJkOBkkklJpE2uszysqk8&#10;rYcuiFBJNzo5rPCo4tcIgqocnYih5hBsIXC5Zo/moCyPYCoEjcLSAbBNCQri+US6jdcwxiOqfRok&#10;20CPUGrJWKSPPl0vLgaZTmF74qlUGlQ9T0CoEA5AZ5dl3nF83vRfxiXaiKTto4y29wjXkcPuYmce&#10;OSc4LiwDPo+9OXRfNFR9NEnAEZafYDDjXzxWgJp0f7MoraCpwOWizrsUxo6zx+UY6X6Leeo8CUDh&#10;uYnOj139zSKPLmyUVWX1A4TFda3AmKAt1FmjfKOMeijqZECiTLttyLWf6sVrxGTJoKbQ7bZfQCL7&#10;04xnjEOcaN9Y7lwN7vA2bExMmujk2PgsBJyXdX47Tg14CQEmSNeNp1sxgAYbMZGBEPfWGtXdIhsX&#10;gi3bkyLOR4ur5ucxp7KWRKrKfBmkpQI3YrumhlUhUkvm1rROn19LRuHo7rWLxED4TKZx1lTQmOMh&#10;rLMYjgLR69ViVrG/yamX9/acaAduEK0qGZYMLMu2x9xk7q/hwuseVq5gjVudElrtRbIrrhDMEIrF&#10;uc/xLTN2ePao/mhJaeZIjWGI5MyYKs/ATHh2ooOUUbmO4r9TgOd0m3/Bx3WiNLMlL/Ol83IEv/xh&#10;/SvWmq2iraTffviPf68Mn58pz/3mn2e9sx+KdeT2SR5mf4a7v/V7Zeo/+utl4tqF0v9wr8y/81vl&#10;2m/+cmmdGSu7AIQzf+7r1JvDvw6QOGBTjy3SB3afmykvvvxKechW3MdTI+Xc3/yN0gH7MP/bPyld&#10;c1Nlb5g0wrWdcvd3foy7gp1YewH8/TBtysv3H5fd994vZ/7mmSg2+Hh3o0zgLh6ZXytdS9Dg9Hof&#10;W1B3DPbHxn69xIcNXp4lLZctzlv9bMe+EtktLepybJEVM/Wb3yEgXfcDtYGUeczjbQbBGg7GMOw5&#10;57mvBlwq95S3jm8ADWMsXE8wvMeHzVqMtad+SPnfSIiUz0qpXKzxuTNrL2R5Gom1oJRLSOOmgR51&#10;GsRvJbOGUrBUMYQ5ko6X19sxpo116h5Bc7MTPDPbsLtTbGRhpEHgfKplrWt6ZS3adrp2g+vMNRfy&#10;smEHq1JPtjMDIL22YN331YVR16HHCCC8jkGSrr/KONZr1ToRrtGaPiror+vWp2w9eviknJ+gGt0h&#10;u8bJtsAyWIClR78RGmW/EXAq96BFBQ+hVBRuFr7wvZZBRnZn8B40TUS4KODTilSxNw4KNpLJ/Pqg&#10;cJSdrrhGGHvN+gChX6R2/T4GmmtAw5n9oOaq/vdjqmLumobn7p5SqwoEjtnTwmwocM07W2IursUy&#10;cvtghG4oZRVYRkm3o5iUwsXRN3RKpZ9bc0uv7xGYKVipk0TQFOlVgX2yD9q4eg5lEXgfOd0Ra5Fp&#10;SCGadC2kBApF6T8XYrgvKXksiOmghK/f9Xht3QycGfcN6ysn7BF9dcji6WaA7Qsj8nvJRzt297aI&#10;yk9WJV03omQnM0qCthInG9SfC9L7ppJK2lwFLTCrsQsVnYdbSUUYgMG2s4hlrqpwdfzDdZTAoyNS&#10;d1VK9mVO7GhTKPAsBR69puL1M6eXCpd2ma/vgbHVsn7fpgiP4MUbdAfN2Pzhwnce+qwKCeemACiO&#10;SEUcrqpGecb9vHazwGNGNy6BKKEdcy2FQLa5ES7RXusuJK4QuNQ4kVoFMABMnJegL5W16yDjTSLF&#10;NMRUzqEwZO0b+9X5nRMrGY7mAtE3PkOAqRyjqPAQoC5ZIlm/jA/xvGohCQySiUuCJrOKvGkoRdsT&#10;7+uETr9yjPeJINQ7YrCiWxaPhIATSChIVO4WklJIJWBqes0527RLweNLYVWpUv9OpZ9bgivEFFIK&#10;MI/TlTHYbCLk916r1oRwq+7tqC+RVfwCQCGcPXd6jqI7uEe2UGDbyAK/6wUNjKBNpmTCqLraFnRr&#10;QDjfeeyweULG5BqJ8XBuOOR2S4x/qoxIya5GbDND4ovmdRpQpJT8Ba9mfKIf6s/JXMm18/NeruPc&#10;cAy54PxHoXeOZZzVITI1g66RJewbMvlgM6z79txAefLwNsoEVzLG3eaP3il7VBfexuWxMz5SOs5O&#10;l8Hpy+X86zfKxYGJ8vTv/7OyMd5fRmbHyubvv18O5x6U+zdvl7PfvFEWyeq//LXXys3/9L+h8idZ&#10;K1+7GMbSNhV37/74B2Xo4nTpfGm2bIIBh178lQiOb/3zm+XpT/+w9ADsrvzmd0u5Nh6YdQuZODV3&#10;gy3GcX/hzjB2tvXB7bL222w6+PXnS/ef+wZgY6A8xRuzPigwcL1RhElwIHhoAEQEuTdGnJkPMgge&#10;G3EPAfY0xlxXDXPneDfAI4IpG72T5IQGVuoj4A4/Eb6HDmxkIu81HyPuIqd6vNJQzfGO1d24MkKn&#10;NePqvDGWpcsYOb63orK6aIO5PDrMtg+sXVnHWuzJ1Eot/4h/QLm7Rqoh51z3/cWLF6MQlRUk3QW0&#10;poTaJteN62K82erbdVU30aruChlE17WA3zUukPe8GnDpuvPeNciyui1jh17uW+vAtGZnp0CDKHMu&#10;sgSKENHqE+9DEvf18CY6JGkgg1dUCklHKygUNnYUEfYRjJWTP6wM3SDxXZBMCFD3vCcaF+ugP6P2&#10;4hyDJA2FbIIQQuClIDw1Sl6zGbAjXRUubBc9PiUDFM+++DwBV/tl4bMvIl0tLaycIPtIiW723Bhk&#10;u/ID7jdAsNDY2GiZf0w6DR3Uo5BFaG2trEZCcACVaD+tBjF3mlEBNT599kKEdS/efQDaJ1CP+xyy&#10;zXFXUyJaC9iz9dNJUVy4/lzZIKJ2gNVxzH0e37l7smulgMoALUVT1F+PGhL8Y4JdfvnFYIPusfd8&#10;i0lgOduIDQglk/0bLALXnb5wgfxm8u+ZjKaluR34WaqXLd69X/aply5Nq2KKCnCc2sVWxMOTbKNM&#10;OfKd9W3Ax0AZYALvrK9ipbNaBRUuGl0iBjqaekRfbbLJizT7CPub7LoJC/d0dbB7ClW5RbqYelbx&#10;YwKavNM3RvlixnXHnSvdk0PLVnqYc7QUYvxyoEMUKwhyW+IUkCFYjXkhBTeq+OFD9LhwQ8jWKMwj&#10;0jTnpuNl9UFyk2P3zG4EiGBDBbsvuNRVImXIXNwXvHg1FUhimBOQED72mHau+Ab0CdpiXmebVcJS&#10;4rV6XQ2gqno49hLxsgKVhgmJhse5DrrKNhVu/MS/RpLl459YNzHHwzpJZVOjzm0m0RZcvdl7I/oz&#10;rxeuiuaEEwUVjUvhKeitDG70QYPD4r3NjPmSwjRnaBMDFQAoWYagZxn3GvxVMyjCvdi8svz1fvhm&#10;a9GausugtKmsgXtq1FQz+75u871BtoWsh68aUOm9FWL+9rO6h0ZsN04mUOytwd4YxzukRHcQR0Eb&#10;54/xGxtfJeCNMWligJrxDyAsRDhFJzUiLOWLfVZTcmP1Oa/smGphnjxuvvmKzDqtaE4fmVdIIOkx&#10;Nbg2+vorlzz9p3EABlQ6TmYw9BG3prEXY+cQa6xYbZOKnV0ww6QCJLM5TWzB85fL0uJ82Xs8XzqW&#10;tsrqZ/fL2vQYlX0BcALDO4tl57/63bLxez8pk3/z13AtvFDu/O2/E5U3X/lf/YdlbWKkLBhDQgDl&#10;5C+9ULb/8O0yiLDoIXrziGpch8/PlfN/9Rtle1benq2u2fm0n7oID3/049L7woWYew/+4Mfl/Llf&#10;L20CMTpp3ufvf1p2Pn1Yxrd5FoI+d977kMBNAw0Py0//+98u7YmxMvVXv10WiV8xlLWDtkQAZczM&#10;MA8SzGsQ0R8BCpogywQdCbztIJW0QCHO0S0u0GiY9MzkaEBEI5eVbWachDwM4CBwSRAREL2hImLI&#10;A0DkiGoMPCOqkh3x5S3CneGJIcjSbXGwtoncXieNmADWhi1QSVf3hcBdt0Yt8FQDnFX8rivljS+V&#10;ved4XDB3rBWPiY336KAxXCKu0+qKECx4bAUQVXe7Nj1m6elSFLey2mVNBa3rO/fUOY5MK18tU2m2&#10;qd2wQ7nrxSW3EoUWo13TI6VcmGHTD5egQosKbw5iWPb6XMNnWmnJXD8Z3Z4gw/dGL6s49qUdWezU&#10;nAtE1R8mN3fXF44kDz989LUCTkGufzKtn0rNVKFr/0vxT5yZRdkelGWUf3fQn1gmpHtNn58rB1Ce&#10;mw/mixhI370ltgepT97BpOweHSqrRHiPnD/Lg+8mUwCltOUmQWSeZCS8O+kRkHX5cukDdGwQVduD&#10;ct5nM50hZuc4FNwBpbzvvvcuSi6LIEX5CXPxCfralEZykzAyQDrZGGUfJdyzNUkBm+6ygXA8ZnEL&#10;1Jzk3ebus6lYWwsasNM5Ng1wYKe0cwAU7ifE2jfSNopzWSYZwUf+/jD08CAgApBOeWPuA0C6ePFc&#10;WE590MjHFPXqAKE6xQKoSBszkSbZanaz3C1tnqEblHrm7MXy+KNPytZjgplcmAjd4XPsTzA7HZPk&#10;zNUr5QmCx31Prl+/Xh59AACA/3/2aVl4cL+Mzc6Vfo5xk7ZxfXi37pWNR0+CGRknGKsXMHr/vY9R&#10;DIw3QuwIABa729FXwwCX3CuFOzKe3fTp8t07Zc9gofB50p9o6isv3Qgld/dDAJXgQHlgVDnP3zs2&#10;jsBkdjLHpLjHCOqbPAv1+hg/Mfsm7D5d5MFhptxPhVB0Rc7Q+GgZZTwf3X9Q9lFUxu64Bg16ipBW&#10;QXGUCm/AiQqftmScQKOSVWY8xxDBUM71vdhIir+Ze7GYaYuliG1XeERiPjWWrJNc10SjGSoYVmOH&#10;zg6AxW8OMJNFFs/qmmFgRjvSnaQwcs6p8IMNMYBUdRjgKlVUiERPpG3BCoVAbRSmoL5RhImZGgI9&#10;DlLIpmKr7o84pFmLNd5BQVJjFapwyoyJtGZqMFhN9axCUPeHuexmdynYatBWZRW9l37eBQRhrcCX&#10;248/8xm7Y6lBq+6noXunn02NYtMgxvNAMIJ8GWDjQDfH6upYOenTMHpyQFKOqzjoPzfVCgUQRlED&#10;8Bqgob3TYM04L91oacTEuKWOaF7P/vA+jZ45fUDOhxyeZLR4m7E8+artS3n41RegWCtWQBPog3kQ&#10;++0AtpDNLdaoTNcRaQw7uvwYwz6C5K9ceYH1tVfmfuMb5eknn5SNf/LTMvnGW2X/7qNyY4J0P4DA&#10;5+9/jLDcLBPEUfSR2tt79kzp+3Ovlqd/+G4Zvv+w9D86QyAqFitA7fy//+fLnR0yKHCDdy1Sjpl+&#10;u/DLbxJ4OYvswbiCTe1e3S93/l+/Uw6+eFSu/yf/HuzoUXnv//6PSNvsKJf+wjdK7yQ1QDBgj9jD&#10;Z4jdUru5zpPvf7/0fv1KGfp3vl32kYXrKFYkQulaJTCXxb+rfpHhixUVWj/6yxi9iMXifWaKGYuW&#10;hlPUg3GcJMY5JoLuc0Ehq9g8LtZJri9foce46j7n6M4IJsLr0u/BSjeG888fnWxD4EzvHeAm29nD&#10;eQZW7iLHu93nppkDo8jOu3fvls3jNQDWuROQfhowCyoMfqzrTfBejWzXZd0cT2ZBplAgMAaTUdNH&#10;YxsBjpPdO+SYh9RgkY0/y/3qXh0p3+yznLVWDrZuioZTbmXegCTXAHrXuBPvsTC/UloL8yio4HIS&#10;4SrBgnHBpBxxZzGe18pvuh9czKZdpfshBVFs56skDp9U0qimgHqdsP74FwGWjIT+cNM0e3WLNIOV&#10;Xs20zrxmtiUHIYMiuUtkXPiMSRu1tX71sbKt8+o6VrJbDZsm2t9bpq9eLdtQQFv4RntpRi9t2mMG&#10;rW6swCZME6W7U5axkOfOTJfFh4/LIdcQRHQAIiLLzWdQefDcOyj/FdwK+24wBCNxQGTywyePSyf3&#10;RnNH2drAxI3VqQKdvn6NNCkCP6VaKb9rjMYuC2L4ysUyx+Cv/+BtQATTsXnM4YmpMv3CjRAORle0&#10;Rsa5d7tcog5vr9kaPNfDDz5i8s3zrQVN2JoVduDctetlcVMLHWFBw+FGYAIIZGPRnbt2ozwh5W0b&#10;cKHWPab/xp67VMauXy5HuGUmh0ajAqKZG4cozXWOOaAPe3VdqYx6B4iMPlfWj7AK6PehiWlYAVxA&#10;+EFWt9aj/nzPADXbr1yGdqCQELUwurjueSKs91D2x+wc1wmKVUn3Atouv/kGFBSMDGyBAnjfrZyZ&#10;Wx2Ah072tuik3RsofQsiDU5Ox34fUs7958+F0B6XaXD7aP5YZffF1sBwufJL3+Sag7FQHnz0EcAC&#10;i+rc1TLZP0Iq2265S0rt+NyZ0j09V3Z4zgMqNPai+MdmZssh4OkYdO84H3DvLceUTcBMS3BW99O/&#10;Z15+oazC6Kw/eBAR+5GpoVRg/h5ivU099xztPyrzt+9GVsPc89epfojv+dbnlqaL7/oBlFOXz5V5&#10;rrO1DHVIH5+5eglZTaYBKWzpg6dtPN8w7eoDFC0+vBdA0X7oITV0bQG076Zo3Nvi80cGMJLqtW9p&#10;au7TMwUwZg3uEyyne05XkyoxZCftwhaNPg+3mYKA8YxKmxY0ElSE2DPgVKaGktKYDZDGzirOy4p5&#10;tYSuQsr3FSy43pUJCrVatlqAoGtCH2usXde20iDmN7EajLugz7S0Ss+m8M72Zf3+LYDEQDCGW5sb&#10;cY2QPRlxeqJwtbjcpXAEX30EX6NIB3oB7cU0UCvbYaAAIE3fFKx2RlXYDJ48oXfqW4+J9SzEEyDE&#10;o8d7nyILWWlpPvsurP96WEiCBHrRQm90ipn4qqsjRHVjsjrn6qtatLVYU9LkeV3rIxw0zJR322d4&#10;1j75ogz//dHy9OObpX1/oSz9nX9Wtimj3F7HdUNtnu3bT8u9/+KflD6U1T4MxP6djbJChsvZK7Ol&#10;6zYbKv53v1PO/a1fLyO/9u0y/urrZen/8v8pez/6pNzeXi5T336pXDp/sXzw298r537UKhdbb5UP&#10;/ugHpXeBSqd3nxC/sF0Wlt2c7rDc/R++X7Z++G6ZefOlMoOcefe/+vsRm/G1/+VvloM3WBt0yRU2&#10;Mvnk//3bZYO9li79r9lJ9RwGE/O8vPegrH/8Xlkms+jMm6+WpVeulzvOXYbQ4EjZQ/eOiTUYI1Jn&#10;VfaacFpgH8CN/wVjELF8mSQQwyAjGUMXocTxYY2rqK6IRq1FX+9ClRBeEtd1N9YTJoKTdW8EeSFo&#10;543qLdzrfCaIjbRxbxFulEQ61rJYYX8mN8iTIZZH7DQEANA1yh5AsZEkAOB09lNO02T9XBemUOvC&#10;cC2cxKg1zyJIMC5qFbk2bCn62KuG1htyEO1VD7PmaMzIODIDnbFtgKRMhXNWWaD7Ajm7yz5OUxjN&#10;vnS32G8e59qwP7Zg2HuobjsKiCjlljVFkoaPBWIHB5ggOAdreXUZQUiVRRvda6GLpuJdpuA1AX/S&#10;3lop0u50mgLK7b1zx0yHOze8Ms7Cne8UIv1Grkc9h/TRpq83BUT1pdp5lT6JgMTGdIgJhAJsUUGu&#10;i5yfPiIILZ297Xa5MWjchx/r30uFh6+fxTaOlTo4Sn461Pi50anSizV8ppf6+iiPjS/ulB2QelcT&#10;TJgBcC3KjGLhYlWfv3G1zBMtOzEwVF789ltll/Sjp3duR8RtbPLkItcHzEBtIGhHABIGO3ZQXfII&#10;Wqd/cBJA1leWWLQHsB+DTArFt2lYW0tPy/YPVsu2cQ+TM+XGt/5cDOgnWAxdKJ5IuYWR6OY5Df6y&#10;745Qkrc/+pggpRHcE2xu1DNY+ilCcgw7snzrDorvMcoRxW6hKpiSQ260ZREXhrkbMNChFY2VvrO2&#10;Sgpdb5l59QWq9p0rK/duxzi19H0r8LHuN7BuWgRDDc1Nl3Wi34cAPccol+3Hq+X+wTtl7o1Xy8MH&#10;d8ra7c/KlVdeLhOXLoHn2H6btjPYhPLulke3vihTLzxHytFaWbuPkmSizrz4UllZfFrOUp1t/tFd&#10;KL3lchFXzvQLLyM4VCgZPGvu/kXASdSCQKBs/+EPYbZYyEzqhQd3y9yFK7h2oMxZoIXxXN17UiaG&#10;sUxp+9C5mTL70kuACPogrHsEB+M/+dJoxIwIyvYWVssdQFCH6cb07YELDyE7NDNVtmhfuh4ykNFx&#10;6afW/blvvFn2xqlRD8K6DtgKHzv3H0CYDGhZvPdOOVrfyH4DHCzML5WeUWYJmQPdbEntPD16LAVt&#10;4KnAmbkKS9LjuEA524YBCsK4pfiTlbVkSbDExqAWu2DdRqamoabZlAvgNfXSc8FWPEKJdANiuvag&#10;Mlk7BxRLunDtubLO+Xso5emp2fL0MewMKXz2bawt1ocpqcf6j/mjh/U9deEq48W1zJJZz1079cv6&#10;oxzQyslqeZlJdboctcLu9H4Zsgx1DauEqx/VOArPqwxGzdJQMNb9NLS+vP4+9zzJZQ9tgIAHhHot&#10;I85th+doNfUzD0z3VPSvhwvOSpzk4ut+bNTNCQJJbZSWbKOU0hY9sWHyDxWFAKORkI1OSMZHrOCv&#10;BkmkLqkgJ7+vr9Mg4lBmqzmnqsWT45r2xLUC2DRuj/g843C0xfeRgTNfe7msfPhFuXvvTunHTTk3&#10;NAnriZUIs9w9ANvHDG8jK4beeK5Mf/3F8t5vfa90vX+7nPnWq2X36kQZuvrrZf2ju2WF8uabU72x&#10;j9Hey4DZrTFkwoUy+tZ1GNyx8s3Xr8ZztgnAHH7hbOk/c1D6vvUcz2q8E+5kjAOVYgsZ1n12prQp&#10;4jf26tUy+5d+pXS9dLnMEzexZwzEN18ur45Pl3no+wfIpicYWz2sIV3cHZenysjLf6Wsv3CpfIJR&#10;t8TOqa0DA15RbMS1JAMU5d5OdWr2iWxDrUapGhGw1PFK3iLZ4maw01gOlsG+tNKvDF7+RMA+X+9h&#10;/EnyuJ9GZoMk22z23a5lBzQomrkRBnPz3g31MmNNmZGxgP7RzRp3q3dd6xH7RCP2tuFBQEqTsta8&#10;lgF/zpNailqdUteMrg/Xnn+7pqpbsTL1Nd7BtSVr4SuLQ+XMr/FHZkuNMabqaIu0WaeiVpt1V919&#10;jD/vZQaJoN51aMxFDep024oeDEbbEvUYeLUiTS9xUzACGZedLymLAyLaY5dGaw7wT4vc/NbYACmU&#10;e0Qg5MUaF4Q5vREa4GhJIdGBUVWPwyx+4QY2gggXUwQYZjRLoLGad54cZKLO+OeASLuai+8OjgiL&#10;zW4qaYGIetkZdHuPHSytWusW41xfMCOISJ8Jm+c8XS79xDVsLS9E3u7ZKyg1aP/x0cGygjAPn6oC&#10;vTFEhmfmyuRzN4iLgLZFaG4tfkjj18rz0ID31xDEVlrkOydtpKGHxUeVSkDEMLfsHRkrHbzvIo5g&#10;ZBzFCzOyQf7zUNTPl8Y3nTaddOHuQeGcIY6im+dqQcFfvPp8mV97r3QQ5zBg9VAWqtPBvuilcMvw&#10;mbPlGCv/2NLhsAGD3OMIdoS6oFxwt6zfB70zdi6fKDjCYthdw8IbnQ6X1d4eNdYp0jNMZcBxXD1S&#10;mRubsDXnLpbJS1eD7x3rvBTWnBVDOxnz8Wm2hYZ9+OKHb5eWxX3wefWS0TMBM9OFdbn4eAEqtbeM&#10;TdE22IxeFGuLdLNNrOk5nm3t3qOy8MUXZYKAIUGeAaZWE+xjPEj8pZ/xEWJ03/v8M25P2WaeY3SM&#10;ezL3euifCxcuwVYweVnV0veL9+6X6TMXypnnXsh+o8+vUaVziIW8v7GKtf+grABiOifmyizMjTvh&#10;LZMWNU3E+RHj9/jOrdKef4rwZOwAaRbgkRrttI6u7BfA2UVnBH8IDOcSi2+JVDkZtWP6cfPpaiiO&#10;EYL6DmCtDiiMFPsmMCk6GRuzBNhqq8xcvlS6sDhazBn4LfrJ/WlMg4ZfcD3hoolUtrnZMg2A6Z+e&#10;CnB+6WuvlDXcScsLi2UEpdkBWHTXlw5Ax9VrFwPcaT1c4/hemIm7P/hJuLG6Rth++sqlslEexHNM&#10;vvxyWe/6ooxhFOzr7lvEkpSm1Bqir+UeegZhTi5eKXuAP6sM3nz77ViDrnGtJAVW3fUvhZgESdaJ&#10;8HOPM4PCY7+6X4ZCTuVfi9d4LQVUDaZMliSr4j0TorkVuAxIZmT0xZbx/gwA6AUpvYB057GCbh3h&#10;KWO6C2iSGenlOUyddRv3qpQb0fal1MxQRPUL5V4je/KjdFmcnN8Ix68Cjvp3Bg03MjQDS+pV6psI&#10;sGvs4ZNvT92+ATV5z8aLHiJWSj6t7OOyhhIe+/brZerrr4fr74C/e3Qzc+3eTYJVHy+Xh+dgBFtj&#10;Zfw5gDoum3HcGTNff7N0nZsoNyewKBnDqUnkIKXB20Rq7pAKe+4//suRJdEx1E2BqXbZINC49wrM&#10;F6Jqm/vOnXslaj/oMkmImdJfdaLBo87aY33O/LXvcF2YEtq0TgbgPhr4KcKynwyQvTLDe5SYMRz8&#10;DMNIDMyg/Oi3RZ7lKfP1ED8SOzDExcMdG6m2ydhUxZl3V/GnwVFziiIKL6mAYIkFFTGIqY5StQSm&#10;SDdWAgddfQaKN8GUvHcL9j2ZEOtMqAsbBiLcTwEaBAvp+gwWw4tGgkHqAsHIMzeJ+i2zkZQp+6zZ&#10;bUDE7PAE91TGdhEEOR4lqR3DnOu7mc3B+wrIBcyuBdeFx7nWahZH7quUOrnu6ln31EjWrvckCNpK&#10;wVG8jWu5VmtZebf4zj0xkgEz+aGfgXAN+owDw6NlhFgL72EFTV+t2FMi+pd/di4COBCfCyFo/WQm&#10;Io+egT90Uxx9yVEWuYHTdJhKO4oBafmHQMhArEA0djjCV6q1n4U9hGC1kpm+ZzvawEL9LEbQhy84&#10;DY4Gm5wKQosYCtvTgvolTebSZBmYnEOQni0DQ+PUtp8JS3lzEUTHw2TmC+zH4HC5hEW6C5jYw60x&#10;c/YygSw9Zf7pQhmaul6ee50gIpTqsZuXGGxjCufRLsiQ4COU/fNfe71cp6jKDgGJ97H4zj1/tZwl&#10;N/s+Qrb9FCtIf5soHEZkl/Y9/vx2ufzaq2xvPRER7Qfc9+7dz2BP3IVzgMqdmTlhHAQhumUAd8Hc&#10;iy+UPqKlv3j3nRiLG2/9Upk7e6Ws3oe9IF6gGwS6z2RzwktNjhJrsQ2LtAsT0o9l2oHy3l5km3a3&#10;GQZYHRE06WcGIPYTFHXtl79VtrF0D5k82OGkZmFN0q4l8oiHUND7G8tYnptl4CqZOlizy2TtRBlf&#10;LYzoDwQACFbU3MLSmL54uUzfeB4AxI6H+FXXWQyPb39RNtm2emR4nAmL1eKcQBn3QY0NQ2+fYSGO&#10;mpeMld5PFklfRChT3MQtmT2O+dOHe2GCv8cvXSy3cQPMMbZPPv+0tFdXyvBFrG7mT6uTlGTacu0b&#10;v1z65s6hjEaM7kHGsPAerJaFpUdQrZuUNCYY9PzVMnjtFfrDjlnEwp5kPsAIAETbo+Pl8ac32XDJ&#10;Ajn9WB9W22NuWwvBaGf6yAUlY+GYhFWD0ly996DMobSHz05S2dDCbPieod+fPHhY1m59hv8T1wsu&#10;j04A1i5Ke8ssJL7v0zrk2UbOnisTALJlXCUbgJ3rRLx3Sh+yTkYp/DbIPMjsniNy/c+Ux7Rncwnv&#10;MIv2gAEWvHQfAhKIC1mFFdMyENAap9FleWlieGTdepj3vWMTZceKdrhK+rjvKGDneAl/9jIK17LC&#10;urJwW+0cslU5Y9YWzDCvbF+L6/lSiEmjVmBgoFdV9nWvjLoXRnVxOO8VUB6rgPIafna6kI2CqG4H&#10;biClxxjoVeOqvLfHKAiNz/GYUZigEeZ+F1S9L2MlIsLc4lW4CRcW5hGga/w9R8hT1qIxQCxZgkZe&#10;pfY5eTXks7xo89kp5d9QDxGT4qoNANAoI0Vto5QSaDSsgQolfB1VY+Xxvvwotpf2fSggJdSzdvku&#10;AofjtzR0c784vvH3I2NW+dlhb3ANYrcp30CDU2KB41GHIz1laPpMWQIEtAEBxkzvE4TVfmES+W1w&#10;JoCBnykqRnbDAnQiQygiGfsVbbE9qeDAiooaeIavHZilx2fS+0ouljzyKFPfdcMe6kLTWIx0YtrD&#10;eUDrsuz3yI0WlYnbKNdtdEm411xLtEN68AiW8CltOcTiE6TvywDQP4TgRaaFe5yQZJJnhUsuO7GO&#10;kIotqnCGOz2BwMn3cVA6OiInIN7JOKTbwzabkimoi+bwWQRTyn7QNjM8LAkfKZ7BVGRw7UnQf3Od&#10;qnBjvjZWqNdPmZEOMl/hakHPrRD0bkbQ6MgUABh3QkeWla6BjjVg0QwN19lp1sH14rGyDbXug+Ch&#10;ZmbU9TeEoalbMOOGOsO9WDfMil7ROETGeK4AQ5BgGnZkgQTgit2uYi22YES7YI1cxwPIlNjdWTYE&#10;VsVXbPpQ857t85jOBuzwK6pAChgigFL6s8HGIrBYTzn5/RW7JkYpUgFERlE7wOHa8KZ2Jp8NE4A2&#10;hgDYozMj00I0pWsjUsco72nWQ+x4CL40La9GzMea5LFkNJgYq7fwxej7wYqb/2g1gihbBHBsYe23&#10;11dOAsFMkYS2gIFYw6d0pwyjMMdAUxvzKEmo4/sbVMwbG8h8caNdaan5HUf4Yvf5GTl/Br8VebFY&#10;M91QwyuP7pUHq0/wOw1Hjm+fC0g/Gc8+eYbgSQulGI4K0uxBcXXgNujjWV65gQKkjUs37xIh/SSs&#10;VSnJwTMz5dxrb/C8HeXR+x+U3uVH4a9a+ewm1uNbZRTlss6iba9ArbvM6J82FP/e7XvkTfM3QZBj&#10;+C23UbKL779DQS8C+1gxpoz20x+6JaTq7+PmOGaSDBMnYPBhJ+2aIsfcOJV+lMYBrEw3n3XjOtkl&#10;fzl2xosUTfe9kCFiVYOSW2Ri9AA+Vh7glmByjROY+eTRnbJLgOtzr71W7tz+tBwTz9Ehc+X217Rk&#10;DAuaTi+zM/g/r1wr92AjulEEox1zCLyx0nP2fBnm2vOAhe7RpzBGfM5iuf7ya7kRHJKpvbJYbv7R&#10;9wmaXSYMA+BBvMDl17/OzrA75cGnH5fOwdFy8fob5QlsSwcCboBgu2MixMYAlR2wF+tU81Ou9xFP&#10;sU8sSZsqfGfpi32CPgVNmitWKXQG9xnVLF3HImlh5XZjqRmQZbCagsydGvtkDziBvb5C0LujZq8L&#10;y/lKn5+9/lKZeuO1soll/CKA7pD50yNFj6IeusAGO8x//Zd9uLf6ATAgoagNMk+w252PPylzuClk&#10;1O7deVCOFnhm5n4fYGKQPV+O6JNVhO4hUevbVCPsJXhVgd7JeEuX7hEbNAz4EiD0IYguTeE+4Nmn&#10;YDl6AV/zZBi5bmaJ4xi9AkMDG7IPY3Mo68LamGGm6dqYu/Fy+YSnqQVpFFS1omTdJEvLaoY5GvvD&#10;GH1+yooXFNRiVMqDmu5ZYx+UHYIQ17vXqHEVtShVDXL0OO+jfAhBHTSqAo7x0DUUxYRy++NhmJpu&#10;g/AIng7xpiLjPGXblzIfnuGERsSfYiNOgY20ZVLx5Pn53lcE91XWIRTds5iIUDamijb3OSlKpSLx&#10;XH5nDFr6ovOdN8sMm7iv12z6U4vao9poTJkSGeQtAQjPF9tUU5PBMtQ4K0MhO9fn0IzG13RgvLQA&#10;oG6+2wY09EK5jXDspBsSSq45563miCzbpct8Th2uHWY5cV+DD9N4yzbt8ZMplLITuccFUU7IbiNy&#10;uR4PuEG7NtXntKGPm6hRHBFBh0CjBSKxbpAPaibYvlViBQ9cN/aL8T783mMN7DX6pVHh2VGhwNMF&#10;byxaFOULQHbqh7+F4uovg/wjqyPOy021dvhslxvpijF1NCtfZkxD+9hYAccic+JOXF7eRjDTzJo6&#10;F/KDHLvkzvOVAdHN/FGncQ/B8DiuyUGzHJBVUSHX+EHuXTMsnMun3RaVqfOaAgvXnwDd6pF1bxnP&#10;r+xEPa4yGJFRST8/21MjgUTds0Pw7ntJha4eGfY0mJxIe4DzYQzidFcSD8G6PtkKgBtRmC20cyLf&#10;mMyZK26+fa6lbJiLIHYA1KXg4LgvQbgysqOy0mSObwR0ZO3cjHmIhZDXcB8FAzUFKDtWntQXzf0M&#10;DjNYTybCtC0RW6VKjQ6t7g5/dyLU180mWCENzEnArIyJxF2cgN3MlE4EKxoAahPXAwFAB+ufssDI&#10;bYVev0dRlKM2mQvkk7fplE1qlWvltYiTMM0z/KoWVxLUYLE9IhjSB+tEwWLElmP8w5tLy7F73BGW&#10;5qExGmZeLC6VLSxDqb+I9FbBIPC6pchNSXRC79E3pGCpCCy2dUh65aP3fsIAZvrgCLXPe017xae7&#10;8P5PyP8lWOwAqlilpstHgcFy6KV9/VgZO4fbZfGjn5YdaPRh0xJxIZiW1atvjuAg/W/uUXBEAOn0&#10;0JgzsPRBq3fsQZ1j1Q9CoQ3x3PsPsfgYr8VPPyl9k2fKjddfxz2AewFFZGbFkcr6hz8K9uWIeIuD&#10;bfpmBt+bOyUO95endz8vY9ujRHefo5cN9tiDJWH3UoI4J3GB7LgxGMzPFBXtLnz9tUC7c7x33lwg&#10;FmSE57r7wz8qZy+fL4NmgTx4VLZgLC7zvptnsnTt7sKDiNEZHZ0pKwRpjTPPHnx+swwRYDmJu6ST&#10;57j+y79CoOxWecq1tknBncdlMUz+u2mrO3vMxR2EA2Cpq2OvLNx/VHZY0J2WcGf+yLiY9jVo3rTl&#10;md2CV0pUKyvmlTX4SQfmXAXOIHPZDcYUJFGZESl9wKBTWb1srlBIBkasc5pqclrh9HMn1xNsrpCF&#10;MmUmg7URGJvbP32vnGf+7AA41ghcHYRp6gNoawXt4jYyW6eDdNc2oGFqapyJSCCtvlHAwqUb19nb&#10;AdeIEdDMgUPdZbgyJi4SwGm9lsMNnmeq3H7nvTJEP5+FjVgzbRHGwTiaQXzpwKSIHTDIuXSTLeS6&#10;lv6eJYB4MYuM1XUeohIBkDvtWtAqty72dTpP3bVbP79AFpFAoTIYWlOeJ12r4DpdKa+6Per2355X&#10;8+THSdPe2iIwkPWnpdVjWm9I8SyaYzS0IKKH4J8FsgdMDXZ+6f6I9p+I9pRZp18nyucr4CLo7zg3&#10;FVuo9xRnCSCa9wEyFFPN98coaBVXggzPScUScjbARp4fVzzVlngb7tEESaaMx1FeP/Yx0n2qTOYI&#10;1riZdMPGp6GIhgSajN0WQlBnmSUkdrBcdmQOmMFW4RRcxD7HzJNwATRK0foZNjD2uzA2oinKZByA&#10;bICsQNiQDQgCs0DxZ6aQgYbxE5JJIIAss8iTVj4/6ypjTozMoqZ/rE9T9U4UaLJSa9MlPrvMwK6g&#10;h3a7Z5P1aKT9s+/VJWnU2l/JhCQIjNC66FN+B+rRThYYZIpm7rGRbd/hjTt4Bqjw/nFt3XsGHlui&#10;oI7Ys/mv7stihs3sCUDzDLrE9gP1Iw/xouEity2Zxvzc88iqLty8MAVjLdaCHR/K1qDi7QDbHldj&#10;G04YBC5Viz8JtD1OORAxi8iWChL87drzWEvRu9bqtSp74dyqG2tltgeAkIrScT1Ko3cgY+xDM3Ak&#10;AQaQsa7pbtac7lPrUlS3X1RjfkbPJJIKP3+zsVHkwTd+lsi5DvCQceXV9xf9eAq95/vEYlnMJnoz&#10;zlNA2adGGveavmYQXU69BqygcFkZB6ImBIgNF2gkUsu9OHx18RDjz19DV+2V8/hhO63rzzFrNz/F&#10;V/4gUhnHSOl89MXNskcAYY+sBhNqDxr94kuvYHUelps/+j5ZGXSaHnY6cpbAvgf3HpY5gtq2oHc2&#10;793FYtxhcUD9XSWDwgUMz2Zsx+rde7QdfxSswSx1KoaxEB+890k5ItgNRrAcEqcwh0ujAyUjIDvY&#10;XSeVEqaBbdbbWMnDsAd9CNMnX9xl1cIAEKg3/RIBhKSmtVG4vZb/terjo9uOZNRjKACMPSwGQcD2&#10;E+pVrKEAoSI7cR8MgBRbsCBRb5SAmUOCHbtiYzMEyPAAGRIvl0PO04oYAWA9po8G7UMEs31vpH+E&#10;e6KIdrbom53Nso/imrz+fBkn/uIxwXYr926WQTMPUHDGZczicpBGnwIotLjXyn2eBcU2OHMel0dP&#10;GZkmCAtKvG9yHIsZnxruovb2elmEtZievsiudltlYpwqqQtPyvrSIpHnZKLAEF0lHmR8fLY8xAqP&#10;HWZ1wHbgK6fClIp4/OK1UmBAWjzH0PSFMmHZV2g2UfRT6Luup4/ZfIwgUPy8W4zzOGzNIEGXshbd&#10;gMY29L0M271/9nv8LZLOuRxWoEXQCMzsoG9GTO/V98/CctZJ6fadIV4Bi74FgyQTZPRyF8CmH8t9&#10;nPTiXuboHs+wuURt/MeDFJLBX4+PehLGYwMBoRA/wJ3QewYQ4W6pKDy3+5bpEdBdn36TGJqJTPtj&#10;rl9+jrK/lDD+iKh4a2FsPSHa/oPPuWcPDNbLEeeyQzzLETEds8w1CcNxUm+HpmfLxgpjCAgZvkZO&#10;Od9bs6TF2PUgIIZxAR1w3Zvkg++BevcIMG7D0r38y3+hfP6D7+ESWYOB44Evfu2EdUzfL8HDWEGu&#10;cdmDChYqQKiFp2o+u8Iu/KcaDo1w89hMA8+tiatgq8Kybhdec95d71Gdj/MFHIICj7EORYv5v0MQ&#10;eDAkzMW2ab2sP9NE3c1WFsLAylTEKZN8VQvf91VJ5y6N/HVyWCqL5F8b5RAgXgVlBkweH0Cj0Tda&#10;qVE3tEknzY3YkRtxEEDVcQ1AkO7iVHh5T+9lkbW6e2aYYY0xphI2zVCjoDdYKX4k6RjvPi6od7kv&#10;AIZtMxYKOcF1TWF3m6ZeU51Vzp6gCwI2UfeE0s9+kZGI4Ekav805WzB1XfgtDEbe0N2ggYgW9ln2&#10;YR62dPvyjBau02gx9fHQmALjM4L91OUBgKOftpPvjgJZFpizCOChwfWx8TN9IoMhyPAhIuAeZcba&#10;sNZDbCgoWOFYbIDoQ7PKJNuDnVFGYqSZ4RRl4qMjYVYFDmSN+CwkogqXmBvq9DwvKl3G8zA+utXV&#10;aW4aJmgJsBMaLlmHGB4ZDXVjxluID2t2TmAEYZKfx/v8X/yOg/xUYJ5AW4XfN9SJ8YoxwjruQt8p&#10;u2oNB9eE60OQIDh2eugeln3aZT4bIqASdw2q9LeazfHqLpuCg1qgrZbDzvgH2MYmA8QsOlmmrEkh&#10;Y8ccgTF1n6MsV0+/mlaPoZTMYFPewXgLYst0I3ZgTPmKnKcmdjXTYmI4YQxc+HSuW+omxZL1/e0Y&#10;I7qjX4K5NfYgyz4H3c6xUdgvGbrwqxgLYa/HABlQZkGrJo+3i+IiMtZezo50NWiJy0wcsPmXVRgV&#10;+KKqtjuGBuToRDFcLt3niCA2eApFvovijVLAsygMPpu4do1a+gvl/FsUQFlfKk/e/xC6uKdceOGV&#10;KL6i2+TiL32nLOPH3ybzYhz/eOfAWJm4SqaDqYE6ErnXAVkDZ0k1HJq9hAL2+YlOZZm4JA9JFT13&#10;+VoZuHyVtlIe+Fsois8/KdsE73X0DlIrYqY8oKhVi0lzfpZoewILxwE8PXNXSFG9hN9tt8zMUZ0N&#10;EGGA3fHMBSjHpIUPABt9uA6O3OmNzVo6x+fK8MtvlPU7X5Re2of2pvDTu9DVU2Xs2gtYoLQq/FxE&#10;Th9slfvL1KNgwrVMVeJZF1CsG8R0TF+4DBuzQzrodtmgnRdefS0KSO1D/3ZA3U/yfRcAwY1bjs3B&#10;JxBzF4CwA1gbwood8L1ZI9apACQYZxJpRfhgN03/5FlHAA2DpCEOINHukX55YCqi+5owhw65zsrN&#10;O2W2j+InMBPTg1fKyt1b5SnxAWeef4GxmQ2B3Ysb4urXv1W6UORn3wB48V0LwLd074uozmfcAoEH&#10;jCc73937GJDzUZl7/VcjU2VwaqbsfPFhzGF9/FrpOyjFQzJhjgAu20iTaWIPdKu3mOO9bfquk0hl&#10;JEvXwGgZPDcXvuB+4gk6UaydgI8QHMzNueeul8lX3yDoTEBMDAN+fgWKgUqjgLl+5sL9H/6wHN0k&#10;LgFhMIB74dEydSk2dBJYCRUXgy4SfnQpdALUBGODZHmYurl292G5c+v90o37p4d1Y8GuDmJVOgWa&#10;jLFA2C3hIxuBdMYu02GpGCh4wNkQDMosKXb9sCngwAhC7SPuZOrai2XU9FnvqZ+T7jsa6ClnX3gN&#10;gZrbC2/CzHXaNuunLCw19f9hVYgjChq7KYvruhigZHKsN/pABS8AqEFfyoD6mYKuujnqFuGmgQpE&#10;3JK47hZYXRfVXaKPNoIEFbjNVuB1o7+oNcNzLuNbfrI8Dzszg68WABFZD4KTzBzrZ7fKTkDapmlr&#10;dIUJbvUVbpCGAajkc7oeUtlXpsCS2J7l+jZQ27gDZaDKsY9JsR1VfJFd/G2cgBu+bZsopDuPc7cJ&#10;NjAV3CwEXQUjWOgaUHvGmqG3pM+NNTNYvQdlPGQQH1SWe0NYUIos8WCiZMp0aw5xf5VZN5puGIW/&#10;wv1Vzl1RERdWQOUlE8u/Ve4xhOYVjGz37gQr0TrC2OI5DgmmPTwElAaYY94zp/axvvfoOzMSgruh&#10;rRpO27Q3QIT1GAJ4AI0ERLTF4HoDw7fpT3drMfjTZ/I1oStCV0EE5TMenDyFb+Kh2RhqXAOrZfQI&#10;eli2EjEPe5aChys80EPWbIu5u+NmXqQcTnP4PLE//Xw2cEBpcwJBVtmy/ghFtnzQXdZBVBo43SgT&#10;Dc1NnnWUmJgB5NPjPkp9W+OVe+0QkzaEETFLzEMbX+QmhksvFKMgZJP2tZAFgorlAQw5mOf+PXg+&#10;QPYMc39ct+rhSFnsPywLeCI2GDP7tp8xs08dq1pcKoCj+q8JunQudwF4/dGo7sEVPEZbdlbZHVdl&#10;KlhlHIz3yfTN3FjO2baBfN0kGLrTzEaAspVAfUavH4wdf7teMrA4WQkDJDXaq5dAptS2LKMXzCAc&#10;M6YLGSHyOQ7WgRmDfDFAfedgtcw/eVSmYDHGqWFkW8LL4DO43mlHjWFynGFwtcIajR/V2dTjdA4n&#10;BMMVD2+p44z6jDTOYCfS/RE3CAiWqS0e5/G+6t9ePnxFukKsK4GQOWSAnFpWW3QyiZCSisrrugAT&#10;AXKelBAd0BkdZ9ER/P1Q10MAhjaDYspgC9pfv3ULgT9HIap9BrgbGreNtTp2gaAr/OBmIgzin193&#10;kBDmgyjjOejP+x9+VMavXA3abg9QY/7sMYistwEn7oY2OIcAoENXsf631on+pvXD186WYeoFHHcj&#10;zKnaZmrkJAF1Lpr9DaLIoZQGsZC7YD+Qz7gEqHj5+CmxAcRNyPjTJpXuFlkRe1zz4uUbCHKQIM8v&#10;S2Oq6j7W5x4BOGPXX8V1AagBEGxurcLCvMzisf6BUbNYFSZlwNH1WAWUZz6kP1rbFixyHCks1TNB&#10;9TEsZfrAug9jTLZHpFsKzHZx97TN7DBa+6WXSy8uhaBivT9k9yGQ/QVYnfBVAkDu/fRtYiHO4XJK&#10;etSsi8EL58tzv/Qmpcf1J+LjhKpbevKQNMSFskoK7TQ1+cuc+xMTFDmsZSx0pc6FMS4orn4otMm5&#10;S2WEjJioeU+7R65dhVYlKwT3RRcV8OAfifgG/RJrYnaFk/DRp7hXCFrtpo+7CPicAuwd3L8Z71vw&#10;uL2tAZ6fOv3EabSpg3HUBpwxl3p78J1bo8JNRtxlU+nXTbrV81eYW6OUCn5UZqfOlBEyHDYJfuxH&#10;6PYybxdv3ywLCLVzr72OcukqCxRuMbNjDpfNAizWPvEGxm+YGN5mHelWkzE5hp8VMOzbBcMARZ7H&#10;ksEyOs8DdNtsj7388EF58PEHANeNcoF02R6A5OeffkaxnXXiVlhjKJtJUmgHL14o87A+2BUUN5ti&#10;zREbxLw4JqhVxa7Q6bReQ/9YrJ0d5tmZF74WcRuHMDX9zBMVkYBmlDoafRdfCL/009ufc88eFPI4&#10;Vi+bJmGN+lI+uNmPIF83wujoRGN6Z+CjGqICB4WLn9VI8ROt3axrraQalOn7yj5Un2/13WqVaWVZ&#10;Ma+yFvVa/m3xM4WkW4bru43CWHyuZWtZ/HDHKlcA51KyYRw10f2hH3UzBBPgF2ENnbgVslBemlO7&#10;XhMZaPUMFeJmVExV+XWhxGA+uccA/WkaoqQBuzxHhJ4UvDtlTjMeoyAQAcxTwQE/oxwypiKPgOzc&#10;C0UsErK0hzocAP9ed+bluEGZBeaS5ouF5XRfdAIkY/vnGvTOMbraTIDU9SjY6WJdb/Jmn0U7gdyw&#10;PgGSElceF6DvZHkPjnCnce915rYBmIKQHkDHGB9OIBN2zCQChLUIqtumPWZbbHPNPWiGEWTZ9BLt&#10;JIX06RjuTFzRXst9WoaRS3OcM/rZIzKjYI7YTlzw0UlszxBu0L6r58pj6rn0sZ4HP7uHS42UUgJm&#10;BYAdn8DWYiT0Euy+QA9sECQ+sbRTrpCefJ31WJ4slZG9RVgE9vtow6y29sonMKV7xH3ceLRUpgji&#10;PGJzsN5z46VNleBe5M8xgdVLFMB6jzTWzyd6yltsOHnx7fvlgEqaawShdrBz6AR6YGmsszwFoN4n&#10;A3GC5xhFl7T4PU1Bjgsw3OcwCKfHXyh3u/bKpzdmyj+fJtaKNe0eLP6znoQ6KPddaZiIMMlTj/q7&#10;svlRgh75M8x6urtwJ/TfNeLFnNsRR2FshvqOa/ZhfG0QWDzSQ1B4+NA1ozO/x0DaHsbcbLdNWEnj&#10;/86Q3RU7JEe141DiwXQewjYay9WLkWf6f6fgVVDj3lgGxcoOaWAgA8bQEWbLKcudh7rLgqwNUEhG&#10;DTIg0jx5wa7FVkehrJM+yFoRCveTYKDGAZR1IFycmW5ZfxpSL906J2BBYNGAjQADKWiiXHZDXwXD&#10;YdVBfV9QwnoqIsgylHz6qKLcqQvHhS11hVozTGfZmIjz02XZ0roAii4mofc3GHKLoip9dGQPsQcH&#10;+MdXmXhbxE90c6MtrPohwEMXi3mJFMFDagG0pKjMRzeo0N3MFAoInh1o950HS+TuE+k/caFs03n9&#10;pJMeICgPyWp4ukoWCFkJLXa7kx4attLep59GIOO5V1GGWHrde2w2Y+oNAzQONe0eHGMUntpFObYo&#10;HmAVMUw4+tutzukAJkEvSrWPRRZuHvqlG1BkMad17jt940ZZuUMgI6hzDJp+6TbWPwrYfuyJIBio&#10;d5SP1RyNWzlUoNLGuesvlF3QvbTbClkPy198WnrIAmgzKXuw4noAc50Aifmb1J8gK0W/4C71IGaf&#10;f7Ec7FEXAwXXbTS1NOjGY1wTvRTwWoPyZ4tg6PrNj9mK+CZR2aS/zj3/UrhoNnAl9TFxj1mMXViF&#10;I+zut4GiG505E4K4DSsQG11ZJ4FsmCfv/bDcpV37+OXH8KOff+VrWM595QHsy+78HaqFMh+2CHIl&#10;mEg2wonTZXGpYSzsmGA8L9UqFz+5iVVH8TCe99hYAWb5CnNgc5nCTYaaSgefYd4xx1vEGRh8u4eg&#10;6IfVOffKK7gAdssSsSHTAK5zbId8i4j/1tojEDsBwVgQ0yjxAQJr7966S7rqJP2wgaLeBgRNlUek&#10;le7yvB1mkaDgBgBuLwlmya92flki9iyBo8Omv1rAhCF/TB2NIeNWuMYUWS/nL1P7AnCpD/hrAK7V&#10;D9l/gEDbLlw6GwjtDtpsnNA2sSmHT1FeWBIb1PBYo7aIaZ7rN++jnKeYb6R9Mt7rFOi6/OLrQdc+&#10;/QiGxg3GjJ3AtfOQYNVpFIyW7t3f//1ylecdRoAswg71yF9Ht+YmWWk0cF+Cd90AS2Ud264zllXp&#10;W++/ppj5mYKm1pKoQZQ1zVO3hm4J6dIKIuqOgbUqX61+mWmfwWeHv3cPJdVv5VKUzBYuG681DJMj&#10;MLKm8iHr0XiScIOG3zuY8pNXQISYNGll+b8q7wJcCDL4WDa0n3k/hnzeQ5AusUWAPvHBZaKFpOOx&#10;SPthIBA1EZyt62AQnNtlobYZamqQJ9i3gcIfB4YYvKsM2cbgom+MaeliLA2uW7n/hDRHANEkjMQa&#10;vAly7FD3Ly6FqNKIYpa9NQDxiHXemiFIF/A6yHzXbXlw+0m4U+feeKkMYey08L11j7FGAcaP/+h+&#10;OdqlJgzKaOiF18vyp58zx9lyu2ukDMxdKN2X2TODWLHW07VyBlag//FaufO9t6nbcA3XITt5Wh20&#10;f7h0XCCAm90/D/TnMjV6PqBIFAWmhv/WXy4rMAFa84Kr8fWdMvLjT8oQ24lPTONvv+F24jzDZ7eI&#10;G6Mc/2/8ahn45W+Ws2s80+/8pEx883p5TD+NYsqP3PogmKSt9kD50CJiZNzNvP+gTPzWPysXvv2d&#10;8uif/xAAhswbJ5tpe6Dc310sy/+z3yiH7PVx9Y9uljfYA8rspE42Edu881kZJFOr8/ZiuYUxsfcb&#10;3y6buBdfQka/9KMvACRPSs/F6+Xpk4My1LWN4bVVvphkN+vLuFM/flImkXM7yOURxv/85x+UKQyI&#10;o3O3AV2d5Wr/r5RP1AkhvnAEk+kSsRqCpQZAhCld2a5EEsEaJKOfBrt1TmQXXDM7uK3debO+IqWa&#10;zwwBuIzxsAlbvI3MjbUAjep8dj1GCjPHnoOZV3+tm2WHTNfuCJeHQJrrCCoGMXQz3mKdeMEd1p7R&#10;MqnLdyxVz7rpYaz7DdA2PiKYs9zP1ra6PlFK6eLI5UOCA4MfJXp9xsjEIH9bqhQr6WTr5cZ3Fymb&#10;QQOaBmpwZVa9CxARCzxfkWYkMLFHBRX+C19WZmgEYPF8O9TKiS4KBGrET3RYTENflzA9abzYiVCf&#10;Fii4bblkLGDv0KuFCYLUV7yKcpoA0boPxjCuhO6uPoQn6Ybk0+tP0kI6QuCcw9LdNHAR6/0MhVFM&#10;81x7Os++GwQBQin3uNAGaTuLd9N9H1hA05fZaIZ2tPWNbx2XJ2RG9B3hQuF9i8nfa1R0LwuX6+qK&#10;OWRS9YHUHpHNMTV2Nkp7L8A2TFFoaBVrtYN4hOHz1wKjmubZhWVhGk0L5Rn7P0gxGamLBWKch3t1&#10;rD65S0XGKxFRPDADa0K9i+2Fu2Gt9g0g9NkFb3Lc4Ev5HQtLQW6j9FSg7T1o35/+sOzBJsxQW2Dj&#10;6X3mQVc5T1qpJcSHSefrfP2t8vTDd8o+SlCEum8a7sxZBCY+ZZTQ2gfvQNeCXFksnZQTXrKYFAzJ&#10;OJYwgQ5l5dbHJmgxwNBr1EQ4MsraSF+ERw85sAfLi+U+RbB6iE2YnUMYAQq6pM1ZoNK50AxRLKun&#10;fxQAcYmiU9cBd1KmZFEQrLkEeNhFkVpuvaub4DkURg8AYnb49bI9Ooskpx9HKCZGPEI3rp9+0t8O&#10;vqBcNoyDFP0ZxvAY0KWVGKhbbzAAzSJqnS4WGKMz3/gWtS/mytL3/oCgyAUA5N1y7k2EHdUxn/zo&#10;e5FxcumNN8vw1esERW2XS7AUluAeO+C6upKYZy/86nfLF79HUR/A5vk3v85IdMW2zMYwuKgHufc2&#10;AHSeObwH4DoGuD189/1yhbmpiwI6KQpiCSJcuKZE76Bo9okHOTTbBcXfohDP+UtXYm+RFQCc6Y4j&#10;U1S5JKGjjVtok6yjHhg1K4b2ABZ2qN7ZRjiYxWCsz7DkC/PUfuiyhr6pz2ZowLJt4h7oo2BNh0Vx&#10;uJcvK9hNkNobWVOsL32ma2SFpMuClF2AQK37UFO89ecKEHRxCBpC+PCqG2l5LQWRNKzxE17r9A6h&#10;NfVTAXb6OsZDuO+GICZiKZgPNRd+HSBhmmsYADyXufdSv4eMefjDTRsIsyqpY99HwLgsZ8Oy2kYB&#10;VtDLwThgdVGhcfOf4w4FFJ59jXXLGlz4Bz8oMy+R6v0W64lxkUnY+cGnsQePVXM/+d3fLc//5V+G&#10;uXrI+lkv1//Gr5eelZ3y5Hd/VB6QobU/MYxSfIvqulvQw33lp//098rrf/3PE/Z0qWyx9fad/+4P&#10;YDc6SCd/vmzeXSjrDxfY9ZtUX1jRvq8/V178K79aNn/3p2Wba/WMQUHfXyyLxBAdvv+wHBHofLSw&#10;XuZ+5U1crTPlzv/jH5UzU4Nlk8y1gb9KtoTr6PHtMsA6WWndKdf+xl/FmMLd970fszU3lS+JprwI&#10;MN/7/Q8xyH63jF7FQn7rzbI7CYCEYd8CtA4A4noBBC22FzhAiS1Cza+K6+mvFV0QsIUUVS69KOrj&#10;QXNGkMv35llvA+Ue8+sWcSyjVK68jjF45t31MvB0izbvY/VTbRgfytKdpXLmjZfLwBsEOVMgq5tK&#10;rrtPoOB3YBu6ce2xZekxdRYWydYybm24TRntx2Q9sPlYBwCO0HvcJACWzlVY0TtldLOvXFl4nb6h&#10;murbPy0XkP2bbu72+aPS8/VXYP9wkbxNUHkfmWIAqStUkrwIsOplK4RO3CVD7MnSwecL1NhYvHi2&#10;3KWaKhxUgIddxr/bTeMsry+tlORcU2U5cYSqsA0bIElf2QFB9jEul3EypgwSXsPd7Fx3PgvYs9YD&#10;NYxM60Q2KA/dbmGVOdAD8xqFBCNukHsDGgQzLVxFm2YWsrZlHQwH2EePyaYNwnpoaIWrjLg890Ra&#10;I35OIL6Hq9h79eEmdAuFQ2KLjjEAtzDC+wC73sPMDJkLd149IqC/ehxaI4IFH1hKUuHCahgmKA42&#10;OGIR3I7YbI3uqBaWwY2iHy3r6BnOTyYxQURmaXBNgQC/zRJs1m0DJqRFjJixhgCAgIcKSCC4sPNl&#10;KlzAKk+uYZ14rekoSevtGCh9xVPnL4CmzYcnytzCU6DXbvf2wG/XTcpcC6utizTALpRpD59hl3Nt&#10;hA5Beq1OAufI5T8mx8gqgXZGN50+hD99ExCjb1WBP2pkK8p24vpVZDs1DrjPmtY3+24cI8DXibno&#10;J7VQ5XLoJETQjhLR/tT0JRT4JFakXIp+pukWipo0zAOqy5E/SPW3sbIHyBibeJmAIZ6ftnQerAF8&#10;cFVQ7OmYhRBxJigmN6sZIsq//wxxFFDbvRMU9CEQc3Xpfvq3iYEY56AOqhGaZaKRrlAT1AT1S+Dd&#10;1t2bFIv6Vky+foLq5m6cN7qrPPjJj8oMaayDAIxVlG0IWAEax1x/6+tY09Nl6/Z9gBJzI1J3GVCt&#10;ow0AQB8TXAGsP1b/pj55Jlk3P+Z6S7taM/4QS36DxbKLn230pdejQt3jh3ei34SvpmE5NoPU67/w&#10;3b8K1ztbDnAJPPng9yMH/Owb3yhzv/TdskcMxjJpsH2khXbTLztka1i2euQi/cWC2VkkewNmoH/2&#10;m+UQULP3+AHjywJEcC3c/Kh0PkRA0qYj6lpMA0w6AWBagscAvrk3vk01vpfLGkzI1qP7ZZSIsU0C&#10;STdhBWYBWwMsrIdvfx/h9gmVHx+waRnUIDUXZl5+LlxRy9S/t5LdBaz4fWJD+qnut88zPCZdc5Hn&#10;vvQmrh6e9OFnnxF0uVJGmUPnrl0qdwkAPbZuiG45BMKjDz4sdz78gHidX4qxuP/2+2xOxEKHrh0c&#10;HShrzNte5rdz/gBBPsyibxEQ1Us8Rg+s0DwCfXOdol8INqPsdxD4Z3ET6VI5YFGPkMWys4G7ZWc5&#10;LFrLs5uREcG33/kVrBHmH+6jPvaNaW9yHC+DFIOFENhaOZV1a1Cj1sz2DswS8USmiNUiQDVVTSAh&#10;SHiEy0fAIEtx+uVaFyx4jMJTtsO/n0WQS60C7qXVASOW/XWzt2ECX6Vcw+3ZuCH0JS8jhB8AogYB&#10;5JE+x7oSLJkmHMTViZ2jsZJSKdlRo/FDJIVIyzT1gBOllxSBnfdulc1/+Eexdg5++jHxWOw38Xso&#10;8I/Z8+AH1Kf5979JCjgA6+/+PgBxvjxhs6vO+7fL/L2nFApbC/r3CcGys19/KZibvfduouC/XoaJ&#10;zH8KG7rBmu57CChfhkWS1RghBXgRV9WFWVJ9Xy6bq6Tyfjpfrnzn5fLwH/1OFARbQ94t/vBWGdsB&#10;pBNVPzxN7RGKvCkfhim+9t4T4nLYgnsGUNyBa3US6t0API2JDsB83+piBHlPEe+1zlqeGiEO7IDn&#10;YxuE9jSVU92Ykf7s2cJwADDK9N7BZfEhlVBdtaM87zHBw60lquOSMr6JS+PBoNsi7JenPOMlyrFf&#10;nyJAcJ1zLbrGOW2qDB9j6G0AIuaP+8qnyL/h9fky9s7nZWSX9MGOcQI6Ceoj3uo8hsE9WJZ1wO3Y&#10;zDjs2AD++b6yCLOyvPoYucteKTtkF3FfC/itsi46YB8Nge6a6y/LGD7jyKdtlGFvC6CNHJ/b4/5/&#10;eLdMfnK3rP3mlfJw7EJZefsWtYb4fp81yzhtPXelfDSJiwOPXcsaLmTbtbvGywGxYgsYRY9/9dvl&#10;e1emymIn8QzIQnXnjoWCYO2G0REHBtGrTHP6NDov9asgtlcjmH+5Bw1p9oOAJJlFUK51VIwV8qeu&#10;tx7kue7xHYopHu0TZHlIoD9r5TGZX30E708i7wTLh2bLWZqBSW5Z7S1Y16e0X5f6HC78Qdh6dZTj&#10;kFkrGD301TLVdDdhL0f4PtZwFBUhs8z203e7AIcF3D/qbAOp+5izR8SXZZ2IrNXS6kXYxP4cCnOs&#10;VhV0FH00ctyV1QCEWvbSk7IOfkCGRAhS0xaTirTQ6tNpAqqkXBRAWqVB97jrm54OffUen6mguWhp&#10;i1t96mNCg5rLG4jOADlQl5aTkbk9Uj8UVtomA8HgtD46Xxr/KShzm0yMA6yoLujivV12SFsBRfGd&#10;wUlonLJ4892IKva+BtUd7xBMRme2jNqn4qKW4RI+/mBhoNh7mcQrNz+LAJgtkJzpjIYerz28y3Wx&#10;yD77JOjvTRTGKG4S/f3d1KlY/tR9J2ivzyMrQPtb0FGDXK8L14r7RxgsdzCEIoMNaR1IJRG9Dzrt&#10;ABDsgISZcdCkDjoLY5fyxQQPHrNQkBmRXjqCUjhiohx99APMA1AjiqUfhar/tYdJadqpiXvdgDBK&#10;k7LYH5UlhPEB2RArtPEAK7bQj8tLLCqKXqn0eizMY041FvHGk/ulyy1kscodJQNtgacRPd1CyR4x&#10;oTfcDRXkG2mGAj/67YC01X23vnYd8fe2qbjUgRj2fCb3GrUkNp8+IbV0HCRO4CDPZAzILmmoG9Ty&#10;2P7847KNP7OTZzuGJ36A2+PsG78SyLiHIMJDANEBimmPqouHCKYDIp21pA5gY7pf/QZUL/UvULwd&#10;PP8x37t9dgdsU889aFzmxijAoJuiTfrN+4z/QTEJPvYAO0vW2oAJMFDSzbSevP/TcjncUUlBW/10&#10;+jxMy3mySphjHTAd/VDcE7gtOsw+wK1g4a4jgMR95tE+Li8DSlugoT5KYO9e2gdAXKDCJRlFuCa2&#10;uf8MpX4N5jS1+TqKXGamn+wPo8j7oGEPSB1eY44MDoyT+vqQkhsoH+IXHr3LfICpuPr1bzCG5I1D&#10;0/YSTRkpoTINskyXrpWz1NvYoK/aPMcEsRwbWBbr73yf7ZnJIHoVBXiGTCEUpFTnj/7hf1vOXHm1&#10;zFJ+vd+tZn//g2j/FoDdxVhjBawMGUGQsmYILYViKv90BUSWl24E+l4wUfPXa+Gcms1VAy9lDkx5&#10;rT7h02mPyh7Pk4ZNNpRnizTHlEP6maPiHs/re92Kh0YE4uePrBAmoiE1wZYGdlCM5/sokGd/BXRI&#10;v3UGVaY8cs4dMh+GLTq2SlDu5/dhkHAlQnsPP3+p3Hr/fZioNwEvWMqrT8u1b30tgi5H516Nfpm5&#10;RMbXFw/KY7a5nnzuatl6/06Zm98pK4zdEQHekzCYg5fOl/137hKphzyxvgxuhV78+50o7M07N6kg&#10;SenqY9wNfSjKfmQpyucx87DrL75VBh6TnWPZeYwb9xTq4rmHrhOoC9OxzjzpIu5h8saL5eHHP2Cv&#10;A9i2V15iTxzkrEAXYDMPKFxCzin0Z3BVjF2gdPYodDeyaYyA3AHq2zzm+M+opfIeculzZOco7piB&#10;J2S+UKtnCCDfwt1mLNLnzAVl6twCO0jeWi4jpDKPGRQ8iHJHYLVlrLjumXfvl6nnyagim2wfsNo9&#10;TWDkAxixXrKejp+awM5YUTyP+bdOkMkIz9a5RFr5h3dxeTByxhc93IB5xLePLhkhZmKEQGRjnbrY&#10;2Kv7BQDVEOzdu+9hZFHf4Igy+C8AAmY5Bgp/iky8J8z3+1dulME782Xun/926QHsHJx5odwHjN4b&#10;gQFyx+IV5PxHD0vvG+y/A6O99nS8LCLXLIltLIvyXb1Z96UxMyW3AU8mIqMAlIkpB3VlaKCuAZpb&#10;fdsEZRN3gKG7h8GY8zpjiQTC/m080D4GhkUP77OtwCiW3Ag/neiQUQwIGZLjwyfRlj3T1pt4itiQ&#10;j2OGGLMh02AfLcNmkpJpRGEY/yJqGAx1hGWuZVExPLbxzXhuZ4c1S0XUehxgJ9BNQkcz97Yxwg4B&#10;NcHwGdwuiBjGotZaj+AeqWc6ok9rVqs/ghEyLSV21eQ7Uz7y4s2SO1lw+XcNIDHvN5Z4HBe/Mhq6&#10;4XbMqLCUs92d6XUNYNBVpFsz8nRlJNKtkZiOzyLADJBE8agWnXCAf3cFy7BDFKkLhKjl3XAHGD1v&#10;ehEsCj6cLnw7GwxO+8HNZptolQvHGMSD2b5PWeGd+Ufhh9Y2TlhFfwiQnJwM6g4KMJKIaE8E0NAP&#10;8+++zXggbOinFWjjbfvJkrAPZAT0eeqI8fG0frSMqBUwfy8Q6RB9f/jj5aib4Uw75nzHo3wOVQzK&#10;O3LvCwWjwVyrlOtew6dvMKMsCqCtS2XHT2fsCgpIQ3HufUwGAkq5H0RpXx214XIEgrRBy7z9wAKy&#10;7EGPpWMfGQh2/IjMBEGORVkUMApPrMyFt7Fm3OYdAGJd/Sgw4qCYgSNDBWJ+8u67HE8QagBF+toS&#10;4x/+lOwSGCB97wxXv6VgzaeiR3fu3Ss7AADb1wF1+eAPfg8hjaUt3EHgLPzR79F+I6OhvhEkLZin&#10;7f2HbPz1j6OYUp8RpLc+DVpuBMHOkWX3g58EC2Um0d5n72GBTZdjCoINICA71gFfH/64DOADdt8W&#10;J8/B4h024AIwruATNZUYi2jp+7AeVj9cYIMvnsXAzl7GbJeAwic/+EOCT0l10N1CzYlBwE8HTI0V&#10;OdsW9zKPGovP9bKGJbhtTA+umjbBtu7CKmpeBVBcmJpjPwvcEAzIEeO4AMNj0a9x4ncGYQr2Abvj&#10;l84GSBYAGCsyg9tmE4WwvLlU1gmu6mIL9yEW8r6buAHMTKltMf86EI6FgmQRXIx7o4NiOd0Iwgsv&#10;vMBoIoh++v2Ixxn+7l8qYzeo04H7z+JXwwTz7pG9tEHg2DZ7u5Q7pI9+4y1Smi+XO5/hN3buynbR&#10;HqlRV6HphjIHKvUxK2LCMskU+LdxCvaHVO22wMCIcu6rf1ULS0ZCAeTL2Cc/k2kYxwrSb+t1PCY2&#10;3GIe+FNLastkyH6sopxGiFfxPk4w77VFIK9uzW6Ka1lSuLpTY6tk3TauaOMcBA7eXAMiXKzp/gv+&#10;rcnVrDaSUsfqtW3mUecU5bfZNO0sBc4+f8AmazA3sy9fKEMrWPVQ25MDV0vrb/VT54OYrDsPywig&#10;dp+9EHbZs+T8v/sXyypAd2uErDLGt2x+v4zSphY7Jz/64qNy9hLZNGbfAOqHsL73v0dNj7uPSbGm&#10;au7fu0e8DHIKd8XTNrFTd5dK+x/9NMrq9+E27Hj0cTlkG++51y5iMDEfYB0OUTAdM7j26PvjR1ii&#10;gxO4HfGpUxtnaRV32RYZERsEXT5iTxSyHNbaL2Fl6wJgDjGfR4bPwkrgU6fT1gniXmRcdhFwy8Zb&#10;0VtnV4/K+Ad3Swum4irz633237j+6m65BUVuNcxry+1y/gFAiAyfQYyuXYB0W91BEOM+YP7sbSL/&#10;z1JBeAb6vZ/xMpOIdu2SGUHJo3L0YIUidENlhODF+wxWN4GSbhy4R7zA1gpBxzdeIC6MQEMYit1D&#10;9MDqZpncJgYO0bBKDZGDz9vlOmt0fQUWyw2+2DixsAfSp+dxZ4+eLdtLbH+A2bOGEXDj6tky9J/+&#10;XWK2MAr+N3+uzDNO272s/+cA1ms3qEhM5t5LV6iqSTs+4dlwTX2XfrnD/Pt4ajgABYeHUbrr9gQB&#10;HpqKJA2IiKQAMavBlJEhsUxhQvYqkWVGNoZuSwos5vsYlWg11E0fbzMvtp4+hNH8MYUJh8vILK5c&#10;QEcU4fNuxLpEPFH8S+DivNZl0uO28DGzmRP7MCoBDCzFj3zRtaez1e0HIAtkGnQQqKf22pYXcG1x&#10;HfRpH/JK+X3Enicyxn1uZGeWkJX2CkxIHxaZCsabChaM7hdNtiKw0rSP9BfmLpuiqmygDTaSUwWX&#10;e2T4X1AMifR1eQS6N8rYamg0Uqvaf7ISDNoxAscFfmStCEFHuCy0ori4kccqa6hzqcdO3AwdJvB6&#10;Y90rvDHXV4q4J0qguRmM2yZLLXGc5buhcsPaiChXpSFuC/zJAQ8i9cR7uzdIs2mKEesRhZr0fBTd&#10;sQ1eTySpCyaivgNfBm0kMFAgGTORnWIaUFZJa+uHgA6VEQiLizZ0dUm7uVmYcRcGP0KlYYF1QC12&#10;yvxEu4zMsg81nywElIWojI+IttFeYz/cAMo0Dy1g666pwDvxX8f2rhzr3idRmMZuU7kYrWvFS9+r&#10;28I1lVHqchaijcoIOQc6qXlv3bjMI7bwjX3I2HNdg3pMd8X7GnE0VThHIRaETRdjkoxVVis1d1vl&#10;Y8GuYylGP9O/zY8u6HC9ODcIQNTSDOHPRa2h0C9CA0Dp2rE6Y49sV6whxt5z9d3jitEKaEGPHm8u&#10;aMtEu9v4NQ9Xl6AqaROKaRiGZeezD6MQUY8Bvi4eFsghrIs57L2OkyCZvnCsCVEtu9a/oC0WkToG&#10;lNwD+AgsfR6nbELchJ0GlHYSBJcbyiH8gjZEGBOf8TnUrxU/Y4te6OBdClLJ/Cx/+GnZuHW/rLiz&#10;KOOuNZABzFrWAmLmEQL7ETUiOpnT8xZRQtgPMFeNn9mlMJegr5dznSM2o8vqc6RzreFCW18DqMI+&#10;GWi78cPv4e4B8CxTtXS5ix1tV8sm4PKY7w/wtQ7D9Cx++i6p0d+izZ+FsrdwVsx7AXX4agGpABRL&#10;hxvz0Yv/W32+g3W7ha+0BxBj5s4gcR1+ZzCuEeZtIvq3sCpHAUZGj1u0xt0BLdjl+tBtEiV4zYZC&#10;YdQ9OQQUujryGGIeoF93AMwDuHKcv9u6QtzdlGvtImC3LDvOfNClhzFPCzNANIyQtEEym8N5FLIv&#10;/Rg5vasrIz/v2YH1/BHZP8QxdRKEts4avfhrf748+N4PyvI/+N3ScZZnIWj40BLjl3GB3qEY2hVc&#10;TSt/VFYBGyNk+hytkl7pXgUwbUcYKjtHBGTvzpTuha5y7UVYorWPysAK9Wx+F6oaCySyYyZH2Mfm&#10;DOPH3GXTqu1VApPZ/+Rw7ZPSwS69Bz24Qwkk3H3/s3K4Qrn7DwmmZU8XygCV1b+HGOqn1shrN2Dj&#10;xijMe59sA2jx3umycoW9ZghMLo8pm4ylOjXcKh8fDZW7uBOu6Kpdx202+1yUV+/sojw9HTZJwO9i&#10;pJKUcg2Q8mvvflZmf+e3y/4L18rbpDvv/AFA6L//rfKbf+lr5R22Eu9GJg5QY6Rn8HLZHjkoW6zd&#10;XhiEIyrkdhOQfHzQh8sMdmudMvQEPLfpl/5dVlofJgH7+Oy/NAvbNlm+ADCbitois2sZlvHcqy+V&#10;tSVK2e/DLNy4gKFh3QvGGBC3D9DaA3zOnhknzf4Oz4P8vUH6PemKLYLPv/gc0HxuuSxQLfBm/2y5&#10;jk0wCGA+eg9GiGy5qEHE+zcovja6P1lmSE3v+PQDqh8vlJU/+F7pvfoqLsW+MsS2BK//mN2GX3++&#10;PP3utfKY2Ls2a9KCguqnMDDVd6qpiLdRLqgLNcBSzs2RXt4aPsQw0k3pfhcESQKeZPMhHoiRwI0u&#10;Y8HYr7F3EiiZZ8VdwjweCtY2s4lce+GHi/TVpD/EIpXNi8Bn/mkA63YOTGOGjiy/MluhZTWx5sTI&#10;ogxVx/XqmvHvqEgWvHKyuug1rxUy2t89KDjfB3IxeMN2+be0jMtO34cSosE0QSPGuadTokJLhS89&#10;giOj8SqW3Nkyam0H6ufHyFSOcbOi9rFBV0R5GuYsGoKCsYBLwCmfRkWI5lLpdRrzgDCNWhJW11P5&#10;CR4aFFjr3ruvRm5Y6uZehvNH7Gm4QmI/D/4pKEKxNUNh20MBhOnRPIv54NJTzXEBGwKZNUImBkwl&#10;L7DIdFhfAp5K6eo2OcbHKeqLY8zTVtCDIo8FVT6iVr1KnE1OjsnTCnkW/U0PsvAtrVx3kowGqvit&#10;wqJViGK0IkuABsGQ2+X6yAaRcU2Ft5SVgj9ShiJeJWrqNexPlguu/7Luewxl7OxY1aPpX0FnCZpO&#10;KqqInrOfBTtxNM8YAfAxn031PNV7XjPy13Oi15d55nmeIp4XfWJwloCqHYslN27r0T0iaA1QlABL&#10;tsCHiX1dIqDJUfTimXsfc5X2yjYY/1GLDfXRJ1nEzFx5AKbXd+gbcBwEnF3drKoMcRQ4WbAGcISi&#10;SposgZiCwyJfbtBjC+wD53qDyKKuigV12gQ8uqlP8EJmLrnmGOsDNtjaNQ6n6Tu/y8wkJ3f2pRti&#10;CdDs0aV1KmFiZRjL0894r7//bgA5GY5g8RiXPUqRr1AXo8MsBtrSb50XTSaYuOPHMGG4ovyOeuhl&#10;gG3SD2GGOq0dDx2++OMflS385vsUVCsXXodJIKYEl9YaNH4X8sK6DNY+iS4IqQNjZ/0Jgkkt9rUC&#10;EJyj4FgfFKoVF2Mu8/+oe4IvbglGz/oWVsGTvvUa/qi0jYmQVVgg+FQ54f4BtWCO11AeBdiA5bBy&#10;petKJsPCaXZalBCONej4e2+qWVqYyq4RJOcUCxnj3I+1YYCaYcEcH+11AjgPOWYAeWK17alZ0mqJ&#10;I3BtDrIj7Xl3f/0v/0G59B//z0mlxif/KWzZ92+WWeIHjknT3P74HpUk2SiPhM7F3wMkzpH+/TLb&#10;wn9Giu3ETJl67S1cBl3l07dxSR3dL8NUYF2FUVwBIF66caVsTWBkPaIP3IAMQLSO62SI4mKLn69C&#10;zV8qvzNaymUyH14lDXpqFn/3T3+A2xFf+AyBvku08exUWYaF3KTxM2imYxV13yzxMByD66sPl0A/&#10;7pnRPXZAxr1SLqHcASBPKWj3+eUzWNWwCWwnfs4UcPpjdYBaCewO+sL7j8vIP/lB2SLF+/Pvfqe8&#10;g9L9OrFkL/7Xv1v6/ls+/xu/VvaIE9syY+46Zd+3bhMwCAMFgOztIdbj4jipp8QBILrWaMeyJeZx&#10;RXSQen38iAJxe5SIB6zdv096OO6MyYNLpMUvET9CCihB1+vs/nt0YGYb2wzQx3s84xMYqocwFVcI&#10;FB2CGVu9Svrtt58rd6dw0Zgh9ke3y/KvfbfcP8PmdcjJgf6Zcp3smoF52gZL/fg/+uu4H7fL5k8e&#10;ltZnC+XMSxMYC1RYhTncvj5TbrMPTcf4FVyO7ED6/T+M/XX2ZycihdYdpVNZ53zKNZwujVjpyn0N&#10;q5h/6a4wG6NrgDlC1o6ujcFJnpmgdQH0GPFZbnvgXlKxTwYM0YYXY15a68E4wqABGoM21BbzNytJ&#10;NxmTARgyKSHkRygn2xGQOa7VVJnUrMv1EHU7UibFjsVKnUZ+a8xkIHLKwXABqtMTCAgi/EPl6G54&#10;UudxxeiI8EU2dR98jhNXRWMRBxqSQWgAhxe1EREUmT2Y8tIbuza9qSWUFXQKXYseaRW7jXUTEW2V&#10;vlB8KEffe35ka8gqmN5k6lRUX/Pytj3BhpozRbkpUTVrRLBhhEBTdMNzQtE0bclhDnDxTN1VDZfs&#10;hJ0fHRggQsZEZRQfp8I61S/NJ/nsdlgAqwQlMc2MEg8QqSJ0MLmvjE8EiFEzwr407kN2gQUECcEx&#10;2YfxCraDY6SisHj1L7Iq4reV+tooAgOb6t4jbimtkIzdUZtJniopJ7zyPx7Ap+Pv2AY72p2TKayz&#10;xvec6iufN8bTeS0orJPVpuUpccVUHg1Nl3eIH8mTyNAJIGd2SpbKjcDccH3lpj8+p+CgB8rBSX0U&#10;MTrJToTi8sf+YrFpBsuKxCTPwQ1GSHYrfttf8ZOuhcq+pC88FaFjnD/VDZcFzhI4Zf8kCPP4DCZu&#10;1mgKjIoZPDiHPoRLUI1BBanfmzgRfZf2myClGYFYdrWbmk/DSx83kY1wLvkJ1rGL1HZhhkW5btNW&#10;gy00fNiG0CUwUu6Dos+1n+hrA7SC/Rc44RI6NCCaf4O0zbLIbeuq8FvAO4CVv/nBe1F9s1xI4Ser&#10;04N16ho22GogdvK1HW7IJ66nSBBK3a2SNQxkGayBEjeNdZQCKFLZiCXqh9aRYTiZXz5jdHR2Q2Sq&#10;NPMyYqIYi7puZY48t5b87cNCdJ4rGAVWZtzsoZAjdoJrLBEcty56C6Mg13qsB9c2fxg+YXa1pZBl&#10;dmKcI+iXMvRWNCVg9fDJPQJuceFcI6CR7bd37zwmhbuPlOS7Zequ1PzF0vEX2f+DiPd+XHbbBNAe&#10;v3ih7P21v0ztAZSq9DQ8wdC/+9fKPltyd1LDY48dWnf3LpXZI7b0XiV+5U02invtlXJrmzk6NFGm&#10;IwtlqHxOsOPAt79O0Sz6rjVOLFZn+ZQG9wDCLmxTsfMJ63zypdL12q+UeViRdVyVLTbWWCeQUIJ9&#10;jQyoecZiG1mij78T8HiF6rhrsFErS4AeWB7rX9wmZuchSv3u1ylTzrB97R2MujYbn1Hx9JNz1MjB&#10;rbPLOD3+pRvl9rdfLO/AGiyi8JcHYU/+g18twwCpdWKY5tnGuP/KNLFpSN5Ogtxx4W2TQr1NcOb9&#10;Idb72Fz5eLK3LBIovkWxOPAD7W2VC7cesS8RqYdm7REzdHCGLI4x3HIXhimo90Z5cIPaDy+djxoY&#10;PYCjC9NCtI7y4+vTZUHF2/tauYVxtfP8dPn08lC5M8qusv3XynPjF8vDuYlyj77RfTv+5nPlHdxG&#10;u9SYWJntLe/P6sAmW43aLJvMwTW2Rh87/1r5vDxflmFjnuqSOR4sZ1fGywvPTcButMsd3FuPCbSx&#10;8iaJIuECVk6f7KsRcvIZiBDfWyW0H/ejsT+SzLHx4fJmeUSGSi9ZkiO4qHrdrdm5rthX92LV6xI8&#10;Txn7LgJXLX1/ICuvjI7RTTkadZwCWDQgwGxC0pMj9KBhDFLWpA6LvTH4iT1RQuqGORhH+HkaY43O&#10;i79ybWYF1TTaNChirTbuyTyoQeex4MOPk4gq6kGIcupCj1s2Ai7MMRmI9PtIg+vmED8Y/R3YvxGw&#10;BoBgVnBz/fJZxMII844OAgrxJ4X1qFUdZpiKLkfCiGbZkCPTxNCs/r2D8rASnRtXRZ0EGRPpY3VL&#10;cBHWitd6y93osnMbDRd6JsFARpRXLa1sbgBF+ixSqQb70IgflXgM4DOBFMfEYWaRpBQMwCR4aO4R&#10;YisQYSrwPEZhZfdxrAFDzfGRhK1wVgKGZeT1baMdyd/WpjWiP1Lu8GUKIqSvARKCCDfCsd6G7Evs&#10;e98I49iwpmGH8tNGtTecfH2OIIIaMVvZm4Aa4b5pNGaAgAqbUhlnxHujQBtA0eiEEMxxUHNAZPfE&#10;PLLSYsaXyFQ4qQWZ8Q2T09iKVcvn0g99fDFNoOSgVD/9E64V556MjM/2/+Xrv34sy7I0T2ybute0&#10;lu5m5lqGh5apValW1dPTYnqGJKgAEgOCAMF/YB74QpAvBAjyYQhyQKI56Kru6eru6s6qrMzKrBQR&#10;GTrCI1xrN6212b2m+futfa67ZwFNi7R0dxP3nrPP3kt861vfinqRJ5l/WnsxyDBwwLCwSKHgeeRa&#10;sY/2XStLOwasIluhne+a6RCzg8/Opgga3Bfh9IvDZwBVBJmBwanHEVs97/eor0dG68/l16mtReYL&#10;Zegz5I/jNQt9lmJ5I1DyNww2a0+qCExFY0JYKPYFvw8iF6RBfsWsJwfKam9Y6gL1C+PGcvKXQ7KY&#10;+C4typaDODqUbBAiwoPuUWKpo/OjAtHOdrIsaks5Qy0HsqJWPkVjttBfsKPC6amWMw8JVrYJPNz/&#10;A07/BFncJrPbZOhZK+WH2DJ8yhQPASkchL3t8h9eHHPse8m1cO1r3R5Z9pdSUk21Uql54F2Z7k4m&#10;jBY3rkmulkcjny+Enahll+nCMqhZojwytwUyKQJYoCLxLCJuNUDJiowqNjoDQpa759LHW90vpRHm&#10;yKxOItF+gTr9d7+drn/5BboCEFr/+X+evgB52SNrnRiixg7ZcujBdur/+ikdSMNpjcF6nyFvPonx&#10;r2fte3CkpyG6dl/ZSPMM63t4CoEjeARjGxD+3ngVouFgusN9VOk4G/1jgg+J0Zzz1RUInWTBG4At&#10;4+9Q/oAwOU3EV8Yjlgigmqnfz+E45xQ/or43vIrUO+jCWg8OCfJ1639mVxa2iZboHQTo6mlt/lQH&#10;SCmrDELwiAx9Eq3+g/euBP/pMQJRjJhJm6+cTQt0RC3j8L/CadI3kZreOp2OKIvcQcPhkHKsZ+4W&#10;ehSL7wylky8NRfvnEjywKfgPd650sTcpR7j36IrbwAFu4XGb0LBe4FlsMAzvHq2hO0CNbXAzTowi&#10;IOgAxrAK9WkDYt40onmjw4gsgegagOzqKHlWpSOQBzpAmtgrE9Ss1GuY74GEzLOXxF4R4eUsTNEJ&#10;gnQE1wVngdfb5GK+vNyevmR3b9C1Zct6HWfhmJ9/Al2ljvPRgLN/JLrG91qOWTPusUryu9vLeHS6&#10;6srYlCVeZ8NuE641+IPco2c5u4LCNhY20Lvx+5omx9PrPfy9CMwhem+vwRFrQ9MFpCH7hiLJcm9y&#10;1psJVl996y3O5xp2ijoMti80IPhJtYGyHkQOIPyoJfXNSCBkP5VtUi3b0bLY5invSrRYa2QyHz+m&#10;3SlsSIi8PbNLGYEP7Nm/aNdqQUSt7FDLDGt/5np2bVG8NN4qmJuFgywMTNAGimw134xBRxGRRdCh&#10;87AWWZfmIWb8gva1BnpS1aYIA21tn8zI9220iBl1JHMAs2D7AHIJweKEBv+AzHQeI3ILuHMBY2ZG&#10;342hGgNW66dc0CwBJLI2WbN5CSNCjJuvuc4cEIUf010GJJuz7pxCPrMw8ff8gGI54t+y+jXtfk2j&#10;mmOCLPkdgVaxHkFEdMsYYBmE8Uuh9il7VhloGe78Ti4jyUmBbFNSxU8pb8KsQsZOZxFBXTxor9HO&#10;iOz8lLSW1S964/tmeXCheoO7DOnXrjvDt1l4J7tpg7+aA8tlpuzMirilOBDRVRMb2+CylsMVh+VZ&#10;YODv5ADJlzcLzJKvWcLVr2WYLLZ5bPxnQRrXaCunmhWKJEqCPSKbfEod9DrExkWet1MlZWIPAAW+&#10;jUroJer6zYFABTTASxYIQtxcPsS5XlSgEBFQcG3g2jL3bZtyjfYtBwWkbRDikuU99xx5yFeckQCD&#10;qLxFAsEqAosImGMfFYGv33XNYi+IfuT9nZ9jDjQ0rD7PwM8iOBCRycFu7dKzhK4BecaBcpCW91u0&#10;2taUYS1lxVmB5c2+ahbd4m2bWEcBvkPah+39F6mAq5qNjsZD/gVnAKV0snDEsGghq+DcddL2iRuE&#10;+iGsui/BkY4iz4LER+eAiDy0gE4YvJqNtCNeFt1XnMEO2vE24I9s8zuWQ+RRWCLrhA8RbcC0aBpU&#10;GDQYCKhiqVBOtHQ6gTXOfS5v1OZwWNZwoJ4BomI6rlUEgPx+PntwRLAn+wSLbRjezVW4EwQtG8cV&#10;KACcFZGPolQUS17s3fysHTyV56M4pMlPDdQ0PziDNsDo33sHZnw53RhGMI1W6V72zQxrOd9wLTqb&#10;5rE9xrUbtHlX/8H3UZdsSjdQR/yUB7DD2jfzLJ6w1vc7G9KZH7xmBTzdL3FtPMMRuCXj33ob1cfD&#10;dNcOauxAx5VRnBezC7iOIfgKjsue7txL48yaqafM+RQpy+0hSj/fPpsqONcpMlnYRTHyu9R5DHGP&#10;EgeI5yYl0hZGBGgnRQGb+NMZFVUOU+NYd9TeHZjndE0dbgtBRT1OdRPH+3M6KN4/F8BpOA2z3vs9&#10;dEOFTDKOjMPqXmzG2c7hUGdx+F3Qk1zWWWSjV2xdRDfGMqFJXZXgwlJbBz9Tz++4/rs6e9ectXka&#10;nWwOVYttFyPOK8S6E/yckgOSGH1tS4/GzI+Rxdmxk5D9JrF7npJw7g5kj3O9yoHbbjnbrnw2wSGe&#10;XMRyxcGE/MwWNsa5PJ1Vg2v+zT23USpx5kiFwCawL0pOGRF0/4Bq6e+4fzU8PLc0y8RZjkTAUn12&#10;N8+cdiTihUsRLeikU8kbj9yQ/9ReOHfudKDAmxDLW9j7JRInl8AkR7pBMyrIHRBl60soCUfhDRSK&#10;H2jEruysTnFBaitlh1+zv742DDKSayciZQQ+BP6KjiltxzG2YhckOxLNsP3ZV0RDBffmMEzPVqDU&#10;DsX07/qPmLQtn8yrpKMmiFvCF/yisGU2YkU2o+OLjDo72ZxPPc/aM4RqRKVRyg8+apsBYQJH+31e&#10;W1qTnwu0U07T7mf9p466qdKtwSZXPIqb08XEXI4ii4+orjDGRnmHGIElWh8fAU/OEaGbKeUyyQJC&#10;Jo1pvItgAnnTsgRDjYT3xiXX7utZ21jNOUbtxhJJDh6y+3v+nvl+MxpT+Lzi3/lrEblpjMNLZqNX&#10;45JE8FF8P5xlgepE9uy/42EZTJgzulb+sEYdxq4BhOUlAyvru3YuiID4QgYo2YvFtch98DN+3fXn&#10;/6LOy98jynS3urHjIYULyg7WoKr29yJIKL7B2mVSaUagciAUGzGehb+aS0IBMYs+5RrYs1a5eL+I&#10;JHW0eWP7mtkT5tp3/p38OuGC/XGMiM1F8iS2+fcSanFN54bTiAx/SXps+j2g8A+nHgJRI+Sl1HUB&#10;tXt/MRyuFpEX623GLhpxHNNiuWOdDA7AwUwGVAeF5Gt8L56lh0aHXFtPnW9tA+TyTcah8kErlrJY&#10;ycIz8UesWZxJ/hHGJf9mltbMtKXYo4XRy3u+FpDmb9bAiOD1upd9d3+GfzuroU4CjE7bgM019tpF&#10;AsX5PC8+8iAzK/piwGjworhcDlzqWa8jjEiF9s0NMv4qpEjbtyLLcE8Wu0zHrhF5FuDwilngiRZY&#10;+Bx2VvRQi3bfKS1utOdrrW0hUkYrcQvyuYPoGHQiBsZuCQMaqqHq/vPcZKsv0Xli90Wo8ZkhGRTp&#10;CIrszI4Mn48TW2MKaBHwGliIbhiEOBRoi+6IEl087eUenDrQOIqzWzjdNe6LwbWZ1xJBZw4ifM6Y&#10;n+CkGEAoR+8gKZ2KSYbnaZbWxwcvQXbj+yrNUrgOmegKvK59Av4VjNAxhrWMGNFT4Pyf4XzLZM67&#10;3IPNcZ1QDnz9VSZkHWP9HxNY2Eng/W1YRuE15niN1bLoIzaBoGOJ51MhuPAZlDB0mzjkCtyIp7xG&#10;G79bVtURp3yPEsMOZYMS3IBWHriCRyJcK3i2Ku8lbezQKcI+S/7PYViREPIclKmOiZ/8fCN7aYfg&#10;TvloX1+74zTiVdJs+I6pB8d/yHNdowzVhGNVGnuLb2xxI92Qx3s3QVB47RAJ1PeClOyCioRf0CZl&#10;t8KaN3Ld6g65APkcRYdYBhBzxp6T4bj2drsAdGLRMJcJ7AJOEsP3sJ0+U9fCQFjfIUfIwENyNLFX&#10;dHfJYaiyRiY5jL0IpKIFNKSNi1olcNjlevzwvdsdzS2KrbCbgY/CSwaIRFK8BHbEwMgkKAuRiSu4&#10;JWIKqmdMXo4vF1lm/uNZUMG6B8+B31NHaAuxuVa68UogQ3YjipPtYt/oUwlkuZXIqUypf3+LeRlI&#10;BzSAglhO8GmW2MOWG1cpy9hqL18iJzX6oUzMPgAtswvS89vIHsvDMLO/cgr0AyYglwnGm+QlhZNy&#10;FfKDCgwhHpyDuHiPelBcUKU6kZC4I1Vhs4BcECx1Y9FjqpPQccSPFS8UGVJueowSQ/ZIObt0mlpR&#10;aojIvsj0A8XwdYps1ALQATtFg9ZgWwsBgFMfm7lp27RksxPfhIG2bBHvEhNf+He0P7qpgMCqh+nh&#10;OlKrbOwzw7TmsPj7aD8YTW2p4Q7Hop+2n4Fu2shszQqo+LnyZgQkOscw7N5j8XfuxeFVz52fTo/v&#10;2SFRLGxtTki4gMjIsxXKpJUi/HBpWJj8lQg/AsZ3rWJPFX5HsqgwfKASblVeT9a9gt7LjgDHqJpN&#10;2X8ssWyMyZHK6h5CunqW1hcPO0ePBg0ZRRC+jeQ8rrOwkj46/ZcBSDzGfL21sOmZcxBViW2Rrymc&#10;qp0guq/4Bb+WnZ8/EzuDF7ZG72/uGxEXQWgWAykuN/ZN/n1h6NjowW/QyOSykNruIZzF8zGD6uA5&#10;fvMH30VKuoseaDYurxckYAzpwsxa+uSnHzHdkjYyDlVAbu5Zn1kEvhnCCy0S7yWCg4wUhB83E/By&#10;RECEwyPgzfyfQAy8otjgOU5wz+R6vTXeIoAIyM99XrxncQYzyuOXc+AVTl+Azf/4HZ+pAVSowumo&#10;NQquqYbJw1g8G984DKuZjoRUXy9qpBnFccU1mnF+QkIbJIs9sqvDsMTHq1fVVOG1FYprVvKcQ6wo&#10;V2TttleDdCE/QHZKPZZfbkai/Zj6+QY97BVQiQMJvHyYkcR+Dsed9/Wemhl8dRhEyP28AwehjEF0&#10;vfYIIG7c+izNqqjK+3YA1fb203br/biMRXDpi7knay3kmaeTkZdAcYrdmAljzsvI3Ryx7sXP1Jjo&#10;gWhwvbFHuEeJ213U4G0FnVtjpWvs2eL64wy43NwFmoRpjTWrajD5moiEz1Fj3cUshnUcLSoMMU57&#10;kxtoo0VS57tNhtjIDx/Y6ouyK+AKzwqGCqXJba5vD7EjkS0TBTPtXbxLM3DAgS1yETTyjLBhFWcB&#10;RTnW0h52q96poyCVuhW+VuUb22bJXGOjhGKeY5nX2WcvbLtnLVsquERa3Mr19KCuqAMXTRjaDPMQ&#10;wZFnZA9kwkzWwMDz0Yl3LhtEsFdaDEwwt5IqW0UeDPjll1kKaN4nKWcfsHea0CfYF97nhg/x3vu8&#10;ZrP3SQCxDbrSaKkM1MsgFo5pOF9X2oFdPjcRhiPOuAiHaLFOV1lsOwY9I44sN0g2kIj7DA5ZLoAb&#10;NPiLTjt1oBdvF6iAKJOTSJ34mQel5XNv8OJMix62q47Xc7jD2lTgnDVrh51f49eLwPqQdXQMukGD&#10;ks9BzHbxtOuS+3ktpzRHSZs/9VuiqH7Wzoh3W/PH8TX3XOy7HBRLKnaCsd/rQJfigNZbEUQ5R4Ix&#10;K0vYfzhNHQTdDXb4GVQrrQ2qAzZhoZL96dC2+vTyu38EqhfvVpzNbLTiK7Z4hg/TlxUocBwdbCxd&#10;Nh9/cjON0AXTDWnYwZiW1T2bNXZE2Hj9SdG9uI+cfz0tta10XHlANgjsH36ExpEHKYI84RmDCR6m&#10;E+IMw0Mzmw0v3GH8F+hptPdxKDVgXqALHAuYIeWI31wdMuoqD17nvkyLEPSFWLRukIJeWrMa2Hze&#10;e+7cyByKILpJniwg8EA5QhY7X8c2yllL1F7P02v9z/7u99Kgw12o6xmaLpNN/dVvPqOffh3yyyiH&#10;0qxD4SRFaHgPW0bjvxwgRQtlrY1UGNTOhiLDbuAweO+5LuMDyaUOD3RskLhPjTq9xdTYt3bXWWhF&#10;bhgq46/YUqqzwTHGvE/vQ35GUQ6IDhNeTIcZ2aD3xmF7iCjN3ALqhuO96crpy7RG7aaPbt5Jkw/X&#10;07svv4RiGNmVjloDFy2TGXGI6yzQlN0IYpBK5htLZGWV7Qw1N1OLa+PQt3NohBRdYymnakn4/DWQ&#10;ws2qgz57lj5XnLflDIFEAy3fL4az6VwK+KuZDbhn54zGKJCAHIZHG12ENzkD9J86pFxP8cUz4hEE&#10;H3kL4bAxBrxWD6SpJkScFAyLbSfcbjcBh6oF/fuOURjUvI8y40FEikMt0dZ4Q/es+Jl6CTLuGY3L&#10;KQ8w07HGgaxxGJ1KKDfCBiv2XZPBHJd2KHrGnxGcxD0anBXlMImgoBkerOACGQjFCXatCrJkoE3P&#10;ocX8zRy0FH4xHHIWZGIvRfBmsJvRonx4RfQKzKOoocRwqghitKPF/gmIl/fDIOayWAzm5Xdzu3IT&#10;r+lEXEtnBhJqSDgdUGNWU8XzfjJxESOHsdrEIdu5UsOJVmn9i2cj6sF1qVYpUtCOVoIluC0M0hYi&#10;V0fwKRpwQDOLT5mT9BjyIMRpDV49EspkeMGjQJe/gVqt12z5wiDOORm2i24gWqaceJ63kQOWmhS2&#10;glX5vQmundvh04x9iAOhBKPeRP8J1Eoti3CWt4H17YbqpXOgvo5+e5Ze+WtnT9QoUM6iqrD5V7i3&#10;Fa7PKULhEGpBOLtomcBAdYxDYHbX3b87O8JR0wdyTCI6926YdWKgX5wPn79Jua7P9/CjJJvOdeTa&#10;Q9XQnnupPdpMnxnPyo67KGuFnclzXrZaiu/rH4pi+EE42az4akDq79jFdBS1+hzoO2tGx6zeTM05&#10;Oy78wAAWJ2qmH6UKkrJ9W8m9Rv2laFYgXVm8a9/zapBtcCpfiDO4yzm1Y6oJr66D1Cl7ZwrbhePl&#10;a/Jqwt5qa/MRyYld+AtIgn7TM+Af+Ybj059zGqrf8OfD9YdNya3psU41xxm2K5eKnXlp67frYIJm&#10;giOK0GBAYAAvpO/CuLf4eSee+nW/5jMo80UoMPH+vqY+7yicryMWCLStjE4jpLe1RAmZkhliXa2I&#10;wu1SotLiyMTTh8bQQ+0Irx+Ilu/NvTSxf5s5f8tLG+mwdQ9Oj/bc6E6UAAvMM9inTNSCimUPA/l2&#10;EXmqWK52LQ2Ow48UaxmBKbY7FF7NDvIeiz8j4eEN4wHX1rQIyWOddY6KTPEaG+jn9J5HRv9KlMkM&#10;tiPZ1n6x9mG7SWgPoCDYCFGPJEErbbL12IkVlHfTRz8heA7DlbN+F97oW0O+w5Vv2suuuA8HvYme&#10;nAHYo61KJQbwJ8ybs5pcJsibw7Y7a56bYGGPmVg5y+Q2eNLBBWxQcZDf78FonOxHehmYsMTqZsi8&#10;4Jm6V3iEXn3mZQi78h5ObVwmGofdeubEQDqNJGwrbNvDTiBRHIVT12aooX/x+W1Y4cA91LsOsBIH&#10;HFw3j5Phcl2oAPPkIvCauXuCa+AChTm9p/oGe/ldkuzssqPTORUwaHhxRFrI4q4/fpqmlxdxLAyr&#10;oqbYDOxovXd8aCCd6GkhyiXKFF4q7k9TrdGOEefBe0BmiY105+GjNI2s7/e+8Wr64Xdfg+fRHKjC&#10;xTfOpH//479JX9y5nX7A0BpuOYItnaCVRmE1D96RgkM+SzbWGlMbv7o/le7OLIYRDkfIPXTBmr98&#10;aiS9dG6IQ4F5jzq6LbxZkCqcupsmSkvutXzYghPhS0SOTrYXqyJEm4M+624N0W8swmDkmzUOAnmw&#10;Q4T316C4+EEq1FCITohEsQZ5doZZrAbICa88DwzdIm2FW7SmtXHdLUixT3M/BjnD1KhbuhBEUQTL&#10;Kw1EI3ZK7OM4T76na86F7hpIqkVioOO0O7xEVdEurptSMveXiUoB+nKdjjLWocg7ce10cDZ3eC/+&#10;XAREsVfiGPAn62AwYxkpahDZEEaAUJztGor3LLiIMg8/r1E2aIi2nSID17AGgpWRn1qtshYoSvy0&#10;ZTEC2fhdTBhQo1pakrzs9glNE3/ZEfOc5dylUxhGyw5yP4qo2O0U9xRPsEByvAZ+jvJ/aoVA6bOQ&#10;m+B5V5+hHV2EWtdEGf6BpTPJlC2sg6WJ/JEDAeWiO9RLYN9vba2hGUE3FtfiLIF2RIVsy3YV5FpI&#10;pDQgcBaA12jQYNmjVrYQ5q0FWD4AS6Iy2J2hk1G/bE/MmA08faaNdKescXOOtDYLdqu697awbdsY&#10;zV1hfL4YKF526RH4+yijn969FV4u+zkDAIdEydF59qEzKpBaCeUuZrTwx5rmj2jRDQeabaX/1xTP&#10;OO+TeLmwhdnlZuvHNXEoza7jtYq6ZQ3VyaXG/PMREPBR+3niqIz+SL7z9XgDz7LBzgF/uurHoAs6&#10;6gbKIdb3AUGi6ydKs/4c67XDz4Yz9FxrMZXY113Wbsx7iuXxBNq+nv1BmHLvoDiT+VxmPlDccNxg&#10;bOT4dP38Hdf1WXnW51D8XD7jtV957hRFPLwfPwQ7fHttU16MnAjU2sh9P9fJvgLXzTvKQaV/zx++&#10;UjyDeM6UQMyemRX09V/8PM28/wlquw4opDTR1Z9GXnklvfx3fsTQwbFoxayYYMYzzGiwL1N7PZ+B&#10;pYFZ1EhPooWhzch71XbpjI7usifd780Mb6ynhLRKe2xtCm2UGbW5cavanJzYWBGIZfR7cdt5P2Qj&#10;VGyKCNCKGywW3MGDTgUV0dCOW1Jx4eNHPf8ZfraFMzgmzorTbksi92L3UU71w2YaIh02hUaXg2FW&#10;vIqs6RytJytAlDK2z5IBnzoxxLyDBcqBramzjc2iEY33yMYvyBl5xyI4k9ItFNeeMmClCqwoM/jS&#10;6HB6B9GQErXU//g3n6UbDxgBy/yGFuRJzfwC8uUB2KLl9giD7KYPB+574Kx4nx76j/v7e9HeWUuz&#10;c2RECKaUHZXqOHB+pqdTUpbZP5fDbiyC23jo2VMScZMBbON018hgzMiayNCC1K8QkuiBgVBkObnl&#10;UQZyGNw4SD5soDyc0me37qUHTN+jysLBo8Vt5TEwL2RPWOFPRxbTD9++kEZgWgfj3wjP9ygclQOq&#10;vG+/uLqxmR4wIe5lxFHefuMihnM7LdIfLGTczBN6+9WX0m8//ppsj9Y6nySnwFp+Rm8yKiRMXc99&#10;7fBmn9JedpMxvJ2otp1l7K7EviWi3yWCrF9/uQDcey1dO4fscgQGHiOfez7szsGQcBcwI19TgU4H&#10;oZCKm8r/bKUTDlWIyXVV6TJ0vcLAku0ZkbsZtULRyurGy45eeLTI3fM+L/ZPhnczT6QEHFqmHri9&#10;uZ3mOHCtZLSjsNMrOKkgOx1207bIc+SgiYzlfDQHJppjAxktaSgU+lfUG+ud2ElwN79WTXenEZ1B&#10;8dQMqwOp9Cun+tNpglphOatali1sl+2HzDQ0SLaBk3Rq5BTPeoNyk7MrIogID58PtA/jGbO6+HvW&#10;JsmfNUi+to+CABvZv+TAPLbXizUA90xF3b54aYOs2IdxcRkV89u1Pu085hdBJ6KIKFXwfpmTYbCQ&#10;Q4NcQivstVl0QZo0gMiEW51oPsv5PQx0s5ckJPcwhRR7Ix6gq5O5FJrcgrjsOrQRWIgkLCKIdYxD&#10;2gVS39vcRY64P3V1oCYojAvxbZVBeNNzK5TpHN7Wm51H6JBkl6PIlEHEwsJCGFMRCJG0CGwLZFAi&#10;sW1vIhkGya3FFNCNHdRJyeQseSkcFiGTz5K/rbL5ltjDXBZ72iCNAIXvVFwrvJDrFQqvsQQZ+q05&#10;6vyM88czm1yMSK4Z5vwjNU9f2OvCsT2z3c9WN69x/t2iLFa8/jPeVvHChdl55gCKX8k/XXvh3/li&#10;8QTzcmZ3ot0xwPEo+thEJ4pz5w3pUJtQpdx8BIcFGegqMzwMwEud5dRJstZ+FkIfY7S3PM6sjeck&#10;u6laJOBezO/n1/LlFBfgV15Yvxgo+Gw1i7/UfrcWJISd9TgYVPtalla8l7xmYTZjj+clj4Cj+N0i&#10;1stX4te9X89OoIPF2vD7kSRl85uvJ47J8wuNznrOMb1FTDddS5//6b9Oj/7dv0vozmPrKN3ws9Be&#10;04PrBBVM+Pze//a/Tu2XmLFUlDHjsov7qP3dN3ELj50aI/Al6A6VV2bfGPDy8wbpIomWNUwqVLR0&#10;VsyKwTRIQBsO34A7Qh9e3MDaz2h9j6Sm2FeRKWsgioUhyI6kzkTi2R4lAeP1bStVryVQ49gjtT2c&#10;bX2UykUqDd5VQYZ/oSyEiecmZ9kP0CEdtkoKLja1TRbn7swSxChaiFBR7IGJ8ne+/430zuuX0udf&#10;30y/YkJhRwlI0lKAGzEuzKwnX7e9o0+mVtLXdyfTIMNWLp4eiKz6e++9kc7jCHziWzjNf/uTD4A3&#10;d9MAZJEsqOQWwZjYeWadWz0GI6yiz7URaOYkuuj+3PBgB1e7D/t6ORQG95FL3cHBdGDszzKJsy2M&#10;qeUKt0om+mT1TdppCJAeIaTzGGMnPK4krw5ppK89XTo9DDphC1yukWe2X6595ePCf0LM7MyHTxfT&#10;XVQGd0lR+xHZOTXenwap3zvO+7Prj5gyO0ugMxyIi2m8rXUBT2o0hNMKA6e/0yhK/Bti6M08k0cr&#10;1J46mOy2LwN+nrG3XONZlOBsTyT+jXs/ogZriSdv1MgPOOCM/WWA14MJHi6G9/v0c3/n7YtRMtrC&#10;eU4ytOUvfvFR+vLGwzSEbv9Ah2QcXtPfD+Y6j0fOgv48oHlLFkKq+UAEOZK90oZTPg8s3R7ZKkY7&#10;4EC2NiWTbdZ7hsBu0dZTFQ11UCILxXXmHF0UIGuMPPt7dI240EqDA8VyeNrplW9tao1hU329naHI&#10;WMfhayeQnYfZX8e6bOFwwmAItRcGrKbrsR88HxU+tZKt6S5Sz7/46Eaah9CUp9FyTyhgrjBAq+7a&#10;mXQeOLwehMJhNh3s2fNnRsmIRXw4oAQbbTznr2/fDzjfiZ1xcHMklA9clMNy9uLflDwXdYo22Sjz&#10;uI6ZYR5ZoaUjz7qCV+bMZjDuu8KeRSmp4GNEwBGxSg6yI7AobPDxkRA+OiM4ajt7AhnxmkRCIjjJ&#10;5Fu1D7xmHYhloEwktcTkzxVoRdgQ7iG6fHIQsUkw14Ay38jwKLoGtGZSvnBYkI8rs89ZsyjRSbMo&#10;pX4GxPna2xWmanK+hweouXJ/c0yivXPvFoaSoAwCZpU93M8U2DL7RF0YAxMJnDVEJxR0uSfvPcqL&#10;fFiK0fjaleQ1G3TU+tRbaRmsIIglEhky9QQZki2d47JOC+sab4FmZJQkwigQVFrS8Jk942H4Lbd5&#10;bW3zdn3+8aJHLPZyrBi/VzTLPPvZ2vOJ5/nCS8QxKr4SuMczh1v8XOynwrn9p9469kiRlRr8/+33&#10;qHl1vh4BfVyMF6mdz/8W9m+mTXNneik9/vCjNPPr99P+5CRkD+QmNeY8l/qRE2nsvffS2b/3o9TK&#10;4Cl0tQJRiaDd42pQUJzt2qXWfFn+d04eincPRLS2ti/cWvH9fN/hz+I88Y8wHM8J2rn0kP19AMJ8&#10;qpFW833P7rNYD0sW2YwXyJwvWby08s8RTMTF+abPn1igJ1yIazT1yWcMPvurNLKJ6BXMzS5mi3Rh&#10;C0aQNN9hA332+Fa68dO/SK+f/1/hY1gzfYa+0NeIJc+IoW3lnYxp72DPHvE6+3ADtyj1l7Gnksp9&#10;nnYdRYlfMj021Pt0jo/7fh+Uwq4y0X61UnbRCynbZaMt49y41yMIrQVqGV7OQ7kIyDshQIv8elHa&#10;hhyIiIbXMJi//USyb1EuIJIexwL4erXEBIDAD+cCZahOp431nmT4i9nayaER5Iur6V3m07+CvOkR&#10;Rmp8bJCpk2SE3HwzmaKZTibS5SefHQ0DXcjydoE6rrw2kv7Z778FD8KRwca7aupXWPxushPgaDWL&#10;hVPYCeoERLlP4ph1X/uaua5nZDm+OXaCNk4CCZ5h6iVgKOMIvTEXqJWpiTqSFsIieR1hCIsNGPVy&#10;IKPZlWr6hGExT2YpsagkGZsfiBbjMjdD9Acp6bWrY6j7ZaGa7AqKGlFxCH3JXQKsp0Drlg1GkVn9&#10;O994Jb16cRQNcec80FJFnerHP/8Ax0xtEGd0RBknzq8TJJ3XwbPdZ+FjdDhFyCGU5167cjF10d5T&#10;B35IHwLEJt7b2vWgJQq6E3jYBntNkNd02CEERPofgk9m0KpH8qNVBnFVyRhPnOhJb75+nlHoRKpk&#10;nb2UBEYpA+yxEf/Nj3+JLns1nWBaX0hws17WUoXsg0gVSITOkccTbb0Z6pNs1QPP5QTXM0BkXLLD&#10;Bmfu7/i6SqX7XEuOMCdaXbBcYteEuY4BYUFbrh3V/GctQxBJMR8VSQhbE7MQRtCY3yTodMBUAwhA&#10;G/XHHYIU2cY8+rDckU2HFc2tejHrISA6ORGUKjiQUwzw+ZtPbqUKh+Ht186mHupC6wSxd6bo2afP&#10;//2bj+FatDDNEJSBe1Hzf5EJm9VKlncWBanneQwx5+LpJDLRLs6zZCsf1lp7by6pZOdaOx6WgcLw&#10;5d+MADm7L38vu4zYayJMonF8yda4qN96g5FNZaPka6tSV9P9EGUJENzSTK4E5nJRRCgeTWu27HdV&#10;K4U/7YrCmATnyB+Q4+F7FG3CYfM1VBqH4hmZIdVmZ/inaEGwvq3NGgTHGxH8MaSujGPqthMDS2rw&#10;0YGwUgXOxCSTW5eZNSEKMs2MkjYY56cQ0Tk7fp4yKQPg2FNV7Ear0zxhjBsE1No3X+yschql9zYy&#10;ApoWQVc+o/IzyhiHVYjJm/sEl/EcCeJBVJ3v4eq7P4Tm5RRFrVqba9Ac8wM0uPk+QmHf2699FisR&#10;Cfx/4iOTrJ9/1JynX6mRzmPHy22J55Kz8hAUe7bSBaJVc7wvBAO/++rxSrWrynvihR+okaXjvd1x&#10;vGFoiMgZ4DolO1JUSsvXH6fb//4nafPz36QyU4HH6iskF5T5QDy3IS0sTyE29e+fMk5+Ll35n/0X&#10;qePMcJSJY9m9h2cRQg4is5ksEATPYtxgtiX+1dJDTTn2by+j5ck4G7HHMzSfKSCZE6K9lnQdSAT/&#10;BXWPn7H1soaA+B4eywAAgP9/xj1TFQAA//RJREFUCA74HpzPeJ6BSGSwM74eGjxxPnIJMT+X51ek&#10;CJ7/PqD7Ye7GvfRG31B6Y5QZKaCiPSSxfQM96cypk+zvtvQnv7me/ox5PrvMLimdJNmzQ8N78Hzx&#10;Zy1Q8ZxLPg5QgLdqIVFqhB+0srmaFpgpMogS7C4zcUTYjkDF1QA6YCijHVTLkC33KI3v4x8MtKUe&#10;tLei+soNtoJcaDBitDjnWL9i8B1y8thfA+4NgusVxtSPnzoFAsHQLxA8UTzn0pjovLhfXnwutZ0Z&#10;SCo2IMryRsu2Yjspl4+gp8TAbX6oylOaX0YAhjGnjWTpp5BOlXuwTD/4ITDGBgFAJzDkDIOs+pgu&#10;WCdJzhd3j1jT0UBJlMLBdxk4YMQXkYddwwHEIA/q2isokq1TIunBWNvCUo8HNzbNj7FGfCwicSOm&#10;ONE5oJDXcHpwgKx6I204gIvXX1uH1EUbVzckyyYK3AYk0fksrOurihwgaLJVOU6fkYE/XkQ3DpKU&#10;5ML6A4RhGG50Eob5Ig/p5r3H8TqXxrvDsLuAZkC1+ndNTMnNvMs99GOg3n71Wuql5cv326D1dIE5&#10;A3296K9z/5LdIiCyb98igBBcdCX4uk5LlfRGJwLBxzVqavAI0wiT9szAVpZW4yF3cX171LUrbCod&#10;YxMOuk4iThi5XDcP+WfuWp2NTiD+ZsLn9167HJnRk6eMK2ePNWNg1ZcvsT7tyB87obHkgCqhLmuK&#10;Aphh1PI8FAl5Ep/cIIob6XwGqZWO88g7Mch1il0VXBE1CHYgtu6x4Vt2WlIzCFQPm3gTS3Ws0mRR&#10;JsgZUGGk3TdFlq0TcriWp1xo3uve4wAthawxjHhmSuzBkm8CNWiROs/BOfRnJQG3IqgTOGU2BtEH&#10;zb6MyZkymgnaoKukW49uRN37H/3ht9NbVxlyRdA0v0Q71U8/Sbem1ggkDtPHd56k7715KfVCeDoA&#10;oVmnjdTpsO2tjOjl2ba0IUVL7X2EQGKToCIMZARblpa8n2xZa5l05kf4tbyH/KiVN4JQG46eAFoi&#10;Q82mFcbM8kLOLg0W3S+5rPfMGekA43WzaFsdHRqq521j4EXtSgFx2j3je9S6K1gzyxr8JwG2VsPP&#10;71MEKEU6HQ6uuK4W1lgDZdnB0dqlMoqUGLptxKSiVTP0TeycUTmSQBfEz+wlykwEztvIJztHRq2X&#10;YzQrHJDVyvnv6GMaKZMvFxeW0uXzV1MXcskdlCObONciIZ69MJjRvivHgfIDRk9Gu+tZDT0Ix5Rn&#10;JEg5+cgb+E89iTbY7AaAhyj87RkhGzB4XsKw5wJKtl06Jm1QzpprbeXxaGO7PvfOElZrHxECvOC4&#10;n5ciYkF/53svBgAR8LpfI8bzNV78brEBatmkwePvvtTz9y9+rcbXePFaaq+ZnbpO1L2Tn7TP3pki&#10;h9jRBz/9D2nz/Z+mXgbUvY6Y0hXKd+MnGe0ugsoz3a+W0tdPKunffvlpWv7sPHy0P2SuhtMotbNO&#10;c8z7yHMQ+CrXa2ARSFhx3WGHa9cqIlYEHrHWxVLVAoccReQlEbhXJ8NZQRHj8l5+Te6L+zqLWOWW&#10;ThElycZ2P/mI/F4OFjLmE/wjjFkklsUS1+y5PxjP/tljyFFGdHH53iRmFweG0ljdUurrqkv9dP/V&#10;g1gf7S2Aio+nH715JX3y/s10xD42iLB11pcygIhb1957HOWHFWW5QEKdbUQiaKk00DS+1gy6qqib&#10;pX195i6yCGuLIHZMJq5D+pv+nlhv7XQXTQrjI/iq2E8uQIEoxPMoot2c2QevcQ5htBnGtp85cyaS&#10;AAN037eG8j3bWH/rL5FsGEDYYak6rjfDWXPuhx/Ym5wRmXVvkVnuAvs5xbBPOBeIfq/CVEJUOJTs&#10;XMNBtmGc7d6wnSo3YxqxCdUWkSgG9eUzJ1IfZKw+BGdC7MXeXBxWM0Z8DTZiIw7mvG2LREp2LZjB&#10;elA94NbMgiDlxnezuB5eKdddYZhSZY/WNCKvHeEbarBr6L/vKyDk6FNmy0uKU19c41UzCvbR32Rs&#10;7QMG1Bwxetc1bQD6P0155b3XLqUTMGw/+epOev/zGxASH6UTQ6+BCriRi4PgBoiCsteWZxag+QLR&#10;dACiYg8a6EyBXGcQEDBrBQZ6B1PY3r5yNg1bO4bbEB3oMa3ND+rX1vGFIINBnwmtjSjIHYEObDB0&#10;pZHhRgZz+3RWWAtr7VTcRYEkSDcOGeOTbceBsRWM/3CWuaZ1lMZP9KZvvnM5XaND5RgHuL1AOYSI&#10;dRWWztJqHtd8YXwQEiiwmV0acXDMUIXStWpZbjoER+yM4TXdM00GcWZzbOg9nn0LwUoTnw0EI1HQ&#10;YpDP3AKDhojciYNSB/fbap3dHmq7bbjXLLVaoAQ+gyLyjz0URjwTK0USRLs8hMcEDduMSJaI56Y3&#10;Anbq1h7Rs9NXJSYH3zVscXYMkbjHALbcj73E7z+Ez9PJpr882kN3kBAdMyB62iixDaVHlKZ2gBRv&#10;3HmKmFVL+v5bL4FoscagVa0ELgO9PbACWAeMlcxk5zbsy8kIm5xT1vivCBAzSuC3ssMOQymR0adv&#10;2UZjV3SVhKEVvgxLkIOKcOBR4uBelF8Wdg0Y1+9nS3fkJNcw1E0QBI/TxMIq2f0qKBldExiXQQLZ&#10;Ya67h5JVE8Fdk4gTbyaj+4j9494ToTJYCZvguyvG5VGz7h1CZyBb/NshfQYAAWYaCHMNzRB718mg&#10;StQfuxgYVE+AGzVsh57J8bBd0uCS0pDErDYQigESgIcTdwjmQDUhHg8z/nwNrs6ju48ocW6nb737&#10;XThXffBRsoy3E0Ela5pVGVDXxo2rJeFekIRZqas8G87luaryOhKmh9CcqKwynTamiRIsitxFnJoz&#10;9ih9hZ0tECCTlfAiud4f51PHVTiYml190d/ncOKFAOCFTDY7yOffq6FItd/wd+Uexa54walmcqTO&#10;Lgc77q9og47DkPd4zTnnoN+Oo1yyyBm6RzirGIbzLBxZtAN70qP8hAMi4Jx8Qrv8nU9of5xOL/ej&#10;ithXSmPw3U5iLzrZQyWYlgNjXent81fSDnNB/ubu7bT/w28RRJI08cKWyMq2S6rz43vpBDkUOnCK&#10;UpmQzdfJq+O97dxwD9rV4V7xZ3T+ZYnv3LdEZsHFsP28dit/adPuyNXjFw/4+xbPeJ1Eo2x3CO8b&#10;KrHYf9Ell66Nr7WzIBJWbY3ewbesM/djA/Ra567xzzmHZNP8rAPLyg+zeGKi4Z4T1521Ilns5vu7&#10;K09StQVBtAMSaIhwT+D1DcPreevy1fT6BAkHrycdIJBbz7FHyPU2Dw4/jj1n70dpnTOm3ZrFsYsM&#10;9A+cBlVgiBzCbNGNqLQ7z3Sdu6qCorcSmEvmj4SEF4vRD65ZlEe5f/a4cvbho7A1WZEXfppTQJlF&#10;4yE/MXoy7RD8VzmTe4i/ebedNDmIMuaTX9x/bTFcjUhSM3p5rFYMTy3aILBLKwvz8TsssU4oq+Xt&#10;qtegg+CJvnT5THr16mkgZWvXyuGiHY4ReAQP4A6Q42G7RKccQATztYhMhY/7cIIn0Y1vBhLuo1fb&#10;OKWKU3C4VjeZgyS8EmzyDQKKyFiEryXr8DohmS1jP24qH+xcgiEq43s7C1tAnTCxFZURdnc6oAvK&#10;A1Mwp4yDqHfmOZswpoCSwSzRsvbl3ScI0cjWpvyBwRsd7E4/eOtVJqq1g44spgHY/u2wuKeml5kY&#10;t526eZiSr2pGJYx7QUarh9H85stnWZsW9Nt70j4Rh/WvNhz0ALoOiodwGSAHZmYYb/kQxXYNXf4g&#10;AwpT5xNjUNJALW0bZT3FRDbJ6tfXaW3k+tcZF1zX3BVOtAWtdddZoZuoQWvownkaFPFoWZ8O0J5L&#10;Y8ypJxvtBG6q2+tOffTKV4S69lcc25peuor0Lm2Sqs6FcQsSjhGm15SduM2pDQrXWC/nTcq8fzPz&#10;B/YoAWzQZqseR0wndcNZtiGC7jsYgtMxF6OaS7zeCdalGcOwhphLVVnicDD2k8tI1kBrIG3F831r&#10;8L6Rc4TWOAk1+HBS7Lt1nEkrPIyNdZ7PDKRIEKxzEJQkgtarEc/rhI5GtqIhZ2vgUuU6lgh+1xgX&#10;PHi6K2qQS5S8thy5zL32khH3tKNuuIZ4GaWoTZ79NhMzW4B0HTS1wSTByYlJ4MuuguzJHAZQsDpS&#10;uZj3UojLhPGLe9OYI7wjuRDkR1RA4qns9zr+HnlRBBtF4GELHeuxawBPkFaxLATk2YUht3smB3Fa&#10;ITkjGgzHB+es2XW3BWxuCUElgk3JqPa2b4MY3nq0Q9luPV09fzKdIphv4llnIq/ohTyh3F0SvAmd&#10;Ec+4ZkzzEvocshNsBr3bQvvB9rP4WUWWyM7Ulig5Bvzhk1Q33J9WOeP7WHM5LCUFbNyjRF4NBCFV&#10;9Fz6Bi6kgSGGb1nuogOKL8WUS+cJzM/Ppl//9jfpRz/4w9Tbzn4Hwg3xMPbCPIZWkqWtnzX+g99r&#10;Q6l2E6JrtPJyMxuSLClzdQAxC6MdM9a5jjZpS6WHBF3SKmxRzFkEz8BbLLJXCeXBDSpq7gGjRwDx&#10;HI5+5r191n49TJQ07uzYA12In8/snGdIf+wJDb4HnrNkpw+/7GcV1NBpsgo8GXirFbOJZ1SMabtx&#10;L52AhNCLXPY0Ntks29DywA43AsdByql6bydTbkJa3eGFO3Co3QTe6it4DzrPJX5+DPW2PkuQ2K5d&#10;7GXfcUvavgdJ8AnoK8nIACRsa+OqxnqkHffM27NXtlPbwEL6ERLWv/1kNh3RpXAFCH50Hj4ZweHa&#10;zgIzLnqYMaE0NGPCJ5fTCfzTSi9qiSrDMl328aWu1Mnwrr6na6mRwLE8sxEKjevjfWmO+xqAx3Xq&#10;CVNlQaC2hlAEFXlrxm88WkndnN0RkyUmG++BwC6fOZmmzvXTqbec+pewWdiG7SdPaPlmbHhvS7rw&#10;ZDMNY8OP+Z3eHdYT03Dn9aH06yvtaFgEU6ngSJgsF3hUBHzPP3ya8iz25WARTI3iC8u3H6R9ZpRs&#10;s/crTNIcYIT59ApBO/twEMGt775yId06NZBuybixZhTJQHbLwQf23IBe74mUWoaG1L9Oy+QO9mkU&#10;cuMG93ME/60i4Rt9AvdrmWAo2p7hYjy9PROBh1omhwTkXefO8WdbWgBNKolIb9NiTV9/FRBgi7Wi&#10;gEdXieeI8sj+ejrJ+gxiN9poH92nLfdY7he/F/OSvFDs0KHn8lkZ1P0rF4WLZ4+JDB7B1WtGdCoI&#10;3ba8o0AdQUT4xZxMhZKkDkRiUmNAmRl+WaXW44/10bs6z2jhNaDCwWP7vVmciNh0Qmat+Y3NmAcg&#10;njgZcId6trZkBTi4zijREb8YcQ1MnpiXixi29EWmFNB5ZlY7udPjWheDRDhcbM4HU5PpDHXUdjtz&#10;QSbqym1R32nCeHXAixAG8nWiedGsl7dYW12Hjc+UNvq7ykCb3fAEzsAHaGKKaIWRsdvVHRT3OtIZ&#10;NvinN+/x89RTkY3Nw8AKhx/RaybHaXiGIPrliWe5vjxHO6t944PDA9zvNmsoIkKwFY6+qH26ogHY&#10;cLhi3Cb3zRfUaLBVbY6HskTU2I7eRM9gVxioQwaOTcww6pfA7ATZJdskHnSwBywwAhNbwtGJ7cW6&#10;Qd4heDvcR6AJx2VHwhLPQMfRP9Adw5PaFB7iuVkSiPDdTCFQiOzY7IEPH2UWJEri5qNlt4TjXVte&#10;4TX2UydzCyqO92V9RCZ2eL996nkrBJgt/F4nkWojsuRdBCt1yPOugDvaBaR5VXMh2gN53RgJLsqg&#10;CwuNCDY2N7MOwrS6yMEwOJiRNFSMWMdxEWNBjF1I2KJ0ArnzAVppFR4LeNIMzneJtSu0MHjBVr5/&#10;+tRwkCL3EVXSnu+iaDh0siO4IlNLT9MQ2vvj6PR74Kfn5uKQHyOLW09G3dTA5AA1+glCWjDKBzj1&#10;PQx15h4W0D3OzGx9Eqd+5zFTL5FatqzQTJmtAyLmGMa2v9eWZNZB2XJQkmWCljtkNKtI3pq5rWxU&#10;ae9qTy/h/M+eRD8hMFE7NbNssdrKUf5jL7qOixifEbqV/s4PXwaVEWY+gvuzAQn6YRBor9+4nzpe&#10;h29DxqhWvglB1GuLdNa9ux8oRRQOc0D5LB/LhvWX/+2fxJ9mNZ4rn6LGMAwI97HDvjvLlMQpygt3&#10;n0ykcxcvpuHx0WgF7aQV1CDUAOgQNaDLFxypjGwz5Oal5Uo6DRH6/LkrZGBzoJ4HaQa+SdcFdCLc&#10;H9GGmttPhXkljeaPfPGWj9rbqNuzJ/2KwWY7HIx6OBDBp8KxiWZ0EKSIl3lbcX4LNCIcfgRWBmn5&#10;nBdxU/w7kKZAxzLEEE8iIqx8FfJXIlCKBKiAISJQUHpfxNBSnoYja37kX2P91J4o3mgQp39ujQwa&#10;h9uGA16/RBccYjMd/LuDbPfcvVUIW+vp4PwIWgyU9iyTYitHJ1bSyMRikNQbx06nhaH2tDDI1Epm&#10;ZvSinLk7u0gw1plmmVM0fXUk9S1W0qnPH6V+MlFrABuciSXa078iSO6lC6MdToroXdgRrlGSdDOB&#10;XqNKj5RSz7X2pVcp/55bTOltuu56fvZlOkuGPjPxiAmgTLtEM6Hr1XPp4OMHaWAbJ/zeS2kWXR99&#10;xxjk2aZHy6ntt7fS6ZcI1G8/xhZvpa7vvp0WmbHR9+nD1Pyrj1M7A7DWBrDJJEKls51p/rPFNDK/&#10;lXpwXPvlHYSwWmij7EmDwALzX02kd5qHY6jZPGT5dHM6DcDd65vfTsNzG9Gy3wbhHnOXJlm/8kX2&#10;VH6agRKIUuTA7vnzLDZXPKMY6W1gTQDcRWdhYq36BgawfdsEq9V0gTHtAwSAe+4zSmYDEPPLPJfn&#10;EvXxZnmvFvtNob0qwcPC4hJnlYCOseihHkkytjw9k27/1Qdp2K5BFODK2Cv4A6kLGfV91vDO0iJ0&#10;g4O0wfV2X7uSXh4fw29hC0EgYk+x1xeWtlHyBc3Gt6h6eRJp9GF8QSdJdycEZ5PvPdZdeW7LfAIA&#10;8o7ymc9rkbtg8gmLPV5s+jgr2hxRVoKgXFbKAigorPLA7Vc16lD5DENsdrOBUVtbBEwhktkk649B&#10;RTiSB0C/G1tk/jjtaI8pClu5tpeh5B0ywgXGENtyCb4Vwz18PYMIYch6DkkFSMVLDQKjUV/E8/mp&#10;2lISdSohXx87tc0KF/wYnsCdGQgilcn03pXxcNabDNpxCp9OqaNnlN8jUgoLmWFhq8FVIsBDcDMn&#10;9bVQa3/t7Jn01ktniOBoV8ExtI2OxAjWNbKWL2/cDbhHFcyAyM36IoCwZqb1FQ7Lwks6XyM5nWeV&#10;z0Oc+hrDfloh//l9IetoLYrMOqKHCLRiwJjrHQ5b9rxQK0QV+o7v3nmAn5jlmTSHloGN282UOkbJ&#10;2A4JCOoIghL8FMmCe5IeXS+cnMhNlvOViZs5Hys8vw1qSTr5Iw5VJ2RCe4IbiPjtlS+AkFy6MAPR&#10;+UbdPRtO6XKWrEoscP0a7bD82UU2WCIy29ygJYxMaBunugm8vwJ0rH5wGyWORjIGizgNlR0eP6Un&#10;ZOsaugmYWOvaWHKFtoTshKUOG1oR26rjEGylqfkluAqraZlr99uvvnw+7W5vcMtE5gRXdtjcZtrf&#10;IqWZKQSN2iinnOxvSxcxZKcYatSOgzoC0VFUKlAO1riX2tPFs4PpAiOOx6n5tnOAKC+CJsCY5ufe&#10;vnKKMhToEz93AtJUIwd4bwOOyzpZB0Fdm2U3so0eeUCqPBqmWDO1NOEKBfPb/dJC8LCc3v/yJiqJ&#10;ciboLlD8iXttBomZXFhP77x8mjkvCv4jZMQ9/fbLSRznfLpycTh955uvRHfNh5/cTp9fv8tzusA9&#10;wag2bDB7CDEbCYKeDaY3sq8rOJrXIYraAZVRxVLwNsoYv0fA1U8mWE9IpZ2UcYQE9XnPw4S8ry1l&#10;RndP+ObM6Qi+SmFKepnuWALVmL01GcTDl/7gW2muSmBKl8bq3QeRaZVXKtSHe9JTkAdrpqIpQtXr&#10;O0pjT6fLtL8t8myPGDuukUP6Ku7B8dMXL0GuHINAJtvboN3snjMh/8HuKVvQsjAVQZllJNGzfMTj&#10;Wi2Lxt736+5h76G4eomfZRIi7zCCeTyJBFQ/ApAwcQkjLzRedLzEMVcboYC+C6Ma/qYIIHzzEBPS&#10;BhZM9zC+vE6cK8Emj3kt6ohkSQtX1Nq5DksQQxtH6eo0iJvtyowJf6m1i4RrHYXPttSJE+742VeR&#10;eDVwPhZHutJjs2Pe4MKdqdRx/R7nbD+dXK9LTzcH0xSjtvu+nk+tEKvr/N3mDTrHQCYo25UojZ57&#10;OJfaZ2mdJfHZI3CYm51J46Tqw52DqQdH1kLA4DRJy8UzJIvnIWcvgSy2NnQyvhzV0ba1NMyz6cU2&#10;DpJ4dVDGvSZ693SJsd7V1E3L/gLn5Cmt75VDpMxJMjqHh1PXMXA90zyPsJF9BD2SATsxxocrjCtg&#10;LHoJWHzQ8gVlqDbs1ezyemqjrX0LDaB+tLTBZNI017FQXUzrdPQcHa2mM9jWTrLvLZCOy5Dany4u&#10;pyXQyTKaL60Eoy281/FAJ11VjJtn1Tt4ICvayqKqjJhoCFapmZG3ec1thuvMcvE8nyjTkQColFmy&#10;lRg1KtHMPZKIKkGVNr6OwWaNTV3BSQo/IUJe2wtRzsiEcTUiVkEvNnpBhkhc6iljbDJfpp2OjDL2&#10;uQUE8TVIxvOIWSkOxwng2fWmp6zPAOW/BlDuZb9uWcJ9S+DgUELS8/TFwmJ6SDv8EYfOkrCqrTu7&#10;2NGNxXSBBoSr+JNGyiL7B6t0pMkzyv4sOBG/EzYU0UPtDxPlUNgVXdH/YIec5svm7x1kYlmakXum&#10;09ZxGBRI7lBEqZKmGT976QTsZ4Vt2JQ6IUmMcxh6IZNDNoGZTYb9imAislucLm+6DuStKI6EuwHq&#10;k339fdQ0cyuj+va7RLfWrOO4R82rEInR0XIyvUmhvR0c8/zqIZoTy2hXMM0OmdYdDkgX0P67BAJD&#10;ONVFmKdf3XmU6lrX6PnvQ6aUAAU4SJNwhCEvU5qI+ekEEG1tZQ4HrZdknCtAqFtEro1lAgE2eYX7&#10;tl1GQauoARVAZW7/clPlddLo6jgsmVQhjraq1CccFBM1GxATYXPh3CxvWLC0U535u+aP/K4WzGhY&#10;dnHu/8h1OmrMvH9Taw+ZPNMOqVlZpiljXDr7+tPNB9NphuDtNJoGHZRR5AO48OqXHwOFh2wz97rP&#10;BtpcBwFCpdHrMhhaBZ63Rtiu5/QDqFzlSI1oBMtRG7cGqzHNZSWlZ0PZMYIIAha6dvZJoXrgezQg&#10;ALWK0xXaq/K9DQ6VZ7AVgx/ysZQ9KsCmtmquPiWjX4H8eGE4HQ2AkIRz55pFvQgIliBMPpqc5XMx&#10;zS2CPlC+CV5LlCf20ile+71XXyZLJVChHPXbrx/wc6AsBmHcwCoGfP3pcnqigAvozbWL45CNeoDd&#10;bCr0HilZdLemN5hISNUCvXpkxSl7teJ4upi1IrpwitLW73/nFSB7dA2I3E3HKmQb1mLVKWiBV9AC&#10;2rECGanCc2nhhSTLHmDY1ebwEBjFmwn85pN7oCQbYUiawUSPLWdxprZxgFMEWWXGJXe9MU6pqQnn&#10;vpgm6RRqJVv+7jvX0jvXTrP+pTTMefmTP/tZ+oqOkd7uVwlgdE8GiAYutvfmbgwJipbU1kEz9ki5&#10;5ApUCSokJ6rnMjoylG7enICnwnlQXEvFN1VceTV70yOLriXQRXklO72amFa2uCfeejm1PYA3AlO/&#10;nkz41CsvMUJ8N0iuk2hBVNlfHZzTkRNjaZ3XXKMbSXKYyMnM0+l0+9addO7M6bQ0txqQqAO7Lr72&#10;FqO1l7luuz4oTbDv95DUFdk7cAiYQmIyzDm7oWOBjXLto+3OwUn8Z5eGsUMvDs426VWCTZLV1Gq9&#10;tFCcNfNqZiM2hhaFzHX3uSFT5s84/TdPLGawmOsi8sFrhsiScUnwouzHLaTWAinNXS3RsM25k6To&#10;I3LWm+WAQxE11tvYPDgPGuwIJ3INP5QfeS/1KgaI5ruB35tG+wIWPs0Y8BJCcc2dp+GxwAcBbe0F&#10;OazC2TrR9lpahvjt82mG69RMia5zkEFbkOUayehbKF3WTc+yt5gKKk8NKLyT9yrRNi5ZuIFndoTA&#10;yxGSy1R60sDORrpIwNmM8x7jXB+TAdvZZp19EVi9p50x2Gh6DDNGuwOuVeclznAvujYsTksHgw83&#10;0AzBjh4xgGyNZzIF6vGT5Tvpo/f/dVrl7KaekXT2pdfTWONSemu/nE5DID+iLHUEQtVBOWaB7XWv&#10;A1VRpo22EIDuKdRHOa8KfL+8NZE+W72VJua209L+cpqszqf7ZOvTd7n+TxrTyx296T97/Tvpje/8&#10;MC18fDOdRF/nHs65XrtPECHv4gB7WddFAM+KtVsO5hmpdWHgkEmPmbwc+e+z6LAoSWkDza34Xks/&#10;AQJljSr32wJ6iHdOW6AJXRCOTVg3KIOv4uBXFU3jtUOJOeebkQxH5cxMtOAWnKCryGTQUmKLLdm8&#10;RhvfXqY0cVRGFwf7HwqwBEIzECubCR5Hz4PyEEw7zG6LZGpfLRTebJfE5fOpmXQT31GP7WogqW4g&#10;CC1RSq8bpOwv4b/wxV6QYICdYaIsniM7LGojvWukb415jtEjCs4BenHtJbWXTIKJAeanHod9gG+T&#10;ISxr8RJXDNNt2b5x/2nqJgM+S1tnD/oFZq6fw16//XQqWjaFvFS8cm2s+fpLEbF4uDxzQLKNGOp5&#10;so/VJ5MYY4wBq7lLdupEtNBwwFE0cVNQZHL2EIdbaVIiNOqlM3R1zJPxLvC5bUeACXuw1Bu4likQ&#10;kirEyItkEhDJkIm+9fBxkNaunORA6phjuhncADZvJ+jHKk6oEY0LJxJukyGFvLGjyO1+2MSJQ4rs&#10;hnnbC6xtfd0MK0/d1EJIiIsGxGiTksw0T4lkB4i/D1hPLsI+znF9hWiQzTGCMqTcBX9DqxQDhezH&#10;jWApPyLhoB2oxUtAkHPAVfceTKZzY6PpdcYCH24tQpIj86cTYGJhM937+CFiMNQI73bQFdKchpmY&#10;2MO19nEAO3BC6F4GoiHp7zFOuROC4GB3Ha2vlHtwjjqbTbUEJCMqaezGji2QYT3/Hhr3kT5FcSEO&#10;n9CfDsK0cpYOlqNOnhHBYMnnxz23sEdaQT4k4rWSOUR2jiGIzI51aqN+egSCssXLbhM4GsETogX3&#10;YmV9P/3883vp0cQcm9sIHsKcxl2FUv5d4RDduvs0vfvmq2mbTfwffv7bNEGg0dKGYqW68O4XHsbh&#10;MUJHrPH29BaSy19BKj2Z3n3lMhr37iZ2N68nibKyuUa5gGvjXnYxpss87x4CiG5qkqmOwJaD29hV&#10;BsrlfoGO7z+dJKjoTK1b1HcXyIA5ODKSN3BYvRBTnVVhIHhwqLxzE89vJi0wXfblC2Pp3devsf6Z&#10;FzCJausvPvycIGQnTS2gWUCnUHsrkvA4/y1KWF2gH+pRWL9VS+QVarBbv/+d9Od/8Te0dm2nDkpr&#10;cisc+R3ZNgYxRquz1n1O1BTOh9NTUuWTMkE9o7YHWwb5Xgv7pD0CbkXUlMcJ4+YzN9jTIfrILdsV&#10;2X1oelj2CIgzZ2ejdKe09telJRKBZRz1AuTjFlCfE92D6bCnL01zXy3FMK1vvPtumoYcrIuWsOX0&#10;ziX0SXYIZO7feZja2CvXrl6mxbaH8lHO0kIymveVqb62skQbL+eJ180D/nJJswXH499FJ2qTVw3o&#10;O2IcudwJAhHWZxNDbD1dW7ZDOWpXMTr3KkFhi2Q29mUMg9L28G/l8Ts8ouskN6zd8rxIK9ny0FAa&#10;uXKebzqoShn0bCdzeU9SKg4Aci6JcdqidGDZtoPSTR1ZWoMiWZStQniN9wsJaQMJ1thz5fhmEV/n&#10;TQwRbIzDF+gnUTpgb/ZjUw5ICtZwMvtA5E2Xxzk4EPJYlzpQ2CEQU7KiVKLe39kKH4CA3W63Mojf&#10;CCJtAqS73LdlzmMCkDK2ETOQukDf9gk6nTnRRGnU57KDwNRJ4PIDS138TjPtYQodbcJDEMlpRtOg&#10;fa832hi7OnvSa+f4vjoG7N86EpsSScEsAeQ+DmuLTPX9Tz9P//2//R/S7vJ9OsAQQuL8fvbJXPr5&#10;b/483es+m/43//h/nHbpcli+M5NKS6Dbr15MVcjpR45aP8IhoYWzSRD0dO5J+tf/l5/QSbCYxhth&#10;aYtidvKszjNKvdQbnWE7k9Pp5x/8NPWfPUe5ZyWt4ptK519LhyO96S7OUQmCwXlQEjL/yuAYgQPB&#10;ZySCPBNboS0jsMV9HhllfjGQyPtDP2PE3YokQR0aMutTt+ApEH5uoq0DMtY1iF0A+dvG1z3i+a7Z&#10;EcYZbGCD5Xb1PHfKkDda5g2ARXzYH4ckf3Y8hWQ1TrlRFWMSnErDSmphpHuF17Ii0D46kFpeOsV4&#10;dfQ8JES39xAs9PI+lPbw2Q9BbR+zP46YgdFUmUsda0/T6yTKFQKxyUXKieOnQVK5gtBMEozMe9Cj&#10;7cmzMvAcXNP2xzeefURXC7bANtNDrrdMGcayhjZ+ZW6Cn4OnpBywUblZw5ZZrVAIC7JCZPMAQab1&#10;HWRqeSirkDY+/vpxtIG2EcbuaYSE7jyUOciKKFx29jGw7y4OobWtLw2c7k8Lj++mVab9OQejA5Jf&#10;I5HrPuQUZ1QI7WvYYiALt1el9nufyHlihfr7dmayawA9HREjhvEzC2hMNx7NhWP79jffTldffYXa&#10;/0H65aefpaWVcdQfx+iwUJoWDkRbY2Siq+gECL3PYrzHqt10UbSnHnQnjkAuZhfRMz+qpLdp8evg&#10;Ich+j7UOWDfnEZJPDCJUKlugXvX53Smy3jEi/h3mXtyNtWgmFWrkwLaRUbSp7KnhDuieDQDCYuZq&#10;VXuJ709wn49n19LiGsiDp5/P0jKOjpruVcbDykZ/gBDMx/A0NiQp8RpTZLlT/E5zA0JbwILdwJIn&#10;huhZJlM4CfT9dHmBQG8mffftb6RFDNvOzHyQFp03t0pkJi/i9DjkTzsm4usGgUCJHK5WDohkHtEE&#10;te9LRhdwRhrUWKbksMgEtzXZ9vb/s2u6kCxWFt2DY92/h5a9HTbCFKiRtb8BDI9Khm7gNbKgKs73&#10;UMTG6AKjPwG/ZXGWLIw1i4wvyg85+rXMVSq3hGbJv/mr3yphwN/pSQHtCGVBgsnwBREHuS+cJUIZ&#10;sYLYF9m3qpLvUQtugE+TmcxFV4SlDJxViwqK7RCX2A8bZNOPyJihkNC+SY5JdoBJBT0g0mevlChp&#10;dBQaEQYAH358Pb2G+NqVM4M8A0tviCeBL06SEYyQNfzxH72TroyfiODVOQ4Xzp8Kku5//PmnaZV2&#10;1WlKFgNklA3shQPq1yXOy9bOQbQHq0C6DeIxNtyNfsIQKAJtlPCPNEeiRcqDR92VtXIWxogD5/rg&#10;4djWypr0XjhHkEXpi/0yhhP4g2+/EfXVI5Cp6EwIXgROzHKdXAURqMi4czCZSQMaQXaubG8+tj+4&#10;EcJDbZRM1jbQWCGwO3gCekQGu/R0IiZDnhzqi2FS9XyOIVC0Sya6BFplcmGwtEPA3xBwKtyq/pEI&#10;rE/BH9KE2YobffFclzMDDHe0ZbbB5rpFNvAK7qjqtwB062C6HgKNnF1ljkjIY3dSUyb5WGZoWwNr&#10;0k4AVUfCUGK9zERNfhyFbSeH6JwEuo1bj9P1P/8pzu1OOiAgi956EKjz33wvvfXP/35qoLRgac/u&#10;4tCj4FNS9xH1+k///K/To0+/SHtk7r1k80cE7y0MGxt952o69+4rqUwGS4G1mGKptLAWRLvCe4tW&#10;cNC2Kau20ja/t7uWyrPYGOD8DkrHs6zZMtyrQwiTuwS3xwj3LTB+wMTg+DzoyzEziUgIyi+dTVto&#10;6Dgve3WkLfUwFqDBAB9Ecu3xVKr0owhhHEW33djAJYZ5NaZlZPYrBM51T3BaDPA4wAY2E3w5TXgF&#10;hUZr5iZGXQPqQnBWsMWjBNQLkgwYfrj69rl0i2e2X22Ho8W1kaD9x3/1LyG6LqfTZwbSK8OMJWD/&#10;LWNTPrkN92JrJv2aYGB+qCEN/Ogaz/wg3QYBXgFp3T3Tx3h1kjd8w8OfPEjv33o/LbdspNfeeCmd&#10;Pz1OpoxaI2WwaQLEO1OLBD4j6cK176ZffXgzfb4+my78o/cgaDakKext87X+9IDSgoTV00+RG9ho&#10;T4un+Gxln9u6HkG448sli7/Q0eKzzVuNp5WbegOtMJFsJzDknJF2pgH2RgcBVB3o5hBEyla4BvMk&#10;RNsgiAayIXxlIB6k/lzWEHUqWVpXVRbUouzgMmzGFoiQyqsqE6uRIi1tG9Sgrp+uPsowJ69dSHWQ&#10;5Fc451t2vRAo1CPAt2cZUM6X/KethXRIqdvz2bFdly7ys5dAC3YJHNrVUjJp47MeUmnMW7EFG9+5&#10;F+X6IlqIMuB/6qP4mfjDRN+qgf6s4NTpP3RudmVschMblB7yy1FKkKHPYTt/5QLR9m6auztDnctZ&#10;B2QNDuAhg29Q2CAeBBwA4XTY83VkvPjHkIVeo03x3OhYuvzmN9PG0kzap/6zw/scNaGFwLi1w10y&#10;KKBPOw58als82BvoGjyaAzaG0HbMa4bqlw7WLIIr8wZyjpT7f51Xf+byK5RPKkg7U2/CmH9ydz6t&#10;Y0S/98oYnSLAT7zGq1fPRODz9Z2J9JRs0Y1pFtdOFr9DoLSM4RmmfjfI4CdLIblOLLKda5BqUsjg&#10;3gIRWaBT4AHaAtNkDysbT9KP3rmSrvZdiejSPPv9T77G+a+ld969BkphpCYgKsmSKZ3wLh6i6HkX&#10;CD6CB3t1TWljcBIjh3FmPyELKbd9Jw7zn/z4V8DsZnUqEeYHLTxeZR0sK62DUkzRsXLn4SLCPXQT&#10;YDBB69MiKoOjI0xOFE6IjAziDe87jRPrHm5P/QRKdeC1HTzTHrtmuEkPVXMQZLl37vPYkgqZzg6l&#10;hxXHRRMsbLMR23Eyw6ifyY9o4M22iMzbOWg73Oc0dr/r+++S4XFgMWrWEa2Rj9NmNYjjFm3QGTRR&#10;Mjr37cP0n4MirGMs/+//7f8r3aPVz4MYlWNrcbbycRDvTVDHRXGyWTEudAYiI8cBw6/OZTCZCcYe&#10;sRcRhiITuPt4Jl2j/baLmrCEpuiiIFvaoVzSiYNoIkvfrG6kp9OTeWgV9clbcC06yVq2dpbSl188&#10;SGeAHZ2tWseL92I4WnESH969le7PbqXp7dsgFRC/qLsOAelaWbTb48y58bRKYHufIPwkgd0E8s2H&#10;ZIivXL0IQrSUfvPxbWaAzKZrZ4ejvmin0CCtmHsEopW1xmgn3SVYa6Oj4urlsTQ9OVPITxPw8fO2&#10;rGbyMIaB4EyC7iaGZwMOicTDdgjCuwcbBDW7KMbS+YATe4IjaQRZcQMZDEeHkDvcZx2cpHz+wmaa&#10;CLjHIqjIG24RJPExAWsTLcud5ZFUJfDbxdHJe65i+VopIXXiuPbgQZhdVSF7lUk82oVUlXfHvjQR&#10;KAzjfBbmkQ5nbTaop7dyNjrITGV6iALeu34dZ8SAI87Rxcs4kAsXAnLVPEiy3CZzFnXoh0CpNknW&#10;0igIDsW1hvoe92ALukZUhT8ROimZDsezRBE9V+zPFs7dBnvrF//vf5FW3/8wdXB2LgP7j0HcXud1&#10;Hv3ml+kxpbEr//gPU4XXjN79yCxZK0p5X/y7H6c7/8OPU5lAb8ggB8GgI4Lc5Rtfp9mHN3iPg/Ty&#10;9xg+IpIRga7xmTVmA5lMYp4Hbj/xjbG0S5kYRaM045ouYUdPdPPzONdBkinKPocDo2nxDJ1koYnQ&#10;kAaHxlP/FQIWCJz7J04kmg/TQRdr8fvnU2Nve9rFNrex11uudaedEcitlLmO/8u30h0QqyaIwWeX&#10;z6ejj0CY//t7lExAT6OsbOs+Oh7Y0s4+iPHw2CiC8GwIVkzkxofTEqq8U5ypLrJhQsIg83YdNacl&#10;HPqTnbn0EnvhFVCYN0E4OkHrKuyZDkomP74F0jqAMXqtOz0EOVlDsbEqqkywtEb57R5Bf+fqQfpg&#10;8iYl3IP0BufoRDdBTANwPkjqSV7n3JmL+A4GFT54nC68cimd+cNvpMfwi5Zfg0eC3ZjHUZZ57q0m&#10;mdipR2NtoJGo21Jm2SDIkAfRRiLXyp8K58Vk3wgeRIkyRyBjxBmmDRSMPw1SZ+gQkrOwTdBWgiyO&#10;HA5lGV6TIHWZ1ur6ISbGEmAoq25SbUAiAqEPcdS6wcUR+1oEN8ob5mXsJ+UB9kgSLK8qzLcBWmwl&#10;rpfEo0wSsaDiPEFaVwukespUljFE0gJRIfA7AAqrhygrMb4XhIkRkNh1UiDs7GmCsmpBNtdWeK+h&#10;S8N17dCx6MGK0qDPoRZDRCLxuwFFtJiTMDQoXkUbqhCsKPCpS9fSR588TI0b1FSmEXzZJPut4njj&#10;93MagJE9pAecyXjcSBvEqhAm4lt7wG0Vax62RWn0m4lGfXEOUIUFW0HuNuY+MGhnGqZ6/ytvga7h&#10;PBqmcXrT1P3pKydj2SagOCYys33HIXALS2SEC9tE7val5xquNyf3Imr1Oom4vnyNGsQmstU1YKAg&#10;OKp1QKYml+DeE9i6IBDvvTTO76rKmNK1ly5TzkJ2m4fZ2DecHsLwP0Diu91xxZ3AZMBS29Tq2izL&#10;8KCDuWtWwq0uIpizAOt9mkBlhRIGIwpTR9cA7OTJ9Dcf3knfe+sK2hpkycCK2wRm9zFO+02Z8d+P&#10;cMvQUHd6PDGVPr3+gLIKkSIlAvP5GJQkPM31C+O30ic/wTr8f/7tB3GbB8B5SkCbgQXE5q1HVwt3&#10;72bFqdhqqQO7B6lPkSYZ+D/+1RfptVfOpctnhuLZPJnFEdCTPzw8SNYNj2McMinEp3aCjSEJmqE6&#10;SKjDDlVyXHOpod7mWS/zfiUg+guUWR6Twdz6+Is0QR32JMahj2suEVnv8RweEhCO/N630vh7b0Y2&#10;r5OxO8QAyEhZBclox7ME4d3zu3V8Xfj0X/7pv4ndGwPQskmLUlLZmSBhwGt8DTZ9QNxFtlDs+ViX&#10;Ips+As1ap8thFTSk3Ylz1HDVRdhi/3wI6aupNIWDY6ewJ7oowZyk9LRKgrX3eInvT0HqZNgUBNlz&#10;Z8+ikDoU61miDnnzyQLEyXkMFGJgBKsf3ZrBMU1DYIO3QkDVjCG8TOY0SIGzk/tvwYl2W78k6h8G&#10;9Xrl4mnW70kaxVF5jzuUBnrIMF+5eCpd5nlsYVA2IWR2sq7tHLohfm6fe3Cn51kuuY7vvzNqAHeD&#10;QO9g8wikD80GfkdColNVDQ42QANu3rsT+2WYEpCZlStvUOQrxcA9lRoLcnNtSmgOKij5cG5wben0&#10;D7+fHu8CLbMH7LiZ/ov36RFHgI5tuN2P7sgP36EtTfVVSzLsIoLCTfZrPU6cArW7ODtuxeHIJicp&#10;E126cBpezWqa2kX0hhJjEwJ3d+g2mL7xKe2GnJnO/rQ7Msq0SXtBGJxlizjX2YbDqRPq5TrWCJ7a&#10;qROLZGgfDtmrQvTtODDVcCvrlN94T7ufWnFcTrB0SqUqhqID2rWnqBEufXkrdWG8R5oq6Y/fvJYu&#10;jI1QhmhJjyidfXj9fmr7vR+mPTJoe29sC2zj/R795k66/Wd/mYYpR13pa06X+kAECdos4z5ZXE0/&#10;QZdm6ZcfpLo36ZoxaOUudCZK5kvs7DCo0GmgxfDlGXg3Z2jHEylR2wRIzPLK7KcgI5AfzWL30epJ&#10;TEPtBlGtgCTMg1D0jxEQECRt+KywE/KNmkCEtIWHBvEEkOVhbLI8B+fR4EgdrLiO3buN9HsX4lJH&#10;wz2QMCkBuafkMiEgpoNqRJtmAmJeq4E0pOpNkICnIBoTBAabOK0q12ArvciKAdqDBpR/6cgb4HF3&#10;8bAPgL0roF9tlEa/jxbPJxywHeZ2L/PDm+oCsYZeo9yiHbwu1OU0PfE4PblxPf0eHVPtLTg5kjU1&#10;GXTaDazxAJoG3373G2lu8xcQ0O+mK+/9ftqkRXuDQGa9QBliCjTP3JLTLme8Ynu9JEyrmhF0FsGc&#10;JSb+aptudCRwzRJdnZhp4uKZELnyXha/epTWbk9SxgEtpKNrjwByeJt9uEN3SIny8ePPCFZaIBq2&#10;pfUO1hgUJLjzPHORD0eWqzDc6qgCEufKzjT2li4J7i+CbKun8rC4kA0Cp5MXT6a68YE0Zws33UbN&#10;7QMkXYgOxvyirA2korMQYut+a+qljABLjYVdprOQAXbYvEaCyHlK5MckYoNyKVhvEx1Dmxj6iL8X&#10;QS7TJi3BOQj/XLMCfiFepsMsIIXYmOF4M2G5wbIFgZXzq/xovEtvqsx6yVrCvNZNgzrICtsaOQvr&#10;dRTlSnUGoiWTS3Hg1AI1zu4BFgxH41Aeoc59CZdKaGK0G6zzGOljGB9MTKQNosxj1D7qGjEOG5Cg&#10;gKHaYPK24gBbzZKs5xqVObK5YIYHzCqhg9cPHkEGSYqMPLcJ+imDtR3VyK8h3U0/hkHOD+5xXY9g&#10;vV/AQWzTlrOwBvrQ0sei0qY6/yi9Tp/vG984R712Ns0gQvWYaWn7ZPUJItbr58fo8KSmx0ZcpURy&#10;h4FNcxykDWp8m7CBbYnrBULWuXdgsJ7MzaeFn/w2vfHyOaSmrxFU5V79OQytXQw3Hs6mProC5vi5&#10;RTKOBsYTR8eGKIuRqy7Rw0i014zhPT6kZsb3Y4S3UbVMr3CbeQ10JN5j2WlvfHoYKhjPrKxp2w7d&#10;NZv76We/upE++O2diH5XCBashdYhljIB7P4Egt+3ENsaA5bD/pO9YsC8EDczgcgOrYTWOuvPj6az&#10;772dxt94jYE8Xal3biqNAOVvPJxME7/5JMR9hiG23SWL63zv1TREaanCPZCEBRwteZKIkVu19idh&#10;Nry9oXR0sNTRabILRPpsUJX35uGOO9bQFmQg4SBrmhFHR66cSx8B7eeNkYlABiI4GRyo3RXdlBU4&#10;vcCBx/S5f5m+ejifvvuNl4nsIVuBxoydOEkAfZA++vRLoHoceHMH98mAL+ryD0GC7s9zMLnHTVpX&#10;NzC8MaVW2FI4j/ex0lMhKFyEw3Kim64YYNrRUWq7lKXW2SutONYugoFDSHKdwLdXzg2AUJBVEOiK&#10;BKh2qiLs8konSBqCNbvLaWCAZ2JbLg7CMd4h/qQmR7j+TChV2jZvCgl8qIlCzGsGXTEx30C0zGFZ&#10;SsK3cKabZH/bIinb3FUqAvBacBbcklors+GNNVDPXlFKsP356fR02mD/tmJASqpAsjcPuLezb7+W&#10;WmiBm3fmBWsuCdvAhwQZB4DTJ8Cyw2uboMznXKV81AUCMQC/4vandNXDGzloMUM7SKcun03riw+j&#10;hLO2RVsjKMsy806aCMgGBpixQcLBXRG8UCvG3ogwKEDXwr6WZKpiqp0cMtPVqnC41i5tp/t8Ntom&#10;ypK1FEiLqylI18q1DvLz4yBKJziPp6lHD2CXbJeup6V6aZ/9wPNvR79ATpe8BnX6NmboWthaTW+Q&#10;gV7oYcAgGfEAfKFGMuzTXQSJILJ/DeLUih0o14MEeF6Ls+uerg0TM1kD64qeGx2cHUv18Dju/ezX&#10;aZW2x6F9uoYouZbQzpiebMQOo1HwrdfTNlnXevDKQI21gyZUCtGFhUZdxWdsUMK/DR4NoOY+uZse&#10;fvJFWn78MJUht/fyWuMgxD04ryCey42xk4s9ZempBY7H/MYaZYYBdChQG7Y8F3QhIe2crka7On/2&#10;sAf6KePs372bJrcJaEGY9rCro1sMAXxpLH0bWf8j9qEt99vsZ/1DCC5p+nlvx5Y/gjMDyIFAGoRA&#10;RjZnKmwuP1V4NpuUFYfGLqZXX381fY3UtDyPUdDjGQK7UqAG2oNIRXJ7ZnAeOCt+OUp2mosi544g&#10;vGZJ4kYiSRVBNdAscz37+L9FuuWmPvgq9RA4jIC+tlfXccOUvLAZDiq7effz9Gh6M10cewOu00wk&#10;vN12hZCc7OP/MusI1AwERbXhXYK0dYLbFrrujvGVPfCK7EbchnCcSDhHX72aWtBc2eR19klKWtsp&#10;YWCTrAJU2eMxfZXErEQy5jTlPpCaemz/JD7t/p1b6QQ+eqD/LMJuPeneR9hnzuvroMEigfluMxpZ&#10;hZsouV5pgbCZhXstXGy2LbEfi4m/ZgwqMKt8iu3aw8bMID3ASqXGyVUu3l54+Q2SLsyMzQStXbOo&#10;TyHp9RFhGyQM0o++BNFLWH+aUsVhE6IekpNQSuknA1cpzlprJm+R1eKIfDC2CV196ZsElhhiso8e&#10;sta0CIKAwZAwvkytXnKmg5EiAzYTDi6EF2yIaOeID1pn+rtYS7SMsuBOO+uEbR+8hQjSyKIJJJYl&#10;pgNpMasEg4Qoj9cANP+r9z9O/+y/+IcYXh54E2UQIrNtsptNSGG9BAbltsGAfL68h94/WeoxyINq&#10;ns6BcNiR7WYKcDRTDgErhmC0nD5g8FZL/xhIhXkmw6HIfho4NT7IJ5C2DGyshdmN4hrVyhMBM1ky&#10;wTA7RtzdL4Qmw92BKVtKLGvQ5YMIR/GLBg9BNmNFMtmMXpYQ6eJGdTA+bP5ekcGL6NE+SEUT4fb0&#10;7FTIEt/noA+zKX/45mUMHj+PQ6R4QS86DnJgPPUh5NR16XzqvXQxlYDxFQWr8mzbBofTOLLDcyA3&#10;c/Mr6QHTRR/B7dgFuv/H3/8ukDbrRLDVS9tTKDg6v4LSQ+TQ8RAzfP68HlccYA90BFY52q095QDF&#10;bEGW9V6oNz6XFy6Ch8LZue1r2gJ7WCdF2Vog8K3srKYbTxYZ2z5Hdl2Ga5NCRpZGrfTh7Yl088bj&#10;eP7dsNB1XMrQ2mIVNXnWqplOhy06B9Q3sRvXAXGhQGlAru217MaRNghbZQ/P0oVQISCxo6kV4yuq&#10;0UKW1oITPDE0yKA4u1g4MzgHkr+I6CdngY+Vv2WNNuUS8Ei22C92wfR0sQ+UO89RQxhIKeARULAP&#10;1zFMB3jtA352A1RuC8fqZMsxYO42DnwH3SQ2jJX5HeXA8wRHlzoHDN6LcKjZk9yKDOtausym5OEv&#10;/gaUgxr9vQcxR9v6+A5y7P3XLqcLP/pu+miKbH1kOLquSqx7M/e8hUP3XtoIRCVCVBCFUnp3naF5&#10;Ewgc1WNEVzeW4CUxlh6cuVpd4x2309lXzpCN3sZ5LZOgbNNBA8KDk+8k0bA9VN0MA2wRNyXeN6nF&#10;z85N8pxbCU6c+AmBUAdllxVrsEPJMJwi9wEwyR6Xl5BbM4WYr42Np+pQbzovauRMCOyT5EEDlWN4&#10;YMMdQ1DHUPPlZ/f1QryWg3TbWcthJhCPNNMhQ7tj5zEBtuUy9prdSd+69EZamFhN3SRffuzHuTXI&#10;zw11gXPzerGDPf8R2IFW8Jzn7sEh+82v00uUHs8y22dceW/2C3096cvPP02dl0+leoJG0RSTkZIJ&#10;By/k43rmBApo3rfy6S8hlnT9//kvUhOExJfgUY0RvHUS1TQiCFePQznWQYFEK2veRtlQjZ4ObLr1&#10;/03E7tZ7ESliH8ntCW6XLskYn9ePOSM8Y0nvnnCZVoraKYghUtGCDX/r3Nm0TGC+aMde7N0M+5sf&#10;OYHBnpMVOFIjjFVIezx7kKfWElwOrgV5XHRcFoOjdP70hXTt8sX06LPb2NMqHJqeNO97hM957hui&#10;C8bAIFDs7DayDc172o94nHF+7ZrBYvMFNBTTNkTvha/vpqVHD0H4ZlHARI+En69SahugVNRLWWED&#10;LYyPP7uZ7k8upG18xW3KYcOvfRNCPHpEDx+AAMGXInFsVIyQBMAANITSWLQe5k91Ut5dJHFtw7Z2&#10;gBQfjS2nsdevMitpIG2QpOzib8ptcC8oS+zwbMQjD+UUYcf3D+Fs0QWoPRlA2Wvj6y9SC9dcQt+o&#10;jrbcDUja++y7NfyZCU90HxVDtkJZmie0w56Kcj1r8qycEQFY/nxhmQpbnR2WtrsBP1/dW4vuqAgi&#10;dmXFC7MZ8wm56Ihs/yJAsYVRI7aEoM2VS6eja+Kvf/EZb8ocBjbSCvX9fhUaLSGQgewaZhoca2yh&#10;vlao2TiF0UzEjPPixfNkxAMsZgva7D3pay6kggJhxTZByGRm+gFJux0Matiw0YoYpYXoiwhHWmyB&#10;MILhePhsZtN29+RsIbQIeJ02xhAfAQO1kaE1d9Hn319hnPMMLZCwWtkg/91/9y+JejtC3OpAIR2u&#10;s4OxxXt1benxGqz6SUZG00FQ4mHZtlM1YMEpC70eUPza2FsHxXHYGJu5qzsO0ccffU1WdBTzFqqQ&#10;RzchbLYBacvqt1NAjX5r9DEAyMdodm3/MmvtEKu+PksiQI4YECV7HSpEmBC3HGOd2eyqAcZMANbG&#10;+rGBlBMcIxHnNc0669hkHiIfvDPqvTaB3XhfNmgjIla9QFnqRkzQ879HptP18tV0+uql1HXqfGoG&#10;XajnfezKcdqpa73FfU5PTTBPZZzMvjF103pZDxHOkk4DJMtGMpcdnOjczEJqHK1LfZCr3ENRh2Mz&#10;ZzXAovYYj9GgoebQXjjwRsZxM5lg57P144hr9iOcXLEPaghGOHR1EIqefXMrh8l9TpfRDWaiPKFM&#10;tkcbrfr5H6N3cP0hQ7RsJyTzKrNH23BWZlQHTn4kWFH0zE6XNhy+aztCSUqcbh6o2jXJJYUcqYdG&#10;hN0AnAF1Hk4PYOA5wA5ea2lsT62UBA/IHB5OPKCEB1+gnrXl3TpoyzuY3Y2OkQrBRRfISDMGpx3D&#10;7ryUG2RmR3jyLlo+qzhQO+breeaiOTHUjH2v5kcddc2796cZcLVMKaM9SmdNlAh+c/8J2gwL6a1r&#10;l9I4xq/O9izXkX1uN03Y1Chd5KE6Gnyz0QiQORM6Uj/2phbSLunZNoHBgWeNjqHT33krtV89mx5y&#10;BvoR3tnhUW5jFF13Oyt2JSaLWvDcm+TwKL1rmECgUYFQpkpuE4jd7i5lUkpDLFdapR9+jDbd83Rc&#10;bcHzWViZS6Oohm4R9B84p4NXsONrj2csEXmPa98mm26ISYTSiliY2j25uwxIDZL4ewM/r7Padcsp&#10;EsYXm3h2lo0uWW6EN1TiHJXo4qjj71VHY69RHmiC/EnHRtcpygVC5TonFrEDZ99NZl7CULbyZ1N0&#10;FDEplPLtEUlSP17sXYS0DtWNwVtyHHMWHLrWGrTM6opOEfcRXxIItHtii1JoB+30J0A8T7Tup/5m&#10;5oXAIeqkLr5CxlqZfJpa6UDzdcy2a1lkYRh/9w8dPfd7m6y0iRbJa7zrBfbBEDWdfvbE0XBHenz/&#10;QTyTGAXPHlAkrI3Wv3ay11ZKtnNkw5sOXmR9FU+LqbhFVl9L7J1APMXk4Waus2u/BRXGfrQlKEuR&#10;fPYz4mACfYV60F1FDEVy8pzKWAYCT2yaZWTWaQgk6WB5mp2+l1bqCIa1VZzNOzjmC2fQy6EE2Bj2&#10;mFZiEj4Js2bkzUWp2zMZqQq3YrAYD79wGTXPEeG4/xOW57noL1pFV+g0mf38Vpr54maqYw5GHSWH&#10;bs62HS7bIFZ3Ic8vD5fSO69codQPT3CZMQyct+HT59NdAqBqwxfooVyme4MEAg7FMuhdF912fafG&#10;2es4W8mMnNc97vMYH3rcyPmyxIstL6Hl0EwZDe54kMJLDLA7YBaN0vuWWI55JvOg//coIy+RdMv1&#10;KbHvz7Ivexnb0MjQOTKI4BfWQ1TXz5VA6MbGxtIowlRRqijI9DlFIBkg2HegYw4icgAW/1/Lbt2u&#10;okaRTBmiOheHn7BURoLrMK+nT3geDtEKlj6/ILQhpyF+iQu0ZdFJlS1E9HYB9KAIWYJNnB2hsA+Q&#10;FzVAT5V1ODMOozs10o24Q19dbQguYH5uOvWNnAwRHKGVQURGToyMp3vrC1FzrgLB77OZYphSQXKR&#10;3WqoakZXK3G86EDcHeoj6KD8swOY1AzEGrSiKYPoXFjbUmzJGk8J7saFiwj4jEN+W16ljLFA1reT&#10;VngAHaiHdRNtD9Ha5WZbRx5zA6fp4KxD6rz7wJKedGWJ7UBZhaVuWmp27IGzs6SEw98H6TCKL2NU&#10;qHiFkVcfwx5+6452pOQ5HAYPZia51q1BUIzEUomIgsGRmv9NIbylA82jmSUyGdFqHB1OJAIRUtJE&#10;hznSzWpkMQzKjJ/33OHaJdYYDAUbn5NfFrYj+5ri+s98+1tp9M13kI49Ez3ctbKIwY6ENzsKhtio&#10;22QsEygK9qPc1o+6p8zyl958iYFsk3Rk4Ghga0/x9+BU8H7T1HPbCCw6GdhUT80kO90cHOSPCCli&#10;6+azno27kHEWC8oBh4FSyC3nlK221fPBkAwW47b9e+11w4Oke5SzLKVVY3hXF1/k4EZLM/wZTqad&#10;SC0Y/Giz0oCqwBmsuTg9vC/rytruBh8lF1hUmtyj1it/JQwRe9XA0j27yT7+iCmx/dTtX6Gm2YVB&#10;bQHFWMGRTNMlMzk/lU6B8ITeA1mv1eRGoMq71M/rmyfS1TOIYfUMxXyAh3Q/PECXoYm9dfmVbt4D&#10;J4y+wjH7b18dFInNPO89rnOdmsosJLo7aAdYHS1RdpB9vc31lzASixu30tVTg+kNRJ0GCVCy2JmT&#10;AL0tJ1uaYeRWrhyc5eCtNqejHm6C22kcR1GiFj9AN8AG+Ph9jL1t3mXIcRIFe52kC8x7EOUpW3SZ&#10;WWFbIYGR3RqtoDGNssSp606AHkzx+72NZGI4chntdaxrA0GXaWUDsuMroGXWwZ00a6DsNW2AepXZ&#10;oy2sixmWAWYzwfCunJ5nCIu3QIABkhj20F9UElsT5WMMZUY5V4fp808/JNOEO8Pz7CUhMqGYo82w&#10;A0RxAB4LISWcnYXUX3c2nF6NbHr57GjaZNBcI2WqJurPy9hJs7oymbQ1+XYc7jj3O8vZ6+YZiYDY&#10;+SAC4gob4BjSmbXn142YKwZOtRzQ7UMfotz+YwiF26BAtiy2k70O8bqqF3aT5HkeohuA3wdsDHGv&#10;2kc+UX5oPNCzEQ3DIXY5C0IzQVCKr4uuk0iOQsKe3+I5NIJGNvCcFBlUB2YfEude12CcxyjJqNhV&#10;HJM4jbyvqGkvSLUKj42gQ1U6+05epkOD/b+jQi6Z+d5JStmiLd6/n9nU87jr0pPbd5jzM5c6ubZm&#10;vshOyOJkJCV1lG5asV3u/6XJidSCWu4wnR8KiTVROjW4b/G1Yueq4/E8iHjWdeQFFyWYWhnDko8B&#10;VknCPAjN9b/4WarDZgyKFGMTDnHGKgSbhBl8nrx0lbLvSvoURPMEU64rXSOpBCrRe+FyOjuwwzlE&#10;BRRxJzkvJWxhFz6tmXtoxcaoPFkPYjU4cIoguzfQQ89nD8GESOYBJbst7qQdP9HWDXEYJDeQr1BH&#10;K6UnlFZ/9sX19BSBrSp7QJFCkZgvFsvpTXzWd958K/VSUtpihEMJ5GQIjY6XIScPo4lUhqsXSITn&#10;wGRcUq+H35bUmK6d91Ig/iLCYWeL9YxELgeXkXAU20pbIa/ND+QUaspsGm0Y/6RZHq4GMLsGnL2I&#10;g5B/L2I7HcAk7WT1G2wSW1iM4qxR2pNdb+1VGIYovg6FshKHMuSYiez3WKRlosY1VNA6iWjNeIRE&#10;+oHGnzymJxbDpyOwRh6iV8FoLPpTNXgehLDTeZvUesfD0LltbKnhPtRAyA73gKCHsa1sahfE2rJS&#10;zTpd2+LaaKsZJcAYBDpaoW69SATqrlY5zIOu0NEe7HaRAH24szB20BAwS/P6bFVtRmik3IxxZKM0&#10;0SFy4BAY1tRs21Y7ZVVFAkrO4KDtsM76PwtvLduM14DJZ+UBiJW3PZQOgS1gX1u4yhhHUZg9YCeD&#10;BIe3RN1aBTVXJ4x+btEUdvda8ZYEaZCQVCEzOHFehUvHWocugNmnyA73R/SYJoCWv3n1u+nKP/nn&#10;4dB8jpIS9wnaFqmVWq8/wsCu0jZqC2cfRvYlIOw9UKUuSZXdZ+K1SuXT6QSEQtsvz5w9HUiVLXT3&#10;gb/PIpLSSW/zovoZPJxuXlMNj+cfBpx5f78QH8RzjD3vEy/KWM/Y00WwkJ2cgUmRPbMm9mHHz/Ec&#10;lcfeg4cjkrBL5mBUHfvHKkuILclDIbiCCGXvj1iNQiqNHNxDjItiLiI3coEimMTxWmBujBkWOSDy&#10;GpSfzua6FJNBP0FJsBWy8BBaHjvTe+wdA0sY9azDAPBwNQJA1xk4ksC6FRnhKVCTBl5f0qEGogmJ&#10;2m4QjRWQQNHCdhxlSSIa13fEnjjmnG1SXrv54AmtzgtpEgnpDdpxDZCMvZ3C2kR/vyPn51flyBjo&#10;baQ3r0ripKdcFC/UUk0InquyehfRsWEVsbiv/v/RP41sf8vghYRhFdLcneufpA5S0l7sgfNJzLSb&#10;JFZzzrDsdF508p60x7ofWX/FuwZhm5cRxFlD5GgXhG8NJ9VaKaVe7ruLALyBMtkO5QShbBGNQ5z9&#10;iVOjZHBikBC9CeobOYdNnLt2u354NuGA3Tt0Eqg020qJwwB6iwDC5yNHwns6oCQoL8AOLZ3hLq+t&#10;vP/YycG0+AHriUFtoURHsZdgeZOuLgIVWPFmXv2IDZWKIYE6KffrECXeTuxhdDfRrrs9P4nqIHok&#10;OAuv07KEV1dW9jyqdDlViK78vG3D2UUJorimqHAQ3FaotYMZxmwDmFpwlpiRAHF2ZBDiYu9Iegwp&#10;rZGSUlkyE6+teJIoh+6gsJb53OS3ISsHFSSB2ohAZZ/ONb5Ha+J9AtVOSKyS6rvlVnl+2DwlgqJm&#10;BNZKlC/22XeHPYOURWmL5rXKXGu0uvq62osIhrgP7FIvtfwlkUUCkF3syx5naxdbFJ0tOLodAg3i&#10;9CCKRhjiQvI/Exqxxm5+TwJkL9e0q6w8PKszCJiNwLVo2QSl5R6GKYn08FqrIwuQUnHACol5Lgp+&#10;WSQb2TUFuq7cegR+4fyyB8wopw/As8y/EGf68i//Om2jM3QCnxflBa5ICuMR96HoWS8Bpb+yu98H&#10;2rqaJtD2OQnx2iAfQD4Cws5w1nkS5xGopC3wJnAHK6ASWyvMm2G2E77HZE5e0z4yAXa+ie7sEgE2&#10;NXdj+7uIoihzilBz5uyUm4FD+FPIv9PbnC1mXyjWV0aOoIcZGus81E/pFit1bKd/8NbbqRuirxpH&#10;DXDdbHq3rBHAkWTRohTqufde8hwmjezzkDMWKDvW7GeCE8EzDf9lOTcjaetUJ+4+vM9Cj7iHYwcG&#10;M9WDKk1VZ24wIDN+C0PF/9IpFOeqhLsdH95CVZCWI1n0TvcjSygRQNRjiMwePcicPeAXAx01Hx2Z&#10;arazTuvbLE7EPnAJGhxwHH2ZRUkNyBpzxYFCKOgkROctBMyvKqZZtf/Mmbt1nagLa9pxoNGmwj8l&#10;aykRu1fdSkMYYCNV1Q/NYuwWsV3UIMGuryMc3ZHERSLZkTJ91XyviuGxDxb2YWiKq0hoqSEGKxkw&#10;hdqfGxKJarQuXGZryV5LKwalCiZrFBouhsuXEWvLogbWuRF2t4hW7BJBBndBtrBdFhhhAxPvw4BB&#10;8lkPxsie4T02jG1XBlmiO96vvJWaCIgPWsfpAuwKxcekNQMLUx45HPxHFm1ZYV/ZYDtPgiOD4Rda&#10;pPvgGJ6G61QjJlXRLvjy5kPgzs705msvIzGb1fpUOTx58mTwBkJ8hNeIEbwYGgojsf/aqWEeS9Dl&#10;PTtfezMU01bJ5Gdm6GLAiPTgWH3OOvQaKpEDCPUKVFITeSmUOSKNVI8+im1FlpwddkYecjCVdTic&#10;V1DLpLO9sBNElMH2Wu9XCeoghCnfGgECXyOoNDv2YHgGfHXvU3TOrRDD3XgmQTPh2mIkt3MRNFG1&#10;KD2uje4BOyO4b7Mm+7LnVxa5ejgiVfgEZC97BDLlJrQgaIc18Cszr6ANQuGli+fSvXsEHsCPAzDq&#10;G4HHWwm2bj8lK6J0oBEUAYvgAwfSQoDZQJDx+d2b6cOv0WmA7XZ4BASKZoV3a+kqjEAorCo1T2mG&#10;B3VvepVhZCJoL6fXkQGvc8w2N9wQSKTGJCMqEaBG6Syntv+3219iyIHPCR4VmrtMS2u90zEfPIRz&#10;tJZOvH45GO0bHOIVWPhN7Vtp4OylCKq7CDwt5W2zp8sY/TIlmzIBeDN7ob9EQEXZYAsj3kUZsYP7&#10;mqcFVFKvZNxZOrkewp+4MH4ZsijBLGQug/522fpwkeRKRMMle1s9kh2MtMPfLLs1sYdaMerY8jif&#10;B1yvGbCP2tA7m8Kj9Pp7r6d5pKCXP/uYoMzplui48M11gvlDMuAy7YqDoA67ZAR5BHOGv3txEJ1k&#10;2Yco1h6DGhyDtIA/4kD4fQL+NTgdx7RJut81VdHWFwV4Llf5C78WUbNmTGdqUJq/XoYvssu596Du&#10;EPw00aHQTMmnmd759m7KW/B62uXO8PMSHWOIF39XPCnORlhG/y+/Pi4ruoU2eJ5L2JQD7PHlk6do&#10;BWXt6LQotebko8y6N4JUNEMK7ICv00k9/zEIzjpl5joAIjolc9klyml5mJmiezG9lZc6Rbl6E4Tg&#10;8BjhNgI0RZ2aScDEc51xZCdfrYJpABUonr6c674K8bKBBGX/gw/Ywzi3IMKiPUOycgnf8+mXkHrh&#10;uwxTMrHEaFt0F6ToCVu8TTTlyhhAuK78nwlcbdKoQmEG/X4v1Icjww/gMbRSbn91I02R8AxoP1wz&#10;kFz5cWoZtUGk8VzSuxv7IlQeu9vYmyLoyq1TXnM8qK1o/EAHfsESdAOKtGrRaHtW1hdBKfGTBLhR&#10;3o1WbZJufm4TDsW2Z4Ykowd0HgsfqsOBQmhXeNlPHyNLQEdgK77zApILh0zWrttZCdG+x6BeUyDE&#10;n9Fl+Nq5U3QIqttBQwPPowzHRadfBo0UqbbSoO11/x7ojwpiXi74Pf8I2+qXwi4XeyrcbaYaRGkD&#10;GynR0xohnTAZqhAdiOwqSBjZkJhlLzH58XMkV7/3jVfS6dMn0wh1mycQx0K5zXp9AYGZ1Xnflg4O&#10;gSUbhYhVR4OlLBxNxTgtwOwfHTubx9o63Y/D0Oa0No91hD32n9rPqvEzbgi8NW7IfRLKkUUGGD7P&#10;Z8c3K9YwMRJyD1oUSKE0MUKdVrrEHhmQRnQL7K5VI0aUFw64WDidbfTvsjkccqVzcKKiBl843+sR&#10;NcjvKyHS1kccRjFLXfZ8bog0INBQ+KP8n5muQu0aDWOgOOAAQAXXozaoxe0dUuFxn/n+7HAJJU3+&#10;vcczcEMrxCO7V5Z+yHnrdOO5mslbNoGR7vXj9MJJ+7iLLOHQYIz1U+nP2q2VbgepkMwYbfCTXniG&#10;q8yC25g/8cbLV9LXN75KT548pdXxdJSchLwNcryZYDfEpirw2eJaMqKciW2dsJmdjaHsqq2lXfx7&#10;C0O/SO37FLwKSzPuv9in/l8Q4rymsIDZovINCaS78Ryz+JEfPvcYeRswtltYg2TAkQe5hdHwGk2p&#10;fd3AGiIWzcTfCGR8GwXScutyzeiKUhhw+W3PgH/mMek+f81nPmUxNkyOgoaMC+9Q7InPJuD8flCw&#10;06ND6fPf3ks3PrvnRPjovnn6Fd1D9rPb2cM+Jc5BNbMPvhCaCGBy44xwH8AQq/PR49RZiJ12NTTK&#10;LeK/Ddqn59GE2GVTKba2Q4R6LBlXGFqLE0F2zizynJIChuQGRVjWyTo/uP4wjUImHMHQRe1Y3QLX&#10;yd/1Np/BmtmCfHX3DsP3XqEVFaIm57qHzzWcw+0n9IjTm/bq4LeAX7uYtwD0i47HJs5uz+mZDtXD&#10;IHsAtmm5dR5MK8hcP9ylk2eGUSbco8wDiY57dThQdOtYh+d6FIDbhHj58MkDBh+dpMxanx6BZj6c&#10;nuCc16d3aaUbaoC8dsSeN5hjQJpjqauUUwyAmiitSOQ0AHSA3y5lB1EzywXujlbWygD7AKc8/s/+&#10;AejIelq//iUBmp7SYA0ECT3rMlywEtwB1UGdOuvmMsdrZjrxxe/8ID3+8x9DpmNtZW6TCOzDB2uh&#10;9KCj7aJzo/X0YJolWDVda8TjtgAbyOUwsYhzZ9Dmjor9x/mmXjBA984sHUUNDJA6gMBXT9TRdwLu&#10;lugivzWAgmIT92pphhgA554TqyaetwnMPs86OBiGNYUT2DBARxivvDcSJeUn6MZUQRzUFhiA3Nq4&#10;QpB/SH2bPd0JB6GLEdet2LiduVlaBh8jdNRLd4WlqCxG5963bF3mfhDPjMBo4NTJ6Mo4YvYDC0hA&#10;DTJEMHFvbiY1nKZ7a8CKtygo6IxIrXvPJTCfQsH13LffTfcZN36Ibk8H67kPqXB5ex0C32Y6i0aE&#10;QmeHEJzriJz6UHn9cmWWYWOXU5X32HDtiUz2LbVrK9kvDmU8gv9he3cQT3nPMC85hghkheg83UXj&#10;4gBU4JAL2gV53y/TksvrlUmIOkDHPPNVfII+T40b574MuA9Ab0IXBZEnywOtBDyN2FiTQh1tJAO0&#10;ZTzinB7QYj328jVa4eWykfiyB5pIwJXdl+dzTImvgdlGe5Dxw/OZqPC7O9zDBHpEWyS27QTfvfCo&#10;lCU/knAJItlAbeqQIKa6R4WAZ1px35Bw1ENqjWGY2McWGifKVhVEs0WGeIZVR41zhvXhBuKWdmuq&#10;0dnuZrRVJHZf9VNRbYJaUXYyL8AS9gef+hC+owPTCmenXIuIzbjqyQYO2AyfwkL9msz0dcad9pPh&#10;y0HIRr74nWy1Q05a56HRK+8679uWNwME0QCic2Cg9TWkm1EnC2iei+0AvokajSZfA5YT2sKxFJDx&#10;sy/kaD2OXziC/G+jaCHMZpzNEKx7r7kdwmSJg6YSm5GphmaatiwHZPVRy2wlo7JW66dvHOO4+bvO&#10;Xk6FwUc4uCKbd2EP5IEQbBwA8fvGRnd+34y/Vs8PDodBktmxPcCWIiLTK7Qg4lp83YyqeC/h4Fk7&#10;HWIejGJZyPfPmbZfj7uOzNeMKENMOoiMyMTbZc6BzyYiFtcoWBi5nVTSYXSUyDvhIKvKyI/JdM/M&#10;LGcRVBG7ekypZzimmr7zJmqHat37eoUxqg0383nnnuv8/nEvgeJkI+2HwYwQqXW+LqFqstGHkLg6&#10;yOIOjMyBkANcNqYU8iwcYIQAUXrIhNNtsrGIxuK1s8Gt7QN5IK6FBMm8NrXQWdKtktTW0lkFg6/Y&#10;rzkjic3G1wO54UBZGlTZUbXR4KlE2qJoUQ7GvBaDrPxMOEz8eitr34URVrRIvTANY5QCMbBtWO8+&#10;GPCSbveA8kLJ1Hs02AaW3CKr3qTO6Ut3QEg888ZlesKBmoGNG0CG1uxEwLHaTqlGwi4aJeu0fW4j&#10;BGRQPEcgsUb7sIc/K1nmgFLz7vO1JBeZRBFEZGVZ1pDMZY7Sx437E6n/9dOxDkGR4HdFYHKgltc/&#10;BqTxcZUBXG/A5TiHiuYhhst+4F2M9TRliTEktleE9Du6MVwM4QJBa1lFnIjsVVXHFVrE9/l5J2tq&#10;kDopQ6zT0tpIR8YaqEiF+znugZRp5s8Fr0JUJu9gkek9IJW1PZtCZCqzf2a/nsMIIg4H4nH99r10&#10;fnAnnR95KdRMt0Qa+bUe6s2K/iwuzAQ6IMivE1CQK8qN2gzWnOS9cLhk8nAXus6cSzOffw7BjxHS&#10;kDmb0WupYiSHX7qEk3L3gboRcflaTrn1hL32o++m9Rs30wb1fKWFMdHB9FeO3vmCorDW93U7HqE4&#10;jdpgA1j3QWG/8mllbwnLs2Ynz4+nRUok64y8byGZ2eTFBsh+FRdSRacXBv6WdXdey2HLQXkLx26X&#10;QViD0B9wC+xR01tm8FvvCcSbUBA+hPTsjJ8tSjZzq3BnsJnjZ84GObd+Gw5TI3LO2Ec1JQzC1phm&#10;u9M6T0kDTR0k1JvRZSjb6kmiuSvaw/szxy4EjlYePmSW0BLzOrhXnpFU8nqnUrIH+jnDnTjsOl7X&#10;NYrkybfQNGk2+NrgiaHUDMG4OjPBwDEDc7L5IH9TRtcO0XprDWiHFuAlNG82GIRxgpucn2KwGPdB&#10;hIucPXYauywJ1qFZ7mXLPJ7nYJmYbMQKuXZ1EOyRqocH0cg5rTQx+ZOnJZfHspgiWfU4XzvT9Es6&#10;0CZthGcFe3LAWRCxN8HpBCExKdqGQ1YPEtlGoKy4nV10nlH1iVppU64nyXWek0GyQa1l4TbI/467&#10;d0qu3Bb9VbafJgLYMN7Dbq6N1cW0OANxlQe+vMRMInwquozsJXghvIfTlk0cRHJK+hzKhXsE3i12&#10;d/E6BlEtlmJjWjcng6Q6ZmzEzsz2Nv7U9ganLpeFDez901JmHjAHGk6A1QJ5Nq3SPi3RLLKqcALZ&#10;n9Qmc4Z0E+2R2zy033zwRboIXBJz0cO4SzxzpjwPBcNUcwbZKWbHGRrxZvNGmvx7D2bxMhBvRzcD&#10;SAQqXKTI8nN9Oshdef2efWQi5e9+zX/ViHY1rQhvzdayHsiRtnxFBYjXC6fPdei0nQQoEWsTlUUR&#10;CB96tLwVo92CYMe17IEC5FbB7KyVbQ4YyHu39ZXrMcIrA6ke2Zvt9UUGnrO/EFHSEcl/cMyymYcI&#10;wbPv5evPH8XDi/eCQU4N16BIUpgZeDt1r03b47yyeF3XMr+WEbfrqmiILxe9524F/n3A+4qYRJte&#10;8V4xGlt5ZO7Z8xUlJJ1FxAJG2US7ECGVFW4aFl7rzesQQdALpDvfo3b9sW2K4OHFv8eWzEGSEbyw&#10;mqWbcdjKnWRx+9Tttqh5Wtt2v8VocrOlgDJyYFELXILo6a3lWLVYOwOoosPAZ2PJwbJLscaBNhVf&#10;lyOS5zCwLqF14pbXSBmAEqVTV/XR27HgM8skvhwwOGbenwmn6jnRAWg4+eURDlKX3B9LgZZTMNz7&#10;/NxJ1PbGzl9hfUX1IG5i1IRWM9cnBzKRBbu2XM4eaqkrE9Op7cyJVO4eS18jJd2s0zcr4s8lxK8U&#10;oqoDtnBM+BYY/RLaLvKFzT0DTYnAKj+jWvAb/67xRzwPrp1qpPzlAYbzjcsnabf22eWYytKNeyUH&#10;jc8PXf3yfJq/dTM1rEhgzE7NwPTES1dSc39HmjHz4VfsQDEIqMLNcPBbK+nfAiRA+T3uZw3QOkH8&#10;0QGdFhAUnEDrYZIUrcqlJcRtOCClUieIlcqJ6AL070DuRjOAjLQNYuFhlcCM97tFxjr16F5av7KO&#10;5PbZEItr0xFyM2JHDipaIWnxAJQQ7LG126mcteDXJ6Ejb8MTGxDa9eLlrDoq24CznjOHxLDNyQpo&#10;NbIH9nnGMWCL323EGa6AlKwg8HOwOptGYNpTvKBEBDqGo4dXlz779W9SeaeUXvmn/yCGOcmHOCKr&#10;C0em7QtkMv9dlDP2Aq89eHqUtT3HHI/JOMdrnP/dg142HeVQJLiPQUbW5PB4rniqOsPAnsJBcj+8&#10;1i7rN0374Sptf84t6aRd8BhuxTqO/JBOjCNsQJXAboUMdxY28RVUf6sPgcw7gb/JZptBVJZpzZ8n&#10;6Cif4JrpCFgHza0qKkaQ1Egi6A5ZQwtnF0dVAWVuorxVRgNBRK4bO9ZMRn/vzmO4VGfSOQind5D2&#10;dsS4KO6xiQT22lkmjZzJss+CZzV6/nSav/k5wYZDzLBhnjnLxXA02pHgbuR1F3jP+/AXOk9fS938&#10;XCcjFerp/tmYofQDqRmp1rRFYLht14OcNh+sZ85PnkOgb6I4XP9Xn38R81o6jwnq6T6iaxeBM4nc&#10;JpTYEDlp/Jy+ogTXwRlEdjP6oT9RGj6egiVz9rCdgMojlBS8IqGrJ8koY+NWYGZuUC67gLLrNmfj&#10;iLKcNXKDJMHdQ+URuF4ed5DqI0nmnR0Q1wMH6d4849MpDK0x+GyEgH6RoLmPNXyC4u4eUvzdBCh9&#10;EJKje4t9WiXAP6SMUr9PGdEbNtG1i4/38tMyvUKNoiDZqtY+PUE5qIiqj0EqSGcg/4pS8QV9RrON&#10;FsNjoCQPHMBl9pIzaZcmDldktbnmG86QQ3iLzeCIZsVdMhEoGy0/zMZDC0CboDEPUhcOz8XWunDB&#10;lgbQMAOJWMJ4yuzxPeLK4qJ1IH5az61pCBQB2TPDmKVJs6PM2WjOxs1i1WzwoYuUWDPWWTZwULJj&#10;UdcBgRoeZj/tctYtZddLKJMa6u8FryCyzcxx0DH7u5YAfC/1L/xsYJfFXAHFdVwrHXhk/vm6c+0+&#10;O9D4e65jBAIgr0EJ4NqQo/iG98J/sUmtofFzrq/XE90WkRXmB2wQ8cyzxhroaEQwWG/rw7X3NyNh&#10;I+sANbi15xRO2INUvM6RwQb3atC37zhxvj/GmFmDDx1q7npwA+Z7CAceB6hQNs1XF3FQ7rzInSaF&#10;rc4cF7PiCG4IKrmffpjV6gk4AM1DGHwWrkFSaQ6saqFHfsiBIshRKJxa7c/YzKxtTIYt9mmNE5Hr&#10;+znqiL2aT8CzfZMPqPtcEhTQHDoZBgLelyiU9215KEp6Dp3BgdQcazxV1qvE+pZFdGLwXI7gA/Y8&#10;2kq36cRo+/RxevQVY+VpVTSj0mHGctTu0D0lGidnhuBjcmoeB4R8OLCquFM/xuiAZ2cAcQxq04bx&#10;dMbInvAxnJ8dyixSQT2ssWJcq8GegWXsixrPIe7Tvel5zs/I4tuKcxWYGdJjO3BBWK7tW8+SqVdN&#10;0OoInsGCWeYSmZZD3EAdenEKY1evwjJfRywLbYzpL9PVC6+llem5QLhayMRiCiwval3fMpn7x32t&#10;sqz31iU/hrVuAVI1IK+K2pDRdnWc4bkQnFQm0ZBZTb/64OeUAOivByGo7sPKp+48xuj3rZUnSKJ/&#10;BLLyJF2+8EY6e4JJhwZJGjlerw0DPU/Hyp4iceTwoYMToiwSBDGOPOtlxMTuffJhqvvyeuqVbAmB&#10;uAsuRBdZl4b4q5/+GrXWKzDf6TRQkZL5DP7+BkHcj/+//zot3LqVRnk+m/zsKiTabvZxE8F3HXyX&#10;LQjb13/+Pjj/GQZFMRIbyegmSgJZG9aAwh2n7c3ltBgZzZ8tlGJOvfxSevKLn8dQtZIy8arWAp/Y&#10;alsyqPVMiUQaeXDdWY0w74U9pnveQ1hqlSFXrXAHzvbTSYJ+CCtA98ggQkYIeR0z3RSHZMA0Q4B3&#10;lomvjUPDeFymGpcIpAiEHtGxwGwn+C+M7pbqSRa+TkK5tQnXh6FXqtxuIqjVABm1dR89C+zrA0pk&#10;0pq2KSt98uVdZvmspj/+n//D1EnG208guMaa7CS6iOACNNFN1856oaaApDSCSzjJNlV/IXRWIAy2&#10;yqMwuaJdeAAypWqeDr/75Os7tFJvpzdf6SEARAcFgbcq4mRdcn/Yj0eQGdvwAyXQAUneOaPOyXEk&#10;1Jx7rX2V8tuTO/eCL3NEKUPtkX1aUbVZu3RSHMkREdXAJvfSkdbCutdKoNpmh0nmWRRk6tjPfeXe&#10;eU+5H6GkERo9++neIzrE0BuxQ2+ObsDZ0loaAx04oOxhV5Ht2pYoMm/N94y0OhIPUf93KP199Ou/&#10;TEv4znUE7Zp4VhJc20UpF0FR2NdvvXkxDZEQ1GNTq5uUfUCaGvZpuQ6WqTUHEBqC+2gp1q/p5+zi&#10;A2XIGb37p8jcihJ5TuK06bbz5ATIizOJPoLLJUeDdCRanmul5/xDtR8uvq6D06BKbLoPwUMyhUbG&#10;jDzXW4WKcuTkAw/oXaMeUUbB+uYynO9pmUFZ1V3FcGBp52wwZ+xBWItM6sXgJMP5ftQcTL7I7Axr&#10;8L7Qkh9VHryv5yQ6/9RwWkaJzg87M2LSYHaOtl1UOYCZzFdk8DqmSFT9Ga8lv0e8l5ma9x1BlW2j&#10;jkf35gODCUcXbTQhZWAZIwcTLkx0UcR9ZSTDGp335UasZbixlny/CnTVggE04FHCNz/YWIH4ndo9&#10;1/40yFGjP/r+44HXAiw6D0KGWEdoZF1skdr98KfknbiFcJ7UgJErFq7rphRUK7mEc8pxaX7hWJ2i&#10;JBBXVXOMxZXWLjc8tc+u8Nh5KYo9AtmIttpeDJyv6TNph5GdAyHvIDsf4xXf0oMsOpDv//l61AKM&#10;CIz4NaXBM0dCtdTckVJrV/Iqday1IDQHEkWQ4crFc5JDk1GIWhCpUXZ/5tfJF1QvMmLtFQPmoczz&#10;G0QocOJ8/wlM+od//qt0jATtOXrsu7l+D4TKo+5LIXURKvUO1A7Zh+HVdOg8EzRXCHzbUUrsIEtY&#10;IDNqxnC1wkr3mpzyWQWeXqG0UaFEYKAfMZ1lhyip5fWOp2SwEB1AQpAufPH14onZRKHMvciZKFFk&#10;x+7rAsnxdTwDfpy/eIkZMBhEZJCVqh8ZHkWNdREhHtp9Gf7j/IktjPr6fi9DmkACCXI0rosLy+mz&#10;zz4HfWCwFIRnS3Y693UEoDqRDC2TrfVhiORqWPZZx8EcFN1OrfBntkEM96mrOyHTgW3rT1cwiAQw&#10;DGA6yfyXA4LnBsSYljbupi++Zigdj2F48HSgMyYoynrvYVRXHao1zP4SuQN+a+LadtFzmJ+ahoi5&#10;kjbv30ldZN2dEpypD5RxyiXg5gpIxta9p6lunbHtCMk1kIG3wGOZoxXxOqWPxvW5NAg5vGMXqWK0&#10;Jno14lY6wejXVcpUoZUz8PnP/oZMdCv1IRB16Y1r6dzrDOaiPBHVb2XHDWrcRZYo+OLy7Gb6kKFe&#10;G7xGJ0mCiYKaM00IE/32q9uQSk+m8z/4Ds8uwrLouDBjt2RlwDzFDJolNEb60HhYQ+PiqKk7nWT6&#10;5/2ppwRsCNQRPGxBrqyH4Lu/B3mbdfqUzP4kC9gKonN0yCwhumQWwVZ0WGtk0XsQSFsJ+roJOtd5&#10;LkeIDbZy4Z0gGQcEEO2UvptI1kYgCVcJLB5RKmlH/fO13/uHBD4dURbs0y5TnmnT6ICIHIOoERKy&#10;xk+iRDZHRWKdOR6DJ4dQ950M7QdLNpI9dylrHdEJscWBWyDzHr/yunBQCBlW0XNwNoxE+g1azS0z&#10;9hB07RvUt7G3LFO71nFWbLMX1KlLD+7fp1zDTAzr/SS2kq8tKYj0ar8PiKBEMUVoJaSbGJuY2bbv&#10;XpbE6yhtLRbZOPw+AnL+bsAfvAx+bpnOjFUQHLkLiCchTrWUzhtAgFD6+ESiIgAUlSSYOYYz5nwp&#10;26R1Rp6X1+lO+Z98/730r372V2l3lj1L23qZ99/h2nvZ53/4vXfS9+m6Km8z+JAOyCaCuna6N2yJ&#10;XVMuXuVgiZCsS8VZN+y8Hf10zIPyrBhA5E6Q4MZFsu6nNjinPQ7+037FyAK+tkLbv+GPHwzgygYn&#10;E3lrBgiXESg7X+RNJWhotJ4yHGuXB5gV4DSKNcNMZBxOImeH2imjNxPeGKiEsbP7QEOxtbWWNoC/&#10;mluor0qgjP/ULJA7ncsOuX0xu8TnsL+vX8v2802GExHS408hf9shNbodOEHvRYRil9czkKg5XR1q&#10;LeOMbM0gwpZMLjZHnRA1Q71y5xnvoOZ4cklDJT8ILESdRo2SlIQls6/PEPuz0lBchfeQURLXOoIN&#10;xXcwbuGTDFrigQmlq9aZg5UayqCLKnxXESfmYCJGboeXzQUR+Q56wSh5xJXkoCVzL4qsnO9nZ6wO&#10;hWRiYefcVSB6s2srYjxIs9rsQPIrFa8lAhG+NDvfQFti0z37qUy6imdT66TxBd1DRTDBH+1AjafK&#10;o/T6K6yVfaBdNbVnmmtDeS/6Pq513tTPA8fclZFnnGS04XcRC5GoIBbyGhEE1IKZIgap4R2qfR5h&#10;7NuoD/qeGocIZoIrkkXLgn0uclXs8dysR+DF94XOjcQ9TraD2ULoGPt99vowtdEW60kaeP+zvMfP&#10;inbs8vzUVnE+jLopRxgas/jBtlF+HnXC+dnYk51k9LZWiYI5G0JIeZmSQSBHvLb70bbdQBPMEArE&#10;I06z1+0aug6mYHIyQiGBLFulWOXumfqoA4rA0OAoAsQCNQnjgCQ/BubSqdNp4v5WZHY7lAaOcApr&#10;DBo7XepmgBtCTHAVju5xzYiMdRBw/PKjD9ISTniOmnod6yC52ucocjRNp04jmZ9k2w31CyQps/EW&#10;6JJQ1nmd4GsAJKJJdKqewWQ44JjToFAaTqS6rVEfBqIfoo30kSN70tbGPKPYb8BnIJvGOFYYrra+&#10;jiImwamqoduOuuZcbdAKuuFMAYJY+QbK7p987VV4D2RlyMHTK0J3CDwcAvhDfq+bGvYuSoWrBDIT&#10;XzAmnERlg8BjjRLPCKqdzbR/+vDb4DAM8l4e6DWCr8c4WarFoBkEVIvTdHBUGQk/kyaZ/DvBjJsf&#10;/sMfMmpb6JtngkPbY/7JU+Txb39xN335yWdp8ktk9CFotsJdauA1uwg6GpFj3767lD77yQdp5qAr&#10;Xb5yljWkHIgzrY/9ZNkUnQvahMtcf2M9s1kofTydvJ8Ghr+ZhhF9eozOSxfttyZ1u5y/I55dLwjL&#10;xhJtwod0CjCzo8cdAql3iw6h+raToEpnaGiilIV9aKOcZvlkX1FC9lwL5VbSMdoYtxBDWkvdaIp0&#10;IPu9eGM3/cE/+Sd0UJxOs3BwVHIsQ56wX6HkfpfwR2mgG1uoSOD8kyehbqpdujlJwKaeDnvlCNVS&#10;VSPMz464z6dozyzTPfby+PnUAXJSZf+vEBCOM+hxC46N7efdEGnbCayO8Qer8ByO7UzQ1od91iKL&#10;kjOzBAGuPUi9Kj8G4s867/B8testlEm8mJrYob/nULkQ94turXoI/LSrG1wYaOC/muUAioKxIRUc&#10;1OYtg9638dy2CLLsnToAFSNURSbBAVgO0WNPy7XT8OPDJkG2SiLAlJwcj/GE1niT39deeTkN/Vf/&#10;NN15NB3Dw5Tb7yCofPmPfh81UMqg6FPsMElWFKiF/+vEqC4yAXqBQXmvvP1D1pB2WKa+ej/y0fZE&#10;W0kyRSIsbejw4+xbNQgunR/Zr0UKKcKnMCUPwuS/QqBTIzA2FohjGPOIGwrHkOGJeNns5h1bTOS/&#10;6zQ463cSDQuddY11MKE1YmHUNGg5s4uAwxnrHhaM+eYmQQTGpbsXxxCdiUS5pEWiBxrCWm07+n4L&#10;rsaz7Nt/BwnzuSPTq6mbX0/91SBAQqW1/HDa/sfvmF3qtL2ejFBIqBO2zkRQs05JoEagXo/R5k4I&#10;TQmj5zWI8gcP3U2kbkQw+DkItghmJ5sdbg4gas4uG+QcHD13xrVgyN+oSRCL9gj1KpiVlRctC+VM&#10;0/uIp1kEKt5ZxGpFdGEAofOXu1Fztv5K/Fa8f/6IIK/oNHEN5AfEoQGiNpXvpMYmb6FWR/eZ+So1&#10;NMj7ihpl3KPOKb9m6C/IT/DfgSY9Ryry7nE75vv3QwQmeBzeBK9j22rmRhT7x2s3s459lteuhhbl&#10;VyiCmAhonr3ss3vM61Lcu0FmEWhkbrsfQo22MaovwR7gIg4c9FWUTfzTzyOFdnjGok5OPhSe91hE&#10;UYkXMmvf56IllnnQJNwJRB1BjIyBS7ZY2tAcnTcZJ5Ab4/jmPX+WA12OtWC9eC6qFWpgfRMznB0c&#10;kMFDF22ffhxKrsLo7cDgFjL1nOW26PiVHKh5N3JM4jaFvHNAaOkjOnYK5Mw6/xzaFEfpJNk3AYB1&#10;2kBYDHTl+eQSmx+zdAetk8EvQwadZ5bFKu1mf/CDHzJmfjraDscaUWcFjNZGbDMzpK0V4t8iDH2y&#10;7G74L+v8fh53jCokSMsA5Eslqp0GvBUcCWriBLGtBA0Krk0xybaDcont0OjZsa/VeFHllfNBS3gv&#10;0PCp4XOc09505+4q64Nb6CnTIsooemSnDwk4quhJtHOWNtEXMErdou69QYa8DNzdiIPpZm1aTQBE&#10;4BjF3n/ppdQ0MJKWK0uZyEt3QD2OU3XEBTL4CXgqR1xfmwRsOjjaeg2mNtPNhyvoFyhaBDzflDvC&#10;5pg3sYii7UGpl2fKPmaQWZn90wJjfm39MN19/2t0JvrTd//oPbQyqunrW3fS9Y++Src+v5emHsDn&#10;4vpabKNmKzTTKdVBactAYxaC5OzMRpo3SPmzX6Rf/+yD9OY7l9Mr772McJ8t7QRToDmbS0uMIbBD&#10;ZgV+xUC0q06tzDCzZTR4IqqmdtOdIyfKPVOmTNbUPQyPwyBvh2BgmYBul0mq53h+lDm6x4MMWIdD&#10;txhTxlYaaG2Bjhxh/1oInup3KU14AZRcGnF6r3zvBwwDO5m2CRTaRiTkIqQHqiTSmdFXeBNk5HZN&#10;bPeU0p2vZ9LUjUkEAB+kxzc/Tj946VqsWRP7tYU/5Rw8oizw0198lG5P0Emz/9fpnW9/k66R/NwH&#10;OnpCu4D6TwxfOwRJKtHK3UhAUGcZ2aFzMcyP88paLtA+fZ91N4uObrswGNh+At1DNXecYWS5MsjG&#10;OP7QGELCvkA7tQuSxfWBwT9T7VSiPefF1+hAh8Py3BR7Th2OXYaDOBm5DkR/ljNyqm+QLhR4TTHZ&#10;sykt8XO//Iu/SA0kNeeYB7JF8OB5rxDwKgiwTYDWd/Xl9A9+8P0oB3r+JUaWQc4OlyfSPrOhVP20&#10;G7LMWZl/wF66+YTBeF10iICcQMK2jbQk6hA8N5Iws3xtd5Q6s7fP4lbyIZ4b1qwFkltoo2jGvy3t&#10;DNLEEPZc05Y7DPwfEZpONpp4dRKGfwVngl+ssmBVDJh6/bJqhdKjnZwXCo1y6/7CwWZ0Qsf8rm1n&#10;/vwxN6vIxgYbegm9iJHR03yPzVe0oShKI6lwh0gtW8D8UXPCEScVhKRntyc7GIEoF6CRKDVn57lM&#10;oGNVaEM9eNu+LA14vTUiYomN2UyWYYCjY92k1ieJ0bc2UNBxqMdgHVVnE4aeN3Luu2UCSXqR/YdD&#10;y2WNcBTxWbTWRbkmE/JqTOwMEecsPzvN/EDt/MhzC4DhcOq6Xicy5on0uewQKpfh/HTsUSCKyC/U&#10;x4pWTYOOnCfnAC3HEEUAExshKjkhgmMe7Shplc8CxcCY6gwzlYV7hWmsDkgdhC5/5oDMLQaE6ZQs&#10;7cRIWN6bi5MUJymzhPPLxCA5BbgunRjXYAaeW0+LoNRLcs+JVnGo5SZYqfRZRN5um6HfN6gpApka&#10;N+TFgCwHGTlY9aNGwpTUFJNfo7xWa+jN6Ik72vUxSGpHr0BhIEV25I9EqS5IkJhLnvU+jm6fezuU&#10;tBfX5PpIrvP58Nx4j4poAv+2bu/aNvLcQsGAPWPEb/cAAHooQ6pueUSmYDDh1+Wk7GqI+K8EkfCI&#10;a3Cv7lBvNVAdhEx2iCy5OhTeo5BixOixhXLZ59l6ePIKGfHaGYm2LdGheA7+3TzMsgsZK6S7bc5z&#10;D2dhH0cnChe7JZ6N15rLfIcY5TXWYhW+hq2a/U20vpEKjZT70h6y7o3OrKFubWOQ61hB8OYkWewc&#10;/eytPYwnBjZv4DUaqqvMbOjAyJ1IJ2jBdr90o2aqMexET+LVl16N866kbg+6FPtkxvs459DgsA2V&#10;Z1NCcr6jxfZDkA32TvvlV0MsLLqrIMNhTcnA4UNwTVsEELugNsLtzSA3m0jdKxIlkVYKo8MGjykF&#10;2kGguE8VpryOu66JqSrO8wBx2aWt8PHUY2r8SCC3Q07kP+dC1GFEB/pxpvI9CPbuU19fYuZDizoC&#10;TgOGR1YHStNJG6VWIpRlOWtNjHnfXdpJn/zlb+k46EN+/VH65W9/k9ZxFkcE9Adcf3PMlsB2EOSU&#10;QDoO2rrS3cnt9LMnc+nGqmUIRoBzZO/eu5/u37iffvGTD9MP/ug76b1vv5Xm7yHXTPXH9ShRnpDz&#10;0U3QNk8gdAphsyF4JVN2aHCWbV808NNxNFn6EVIjKNjRKaKs2DDEWHECOavFOmVb84851yX4Hkzr&#10;Juvl36B4rlkrwxgbIZk2UlrQpl6inVERLLvc1H5pLDRY7Payzj+JVP6nn/423YMge5fulqd0hW3x&#10;rDhwEAlBF4D1Bwa64wysz2+mGYYj/uVnd9NXjxhWR/lv4te/Tr/++MMQZLt07mJaQWhJjk0jKJR7&#10;t8x9HDFBtp2zcwRKsIacwApdUGVeF5eQboL2bFvmCvE9doJ+j7bJCkHtAZwCJ9AeyosSEfFM4+g1&#10;MR47A9T9vc3QEZGfskNwvLePvoudJ5IQtQuUiZZWmFJLcFARkSQgWGNozz5B9wPE5V6DfE1fRiAh&#10;lTp8IuMfnF/SQLmySVVa1uHI0dYolR2gRtuMYOHCzbsxsfbCW2+wplgc7NKuKBeBcwk72cYZKVGG&#10;mvny67TygDlOCu2Nw93g/MxQ9ulQAkFLZZcGdAKDiDoeXlhEk0ru7xC/oshbtBNznqJIbizgJFj9&#10;kbpNJKsq4lqS9YOuMx1U4XYKA5TTGr1QjhAiKuHvtrLoTGT3R+cB/z5G5CbkUrmCQxCF3JetqTYw&#10;0TGa3ajYmCMDH8ZTNtDJ0UtpUCjOMoKtfmz6FocVOT9DoycUW5QGanXwWlL9LMbgstpCSteInXYy&#10;a8XUYxV7CT2EIEXacuqEPwblFEOrFN9QM0LpXAmIRpUbjZw8gx+nKBVEUJ1zOHpZsqF7QZTJPbYH&#10;opFndNQyZZ1PGHN/3l0XRtgfrDlxTYnlisyr8Gdz5vf871UOdhNZoVmXH2pfKEriLnaz68CEmxrN&#10;NJXudbNKznvmT3QUGWwXmcglkSB5PPsQinMDKCQWYaPdBdxn9Ohz2DMEzu9xMG4B9wkJ9jLtU9ns&#10;JQzdEFGyXNl16oFOp3SBVqiPL/K9s5evoCN/Gjb4ehiXFpAN3beHVAOkUYz18vpqQUREOy+sQyAQ&#10;Xrs8FNczs7OflVCeoTzZeebgIZfRvPbgmQSJKreH5o+MCBmkuf/yRy7z1Eoi8dyibTY/U3kzNWKp&#10;wWIOGAsUjJ+N1it5Ee4ffm+PPu99/+61SGBjXVvIhBRTkoHe1MHXjaTsA+cPAw4l2YNPHygdhgzj&#10;4eTcXhzvGuztJp79kJMReW8JWtZr4xqCLJwXsLYutQdcCyielRbjp/y/vE9iXb17/nSy64qjx/uR&#10;ZC/2ej4zhJcRrOS900p2tAu/wYlm3TiQIxCJ6x/CCQCcbgZSXWaPbGIXOu2B9xa5534cX5X9NEq7&#10;ovMSfMaHTKccJFgYIJCQRCxSoBCVQUQL5ax2UAuHZnk+Q2GPQEsS7j7trgcaVSdc8p4iEqSXdHiw&#10;x0LO3MQlI6B2vTjETn2NPXr8XKZ2yHrjY0MkyRhj1sFuAE3egchnENgsyxJI8PWq7bSq26oVg81w&#10;8u4yez0meMYe0TYpGifxWfSEbgBmhYgaLQGrO1myB1XJY4zzgdNr+R3bLkXViGgjKKriFLafHKZ/&#10;9S/+lCmxkBQJSpqAXKSeH0MaNTBdB+6+DSn3ENu1sN8EcZM5MAsEcWVmLCAQoc2zZdhE6QFtpjME&#10;OstobnSDKpSUbcbol0mwtnnfDfbUNj+3SUmmHb2C7m4CQngqZs+q9FpelZsRs2m44HUc7fnLl+mE&#10;sHOAAEBCIubCIWKRsPHsnHNx4OhfXn+bDFgNFJ/lEaPdLU/ZFhizV2LzZXvm+zgiQFTqT//kT9Jf&#10;/Pg/cA1m8c7m0WY574fSzQCzIAhwdnHKVXzDQ9Cv6dW19NWdJwhsdUUmLkF9FW7GOiTSJ6i2/vJv&#10;/iadv3AuXaFj6M233kwjMRAOroQzhUgQHzy5CxkT5V34eM5H+frLGzjBXCbdsw2c67P11BkiTpPu&#10;HzoRSbHo4jH+q50AM6wG9qFCgK9NMljyukUz13Delu7GLlyMtvh9zoBcIKc+7zTtpRaIji3aHvbg&#10;MveyjJy3OhyW9Oc34HFwv12cpT14GKrUHhDAvPLWW+nG9eup3IUrB8Woh3y6dP9hunIFITfoqRVe&#10;p3F/PbgpqFmkPcqBdz76Iq0/mYRs6jBH+CrcWYn93wLh84AAZZszL1pUxecdqKNhl5hVBT63eI89&#10;7qWRpMJ4stlRCqZ9bN1AYwIdz37Q2U6zzAbxI7ozguhXsLqfG6OwPHGYg+rGL/pCPVzM7//+34cQ&#10;1ZF+/aufRR1KyKmVrP4ESnbf+sbrtHUtpcfcSGSIEd1Y7mCjWFfCkTjpcN2SRh/zFzC2CnjssCEi&#10;4jE9C8Z5rTukQCMCYtGG5o2sMfVPmfMdGB4f1vo6Bsce2PwDsWk1ROpWdDrGmjKH0bduTKfZYPue&#10;GaYLxnXJhYjpfTkVi2AgdzKojKnhyqTMaFstIpnI3nRYBhH+ThFM1Orw/r6dB9FFoHOu8RZ01kZ7&#10;z0idGCZgQh2dQ4oAAID/f5TU9nA5P35fzQqNum1oGCe5HP7bljMDiUbLGVGYD9w+QxyF/6w5xZru&#10;gjlxcCp0mIFk2dnBQYtgKe4gggj3RDvtUuvUM1UaDGGo6FChhFPM6XBT2Y5qqchnqFz3Pms9gfqb&#10;7WMXyUa2MFyb7JEyg3jGkcAOQQUvMz/ByKiDdyDCkgki/P35MwxthghE3ae1YMLbrJFwi3iX1xCG&#10;r3EkavcfOEbBz4gdHQFqbf/k7hbb9iKMLgKI6PTRkUqeLWA/X9fW6Yh+IlCM7sRMaNOxhxWK6IA1&#10;AjlgvfaB1QfG2tPpl8+kYZzYGmz5G5/eB7pcD/TGXxGYaqJh3umJhhQtOKYDjEVXq33mGFH2qKp2&#10;IiLbrGk15lLkgLQWHD0/s7WgKd9nLRh3T0TgYDAqsVOfzrvZRrkAL2K0j86PeBG9nfu4IDkXexx1&#10;AUoXkwgT0SpJICMnox6CXge1deXcK6pgErj3ApsuMq0W2h3DmrhCjJ+dBod8r8hG+DOgpyhhuY65&#10;DdU12482T69vF3Z9M+dSdEoHvAsKYo9+g2Q0K9p6UFfdOjPn1U9rvRGw6rit8/J7Ik2eoW5q12MM&#10;w7JU52s75to19KmLGOkoPBdyT47kT7nfzE4N6gggDOB8tJlenJFOpeQN8A0o/E4jQyzK7QdpYHSU&#10;FkGQCjM2p13qaFxzrxflUvfKLhwP+VsrKwu4Amb8tI5yPdgfJ+024UgwdA0QHFcZTvbp4kragpRX&#10;YZ7GkgJ97g95W8tLQR6tOwamRmJ9E8XCz/76p+l73/xelFzsOnMMeu/YSYIWyJOUTeYJBM+e7ydQ&#10;Q7OFfRR2hHv3x2OYH4FaB05eRy+vLNs5bFTUwUWz3B+RQVHq4d6jFRbkiet11kW7ARVwukiMAxXt&#10;yDE49MAFAsgZ1sapFfPZJ59GMGHHVn3o7eQzvs9a9zN99tVvfgOCJIkfCF6VoVsbDCSDJQBKYkrn&#10;U5MvQkDCUVBZcoO1+gqHe+bcGUQRQVEkCXN26mmPbCE4KpPkdDh2gTkkO6AEci2aCW5VGc7KxpQO&#10;sLNrBAiLO63pHPe6STlIPZ0WAgjbtDe5JxM7mwsM5NdwpN3wP1SeXEN1VQ2iYfaXvjCQVzk4PKcD&#10;W1pX5wi0NuDxNKcLw2dSu9LgXF8jSeMYQlqfPXqSfvvxJ2kMafx1FVeZmXJU7kqnL7/G1ND2dP+z&#10;L9PTr2+mM63nUj3Bg9opJc6iJNUO9sMWgdRjAohdZnW0s95liKZyOzxrk/BgZp9MgFbA6SCwch77&#10;El0zCg7uKTLFxVa51i0W02CCuw2u4AHE12b5HqIhIHnugUZ4OlYblilXLhIA+xGciMiGwjlnmD2f&#10;7vDYxb9zbVwofoBWl5dffjUW4/F91MUQIBljopxZhWNZu4mmHk+0MiYakpRyqUHq45WUJdV5cSGd&#10;HRCt6F/dRpnsEO2IXTKdAzK0A+nnbmo2SKD3/r8GL1KoHJCE44mab87gbM1b5qAtU2cSejs4sM7k&#10;1Mq88aXi6ggUDlExsY3IW4uvU9eo+iB1FhoUD5HDpvJwLKMzjZLljgAD4hAYtQYXgtpbXif/yMZb&#10;oyXrtZ6HZXuOhmmHTRoS1KqMPVvf7LByC2f+iCg8ZJlpWaIHd3SUIVeIvmhsbn8NHDUxG3XzgwOY&#10;vQYAfvoeXp+Zs8FEZJk50zSDyDoJtWf67K1ic7mBPIqR9UfqnvUPIpSQ94DhGDkzxiAiZgQgf2t5&#10;41zDBSZ1kukIP5Ot7TnBEOi5C0jRgMI2tF00BJxE2YWhEtrWV0iabAJetP7cwDPKSMNz7kV2WrnU&#10;ETX8+H6+XutwOYhwf+a99Iwjk2O94udzICJEZ1ZtUBz7roj2XMd43QhcaiUAJ2+SGWKM29nPvm7m&#10;7pjh5VbPzDHIDrim7hqBYHFtklNFs2QcWK5opV5+8TxiZsA1Vy+Pp298HyY+E2sl2T1+wthgDPPS&#10;2tdhLBuEreVh6Mh8L4zTEkJMh2SrDRhpz5IKf3IWVtc2QgzMoMIbKY5E3jtFIFoLnmtrVLv3QLvi&#10;i8Xz1aRb/yUofExr6dVTDE6ysKnQVDwH71rUrMggMcJDZHaKMPk8tlRSsmQYew2j4xqwXtvU47fI&#10;to8icAaKJ3mLuTOUEwxKlZaX3W0UE68v6uHcEp0M17aBIVbXZWN1A8O2n84RdG7ixG/fvpVefx3y&#10;o4JArNsgAlexT3U8oe2ROVquicx5A37tp8GLPAxr6+0OaiKAVavmEGTD6wrekYhHBJZZdbY2ZCgy&#10;XUhxjmWX/CbhU8EqV6fDNsbo2BGRzRo5lmu6+snqKdFANwmkyPcL+6WdkqwbpOrccn4I1N6AkmCb&#10;bXax7moRODFDZ4uh1jbANbFsPBWD4eBK0QnjmocqqyUCk0L39e4G2TZk22WGL1FWkpQYSry85jaB&#10;WQ/19yVaCxXbOznOvAeyc+XId8jKDdxzwGxXAt0AIY6U1zbEAznL9QRtQd6VV6CUkeeM12hEx2ZD&#10;ErqD7Fj7mEciB4LrlERbcSQCJEOF3rxvEw35ApNPnwaSqY2OHWlCxzoFodzDxmvbntmF/HaJ9sQd&#10;ymPHazjkw0dA86wNZ6XReS/YBUuQDoqUs6T+zLVr15jfczae1yxqm3t0dXShivwm5bN7lNfWaE9t&#10;4l5fPX8mLeELFkDFK6AEm6Bk6+yNVt6/xDOtgCQs4MMUkepnGrE2c9Lhgj6ngmApj0vkzD1hqf7q&#10;VYTPWMMKKFI7nAiRhQMQKtqLUBztSa+f701XX7tGQnE6VUAAFZEaAuXdZ103SKKrotcEDLMk4et0&#10;AH0D597GQL4jS4F0bM2isXShkSAC3koDe6iVvd8Ker1062Ga+OjLVGLmCs3FsecspaqL0gJFYIrp&#10;rT/54st0/tS59CaJndomrpvEStVTTYh2OZNbAcLjF9iOJhUiTUEc1XQEyps5H96jui8iMn6EF4sM&#10;r6j/17LwWk4TpYSIJPNBnUYd7OOPPk0DMGq/+PwroEk2CY5vgFGmQiV36btdxuCpuBjNK0FINGP2&#10;dRrSOebKDw/RtwzB5IiInFVOwwjWnHnrMr/7IH1INGVG4QGNYVjC0HGjbBoh4CitFAEFf64S6c3O&#10;PIrXnp/fTo+fwvKlz9hBYbltMocjRooSFyW6hRqnRCGObAiacOr9KZGLModgRzEdrjeqEjpmywiR&#10;6Uq0xHliyC1vCJ8WoEVkU35fHoMtawZcoeGAISuRUeX8Pn/Uui9eJAz6YKyFHyN68tobF9L5c5C0&#10;UDBURfFlNl/5gFINUeRf/vI2m0kJUq6f99yze0ZDatAUniV7VQOI/NfslLMvzVdQ+7rxRaytWXHN&#10;y2iY+W+Xa3kA8WiH6PviK1cD+lxG1KWZmrLB4hIHrI1D60HSkUbGznUYNLTBCDdTO8SYdVHXdPKk&#10;c0CcPWKdzcvIomXhT3LQEuWLzLOxVc3STb7WWqdOceH+TtxTDiSz/kEOCmJdyeJziy/7zlJOBJ+W&#10;5SzVFIOzYh1yKcRn1iTxNzIXhdGKDiDXLsew8b3QnlfdKeJG1zfLlSso5Qhla76HZISvv9KV/uv/&#10;6bfIHnCi1MNbUNCbBSKd2IWxzWtrZO1WqGAEmnF0wXvRyegR+HMb1GGVmqydCSV+1hkqFduprD/L&#10;xwgaREYWnsX4xb568Y9nBNvaF2tRWfxuhOIR9Mwy2lwErgWBIV8z9rDdXzr5Iv7sGh5IF994I/rC&#10;m8iqKhJ/2VASc+VJRcsq3IAGspNuEMoKhDFLL7vM1TBY9zpNUrJmjGI4TozMz8w5MRkaboyWO8sc&#10;UYPHqTfHMC2zKjJ7nt0awUUJNERkUQMWJRECVNvXtDWOB5eLE5lyJC/Ok8FZ4xQ61B+gjc/726HD&#10;5ZiANxw3DkHdAIeoRRmSPbHDXl2cpfUTZDPjsK47MD98rjJOsZ3Xj7Zyn0msoy3F1NAj6ZFSa9Cb&#10;N0+Q1+wIwPn5TIIdj6N3fUysmiTfkkkbRB7xdVsFgw/hnuDs7yOR3AaKug0pk8gi7slH2WDvP9mh&#10;Zc4jtXuo/XeTJXY7NIuave2K3UyD3PHZAFM7l+Ex2agZqJLWlnKPlGfmtexes7Vc5EcENHRPtCGe&#10;Em2oSCvraQCT+WYZ/uemQSBwKNyb5OI21q8HcaU6pZSjZRzYn58fZ2qy05xduyk4ICtyEdxrQbCU&#10;g5TtU7Q/2/HnNbEDK1Eq4dr491MUWuHzRlAV8s1wNETBbJP2Sh0W6YwLZ/t47QajITRo4oL+w0na&#10;c1cJSlZx3kc43r7GjnSCQMoyawUp+Tk6eW5OT6Wey7YzD0WwY1nG59dGomTQvwFHzMCgCfRbJ9zT&#10;2x8dGnvOqJAUTZDUxv6XC9GM/enm9ccRvhqgzfTbl06kd68NwOEg6d2coiuoE96MUuX4Qe6hnxLO&#10;6+9+M/Wxj5bYZ9uUR6ZoQT7NKG8lzJcoZ/WfGkrn6Mipxwd1iEZydidQk14giGiiRNbCNTDHQqZ6&#10;2FPX0bLb5avXUj2DzDhNoMUdzDJaizXK84vc3voOUE8RPZ8619Qh6ZjXisbx+Bn+5ziMwiiKUlnC&#10;kgQQ5YzcHlbrJCiMU2TS/t0nHN40DtkCdaU/+7M/Sz/64bcDmdyA9flgcy5NT6xw6HVuHJAgONpt&#10;oOqYh8WN6pCcrvTWW9+i1Wg4ffib9+kLd1JkG4QqFoaL7EJS1RnpFftXLKMEWdA7yJs6Wg/DBCr4&#10;lL82QJZ37eULqJgtpb/6yc/SvftPYtKkE9SibdPaNJthj95ZyzEVInYddgM1SCN6sxUzcGd9tAAx&#10;HWO4rDMqmW0rmyqBYQcikpadq+xw0T0RGVBGESIbITixXBPteBraKG0oZIWBc0y6ma5BVcGLcHmf&#10;Qeh4BzknrajyBRxGcFVHnXkP5Z7RrlL6/tunUYGjNQiRoH/78xnWWHFTSEs8HxGMnI2ZZRdtjflU&#10;cv2Zdf87DiaWNEOzMdgrjrSbxQOdAzcDOGWL65065zXHryhYApwu057IWcj5mMO1zCwMHWk/2WwL&#10;mczQ+Ej8fJTBXFzWtYfBS06uU1shJKXjeRae0NZHvh4KcE65ibg1r2nuFMkBWEYGiqsNI5cDRL8W&#10;pR6DBsmMEeRlxKPGlaipW2Y0KGdAfkQQAdEuC2J5WZltndtoM9QuR+X5GhrIeuE5iNBxeF9R3rB2&#10;j7E3s9jDoO/gHCpr+wziqqTrjylJHPWn5emVVIWgGI43iJqiJ/IrnIuSnVNJhVTue46ztolDrhI8&#10;OoXUXvuMEOZAovbxrGzxwkOufa32c8+4EvH7uWxllLQbPBCrNBLLyPIkeRpY8m+/58cGpK49zsvC&#10;/ApQMPAwkxTbYORLNvbcHeDoelGKPeLZzxJ0ztPLbhIxSFfJIG2Q2aFbJjSACBkePnNtdRE+TRck&#10;zFaC0RPwbezU6Ef+uAQcq4PvhWB5mWy9FeGoDlrlWkgOnAa8DBN/9OQYe4YBUSQIHVyT8sg5QGJv&#10;67h5WwOaduSQu9F3UDjM97ZcqPOyFe+QIXuWqSx76HDcQwYP00DAJconBsNHTkJkkVwOs3MThKwn&#10;okw9XAB0BITktwykfCwhIha9MHEdwftyr+FQJWw7Fn1PvoCZuxmjmhTOhiGjrqfTAIpBOEs7d9zx&#10;nYwG2FtBd8JgO0YO+OzMpNiFBh9q92ArWrlPKz3HOHU7DkSt+gkA1yitOE67rn4m0IhOkgDPuoji&#10;IXtbhEc7ZUBm15RnNFAyyjG72rBw7hkV1PEHsde9rz1wgjDvt83P7fBsT6BHEddocC0RnwBVZMh5&#10;SGYMi4xytyMh5Pq5n7AFRflVoUG7Nmx5lrzpg3Eu0jZkxDkcZh03p2NzsJwXtI9tM64yafN8WsYI&#10;ZEAHyfo3Y/fXN7D3dk7YUUcp4wAibSt/70Ino11SpSUTJlQP0t3RQNLW0n+SFmOQHIJVhQstdRk4&#10;2Za8CkrYrOgb+9wgvwoKRNGRs4ACLzM9JtgzF7uvQUSHS0LgWkVX5TRttWMoYHZszqSjBZIUSlOP&#10;H62QCB4yfmGUgBwrDnrXT+fMW99shhj7ML1LKefu/Vugz8wsgWw7zAj1Psobr/3dP2AvoDIJQfcA&#10;BHHmwy/S1qOp5LiXGC7IftsLv6nJzfZM9GdkZCR1nD9Py+c8JdWlotMJpEz02dMCYnaAnzE0tGvM&#10;r9dR6jmiEzO0R/w5Jd8FGyKJcf8T8EZ9t9CJCJDAzf6CgXqWwbpTo9SegwhPvkRF622tGJJDDySH&#10;SULSgS01HGSJZLmtMw/1UAhWg6EhvPfgLnPqVxGh+W2q0O7ZS+SmUJIDTpbINKyNZoAkZyrBEjUS&#10;LvxgDioKY8ofSxiT377/Ma1BixA9MNBsuNmZxXT6zHgEJTpE9Qiq9Dj3EDWOjJDV289r71g4DCAZ&#10;xVpU0cTASG4cBJbUmT9iVG5FmViny/CeZkQ5K8lyyCIbAW0r9MS1KnnqZl0n0j5WS1+mvbrnrK9w&#10;XUD1RfDzggeIvxrZHVIbNwPfprZWpZQo413jtrJHW9cED5mSzCa1wQMU2uQzONTJv2QZ1gxD+wif&#10;aTx4Tv9WAOF75UDMHyRQUichstMCsfA5+28SraGz4xFU1HcBcfJ8e5FslYdRj0EaBIZTK9raXCdC&#10;O0b0KrwZPNppYKZqecVuAI1E9l1mZPnZaczVzI8sjXeXuOjaCypncmiGmDPKkB1fbv/NG/e5c8yB&#10;XA1xsuZqrbgWxPnNCBAKn/uMyOp9RZCRSz5h03QUEsYMAGvoV7yf5a+8P2oGz2uIMhJnYi8O40Ea&#10;Ozecrr37Oiz/82nN2iGDiI42p0PdshHuwddfT8JCX84HkGB16OJFuhB609zjx/HMzKQ3VcqDUCYP&#10;wNJalLjkvJith4a5l5ENxP+/j9p95nNbIDeR5WYUL58vsn0MrQF08Cx0klyD9EXJfh1kwGCFTObc&#10;StOcr9sIEs3i9PuYb/Duu29jbBfS7Rv3uNaU/ujv/51088vbEPyEkCEDQkjsoRwmMlAjRjfwXDzr&#10;G9R0N+a209jZU5z/noCeDQIHBweiQ0skqbsHu8B1tcNharL9mvs4OT4WtqiZ0pMIWIvQL+x3A/tu&#10;yI2xqwu+RYxnNzBi3dQlMbhXkdCkSCTD+zcDDAE6SYM8k1rn1gY8nvsQ2C6cuxrv3cSQsWPOiR/u&#10;U3kVll7VVunAEbcSIG9DNnXYWwQRfAYptUC1olxjmS1UYEUyM8ciHGnsOwmXIDJC98fN0W5cp3qt&#10;PBB4BtPYM4DtcLC2uwYR1zNSKCNKatep9pP1WgazLKtUcYVSXQV0uH/8DAPGGPdN5jzLczmBbHIL&#10;1yyh3exyCxlyg3+5EMF5chaR2jlcw9oa4oAFN0KM0v0R8YvlMK57l4BKi10hwN3h+o/o8Koplepw&#10;svJrVuA1SVDPx0DMs25AZctvPlO5I8Byoqfd9d2kvCCSuzC7BGmVeSsGiUoMKPvvGY//JHUiXc81&#10;n79wIbgcJgZbBI9Ze0hUQyVkBKgIqLrXUDTmUQ5VQKKwqwcgvw28xy5TV08O9YReyCzvZ8Baa1/3&#10;+iUSmpBu8GcpdE3oyuIeliFPtjLjRhTWSbWbJJ7HcG4kf05Nz8J/mkpDXXCESI42BhrTEEjDb377&#10;SfrZ+zfT3/v7/yzd+fd/kfoJEv7w7/59Bq+dAE0AGcEv9g8yi4Mz0aRiLnvmCgML7dqpYw+vIPq4&#10;8MFnqWlqBZVOATHRG9feleO58YdcZu1oGfl3peiXCIwXUNK1vTVaV/l+m8iTaBd/r+DPXVPXuI1u&#10;Kjmghw4fiZZwgzKDbZG0XEqXz1IbiGhZPA5WdiRamMJOBQCfjY0kIc2PF6rTtASgjGozkfomY19D&#10;8CZeJtdVLV8ItUVvOptI1USnoh2hovXFxx+k3ZeuYjB60g3bX3DSJTIw4aAKvIiogetKCp5BCGHo&#10;uG21MZ4Rrgxjbhhen7744k765OOvMUJF+xobynJERTU00IhjHHFZjXJ7vIkuhbjaO1ARBN5zoQ52&#10;6Mfd5ZMs0ms/oC9pn0NpXXGDhZ+FsFODzWMGQ0TLZg9cBsWjfYKPJlrKbFva5wGbWWZ9BUkrTr4U&#10;LsuZZ4j61M5MhHS5nq4DMShRp6LHHuvxPgKtlfRwciYyjZ6TEKG2OtMtYKuv7s9FN029D1yjVgRb&#10;ljYiBNXKBn8gPGtO+MNW5cyo5jxiUAtfj8FH/pwkLZdUD2PGwWt1sZGj5AO81UDg0AxUGkiAiia0&#10;5xow+NzKESxmROOQvWIvsnvAHdTgwBeux8zK0ceComYm9vKb4diaJLnKVikJXI5ft33VAMJJgXln&#10;Wd81Y8/3ILQcCmvCmBEgWL/NgZDlgYxguJeLNTA48GqKbojY07GHnIFCdiqHRZYyr2EWblH7KMpR&#10;XCtGTnRAjkgsqb/Ln3k8OVAuQWJbX3t671tvpO/9wbsQKYdw/rSkLcIcx4A0b09Tfz0JYaot/dWj&#10;G6BcEFBptWqkzPOP/tf/y/T297+T/q//x/9zuvnBR7bj4MzgD2DkSuzjbvavBkqo/ojJuLvUbTdj&#10;XL2rYsGhOKHxnHP2lU9sRnByAJkRxowuuVS5bTiOOf/Xah0+ODvFvfM6ZrwrOzh16sH+TEzkVTXR&#10;jhEW1p7227fvozNBqyCBsqO8Hz7g38Cv+5xn9QgWUA60w2TviHMWTkLugqUGkDqVBR2BTJ3eYU/N&#10;TCf0WdcRHDc4UwNP7JAj4VeFb2yDjb0c7E+nJTIdE1hWZKodFKOP4EO9kwV4UQP9J+DjkFHziqJR&#10;koZ9ftb2fW/3eqiaYghV6RTPO1YDRJTS8c9A/1tcW4WymElRCwTXEtd9QPCu42uRO8JwQZ1lJy2c&#10;rY5+xsZticzBEYhzFHsyl+s8T/mxwJfBgRxDXjsCaqjHgNvZI0+k3oCE83/stFHsWwPtocpyl7Gv&#10;h8pdh9QFxE3n/MQScHcG5/A/tDvaHFsbe8ii69HosA2/5JRG69y0eDb3DrHOaHNQcp5GZGsZnscI&#10;Yl7NrE0VErAX2gNSY7F3A0fYNzhMKQGEIQLkzPMSTd2N1mXWy9ZN/ubo9ypIxj7rUiGgWG+gm4Uy&#10;dUcn6wpasA860lgHEsXvmbit8t7OXtmiFNUBgtxfZrIvTn8SoaldZ6vEMsmrkNQtKsYzqsCRWUEb&#10;BXRanYcG0L2cKWU9lTper4EW9CbWcxgn3IesvjwnJ2zu8J46DXAf1glJcs5dX2MXpfT5tMX12jtm&#10;/g4mGMO07EmdZA87pdMztMXZ9q1sX9e2qLC7xWsrWFYm2N2E69NKYup8G+dU12P7tihtlEHfLCMR&#10;V0JV4TB3kdjolC0J8DNlzSfrXKFr5PoXn6WTSyfSH/3+H4Fg8tz43Q7Kwc02O0AotVR1eEgpWHIy&#10;ifbszTtp+tOvUsvydurg+dLHkZOxsAisg7bfjJUzs8b99zV10CKLToglLpCbY96DMJV1zJLbW5bv&#10;2FtVzoC/10Jb8CY+bY8XhcMbNlohLscNOyVk30TRMj1rEqqaWmL5DJmwljPAgC50PBrL8N/8ahHV&#10;R9ZWGFdhpg5gdx2jEJeMYfuu6+jxjXnlXEiFg2GbpLWi6IKwqsbrV9lEPXAqhIQiouFn7Z936qUL&#10;IeM2eBiRxGIqmRhSH+S6CIwiu8joiJoH1m41TmEH41qN9EMdj4yoCeKWg7l2W3KmqxSvDTG9QwyI&#10;YVb8IezmwyOGlXCAzaB12pJo6ox2CQpCiAQ2qxCfjs0mDX4gorEGYNw6lQO5Z2H7HYzitnKFbk3u&#10;KZdY7cWVAOrG91nXiHoZDxCZCOarGTABj0IDl8Y6uR2M+85SOuT1ziFsU8J4TcG8PX36bDp8PI+2&#10;PCxhXnsrnl+uX8ZQLJ9Z4VTiCefwLv+1+HvIuupYsW5rGN6y9SbhK4+Kc+Z1ltEJIutdP+J75BbT&#10;Cr3HG4jsdBFQNEcwoKpj3gPOJajyC7YodcfzluGugyfrkADGdVR8/rHG+Exe22FBBhFTU8yI0Dmz&#10;YzN3gfXh+wOI8ly5eimyyXt3EVCBJKT2h3smsBf5LbFrcsAUQmex1AqyWGIIPn9hoLLok8GMX/DZ&#10;ylqv2yPypiVRdr5fy4WYwqBhuDSgIcvu9/iZQHyiXniQzl86mf74j3+Q3nj3KpMfW9Jn12+nv/75&#10;R2l5YjEN8Mwu9MHuRohnlnF7LcLj1EJhHaZ1AqVF2tOGTlxKoxcvpw/+6meo7MktYoIi37dGruDU&#10;mTOnCCY6080btKRFz32Nn5SDhRc/aujMi8hD5ozE5sgCX8DouWQUGyWekQ5b4mO0CztxEI39e2RR&#10;t54spSvfOBOOz/kCkvi2UWu08+Tuzeu02G3C+yjRJkr99sdTGHskd0Ue7HiBeLtFDdlspUQ5y4DH&#10;YHqnskYtmXZL4F7Pvi3hIppZ6ZXLIoCIjNT9ZKnJDJ7vxfC7yK6eB8RC7sOQ3vz44osvsCuH8Kty&#10;wqPxMFjNyFXmESh0ZPtpLlXZIunZc7rwdpRH9jC0Eirb+LnLoCQ92AfjZoNLB2htKHNM+62TTDuR&#10;lO4iWxXB0a7I7XCCaLTWap4KFCI4NmHOCCJk6evwbdsGCVXLpEGytK3yBEGSW8skJqpPlvksSbAk&#10;+NkWQRHiMNiLAJrzIWk5RMG4F+xVMxoJ9X2IfkFaP2joTVV0B4jHoj1zcX4unSbwGqc0ZLC3gbqh&#10;pY/DevYizqkbxKmNa9vnvlqCCInzgxS/RUCo/Tow4Fex0I4jLkGkYYdnt8rzlWOwSwB1DKLb1oBe&#10;QtMGKW5PtPX26BBBZ3eVQee8irZIlj1Jx8j3fvQDuB50gvB+/4f/5r9hNsRvolzhM1bAT26GNtS9&#10;ugRxPhBNRxFEKVqyu5vBwIpyK4hJHzORzp47F8iSHUx++HUTNFthtWlgbumlUxfQwDhpnYuprZ/E&#10;OSizxr3wF67D95udIcAaPRtIiMRxSbUGP20E9CPwLRZRaT3g7G4SSHRCdjQ5FLlrhX9SQY+oCV/n&#10;sLZj9nf/MEqS2JUmUMn6FomMPHOemUmXqp8SzWMjSmCVMoD9F821tCuR+phr9PkFotDCs5Uq0Afh&#10;/t33mJINimMy6172bJj8iBI4PNJEXx9Meey4tzUNUF7eYT/MMe79lWvn05Nb19M91miBe9nugAyN&#10;1jq7L3gRlkwbLBe1ETRgL3bY+E5jdf7MnnZAjp9csNq1s86NhXxDGG1rdEbSPjCFpqJeUsu++OEc&#10;KHiKcSRA7t0QUPw1obrcoueNZFTDrE+iTnAbojNDeM+hPpQuCEC6VCuL+nWtN784fKFOJgNd45+N&#10;WwQ02r0wJBq6/G/JZlqVcCbRFqgrzZNDbfk8drSL5Bre25p9hY2/jaFpalb+E+Ni4KL4j4TNMKBG&#10;/LBrC7EfW8eEICUamfmX2AzNQM1bHOpK9IrTzuSUQKEkrsFs2MEzHvgwZZ6I6GiTt+C2NjoySLTE&#10;k7PHIK94P8ICvObKxmH6N//xs3R2jAmaaHCc5M/ToyhwEgy1knWdqrZD3mO4DP/99c376RPQCoOB&#10;gDjj7l9k4udAy8+sgV44WiN4Swq85dKT6fTLf/FvOPRZ09AATFVSmc8c4bSjPgj3t6/YDIZkkaxg&#10;DoN71oFEBF5Gr+YnTUTxLUB5i8sb6R51z7PMUBjEEGi0hTHXnQPS1Z3uUd+/SfuvMKht5vZCteGI&#10;fB7KTyv+EyhElDTY1GzcSdQCdeT24R+FYFgOGDPUlhGvCDrtahap0s4WImEZsMp71ozQwNRgVfKa&#10;Wv7n0LowQFgxIpeN7Fhv26+8OJ1B4cTiTePTtJCJjezfN95+K/3xP/wuhrE/nuET7utnSBLfvT9D&#10;BpVLL/vUsp+gwqdC5J7S0KzlLtnM2tZB+vDXv0zXvvOttIDaHGEvyBnBLS1johxbMLofPXyCEaJT&#10;B3RDiN/gJtprQYL24ixm/krto0YwjWAs4O6CS5Sj14Df25thedN3LwJuGBTnyyDUjNkXYj/7rDdJ&#10;o3Yw+n4YRNy/cSeMXRsBuUHj0jKtnMjXm5lUOa/upz0y4HrEo548fBAB4K7dUjimOq5dh10huJhC&#10;918HMDQwFIG1nRPuWP8eUxbteKjdU9iR3NobwlfBM/ABPrvl7LSjHn4ao8z+5RrkbfX3DocYjt/T&#10;0SimZPmtar0/AhHLGZl46x6x5KSMsA68TVRmnZr6MeqbTi3FCRI9ERhJfEYQD+7DwAkdFGglnQMG&#10;qr6PZYBMaOYqJcpG1pPtmgFclSzdFsFWsu8SJMBwANiYNUiRkiFNqiRMNhJINDFa1PHNWbrPfZsD&#10;4AhOvJd4MDgLSytc4+jI2dTDaOYmEJIOVBzXIIc6U0MeV6s8C5DZPgKNXvbtBtMduwc7gfDR86CL&#10;oANUx+dlcGN5YYcW/LyHcuOvds0AZo/zH62gPO8dXm+F8vMK8t7H2PN+av2vXRhNY6hgdUEmblDw&#10;i+BQfpgI2jZZtffQCeIxUOoPR2spRTTklZdfTr/++S9ib+uUo4PF/aNuAfZogVHi4Z5cy6I8WyO6&#10;i3RbtpBnN065S96Ly247pqhzSFpjazSvAqjtBH49aECUsesrt74CMRDCt7uE4GufttnAwfPP+7v6&#10;jyCOc968Hls6URtLG9gkg+JeSheHIFY9NAvUc2ZEl2JGD5y6NnhCzQRoiDkEwVR+QrZFBYE5OBmZ&#10;ByUHrYkESmE0p2bXmQBH8M95APGqbzdIbKSkdyFvqwj+8UEKQupa3Q6WYeXqsB8P2ROHoOyt3Wgh&#10;sR9GuwZ5jqjIgmge8FklYdnh2dRxT2uUfrawv7YPV3nOw3BEDHC3LPOrG+EwStffQNxOJfa8aE+p&#10;KKsyAIxDWiQmHq6YyBkusdinRT06XKDBUjSZYxCcwGgtlX/qoOMhe88apHBY+azHEA8WVbEWR4b7&#10;8BVzEf1wymbOGnOm4D9qAUlEZmZNwbUQ3bCuBsxUwCuWO0JiuQZZh1HMDlNCzzq1vLgsLlBIc52o&#10;2Uypj2i8q0dVQB6SKK2qhHweB+MX9EQVsBgydgQhs53sQtvtuGhHp6IgOMg0Nq7pJFrmb//o99LH&#10;v/jrtPbwTgz3iUzP+/W1Ar71UeeFyzmfC53br45D1EcehPVqDJttgpZE0Dj/9ZeTDNp5Gs711HAH&#10;ZDV1IBLOhnuGtTs6TJbk4KLS02hDlaWcW8eiryX+Hj3g4fdYO9uhXK+wRjmQUEnSPvbVx1Ppsz/9&#10;89QpzIURsc63CqISXAW4ENvUx6qWfaIGyUU0wO4lgHyALGsT7bRtXEcnbUgbkxOpk4xuZy2Leu2h&#10;FmhG3cumUGe9hLHbYKN18R5VkIplAhWvXahMpcwKPfT1GB4X7EgIwb3A3zeBmP19s1L79Q+oi0TA&#10;ZAtb8DgK3kSx33LnDYZW4lrNSWQzHP/lQAttEu7/u+Oj6ffPjhAsHaW/nqR+ieHRCERZxgyR328L&#10;uD9ns7b36gCtf/ZRPx06ORhCLlsEHBMPJtL7v/4yzYASDdHmNzpOBsK9TU8tkkk5Dt77Yk9zKf5h&#10;N8fkZx+n/9P//n+HkSTo4LAaaNy+9xgH6JRMyhg8g7sI7Fygj9zukGiTtIAfm+q5J60FEjUkIku7&#10;Pw8uwtGGtgTDdyjphQ/i3Fhm6EELJGQFwkh7VilbYIC25Smw7/1YQ5N/C1i1TFq+gTNYR4LX0LGf&#10;bKWH1sMqHAJZ9EcYTMl1XSdGcNY4n+paZIKunpyDTtrAL0Dw8mxIKJQfEeieAaBBnuiDoWyQvfM+&#10;Dk0GAznPsufJ75k4ROAT4H78nK3nG7S4raDMZyAUHT6+flEKifoy979jQEzbnWRIEwSfszMP2jjX&#10;yk0fcJ8Ha8z16CAgpSbfzp6tNoAEMIvDoEPUQQMr6XHZGRxm5RATJX66iCErX+OsFM+gJoI2t7AQ&#10;tlFRpAaSlQ7bWTHIj4+309QGaOwhe4293sj7NYKcChsfRtSbg9kgQ/OZi1kEGDynKtcrmlCiXbQ9&#10;4bQQY2pRY6ZMcEEptpGplIpG7RL8tcAlGT09TgfbBES9/qjZL1A27WK/2pKbQ2s6EkEgKqJ9gajK&#10;E8MxscZ78h/YvBXst2jVToxrJ+uHF1fi/gdRQexi9raTRw2gTeZEJKJVFOcS6Q33bzkpip3OjDAz&#10;x7l6nqMVvihf26Zv5rtO2XwNEcEYwsfzjg4XXs89IQ9CYbIW9uGZ02eii0KOl/w2UYgutDY6+ZrO&#10;tmxwws0ZFing1UE52y4LA+lAB7DfrfxbMqRLbgDiYc3EbDuw6PDDvvXRRdGAfWuGnzYJKtrSORDl&#10;zBVHzctqJXAWsanD5xxZRuNn3YcOEZOvFZwPg2VRHWUGws/weqyZSNjW6hJ73RHg+hLJoB0wa4dQ&#10;vSQgF4wx6M8HOOxbPedVgrura2tqHXxULZil+fp97DDn6wZdj7u8NsSC9GjrMfaIMiP+Z1uyNme3&#10;Ut8OKmzwzr1yzc2UU9RlWaaEJGrcgd/u4nrKIpY8z4cztwNZjvIkH6Al4cUjAtQBSYizTuf0uTB4&#10;gSEarlMjAlq3y8BfEPI3CozNwqaI4CGyRxEJfyUL+YSeuHFHzcmJYkD2kdXsnIsN2bPxCwHIZ6at&#10;TF8cVMDyZuqy2DWgZKm4k8hanO4W8H3hROJuioDHwGGTNi7RZyVwo1qDw7RFrJtsWHJURUEPrPyR&#10;QQSlj2OyL6M3ORpG3gZLClft0FdkTk5FKfgMTUT1TTCHf/ijP0r/9L/6X3D9a+lXTx+kZoIDVSA7&#10;6T02etO+2bWhxc6HyHYb8AP4H9b+9zlAIhw6++wc/NGcV+/xe7uOkXWQ02I1PV55GIz9Mwws6idb&#10;XeVzxy6Iy1dTKyIzFWWy4xllR+lHhrENIIqA7nccT4bBVGirA6ocxoicBDRqshxBoLZIdCuD/Mjn&#10;68bhdaMxgI186eVXIJwyFnqTqLYKsaxjIKSZ9+aepgGIrK3U4PaBdUfOnU51EPG6qMNtE5WXLdyR&#10;ZXVxb06o3OAZtFAOu3ppjHbWsXT9+sP06PFsDipjT8oKN+DJ5Z46e+ndR6Je7kuDp8KXZhQsd1JI&#10;jFQg5oi6am491flklCmGg0Wwm429zt/2NPkOOyJIwao3yOUZ8D1JgZbiwoBHkGrZytpod1zHr371&#10;MegIAjMD/Wni0aP0FDj0mMN4dfREunae4ET0i4O6sjQdmXQQ02JPZ6d+RAa3OH89AmyRjYUF5hpQ&#10;G24jeGtgjQYHupjZsJx+w/s0onqn8mtkr4XzjAf9tz5ebO18sYPDHzOrc7BU7UMdD7sndEi5a8Uz&#10;m3UgqpbYHGzAhwbzAMRgnVLE5NwMGjAziGGV01uvvpouo72yV4fwDNn5oiI8GMc/+MPfwxD1pb/5&#10;qz/HeNpDj8Pl7Bk4yVPo7MpzHoKKEfYlJy25EJHTl2cZPXYjhtb5YyIrLwQRLwZPgTiYefK8ujH0&#10;ZUpB+wxB0kF99eWXZI5Pos5st8ECZYmrr70edsRxyA56UgfF99ZJ6pSbYcx3U86wbHeIseyknLaq&#10;fWBvDMPj2MFurREMd1GWdd1ai5bRCFa5p+irt/XUPxVq47mbvXneBzHS1EbSMLX8Ete6Cvn2KboR&#10;dYe5XV7560P4BJYTA+KPoDC3cQfGGU6IzgUVhC2DsJZtaLlskZSVLA1Rmmg5HAzdBnv9wYrIqhXs&#10;Okhn6HzZhKTYQeBev1eGGLgJVL/KAKvBSDK0mRuWgh134AHjcUii1y6J6NpBpj07xsEcg/a2oLbY&#10;ia3uYw1b95mzQVeN1xocfIMSHV0uNsYeCxSoCBp9+axHkcmi8XaWmLANko/dklMTdKJhh0Vbd/m6&#10;gUMeYkggGva0CT2dfnREXg91UQNTUbtB+Vz8jCMKyiAqxwQ9+6hBeqadZrnZCIqWe5ljx3ldqhj7&#10;HPfkcFi+1X7jp6J9l79XPM98Gnxv4YSVz56YmUknSpTGEV+jtofWhHVaEDs6QQ7l4eATCEMjsFJ0&#10;UJ6VZzzzl+TIcb38jDLkCjfKM/DZHqu6ivDUMWWMCnv4oOhUjG4/O1hE0NmLFYJ6x9cq1NYOiXJP&#10;5Jd9JgdFbtNJ9leVuTH7BGPGRbugXBubeSJwiIlhgwx6ykh+OxelWWTGT9bDkRV+yB3Sb0nWdLGy&#10;oGJhfPkDBVggezarPx7QDfGKKnpGPfkjR5D+twKrOtoWCQ6M/G2nMRgQnhW2igmSWGkZvH54eITT&#10;YsEMVEQ4eBhLTBabgilawlBqtHR0bmB5vtbkD6zFswCSBVu5pgH7mqmTzaCQJSFPvfdMHsstny9+&#10;5A1qzaqSJoDqV+mLllm7wsFxalwzD0Sp11ay/NBXd5ywxCpH41r7A8Ly/Rs4cAYbWwrM8Hq2AQq/&#10;2VO8U0eAw4rJDd6AU7DO/QR8GfUkW2aKTLpgUTaAS1nbLZHF5zkXtq/lDCs0GljvkGNmDaqFOqUn&#10;WCNnFuE6rEJeOzyYSz2v9jOSmNYj1n1orC1a4KaZbBcBhMYr4NS8BrkN1hq//87PsuaAgmDGz60D&#10;/20JOXPYwqhrENmAmQzJNbK8Ph835NDJE2EY94F2S8LYvi4HQ/jfKL+TTdzFz82AUpReovaI4fVn&#10;TZ5bbJV1BgL3YlbYwkEd7h9J36C+93t/9F1qjf+P9OARw4cii7M8pFMryhqRmT5/yrWyVdGglH/O&#10;IIIMpE7nH9ybXIKK16mVrCIoMRSAVAV/4eQbL6XdQWY5cA/DOimuO6NXGd73MIsumT2I0DWgStjd&#10;1woU35/bfElQv/70brqT7gdkaz+7sfkmQbJKeGvq4lNLNCuOIT2iGbXMUiSAZ9ij6BHXummAzt7v&#10;7mINCa4ayTD6QQkOGUo5PTNB+Q8iH8GjmXOWo85dKrUW1hqx8kXHmoOIvHDuCdshF9Fu8B491S0Y&#10;4S5EmAyqRF389OtbGFvrvlF35qN7ZDAtTz5NNx8/xAYwH8GgCyNaAQpd4h4t15WoDw9wP00Y/G1k&#10;gzctWXLOJDdbYx3CXizMT8dzUZejTuKfljsEjHL7WOzfIITms11TC9WOGNh7OREm15zQs/0eGGSc&#10;p5Ps0TrOuK5LTYkhOkme3H7AGbkDEY1r5n3a+VqX0sxhpORdsL8M/M20AzWEm8AzPwGRzsDkARNV&#10;JXKOdTHAqpiquALPoIyoklm1Zzfq715DnPncleam1UnUtEcUeXKNnSVSDxQ+yvVtH5IJboJQkCDV&#10;fkcS3QFBhN0e0dyk08w4b1i7mHlgT0QkVhh4nF97G10vWzOMZWfPkmAkeA/NiCg1a0NpC++nhNsF&#10;OtFH++EDOhKObLPkekxUpmj765Tgiq028N0y08chysuJgEXb7dA3vl4BdZA31Mh99GzPp25s0jfP&#10;DqYT/U0I0HHuGZBmvu9OyiXmzKPzWZp9R3IV/vP53oyb8pnLx+P9zHLVZFhjtssDdCVCHyWaXTIK&#10;WQvMMkLI/qTM69/n5xk/js25hNaDJdQc9rtgCIFBgAygk/1psmaC69wl6ZyZZ5HLzwOcbafPas9L&#10;2DM8bLYtxb6r8v76OgeQtUM8tk14EfQLdYw0eOpMojmQgMRSF7ZVtV58Yx1zWJwW226g6fmCQ+J+&#10;cd8Y5Prp1N9dk2udNz9bphxMfQ0UDATCpbTmZjmLPy25+Ux06u7Xeong2BsizrTPa9fbzSW5Xa4h&#10;+2if8nMFDZcmylkTqwRl8k1NvEgUbeM/JrmznOqed+rwEfNPtmlNl5zYxvvXi6xT7t6DG0hkRPmL&#10;0ko8xGwfGsu82NXx3jSk8iQkpfsTtEzeepz21AAwMyiiEQ+6htBf6yYTa1OdEOjIgxGiKSycm8yo&#10;uU3DZK2K7/nwPaTGmZ4rjWAF6KeZmqBQl10Je9bgi0eu4XIqW4XFuHr6RHrz6li6enEUOPUw/cs/&#10;/xUa6rbaGZjg+IuKYQZLimAiEvJc278FkzXIOapzsajDQNCRsRCptpBJNdNxcESj8eG+hpzgKdAN&#10;4kYMZAzb4trsd3czCSN7yA6Apda5719/+n6qMPL4y08/xXB6Y4qgMAZ4i4dZlIcyqcpNCpRqj7hk&#10;GNnilEV87WfTPMOx2DuNKuSp8RA1mofdbi23E+Ol5PEyg3nGT11Kb732bpq6T9Y78SQ28p5wZmFc&#10;A9oPQ5wFo2rTOJ9D20WwxoGVW+ezdeZBxY4aFU08OJJ4/F2cjqxjI5wYmU5AMQIhaga1uUM127lW&#10;QakSxk+TfbwNLMh6qiFxRMCzMYfwEKjPsbVeMmhNbBPv62TLa2eG0kWIZWtE3wuTk+nOnccI4QBD&#10;B+M6B0FR+3b0bHaBeb8WCFfN/Ih8hpHQ4XPPPZQWLtC+1o3znV9YIUuYQ4kuGzJpnWaZUf4hSLz4&#10;ysX0Q4KXBkS8qpArv0Gd9BZiPE/5nQh4rZ3baicsLoAsyYo1aIHVXoUuv4GBk1hQpyqi6ZvPQC4R&#10;BmAORvb1uxxW7m92kXqjJZjg7ygsJZNeJC0jPBbkj4QyCabdk3YtdTm1UQo83+/ulLcDw73eduU8&#10;eySvSJi1/Pfa12pnoAis83Ov8SIMIJ0P4flxzXCmBPHtQroG/fxsbuHGyEHoCp2J/JOxR0pA1W9/&#10;61vxvu044BKv1Ua21IY2jCxuEYb/H2P/FaTZmp1nYju995nlfZ2qOr5P+26wDUA0QYAgCRDSzFCM&#10;GY00N5IuJIWkmSte6I4KRUgXoxtFzIxGoZmLkaEnQIAAIXCABtt3H+/rlPdVWem90fO8a++q06NQ&#10;hPJ0dlVl/v+/9/6+9S37rndJjrXlAD02ZYLo7Q3YA4f6AVMuMQ4cvXCUqX81Yp3/JQtRRqMfR0p2&#10;xwy8U7m1DkTo8ltjHOdBMeii8taY+Mjet06xxkF2REHOZiwGMaZmpUTS9yGTYzow6I0pzvM0WdBd&#10;ym12SfvBppyFuzgzxH1WX4yro4z4Obc9dEzYbtk3ALMgUZ8pZw2PZ00d2HXGJEhoPd6cfx0AUZnc&#10;v10uUxieWRzCjQcbwSM8od9/HQbBUHFHnqv0G14F5cV785kj6J9zIjhTOrfewwxlokFwDnvv/byZ&#10;vUSXBIHP6t3rzcDK4+YE6fw+WGf7Kb0NwNrYd+REc3SQ8guZicNe0tlcb5XoVR6GY8dhZkSG19CX&#10;A87RSUlQ6mjk084hmYWpnx9apqBUdWz7TnO650nzJbphpiljrID5gIITg1MsjppeRevd9z8IUPHK&#10;lSuwfY5ljzPMLiVWM1VmW54DUF0I5Wl56W7aEyOL4T+oEldWQnxEm6m2/PyEaHuOYHNu7nT27CEA&#10;+lOn4KvhBuQWGQWro96N0kpJd5fx6Eeb+5+Uw6ozMEXG7TGO8lM7QeyOSnuqTpsBJLbMWS7oN/lT&#10;1CfTOhHiJpCnXhw5h1TtywKpg49c2skR488ai8EwK6JMm5ESwJpyjGRnON++THi44NsxnKJDykOb&#10;OBlQpdVAP3VfPov7dRgdshA+Dx1G5G0cLiGvOQKniAGrZzrNCLCZLt+70Tyl9DI9/mIc+ZET85Ek&#10;z4uZtl3Weo39hSyC+yDIJ/u9YbaU8siBdp39WqbEtscU1l06i5ZYW52tRZw2v/ovLow1f5NRsvOk&#10;oift0ebNb310LcAr7yqKROWYqLDJzIwTR+fDwb3GoRjlIPaTvp6Q3csbY/3c3HXLBBjDijBaAdHI&#10;Oa0SZ+Spw2oAcJg+cgqf2Q1T50Phw6cWRhr8b/zKl5oXqS0PM+r3MdMDjx6Zaq7Tm97fpql3AfNl&#10;wh9ra6+rQpvGv3gVlio2yT40zamjHCJBbnymxEFhMoxGai1TDIWHtYB6ahMJZuzPtw4e/AAG1rrh&#10;PtHoCAv+b/7RP2n+8l//CeN9wQuKSG8Nuco5NM3mXy3TKEKWR3Se8OZ7wARY35UVTwXjSxTUfcCa&#10;w6Sl/v7f/0+aW9duNf/pf/p/JsKwZQwBQslKhf3VL32h+Y1f/07z364BjNqdaq7dedrcESXrvI/U&#10;i+Ve8HBRV3W0XmROI1oOXNkYn6/+7j1m6EzIs+wyEY1sVkFPNw2U7IlT7g6Iyuabs9wfZ6W5fP58&#10;QDay1TksapIMzcSFc81JjMgAmYBJqGYPJsg8oEw2uC9bqXRO0u6GEbsE3wRF3+adq0S3cMK/y4jf&#10;LYQzBFNiYTrzaKYp5arnmZRyKMoweoep9yN5/aT4vnz5YvPtr74EXoRo6+rN5gfc+3tgFHgayifL&#10;7IHZIFwkDT+G8qMPPmjOnDjCyOQtENj3UazKHooCZSmj4BwlBkcsP6GWvUl0voVnvs1nDnp9lt3W&#10;tn4O1rD735K9GDXcgV3vFsZhxDoy5bHqGHFSaM3IEFxsuTAREd+iwMcR1DEiBQ10jCefZ+ugiucI&#10;4E+zpGuUXNy35GrMRjxzEvxr4T3ihOXQdlmpwoyU4jUL5nyIMlBHKTmMO3kwMuK+C2yl3MjZlQhL&#10;DIFffSDML8M1cOXSlZQuPT/OGlg1KvW6Zmy8pl0/REQB6Y1OpjOKMZ/VxuhwKdvI0nlTmc++DbJe&#10;ktggV3uC+Z4yKvwMLbKkdRcfPWgWjjJvhKzGIyLlMxBLmf10XoX09oImw0qq/24HlI+opvWs6lB4&#10;HjizKzzTfb4nYCvsg2hu2KwaDvym7HvqL5SmumcX5HvaPvm2Vm32L1E4jlY/0fsAwYYU5OK6tpwh&#10;RLlkwGsgXZaFDABc947/QQIfbYlcD5Z4vMY4cnlIK/l9MAnz1pjJSFgyynYnWOOaRIWFCzOX4llw&#10;n7sOMPWMyH/kh6mUxRGjncep2YDs785m88aZ6eaTp4+an1x/v+kHb/GFE8eahd0x6JEfN71Lt2H3&#10;mmsuMIRr+86bzcxj8AOMPN9nMuohWd4tKcPtIGHNewH4jcCj0MOa9akPHSAlfbkgWnTVyAqcA1uL&#10;DTRL8BjMN72rrCmlkTn0eQ9tr2sEBJbuZEFcQx/Y0bIN7fQERiv9Uu1i2bo6RuuldPhxoMQiIev9&#10;/QYCT+LQqhfMhBppp5PIceIp7ZQD7aAtCQLPwO6ocZZ+wIBNiq8hDPSTR6vNU/YmzqEZH86ew6X2&#10;cQr3NJLou3GwFbOzZKAAzz8VLMpARjNaI2OcAxlWcRsGORtba+gCHErBxCNHwLaAm3uIgxoKMO6l&#10;364xeJCWH15vnlx9vzmFzTrYxYnG2ejFoX3EvT1irQ7ojDHq94j0GxyIxeI1SwTYj+3Ko8ulD4zR&#10;BDLvKUz2TQsXMCZ62bHeAPv3xQmqS/h26KcBkm244vI2YMkV57YFz8sWE0Q7R3YUuYd1g7ZaJs8y&#10;PXXf8jrvdaLzw+C+lOV2OKAOXWyHU7HJ7rTO5Cblyw0mmfZTxuk/gZdmK9AuE76eOg+BmRaORrbg&#10;k1pwjoluUKl2FYjKQ+9lcnoyyk5O+T0Uj9G7pQDbcjIpEsU4QYbDLlrxRkbza9SD/PkqAj4zO8am&#10;gyGwm8FaCzfq3Pkta4K86/a9JcacrqKMJPPG0yOi26Je2yOC32tloljVwj1Y0aEuYABsB80RPP7f&#10;/dUvN6+chwmPa//Jj35GRF9Gqk8ugtKRpWDb/xKVtAZKJTGPV7jhFFB7halzmVGYcFyuCFoWUaa8&#10;XlI9+ygD28NSkmmjJBV6PjeAB1NxRqGy9hXHAzcVR6Of+usZWsq+9o2vNl/78hvNcSKHv/q9X2ne&#10;+ehT6q5LzXlG+P5P/sO/BznJbwC8Wm9e+corzeAXXmy+/8c/ojaHQ8JnrGSEevI9AacJVrOQId14&#10;grk2iilEAJupoo+L6CCYMiJ23xipb9J1oQ/iuNm+pHcbmNdAP6MYXyI7JGpcBSb+UXS+tbQrV8i7&#10;W4JBoZ9Gqa7iDN7bgqqYSPeAyE0lGyikaG0iHx22o6DhlwAyvQd2YpM0mXeevex8O/eSf1RqtDWE&#10;OUwVymbei+k9wXkYx2kyEStM0pvaX2hePnmseQ/CIDNHUgO/DvHRJBHTI2rzFyB5ehkg1u33Pm4O&#10;oPIe4mHvk/laI8W8zTqaVhxOm9/p5nd/97ebP4QJ9c13PqWWyH2TOhw3anYJcZjk7M/AJ4yu96CB&#10;WRcwJU6IAz6C4hrWocz/2q6dAglFRs04KAsBd1kL5fxYgsloa6MXy4uirrU0qt/2cMc5zLl8no2o&#10;ImK318/XKxTKyKDzYwZ64NdnnSbxBl89C3ZAo2XEy/oGp9EjeFIFIfhUCUIObP9D2T9lNsYqaWYj&#10;736Urmx7OuVyqgiUXMP4mKEUN9HsP2peffECZS/99XJael0n7t+U7RDZnN3PHuKk9zRzLw421yiX&#10;9KM35kijX1u+l6MxihP9CAfuEenYE3AXaNg/YWy0xuQC4MS7ZpoASc7CEyG+6lAcDLJsitb11plQ&#10;PmxJlnNjBUCoEfWszjnroax7a4X7UZcYzNjmS5q3NVCS70hgNMbrniwLgMboGS0S4ftmW2Ire5YC&#10;63MnzjRxW6IJ2oPrTYMfMfp+7533m2+eXwiZ0zwRndNauwFzEQvlJJ/d6japtMOx4YTaWkNbq5U7&#10;AREZzAa1uiPOp8FWzLMOb7/14+Y0qPC+M8eQyaWmhzO3TbdJ/yZ1d4aa7AyRRRicaM6JCeGi+4s3&#10;MH7vhaH24v076HmnvZCtFUSKxzxIlDoEqn8IJ2idqL/fDjoMpoDBUXTauFkfnJJNSm/y8DRmIzSq&#10;yPDlK5con8Du6OjxtkweB83SAB6DgxGdfLnHGARl0SytZeSrDKWyVd9OvwPSXQJaI9U6rinpOO+I&#10;uJ9zc+rUyVChizvwNWZvXVMd8Zv3boPxwhmSfAouC9fVYVS9DtjDcO8wct4y9zRr66Ti5RU6FpDz&#10;JwzgmnCyLDp+hIywbJUSTY0vHCfYpvRI6aTHyaVeUPCl9PTYwSNwcnxCC/SP//CfNH/9Cxdi24bB&#10;nTlT5BPappextaMTZp/Rt+gKAZd+7gOyIGvqHssolpe1Vcj8EXANysTjJ/cDHRCTMAKmZW52IZOS&#10;45Gzjrai7mM7pfsLhblgX6sSXEN8mN0i37rw3eaj659yv3QZwhH02fVrYeU0eycWJOURnbhkSj22&#10;lRmMC2OXi66eGSq+UpLRiXBKq4x0Mu5ZQxwEyOGUt8fMXq+7qxS46xQuBDZnqhc2LRZUEpJhkMAb&#10;oJjX6ZvVQBRKoayA7dB+mVKUXU2Q4jKvK8W3T5THQB9LAPTEujCmJD0cAlfWKV98/52PmldOLzSz&#10;4z10ABARgr4WCFrZwtxRG32X+jQ9X5SodZgnUWhXzp1sjk+J7CUjMTvZrD0kQdQq4tB9d19tCjL/&#10;bA2WhCnHaEl6RFeHc+5nB5iqBoXo7tH95k3u/x73M8Bz2dds1LEnGCgy3hF1FdB0AIszB4Dt3g08&#10;dzbf1O0hiuzuQ0GlB82v/fo3mv/4P/6fM8b2xbT5zE292PyDf/D3mx/+5OfNf/mf/VekYSmFwKj2&#10;8NpHzTZG796t680Z+QOYvnh0dqSZX4fJkqhAB0jjluVx/rtGKi2yKkpTvPVoyVhwCKx7b7PeK6Kl&#10;bd3BgXRojsyJoqY19C7RMOt4nDrypGm3zcPmIethB4VysgMWQPzQJobkESl+e86PUR/vc0aAN4Pi&#10;3ERYM4aZg9+HIyjJyRBO4Qge8QJAsKklIku6ObJqz/akrWfqNFgv1SEre9klI2KSgyiW3EwsDv++&#10;e/9JA8ssZaGzTLkzDQu2ACDbf/I/+/ebM5Dt/PgXbzVf+favQgS12vzin99qoKahpYoatB06lKK2&#10;ASqdo6/6q1/9QvObv/mrzVe/9sXmjTdeaf7iB79o/uH//febq+9d4zCZCtR42gptJFeumelI5bpo&#10;GAr8hiqIPMYgtI8XY6OceP+RNSMwacZJkeK0hho8g6W6se8YPGvCXM+auwRDacBOrVb95QcXViDO&#10;B3tn6lwjbKlFHIsdM36N0J72xgvn4PMntU5WrZwRn4NF4/NN1TqFsY/gYseCeT5fXYQTgeN/hyFE&#10;Kn7TmdZ7BTIKTDxz9gSxGrLkxFYEwpSsGQq3RmPZu0/krBHgO4x6qdZwX2ISWJhjZLrMgo4iFycZ&#10;9CV50MwoPAPnyXziRM9CIqSxu3v7bjAnp5mWeZ8U7T0yFkfoFvraN76Wro+9kJzV5xsL6SQNMtPE&#10;NOwBhqNf5YqMZsaG+Iuk5OIPBODts4WJj5/JReIZsPwk4LFHQ8rnTuBA6RB3rcXZQdYNupi0amv0&#10;ClTtBE+/q5wr2M2oex0GSpn/BJ0fx0A456cP58eW96TsNRk6dWYI7eJizywIGrH2EwXrkGR+hQyY&#10;oc3G6HH2+imPsIEBLtux5YCsDbtbDml3J9Nii2P/BnvDGZxGVvoHkI04JzrqPNE23wB7zg6a5eGZ&#10;E4JSukAnWKbswxGQNfEuUzCJNzMH5OSJuVDaP2L2xASZFrN1S2AB9uAncL7EThROZQHEWGzQ5SIW&#10;YAa94JdrHa4P7ifdHKy1mAEnTz6EHTUj792cjF4oZlmVmH96j/tk5+bArtgWaRYx2COeXXlXX+hY&#10;3L2HU9ozGVr3A2Qh81swff2HZCzYkw1KNAYqY9i0FTA/22TIMksCp+YJGBhLZMMY5HHkZhJsxSg4&#10;O8vf9z4YAwTNjFv0wSMwBxtkRGR+vI2DufQQPpsnD5u3f/SwOU12VCKyPgyuLfBmVgWuJwPIf4K3&#10;V8FEOCztCK3PqeKxx6cZ1OUY+j3s4x10vkD0bZ5TCEAfraY3+J0l5ikcnffe/Hm6ji7B1Pz+229y&#10;Pw+bS1dear75yhs4+5QU0VdjR+eaL/+17zbX/sv/vBguWQedBc+BGK9BLqzTL0lZry3yBnRm1ds9&#10;dL92LdmwD+HqEJjKV/+nIMKPgOwli0NKbJfWPRyCMPyWxisvq/3W8+Nit+9QN+YXZ2mRO0dkKqWp&#10;tSENqopTBehMclvzRJwbOUha8uQxRhOBl2pTxO022Y4xokMXP2QmOgFcc5JDOsyBuUE/u5syS9qv&#10;p+9Rc+3BUw6OyNz0gJRyVg+2hiatX/H+LWs4734HAYJ6eJ2amylLnq9q05Y83KlS9vH9u0hCGW2t&#10;lWWHHlJ4JL0ALo01L7BOJ0nHrcpcx9tE2W6LXF31nhR2WwuLp8AIJchj6sk6U5dR3K9cPhcvdRhh&#10;kLPiPoInMOurX/0ibGsgvreeFskVTplR/hGyOOZxXj51DHKRlebhZx9BXMQzcN3lW4DUmAcyJOAF&#10;lsMQwGqAZRqzpqpT40S/LoIvE+3T1Xq5fvxAnv4lQXVS3pJKWyM1Ok6pQYSuDpkesBzyI+k6IUUo&#10;kx37JpvbgYqY9xqh9+NoLOLB99FFcBQ50NDKyNaLIVhDkc2Y/hOJzLW3/ebfer2jaGXHzeZ+kk0y&#10;/Z7bLF8zpSadxKqf5hly/+oS7i6VKY1HT/MpLWsvHkc5ofyW4Ko4BsGOpnMeWu4rL5xudqgHniB/&#10;OI25W6b3f5rDe57Sio7HKh90lpLeyvwYkwDPN9/8lS/QprlAVgxyJNjz/tp3vtTc+fQqRC2ftPJj&#10;+cu71TlwXYpzRINs9UKzIUmRPkSgJW6NN9v6rfGVlFX+dGTyAZ7HWYBZv/U7v5VpgT//2U9jnN3L&#10;4GrCfmpUYHdUMXUGN6IxCEhLp6/api2BFKhZRdq1qSmUIu1pJwRRfuQMnAhJCUu4Zm97YTR2yGua&#10;mRqhQ0Q2Qb/CzunncDl7ldZRzFt37jTvvvNucw4CHjMpJ4/NhWNlGbzMMYb99GD4RPNnRoWOTQs2&#10;9HPcZY35MO+ZlCKYLoX+IbgTxOHw9+E+MiY8yyjp2kmonO8xnXKSaHCdDInLdpx2TNPaF89fSBux&#10;Dkd0jxUEfQMxPiy4mRwZ+JxFcxddMoqwn7r0EtMgK8PlZ1hFSGcaitOZGMn6JPvWliQ1dCj8Nbox&#10;tokgx8GtBBDqLmQvPU81rCy4jBJZVy1OYjf0rcS2nMAMmVMmeJOjt8fZp+Zwmf3T/anSqsbbMgKC&#10;UWA63jeQLA6/k/iuJh1EFnxwcRs6HPucy2mCpQmHRvlJtAjurz8mp4DT70wKjSXno69fIJ5dXdBp&#10;c0rMljlFVBnpJ9DxyxHjkpPtSeVPne4B2aNt8F8Pd8AXcO+z/HxtvZeMKTwu0LdfQ65On7mCYWJ+&#10;jFG2XDM+K+egSj9iHQShki0IkLIcX1kmCx8kCLVp7uM8/Oxnv6CTyKjbFVHeMfrtWQhOSyAs96ij&#10;KwnbCp0ivl5KczNHLwKuFMv1lJ//wR//IW3pCp3jy2sC8yDy2c+sjIvTA81lRl2LC5uEyGmKoOYm&#10;Eb34l5i+ZAt2IPxaRp9tNE/AqumozMwzAgBndohSl51+Urn7jBkrHhp5nBuus06Z1GyYmZZdyiL3&#10;HxOck1UxUIvjxD06oNFMwW1mW9y/Q3YO+2IzwN/5vd9LX8sG97PIeZugRffjjz/Mullmm5mn02ZV&#10;+z0Xx+ES7buH2JsRbST79v7bbzXfev2N5rWvvoFNJ6Mj/oFSVMan6SS382IURkv2KeG1+qnOvf+n&#10;vKl/ynmw/BQtlyxZvbj/Oga856PrzRGEbh7v8CZG3xaoPpyCxLB4gN3ndgo8JV6M8QqMeyo2Dews&#10;RsYUurX/bfkWSPWuUfu5fQsPDRS3G16YKt6nbuUOb8Gzv0C9dxOyFZXuAWQxoRrmmhMAdIwCbsP3&#10;cAs/xPuwbhY+hPhvLcAmBqd6xxNRmFLnz3mUjp7SbZgDxyDrsWNiELTrJAfVsoIHVY+vuhXqCYsq&#10;uv2TBRpGGS8gLLYMCXg5fWI2xFK7O4PMSTgL+GUaql0RuJKPWm52E8qIOPjKfu2vfPtbGOHJRLPf&#10;/c63chBqSp4zKxwHS9sY9eA+6bWpzxnBKHAOQvFAjOKMnQLUdgTB3MDTPHL2FN7vSHPn4884+MXG&#10;tkwtUqpoEcW+P9NG3TdJtH4JD1HKTYHQse8Lk+YwPerrzS9oj5rAwNru6I7PZI/8nOFmBjDWGtfe&#10;JwoZINya43mIl3PtAWqze/ukzTiU8gAMWuM2I4KiOhQpPAz+ATTv4bL4gWJHNEgL8t66NErGVHjw&#10;Dd6bTkP8w+fxujXU2vFCZpdCNrOicLuTThYkGqBT5re+9cVmhnv8+CfvMa3wSHOE6GgEVPETJvTt&#10;AwQaszxCndf7dO7BABebmUGJI29HBmebl2CgXMTBmyPymAIYqjCJRrcFmOCduqPAwbYWLT26Aacp&#10;7ZyVUoJxvqXhJrOQThIPbFqE2S9HyCeSKqMd3gkdaNZ+FqzRC1cuZz5J8wtZbokUzJp1WQadBMnP&#10;aJmNL9Fds/19HIY68/nWIJpyTNq0/Xu6BUxP8xymojXyvcxr6JDzyziETyn5rNMe6dwIvxwYabZk&#10;gWyUsywEFr7/3nvUUQ/IBEg6tdhcuHKOjB1OcZD4ZIV4zRZFWtPelgaGsO5ODY0e8H5xOPbsSCF3&#10;2o+RfwSFtsCPM+BCHlA7d27Id6ExdqjVTRzmIUCOw9TaX3/tC4AiMZK0Vh7BcT1FGdDTq7w4ObFr&#10;o1WigrGKMeiDIA0nAP6TPRzk1156KWejx0Fadt203BvqnvA85KuyeDq6UnQvk+3YBHo/TdbAiDn6&#10;06xBVEZR2uedKlxxGXz3p5NMpdeBBgsD5c9kuJQFdJIS0xT6c6B3OZkP0/+VAMYxZ6ZF5mvwb8m6&#10;+lP6snxGAREE/SHlVLyGcFaMYDgd4rZBqVnaZPXqY4K4ieNnmv2PH9DKhyHHWMl/0IteOmRvxHf1&#10;gunpZy/oq0m25RBchGtoZmJb4j/es0MGdplOvOXp3ubhRm9zc2ip2X1ALf2zD5peHPOJKUDrX7jS&#10;vPyNbzfT516kJRE8BOfG6HvAQn32orIIxfshNqHAh+pcZVR21o11QJTaBzKXH3z0STr3Si9XVslB&#10;gIWF0rBTeqTEbJnZD5JtcwK+hhc5P0fA0lgisctjAMP7vb/52+joXpxRpuPiH02gp+ZgTT1A/qcF&#10;Hv703yTDfpys87kzJ5t3roFhkHCBNdBOiWXK6Pect7Jd++j8JVqd1T2SdU3h/EoRoJxLXFZZvRqD&#10;YBlx3AFwZIDWaDW1ZViOiuris+SD7oGsyomk71Dqss3zAUMNdXBfAZz88ouXcj6XyABvkMm/DqZm&#10;hmF1zvfYhwvCkeUbBJbSJdy6bqvzYHMZ9s4hAnRHF3zlW9+ghX29ufGQwXg62JLqoUt2uV+5SALE&#10;T7Y0fk0C9ZBEWpaPrc9GYd+Uk3aGkYFg5gkJRUJobjylxxuDP0/qd01Pww9RSUeaa1Rr7abfLXqA&#10;X9lGowNxCK2vDJECzTKcS0Ci9NgIvfXTvtxE9fKnas/NBcAGUcnX8JLuMsp7HS/fNsuaVEiESgTh&#10;5iVuiXJuAXYaapWlP0+tVYUs4MjIwcUQqHIQXMEyHtz7kCnZSvoGeIPTpH4WqQ1u2ovXGqP2yZ4Z&#10;p45vwM6Ir3ztq813/tpfbY6AB7CVtU+sAHVBvchft82HyPuf/KM/bn7/j/8cZWRUKbMZaXGxHbzm&#10;5PkXmt/+G99rPrn6cXP2/DkOCnVb7z++YNFhK/zD3jSOlN0JgpL2Sf2+yWCjf/aP/0XM5xSHfgla&#10;6C3KFpe+8AoDdU6QZlskJf+IFCKgJI8p1/PPtIUa9ZmSTbqpBSHGwfKftX9iVxR6ZzSscb+34aQ/&#10;QpQlXkPgoah99d89DMpDAJDDhyeai8cQWizKKIo0A4U0SAogh0KlI/2pbUNhqYuw7XAY7kNIQ53O&#10;REN4J7y2dUmzVuJLiHip0fc+RH7inZdHbJrfcdCRwbY8VQa5lFIcxjCsGlW2YFBWIPwhvOc+Du5J&#10;+qyv0Bc/TrTx4ONP6WPHsZPgB6O3BwnPIfiavSUdJTEMYm2IWvks5wKMc2+iNJJO1X3h35cAj/7V&#10;X/lyMBNbyO4KMrtGvX0LJzlOjmtvKzDEWWYMggXgnkyxj8Ia9z3KI6+88XIyLJYYqtWs2mc3yDqc&#10;gltjAkf+LNTmX/naN5rPPvmUGRT3Mx5coi2vkVJFFH1Fep2WrewN/ycwjXXsnC0Z/GpSKWVHWeaY&#10;g5Jyw+Rcc/zcUWwQzV0Y7H2zX3ymUzq9Bw/7TobSac9wdDmvDjoacA5A70ra207QSdSLQ7K8+bRZ&#10;Anj3aJHMoeBhIq0xmDEH+pktQbTXT7kv1O8SzKkT+Gxpf3dMoyIvIyhdCZ8GfC7ufYr09D7OlqW2&#10;TZTjwlFmOXDvY/ABnOGayoCdM+KgMsGW7IvcBQNE4yMsgYPfnKVzSDZzDMKhYyfPszSjTBd90HxG&#10;mvfF12Q5tHZua1ux2TqufpdSQEDRyX65AnbzSOXugCJT5QAFydIMgH8qfIf7zPVsU4+eLSfOMy7R&#10;WGIS/0QudDG61mFJ+tSla5CbHaEjYg6H6MKFAYzcSkCC4h+knRsmPWwr5j5llF0M7JBdMZxL0y0C&#10;Yh0HsCwzIY7WAfXuFfZIzpgpIoRXKI3+i7/4CRMiOacjcFGwR31kECcZymH5qxcw5Z5OCU6EHVM6&#10;JoJAD9E/6xBXHdKFtEZ2aJs/D0fYj1EAfj0Qqz3ZBMx9HTIx6Kjf/7A5ukGpmft7DNnal36PUi9l&#10;LLOMhdkQyGyWMU3Eca47vZtTzP9VGy9MlgR9D8BihJuBn1v68C9dC7NYtIBXW1ukY7+JYbTer8wM&#10;GOjhVHpGbPMUFxddjmy8+pUvEomDPwGgewT23225NQCB92O7BskULL/742QDXZdTYKm07Qawnofc&#10;pzbGzBY/N1B2nWxTTqSusRU/pq/Hs/qOdZwHuR+c9WFX0zDlniECFme7bOCc23RwhAAlvFrI0HCo&#10;B0abX//eX2/OnjjT/ODffh9sSnFMHDt7spmjy6QPbp5FpuP6vDr3ly9dxlGahzzsXEjH7tA118+5&#10;++jjT0gGQHGOrRtAn7MBobDeZkbKIefQzPc2jojZhAJJ14TisLe6UwkyDDItaZTRyLZFvdS8GbPP&#10;0Tx5T1o8obq0PYeatRGFkan0p5mSxrsrw1Y71zkTnR7fsjOAf8zTuvUJgJRNCJ5CIc0LR/EAnSDW&#10;z2Kswwlhs+shRjKRpr4u92Ib4/zcERZjobmxfAv9Z5eBJYkhBsBEZab22652DqKGUi2calIezgf1&#10;Pf7DNB91VRSQoErBj58+Is20sNl85djF5vRLLzYLKP273A9+foxQZiJEGRR4pPa1t3nti280l1/5&#10;UjNHW9Q8oK5B7mkfBYx7xAKb5oPVb57JlszgkKZWo+j4YgNVDbM8FK9fol2TiWw//+G/bc6Apbhw&#10;5lyMpENS9KrJPDUb9+BlF5w0Rw15hJonSoKprHiXT5uPSZ1/mb73YRyyuzfuNU8fDDcvfgWCF9JS&#10;cyjTVSioj7HGl2iZHKPDoA+6WdsAVdMHRJezsO6p5JJ5iMRnF7Oe9gZbO6Ua20zQPngM/oPpEehf&#10;ef0kWQ3Tmw4JmjAlDJZg1rkAeLbyu6eVkX0J9XIGo1XatUeaYRxB6at30aIjRNZb1x41qxz2BSfD&#10;cW3vzaiiD1moQ9cX1kQ7IYBbVJlK+msNjMLnJreYiPYB6ikihJXOLxZVRqZD5TsPHuMmvADbpCgP&#10;kesvA44cIcvQ63A38T9EI9TQuBbZHgzPtmtBS7K5gn3S3Ruij7PHTF/dJ0tHdsg0tTVPiV3eeOkc&#10;KXijQmnOm+YWcv+XP3mnuXkfJc2BFYgnJkbHYpt9tlvjgGjxMmDO3/m9326OsVcB4sc3MuuGk010&#10;bHttInX26ow4nhO/ReSx1Lz75jvNH/z+H4ZieIvWM4fL+bpERpa+UkCtqCFRq8fAZct8EtgniWps&#10;IXOSrYrYTvURlNDxiy81l778WrNBDfiTX/wUI0lky+9WOR8jOHVSZIsY92sPI6WyDIMie2gGwqTo&#10;KNHV+hqloF3bWDccY5SMwl1It/rJUH35619oXnlhNtflaFb2yHor/+2Ceh+CkGsQRbVEimf0yCkY&#10;HEm3kmWbIh1/cuQSyhclT2nTcdxd7XYbGTOKs8ffFs5enQnvzUwEoNhDghDbTNegHd8g8puATfXy&#10;q19uLryoMrTc8oQyl1MXPSclP8rFDvrP9drlH22xrAX52g1ANg49tUvGTmthJ45Bg0Az8U5RqC0u&#10;xfR7DJh8HjkfmiI7LsSr2PYuOyYgUc6HwDbR9u7HIGn21OaD0yBrJcaCVTbo6kOfKFfHj4+HK2Sd&#10;9PllOpHu3aTMcP1tAjiiTwznNr7JU4DX4xiVebAWA9y3DtDE7Alm7Qw2K9gUw5e1deQGB3ifaFtg&#10;4CBnc7AHQjGyjof9DPDqZ4IqTIyHE0eaPRyJPZy7Q7oenlDnXiTYWNIZR58d4twdyD+ADhAguEFp&#10;YczuHzOtnGHtRbBYWaBy/LusWgUzimuBz50iKq7EADYvT3trMe+6bhq3dNWpDpB5swwhZkNGnNi8&#10;gA0aI8OgEyZr5eQk2RCxHJwLHeBbdHoAlEhws0cgscTrRnmuY3QRjYO3W34IwBCH7QqMqqPYrC0d&#10;h5TGTYvWnapyOo4KcQxiJZSFPTOi2kqzr+oFH0Adj54+yrmbkW+EdV58CPsmrJfaq0wkjWQIOJbD&#10;hTIEjsQXv/yVBJxmLuXumMQ5XMPYvwrF/hxA9OsfftTMMJJ8agaH+twLzRGCJIPWK3Bb3Lr6SVgo&#10;+8xM99xuLkxeTOeT8zikexefY+eRnSxRs+IyzESwQZZVgrASIM4ZqoSq+qRwEUUeaUJBPVAMyapm&#10;9Qm60PS/kb7VshaF6cHKRnautBlcU3clGM5kz7pyiO5Qh37t5YshPJkE4CFwKyKTmrxgyUq5G0fF&#10;jkXPVffAEmWTG7TCXbjycvqBTQEXIx8GCkH1oEsCo5FPjTHP6EZ1bn7nLQpQs80LDAKbLnBrCg90&#10;inv6EIDmPYfEoDJGAR7lswaWkjp1ulzmO7btWVpcnzFsmhxWJ3SuMlxonHT8Ph586t/evcrBdLX0&#10;qUQEl1GGR4+faM5j8Pu472HC7nlS5Geo2Y5AL7v9G99tTsIIJ/LedLQpxT6ckJWVRRgpIZpBiIaO&#10;TpOFIMrg/hxY9PqrLzVfx5E5I+scih2PDAWx3dwEWLaN5z8KwGry6EKIfS6emSdlwCGR3a5VgYLY&#10;9uAYSLtO1t51y6YmYpIB03qyo2dfwoifHXc0sAYIeSBiseZ5yDXPzZO2Yiz6LhELGV2cjOpdL52g&#10;ILmp/syBL4K0dDwZuGWWBQV/cn4aIjccU2pxS3hNo1OzzRHfA4kLNjEcDf2D2wAhTySdZ9TeAQZj&#10;H+MJe8/KRustd6KZHXE8rdHgTvOll84047YREh0P4X1vcnhemJ8AhzLFWq82i0QA967fbl4we0Yt&#10;k7wZqVrSjnz2prKK8xyMCCW0XWTzEOfnAGfQEb+bKGfJY0al8EbAZnC6pMmdJEK7ef8I2Rzkg9S5&#10;bHivktrdA3B699PrzTjKdAwU/AkGaxH8EgXxmWZy2WeN1gZ7K/OdjHfDKKRde0eFVCObYocuX7nQ&#10;fPzBRTIST3Ifrm+wGK2Sc39LS5t+l2dDE22Xh50WRbVr1O10TXkBLp2aAiQ72QxxVodmYNXEiBtZ&#10;eT52kOknAPQWF1k/+9hD/YuzD5p7DGzCASRFTuR9BO/DHvXysWlKWZz3+XP04+O0zRybb27A+/F0&#10;iXZCTODd+7PNC2cxSFJI858UzoIb19mwMSK0HmvBBgBGcaSzjYLHNPBJuePeChC0DIIhDO0ya29g&#10;43ndIDgwcyWvg+lvjYfcHTsA7VYgmtvvA2tw5Eyzhl7bmqIv3kFqyNZxyNlGwA0IwlWMHRqXCZ4o&#10;cSmtbeEc4D4OuZYkZRIySfWHraF7AZZKSnSOwMZCEAiQObHExPpLXVWttGbSKqNqlcTSasikuc/r&#10;tNM9IeWc9k0mGl+Qn8ZuCp5549N72bdeZDYkdOiRB5QYJwHQDQ+jU8YEdtIlQ1ZqC8De6OnR5qsv&#10;HG2O/d5vZuz1NOWGSWTfFsZNcFdnjg42/72/OQNQ93gwKT3HTwU03UsKfAkhf0B5Z3ruGBkfDBoB&#10;3yGsi+vIwiBTS3tZ90kMlriAfTNmRNK7yPXDxwANcShHABMemeEZiYR1nN1rg0+JiLS5mdzbOrQB&#10;Qxqtqy1SHu0cB8VWPSrF8wDZSHSsG20W1fXVWbPkxDsHiLBtOOZmEnV7Ft1vx8H/FWbPvPjqy80M&#10;eLXpyRky40zIxXnSThjkboPjeCpDJAHeCOWOXXRkL87TyCF/X0JOKHX24MRvU1b1jHzp5VebV+gm&#10;+TFcSQM4sGH+DXZG51EmSbPj7hMBl9dRP+lMyjoZTAGZNw8osill+qunTzWnMPijI3O0xCN3KQkI&#10;LrZN1WDM8oOdWdpgzwfsqExjFQCwjUO2giN8iF41kJm/8kozdeZiZMNy0IhdUx5QRPTs6xexNYCS&#10;T55KWejo6TkAydgjgbhcb8DAUL3A9TdsxWafzBibsTaYMfsbDGCF0bFD/mmAlsQAe5VEsY6PTkTr&#10;zHl5Trce77MYPJ55vEO9yJQu3PgyRDLvyYA2hlCkA8FWPtLVY6RoxQzouW3ije6SVrSer1e/Z785&#10;1smpb2V8uoi4EM1vvvVO8zd+69sxaItQCNsy5sMVY6CRQpvCbt9WdfA2MxKTqEKuerqPIyApypTN&#10;Polh+isoksuvvAYIlKhHZsoDWnlIH/bTQnSwR/+sGRcBYG1mQ6VcLXHMAEDRTZDROKAFSICQ/ek6&#10;GpmOhkJ1mMkXX70EbzvRLkpwDOVhfXGH1OE4ad8TF8/AZc6IXQzRBoAkpw4OBGELo99DUO6LjFKm&#10;hQ0Rb45ePAnidhSPsbd58Hi9+f6//TFKcbkZx/m4dQMQ293F5j7rder6Q/BQGgcOHukpB/kojDJl&#10;ZnNT1CpA7IBKW6PsTpuyjUmo9TNZn7Y7fjKFEE/yvjCw43xs0Qa1JzgzkkJ0Rjp7H4pryySCtzY4&#10;yH5YuO5j4M10wBLKfQliE3AlTWwP3PqHgGklpjKtmAOM4h11f3AiHKm77l5L5kJklmSg/mHkryKX&#10;aB2/usxDREj5q2fxEFvOcKLoKXridYRP8qejnx2UNAk4VW79xSUGZJHO3IO/ogeluY2RWCGqoikr&#10;7KibPGeokhmMtXSf/bnzqFnHOPag6HvtiydKmcYp7aGMobMqgdoAB3COToa//du/1XyJyO4P//yH&#10;zR1AYTMzE83v/J3fi4N2l6metn7N4kQcovx61qWQJQrhfp1w6sAc1+rATpaUSKtDQLDYEt9PIM1a&#10;cZgQ7xkjV6+TEWS35zRKxydWFRUhWE6y3B4CkFS6lpiS/SOyGccpefFM8xog02MnmaRpLRpn4jST&#10;FYc5v598BkEWGaIMIMOh0Fn16xa12Fn29SFe5FOU93VaOKMw+d0eGYfxeRQXKfBBjO8Fov7PBmkh&#10;4zmeUh64w9yDy3A87AJkFei3ZwSDrNgP34OeCN7FeiwEXX0Dq0RqH6UcYquhMruCQ/cY4jJbPXfI&#10;7ljvvnz5SvPOu+/RAkinDJ+pE2Ekt+kUzjhmRGavfbn57m//bjN28iypeNPbVUoVY4G/kwBH7pjE&#10;Sf6ftW+BqO4tDn4fVM7KmaC3IdLCW3SrPcZ4b2KwR4Y5l2Q4pjCmxJvpUtARKb3keTBixim1nIhK&#10;suZ9jzbD7//Fn9XALmRtdIGgAKd8mezveQzNcYBfD20h5r85gHIPaGvtxpZPjQOcJAt285oYqvVm&#10;hozlATrEeveZr3w53A4GZXuC5rj3RNDs4/jY8eYG+mJPwi1IiDRf+wwmW13Ffe6hG+bsBbI10GHT&#10;cbDKuZbufBzcWI2aV+7NzoDbmBSzI6cFegdysWPjzB86YK/MhEnbKrZGOSPtVg3m6hsj9zqnobLm&#10;nDsUS+fCrJhr4BDHkGXh2IyQRbB9Vb1vl0rmManVLSOj63Qe13HM9ziz6zjex04fb37rb/0tyn5f&#10;b44cg0+B7NkMGW1LYuJcoGKOjNoluYH+WgB0uBUuF/dc/hWHsa03dygXWoofR+ZWyPydOXWu+R4l&#10;7B+++58l3T+IoxAAdLIiRuQYfTMzZlP5toV0A6dUqxkCLINglSMy0cd9HINXaQpZFjxrG7I4ETNY&#10;AqML2Fz6+qc/+VFzk4D8BQLq43RlqMfX1xazP9Nk/Ppxqr3+sAP6XFuDvGStBJjZTbPXnD77YjN8&#10;hrNDZmibtt4DmgIyKl79wnudliz+wZJXAJ3o4IC1AWEmUAu5X4GBy5fg8wUZd5lgz4pPl2eszpo4&#10;Eamdp3TQKurKiGYDK3Ctel7q0wjCOA/+0skzzXGQ1RNTtvQQkYQBcqS5T81R0JVdEUXoJHLcMeAI&#10;JO1zGrakYZ95qb0AH0kjbX8NQZ2iZrkYoJ0vtNY5SgS8jnIoGu3ayDqmZWhy10nl1r/LKzwkvUVN&#10;+dd+tTnzwgUUHC0wkOpM8PkjeNhSXVuSdBz5JgQtq4Aanx5AZY3CdjJHzRCQgQ/GOpyI0VEpXAHo&#10;cN8OONmSdJzrGMF06GKxIKtEQVMIvPXIffANSwB5Zkj3jeDNDpHFsE/YyGT5yYNmAyXcu73KpEcA&#10;W/ceobTo2X2wROoV0BpOyPf/5N82//oP/6x5lUFGkzguN7nmPbxLOyiEK4+hRLY5hEbQziF5DIGJ&#10;a+PY2Co5udsF5tJv7tYsD5b9bIF9PmcOQ3mdBWisMeFBV1Ob2XbfBRIpA3rOrO8KSsiShvVZx/wK&#10;BtPjXSXK6tmj7IOTFr4HgGx9GJINSiD7GPIdlMM6B9OW4H68/1VaSo/jgM3guL3DlEiNnQ+QQ+Je&#10;GsDFKXbv67sTaL12M07JUMTRMNUOtwAKUcpco59RsisDyNB2asVNc4NpgNPHiHRxBkQjH798gSwA&#10;VMgOj0rEaavavQCUnsLgt0nqsbcPhj3uaQdAlCPTc2xYrt5komqA2jrK82fvv9vceXADY9Y0v//7&#10;fwxV9d3mf/M//R83X//yy80iDKOJAJhgOURWawzHct+ZMmalUCrDgpJZv/DosxcDKjmM194uZT1Y&#10;ADu3W9BsxkebnTIVmIycf7ZtgRpKopfMRQmsXYXuDJit5hXKMH/jN7/dfO2LYGqomTpa+JBUtaWx&#10;mclvNCuXlpqpszebHZyiH/7sg8hTtZ82zekvfTWgvV98SsnRy/WOJUiw2IFq4t84ZUR2E0T8Q5M9&#10;zZdOvZx7cq7DVu9685c//xCZ/yzYj2EwCqfPnG3+8I9+Pynp8+dJuTrFkPU4BpDyQ9K1yyjlQdrt&#10;5GNYA9tyEzKyNRS8z/Li5ZfIWr1OFmCas1Qt4zpS1QXBGtLKaDS+7WwcFT/Zm8EoYJwiQIejLJmM&#10;tbbA+nQBRBNc2Ju/MyZBHu8XwG0tn/fILOqZ09Bk7ohOCiXKdQyuOI1ZUuGDttyJO0F+bGVUNqXJ&#10;t0VzGSKiJ3SXXP3sYzhIqEtjBHvZj30c7NVlqZofNfPnjzS/9ivfwFlbgTEVlkactpQxdAz47A2u&#10;u8PzqOskChql5GO9+inZKds2hycwdrTnG9iFrTCOkSUeU+VNc/X6Z7Tncq9HTzbz2Px9sl6HGGyZ&#10;Kfc4x9N2xuDiSTsxBaZBbhr3Rh6NXvTlDeZXXACvcxyH3MF1a9zn+vWPmhW6xaYJpGJYzBjz3cax&#10;uY9VMncbLfupmUCNjp0TOw44NBizPMb3AJivUWxJWpRtihYLR4bAs92HwdZab9NuuYUDpu7+lW98&#10;sfnNv/23mrM4k9JDj0EkNo2xHkF2k/ESr8Z113EqZ+AQ2cBBWGP9+gFAVrgsPo+dx1megcX4EWsz&#10;TeZoXxvFvZ0WvE55SOxcMn46CzgyASv7nHLPKDvcu4BXz9oe10tnolkkfueQL6nM1cmrZOYOcIBO&#10;AIYcww509tUuHUH0SzhXb77zi5CSXaMz67f+1u+E8O6dD94heN0GI3Wu+TJlDssKa8ieelGyLFu4&#10;JfRxskE/sASDZztApGsQGCqGrxwbmwHk9CA7bQCSfaqyhBQL6UxMJ5VZD4PocgBjN9pSRpFdtZZE&#10;3dx+qx/sRcmmdgmC4m9P8aCUOitnRiLlQy46hhBcfOFy88YXX2+mSVWvwM61QdvYKaL+m6QyVWcu&#10;VAalOHfASWZ98KCjkEvxtTYuToGFDQQZ7/4sbGMPiDgkm7LVyt/ITBmq0ADX2kJy7GDVaMrxqf/z&#10;HZJkffWrX2/+R//B322++LVXiUAx3IBWLIt0kwFF0w8goAewYO6SHdicouVvlPYl7lVmQutpMahG&#10;x8lFpsiJUDC+2Zqo5QYcDNP+RpIB44EW7+1FSIms9hjh3GfKDRrop/dIO9IdIKeAeI87UqqCAxlH&#10;ycxPjtLbTf345sPMMJi5+7Q5cLAPz/6YVkLigeYKAErJubZZQ+cXjPP7Y6SpRiao6eF0PFrcI8Km&#10;Vi6TnlG+AmBWgKOox70rk2U8ZI9WEIflMLZZhCEWQwDhiPVhaX9xgKwF7qRlkooPrz9I+4ERJwdZ&#10;QiQEbETGOP4bYL37qaO6R4naRFiAxt7hefX25XAPtsFogEh9i9rrJnt+l4Nw2EPUyBqfJwVu7/w1&#10;iGXMHKRC2mZTxA54JBTOEmLLanmEZ8oqv9PBQdjvUfc8e/pM8xHr57C1E1D9TqNErJE/2X5IKppS&#10;BNgRI/sDDN88gNkd1leK9dFhuoR46If8bpWDdh9Mytn7Tn5lgJZDh0iL9sLsFUS/gDzS5jtkitac&#10;SAvr5euQf736za80//IP/jTdE3duPWyufXyDbho4M1BmGzDG7T5mb9jrfZ4XDdDsAFA9hBPhEBk9&#10;AIxSYPQ6c4mc+eu4dLwqP0G7cns460bZ5HcihnIK2q4gy4t9OkM4u+ucqZ4eJmeiYF9/9ZXm9/72&#10;30yJbIwynQpeB8N91kbKLzAJ894rcD/MgU6/x9TOjxgzb9ukX9/7vX8Pwqa15jYzJLrRxRpokycO&#10;Mdvg+v58FMMvzkTSMhWkUfb22gP2gwmpn32CUz5JCY7+90vjVN8oQZBBGBxbDpBToztKBuHVL36j&#10;+Yuf/BjZIAtILb+3h/7/g7sEI5Mx6uvU5d8D0DdKSWrEfnzOpPLt9US+9YJdiroCazKE8TCDc4Ph&#10;W3Z3HId8iQpfOnNyDnQGMQ4DppZ5zo1NnCHbk+N6cwbY2yFr2zhtG5QNu7KaS75HxvUxHBWZg2Cp&#10;cXmpOWFdW/ZF1ndpCXpg8BdrOC7LkBbt4DirB8QU9eNIDHNu9min3SIjw9iL5nu/8vXmj77/Q8qV&#10;t6O4nWOUdDP7rn4WGLtNgGbWTiNpJLrnv8nwytnj2qS0YKQS58OuB+YOQaP+45/+sPnsxq2mD4A3&#10;C97MnzyXjqt1aLFdlwmMqWRHC2PgoyhTLcOIK6ZtgwBgfxPjSQBzC8fik48+ah7BufDo9p1m6/on&#10;zeBd9BTZLZ1DAaBmYUXwC4rUubvFs5g1G7c7ARmeocxiFC+B1CPWzpZnywAapznHZjtPiI3ILAmZ&#10;MTVFBglkHgb59wWwMl/5Ijib115qzuHQHCN70QdOa4g/hzSo2gyp+1n/p8jwEuDz3qnjWR9HsBvg&#10;jhLMqD38e1o9IVXbdRKpACewIlBkQMwl5q0yITU3R9GqDsCaJ2JXrWVUsAbIgc0E7lcwewa1eGNm&#10;G3rp2JgBS3YXPpNFuCUOwH3VQ9llRVBlAN9mJLzvMbKCH169Dk34uxkXL15mjEDt5vUbjHo/GQ6e&#10;Tz/8uLlOBu7LDByzXCEXx+1rH3MWcTYuXKIUchwix43m8e1rYOIK06SzIKBSWU/7coI0sUBl22I9&#10;1T3JtPBz7UPrRCQT0bo91dJpO7qDy3SuK+AGTG6iM2azfWk5EHEqAhgxDdj+h1s7Tx3t7OXXm+NX&#10;vgDog1YrhrDcvPkhII/TCNkn1PptKWOxZa7kAd0sFZVEGWscmCyatxVjdsi8DnpzeThJdt4hwn5q&#10;jdieZ2swlgc41NK/2ssdl9CnDQTaZ9CL0quMeUn/+He/+yvNCy9fItqcwlAgWBizA71MQX9h4DOK&#10;Nv1kSh5BQhjG7NWGTWydCDZesL6ktSCulVQx9fY1lITZyTFSb2aQHI1t/dxNv0tv7zEU4RkpcqH9&#10;7UO4PBqPiRSmTzE6nGjv2o3bzS3SxZMIxwG1O3l8Vm6vNI/vAZJhDezKuHvzfqr8F+W5R2ncIQ3+&#10;1tsfkhKmG4DIY54U/MJRHLR+kLfUuK6CxL39eLEGttgFExPckiC5ytbdzTK0HmINt6q1U+il652w&#10;7Ytv7UWlE1l7LZRpSR0uWzYRGGmXH5L1sHuhh0hO3IGsARqt3Rw06ugwNAqOXKFVd5DF2RHx7jA1&#10;hG4dR/CJLHek9SeZ+ik4TKzMJgfYGuEUnv+hk0MDhFD4NaT8VYGPqMYDqmxUJL7+nZZeRZt7fAD6&#10;2WmR8uBLsAOuMuypgxy+JTkucGxnYETcxlmZOQ0LHHutE3Cb+vDBIBkd7uUaLbuOQf7ZVVrXjtxi&#10;yuJMc5e0Ii4xKHSdmuJl2AWx9oAIzQjl0pdehZTqq809eEiuf3a7+Xf/HVKS1N7PkobcAk+wTa1V&#10;ue3nWXYpo62JsKbXfp9MTD8gT2cUmAL3eW0/jnxriAVRoqBEuEvAlrRjgFjIaNuZoc3wr1F5LInz&#10;QWwjrnHw5XAcOTJPhAnSnmfdRZZM+ab/PaUuwXtOkKhxzaOs0SzKTGfaoVd+PUIZ3yCLch12u3Hu&#10;91e++c0o1fnpWZyLTaKnO8xdoPaOQdpirwdQotajHxDdj+xON313P22WUXSDRMCWs6QTVrEP8oy3&#10;YJ1c4OaPkrVb5XkfLX6KPrnbXKINsxdnSHCgeC1bhsXPPMIwv/3hW3RanUmpYANA5xC4jAnI3ASV&#10;qVTFGCGYONEg9R2/zL9HUMYqTTEWdoJAPptOGktCkpVZPrLM4uCpwRGchy0cO8s5ZAyv0CL+//7J&#10;Wy0IG9nXadJ5ZR8sIUjBrbNvlHrkCGVTnm8FLNUT8E5eI+A0wccC09ipMSLvGWQyDXNksQZwMIaY&#10;kHqwAhkx+2L5V6yHdW8N7W6cEzg7iFrtSNhFn8TBEIRomZUdDHgVPaBRVj6WIHVaxvBv4rzv8Pde&#10;SrcHGJqN5YdwHTBXg71xJpBAwEmcq2H03xlAhV/9xteh5KbdmPu+Ch/QHjV5m2R/9tMf0e32qLn5&#10;yceQ5n0G3TXTSGkR9fSa0n/18gvNcXT4wxsESpwjwYVTGPf+QTiIMPRiXQJKRMeMaUTR1ZkppP5F&#10;/0xiH0acCYGTtYPDru6VJ8NBX6eR32+8/HrzK19+Hfrzowl4Fp9ybw/HAFMfoxXVrh7WkayvDoR4&#10;JAnuZBu+jXOzi8Pm825x7jPhEj0ll8g4jpJlDxYCAr2H0f0XnYz5cClZR0vd3nPmQ6U82EbArIcZ&#10;lA2ZlaOkqoiTc6nNsM3ZIIzXDwxP4mw+hluINvN9uCbYS812+IwCGLUcsh1yrcX3KeejiOXgmYHu&#10;2uGRE2SYHoPPWqX0M8ce+QwbBDqqCe3VNtiaG5++jSMINQAA8m2wH++/93Zz+/13mgtw4Hzn278S&#10;k6kTYUdJN4AxmQf9GfVKaPArsZkbN5te6rV0LX+vjEXuPA6euJeUzuNEaCCCbq4P7CK+pDRMiami&#10;Y4hYa/6cngC8MnOkGZ093kwAWuunI2CI/lOFeJ4Hv30N4B/GTpCSGYUglU0H2RJoDVcvJ0UzD3rT&#10;zHAgBN0tAPLSwN5Hqdii5sZoSOUe2EKRipVwOEhasASC8DDyMBw7DqMlPcF6lefJZhxlXPY6B6tv&#10;A2+eromBNLmTnif9egCIyf7rngMiXtJwBwAA5bI3qvAwxvtsI8CUBVxEWeO4PlqGKJy4mPftCcxC&#10;wNdwGETZTpKinuB3g0R/20TDsvDpHT9BCCQnOQ02oh8D0BvAUCFyn8CRceeT62AFSFkTld4lonn6&#10;AM/ZTAACfp205s8+RrA4UGpLnbzNB4+b4Q9I2nKPV86cCQbgAZmIFcoG62RCxgFAybnQJ5tiAHb1&#10;1aWvwvnReZkKkYYGRfyQ+u8mQlF1Qg2/XSvsD4fVeQcK1CKgyFX2RUWuB27d3w/L69g/6Vj7WSbb&#10;drdYPClke11zMQfk20jkUkM9gK/hLl0kdAqgyLdJAX7ywfsxeO6xqcHIcZyFaqcqYqzai266oz+I&#10;Q+/vw4VhRog2PA7Yvbt3mgt0rhxQXholtffuex81F197BeeCLBcp0b5tFAKypGHewJF5BJL5U1LK&#10;y1z/EdGxw7NsTX7zwZNm5Qc/pd46Q5p+pDlPnVognUbb9q01HI974CaczPeI6aMbIO8ecL11OpSc&#10;LfMF9nwNxbBJGUSmRQc8JZJtwVkhy1lFjlm3zCaQEdEMQecr88ir4A9u3bpJN9GdRBOixq0VV7lJ&#10;sp02e2HNkpKYcyVMsSphOoC7RLqrzJy5Syvw08U1HDUifnFGfvt+5V9nkDNgt5FKxIjtEAfiCE7x&#10;rmkfvh5cIx1+7z5YF5Q9e7cFtmSNzqfDo0wdxInaeERkSip8HaVpF8srL78CmHSQ9kMojWkRfIIT&#10;IDmm1MfWwh2nPgxOaH93IJT5j8BVycVikPDp1U9xLMENOI4aw+z62gr7hOzVsGcF56SHczdOtKXh&#10;O3qKgWuAAI1071PyEBfylDO4wbUtU5EOoavhOBHoRLOJg3kNR+ituzcyoXOByFiHUBp9WRbltZE5&#10;cpfrarxcx0Om9r5E+eUc2aarcOiY8bO02wtAVEkNyVwcW8Hgm2S5FhnDTUcDzswoQYXnQ3S8UaWD&#10;mczuzAIIHKCct2E3kGURsBa7jIv/xsuXmw9v3ct4a9POlkMSyyX7VlNlzZAuYzyke94jI5rWPDOQ&#10;Gmbkx1ZBHe3d3UWyNmSPcPDeef/9tAjHyCmLOpsblHDLSpDVxPDKiksG4tcpFczQbjkD6dIuuC4D&#10;9Ifs6eHSw2aAibzwyjejTB5V5+mAruKYjOMEXCSIJNLCKK8nq2Wb9Ax6WXn1XnfQBXsI2CSZAA3S&#10;LI6LYMIN9scM7gzrSnE0AMgt9m0U43mO8suXoDf/2isvN5fPMQOEczhMe636cfpwsHmw+qh5xKCx&#10;2csvJ+Msad0Tsr9/9qf/qnnxEsR+BGdmUgV5a38myRI9RnaXII46duy41o8S8WFznlLSe3/yJI7k&#10;ZWzX9eu3KpNgwCs+js+1JTtKyF23NImut5TvmvahN+08jCtvNO+f7LMMlL+AdXkIvdszMgvx4mL0&#10;nHbR8pvZUx1OGWL9uczN5wF2fukrX29+9IMf0l2IneH7JmyVu98Ug8cMI2TZDKBt2nZZaH/ncPrn&#10;DJBwmq7TJmv77SW6waYF/7R3rc7QKd3SkRUkmgep/e+yENaD1bHa5ySD8+YKOqt06l/KkbBTS0Za&#10;vyzglaA+W6I2cLXOGjo3uzH0roq2OFGO7YyCdSTM2IVQBNa5RaIVqWnfe+99PElxA0XQMYIwJNXD&#10;oq22E/6qbm9Zob85BeXpmm1XZ07T23qKWvKDAimFsalY/4ZJD1sHkhve6KSbGX8KcM1LL12GB2Ai&#10;pC0nbBODYKiXyETASY0YF0BliskH1wEpYEgINlQU1oVkerO9i4NWHlfxH5iO1+4f8ntrkS7uLniH&#10;ZZSRCPD3Qd+/C4p3ghr3Ee5dLth16oUHGN4JNtW6+RLdJ8dxdI7jFW7y+WuAp6C/a1Zv3+AwbDRX&#10;vv0VOBp2mj/+4Y84fNBYc7iesh4Pqcmvs16yv6XKJvENG/zkyUbz4Sd3MJhbML3NAyiiNYvNd/T0&#10;ns5TuBhqQ82pGKVoCzqv0aXP5MSgjmH/g0Xz0qXzQZiHF8GIOM6ByHTrCVyd165gHBV2056WSaZR&#10;NEbPIqnDrx5aCpHyKjgIVuQUCMDMeSoO4iElzMct4izpVQpqc9DSCkpkn8j/vt0Hkisln8LbosQF&#10;uwkUKo59OQ86T/q5w1vljER7PJBtvf1HZjPZ0IW4z6C3C2a8YNSjbQASKQiKIE0a5HNlh7vHzxbd&#10;FyKQVcodVq8Egjm+52NStzvgQr57GkZRavnOkrDfXZduBedDQ7GFc7Vxnxry3A1a6BitjaLbwQg/&#10;xhneBYMh+6jOW7gHeLAaL14lul33d5ahRigj6hl8Vy+9vP87OKoZqsY69XOvtl0OsCaeB2vPg1Cm&#10;ygi7Zb3T7pi0ZVUqOaRglvF4v9kHZS5gMqKiQaKwgC4TdvAk1FIPpaTmPnUkenD+L+IEjfFpG2YO&#10;+XrrRz9qLjBrJAyRPKNp7XReEVVZR9+jzfPquw9So71KKenprWuhw14HlHrxW98EWAYglTXepsS3&#10;xXCoXSJ8wc07ghwJBJRVe/cr5U+lh4jygBKpIMI+OnuGyVBehnDHcsmnnDkxGcukno9S4js6CgMs&#10;Pzei++KLr1NqvdT88N/8efPeu+9SvgKnRI+9eAHnA8htsQId8R/94b+i5VfKbkuutlCIi8ERxuki&#10;7mC89Vbzd7/1OnICX6yGAufgJTABf/EuWaVEkTXD4sB2Z/c1+oWSIGdmk72PeiPDoDPgOodQLP85&#10;zIisG3X8Vc5vwL84slucmU0i4b/1ve82P6eV+2NwUtFLKGqBeM5j0HClLMn9buO0ixWTyyVOJfKd&#10;3+kktOl3SwJmEH/2858ChsWZR4+oKPptg+eeknZHDFKaFVTKa+30uvox1Pp8tudzDUdjGV316SfX&#10;wG48BPhOa/warcyJVJFF3rNlpx56uQ/92o/8nAMr95TIf4dvnWLxOLU+1RYdPgqNkNgSsFwrZGt2&#10;Mcjz7Pn/8O/+ncxaUmaPwh75AhiZy5zVWefT0ALLQUHm1onAYY4Ey/budYaGMazwNxZONKfOzzFR&#10;+c3m//af/xdgJ5abr776v0iwYLm1RrHr5JE3kZuGstqGWDvWY5PS9iRZlBOb32yu/fQnzbsALf/y&#10;F29mBo4DscKw2mYj7MrTcQiWQxulM+bEZx1FMxJx5upomRkeYn7Ifcr4X379dQYB3mk+gTXVpgMZ&#10;nZNQV60jty+/8kpzZH6eqcN3mytvfAnukOOAh1/GloDN4n6+8bVvQoL3UkC9lgA3+H5E584LZI5W&#10;aM3uARexBX7DAACA/39e3qsFAAD/9ElEQVRJO+7DNDZwCpsyCY+I95PsiM6mjQ9mQnjuGo9Q2AYz&#10;LMUVITZC29EGbskGl7Eu3EQBS71xf65ejxMhC/xmygGVtoj9acF3GoWgOkEnz4F/uHLhTPOF11/l&#10;8M6SgiJFJKTCLgEO5ybDbS6ePdd8svBBgEB9UiInFvZWBaShDIne9v3MtPE4MW+3+eTTT5o1vN7Z&#10;EyebS7BA/uLtX+BUoLz01nhoaZKP0ILYO2FKElCkY4ON6hCGYRD9i7CGLS2ZXu9p3tn9oHnlC19v&#10;vrlwGpIP676Iq7VSMXOipE2TH6KsDa3b1hU5DVTeOjwujGvoobT+LBlToGkqEvEbLNEKhkG0uDXz&#10;N3/4FunYRVosTze9KEVnwm8S8ckhPoGBFzC0TMfJCo7FHKQhZ+lnXsQbXbv1oFkBfT3gUCC84Tc/&#10;vtr8/OcfNBdPnGqmXoWbHeDfDNMxR58w0teaietoBoFVXGNtHzzF+w35SjkYEyha014p7+hOun9G&#10;vP6XiN32oXIt3ZHqPnG+Qm9z8sL55rVvfCXRUlqsNMatcKlsVHz6c5YJzLzMoiRMX7o/RpR+YOGx&#10;y2s/EaktAKwnRXnyEO7bSte2hmbqqiPgVbhcY4+ujn/xj/+o+Zh1spQhZXimimIeHS8tYErnjmCx&#10;HL04gQIqC3ypkyF+x917SqpPhsE56vu3ySY8VuGglF/AMPbQOTFFCtMRwHtEposf3sCJAJvBkjlj&#10;Y4vvzF6JF0aJCBtwCmV2VqwApTsIEyJnq7SGLTrwSGNHjX6TCOIYH7KKzEzjCN6mpKHDMiUFLYo1&#10;7JumPNkT5yUI0jXa3uB5B2idHGAdesjCyWhpdCBJ14EdIab+WY9tnTHbyXBahiigD9ClMc6ZOQXw&#10;VicrDpYODY7JIjiNR4D5tuw+oS7tM0mjW+XLikJL02nUrA+7eyoTlD3v6SNivITTewInzGDgPV7x&#10;GLm+9/0fpNtENP2f/5s/aS6//BLGjVZjDPzb778VSuoZAMy3YJfs7bkaQNwUde6ZfsDDEOHozgpa&#10;Nvu056TXqSNgoEDrY8QqU4x0I7+SBs3QAbBJ+v2wFzpk7q2XIEVyLLkavn3uJdadCY/Qmp8wQ/Ai&#10;82aIxEbJLIxRJsR1bP7Vv/yDsC86C0EOgB2i113LmnjT02RLqy9fYDX7mVkehVBPm5/BBHplWTAu&#10;2Z0NupJuvneDNswFUsa0ArLGPBz3ZfFciTPDpA6Rihl5BYhtN5JsiDq6NfGUTGo4cKwoK6c4Aky2&#10;lNF0bxencwvA2zqDlnDafxXg6617/xreDZE3KHPkZQena4tzP8ykRAn1ZLNdZa+OQqKmg6Krp7ZV&#10;b2+bsU2ppZdS6DvNhx99nMFuYQGIinfv7VKTPVYiNJ6FdRlGlrdw8P/ZP/6HiYotCfp8wYjxPgGn&#10;CT7YCwMN9dAULYXujah/OS32t8kqgIsS9Ckvgpgq9ZD/EQemlv4UR+T+rbvNGBib7Tu3IHyj1MJa&#10;zsDv8ptfebmZo+PELgvvdcD5PDhn+7a2U2J479OPAYneaG5xrj8jC7iC03fy/CV4gH7YjAHe/a/+&#10;i/+Sz77R/Mavfiu6WkzdMGs1wodtgEty1ssktsrssURtYv2sZkDf0Eyceb0ZuL3a/F//2b8MXucQ&#10;PI12KiBZzp4ZHu9J/INZFfVASlqqOysaZi7c4GSl4ODBUVmga+k4AdoWcvkTMF+7Gw5LA1TbJxgV&#10;Q74P0L93JqW3MxdfbE7C3dJPsCCmSGdYZlY8H9o16RLjnDjXYpoSYg9yOgs42u/DJ5SVIFOz809r&#10;foFgOlNdkUVOEe8BEoDNFayOT0/5D5smYDgZCEHstn26DpUFDk7bANo/43xUqaMyFhKzWXKujLaq&#10;JE5EP4JcnXp+SKU5MpSGjT/CGOTLL15uXkRhXMAInmOGwxQtJmOTR4iMcCIEwpCWO4MRnaE90TlU&#10;00zmvHXzFoN67jbXr90kVWkKRyVqL6yHhwU0SmaXNex3Eaghal7Xr16NQjgDk9djU/hDKnN3h41i&#10;ITRcErtEv3sQCRkVviPMOzjKBLd1FN4uIJl5hMSabPXhaxjtuGDEK14ZfnGlYrpySmv84kkq5H60&#10;NSLjTRbKFH0OpGhq3iMP+w3YGzVkA3zmebAL1jYvANBboB51SO1KgNEOCmTT+j/gPSPKJ3ig0xiu&#10;MQzM4SxYic/u0S63Bb/AYvPhzz5qPuZQWAIa7ZdJcZ+hPLPwCmw1V++SsaBNR/4FBV5DJBvoJgK7&#10;YiqejIV1rkGR4DE+PlhHkmKKrfAMcQxbgddIsemFJie7olGIZ536eKQlgqHBsuaWDBAKYUUqZBSH&#10;pDB7RurW64kQRhRaWfMQPAmALEEF/ewx4cIeND34z6e6YlDTmVC8FodQPntP2dfwRLSdGPzOtLlA&#10;rIhkjFg5VN3sk9xsshCeX7t5tpsbtEqdJIJ5hKLaQN4++OAjeupfaC4w3Mb9fRf2yqE5eOedbCjY&#10;A4dhnajLUbiehToEB8FpnCOSPbpACxmO4ZZKgG39CDKlRbAF5znQTT+gYTATk8j5Bmt69aMbGUc8&#10;8eoLcTykmA33SZycasvcZ/9Wcaifsu9DRNNDYE16piB0ikKyvsrzs45byJ3K93WAzP1XiKZZRztN&#10;bPtyiuYFh7CRwgwuyIwhz6Kj9+jx0+YeEcy169eb27QHT45qKFhDIuyyNpWGrEU128ZDYVBBPwMe&#10;XW0WOD+zlAcoXjfvPWmar33n15p//f/6h9TFf4bhXYMb5k6zDHbpi6++0Txkza5znddef42SAjVo&#10;nAinNYrT2YOE6r13f9bs36MbKQ6u2SozI5AEkfKWF8HR7JYiHU4lX4Bp53WyEKPKlQfS31MqWjXS&#10;4vsiyPmjRylPLMCSSar3+PkrxAUYBVPTKH4nHd7n/syc2jWlEpReXZzBoIGNkxzdcSLFjJ32LtAV&#10;6mBbhdUN27Q4f0qJ5TSllBEMwLsfX2+GTzAkDHT9A86/Fkr3IeU0ZDIlpDZSCwcM7ysMi85JTkIY&#10;YnWi5M35jBLVPPc8hUzBiQUSHwKoZQYbkt06QndR6J153zYOiCBscS3OF+oR74KTYtZkk2dTnowe&#10;87nJXLhgOEGyEpK1k07a7ITyZtWxAjq3H12aVL3lkTo3CTCM1sUQyEMggZ4dOplZUUFfSAhxpOwY&#10;2cdB3gNcbIfeHOv+8OOPmwX0wQzgwZmjp5t+SkUr6LIMdHJ8OwZoa8+AigwdFPQDAicpMW7TubCL&#10;bI4zq+UIGeRR66tE63fBer3zwcfJTEtnf/XW/eZj7IndJAOSdjBXZZgR9R989rh5+P/4pzin8O5A&#10;wjROtm0Kbh5tzjby/kA9hQOqLhoHz9YrsDktljoIlEBZpyFKbkcAmj46db95+6NrtB7jOLWp+tif&#10;lIAqCHDap6Um11inLZ8TfWHMamDFfhhwOmYBJ5aeTMpGFGpQpLaRb6DfQKmQLZQiwWnAlOXlCSKr&#10;BGyiNLCZCvZoEt2gLdMhNAMiId205IewUQ6x1muWQ1j/Y+PnA4ofwdEY477VaXIc7cvPkRIWm5w2&#10;+poInACM9bCa0Md17YwqWoXq6vJUKOGp1Kkf8h4fUDvDvYgv5NqCof3iUVrjUSFKnkJa41defb35&#10;q7/+a82Vl68k0zBBvX2cCFn2u94BADMoCcsK5AcQEpC1kC45V8E0q87HBbIKZ8+dat5+893mww+u&#10;ssmkMImYR3goWyevXD5PJwOEITzQcT7/DEb2BArx7/3O7yRd4/Q1Z3BkaBFXqYmJhYVIqp0FlQBr&#10;mrrbPAj8TYSI7SAiOUUJhV5cWRvlOuB59qn7FtLZHmoNTkuJ2qZnXNjiw/daCoNgJtqqiK6cQn6A&#10;YnXk8CJAx0OcFecfjPAMF86PorRWmnmAQ6buNVhS8O6xWYukjQb5ubX3ZXv9Uex94xCf8Po7eNHX&#10;qa8+lYmSKFYOCr0jyX52SUvbb20ZYkyeeRH5McnVuuXmCVbdgl1ya09nyUKWXnEBIXPw4zX4ICo5&#10;hajaOJN61WGV0jnkJuVdtjmsJFx1vtLqyRpsm86O0yFZESlUevYPcCJNpZpOG6aMNEFt9CFYDfnh&#10;+6yThm3yOfCsazGy/SzsoDlvsfipL6t8d0RNUx6RsEy0uaJ5EGIa968oxMvrN5NkICgvhh6/BkIm&#10;u5zgEl9+/5A1XUZ56OzJY7+MPC2yh6eQrydE5w9tFzRqByjmQBlsdbAeh/ZKqUyT1tvHQZzBKQVZ&#10;Tv3eGSa7RKVL9Ou/R810hUzUOBHCPM5zD06jLYWzOC5nydRIGjXOWu8R7XY91cmeaFi41U3KC0uQ&#10;Ja2B21iHJGyYGv4+52dPgCs7b2ltG8dslWzGzU+vkc3CuMfOk+mSk8Bn5hqfvvVhDKQU0DWWtzIX&#10;ZtF2UKAjRNQnIZaaYm8GSWP3W5tDSUdBaIJy5lEQRr0CKbleP2s3JGcGstvPfvhlGUtjcvvuPZaZ&#10;vnXmW8wAHNVBn+LvlsO+9c2vN2+99TbOAlEs5QGjJOviour31xxap5Iyo27Kn3NimYvzoiMrXmmC&#10;jMwoCvouQMBFylxGy1Oj8xjfXrIJzF/pHwcw/YW0fw5zTsaYfXDt3oeUoHYpNeqQCCoEL8Bea9R1&#10;xAwCtsjM9GJ4x6jv97G/ltumkNMnlNHyFfB4p/s0AmQpkKd3mU9wnmziMGu+zvn6p//knzaHU4zv&#10;djJpjlcZlziGMeLIEc9uB8Wh3RJSwXuGkGepiuP4tueCkATSJ1p9YVlcgBzoPniTnp7HzSTpe8uw&#10;UyD675Dqj+OFLOhYWbYyANOrDGeBjgvX7ND2Cn7HXqqBk+LcP8WmaSTyqKb1+S9zWwSRWufvcEjR&#10;k5bK6jMrxCYTHKNpCt7Mpee1OuMyrA3Hc5TnPE0Z+wRrOsCZuk877vjYXPPW+3+Bgb/ONg6RrcKp&#10;5LnGBO2yByc0yG3rp+XuWQz4GcplQ2Dt7rFff/kXf978CeXdtz5lHAJR9Aif3dNDZqwPUj2eYZR9&#10;cH2lBzdz9JggbZB9GSVDNYrzuwH/waJzmHjvOgGYGXjbqAOiRZ6GNJrsywYBmtlTdZf68syFC2SQ&#10;ZykhUFaLxv3//gpgWaNqFjQZVomX1FPVsqqhDkGZ9kmdTPlwjzO3y/eefBpOXrUUkmge0DQcRNs3&#10;sY/LYjAo/WN7h8i8hxbBIM/2Z7JzfltWltwsBI48rzADi2eGx2I4LDGlzRScoezKOm8rrPMSMv9I&#10;cCbn9QnZWDNpRvxmPQL2tXvRDK/77MiCxO4IRBzj4q0pZkv0JLZpAwfNYJemxnIiWnVSBoeVdKzo&#10;t77zV5rf+Ou/kWFAY6TcBcHp+ZgWs1YWsnAFMbkL1B4RdmprQof4lZHFDAZmgdr0abIXL5DGlzDJ&#10;UeCWF06CD7hy5WJzn7ajORjSpIM+d/E87Sl44bYPpj4j/LBqL13qpBgL5ZDQg047QYTKvnnfswfh&#10;zU7vZLPJ72xfi8Pj7z06zgGoNEs+owY35W/VhZFikDqVn1pXJlraw+CLMt6h9LBDJDAknSsHgZiA&#10;miZK3h50rjEmqx6YgW1q3NbRthGUFTIL03yOCOB96u1LgCaHxQzgUDy2zZNU7zlKCevvvN28/fb7&#10;pOxQEjgtIuEnaD/V0M8Q0T0ACLTp/HaBXEkSWAZqQOouNMdQvBsy6GHgzab4FRKTLtPi64OS0b7W&#10;0yYzkEyQuIiEXxGW6NF8RIXi1g4lENNpsYtimOcep4tlkCjLsGaM8s0w92dZZUyFSDreSY2LYBAe&#10;M+hqHEV6BOCnRCwi1/W05ykLmBmJMX1mxJRCDADXmgAgt74EjgBh9nHMXplqDZlYnAiBlHWP8ZF8&#10;HkmfeATpkONwerD57RZrnrIch8GhM9JTH6FctG6aTzp2O4JwjNfNFFELPsTgD8gx0B4c21hPHqPe&#10;jtwv07e/o7GTzwMj8QSHZB3juIhRlh6c8RDNAcb3CCWTU2cYjMNrZ4IYR94d6S2DIYA9vTzleQ1n&#10;bJV65z5O2hYytudkPzo5TLGaUn9EFKZsOU/jsRwkOCgbjyB6InOxxd8lxRoilYyuTKQxRmmjD2N+&#10;wOhzo0h3WjkQwHcUObPlul9K3iTTW0c5olRt3ImWBRYb3RLdi40IxwBnCW2TnvvjREW9zP9YhOfk&#10;i19/PZNo75BankOhf+e7fxuQ6b3mKiDZXTIUTx8RqcHBMoiDNQ5Ac4yOnG26AjZR2ipXr+uZln1w&#10;lvuWE6NF1PJ8RIZEpBJLbZPFGcaBWTiC7iG6HMOBXdKJZv+nYD7tpZPiMRmdF6iJ63TaIiiHgwGA&#10;U2g1wiOswzIOvO3W0ktf5DlsJ78PWNRoMYOgPAYVq0TGDiSHwtH7/vsf43PJfHmSNta34JYjMCBA&#10;CUjNia0ac51aP0MjLHgS47QOWNRyoTV3DXnpsFLIEVx+95TPOiRdffHLX21+8I/+WTNKsHIXZ/Ej&#10;cDirZJMkb3M8uwOmkjySEVbnqOVieNY5ZuSog1raKx8vE/BPfvIT8Gnvtb6AD1YlzZC4eXaSpRTM&#10;qgESb6HJLGNYbKjFeVDQNLuBNFA+E2cSq3FogCbROepiGsO7zzrfciox5+vOn/5Z89/8/h9R439A&#10;pn6MYIuSAy275yFROtZH5wHg9pPojgk+Zwz5PEsW65AM5z/7wY+bP/qLHzbXAF8/Qc63wQkd2qkC&#10;U+cYoOBx8EYR206Hc77ke7HTwb67QzEoOBx3ee+nnK8XXroCjwUlKfSu+9KpRVt3lZEJ7I3gQLMk&#10;287RQc+qhw4s9cq8yzOphzP0ketUd5tNMlJ0V4QeTE3uqZyrZNmN0H1PdJSlJOWkOjcGDMpkBFYm&#10;yC70cx8bdNlNXoOQjuB8zc4+AtTHtAb3ASMYwxk32yDxXB9OvXZDeIEdck5WlrVz3+wv+lk9GT4L&#10;g6kDdDWli48+pIOPkv+Aug5nwrkZs+hhKeqletvljOnU6EwoB3E8A/Q2MCsCQ3EccSz5Uo35LHaB&#10;yTDsF89ihFulDAXnJKN9X3zp5WaelOEIUypHZFyU66F11vVWpQGzhl4jadlISgsFblMMIcGwfUg8&#10;AwpUqqZeJyDCH3AXLIBkRRfAVliTlMFsB9KVFaL7z0DIj+EZCZ48Qn3MVLB+gtol5j6Gvo5KRh4L&#10;ZNLbqx2MFthHq+7C/U6rBBM28bS5D/txpZK1s6N1nMxr5FAGkleggTqEHhiuYWl6D+DOxgGIfg+u&#10;ituNQeBcPLECgpDsxz0Kwc6w2QLrqy4+XOVrvHZJw47gjmRYVX+MhlPTRIj385m29T0lZWoaeQ7B&#10;lUDSazjJb5zOh2EE6Sg98KvLk0HUCkwNAY3ZF7gnXntRkNtAcxPHY9+oQvBSm/qMQ6Db4HrhYDl+&#10;3YOWI+DP/I72K1Os8BS+wRSfShUPl3TlE8olrscMa7oBoMnaro6cmBdBdH7MqvV3wAoHGMRhedwd&#10;Hcxzy09vFOUQNBH/g0Supu9Khz0vnAhi9JDdIZrYFoxGinKHOmklFnQCuOvWQYoT0ZYbPgf9ybPq&#10;3OrExHtulaBgOiXTNuGHEEg9pFRmrXdJhcJ1z1D7n5wgXpbxkiyaNNgeJgG5kte8whofh1rcLpN1&#10;SJ/2+JxFI1jkfQJa80lGjNuetgGb4QoO5AzrOEcpakKisjgwBepyrsCwAGN7/cFgLJJ2VampmNdY&#10;vylAtONHmTooGRcG5LOr15pbOJq2QspxwiFkLC1rZ4kJQ++Ey75tIi+cB8cAO0Z8FQOU6NhnNxVr&#10;T7grjZa3Zi2aWjZD85itW511t2y3h6ESUOmzW2ZU/sWrmEbViegh3by+CufBnWuUEmabX//Ol7mP&#10;5ebsEWa4AASeAPR2YwXnDxnZl7GW9dmEo2IdpH6vmQg7A6KQmQhJmLMJKNKUslkUnTwB2ZY4PIuW&#10;S3cBsx6njGRGTuDl9jYp61twcoBDOcSpOOxBlrizY5QRH+EcXul7JQre/XetxSaYGbgLFmMceRI/&#10;ssLrlni+I8jSsF02to4jA6kBK1dtujrdUWa/0MSfUG4cHLlB/z3rh+E4tI1SI9GW1TwrAtTshI3e&#10;wNG3m8uhYdbRy4hUeTE1dCPAREQEIQQZN9EJ0xdegGXwXHP1/r1mnezeBr9+jEz4MqmRg+mypdzu&#10;rpZ5kJa61qhlx0snprRS2YiPAL5acpLDIqWIOAJtjJDX5h0FsE3ppHJTFUy5HhpBJ45Wti8qEh1m&#10;VDwgKBP5ciT8Pt6zHSLDyIA4ij/90Y+bDZzGdwGH3qYjSAUe/JT4NVtU0cV36aj4i7d+RPAIvww6&#10;WAfyBUgKbwDc/G/f/gCeDjAx4snILvVgbA/obuoF+zDAczlB1X02u5MSkqUc9JbcM0boAll3Hb/N&#10;3j/FCfXPfWnqedpBgemWBHjfOpku22b7aLkU3LpK9lf525YHSG+yzTJEi5q9yIJ1mbumuXjxhXCP&#10;2ExQv6uvyvKU3lIfGbAtQjTmDJW0F8s3Q0AyyPW0gwYMdtEdElQcx0G/SFn/7gPKPbRtngAbQkzA&#10;/UFWxUyMeeRpAxk4uGG5jxKN2VgZZ4fAI6IX+qfJwjC5lZRp+EJGuZEBsqhjp+abtTnnpMiHBPfE&#10;LLaQe9wkU7EtmBhdLt5mX1ZiSxro7J2Wjyb3HB1Ss2Di+GtnsVFmp9j6fDEioQBqfnKCVmcukJLe&#10;weN0aptARHuFNeYCKrhSBlDZkhbeBbxKx8mKNwh1lhGMCGDbDPN5RjQqJzMobLQkMSjzuzeZSIb3&#10;vbbB4BAWzrS7KXw7MS5dOEmnhv3WlYJPpqH1tRX2bJyedftTlWHggLa5DROxHKNeBne+aasQ63RG&#10;K4a0niVUCKVBWudB7626N4aMAqwvP1qMMhrTK4UuWe/bKYExVCjpEbI0ov3Jz/I6CGSmqVtzCOQF&#10;2EB4l3GUpknDOeiqR8cBwR1ifUZxlO4zB34FkFE/wm45pzID+D8QMvWxXqaj+3nuo0emCpDI+qgk&#10;xYUs0Gkwj9AIotMBcMZBOAvjSAT1UQ6dKf9ENIFoRXgU7FCh+nqdR4Fkts2l86WkQuVn+lIQkqvV&#10;o3dLJKtSjwebsI11IhrVQZC57wBSBvdggvfYF250pue8cOpEsh2Sjz0b7230bsSXwIz0GEJ8HQdz&#10;CUDTAs6jCtjOGMFK0dJZ8pZFLbJaurjbuxz2HF6f18uJmWlBQ/pKpv/Z1/vUnM9Dm7xLVmkA+vNR&#10;UnonOGhOGDX1vy62IxTG7PkERt/R3RziceZsWGBadUItxlYwsuPq9zRqOHLDGKlMuMNAT+O4Shfs&#10;WRnCcXDP9q3FU66w/qhSk2fE9KQR7ZrpRh1oeCv6cXzTTSSDopFFnHLkn7Y4S4zikKYx4mYb3Edf&#10;4xjpETIfEofJ8WDr1wDX6geklwFB7Ep/WjMl/yLLQBrLs5byGPe1J/MpffV4SUzBrC4A8UHp5jHs&#10;4GsTLpi1lXsA7+43E6fltVikBRQioxHklt8vLd5qXmXY3C9+PAlw7nEcBcFi/VxTwOWQ9NahHuVn&#10;gksHp8IbcJZgQv/fgVrjbTT/H/5H/1Hzi3d/wcTDe3RgMCzv9mfNNcDXm6LgD9ebiWPnKHnNIhYw&#10;Cx6fb37w0583Lz99pZmjlCRHyjZOuWsmJsKM1hpt1itkxtYhTLIM9jM7gsga6dDpYmbgltFmUvzs&#10;stGV9L/QecuE+h4g2Q/p4lGBjRIIhahHk5u98cwhhjlnFa3WkKg22IngdrKrE1WjwHWgxLessL5r&#10;YAwuf/vbzf/pf/8Pmp4bHzUDtK1mZhAf0+8wK89nyq0CG3WoxDow06KtbeukWspS2Vfaeb/5GHyC&#10;rK3TGPT7YGM0+h0ldxm9VuepBSwNs4meD/cydfqqi8bxKaAgz2x3RfAk/FwAthgP9K3DBkO9T8bm&#10;LtWWVezGVj9lzQFKBbynh9/LeWEAZpl3CefsJpi3m8uAbdA7fvYff3gzgVAvzvIkFAJmL8RJyPYo&#10;rbbcEZsw425uIutk4YZxQFw/z0Hq9QYuRvgYZjvinKq6QonoQ5xaXhTHYAjjGmp4DGAf96+cLN0R&#10;yCuQ0Y4pjDRB4QyZ1gdG5mZpfNrWufS5u2i8w2/5+wylck27fdZZjNqqct0teGKejZhnD7fJEok7&#10;cbrqQ65z5OIFMg8TzU2c3J0dfgeIxDM8CLZEB9uzsYC8m+keoTQyAWbmIUMEh8j0WhackN9EPWmG&#10;k2z3ZiZzGhSicl670Hz1r3yjOT54nqzQLfg2yCZyr86XQqKy9gYzjqXXkZA6Pq3nrJel4DjkrLG/&#10;EwivnbAtfJtso6PdzczfZYnJRJThdxUk0Hr08DHtPE9RlvYaIxA4FLa9VX3dsoCeieUGBRYhgHOh&#10;1++QOFlDNztheqycjiJmEbGMwqNNzsM+6jx3HmjWhSDCWUcZi9DfdTFwPrb5vPsoETMN8fZTsqi6&#10;uIrXtG9SWtyPU9yktdbaaTy2QD0P0JKlsZZPogLXNo2r4SqnMuWP+uKZUlLnhyoI/hAcBZw7A3+G&#10;naXBlMFBlDieCfVYDL3Ojm1jeNkHdE+k1Q0QXh+HbFXFK7CGi+xwALb4HkdALWvY0eI45aNzk4AW&#10;4VRHaU+zUcttpsG2uFlndRjNgcGwlWqM64Y8B6lIXIg9mpnBaIkel9jK+4/XW2nZytzovbXI4QQV&#10;1V4WY5u11F2rFrRqBfMz1Ia1IjoD9s/P0HbkD9O3TclixA4Z2edk6DQdZ7sWymecEpj11f3gLCrN&#10;5kdJRyytq4RRqUO0WQj3zoPnXYkQX4La+DE4hZUlwFrsy9HZ0bTIOogqHSOf++oirrrZti7NZ1e2&#10;SmfVaFErqBOhwhP9b4RGicm1Rr6sSYMhTx1RcO8M+7sMCyiuPnLdcpmwJouP7zWLFP4GqFE73Gcn&#10;YGBa9BhMZJzZy4FdJaugwZZaWWbBLdLgw7jojhk2hSg6ULk03St2YYjU5DQsnQPI1wZZKQFyghV3&#10;KZGMD9JBAmmSnT1DKNLMDOC/HZW4dNeixe1sMoDk6d17ZaLGEndOYudQuUI6ahUPB2goeZIdR8FF&#10;WA6k7MczyJNyKP+/BspolA9NElAvn7+/+MLZZup732qeXJ1rTtKZNc/gLcIqziHyxxrP4OR8+PH7&#10;4EpqFoJtb70ok6Hgc8Rs8BzqD27l4uUXIYpiiBB02I+W4JeB+8Hsw6dgP16kje0YpYa+T97LObcj&#10;aoMhdVN0a/QTkfajF9Ye3w2wso9DK/bp0YPbzScfvwv76HfiJFcWwuwnmSHk8gGgTlsIBZBP4vTr&#10;9C6D/VB3pDzKNWpyJuvoOvsnaywPjGsUejrkxNLfsM5pVrXOS5x2ZVxQKM/o/tfcE/SixjeOSRki&#10;v0yN66M4ZjnMdeiPDwGlHpKR3UAQb9293YyQ1ZucoFTTZS3UyxpJgXyeZYZcGYWr1P1cqecnOJs7&#10;3PgjOlY0DEvIpCWNzMjhmsm0eANtYOGzd+XbTEhlkw2Wcs2WvyCHNRmUVkcmyGQfUo3iui4d71yA&#10;e2GC82AH0cAYWaSBSfSi2DDLPs56RX4lsJNbA8d5Gwd226FQwWqR5cra+LnoIh0ipgAPOXBKTInv&#10;hutADSAF97JcNGSiBjCm8q7E+2evhyWSk4YduRsgPT9GADIm+N0MabKn6EpZw3GglSnxRgZsAXxH&#10;ziw90uXG/R2jTPuxjqXtzzlTFbSG8TiZ3j54ieaaa9cAYOb3rQNh6IUQWbpU76jzLIkaqCgPoRG3&#10;S4YM8yTgyD4yiEdo4+wngLi5+KRZputvlNLcsORfBFH9TAXWORQzNOsYGd4vlmfJjjZ+3wewVP9o&#10;FdDeFCUP93R4k7XbRR74vc77Khn+PrKUrmO1b3Jf6mztU7rg0JvoWWVIHS6+JOPBLfe0DoT/NkjU&#10;FkrBvU0790Aftp7XtkMAcN7sIjCx6QKxMdsotAcAqJag6Z0nRd2LkZEbIt63BkpwB8rHLER6T9Mz&#10;60APHQnLBtVLH8WlB22qBSM6Tavc5LTtohhJ1n0KQ9oDJe/wOu2Q8aZMIZZpKOxz8M+dU582oaK9&#10;3chERj0koxpGrqCUyTqwEDJpbYN07qd3eajXYd/2wdvZUD29+HUiCvhUMyelEFQeRWIkjzxXRECJ&#10;lwAJCVjkLnAc+igfjGJINBYC/3a415E9MwN0D5B6krFxgLSp0xm3GR+tBrb1LQrKtDyGNZGKh5rX&#10;TM+MNCfWbKGDnphrP+Yz7RuRMGcOIbYM5CGXPnmENiAjV/dogOtNWAdDeW6RfvLHYzgzYT+LQW2V&#10;g8rOhUy2UsWVRFsirZCjuNd2HxBtT1I6cua8zp7gVB0G8S01ClrHopSs5aOuBpwovwZXRNH0pdef&#10;OFAl7KryZ/JEKi8VdECFVWMLuE4GG3HxpvphFV2HdElmSYX7KfXkRIQzDBAS6c6hrLe2xjDKsPqb&#10;O/ZK0+ApUbUKL+5FgijWIzzwvIVH2UFWbQ/zsMyxl8NkkQbdIO5xhuzJtmnHpGFUlDirHiicQtfL&#10;yapTlCdOQj2+BsnaMB86LXOn2Qv3yj3gPVvUHPullmaPhoiY9jn8O6YhNei2bOI4Dx+f5jATcdDJ&#10;NEqEodCr2MZlWJSgCMWxTDltZZ0aM780ap+lNVGehDiEeg6tx+c6l6PcZmjydz19/aiMUVIDIS8O&#10;/yJzouJDHl0vGS/k6DiwlMDeZ3BeTomfQHkn0yqb5suXXml2Af3tfuMNZB42x0GjYgUboLUGiLHq&#10;K3SorBLtG6H0RbuZ3QJgarCAgnqIoz1GufH8mQsYhiG4C1b5/CG6v75A6puaLcOsLtIj/xn4hVtg&#10;RIbH5kllYxiJKHXUdsmCjbL+uz3Ix9nLPBMyimP3xusw56KoR9VRbSbAqFZ8xCAdBktPbqf1dZpz&#10;s245h/sV3C0joWbQM2ziRHBaQIam7w0cWLZ99ihdya3cdoGU2T0nkipY6qCssWtN5lRwmtmlHSNU&#10;S7rIsLrJDckUS88m8ihPyxTOh+3jm3J0CFQne9rDM27akif+ijX2LPZjdK3RP6aURq4ppVDZSPfB&#10;FAwIxEMHbLKeiY9Yg9/93d8NT8af/umfRof1cZ2MJVdW4tgoMeXk2IrvUQ6mSh6HAC7lnJAHw8ys&#10;qXg+Q7yBjlOuonPoGo81Z+h4GuceBcLruEumZQvkHPp9jbb/ZGfkRmAdh2XV1dFHtoSLewZ0TNTI&#10;OT+8yKBrjPcMZg6EHQU1rC8EhngCm2R3vRfvV3vkve/LPGp+MIAEP4dAj7ECY87rgUNBXpsA8eOQ&#10;oXeYFeLeWJbyU4KPQwbkjtkwO1JRZdpZC7+jPvZP8ReHmZT585/9rDAR0c3KiY6I6X5wCeov1vz8&#10;BQfbSeEtwJV7d6ieHBjTjC0/fZkui3PN7ukVSVKao1/7LtkGdIfsvmAXDnAs99SFBOqPe8jmkfX9&#10;GMIvHYQXGGh3n9ILrlFqaU+ecmq1s+oxdMQGWewViPV2aXiQsTjm3hZO2+wtITowSTxUZpa3TiL7&#10;bPt5Sp+Rl+rI0FkdI/Dx32In9jcArq7gcNiijM28BrV9/+VLF5h7cZo0OpFTwJH9ZAkuwEimMFnn&#10;80K1qHE2jMAU8KTm3AC+NXqZ4Fabkr7pOLKpDgF2wSzDaRCvBm9RMpGUFEwRMiZVBsCgpGOC2nS0&#10;9WweIh5cOiucjYHDwcE9plFrlac/GyULYIR/AOW2vPhUBCDmwTGRLZD78jliSDRqSc956BWcIkuy&#10;RzylGdNHtkz6nnjmCL5DZwTgYHAsrdjCmS4O0948S9qdrJFy/Qx6cqhNSK5SCIgT4QF2jPRTnn8Y&#10;pTJMlCq72Co1uQHXTwZE3mub7CzgoQO8wDhtehzcRIaZ8mkikGfkE/AzTaurwGjfS/tgwEZ+1XWf&#10;GV2jDkNLI0KUQCkQMzEYJyLlMdJ8NUxF+njovVFGRnDVHksakOdyU/TA9xRIFUsrexX9VjQWrnUN&#10;dqhhjTJa49/eVUiQeEadCOuBlrgcZLNMavmza9cxkGQvBMRa96ePcmWQbh4AeQ53s7XN+8146zKX&#10;JZIVJuXZknL1ryYkgiBvgU7+LMpbuarMmGRPPazlOBHcPml8e7GHUfSjAJaSDFOpxltHqRmpqwhF&#10;LmNe53Ao58kEDXEIbafqwZmMcgbXEofO8gCe+zqlE9OmZsNSZ+Q1UteaEdjnnB267txbhuKwzpo3&#10;jfggMuUMkY9h2vyE6Fwq6ElAhBdfvJLyUtWrq/TonphabU9NOXUC43A9dJfHka0JO4kQowGyhOOm&#10;dZGHEJCxR6jjkKlh9ZBjskAqOyWI811cKWrWprn2wx+iuLeQWQwwWZsNKJ1t6z11/HTuRX97iNLV&#10;qCyUrrNBtqUCnJZ9sCI7I6yDvOooMlPiRpn9IzNQW3+9OXH6Bcp+REJzDMubRalyzde/8m2ylH3N&#10;H/w//xtoxK+HNGgMALbloiVnWCS7o9wPQDYHGylgT/e93zNN2+EgEe6ILXBkHOZxypeWaNVGBhY5&#10;g1M4HiegzLZN7QaoeE9DWtz5s2r/yDSOleUxP9TMgsbJ15lZ7SFqTSCVX5f85aX8pwEVdGf3ktmD&#10;OCCSgGmwgk0oB9tgwrMmcNm+f1vtJmlDfNjzsCJGn0P9472J4SCQu0SL8l/88N9mqiYz50vJx+4L&#10;IiYK5/k0gpYN58CYnDt/vnnz7beZrbMUY1B3+bm7rQeMzGjgdfsr8qjsRbIS/ivntoLMnHV5GwwE&#10;kPNxnOWTOJcGPcqjGC1l0c6vadLxliI2SYWr958N3TID49V0WmIj+MzEIgaNZqMtr3NG48SUNiMO&#10;5MzYdk+gQ9ZsGF0hgWA6CKIReJ1dDAL+0aXb3OA6Z3oER8JMnu3SPp/PpKGVh8ENNgunw2jwOCy2&#10;CV1+FaxDjwyUKaO3pXP3g/tUJ9p4sIBjPKAcB7ybTUoHXRw29ZDdbxLP0TloAGAJdN1uGb6naRdv&#10;5phvAVTgJiR1BugjgwYdZHph6DRwosGREjo/N3jh4yc4u6Ni2wjwJ3CYZnGODinv9Br4wki7ZUeS&#10;dATaJpy5u7CUPiUbtDBla2nZtVAq4Dz08O90h0RHm28svZmSXOTTLpEKOP0KEL7VBcp/L4GRwzLx&#10;WvjtfvPzj37Q9P/d/8HvNZdfulQCAM5BYTzsnSJlQo0W7WMZQeGy7qSh9bM1ataqyzghbHiK+26g&#10;N5QhW9WDm5vj4BcNb6WupvRurGXxO5GkMrL1s+D2bVsLjMtiZNcaBjcuitdaiwKvDtWQCZrBg9fr&#10;NbU+EJ6DSoH276AeN0G9bzli2ewC92g7IanTTKQMtkNwY5H6KOi2YYUWhc8XxOM1BP0MO4YVBPmG&#10;WQVe12uqUkIXt8EHzIESKEPnBRHP0ipeIGUGO1g85N7vJE6OOAgPk+yD40RFQ3yvUK81elJg3NQp&#10;22hJ3Yr8T6qfexbIomEIrW2IZ3RSAOhYrkkauzJE3kxsSBuxl4Lw34UXqaipDkXqurzewy8hi6ln&#10;D6KG1GKNvcmp2+H191Oj7dSke+814if4vjgklXVIv7S9PrYx6bjo7JZHGEVhemybz/TwJQ0oAprD&#10;du/ezeZtoib/PirmgxTlIZ0V23xvoVDGcWYTNap8bH+NkcyylzPRKuYqIZViSpTVqpe4HKUbk0FL&#10;Kpd/rmEIV3ggD+yIe4MBXEFBbahYeEEh4qsn2shyEuMgyE863kkcyn7ub1BwlzuHkhJFLRGXNWAV&#10;rwd1fbUdoMQV11HEtp5qmGctjWFwzD/t5pCmTQqlhsESsMTFj9MmPQKlra16Oxi1vp3l5vEdxkUD&#10;uhNUNUHWaoSoQ3Kmrkab9GTOCFkOI2OuMcGejpBNGyc7h3ua2QwugNKenntHOpimxIkwCrTTZZhW&#10;M8+xZ9evE2TVltceNkM41yO9I833//LPAH/ebb797b8B7mG4uXHvTvPzN9/PpESN9TDP55Hbpxy6&#10;CdnXHTIdQzrLEtto/HVuIJsachw69FC4CEz2PMdnCajrb776TeYhLN9NwGGw1Js2XOSeVLUkVo5R&#10;3+FnMrVOYIRvQDC0TiZljjWx5GMEOTM7D9h1P2WoCfBDI5zBeTtu6NA5RlbnEc7I3q3PHOSY2rt4&#10;rsgTsjlKXVwQnnTNYbBVbmJEzAywxub0PUetDKa00TldOhgGQDqrKQ0U4j0A7UKK83cVO2NkTpzG&#10;HwBjAmXyAtHlh3S3yAvS69nOf63+5EJXGBH9Q6Lf1Kx57uhQzpby4bTMIVD6duGIf7CcpAE2g6hM&#10;Deiw2+kUw1BOTJcpDL8EL47ajoOtw1P4jrQz8pzPsQA1wyUcMwSFZhIK5yRZFXgGeBgeoPq8LwH5&#10;o5LvUd5TP+ocmn9cI6OgkQ9PRXdc8xniRNRtsraW3JVR08mTWlrnBQfdDpg4c5YIPcuuvT5BlftC&#10;5IWeWIJReGaellw7fxLwmmWqYZPhS/A6ll9RecqhjJ2e5i0z61ze+0vrv+XU1qC6DtIdmPofJuju&#10;Ya2CD9Phig7FcYkOKzKrRc7qhjgqdIHXXTGjw5neFcQpuQIEbwkeuPaO1/exLbFyf3bHiY0QBzFJ&#10;Jn8Kh9MJq6PUkUbhPJogwLL8MsEDzOpAGfC5GsjtSUDkznqSZ2YVY08snf3dwq4MUdLRzgs6N0Pu&#10;UlcnhstucOIZteLgPvqacjR8xFBi82wCpI0kzZL51f8iE9EW0npngtN0O2UBwJR07pe3orF2YcPl&#10;DqBS50DPs8tQtEcpAKNEcSUAHjEj8k0igxVSm07XE4Vtz70OiYuvYbTrQONoJCoTnT2rSo7GvEvb&#10;BuwlwYdOAwp9F+NmWSHIe8UvLSoqSEEtGCE43mshrGmytXjyPYJ1xGno0VF6oXkdZS+YhNos6Pgn&#10;tNCFPEXyZ1tvrDE5nIqe3R7wDCsg4kX1kpMIqYfEWaJg0W0grQHHATZZQjgePWZMsLM2OGRhqCOV&#10;fAww3Nw0zIRTGG0ExLS9qV4xH6ahnEkyQyQnDkCsiWQy5nxMO+uaGYkUIQiZgpDMVKlHY+gWF6V1&#10;eeYBzbURRTaC134eQVxhdmB1vNeIDgUT/EqdhVHLGHgJ6yC7Q0LF7OQEMnFI2kiqzQKERjwHuZyX&#10;lhss91bWvJSpylMuDHvWPWDWkLEMEcinIJOXOGw6XRpt0dyHpKctsz3id2aRZlj/4dQkPQ11HwnI&#10;vUKQz1U+M2tTiqkyMcHkKJN5vgJyJqLKc6BcqS+OcgDd52Ei3xWeWdrsKBzBqrY8taPtLYFMsEBT&#10;OH+TlBwcamQGQ04Rs1CyjI7YaslhT3QlbkiHL4OXKA2sMFyK9l4twODedAB8KnsdMo2Rsw1UNDom&#10;Azz/PCOKZyh7Sfj1GMDUNg7OOu2gD2l/WxGjggMhyGoM8Jw4FYGCyQbFacMBjtNkuYjWYzyDBVLt&#10;AtJ6AV2qfAW7maZ2itwhit3nDK8/nzFpmt1MTptyep8ZL/3D/B5lfAfl9Ond5eaz+1vNnT/4UdbX&#10;zIfne3rmTA7tOBHgKL3qcmk4IdGzu6+DgdTZujksHoF/SZu8zQc8Yd1fpnvnECNvvd2yzyLlHIdh&#10;nab8sYBxvMNQLgfzeW6K4lkGTAG7pPO5XzN9s7QIT9NdduJFppXyWaa61ziEYwQB03z+UfBYw7xe&#10;ZTrIaw0sBHlJxGxUZ5uoOIWjx06m/HOdyaOZceAZUtmbqeFZ5AFJC2TEnP8ze2EpwHvP2SwFbBbS&#10;r6Jq11kU1Kos2kqIo0PkiQSmvXHmxNl0YWk4ugyHkXVGi5NxOYaTcZSpjXcYhCZfhOXMciJo/4XL&#10;wnk0tl9bXskYc8HZKRuWk9rm7+p+u3Pg/XqWdOo9N6bhbXkU2Gmkn/dWRupZ/Z9PrBlInuktShZy&#10;LVjacKT8TNPDILE9zs0U0arjqh/S5hnAM7KIbU+GQIKvTBtuSehSvE6GGMOq06Zh5rkrm1jZTh11&#10;+Xm90WTJov/iPRRTpKEUrzWTYTlo2cmcGF9B6XLvZIgW1xjECXY3+8Fa7ILp0bbpFBqsOWFXWv+e&#10;VXS09+f5bTM+MZbI3iRnzhKF1AfJyurMuKdmrHBezXZ4ni2fyCaro2IpWPD7tMfNTkZI2AxgnU3j&#10;MxpAbQqK5dkEle8IYOf5yTVUKVlywOgtdAdLYEbarjCz2lM4+BMQz00gQ1PIlKW9aYZkTiBP4xJc&#10;JbvDmo8ATh0cDwmVJcnoZu80NtvzVNncYJH4L+Ba9GbZlpIeT21cRinUDda5btblIajQzZQXNMh6&#10;8Sw27TWELekFH2JhZEK05cm6SimpSgGWBjHVXN5svHG9IQ05v/PQPwU0d/0mXAebB8xpZwolbSyW&#10;RvTy7SxQaBRW00RTKETTgS6SHrHeYeZeKLg+nEJlSptF6cGh6RHPoVBKwoJA2prWpxDSMbIr65gl&#10;FJTbDuHWHqhXW/QOAYQdMkDmkPYzWeCkz73NCPNlauUzCNAAwJ0+nAmN1iBK115dmRm348kB2HFD&#10;ETYJp4zWZO20U2VN/nvq26aUfH4nJHq4jEL0egWvDBH2GPGZVpWVbRDUP+QQIUSSa8HMxxbPsSHy&#10;WCFEcJzWOZx6JDfQjjtOBMT/KWCp7bXpWH/Y9VCXa1kgsFhcdzgZDyWcZ0M4hvXAjZxUeH4mf3e9&#10;VVDyTzjYyD1dJV2W2MhMUeQuljwerMqzE7S4jnEMk6jI565R1xNRbValF5xKCWFFcX5pzCTZEiNR&#10;jpBuU6UPn6KgLJGoIOZt/zVKalMcZp+SBQnotJybKMJW4btcRltpC07tU2VTZRvvfYDPMbUvMaqA&#10;OiPqo0QZ8jAcWCLAy5f0zG4K2Tk3SM1PY8xGPbgoa42WSiyKl70VsOScgF7HMSMf9oorJ312JCT1&#10;sZkBYQgAdVEcBaNBb13nSCXOc26Qrhw5mE02Q/4Rs2iyZErGtAM+SXz5gmPBufaGpFkQEvXce4zj&#10;AlZCghvdwgQVRL2cE2dtDPHnJIrr0vxM88rJY7BX8immjs0csp+CrYJRiZNmxFbdWslwtYx0D8Ct&#10;bNLiug2Hh5wUr//av9e88T3AtNRcB5GlHZz2e8wKGSMaFt0/BQW1wfuf/cHvJ9tm1mcI3TGCA7PN&#10;OuqchcVR2GK4KqQb99+025rJ4Uk2QPBLpDlEpG4559bhvRiOlOTcR9lFuUd5PI4dnQP7QEshXDNH&#10;qEO/8au/ln9btkmGM4BU2nNRzg5hUxH3Y+TkA1CfqFeUCcuS8rE4f2eIc7nHMDDLm508mgV0lWO8&#10;zJa2xtb7DZYid16GzcybxsvyQjfIqSYOqxt1oGH8pYV+BcI4z8P86QuAtzFMyJDmMjJhB0kcLe4L&#10;R+k0NN83AfQZ5YYW3rUz/R+0piloAxNJtwYohV0FV7PSOhTlSEQH5Iwpb6UTui/PT83TaPFYvpbL&#10;mrUNER+CJdDPLETOFL/cAS/0mJbF7Z1TcaQXbM18BL7GTB6vPUfZ6M2fvRlnVaZd3B4GUWHY0Rl2&#10;E6XTzxXTQPIdYB+63fkjQ5R1c3TbwEW8XrpDuK6vsVbvNbxWBbDqI5lBS5c9RX9liqZjxcXPsd7p&#10;PLS1OjgxjDdBq46mTr5YDYHmp06dYbLyneyy2fbgwtqUiQHLHGBz2VRPnDrV7P3kBzUZU4PMfRpc&#10;xpnn8wdxVheYTGsWfJP7NQs75JA9rrfjVGmz/p5xxYUywx7ZKNfogMyBJFX6S3agbMoyKzW83S0m&#10;sJhzswvZ0+pmf0Nes3ncT6cE2YVQWQsPwNEZcUIz6zWFI38ELF8vgeoMuvwp2CVxIGOyR9OeKw9J&#10;nMioxNKcwZlxVtX3mSGVnEBbytJxNmhMttt9a52In//gJ/UwGiRr+/xifOZkc/rSGzBP0q4G05sa&#10;weyD6TnbqGpUtHAND1hrmFppTPDSCqwCIBjGGfSffXanuQVtqV0ZqeXpaMQhKIDkDB7eLEQas5QP&#10;rBWaOrZ1TSVhm6bJpoxu0Zkg/XpoGYPvHlHlRLhGfpYZ7Ks2micDnJrpPvWmPeqpe8PIiun6HrAS&#10;eIIHcPM7+Osenv3tazcogRxCu4oXSqTkZ/TJGkZdzxqQytZFlVxjy+Ez/F0mSs+BrUPDMOIN4xdo&#10;QPrGYTUU3WoWB0M0SnliCCERiOZqifFYQvkP4pRNEE16LWmrJzk0onft3d31QEspzhNnvn3AiaCQ&#10;403XJhpZJ4PgWmaj68tU9jOsgGotGRk3pdKU2RqNphkl/rFF7X4IgGUfgmqEqnLsxzAf5bAMYljX&#10;MFYavz4ORQxL5KdAop6AZCLiplafviDO+n1c3Bhbld4sPcwTtH6FrCxquHxbP0c+emWsapDlEcWY&#10;8Yonq06axPAg0HOAXYY0zJYREsIXrsV0TJG9JLmZdVBZ6hBZ2/RwRHl3WTKVCP9elBVVi0JGatD5&#10;KTjQoyhy19/UYmdUVVoOJVolBe7AszEO5wYO4S6seNZi7dxxCJao+BneO4iSyewSD2iAkEZ4lLXI&#10;qJh9ks//ECdYxRMXmt/LPreD42tkJF+I979vrZW1S32dV05QC3XGwTQ4HR1/efglv1qnRXOLWRwO&#10;PivOF8uPrI8EUiLXKVM8gRXzCQyZU0QqDqSaItU7Q4Q+6o2hSQdBjWfYmq1cKiQ7o2JAm+aFb38n&#10;5c4bjHm2JHYOZj+jVTOJq3RPPHqwDWPhubA1Suy1h7Owyt8f062xjIOxD8mU6W/P8D5Zu15bigNY&#10;g8gLALdtfUNkHZJXdJaD7DIoSlIVAe9tWdZg76apwYdWWt6XtJqjBHn286dPpNVzDTCas1YWjp5i&#10;LwG1tuQ5GiikOiAz07C6K71SEpsJ1FMxMPIwC+ZDZ0xBXjWAA/fmW29l3c24GalGuSaVLs6oVaRm&#10;f3KkipinnHR/FpRBvsJa2r0+cmrQZTcD83Zg4lS+xmHgnAT1v0a3ibIUR1u8jJ9v2pgA4zQ4h94/&#10;//PCYpmdDU6oAopyn1tdwPM+gcNgjXOrUQsLbTzsOm9x+nPf3T23MuOtsw5mpAbjkNgebiQvtwBO&#10;IM5z1x2lQydh22OI+G4y5uDkWRgnHVjVOjga7rMnz+S8+lrjBM/VRbJEt5mkekDHzGDArehFsxTI&#10;va2G4YEw2zpZmJ84Sxpar+frLbGkzGU3oM5Qlc6dQ5LCLnpWJ3kZ2TM7fBpcAicrC6N+MhMVfZWg&#10;pTKT6iNnrUwhE8cx/D+1s6NtwXafYu1Yb9fy0uVLwWQcP3kiAOg9gaLyk7jHccKqfd4ONgfDOQXZ&#10;8lSf2DnvkA0bt14i8FadiU4P2tBMWCsndph1Rv1wnL8zJEw0mEyUGBXOvvtvGZXrmzcwOEQOzGYe&#10;CszkW4dscbW3eQA78iwO1MRrE+nsGIKOwe6x0FsriyWhbQdd6WTZRSsgrY6d6oosB1kbEOBx8Hol&#10;4f03YMuqNhU1tw9mmm2betILkH7UzUpuYnom2AK9KTcgLSPB1eatHTgvhqH1yP2Znp6pxQmU1wFg&#10;kNUHHB4petFder76cYILd5a3mzUmkg2sTwHERFhJzVi76uF9gjh1IETwaggtYYhNMErck+6aiFXa&#10;4QPrhHxL2FTOOQ7QiIfdlKCpMCMeFI/p1bazZBjhk9xqlpYk06b9ChCfP0wGYoA6qgXq0I16CFjU&#10;Td63aW1UwW7nP0wCtpNYaaef2u+6aoe0p5uMNXBk9gwOybBc6hpJEbwqd27LMeh9E6R3TTSM2NtC&#10;hiaUYDZMtIhgswnWbV0w1ZIRduuo6Sk+U1TZ/lJmHSmXm15RSkUVAUK2Si5oaH71CCZRI6MJSJJ6&#10;qfPpeetQjKhA3Efe4EQ6Dd4aQjgS79lsgoJryapY2zR+ZjCGiZjsyfc1szDZqeieAnCbtI4YZsJy&#10;bPKlV56IrfK+5sOC+tcbTkRXGbBHT2EA5N99cG7IMjkcRHd11qiwdTAsadR6lBMVf8jWTiOZROe1&#10;Ur5FT38PpfIEQ76oHJvt4tmcsGi9tZhSq5PFEpic9wsCtnBeB2GAUTac+3FAlNCDwXTg2iqfZfug&#10;keckWSWjwTylKVo+cQR80cLcVLMPRqDPjo5eGTaLDMtIeRAhCKWyB7vr1cahlesghFxultTV7g37&#10;qELTqdhn7LQOhR0IglJdE8tlubjD7gQOcJVx0p6DDhETVOoMF8C9zpEwHSugOjrBxdHRlO2T15lJ&#10;URb/+V/8cXPZGRXoYodVXb1+n7WiNEVW7/6jW8ywWII99SgYEMZpgwfqXyVTgyHYky9GpkzTotoL&#10;nneXMkHmKHCNXmqrMpw6XbSHKIk6Ft84J5bkEIYRIsUR6jK2kgdgHOBgRbCiw9dXwBTtrqUT6h7z&#10;KK6+/0E+c43sp1NLw2rrLD/HcluWRE4FJkpTbhutnDUHkH+p/C2rhhuA9x85dS7rNcA67W0aHdTZ&#10;UnpmLMmiJ8xiytkQl9mMhHZBBatTLfBTvane8py0EX0UdutM6OAog86AMEsC7yu19ulm+T5jqJNj&#10;5n9J91bdf5T2+JOnziNH44DnHN1eWcf40okiOge8UuCXLl9pzkElffXqZwl2clR8bdrFqitFw1yl&#10;wXIyQiUvWRY4C1tvu9Lys6CE23oGoubCOmy6Iovw6Rw7cYb9B0jrWVb3GQAZ9KhCWgyDWcdTGF8z&#10;S8tO8/UZfUL+rzNoWpTwFuDgm5XeQ94S4JqBymurzKIs7XCfmVpsN52t5NbzWS2xAAM4gwJN1VEy&#10;lZpFcs01fuor7y1zGKOLCNAsbaHDnkB6pX5NZp2/yI3g2G/11AuwLJ85ezYZkDM4dCMEFGtia2KM&#10;C3g5yJkJayzPLdMzHeZcwxZwZJGSk1kZeTcdde9rBNmL88j4CdZJdmAPsU5cntXPseMpht9yPNfR&#10;ebJd3M4PSOcSeOEAWzI2eyFeyNfFwSGDeHH+KDoDPSYNf0oZOB+W9Vs9nAaIBE2WTMoZ7bJNARF3&#10;NkVHuX1PMp4Bx/FpNE5kF4s8pQAozmxPTVQFrBHi0El1qiMhVDZtnCllhKUgC1hi2n3nsyP+g/Zn&#10;E+meP3s84JuuJt6DltgDAOmaGZ2qIwW4jIMsAksHyI6FRAnJFjDI9YoKu+4pY7sRNGmiN3Eg9pyM&#10;hvds22c4CWpFSoERBR1syTsuFoLufh7UWRpiFZz9Mc900imMwhSHZtQ2mHVEEiFRwfTiWfdY3uE/&#10;jajgOOluN0hHDXM/puQcrTzNe02FrQQDgUHe4T1mM1BEsnCacRjhszS42yj2LZRaSh46KzhLfYC1&#10;VGQ73LspOAXfdHe47MOHbrpPLcCfRqfSQqdW6Ir7+qpZKpRFmFWGNMY0JYza7Eik+5x6Q2UVDmkV&#10;esqo3w0ITIZhZxzDc3fgVhpYvD8nVfKZyzJwkhpcYd0fMd58AUCb4MsVHMMT1KHNWKxS0jnGZMnH&#10;Dx8GIDeN4zAD4FBlW7NPIp51Hx469usudMRG0PlR7lNHtuqK9Uw1dvc+hkR5Um5nieiNoFVOpnQj&#10;hXFwCwthqSOdNP5de5p1av1kVXJ8Zg2HUUNFlUmwW+ryDqKYO+CoPAHslIbCKM25DyqmgO/gScCp&#10;ASxPVgBlQ5liXYwGnzFqSQTH0eNj+U562q1pujYcxYv8VP85+yxIzfIFZ8RswAHnJUQvyZzgrAKK&#10;NPOxTXZI8hcVqlmkSjHLxIexwzkbc7x4m7FKidiv/LsAwidggFyAJn3QtK4GDhkaYv2HjIi4B1sS&#10;ZZk9JLuyR5TXZ8ZCivOVprl984PmDtwNUxj7eeRjjz2elXuf7McBWcYZPn9gEKXPPj5lwu0S53IK&#10;QrSXSGc/JYDYoaQ1CmHdIgyQjmC2/LfhwBKYLtcpAR5hZgI5+yj4dHqxr1sM4XK2wWOUusyGyoDZ&#10;hy1aQbbo3ukDx7S9BqkQMjlC9q8X5+7jd97FOVhIA/c+zoAZDOmW1Veug50Oo4Nkw/icQWm0AXUv&#10;P5HvouStnywlHhYyP1OlqrikNbyqh3Ot0bxwid5+9NUDsjJ9KGudN8rstdxG1MjV+OhMMws+4MF9&#10;sgo6fmRAQ9QnV4Jy5mwSu6yIUs2KjCAb/Thfc3Onm1v772ZfxfPJ2WGaep7MSN/IiWbm+DjreqZ5&#10;8Ol7cQ4xOc65VUPGAXY6bGic0V/zgEcvXrzYfEZZw/JPCOfS6aXR9eyLA+Fv/FuHWTm0rCpAcNP5&#10;Iuo/UYdG+GYz1fGeK90DntHAbwRDbavzFJ02I5BNra3cyHoROBMgAQxmZsagmT4nxOL0bVPS64Gj&#10;ZBzn8KmGM7gocwJVBp3EOYuvzP2ugr3Z2ycbbDlIZ8pOwYwcV7gNFIs7Yw957eMA7hJ89bDX+KDp&#10;sJrkvI4zWGucYV3p+MBpF0zofKO0forPwshr78yomzHZhnU1ZTn036YcKAI6DSIMirjHF196CWzN&#10;EbJsTKGdobWVctSmLJeW5LWhEv/ZQUgJYZAzkZK3a8d5E0OnU7aV5gSeF72aUrdZJztwCGJ1njzf&#10;ZjaGWH+taijUHXSIDkiAyH+jBPrKpx0+guEFWFcmzN8W8LVKajj0s5DUDfrqZdA32GM/E+dLe67T&#10;kE4cr8R+yrhaYabg3WpUMAmQoYetfbFHTd2jsxN58dxYLrCu5pv1TveilE1v1Nz5pOKsGcVhUPGV&#10;t6cRiN5vI9yA6eIl+qryXjRq/lgQSL/OR9JX1tBZADZT6lEjC7EPAorsnbaF1UyAHRL9UvTatmJn&#10;CE5CQG5EcQ5syt+TvqnukXRcVF49d5DbcakNaUjnUv0W8RGjqhI44IAMAjQxihFT0YcB6KXujD8Q&#10;KlI51AU/9cpGlJ74LG28RmuUjk8P5wLOgbMzrNebStqipW1SB8JaIs89Kqq/ZZTbJHPiHAR5JnxO&#10;eQvGZBLESdMA7GFcFAwR4Jo319SIYBwnR5SvmRDTyE7+q8jDRy+QUX3pdPjDijDyqhxAI3Xf1OIX&#10;fI97wPW582aA2s/OQ5DETKZcHWXGAMZ/hD7vQcBDoqKNlDxMpnPv33nQPPzkTnPj4XsYTtJjCzgK&#10;ju7FWhs1CCQ8fuZUslrK2DQEKTo8lhVKkZYxT4oMRfnw/pNkZtKNo2QlUvNeyzGNsUcOV2xLeqjj&#10;qpJhj5kw6dyKRFIqWy+WZ4/0xVHJiHDb0/yTz0t00Tm6+pruYa5jtFgZn5TFOQOZj5Ash1TK0Eqj&#10;AMeJQsOOxyEaIS26KyW8bWQopQEPHQ6tLWibyJN8ZdL4qKQD6EIGxsn07FH32rJ7J1gSb9lar0qD&#10;vnYyBaPQbfez517fsdmrnD1fp3KSJ6RwMMZ5jjcmo2G7bOsMiRHoAFLJgphhEW9DecUy4gwAap05&#10;bhDOCBSJn+1asnTJdOl0oNhdPuX+sMVE7N2HsAmg2pYlCDIOR1BAoziRT97+qBkCWdxL2e8mNN2L&#10;kLwliuSzdzFEKshbN5lqymdP0Rsf9U+5zoFfssDSXtXsrC7StvyikMucT6Xetmlvwgml+2tPm9PM&#10;JLnG59refIhTvwlGZYJ73wSzskMZ0vr4JFHhIviuGWYs9KJYlewAxHg+B3s5inuHeTe9lKF63Su7&#10;PYwGlat0qFCeRezGyCotTM+Tor/B761jF5ZGCuph+AXsODl1+mzz6NrtBDwHZE8PIZqwrq31P0RW&#10;pskavMxQsj+C/6InnA9tZixOPSVE1vnyRUY9A/ZcJZjpwQGaxWE7duZMiOUshnrmBIE7TG2GLOEB&#10;MtFH98Mg2dFtym9STh+C0j/wT+mncVacrmtQYvfOMAZ8yPZCM2s6ZgLnzTbIr2C2iT+NVgMx8jvW&#10;Qgd6ny6ljWYWnURsi0jImyBZFPeFId4ztV7Aogx8WuHPPmbMfAqHwZ3lR3wm68zzzhKxDywgc2fP&#10;MNH5s2S61k2hsyfD7FWKBOmIYM08Z8kCVcDmMeaEBGfWu9G2pdueGTB6dbw8Gzymptj0dxD5sfeW&#10;Yj0jto/rhMtHEUyBk47DLWRGHfsioF9ZsHvNzCDP+GjpAfp5KficAQeHobsE7ZodHpJunb9DQ5SJ&#10;nHIt9JldkFHXc6d55+w8XHncLDB4cmwWvBsMp+lusOXZrCZBygDdGaocTnO+g0Ux0NOJZxJ0Ol9Q&#10;HgZorsUw4GpB2J5zg2czHTH8LJKdZZn/gjMoxtCIZbSdTmsb/WhAtjrH3F8CTwOQqh7onKozcw/i&#10;onRKeS7XJxwZse22sHdBX2nkdAnqsIrcKQIj8EUy8YXu1pBN58FWQg1bZ6T4sYAPs30ixCovWWar&#10;cxS8XlIvrWOhutCgmxLmduyDXluhNhoQZZGZ7CCoKmTR94LC1Fc+pFPEFFGHpHiRPZyAA0dxS8mJ&#10;AhJDUVFJgUlCe+o+xvgY4bUGtc1GWAbJfA9bW0yFkjZWsccDF8CEF7u3Tf2UiCgtbZZr7GeXLApl&#10;GaCLxpv7GyL62ify8L9N0q+moSfYVIltdglHRqjZjpKuViB0hNBIKD7AO4KGnBoHfsO6VRC83PQW&#10;wrtHNKTgbJDetcatMB5jcJnPso7SMwrSwQpnOdfWcSpLV+6S/ytu/jbbkG0pB84lSAmjqyv6cg0L&#10;bxIEJCmK9xpEt9wYChJzK1aYw7B0k33DoI3CrnjgVFTub4MWxZ5HzDshnb1+DapyPmcT47pPXXv6&#10;JIBAPn9EY2k3CXvsdze9MpIREpdy8pIUUXjJyki7oXxV6aHNqqhcklFo0eXWz50q+mg5968Z7SUj&#10;MaRSCDupQpgEbe7Dvuhh9tAsiCm+EG6xD6ldZnHKyVSrh2nBdQrhjt58fUZX/lHGNtgbf9OHsj3A&#10;aJgdUmH3ElE4rXXB8gZ7tLnFHI01Mm72ZcMu2GckRVQs7khWyzhlqcWXQ5VxzDoFDtSh1moZZJVU&#10;+RPS/E9hj007M/cryDaZtZxkDzKfZfaK9dMpdXmThMuDlZJPOokvQW+DQ2AO7BgynS2O0mBBvgYO&#10;XsC5vk9lRc30kMhFcKmlHL+mBNoSuUm1uwBG6ATP28t45tHHKxAD9TYfMqPiyVRfc3sHAilR6jyb&#10;wEaV0iJgzGmMxqoZPddWLFNAZsg7BvhAGu5JykGAf4Z6KYdJUa5cAnLdw2k4/sorOOJgVXAcxjCy&#10;PWZSGFS0KngMQ7nP+VuzX57zt/yQlmAUfn/6JCmLcN7N6myK1XHN5WOxFKmuYV9Wuc56yqNt6QoD&#10;OSjuhLLT5A4da5z3LZwCdc2QLIlc8wF66QsXrzQHn37KHBymb1J63Sbiq1ZHzizPNYZcnmD68e6/&#10;+ePoKsuU6Wiwxsyfw0OzzesvfRXWU4iBcCCkW55mDS6du8Lzk0HBkJldMRtphtLyjSy2loHncQY/&#10;4/4nkL1ZnDddjhEMt0FL+CwUBa5j67spcf/tXrexRZxyhUjHM3w5kY+i5FYPrRNZJ/vM/zRefZZ3&#10;k6kzg6ksGnWXYRpkfY9dOdf84NqnIQzbBwSLO4yeHMXxoUOA4GKaPz/77GpNJ0a3a9hePvdCc+0X&#10;P0nbdnHXxIvNvsfuxLbo0CDfyN2OLf7+jN9njlMbGSv/Snz8D4m3eM+AmQV0hZkS/y6+SBCjZ9OS&#10;oV/qUK+7jzPrmno2R1iDn37yCYyolNdYtGGeZYisySjnzDEOg2Q55sGt2HFo596kTh+4sbuffIRJ&#10;MZvjKG7pyg/I3N1uTp07y88pCakDcS4EL9ut4okqTJvcFMhUa69ssxYbM6J9MkusY5XoX93ldqCz&#10;KWXlA5INoCyS95uNtXzEMxtooA/FQ3TBfDp90H/BX7i+/hlsnCvaArFjO0o/e7/qY9tyU3quVEHK&#10;Rhl86f2bLdfh1MHwU17/ylfCFlgBoEZTq0WrFF0UAmeymUY7HHY5BaRirixDlTzifadA0t6I0WTq&#10;JkY1avMSEA+kuZEaRCN6FMNEJGJ3g+07ArbceLswRLDLFx9ee3uq0yYnmtQoycNSSt4HTJrfRfff&#10;+bnXjBOVdHEWJlGpB7iAbnId60SYYeiB4yLAGIRc6u20SIomJnLZA5jj4K7yanaoQTuEx+chWpK0&#10;w0yNThDepYJoy4vsdAI4jRpFW0+Q0RDD4fAto4pRjQ3/2bliv/QW62GH4hIUpatkMWTFtPbrEB/n&#10;b9hxoiHWgTFVt0aXiyrf3SyF4N6UE5d0loqKfwtAE7AZvn7WxzS82AM99RHuwbYg4aLJHpRZT9SW&#10;qIvX29K7vfGI+jKxBhGNrbq3P7kNJz0oeJyGUzyvANhV1ureT9+mpevrOEyTkQ3Jb8RRuBGZKaGR&#10;9B5j6BWNaiXKXulvVg6znJ92X+Ohu9a+VtCs9U72YplMTp+jvHmObAV7Isg1stj5UXyWpSr5OOy5&#10;3kSexA2oHN1+nbqUVtqyRwc6i4HuZMZbUra4R9dGVsHFZSaskl2SgC1+nJ+tY8vUJLM2cyeOMDFS&#10;/nq4R9g7D5sA2n6iWx1zIynHnW8FwGicbObNyAM8gE4t9ye25/aN24CRH4R0bFqekiiUknnvT6p6&#10;O310JEzjppSCoa+0dTkRHQOgpFJGLmEcNc1vlM9a9BshG43pQJqF0FlT+aSmam88iqp1TA+dKMi9&#10;zVACkMPi6tWPmosAlu1SOXjCGcHAHzt3mufub64yHXPImRziNER/c4atFa9JWcw1Qh7HfoxSQthF&#10;5nvZ0wEcA015LwLe5/wbQJEzsyfBEwGQZN3NVM4v0L0wuEBG5QTnDXkUV0S0qIOkadjfU2FTMmJ2&#10;AzygrJ3TJsmAkiZWocrDMQAjZMqwRPKy2k6NHYGT5XbV+Z1TYaSMsl+nnXtMnaSq5d4VA9dmHYd5&#10;lSBhnKF7R8EAXFt8mEyjBkAa+tD2u3b8/QR8FLMY0Uf3wRxxlnplTPJz2J+5E+ebMxe/yPo6A8N5&#10;IrbhYbiGp9kHU+x2qJiyFljLIDOCCfcOQcI4XWl+Rpr+xNkXwjMh10vhacSSmHTlWjqqPqfy7tlu&#10;z0Zh0AT3VYt3ijXKeTLNljjQR2IVdDSJXA/kO9hRZxcOao+9OtAR9eiQ3b1w+ZXm1W9/rfk//h/+&#10;dylTnWXeESMvYtDk3tE9n2WtwujJ74M7wqBfYqqz51IQb00WVWTzhMmOVTujPrCyIBZJIKWYAXF0&#10;GsHSd+oSI2d1Np4v71YS6hvtG0xcmCZ9j+XFBFvKQZXv7QLUiSi5B+vz8bWyB4Lm2Scz5VtmDC1X&#10;YzMuX36hMBiyIJPJ9jw4V2qAMv0QAcvG6i5jxWVKtQVcgjqv42CwsWScBVFKcCW7p5nPfqZOW64x&#10;62D8YrZrH/2uHrPsFM4mnnOP9nMNnMB+dVJ1AgkGda0K7JiMs/vPv826FS2700iFKBTvktmfbdfZ&#10;8iBbrCPo+U/1I4EtuDahCupG/lcs1jVXJlQJXldciefYEq/+gU7EC69/kV97XKoCGNlDOe0PUBfE&#10;+3LWqzVcZ7ObOQiGgweQdrUGbmnYyyOpzIRSqdL3uyLMXRWf1KSJNs0L6FB5NDGoGjkfVAEyIopA&#10;8bhmJDDcHgaFqxO2jopZf8IvFUC4KxJdenMlXPGh4uSwUN6XWRBbq5K2xjtMb4+K2QPI300N0gp6&#10;4EHBucggEwCB3n9aVxVuBdfSBCWgPaMUwY8oczMcQeCTcTHdtGVEbGpR8IubI2mJz8NNC7Dshdp2&#10;x6FWZDzWA36jRmx6lYspdLbFKlj2v2gXyYpB4wrC1jT7Q9LhPos+mZGGpYY2kvCgO7lPp2EMAxqH&#10;Lyhc1gAh3mZPhvhzFMOr4lJW3Av33YMebEH8Ljx+o1WjGozTKsQtq/Ttg3AkKoW1TYIwowjq1pOg&#10;5+9+erO5gUNx/muvpbZvi6FT/iRQzj1GvtuODtdf88kPHRK0srGcfYqD4fXdz9YpLf6HCFYcJg+U&#10;CTNr7nrTOkmCW+dI8dL2XVF2DGmR5hhlS4yih75PW68GTYyKEYDXNIUtjbo1atPHheJXSK0Vt7VF&#10;o1iNICWIOxjGKaLqaZzDEaMKXu/cl0VqqX10ucyTQZpdmAn/vdicUL5jrPYB8yqTA9zPMGu/rvxs&#10;VeZOh1oAo07TCs7R4SrGPpMHuRcVQc6W2RjkR7mO1nexdAIsk/hslerM2c0ZfK5ojNwETnoDlo00&#10;3Lt0Bw3xTLLq6VRm3wOg8kzoMlXWRkfeL5II7DX3B0/KMgb23LlzUFcPNOuEeU/BxGyz1ipGAwHb&#10;okwjp0zD2TIQ0KzMUKPfBjxtn4kEUrvI/1Nkakgwc5oaqa9zoQEyCIMo5RNwNbzy0usBkS6Di9ha&#10;AU+0buCCToLKWACvjoRGdgRFPDZEKYhI7dbdO80V2B8zIVSF6RlFfix9DbBG1n0HmfWAVaMc4TAx&#10;ZdF6ugyTlkpXmLjLDAqNKNnSHhyEDqHuHIZRnnvMdm301g4cMwJmnVSqE3EojwVr5mscfnWcGQmP&#10;714POj/9IWYted4J+B52aNU9MOigfbbq5jhj6kjOyy56wTZI18mSp8Rypv0NCC5Qlx+iPXWerEw/&#10;HW3zRxbIUJI90KM25nPsj71h6gSc192+CsQqMetE1urWClFgjLTTkA1MbJUHowJIVp2+h6Nl1U2k&#10;v/pGSRhWpkulxvG89OqrdJcMN8vsxwD6ZjNtiparWDvkwg4kgxWnFuOZMQ15iRT4Vtooj51YaK5+&#10;+nGc6Dp1NR5bmdaq5SymbMHTwD68IyA2Xr3zSWqGRTKdJt55jhYOnRKaZ0UiKLlK+snwpT2S55f3&#10;prIQGlCdA/W0GRVe4xlHdwaIrsyw1xpmY1ht5QHrYSJjMN15dg2iR3h2y1cHyOEYGX35F56AB5NA&#10;cUCnG1xDdW9Uud4MwSDPaNCgbHo2xUWMpZ0ffdIyMxfQtYLilDAI4oc4w7voE1vyPa9CcUH4J1Oe&#10;7LL3mvOqQ2zGBnnAoQuHEmvrGAOdxwSdnkjxLh5NsEgJULLs/sbzXzwRKfV4nhNsqRPMXFuerfLM&#10;EI66X/2zR8+0JQpVh9pHjgNqMocAPfYwiNgOEeIawV0idTncNcacMD7c9ihBj5Yg9HMK+FgtiQqi&#10;h1xkuSkdh/AgXFzCdhnnmEegFU4NhBERnx2P2HSJXpf6sn3AEFNZHmmNTdbjmYnRa1XRViSbNFAU&#10;o/pW56fIZNJo6zcCFs4Ejb1RiI4shymUrlxvR0YvFa4RsMq6jch24gHyez1VibFI1W3gfIzGdynn&#10;RONTAbcp6HLMHPS0xfPaOhXgpNG+ljWv9USiyDn04iqsnRvB9mj8+Jml1mFGh44zKlZDvw2wbJPD&#10;0MvBt21OpZhF1FETFU2ZxTbRARV5q7y8Hw3qAJ8p90efINkkAWq4zUYilOpsiLlHFuMwiS53lDT3&#10;PSIVMFpqCKDfCG/eWMM35UAO8lwnQQnf+sX7TS/gynFmSwyBE+jjAA/SmdJLutdpniGLwZjLoWCW&#10;wLT+IuRJi0SywXB07XHxGZSxAoRmfRTg/FErq0wt4thkbgGGxzShaWgPpbk4ZUdAqPVfv8TijKAo&#10;BGKZtUhaln1NlwWvsRXOVkrT+9UyW61wqZ/qhbfGdBsH6tE2pGOUlSZRFJZutjGu2wD99ohS5WU4&#10;eZLhWcqXZRojf3EgAn7ZyCG0kJ08m0+J4M2MIN9mndAQGWC0TbucjoObM8Zrd2xzTPnFCKQEPjIf&#10;Y98Jf0UiAuOsczvEyPv2/uXqV4kKvgqYKw56RZ7OM7BersMXJjodVjuMAnw0GiLaMK/J1xGwFKuU&#10;kRZAeUvIc/bk2YAxl1m3Wxjf2Yunm21amVfAEfSn/suZl9ODaw7Bfin1/EMcJA19L7XlLfZrg66K&#10;T+990rx2/nIzoyOAQhL3kTZpjLeTVs8CWg35lt1OyMwaTszsaf7OevfjxPfIqIoCHu8HgMerXmAK&#10;6trV283CDpFuDCWgTtngTP8bCUZ8KO2wRqMYowWM02MMcHwsSwJgkfpMO9OWPMbeLpiVUQ+ZwtYp&#10;wfF+AeN/hjfc4TPehWNmhHbbyQwyM3sKPwHr+goDwo7i5Jyi3HKLte3nd7JGTpBBODp3tMHcNLMM&#10;XppGxzbQE/dxXoc2IeZiuNhfxbG5yzTHccoc3ovZt/NE2VcoHfWs7DVnyLR8PLnQfKN3rDn7ZKuZ&#10;1PnQ4KmnBgEwagjaNPhfmTnevMvE1H3IqNS1Kv7gcyRVIgpOZguhGMIZtKVRIzdLZmSfSHsWp418&#10;QubpaFd93wSAgLElJ92a6TpovkzUvPLu9ebLy5X1k2R6FYbKUzjIX1qDvvzpHjiJA1re4S4ggpxn&#10;Rs4XHq43r8w1zb975HLz5x/eyxRQPZR+A5c4FG4XDqqYN7O0fJuttYwl945RRN6TIEeDKesqDjHc&#10;QIPYrR5LjcoonS6XHsCh4qRjnrNtvo0HZFXeSc3rkGXpdGuUNe7fJgs2PwQrZPwS9aXZANaJn48d&#10;TjQvfMK03QeER86MYT2+vYXMki0bRDYme8BM4FDaZHSwvNm8SNfbFPQJKRrorKm3sAPBWiXqL+Oc&#10;lmHzcGY8ouPKgSgvooKGYT7E3Mo6vB+WtO1OqxqH2TjezdnQ1pqx7NpE1evhEYkDgL9hPZ5rZn35&#10;gQMx47BpB1o7aAt0skDBt0VzPlMzXeYngZwBC7+R+ygJMsfKasBTQ1HDYGz79Tao5+6z8buiwvW+&#10;5F6gLq63pSORtisOYUifkhYoAhmVuKj59FaTat3koTfwmKwtmrJTkW+RnpOuddhWG701R+8KQjGr&#10;ykJLRqNHHy3bmmTD2UPrZmIC+AoYKM5KmwJPmqdqxgXOyU5Ufc90lc4D1853Js6kxzRp20S6LjiP&#10;v8nna1Rsk9FpEAVsJsPN37JTwPvBaI4fOdPMUtvbegqTHtHLIM9n2k2aZAVjuAPA6ONzD6VkyghW&#10;n3ZlXuJFagTJaGyxXtlg2+u4LWuEgzpWGP0qOZFJcEy290v9uNcJlSqMpGKrXCNQtTjRea2HTUH1&#10;uiWT5VglNvMclsFSyE0JqmgCmnXpMmCrBMm6rOk9p+Rtkc51hoaDm5Q0nRqJy47y/pUPr8OOiKGk&#10;/DFIxL8Kx8jmzFCzPYkjgSfs1MX0TiN549BpP3qwgjPpdQJLqv1qPcMqTbk3ddjiWOTGFHyiQO71&#10;CYd1ZJAWPxS+GZ9Jox4PFS9xloPGrMOKqOQiN8pmMhzWEm3JcrosNXucAFOevtdyjGvi2HUxOxOm&#10;7Wk/XOPZnY2yQQZmj3SuToRuoJgYe7nk9BDTk8xiRMz11QEwa0CXEqUJwtRmkxLRNso27Mc4ZYfI&#10;flo4rXzGYbCzg9iMKLnVJdmLZ3ifZ4c7ViCGdMQZKq2DauYl5TWBRkb2Rm06F+6j2TGyKRLiyLfg&#10;+ZADQyxUOCJwPPpEjtvK3Kb7zpKaf4yRnxueKqIeqN2XkbU1IvANavfSH/sZ7uMcWQAJjw5J71om&#10;9Mtx6Xb8zNOFcfzMC80oUzsbSLJOvvlh88beeHPmMegkDP6BxDzKPZ87yT7Ncg/boPSPgle6xP44&#10;hGnu4GqYHc1qbsu+xx5L0y4e4DLOxssMI5r+CfTR8sPovxlYcK/9YqLMjhI1W7YbYu//Hl1bawuX&#10;kREVp1VXzmnveHPhI0aFs95zM6+xJURRUbpEs/CcHFkbb879q7ea8dubzYWRC7CY0h1i1ExEuIcT&#10;sjF82JxYHmtO/skHzX9/bbr53qlvZqqw8jtAGaZ/f7JpFhl+9+c/JtPwVlLeszjUE3JpbDxt/teD&#10;x5q1I1M4SY6RFyyE7npKBuuff5/jhr7cW2/+V0Onm5m37jaHHywZHWiewvy5yVmWodE2PKfznmft&#10;/5fHvsAEVGTSjqCUDoziq7yWVlTO1rBYHWRkGx21RxupQV4ifZ6pf9QzwJ5rpDJpU64Cgxw6MP7l&#10;D9P2+78dv1x6eBvHkzL1Ie2zMz++3Qy890fNrz/dan71xFcyy4XUSzP+5uNm+P2fNf/B5kzzdy58&#10;L05PZjKknGkWS2etFyK1J6TWsTvsS1hfEz16Ngz+KMlyns3WWv7oB4tjfv5wlzXTaUWn9H0EOdmN&#10;/zrTcz1ZlhLTJmqigXvVFmnHbKU34jYL8u9g34ZOvhoeGjM1QcvEYec8bqOT/y9/krZQyyyiRH4T&#10;J+Rvzl9JsNbprpSV0U27P7/e7L95o4ISg9guy2fQatbP9ep0m1pNqy1+RX1c9Zqcct37bTPQXNO5&#10;OtpH73VIUjHxD+oaP6ktD1cLbAWyBcZsA2F/Xuo+WYaaoFPZqLL9Bbg0+AhO0c/VHWgzu92flks6&#10;PpQ9g7Z/f47OImpXRs9+pZXJi4tkVqBwqw4EHvKJicLx2iV12ockoYfD1bNH+yStMLZrJjthytVv&#10;Nt0HsIa4RJr38aKz4FFQKIcta/30Ex/ifQ9a7xU/QFSRiNqb1p3ntToRcWrs9Y+h1zFwcdPFX9kN&#10;o+8yDRVDtxmIpNsSdVVZIX+3lmNtct8hSW2pw0W0VMG9GomaKVgGWLROlLtOnXcZIGTmL3r97LGt&#10;QjoRRuF4YtPHGIBCq9n206Sgd6j57QpS5SW2WYkpcePcZFOiQ2YedH6MbhSmbGCtebgO4p0WmjuU&#10;2EYXepcYhzXmMChcvj9FDkl5WmMVFG2laJJRsN005pZrmH4Uce1SplU0AtOumDWxGOpyLHxTBqa1&#10;UW/Wtx1eplsi+tvamKybDqQyXa/sH27kpFDiYH1xhPZoHznAuK8vO90P8NhTjJIZLKNT+uIfU65Z&#10;pWa4QaQd7EDuz4vXgS3ktYyf9QzlUJiyLENaeSaMPde/x/jcYsOsuv4UdQ2zDiFLapnP0ufCswzz&#10;8zyhnrtpUuQhaVL3ASMz6kwMnRCAVMqvbXGm402r2kbp1M/9HpwNFI8sopZT+iQSw6t3LPsOEaER&#10;1AEORVqZVdrera2aOAoTZJMI0WFnxWkZWWm2iH5F+R2CCDP7ZieOik0L5qyWKs2V85QqRp0CdzbO&#10;Ye2x3R0VQSTL1/aoJ33Oz4KX1nnXObAEFCZe6WgxIkF0S6Qgrb2pUWm4Nbq9yXZJGOWXIM9t7uMJ&#10;oFH59gcsMQI0PMSxWmAIl2l4AXPHT8pjQIbOEhZO9J697RlnXjiHKcBqR7n2FGWJs2A+RilNjL/5&#10;UTOy/UEYRFW4jlvvFcjYPm9FpqXQ8ux3nuQncYhbRRf5iH4onXHw2eNISCKtNkhIycqMX7A1qoz9&#10;5qtkPfqHT6ZkqwPkkoed973rWdtvDtJlFKeu3me///a1xWbno+83p3jttydPJaIVP6RTGUNimeMq&#10;7Ymf/rg5g7wP9R7h2StTa7C0y7NvbCw2K3dvNU9xjixHnpo7QqkSmZIjRmNAZoXhwNxPyese3DO7&#10;D29yi6KXcHx5pj2yeHuHy8kIabSesgcO8TtkTshRugNGOE/9BGonwYpMoMPFmuW5XSf/xHkRWCeW&#10;oI/XhPAMR64cd3+v4NgsW8+f5BRnthcrHNZKM9ZkYtRbOhdhjPR97h9ytnvzHmt5p1ngXi39WCK0&#10;rb6XoYPNwUozK819W8dXbjv9rnZ32NYZslaPlx5HJtW84W3hewtb83CQFD8ZII5pM7EEGDFxohbY&#10;tkzxJ+rMti04n6yt9EzWyHEzy6Gzzn9Kk/qrwMsdQ3K/ToT1eANTMyHJKpbdyARSOxnEVAjMTRDW&#10;CmmbJfR+Kiwq/Z/SRM5zfV4FS163ri3MP9q5DX5zV+o69J5hc4Df7beZgB1KLxr+sZS0/V0FHM8D&#10;DXWDGUmvoy7LDbbZKANvnWqfz6CzfX+yv+19Pbtz5VAcls4DeiLlk9LHlrz96r99+14espRzp6Rk&#10;4NKYSNACSpqKpan9fYzqARs1wBAQMxI9CFmQNFrUlDZ0IqonW+PwBEF/cG+xuUf74FpGHluHNntB&#10;OpiIbEqAH9+jOhIaODWe8wR4r56lNVbH65YLpeLUU0U9dgudTTZFpFFUGlojrdjx0C6JZjoZC71r&#10;sxtpBfVAVd1a9jg7JwR8WdeVDEdnYJP+3LSayZBHyjlRrQ6Jvd0YKh2nDeqHPU7sA0EsuMz7Fnvh&#10;YBLnFNgn7NpqxFNj946CGamtqpJCa2iC/VCRqv7a3nQNgxvHfffYe2rdPmWKvDtCkaXIZ7hOha6N&#10;UKkD4uFblahr5D9/4NrEoy8Baz8i91Qpb99fQlfc+q0zF2fIdTPyNhFRWBmdxbSQ2j1ANLaFHAju&#10;2bTmB2eG+sq6bp6N9Pfa4kpz/db9Zo3Uo0pYcG22xns2OuK1gp9mQeg7VVTQVsa0S7Oa26rI3hvf&#10;YO/uPXwUQpaBHvn6QYZDLNQNG1J28sg5+IVzsGzhd0UNhRkx5S9mwd+PkGnaIGWeJWgjiz1kwzW2&#10;N3oYebBcEu6U+vCsq7MKpGs+gGlxBKdhwAyD68thSxkFY2L6b9A0PZmSHTMwtt95Idbczo8Q8/h3&#10;rpW5I+5TbqOUe2VWKlKo6KYrBVX5pc/x5HEc/T/3XuVpbZc1ZH+Gg4nh3kmLb0OpvbdNjBiAmxTy&#10;3J4ZEJStXTdP2admumle+8Z3kuqu6EyjYQamAGi7cmFYjtdxolSwr9Ij6hMvtMUaD6CkxhnpPY1T&#10;NgdodO7RvWbqzsPm6L27zSzp8AER8nZU+Bw8jpFnlF0dkexx4TW0YlV2KeVeopDINOUpXcsW5F0r&#10;lb3L+ukY+d6sYWs8lOuQnGkszABV9BanLQeT14ahUsNtmdbjRQsdrxsXsKYxQk8cAqoV86CrlMgO&#10;OaPCWV9k6Yx6u7Okg9ifrJSdZrDmAhodJLM4hSM3yn4M2K4a9hju0WFNsnyaSbKUm6xRDf4To5Z6&#10;NeWVTfyMVa6/wXov0H477ICoidlmjY6ZXkC+EwQ1rm9wPinHVu17IARZ6kadHzM6NeGyozRWsjTc&#10;8exYk7ZnotaV6wZlQ9mjsoTSAUS0a+VxdgYssfmPVteGRC2yq0PvVhI8iCdo5dmNFqzoTmaKJ2B1&#10;uyHDlqnuiPMnQHy9ebJJgNK72rx27lIz6Mh5SieukQpEsGGJkDpLaWmdiDhP3AN6PkDaYI06o11n&#10;yo4p7WKHjdLHMWMXB7PNILgeKfWK++O1+lo1Q6P0aueMmq0oi1r34q8tb5cT4c9Kb5QCT2Nzdr7u&#10;NlJZQWaeoZPNeluGF9qyqnHPOG+fw4/yT2W9LmtXSqcvKkPf6Y+yj9HzOWDqxNT0coEU4bvzl1ts&#10;10kApq/3PCmlWUN0zPtvvfMslRwlG4Hlw0A+j4zBzjZ1kjr6THlSCHlalmzTIooSZ6AjcYjbLChJ&#10;oKUdF2784vJ6c+/+0+burcfNXbgAjKZHUXBjSIa8BwtQ7i6QiZgiujMdrRD02oGhB0edXc/gwImO&#10;tmrRsuXCCdY0QxEQU61aTGCirSyR/44q6bYvAuW/M8gk9U1xEbLZ1apqRFQUZlAsG4wCcLAGRvIo&#10;BDk6EA5S6UW55j1G4xpLWiFXP3oHYimQtjgP6WBhUdP6hBEaIUXoxMqtlt64DLZZEY29+1BYi6Jd&#10;LYHq0s1mIYIFMZpIW0NFDzoyeoCZfVBhRcloqzBbBEZ+F6/biYmmcIlo0jppBBMQYXmetU6dIJWz&#10;VV03rRDqnKF/4tm3wjRiN43RD5/vvumcOVhLDMwwKORDjSNGa4sb3sZg7SjobRknjhh7MCej4zkn&#10;QxK9cwjU5Sl1tdmgbZTeOGWuEydBtz86bB4+dhx3UUD7qC6ZdWyNZqIBbtiW4b1dImxqk1YZlQdl&#10;OcqQ/9NpCNgj7coarLZPms8QMR1Qr+nO1Ak7Z098gQdZOTGy8ZONeogEOAvS9rofZeDNoAheRNYy&#10;4VbCSAu37KERnsbEdiyvYyuWg87IpGhvrHvHKSAbIhFTDyn3PbEJkrqQlq5UZbvXsY3ldKgM038e&#10;RVKSkFJZulrsBTdFD/kNwNNJ2gHNjo0CtpMLwTO2ZwmDLEowK0bKnGszGRtgP+ReWAVYrBMxceIS&#10;QYETc1HYkR1tQzmsO3z+ri3TpKQOBGGzHtt2rfCcAzz3UWZDHKWF8Sig3Jl7t5tZOCdmmbcwkugf&#10;WTIDE7S77y2sl3vz7ACr2tzHKKxyImLw/beyWiCWrLORWSfR9f46N3E+fFne4j6UA+7iV2eGby+j&#10;0H1cRb9lIB1aZPQoOZHnyqxXyJ4MfmOmKgirVuvWiffaKmQd+3g8ZUBD8KYM2QnGmg2yv/3W8s1E&#10;psbt45iN8MGjqqMrVPo+Z5LQ6kCeZxX5WIUtcOq1l5tNBpSN4ITuQd62dvUmY9+pnEm2JZFbSrca&#10;/NaQx4B1esfcomUNu7vK+ykQHdfBBpju7kqC1W5d+jVGJzKQp8+zPfvS6JY48mHtHiWyV5+Xho7h&#10;TEDleS6nMObfD2S9pSsZhwpdhuA+ZNQuMjN0k4D957wu2JMJztsEetZuvgIN+lmtPntWAq21L4Pe&#10;Xlldqz7IXdRX64+3z+/aWP4o4GlF+eUUlN0vbJwC1Rnbyta05fXWaY38Je3b3lu7Ul03WAK/fKa0&#10;95/DQnxOpouqv65bElQ3LS9JESu2+rpMSOspeB7qmTsnonv+4FsqHinHJ/qubrHkuJztzmms5ysn&#10;SNslo3WcCNe6LVf2f/zOz2ohcg5rITwwfQBZpudPNsdPAbaZJ3rCMKI2OeRy0qN08SRlPRNYKTbi&#10;kIyEzHC7RDzrpHYFzS3DN7DGJEaHZNnXPAdyf4ooyDbHOZSaA0JMMVuXCojSh+b6oU4VuyCCWGOh&#10;Mff4eICN1HQiXM0YJW8eQU/0UNFMrKAHQQMQw+9ze2gFV/KNojSi1hiLnk0XNNcZYQbGUA/tOrxe&#10;ps0d2vBUlJKT9PodLAUyq+PB3I2B27Q5Cghg0cU9uAFOawtlrFkIryELph6/e5HNa9NZ/qPtSvGW&#10;VWbWuQSruPF6t5p5wYIFFC0pSp5CgYkSqM19dkA84Lwv5Rybp0VF83tr5Dp25SmX5xzSkc7D9JNa&#10;wVDIIiQqFV8ekGvN/ZAKWyRzmCLZE5XSFlGmusfSzQjYh3UAgZsoCvhfMCbGOHafVJucdfd6DMaf&#10;i3CX/4LPtz86GQE2Tz6CbYBYdpdAKwQ7JQb3YBJODcpjlLl8oImUHZBGjTHfpiDDMxJsSI0wt55Z&#10;RGbVHZMJoY78lj1PA8EzdlwWUiTvgMKvuR2FiPbw+95y6ARzEoknoxOLE8fT8lcf62BkrsEREzMg&#10;NTbILHFEEpNpDdJcKTmN+4DxcJiWWTt/5lAiFXpAp8lsUBohlb0GGK5zDmvokU6nolYymHKG6de0&#10;uFWaMiLma+P1qOgdamSLIHwOgF3NQgyJ2mfvN6SGFzkeVlWZAb03RjfjEG8A+guWw1IHX9t0a8nl&#10;uReMh7rT9REsbRrWrA6gN7Iuu4aOOoA8z5EdaL7Xdpr5Bw/ADzxs5pndsUA5dIJy5hi1Z5Xjrg6V&#10;4V77LO3SPo8kI/Qe53J6Y6hzwM3ueR+W/TzfVRYsHVagtW6WimsjPiD9+jhGUaqex9agFixKiUSI&#10;42C4xpa7cIKNWpF8W1ANJCQBS4lLULgZkUSKsaWh09ZQO4Zc3Rp51wDraKikkxUUQGew4bh1nVp8&#10;NAjLdEYTbfq+eDRl1EIixnsKyGjVJaizTLMc4i+Tco9gaA/I8o5zTwJCR00IEuHb8FhdCUbnVdu3&#10;5b7VGq01MjNS+Cn1gr/NGgeAqc7JtKIKKnI/bRTtP+PIluNQoVu7Wfxbsr4YoW5TsmPdK1Igyfus&#10;vVf7dxf5Fn4hbfWslxwwjrGW9XLQNeBtsh6P0hmxISEUMjVkBixnoL2X6Ma637KO3mbr4Ggcn1n9&#10;FptWIlY6r26rjCtv6RO4GZnwrH3OKHdRVklq6dHUWl300qU1CLFMUX2uC2wgVzLaGoPcq69JJiX3&#10;qw0reY/TG2VeOifOWisbzz4/G1r3Xs5q/vfsq4O2ZT/9RXsZX92VTupxatHct26sQq3hswdoHfAc&#10;ssh/IAh89feDBK66Ya2gCtd5BQdE2GsP95tlDtAYm9bXuxAA4KHAGgGGZA32qbPa9mkpwz8PqQsK&#10;zJLKdhNcwQ7py2F2fhTylhlQ+vMMmRrDgfByljGsXZviyUNEeQuO4frS+4otMEILQxmLRHovgDHR&#10;7C1rYDkK3nt5hvFB/bxognIoko1LOo4dUXGIlAdCHiciglECJu+AszqMpgTUWaPqgKIRQlP4EnGl&#10;h9i2KYQMMJQocWt1Nb5WkioUjuleI0SdAdvvvH/v0rpehMm1rmi5276wh5nad2AOP+yTtEcj1tYf&#10;o/Rib7xWbVd3Hjqh8Wl22pacUHwIqvG+2i9fZ0bGSN9hU5/b9nxmHrN0aR2E3DT/x/cztHKIjVr2&#10;R55Hb7hfYJvAJRyqLZytlTgRggXLGVIQszfxnCuKLMdH4KgdKUZJKjNkhezNTrgYSjsL0hubxjFB&#10;SW44zIZ9m4FR0wMjvUFlEPxsHSPLaC3aHjVqktlxubusicN7JHLR+ShDUmC6Qkx7f+UUtaJYg57C&#10;o1CMktbsdSS6cohUyWZ1jN50gsKJgkJeJr26RW/9wAApaiJXki44WChlDLitaY8Bk64sUTbjSrv8&#10;fNVIkZq6RlySnDUcpSdPN5PRGMWpzUyapDQ7hdUqZH4u/4LP75oICpVGvObLQK8LOdEG3kgIhBhv&#10;/uAuTIoMuGv2Z6DQZm04Z6K6x6YoKU4B1hXMi+GnX7MZ3mKsNNkKp26iHQIyFANit0YNCiqFqPc4&#10;yLOafVvCzdigDW6G6PoUHuTRxd3mCOj4WdozJ+DvH7fd1VQrK70NniL6Uv7+pNBLCQpa8wwhTVFk&#10;lQmoqCeRkAY1/zBSrwMgS+Cz8561Kl2yGx0hmV2dKxH7Sd+biXK/rchZotHdTNBRqXWdWbk3sraW&#10;tsBxDMIvEYKgnGWVcWWgbAW3TObN7pKJtfQ2PkaWzfOvoeAZdnTEuNU+sqnRVJmYWpZjgiDKLhyB&#10;S8E+B0+gE1KOocKYlsN278NOmdZ51hy1O8XPh2ASXf34VrOAxhqRk0QZ5cJyfGzr/Oo0mtGy48vs&#10;QaL+RGzlSMlEbNlEPRl/TiVjekFDqLPna8u4tAF1Tm5H2PZMuTwzXZVhUNdVRsN9qs/Ne6x9tc5K&#10;nDmdm+gcjaUhh/tTz2kqDXReSs2ztrKn5kkmm5emI46/Dxps6dDq2Avm9547Q6rMxCaUY1bOQSnP&#10;Lh/SuTbP7Eb7QIJvzQy3piQ2xg/OOkQxltH1910AlrPId67gIuUldTPGfFQ5s3fVZeZXa/s8FWL2&#10;8nlmnv2dWUt1UslKeCBy31G/5ZjkeHRlonrbsyxHux6VWfYz6vx8fr86Ir/6WZX/u4C0ftLep05U&#10;KwPd2tXe1u/75yal2iwAT94oIIUn1lZsM2Bob/0JlLdQE8uPTx92DIFGUWNPdGsv8KFdGmQiJCAR&#10;wKWRt044SDliBoT+CE7IOIfF2efFk8Dh5KAMulEaZpdPIJv+iHwUdnI4fMgIWONkx0b7PB7sDFbh&#10;3/Y1W0OvXGX5ut0wmVrs595bdyjsBxZI1WM6FSGNZ6j8+lhmYTINFMH0MEa6a8MSheZgGNmj3Jne&#10;KT1paut2Tuh8uckOLcK62T3gVENTwAp3bU5tVQnmc0/Q/l/VkTTbKhMFRsBpB8ApV6deH0/RJ30m&#10;yH5oKWc/w9kcAr2Mju1XT/rX9fH3LNVmxtD6yiqTtCFJ3VscBtfDdYvHEsOadp+266FA0vye/bJ1&#10;VUxEDKtpbT4PqC2ZCNLcrbNTNc9WodSt1jXyd7t42hR1DkhN6hsAfJm0vLLYb5nJaIM2uExDxfBp&#10;lK1jt0IRGeDfTgqUFKsXelkdYVlARwjZjPIGKBX4meIDMtAqmob7ZY9Wwb8URqTY3CrF3bZhuVZm&#10;5nKI6xCmJZLX2xVguUDAnUZCJb26ghOxwd6DGdrm3sVJ6HGOL8KoSGS+sVz8H1uUGNYwpitQN28/&#10;Yn4IjvMw67qOwrStcNRymF6SmRwVZSsvncJyGS2rGCFn0JFZiaSgC4AqCZZdJmN0wygz0lEvPiIL&#10;gqyN03qoQzUBQ6ajvQcoL+YZZGxg2UdhpPTnfvvVs7kMvwQU3CvLUVoZFKZE8lrT8vJiDOG0zHG9&#10;s4SOp55sNkcWt5ppsilTdAbIL2AnzLYjj83s5LnMAJZDEt3u7iv77o0RsEc6UV0ZsdJnBZw0u1g6&#10;VCfVUmRFyUmtt47AHs6F5dAh9mUPi6vMx+i3zoMYD7ezyigi4nFuyFQ4UXbL84PemZRrxc4o8As6&#10;i8k4RRd0581nsG2d7giA5rtGFqGiFmRezKe74Md2ZJxEDgThmQ06xCEWNzDqJFGUXsTXbIsSFk9e&#10;B1cDo2FMgaf2IU6YmSGzoi4Hpxh1Nh0HwDWSU4KATkPGs+WtGm2NqEyrsii4FznsGhbfU5FD1fxj&#10;aWpN/S9g+fpddGkXteRe/L/Ka7T/aw+3v8iIxLwvOLAuRs21aiJtZxRDhZ8zpZy7v4WJsvS4hV1Z&#10;pYV1C1menJirSoekgbx+0I4+DaWOT5RSNpM1UzY746fz4n145ts17ZyAyElbBG89qM605360L222&#10;pbIc9TlVCitdXnvS6nWNdfZBh9gS7nPj3r1WcHmXCStFWA5OAqxnmR3Xu0qk1QaqmqrOuzgPWfHn&#10;WZPS33XnNQ69nKqU9tRpdZVak8/tX4Kv7H/nFLXP5Lp08tbZ1dYJiXhEBSorZj/ryfrFKQTdHyHK&#10;qa0UM6dliPrHIIdwn7ai/e2VLFDSbkTghzgYTjE8pHxBAZcHIAebCF2QlOQWmgSNoqnmmgo5yDVs&#10;ULRP2alpmjhTc2E0M+XMddO5YLSAE6GTLyGLPwsbX5QMyjtz5KvWnhYW+RAi6M+9sWxuhOP5hifN&#10;mS4NhBRqXwfQuIVhheTNlswPqHVL8Vy4DKOcVmhUQJ4GBG8QvoUR0oiTMJPJ3rCDA+W8hGIes9/e&#10;NkLS2aboMxSsFErJXkSmBLD1LjXGbnY6hmMIrLuWZ51xxrZY8PBGxJmg2QlxjH2tSyqvHgojJF4h&#10;TsGBQZKUVDKh3Vfr+hKbGO1lwep93kPuI5FWPImKDnmvqWzcQ0o07CXRalKCHmJ32JQrRl1U+qpt&#10;wDxTYiF9O42t1/ZAKOQJCFrvOz9oPesYB59bwXZwqv39GFsMazd6WUIhAasaW+enxKQnLdhGSEnX&#10;1oFcYXy42+dNjOCMaQzsp5aKOuRD/NzskH86QElla0zah6MxTFq+46e3S8lDnwyYjpFroQGo2lsZ&#10;Uq8fZcK1JB6bkN/BiN19Uq/vZtz1tc/upaY+BIOiJEA7tLjOvvhGs3b9FiROZCfgRdiT4Y6sjJMr&#10;vVdxJl3KUbBZpfWjvX167qPNPsgL0aZPzRBuInPKTbo9rOlWjJOfSRrm54wxfnuU8uIAzooER+mI&#10;0Yki82P7nCPRR+B0iJzC3LoHydQ+UzqTHUNnZDiRmAgyT6Os7eSTjWbu+t3mIvwhM/IsiJ+wLRY+&#10;Ao0rprRKWzxjn16pcpJnLNKsjigs7LE6B7FNVX8vDamSLPCxgOtSjPXzMPK1zl8Q5DxL10K3YTZT&#10;zoWuTMDrLe2ZhUhLr4aOe3JAksbKNscYOP63xBjzoQHI28Q/8G0rZO7Va2tk1BvWx3WQ1IH8cM12&#10;Q/fGbgRfxJnZlQkQJ0tBm8RxsOS2KzAbPboBYDfwP51ns4Mt0NsTXZN71Rs+PE9MeVW97GyKkEup&#10;yG1x9HcZ+qMD6Zh1zpMlRrJ7tutTF8CpL46Cwm3UwkXfBxpQkabnVMnyfkO9rHrQOMZoaPBaHRvL&#10;5CufZzk/b6DK0BVwu7IApfHq7FsiK9PmV7V2qk+Q72R6CwhtFtN93AZ7t8Y6Le4CZpa9UiPJuoPf&#10;zpctjiFtU5eoy9pMQJ4q9qAtHbS2wZ932K/6BFVrCgXP7qp0caZ6tM5Ne+9tCbhbP99bDsBz0Gre&#10;k2xKORG/FP37waryUh4+fZxH/yE1th5DlSwqVIxst05fskj8Kp/fHgkd2s87ERVM1lfuS46L9nPq&#10;Abvf1u8zryjX756hdZ7i+NVe5Jy1Z6+C9Pr8DAmz1QvWE6ucHu1seoQlB9sargj0GdKak4ky7d0m&#10;jCrEpx0Z+wAAgP9/a5wiWjVR6FJC61H38rv+tqe3h0hnWDbKFnw0ZgsY7V+TYXzEfYA10AyIY3+j&#10;IDiModnV2Kk+5GngsEslfbDDzaIYJUhRwgQ29Tv50tSV/jXRTqLRVrUk8I7AP4/644lm0XydCrkE&#10;ZFdnxPYyHRayE/th57Q0g9H2AObQWbLQOWYRue6AbGgYNVkL61DqWKlV+Ggil6S4gxeJFGRjU89u&#10;hTVy4sFKqorIj7UJKth1N4VunTDpdoeKx8Op3UlLTQlKFGzSkfxLAcvS2aGgBwrWACW5jMHo2Ao1&#10;akWLbSbFfamulnyin2NWQeX7bB27a0jnu08nBcYQ52uCfRrmYYYoR0mQEnwGn7eBIn3oVE+HiHmM&#10;dEo9AChFDYJKMkafNUj5oX0KtyrDf/j3GJ9j+5qR7iBls1Vfy5NbDrCsZaJbhakRKC/bU9WprFpf&#10;u1n8kcPKnFOisyrKvZ/MkRFncfMrC5RcJLRpUfA6K665hldAtvdnGjw05nGqalz33j4Azjh17aWz&#10;8OW7uyfie4bGRXQ/U5NZ403AipaRtphceUi//B5AoyMnTzUHS095FrNF7BsGOTEP4ZVYhgMNNk6a&#10;8uyaqYyVo7yKe5Voy3129sKz+iZ3roPkdE/LFdUTrvLmmZNBEoQG8JdSyYBr0hqRYHc0RjoHOrIO&#10;LcLZ0U6MGIEzcEyHsZtu2mF3ejiXU3hXU7ch17l+g2BjPxMal6S8xoAbUujWGt8UWLjN55iC7qIx&#10;swFmNxNqef6ROY0Lzknhf3RuSzfEOFpSFOviedL4ZbFLKSbYKE39TKG6/slgBGVZshZzmd45fi71&#10;dotlsCyRTDpqzVk9jlz3sxPh4fwEe6Ue8T/XK4FFnXOf54kBl3sQ5km5Zlq2SN/G+Xq0LwdFe+92&#10;qnFfZn/sRpHPw8+WSyehSyohXlNHXB0iIp+/6LTzp3uvTkpnCw5GgfDUCRpkkw8FQhX03QGxg3fI&#10;Y+dQxheoVvN6Ln+WBGwyRLW+rlei+fCutGvW6lHX9nNxWrvork8sXJ4jGYJEvl2nTOnEOBjeccof&#10;nHXL6Cx3L07nMN7BBkHsFnqgFwO7Q5C6jn7ZMEvu7hX9cclErtNplNr4zlw+6+Rrn7kyAbnr7oDW&#10;i+t28+XzOFxMm/Qs8xddXS/qni1Pl1uoNcrvzEKUdNTHtsFsutzMMLWvzOd2+tfP6BIcrZXuMs2x&#10;Ez5dums657q9B3/3rDTy/P67UvRBT3GcBDvkWrcZ8bA8u+Zx4LogufSpt1TUCd5UyUPpugpWu2SD&#10;gf+QwNvmpeB81L55tLRspP5CdgBq2BFahYbGmfw3wAx7a8Ig4CVfkUmbnFzISExNZWV8ID3CEJnY&#10;LkTTk8xWGmUR2LxkCrzAHMCYPZVDAIMxEaU48DjDCe7NauBQTlseMmrFw9tEbykZtEZT5SigzmsY&#10;nYAADz9FezA6QejqXBXdV/te3CaFxHSmQsLzyoommyZX5D4wQkZkKmE33tZT7lUAVwhLSEcOQD40&#10;QjbFiNlLagNlCsyshzgq5QzoBJeOqbRZ0uRZqnJoukPrADJfHL4Clb2dgJFxyz78G4PdnQxTfYmk&#10;WyEwv5SMgc+hQ8RhNftg+TAdBThYXiqRo3tkOt/7MLuTUJn/6VyIRzEbpCi1oM3CggAwZS82+Zwl&#10;Wv5WAcraNRAyLWu3fHZQ9Xym0wIFy8knEXKjNlDposn06LsW7gfXrgE6LgwZKUGzlLocmT5KWUeA&#10;JZ5aHNwh+/mdXsrPMqFRXoPAjF1nhdysSf0ZZc+aqcCdmbHmGGqjatoqzSQM8TxJx6Mpt43YdShd&#10;Y7MgOAmuT+GCJFVToRLb2WYmZqWbIqjzmmRE3b+X7qID/50sX529Ml6tgs6+4XRvr+NMPH3a7Hzy&#10;frO++KCZIFodBltg2S6OnoAuFlXCp/BecgHvORF4HtPnbRE1eeZS9ilD6Vy06VAvG+fTe23PuH9U&#10;FrJNdeoEP9OgJRA+m4GDHSTNOmvGnmz2OqaY9WevBCpaQvE+BBT22nJHy+YC7Xf6V5txbgvEaLak&#10;9Jz3V1cqJ7LlRfGeo6A9LHV23MPKUrCubUdU0t7J7mhsdC5Vd5Y2uu4BPz/5uNID/K86n2ofqg+/&#10;FH27a+3rdDjgbpCMKeJOIKScREA1bjqslRHQEUoN33tss1Bm3s3gWdrSsd3muQ2G7IgyQAnttxUF&#10;3h1+Bz5P8jrPmNdSJdldZGviNvdQJVhjEQ1UWRmXJ3iR+I7iRaRLdqhTORvud321hs4/ssats6MD&#10;pkOvTolX5iOra2s1xHn5Z5bNQOlz6fR280q+ottKR4eTozWUnzfIJWZlT/LxteSt8WlPTJtmf5Zl&#10;iqEUB0bZzcCRdR+n0+op9uUB6zUdEDXOvMLFK/X9gmNUvluZ+Lwn8zwe91ZaQ5jbag17e2OtDa/7&#10;a+8z0bZrEQeifUVurh6mnqzWrfsqXdDKWosTyKsj/3WjGuwo9VZrZK1rA9r16byI9u6TySgbEePe&#10;2mbPU6S8dfj+fzsRsk62d5tEV2W5oyv9M8FvdS2WPHfP5me3TlDEqRxNie9qBbqzWzgUv8CORNPk&#10;4VIT8x8C/JjENjSuEzGLkDl/XSJuD6I9wfYV23rj4pq600Xw4JjqLsWZlA6RfJDoAvkix22KJxvQ&#10;InP5uyAvueqlUT6QwCjpWA4jKe1t+Bf6oV492IboR0MXoeFBTHtZK9eRSP3JGnGln/3SkBiJdZFV&#10;RuC2xjsvEX3tQCsAn1sIaC/thkP2VNuuRq3aJITWXO+7WMSqnVD6ZoFTcp0nhcbnqNSkQU26r1NR&#10;beYjC99mHBIDu9ztodczz1S1HPhyQDpmtaRtu4yEWxzFVH9W/dAWPZUaz83PjYIysMfOEVPT/tka&#10;mDh4rXLKudCJUD6VKdP6Lgd3HkH310asvDdd6WYuLDjFU7HRBpIowH8rdkLoOCjcvDeZHvkIUrsL&#10;drdQ2vw8oENeE6rvnKNaq/bcoUTJdFFeGkLO8DObJYhUBFPNzMykTdIUtRkBSa5UwjqYyfyoUHy2&#10;fH59ReCTsqkW1yVAhXcfPU5J4hBK355dOnAgSwtzpXuXexEBLgU2B5R0tvuRvW4zJqGCtQxiWtvy&#10;1POz3yoUlSqXrAA4+9ORv+TvaXlT7RniVRnpAArnp++/1fRSBpviXoq22oyU91COtK18OfSW7XSO&#10;lPvuWaMQNUatkuTfKeklM+XpVzF66Eo9pCwXD4SaOs7Yhoh+2qxHbFf0flodkIhVJ1B2QjATOhHy&#10;nXjW/Ey7cHTgo99YFzle+laAv8mjYbdHAIclT/5XvCcxUSqLUqGtEivF6GHtosiICZ8r+Vz9LBT6&#10;/s3BSMmUlKOb5/P8tJ9civ85+M9N+rwxiU74vOLPwSwZUoIdLhSvpc0q2TnU77Ap8Vgum7LO9eKY&#10;68DncepZMhFZOfdzeE0yqWb+YrgVSDEMVaKM0bMry8tFYivbpqwlI+hr/Cxls3X3ymWJYs0TeMYl&#10;S0qUHf1tlFqfVaLZOpXtflf2pP2daxSZqDMZnWWg471mkXxtKypxFtyP+kFdonU2lPPInkuoRay/&#10;1y3VmWpvpVvmMvz+l1/W9bIGdSslJ8iPDtMaMrzIOx5SHhpiHxxqJWujLcGWfJKYyp5Xx8ozb6X7&#10;vPZj2wVpb6au0X19/u/5hGdG3Wu05+WXfl5X6R7bf/iWX/qcVqRrzWtBCt/S7c3zdfolxydZuHp9&#10;ZLoNYOoCte+dU/HLz9At9OcerFYm0tPda5XM2oAj992dOeXHW33ewhoOCX5YXDv17V/9qRkIt7tc&#10;1LoTAaitQNXql1OBoqCePgDXu995IYpc71jDoBCUAcQKO7dd46aQGQmozBQQDnucA/W50YoOSCuc&#10;LoqKWUVhpBfmQ+vf1sFRcLZiGW3qTBB+wisvYFPHohDSHWI99VlxjDGsGtlSHHEYknmobor83Y2M&#10;Qmu9MSNMlNUm00qXRfs/WIb8BtZC2RaHrd1iLOy/TxbDKFQQnXXgdp57GwEFS2DLaStNeUbTVrEq&#10;9dUBG71+JulFvqyzl+MWVdjWmBPBq3BMrXsYO3fZtUr6qco46euWO0HXwX/rtrG5KtqA0kxPp9xT&#10;wls1zzIW5Uy1Tp1Gv/JBFdtFgMrfDGUsH7rLs04SffaOkoEgDNgi5R8kO6+rrED1rWuAOqyBTk5F&#10;UFLxlmKJO98erC7i8kZ2aLvclBmTPHI/7ZHLq2D9Ma5OibNGvUot/jhjd21526b7YhPK6F4idz/M&#10;DEymUHrvpmCzpmZnTNe5sgPNfboEtBEn5meafQzjCD28AunUnjqNZkiGdQpxdvdxQCy3DVlua/dH&#10;+bLcsQYSfkfq2c+pjU7xVGSRu2jPUxnj/DzapkiE0rPPmg9CknUIyNI5Fr3gLDQurr+99AF5sqDV&#10;+NdGlO5tDmvtjU/fJpJKxkqK8nf/5iWLQKZeHUeoNTqHlBz2wIJ4ljslWyx0vFy58RNsN4am3K91&#10;QJXrtGYOsiZOHawLlgPp7JEeOCT2N+iKMQuiHKkA06r2Occ0d1jGrXSFVbpytuJUtM5t2hzjdJnB&#10;iMrmv8JNFK5B6RSX0j5/DH8ZawF2yvfn9yLr1Z5FSwZ5nZ+oI95+fpyDFHaVoTYLqH5yOVICVL/p&#10;nHZRoTgHr8nttCywAtHd74OMe2anJVLyP+8z581gq5w+5dJOF5/OfY9eaDEdcRh8T1uPjgtotiMf&#10;75qb2eXMtVFm1jI6vO4nB6yVuRieTg3lH+1q1kvKYPmZrW7p9jWflb0p8PKzzGkUSeu8tpdqhaHV&#10;MvWvxNTlzdRHtk5i9+9nLZf+PGta/2V7cVAFpa/w0A84iw8pmx/vpePFteUFDraKz6L2yQaUbnt2&#10;rc6GdT8QDN/ey+df568/l6SotXFPtV+xFf6+jQrac9c9cuf8ZTnqCZ9dv3tsr+k5rOxP3ePnliSv&#10;/6VMRLdRbUqzM+CVzShgt+Jqtjmnor14lwF5vtrP/1b7WP8uQrtOx5eurNNVMl1/93Mrx+b/EpTw&#10;l+qSqmcsFZfFKSeWLzvT6yoi8f1PoymVJjS1jkCVvjYETxgSR8z2U6eqBxQwKNOdF1YYWpUWR0Lk&#10;syhZUlMtWjkbH6+db1PqHLbciJGwFMo4ELvOjsdpkId/GyVrS521PsdmDzoATGa7tBhi1FUqtmRy&#10;K5LVxHmJYeD5kz0o41/zEPz3L3tPGv6+TZ4TIFjvGMrdzlEAbQfO8GCkcY9pim5pEzlVSt1JnWkX&#10;M5rgWjWyvD3ApgE7mfqccHfKO4erVaLxNuskV4TRymF1l7RoYtbHSwf95O85XKZKjdSqvlvdI7X0&#10;ZSySHVGZKsQt8rkTkJikfF5FUiXEbbQRwXGR/EBUF8/lZ5kGHs49V+YnI8mRjeA5VGi83zsJGrxL&#10;vxo5G7HxO8scYWJrIxgFsjIk5XRUrc0xtxg2DFHP4XR1YwDKM+rfxoF0GNoydf9RMkRri6vNNjMs&#10;ZIyu9D0Xb9OjPtkz1LcS2kUAOIOWYqzt20ZJ8jmdK0Pso2Nxfc6QQbX702UcHBIWz9eslaPUBQu2&#10;DuKzNF/uvxTbf1eVJHWcDSrZyxnjn328eIj16ZcuQiWXd7I7GuXsSUXbFWm1761zHYl0Cyur5Q+f&#10;33fFMBXphQtfWeIdcfhbJ6LrXhry90bDOvqWcArW2zo+fIbc/GQjveIw6aEJHG0dRvcsLJiujUaI&#10;rNHu6jJ4AYC87I+shzW4y+c2O9I6PZ18xjFqQYFdBJ01jBKKo9D+1R/kq3PaSikq//XzrAX7o+Ps&#10;l85zt0at7oycJZjImunUlFHJOuj0Ko+J0CoYiotRbSH5rghMGTfLUUrVdHpcQh291tlL90cyRpZH&#10;S/4ruheYG6L6Z2e0c8CLNbCyD6GgiaMhcFC2ysJFeeYjl3l/ZZt0LJ5nYPh5a3hiLONn1Xok0xN5&#10;aH/ms/gZEch6TaRNPdteJToq7+mck9Zou2bte/JH1rxb5dqP/3++num89rZrhfyqTgt1hgRTa6zJ&#10;Y2RK0jpUToJYbcZaykF1TylFuv/ltjy7/Oed/O75a/l++X5/KRho16jT0WVAS95yd88+3pPilX/5&#10;is+fvTXIiT/bzFhktnR5dwf/3XuJSVXkul1RbtuzULL33BnOi9rXd4Dqusfatxy9dk0LbG+5vr3D&#10;Z/vaOSQlNG6nMtsFw1W6Kpn001ofP1ri2X/tmlC2rruJoPl3H0TlYDZCY1XxaYS3TyUcchdyzrZ1&#10;ZkCQhquryxagB3cyG5C2ZMseRl+d6xRlVhGSh26PqGhXB0JjoaKOsnZSXHnq/ikivrow6jpRS143&#10;EadpdO/T+ytvv3qYzUaUA1GYiOebni4EBHGAuSFjN+42fU8es8kcducL2AoFyt7R2WGQc2Hb0kmv&#10;ICupEt1cD3MyoFVKeVYucEu6U58IpO4139ldf1kRVa11AVr8CugpqYxOaDvJbQU6b/3cz/KZpWwE&#10;MFZtTu9ZRVnrXJ0WdUjjMLqGOVCtUHUKM/f83LER7KdyisAkgjL1XyCwOBT2tLcKQAciXqnRbD3U&#10;s+t0h6sUUKuY8us6GHUeyDDwt1XaIicwTuO2c3kt7sHZVgNcdAQcyiGD22YB80wtTFXZTGWNgbcl&#10;TQ9dvnodmQzAQemozHe5ziTpUCPDQ+ai2GJ42M8AKjEGfG6wGN5P+rQ9uMXst8fIbFuNPfgpk4kD&#10;iRB1ILRWsyQy4wO6oKVOc7vfpRTseU90zZyClIAcvWwtUIBdUvrPMyjWy1PLVG61xZ/LRHVqO86i&#10;+9IKWolFORV1LorauyKqArTlDLTfOmlDRt+eKwfahR6xvlKwbKMRnWWKH8lAjHKfW7Jotun8dBhy&#10;Nicds27btLNO7GYyeIjxMiWsEtYZ9dnr/lT4gqkzrjlyVWfkuRErjWM8VNa+jPkzGe50TRykOkM5&#10;VlmyOmOxqa18uzZ2X7XHKh+Tn5lla+XPI1I4Cu/HF/ADdEQceNZJPotOrHUcOnRF2lPb45VgSJ3A&#10;+3U2WhhCTki/ihx9mijejxITxl3sCnhMRsRP1Jkg0o6R96WVoYjDqEFxc1rjYQCVOravzUGuslzk&#10;rotofX9kp4xP1E2rB57LUZVximCwdE4XC5ZZ6Bbxl02mn9o5G91tPROg/K69Xnu/+V23hVnmMrQp&#10;cT+3eHEiNp1pw++c2vJ4ez1cMJP8H/FdykkDeZCyBbEQfJZgcp257nKdLvYRumj58/fX/b1bKv9d&#10;+vlzX8prrV798NkvlRH35VkjZOto1Pu76L37bJ+xK+N07lJ9XrsLWY9ypTrnrbuLOss8VyvQncr+&#10;/G12erVu8ZeeoEDY7bq4sc9sVPRvmz1uny3iH1tUOjzxYHdYWvmJdfF+OnvS2qIKcVsFn2XLxVrj&#10;5we2HRBVsndULw5CS9/7LBESRZHWgdZY1wZraAKYMmtAWSEgqFaaQ/qCklaJJQuB87AFOdWWmQjK&#10;GXm/iHyjf4GNvl/vXEPrQ/l3XiMxVCTUygoPFU6GHFqe4fPlDDMgWRxriTpFpkcpX9A+NLhErd1W&#10;Ra8h2FMmNcGOIW4qdr5kNgRWek+uTxSPYESFKmopUZf38ix13Aln1tdflaCkDt9tTP4epozUk02B&#10;dXMdOiXZJcI645FoTMXSCX7noHkJ07BRDApFKbxuj3N3bnd7PJ6xvClA0fsqoTxBRCLtax7zVnDq&#10;MVuDqQKI9a2acSJOtzuS3h6X/Kyu1rUnVtbK11dnh+KXEeN8VuZj8N4JBlQlJpEkB06Dqf6ZpDqW&#10;V+81LywsNOdwMlQm4hw0jGasjCgFU/p3HYiMXrcbgizWJpmubfbR9rDMcuBZR1Dgw3YxYNADLMNx&#10;tLTWgfHyHCpXvilg6cnkubpBYXV4K1LJGW8VcZeGfB61efB8TCP/ypztidzTwPOzUDzrT3BPyoWD&#10;khKxmPnKAa+s0S8pmM5haLVJlE3rVPi6kCu1IMxyKCor8Yw8xwhJTgTKFL3O0Qiw1CyEoSBrGGes&#10;7tEvu2HkVegyTa5XDTAqR24JfMd4Sht8juWZRNCdvNefZYUjCDGOncGOCChfzzIVcQPKkLfnqRXK&#10;vL01Ha1SV17bz81HZ6F+SZV2ejAP0v5O6UyZolWZ+V0cnrrN3F66dSp/0Z3rkmvltxwdPzBdTblu&#10;mwVqL5LX5XxoUEuntum/thTZ/jNnq0jZVGWVyywjHP3J/+xuapMvtSwtSM5rlDP9/Jm79SyF/0xA&#10;ag9yNp9tQ3v2qqulft6ZoXptZXBbZ6070+0HdD9tr9B9dP7p757hC7PVrNszFditSbuanWjw4zS4&#10;mdVFx2+QIVvHOV2QAVgnMCXTCmzEC2VuT0lgVizUAz5BZ3hruyunV0e1lZ/ujp9pqWeL0hn5isY/&#10;t1hZmedphDrbpVc74//sU9uzWI/VOQfPr9n9rZaj3p8lbfewM/Qlj/X+ykS0cvm5j8o7tQHBb3TB&#10;dbvBzy6k0FdwmGxb+2ttYIbt5XXqmHpdnObWg4jOyf51Oqi1obl53ag6BVrNGK5ndi43XemNSnHW&#10;hQIOMTORCKfARYWHEGgmsrraiZIZ4B161pn4hhCK2LevOWyLpe5CUiTm4UAnAvDlNlHmlkBKFZgY&#10;hKRTUXB0JgxMUlqhN91MgE5FKJ0j3HWg6IyL4TwwNW2Nv92RgCtzvxr/WgBr9TadxRFKW1mbiuYE&#10;l2erE4D6dnSw5RIk264O/27bqtFZqIVj8Fg7OyFM3/L8RrVpgUuGpN2TZxLsLlafu46It9jxsncq&#10;IKkiswcWEaJcfH1JfwQlHrCbV+nHTiD808jHEd0F5KrOExeoi/Dc4KRyS3ZjLHTwrCOnvbF99qR8&#10;3Xnfa0tX9qw+J5+lctEQtHCm/LveXYc1Ql0HNx67yjDKu4xmMAzcp3bU53E4Vy/O3DBO3CiI9ts3&#10;HzYj4F8GyWEOkYaQOdI1WX/ytBmiveIMYMsJ6a65ptM407Xg+F+PggbdzBXPtoUS0hmVOGgbR2Ib&#10;Ze/f97iWzHfOdRCkJT9QttsSmFD51tHrorCU6TplnEP3POJpzzAvDYTpl5Tl83SUCq6os+0d9LHL&#10;/XWtakBa1tVsQbwRCdhao9quZ9YqJbXOULUKuDVmeZmy2L6+9IdC02rPqKHavxhaS0dgInYBLQ9A&#10;ztXPAcrzu4ZikcQnWeZo9ahAQAHFdoeEWwPiKrNEU+OQVq2tODs9+I10KZG5UI6Vxd0Q/9Tndk5Q&#10;iM7yzBqWFsvib1s503H1HBfRTi180S0XxqDIhsxslBqP0W2bE5K4Ufxb5djefpRlZWp8X0WSWSHO&#10;1DMNx+eWwXG3zCp403VmzcJFeyTbAOcCz+UT2wup0yd1tHua+/O9ZsPY61Cr8xGJlHO3Rdxm14bX&#10;trTWZYq8H7vEUp7xPpJYqJPXdV/oZGft2rPzLOLP+ep8vtIXncmsDEv7ghKM7MYzmY4zW4ai1qRI&#10;uEp8av27dcw725+lnNkZoRif9rXt3paeMEPa7Z36lX/HFlf2tnRGZWW8esFKoFhnXZ7uLUcPTZK9&#10;66clugZw2dzJ2mJ3tiJf6AHItAychLR83vlMRigOYPt8ibLrGrl2jlqtr4tRXRzPH9YWTxem0115&#10;Z15Sr7Xtv85wt6b1SQGntw5IuQC1Zh3Owh9EPusGS1cGP1RYmRj87nz4eblXDXuRaMXx7XRyLtXd&#10;d7v+7WZ57jxHeb0y35VWfU/uu7XT7brkXuPsKXttpSD30T5X/DexOO61/oI3b85IYGVWqfVz46k8&#10;j1wLqZyQtmqqThk0LScxhsauzTJUrNkqUi/ceuWyjxW/vL/TnWwrk2YLxTig3PcoY2xSVkj2QUHG&#10;cAje6nPQk4OvcCL6+HYWhca3Uh11z53BLv6B2tBusJYKt6IxoyytRCn/so5FptJP/qzreojO8P9a&#10;Zka94R45LVQEZjSMRLtyAxdSMalURfXrYPhlC5cMlWYsnpUmsmklyDuA01zhYVLz2xjKXsCK/x/2&#10;/vPd0jQ778OeqpNj5djV1TlM9/TkPBwQAxAEIJIgJYq0yIuybEv+4P/C/mD7iyzbknzZl2zJlkgF&#10;SzINggBFMQAEJueenumezt1V1V05nao6+Zwq37/7Xs/eb1X3DEGI9uUP2D1nzqm93/2+T1jPWvfK&#10;c8q/p400gMkR2fiVNW9XMMSXyroIkVOZkHXcTuENNz/bUvqia11Qi4E3qa8goUvPj22lEZrkMC1D&#10;rxobwYL22eoekxSgoUupQBsR9472JmiwThjNmhjLzj0V21FAoc+GZxk3DlothOfgWPOpohFfEeoz&#10;hi7TOFdPYLGyKyiUaQ3ILhCE+t12ROBwS8L9zFvvqSaFBJnGQLfBGXHio1r/Z4+pxTGuMgJ6KS1s&#10;4Y+JkwNG9UMOMe4J0lpTjphskZQ3J5uIDqOUNRZDI0jW2SQaC5/DvAGdnn+EfQRzwWgTyNgEztBT&#10;1yBCDndYTMwcrgJcA3AeDSOQLvdM4TBevT216Q8w4fVkwbk/VrC8b4BWgpCvRtB5lL6vl1X/B0OO&#10;ZatcecykAAfjtSAFrAtIACYImKUHBoKBM0kM0g4VaauQiMsK2yKZYzY7pxRnrb+vXVWNUnqIADT0&#10;DFirWZCZXoGl+l4AE68IrKxTXuGFJcjKRuAZ2ULB97i2vldzDT32e2Y9YjWLq6x/xnWxcbEO5spe&#10;R+4PAzcAzaMKWASAc+dy/pkuPALXPcFqFmsLtN9dJX30Zsi2LmUPR8/S36wiSTdmNawZkKHuEaA/&#10;no+5spWSaITsavhxrdpg/epwjlYkWmz3cRdPr087u69/ZnVD0EWjAOoCf35U36XQrvns4D1/2jej&#10;/+Yt/80ZDyqJRp2zlSDV3LnkqfcBgbmuN+5QDEznek6dPff4zENVlHXnvomzSicdq6te76wXzxlr&#10;3FmzPv5OS33mnZ4Gg66J8AmUMUqlHE0xADAnuS/o4E8EfInTYJQSzraO5zvGpv6sDmsJb4/GjCdA&#10;InbgXNcTF7oSY7pysGWAmi+zK398RnptB661dZzn1lqEJvWKbjpYI64g+6pokfUsUOT8MjMa6Jpt&#10;zXOVcFGHye9DHWPNoc8pHIoYA3Ntb1IPALSm5oMeTSlYj0EVsChTnpus2AKgwVUFODoFkuvco/vv&#10;ARR0XbdCGDhQHU8Cloh5J1V7k6Jxm5HyfzWpBCTG3WBq8/UZexhygkz8pwep/8dM5k3knxxWfZ+a&#10;ARRkMnVj+dD7AlBGdzCT+Ar8t90iivY3o+N25Js7zRG/d8qJcxvXVKisE/oQkCbK+PYS7U7AngAF&#10;jWRA3HsWlBWDcNdAN27etOluhhK5yttPSWuBlVtKg1SDqkmKPhEhLibPuLG0KK0hVokkm3mtvK7k&#10;TzJz3XuaLpJkQMj6A2hbl797YxXhkb0FcEwJ4ExKUOyZUH2Qnq+v9XQZbFIVg+st8KgYkvz9CN6y&#10;xI6YhX3cUBjBZ/iYWTeDzfg6sbSggT+kSqAHD823W0rxXNGYiMM5tLTYHlM64mGsQPoCwj7kQE0S&#10;qrIRc0AlzuyRoJYD/CakpVhD0d5ZWcX6ZS1f20rnVegVYkAbY4+hG/3tt4sB+EjU2egpdYbLnWlx&#10;cPGNmw65Xe7Zyxh37pqDWha+LgNy4sbsuLTCOkD5Fd4e4GGubC4Tpl+0HetjNDq/8PcX3XkePuxo&#10;ZXwhTIYxE8g8JRqY3k2gLEByQ9aJDiBG2plvQY2DlEAmVTfCgEnpPnJB4qf3sWD/oWFHxUdw9DWM&#10;Vtz55JBxczTHzK8rV5nMv5xXt1yMntrlSr99AQuvq+Oc2MPQaBhzsstSSyVxJ9tYTHBFRBTeN9Ds&#10;LFuRPbeA7HwHS56PQPZxADkLdtW9wqRCAF7XzlfzqAeD84YDiIUj/M8gf/AhT+wWBSNvXtmmEf/v&#10;0fuj64Y3r/Pg/Tc/HUKKD+5XlIXUbslK5Qz6b84ilFTCipTtdV2OQ5v1plR4nhNei1UZZQCLI/cz&#10;rCqBR/is94i1NU8PiO173tffR9v7wSf56Utdi5D3bQ6KsO3r4Ws95g9/3bdeWVAru97CsMB6Vj3X&#10;tBEZ0Qc6zpzI1odCytpbY8+gSv7V5madBuPqFihfF7lnYKHfDmI1wDEHN41391fsHRloLxPQq5X6&#10;bfMkH3a/VAAwDIb/t7Apoc+HMUXrSscE6DObVIPee82FgAmBA9cyj4mkuxP6gmFBcI0AcfTkkCfX&#10;mXRAF7uACBH6NOTC9OfYA2mUBg/8FhKlRwHMS8+I0MkYKn9mxMD9nseZWAxPDDooiiWADj+mYzL8&#10;k7bipA8CPPDzB5UzUA57Uu4S2xFGHiQZU72zEthivx/XgFtw2xzbETGf6T4VT8HYbDpHDNf8QXiU&#10;PKawzYaupT8HRY4wzTOJNawVoG6Nd0NpqDti3FCe/a5YLMAOGguZDCM/PeNFy3ZmjWp9sAhYS9Tj&#10;hC6cBhIIZtYSCwprJts5II00K57lktUmvhz2PQIcy/v3G9xQndCWBs1r4eAh1/jYuKWKfBqxBS1z&#10;M+PTD8xAc6EzH64tgh+drqTvo9n1w0pkOk3byAg4pgJRs+qjsSCLyAKgTcSzo4JUdFmdqsC8XUou&#10;CiSkxknqFxBMiUsMy8weBWrtcWturTUxOcAcmsZRXlhAAoAxSTCt/CowMIItWSOjbPYPhl/cp5sl&#10;u5DzuffQNQ+XAWeizImzUkyCi8OHfDCj63FPvszasicVdQ+9+Tre80n13nf3mO9BYGcxosTqREN3&#10;fKYHwxwodV01PArgpx4GIVDRThkjtEJHSvqgOBNG+0k2TPqiFJfXM4mJoPjUXgq+mcYLEOpvQOOu&#10;AqE9Rc2lMzJvh8cbYcd0KgsybjUL7boolz7wGn9m+mHMfsZYIHqFPed81RApy5kH+3thwllOnhlu&#10;xwxwNQQsdsvDeAhpMhaGC/vm3vw4Rdu8J2OJtpcz4901oMwzeLYbonmeWRsrIc68GIkuDz/0EAWF&#10;y23NSeBVXetbhOAeXKm6v5enPh8CjF54qn8tMSiRADUNr1H6b0D2cSel6NQDD6vv8UFKgEdu1O5k&#10;LVgzwFNfVvbbqzOOH+F73SdvoVznAYVJ4c9tXcX/oNkZK2I8A/p18rIBXOrgcGapzcH6l0XHltfu&#10;IunjKjdAkXToqARzn0+9V+qG/hWQ3N1BpqMsWUhrtDA5o95fr50JLu/57axMt0SOGinamqHra+08&#10;f4iyKwZsBfzRd869fEmkfvHj0RcyLo+vBskz2QO/P45/6NZLW8RYQ66Ajgfnqo85Q2JtM92Mpc5i&#10;0T1PdEyE74IG5kOWAMaRpgODM1Dwtuv+CPBOZFlMM02bm2rt3BeVh+fQYjbGirGH+AE9K7Xx+VFZ&#10;WBClrt7BVWG/tBggIMKl3PId/y0hFPABww4DSo2FzM4HtphoBlJjYdiABgQa3RaxfFDMingMb3hS&#10;ReUHcMc7MzhbVxD6IaKAlbhGQsZZSO8tTLwOTviZNDbcD9Syt5BMl0u6hzJumoe5jbKZfpnAEaik&#10;WSHcuAMHmMp5tvkIUMj1gElpi4qhHBox7WmVA6c8MMLePT/YcCotsoemo1hreM4sPRvU7tnNapiH&#10;BALBrN553B9qlIRbiaJPBNoB1uKu4lf84Y7jYC/n1c79+DHFr6iCoawFoOgdXXP05Im2puyHO6rp&#10;4EI7ZR2CHS4pjkH277Zy+YqyXubbgeNH2rXLV9uWmk8RqzK3vORiZpQbt+9YAh9LyvziAddxcD8I&#10;zWmTRlZ0TNSc12mxDcMW9ew4HXleZYLJEsAqouqWgEMLuxwWRrpVQq6L8i2CMIXFZr298SHiKkkP&#10;CVJaobEIBpOT3Vm1LtA961PMhZocvVx6rkaDDfOwe6usHryXQNBE1FPIyZY4iuiMLGph6FAaVgGn&#10;aXEmqSIp986OrFEAsimqpmr/CEbGzB63ijIvFtQoD+DIGcM1QcEk3EJae67bEv1Qi4Q93RYw2KJ/&#10;iFaSYNRdamU4e2l0ikzD69pvYkp4zVEzROMjgPWWYlX2CnBgmnfmSWdGvkFokJsZdpihMq+AJfMb&#10;GN3wYTm2UVoMgMaCINyY23GeIcZyY9ZQwwvyDB7bfc9WyH2m67lm3AixWMxS/XDM9KNE1E05X/qH&#10;FSr9dn0ba7rsXwQRLzc/MzdO0yo2H1cFLb8d01BuRWKXuJezKTzvsh/xdwq9eG2hhe4MykrmNVwr&#10;v29+lXl73T4g9XmvpMAD9zCoqntHCsTdwO8Uusv63/eqdXng3RJspTShw8FLoVuWxGuNUsUyYNGO&#10;vIGGIyC5W3R7KpXKgaqzqv4ulDYiDsVWr9hr/F+kuOmNeh3rOnsLilFQDTlvpq1H+sz9xzyfgu76&#10;3E+p/eceXTDmziiKkWOGPMiVfKGemZWw9ciu8uL9FqjeHcsUk6nJKeP0y2PW58nK99vG6dm0+n5+&#10;9+JeI3eG72R0oc9JDOjkmfGPiNWWzPHO9GPlNYa/WeHIs+2W02/Li1qP/pnP5IiO6gn6N+MpD2f2&#10;z0jatN8xNkPhYd3qYBjgxfShN0qG0PG+a2UJEjNVBHUPQUSX6g4RshCK6VkqUg4dTErvUyhpE6aG&#10;75rARwdAqgIlZnkOpbROGB2WBzNyrAj00MB8z1BtHCgE3X3MmBvNXCBaqEazILIcqwN9FcjOQMAY&#10;dRA3QdqmGDmaci2eA3KIjQBEWFDFRJuZxrpBSeR0eizS5nb6bFoCl1Q4Kuu5iqUJGz+8MlD0w4Gg&#10;p4hNzqIGB0kidDlwXCpBStGewAnaT9M0WhhHRZKon5HGSkmh3VIeNYuLtcTWh6oL4SJTTvnkqlTZ&#10;20IAuHy3qknLVUEtemIwCNoj/5/vz2AJWqAhU8zhlLveq+wFgM/WlKQt60Na5LLqB2AZAphBG3p/&#10;Znm/S2NjpTIhC/hw/Y6E0syxQwIPM+3a9ZttW9alORWOaiqfvX1v1W6aA6cfbRuqA3Hn0gUXFwNM&#10;Ti/va4effNpNnzbVTnpabax3VXYZa8eWGqBNHTnadtToCU144djDbV5A5cY7rwtpyP0j68X04v52&#10;5+pF+euV7aNRTh445FLn69evm9EgQFwmnE5dXVu3JYPAv2iqM+o6S+AmJYZZn2kJT2J1fMDqJ0xd&#10;96HWiYuOdcbCbQEQqfxo65p5idZVQnxNcUAA61l1zKTtNEqnA3h9yMP02dd1xdGYsThriLbkKsAl&#10;Ooq1g54i0IKsBwhwvYfAuqf3OAMAhXt0NJWVSZvbJpeWXBmWct/Taq61V9YegNnqqmIatE9ui05z&#10;OhhdATCGM6/xw+x2qBQo+qM76JT64ABoqJ1BP5No/ww0XOo+ZhY26lcYerFXKycfEEe+h+/QhdiA&#10;0Y1M530PeKa5dj2ff/T3LAUiOeyi5L41xtH9/V5p5g8Mpd8248moHWfCX/A9j50CWzQSpIAZ9U2A&#10;tcRMRPmaUwxZhF4qWsI+eixNrA+Aqb42GV9YfSRFhhTFYGRlKFCbT+q7/NGRxmC9/3l/uu6E9y5P&#10;yrr08XwAQgxuF8HZLU0d3MTKBf0EDHFBPyMR5RHko4quYdG6joVJbNdttU/nzB5EMSDbjngj1qnT&#10;le9ZSiV80FlZMcfbBufzXDRRa+Rx1uhzYvPqZFtEV2eNbxdg0e9YjcavgNO4xkek1+/ZeX6RpYeB&#10;/KrFAmpa4WOz0Jf4Xt9b0zvPqmuG4AJR63vWvfqAPoRmRyOFj9Q6uAU5Mo5zjNIKz0JM2mqTV4+9&#10;rG2r9anJ65cB0mBh+xq63trINlcHN7C7BKndamXasUBFaETgFSAMQ/Ud++KX5QLNHROqg9iSWWFh&#10;B2CwZSGHzdoLJnniLeyK0BuYnq3l61kQpC7aVdth12ygORDEz+d5ZDbJ5ucwnxFqgrioM981U8AQ&#10;zNreDo3T6X1YPAQk2FRXqIuLxdogz+M/NsHP8sOMsncl8CYUfwAYYfoUw8L023mXN0YAAq3WmhXg&#10;SPPZJcpYzIUjtU3bdNaCtXW2CDgt6Jl1cb0DCU4iwHE7oIVbM1RQ5a60zIk5XCeY5zsq1fftRon2&#10;5xK7CMxKyWOjiL5nvAgtwhOmtQYbGuMmYEdpfwYR+g77A5BAA0Vrz55AiNElHUjow6T7yPLizB2s&#10;iXrygoT2pIDDZVWLnNy/Tx0jF9qed+ek9qvvwvJy3FKi2sVDh9q+R063GdZN1pXbZ953LMb+Jx9v&#10;S48/3NYvXpR1Q4WmHnnazaM2z6muh3phLDz2VLujpk9rAlYH9dnepeW2+v4ZCcH1Nn3giN57vN2Q&#10;pWNdsSPbk/PtoSefs3XjnR/9oG3fVHt7re3yocNqjKWsIAEVoQlrMohxLDwzDtwUXchCZdO0C65F&#10;+4HeHOQLKYz8vPDBgEbIJBVUAaLSRAma1Xu9iyKBs3sEJGJ5w5MbQOaYI54mOnSxIs6GfrA4dO2A&#10;M+LoaTRVCqlVnFBFPIUp6gZoOa7DwHcZh4Ih7+n+gFRja/aeM6m9c8ElXGQumBQW586zUcMMolxa&#10;3nsruhDoua60TlaG+hGA9BGD5y8ErS0JjGUkCXPezJThSLHSjTHEWHAaQBVIMFs1Y46GzFX0rHGD&#10;MQvyLv84rwjkWPeGWjbCPEGmbAILFIHcoc4DfNifl0zNXluByrOIU3LdC1iU75DfzAwwRQ8NXLLO&#10;QtF7rBGPHQmO8RDul0zF7Yu8aqb9FIfJdxHDAP0fY8pH4/HWv+//1dl97jJ8eR2Kp/nTDwN1D96z&#10;BKRVCGjCwjRr7icZGMhSRkl1AGm9b95vcohePeKlHSTqPnQu3yBDiBLq2jB3KLV1oDP6+u015Xwg&#10;ECOhoC/ispADmeUHdtZ70q0fluu10X7fdJHJdQtPluP+uyX7J1ac/n8+d/zTfLjWIz5G36tWJlaG&#10;up95aM3D6dcABOsPcXOOYjaQCbbGdCFe4Mdit85NH8tgq3lSH9cIKOg9ZEgAbVzMsUb0e0a+1TaO&#10;5hc3JteNkWqnFVT/EeHYYKK7EQSY3HGELVaAMBWzEPNQKIeZFWF7XcYIOkeKHcENkfu7uqSYpn3t&#10;utYuDX1vFyBQ18D8DCKYAwIVQc19+ZEP33625ONlcwA6MCuqCHYmA0OUUO3mLGtUtL8OhYTgjcgy&#10;pilpY1NisNvEQyBcARxkKlTVTUzaPry1+fBYHwquKUZLJgOuGYTzXZmHjfYAAjhdLRB6P4tMjcJa&#10;k+oV4aGVRoP5cldZFV4zm0qTN+2qbHrWpqo5munrS9tOWxRWZzAIhbJAoAl3szpaaTyr2Ru3Ffa6&#10;IewQXuythArEyZLrgXTrxO+dVFoYQAQbmSHKBWxzintYkwAB+G3h5lLLaFdxBByylxR9QvPVuJcW&#10;l9viscNtQxrrNsxEBZ/mZB0gFoYKn7uUMUfTFhC7Sevow4fa4Weeam1huS3MLbbDD5+yG8WpiAKN&#10;U0dPtjm9v7Z0zOOfkPVhbmZ/uycw1dQR04FCAih3Nu61w7MLbUKWCdW/bLeVPjx1QJq07jut9wE7&#10;COypgwfa8eeeVxvulXb25Z85Q+iu7NRkdkxLA5qX1YHAyzUAHwyN/QEAisEBBol7YTGtARFuzwLQ&#10;5VIqKpYi3ueA0jgI0kN7h64QgLiXMLligSBLCSYDTWxp7SYFXqZlEcJF4W6wWItUw8LxOjBZaF6f&#10;m1U5ViguEdgmLjqfSB94Yk30GXFFBKPpvoydirDQDc/GekLaMqfVVgZZIXzKTU+V9qtP13U/DBQT&#10;RMo7kACesN4mFJh5TymeBOhO4woT6nVFUO3PNOndrJ2lLWtVgoCvEwRbQpznFFsvUYymFU2Ta7ac&#10;jQRHAaByr5TangXgM2vz0GLS3gO9W14Ozh3gygCA7BzAiMay626KutYCJ3trhmt1F6AYLZd0TutT&#10;FhoIKKLclQHFeul96o7wRbslOan6HoGAbt1iixydwFGAkpINiDWgB2BYQcpzDfjMnmolOJMFohIl&#10;n2wwglXtfuGsMXTurTn08uzel2L/Fh4lDJyO7Q8CGLppnHd6ZdkOJgLULF0tmPmi49/CRsJOmJ5/&#10;LAy8X/AbYJN5C/coDTcO2VxLF15chsghltrt7zxX5L5oktRNrd+aYra81d7jtFpzUC80agmfH1s7&#10;tEeME4dcUouRF3F/OHjVawK9IjuyvraEFLXxTuIMOqDNWqX2R/akz9k0wj+cIpK1CO2VANZEUkqe&#10;ZyC7ogjHjVoWH19b4IE1Nj/OPrDAIWfG1OM6GFri9hiK40i8GR7cyKUAhTPkXsEypQKg6SiTFtdY&#10;47nGEyO+DkUhc4m3DWI3Csj5YD89/5o5tIgr0fV0KOSYJXBMRAio9gb3A4GQ/ObwepFCBqH0Qi0+&#10;AIXG/PCO7DOINM3Q245nKPO9/k2OtK0PfNuLnFoFzNITZTZoKYUmYx6L6QiCcCM3Dip8VYwL4Ujh&#10;IQMQXC3WnhCMXVsugck9TYBhyAQxTqv51sI+ZUIIRGyJ4d2TINld02wpl2Z7Jeg2TKhDJC9s7uSX&#10;a12MtCpda029AkfRNtkvMwB2D+ZO4R4xb5mkTcjlg3PtBAc3oh0GIJlfu+mYDtfmutJy5Q7xunWi&#10;A6wQKApIIcsFdwL+2DDXwD68KbiBJEwVO+DzYjMyzbrQJNLlk7WdkKuCfcdMvksAJGupQczMKktj&#10;dqMtLR9UE1eFPemaacUxnHjqaQkYmbeJZaDjo8cWisRVMy/Q8dCxY+2q4h/oyrkgC8T1W3JpaHBb&#10;jv9o7YaaY61svNQOnT7VDj3+mCwQT4rVTLRbsojcOnOurb571l1U19QhsskCMfXIKa3JvXZZbokl&#10;3X9a/TAurFxri5rphtb7jsDJnITlnNZ64dTptod0Wn12Teu3jFtGz+VnjmEKIC6dOt4WVLH05rvv&#10;trvqyQHtL+7b3yaVIbOzta4GcmqnrkWbRdg6lZdU0BRz8kGETPye5s4+iG5m1HOCKoXp/kl7+bhD&#10;OEsc5B3lV9uSJWLGQkZWDnRk9wdrL3VsW/O4h/XHTCDUhzDBvTKjuBSfB7u1ZNxZVGdcuSTuCMT6&#10;uANoSaHW3ixq72jbzfPWVKKa0uLQyPrtVWttcxMqZ815NBAKTQOQAbKJgxLYARySuaHGa2hIc0tK&#10;Q9a5WMD1qH9vUmfEljLAfIJt0c5nNFYYNGfemg9MqOYyaoaHsuBIfHhGBJKdhmVZC6/OOLzSjMvq&#10;b5VRC+vJ/c2BR/KyeJfecgCSPjSGLgDB6fN3IwR4OcZhEExowcd7lbNniw4ZG5qTf3ic9svZKj7b&#10;fR6xFnrs5ZM3r/QcA0Z9ViwEOXxh8uHJXTr1P3Pexypa7VF9x+tp/hTOFKFXAqBAREQYF/F+hEbn&#10;YAEKPD/fHVsU2LOs8Zjb1Z3N0/pz+DyWgOj/4X/MEM3VI/Ma1vV85vHG4pvEYaAknZxRnMgSoiuq&#10;eDtyw961VKWlJoe32ApdRJ2Bk+VJrHYOXM1TRwuVv/vzs8rJ7utXMsb6Tj8DXNSl5OB+NaPBfnT6&#10;yT06OGZNkFHeO3gx84ZHmMZzpmNbyM0dl8O/nfUGOABp5cPeFM/f8dqVpQ+LpIstclmQM2c2dSfy&#10;dWfS1dwigvRt+/ViR3ODO2RyWRlcTZaRFbgrEvJYx2ZW7l/j0u21TxWB22nXJnyEIYOLWT3GAVOO&#10;iB7BmsOXlSnB4YM2IDczAS40SwgDKTAA8h6DiaCrdKbMZoN0nNngWVeDJ3NrCS9QkM24KTACgMBd&#10;UCRVuneelyI1hQABBLgVsHoQNCfGOiV/9Mx+NFQJB5nKZxTHgHuBegkE91n/MIjIKY3wzY8FCEKi&#10;DgXPd2VAAIoNJaUVmE65B9kOoLiAK+IkUsNCWrYFdgCBmaMYcqoxhgISDR+0HmBQMMZzj2BL/fvs&#10;weAK/8vX6MfomqhgDm9FfsPP+BYCyu4NXYfw23ZxJglFCSa0ZNpwT81ttcX9BzyWg8dPthkCJkUP&#10;8waJ0235xPF258aVtnbzltwXS/L7y3cufzpul3UhM1JRJ9CeIVO0dH125MnTyqJV6qoWDe17Zn5Z&#10;z99sq7JOoHEtHDnUVpTxsa520xvX96ok9oF2T+6Na++caRuPnm4HnnhUz7zZbl+42FbPnnfjrnWB&#10;tNsiskmNcfnoAacRg7jRZtYkwDel6RBnsfOzV9ux559tyw8db9fOX7CAPbCwv00vHVRxKl13WyBQ&#10;YI8g1k2EndZjhkqmpmUOawUzIkzpQhsyMTib4jpr4LpO3yWNNgxDAIomc9oDBzeWEKFOyBQWinpv&#10;QVYeGtFhIUnRrg7OU/zMlgczHQ0Hi0Uv4lTHstMToAVLxqYKRG0pOBJGzEFjvAqqMU0SJOvKnAIn&#10;ZEy5b4qG6jAgveYEENcU72LN0CXmaQGuOAsAAu3ZNYZgqjonUKLGO4N1Qjch7GS9guhGXRdrsTL9&#10;sYDheSNAYYrOPL10ZobQehQRgIYDFIs3+TB6iVP63PyjhCN0msj4XBMr4pjBW3O12wMmjmAOP4IG&#10;4blh6AVl0EM0BteX5QxzH6514b2MOcyfZ7rzjWkmTCRuot4Bk5n5eubmZYhC1F0AXSfECpMWBZ0X&#10;55Y8t/STAJHiGcRERXAyx4ADD6NWO8Is74RqsyYBTSWYRuPuwiFPH7/C+/3TNRYLsmjFgKpYNgLE&#10;4uCJIE2qYXhzuorCgzijseBhDZ8hRo5pmNqxCpX2C7Ym4NJYDMs290n5u2QARbBbnawsCK8to2fN&#10;at7IoUyn6G8ws7gV2JesRz+7IYXx9eN9AjRkHB00YC2yMK6xhORrPcIFAygswG3rylpy+nxtV3zL&#10;KqEJY/FmvAazDL/vrd8vxZn3oYsCMV5379OYdpgf643FndpD9IBypWavX8DtaKdtISmC4Rf3teUk&#10;CyZXDC6BIjC92Tte8l6GXjcs4rSbg7UFwYwelEWOLxItYYyOudi+Hu6mB3MYUJa3CHKT5k1RJQId&#10;0YQcj4D8NiMTpdgkLEbHD8GYuhcmV0zEFEiCOcJMYGvu8AfTdoMkJpqDWcEPmS9uDJfS1maJyfND&#10;PATxGHx/Rv2/dzck0DaIlmeRuHMdQHNrCIUV1Phs54yrp6d49p7vjrNgrFojGL4tECBq1syHzLLX&#10;hILvlGdgureFAeYER9aHuBfcl6C0LhMs37UlJhzevI0gUAmgSZvexWBlddhW5oQPAOP1T4r/+OGl&#10;OVkrg5hgrASwWlhJ29W9uDFttwne3KQsufbppoT1AWnouIFml6fapXPv2x0xt7yofhZHQ5Ra04WH&#10;TrSFo0faBQVKLsqtsbFyx134AG7uAklqIRq43A9LJ/U9AQeycjB1bu8m4HDp0P42qxLXu9dutluv&#10;vW4BRm2HHTkpbp55r61efN9BoocfOtn2y1Vx/uprbUsWhV19f0vrRvDgDaWh3pMFQgviomCTclEw&#10;D0DFlAjt2tuKoZifaUdPnGyTmsOa6Gz58BFlquy0m8okuaeS6LOqnLmj9A32iPsas+FaIOBL+8de&#10;4bqiKqZjC2AIxAjgDmKDITyAqM8B1xPESyl1aeoSzmRXmHlbCBfNQrYWOqUJ179t1egZOAb/+DRx&#10;dSmORemZ8eNCEGHiyapCQ8n5DhOL+dilkzkH9X4sBGB2OHT0pI4iOAu0+ibIE2sMDe+midXRetxZ&#10;WWkKf6tMhTBGbgTJuSaI18UHMv5eW+oK/ACkrLCQngc1crbQ9DN+KNxuBc7ggM93N6LdDVxjJh9W&#10;zcgdOFYuvrQPj2vEgtVLgTBC+Ad2d+08fTwCImom5h/ZuQgnW510HntVS1x4Tve2cOScM4LwCThH&#10;1yK9wYzQGh4gKAvPvc1l2Dsz/RIiZtqGiRonY82z0SwteBmTNxJBlDOcmj3dpUHQd9K9vd5hhlEm&#10;jXoKCFuwmDCK5jzMeoVvD6s5Jo2/hBe8xkGPpN3nPYcGAxhqbr4WSwXjYy98Ha7gWA8sFwABum5L&#10;37lD2rXoZlluUJ1YF9VL5cUIQNa391WKbEk6vXuAODC6Wya4b223n5lxZH2yn3Ft5+9aBf+V5cme&#10;RC8revX94KlZ+h5E6rWrM+4ihZHu+Z73NrQ8AhC+bbkcHQQfMAFJ9LoioUM2G3dXKkSng2fo2a5t&#10;Z4qVIPEaB7i5SBzjJ2kAEkF5R2Zk58bU7flor2xBzZycOePYrxGEKHnvpTMvM6BFzIekscTVxRwQ&#10;vUkVRpcTRibzCBfxiVDrDIeZmRAKSZlH9UUrvtnJ0KRr7gSyT9wAWQpbIhbS+uiO6HoNpL2hYdBC&#10;F78z9wNYoEXCOAESHBZM1XNKWVxUKdRdAQHvEDEc+i3HuH3WXhBtU8V19BRNm3hgYrhrSJXTG1SO&#10;7Clg01r0nUkFMeq7W5b2LFqYiF0q+NS4d8VreDvYpDqgZiZeqxwKa/5abRMG/0ZY1LVdM4DZMWfS&#10;OtFEET5uIOXUPq29v1PYtw6DHaI59dEAIC09Nn74uDQcW8In+o799lp3a5F1yML4whAcSApTgUh1&#10;LayZ7/RgOh7F3pBBMSutdVplpjFtr0hILyvKf0Om8bmF1Xb7PVkhrq20Q0+cVjCjfOlU3aTynMAC&#10;+8O6T0goE/oxqZRTsk3el7tict+BduDocbWcvuN4jPkZxVEo1oHStvdW5MbQHtGsaFdF9BdkyTh4&#10;4nC7feN9pTJOy0Kypv1T5c99C+2OmsLtKLJ7i3oGWgeyeO5ReIs6ENq723KJUAcBeprEL6Y1vvzG&#10;221e7od5xUjskVCnZ8rld862Vblg5hcFeJZEY8o0WVBHy0m1gceO1AW0FxhhoTM0WVVL7QqAKXLo&#10;6TxYlrgATK2BA1xj4XLLd5iO/tu6J6sD5aSp1qrvUFoaa8FIM+R8AkzZHzTmojNb5wSqsd6wxmTS&#10;QA+cTQAL53RLgDKY05570zUZF+wLYHhK58k1QZxFlBgbt4G2OVogR9a5Kdc4KYAqqxJZQ3u1fjsa&#10;J35/FwXCamiLCLQEEAdshbZ8AKBT85mUluZ77v9iMIFWLyAN5/d3zK/MADm/lNuNdQ/wBjCC43FB&#10;0fmIEZfFwYw/NJ5XBGUOtbl+uQHqHHF/hBzL4/GWxmilIYoWZ818CWVI/3CNjFFtD7Bl8UnWroRH&#10;Hsq8TSwev+nA70bZsskZ8EmxOS8VfCXCMLFoGbUDm/Ve6jiEg1jY1Pc9Rf+UZddBsgy/QJj5WF+H&#10;3PU+q0Ot1CgOoNhMBxn+Rgk3kwZmcP0iGLJbAIA60cCr2BU814Al1ggvcNfWGSdKDMqHBk8MAfFs&#10;AN8ZuXWnibGBJ7nOC/sJv4tCFkbMvMIdnWnlJY5ix1rbdN/5cwnMdJuOW43CfrUxRRtZgJBJByGl&#10;EFv/8q7GkmQzVu1MvW9JUEqb1xU68cZn/Fa6jYZLkJtPBGhaxmhsjl1jt31gofkATSZny0rRwjQt&#10;5/12lySBvgZZzJ55su8+96Rf97kxEQ888li/iSMhtsrjQ7FwnX2U2zo7GiOxXAARwJpjuzjH/FtX&#10;yp1h9cBn0dGwjong4BjTa9JiFhRi8maEPeWzLmQZUzbGhjkOkIkvuMuIqKwTaNV31SkTP/OWTMdb&#10;MtVSNAm/MMLfrXQxobumgmGVI7/tt+eWTFp/9JoCDr5kU1lMH2BgT7kgqraBYy8KEXYiM6HBmPQG&#10;GiRjnabIkG5upofgL2HvDTQDi+Zv1gLRG9J35pCDa5ROF0iYEewL4oDWYPwEdKkfB/cOkReB1Pp7&#10;HrqHRQrMDybiZ4SqC8IlcInNDl3loBhomFUF1ftg9QPETAwhs0ceW57BNkEQNsUb5UL4IkGthZtZ&#10;wdgQWFSGLFDmrqoSxKuySrjctypmbtxcaXtpdqXfm9pTBCDCKEJyr4pTydIAQdtVpiFoLQ6fPtku&#10;vPpWu63sjWNL+6S1bsmlcEnCTamHs9vt6rtnJL6I9yB7Zc6MiaDcDVlHJqcn2vKph9vU/oMKyrwl&#10;i8GKalRcV6xDYm04ADsCO2tksGgPttSyHmAsVGOas6ZtpiSwuHKr3bxypS0psJPy6jeuXWtXFIsx&#10;QWAsWhBnUZklm6INggoJBqO3Je2de5ZBQXSvfw+Aik88FrKA7Bx4r7vfSNYD++jUQIBANbmi2JOD&#10;kbFmEBRsVEyXUgC1DjQWNDOfSA1bu7y22idZNhLJLW2ZeiByO1AIa9qxLpyh0LPpX9/lTFoww4AI&#10;XCvtFwHhPgp17gAFs7hkABL6b14Cf1E0InuXGX3EY3gD5O2ALhUCs53Nggdhl9oVhHIaeOg7qa8g&#10;AE1wrua2pfPv5mxYXfQ+WTQxg0duRB+vf3SarpNZojbM3iCB78XlgPAqyi9e5S9lfvV9czA0fjP6&#10;nKMuuHJPziXHIxaLnKsS1OxF8dyYwSNkzAuLgecga13rLJhWeA5jgHbZDwQuYLEEcc5qZp1W5Dnn&#10;fQnCF8Mf3HzQc834u9Ug7qDM0p/V/MyvrURGOH8QUPRr66s2L5VFwfcKj0ptEIirroMa/F7tm+fI&#10;2AOMMpyANGQxcTXQiQMjNRf3YSEwFQV25GLJd0Y/XpEKbObRGpdrD3FuOg+Ef+l+hnY8toZYdjav&#10;c9+00NaAHoI+/HLM3uBV+MD37BZG77Wu34Zf1FoGJAL+s859n7zfXvbs0+hBfZsKHIc2AJfsJePP&#10;+vn5dQ/WbpxhAiCDflj/+k7NgbFY6iA/iEPU35x14qao1eSxkgZtZbnmxT3MK1nfyCxqP3k1kH1l&#10;xYk7A1+4kQVAzmJTA0P7VwlcwxodezTyQr1egIpkjlACThYCZLOs0RZZ2NyWwCPXZyBdTAIGQdTb&#10;fvcUTLszREVmrkSt1xEb+Z4Nx+j+mbgFa066jhLVFDchKn6SMtlGU5MO0mEF7HoxQ2ExAprC9pJF&#10;cY9gRzLu9A5pmna7wJRdcKkLBg4PqxkGD/FF76gzafdPGLTX2MSbtbT5lQ1hbQsSJoiJ9U7aJMLa&#10;H1ndQWB5x8OYvcJ1JLm/3R15tnlVZwB8hPmVw2J7E7eKEMt1OdgjAVSPs9FFPx6vAYguQbOU0Ox+&#10;SwbEumKiBhTSDXNDGn93dRDItyarwJZA4qZSK+8pyBFfOjEfuK0clKh7Yl7GqgRZbaC5ygrDgFdl&#10;5UgdD7lOtBfr12845fSeLENzi9qXWyq0Jc15c3K1rQiA7tt/WNkJy4p8J0hV5nxcLxojoaf7ZMVz&#10;rDaAjiBWcTnWD/99T/W1q1WbtKvPCDhcVOwF5+D6VYERxXLAiAiypX+LIknlApG1QHvMIXPab1eV&#10;i3lzX7NSH978JGo+O+fDTSYAa1z7zTrsxXpWh5tS4zaGa42mAJ0ANonpFCeLZQPAbm2sN8PR5qK7&#10;IJiwtsSsPLZcOR4EwaeYFWQA2VCYgL0OFBc2Y8UHHWDswKxQsK1RvBgnNDOvTCaeQzb/lNZ1QpYf&#10;znTM/GYxoXHPmLsiYCIsQpQw9VgfpinCRDM8zZU4E86a1xCG6+q0Ka9vYINFsnh6QAFcdMQda7Q5&#10;Dz4rZRFgD3AVUDuDPj7jKpklhOsMdfBXks/36D/BexH27gXEetf+MWZWw6AN5q4rWTHLAH6Y70im&#10;h/l3+R1FYDiHBGZaK7cADn/IlDKe0Xt1RvvHuaS7XRKbRVc5m/1tqsQ61B/eFb482w4h/ZmmZyXc&#10;6sbmL12Sssd2H2V3PUlbRHlG8cG+bp5k5moKqnn2+XB0uiIPvRocGZySwo4iJXeZFFdiBj16A1LO&#10;UL4HXcUCFeBjfuW17xasojm/14HX+Jnj8UbY1iKP15vv9YuG629iMNceIROvkTe701TxT6705HFf&#10;hfYrhDCWJH+HabDZUXR5K0tX9wIUIRPZbz0IkNSt3c6+05r5pHtvSwk07dQtvNVFRyV/+AjI4JRN&#10;73v+7eJ31GsqywcjYEwoOFbABtYv762fn3HqjHGowzwScdtN4tJQdpRmxvtozwANkAoMlENELwn7&#10;4cSonaHA9+pAASAcOBhGYu0LoY/bAhMoFfJIUZS2uCtTKx09+XFAJWi6siw6KaQSJaZhjhEAg8ZR&#10;aGUk9iiGAasUDbsUAJdskDoooNiKteid+3wo+NhRrTHhcxjsagCZUcinH5IuEEbClW+LZbPhpH6y&#10;CWhhtfG1et5EsHU4axGV1bMIkL7HPRoaYITWRRobJiObvsN640fmIMQulXtzeIuxeH2LKHx9AQrX&#10;5+DfPsi6wsI/aKGX4+43dIZIBcUZROA6tj/VCaZOTbPZS/s8KTcU+3Hnxq34e71vid+godc95aWu&#10;r6w5kI9oa4o97RBgSd8OaZsxI8c14rUTAMStwdBmp+dcQ2QbNxeuDbRnDWZS1qrVWzcU13BY799u&#10;dxR0SbqnKxfaaiRNXkWrHPXuipPqBaLnYhq9J0RCJVAK0mxv0ACNNYqp0wCR9+kXUTEOxG84d5rP&#10;aDC1TpM4rcUUAYocFywC4WGsNUCBV5hrzgggwxIbHbszGPhuWSX8Xml1/HYypfe8tHBODYKpu0Bg&#10;4ESrI2BgJuXKsLDiuWW+tSmTzQNQaBxOoyb4E5ri7gaqCR6MZqEMoZEyEDDhWAngtLWHzM3BtbLg&#10;rBFPAj+Y39sOaC3mWEPtcyxoot4qfQ8oZv2w4rh/hkENcQ9ZJ+o7wHPYdNwB28rJdBVcZiN62Nb4&#10;XM4YrZwt5T/2ugS1RwjBGG8HnOd4aTylHUVNoDy6AC87YUsbHJZ9jyUBrcqMmRMPMCuBw3Nopsdz&#10;WQXGwvNYjWQXovHzL8ztuBiyVBEvzIt/sKtxDdpvz70YX+SJ2FkAiS/376wT63uX/QLwlSuD8XD+&#10;NtT4cJPxow2WoHYhPujDOxWlJN0zGWiey8wzm/Bs76oFHGfRXMPf5/yMzeOsbRQmz9t70PV2Uo1T&#10;T5fvqwFThJsFS/ivRRdjZV4WVuyf3JLmJ0lrtZpoxZTxKntI53TF6Yz3lG3FZ8r8oX5Pua9cIkDj&#10;QVkQrjeoTtuB/ATyOgTTv4Hsm/AAhmXXBVNlb7JZ3LYHHUamh97N1woYcp1dcMg5fW7hW8WvOIwB&#10;EIw19wa09vUneB2a6D0q6LXiBlZYoiLqXXDRliJoTOvmFG74BJ/p/pxhhgPL50xtocTAXiwOMl7/&#10;hl9FlImHMiR4ExtW1xSYNf/zGUBBphWAni/eZhLkudwcNzDj9qHyFyr4n/1ERsdrQa0WathG0uQ8&#10;eONjbkXgK4htK4u9R1UL70oiwDjRZMhlJ/+cydKTgGdZW3AeahVTiuPKt/cAy7pghiRtdUda665S&#10;6ChF7fxVbsKm6HoQkYEmHLMIHAp25DGHTMS2o3rF9+4uSjvWeJRdMaO0M6eysegmSpGEzXscMFwl&#10;0ei92WxUHQ4TEwwGi0TFZYyuy96E6PxtOAD/y6YnW6NcFuYk+exBNFm8ova7NrVQ3IgU8vVYC4pw&#10;fWVdl5SkHEof5dpca3wWCPme38+JyCXWDGsixYT9fqc//53rreDlpI2sSZ4PNxaBz7otd75IgOQm&#10;mRByGaRNM8RFHIdEk9wGxLrck699WwDi5pXLLn3NAcE1InJqV89ftrDGh39LsRUziouYUZaGBR+t&#10;qHWjGaV0sidbsg6ta7/ZxwncLKKZa3I7HBLogJ6mqLSoH0DMhMAFAXd35DLboUupwOq2XCV3BUKx&#10;VhCQCyNjGtCJLRR2qWHhUhaKggcdKMtaiXNvCrCu616zmsuWrCYuCFYMjgCk7nd3MC3CxebCMPYi&#10;CVOO3Q0OGCzYp2djOTNQ0rVmhAAi3cZAweehW7CgM9wb1AkJ+DFzDxmGNhHatVcWDPybZ5VlYVSA&#10;jI/EgBLQmOsQnj0IzSZKAqeiRvm1oPiVvQo2pbvilIKZ98xrDzE1Y80AUXkcfTxhJp1eh4QZo3z+&#10;C2gPK6XWiOnXE4FZyiVDqqutL6xBruvmdkYGdOwaaI97KONvsTM9q7Jn8N8y6WRF8JwaX6d9Pzb3&#10;8xA4Xv4Odwwws0yuM9qBWzfxZsZjixOXOW6FdfF51vOKmdtF4r2NyPKZLrDgNShTRT/KaOGcCWrG&#10;kBQe10F2vWyf5f6IZmn2D40i7EpojemwFtnW424lC23mhlJmKNtdLyvJ/q/4XxiSd9EBniMaH48n&#10;MQpRbLoNIKWg9a4WkLPlOIrSopPqG0v1lp6/Luv3jM7JpOZgn7tdbJmr3Tw8W9+3a7OsYHkfEMZc&#10;ci+fN8bnJweze0S1H8zE4LYC1AO6Mr8IrIzfz0VBjr3Q5yJpk8UzfeZSwt7rZfwRTb/TJ3vJ3vC9&#10;TuPZ9yivtnowxuKtvW1N3C3lduAs6I5SnXVuZAkEoFpIdg6Qe9saY9ddlDVzdK9Dzc1KJHMtVNF5&#10;lflhNj7VmZlX7p66LeFL7D0IZlTmXZ/LndEJpBCnAwmhJwnqTR6IXxrhoa+jpWB+R6vF/yqU6EIj&#10;Dogkg4JUOoBEAiH7yw82yNA11DqQdrgrIAFQAdVPQlwcJMBDoURPgn2C4D3EmEGDKhP4xVznlZa2&#10;qKC62X3zLttMqgpasa3LtbG1FVkYxtIFuJkxbwd/e831Rg92yyrWYneQUAepr3A/YH3R8+++aTnM&#10;nlLdu296/lm7Znqsgzg48XFv+P9GtNIfzw07U806ZbVzORudfwdFD8cEkYz6b+awIziKurvPstiM&#10;7hBgCAjbdIyABLnuvy2gcGPlhvsoTErA9uJb9utKeG/q87v6fUvugQ1VjZyXcCdYda8AH/SyuaKS&#10;1QpYnFVWBO6JWWoXYH2QNQnauyvaWlJ57DXFPKwppdMFlSgtreMzq0DIDbkmtkVHt69fa3tlHbmr&#10;zIwtakTIl3F3Wn0gRGeMg0JIpCPaBM8JVzwFJnybSq0Nl0YjoEEqq+MO6vQAWikSRdXMA05PPVRa&#10;IAc+1gM0R4KOqJswilw3iWVN7aOuV/S8rL/3xZlOBXh1OTUgHIMCA5NGbr3N/spoM6mBAhjh1pUV&#10;ZLpBtQ+ZoABEQEQAxrYOHkEUQRoRoHbn+C6lFZlJhO2ledyYvgjMpMX8zPQ+d65cvUfzNzFx7RuF&#10;zzoZjyba/zDn4ZacgQLXWfIEPcOUWUOe64jwfBYDXgkAfS8h3PW9GrdxNBqwr9X/1fyhfVO7/s9m&#10;fe5HgCnaoyPXIw6IBMF07ufzVH1uSOkxZCyMq1sgfJb6GFg/rJbEsBR4YCWhJ+s9elGBENeiLSIV&#10;ze5xWUCFE0UQ5Wz6nwb84XmJywi9OI/fQgkBEXeWx2MhnsNvGtFicDvvn0FEhLZ32ZbmmEHs8jTv&#10;Y74BMb43M7dQyUSz6n3mgMSA106PVhjZ2+4nr/XpltTY4kICDDnjD8iwCX1Ec6FL5oGbbmpSxeJY&#10;C1uzwzu7VYaxAeqoG5GSAaVRc41BYmiCn26hYH1HqZc1T1uGykSfswofTCZTUl1Zi67dmyK8T8lA&#10;zIT6GQ/vZ/EL2Ho7y2VgAJK5u7aC/9VpufbUd/apjQLh4Oy4oRlnLzYGDXSlsMuOoTIY4BJaKGZg&#10;UGOiMlCELtg/FLGyEHl8g30uCyFX143iuWJMrJHedjA0Y7O10u6MIlVd0CNJ7T8s457bdhPYyIEs&#10;cyU3n9qR4OBwGnlhqSBAj/z3DArXQIc2LMZea4u4MwiarLTG6oEBKPHmjBAx4w1xj84aRqpwhsRA&#10;0MNBvQ3ml+ba0v5F9W6Yc3DWBEyXNCE6THozsXLkfiHuHAQfDT9DP5y+AdPs2SijHBYf1MGqFqMY&#10;WQZ8sHLy6qNsI/cvAhlpD8U7fEFGMd6t/lYZGkafGMcwxjwhww/j4+u2kFTgS54be0J/eQzmTtGc&#10;h0/mPV/b1wShAiXb7pYOjgRJEntCJsTUjAId9fmNS1fMlJeVwknWx4bWnNgHco75nP4QjOLWdbk9&#10;EMx6j5iEPUr85l7ExMzOLrrxGoE9d2QBoM/G9N1ZWakkpFQAbGJxqe3qfRxMCLJbly9pz+fbPvXp&#10;mBWo2JIlC+GB4CSzY1PAlVRS18yAWZGGSICFvm8BDbjVtLgfAci9bskktKFnu5pjBTL2vcWsv62S&#10;2IwdaweOJw4TvsJdIRHvC3sByED7MZhAy4+WEJAAg+Gyojubyi2Hw2V5PufPWlRo3vtUAp996Lwg&#10;QiD3zYX8D/oLu2brYlGCsXEGAPrQfmlH5ky6G1YEzj7jYxjVMKkzjB60ybNXVCBsQnUiDPDVz2Zn&#10;imwZMXGKW5mcIMKa9wN0Z4HRTSa6zKqFA4ZidLZwhFmzb2ay6BI0lSPTI6l7NumaCYeJ871JXYsZ&#10;NemdiYK3Ww7B5nXo4J1iWLEQ7fDDMWL63v/S8u2/SyyFwzxhlqyz7qzpmgH7lBSPsDBgPWu83ifv&#10;Rp26oKDaf2gh7horWGY1PsUBk6OzF6HkpSpFKucavhiXYdI4TS7eU0zWYZllBdFdMYF3nQAhzdo5&#10;4LLEKkAisToxj6eoUIBjB2phWpmLXVWsu5W8YoMl2DwW7gO1sf5+n+8O5xX50Gt7VDHP0V66OB4A&#10;Eis3+yaLYeL6E4Rufzy00Y8P21BcFmWv1wGilPMG4KJi47o1L8GoXrB8y4I+4IspphR9uehHe5Fn&#10;oE7fz9FD3Dmb3vDQhdcxwn9YhMtnsHi54zpMqeNXAH2BNflWHH7Y99LnNbTnFhGwZO8Lynz22/TW&#10;51XjGvL3xAGOlYTQaHgG7Mn34y59LrXnI8uYaAJlyQ3NMCYAnNyKvSyKwRDxfkQW6U5GXtrIQrTh&#10;chFKOJA8AJkaKQTSS2EnehOEk/zdmH7C1gLZfIMR4WcfqfhHrwxMwMakGkPlNddRZNHDc/NdH2PQ&#10;Iemn0mDxpcMz0KIJSJtFI6ZAkw+Xgv4kKraEajFTJ+KAVxG375UFxTyd8WUOXuEi0s4ThkSYzSsF&#10;q19ZG2mCYNz9+35mZzB18Ou9LEw/q8V8uF83KTDAEjylMIdxWCiZmkrrGaPbiBUWq1tC+vLXfsTY&#10;ORpfN58NCa9WvBAtDEgCA+sRQgdrBFU4iX+g/bP2cBPhKkG9obiCDYEI9m1JvS+wTKHpkUpLpL37&#10;L5B+SzIM7gqNggwQUjdnBCaYD/dLjjOdPVVJ0YWQ5AcWAW8KMNy4frvN79tnzQ45hGUB19i0vrMh&#10;d4dGovoPO+oQesU1KbYEXtaUMTIl6wOurh3VOiClNyXBc0gNJB3Mq+JSDrwU4wpxZK0cNQ9IVhyH&#10;61RA43WQxPAARSm5nvLSdpM54yZCxCbWJI6P174f1mKHYeIIidR6sOA10O57WePhVnrLNSqsgeWu&#10;EQDQMB8iMAe6hX3RGUvPR+/nNCClNE96uaAMoA3aLWXkbQKawZWj2JD11TspUja7R42l9D27MnJN&#10;12wjrHIwGBMmalesRMgg9Cx1BBYtzJJix3/WVIvpcU80TZumWQsHHEab7QLdBeq8HhlvBEHugck3&#10;rgvFsfjeGSfmYL6EeIhGXH97T8URUQC1HsRDyEsagVhjs0HHNV8S0J1zljM9Ki3s86u3sTyUOb0D&#10;uh40iLBz6je8tva3OEHoAzDDivgfoQWPwWPt4LE/t9bDgDWgOCMOP4EqDJr8Hq+4cW0Gx73DIxz5&#10;n+clYLfM3xbk3eLGeSuQa6AWa47dLLqLPde+twnBa1gKbcCCfnocRLdCdM082Tux+myo7w13npKC&#10;iNvSQh76zqRyRvqaQX/lMreAZb4GoliJiFsq6w3/7oy89rNz+HD7nBv/Vxaezr9tAyzLjGsXWVTk&#10;TDp412sWq09OWI5DQGLdxdUhAcklVYrVj4BI8eootj2+pvgH64ylTIu5g+tUdGVrkUELY6v0fdNI&#10;9i9rVfzfFhXYae1xvd+rpGbjYnXhrBArRmny5IWGAabwmyfqf5su8USwBrWu8iQUAvYoavLhRQVG&#10;4/e3j5gfM5nkjt8jorFAQMgqwTOZU2cunp+f7vHYkkBTIg12u9LRGBzjBulANDYVMYNijH0iHACp&#10;BhTowbzNAXA7Zwm1RcVpuM6Cvu+UVA4ygmyEWzOi0Hk2OAeV/ysAAZDI0aora+ydIPxJP6i5KrOs&#10;l9fvgfe88uP3eorfyJXhtenjgqmD6sMIfG9TJmMFkRfzMMGxFzkEfbU9es+niLqEFZ/36PbheEez&#10;HFyXvQrh2yza4UQx6w0JYqr1EdhKobAbaO7y7WPS31ZpQo9M+3dLtSM6M+MgrhJrALMXfTjIjYZf&#10;cjesqJiUtTJcT6SEKg5nh7oGmBh2rjtzYgO3hcDAXZplCXgSZwH4W8RtoswMUgVv3LzunaGJ1rbS&#10;T6GPbTI2ADmi1y2sJBp7TIaiDcfvlHlOf6/p3nfUEn2LqqIjjUs3RDgp/RLmT+dNNPAtmsWJySXh&#10;hDTEqqZH8DHbZNmolTCjCdcoihsRTZgI1BotpmuxhWmzX1HbzYBsYuW/kghknBhAIJQGAt9mbAPw&#10;rL4ZGtfwBDtbQwEWkAhp1gDNopQBnwUCqYtpcO2MUl9nllX8h6BX3Unw3GW9dwCUBn39ANz/m2fQ&#10;N2ADIGEfdzQboAHBcnQAcT8LZkJaq76e9tpj943dY6brjDn2lvim+bH/FmuFmWD4F2l+1mxxs/qz&#10;WBa8Jdy/BI2Fj7+TbTId1rkzaOncwM9CcNT5q/3s1qpRkG6BQe8Z49b36LfBLiPISP9THHJABALR&#10;ZuvQin94PmQRdBTQxz0jCUJT5Qc3WPO5RbjodowNui3QwKziMihaKFeEY0l4lh34DGNsgTCArHUy&#10;7YQZhB+xpvo7bgFdV0DVe+VDHzozrwr7cICjAxFZP39UAJm5s7amQYK6dU8H2Mo1Rs0VKhI7Lj2E&#10;1a1GXeCPzPbFJzuIiGUtAYmJyIsFo4NBr5PBZc6OwwJ4BmMUD4iS5puOz2vtdWy7kX9ZN2iqn0um&#10;kRBaV4ksMAbNYpD3HhcYGfPr4r7QZBVJZNFsFGdsgDv4lNZ0XTzzLiYxAm7hoT7X7HW5k0zBGXOx&#10;m/G/sbSEyPzbSk5Z/LHMJkYrZ6kr0t0AwPxcfgF5rPnaPWdgGeDXZRghp/XKpDxJKNFCPNsY60T/&#10;jKp5Es7SALOaIHPqDGQT6gs+2BFnIQYWnzz7PVoMSh9PyvftXL6c1hHCiz+vazMhor6lHKAOQBzY&#10;qeJQlGfGjL4gIpiai6nOpqgtmg6R+snEo63loI6Wu/7uSDIbYHNiIHXWo5hu/1ZIif/LxhjfeB34&#10;Z0qRmjENvhcmUXfMpX71w/Zh/q0gnBB4Kc5mfv27Fj4GjKD+UKof2V1CnmhpNJ5K5pPb9sHUHGo8&#10;GWEi0flxKqPux6EmchhTP1H6WBWId0Br35HwJQ1ym1LM+pz1x0qRQ5rgHrRXpycyvE3GUIdc91lV&#10;locDHHX/afV5IGrffUI06c1dAQgyeFRf445iI9zJVdowFo8JOItO3LoyLpjybX3OtHZu3tA0qreF&#10;1ocy5kQiu/YAAXyiW0Cn04mZo8ZE1slNZWVQf8Tm9dj5/OLAkG5JENf2KsGacudgFtc9ZmXhmKFd&#10;PQd/uPYwQh/W+DXDjRECua+RvwFzf0XA8epWJmck6cR2TWe871ykH2vDmJmHtFZMvlvDGAN0X0Ir&#10;plaTQZnFOeeJGyCLw5qdNat6RtEwaaK7xJZo/ciZp1EZa7VHezOmyAwrTwhdWSPUu2jltjw5YyEm&#10;eCsmAC6bD6oPBhoO/MRnmHUbC8LEBwWzuH6FZWgGmqyVmPI5ExaGlmKKo0GA6W8CsLmFv899HacQ&#10;oWm3RJ1j1p+gVuifQjrbFDzSGDFt21ftJ/K90n65pyeeg90Bwq5Ub9csqPRia8nlUnGMt/lcaMCx&#10;McDmOrOsX4Qv+1RrwaLBg/2YLt496OIJxa/CiMKb9CfWH1soCrB6DXg2rmmG4a9FtI01c3OKKI3F&#10;f2zl1LXOMDHNhVbzTQQctFj8NYP0OLk9QM77wD0QjlxvLZW5h4I8o2JLyRbMGBxfRyyLqqRyTQcQ&#10;CRpmmoCoWiuuZ5/63rBkBXo6nUbQjuxlsfzVWHo14qTklzLZZRGUa/ARGs95zFr7+/AUzyOWF7t3&#10;AEesWa3TyFro7+b7plunULMNBWJ8rrMmWL84BQFiAQ0EDDszpQsQroMUxmzLd49Lkn2DnydNPHNk&#10;+WNRSyn47FOKpTGsvn8BDxlbzXc09vEfys6JmyIkCC2YXEabmLRACJ73Y9bCJr0tDfCugtHsyVJp&#10;ZOImLPwNvwplenJ1Zw4vf+NAAVVJe71Lh0P6VHhz8NFyLzYwJvseIOSNA7FyPUWkZIlwGpmetSNo&#10;v3Zno92WEMCMPKtUQj+RQ4TVA+GGA5yNzamMac5EYrhb1xdBOuio3mSx+8bUoenVHXcrCLSgVUxh&#10;PFi35RD44JoK+hoMVr9zaT+nEyYnakRbWSvvHwMYA4nszRjc5ECg+rKH0Wj6y1vX/816ZGFqUGWq&#10;8okQE/NQ8l1iCdzc7C5ZOIozUaAiPnObtrRkqWrYwwTx16oDJdZgrbML6Yge6HkyyiLAtOvUs4zM&#10;40cLJtOC4MdaA6kDHh4lu7kU7TXLKg1Y7hIX/JJrJa3MVd9hhdYWEmYcsE0FX8qScU/BfnwHDbib&#10;8XCbcFCs5VKbQhaKaK3RVEi32xL9ODg45Ovns6au/08AkcASQZq9U+auLBybAsLzisu5d09ZIqiQ&#10;3XRJmilaKLXoo+7knnW2/GRb2Vj70pBZDziHX7XnNnnH/+nxFC36qqKhbFkqGfo5A27Sz7S32LTE&#10;ntW7/n6B4NIgI0V6XEbFcnB37e+U5kIcEvEkMCfcEVMSRMoOc/EtCIOUXq+pBV5UY7tOcB/Y6hG6&#10;dZZDzYVjnc6HeTN1KwJkbSrnvW45rK9Z4JuYmFSnQx/trLPd7EVsVs8RWlXzBaZpqV+as1UOAA/f&#10;r4A6m/wQwpTVjw/dcR0lUJIep8BXfUb6Z84tB92sMrtn6VzWA69rnVl92PPzc2KTCUStOwtNrcem&#10;1hrLhzvFQoOMlfgW8y6mU5kk5rOMizikapjIXbhOj3TSuPkDQgk+W3Tt6ZXAcp2aEs7GSJ0+xpTI&#10;9xJoGuHLGjtGw+PKvJlrYlagc4CpLC/FvQBjTpzXc1zdUuN1g2OnQCpYWmMIiG1tWSn7c2o/gPl+&#10;Wg+lkNmWzBKbdAGWc+ouawNNlAXFgES0AK+g3MCuXI1oy6wxjf7S3LEYsXkne5IhjwFagHQdx1KY&#10;O7NC4EaYdosRtNzTtV1K3XEW+X7CoEPchSuzTj7LHQTmc86COxpzf1viKdBHQnIqcAJCibtyxSWD&#10;sJIrNOxjDvpB1nS3tA+W+Rr3DqTJ/QjGtXTwe95h6EjXTuiPybJ+2ypoumdKZia6d/EVaM2EQEVR&#10;1jAVbHmpkm+sDfZxgLir8JSDJ4qeTOr+R6RcoojdBSWDpfEMS8Ti1nZkKr6xLRElE2PyQnuTFmcw&#10;4A6HMaHaj4kWYoYHH4om1/1QaMO4Q7DyYlaexKQu7Yg0Q6psMsnFZQlAzQEzzDjAjfsFuYbXJvDT&#10;Oa8+xDEbJoXU2+uN7Og4U4qh0ymdPqg+eR6bl6kLBZ7Bv/2wup3vWJOq25v4a336E/3bX7t/FXNO&#10;uUM4VFhPv3k2m0F4DhZUvnE0Pq7U754REDN7CMqHqZtJ+Xd9FS3K39Fhptup+4vMitnwW4WBnJZE&#10;IzNfFAZkhCzrEHTivgDFjKAVV+s0xdTh4rnUded7Xm+Euype9m8JLHqiAiUMCT+6feTcAc3a6yR3&#10;iIQ6/4YJ0xuDuZHyGfMydMBUKZCVND1/T/+BYSNUzfFCDwR96hoCM9lXr03Nje6pqUGBJps92CCu&#10;Q9r47pbm7Pdw1YTZxJqQ6o7hcQXgQlajPex/+3I+KjDV6T20kN3O/7Ln3kMOdX3Rty3gawbCmnXE&#10;xr9zQeg5D/JAwlQyprqkVqgYR33usk90XWWtdQWFqey+UgYOAMtZoRZo+U2GFP9IsGNfa9iX9gm6&#10;iW07zIolKgFrMMkDvNS1KKN1wUKkO0C75YZB5jmtkTXpaxviGDHwTocR4hGwvjP75MnXF60h5wX/&#10;iYpBQFssFjwjfCxrxxp6vF3LYI+9R7lPAvcCIkZzCdF5H62VFy1gDh4BRdbQP4nUB/Ta4GzLbsDN&#10;iAfUUBizY1X8eebGIPhGxUfn7drrfC0aOTzVcVbE4IC3OjHWtbUk+Ybpk99sUp1NAJ7rUYSiTEuM&#10;e7SGWKAyDp6TDAroiKyVBLxaAfZXJ9q87kUXX0+zC0hn7nRAzf7E6s18XCRJllL2w9keukuCEEOP&#10;rtUAoPeSaK4U0KvVzjKVxaDOU7cge2+KNqzQwj84y8y/5hZSq7NdC5XlZwC41zKHAGPGmM/iNike&#10;r79dnt6LkF3i/4HG45b07D/PV/yYlGjS68kiS8ZW9i+jzX/9VTqqnpcFNq6Af2rPXU2Y0vV6y8Gr&#10;rARAo/bfbkfTdIBqeBwWY6whNOMDK+TETBKkmGjLAhBEX3IDNtemphoYA9YXCIZywSlQSg35ntDf&#10;XVGJzSPejLF2wEO41odXZmkW1AGSCGBnbNBmWEza8TpoQdSPL1+NDypMIsFfFvll6vQB0cQI+tu7&#10;nsYroDfAxazaP3PWTazUkcBrLh5IdP3IFOj558D3EBHGVOK5Kx21sdkWr28xKIL7ugDNp/cTlzUx&#10;H7kstBmJ759/9e+E4+StBz81OcShVyvNM0JoIxrPAtch9EktZArjq/lADKx7X/u+rjUU88UxmzF6&#10;T8lt/Ya5Avjovqn0zB21xE4BlA6eOosMU0rshdltZorFyEylX+9BmE66H9izQ0NkXt5v5hmRF6Ec&#10;ps4ffajQUxhX92LnGdHm8/ywXT0PJoM5lHvBmBzWzyF3JJ0XZqfQOOmAY8CWcDbKPGMHN9Pie4zH&#10;VSxxhZDuiLhByAbk+NCJTgEkrAeZHKmiWIycu3Y1xdOqM2ZTY2Y1MkX6a0UvkUGhAe9prb32IqPL&#10;e946zgz/5dK8LPAihIevbsrPlgdcmBkV6qCT6LbSbOnxskvQqPAfqXSmQ+9VrXvNIyQaZuaza+Ef&#10;Auzm8fsG8M/5R6ySJqJounYrlIZdwtVPKzrrt+vs1Gccl0kHafAS3aunjkbTHw8iPIy9iwXWa2jg&#10;nXVzTxkz7wIM/dnFKz3WSi8djWW0Njk7o5RXL1XWsIuA/F3ujnqG90TfK8dl7W0XPB34xGVgUIVQ&#10;LZ7prbc1p+jGJB8tE56dOOC4bVJ5tcilfodFxV2UcQTI+8Sab/EK7+mWmLHrOLTA9el/lDPOe04b&#10;tMk/HT4hXGqhePbsgYMZRYSVetkDg0PTOfm+zsosDfJkIUc2dctc17oH8/CfdV5sAWDkBgLFZ81v&#10;sv7Z7uxXtHnOdW326J4FIup7/ahaNde1tgdkaUopLc444PsPnse+oqxReGLRhtaCmjm83H2be1fM&#10;Q49x6XsXPprz5mdXnJPr0PgQjXYt54bn1BlIAT+mHAuNgYWXIy7u6LLjMzNJJ0XnDes/0AlFJPCB&#10;T+FD5OBAJDbNY56lRC1BdKQsldblm+HXoZEUXR/xYXWmxgNrZEwCa4PQwrbu7Yr9+g7WhG2XJo75&#10;ZcTE7GiO1h9Gr48pZw0zApmaKPVMymOrsqCjzPUfwIIeBJTSTTMxzUmqJ5kbBPLdJbLJvlmvkhfT&#10;RARCG3GS3N9Cx8yrH/QIOtN1lKmRsMtX2ZwRCfT9LJHGHHyMRwy2M/1wsEL6JhxvXa7rYypVqx+k&#10;0c2LalmervF2rYld8P4VQeeg171zkvW/HKCMC8YFgwkT3RXio4vllsz2U+pnsRdrxAwMD2FXAt3f&#10;LQtImew6ODDbLSGTFssBhf6Bz5q+utDzCoQRedDR/CMMI9h84E13vF9BvR5zGO4UlivPJAxxlNde&#10;6xhgERrLKpSUrD3O/sUyB2T1ITV9Z44BmdBkF8LZ7ylqWIg2nUIIY4YOrf2Efvi359TXvtY961+a&#10;oC0szBvXUrS0kTZUR2gsMmr3M9Wiz6wd32F9un+zgzfP13FNXsX7yCfvjPfBTKLTfl09TfCs59fa&#10;6vaqW4NjvRk1FqvrbXmiIywXSgh43x2zE/q09mTyGY+hU/x4UPf/1TOeutm2RyZYsfIeRXCOju+H&#10;3MjCq9bRe8Lw9IOe77NunhVWk+yFPj5oOKZb9t5FyWw6z3p1VSHjKK2t6DS8oKsGw0F1QdV3Is8K&#10;GUaAjuimFLLEAESZ6jQed2/4htfXm1zjRgPuY/IcQ6smQ5Niv0sEEa/e2KuP1O/22xn4lAAsMGEo&#10;wZnHteHrwhvDsyP4wl8t7qOZw9P5rOZo2UH2FTVgkAdYp9kfrJ3ILoAT/vt+fQ0plS6Ze8kVPWFb&#10;1scdNcmbNuBjPaC94mk+K75hcZJMbQgeagamqexbJt9j5HxG/My+Xw/srYUtdMZEi7fBLTz2rpR3&#10;mZF7kOmYrJrxeRjONTSUNXPqumm49t2LHaBgVlLrlkwlaDb3TUZfdZsFHFdsT5d3/jdDL3no8AXW&#10;IAc1IKoOF/Ow25h9qftMTk2rsAeoTj+AgzlFYs/KOgGIAKnabGFzSRBrQASWhxT7cECl/iOqnb4T&#10;WAIIdjR2MIr36FLNEsLA345/nU1iUbiPBqOyDjrQirHwYANQHJjmyWghCJAEfTlvmEMeoue7+LJj&#10;wtIYNJ4tmWnmFBsxL4vErHzWVAYkzc8NiVyim5bZrtPnE9U19jGTD3PKprCA+BRDjH3DvLgDrlX8&#10;aVRxu2R+mDMEbT9mHWZfnO+P8v051hDoUKvkqkKNOfg5+vcxS/7hz8ZkmDoCnRXkOIQs8spf/SDU&#10;l02tYYX0iWCvraGYtQYkoKXPCFDQYXSEVhlV14j7KEz4EWRdK+oFr3jqQH74UNoX1zk8IyuA45F7&#10;rwNyixpiBeE984QESLIygMa4a8Io2Vcot5ugvdbQSU2/f5a1K1TosfCdosMRw+CaMC6zxApIMkBg&#10;ngBvgQn/yK0zTctsaVXQHObDXplytAk1rpEdpW8qawfDrnUaWWQ8xgiu8T7WJnda1Ng8Hta+5mHy&#10;gI5Nu2E+YRhjQRZy6Iw3JuKxVUcZnTKf7hX439QhBfDvaP/d6VaMH5oZkZr+iACOa5G/uQ5DENUW&#10;DXBsbSkKHKxtBwh+y1aaAo7sod2aYXR8s2tdHnEk54iyO4M3nft8eTNzCuv8+ukhTIPlYia+x0gg&#10;lys14nX8XcYFg3bMu+7fIaddECahjKnrTjwzmm6GGEsR3w1IzkPrs/p3ppQsFt/M9T4yh+HZsQD3&#10;gtRt6hr+2S03wfseRJ4/Zgz18Px6EEDkWn3Xbp4I6465M4fqo8EznUngxRudtfBV1jfKIa9Rl1P2&#10;soAI1wESNjHrQT/dpc7K9kUMM67xlnAuoJDqrKEr1h5LNz+2fnv1ApydWgwfr3k5VgQLh289BjUB&#10;CnyRwm8BkF6fYhq9ymuXD0U92ULzBn4R3Ts+F+N6EH3JY3nq+2FrqYs81rPZrlKwXHSLMRroSVGi&#10;RpLem5FFmIwSquCGWYy3c2hZ6X9juUiflPT+Yf8IVZ3ZI9exQZ1uIeBvn4T3LsHEJp2+V+NH5POy&#10;VEy+/FbZy30BpiyK8/x/88WmLNTPUVzHremXf/4YrzvDaxjufW/0D9lxtZD2z5++/uQrgN1/qX7q&#10;Lvvy24Rdbw3o975H2Wf9J3/4/++/OZKGv2Byw8l2gwQjTchGa+oT9uGvB076n2h2D670L/p3WVnu&#10;e85wgp39fdhAwjj768rWilvGVJF8lSifb7f48MQLrf36C+1N/cnPn77+dAX+pCsAxR2qLxMbxc/w&#10;9co/58YcPZWea5f/pAP4//PvsT79VHLqH1yf4fD/RXkuoZfDV4d9BMT+cV7pnfGnrz9dgT9dgT9d&#10;gT9dgT9dgT9dgT9dgX/BFZg8dvSRe5MTaqakALH1dRUIcpMUzCSYljBVu1CpAyepaT43u09ugoX2&#10;Z3/5C+3kQ4fkQlCK3QgjRdOx5ajHDOAjdVkZBb7I7fB7v/OP2n/yH/8/2uOPP9H2LS2nJKtMIxtq&#10;cvTs0x9pf+Ev/Pn20OOHuwVRpvOUPqVwTCxxd9vv/u4/aK+++ko7eEhNm2YX3K7c5voyXw7NOcP1&#10;wLQ6Sof5kIV6MMDGTyvTLuYgz23gxojpvOIJHrifA3+c4VJros9vqNHUkePH2pe/+KV2Wf0Ynnzq&#10;ccdu2MffbYW/YAM/zBRpI/9oTMQx7LbXX3+9PfLIaTVOSqdL7o4JzK6ZDxnnhz3yw6yeWIDPnH2v&#10;fec73/HcaJ5FsyvS3fyyD66/MNfe/7yh+ycbPNaGY64t02GSmRy1vKLCUUQjf+XPfLkdO3yw5jDW&#10;6mnN/fPG39crbowEyA1fvL1y43a7ePFSe+qpJxK0Z9MoY/tjrJWt3B+8DhMupj5o59x751xN9dvf&#10;/X57770L7bD6gXipMOOWT/FBuuodW38BKYw+so92YI7tJvxOy939RrDyh736nvCb8ThLlZgh/fb4&#10;z53ZMz19597CpFwaRM7jplH2DPT0zW9+0+f8V37pV7RHcm+sXmpbN99TOuhU+4ffeLmdubrd/vW/&#10;9BtaJEzVe9o7b7/VHn3ssfbQQw/ZdTo7S5aHYvFVLXNlZVX7cEUm2nvtrbfebJ/57MfaEe037iEC&#10;ue2x1e9rahH/9vkL9qO/r7X90pe+2A4c2C9fusam+0wo4JW5X79+vb315lvtloqVERj6S3/mK21p&#10;ft7xXtBp4m72tps377Q33z7X3tHe7FXk/q9+9ZfkioqXxG5Bm/LVtVYpxj948aV29ty5duL4kfa5&#10;z3xC459rmzIH78oUv7l+u731xhs6H2fbqYcfUyn+A6bVUUDtgDexDw6IqwBXqqWy/vzGRbSjblvO&#10;gKprcMfyolos73EeSN1jCj2eYU5l4pnTmvhod0WNeBBz0Pf4Pp/ZtO2S0R8cnwP2dB8CLBkPv3mG&#10;s/bs4gmdDN0fXM8YGQO/cVfPytye+kJxKbk5Hun2g3l3+jcvER9Mh2jGlbl3uuZvatNwJF3foMaT&#10;7wyCluvM4kLklSDonE9+9+s7L3dV2GJ03JO5OkZDv/ta9zPD+/Oin0OHDplP3Lyx2r773R+27333&#10;Rx4X2RJuXOksiiQpjMagP3AJ9n9vKKuLdSLOiLkTAkAtlini+PQee8V64Xqn0u7MrLIxdF++x7Pm&#10;dK8Jf3dPW1U3ZObB2uMKgm4YO7/h/6wF93enZL03pzk4m0VCc4MOvHpvUY0OGS/3X9d7fY9NK7rn&#10;FM/T71u3b49k2tGjR9sjj55uz37kuT0ac4IkPsALRxFw8Tnl/1gcNpyDn1xgt692kFsJUzOhBFBV&#10;FJADMr/z/Rfb3/nb/1U7f+6i/X28/upf+yvtiScfUdrXVLutCodf+8Nvtv/z/+U/ak8+/Xj71V//&#10;anv49DE/j2Am+871N50UISQYGWU67XkieAdaGUi+DxW4Q2vugKOOhc34gn7AHvxs5Gf14yIEP0yQ&#10;PPj8XHn/AH6ef/LDmP0vfG8gx4a+7H/h+/wxvjAUWFnvn7Oof4x79Uv6OvZ/TyiEmFxyxzvUz/0A&#10;pNOjmAq+/wcEvkmhB09aWGSXzLOLLMuJifNUB598kwShBkX8nFC/D5nqh7ly3JnQjIvsDdGuBGza&#10;+/48x09mHkDQ6eqPv4AdSAzXc0i3ji3xejwA6hhRBU2ZGeucwgwp+czvJYF8Xv/d7/1TBVyHWftZ&#10;2pMvffnLKg62r/3whz9sb795UaBjsz376L722Y+cEFPDJbrdLly92M4ILC8vzrezEq5Xr15r11XT&#10;5a2zEtgIDuKbLAnlzTx2zD7et99+t125eqXdECNcXl7ymMox6+cuLe1TXNR0O3PmjDq5Xm0rt7+h&#10;XipLLiaFFxdPLwwUcE730VffOCfwfqNdvHa7LYqBTitQOJn3rAeZaTPt8KHj7fz7V9rtOysS4gJS&#10;aZghNkVtk0nxJ12nFGKx9La6o7ig5SPt+CNP+/6bcsC/8+Yb7cUf/kQxYesCKksute1W5YCQrkQU&#10;iOjAgXUd+sXD3wSESiD173WBPxa4VcfGOxN+nCDDxIk57kvrOErb64DYsRzhu71XRA3RY+ScdeA5&#10;Ah8PaBKd9/X7DL/Taa8LYcJlDLFZhk43AwWsX3//c1PIsAONIYhwSfjywff3h2v74Lr2OTw4ryGo&#10;GJ6XTttjcDTeO67rYCVAL/GAzA/AkcBbBHiVFYD6BQL6mKA0/s1iEKuCQO5AoZ97riVTkUwuZ6oZ&#10;KOW9uZnlducOxfYA9wpapuibxkFQpvvMoKCvIvyjUHHKCebckNAPDRLTkc/W7wgIlDJtsKj73Clw&#10;4P3VNT3WsP/bp0HX9hgygKHjDAvciuYINixtzkw0Gv19wmGgMUYbCQL0y1oePTBKhhef4oEAiRVV&#10;JDz33vvtyqXrGuyaDupq27dvuV0RA3j9zbfbxz7+EQrLqdrk/vav/fV/pX3qcy+0P/j9P2z/0f/1&#10;/9aeeeaZ9qu/+kvtxImjQqKZIJYJAvtSvChc3b8GOKgfhk4kQ2J5UJAPP+sbyu9OVB19d4IdEqsZ&#10;6v0rdd8jh+PwsiCfalOHTP7DAMaDY/95/04E9BigDA/Bh83/j3vfn/s8DgIM509wo/tBUwcg42Cs&#10;vje+rkJ1oDMHJ44YWv9eaRjWFMfUep+YNCDoA00tff+zLnKSFIFY/i/aFp85tc/R+Hn1Pe737r+t&#10;pyol+QMvfTFGBhi3enY4K2kc7T28/oNAkrv/Iqr64OPC3Icz71a7HAzTiM/0AyACBuQ1UnVQVQnF&#10;8mMlQb+nFubbpUuX/LC5OWnVBJm5xDSZWNK8mffMgoLY5lQATo3UNN+bt9bafllaphX8NTl3pt1Q&#10;4a/3VNb8lFq2vyxtn86rr565aAHPcAAmWBCpcPq5z322HTlyuH37pZ84w+vumcviC3qGrQbZBar0&#10;Pf7IY+3IvsPtJy+9pWyrDYGOK7FUiIES+EvFGgTu6YdPyZrx6fbTt89Lu1prb124YRDptPVi9spv&#10;F4CQZfALJ9s7ak1/U5ZCxjuJ5iXQMKvOszMz82Li021ZPVsOHzvepg481J7+1J9pjz7/WYGFBO4e&#10;3HewvfbTn7Z33/xZO3Rwvxm4gwwdFFwBfkOr5AD0dqHWLQpD62WnDbTS/jlfdX8ZgIrmwp75O4AF&#10;vZLx1PUpiHm876NaMabLAIoHgYz5k81QQzob0k6smqmDEcXONQe6PPDIYgWoB3iNEmQZ+vuwZ9fF&#10;PoOO/i/QZWsC9yyA3QFQBwkjOVTDHZ6nB3n1gzz9w+bObfrzh+munZcDIjjLWBHYB2cIaoSQIAI/&#10;W+5o1jR2HI09lhX/Wz+cAb4LaOrtyAFKVIX1mSXNsoJ/d/Qe/YYmYXS9MrSu2lHRR+e8obQ4BT1A&#10;tKfLD5M+DAF4vuN5wxNIQ1+QVwHa8thrjVlwMjbBAtCXLeX1E0vWXgH85REGIGuULfdhHVNOUaFP&#10;b6lvenRSrTJQd1DTfzYtmRrrp1YpD5MZUKDh5vWV9puyLMzPL7f/43/wf2pXrl9tx6V5VLC8m6Xw&#10;N8z24Uceav/Tf+dvtddee6v93n/3j9r/5n/777bf+M0/3778pS+0/fsWdbCJJqUErZ5L1Us932l5&#10;D5igP0zLNyH8AvE3FOzjza+NH6DyIfF1ohgeuf7d4W82sD+932r47180rn7vEe8ZypiBXDDv0v8N&#10;zeTDcT2gWPijfk8+G/C2oVHnvql1rSWNWepEPDj5n/PvnwciPnh5ovFdqwSEX2ZJxHXytMer/qBo&#10;/KCoHF8/2t/BA130SmZwflvpNS9OHsiDrzF4GI+gePEHL/ahIMtFmuyUmsOR/z5cYD79kA3Je398&#10;iBZm2/cuf49vO2Za9x/QGi5ppWUVhCliroXBXBfA/973viO31XfbX/trf9Vn3vSpo8aexMxP7xBp&#10;wsh5qc97pmfdmIvMrYOLqjqo9xeVITUnQT2ltDvlkvvvvVMwPn2byHKyWqydcp7hUhJIYq7bsmSg&#10;kc0q/Twch49ITYOxUq2WWh9E3PNw/Z6SqdgTT9n5CYEEGF26qop+qL5KXx3n1leRJAAF58UcU3yM&#10;jsLKPJoAAID/fzk0l0UAAP/0SURBVFncpzozC7JYzMnSMus+PTNyqUzqb0a+K1C4cluMXvc0KNHz&#10;5vYfa089/6m2uXqtba1dlUZ0wKmGe+VCYh5Dbdguo3IZDM3GQ626ExNj74XzhrTTQVWAIyZ7mcNV&#10;sTLWLqy2uKVCFLF+Kf0RvkBWWt3TdSrI1mF9vcCsPxVc0WwpdEW9UBJgkwTba2z4Ct3LEf5p9OG6&#10;K1iCPBZvQ8C47498sIvCb/hnV4oga2dBqevJqrJNmftaeJXrlbOvuVEtdK+bK47PRbdGsFZDC0kH&#10;F/29oVWlu3AACRacA3fG8Lrx/cZZFKPzo7HMClQKOccNAbcQ46DbLCWqU3ODybE+EdxO2UROcVYt&#10;rqB/qgJjoQwIdP0FrQKuT/bEPSsq9XJH4Ht2YlZrkDoefO5sSlzh+g7vzWhMgPS+HrZI1+53eupA&#10;1Iom+6T/5jkXuCpu3U5mjO435cyUGrvlu9YBLQGZC3DVOGbVlK/jBYMIFxJ1LnfMT/3lP71vSZPp&#10;5YlB/FU8sy71Uo4GZqbjWIG77fCRAzJVHjaRbag0MX70WflvUDQnyvlo0KoBkr5C6hMax9PPPNEe&#10;e+p/Ib/rd9sf/dHX2ze++W2ZUL/YvvCFz/vZrhsOCofgGHn50Doy/TAG/cdhzvdZCGBQHMxCxeOV&#10;yV/W8/x/D34SAXHfGLiXCCUbGR8ixByn0GihP3ij4Tv9DA1lzAPyZlvjdW0M7m2BO5K6H37vX3Cv&#10;D/sCWhGvaAejwf/icf8xPrUM6CtR685TqMe/rZLTFy9cMtNPd8tKYbMoC216BRFwLoYGk4gLbKSN&#10;wL9GYQFhrJOiydu377TLV261xaVr1g4MlOlZMdhU7z/0bBAdn7IPMxYxI/v7X1yPsN2UBnH2zLn2&#10;xBNPeEwf9vqT0unwXvfT55gYo72NgcXQR2/wX7TN30tLS/bDfv/732vf+ubX1TDtjs7aF/IYTbD0&#10;1gh0/yil1iCPU646L0ADF+rCSXBXfUWIg9ILE6z+wmxKy3eusxamnP7eqCgpZaWc2NTKFxFAKXyE&#10;8EcY0wSNMr/79i+5TPA9W1DDd3gYM893oQjmx9tVCZfUaYR+0ZlTqatfCHxndn7W4+NcZt3oIKte&#10;KjsySyuFbEvWV3LKtlST5t13z7XXXz3THj4lF4wKxlyQlePaisqui5HvbvV0XqxniQeIiyH+9u6e&#10;gC6Hfn/PuHhYd+H1a/iuq75a6MU1lviBgDoAAL+c0qw/XEhLP+EBgHA+00mp+AR/kQXTvdLzKNsM&#10;bSPQ3RPHhfmwHtRq1jXspf9jDCNETwl7ZAdrSiwddSO6pQPWnjL5Pou+H/1nEt/g35xzAwjKCURD&#10;dgwEwpSGfVhXmG+BiB4TMbKsGHQQO4clLTEdfS37+sdqEjDzII/33A1mx58NQRvWB+IpeF7vYM3s&#10;XChRc8BShYU8ojLcwCnO/d+u8cEeVEye/rZ7QRekk23WwovDWYCmqevAJb24k+UH7ro05bLlB9cG&#10;8SmsE25fNpJtrbMQzHa/cBr9m/c1nzuKGer1oNzfCLkFbXJfYruwTmpdmWt/BfwyvjDUSXJ0Q8CV&#10;i+wDyaz6ycxNTTQVB0EMBBqH4yBYINNkGgIxtjD2AM+ZeZDWpHu9v3fh/XbxsvynIoqD2hTAhCft&#10;drSKd8CXV0huRb7Ts2ffFyP7XPvi5z/Tvvnt77bf/4N/1n777/09T/SRRx72uEFjdIjkRXAJjLAz&#10;z9Gs+x/Z5Q++XRs/FPwPWiVGtyjGzL+HaDj08gBwGK+6/6LrJcFYjADT6crKTQWqSoPj8GlTesAS&#10;99lSR8x+8MwYHIBawtJEFytQf+Vg7VVA2Y12/jwm3HVZbpbdrMrbqet7kFQO+7gWgJ+ndYOBMgYH&#10;9QyCjDpqZ0/x7XVfGMVhAII5LiHg+14PBFY+8GHtRZ/T2ErUiZfrAwjuSiv+nhncjF1pCkaSSR0t&#10;n8qJCC93/iuheOPGDQeFYX4PqETLofNmgis7s0i8jZqAyVr20ouvmeFyoAjS61a2vsf8G1DgCn9l&#10;zpuXpn1PAckPThsNhXtR3Oza1as+jLQZ7/TR1//D6K3T1QeI9Oe+MbRE5PwNgcMI4ZqzhIYCcjDb&#10;JjiPPf/Rj37Y/vAP/9ABiS989Ln2Z//sn20ET73yyk/vB8M1DugJ5mKbhC0U0Y6Y+51VBdFVYOlQ&#10;mFE1EuEAk7Q1w1YNhGliLeApWZOMOmb7MHYLVo97b9u/f//IlJozEVD44Ctlp+N/Hu+joam/0wuh&#10;GcSgLXt8lDhXEGP1ZyEI7a66S6KfHzyEFq1Yj/NX2j/6J99o+w8tt6llNWGbXpR7B/ctz9I4lG/v&#10;FuScUTcaq5iYAUPvZ7cHGzL2mLcTDNj/7sGN/cxR44b1ikshM+73R8AgvG0xYb3onMrKWDiz6qm1&#10;sYf1tguorBGUkQYgs75YIfQ31X39AsSLjgFLUwBhLDbskebax2qAgqBHwMFbaDmg5xik6had73SA&#10;ZprTdTtaawIRAXEEFHovvY5RJA1qpCnzGaBzWrEwXGJaqaDEDsz6WXIJaVxbBkoBZoyzAwze69cO&#10;z2MXrh24DcF9PzM5N9nLLRVbc1PH3NABx1YxHFxZVXlcQylj8D3429dk4+Al6ZoKrUQOb0upGQp+&#10;uvWC5LAQwG/9TehD1++qbkvGJIBtoV5WpeIB/Xn9XOS+OSuMdZdqz/bDZE1i6Us5a57E86ACml72&#10;MuLMl7VMMGbWWFSRSYMWQc4wBoiAYadpSC0U6MQCP/XPsf1S2IkBpV9DQIfjMb1Y6AgT7fbaHQ1C&#10;hCJz8TUJzYdOP9wuXbyg3gMbimAWM4CguK/+m+XA+ntKt5c/9Wtf+7b8pApiOrLcvvqVLygS+/Pt&#10;7/29v9/+g//wP2w/+MH326/92q+1Z5991hNC8BGVOowiHhJCX8h/Gb87UeUw1dSLOH/e/bks8Sfb&#10;ihF5T0z7R+0VZZi4ARWqAsyhiMuASlypu2gAST1qlvs7HiQqlw4I+xaGEhAgoajrAVQIiWgx4wMf&#10;ZgodhrHyXQjnMUXN4+fqzHboT+xzYo2vXLliJr5fPmL7Dv3h/Wj3f+ga2/wJFWh8aAA92vjTn/qk&#10;aIHo6GhcOQwBuY661zCuXL3evvmNb8p3frqdPv1QjgzrQzdFq6/dwMso46ftbpNNaZkpGJXSu1mo&#10;7K99nwjIO+vau5fa00882Z595jExX7TwB156A4G4JiAHva7cuiFGmDZVQ9P2/9B1+nnffxCcmHmI&#10;UGdUuhyhxISI+kZonjt7zlkWryuz4JHTp9u/+ld+S+t22jQBzXmVLNWHexwQ2oV+KqVG0LNGaroe&#10;X6q+lmZt4yj4IdjsDLtrjxTsypntZuQxgDCoBQzoU0y+/ZrOxE2Ftbd962DsHViOGWhWLWuSneO5&#10;3boE0Ld1CYWpSvzTn2dmWj5pkeT2+ka7snFFN5hsF29ca3OHZ9tDJ06zserRttmmAS5oigSXwz0r&#10;Q6NbErqVoSsInZcM3+8Av9ML5zp0EwHeNfCaid+3JQcA4M/TcXSbbAztI8J/ihgGGiZq2u5DQUVR&#10;/WNDmStwa3fpRQgpcNT0TufWAjWO8bBSwU8USkz3vOe1xKjPe5HwBiSeg6sm6nPLE2ShACQCynQi&#10;KpEQw63iZs6iEdxX9L7Z0mdWLLnnulxMci3hDtujbe/gYUj7w1gH91eiqFTR4sgVStxGKRkfOK7m&#10;n/dbKPo1vN8B3Ihf0hWYksV6uYCWrgEcu3hiBxAFGuKqCLAxr4He7FYr0Ig1plBzKpCyTtlru0BK&#10;NrqQYjelmnQrsoF71nV8OdktASpdFmeP+L9U64w9NZ8DZPq+8SxjAVlVeLaL+AHCACwFiLjPoYMH&#10;7fokjoqXqlwnQIeKjmADBM9eC7syr/kgxARvn3GVzlXnLgVgcVDiyzHBszD1myyKCXVfe+/CtVgm&#10;hHJeefU1I0zQPe2Yz8jU++yzT7rC5YbaLAMcSGs5IA36faXdXbqqYKdbd9r5i5fbW0oPI/p5XgFf&#10;v/wrv9pefPGH7Xf/we+1r3396+2rv/xn28c+9rGRJj8MiHmQYP6H/LuDkk5Mo9+IsmJIw2tGhOjV&#10;Y22VRqMOlZjQ33zzTaXHPNM++YmPOyodUNfRMiazPfK5QqDvvHtG2uArFtwxi8dPOg42DJE7uKkf&#10;ZD2LlCKEIfvZQURKoTKqMH3eP3cuKZt//s//Wjt5ksj6VEUbaXbFmBnLNWmpv/u7v5dUMfbZyLcz&#10;4395QMLMksMgmuld7TikJ0+caKdPHhkBzVClgbppkxea1L6lhfbcs8+0p56Itepf5mtdGgipiocP&#10;LrbjR/clbu1DXqzz/rv7FES8pAOn0vICEd161IHu0JJ03y1+oQXn/ocV2Y1xXGkhPdCOq2FMCEZc&#10;Aj39jaDJb33rm/r5ti0O/+bf+lvt0UcfNV309LZ+rbWdelAHoTDnWcUHpIGS/QZmNLEcSHBVBlcv&#10;sTsS2CUIrbcafIy19N70rz9jCIZGlrPS1KNhArQTsZFSwWNmGQ11HJB7vyUii+KW2L4u4CWWQKqx&#10;YjqH1+ESIN8DASk+KGm3vbUq4bjdbq7ebHu3VOFXro5D+4+3aVL89N3l5QVlgcy0BWWk3FRaaLIn&#10;xjDzPgXkgfeTfRC3B2mcQx9+0vuYY+4VMMHfZRlgXbEIIqjRxPV78i4pnYR8ED9CyxMER0Az/2E1&#10;Wr91xfFoBw4oeBZOzbWWXFJqcOsF0/k1ARGVgNqjNaK8dJQNAa/ay5FywhJXt9SpEpIONkXr1dim&#10;iTOZi8AjVoPzvX9pQrz/gGXRjqw/l69c003SsmCDisikQZYFoq/BcD2HCmS36vYYkM4fh2mfw3v0&#10;vxkPz+kWzH7aUGb6eXBMheMDYn3oghhw4ADqsoJ0txPXp98KCCFuFwMaMjjqAT5jdG31jua3gVot&#10;v0mleE3n3QZsui+Akc9teS0LYAckQ7csd7blw2cPXxh7kRuPwk3qGThOGKtpV2O1QUTXYUHE+p+4&#10;u1w8aYSEL0T/cI6yNmtG5aLZLLIgEPYIFvucxAhBkSsrt9o/+f0/kGCTqUnEcGddJjSVvKZnhY0U&#10;gARN7oLSu2Cct+V34TCtquvf9etXnII0tTsjk+A/lukzwOH6tevO54aY2Zzz5885+vqlnyhaW+j0&#10;G9/4mrI0TpQpZal99au/2j7xyU+2HynF7Hd+53cEKl5sX1baGTnoHMCee92J4F/G7yEzKAV1tMkR&#10;zKW1sbz3aW5ZbrQyGDnXodU/dPJk+8JnPjPS48esZjxaLLo3b6605597vn1cmSx/kleXcx92f9YW&#10;gpiRdhfN0mqYfaxhyoan9diYEQFp/MwpxY06EWnM8y/vFS1XVhUNIKbyWFq6OY8Yn77+bkCna9wP&#10;zYciQWXbQsl8Z1tglnS3vWKAaEJjaZv94sV1CVLjOXXARsc71/R8953tdSHvDd03pVIf3Oe8l8PH&#10;uiIXiL2Ii7gCkQeR7P9iqzakunyzaxb9Ph8qsHQVYAzrw1W5V779rW+1nyibAGb2W7/1W+2FF16w&#10;NY/vOmWtrBC42z7sxbqFH0RIdzAd7XrCAsLuzhHn65aFXzBbnxf8vuXSKIp60DIG/wlDD4Ptn/eG&#10;ZVF9M77+k6P4IIWGefI9QHx34WGJnSTYtl58tknU/DTt6ekafFumfVkGNrTyAhGb21PtwuQ7bUmR&#10;8juiuel9BKqJBicTjNgj/Rln/3vor+cxXajw/tZ2OqRaQMDw9btbLUoG1b/x/yOMAsagWzqOMvdd&#10;8c27GueUaJ7m7XsRbD7MBfgt3GWN0veOHcBUTYM5gSIAh4MDqexDI7m0FWAsIxDpgEzuhfuJNL8I&#10;yPR1KJdpNXAy0BHhx22WmDC3GFAg67R6nxMn57RE2lEr6HZ6YqedPjav+CS5CQViJu/dFB9nTnfb&#10;lZvqsST3ZQeWfc0epPtOD8Oz2WPEhq6Kvrb9fsMYldAw606p9+oPMzjrWExovDd2U+QUWilgL4oH&#10;pGWB/oGQB3CVSwIa7p1o7+cfHVJ82Dmpe+mj3jOFPld7Bdb3yqpEzEIs2WyiAAoyu2IxxncrVybA&#10;thIjcjZyrV/IsBhAPBeD837OcuIcR8EP59z0ywPJZbeLQhNNd4eKqIUpy+JAKB1EsiV0KItouyOL&#10;wP/7v/4dAYyN9uu//usScJ/Qw2QlmMkB56ET8l/hX70iNHn06LH26COPtmtYF1QgxkJiqbWnn3zC&#10;sQ34uiiG8U//6R+0Y8eOtj/3K7/U/u5v//3293/n71nInjz1kKz995QG9nkVaHqy/d7v/n0dti2Z&#10;XR9vTzz+eHv7jdfaH33ta+2//C/+8/bC8x9tX/ziF539YRNTXyR8fhyAEvQW+EbxCB6vktc/jXb0&#10;H82+CnWPVrfDNQRN7cw9oHXfPJ/TfBZDe+5rvlZCkJbVNhNpE6eIKmdtR8+PFufnag8maTR2j0hw&#10;EWGZz0Yb6uGiIfJOgsd4kFN5/HwmFj8aV7r2Qr3fSRXtfUsMB+Hb84j5mtsCY97UvXf1bH5jGXEK&#10;0ob83XrGvLJk7okenGs/cmcFdESQ6SqvfQjSoxRzJXDW5lH+LQByV+ib/gX8R297R+ubMTJBfH5y&#10;F+g7pO4zbvPBWtsOAmB2noQ+6e3Gt+Wa4PMptbpXdnCi9rE8msLjE6eok+ORu5uDdWYt/HnaFWfk&#10;+ssdbRXngElX89gUk/ZszVQLmmRwtS8JikKrcgR7oTLThhck2v3QLMmawMAQBsZtfeH8HROsHzTW&#10;Lnh+Dr/3veiVlQBIAdbJukDgXrt5rf3B17/ffvD9H9iF9rnPfaF95tOfcX8ZmB3ggduvqljRT19+&#10;2T8LMll+6pMfzyY+8DKIKIEfOow5PAIyAiOsNfPtXV8/9GZ6sxdXwhphzc1+/+q9U1+y1lp+4cjE&#10;vvb+R2jPO8f744JFWZ/+/0WU/LPukc6SuaJH0fdxWkCiTOE/5ryo+ZjkigSalK3Z+bYwudhWrl0R&#10;T7zTDk1yNrDO8OwKUutE6rOZfeyCY2i9HAVc6nOATA9g7hZH1gLFyD1jfM9YImK9KbrDSgygJq5j&#10;Y03uASxQAtNuJz4GJd3kzogcHKtzhhXJ3MPxE1gB9W/AQAm8LvQ4Zt4X3pcg5Qy5z1H54wm55zy6&#10;H5ODP3EVlcuQrD7TAgHJAlpyCVHgix2Z1Jm6t7vRbl45p4yBoyRMydKBxRO6RuPGP6+AfIAWLmA9&#10;s9fIiIsu4xpmvvQ97Os9FNgdPPTf/bNYBzPensbagVwHDWMQGLkI0yATCB7k+enHt6kxjYCkLVux&#10;QvQMuhHdmSyzr8VNRkdl2PG1yNbgjudUEpjlla1z5QoJB+tMpI8lwG+YehyLTdxu/cU900U1MRJD&#10;mmV8WMVSMItQY+3dDj4Q/UEO/bRSnOokCVUr6EWCGxMNBaUSXCQkLqJsqnD55LMfURW+H7b/+u/+&#10;w/ZvqujMX/1Xf6Op1xUNkQMi9PORZx8lssLmvbeUz02qyl7dc1oLOS+rxm/+2q+2z3ziI37+7bWt&#10;9tLLL7WDyuY4dXxfe+j48Tan/PLrV2+2V15+VdXn3mw//cnLytp4RhPDb53Ddlc+6Weffbo98dgj&#10;7eWf/sxa1n/++mvtEy98vH3xC19qB1U5blN+TDScTREsiUsWqsWUnaXUDzqbDq+2UOxpfuPFLaBZ&#10;G903nc8TFGNROBLmua+DBIkd8CGgHkGEJIKZoESvvVAEh9lDMnol+jbP3dpe0xy1bhyyGruFVyzI&#10;FrJp0NPHE2Ga4FZWf9ygKh0xQ1z4uojuZf3cwtp9VRPlbXZn+lOwp97fJXDKz+KOfIfMBDFMKhc6&#10;uKZG5kDbWA0wDaRdvG4Ds9YNdmEs+MsriGjH1S5hEgl+JEtsUoLcQT3yi3IS3eqIdE+Dj8oJqoNi&#10;caqxbWoOEtfArrahQ00Uv82sZaHYtclbB/2ugI8qsCazW0wMKt2lr3UENECBueL3tYFD62LPNgKZ&#10;tQJ0TpLqx/U5oOkkaBlWPCDmza699eA9mIyZJwe/UKXbpMOs9dWhltpjjEZ8xZTAGobBMBvvRbki&#10;t/Eh62KLbYQ4mU6SIIuyyK0paPQH3/9x+8ff/IN27fZ1n4kvCUDMz6nGA1XrNjf0twKSBbpe/slP&#10;20svveTvfubzn1XQrwKf8WsGfd3/MoiQyEQJQdOVdo6FaA8R8qR8MiuZvPksJlS0YRa1/K22xgRk&#10;ACKhmwkBVfaM+eOyB2gnBVQ/mORYZIRVR1iSNFDIrmytFgacMPc1r+qbPb0SwGZBFxjN3sDVjPnw&#10;8VdgsM8UXzegCpC1u4TpO01Ber3cWVtU0Z2QNZXYctWgWINatm63pZlNuWWV6bEImNWrrATQolP2&#10;SrIMhVpn0F0wBYxJC6cTKqZqxlJgk7GRNup917jYlgjSnE3zIc4JOZc6U/FjR3GKWpJNDCDNDycq&#10;JzhnlBNOTCXC2wGZBFISY8FcLFAS8OpMEOhclj5n7dkNrqqVHGIEEEoq55nxhalYC2Cv9+ocYu1A&#10;k/b8NRe63+6xgip627vQFkSTh/fj0rjZ5BUSgNKPZBCWgVTfjfDrQed9Xl1Id0AxjJfo13SrQyfo&#10;bpXonztDq1xdfV8CWmL92sA6wXq5KVxSlrGk4DACVPQz30Fvjy+DLyBP0+CuXEX9bBdnvj+Gp3/Y&#10;4XH+jdJmfZYAWDKYimf7fc5KAbrEluXcGXDYwkzmRRDOKE2/n62+IAaAabA2Oh1Y9uCauhlZSLNS&#10;MDpLkOwKmqXwC++GYIMgyZ929zYLFwQkdKoMAwW5fO6TH21HVW72G9/8Tvsv/s5/1t596/X2b/1b&#10;f6M9Kp/1pq5Du16Yl9kRwmfhNxQcSMxDBeOQ6onVgpfo0C6VaQkld4jUe9dUS2Kfgve++iu/3P7j&#10;//g/UZnRGyrn/JpK4r4lk6yQ/5rKFV+aVi76THtIwXYUwPqiUtI+JtPsiz/8Ufuxfl760Y9VSObL&#10;7ROKO1hS0OCOtPkNFh2GAhFrcIlEllioA+9AGfyfEky9kIsP4kjrYcQ+ZV5EzsckwtCyv0w/PozZ&#10;gjB8AmsCNVhP/iPXllx3H175WImqtoVAByobHxOgsKPGwr1ImYsNwVeYp8ZyEW3WD9UL6uo/IGQ8&#10;uvlWAmv4M3/7O/oukb2YpvMRjJhhpMKiXWcIKBi7CGlbB4GUJo8WpugMJWjDMymxgLmMZcwi+ZmM&#10;3q6CxNykS5z2QP92dgdgCzENkSomY7rnljvIB/ogjYn5aizlEorYUM4yB1N/+xgLLNqFgZUnyrl3&#10;wkTlgSSjgPVE40Ju9dOARYJRJdCXOYdpeFv043gf1slMdPxZzs14niTOZ81RTuh6i6so9I6rjd9D&#10;dN81nF4oRqqkxpR8fFsIvYzhBF0AdMEBw5gT7fc6CvixJ1QhE6Dyxhuvtq/90dcUV/Nue/qFZ9v/&#10;+Kt/Sxa64468pwS9rV0ayxmlLH7v+9930O9zH/1oe/a5j7RlxeBsKX7n7ddei/WudtE7ifBBE2VP&#10;2UebRkNz/Dao8Vrvaesb69agsVoAVPpaF6wYLT60bIbPPXyOQjXcyH9ZY86qjkzro2fW2kOCHkbM&#10;sP1aM9GiQ3/cr+NM2tRfu+XzVPfwenPOsIYlUNHR9Fo3ivPBiKkauCE3LmnIml2753IVmJaJnE8Q&#10;4/DVY2C6MBpqxp0GnLECA69Yg/6d7hogZgJw0wOre1l77wVHku/jDgGgah8Axfb8uLNk0VItLWMD&#10;AHDyANA+IjC0bJ3XkTNLTMWs3ApeRyyU2ksslBB5sEGsF5Pq9DptHCMeglaOdlxWkhwQraeDCgMg&#10;eV4eFz4EzU8r5g1hDHbl/aQd4kYnnZIO0WRljS1UW1p/zpRZTQFOvjmM5+lWnqFFwbRRIKafxXEc&#10;RTKOujus15PIc6RuOVBUSqm08VomuxOcxSAa6fvb9767o+pQjGpC7Fa6/JhGwkP7z/3KbfZlZMUa&#10;ENaDZ3O8gSWkWEluy5zKbTFSWgx6jJJH68eeOSC0y3zOJHyU9RKo5B6WFxXoOUpeN9qsSP6Yu/QF&#10;oVn8VpPyDTleXgdqWg/YWr3R7ijS94mHDrdjf+HPtbNKeaL87f/qf/m/bn/zb/619iu//OUgVj14&#10;U7bkOfm/CDhyCdva4Pt9QUn54UUEOcRFCiRoHJ/9NZkLQW/f/e53xRDfdsVLsjtIodsjwjpx+JDc&#10;GM8ruvwR5afPtF/68p9pn3zhY+1bitL/xje/1l780Q9cpveZT32sLS7EJAYhjNJB4/PwK0opKwZD&#10;4aBEqBvd9ba4IO3O3H1pFWOxCTfqjH3oFoQgQAXVARLIudXi8934/Qna4uC7SWue6+enLSwvgwn9&#10;EOzVX6ky6E9ZsTE5DZjDgMbqzxF3rO9GCE7NqcCQBNyEhC7PBHTIg1Uvxbxw/7rvvEr6TsuE6+As&#10;CS60jG2nTZYmqOtiycl6DrvUWmhYSxSdGenzgx8PJoF1I/0CeP6kaAbLF687q6rnvoF7ZU4xNXcV&#10;f4P/utJTbdrWIQAM6pEUSZGFVY+YbTfubLeVO6SQda0CsIXlg2fGBZU2uho7qMF7jnaASZC3e3iT&#10;T95IM8GNhoa9urbbbqga66411L5eAZFhLEkJXdP4b62c015P6/ob3veuLUF/3V9LJoRNiqLnmQkx&#10;SsQoa1mC1TUNLOSyj4mx0F656FECphAsuMuu3bgui9y3FSf0o3ZAkdR/+a/8xXbqkUe8RlcvXK61&#10;V78aaVQv//RlBe7+rJ1+9LH2hS99WfUiFgXQV7V2t0cm9ZDamFWlxG/iPoYMjLUGiOzKt+324boO&#10;n3kqVELbP59ALUSZq4XnB19mdCW0RqvtM3j/9Vn/scvAyhBkZ+Y5vrbznwiI8Xc62Ah9Yq2D9+LS&#10;EEhAG8P3j6WrpoLLVFBCtJdKgzYXAyS6PbsGy/06IOguii70xu6NCPGhqd1BfL4X2mHA24Ma7hiU&#10;lPjpgJ61ZNlNn2UJyp9+dRZy18pU7aQVkvF9YIHLMgsd2FJNlas3YiHaP9821PekzUfxpNqNouja&#10;nPqW3FA9F7TxmQNLbfHowXZH53i7QA+9izhXTgwZ8bDAxeR5SVZIQaHk+qpij26qXPmmLGWqG1+a&#10;e/gwYMJCbgQChtaYcYD60IowtP4MwUY/jx1AxM1APBMp90mz7/vR/8YSkz4TjA2wQTqkzjL0UdcP&#10;rRvj/b0fCHwooXtpivfXXow49y84P/1eQ+DhrS65yt9dZvV16+uT4z0+M6ZVeI3pxIfHMhDljQqX&#10;M2TRYFUpPj9p7RBCYyFIxxIRwxjXVUd+ShaH/fuXbXZyZDeYVVrSppjMpSsX2/bqfhV+OdKeeVIN&#10;ZxSN/E0FP/57/+6/p5K0L7W/+Tf+R+3UETVMcgaHNlaaN/7huApiGiILgHE6dUqHkeYxBGsIXAo4&#10;3KjSonEVkEFySqlnINNFRd9/8eNfMBpaU6Wtnypd8utf+0a78PhFxWc8JxfGPte1/8t/+S+3X/6l&#10;X5I29kftj/7w99vLr7/SPvm5z7icNvUGvDAcUoOmaD+4GmydYe1KeJiB4t8zSCiEGtufFziaDHod&#10;zDWWnF5XAwsqjYFgdvgAOUHSTZXOKlOxhBH1cqwg+HZYfsqGEaeWNot7xxqxqbzgoOMcOPutSL9h&#10;/PZrYcpODjEWHa8bgEbvkX62tbteOdhcE6b+5ttvt5t3Ntvv/+G3JEDUzExCYFsuJ7R5HXfdl2Yu&#10;PFeZJes77UWVJV5RrMuUzLkzAodr0lA8Z+evJ34BcOAxoRkxDctorc1GrB8Zvv7yeCVw0MwFHnAZ&#10;TM4stgVVP7wrjW9S7h6Xqkbz0Jq+e+5qFQNCywrzn5DAipkOLYAZ7xWAuNN++uq7beEfztsV4mpr&#10;sgZwf62ixhiBgMlXzjWvrfC1rqXi25bWCb9uaUsELCkGSP8nOpV5WfO8pqZgU4tL7f/5d/97BbCB&#10;WrIX+J47gyfWZF1+6Vu3brnsMq87EsxdA4D+ARHd1Il1Ynl5n+5FqthqLHi2CEZyck5jjfCtQq1o&#10;wJo3y0tQNDY81ptnbmIxVFbIosD7t7/zrbYrN99+3Z+1p3YIv6lSh4Z94NBhC71vK0uHDKle54JA&#10;51/5pS8bCHcgybM7w+ljt3+80ojduMnKCFXvIpxTGGfMpDKD8cvkoYfYCsjfDK5L6bqs4zRowSm5&#10;1pQ+vLKo+R4gHmrwc+9npsNnR7jn7ma4A6CWseQgQqdoa70BFOWHsUYg8KCrCZ2HgJTQ69jXPUKY&#10;9wmHB8cQZj8GZSPtdbDegajRCLvv32P0qYrr1FYA+7k5fzZXxmWWofnfWCkix2Mr3WsAUVYgQL6A&#10;NII/qaCSCyqktXrxdptR/Q+qJq7JLb29X1a1hYMCjDpa4g3tupo3rt5rS2tyL4qXz83q+WpzMLGo&#10;c8le6Xkztmro7NotEFuUZ20Qp2FJqVqQJYL+JiB5PqcyIjEokZ+5MFaXNO3iFRCVQOZudeD9DtpG&#10;qaplwRiCtx6b0LM2HFegfXX6aWnnQ4sFqfO4O2+tXBWQWB+BGayTD1ohOpDotNBdFX1/Os09KPg7&#10;bQSkZ8ssgwpEDEHQz/vukL4+7O9eu2P4WY/V4HEuBFYKMYNwirveu6PMQlxNrP22eBwvZ2cE98Rt&#10;kVQUAtLQfndduW5RwVcz5CorxYnGMpMisGsXz7Xrl862k+pYd+yRqfbQsYPtt/7ib7Rvf/s77e/+&#10;N/9Ne+3VV9u//W//z9oXP/1x3//27RUX3OnBMES4Ds0+PSiL5l6bKrR09YrKx2pDjxw94lTInyhe&#10;4i/8hX+lHVJnv7/9t/8zuzaobQBT/tSnPq0Oem+2b+nZ77zzjgI2n1Q1OXUKtOnsbnvuuWddLvuf&#10;/KN/0t6SefYFpYM+9dTTThddl8mWxYGJkn7J3FnATQkAa6sivJ6N0IkphVwqIEVz2xD4wn/rwjAI&#10;cYq8ILCs5eIViu97RcKNZ86pK9u1y1fa5Tfea7+tQFLMR/gFATD4nOhkOCm/Ic8nQp7slt///X+W&#10;PGq0bwBDAQcquiGwbV61UI6mYp4Rasj7mtOO4llcEkygZl1C2qFU5Sf7w3/2LQMB/K2r0vwnFPey&#10;R9rAjBjRpoQg1oq7+lmXAJol/35HWQrEeEzOGwhNEkxlgS3QQT66UNgW/9a1O1hkYCyW+gJUEuh4&#10;yaYU5zEHs0LDwrUws0/v61p9XYWiZXlQ4BbR8gIrMK8L7182A3EzKI2bHg3Ecuwo2HN+Ws2QBLIm&#10;ReA7Aqsrqk9yXYwN7WAKEKEeCORTTGuOU3oA8oq39S9bYaDtKQGmPQoWJgyN5CtiLKCgvQJH9zZX&#10;dLHiUzTeHa3DilL91jcEJrQOACeDu2oaxjmCCaFFMWWEKoIvDChMHVqCdjmMWCgwlf7mb/6GsiTm&#10;tZdJ5zPXB+sxBm5kwBpBgtzDBjWndcPy8A2BhDfUCOqY0nQJdj7x8EPe6w36Lug7M1rzDa3nj5WV&#10;ce698+o0ebp99vNfMIi+rMZYxxSDxJ5BWykOHQLaXe/Fb7oIKw29C1s0MXiC2XgYN70wMEFzBnqA&#10;YHhMBHUX1uGNSIXKQMAtYk0uc+7X11/9Bn5SKpPiABtbwSxI+bKt9gHJBiO1ZvkFUNdHPufwPD4e&#10;F3LjO/b5iz5SZZS0vYyJ95xd4P0WqMA6BHJVDAhzIsuM7zI2+AHWoT5f5tlTNodWidEcC2T1Veb9&#10;DtLG65ZKhT0VvGvjsfLUAmeKBkYeN+ddiLSXno4bamzKn9ZizOB/1vVkUaxKMNxTMPIeBbgRJTWt&#10;szStOKJ5mSdnJKspn71vcX+7KvC+ozErmcT7sWddIPay+JvO9wzxMYpxu7xxqy0/e9rWFVZySku2&#10;hDtEDOOi0vdn1cZgZp9ic2AGoj3OcwJSWQUsgqloydmhrPPdiXkrEV3bH8Y/9ID0bjXoa9xdGD3r&#10;aBhjEsCAwpUMteE6R8j2Yk4BbUWApqdOu262V2s/tCD0MXaZ0auODjX+vmM/z2rRgSJ01cfW6WII&#10;JAY7b3rra+Cd+RDwPgRRQ0tFv37khvbR5Pz4kFh2o0hjifA4ak1c8TwCMV8wgelCBN3mBm1pyX8W&#10;S4ch6GY9l9oV+RTncPGCuuSpxsOx4yfb8eMPtT//576qlt5Py8f6w/a//9/9H9qZf/1fa7/ylS8L&#10;XHxXaZvvubxu2qZGQBfNm+hJM5yVuXxdZY5BeUflpjhyeL8qxR1qD6uhzic++TF//7QyOl6t+AhX&#10;UZOPlwU/JIF8S5rUj2QJ+d4Pvmct/KisIWtKI8UceUoMdl3dzi6pNsI7r79h8HDgwEH5f9VMRAeI&#10;Koi9roJ9RHZJxP82q/WgcAv4GKvMhA4K/vQdEdHi8v52VgWkvqcCWAd1Pw7VlNZLBn/9aI7S6gkk&#10;ndf8FmXWVtJzOyCrxK0zF9ptdQ9ckSlbUEYSDtQOs+HGIQa3jKUqp1q+Ds2c3nDWz4FPIeTEHET7&#10;YozOddcPDGSGkuIwCJiFDuQW2j6uA8CBNh+hhykdgtiQW3KvmMbszkKbkha+RyYs0tq2ZSrf0g3n&#10;ac+8pZbD+mxX1fpw1Syq9e+OAOeEQM22fArTchutaT13NN9JpQ9u3L7RFgjQnJpr6zvRIucVczOv&#10;VvJ7BTomZhfb9sz+trF3Scxmui0RwEj8DFoJRMnENC7cVZgcKJ7jw6Ca8ruKip/Wet7VOmxLm1kT&#10;E6ID5F09fwbGhXYloLAKA9bYJsQ0HQArYHlHZq+5xVn1PZBFRObYZQUcbihY6haVPvUdW2T0PMz8&#10;24rwosfCxvR8uy4RPjendVbgK26vMK1UHHRNAYO3NNiJSAtIHwoVru3xEewnhdVmBdhp++sguFJi&#10;2Ufvp9YAayHrMaf92xFQevMnonWVql7Tefnqr/05xzQsHdjXNrSfWAdOah1uynLyyiuvCXi/5TP3&#10;5wQyHpH7YkbBUZevXWu7Svs8oLNGZUAyOjiVnG+ed/6dN0tfHLKq8AHn7FvFTfxGtzqQYXUZf3EV&#10;FkotmmiLP+9lfoBm3LX4D1wa2k5QWheaD1xUtB/LVwnKcMayhERBCtcfg5T+Vmeo466TXBWN2DE7&#10;5o8Bd46Od0BzZUCJ1jDKp6dEntc3sPvUhwF9Q+bdhc/Q/N7XaXjmU7U2mncXMF1IBJiFh0fjLXCn&#10;PfC6dmBoQDq2lMzJGjerttabsgJzfnYEpKfEc/fA74in0NmZl1V3Xqmg62tyK+v5Ny9fbQuPH2+3&#10;dT1By6zQLJk6AhITAiD3BPg3pLEunTogJUCggSBQbcqtS/r+2k47JB5wT/1Z9i0um2dtoDwRLKnn&#10;3botF6GUATK13JxKTBYX96RSZg0cSUMvEN6tByYHwF1J8y5Ih8K5WyO6haeDiw42xvfKoevr2t8f&#10;uoxwA9oCRaM4y4kA2X7Ng3y6n/lOB8P7/0IrRO2l5WQB4f7dIVh6EAhYptb1Pw9EdPoarlFcihyy&#10;UO6wBkyuz5nBRWk3UAcRRq2oZAaDZTr1oFMACSHV65oTWYuVYFaM9rSsANeuXW5XFQC5cum2tFWZ&#10;bVdvq07DI+2pJx9XANfJ9vaZs+0f/nf/WM18XmwXLl1QS95bio9QjXoJMzQU0CWD5TFsCBPqTJWF&#10;W5Aplhz/q5cvy/S6IqY9IyJbcU/3r3zlz9gvNatqZmj+84okJ6L/4vn32wlpVe+89UZ7U6mf69Iw&#10;P/PFz7ZDqj8xIw2cdFIE6dlzZ9t3v/c9maVW2pNHHm8vfPzjAkHHo1E4SIZccXzPWbghuuubxH02&#10;tZgLCkL7hgr3vPLqz9rJh062BXrHU+JaFogTBw5Lq5aGJSvMXRHftpj9PoEOKh+qEXubkoCeEjC6&#10;LFP3DWn8U8sqoUtp4GFQX4Gt7sZIMCUbrYPHVtXhMZu2ppTsGNbVzE7/zSkW4OQC6TPy4FKEhn3Q&#10;Hq+vrUAtEkpqwCSQs6aWs3d0eHekYS/quw9rPFQSvSJryJaAyIq0662bd9rDKqL00Mnj7c1LV9uq&#10;BO6EgN8hXffIyWNa3wXlda+0i7r3joT+htLfPqbqkUcFNF762Vsa1KQqXu5vD6ts8CG5deYomTy7&#10;1F67dKddWLnRnjj5mAK07rULl68JLMDMEmz5sNZ2U0BlXus2qzW5JLrYvSsrmACsnKgibrmIFufa&#10;q5feb7c2BGi0Rk8cOW4z7FnRKgDgsNSp5x4/6Uj9La3b6++/L0vA2XZUJayfeehom5PVYXX7dru+&#10;rvomonX2Y0rWkaUJOukJMOkeN6QR/ej9FYEcOHoirQMQ+DuWIgLBRqZvfxr6HoKIAI1kknAeiIuY&#10;0plYRysqLYC9dM8Q/GL67Q6b+vnRiy+1b3/tj9TwaUVWtafab37xC8psOmy3xiqxQliAdKZ+puDi&#10;1197vd1Uu98nn3pGNSE+5lbGl25ebxNi2DyT+i4Un5rSXuFScTJGtIrwjgc0XcZLKui6fszU3Tcg&#10;0f9hRNVUCKDH/Cr4MmdpKPgjkOshA5DcWdz4t1PusDCUqyOCEtrudvr7AUWYY5QUf2KQFxdHefKi&#10;UVr4Zty96dHkZOdK3eIXMNj32dfDr+zm049AMQKXW7Eu85Tvp1y7laUCPZxHgFmd5ZECVZpjZ/qh&#10;j8RADPlO5pP1GMYD9GuyjJam0fy1iQEaKD4ES5dvH5BWSgfP2NG53XNDNjopKfMCyodUeGxN1odV&#10;kdsuMWC4uXWHiyvXZZG4J96rOAed0VTZxXqBe1YKAQqG7gv4XCcdVudsn0DxNQiYOi1CHwD0KQHa&#10;a6+/3aYXpYStyRy+JDULiyL8THMEKOHWxg6YcRrSsmv3nZ9uRcj56QAidTk6iMq2j2NRhpadDiq6&#10;Mtvdi0MA0r87dEcgn9akTFDLw5YKG7Py/FiaKoOMfdBPz8gYyo8hD+hBwgHhoVZ/3sEy7/iDAX0X&#10;zfg08YwPHpeRle3Bj/qzR3TDypZFzgAUeqFg2QCQBUrXs3BroGjo8yhIuLNshs1B7ovszdNiTFEk&#10;xyl9MBTMr9L69IA1WSimpAkdO3lKWtycmPk5meBvy9z8jv2sp09vyHpwvD3z9EcUBHmovfyzV+RL&#10;WZfAn1eKlKK1q+gSG44pnHOVNqqgaBGwgtEg/GUJV0zZMwIP+2QtQBtck6Bl8/ZLEB9W22ELUo2R&#10;Pgbrsji8+fab7YaAxguf+kR7/oWPtB+rsuXX1FDomOpGfOLjn1SHQToVtvb488+2h1Ut8ycv/rj9&#10;8Ac/aD975y1ncXz8Yx9XzMVSW5V1w7nTmN0pslXFPHq1t06grC6WE8DVpACKrada3DkdnCMLKuAj&#10;c/CmPp8EmEiY0qPthATmVR2UTWnE1NdYlVl8TgdsUzJ+fUP93kkXEgJPF7xizJ2DeKfGGhV1FqwL&#10;YAIcRZlXWqcFkYhaJ3RB5/DLjx1rS9ISLt+SBUGBiusKYHz19Ted7rektosff/7x9tMfv9huUnJb&#10;h2W/EPaf/ejj7kt/7rpM9NrrNyQ8lw8ttY+p26rEe5tSuMDs4qH23uuvtiOzC+1Ljx9xP5AL0nB/&#10;+JqsPkoxnNRefWSfUrbwm7OHWgXqF3xOgGNh56bGpH3XmsypedG8gODzB+fbpKwcS7r38sE5CUDp&#10;/WJsHzshN9CFq+3Yvtk2Lzp54+aq1nGjffzAKZtEiXeY3r/Qrp691PbNT7WTx4+1k+TKy9Jx6tRy&#10;uyB3xLwKAn1in5j9irrWiRZOP320vfbO29qv9fbcwkabkXXt3pxKh8vn+9b7N8U097cbly62pbtr&#10;7bFT+9q61vmigM27Z1YUO6HOeezTAEDAVWiVbQZjph4mYO8zTLLMybzZfaQwn94jwe/RjwMhgEuM&#10;7+Iu4mzoLhfff6/9QOD3/PkLamx3pH32C7IqCNADqG9qLZz1tMD4zvjcvScL2cOKJfrK5z+vVtbH&#10;EuxJei4dKqlMqyHe0v4S9Auwc+lzIdPuJgizCTOPxpd/+3PiiiwUyxWnERJouyO6Ig7I6dMEHTMn&#10;B7Vqraq5GYWQiMsJ8wyYCDCOa5GJdwEf3hom6jXlmX5s+nDQC6Iv9B5qkZincVeyHAhMpt4BfXki&#10;rIgcgf0RZ0URMvgca+GoAF2bbpcJJHNQrRaJezmdVM/CXXdPP3flujN4UFxQqsLqDkpLnxBvtIUm&#10;E7pP6A8tB10bHga4ZZIVRIvFYRAbgsUvgjYZC6llUEAMBTK+01gqLOQUTIAQRdINAzbh9ch2jY/4&#10;hnkC5hRgPaF9W3v/WtuUsjF3UhZVZfmQ2rmmM7FX1kf61NzSvKfVAO19FQ2cXTzS9u1ZahMCILfF&#10;lydUcXKVGCFZI/YdPyxXB9oM8WVIkXvtqJS/ibXJduHcDcUULbYzAvtzs1I+ltTRGSWW+C/xsxT7&#10;0hpQtl974oKHmgdFDImFiqBnngGlybBJ4GmC0uM+vivgQooqr6EVAHp0S+8C8Hw+rC9xP6CLkGWZ&#10;6XuEtXxyQhxMoAkLxISC3gE5UMiki2EFuCCI+ZLBg7eoW+oqxbLo2SPm/Av4o8S70Z+BrfYI12K5&#10;i7obCvrt0Nh2sVI2HPRbQDHHJafK0X6FP8auCR+kop26tgC114kvCsxNar4nT5xUg7kLWXNSx7Un&#10;MygOPtsZiehojHhHaIeDg/Y3KLhktGMT55R99JfPXpSQX5DmfbjtPzDrpk+31CJ3RfXkf6bmWadO&#10;ycVx8rSrMs5L237o5MOyDLze3pWwvnVL0bsS+uQzWyvQrQnwwkxy/fpNZVV8R9fclHn3sIsMgeYo&#10;tYmrIQVXstC4PCa0maQebt7almZ0R2bcbZt2N2SBgCE8ooJWH/no86p8qVz5b/wzB5F9QjERmI6p&#10;kfGxz3+qnXj0YVW+/EH79g++215Sw6Hnpa09/uxz7dCRoya+NZ7pfOzkf4/MZmyaFmYG4kbzlOZB&#10;7Aj2lQMSUJNi1turt9ozpx5pB1WDY3L9WjugmhnEG3xGfRfOSYs/p/m+f3u13ZFfnzTUXQmDbRGn&#10;Cw6ZDPrzirhYrMqGKN7LxgRxV7EmF3/xF9lon0sR+3Y7ePdOOz2/r82sSUPSYdhRCi4BUi88/0x7&#10;R/706ZVL7dTMbvv4U4+1H6vY0Aty/xzbI9And8GmIgreU/M06brtKbmIjk9onArg+9TD+yW8pDks&#10;7LaPPXGsLW5cayro2B6XBj/z1Kn2k3fOyE2xpx2RJeSoDtymzOsbygOn98Y+MZxtBehOSehNqm7J&#10;SVkSbogRTiuod1kOVJjSvqU9bUUTmVOJ3APbCradWNe9JBxk1Tk1q/gMzXXf1k1ZKG5ZYEwpK+Pg&#10;7m3t/562f0fuIzHJfdIst8QE94gujsjXO796sV07+2Z74oXn5QbZaW9cf0f3n1X8jcaxc0vLKiEi&#10;N8bczSttiQh0zenUgam2b/tm2xDt799/UqBClqNtxYjI/ZLSBNH2nPnRBWJph8Ho5UcN5LBw6iWf&#10;YSIOXMJ9o4sRsM7D5z76N0f16sUr7UdKw3zv7HuOc/nMJz7ZvvQrX5Xr5a4CY1ddjXJK8TY3ZAH6&#10;yU9/orosb8uVd6T9+d/4V+yqwHcNo3e5Xkqiw51Eu5flylgV+PjMp5+0K25d9Jfuij0qYTy3bgaP&#10;tUG+Ua3ZOGKvGLrA9x2N5572mnowiXKPuyO8NLQJ23G+v13R8U17jYrhjphcXd81KDP0Wt+wrg5C&#10;iuBLq/LB0aunS7r4UTFd200q6yoCAqtrAgtHZmKAhvaItU9KcQKC/TR++znJiLGuTIaRPlhj/fTb&#10;aW/FmPtY8tbYjcuz+96PtEFfXNYIM/po9ywaz40PH4NiOkv2e+ZbeVlomEfmbwRsSl8jdAJsHEel&#10;H5SzPQq4vn3+apuXxc3F6WRFuK2z3Y7ILSZQMruMm3m23ZYb45YiJfadOKrzudS2laGxiQtUcnRD&#10;MRKTy1I0VcUTcHh5Q8HXd+4qnu6AlCd1dZWl8Ja+v3ruityie9ujTz8qa4TA+rSsnrg7sIbKpjEt&#10;ILGlAO4J8Yx7Gscm+2brsWhK90UOdNDFniSVE/AR/pzS/uxjP19j188QNHSFedzYbFyTo18X95Nk&#10;jPY/gc/L/rktBeSOlIoKT/XY6SOVhnER5qbGvgcGExkfFiri2HqMxoM0YTrv+xjGEVBS/MN7x70D&#10;47PHdc2Qzv6kf3cABQ0Tw/XIo4+092Xd7xYaXBh2KQ8IbrKXK2VY0TKsNmkhICgRH7mvmC+kLaYy&#10;GKZlgt1UkVLlr9flmjh54nA7cuwRZWist1vXbsoHe7W9/9attrFyUQFcauykgk+HnjjRDksbnZXg&#10;+qe///uKHld1S/l/ycAipQ63ww2ZyfYpfej4yUNO37ygdKFLuh/PuH5jxaZXNootwl8OKqI5zl6Z&#10;5qmOeVUm60kR+yGVx7ZGIA1jVuOc1mJ8/EtfUeGqy0pp+2n7B//wH7UnH3+iPfX4k0bHJ46daCd+&#10;4y+0mxLoL/74x+2byq1/RdaJz0h7e/5jn1BaqPzkGuQGFTDJkbZmgtlQ6UhNFhYdhL1TBDUKuEgw&#10;PvbEYwpIW23XL1+Qz1+Wh2P72tMCRPO3NFkJyNVbq+2oiP8iedziA+vze+wuOLSjIl4HDomx325X&#10;pI1Oidm7ox1EWA1p3DkNXyzvQUHb7AUuHYoiSdvCX0WHS0qL0pxLq0X1xn2H5tryouIcZBn5iAT4&#10;hpjej869q42Wi2lys83Jt7/IeKj7r0jzrZtay+MH9N3brsVxWoxj5cxmu3ThojqwHFFBImU+SHre&#10;ldA4oyDaXSwHB5XJQ8t3Ce7bEupvSJBdOn9Zkd7T7XNPK2tGe/P6W2fb+Stn26KsVJeub7TDy0fa&#10;9OGj7eLNjbayrb1aUKDhqjS8WYr57G3L6gK7qZK3quMj4HBPrqIDCjERs1LmwaWN8wKypzRDFVVC&#10;6YHJCKAdmD/czgjwLJxYtAXpnqwsK2s3VIb9/TZx8LjmIy3ugL6z56bA0ktOod2RFWRFAmBOzJCa&#10;DvcUhPjUiWNCt3IxaE7TCiC9cktl27cUmSzt6578tlMCiQSU7ojGtshh57Cj9HFuEDBYI/Dt0hpZ&#10;a7or+pgmJROty4IsTZpc3hvmQBEjIb5pMUTH1IjWboiufyBafE0BwdDyV5SqfOrhh9t1pb+tba6J&#10;LrXnYsqra7fay6+82n6mvSCu4ktf/qIDjxNfpGBRN7cjeE2plxwgWj2Ljo8ru+ry7GUJGFkORM+k&#10;wN6TBsp8HDClF+duXnEgBLd2phZNL6bbkeZWqBbXkxEKsSIGJBWYZqGYe0ZDC8q1+6fcbh1sjcyu&#10;rGkx4w4sOkPrTPp+hplBd1fRfZ8ZdXTTd9gy1sZUdU0skc3n5n8IWQZaHTArVmPoY+4MvzNx/j2j&#10;WILCNl6X7iKJgCPlNSW1u2Y89Il3E/1YEx7OI/w5AejEHaWPRN+PPDQvuwY8F9wRKBAaF8XfymBj&#10;awz1VEQIqt7tVM1JWfAWlRq9LgC4Llq5JT62u6nYJ1ko/GAV99s7c9AA9La2VxmfomvREFYpuUJn&#10;Fg6LbimlnW7M8B0LHDZcluWLr7/bFkXXxx8+3s4JuN5SSiyWwFlVOWYI9GHZuSq3yo2NdufWWtun&#10;vjSzh8QPFhfaNToa43IXnROA3PcXwT5y2WA9K8vCKK5GF/ZOk6N16rSHdUTj651Fu3uj7824JXxA&#10;H8/qQN/1W3o1R9a7rAAdkJqWil76c/v+D4Fj/8zjRpHwfQIR+kGhSBo8onsL/B2ugP8b6NfGd3A+&#10;JgP/ZSXygff+ef/sQDqtLxJ02s8ctAD47FZU7iUre3xNMYfnkHkRKHPsQ49jAcRMHYkEjzFud4kU&#10;syAC/a0332uH5Ss7JtPvoUeW2zUxscvqm/H+mdcUA3Bbro2jMqUelzBV+eqJ59rbcjl899vfan/n&#10;7/yX7W/9rX+j7Zd2eEcmVQY8q0C6xx572BWxLqpj5N/97X8gQLGrhjaLbsYF0bo0sIT6BGZwaZ8w&#10;oRMnjreDB/e13/9nf9D2Kf5h/8FD4pMCPWK8+OxZ8GMK/Hz4oYfbu2+/034isHBercYfVZT6x2R5&#10;2C8NeUn+4F//9d9oDykj5Ozrr7dvCOy8phz6T372s7JoPC3T27y1k04I0VwkDjSWexIAC2K0s3L5&#10;3FpZVY7zNVd0pOrxd197Rcz7+XZcwOC8gts++pFPtTelUb6rNNa1g/t1SNbbjsz8NyS4Fu9JqxTG&#10;nSSDwL7x6gYYp2H2yimVZbZ0dCetbtPDws28XDY4BDkroKWYJAOgzcklgbJb7YieJYVBh1+mbyp6&#10;Eni5sCTNcllxG9T0lLtgfr80bGn2M0ttTe6nGze3FFdySoIS4Cc3jTTwG+pOuXB4uT3/zOfb2yo2&#10;dvbcTbmyTsnMPa/YijuyyhySW2GiPfHUc7p2u71x8Xw7/dlPtjmljL3001clzOfavADX29LbXpRL&#10;bGVnSlYKxUhI8B9Z36NYBwnruQPt+tpZAZ2Jdmz6oCxUd9zAbPnwYntbwOMpRXdv6Jqre2QixYwr&#10;QHV3ZlnMR75VAaz9xw61d86+LvOqgnRVpvW2rGB3Jva1a02ZHlqrI08oc2f6VDvzxoV2fnNCjbWk&#10;dVHqXVkaClQQcxOj0c9lBYTdVfrpttwkm8qcIVtF5V7VA0YBViAH5KGD6kSfMGzMgnh2Lbj4nD3B&#10;BK7UWFICMblikNA+zRJQC63qR7zamtcdxab88OVX5I77sc/F86qD8sUvfbHN6VwQv3BdFocF1VKZ&#10;Wp5z0ORrr77RNmUJe17WFacwi1ZvaQ9sLqWXjbVmsh94aHL7SaGdpomW3iJYDICMe4JAOHTwNNSq&#10;YOo4f8OYSkA5S8DWSnTBBPBhiZk2syfFM1pVDwr1GpUw7ffw6sBjys0Tk2ssoUOzsnmlP8r7/bNf&#10;xBCH15YdZDD+gPEOYLi5QQVBe9UIyTDDFqbwxJGVYvT8WE4MODxuWcxk4bPFsorqIfQ6OOjf76b0&#10;XgPiF83H/Lf848SQwbx7JgH3G/3txdV4MIfjAiGrVoYt55eQpinlYVHxY2RvbWtOc3JJkLVBKue0&#10;FLdtuahvqQYLWRlbyjY5dOqErILim876kiUP186sguvlLqIMgDuzAiSdms3zUqtkB9eVwCZ8ERrD&#10;yjM1O9mOP/+oY+Bm5EbdK0B//vL77eRhZdcprmhBwHZGv68qyHzvJfE/KYXbd2+KxwHIgNtSCHU/&#10;sqZYj5F1aRRgipsqoKkD1pGFPbj3A4GofS/6vnYhObRydAtEd3UQq0HFTF4ZR7lKLD8/SIk9C2tI&#10;O112DDN1Oi1nzHUjA+dyRUGbI9E8pmRX+/dJHT+88qoyxn5eO3Dvb9a/fx646NYygFMvMd5BEYoD&#10;tZuG6+cunh1EFMYZHxgfokCZ/qWOxnifCpOYgdFGV8XYz4hpHZEgPyLNft/+g+3M2TPtplIU70iT&#10;WVHQ5QmlFR4/eqr9T/7GX1cg4jfaP/z7v91ekZvhf/7v/NttQUzvoIQ/msAdmfdJI/nr/8Zfd4fB&#10;f//f/w8sFGGgNxRgiX91r/xmXj6Yrr4DarqmiN+O4JwB0jUjDoD229H+0hJhso8//pjL/L7+s9c0&#10;zrPt02rm9ZRSQ8nlxzzyF//yX3HXym8r8v131LnyyIkftE9/9nPtaQWnHVJqEhHvrAWBnbMbysLY&#10;ksBVFsvs9HK7fks1ApQtQIrSHs3rmrTG82pr/qUnHmrz+0+0V6VR/0QA5qzy8G/KxH5HazihuaH9&#10;XdYGLSKgHLdEJD7muaQ0Mmc2dVq/p7BMeG9S9ANmSNErFsRV5kxE1GbAGqHIaAVyXlxfavsEUd59&#10;/Z12+JHH2uHHn2tn5cb48Zvvt73Ssq/ceFtVPfV9LdPawSPtJRWXuaKmacdkefiBUmfvzqlPgIDO&#10;jPb6stbyigoXTWu5phULsb1wtL18UX0XLrzseAeGNq3rZ48IuChI8c3XfqqSPKuysChIcd+Rdl3+&#10;1xuycswpOHJHhElA5S1ZFLYUwDizqfRQjWNeoPSn715sZ6/cUkGxE+2V968r/mtdMS832rK061UF&#10;OL4jergo+iL7466A0vsyzd/QXG8IbNxUGubV2wK1yiCaV1Dvqpol7dFe7e7MtYuXV9o7Sq2cnMOE&#10;f1GWlGkJ57U2I5C1Rxkj1wWCjwpUHpQmdFN0dUtzxrp1V/Ejexb3yQqgAFMxlDm5f3alKe2VBWjL&#10;zYIU1yGmCIhChyCobFbWHfrTzNyT5oRmLsBJBsuELDzTErYbAg+Mf58sRfNi1N/+/svta6q5ggXh&#10;2aefcaM5QDL/dg2GchO8Jxfi2R+fbxc11ieVsvy0StHPCBhuioY2yUjSHhCYnEJu8c0a+CI/C/Sg&#10;he8VcN/Ezy5AQK4+DBnBj2WNl2MDSqHoloTuf03rYRT2aMq0pucM3b0rxk/KqBlh+MgwK6AHSMav&#10;WkWUeFZZAlyjpQLmhgyrC9UeNDk0HQeAjJn5SJAgYMwrjGIyLgRS+VJ7CmeEQ9VhIeyi4kCG1oR+&#10;zzHjH1tnbHnQeqKlzogeyCboGRl81jtQrrI3Zf3w+pbW2pl3t3b0ufVn8f1hlkEXZn2PHAtAYB8l&#10;Ks3zNF8BCEDrtjLCdhRIe0DxXld1FljzuQNkVskVTEaVEMeEAPIk1XWxROnrWMMmSpEx0HNka6wb&#10;jgTQWjtSpGLonNFTTtiINd0Xa5vuJ22krQshE5S3/8ShdpHuoeJdcwKxE7cVqCjTxsm5/e2erNV0&#10;dabg2U0BCjKGZo4rPkNMySK2pHVfswhyAG8sTP39rimzz3YjpGznCHzyHuvbO3b2ho1duA+BMsK0&#10;d0pGeZ6aksWkjAVxrSXbrBNfBwqdEofWK97rZ+c+IMxZLSDkRIYKwE1cKjGKPAkgP67Wyb0cv3Cf&#10;rWEIKAKNh9au8enwYo5cL52W7gPutd7dwtPv091onT4VWJlT15nDaEClNRDYEy0hvztSi02FL5KD&#10;PCUtXhqtYhIuX7kh5rojy8SB9qRSPSlR/f7758Wg3zcB7cr3T8rmb/260tGeekKWht9uf+c//b8L&#10;MPyNKiOq9CAxS/qVnzp1zAGcsxKyBI/NycKBK4EgMIIYrfWBgKWp+bCK4NnkE/Llu9ukI+QrOlrr&#10;D7Ogr8JN+bYhludUIvv5j77QfqxiVd9VeuZrsj586uOf8PivyVVDTMRf/Eu/1Z77+MfaH339a+0f&#10;/O7fa6899nj7/Oc+50wBGCDPntwrHzPnS99blODcuCPwID88S3tdpv1FpTLRN+TFc5faVz75mbY5&#10;s9AubL/etiSQhEIUQKSAJAm/JZnipySo5udVNfAK+f34f7G8sCsyIQkYzWpOZDMo5UHCaFtCjCh8&#10;aZG6iBLGTteVD9JEr/FtiGEt6fmaVHtZmu1RvbcjDf6CIoxXFJ9yQUGoU/JDHlNQwp2r15XKta+d&#10;v3Gl3ZS58REBwsvn3mkHFZnd9i8qk+GiYykWtSdbVy9YAF6/fk1a+3UxFq2DuMuRQ/uUGbHhuJmd&#10;nUuqmHi03ROAPHBguR1fONZuILxffU8uh8V2QgBx++JVayvPHDzQbsmFdltplgvSjEhf3FLGzyY1&#10;E7TfN2UhuSna2pTGck2VKHfXrtp0fFeppvOK8L4jF9BhSpurUNOGMjMWJLgPikluysx/6oRKsQsY&#10;Ca8Riyca3FWshaLMd2+0FQX8riu24eLF69Kc1kU/d9rjp4+0ZQVlXrms6nsKTpuXO2RawIby5Huk&#10;ne1u3WpH5WY5PCeNW/u8R/t4VxrnWaWwXb8uBi0m+LgyRo4cVYbSe2fkSlkR3RLFPtMOL+1rD6tF&#10;+btqRHde1qq71MzQHI+rut/Zs++qKNoftjfeelv0/mj7pa/8kl0X1C9Z1Q/nDSa9qtgGBNtFZZbM&#10;CND+5l/8S4r1OaSgYwXpUluDM0nQmZjEFhY7NDaf8a6SoNmIGXF2SEfVh6sCXPQucGS/rCa4MqYV&#10;h7JSXKcL7xz6zgfG9RW4NUAf8D4tGpmgyi3Yo0rjGmGYv8UUjLkbwBJmrXfxI2PRKOZ5H7Mb/MNa&#10;e8USmIkW47UAQXuDU3Utrszb/ndn9gAIPc9G9IH6mPvgdkmgrPm1A/XCEVO/Yqzthq/kFil6hck3&#10;sQq8XCJZ5zZBkPkezLcLGObZrRVDTbRnXnTrxFhoylqoe6IJj/cCkCgNHesj9Rf0XCy0JAgDNidp&#10;wGaBv6cd3HdQcQ9yUersnFacwvuXrisjS6AVywOatDLhNjWPXdzXYA/2B20bS4zTLxOjxRobXHhh&#10;kgZs7b9+e/9swtbVWK9BGgSp8l25HARl2uKpQ+2he7IyClTYVaW1fO/Nc+30vmOOP6MKK9V+t8XX&#10;iF27pnsZ5NbePpidkrW638rVSWbU5M60FQHbLThDId5jU7pFIsAjqYzd7YFMIm4vinUCXCEmK3iy&#10;vgCg+axniHSg0sfSXRIdRHTBbfrwAcLKTHxIgiohLlJsvb7IAJsjCqyMwHLkjDN6mKNhQ4CK+UWf&#10;MyduYE00Tf+cQ9bPTwfAXe679AB84YFYnLQC90J1JFVIxppDFoioZr+Ltsu/bUbyrDJwB+xIzsif&#10;v6lYgFvqa0HN/HlpWk55VADmu9Jkr1063zaUvXFVZauxMJw8fqL9zX/9r6j5lny2Ku50ReZufKjU&#10;gtgnMzXBPIvSBA/I135MgoDsDCKjXT2zNjPHPAvNAeaQ9cPZV6lrIPjrmaUrkmnOu0QmC3R8Qt0M&#10;n3jiqfbKSz9VXIVKu0rLvHr9hus/0FfjcXUKfVQg5k2ljX73O99uv/13/5v2tN77zKc/3U4qQ2VS&#10;B2VLTFjGPmU5KPCUqm0aB3UQnCiqtEQ8eTRD+tkbb8ikJ2YCgqfcE932ZB7H5TBDvwoBANIi7bMc&#10;pfqJgYkpUJjplHyFByW81+U/PKRsiWcfPd3eO3dGAEsastaFqPwTD5+URURBb9YUDiqOYK69f26t&#10;Paz1flRui4lNkZrAzrfeeq3dlrb5wpMfaY8s6jod3lXFprxy8Wx77/rF9suPPN7uyt0xL2E9v/9w&#10;e0Tujtd0/zlp/F/+xAtqODTd3lQGw6tvvKv02KMS1kdl8SQaG4aaNQCkEvWPq2GBIFgxoJ+++qb2&#10;6G579pEToildo1iMBbmfXpGLZ0fzPiHrxT1pJgdVWOyqLFlvKNhxWnN99NlPKyp8ra28pe/LH0sq&#10;5kOze9rHFW9zY+5u2684CSKk3z6jWAmNFyB7V/tCcakJCesrV1UK+ypZFge1U1pDuU72Lh1ur7wh&#10;i8SmNAyNcb9aOX/s2cfsyrh1WKV7dW4O6b47EtDQ1bR8xJexaig24iDpnwrqnFNw2rbo8WcTt9uK&#10;3ChT2l8aiT37mFJ5T860t9XW/pqsKQ8fP6X7HxAdH1TQ54rA2LYyRuQyWT4sX/N0+yMVjFrQ/vyr&#10;f/WvOqCJTAvKT4MiAdLX5Ut+9dXX2vvKuDh2+Eg7KqCzeOxwW1YPGyw0/GAdRBvFL+28dUoaI0Ax&#10;fdr80OWj/tDHO8RAiK62qBdOUzIx/ClZuhAeRGH72LuCZ0+xC+dJClqYlBk4mqr2GqvSo48oTuWS&#10;ynhD3wYuMblGIEYZcfcB+nyUo37E0AaC/efwuNIC842eBdEFdfj72OVxvxUD60MFKZaG5qyZEo6G&#10;6hWbgXJik3XxFs+iQNhQsxuBmG5NKY09ZfKrr0hpllzbix11P7PngAugrmHPhn0fxmsQQdlN+f19&#10;l/XWOvMbeYH101DT+5EgVKoBrysu4ajOxKasi/NKqz6iEvbnFaw7r15HewSSXduBYESlLFsT1l2I&#10;MYJeABUkTrj+Bq/6jVvDoAGAUa48zFwpyAUg5SbadwITde2cgDTKDgGZu2TN0G9N6d4L++bbzOnW&#10;zr1+pu2qXssB8YIFKRVrmNKob4PLmsDEYuhDV4CznUwKAYEdhHYwEItB3FS+qgDmMGah70Ff0+6+&#10;6Jq26Vr8Ki3o6eshKFTBwgZvlqEpt52untnnISA2WWMl0i9cft2SlsMTtwRlwW0NDPr2uA1s+XQU&#10;hFwbUOC7+s0ZYNgaXXTr4GHOegVFGESPkANnNlbrn/cyiCrLV7cw9E7EfHecGeSKleMDN9yA6MAJ&#10;puQagqs6oRMbkcYoHIDq86ARs6FTSgvZp6A+mm1dVxTrvb3nHS+BIL51faXdUoDkTQVArin7Ai1x&#10;QUF+aLDf+87XpAnuKN3y+64iOSMT2He+/XVHi6+tqjbEwdOiRxYVxqMNpSIi9RQ0RjbWG66F9iED&#10;6DguIO1teTkauQ5F8uYSTX1HYIcAthlZOT72yU+0dYGct1SI6vr11xSId7k9+vijYvj73eEUxv6Q&#10;zMpvvPaz9n2VCP5v/1//ta0tv/orv6p5E7+gFql3pCHvkkp4W9ruvIomEUg30RY1rgPHHlPRqNsK&#10;rLwh1C2TOBup9ZpXf4O9EvRvvvGOrhV71fyJSt6lDn9pBJNybRxanFGA4im5JDbbuVtvt1OScB9d&#10;2m0PHZ4WUEPgrCpe4Fz74ie11hJ0O9LeHz5xqt1URcLdzSvtiaXH2mlp5/dWVJNAAYNfeErZM4cW&#10;2hEVW1IUqP3jB2UxmD91tD13dKEdVkrkfvncEQTbqj73tLTvmYOLEoRL7aTE8JTG+XGlPR6aeahd&#10;FUA8JPcCueT7VGjq0oX32yW5sx5ReuEp/XuTOala2V7FjTx2elna9rtygZ1T3MPh+IzvXRWoe18p&#10;nceUdTEp0772a++Vtu+gdnhrob0jC8aF82fbNblDCAa7IffAktZn/+R2WyA7Q9HgCwrgnFVMxGFl&#10;TuwndkNBWvdkqTh8QHETWvcTErAKOG9Lu9fa9TvnRUdyUShjRdGL7ZHlQ+2AgOvk5M22KHByXjVO&#10;Lp15p51QGvCC6GxCVohtWQwmBS62N2+1ReCZGMWsrDBToqGtLRUP273eDu5RXMLTz7f3zrzfjqxe&#10;bgcFJK9eF3NU/MJzTx1vZ999sS08+kz7jDJZDp/Y337vRy+21989387LIvKVP/cb7csKAAackQp9&#10;RxaHWQHwy6re+uJPX1JhN6VaiYapesoh3id3y35Zy6grskmZcLrFmkthoStNQ4wDwEqfEArGpYBM&#10;aWO8r+vJgsO/TUfOu2JiDgrlcLuAklmsBWI0+Jx50v2QAntkPdvWeZMtRu/p3LtxnCyJSpklvmLb&#10;fe5zLtGyaKy2K1qOeAtz79ZCtOrO5P0txgB/uo/TYYngXDOxnGNEvdv2EYMBH+C892BJLJRWkjhJ&#10;ETj0SulNnABv7k0LpjICickejd5ACQtCCR7uOxRI9nlX5gZ1XbABeJ6MjnEbaI2tNbgi+Rm6YLpW&#10;2oHJg7/7M/tzu7WEtHP4Xhc0jv5nzTQ39pl+JTs6K1sOdlR7gGsKANce7pdScF20uIbpFFeaYhxW&#10;pem4EjFaL5Ze3YiMCVeSxdqgZZkhTsSsNEKPvUXoKUw3ggsPioAIipB7CSEUrUWLJl1Ej7VFsw7A&#10;cR8bYofsEFH2kayduzork0tKgt8nC8kjB9tRWWzvKTd9j3rmcC9IqYO2YRGorCdgKoCsr6//3YVt&#10;WZI6KY1ARu3pcE/S2wTLAnuI/KOpGmelmumJh+1SWZeFEOjq7eJnZJHGSm454zMS0IC+zZoCrlI2&#10;ALBeRfT0C5fjFG4dsvL4vK5jrFaYcUk6SB5gRjC7ZA0WQz1j05U1uyUve8OxYS/4Iy0LAM+sUZ0P&#10;QB+WIjOL8WtombHlDLc0ZwdjAqCY2DvJQRdetFUjZ80pnjHbpH9Fr0vfK7JRy5xa/KtE3yu40SYZ&#10;bsiZxQ9qtEvWAos2NrnMyFw9K61tR0z8jBjysqwIR8TwFtRz4JIqV96RIH33nVuOJKcJ1Jo08AX9&#10;/aMffsullQ8q8OebX/t9I0CCyOZEiLdl/qUoEmWXydPG78hCYbLt7gxMfqPIUaO/IrzCsbYa9ekT&#10;WewAqKRkYRbkeZjSFuQCIIf6v//H/6Q9q5oST6iAFv1BWNCPqd7E44890b7/PaWEvvzj9r6ChJYl&#10;vI4pm2Eev596UdCy9wvPPNF25Hc/MqNsBjGPjyno7ccv/bjtkU8QsDWnuJGLygg5fvpxZSfcaW8p&#10;FmSCrAeYlpHkKJHHxLEqC8/Zd99qszLl79642PY9pDoaEmjHZP0wG1Xvh6ckJZVEqRoaqseg+y3L&#10;RL+2qTGouuKMNPK7uociTe0Ouqlcb/z61+V6WKTJzrKqe6omwy25EWYAD2Ii68oAWCI7ReDmlTde&#10;krthpz325GdV10Haqz7bEaG9d/1dATpZoLYFmqQxb+nUXFV1u7sCVvcWNBP93F65pgAqgQwiwKX1&#10;HpMWf0gCEuuKc6P1nUcUE7OmUtuToASKO2mvJRsdxHVBmS47d/Yo2Gu+rUBnxOLIT3pAghST7bqK&#10;Jx3Ys0/FzBSMJWvYxOKWqmguy10hN8CmAroU7LeleSpM0gRw5+bFduJJZSYIoN6+dlY1Om6r/sRJ&#10;MVOl26rhG8XCbpL+eOtoO648dg7RlCxrnJ0N+ZZvSugfe/K0Y3fu6YCjdC1ovLeuXZdba72dVEt7&#10;rCw7suxs37khK8Qh0YZSf5UuN6PAtW9/5+vtp4q/OCOgrRJjouEdZdAcarOqLcLZgEWh7fxIdTte&#10;/tnP7Mr7qFKVD0tLu6FUuUtyEULrCENoFmaT1uJiFNQGKfBsYUwtEQI9ReSkglpIoCnBAPSPZZlp&#10;Gfse0btLhGPMFvMkm4nXkCl3IRfTLOl3aImgiwiJHWfsyFqoRcb0u6GaI2FsGVHaOPNGmNfQB2vL&#10;hq+7n7n164yPiJUowex6FUNG+MA9+d443iC8oN+6m8Zd/4IhGqkErrCmTrG2Nq93rRiOoQxrBxhY&#10;XZW1ZlexTFr/HYCRhJ/dGWbQdqyU9SXr3X+6jzkrMF6HB+MdhuvTAwbDq1OUj797WXGsRYzQ8R24&#10;cRBaGItFD4CBRVWhvH75hs/aHTV4u0vtnRMH2qpMoJPE6bBWWF7Kvz9VPCiKIiXqsy7EqQAaAE8E&#10;HE85BRUkmrgDAFdqg8gFSAC4rt3h7FEywLFacV9ZzqDsASpQPlUm4MCR/fKaHmjvvH9O2RtSxAj4&#10;1PMAufxYG9e1vabKKDVaCkWqh+bzXjkybh9z0g+Ai26i935rLiPrddGkway+GwtD0kQx5wPcZrDy&#10;Ym2wywCgBOiMdm9Aa8ACTWVP7FFwIBJuCp4olxCueMfMlItMX3Agp8BErDtxG6RcOcG96YBLPBRj&#10;tUKv74gN2zWHvAakMy9KHLhRILEUJd95ap+jFWzcYkMCfIAW+zl3dpvXkH1NtcoH3TS2RIyDUQZW&#10;Cb6gh5E1wc+MEIiJWoP0gPWfTZEsFIjCQ4pWkIXD7UEHP4q9oOwpHZR4COWsH1Nd/z3nd+2+uC7/&#10;+4J82UdU1GJqQe4LCtKAcEU1OwpW3CshNSW099rLL7b/9D+R71i+5gVZOjIZ5Skj9PU76Siq8S6z&#10;Pm6Q4SFm0i5KYzN7HVoOHOCBmuw6aKsyBR9e2u+gOLI3IJhHFf9w9KHjAgo/aa+//Zabez2hgExS&#10;Ru9KCH/xK19tn1flzB98/zvtJ9/9viwFyw4wJW10d0PCQk+YVQbJhATjhDTx62+/1iYIKFLcw7b8&#10;9ncEiu4oJ/qmkO0ladpLev7iUVXbVFZKfLP00sjPXo0Ln+WPpeHOrt9oTx1VmeIjp9u6CO+aQMy8&#10;AN49FfPaK5fS7oK6nGp+29r8Ozr9lwTkEPazh4+169cU1KX0xH0ygd9QTY/3VAZcPKU9o4DXPTKR&#10;v/veuwIRm+2kwN68DvTcnOogyKXDHh098YhKJqhCqca8T5/Par8uqeDT2oZyvJX+dePGtgJrH5G1&#10;YVoVTT/VLkvw36OolSpY7kp3V6KUqmLKqqODuCjBtbutKOxNBRdKm11XjMaMQMCkANGuvn9dFoJJ&#10;aSJ3xERmj6gD7L577ZbSMIkSJ4hK0TUKRBUNKc5h5d5C29LzVwVQ5hTYOnXoVLuu2IopZW2szWyr&#10;gqWA2sMnFMi62lZvrLcXnn2m7ciFcEWVBieV8vnYR9VISKW25/UcyX+5TNaVZfIRWXlwM4jpKitj&#10;F3eGQNrC0nKbe1jA+rI0p0OnFe9wRcGbN9sClf52FWQ7e6Td0Bxp+uXy16qJcfyFTxsM/ei8Knjq&#10;97e+/aN2USDkrgDDtDSaA9r/2wKT02jilLzWRe+cebf97M3XlR230Z7+qNxN6sI5J2sV2sAhnaEb&#10;si7hLpqVtYn09K6h+WyWVpqI9TCtPVgpusDyO9FySPI/hDVQN7n8rsCU0qnv6pygNW3RP0Z7NjTf&#10;d15jYIHQqRiGCFncepuOzaCJm8G8A97iO89TS7AOcYL+7n5+8yIrJ2Ou1q2lvBPmX4Fn3HMg3D1T&#10;29B7GfKkoo1P/P1cs8/LY7d2FjN+TLWGPJm7LQrjwL1u7iZYdq8sYdMqlDYlgUncEs3WrIFi/kc4&#10;VnvoUWyWx1iBpB8Y+3hR+jXdUsE8ht0/P9h7iH1PhUrHDJjnpcgW8Q1rFBc7vtzek1Vr31FlYiml&#10;c03pzMTEzAA8BQIoUY0yiPl8irpVBgfRfnvRJmgaoZr2ADR/iw8fOwCp0BR8ApJQhwSAYe0XbVvj&#10;oVQ99hJbHJAW2kdcWhTnPfzUCQtsFcFvJw8+pnMjIahaMXtoRSB3xiTxFSHmEaAbAlq3adcPghJw&#10;jTwI3XRAlb3sdNYB3TCVc2QFKyvScO0R6MREcOaI2ev9k9JlFwBWBFvnjXkb5LrSrFG0A1En6dPj&#10;swPIAExEs6eIFfcyQJUSjQWBc9Rpv9db6ee5g1pbwgQ0qMlCyQP2fkr3IyaGWCpAZs8SgW5Zm306&#10;7+cvXnJfnQ+zfHUlnO/ddlmFuIJ8vmr9DSTrbCnFM8GH8a1lk2yO0wbTMGtNWp2zH0AvrhYG2gVE&#10;9Ft2vZ4Nq0AZThACHs4pn9aCotlnlXFwW8LsnNLTFlT+eEmdNqdlUruiaoDXpBFPy4R9UJOXwUSM&#10;WoJLzGxJNQM41ieVpkenR7TwKxcvKHBSJn2Z5QhYnJPgnJQPmoh0DhlVLE1AlZ4WxpJYiOKoYbgV&#10;+Q2aJPp1WoeMNLc7snqAdI89erTtl099Sf5umhrRG+MlFfF56eWftefUEOyF519QwyilTCl+4ld/&#10;6dfbHQmIl77z3bal70zcU0CotOSfvvpKWxCCfFLBQQ/JsrJ282p7SuWfLwuUnZfQmFzY50pl3/nO&#10;D9rE/mNqn6t6CRLQSmbQgaNXPUZB+eBkRiOWgHoLi/If7l040M6KNfz09kR7SCDo2z9+s3304y+0&#10;ObkNXpfPv50Kc19VUSnGsa6g17cVkzKvLpr7Z/ep1oHKQCsQ8Z7KS19Q9cot1Yg4qnvuSKh+673L&#10;qtOw0p7Vmk4rNXePAMUFNWw69LAE/9Oas1wUL0qjOad+KbNoNbuKF1h6WGW7BZ7kEnjjemtvv/lK&#10;e1SuHyVqtm2lhp6j1sI91YhQkO0BaW77jj2qYkjvKQtDPTdEULimCJi8LTByV4S+ekNjU1LigWOK&#10;NZB/nlZfq7LmUEV0W4ADCwTR2ligzm9MteXb1N8/oGDY1TZ7R0Gz00uyrqyrToWCNhFsq+oBcW27&#10;vXWRJltyc6hex+3dxXb2lTfb3D7Vbpg9JdeP4klev6jU3HckCFSZT2mfCwImb1+92CavqMSzgkM3&#10;dKAOHDwsgTyt4NHJdv6cmsopAPRtqkeuSWsQDa3eVqaFYlRslVA8x9GTilk4cqj9QCXRLyq7ZEPj&#10;mlEK25e++tV2Wffbq9b2mA2XcUnIxXfmjVedNXRH6WQPPXa6PSHAM6lzQa0ULBzTogNci8QEcU4R&#10;ZKRZ2oQKw0TbQXibfZdQMg+L4EoMQT4BrJDFQTzOlvbzAkBGOclLsmJBP2SV3FBnxu6DHorgXkBq&#10;7L8NE+1t7rHqhYmmXLSNAB1HMFQz+FgenBqKS8sAaCwourblsMgSuCkjnWd1hhaGPUQlcWcMTdZd&#10;+AyDMjsTHJmyWTMDhoARNwvkKQNhP3T/BszsMa3PIRjljqMsdAIosfzExN7n1pnx0KoxXFP+Zq27&#10;daF/1p/JHHsDKp4x9OszRK8xAl97h2AHRO7FKoV5XFawKdXo2SerGvNaF1CkBTiWB+lo4mXimYBY&#10;fR8XxbQ0a+IY9tILA1BHaWoywfSUGYEHa8i4v0gC0ZrN6GxO6TqsDlhuLCd1Dwtmly5lIQAbio0A&#10;5Fq7TaMzQA4xTrtSuJgHGSJYsqQGBfjaxB/LBb+7paE3IsMgTXxGB3d9XUzzdR76Z50uulbu+9oq&#10;kHv3n96jZWTV1jAAbpaX0KAtYrgH8jsBjGVV8N8QU9JAIU13hrZLL/uDMAeUMCcDBimxG2R8VfhA&#10;t5QwR5fY1r2QvyH8MQiFT7K2KJgoZzyD00H6Np2sF6VcMuY74s89E8WF6cRzKHd/H5D2rccZLm+9&#10;9ZZlo638VEPVq1tBOBcjENERMrmfLLAHTRETEd+GmBYpnEF1qSiXiFRM0BzcHOVeBS2VLfJD8EiY&#10;m9C5hDM+ugWZlzdk1r6iiH7qLh1cnm8nlWp4d/J8Wi8jUESsNBkCta3Kx28/mvx/+2X+3qvcZRfP&#10;kUkepLuD2igkd1dNmGg4RBdJNmeXbqM0BwIfgwLLTway9hB5q1x8RmnW3GCwmkt1MQVcQMBb+hxk&#10;96zy9I+rCdhLaoX94k9ebu+8e6595Jln5d9/WBkZIgaKW6mJ1KyKJ51VxsGkAtb2Kbp9Q0WGPvXI&#10;aQce3lSzpKMqPbyoHh1rb58RUHmqXXnxZ0qBkqlTJ+GyUkFXKDQkVHoPXz1EbcJM2eBd/dzRxisJ&#10;VDENAh/v3mgHNI+bswfb9nUduOub0nD3tDM/pgKjBI+sIgS30kTthsrNvv/dN1Saekmmf0Xx715u&#10;m0tz7ZY09ruq7PjP3jpv8+Qtac6b++faN3TNT374iorUSHAL0e6uvK4gxGW5LOTXFbHvvbZCQI0Y&#10;pWpLyA8+q3V/+8amLArS0FVB69WzV206XxUInZxR7rfW4Z4E4cRtpZO+d9s+RQfw4amWpQPCt1GV&#10;1F3Ke2AmFyCgPQXFpQAGuxJwG/gmsW5R+0D1Q966ui6A8J40aQlWubj2yFqwZ0IuDIHWzR2VGSeD&#10;Q0W8ds8ra6Ptdwv2c2+c1yGTAN1VgOVVaJXsEmncbvd9UHumVvRvXRBnkvtHbjw3A9J6Y+maFBCk&#10;VbhjXveqHLcsm1tyGv30LeW4c9hpwU4MBaZF2nGrSun6q+ddQGvnntw5sj4cVdXUb75+1jn5s/sP&#10;wW3VkG1PO6fiXOeUmXFU1raPf+pTbU4uQAe8CczbzA9TFy2jDfHbBW9gGKKPHdJ8YQAu80sQ1Tjt&#10;zNEH+ty+ayL3pencEcCZ01nblnVmXS4ssn3mtP9LsuThOgGk2M4vkBF++EHjp/sCdMBiTT3HH34x&#10;hQXOfXc8nJwt+EJp9Q4sNh+ByWLR7C2rGX+0+gCPODe6SRXBneyOMRAJX41VNH/nWbzGgjaWhjHw&#10;CD/uAjoWnPCKCOTwMQuIulcHGz2OI/FvuG2kmSu2AIGB+5fffK+nePKcoVbbxwav7YGWfRzdbTH0&#10;0Q+tIEOLxFDoOb4E4Oay4sR+oBzJjqSxTcBMJdyx3u3Rb2JL8adPGTQgfCS0sSrYgpEYCGu2th1q&#10;f0SDOgkWVgB+nRSb5Xf0gE3cDbr/kp5HBNcaQpP0UGpDYXnQvXABAzj43gzbohTne6IPp5Zq3bwp&#10;LluvdeL7FTcAVzZItXm/4t0GAj87mIBGVz4p7bjvP7976menCwtZW4gicDu46Fae0EyEdKeP4Tp3&#10;bZ71TvAkcYMJNOzPgGIBBrzlrrhOZRF/c8MulQSXJYAAaMAiwMHF4IgxrPN9P90OlYFY1UIPASeM&#10;wzTBurBWLK949DodhNdSJIsqm2S5kFpM9uJzsqhfUhfpHLC+inXWCowzZ+bHfTv6H1tFcu7vAxE5&#10;aFkUB2cZiqsuA0EumA/ZaDQ66qLzF0Tp3eM3hzem0hz3sfnonqQBUeK8bd+KhAXCn1gJNPDLqk0w&#10;p0jdAyceS1GLvUoNo/64iA/vmYnP382GHtDiHzxQ0eB8Ji0fQXnrujrGqQkWAZ235c/fuCPmLIFH&#10;8R2w75xiGSjIxHi8JRwiGBwMDZCgOWzJajJNMy8JzAVanQJSOIwSXDTNJjAPdPe5z39WPUGebj+T&#10;tvitb36z/fSnc+0LX/qchL/Mb7JarCsDYUJ1EKboBKnA0dtyZXz9Z+rnIUEwoxrzN16WMFa8yHUF&#10;C11RFsE9xUUsyTrw7lWVVNacMGvR5OmuhJkJEGReCDddBPHpi0FIaN+U1eIKwX6LR3U/GJWIf04p&#10;UfJDzynzYEKAAWsS+zonN8e6NPf3VRZ6z9SyNA+ChVgL9RKZ39vO08ZYAnB67pCZxprW4SbBdvjl&#10;FIAFYe5VoNYegYymCpuso0o9aHW19xrnBpqkctH3qLLjtISjhmONcY8sHBy8dZjAzDGPkec6t5wA&#10;QABS1RNgjzEgkS4FSBgFpUHI5ulEPmtt9OB7Qhd776n4k5gR3WXpN9KbxridPYcLS5EJU0FmCIS6&#10;D5HhUn10hTQL+iDYyAopy10gl0ibU2lhrZkpg8A7fJwwZ/EqmINjDjD/UgRd+z4pYLKNT5yGXQqu&#10;olIqAVak/169raqS6m6oal5tehl/qprI6WEIWO+r1DbiOLZkWTmiZm2PyIU2p0O/Xy6xVSwVYjrT&#10;9KGwhgDztg7gWADWfYausKwtZIEg5uxgjkfAa/3NVlg7nqe4onuyDMxqfacE4GlxfkPNl+4pnmWf&#10;XFOH5KJCG6WbI1aeX6QxhwGMtcL+77tihvjlHa9hl1xSU4eFlcZsa/yXOQrrUprbfdztvi9kXL27&#10;7oMWiOKBIyAxcmfo3uxxN/Ub0LgrZgBHv09oKMjH8zfdjcHPUPuPkNq1W3BG/HO/ysObvzh6M8x9&#10;+OOtqHsBRLoAG06vWxu6ptxBV1fuhvEU91tadPbBQDXeaL+UUAcQ5Dw5wFZnzV0xS/A4NZzGhGKx&#10;wtUiZ7lnlBG3q+tVraZNrYhGFNNzQNZgUnLXFbC9q2w6Cu9tSllbOLZfJeIFTy7fRE2Vm1Dl4dWY&#10;7+6NtbZ1/bYUvU1Ztg7KtajsIqWIk2mxuqk6QIrHmFRgsZtz6VxPlXuMCDVq5EyQqYbMYc1QAjkr&#10;JSiH1oEI+ADRbplgjUYacwnboauiZ7j0vYkloYLxKzung01AKxiFa7olyRmA4peRk0HO5jMOyg2N&#10;7ThOjzjBsXUNKQYMWJEluhc5MwAqy31yOylVEMAWEJ3wRf7uHr7ecLHTDetky4WTDsZuG/fG0Z5c&#10;Vi0e+Dg/BxXET7bcP+/F3HDFOUxASgcj6OvV13kEhvvNOtrqGzCrGAjrAy6XqgJQMuciSGiuxGQw&#10;6eA7+/BX/JaemK5LEBbvJdMDFAYjtP8UIcdGGQkTaJIIbQtMCQjzltLIWdiYtRybbW2JIlWrN26p&#10;+dcZN3WZITZA+cVU3gUh2urA4dFmmggKbRMZ3JUrMjcwVeFTBEyk4E78mjDh7W5VgUGKQe+Xa+JL&#10;6pr4pszU15TV8M2vf10BeMoCkK96RlYR0gE5E7NyV0j5bj9R17qz8nE/LAFySnUTtlTG+YrAz+27&#10;lxUguNhWNUgVUlSpZzU4kyCnTLWjzsts5sAgJm+1Dlqt4CH9m/blsQpFA/W6a57XVxRTUClHfG1a&#10;TWMkvf3ZOCI+5u3eXRGCtQVAc8SslkjhHGYOzQC01ranpkAMUGO/sQ+srvB6AzQK8UcNDJGjFVOF&#10;LjOKYAwjR2sJw+gPjCeVV9Fb+au9FqbGsRnS7/WNrb+dosh9LTD4vPvMiZZO1HMiZPLaFTCg0+yu&#10;5mzBxho4FgjQ2emZjyhIqyBVmAbFzegmK2Z5VIBtR3O+oTRhOtCi9U3IhUfzIQ4yRdMWZWUAQGwT&#10;P3Bnp62oLsmnP/0pxwydOYelROW13Y4ZCUxTLzSbSZlA59rqrLJK9twSKScgugdL0viNwDb2rYMU&#10;t4dn5bTeuzoXG/LZE+yGsF+TZoKLZlngl/RbbVRKcFPm3qbRlFUeCeJaH++YmRxgsAvd7CPrG7eE&#10;RJC+7zXDdG3tLuvOf6MUt8E9/SzTcbb+A/TmI1DWAfakGPZo40bfDJ9wB1Ez1TBh/jD4gL+UgDcD&#10;xg1UWlxM1FpUx0WYWExjFuY1sN4HhHnuX9ivQl9PqUfOSrt3O8XACGpTP9n4og2KwkOH1pEODmwq&#10;Lq13uBTDNed7HUSgbH3YfrBaCUqtGDfOHUqJeOQMoJw917+hKYQDbgXcD8ybf81Kubgp69g98b8J&#10;AYYp1XKYhEZefV+KiIKNBQpOnjrZti9LMbpyrS3Kgka/moNSiC6fU70SvY+V4c6CgjgnFRwsS95e&#10;9cvAqrwh5rYgN/Oe91QvhbMq5fMWHUFPHIz8RGDBmrEQcNZ3K12VFYeFEORqEAgfkttaY+7r6f3F&#10;yVKHtwOC0ZqbfrNxHWBmzfOFfp8O6Ho2Yuis87QCBihjWOad5plyAh3MdqkPjTsA0/QUcBrgB+3B&#10;0yX3RB883eOIEc7jqUIKAXsD2ZoTM4K25pbDl/mmL0iDv1i9OPNqTClegwWi1y/BrXFGafou9f5B&#10;hp4TpC8DPgy2KBRWz+Y3gZ29TkQH3grMzUIRKMOH/I1/BiZDAI1RFTfUAtCXIncsgMBgIxnum1RG&#10;lwX0z+D6zkiYJM/j3jAyfDc9UnVoPurE0JFk1wRYKIAHaHtZBXfQXm9qsbZUXnlGvlzSRY8cUGyF&#10;wYIWl8Acl43Fl9d7Fmir9B65Q/gF0fr2kmevf6MxwmiMHhHCuHiqVj0a5JpcKcuydnxa9RKuqx36&#10;9771PTWxelcV4dRvwnUvtIYyhe+VhnpbvvoLQt+3ZXW4SgyBvk/lxwuyPqyBggWE5DNRzEOCkuK+&#10;SNMiKzW1sfgRebGGzN0mTJqDdYvTYC96/nwOgnmiI/EBIiHJYrS1N33NTSisa5lkh+v9YZqpKw7W&#10;9mf/kvLl818m4r1KMrdfHVFeDBWvJ7UwIjQK0BnI6z9dzy07qMjv8k93SqsOcphODVk6rbE+Zv65&#10;sPvobaXx+gwKpgEcCuCOCZhR0hdCIELAgEfHt49LI3UPugaSOyYFjAqiZBrhh7zhrqP0VRED1X0W&#10;5eaaVywLn3PDXnnwNpUddT9+Exj79rvvqsaF+oootmR1XbUwiMrWD1aUbcaiOc1Jw9+iHoQsEIvS&#10;KN4WQyBGgqlt0vtEP5hGKRYFU8bVQVGhJcXL3JXGxzwOKAsGoMwiLatmC0FvmIA2JEDMrLEg8VMC&#10;HaskFo6sFTQJ19N1AmBTMpUpIkV/k9opACoLEUAVS96ErDp0Ugyt8d3EM/gu7Acm7OLsEarZO7tp&#10;9Dd1O4IAIOBQrQGvOWRcN/ZgcE4MVPi7c0aeg9m1mDRgyl2JM5a9Gje+ejRFif1E/iOAubWfVEDT&#10;geO5lg6krntA7Q3WRGt25NCJ9lu/9Zc077X29f/+v5Vpml4+CkTWczmn9B/yebBt28vnMY6Fy9gX&#10;zzr1M9b9/kO3xtAKMoz5yPkgKwO6x/0Sxo8mOjtH8KIUE60pVp5prFDO6c25w32g6lHt7jXValFB&#10;NaUKqSungLHut6rMsjllEB2V5eLWxWtNyFcpzXKfquYEzWxm4f/SUvcp02zvNFlIa8qqU8yF7r2g&#10;9Pa1zZu2yC2ozg/tvgGcCOA1xXvNyZVKvAZRb4ydolQA3kkBiG3SiFAmTWOaErRfqYpDN0OPNbGc&#10;6rRaB7m7LRIgyw8CPFkGvBLCEBnVLRPD4l9QA7ab8E2WSzyBmioEgurnrqwwuGHJcku6MPurM2Ld&#10;p1zjPA8QATWV8gQBUN2W36lXlDYFcb13OVpKVLn+xmnCAHIWZaw08VhboCwzTEE+e9zKpezrln2O&#10;586dcy2hfo8P4+k9Tqm3I4cHgWmoFdILPfpIkqaqlzAhB2dsDjKh6mfbvhrlFgs4dLSM768HfPTf&#10;Dsj0YtUBQQPojLYOhVNUHOg09jN5I8uExARTTjRlXY20S2OoZQlp8F4RicdINK6EMYeDmINZMeMV&#10;+Xi3hJxXrlx2Lwy2FI2SIji3VMKZjIWE7GijtZkeP5oX6UfwPrIY5Ne8cOG8GmFdckyE/VU2rxNs&#10;qsZYpIDKd0yzmvfeeQMql1Yn050Q5lUBCoTGrA7cHgXx7aiY07yI5JbyoM8KmV+9qyJDChwFOBx6&#10;VCY9BbTReZS0VvflMH+GEKDJBBPF14f/rhgkMQLkcHPATFMxp0Xg3a+VOx/ZDAwNC1N8gp76nsUP&#10;lwARDjgvBw91fzd762djokv/+OELAW42YKsJA9Aiekyl7TF2aELvU+MDGsDDRUwE11DQBE2C10ij&#10;YA7m/rwbP59/d1XCp6X83/lip4r8zVwRdl4/vhZNoDziRv0BV8rwIBVq9AqXpz00jBeNKSifOZUb&#10;w4AltGusJMBJ3MWCYh14f0XBkTeVh39K8TPHj6qYltxGtK1nDburkLHhB6W077JodFmuOJ58Vgd8&#10;SS67GWm3t1RWnWDKVV0TZyLPEngkAl8b+OjDj6S/jOIobiqWBoFFv41tfccpdoxZ1y8KuByXFigT&#10;ouexoB4x++ePu7gVwIAxG3Nh2heWtfi0QB5bGWP5qkC+Aqq8h4vSFW11D6L8eS4ajoPNtN/44kfa&#10;nNe43ALel9Gm5ROEXzF0F7IzT4oWN9TUXQK+fN8Jast3LRN8PVOCfngj+0n2lUmJa9lf2LwVoLKU&#10;4r+2xSLWAtOO/6vvG3jX9wHdzLHMztyb5xDUPCNhuisrImMyv3MgnfbCdQfG8+1/999DC8XPs0xw&#10;vx5pP4yW7xYNC03TKec7VrMpCf89EnzGXGRICEDgxsWlwUp4vWxGlCVCQeqTJybaVQVR00dnSllV&#10;W1OiUbkyhQ9VIEq1XlRP5pasWXcFCtYU9E5V3ymsoCoEt6r6KurXpWaFUspUyXVX3XdvrCh2SuOS&#10;V7VtKYuFQmz0M7ot2ifdfBaegNnfWUxhTPfk1qPlufkYO6HFJA3dbkTtg10ERRMji0ztWZc7/B7S&#10;jRu9eQOzox1I9C3pZvoRF6kPRspvWbF5e0eWXyzyFuymOba/WxnCezgX3WI25MfO/skAfL6YewcO&#10;pje9n4zHsLHuvsg1BYDrr9DnkKaKDbJuBVJ5B2u/+bOtE7GIxUPQJemY+/W/bMErOTJOO85eoMys&#10;Ub9GcXj9XBpKdJNff8g8gYJiPqQrcROEO6l+NNvyoAYDyAGOFmGeVJrAaEN1f0y9RnmguCJentsP&#10;AJ9duyakq9d+GGrdv4+n/9v1/MNxvCBxT6ABisFJOzh4+IBqBRwcNcnaVYraNeX635RZmQW9qDTT&#10;FVkJtuUXXidGAzM7OcA6YTMyvc4p8v8ZdfaEIb/4kx/FRO1AoQggnonAoJsifiXMTxeUEgkitaZM&#10;VLIO74aaN+3RISQt1oWmtJZzyiYhiGYf7b41bua7T0GP+w8uOYCUVFDM3LwAOtswUt0fUzW/U1Y2&#10;AhWWhpYB1aFFxqQcIkygWsgBIuMQ9zQ85prlK6LEclDfgwYoYJPDS154aU91n6Gl4j6yGxB4TLd5&#10;vgFiBWvlegKM+rEYa180UPNwsWB0weGzlTn1F3sEYjfUr9llJdIMJvMNr+hzGC0E7xdwMCMpd4Yt&#10;VKKFfpDjGmHsaOLdXqN3CZY0mMINQKGY0OF1ZZu8/eZr7hVxVGWrTysNk7gZaj4Ajo4eO+osi/fV&#10;4+LMO2fdEfeQYh2wYE3puvg68xybGzUBMpqIGeEcHJdgQihP6FozRs4irYTlAkToA45p93306GHF&#10;8sgKQdwKBY90x0n2QuCWNE12fQFa0R8Luie1PEjDpbGaNXDW2jEeMHL80b01d1Y6JuPQTV8V1iOM&#10;CdcfTZg8C2n1Mncq/mNNAdB7pXG6Im6dVyYasBlT64BQR7xgVHAKYGLFI8yr84C44hIpnmI+Afdu&#10;FsYel+XRwKH20MzOYDBWFJOs3gIsWfBSbhi6r3M0IrqiKlbGFj/WYvih71VF7Io/AFbnJHBddh9H&#10;KmCrLHL9qw/ytf7vPt9ucehz9vwKRNzv7x9H6XufbAUkhZIdjzIHuMCAGoBmU034RKSfgyGp57Ah&#10;ob4+oQwBdc5cV9vtpdsoU6r58vhRB3HvFY/dUCfgyf3yra8oFV++9Y3roqMjyuSh2RbN43T3+UeO&#10;K9hyRwG6h1URdluF0Rba/DGV3NY5WJg+qmq3hBwdajeVmUerGSxm1Ipw8DL/AfZVsM30hvtblhys&#10;iNsoetbMAyq7UGQeAX1Fn0UrHwAatfj3AzbWJLyjyyL+zj29SEWv0FXRk2km8q5fC0F34exzGik1&#10;4ksd7OQzb0FcuShVAHR7ZHXGOE88x24w0r1zbazRPXJrDMA9Z+9j8Ty7LksOVGyUFTpow3Ihc4UO&#10;kunROeaQqIuHDsY/BEI9FmQIdl1sqv+kaEYdXNEb1oFuGcBMuykT/ljA58H3lc800h+/OsPhoPID&#10;ChvW7x5tmBYX7Y1GQg899JB6Zpyy8Eyhjb5bmbPNVkUoNtFwSDROPkM7gB9OgVjZFB3im6q5sKYm&#10;TbMKXjtCgSP1hoCb3hRAuiWzMFrCnHofTElIkSuwT64RmO9TTzxhRs/nLjajx480SRi4NA6yFh57&#10;4kkxDSqZUeQKWJGKdfimKNJ1Sfm4CIjDaiv9iMoBzwmEkAdMYS2EwU01+TovDZQeFyeVSvqYBNE+&#10;1WvYdIOxbDobBwBg49xgpxCl3Q614p1IehnirFvWjj9NXOX3vZ9kvAtFAyFGrDLR4PN8A8QRsxx+&#10;uyxQpuMBMdffQ7DJWMbKLZvVBX4sWaVLjgGANzTPD0PM7/Gr/z3C6x+c1pAWLWAifHKU48oYpwyW&#10;cNGJJRBtR8Ic1O10Oe2rg46hN63JdYHSd5T+9I5qh2De/vRnVTZdzdumRLPWxAFnOqhYGM788Afq&#10;WHjR/WIOKz2U7JzeYhdm4wJRjEv3NZhWmiXLTvAb8RW0g7eBB4YmmprWGHZkMqcBHGNbktUMpkO9&#10;h5kpqXzEyCCl9UOF1zs6Lmhy3G+OLCvdZ03WrwUBRkMYXDUWsPnxMqOJDCwR3e9rxqyPo8gmeM17&#10;A6OnBos+3ZRAXlHANMJ6UtyRQE7vHLwFPmDgUaK4g4MCJJwZ7hegwEOiOYUGI+hdaIj4nFqPbsZO&#10;IB0edwQo1sNxcR3Hb6GKQ3PW/jBJFwMtoWRy4xmm0144j3Us4GGzH66B6hPh1cue2CKjWCgA0K7S&#10;qPt+dmY4FGgGFHXe+ry6W7dXs+znhu91LTnxTYln6qBkKEy9xpxdrCklMKDfWHsBbVgvgQwEzsNL&#10;OHPE2WjflNk0sSzXhxrpLU2JP2KJEi3gwp1WqWyVGLQydU/7iZBblNVtQ9/Z/5Bivuj0qbVdPr3f&#10;Z2lrQq5cXESir8PKpmNN1gQGJhZFn/MCzwRVC3ROkLYMmCeg3czGHIJQ5XQh1ZkghueuzCB0F54g&#10;u0v/9fRX5jouKhXOkCZwQx6RPR3ST/97tF4D+hoqrz3gkW9HzqQWEbTUBWn4R+djuS60m5RPg5Eu&#10;v4oXmW6dXZRIL8jK1gnzQMBwwHlX/Grw5g+d7983wy4e4fHFh90h2AAlXHUIYvuYA+AjS/prNH/T&#10;9pjb9rX22M1bitZq7eLU4HZGeUEsGXg24H5N4MM36cGFGg7q/oUcQozxc7mGfhmYeN8mzU1C9TGV&#10;yX7yqSc9yR5MVORgYklAIOjNnvaxr1S3xd9JMBv+4P0KYFuXyXhLAntLMQrLMhcvyipweK/KTsN4&#10;hAiniX8QYW9Je4rJfVvandpY6zoY/RaMuawWBD1u0BJWqB1anxZzXlagpQucUOwDbQAwo8Ee2pQ2&#10;efKoAACA/3+tDrRvfkNC51Of+LjjP0ihWlZ79NMqvPXYIw8rnuINdbp8tV2+8F57VG3HH3v6Ofm8&#10;98W/THXGcgUxnhAuqxFkHiFbQjDH6T7iCJ2EeT748n4XYXBf+6TNOIcgInQwFCwjuulQl6cOqPsD&#10;O+03+rtDws3fKUhUxXJKR88zuu7XYyIyvzGNBRj8816mUWsQpf8HGRXzGrwnetpQtLl1b/1NuW6Y&#10;B3VKbst8++abb7ZXf/aqP3vymafaw4+fNk25pLHAIYzktqpQ4qo4IFfbDUWzP3r6sXZcnW3pvgrI&#10;WBOdJ5hPdIL/nz2AzqnbIGvVjAAv1hDKQ9s7VNPl1xQdU5UFQ4fXJczLd647OBNrF+XSOdAEf3U1&#10;ZhogrNsTcIk1awNzrKa9rblP6Dk2EZvZhZHjgiCCfuhCMGME58AfEFQE6RGJT4obO2S/v5irPtsV&#10;09+6q8qlKtFOPY2dCqYEiOU+yRAwo+S5UDHvwSRNItG6iSXAbdg1xP47mQ/hUzHLdkBBNw4sSCxl&#10;wMqIeXrryw3BHNDOHKeQZ/uM6X2uJzDSQaAAG49O64PB08GoERC94N5QmQnQRPDJkmSXTr6dKqLJ&#10;xLASAIjQ/XfYBNbOFsCxG7fX5OjWhyxJuR50T0BUn5dT8euV8zk29XsvcUPaXVmWH1HHpMBOYnwQ&#10;/jkPu/ArfLmLSifWetJ/BjNBYkZYD3aZOeVcGGjJhEAzLf4Nv9wGWRrYYRlU3x+pZLhOMP8DVFkb&#10;BCsp20ryEvjQLTUWoOzdMrkrkEj3SGrxnruyYrG/+h6ZT4Z3xT76ejB19jnVWgMqeoCk25eX1bzz&#10;raEsslVA19DCoadnjgAH+wI9sjc6P8wr1yeg3XVAimd6f3CRa1+nVclybClLtsfw5XHrnj5DJWsR&#10;9qid5swG88lcG1n/DKzLzVG0cJ+87UDFmLjolbOu8wzsetCqNaInP+5+ANGNCSnZEJobAivLGKzk&#10;1WSuz200yxBmTB5jLXaIeQZmMI9kCDJ+ESOP+Xjg4blvYfsG06sdawfWjxsK6PmJCjtdVlwDVgms&#10;E8Rm9N7mI8sJY8V8R9pbIbXoB8F5RAazYZTr3pbWvqLKgrvqqLgq091eaXDzMjviiyPNj5ZA8wIE&#10;Ezo05NA7CE6LBpqPqTSBdQScck9ACgGS8F7Qc1LpuI42kWwQBKM+DerbsKieDAfkalmRO4UCUJfU&#10;QY8gx2MyRR9UZPySovlf+OS+9tTTH5GQeqP97LXXFfxyvj2v2hR0JCWGgviPNOQKYKp9HgXTjBlN&#10;TtqDiJz3AFUPvoyCC4QEnQSejNcz3/iw+/G+D2CRyZC4x5Rj6va47wchAQMc4mCL+MHHAOFBwAP9&#10;JRgwk84TPgBWPjDDGr8vjklwxIx8L09udC9mTzdUQKcLLokmb6sA2bl33m2vvPKKsi2uuJU8LboX&#10;1ENkxxGMYgMCkPS7eF+BkVjUjqiC5UOnTrePPveC77MmQKGol2gholli4p2K6WFl3fFhzysd2QzG&#10;adRV3I29Q8uVW2VTKcNT8m3TUG9bzcWmYUIaw7ZcKrjtljXewyrk5nLD0COChCZG3ScqSuc0qmhp&#10;qhCW8HbTJK8R9BXQ2Jmg07P1/l3F4nBfny8zOkzlcoEpC4riX3clfNZVQOwuuqvStXeV7kp/m047&#10;29Si4RxZ+Gt+5OrDnBHcBsfdTQkAAOnUvgwYGsWrWDRoido2HE0ElNeKGAfoiZJ1uGcKkODDRQMH&#10;UEFi0CzCACFnflFnCsCIZRNlJtlBuQclzyekvZNVxtlnHmRa871NAcfbyrSitwo8bI/uMTKNW64G&#10;MDHennbY3Su9zwduzgifbnnAGhNLD+Ps3xumhPZsjZBO73EyJn6e59LY7gBIvw4MsAIR2hM3kVIA&#10;Ix1vyQ2+S2ozgp10cdFZ6rLIraGUZeIoAHt0poVGcfu6dLbcZDSjuyuBYrueriPubH5a/S40plWB&#10;gQ3VRlkkWJ9iULhLZHWgZcGOaPamgjDv7uoMKE7sEG47qBK3he5F8PCsY8LUWVaPdpq69p16HZ3H&#10;ML/uArSFZcT/C1i4VEFA1pAv8XcHdCPXiBdxIM9KofYRLPYWxbA64mLRhaUZoOmCcodhLd6zHRna&#10;LUhDJdwKmu6NSxLKjsKp88ne4P7CguMupgS/ktlEMGeAqAP7edU8HZNEsGmtCdZjzhHuGT9b47Ny&#10;Xbyty/U+ntwqYLmD4dH9fxFfLQB/nzujL3JQVnzauB5q/cZUmSeMNqu7KjpCe+DC0T/74mcjh6Ak&#10;l/QNRpPvhw8wMSn/LqkoMOQLajz07EeeVSOvwxbqYbrRIu4RJ2B7HbePkMQ6QcnPTREq/uXDh4+K&#10;uMn3F7ql5gMbqWdsaRHfk7vhllwpB9Qql8CoGTHcGeXTU2Y1mj4bEzeJAbmey2bjl8Uk6M3BIlIR&#10;2Pa3kxqpS61hgKI1XqwV+1Q/gp5G15SS+u7591V061Y7feohmQcV1S/QsnTgSHvhc4dVMvrJ9ra6&#10;NX5fHUMpFPLcRz/qQD26KmISDiGwdphl8a2NmW0njgf3I1ckGGj8wrQ2DJYMQfma+wR6dvvBYDjv&#10;XwcQWZp8f3Cg86w+Pv4exDToy6xz0XENq4+ww4MOJsrUbrBRtORLxoBiPK9Oa/0eiL3y31fe9lC7&#10;C8AdW3IQEl0jPH/uvfajF19sFxXX8MjpR9qv/9qvqey0qqKSg63vEL9yU+D0imJvLql1OALttK7D&#10;sgZzuUuVTYFUR3CzQprvJFkMxVBMP55CtBNHaluYsI7du4r/ngA9GCf1O2E+ip6/s9LuKoh4UwBl&#10;VbnnuNimlG2xXzRD0PB6j3mwPORcx1zvLB3TDSSRTAi7xQwgo3Hx6nFKX/nKL5nhJW0Nw5hK5ypA&#10;8yEBXB2Gtm8eS4zK2ut+C3QeXZMJW+vwwic+2z76/Bfbxz72MbnyHpV18Qk31LP/14w4tIa2vKjz&#10;+NxzH1HMyAF11H1CAi1z7q/49lU1VSDrqacfbw8rsPSJJ56RgEkWWbg6gg7L2q6yEqYF9p5yl93H&#10;H3vKwZUAhJxPgJfmo7NO/AJ9cdbXttqph07lbPEf+wK1wpC1x8SJPfX0U86zx6qY4EZy6WfaK1J4&#10;FtScjkBuOlJOSiN12CZWnhoawqHXL2HP56l+OHBPxCIYuiUNsKcKIqgoctZfQyEQd0b4QX/105OA&#10;bAI6/z/k/eeX5fmR3ol903tXWd5XV3tv0I2GG4zhDGc4HM5Ku1wdLY/O0VLn6I1e6S/SmyWPxBW5&#10;nBmCs2MADGwDDaB9dXd1V5f3WS69r9TzeeIb9/7yVlahQXJmKek2Cpl57+/+zNdEPBHxREQFrvIK&#10;LSiN8/RnH+i9Xo3fvrJn31g5rQ68M3cUUpAIfemFZ8on576Qd0tkdaUY7z1wwCHbi2cvmUS+V3Pz&#10;/LNPl88++6Jc1RhM7p4oLz77XDklcD2jfjJkGnzjjTfcQPF7P/lpUdpReeXZp8pXv/F6WRBQ+uzj&#10;T8rLKuHep7k5rbT3t3/+gSq19JV//qd/pD10q3x85qy4E1vlpeeeLC89cdAZC4BpezM0lniMqUjM&#10;c+Nl4PnwtiQAaHrPABhZQCp6WYSnq8mlMBit89zy9BpAaF06rIBkkKfDFSPr+xZxCXiz0mWEPJEJ&#10;JLhwrSy7nSCyJW8AzYFAQjIiF1iPEIarnLTib+xFlzto/ON7abZ77uuzucQ3NWUAUG7vGanLrjTN&#10;w6Ssrt/xDTSAGX/uKOPjEn6hp62rK+jlvejiqQOcm2pXL67Fivj4ZkXjXt7606iYSeENvlvjOx6Q&#10;BurJeJ0rsjnGnpuktd5jEPUduxFruc+sCAZrflyCmPu7KDABt+DkyccsjKYUa7ZFw7l9zRAeSbhC&#10;oZPn3k3BGwQW8V+yTHpUKEnPOKYJp3Mn1s7luYtl5fo9eQg0QNPa+H1yCeucIDr62Tu1BWHOfbrI&#10;EOfThAvJ31fBIkqNUivBlqVXc4RZ+P5KjUliCSKYSIkzotbt7FenzBVxMj449YFK0Y6UIxJ23ZLJ&#10;VH6ckCX5lTe+oq6hR8vp06fLT37yY6fl4ZnAK0OtAOo42GXHJX2/UcEwLEjc0bhvEZZBRkSJetl6&#10;ERse1ZURizl8AFEuN8IbEbcLPd32YLRoCnUat6t8zhkL5UG4mO80PqnArAkiUJwRM266AgMoNIVl&#10;KA2v1lhHeT9+rMgDz3h5AlisHZNkGQN97u9zcVudVXno/UFN0JxawiMcT506pRb3k+W3/9Hvl4MS&#10;qiZOUnxF403a3JUb17Q+L5mxDHB49mn1V5ESvCHw6wi9LQzcv8Ge97ZhNtjjWjWsQe7dDB48BzTL&#10;wjpUNoQ3qMEF5jYCQrOma65q7tcUwlgRAFy+e8slbbFo6EcyLGb8urrIUqOfksUUTOO/HqdfBtBz&#10;fZcKxPnbTegI/3FdKYIlne+zzz5TVdbz5dVXvlYeE08nrHVom+ECB9AuKhsEYXv4+BGHSTZl8fbL&#10;mp3XolxTOfL9qsw6rjbq8wI7uIWfVEM6emow8FGrIkIDgAgAyh1VsqXY2nMCzTTyMrAyco9XyAZS&#10;sFdlUIhjMi1Q7vELIOplCjiTPKEWAs+ye3pQgGfSo85At5VGcBPwTlA6fERg4pWXXg5l4aNjn3hd&#10;uT+PuCTyNECMnd6jmgcIf1L89Nx3qEa6opoRE/vLtBqsdekZFrHicffjxWB+HV7VGtC9TUh+0QfF&#10;clfziecV78eIasYQTsHoh/DbK6K3QzSEbpgn9jY1HmpoJI2u4FlQlI55jUd1zQEDRJ4SEutgmVGT&#10;v7/58UfyiPWWJx6fLb/zWy+X9z+9rJAblrBahR87UC7M3FF9E3kZdH8jkjnLklEXLpPyL69hz1xR&#10;95zy2RVVu1VZ18FdUppSWjOqc/LFF/Lyaj2++AJraaDcukaXTxWWkjdgnZL9arB48dJMeeH5VyR7&#10;1QtHBPh7qpsyNKzPxLGY19yfPn9HXDUqJFwqz0v24f2iOiybZXpCXXYPHjFRk7Hq7iJDgDLUoSCj&#10;VwjbuO2G53dkIrwi73HGT2MTtRRoeS8eHGR4vY9xel8eNfMJ6ueMOd6VXmSJPgsvVwCGABJJqg2A&#10;mj1dwJfMSbPA2jYPCg37ND2uPxPVwSKFmywVVp7DOVTD1M1pzxMS1ADa62FziGsbFMT+sDxjuvFs&#10;mnsUYQx7UlgLbCWdy6ENfYYRjZS1E7l+Pwxz/WMsq9y3z5G3NMbwvTgGGTMlA4JkAvSvZRSpWSmu&#10;w9602vArf4ttz/mJIdFNLBQUF2GxWgz6f0G8SEQYXdAqEZABqxZf6wL1l3T/ZG4vDztI5UYACqhu&#10;rM+FPYhFX7p4yUKaf26Iwv2w4dzoJpAm99JHbXlqKVhZUNRDiwPBpfsb1KLe0KLokrkzqBjupKos&#10;LquWww1xIk48ftJegVU6Xkrp06CLFx5b8IpZ5QT02NgWSpHP7BCGiWnhrnALXa6vP00/Y5xJaVLs&#10;sVsreZc26PDQITXPmpG7/F45r74gN9WQ7LhA0oF96jmhCZoS6/4VucyPnlCvCcXif/yTn5S9QuJU&#10;zDx48KBDPyysVdxgtp5pzRykQKdlkvng1ru6L+YiXdYstrRMrfBtp2uDZbkTlFkIZ175M2Pzzflr&#10;H1MXSefkPvJvFm4Ld7RWXDQSehCGNNdme5G2V21ADW49LG675o3g4wMEOJwWbzCsV1/CO8kKCMGN&#10;S/vUh5+WMx+fNmD46ptvqh38CadTLkqJuEmW3p9R+/Az5866rfKk5nK/5mNCXgB4NLTuht9Auuam&#10;LKtu4u4GDZFSF8VzAsR5jzlUwFqibgZtk+nNTP+FKGBFvQQinOsKlwCMhgkD0CANQTSgzCJVEaUr&#10;rOP4rntAeEDPR8yD3hXmDdUuhI1xzdjmoCw8hAlgBD7SF2c/d5W7FHyX5Y2xMre3LcKa8BUO7d1j&#10;xXX5+k33UBhRa/r7mwtuGy3bVkWJRCwW4Dpw8JBDL7elLNmO/oewpJAdq8tk1t6yT+cjXXUerwpZ&#10;+uA7XSzd/NEsaUv8kt0uBQ651F13NSZY66xFiocBHgY1HoRCeaY7Ii+bBMp4mRybYYxYB/v27JOl&#10;vay55P4IQ0bBLoQx+8DlIfS9g/JUXLlyRamL6jEiuQCBdVQK6sDRxw0SZ2eulDs3ZtW+fk8ZV98Z&#10;gD+VeXvVkdaepCqwKdjH/jYJUv9h2bmvAaEEeQtQfLxGZVwsqTcL922cq3/UV0HxZPw/y2b73Igh&#10;PIv24IT0Zg7teLLVt+mS5oMCJ/Bm8CgdVMO/meuXNQbqTyTgQLPIu7eUhj66qUrAt70G51TqvV+g&#10;VNXwZG3jydpSjZubksG7XPJ6XaGNQ5JZjHO//h5UxdrJEYyqXgErVc6V3Ltx9VKZ1565cvmKPFJP&#10;KKvtOtaZagSpVP+16yJXyngSmJjardDvmNajgCL3262sNcZ2WsWt6G8EqElCryUTijH3fAW6eP0i&#10;dZwaD1UOaxzw/Ph9OCv6e2qXOG+Us5fs7JOnBsOV37ck+5l7ds2UPE+sd9bFgMaL69G5N0JLbYDr&#10;Y6pXKHRxGHSWMNWLEF6uFn43Sd4eLYw9g5OQeRxHNgohOZ9H72Voi9+dYhwHtsIm/pPP+P9aUwNd&#10;hReHjWRjGs5Iytaq3JtS1m/5OdibsV7Cg+Lb8gvDHvBGU05ziRjj/LDylVoHZwyFN5IoyMlAV5TB&#10;NHLSZ9EcBCQYsSAajCSIaIYyQinspBjag5yDnWQjYnrN+0Bpstk++OADKd3z5VlZ5ick4Nkl4d5S&#10;y2ctBqPKSvph96UrF+s6qw+a5KPB7tdmwlqEeEacjzRLeBbLd9R4jCZH+j6IlZdjr0aDMQ6ecze4&#10;MWwIZc1bddE4X7cqSadYodhVRnta7Zx5H0F3SIJpVZyI2+qOeVPC+CNZvjdv7C5Hjh7WplaHNwmY&#10;Y/LAHJE1iIAHSP307beFyIfVCOzZclDEzCGVqaWJEnUcSCllMVPTA8DHYqTMOArRNel1H2s1JBQF&#10;qWLKsVhaayHnCv2aEKKhjNtLKp71H+q107W4fOsOQi9HGibrUj/tNfCk6D3FbQflt7VSYgPrZ7/T&#10;3tRKXMLpjDIuPv/8MzXCWlL47MnymIAqde5dhVDuWLgI1GK4ePGild2K3p9WiO2I+qc4/qxNCjEy&#10;y8fzXvS5sBRvWUxkQ3gV6X9Y9lgKZqSjsxzMVLqcrLgojoSlLtxKyEK8h1FVCJwW32JLytPBhcnR&#10;KPdLLX7mlTir9gFpl+Hf0GdcivftoQnBlR4/xhTLjtAFpOazAkYbEqy8IADzelvrzcIMHOHuuSz7&#10;++WNV1+REh0qf/2X31dzpx6Nw/4yUhbLM4/tErgZKKd+da689fap8s//j/9DuaUW6b/61a8kqIN7&#10;hXVoz1d157Jz/ukf/5NyTtd/X+GjFR1Hz5xk4OfcE474oz/8AyvzX/3yVxpf3NaEh0LQRs2UsEb/&#10;9E//1OHQt956y/cPyObVMmwwLDQWf/RHf6TGe3Plxypj7zLQesbcDnaZe111lT/+k39a3v7F2y7W&#10;E+nSXeXE8cfK/+3Nb8vNPln+5s/eKedO/Uphj6eVojuu7whE6rvDSullLVAUDDUSDDHDKN/zGj1f&#10;wHuSJesae3gkLAaaoS2pPL7xWw2vgg+CzxG1J5rhDbvtkXe4swFfWOLIZl2LXK8eFcQa6VWmjtI1&#10;t9R9dmtFHiKl4Xarx8zu8X0KLdxX6XOlZJ484bU6pD2zZ/+ucn3PNWewHTog4KrBmFD/6VlVnbpz&#10;/XzpevKAzqH+OCotPyIv7vzM5TKujrnHDymUq2dTEEUG2s1y/dLZ8ge/+y15uE6XA3t2lcO7x8pN&#10;tU6nJcHUEP04estrzx0vF1V5eJQsEIHRLfXBgXzJPmFt9+qekP+5Fvg9yY5ZiZT5RZ5jRPKZFb7W&#10;B2DSHvQqm/EasnfntI8hEuPdZRHh4WU/MEukYOI1wgPl1gH2qi2oAuSCAUmEnAQmapZSO5zSBnCd&#10;YQgv1PqKAlHh5eZlgFE/S5mWIMlZkvZ21PTW6qFrhmfSW5hcm7jH8OzysrqCx6HruoDUb/QKY4x1&#10;3wZDcbeAygdeXMyoxog2Fi13ANpHkUYHOTVE0sR6wJGRIL6G69EI2Ao8whVZ+59NtdMrBztj0bk4&#10;PLg6VxKMsEY47+zsrGJqPxeYOFdOKlZ55PARk7wgW0U8KqzQLKSFqiCGzbPh4YBnTKtV0vBAuCw6&#10;mnhBqITgNiJlw4DdkdVBJ1NSnPAsEEu1a0gLc52+EqReQtDCW2a0HxPlcatEQP7qFlmJ2C0WDOlP&#10;68SG2eQaYxT84SNHZLnsKpckoLBy76ho0T5lbxxT8y46LGKpHZWXZL9AB0rs008/LT/75S/LXlqU&#10;P/OMaxT0675QeFb9CE2KLEkQrala5ifEG/Uszz33rOpp7LF1TL0MBHlQ5XyTARoSkvph6nL+ewIR&#10;20MUj17VO4OIOuZ+6ngBIPidzf/JR6fErTlfnnjisfKV118xOZeiYMz3gFnx98tnyoqhsRro+pmn&#10;ny6Pf/1xtUqf8rqlP4CFtQTszRs3pQxlnWkD4gnypq+KzqmHGnuE+6DAblZ7i/UAWGM9hqfHStiu&#10;yyo48BABfpgCKZMRAeEhzZs9J1IqS/KSzc7edarmuM49UZW7BUQ3yioaDfXZrY3y4CKR0uj5tbVW&#10;66roo2w+xD1jPaKQZ5QKjQeANYllnECe+2e/O/2w3ry9NgIxscepz687h+QohT6iYkPHDiuEoGqx&#10;pz/TntI6t+CPnVFdvuGWDz9mWHkZY00BGJZ5mzDXturieZzyWJXKsIBVVtsFZGTlwSQXJhAZEpjm&#10;PEliDPdzZDFwrBn2Om9wmcJzwLhBSLZ84o6rKxuSIrLM3Ho9C7VqpqZU7lk8gT6lc8zfk/eDIk5k&#10;yiglF6BDYTGHJpCrOj8hsD6dm1L7ACasv97eJc05yhIwEU3fmqqFdcJ9udGg7rfZY8MlrB2Sooot&#10;oTQ4BXwdZbtRDu6fLt/86gsubEeDNFEfyzNPHjah/OQT4maJxvPiM4d1TZXLJswjcAFX5Y//4Guu&#10;YtzXL0+GZMQrzz9Wfucb6hc0f7fIaVD+8W+/oXFV6EUDsqHGgeMq1/n7335ZF8ajqTGVY+23v/Wm&#10;rjNWDqgNeW/fWnn2SXG/Dn9VgKZL4ekRAbVeFVB7orz09D6BG4FY8ddW1f13qxcjT2DcnhxxWPA+&#10;E86o48jzGzzqeTNDjr1tZUdkpeqgJKfiveYFiHAJZ3m8RWEx3wKwP6mf6IeF5XlvIeZ80B4+6T+9&#10;j5dxVXuBV0t2eXGz6WqxMjwO9V/qtZBM8Uo5ZgCivynAFcHUthHqjGuOrc9pWcN7Njzwd4d16nCD&#10;AXLwlXL/8HuE9/lStWTrteO+ffbmbcXv1RBL/Z0HpEci60DlfuFzQ/O0li0j6umbZ8+HTkBAiiMx&#10;x2FVbWQzrWqxJ68hN3hTOXwZRdE52Omu83PVCeHcWHb8jYXI7+fU4vqClOoTql///PMvyCIgTsri&#10;9RcbTUkiTmhrTMrVxZoEDLDip+VGRTjQI8NmHwt/S8x7Pdd1CVjqAvRr8Q1pQ8mjF0IMQIFQ0a6G&#10;5Z3AAVTZehajvUi3sSWI00qodwMWuFYoJVNhVnM/CGKE5h6lAu5SyGJJXpEbt2fKDbVJP7j/gAlF&#10;pEfh8jrymEhqAk5nFeI4Lavth9/9rlyth8pTIqbt2btPYRJ5bOxaU+hGwuaWrOd33/2FskNmHdef&#10;kieEDpMWizbEY/nKTxI5y17Q7VcutYfgvwcX4j/gO+0aprF4valcL0DpvVK2eAZuKcvnycdP1PoJ&#10;EoQqAsbGOy8AdkYksWsiTe5X/Yavv/5VkesO0ZvLXfBsuUoY3ZSCRcmi2Kj3ALkOJXZHQPaehCuN&#10;snATe1tiLei3EaUW0+5+USGIdcXLc+8Et8Z+q0jpcSwsbty8CH7q/hfU7XZFggyLCO4B9RYG4N8Y&#10;ryI0xM3AmyYlzpoGPJL/n0oZCchc2pNBaMDIsC1siMMDRglb2BDQXgGEw0kgJNA0CizstOaz4Jkz&#10;jwjrsNZRVu41o6wEbZ9hVWIdVHy9X66xIZj97Ctbj1H6vFfvN4wx36+vRQ8WvHxmvEfoxUZANU7S&#10;oEmXsTNHDD7oyMheCg8JIq3pvWg2rkKRW95BNqwWXQjHcH+HgVKviQFgR13sXxdtk2zIjBWfl3Gp&#10;LmOKnvX1q+DdromwanUzWIJUoaVQ1bLAGs9CEbExio3BW9K9Xr5y2SAOABF1edSMitRbd2EFREEe&#10;rPJBPxnPpseW5+F5UWzwZ0i8ZHWRYdSljBmX95bggEeDy/65p44bBLMWNpXmyeu5Zw/oO4tqlqXG&#10;WH0qjKcS/F3dIgOLLLqpCqgD4tbgwesCoEh27ds7bvL4PgGmDXFgBhW66IXoRajFPX/YO6wZ/a7n&#10;suzT74siIPeqyBT3OKGaPZPKWutXw41NAYY17ZGBHur4KIV5SaWxteYhj3Up9DI8KsLq4N7SKxmc&#10;pQDwnCH/MwRODwqUq6u1sh4AEuoqhjGZugSgyfgDiHnPvDqNGVk3oC2+hyfvF+/8srz//nvlnuoL&#10;9Ut+PqZyA6/K60YjPzIB4RsFsR7Q0PZuIDfTM5B6K9ZbSNAmLyJF5DZvEllRiAK8ltWLZLkBRQCv&#10;FcY412T2qrfNsroK5jTim2GU5l5LPdosC8CXuUbTo+HwZ+P9eAY/QRA1G6RK77hwd8QD+ifkPCbD&#10;MZ8ak+FOKnrhBFcldFmouyVMpxQDZvHzYlKTINkEBd6whBJCanrgOwc3XZA5uGlF5Gbn/eyHnu+x&#10;kan+Nyc3L0SweTGI4UrAsh4doUAJAoy87cg8sb609RGxSAS9BS2kRKYG1EomRo2zWjhpDAaJVUpR&#10;LApUEP6AH7FLGR8uPKOv0fbZ4RH8G1qMEcsNCyfMTRY3m51mVWF1OW8eBAnhTvl2ZHiMKqY+JSV1&#10;W7HI8d6pskvgBib4DW2YGf07IM8ECoyYVJ/Oc0yhnMcUb74kN/ypUx+XH/7gR/JIHC1PPf1M2SXy&#10;Vz+bQpbslApo7Re/okvEoDHKcbMgq9Xse2NWKpHS85JwtK6esMTrImp4m3KuOn9+GdDYnOfO72eq&#10;8aPO39yQgXtYo3GPjDm3SeyZf1QX3a2YL7ntPYrD3lKlydOffiZ+zWWRWifK177+DQlGlU0fGHaN&#10;CNI2NzQvd1UsDPBAA5sRCbCDStlk7C20tdbpUDupuKpDFoAHNrm0PBYOsdQnlQp6V5wJ/rmgEApP&#10;ZhlN05YFLliQg7ICjfpZH6xLeT4WxR+g7PzqMm5TPBzqhCi3LwWT3GtGQnBEBc5Ij13DSVh5Fu7x&#10;YG5FCG2IYNnhEHDSL2WAtwGlhZuf52JuHZrTtTO+np6KpvHgewMwOIMLwRWWD0XWsBQ3euXSlvIZ&#10;GlCfkGEVTtuvbKQhvddq4rWTedI2EAwI7G6O7LB0gDE2GV9OIRmch/AeqtNPy2PaDGekBWoQwt63&#10;wA/rK6uqpoWfACcEehX2WPzAOt9IhmjTnxIr0yFKrG3NEb1WqMg6pCqPVAM1H8UejKhD49AFTZvk&#10;ddhQdtYX6rPzq1+9Y+LubZXKZw3ZWyGZ9NILz5c/+Md/oGygowKwN8TFEXFW16LYHwZOFCIK4d+2&#10;CNtNunrUNOl+t4wtraMwB9BM0bsGD4d9slj2eHNqXBtDFkMGEh0gq4eGCPZU0oxv3vc3rKJPvQqV&#10;bawrBVbPtiG03aNy1ng5IMJukcspci2gB+Ud9i6eMUCbYvMO6yEH5ckm/VKLlTBdr7wiA0oNpTYI&#10;xwKAN3QuesfQsZeQLABtUaEExmhS4Jw96FTcCtZWdQ/wT5Cn7LEINymky3hTrE/HZ5G31E2xrnCi&#10;rYsnovouyib5N//m35Tv/IfvlDl4OfKswG3CG/Mnf/InCo/9N5qvM+WsQjLnlIafY9dcI50WfM5P&#10;0zORci0JkiFfA0DkvyhLHbLZoQf94rLZzHl6HRjhXK/McgOsBJei4W2olqA9Mg8TrPl+a5/U9V7X&#10;Gc8AQOYc+ex8pbd64MON4fvefokU1rydhB++iEsJQsycCvAMy5qHRBSdMKOqXMj1cOuEZVHJch3n&#10;z+P42RyEnOjcKAkyUjjk3yyMCVKrxBGgdsP5s+dUsOmGuAZHTKzCW+KVWzddWIQqTU3LW2LJuDFr&#10;2IZ7CEEmq1zu5GWVyAZUUOr6vhb77F3FEBeVYid0uth3z4gRJdVjzwcu2rDY1phAxoFCJjw/KwDW&#10;tzZpn2LICNbEZR5TbXDGh46mPT10AdTCFVO7V1bhY6ppPyeLd0YEzHMilc7culP2yCuB8kKxyZtY&#10;HlMMdp+Yy5cuXSznL14o3//hD1Usa49S1066CibAZUiCfnrXpDZVsHwBGAi5tsK3DWsL/te9OpH1&#10;rzv+UZ/vBDiiWdMOrradTuRMkvZm4ls4k/h3TUTVQUJFSqMlHn1HcfnPP/9csf/zTjV8+aVXlP73&#10;uKw0WfkCo7iUJ+XmHJ6Wl0vgi/z0E2TYeAdHzJ1utvNzqskwL86M5hFQx3n98mYL1zj/4BTgPnUj&#10;N9JZtW42KEUNf8ccCIFIs/cl3rUesZAmpHB6tWbv31dm0v1JC34AAKQuNwDTWmG9RsYH65dWSZXO&#10;y36L24isBf3EwsbBtiorE4WEAUAl1QQMGT5sgjKwb2u/eoPG3wh1wpnE5532nGse8psE/7xAye1Z&#10;xl55/rJcUfJcP72TLRnVmF0LT/YGhkblamQI8mHrhvUXXg06jcJxCSvNMoz3rajaFjtjRAGqKBsf&#10;YSV83SZOMnoNQZyeiG0hWvEzDNDYH+jj9JBgZKnE/ebagkAfO5F5Ck8IDZfwYLijI/wclLZAHBbG&#10;//rXf1X+/C/+styRPGllrUGuFRC5PTOrEumXBfJul3/5P/6fzcOBbzApA4N6IHMKIRCmYz3hhYFX&#10;xTNNCyQPad0wjgsiQs6vQU4Vt0sWD8RQQqZ4PKOuAA42gVlEj+aKxml4JQARknb6VpDJnSklYISJ&#10;RdGzboHEHoUXOJZx7lMtEDwWgIhNKX3Ow71EmJQGgaGgMeQwIvsIEeu4NVWbYk8BQNchguo66I51&#10;lPa6am0IkMAFIXxwX6GXVSpqbtKbQx46rbE7CvcypplyjMWAXGNNJ1Bgr5gbR9iNPVYVL3IgQTPr&#10;F+BhYC558Gd/9mflX/3rfx3eKDJjrLu7xH9aLP/+33+nnProtLJQvtBcL8trgtcsCowZyNRMwQC6&#10;D/IN2moPg7LqWAw4A/5Iv/aYP2TRB5bFE1ABoY6PrBxkTnzLa6waeda93hARqg4OVjukGR6DnS/G&#10;9zCzXROl7kvLVa1l9KkzYhp6PMIZjX+tB6ls/hBK1b2CG6O6VNwOVMd4kUjJMQksBLwSCM50eQQY&#10;aD9wc8M2LZ28RvOxmt6M3Lh8nuAkj+VvBDVuKQQKipnJRmBCXHzsxEnfmwddD4Qb0oRQ3I28V11E&#10;rfNpYpdkEbqgimo4DAok7dZ5l6Yp+y2XrRrUEB82WpU7e0gxwL4RbQjc4JB9KiJESDntSiNMDLlH&#10;m2CXeA/8Pq+8aibD6FLXh48B2h9UgA4FAQJ2uWK5ziYnpoS+pyz8Z5TqesFg4rZc8HvLvqndPFDp&#10;0bg/9/KrZZ+4IaeUt37jhuprXL2umgVHjNxpAjUxPuXCWg5fGeTgto62u+F98OA+ZBl/+bdzXr/M&#10;N34Tr8VO52tyD4IMEJtpk5Q6KboxWXajApgUGvvb737ox3tShNQRgYUxeSF6FE8/KO/PEyoedVYF&#10;pcYFho8p9LGqcSJrgSwhlxLXuanHQPtsgOq7774byhoFJqGJq9ipxVpbT4lXQXjDJFy8VaTlsV/0&#10;hX37jthl/YUInG7VDE9CgOWWPE4LUirPit8yqdAKgjikWCgur3vWNqExFKcJlJBlK8ESTIL1558B&#10;aFGeAKGrV6/p30V7IbDi2btZlyXHNMC1MhIcBgu3aSvOqufCuqTmCoAXpj5WqveT1nQ3zco21TRM&#10;QOWCMia2Vl8s3avyhAyQ4RAyI7yaMT8GDBZ4AaT46URUXRtGenXfheirD98GrqS56tpSTHgKeqWI&#10;AMMmFWN9QipxBSpS9uQ5ZH0TpiMPn4Zq+gsPjm28WovDhbJcsIn9mIMNR8LCrwpvwAZcA8BKpPvZ&#10;5UwS7aL4KoujugfJIAo4oRd7VDTMCrqmnhPC0n7/4L1PpJD+rNxS0bteeTWx3ilk1UWnWyx4TTnh&#10;rp+89Y7Cj/PlX/z3/62yf8S10LXGVbK/V0pcS83gbFUAZkDN/sztkOJfVabDolzwiwIaC/MCGqv3&#10;y1XNOZ6D/n5K/AN6olU5291F9GT9kxkRTRJRtjVMVC1Z0tqpJcP49vSoBX3dX6zBHo09coP17Lm1&#10;9yGALPeHbUYhrTCX+V/Mf9BbWV9h3AUxH5+OPBNVGffVcFmf9uDk1FbZe3CPPg2+1zK9YxQySTDp&#10;NF3ArdZsn8LF/LPuoAgb2TqEbuA31VB4hjc8f+br9ZYPPvq4/C///i+sNF0inHmnuBj3qzU8P3dX&#10;RN6fOeRnQK2f5rNI78G1yfRMMrwYo2Y40DIJTy/nZh2Eu7DVwsDgjvvgP4fTgxKdRn1kbfAM8LlE&#10;VqUOieYN88Npn5W/09S59iwiQ1w7xVMTYRK2nM8XKZ6s7wxlpCx2CjjPwG2yJpA5ADGuVbdEM6Th&#10;OhHJieCL6ZnAurGFXhVOu4V3oC4ujOXvmJQOylAGP0F7FIwKayEKgjBwm0L/GcqwMDESa3MIOgVG&#10;8zOO58bzO033kPsbaFFT1cuKWfdmRCqUeUaW513l/ENcPCDhDJfB8WiAAwPKpLFgUod6EOBNAAyG&#10;yz5Zj/00mEEI6RgmcQBLUb9fp5T1J5+UZVU0nFKooUukMgpRbcIWZ3NUwTxAgy8BK+Kg5M4zPmRj&#10;QBJiYgFiG3KjQ/AcVQ7uvNzYzhuXlWEr1ixgpfbp7xPHjwuITJYb8gKdkzK7PkBVzyPuYroo1D6k&#10;MM7Xv/EtCZSlclr3Ro+HeSmnF1583nHTzKbxJoHFzXN7jlkHLMhwq/3nvH4TELHzdX6DGzDSjjWc&#10;MN4KqpIrIbaxVm7fUzho/6HyJApeqWTDAhBjAgx7DxxSWpkElM5zUcBMeTPlAPMvBb2ptUJOten0&#10;DJT+HhefZExM/k1y3yWcadqWe4XrLilMsV/eH7PuKXgjIu20KpMuaj75e/eeveLuPKPUur3lVz97&#10;qywKgN/XeljWORXCLaNS0LQRl3r0nOSGNCfABBY2PZlF5HwjAGOPVhPZ1hHhlAUxyGdmbjsN8pbW&#10;Gs25IMthebZd2BGS8JKv+zB6NGxPHUPZUKDKZZbdCI3U4di3BqBeO9Rm0b31yGW/Qml48SxqoSCA&#10;MmsfYjH7JvPp87qcg2ey8qlZB811keGMJMxmfroFoS2vsMYMRAAs+teLrKlAJcOpDFT0lqHbaMgw&#10;S8paPM7XrDIp0tN13yaRB+gJT0TbhOO5yPCC4xQhEvmUdN51gakxgU834oJHQMqtvkcTqj//y/+o&#10;WPuCiNuRTunW0RhZlOqm5DgRUMjr6v76yelT5efvHim/+3u/LXmgUuq34A5A0tTaECERNz/Pskw1&#10;VMf5pWAlO5hVAM2yKh8tLMujqn8mTeN5pNmW9LqtdBtRWM0yLKqh2OJ28fzI29qoySBQaZfBWcFO&#10;pX063K4ID7nQUSWgAtAgoAdogGtSU+1Re1qfA0pLdmi3AgWXCvd3+AzirzI9JHuztcGAGhWq7XFt&#10;PYDMitLL/EyiPfeHV6ZpjJpADzCuACJJqEwz87lhwNArwvRthTH+rYw0hd8I7dkSl4HFXEhxr3dR&#10;yTMA/H1ApL7DuLmzMXMwgLcGrkDqt7b8ahpJbaP4QUOt9RkKv2HIxfOYvWbd0a+xu61aHva84cOs&#10;oY7mPk5vhEsONC6VXqjcd+GciHtthid2lMmcRydblhHVLe9Y05Cn9kbFh+2fsZeIicUdWMfWu8nu&#10;ezwYk8CHUQrXR5rghfsKJQhJC69EhjnWFNtds3sp3D0R6niU+zwWKHfWjpPnJo6ftpgQZvqLBU2I&#10;IoSOHGpCsWRrwLo/I87ENeUo49reJ3JhVuaykq5KyAClPu+mNuSAUnr6qLNATM2J/pHPzkbCyh0d&#10;V9EUHb8gEEHL8F0H96nOirwhEhpDsnQZH9K3CPccFpt/Q63IKYdMPBqABRkSYQ/JLdjCYnNrIwCG&#10;3M2wkpO4psddKU8I4xG5yXcpLXRWbvVbUhTXRI5bxhWuvPKXX3hBhKfpcur998vrX31DhEJV/yMU&#10;o8yMblmndBGFFGWAaPeup631eiSA+A10+44LcYc3Hz3/v/4sznzzRvMqMQjCdctfhDI+lzdqRpUk&#10;n3n+ubLn8EGHLOaV7fKksllG5eHp0hpZlGWDENtzQJ9TM0HHwINhbs3Epp5BXWeqmWM3MHYDniZK&#10;kpOxEYW+nKVtjg5WP0KUDKZVyJXKXGCjLiuue/azz8tHH7yvEto3yormZUUepmHFifcI1Kyq58Yg&#10;bmVKCLIy3cuFqYqCZRC7UOT2IPGOlR74AnIEhaY29bzKIqGxm54d5UImRNRYCMWfrv7c0/m+rScA&#10;VPUApIBxBU8JL/M+dFcIfeoD2GLy/oyYre9BVjVjAa+BNOO60VuWGao+XK18pcoXXZf1HsZA7ZfR&#10;WJctg8FT3XYdx7OjvLEJorYDQKKPZ3RYKSwuV7Y1KODJQvYERyK8I1FcqLqgqzLleyH34n7dF4Pa&#10;OA15xb3QOPDP/uw7apr3jj6/V775FB4/qt/K2yMA0q953ICYKcF7UVVqz19VzQ1KhW8qFGOAChAg&#10;jKkrUpSOkI67WMqdr9Dmz376A3GfDpfDIlM33dXRAiDuOSrq6h5hdgFK5CEYlNexT16KqenD9giE&#10;1drmuYX1GTJ/TRZrZMhguRJmqEYQ6bj6Z89e5U60LGzGyQCIEs2ELuB8BDDzXgT/Mp+AWkLG1RsF&#10;oGBs3NxQ76Mco1wAICIAAsfjKeN3G6duPSC5q7nKtZDhA/RMGo0AgEipjhCBgTzrHxJufSXIMLjQ&#10;PdI19Hs/+KFCxRfk9ZUhyo1rvQ/1qtjhkMCc+on0yLDrlVxeWN0qV2/dc/fnAYWlN0kfZ+1Vzk1w&#10;kIK8n/e5fY9FYD3CaG3g7u80whB8lsZy/H5f/XnGy0svvaSqqKPlvfc+MKcG7w2GvFstNF7ta3v5&#10;1z2o83huYq/mqwkGtp2k43yWEXqPVFkqjjbBmutF46VE4XmDEadFkNRCT1b0FbEEAqyJkpUY6GJL&#10;tmRZUUHoYvMS119XjG9Vi3BI5JYol6mYCjXWa1pO/mw+SA4eWQy4b7DCW0gXV5Ur0cVCZQvE4qaI&#10;U3gWzAg26IgYLq5kT52+MCeC0qfqTXFVbH0qP+7DM6EFxiJtTiqWCXE5XqahIMCNSqk/gAUqV7c2&#10;6orcm0OjQr/6m5Sua7IChkXi6xdooHALDYkY7N3Tky7ne1ls+Ks3rpZbd2+bc8HCIHuAEnU8xh51&#10;ecQFvbwsJrVCJG6ERVEaeSgQgssSZAdkNTudrW9OVmufChrJjSxBhtL64sINNYV6rEz3KGwhIb+8&#10;uuTeHNcVx//Fz36qe5so3/rt35ZHJUCfmbYWnsRqGbwEkh7I1pjg/orxjuh7QC2OjbhZJ7b4TTwR&#10;TdSd6/bXfb/loULg4F1GseguspcJ67UHS0HPtDpzt9w7c6EsqUBR7wmVBIWZr/klxLGksuhLKte8&#10;W14kwhZHxKHBcu8ilVnCh7UUra4hfNWcfLxCErJ4OCCfjQiI9PXfKKtwZWR18tkVgYObKsYzoFAY&#10;xYJmxWcZUXtsbYhy9bMz5ZRy0++KTNeje8F7PynBMAa3Rq4uRXJdGdUSvobCGBfCJnZyVsvB/S04&#10;BICDe1XPe0ceBwDqLVkqtr4hcspqCjdpe5aa45uciCQe2uLUObNGC9eOKomxv9gOEYsNFy37AauT&#10;9QuUd5Er+AD2QoaCDy9KrC3mOz0LfBjABYUUgj/AUn1VYZvH2xNp5jgKsK0Ycg3VIEUofVugbWPF&#10;XgPSnyG+muzJtaMioddyh3GY+fShEJPb1R5/vsP9kp555sy5snXuujLGesq3nxFfSWGHDcrnO1UW&#10;XlTIxfNKNYbM2tc37B4RFFQauL+qtMLuspcqluK9jCoseeSASjvrupevz5SPvzhXPlcG1kFZob3y&#10;oMW9htyzwq2EQTwrDitoklYhatMAiwwFPWu0AQ8l7fg7oIBQhkFgW7l4zVSSuHe75WyYmVXttZRb&#10;NCmTx0fnz4ZUrXRe5lNriHuLpmARSoheK1oXhNrgj3GRClqQLFG+HNAn3eER0l8iVBo4kk3mEFIU&#10;1OL5W71dKsAxF0W/c9/cU6Zdp05pr70aTtPeuCEj7GN5bO19kL6BqrtXWSPPqNbFUwd3yyDbJcNP&#10;IWPt37PX7pS/+O6Pytmbd6PWh66TXX5bS7bOT3L38v2YOBbNg/uwuR87eQ0J+qn5Q4E1Qo3L8miZ&#10;36PzJdmyuS5yL4f1gWEVgDiGO4jRroJZcfODMri9GZpjxxrDqOo8nuQDhsPqwRuGBbDtydt/MEkg&#10;O9A34Yog9aQ1FBuM77IQUzixcdk4DEC/FkS/OqsMyNpjkvN8QcRso7MYkHhgNnpaHG3CSpVmsQaZ&#10;mdaCDYQUmzYell0SI0gFR54Tyx8+Azny5PuTLppIsNXG1Us8I3z17iRIbWtqQ87LYsTi7BOqHhOJ&#10;cXxdyhxXjyZthBLbuNIQWig0fWe3iJB4QlZkleIWHVWWBCV84WxMqRobmSX0yWBi90lgjEyN24PD&#10;fSGM8KYwTtSn4PM9couvgNLxMiibg0166fIFW5xsrlMffaRYvzI0pkX8U30D2MfEx2dl9aI0NwRe&#10;1tnYtbFLxNK3gdRY97nm6+deiA9ZH/9bvJ2KzesWC0D/4Q0jtx9OyZLmaLcsfIDBup79/GXxA27e&#10;KS+/+kYZUOrY5VuXyh6VHMdjtqwQ0Io8Q2hEhAMKxueHvIgVBFjFbat1ADF1kxLVNsFjreBBwioj&#10;LWyf+CoL4r1QjY7+Ap+d+qTMaB4OqCX8HhFcd6uOAq26tUhcNW8Aaw2XNOlm1ZIJ4cL5EfTRBTGV&#10;AHNFjBJ1QfbHNZGJyeRhrxHjJU7Muom9FIrAc+f9ERaTd44t8pqxVH+GAAwA4GMAlIEAYvJ9DoBv&#10;8BmimFaEFN1CyXs3SllzfFqh8dU43t4Qzq3/T3CBYot6MiHo8tV+5rYlGmEJAEltje2S3noubhVX&#10;dWWQ575mLyJmAIUA9e2crXhQj0u9R54xvZ8hi/LeQ87FfUopivQ4pBBUV/+Y5p+aBXg9CE2SZoj3&#10;pyoarZk5EXD7JZt64VQoq2RE9RJeO3GkfF39JY7KgBgRcZGqnWMqwrQor+Xnl26Uv9YcXhc47IJr&#10;Ra0O3Qz7OwU54wgPjf1PczaUBuXEwW0Yg0wA3qwNVWEkZd1roD5rGoj9Bkp6H0MS4OBy5KGAKLyX&#10;L4Opqif6TFbFs0+YWp481rHmnlRXxpgwEKRQG3mQWkXQtDNVR+GRpoZG9PcIYyU8I4wXwE7He/or&#10;cLc3CGJzBYL1hhJI5fc7FXd6TzLmnx6VAEvBw7h86YLq59x1lk2/FPQzxw6XP/6tb5bXn3q8HJfx&#10;Nyqrm5oaq5q3xw4ulcvnLpXLN26VOwpBupKpgU/ll3h75PrNe2+H7JtINfdg3mPTY+Enr5sv196i&#10;vKc/Vy8lQNgqdTRs1EQo3gHdioLzZ3YhzV0UfWNy31edXSX5NqPNCz31aurethLIcxhkV+6EQYQv&#10;3LqJFDettdP6hYFHkVHoCWGFCx4wkYVe0uWRluL2M8gylhJbEdlnYECID+a2kTEWS1y+LRTC7ZJu&#10;npYQqgIwBV8uDv4OpnZsmhCU+bP1aEbfbDoXatGzkL7Hs+xViMGZHHqWACq1SEfHEAQypyEL7Y7X&#10;Ha4Z53tYNrompCDSAvogcWqAF7TQPv/ijMhO86rgdrQcUUweMHXs8LGyV/UgYO9Te2JURM0VucYo&#10;qzwrYtQJrcvpvbs8EdzvXsXUUWqfqy4EpNBnlcJp9zSLR8qR1CeaPx08sL8cEsCgEdOV8xfKJTXx&#10;ekYV9RbFiRhS/j6x8eBYRIwWoe8QQF2IVWXF5n1w+v9e3vl1XocvddFY9w+AG0DYkoTrhATBpsb9&#10;ne/9uCzImzOiWhquSSBXM6XFB+VNcnsBYuUCZawigADxYMfwvau08ap3jrULn+U+VTCrtR3l4CmF&#10;rF4SmgOyOGgAd1iATbqlnIfVrdj58aMHy5jSAEnb8kZEEUoAD5pngIUgqAJythJrKzfmO4VfsP23&#10;7FqEW3Pt2lUBexXH0fEGntVKzw2fgD5BQXPMO0FEeBCiJkIKJO8bxqu6w2OfhkCPUtuA5SAt4sUI&#10;4Q7YilkBjIU3MWYzGemx6XPfw5SPaoT2bVUg0rKq9D1+dzlqnc9dOqsBk50Mt3kiXPxLqXta9+GZ&#10;wNUe90aNFBfIMjeqhkT018PXfPuTJJvm/ETBLCxv+AbhZWU+B7QuqM0BQRCFC1diZVb1dZSyOKJr&#10;TimO/q1XXyj/4o9/vzymCo59BoUyrPSM68r2WBrCkzqtfh7PlH/7/Z+Um8pI2C2jDeXAM2SKds4x&#10;PXzuk0XCaoVbiqL0+IRHyiEmK2pSetHmNQTIUNt7m6mEwRuhx4xTCwEOVuDE+9vKDQ4RHJgugQGv&#10;AUCcyH7UiwA8QjQmK8i9Q3RD8GPM5dC5mQs7vb08wgNlL6e98uG5aZdPibXA6gpqUpynBQSqB8sA&#10;py6wBBfpSekEzmndA1Rnrl8RX2jZ3XAPqdPyP/mtr5U//uYbZTdGHl5sZYasi4+Ct35KzdWOHVeR&#10;uZ9T+yM4Ea4oaUs3SkC3vKQanxzvfB/jo6WOczMy7jXU0wIAKPyWFyiACdfC0xNte6KSMjyMAITV&#10;pfAwYZlyJM9peRnypRXGq2Pre63P4dmowIN17wqhBtoRsiHTjBd0Ef0ATVWUH9MYoQHfYfvOeFiE&#10;GQQPboCT4pnI+g0JDHKS+aZjyUBQvVhYoFJ4CrgB0yJpxmtTFaRbh+s0iWBNweo4qBnFUtz0E3A8&#10;NbwgbiXM0uRnBUqO99a4ZlQrpCyyutSpfTMNvo6oUyY8BcpN4+Xs7GaaBXC8kGUx0rUPUgmKgHEa&#10;VEtdruoYnRT0iFzeG5r1O6py9sufviWvw7FyVaWtD4iT8bWvftNua6rTMQOj6pFB6OGelM9VxbTx&#10;RPSzmBxC6S3TY5PlnrwPtHumypproXMtje/U4G6Xj52Wt2NO5MBFEbf+6R/9cbmsKpUfqarlhBTe&#10;glJxEQTE8CGXwk3x/FarKpZVtVK8eh62Iv/Lvr8TiEhl07pS3kvbKNp2E62PmQYdQ5zQMVGsDSH3&#10;OSnbIa2VUb331a9+vYwdO+J013Up3D0Ka/QITGBJDWI9BS/acVs4VIQR1iRB7ImQrMDoRlET/tiQ&#10;O5oeBAOq9bCEa1+f9+E21jFwHwQpyg3VZPj5936oUMNNlS4X4FRfgX7d0xrWHvOHtSgP2TohAAuk&#10;Cn7rEzbXu0nKWhMIkxvyapCBQ/ltlGUQzKhVEal0rP+m2zHTwJpCrgn2U9AmGTr/jj0kAe9QQ6yQ&#10;6m9sNeDhum75LXnQrw0B6ZNngzeUIMnPUefPStAtwsNaNvjXxNmD5Pbk+rNai81nSMURIc5QLrxa&#10;Qq8CEislfW7yWQOMJdTMRn0hIEJQ5nmaS7+9H8Ir4WMseLHUg2cBeLL6sHCNVD1sctYJHmPSOvv4&#10;Q0rnmNbc51JM06rx8VvPP17+d7/32+XwmJj2S/fKnGQi1i41CYY1hva0SFYOjQ2VXao0Sd8fObMV&#10;/qjKWOsg+SMGLnA2qBqq/wB8eB9igCLFXuw/h1ZQ8FmjJj28qAIAT4KGlHOcExCAF8fWL/ui9hLC&#10;XrIXieJLGHCsPYXnWpyRjWg4J4aFx4nb6e2ipgjkXoCW41++N3M1mAhjuobl7ruvAND7C09Tu3gU&#10;6z4AbYT/7NrnWerayb3T/Ltz/Q/qfgY1tkdJiZfhtqgaMreuXCpTTzxZrqtS7OXzn6qUwQVlc02U&#10;/SefUWn3A+ozMlluX7kt2cwIRJ0l74uqMJt7NnUfa97ciQZ4aHu/K2G3rkP2BOye5otnIHTkMKbd&#10;xjwv1w66wYMv5oYU3cpJIYRVgVbo9vb+SQCWnjh74+veCi8gwD3SZ/Hau6Fk5UtyXa0pzhjM41h0&#10;EZeKndy+tSaaw4LmhJ0uwyS08K38vTlQFhZYLK2BDDSclcfSHWWLo6KzPFfLjWIvQ7o1+TQ4GGE9&#10;ce9Rlc9sbZQIG6oScvIZvPCwjljidPusAufsF2cVT76lcME+/dtjRcIYRFlVlmcFJhUkQJzyZ7mA&#10;KmqH2AVOZBKnxXvYVOjg5+rEuXvv+fKNb/2Wc76XBBaGlH7IpqR4UJdKzXYrzMO420ty85YV/piE&#10;ClaT0z7lYVhSGhf503QTTXAFInT/D32fkMWYskfGBvXPXiJtXIoUCbRxPxdFIKIevPPr2aDOmkHx&#10;wqBuk8t2WpZ+j2fkLhtWcifSf9h3m4ppx2Vf5zbXXswzayl2SXPh5veDIFrXhO4s535OlttnH34o&#10;zoM8EQJYE6oDMQaXQddYlReNF+XMrwh0DYgpP0DFRLmQbyrr5VMV7hoRh4XQAmARJW8ilswttgvk&#10;RzJsHIYjG0dV/UjdIoMB9fnJqQ+dy75LHqZPFVaauXm9HD8sPobmaWFxzp4P9oI7FOp+CLNFVhHu&#10;UbxDQeBLgdNyyeseCMFBmCQkB58mN3fWQOD7SQCkJDWvtseu7aJvCtPcW/xs7UHv1RjlnlSynp/w&#10;jvFLuoRh4LuqI7UXNA4rUobwenpIuyP10umBodBSOlEzxV1x4WxUxYyXYRBB6U3fdtE21xfLLkl1&#10;TYDRkjmABi8aODLskwCUZFfRVdIWFNkWlITXlUivdIplFX/sCaq9st2T74WMwQ6OFNUYFPNGbGzJ&#10;wypiTi8nQFBTPwDFpMZ+y2Sc6B/Fm1ZuXS1vHttdHvunXytXLpwtX332WBlXaJewhZWg1sCC0sUp&#10;RnVfnqpFjd+quoMqClCeUi2T6YldcT80BazeIu+Pmh3i9SLA4roIABieJ6yEkFpwMxhn2/RkJoQV&#10;Cej1oyNva+g4ymYTutXaRo3rJvAkOFuDQlHVogabGFhCqXL4A93GdRg8ZIq8I5VwbO8TFUzJ0AHo&#10;436u68ugDDXEPkcfuGlZhGzSA8J5yVxxfQidg/1ij0mVQ9GJM4pKefKYo7pGId6nzsjj7Y3QuU6q&#10;Pf3jKtj3teefLif3TZce8cg+VkZfn2Tnou7j/PW70gPTqiMzXRZVL+JxhYf/UB6kS+e/I2K9ZASA&#10;3b1mIH5yP/EcPDevtPa9t2q4ldBC0wsQXgVPkvdImPQ17MiAYGBoj3lfY8nEmVvgOeY7gEjuCaS0&#10;QR6A3afF88naB/jW4yroboIIh3x0LKnRAJbwsOBtjPIEYzJ0yVLxbq7jrIqVkROeQsVcArmlWHS4&#10;KVs3VSeESaSwVNNySZdICrtEhxyT7Nn0SGDZNcBYDF3NEjDCskKmylu2W23zK/K8LbdPJXFGCiQM&#10;dFijiYaTIevx22aVtVw4CJtqqYBIOS+AhuZe19XiGb4E/3CJuncACNdImUXAzmHBRLOekLMN609C&#10;hQpzWGMTAgukmy4tElagMc1q+fz0x/I+TAhY7HcWCK7QdXUHHZCLcEzETE5369YtW2yUyZ2CsEkK&#10;qIBFxOfDzQ4IZHEBEuiIRxrofk32bdWIuK3UVljEcCgged6fuy1m73vlgroynqATqkqF94nMFcg2&#10;gF+6L1vgr250fti1XCevtV6sBAPQdCLrppchj2+6+OpuaLnM8m+7y6pXiRuLXi3hKm5tIKNpEJ6U&#10;sdndPQqtjbkL5+mPPykfKztlQ3U+aKt+WGGeaYGpW1+cd4GuLsJWLdY91gwCR8++pN4Uqu7ZL88C&#10;+d/zUtTLssCWlLLoMda84arG+TunrIpeKSPlSNuS6ROw7kZy6x6vqP8J/VfmNSbjyuB55eUXxbno&#10;1+nVbx67lU3PeDoDQ2OHr9SbFp5zCBLkaVoxPDc1QuA8sCbMjdFxQX6kdLrP5jVpYe2eLSFgY06C&#10;RGjRU9d7/h6WRggggwI9C0WNGNtWERsUQSV1hreEtR8ER+9Fe8Uq3RZAbuJ08EbM22DMWDtWem3L&#10;pAlEzbGQO75bbHjvpGoodP7Od5gLf9f7LvccAi/WKB9FCMdDya6sOfdVyHO/fFjJsnXz5vJrrbH2&#10;G3GN9trNsaUWiQC6QETkhxH+MmsqHM1VsVFLYll1SkblYTj67GPlxO5BgXyY9THPZPdclyf0qgDs&#10;q6++LFf6sOL0s+qZsqSunsvlsMKZEMrdP8LPH/00cvwyfNSaW+Y4x5v7NiN/e/O19PRGCWyPss/t&#10;IfPYRIOpfGaXNtd/AGnqk7A/w+GDQooaHx5s/z9yEtu0kmDxHrAuqxEZR3C9AKMhUvi/GjpB8ZkY&#10;G2EbGwayft262w3gGP/a/KoC24pzfe9N0J3rfMc1pX00LaX4xisvlmPT4+o+C6cj0n+vKpOG/jlj&#10;8jQyP90CLXtEsryr+h6T2qbfeO7J8vxX3izf/ckvyk017KNxnmsO4YlMdLRtRaWCD29J7oW6jA0J&#10;AEoRPo3hiBpCFQRWYEYYKaR/jLU1prdge980eRasT1ykgMZWm/vM0GhvxW13mmOZY2b9ylMhgyG0&#10;ms/EOgzyq1qlE8+0E6huSG6qasWqQPJk+TPSi2KybKHhcq/EjXw//87Po/c7Fv22+42BaCimzk9T&#10;EDaRZNOjEDgghUNle3sDVbcwC7k+R2YStLqmNUYr1nGgU5AYlialtOktcEQ1JqZVkChb9qYyC0HG&#10;4oiJjqhdzK+RoMZkTGGKSYUmDqsr530BhTvqhREEMlzaG7KGV1To6MnytW98U54JVTQUua9Hn1Ne&#10;FGCERcv1pt2SFuUqhSXClvnl1SIg5ahPQmlFBK9BddsbUPGT68pAuaAKlocO7i+PiUOxrk04f2mt&#10;7FeK68UrV8tPFV45LcT9xNNPlTdef9Nzbhcti4RmQHWBNdt/s0Fazrs6Z1ZR+j2rlBpoWDC0rYT8&#10;PRd3znFTiSSwswJQXNWFlHRgKsvkBGxfH1iTsu5FnuS3udkFd2I8o7K0ewSkXv/G18s9ZUkMC6SN&#10;K8Z5VX1WPvrsk/L01FcVZpKHQgW8fuuNr9ody3NsLOtcIkNOSliwThHVhJvmlzcF0FQMbG3ZvIm7&#10;uDzFQZlWjHRTrujdAnmfX/7U3oFnVY9jXErAsQ2N5V5xLoZlkeH0XsUlKM8TCJ5QC2XTnfWBmxYl&#10;bes70whD6FCd8Nq1a+bvAMh5uV6DXqFMcv0nWIh4ZYKIGPsgKqawbu633F95HAJigyYtzX2JxZcW&#10;OAuDUJjuMyoRRozUi75aRKxv1vXWfVVn1X5KT16nEZDnTG4D7mkbMd5D6W1sA/O47wC62Y8hDs1Q&#10;bPyMbYk1aDvaipD3DXRJszL+CJnh62xfVLHPqrBunjs8L/FZawyboWCdyKm+9gIQM6bolZSLwCb8&#10;sVXuQd6vPQKqG1Sn1Ti5ns7eaRH4Bl2a/rjSkAeJ+QsMz1N58s6CG/NRr6BbGWHcQ+41k1PrvWR9&#10;nCRdNhVJnZ3WODXj4Pye52l6pJpKubmfU/ajzJODlh6BNEYTKLY8RVXnxTzEfNnTbLAaMjvfA1V5&#10;jwB+1tCoOqZyD7KDZ3q5Uw/YMK1z2LSqWyC6yqOc5jbwVKtvhYteffGZMqq9vUcG3qA8vOclJ6YF&#10;IJArxw+JZ7ZnwiCZMDdcwCPq2Pq7r71Udh06WP6OPcjzEPbRMTsDCG/HWLdesGxeLxLrD0JGuDjv&#10;23se52EcsOWTVuAh5PO61vNZ6o5o7dfMUMn9a68RfAbqgsDrqt9Pr0jH0s9R3HadIMCGUb+oBIDd&#10;++AOZiExwlQ+cYQzYoK3n7aJdvN3hFmSV3KimiQWd8EzuUq9GrR5+L2lZGIH101cpz5TUFqpKByQ&#10;hV0qMtZt5TW4Q1vj28gsQdAJEBPciLCSqrCoQrGBi1oP2lR4IZREUJMFD/KaV3njT9R+G+8LXTUB&#10;E2RWuBukS54mKmLggOYueeNFRzhkt3pYMAEQrKhUCYGSODr3NyAocPqTj8pH779bZkSO+63f+lbZ&#10;VJhjhYZLqkpGiILjbqnU9QX1eeCai8rSuKlQB6jcZDE9kF3auuKiPA97aF2r+XlfbvQtAYfH1JSL&#10;oklbSq+lZOzzzz9fvvq1r5cP5bJ/6+dv6dk+KV978+vylkSqKAuOboOZ+tYEERGK265gwm9avRQV&#10;WOYCjrFMwR5pg8wh3p4UXnyesd0kvfb3y1tQxUKC0lRG2y1UuT5VWZRDIeX94Ic/tKflK6+9Vn5H&#10;Y0lVg789+7ktpqGjh8r0sf3l2p175XcEpMjegD8yLg8PIS1COisUlrFFgeuKzcfykYdI1yCrZkWe&#10;DSxq1j/Kfa8yLPoFdq6ohfZVEVlJ+xykMZ3eX0fJShGMSvD3uwa/3Pt92nwArupaDKsvQAEeDlyg&#10;EORwwSOsaDLEP9J304Vv5ViVYnunhjBOwmIoyLZ3sSVM6xea6z2ttpyrFMyE2SIVEn0YAsSeuJxT&#10;t5mPmLTBD+8D2HGHal9QHhcvWdYfcL+H1uarVnRmYPjc4bpuK+g4OBWer8/60ns+zsCm/bLsqkIy&#10;JXWmo1ku+L6DXGioX2WQn7vhHckzxrUCGMV91HRyg4t4eS44gGuzZDiP3c0B5PDCrMpag1MzonVw&#10;QG5zBTKVpXEjGndRoXZXj9zie1w/hnHrEW+MqpJ7FKPfrcZ7RxdWypWVrXKHtemtFhZ9zhM/EwQg&#10;H7Iqo4/Uc9vTVAV7EzDmfGfhwNaxzHHd002wkc+b6yBASo5ErQeSg2eZtDPRMKqUxti1QEaOp3+G&#10;8eXj4lD/DmABtKJHMv24vQ9y/W/fGwlqkFE28ipgyT0EG7RL/4YVBtonmX5Y2XGEOp96/CmlytP3&#10;5rZq7MyrK6l4AITpJLvpeLoigDyujLrTktkoVRqtw2Gws6ARhssxrsst9lAFEvYU4QFMF2Eg5xiJ&#10;FrANheyxqkiwqZ6tj+uxTaCX8pSvxBiFBz3HIKdpp5++lldwyO6U0xyLvoFQnvqdbDRe0S+44R5h&#10;EySQqPdYnys2UfIgElDwYU6mS2HrBWsczwN/X5BrF8Wb5EkrhQZJyQPcoZj8t4VgvbW6kZvhkvBw&#10;BLEyrbdwv9Z884yTAybq77gwc3BaE1xHzELXl4tjQIEMfJYHviMrk17yWJvUl3BxqOpy5/gY/OYU&#10;E8MjayTczXAP6NY1qNQvP57zpLvLLrm7V7UQf/jdvy4rcnmefOzxclVjtjZzT+40sbYhVEnY4FJj&#10;7GdV2Gps/JpBBJYWaWRM7oqax2wopjqmcMZ7H3ygnPSL7jw3Inf+NRHw+hWHJ2ZIn4c9AkNf+cpr&#10;5ejxY67YydygrHDhj1Mki1h/yyKsS033HDHVtujwAiKGz2ZovO/c6UblwVzsWR+eYcrFybUTXPC7&#10;LTO56Knu6JLBdc3hLUiQy89UKKwnvEZrqgJFzO5P/9k/K8+odPQ+gbfrIkjBCQHVL4q3cERpW6f/&#10;7oflo09Ola8rQ4NKol2qFNorxwGOuXUAYKMjKx7aDa2vTI0lqwVPzXnND4Brl2LX1z/7qJxX7YcR&#10;rfX94tKQhucKfO6oRUE2Wdc8h/7B3zATnjBcXS/EHYlB20UoQbWqkMft67NqynTHc5JCs51hEcI1&#10;iym1uwhGimWEpDK0sT3dLGcuQUQK1SabHWWZBOmGBvW+ypf3ikliwdswwNPYub232KjMzSi1Ugbb&#10;YRKz2BsWfO772Pshg1LxRPpkEyJUMGGjAKsvPJ+p+OJcrdsL4Mp80kZbvwRxL/ZoHBZuc77kkBFD&#10;mvdWlRsGCgC6h0q1NcSUPK1WNkgKSp+V8RHAlKJZUrVOVy+U5xHuBQXKBsTHGBvbXbqXb9leZYw5&#10;liqJwxI2C1JM9MeZUBG5UZH4yGJbX19Q4SpVp1UjLXhRXVQKtN6IsdpGrGx4W3Jstynp+uwZvsrR&#10;4jzsxWZBpiawbB6XgD6BS1NhNmWzFVsdmyZYCFBC1kfIyaaBEYCsLWs4hqqzA5V/E+T5SM1NoxTZ&#10;7O8B+jXHTU9nXreZ5ZB7KMcNGbMlcvSm0rpXRQS9KxlxS9Ure9QMrHdA6firCypnfrcsSq3tVQaN&#10;S8IjIzTVI/IMX/rw8zJH2wfKwPNkFlAYz22Q1wqBVWWa+odjM+3SwAIvGXPEify79hb9bzA4CC1C&#10;pNRzBr+jjlMKxA7g0toJ9UDvE33PXU5T19rF0da97d0Thk2L4O0/4rg1rdck1qZTgO/1Yh2bhOgk&#10;DUe96p4GWsdEJ3JrLoy8mYyt5d8oumxywoUuXbrkyUXxoiTs+jes4ty58xs/q0wJilpo+JQzLXeZ&#10;BxaByb1jJaEC2OxR5S88EjEsuIptJXiS418+h3/6fzUeaFkWg+YiMfrFAElfoqcFx98UK/6uMiT2&#10;KE55UO6sERWAQTnbOoJU5dgjg47L2iVJ/Ay8sCA2qY+vMceCpaU69+9QhYT3Wz9SKpe4DMdVV2BE&#10;DbX6tEnui+uAUnry+FGlgC6X61IUu6UAhxT/x+U/QIteKbc1IegNuUrPfvpx+au//U6ZVBOpp194&#10;ptylrDIEUBGiVnSNJSm5OwIiIxLyR44ecz43i/Pu6j0XMRlTdTaDrqZQ5uZbU7Tdnes1D2L1uIXl&#10;yQBkmCNj6F5HzJLDRRSJUjZELVPrVCn1WsBlEOdjszIvkHyCQxCxyrB8AyHjcQrXH+V/ifc98dRJ&#10;hQ/2WYEtqMjTXYUm3BFBY7aseztwiDbou8rp9z9UHPSN0qX8ehOydMwGG1VT1evss4jpRjU4pfJ2&#10;r5cx1aS+rcI0Z79Q90/V4wDsXL6wXE69+7Z6k6hYlKwYeBAAFlf+ww2r58Hr4AVMGeDK+TGDwMMU&#10;1prb0us9gMMl9UWhBXFmGeG1wkWenBPvC48BHtE4t1UY0RNGiXFx6KJNtGqDhvZExv6I86TAxbPm&#10;dcrektLLsAkKZliFsyheBHeEr/YoJp0ZUcRdu2k7DTiy2zMEfTbeswK0EI096XRPg/VU6fE++4jn&#10;SZnjZ2v+zVxqLLC4m8Anzhnr0goeYW+FFRlI4Wlth9i4qoW7iXnBPn/QKm6HcJgbA8HKHUnAEsQ9&#10;HqsGdKonJj04Jt3q2isKD/VL86ypdPOKSlGvd4nbNKg9oLDhnbvz6ha7ZDLhiNbQbZU/P/XZBYU7&#10;FMaQgdElns6cPBFbwyqWRgtqy+cYyBybVKqdzxCkxAj9mFDZRFox5H6lEdj8fjNU4jWBYVBd2vyd&#10;4eI8R3tfhkHRmou6X7kXlwJAw1SjoxmWsJfLsrYteKJIVnBb2P/wy/g7dQzXNiDgGvVG8hnzWayg&#10;6+d5j2kME993XwgAvu6PjCmaJl5U477PLlyTjO0tjx/e4zPTcJJOocJ26ljbV86IgP/WqU+L+oo6&#10;/ZMVLclmZU8/lNxzLZ1Zx8Ry0YCaSsvMS9QR8fpCjgEUXL2VwlzVw8IzYyx7P5h40Jo77HE4TKnv&#10;sn5DAj2ONOcVj1SVN42p3/FXrtFcKylvmVi8ZeGFj1AmL0kvLFo2Xlj0VPRzTrwPiPTKZszKuaLV&#10;3ZWbPQcq0QmdDbPN8CuvvNJC8jCa8RGbdOMNnzGxcIc1bzy6lRlCBIioQiIFEPfrfGOjtwxf+Cyx&#10;6Ori9YJvDXo7VtzaMPUaOSCt6alaNOq3t11vFMqC7HhNTY2WpdQJV5DtQMGXtBCC2Bbpa3k+2K1s&#10;L0hWNKehY928BMTAkPKRhXynJkWG1MK0zkRBqJvdwuwtgYNlucgFAO7tj54EoGb9FHfbVd32TMtz&#10;IPLfsmpRyKVRfv6zH4t3cVP9M76mUq1ifM/IZSoL/ZYa8hxUI7L9amfNZlmSW39WpK1JkTvxqjBG&#10;jrmxSDtARKw0gEXbhZybxBufj6vr1NYKVmItNesiULiCaWHsFEWxq0nRo+GQ46rBReZ3K10+c7tj&#10;No7cl1LiKNlNgCK9Beq8mjls8S0rk3CACt6sivg4vzSnMtbKs6fmhkDVuEqA7xGAHdqlZ1Qxn6ee&#10;eKZ88NNflquqMnjguadUEEL9BgxWIEmKDChCYK/mnjg2xMkRMdOv37lafqnsmnvip4yNqSX4lPL1&#10;ycVXi+SXX37ertZwkQeBqYfmUDXrhzr7a4Am98KwRkMlhbubWKX2012V0r0pzgNF3DJdmjoIaaW3&#10;+0nE95iFXFcG1h7+dqw/3cEtZezPw5PQskSqco6p496IjUdXSLY3nWspwLWyKkXkY2sfgrr3N/Gw&#10;kPpVgQzrm/2weV8KcWVCYTdlwHSpwiIWkDlA7T3kVeQ9Gns8VlfNyPKsxn7PV3pM+Nt1IlzjwV9q&#10;/WiFLKoiDwUfBoEBV5zUwjskbpsnYY9F4xWAJCtoGnL405ZV6TUYbuL8F8Jd1prcDusiiIbXQvdg&#10;YStSpNbWkhbJLRU6G9FqoVfmiJr29altN31V7ojPs6Lv9ihTqEfrlB4FS/p7SwB2TXuFVQNp2KRX&#10;jxHeiDbROJVwiwzLnstUWO6tATxiHOrY1V/CGxHFnvJcwf2KUELOgXuruAQ4hMfoi8TfbqLFWkQO&#10;1Pm1Vc696twm5GFcmJT3YG2E9IgQ5skX3CHrGqsinjfgWvCklIlGOIj+QoBYwrvVmIvlU4nC9fks&#10;37wmYh37vNw75FH2ohQ2PAVq9QwPy8uscPaBA7tUJHCoDHVJTktOwGOhu++8hORf//xX5TyVKwfG&#10;nS3XX9OfDcrjhv0YuQfr1jdIwIOSNTNYexyJJ5JxZAIgx2exKM4DuL6vkGqcOxY0x5uTaIM6wAjX&#10;MpGyof8iBGmFu22NP+qPWGHxFHYSaP75ScdqQrSEW1uZfNx7s/pZ50ayQqjCxzeoBYSyTO8Dx+/k&#10;+uJ9FBMTmQIwniHaT7cto1gQ6UprCjinntbF0On1oFsni3JZMWri1FRiSxesN7oHoI3W0nJzKes6&#10;wC13VyqlKuRig7afqwmU8lnTJUismgqQw6o1gGdit1p0Z7fQiNuGwMpxREmTZkbRIkhk3PMBam7o&#10;egCOo0ePqrCJFqoW9t3bM1Yopz88ZW/EMI2cpvdJj0rQiAy7qhLbG4CVjWHVeZfVqHv48NMPy2en&#10;T5f9ykZ4RmTKi1euR7lZZZew6emoR3Er7nNGLP97pAlqUSyKzMmz8GJcjTTbw5eyett85BzmGmDc&#10;owlQBYS1HXzOYZw76to3LcmcW3gGOa5unKT/EEyMwbrOmesoBYE3lIUjcdKwTPlHuMkLXsRUvAX3&#10;5InxZtP+vCFuyZFjJ8r7P3tfRcDOlomTx8uwzt+HB8JKWCfEja7vk/pGGu5dEWt/+HffL2+LiLpH&#10;xWgee/OrZorDxYAC2COFwYuWxhbUOo+tp4Y7HlBpl6sEe6SohcBzV1aBB9I2AT1pmblvipd/WCz+&#10;zRlBtWsf4NQWZmZfxHrNOWnFguv+4fsti6gKk6aFn7/zPe4LJYgQybLR7vqo1szdaq5lkMv1Yemr&#10;5oWbzDG3yArfsVy761FyuKtLBGwpPVJZXQaZNEtSWzlJunz5li0k5ghFhBeEZ4174N464/auOmll&#10;hHKP2Hzs8Qra2ct611aow3LhKTPz3RYdz8A6ZRxRUlyHlMIAGQnMsuJRKFV9306x7O1ByC84UX16&#10;TqLiFFWSva11jmETwAthj9hZU2aGhqXcE9+pT9kc1GmZpw6EsgP6lbmzqLThRWVjHD58XGS/caUQ&#10;XlDNGBkJx6fDK0haqgofUYzM6Y8U5K8y2fNRuVg8k13XKEdATg2j0XPFYeTKgWvv3/CYWe3Vn+Et&#10;iI6mpty7IZsHzenimcYpCOExQbWbTMo+dbOtKHDlImM2LiiNzjMEaRbZHr1IvNXqPHuVOlzYWr/2&#10;FsXz0BPGkp0bYptRXEt/r4gL5eytKqXSwG3Jdx45gRHq1PyXUPIoYMtmzcOc2pujcmZuqV7QwSfK&#10;iWPHy+WrqrNz+XZ54qSy9OC26RkW5gUitvrK4tagTiG56+XHnDCG1XhEx7A2LaMirbYuSIcjMJgw&#10;JK0fEuzoCYATrWev+ij5IANk0VVPWJOnYJ0GCZMUfowVG70xZrEHwsjjJ2HqRtDIciVfTS+UIQT7&#10;xWPOHopBR29lzKmJAdzF82EvCyqPUSA4HjDj1in8HwYiUpm0EKYXaaSxNUFEUxA2F3bEetvCj3vk&#10;nK5yCTK2y7K2AFc2goUznRdxKVWBms/WEqBhgLQARnormj9bY8GiqGPT/Jlx0XTlQi6DA4ISQIEB&#10;JgBQ2XQsXYp2YXsMA+VRpnNAYIiCUl5jbDgW4zDFaRRDpb687uGSOA807vmFSJDTu/bKk3BM1RfV&#10;5te7Sfn4d5Wjry53l5WW+nff+64V6bd+69tlUMS2WbnzHV+t7idiWrcFHngePEW2NKW8uX/ceVgJ&#10;/N7TK+Jjx7JI91jn3OW8pIsrXZ6pEHNTW+gTR6+KivtsZvlwHxmr9GJlqqqLM9dYul3b1kmAiCRq&#10;picI8ADYvb0kUqIUNQV8BgUqVgSY9j19rEyKxHbmwqVy8OqNsqbQx94TileLWEUbYNbVupjaS4pV&#10;rwt0ff7pp+XdX/zSim5KhFMGBjY1bYAN/kTKsn9LDYK84QAQVbH6IapHKwui8SXWCumacB6YB8Yi&#10;wUWsNcPYhkJreup+vUWR67np2dtpj3d+HvVWaq+ZOv6t7yW69jNFSffNzXAlZ4n5uPWwWgZFjqVH&#10;AorLHRf1HkQsRNtqD6Bf1pjGjhfnwupk/u2polKg0pV9uqooW2vAgCGsL+8klCJKD6Biz1+1ADlv&#10;jTNHg6TYf/aGUTuCSpLMlQATvCV6pWSDqgi7BigK93DInpRV6SFyUSDNta1j3wflrsXwFyigqJ4B&#10;ioQ89vyGrvPFlZvlvvpm3F2dlyKhtbxqjegYQqKvivA8r7AG4YwF7YWJXRNlUOS9u5Sz1lit0IQK&#10;ixCF7nAV/9I74oGq48WSC69Pgh/jJGSMY7nxHV5N7wLjiWLje2v+PNLHqTuRcji8wgE6vL9To9fr&#10;caBBLzKu1kAxTy4/r4spDdesAcH5gwgc95kyJkNW4ZGIec6KCohNzs05Wu51PB7VeEuZzfHtio4x&#10;Jl4hBlMxVj0aX9ogjEhRP/7Uk9rfA/IK3nJK58GRKa2PDfU7Ug+epfUys6h1MrI7wi7+HwZPnAvQ&#10;mXw/T0Yd47TCuH+8q4T73divYWASUnUHWo0dlY6dgu5ZCPDmzLjGvMlVHWER/qsRc67tDK5qKIR3&#10;LkBAetb8zBnf30ko+JrxSkMlD2PeHJJqgBk+i2o0O8glIygthCB8xQFp7eUFUqg/5F78duvBzeAm&#10;bBJFQrhoxtXadfIzthMSq+mZyGvYMtW/UOboYtLz2q6qUDACF5XY1/QkeHFqMjqF7Daw4H0Wrv2d&#10;jktFl2jQnTf1HcAECmtFCwCFRH0CiH6ZFhpV/8Ida4UMoGLD0i7aSJ1CMu7OoM+F5KXwEGZ7xW1Y&#10;npsQV+JyuSurFatwRfUn9qiF9RGVtL6v4kXL4hN88uEH5aqIhM+KVXxQrcHPqMzyoBSpLSuEri0x&#10;0l0rEtZiGCeUQcxW3o95pTOxOAAcNK9qZ520F1OO5U4WMJ+xwLIIGQsu03ozsyCRf34/3cNpNSTg&#10;SgST85Lf71x3nh9GrLFpABCpBFIBMWdk1MzPqb6DUjWnxZK/+M57ikfPlud375WXZ6CsyxU/IwLq&#10;pghuQwvBAaDnyPf+5q9dffKI+C/UErHphFWHJaM1aMGGkKsClAZcdjEatLPew3LEMmDuAJqkbOKF&#10;4OXMnSq8vSGtxCOObY6BhWt4GdgzoUyrOZaSincanojmvukECp17qrn2o5hSnCuVUFwrlEdwC2pI&#10;xffDZsFrQ0fRyqPR++5eq/W7pU6VHGaPhn5ZFYhdVXgkCHCRFpf8BXeCJERJXQADCoEyzS9rqJnt&#10;ZXdqDUmENRf56xzjImwGF7Z3qxFA2GBEPCZ5AGgxLeBM50bCTm7jXFtKe23XzIEEr639Yu5EyIM0&#10;ZAz6asG9UEqxb2HYBMvGOzkUucKtN2/eK59/8kX5XRGa566eK5cWLqnegPhQyroYVFvtvuEt1aTZ&#10;WwbGBX5VXXas7CmXVcqcWiNbAjlLpMeLcNxv/knUqcl5CtmI1zMUD4qCZRoeJb6HxdsOE4Rnrqaj&#10;V8GK96vZdC29hZaGaVHrpC2DrH4v0zub4YJ0dTN3bjGAlxCXfOUx8VVAPmDaYK3l7Q5tmDoj66F4&#10;f1WQlHqgCS5bhNcKIpib5POEYREtw3nFvYU+swy37FU2mP4timR9SHV75m4TEl0sUzIIx/eMyrBS&#10;HQ95Ma/fWRTJtch7/LgNDqdM4m2zgYheY3eQXMAzUKGy6s6qX61TdT8uitUAEHzM+xRqsxdJhlHM&#10;WYyF1x7ypIKIHC8yzCBeYnQFQbhy+OpxbrLG3Wj83AzOIZMaHsqB3OFnkqBjWWdYVYYtTTQFtAC0&#10;uQ44Bh9eK17mQTZUicHOdCtOlIsOFJV1ElKpdLJiOU9ObAq3ABx+otaN5Wc5KM0bzmdrWr7JyG5a&#10;BHGOeNgQsuEKjoXvYeCpWhMRVt721zZBW7+T4ZAUHjk2eT/NDRwx326VNFY/BT0n/TgID8xJGNCX&#10;A8+E2bVVUEVcu8YpWSAI1EoqCyCvpSiPzZrSCjEepsS5GFcxI1I71xTGuHXtSrmuqoV3BCpOiuOw&#10;JCX33i9+LuPnfjmpIlIsFrI5pndNCxREcRCqKaIYEZTLQqsIUe6bzaUKzmqPPe/4NmAGD0W4m2Oc&#10;8pmboKrzvcwiSNCUG5k5y2JRSQhKId0UIMm14Xuka7IxjKKr8O4ErHkvuXHSG8H9cv9pkTBPCETK&#10;Mi9rLN6SV2GXxnNQHojPT39WXv+muCMClr/81bvlhpT7EAJokA2slt4i0I7Jg/HyC89Hcy09C1VD&#10;kddYstEhNoSs3YfsE/ZNTb+FYIdyXBYwuaW5Ajjg6bG3p44L95teuxyPdnpmKuycizaYiD7MYSU2&#10;90hzLXcCiJ3kRq7j3FOxp3M/hUEZgriGF7KuBS5UvWdFrIMiiyaIzoAovF4WbjWcEPcSm5LzEUYz&#10;H5pYuj66r7h/po5HoaHoFpydGJNvZYDgPeOF6Udi/KywADjUF6Gc/Jr6VFSXccSg1ahKc8l3COsZ&#10;mDLJWhcAHss0ZGHDIHE2F96GygdJucda9LPXok923zt0ECGTAL1V9uBG1nq+po6cayr7fP72Ynn5&#10;la+rZsk7ZebS+XJ/RZ+LyySGiYCD7hvDSOv39vxyuSbOUpeqIm4K/MCtcMEmZ5pUyxywGuZwTW9t&#10;y0EbKnSVbfXHqWGaqmiaoJM7TYs+16LfgyuCTMBj01D25twwNkyfzmevhP529dvq/UnPTc4f56Mp&#10;XHRhDm+x+RU1fBEGKj6b7dydpm5hzlthYq6tayY44Pzp/UyPeQLh1D2hF1g/sROiIiw8MKoG95SL&#10;58+VvscH5HEcK8NKve1VWvxNeW5vzFwV4FHPKJFir91VA8U78wrR6VzEP3y+Cn6qARqKLkFKPI9f&#10;cbkAnPYihK/BAAmgqrm1jqgAwp/F4XFMvW/WKHLFGX7O4IjPU1+HcZXP13H5CgrqLbZvre5LUwGM&#10;AarRWQEJB1r/plJonxauS7iJ8iktuOtf2WGNP9NKZFEgsJvKtelmScG103u+N508rKvqGquLkIt6&#10;YddN4Trh9YaboKHz9wAm1Y1mELF9EW57Zia7jl5TwLbQdfNgT2aORCy+3Ex57y2vB/H0Kny4f3L9&#10;OZ4c4jOzZ1R3YcwFq8YV/1xTGpFjv5Vp3LIE65iHJaFZgKwkS2JSHo0J+l1o0ZD+SWyQOgqLeA9U&#10;9Oitz8+Ua8qAwVXP4idDAADh6mKeVmJb5ENHwRvOQ/fPmMNup3S6RXBduHwPK4HYp9d9nZ+2Imm/&#10;ZwuhLjIUJGsEYZ78hRQAOym2BKBNUMb1HCZiMxEzbbDm093PMan4TPYTGMKiSSXTBLbpseJ4uuCR&#10;g98/2qssDvFFNGbnzp4p11XjYX1hd/nbv/gzh1tefeUlkVlRgisUURER83ED6k3H+ClGFpZvuozZ&#10;/CZWVsXivgNa5Fi9DM0dEVgpU31HnVYdk9Q5eMZUcJ6hKqBbgr3GVsN9nOu5VknNhHFr+kgLTWuw&#10;CcKblkJjv7fm9FHvtYRtPQjOCeWpvX+pUufUGSlfEV0dBrPMiZACIVqykg4eOFLW70WlUZeYrwLb&#10;AtEWoxSJMlZSKDnsiVfDaXxhcDh1uXJlHBKpiouaHQFgsG4BDPLO6TjuUV8yX2NdxGTWuAtfaX1w&#10;Tv4GsRigeswtdPyUVmIAQIeRQjY5O4C1CP+juvA5NkHwppQsqeCMRbdi6uqfq3WrlOxlxoL+NMEv&#10;uakOq1SgHBA36bzAxG7153n5m39Srp7+qHzx9k/leVDBMu5HWTkUJJtd2RR5T2BsdJcQhcreu/ZE&#10;ZItlNdIYUzxX6SnGCo37hLcBOOOzyCoJcJSv7Z6mKvl1sjT8GNcMQxPDD0DSqAVhxVmBXJ17j1mV&#10;xXmdptEBkGNPECLZkmeG87eLpoXFbCdfLced+71lPFQllyGO9AinZ7plVOg83D9znvIkvDL0lyGU&#10;jicnPN5MP0T5QY3T6UsflitnLikTSwUCFWbrJ2Sp9bmwqXUkMuXQkIpP3ZcXSxbXOx+dVTG/e5ID&#10;ZLbBRQhDjSEm3ESac3CGqwerjr3nwrIjtlCiGetcD2kNQ9VwXU0lDH3Q3LDWYUEytXjgnNVjkR4b&#10;A6h6habBlwZ1yh3fRScwqPfCICUQ45jwKtUOqNXzyfflSQ8yVUwCyLZuIrvwqkJrnKw5WU1FkDeT&#10;N/SgMq/uznrTTRCRYCWF6I4PtsP32tdMl2sD9bWgUHv0w8LbNh3+sFPghiKP7+UzdgKNFjJvEHU8&#10;1VVIGgkioDS5c3Kbfyrrc8++Pereuccei1ahnrpwtt2uvgwJbUjVJ4coiU0akO7d5CWeQRUQJ2l8&#10;I6D1xeyHZQ1ypyxrepqQgroi4dYndjEWHQROygnzQLbW9ZNW5Yniuc8UoDmeuXCa89Cc9xzRBFY8&#10;Z6ZepSDK8Uoh4NhytWia+4HPc620OC9iSsNUthLQM0SsvB1Wa8xo6/2853T/5fGptNnAQxQQ0yAu&#10;ilNCoyfa/374i7d9ndsXz5VnX3pB7m7FWTXelCfHEnWBVwl0MkCQ5bY0EZz6xWspFwuWFeEHAKUO&#10;xNtwTWWMbyr3Hzc+10seTdMK7ARR/ruhyNpeiSaIqCOAoGp4I3JcmmCiOVfN+XxAcMRq9//nZzmH&#10;eJLGxigVziG4zXGvElKM1tTptl8TwKDGB8o4whBxz6mUcg2FomsZhK19hmLM9dAJZFqCUKCApnle&#10;11VuJdgwiNC+oaw89wa44Bg8QXhK8KK6yRTptvVxIzQSeyD3eo5B1vJoyqXm2rUAx5Pin8omkhvh&#10;/oZAcFHDu4XNcl1l5mfUZfW6QMRAn1JktYbIdjl7UWncx18sL33rn5XdB4+Vv/3z/1f59ItPyj5V&#10;T+xXGue9NXllxJ3YfWBPWQG8sQc0tpTE79L4G7Di9YG0aXpDeI9CiUVcPgF+Ft3LFOzQXWH9pgHA&#10;+PVLITLGAeDC84SyTYOvKSMNqAINNoej9XvT8Mj9HyAsQxVtGWyOG0rQ96Pwrrw2vBK0GcBXBenM&#10;jTpPed6ctwQ9+X7bqOAroQx5tgwdAozvKhtqSYbe4T0qQqdwkyvTUhhMnln2+a3b90SgFBmc7C/G&#10;YnyXWgU8Vd75j3+l8w0oTV5ZiCqDvbIkUrpSeHuVRh9E3vDaWa7FQm4DgQogzJ9qKG/vB9SHQ3wQ&#10;SmMfusS7x7sh9fieCcLh0XG+QJ6XaeF3xjAN5voz9l+cJ679oC7caUJz/Ue4q23E5bECUHLRui/E&#10;9hN60TTeCpS045p56ELKD3KwmgAjxq+6wqo10BSuwdCOkcswRvN8nefcSXB23hins6ej45VKLN8O&#10;AdPmRHQev02hYoYx8XWh5AZoonBbr7r4DSkVSiZTnW6/0g77FV8iPtbcoFw74+FejB6b2EiAPIpM&#10;uWUy+clUDZRgHKEHgw4bElK8oS6hQ6rCSBpOKFRsq6jwx3UybMDvuYFz43kj45atP3PsfZ46V52g&#10;ypu4Pj8j2wIN1YJpIVmY3oleq0XpYWbcOoRRUNlCqHeCl+3zHvXq0zLMse+0nMINR0yPvppb5Ysv&#10;PtfYrZRJEdrOffpJuSdBv3/PlFuG31dhny2NJyQ9zkPqYnRUZBb4hyXBbgfM8T5ENDqAkrQnYqrI&#10;rDdkbd5WUa9ZhbM4x7AsUFI2W962hvBogp0WsAa6VA9EjFmsn1B4uX45X1UeHQt0Z4DQOKieIi2f&#10;B/dJc4/AU9i0JyeKSwW/g/lxxToNCj0ysooiwIt03lVl4hQR1AgVpaB30TUB3FhfhBOinX1uSdZm&#10;KhHGN8VNc39YsOJ9yH1T5ZLnqvKNrJQaod9MF295ziIZxP9nDqDul1Q71zRpyByscISexS337mvG&#10;aPme9AFVKXto7EWmgupBrG/0qmJsTzlz9lK5uUT204o9knt2j6oKLta4+rLQn+fiDVWk3F+Ov/zV&#10;8i+OHSp/9W//VflU6dnjWoOrOs9VhdIOvjAhQt89ZwpNKO2TaxEyyO6k9ujADUNm8MysT99g7LXW&#10;uDM2KCPu29Zxvf+6vzAyNikSZnkR02HXOAq+WtPNNWWFTJijHrxNonLOOj7NsGUrvF33VEte62Dk&#10;UHpWWgTWanBkuMQZAvqu003ZaXBmvA7Cu8crgETwlBKUdK1jgMBTwDO8rFTqCyY0X79+XR2Vrzvb&#10;6H/8F/8nAYUB9bYJI8uxfz354gKpnarTIq/s0K595bVv/WH5bEbN91QsYmRsStcS6KPPzvCowszK&#10;aFOMw4ZebYEJAAiqAqAbUzBka3B+Qj7ny3PY2IjpoWuFD3IzoMSRYsQZuY7tZyat/mtu5goUgofR&#10;roXyKF2+beez9vMcGlsa/gGEIZ9nGIrLKZzRJsvkxuADx1jYJ1UZhGJrhyDawrxttXcKI/7uVPYx&#10;UrHQtz27r9Mei6Yno30PDwKA5jV2uv72Md0JQrTvcduxO4CNh53fm7I+lZ+uSho2BwsmNyeErmW5&#10;Ymk9jvt/SpU8J6fUWKuWg27mcuMm31gPAYaAtgGoi+AiZWGRs3vt8jUprGsuyXzgwD4T9/oV90VZ&#10;zoqTgdDvq3U5PNlauAhCLG+AI6+0AlKhJCBodc5kHVSQl8/fDFNknNjWDD039J/JotV7kN/hfQu8&#10;qgRSqHh9WLAAWgPE2KIyqMVd1xbsKZxyU/r+q7JNsJLjn9ZUgh7Aw6ZbZveogudVcR1kbsi6vidi&#10;6l517DykNvDdKBORVrv7RgMoMHe4HVKB51xwv3W+M0ZN87O7EviAOAi23DthIa8BmxXtFcL9NwFz&#10;zoPXecx4a9/F2HO8XLEthZset8gr73w9DER0Wtq/br/kOiY9M9InUeAiJCIznMVCufFQvojuCdU8&#10;4S6XtpQFtHZPnIdR9wehyBlAiJC3Q0wCEBsaV7dWJ6yHJESZI2jNHYpnsmCtY9USuEEaajlFOCgB&#10;npVMrXHjcBNJgDVzNyy1Ni8A9EM9EuZx7b76fNiFnOTJIHZa6Vblu66a08H5wGoGsDClNMwjbEXV&#10;2HXXXOkemJYLvF9kXFWA1UH0y9kS8Fqm2p88i9FQab3cviui9NxR7de9Kh53uPyL/+v/vXx3z95y&#10;6ZOPy+KZq2Vldr6Mqn7M5PD98sGH76s66pCqVw6WkSlVUzT5tu4N1zogDhCBaPZvWqD2mLF/AZv8&#10;5HP/HZVgW7w3npPwqQqGOWzBOXRstoDPddBct96zFcRyZRsfNjZ0Z1VB5pxlKMRyo3qh7OVhjwfy&#10;ac21a9EkIGL8qiz1jtM1+jGOrDvjOTbqWnGba+aeVFiaTXnNEbpVQ7xLAgyq63NLxgKFApGTrnWh&#10;78BZ61XH48NK/b5+9tOyOKdMtRERWQmVysgbEfF68sDRcvSpF5VNP17e/f7P3El1gEaK4vH0qZx5&#10;1zhjFQ0QV8RZW1fVWXg3LlPg56uVJqvQgGhNyDubOnrd6VC3GHAlWJ0vif2gXK/lhgXv7V/Hv27i&#10;zhCVQbUPq/KBZprcTnUWBGmY8KPWdAjWukbiPmwwmZgZcou6PP2qaRJYrob7ql5opXimogiFF5ZQ&#10;xK0CPHjT1UXTui9PICdsgoKmUAtgsB0wxOcRg6/le6vVl+8ZsHQIWg90FSxpDgQ5pQ0Cmot9JwHp&#10;jV/HtWXZ7XCg59LKrfFh3ZCtyUSp2wJnoF1QNBZCKl1935YLp3GxDha4XOpUuJQn4a6Y17OyUEZE&#10;3NmzZ7rsEgmyR25Wxh9BaIisTe08/LrXIPOtSxiNDCgcsr6i8sufl7tatPuUOdCvRl/LyjUflWIk&#10;NREipUltKG7JnDXVNUBwsAMpbx2RU9mCbHgaKZmDAZEqGPJdFF/x/yJFyrnoujf4FJGHTg2HACJe&#10;5Gxsx4Z1ZuKe9KBosYwRBiHt+W9F5ESABmvOpDf9RBgwJ/wMyhHCtyounRxCI2mBACS7vDVWy6pv&#10;salxCEAS3gvHfyswttCrAg0L5v6m0ln1jIr4qkeGNvL4cFm6siHhPCIi1VRZkXtwWUpjtEeVATkn&#10;90TaMC5iCG2EVLiK2xBHF00KLKVwmlPcGyUZHp5I0Q23ZAg82vgyNqnks+BULuyIcfKF7ZyhqGlQ&#10;x88yJT4Piz6AmQ3j5nrtWNfeKfUAH5br2cK/CopqNMRn3rXRDMjHx/d9iiro+d16oFpUrIth95yR&#10;h4y1ZktG4R+3oYdTFBkXvrjGBA8AKYTObNFbJijjuq3C6WFgKLvYcocGRt4fEVZpvvwZMgJXdMMf&#10;zFEJ4rJaJfFyL2VWvMNSVBRkT8e6TyGd98e9Mb+RZt5TTqpa6okTx8vEyLh5M4OsYq0TSuWTQUa2&#10;FGvjmWeeLrum94g3MSdj4myZVGG++QURoQU87yypGu3hp8vlS0q/HiGkNlYOyYVOs7xFcWpuD4nD&#10;tHvCXXlJW07uSAvsVfCNcmqFA1gjhCaqnGyCbZ7XFRIddqryqnonEgB0eoFa4+vlULMBuEZdAwk0&#10;vGSqLORnhhfwxqRXNM+dIZewI4LQl1Um0+jAg9WvPY9xgmywF0IeFJNaWT/1emkI8/xrWnc/e+sX&#10;5eyZKy2+B3NLGJh/rMTR0Yny8anT5eVnny5PPf+VMquW7fdEsqTx3riqBu9SSv3jL7xSbqqGxwc/&#10;/2V59933XOUXYGbIVHUg3o7xiSFVrh21TMJqX1BhQDhwAHAvv7qVmoXXOrZpa6ttIzBWHdo8NvUh&#10;4K0Zod++Z7ZzKVL527vbBCWNE+c4xjYP2c8/1rRrRNnV0ta5/P7QOhExLe1NGdQctHC6YOpnLZZ4&#10;Wzg2L9L0RMRGbiOqrL6X1mQ+ZH6/6YHweSoqbT1zFRJpYTV/biMC5RcaiLd57uZGaZ+7Y3rrpsnN&#10;4Z/VbZXPiMDFCuAJ7e4xao7njRaxEfvzIrQ7DjexisxoseH+PqiOm5AfgwiZJWuDCOT0SN2/i9fo&#10;sysiBl5X/YgRlVx+Wp0j78nz0KeW4/3VZU8jKAQonUIZN7Pdcfeh+Cu6JTdehGN7CCINVIsl1DdP&#10;YJKZdZoVkHpU2DWrjpkmPMb4sLjyRZx8QyQkmMN+RhSpvo/VaUBFeEbzCBvelRl1coq0OEVQlzA7&#10;W1YdY8X1wlqJehJupqTf+yXwuCPa0AKa1sTCp4YD926eXLW6OC9FyLYoAgVRjOdW3BrwMaYxu6XW&#10;y/sn1Op3etKegwWBo92H96s0Me5tFBL3HiS/um2cqoDCADzgzYF/MqNiVGTjNLNLQgmGS7UaDVU5&#10;NS3h2IjOY69SIP5GLrU9fumJCEwbe9K/A/LxENRQ0q9TvF6DHUvaf1YrJD/avkPjXReqoUJhzdhp&#10;K6Rg43t5aPCp9rchFvvmuhSFizdF+V4rGN30+MS4PXErEu62pl2BiHvQWJm/EyAi925THjTvz1am&#10;3khB6/1bgUTzITMMl0/eBFnh6cJqDVLfgAhzsaTbsepQiACJdkim5W63R+K+iM9Tqlr6svbuQQtz&#10;QD7rn1BPtxQRYRfWxrhKWpPeC5AaVilzikXNyCMG8Ozr3VPe+/CclJc8VyLwHTrxQtn/lJr37T1S&#10;Tp05bWu3RwWqcBLMy1Le2LhSjh075nHKnkQ8Y/JJmp5Dy6Y6qU1F3ykf7Wav3sPO7LvmskkPH2sC&#10;4mZMX13rFfxlBkUTmCToNRm2LkTuh/VjIjazkaEZnS/Tug326lwn+Zv9B5BfV/ggZG87kwAdBQei&#10;R7yxy8p+OXf2vNammuCRQlwBLMsRAEhxsDtK3exWw63bs8vlqZffLJfU5bdrdEAFpw6WVe3/ayou&#10;1TezUAbkhVjU2l7XusGbydpxfxV7PHIjBQG1T6GRYRmLEworkzp/+84t83Msdg2sA/w+6vUAgO7Y&#10;vPk5Yxaezgqom4s898ROF3rI9bmrvFTcY8iiKPWgmi+E0qt8yvXkcMZv8kq0GIKsul+bN85l60Va&#10;G7/xeRNUdIKG5vEdp/RHeXxukk6XcPPcOz1T3O92FNV08X6ZcegELLbK0iJqbFjHX3PRNDZaXsOh&#10;ISKpcofyNYh4n6qwER6J/aqONiJBE+WxUdh4FVgkKpmqNKllxacvqF0trWrpykmGBf0WJuROnRMg&#10;6ds1GRaaztsj9x5OWwMDiHDySAwo5IEQWFb1PKVDh0CXksCdvyUQsOUSq9Eoyt1m7BHQ9pSrv4sY&#10;ZHVnRyWzWD9hbeg0hGE4HmJdl2r/ywrj3Fv6Hu5gH4sXAsVPg6LVcKt16942BC5oXOWCTXap2szV&#10;cQIA4jCsi7W+ouexdSKFvikAcV/AJkIgWC+k08kCmL/rTqTCC1JoIuHJMlhajK6qkCRpauaeIxqf&#10;IwpjnHr//XJPVSNPPHmyzPPs1brMDIBcN5mdQyiKWg+35EWK/PcgbCWjPNdl06pGmfZKaGVjm+Z6&#10;zjUVAr+GdhpCo7XX+KW6b8MtrTXE+FbAksL8AQEUo/4ABv8y671+tRVfZx3GfdYwVw0DIEz7NL49&#10;KvHsKoaa21B+AAVld3AHOoZ6HeuzVBhFCeERIP1YLnm8blWhd4bPcqwssI3KqsyqQiJj4M3nSUEd&#10;llSFB9XTEuMUFlYWIjJpTJ+jvPjn9EP93eRJNOeJOd+rmgIvvviSAQTCPMN8BscK7S0rQwTrjb0N&#10;iKAFQHjJiJVjKS+XM5+flgwYKNP7j5SxiT1li0JDcpMPqDfOvkNHy1//8IfOauhXJgzcJorMLS/L&#10;k6m6F9MqhhS8h+DhR0pnkJBTQWehIQd38HIC2GuIkDEKz3MstmZGRIYbc2/zsxkHbyrCPF+OT5Ic&#10;eb/FhageJrxNGC05J53GnL2QrKWa7ogBgBggPRRxBNAEUDX3WNRDiDkNp5pGSuvrtoiR7qdUQ56x&#10;jjBcKrDSsAH6rqpf0cGDR8v8Wle5uaj27FMT5eDTr5S31WNn/+ETqiujyraSsef/3Z95nO2pYjZq&#10;VdWofwGojKJi3MumZBZe1l27dgtQqPCfwOKsCljhYU6vVj57Uwd1govW3x06tL2mAUyxJ5tz2f5e&#10;7LvcQ609wphUr0JrLuxZafPQUofwHWqt7FGl4zmRlK3xdL0Em9UU+LLiJC6QrzxZhWKtxZg33KnU&#10;gwAAgP9/n1yCpAAA//RJREFUUxHfDpTfdts2v7OzEHzwO80F2Bwk3t/JExGUnPYrN8JOQOpR97AN&#10;SLA56lntq6nj40p2ulgowjZaT0Gfm5MeBByHsCE8cEf9GWbvqVOoWgHv3ad4HV0u9Q/kLZvGEz8j&#10;QtDtmZsiZ+4Ry/uY6u7fUdW1Hrv316Qw7WqrMcoNMdVJV1xTP4kNxeqW52fLuPgAXNPHAgQkQF1O&#10;m8QCHb+yUDsyttzqXlsmcvahPBTi0q92pUdya31Vi4cUuw0p/FV9vlGtDFua1A6o6LiVDkaXQwGI&#10;LUIoCHDlzbsaHALc6JdiJgqrEb9bp5KkKrJ58BhbPANRO5fjqH2xvrqo5xcjXze2tDCrbpu3VGND&#10;lp8yYnq6hzUWSv8SCNsloHVfPUcAbSMKAc3N3VOp8dtlyG28Y50jAFEu0cZaxZIUBrqmscf7QK2N&#10;tJpZK8189eZuaq4V+6gaBkgnIG2t55Y735f1w7ZlSCrEqEUQAmk7r2mntRtG2KOtn4dJAd9nfh/C&#10;sf6zoqSGfrWsWPejKr0+REtUtSXaEIegm6JcVbhyHGl3jBsvKySErwQ63jMNYI2Nb7fScr+kQGsS&#10;TpsZOwnA8hFzvLjtBHMxX9Gkz+FHr+kgTHaZ+EpWUIAIj7oHuE3wNpGxEjpRuE8//ZSFq0GCSlW7&#10;YqDWFuuxV/uVhnYUfMO7eF4VZc8qnfjEiRNWQnbHi8R7/epF1XZ5TOnbh7QfNS5ak3PqzbImZbTn&#10;wLS4FErHFugeEoEPCxulSPM+OoVOWKGGhW1Q6Y6w7ewKnsG+giqLMkSd8jGVfIKfpmzKse2UjQmk&#10;8Ro2yfg2miogaSrJlPEthVOzrPjbNWpoMlgNWbgCgASWPO9lRdssYOfMhRZBO9JEuWeHQyj0BUi0&#10;W0wFT1VZ8p6am+Eok789JLQtyPCe+lnx7Oq+n3zyyfKMjDG8i8uSk2TQ3ZOHeFry91m93yMZcEZl&#10;8q9cutwidsZOCn5M3APrjGtHHye4VDSIxJU7oPDz+Dge1y7Jo5kW2IypaWukhxnBXsM6bpuxUTdr&#10;szZE5/6tfoQwABvhJmRQK7Os8SXfShURqedzLg1AKbDm2h4BPFvg82HKcieBEhu0jWo8NU2t3BiU&#10;5kWag9MEETsds9N1870U7I8CDzkxnYguprwzahpn3mkMvux7Rm5sXBa+gVxbAUWqTVtxNAWiL5yA&#10;o1oxfD5QSZYzCm/cFlEPAXT40GERuBQikABBEeOFIATyyisvO7RBCeURcSIuKk1xQIVqrqoYFVYd&#10;gHuTzBvOv6FKmsPK86Wk88K9sLAsVCEP4nmIUMmKgMUCLrIa/+f2W3HsWM31O6QeBQ8kxhBAGM8f&#10;Y6cN01grIcBibBJA5uaIoj0hANzIp3Jicm6cgmpp0J6vVCrwG7g/7tdWjw5Zk3tlYfauHn617JoY&#10;dcdJQBRtfynmc0+AYeu+hD7kPmnHMaXH3rh5Q03VLpen94hApcZH7qLpcEuUAr8p4IDngSZZbCxS&#10;GJuCM9dkKqzmGvXvJgxCYgpS5M6KfrsrvblvolRtKL9cOoR3qCXSvNZOVnxr4P4Tf7E1S3GtFBzc&#10;SxVqFvoOecF+V069oO7qLsaP/QaxGKET1SH5DkBiVWCQ1GWY9bj7UQ5RkyE8XjxPMyYfQjq9D8Ev&#10;8jhXYZIAgseL+LppYUE41Is13p6XOMaiS9+3S76uSU7nGHN9zlRQ7OKsOcL5OC/l7Wm8x7GsOxSe&#10;i7ppn9qbofeoXYERgKIEbHwhXgT7mZoxKwILWKXrKoE9c+1cOaZukT0DAiwqcDQ6ekj30V3mNJ4v&#10;vPiCLOXzCg+KCLwGv0HjKhcbWSwoPbJ+IjofGiAVecsqbYxRrqccywQKAUAi1JqKuflZU04313x6&#10;gBK4dMrcnLc8N3+7x0qVGQnKcgz9NuFD7kNjCCADxPfT3NAcBLpcxlgHeAorm/NBOHe4nVHQXlsV&#10;h4o26yljculHCTu9LLvuq6vvhJoVvlmOPXbUAPepJ47Ie7msjK275cVDT8jTSX+mxfL+L9+2V5Ps&#10;OCYhfD+xTiMkEzLPz+LtQYVaksUZWwj18sZpo/Q5a66Dt1WNhpQL2/SiF2pbLnTKjqb6zb1v2ciO&#10;rGHS5v7h3Fn+/GHiINdJG7RE/R7C7ITq1mT4egjrfaueTmXs4t1ggiF+WZgHYSgXGEqJAWtv5laE&#10;NshgVTB2oqntQKHtTWjexM4CONPa2vHhTlTcdN90Dkgzg6Cp2Dowz7bB2C60H261NRF7uIQC88UC&#10;bivK2L8NeFfHKCfV37IgC9c6wjZizLiKZKloUUMoXFtcUTe5KZdevnD9sqtV7pNr6ZA4FLfFOEZI&#10;0oiMWCuFzFe16CH2kIrDgh/RJtw1KUtcHSh7QcobSy7Mg1OOuLrDLlrgVGFjZ3oTo21t4cYzNefL&#10;S6geB7s+nnKnkc1hiTUVXIMAnm0l2vZOpdB2fnqOZf2ZgCsVRoyqvisCKEWhoACyDAN1R00MuhaM&#10;K75ZlC2AMoPgtyIuxX1tgnUBpy6N8ZI6fe4VK/7K5cvlhhjcR1Xxs290XF6NyCS4ckXVQeV9ADyk&#10;9dQsFJXu4yywxcbK1NltwrdC2OZab67ZbWuvcm08UK3wRYxlCOAkViL4Y/w9B1Vh7ASg7dHtSFvO&#10;fZFeO7uD7frcPpc0KAoHboAFhDUpkXjb8E4h5O53Sam5g6XCSxsq5CzXMPybqA3iyTJIGFGWwdo9&#10;KQe56ClTzUcrcpFmbw3uyZ0hXcQn4uT+OoLXv5COGZ2EKexjsq7uwwWvdB+E77wHWRuACCwo3bi5&#10;Mtw/4Lm6cWHv400D3Fq52BKoPJZ6bUB6H650W5l8P8DObnmwYNiTUcJ8U4PCGUnUgtC+BWjwHt/F&#10;cqMr6rSysS5cOG8exbDSAtnrkKjPn/tM1vBJZWupJ4NuQS1JBHr1jFJyb7zxRvn8s48VerxlGUHN&#10;kbRLkA2DCiG1Q4oU5IqeEingM72ZcbCh4MyO9iuLBwJyeOXaYXzzHB5fGx2sx/huzGuGhGLNREVK&#10;hWDhL/EceFtqgbUmgCH9PArckdUQBoJrQVRZE31mSIdV6JFeDcyn97jAHJk9Oj+OK64f7eO9+Cs/&#10;KEIKKHBqaUCQpANn3SGWh0nE5rwnH3+iPP3Mk+6tM7LaLxkq4rbW8JTAXn+vPJi6l4uSC5+d/tjr&#10;yER6yVCDk9pfCbmQYx6Ny2KtOWzDnq28Gr7XL+Ix68MrDqPCJN7wivFqjXXVyykrm/IhvUEtJV91&#10;jPWw137IwXjqqs8bYSvPc/08pUdcvqmr6pixDyLNw2PaJ48ucWvuJ+XGQ8MZcbpEjcn+bguX1g1a&#10;cAVSaiuG9oDU2WtNYifIyIHbDja2C7Hmd3KQ87zNv5vX3+l8j/JE7HRf2+/9IUJasd/MaHdqTN2s&#10;LGqLP+vimKIEGO2flaxap52htDWkY1F6xDgJA0D8WxOJcE5x+8uXLnpWYXkPa+GfVbe/4dFhV6o0&#10;UtfCHJ8YkbdBc4IgQDFAdpRgAmTgMmxZGfrc7vpa8KUlNOpyqqu6NQw55/FMIZSiGI2XQPtVlZlb&#10;BFek7o/rZo8fcTaX0K2/u9qaNUdsgNhY9T0Lke2bDNQg6kYNf9RYnr6LkFhX1TkEGIIcBjruYOI1&#10;vernwL+Jqamypvbos/JKHN6zzz0VlpRpcU9Eq31ibN+W54H23Hgh3BxMz0kHVPc8QaBao/uGPJ4p&#10;nNN927l24nCb7I/cKwb11c6J8Q9FmXss9kvd8h7C7Xvlget2vNG5RzuPD6OiCfK2yuRYEGCDrY1l&#10;FSSrKF+sf8oaGFAlUNKJt5R1ADemp3eXGgmpCI8+x7tGHHqYNapiTPe1bvulIKkUmJksoCM3aBNg&#10;6ZfQH1fRL+v0uneIc/uptZ5oUIeXDUIu/UwQwkP6DkCJAmIoO1IruYaQuEIsKiA0IEUoacd33Ra8&#10;Kiyz+8mh1332DVLnQetHYT80Bh4STkqlUVdPFfDs3houEyrqtkukOUrZ98pDYEAjwEoIokdoZrlW&#10;9SUjylUy67qdELGUtXnlymWFMJ6KPaD/Lch1fuHiJVnF+6F6mkSNAiIbicJ0r732mjI0fhieINrM&#10;exlFy2enx+pl74fCeO6PQKioGnYGAw3ycwp/frKu+TzLT3Oe/K7BB0rSsp19WsNM3LIBaezN5DyQ&#10;zphZfF6r+sccUUMEr0JLn+icNFizfNZ/ENHZ/7QJX5Oc0s7VBYIU3qM5o1U6e5g1GQoabhVAMhqm&#10;odisTPGokqnk6sHiNhBydIVSuGkRcHaHSzrAIjfQjPr9cZEqR9SskISBURkcrpkhXs/wxO4AyhrL&#10;Dz78qNyRZ4I1EbVIuGd5bWWorWKMYHjLEwHoy+SDLCZIEzqDZa858o1VBFBGjQGE/vQ0WUu3vXBp&#10;uMdeZPwDwOHNJBTTJ/Daqsar85KJZwZZ7hWPfp2jCnS2aKTGW5yP79Tr2QSu4W+uwd6gCmt0NkfQ&#10;hy7CqF0SsB0fogCZ3jZeCdnzCE5EuGqCiRrKMaa9DRZairoBIDoVfm6gzp+doCP/7vx+8+/cGCmo&#10;EzU3j2l7HdqounltP8wOr/xe8/sPO3YbWEHwtWBkDHzU0m+zcHMx5Pk6//Z8N5Bo9EXAfCKuLOtB&#10;wgQwcHvmlvKY5x3aYOPNKIwBU4KYMt1LSREFabMc+7SoEXKsimWVyHZdEixKo/zgGuB2E06x4Iuu&#10;g9HO2mNgAdr2Am0DZawHHxeLv5li5LXiyoNV+XtIQhBl1sG2+YDM2Vr0+R0GIwRsAhR7KezSjw3j&#10;+/HvAS6MPaqnzJtQwriXim4SOli1a6pGJ6djWdZGX5Y3YlBMeArFLMwuWDAcV3reex+8Xy6rhse8&#10;LLwZhZJQAAhTanIkWN229ixdYyO1QBEAo45bE1A0yynvBHDbaypdl4nKYhwiybuORyyz+vpyICKP&#10;evQ6b8ddm96MN19/TU2HDrTWRtQA6Q1vl37OnpovR1XK+fmnny4j6njYu6HupCrssyzv2MBgr2LM&#10;0wpf9Jdnn31SlmWvYtVkIqmnjMJr7gGAwnbqHo3zesrrrz0la/ZJcVcWy8FDB/ysXj91bUbp5K7y&#10;+qtPyWWt7osCd1PT4y5T3C+icnhQY21saf2/ot4nEI/3H1KzNYFF1z9gPXmNR+O42+IhvfjCCYNs&#10;+Ei9IA5AtjwmdB52tcN+NccSofHpJx93dVjXtUBBViBp97xDgWReKZRRawFw/mwmFb9vqp7I9bJP&#10;sXdqZkCc/OLsufL4E8+6+24oYTAvXJvu8vJLL5ZTH39oYp5Jk9oz9Cbh+iwO7zWAt451iFHPlhwE&#10;cy/W6Qwc3gTeT+8ACyhLsHPe/CzHJjw6scebazlDHjx3JweDc/rzamQkKGnLvFBwWVOC8Y4NFAC7&#10;G2WsZ6HKaIRL+MguRs7c2uP3XbskQkmAIYfVNF54FFbFxzp37qILLLlztO4TXe2QFvLCskTN3ZSR&#10;c+KEmhii58Qpw8sVwBW+WHig7s3Mivx6Jowbj0dInJZxwV5olR5vy0VAzuAgDRD1UGHK+xwZYjNI&#10;ktzNTq/mOeaWrsfyZ1RN5aYCTNhkrbrFc9L8UuP7HtLcM43rx/shDZp7vKnTqJ3B/Mwog82TArDQ&#10;PqJR42DDs5Rp047k7PTypPvGq7uZG09mduNGmje1Tbm2pVzr9K1zNS7YCSbyfL/uXM17bg7GToOT&#10;nz9ivB8yCg9/u3V/DeUfYitmL1jdbcGX95WCMDZV/efqjKy1Nkhj8Vsg6QM2GlkR83KpU6lgSrnl&#10;N8R7oMzwrn0HjOCxegwM9J1FlWFFaAAKNhTfG6CiICuBQixSrKBNkDRIGHJl5v4y31mJzmRCv1rq&#10;Z9vffg6snB3muXNuWvPToXA99wkW9KVWHxej5QQR7RXaDFFVc7m1Ji2YEgDpnFgCvHBBrglIILi7&#10;ZZFyDBuc/O2hYWVwaGxuiqQ6KouPzBfCQwtC3b36OxuqAUKYj+BqtN26tfRFCKcM6yCsOY73KqDw&#10;jbQSCtrALMepCYKb++lhq6/z+C+zeFu1FFrWTVuQNEFtnLtDKmjBkKOPldt+6b1RkYE1Vv1YZYo/&#10;T0gBHlBlxl5V8uvpviflPi5iYb9aW2N5rYulTiOsbpGH1UlVSn+36nO41gLrQGOFpbksYDIoL9Ks&#10;K37OlsdOHNZ6V+0FG5iVr6CBv3XrnosvLavs8K6pYR13SEoBjweVHdt1bi6rINu4rkN54iOHplWU&#10;bX/LSs85Ihb+0UdKF55UcSdlOL34/Av2nqBwsP773MenR5lPa+Xnv3iv7FHYASsYJUUWQbqX+Rk8&#10;hVCMZPFE86/gSfA5CnxMJMw5gZox6pNoDFFoMyqPfu3a1fLk009qrdRQLl0h9W9S2QLwombv3dbf&#10;gBuUsDrSCkANK5wxIDBM91gUcfTKaJcPz32KCZhhoOT0ZFgulRL3l508I1SMKAullcXpcv4jvB3c&#10;qSQVt0l4UcU2gXeOR8iXWuTKSjS4RQ5n4GGhngJ2reQUXhjuwSXL9RNFHTwteFzyammtBYAh9INX&#10;Al0HZ2RLQO+uxmrW87xGWrafJbwRTcNz1/QurYcDXi/cC92RGV8XT/N99ppvdlkhzZCEuXcjZORK&#10;m42xzrHJyqYP8pPaBnjzPgxcjJYau6ttVVrGMq8Gdxorp8Km7Oz4Xrwf4oY93yxvnvO8kxHLlVN+&#10;7pJ+WZFX9rrDbbGeRkSanhQHiAFPEJl3+8jsjLZyrgLHplBFMmFaNiyiOGVT+eff29/LgeRnU1GF&#10;8Ir34nqdFlvTS9CJopoDlAPywDmq1dqQhNvueSdA0zy2Kby3WY71jrlrO6WwDFqAon0Gppf3cVe6&#10;jjzgVv+Hu4jFi7Jat0cgiDd4HPic9r+r2kxLIlr1ytqYEj+CVrUoMbwP67aYow6FexPWOC1xYFx2&#10;I0LnbhBTgYGtnLohqLeA8EGIAyYynocXw5aG49YIBFzP0dqZlz0RNexg95bBVCCqlpWX2Jq326F7&#10;g6zcL5GCFiEB9wSowCS9XoExwoUW566LPewZC892O+I4AKsEYc773DNZK1gnvUql66V7qbYYdTS6&#10;pZQQ4vduCDjML0igqeeBNs8arHoJN2xjBCXkO0I+scbsB/G5bXF60nH3R0XJBA5eS4DuCpLi5ttr&#10;eicgkAq82h514aRSDzJjc2/kOTvX845/13HMfdIUYhyf1+4E5Hz2xZkzskIomhRuaJ4xFSIpm1sC&#10;aLMzt0X4PVtWF8fl8twojx+Tu19jZff91UtyhS6WGYE1smDuqafEhgi+k4Oqa1LDaaxlQPNhkQ5n&#10;rs+WSxdUfwMeytp7ZfeeSXaNgUjsqz43+Lpy8abOfaPcUt+DWzN3DFCoaAigi0JefWX37j3l6hU1&#10;Wzt3Xkp0VYRIAEAFeZU8zBpZ0fq4dkUdGy/fVjv4aDaEAO2TEu/tCUJrl/pZUOxsWeEOXN1u+sXc&#10;UxeiehtS2TJOdPLl+fGUsB7JwMKDgdId0bjhcj88eMieCKnpcuni5XLi5BN2jQeBEe8ixoTaT0vZ&#10;ffThBy7DvKQCc6QwrqtY3awAxLQyjUJRt8PKLflUQSP3yzkzdt9W+IFum6S89h5mYQSPopl9FNy0&#10;qD2T/W24Hse4hgPhFGRdlWN5bhcXYwNXkjTK27KgrilSoO1hcPgjAD8WcPRewVsQRn2WgXdZaclN&#10;MmDwypCdBcgAXNkLQZVUZ5EEIKL5lRVrVcL7VbQLQMc+9TWcAafrSE44dKLzQYalvgdjQBVhKBHJ&#10;gcgOpTFX7XF0DRzCQfX91jjU+WF8kasOr1JAsNbySeGaeii9PAYRerJofZCF9ULWdurb5r42aKr3&#10;1Txu2zFVoOc95mdZHCy4MbTGiGdCduaxLU5E9kqIojVVSFvaxR9ZTMNKxpX7HMQJfWH3TgCJfPBO&#10;RbwdCKSrNzRKgoj2dyPumouq82HzuCbC227Zt30NnQDEGyXR2yOk7k4D/ChgxPNnWmecFuURk9fS&#10;mw3FGwCiFlZCEUmZoYDo8EcJYaVHFJG05UFQV8yVYMP2Ynndm3MsbFT8h6yRObVnV8JNbxgs7D5t&#10;wkEUPt3k9Puwau4PSJiiINeIK2uI5BB1mITCqPZSSPi6fTO9mYlt4qVQN0LjRBZhktdwE3uyCYVE&#10;eAFiWF0qFvDxP64drGUrLRd2CZdikDgTMPrUHjOqzvVKcHdhlTjdlJgvBM+Ip7pqo7MCfHiAEO7P&#10;459sl7qGUTOyZHxt6hCIpEX8kiZaPSL/9ereRbd0pkoPqXNSFDNK7/Q1aWxGDQPXCtDzajzu6/NN&#10;csJ1j/1yezo2LYEzoLDQfQkx74GaembBWF+ueOlBjHv1fScKqwLgQWtF65TYacer+rjqu7E3Ddxa&#10;cdD2FxKg7bTMm+Al9w7Hxe9xf519dO7JIzAsUi5r0YJDx2TzK7IGSO3kIa8TXru/WpbGqAgYnjBA&#10;xksvvqiQkBj21VOEQtw9uauMDUiAa1VAuHX7b+XWd3WTtUFa3Jh4AwfE71F2DUpVdRJYaJQuv6+g&#10;bQ/dLcVtGRmZ9jGDgzqXPRUiHjLkLvceoS8U0cTktO5f1WLX6RIbMgYB6RLt8lCNyQOxqXLVECNn&#10;59akXKTYqZ0itdLTrWZetobXxKXZVxaXBfblgWlyD8zDqcrDBgBrmXGqe4BnR+ECIsyxUYVDPrt9&#10;67ZCNodMSryi4nGkbo4I2PIiPVs2r38/fPiIAISUpTyLbBoE+yIp3WJDs0WpJNulfTxkwmMo4CT4&#10;soczPS/BQ3r1mmCi01KN/dNeRQm+eL8NJPHqReXaVuErPq/3kZZ6nsVeGwOQqJ676v0RwN/9Seq9&#10;sxbdilw/+xSi4jMyLphc5CfXhDhpjgNVZaklQxBTx0PUDTmEN337LvC9Vx4WbnuAHX/TOoBOyBSg&#10;6lXFWsDQPXkzqN2T+8mFsnzC8NIHVyPDjwHEIBpzHOfNNZah7bbpFPstQsu0eY8UUeSevS4OF7bT&#10;p218cgD/rH8taf3q1E2tZAPGscqaNGxafL2dBEPjXGHQRTZcGENhvwCyEE3RSC2egdfDPREhUUKR&#10;+OAcrKY7NqX5Q+7qH+jtnay6v69LPwAoYqQfuFzncSw8lNKmlJkrOpq0RAyVlM1LstJuG0HDGD92&#10;9FB5QnnjW6q61iOlduPSNVVWUw0DxZWpHbFK6ALlKWWHlW1eggQslSCdA6bGRzDQSe8kprq5MeAN&#10;iMKzn0fTydWJDfr2Q3eK+SxBLkGsJSw+XBCVLIgQuLWHAMcH1aKShUDUDQvIn9fz5qAYZGENGMGk&#10;mz8FeWx24m3EIPEAcNjqfRWS0kaNapZyxXrz1jTPxnADnPJ6KdgQUBELDvTM76tC0isSuItLIkoK&#10;POCBIO4J/6QbK0NnH5CiW1ImDGOFlTMkBYk1vYqFQ9wTy9XWK3tAc2kr78Hp3wnA5lg86rO/rzX7&#10;n3ve3//DP6xdOfH6BBBl3dnSkoKent4s0+IRoIAHtUa7pXwXlkQGVsjo1a98TQp8t+tzjI1iMati&#10;qNz4eMeiMBXeL+0Drdsls9ZLeV4ZHMzLtDIg3DTNioyxDo2wrnUOz6df8zUgtjuExYFBrDrtMYqV&#10;2QWrsJVA+Zw8TC+/KgAkpTA4pFBLrbkS86BaIqSckjKo1MqXdW8o/zF5DijPPKyYOdbfkrgdrsKo&#10;jTInMi7AlH1lcicNiXQilFpWWUz+A/fqNE+tL86L0uFvqmO6RLj4GbSIp39Ot8IwZADdUBz6qPg5&#10;jO2igMHcPKTRobJbIZSpKcKYl2wQrGj8BwSOievznO4RIiHf7MeQgC/KdmPJRgiiQnDvm+xq2fQa&#10;5O8x6hEiTcMuQa+zcjRb+fy531Ljcnzuy6Y8YMwzxRFBRDMyezW9DpArsaGCU1FDnBgkyDM/R4BC&#10;Z+YYIEbzSI41YNMNuEy91gCGjrvqNl4575yHVNusAwPIXZWHyZkSKHIp9xkRqy8rayt7eRgU2sOh&#10;uZFnjbUzosqUCdr4CVciFXnWFAlxFePhsagyw2RYtxrAKRFEWR/ptVm/Vddpirxqi1TlHiGaB5+v&#10;GrYV4OS5OuXyw+SCibaVsAopl7GkWBrniXT89v1xDqd47vTiWbOQRU5STkA8aBpYfD9x0cNu6+//&#10;/U4gsbOwfpSNtvNk5KR2TtRO7+90zLazokOrUqRW/6enPyo//9nP3JALJbqu2B7W0x5Vojt8cF/5&#10;3W9/u0xLcMyp5gHKcqSbsITIgRJq40pDHBJCX6FQE1tHi9+WooBHVGaUW07ZGEMir7nXBYVpEHgs&#10;YG6KKTMGjM6A7EJSmlg0kMpIALVwp+UyJY9lCeK5yOXSp/N7XUSw2u/nmKcQyjlpu/piMxmc2gWh&#10;78IlkATcNSkLT2S8eTUewu3cL6UwqbLU/SLiJRPZjHQziXK9oTCCUMkrLSW7HqsllsKvv5+0L/p2&#10;yAqsFjVMd840IutwbkiNd3SeXimbu3cVy9Z8DLgpkc6rMYfc6hcXxJKFAMZ8Vn9TXpvrpZsv18gD&#10;wLMhJP6zd8YOS/rLCosve204OGDFVCBWgIRyJLRtyQv8jU5OOA4bol2ZQCoTjB8ApjfjxLolxdFA&#10;WiG0Jaw4E3CjuJjXjtYY5xxVTxOHS7YUWgIk6zO8Y+3n0rpT3Hx635TDgOuq/7Eq7wCljWmVjWh1&#10;10Irn64yMj5pwb+q65Ljbrc+YAJlRLhCAALm8T613rbC1P3jGqcTKc+z5rghPR96yvziLXs3LFDp&#10;OiolmLwHexsEcHLtoaDgdaRCtYWX8WxCKgHpvf+PK4xB6uKlixfKkWPHjdSzLDw/u+WepArrWZXB&#10;nhJHgpskbNMvcBL7D9AfpMmcp+yhYQ3LOcS1sEyv1izzn9ap95COs6u/emq8PniPvU6FWIBUDQWF&#10;BR6f5TrP4xj3BFTNtZ/vRT0a+gpFLRaHM+GNAPZJYa1Aw1Vpk6Sdmpe5oXmWieSRPsu98JMMgvg7&#10;AoLu7QNp18CkyidMNx03qro68EwAtUEQJJtLRpNScfFMEP45p3o88FrSq8JzRu8OESvFsUGGhzyM&#10;sCdzC7Aw8DWHoV1zxIYN3peKAqLOBaVdyTIKbyb/w9ucMis5F84qYQ7YB8wN/9VUY54z5447ae3R&#10;6olw/5fKRfl1+z3nytfFSPSoxLXMW6kgPr0vDU/Ew0AEUiM2dx6cSiIuVjd+FRy/7gb/vj7fCSw8&#10;7L3fBOvsJPjzGbajxIeN33ZgxVEg40GnWZby6Senyl/+h++Uq5evKIVupOzToh45QAqhursJJHzx&#10;0amyoQX8ldffcCOZfgGDk4+fNPkHNDgmxQfpqltK1vhbcwJTHIY6JZ1Z6pTOZqEb1WsRkAoUgiF8&#10;lEFoY/MiZHDdixgmQXZb8eV7d+45hXTvgb1lfFJ1EyhLrX9YX85GoVMeFfTgArhBVNsD4XsxyIgN&#10;nuAzy/MGdBFIobyvLKn+vqHy/nsflp/97Beu8kebbuoNHJCb9/XXv1JOPvFYWHty79YrVSTEQn+w&#10;7HO4CsMlyCt+J7YNkVRENimciEMDruL+RpQX3iVf3Suvvl6++70flLvK2hhXydrdapa0rmddcZqf&#10;rofSkQLqk6CgZG6orLhGbv5miKK5Fpvr5ze1Dh66f/4BQAQWrz1PjZtwkTLSzag2Wec4LMEwPsyz&#10;Ya1U+dGlFEwbYbXsr9Sf3e8evJYFxgXCirLA9cfBIyLLgnswQ10KnfUX6wwTFFAKmEhvRbVA4TSI&#10;pJmWIT3l8l7pu8D94r6ONuaY8vrc1IK8oeAl9OscKCYs/hV5tOiOiWDvlsAHCAEmAOisO0AV3yb6&#10;0iqIhA4z2TaUE+uD9W0LT+sOvga1Ixirm/I03HcxpejtgPfDvAgZgICIpcVl8Tx2uVjX1aszZWRh&#10;WB6b3R7L3N9ef4Bo9jTjYz0vVzsWtrk8KO1wrlOwzFZ8BQieYtY5/5gNZ0CAAjEkIo3Q/BQrtVBa&#10;PHeCl2xA2NQZnW50u8Wra546D8kfQK5lejNXcbv3iH/6XuyxsNzixjSG1HxhTfiWkUdUAZWXTD0u&#10;eKaNTYUrGb8t2lfLQGBtORLfI0C7R/wYZSE4xl/kEVL/nHl5Q3sJu/H9LYMI72mMsOpFAOzQI4Zx&#10;61OoOBowWvo5W4mwCLVQYgpCTyYJ1VBFH0BQpOAfRQA8H/pvw9yP8Pzi3Ul5whqFvAvPzeu1yjR+&#10;T2OJMBljhxe3qbeccOq9pLol9drBcMs1EcCqCQpsBAGA8PqwX6sc9xJyGi26JGTmA+GMFPQeDiO3&#10;lE6xy70Q+G+7bqwD+OCPL6NoH/rlvIdHHfCQz5rCuRMI/Canayu/7a6bPMevu05nrDtc4EH4WtVC&#10;++mPfqQmUNfLUyePleeeeKIcFMlnHNeYJNQtudGuX7tcPvr40/L2W2+VI8ePl9/7gz8ov/f7v1/+&#10;/f/y79RSmHgbkQtoQPgHaiMkWwBUp6zZGGZPh7BA+a9po1npOQWOaG9sqKHhMaWL3laK44fl9Gef&#10;lTsKrdDpc3R8rLz8lVfKy6+9rO6gQ3bhEodFztJG2YuNwIhDG9VVV+eO9ZLx4LBewhUGZwDByMYa&#10;7Be/Q+WRv/t33yvf/+4PZE2u6TrysIh3MKpiPOc+P1c+OfVJeeUrL+v5/5EL9qzgcrRAYQPqt4a3&#10;Mq+Z1l57rnCBE/8Od+M62SzEVHGRepNrFAl7aEDe/MbXy/nLV8s7v3rP3pub126UL0QYvC3OBApC&#10;uKeMidj6kqqFHj6oUsWqqhe6KWLQzVjmf+r63glg7ORdCKX88A2502dfZk/k9/LnpLwMhBua9Isk&#10;lfGMWOJZmjh5Ak3BxPynwNsusAgLeDXVNUR4AIJx8AtSQTkWXYWZc/elWDZ6AkTYwmuVfg6xxbUi&#10;vS7j1JHv7/ALXJ4a7+Xeg5SLWxxFFK7+OG9ckxAAysqWrt7Pmgpm8deaK4CDZkqjxw0uU2XvZ0Oq&#10;fA6eLbu9Ejvn32enT5eXlMp5+9aMw5qEOOwltHIPXEOFTED+7GwAfPbT9evXrDxIQ4507VoDgScx&#10;mMNACEVMPQxT9OCOCHBF7YeaIqoLpMzie/YaVLBvgjDdeSEV19CSx8b8rgBp2W/E27Guy1Q0TdnQ&#10;5GLk9RgLrwusbBPOq/ejhil8Pv7bls8YxzhkwNoAyOj5FhZXNYZ3PL5Z5TVU+fa90k8oSPLEclTf&#10;p0aMlbHbvRd7kCBV8nLRKD9WeDxIPcbLlC/uPc4BRyU8UbnO01PjY5kG/ZhQaGBFnozka4S6jdHm&#10;exGyCXDic/lbVeHHYFRgFdfJe6sHRfiZ8eSf3nSnZsbIR8b87PQKvc81w/PEmTMjjSw2z7XkdRMg&#10;cp5WF8+0mGIAAHqBOgJL1M1aLcs4iZ/E//K7zUXYBBE5AJ0CLAcsv9/8mZOQA5nn2Onv5oDspPzb&#10;1300CGpajZ3n6RTIzfvbaUI6nzUQLcJGQkkK+oqKRu2WcP76V14tj6kJ1LgEybAWNjEyRWLLpMIQ&#10;wOZ3PvqoHDx6uDyp4lL7jx0pd9T7gnitiUi4/6jsI+Xuyn46N30yVFnJnIhe+A1GrloMzCWggkIu&#10;dp9BaJO1o++SxvQXf/4fy+lPP7PwnVaxpZGxKZNo3v352+UXb79dDh09WF5+5YVy/Nhhhz/6Wehy&#10;n2KWpTJrbpzcBO3FD+9CihYB5hoO0Qnz777/N+WXP3vHFfomdM2Xnn+xvKC2vIODfeWSgNTP3/1F&#10;+cmPf6LOm2PlW9/+li5H0R+sDrnRJbw55057IuORXJ97oZfDmsoGz4kx7wIwGjeeA3c3dk6X3qPr&#10;JyTQ46pa+Uu1/H3vvXfLRVmJM2rQwybEYnWDMR1/WwDwT/70T53utyLXfFoID1PSO3kkdt7KD777&#10;sLVmwZjepcbXmiDgYSCjKdibeyut9uZdeO1ak7Utl3ZsPCzrfL5thDAEY/2Xyib3b1yfzp1V2ekD&#10;BHPeb8s6RUlUoZxgBEHmOTVrP8i7HJ/ZI1mCPb1ROScZ/08FnkouLDyAbqQVeq41rgmUOI49Nz42&#10;qTTM687vz9AEFjzhnJwjAJXj4nqeHIvsAZEWOcomxwWOBGTLzz//3NyOXdMHFE67o4yUaXsuolQ8&#10;RMJ1l9oeVYn2WaWHTvepoqIsVrqiLouMaXADMBeYQAsiD1LBGkdofXOPMV4oRQjCwU/KZ+4cL6+B&#10;CsQyZT3Xh79TtWC+52cK90W4v6vlzLgnMMxxaoLKVMLIr8hAaNefSIzMLs/rpZHQ9nYSauG5ulS6&#10;/qpDZS291AjNxPNHtgEhB26VVNLIPAjvLO+zDi9evGiOSijWytHQWNB1OZ8hgSnPzVphXjs/y2eL&#10;oQzlfkX3uKy2Bb0OEeMjCnIo5+GZkleR51rFEwEgaBn2FXRUb4D3n/5BDI21GyCE3220OVupAgtr&#10;gwdfLd1bQ0GW31XF8yO8Z3RSjm+n7uZ3EysthtPxEOumtXENFx5h7aQAaoKG3Jx5q82/HyZkd3iu&#10;Hd962L3kNR71sz5Z7I3GhPy652veSFMZPOpZOj0RCc5w39+ZkSDSSY8c2FeOKm+d5dwjpTgqohUu&#10;+15Zyqj5KYUR+qVMD4poObVvd7l681pZr5X/6JFBx0qUI24mwhhLymNnI5LTOyyUPWAEGmQqtojT&#10;Np1W5UC/FkaEIn74gx+VD9/7uJwQQHj2yWfKk0ePlS0a/wgkXLl1s/z03V+Wd97+yJbIiy/QWyLC&#10;GjyD42S5yepCbwKwXHCueeE0tAghjAypX4XS8z7+8EPd94Ks+sPlG1/7RnnumedEaBPAkMfjseNH&#10;S5dcyddvXSsfK/zzxtdeEylPRX703ANq9GQOKVszazRUhcX1E0S0fnfbbIEHxcSpr+GiQ8T6tMDx&#10;UnSrnkF310r54NRHBlZ37t4up955T7H/vvLs8RMKH41F2qhCRTPiqHzx/kfl+xJA/81/989bTPws&#10;8JMWdOe62WlB77T2miAgx+8/d9/k95uu5QfBSQiI5h5q72E8SGH5pILnZzLzW7H+HQRdPgM/E3DE&#10;7yhJlHZ4CVDALhldgUFTpnB8KKsgM5ozUS16CIt2+1aSY7aothCFg6Rz53eyg2QCEJPb7FKP9ESu&#10;mfeQaY2pSLiHcDNnb5lMxQRgajdUwR0e27Cs4Uxwb5w7xz7vNceCY1H+H8gT+PLLA2rydk2Fp57w&#10;PQXbP5j802pbTw7/3bsz9oJwTe4dZUfWFoDaa7Baxg5n+HfdSy2KFe2rcaE7p8gAJecnFVBLOet7&#10;eDJjTcTxGZ7KdZLyML1wDg3pQ8J+7JcEgM2f4Zlsd/hM8jNAILwbTcBTAawt5LD4W6GTCvgwAnju&#10;1dX7bmCIJU2FVeyr9BA17zdABIZYkAQ5Z2cI4TN5ZLPmR+pA1g7r3RkdFYDlms6UyOypk/faqWe4&#10;H/qn4Adek1fVo2vPTbtAX45P7M/2/PCHzfY6fl6XACPvixqWAOxXOQgPiTWQnAb6gbm2zQ4OiZQF&#10;jMVlNRprnrOVzl6/2LkvIztjJ2jSXl2+atxwipTmz5jYPHFTSOR7Dwqrnc7zn/Zenrv5sy1wOvgc&#10;FSvtJCS/zNWbACKP/7LCnYWLMMAnPKX45x7lr8NQH9D7S1JKpDb1QfrTIQAKWnKPK5xAJcXd4iV8&#10;dv6MusnJwyAlNqCYG5YzRMMB4nIQlNg0tNKWvx0FOaZjKFSVlgf3uyl3PrjX+FfHQxa8evFKeV/K&#10;8viR/eUrL7xQ9ii+emzfvrIl996lG9fKAbnuX1cToO/95C3xJOblMdiQxTQpd5zCClqs9CpACWzh&#10;Rm2g5ebvXh/agJmOBQKHBLpAHr2E5GuvvlieF3g4pPBAt9zUWJq0D6erJqmCxwQmZiQ48Xz0EtjW&#10;x336STBHp269tilKC74qgHhqYqPyfmBRrS1XRjjTgaCUJUkow1bC9asSynMqZnSThLHyxksvl688&#10;92LZDclTm3JFpM87yvB4+713ynuffVpOyVP05te/Juth0aTBpity2y75NUC8eWy6QFPwppB/YI2G&#10;DHnw7fpmE4zk7zvtz8YIWhg0gUZ7nce18p5yz6d7n/fT+9SUBVloKF36TYOCkAFCPAF3U9E099f2&#10;fVdrl1Qw43VdhbubYLXqebTTKxPUNcFljmkCk8yuyOfh/bSmHS6UgptfUZq1gIoqd1sJIQ+dLljj&#10;DXn/A9pX8A/wBpB6CShxFkAFPjl2acny/pTKsFM34ubMDYXOZmoYQzwPGugZDJG2HMfduXPTc5HE&#10;d6xjKzztCZSMyX9VwXot+X8Caryfa8NhnTYpsrl3Un56b5BZ7bklZV1zVTtgckyupSZodsVMhyGS&#10;CxVasAUUGgAx4/4GohV0EYfPuhBxr/F932sNPeQ8t0GZQi/SjmQMGWDgGWD+bDwlX6ttDKfXyrVd&#10;dE5CEJwr5+iO2gsQykggwG3wnQVnwpGREjygzn2aYIT73UkfZnE+AKALkInobcCVtIoKBJoAhDlz&#10;Zd5EEx3GbwKcTsPd65L78DxEfQy+6nVTVXmKzvxuzhnPj2A1edMLIL4bGS/h4eKVe3vn7IwG+vHG&#10;8FfaMe/tUqvtsszBa95UvvdfAkjkBth+/VgcOwGDzmt60nVsU5B2nutRf3cisJ1ARX6/0xPBDkDJ&#10;sAHGxH345te/Xpbu3XTNAZq9ABy6KYSk9MIJES1HxWS/peJSh6S0EGIffnyq7D18yAzzJbmV+tfF&#10;K9C5YLTTTAq3FRuILA86fK4L5TojGyuEuhDyOtyXJY4VYkKUQMSgQA39IbiHF555pkzKrTqp9LZN&#10;bZYxLfJxeQRWROSaECiZEvGTuvIrUsAjw+TrB4O9pzdSL5u1BXIuWhaN74NwhkI5ijkSo/Nm1/qk&#10;7sKIQjeyJcqt29fL2Oqork0KG83H9FwSjFMK+6xsLGpRq1Ok+jGQJqsszXAPkkdfk9nbSjP5GLGZ&#10;3UVSAKpP2Sewv1c1RpCgCEtQyhhgBwhYofOfgM2Zs2fUr0Q9NVTP4ImTJ+wtGlFe/6CExzKWiMbl&#10;jedeKPcUWrqqzp9YKCawVsFiN7YJaG0N/6i10rnmmkJ5JyDQOv5LgIiH7RnuJ4Vg5/UfBozz+VKo&#10;c1yGcTr3Wlw3Y9ttSykVaICtcL02yWJfZj8mUEtXfCqjLHbUJLlyH6y17GGRisddCaui5T7gWuS6&#10;TSGJksfLgR7qU+pqgoo0DxGsZuXLk+XwRgUOEAKdjljXQV6ba2Zog2slsMoun4B/OA43blw38BiW&#10;t47X7L1F98Mhhv/UU0+pdsFHkXmg17LA/pBaTRPTHxtTuqeeFYDuOYKoSJqjq9NWsMP7DhlUJWjl&#10;UPtJ5GfMHHISEI4CcsgsMxAcLQmADtGyAsuWwegxiDydnUJY3FcYNhE6aAE8vc9VuDfGiBCD50SG&#10;kkERtVokRFY1Lg+ATn0nuAzhcdrcXHChL/hTE3Tqqs8TNY9Cue2ToYSRxvUoNjavVOC8FxruEeLN&#10;PYLlz1wxJ0N4gBF+FSixyjHW0qOV3qyddEVocdX8UdE1+T/LpIiyiwp9Oc0TfkoFdU3jwV4K1pn+&#10;8fX8Z0DF6TzSMXg+Bq82E8Q/3Kw8M38iBwOH7ewLqGPPGFCzBNJ4eEj0T/eFXjEoAyTaa9Ju0LZj&#10;nQi+mB3bmi63uNcmaAgySLpPPDv11RzEplBqCtPOgc7JzmM6f+50bt9TXRjNcz+oxDVPtRFNHM9z&#10;xBlbgrY1Q9jr9dmaz9Mw+3wtFpLXBWGCRlUWNmhUUYprePHEBFI4he6GTyql69ZllLSyEA7vK/eV&#10;kXH71g1NnrwR2lzERK/M3nEKGjUSBsVzmFuYF3FIqUVSxlPD2lzqnMi5scjZCCxwNvCqcvK3NuWl&#10;yO6D3A8Xp1CISej12QUCxuWxOKJ00qkx1ZJYvF22VCgIh8WcAMe8FPeqWoj3y71/YPdEGRAhiHgw&#10;paGpm8CLokx4PFvqEtBZBVRuBs8FqB8rg5LTWoBLm0suJ7xrSn0VpMgP7T9kwhI1nagpyQwcP3Is&#10;LH+14B6l9bbclQgLE841JghLMkZgcAfKrnyemnbJTZk8KRIZIGJ5Nap8IkAmROC8I/IU1T675OHo&#10;R1BpNwxI6EzKQzSs8NCL6vUwonDKvdvXSq/SBOXj8UaiNTBy9fjBg0XJt3IVC+wgSNikCHDDdizC&#10;SOILbhHCuH5Wx6hzzGLBYJmEG5nllpZyLL02p8d0q5YE2b6Om57BnItOwdvcN8090N4bjTx/X7l9&#10;jaaV2QTwHJHX6QQoIcDz/tvFipqAvkkmexiQSbHpvYxVVa2lZLU3ZUF6Feqte2wTgDjcVZ+KMFvU&#10;lgjbLM+V1i9pwWtat5E+WFMhtXeIwRtI+fvh6vfz6BzwFVzzRP/hKdgtPgOfZRgl7zO5FSgfcvFv&#10;Kyvqsipszmuv0+nTHkwX4SKFu98l7xHoG6r9wrnpmwPh9/rN6wq17ddeij4dBjfVK0M/ETxxbpHD&#10;EoPbQ3YG6xRFo4W7ofXOOqWwHdkAm8TAdX6pDnqo2X+Jsghepf6ymUusPRRNiE68RLVwVMM7nSGr&#10;XCvh5WH8okJlADBKXwe4aHqO7ENBzurfmryWfDZAFgIGhA42N8YkQNXTua4KpipRvSUyF6mS97cy&#10;W6GawSaAR2XNI+KhAfxZPxMCE5BVu5UZB3CBDwF4dH0Ia1E1SZOypxR6drbmRpsAP0FEAK8YlPx+&#10;gtVgUiqVeP++MivPKnMc1TNjgzWBeK4Phwnrmmqt4x1/qTu0kmhjbcc/ayJ0VP0r8p22v5reMYcy&#10;gCN+Ru6ZVGJKykveunZQhOZiNT2yAVdcpKWM61VT8T7qgYxiq1J9mAXWCSweZjE1r7Mjunv0yG7/&#10;lIFsPEBrIPO9Bohg0BuYIYarc+T52wo0QIkP8aJjIeWlE2jF10GdWP7DgyOalH6l+swKjcrdKUW9&#10;po00p/LCPff7S9+CuiGCeDWO1DEYlPdiSeY3wGD3LhEfh+jrrg6Vus6g8tzpU48LyiEShTiwPChK&#10;E7nMYbMLjsTvTuGJMtn0Ejhx4qiuz/E0FVotC2vzuq7ctkrLmxia8jWOHjmkvPx9ZZc4CSsochM2&#10;9ZziGERj3Hj2TPHi8YMkFRaNM0JYE9RbcFqeWMriGXz9a18XcVHIXG/tmdrtzbuqehnkTnOOQQmD&#10;PapuOD41JsKn7kWeF9KtKFDrUt4W6vyIaztH3IiJG4qULls3ckcvK0Q0IeVMehzfpQMk/KFuuqWS&#10;ZqX02S4JwX0S1I8fO6qfkzrHmgSIShbre+CDRQnwOc0NAnSfCn/1LM/ai+SKmzxjBdVOhcLK8dqK&#10;9sEWvhXotJSyx8jwwLecwtGNxnI8MSWqsG75BXM/1mXWtF6aeynf38nrkJZ35x5rrns+ixbu8UrP&#10;QZNlz82FJyri7wEMaq1/g4eaM098lj1QY9FptTXvsVOQNg2J9jOmgGykmUmwQZJLUNHkIKQrHSKt&#10;PRNOawzvwRbk45o1lY2p8AzwfXsKWGMtgBFKKOoj4LnQc2oP24CoAKJH88zadTdNXWdV4APCm9MX&#10;9fDsQt7judIdzO8uhS0v4KI8CjTWW5CXy30d3CxPykvdLDfk8bhyfabcldU8or4hVGXl2qtat5Pj&#10;u8u8sptWZhe9R3vlOVmGi6H9s6qS2uz2PnrC6PglPRKZJqPaG0O0bNeYLGhtr+u9IYHtAY3Nmvb+&#10;qt7rAQDrnqlG0aO9QTRxTajC+1+NvfBUsHSdfos8sIeJtMJmqIQ5T+uVRR6fbUCOhmvh4cMgi/0L&#10;QqGcNQ3FmK/geUh0UOKehpC6T5fD1jXc8lugYV2G0yURoFfdeVMyiXo5Sh3vVxGvTC2PktE9AmeD&#10;4pZMWQZQ9M+N5Jg/zduCsq3OnVfzLp3b7erNu1HFUgGcEZFao76NE0MNrALwCOhAOnT56tpPqO4Z&#10;wgnIe99zlVPRPC08LkFYrXLB0iN22jY95VBOS6H48xYwseoJwypED3cVpEg+gi7mDD0nHtX78PD7&#10;ZlpbP/W1vUTpRdXhBr4GcUE21sLROcXik9zPW3pk74ymcIkHy/+rD+kN1fFexwB0nuMf6u+HWzJf&#10;7g4soxMbMPZ6I3WTAQJrvT570+uRQrAJonJRkJrWrV1I+IGqeLvEi7i2OC8X/YrckhsueUutgtWl&#10;Nbm8bsnFJoEgBbpblfs2JWTuqIb7KuEE3JyAADYawhCBBztYyg0EPjASXhE+c9yBl/aeCWcGFC58&#10;HemeEoITu1QFU0j7gIrcbGlhX5c7dfP+YpnevVvlgMfLDcVqe6Vo7SrUhsZa59nddArzPVnaKMi6&#10;4O1GZamymL122SBVwUAMkiXU19VXjqlq3JpCJmysaVn77o4nN+SWkO/dWSl9ihiRBWJnRnQw9GbR&#10;OCFImJc2ro7njmZYAQKdeYFwk6U1qHBGVPbUhtfGc5oWXAkJnCWNOVaBC2tJ2e1WOInY5aAqIo5L&#10;WPMenhKEHPU3yKe7L4G2onAOIZIRlU3e0JyY52qAVR+euwPMIFQJV9XUrVSOTeW+k0fty63Wv/+j&#10;UoEnQMl73Q5eHpB1MR8tiy4WQ4KXJmDYyQrLMUrvQX4vagPEOrYnwLH+IORRPKh1XAWxMRVhOe4E&#10;tqJORIR3kiBopcI6reGWKNFPqme74mNkg7SvZwEMSKjtv5Mhn42vuM9MDcxnygwG7pHPIO3dUwfZ&#10;88oKeuLxp0Nw16WEyH/xxZfdefLWzBWFA7q9X6i2OKJ/6wK4JHevLUvACwhtes/p/nCRiWtEWveW&#10;9hwuiV6FMsdWVQ5cSmGtR0TRFe0Lam5hnWsdT+gx9wlgcNy85MmiQUUIPrZg8AkQgtxcyEdeyCE3&#10;iQIApxFR5z/WTgUdADm8CwpbhAeDvSdgQBaVxo+QUCfnwCEEIglkuPG5L6ysBIUZvjhz1iEIUjfJ&#10;VkOWksFGyATh19TBVP3FAIjyzVEECuDI+rmtlt9X1QgNz26uSTxJBryWKUF2bK5hK/TK9WAMcu34&#10;eeuFreMhcmsubt+ZlShQRo3l585798vqL6+ODoDRPmOMN+vb6cZWWnqretwCDm1/ZaExe9fzeB1y&#10;V03NDihL0LVPjD12qBOx86Nsvx2+mGSevHE/bAVJnZ6CX3fOv8/Pd5qELzsxO91XAgg+owpfPjY/&#10;W2PClBlZtmPFrWt6w6n3Am62FbnXpcSm9u4rc+rMd00xskmFFajyR6Ep6t/fInQhTsTzzz6vmOdQ&#10;mVO8flTeCwr/rFOWmaZQ+BJ0PfK/N4hhgRYRsNoYLHrtJTPqc1H3kmKq+9gy8mURyBpXKeBuNRZa&#10;XNX1JFTWVYhJEX6RLsVSV3GdVS34u3ML7kVAhsKE+BuQtFwIhlQxC7ncpNV6ZlPp+bIxllPHtEFh&#10;m6fAQeiQbtovZX1Z3pPZubvyTIy64t+qPC4r65EG16vKlX3KUBmU9eCeIfauBUiAi0C9igjPhIeF&#10;j9KyD+uiKhoBn1Udv7BAgRrdt54VIETRHSwfjsXjQ1x6Vfc/oXQ+zotQ3yU385KKT83NzpUhjcFu&#10;eSok+srsLfU5kIeIMNKQ5mZF80AsEQuJ5+S5IcORFYOlEJUOY3V1KroQsBWU1wWYWQpfxkv397mX&#10;OHfnPTSFaKeCTk9k1klIZdAMXXTuxTwmz5trtvl3jhsjaZKuM4xiLW+qsBDXzSyRvGd7c4iZo6Sq&#10;JyIJjeFWj/VD86f2+SNu3zxHnpv36WGR95Xj3rx/njurRXIcoILPsyZEtiJvZqEA0Al/jGgtLahY&#10;0oXz56VMsaj1fBTRIsSlc+0RsN+7d7/SsT9UP429Jk2iOPmc1PGJ8SlZ8P1lDvKwNtnIiLp86iYH&#10;Ffrso1S7tiDl2gc1dsPaK7vl9dsl7we5tmsKka5OKPNA4zEpAD94Z6Us6Ph7j+0uF4YFtOXxXFlS&#10;Gqm6W/aov8mG+8kgY6IBHesdzoLli3lYjRBvXUO5ztlzZmtVj0XMW2zesIZrwSsseZ03vIwxl+7b&#10;w4YixVug/+y5C6qrc0PPPumQE16PsTF5VV0ML8AhACHlMqXC8VphVDnsY/d9vGi2Nat97hCLxiTT&#10;fPEStcMsUQY810fcU3haeCV4bBkT3tmI53YRvC1K4WYZ/x027077bcc9XgHNw/d/hIKSz9MiaD7k&#10;mlEoLu7Xa1w/keMRzqje1DqtWYb+N/JENK/bRkA74Zm/b5H2D3/+bYgtPRGs43orabWEMtv+r0on&#10;zQpd0LShpYj7icNro41JiV4X8t1Uwy1qRawr+2FpZb5cVmbCfdrhOr6nMsBqvDOq3gMTo7sENGQ5&#10;yJ1J61z23TItbPX7bjG3KRMNqLgv173LWRsxsiCihS5ud7wQZHF0ywtx97aKqqh3x7gUKI2F5u6J&#10;q4DrXV9dlmt0UOmi3QqP3J27Wi5euV4OHDkqr8mC7qk2wuEaWGsVPDWFaloiZvlKSJu7ABB1uAcb&#10;SbE2VR8kT/62PC80wcKSpAzxmrgOw3If3rwj/gXgQABkXmWxTe4h/KA5INwTI4r7tJ1HHkKD+yMt&#10;Mbwvdknr2m49TAVKjRkMbmLAeGwIZ6Q1MiJghUBac8xyy1UCYcnTLC1KNi9FzBhyqBp4TSmjhYJd&#10;Q9qsg3av6js0R6Jmh1zQhJQoT9yvXhxZy6BF0qvCNQVPCKaofZAW7H9tICKFZduLErsjwURa8/ke&#10;P5ueuc69kp9nXLYpfHM9GSwj7KuHIBUCa9vdHKv3p7n3WuvPoJ4QXoZS2u7gBB0uKiWruHnP/E52&#10;Ba3CDVqrUoGb4A6ucAg0t4AZA5WaLmrmvRQh8weYyPoXqXhoU7/93uL7fI8W12urCwpp3HR/jGHt&#10;jQjbSRmgFO0l21377BxwN1CanMGXomrlprhTyy4LLX4PxFUZAHtkvR+TB4L7XZscKgvjdB1V1UbV&#10;Zhk5f7UcuT4nMrMySkYVXp1WmrnuefK6rO/Z1XJ1UDHwPl139FC5ql2yKOXnWjPaT7SHZ285NOQQ&#10;afU0+l6DWJrz1pbYjfCWvTtZNKpWb/R5lZWieSU04XPD7dB16ALKGCB1AZFLS6vlkgrD3bl9T/ua&#10;1uCcG8VP4SiqfuIR5F87cwxRgPeGtcoc0noejgnrCEBz7do113tI7xTpsyEXshYKUxF9hXJfJsDM&#10;v5nLndawd0mNFZqXkI6KVC4Nr2qnZ655zm0AvPGd5vsBckP+W7Y4lTq4I20A9KAebcoaH2fwptYA&#10;MpZYe+EDjP2TyCvqROionGyzcT25bQs7hEWQLIIkVl0ZuHa2g83WDT54ew9/Jx+qKQA4Ov9uWjDN&#10;s3S6Vnf6bKerNq+Xk9V6D/QMUae6qGgzi9Udrbu18HDps4C0YNn0Zj7XQUgB13nNRNJMAvXe6Zw5&#10;TO+MD98tly9cLrv27S/LssTvafGi1O7JtT6ipkUrGvZPPztXxu8oS+OxEy4E1aOCOICKwaEJcSfk&#10;kdC9DCq8AWgYGqJgCXHbqP/vsJdjLhlz02+0xhYIGVOY4Nz5S+Vf/0//T9drOKlU0rPaiKviJOxW&#10;JsYTT56wYlzVWMyoJOwXF6+VDz75ojzx9LPlgGpWUEoVwdwrRW6SZewQC3TrbK+Rqr9rzHlLwMV7&#10;iHXjHge4RfvLkaPH7X68cPmS3YyT01Nyry4KuMwre+RWefzJp9Tgab+9EKw/lDSpZt5Y9Xljb3pH&#10;+aK5dhyF1ocbDr0BRkbZAuJIiOvgojRygeseVlchMClkQ9lZKYlJeRuuz8855ky63qx+j/a9YoBL&#10;CYyqeuCA2PIj6m3SL08RlwUkqEUoLgiHmOZl0VCd9L54JlhH/KPsOSGnVLipTLKbbq77dHfnWuq0&#10;fB+1v5pWUuf6fth+yD0e3Ibm+LUBQMuqrzUH8l5b0qSePMfebl4DuhDAna9OcNT0aOTz5vg0j7VV&#10;aUUS98k9ey82eFhcK0FOq7ARWTrVTd48L+mb9FNwk7l6zk7vigl89blRjvayYBnXGHI+X9O7kM+b&#10;ACNBUADIWJd8L8/N/bM28FjM3JyRcrwt79+412t1LlsO7dm912t5WaRsZA9gZV6AY3wPnCEIDwpV&#10;6P0pPddRhUpfXOsuj11TC3ZVoh05caCs7FNlXIHfrptzZfCa0ssFWAbFv+imidnMbFlWGHVgXt2E&#10;5XHYNa+wwKeXyhEZEqO7xssteUxvDSsEIk9lf+WKmDhJ3wqK2bH2ARR6jpZ5X2V5K6yFB6KG+fnJ&#10;P4cmeU7Lh5ARUSCpuuDtRWLvh2yBJnHm87OSD3dsnIVqiyyxMCDkAZJHc1D1X5rynpsCJDDGCfS4&#10;5w0RuJcFGE+dOhWATvL5jlz4zE2Wk96mb6ri32ldZ1Gzzj3rGht1LFp7IQFEh4eSWhJcm1AN120a&#10;H3le3w/r1cPVNnO9hr3nwrjqUhp+Ww7U0tU+PhwAD+zDmnnCeQghx16IPkp4mXLvObSMDG/FaJsz&#10;/ggJ1bjXR8mx/6KfNTf2f9ET62S5sFsuTrINNBajUgjEN9mso2qDTGVIt8uGQIPdWmOCpCs2+Cm+&#10;vebCwgrh3ENDw6V/aKzcUte+t955p5w5/Un59KP3y0vPPFUeV52BOYGTcfXHWNMCH9t3UJt8UOEF&#10;Wb2yZP/n//dflGEprZOPP64YfV956bmndOM0y5JLziQvuR61ufsdglgMZj+VmFhjLldLwREsuVjE&#10;1Hbn47d+8rNyTUiebpXXLskbok1EPPKs5NDHn3xcnn3h+TIgK2dGMdqZuwvuXHdKoOa47mNV3ggW&#10;58iQBEotW+t+CnY1Vk9AMKYsEBAGeFXMXccFWvt3AKq4qV6Nz5bG9NK1mfKFip106RmWJQD3qDvk&#10;Fb03OS1SpxS7PWo8l4vgYKnYua3FHrE/iKt4GgydqkJwaMGhDuKj4YrsE1mtF25EDQkBvqyIdIEh&#10;eSImxaY/f+aMMjhkiUzvAu04VNJHqVzcuuK1zC+LN6L6+8MjYwYaa+7voCvTqlrnH6VJGp4PbT5Y&#10;37in7aKusfGwVgJsmQxagVCIg3b8fidB9V96H/y68zXv4QFrpa75zvtsWmpNAdxU0C0QhZXEOqk/&#10;267j7VwG9l6cKyyk2G/BXQicUosrVdAS54yCPLySzGleDEf7esGjaV4zf28WV0p+RL6Xje3IeGqm&#10;mbp8ct0TOa685yJF1aMC9yb5EPme+2XoH/cIme+msg1OqNAZlhpeEnhDA/2jWnO7o4+GQDDramH+&#10;lprtyWspL+aK9umYwhtTen/65t3yxsBoeY6wpcZmVGGLfhkDXSuTyrxS4bS7i2VC/tBlrfd5cqbv&#10;bZRhZWVtKENkVWPWJ2LxkMiT0zfV6fQnKr4kwubo80fK7PP7y6w4Fn2KjbjHSZ0IxiMaVDGwESYw&#10;kGO/WrEHBwBZ1JK3FSwwfjbGbBiQ/cGgklVmy8EgIeQK9XY2y7mzl6TkZw3cDULsBQpwFlYyxMvw&#10;+MS6jBCzO3CK44By5l24D6R3YxB8oJovp9X6GwDCMYQ2yJiJPdpW0rl+m0Zvrv1M200jIIFsgMs2&#10;SH1gvyWZkaHTtZpeSP7elkpdZWj7jrafzc+sMSYEcV9kW4NukWHxDgVn7dft9hrOQ04bNESRrUjL&#10;p5NvlzNVxDX1S2TdDlfCrz///08dkUIrhQB/k3q4pQVJD4sZpReCWEdFMNyvTIYxEehomW2rpAo9&#10;kFkIs9goOekgUhQTAoDF+eHHn5VP1A+DgjLO4ZY1fJsyzIq3rd3uLjcVd5/WopX3sFy+dU/x9wlZ&#10;vAon9I+US1duCYAQRugpn5/+ohw/vL88+fgJERMPyloR4BHJcn5JqYe6FfocmP2EYiLaUO/LPeIF&#10;KPBCfucv/oP7cmB5j4qTMKjvTx8+qFLckyYyXpUl9OGpj8ueA0d0f+IqQKDsGy1//r9+Vz/7y+/9&#10;zm9pYcKcZjPicsSiD+9AeiByA/EZ6VNqllFJcHITS6AtK247qyZjly5dEplsthx57Akv/ltqe477&#10;jLFbUM2Lc+pd0d17RmGDKROlhhVigXBJPnOQhqJyH7FSwgburls3rHeM/W9ByNrSs6GIQNGRPULh&#10;KgRR9NMYUpvq8ypJ/h9VBnxVRcCefexYWZIX4ojSssh8IZQ5K6vv9u075dOzF8r5v/tJ+aYE83Mv&#10;vqjKosfLkMZmDasVwafNi5Db0obrFb8EgBY58CiQAC2ZucD6CTd/WAfNV6el8A+9AbNuQq7xIDK2&#10;a0BkvLnT8mpagJ1COIV706rK9RLehRC4uT+tlwIxxmcGC60qPR6S6EDZ3oPt80UBpuwDEAorwG9A&#10;iwARBp6ag/BcRFoua5dwFOz8ACpR3yK6ZuIJ8Q35HM1nbLqzUSDZH8JypsoKvsNn6UVxUzgtsA2V&#10;Z78vkE2bcBSjuYi6Bvp6XcTDyfFd6u67R8TrGayEclvVVSc25b0jQDi8WXbLW3lI53htUB5Fzq8i&#10;WUtD4kztHtBaVhr1bYUxJM/6ZEysyxvRr1DHOoprbqX06XvltjpXjsirNh6p4wP3VItiQWnZkj97&#10;nzxcbmptk/6ZHJMMW7D/nIHkuYlV7JFhTbumRGT59NE7p5vW6pSCqjwHWxbMHZ8xQMx1lFRHFmMz&#10;9Oo+ycbAg3r9xq1QrHiIq4cpQoLBY4C8jtLkRsKOCc1JITDu4+OPP7b31T1S8FTquy5z7dvtdv8N&#10;zh971LPb2nYJIvxW9crHeqFw1ZoByIT0RIDBIOPynaiWSkoq14xmaD5XNXbguMEtsSeEkFgt6sSJ&#10;M1Mogayv5/GOzqWpx3Nf2iMEr8N3HtRznouihq4cjEFc+3y0Hiz3QovMGx6I9ET4PrM2SAPEa29V&#10;Jnnnmf7/6O9mPjkNoGbl9vvhX/1N+eD9D6zE0MWQ7sjR/vq3vlleef21cJ9hwbBpWhZRdQPDAZDw&#10;AcmyWPl35swXshgoDqVQxohibEK+a2s9trr/H//TvypXzp+D2ixvxKC8CuNleNf+8uIrr5dFCYgN&#10;KfDB4cnIR9duuimX4x0psdOnP1eFyfHypLpcfvVrrzp2yabEW0KlR1u35iGwh8MlhlA4pQ6hP/rR&#10;j/z+y6pGeezAwXJIlvf0hBS33p0TMicb5Hs/fqucPq9iSr33igjfsnZGVOhqufyHv/47hR6ulW9+&#10;7fXyuCpdDsj9z1VWhHpZ8N4IbBr6aug/0ke3aJ2tC9INk8IuNwVS7iqWuajfDW603y9cuab235Ny&#10;QY7rGKWaqm7F+++/Xw4dPqCN0iWwcdXhM8iKWAjOxZe7clpdDcOLIBdmZVznxncyFoDBwCLihN2U&#10;BdW9UOGTfQojvEdeHWKdVKr78+/8x/LZp5+XkwcPiJ/R77DHuUsXbEmSdkYjs1WdZ0Rhn7ufXij/&#10;6l/96zL2nb8sT6jq5te+8a1y8sknzeegONC6SnQT0mCfEe8mvprlmpuluRk3Fwky8q++CLsR49//&#10;lt6IFEyIhATK+XsAinjf7k9beyGwUxA2wUTTemt6JDqv0el9TAVtoFW9FQDlPHc3wtTlqJVJUwVx&#10;npNj0iNoa1b3Szoux5tvoPGOe9X+k7XN2qJ6ZJTj1rFavwAOAAPAdcP1DDJttWb5VHnZmquGJyQL&#10;FaWVmmEevoJF3DTk3BxLHrYlpRVTdIoGdSYHC4QPKxS2rj01pL4Zeyb3qa7LLYUvNsVlgu0vDoHA&#10;qdRY2bPaU76tbrVPT0lp9Cjmr3CaMpW19uStlMxZn5ObX8+xIF4QJsAo46Hz9sv7ubKu2jDaH+OE&#10;dwQelgdIP9XcKnQ6JRB9XXJndH53mVL6JEDcbKJARTYAUDQB7PW7FH6/BttudR3neja61jBF6iB8&#10;48LV3+sCaYtkOSErXJpelq+4DZsCGl0SGm7+RKdWeWXPnbkg7tSsxkzZJy70BU/KNUV1negfZK+E&#10;wpPmjLHnM0ylv0dlnBwRrwv4siLPDiEMjK4teVwwaFi/ZGgsy8s4LnJm2NhhbGx7VVASoSpqiDD2&#10;UYyJjBM8T7lX0tsf7n/CPhoJbBuNAUFdB6vQIzpHt+RLgpcE0lzbdaN4Do0ROsCcDMZTaz2b3zXX&#10;O9/Fc2WQBeCHisAD6G+nGwNiqtHX9AaG54j7IrQUHh0wxbAAZ587RvMxno4AFN7nj/RtZN4OR0Y+&#10;Y/unv87IPsyp0jHo/1X+WZWKGdD3beUuqrnN97771+XOtSvl5eeetjJgsIfkLbiiSmbf/au/FNKc&#10;K7/ze//IkxNIt1oxKNAaQ//xj35c/uqv/kqVD1UqWgIIBQIJClYyhLte7aYuFtOyMgZk8Y4p+0DU&#10;PoUJlsr1CxdK13WhYgnEaRVhWtMGp9qiwysIPFksEBuXpQS/kJK/fPlyOXLsoEpk73fYhdQhL/rq&#10;FuzRd1GWn352pvzql78qVwVcVkSqevP118s/+va3VVhJ3ggpPNVVchVM+nXcE2v7aYVazsulSmc8&#10;4v735cXoH1QGiSyEt9/9yJ6Kkwf3lJeff7a8oJ4a1O+PNEhcitEFkJgcm2pFrZfnRYRiw+Oq5T0j&#10;aAmzQbloF5WJ8rO3f+kU1iH9vaJrstlWZVEcfexxZWlo/CTk8Bgg7BcU6rivnO6tu5vlujxGcA0O&#10;qfjTqBY7ZDhccOHFxKLBQkW5uc9zpMYK5A3Tdl2CbkVuYLwdnyvG+tnnZ8rVGzPlq199Q+BqnwR2&#10;bxnR+DA25IJTsXJNzzekdXF818Fy5uLtsiTLiJl5662fq/fGJ+66+sqrr5bXXnul7NujUIg8MKTf&#10;sU7C3WutK2WIwAuhZ2FE+V8JUdyQeJyyJS8WDPfdmTFgJvU/0KvTy9AMVTTTHC0VOiRu599NQMRz&#10;N0mlFtnVC5HH5TF8ll6QdIe3FXDKoTaQSeMgPRpJoky2ejurKjweGYrLng/xLHE/rnrqLpgBmJCF&#10;btJF+JOYunlTbQIf7wUoDM5DgiJOQPZOWpkJpJp8jj7tia5ueelkGXMc5dYJW1DTADlMCHBahOzz&#10;5yVXFMbY1F6aXVbZs5V7Zde93nJi14lyWMCnV0rkfo/kWo/CKDJcNhTqXFHF1y3txfsiKa/Ic9mv&#10;UO2W7nVR6eG3lCKJN2NKa3tDSpuaEMtziyJ4d8uyHi3LFNgS8fDInQNlTCG9hT4UkfqYaF+xRs1N&#10;Eb/ItDKNW49cCgN4QnV/bponZWt5Kdm1KLC0qv2giH+ZI2uMFFTk3KpCTnjplD21Jg4Vzafm9czz&#10;Inlf/fximRfJuUvZZOydCG2hxLQ3tM9XxWugGm0o9BoaI7xqD0iAGWpCPCZ+2eOPn7SBCMF6QTKL&#10;0Cn9MpY0Ju6SKoMhCZUPA/EhY+MeItQS1R6Rf6yh7OXS8lx4r5pS6XU0Ip0Al2RVsjjXOvwL9+hp&#10;8Ii8dhwGi5CIxJ8BBMsQGct3qNDZDt14kYZmfgD9VK2NCGoXM2qtz6j7UUmfrbXO6SLU5rbw1WBI&#10;+WMQwSPhijIhxSQV3bBQHYOehI4IM0UMNzYElh0T6e30pUXZTvGkNuIKQZATkiftFCqdbtKd3L1N&#10;12jbWgmyTriQYkOa3qcNQMXBfj3kO7/6hRbxcvmX/8OfOPcapvCiLHNc0C+IlLRnpE+dLX9ajkph&#10;PffyK9qY0YrWdROII2rD37x5tXz/b7+vRlt31dJ3qkC7o2PmKu2DyRaQddqvlXBApWyff/Kkyirv&#10;Cc+B7mFGLsz3PvqknPriUvnonbfL8J7DuAA8FN2+T9xgsjqk5CkhTUGV1bU5lcu9Xl555YmyLAum&#10;R4KjF7a1iFF9w9NS3vfLX/yHvym/+OCDMqcGNX2yKobEz9irdLERocshBI4sgSEp4GWlcOGQlIRR&#10;hkKvOgeOlTuqZUGVMqdYeooEqsamVcBko5y5cEehlp+VLy7fK//7/+6flYl9Cs3ofrq3BBJkRc3e&#10;XSkXL93Sd9jq2CPh0rM8VJyO8zIFED5HlH2ysHCrDKrSXF8vTW503LCEtIpgbZDGpu/SZIeAxIAA&#10;Fhaie2rqfHMLiv2pnfmLzz/j9C5IH8GAlgBLtzdV+aSkexS+6NL43JWAPCfPw0cfnpJAviChzUYU&#10;6VSeIDwieBRojrYgTsi5s2dFgr1QFsR2hwSKC39YnqkZCR+E8Lrmfkw9UXA3k7N+QVXvfvXu2+Xr&#10;X3+9fOMbb1Kw003FKGizQsligB6AhmJg/NyU0vFOkvUoYHn31l0JUXgXCmFJME2JbIpQWpaQdMYJ&#10;rkwEVw0tNJV8go3mpnxUSKQJCPi9XQkhzmC3qMmAQZwL2dT0koRibYY5HjwmAE8qywQGfK95v51/&#10;pzzI/ZzWVtN6aj2nrbUAXCYpUs/EHjGFkhxGit4aCOls4pTPlOOHS5s20OG1gzhtmdly6QIaWP+Z&#10;ceHMAV2DY/OZ7b5GjmHR6cvZnMnAx1wgYt4qllZ7reS95LMDIClshMXojqMyGlDQGIbUGeDadA6F&#10;EzEmb9hukXtnZT2PqufB6yP7y5u7lf2l45a0L0QVlmEg7+XcLYXnFvS+3rOxsFT6BSxG1eRvVUqU&#10;sC1exqmxCe35vWVTaxygTyYVfKA5rUP227FuERLPXylTstrXtHYBStwXIdvskImXpxePn8BKDx0y&#10;VQiKTGrc7xSJI810VrplGa8eSlMhxN0Dymhi/VNjQ7KNUZKJUG5JBlyWt+GGPJ8LAHEZC7QgWsMb&#10;VCfeXDXJ1DWBiE3I5i76pEwpeSmz2J77Pmj852Qkfvrpx+XVV18ReVoGkb7HfNA5FRl6W2RWOGUJ&#10;ILjETl7ANjAIQzrqlNBEDiJnO1snrX0DERtV0YNkWEbpiHhgC/LERrQk1qzLrNd9klwZhwt1Gdf1&#10;sY6uRHldE4Nsdjayipr3aR1d12CAgtDU+cr1/oCerIekTOA4DB+y7wzG0Jv1Wjn+2xtw+d3WWVro&#10;pCUwuKnqSkxXTdTSbt3br/1lu/B5tCXVfJAmGszfHyUYH7yRYKrG4+mea+zZBBgJhj79TQMXWrS+&#10;LELhiNzOUg0mG/bS+VGLbVOA4anHjpcLsuTPfPpJeerpZyLTFyTtpeTRdXwfss64mjbhQge94ZIT&#10;uHbZ50l5HSaE2F+TBf+UWmwPixDJYifdiJLWXSJOErv6/NKMNvicyk1TFQ+Fqc9QiHbZB57FLUZ1&#10;NTYAC9BCT7cxr+foGxS/QRv5e3/30/I33/th6dKG7cWjICXldE8sIvptyNpfUvigu0tpjRqLu0qr&#10;JEWKzyakkHFr8U/6V0ApnpGxwOvSK74Gi+ud9z8xJ+P/8i//DxJyLHaEy7p4HHdcyAlkTxgBp6bj&#10;vJwPNxvxP/p44GlQbYbeOzTFAFgEOQirhhBQIPEonOVYKmDXaFob1+VopZxdtGvJvThYlHA/jKz1&#10;rGSx9GnMN3WuJQm1Tz76rLz9i/fKZWWmLIifwfNs0HZZz8dcf6pQ0eOPnVQWTXf52+99r1w8e76M&#10;SkBAQp1SyAtQPatw1T2RTQdG1NtDIYshlQ5Hh0VhF4EJAZTPP/9EnqIL5U/+8T/xeCHomEvXHdE/&#10;SJfM6YBATZcE4xeyhj765BOFdgRq5u644+iAhOGxE8fk3Xit7FUmD4KKHibZ/4Ex+XV7IYXFwzZo&#10;WznbxtkmkNrCLDIi0uJugvu09jv3bN7bTsq/ec9NQ6Jzfzc9EU3XfxobcbyvVMNowV9oyioUSIKH&#10;ZLwj4AEW2XOjKVAzjh333RZwgMwUpAEoQngniOBcGa7iMxQ+10gB36vPCcNFqCR6aWQIKMaDmDUA&#10;KIooUXK7X3sMFWJitI6xrNBax+O2tSmP2KHDpWtsqhy50lf+24nHyuNS9Gs96+Wm0qTXBBDmFTac&#10;0/qU46CMaQ8Mswe0to7IIqd7rdB0mZC3crfAOkbQhgGEFLKACKFRwpQ9klG7VAF3SxlHvVLqQzOS&#10;C3gdcIlLjmAwrEv5r+q7W5IdXbKukZ0u5oS8EgAZEuAZJkSg/T4pWSK4UBYln7YEDB7ft6ssqxbF&#10;naV7ZUGAaAjugkLIS1Pj5asKP6y9/Fr5/qdflJ+8+54r+1KjYkO1L9bhMpFOrT0MgKSGDuO7e9+0&#10;QxeL8lzYKy/gsi5PCBb7j3/yQ3MmvvKVrxisMZbnVaXyBqXDJS6oIYHVnXPWXNNNsB7gMgFmrgPq&#10;fWicquJu83aCm2bxqe+gcyKUFUramX/VIMi9kmE4yOIYqlwvmh6GIq/c+UC5/N3w4KEHmvuoA0PE&#10;VwAm1XvW2isVNbe/K2qMMkUI5fOwrX3eECS9HqAddDlvZ7GghwmgdNH9JiCiU4g1wUHzs+0DEDf/&#10;MFDxMMH44LWiPGiWGQ0cUVsba0TvCRUOKe43JiVBT4spIWQ3I+mW1a9NMXv3luoCDJWTquw4ozDF&#10;otD4gAhK94n/UaeA7AQpiFmRl1BIeBc2QOEwiillqGv06701xdsmDkzLm7FfpMYBhTIi7XNLiHJF&#10;qH/f7qly4tA+NaSaLbPkwMuapvYDRCNE/H25CSPVMcrJwvi/ePGyu09OqvcFBD6UHFUmATyEVthY&#10;GEEb8jA8rhLWI3InkodOr44NWbwb61LAAiwLyrpweVnY0To3SvMf/e7vyW1/o3x27qIEXKRMdbNJ&#10;TGQDpeLy7xN59HPxLT4t//gff0vKVIVqZPkszH8R2hL07EUe3Uwp54u7HgLZfblOEagO2WDVSEBk&#10;zNDxP/6jQRkWh8DZnDwDCLtB2vlS3Z80LP1OiivzSXrUFqVv9V08Hq6WqesuCMz0yaNx7eK58hd/&#10;9p0yq3LjQkG6P1naJhDhkYEYqcZkErzXFNa4rGZcFy9cKk+dPKnW7XvV4+NgmZbHAQtsXoDghx9+&#10;UD785DOn5m1IuBKrdalkgcdBNUZa3+gpP/j+j8o+EeG+oRLfxE9BeoA01jPeq1F5Ru4JbP38hz8p&#10;H73/oQp/SShKyPHsWG6L8/fE1L9aPlH62auvvV6+/e3fbVcMbACIRwGJtuW0fVfkd1pKHqXZASJy&#10;nwfxM62gttcwsyOaBELOl7HdtMQ7gcRO+7Zz3+d3+Nn0GjTvKQWoPTuVrJZpkwappO0mydl9JcJq&#10;zDHhZ6Z+5nhkG3COBZxHj4Pwbqyonsp6b3SLzDLvKYTz/lEMXDddzc0GYHyHNEN7FKoHI9zf0ZAK&#10;bg96YkV7FY/jxhAVW7VfIOvW7Kd7sqjdCIr51z49IO/ZN488Xh7fnCj35I6/ITv+nuTGxctXtAZF&#10;DFcfjnXtbSWJS2EftmKnBw6FqLYESCfFd4IrQvbRbVnlQrU2ZIhpTO7fIyAr+aHvr1M3AU8h8kSV&#10;LPmOLRd5NNnn9+FtSdZR+ZZGeYAgOBlz6pVz/Z48PLO9ZaJ/TKnR4n3JnT+kUMjiVVn/s0vKghso&#10;u7q0n+lVIm9mGRVfCnCuPbmi44688nI5qL38b3/4A3n/FOLQHgGU45HZ0k/ky7iAykF5iamqS22X&#10;SM3PMJOMK5UTp0HhD36woB4lF8uzzz5rr9CFCyp1LcCE/OfVrHvT1FG5ZlIftddnkGtjXUZ6pefG&#10;+iYVrPZ7oA55JTU+3B8y0NMbZOVU0umR8Dkb+9H+BZO2uUeMoyBNtnVx1ZUYypwvsEL9/6aij1B+&#10;U6e27z92Zvou8Mq4WrGVSs1E0ufuSq0XPJcdX2Hntku65gWaB7cF06M9Cs3vpCDKh37I5R94uJ0A&#10;xKOE5k7njTgToxM+yhgkrHpZBTUfFlceyJpJZIP1q+jQhiacjToqhAl5Gffhbbm+QdoICTugIKA4&#10;BtojjwKKQn4MoWzqIUBwNBtfhMA+7TqyMg6p1sKAwMeC6kOo2gAlyVUtUnwCNoMW10H1ipgY7C2z&#10;qhGxpZAFyhu3vRmIEJUAEbr3XgSbkPMdbe4FgZdRhSkASswe5bRPf/a5LNp53Y8ElBbVgO7xxeee&#10;KyeV3XFX1i4cgtGBMdfqh6txX8pwWNwNXPM9yhBZEhHr0MlnxDv4kTuMdgvSR7pkLGZADC3FKaDT&#10;p1jlp6fPlTe++qqO29B1l+SRoYHXhL0xLPg+PTPZExSUsquvVs7s1vONyhMxqf4ZdNa0gMQrI4+E&#10;e11o7uYl3K4opCDkKyvqpLM1bqgtMkITLsvtGwvl2KEDGoMBl85GEFOxEyfqfZFTt7p0n+o38kMp&#10;61uyvnoHNO7Ugq+teemPBdMbq2tZwutjgaL5mevlGdWp+Obrr5a9UxMin074XgBQC3rmV59/2mCM&#10;1NdxCcYVmn3hsnTGCF4W8Vz0wO+++0F54XnxRkTao/sp3gQsjBHdK5vwvXd+VX71i5/bAhvUOgGY&#10;rdMSXvdDIIj9Mi/w9Hd/+7du6f4Hf/iHraqIIaxSaO28o5uEx533MM6h8A4hG9Lip8FZU6HmtTqF&#10;KEo0q/uFQsXtLu9KBf8pSIN7EMKr6VUIl3DdkRlyBNBUzkTyJjrBwzbQgYKFmOjaIe0wBufg+bPk&#10;dDN80HlfKeeyURbWPjVCUPB98ha5vgAZSTUujDhJmZYeB4ABv3PdjItnq/GWQqneC5etrqmfeCsJ&#10;jzIWpBya/CdrlVAznkA8AoQ6OC/3tUqaKp4RCHdVMZ1dmJFMuVeuziu8obV4UMXp+rVmSR1XNKDs&#10;0d7eqx4061qX8/fulpuqAzEqAEEIcJWMKRkq92ThzyukS4jixZNPljE1A1wWZ2JVnrJxyT7qSWyJ&#10;50MaJqnNkBe74ERovVt3av12ib/UNyYynu5PfYGVSioDAC+kwpGrCq/eVVXORQGFCcmTQe2nVRlk&#10;YnR6X/TQZl28LNKl15SyujH7Wbl/5mLpPXyx/O7+/eUd5Jr29zxl5BkD7UPCO4RnqegZGXGhoHl5&#10;fjTeeAvd+Ev3cleVgt97b76cv3DeMnxcYZwRZX2hF+yxrpZ1M0TAuZphtFzLUWSscrB8xVi36bXL&#10;PWPvseYJoxLpzdwF8I1Oo157ulcChsxtglSvsXo/6WmOVHnojy7+ve3lolvsM4qTIV+9t1qP1HF0&#10;+7r5rPx0uj6GANwsV4bVuNjqDn4GI0tGDy8CettOamBQ/TSdSjoHpTMeiZX3ZV5NAJG/f5nvdSLB&#10;TsH0Zc7BMQYRTDHP52dkHvAMqM6CFCBsetyDCPY+Nq2IgItb87Lw7zgOjYDHnb9ioqMsWwmXvR7Q&#10;EL4ecA0+Gx8y5YDOidt9g9hiLQu7odjitDwcT4nYM65FuyECIZsAUhAhlQPKAb+rzQ0R6SjEvqmu&#10;MsOmk5fEJXCNPGs8mmeBaCUBtyjewrzIiRMTgA3Yv+Hx+OUv37FXwmk9kMMEBM7Kzf7ik4+V3r3q&#10;maHFulexwXkpYoiLxC65dyyXwYFV1WboUh3/c+ULEQ4ZvVhGjs5ZSWO1LhHDJOa43iX3/QWh+mtK&#10;OxU5U8VaFmXl9Kh1OAubDnCQwrhnPA/cE2ODlddtdrjITIoT0s8Ca8zrD1IksT8BnDuynLr1DCeP&#10;HStPHjvi9sf7BSQO7t1t9+s77/6qfHb6UwkSud4E1gh/8G9T49ElAIFlf1lNek5/9oU5KpvEbHU/&#10;cEtwx9Jwh/SyXoG3MblYLytbZFwDchx3qq51R9cY0RxNK3+eLJMbClNsat6eefwxxVTnRTxDfspV&#10;LSVPzJbng4wJP+W6CKrc727VvUCYE2Lp0wAOac19Lk7GRx+857DOsuaR+2Ut9lMh004N3ZfGYl7A&#10;dlnj9cnHH5U33nxTaa4KVzG59bXTfuWj5v7p3CtNC8bc6QaAyGPTWs59n/yItMJYEVhzmfoYhWnw&#10;RKQgzTbUNQyna8RtBw+L72cKXraezpABninX62fd+3tYYdThyKJ48X2OMYu+Wm3NlO2UNYQSOEdP&#10;b7Q5DrkcAD/3FB6lDIVYoNfS2kEiqy5n3OnUi6lAgpNGb4WwCE2qdFG6zIiK+0cpM5Z8vipFGMAo&#10;em0koMJ7xpiAoQnBUSHV4TGNA8CaNbO4JO4O3knfR9ROoCneJa1FeF2byrAYlCx6dvpQ2T+xp9xS&#10;J96ZewsCFFNlSjyvIU001v2oCtotqAFgvypV4nnQdihzAhv35AG5vHqv7N+zv/SOjZRrCm9elUdj&#10;UGO2oo6XKL0uPH3iVWxpnQNieqmsi3FBPRghiU2FLgEUfYwH/3Rfo65wqWvJ87YpDwehvC15J5b1&#10;PDz3YO+E5lYMMsKKuO71H3JY7GqlsKoA3/kbCs3Ml//+6Mny1q3r5UeXzpdL+u7opDLnjh8qEwI4&#10;Lq7E2tNsbJARhiFhbwBhxjAi3YkTNa7xp1olWQzjMmBSaVtXeL63h/VyLznToQJlG3OeRzxeoQfb&#10;e4rj4tqx4KI5F3Pd6yZWkns8J80OzeOg7YfuHOMKA6SmriO3bIyyX1zGm/T02AdxT9EOLNRavBdL&#10;mww9DE5D9NbWjydLD0W8DSiwx0M/6fqqhSSDSF5qvHasZ61vF/CyRxwndZT65hXhDM7PBmVwbOnG&#10;dkyklWSqpstu+2BtDzf4pmz11wdq/Oz0QDStkc7PWmg/N2trGLb/0rzOw67JNyyAAjnUIQylDLOf&#10;O8Vtg0saZLpPyHRdMX6yJZjQIW2mPSJJXhfx5pJ6XUwr5GAyD7FGofL7TDQDrp0zJ2KWXf1KuaRj&#10;H4KJCYWJz8aiM+W0Fvy43Hf3xUrepGgMpDVZn3SXI5Vrjk59It88/+br5Z3T58tbb//KJZazWyKZ&#10;C07o9LPUdCVtiOnpPRJKi0Lmg+WzL64on3pGQlMtrG2txCL++ONPyn5Zzc88drTM6jy7lhXf1AJh&#10;Q1G/oVcLZkZprnAMbigV831VqpyTN6NHljshksh1j/VBd0y8L7hMCW3cUjxzQWECun5SUhsBtyRQ&#10;RZonip5yu1liOPLLoywtz0/IhZjlouKq/VKiG7KG+jWGbLZbN1UnQzHLr76sBkRyV05gPcFMl7Ai&#10;RQvgtX/3dLkphjl7a58sFrwRJu2ZE4HXY6Cc/enP3QuEUt5YUtw//A0Ijq7GxjzJEiN0Atdi7/Sk&#10;CbZwZMZkHdHpc2NVYFLrZljzPiD3af+8XK5y595VHn2vBLV5HAh9aomwOc2zkIWndfGY5n6TMsqa&#10;j2Db39c9Xy83VPqcwApCeVh1P/YLGO0VoKS42IisRFLRfvLzt/U887o+LPSVlquc+UjF14yLsuab&#10;Lvvm37mDmiCi06RJUJIFfFIeJGkxzwdgICRFdz8fQ20CWzAA2lgn0ecgSdmmbnstI374C2FnIeR6&#10;DdGLpe19DEuS9EX2kEPCzkDie8FBCVI4qqEKxSp/EgCZp4DCFthxFUTLAzxGYQW66RPdNdU/gtCi&#10;+xrgOROwHue8LmLEW5Ad8diJY6PQGJ6mBCnpsbEskcHBfnIBJix20v40Z4TBCE1Gx9BoihfZTKyX&#10;8PTRtt5EZo0Xe4b7IINoSHKB3jK3pEBv31bLa3nqKA+NPFvQPriizr5byvR6TuP3jb2Hy17xjJYU&#10;RliTFwEP5LT6cvS6m6aym5bkXdG4ew1r4S1vLqgBV5CeB6XPXtz/hIqsTZbTqmZ5UV6NBbr1ApZm&#10;lVY6r4wRWf6jCt0N6j6HxY2gmBVl/PupjaIZ7HMarK6lPZ3KeUt7ACNAqrusy5sxoP4b8CNWpyRX&#10;2Cvib1DErk9jytj26Hl71MtjvZ8USnk05MUY2Vwse3TtFw+dKG9KHv/s5uVyV/1BZsTtmFlV52MK&#10;aymE2CcwsUgJbMnXfpyaUtSRrWNWgtcYsox0XQoBMt4YenicCRNYj9itEsq3ZbjWvR1ZGbXPR62G&#10;yzmy1bgzdwCanls8yMyt9A8gUV5R/657BWBxKXstSeMFjOqSeF+BDYSzWPCU6EfOEQbGGKMtgEmW&#10;epL7BpLZPbemWhPCo0mh1g3ctoh/oKO0pk1wxWuHgcJGCCMP/WVehn5HXnnP6ntIsWUZn2S0RQhb&#10;33f11uqJ6HTXpHB51M+mRyIHuPnzy5zjv5pjKkAD/eF+vS+FYYGsBbIshYpSRdhETBMzjSYt6vGg&#10;KoWjAhb9QtRURhvES6FNfer9d8unpz7QggjkyQLBovAX4TfoHLi+lhTb31CcEUIfEiRy24X0ZbmT&#10;v7yinGgW/pqkxF2FTiBP9gAE0Ducz8RE/dD3QKWQvL744lx5840Xrcw58OLFSz4XbntIWayabhau&#10;LOMfS5kuyMPye996MxptyQxZE2jAmTYrJTtIgyMdd1ux+guXrihzQyWwdT17+gzGqjFHC2H3HAhh&#10;uSzewXuqr/HCC0/JC6Ea9lrAU2OQy+TVkWekV50HEYRY2+REI8SdwggBi0Wt/2whKERAOuewQkib&#10;OseiegNMKIV0l1LNhEOElsVwFneFRmaAlHUBvym5be+Kt7Ig1+ikilFBVHVJ7rppZjXmVKVbk7Du&#10;p8AUGognAUC3rAU2tzaVjpkWoNsvRY41BZlyQqBlQ1YdDH5CV2RwqAyp3N1Xy4Tiu3eUGbOo+96o&#10;vT1cHQ5SqrNK1lxU6/Wvvu7rogdD8cdcbgiQAiwPC/zsU6jrqaeeLIdU3GxJ8VuGHPLn9es3yrLC&#10;U7iyeUZAV3P/NkH3w/ZX8/gvGw5MSyt/ptKMlK9kb0dxnM40VO4jPIBpUEQozI3g8EA5NFaJYgYS&#10;cRzgMhnvabwwEO17Dgloq8wZGVmfIkBLFncijMDLtQQcOsv2zdQ3IFMnYtEch4LJ+8/ce75LKh77&#10;a00CHXIy+fLs4eSMdXJFErgx1lncKImdGAYxjlEoCxCxLE8ox8LTBDD3I6zx7goksf8OHxZ5UAq0&#10;W9lMK9pDN25cK1evXvZQsa6GlMIJ6EHpkklxROtnrwrD9UiWbGlPD0lBkf68Iasfw+eu6kpsae4O&#10;7tnn9EvMdUJr91QBckUh0X17VR9FWRufz1wt59TH45a8m/1PHVb/jGHvCwyYPoHbYQCWyIsTAiuU&#10;wIZbAbGyT88zojoNSQZECNIkjGfuF2DflEfgnkBPnwTKEB5MkUC7Lt0oR1XQqlfeVIB672DUT+gV&#10;QKAuzKpcwBv01aGQpQDNuHgpbwxNlmePT5ZreqYP1G/og26Vzmev6Xm7SZXGQyI5ymZjfDOkxLiz&#10;RsyDwfrvQyFGO/YgJLJW2nyBX6erYk0RiiEFPbwU1OPBGOVcSwJGGE7IFYCBgS1eWf4zYAlXCWT/&#10;reotp1YG4BG55LobGApU8dHzAzZEz9U9IlfILgkgjf7K9e01CcIkswIZRCfXClgsJ4DbHVGIfM5c&#10;v6wve+NqqB/gwNrlXuxxq56Q/6QGXO1N03alPsoD0PnZr5uUf7jPI2XFwsAmUbiaSG1a12QZ/Tl8&#10;EDFyCDz8w0szKZS+e98ebSIxobFiNJkfn/6gfP8HPylzcv+hUCFCusKdzgNIMQuXmLmGDd4EAmB5&#10;Xg2vJBzQZK7xIA8EpMxupTiOTPSWy9dF7rt200xoRhsLmTuiquSWNoqtGSmtAZH4LkpJ3RV7elhE&#10;TZDtOXW3i6Y0wT2whSc0SoESCH5nlNb4xqsvlwkJggGBhB6Ylzq+W1b3ltD++auyQq5csdVH59Jt&#10;FlxVuixku9joIqhFRq8RshKwukHihFkmx6erFRBZLs7REECgTZAr9NG7APQrqwCilHkJ7q0BAlNa&#10;lkItKNP90xPeNJub6pqpcSf0Ql74sq5FASIvZt0HpcgHZV4B3nBnopqwEu5dvlGu37wWDX0MVjBR&#10;2MThogs8yeYSwNF39ysWfPL4URXj2ZSCV68MneuWCn3BVeiXwB4RwGFgdg1PlG9//bfK2s9+UU6J&#10;5Y0CcPMzNq9dfnAylHmhNNG7EuTEfe9bKa2WARG5DuzfW6YktF956aXyzBOPGzzt3jXhGhX3tN4W&#10;5J2ZUtv4N19/o1y8dr1MyXLat2/fA4WKQvm2axXstI+aHIIva0BEpkIIXb7f5ldU8paFUrvKZFMY&#10;Nd37vM/fTU5E02NpCNkCChXd1+/kcelx6QQrec6oqBd8iLyWnRi2GttcjPx+ExhlSigAJH934y4E&#10;P+HIIc2rzgEhkNBUKP5Ir+P4Zjof45XEyiYIy8wQFBqGCd5Pp35WzwncIrx2vD85sVeAddaFr8bG&#10;9ligwxG6fPm8qlne0XuAWmX2QCjWbQDyu7We6NK5ovOM6JmHpOy7Rd5WhK5cXtQ+kZFUBifKjPbU&#10;hkIB0wIALPkZGQ73xM84PLlLBewmyzJ8JEpj617uyBY9+dozpUc8qjmBZFzuPVLsK4wNmR5O6cTK&#10;1TBj9QqQ9ADsGHO7/dtzOUTxO/27rT3Rp+8MU0FXGU6DMix2y8twWIbLfQGQ+wphcK4NkbN71TSs&#10;i5YAmgfuB6Xbp+fu1xyMi9N0UIbR4ZF9CqGuy/t5WaTSIMFuiO/Rq2u5AqZeyVNJz52LY9W1Eso/&#10;PeqxXr7sK71/zBm/Q5rt7ZU8xQPqvdM+FwYXa4ZQDqEpDELClngEqIR8V9wuL1fdC+UFHDLQ15Hx&#10;FvYUtCLl2h1UCVewdkjBViq6jKS8Fu8xvl2ST5QE8z0GQkpB99DHy9Be6kODK82177uuVX/Z92Ou&#10;ZRPdf7lhSwSeVsP/dwKI+qygLQsDsiiiOtp9lWd0QVwrX9CgIZlY84qLy3pf1WA+/uQT7utAetGS&#10;lNjP335b4YNzSp2SqxyYYWEpQSbUiAKBfESeEbXHl2QdoExOKA0JUmIP9RC00FeN9IgHKl3Rzot+&#10;1RyIAiu2Z8E5zJf+RXpkNBQK97IaPunas7PzZdf0EVmtM+WqYvq46Bw/c24xpX61pPSPluJrEoif&#10;qsDShKyjYS3MqYlpK67b9xQDFYnx8y/OuAR014BCO6B2ARkWYdqLPKcVJYtZb3oMFX64q/H4QhU6&#10;CU2QNgvfY0BoFgtmiboH8kCQDYHA7CF2aqAVKU+ODeJm1jOx0ZYXabq9xxyUYQnIKZEbuYNr1y6L&#10;dKr24SIqgvJxU4OuNwWOSNOliyahJISpBbw+/VyZFgCLLrgYsmZwwLLBdCWPKvFc12zwIMMfUViF&#10;jS4Bd580K6EWF4yqYzeo8dulHgaLYtsSCqFPhosIqYogcWHSWQEj9rlrgCiVTXjo2PEj8v4IRGEx&#10;6xpHDh8qj504IS/LhGpU4Fod9jN06VyjcmvuVXrVqLwea5rHw2qU9MyrXykH9JOU2tx7nbyHbQAh&#10;J6zz55fc+w7xVAWcipndE4rbEsRCLwVYy5KpxyQPIN2/2e2yzQNIzkTsyXQdpzTiuGbIJrM+Ummn&#10;AragrNdMrohDFo6BB7BovnLMWpyJminhvhop+C0fInU0nxWLDxCR4Zi0avPcGf4FcOB5ACygWFAy&#10;OS/ZiyB6M4QM9nPrfgG3cGIAm5vKnLpx44rWzS2Tve/evVT+7b/7n2vaqAADJaHhdUmSL8j6XRkf&#10;KDduLzm980C/QC7eLj3D/Jq4XVvKwqKstNbpxduL5Zp6a5w8eMwE4VtK+ZzQsWOkWWvJ9ukeDqly&#10;rOo9lQtbcy5Rv4HRA0fE6dXsZ4waKXR5Xb1ntAbwqLoAFZ5Fu74j1dagTcfMybhhR8+77w+1UZRR&#10;of3yhLwia+c/tXwipXVdfDTqqqgdmfYdsnksinfBQYDvpL0FIVkQxA3HelULg3ouK6S1AjT03ixW&#10;OtUuq7LLeW1a61H4K7xCBuBg/gSyoSNbr06vX+6BBBHwYnKthlcOG0i8Dy+cyIbwnrFhEfslM4c2&#10;kTEQstEbvhk9FjqfgcUDXEMHoYowesPwjRUfcgk0mHuC40x/tCyrtZG4LnPE7XCO6vXznvP01Xms&#10;6xHuCO+nYdLc3wFKAhw90hORHf3COshL+bT1xh+sEdEUaolUvqzFs33Ktv/VdnQ+6qhHfab7tvs1&#10;qs7Zmvr/UPefv7qm2Zkf9uyc08mhcu6qjmQ3ySYpisORxOFIFixAgGTDgAED/mLA/nP8wf5gGNDM&#10;CLAMazRBM55hGHJINtnsVKG7ctWpOjnunIOv33Xd632fs+tUd2s4kO23evfeZ+/3fZ77ucNa17pW&#10;wupmwpq1zkNS5Gj3ZFcK8KFac6tz3cyKEB6ZFmqII9/1fX1dlb96SQdxW374jz98v/tMyvanqitA&#10;/QHiBjhEh4K/J9Dauhu+WFcIpYyrDsyuhMFP3n1HiH++u7goq1qWhBICbJmvPbqnfhr7Cm4a7c48&#10;9Vy3+uN3pAy3HbFMrS8YKgMSviO42Vww9tpxVIXcVNGlKZXF/eijHyoeQqlT4/NWshbg5MRLEbp8&#10;qQ7bgXbaTz/+pHtWQYoX6QmiwEVG/EAAZwNBpuJP585d7u4oQpq4Afvf7Msr+MhBSEdTNqV0NYOT&#10;0DxQAapbdlEcwFDoWiNKk6XC5p4O95zq8pML7wI1Cr6DUYGR2JVFckTNe7Y/6NrKS+lpyhe/cmFZ&#10;VfLUBlmUv/wR3SPFpWwow+Ls8nkFk6rjncygT6+LBdDmhu53HXyKS7ECAiC7olk//OAT3wvTxAeC&#10;Q+CN3SjPdqyM3PW5e7rGhq61aL+g3DASgNCN1b0u1e4eOcjt2q07ajkgNwc1AGC3sGxI+0X5aE7G&#10;UcJimfa1ZyZHn9H8ys2kRSedc1br8crrr3Z4Qa/IhTGq934ulgg/56JcZoAT4lnGtXbf/a3vdlde&#10;etlFqEaYcFs6Q8NpYPM0AeinK+RZhggL2N5Y7+d721b1pyZaoMxpldysGTM3j0tXdzdtAom/9QMx&#10;C3QUi1GplxUrUcqzqkuWgK/PFUAo5qCYjT4zYXq2sYjlyigLEFZhShQS531K853Kig2ktp9rDGVM&#10;lNCMGyYK3sDHfn6l5Kq2gIOn8RPLMKh03WJoaoxkXbg8O35uja9cLLjaVsRsFatSrEeEdKgz0i8x&#10;BEjz3lbw9aLYvCvKPPrpT9/sPvjwPY2Bxm64WRmDgC0xRFio8o/fuXGvu6O4AOKetsWgjuhvANYj&#10;AdIP7t/VdT91kOHXzl/WGREgl2tsVkwYtR2oJ0FszohiFs4KqK4JiI+pURclp08U64T7aVxaiL1L&#10;QLfbmqMooc3Z9y6ghcxj38D0IRpSpBBL1roQQw0PptjGA+1xgpQPxFjCXhAxcaQYjjA5illSkKci&#10;rm0QjFH8b0QuAhpzSbluwYLivtD6/mh/rXt7V0BrQXKKmjwYS3oG9zhp7i16WtReQVMwFNasakK4&#10;qBpquSnpfjBin02o/V/sVwFW1rOARO3jug9366cd50gCvimU5RKUBgVmCyLe/Xd+BijYBtWcVI0I&#10;M2TWZdHHZAB6nm0INVBBmrkYHFJmv8isBNTUy/Oi/6qNg88EskPjW9f+uCC5hCEx6GRLcGgLJP0S&#10;EJH0ztA7+c7+Tv5rvgIwEqA4EFw9HV6D6I3yCxo+E/Xkl1F5/08ZwBfe/MXf5C19dmQAbJgWcvg9&#10;yURRkyIZMBErgAyLCaPx/Z1Vof67jthHYNxQfMGq6KKzCuZZVMnZB/JL0t3yww/e6+7pZ9iD31U9&#10;hXVRCB/903/pKpOkLVJWeVtKj6Za1I3AdTEh0PChIovPvr/UfeOVl0RhSUVJee6qHsDag7sqBzun&#10;im4r3QOVU76v+AvAxxHWemt5Cz5kfcZIMHYmBnpVh2mXgBcJSwGHzxXJfCh+k8CpHVKvCHpStRkU&#10;E5EZlJumYMsdBUz+6ff/pvtf/v5/omeTlS8hMq15WBWNuKLOmV95fb579H1leGDEASDaxmbl+Nlt&#10;0Qf+Q8fGW7jeuHG3O6O5Gtc8kO1B1b1tCQQXV6HUNQGGTn1lbxF0pEA0UlwJGJVgpsS2pIHdGxz+&#10;C2cuSkAmRmVflSaRUs9elRWlPgCLYlB2d2GAxpX3/Yat9BnVikiThAi7tXWlrSkXXVIzwWsoPu0p&#10;n1kOjBULEo/mQhoXxav0ezIujikrLNcDMRGAIrqHEvgpEajxqbaG5uzt999WH5RPFUi26A6eFJDC&#10;wjlwyqHWnb0uf/PbKjt+QXn3C+dFGSu6HQoTUfDq117pPn/vQ8dUTGgd95Uee07PsKcU2Rof525J&#10;bg4A04isLYKjKMRVKGLQLMf7P+fAIKKCwSK2AqAGf8/PAJ38rW8w5BrJHsjviz3oxwEkSDCxBX0A&#10;AID/f1agqM+qE8G1itqvg9wXzmWx9osvDSz0xgw8pgSwxBog8LPyb/Zis3zrvgUwUJxMTJ9pKDDT&#10;lxkogmIT8G27zqJjIOLqxLeP4qdUOwGGzHXmIADKIITxkJ6rf59T2uEFZUKt6DzwSraFysCLqat0&#10;U7N40Ne4uaQA6VIAO7csKn9UMQNjk1vdh5/8xK4MF4qz1a894MBgsWAKLIRdOzokmPi4O6fMCs4r&#10;gh5VMXZCMPeFblnGxoOHt+S2WO5eUhr3nBiB+3KB8nwEkX4id9+hmDHSyu/tPepuSRHvXlJNB2Vb&#10;7QosOCmRQnKtQN+hGBZinWh8NyWwOwp1ISW+S1lrMR9+VegRbgh9fgxWU70qqN985OBzxrwrt4z2&#10;ELFgsaH9/zCgVJmck2w6pijefaXey5U5LYbnRGeZTpLXdbj+SvUlbpEWLTk8JRk4LQPuQGBvTQab&#10;ivGaCer3KRnuo1jpBVJrHzCn0BJ9Vq0+U3v2MYOZxzTDUN+H2i3MQ7JrMOgcFwx4iZq2+zZVKaPx&#10;DLQaMPZvjBPQT2QWseZxK5ph8RlIllNfRVpD6B4A2T0yaY60Zn5Pi4Vo9xrse5/txk0MwAU1NmSU&#10;0fG0yYs+cKqMqp/LRJTb4vRElgD4/7fvrpXvWIVEkJvi12YnKNIAWZO+IeU5JgrxnIoKrQq1U/Ia&#10;pTahinDPXLzanb1wsfvp++91PxbzsA+KlGKcmF3o/v4f/Kfdt3/jd7r/x3//TxzMOE3hJCNFHWTr&#10;JpQUaYb4r6DxBU6kCKeUBXKkIk8r8ve72AwsxpiqqG2Odm+qeiEKeJJ20kb3CfqDiaic42rtihtm&#10;W1YtZVtvySomqJKVxzePosGnC/3ntWw+QiiMMQWGfqzGVv/4n//L7g/+zu92z6hb5YiCuHYOHnaP&#10;5CPlvuNiAA6lwB2FxGZiHqHlWryBA9b0n0vkAsb09amKXyFMZxQRTlAoLhUjapSyDxoxEGnljaAm&#10;fmJdSpYOmCMSDrYk9R9NsgARuEUW5djl+cGBsCk0XZpWRDrFsijMw5VT5hbSScJJQgfLTDFavs5j&#10;RY/MxQZU8fKRtzWQA0tMCSmn7JcDBVN+KLbpGcUuXNQ6zc1TUEqCSfOzJkXw4Sef6u8S7nJzwES4&#10;6VkDwaE6ReFSwljz8cEHH3THwpivqi/LV/Q1g09cSpoSuHNKn3u0vaZSmAIXKtCzL6WwoTTixTF1&#10;c5XgJINkWmNy2W355RNZOzBb9HPT9BYQhRIKFUDZfinkbn+LfXT6fS6I03zbyNa4z5IKyZyiXKD8&#10;S+EXGOgDjhKuVdSJf9d1Sr6w5n1hXvKlDzT4nWOMzH7knuXL9n3thqzMsGH8RQCOgu2IPm/Mwunr&#10;1njKmjRryTrafomVVs8Ew0AGE+Xi2XPpBZOOnPU87Ol6bgRxAlEjlFOxEj9zXCz9+AjbgPxPc33p&#10;4oXu8Pqu4mk+Um+HDyVLtCc5Rxwk2A3N/Z72/7gYtikxCbMKbH5mdqU7J1fEPZVeX5DydUopNrvW&#10;iMyvS25fP9ndkXx7SY3+VHRfrrFNBUoKhks5P5Bx8UBgZPvqmW71yrI+r/L1Yh7kKIiVC6DSfZEt&#10;+ObJkJKzQ09B6qz+TiEY3Cy4GHvKECNNfI77ZSigQjJELA4shM7ulq6xIwG1SECk5OCRMitOdHYX&#10;xYbubzzobmusl596WjV1JIsko0dJOFCX403Jrw9HdrsP5IPZIG6Anh+cP8cDSEbhIiADhCwXXpZf&#10;tcUb6NTRgCXxnDa3XB+81nr22a9y0ZVlXm4JStST7symKXdBAqxTF8J4QPLFWRDObEsKMy5cf2Zw&#10;/Noz6O/GYNZdvJdMJRgngVm7kpNOzJy5Bb3dRmFy7eJoDB0pmmbhqKHiaw7djxknLEjePzgXTRww&#10;VgJvedaSoclESkrrLwys7FM3/z7cEiUY/r/x3RYKiF+TsoAQ1oLR9GhHhxr68EDK/5FawMrI657+&#10;3d9SuWmVYlWTJ1qDU5eeFK07SqG6rjTGbUFgUjunJ5a9BDduqz/Ej3+i+AUqry0IINBQJkKRDnhO&#10;2eL+1l0SSNrsn16/3X1T8ReXz1+RstXxUNnZUblDVtW/YkkpmgsLd23vIyRNhRJxy0K37ZmWuVR8&#10;jLW7L8W3qfgJIvnxvRNvUU2fnJ+MsucgO68nG4ZwRBrifCzm4F/+6fe67/zKNxzrsaf77Grj39F8&#10;EB8SezkMiN0ojIwyvFjtg9OJEtZ7WhwGWR8K/1YQ4qwLX+0Q3a57zkHzawjkGqOsBbPEXoixkbWP&#10;XqReAsQmyhcak5LeF5QG9sLVF3VQlMeuFDdiOKaVYXEgMHZAjQ0Fek2LKUDpEtE+t6IsDprh6DEB&#10;GhOKrUCYWKmjEK0sA6r83T+XFZ6DSuoXJviurq9T6zTSw/1N0+JYeFGgJ901lc6+fU+UMALfbYuT&#10;810XdjkYjW+HOIzN1e4DpdiuP1BRIK3Rr2i+aTGOYDkrAHdH+fiTcpMsrKh0roTq/FnRzBIQD/Vc&#10;O9pzS2fV10ATzs+4mH75VwGEX/SJLwINAK/omOzlxkQC/GLhA4qhnrM3T8sI5rus+qL5meeUjx4q&#10;+VqLEtjlZy6lPVgnQDCf761ZdmEwFUQR6cb8DGjdpTaDzsGUznAp+bIY657FIPD3Gmu5GgJmc74I&#10;IB6RJZ/4kFicANZkWqSPgaukttRlrE6UE7E8FDoCPHB2iXmoWhIW0M2yrLnKeGhMp+J2UqS7Yjcf&#10;3N8Qq7ioVGLKNIvRsxWqcWiPbApETItpOKPzc35tr3tpfLEb3Tzs7guU7+o651Uw75HW72c3byQC&#10;SAGZty/Ni4HQcPR8cwKmM3Izkl64o0DMDxWDcFfnbV+BlLfOqJYNwBG72RYvCiwOvx0bQ7iK7Md0&#10;ETTXuKA+Cy2wYYmaEqv52hdw52hMERuh84CMGRNz8Eh7/J7YvXOi3iUFZADsuwjWiGKEzqho1cNr&#10;n6gfzY3uqSsXZaDJXSFm4b5Ykh+onsFfCVEQD+LgauQKQAMcQ1E7p8EL5BBzwK7RzfH1s2Ecq2Zj&#10;HvlKR18BGrd8p59Ngh7rFTBZoDX7oe+ewOJHsVq5JjzBch79Mu74EO0NrRMcVQBODDJfk5uYvaIO&#10;xMDCa9kcApqaJ0S2iTSDxxDqdj0gk1u2E4wrsSIuMsWZ5fpktGheu+20H4co8r18WAJOfLYas+Hz&#10;VoyIgUv6iPgeBuyJb8ForbP+C6XQacrmF4mg/1/+Ozm58T926m8hf7cCADdE5d1RZ7otImrJ59bO&#10;21A6oWape12VHd3gSquxKpD947d+1v30Z2+bjqdjJUVXqO1AVOxfiPJfeF++RmVJPPP8CwpwXHdt&#10;hS1ZqyPNd8fmPOQgEo+hn2/eXe3+6M++1/39//j3BCLUDEaoXuFXosTph3HSPdTnseJHJRS5p7e0&#10;xl4HkyAJ9hzAiGfD2r8lxfRQ94a1mCQSG4FGICFR0/jpETzeeOxCSFMdF3anDts7H30m2n6/+83f&#10;/i3V3p/pnnruoozinwmUqNy1WJRBjIxFRtxNWDc+BLAj7E9vgGzuKR0sUPmmgBVCERcChxbwQIEn&#10;slAAEYeiMslLpm+HO6PyHnpGyMqAJoXSpColvucF+YLJl5+GLZDQPiZFTnn7ROUTMPlAcQyz9x90&#10;l9Q+XLg5gkosimZDsRhq5HV4wyDHDWWseDQmDjUHi7OkX+L7JiB1WkKMLJp3lVb521L2F5++3G2p&#10;0h3Axs2R9IFpNSI71tw4BxuljnJBMLTUTbzqR1jsutuKinp94yuvG0TcVAnxEUCVvr7+rW90y+r2&#10;OanSxdMrW/KBryoeR4JdRXR25RraYU/qfZPq0bEu98aE0k0npDRgclKVr2IShj7OobnF6gxjFp58&#10;PoeCa4h+hu+0UkQoYWmy9ixi+z6sIQN1nuv0fcT1cwldvruUPJbkQME8TicX69GXPUMKGUnaYlrY&#10;dk2wB2wM3Sk8chXDqfdURkQFdpZQLEFaLEjFRPB7FItjYLzJozh2tRZ8tqLvq0lhmIaAI2rDmP3T&#10;nqQMO5Up+ZlAS8BngYeaA67OZ9MPheeSz19r/eMP3/b5OZD0n5dRQ3vt6iPDyRvXniPgckzU/STp&#10;ntorCn2QoaAib4vTnaIEXBTqofr5rFNOWsbJtli8vXNiPi+f62YfHHQXOrkHpZAXzi13DwRKrss1&#10;sHlFVSpn5cqAQRUSd5VWyRSyobKGCSKEgQnLMzRmWL8+G1XzbANGhgFK/Ej0Oj0wcPftS4ZsyXLb&#10;UB2WHYGfOcnVdbU5l1OpmxCIQDlevfy0XMcfqADc7e6y6sGMKzPqvizvT1VLZm1ZBhiglmw17cFD&#10;jBszZqm2yD4oF1aB0tPnwBl5WhfiOOiw7MJ+PjdDFx4/s3ew+CuYtmJvipnzmmidkSlHZJjY7c/O&#10;SfyDw8ea0vf+bvLO70mN/sEecgl3XMiAc3/RwVXuGgXcbsjFw1Uz10m9pGgVLwJ/+aJimQETJ8MA&#10;kHiuevLHwxD6LEt1Ffa5ATD7TMd9UhVYfc0GNgbZGaFvGm2CirCgaLEC/ttQcNQFTtOB/YU5bZF8&#10;2XuHwmFoAT2J8XjS73i40+MqgVDCq+hFJhNF+/DeQwdIouR3BRwqSpqc3giNQ6VK3uje+eDTbumP&#10;/q2siFk3R6KA1APFK0CTv/zyC4opoIiSiidpw00oTWphTC4H7Vx8b9NS3jRhoUIegmZ/uyHfFi3r&#10;cWNpKAjow2s3uz/7qx8q1fJXNRb5BrWZqRz3sdIRr9++ZSvK9FNDrhVpPEaNBbvthL6FCp1vLKF1&#10;Ta6JawpqxPOGJUYufEXWkxFhugoBCyWJsgdtAjJw8RD/oYN7S1Xh5kUjzsyfF13/pmo/qNiWWJd0&#10;fGFvNASL0DY91nyHbGhvgvilWVGssKDbNCPCCnOjHAqxNGYG8L4tQQnQiVCNZUm8BQeOwJ6fvrvm&#10;AMSvPP9Md1YA7pyqUnKo7kvQ7oOQAStaj5t3H6jRz4qyaORqUDMf9DppcbOz57tzimWBOmSNcT2k&#10;0kpeUTQBaDlpZJB0csvc0Bp93j2toLY33nhdVfGWRbEqC0OpqrsSEg8VyLomNukEP7fWH3B2RG56&#10;s05LSWAdT0mB/Bf/5X/Z3dMa/Y///f/gpl7k+26IObqq53r9V7/ZXbzyVPfBrc+U2qksFlw0EgxH&#10;YrHOXDrXvfz6N7p//M/+x+6Wurz+9t/5Pd1L6a6OLMetAMsTRdo/tzlfSV3Oz/U1FCan52BgnfTm&#10;huZFnKmBsGxWyZBdiJVSoIJ7lVIuJd6/Dz/zWb76vuTT1l5fWLFaHpv+q4h6/l4xFH7GJugcLwBl&#10;Y6OhigINe2QU01B0NO+vuAbT/64LAxABFISaLoXhSpHEEOi8UP+klGgffKC4KsUTGUKgbxiGWHB1&#10;P+9FB/cl935Caw2IONAeOpBlT1l2SrZPTS+YzoYtdYwRmUIaX+oHxL1Id+BxxUiJeOumSHUGhEt+&#10;3FGmlbMiFE+zpvtvCpyuCmmoynS3f1aVZTmriqMaF3u3rs8+0HnckfvsWFUs7e1rQA3gXA3LKhbl&#10;NPvUBxD9da3fs3ZICTLDCOyGkdyTK0MdzMUsjHaP5DqdIKtB4G1TAZZzCvikqN6sAP3FC1e7O6pd&#10;ceuu0lvPT3R3tQabyzofYiQ9jtjyPsNwCbwA2cRiVaOz/r7jLJT+odFY0nS1X5CPLZukAJCvZaCa&#10;+JcCuhUsOzgXsLT4JCxjqZgb5qANZmB84d7kel53fXl+mg5OoFbkMh9FhrOvkd92/+AugYFuMAd3&#10;WrWx9x6DStcL1wrl09cwitteCUBljHUav/jduKadTZTMDMaoz0Kku//mkeUiPSZiAFEGb0ygVYTD&#10;acHy5UMY/uVJip+/BrB88SlO/64epL6fBiJ1hcEDt1vXvwcbvFkUn1273j1QzjX942NJDMuUcpiJ&#10;ErZypYqdQMKDtR01YlJcAIGJutmognaWpQhGUUAUd+HwE0Esa3FPtCMtprnntlwKa1J8NJ8hA8Eo&#10;sgWjuvukrXFEP/EGs91Pfvq+Ivu3usuiw1979VUFNx50t9Sal5iJsVbxjSjoDIKt33J+e0qDTTQl&#10;WnJPwsN9PYDiDQjmwMcVkepxoWShJanaSHT1uBT0CUGFmpd9Ca6pyUUBrV0Brgfy11PqNsGb4R/a&#10;BjLOZFfKOrLixZQHteIf1pzQf0TXpUfIulJPt1vU9b6kHOCjkPiJ+NIdWWo7Slnk0BN/YcGs6x8I&#10;ZTO/q3qm9z+6pjTIZVtDVLjkkGwSBi5FS12K7yuT5RPVwn/quZe7M+evdmNbKlQFOarAzemp+e6F&#10;F19Q5c8fmn1htFiZE7LMKj2xbAasLvyHd1Sqek/jOtCY3lapbGpgvKIurmcUXU+a6j0Blh+9+W73&#10;iayjI6XjEvya4xXa1xUUXXob63W3e+0rbxhwvvTqV7r/+n+z1P3JH/6hyol/oK6d76uHwWZ3U8V+&#10;Ll46q4yMRbNi04rIJ9NjWnUovvYN9e4QwLj2f/2/df/tf/f/1D1vqs34d9VllUh/BbC6Gt8w7gEl&#10;yBoD3KitQZpyrKsmQBAkOYz+XbjPgJDT521L61IOhLKWB9QtQsTleYdZD1y2fP11LfuAmzIqQRTa&#10;P9Z7Kej+e/r0voW2Pxj3QXoVRBnX9fw4TdBxnX7KXcmdPktSbEDR0hXkWJ04+QzsQs5crDl+ChCg&#10;7bNYMlW47deVKEWTQmYBzhgodn1pD8BKlPJgjMwTfy9Z5SyY1rsB5pL9Oa0KjgcnMjAE5Bxbg4Xp&#10;8vGxLqdhBZpS4ec5yQyFHXZnZ9QPQ+D8SHLh0XmVcZd2Pllc6XakWDYIQtTcXZ886h5elWuXgkL0&#10;7uB5UUrIJq7Pbm46oNiFvgumb8HW2pWcLkVb/w40p1pNDASECkwuKn9bbpQHs5PdrRF1xSUFnTHq&#10;TK8gm9Q7fFSM8MqZc8pK2lD5+4dO51w/oywZZdMd2rUWZR24F81Qa41hV/K+dMxgTG0OU0OC85P9&#10;FEAY5rbAcBkE7A+YJdYUFsgxCS0Dxx9u9zYj2WRiM9pt+JjRRZTz/A1UWqLaIExNBs5vjDUYIOQ9&#10;hmhqDsGM4fJNzOLjRgNjtA4j8LrF3zQaLafcIDzPR+y6dbuWnKrMzAmgtM6TM0Fw/StDjL2+C/Pb&#10;sIDnqCnglL3+Ba8+kPgyYHD6EvW+/vfTyr4+0/99HzjUw9TB7N+7fnawZAMkg981q4t/10Pfk1J+&#10;7913pdCy4CDPfR3qmrgKKgHtuUCKNjbZFRRnGlNWg434E0qNqjKYDrWIPu0DAndSNYwOkCd637a6&#10;f67ixtDG9XW0L+1+aJkVZfEaBesBKV4N0v5U1uldxVqMClRQKfLa9ZtOU6ra81CjAV9DSzKIUK9A&#10;R28y3ANUuITpYKfybjaDAwgru4PYCMcHRGHQEIoqaBi1+P13URp6rvsCELtKvaI9OXnM1LPIDmP0&#10;cQeMtMJMQ+FP11HyP6BBpUCx2PW158wLrGUwh9C0gjcR0ByaNdWlWJW1tCfru505PyeKGDeH0bVi&#10;Re6rMNddZS2MUllUaW/rikXYEOAih/5TZbKQUXIoX9D3fvizblaZJc++8FS3fEb55QoYm1d1uxee&#10;j2LB8sfCBPQVoGWO0rdg1EWkmNItCWDMwkUJr3UJmT/9/k+6v1GX0meeesqA50O5OYjzOAbxq1gX&#10;e4NAJyLlKb5DVD9t5DcVx/Hii692v/M7v2eGaEOg6KwAwf/6f/e/7/74j/+4++M/+ROt/63u+z95&#10;p/s//R//D91zTymgTXEd4wIPM/OLajn/te7ZV17r3lOL8Dff/qldLf/2z/6se/utt1Qa+2L32muv&#10;uXMhqbAoJChzfLSuu2GLWfPljo9Gfe3/8z0ZN5YutnaqD0z/PDuFU0IaFqks0Woadfq8Fhjon+nT&#10;TAR/64MQ7lWMQAnqAhelKPvAxgCtBcT2YyZi9Q2NkyoAVTKOtefnfiZFKfhSFKUoQw83UJgJskKJ&#10;PCG9LSBiVyyU3Qk9kOT7Nbla2RoohTUpxbNiwwrwJUsjYKPmyD5oCjlp3ztoUnJqG1aiPRv9OKqN&#10;vIPcjpBFcTdM4RMXvU9F1hnJ/3kVS1s6e65b0/Wvze93t8R8jgmUjB6TBUKsluSVnu0+8k3PtihF&#10;PeHaDfTAoOojLONQIZ8Gev2x137przU/17xW8zOMDeIWSO1m7yErgK4Hmot1AYf7Yj+uaqueV4bc&#10;tmTCjkAaragRwJMCGmeV6UIG0y01LtxdEDgzm4pxlPRru1UJ4m6yzTVkGqtU+qS/t7OvorSx8Kd0&#10;D2Smy2NbiQ/ZsnJDsWdqLtgj7INimMrw9jwMjO8GaNBHnDPqaqCHdB1YWZ87mDPFpezTH0VsiEtM&#10;m1kLqWnwZTesns1ZHswbhmJclYwhmUPZSwbmrn4ag4jXYL0Yl/49YM4wLymM1WJzKvXTZ0tjoxIn&#10;Z7+eebDW7YcvBRHl865N0Ucg/UX4eT8/Sbk/EYT0QUBbtIFwAle235UweAyYWP5lo/evXQjZh1v/&#10;PXr0SIJfEQcS9kwWtGBfQPE+NgKUujehfJB0LYuI1RJqZykmXcV/pJSIfCUKWH93BTpdD7BBBgAI&#10;lYwOOiE6EJK86Ta2lHQIaCvs5kBLbQ6AyLaU//cUWwG9talARDYZGxEBC/gJiuwH+wACmj9bf4Pq&#10;4ouMASNyUKk2Eqg1mShhIdxQRR8DcMAYEKxDSiK/44Di+8Z78cm9z9VZlLbbBKTK0SF6FKqO6pW2&#10;5qkqKfDEPkbROA6guTKYE0rkiov3/Qw5oPCwdLDOQcv6LB1GP1e78i2BAj4OczMKVet1I2gzfk1o&#10;2Q0Bj7fFRiA4ADS0xn6g9ueU7B6XO+mEyHVZUTcU5Ph//wf/nQJEl+UeOKMc5zPdS8+/1L3+8le7&#10;b6md8L/+43+j6HTtgxZoCptkpeZ+D6xNDqYtE885AFHuLoGFe2IMXlRTo4cKdttRKqfz60mXFfKn&#10;FfwYBcXYKwZ2ipjXpFKb81WBgCuXVDpYe2LnZEfFvOQeU+zGRwJCdwR+bisuB1bh3PJFC8U97b8x&#10;WZIvf+Xr3VU1HGJgf/xnf9F9rIqYVU6X3ibvK4Pnvffes9sNK5e/8fN/9Hf/o+5lFURbl9uO3jA+&#10;BxYeIX0NP4f61nslhW5wd0Wx1cvnT+M+oMVzYxMQKEOGcvjegTLsnWOeuc5jgYT+974h0/+Z8SA4&#10;LezkNoSNS7R9rKUqs83fCxiwb8rSLzdBRZSXoK+x9AEP70XRFftRssElf1tMSRlT3vdmF1P7ARlQ&#10;ZbKLGRlvyokxLqkGS4S8guxaIz4+VwCm5JvZGyxjSkLrrI27uq2uT5l4mtLRH8F1GJJCaqVgRhXJ&#10;JONGAYr0Xtmh3bx6gLy1ektMw0z3QEpgVZT0psrPE0OxcCCDREF+uGJiCIjxUDzBhCweV7jUvYnP&#10;onwbFR951Rr2WRN+X3ug3Bt99qEPKIZgj6tihnPNgAjiByiCtaNztKGl3XVsyLhrbBA8nsBd5KmA&#10;hNiKuUUFoCtQdU9fxweKcyLoPDZTZLfZ0Oxh6vvEqh9u9j7AtTHXGCHqy8DmJng4MqAUbSlmPlu6&#10;op4fJVuxAt4jDWzW81f5dl/L7EF0jedM68l81PwZdElscg+zWaENErtmKgHDK25hqADmDoARtwok&#10;UoJCARmzAmUYFJuS6TY9eYM+47UItZZzzy2oO9GM0WIqkH21z83U2MUzDDCts+pIsF/ERfQFw2PC&#10;BUXZE0SPSZ72jyxe/OgWWjaGmiJtKtqq2m9oVhFv80IO/e+nNwGXfyIg6d2XcSMESE8hy4JeA8RF&#10;kCKBD93pj/o31vCEglUsZFo+rrsJgnIZlQ4wfnXSCxewOM1GQf1QEwFGIp35SO0kchq60Z9hebD4&#10;eV7t7FRCzHPmP4Qzij7R3pMaw5YOBveckNBxKhAd86gyYIGRjV2L7Q2ALxfF27ilDQGY2wqudBkt&#10;EKkEE3UReGz77NlHUGGuUAWAIMBSGQhiAcYnZYXLhDk+XFcGxMfd2t2PpQSVvy0BPkIXG5pdaQSH&#10;AAnPgK53wNh0L72Ha9qn6IhvOtJRsVGCU/efRAA4qAofmjY8CkkCakfZCqNKZ1yaw8WBoFQJborj&#10;IGeI+tbzU7Fzm3bsGv/1W/ebK0gFp9T46lDjp3W5A/Xc8CmsD6j+ngr13FImR/fOcfdnY3/ZvfHq&#10;G90rr73eff1rX+/e+dm7el51DaVzqdbdvmXr1bY3tV4cSJhlFCu7gVCHiZml7q33P7aLa37lYndm&#10;fkbZNCoiBbOh8WLJObWMNYV61Hxxj7fFMvy/pv9x99Wvf637p//8n6sa6EdmqwBTtFGeEAO1snJW&#10;mT0r3cXLy9oHh90VFRtbVn2MDQEscYndv/pXf+Tg00XtwUMpAM7InFL1Knjrkdwho6NyG8ld9/RT&#10;z3ZfURAnQtFWNYyDAdHjp/0xQI5Q0powFwOhg6LgHDkWBraGYEF8x2kAzLYs5VwKpViEEkCV/lbK&#10;nXtWqmcpp1LQCFUH4DlWAMqVPU4FkFQ8pa5IiZzKpuC+sAGpl0B9lnhpHzOAADKnDJT+eEshFLip&#10;z8dPHYqYF8+eAGOOTSw4zjyxP6VcCkhwP0YLOCFjC7cQ/nlAxQRg0/M5BD2MP8wFzZi0j8RGuFAc&#10;FrvBt5g04pbMkFgCOpi6UgqpPEA2xjUyHvT+96ZGus8XpFCkdI+kfJMKCFOlOKs90jrpnnvYLQgM&#10;A9SndL6oZ5PGTFKGbT+U0u2vVSY48rz2n2WaxuMUXM5vA1pNJEdhGcyiOHIBV4nlzJJKrTFvCcTs&#10;Ss4QV4ShxvnYFgO5uCSBwrzIsp7TmVs5WOqua5knFENBfBjywgGnOnueK5J9iSHQOUlV3y8amllz&#10;BkLVT4F9iqpZb0fO9sFG35B188OWsjmh8RAvNuF6LZ64JqrDRDAeQBD7BNd0f464x4TLeKPACeCV&#10;TtF7an+HcWN+QFw6AfqD78N3zqDHTAGwnE3jJsdkZG4BrOw97ymMTcBDmwdkdO3tWksDJACLdXG5&#10;TSTTHNSP0sMIxaQani2fCRQUwhufi3W8+zhgAVqKG9W5yyEtjhFGKCILW9ucodZoYuMVyeGyL8XM&#10;YqqYIQgMgnRtmlQBQyuQyIpen3aqkCeMa2Lt4qOPUo816G9Z2CbqbS3oLy7kYwSavhBGcLqNJ0l/&#10;3KTxjA56Uv6gaOJGoCuaq+uZtcl9rPT5exOa+XWziUHOzpygbbeCj6g0xsZts0HiU/pkSGDxzO0v&#10;rB8ZGjxpBDkXjTWIxcrv8GWyB4iJsX+TCasvNhnvtd8bpgRFmd+59S2zwO8MDNLafBJhB0hyqWYK&#10;7MCJSQE0v719fxxygIEo0BN1rhQ72P0Xf/931cBnSQr/qPv2q1/X396wxeD11v9ZqfbAI+iYg+7N&#10;VMoHwNSYHa9LO0wnJy+YkqSkbzp4UkEwAUZkYaD8ZxWNfUFVMpcUiT4h62lH436wvtv9n/8v/6D7&#10;x//Dv1bPiGdkWdDLRFS9zI8T7alNgTc3+MF9wq4UWEkKEmKVmvMav/byD9/8oHv/Y6WHKktjQm3a&#10;HSPCnJPbbxdW9nzOQwkdLBWfjAhBCY017ScE8qIi4imejUKdglLV2XDbY1JcuZauycF3e2TN0Z//&#10;+fe6v/jLv5b7RdX9tbbsR9fb1xwQR0MpH+F9uTqeV6nxRfVOUaqtwNCBslfefuft7q233/RcwUAw&#10;Hs5S7VtbOxobzzK2P9bdVAE04kkobHZAjl7EQARbYxOGIJw1QpAx5visfUj0P5SzLXkLIgk4wIPe&#10;c6B1gZ0aMGE+n3FT9IMUudKANrVwahYR78cCxILiZ84RAJPiSFTG0y2hZ+niSjVXzhNN7Q61xpQ6&#10;9umxwManGwHJdcjk4Xs/WNFnrgG6ir/gc9Wcy4Nq4yqLc2CBQotzbcsvlHyC7sLEyG0g0D2tOaZj&#10;JyAXYVLKMrIyRsqM9gqF44iTmjuaU4yO3ApWHsNy3AB+qGf64HDQDjW/xKlM0ZqZ4kkoVs4eGSBO&#10;701fBCrBMot7OsCfHSo4kj2oc3Zv4Ux3Z46iSwIPAGWaeGnM+8rEwACa030OVMgK5Y3iOJnUPdX1&#10;0g2eaNn9OCEV2cXeyez7/BSjZcOmAXj2jbMK2vsNwlrWSvRc6yfhqr4EMEf57mkPb2ms+7sUs5KB&#10;oz0wc6yYHgHog3GxPTJykI8LmstppWTO0Jt8SnOCrSEXTSoPB2Ch5KkfQ5n96jZpOW53sFe72bI5&#10;2+yHsuazZ9n/SQnv72HHzxAYDqCV4oflnRX7B9eKNqKAHizsieLK3NK8auTQ+RLdhu5iDmkSRhwa&#10;HK3GTYEx9o4D8rVWLowlGcnoRnEBaTwugib5VAyAlbvugazHUEbuAahSK6IF8dI7hPATF1DTGB1Q&#10;T/ab5qJiIpBrbY2yusTKEUcnw1YZM9MKwiVFv+aFObHebC+5M3IYa2LdYbApVC++JxF6TT0fbNET&#10;lOhfGT0iJfd3UjWNYk2mSshTZYOhpPwVECGVYZDioi0tOIn7cnd8ei6kYeGF74hHobjJUCCUEGwA&#10;OBQQn+XB3QAqhUU4jEROL6p4z6TiC+iMuacvNsCBFp7ro7z4PFXWTGOysA2wwFBEcWDNe9vrI0Sm&#10;k+rGvyjnnERk0+5gFqx+Pse2aG4QKyYWw0ixYYLB1Nece8dH8HiSIlhKwPcpwYzHiKe9j48yPqJ7&#10;9RmUGNR8o0xRoVKRvtaxGAHnQLvAIbPGJZJDfWQFkgIyrz53qXtegVaH+6u6ZtJheWhGS8tnVst+&#10;Uisi3CBDhoT5xAePlR4QFEvVbcj1GVpawzKkoUvmkucjfdWupGZ9zs/InTKmlteqBjkuhf6UUtGu&#10;XFyUMNVB4sDoHlZirD/WqubbpbXbPPNsHrd3U+hCxN60anHQY2NfFP95FdxBgd9R63AGWXMeMF3W&#10;QUPdwEEOjsZsd4G+0vWRANKwSICzcFc9C6ZZvwZRBLPqfdtyNWFFTLLeZr3iZ5+SNfNIft4fv/Vm&#10;9/pXv6HKlBfFsCgmQlHy63fud//wH/4DZQ19ZnqSM2bquyllJtr7BwzA+dWc0DvkgXzKpsxxH9kv&#10;GgE6BA9DiyI0bAOuLa2rTaLnpjJ8SoCVcGXdsP77LytOW9TZZ/W9PpN9ovVq92QvYHjgAig6nM8k&#10;HTkBsCkUlyI6AVBt/rLQvh9rQhAd+6tiNmpcFXPRD+KsvxX44W8FLIpdKbdNjav/GQDPnDKFYBZ2&#10;1VWS9wK6aBc+KZCA5QmYndbXgtJ3j2HHFIzLzzCaFFFDWbAP++yNM0vMbKVpn/c5Qlu/I13Yilsv&#10;lHGeR3JZe3F9XhbxlCqh8hz697ZiKw4WdZaRrSwt8y7QtkXdAsAX/5G1VgoB8cIeYj8h39teznka&#10;yiQWxa6gVuuj5or3xXhQLBMulfbvmrs6n5GROWOkfWMIcX06V+5K2e7j99ceJpX7SAbChOq17KhO&#10;ysSyYiNcHHCyW9DvppWKSjl5OlQeWS6H+WOnI8PJYqFhYn+/P7ZRA6u9n3ixd9zvqFVfHXqK83fv&#10;SWSFZBLlufcp4Q+DLcV9QLwcdUbN7qoQF8YeEM8GDOccGUIcloJgWxB0MTU2hnFJEZwJcLBxF93J&#10;0BxEiXHMICz6Y0QSJwMTNa7PUQogtVcYKMA1Ab3OTgQWREkFYPEW+23b2WyGXs4tYJUKtWEtkdfs&#10;j6TeJy6IUx3QmNlkZ8YS94aJgDENpzezgfHNOZJf/94R+ltzpHYuyu/5j3x8lBD+NpTZhvzcTnFC&#10;ONCMxRuG62Klh3rhZkwMAtUHCNoOKsZzgFWXxjKeSL2y6ZnEyo1t0aQ6oBxk0DNCLzm6lHvmcCs9&#10;SD/vCEWRYmcFiPJr6JINXz4+/GalzMySiB8bqvlscvupmHBX6RCo8MG2lvTpO7TPuCln/O0+uG3h&#10;vSODep/0qkM6OKwDBTF8dwnwJ10lFewiTPvWTZ+CZGOPaVMDliyM2by6D26efVmvewqAdMqrgrV2&#10;VFQpyjU715EdBoJZO9OAuqXDIPSsoHg+O4JLAuHgQlvNr+iDIStRrhoQtVviMgZZzqwvIJRIcXze&#10;7JNt1ej33AHQBAIVY2WWYVxC0QliHhTAJNbE40qxbfDBtGWnE32MuwYFk3E2QdyzzIduu3y4b0lV&#10;fwNiXiqdi+h59v3Q0ml725/1UfN1at3sd5fQOdiKgM05zL7iPWSdfKxOn/cVBPzcs8+7hfCWOi/+&#10;o3/033Z//Ed/7OJXTpEV6LOlrTmsltL9PQUofigA8YMf/KC7pNbiSe0N4CxLckBBNyU8VJKsa2hp&#10;3v/CM8/Zyu/7hkvpFlCoPddXNPX+2n/FDJSyBOjXJBjAsA5aT6yocnukIl/2H8+JBW6quu1JgxP2&#10;IkKzyQXu089l57qngz2jzDgDDUy3fxc72p9LA/AG9Pp7AlACG4bC5PrIDwJYvY6y+DEqcKsvKHUS&#10;A4Zg3YsqFHaPfjbaN2uqe8I+BESQXVPsjfeq7lcuEbsHAMiR4d7/3NNMJ6BCf6Mj77724bZiYY7o&#10;2qT3wD4RH8TBMxOmubR7qBl2PvvN6Ev2WFhcnwvWQ1dxy+e2f+ts1LomaDzZIQys5jQGS6x39mE/&#10;S6fmNSmJLXixGbAGQ7h2ZVDsix2BPIOpI2sEdYYLgRL41IHAsFjWWZhRdc4psTOjMo6o2um9g3kN&#10;W6aBE2A6kJltjP21bRsw51QTTFxaUj1TA+NJnzUbpffDfk8L7FxRUa6zrsuxr3o6626aB/t4wFnD&#10;INR7mCcYStyzaDEAc/ReGEruwz1J6eSsEkzOfEw3Y4s5JRCzjHvWh/2FjMUedCltra0D/vUdBs9u&#10;MmQEBpq+xmgSqP9sMMuQIr7J6+yFgDFtgL/tP8tV/WfmhZTS+r3P6ZCR4vfjSZfSArRuYScEiOnD&#10;+6qwpZIVugiFdaQgQFha0GkaysjPykK52iCIS4VNduTrQ8FA6+1qYztiVRNj1Gpliu8Xi0KDg7KE&#10;8nZBFoohKehIgWpYidBB+ASnRNVO6+Htl9bA8f3YokWkNAHgz+JDEu1NSWCoGrtPAAptI/N8UJyg&#10;S+/3hqjYDAgbrkFATflHmbj4x0OP1ouFJmCN+zvnH/yge5RfKaAqLa1hA4LWG3XcwIN9X08CEW1M&#10;TSP6ll+Gnh87rGYBkgpZ0eQpRzp81XNZCNulguvDbWb8M0gWgcSBTbEtmvoIdOkwZQZQ+twm5L8P&#10;lhFt3CcILfDZloDjuqxsmJ8F7RH71hy4qf3FPWARtG+QazQBYx7tXtJacnBRXL4fYK1RcifaA+De&#10;CeWPT8unSxYJEetQeIDXpEvxrP2V+qKYyPRnfQoA0Eq5hEQdEK5zJOmFtWCWxkpsGEg02CMNgNTf&#10;i9KvNSuLq8ljzzvXTnW/YaU3H2vdI/UGNN+aMw75v/gX/8JZF9/+zre7H/3oB91f//X3PUdJpQxQ&#10;Ho75i8+LgMKqunbtmrMBbM/bymSvBMyOcc4RIgbAAMsA3tqK8Z0GaEWZRFHYampnhzPeB6y1b0vx&#10;emXaueDnvmA2VdtuZhcgC6l7WvhhZZk5yeejmKJca/yD5kFcw4Bn6EKzJd8+X/NUa1NzV0qxZq+e&#10;K4bCMK2vxt0HnVwbFsGWJcJba7a9/UjyIT/HWMH1IJmpPQsLsKC5WlSV3BtKzf1cJemvX1d8lZg5&#10;ZErN0UBBt8wAhDeyidTqboJwYk8Iu1T3DnjinO7sNmbVShg3MBZzAnxJgrDjg/Vkzq2QcNdlrFi/&#10;xbZUjIlBXLOCYzhEHtVXgUe2dazXdMosMJyaJUOgVmuT54vFXGm6tLi2JLLClf7Qz7Tgo/YLQ2aO&#10;KPNOdWAUsq1yXYNmdUsyHGfVNpz24psCF5Y10PXsUz03rBCuJDZ/ylqfkhNGZmx6noM6IQSbJki2&#10;wHmfRavPY+CO72124p+63/vmiwI0492lyxecTfeuyt+/rUZ/Lm6l6qLoU4DcJGsD4NPYWFeMc9jJ&#10;Sg92QCQup8aozYrd435cB7bcoLLNMXJzUwHeyEIC7vn9glh32DfXIyGoHTCiZ57WPiA13R1B2zw7&#10;/L255Grfg7rcDMyJBa2SZ9tvrkDqM0G5goQo5Kzn9Ixj/VFx8ZB6Bm2QvOWY2v3qL4vfBdqGTTgh&#10;amNXB9YD4gpkDBAIJeSEsGdzjk/pvdrIRFugOHz6ob5od60vZdvpOzQ/gWsjaj0N/RofjIPpUDDe&#10;xHwegMGgdV1QqdFXanjzsuVAq1fAgHyAUn/2R2Ee4x8i6IVe7SWYHA7I2HtCh+sM/HX2TUFTB0lH&#10;aDZBpn8PkLXmbE5zgeCzJW6hkfiECL2htZRpDtJPj4nHX/ybufQGre++4hdfQ0s5f/W9MtIIWOat&#10;CYr6ez1fqGTu5kgWKzb/zgIXMJgALrI7cH+x0d2VD+VRlqndCDocAgekITlVDdlPzAyKCaGFrAJZ&#10;a7PNqFsnh2SDDa/PjSmDghQlokhQHLsqxUpLZfbQrGh63GE+556LRgMamWO5h3mAkaCaJ1YHKZmg&#10;/cFknZ603r8RJtWFrlLs+oIx84RA0Txoq8XKH16glFLfF4jgcZ5Kz8oZCJoeg9ZfiyiMrAXN35za&#10;xdw35YyQhT0AzH366Sfq2vhTZWC851VmLocAIgK1hJ3HwGgaTc3aYh07HU3XROCY7AXEt9Nvl0Bj&#10;rk4rVe+q9j6fg3ZmSiGUoq0919+b/WsVoDitpMsVaYFvpiNusnCRuXfObQGfZorrb6GBW5YSYqjR&#10;reWyqDUoAFJWPdct6r1kSP93ZZwUWOxf5/Q1+3NDl9VlNbRyXQfJG9IEMYQmJcumBSSOlAY8refY&#10;UEwE5Y9nlbYLAOO958/ThXapu6v6NTVHvrZlQWNfNUjOI0zupKwX9sfq2kPHWU3LZ00FQ2KNYPkA&#10;9pwJPN+4YJG5jrty+nGua4OH/UFMF3ugyY1a2wr2ZD855qkxI7WWBRwcytCAaKWCevH0GlyjJ9OK&#10;7aqzVN0zQQsGlFIALpKnz7BbR3EtqF/OpOQGyotaNqCiE83noVLplY/VTRL/JdcmShP5QXqs47Z0&#10;VmaU0fWCqgd/ItC21op91fi8x/x/MVw4jwANgmTJcuL8FYA4fX4xVmEjprXGL1Cefute97Vzz3av&#10;vPpad+frr3U/vXan+/4H17o/+cl7yuKi+aD2BBkvaojIdQngPNAXSh83PvEqnkeN2QyuviM/GRff&#10;lxQ4TuXaMOjaA5K9sxhkGCTMtY0/MWMCTbhvGPeUnh0QQWYGrl6zZWKsuJ47sboIW57RYSIGp4+/&#10;WMMNMa/3lUU2p9o1eBWcFYLOZ7zods4Ufn4HXPhwmjhqf0QpKqhNDZ1Is0MRgopt8dLnBKsb9K/P&#10;EKSBwPVgQMekA1ISWvQxSuNINDY1xMcUIDbmmAQCCGVdqiTKjIJ5xgQijhRFQwGSI32OGJNjAQdi&#10;AY9EDXJZEDtfTNQeKYw8NHS6rObpQ1UQdLoQik+TLL0yTatpFSb5TKlzj+7dc9GjPeV0c/PydTFJ&#10;ZQHuaXyUY85GT2zDoDiPy74SMEY+8U43K0vZZUAbYAAxY227EIiFbRbDKNMoPe4aI5hGHQ42Zvbv&#10;IMKZ91gdNAusrD/eX4ePha+0NeuqstaaBVWKpg5BgSRudCDWyasJW9JeZkxgcSSIaFglfaMOoDVW&#10;rBecGSjr4+6eMgD2ZRlcvnRZClBWjIAbCNXuLPdP8CO6appdFnZxSZFpPRF0scpjGVy/ccMBn88+&#10;/7yrsvng4vvDeiJtEkUrZgNmYOXseQtC9pqVKQdIQroRTo8p8lNnwf+suIyy+mr+69+lFEe0tv22&#10;13Wtsm4fb7jDWIPK61XovP7NWDGKa01SH4GU3pZiDBvUeimQcocywfqiXwX3RNDQ7dH+SYob6XpZ&#10;V/oBsL+SmvhYGiN/1STe0Px+piZMz73wfPMWt0BE7S+AhXPUWQ0r8aGvPQIifx8+1zBeof7OXPBc&#10;jLPf/6FvyZ/ev48JZl08QjDsCGNJJD3jSQnxyipJaXJkUnO/lqVLDBDWNHu/t/8Hz9SUZIHsvoU8&#10;dGfkKQu4nAZBde7q73zHOtwldU73REmQnVHGAsbUmOjto4217iMpsOU5NZGyo363W1K1yHk1xcLd&#10;CsMDU1QsYhlJKADkxqoCeAnEJMDc+0dsMPvn5Ref0/pQhE2ySP1iJiXbSM3EUBvVfnTdJRsF1SCL&#10;TCkM4sxxwr3YA/j1dU3cyjC6bfNGtsZPXxkt5W6pTAd6AdlNDbtgmdmocWRZb08V+Kr9UYYMc2XX&#10;ABZ2YzhdU8d8JH2AKGBHRhiktzIzUFiwiTLyDrZklGyQnipFPj/aLbogV2J6MDih+inY98JTz3QL&#10;Z1ZUxfe6n62/92q90VkVSYGc25a7vkBk7f3aD/XdHX5VAGt+ckHrqF5Haq1+qDirNVUKJovqjYtn&#10;5WJf6d777E63duteYgocDxhrH7DDfE+1zAmCytGtB2LxiaOB2t1Xh1jGS6D5GXqfqMaI3QpauwMZ&#10;XgjJGclF5hoiAFafOePfXA+QcChX2bqC0vcBY7o37lAbgWYkMh8+n43hf0yQtTXcaHE784tLjUmM&#10;3uifkXHcD/YBOS8Waw9rljdxsJM24gAnDX5DVRhp8rRIniq+OX0HHNBrwPnZUIE6PCjyKczSfS2I&#10;6KFROtjRfMY9DFLumEjco3VFNUtITinQ6ETNpw4FGORllHKggpvKrrKRhbJZVMAMwrQ6CvLwpDZh&#10;DI5QoEModlI7YoJMAhCl6PU31fnugdL8FpfPWNFxSNloQwFjyREF5EPQooZPz2b7t6myBhwM6s1A&#10;cM0oqdQnZ/IaP+AgSWY89/G3J1y7BFtZTrzx9PvqMPYXMNZnrLfBZ9vil/VVAt3PxnHRXB7KGjK/&#10;LWBko1//kZGARkYpT2r+J0bmPf8pBEeQW5gW0kR3xDytaZMr5q+bWcTnJkCotKvlE2V16ECzn6oM&#10;K+u1oIAousfJKea/uUGSrnnx0lUfnvgOs98IZZxQ6iUBVzOKdRlVE6LLl5+T3/h6hIn3ZcvdB7DV&#10;vMbI+tIXf/JX7001Z30hwQXSZjnvrXk/vUa+zkAif/l9+3uh3lUgoFaZM8fvOGsIlzNnzvjnOQkQ&#10;9jwCGACG75tgM9YMcIGSJ27C1Gk72J4dXcvFpjS3xFc89ewzFiIANV5lhfOZMFT5PnhWfT7UcBg/&#10;W54W9kO3GfsLUF+Atj8/RY/X85YlO1A0baxMoB09gEaYzgo485n0mwKwHcuBHIrBYrccQhCZ0wCQ&#10;n38A4oeujcgJ2MWc++G5GLqFKt20/lbr3lc8p1kJFABuQTd1a/YBvVyImdlUgbYRgfUlQPfNm93T&#10;v3JV1VY/Ud+TR91ZFSobxUetscBeAAAfPXxkl6vrX/BcAkbrSkn/XA2z6I8ClQ8jTFwP8Q3sEUrr&#10;a4eYOTODp5k8JDia88xaIo9g8oUeTNa1zrJ+JmIj2jkodoL9US4r/87GANlGw0Dvmhe2jMGfZX47&#10;jw14GHA1K7WYi8f2lq9XTG8UoOOsWD/9DRfNpMY6LR++SGqv9UFqb+v3+rtkz6HYB1489bzGOqN5&#10;IXh1B8AuIEXMFwHJZMA4VRal2ZjBoWSN5Z1SArGqecumAAodgZ0hY6olu7iYOH4mnGBXcmhdyPDe&#10;urKXdnELjql53h338zmZXuuuPdjVuq5qneZkTCveTGsPozsj8MW60HY9cltlv4mtwShq8YPjYpuq&#10;AiZn+4Zqwzg33jIiVWgJsHZGhiQpe2nXcV6dQOqy9gl1kOSSdhG0sA7sL6eFos81RjckoxSBGYge&#10;C6GLRCa07/o36c3uH6P34VK1RugZw+NYhKaFSU3xYU3KFAFyLGoLrZESoHsbPjpFE+/IX6OLT+h9&#10;e0LjmyrZDKMRdKwIVwEHUgYpCatCACqCIouFkpmUiEV9ZI/q/cRTEMkKgkYhiLaiFbYOwD5Rzvrd&#10;1PTZ7owarrDBYSGw6JkM/PYI2CltknmNQ8fJ4GHr0f1u7aFqCWhS79x7ZEV5UV0pKXXtGAaCXLT5&#10;Q2sGaZsd0BfjKGq5BGD/u4s+wdcPEDueE66ZQjxWPi0Fp9C4NyAHm8ODUipt5iXxLs5CBpUYhTtu&#10;ZJAx0zZxAz+2ENuX3SYONMtOL4HapycTvR2FYOHRUI39ua6rgIWCRREfOUyAUxTlwnJ6ogNhOeZS&#10;JLKeLoxfVOaAiufQGVEAb2pWf1MaXp67+UWdVkQwWB4W15WFow4eagnAwHqiGCnTTefRKZXWBoDY&#10;5XBAcNBod1ZlwBfOnFfdhOdVjfFnogR1cHRYHZCUJF1f/9/1VUqiBEzRybbQqY3BAWrWeP/QlMJM&#10;ANkvcf8sdK14T6AVa1UgMCwL1SfP6LmvX/+se0tVKVk7elfMyOr8/d//ewJVlxvz0qly5Z8qZuKv&#10;vZ9R6jBqBkewi42hsp8VwdD2iZ9Jz+ZKpo53GL6GsT2xz7yv9I6+S6AUULnO+kqiQEldsfbqIFCw&#10;jckMUJPQ/oyTTUjjRONxEKh6GosHhtDvJ8OlgWYrNERoey72NQHCsDOVwVHxJ1jNjumByvU+ZXRQ&#10;vHnCAj3FNEQGJN20r2wfP3uJZA/YOe6WRWsfSsE9eninW1+9J/tpp3uk3iojCnYbwUjS2kyrMBnu&#10;CKd8yl++pN/viNUj1ZwzgbuY/irbOjs/fPttZeso00SAGnrfGSrMCW45shhEbzMbgDvGBQCbONFz&#10;EmyMVY4BoGcYUxEp/nuMmUFZt7LzVZo5EoR4rmTVOKiV/VG0rf7KGlZBrsiqsD+8Bnugt5n6Li+u&#10;GbCetUxF2gAKwDH6h2Z+nOoZ+cvnVRqFGjZOPYXhRBiRHab6KSeKn9Nia27EwMhonZF7gwBC9vKe&#10;zi2dKmfVB2QC9kodde3S4dmk08wUM3bT5riLcAkQu5YzyjwTTwSIMIYdGArNMERzHcsoVvvxfVXg&#10;3dIeOtDYZ2Wpr9+95bFuHql8Nx1UVcRrVOuM1BslHgu5h0tAv9lTXxRkN24vF/vjtLG2jIhgXc4n&#10;sp315QzCdJMRgltiO5VMObmLSlendsixCtjt4rIUO0UN0yUZX48UprCr5oQTcofAZlG2AONt4IJn&#10;BpgL9CILiozGgGiGI8/OesOyhcEgYBgSC5dZziYv7UEAA/uH/wsiRGgcU4kQGtv+fWZT+esrZ7Rg&#10;O+psqNKqVEcU9bOlQ3BwIBqITnMHZG4QlyDkz8Qown9UEasnNIZB2bIhNImujEdwDQF1uv6UqquR&#10;7HvMBOPG0Fj2FdEMvUvVRtDVnEr6uk8FVd802eRGQ9/MQQnp+9rDB93O2gN1WbyvIL+H8rerHfb9&#10;R92VZ14wBYZ/8kRshVMzvUARELHmvX98OEO7PVk1OPBIGzc9EbDSSTM0XDDTURaXMyGBA23uAiIK&#10;JHiK25FtP/hvxsX5fe/+p6nVvkWU+hVYaFFCBg8tE6ashrL+/DmtiQOTWGf920qQWgqkxXJjLABZ&#10;OHMKYlwXOnZUuITKtA4UVDo3G5MvblECM4E+5B9zAFOG1UWCXIhFc2rDFWGkOTKK5Z+pfwGDlVa4&#10;YyqmdN7PSwVJLAfScR8+ELVH9b3jqe7i+Wd0z/PayESwq2kQh486DgNB8EVfXs3vL6HeBwdhwPRY&#10;WWW8j1mk7FnfNFSg55090ADlcFW/+JOhVA5Zu27OmWnstg/ZOygl3Bkot3Mq7/tP/+k/cTVKrI4x&#10;B44dKnvjI6elEtiHsLkpS9etenV5Iv0dNNfG5l+igHQf9j3fSfELiKBoWIBEFXZrg7MoYFvHkTh0&#10;o2VvNneS7oPVHQYlgYh1nup9BShqjvouBX+m+WRLAfXnuwDQgGloAmsg2Ns0961ddxlEmTr+pQFn&#10;W6AB6uU2GNDSp9w1tZQBE33WomW1tDPmbDXcuTr/FWTo55eiWzl7xobWGsF+KvUO/P7wM5Wwl2Bf&#10;OXdFckyxP9r/VDZ1TRoJC4A7zwlYuq0aIh998olcUXf1O+qpJPXPRg8UtoB7jJ+AQgw3lCPrOC1g&#10;D6NQaaqWCS0+ayDrkMFNXvhItof2fDfr0uuFxQpAMNOQF78nxqZcetW2uuj/PnNzeu0LqLF+ZjIG&#10;56ZknoCQ5nUWd6qMjtUplWzWewiFm2JcIpIPxH6S8smYp5UJM6WAa4L+1BkGKsuMi1l0/jPwzJFL&#10;uXNK6mc/f9mrHW+frZWVc8Mx+hjVOBsQIgJPuujf/PlfdH/3W2+o+/KoOj0fdfMqkf/eDfXUUUfk&#10;PZQtzC/Gsxh/osoJtKQlwYyYW6xFjG8K/WHtL8rNVefJRaowmFWjAQaRtd3Ts05rj5kF4+8CzHb5&#10;6rlnFFgpC94yYVaG84z21+7elhiQxL2w7yiGWLFEYSAGC+sDn+cvg4ZTE/3oqq1N7lnfnRKssIh+&#10;UHC9xRxCAioMSYKSwKJh40noE6iyp6g7+ihMq/LZuDY0AXYbCnKZkDtCHhwdCi3p3nSnmiHqGa+J&#10;U9Ol7ft3u33l+UpM6lqgd1AY6FOKV3ESFKGiv8GGJnpHgzyWhYxaw49HH4f76p5pipBNr/+nn8SB&#10;ejyMCjGOSjiuK79+R3/f2lL7bf2ettEcnt/6D/5O9/rXv9m99+HHql74UEpAwgXBZTaBg5jNgRVj&#10;Wxv/Nl+ymF0iuhR7AwFNJjdhifAEuaIktVEQimxcLB3Po7kWK+7k1oYGskKp1RvihqxL+3cpqRLG&#10;tdYlWAeWU1F0LYbDQpg8a3pTUK1H10vqJaAPtI6lV1XTWGMhZIKVjEJB6AlGXVBuuYrOdmQwbKoD&#10;HGmJY6oMZ4UkcWjLnWBYu7lQbnEFedPZAmY+4hqyYEEg212SICAXFKJ4kJrnkBY34iJGqp2gduij&#10;4jBB0JOKZFdiuNiPZY1PtTz8Piao0b4WFSDrpph7kqHU9VBktHidU5s/CinsFOicryMsA81DLLS8&#10;8LES+wPIAkjwVZbwaaDiJQzW8P/xn9Odg/X9ikBn3mRZkuniyG3mfkKg4Hb37rs/cz+MH//4Ry2F&#10;EJ8moLfrfvjDH/nztpYRMq0SHgAEK9yWjCPYNQAB4vUH9+Szvalc+ylZIqKIJYDwjTrAS8ziHr1J&#10;qN0CW6rrUruf4NqAm4y3r4D5t11iveBmfi4FPfCztrUvBVPXKKDgEtY1v6fYngIG9d6as3wf6oI+&#10;0OA+rt2BfGjKogBIsgFiMZ/2i/PWysgYVsnFyIkw9fo3QFL3q5gZXMHT08W+EZStgm1qEEel1FW1&#10;sj6UvCSd89oDaG3lAcqKXpWhA7W8oXPFHLsWgsYGAMS6JLBvW4ZaWe4Afncg1pkZFw++qOqTk7C+&#10;ZLpp31CzxO5GXcM1YsjzpzjYqbll89X4a37LkKoUXRtJA5YW91cs04HF2ViKvtvniyBv6FqttWco&#10;9ZmAzQC0TG+bY3SQ9t4kuseuTxSmsAGyl54Qm4q9koHBluT5R0nz0p5Vy75ui74PpFLqj/b1GwAn&#10;1oF4D7vdRh75TD/ZPMxkxaWRTsyw3nOy8ksoG4sN9kQMRPOgZCrOLXV/+Dc/6Z66cKH78MbD7o/e&#10;+ai7p+6+Ml2JiJXu25ChS9tz7SU9EGs3oxL9ZroABGqnSov0Lc6dxo9RABNB00FA8YLGIWJWzAfZ&#10;Gjo37BvtLYrOpY6IALNYL5gcZNmhwMIDsVgHgNjmJkwgYBITnNaPLld6LMHXdvhg9Lf6GLWXHMOh&#10;680LgCA79hSHUiUXBhtMP4wTJEcTpSxqLEUW4EDC5bqaQHFqv/2d73RnVZwHHx6WKU1QEGo/k5UE&#10;KzG/MtO98/Zbci9sdzc/U0+A2/cV/KGW2FrVF65e6SZXFrrN/VupygUTJUU0IZrJVM6IUljGNIZj&#10;1ZZQwZaRUVEv0HSaEIThxobAgoTclKKYD6hRj0DWRpxSz4QpTdbMliZie0NNr9a724+Upysf1DOv&#10;fat75vkXu69/61tWbruHH7n4yw5uEiKcyACRRQvIntSm2dECjIr2G1eVNiKCT1T97ADfjxbdAUkc&#10;U1GErrBI+owsCQL+EMIobDYAtqsDemytJLIWZUSFPYKcUKJUB+1bfYWU/ZmKozD6a2j6FHIui61A&#10;BHXnTevrPlSVhKJEEPHM9q9q08UfTGpOA0q5uA9TCWkfdtZCZapVB9cBkjQgO5HQmlIzqUX6OQAM&#10;EFx0D9Q9/VwwGaovkaJWUS7lf6QAC2mE3I5AQoCC2u2JhcCCEEhRs58xQIQaa/HzhLpszqogxIEs&#10;s+nzSttauOj9diKKl4JZ0JUKrtG14seLslJalunJspZ4sLhKYvGUuyFupIF11CqHGtDZRxtrla9j&#10;7QOAUAXqVeaMG6WRbaT3HuH+q5gJP/NwLktQF/UNwNxV6hhxglgQvNgfHGLql6A/XfoXmEEZ8O09&#10;uSf+SmfuV8U6fGBwV4/HWAEA9YLxk4/QgJfWyrB8GArOS9cemNMe3lTlyrtKQUMQ0Mxr5epTCtxc&#10;1plIt9eDQ1lB0JRE8muMFJrZUQAyAmRRAV28ar6r7XFkRSz7voXWtz5L8fTZhwI/XDMV9qJcKpiy&#10;nqtv2RaTVuOIq2E43/2ATmduseebsitlWq2b+wCnfuassAa1XknvY980V0lPWtb46xy6aRuuARS4&#10;9vu0mLJdpRxuaQ0fqiQ7hLMbLQk8WL7RVEtCG8BwIPnn1FlAKXsIYGhQmL1c7ka2Jc9MaftxRfjP&#10;CnRQbTJV4+i1gaGS3Vt1J2o+az1qrWotTs9DAQXu4/iaOl+k8bv4UvnJA8K4TqWS13trmmqP1DkY&#10;yIWGSCtWyhLIGxvJGZlEPATtyQ9wdQjkLpCmKs3rEgRUpZUBRHl5/KxcDjJzXXt8Qxkce7jFOfQo&#10;Qv3n8ExPEw2yiD/wRh7s1xpvZADXa+BH/+YZHgh8A/BwiVWsHED7WHKy6hdRNh+d89fqwnvh7HL3&#10;0x+93b2nOiAnZy91YzKq91XvZgS2XWtEZ15SVze15lMCNeOkbTrgErlL9CjNtwLipgmY1BhWpGeZ&#10;L4A/ehlXCxVjOeMUDnRxRQ3KdUOQ/7o+LNc4bnVNk+MDmQP9bkcADTB1IJnDXExTKZd4E1I6SSE2&#10;vgqgS3fQFgTqAFAV13N9qOEL4qEAOTVaLHRC4cY3glAmUOO+rHfqvX/713+tu3DxoroJvuqSwVeu&#10;XlYJ17Xu+u3b3YL+e/7lZ7o/+td/2K1pQnfkRrh/T2ibNtC64oqCwxaoh05hDNw+ICfYVE0K6ZcE&#10;gM1PL6kpkRQsDy8hTolXRoI6mJayFmPe7Sn4SMUkLByhsMYU/HKooLJHsgYeieU40OZ5/mtf6a6o&#10;0dK0hN+xotsdxklBF6xkWdxjEpzHAk0oCFfIa9RvTQ1I3ulBTcnW70PxxAoaUrNBta5Z7kNvjs4f&#10;iTXaIqEtbFH1bOj483OATtuwj63Rz/2HBXQbo3+U8sFSB8RQsGhCCoq5pqAPXyhbGCPABkqWTWcf&#10;JD5mrDT6N7CRtJGd9gOFKoG1pIDI6dl5v/9AoMubvdnThg2ATnYM/tWWwUML8gkFZtoFohiK6Zk5&#10;++yoBQJQYGzj2sAzYh0m1cwsLISsNK2Xv6RMl64SEUbg2DBDIAVgADb4gqPws+W/OI+PY6+BOf0l&#10;czr8/IDmbWCw1qmWyiCx3fLLmIjBBmB6BgOJZdsvDBXBVeOvPZEAyzcVB/HP/tk/6W7fue1/D/zQ&#10;vSfwtbG67FZSDAk1ORD+gDwC7HBTajPD5D2gKqeCmMdlxd54dLdbvnipm1k+2+2uQ/Fqxumvoa1x&#10;sCsLUMHNZE/uS2hvQQE/lecY0pzDKPdSRkWVD583A+1T6P2Ykvpb1dmoILJSZpUJM1iP9tyl6Mti&#10;6gOVvkuklGfFs1RaeAm9UqoVL8Q61LX5XqxKfUfQ2mJr8Qd1X1d61PwRU2YWUtfZ1XsfypgaG5fL&#10;DwbBcSf0PcAtISE/pf07qSZ3KjXvdGhnJaWiKDlQzu+nFLgY0cmZZD943FioVEuVYsM1a0FvCYkA&#10;YH8R1J+gxprfPotQz97/znNUUCmfqecdgBAi/CvOCeMSA45n1qvqrdSW7LNGpwFmfz5RhJxrgFTO&#10;bkCTz7T27s70Ubemo7+rmAY3q7H1T38MAQGBMYJHSfWE6TyQTNtbmu9WxbBuK1jcTIprLcQNX/YS&#10;RgyvrF/m58te/JU1c70FXYMU3OzdTC3jh0WzTNe1bopluiv2G9C9Jd03e/5yd+kCqe1q5iWWCpm1&#10;rxiv2aUVs4Z2OSMDBUAAhizflGQ3chFWopigPjjbki7l5ewTADJGkNYFUIXCsksSVgOuH3mg8WGw&#10;8Nz7iokAQACuKkONddyS92BPDLXXpndWfY5gZMhS0+9XxKzx8HF9R+5mqYbZPIpjygBKL1E6OY1g&#10;NBgiuklfkhUDxfb+Rx92l69c7S4IRJDC9+JLL9p/9NH7n8rNoR4GGwoSss9KaEsU+DIbXoFEB4eU&#10;HsVqSaRsAu5kjSngaUlW0cTYfPeZfIAPVmXpClXuywF2PI71ftzNabCT0F+ayElqlevrhJgM+ZFW&#10;FUC5oyedv/xUd1Uph0tiS/akCHeVFTI2KYtAEwjYPZJAZevGqowvEcXGgpBZkoTOlA9lc/Lvyltv&#10;2rophBzesg5KkBM1XU1nMuHZqFXqlGvYyy4Uy4dPU6o/d1ef+mNZZs6Y8aJhzTS/Nigd3ULKDkJH&#10;B29KitlC1LEJ6VBq2s80pVC+hQOFwAIwWKNdze+0mvTMLszKnUHsCSDTD+Dx86MtfQAHxVQsJAX2&#10;xChMTy3Igj0nmnVZLIbK+y7qEGoMDmGSb998CIJIwCHAiyAih+41wr/VpmjrlPLjUJg6eIAMBVIh&#10;lPmzpbAh3BdfQwVUQvXLZ3kwp80iTMphXqUw0jSoIXXPd4GYL163FFJ9tpRUHeKigJ+0DxDOn37y&#10;afff/Df/wIHDZamX9f/Y3ViDjNJj85TxDPoZQYe/dZJ0ZFmsew/Xu401pTprTdcPVuUrXTRoAzvu&#10;PqJ/Af50sXVKUds9SLM6qNN6lUKOsoi10rdo65m9S5q1+tj89ZTbMDZh+DSp+5EAwLpXfb4UVM3n&#10;6fs+vgKJ2eBVjF3/esWe9IFE3ZPfodyK1o+V13L4294YrC0ygsAf7c8EC2Lc6KbQ3ASpU9sGhcFX&#10;xV9Bz0uuziha/3g3Rd9Qkuz4YzFKA5Cp6wGaycjg/fVFASL3RpGMww+Oq9nWKcaZDDWKUrFDocOL&#10;oSlGwPEOHJkeECrWoJRkUvZ7waT82wGp7Rka48bcFqvB/Lhyr/5GxP9p1qMMHhejMiAasli2somP&#10;MhimbQIsn+qjzB10s1emu+21ne4ZMTvnRsW+0bpARuSImFHO/R61IhS0uic5tSn2FBeckZQEFS5Z&#10;uz5NcCiOROwdbp7IkieDiOi/pO3XnD1S1dcNGajoMj8zcX3Nde3n17nCJUzdHAIXj9WPJ6m7crcr&#10;g4TxElDJZ7b1rDNK3Z7Rs7pYJI3uqN2BSxN5QsE54hLYc5ZzJBLIaMa9JLDAnsToJqCdEvuTdJJV&#10;nxPYA1w2e2af44LiOT0mB8+mlkxAQZIK2CcwYpVxkXhIXkFKOWcBjfQ5IjbR9SFsRBHY/7hLUzGJ&#10;uA74DB9s1Aid4kT7T0GdaXM+VBvtGQW+zSl4gziIbS0o7Wmpq+2GN7roU2pzPKGHva1AL9DyzMR8&#10;t6xeBewv4igAEjRJmdAE0UjHqUpE2JIuqlndVafCXaXLdLtCV9C+qotOu9opla5enhWQ0EQAHDaV&#10;e72mLzdZkgW1ojzglWefNtI71gJQf33eudP4GvXg+IhIzWwVCI34NdFuZqIJJdiEOeT4UQms+l/0&#10;lcRAGTDNDY3F8okPLn71iHP7kax0meyquZHYgdOWVR+9Py4In/yvvjCtjQ5oGRMYoy0u7h8yHkx9&#10;4vvWWrGqO1qvQwIStb4uWqMfJyXIOGjVLM0HyM8SQLUjCtEZGnI5OLUST0fL4nA8CXpWQnFWNN2M&#10;GIW52SWxDrSiVtqavkYmFJG+r+AyId5xCYFxBWxuaZ1xZ+yL7qVLKTOW+hzyEWqNp8RgeA5hxQA2&#10;DuzNXIwSJ+OUVBRNLJEWEvuFyfITFJBrFnv79sX3tkPTV4LMXT8bAbbGaWBt/as512nLuy5+ep0N&#10;vJqFW4rytGVen40VftjdUn2TKsleIOcL7JUpR467GDudBaxG6k8gCxzDYeAYwWR9pbXfPlrVc6hu&#10;y6GsJ2JdBOYO1vcV0KmgtUME9Hi3LRA/o4jsp595OuthCq4QSwsydIIdsRkRNkOWYBjEOPis1686&#10;VAag+ZlaLI3bePM7CdHMdSyfmsd6/prvAgJ9d0rNH2cdZqxYBuaSta86CPl7nqm/R+oejIWv6mfB&#10;71mTCtaMOyVxLAzaLZKdskzgKkqaFN1ltbiXlWekzdQleJL9arYAd5YodjOFpKnjFjKQiFIgM47r&#10;sM9RAqT/TVBnxel1Nf+t7DHXb4fErewNMgjWw/3YyoQ7kDqg3+O1C44j1txR1qsooLyv5t0VifUX&#10;IAIsKmAGme2iR2RStHbUWMZcizLgfdcRIIkpYA1wK3CNYxVcotmcwYcLHnkzxMglWFDfbiluYFPZ&#10;D9dPtpVKftj9quZpUZ8jpmtEsVnO3APAOZsh0ZS6GhdogI09FqDPy/UYpIB3xWR40Z7w8lstCwII&#10;PaewO3IZUhuomMdqfOj+FbBBrUnkcauZQWzSJH5B6bU9sRHIKYQYhZ5GpLg5X5zZQ+lXwICTc3Vm&#10;cQlwZgFtJ4AxauEgB2Xkzgo4UIgRfev9pGtSAZPMii3FPZzId0HBxSO55Y+5vtaNPYWgd/Vmvd/l&#10;sF2wDJZZafbUHzEoJNMi5xejM9WemQrGQ6optWko8Ji9YCjKXoLBwIBkf4CyCJSsHGUXTHKGArXE&#10;QX8pCc2mmRWiY+JgJaByPlYUMakfVM9albvh3u076nuw5bSldcUprIsSf/bK+e6MKCci/unMRpqL&#10;CDzJt1hJpOkQb3Hl2Rc1GgV8qT4ED/Ho1sdqR63iHVTq2rivkspyXYhimpZf9+pzLyttarZ7StXI&#10;Lj59pbu3lvbQpEhRFpgNRmDMGAdeynMK3zkIknoWnpzq597qQnDINS6atuDGYSMnrrQR5ywYB0K/&#10;t3Kxoh1uRwsj781sUOYIBVy0almefdq3rxBOK4cs4uOIuS9QH/9bDgvCbVoA4uL5s90duZnG2ID6&#10;cl49AoI0NwcQsiFSsIjf2c/HO5AfvqU2lYMvFRQmoDE2pvUgzFIuIpQ4rMK8XFog1BEKJ82clctD&#10;9SHIqwZBE0DJWdVakoZ74/YNvXdHabqXujUBxaWladWY12ZX1DBFlaDP2WO0KD5W7IsbD9ligSp2&#10;QIpfCcAshoBfspmHAmE4JzYpBq9f5DY6vQ717/pellT2wuNr4nXtESF9ZTcAntZYQe7uK9Ks9FJi&#10;9b3ff4L3AyDqev3PPCb/rDzYjwQJE5kCnxPHEi8o1TOKK/mD/+w/7Z6eUbzJ+lr3vb/5s+6DT37W&#10;ze1tGBSdO7PQvXThqe4lZV7NTi51Zy5dUdOmlMkl3scvwCYsKV1SDZzjF0dZZ4Hy7wK2/b1aVmxR&#10;6zwvz4pssRsNBYnQbYKJz/q9uuywQFHOQ12jgEHNRTEOcUUkvssKmdHpfil5nPz62kMZI2NOana5&#10;MfrshSthNoBUoITPmdmw5yCdgM0otKA2sibOn1/sbsiFtEvBNvasAUHKYZNhAcMK+0DTphMBa4Me&#10;tnMDz6Rej+vcwTK6S6+mmdgtlPmRKGgCwIkfoNlT4o2I45FR5pTBuDiwkCnh7K7GNnDCMHjPGvyR&#10;HhoGIXFBieVyFpZeaTCHhd2yVFgT3YPGU8RXASacegyTwjixtgUikgHAs0Qx1V6YsVWLYQdgIMsu&#10;bd0LrHsuicnQ167iIPZPZMBqyi5LdjxUoCqh3u41QPAhMk1/JMaNf09qs47I0MGyzlnJtnR0FGev&#10;yVK+lTu5CgomnYB9wv9n3myEuP1C0p/dvtxHn4w2mCOukw+ZBYatMaNEPw19Bvey5CGfJ4OR7MAd&#10;KXtqUGBMYqzNKT6BNgAuVgag1Vodi63XN8pSgbycgUGFyQPpUpiaXfXR4ZwgIzf0ORQ8bSf21xRX&#10;qHWbY34lc3m5HYNGRDVMWeaOd5qVYb0lAxO25EA3Muiw+wKGbKJ7/sUXuw8++MCMMDqSSQTsUpr8&#10;RO43ppuQHWLh0A1lxIlhnu/WdGMiUq1sWvqdq9XpBrtK3VxWDuySlPdDFXyaFxtx9sUFFfY4VLvm&#10;RXUllDvj3ffcnZByoJRPZsY5sHtiDhA4M/KLH1NRa1+Tgc3vous6GGIqFpTWsijfO4VE9ygSpUlf&#10;E/OxffMTKAwHeK6rWheU+otfea1741u/3p1V2ubnisnYw58OsNH71QTEMQ8OwAFRaaPOELkrMDEr&#10;2msfwaXATdB0WYMD2lOTQtoNKaM0GSPTItZDVIctOY3NgtNBJxGdVQHOm7AkGhvV/uhYOmwYULAJ&#10;e3aeN17eXUK3Plq/6yuP/u/6lHIBEoSXG7Do0giRN157pVvSvL7/wYfdptAvnSAdY+liO7ioJFSI&#10;GCa+ROMbI4+dA8ebtH1Bnycj2mT6b1UxLhcUcbywcFZuq339fMVMwpzKwhJ0RJzEcXdG7z+jaHOy&#10;bBLUhEBRarLYh6nuzGV8itqMCu6bkVzHL3iGroda2zEJ+nkJBjJ9qAJ6oJSkTbJ4tMmx3OjUCXCd&#10;1HW4Xxr3pO6Fe3MY2AXQlbDKWgRkFGtU69OmPWva/tG3SAc0uaXQEMg5DZqsk1KUbcEikPOq+/cF&#10;5wA8MrNEnhOoSjU57UX2HkK4GnuVkmKuXLfF1tlwnH1mxM9jS7qBLE3AnsA2EwHLBlAclzVH5sWS&#10;mjt969vfkhBe6jZUbfQZxRI9/cbLuvda9+Mf/HV39/aGhNAH3cXlczrP2ke7093ChcuKmQA0jna3&#10;KI4H5Wqau/qJpO9MuWOSNR3FVDR3zW+BiKLRK5OjzwIMq68GEBt8t+CuOht1/cxzzk/Ndf1cNQty&#10;jyixciXU/E5QfKmNtcbA+yrbpNasziDX5m9lwfP7srbtYmpr68nX/Pj5sYzxyzu7ril2LFfgHUHL&#10;Oh+4FsPO4MbTmZGlzcufdT2LoUvNf3DmFGc0wXBRaDH23JTtSG5g/S6BkewH+bwF1AK8Ej+BTF6U&#10;zOb5cUMP1yj7reahwEbts4G88v63FomS9rXR42TaWQW3NQkLW/uh9rLdRjDKBPMBzhg7AEwXy721&#10;f2COdR1leHePVMTuodL/V3dVsVZG/KTdxrxfwfCaj1XVa1gXoNoC8ao4RD9d1XPZ3Cf+zlmqzdT7&#10;fto4e5LRkXMYI+vUquTsW3OGScCFVWX6McapHkndim2qbFIVmHODy1iGOH9HX7GPJlVQjL0BQ79D&#10;ZejK1CDDB7eV+5EUUxT3ucllwIT2hTPoYBt05q38Cca0+4WJEAsjb8AUehiwJh3HdvUeA7zr/9DT&#10;9NiIcZAYH/QDn5t0BhF6PYCjUoHLpBqnzCdtg+dIqWOQvhi5zBQ30efcbEoBL2IYiImYV72GGT00&#10;0aHPqazopsDDm9//fvfw/j0HVULRGUhoM4BuKNqxJ2Ww7c6eck9MJQd73MF0Kukr5XT77rsqDPVA&#10;edWyTmStwVZMyzrdVXooMRnPvPRS95VvfKM7KyvpeFzxGfiE5s9oMkbUDU/BX8h86BW5S6Z1T0+e&#10;FmdTqZ7bWxLWQl/7DXU5CMWb3+Z+Do+/4teyBYRP0kK6qSjOjIVba6HLYvP3U1aoBXvbbLU5fSD9&#10;lfsOrekn7Oj2Kyv1Nsa+RdsXzPm9bQ69l5+F4Hc3lA402X37V74uIDXS/ezDj7SpVPxLDEIqFpJr&#10;DojDokQYidLCuSoGwAVPJLyguuYXLgilznX3Pt3sLj1zuZtdvtzdefh5t3Ckkr0KiNxRydcxVbTc&#10;ceVLZVuczDmi34aNLocFO6YAMpQ+ham4F66WJbk1bImKBpt2YSki9AU4VZSFPir46XY213wQYSJg&#10;kxD6KmmFqLYgjeMp4KGa53z5TP5yfxkKkjBNBo09KyrW3ZNE0M+/fh/YZLsNgYGZI0ony3ojuJi/&#10;JeLdkuGXGzhWVkEm79eAWdcGkJXKnH/jG1/1GVqXD/mWzvDJ/HL32itfU82Xme41tRx/54c/6N5/&#10;653u2s07Ao3qUKoKl93Na92ZC2THLHUTV79tOtMKxRiYuUmwcDPwrKQK5BQQ64M05rICE0sx9UFX&#10;PWwBOit0zozThYeuqbACSa8bMAJ9hdDWjF/1sz762SR1rop5sBKwIg61H8WePhP8rsBF/319IIT6&#10;yFkMs0FflwCHKHz+ZGBB9L+j5QMM3S9EChn3A/ve5cwBq1h5LbuExTRt7rAjqjAqxkmxXjQjrOJx&#10;eY60+ObFmeln0SQOBzYhc5Z21wFNzAvZBx5rk3f8nuevPkGD8TY5acPIQZ1NPur5PB9S8FU3pbJn&#10;amn4DPuc7+4bQa0f4tE4/9TJsHHFtic2S7JYMmmP8er3N1S58tKMAhP1HOehawhElbxaVwzJtrLp&#10;diVzSH8kRoDXFxgx5r7F75w+VFm27K+Ss8P3AIjas9aa9d73xfdHuQL0jtwGvbG+rA86FJ2q66Hs&#10;zQ7pWbfErjO/AAuKOQKiJtFfxNUASvQ7sCUMgjP8AGG4fKjfQ/wDbhrN04xcPDBTO7ovLdSty3T+&#10;WVs8BswZxvjR0bbjG/a1FgN3ofetFZx1N69+IGwfZA0YUccBwdZETgn0jpqeDnWnxZBA44Kbitym&#10;rRIPsCZXBdH9r730SndFkd1b9KDQfaFa5mUpfu2rX+ke3CO//X0LHNwj66ocueJGJkolu7+q98pv&#10;K9qbLJBHDx7ZD3RnTClmQmRb2thuU+1qbB6UJmaue+6Vb3WvvvFqd+7qeUzY7gFOR8VJbMvfeP/+&#10;huIvHkhn7XevvqKGRaRTQtFJYOLHWhP1MyYL1pU26ZsBkHDp6+xXJgpEbGsWxa8vgtFgI/plYR1s&#10;hAAFXBgpe4DNEgy48OZtSj1g4/FN6Y3SgqsKvZ3e0F/27ydu1ibsin7DMsA1pCYl2iRb3cVzC93X&#10;v/aaK5z96J33tKYLuj9lemXlqLokHDxxCARVsqncHI1WugrYwlK5dOWF7qzcEZMzz6ha5FMCjivd&#10;C5NXu7MqDEVmBUJjWnEnAAVYY3fZVPtwUkPJcNnaYU6w0lSETMAQYDEi8EjfDtczELoFWRODgnAh&#10;w2N5fFF/A8AoroLUKvcLgF5NV1JKdZPqlZYKpDcBWhJ1/e/+agJ9IByylimGFku2Kpv+T71HAQY+&#10;1weU7AXmj/TVV199tfvJT37iSPC6V/rX+FPsup9724aDmx1UkfpYJoprUN2UV155pvvN3/x1N7fb&#10;Pdjs7jy4ofoF693dNaVriVGaXH6m+/W/+1z3/Fe+0/3k+3/Tffjeu92eztWMGLvPPpUrUefwP/7f&#10;fntgJZbLKxYM7FdANnRnvzFZf8+WNeozYoEeZZaeIg43HijvElI1Z/XZUmRV5CmfGVbkrGsPBFs7&#10;HwUEBmcU643MBxRij22qOIc+AOoLz8fdJXGBDsDIABhG6cSSy7JlHiJoC6BA4bOuBZhQDFHCw5TP&#10;/B2jg2JEnCkMsvazWcUUurKRidLQv3HlcmZwJSPMiJFBFqIkUdZYv8Vu8D0FmLLTqiFcjbNkFf/O&#10;ZwowpOskqchxvwVIVr0cB3k2q72yIOocVIYLYIdrTrttudwh9FTKjc2guWCd3CMHsHGS23dFm7+r&#10;1O5ZyZZZucDdP0VPvis5jLtuxGnjpDZjBJVcjvz1uhv4NtdELUw7VfzzScZB9mk5BYdHsNas5qnW&#10;uObVOhR3jLIGee+KzjgxXwfNfZ4W4FoT3Zcxzy8see3JutnBE6C5QQcuKiPOe7qtD88yv6gaTE0m&#10;lZJ3sCgCmEva3yj95zlIps64dDdRnJMwVaOK7ZCuBdAUQB9zfBmuwxjFYSlYw7Z/db9KefY9W+XT&#10;4d7O+1RsKlGbRGODWtbkOvhMTWNufHpDlvyWENRM9/H7H9i6efWcqgtSG0GMw7po5xs3b5mmuXHt&#10;k25rc1W9NR7J9bApJUH6UjqJrQuMzImyfvGFFxQnoXRMUeTbqmJ5786aAjlA7CAgla1WwQ7ambJn&#10;qWJ4+fk3VLpUNLnSovZU5nQGelAbaYbaA7KqxqUwx3fXui1R4EfdJdejp4LeuBQlbYT3pCTJ5yfg&#10;RfF9RqugNVsajYY0ivehh+YXRSbXDVG+PmAg8wEYyMEfMBENmdb2ijCPBWJEj0XUhFQJD2+0ZtE+&#10;GfkON2uUx+MIuTZwXa8EgK01oXLoa147mtv1DYJhQK4EyzAmABM9TZRKBFUqF8YotfShHAFNGtee&#10;GKFtPcOCAiXPXX1eoExuppUXHKBKz4L5BUHKVjtD8U2mySan8e+SQqquposIlTAu8+Pz+h197lCY&#10;SeXaE9AhlmZiglx0ARYBvYXROZW9hvbUntJmn9C9llbwWzOhUNEEhkbRzKhyG4ACdxd53w6ChUe3&#10;lHgSydifzy/52V6PEpCZPwvBxkRUlH4xTL/EFf2WvhKtta5GRmUBIzxeEsMGgKBKJaxELObQidlP&#10;P/+OBUgdv+OOo7EOyO2f0vz8xne/a6F0IAC2sX6v+8s//9fdZbGHN2/jb55TUPI5dRnUWT3zXPft&#10;v/dc99Q3rnc/EzNxS2BiY1UMH4hNr4pNKKDgcwHwhsJmqcyEVdzH49lH9Sz13AUUKo2wDyT6ipvr&#10;m1FswCOCuuIYPMsD9iDAvQVTZiAec1Gz/GroziCYb/jZ+lwBi76LpEAI9HQ/PqOuF7coLowoT2cY&#10;mIpL8KJjRwb7IcAha9pjJBy8l4A3u83Yg01p+2dvbUCEauaIpdtS/yEm3TVrvP/xjVOmPixqAEHL&#10;gsCHDVXuMUYhVJxHNXLL88cCZRz91uSlTAd7kT3ZA4GZ37g0/Pz6Gdk76JtjyzlujcH8Q+8jnzVH&#10;PhNcj6fQ76iq6mcW/0+AIfETCqHvPlXGxlnJ8vMYY7qZHLAa7HG3pDLf8+tir6WDtgSKYfRSvbV3&#10;cDACDQjCNjuj5gmv+syTjLb+2/tAov/7Ai00ZXNHUYGF3T2lcUppuyChzidp89MzzQ1ot6VAB64K&#10;RJh0zhRgnDgzvsRYkLzAy4GrzDO1IGCWZOwBPBwgKTYZ45i9Q3FE7utGkpL9iq3V74lnEOBq6aTe&#10;D3PQAwTZJjZpj9LYsF+WO56qpoE442GY8oorMczOMDB53BtAv1hX+tetzz7pjmSpzOqNV2b2ujXH&#10;B+x2D6+92f3swbXu3vs/6T66rBTPi5fdYe6Rvo71npufvd/dv3u7mybqlihOoeYxpeJMqy04aS47&#10;Wyfdh598LPCgmg3y3R6gZMVgzAqUzAmNUXvizMqyYi9UsVDjcctRWcI78vOdiLobkdaaETgYdfcQ&#10;aF9tGLlVJnSNY1mnu2xATTjBk2SV+KEdUa24DKUIEczk4EoCwFpQD2lAqULYKlgyEURnKjfZXQEP&#10;I2xy6rFe2OyJKbBv2NaCQ52a5Ygk5z0sNsYAtFJyjnETVKvc6K0vaofavP3vpzd0fa42sjeugrDw&#10;1x8qNQ+bnboA+3uKadCzEFXsyFss7SaAE9KFf1spZAIX0G97u3JbXLyiwijqczK9InRAwzJteilu&#10;d+Gkjndge+hynoFfkQ5MuXKsUv3dlTvZ5LYtEJRiNtzdEPaDyJ5lb3SqrRH4xqGYwReon0cBQdSA&#10;cMETCRhRltC2pDfRNWZZe+Dv/Nqvyho5VP2EO+4Ma3cSVB/BR1hFunOyEagn1uhN+/PReFovpCxg&#10;UuAJRsTzwlrxd57PnWhD1fIaKHP9TNtuntNbwtdqB0s/p4fG8P21bmU5GFwiLNn3+lxF+lMRFNBe&#10;FDLfI4xb2q5H0sZT57gnuca8COxvUnXlvtA8IHh3NG/f+pWvdl/75tdVz+WBO9iOap52XQ9Ggl4+&#10;ZGporqrDH4G320rjZU+fvfha9+u/c7V7+PzXuxufXZMx8anvZqqffd36qIQeT554X/HzvOU6KKVc&#10;74kFNBz8aXDRe6x2zSGDU4o936l/glJqlWALmDdQ4VoZDQTW93JLFPvQj90o9qEfOFlMA2Ms1wXC&#10;ttYV9owvgN+MLGo/C9S3ezykNL9ddQ56bfuiGQV57naWODMYGxwPItY0Qa5iOLD8AySJPKKE8ZYK&#10;8yk1IUXLvGXtTHGBNqeTQ/f7GgIVWI4YDP58DJJyzdRzOPW7KTk+7zo5pP8pmKOy2RLEmnHxbFZW&#10;Oj+5FjFVPRDek2t9sFhzW3ESgJ9DsV2cAzMxBBFqfC7irGtMyV06JTcGYudAMQ8bMkLv6d/rxFZh&#10;NeM6kUE6rX8/Ix3wzsYdFZyCnRRDWi227RqM6EleFbI4ctu/bK8+eOj/fBrExw09/NyTwEbtU+K+&#10;YGU25MKnbQNnkqBk1nhDMYRkfxGYuifWiAwOohVnlR5/KN04I2AxRdYKTA9AGBmlezsIlfXkLOv7&#10;WMu8k5UvWUQvK4YnfQtA1r3IqhwHNGmt6PpJrAkBzMRMsab2GBQTCEPi+cpaGhzDbBgYN8Omzdfw&#10;ub2x/BKIIEf8RIL5hsGACBZHjlJq85IC4Lg5qHXyeKs7fHi9+/j2te6nVLTD0mSBZFEqbrR7WhHd&#10;m9ITBIVg/e9qArZUbXJLwh4G4uadRIoSmHfx6tOqKvlyNzozr4YzSzp85MVqgvF3onml+CdniMUg&#10;0lXPok0zBYUGipLSWpPS26IBjSofHmysKhhSJUYbPQ4lxnITy2zXg8Y/gwLThZKdoEkmwMUZFzAG&#10;KcPqgkrK7QUFO12IQkreOIAFJEFKOTOxCNx0QOOvYR+yACUlYUBcMy2fbwGHfejwZcj3NJjoC1ef&#10;CVuo7UrBQK6K5xbaEjBYK+trWJ+gX4L3NE8UviEynVhZktH4DH5sIpD19fprr3f/4X/wG4pHWHUQ&#10;Ja6I2AeNnq2gQgOQAAgrMKN7pFlAQ2IHCNLBQuHvuuFU8+8bnSP8GDu/S+dBvvw0x6HznBYmZgOl&#10;CII+VtzLwc6q0NFad0WZHf+r//zvdZ+pte/tWwISAhg/eO8T7Qdld+j5d0lhMmAzZmj1SAiSxb8Y&#10;dxQprsQIBExAWyaIzwemfa91Kpqy5rw9MjW5gtgZtind3pqcWrASRrFCs+c4pJypN9980yxEVf/j&#10;o3lfAFB95sutn9wbf3vasKfL5flL57tv/9q3HRBF6TrSuTBEDhTYeUKKtQrdALDZm/So2RW4556P&#10;DtdNeU6snO9eUxDtlVde8zhQLlYKvpc+ZZdLJiD7NQrq9DxYSLEWBrHsmVD0OTVRfAVCPJdtbmoK&#10;q/lTgbECJsTcWEk2FtUXb/epNcOyRUHjgzcwaxZ0jbPuW0GdpWQLaPB+vrgPcQawnAjeBMWmW6dT&#10;UzWGOXWMRMQEQAHkEFpZawt8hHL7Nxsv65rfS6j5rOB6iHrL+mdWUzLdckxG1A7r1PztdrMZm+o+&#10;MpxQLlmLBPbRwdUZAHIPlnIrEAGLR7zSvXv38kwOktUYHdQnhUMMEy6CBkQCFJChGFa137M/zSAA&#10;KKLFLEf3ZYh5/A3QmdJvjKdrDjRWhPGgJ2rf0LKaecPcG9G5J0XfIEZjfTCu/kgyJi4CsKl2KgNk&#10;d2tV2X9L3TfVan1zTyyNpvO+5mhBN1+U+xQX0ImeY5fqji3+KpvWUtlz9QR7bnCCDeBsILS6E36m&#10;xw94ndHaT6kxQ22KmQAIvb+MjKp8yb/JiqwKyAdKPR2fS3lzB7zibiLmyNKUqU0WY+RHzhTGmncI&#10;9ysG3GtDXQqMBH3WWVACDHofVTIdcaW/E3TruAjHfMhlLN0Q8AtDTFPML2ZaMVEu/9+EI+eCol+8&#10;xskd5QQsnL3Qnd16tjtak0sCP5XcEMRKzCjgkpLPy0tn7LPeh0lYUEld1QZg4zxQQQ43XdKAd1Rw&#10;akOb/ED/JitiR8J9RBtgmgwKKaI5cs+fUu65rjOn+g+jCjbZ1r0mHNUc5U+gCBucLorHCsQ8PiEI&#10;BPKFDaUoVwWIbO8qjRTaSAqIoFAONBPvQ5y5DTJvNAxxGK49z991ESg7mAgoddORTRHek2UIFQR6&#10;I93GFR75aoIS6+PwkABU0onIbScIKsK7Dk2hswhOw2C/4kd+fAP+rf+FMncKl+gs6D9tLO5z9uxZ&#10;u2XW1e1takoFuUil01zhyuD57ZdlfHrOxYW57te+/e3uKRUR299d7DZUpZTOq2OT855DSma7Tj0H&#10;il4n+o4v3CWvydJGozLlruXPgEgRTqxJvJehSnl2MyC4mHA12YfJNfWd0rosLtYqv5cflK6VO6r8&#10;J5XXLbvb4aPu3/7J/7t7/pnnul//je92+688100puHZ87kfdn/3V33hcpJ/ZhcK1AD78y5sfsmO/&#10;O39uuXtObrXrt253n1y7pj4HS95vrN6x3ClhACK8i43oW9pPWq++Euz/fPq91nMWMG06NP+ffaYm&#10;PRL25XccBC41wNG/xpPYq8xrrFn2NhHfpIt9/etf17OeVaDkare4NCMm8NANnebU9GdxaUHvU/tw&#10;UZhnVs4mG4Z+KDIKdgm+gubU3tnVmTsR+2OoofUncM79OBydH1bGCle/ggEptwND6vtuYckYu2sM&#10;tIwO5uIQS7PR6PVsdQ3Po3FdlP9jLgftj8F/7BV3H84edD0HvR9BjJuoLGBiZ1CosEFcs+IBuG6/&#10;z4Snk3u36wVIpET55GSsc+jyE1l+nDsK1k3KNTgh+UlQcfrnyAZyTj3AOi4Eg8BcPPtL313imH8j&#10;a7Q3HYfgkvIxXrxXHOApo6ZZ4LyPWgsOyoS2Jn+fM6+Lyqa3gqjdi0Gzp79P++xHaTJ+x3+Qsq19&#10;sL2zIRlNEKDYSBSL/L4oN4KdZyTXWGOC0nlm+oQAOOp5HPDJOPXeim8pF1XiOTC0NA+NncXIaVPA&#10;MviFPAXwAGpsgBDypsO6IYPCpgZuKY33UGO6p3L3d7QGl/alCjFUp1VygIrHir37g3MXbOn/lWpL&#10;rOMG0PPNCzT7WTWnuOmdiovBUoahZ4S9ExakzywErDKXAH4s/7CXAQwZewWR1t4t8ErRLzOd9Ddx&#10;FiILLtlrkJe0Wrpiuimk1nyW+CX0LfpKz4Chs0u3atfoEWDVtWbkfoBdYLxJgR+mV7pktV7eqwAw&#10;3CQEy/scC6RJLgPCGIb3i0AF3WbdB8j2XQxFxuwYk2YAugIrILCxEtUTKamjAYwFuFUXErkwpmjs&#10;p+ROWOl21A3zUBQrVikH8caDO93Vq1e7R7LSET7UAF+WGwIfCw+LH31LTp1t1Yp/tKa0QdHr+Fi2&#10;hEYpUnRR7Zx5uC35rWijvbO+qqp5ShEEFlGHXD9AN/HgFhpYJyiZtuDjsqRcgMdtxqVYRM1Mqs2p&#10;S83COoDmnScf/oHJQqCOjiVABHnA5i/61ZGt3ghRuhxWfOz0z6AlNXnrZhDY0dGcXhAfTl2Mz1ux&#10;UuxK54LS0UU/JrgngqJ84PwjmzIxE2XlZiv+LV+6WPl9XZJaz0qeNspjU8GLa3I3MXxbGZoT0/HG&#10;qHFxEA2NBctuMgugefr4vfdlyV7tXvrmrykwVfPcj10cBBsB5YkGp5PrfT0XawOCRbEIZDpXGQWT&#10;uWNeuMxUS2/zBEHfst58aUSujAfS1c87pKMKHQM650TXPbp5t/vg7Te73/+93026sVJYDyn9q3iP&#10;1196WU2p3u5WlclD8K+f0A71xg5IOQJIZgVMXnj+6e7lV57v1sXWME4ONSmujNH9RyhLKxAUEBFh&#10;H4GRA3X6dRpg/FwQYQUcqhChWxkAlW5cB/J0Kmfd80kggoC2/D7X5aennnlK5elfcifJ2TkEWooS&#10;0cCO1C5cXBMSSqtqV43AmFYK3ZharBsPIMh0jSN1jwTU096el4Wx5yB7uSzaGqut5d5X/d0dLp2W&#10;mFdF/du9QDaBAekwAyPnqwV+NU1zGqQZl/fWos/WcA4BZby4bnUZLabHbbN9FgO2a85rjWssFWiZ&#10;vyco2p1UzTTk81WMin4YdkP5bxwpuR7EvFLg7VisJuNDEcWXLAuTYmvU38Do1nnCCEKREkxs27gx&#10;IND67kgKewuGB0hgMZpVTyon46gUYctOjaEUOYZYBW3yfMCYuCKSKUOWBs80J4C+uioXqOQdDAv3&#10;ohDiHtlWML/NR18uoH6VS65b+5lr2jr1eFHcAaMwQXV+ionjPjVO12JomQkBJao34e6nw4wfwCYd&#10;Xu4oKHxd/TTGCBaUzH9++bzcmnIdKUXjm+ef7a7du9Zti8Ggjwmn9ViKHEDUj2fJ3vn5Upj3VCp2&#10;P7jX81goou3pPqPM+pw7e657oErKNTfEJGF8E6RMYTHW152o29pSooBWBalbIbeG6h/NKT+eree4&#10;s2IB+avW43QFVbcwaKKpGB3WJOeRKybuxJUsJaeR+fWBgEL0RmpC4Vr17DQjBkOP3y2dUxq/AXAU&#10;qksKELdiVhFXrxbOjUuk8Gdktcypj8XsM2PKoHjQXfvLv+zuqrHVH/xXv+/NShGjX1cfjf/kP/tf&#10;iEraVE3+u+pbsd299bMPux/9+E21Lf6Z0cz9a59191U3YE6o8KpSPKe1qPsSXqSd3b93q3tWNfyn&#10;FWRC3/tJLJUmAAtNMbBDELgbOLGZ1AxUSoIDRC4r9QMeiTEZU4VD/JAOjNRkISx5yHEhW2I2yJmd&#10;nVaPBlsDKbntyW3+cx7bG19TTbdKqGBoH1P/ihlIrFpoUwAKFTkTmESkarOHEOQ9gRebIwIjecsB&#10;Hykp+wv3b9uav/y3CBI2aHpeYO1vC0CA8hEUQwskCp3xhQHIXNy/d79756c/7Z5X0S6ifbcE8v7y&#10;T/+tXETqnaE0P9pOP9LvoCPJbWcjHimTA0BJHRB6AMwqrgHB4JKwioHBIuZZE3iHDwXmQptP70Fo&#10;ukMk7ge6TiKA2eqN9GHGaFRzqAtcEjv26nMvdg/lunikpm4Lcn2RdH3r+l2lmooRGld5bu3bs+oD&#10;sSb/Y5gjQGSCi8x9gMD96KRPyfLUuGm9O8XeakLbsx0fTZgnq1Jgz5BufxKI+OVXKcoBoUr7rPJZ&#10;l5uCdUAAnbaKf971DVw9furnJ1YDJXH58sVGwaMElv17FJclEvtegGppAT/qoeKYbnZnxFrNC6y5&#10;xK7mhA6+9JohHnec1LFm0Tl2sgnQUgZWurBV7A2Noa8sKtaA7wUq6nlt4aDEMdvBo41xGDAAPQai&#10;D9ROg7b63FA5yXCQsmYuUZCMh7lGIZRV2xfCjvVoIL+u3Qd1UejllkjqJ68SqBhStgNtawR6EktE&#10;1VCYHVi3KNZYb06pBFRRdA8XpM5Tte0GaAzMXL2XPew5tMUfJmfJZeNTs6JiNfolruszFQPCewxQ&#10;HGyYjAyCk7e1/1EO0zq3sbhhahbUK0UpwMR+0V1Ov+P9pIr3GbL6OXEfSVPuz91QgT0eXO5psizH&#10;105wZax8dzfVa1KsF5bygQKxkbe1f8wk6veSzt0nAvjnNA8XJYPmpQ/xomiXd4/EPN0VUzGucU97&#10;n9OJWv8mzFX/7LvanmALfOGY8TxkT7GHromxrGyVftZKfaj2AuNE5t6X3sQwY12mJaMAiugVmKPU&#10;XopMqb1UzFji+FKVkj0CY0A7CgxcQFTtgwLrNZ/FmAIYAZ42U1H4ekPxFchCjIAdzdOhXRlK8zTY&#10;DvpgDSj1wNi5zl4oCl8HLwPvM6A2655+MMia1BZy/JlupWtRzMllUkFAqvSxpophqyo6xNed3ZHu&#10;8sqF7oJSKWcuv9wdK0BuZHxBrUFRpDvd3sTN7oa6al5XnvmcgvGO1cFscvGsWAuVO5Ylubu3KdpM&#10;Za8VJU6QFykwM9rMtH+m6QoUahrNcGAsGVWIStUrtcFBaWyuCZdp1uAFCLbFRjxQ2umkfLvQX0S+&#10;4ncjShkL6lg+sEcqQHVTue8vPPeSG5wkXiE+PLJGUBQp7CPUrGs8EOiYV7ORpZWLbhZlYNIQmQOY&#10;qK2gyGh5kR1XgbsDF8Eo3SkRhPxngRQfGBsOvyLBMWwaR15/CQCujVhCtL73UW7/d8P3MUQEOcFm&#10;UkQSXAuy1LPxOEwJ7iyXTeIK7VSwkh+l0Zk2/ocffdL9zQ9/rPTds6o+qn4KKlX9j/7hP+reeuen&#10;3afXr3c7+DH1376CWPcPBUyIL+Hfalzy9KVZfV20L5XnQ6HYH+3ywekIGOQ7KkW/r2BcjZk0tQYy&#10;GJ+JCbYqRqj+PbMowKYeKovaRwsql/2Mgj5/5avfFPCUW0yongyPdQUDbu6sdR/cXtU1lTKM/5ZI&#10;ZNOWPB90qtbDe4q6FGOqzriodFUVwFIF1U/1LtKhoOI5Jg66IhAJ4Y0rRGPuC4jTkqavfPhb/3AP&#10;2KEmNHmvc8BpkmY/89AKrjUuhfYFifYlv0BlkdJnzynxOvY5KzVbYHtLrMOsApuHFrU3pctesxZE&#10;kK8sL/ozD+7f7o5UD2JJ+wZrZFzsoEIFU4VP41wXiLCF2ANUpbwrMKuUVl+w1u/GJEsAoBghpXhK&#10;AAaQx8LpxyAYjISlbbKsmVptnuvzPmNONQyD4ej7Vi+A+y2I8SSeYV2GkNdIX0u4sHAFnAI+tYaM&#10;oxQhv0O+VFBljbH+bpmFMHVsQtyi9BvZl6uGgneMKexFYzTs9snzGvhQWAlWiueAbUU+GXmH7w9j&#10;IvmiQ4HfmmsR+8WzoeB5tiooZdeMsrRqH3F9FFk+o+wp2mE3NkOOALuDeblHh84T7orU+4BJGH7h&#10;oiwmh2vysyP6W6xJrV0/84M5KMOqnrWAc84UGXItdZvOzt7DAZv8nXUrUFoglGD8ezLoPxDQ3byk&#10;Csg62xT13JWxty1d8uG+jFpYRArSQclTr2M7lrjZk2yaJotQivwirPFgPUp5+q0jLrT3+eefe576&#10;5z2BxbH2fZXGbjB+AvxnlFLP3DuAmvXWcpY7HfdQrW30wpifd0KKfA9UpPu6lQRrBaPDz43ZPq0D&#10;ck4CxB36jNxqBq3nj3g4l84mLde+olSjxoUGoEF6EKumvUoMx46IAe5fYAmGkWJ/dksB/IvV0P7A&#10;xWejWC8Z+wqL1AYqlAES3ZFCmj57sfutP/jPu0eKE5i78lw3trwi14RAhNwenz2QYteFP7i5qoDM&#10;m90DFbE5Kwr8u/pKAZHD7oLqxytvUBbkZ93tax9JeKvfp6oWjmlTcqi3FMewuBza1D0cOFjobceJ&#10;IBTSMhfamXQXl960IGNGOXBUxE7XtjEOGhkhWhDoP4p9DNu3xjceKwmKVgdAgMZ1yH1PPa8meU0x&#10;IFuq7HEypiqbuEIyP1ZI7DjycY9UuGlGKafjK4qpoH4Bm8e70CiigN1g03njteuUsmj//Hf6Vhv5&#10;9IfZqAmMqlzwuGpc75wB5AT5oMb5Ep8rQ58Stb0ty+nf/MX3XMsDcEnw66rWh650NIZhQ+9Tataq&#10;XuAPBQzaHJf1KqtiXAXAxtWpjuuRVYFbwCVc5aPEQuP9hwrqOx5RPRDNLweKzQ4bgRvDjAGltk0Z&#10;KIlDgn5OhXUOZR3feyiX2eY9RTW/1b2geAisKp4NkPi5+rR8IpZiSwBySv5+9kRK8PLMWRCCxQBO&#10;kxI+AFiEC8XT7G0pM5J3cPiw1EvO9Ca5AEWBg/78ly+0/ta32sriNngd+FQLbA6VSQmV/6l7hPkm&#10;c4aARYQ9YPuOWn+/+NIzBktWLGLjLNAJmqM+B8FsWCKas0XFJfGeh4/u+WzgJz+SAhx1ho0Eva6L&#10;+jW46lmHBU68q5pCrJ9rbjxn/mwob95XCs9ujoGyTnBiKWg+71oEDWyV9Tr4rs/ZZdVcEsVCAACA&#10;/3+uorl6AADJ/UlEQVTweRfxaXuIe6JkeV5X47VVlYA3XqVsuU7R8HabWrhGMeRv6TjJ2IdpuGpX&#10;T0quqfghkzJBaWsXcePcIXfKj55z5xgQz21kFQGIKHjAbBRcm0+syja32V9NWfGTNjeWLgqqai8M&#10;3DBNqTG/jI9npzggi1BpnKw7beHtCtalqQQ7q5YE62LydmTc5RLx6/O5QYMsvZlYMl5DV0SUaWUX&#10;FSvCfkM/uMy15pNxluvLYNupuzwL/n32An0t6OUQd0i96jx4r2huD3WGr2uKH+KCpRihsslOiKtT&#10;A65NgDQNFGEemFNKT+Nq1lpQiyJ1OOLu/EUv7ss80cFz8Ew9C7APPIZjLbdnjFWziuwPs+ySgHpg&#10;wFXFD/G5mpMKNqbEweYmHWDJooiMjPs92ijxHGHXmC8+h+sIpqZqh9R1bbaZAZZ7SHFPGHUzBjYE&#10;8MbFA0DmfMZdGXbEBEU70zD4QxmGHYIGSByRm8K1xmTajyCMBME5BQ7rVRedVV+D73z7O1bKC0rD&#10;5IKU1h0TMiGn9UB+vzMXr3bn1D3z1ucfds8rYG1GgZhvvf2O2YRp4h+UXkYFwksKppx/8TlZlViH&#10;e+q5oa6fLaCMwBHn8dojQUAVj0gNcQV5sIk1SaB03gPo2lY9g11lbxApTDEN+py/Lz8+MRXLKqEN&#10;gFicl5J318eUSs4ZTAlq9tCGKoUBIlJQRK4MsRAoTAX2qmZ7QMREi3i1VmHj62sM1Mb4XGKVzZEc&#10;6SCI/3leww01ZD6MJlHKtPcGbdp6wh9JOVrNKZsFOWULB9oripaxwz4RILYr4Ud2w75qZRwdq3Md&#10;wbC0iOb9tthhbJKPDLp19zmEHhH/yZNs8wAbg0XFd8Ly2qGVELB7CBaj1eXgO+vNf8dY1boga74j&#10;QDKl4LUj/W5CAo82uddVBOmTmz8IM8V66DrkYPOZ0WntTc0BwaTusWFLP+sdCAGY0LNqzx1OsK/I&#10;1sDFRTEeBDyTwz7BmmU1H7dQvHtO8aCn2aKiX3lvAYv6XNRp1qtP0/7td0xZrIr5aX7zbSkC6Oqt&#10;rYnWxGtK7otFR2mzZ1lHjF3mcWyJgjjUZjnq7gp87CjQ7rL62IyLwoa1EK7QKxk1cc8FkPd9zK5v&#10;0Kyf4fP0iquhZA2iIvwcCKyffY1m4ZQiL2UY0Abuyd7pAwnPn/ZgAZmaU8f46F4VvFmgzpatDBjG&#10;TV8cXgUgisXgd8VqFIhIszmdJwl+AjVRKqUwKy4ApVp0ste6xZ+ckB6tfegMKM9bGM+yPLEYCfaD&#10;qeNBq6S6955TyOPCKGt2SnvcqX4GTi2rzAq+pTF6zxF0l1isWdHoyARkrGvn2P+eoFBcjZMHcVXg&#10;zqAOzOo6VYsVnM75ExOFy4RibnsClCdyuRRIAID5mZtSs0xscSJ998oUSthNm+LmKnAWQy5yp8AF&#10;DJ3dPFynBcmWhd/fD5PIW8nd++o3wl6n+q6zzDRpVHWk0vE4AJDCStwAQ6W5uUsp1nW/7Nz1ZStr&#10;ReE9vu6rimsp/NqP/ToJBaTDugIWKKoX4Oz/AIX6G2B2WrIsKbpJH2ZMFwRWtiW76D0SdivuXoCY&#10;S4PDxBt0Kj1U+rBcdXFpyvWov21IfyFrU/AqcV0nxKPI8N0X62Rvg8F3XCPIcScvas62aWiGC7PF&#10;zDhQl73lVFBixwIgkPmkefNCvtacjFNDAbQy2nL9CW6zUFVWxPbWA220GeXyK0JeLZ2pMoiT1CBB&#10;k7E/JZSvAEyihMZV5xwLE9aAyVuVpXggQeWIbx8YBWnogaamCB6Zd5VK2qxi+hJ8dUQfBoppaBz8&#10;x/9QbqO2pqQc5DrbVdGpH/7oLaUx7ukaKk6lzIJNxWRsiAmhIRTKC8uBam3nJQwRlkzqlg6JG2s1&#10;QUa3OZSnD6vu7/gJFkpVMoksArGSahqXRixsCjd5WPjtZEEcqUojUdP/c74GTEQ7xEabBG1xmPHl&#10;q6IWVuasWBKCX/BnOeURIc/JA/77s5VCpl8rSJXaDazrCDQvG4fGQBz40EKoYNSqP4fVm2Ja6aIJ&#10;PsuKsYdSK8IZA0R2E2iq/ZQS4boCt+d37K+mqE3H86UAWoMTrAesEbmU8C/DHJG+OSIwsbepevnu&#10;WofO177RvmSRiekBw4xSTbMdZBC/YzHa3QBZPL8rsnl/6y8SSif4VdgHsr5cywMApPE4PKJnfRQb&#10;MQAGVnRftGpK4fXdG5zCPvXev9bfdv84WM7xUgjjABWUx4MH9x3DxHkgjXNnQ7XzdYhIYKYFMV98&#10;hkDLeVlzk5dHu7v37oi+3e2eunDJZzkxGrCAsaYcOFx7DzkxmB8vrOfDgpMpRfk3hReFzpIz74md&#10;cFGkJogG9KnG4/gJGK3mbx12wg0Q4x7VW8J+YKQPaYqAEzNMLS0ZF5YNhdafQr+f1LmPT74BOit3&#10;lBe7OGPHaEp0gx04nlMsaowRN53Te2DD+BsWrkGEFXiLtWpgxkDJ8QY0q0Im5vkdE4EQbgwJDmE8&#10;jwbGZiKSgs65hi6mw/KiYshEy9klzM/INBQVSr2AjYuvqSohwXJ7SvVmHkOh8165QJTmTZ8kxoMV&#10;C4U+LfDNmZ7Rc+3Q/fcgvV24buYtGSDQ69TDwGU8qzgBCh3lvgEYvMLAhRHFRT7VgrD5fdVFodGe&#10;GS1cwWb8hmxcAAdrHxeV2RMMoGbBI1tIPD9S7MSONvy4/jYnADROnRxgjw8BzawEkCSbj3Qfph9H&#10;BnPCp5Ot19+3/pfH7/2KnLL8QPcoDVbztyC5c18tHcJrlknE/hm+v6x1f97GAoyWRZOZJtfDIAZG&#10;f2POnB3UWCOU+AN6P0nPut2C3lfxBhiBlp/sF5g55sbyPsa12TXmTGtB92azcjpXXJO53FPjrjF9&#10;R49SWp1Ae84p7JNluF2A6Fxq6Wi92acwtw4xgE0O0HDgsB9e74VJa8xiyS64fyOOExWgIdDxWPnI&#10;7OZDCZd9WSbzKGf5wol1oIc7lNfI8RkTB6QoUeIa/4gHoAVloyK8WIRxlUau7m4HRMMrCG/K6XvH&#10;SgHdtfKGKkdpcG/4NSptIcQp7rNNCVfTlNqYQloUVeFAzy8sa3E4DDSYGVfaqOhbxV+ArCcmzvvw&#10;gaTx/jNZprNYEE0alD0WKXmyREmzMOsCIfsak+M5ZKHihyT9hq3FvjuS24S9lWZVsCZp00uWBtYS&#10;G9yLwlZzvAByJYKJryC5WAvesl/UPbUew++sWntfxGdeZlMQyiBKGp7tJpWKkOo9Ic4NVQSdkcA7&#10;0PPaB61+IieuaRH/P2P1KEzKxN0CgKLCod1Iej4KE50YqUJjs4EVDY6gJredbGOvJeNLvXeEAyDN&#10;ufBsdg67Nt5AwBiIsC3ZjPw99+ffdahH7TdOZD4yhLWh1DUA84A51ppS2vxIVjJ1HhKVocNEAFv2&#10;d/zSoGXmw5KhnjXW254p01jCDpZlvxk0cGAyyVXmPB/PrPfBwpPARP999d7Q4Vh2mWPiYxi3dwQK&#10;owmR/sIP9sYviU3LFxt/c2onYGmQwXT+nFhCRYrviDF8R+wglWNX5JKscQGiobBJVd5QHMWhq55O&#10;iJG4a+v7jBp3IQA71WIxIGvzUO6DYhaYRhiqZLtUlkjq99NtMsIn58eGotY0wprfJ9uhrj1QKuxL&#10;C+S4IOo97veiseErdtAfoEGvhMhG2O27n0tikFD8KFuqt3p/GMwCcsN4EuyG8DzWzxhIVLTlbJX1&#10;7GfU7xYUMW+lbEstQhfhzi4jRotDAmAgDumAdRCF47RiFBgWHicN8IOcYwxQ1LhHJVcdns0+1bWn&#10;HIslSlnzPkoJfimBWcUBbStFF31PBgfWOnIRcO0MDH3OSgd8Jhnq6oE00sMt6cj+NHujdxCugxkx&#10;jNtKxZ9SAadZuQwBzROKLcPFbN+8ngdLl61PYDqxaMiuOTVg5D4gRAolJa4kcQF0R4aGN0BRFh9z&#10;AIApcMjaVDbL/ihh02K65wggVPlrxW+ZOZX8sDJ2DZ5hBpDPFnMJVuN5AX4wkOwnunoCVC1gtdfo&#10;5AmzzTxrvahmTAzVrjJNoO6HzEZsKdaCNaxzl+8Zw4LmgPgg1sgn2PI4+9ZmNlulgY6SCZEDAFNc&#10;5extmKwoYFy17KXoYkD3qOPXyOKBoRCNEsYI0Of4FKVgK7gTlgA9Z6BJbST2HWm77F99UU7hUJly&#10;7EP2RoAo04LC4oFaijREAQCWWBH9gbACnzBiyGwwS0Y7TEIsEsPTz/S9WpDMyAGVLMZFBzgrJrmd&#10;3XGU7bEOkIU0QS7aaHtS0GdHzylTY0ULCoqeE3OAX21SUb3r3eYZ+doEEPCZHpIGhl9cmx2BNamM&#10;iUOBjRU1XtpU/4p5sQV7VAEhWnaE4jfqiyGkSLljilVYsLpSCyCGAXL47DX0pmQFqtgTyPDl1563&#10;m+KTj29ok+swyE+2qEMO2icrY0JAYl8ujUlZV8tz6t2xoRiI483ugpiU5admFEB5v7un2ha4cVjM&#10;+0KBGwI0HKQJpbqpLaj9bzA0o5gBGsO6FpkJndb1RiSkaHQibB9QALDRBkYJqvKsaXZvZNH84xLQ&#10;VFJMae3QlBaITesN6LMScH7usDHUwPBBsWuAraBNw3eKhShb4sWnLipG4GmlLqoN+wOl4n5+Tf7r&#10;0e7c3Ep3bgnWiM2KUqcaJAwStQRERVpmR5A2rck283O6vr5AFD0ubE2y+clE0fdJCSjiQgzmzRjh&#10;28RiwkqjpS12Qg40oM8uIM1NIXYqzz3Y0IbF76xxYTFYafCfES8qI4FqPiiypraVMbMoVxplqUrA&#10;EDwK4B346KODPEYwiCl32COEAZk7+g9MsStBCgieUBXVRbm9Zha1pyWISW90qi+gyUsD4GBMAS4G&#10;khpb+jYEnKSaHyAhOebMnV1uKCOUAtNrfyNIidmlpGwJLRRYFAzzxxyjo4e0OK2WY1XkXkkTHOyd&#10;PO7gxb0cjGepmHorsS4Vg6RmWzKkul//tcXuzR+/Y3Cxr/3wUKnbW2rWdumSXBfa4wTrYSEl0DGd&#10;b+kqyPpRfj8KdBhI1o8NqZ8tuIjcbu+zsDUwDAir58i8pVxy3BuPxyHUg2Fh8VzlOqjrMBY6HwII&#10;ARJYzcX6+G/6GsQI2CJLjEPFXXB/58A3sFDrx2fSATMbqk+p1xgTUJcR9t0l1cfDMSguQJVsCiw9&#10;u0RM2Sd+IN2NNU7aQxOrwbnEt8xWAaTrPfPIMhNkKQONQkgMCecrZeOp52BKWvOEwibrYkTZNIsC&#10;Arva51tyS6b8NPS14owkI1Hkk3TNddAtYC73w0AoVsMll/VVLpyqPVNFl7wnUWAOXJWr0RZxZ0B6&#10;5849zwsgg0DrchtVKeqap1oj2BO3DOcM+LAldZVXuatqLfmdwYFuxlgrxbXWyXsgmy61JbCeG2gs&#10;t0Gdo8HhiS0z+OKzxUC5XoYZ9IBSA09vjcg+x6D13HjDPQfwQPhqL9ioEpjBhaQ1RbeNCdQYEEjX&#10;7isZYZzAVgEpwB63gX1gDy0pyN+kbmPs0AvUNiLDzboJwxqQCCSzrEF6YuQhcowiumNqZmhd0PE8&#10;OyzSHtUrERrNVZg5C8PInmUMTrBAtmtfQBCw3wavoKAGhiKjLN14UHpTHeBTlxjckXI+a0Ekd4FQ&#10;75gC6BaFqAi4IwKezpm2vo34pRxVIhrBm+pXQtO60YbABlHgpB8ykEMsVYQvmxCaDStB913kwWBD&#10;iMXw4bQuaA+GUolAp4udBSaIn1TDKhJigRQZykRQTwIYRa4wh26KWgNXrnTPqAMowJUvRk4lgzk1&#10;OvnsziO3TKa4EpU27UOnm6csMwNcTbD9QCBr0cFY3jtywu1Dj/I8FGAyNtWQCTiRpQyLMapnghFA&#10;UbEIo2J0XASJjQqabkpisDiWt40iRx8MFipgAJoeOxZLA2v+u9/5dveVl1/sLqm/yEP57P78z/9c&#10;a7WpGg8XtI6hu5xFkknTuAUMnLceP3odgLIsjyTYbJXZko8l4JodHhYbrQlO/7MFnWmucXedVQ8G&#10;NjwK3BXpCGJqPvQoAQX37FE45mEUPGMwhskm9DFuChyfsLsh6uCxfxZtAUXR2DXhzyT+IntwcIVI&#10;g8zi4Pco7HZ5W9qLCtqcVq75smIBaDaFxULwGH7sE4FnC8iBmyrK24JD+84Cu/mAPQoURAMWvmeL&#10;o8G65FwxysQPtAA7IkxgSyjcFHzhqqJ8jkAqi1ELHg55e5a2X/oCa7BnDC4Ad548vziPy7Ie8HXT&#10;/M5A19MrMKxYoPPKwLmrEvVkTC0oS2VlRUXfiPEhWh4Xh97MeZ3AneRaKdT2SUvpUtbMAYxghDIA&#10;KmsWQRSmp4Q7vytGKlspe5wcc8ZWSpe/DbNJlPOlVDRD23YtrkMHxCnWqgGAuk9F8uf5h8I9bpNk&#10;wzAHtqTbRFWGhlkpjSPV+pJFQjAiz0xgZoGfep5ySxkweG3zLLxQDLVHDr3xEuQXHUTmjAr4zSeo&#10;uWRLihnB3FGIKPPmaoeSdy7wxcqhFMXAbGv/ca6RqTxPxhRAxv4keHhFKbuTUlQ3btzsHiqDDSBB&#10;hP0SRcaUfj1JjFhbB4Jup5TuuyiXJkwE16tCXMzbhjo0c2bIaOmzbXE9CJSTth/9qrlr6092h5lC&#10;YgOQ+QnIZD5TH6JAXVxJMEvs0+H65zrlBvEcAg41Hua74m8q2yPrN9ybNU7WkXIAD+7LSNRzlJJ/&#10;7BydAhF9lrGyTapbbf7mmRsAzZIF/b2edcmZNzsIa9LWaVxgAQBxRvWYcPmsSkfyHUYMNzkB33YB&#10;6kxREIo0T6fNaw8hJ1wnRLpoUuwQL4oM4rNxXSTtLypCw4xTToH4JtLtGS9jothVYlviUmNv1T5w&#10;V+0Wr+TiiZwSjYO4QdZy1+0TkE35fTU6a6oEWd+ClFDACOVm+SB0AASbYheoZsamAlHyctdB2Ase&#10;BFSvByVQixcHgBzb2zdVjU8xD7PKZsgm530J/HOaoSaMaPF5KQkrbQSS4bh3uFHyEByEGrZV6Ogh&#10;hGa0g7twcpAc5Zc674wLeUHfjnlZYwvKpiDe4s5dovw3tanVxlrgaEtjvqtNNiL6iVRUBGhq2acs&#10;NhuBfGOCOst3yv0AXQcEJ4ljHFMsyKaCkrCMLl8+333zq693V3WQp2VNEsz2zocfdz989z0BMyHa&#10;1tAoiipz4p9JzSGIpgWalXVkuGP9nQ1MnAEsC4tLJP2kYgL2j3e6O49uaJekU9vNO5+J/VABMPyA&#10;TXnYX67xxDIY+gQNuhpqL4vNm5OIOoBbE4QNdnp9a+M50EtfKAHTpQSeaZ35mfbwUOAoF6g6rq2p&#10;aPdvmRCDq+WHoeUdxU1sRay9umesybIb/H4/YMGI4QX7AVn8FsV9KHrwEYISpgXvqvbTlNZ4gtgN&#10;BedOoAzYOVhvLjiVeS+lA0hyfRAOuTOKOEyeLI/BcgK2Bj+2Dvm+zk3YE/zsZIRwT0BkDj1YF4sl&#10;15JFBrvTFL7Pivd7lG6xEAPmysr71AT2/pm91SxW+sAMLLPU0CAKfFGp2wkOQzDorFmmMJ+YwJw9&#10;0HbGUEKyLMsSxEO6OoqhlDZjrqA65EEBibLybfXjPnAgcJRAfXEdZ2e0boMukqO5QNBNy4hxjER7&#10;fx+g1Fj6ACZrX7KHeYz1XuPj77FosVyTQcDfCKZD6WGN16vGXv+uPcYyxW0o42KXYMZY0lU6OOug&#10;+dBcMjYCLKftOpSQlnylLkK1d3a/GgEAirWNCMDNyOKZmxKbSrE8A+/4rqOUyVxjP/KMce/AKpk9&#10;bAovcwItLXYWcC/24cDZD4obE5NcQJDxEoxJjBrPzbV4YZniP69W9bWPuKg7hkruOTW07R1nCmiv&#10;cW64RsmX6jVSBkXYhARoPlK5aqrGmsG0e2q4H9A3xQ7BQriipw9a89P7HBTQz3PXmqeyaOcsrgJ2&#10;/fNjQ6gBX89XO8d2P2o749IBTC7LrXf37n3rn5I5BTZOM4TsCdzCMXQo2CUQiqvJ8RkpsAZbgHE0&#10;KeNrmvhBMiLEHOHi2sVFxfroXtRhSoVkXEOpSnTYGKgjxx9lJwIKnB4MKABkoV2RH9QwMYANSObl&#10;eBuYcfp1eC+GXXTOnUCXzyxgtgVvwl55L1t3NzaR8AIH6qZiq8cwmGDAg6hMt1e2cIk9RzDRnpgJ&#10;DtS0mAnTh5oQajXw4DOixkapWNkKHBWatX+SQidMAAefxcea1xefByVuHCgq2I1s5HPU/ZpLxtR2&#10;ejPwAHyPMvHBRajoV1DvAAUrMh2OaaLtLVwyYVacNOAiyEhju7ByToukZmAEFZ1VS2tR4veu35Ob&#10;RghP1C+luGEi4BSo4T5dvjlbn5k47oWFh/W6r88DFMbFTowrwHRG7pNnxXZ886UXuysSQpOilldF&#10;JbGgd+U+ee/zm8psgcpHNg8VMA/jYMUGIIaI3xgyO6UhYDYEiHRefUqYdzbQ2uYDNTf7mWrQax5n&#10;lUNtuipsC5vgQCknuKfGiCWwJRYmov+qw1DKgttWqpz/1iPb63NtW3o/QJNxTzd4oe6GLDJABAce&#10;K39cRZ6Y+yqmVM/45HEARIZR3bWJcwgKbARAlnJ90nX6Qh/BQB2UDfkfJ2cEfjXGKWh8BQUvc1D0&#10;b4rtPFSxlW2EIvvH+yiuhMELTUvMDkwYP9qipEdDGlQhIJg7W1vav1Sb26eJnZ4dl92oslUMcXGf&#10;CMrYRVnuCgBEA4395ymBVWBiaEkNHSCPvR8BRJR3G7fBkP6PuBWKH+G2od36+fPLLuZGhkuAKsIT&#10;qh9QEVYiwCLP2bfk+r7uWDpZC/ZPuRQKWDqoj3iQxiZVRDfXy3tjhPDvOmODfdIANGNwND9AXPPr&#10;wme4Q60Qh0Ch9m/R12GBAkCSFRLQi4JBudSYiq1gDChRrhMllHNaDEk/q8P0tO6NIUQMA2OiE23d&#10;E6NqRz555gdGF8WP0gbQuuiP/fp57hTDwr0VgFPM17iMG2rfwIraLWlfSlixWfXrcCdcZdHtwzDI&#10;nYHrkV4sPGu5DMqin8H9gSLWPiPF3Snzzkwi9ozuulIMWieeHVkfSp2aM0MQyHyZoaHmj9cEEAzg&#10;ZQ1gVJDNTWlqdlA0KONiJKK0AsQpbsSj4tKoasIAFsBR7bdaFz6H0QliqmvV2X9SyfhynwCKNqWM&#10;y40SGdJcyqeFRv27yVpALuv1xuuvdx988FED88MP9YFEnUmDY1xinpcEMFJrgjVx2AD6VHO8oazF&#10;SbESM5qbHTXkIjOQz5A+iQLfbuB1koJVFJ/yuXXnCzNTu80NFlBD3FV0N2DELCeuerue6VkCkEhw&#10;QNgg4gDjDubcmTlsDFy6eKbC7S71SA5Vi0TPQx+muGUT5Bk5PDQGx0G5zgcFsWMooUB88FLrfp5+&#10;GY+UQ0yvCkkYKEWQ0jo52LoB+fwsGsE+67JAGZA3cBMsCdrIQQckgA3sS9d1oahW5RdaPktMRFI4&#10;7VPWe6ic52JQBOqjAE1/OpxTExRK0AcKi9X52IAuPSbIXJMOMcHBAxhwqDaVGUKoM64J0quwgtZV&#10;qvsYwT4qYMA0c31PaixLaCWQm60AvcPZHc7Y0EbQQaLTAO6YY8WEcOPV+w+6PT0PcwlS35egWpGS&#10;feW557r3P7vRqNkEWQGa2HDQefybexSF5mdLcIjvG0ai0WhaJITp2tpqt756RxSpyk4rKGeeHglS&#10;khMqI06jVxrYjMrt5Pgab8AoxcFZ6QnIQpoBH8whSKfdum0ahhFAkVcpDoTHDFkten5ABGtqdapn&#10;4NksIPThLVlpSVHLGCwsewq6kC4CH4VHMCuvYXGePH+UacZw2jocHvH+Ty0ISr9C1U/JAqP42MVz&#10;K2LKNrrfVmfQZ55+XvtsqvuTP/3z7oc//okzTU7we/Wsj3JzcOuaL/tzKdFuxgQBSUBg9iEYBCF7&#10;qD4vzz19tfvmG691Z+U6wKXwodipW7fvaL60373Hm1vG+iNBcsM1Gc5Z/5m933tMSa0JlsTjQhvF&#10;lqY6drEIuVCuHhiDYE6XRh41CsCBpgRXWSEC9sMM9NMJS7gPemGQscX5bjEIxUggByi/jcUyp+AM&#10;W8vaIwi21A+JG6ReJYRdutqWUlwjZei4WJZdSHEPhanK2SjgVDES/Lvmi33tvi56cQ/eU0YOn01R&#10;JjKbUKaJR6mvYlSqANNgnjUGXAtHk4wvrhZio9a2V3UtuRboVCuwiXI/c+a8YlPEKGg+79170K1J&#10;LtBBl3vjDsRCTO2EFAGinDvyblZ79YXnn9dc7HW3bnzWXLsEQqo3hOZzZ2fEzb/OqCaP51rKhbmb&#10;UgYDLo+9vchM6oFQfKwAEplx7FcAwp7GuNlAA/MZt04UPa+KLSirtcAfVi7gmOdEBtT7Kl4IsIKS&#10;LPZ6eB1qSJD1E8PQ6beukomBJPZFipe5Zs/1557mTwDeyIQovwLWrFW50UpG4J7BHRV2KTrN7EPb&#10;MwHZPQOBfzX5FoZL/aE0/tdee62b/Vd/mOBH7zWY6qE8Zj5qL3r/EtNgSRND7q4q/lIfgtfBwbbj&#10;vJgj+kk9enjPOo+gUrpRE/NQz24ANiuGSWKIAHPi//gbWWQHe9sGr54D8k9srKncgQJII3M5Jrj9&#10;6dFCEHDcfAbXMEVWyEboVglcp86Rdaz+vkdGZGPYKsuIEgIuk42501hTnsudOVxzvR3auDNAMlUU&#10;hbKxqgomtPRIbow5dd5M5G3KZRPBjR8G34nLs0JjHU2nGMuxaoDvrceyZAOQO4tVQyUuKQnQEKWP&#10;CQSa1mHgmdgorvVdIMFIl7zZBLjxexdXMraKFeXUIvw8zTphfvgdLcndAEafockJVti4NimpgOt3&#10;FbMhC50OlwpY0BzI8hCFm+A6rhy/tGsOsMFBY0ImB3oDNQaoDre3ie9JSl2Ryfuq8vjO3evdt158&#10;WlTxQbeqSNptcfhHs4s2BaGyJiQwBptO1yu6HoGKEKpUKPv+W/BesRAWNM5sOHYmCg2UpiUsKEU9&#10;IqFDfwgz0QhXBKPmn0Nw9+GGARpWJjngpym4OlhlAVlIepMQLJrrVX2NLyhtzzMUK1VPW9lxC2oC&#10;dFirpAbGijV89c924zQw4cPWFEKs1BxQU4D6z8jZn3/cDVOIuazRGls9Twn7RuPoeSToOEwwTlKc&#10;ZxUPsPDKC9qjAsJyC127fkNZRbd82KiDIgZ66Psz65FnNdCmb4djNwyLWzBnAkaJB3GAqQ7vGKlo&#10;ut6yAtDOragrrqz/cwISK0rTAyO9+94H3Z+qyNfk1JL3VbRc7lVzcpqBeIypIl4HKdCsJwsxW3qk&#10;rg5BV1nmFbtQFkfcQ82diWxEyJJxo+dwE6nI7MFY+Lmscu8LzimBsIliGqwtc5hofF2LrB4i+RXy&#10;TdXXSUXlZ2Up4pQOm8UgVB+IuPlkpQrIUaQOwY11bFdS25P9AMqaE8ZGOefaX6nPEOazmvHVOpKJ&#10;EIu7qjzmObku16g4i7hjAszKD1+CPt0r27mUUj4UmNhWGroNIO2R2THtMbmO5sRSck1KyBPYRrA5&#10;abeVQp6ietDFE1KigFxcN2QuTMqnf1f3Jd4mDCyuRkr0AzAuXDivSH4FyzZXctWuicJIo0GC7tx1&#10;VIo7Lg8xUQI0KFieg/R42NkyEiL92IOJXSp5VevrAlJbUlCMB9lq2zj7FkZmWin8XjwgrgZcPTWG&#10;jJ4UkTrJnsgwxIUyp6+MMbFTM4phYw0MXHENiOVmnsluwhoGEHP2YkgkliWyIAG1yC2X+9d32G7v&#10;PUCn3l3AvMbivZAtnjMX6eOxo/O4xrlz5xysWgXLDCR4RwRXO7LULgEQTnbf/fXvuBozixX3DGyL&#10;ntcgJpmHDt8EsCBjDarZR+gyvhfzR7+jsDqp8JlmbJHvKXsAs+SsKBgMALeOoYuRYYRIxlFEkTRN&#10;UpJ57VJsTp9zLA/6TOfMmXVk+2h/bwh4kaGHrhqjVs/EUmK32h4nk5JnsA6mJIL2MS/F6UV41STa&#10;7m0TxULOLc5285qxew8e2dc9oyyFMWkrFzIRVURcAAE7fI4DV1XUyJaY1SDuXL/vhQ6dlhxiW1vY&#10;IbIIZ4yMmDs2ZfP/mkZGAQ2j+6PayifuqAd9EbxC1bdExA+UkKPtKV9MOiZ1Eoh8pUyqCs+MKT11&#10;crF7uP2Z2ASldaoTpEhuvYcqmLAEoUARruUmbvssm4yJFIiAwZBnUc+uxVBaxpgzFMRoCKlNaM7W&#10;lSo3JarxPQU4/eitd+0D43pNVdQlfS82+op8bwiTKE3nIzz2bv6VKnLHEkw6eAINsEGkr0E3UZgE&#10;vxgxHHsS2E6T1RyQQrUjjZjObo8j78Eg/hY/eFWs/KNgCtU6X7nRzghHHyIzRT0/pgVjq1baAvLI&#10;Z2aiHLCLRWyfddwix2pH37cmCkBk/+ZaQ2H1+EOxvxDyBqnar5SKJk5hffWuMn1IMcatoQOKpWvL&#10;lX1a/tbUxmgozZa6y/Y6jSt5/WYh2BsOf+XzsmgbXfjpRx8pa0Zg/PhpA5kpue+ohsd5ImaXA8/e&#10;dsoYkfhtneqZ+uCtnjG/i+Tj7GZ/pCETZc8Hn2F8rAVGAeCC9/p811dTAk0oc1kqwc6oeRcpY7z8&#10;jAgdP1eYJO6FceBMFnYbgAbwV4BPc0GZb8DDjhrbQQ/vjgjoSimUNUsEP4LSuecaUylu0/yaGMqs&#10;HxwLdKDcJSxdxU/jS0O9llnQ9kdZmIY0rEdjHmD4cNvYHeJnCHhHiRbDEsDD2FPlkxbZBYSi0BID&#10;U5Y8n3OcD64Pfd+VhTmiZ93enRbThHuLrUFM0Uy3tbGvXi8fOX4AxX/1ynnl6z9SldCHVgLjkhsj&#10;um9qA4jV0z6n5su0QMgVxVgdKAB2Q6CBFD4rVSO7E3dfhRq/eFG9Ugi6pPcJBeG0wdwKABDrAFiq&#10;EO654NiM9l3c0tkfKBWuNS6lDtsT8DUuN8aiZU0FxBYoS4EqXA4qpkTQ+Hbg47yuzb6DHU1tGCNS&#10;y7N6lQJ3NodrLVGDgVoVkqEGQaw5BQTRJ5TZRxYTB5Z6G+NuQx6GJOxCwDLVNVGoZJVV0B8HAhBA&#10;llHA19DlNgThQ2XejpFla/rvELfEmRfTLNf0BTWRvHHrVtgOg1gOQg6emVKfJlxgo2IuXlAwOCmy&#10;KRbGOgDi/DPAXu+svdsPDnVGRTMG0rAtmsJuPv17Eh3WniWAqYBICwQ3wGwsLeMi5KC5ZgHMyFHc&#10;O3gMYNxcOKq5+9jPt/R8DwV+lqS7KPKH69el1i2fNTTtK1gIEurd74oz2hbXEs+T0izFWKqJKnbE&#10;ry60KSubTQKyxYdFr/pYD2xmZWpgCTcqE2GLEPMEabBExsJWuFwRjftc5EaT6XQ80JgQF9Qb1In+&#10;7eu44BTWKB4GJjMBQhEACJ0GNrxX2ST4+UhHgQ1JtLQ7eAO2cF9wH0aL0aagN+qrT6t73cj4Qx12&#10;oVVtRMdjEOTGptAtE48QRD18AW7SWGfkRAJHDo1RInFZVKW2Uvp7/tL57lglhydPVrof/fCt7l/8&#10;yfe6k7mz6oipksKmbgMPOGQJmMyBh/KFgmODVBR5lTm1JWWkGgpwTn78E210x3voUoeaE1c3A8/o&#10;izoc5P1bKIl5IfDTB6MVuuk90N/yxwT40KWOlvFGud43KEpF7yt+hPXmmaMgjMEH1k2UbaPBTVtD&#10;5QqEuR5HDhu/Q+DPzkb51Nyw5n3A0FeuTwYSIPgof2XFKiZG9KGrrymlcXu9e/uDt7tPblyXpbwU&#10;d5mrD7Bh2n0k9Ca1z7Fq9qmY6lTKpJXRu8UAQIwZQsZ+X30nSn5flh4Bty8994xp5iNZokdqubyj&#10;9GcsD9KWAVvSEI/vtKaMWaA+BTsES8OlK2rWhdYIupXgS3xQUgBxH5RlN3STZE2gWh2B7mqBWH3s&#10;SqwePLQBDlnTlDEeKAP7z8PEcC4H7ssyShCrKADdY0vKJO6GBPCxn6HQEdhRVkNLP0BIGSbKOmJz&#10;0SjIbj+NAVnEe1n7oq95hoqzGLBQFu4BNbzCflVwdqzjquQYwAWNH0u2FCUsHtYnQeQA9VjxEe4o&#10;YuSa4ybY05I3do/oi0J64wI86+pfsqYmgdwLV8LVq1fESMyoydFdFS96YFA3BT1Nto5ZiJTsB1Rh&#10;QiyJwUCJ+UwICFHzA8G0Jn+6XX50NMaypDnV2oaYI8V6kCmloO4+28hzVjT/lvbioK8PAX1S1o6B&#10;0/0c4wHTZro/BlmBxzqL/I3nNrjQm/gMa8NXv6pnKsUGfPJZ0/BtbtnkjH3gCsPK9T7iksMgWJ91&#10;fa4CK8uFMaTdo8JstAAcG1Dmnrjn2Xc2UEzVJ8WxPvtzhV7bMwC20nMvvPBi9+OfvBl5BKBEdptV&#10;GGYyINoLOPRdYomnoyiYZAp6T59J/Y4hGPf8wtrhbvD8x13j9zQLAVdPgQjrQuvOZFq4EzNQps23&#10;z4PegzuJ9F3kC78jbXRhodVBAaAJ3MBKAMIIIGW/o4fRl8iBSq/mDMCisXZhpSv4NUaGsjOihB21&#10;z8I3EOGLNx8Ui56Wo1mUST3oDL48XWx9XWWtz1wSsl61sMdXNt3SiJgQMgl2NuS2oPAHlkTzFx3j&#10;SmCD4YNEgWihPXgOjg6VtkEsMtVF31MlRk88aXAO4BFybhuPA8iDbyovemKnIVSWFwRHUN8EfrHQ&#10;SiPKXnBgp8YwLp/UhHyCEAl6c6JzEQhDF60PV75AnRFIEc4oCwKeKFbDgknYqaIc5Vevqerfw/Wb&#10;3ZQOxEPFYUwqi2JDz8q1c7UGIrgYYAUKXAqp784w9dqLf+QToXgJsOEQbru1OtYIxiJUuK1+V6vT&#10;oZbQI5iykzJ2Qx2U5RfjKX/uWfpl/4iVBiNFK3D2D/np7IlFWRmsXzXqcVMe763Ubgh1HsvVB0Kf&#10;dd2EKlKj31ho6wHJqElqGMACoTdMrewzEH2Loz9+rg0DsCkhiktuReXXj1T4DMFrK0rgc3VjVanG&#10;EsS44w5gIVpBAEbbcpkcNEoTMj2rKy/iSuLcMMeKqYDxAgTbIhfYpMQ7VjGULbzWpu69RzlpFdzZ&#10;EtJ3gJsEAIWAxh1XE1dUpf8+ZjU1AeFntO3DNPQBblwoNKVbkLvE+7+xO+wdR4Y3UFaxC1w/Ak9j&#10;FkuDKwNASPCw2c6WncM9yz9dc1yMA+fR98HSJxrcx6n8xFGw7G2+83dSN8+cOaOy+nOqavvQgquU&#10;F58FqMBc0rOHsRHcx3iLTkZZHLcGVdy3gjb5bAnhco/4uZsAZc+UuwSFV+9JTEis+/IbV1wFn0VR&#10;0lsiFnOy1EwpI7Na0R9AD/PHNQA9W2K6kJMLC1Omw5fEHCLnSa21u6UxVAWSGTvPEjCEQleqJuXI&#10;KfAj+XnlygW7fe+KIQH4Am4noKi1PhsKzJtVFsGOgoJRxshTMzeAGskCFOFsq6tQrsRiGLgvPvzT&#10;LFPF1FR2RD8gumIc0A9crwInuWZ9xVCPsVC/GxgLgCI9A1S/Y58McqlZgSsi4y5Gy/KggZAChBiy&#10;fcaRsaeh4kiYh3ZOiKnC4A1bOWQ/+6zeaRkRBr656STX0XvslaeeeqrtyzAACCundktZRB4FMLF+&#10;c1oLuuLWq+bc40T39I5sP0CZe9cc1fqw5wJcvS38f2Zz0dcYyrAl+m1isvJz4usa2yE2Cx1Ye73O&#10;peNT0CmtGimygfXkuwEyhk5zb7J/cNPQd+i24rgAtliJaUseGUn1UCN+tBEgA0ucNxGcx6igEDl8&#10;VHREmSFwSU3jHJNzvyfffCJZUxN8Qxv3s88+6x7euy13hkqT4vMSqp5WUR8W24yiwUwe1J0u2fTc&#10;VhNDpUImfEJFjBgHgnpUvnx0tUuqCl5Q+wJfoEKA/BD44zko+B7RSe5URnS87pfAn0ywiCVP/O7u&#10;iTo5zso3PdfdvqcgM42BaAN82sjlpMJYw3tTBeXFfxw6Q0qCzeoUUBSJaRUJG6W3Lq1081Oh9GYl&#10;LI9GP3UxGRV3C23b/qtriK7R/I6oJbNSrLaoWVH3zDZ0gKhZlZaKI6E9qzgLOo1OK6OA6njUxCIl&#10;jriHaTYDFeAEInC7jEtBPVKApVtjK3XR92f+/WxsSHMw2aVWSvm7K1saaAZt1muwn7kGflBtsg1l&#10;oZDiSm2IAwlQUpEOD8jnRxFp3FCY3KFVSRu0Yjc40ly2jAH8s64k6EU07PUYKH61two1GkUQUFiu&#10;r1B4zYDwMBPMmy//QX8n/S2HEMAnf6sZJFVrVJT4mBgECp3RbAz317Eody5q1I1gaSCCWJ5RR9WH&#10;pvU46BhIfxcpX/uIta8JDuYRDmAs9MO2FOdD/I1HUpiu+qaDr3VhDTigZK7wcr0RA9TswQIKBbgS&#10;+c54vEpeGQSGC0xpHNyTGIwHtCPGPdeixB04p30ikR6WT4Kb4DYAlS09x094gQQAH+rMqM6/CsTB&#10;YKyIEUi9gAS7lWLgjJaypaS9A7YaKCzB6T2GT1bnYlJuCSyaDQFOxo9cKD92aHdVopUARmk/WhW4&#10;2FLToAZMHg+iy1a10NMXhov99D4kcQ2iaLDAB8yEPsK+wWdvGt8xCGmsFRCVDLLEXShlW5/l2ihM&#10;0tXpg1HsRVnEjBU6noDzbXWQPITF0Zmzm4TsLhko02IMDSC17x8JMFFcyi5f2jE7la6AQ05XMjak&#10;bESH273CfpXcfXj/odhEKUi9hz2YfkIol4CIbcVkxdBIKW5eBd7xXwPAkOPIp2IXsvcAi4k74j2V&#10;1VBgq4pOsQ7MKXOTOAu6fqaaMMqPuSjmBovV1nSztAso8T3WN+Pke6w1LGVn8TkLIUxfsRb8Hiq+&#10;2J9i5OrZyuIPeKYCJmmnMhpxEwlA7DmNeBh8W4o6s40R00ZhgwbZmJRs5jlu2QBigOFwf6fW0VAs&#10;NpnJFRvAL5BZbIP1HADe+nTIQESGRBFHwSfAtM6Ff8ffGrNgUab/w2BEj9k9qf8wuhMf6JF5DtGr&#10;bhsBW9GMB+bCY4Hl4BG0j6abeGdNuS8ZfdMyBHcb0wWgh9k/f/6c1/qBgKzjKagn0T6rSpzWBm0T&#10;Cl2L1nPe8yLRvkLe2tiwDkeUoOatRNXiOyYwSsId5UQEtmuT2wITItSGxK9GRv7OkXLwXQUtQp/5&#10;CIInGCUpm1wPeOCJJnJXAhDXhLWQrVeCLfl8sh6gX1LprMrsQmFBN3If/V2MA6CDA4tvzL4uTRpV&#10;E/lhXELynGpF3Luw2N27L2HFtXCzyBIDkMTHkwyNsDQJDHRVMbaai4noi6AsPePopBZAh2pG3SzP&#10;zKrVsO5PUNjGGQlouovqMwgWnpOz4/4QgCj+cUz0OgVueDauB/VEedvMl6M/GrCjNsfkrCyTy0/r&#10;M3o+pY7ty6Im7dAb2MqAbcWVQV0KzFrd6G7eppRxakQk6hrlSrlT5lDP0f6LzozyLHrax41rtg1a&#10;P1vn6H0Ib+IuFiQs8zxC4hII1NqHPKCyHfTJbVXVHH20po0qqwM2B4Rteg9oJkGkypTaevYfpqtd&#10;XsnlBm0TWQwwDIBIZgSn0gPxupjp0M9EMwMayGh1VUn9mzUjIHZ5ZVkBbxLUqsJqaKk9N6nW9otL&#10;D7vDO3IxcBxbbA6nxJE5sHXQ4bonbjZqdTjPn654svwZRuo6BFzyBZACVOGiOxFiXz53Qeszb7eT&#10;txd+aJ07IuvXNm/72tCjaWGejB37Z52uFceCo3TaGmXeojjTKQuhfOzno+2zzxHvZQwISebCYdqA&#10;dSlb/OsayIQKDSWmIWtxKGW/uCDhYn9u8sBRMGUBlsIJmIugdfVDva987UNanOqXCjrGZw3AlPAh&#10;hY99syZQRQl6lAR/47NQ8VjqDISma6V0LI8aoOBxoe3Zd1hOKPyi261U9Heuw9oApnihdBCe3Nsx&#10;WZwp1l2ApWj1TQVJI1xd0Ic50/14Du798OGq56BAVLEwGE9Yq/w7tQCo1sickUGWYHME+raeCX+0&#10;5VUT6seOoo9iHZ4tFIiq/a5cEkBRLNOm0kcF5Lj3KA29zLykJTjyLp1Os/e9+3R9A4ammMr3zvcD&#10;sWfFrBQIcKdP4nG0HqxvxTCUxUoaLHMAQOCL6zNH/Mx7dloRMuaw4rk4904ZbK6fekYAWiqM6rlo&#10;CKV78u/E0GGopmonrwKN/FzKrfZUAbyKvWJMAAe75TRWr1FTmtzbgHI99+P1mEsDeZFbDl5VcZe5&#10;8TnVewBGXDeu2S++kJUYwAXCzFLZWh6CBGeHeKV692oAp8aEQVesAc/lDBVkMeDLgMLWQ1xQnDv0&#10;GvdCxjVdWHspfyudmz1f4CTzoOuwF4vN4zzDyukPZI5QiOzBwwcu41CxQCvEymjPOwATI515Zr2M&#10;yCkIZJgTK8iZFDyEDpDTraDP8DMJNa5TZYtJ8yHL+4iLcAlVo7cR+e9UbEnW9fba/W6rCU0eFgHq&#10;NDL7EVF6BLJwDawrFCYWf+Si04x4UMphawTkvyb4pCE/g1rAAcIzWQCxPBoic6xE3AAO+rLiSSoV&#10;5boJEjl/7ow29T0dACJOs7i+F+/3ffJZ06YceCsXL4GHwUJhrUHnADDpTYDl0p2QDqQsCvlHHetA&#10;e1AFT3kjG7S1jWTlnA1H90VeFTn/pM2aKGXlhUtwsRaOjaYCGfUqEIAWSgwQdS7BJsGz67LkeZZ/&#10;/y+YiDQhsi9Wyoy0X/z8c1IOhy54D1BEWZ7pTj753HNg5cr+scYmUTYBlKHqwhbYwm7AxeCHCaZ3&#10;hinOWEBeo+ju/L1Z5/HvUlaYFF5ZlFpr1yLQIs+StQKgFQAmOBV/NwLd/ns6F2q/j4yGjrS1j4Jo&#10;iL/SxPi99xW3bvePeCgRkXiDGdUFOVD8A7n8IPxjrcV4i+chqHhcCvzy5UvdR5/e8oVcIpm6JAnK&#10;efzlvcJXY5LavVJ6nJ0QAcrZI9iOPPxF1eYHCFO5kJH5ObQm7CNiAQj045lNbfp8UlBO6ZhUTNR3&#10;W/d6lVsEAY5wZX5RCoxnUSwjFHuxDzVo+1MBz/aZVytopf1JQJH/Tu8atqpBg15nzpxNl0ONy4WK&#10;BIxTAyEAhHght4vWvMDmVH0A09+wWYpXcdtmsqKawo8LMOtHBgKgx+8h+lxnhWtwXlNciYDlxcE6&#10;cMZWrfxV1dQGRAREARbHh0iWmFmQIUC2Ga7SfQGVQ8k2SqsfKah0Q7VI9nZx2URW1p71fOnfR2SN&#10;2VDKfub8Mi8YIZtroY5d54J9SIAdwl73cXyIg0pxAbYCR/ocSrMYGpfUxupEYcNctMUpa5S1qT3N&#10;51gLngsXZb0YZ3UTLau+LPpioqqyJ/PJz303HGPhTCVtFLAoxloBfNyHL3QHTBrTWxVA0yEy96V3&#10;RPbHGf/swlvNMi9FzbzBhKLD+JvHYEu9gMPwKPkZ+CfzbPick46O8ynSfLoqqEA2Y2fPJ7gbAHjq&#10;TLZ/Rsdo7lthtQJbpwGp6wHZLOSsE5wYd65BW2Md+vE92Q/IvRb83HQYNlOtazEXBSKioHKezQLj&#10;/25nH/1chbDsyqRGR4vFSKAmTBOlzKXH/TxiB6ll4f4du94fjD69ZFJvZVsTOJ4/ACDCDHDQoNcL&#10;CW2L2jjAXaDKktO6IcKjfD8IeqiVtdur9qOSUpO+B6LrdjeDxvRMPIyb+fDPlodqQqvRMKFwSapM&#10;mqCFVwtUgdZDoAQckAJD8ElcLQCDMlqzcUPLRllnhQNK4n93aiqHtVm8dLGLwCb/HOnkT+Qw5ydZ&#10;+groIjdW7ZIJTnQlv6asvHnapkyHO5WQlYtnVH0zthTMCN2NsB6TYDON3a7bP2SML37GxIcMBv0F&#10;jJyHYdGJrqU/3aQAxJSyCnQ0HYxIt1We0Wun4U4qGntiQj5YK97gl3+fL65XxWcGyBkftIQEFgmx&#10;GqS7QePh6sLCxrXB/tmVgncUsq5BM6EtHVas55TLzmCtli1c4wO03977oOU1ZxMMACRjiEeGFKg9&#10;K+irT192yhWKEuFFF8StRwKOalFPTIKrWqjgGPehkiAMzbCS49CX2mdHmEPv7baeEUvDyeWnVJEj&#10;l36/u3zxknzj56Uw0nUx66+9KBbjqvyto6M/spcs+zUBVD/vFWwV/ihen8RDmFoWeHMwXrN4mVOU&#10;goVMU4QcrxSbAcOlHkuKHVGnALDFHk+VPV4YCNDnjovgqz07NC9ujzlZzbAKnNukYAe08xmYQcB2&#10;mngdO8aBAD9+PqtOu9wjgZOqhXDrpoEPgIvmTjB/87o2QIKCdOwDhBnvdyE1AAQz0XA5dWqIqt8S&#10;IGcM9P/AhbAuFoDPrAiowHTBZrFvEcCAINZEjRq9JwFPB0o5hylxtVXJIwoD8aoYDMaAtYvyg1zk&#10;jBPLs4rFC3OkZ1oVCzKqOBcHQw+oZm/WEGeO+k57dtaq/NRE+FNRZ1UZHM7n1/NMKw2dYkNWHq0i&#10;opsHsp66F8pzgbgIucXI0rioAkeTk6RuCkRjxKGQKWGsMSP8sTQdyAkYFNg0A9EAIWwNeyudShN7&#10;xDqjWKr6qIffFByxGf3ASYDEOmAElq5lbDhdUpk53JtYLpp/sQY8Ht03saQBDYAajEyAEqmeyAeu&#10;47gKWiQIVCIVWBeXFmjM62OAO0LDeoTvBfSxMQzg2u98ZgZntp03T7d0oPasC9RRtlr76JlnnrWM&#10;JmA9iifvx2Ve/7lfkt22MTBS3yZttDEMUuNI5wAGyUg457VY35J5cacEBDA8zqZdV9aNsLFxa6Oz&#10;E1Sa6pHRfjB4FLQjMSJBmnyW/Z2fs9csXvR/TkDQj2P0sNLfYqTEBGUeFudVSFB1hzgDKQN/1jE2&#10;rNO6+jexTtv31Woe1DUjZepiM1ByusghXei0OQuBTOgAOw3Kfp1GobaNxAZhc5FWBMIv3+l9+U7G&#10;FRgEGjPaEZ0Ofe0oVRuNLCjXinfXfh3FP9jKRiCqmUymBQai1TdAFfhQssgsYwKi+KriKFYkXuO2&#10;0A39l5KDheALJYNVRAvzky0dSISsPuIregHpekl9KqLFaQ2rPzYgg5Clo5nzvHUfAoUAM7SNJc/b&#10;qTOiy5eX8TsqGl1R2laYXD3DbRsldBOULpaAFS1W1ZcgXjYidGB8x9qsVCOjuiDtnUWP88VnHRyk&#10;wUMJ27r1Ia2CU97//15ejB1BxUGbQfDv6ebTWROqWCK/KOzF2bsg6xiBDTWsHmcO9mQNPdUGDKLW&#10;6Y7K/jitRPm7v3h/DigMVYRHMU4cGrYLFrVAiTog/uZ3v9P9xm9+R2st0KXPwLjtq/gTk0RApTOP&#10;1HWQES8rcnllWWV/VTWQven4GA65LUAGGoaEl3dlU7DRYLhR2p7rAVAU1pzW6+zZldTM0Prk00H9&#10;HMIzYq9cHwQhWizLE1bHZCj/ixz0NWxp+/5hdori9V/1pkTNJ3ARYeK9SjaU7o0QruJGie6OAOnn&#10;7KO8KXxrlwOsm34mLRC2YAyXgu4ZxojUXR8ZpJuFzpIsfPb0/vVb7i6LEkDBA9oJNFRUhOcFBUZK&#10;pWOLiLFx5dXJbmEmpadZazIniIWap/PjqDK+BNCpdAtU8b7T/t4DhBJYqGdBfuH/dx0IXFsC19UY&#10;j/VMwF0yf2BszGro5+kWk7EutxsxSLbG9Axzin2oYEwYFrsH3F5aVquCdPd2yceX0tT6YnAwHjOU&#10;OqOsNs9UWSQFepB1zvDxvqYmC46ylKefoL5N0tdcs4R7zlL8jOk1CwErLIBKzx983LzHwA1X3rFK&#10;399NpgdB6JazWm+tCYAeRTSjc4abzaXppdTOLKshnfYpAJvUU8AR7+NMjIlBTRVGovjjFqK087JY&#10;G7JReC6YJV5mS1D6MFlOB1W8j1gYgAP1DM5fUEcmGBgUqI8UBZ0oVpj1YE4Jmrfvnh2pexKkCIu0&#10;/Yh2Bew5UhNlFGlfzCoGjs9sK4V4AsPFTAguq5zXyBapRJSxnjdMRYRrTnLsRp9zfoduJ76CwmGS&#10;4weSI7ih6La5sHhGLbsfNuMGQYSbExdkk19UZtZDmXHROnDe2bdmSVop8XJd2e2heaxYhWIjorvi&#10;vgRoca7oT+I6EMr+I00fA61YMfQO6lgINgaCnzOxFdZrft5kfbATzb5J31MGgAQIyzXOLzKzvddG&#10;WwNa/NmyQVtvVmf+zJLcX4zRa/i0Zcv1+z+ljTm+n1iqDAJxzgRUgQx+B0iwX7GoMehIfJumP6dE&#10;Na24KReWAIqQwTtISIsw2QSxkRLyzkI2D9oixBpbwEK2OhJQvi1Ow2NqAr2KnyTIMT5gt97Wv/u5&#10;tWyG0sNBV0368l2FW6CxJ5R2wx0XF6a7mw9hV/B1p8kTAsT0GqWaxaqcW7ncnbtwpfvow+tRZljF&#10;jm7zhPnA0zJ3Wf5tKC1iSSQKXI0OoY2QmYSlMWXUqMu2+QBFFVDmzQ2tjnBG6fSUJ89QAU5QTgpJ&#10;MnN0oPLbpC06C8OR9SiruBDIGmDejYTZaG3+c59y9bT5qcPQ7tnO2Be+1Xx6w6PItDkfyWqCGpvW&#10;BgfYEAg5Rk6xBMKkqTg3AXdwzoMH90FpBl0GPIAmgwgEZCwyBEkUbSh4pIGDFnGX0FJXZbTZNBYW&#10;bPhmkVg4QeE1C2bO7eGViqvgVWIqEKi4WhYXl8lvMg28p9oT7IMFrc851W64fe+RG5jVHBX9XOwW&#10;90hqX3OttPPiFsZYHyhilLvGRTv2S1fPdE8rvc/+aTFUCISqCsfYqQ+CsH20JcvYgJB9nViDotGz&#10;9gFOQ8GTvYdQIEiS9ziKmrGxz3Wn+JvThbAC1kx/ay5hGMO4JICPeUbxAQopn3tgRiFMhHPm9b5J&#10;CVasFmKPcj/iFqhuR9lerQu9IGActQa4jaBCi6pekqKysBKwuiSGiHHjKsAS5pnnCL5sCjOukqwx&#10;oHOXSqzEBGhdAxRSTpxzc3wkoWjfcWh/Hp221HZT6RL0rwkjCM29baDFecCvD6i1gJfyQYHyPMhD&#10;mvcpWsLMIjUMCC6rcs3u+KrF4bNUbDw2QNA+VZyVe0CQsuo4g7htUaCV0lgui8QJNHddS5NNo8H0&#10;XkisRqxGgmJjBapIFSBHYzUg1H6YUnwU8S+zkjPUkphSKqnjdiTHYCQBEjYgkOcUDARQ2n1KuizK&#10;KMBvSnKDebl0+bLYmmXPE0GwrDMBi0vLi0n/01zALKH8Z4h7EoDrxyhQ78RBfS2FseJF+AyAkSJb&#10;FS9QcRdHWr+4r0bEUp0Rc4T7izlPvAtKjJR2SnsDZgkkRXhMUPCPdYf55Fwwn/6ZeBTimrCm6UXS&#10;UiWRL0+QbU3t5bz7bISVc2l1fX344Yea/7AC7f/yrVCI5VTc28XIcE/OYYH6CgTlfez5ClIt679c&#10;a8j3gMfoM5hm1oh+KlSkDLvYmrU5IDhMUfTiMLsjYKSlDJvlSnmAyFSC07WGuMVsh0VOJMsFhkhg&#10;mM84XV+hDHqu/J1mixSKQxxHT3JmLR8qIKwqokUABV1B0zE7bKAtCRb8h9D1FohMiCiNPVH1q6tr&#10;rjoZhZV+7qDGQ5XhhBoJ7RoLrKww8w9Wwhz8WEIgZw48ArMATWpEhPbJyNA8TfFJYrOBksaThy23&#10;BoK8aN16Jm8io00oQAW+Cck+9dQllaRW+VG3xg2L4fxbNhPjlkKE0rl44Uz3/nsfe3xEFyMoUGi8&#10;UFBQ4UtC5/weNMzvqv4DmwDFAYtj31N25GBPVkCO409YZEdeZw0G6E5vR1kwj85hprkLLA1Uszuz&#10;wfAQqYuPWB/TOBHUFlik1oLgq9Qps93mcACy2pp/gQXISAd7osCHNy4gRnmt6UqoNUFxQrlp7rF0&#10;7VrRYd43vT7SXb5wsfv0k4+9fhHKpCEiTNv627WU6nKDM5rN2JinGnc2f6patrls+4nxA/4QxucU&#10;8yL16eqex7KmuIuDDDW+CsYijZl27dNSMstSDI9UtnxPVUirWRq3r/1Tz44g55W6F7hfQv9n7BFo&#10;FGdhP128eN6+fYCr4xoN9kJP8h/pmAjXe8pwwSo0OLUQCAwuxZM9knmr35t58QDJPhg3OHLsidc2&#10;ny2GLucS5Z8Ml2rbDZgDEJUbIgIrAZXD9DUJZ9K2AXVaKxQF4ziSIIedRCG5FTWzLcGDW25NsmFb&#10;yohrowRQdnweFgMhy3hRDBTc4tl4T/ZD+jPw+6S4UbkvljnKGhDI3nZwoeZy9wCWSWyhXaL0a0in&#10;3XEazukzk3Qj1QeT0RDZYcDU3BqOkWhBqNwHyp2gcPZHmsdR44a5iABP+22KEBGbpIJLG7AJgC9Y&#10;D3ZtMlVgViOwofIr5TVMgKVgE/wDPxY7yDJXlSgFtnFZOl5E1yJGhT3LvEFJx4UaQIziw9pHBrin&#10;ht67ouBawA+uCYpPAYx4fho/0aNhX2c2gYMaq8azjyGm/z77/DNXySxwSRzKwkIKN3FNAi2d6q9n&#10;hMGhJgbrVmmcjNlMh8ebviLs9SpQZcDifZwzy3sBjGF7YC7Tb4L7sQcYB3/n7ewXlFgCNGM0OeYJ&#10;l5LWpFKYs8bKwFP80ZIYhIcqklivAi6DX7AOva/qoMu9mGeMox2x1BQcAJjFcMp5Gwhvr6W3leuz&#10;JLB2WGm3dFIM68wN68rcAmSZj4o1iVsLpot4kLh0eFYyfezAqHNd8tZ7OcZY4kMSA+Mh6m+sFcxh&#10;MRIGD2Zy2Uu4KFuGpORTYitScwWGytl+ugZJDICJ1FJBAEDyRI/VHDRnSgnikkl5YIAAgho0vENu&#10;vGbL0bfsEF2ITcLAWVgsBTbLQ+V3Q5Wg7Oy/pjshCsyC6vG69MltDZCoEJdhpH0mLfuNY+ywyyhg&#10;61ZASP29aO4E5sXHm0jXfm1+W2SaFBAeLocx0VFPPSX0vfJp91CV5Wh4gxWmTEhdgwBMFBUtdiXs&#10;8fu6xwFKMxOJwcrwoPmgG4nGZvPzRe7zrhAsmyu1INqb+zvYGxClM8yRduMwsQnVYpoNG2UAWFCs&#10;hSwb+wSJNEdp6fdY/kfHisg/CC2IEDcdqEXnvvyOIMei4x87RO1AZ64i+HJQ8nP/Nfi7fx8Ei4B6&#10;Vr1BAA+7euZju7QQtFiGyThwXwD70fmOX5CyyHHd8ELpcvgr6OfUFA0QxZCZKQDKWDGnEuTo8VpR&#10;U5telLgE/a5qauCkSk6zVq9ZSXEBENmcmvyTIHFaLLNvpQw4mLxKiRtAODAY90z2MwxQwrPaPvY+&#10;jXWPpcxznVGKJIr1RHOjVCgfduIQvJMncj27A/Fxu1qqAPoAGLXzqPcgoBCY91UGuSpSZm9lDq04&#10;iflpAia/C0MRwIXQSDojh6oyK3KW8rukULfYncbycJ25We19sRwm3/RvBzs2gMszeo/p3yhcApA5&#10;/9s6Ew5q9JkTLYyfXHuFv9nHLmFLl0PAN/IIoVZBj7BZbBcYThoYXb9+3ewCgNM0s0QRygu5ZG3F&#10;OdBzYpFPqgJkVTkl0BgXDKl+sGIG2pYbCQyny++UXLk8P9cDPKRGgoLDz53VfT9vLhUCDZPCHes3&#10;fTZoq40iODxRXAEuUSxfnd3xfZ032BxR7ShFzlbVmIiwR4bkPJYFie6juR6KBFCQLsKpYWEQIDCC&#10;QiEAe1rWIiCZjKMDuYnp2rusQE4Wx64x4gUwcjTvWPnz7hUicCQmgwJXyEZYDe89/Z1zsLG53o2p&#10;FwfnkLmgNsIj1f7heZE5yFE3A9NnUKiMk98T4xKljpWdzsEAGMabrA25O/XMKM35o3SFrIyYyh7x&#10;HrUsQGckqJO1WNEzoWNoYJVO0hhm/J10xOiXuJfkugX8UmJAgZrej2xpXTfu88x1nWWuH9cCP8Ug&#10;DfOV82ZFCjulysYry9M6czKW277IOyIXy2Dl3wHA6QUDeC7Gsh+Y6rkzAE/LdT4fsBRgmtRa1ZNR&#10;zNCBUuQx0tjzGKbHigerIHze70QHs7YBvpbF2v/LYvzyXLSe3+i2qYorwDUvoHAoYAUrRSA0LAtT&#10;bpaRMeGSZG41JmRTslEovw4Dwr9TXpzgUJIF+LmyeWgem3npv5rickqONtSO0gTdFrc9NMiR2gAo&#10;M2i9bCRF2hLJqklZIKhub7a79+iurIZqmxw3QN3PwtfCq5Yl/65DPlyk0HyJP6ic36T9uQ5A2xCV&#10;M8x3H1KDCVgMxFhiEVBaTN6EwAwCZW9HtKkGgJC8K9RJ+qg3EIFQmlAiyKckKK5cueTFYUGhSZMJ&#10;APbJ9W1xa2NQZGljI5QufqddVdFMP3qSLlPW+IuvbBJvCKwMvaGi2Q3WmnIvxoDNRvoNG3ZfggqQ&#10;42A3VRU9Vs8S4jKgw8lKoNYGlDKxETsbEkzO7c3YS+n2lWQppNPgod5jH7w2Viy51Lf/6uuvOTiQ&#10;3HcCbiaQhgZF+Z5Nq6cnJxnLErStz01hSRJ01/yWZl+spCJM7FZqk9UwywBF11ywxg54bIohlkIC&#10;kM6fvyKf7qIZp8E+0X5B2cEk7OEXhxrHFUKJYv1uwsFYEU6+NgeqKWlOZlGxCGn7qRXvMkqvgBbX&#10;Y/ezvoAVPM+IAAG0vtfWgor1rypzEt76J/uDBknQzrQmNygK2TB4MYbk+B+r4IuUipK7A5aTSsjz&#10;J2qd/RtXyIDq5Iptzcsny3jtJuIanA/toZyV0LmuAosjuW3XFXzmilNAsCI4EHyhXknrVEfM+wT6&#10;xlLGnYmgT8lfgibjN6+ugQQ6sidwLbkVMoBfc8DPC2JksJxg0xZUbGlHyhTlAJhA5iADnPUhZct3&#10;W1MIOtVRrpoLVioYLi3eACB77owyJThLEiFkrzguRJ9DWbr/AJsQ9swF0cI68J2MI0ACSgn/r5Ue&#10;IFRzxno5u0GfdZ2EpUnVAtnrHuicUV4aHzZugYpV8VlusioGFb029N11WrhfQDn3xlUA4IZdWVxR&#10;vJRAAPdgbVbHVn0dAik592YlOCjQ2qQ1k37vEtawL6HV+RkXAeATUEOXyFRS1IQQYY/7VeeToNyL&#10;6sfB3gIYMD8o8aRvpqul5Y/YH8+D1m4bGUq8EcGZmjPWcVX6wv2QBDyLOQAMUmMoQeFxkec+Sam9&#10;e++ue3osiU1zXFTbfLB47Hss88QGyO0BoNYzH2pPLGGgaK1hawj643pryiCMKyFuUwcLl1XwBAls&#10;We7/Q0cRMzOlOVcdIc39/Nxy9/77f2jmF3mWqsFh+EpOoldwPzllFmZTc5XieAFMNhRb4CI9qDCg&#10;HKip9WZd+RvzAYCF4eH+7L8pfZbYMvKzCdwtxV2pxonpYW2ythiusCfIV1472rPzeo4qc+A232Jc&#10;eVYbbcyJ9s+ePm/2Hd3HnmiG2KSZbFgRKpOmzbubhJkZRMdmTz858bU2u97outtCfffkm3RUvTYL&#10;mw3/aVWhQ3BQtZByrr6oFnBFro+Ht+nMKcu+WQRDSzeWT5YuSsCKo6dkI8yalTQAOgEZMZIaGmy+&#10;IBaOBaqDOC0XRNVEcD0EAARWvj4cv70WW8JoV9chiAUmxHnUUL5t04HwFhT4syyf4H1VonTNcVPo&#10;zWr32eUzULy7EvA3u6UZMTRK66J2xoGyCPALBgs01sTDjqLMSx1Rtenv37vvwzgllDdIhTVCT+lb&#10;5i4+5uPuxo3PteloaqS0NaUrpiCXLAOXzhYdiHIjyGt6XjUIsATiKsLd7oJPHJY2grLeB8Pxijy+&#10;HrVuRsy2/PD/CgQoOPHqlav2kSLwYXdGtPE5DFxlR4LEsQxYp7K+8am6fDDCkwPpfWYXp9kdZ2E8&#10;CdR6rCiGfDEn6dmg/1wWPXNp5emfj7vLly7amiOg16ga1xM9RTSX7GEXCaK2PGgcer/tJ1cgxQK0&#10;0M91y1KqdagVDLVbu3g4jlgb8TEuqmKpGQG+CMj1AUz0N3Mwpf1Gdc9B0GYDQm1ztPvHOqK1/cCS&#10;NhOCf5Qgtextzh1smDNMNLYU8kLpRTim5XKEhztQ2qrLxOW6AeslxAtAESw4ob8vSiAt0NbTaxGX&#10;EOzYHNS4Zh6BQ4xHZXC58JLrzqQLaEBF9obdWQpKZB8Vte+mQhobCnJGYDgxVukSuXIG2UOVTykr&#10;sW7VnAgLClobOYWCJGo8rcIB2rknQpWiRsTAEOA74/HCZsx5rOsyiJgfgJqLFuk5oJyhk5krMjWI&#10;j6Bzphsc4VLR72FS9ig9rTU7IC5L5+76nUfdfdH+9E7helW22emqVIe0LFLqoPptuBwx9D6WMqYO&#10;4ELXPnf2jM+EA62JYdDYl7WPmDeUqSlpYs5gPgCOuEpZS50F/Nm8pnRvlCqBiWQ4uHeRXU9S2sSs&#10;KK5qReCMOKpbqiMzN5+WBp4zja9qazAHPDfr5+B6GxBhpVPyPWd5by9uCv6+ILlATxCMhHNyzcCY&#10;OBNEBcTYO1wHUFh7AjeJ4XNjcuLyGPr5ZxT7saiGeYyJ/QXYABEi7/nakeKd0Vlj71JQ7ObEHafn&#10;khJqFwb/9Q2CdqYjB6ODvPfNLuMej2ssCrlznYikS1aqpWRWKWEzGYDwCe/BAHjOWuQGc5VA0mSf&#10;BLylLX1AVABDgY0E+hKUSpqp1krXSj8S7l0FwqITcBk75gUAI+aVAFeeiVojrAtGFPEuXN8FGBnP&#10;iNyNDE7Xwg2LfHbF1caKAUCtL5j/tp4JZE+Gh1vS65o2ulpl6nFXa20ahW8u+oSi1QdMkerDTA6+&#10;VgSSrUlbkYq81QbmQEAZb6pWvKOL8U85cDGFPvZUMMWozNkMLBaR7/HbO73SpbAjyNi8UNMOTnIg&#10;XCbOzg7oFiuR9PWAguEhZ4TAqHD34NF9W5gInRUdOIm80DQEnWFBe+FA91B2OnwgTspe74jKo/YF&#10;13WgJvfSe2gApkk6f36lO780192689AHeH1bz+vAL/psUFCIz4Q2sz/K85kGQqO0ThW9mUwCon30&#10;pAADQIjKeR8qe2VXz+Lqkgq6GxPlenK0ZrdK5W/HEI6ComU0hZQ++eRD+drPapMIpbNOCh7jPgcC&#10;E9TTsIk7Kj+txnpf8SqHdEt0F09dxpVJGU9LY9WzQtVl40uBUMcDxWok74Ux+nY9Aj6msQMY5qRM&#10;pmVtraud7UfvkkqmuW5+NA4GwV9Og8NtoPVEUN17oGqI5NdrQzMfbq1u5UgQEGm08nNqrI5z8IOn&#10;r4j972xkcBBZPq5Njs+J/ZCiSl49fNs60OyoEY3l0/c/sqsJ1w+R8IAPgCLIHf8wrdNRAFT/HJ/S&#10;v6XEyL0f9fphcTCSuCjasto63FEwHYwLFvzhCC69lhLZwBCBrbSTx21DBcjr10VvkldtsNLmmffo&#10;2tOqPoqLbYw9h8vJMRYRfFWCnu3DuaQJD98pV2vl2+aIvch4Z9U0a4R9pWfF2mSaYQhJhHQEvJQM&#10;z4RFCJh0nI7Wzc8IIBHISvfaYaQJM3v+rJSC7g3wKBqWQksGDxobgpu4KNZvXtYrY7Ngl1BDEfpc&#10;2uKNFer0OYoD2W2BFaexeW4AlRkTYTJnJQTD3iTjYwp3BMpCz03KIseCPXtO/nrSCreUtjsr65cU&#10;8JmZFYMJB0WqaBYuqHHNxRzBYdrYGD12QulaPId7dOhrS4CBvi8AUM7KmK43Pr4c5smuiSgGBBEZ&#10;CjPn1QBLc7YBmBiZVM0P9RgYgf5OZ8YYNQfOBKO/DK99nZ81g1lZrJrzapU+p/HhzHKfDK3hGT1/&#10;uveKebA7S3ICdyByRr/z3tY1UDYIdww7gIBjESS7lrQ4ABkAA2tCWiizuaxYAQAX1i+gwQafaons&#10;ilWIHz6Kp1JZmWvmmV/6O6dP84ay457Id1PcGh/zaqbU51+gUowS88r7FgVUkp47F9cWAI84Ac03&#10;Co55tzsX/dIChJFV7I+4/BJvxVw+UgYNwbKj6sAM+Ymr0Na+thhsCmOj6CGZCx9++HEq9jZGLuqm&#10;AQuDgIA4y7qmTHGfIJPuybijaFlYP72lx3wCUBIfgELN/p3W3M0Rsyaw65TMxt4CfgFVLAAMjYOI&#10;yXohqFhnBhDI/TBYAUswG1wDFxLsIrINQ5n1rmwYdBjGAvsZMDlHHxgeThlygBZcV5T/LjBjt7n+&#10;zH1hvzedcZPiXJxP5hiDh5onXAj5VeyTZTAyXnJjS3MzeRxZwGuYYOp/5mUvrwbGRLIhpx1AA62X&#10;4ioubEQxGlwDsvh5uA0dYFIMHVQjEMFAkp5F7m9y1FNlkMX0ejXUxs8okPhuo7jio7IQ9b/yER4E&#10;4biquAu3u9ZGIV98V9HhbApXUwN5a5FYUFPsBFBp8XBh0OQIWtl8MYBEY9tY3ZMAXNeEyFJQeh8H&#10;ABpwX8qaVK0ZEJ6U9xkdBiwyhGfKl+qg2BsT/2oikjNGFDLXODzIgxo0tKA7lKNFNSldoFun3rFB&#10;Qd6xytzV0ZH6mSOuwfM6kFOpO665oavYcoD+lNKGRkw+MYBG1oqC3pjXHXLyTYVobm31NcvaLEcC&#10;M1EOvByc5HnE35YMFb8Ys96LRTErZbSydMGHjflFYRMZQMnoE2IgNDfExzjCXNdh/9z87HNbZzu2&#10;QrkeQa+huUH6KwKbCDJ6T2yJnisOoNA6S1Z19LHU7NYyoxLLwc9kmiXzjAJwbQ8eW89B11kyVRD2&#10;CJoROv51tHhW3QGEPXNukBFLkFiZ0DaAXIBfFBl7GL8iBy1pkbo/xdL8TASRBvTWy1X7fM9EiWPJ&#10;+CAbbOiMcV2oUI3JUeQGcKbfsvawEjybxoV150A61q192cJgbfWoVtSkMgpIUv/ivrJgNjdQ2qHN&#10;ORf2s2t/2hptlpl36ECg5l6OX/Gc5rUoNi4pZmQ2JGc8tLTYMbEouDRJZWVcgPQ5CcJ9uQirORPn&#10;ErlwFn+t/qtiSC6CpXm3FcnZIUalNXFDvvBvrsGzjei+uMAgirDoD1TbA8E3Tc0B7cmJkXQq5Po6&#10;oj7bMGPSXgatsBvzcrsmg+K4W5F1jQDlPLOXYVqMvbkC7jYUm2KhmBuerWpt7BEg6+wLyUcpqUMX&#10;J4tbalfg1P1Q6E6sirgnYmGpPcF5pd8KS2UmTpbctLohn0jeYDdRTXLzUKwL6aHK5OLauHZOlN1G&#10;gDdN6XCPsiB0+USw8+wVgAhrMqK86cqKAKxZGbOnMJZaIKuDMn1GWGfOrwCzfl6RkTivOYSVia88&#10;cTrLmjPH/9hCT7l4Kp9aXrA2PLsNOVgH0jnVrXKCLs/UnaDrqreI/OpSRvpy9gyVLxsTBjN3oMkb&#10;VyopLyspVZO1O9iKlA6dKhqncbn6cCvmxPotqIYBX7zSfyXsFsHDxP8QwDujwPmHkjtvv/l2t05p&#10;cP2elHPOLQZe1A6h12iEBiD0HVBJ6jVn94MPPnU8DkAbqVAS3aag90xcAswp+xOQiuxBNh2onTZz&#10;Xq42wDsGNvF2yBh0JwecWDtiXFwMTXuCf7NuA7ZGexT8cYxu0oJN4gIsJkMG0KzOms8ez+dzksDj&#10;ZFGEORsVwHUALBWB9Rwuj4480D84A2Yw9bPZDxkiNjIxLFrmVzKfNGEwLJKJM9ozBtp6fak7I/6/&#10;XDhpnGdk8aeCGzEQCL3UrQ8Ko2+FayJIw67LChmneBS1I0yjRFliqUYnFn069CsZLhg0DP82kMbs&#10;RSNEMgKCUl34piHZM6K4zogCZIKIAo8yiMDmADFe0K6TPqCGYDmwzFWmevP4noSPUtRk/Z8oJzoU&#10;buj6A41nW0qYTXCo8tIcklSP00TrP/zrlAEl6MXBUyBuK3iVYqVzodapUmuKValnSoAVlld81mS+&#10;pNpbNmr8+56snETPoTapQBMdS9nEZGmANvkzaDwd3ZLhQt8MWjoTHMVcUZ65xfX7HvaP6wsfNNfF&#10;WgFweQzeXDwT9w97YhpTgoNNutCquY0r5iIxCXmqUjpVzYwxcj0C49xtVM+5pWAfuscl6ph8bFlo&#10;KCAADcpWB40OchVY2o/TqODP5JOzP0vT5WjXGAwUiDB2Boiew4cu/v5Uv4zVYutBAh22ZNcuLPZs&#10;sx4acEhecpS1LQ8sWoSzDlMCqequAcEGa8yd1xfqOf7iaTrM6vNkDJj2ZS9y0IklIBDWrhF+2Q8o&#10;Hs6rA7f0Pu5f/lXOAsLtQK40LIuAraTwQWXOyjd/XXUa8FFjYVqBOt0XwCkwSgxAAyrsr/Jx5gQA&#10;VnJ/C1D+0c4bv0OoV9BY0dj83rUZAKNtrsqFUaWzzXYZSOG2gJYOlcurQIefVe8jTS+R5PHt83IR&#10;pNZhk3/zdzI5yr9u60gGvwNYm/sSwehnMfuY63hvaB2wsp3CJnDIfQiErT3nuCMJW4Qslq0LXcFY&#10;6HfVeMruGdhVx0mE4mUnwqrCVkHFd2I7OVv0GGH/YWXOSXFOTpFGGJDq84tLj/mA1tf7CAilBDsi&#10;ZdNWqap5ivzh3/tq7re7mxoSZCN5L5jJk4sWtyEymeBJK01irmKR8hzMb/YL7AXsQZ0Nqp9KOUpe&#10;IFYQFGbGMG6w9I+SYcYZHdXcTghRRE7BqhB8iQuG+jrUBoqVmgJJKSCIJT8po8y1Y1Bo+mJd2RMA&#10;LWfwAAJZD9goxos8Y920hsiS6BPVGpFMr+vzM79PRVOaPibgGdlCgOxX33ij+8u//kFYhGYbwIbb&#10;wLOhNIx9YrZWpOuuKN11QvLp2qc3EtOkM+M4CAzH1mbe+yQKzefODcQwKHErwa4qVdggy9kqea4C&#10;7KxBuQjsRm/sT1o1RL9FvjSjQvsVVw6syZZAzY5YI8dXadM4TkjvIyaRFz+zL4k/quwsnyMYP8+n&#10;mAdYH81VxdpUenX+HhLB57AB0ZI51FuJW0UxTy32QnowsQenX/axWkiRUp8GLFtCuK4/r89QnRIW&#10;IDQ4fe016YrkvHf3nivSUSsqgyYXPyVDQ6dAA2eQFj4soDdrU5m9v1XcgyeyCXIOx2UtMOO7q6Iq&#10;IGdQP9XMCH6BcgR50e+DCF8sEAJxUFogUWIfxmhaRWW02RVV0bjeLf6bv+kebiZeQie/HbxEtG8o&#10;OIUWqicjoH9dG4wAfUXxJtgM1WlgcLXprSh0l5QMz7it4mwFZqJ5nmE2xKjysJe63/md3+neevOt&#10;7tq1z03x2tJmPGxcXcDWr4Lbfvu3f0suFtGcNFMCwHiDE22bIjgINwIpj3TAMbJ/9sHH3cnte57r&#10;WujayIz5+Ree637lV37F1s33vvc9pbG+77miOlv2RdJ5DAQFzF5/4yvds8885X8D0JZVAIgyqH7u&#10;dvBhN5werNe5s1u2VvcltB7K94zAZw1YE9od0wcBluBEtOOOwMHa+qYEoSwrCcSyuLmOgVyjB9n4&#10;vhfAw+6Gx1+wBPPyYbP+LrYDrSzqFwG+r0wWmhoVADVDobfsCwjuaMLuP9roHgnoxFoL6mYBEhwZ&#10;5YT/OM2tNMFUT2V9YTNgCMz65Pq4Ac+r9sTIsQLRdJ2U9Y7lb3pU/wAsEWPEft0jxYoIbXqKGI9o&#10;DzIOrCWtr4tWmUmJD9fK2g3ySFOUAG33ZTxYNtPSOJcuKqANZqpZJFzYTJdHzW8ZL3s6a5z1jn+4&#10;WBVXGW3xBalhMCx4U/uZNbFyakK+BFDRobVCtfeTSRJLss4C1y1AUe/nbyUkM8+RGyiOUvYpdpeo&#10;9wI0fE+gWKqbViCwK1m2YL6izFP3I4ZABeBlbZpVDKOhl0FJo34DoCjdDEuoveh00+T3YxS4QZgb&#10;0aVVtt1GlrUoVM2nZKV9qGrShstnBjeM9tTKWbElmnlafi8tkB2XtOQJAEEDwRRT8zw6e4PiSFXB&#10;FRo7xfEmXGxIrBTUNZk/GGAO5kz2Sc078ulgr1mUmisXydIzbG2vm42kO+2gKBFyTnPEMxXrh0hD&#10;gRJwjqRLDRHjqsGc1b0AOocCLLbgC+QBFs1IKqPHsixrbOBRhpb+DXirtWGPkQU4cK3AIsJO6n3j&#10;UtzJ2pBLR1VPydZ59dXXur/5yVsCKvHtu65Ms+QH51xXcAVH7QP2FkDCwaNmb/xoVtiOaTISaYYe&#10;Z8VkRLIVick5mY97jmdw8SmMI9g0i/M8b30VkOI7QJv9WvERrDHAiaBRG6YuAR7wQSYGgJC1DXhK&#10;vARfJYvHpBPRl+y/AiUu4OaGlknVTnxGmzv9XCxl1fLL2ZErT/rfc+cyAtnL8e9QkBElXie2990b&#10;Xv92X/ZmuXIhHoZ0HQJ1qGiGH42Ng6VPadpVWb5ce88R2lK8ZG1YGLeLI2glJB38jaVhpFs3joX2&#10;i145QO2NbVM7tcyBHqJaNMEI8CV9OTK1Ud2uT859m3uMRcWyB+Ftq5U3x4DOi0ANLFk/P1SkLLaL&#10;ly6Jxl9WFscDt/2G1nclicaQQPGRhodA25FAZzH2tDFK6CedsYEIx3a0wlaaLArFmKLUV4p6YS3l&#10;/TVtbgyjTX35ymX1/FiSD/i+grr0Hi28ESs+teZ7dstqmjvNLyvA8HL3/kefZqO0iU6WQTogvvzy&#10;S913v/sb3mjXr3/WvfvuT+1HJjAzEeVxK6E0CVb92tfe6J55WtkYTpvTHtFhJYVsmJ+MlZqyuhwU&#10;6bDuG9/4hhsJ0QbbAWAAEqSFnimli2FF1I5b4PNn776nxi/KR28RwLUXyrLlGekNQZVDrk+sS71M&#10;GhC0KSB48dKF7srVSzqYSnHi6BmMUQEO5gh/fPyx1JfDSwSI2dMPH376mYYlRO8NWwA76xaX2aiV&#10;+Y6qJtLpjmeoImoBuy1wVe+FIbty5Yr87PesUCq4yYGNbjgk4S8m5KwElvsICMBQVh1ro0pUF5Bi&#10;X1VL4mL2XLLa7EKUHfvveaXb3r9/y0V5KHq2IKrzSMLkrvy6+7BPzLnWelHukVLIfjhrg+y5pG/q&#10;rISKcvAf5zKKqEV185EmfGpuuPZQsAdIlWIuq6t/tl1eGIWh6xRY4N9e1969SqH3QcJpGVHPUtfy&#10;I7Xx891pkg2YlQCvayRYN0qBeSwgZCWm8UTuZf2RFQVmI4KI5dLe1loQU4VR41LOstoPXKKbQlWZ&#10;x4yJ2B7aYFN/Ij5njiVGA6nAcwK/1Gu4eFadjwmUs/OTU0izoxg2YXLCAMbh28AVc9ZAVhXeKkuS&#10;t/vd+WEAwACeyM4UoYqrK2e5GUY6rzCaDqDUesFOJyOo1QogZgkWS//GhQ1ol2izIVQAru6HZYw+&#10;oW6MmW59Oe6iySVXakSe6T4GYjpfrIn3Ar9rMoXPFfPgoohGwXEjp7x0XH5JL40BhuuKmB16SbgR&#10;nZ8v/V2sF1BIbS6ZB4zlgy2xGwIGZi5xozaWsOR4fw86NkR7Z0WZQNPK2PL72W9mJrM+MADsGbPA&#10;yI32bA6INoPcaiLp75UI4LRPnnBgIBDTFyDPs9uF04Bt2Ixk3QTMwa6luV3twSpsaJBLTERjE6r/&#10;CePE/V+FJVkfN4DTmFxbBI+Gru9aL3bpAiLapst2LHdCHrQOeG3SylPFB7eLvwoaRZ8xxeimOKSC&#10;JPBjT5XHKv/cwphrM2kIDQRtC/TzXxrSG1DOHEwLyCxTUE++89YE+aWx0fraqim4GYSlFpKxYOFC&#10;jfGIfOGLZp/WUU6FRCgfeqXLktZ1ju8ov9inMtYhY5qUhXcsNwbPATAh6I8D5MpdjEUXdMGjRlWR&#10;PWEk1zre7R3KD1dgBwGgxcYJumfBksPBdxawFjEnPCMlUDUbkA1HHjFBropcJ6hMHSF3ddYRKhxe&#10;QgAGHf4E3oQxW0qXUGwbA+6lHOhklyRl8JYtavz2xH+k7Xp7NlunYVp4z9LS2e65554xUzE1DW2p&#10;g76dNK3kOMeCjkWZXOIKqCXgdcKBP5YwrnHhbAtdndblVAtdFKBzv/pTyriUCN8Bhyjm+/fve7cm&#10;cjh7FeaMIjMAR6pjMl/zsAa2BJNua3lFjIQ0Cr5r6mdQVQPraETUbgKDSYVK2WAb6s1CTTn0TrX0&#10;n+4+//yawJ8iqTUXnp82pw5K1hjCWGitHCOkdDZ6BSDqsLb0HhSJwyXpeaK+NCiq4wdrtjphSjis&#10;rH1ZjawbFhKf5Yw5mhz2h/s6W4WI+xkXtzoR84Gv143F9ExkD/mcIQD0OQQwgdDspRKMhqsuQ9/i&#10;MHpgnnNQro4SgFyjXqWYsreGLJsFTGMCihngd3UN0FefbSrKtC93TgOV/r3q+qWE+HcBkBrb8PwN&#10;reNjW5cBexlvWL9yFVVBJINMlKzWjr8lsyTBnHUvtuqY4kWm2BsTYhWawJ6U+3BilF4PUXgoAmQG&#10;QYXIp5u3rjtjZFLda53hoZoyMAhXBXxfekW9GlRZN/VPck7p3+FwV/YrqdE9S55NmTngmQLy2Mc8&#10;Fy7mzHeszVJqkT+BIOxZXpXZxjOxn3FLIJPH5Qu3EWNrOuWjXQOo2CrL9TQ1xGh0Wn1TlgUkwyoE&#10;ZBLfUsxMH/QBZhDwxLyYXdX7HCvU1qsqqJYrhDHnbLKOMKH0OgJ40CGUwE3kj9pXC0B7v5pJyDxw&#10;uKofjtWPwVW4N0A24IHZp+z1wBC0HA1755lrcso6QLrnnmRS4ts0z2KoB9VDzYih3FORNrFv2Xul&#10;Z2OgxOVZvzMDyby1LKqcjyEQLLehZYfmITUn2JvxADA+DGBeFRBd76vjXZU1uWfWPyC1zhHXrp4p&#10;ianANY4LHZDYQMTA1K1T1767EE/zW7mzYKtiV0j9GEWKz090kWliDZaAniy8wITU95p6Rrh+uFe7&#10;RfY2n/EQERdaC92fr7AflmsFchrq5t8+MPqOonJACAdCby6fjz9jwc5mBSFyeAjhxcIJpGH9jxRl&#10;z2YjnmLyGm1PFWinZ53W+CniMq3rH6mVOZHnI2p0RYle5zerTv4UTco0zrXNh07fO3NegZcEm8Lc&#10;6OLQiGxJxsfCYPEamaIkmlujGQWOMwHtxe+b5yMDIYI9ro10agxoiRuJzUEAUqjpNDsaFvNieRlL&#10;BbY6U6KBCE9s24wAKe4xq+C5eZWJTknvCiFqVnUTZCios/IxEmJERg6U17QEpdPMmmBlkzrwVsDC&#10;hw8LytZHGAgis9DNxJRkD4iqZE+QGQFNa19tLNP6KkXAdbC2L4kVevvtt13cCuvI0dXI3CZUSEk7&#10;f/6sARtglMifHVkVuFn8Xnxr+qXHrMHsaq0BkOOyIMJcDeSD56kyBBxbIhQOI7C9Q4v1W6rt4Bh/&#10;ryl6xNkNVlDx47oMvJgZKgXyHs6U93ALqKXTKoCvr2wp/111FSKnRG8LuBftb2VgNidBuZRptjsF&#10;ZkCjgcIkS+FA/vj93aNukxQ07SfXVHApdn0H+AOqUgvda+N+EfzXfjU4o44jGVq5jKf8tVV0qsQH&#10;fyuXREBXuxgjs9JpxoDPQT7lwEmNaVB4x0o3AMrl7HUdLCdeFrJ1cLhWM3b6lp0PWps38+O+d1xD&#10;uUb2SwEJx8eI/etbt+0CPnecrSMF0Poct/MdRc2ZSvZQagUoMl9B6OwZZP/S/FnVqEhnS86hi8Bh&#10;gQMO9Zkt1ZXZl7uU3kWLyoA5ONjsPnz/p93rL1zqFpUVRrVcGCx9yGXj98nkEFPF7HCuqMppxWPg&#10;kGcscMlcs+bEaxHvwTrUcyd4MnFq7M+aV0CAA2s9Oa2eiWMH/EhZO90n2XukbYu5kFU8rW60OYOZ&#10;VwN2on0aQ2Yrurm5GK/LlbP+KEmAGkaFxseepK8R8pAlZt4x3niPgzrLWMAVpjlBdvGcB3JTABhY&#10;B8qcs95Y/fTWIEvmk08/NRjRQXFdGgRFQFfYHe81ZIIZlsTJ8Jzf+4u/7H70ox/5Z6+z5yCGiBlA&#10;7+W4OdAduGpdnbgZojDCMCjRpew39E82YcBxGIk+u1fgPJVprfS8b+0O5aMD4J2AV+aaMRSjECAS&#10;Xct1XQW5BzwsiwXS5qii25jCkj3FhqTqZxtfY7A5RSXjGVTYOn77c5gIT1dbaKtkPYAb6ugwkNcb&#10;OiPRpka/YgNSIzwoH4XFv/8/7Z1ZjKbpddff7uqurq2rt+qa7unZV9vjLd5iO05CUBJHChgFkiAk&#10;NoHgAiQQF1wiiMRVxB0EIZAskGKFK7hASkRC4sjElhPbkxnbM+OZ8ew9vUwv1dXVa1V1N//f/3/O&#10;971dM06QEReIfD019dX3vcvzPs95zvmfHQ2USOTbmypfWjcNEAzRM1j3dShmYDMZk1u+7hY0GW4x&#10;DYhY57rhi65Dbi0ElUIZtIVVkRpNxCz5vhRfcYBdJto+SZgiQYJsEFf50gbWht0toNANWhqtgrwA&#10;R4tL0mYx12FS8zh0LzdrSgpjumcmLeo2PTdk7sd0zmQbMWIGhAaY08AqH4+gYVGZ0yxSBeaZD4aQ&#10;XK2STSMTGx0Kt7f2uw4FdReosIl7yK6VuuYMgYfScBFGbpC1QzgYhdcaOIZChI4pLpagqSZqszoR&#10;ulUN8YknHreQokMp4CyYNwWAGrlG28eykeeG2aX+gLGKAwudaWEJkplwhoV+MAl2XrU16QISXvcS&#10;HK2BRRsvpFm0EXqKhkR6Eo167EZCeAtQQJt+vgqmasuWUz951vJbmn71E4tUaN+ZGU4hVYqcYlgO&#10;OG+/pFIxBSLEu/U01hozrhq3GWl302SDMwgPpDQgP2/FVCRHIAzGGh4pY/EJd7AfvQNsotT4okiW&#10;NcRAIjRDuhlVMM0fMSHrQNp/u91v+Upbiw9Yhx5TEjvWrymdGnd6TCXcyzTb5/F501QLbQJae4qC&#10;JaIJh/bj0py0e2c/V4AlGQk9bynmRgwBZuvMR+oqZPpNIwh2C4YEg48tV7FiklYucFX+5Jybfdhm&#10;49bisKJOXC/cS4eiDYa+Q+usRUpgo6HDV7TPOU7XdCyCwP01xRToRNdJoNmbhSX0DxiStQ/rDnVE&#10;WI9ZgcA1Fea7qX115uTrw+uvvDT81I9/bvjoR55ygCzjJSiTVEIEE8qKKR8gYxBbGn4pXOHXaLHT&#10;eg+kFweIaR5IYbWwCb9kr0X71cipmsnHVvaKx7KO0D/ggzXznAMkU047+zuKXbqsJlDUgq0AId0+&#10;+ZkUoYNf2kQfS4LN8PBzFEJnBaTnB5YdMvIcE8V66R6AnwSKRuFCkLpXU10v1VsVEyQj7CnV7nn7&#10;1CnzZ6tlMCGDhcxfSeZYw6ERzS0xZWTsvfTSy17rXQq4R06ZVh0ToBlHSSArCBBmK5SqZcoyeUmu&#10;/gMUMTMvZ6xYZTPOZHVFPjoA1Yp5AT8UA12nQZUJmvUsLsn9DHbLwpugaOYNUBpAkxcFwLQG4jVk&#10;+OwVIEJOtCubuiG35onT0LX0r+MpGlBzhaSzRuKSrl7bZXJ9V+614pSPfqA7w2YvT0Iic3nAZGPM&#10;2SdNmuWacu0JXgNZDipicV3d1Ah0c2S9xgCK3KsWsDdNwFCm9fHpy2BDi0PKi7Qxo34zDZgvWuIE&#10;OuQcHd+WieQMp1QoJirXgoCgtFDUhr/tYJSgMYQkP0Hi0vqqHgUpK2xA2g8zcbR+dVS4Nyy5uUJx&#10;ehHbwaQ71kBmRyrDAS62tWFs/kYLcWpRWtAy6kRBZyNMWr+Wnz/MOT+eX/3NhqMmBfPrwjilgbGj&#10;ofU0HUpFM4gRIT4xx1ngxS/Oy3U5BOr2qZgPvkD3OvCaRJiHA8csdk2Mi1bJBHa5yJDbrgfIuZyw&#10;BV2ZqEWq1IjAB4yVx50EBaSo92SgY6sADAlfd5q2kPqYuZe5TPNOUJ+7nDoYqmJbiA2AMZDeV+a3&#10;Ht+YXJqJ0xyIzYYmbtxQAsGPxnv9sDl2UdlQINdWAB7agpqAzLiJzHQAasgZ0w/R/2jqaL/5rM2H&#10;WbICgGZAtmdFYPm47Bc/J10dtQZtCXIaIYKumATrQ9AacRhkmNzW/RKsFLDUwKUhSrswcOU8pJiH&#10;Z5754/JzZjymOQuUlLM1bRLZj9DQdf2ZU60D4Hh+BBIax92WvvRj6FcDN3z3bFy01xCPBFftN/5K&#10;B964BDqq23OFdmiNBgAZ3zPm3K7mx5rDa22m5cql5cePGdcq13bV10x/QKCZF3RG4Fv6gbCWMH/W&#10;cpt0Sn3muBOvGXLbeQYTgGFNzQMjK0iaflXrhIbYf75+Af/wnY4F4YgpYzUtWeqGpue15+4oxZEx&#10;rW8I5MvaubKyGgsm+1OHUleDNE/ckltbV13m2JqfBce+4eSp88Ov/+f/OnzrmeeHT//oJxXn8uDw&#10;4IP3+RpOzashxDqZyqEYWs3fPE+xhpKDvrhPFRErbogy+CyGA0l7kRGAEhhuGsf61foTQBe3QYJ6&#10;vd/wtbcAZxZwDxhEpGOs6Z2gS8ahz3aLN88VqLNQ1WfQohU+QEu5utqNZWGIuw+BX+NhmO5cyl6p&#10;UQMoqPFC/BCu3D1OxZU13EGqykoRSOZ5zp45M7yoGCs3odMDU8k07ghPdyoIA2CYewOL8GOCvVm/&#10;Va3b63MnRUu4pGLl40JYL1wfQvdmTMQQ7BYQBEBsKEOCOkVkm+zSosyVxSPTnRRx8ygrHABnnevs&#10;p/AaFGroLoo0a8nn2HXgJ7g5s053ytpAYDfXQiY1eDQ5AuiwnKp+0AJgAvdGWcv20V22eE3Pc7s7&#10;Og6oNJMJ+GCNY1lm7KG5tqh3daQRrw55ESjDhHOSi8KIUcGYHdBhs1yQ6VVNmpuhaFHPKyDOJl8F&#10;Md28ecX19m/h75NJqU2QjjgHIMC4uQOThFkaAOHeGoA9fQbSx9FfTNro0RAlDAz0FxMZBaRkApNg&#10;ATWStkRsAkFN7ohXNefts2d2RUj0xKAM9S1t2C0VgsG2sCCT4o3LpMqxGSloE4QPI+LZKWaDPCUP&#10;XyRtX/Smg4qiwVL9zZtbG2lOC7d5A4Ysd480DZu+YH6g2cKMJhDQp67RxXj2E8tBqVnNY+pHJH4E&#10;lpo4BYqDJLqayppsUIrTsEnsFzfDjtkSgQ6qNrGAB8Qkgx1YUbSGzKfzb8hd1kYh537eVTFFmDIR&#10;RpBHY7ZQlVCgbj8uKvLl3bWTDBTWxkwsFS3jDkl6pdOFrHATQhs/7B18aQJzrdkiSWYVlLsu066t&#10;L2baEajtP4/5b2RGtzWq0hJtyQiA4Bzqh7iQi/yjtNJ1znqtKQIqFrYyQ+uOMKMIpVQE3KUaIES2&#10;k/rZUeamV8elMOd6RqxSuDAc2xHg5YqQ1JgwEydwKX0irqieP2vnanAGPwHKehrRDr5a3A5KASQP&#10;XHLPvkY9D7Ei7dohfYuAVTKTvvXNb8aszvnMg65L05x9xC5AKyyJxgez3pIJHPpw8Rl9z1oB/m7B&#10;wEsyT8CoFYcwB6+hEWeEvC0T/tZTZdrIT8k09lYB1LhE2MiYYfO5P0MZcdxFMSTTeK7fPtmYtk2w&#10;sbSYjmJ1GbtKOn6haSRm/Eqt1f0A72Pzq61OlXLePmfubfriN5RXICaPHdrjPKwUDU65ZgLaqsGf&#10;3ZSpDjqrezptVReE79BuG4sh/U5I4Ub44ea8rsqNl9fODpcvndcYqzw1rlnSzK0Q8Ly3hue+99Lw&#10;PWnDq0cPDz+i4OSf+nM/qUDoRwzOu06J42oAnjyfQTL7hDLzVdQsZip/h5XFQKHcMnnM2qMl0KMx&#10;x+XmOUcGYNWV2wKw5HRLup0So1GmdY4npd1tuE0e+ldzx3U6CLD3p9OuC1D3HDtODnpBUyftlSsh&#10;4PWOmBT4ytQamTRnVg1ZMgu/AijtC3g4f14F3t5+ezj55snh1Nunh3uVIbVOZpjrSYAmyDKIS9Dr&#10;bHoOzSfTLYW77pXbcnj6GdGwBDAxKgBylDcWWKdigcI6vS2esLioQHopD1TJxGJPCwTGjmJHJAR7&#10;zi5A763IWPMhp6uXa7eQndcTHm7gZSngdeh15HdnGLFFXD6B+eFZAHZWKIi3isDnOl5TeIp4W1ew&#10;RUZ0qnbHtLVlMqSRPdCftcIbuR2ez0uAEH9OmZuZHPs/g7c2xYBp4sGk71WAjk06ZaHATUFlsHW6&#10;Ht5AQ1Xajd7jn6Xe+8bVCzLPiWGawFNUxWzI/CHMHhMjnzJJFKiybGOAcgeovJzNRcQmuGgMa4+V&#10;Qge4VXHV77/O+Ehbwgmp79DYMfZdJmiJfGZTddJfZrRJeT5rwPrZpCa5kPrFd9YEdtQgaO/ioFIx&#10;FnCSji5StHtbFc/UvXNRTOCWLBMO8pF1xQE0GjBAwqZzXfGN118bdm9eGg4skFajpkOyWtAumDz+&#10;3RQCovQxm5IGYK5sA6FQg+LW8PbpU8M758+pKMp6No0j69CcMIOSWSHtWpaf0zLPrRyWO0OBcVDy&#10;DZW+Tq32FIpyAR6t1V7loBMxfpnGOggl539jvQBMAS4w/arY1trF4ewbr6mN+bK7stIGG01xLxpa&#10;MQmMug4QE9J3N1DQv+dVDJ+S36Br/bup+bmujAB8m4OK39gErDNTBwGNMQF+pj2DQwShmDQErvWm&#10;wpxLuWKCt08wcixCus2VmGjlMrI2DRRkGAnacuCuxuyOkN59MD/y9qFvhDY6tQhJsTEwg5hMSceL&#10;GR/BTvnYYZcq3bGxvTcoCMNdaNh01eW0D6mC6QwAVhrvnfmsjyv4uZMiriQ9jy5Dnvg+VzxMhDUC&#10;hDXDL0rMC5oIwZ2uQ6BjANGAZLdut4k3zDTaiMrwyuV18uQpXTOp1QjF9MXQM+s6B+bVb2JddRqu&#10;CTxQL+AqlenEW3X8zG5lqdhyg9Ag/Yy5zb3SCTcavfcZYBBztWMuptVLI9TD4DiumYvdR63tAnrN&#10;4KegLmA04oVrzKptNi/bNYqhtl882g5rnnO6Kl4C8wqo6v04Da59uXHvJNCX1yROh/mzEIo7qF1v&#10;LZQcAIdmWAyzhXHfr9OLQ4+VrqffCBptbgtT9sotgYl7lQ119NCRYUPVYndRRwXupn1y5bJazKNg&#10;6f4oLLcWVM30UgpdbYp3bkkB2qeGbK4YWZUbXXdA++HMOxeH3/rtLw/ffe754Qt/4fPD537ss3rM&#10;dE8FTPQ6TEFQVW80WJ66OlqIW4BXFgoWKiqhjv3iHe9Cx2ZjpAKVlhtlHSamxwCLVumuf5C5teAR&#10;Dx5ngvV9HSdl60aA2Ti40iDNwBPT/FTQugkUwcmlTCZmANpIQSeUszkFsW5KDrz11tvD9195ZTj9&#10;9hkLczT3eY3z/geOD2sCEScVw3QJ1zc8rhUVSMaUaNOj+RPAH3o5ft+9w9F7jqns9Xm3ud8Fz3Ft&#10;DBRfYojKEinZde3KpnjDEVXlFJARfQL4G9j1fBrYyo3RdNTA1B+Y5mNlaFDddIwMgIbazTam36Sd&#10;omwHiCPn2sUY9zTYJ4kIKBD8iwUvVrneOz2m8T5ucMp1J65lz1H2Ye+fPbWH4Ql5uHpnk7AIjGBC&#10;AMSMCJyXzf3e0Io0VuAKQsMFLyTMWAiYEXQG87y6JobvohgZ7BZm5fAfv5zh4MljMVJEpKNyYV+g&#10;OOIF0NbZfMQ4UDyJrm40P4LZUTd/j4iJjnKknC4psIn7J1gqm8w9CgARaJxWcSXAdBAse4/6S8yf&#10;V6U2mKmKW8zKOnFVzFci34AEN/imGMV+bTRvIMZvMJXARTY6Gj8mLVcGu92xD8lSoIEZcwF8KOrx&#10;BsPU1YuUIKFNRxGjNc4t7Ne1w3Tzimaemv6XXMv9ptYFzfimmuE0g2Vt9u2jeygxGDQyWnN0sbUK&#10;RxT11bLSjJ2+HefU/OaGLEeY/2g0tE/d60IgFbfCsRoKyP7ZZ561CXZxgeqIaGNcu4KDdFysVRLG&#10;2nSNfrMpEgRoArTZIKZxQMt1cpfFFN5RfxbOJwAtj57nb0TMdXDnsP7RRN9dK41nIs34pZdeEu1c&#10;tYaJWw8Q5DohgEin4FVNe10TGwmGlz1yZbAGzVSYX6I+EEwUpQG5E7V9WoBvQ6bLacfMrI9hsjVJ&#10;rCnbzhl/+fsvDRsXdU25d24qGBXGR30Nl79WMN8uWlVvJ8ODNMQw3MlSTZ6fuXz++ef97BGgKchk&#10;lws+YIFUxvTC8y+Ioa27LgZrSfo+Fo3EhJCqVoy+NE6P2mNOUaBJainAzZU72xKB8JxqtXcLWrT+&#10;rEUzQd6P05r7PlFfMk+dMdBAooWN1xxNUYw6XTUTF8LLee5lBTA4LStG76Vo4t3uvKLMbSazzhke&#10;MwILBkP8Q2OvieeYBI4lkr6tYe1WmmhmUjB27cGtShYHlidlVyjo90Mf+MDwDbkiKBAFvQEZSua1&#10;ALbJkDmq8tzLMi1fUqn4JQUy/+N/9A9EqxelfLw+nDl1brh47pJB/43bdOgNEbjFADVpNM7XVUPm&#10;S7/+JaUEHxw+/JEPFxiaMvQOaO49M6aiFgItECYWAtEDBnXATjcC7KrEzC0VK20lYD0b8OFK9vqK&#10;N+K209jIvOreLo7eH60V9+o0xqxl3JsNEqdgNCDTsS1NT+V2cqXhshR1Zd98JB4i5eNb3/im9uUZ&#10;G0WZMxrfAZbT/poDN5XyL0VYgJk6MLj8EsSPVYSwVXhS2q4fVvdQxzTJ4vLk44+rHtEFKyg8w15c&#10;r1hLMYZjteYvZzXcGX7sx1TDZ2XF/V3SErxcdQXkupNog4ux9Yi5boHeQek9L9RfwoU8tcQEULf7&#10;mrVBUUT2JqYvfDNzTOmjuO4c2F2KneMeMBjUOvQebJqJ9bHB/zTLqrPnxvtcIAIEaLmaWyMkNUE8&#10;CD3e8Q+B6C7RGU3azh31e4ip644qWF72IpLBAIigxSjVIK9LoG9SOAPwo59Na5GV5qTBt9AbD7yZ&#10;L9c2EpRLAFTKYLA+wOA2rl+2Boq5yM2eZGI7cviIYjKoxpeukCnxiVknPrhEs8J80ALDSN2eHA2B&#10;hi3kc8sP78YziBoxZ7INACa3FGwZRhhtu6vL2QzVfRrQlnAr2GSkxSWewaWX03p5bj4g5qrcPQ4c&#10;4pngV+5jwHMl4p9NjK+/zdcx2UzZQEzECczqCm7u3+HD4uv3c1fKJ9kjMDC0e57f5t5GjHVZ/iQS&#10;GdMkgpsfM2bGaFJIUCoXYN6oZ9HMx0VnsB65cnprjzEHYlq3Fui5M0nlPXRmWov/LuE5Mf2iHbiO&#10;O0gcbdxa7+j5EYAGsHRLTZe+0E/GdtexZojx24G46ZXhu2Fd2QEibhHhrWe4iUVJtNxm8PjhCfIK&#10;6uV6tp5pXLgnyPOHPtv8znHeF7g3RLNYQNio+LsDNlkjnr8EFGZIh4xUvAkxJvSckVaVCbv7hYUJ&#10;8EhcEmuUWvYYmBJ060wUxkR8hOaSQLptAbmrF1VlVrFKN2TtWFePGbRLaNd7qHEtDhpcMDBTXDJm&#10;rgEnvKxh4jirGArmwwbWmiObUW01Q5uDIMvOWebiyZNwQ1tVLJImH48Zma1Tvn+5pojYr/3Fcd39&#10;sdPRmtm14G8LRYMOAyeDLa4ZwNQ++Ph/4/ogLoL37gFjgBq/fL8anDTd9Xe2GiJMfCmsPLPDgydO&#10;DE8//byZ/JwyZGi3vV9uTUjp9Mk3ZG4/KxAh3iWLxfuffGL40FPvs9sHtYZW1q+/9erw6msqtyzt&#10;mewiXF3s0QcfuFfjE8h3TZ5ueBVBlaj8zHsDhvDpuNpaYI2fn2MJvnWTJr1vS0ZbcHBjoIg5C0DX&#10;cCooe4H5hKcS7EuGh45x8LhpPumdCdDOnuixdVC03bGVFj4Gf11UjLVgDHH7JQjZa4IA9DNGwXFf&#10;HfHP7734oq26J1S/hmqOV0XvfA8/ptHe5Y017UOBM/q1EOyvY4kTQKlAtyIji7Lw9EJ55OEHXaCN&#10;2Iyrl7eG46v3uE+Qq4AasEaxgpfwXFbO9NlnfvRTw4c/+EGn799x9dnsm/F6GCQXQfn5oDk4WG3E&#10;Blp81rVKeO4ttZ7nsWPFq6y3mtfML+MKvYYV5i7hi3CxKd07NoL9a3flFIDeBeBr3XbyVa7pvdq/&#10;i+/K0zPhJBOZxdbBRIXfndK5NygSRMqPhLYZsybNmguEhXVAyJogRHpMwKzZLMsqmrJxjl7wp1U5&#10;TGV4l5Wh4brTsUC0BjGuUmcChFgI4NHm68ImmPzDoKtELmjTWmVVMtM9wzyi5xiNwSzQHo2ogsBs&#10;AoMIioERtAV4CsGW79N9FTg996Og0HX97NWPUwGFRF36U4xYcjrXtSDLciWnWZvOBENjlDSXotdG&#10;pGgI4o78eAYAbHLNCyWznUqKD/m9pEhRX2sDyVlHC4ipO8QdcHdLqFt+FdWNl2ZPMx4HP3HdaW5/&#10;iCxoFqF8Z9diUKsJP+ZZC01ndoQgMaenOEzW3hsbTGTwAjJKLItFRFk+rOOElsOgYdQ2L6d/CCCU&#10;Lp/QtCu8kSXiNcr9x2g4IEJgklQqhCRCbgS0an96jW2JUlR1V6x0oCzRZ/jkrXQWTZBdgiWlopDd&#10;OwMzvwMfAyKidZVPljnT2AkSpSwx8TABENHm2kQJHSCoLaylwW8rwC7lcrVW+uVUT57HGzLlvu2y&#10;cTpmmOT4xXVJA+7ccGt01ozoY8BsxbdKCqf8gb4PMRq0oyfNjeJvWDF4oc0TDE0p+wjFYsj9jBzE&#10;epUQTdZT/P7eY4Bh9hkBcAUUXJegAiCnY+9n4Ln7/d3Pxfq28DPA9P5CQ+qiZVOzaTMxBteBYJzf&#10;Ee240aw8mAc0CLBEs+Y5ZopjphnXUTZE+stkHVlPZ17VNVPKPK8+P+Ae+sc1ScfFuJkAJodkeaB0&#10;MrbJ61fXhwvvnBluKLYFYUQdnS996TeGX/orX1BV14O64i1XcX344RPDT/75TweUycrHtW5KAWEp&#10;rmxcEgA5Ndx3/wnHaqEtT9rca8JsocGEDZgpYMFYmR/m2HMG8MWtUpYd1tEKCK4+zmEv+vlI/yUj&#10;AtqA6ceKS2l6jiFjDSCduaIcfnhwUpfDF7gf+7UtJFG0tlwanTGN68t4Drm/cRCEEEsH/8NlGiAY&#10;wd11KCjORawQytfZs2fcn4S4DCsApl9Su6+4+iZjpQw2GWYPPvTIsKT4s1kFYG5rnZJpCFhhzcUX&#10;nIGj4FidQ6+SE6sqWod7RBdc1xqkrBj2S/bx7eHDH/rg8JM/8eN2Z9J4bsvp9ulcO5l3C4goDA18&#10;/aRF/7GOBQzE9ZZ9Ap2xX+O2SnGuPh9rjfem6b1rg4wtzoB2qCEvyyqtH7S5sw1D03WD7gagPcb+&#10;PVH/AFINfqLLFS82hMwaQmi4Cg4coDIhFSkpaIHpRpYICcBNei5AQJrQ/Sp9vH5ZudCqDkh/eew8&#10;b7z6/WFeoOJ+ofLrmnjMSW0Wg3i6iAU+HNIMu1IaQYwXVPL1po7HP8hmocc8fm4iZNPHnoyGCoxh&#10;wuuBzHy9UEShh8BdypSP0axscuH5RCgmUoL85C+eV9vfP3xhuKqceooM0SbcjZuobqYT3paZbJum&#10;JtLstlRzAuDBZTCVU3qWBVlV8M4Dxw4NC6qLvYfAPDa0BNS6mPh3X35DPrmrjsTNkpYwMyBDi5S/&#10;W6Z8gnHarwjzMCyx9saQY05zhbva7ARK2VeIn4rDLNjTgIv0ISKXKfc7o1oevs7d/NvnknnSm739&#10;mBaE3N1zFsHHvMKg0IRnVahp1z49SYE+4wcdZW2dZ4LZ6Hij1nCkaL2+bnY3m6kZsTN09LG7s9Z5&#10;I++L6buJuq1Yzdi90YAcRdAGHSFhbxqqBwbkFb1Y467o9do5Zr6M20MsYAnYM43EdcUF7bPVD82Q&#10;CCQDaFM+y2mdJXwMwEqouDAPpl9nanCRCMQGXtaEKAal2B+qVr55UkLez1FCrEAUwxyb0tsCw+cW&#10;EA74pPaDUu5EY1SmZE6hF6pmkmJ4hfRgxTiRiUTlwLY4dZaTq+kZ0BILRQ+YxGVk7tHSARLpnYK1&#10;w103J1on84I2X9auCV4oi4QXqdCewVbmOe6MWC4cpWTaScW9XsdpefDWQj0brmiattoJfp5VxHlk&#10;TwOAvM/6xQrRFramp9a8WVPTkNF99l1iauKqcyyW5rJdHC68pK67ACjA2Z2tpA/yHx06n3z0oeGP&#10;Vw8Pz732pqxBmietzyYdMsleUvyUrUi6/GmBuq99/Y+Gv/qLvyBXrHzpsnxevyYh9Q68VcKN+hQa&#10;uxtcEbOzPD+srj5pobcpy++m0rcNJFhv6EzjYqyT2IQCxjzTRPBwrC1ZETZeC/id92BiQ3I+5m7N&#10;CzFKdI2lHg8WASuC6U48uyVe6YDBlF6HHmzyJ/gYd9Ron7dWHppKIanWlNuatyDF0TRV9MJ4pr54&#10;NHsSyjvWJS4rQMnx+06oy/KZ4bQA1jW51x1LYD6gfal9cZ+yWz72sY8PH//EJ5J9pWdzhUndiJ45&#10;xFTd1Hy6RLmsPtTAMT8T774tC8SCnu/+Bx80CFeNPbUp2D+cU9foCwrgXFGvlafe/4RiJmI5X1JX&#10;Xgcz4iYqC9oESJE+XOuTRwxfAgx4G2CNRGmzwIpyQQt6Z2f4mp0uX6DXfCH8psGJwVbNn7ch/NRz&#10;ob98j9SW6OZsDVbiRoqlfKy4mUjq1XwtO2sqTGI74G+4eG0gonBBcN/4+teE2A6qkNI9w+o9JyT4&#10;FT8g9DYvxLykCbmoQMCrcjEcWVmWv/wVFUp5xQWmrsj18cLz3xl+/ud+Znj8sQ8ML77w3eHq+jUT&#10;fAsPhBEEiHbFJB85csRDhTCoNrlP9eUPKuOBAE7a4CLszGTs4I5JywJHv1kYk2YxkYCG6g8AujTd&#10;h1HkQMxRBELpOqoNsXLs0eHb331r+PIfPOPNZDEPQ9FOn5U/6vSZ8yplzcXpBBmB7hYvJa0o+/zw&#10;gw8NH37/IzJbqvKjaJjzb8oFckXWi28++4JylelfEaYadorZr3Kd9TkdDa/JDNf1/FPwBeFN+lGI&#10;aElaJvOEhrN0/JiISgVatB4g7EmlRy8l5nyQ/b7hj55+1sGf3lQlBL3czEaZjAFxtCVnrufpkaL6&#10;9mxOl4K11p7YFWsP0qzuP6F+DFKAEX4zpMwSrKl/mDdhcDbzVaprkxo8i3QxAGZooCreWShTae7O&#10;cPYd+R4Zk9ey4zGmRNy0E3N+hANrEKAVzTEZFvtclIouirAkfJgEdWKJsDXAmzJFbojSvqECNfTt&#10;mFHhsTUFJkJNtq4Us4Mi3E0RtK+NjCXkijSOaILEGejISbpkFhiQTN8MiotK4um+9EqIJo/LL4WX&#10;tE4E787Mq0T3vcPzL73qIM9+9YaOsE7BqTZH47/GUsgE2M2GiVgm8z0aUzJsqNMhxqNCQGiHS3KV&#10;8F3y1EOFqZZ6LfVM3EhOKYr71Pbb6cVTTQOAYOAOg9qsRkLQJXtQ/5jHrtg50dBhSDysXmP3gcGu&#10;BuDASSxD1Xo+qbSsT2lJBq0xz7YPPJqaPtDYnOXVGSEwUW96CcvCvK6GaiadYOxUIK0AMbuXpsWi&#10;0C2oHWPF19oa34mxQ6cEnRc94iO3cCmXh1s2K+tJolMxVjpea7dX8/yUYiKOHFoe/vWv/Qel4z7r&#10;LB2EwdKyCrOpONtVzbktUoq/evbbcntIcP3yL35huO/eI+4AGYCXmCM6Q84pbZQgcWKK8J1g3aRb&#10;Zrt04kqI6wHg4b4IBCCy6TQvca1FODD3tLMnvbaFxW3Fu9kdBEAcAQ5njtk6QBBpso0ssGo+PFbR&#10;/jQAsCyyGvcNBfaaLkaad9waVNLNOoQOAiR5j1tzIkAr8K8te9DR3eeI9+GK1c8hubTf99SH5V6/&#10;JGX28qTPBntwmd5Jcl0ckrCHDrFcGHhr7Ht0772ACJHhXko603ZgVmt6DcCs51y8M5xUGfxZZWod&#10;pCX3gaXhikDJ/craOK7SBt8XjS2pxhCub2r4zMymLgOVpdgbrKNLRdcL/mrlylaV0lq8P+ABxiAF&#10;LML/2Ks0uJxRgG72a+pI8N04sLgteR2n0HNmwBXqjVLLnOOah++JvxO30TTQFpEe6073xnhf9zEN&#10;QJK+AO0Ut+8NQ4fKt99+a3j7zTfUQvew0Ndrw4987BPDU+97wmY39wEQYrt86awmUELwwjkXS0Hg&#10;rQulkWLpmAhZFNLMh4eIptHosjcB+e9BsPHJz4kZ0qeBCFfOc5BNMQ2i/KMxZ8AOMIPJlbbpzzzh&#10;PNpUIFmbNkcqNAaD0UfUcUfgfFYRz9/41ovDZWWU0JabA91XHY1AxH39ugLjYJnyeXri2Wz+Wx04&#10;RVAuAIOJWeOnPoMBD0JeVppDun7s9QEQbQKlOgYfMl4EMHveuAGGZlAXsz/+bncoVXMeAnfQOI+u&#10;roro8JGpxbNrUljPtbZFkcabVNx0vnNhw1p5a5sVAMNzYNZ2WV89K6Yy6s1TZ2OvYyhituYFEXHf&#10;lSMrvvfiEnnu8s2q4Exq5qOlRLuAkdl1AbEi6O3iQAOzHA2AsOZJ4BxZJPI/SpC9deqMVxVrlNX1&#10;Ha9G3G1GmyBmC8UINDYIfU7e9z75mQUYaK9M5T5ABFuKTATm3JVMYYwa1BVpLzd4ft33piIsXQDs&#10;ChamFNsx0HbNDLnPJOVffe01MyyYQZewZaLbNUh66crKA+4ZsleBD4tiQBZRrCdE57nh3kodvnJd&#10;sSZqrS0PxLLyy8+fWzcgaMbQoCFBxgkqbI0g2oO0Kt17nwKK73vggeHh+4+lcBr7wQKFmAJAnqPA&#10;TA/N3LleYkfSD4eYC5jtkYMrDmjk+hdU1jzaSwv/8q/DlIou+npNJ2YuI9N/M7y2RGa12FoxxY6F&#10;g+sRICSdjhjQ0CCEYwOoAvQdP2GQUanFFkwZZyscvneZ8D0+sAZATj92Y+K+03tcVK6VUMBnQlvW&#10;4sLUJz8FRrjeXoFoQByWJqolAtyuKnPq45/8keGf/pN/OPzzf/ErUlCe0yC1HhIKi0oB3S1tmHRD&#10;FDUigL7znefdKvvv/N2/rv2YnH6ET1sUehswEjLBej7avcdctSD33AJsa26b0e+MlxjTV4PUDlNu&#10;wOEaN3pWAATFBIHVxQzMnzrVtfdlZw30GDoWosfTLmwXoRuNse/vdYQe+Reke9dxLRzHFg6uQ1zX&#10;YQnoFWULhlarN4etvOIJZMoJ+E/Gh4Bm7S1XApB2xsA4DVU8+Zqyag5rX+4CSCwvKq7ogj67NByU&#10;4vgRWSBua00PKxtxQRl5pHenS2vioVjDVnjaEoMAgAdRybJTq/OcPG9+2irA5wBVlBVeY1CWUIJp&#10;HEwDMq97AeqawOwZgEqm1NljruGzk65HilvTTR8zPrbpsX8DR2vo+cjKJ5q6hP8sNRU00bgl5jSI&#10;ZfWnOLZy0BqrgL1iHg4OG+tLw0FN4rw+2CeTzi4Jb1rZLuj9NQXi0dsChp3uZ2EY4wGOEU5vfnL1&#10;Haxo1otJMYRFFcra47mGBSefBckGVmBtQJOAWwTd+XOOMQNBMOcw6JSF2JTwXFPxLKN3MQW6Hm7p&#10;niYuCM7J+1Qmi4aSaooEssGEVY+CUsn6jAXfXqA1c7SiXWgGEiCYqmMaB5R4yhlQDSK+wPYpMjBX&#10;gPRg8Z8DPmLWW5XwRkAS6c3LOb5E91PUx+EBMZuDNgEQgDDWb4vzywjDPMaPHWb7xBNPuP3xmXNv&#10;KzPhvCL8N0S0gJ6iB6NfFW0SuLjn2PtU2/9ez6lr2pf5F3PgnDQt+6YJUoWQATM8M4gmNzOIsCi3&#10;lpqYkDJ1OMgVkGIwYA0yczh+Nd2MGYxncnxoaTQuIS5XExsauqQoEZaI24oXAJgRhGvhYa1UmT+A&#10;Hfmeu4kagViNwAz8MFrhftDmO6tsFsrwzs8rE6hM79n+YX68p78HVqNbKmW8LFDsTW7zPb5UaDB9&#10;GWZJnd51eViWjzz+6FRwHT9raxhXRae9bjwzIIRmPApXUC+QFJVZlvWOqokuoGNtk2ypuCJi/cmE&#10;eU8ZmE/BGpkpid5O3jnfX3jznO8J7XZVwB5bu5bG1xgLq2b6LvxVQrifZRJ0ZoHfZt0IyGhhdzPI&#10;cRBag3hvo4llI5oWgraFlcdtsE+tgYqWr+fyPW3Gyjw2TbVJtxl5j2OsEbeQtTndtT8iuJxeLRq+&#10;RP2HN24PTzxy7/C3/8YvDf/+i9eGF2SlBRjvFui3+wF3EaBWa0NmzR8/+9zwO7/z+8Pf+pt/ze7h&#10;sd98IvDRnMsqNdbwO/5hHBjZgjlrF57b2ubERcDuq/Xv73b+zT52EUDxddymvNgz7k7Zlp0SaFNf&#10;/d1BqU2zPYdNA9yTzzpYtemxXS29JmMe0CCxz/W1CNZ3gTeAbwvjWIxstdL4EOgpnpVYjPRH0TrM&#10;h29zL9c4KuvBkmTd2Tdf1/69IVmmYEYKeUuRQ+5tqeT9ggDFXrkuFpUpc3z1yLBwcElgPunbS4tq&#10;nlYWiAbQPKOLv8H/CuCN94qrgRKbYgtZAANAnnE2KGLcPc6OA2IeumZEz68BmoOhtdURH94jicWw&#10;i0U8a1vFH3cChZ7TCYAeTXx/1msy3mMqEBnRW/sxAlc3nRXh7JMg3pDpbUZNYmZktttUyWUAwm6I&#10;Rg97Q5aHNVkglo5gs6WGOZ0KNzWJCyq6siCt6qyQ23Ff0AwPZGizZe7RTIhb4g+Hw6E1mYhguqAl&#10;fLVMhqPYJSQpd9zplozFFobo9+kMysQRFBQNAqLr+7HhAREJYMNcCgC5M3zr6aeH//jFX1fcgs7b&#10;IwGqZyNojgu4dr8uEP9rpSfhq0NYw3wwVVLRUsdkYQEB1aMDAqZjosyYgBEH8DXct4bDYLORce9w&#10;LgzfRYk87tRUMKGIuBFMCXyMYJ/Zne6CTt8pZuwPuCZBURoH3Rx3CQRhwUnrYMMIH4QZ7dy588Ot&#10;R6iGt6CCOIdcpvfSmkxzXBfaQNjv0bPqvufkE7xw4aKixFnTjGlWlplZARkAzVWhfczKDuDSEbhm&#10;HOlvycVc5+HJXgmOAuUpEIpvhfSb8TmoKyTyrlc/p33YHcxYz9x523zHteiHQFVATK5kyqRqhTai&#10;hU1pnhRS43OKxmhaVo+uyq+5OAhOeQTcD+aJYQQ/qlP5ZDXpILUIFMBJRmuGrXl7UJUlsfJgDp+t&#10;SHUvjPYR4AYLHcxYUbsWKisrR91iHN8svRR6Q0PAgEyYUpeobQHnOBKCPEV3yyrFfY/y2hdEazSj&#10;T8EvxoXLJIW+TLMI1RLUfjbAMrEduj4FkQChN1RnAsbaKWSJqm/Tc4RRr0NrxWOGOF60sfDn8/YV&#10;NwPztUrAj5nXmGntZG6sr9sbE/TozKZyOWQz+KetQpxrM655Q2dt1TrpcJ6T2JaOaWmAMBZ0XLaf&#10;twVyAx+sBrP00dFa8N3srFwQWr9NWWnfeuOiOt6uDr/6q/9y+LV/98Xh977yNe2fc96bFLxDUbLZ&#10;3CnSM8Pv/t7vD5/4xMeGz33m4957Ldh7PrHcoMCMAWYz9RbAPa4JENfJtrhMYnbyLJN4EH3fgZcN&#10;oCa0xxbVnLlHESqKTYna18zpKGiJ5+7rjV2OvR/u4k01l21l6eP7Wb1e5QYZP2cDi4xnqpn38y8o&#10;PTrsNLFPDZQIqDUoNoAPwIyVKxbxMVjle+gKXoyFkiJhgAIXyWMPiykeFWDAjTirNYZJYTVfWTk8&#10;7FOG4C5KZovn8H1f36milbJOEz7AO26K1LtgfhMQ6fYC4hVNX5wzXdMEwPNdN4drSyGfEaja69sW&#10;LAezErdE8LPlKe57rKAJsm3gtpPB9j4eKwZjWhoDu14fVYDu2AHjlmwGPx0xqNRKl9am+gmHhLiW&#10;5HYw8oaWtiWYVCdi8YDiFlSkaf/CATfjuiZEOCPudo9Khh5SENeCNGIYJj5kawrWigNcQlxsZAV9&#10;qZ4BwVpUx8RjeFNBNukaVxMLQgNF4S/UJjTSMoig8mRSJEELDqIr4WxGlKeKtgMggCDYUOVzQ28n&#10;dfTylQsSFPs1VrWrVe0F+/VB6foPFgwImCVFkCh7Bo2fUJ9hhTi0KG1XJqLdcoo6hY/gRoijXBIH&#10;FQm8j5oTFM5CG2Yxi6lZo3TPCFU/MziRSRRAQqBOIekZof5DCjK9XwKOvhi4eijmybFKlHD9iztk&#10;EdhelSBDxnlU/ronH35seOm1tzImaahb9imVViwm/JWv/U/d59rw8Y99VJXd7lXBlouyML2ljSCw&#10;RuQHAVa4kBRIua54gbWLV4b7hSFszFbRpi0FWSKScX/dQLOHXoi00Xn5h75FVTi9VzCaoYHmCUBD&#10;U6O9mq89mHpZKIrwmCGXz1QfQn+tAfF7292LuB6ZPLoUleTQ7HE9UPhKhc9YUzYVTNo/eu/CZqoO&#10;aDajtSEbxhvCwCYZEfh+l1TTY7/odnP7tOMZtjSPWIXI6KVIjk+RVkYcCOdSuvq2TSoBuVgAFsVY&#10;qBcAA9neJNde/seKRXDWirVgaSbu9hl63KvnWZHFqlN8oeIEzRLEp1s5rztpa5aVJkzNn4QW1UNX&#10;BACPHjySuWYyMa3ivrBVA+Gj9wUiWkjAiGBOreFwXeaQRkxpWBnNMww81oH+eyxMmcexhbHftyBu&#10;AcDfnaJmEFBm5BYKndY2NoOPAUsLhk0q0xZQ9L1tTUrdjAbUKAKtLXFem9DNU0qBsbaHad3myqkF&#10;Y6yp72Sy/fe7teTQcIIMxZ8kVLZlvdu9sXc4IJ/9r/zKPxs+9Vu/M/z2//jy8MabbykVUb57+tqw&#10;HXVimt/dHl59/dXhkx//oOkF4T0BUFgEzJbHsQRTgToVSuGtYwDSwmj8LC1E+rydwmECJBowFqS3&#10;4GCvFD2P16fBSAOE/q5BQQujMUCbWFmKhhrIjLXqMZhgn42tJRMQYtqNG9klrE26VsFdNdS9NASU&#10;O6Az500tMdzPdAgfIzVeyjMup8MC90fED1gorLROMxVvviyF+ZrckEvHaEq4ChN2bxDqAk2CG8Nt&#10;bL10DA97yG7a3KuBRtaFsYc/jq1hmYdpmm5bIFqRQLFI9kYsd+6iLVDuYHn9bNd9DDJqR3sdmKei&#10;kzFofC9630lLO2lfsSVVASykN9H+bioo7ZaSn/fIHE+lPQJWmFT8xzMKNtwtlwN85roY4ZYqM9JN&#10;0uWt9W+eKPEKaKR5CsGTrVVagLJ6kXf+HwWEsDdgciT7wx0nPdE0Cknku90TCHHGZHNQiMAbfkTg&#10;Yw3Hk2MmGN983AkiHCpGai0ppoWAfEB16R978uHhuedeEyjAe0+ZVUkN+9Jj+s2paNkBNjdUtfKG&#10;fM+HDil7ZElCXePa3lSFz6tpP03JZBgEPSmWcCuAR+xKSRBaKDiQJ211Gan+1kn4y0CRMMpZIu91&#10;/DJmTKVYXkHgqlCNghFEJErBnZE/TibxPQIygwOkiNZHqN8YPqbMmBN/7+8P/+W//+7wm7/3ZQtP&#10;Y3jd18Fhcj08ojLKD0ngHVKBq41LMperKqWrPOITdGyGRTKRKRamZ868Mzz5yP0KINN3GtPcAuV9&#10;xTwJ4iMVVpdfqjlLv4KCEWjAmPI9DzwpGRGKQdA9QNeLYpgrMsdjdL5KrwlQUm04uKc1S103GiOB&#10;SemgSFyIdwPf+Y0saO6hoDQ6rFaMXEKdlExXqcNyoGNuShh7zgEmmKP5W0KNqP9HH3t8+Na3X3Yl&#10;SYQw5wEaZui4ucVg0ArMEkRHKWbjzoUcL+ZyQ3TwzDNPD489KsvAPOWlpTk7vobqhICX9JBx5VXd&#10;OzJ6l90frhmixzBdm07yvjWRZsTuwojgg0Y0J8fkD3a+P2PTs8zQ9Id5AtzQaK4q2rXA984rxj3x&#10;1+oz5gFQy/4ysCtGk0me/n2Xy6AE21ibHFsS+hqcAxPsltowvWi0KQnc12yLVIOP1hgZL7FDForQ&#10;ATTKmnrZAwS8i2yCj2+4+5rwPcdeE9N1oSHmjQZlBYy4d/zXXC8m9gZDbW1pgTWZiMzO5M+JJl/O&#10;5wUpDwsKTCfThZiaX/jCzw+f/9mfVlG3s8N5ZaCdPqMCU6rjAY/85tPfVEzQ64q1uei/D8kqNOZl&#10;8ItwiHe/WrP0mppupjEFvc5jq+9OKw9/t1Di+AYWrd228Ol7m6acPTYVwp2u2RaJvkdbdtIw692u&#10;7P6+x8c42nLyXvPfacY95l4BeJ77uehZUicIHj+18lipKHdA16NgNvv+XUHTe0LjpKbExfWN4V4B&#10;hNVj9w5r5y/IUn3aSrQkoxTPq06RfuzJ91vpYE5cYwblqWiqVyrltAPim8Z7jrshV+Yyhc149Xpk&#10;LwRE3A064qrbGWDZxyBzE08h60jHGrpLdF6eW1vsp/d8D9J610ehyVgie3/GMbzjBW+12RGTOC4A&#10;fWAEhLlOjBQ//+IC1QmvOyBr70MnPIHetKMCNS4QJRP3hgKNaHSETOjmR45lgMVrYrkGVb4QnNer&#10;fzmb3RPuiPgI1TmyNiSUHaGKZo+7Q8IMfdfEVFxvJ3JKNb4EdmISRItGqKDlIQR2KUp6Ts9Eierr&#10;19OVNFAW0JJiUV18yKlwRTArss488vBxRV6n5Sw5yqmot+1OiVhgkAMdvGahB2I0hmq0LAIhBRDz&#10;VmlDOANUtVo+OPlAxdTwbs1JY3rh6384nJMV4gAVIbVsc5qD5dkl1/LYLfBzp3o+YJnYLV/5ltwd&#10;m/LbDRdOD/vFqLfvqN49mRRo1NLYZyT9P/v4+4enjp8Yrp4/PxySw29RKIAqdHL46XrMQ4JKSFO7&#10;rNLgzzz7LW0spZodUCaDIpWP7FGMDLU/yQyQKX5R67S0pmqaNu8zJmJRYgm4jssCwKH5mXEddIEI&#10;CYXrOvQmbhGlTK0KfJ1E0Mh9hQnRbongB89P1Mig+Rl9uBehPmKvc7rOEWnkBItSTZUME+6FvcSd&#10;B6soC/RCrwqYEgwORJ86DLfd6vuo3DqnlNq7uCRXHm4BkLvHoSsZBKUK5JZS+uyH19hcGU6BjJrp&#10;4atf/aqaJ31U5uxjoi0KEqWpEwzMrjsBx5vKa6cbH+bIO4pdmPgsbdoscycrYJCEc5PKrVWsDWYr&#10;WmLfkEN+TGDQ5wB+iX+AnCpDAXcG5Lyb6nzl126ByO9uF8++YnxbAoNjd4a1uxI0bRJu4DEWTi1E&#10;m5201jc2XY8FcQRNrj3WTtsS0PcK2Eikf7IQUmjMikYFZEOj7lLpa+aHV5vu+bvTbUk/tEoAGGHd&#10;0Pg95wmebUY//rutJA3ixtrbXeb6AiDRa6peg9afAGJ6ZVB8bEvVYXHDHpJfnSj5jUvnVFdnbviL&#10;P/f54Sd+/LOKMaN+R6W5liWg5xlrmXmihUtcDAkuzTMxJ7XEiQngu0aDNR/Nz1sw9Xz1M02sTIDj&#10;UtZ8z86YQADVroOmc97UVZWxxt3YLzpZtrLUMWwp557zd1oXmk7G5vUWkL22/fcktd8gBSFDBkpc&#10;HliuFxSj4JbYJSOmMQmRG7YGAjyLzxPXMi8r+7yClV9WNdHXZDm6oSJW60rBx227qCyNj3zyY8Nn&#10;P/MZ8YlVK6N8Pi71bWtjzXtqFWmOrEBN6bOBRN+7A4nz7AF207kEHGMtDdh2e3Htd/cJIjW1C/VV&#10;vIXr7cDjak8YFDMmfZZU4MRN5PkTi9Hr3+RivTa7yHzSe6bmMNSdF6rUZKFjIQiy9yAxzxZac1U3&#10;IzzQPdH/kk1CZwAJaxc00bLLId0ctySMY9YJKgaMNPM1weNrqg1LT3vMTZzXPloqizVKcscytF7d&#10;i0597gVhxKZro8kpov6uhxsRZSMmFsRoWAcyVqpWctYFpaO+8caZ4fVXX9I9xNhJhaMHgrpo4Fqx&#10;eZTngED1jzxqrjUr68Ly/oM6Z1tZLG+7HPXKyhFHMZ86nYXmZvsUiX1RNSAgsktXLtksHWKuIDwv&#10;LGAlphn7yHSvvXJ93BZAsg8U1I+6KrMczbKw8izo7yUdu7BrI7EEwse0ICZmhWtckTC8qLVd0zgv&#10;Uttht3zcAksmVDVl0iQMh/T+/HMvDs+fPqkUVml4pHpeOCvzuQARAQJcC7O4CYYuiXuGd/T9V/7g&#10;K3J9qDSs5mf1uiwvSvs7ILfOMtXrJFjZvtAQDG2bjak/sDjcVOlnrCqkVe12ZUUNQ+z0ou61Js3+&#10;Ajn5soSwUQghtJ2Gngb+PSFhTQWwHvohDQ8NBAtDwCF0RDM04jFubqtynSwaN2hbXhswPtPQta+o&#10;sVEpkvLqm/SbIMdS83ZCKbTkhUcrpYiMQC17AMsGrhObzjV+mT25BmW+iZwnbRGMc1hj2L+07FQ9&#10;M0p95o6UelYHzuo+CJSbaKmaD9w2HMtPb1CYEnuLLJg09VFRMCwQRY+Bovjg5YLZv+QaLbcE5BgX&#10;zki7cKBfgvfqicfafQtnCgfZSqeXgUS1sG/BNUtqWnGWsRbbWuPYitBCm2s1Y2pBwGctmC3Ui3mN&#10;YzTaXNvChd/N9PvcBpRdGTWR9ilzbzdjgaExwPF76M4MNAFm2YfRXBPzFG2vAVPPVY+P3w24xtoy&#10;09znmVqdDm4SjWVQ16Tt9+EjSo3fr6D0NWnF64LeIgoC1h+679jwy3/5L4l/rERQax8z3eO5nIAi&#10;hJDXH7AQG+xE4Hqtw93dhn3Cu+NSbDM0czG2tLQQ6zlvy0uvtTtWFiDwmmNfxH1aADDjDEgOAOt7&#10;556pORI/fOJsENpxW9qqVMdP+B+KHkClBO5UO6/mbPXMydyZutigB5QSnn+uqmgyP1g6WyA3PbXL&#10;2+n+OqiP4eRFgYfjkmM//bOfl9L0rGPBlo8Ow/tleXhA9SKeeOIRdVY9YdBALSUUFiuXI1plAXt/&#10;TWhK8zimyQbX0GHmfiqKeZ/W4SkoRcYVXY5jxA6PJ10WMUjKLrVEWgngWdkLXp+y5MML6B6buZRF&#10;nR4bNoFWAcfprYv2kmmSNZgq6fCtCb2Xu/PdzQfqYuY/JsImBCEbAqzE/M+8c9YmdxffILdWAt81&#10;4mtTwhRBbXukqS7cyMOZgZhgzF4cM+AI/SroBCraqzx9Ju4mpnFrGNpomBhZaDRGSmybSBBu8XkS&#10;rZxgwzCE/t0bZszIHEmvSZ0l/VPjJ2f4wrlzw4svPicQcFEpqvInKa6DCHpy+WcVQ9BBMVgafH3m&#10;RT7/RZmp94jxb6mAz64lmnuxqImRMAixWVRmc80NZupPfvJTw3/7zd/W/AFSEn1vgIWArIqHmXrM&#10;kYpdoNBMmbMxmy/o7xtC1+SzQ0lyhQtEECaoucI87vgQbSqqF4ZOhku0wsa6ckd9FHZL41EMA0kJ&#10;s8yvvpvT+fvQvm+sa9yqf6Do/GUBjuMizkuyatAIy2XNve1hEMQGqJ6D0hC3pEWvKh1tRSh8hiY8&#10;l7ZV81/jsrBODMlmuRoQqmQQ8N1eCBxwRFqcPqRWx20922WBpvOas5uYvLFeNLYFyPJDK15SThHK&#10;aIywRQoraUzbCHqYGlYbnX9NyPyC6pXQt8X+/Soe40Aj6M3CAoYW0/qltfVk1miTXddG3RD2uK4g&#10;YqdrUREOISD3na0ryCIjc8aFNourLAG+uDzIpSff/Wd++mdk0Tih6yvGRnM9K1fDTVktKFJ1RdY5&#10;3l/ZkMlRdHVBlUX3qoeL/fpmfqSoRZhtu5CULE5y9bxzNhZBhDqMJLVBYAQJNDxP7xWNOxacmPtd&#10;AwGatdtgClwbALBPOLdp0qmkWs+J22E3NVqmIKK1bs7PHk0QaDNCfo9jJ8YaewvlFlptcRhbC1q7&#10;bMDQx7a2OmbUMfVmTiycYLxl0obTdYVJpxgj6KxIxFrRMQHR6uLqamHc428eMgZeY229rSc8cwOd&#10;nodukxwgkXlvM/qRI4eVaaWYsgKMKGspkEewb+KqHDRcgiiCNs/aKYw9NvPVUabNmN/1ef6sxsE1&#10;O2hvqulOQVADqTFNAOr7GSbPaR6cdW9QMrZotOBvN5y7WYpW2nff69a0kzlE+Qrz2gkiXRHVGnoE&#10;2yTOAmlSf3eMDddqIMm1iLmjpg2Bi32/BAuzdxMI7Zgo7VF4Ascs7lkcnnzfk8Njjz0asKv702Kc&#10;dFL2F3FzyMcGH2OA1uvGeWO6aHqfuIkKJE1opta5abPnPNeh2JlkX8UTuuGiFE9kH7F+BmCAWejc&#10;VoiShYBaDJFUBia5QbILGsJ6gdu67937LjKoXw1WYqXxPjA+brST34qHK42+TJZBgyEqTrqh+ggK&#10;Mp/4LJkgB2QpjuGIaga4wxjCo/xNCFmQa0eJYmaxFUCbA0tDJpUbYHKn3DQ+JEy5CZhMhbo08uI4&#10;l11GI3YgGed5vqzlJogxpYJ3vsbEOflOgmZL0fAAli0x9ldefX347ne+I+aslD0JT7RMTNxE8i8r&#10;n/sepVTC9CnyQ9DixKQoDXiLamYSqFTTPKB+BPOKDiZegsJNrCbPRXYEz8XCf0AFaJ5/8fvDSy9/&#10;v3x+cZGkVoYIVAE5lyVcXOlN83JFj7rVGgedRQFeEDPVAgER+p4KeOkgSPBdmaiQczpOInDYEsC7&#10;pGPPyMpwASuLQMTu29eHeQm6Q+pLD4xR/6Dh0Lw0M52jwtfqQLo8HNZ6XVZ8BeFr1/WMV/TdNWvR&#10;UJCEqfj1xYty3awpcExBqbvlAznIGuoHq9IMxVYQZKYj/QAgiJahGrfAwBzgUQCCQlw3NL4NPd5V&#10;HbShE664Fbeejf8phXZGc0QvRLR/p0Bh5kNb09+3lDVyRT84K7YF6La1tqvKUnjj1FvD1levDYu6&#10;FnUiSKfkoi5OZbNlgAT18Cnw5ZgdzR8daXE3Xbq2pQDTNyoIiuyFtGs341LFUmJb3M9Fm5paKFjf&#10;sADhoiCu4t4Tx2w5+PrXv661BXxFK8WyRdwEFSPxewO8AcwXBGJo/rW2fsXjYo+46JdALgzFhbOK&#10;eYYBQdE8R8yeWCFo9vXcd79rS8Q+ikoh3DHRW3jC6ZP9NGZYLbzHgpr7tzuD9ysPfMBjGgv8MPxo&#10;/60xvpcG3+fAaHv8WIioo9GZHy3IxgKCY8cgp4FDM/4xw+vPJs9laQnrmGreKckeC0SPeewDhx1Z&#10;wSmzM9fqugtjxm+GWa6UZvDNW3Zqzi1UxsIlYyxLlGipA0onzw7ILitTp1A2eJgKv7iXeTWgGc9H&#10;u8TG4K0BVQt7zu3x9tr0fLf23MKv16IB08QqAJAuYNZAsl0+LSQ7g6BLlPea9zN1DYWew9BQtIem&#10;p6bR6bkd4BuLsF9lwm868RqxViiZZKbBg/VqQMP+uaWeSYBHWwXtNqAnUZRm06StPIoPc42GzpYS&#10;TyRd2fFC6R3UwKmtN70uO/dIj633TT/zTgvfeC6QoYyFjC3mw8GYBHPbMB0LCmvgBoa23BCHhyBP&#10;1U+snmSScd4tOkljzafiMYHlzJ000d4PTTdN78zR2BLUNGcZPTaZMM9dVtZK9sSkkvoQmGmofIhp&#10;hAviu710ac2m+ZX9R4fzqq1wWv3a5dzz9zwQbou4KVK5sAnGkwqztTuCGu0pjcrGRvCgvbmULqgS&#10;RgpBFdJt7GMwUeZ6NFU/JJupZ370u4l98hFais2nae18Xrn+zz7zbQU5ndNEU3NdAlHCBUsCbolH&#10;HnzCJYIpLLR+SYBJ8Q/UaHdOMRkWEqizihs4oEJcC8op7s50rJ4J3s0fFRlMRzdqTJjW7UmPECK3&#10;2ZYdCUr58dGkZ2W5ARmjuW4BohSjYMZH7Q1FBG+qFfVljXVJDHFZ313WdWh1G6tOYk6cEKu/aUGz&#10;JoG2jiymzoWY17aCZfcAujQGApGX9PmSfJWHtZ5YJgiFuK0UpcOyQmwpxoIskUsScu9c2RouIPzI&#10;sFCe+x5+FFy7D9P6NQEsPKcgZaUR3NC52xJuZkYa5xaWAoCE5mw3/UIQtGh/mOolYOUJsbvlqhD+&#10;rMDYguZglywHuzUv1CqZk5A8IB8lra5jtVIzMw30GrEEt1UFlYZRvj5R03qmJaVc0S1RQpjeJrMG&#10;qS4h6hr8CcjDTYBVhsY7S/YnEp9w+PCKSk+/Pbzy/eddVhhXFIIfjOp+GcQF6e99Qg5YKKAFb1fc&#10;MiqZjkOJFebcjY11FeY6oDlVGJbOhRnROElvDFJtmZhTC2GYkt5vXL05nFQrY4ANPSCoiYLFhb2y&#10;IksWNG4dTfTPGNiTZBZ8Qr7Zz3z6U04Lva377pJrgxgM1zaxIkAMh/YJcSHlsoAWWzi0S2H82U3m&#10;rBgzn3cgZGuprqhYAPc9tt7EdNzHTwBBONNd544DRh3rpO877721ze4XwJgRej02X7etemWRoC6J&#10;+Zi1yyhC9utroNsEijCHpQH29Vkf1gH+Y992AZCeo52Clms0XxtbQ8YBqmNLQd8TgWbwARV7fBHm&#10;M6InLGMRKAkGdMXMHcw6DH5a36OF6Di4rp9tDGrCe6dVK8cCrOey5755NseMgd3YyhBHcLhyC8Wx&#10;daDP41knVle9H1e2HIOjfp/1iPbea8Dv/jvosGk3dRR6zifgBhBsxSzFpOIq6fTOaNbR7DvlHIUs&#10;PaG8F8SnbDgHjCKM0d6JQas6Ezz1gmjEHZQ7w0uHj2XdTutb0/jOY3oPtcXIMrSsZWNrRVxPZdXQ&#10;sAgEn843QdsJFL4DD69aF4zzmpSUrFsCmpkP+Jx79UjptcJQhb+a1ro6bIwJkaxjwJy+VPmsX7ZE&#10;jAFEAwl8/0aDOtKdyaQV8R1FjNbOqjqlhMrpU6cs8Kk46Y1lP3GbnYh4VzVCVT90eVhphWwiR4oS&#10;MVqmFBOj1dXKpPDYstgQaSYh6DQ95PNZXtE2dm7YfvDJU3oiuE8axLg+OVJewnnl8Opw6+AdBcgQ&#10;DKk2sPJ7HV65RwJd5hexbXLnmWhy/tkEtFsGXNz/wP32YWKB4JkQEhPgUswBwLRLwh2h8cL3nlfL&#10;X5U1lmnttqPf44ebE9PnnofU4+CeO0dtsaEL3YULl6VZJ1OCEuOrmve9WHMkOPfIquCCX2jtEuyA&#10;mluylNAWBqEGgetUWVFUqU0CmoqWJ2QxuaZsgDvKotmlddkvi8JhpaEdFDiZwywmUx9BkKQrzgmh&#10;7aLZmLR4LAyHZUpfF7ha17mOk8DcKuFI9sVhpZEelmuHzngQ0pZ+d76PbR0O5mNzOLIhm9hsVGAD&#10;FzYZLAIfSxrzLKZE0YJIxgKTjbtfz39ALqY5gwW5eXSPdaHrNWnWawICquvnstJYFDDxrdIxUcdg&#10;rblFRoTGRptid/zzxsgmgLqgR4Qs7gNIirr7r6t7ImsMsN0U3dPVknXkuDloV4CRNsOuzEpwJE2I&#10;XPIVwRL/5Vm5+Z577rnhxz/3aTOrzltnPF0+m+64ri+hs7e1hq+8+qYapq1BqY6XuKb9BqCFNkjl&#10;JR6C+CMXsSmwv1+BeU9SQVY0SrVYaPS2aLXBQvZ59ouZbfmgx4xhDAbahdB59G15ay2qrZBjk3nc&#10;AQlMbYbP9duF2QLYfEWfY4VocD22gJh/lN+8teFmqi2U4m9PmqiFU3yjserQMAlrQpn9x1qUu8Pa&#10;3RiXQAvYvh4WReYVK4kLSJX7NbwwPKb3ds8Xn4818OY1Oxlvj2MsTKGTfmGS9r7ISk0sNmMg0/PZ&#10;4+l5aQHQEfgN2saWCo9HdGC6K819rGCN56JBCef0MeN7jnmtKwWT5Wa+HBpry0rffxxQ266GseAc&#10;A4S+dppnRUC1dsz7uGwi9JoeO02S7/tenbac+8SK2FkPoVsUu7RcaDpPnYZYLzBaomDglnRnW8uO&#10;uKKaPq3ciq+5oB00XTUcxvTXNNxAtYF0g7YGAT3XYwDRzze1/pBNh0Uf5R6FnqJZCTTGfYeCY0Vf&#10;z0xsFso/1ITSg1Lq/kmjvcO9kN88aysI0H+PxQGbtghPA5r7Oy/NDpkri08F6dTCNYiwjw7kSwQt&#10;gycFSwwSgj2vSP5rWgiu9+ijj0qoqeCFTLT4lNPkJkSI5j8j4bEgU/2iBBHMmA2T1LNsHKwXrl2A&#10;vkBlXoRUF2ApzSXWB/0kqdrnVeySNW9VzOLJJhuzGdJdHzAqF/kI2l1cXB6eUr11azlkfzh1k/sA&#10;NuSuQKjqnAcfvk99Q1R50NkEirQXCkVTjNUEC0CegVfq9SeohedHU6QAEvEGBO6xkVZJxdM8XFy7&#10;6NbXzD9BeMeOHTcg4UqzOu7qSZUcl2Z6R5tgvz5cUgGgeT30ATVTWlVZ7UOi393yt1P6AHCEthWi&#10;x+Sv46XdHtbPQdU54JpzdyQw0ajBAULWRwSYVrUuyt+QBqvAOuIMVK2TCEY93TCzKYGtAMxdcoHM&#10;kYVBmqQADxsy1R/QbnFZqIwvoAIAQ6MhMeRUEeV7BDblVgnCEuEqCHWX3ChW3YmU1FnzWpP71N9h&#10;Wfe6ojLAq8puuC2hT7SHMq6Hed1jVnMwA5AFAOL60ZlLosNDWrcrBOwqxfiyztevYUFgYkaR1PNy&#10;RxEv4Spy0LABVpC+1wkgqTEZXNjNMaMYn3PqVHoxpYcVkHpTQZ435N66JuB3WLn+DzzwkAqLAYCZ&#10;GwEZpemdkiWODCRogcJW0AVZPm+9dVJg4txwj2gHonKMDPcvbSvN0sLg2JQXLgAg9NSyfgAyoZ2D&#10;Bw6qLfEx0zYlqduvzL3Ya0d1bRjphmoOzOpZAeu0AC+FdrInEhg1jaiP0hDm34J1LCjbtsd3jvDW&#10;vVqLYsy4f9DYXR68XBPQNsdMAIU2BlHutgCI6Lp9u6/peKGsRY8hsR7QF63bc79m0OyRZuLdLK5B&#10;C9dos7mvSRqdhYUK5VW3145C7/uN78u196Fd2YwdgNHgCWaMhbR9+T1HrbWPwc5dArSEqoGA/lmr&#10;5LkRhKyy+UUH/UQhcjM7M2f+SjR8K3dtqm7jEMfxzOP16/mBObbyxfsGb609Njhpwd/m6zGwcBYL&#10;z6AxeeweYAcwJ36Acv+Zs3Ip6JAWVLawOl4nsQlcb2xdGAOxMWCIzHDkYOjN7u5pASZc3A10OY9j&#10;WAtnoTBr+qwtI12Su9ea79wPSGN3MzOsknrP/WKNS4ovilgs1rjtE8fBjJLyn4R1Pk+ZARQG+Eee&#10;jX2SnjjR5qfaes/LGJiNAQfP0MC813Q8X15DjYdYM4NoWU72uD6O5l+KIVbRBpRYu7eQFQIFS8os&#10;w2rJHCQ7BZorwORKwtO4pgkOKPqn0eSc5FaDYv8u3b2DbKfufXOcMJRGnaw+CxY3hnxGXqjK70ZC&#10;VdQmTMLdPlUGVCN1KWECweakrc2ofgBNY+b1fk4dqfDPmhCLg/W9WhsxwLEING3alOvGYLXBOC2m&#10;y2iSvUER2tQcbNtEzohWs/NFQyZbIyAeLQwVIC8T72COSjnX+I1TxMo3GfaLqe/fr/LSxZgYp9s4&#10;w7AaYFFamPuh5ZB1IAI1CjQYElEK9R1U57dD0toBEIAqXBrnld3CHB1bXZFF5IDnGwI+SvCnggIP&#10;qTU4Av0A/TF0jb2ynCwKsM1pTXZLUKENy4httBn4kMArAzWBniPaAB9QsZR1kf6WJnNBLgjV2BWY&#10;WxCRCThR2hyLkxmGWY8Jk1j+PQ7gSRpm2noH6OEOobAUjY58hDI+hBv8h+s3BLvbAgGI4GoBEVon&#10;alywLJhwdV3cMKSwEhw7r2c+DLaQvNvU59hqZgXAZnVv4j8cg0CXO10eq8cSgVLevHLdaLNvEZ0s&#10;+lvnvRp57ZHQv0PlQOp18GSVFsezotm3lg4d0tyNDUHjtyVFZl+rwF42HNacJQGuE/ceH47fc9Q1&#10;GUjhZTzUzCf+4OWXXzFTX1C5YgvO22zypEADWvGfMi0wgRbeTAQBkimbvm+4n/bOaDZkaOggXGpE&#10;ifO6KLch91sR2AQ8BPzcGVbl5pgn8hwmJDcUs2+Nz5smgJYIeOJJPO+sc22KuwVUb7QC66W1Q9Ow&#10;ntb8XURJ37VW6RbQZoACe0o9tjZXIJoW2NlCogWdA0AO06c8dEzNzBnBza3RNw9q64WDXXX97kHA&#10;WrFO4yj0aKgBJTB1mKiVE9EplpzWnBhMC8Wxdt0MPMIpLtSk6qZAl2sOlDBtntLjbAtJ8wam1tfx&#10;VJd2Xv55jnWqH2Mzhghv6LH0OAIgEvgWTZszpgGBfM/9es5a2FgQetljDXZTOIQMwAQXSAE27jcW&#10;/M0r/Qz1QyVVjp9FSDozo6y/HQAOfZj/TS01DQYalOBm5GFtca7yBAkgDejYCV57vvYVf69FNJhy&#10;zAIAQHyJ2CSey2AUMCWAjzbO83ddhHEfEea86Zc59pxbAGNxkDXVeyLZfw7EBdjD8xzQHBpGecb1&#10;brpDsWKfWQkK2G3AR+xF+gQl5bUBTxdYa1od02zLv/6sLTKxuADMOt07686906k5gfwOKNdn++gQ&#10;yzORom0eEPcRewIXfu/3Th0nVdgLpN/d98nnE2+HokSGpfgkYQcB/MSDxeqfRIbIP16SB9MApEYd&#10;fDFPjfdlTFSYXTUImb03BBZee+N1pTDKjUGRKSZUC3F1Q9kaEmwHD6l++Kaiy/Xjh9S190J4+HdL&#10;+/AWt8ApwmQ4VWMC9OvJx9fuxQgqJRXFhWW4H5sagVCL77xo5oKlK0CUjUIj7nzmza9j3LCHgBTP&#10;nYTGPFXuFoYNpenQdS7NlkC+MPxwWyoQcjKbipeRrZkE8QcRbqj4mPYdFOnAgixy0vH0mSJ5D+yf&#10;Gz760Q8qePKKiWtBeeH3qUzxMQVvUm66O5ESCb2lILnNN08OR0UQyyLWOaKLHWfAjTMnSIVdamN+&#10;i26dFFoi3ZGiULYe6Xv9LGqQC3JJHCuCcZqfwRDFb6gzLzCkMdLjw1YIPz2Wughrtxj3VZlHiCn1&#10;2B2sZ8CS8SQLIO4ortFr2xHhECbfUYE+Y0/DNM8r80vxS1iE45/k1rBdxS59Cz/umWtTE0QNrXgu&#10;zqVCKNfDgEJRKHH9y9owtwUMd0tbHnapyJcAG2Yraw1sTOiSu1G1E8buDYYrSO3c5cb64Ac+NFxQ&#10;ZtEmQFEM6OEHZxw428GNAVPJhFGQw/DwIw+ocdaC4mXWPT5cHqwvgBHw4ep5PiNgLzQaoQ0d40Lb&#10;o/bxH3r/4+q18EAFQpYGqIcnspwEkTu3H7ZmhHCBidAh9OEHHxCYTFnfXdqPLmMK7bO/2Dfcg/da&#10;Z2uWodyMR79SGjvr2OCmNWK7YOrYeVmhOD79M1Iiu/ca83pD2hACmJgPW7RMZ1k1aCwdKKM1ok1z&#10;DZQSgAQBqGHEsShYGx25E1qL6s/791gYmWrK3A0ASJXbxKEwTjNk01M054kGVXEC1hSxmOED97+q&#10;Dsm87Dg+c5c53KlNtrUmgEZMXWuDa2oy1nLBMDWuXWM/N/MSX3ZbWbg2Y2qQwt/jQE/+tmW4Ygd4&#10;3lnzyYrQ9/DCs6yM2eIVLZbXGET03LtAV9Ugcf9BKNbCAzoIPZkXEzANICu50QCqr+k5CbGE/lDI&#10;Kq0dnk2gEkK/1zoWgwgnV/k13UzjMRxkb55PMHbTahWk0uczgHadQgB8a/wNlDx/jALrJ3Fo7Nuy&#10;bHic+kd7B15tVXKAJQCca2svowjCz+FvXI+YpaYB4uiYB0AvljnzelkuXc7cWj5u0MTh2GJSP4nJ&#10;iGtuZwxKzyvH2qKDRbzAWuihFFhklITUzG4pD7pnjpUVXLFyS5It7EH4dHhx7/Xse9bQabvukKly&#10;AHoO7tHJELby4w72NeM6d5gCn7nmTkAt9zct+v/v8SLwD9Q3bzgk9i9ND/MeWjQpi5fWNsyzjqvs&#10;59reTfmRlV5G8QgzpRQ58WYzF0vU60T6QpS1Ece3DruNwKBPQft2bfwoJhjGGEHlTWICi5UjERx5&#10;GVlCNHUs3yOC6J3hSSzPPEFNi2LkwJBN+fzR8Hi9a3wQ8PhzHxZG7S9q8E7tcmYCSC1su8HEQ8ox&#10;5vK2uJBlgQkN7c3BUlg4goTDDAialJDRuPbiJqoMFJe2NjPQT1kSk/UzFRBRAVNjQg8k60FZZpiL&#10;1gQQEpEcuVZNna8C0flYU5+/b+L2Y3ou88/zNJ32yfx7Wji9/vF3RbbUMX1SPs3s5lVP5+v21E6/&#10;5fv6ywKa1M8wOVsVpA2sK3NoQ0BiD1kBzCU4BfOdmUoYrSuYepMlyJLHJCPimKp3HpSA9ncldMIo&#10;Y64cky2rPy9G8YDiY/ixcEIwYGERkoexYMkJ7RYArQu05hbNI705ovmRcRQzK/sIJotVgh9rUnqG&#10;jsHhmtuk2Gp80XpMoZmTIoeJwCst4q4FMm1m3no8/f1EgFnoxxzdNSraQsDYYKCdAorFLSWk0X5z&#10;bVawtew2ufbfuDXbsjDWyPls7ELgfv0cHaU/NgEz5mbGibAPTbWLoeet+z30tVrw9d9UUO15IG7B&#10;PnlbV7LPPd9lhXSxJwCGGXssJAallb3hZ6WIXO23cexJ6pqIpnReuyHav29hbn6ZNW1h4jHWOCxw&#10;p76NYqvENAWkjhXD8dpyLf5utxNz1McaaGA1FCHOufV0XqkOXMBjRLvNC8dAh/cel/lO5obAcPOr&#10;Fmhk3wES+a5AHJzabBO+Av2Xeb8FfguzHrczKkoQ+5ziQ+NYngaLLRPG89BzNAZWDQgnwZ+UZce6&#10;o+chAxAl5ZJiltaUjo2wXZVVMuXhsRioJs9FWT9Zez3XfsUmbUm5xhLmYPrS2Llvz9G4dgWfd9pt&#10;0x/z2HTbY7MCW3PUNM9n8z42PXC4F/d11WeDs6TDsg87S8bX0ZJ0OmvPw2Q/6GisUXgWYlUJr+TV&#10;rowxvzCIeC+BjtbeJpYQtboEismiNS8vX5TA1ffSfkhpvHEdITzK3QXlcU6dl3S/FjzT+73XfZt4&#10;J363ulaDiEl6ST2YicWTMgIRfMdmBEQwMjM2w6sSwICPxBBYIKLJtzmvFqpdKZPd9J5vbDCcfNMT&#10;y7yhMTYTZWHDeLX5qY5nRhHydkEvgLJNUxTqohW6/OKYtl0ul5WLeRLgY9P4REJw67F4nQ4ym8uL&#10;G2FezKWJwTRRn+18NM71Bi7G1d+PtY3J2v0AAPEnz9vd4/yTjv3TL99HBKwyV1QOvaNMmkMSvAZl&#10;ACbcClVkqi0k1rKMLdqPGQ0S7YRgJXz5zcC8gUo49XhNkwU0zJx13h78rR4K/+P6ZQ1jpWojNkPr&#10;+cw4Isg7davvNRVqCSjsFwwASY21pMfYIMI82wB36qIca5/j+R4z151AYrw/o3nIT41LYhL9HgHD&#10;/Rpomd4AxfocTRttDdrHkgOPaEFrN49OJMi6gy25h2MUiDnSfTqIrue+zcOZpwjvFqgtvDwvo1cz&#10;3VYqxgy5BU0z59aqxyDD7kGtDe3qb9u9ULUpyuTvHTgCYq31EwOF66vH3gzcxxMvQGSRgVkyTrjn&#10;2MzdYKXBhecCOq05aqHcqDYdScsa24Cjju04Aa45DkAdu2GsiMFrrSFnT5ke2oJcAGI8zgZ+bc3g&#10;+naz+NzQhGm7QEG0k4B5B9hDT9ALBMRGLAAxjonp+et7jQMT21qDbEoNmKlVne/sRsC6UfMB7+u1&#10;Zq47u6P3VQv50KiEMLVsbD1AOAuA2bwPb1TLBPqi6A0Cm/e45Rgjz8T+oDHXTdUQQplIyQK5oiUr&#10;rVjUqy1J/NnWsQY4/O64jt6X3W+G4zswtHl1njeprA0KWIN0h44bMjWf0nQOAATon+7HWDjcNRQL&#10;tfdvLNGJ+6Aek6xGI3HT49qjQK4fyKfl0XAQW7/WTr05/MYX/+1dm/StV/tPaWWUCtXP/83X3Rpp&#10;a7fvviPHsVXfXUHivUe3T1Zvfn7YF/e7m33dfaX5uUPDlHz+lLscOTrMPPK4GfHlH3ZA/x+fJ+jg&#10;l3tITcgzG8yvVivLZcVHTSd7VEL8B5rnfog5bYj5J9Gh3WI/xLXHp0Aryfl5j1cbKN7ruz8dpQ3/&#10;6t/8p/+No/4PH+DPTv+zGfizGfh/cgb+F4kBzvyD8/CVAAAAAElFTkSuQmCCUEsDBBQAAAAIAIdO&#10;4kCchiweoj4BAJM+AQAVAAAAZHJzL21lZGlhL2ltYWdlMS5qcGVnAACA/3//2P/gABBKRklGAAEB&#10;AQDcANwAAP/bAEMAAgEBAQEBAgEBAQICAgICBAMCAgICBQQEAwQGBQYGBgUGBgYHCQgGBwkHBgYI&#10;CwgJCgoKCgoGCAsMCwoMCQoKCv/bAEMBAgICAgICBQMDBQoHBgcKCgoKCgoKCgoKCgoKCgoKCgoK&#10;CgoKCgoKCgoKCgoKCgoKCgoKCgoKCgoKCgoKCgoKCv/AABEIAYUCU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WPMwFBVRz8q4wDUwny5LSD&#10;7vTtVNlclTnH93b2707zSR13dcVnH4kUu5bWYRlSki9+9PEucGM8npVPc+BkVOGYLuxnnp/WqiEe&#10;aSLMcrMdsnzAclQT/WgOxbcs/C8446fnULbhHuVef5UjTIkbJs3d17A1XqD93QnE8iH7/HT5RzU0&#10;btImXdt3Yj1xVdpvvF92fugFs4ocSA+Yr9V+7WkeXlv1J32LEU7qTG75kxn2FOViQytJn2qqXk2A&#10;jOe/XpmlbZ/HwOpznmp5g2d2WkZpFWR25Xv60GbzCq71+aqqzoWwky/KMbS1OFyjj7vJ9O1HMOMd&#10;LIlhuWkGIzx05qaObggTYH91sH+X+NVBdIMhBzj7tODKwJP3uemaHUVrCcF1J/tIyG3nap/i7+30&#10;oa5Eo3pjt8q1CHhzhi3TpUaylHZfLPK8YFDnZXRaXZlp7hnTPltjPHPSmi53Pjeox/D61XkEsh3p&#10;Mcn+Gkd2VVyvXhqn2r2YuWV9iz9pMTZKcN0PeoZpzgiRCvyn71NXbt2BQOOxzTJHChTj8aObULjA&#10;EIUgn6/n70gIDsOTu+6xzSq5dwrLubtih3iVd6D8OMCotrYpRurkkcvkxNt570+K93uN369qrGQy&#10;owfv/tcUwOsZUoR0pp8uqEy95juvzNtXtxTPtexyGlyo49arQzMHzLJwfu4XpS+Y4Kqgzu6/NWil&#10;PdD5eUuC9ViqO+DnG71FOF85yDu3Mct8xrPklcx5kLMvU/L+lOWTEnmsNvQ4B7Uc8Svi3Ls14YwD&#10;lfQVWkvJGl3Ku49Fao2njLK5+96fjTXuAJBJkHC4Ve9STOPNoXUvWTawbt83FSNcPIuCe3zVnG5Q&#10;RbsfX2qPzirs33t3IUjtVczRpH93uaRmhjRQANvTbmoZGtTFvlgT8VziqfnuwIC7cjldxpBdfuxG&#10;EX1PehyKfK9UhJVg2lRGwC9HwM59qaAJJQTnHO7dRIE+0eXJweC3uP8AP6fWgoV4Q/e3D6cY/wAa&#10;xn8LHCMndjSm8+av/fO4cc96a6gjzWQru4+771MI1klJbHAb+HjH0+tCfKxPG4Lyvb0/wpRfNqTd&#10;31KoHKgdVXKr+PX/AD60KQ/3GOT91cYx7/nTo9sT+ac9SCy/h/n8aBE6vhVJx34pXe44xciuj7Zc&#10;kNtz7fhT5DErLJINo39G78//AKqk8sTBn3ttBOFB5P8AnmomiWfJZd21DtY96LXVxuPs9R0sBafd&#10;jsOMcH/69Qsiht5ViSDlv8/54qQgFgCW2hOir9f/AK1RyABo037Rt5H86mPLzbheD1GO7FRPlmVh&#10;hlz7UMSB87Daij5tvrTnhMgTdxs+8Wbr6Y/z2piqsh81F+XHCr3OBWi5ril5EQcTk7Tlcfd70kcL&#10;xP8AI+4e/Yf1/pUyoYNzRoCW6e1RyPLEu3fuyuKmS1M7OQ7BFz8j/dQbfcdv0qMFmQlwNvTcR1oh&#10;iOfP6fypzSrGYwwOC2OnStE+WNjaOsUNnkPm70O7dkK23IGQabFCqP5hwG6/KvT86GK+cXx823Od&#10;v+fQ00thdjjbjkUlqTzRd2xsSyGQCQt/rPvL3p7ZwSdykc9Ov+RQ+H2ldu7j8aQSByyTMP8Adboe&#10;acSErEMySrPujk+91XGcinNcIznanG0Zw3TkUspwyc7dvKgUxII/JZ8Dd/Fn19amPvEb6A3mSovG&#10;NvLbv5U25l8uHzAO23PXbxzQyrFH5rNnJ+YY4zUeyGQNv+WNywHPXsf61UJWkw5baDppMKMHdx37&#10;YpMmSTZv2jZSsGZMfK21ud3UVDNH+8ZEO0vu5/DrRHmBx5ZajgXjjVfMI+bj5en60kLRwKqg7vMb&#10;GT0NMmDoy7lJbGdpWjJ+0M8fXcDlu5op7ASNNuKH5dvPfrio2f5WaMse3zEY9KUF3cMIuC/P0qMq&#10;0cLplcdfmHI96UdNydtkMmAhYrKjLuXPUc5747UySd0OFP8A37AHzY7/AIUspU7jsXp82P5/nTQA&#10;oC7B6oVzwMdefxrVST2JcRu3A2CQNzxTZtqwABjw3pzUrrEjiNWxx8yt3pk0ZEzRkBh0XjrWnxOx&#10;Mo6NkH2YbCXbDFs/M3Tp+vNQXAj2NEq45O0q3satySEKozjru6GomDRvs37cKDuY8VJKd1ZlUgDe&#10;FQ7t3TnnGOar3Uavtd3X5eyt+gq2VDwtIgU/NUElsqJ5kfzbsjh+uaCnG8bIpkBiQDxuAO3/AD6i&#10;iaPlYWDYU5xjqfX9KmEaRqwcFd7fdPr+fQZzTQImiYFi24An/a4rLUKa5laQDTpscThf9ncvFFSx&#10;XbRxhHbkf7Q/wopmnPA9Rm80BVEvXIOOhHP49aVPmbYDjj5aYcg9C3y/3uwOaaxy+88BT/erKK5Y&#10;6E7InjiATdKF9Sd3SpUYu4AG4DjGarjBPyHtt69eKehdGULIV5G7d0NXzS3KROkrBvKLrtP3d1Pd&#10;gB8y8H+926YNVvmV1kD7sLge9Sb3Chgd3GAdtNytEN9yeQoB5wZmJP3fU0iSzZYOzfXpiomdZEXG&#10;4jPTp+NJEZthZuv0pJvqLl94sK5WLaWZgTgetOYTRyfNIpqFTIJFR+VA6ineYSxMbH5emarm6Fab&#10;EhVCNzIyndndzRGgAJVhnrUYYtJtJOMg7ad5nJRhztxwKHES+G49dhK7McdTSNK27Hmryfl281HG&#10;uVxz/jUkZjyB9446daVglrEkKuo3jcPmz8w//XTVdmyx5Y0IIwRtVR/OmvERI0bd+d3pSjEfw2sO&#10;l2qRmba3Tr7U0gonyhvvfep+zK4VhuPPzUhYhPu8fWiXoHKr3EJXy8NJt+b+7ikCI7Zft25Bok+c&#10;McEjPyimFpgBz/DjcRUj9R0saK+2N2X0waApAwY+dxHK9eKTLv8ALjGKbKsilSG+7yfeq90BjmVt&#10;zJtpGiA2s/bp7VJGvUjH4Co5IE8zywdxZctnPFSG7GhWYqNu0bfve9SFW+6zAYGMjr9KckflqCEz&#10;/wACoaORm85V2hj82V6+9VyxkVy3Imdy2ZY/dCv3fqaPLlVm3Jxx2p5AmbPYcY6Yp4cKShX+Himr&#10;E9SsbdmRiN3XgcZ/SiKIlfmTnod3X+VSlZguOh/iWhUbHyqen1qJc0i0rO5GyhPnA+b+H3xTDJh+&#10;c9cfd6dqmCmUCMR4xUMivEfnx1x65qotWsy+aXLuGSkn3G6fMD9KdIj5XhvTntSPG0qrvPvxThGZ&#10;GMSr71PoG2ox5EG6Tknbjp1oBYuqlMjBb3qZoj/EMZXj2pjr3QFmJwBSUeZ6ivoMZiVKgbm6AU0Q&#10;Mw2nhv5dRipGBA81lKjkuNwwaFAjTBQH5fl65HX1+tVH3WEYycrMiUqbfZHDzuP1OKjZFHG1l/u4&#10;HX86lWNIV2IOPvN/j9cU0LgrvkPDny+Ovt+lKUtRIbIvlIzq3Un3K/59KjgbdD8p2sP/AK9TTK6j&#10;KyYbPfnr3pBbyyw+Yze59uOf51K2syvJld4y7klt2G+UhvujFNZ3AJRV3Fv3ZP1qyLdd3lsg2qcK&#10;y55+tJ9gQlWHzKGzVezjCXmEI7XZGqbnbYFKqMp9KgkRuCGBPIO3j/PSpHhdpWQ5C/xehpwiUJIP&#10;N3Yxg+ppbBvLUh3LJwVYgeg98YprbSxO7ZtQ/L34qSJJY2JjcL22nFRT+ZBcboz8u0b/AJhx1OaY&#10;Si4xuMx5e4xKMt69uM0M0YRWdeN2WYepqVVSXLp83zfMox19aY8USR7W+Vc8buvTrVRXMLllyp3B&#10;YIZ33oM8ZzVdlIBVlXJUfe9M/wCH61aQCGRjGc9PxqOaFJGUZ5XI69eKmw/Z3jcjACkuVz8uVVsZ&#10;+lQSh5kVnfleMbfc1OkbByDJt3HH3ehpEQnhUIj3c561a5ehnyuWhH5YZGDDAP8AEzdcdRQEdXYR&#10;7dvc4zn/AD/WpZY2UbmHynjbxz1pvmlGVWxz82e/bj9KiL97mQKmk7MjiVM8jarfyqBIQ7bSD8nS&#10;rbK2zac7ulQyBPNIAZQeeR0rTVfMmcbajNpbqf8Aeb1/D65pl3uyu1Mt1ZeMipGd4+g+YKob5fX/&#10;AD+tRFlB8zcPfPXFASfMIqrMFuFJXp949D/Ko/niLM7Asfu4/wA+tTeUfKMYwg3Z2/jiiSFFlVyh&#10;3feqftasXQhiLLwJS2Mn1/yahnX5Ngk27ePudTjvn/GrnlgIGjfr907cd/8AP5VVm3KvlqjZ24bc&#10;vTjOfzp7ia5SGURSYd/TjPG73z+FNbc1vwSNv8QzgnAqVUREaCQg7RlXXnHf+dRTOroG3feX5V/S&#10;tErCUo3bY1pXU+ZKjH/d5YVK8qk5eUlujZXgjHAqLzAPv7mbbnmmrJE77hCdu3bgtyDSlrHQnzHO&#10;I2IVgu7r83b2qKWRZhtb/vn+dJcCWONcgH5u1CROV3Owzz34oimlqTL3pWQwQQ7G8wZwvylj933F&#10;QbIJHPzZ2rlsenFTPujuN4GV4/z9M0yNUMjKEb5uVG7260faFfSxWYPdJtEXy+XyzDoc1G1l8jJy&#10;3yhfrVpo4UKtvXA6hVIzz+tNJwdiOGGzOfT/ADmjUFLlldkf2MqNvnBfYg0U2WRFkIdSx9Riij3g&#10;9nF6npwZAWZMDK/wt39KWKVVwij5mzTI5ICSqc8U8ODJsQrlTxuHy1jY2l2EYY2ux/A/w1MifLlW&#10;9+O/NMb549qjbzn7tCMH3Rkc/h+FGttCe5LhioAbH5U4Sb/lAIA67W60xIznzGP3s9OKlhwrKURe&#10;nzL6UtAXkgjc7B5eF+U8buTToiWTJTb6CnLLGfl3ep+tLEg3+azHHoxFPmKv7oDpudc/SnBFU4Uf&#10;himYRpCNhx61MjeY20/d7HbWij1uTcaxCNuMe0nimlG3LKI1GfvHFOwGlXMJb0bHFSNGrH94ueO1&#10;EbWdxtsaISqHJ+bOVPNKFCRZZP8Avmljd23BWX/gXanQtti8tHzU+pp2GoXDgKcc87j1pwHmSMWP&#10;OOu6pghdd24fnTcJkqXb5uKLiGmNlj3+Z7+uRQYgFbcR7Urr+9Yg7v7tIjxTDYhwd2WHrR7oA0ZU&#10;gHju1EURlAJVsd81JiIvsEuQ33h6n0pySxxqCXX6buxqVfcCuQnZgMdKaN2793tK8buKsMy4xIF9&#10;eDRmNz5q4GBwKfKrXCxFDbl25HB79KY8YQ7dq5P+1zViLcOFbHNNkh8z5s4J460rMqXuq5HHGJFU&#10;OOnIonhTfv2ruPqan8pd3T7tC+UeAPx3Voo6aFFR7QpuYMzfLk0Nbqpb5unZu9WsABnJXnnHTinF&#10;Q68YHy4xurPlvHUOWPQpxxKNzt1boG70phXO8Lt9Vz0qVwWbKkKvTn+lLsRPndTt9WoDyII1Q5CA&#10;t8uenTmmPBn5cjKnjdVwqpVWAXB+6d3SmOilwflYsc0BuVjavne+35qUBouFX6sKtNt2rlug5284&#10;poiBUKX7bS3rVadCoptFdnZY1RFPHC4P50wAb8qvzHoe1XDEqSgZUntuHSkKhhucD5eB8361NupX&#10;KVPKcD5yvX7p70kyORuD/e/yatfui20SqPl45qOWDcdwf5d2V+Wl9oqPfqVXtyG5P3l+XH6U5QAV&#10;52hR/fBx7VYSEEBTJ93jOOtNKxx8hOvPU0nvqZWsVWhlI8oDGGXv75oSLy/kP0Xmrht1BBYfe6r6&#10;VHIyL+9Vfm4/L19vwoeo/evcqjKuY3Vmb/e68GgiRFZSvLHLetWBwg3R4ZeFb8KaqYl3F/zGKmPx&#10;XZUYy51cpmCdhhmqOYrsMpXBPy8gmr0iqgJY556entUflqCVcjH196buKUfesimI3VFZdxZeec+m&#10;P5U4RzEMHVdreverACxADeDz8x9KjdYWk3mbjqD2pO8kXLmskyusHlNuV/u8j2/KmzIZztcfLj5v&#10;l4P1q0oj/hdW+XP3elRtKjHy9u45+UbacZXYpcvKkVUgZELpn1U7sc+poMQYbvMHTPXvVieZHbai&#10;9vmw36VH8ixgMrFt2au5l7t7XITA8u1/vfL3/wA+1NUeQskMv/LTovbOTVnOWIQr/jTPNVY9pT5s&#10;f3aL2joHLza9iBlDFYnT7p9KHhSeD7o4b5eKlNtETzn5sfL1GfpSyFYk8ryvx6/pRf3QjbeRWZMH&#10;L/MFHzAd+P8AP51C8RLiV3HzdAverUaKy5BzycZb+nbpUZCF/LxznOfX3quZ2RMve0K6tsZiVOOj&#10;e1DIpfcjHbtx/nGKlDqzNvZeBl5CvBpZPKVWBY/e/pT0J5dNys0UkjGQlgPz/Gmffbc331Xv3wf8&#10;KsPIgk4P8PNN8tWbzkPXqMii0W9QZBGNlvvZix3Y5qG4gUnOOOmPX61YXG5l3gf738qikMYk2g/p&#10;Ts7BzkOx1b0+b5l/Go5LYSOFKqrex6fnVmcy+XvUn73TOO1I6xRSZL7tw5LLnFVczkolWWLLYVTx&#10;2YdRTZEXaUVfurlf1/8ArVYAb7yy/IByQtRtMM4WQY9vWj0M+uhX2FpFBb7rfxdDQ0Yjj8uSToMA&#10;fnzUzJGnMz/N1+6ORTo44ywbYv3fmyP609bFR5ebUp+W+3LJs3fe5yCeP8KjEckZDMADuJbnpVwp&#10;GDgEbqbIqlCTIv8A3yOaVu5PL1KrRNt8x5dwLdBx+VNuLRSwZBj6d6tMkfl7SVyKVkjX5UYHvVLQ&#10;JKMo2exRWLYu0RL+NFaCRRIu0qT+X+FFF/Inln2Nv+0pCeYZFOcY243UJqVwDt8mTPPGOKmaGRwA&#10;M4K/Ng5x7URQNvUq21uvWuX3jT3WyL+1pzH5vku20/wj07fWlj1e5YndbzbmPynb/nFWPJilm4X5&#10;R972p32aSMsBGFVfvNuOaq5RHFrjqfLkgYfL/cpw8QtHNuCt8w47VJFCGlVJVILD+90qRrRVXese&#10;5Wbjjp/9ek9hcyIR4gZkEnlt1+b3pzeIk83IXA68jpUz6aAm3yy25uFpwsI8bj+rZx7URGpN6JEf&#10;/CS2qgMzNuyNw21M3ilY1wQ3zDhlzUbWcbyZIX/vmnDSxtJTpnpT5WHWwJ4rtGTYZGVt3DdaU+JL&#10;NxtBb5f72Tn9PSlGlhRlSoHQDbQulqGBKrgLjhaLhr1CPxZZAnyt/PH3f/rVN/wlduB84b0+VaYm&#10;j27gBY/zzR/ZChvmjb/gNNK4+aQ//hKrccfNgYH3TTW8X2ittO767aIdDR5G+XHse9I2i7SSqD8a&#10;JBzSFPjK3Q7Qfodp/l+IoHi2yHyIzcN1x/8AWom0zbGrMMH/AGVpn9lK0nyJww5b1qOa3QTl0JP+&#10;EstU43sW3cYSj/hLbMPgAEf7K/oaUaTErLuPG2mvo0ADHy0OOnFXF82iKW10wXxlYKf4vm4XjIpB&#10;4008SsI857/KaY+j25VS9sgx6U+PQYQC5jX5Tk8UhczHL41s2TzRuxuxzmkbxvYOqkBuT/EtOGkW&#10;xcxpCvWmDRoNjL5C/eot3E5dGI3ju1DbVRsewNB8bW54KttK8fLT00WIcrEoPrig6HFjDRqfpVWb&#10;K5pEDeObBFCrA4wuM7Ov1pR47szHtjDZPIwtTnQo8bfKVu2c00+HolwSin09qHGPqUubqVZ/HdtI&#10;7bB6YXaeKB42iiGzZu3LnG2rH/CO25zIiKMnOQKQ+HU28BfvddtHu9ieaV73Kh8dRYz5LBs/3TUj&#10;+PI2fatu2AM5Aqb/AIRxMbmAP4UDw7GzbY4/mbjpR7oKXvblZ/HShNiW0i/Kc00+PojDu+zynhdw&#10;CmrcnhiIJ+9ZRtoHh6FSEAzngZo0K9pKMtCvF4/t1G1raTd6sp4qOTx5FHKztbMy/jmtFPDdsBtN&#10;uvP8W6kfwvHHJvEeQ391ar1DnuZrfEJ1QymyOP4fl7f59q8/8aftH+PvDfjOy8LaV8M4r2G+Vjb3&#10;R1HywcdcjacYyOuM546GvTp/DEaDzBF2/irDv/hxpmqavba3cQbprNm8htx+XIIPGecg4oFzIZpX&#10;xI1C7t45NQ0gwysqmSGNt+wk9M8Zx/n3u/8ACxAMKbKQn6cZqWLwykBXAHC46dRVhPDhlwVTj6Vn&#10;Lcjm5epSfx+ZG/eWMu3A21GPiAzoS1nN8pPylfvf/WrRm8NQGVWDru/Gmf8ACOJNIQ2CevFNcppz&#10;MzZPHuQUewmC5/u1CPHf77YtnMP9oxn/AAxW2vhoKm3Kj/gVRyeGowMlec/e5p6NbCfM3dmSnj/y&#10;l2i0mdi33dvA4qD/AIWIxRibG46fN+7PNbUnh9WHPPbcUzUJ8NorbkCr/u8UuUcpOydzJ/4WBO8u&#10;Tpkir6iPr/hUf/Ce3MqApYyDntGRitaTw8rNtJ3H60r6AijAiBp35dCXJvQyB4+fbk6dMe3Yf5/K&#10;lk8au6ZOmzL/ALXr+IrSm0O3PLQgN696jTRYlzuXn8aolS5TOfx4c5NpNz90bAfwpkXjsOrGKzk3&#10;jgkrWidCdW6Kf+A01tE5yLfn2zSsgciivjlNnzadMSxG7avtSDx8Eyws5v8AdK/5/TNXW0JVbO1j&#10;kc8VDc+HgBmBPmPU/wD66l6j5pFU+PoVk3fZLgscdFPHND+P4S3FpLntlTxVqPw6d29lZuP7vQ1G&#10;PDwJw7sG/vHt+NVG6jYXtG1Yq/8ACeqgz9mkPzH/AJZnNNHxAgDGP7NLu/3T/kVZk8OKvT7o6fN7&#10;VF/wjzMxMW33HBpOyKTZBD8QYEkKmKQcjcKVvHttKxAik+XnBjHNOXQPLlwyL1x0601vDpPyoOjV&#10;TViVHm6kUnj+13ZeKZR7r/8AW9PpTLn4gWq8Is3rytTNoCE5ZCAeOnvTW0W1XIwp/wBoDFTtqD93&#10;QrP49hVcmGYk8sfL7+tRP8QIc7hHKx2/MdhPrViTRldfvD61DJpCIzbVyFXjFGrJvzbDf+Fgwn5D&#10;A5Ax95etNT4gWm7mKT1UMvHvSvo8SsxZF+8P4jxxTF0hN+9I15x0Gc0+WQfCEXxDXMjbJMZ42rx9&#10;Kanj+ORfL+ysef8Ann0ol0HaSEXBI4qBdLjYMSn3VAPB9atqXMHLqKfiDGU2/ZZpP4cMhpH+I8Kt&#10;sSym/wBnKGoF01YzsVV65+5Q2kF0wsPPb5aHzdyeUkk+IKPHvNjKrfQ81GvxDEhJjspf9rKHimHS&#10;XWIhl2/8BqD+zSrfMMhl7rQ+ZBypMmf4iMqg/YGKtzu9P1qOPx/O5Zk05v8Aebv/APXqI2BIVlTt&#10;nOOg9KdJp0JX5YwB1P1pXYe7uPPxHvVO06Q3FFUzAynaGop/Mz5p9z3w6XFC3ys3zLj/ADg1F/ZU&#10;ow27G04XaTzWodsrZJX5VPf2P9ajJjY/I3B/lURXc3RTawkDM4ReV69if/rUps5iuHK5POG5/wDr&#10;VY8wZJU9BximiVoB5hUHavyim4+Q9SJLJlXzZlXqDmn/AGVHO8lcHkLt705JgvDn/wAepftcZwqq&#10;Nu3B+nrU8mmoeopt2MbFDjpnb2FSRWiN/D2+bim28qwKVV8+2ePpU0VxGJNnzbvr2q4xjbRjVhv2&#10;FFXds706OyL/AHI6maUNwG/AMOKmgl2SY8zC46U+XuL7VyqbFiceWfrTo9LnYkE9elaMUqbGJfI7&#10;dKmiSOT+993Paj2cQM6PSJ8CNVyfrU9vocrx7t23/gef61qoiPkIv8PcH+lXNPs0DdF2/wC9VRgu&#10;gGTF4QmkHmhN3+1upz+F5EG1tv8AUV9Dfsu+Ffgj4ia4g+Keuy2zLt+yoqDa/BzlsHBGBgY59a1f&#10;2mPhd8C/DWmw6h8M/F/2i6aQCazaMt8mD8wYKAOexFaSpxjowPlqXwyd3BBwe9NHh90OGzurqtQs&#10;olDfzqhI6KcbvxrOVOIKNPtc5wabcLKYsp8p/u1J/ZUhHMcf/fNal3LEnzFsHP3hUYvEXpLn64qe&#10;VRWhtGnGRQ/snCgCNffNKuktjJVD+dXJ9RRBnzF/Bqj/ALTgD4Z+n+cVJUadPZkK6UWY71X1+Umi&#10;LSYWLAL/AMB5qQ6lCGNwJ12r/DkUHXLdjtEyD23Cgv2VFxuxo0sAbSmPej+zFHRN1A1qzHDSr1/v&#10;D/Gga3aDkypx/tD/ABrO8h+xiC6dgfKg/KnCwhHCJUS+I7IcJdL153MKeviGwdMLMvp94UJy6o09&#10;nT6Crp67MMlP/stMfd7/ANKamsWaDHmr9Sw/xqRNd08kK1ym7v8AOP8AGiXvB7GHLcItKQrwtK+h&#10;tJlIg2R0b1p8euWC/wDLwvzN/fFTQ6xYswIu14P98VdtLD9jFEA8N2+F8yX5v4qni8LQzj92zf8A&#10;fArQtNR0tx81wvPfcK0rW+sTJt8+Pkf3hT5bak+yh2Mmy8CJMwVh+O0VrWvwqa7TzFkfj/ZrUsrv&#10;TIfme5T/AL6FfRX7PXi39nm08JC28caa82oeYxaZvmTbngAAjBx9arlZlUjTgtj5dvvhfFEuGnPT&#10;POazZfhtYxgn7Xhj1AGa96+P1/8AC++8TG6+H8LW1mYxuWdhw3+z3A6cEnvXl95daSspP2uPcv3s&#10;HofzNHKxU4QnqzjD4BtlO1rkt9VqOXwnb2w2+ax/KukudQs9xY3kf/fwVmX2p2DfemX86zlzdg5a&#10;PUyT4as1+YenoKgbw5BvwG/LFX7rW9MRSFuVHvurPvNd09JFIv1/77Xn9anXqbcmHiRDRFV2zKRt&#10;7etMfS4S2C/5kmmXPinS13GW4j2/7w5/WqkvibSgPlu48fwgN796BqNPoi1LpkRGxAuf92oTpCtw&#10;Nv5VXbxdpEceVv493QjcKj/4SvSHTcl+v/fX/wBel71w5KX2rfeWl0FAxbaKa+jJyrNVNvFulqAD&#10;esvriTNA8X6L/Deqfow/xo1K5aPZfeXD4ft2TdgflTBoFux3Z6e1QDxjpn3Uu1H+82akj8Tac52/&#10;bI/wYU9Q9jSlrZEzaDbN938+Kb/wjcbH5X/8dFIniLThwbuP73HzCrK6/p55W4j2+1VrzWF7Gl5E&#10;X/CJ25XcZn6fw0qeDbaXhnk/Srlrrumyx/NcQ/iRVuz1PS2Tf58fNHKc06dNdTIHgm06C7kX2Jq1&#10;b/DK1mlEXnStnnGBW5BPps4VRcLzxXpnwGHwwi8b2tx8SWmfSkDedHbsNztj5R1Hy561r7OSexLp&#10;wjueMz/CdLYeZKZVX3UVj3fgO3hZnW5f/vkV9u/Hu7/ZMb4dXlp4I05l1Z4wbGZchUbI++S3TGen&#10;Oa+SdVlstrEXXB5HSlKD7CXs29Dhp/CsSMf3x7HkVXk8PKGbEu3n+6Oa6DUbuwXcr3Sj34rFur+y&#10;R2LXSfiwocW7D5YR1uVG0K2b70nXj5QKifRLQkoPT+ICrD6rYBCvnKx/2WFU5dRhScBJOP4vmpxj&#10;3M567EY0OILsB/IVHJoESkq7n3GKme+t23bZfx3H+VVZdRVZ8B/m7nPWlyK5kv3cRX0WB9wY+v8A&#10;DUUuiwhVTzNp9gOn405tRyMNJt+poku4nXcz7sD+FqoUpdI6iNoNq7LI90/4RimP4ftELIGb5ufu&#10;ipI9RjzsVGX6j/69TNeQyPuEi7VGOe5qkgTla5THhqyZmHnMGX0oj8H2bnzJLmQ5HtV7zkV9yOpc&#10;96soMruZ8+vzVWjjYL92ZLeC9HZSftE30GKlh+HejNuY3M36f4VrRJb4yOnqa0LezXGx368UcsOx&#10;lz+pz8Hws0q4PmLez7fYj/Cnp8JNIdv+Pm4x3ww/wrrrbT1RFBZsDspq9BoyS8xF/fJqXTix7x0O&#10;FX4N6ARky3H/AH0P8KK9HTSrdVCm3b86Kq0eyKucC2r6v9oU4T7xPysec/1pqavq/WKFevr/AIV2&#10;0/w4SFTG0Tf989az5PCMMBJKYbbjbu4Hf/P9Kx5JdCoSjJXRy41bUhK0ny9xk+tDaxqhHO312qTk&#10;ZFb48MoI2Qwdfu1EPD8MbhUjP+0GNZy9p1Kine9zETUdQcjeFbv900v9o6ox2qyqq8d63ItCtwrN&#10;83zf3TxQ2jRFl2QZ3D5vmNFpdyjHGpauSBDCu4855/rTv7X1cn5guO3WtZdESNd6Rs3zAEbuntUk&#10;Ghop2mDcrtmjV6BzRtbqY41jVVOQij86cde1qJlIC/N/smtx/D9sTgRt9Kkh8PROAkkJGOPvU1Gx&#10;PMYcXiPWyuPLT73XcasReLtbMoijs0bb33V0UPhCyeQERdsbef8ACr1h4H09j5pgy3bLVajKRXqc&#10;1B4u1+RQU08HPoTV6Dxr4nf5f7FOfbd/ICuz034dWczhTCOPeul0j4Z2bBR9kAH+03WtORrcmR55&#10;pvxA8WWq5j0hfu9dzVbk8f8Ajm7hSMaSpVlwxyf8K9d0n4U6fvU/2ep/4BXQ2Hwk07cCmnIce1aR&#10;pc3Vknzjfa147eJpE01eF9/61wsPiv4hazfXkSxtBHbzeWjbD8wx1/H8R+dfcNn8JNAknhh1m0ji&#10;tJJkW4ZsKAhYZ5PSpNQ/Zi/Z2aN9ai+IkEc9x8zLHdKwHQbdoO0YAA4AzjnNaRw/mxxlKOx8JXEn&#10;j24kKyXdwF/3OtUro+NAPm1C4FfYHij4GfC6FmWz8fKyg4XYU5/SvPNd+EfgoPIsXi1m2nB+7x/4&#10;7VSw9OMdyI819GfO1yfF5K41uZcc9+agluPFCv8ANr9y3/Aen6167rnwv8O7m8rxBcY9Vx/8TWHd&#10;/DHQ92Br10fwH/xNYOnEvmlHSzPN2fxJMWkbxBdbc/d/yaieDxAW8z/hILgZ4Xmu6n+G+krP5cWu&#10;3ntx/wDY1XuPhxpm7ym1i8P5f/EUcthybqRWhxQi8SBefE10W74akaPxGOnie6/7+V1v/CB6Yvyj&#10;Vr7I9GH/AMTTW+Hmln521e859ZB/8TUWj3KjzPY5QJrGMt4ous7s43U6RdcIDSeJbn/vrrXU/wDC&#10;vND6f2vefL9/94Of0o/4QHw+xjiOq6h8v96Q4/8AQaOWJXLLc5XydYf5D4muuDyok6GiWy1TYwXX&#10;Loc9RIa66H4e6D5+f7Tusbuf3p9/9mrS+AfD+fKXULrnowkPH/jtZ8o7ytaxwyWWsY/5D158uP8A&#10;lo3NWLax1rzG261eMeo/ekV39n8P/CrsAdQvOeNoYk/yrf034e+Bd6xz314MNjBkY/yrSMeovePL&#10;7bS/EZkUDW7zaf8Apoea1bHRvFxbMeo33/fw17Z4e+GPw9uNjC7vmVf7ruf5V33hn4YfCxipmnun&#10;244ZpP8AEVrGNyXdHzvpPhzx1JHvhvbpm24BaQ/41vaNoPxSt0GL25GR0Dmvq/w98MvhAFAntp8q&#10;Mr88n+NdrpHw3+CQCmazum+iyen1reMdLGUpc2h8Q3HhX4ozjL6hc8+uf61z+reFPiPGzb7+5H/A&#10;jX6HXnw++A4jyLC6DbuM7+uP96uU8T+AfgiSypbXX3evmSf/ABVVKC7kRlGPc/PrWfDfj+VW8y6u&#10;l/20mIzWLeeGPFCJ+91K8P8A23r7a8T/AA5+EUUfmLpl027+LzpOf/Hq878VfDv4YR7ittfdflCT&#10;yjj/AL6rP2cjRvds+U5tD1nLGS/uv+/xrPk0LUmjMh1O83M2GP2ivoTXvAvw/KssNvqH+zvun4/8&#10;ermtR8B+D0jY+Tff+BL/APxVY1ISjY0jzSV2eMHQ73y9zateL83P77ofyqvPpt4Gbbrd2OO83/1q&#10;9SufB3g5Tn7PenB/5+JP/i6oXPhDweXZlhvF3f8ATxJ/8VWa9A9483k0iV490mt3Z/usZvvfpUR8&#10;PTspI1i86dpuf5V6MfCnhgJt8u7P0uZeP/Hqgbwl4a3HEV4OOv2mT/4qqBc0tTgovDk8SnOqXq/7&#10;01NfRZccapdN/uy//WrvJfDHhstgvdnH3d15J/8AFU4eF/DSDGbv8bqT/wCKo0D2cmcDHod0R8uo&#10;X3X+KY/4U8aFeb9v9pX3/gQf8K9Bi8HeFpImwl0x/wBm+k/+Kq5aeDPCUabJYLxWA5DXUnH/AI9Q&#10;HJU6Hmkfh3UQMJrF8v8A28d/yq7a+HNcPC6he/7zSn/CvUrDwd4DLf8AHhdFv4j9pf8A+LrpdA8F&#10;fDh3CPYXw/7eJP8A45VR6SJafVHjWmeGfFsqlIry8P8A21Nb+m+CfHs0H7i4uv8Av6ea+g/C/gD4&#10;UJt3aZf5/wBq5k/+OV6Z4R+Hnwc2q76JdN9LiT/45VRhzbi15bHyPYeA/iaqfLc3X/f01s2Hhr4s&#10;268Xd1/30TX3LoPw6+Bboj3Hhu44XndM/wD8crpI/h/+z8Yfl8Nzt7ec3/x2t407xepNuV3Z+der&#10;6N8WsEC8u+f9oiuT1zQ/iaobfe3S/Sf/AD2xX6Xax8N/gMYi6+Fbhff7S/8A8crz3xd8OPgdtYr4&#10;euV9MXT/ANJKz9jr1FKVmfnfd6X4+dTG+p3gPXmQmsa4tvFjtmfU7zI4+8f619q+M/hx8FVjkaPQ&#10;L7cuOl1J/wDHK8r8T+D/AIYW1yyxabfLhc8zt/8AHKirSvHqVGp7t2fNdjrPiaPxI+nves0Kxq0T&#10;Nn7+SWX06YNdALrXpMSrPnj5dw6V13jXwv4Ls9Lm1bQdPmivBcKsMtxIflPOf4jwRxVXTZFmVRd6&#10;fwBjcq8n3rGMeXQJSdrnPfbvEA2h7jr329abDfa0sm1rjnOfu9K72Hw/ZyorxRH/AIEOlRt4eAkY&#10;eXz67en6USjcSae5x8l9rW0s8q+7bOlR/bdVRd0cofjsMV2R0ORFUMobnPTg05NEhkHFsq+hCjNT&#10;ytCbjE41NX1uE5MhX/gNTpqWtFdkkvzfe+7XWx6FD/dU/wC1xzVhdBQ7WWLccY3beKr4g+F6nGRa&#10;t4jVcwyDa38W3+lW7bVPFgbNvKmP+ufNdlZ+FlDc2y7TwueeK3dO8EM4UvbqMd+mRmqjFkv3pL3T&#10;gIdS8cs26Ly/X/V8n8jWjaXvxEugJIHXHb90eR+deqaN4AE5UCEe3y5rs/D/AMMImVVntFz0+UYy&#10;K2jR5tyn7rtY8P08/FF8LFtb/tma2Irf4wbMAIv/AGyNfSPh34UWe1c2i8nPNdTp/wAK9OUArZr0&#10;yflraOHSe5J8kjT/AI0EZEUP/fqivsZfhbpu3/j3/wDIYoq/YxA871rwhbRjfKp/3R0NcrqvhqJD&#10;vVD3x8tetaxpm8bwn3TxxXL6npoE2Hix/wABri5QXY8xutAfGATj34zWbdaId7HZ/DgYPT3r0bUd&#10;HXeze/Gaw7rTyGZXC4B9Ki3Q0OP/ALGaOIYjGTx1praaqyKi966S7sQzqIu2elQtY7AMRZ70uVdB&#10;8xgjS3dSyR45H4j86mhsGVNroQG+7kYrYjsxu2qRgNjcBUyWQLgGEj29aLB5mTDpoLYwCueuTVlN&#10;EeY5ijx/WteDSWZ/kC7eozWpZacoHQ8H8qqwpPm0Mmy0WTcsTKfu5XNb2naGokXzo/r/AJFXLSwj&#10;YiFj8xOfrW7YaawAIj/Oqjvch7WuR6Z4didhvj+96V2OieHMopYAfjVfTrDzXjaUDbXW6TDGSq+V&#10;8oFaxjfccepZ0Pw8flOB09a6TS/DkbdNtRaZAgYMF7Vv6Yu0ZIq426DbOc+IuiC38EalKn3ltWI2&#10;gdRzXgHxR+Bn7RGn+PdStvhfqF1NofmbrETxQHCsNxUklckMSOnYda+lfiEkTeCdT85fl+yPn8q0&#10;Z7aPc29OetXFi5j8b/8Agpd+0H+3f+xh4l8KQWupaLZ2/iFL54/t1ikrsbfyd3+qkO3HmjrgnPHQ&#10;19efAX4SfGr4p/ADwP8AFbxB8RbH7V4l8J6fqtwsNjsRZLi3SVlAyeBu/wDrmvm3/g5iaOC6+Dsi&#10;xrtb+3uvqDp/9CK+8P2I4PO/Yf8AhDM43A/DTQ8f+AMI/pWeIgpQ1PQyms6MZ2S+aTPOdQ/Zz+IZ&#10;Vlk8fW/T+G1/xrLn/Z+8aQP+88bI397barX0VqFmGLEAhfpWDqGnhmPNefVowlFI96ninKKvGP8A&#10;4CjwSb4DeKTIwbxphf8AZtVoT4BazjEnjKZmb/p3XA/SvY7jTwDyKjSyjD/d/SuapTtFJX+89DC1&#10;6cndxX3I8bb4DatE23/hLJv+/Ef/AMTTl+B2qSDy28Y3S7ehWGIf+yGvYHsQzZKfpTTp6kYK/pXN&#10;7Hm6v7z0qdamvsL7keSv8B7xxh/E9w23p8sY/wDZadB8BbrGG8W3y/Qx/wDxFesCzB6RVJHZpuGI&#10;e9P2Vuv4s2jWhH7K+5HlI+ATu3z+LdQz6/uj/wCyVJH+zzds2Y/GmoqvskP/AMRXrS2Kbxhf0q5H&#10;p4Ixt/Smqa7sirioxjpCP3I8kt/2cJbp1B8Z6jtzz+7g5/8AHa14f2Xr14wLbxxqUbYwWaG3wPTH&#10;y16hpmnRg52fxV0GlWkfmbZRVxw8Jbt/eefWxko2ahH5xR5Hon7KWssw2fFDU45B/GtvAQf/AB0e&#10;tdNpf7I3ii6dR/wuXVI/m+8tlDx+n+c16pp1lFFJmL+9j6V1WjRsEVmUdM10RoRj3+84qmYVOa6h&#10;H/wFf5Hklt+x94xSPZF8etUVmcMJv7NgOOD9OOa0rP8AY08ceTk/tG6uflwu7TYeK9ntNuxd4+ta&#10;ltJH5YVRW8aMUuv3s4Z4yp/LH/wGP+R4vpH7GnidMy6h+0Dq0qL95F02Eb/zBx9fwx3qpr37Ik97&#10;GIYPivqcJVs+b9ljZm/CvfLeUhwgHDcGsq5/5CDxE8LXFiMDOvXjJN2X95o8PGYmosVGpKyt2SX4&#10;bHz7c/sYyFyW+KWpSEjLD+z4RxmsXWv2N7NHBm8d3anoC1vFzx1r6Tu9q/dPzbcVha7G1yN0lurM&#10;rE7c8kdh/X6U6mHUX7rf3s9Snja8qnNaPLb+Vf5HzL4g/YwsbaHzZfGl4yrt6W8fOe3SubvP2SfD&#10;qIxbxHffL1+VB/Svp3xAZ7y1aCaJYxvHOepHSuW1HTuGDEANk+uay+rylu397PZy/G1lS5ZqP/gK&#10;PnO4/ZS8NhmV9fv2H+8o/pVGf9lDwipBfVL45/6bDn9K981DT0DE7T97oO1VX02ELjYy453damWH&#10;j3f3s9uniE46xj/4Cv8AI8Bvf2W/Cca7ftl9jdj/AF3+FV/+GWPB0iYa+vue32g17tNYLPII4odp&#10;6n/Gqcukxq/PytWMqbT6/ebOrT/lj9yPE4v2TvBjhiL/AFBcHjFyef1pw/ZH8HnpqGoj2+2N6/Wv&#10;aItMZGO1t3rwKtLp5Jzs/lVRo+7e7+8FWo/yR+5Hh6fsi+EPO8xtZ1JCMldt01WP+GOfBtzcNM2v&#10;6xHuYnct1n6DnPavbE00Md23+VW4LHJwqfnWlOlJdWc9SeHlvTj/AOAo8Stf2K/CUxyPGGtICeG+&#10;0Kf6VpW/7C3h9z+7+I+uL67fK/qte36fp6OgTaB81bOm2IMm0j2rsgnbdnn4ipRtpCP/AICjwnTf&#10;2BrGaZXj+MfiJP7u2OA4/NK6rSf+CdljdjI+O3iVWI+9HBbD/wBp17dpdnGrqQvSui0VzC4ZR9a6&#10;YnzlWcoN2jHfsjwez/4JrQOuE/aQ8XR/9sLb/wCN1M//AATViiyW/aS8XSewgtRn/wAh19LWc4bB&#10;JqeSUFTTUVc5pVHLovuR8qXn/BNyxk+Vv2hPF65/j8u1P/tOsPVf+CaFjD+8P7Qvi+XttMdsv67K&#10;+trh/nwxrOv2UqcjPFaczJhK7tK33I/GP/guR8EPGX7HXwB8L+PfhR8bPEn9oah4uTTrxrySJlaM&#10;280vZOu6MV55/wAE+Phb8Uv2ifgvaeN9Q8a31/eJv+1SXV1Gh/1kiDovP3MdOBX09/wc4aesv7Gv&#10;hO6I+78TLZfpmwvv8K4P/ghzZxz/ALNEyyDrO/44uJ62jFTi0zhx0YqtE6bT/wBlfxvp+17zUJJl&#10;Vs7JL8FSfpxU03wf1/Sz5b2isQfv+dkV9Lato77GKJxXL6pphK/c5zzWLjaVjDbRHkVp4WudPhX7&#10;Wdp/2TTZtGUv5rBpI84Zcc13uo6TGXwI/mFZdzpLK+1zgdSuOtEoonU4+bRYvMUbcDOMbefxobR0&#10;3fMq7lHTrXST6WDufa2f5U06Qow3H3cA/wB6pH36mAuk4X7g9Pu1ftdEC8rEOvJC1rQaYqbSZCT0&#10;+UnnNaVppTuw3cDPPNVZRIlTvuzO03RE8sDy+PcV0+heHpOACPm6n1p2k6Qrt+89R+HFdVpGmeWy&#10;hRWke4/ciWfDvhwqyDdx3FdzoHh2IFX2dDzVHw/axx7XdK67SFQKoCfeNdFMcbdDV0LSIyFQJ+Nd&#10;LYaVGozs9O9UdHVFRSq10VntC4I6rWkpNDGjRoscqv5UVcM8gOCq/nRWftJAeM6xFnhex5965/U7&#10;Ybt0nbiui1Mq4YelYt2N67lYc9ciuPmA5nVrVcb0fj9ayrrT/M+YhW4+61dLeRKd0RXaPX2rNe2i&#10;EgiQ53dPpUle91OduNPZOI1C8mojpjhSwPzZ5zXQXFl8v7tdoH61UmtMuplQYI6saA1Rkrp2+Taz&#10;L6mporRDLyMKvG3bV42cfSGMZ7/SpIrNVfCt83GGxQyfe3Kosy0g+Xy1bj5RWjZWTfLG/wA2R97F&#10;SxWexiG+b3q5YQr3XhaBx+K5NBa+XHsC1t6ZbERrux74qhYxKrhwf4vlra09kQrg9eOlAjS0m3Ae&#10;MPyPrXSaYTgisKwwrK2736Vs6dOiV0xlF7Bc6awuEX5RnqDxW5ZTqse7Brl7O4yQV9K1rW+DBUL1&#10;lH3QD4gTK/g7UIR96S2ZV/L/AOtWzLdxPIxAPPauY8eXJbw7Miv975f0Napn3R7s8mrjL3gPyk/4&#10;ObWLP8GnX7q/8JAPqc6bX35+wfOk/wCwZ8H9n8Pw10cc/wDXpHivz7/4OcblRD8HAz/dk14YU8nj&#10;Tq+7v+Cfd4837B3wfkJ/5p5pY/K3SliJaROzL4rlm33PT9UOGK7axb2LecAeorbu13c5rMuYgWIJ&#10;7+lcp6kW7aGNLpwHzOarmz5yua1prcZLBaj8hAOVrGWrO6noZXkFW+ZaURqTjaPyrSNmCcgGq72X&#10;zng9aza7HoKdupUW1A//AFVKlsQcGrv2HHRTT/sSnk1Jp7SXcppbuGyUq5bRFzgrTxaKeOasQQAN&#10;nZ0ojAzrS5tLj7OxkAKDb1rW01dkuJB/9ao7S1RI9/8Ae7elWreCKNs4+971tGJy1Je7Y3tKjjLD&#10;e3HatyywiBkJxXP6JLxt2/drctnBX8a2OORuWkqtGoAPFXIZgGzz6VjxXGwEirUNyrpkmqTMZRua&#10;y32yUMh4z0qjc3LvctL61H5zdmqN5m3YLCqjUlG9jnqYWjWtzLYjvZHbJWse+mfpIzbevy46Veun&#10;LO2T0rOuyCW+tZnVCmtFYxrjl/nZjtX5jnqPSse9gSToD3rZuF+8frWdcICOPXpWZ6EUo7HN3tmR&#10;MpL/AHd341Tltg3uvpW1f2xLZK1W+yJt3YrCR3UZNIwJLBo287HP9Krz2pd+UyPStq7gUqSq96jk&#10;slbkjG5ay5VJm/NfUw1sEVmZSUz71aitFLYLNUwtnXJqeGBm+Yr71XKjJ1LMgjscD5W71aht0iPz&#10;DPripYomC7itWI4mGPkqiZO8bj7SIRBWFa2mJu7d6o2kQ3Yb+9Wjpw2zFR2raOxwTvc2dNA3Y461&#10;s2YVBnAHHrWFbuVb5TWnazDACNW8Wjzq0dGzbtrny8fPUzXuDnfxWP8AaWXkSf8AjtCX5L7WerOF&#10;GhLOrtnNZt/ceWWD+napGu03ZDVl6rdrvZvbP1oNORXufnP/AMHLTJJ+wxocxAIj+JViTu/68r6v&#10;Of8AggzIs37OtzBJ8xW4kIDc4Hmyf4ivRP8Ag4+P2z9ge2mb5RD8QtOf/wAl7of1ry3/AIIE6gl1&#10;8DdSSM7dl5IPqAy/41tSu6cmu5w5l7sqbf8AWp93atbJINqxhT9K5fVrE5Ye+K7G8VjLkpWDqtrv&#10;Pytt+b65rOUnc5VrdnHXlk0mUC/jWXeacynZtB5645rqr6yLPgn7vt1rNntArM6t8rdaVwOZm0yV&#10;xjI5Hfio00xhLsk5xxjHU1ufY1Vi4iJb/e6U0Wm4bmjG6rjpqiYy0MmKwkV8kd60LK0kcDei8ctU&#10;y2iSHbsOOvetC1tFB3AcsAKL+RUpdyTTNNXf6Z55rpNJtViCs2D2rLtbcJty275cZNb2nqI1VcDg&#10;itUoqnoBuaZsbgDGK6TS8/JsOK5iwZQuSP4q39MnQhMD7vvRRn0YHWaTPtTa57VtWV5lNpkOa5Gw&#10;vTjmtW11FgOT2rd+8B0fnt/fWiscagAMbv1oo9mB5zcNuOFbrzWfOrIuHHerN6VT7jdBVOfL/ePa&#10;vPAz7sKx/wBkdKpPGArEGr1xhvkK57YxVV1RcrtxQHN5lFpH2fMvfpikuImlKuP7vp0qw8UcvAPS&#10;mLAp4P8A+ugLvYqrCiSHYo6/LlqmhikZhiLbg5ztpzwIDt8s9eMCrUMZChS3egrXqMhhY/PJVu3g&#10;C9FpIoRJFnd3qxHBJt2sP+BUGfYnsYkKcoW561qWaKOT0/lWfAiwjktV+2b5RtU/40Fe70Ne1Uhs&#10;Ia0rKZiMnFZFlvU4JNadtlV8s9etVEDWtZpEAZWrUt7kvHnd+FYEMh5VW7VbhuGRAxZsiqAk8W3M&#10;j6csR+6blN35nNaoupjEqg/LXNeJ7vNvCrE7XuFH51qSTsIFXJ3elAH5a/8ABzawOnfB1/lLLda4&#10;PzGn/wCFfc3/AATiuHm/YN+EqltwHgXT9v4QgfyAr4V/4OX8nwx8JbgbvlvNYU+gylmefyr7d/4J&#10;m3guf2BPhLIvRfBNmucddqkf0qajulc6svl7svU9wuJW3MvFUpY93zE/xVYnctIeajAzwa529T2K&#10;ZXNtNOSsClj/ALtR+UQwjMfPHXqc9K1LS5gszl4nOM42seD246fj1qrLdI80dxLZjzAMySxttLN6&#10;+34VhUbjqae0nGdktCqbW4U+ZLDsVv8AVtkHP+cj86F0zUGLFLBvvY6Hnv2q/cX1vqGI54JMxcxy&#10;IowTxwfbipbS6srRFhKyMsfzN8qt5jbcd+g4/WsvaS7FRxFZxs1qZYsrzzhbGFvMZgNgj5Gex5pp&#10;gmRtroVb+6V6Vp2cv2DEkaAvuyXPU+1LNcw3NwJWg27W3eYv3yO3XijmN5V68ZaLSxTlsby0YNcQ&#10;FQ24L74OP51astKup4/OFsxXPUVan1eO5jWGeCZY1yBtdfmyc+lWNJvUi2xSW7eXu/vZPT9ef09a&#10;OeS2Rl7esqd+XUI7RzxEjNt5YKtTPazQv5ckbKenK9adaXMNld7oFbG5Tk4+Xn06Grn2i1c+aLd1&#10;+cfMrAZ+oxjNbc0t7Gcq1bm0joFhBdQwrKYWCn+L/P0rcgDlPMEZb5sZHSs+01OPGxo5F8xSMiQZ&#10;5z7e9XLO+RYdu35d2eW/+sKr2suqMuas46x1LsNwRwsYb3qwJii4K1ShmRG3W+49+ammu0kJwD/k&#10;1SqSl0IlOrGSXLoTieQ9DSGSRmIVs4GT7VVSYBskNTmvYUBzHJllK/J70+Zm0+bl91XCdmb7mWJP&#10;8NUb393JluPrVie7g83cI2CgAKpXn61U1CaC8bIQ/KuFbaM9B6U1J82q0CEq3tFaOn5GfMoI3Bvv&#10;HiqTW0rfNFGzL1LbTir0kasu1TwNx/PtSR3LW9uyLHu/d7frzn8uKzu7aHVUqVYwvBXZjXem3UoY&#10;JbycLn7lU2sbm2CpNEykkj5hj8K27m/e2uZ7hY22zN8qgn5V3c/l/Wqmo34u38yJpkZGLRnI5Jx1&#10;9Olc/M5XuTHGYlVFHk0MiS0KrvkhYL1zUAsZbj54rdmVeNyjitiW+igXeon84rjzPM5J7knPP5dK&#10;jt9UkiiW1dXaNXzu2luML/UetD91aHX9Zrcl1G77GK2nXTS+UbR84yFCkHGMk/ShrZ0+Z4GA91OK&#10;2pdRSK4FzbwSSbYFRd2BxjkkHNRXN9bXMEKiERsk29isKgFcdMDg9PSiL5omX1qvzK8en4mekLRq&#10;rmParfdO3g1ZgsrmUNJFA7AZOVXt/wDrq/8AadMaGOLMxWPzPL3RDksOn3jjH+RTtM1G0tYWt5VZ&#10;n2kj5e5HSiUvd0JqYqtyNpFKGOUqylWHl8/dq7CHt08xh7cjvS2V9a290srrIdzDzGx0H0HXp/jV&#10;r7Zbu6nfN8rZ3bQQR1781rGp5HPUr1I1LOOn6klu0gi81lwGx19cZ/rVy3nePonA746VFPf2Lxnf&#10;5gX+H5R/sj19FFLFqVolv9lUsyt95jGB/jWsankcsqzlGziyd752OAGqF7uWOXDK1Ja38dq/zuxj&#10;5+bH0qO6u3nYuPlXdlPeqjUlKWplZylZKxML5jWdqd+4+elmuWXq31NZeo3QYbc1o2axj3Phj/g4&#10;YQ3X/BPa7kKj9z4y0yUZ+sq/+zV4t/wb9uf+FKa0CeuozD8xETXt3/BwFA93/wAE4dfMR+aLxFpT&#10;L9ftAX/2avBf+DfS7kl+D2uW7KP3eqSru9T5cBrSk5crseXmkb8h+iFzE0h3hu/zVm31vjLFu+a1&#10;ZPM+cOuPSqVxDC7YkLZ9lokcpg3cCyFiB2x8vaqEtpufjn3K1u3VoSGfnH9aoTQoh2Rj8akmW25j&#10;T2Sqxdhx/OoWjCthFHTPPataS3B+V26VXa1wd+2quEV2KUNsC3zDduH5VNZREPuKbevFWY4SzjYn&#10;T7xHpUscaK20L29KqLI5XLW4+2YBwy1rWjODubGKzYYkViea0IGUxdccc0Sl0RqbFmQVXBrSsZyC&#10;AG9zWLadNqt93kVchmMbYLUQ7gdJY3BzgvWhFfkHZv7Vy9veErglhnpWhb3hwAJB93mto1OiYG59&#10;rm9aKyPtf+0f++qKvml3A5+SXL8moXlAfBNJLv2MQTUOfmyTXEA25K5YKP4qpygvMdw4q08chLyZ&#10;+XGaj4YUJ6B0KzRHkKO9SxRIq8x/NipURc9QeKV8HjJH0oDzK8S53GNeQfyqWOD5tjL2yKWOMltk&#10;eBxz2q0tvskVs9hQ9hScraDIbaNF2sanCKE2rQ0YZg5qSJcvgrUxFG+7HRKcqr1oQL5YyGqrCqg7&#10;2HerkYjUqrbeR6VXNfQqyLlsTwSOvWrdvdSlmbb7VSgc7lCGrCM6/wDLT9aOawGhaTOSWbirUUmU&#10;G5qzlkkQHA/KnxXDYUZqpeQB4lkLi1i7faVz+BrUeZ9u5j/Eawdckke+0+MH718g/wDHq1hIRDhi&#10;fvURA/Mj/g5VkEnw7+GTJj/kMajub+7+7g4r7I/4JbXTTf8ABPT4ThWyU8Jxqxx33sP6V8ef8HIk&#10;G74S/Di6VR8viG9Xd35iT/4mvrT/AIJPzGX/AIJ2/Cs7m48PMpLd8XEoqamx0ZdTbjNX6o+inRc5&#10;x1pUjQjOKYhJ6k1InSuc9qnpoNkjZjwePSq7DLYRfrVgyFJc9sUC3Vj8ves5GxFFE0m5wG+TsOmP&#10;Wp1sZXDfZ4t23mQr/OtTw9afZkuhLas0clv83H3jk8CrGlafCVm+VrczWrBYWbc/+9ispVIxlZnP&#10;LGezlJLpa3UwPLuDGsnlttcZVscGnLbuhwCOOhrT1KG2+xwKbqZ8LlFaEKuPeqYglH8bUR95XN6N&#10;T2sOZkcVvhcuoJzVi3jCDjjbzV/Q7C1urRzNAZJI5FGPM2/Kau3ek6dBtY2ki/viuxW3bx+HSl7a&#10;MdGZfXqVOTitzP2lVV5IMb/unHWrNhECm11Nac0cd1ZMsEEc0kYxFEvylP15rF1bWNL8IaXJrPi3&#10;WrTTLG3XdPeX06wxRr3LOxwAPetKdTm6Co4r2+j6GgIowQQv3elTQuQvzsSq+tcn4T+NnwZ8daiu&#10;j+DPi/4W1S5IJWGw8QW0zN9FVyf0ruLC302GYyNexXBX7vzYTP1rSUoxWo6teFNdxR5kR2EMvy55&#10;FKjlRyTViW4WZRJemGQFsDy3O5R6D1ps2n2oh+12+o7l67WFZxqX0ZlHFQlZSWv4EPmH+9TWuQzG&#10;NW/h/vUhcEbh+C1o6dcWM0ipHabW2Nubr/8ArrST5Vc3rVPYx5krmWS0xxvYMo5HpULEjpWpplza&#10;rceQy+c84IeRlxio5re0tQyyWDMsfdZQWqPbe9Zoxji4xlZp6+a/VoyCMA81G4+Ukmp38tpGkjTa&#10;nUKWzgelRwYaVR9l83OflyRVXPQ9p+7cyhdxyNEs+1tp4qpPbyiNZhEyq3G7FdTOkkVqn9pJ5MYY&#10;/uY49xK+w64981FPHez2kcVrb29xGp+ZRlc9+FJz+Nc3tdbHD/aUea3Kku9zlfIAG4tu+tIYowc7&#10;au3dq8Fy2+1aMMSQrr0p1naW9zcbZriOFVUtvf2rWR6Uaicea5nXEan5U+U/SqjQyxthlY/hXV6r&#10;+7jttVC2twWZgNq7Q3HfnmodJ1GTUdQkhuLK1C/Z2dVEI4IxUOXLqcksbLl51G6Oft1Lf6yPaM1Z&#10;WKPrj8akvvFliYo9NuhYQTTNleVUtz0Hf0pVTaMMKqHvmtKtKrG7Vhq2E0iiWO3cqzYDBWqUWt5F&#10;9+3kH/ADWnpksf2GK3RmkKyM8kcMe5gK0TeXUCtPNab2YYVUV8jIA57ACiVRR0Zw1cdNSceXY5+V&#10;JERQ8bL9VpvbFX9X01It06XNusMedoMxMjccDGeD+FZgYkZzW0ZcyubUq3toXLBYhc56LUbTs3LZ&#10;/wB3tTN7f3jSFioyKo0GXMoMZB4rJnO3ljWldNmNmasa9b5Mq1FzOZ8ef8F2t9x/wTf8ZOv/ACx1&#10;LSnX6/b4R/WvnD/g3uu43+FviRFYnGtSY47eVBj+Qr6U/wCC3ERl/wCCbfj6Qpu8u40luRn/AJid&#10;qP618uf8G9smfAniq3QkbdY6f9s0/wDrV00dYM8jNPhh6n6Xz53Nmqd1kMCKtz4Jyz4+Wq0yhhhT&#10;mlc4inMNw2VQu0SJ9oT3+laMindmq1yqs2AvzUAZTRs3LfjUMiNlcDpWnLblkZc4zVR4imFK0Eyj&#10;zashjWRQTkdKkSLL8AmpBFx0XpTUJjbaw5zVbByroKirnJzjuKuw7WXGOlUUSQ5I4FW4AyRYZuc9&#10;akI3W5ehJCbl9ant5nZ281qppJtGOamSUFsngdqqMuhRft7hlbYw6VZjmjQ5Gen96stbhflZn4zU&#10;qzhzt5GfatLxtoD0L73U+75On1oqriUdCKKz9qP2cfMhLNEOX3ZpjOMZKZrG8T+OPB/gey/tPxn4&#10;o0/SYNwUTaleJAhY5wMuRzwfyrz/AP4bi/ZCTUZtMuP2mfA6TR8SBvE1sAv/AAIvj8M59qzdidz1&#10;Y7ghG7PH5VH5eArDufmqj4Z8UeHvGGkxa/4R8S2eqWE67obrT7pJopB6hkJB/A1fZ8ODt4/ip3TW&#10;gS01JBErOpB/hp7x5OCg9d2KhRWBwFGKlAAXbJxg9qgadlYQxqrBsfpUgXc2cmkVUUbUqWLl8sKA&#10;BRtGKmCLtO1ecU2JNoyW/izUn3hszQBIImUYI7g1diQbdxH6VUjXGDkVcj46jt6UASqABwKnjHGD&#10;VbOOQ+fqOlWFXccVUQLEeGOFanoMSKahQ4GCakh/1in3q0wexT1qUvqmnxqOftlazNnaQeDXzj/w&#10;US/bt+Hf7C3w903xr4ntm1LVtRvvI0PRLeQLJOygb5TkgeWm5d3OSWUdyR+NP7TXi79vf9tDxHef&#10;E/4la74g1DS9QvHuNI8PrdSfYtNjP3UggDbV+TALbQz4yxJNKVanSjaTSv3DD0q1ZtRi3Y/QX/g5&#10;AhRv2fvAc2MbPFky8d82zn+Yr6f/AOCRchk/4J0fC0kdNDmH/k7cV/Pvr8Px78J+G1+H3jjUPESe&#10;HYbs3UOjXl1L9jS42bfNWIsUEmzgsACQMdK/fD/gi54i0TXv+CcPw8h0fUYrh9Pt721vkjmDGCYX&#10;1w3lsB91tjI2D2YHoRWcqkakdNT0sHh5UZS5lq9T6oH3/wDgNWowNvSqbH5twqzbsNnzN3rM7k7E&#10;m1f7o/KkCjzVYHG005Y0l+YFTRt2fLUtmhqysWtbcx6zHDst8Ohc5478U9prNNTi1F9WVlhtwPlb&#10;LOec/gayUK7cZpfu9SKxlT5jl+q+9fm79F1Nu+0201xVvrS/EeF2/SsmSDy5Gj37sHG4d6jUkcBq&#10;+TP+CqX/AAUvtv2HPBek+DPhv4dt/EXxK8XzLF4b0W5t5XhSIkq1y2zAfDBVEe9WYvnopBIQ9nG1&#10;9DSnTlSVlJtdEfYOlXosYJohbpI0m3aG7YNamnatLdXkUE8MKBpd74XAJ96/G2f9oT/g4O8S2Nvr&#10;mn+I/D1v9tAP9lwafpfmWyn+FleNip9ixrU+Hn/Bav8Abm/Zp8ZWPh39vD4GWs2hy3ghutXtdPW1&#10;utoITzUaJzbuRz8oRc9NwrnjXwdWTUJpv1NauFly88qTXm07H6yfEv4leFvg18PfEnxW8d6zp9jp&#10;Hh7Rrm/vriMDescSF+OeWJAUKOSSAOTivx917xJ+3X/wXJ+ME2saVPN4R+F+i6gYtFt5GP2eIqSC&#10;cKB9pudp+djgIWKggZB+uv8Agsv8SoNb/wCCftvJ4CvlvdI+IHiDSbX+0IP+WljLm7jlX03tDDj2&#10;bpya7r9lPxb8Nv2fPgz4d0ye70fw/pel6VbwiS9u47dVIjUsxLEAsxySeueTXDmWLnhFFQ3lfXsG&#10;HwNP2knL7KT9T5l0j/g3q8Y+HGk13Tv2idc0ueHa9nObNWVH4ySgIJAI4w4I/Cux/Z5/a9/aT/Yi&#10;+JcP7PH7WH9krp2qTGLQfG9xqXk6deBSvJaQny5Sucq3I4ILZzX2bcfti/CN/DbeN5/ivpt1oqoz&#10;SXlpeC4i2jrt8vdn8OtfG/7fHif4E/tx/BXxN4J+GWovf6lptt/aWkyPo1xb7JolL5XzY15K5Try&#10;HP1rlpY3FRlFylePXRXXmbzwVGtTvCNnuv6Z+kGg30eowWuoJr1rcW88YkikhkBWRSuQVIGCCCD1&#10;5qjLKrzSSgfec49Otee/sqSXEv7Lvw3mu71riWTwHpDSXDSbzIxs4iWzk5z9a74nb96voqdOMJXR&#10;z0qMYyb/AOATp90Z5qzow23v/AW/lVFX4wr57bRTWOe+PxrSWsbG86fPTce5b05v+JpGx56/yNJq&#10;N/F5swNhAcyHnJqqeOrY/GmjaUyKx5NU7kfVY1J8zfS3X/Mafu0W9zeQt5NpceXuOOg4z3z2obaQ&#10;f3meO9QsRjGa0NuWMo2ZrbLiKSA/aFbtcL9oXk9jn3qveW1xFaowullusAtMZx+75+6Oef5Vmy5K&#10;ED9KhIkH8RrCNFctmcTwML9Pu/4It/dXmosst9cMzLwF4wKigwF4HQ08kjqaUcDaO9dEfdiehTtT&#10;jaKLV0+lQ6PB506s6ozKvb1yfYCvyT/bw/4KsftLfH/4n6t+yl/wTh0LXLdbNZ4NY8UWFuftt1j5&#10;GSAn/j2jzn95/rGO0jYMhv1S8TzNb6BfXafejspSv4Rsa/Pf/glL4e8C/DrQ/E3j3VGtbPU9U1pp&#10;NQ1C4wpjjUZ8sHHTc5JHuvYCvPx2IWEwrla76L/M5pYfmjyuT1Z+d+qf8Er/APgphrFwura34E8T&#10;X2oXiu63FxfNI8a53bmcscE8Hk5rqP2ef20P+Cj/APwSm+IWm2/x8TxFqHgG5vFi1Tw74lma4j8k&#10;MAxtpHJMEgXJXadpI+YMBiv3Nsf2l/gYvhibxGnxL0ySxtm2z3iTgop78/h35r5C/wCCmOr/AAu+&#10;P37PGuaf4en03WorzT5JbJ44d0gb7wdAwBOMdR0rglnNaly+0ine23mOODUtIN3S79j7c+C3xH8B&#10;fFH4faL8Yfh94tsdS0XxDpcd5YXVvJuV4XXI4wdrccqeVOQea6QXtjcyK4uLfg9HZf8A43X5vf8A&#10;Bub4n1a4/Y98SfDrU3Zk8L+Op4rPzGZmjhmhikCc8KN/mNgdya/QUt/Ee9exKj771OSnR+s0lUk9&#10;WaGqaTcySXGti4tijNuys2fYDp9KzX60zBI2bjz/AA5/pShgRkGtIRlHdnZGMqcbN3Cgc0HO3OKj&#10;3Dpmq5k9gI7x/kxjrWXcAGPkVoXcg6KRiqMw3DaDQB8lf8FqY/M/4JrfEoqudsOmtj6ana18jf8A&#10;BvjcbtB8XW0Q+WPUIi34xD/Cvsb/AILMW4b/AIJs/FEkbiun2LBfpqNqf5Zr4s/4N6rkXQ8bfu/L&#10;IurZvzSX/Cu7D6wZ4WaVF7OK8z9RSM9RUMwAbgdqlXOOaRzhs1HkcUexRbrUMy85MfH96sL43fGX&#10;4e/AH4X6v8Wvinrqado2j25kuJm5aRv4YkH8UjnCqvcn05r8dP2lv+C6H7Yfj/xjcT/BjU7LwLoN&#10;rIRZWdrYw3lxNGejzyzK2WAxwgVRzwetU30L5ZWvY/aKRVLnI6LVWfyzjEfv8tfix8Hf+C9n7YHg&#10;S5t9I+IsOleKbNZ8yXeoaeIrplbk4aMqvXn7hJHFfqH+w9+114f/AGwPhN/wsLToIYZorxra5toZ&#10;C3luEVucgEcN3A/Gkkc0vdav12PYEj3BlyP+BDkU3ADcjtn5qtgcNz/47iomaEYYnvQbWIY9w6Mx&#10;GeBVhGWTq2MVGxhc5DD0qRWKjYoX5fvZWrbJ5eXZjgzRoTyRThKMYXuenpUYPm/8tT8p+52FKMOd&#10;p6eqip3C/LHQsh9/3VAA9utTCZpSqK1U4ZFEXzSdKlR9pyD04pFRfNG7LI3kZ3mioDdKDjY3/fNF&#10;BR+AV34l/av/AOCknxBuPEXjf4hXl5C0heRfNaK1tFZm/dxRBsIoyemTycknmu40T/gjr8d9cWS4&#10;0T4iWLvEu+C33P19yB0J71qfsQ3Nt4N8O3HiQxqtmy/6uPc2dvoMZJr66+BX7bWifDi8fUfFHws8&#10;YR6TeLsh1WPRYpoR7sBMHUcdSuB9eK+RxGY5l9a5IfD3sfYYfL8teFUpr3vn+h8Z+Bv2c/8AgpV+&#10;xj4rbxZ8MLu8hksWFxKdD1H7RFMFHKy27ALKpGflcEcnFfrR+w5+0/B+1v8As8aZ8VLuzhsdajmk&#10;svEmkxNj7HfRNh4yGO4ZXa4zyVcE968F+OX7Vfw2ub61tvBGjeIPEF5cQrK0Ol6WkaKjc5LySgdB&#10;07nvVr/gltpFjpHxn+Lmp6NFdWtjr0Gk6iNPuF2mCRmu1kDL2fcnIzj65BPoZbjsTXrSp1Ulpo11&#10;PLzTBYVUVKk9t/I+1IcEEGpNiyfeFMTYeUFSRq30r2r21PB5eoiKTKXYYUdKsRjzv9WOg+aoUILj&#10;DbqnUFWwO9Nvm1KFCEYDn3qTCs+4cYYfhWT438aeFvh74XvvG3jbX7fS9J0u1a4vr+6bbHDGvJYn&#10;/J/Ovzd/aQ/4OGLDRtduPDf7LHwrj1pYZmRda8QK4jnAOMpBG6vgnPLMDjqtIlyjeyP08VQr7gfl&#10;7N681dU5UH2r8hvhN/wca/FjT9ah0z45fAPRr6zaTE0mhNPZzKv94ea0qtgdiFz6jt+pnwK+OHww&#10;/aN+GWmfFn4P+KIdW0XU4d0M0fyvE44aKRDzHIp4Knke4IJClCVuboddVqOq4jc8AVOjAUERi4j6&#10;kiO1efWo1YE9KcWB4q4juj8sv+DgDwHrnxD/AGkfgn4aFwsem3VhqIkmk+6hWeBpB6Z2AY7npT/A&#10;ni3SfB983h290rTVt449rWTanIl0ABzJ5YiKqmBn5nUkDIzXu/8AwVV+HWteIPGHgTxrcp9p0vS5&#10;Jlt4VhXNtdEZZyTg4dBGAM9Yc44zXnmoQ6RqXwyun0nRdPutVe3zb2t03lB1bAb5+cErkZx0NfM5&#10;vWhKvyy6bH1WRUa0MIqkbe89Tjfi63w38YQtpUHhbRrpZn8t/wC0NXCTTArgrAoiIc4xksy8kete&#10;t/8ABBzSPEnwyn+NnwInuGm0XRfEmm6vokhtShAvYZlkVj6gWsS/UZ/irhvB2ox3k99cfELR9C0+&#10;bzFa2/sXVRe7mAAJJ2qV6Dr2A9K+pP2BND1a58ReLPHkOrzNpN8ttbNZNGPLuLkAsZ92M7lj2L16&#10;OOMYq8sq01Pkj2PRx9OfK6kraH04MnoKk2722jOaahx1p8cih9rnjb04r2meFKUebUu2GnSsFcSo&#10;N38LOM471Pf6c9lK++VdochP9oetR2mo2rIIHt1hjIG6SLlzjtz2qf8At5BdXReFZY5pCVWRenvW&#10;fvdEYqVTn02ItO0oXTtMkn8ShgxxkE1PqGl/YARuaT5mXc3HQ0WmoW1uVeO02t/z0X5vyB6VJLrG&#10;m38axX8Mq7Fba6NuJJ9QfWleTnsEqlSVS/QZ9k02aSK3e6O6Tqqxn+ea/OH9vL4R6b4q/wCCndv8&#10;UvFZkeDwH4BsU0mOaM7TJJLeO7hT3/eDntj2r9G7O8tLJfPiRvOT/V7h8or4T/aG8O+LNA/aE1y6&#10;8b3kmrx3zf6HNdRruNi000kcOAMbUEhTuTg57Vx5lOUMK0uuh6WVRnPFKU9lrqaXwz+NnhzWLmG1&#10;nsbrTZJP3lu95JbOZgBliFjkZ1Ix0YA+1ea/tNRfDL476JdfDvxHYXV1a6krW9rfXFgBbyzYJDJI&#10;CcFWPB4ycAHNQ30nw5+GfiH7V4I+BNy3mqTeXGjwwC5Mnl4HysylUxsBIJz3AC5rJ0HS/g/caXH8&#10;Sl+Hn9m65PtikXZEGO0cb/Lz8wzypPv6V8tTwvLU5tj7Spi41KThZNs+hPHHwtvvGP8AwR48H+F9&#10;cst+qeH/AAP4bkgZYwzGez+zLvHuyq4PqHI71zPjT4K+Kfidp9j4y+Ftzo91rNnZm1tftnh621IQ&#10;sfvSRxXU8UKuePmYNgIOCen0N+zhDq3xA/ZFs/DXiXSY7SaWwksrGOMFQLWN8W7kNnLFVXnIU9Rw&#10;Qa+UdU8cfEH4e+FLi08B3rWV1IWjmYx/NDzgtj+8Ovrn3r1Mw9pzQktkj5vCwjVqVL9HbyPWvhf+&#10;zF4at/hN4gHxA8Q2MPii6a3SG80O3tbb7LNHI24xRxAwh8/fADDpnDCsfwT8FvGfw40S78XfFL4l&#10;ap4gWXd/Z91q/jJNUEiv0CbbWIRJj5Qqkgc5HGT813uqfDzxbrNlrz33xcWOxWNG02zumV2eNixa&#10;3SW6WRFZ8udqAOSfx9M0vx7pfjLbY6DpWqaLpW/zm03WIpElDMAT8rc7WPzD3Y+xPnz9pSknfc9K&#10;Xw2v0P0G+DOjWWnfCvw3otrtSO20GyggjXJO1YUUdPYV1UljCrv87fK5Vi3HIrB8JLF4A8C6fpN4&#10;6wrpenqLy8kwCoRcsSfQAfQV+KX/AAUt/wCC4n7TP7SnxI1T4bfsKeINW8OfD/SL5rS117SiFv8A&#10;XJzJjzlnVfMhjY/cjjKlk5cknav2Ef4cVtsfI4mrUp1n6n7k2MSXf7yKRWj3KNysOMnG7NSXlmIW&#10;wilVVSWEnDD5sf0r+XXw1+21/wAFL/Aev/8ACRWf7QnxUtbyYs0s0viq+mS4+YA71kcrICVH3gRw&#10;a/Qn/gmp/wAHEHi1fHVr8C/+CizxzW1/cx22neOo7RLeS0lYkKbwIVRoc/L5ioXXOTvBymk4yjH3&#10;Wn8zP6zWbS1P19tIluvmZ8L/ALtTXmmpLH+4upDn+HcCRgdetQJf25sZFsVY+a25W3ZXb7fhVZiz&#10;Jx8rdf0rO8nujp/fVJX5rJbFyC0a5ZRcBflYI23riobiy8m3WePhfL3t5mfWnQahHAFCQZkXG5t2&#10;Axp322KRdt1YK3GPlc9M5qZSknorik8VzXWx5X+1B+1p8AP2PPhhJ8U/j141XSrdrj7PYWMaiS51&#10;CbaW8uCIfNIcDk42r1ZgK+efgh/wXl/4J2/HLXp/Dc3i/XPBdwiM9tJ4ztIYIZwuT/rIpHVcqM4b&#10;bzwM9/y5/a01D4/f8FXf22/G/i3RddWz8J6DrEmheH5rqRvs9lYQSOIkjQZ+dwGmfHG6Q8jIqxqP&#10;/BG7+xPD0c+r/F+8vLyRSdiWQjQ9wFG5zjPXnn2rlqY7C4afLUqa9tdAhQzCvrBaev4H7dfAL9r7&#10;9mX9pfWrrw18Ivi/pesalYqz3GnWsw84Rq4TzAp5KliACPUeor1C+s44BIwlddvKLIvOM4r+av8A&#10;ZFPxG/Y7/wCClfw18NaR4nmtbmHxxplo19HMUWW1uLiOGaKTpuUxOwZTwc81/SoZrK4iBv4JJriO&#10;MKsqttV8Dg1083toKcHozCNbF+1aktE+nQZe6Dp+p6HLFcTzYuLdk2xxjccqyke3t718E/Bn4eye&#10;Bvg0t5pXimTS9Q0u6uIYLe8jiEkT+awkDqVYbyDgliwBHAxjH3zb3UQt47V4nZI87l8zbv8AmLAZ&#10;64FfFv7RNhefDP4ha9bWF09iuqzG7hfaNpWRjuYH6gnPr+VePm8asaKu+v8ATPVy+nKtUaqP0MfR&#10;P2bIfF/wO8WeJZ/iWJptT1/T7lZLbSoXuMxk+eqDygJixH8CJ8y4Ibvka/8AC3S9T8Mf8JV4r+IX&#10;inULi2t2XRZtahg8lsIw+Qw2luNpGAVIfOOp5B8a+OWsfDvxL4m/4SCD4M+IrjT9BhhEdtqnxGXS&#10;be5aPLhooZXLNuZixddpZ8kjnJm8T/tAt4i04eJ9S0rUvDNvfRKw8MahMrIp7ygozDDZHHUnOcdB&#10;4kp1JRS3PU+rxp3dvyPfP+CHnwwuPBfw6+JlrLDKtje+PpbmzvrnG+QsWTawVFChUjQjHBMhI9F+&#10;3r/SbeICZrnavyKPx614r+wz4Nv/AIYfAPT5dS0kW91rlvDfeT5m8KrxRspZWUbWI6gjIOc5xXsV&#10;5rrSW8ds80fCnzNyj5snjHpjpX12FeInRUqitofNVPbQxHJHSKJv7Gt5Eg2X/meZn5Vx8wHGBnqc&#10;1TvLKLT/AC4lb94I90q+h54qSPVbdoYFGmpJJDkKzZOcnOQPanyajaXFs3220aSbdnzo2wWB9fwr&#10;XmkupXNiPaau6GafpX267SBrqDDccTAtVG/AtwscU0cmd25g4PI9Mf1rSbX2jXyoYZvlwwdrognH&#10;bgdKo6neafcQeelnJFMeXCsNnuacZTb8iIvEKreV7fIzZZE2YZsV47+1Z+25+zr+xv4di8QfG/x1&#10;DZXF1GzWGj248y9ulUnLJFnOwYPzthPevRfiH4y0/wABeBtZ8eamrfZtF0u4vpwrYJSKNnYA+uFP&#10;/wBavx2/ZV+DWof8FJPjH4k/aV/aCma8hvNSYwW8wJhHJKxICT+6jTair2A9RU4rFU8LDmmd0IOt&#10;Lliewfttf8Fa/wBlX9r/APYa+I3wy8G3mraXrGradCmiafq2nlJL5kuoZMKVLJ91CfvfSvPf+Dem&#10;Rk1bxxprr8yvZt742zD+ldD/AMFFv2QfhzoPwgl1fSPD9v8AaNHsXnhurWxEbRRpyVyOoIPvXkH/&#10;AAQZ/aB0PTP2nNZ+F2pfupPEmk+ZYyTSDc89vvbyh7lJHb/tkR1IqspzGnjYOyseVnmGdCCu7n7F&#10;YIPIpkh5pVmL8sKRjk5Feijwoye5+bn/AAcMap4313QPhZ8G/DA223iLWLyeZWlCrPPD5EcKt7L9&#10;qkPPHzcAmvDvgX/wR4+Het+Evtnxh+I2uXV9tzImhSQ28UXGSv72J2Yj1+XjtX2r/wAFT/g9qfxG&#10;1j4X+LbCWNF8N6tfSmSSIOEeQW204wckeWWweDt+teOwfBDxnd+NrfWLLXdLt/tFzG32y1hzdMrM&#10;N25yOfl3AAnbnghRyPCzbHVqMlClK3ofWZXg4VMOqlSClfb72fNf7QH/AAS++A3w81GSTS9b8RNI&#10;Y/8AR1vtVhZSegOFiU/U9jXff8G/MnjXwt+0T8SvhkEmbQofDiz3xkLEJdxXUccPUYy0by+5CD0r&#10;Y8QfBhbs3+oaj420+W7tbx/t001rC17KEOFbftEikgdmCjsuMV33/BIjw9qHhT9o/wCIMllJHLY6&#10;1oUE803kjcJreVETJHGCJZieOfl461nlWKxE5tVpuV+/QnOMvj9W9pTgo27aH6BnkYFRT/IFyN20&#10;ZzipvqKjkYMd0bfhX0R8zF6O4xiWdSqhs07O1sE8j1pm47NpUBs5NKTKidBj+7TRMdIsreIfEWh+&#10;FdCuvEninWLPT9NsYWmvr68uFjigQdWdzgKPc18weMf+Cw37HnhHxEdChu/FGqWodVbWdM8MStap&#10;/eOXKOyjsURs9s1xn7afjzUviT+1fY/CbWyjeEvBel29/c6ezfu7jVJtzpLIOjCOPbsU9Gdz1xXG&#10;+IdA8Ca7pEzWt9pTtGuWj+1RbYcEnDjjZznrxXjY7NvqtXkhHm7n0GAyT65T5pzs2j7c+Cvx9+D/&#10;AO0F4R/4Tj4N+PLHXdOEnlzSWrMslvJj/VyxOA8Td9rgEjkcc12oZmfAP4Yr8kvBHxuj/Zl+K2l/&#10;FrwPewRpDeLBr0Okzo0N9YmQeZFIE+ViFyyZ5VwCO+f1miuEcrtbcCM7s8c813YTFRxdLnSa9Ty8&#10;VhZYGv7KbvpdPyvYsm5YHHkf+PUVEJnIyrfyorqMOaJ+L3wR+Hh8PXX9mR6hcpaXEjNC010QqI38&#10;LY4zj1B6dK+n7/4IfAPQNKj8Z2yQ7/syy3i2d5cXUloWIG4uka4UE/d2scDkkZxyPx4+Edp8J/iz&#10;rHgMDzIbSSP7PIV2mSN0WRTgezkcelWvCfgi41+1h1Dwl4p1mxuoWzNawzJ5Mo9w4yD6EEYr4Gda&#10;tzuNTe9j76jWo1KKlFadPQvahZ/snfFk6ZovhuSDVr6O0hgvF1SwuEaAW4K+cxaLAYo3IKg4Gcdq&#10;+jv2G/Adz4X+JGuL4fks5PD8GixQRtaqrhZWkBTbJsVtpRWyvAyBxxXgeueEfHms6lDHqWr+INPt&#10;4ebqS6kjmMyiMLsBMsgC5G7PDc46V9NfsAeFbjQ/B2ueII2mWz1PUESzjkP3liU5f6ZbHp1r08r9&#10;pHGpdLO/6HJmk6P1GTW59CRJgceuKmCnzAg9KhjQjahPfrUiZBGe1fTnxt/d0HDar5I71NGjEbiv&#10;TvUKOC2CvU1M5MjmRVGduADQuwLl6n5l/wDBxJ8bvHuhaN4B+AHhq/uLfS/ED3Opa0Iydt0YWRIY&#10;z2IUvIxHQkqf4QR4T+wZ+z38NtD8Nab8SPE/h+PUtRvARGLyPKQ/NxhTxnHc57179/wWH8FX/wAc&#10;/jDpNi8a6fJ4NtZYdLaSNphfLNHDLKzgY2hSPlOeQDnk/L5T4d8L/F8+CLLRfC8sUtn5ka3X2e0e&#10;32ovDIXVyyA8DcoPXp6/PZvio14+xpyt3Z72VYWWHl7acObqj6Y179mv4DfE+xWPxX8I9DuhJAyo&#10;0+kxq44xw64I7dCDWb/wS18Cv+y3+2B4u+BvhC4vP+EI8UeHX1XT7GeZmW01C3mjV1TPZopjyeSI&#10;wOdox5z8JIfj/wCDtW1g+GvD9rdWMGnSTwItxNNu2r8p8x8gEtgY5PGfavQP+CecXxouv2l9d8YT&#10;6Hb6nJb6ZHbx2mreJmRYree5hSe4hYW7YaNAf3JADg43g8VxZNGtRxTTqNx9bo9DMVTqYVvkSe+3&#10;bufozA5foTUqoUOc1Xs8jbnHbpn0qTf7V9cfHxvy3ZMkqA4p4YE4qBQC6gIzMzYUKK1tO8H+ItSi&#10;86CwZefl8w4yPWriYxjzHn/xn0Lw34o8D61oniuWOOxm0e6+03Etv5ot1WMnzdvcpgsMc5HHNfmv&#10;e+LPCNwraV4+sWezaPcrIpOG6YH0xX65f8K4t5Vj1O4naWZht+zBBtHrn14r4p/a1/YHPhzXW8W+&#10;Do5JPD91IWijWPd9lkPPkt324OVbuM55HPhZzhqkoxrRWz1Po8jxfsJSpSe9rX2PmHwtL8KIJ2fw&#10;Tpt1datMxRbq6t0xDEcfLnbwOuT16V9yf8Ez/iVZ/EH9kjQvGthpy20d9qWqbVHVli1G5gQse7eX&#10;Cma+efgd+yp471vxtp9nYaZDDFJcATSmLcscI5eRiccADp3OAMkgH7V+A37Meh/s9/DmH4U/Dx2/&#10;s231TUbyxguF2+Ql1ezXQgU85SPzjGpPJVRnnNZ5PTlUjKpbyOvOsZNxjBPzOzTXCeiZpya3h8tD&#10;VW98PazpQ3X2nyKv94cj8xUIr3FE+beJrRlua0euN91LdcVOupsRuMX4VkQMNwAFXN2F6U+Uf1qr&#10;/MXhrNwowqD8/wD61NOtS55j/WqoORmmOGXnaeegp8t9ECxWI7ln/hILv/niv514D+3/AHs2m+C9&#10;E8fQ2ga4stV+zSL13xSIWJPfIMYx9TXuaW5lB38elcl8efhLc/En4azaeLRpngkE8Mfl7txHBXHc&#10;lS2PQ4+hzxmDlVw0klrY1w+LrRrLmeh+f/iS++C3xgZL/wCIWpWOmanbYSO8uojIfLxyMblBPXHJ&#10;xn3rU+B+keFvG/jjRfgB8Jd91Y+d5moapuLlIAcyzFjntkAepUelN+IP7CWteJtZiPgaCe6mvpwl&#10;vY20bSGQscAKACc54xX2/wD8E5f+CS2qfAS2m+InxZ8YbdTv7Nrf/hHbDY/2VCysDJMCV3/KAUUY&#10;A/jO4gfN5fRjino20n2PocRjKlHD/Fp0PRPCE7bLTw5oumLtZkit4V/hGQNvTgAfl1r5E/au8Hx/&#10;D/40+IPCOrSbWa+a8jkjyI3im/eKR9MleP4lcdq/ULSPAOg+DrIW3h7RIYUDZkbblmPqWPP4ZwK8&#10;J/bq/Y6tP2j/AA0viXwlCsPirTYSunyL8ovoeptmPrnJRjwGJBwGLD3sdh1UoNwjseRluYSo4hc7&#10;0e5+ZvjLUdEmvrW91DR76++z8/u7soj47DGOcevHPSu0/Zq1Lw78Q/j94cn1vQpLHT4JzJDHd3W7&#10;7VOis0cbk43fOqkKOSRjoSDz118PrjTtVm8P6rYXUNzaTslxbNujaNwcEFexyOR2Iru/hx8OL3/h&#10;O/COmabYM003iK0ZoxGf9Wsgd2xnnaoZvqK+Zws6c8RCEl1/U+uxVWX1aVn0dj7A+O2ra94v+Bvj&#10;Lwrosca32qeE9RtLVmkCjzpLaRFJYnA+Yjk9K/H39iz4d+Fvg18F9J1jWPDsa3k1xJcS3k2jTXiq&#10;5JA2iIFlOMDjAAGa/aq9+F3g/wDaA+FWrP4F1eN7fVLW90yTzMPDJJ+8gk6FvlLAkdcqVOADivgz&#10;xh8G/iJ+yXpc/hr4yeB7TT7O3kZrPVpFEto2DlCrKcZxjCnkcZA6V7OdxqRopQT31Plcom8RWlCt&#10;O0ulzhPFfjP4Wan4Zh1PVfhlZQieP/R5r7NlHCE43ZdMqvLcEYB6+tfn3/wUr8F+ErnQtJ+IHgjS&#10;7W0mkvlSZrK43K64bJDDAZRsGGxnmvuXRPi5N4u8a2/h3XI/CraXJp03y6ZrU0d3dhircxPGv90c&#10;gkfL7iuY8UfA7wJ+0x+0T4H+HR8J+bpdtr9rPeWMyttnSMszhiCOPKMpPbjPavCwNWNPFRdnzXPc&#10;xmFqRoSbldWP0g/YV8SfEGy/Y1+Ftr49keXWI/AOlLqDXUZEm4WqYDgk/PjAPckEnmvWR4svf+eM&#10;f/fNc9azQwRpbxQrHHGAqxou1VAGAAPTFWhJx0r7K8Znxv1qvtc0j4t1EjAji/75qObxXq0kLJI0&#10;e1lIbCHp+FZ24dRSecANyn8c4qeUqOKrR2kz8hYfgR4y/Zs+Jfiz4SeALzVoYLTxhqE9s+npExa3&#10;MgMLy+bFKNoiKDGBu5Oc12XxE8b/ABY8cWVjGvhebdZabDcNb2t08AlMiEmX90u5ipXbtOBnk8MM&#10;eyft8WmoeF/jNrmp6ffXCtq3h21vVhsolaWTZuhwobh2PkgbfT0zXhfhTU/HVzr9lf8AijxX4ku1&#10;nt1EX2iWweO1hCfKJvIG9Wz1B447YJr4vMOaWMm2tn959xgHGphYPrb7vU8gvP2fbr4g/tZ/Cf4i&#10;alYObi38TWEmqWTsxNyqXaMsZwPlZhkHvnjtX7fweKNRfEflr8ox8y1+eP7F3g3SfiX+0/N52oG6&#10;t/DNj/aUrR8o8yzhY0OOg3Nu65ymMda/QjRfDPiXWQs1lpcm1v8AltJhY/8Avr/Jr6LJoVq2FVo6&#10;dD5bN8RLD4y1OVu5YbxLqS7gUX5a+fP29Ldde0HQ9RjmhjvoHuHiRf8AWSwDyxIcd1V3hz6b/evq&#10;ew+GkSwAanf+bOB9yEELn6nk/kK+Zf24dBt9C/aC+HEuoWrR6Y3hPX7Vdq/I8ktzpbEE+uIhj2BP&#10;avRzPATo5bOrUWyvYyy7HVamMhGU3Zs+I/ix8aNTlltdJtfDWjzT2fP224gUt8vRRnoPpXL/AAnl&#10;1L9pP9o/wr4U8ZGJdNuNUjGoWtjEdi26He6ZBBG5RjOcjdx0r2P45/BvRJvEM0Wk29vtKks3kfMu&#10;ew9eleh/8E6f2YNOk8d3XxFTSJP7P0VmghuHX/j6u2Uhz9EVsfU+1fPZHh/r2LhSjFNt3v2R9LnG&#10;KlhsLKSlbTT1Pq/xd8VtH8AeDtU8e+K7xbXR9D0+a/1C4Cn91bxIXdsD0UHgewAr8F/25/8Agpr+&#10;0L+1T4/1LVj4/wBT0nRPMI0Pwvp9/JFbWsCH5C6IwEkxB3M7ZOTgYAAr9xf2u/2Rrz9qv9nHxP8A&#10;Abwx8TLjwfd+IrNYV1uHT/tghVZFdkMW+PKuFKN8w4Y9eh/C/wDaB/4Ip/8ABRb9mfx1eL4m+Htn&#10;4g0dR5tv4w0fVovsVyh9DMY3jkz/AMs3VWJ+7vGDX12JwNTDu7Xur+tj5fC46Va0ZS1PKfgz+3P+&#10;298GtXmvfh1+0b4o0WT/AF/kvqTzW85Tna8MhZGyPVT0r9jP+CSn/BVvxH+2roWqfCr4uw2Nv488&#10;O2a3Uk1qoRdWsywX7RsAwjqzIrhcKdwICg7V/Ov4S/sJ38Xg2e18ZaVd3mrSWE1xcCOzZ44TsPlr&#10;kdMN1J69BmvPv+CUvjjX/gf/AMFT/Aen6v8AaYI9S1ifRboSKV82O6geFQfbzWjOPVK8mniKNat7&#10;NHXiqeIoUlK9rn9EZ12+bqqelRTeIbyFfmRagBB6VUvJN58vbXYoxj0PL+uYn+Y5L9pCbUPFnwB8&#10;a+FIjtbVfC99ZL7GWB4//Zq+LP2bfhT4z+B3wz8M/D3w9oEJ0nTRHu1y31yWOW4kkky3mW4Uoclz&#10;liSR2A619v8AjwNN4Q1S3SIMxsJSufUKTX5p/BT9obWvjZ4B03ULzxpeW9rpN79i1RrZ5QdOdCd0&#10;ojiZS77wnBZfkcHJGVPz+fxqeyjyI97I8Q6lVqq/Q9a8SaH8TviF4U1YXWn6beaDcRst1JcalK1x&#10;EpBUqEy0YGOny857dvzR8Y+Hrz9kP9rTT/jN8L90NjoGtwXPlpIw2yNJiSNT2G1jxnIB9q+5tV8V&#10;Xvh7Q9Wbw3441C60OC3B/tI29xbtNx8xYzXU+9UxwQV9AAK/M39pL466149+IGo6Hpyxro9jqAuo&#10;7dV5uJ9gG5yScjB4HHXPNebk0a0sXyx0sj085p0fq75929D+j/wD4stfHPg7TPFti6vDqFjFPG8f&#10;3SGUGtgsBwa+af8AglV8TLvxr+xn4LGr3rXEkOlIkczH+BcqF6dttfR5uw3zbP1r7e8r2PhXHldj&#10;nPi38L9B+LXhSbwxrkkkSsweOeHG5GAIHUHjk57+9fCV14U8WXE2rfDfQ7DTDqWnai1trljrFq87&#10;tjgGLZNFtxyytkhgQRjINfdfxn+KWkfBf4U+IPivr6j7LoGkz33lvMsXntGhZYlZuNzMFVfVmwOR&#10;X5xfG6Pxz4w8Xap8Q9c1zUrPXJNQvLK9vNOb7MWaCdoPlUHmP92pTJbK4OTnJ+fzzCx9lGu11sfT&#10;cPYypTqOj0tc4v4l6PffCHRL/SvGq6bbLeXAXTdP061ELJk/NK7NNKWYnA4Ycep5r9Bf2Pf2ZPDH&#10;7PHw7sb+C1m/4SLWNKgbXpJpy2yQruMajoAC231O0E54r8lvEdvqg8YX15r3i+8vI7CFpbjUtUJw&#10;ABxycc9h9a+vP2Af+CrHwH8F+HJfgD8bviPeLHo9wP7A8UXEE1xbzRSBS0EjY8xNkzMqMV2+XtBK&#10;hATvkeFlVUpx1/rYjPK9Z8qd0foUeRioYgw+Vjj5uMms/wAG+OvB/wARPD8PijwN4o07WNPuFzHe&#10;aXfJPE30ZCRV95oj0xx6mvckpQlZnzsppATGZCXbp/tUjN8jDcM4z838qaTFJHtf5ef4aHMYQ7Rn&#10;/ZYUrtbBH3uh8R3+lS/Ej4seIvGPiMpo+ta15DT29ozbYGS3SIKH4JOEBz1VuleOfFafwp8I9O1C&#10;G++Jd5cXzXEckbai8kwlAlXALsCdgZWHLAHn0zX0X+2R4Htfht4s03xxbXU4tdcNwkyx/KIpVYMq&#10;5zxuDNj/AHa+VPjvb/Ef/hFJpdI8U3TWcmXj8xYY1VcY8sDBLjHfqfYV8XWjXp4iUKz3d7n6VgVg&#10;6uHVSkkk0cx8cdFie5/4SfWtfudYtbyFZ7Fbh9u5OH8sMBwCq45JwSa/Wb4Y+LU+IHw48P8Aj220&#10;yW1j1zRbW/W2mb5ohNEsgQ+4DBfwr8t/2dfg9rX7WXxM0v4TR+IHS3tdLaXVr0x8xRKADgZxksVQ&#10;HsXzzjFfq1o2kWmi6Xa6Lpsfl2tjbJb28Q6JGg2ov4AV7+U+2dFuW3Q+Pzv6vPFrk3S1LS7nG6TK&#10;t6CinAkcCivVszyeWB88/tv/ALLnjLW9VT4z6PoEs1q1kkV+sK/NCY92JCOTt2kKcDjAzxXyzr3h&#10;/ULazeTSdTa2uP4lwcMOn+e9fuuPDXh+IfY9X06FrebK7ZIwQM+3cfWviL9tn/gn38OpPGba78Ef&#10;F2mWl9dL5t94LaQFhxzLbgN8ikDPlkBe6H+Gvls2y2p7T29BX6tdfke9lOZU7KhWduz6Hwb8LvCn&#10;inWtUH/CSeMbgWbNtZpZW8tc8At6gd/av0s8H+F9M8GaLZ+E9MiWOHTbdbeNR/sjGT7nqT3Jr5L0&#10;D9nnW9Mgk0ueOTdDIv2iEWuGAyNwPXBA/I1+mR+HXhbUII/tOjW84EKN8vEi5HBJUhuoPX0rfIa3&#10;tYzbXkzbO6fs402pXTv+h42VKbZAM809UBG4NXqV58BdBvo3OkX11byZPytiRfpjAP6k1wHifwhr&#10;XgvUf7O1aJSrZMM0edsi+o4/TqK90+f5o8xmiMt901Io3Ag0yJtq5z17U5SQ5GOc8jHSmr30CUYy&#10;1R4B+3d8JE1zwVN8UbO3RpNMtVjvgmVcw78buPvACV8+g+nHz78IS2laL9p0tIZPMbPlyfeXp7HG&#10;Mex5r7a+N3w41L4qfDXVfhxDfzWP9qWhQ3kIOUwcrn/ZJA3DIyuRX5l/EK88bfBTxtffDDxbK+m6&#10;lYSBXt5gwjcfwyI/RkYchh1B6A5A+Yz3LZKSrrrufS5RmLt7CXTY9M1X4r/ELwJPe33wu8TLdm+m&#10;L6kmqeF7u4beBjZDNDlVQf3Sjc55XnHrX/BOS91nW/HWpanqJkkJ0mdpma3MeyR50xGFb5lQc7Q3&#10;QDFfNmgfH+wbTYfDviDwctxKG/cv2Zs9sH39q/QX9kX4NSfC7wC2tatFt1XXlS5v41Ti2QDEcAJ5&#10;O1ckn+87dQBRk2DqVJKaTUV18zfMMZy4OUHuz1mIeVjFKeeKaGxwSB6Y5pFmVwxHYV9MfJ7Kx0Hg&#10;S30++nnVXC3dqysqt0ZMjkfXpXe7XWfa0bj5Sc56V5h4Iiknb+0YN3nQsZQvOZYi2GX8sH8K9LXV&#10;La4vI/Jk3L0b64PHoexyCQQc1USYx5QuLV5LZ/JH77ho/dhzmuC8QfBrxJ4p1r/hKvEHjC43Rrsh&#10;0mPb9mjjzyoyMs5HBc5z06YA9LQpJ91fxpLhMR5Az8wzV8yUWn1K5rbHk037Men3ENncab4j1DSr&#10;q1mW5tbixmClZB0JGPmXOeOM49znvtH0vX0t418QPbvcxIqyT28bLHLj+IK33c+mSB2NbHiDUtI8&#10;MaJJrWrXsVrZ2tq09zcTNhY41GWYk9BXgP7af7WEvwp/Z8034m/CW+jv5tX8QW9jayRr8wQpI7kK&#10;eSfkUH0DVDqUcPHlWljanTxGKrLq27fM+ggm62k43bUxtx1rznxnosGi3ayQYVJNp8pf4SVBI+nN&#10;egaZd/abWQhl8uSDcjeox6/iD9K4r4kW0sgNwisyw4DP33Hr/T6cjtVStKNzlk7aSOfhmQnjP5VZ&#10;W6HQn8KyEv4lOwHc3ep4L6NiBWZN4mtDKZSFUVp22njyDHjbM0ZZPfk1laSu1Pt8vEe7C57+tal/&#10;cJb3UaXDGNo5lx7qSAR/n1rqw9N3TZz1qlnoyD7JLPpMl55fz7WUx+vPWuA+MfgX9ozxfHb6Z8Mv&#10;jFD4V00EteLZWCm8n5zjzmz5WOxjCN7kHFeoWQgksGt2c7ZFV1C+4GRU0ln5SAIrHb0FdkXyyutT&#10;OVSUtyr+x18E734c2U/iPxdrlrfa48hhtdSFuS6w4G4sCfvsfvMOTj3bP0FDrUdjPG15d27TNJ5S&#10;yw5jLMeiEMxDHJ/vZGeleU+DL5bPSfsU+1xy37xd3G6uysIPMtY7vTdRjjWaPCx3EZmidfTkggds&#10;A7R/dJrhnTjCT5Ul6abnbGpKpFOR3MeqJcXK6bdW+1psruP94DOPy5HqK4z43+LNd8CeHRB4I0T7&#10;dql1lLNpIyYbf/ppJ/ex2QEFj1IGTUl7b65Zad9r0myjSSFlk8mGYyR5HQr8qlVzjI24Ck45zm94&#10;Q+I8HjCabTL3R/JRGVN0nRuOcjpnNEYyj71tEM+OfFP7Ovin4lan/bHiSO81jWJLtpbrWI2SO4lB&#10;OSjrhEfAyq8oQNqg4GK0vDvwB1XTV1LwzZW32HWrqPyJtakZWls4GHzQwEZCMw+84J4IAxgNX2dJ&#10;pGkWKTXltZxr5aFvlUVw+m6HBqckOoSW6tNJGDM+Ovc5rP6vg5V/bqFpf10OmWOxX1f2Tn7pyP7L&#10;nwfvvgj4Qm8Dfa1kslvvOtFVSPKDKNyjPbIz9Sa9K8R+HfDXirSpPDfinRrXUrG8Upc2d7brLDIp&#10;GCGVsg9e9Ot4Y7XoBz7VYVsspYDpnpV1L1Hqc0anvczep+Sv/BV/4G/DP9g680n4tfDvwZfR6B4j&#10;uprSzkjZriPTtQwXEBaQkorJvZPXy3H8POr/AMEtvhxcav8ADwAAgP9/J/2lPGFlGmp+JJHj0NPO&#10;LNBZKSjOVHyq0j7u2dqjkbiK+1f25fgRo37S37LPjj4Y6t4Zj1i4Oi3WoaLYMoBk1G0UXNsqvjKb&#10;pI1jJGPlkYc5r+fP9jL/AILC/tEfsa6veeFNS0i18VeEbrUp7mbw1qB+zNZSO5Z/s06oWi+bja6y&#10;LwcKCc151PLqdPFuqlo/wO/EZhia2E5OY/fC2ESAMDim+ef7tfAfwe/4OGv2MvHK2On/ABL8JeLv&#10;Bd9LGxvprizivrG3YdFWWB/OfPY+QPcAV9yeCPGvhX4jeEtP8d+BvEFrq2j6pbLPp2pWMokiuIyO&#10;GVh1/ocg8iurklT3R5nLI3PPYdVps1wUPlqa4f41/FyD4TeFF1dIFnuriYQ2kTKSu4/xNgjCj1z1&#10;I+teE+LPjD8QPiJZta3PiOa3w7LJa6exhjP+yQOTkH+Ink4716eCyutjI817LuZSrwjLlRU/4Kje&#10;NbLSvAWhan4P0qz1PxFousm4aSKQNLbWuzEsbBDuKuTGSp7Rsw6V8Aa5+1142mhvtG8HfA7TNPuN&#10;Qk2PfRRKHPzd8YJPUcnvX1t8QfAOqXelTal4enka8t2ElvGFz5hU8Ak9CMcHBx6HpXj37O37NGvw&#10;+IvDuhfFb4ba9rXirxBqElrCtjZFdKRXkaAXU8qKBgMd5ijGI1TOSoIHkcSZLh8L7OcPelLS3/AP&#10;ocjxdaUZU9kld9kfR/8AwQi/ZG+IX/CXeIP2qfH+v3kHh++sjpum6C7t9m1O6WTdJcyI33xFgInB&#10;Xc8nPy4P6hS2LCENDcYYD5RnjH0rzn4S+HvD/wAM/Dul/Drw+pjs9D0mGys1aQHdGgHztjA3s2WY&#10;gcsxNeirNDPZQzI4YbeCrf5719Lg8L9Tw0YJWsj5bGVpYjESqPqc74x8Z23w90a88Y+LYCtjp9pJ&#10;PM9sgaR9q52qucsx+6B6kduR+dvir9uj9o74r/FfUNQ+NnwjVPhY6/8AEi0rw7bx3Go6TIp4u5pG&#10;5kZkLh1yiYChSCCX/RjxppCeL9CuPD10i+TcRtHI5HQH696840H9nT4eeG7dho2meU0hbzL2aQtJ&#10;gdcZ6D6da9WjDCVKMo4mHOnpbyOb2tWm1KDs0fKPxK8afBgfDi38d+G7uPxI2oTeRY6bYzeVcyMB&#10;l1dXUvBtXJJdO6kAhgT5F4K+Ov7enhH4oWXj/wAGa/o+g+FdPgW3h+G0kRk0+6td7sVlDEubhy7M&#10;1yCrlj/zzAjH3ZF+x58MPHWrf8JVdWTW1vB+6hjtbURNcLvJO4qeNzHcWxkjGTxXb6L+y3+z4bY2&#10;qeFLcnZt3GZsjt1J61jlOV5LknO6NNycusney6JHZi80xmPgo1Laf1cx/hf8btD+K3gax8c+HvD1&#10;9DNdwj7RptxFh7O4yweNj0YKf4xkMMHvXcWMB1Szay8WJDJDeZieyaFZI5kIwUIIIII4Iqbwv8Mf&#10;CHgixmtPC9wqwoPmt2bdjjrmpl07/hHtOuNeuLhpFBEdqzMPkU8tgY644/Ct6sqM21FbvZ6nnU4z&#10;jufMf7aH7FnwC17R5vEV14QjhnRF8nS0tQ1rGwRijIvSI4DKBgrkAALgmvz/AP2Nv2UfAnxc/wCC&#10;h9v8d9Fs7b+x/h7p/nskZGWvmMqWwZTk55eTdgcwDpur7r8bfFTXfGKXj6tqrXGm67rl0YVkYnyb&#10;eImGMICeAUA/E+vNYP7IvgD4ceA/AF9q/gjQYbHUNZ1aWTxRIlwZGnvIWMGWyfkGxFwgwADnGSSf&#10;ns4yKjhZRxFNWezS216nt4fNqlTDvD1dez7HtK3RP32ptw8cnAeq4uPlyY2zjNU9X1mz0rTrjVNS&#10;njgtrWBprieaQKkUaruZ2J6KACSewBrySYvmJr6OG5tJLaQBlkXYy56g9q/IH4tfs23X7GP/AAUE&#10;1X4ffBD42zix8YeE5/EM2jxxgnSyZVVBNxsbMpkKbcMse0N1BbZ/bR/4LdfE/WPiVd+GP2Sddj0P&#10;w3pcbQya7c6bFLc6jJj5pUEyN5UePuYAYg7j2C/N37Bf7QP/AAtz9ttr343eNLy61LxdbyWA8Qat&#10;db/MmIj2IzOeBiMIo6E7FA6Y4MwV8PJ2vZHq4OMqNRO9j3i/+HP7QXxNvZovi58Q7qbQbOMTX0v+&#10;qg8oAkbmx93AJbP8KkmvkH4Lfs4f8NT/ALaI+FPgTW4Bpmt+JsC8ZljYWPm/vJIkYgyMsXIQck46&#10;YNet/tof8FF7T4qnUf2dvhJazaX4Rs7qSG+1q4QLLrBRiBuC/wCrh+UYTLFhy23dsHy3pFxJLO2o&#10;WzNtWTFvJtw3Xr+YrhyfD1KS9vUVm1oj0c0rOvFU106n9E/7Mf7MvhT9k/wJH8PPDWuXd5ptu5Gn&#10;/wBomNWhjBO1MqqggAjnHX0GAPGf21f+Crnwq/Znu7z4dfDyC38VeMIY2EsMcwNlp8mdu2d1OWkB&#10;IzEuDjIZkIIr8y9B/wCCqX7dOg/DfUvhEvxf1DUtL1GxNn9pv8SXtrGSu7yrniQMVXZlmb5WbgHB&#10;Hj8Gq3Es/nXiyGTbhvMbPPFfbZbg6GMqc03t0Pn6sXBXZ6/+05+2Z8e/2oB9r+LPj25ntYLgPZ6T&#10;b4htLMeqRIACR08xtzkcFjX1r8IP2g/AX7S3hXRbO4tdQ0nWo9Js7PXL7ULArY3uoLCqM0U6EgMw&#10;UbhJtYsCRuzmvzxumW6ixn5cY+tffP8AwRG+Inh7xTdeIP2ffGOk6ddrYMNR023vIVdp4XwJAMjn&#10;a+3qc/vOuARXt4/KcLmGDeHlot00lozjjjKuBqQrxV2nZ9rM4j/gpJ8DV+FXwBtvFC6yrXGr6/DY&#10;4hJVZFMM0hHYkDy9p+tfD2lXUVvb+Zaw7vMbPJxX3f8A8FrfDvinQ9H8Bw614r1CYavfalLHosQE&#10;enaXGgt/LhhRAFMgWRgXbLsF7AYr4VmsUtoooIc9Qv19683J8pjldGVJPms9z1sZmP8AaDjWtZNa&#10;I774K/H74wfAfxGvi/4S/EXUdBvB/rvsc58uYA8CSM5SUf7Lqy57V+jf7DP/AAV8svjj4u0j4M/H&#10;Xw3b6d4g1OVLXS9c0s4tb2Y8KkkbEmJ2O0AqSrMwAVOAfyovQ8MIjjY7myeParngDxpq/gr4i6L4&#10;q0MlbrQ9Utb+3fcVCzRSCRf1x/3yK9LFYbD1ItSWp5cqcpRP6LpJI/LDq2Q3TFQmWUnEKs30FR6N&#10;qVj4it7fUNOu1mhvLdLiGRP+ebgMDjsMEY9sGuu0zRLeJSsSLGzL1f8AiHtXzlPBynu+pHtox2Z8&#10;p/tyeHPFHi19B0TULMLoUljctFdKp3C8DrlGPUYTDL/wP+7z8DfGn4d/EbRdMaYanqU8Fu5WGFjl&#10;Qp46fXpnJ5r9I/2ob39onxn4/sfhF8Nvhxp+oeG7Qi91aS5YLNdOEOFikb5YCoOBkZcnGQuVbxP4&#10;k/D6PT7aHUfiV4en048CHTzbmRriYDgKOhx3bp/I+Nm3D+LWIVajHnjKyfl5+h9RlebYOWE9hVfK&#10;47Pucd/wS0+Hnif4OapP8U/iIy2y+KtJ+z6dbrlpkhEoYSsB90MyDA6kAnpjP3rp2rW+oQtPbTLI&#10;u3duVhXzB+zt+zR4/wBGubbXL26MdjqNwt3NaSZzbsMktz/eIQkADp719D+HEfTNIm1KOLcxnZVV&#10;xkOOEQe/IB/P1r6b+y6NGjGEdGj5ipjJ1cRKT76ehvfaX/vZ+goobSbuM+Xdx7pF4kYEgE/n0orn&#10;/s6p/MP6xI+yjYW99btBdodrfxA8iuP1j9nj4canNJeJpbw3jSF3vkZvNkY93Y8t+PNdqs8ajave&#10;ngEkDP3uOteSdMYs8Rv/AIGWmh+LYbqZbOSe83fZmkZP30yqSvyHqc4JGDkA+9dj4W+D507xSfHN&#10;74g1T+1Li3jgvlW7XyJ40B2L5e3aFGSflAwWJHU5+YPij8ZfEnxF/wCCsPg/4X3epXun+DfAcavq&#10;EmNsNxfPB9oDFx0QkwJzwNrdjmvtguyTsXXbt42hcAVx4SNFczppLU9LFUZxoUpzk7tXtrt0M/X9&#10;V0nwvplxrWszR29pZ27y3VywwscarlmOOcADNea/tDeP/hppvwRm+KeseJ7WHS3mt/smpMGZS7yL&#10;HtGBnklgeOMHOMV0H7TmmjXP2evHGnRyMsk3hPUBE0bYYN9nkxj8a/Nf9pz4mvJ+wp4L/Ziv4ryT&#10;VNN19r/V7i6vlfenmzOkYKdSfN3chcFMAHqDE4r2ErX6aDweBWKouSvdSX3dT7K+HGk2XxF8OweM&#10;tF1eK80maPfb3di4dbhckZVh8vUEdeor0i28I6DpsHnafpsayNsG+Rizcj3J7fzr86/+CSP7RWp+&#10;Cfi43wB1q5vrzTdUs8WNszj7PYSDz7mQ4xn7u0YyB83Q5GP0ogmimht54BlZAGA9OMfzFehgakcR&#10;RU7amWYUPqtZxi7roed/Ef4kD4cYNp8N7/X7i8kVIYbEooiwG5ZmPA+gNfOPxy+BUv7Y8rQfHn4L&#10;W2jtp1vINHutPkbz7KJskyi4VQ0wBJbYV2A5OzOSftmOxtZ1DSQIxWRmyVHWoLzTbKa1Zb2NdifO&#10;rAcow6Eehrsqcla8JK558JVIy5k9eh+XfwW/4Jp/8KzttH+PE1tJ481rT9ReWy0m/uGFnaeRPIm8&#10;whQWcGLcrEsAzAhTtBr7s+B3xL0r4l2f9n3ngTVND1a1RTNa3ipJEeeCsinJ465VfavTdA8Nabo2&#10;lx2klpFktnhQM+narsWi2KStdtZx7/4X8sbgMDjNTSpQoQ5IxsjWtVrVJc03cxtV8HaNdWkk1zEi&#10;s3BkjzuXnt6/jXN+LvAV54Zs31S0vftFuvLLswyj1wM5H413zqlvHImP3bxlxu7N0x+PX8Kzjbx6&#10;kJ4L8eZvi8thJ94LtHX9fyolRpvYzjPm2MbwFZ/aNLsbiM+XNFCu117ggnP5V1N3p7y3Xk2B2rJb&#10;lo1UcK4ZWOP1rltA17wh4Rgso/EPjfSrFVtY1jN5fRxs6hQA2GIznmujk8ZeELi6sb3RvF2m3kbS&#10;tG32W8RsFlwM4JxziuRuMdLr70dHLJxuk38mWtH1qIqba8GyWMbWX1PrWlMzlCEPDR8Vh+KrW30q&#10;4n1q9vI7eCVNxaaQKIz3ye1eb/FL9tX4W/DzTXXRGm17UIYuLfT8eUWA4DSemf7oY1hVxGHormnJ&#10;JGlPD163wRbZ88/8FMP2mte8SeP9M+BHw21aHZYzJDNDM/8Ao93fOF/12TsKQjP3s4LPlc4Ycv8A&#10;t2/Eix/ZOv8AwH8E/DWgrdrpfhmS8ZZP9HjvbqWUtNc/KrBi7wkFPl2lhj5a+UfHHxO1b4kftRaK&#10;PEe3yfEHj+CfVNsYkEaTXkbNEisc4HT1YHHevp7/AILP/sofGv4gSX/7SPg7VLfVPDOmaLbwaz4Z&#10;+cXVuqNLuuUCqd8ahwzYYFPmOCoJHl/vMRTqTWrf5H0GFr08vdGnJ2tdv/E1Zfcexf8ABKzxN42+&#10;Mlh4l/aO1z4rate6Jqs39j6P4VvLcJHpwto4i0xDOzgli6AFVwAxAYNkfUni/S4jZqzL8rbg3P3Q&#10;T1/rX5E/sLftP+IfgdbWR8Aa3sVV23lndOXhuRnJVlPXqcHjHBB61+hngj/goJ8GPHGg+V49gutB&#10;uGhxIscZuYXcDopUbvfBXHPXitsLmWF9mqU5Wa7nn47L8VWqOrBXT7dCdUktbmS1lb545GTnvgkZ&#10;qzbuJLhYo2yzsFUDrk8D9a5mL4p/Dn4i6pPqnw68Vx6nHHtjvFWJ43gk2/ddXCkEgA9MHJwTg40L&#10;Hx/8PPBGr2usfEvxvpeg2Jk2Q3esXqW8LS4yE8xyFBwGPJH3a9KPLK3Y8SpGVNtS6HqVxpsVnpMN&#10;ncJuVEG4fnn+dc5491J7TwxdI0u66s8BZt3DcAqfxz+YrqdK1nw54z0KHWvC3iGw1jT7ofu7zTL1&#10;LiFx0O10JDenBxmvJ/2odatfA/ww1TVp9RMMtvYGNTx8zZGwnPvXrUbaW2OGp8R3GgeJPst3bi7l&#10;zHJtyV7HGP1rq5NUtWiYx3Ks3RcNXi/gTxc+t+EreawgWaSSPhWk/Wux8Ipdy3bQXhYsSDtbsKVi&#10;uWx614WsbTUdMhl81Y2jXPmcHbk5wQe31rrNL8HTzf6TpOptY3EgzJNb4aOT0LRtlWP1BwOhFcV8&#10;LbhbHx7/AGNfHfYanZsqlv4JV5H5jd+VempoWr+Gpwlu7T27N8oZvufhXJWupHXT92KTLnh9PEWm&#10;/utQisZVXjzIQ8TN7lSXH5EfQVV1PSrTSNVW+tYlSG4k3ttGArkf4KK2Inm2K9yFUn+7VfWz59hJ&#10;AixsRyu9unFTCXdmr2Ib+9bTfDdzcSzqWkXYv4kVX8O2ottJ+0NhR9nXbnscc1zuoapBcQ2NkblW&#10;jml3tsbdjb1H/fQFXrbxLFfxfYrZh5fneXuXttbDfqMVUtyWbqwL5KtIuW25qiNRbzWzH8scZqzJ&#10;qKR7VI/5Zdq53xRr1vpdnPbxSedcXEe+Z16QLj7v1xzVU9Zak8sjnfEXiSG206S1RTJcXkixRrGx&#10;yqkhnJx7AD8fev5qP+C1P7Jx/ZN/4KE+NvD2m2Elvofiq5HiXw6Ao2eRdktLGgGAEjuRcRAdhGPX&#10;j+h3SvFGna/48nW0mZpobtUZdp2qqLyc9+T2/HmvhH/g5I/Zd0v4t/spaJ+09ptpN/avw71Q22oX&#10;FuqZk028dU3Pkbm8u4W3CgHAWaUkdx0WDl0ufhKq4zgfd5+lfrF/wbjftIrf+FPG37Mer38Pm2d0&#10;niHQYPm3eVJsguV56Kri3YKvA85uBzn8kdQvmtUOSfNk+VUz29a+lv8AgkVrPxL0D9s7SdT+G0rK&#10;0Ohan/bLrIAsVm1q8e85HOJXhIH94LkgDNTKPtpKktbg5csbn62ftOeM1+J3je70rR4/tFrocJt1&#10;jjb5maTIeUeu1htGODs98V598ONWvmuJ7XUbiP7TcRK0YkODIyFd5I9cNH07D8abba54U1W6s/FF&#10;lcRxaltmiaGaV/NbaMumBwx4LDOc4yOAa4jWvE9/4e1291rT7J/9B1y1kaW4U5kt5VMDFRgEjciH&#10;/PH3EMPTw9GNNaRS38zzbOU7+Z6X8QfiS/w98EXHi+3tEuGTMfl3VmbiGLOdxeNWDsuCeVyQcYBN&#10;dv8A8Eqvh1a+MdM1T9pjUfD2lQyfbJtP8PX2k6tdzQ3TOifa5BHPgKF+SNccAtMMA5J8B/aEOv8A&#10;jDwvpfhPwfK0N3qmtW9tYtCxSRrmQ+WmMHP33H5+2K/Sz4XfDWy+F/gvw74RtNRe9ttD0WG3FxcA&#10;ebcyAfPNIRxvdyzsQOrGvj40aGZ8QOvCXNGkkl25rf8AD/Ox7mJrSwOTqglyynv3aNfV9VTw15k0&#10;t1HH+7IaRiAqKADu9gOtc5+xn8dNN+I+g6ssd8rW8XiS6W3beGG1yJMcH1c/hXkn7cPx18O6B4N1&#10;fw1p+riS+axfatu2cZQg8/jXj/8AwSX+KNzd+DPHK2ztItn40VbPdktuktocgD8Af+BH0NfYfVYy&#10;wspz3bR85BO1z9ItUu0unGn6cVeRvvLn5QP7x9qW202G5geXUJP9H24UtwxUf57Vz/hzxPC4KXlu&#10;tt9njX7dI753SjnYPzGa8z8b+Ovir8YvFcngb4Zx/Y9Ks5BHfasnr6Lnr/P6V5tPDyel9BT91XPX&#10;k8T6fpsLXccUq2m8gTcIkYBxzux0HbFVfFdleQodY8OzqDOu6LH3ZOO1c3YWlz4W8FpoUzJdSW1v&#10;5b/aH3eacY+YH71YPwz+KNnpdjfeDvGl4sdjbRNKtw8m1YYwMsQT0CgH6YrT2NpXAj8R/E+68PWT&#10;eL5b1oW099utWrN8vlHo/wCWefWvF/2iv267abxBb+DvCHiy0utE1jwuz6HNYzKZlvCWWUzYYsjD&#10;AABAwCCMgk12PxT1z4cQaPqHxI8FfEnT/EWn29lIL3S42jDXEZUjy23nBVjhdw6ZyMda/O7/AIWb&#10;4U8d/tJ2+ieHfhhN4fOn2E0lzZz6g05imknhjaNNwXaBgYypYggZOK76NGjUqKTj6GL5t2fTfj7W&#10;m0mz8M6Dp8v/AB66OJZFj77iMt+Q/X6155ompa34d8dXuq+HPENxZ/bLgT7rWZkEu9VdiQOCMswO&#10;RjIx2xXp1/4c0bTNavvHnxT1ZdJtbOOKKzsGxLfSR48tAluuG+ZhkFtgOSckdeS+MPivwxB4ms9B&#10;8NeG/wCzrHT4z5NvcLvutzqJGlkbbhckAbVO0bfujOXyzqnH6k1N9UcNSrUgnKHY7Hwp+0t4g0ZP&#10;J8VuupWon8r7TCESVSM7iOisBtPUA8de1V/2+/ixpuk/sBfEDx/pT+Za6j4NMVvJIwBKXpS3U4Hf&#10;9+Dge1fOuq65YeNNMj8P3sIuLb/SnuI5ZgiSBrltoIByR8p4wc98V5j/AMFQf2j9R1P9kn4YfAXS&#10;2ihj1Ke9l1SO3YqFh05fs8EX+0D5obB6GJTjpj4CtT9nsetktatWxChN3Pir4HfAW4+PvirUfDNr&#10;4ij01bPRnvrq4ayuLgtCjxo2BDG/zYl3ZcquAcnJGeY8UfBnxF4I8Ralpmh6Ve30OgqbqXWNPspo&#10;1giSRQLsn70I3vGu4kYZgM5r0r9j3WdG0f4hXx13xNeaXHcaKitcWShmBFxbNtYZB8shSWwc8A9s&#10;H6X+JTXOqfAHxN4Hm8RyR2Go6bNNb2O390s6CKRXP+0xgVSwwCMelfOYrG1MPi+XeJ+k4TAUMRg+&#10;eT94/Pu60q2+xLaQ26sirlm/vHjn3706KwgVdkMIUD5cBsY5p4v4ppHKBtu44Ws/xJrjaVZiS1h3&#10;MzfN7DHWvahrFM8apy9CxJqUkeoNaWLNt+0BdwH8Pc5qRpLiORf9JLs7AjnNZfh+3aCw/tWWY+Y0&#10;JZVPbOaj1DU5LC/tbRCfm3FtoywJ6V2YKp7LEJnNWUZU7M7K1u1A+ys38O5eK+rv2BPC3in4P67b&#10;/tB3OlxW0smLfTZrrUvIQWcm8S3LhWJ2cBUDIAzbSpNfHtrcxGLzMn5SS3zZr6W+F/xFuZ/g7p+r&#10;319dM9naSafaySTMwMaynZGMgjaAR8jZXAI4ya9rP8wrYPL4yoPVtK/YWT4XDYnEONdcys3Z9f8A&#10;ht/kfVH7eOjf8NReIppfBOraVeeEF8Jw3Om6wHjMkWpeZNvKxlllUlDEM7RkZGT2/M4ukFwsdzn9&#10;1kNu7Yr2fxF8RdW03VLjX9d1eb7ZNubcH2q2Tlm4PUn06/rXh/iG+fV/tVzpxRWmmZmY9MEjp+de&#10;fkGZVsVUrVKv2mmkttrX/pnRmeHoYeFOlTd+VWv5dPuIft0gW41GU/x/u/pVTR5bzy/Oldv3kzTN&#10;82MqMLVLVtQmje30yOQfL97PcjvW3p5hjs22XEbeTwVyPmIH8q9yKqVJHkqPc/bT/glf8YZ/H3wK&#10;8OW+vzJNc22h28Mcr5y0USfZ/wAwYunbjivsGAR+ZHp6kNsXPY8V+Y//AASA1m6HwRa6t7hj/Z13&#10;NInzdMtskjP1UK49wfWv0W+HfjbTtfuryewtpEtodqrNIceYSCTx1/OpxFPlkmtjwYy5akot9dPQ&#10;6ie0WCKS5ztwM7if881yep+DdK8Q61beKdX06G5mARYUuIw3khWYjGR7g59h6CuymMF9ZKWlIjcb&#10;mJ6AAZrM0C70vUbeTWxJvjS6ZIWj6EBtoP0rNTub/ErGPrOlNEZrdRtXyxtx246VynjKcafo2l6X&#10;ZjbI18rvt/2SD/SvQPEMXmp50R2sY8lJOo/zxXlniDUINT8W2+h2EolufMwcA7YvUn6ValzWQmuW&#10;LR1/iPXEs9Zmt7q4/eKELfigPb60V438Wfjbp1n8QtSs4biErDIkeWbklY1B/UUV0xjHlV0bRk7L&#10;Q/Re/wBQ+ytuV/3bcq1eNfH/APb7+DfwP0i6WPVf7e1O3jbdYafICiMB/wAtJeVX3A3MBn5eK+N/&#10;jR+3f408UeFh4Z1j4jxW2nQw7WtNNxF5wx0d1O5x7E4+tfHHxQ+NGp+JWksNH1CEWvIEMK5O3/Oa&#10;/HcRxDOo+TDRt5tH3NDI1zWry+S/z2+40/jh+3v8Wda+L3iL4l6N4kXTJNW1aSdLMKZI7ZPuxxqw&#10;+ZsIEGTj7oqlpH/BXv8Abn0XX7bU4fjnfXn2eMbLNoWeCTaONwYgYwO/Fbv7K/8AwTC+N37Xkdx4&#10;5S6h8K+GZo2+ya1q1q7m/kyRiGNcb0zwZM7R823eQVr3z4P/APBA3wz4dvo/E37Q3xcOtQpJmLw/&#10;4bieGLggqZJ5RuKnBDKsaNyMSCnhMFi5x9o9L/I6JY3BUGqU7O2mx7f/AME4f2vv2mP24Pg94wt/&#10;jNodk2mzW01ha+ILSeFCsrxkGPykIPRywfbtHlkbmbIX5u+LVlqsXiPUPBPxU01tP1LSG8q6a4Uh&#10;ZcY2up/jUgghu4P1x+hXwZ8JfBD4G+A1+Hnwk8EWPh6wgOZrWzBLTSBdvmSO2XlfAHzOWPvXy9/w&#10;Vzj8NeIvhTovinSZ1j1i0vpLZZYcBpYGQnDeoUqCPTcfXn1MVh/aUVJ7xOLD5hTpYt8kUoSsmvQ5&#10;D/gkP8NNF8SfH7xZ8T4R9pi8N6ELZWjjP/HxdMB5hxx/q4nXk9x1r77NzJo3iKDR8KsLSFoArZ/d&#10;tlh+RyPwr8YP2Rv2i/G/7OWoHXPAviW4tbq4uGW/niYBny/BcdGUcDawI4HHFfo1+zP+0xrXx/0x&#10;fEOtSbr7Tb9IriS1UBLiF1fY21eEYbGBA4OBwAa68nxUZfubWaMc5w1Ry9sn7p9UCbBLpwu9hTdU&#10;2tp0yKv/ACzI/SqOg3ImtJIrif8AefaSTuPstZXxH+JXhf4VeE77xp41v/sthYoC7AZaRiSFRR3Y&#10;ngCvclyxTk3Y8KGsrIzv2gvjT4e+CPw+m8XasyvceZ5GnWu7mefnAGP4Rgkn0B9s4f7M37WHhr9o&#10;WG48PWcG3VNKsUm1TY2UJLbcjGdoz2JByrccV+eP7Rv7XuufG7xNfeK7191r9ueLS7O6kEUFnbD7&#10;qkscLwMuy4LMvHbH2V+w54X0X4Gfso/8LI8TarfWs+o2r6hqiakzQQwqgOxII2xti2n7zZaQnd0Z&#10;VHh0cwrYnGvk+CK1PdrYCng8vcqq9+VreVzr/B37UEPjn9sHxZ+zFDpu2Dwz4dXUGvBn5pCYPlz0&#10;I/f7dvYrXotzqUV34eW0sQrSTq/mN5jJs7ENt5wQVGMjINfmLqvxx8U+GWm+IOlpp+leLfEl95Ul&#10;z/aKadLqG+4j3JLM21gvKtjIAC5yO36OfCeRPD3grT/BeqaNrVxeWdisGoXUluRG023fI3mz4aQF&#10;icMM8ccYrqwOMliozVtm9THM8vp4P2cotXcVou/VnwH8S18QfD34weI/DGrXn2iaPWJbhWxt8tJm&#10;M6xj2VZAB2Aq9pfxZNlAt3NeRq0R43SHI4x17Ve/4KFfDj4zeHvi9q/xu8P/AAuvrzQ9WhhSZtOt&#10;2mlimij2bnVV3AFUXBIA9M18I+Kvi14w8T332fRre8XzXYLGzEEYOD9K+Vx+U4lYyTpp2bvc+iwW&#10;Y0fqMVJrax9p+Mv2pPDNpG1xqnig3Ui/M0Zut2W/E15NN8dviT8YfF8fgj4P6fG9xeTZ33EipHEO&#10;7O7EKij16k4AySBXlfw+/Zq+KPxJvrd9VlNhb3HLSSMx+XH1r6g+Dn7IPh7whZRpcXjTy9ZJeR83&#10;6ZrfCZLK/NXOOtmlOmrU7L0PWv2cv2HPhN8MdW0/42/FGGPxh4xsZku7W6ZfKs9PnVsq8MQwXdSc&#10;75CclVIVCor6O1H4z6TqulySbPmOR5Mn3TnsfUV5z4A8BLonhFrWHUrjZ02NKSuMn3OKTXPhvql/&#10;YmDTdSaN9vIOcV9PRjToxtBWR8zWqzrScpu5+af7VVt4b+HXxq1jxR8JtD/s/QZ9Ucf2esmY4H/j&#10;KAAbVLZYL/CDjJxmua8PftI3ZiWwnvZWXd91uGB/Gvfvjr8CHur7xHoF5bksuoM1vM3O7gEH603V&#10;v+CYXwq+KHgHRPEng7xlqHhjWJtIt/tkkcAu7eSURgO3ls6MCXB6SADsBxjycdlMcTLmij18Jm1K&#10;jDk1PcP+Cft1b6t8HbvxQJmaW81qRHk3HlUij2g/izV7F8S/DXhXxx8PtW8M+MdJhvtPudNmW4t5&#10;lJDKEJ69QfQggg9K4/4HfDLQvgh8M9M+HHhqWaWLT4iJLy4K+ZcSMcvI+3gEnsOFAA7V2Es0V1p0&#10;tvcOVjlQpJt67T8pr0qdOVOhyvov0PExOIVTFSn0bueH/s5a74Z+GGlNp3gC+k0I3Uca3E+lyeW0&#10;20cb/wC9g5xnOMkdK7z406NqP7Q3gmXwRq/xFm/0hEEl9JBH5jKBhgQAo+YcHAHtivkLxv8AHO++&#10;D3ia78AeIfBd9b6lpbFJmjjbZLGDhZ1+UfI/BDdOetWfB37eGkqVtjpd1vYAKxlABNfEw/tbB1ZO&#10;EpJt37r7nofbVaOW46C54x/J/gfbnwR0zVfBGgQ6F40vJLyS3ULHqGmwgM/+8hbj8CR9K9El8e6R&#10;p92l/puo6pFNH1ZreNgw77l3c18Lx/tzXk0eEvdPsdvR5bksVHuB1/MVy/iH9v2eOY2Wla9d6pcb&#10;v+PfTbYk5+vJx+X1r0qGaZ9Uil+NkebUyjLYy5m7K11Z/wCZ+hEP7R3iSbxLaweFLGG4vdL33KQz&#10;yeVHdAI5VHKhti7uCRXgPxb/AOCsf/BRSHX7jwn4g0nwp4Ls2kbydX0PQmuHdAxxte5lmiDEDBBX&#10;jtxXhn7PX7THxa8T/EHUrrxH4bm0fT20G4EfnOS8rebEVTnphN9fQGvfCZPH/gS1l1tE8+6tRJIJ&#10;kyY48cKfdsZ9QNtfTUaOJr4H99pUfU82p9Vo4q0EpQ8zrf2b/wBpLxl41lfW/iL8Z/EmrT3W1Bb3&#10;GtzR2+1R97yUYRAnvhB+VfQ2kfEDQIplksb1Yyw/u7Rk1+ZfiTw348/Z61htQsXuJ9FaTKzLk+Qc&#10;9/8AZr2D4Y/tFeH77S0j8V+K7mxtZY8LJGucPnGQeq18LmH9oYWvy1G/vPqKOFweIpc9O23T/JI+&#10;9tG8U6VCyLFeLIys7qrSdGcgkgfX+ddB8PtQs7RlsrrWoxmZ22T4UszSlyQx9c1+fOr/AB81TwRe&#10;nU/CPxHTUrdfmj8/5iB9a6Xwr/wUK1mJVi8T+G47iHp51vID+OOK0w2e5hR0dmjmqZDGsrx0P0P8&#10;RatJaqDp0SzTSR/Km7bnHoe31rzH4qfEnRPB9nPp9zKYbi3tmuNQUBmVUIO4sxHXAOa8R8Fftu+A&#10;9QnhubDxY2nzKR+4uGGPoA2R+lbHxB8Y+Afi94c1Pw9rHiO7C6tCyTXWlXEazbX4baSpH3SR93vX&#10;0GH4lwMpL2icX955tTJcVT9DnP2dPi5a6rBeazdsy317cSMIwD8vmNnJPQADAx7V2n7Vvxf/AGVv&#10;h7+zxr9v+1t8QNJ0vwXrGj3FhqkeqTbWvEeErJFBGAZJpdrEhY1ZxjcB8ua8q8QfAfW9G0SHTfgV&#10;8Xf7PvFhAZdSs1mkYf7MmPLjPpujf/gPWvze/wCCwf8AwTV/a51u80n4ueB9A8ZfEWZoGttZhtJp&#10;tUntMDzFdI03MI/9Yp2jAITA549KOeYGpU5YX9bWRy1ctlTjdn5leL7rS7rxpcv4enml06K6eOxl&#10;uIwkjRBjtZlBO1iMZGTg9zX0D/wTZ1bxzpH7Q9zH8M76OPV5vDs0cLTqGjI86AneD2wpOeoAOMGv&#10;MPgL+zZ8QPjj8VI/hxo+l6hZ+TO41q+k0maQabgN/rVUfKSyMoDFckH0r7g+Av7NfwH/AGGfirZ+&#10;M/GvxQm1SbWNEmst9xpawrHcNJC6qqrvZchCu5j0J6da68LmeEo5jTpuWrZw1MFiKmGlKC2Ppi/+&#10;FmnqIrnxX4tePVPLD6hcaPN5EIn2j95GhGFK9ifQ4xk1xd/4z8EfD23utQsdb1DV9QuIlZpta1Oe&#10;5FuqliuTIzY+87bRgZbpwBWp8KtA+Ln7S/xMk8K/AXQpPEGlxgfbNcS4R7K0Tb9+ScYTPBAXduYg&#10;gAkVP8Pv+CIH7XPxT8QXHgz4zfGXw/4T0hbd5p9R0lZdSuL6QMAFW3l+zkx7dxZi424Awxbj1+Jo&#10;5lmFGnSwsnZv3mtNDmymvgsLWlUxKTaWifc84/Yr1nxT8a/2wLDx5aWmteIofCCzaxb6XY2cs6XF&#10;woMccrCIMI445WjZc43MvH3Wr9SvFfxK8Z+H/hC91JobR65a2n/Ew0yOQNLBG5YpIV67cYHTIJGQ&#10;Kyfhp+w38NP2Tv2UNP8AhF4J0K18ZXGlQtLrVxcabb29zqbMxJuY1ZWUSqNqqrsy7E2blGCvzT8a&#10;EtPhdrFv45+GqaxoV5DDHNcXGi3zmKeF2YLP9jnJBGQ0ckQZdrHHIGD9Jw/lOFwOXqEFqt9Ove9z&#10;y8yzKrjsdzy22SPMfix4m1HxKupLqkMiy3gbmQ8+4/Ct/wD4IleN9B1X4ifEbwhpnmNHp08d/JGs&#10;Pyi8QSxdfUrhh6mLisz40ftU+CPF/hi5Ph7wjpeteIIbF/ObT7WW0t5pgp+YxS8xsCPmVflPOPUY&#10;f/BDzV/DHwo0j4oeItUmu216a1spdQsRtaRJ7Wa52yKo+Yq4mVWOOSpxmurMJe0qU4wdkrtrvpY3&#10;i4xpOLWr2P0UtoPiPqE0ltHpV3Hb7t65hY+ZI/ofTnn0r1Twl4Rtvhr4Pt9JaVPtdy7PNtbawOSS&#10;fcDP61xfgL9rW3vYLWCHSYb/AO1SKgjt2CMhJ+nb+ldgj6V4n8Ut4k8Q332eG3CLbwhiOgOQ344/&#10;KuKo61uVrT8zCVGVrszfFtlo1naLrM19LCzDaVkJOcnj8c+teGfGHTP7NluINSiNxY3Ee3y/+ekb&#10;ZDL9Tn8OK+m7weAtd8PyW980TRkeUWnJO1ux98HnPrXC+IvgbD4k0a7j8Sa3a+WrbNNa3kDE5I5b&#10;04xkcVVCtTpv3jGXun5w/EL4YanoHia40SJ5Gj3eZbzRsSs6Nyj57ZG049eO1ecx6rb/AAa/afsf&#10;FEmiwjxNdeHZLhr5wJHjjhlQqxQkoGdtiliN3ygjBbn7G+Ofg+f4Nss2s6P/AGhJafuoSy/JIpyy&#10;E+wJI/Gvzp+M/wAStQ0j9onVPGmvxSX2YUea385o9ttiR3DEDn544Nq98KO5NfQ4aMarUmZSr+60&#10;1sfdHwQ8AXvxE8fW9/4luZL/AOzyHV/E+pNwvmhf3MIP91Qd2PpXm/xf8Qa54t8Q6l4t0iRla6uJ&#10;XaFieY952n/vkL+Vez/DT4pePNG+EkNhpvwUsxLqVrHNcW9hqrrqF7lACI1eHax56l1TggHOBXlP&#10;xW8ZfD/R9Ws9U8PG8s4POe21DTdYtzDdafcgK7QzRHkE7iVIyrLjB6gfJ8YVcRTy2dSH2Wn+J25P&#10;Rw+JxfsaqupJr52PLPhz4q0rS/DdzpupatHHcK5jWJQjStjIZfnODlyzYA43delfOP8AwUGFrdfC&#10;TwtrMEhN5beKtatlbyfLZo5LawfDjAAwQSMf3jX0lbeOdJ18P9muAsLyPHJHFChVhu7hlPGM8Yr5&#10;V/4KP6zeeHPD/hnwzp9mJNLvdYuLuOZpAfLmMKK8Y9sIpH0bHAFfIcyqYeM2tXucuWRhh825VteS&#10;/Q8U/ZR07xTqvxKm8RWWl/adP0PRJrjWWLFVSIoYgCe53uh29SAT/Ca+rv2ePEeh/HG8HgBHg85N&#10;8V3ZrcdF5556LznHv1r5g+C37QHhPwX8IvE3geO8Ww1K7umnnn3DN3bmMAR+5RgxGf8Anoa8L8G/&#10;Fvxz8PfH5+IXgfxDdW18szTrJG5w+DwrYOCD3GO9fO4rCyxld90tD9Do4mODw0bu9306H0F+2L+x&#10;n8Qf2UdfuNUm0zzPCl1dN/ZeoRSbjFnJEEo4IcAcHGGA9eK8H1PUoGtJN/3ZI/vN/DXuH7Sf7cvi&#10;39of4c6D4B1PWJLj7NP9r1bMp2TSso2qxIGfL+YDoBuOMjBPhuraVBqtjFaNCsbPz5nme/ufSvRw&#10;ca0cOo1d0cWIlTlUbhsbGlwQ3mjwyqNsIjXb/tAAVi+IdKubu+jhtoy03LBd23HPHNbWkanFPIum&#10;FFjW1j8tk8zKkY5bgZ5x1xWX4m1NLDxHCYHB3QgybOzHr9Of516GH/jK5yzV4nReGfDssFkItakX&#10;c2Syxyf1r2bwN8RfD9t8I5/BbapDBHY6hJepbtgcFAvB785z9a8CuPFUWwDerNt/hY5H5cVz2veJ&#10;NSvVa00x38pv9Z82frzXtZpHDYzB+xXdfgY4Oc8PiOY6Txj8UpPFfiu+urRm+x7iLWM4BJyeenGe&#10;tZY1C5l+QvIu77q7uAQRWFY6MrwszwMrfwsOP/1/pUqXV1pbKtz+82+3SvNwMXhKKjEMRN1ql2dd&#10;Bc2JCSXlssjR5DMRzUd+tkpa7068mj3feVeVH4EfyNc/DrzXQzG238KsT3ty0Sypyv8AF64r1o4m&#10;6MGrH6Xf8EaviDZ3fww8V+Brl/JvYdSZ4FEi/v8AzIkAVQepBDH/AIFX6IfCrxBbW+jwzsDHbs8Y&#10;MYbDO+ANuPbnNfnX/wAEWvgZ4o8X/DHxZq6W8McOoXUL29xPbn90UXht4BIIznpx1r76+GHwo1j4&#10;fW9jpOu+ILC8k0+32Q28LFQ54B2bgATwTjsAfSvTjBVsOtdT5arzU8ZJR2udr+0H8cB8IfgTrnxA&#10;ubdl+y2uy3ijYKzA8HGSOf8ACvzi8d/tZ/G/9rD9p3w38Nvg1r2raL4evHtdPh0m1l8suobzC8pQ&#10;8gMGdm52jJ/hzX1t/wAFQdVnsv2b1EiSR2+pahDbPaqwYbGWSUt6Eh4o1x6EjvX5y+AfjVqP7KGs&#10;2fxr8IeGmutbWS6js5peILOCSBoQ7L5ZyxLPtYEj5GBFfG5xi6lLGQopvlWrt6n32QYGDy+Vay53&#10;dK/Y/Sz9qv8AaXvfhb+1j8P/AAbPqw/sjWNMuU1eNZOIZ2jfyGft8xCjHuOuQa2vC/iu08MeF/EX&#10;xY1gKzQWrGzEjffdiQEHv0r8c/Fn7XXx6+JHjK08X+LPGM1/qS6hFNDJIpJ8wOCoK+mcAD6emK/W&#10;BPE3wy+KHgb/AIQ3XvFMtjbRw+e7WWz95IE43bgeAR0HX1HWvWybFRxPtH5q3pb/AIB4mcYeNGpS&#10;hF3tFX6ao8L1bT/GHinUZfEc12N983nSbm5DMMkfnRXtE37DPwL8WMviPxBps2rXl3Ejzal5aJ5/&#10;ygA7e3AAx7UV9KeTzVO58Hw6p4g8a3TWNv8Aab6RT91mOAff2r7u/YX/AOCd3wsY2Pj34wtH4kvp&#10;I1ltdHaMrYW54ILqcNOw4+9hOvynrWF8L/2ZLTw9rcenarpFvbwyOvl+THtEbYH6HHvya+sfhDpD&#10;+GLJbOA/NB8hH+favyfA5XRw83KaTfQ+0xGYOvC1J2PetE0Rks47eKFY441VY1jUKqgDAAx2AwB7&#10;CofEej3cOnSSiFjjA6++aseBteWePZMBwuea69X0y8spYbqDcGXGPxr1uU8Y+ZPiCNV0m5W/tGfb&#10;vIkVfof/AK1fHf7e+r6pr3h+wSGfdDZ2d3eXKN0UB448fm/5ZPav0S+I3gSzuGk+yRdGzgn3r47/&#10;AGs/2f8AUviVouseE9BiVZptFZLcs23MnnCTbn38tR6c+2KHT51ylRfvI/KvUviFLpGqNJD5iQTL&#10;mRMfKTknmv0g/wCCL3xXsoPAHim58Rzxvb3WpWcdlHNNGF3IJCWO9hjBdOmfXtXw34h+BC2niWTR&#10;vGeiNbzW5ZJoJoisin8O2O/Q1658GfF0HwTs5bfwrrf2K1lUM628gVlZT/CcEqSO/tXPg8CsPiPa&#10;X6WO7FY6csI6Uuv6H7Aa98V00fSpdUvbCx+zrlYL5dXga3nJIxsJZXZwOqBD7E18w/tdfEzRPi34&#10;BvPBuq6wqy83GmOWCrbXCKdkgU+xKk9drMB1r5k0X9qDwjIJZNQhaacbWW8lvDNIJMnBJKtnryuQ&#10;P6+3fBkfCr4map/bviPSjd3l3Gr29je/PFbcYIVTwQSeh4AwAOM17kowrU3CWzR5idWLVSKseEfs&#10;OfsSfGf4wfFPw/8AF74peCG0nwFp+pR6ju1raH1VoyHjiSDBZo2bbuZl2Fd2CxIFfoz8c7DxH45+&#10;EuveDPDbwyXl9pckdnHdtlJJQNyKzdMFgBuPTOe1UNc1i8svD1vHpUSxxwwAKqYxgDgVysvjLVNQ&#10;01byyv3WVdwZV6niufC5fhsLTcIddzTF47EYhpzeqPyt8WeGPiP8Z/jBZp8ZPA114THh+4MF8ty8&#10;8d1e4fd5ZiZiEXn/AFgA+U/LuHI/WD9nz9qifxP8MYde+JVlNDcWs22TUbRC0LwqFbzpMD90SGwF&#10;xljkhcE4/On9oP43Pofxs17xl4j8Irqemw6s9uskpbEbQpGmWUckEhvU8D3rpfhH8fPit8VPD9xD&#10;8LdG1K+0O1kD32k2t0ZIzM2SiFJMLCjEZO0FjtPIzRTw9LDXUNmKtjMTjZXqPY+3/wBoj4meBNT8&#10;IX3ivS/FcfnaXG95Z2NvIVWdlVlDlMAgv5q8twducevwR8NPgnDDqcM+l6Ob6aWQ87M/MT8x/Hrm&#10;vW2+FXxn8a+C5dU17XYdO1R4ow2kE7VmVWV/KYqcKMqMdeRzjrXO6x/wVT/Yz/Z0vl+G/ie2uNK1&#10;q1ka31BUtln+zTxOY5UfyS5Vg6twQCRhuhBNRcZSMYzqRdrn0d8Bv2e7C30/7X42lVZpIAY4Nx/d&#10;Z/rgfpXpdl8G/CsID28khwcqp7188fBj/grL+wD8RbyPSrf9oLRY9TkVfItdQjlttzE8LvlVUySc&#10;YznmvdZv2jPh8phsn8Q2QvNS+SxtrefeWG3dwy5Ckr0yRnp1IqJw6WNPetqbdlok0Hh2YNC3kqzb&#10;flOSN3Wi3aVocS/KynB29/eqcH7QHhTUPCE2r+HzDeMqyRxssgYFVILDO7H+RmvE/ip+3R8HPBMU&#10;x8S/EnQ/D9qNxRtV1FIXYAgEImdzEHsoZvYcVChLsTyy7Gv8T/AWkeLdVujp2rWsdxNcbmSXjcTx&#10;getUfBttqXhrw7b6Jqto0M1vuXbjAK54Yexr4s+Pv/BV79mDUJZvC3wv0vUvHGsXDGJdWvJJbHS7&#10;M9PMVWCyz7f7u1FP949/o/4C+PNK8a/CTQfFWkS2ym+0uCW9jtXLLHdGNfNQlvmLK+VJbkkc+pPe&#10;UdieX3j2C01fMLKW71Z/tOMw+WZR+dcXBrDon+s60f21Llvn7VJajsdRNrTxtiCfP907+nt7V4x+&#10;1x8Hb39oKLTI7DRbq9/sdJZbiS1X95GjlVGcc4yD+JrtX1lyuAzZ+tcP8Yf2rdM/ZT0yD4keJoo1&#10;s2Ekf2prwxvG4GRsAR/MbGcxlSHBIPttRVOVS09jKUq0dYPU8/8AAX7EPhTULmCDxLov+ixvhrnU&#10;Imwn4Z+b8a+pvAH7FnwG0Lw0sWkaGjRsoaSSNlhXpzhYwP1zUPwH/wCCk37Bv7ZXw40280z4q6Po&#10;+tT2qtf+HdbmFveWUw4bO8BWUHo4JGMZwcgal78efgh4a1SbwFd/FqykvAysH02GS7SaM/cKtCpV&#10;iRyRu6eldnLSUvdSM6ksQ5WnJ6lPTP2YPDOq+NtPs/Dts8NlaSefeRtKWV4VP3DnsxwvuM+leqah&#10;4Zh1PUP7J0uJpN83+kXDN1OefwrZ+DWiW/irwXL4i8KTXFzFfXXlxXUlqYSypxkAknZndg9+eK7a&#10;z+HV9pNk1useGk5luGXGPx70Sdzqw1Nwp6nz18afhHB42th4S02D/Ro+LpuPn7Y+lfEv7SP7LXxF&#10;8GzyJ4M1y4TS5JD5UM0XmFWOfunhh7dcV+nmuw6Jplq+jaIF3t/rrjuxzXD6j8OvDnirU/8AiZ6U&#10;skcHO45HOK87G4Whi7QqxvbqehgMfWwNa9N77n5H6bo3xp8F/u9R+0zw7vlLbgTzyMEV3PhDWPFm&#10;v3MGn6F4c1C6vpjiOGxBmeQ4zxGvzE/QGv0R8Q/s1fCHWY5gugPb5zt8m4Ybm9fmzn8q4vUP2LvD&#10;Okyf8JB4f1eOxk0/99508IDRjbkYZNuee2Pxrxa3D+ElL927H1mF4m5pfvI3PlebwB+0Lb3C2i/A&#10;XxxDMsYkZZvDtwrFT/GFKdOOvtXZeD7T9sfQoVi0j4AeMrqNcM0cehzMwXtwgYj8q+uvhlD4stNJ&#10;uLrxpPNe3V1cNJNdTNuJXA2qAfu7VHI6Ak+9dnafFOP4UfCHxt8ddVjkbR/A/h3UNZv2VPmnW2t3&#10;l8pemcBCfrt96zlw3hOW7kya3E9WMrKlH8T4y+E37b1lc3lnaPYatY3Cr5khnfzEnXOMLnAx+A/H&#10;ivq74XftMeC/EOmx3Z8QWUczfKkc91Hh39Mg5VsHp1xmviT9k1fBPxi+D2mzi6xdzWSz6TqEK7vs&#10;czJ8kyjIyCCuVzhgcHHBHDfFXVtG+GPj3Uvh74j8U2c3iC61Dy7i3m0ww2xtjCkn2teSIydxBBBG&#10;SMNz8vzFajLC1uVM9qlSwuZU+aMeWXY+pPj9+2N8R/ht8Srux+Fng3Sp2kum1DxtdaNCsk08wjWO&#10;MyFBmVhEkasxyyokY5HSH9mX9oX9mb4sfEHS9Q+Mf7KngvU21K8ZRruqeE7a4W1mSGWdHSWWI7Wz&#10;HglCMk555r5T8D/FXwZ8I9MutS8JeJ0tdJ8yRLK8Ebbo7sKuWKgZdH645BVmzg4I6rwf4g/aG+LF&#10;vofivwnYWmkabpM/nTWPiS1ks2u7h7Z1MkQETK0f74NkAAnIBIr1sllUqZnTlJaJq77I83OaOEw2&#10;XVIyai3tq7t9j9PPDX7Qn7OPwy0RfBfwt8L6P4ftUmZ4dK0Oxgs4DKwxuEcYC5IwCcZwMVW8Y/HS&#10;Hwz8LL/4i+N7+GF1VYNG80ASTXTcbEHVhyxOMjC5Nfn4kH7UXzL9o8IsOke7Vp/lP/AbX9OPqK8B&#10;/wCCi37dP7VP7M2qeFYvE/iXRfE1zNZs2nzJpZSHTCDgBY2Z43kbBJdkyRxjuf1qeYZfTt7Nn5XH&#10;DVKstT9IfAf7aPgLxBZyeFvjX4pt/DOqW7rFb61dMscM0gHG5uAp9iNpHp0Pyl/wUL/bo0bwl4v0&#10;Pw7Fq3hW+jhtbrfqOiaM96t9vaM/NItzEqkAZKgn7ykYOTXxX/w1H8cte8U6N4r+PPxS8CW9xrmh&#10;WmtWOm61YSwwyW1yP3Z22sKwZ2qc7gecY5Br1j9pb4M+I/jv+yq37Qvgbw7HfW/h+8kuLm48Kafd&#10;3GnpEExPKZ5I1UbQu5s/dAGe5rx89zR1MnqRw1Rwno01dPS19Ufa8Dxy3A8VYeeNoxqQbaakk43a&#10;srp6bnN2f7YHwvtrya+hsLaO4kUb5I/CUxzzk8nVhk89MVrfDT/goD4W+BXiLUvFfwm0axt9S1SE&#10;w31y/hP/AF6bicfvr+fbyc5AFfHb3TYUqpX/AGSuCtCTyE8j9a/K3m2cc1/rM/8AwOX+Z/V0sr4d&#10;5XGWX0L91Sj/AJH3J4f/AOCufjjwneGfQ/D77kk8yM2otYlViMEhXgkwPbmta5/4LX/Hyaym0+DW&#10;dThW5QqWEmmEg4xkf8S49K+C4bpo5F3s3LDvViK6ZpNok+7ksO4FZyzLNJyvKvP/AMCZcMr4blp9&#10;Ro/+Cof5H9C37Bv7QGn/ALRP7KXgr4sazq0FvfXljLBq1uqq224hkaKQsQoC79nmYwABIAABgVzv&#10;xY/bLvdG1240P4WeA7qOC3kZGvNQyokZTgsinop7etfH/wDwQ98ZeMPHvwP8d/AjwtGtzfaZqceq&#10;20azbZDDdIsMhX/ZU2yZ95vpX2dqPw91/S9Ks/BXxOezm1Ly/Ntp0UNIE6AOcDPT9K/cuGa0cdll&#10;GrVXNJqz+WjP4341yv8AsjiHE0IpJKTaWySeqWna54l40/aD+JXiDbf+PdEW8sYo2+1Wi25KvG2N&#10;wYg9gOD2xxWV+zb/AME7Phr+1b4+uPj5NqeqXHhGS4Z7axvrExpd3KHgOH+WaGI5AyArNnI4YV79&#10;4d/Zxn+JOqR+GdF0mNrSaYf2xMrnbHDncw6feZQVA9819OWujeDvhn4fg8M6ZBDB9ltBDb+QoVYU&#10;AAVVHZRx/Wvqswx2Hw9NQpK0uy6ep8TySqSs2ch4X+FWu/DHSpLHSfG+o31jFbs3k6g4LW+1SS0b&#10;gAhQB90g+3Nfl9/wW88QWNr4fsfHng2wb+0m1q3s76+VOHjaKVlMhUHO3BGc8A+gxX3v+0R8cbjX&#10;/DevzaT4laztbe2S3+0faBHHGCmZpGbgbVB55xkAd8V+S3/BQvxK/wAU/Aul6Rbaytxpzak32PcG&#10;/eqqMWnx6uxGPRQo6gk/J4/ESqUJxqfaVvU9DDyjhKsXex5jYfFyz0y3s7zQr5JHeJzMqyKMSFuB&#10;j0/pXgv7fPjrx5res+F31vTZ7TS77TG1HR5J12/aYWdog6g8gEwlsHnBz0YGvdf2FfhH8MvEvxCu&#10;fBvxS8Kw6q/2MXOlrJNIqq8Ui5VlVgJFKtkqwK4Tp1r6h/aq/ZV+E/7UvgaHwr430ua3uNNVv7F1&#10;XSykU9iSBlVBBVozsXMbDBwMbSAR8zVjen7uh04T2ccS6u9z8ZTcyajMtv8A8tJOMqK6Kz8NxwWa&#10;onznblj6V0nxd+EGh/Bb4z6/8NtI8QTatBot79nXUprVYmlZQNw2Bm24Ylev8PbNU0jAtVaHcGbh&#10;juHT8q4be8e+tVc525017Z/Otjhl7A9ahi1i5LML2Zt/TbnpXVR6RbSJuZizdworJ1PwuZFeURKj&#10;fwtjmtCo3MuW8LTR31vI0c0LZSRT0/xr1Cf9mvXvEX7LzftcXPjzTre3m1ldIttDe1fzp7ncCSrk&#10;hdvlbn4z90jrXM/s5/CE/Hf45eH/AIMXviCPR/7eunh/tGSATLCVieQfJuXcW2bAM9WFfXX/AAVd&#10;8E+F/gX8H/hH8Bfh6Gi0fT5tRm+ymQFppESACeTHViZJTnpliB2rbDrmrJMxrOXMkj4ks/BWo6jq&#10;q2s1xthZPmZe/wCta8vgyy09FgtpsDo2a0tCuriWz82HbHs4c96vfYo7qNVMnLNnca+jo4WjKPu/&#10;icdSt7MyG0lIIxFbbiw9R8oPrVDUdAe4DERjd/FxXWILd4XHG5P4vWs+9Te+xWZcf3R1q5YOCjdj&#10;jVicPcaM1o22Nyje9fZ/wS/YZ+GHxm/Yn8NfGLwjYTr4ytNXmTxEo1CRoZ4Y7iRcbGJEbBGhY7cD&#10;Ctx81fLep6dazwkyfe67mFfpB/wSGFlcfsn3lskO4L4svEnDZIkzDB2PbBA/DNeXWh9XfMi5TcUd&#10;v+y38Xb34BfDHR/CvhBUt2ubfF3BuDZkdvmOTnHK46dBX1h8Pv2hNKtNDmt/Hl/b6ff3l19p01by&#10;Q+Wq7WxDJIQFSUgbgp6gsQOMD5/+Lfwy8D2PgPVtd0nwxbwX0dqfs7Wu6EKxIwSqEAnknkevqc+S&#10;+A/2R/HPxKiki8c/ETVJLGRl8yxhlEcYJOdvygA4+hruw2IVaPKjxcTFQfMz2v8AbZ/bt+D/AMTv&#10;hvN8Jfh7eHxFqcl9Gk1rDah4YQnLKWI5yQORlTjPUCvlzTf2ZdF8TeGP7a+I3hCNprhgsfkN5Zt4&#10;wTtRdvpnPIPJzX054O/Yu8I+ALaJdHtI/OMf7tmiztX1HA/lzXrGh/snm/8ADdvcajOzSOQFt8cn&#10;/axW1TD4eoryivU0p42UKdqba+8/N27/AGffBHwo8bW3j6bwvqVxZ2sm6B0mWQxzdnK7VD4PIHHT&#10;v29c+GPjmTxpr8OieGtYgZ441km+3ZiVEzy5Dfwjv6dT2z9IfHv4HeH/AA54KvLaFDJtDBsDO0/4&#10;jFfHutfDm8Fw974c1C6sb9GZZDHMRHKh6gr0Ofcdqxp0aOH0p6I0lVnWs5O7PpqD9rPxFYWlvZ6j&#10;8VGimS1iDRWmjae0afIMKC8RbIGAcnOc0VxPwg+E95d/DvT7nWIIry5czGW5uFVnf98/Unnpx9BR&#10;VfXI+ZnzR7n6Ba74bt7/AE2DU4F5ZV8vaOnoa6DwJIb23F7MgWZTsuF9dvRvxqv8Obu11Xw5J4Zl&#10;lSS5s8y2LKwImh9B6sPStDS7nR9P1EyWz7FlUi4jPBVgODg9jXyZ7C92bT6naeH7uS22qnyjdz9K&#10;7HTPFCxyqvmLuYEbWrzBPE0Ma70mAx2rMv8A4nG31+G1tHHmbS304J/kK0F6HqGvakjtNulBJbP5&#10;15N49t03tcAKDuUZ9RzUus/FnT7WeaG61ABlGf8AGvPNY+NOh+JtaXw9p+oedcP8zJHj5cevNDjK&#10;wRjeRx/7QHwS8IfGnwvcWN5o9kurRqPsWpyW482Mg5CbwNwRuhx65r4PuvgPqer+Jr6SW0lthY3r&#10;Wt3aNtHksrYIOTnPfpyDX6SSXabdw+vPSvxb/bG/4KAeOdJ/a68ReLfgN8R7220248lLyzvbAeW0&#10;yIFaIwTqQuwBYywA3FCw65OlGtGnpJFyoyk73PtD4cfs5aTo9tPaGWNt5jkXYnJwTn0r6m+E/wAP&#10;dL09Ib+HqIPlKjHdc1+PfhD/AILI/tMeGZ4f7Q8IeD9TjTALPYzxs3JycrNtB56AAcdK90+FP/Bd&#10;74hW1nHp93+zfp99N8xMsPiGSFTls4AMTkfnXZGvSOepTrRlbdH63TW6x6LZqLpf3ifMu/JxjuKp&#10;3/hnSo9D8xYVST+EL1b36+leb/sRftFXX7Vn7MMnx81H4Ua0NQt/Es2mDwn4X1KynuGMUcTB1lvZ&#10;baMLtlUkMykds8V8v/8ABUD/AIKT/tDfsiz6LpPgb4Pr4bPiCK5fd4z1C2u71RC8YDwfYLt4405K&#10;/N824E5Hyk5+2iqljnlCfPY9M+OHwg+Fel6JdeE/Fd7byapdNLd3PlxszW3zbyZDjCDp98gntUX7&#10;LXwn0r4aaJrGr+G5VFhrk8DWaq4YPHErASZGchtxx7Yr8dPj9+3r+1H+0BpcmhfEX4sXjaPJO0ja&#10;Tpuy3hf5y4DmMB5gDj/WtIe+civ04/4JVftOt+0D+zBbW2ohY9S8KXH9mXUYkzui+9E+MehK57+X&#10;mlVqRlojop4WdNczZ9VJdeWfMuJ2YDn5sV/P3+0L40sPjB8d/GXxQtYJo7fX/E99f28Zkx5ccszO&#10;F98BsZHXrX7weM9YhtfB+rXdxJtji02d5G9FEbE1/PnFMW4b7x5b2J5NZ0tJHQ4xikiOSxBVY0n+&#10;XOfnxlT65x/OtDTbzXfDlyt9ouvXVtOz8zWt28bZ65ypB7D6VWYfLkLmob9snLcfdH410R1lYD1P&#10;Qf2kfjFoum3EFn8c5LCO5tWi8m80kX0zMyhZFDvE7Ju5bIYc47qprzPxDqXiDXolj1jWbi8jjlYx&#10;tdTNgggDO1zkE4GfoPQVJBL51sGO1VPAO6mW8kbRlADjd95WyazcmBDYG7sJWuxfNHJz8wGcV+u/&#10;/BMG90i8/Y18N6tp67bm8urs6sfOZt1ykzpuIY4XMaRkqoC5OQOTX5FvHIsh3KcdASuM/rX0F+yv&#10;/wAFI/iF+yh8MZvhdoHgHTdYtW1SS9gmvrqSMws6IpTCjlcpntyTUyk5KxM480HZan66G6Rm+b7x&#10;pyygZbDc+lfmVJ/wWz+OTP5tt8IvC6n/AKaPcMP/AEMVDcf8Fuf2jlUrb/C7wan91pLW5YD8pxXP&#10;JzUtBxozsj9ODMyDhK+Jv+C2WqM/wz8C6QrbfN1i8dlz1Kwpz+T4rxs/8FvP2nXxj4beA8Y/6B97&#10;/wDJQryn9pP9uj4qftiLpNl8SNA0HT4dBmnezXQrOeMu8oQNvMk0m7iNcYxjJ61rGXvjjRjGSd9j&#10;yMaHCyKrxJ+7XCfLjHGM9K6T4efHb4z/AAtutvgjx3qVnGnHkrcFowCecKT8v4Y4rHluEhtzLIw4&#10;GeKy5NXuYH+0Qhdu3lSveqk7XsafxNT9ev8AgnD/AMHFOifDn4cW/wAFv2lfh40P9g2AS18SaJE0&#10;i3GOP38PLq3OSybgxBwo4FfVXgH/AIK4+Af2itdXRvC3xW8IyNcsP7N03TbyQTup7tHKEkBwR8pQ&#10;MD1Ar+fnSH1C00z7Sl9ta6UbtyAgrnIH6nmqN+dTs8S2JdGjkDrJbyDKsD1HoaIyqQVrhGnTW6P6&#10;j/D2sWWu6eN2pQTSbQcwsTz6fWtfztLsbcwQzr833vev5o/hL/wUf/bH+A81vceCPjZrcy20v/IP&#10;1m4N3bvHjBUrNuwO3y7SOxBxX1v8Of8Ag4g+MNtbwW3j74CaPqNwpC+dpOry2kbj1KMshJ/4F64x&#10;RzX3NPZ094n7E3V3axXkc6OHZpCluue4+82PQevT8cVHq8B1CSHTrxozFG/nTxjrIf4V9xxk/QDu&#10;a/O/w1/wXV8KeKdem0rwr+zx4r8QeIWhIs7W3aLasaE52pGSyr0boTjBYmuF+JP/AAcCa58OtR/s&#10;23/ZovZNU8vN5Dr2uPbzQ4+6HTyCRuHzcYGCMetJuny6m1GEebV2P1Q8G2P9peI00u6uAIZpMSbu&#10;AidWY5/zzWf+1v4s8IfED9n7x9+zf8JLW0v2vPBeqWeofvEWLzZrSSNYyWIGSzjJ6flX4ZfG7/gv&#10;X+2X8SrC40Hwfb6H4Pt7jcGutKt5JLsLjhfMlYpj1xGPWvHPhf8Atw/FSPVptI8a69qXiOTXrhFv&#10;JtZ1aWREyzbnVAQA2GPTA4XjFZKtze7bQ0qxw6i5c132S/U+1/8AgjP441e00a1+FHjC7X7Tbq32&#10;E+YSZLcs2wYIzkEbfoF/D6N/4LEalB4b/Yi1H4i2mj21xf6LqFmLO5ltleSASXCJJtYjKg5GQDgg&#10;DPQV8k/sG/EHwtq3xe8A2HgT4X2+n6po0FxceJPEn9uTySXcCxg5kiJ8uNFeSMR7AGzwxfJYe9f8&#10;FT/j/oPjf9jXxl4NtUFzH9mjDsibtsiTo4JxwD8p/OvisVR58wXNqm/1Pro82Hw/PSurRW/e1+nS&#10;+x+Z/gT4++Pfi3+0B4OtfGuoxtbXHizT/tMcan/SAbqPIfJ5yp246beOgAr9YdN8YpJGqW0Sx4UK&#10;qLwAB0HHSvw98O3+uabr9nfeGbqWPVLO+juLCa3Xc6zIwKbRggkMFxwck19F6d8fP+CqWpEwadof&#10;jSRo1VpFt/h+GZAxIUsFteM7TjPXtX2NOnQoyUYpJ9j4nFRzDMouvWcpJdbOy/Q/Uz/hKygy8p+7&#10;k/L3rurX4DfC3xl4Uk1r4qRaXe295BuuLPWLEXVuUwRtZeDuIGOOM9jX5E2fxV/4KsXV1FBeeG/H&#10;0EckirJcXHgNkjjUnBZmNqAqgZJPYDPav1o8M6tompW8cuu+KtFtbGzUMLG0uknuJ2C5EjrFkLkj&#10;POD7DNVVvy6HlyhGlscP8f8A/gnP+xL8ffB0vjPx34JuFu/DPh37Lpc3hbxG+n/Z9Ls4W+zWscMy&#10;vCgVQeqdWJJOSa/M34lfBb4c+EfGWpaD8ItU8cQ6FA0Ua2t9rkLuw2+YUYxwLG67jgMFAZTyOa/Y&#10;Lx14s8Mad8Mde17XbESWLaLcGYPA0Ya38pt43dVG3uMH3r8x/i78c/Dep/E/Wr7RfAWhaHas8Aj0&#10;7QZbhrUbE270+0u8gDYVsFurHgYArkpuVTGRhLZp6HqYWMY4GdZL34yjZ36a3/Gx4Hci7tpmgvEc&#10;SK2JA3XPr/X8aaJ+m5W9uDWv8QvEFt4i177ZZwKrMqrMFUYJHQ/kf0rmmESSZZW3f7SnA57V8bmG&#10;FlhsZOC2vp6H9PcPZ5/auUUcS93FXT7rT9Lmi867f3o3LjP3v511nwj+Ft18Tr2VLfxNpemwxsii&#10;TVrlo1kZt2AqqjMcY5OMDjn04oNIQrM3y/3v4q9CsP2gryfQtN8HeIFE9jp9l9nWG8t0uIyMnkLt&#10;VlPvuNcsKd5HZnGYY7C4X2mGjeXXrY+1f+CWnhP4nfsn/tQN4ns/FugzaTfaHcadqkkOtJH8rlXT&#10;ibYTiWKPoM8tX6BfGD9pH4XfDuztfF3jKexvNUm+80OJMAD7uTn1x161+JPgzxp4HigN9bJHFKkz&#10;ELb6lcDcvUDy+V9e/Tt3rlP2hf2mruz1Q266jcTXIUKlr9s3qvcHgDaOnWvTwrzOnJUcPUklurOx&#10;+L8SVqeY4h4rHU0ptJN23S23P2BvP+C2vw5+DevaXplzYLH4dvNUit9Wu2iRfskcpCG5XZ8zCMkM&#10;y4JKBsAtjOJ+3d/wVk8FfAS2aK48Spc6hMwKafaSbpGXqD9eh9Bjmvwk1P4ufE3xDqS3l5cwtDGx&#10;8u3uIhMjfUPkE++Kq6z4g8VeKr6TxB4t1Ka8uZPlaaZy2AowFUdAoHAA6V+h5RjMbgcG4Yhuc31e&#10;rR+c5jQwOJxMZUY8sVukj7Y8Qf8ABTr4g/tT/FXw38ILnSl0zwne3UiyWjzt5kkhif8AeNtbly5H&#10;zEtj+EJkivSPihZeH9Kg0TR20xri0tbeUum7e+xQAAOuT1471+cXw78aDwl8QtD8TtKAmnatb3En&#10;H8KSKzD6bQa/Rrx7ftP4u0yC3RSFspGOe+SP0rqlWlW3dz5bNqfLWg1orfqU7fxJ8F/A/iTwz4h8&#10;K+I7L+2b6+tm02DSZPN/cysI3afZ/qowrPu34bqACwwPpq48R6LHHJc3FzHCiLuYtKCFA5znpjvX&#10;yHrnwk8N6JHqGraTpkateM0s+5R8xYZJ+tfK3jz9jzxl4W8L3HxaufGvhuTR47iNo7GHVne+KtIF&#10;VDH5eN3OSN3QH0rlxGkdDXKbSvDXTucl8R/GK+OviP4h8a+UyDVtburtVbqvmTM+P1qiFWSNY938&#10;TH9abeRQhfPZ9zM+XLc06T5ArLg98LXBy9T6uHKo+hat5I4y0YXJA4NVbnUXki8oRtnd2QVYgCly&#10;wR+lOsoYJLrYoCSchWkPGaDWXI1oS/BnxFafDv48+D/H19lU0fxNZXU7LnKxJOjOB6/KCPxr6Y/4&#10;LGak1/8AtAeF9IS5Oy38J+Ygz8oMlxcAkfhEP0r5M8R2VzDIzO6NJ/eVuB+NfQX7RjX/AO0x4c+G&#10;vxk0ie6vtYm8JNY69p8aAm3ktZWQOvf94zStg9sY4rfD29qrnHiI+8meF6Zp8+k7L+AtIrj94prR&#10;fUIZSVJ27eXXuPepdR0jUtFnXT9RsbiF0H+pmjKN9cGqbLbSqYim6T+Hcu16+ipycYpROGpD3rj0&#10;llulCwjgNlvpUWokMPLeY8enFS29qunW/n3V4FRs7GBznHsP5VmT6lBNulknjXH8Kn5j+FaylJK0&#10;tCo8vQdJZSImIrvcJDg7u1fo1/wR9ugv7OOsaZuG6HxhOW/4Fb2+P5H8q/N+TUY2EkcSSMdv3lQ4&#10;3etfpR/wSu8NXHhf9l+PxDexqsniDXLm9jKtyIlxAoPpzC5x/tV5uM9m46Mmo46Luz6b8SaeNb0W&#10;40hVLNKuMD1yMGuz8HeDrXQNHh1DVFkkWNcQ28cYVpm/vH/PSsHwCp1PxHBCY933n59hXsWl2kM9&#10;z/aN1GM7cAMv8h6UZcmqLb6s8fGfxrPoM8B+FbnUbpdZ1q3+Zmzb27H7vpxXoN94EhsNIfXLy7Ys&#10;2NqtKQF+n+f51z+n3MEGoiQ2MkyxLmNcHANXfHFrqTeC11/xb40t9D0xWE0hup0hWEY7u5A9O+Oa&#10;9B69bGVNdEeJ/HKaC60K5WMPMjXGGZc4218oeIvClymoO8RbauRxzjBPWvrid/DnxH8K6pq3hDx1&#10;oOvWNv5izT6TrEN0EYLkKTExAb2618/6h4buVmmu9Yu4VEjY2M3K89D0xWc10NYylGRc+Gev2lh4&#10;HsLOaRVaNXDKzdP3jUVzt3o9zDdSR6c9qsIY7Fa4wR/k0Vz+zidHu+X3nqFt/wAFWv8Agn3LdjUf&#10;h/4o8aahPbfPHH4f8I3xkDY4/wBascYz7kZqPVv+Cqfgnx9cW66b8JPGkce3Y2raxDp1rLGD/EyL&#10;dsxH+zsGe22vznl8fXtgpjtPLXPTJB/pVLUPiBql3Fsk1Ngu7O1WIyfwrx44ePVnsOneKSPuXxL/&#10;AMFRY/CuoyWt5oDXWnrJt+2adqCyT/VomVAMezseuM1578Vf+Cz+mfDWP7XZeDdWv1usLZ6tbx7o&#10;egLKS7IQeMAMARzxxz8dX3ia1bPnMG+bJ3Y5rI1nVtE1/RL7wxrVnDPZ6pEseGYr5MwYeXIuD1zg&#10;HPHT0OanFQjenv5mmHo81Rcz0Z2nx8/4LHftHfEfUNQn8CTt4etb7CQsFDyxp35O4EkY5GMds11n&#10;/BMbUf2s/wBsD4h6l4K/4aqv/Deg6fcwat4sW1vTHrWsQFwpggnQCZI8rg7ZFSPzAQjFwD8WHRoL&#10;DVH0rUJldYWKrKGGG2nGMDjjFd/8A/jP4v8A2dvinpPxQ+HuoNb6hpNwHWLPyXEWMPDIP4o3XKsv&#10;cHjnBqXzygaRlTjNpH7vftDeKbrwh8AfGGvaNdra3Fj4YvGsbhmYrFIIWEZJALcHByMkAV/Ovql9&#10;Je6tdajcgtLdXUkzSHnlmLH9Sa/ab/goJ4q+Knxp/Ya0zxj+ztrtvZL4oOlzXVreyMhubG+URpAX&#10;XHzeZPAxG4f6tg24ZU/ie0jtPsRuFIFc9uZ6kSuqzLVs48zls/hVqHUorc58xlIb7y9aqWpYz4I6&#10;imXTlH/1fGePmq7IW5unx74it7P+xIfEl/HZsxf7Kl0wjZj1YrnBOMD6CsyabdIZUI3E9WUN+P1q&#10;o7OCu9M+nFPE/qtN+9uLlQ6WJZuJDxuzivtD/giT8W77wv8AH/WfhSYV+w+JtHklZU/5ZXFqC6N1&#10;+6Y3kB46lcdK+LfPH92vrr/gjDotveftW6lqjFfM0/wXdywq68b3uLaItnsdsjfnQa0/iP1L8X3T&#10;3nhTU7CP5muNOniXnjLRkf1r8CIbeS3k+Zv4j/Ov3onvZJFaNoz3G31r8KfFthLo3i/VNCuIjHLY&#10;6lNBLGwwVZXIxg+npWlP4jGerK7Seb8hXGfeqt+XijwHqZXKtn/P1qndStLbF9/StuaMZBGKJbOW&#10;FY90jN8vI5p9tcmZ8hj96ssXDbMKf4qu6fdsqFpVUdhU+4PlRfLY3vJLu3LxX2x/wS5+DE3ib4Xe&#10;IvHV38OfC+rwXOtLa28niXw/b3jRvHCCwTzlO0HzcHGOR3r4jDySSb34VeWwucj2r9WP+CYXhtdE&#10;/Y60C+uo2WbVr6+vZo2xkZnaNT/3zGp/GoqShGOm4pbaHSQfAy3gZtnwO+F6t7eA9PwPw2VctfgN&#10;HLt3/B74bj/d8Cafj/0XXq0ESRSfN+ZUVagYpyqVze0tIxdSV97HlSfABUk82H4VfDqM7cZXwLYf&#10;/G6+PP8Agq/4F8V+BI/BN3deEtBsdLkkvUjuNB0O3s180mE7H8pRn5dxAP8AtY53V+kiSkqCcV8r&#10;/wDBYfwVe+Kf2Rf+ElsbYyN4c8RWt5MV7RSK9uf/AB6VD+FXCT5kJNSqJs/LY6n5kLIA33uu7IqC&#10;4kR3XB6MM1XiK7eO38O3H9ajupufJG35m+WrZ22sdVbX0M2ngK21tu3DN1qnPdzW8rZiIVWxuUdf&#10;xqmJWjgWJ0mklz9yMYAqOea+bcJ8oWbha0lKLRnyy7jLiaLbkoMtxuwen50tvPHFcLLZzLEyyK2O&#10;ucdj7UwsxGGxwKp3EHz7vI6/xF8VjIqMmj0Lwz8e/Gfgq7juvCljpNrdQFhBeQ2ZE0at1Al3b+vq&#10;enFct8QPFviLx1r7eIdf1aWa4eFUaaa4eWRtqBAWdySxwo5P8sAYJmf7OUiPl7W+Y9SabM0LqGRZ&#10;C38LNxn8Kz1ehfN3IwkUOUkmDMxzuFWPD9xJFr0JsELzbtqKoLEk8D9a0PAvw/8AF3xI1ZdM8N6P&#10;JMu/bJNtxGn1PSvrj9nj9ii28LPDqWtt5lwzbjMqjKD0Gen868HNs+weVLles+ivr6vyP0vgXwx4&#10;i44rxnSpunh07SqNO1v7vd+mh2n7IvwW+IXw2+EE3xItLa2GveIo/ItbB7w+dHErhcELnZkqWOec&#10;BQcEYr6d8I/BfSfFngC98EfE7Sra+ttcj/4mlvuf97jBOCMFenbn3HJrM+GPg3wh8OvDcuuapeW+&#10;naZp6brq9vJCkcY6kknqTzgDkngCvEf21/8AgoFofhLRJPBvh5J/LuIcppccjQ3Wor2e6ZTutbc9&#10;ogRNJnJ8sYJ+JhicbmWITpp67W6H9AVOEeDeCcrdTMpqpybynp6JLZt9tW+x0XxW+Jv7L37J+iSx&#10;fBzwRoGkXEbNanX7HT45pjJyHt4Sfnu5xxuYkxR5G9ixEbU5NL1fUJ2vLHxFLA82Hmn8wNPctgfP&#10;LITl2x06Ko4VVHFfnH46+KHjD4l+Ik8Q+KdQEzsqpGixhI7aIAhYoo1wsSLnhVAA69SSf048MWsb&#10;aTasrOV8hMbvTaOtfc5XlFPBx9pVfNUe7fTyR/OvG3H9TP4vAZfTVDCL7MUk566OVvwXzeu3OyeF&#10;fEN0377xRdSMvGBIx/rX1H8EdP0vwn4Q03SdVm1++jurdZ5LqS3MiHvtSVdwAByCGGQRg4PTxJdP&#10;hVysMa5/vMK+gPg/eeIo/D2npoVw8ka24VoYdNVsjH3yynOf95ePWvbl725+X1IRdzovilrnhvU/&#10;AmqQp4kmKrpFyPLkmRScRNhQAnJz1r8Rb3xPO+uzzNcyZe3TahwNoPb9K/bbx/YeJIfAesGfVmUt&#10;pdwDDqFikLIxjP8Ad3KfTg1+G0GnzTazJFDG3+rQLuxwMfU1zxpxeKjK+yZ2YP8A5F9WPnE9D+BX&#10;gqy+IeragfEV1dC1ghULJbEBlkbODyDx8p7Vka1Lp0d9NBoN3OEjkKRxyMrMy9AeFGRx6VsfDPxt&#10;f/D23ns4tNjmFwQ00iyL0Hb8s/iak0nw9HY2Da+sa3gfIm2qFe2b0AC59e5op4H6xjakqqTjpb9T&#10;248QY7A4OnSwlVx7pbHKX+oaxYq0PnRrM34gDj1qg+s66RmWeFvlI/1dXdVxeXTXHnCTPT5Sv9BV&#10;GWJwcBFPFdv9lYPpBFx4s4itd4iX3kEviDUbc4+zoQf+eTEEVUlsNQ1S4kuy3lrKcsMDc31Yirkj&#10;+VJvaFScfd45qxaT2Nxjz42X+9uyMVdHL8PRneKscmOzvMcdT5cRNyXmVLXTowFj/dMq/U8Vbk0W&#10;KS02FFwysyquPl/X+laVulvGqmKwbYzfxY5qvr7ziLzdO0cYXjzVl+YEdflxzXZKKjE8Y8vvgYLl&#10;kP8AC2Cvrzj6/pX6B/A/xjc/EjS9D8VXt+1xcS+G7JJHbvIsXzn/AL6Br4A1Z2l1CbzPl/esfukd&#10;TnpivtL9gaWO7+F+jlnJaFZo256fvpcD8sfnXLTlJS0PLzmK9jGXyPWviJ/b+o38Ph3TY9tulq0l&#10;xzyTg4rgLn4b+HviF8NdbXUnmjv7W0ka2aFvuSLEfLbHfDL+NetX8Mw15pijKrx/MWwfl+uff8K4&#10;7wDolxYTXNzc3G6HUA0Sx7fu8nBPvzWkpc8bs58njbEJvax+dUHijVlfbdfv13H733jV4eN2J+fS&#10;ivurnmoNa0ObQtTuNOuVJmtbl4Zg395SQfpzWZNAPvhW3ema5WmfTcy2Ols/iAsJ3PpsmD/t/wD1&#10;qSHxzGPMIsptrf7Sn9KxrW3a5tVZm6etWvsyRw4JDD0pcqFdrU3PA0Oo/Ebxppvgfw1ag3WrXiW9&#10;s1/cbYwzMBliFJ2jqcAnjgGvsj9l34Tap8BvHjeB/iBqFjf3FzaC5EemSNLHCZGIHLqpyApz8vO5&#10;elfJv7MuinV/2g/CNtF5vy65BLiIndiNxIT64+Xn2Br7k+KEMWmfE/RfECsytcW4hYK3A2O2CP8A&#10;vsZrKtpTbIlPmlZnsHi34LfCz4jaTHB4l0OwuG/heeP94vsDxj868O+Iv7FXwuvfHVjoHh+dtKt1&#10;sWmmeGYMHbzO24nB5UV9J+GLj7fpMbGWLG3AJbkn8c5ry749R6hZeIba/sn2vHG6fu+PlIHYH15/&#10;CvHjjMTTVozaLVGPNZnz58V/2QfJ16Gxl1yNWa3jijRbKOOLCIFzsQY3EDk9z+ux8O/+Ccz68kd7&#10;qur3MNiq7mkEaRg+yrjJ+uBXpHh7xLB411vSfEOs6gywLbx7WitBM25ug28d69w8KyJaaB/aUes3&#10;zL5eIVm0kw7j0wD6V0RzTHfzv7xujT6I+cb79g74KaDOkt1Ne33kw75I7y4JVvbC4FfRvwM0nR/D&#10;Xw203wxoVusNrYqywQr0UMxfj0yWJ+tcB8VNSnsLK8vJpgZGhIXzO/ODXU/BR9Rh8EQ3moSZa6VZ&#10;YwBjamxVX88Z/GuvC4jEVp2nJs5K0IxtZHvfwSkk/wCEmeURSSMsfy+XHuwuecj0r3Sz1BdM2yJp&#10;c7yAZGYfxxzX5N/t+/E34g/D74keD9d+H3jHVNC1C1024e31DSb17eZCzgMNyEEghRx0rX+FP/Bc&#10;L9pHwBBbp8XPAnh/xobePa2qJD/Z1/MM5w7Rq0Lcf3YkJ7knJr6TC1Yxo2PNxWHcpcy3P0T+Pf7Q&#10;7fAz4e6v8WvFOmfZbTR7fzLeF7gKZ5iwWOM4BOCzLkj7q5Y8A1+U/wAav2y/iz+0n44l8Y/ETxLP&#10;NHGz/wBm2COVtrRD2SLOFBwPUkDkk5J7P/gpJ/wVj+Ff7b3wg8N/Dz4Z/DnxB4dvLDWv7Q13+2o4&#10;PLdkheONInilYuP30m7ci9F/D49tfFVzGqBfuyc9a58ViLvR6HfgcJCjT5mtZa+h9AeHviXqFnPH&#10;PbXxjmQgrNG21/zXFd7oPxy8YQYa71lr6BgC0N85csx689fxzn3r5h0bxlPCvmO/PAVQevNdf4Z8&#10;YPLIoaZcjb8uetZUcRLa5vWo05rZH0rb/tFq8CtdaNKJNvzBWyB9CwJ/M0V5HBqxeFXNtHyueWNF&#10;dvtji+pxPGL7x1DwonZtvTpWXeeOFX7zls1xB1CaRirz/Mfemyu7cyydq8jml3PQib2oeK53YiNM&#10;c4z6Vk3/AIpE1rJH5p3bdy+xHSqLtGqbVk/2dx9PWs+8O9GIX7w+b/Ck5StuXH3diC+kivbqbzBz&#10;NIzJ7OTyfxqXT50ntTDIW8yFirNk5NU8+a21uHjO6P35qS1fNzHcl9reb86r65HSlTnanqJx965+&#10;7Xwk+EFr4r/ZG+Gfw48bm4t/7L8N+H7q6t4WAYT28UEmwnB/jTBHBx0INfgzcxYv5QWYBbhgq4xx&#10;n07H2r+hX4L+K/8AhL/g34R8Wi4aQap4W0293GMKS0tsjknHfnpxivwb/af8OxeCf2lPHvhPT4tt&#10;tp/jLUoYOP4FuZFXj/dArMznf6zbyOTtmWOYHdu4P4UrlJHOZTt9MVXtZGMmXAxt9acDg7v5UXZp&#10;YnEUbgHn25pPLVFGQTUIuGRuOlSb2ZFYnrTuyZDzCAFO08j1r7C/4IvKi/tH+IriZZePBMyAxjgM&#10;by1Iz+Cn8q+QATtTJ/hr70/4Io+HYltviD4yljXzt2n2dvJjouJ2kH4nZ+VNMqDsfeEs0+7EUrbt&#10;1fjH+1faNpH7T3j60mjZV/4THUJY424wj3DsPzD5/Gv2WuZMN8p6+tfkz/wU603+yf2zvF5EG2O6&#10;aznhZVA3BrOAsf8AvsNWkXaREloeJl0Iyv5e1VWQEtGv3KFaTy43X+LrUkiiM8dDRN9xxWhmlf3m&#10;yP7pPFWoowgU9xVddplJX7uflqZpGDKo/wCBVEdii5BI+Vw+OeDX7Ofs2aMnhj4C+C9BtkKrbeFb&#10;BHG3GX+zoXP1LEn61+M+nwNcXkFvFEWMkyqqD+LLYxX7maTbW9nbrZ20IjjhXYqL0UKMYH5VFS+h&#10;jPTU0EaaSBgp+b+GrVv9sb91G/0NR2x2RFsdquW0oiKM38X6VmZStHTvqPVnC4Zcn1ryL9v7S5db&#10;/Yv+IdkIi2zQftGPaKVJSfw2V7OhBQHC/pXKfH/w1P4x+AXjXwlZweZNqnhPUbWGMD78j27qo/PF&#10;aR6MzS965+E0cQwwGPlYKR3xUMUYudTt0YjDSANu6EelJcyy+dJ/C20Mw96htriUXaSmMHy2DKp6&#10;GrZ3J31Oklh1KWYy2t60Man/AJZY2Y9z1qjcS3CTBSyTcH515/UVpRXP2krKqNDu6bFyo49DUcwZ&#10;y0rWkc7BscLhz7nFMZjz3EjNiaHZu/vdKhmTztud21f9ritSSFB0064jP91sY/Wql0JGiIkX5R3H&#10;X6UAVrdTLOIUQszEBEVcljnoMda9w+E/7GWs+LEh8WfFK+/sjTmXfDZSSBZJR/tZ+6O+OpHp28T0&#10;LxFqXhbXLXXtIj2zWcwlj3MRkgEdRz3rote/aL+JetAg38cG7oyxlm/76ctXh5xDNK0VSwjUU95b&#10;v0S6eup95wXjOCcsqPGZ5SlWlF+5TV1F9bya1fpt3vsfafhLUPgh8JtJTRtDX5bVQWFnbjk+uTjJ&#10;+pqWf9s34d+Hp9sGqafbs7bUjkla4n46Aomxfb/WGvz31fxl4q10NFrGuXFwqtkJJMSF+g7U7wdH&#10;d3viezRSzfMx3HvhT/WvmaHBNCc+avUcpdz9SzL6QWOjQVHK8JGlTWiWi/BH1t+0n+3N4v1/wra6&#10;l4S1OS4m3bNPuJbPybXTzyfMhhyfMn44ll5TjYoI3j5L1LUtQ1m+m1XVtQkubi5fdPNMxZpG7sSe&#10;STXbfELT5LD4eaUsryKGkE2O20qV6euf51wQAQne25c/K3rX0uV4PD4KDhSXz6n5LxhxNm3EmKjV&#10;xk21ZWjsl1vbu77iyQGR4z/uhlH1FfrP4d0+az0i3SSLlYUHy/Svyq8FaWviHxvpOhAt/pmoQwKV&#10;GfvOF/rX60W8hEQUMMY42/SvXifDVFZlXyLuQs8MY2sMHdXonwy1eC20uC3kt45542IWOSP7o9R+&#10;HbpkVxKHaPs6HCj1OTUmg3V+dd8qz1W6tV3oHa1naM7cZBBHqap7GM9tD3j4i33h8eFruOLwzp7e&#10;Zpj7fOj2vuKHr1/Svxf03TJ21pnKMvmQxv8AvOuCgPf61+rnxQvb3UPDdxazarJHGLVkHmTN8w29&#10;eD+PSvzU8SaRcR+KrW8MO1ZrOMN2wVSNSPwOa5YNLERjfc6cJCUsFWfbl/MzIdHcfuY0UKy/N2q9&#10;4nv70tv0uxhVCq+YsTEMxA6nPWrl1aPbo83mHj7qquc8VjzzPOqy3U0qkr8qLGcn8q9qjHlWpyxl&#10;eJhXksck3mXNpJG3+yvBpkCRTkqkZXav3mxj8avXtxD8pt9btZGPSG6VQfz4rC8RajqUEXkwwxqr&#10;jH7lgwJrdvl1NKe4t7f2cG5ldSw43L2qGNRLiZHjQsf4m4aubsr65kMizj5g+GGMD8K6TSZdPnhW&#10;2mnVMfxN/KsnVjc1luaFvHZDa99qe3LZEcbBufXBH9atR24cbrSOSTB+Rm+Xr34JqPPg7S8TXepw&#10;tK3ypGzH5j6Yx0pdP1KGWWSaKS0Venlw9ce3Garmj1ZDj2R5d4qiNl4gu4nB+WY/xV9AfsV/tXfD&#10;H4J+G73QPinBqmI7jz7GTS7RZvNDAbkwzLtYNnBJwQeSK8E8ZS2z+LL6WGTcnmMF9yP/AK9ZcmSc&#10;/lXme09527k1qNPER5JrQ+zbL9vDVfjj8Y9F+HPww8E/2Po9xfqby+1BvNup4VVnYbV+SHKoQeX7&#10;YIr3ib7ELU4G3ap2MvG04r48/wCCdPh+31H4raprdza+Z9h0UiNv7jvIgz/3yG/M+tfaE1jbNGEM&#10;K/jVxlImnhoUNKaPz1/aN0hfD3xr8TWEIKqdVklXI7SfvP8A2avPpVMn+93r2j9ubRTpX7Qd5I0Z&#10;Vb6wtbiPbyCoi8rv7x15D5KMOEqpfCdHVXDT0CWzKxqy5RY8LVWzz+8XH8VPuGfaBE/QfNxRH4SY&#10;1FK57B+wppJ1D9oO31fzmVdJsJrnhc7mYCAD85s/8Br6t+N125vtB1XHyx3UkWR0G7aQP0/SvAP+&#10;CdWhi48QeJte2ndb29rbhsdpHcn/ANFivov4t6U914QW4hDZtbyObPfbyp/9CrKsr02gR6j4fnuD&#10;4QDw6pNaKyq0M32naBx9DXCaos95dyW02rC8ZZM+c1zv65/2RXf+HbdJPAWn3D7Av2cbUZQQ/HWu&#10;F8f2qWu82cLRhlDFo0xjnsa+dcbSsdMeblWpkeAbex8NXSxzPIrCVltordfmaQyNhsngKOOfSvbI&#10;IPEJ0y00/U9aluJPM3eZJg+WvbHHX8K8k+HvhPU7vW9LnltnaKGNZbiaVtw5PXntmvbbe3NxqMcM&#10;7OzRjG7dkfpUVLwk0Jpy27Hkvx0UtqtvpTyFlZjG6+np/wDXr1TRLZdP06GyiG1YoVSNR0GAOP0r&#10;yj4vSPffES1sUfP/ABMIFbHu4B/OvXLEFo13e2P1r3Mt+G5jWp7J9j5T/wCCkzt/wl3hS4uFUK2n&#10;XC/Meu2RT/7MK+W9Ru3jVt0g2M31r6m/4KaQPHqXgu+y2Gjvo2wuf+eJr5J1y7kjCoGwygMx+9Xr&#10;Rn+4RjKm5SMm+KTPvU/Nu+bbx/npQlztC7d2VapIAbi48uSVm3LnlaDCVbZ5Zz1HrXPJt7m0dI2R&#10;atNYdIAJHK98evNbXhHxTNaXQaN9u1t3WuV3skphCnA5xSw3Zt2aQdGXkL3ojbUl3uelXHxZ1Dz2&#10;Ed1Iqg4VdworzyB0eFWk37sc0V5TxFW/xM+rpUsH7ON6avZdEZSyxSSHkoy/w9TVmIO4DTELu+6r&#10;nk/lUixQQjaLVpMdpGwPyH+NBe4b54gsC4+7Cu2vTPlER/2XM3Mg+X/fwKdDp+lgtE9z87DhVXj9&#10;c/0qQLlfnP1z3pHtgdskb47/AHeTQaHLak8drqWNxXYelWbYRPGZkbljnHpTfF9rDFfrchflk/nV&#10;bTP3Tb1Ocf8A1qml8KLqfxGful+w9qk1/wDsb/DW6llZj/wi0EXpxHmMfoor8l/+ClehJ4c/bg+I&#10;VhEiqJNYjucIuB++t4pvz/eV+pH/AATuu/tH7E3w6lCYC6PKo+b0uph/Svzf/wCCvOnmy/bh16fy&#10;Ssd3pGmzxuf+Wn+iom7/AMcx+FRrcipH94pHzTb4abG3tTXJCttPepLJQXLU2cY3YpgQys2xTmnI&#10;zhgoJ6UyX7q1LbRmSfC+lAFqVXjgjcMc7emetfph/wAEfPC40f8AZk1PxTNHtbWvFU8kbd5I4ook&#10;GPbf5g/A1+Z8zrIwj/u8V+vX7CPge8+Hn7JXgvQ9STbNc6c2oMNv3VuXaZU/BXX6ZppXA9cuJX3Z&#10;3Dg+/wDWvzr/AOCxHgGaw+MHhv4jQW+221bw/wDY5ZVz81xbyMfm9D5csYHrsPpX6FTMN/X+Kvk3&#10;/gr7Ztc/ALQbpR/x7+LIhn03W1x/8SKUbpkyairs/O2Bisa78YH+FOd0lRlUfdHrVvQvC+qa6WW0&#10;tGG3+KT5Qa7fwh8MrGyfzrpfPuByzTr8q/h0NRWxFOj8T+49HBZZisW1yxtHuzg4vA3iKVv9D095&#10;FCq6svG7cobPPpnH4Vat/A3ilhzo7Z9Swr2qz0izSPEdqFbvIOhqePQrUjdJn8hXnPNOV6RPoYcN&#10;0XvNs86+D/gy9074p+G9W8VW32fS7PXLSfUpmXeI7dJkaRiACSAoOQATX60fDb4/fCr4pwXmoeA9&#10;fkvobKYR3JFhNHsY5IHzoM9DyMivzfOnWUKqqKzKZPmXb1r68/YTsrW3+FN1dQsqzXmqO7f7oRAB&#10;+ZNTHG1KlTRIxxmRYTD0HNt3R9KWvi3SCrDzZB1/5Zn2qZfGGiDAluZPr5Tn+QrnreJYlOGzzUqj&#10;KbQfy612utzbnj/2bRlu2dFB4/8ADcXyNcXBx6QNWb42+PXgD4e6C3iHxJPfCzRtrvb2TuUyDycd&#10;B61RA4xjmvA/2v8Aw78S7/Tb3VZ9Tso/DNisEtpaRW/+kSTP+7k3Mf4edw7cjr2iVbljcdHKaNSo&#10;qd3q9+n/AA5+e0n7OnxE8U+LdUsPAGgT6rbrcTPatbws0htxJhZGRVJUEFc5HBOKtw/sYftHm4Rp&#10;fhXqiruG4ixmz/6BX6mf8ECvAWieLf2o/FB8T2D3VrB4HmJh+0PH8xurcBiUIPAz3xzX6n6n4a/Z&#10;k8OavHBrOlxpdQTsI4nmu7hTIkRlZdpLIxEeX2kHgetduDf1mj7Sbt6K+3qc2bRo5bivZQjdabya&#10;P5f/ABB+zJ8bbcpDb/DLWE3KAyPZyIW/8dOKzov2UP2gbxmax+D3iCZl+81rbyvt+vyV/VbqPhL4&#10;W6HFZw6xpmnQtdSNFHJNpNuwdkiaRi2YyFASNySxA+Wn6d4L+HGqaRHq9lo1g1jeQZDLo8MJZCOv&#10;EasPrwe4rZU01dSf3I8/67G11SX/AIFL/Jr7z+VE/sn/ALVmTbxfA/xMy9draTOx/wDQK4rxR8B/&#10;i3ourzaX4m0KWwuoWHnWN6hhliyMgMrAMMggjI5BzX9ZvhL4X/s9+I91to3h6SZrd5Umja8uwA0c&#10;zwsPmbn543HvjIyK/BT/AIKj6VZ2P7cPj61sLPyo21yVo1j/AIY9xCDPX7oWuDNK31Oip05NvreK&#10;Vvme1w7h6ecY50a0eVWvpL/gI+D4vhV4zj4ksoz/ANtqrXXw78R26Zk03Hv5le4ETo5UQN/wJepq&#10;G8SeVdjQr3/h714cc4rPVpH2FXg3CuN6TZ4FP4Z1RCRJY47eta/w6tI9I8TLJqljLIJIWjt1jbbi&#10;Ruhr1SXw3FM2+VFXnnEeam0PwRpM3ijTy8gjPno27aBnDDt/WtY5vKMtV+B59XhOUNE27FH4oeIP&#10;D+ufD7RdO0rwpPbTWEMceoXM7K3mlWuCdo6ry0YHtH3615de6DHqjq1riLj+IV9L+PLHRbj4d/8A&#10;CPrZWu+O4AjmWP8AebdzMcnPPJ9OleeW3gvToBloQ3PULVRzKm78iOyXDeIq00p2WiOL+E2hr4R+&#10;Iui+LtSVrqDTdShujbJ+780owYDdg4GR1wa/T3R7I3VpHLn5WXd1NfAtr4csfMVhFu2g7VUDpX6E&#10;+G1+z6Xb+Va52268FD6Ct6GYKd7Hk5lw/TwsldDoNCKr5kEnzZ+am6d4d1CGf+1bU7mSHb5C9eOh&#10;rfgMOCGgA5/u9a4r4q/F2b4Yiy1SzdfLmuPJdV25bjNaVMVKMbo8/wDsinW0sbF5+yd8ZP2lPEN5&#10;rPgn4x6pplvDDEP7L/tKCCKMiPHyiaVC2SpLEAgE8mvLL/8A4JJ/tw+K9bhGk/C3SJvJhZY4ovGV&#10;hl8cluZ88AV+hP8AwRm8d23xJ1jxFrljbssd1pG5/MP3Slxtb8yc/Q19rXWtSDxIfDdxomLdo5z9&#10;qa4TaVQwqxIJGBuldeuf3fQ7hXqYHC4fFU1V5W5K7unZfdZ/meXmGLxGDqSoR5VF2TTT/SS/I/Ci&#10;b/gih/wUSu42P/CnNMQH7vmeMLJcH/v9Wdc/8ENv+ChkcDXd58PtJ/cx5by/E9qzY9ljdifwr93f&#10;Gbjwxe2umab4RhupJQp3TRhUVM/MASCGYKCcHAPygHJ4sWF5t8Gw+Ljocdoslqs3kjCtg/dA4yQw&#10;wQMBjkAqGO2u20Y04ys7PbU8eWJnGbTUdPL/ADbPwD1H/gi7+3MbZ7i6+HWkskal5XuL59qqOSxw&#10;nAFfHPiLwbd2GozaaumwQtDO8cnkyZUlSV49uK/qu0PXL/x54K1qG+077NcvpMjtbtnMavG2A2cH&#10;Oc84A7dQa/mp8ZDwSfiJq1jrnibT9NkTUpxK00cs2wh8fMIEkbv2B6YrmzStVw9o0o2a87n0nDlH&#10;D5hzPENWSurKx4ba+BbtbuSWSQsueF3cCtK08I3QTb5u7B43DpXpGs6Podrq9zZ6PqcGpWsczLb6&#10;hDbzQx3Cg4EipMiSKD1AdVbGMgdKLTSd/wAylRtX/loK8D+0MRfVH1VTh/BwinHU4WHwlewM1xJ5&#10;zMy4aTjgflxWpY+HVUqxh3K2MyYyxrvdN8OeLNUl8nQvCt9qErcLHY27szfgoOa7rR/2Lv2t9d02&#10;PWdK/Zg8fTW0yhluF8H3piCnnO/ytuPfNaxr42fwp/JXJp4DLaX8Xl+9HzfJ8IvDF94iNqUk/eXS&#10;Fm3N1dskfmxr2vxF+yt8DdFs7K4m8KTbWz5jNdTDPHf5ua9I8If8Exv2v/EGoW/i+2+HOk2tnHdR&#10;tJ/anjnRrOc4IJxbz3aTZHpszWt8WfBvi/wbpdvpni3SI7S6jIdo1nSTbkspGUJGQwxwSD1BIrSp&#10;Rx1Gnz1oyim9Lq35nm4qOUzrRp4aUX3s0/ybPO/hb8MLj4W6r9t+GUMNjDqkkS3lpuZ5pIw3Cnfn&#10;GQx6H/630vcaBbiCOTdsO35lfPpz0/KvFvgHBrXi34r6faLKGhtQ8zem0Dj9TX09daK5jYeQvpnb&#10;U06smviOethVTlZxPzX/AGltG1/xZ8QdSj1XUmurrTbiS1tZrgjcsIdiqZAGRz3HUmvGL6yu7Odr&#10;e6iaN0+8pr66/a/8HR6R8ZLu9t4lWG+hS4yvdmG1v1SvEfFHgi31uFmACzKv7uT+h9qMPjnTqNVH&#10;od2MyGNbCxq0VaVr+p5hbld2Qq5/iWiX5wN3Rm6+nNTXFhcafqL2V1BtljbDL/ntUcyqrFCDhh0B&#10;7/SvXjy9D4+VOVNtSVmfXn/BN/RvK+Hmtau33rjWliLH+JY4lP8AOQ19EalYf2xo95p4iRlkhZfm&#10;7EjI/lXjf7CVoLX4CxXJj2tcapcOflxnBVPx+71r2eNXkJjBJDYO1fXmnKN4sk3NEiuovh3p9s0m&#10;3ZFgHd6VyuvPFqkEltezqjLHkbv4uR09/Sux8L2M1/4St9Eaba6zSPEO7Lu+7XH+L9CuLbV45CjL&#10;GZE8wN65Hy/T69fwr5y375p9zqj8FzpPDdnNb3NvLFIuI4tjrJ1Khen9fb3rtNFvZgrSpaSFS/zH&#10;r/LtXBwGVYGWAnIwA1d54OkOm+H2u5bl418ol/7rN7d60x1NQqK3YxjUlF+p5N4pik1D4yxiL/ln&#10;fxMxZsYwwOB6165bTBY8A/w14ppC3GqfGtZHuN26eWURyD7gCPivYrRWYfPXoYHWnowrS5pHz3/w&#10;Uk01bz4ceHtcMYL2utGDd32vEzEfnGtfEWpzmS4mZ+w+Wv0F/bp0CLU/2fdQvcZbT721uB7ZlWM/&#10;+jDX5231x/xMbi3f+8Sv0r1qP8Myl8JNoMszJJdScleFy1Tm5QSFpAcfw9uPpUWlRtHpSHbhnkJ6&#10;9f8AGpLho5T8rHb6f/W6fpWEviL5fduOFnbznfDKzM33VU44+nWq0unXsU5USfKpxtVfmX8OtWbe&#10;2TH7tRtLDAc9PwrS0SdZJDb3UIkA+75nOPoeo/OkiY7vQ5jzNViZo0utqrIwAyBjk0VfvNPtWvJm&#10;W0f/AFzdJh6n1FFedoe9Fy5VoOELFsdfw5H4U9YSpwR/9b8K0DbjGwhvp1x+NRSwAfwE/wC6mcV6&#10;XLLseDbsjP8AK2yblboam/ePcKAN3/AhROEhOXk2n/aYc061huJZFYQhSfu+cu3dUhvoV9f0FdZ0&#10;OeCKHN1br5kQAzkDkgfgM1xFpPJD8sg244xXqGnRRWV7HezXPzRNuCD7vuPoRkH610fiSw+D+pQW&#10;dr4n0428clv5lvqMER3AAn5XKDII6dGzWNSp7FJvY9LB4X63e0krH6kfsDWNxon7GPw5tWRsv4eW&#10;bbt6CR3cfowr4+/4Lh/Ca6h1zwb8bNNt8QzWsmjajMRwrI4Bkz5swWaEe7Mrzc+kfoK9R/Z5/wCC&#10;hfgDwR8MPD3gHVPD8d3p2haRb2FvfaTfrJIY4kCgyREDDkAE5Zc+g6Vxf/BUL9o/4N/tCfst2Omf&#10;DLxJ9u1C08V2d1Pp7W7LPFF5FyjNjBVsF1ztJxkZqfbRlLQnEYDF0ot8ul91qfndZsoOVwB/Kkc5&#10;c49aFAjZlMbL2wy45qOSGQxkZ27qvmRx2l1O/wBZ+EV9p/7Mui/GeTTXii1Dxne6f9okXHmoltAy&#10;FfVdwmXI4yhFcJp3Fw+a+4v2x/CGi+Hf+CYHwqsdBCx28c2mXki7h881zZ3E8jHnvJK5+pr4ftGW&#10;OY/P/hTJUnd3NvwV4auPFfjbRfC9pGrS6lqkFrGjfxO8gUD16n8K/bdUht4Y7WzhSKGGMJDEq7VV&#10;QMAAfQCvxz/Z40rxAfi/4b8U6PoFxdQ6Hr1lf3kyx/JBGkyuWdjgKNqtjJBPbJwK/Ri8/a5l8Sa/&#10;Hb6L4Tkh0hVfNxcMPPuG6LhRxGvfkk46YNZVKkYLVnXRweIr25Ee1XUsLIzmQDby3tXyB/wUX+IV&#10;54hvbH4RppNrJp1lNHqFxNID5hm2uir1xtCse3Jb2r33w/8AFeHxXp82m2VtPbXcqMsG5cruxxkj&#10;+teaXvwj8P8AxEu/N8QatLLqDttma5Uvu56BickelclSrKcfdPdy/L6NGtzVlzW6HyBpem7VVI7b&#10;C/7PGP8AP0H41t2ei3ZbfFaOxP8As5r7H8G/sZfDsTrc3tmsgVudq4Gfyr1Gx/Z+8CwwppsehWca&#10;pgxzR26qcjkZx1/GudUZSldntVM0o0Y8sInxF4Q+C/ifxEB9l0ybC5Zmk3FQe3AqS6+BHjCOzmdL&#10;VvMWTayr/FknoCeOlfoJ4X+FehrFNIiCPzDzHGgwD39OKydQ+HGh2rNEo+bd8x2/e5rT6vT6nJHN&#10;Kzb5f0Pgm0+CHjplXOn3BRcHayrkevevp79lbSdF0PwL/ZWnWnl3yTM92HXvuOAO3T9a6bxV4Rih&#10;n+yNfzRxqpYYft/OofhPBp8BvH0+Dbtba/Uljz81OnCnTl7pVbFVcZRUGegWyZBbO76mpoVDS4RC&#10;v1qK1nhjIRpMcY461cjMbqGRmP8AtFas85x11GmJ/Ozx7/T1rhP2jPDs/iLwDLptmjSea6h0XrJj&#10;p+OQK7ySRY5MM/LLge/Ncr8UtVXS/Dn9pfZPMWC5QmM5y3J9Kn4tGaUP4iXndHsH/BBL9nm/+H/j&#10;fxz8QPEOV8zSYrG0RmG5V8/eWI9yg79q+/tZ+EF/rHiS31ez1G3t5kvXn85odzKT9rCvnC5IE645&#10;zlRwQMV8A/8ABPT43fFt7DxRL8OobKC6aS1FwLhcr5YWXA5J/iJ/H8K+n9B+NP7V0d2smt61oskX&#10;QpcaaSBx/wBM5VP617mDdOjRSpyX3HzOeU6mIxjVWLvp1PoLxj4CuNd1TTpbK8jjNnNO/nSAlkZo&#10;9isoIIyNzEZ4qzP4fu38HTaUHiXUJ7V0kkjZtolYHLKSCRgkkehrxFvjt8fEfc174V+n9j3J/wDb&#10;oVDq3xx/aHu9LlFjqnheCRl/dzQ6LNuU57brth+YNT7Rumqd1ueXDCVJKyR7Z4a8Mw6FqupX80S/&#10;6QyraqpO4AZJ4xgMzsSQM56nJ5r+fv8A4Kzg/wDDX2seIUtfLXUkjmwq4wRGgI+ucn8cdq/WrUfj&#10;L+1/bM81r4u8N3AWTLQTaYELKDzkrISD9Bn6V+PP7emkX+ofHa+Fut3NHHJMbWKTdI0UbyFgpY5Y&#10;noPmPavLzvlnhd03fofZcI4StQzHml2Z4Bby3E84Lqu30212/wAJvgX4j+OXiM+GvCIjhuI7d5ZJ&#10;7hmEUagHBYgE8nAGAck9hkjBi8N6wqFU0qbc33cQn/Cus+GXxS+NnwYa+m+HGpXtg+oKi3TR6bHK&#10;WVN2B+8RsffbpjNfH0o0/bL2ibj5H6liKldYWSw8kp20vqvnY7yP/glr+0feuskGs+H2jkOV/wBI&#10;n6e+Yh/KrP8Aw6r/AGjozsj1zw6rdVP2mVj9P9WK5r/hpf8Aai1STF/4x8RE527lh2/lhQKc3xn/&#10;AGobxFWLxt4uxJwvk+cpH/fI4+tepGtk8dPYT+88X+z+KpQU3i6S9E/1SO+0v/gkd8edX0b7Tqvx&#10;f8G2EasQI7hb13P4RwMP/Hqr6f8A8En/AIw3Mr28vjzRVAX5dsUnt/ewf0rgX8bftQ30scEfi/x3&#10;JI+RGsV5dHnuMKeK0dN8WftQaPdK+p+IfiAquMNHPd3wU8+7cfWqVbJ46+wl95jWwPFfs/8Ae6dv&#10;8J6Lpv8AwSI+JcE8LT/EzTI9vLN9lJA/8e5/z0r1H4v6Av7PnhvRtW8SeIkvUvtRWxEcNuYiuUZv&#10;M5ZvlXbz/vCvGIPiN8Qw3l3XjnxRGw4+bUrwHOPdq5/4lTeLvGkNqmreI9U1AW5YwrqWpSTeXkfM&#10;VEjHGcDpU/XsFJONOjJN9bnnxyvN51FLEYiMorVpRt+KPozUbe+GjyTWTw+Y1sWhkl5UHHH1r5D8&#10;c2Gty+J7jRddvJGuTctJJHgfKcdecdvQ16p42+MviG78OaZ4e8Na2qKumwx6kfMVW84KN3J6c9xX&#10;nOviXU9ZXXtW1S1kvpMGSaa9iBwBgZO7pjvW3N7q0NsFhJU4ycmkz9IP+DeQ6rpd/wCPtMvGQQw2&#10;Vs1vvUCRdzkt3Pynj8QK/SK48NeGtR1+PXbqVvt6w7FuI5tsmAwYYI542ngcYZ+PmJr8ov8Agjh8&#10;Vf2RINO8fab+0z+0h4Z8IeXcaa+kR6l4ksLb7T8t0Jdnn5LbT5fCkD5u+OP018Jfs7fs3+JNE0/x&#10;v4K+KOvXVhqVlHeaXqmk3a+Vc28ihkljkji+dWRgQykgg5HFfRZfiMNDDcqk1Lsl/wAE/O+IcHW/&#10;tKdScfdb0ffbY67xRYaRq5W+uEx9nXMS7lCEiSNxnII+9GoyexPrWX4X1Pw54q+FlpJ9kj06zutO&#10;VpLdpkb7LnO5SxGMqxPOB9Ky7z4dfCf4P61aa/Z+M/F1/dXW6KMX+qSSwpuGc7cY3YI7ZHPGRkYf&#10;g79l/R/FAm0/x9q+vJpNvbp/Y/8AZeuz2WxZZJpXikiiPOwsF3MTnb2GBXVGpy2bvZHjezWvdnYL&#10;4r8C6ZaXzWvjTSy93H8/mX8J5CbR39APyr+aT4rTJF8V/EkUE8ckg167Q3FvGBuxK3PSv6Bv2gP2&#10;OfBfhbQLPXPAPjTxVE0Nxm6a48QXFwu0428MeOc9K/OD9g3/AIJ1fs1/tn/tmfE7V/jh8ULPS/Df&#10;hfxZcGTw/HqItb7VZJ7qXy/mYALEdj7mQmQnAAX7w87OKkari6Mm23rc+t4VrUstp1q1ZJpJdPM8&#10;3/4Jdf8ABOTxD+2BqOs/HPW9Ys4/D3gPVrMXWn6pa+edYclnlhXflAI413HcCCSi7fmJX9PvCf8A&#10;wTu/Z28MJDqMFrd254z9ihs9PX0H/HrbxfzFfSvwE/ZV/Y0/Zl8FXXgT4C+BNP0XSdRkWTUI7S8u&#10;J/tTKpUF5JXcscEjk9DWF8cdf+C8+gXngTwF4+0Vdevo2stJ0uPU45JRelSYlKKxaM7gDufao6kg&#10;c1rlOKlgpezhLlcmrvTb13PG4gxc86xXtpJ8sdoptW+S0Zh6R4Q8HW8x0PSzZyfZLONVtiEllSPk&#10;B2ZtzHJU8nqQasS+HdG8PxtepcXUKqwLeQ7DHPZUAz9Oc9K53wVovibw98U7y1mtybGaG8ZnS8S4&#10;WNzcJIilkPy5DyMobBKsMdDXVeLdNGvaBfaO8CSG6tnjQSDKq5B2sR3wcH64NeniOaniFFTunbVe&#10;e54VOLlF6Wt0Mvwj4l8G+JLy8g8NQxedZuvnSLZ7A+UV9wYZBysiHk7jk8Ac1+Qf/BXeyHhz9pDx&#10;vpirJ++1C3ljkbONstlbS5+m8zfljrX6vfDL4feKvCfiWTXL+PT47a6hkjuLcSZkiJk3jDIoDjAj&#10;T5uQsYwQGKj4Z/4LofB6TWPFnh3xtp6okN5pHk3LIoZi1tcEFuozkXyD1+Qdq4s8pwatTbcVbc93&#10;heUY49Rmkr+SR+a/wz1zxj4Bvn1rQtT8uSVfLaRY8cZBIGexwK7j4xftI+LfEvwzt9FW7msr1rjN&#10;1dWshTzl9OORz1HTFO0v4dW6x/ZRcTMyjOTaKP8A2ejxp8NNGPhjzb/WLuPy2zJ5elq+OfTzl9a+&#10;VpytE/R5QpyxSclfU+edSvbqa+ae5k8xmXDs2W3fjUPnRyjy/LxXfal8PtAaYpZa1dSf3fM0tV/9&#10;qmqUPgfTvM2JdTyZH3fsqjH5tXH9apxlZn0MLOnynlni/wAH2+txsYxtuOkcijp7H2rnfhZ8Dvip&#10;8afi1o/wP+GHgm61rxXr1+lno+k2m3fcyt0wWIUKBlizEKqgkkAE19Xfs/8A7InxA/ag+KWm/Bj4&#10;R+HrrUNa1R8QqsSJHAmPmmlcthI1HJJ9gOSAf2S/4J+f8G7Xw8/Y6+N3hj9qDxJ8d9R17xl4bhuD&#10;a2tlpkdtYo1zZy20q/MWldQs0mCDHu44xkH3MtxkpRfVHwnFVHA0PeTtU3suqv8A1r8j8Z/2I9M8&#10;Q+GfCnif4XeNtDutL1bw14kkt9Q028XbLaS42SRMvVWWSOQEdjmvdLaGWMs02Oh2t+Pr+P6V+j37&#10;Q3/BBnw1f/Fb4h/tD/C/413EOv8AjrVJNVudF12xj+yG4Mjv5cckQDR5LfeZZDzz1JH52/Fk6L8J&#10;fFerfCj4q3Eel65pe6PVtEuZNs8fy5yVXJ2lSGVhkMCCCRXqqoneR8dRpyry9xNvshdBTwtrOlf2&#10;vf8Ajx1j0+Rlh0fQwJ767mDZwoz8igEfMR1NcOvxD1jxh4hUX1tNbxLdbVhuMeYMHCq3+0O/HXPS&#10;uI8C+GfhRa2J8R6n4X0WZhK7WaSXkktyeeGkAURkdiNxPFacvj2STXrXVL3+yLy4h+WOZpNkkaYI&#10;CkblUgDhc5xx26eJKUPaXT6npQwuK9m3yP7mevwBLaLy5U/5Z7iy+3NXtI8fWetaVdWtvLtXT12v&#10;GV4diM5rnIviT8P0gknk8W6a0ixllg+1R7i+Pu45PtmvNtX+J/h61W40SPwvq1jb3knm3t9Y3NtM&#10;JuMAKPNBX1IwM+1dGOnCpy8urMYYPEa6HaeCorm6+Kw1OzdJI/LmEirNhkOzOSCenNetBtseQf4a&#10;+TdT+JvwB8Ba5pviXQfEWoTNDIrXdv8AY2SfAbJ5LbCQBj7+Dn8Kd45/4KU2dqrQ+BvCcEfULcap&#10;dF2Hv5cXH/j5rTCVo0aVmUsrxlaV1H9D3X9o2GPU/gX4ptbwvtGjTM3T7yjcD+BAr80YtF1DWtdb&#10;ybfasjBc44A/vE9hXe/Eb9rf4q/EzzrLX/F9/PazZEllG4t7fZ/d8uPCsOv3smub0LW7lbL+1Zpf&#10;3gbbDHGQoTjrjof511xxk5e7FHT/AGbRoUXOdTVdEiHUIre3YW9r8sMPyAY5OOp/Oq6RmVsFQpH8&#10;6mN6t2yrcSSbhk/NjBoEUgk3YLL1zurpvc8mPmOjtwdrEk7GytXtLtHWYyAcD+7UdhbPK6xY+909&#10;66OWzh03QprqQBWJ2IxXqT0/nVXlGLkL4qij3aRyC2cs+ZiW+ZmP6/SipLi9+yTNb4+7/tUV8zLE&#10;VOZn30ctoqKTNC4sryWRmgikVf7ztgfrVG4tlt9suoXD5HXyztGfr1/QV1niiYFm+yny2bpgnd+d&#10;cfqIaJ9043tn5mLCvrI1+bbU+Bi9yCTU4IZC1pa/MW/1iqN35nn9RUD3Nw37xpe/XJzUF3NCXwQe&#10;vXqP51XN6Y5Njz4H91u9Zyj7zuLc1Fmj8syTyMQFzt9ajudWhu9ObTJS2Ek3RsW+7xz+f9ayLm8d&#10;xhJOPSoGkQyKJGPzZHH0rnrxjKi0dWDnKniIv5HoH7PPwH+Jn7R3i++8F/CSC3W/sdLe8k+03Xkg&#10;xqyJwxBG7MigA4FbPxN/Zw/ah+CljNq/xT+HGqWdjbsBcaphLi3Qk7RumiLKuSQBkjJIHWvoL/gi&#10;z4aaXxn4y8XPatIINHt7VWwMfvpd+Of+uVfQH/BUd4h+w74wjEiqZJtNCnoc/wBoW5x+QrhpUVyp&#10;vc9StmNSjU5Y6o/MY66LmPzL37LL/wBdM/8A6qiW60nfvGg2fPfHWub0HRfEHifU49D8PafdX15J&#10;xHbWsbSO/wBABk19bfsmfsJ/EXwL440H4x/FJ209tLvo7220WDEkkhH8Mp2sij1A3ZB7UOhU1fMa&#10;U8d7aXKqZ5Xo1/8AtDfHmw0/4QeGotY8S2NksY0/QFeWe3hVMqrbCdiBQSN5wAOpAr6q/Z9/4JOT&#10;Lb2/ij48SWaOqho9B0gDap7eZMBzjuqcccOa+ufg78Qvhrr1pNpOimOHVFUo1vJGFlkGf4TnkewP&#10;XJxXp8GmRPbqiKqqq+nA/wDrVpRp80OaTudVaVSLUXBJs+K/jT8BtI+G/wBj0Lw3plnp2mtDtjs7&#10;a3WNcL6Y5OR1JJJ7k19h/se/8En/AIIeIfhppPjj4n/FPXdRm1bTY7uGx0HQ47eO2ZwrBGlltphK&#10;AM52iM5Ptk/I37Q/xU0vxp8TvslvcMtrabreCbccPg/ex6dK/Ub9ijx1Z6V+zV4Tu9T8TWVrCNIi&#10;2vcBl3KBjIG4k9M/Ssqf+0VbJXa8rk5tUrYHLISTtd77d9jU8L/8Exf2LNC0lfO8C6tdyAkLdT6j&#10;cq2SPvEQiMfpXz3+33+xh+zt8B/gvqfxU+F2n+INJ1KyurZFV9SEtlIJZ1jbckitKHAYkbWA9emD&#10;9oXHxY1bVFWLwl4V1C+B4+3TQ/ZrU+/mSldw/wB0MfY15j8SvgH8Yv2iFbwl4/tvDFt4aa6SaaCS&#10;N7xpmUhlOxgEYA/wtwSO4r1aGU4qs/3kowXeTt+G7PjqedSo1k3OUvJa3/Q/OD4W+PYbpY4btldZ&#10;EyZFkPBxXoNprukoiurScMf4yao/8FI/2ebT9kj44aZfeGDv0fxHpCzx+Tbxwp9qjbZOqxRgKgA8&#10;puP77e9cT4Bm8b+Mtl14c+HevalG+M/2fpkswUevyqa8et/s+IdO97PdbM+9p08LisJDE7JrZtXW&#10;vU9X0e7gk3sssmMBlw7DjPsapQW9tcnzJJpPvfxXDf40aXo3j7wzayXPibwBrGmxBOXvtMkiUc9P&#10;nUYrPi1y5ZWjgibpW0Jc1O5yuNPmtF/ijjfjJPYaRPGEdlaSMg7nY/zrJ+FuqaOdGur+/uYo4/O2&#10;+Y7YHA/nWP8AHHUNUGqMbyMjy0Hl7Wxz1rQ/Y2/Z28S/tN+PrfweiTx6Lps4udWuFywGTkRL0+Zy&#10;CM/wqGbtivPcqrxCjFXbPZ9nRo4Rzq6JdT0zwv8A2H4ij36TcRXCKxBaOTIrcXw7poXa1luI6kV6&#10;5+1D+zlB8FfFuieLPD+m2trperaTHY3EdnCI4kuYR8oAAwSY+M+kXPWvOTEuxmDcAZ3dxXVUVSlJ&#10;xe54lGdHFU1Up7M8p+I3jPTvDmsf2Zpnh8XDJxMzMAF4HHQ9q8/8e+NdR8T6YtpY6EljmXO8OGYf&#10;hiu68YaHFqPim82nhptyuB0OAM/mCfxqBvAybFeJFZd2TuFeTUrVrySPqKGEw8aMZW2O0/4JtzQ2&#10;XxA1zR/GGlx3sN3pe63F1CsnlyI2SRuHHBPTrX034k1jwfper/ZbbwRppWKSQSFtLiYEc7R933Xp&#10;6V87/s2fY/BnjhdVV490lvJGxY/3h+tdh+0r+2N4f+Bngz+3Lu3tbjULhmj0qxLH97L/AHj0xGoO&#10;5uewHJZQfay6pKVBcx8rnmHTxt0uiKP/AAUN/bE+HH7K3wzx4M8BaDd+MdUgYaTZtpMMsdqpDD7T&#10;N8hwqnlVP3ypGCNxH5+/srfsufty/tp6zLbfB2w8V67cXF2xvr5LyS3s7Z3ckmWZisUYPOASPQdK&#10;9f8A2Ov2e/E3/BSz9qeGD4h393qVpLc/bdauGYiGC3VhmZ8YxGMhY0GMkoBziv3v0HR/hP8AsvfA&#10;+Hw94W0uw8M+EfCmmkKZFWNFiUEu5XIDMzFifVn96qvzVpWucssTDJ6ajGKlN/gfkXrH/Bv/APFn&#10;4aeB7XxJ8b/22rfS9ZvG/c6Hoel3epszYyQXluLfJHQ4XAPQnjPwb+0j8DPE/wADPi/qXwxtvifq&#10;GsnTpAr3rRvbqzEA4CiRzwflznnGcV+qv7TP/BQbwt4r+IUniaW5k33UYXTYtok+z2IPyMcsBufl&#10;uOSDngFcfn5+1Pqem/En406p4z0NZpPtyRuwkhCkkIARwSBzXDjsJGlQUo7tnrZLisVVxHNXvZr7&#10;j56PhfxXeIqjxLcZ5wftEjY/X6VU1Lwr4giT7NP4hmYcHmVs+9ezaJ4J1S4jh8nRJJVZvm8uPLAY&#10;xj+f6U/xT8MdbvHW50rw3cRqjFZFfBJB/Ad815vLWWqPqo1KZ4lZeE9SuGVv7cl+Xjq3X16iuv8A&#10;A/hL4ciCSy+Jui+KNWVv9XHo/ii3scH1Jlsrg/lj6967G0+Evi6TKw6JNjsxXGa6TwH8Cda1bVlX&#10;WYWtU8xdxkX+HNV+/CXsfikvxa/Jo4HVvA2i+IY10LwVcanp2n78x2t7qSXcoX0Z0hhyevaufvfg&#10;BPa3m281W68n1jj24P5/zNeyad4QS1+Id1ppjPl2uovDC+T0U4zXr3i3wzoj+Cbq7uNIhkk+zlo5&#10;AoVtwA7/AIV51SviIzdpHtQjl9SnFclm/Ns+I9Q+GVvY3TRnULplVgNxfI9j3q5pPws8P6nPFatq&#10;Uys0iqW80ev0rtLzXLS9MnmxoreYUUbiRt7jOOv1zVPRNMeDXLe4tLgeS04C7sfLyAf0/lTwtepK&#10;sk2VXymnHDynG2nW9iLxJ+zt4e8PWUmox315II1DAtMuOc4/gqHw/wDA7TfEurWWgaI1/Jf3tzHB&#10;BDDIrmSRjgKBt5JJr2P4k6VNY/Di1spyrG8iMwmyMlPNKAHvxsb2r1f/AIJCfC7RvGX7V1l8RvGd&#10;sy6P4NT7cvnIQHuj8kIP+6T5g75Qepr6r2NOMrM+HxGMdDDTqJ7bHOftM/8ABBX9p74J+C2+IHgm&#10;Sz8baUunrd340OMre2Z2B5Fe3PMgXkZQt0zgZxX6Kfsb+OtRi/Yz+DunxyzKtv8AC3Q4mXzX+/8A&#10;YID93PGDkfhXunxm+MPhrTvhx4i1jS7iTzE0e6cSR/LtAgb+LsP/ANVfA/7On7VWlWnwN8LaBd+Z&#10;5lj4ftLZl87PMcSqc4Ht711YWjTpVOZHytfF47NqPs5/ZenzPt7UPiVc3Wt6X8NdLRZxFp8useJN&#10;QYFms9qZijQ7hglHjJz/AFIrV+FPxI1q4uDo2rvGPtcfkxsWO2Ni+VIyemT+VfH3jn9qHTvgT8HI&#10;viLeK3mfEDW7pLRZ2PmGztZW3sPmyVaRlHYYj78VyXwn/b+g8d/ELS/Amj6XbtJqNx5KKjuXbgtx&#10;z1IWu505VoXbPGlRnTvK2nf0P0d0DxBbeONHvNN1K1WG8WNopljzhW5GfbBr8vv+CRVxqGj/ALe/&#10;xi8H6jEsklxp91dXFu3CiSPUUB655/fsOn416T8b/wBub4l/s2+PLr4f+IIIU1SxjV1vtzv9thZA&#10;Y593AZmX7xHG9X6YxXgf/BLr442+r/8ABSTxN4v124t4ZPG2kaki+XHt3TG4huivoBiJq8DHVIwx&#10;FJRf2tT6/L8pxKyPFTklaUE1b1ufrEvhPwusRvT4A02ab73mNYwk5+pFcn8Q/E9j4N0fUPGWr6PG&#10;tro9nJfSQx7dzLChkI6dflwOfQZrtIPEWmSafmO7BwvPNcZ4h0u88Z362VtY291YmdF1BLxysUsB&#10;OHjPBJ3LlcAHrzxXdF01Lmtc+PUebRnnnxY/by8E/B3Sm10/DDXtS1q48Gf8JDcaTZoMwlomkhgu&#10;Wbb5BKICzENsU9OOfGPjN/wWM8bXPwkk8Rfs6/sF/Fa51owxt/aHibQ0XSLdmdPvSQylpQQWUbSo&#10;ztPIOD9Dat+yN418ceKb7xX4g8Z6fHcahMZLjybN5OMAKnJTIVRtHsBVTxN+xN41msC2meO9NlkR&#10;f3X2xZoen8PyB/y6VvUxEakVyqzVzWhTwlNJSV31ufMn7Ov7dv8AwU6+OOhyX2ufs5eC9Fuo9XKW&#10;9jNY3AlntvKjYfJNqELM24vzGGA96i+O/g7/AIKD/F3XEuvFvwAttV0qGFWttPtPCt5qcdtygmby&#10;pDKfmIXI8wrhRg8EV7J+y58TvjV+zr8adX8N3Pg2bU7W3h8jxNZ6fA0qxtG2UlWRchcpIzKTkMrH&#10;dj5SP0C8GeP/AA58QPC8Pi7wTrEOo2d0u5ZEkPHOGDL/AAuDwVPII5qpKpUptN6nXTjhqdTmpwV1&#10;6n4M6B+w7+2Ra7hqX7PnjrUJxM3m3cHge5gRiW7RpCAgxjgAYrauf+Cc37bni/R76ws/2cvFXmTW&#10;uIVutLMGTvX/AJ6bccA9a/d7QzDqen/a44/m8xlbcuDwavRWxRfLTCgnJAryfq6ldSO6pn2MctIr&#10;T1P55dM/4I8/8FErh5JH/Zj1jhcLuvbRc/nNTY/+CKv/AAUnvLrzIP2X7xYQwGZvEWmRfX71yDX9&#10;Dr2rFcBvyJphtNvzMi/7zVy/2Xhb7v8Ar5Ff625nHRxj+J+Mf7A//BKD9uD9n39pnwr8ZPiR8Mzo&#10;uiaW17/a91aeJ7R5YkktZo1wtvOzn5mT7vIr9OdC1DWo7dYtJ+ImupEsfy2812J25B6tcI78duR+&#10;Ir1bxJBI+h3QU9IWPy15RDfW0ceY8DC4+7XXRwtPDw5YHl4zH4jMayq1Ur2toeU/GHxV4/TRLy0b&#10;9o7xBOpXc0drJYxyAY5VTBAsnvwc84ya/Kb4lN8Hvjb+3HJ8AZP2YdU8df8ACVeJrfSvGHxR1zxd&#10;q32/Tprho4nNgI7mO3jjtFkGEniuC3lkMSuBX6vfHPVIIvD1y7yEKq52qP5D1r87P2g/hB4P/YB8&#10;Q6/+3Lpvxx0HxTJ4006RPB/hGz1CJbm01i4l2XskiKzBkslaRQUy6zSx70jCsWuorU7XOrKZVI1J&#10;+z1m0lFed9b21PzO1b9lr48HxBd2OneGWuoYrh0hmTUIcOoYjdy/APXHv361EP2cvjhpNszr4T+Z&#10;uMRavAGz9N+a+pvh54n0TxZokfizw208DXF1ILqGQhWBycKyjowGPwrsPCPhK/8AGfjSzshZ/JG6&#10;y3Nw0eRtB6k/yz3rz5UcOp9z1nxFmWHrOnK0WtOp8N3X7Ln7UF5MqWfw9uZ5GPy7dYg/l5lM1L9i&#10;D9rqO1+26v4CXTo2Xd5l5r1qmf8AyLkn2r6u+FP7TnhX4jfHPW/hj4Y024a40F7ppb5kTyXWKYR5&#10;GDk5Zhjj1r1GR7T+0pNQuLtppo/vOzcg+w/GuiVGnh7NHHWzzG1pe9ax+fOnfsPfGqbWLXRtXu9H&#10;tZbyT5S180gTP94qG6e1epeD/wDgl8Jrlbrx78Vd8I4kstIscMfcTSN/OM13/wAb/i5afCXV7r4j&#10;f2R9vbTNoa08zyw+9tg+bBxjdnpXmj/8FTPLkzH8H9v+9rP/ANqruw0Yyjdo4a2YY2o7Rlb7jF/b&#10;j/ZT+GnwE+F2j+IPhvp135z6k1rf3l9dvJJNujLISMhFwUP3VGc189eHLoPpao6bfm9f8+1ex/tC&#10;fto3f7SHgseCJvAsOmxQ3S3YuFvzKxZFYYxtHZ68P0yRkh2IcfNXZyxjsiKk6jw65nd3NZyN2V7V&#10;NaX7pKAZfl/u4rPjYSDHmruH3h61csbSaQb1sW6/e/z0qrqK1OWMZVJWirs6TQ7nzpQiRurdmStX&#10;xJeJFYst8SbfT1Ekm7jzJXXEa/z/ADrM8OCew3XTwNlRlmZsLGvdmboB75rP8QfGaw8OPcado0EW&#10;oXUzl5pJBujRvr/ERg9PwNZ1q0fYuKPXy/ASp11VrqyWtmZkdnrM6Cby2O7nlRRWFcfE7xVcztPJ&#10;fbCzZ2xKqqPYDFFfPfVJ33Pov7Rw/wDN+H/BPTYvGWj6vHt1fSWXP3mXk/41Bc6B4P1ZXNjrT27E&#10;fKsik8/jXnWmeO7mKQC9iVs+natlfHekY/ewMOOprtdHEU/gf3HGsVg66vUSb81ZmhffD25kyLLx&#10;PZzc9HbGPSqU3wz8RoMvqGnvj737/ofy9KrS69o93L50EzLn7w28GvZv2O/2AP2pf29vGb+Ev2Yv&#10;hJfa81syjUNTZhb2NhkcNPcyYjjyAcLu3Ng7VY8VpGtjF8dzCNHJ5Tu42/7e/wCAeRwfDbU5BvuN&#10;Z02FQQGaS6AA5qufA9obpXbxTYAx7v8AlpkHIIz+tft1+zr/AMGg+m3djBqP7X/7T7NI2ftGhfD7&#10;TyR1+XF5dL+Y+z/Rq+zPhH/wbc/8EkfhPa24m/Z2vPEt5Dy2oeKPE95NJKfV44pI4fyjApyr1uVp&#10;ux52IrZXTqXopy+f/APwr/4JxftAfC79ne38QaB4w1yHzdWe1eGeIPJu8vzPkCqhbOZM5x0HrxXu&#10;XjnxLYftz2s3wF1TQZNJ8O3N9HdT6tazmSaeOFtwURvGuwn1O7Ffuh4Q/wCCW/8AwTr+H6FPCf7F&#10;vw2tWYczN4RtZZD/AMCkRm/Wuw079j/9lHQLtZdE/Zn8CWrfdDWvg+yU49MiPP61CxFTTUx+v5bK&#10;TcqLv/i09fX8D8fP2f8A9jv9n34K6B/ZfgT4dR2s3lj7VftCr3E3pvkcFj9Og7AVu+PPhsun6HdX&#10;+j2UkhWEmOEqAR64AABr9erf9nv4IQyO0Pwf8Mjtsh0O3AH5J1qaD9n/AOC0zMr/AAf8NqAOfM0W&#10;Hn/x2uj6xGUbWJjmXsWnGLP5ydRt/EPhfxX/AGnaXE0N1HcBxIBtdDu6H09Mfnivu74a+KrHxp4U&#10;0/XBu8u6sleTy8ZX5fmX09R3r9DPjB+z5+wn4B0C+8bfFD4F+A4be3jaW6uJvDtvux+CbifYZJ7A&#10;niviHWvjp8Afir4pHhH9nr4A2vhHw7aXyeXqX2VIXvsKzyARqCEQeWc5bJ3oSqkmubB80cQ4atN/&#10;I9XEZtHMKSUabTj1uvyLfwQ/4JpfCLxleN4xGj6PbtHN/pE19Zm8uzlcqVEjeWn+8qr9K+pfBXwA&#10;8CfDfSIbDw4kkk8c27+0L5VkmUYxtVsDYMdMdK8u/ZG+KGlXHj678HXt8ySXStFFGVLK7xqZAd3r&#10;t3/lXtGqrfWfjSKCaGS9jmt/OtzIoURMjYkIIHzMVlUgc/dPTrX2H1itHD/V6VoxSvokr97tLVnx&#10;GKoxqYp1Kzc23pzNuy7JdCK71bwPpOpvZandK13xJIzgt5Skfedjwo7j1w2M7TjP+IPxQvPC87aP&#10;o1mrXRsWuLd9u5WIDnbjI5OE/Om+PtPgsraTUxC8y3OoWgupGyWWPzUXaNuCw6kgnAy396r3iXwG&#10;+uXej6g975d1pc3zXHkr++XAyhA4HzAdBjrxU0Vh48k563vf7jH39Yw0tb8TUbwrp3jZtN17X/Am&#10;lteW9u8llJq8EX2qHO3d5eUdkzgbtrfwjrgk6Ta1qFrarG1mkjbsL5l4do49Qhrk7zVj4xm07W4r&#10;6TzbTaiyBsFSg2sntyDW5cqssCqZ3UbidiOVH04PSvnKtpVJO3U9aPMo8rY3WL6/u18ie4s4I3Vh&#10;ImwyMSQRwSQMc8goQR6V+c2peEtHttVvpoEX5rmUhQgHG8+gr9FYbC2L7zGcKc/Mxb+Zr83IvHsV&#10;z4RuPF95KioslwZmX/ZkYY/Q1jKyjqevk0f3k16Hh37SNvZy+IdP8H6ZYNJdzuAdq7j8xwvGRmv0&#10;Q/YL+F3w7+Avw0n0BZYLXULFvI1tpo8SLc7FMryMc4GflU8fIijsa+B/2YdA1H4s/tHXXxD1WOOS&#10;18OwyapMJT+7zGR5KMTwq+ZsDEkALuPQGvrDwd8KdZ8ZaVdaLf8Ai3ULTTtWlSa8u7b5J9UAOSOR&#10;+6t+qrkb5PvHC4Fd2S4GNaU8RN2jsmdvFGM9nRp4VvW12ke4ftPz6N8V/hsPDPhYw3u6Fb/SrmEh&#10;oyy5wFI7spI4/vCvjK5hmjRooVyzZX8a+wvBHhHT7Pxnovh/SLZLbStLiD28aZwjRp5aqckkjDjr&#10;n164r56/aI8GW3gP4tatpUMCm2mk8+2VW/hY5wPoc/hirzChBSVRa9DzckxT5ZU5O19V+p5Donws&#10;1JNQkvtY1CHDHO1V557Vqap4M023smW2lk3N344rorKZmi+V6wfiF4w0LwD4WvvF3iy/jtbG1hL3&#10;FxMeF44AHdiSAF7kgd6872VO2qPp41cRzJXOCufG/hv4NeG9Q8eeNNREdnaybFihbdJM5+7Gg7sS&#10;PwGSeBXyFZ6p8Qf27vj2NEW5mlmu7pYdM0ezhLzXK+aFS0tUYqJGO4EgsuTyTmuP/aE/aB179oj4&#10;gmz0mOSz0i3Zls7bfxDGTjcezSNxk9hgDgDP2J/wTP8Ah5qP7Mvi3Qfj1Nb7NYgmElnC45t4GXa/&#10;H96RHYHuAx5GTWSlDn5V0/E68RRl9WlV5rO2nmfoN/wSm/Zn+OH7NfwhvvCul/s72XhO+vLpZbzX&#10;tf1hZL/UmQEbJo0hP2eJOiLG0nDMSxJLHy//AIKI/tP+Lfi14gm+C9j4m/tTwp4dv9+uXMcZih1e&#10;+6R2cexstDHhmZtxLncQFwle4/tP/t/2ms+C4vh98JZZ49Q1i1zqWpbj/osLg7o1J53kE8joB6kE&#10;fIl7daBqFt/ZJsV8u33GNdo+8Tyce+Pyro5pcyaR8rgcNUq1nXqa9jxKP4axeIb6bXNZvWlmupvM&#10;f5QoJPoFGAOwAAAGMADitv8A4VPooP2mXT4JMAbWK8120ul2mmoJIoty5xg8bapx6isZaG5Vdrfc&#10;+SorylU0PpKcJSejMGPwhHDJ51vbrG4XaoRcBx6mnHw9Akq3Vvbqh6MeuTWtcXKu6mNAu3o1VZ9Q&#10;ihBWaVV3DDqxrz3bqenT591/wSvbabFBfKkypvjOVbbx6121mng/xJa/2dd2UUN6ABFKq9W7H/61&#10;cXot6lzctG7q+37m2t/R7eOO5W4uISE3Y3KeQ3arjGMZeQq0ZSkrnkF94dmHxE1C3u7RIZluyJdi&#10;9CMfN+PX8a7TxLp0Nr4WYF8xtEwbnjpisbVvF2l6p8TdUvl/dqZ9nmN0k24XP6Vl/FLxe+u6eul6&#10;JdsixxsZkCnDHPavAxkZRrO3c+jw1KT5OZ9vyPmjWfD92NVuCLddgmb5iw4561ofD7w7qOoeLLXT&#10;ltxt8zP1556V2L+FBcsPMctu9vzq54d8IT6frkUmgzFWllWN2MYyBnkjjj5c1ngeZYhN9z0cZ/us&#10;uXsdD8Yrk2WnaTeaZJtQNHPp+5QfLG3zRkEEH52bqMe1ep/s/ft6R6N50Xi7wbZ/b5kaGTUNJuvs&#10;wcFeS6MrqGzzlNmO2K8k+MGmXl5by3sgbyYG2R7W4IAGfxryqfUl0eNVj3K27O7H6V9diMVUwvvI&#10;+Lo5Jhs1pcskfdt5+1DdQfBrx7NeeP8AVNYs7zw1fLYf2w9t5lo32WQBENvBGJFYkA7xuyqnceQ3&#10;zH8M/F17Y6XFaRz742jIhH3c+g/OvNPEfxAdvAWpab9qkzcWLxiNfcdOvrXqHhPwZZ6f4H03VH+a&#10;ObS45JsdF3rnFbUsV9YjzQ7HNHJ6eV1/Z9+5t/HPxNrPxo+FGh6lf600sXhe1fTY7QKo8gK7Oj/K&#10;Bkuj4JOWPlDJOABxX7KWo2fg/wCMGifEieZ2/snWrSdl3YVlWVWYZ7ZUEfjWh8ILyLVPGGpfD6+u&#10;tlprUTJB5nQTKpZGP6r9DR4c0OLwT4XvL26Rf9FWR5Rnkvkhf1xXmSxlZ1Lp6anuzy3Cxwroyim5&#10;badH/wAE0f8AgoB+0i3xx+P13rsOsySWum2S6dYwqRtjjWR5Nq4A4Blb1Oc814r8MfE/irw18RNM&#10;8RfD3UPs+s2t4sllcMxGxs85x/CRwR0IqrqQnv7y4vZl3tPO7yOzdWJyf519Lf8ABHH4U+DPiR+3&#10;V4ftfiI9uNJ0mzudUuraaVVW68lPlhw5CtudlJGRlVbrXhRqPE4mzejZ7mJwVHJsjkkrqMNl/Xc/&#10;Vz9gr4LfGP4hfCjSfin+0Rp8mnzapbrNp/h1WIPllQVmnBwQGBysXUD7/Pyj2D4uy+GfDzaX4Olv&#10;o21JfMuls4otz21ufkDgD/VguuBjrhsdDjy39o//AIKu/Az4bm+8BfA/U7Hxt4utf3c+laRqCT2+&#10;msR968nhYxxYH/LIMZDjBCZDV8v/ALCn7Qd18b/2kvE+t+M/G0uqeLLizmGvpJMjJEyzJ5QTZ8qg&#10;IGGzjYFAAHIr66PLy6H4TKjOs5VKnu9Uj7atToEiIkmp3aSMPuR6rKq5/wB0tTdSh0i+hk0q93XE&#10;EigPDcXEkyt+DsR+lQtcSW0XnKfujK8Cs+416CO93XThdyZzRbsYxlzR2PCviH8Y/iR4h+Ndj8I/&#10;h5rVxpNvDqUdrb2el3CQm4kyqmeVUbLnHygvnCoAOM18wfEz9qz4rfAv9pfxprP7PPxNOm2uuX8s&#10;XmWsMc8bW4cbPklRlDAJwy84YjJBNe//ABCOm/C7XPE/xwu5fs+r6xd3mkeENynIV2Iub1fZEby1&#10;OPvSHGdua+JvFmhxaf4qhlZ1aKS+H7xz1xXU6D9nzxZ72UunaT5fJeex+mX7IX7eNvp+gvrfxr+J&#10;sN9DqWn2brDKyLPbXyqUnwAAvlSZRgOMbeM549Tvv+Ckv7P9k+Y7yaSMNhnUHj34U5r4i8I/sD/t&#10;b65oFnq2j/COSWzu7eOa1lGrWS70ZFbOGmB79xnGM1L4n/Yo/ab8LosfiTwDZ6e8y5hjvvE+mw+Y&#10;PUb7kZFcMpdV1JqYXA1Kjbmr9k9j6l8U/wDBZX9ljw7cyadJNePcRnDR+XIPmHUZEZrkdR/4Lm/A&#10;KCMmz8IX1x82F8u7Iz/31GK+MfiJ/wAE7fjx4mu21iw07wxBK5BmWX4g6OqntnJux29q4zUP+Cb/&#10;AO0Qlxk+Ovhnpyx/eGqfE7SVx7fJO57+lcNeriY6xi/uPWwuV5Dyr207f9vL/I+vfHP/AAcOfCCx&#10;t59MsPhHqr7o2RitxGw54J6qe/rR8I/+CingL4i+D7XWrW/8qa4jDNbXWEmiyONy5OMjkHJBHIJF&#10;fFNv/wAEsPGN5q9rceLP2vfgHp9u1wjXgm+Klrv2ZBYfKD82M+leteI/2NvgVbF577/goB+zjayH&#10;jZL8T4BsHoAF4AFTQqY6TvKBnmGByGHu0Jv11f6WNz9tb/got4Y8C+Bbuc38LXDqy2drFIDJLJjg&#10;BQc47n6GvzQ/aQ/aY8fftW+NF8d+PtShzb26WumadbxmOCwt0GFijQ9ByWJ6szMxJJr3v9o34U/s&#10;9eDNRfTJP2ovhT4kREVl1Lwz46s7iFyw5CqXEgKkEEFPTBIIJ8L8T6L+y0NZSLw7+0roNlbSRB5o&#10;9St7+b7PJ/Eoe1tZldSeQcgjOCOMkxDxFTRxZ35PQy3BfvFNNvq9Djfh/wCN/Efwx15dd0S4LRuw&#10;F1ZBvlnX+W70OMj6cV7944/bs+HnhT4fyaF8JfDGoS31/aot1qV8Ut47RmHzqXJwWHI6bfQnGK8b&#10;vPB/hqaRbjw/4jj1KzPK3kdpNEknuqzIj49yozXM+J/hbY+I9OnsLhDtVt8ckefkb1+lc6kqcuWW&#10;56+IyvCY6Xt3T5n62vb8zmPh38R9N/Z98baz40+Hnjqz1GfUImjuGubGSVvmfzCBjavX+IEjgY9u&#10;u03/AIKJa3ZIx1PRxcSZyZLeFUz+BfirP7OX/BMD46/H/TL7xhY6lo+k+E9LuDb6t4i1LWLSGO0k&#10;4KpIs08ZUuGG0nAbsaxPi3+yv+z78HvEzeC9T+LOo+KNVVcyDwnc2U1mjZ/iuVklQ8dlDY7k9K7W&#10;pcvPLY+f+rRrVHTpUbtb6GD8R/2nvCXxV0i48P8AifQNTjhvJ0e4azki8zCsGwMn1A61xllZ/swT&#10;wsLqXx1bt08uM2bZ/MVoTfBvwnaW73eqwa9bxtI3kj5CuzPGXKAE4xnCgVueCfgr+z14gs2u9V+N&#10;zaLcRy7Fs9RWNmYdn3ABce2SR3x1roo4qmnywkY1spqU4806Vv68jndM039lewn85rzx23zENmO1&#10;7jtxVqK8/ZI08lLLQ/Glw3LZvJoVBP8AwHaB+Oa7iH9mn4CXQaG0/ae0FZsHyVumjVD7FvM4/I/S&#10;sa8/ZDgmdn0/9pb4YhW/1e7X3BP/AJC4rsjVlKO5xvA63jTf4nEa78RPhZZgR+Gfhxc8N/y+3y8D&#10;/gC/1rmtd+I13IN2laFa26qfl4aUr/30cH8q7PxP+zzH4Sv2s7/4meGdY+UHzND1J5E6Z+8yKD+B&#10;NV9L+HegW8AmxYyMp+8X3EfrWMq0dpyOynhMZCP7qLVzzuZfGvjdJ+Lq6jsrdrm4jjjKxwxqQC+w&#10;cLyR+dY+w+YqDv3r3Lwiul+CdZvNUheO4F/pc1hdW78oYpCpOB6/KK52QeAPCjeZbeH/ADnX/lpI&#10;NzH86wlOnGXu3YLLMRJ3qzt66/keepolxIgdYZiD6R0V6IPi3HEPLt9ECov3R5gGP0ope28mT/Z+&#10;B/5+nmEIHLY6VKR5hCmiivTPl4/xGev/ALDP7O+l/tUftXeAP2fNZ8RS6Ta+LfFljplxqNvbCV4I&#10;5ZlVmVCwBbBOMnGeuelf2A/sw/sy/BP9kP4MaN8CfgF4Es9B8P6HCEght4h5lxJgB55nxmWZyMs5&#10;5PTgAAFFY4htU/vIrSagrHoW9qjmkYAYooryTicpbFa9u3trZ7nbu2jpU4jWaEbycMvzAHGaKKtb&#10;FR6Mkh/ckCMbR/dArN8da/deHfDV1rNnGrTRxgR7umScAn1xnp/LrRRSxMpRwc2uzNo/Ej4R/ak+&#10;KMtzd6n4b8ZeHbXxIt4pjuo9bZpLaRf7vlJtIHsH/E18++AvDmkaRd2q+G/D2i6PatYveCz0jSUh&#10;VJJpXhba+TLjZbr952zuOe1FFTk9SpKybZ7Co0vY81tTo/hX4xg8EfFRrXTNJZ7qzkgu/tklz95v&#10;tEUZG0LxmOV1PJ69O1feGq6FZX4t7vUTJM0ZfycOU2bl2tkrgnIPTpRRX2LbjFNdDw8RGPtELPFH&#10;p8CrZII1IVdvXCjtWT4l8QyeH9Kn1VLcSeTC0nl7tucDp0OM0UVjT+JI5ai5b2PIf2TPijqHxP8A&#10;EviOO/02O2hXVJ5ooY5CwT59pAyO+M/WvWZpHWdogx+VjiiivPxMYxrNI9SptH0RS8XeKbrw54O1&#10;PWba3SSS1sZJFVicEquR/KvyTuLm6v8A9lqHUXuGVnvGdwp+9lmOPz5oorzMV8UfRn0XD6V5Pzj+&#10;Z7Z+zF+z7oV74W8J+DbDWZ7G38TaQuveKJ7eP99qIDfu7QsSQkK+ij5iSTnjH15fJBps7SRQ7muL&#10;ghmZjlQewPXA7CiivsIpQwuHjHRNN/M+RzapOpmdVyd9Wcr4K1/UXsJtVlmZri31aRBLnlhnHP5D&#10;8q8B+JnjnWPG3ipdW1Ur5j88c4Gc45oorhzj3acku6/JHfkyXtL+X+Rj23yysQevOK/P3/gpn8fP&#10;GeufEK++FMPl2uj6DPGohQljdTPGjea/0DYVe3XqaKK8Be9HU+2wX8S5j/sMfB/wn4s8X/2lrlv5&#10;y6aq3AhdcrNITgFvXB5x3r7XMs9taskMmGXaqttHGaKKyoxX4l5lKX1i3kvyRvndbM0AkZmgUR+a&#10;x+Zz3Y+/9KzdQu5LOaO4t/lbkfX5sfyoor0HpY58PGN3oVtY1W5guVVTlZI8sprH1/U5YAGRB94D&#10;miisa+kLo9LBRUpu5yOq/EPVYttsIE+Yn5txyKzI/Ed7qd7JFMoG2QLuB5+6DRRXl1dj1cPGPK3Y&#10;9Y0zSrO08HW1/Ch85cfvC3J5NXRceVaSh03bozzu6EDrRRW6+EmUYy5211/U8G1CNY9QmjVm2+dn&#10;5jnvXUad4S0/Xp1Fx8vlx/LhfaiivGrfxmexQ/hpGf4v8K2Hh69VLQ7sONu4dKtfD/Q7WbxE17Iz&#10;FkgkZc+uxsflRRVYCK+sRfmZY6co0JWfQqftAWlvo/geKS3jy1xdSF2br1r5g1u7uJtXZWkO3djb&#10;+NFFernH8OIcIRUoSb7sxNVvriXTp4WYYWFj09s19cuf7O+G+lxRjcG8P2H4Yt0P8zRRV5LrRkTx&#10;El/aVD1f5I8jsdTm0rxVDrdsP30V6kg56/OBivQfj3ILXwzeyWqbPtGrqsi+qlWbH50UV5s/4VQ9&#10;KtFfWsO/63PEJI9sWN38I/8A116h+xXpemeIfivfaHrtjHdWdz4euY7m3mUMkqM8QKkHqCDRRXn4&#10;WMedP0PQ4j/5F1X0LPxo/Z38NfsvfFO11/4N6tdaU2qWpniji/5dwT9zrh1HbcPzPNe3/wDBOnUo&#10;PhRLo/jPQrRpL3U9UeLUJJZj++V2IOSB1785yaKK9inUnHEWT6fqfmOMo0nk8ZuKu769T9IF+JOp&#10;XWnRyPar8yr/AMtD3H0rzf4ufGHW/D+i3t5b2as0aNt/eEUUV6ybsfE04xstOp8U61+1R4/+N2vz&#10;eJ/F8UbHT4o7LTbVZG8u1gjXAVR6kgsWPJJ64wK43xn4vur6/jmktVVbeQOsYY4J6/5+tFFetV93&#10;C6Hv00otJH6//wDBOf49+JPil+zlBrviTTLf7TY2t8E8klY91rczWpKr/ArmHzNoPylyBkAV/N7/&#10;AMFOv28fjZ+2n+154o+IXxB1WW1h0u8k0zQ9Ht7ovDYWURcJEpIGSSS7tgb3YnAG1VKK8fJ/ex75&#10;tbLQ8blinVaXVHzWvi/xJKwkOsTjGeN/tVK58W+Ig7I2qzN2+aRunp16UUV9BWlKNTQ5bIrr4o1y&#10;MNu1KZtzZ5lOB9BUM3iLWp42jk1CQjjHtRRVUZSlF3Jb5XoVze3bgF7l2/3mr379gn4YeE/i18UT&#10;pXje0e6tYYV8uBX2gyOSiu2PvBSQ23oSOeKKK4sdpC6NsKlKukz3LVLJLItDGRtVTtVVwBxnH61F&#10;olpF/a6xAf65lRi3PGaKK+Srayuz9coO2HVux0PjRdX8M2F1beGvEuoaf9vt42vltLp0juVjYOiS&#10;Rg7XCtyMg4PPWvmTx38ePGniDXJIbWKx0trf9y9zpljHDPNz1aVRvBPcKVXjpRRVUexz4iUo4WLT&#10;3OSmluNSElxqF1NNI+N8kkpZm9yT1NQ/2FaodyOw79BRRVqMVscDbloxt7aQBtpT+H/D/Gq3krnY&#10;Qv4rmiindmG0tCyljapblvIXd6qMVNYyfYWCwr9485oorSn8SRnWlKy1G6rr91A7IEH4cVyOoyS3&#10;125uZGb6miivRhGPKfO1Kk/aPUmh8N2jxK5nm5HaQ/40UUVdkY8qP//ZUEsDBBQAAAAIAIdO4kCW&#10;vxiJMAsCABcLAgAVAAAAZHJzL21lZGlhL2ltYWdlMi5qcGVnAACA/3//2P/gABBKRklGAAEBAQDc&#10;ANwAAP/bAEMAAgEBAQEBAgEBAQICAgICBAMCAgICBQQEAwQGBQYGBgUGBgYHCQgGBwkHBgYICwgJ&#10;CgoKCgoGCAsMCwoMCQoKCv/bAEMBAgICAgICBQMDBQoHBgcKCgoKCgoKCgoKCgoKCgoKCgoKCgoK&#10;CgoKCgoKCgoKCgoKCgoKCgoKCgoKCgoKCgoKCv/AABEIAX0CB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b0/4YXOtatcad4S8deHLyO22m&#10;S6u9ci02N855T+0Dbs+Mc7VOMjOMjPUftIfDH4m+A00O317wBqVjo+maHaWdrqsmnSrbzzyxteSp&#10;5rDY0iyTyqVB48roMGpPhd8Kb2+Vvio0WmXGn6JZy6hLGNTglfzIwWiiliSTzI1eQKuWC5BODmvP&#10;9etfjD8IPH1vrfiCHxJoGtTSSXVvqVytxZ3crEnfKrsFckljkg85Oc5rnjKVStaM07ffd/P9Op7U&#10;o+zo6xav27L+u5l6fruq6Lf2+r6NfXFneWswltbq3kaOSNx91lZTuUjsQc16h4L+KnxXv9H1rx74&#10;k8Y3Wt6tdRwaRo82t+XqNwHlYmQKLoOTH5CTRMACP36qRhhjjT8TvGGqwT2muiy1L7bdi4vbjU9L&#10;hnupWGPl+1upuFUqAMLKuB0x1rrvH3jfQ9Bu/DvhTTvCMenro4Gozf2XfHIuLmKCUeU7mRk2qkQO&#10;/ewcOOMDBiIufuuCb/y9bdR4eSp+9zNL/P8A4B3P7S3wN1D4OfBXwJ4q8VeA9J1u5vLKfT7y41C3&#10;u4W0ucySXKIrW10kThjPNtBjzmBzkhgq4nwz+HegaB4fjaLTrU3M0nmzbY9wjbapwu8t93pnJz36&#10;4r6W/ab/AGitJ8df8Ex7fxVb+FZNvi7XLPR5omuxE1m8Ur3LOCEYSLusSg4XKybjggrXhPgu5a98&#10;JWVyI9vmQq+3k7cxoe9fD4bHZhXydPELlmqk4u3k/wBG2vkmftPAOVZZiOIKrUVO0IuN9bX3fzSX&#10;3m5p/hibxKt7qr2v2mZpJJbu4xiVsqC7FgcknJycknNeW/tD/AnV4Uh+KHhKyZ/sqtDrFmzMzpF8&#10;rJcKMZYDOxskkKqEAqGZfcPAmjf21bXHnyNFHbq0obyi2eEQKcdAxKruOB0HcCr013rei2v9tWFr&#10;NM8dn5lh5zunnyoDhVdCHUBgqgowKnoQRVYHMcVhsQrSuux+mcScD5LnWVzg6cY1FFuMoq0k0rrX&#10;qn2/4c8B8WfFrS/D/gTSfhR4p8MvrV89jps3iTXP7aeK4a3MrXP2SOSMvHIFt2s0DXEcjQSJMpR/&#10;Lg8rl9S+GOjvrbaRovioabqQht2XSvE8y2bOZwXUw3e420sAhMUguZngWVZFKIwIJ6TRfF994z0H&#10;ULHxf8Z/AOmtdzFZm1/wS9xe7AqqohuYtLmeGJVUIiRyqEVQFVFxVvRT8GvGl+r+OdDt9F0HwzCs&#10;Nxr3hWO+mS/VnysS/b7xijyM0sgSO3BIWV9iKrsPsIy9lHRNel2r+jS/D7z+TakXVqatW6XsmkvN&#10;N/ic1bn4hPqek+FfiN4A1DW01S3t5dHW4tnS/uLSTyEiks7gAvIhhgEUAYTW6b2ZIiSc9BB8Jfg5&#10;p0KapdfEf7dfLCt1ceC7WSGO4ClDIY/7RZjbMwjCr+7V52kcILdXDqmxbeI9d8JaTcaJ8HPE3h3R&#10;7HWI2t7i31K0t54NXGZTlL26R4g6W00LSLL9kaMzJH5TSbi/C6vZeD9X1drDXtAm8GX03kuo8u4m&#10;sUSUW3lFo5C9xDGIWmnaQNcNJujVIlBzThJy2dvT9V/8j94SUY76+v6P/P7jopvj/wDEzwVp0vwk&#10;1vwlYx6HYq1je+DdYs59qyLKJHR5DIt1CftKCdoo5o0MoOU2lkPL3nhr4c+NJoz4A1+bSLy4mVI9&#10;F8TXabSzyRRpsv1WOI5LySO06W0caIBvkPNdR4b0f4mad4dt11DTNB8TeEwjLZtrl5EbSJI5JpTF&#10;DN5sVxZMXlaZreOSCSRpIzIjb1Vjwt4G+AvifX38P+HNcv7rVriO3i0LSbm8ZLW/upIgixfbBbBy&#10;5uGT5Hgt4inmL9qTasklx9nC7gvVx1XzXfv18yZRqVLKb9L6fc+3pp5HP+FNC+Pfwz8UxxeFNG17&#10;Tb7VtOVUW3tZPJ1SxkxLgjBjurSRY95Db4ZEQk7lFdfNqnwKtJ2u/iW9m2ufZZy0ngjSxcWRumkm&#10;GZ0a6htyyt5bKLTFqI9vEhLIuX4m+Ivxk+HlnN8OtW8LaZpfh3UWe8g0NdIims7m3kLR+bBcSb5Z&#10;4m8v5J0mckwxusm6KNkyILH4T+O5CVml8H6hcXPCyJLeaUPMmdmO4brq2jii8tVG28kkYElkB4bj&#10;7T35r5x/Xr8tUSpRp+7DftL9Onz0L3xE8EfEfxjql98Q4vEFv4wikh+03Wr+HWMkdpbwrHH89sUS&#10;WxgjBSFBJDFHiMLFuRVNR/Bn4p+Nfhh4jOnaDbNqWm65PDBrnhqaJZYdYt94byGR1dd5BZUlC+Ym&#10;9thG5s3dP+CfxQ8EWVj8TtYmbQNJVY7jT/E1vP5iC48qWeCKJ7YsRcMYHVVJXY4xI0QDMvRXf7Tm&#10;kRQXnhq48FTX1rdRTW994rS/az8SahDIr+csl0nmReXM8jmRJIZnaJvKaV9qyByl7SHLFKa27f8A&#10;Ab+4IxUJc8m4P+vn+ZLLpvwF8Ma1G3xO8G/2P4ihnliuvDej6hPNplpMsI8lb0OXuIl85h56xXE0&#10;yhZk2QyKq1xHxT8EePYLubx1rFzBrOmXcqi38QaLtksPm3+VCBGqi0JSMlbWRYpI41H7pAABfuPh&#10;BpXiXbe/BXxrD4kSWdIYdHvIV0/WQ7uI40WzaRxcvI2dqWklwwXaZBGWC0zwb4U8c+DJbjxTqes3&#10;3g+zC31jcX1zHLE148cf7+wSMDdOzbo4njI2KZk84xoxaimox1jK77O/66r8RTcqmko2XdW/Ho/w&#10;OQ8IaV4q1zxNY2ngazvptWa6j/s9dNDGbzgQVKbOQwOCCORjNewaP8cfA/gJo7r4peHY/iF4usr+&#10;V/7ahvLdBZSB8ljeeXMNYkL5w1wssMYhjEZmjdlGb4p/aD+G/i/Sbjwu/wAJv7Ct77T7ePVtQ8L3&#10;cFpPqF2mw+dOgtvKa3EivKLOBbdS3l75GMMTR8rb/C7wZ4mvjb/Dj4uabeG4u/JsdP8AEkR0e7dB&#10;CJGmleVmsoUDboxuuy7FchfmFVJRq/xYtf13W34BH91/Ckn/AF2e/wCJY13wr4Y+K+rXHiLwf8VV&#10;k1fUZvPu9P8AHl8lndTXEm+WYi+kb7LMqYOZp5LZ5WPyxBiqnL074I+JdH1SOT4x2194P0vyPtMt&#10;zq2mvHcXEHBxaQOUa5kbcu0AhBvUu8aZcbGt/BDUfhT4cbxb8YdOvLT7SCnhmxhhLx6xKr4aUXK5&#10;hNrGAWZo3Z5C8KoAkrTxZtz8f/ipd266Rca/DNo0UIjtfDdxYwzaXaKEZN0VpIjQxSYZz5yqJWaS&#10;Ry5d2ZqjKpKP7qSa8/0a/wAvmLlpxleqrPt/mv8Agkem/G/xv4OibS/hT4j1Twvp/wBu+0xW+lam&#10;8c0jABY2nmjCNM6qDgnCK0kpjSMSMDo+Gtf8N/E/UbPwv4t+H11Lq11cRWtpq3g+1RLpyzRRorWK&#10;hYbllVSFSM28krvmSVmOTa0Xwz8O/i3aarqdh4JvvCVzY2cl5NNpM5utGiUFEjRxdyia1QkgGUz3&#10;DvI6RxwlpEStnT/Beqad4avNG/Z8v9P8SXGsLDpt3qVjcqusXfnQI09jaadIVuxGWkaGSSKJxKsb&#10;KJBG80bKUqOzVn32t6vb5X1KjGtve67d/RfrYktPgvZeF4E1fwTfeH/HWtTW8a2mkrrFm/2a4uAq&#10;wbLRLlptRuFcyZhjV4kaOPzPOSQx15r42svHNv4kns/iNBqi6tarHb3kOtCQXMPlxrHHG4k+ddqK&#10;qqpxtVVAwAKs2Xwu8av4qk8FzeHbix1OO48m6s9SUWptGHLecZiqwKoBLNIVVFBZiACR1a/GbXvB&#10;fgOP4aaN4zvfEkK2qPZQ6lLJNpOiSSGR5vstncKVM/7zabgqoRnuNiOTHcCo+0p/C1J/d+K0/Bf5&#10;zLkqfEnFff8Ahu38zL8GWDfC6z/4WleeMrrR9atmB8N6bpF88OoyTsgdbl2jIa1t1R1feSJJt6JE&#10;NrSTwa3jL9rP4hfFfxFp+vfFfw14Y8S2+mJIlvpV5oMcCGJ2dxG9zaeTeOqySNICZ9zNkuX3PuXx&#10;D8TI/jfrGqXJ/Z/8Jw6pqF19r1bxDFqGpRPA0kkSPNJJNffZYkaZuXlTG+cAsSVq1rHiz9nTwNeW&#10;o+Clt4ktdQW8f7d4m1GeHUDaKokiDWCtBal96sJ0mlSCaNxHsETIWaJKMpJzp3l8tPne6/M0j7sb&#10;QmlH56/J6P8AJDLmT4LeFLOHxD8TfgtjWrrUDPbeFdE8WTw2lvZq6jZdxSxz3MZkPmBR9rWXaoco&#10;iNE8sg0L4M/E+2uPEF38R/HVvPpuni5urX/hCLKax0qEuBj7QuoQLFD58ojQLBGu6VEVAzKhS9+E&#10;v7N2m+FoPFE/xp8YW/2q3WexsdY+HtvbSahGJ1ikMHlalOcKvmMsjqsTmCRFfepUdLNpf7OPj3w3&#10;N4e8O/GDx7oHhm1uIZWtJPh3ZJYrcJbyeXNdT/2yWmuWjS6cAI7kvMlvEFYQjJypx1jKV+9m0vS6&#10;f9bl8snpKMbdrq79bNf10MXxHP8As76Rpv8AwhXgrW9S8SalZ2tzbf2xcaC0NhqBMz+XMC1yJ4FW&#10;Bh/AUDQLmN1dnHXXeqfDD4e3Hg3WLvxDr2nrdeF2S81Lwjqn2a1fW0vDHLKXW1eOIR2vkfvraCaQ&#10;SW8DIXyJ34Wx8Yfs+6Jbf8IPpPgfxZrOj3EgbUdWh1q30rUdSk3oUhKm3vI47aMglYVJaSRhLIze&#10;XBHD9FfG7wZ8M/E37EvhO0XUE8NzSa9FNoMV5ZxDz5GWSFLSVzKsdlkSNKZJHESraTAsWVQfOxmL&#10;qYXEUIcsmqkuVt2ulyyd7L0u1a1jvwtCNbD1Zc0U4JOy2vdaXf3Xvuzw74l+OfhrDet4a+If7O2p&#10;yXjw2vk6zP4utBeNbK5dp4bmxsIoLx7hSQby4S6LcOCxyTm3nhb4fX2lanqHwM8HW/iOFdNjL2Pi&#10;q8l/trSpEt1e4uoYLaWKK5iDi4cYW4EcMO+dYwRud4N8Z+DfhhZXXw2+Nnwm8QaotvqTT3mh3Gsx&#10;6ebSY2/lsUEtlJPbSFvKdtjoJBDGsqyBFxzWr+Dre40mTxV4Dlh1vTrOzin1b/RZIbrTC0nlHz4R&#10;Kf3fmBQJ0Z48XFurNHLJ5K+hGLppWuu38r+V9P632OCUufqn8veXztqb3g39qn4u/DvxLcXekvZw&#10;WtxGFbT7O1+wonGN8Utk0M8LnCb3jlV5vKQTGVQVNXVPhloPxLvLjXPhD4luby8mm8ybwv4guR/a&#10;vmO/SGUBY9QJd0UBBHcSO52221C5tQ/FnwZ421K6j+Lngy3uLq6syIPFWnwPLqFvceasxnlja4ji&#10;v3Y+crNO28mbcZGWJITe8T+I/jn4MuE+IHhLxVHY6W5/sy18TfD+zXSbG8MLuVR/skNufOIXzQlw&#10;iXBjaORlCshOijyyvFcsvwf+f4Myd5R96TkvxX9fNHMeDvDH7Rvw20K68a6J8PPEEfh26jVNUkvv&#10;Dsk2k3se7CLOs0bQSgOwKbwdj7WXa6qw0rj4X+APiL4eufFng7XtJ8I6ha7W1Dw34g8TW/kzu0iK&#10;TYyOwm2gyN+5nDMkcOftE7sVV1jr3jb4uWV5e/FTwRrnii00+ASXnjGx09pNS06P51Es9xtxdxhm&#10;i+S5Ytsgjiimt1JNVdZ+BF+ka6t8PvE9j4q0mTT21GS70VvOutNs1ALS39rF5klp5eVEjYeFWICy&#10;yAozEp2leTUZd1qn6/8ABs+wRp80bRi5Ls9Gvw/L5md4m+FWk/C/UpND+KmvahY6xFpwnfQbfQZ0&#10;uLa5JG21uftYg8klMP5kazqFZSA2cDq/D/7U2hWcNn4b8UfC+PxBo1jcWrafdeI7q3v9Y0+GCDYt&#10;pb3U9q0Qtd+5vs0lvJEqttChsympL4n8LeG7fS/A/jD4kWXjLwysbFLXT9NvJjo+7zN32c3a2jwt&#10;umabZE/kyyqhlWQKBUn/AAif7Nvia5voPhNd6tNdyXsf9j2fjrxBZ6Uqxbp3k81tnkSqIo4/nN1b&#10;P5kwVI5cGifLONq6b81dL9Gv61FGMoSvRaXk9/1v/WhmeJ/h7rPxD02C4+FPxKuvGVhpsMn2bw9c&#10;Qm11TTY+WkIsN8iMp8uSVmtJJ1VF3zGInaMD4Zat8a/C1h4ju/he2rWtrqGhtp3iTUNNtjti0+WW&#10;IusswH+jxuyIjNuXchaNiUd1a14n1TX/AAnqNxpD/DCx8NtqGk26S2dxobSSGNlWRLmJ77zZoHkB&#10;VhJC6ZB+XCnB6zVdf8feILa10n9pXw1aXUFgtsxvvEl0NP1y3s7q6Nw0sTj/AEi68zfIRJNBeLEs&#10;hdUAbLNe0jTsrSj8r/ho/wAPmxctOVS7un87fe9V+JYufGeha1I2n/taajo/iKSFoJJNU8P6pHL4&#10;jlhYfeS+gWW0unChQy3rNKFAjRov4a8Xgr4b3gZ/2Z7/AEfxBeOyzWlj462R6xD5cp+WO1kxp9y0&#10;u5Y1tVe9mlA3rHGzFI6p+F37Pusa1bp4G+Ji6luvphdeHdQ1RNJJt1kn2mDVby3W3P7qJJC08MBI&#10;njVYzIXij5rxFqniP4T3tv4W1L4O6f4d1zTWJvf7d0SSa7njljBjE8F8ZIl+Vt6skUZO7PI2gZQp&#10;wcrU24v+V6L/AMB7emjNJTlFXnZrutX9/wDmRa98MPjnr3im80/x34a14anpcdtBqk3iUSRf2fEF&#10;ghgFzNckLbxqHt41aRlUK8S8ArVJNA+Hnhy28/xH4lm1a8G3Gl+H2KxxEmQOJLuVSFdGRCPKjnjk&#10;STiVSDjq9C134seAtHbRvG2lxy6HY28FxN4Y8cSALJb3Eqt5ltbzutwC+QWms8TCNnIcKWNbkvhL&#10;9lfxLqf9leHvEMsOsQz+X5ba80Gk6nujG1ra8urFJLQ+c+PKvIgixxOWu8lS23tqkdJrT+7r9/b5&#10;feY+zpyd47/3v07/ANaGen7YnjnWfDln8OfGum/2h4Vt7MWkem2+r3cd3bxNHHFL9nvJJJZYw8ce&#10;Dbv5lmGIb7NlV2s0v9lybx9d6bB8NvGsb3GpWqXS6Lr2i3kGqJbsSPPjt7eGc3kPysQ9qZWKKzuk&#10;XIWnf6b8afBVzG+h/C6fwj5cdlqEerWdjLAY1yIob2PUJmZ4YpXlQ70mWBy6FRjZjlLzRvDmkX9y&#10;niXxIl1dQ+YJLXR8XCvOsyqY3uCREVZfMZZoTcIcLwQ2RMacVrQajftrf1Wy9V945VJbVU5W76W9&#10;Hv8AISTUfA+gxLDo2jXWrTtAwlutYX7OkTPCg+SGGQndFL5hV2lZJAF3Qr8ym5rWl+OvGmpafrHj&#10;zXbfR7G4j36fd6opt7W2tZLqbJtbaFCwtlnaf5LaJkQ7wFGCB6bH+0Nr/i/Qll+JnwftdU0+4mvb&#10;jT/HWqasLXxPNHBIlwqR6xOpS5uINkCbhbvL5Z8qMR+aoHP678MPhJreo/2t4N/aCg8YatrlwI7b&#10;SNSs7rSb57udVxLcXFxFJa4Wdz5ga4Xei5EqlvlarOMvfVn3+L8vh+dkHs+ZWi/lt/w/yLmj/Grw&#10;l8RII/CXxd+GmtfEbV7zyYdL8R2uofYdcSd9oaIusdwdQAPyp54aTaqAGNQEVniv4MWHifU9Pi0P&#10;4++HL/S77TZdR0uwm1Ow02Wx3qQUngluUtbJzLHEJIxM0hR1lVJdrqunH8Afivb+I9c+GPi/Q9W0&#10;HUoIYpf+EO+H/h4a1Nc201wJfJd7e5Jfy/KjmRLmZiURWVhlN9LRv2ZP2hLG3mvPDX7NfiaDylZ/&#10;7U1/wrd3crTxrP8AuVtlgdIvOHlLtljk2SKh89Ecmubmw1N3pTUfmmte19F/26b8taSSnG/9eWv/&#10;AIEPtf2e/jvAseofCXwFa/YpL+K2bXPDut23iG+gk3QSA79OMroYzGZN1tCkgjLhi65rg4vhv4i0&#10;e7jtovh9qbX9wFZLrxBY+VFHIuzcIoCP37qyuvJkMiHHkBhXWeJPhN8X/Dc8njnxP8P9a0+3tb6G&#10;GTxZ8RtPkVYI1uIFt3No6uzkRYjaEi6DxiUomImKc3F4l8V69aaTaaTFqXiD+xlt7TTbzxTIJbPT&#10;nKJcR2sMErvApLwXkapIzrcRt8sMcgwLjKtK7jKLXV6/i7v816Gco01ZSTv0/wCArfp8zb8U/Cfx&#10;94Z3XvjDwZrl9deWtrZ6n4hsLm0tt+2eKKG1gKrNcMdtu0GQgXY6SW/lqzrz3jXxhqt34kk8L+Bp&#10;5r2QmfT4rqOBGmuI5p95gtoocx2ke8yfubYlczzoJJY3GZ/DPxln+F899NbXv/CU3l5axWV3FqbP&#10;Npd1bxLGsUMsUq7rhFi3Io/dmIxxtE2F5nm+Omk+M9NufBs/gnQvBlpfCISXvhiC5ETNGSYvtUMk&#10;souIgSSW2tKp+dS5UxvUY1ormlDmXfZfdv8A59hSlTbspW/F/ft/kYnhWy1/4capY/ETU7y3sVhl&#10;k8q1miM7XgVxDc2jRr8oby3PmQzPCWik6/vFzs+LvBPgn7Ppvib4XaDrGoWGu6k0WjyalqES+RIj&#10;ASWdzGif63lHV1mUGOVWwDuVcHXNU+KXgRFtfEPhXSreGTIt7y88IWEkVwAcbopzAVlXIOGRmBHI&#10;JBydz4RfFDxt8CNbs/El9eaXeeH9YvoRrGk2N7ZXUkkQ3IWWGKTfDIqSSFG+QbsBtykqdJxlP95C&#10;Sbt30a+WoqcowlyyTS9NUemftEfBz4k+Hvh54W1z4c+AFj0s6T5N1Jp2kGa6t7hbmecP5rK80KFZ&#10;lVcSf8syCScFvNfAmu6r4rt7nw98UvG1vd6P4gm2xXl94jhmk0/UOTDeOpdpVjzIySHG0pLI2GeN&#10;SPob/goD4903xB+zx4H8P+G7qGbR5p/7S1C9s4TJIykSxWrp8yjYwW5J3AZKpg8NXx3cP4HsNYhe&#10;H+19T09VzcRMkdhcbvRSDcLj6jn0FePw9UrYzLG66SlzTWi10k7O/dM9POuSjjk4O65Y7vTZK1u1&#10;jY8QfD7QPA/iebw3408UzALbrKtxomnfal3NyB+9eEFSMEOhZGBBUsDmvYv2EPAvw+8d61q7yxzL&#10;r+l6f5kMMlwsiTwvJteWNBEGjZMIpO9twnIwB1838Ja7YNpEdh8RfhrM3h1ppItA1rVluCunu+WC&#10;NLFsM8JY72RNrKS7oCS6SUb9PiZ8HLy20wa/pujyNeZttU0+W1a8t+FxMJrcNcxRsjBgQQHVjt3A&#10;nPq1oyxNGVCcrNq17rXzVvxRwYeccNWjXjG6T2/4f8Gfrf8ADTwroWneD7Wyi0+TbGuPkjPoCfxz&#10;RX48eOfH/wAQfFeum58VfE3VvE8trGLe31S71G5nzCCWCobjEgQFmO0gcljjnJK/J6nhPUq1HOWM&#10;V27/AAN7/wDbyPsP9doR0VD/AMmX+R0XjfTfDmk+DtJ8B+BPiJpN3MuoPLq1vGZ4w92GKRkyyIsB&#10;iRCdriTGZZT0INUdC8LfGrw14nXT/h3qd9JrlxasZR4I1kXcrw8ZDtYu+Vzglc+lVLzT/CmqWEOn&#10;6N4E8QR6pI6hrmTWEnhc+iQraKwOP+mhrd1Xwp8EvAEX9oN4y1HXNQWIbdBu9JW3VJ/SaSG5lHlq&#10;AdyhllLDaVQEuP1nn5I2vd+l7/cfGtOcr2svW1vvHWTeKfAmjOPipoEMCtJKbfT9T0GEahfyjrvn&#10;kj8+OIMRlt4J6JyCV0vA/ifQ/jZ8VLPQPEXwp8KwXXiHVGa+1b7VqMb+ZIzO7Kv2vyw5ydq7cE7R&#10;jGQcnTtT1fVLy18UXX7VWm6TfQx+XbRltZjks48swii+z2TJEgLNhIyEXOAAK6HXfEHxH8PqureN&#10;v2udQ1K3t2V4dPtdc1Nrp5dgeJBBcRK8asCrCYpsAORuO1Gwrc3s5cuk2mk1dWfTpqbUpLnV9Ypq&#10;97a/ifdOmfsU/D/4h/AaL4F3d9qEGi2l8l/ZpZ3hEkFyN/7wbwwbIllUhgRiQ4wwVl+bte+HVv8A&#10;C7xJqnw+1G3urU6PqEltbQ3SsZGiQkIxZkQuGQIwfaocMGAAIrR+B3/BUrxBoHl2OrfDW21a4jUm&#10;PPiRLBJiG4DNLEQnycE/NubooztHnfxX+I37RXxd8d6141+L/iTwPBqSzm7/ALJt9T0i0nEbR/u4&#10;1COJblVhjhSMSNJKUEe0sWLN8Hk+S59SjVp42orOV43d7t7teul7n6bkfF+U5FmCxFODaceV2VrJ&#10;bXv89j1X4aN4OmW40bWvEENjMbqCW1upreRlC4kEi/JnqTFzsPQ8jGD1+s+GJ7DR7eC18S6fqumW&#10;cwmWbS5mbyTNkgShgGjZvLHynjAOOdxPy74Y8U3N5csl9ZXnzWrIPKvHj2zHBU52jIGz5gD0I5yQ&#10;D9D/ALPGq/Hn4h+A/Gvgr4UabBJv0uaSS3bbNGbjzbcfZoZ5ImSOZoDKIpJVZWc8Z8p3T0pZb9Ul&#10;7WvK0V103ei+Vz9Dw/idkuIlJRcr6tK109NUtOZO17aWv1R8ifCTw94D8U6q1t4t8J6s1pbQmfUN&#10;Sg8VRWcNjbqwBmkZrGY4BKqFVS7uyIis7Khd8Q/Ffwb1Kxg0P4feDvEFrDp804s7nVPEEUguVeVi&#10;JpIEth5czRiFW2yFf3YA4Ax6TcJ+014ia60fQYPg7BZ3EKXN3puk3ng0wjyIGVrnb5jFSEMrs3AX&#10;e+Nq4Uebab4L1GXTNS8a3nhm68SQafGDqTeHdPP9nWDOkmz7RcwJ5aspELeWmVdJGHmRupA+rjUj&#10;zXk/RKTf/A/Q/muUZWtFercTR+EEfgq0WbV28W69HdQwpJfWJ8I2t3pskAdOLmSa+jXyzL5ajemN&#10;5jK4cKK9FvdH+Ex8F6lqPgbVNQuoYRqI1Lw3cRpPpukSnbunRJBc3kauEsLcXYiiMjuV+0wcqvn6&#10;+K9N+KusWM2tfBe30/w/pe+K6g8H6k2k2/2i4kJSae4vBcwQsTiPcVQMiIucIuK13pvh7wB4k0nx&#10;DceJddtdbaZL9ksoWs/7MmYrLC4u8GTzEDLKxjg+UhQhJO5blHnl710+2j/IIT9nH3Urd3dfmbuv&#10;6lqkF1ZW7+KNQ8B3CwXMelyW9w8uiXURku7a4ltZrMFhGVijtdyC7FxIJmknRcipPClt4m1XxPZ+&#10;KL/4YMtxY3hvf+Em8D6TFcW8LRC1uZHktoD9ilFtbZY28X2fBmBnfAIPRaX8RtR8X67eeFLZvDN5&#10;Y20aav4h8SeGbForfUVt23B7y21QQw3rIWkk8uWMNLI4USKJHJkh1X4i3Kt4A8JeIb6xtNSs7Jbr&#10;Q/hvqH7nUI/sUkyLcaM0iG9kYeQss6loAiux89n3PPtOV8rsv6+/5O/oaKKl7ybf9fd81b1MrwP4&#10;J1vQYrjR/DnjpfFVqb9WXwLoNxa311d3LhoUf7LI0kMsv2drrE9qt6bZlBbYHjkahqfxc+FUy3Vv&#10;4T8DX3gO6Fq0kd1p6xanNLdpIkkSLJN5Utku7epmidm8tY0McjGaSWxoHw5034pXDWr+GdKutQaK&#10;a4uNW8I61bWkyLGBeXskul3Xl+c0Nu7IkVutpEfIk2tKI3cO0K48N6jZXP8Awknj2LxxZWMA+zaJ&#10;qskWn3ken2kUkduiXl4GeAqZ0K2Nk8wlEcgbCxIzVeDlzPV/d+WnpzJEfvFotF/Xz+5sx08JfFaL&#10;WtQ8afDjxZc+JppYdQudR1vwnqU01y9qpCXV1cx4W7t4GMgDSXMcYff3zW7e6PoGuaNHffG7wppv&#10;gm9uIPNt9WsozYzXfmDzY3fSokcNE0SGOKSCK1h3MGlkcnNS+KvFHh/w7r8nh7RvC3iD4PajZzWM&#10;tnaXGmi5nhugRuuJb7ZDf2kQQpL5caXG5vmVRhAL2l+Gv2hvidqE2qWdnpPxktZ9aX7ZcXDm9vr5&#10;kRVXzHcw6xb23KqDmGMtgDJbmnJvWVl57P79n6bER5btK78t192/6mXpXhr4Z2egT678M/F3hrVt&#10;VsQ9y6eJrv7PJFbxyq6TJb3SxWzy7UKtah73es/C5UkYuueJvi/8M9Tbwd8SvCDNlIxLofjDw+JH&#10;itz/AAQeegms1dRjfbtExAUhgUQrsan4J/Z98JatNpPxil17Q9fsr7UYNZ0XwdPHqMdtdQ3AWO2A&#10;uBGsMW3eglS7vWJj3MoyA274H+JXxZ+FtpcSfsqePvDNvpy/ZL68022vY5rqa6M0j26vbarFGby8&#10;gyEMllBsGEYcnNHna/nL/wCSV/yK8r28o/5P/Myl+Hfws1K8juPip4Ub4cy31yskO7Wphbw25hWR&#10;AunyW9zfYlXkXDStFlyVDBPLMGleDNKstPmv/gp4w0C5aGznurjUNQvo7LVLeNZl8tFW7KxpcEIr&#10;hLJ55V8yRfNdeKR/Cfiea9l/4Xl+zt/ZS22oXU2taotwfDF1OyW/mfYo/tCmyRkBSQQRWhnkB2qC&#10;XBGfomh/AvT/ABFNptp8SJI2ns7vbqF5HONNtGMZMKmVLOS5uiAdjAWtv8/KuqgPQr23f/pS/wA/&#10;vsK/ZJf+Sv8Ay+65TtvD/wC0H8GfGy/Dnw34f8TaTrmtNBBceFJtLlWTVC0gaKCaxkXF0jsRiJ43&#10;V9+NpDYN/W9V+DcemJd/GrQdJ/t6S2eeOL4bzJFLcyv5E0X23aX0+CIwyPEq2cYlikibz496Msk1&#10;6/xwudH0/SPh9Loc2hal4hlvdK8L+EdQtrxriYNsU3FiXkvZYgsYVFvkbCOwx+9cNLrGl+GNNuTb&#10;ftQeB/DuiXV5qFvfX03hvTnh1/7GZBC8EFlayx6basqxvJtuoopWD7gWDpWl1J62v/ddn/XzEuZR&#10;0vb+8tP6+Rk+Kb34Y/EgWtj4f+MVt4f07TLOW5t9F1/wxc2lrBNLJuktrX7E1+9wRwv2i6ZJHjii&#10;DMdoVbGm/sq/FEa82ial4euNTvv7H/tKHR/BLxa9eSQvCskLSJYySC1icSRHzJihEcm9ElK7DZ0v&#10;W/gtZyNB8DPEeteEdQuNe8vTNW1zR1ubm3s/Nt2iuXv7eVpLaWN4d4WzsxKFlkjMs4IFO0P9lTX7&#10;34gx+E734r+D9Jt1mh3a9r2tHSYhE6ROs6w6gtvclCkqMpMQ3jJXIBNHtHBW5uX1X+VvzYRp+0d+&#10;Xm9Hp87/APAMzxH8Z/ip4YltfhylrdaTpHhu7Y6d4O163F5DaSMqhzPBdoVlaRh5jq6CPzHZkjjG&#10;1V29N8Y6Zo3iaHxr+0x8J/DepQyW0bW/hCz0MaJc3EcsRljuANM+yrboyiMiWXflbiOSOCdNxX0C&#10;wP7Ufwfj0r4d+Bfi39j03VFF5pOq6/8AETTf7L8yKP52hT7dNYo6SFNkxaSVWht5YmgPFZPw/wDi&#10;Lrfw20CaXQ/AnhHxtaaLc+TPdX3wx0OTS4j9rURSTXM9o93LbTR71w5spYy8eGGwrWLqU2rpL1Ts&#10;/vtp99zoVOqvib9GrpfK+v3WOO8KeJ/A3xB0nUtH8X/BrxE2kaTZxXMFj4L8WQ6VY2gjZkF1fNdW&#10;d150zPcFVmZ1O6ZYIwFaKNM3xTN8C/DM0GmfCvQNU1y8kjmt9QvdVut8EUwusQyafiGJpA8KAFrm&#10;AN+/bEMbojj0u++KnxaaSx8GT6p4A1lrjUb250Pwf4L+GOg6mIbyR4EkQAWmyISiIxh4zM7CzjJR&#10;omhkeO6+M/xLOi3Hi/wno/wv8J/ZWvdItrMeGdHGtXsEzSCS1ubeC0VHYwusLyyQQRkQ7RsaaRZZ&#10;dWO3/tz/AMrv5FKnLd6+fKvw1svmcN4iu/gpZLd698SNB8Wal4yvtUabU7RvHMU0mSYppZLx2007&#10;ZJBK64WV5UlSXzljKqr19W1bwj4ztLXxDe+FtV8O+G1mnh0+S61lWtWmgtE3wWyQ2I8ydlS3R5MH&#10;LywtcSKZfNPYeJfibrejLrHha2+HXgqGRbWeC51Xxd4F8PWNzHDI8ZguYLOG3EsU3lFtw8y6BE25&#10;ApRXroPDuq/HL4o3g1XS4Phz411K3t47WGS80HwjY2oW3MSW6qJ41uLi3FpF5Yj2W0kIEa8CPYc5&#10;VqcY3bXrzv8ADSy+Yexm5aL5cv59X8jifA2vfBK51rU/DXgb4T+PLizZmij1yy8WW1ndLazkWQa7&#10;I06cQwyG6MbxRsEb7SsTtMVRm+iPiV+zF4x8V/sl2qSTWsf/AAidhZyxzTLLsjtIHuWmkl2Pz5cV&#10;1LMWVHfEBRI3aUY8S8Q6X+0AfiHoep+K/AGi6fbaPrltqFn4Z8E+FLe6t5nSYeZIsVl8srFogWSW&#10;dCylVQiMIF+lPCHx5+JfxG+DHjvQov2fb3RdP07SJvtmjeINauVvLyx3RyTQqyWsRR3tBPEHCNve&#10;UYVNuT8zn1bGRq4fEYWrFRjNczcr72ju97ptabX3se3ldKhKnVo1oNycXZctlprsttk9d/U+LIfF&#10;N94Huj4M+NHw6bWtHjt5I9LjtNYEckKx3M4E1hfKJ42t/P8AtQYIJLeVnlbBkVJE6K51bwqmiLf/&#10;AAT+Hug3l5bbbqDWrGfVrXXtJkjWWYzfZ/7RkiIjW2llM0ImSOMRtK0LuEHSeHtD8T+JNLmu/A/w&#10;p8NXmmvbyQ/8ItrzX8cEFzJ9me4vYBc3rLHLvtltxIk4leNMPGF+7o6z8LvHNp4JvJ/h7pPh+0+x&#10;2++68Pa/4d0K/wBQC7yM2+oQW5MxVFMrs62xTIRBKRuP0kcZhea3Mk+t5afNXbXrt5njfVcRa7i3&#10;6R1+Tsr/AJ9kcBYfGrQ/7WkvLrwF4f0G/S1RWvNN8F2F9bzzLHMS8tneqyI0sjRfNA0UUKIxW3kO&#10;1V6TwvdftMeDPE9/8WPg5LY6o32Rkm1fwXoNq9rJaxXIYPJZrbqYE320chE8EbhTGzBRKm7uPCHh&#10;D9rnV7e4uPEl7rmg32sWMk9r4n8M+OtP06XVCsSIouYPtcMV4C0ZUzho5t9zLJK9yVSKuV1b9kX4&#10;9fD/AMd6hYT/ABC8Pw2cakXXjWz8SGXTXivEMR3yIplXzkDxvDJGruoYMhWiWKwcU05wXk3dP5/1&#10;6CWHxcre7N+aXK/u/r1OTfSNH/aDvtW8WeO9XstB8RSQi7u9YfxXYGC+k8qONPNtru5S4SR5Flkl&#10;lheXYCEjs1AFUdd+COsfDHR4PiLbfFLR7+C11K38q+8G3U95Jb+YJJLefzVRIreRvJZlgmliulxl&#10;olwcdMvwT8JeNv7Yt/FMKr4itZJpLXUvh7eaTNp+okG5kkkltZ763NuCzQqvkpDHHHGV+zlvmrqv&#10;BP7Ivi3RrNm+H3ivTbjxNHJPbLq2k+NpVtp7NkjjnQ2i2KXSxSLP5O95I1csyhWwQV/amDpx92qv&#10;TRr5PX+ug/7PxMpXdN+ut/mtP66nA6h8WfhBeWupaT468Hal48a8kRrXxRqHlaNq0DZlklkeSI3P&#10;2qR5J2y9y0p2ww4IHyLJ4f8ABfhX4ltpWh/Arw1oNzr1taxrcWer2F5b3V7PJE/myEy3U9iILc/O&#10;JZHttxUFoiu5D61q3h261rW7rxvqPwj+FFv8l1ZtD4Fjjgje92xlS1te2V9GqIC2fs8MI3OoMqHY&#10;Gx9b/ZP/AOEn0KCwvf2qpL5YbNZtB8N3nh2/j3arcqjSQwxkmGGHeWRp1O5vL3CEqVznHMsvX2+W&#10;/m2vuS/KxX1HGdY83ySf3t/5nJeL7/8AbA/Z/e80f4htZeEYdameC60DUNK0xY2WSE20lwumrG2y&#10;KSPKtcxwhJTGpLu6KRy3iH/hmW6uNVs9U06/sb5blf7LvvAM002jSReSox5Gq7bxWEm5mZpfmzhY&#10;1GGPtmk/A/xD8E7y88G6tHoEOkfaobXVrPxd4hg1bTU1DY6TXCIk1rCSE86LPlyyW4eTEqyhGXsL&#10;L9lNfHNhdeIL60/4Rh/D1rYt4V8RfCrT7KKy1K2LBHnMonkkmnk/dSKZLiMqrE+UMgF/2hg+Vz5v&#10;nHT71r+pMsHiNItfKWv3O6/Q+ZPEfwv0rREutZ+Ffg7T/HGjf2dIkuoWut3N80D/ACxG88iGOzur&#10;RBJNGsf2qAI8ijHmowB0fh/8cPi/4M8J6P4T1Pxh4Rh8I3lncRJYTRW7xtCQRMkp0xTfWzzjEbyK&#10;Y3mTCs5jXj37xv8AsHabqt1Y/Ezw94m8aeONSMKjxVpvi7THxLcqi/LLeQ3KPGrYVQFaYqP4yUAN&#10;74nfsz65dvcalr2r+LLq81qQ3FzdanoNvq2qqpijRlhnuoJ7xkVI8KRMAvzMNu9655Z5l8rRb5/k&#10;/wDg6+iRrHLMTF8y935r/gfmz5x8B+AP2dvinrul+GvCEPjNdUltX/tKzvFaSFnWLloJLGzu58M4&#10;yIzbNgNtaT5d7V/Bfwp+Imt6tp9t8OvDHha7kkguIbiTS4Rrlw8X70Nc3On4urm3VFV8P9mi2gxs&#10;QGKNX2N4z/YS8CfEnQNDkHwk1rzND01bW0bWteu5GlUHKK6T3waKMqxZoIUh2O20P8rBsbwF+wZ4&#10;O0Zr/wAHeKPhAksWrJIl7ezSQNBbkANHBFLK8s0EhaWLBR2aQZXPBIn+2qC+Hnfk43X5oX9nvq4L&#10;zTSf6nyN4L+J/j+fSYfhrZT+KPGltLo92i+Eb62W7ttOnKnE1tFKLnomS0sSW8yqzhJUyXrQt9c+&#10;EOrTQwweHofhza61q0ly+sWerRaydLtoWLRxwwGM38E/+rXe11Gsh3Haq5C/c2hfsjeP4LK3tNN8&#10;ZeINHlsWzb/avH+ozQzLsiSNZYllkR1jSFU2r5eV2g52AiO//Yl+IOveJx4h8QfEyx1KQupvNLze&#10;fYJoxG0Tobdiy7PKkYMFA3BnwNzis5ZxCT92i/Xb8LWfzTCOEhFe9WX4P/g/ifA/jHwP4D0zU9V1&#10;3Ude8Ua3eXGnQ6xDfeJrGHSHumnmR2mZJLqWa9DhmUiJlYszSK7IhLbWh+EfBniBZl8O/F7TrbSf&#10;sk13rtn4f0XVbS1sLOWVy9tPffY553SKRbTb58cqBZGHmhlG/wCztP8A2PLXWo4/DfiHwH8OdJ1a&#10;3tY5Liz0fwlBGAh8vdJDLLA0jqki7SxJdScj5JI2d1/+wposXimPxR4m+Jws7aW1eLU5JLO3M+fL&#10;SOBEnMayeWmDiPeF3FSB1Vh5zU2UJP8A8Bt+X+RH1XDLecV99/z/AMz41k+EOq22tQ+HPh18UfBt&#10;xZxw2t1reqeCZJ1TTozAI/Nmv9RW3jiMomO6A3UaGT5CiyKiVzXh34datealceFfD3hm0mukltYb&#10;5tMiGvXixTwPFOYPJ/0PG9mdQzJPG4jCyhlLH9GdQ/ZTu9a0KTT4PH/iS6s4VYSPq+nqksjRsRlF&#10;L+ZI4KcM+zIZSrEHIk8LfshaQnh8JqPxJv8AVJ3ja3u5rxriRZJF+SRl8yQEfMGwygZGCOCDWP8A&#10;bWO+zS+9r/gF/V8v61fuT/4J+ePhzQ/i14D13UdW8NaX4mt/Ewgmg126tY7m+u0nDCbe4iEcJgm/&#10;dwTRTNckbZiyEhVGh4s8Y/tA+MLazt9W+CtlHpOn3RhVrzwPax3ktrNyYXe1t4pvIDNMxa2WMg3L&#10;bmJZMfdl5+zN4fvtYvbHw5c3+pSq8I1e4tbh7fd8qlUaQud0mwrtXqEIcmNWiaXZ0n9lv4J6jcaf&#10;deJtKvP+Egt7PE2LwZUhl8zy3eIuU3FepztkQsBvAM/2piZayoJvzaf6/wDDB7HBx+Gs7eSf+R+a&#10;SfAxdZvr6x0rwf4ijvrGHnT57dre1uWKEedFczRqyLv/AHiwTRKTErL53mYzW0/4O/Fd76bTrfS9&#10;J8Mx28cbzah9uVVikW32EfaA8siNKJCzRbghL52qoUL+lOvfsu/D+w1s6pb6JItnHBvulmtop5Lq&#10;RmwixFMOGXBLAxNu81NrDDCm3/7KvhPWPOu20yTS/MWUeXJJE85kDFUmMkYxgqAdvLYI+YEFa0jn&#10;GY3tyK3m72/rzCWFy2ylzvXsrXPzz0/4P+LrDRNJ8OfFDw/dX1i6TC1mjvbZDpakhkMU4kkbyGfJ&#10;dHi2oru6KXZsx/D/APZn13U/FLalfeCUh0WBN8lrqmsC6aRcY4ktBFg7iCM7Rg/xYIr9DtD+CXw1&#10;mga2v/B9vcXVq21/tNwxYnBAbK7fdSQACytjgUmnfBXwba6tMNI0GG1hktilyVWRg8bEEBDuADB4&#10;0YE7jt3AgB42qo5lj5XVkr9m/wAhKnlsZK92l5I434M/svad4r+GsOg60izQxaabG3jmTzFghbH7&#10;tQedmVUlQRkqDwQCPiO7+G3iG603UPCvgvxrqDWUrMLO0k8RSInk5+XzrdYGDnHowGPXv+ld+l94&#10;S8IzaBoNhHdWVxayQ38LL++ZGGCqHcFGV3A5BJ3DBXBJ880fQ/hr4muJU8NeHbe8a1uPs90w09Ak&#10;DdSCZFG7GMHZuOTz3rxclhnGBrVp1pJqTule9t7v53PRzLFZbiowjBP3eq0+Wp8CWX7PviN7aDTN&#10;Uj0mxaGQtLqVrb3c1w+B90rIRFjPHAU/Wt/xj4K0PX7y3u/Et9q/nWenw29rdaLpSR4aNEQbkihB&#10;KgKuF3fKBgcV9y3HwX8MXiJc69o2nKSo/wBFtLNY1Q7VypdQrPhg2GG3IIyuRzT8Q/D7wWsENvaa&#10;RY2d1K3l2bW9qgkZ8FsDA6AAsfYMSMA19B9axU7OTWh4/NhI3UYvU+H2+F76pibxBqja1Mi7I7zW&#10;LW/87Z1CnEwGBk9B3NFfYul6LbtHKnjPw3pdreJMygfZUn8xOz5KjaTzlecEHBI5oqvrWJ/mC9D+&#10;X8T430u2+NMthJ8LPhTpWvaPppfz57fVdTW1mkkK4L/vSix9XX93tLKzByRwLPgT9nHWbjXJr3Wv&#10;Gkcd9bx+ZNHcQ6ZqYZsMduJbwozEqB823GcHrz9paB+yR4GvrWTTfEHjDWJL6OTf5enXElgUhwqg&#10;GIljnI+/nByOOpNrVv2aPhppCK0up61NcbmKQ/bFmlk43MAPLJJ2qT0Odp4rh+uYz7MEr+lzq9ng&#10;b2c27etj5T1LR/EGjaPZyaJaW9jqNjtuLi/i+HfhiWUSANkK6XS/JgjAKbiy8HsPOfFPwq1jXnk1&#10;DxBr00b+bl4bLwbp0LOCrMTmCXYScYxu4Zh0GSPti4/ZU1DUMzLr02liORmt7fasm4g4DPtKgDjO&#10;AScEdCMVR8T/AAP8G6XZx2nirTryOTe3761j+2LIpYBVIClugUn5AByCSFBLWKxkdopf13K5cG9O&#10;Zs+J9M8OeJ9K0eaLwh4Mk09VvImXXJHtm1C3b5ThZhMgiUuu4FUVsZXeRuJh/wCFYaf4dS38R2ep&#10;6gby1uF8q2sbNbeSOVW+8s5uCqgbTh034O3AOSV+89E/YQ+E2qWy6re6mlw1xbqxms7OAxvkcNl0&#10;bcMFQCAAQMgDOBv6D+xT8I/DlnHDc/Cvw94gXzkM1zcRtaTiPaoY7Y/3cshIZusS5YD5QM0/ruNW&#10;yX3k8uA+039x8F+DdO+NAutNi8P/AAosVs7e4lkW4SO1e4u4CNuxpX3xsVUnGI8Firuj7UC/fn7P&#10;f7Tf7N/wh0JrTWNVjt9XksVLWktg0UmpTxiWSOFjbQeSjlpGTftAwRkkAUln8HP2UtAlOk3HwMsd&#10;Kljf51vmdUhhLN++aVbholjxG55cHC7QNxVTvr+yD8N9QmWfVNNis5l2nbpksq+WyuxA/eM2QAVH&#10;KjJXOBnavmZhh6uZSiqq0j0TettUpaa6ndhcVhsHB8rd31stPTU/OXxX8P8AxJ4p0S3t/wDhGvDe&#10;g2Ni6rIuh6rKv25Y1C+c0d1OUMu18hyYyR5gOcjGW/wzeOGO88H/AAuvv+PqOVtc1jxBZ31vHbrN&#10;jctuiJGS2AhWR5EOWXaCQR+nGp/s5+DdLVpj4Y0fUUHlLD9smuLd1Ct8zO+6VZGYc4VI1yDxhvly&#10;P+EP+Hd3qc2n6P8AC59Mia4VptTuv3VqzKFWQ74ZmG9UQj5wAWj2EjivSWOzKMbWj98jj9nlspXv&#10;J/KJ8JaZ8KPGM+t2Mtv8ZZNQ07TbVlhXxh4fhvIbKNo0RvKtHkuoVxHGoB+XAiXBG0Y6Lxt8BfE2&#10;rR+DNFsDoevX0Xh9priz1qaS0tQnnyQxeWlqkLbmSJWaSSRmKmFAAIsv94w/sw/DvUoYf7QiLSrg&#10;zSW8k0eSYyp2jzDt+fDjduxjHPBG5feDdL8PaRZ6dF4Ts9Z0/TGuIi1xDEt5w7rwJB5T58qEYzHj&#10;dIcsAq1x1MZmf1ikko9dtOnkvM6acst+rVEub7O+vXpdux+Z037OHxF1TxTeXfjzwfbw6VCRPb6L&#10;4b1qSzgtpJXCt5QmguPvbOVQZ4BJwBWlN8B9I0K3+zJqetNYQssi6brdqLqHqjuilPJeEyNGgLxM&#10;jlEKknOB+gXiTwv8LvGeitBoujfZbWS807z9XtdNMGI3vLYqiNGqyDzA+0SpxGpYl04J6WD4EfD9&#10;on/tfw7pt1cTLi4ZbBY4TlEDhY8nCFlJwxc/Ow3EV0fXMxqStzJW7f8ABOV/2bThzOEru+/yPzm0&#10;X4P3WozNF4w0vU9c02doRZ6a9v5a2Vrbyu0dmk86TTRQMHYbYZkZ1+8chTXReMPg5D4htFkn0LVL&#10;i5k1aCdbPWr6HUlktYVbyrHzmaK8SBYyU2x3KjZGvy7sSD7rufClh4duW0nwLYLfNx9o0QhWh2yO&#10;oEhY8xhUilCrnYcuApYCtrw5oMXii2nstbvJI5LX9xeaZbRyQrCzwIWUOQrSAFiVlTaD0+8holWx&#10;3N/E/D/giWIwMY6U/wAf+AfBA+GEnhbwpF4C8EwazpdxDqAucXVsk2mSM0WDNdabNJdIZ8Bo0mDR&#10;qF8sEblLNB4h+B//AAl8Om+GPFaa9rtlp+uY1DU5tNl0zUrOAylZLW1tTdTWcFskmdhWAEtMpVWQ&#10;iv0Xk8F+HmtpLEaRbrBJuM0PkjY24lmJHTkkk+5zXI+ItZ1jwXpi2Hw98IQ6tZ2M0cFzIs7IthCQ&#10;vGyON3m2JkhI1LkFFA5BN+2xsVf2mvpr/mT9YwstFS07X0/Kx8w2/wCyx4J8OQw38Hj/AOIGseEv&#10;C+k3U3hXSJvDseq2tvcS+czTTW9/C1psVCCypCN5G/MbAmo7H9ndfG2k6jb6H8AbXwDNeTRMviVd&#10;Hv4r8NHJGzC38uC5js2ZgWPlqhwzpkJtSvs6z8C6ReD+0tSvGvXnidVmVsRmF9hAAU4/gUhuTksQ&#10;QGxWL8QPDWoaHK3jfwhJH9sjULPZytthvoxk+S2FJBJJ2uAWRiSAwaSOWebGS1dR/kP65h1oqS+8&#10;+SfE37L/AIkhGo6XoHxe+Nlrb6sPsuspb61calFqkbzNNL5pNtZtsaaeeXY6SfNKzEkuzVDqHwU8&#10;D/8ACQWmjaT8EptY07R9JS28zx54Ht9IDFI48u0ujokt07gO584vKiOS7FxuH1xoWuXnjmFJtCtJ&#10;LK3V4vt0l4m2ZNyb2i2gnDgGPJztxKGUtjB6Kx8C6TaaC2j2ShpPmk8+6yxeUtvZpMdQx6rwu07Q&#10;AuALdTESj8bEsVTpy/hr03PiXV/2O7r4neK/ETeJvDV/pehTyxzp4K8AatFo2k3c8SNEkv8AxMEc&#10;QgbgwYW7ks0oIQ7iOq+En7KHg3wD4TuNEdPi/H4f1hJv7S8F23xQto7O8lZTF5skdslqzFQI9rFS&#10;HZVUgrhW+oPDPjnTvE1jJo2h2s2qahp8yW+osygeSxbb5kj+XFG77f3jrECoIdU3YGZpfDkdrok1&#10;xrzw/azFJJNdQAqsZ527c/3BwGwM/McLuK0va4qUOX2r/Af1inGpzOlH8f8AM8S+Cvw7074baDbW&#10;3gD4DR3mj6hpCrb/ANtL4ca4lsnhjV7W4Mtg8uyUNIXQspPmSZwzM55L4i/DTxVc+IbXU/A3wn8J&#10;+C4zqANndafpXh21a2m8xUjEVxFawyHbK0SiMMWYBsFn2ke/+G/FXiTxhazINFvrO3h1Bo7i51LT&#10;jaNcJlmMcabizbBtiMh2h2DOuQNta8milNEaz00yRzqTJHJHOYpGfno4GY9y5TK42q3y4woGCw9S&#10;WvtJff8A8A6P7QlH/l3H7n/mfM+hfsk+LtI8Ux+N7Pwl4Qhngh8uO3t9GtJGkaWTc/MgkZpWkkf9&#10;437zsr4CCtPwp+w0/wAQLdPEXjnwHoN7qFpfNZ/atas7vz3ht2CQ7vlCyIYlj+XIVcmN1jdHjT3r&#10;wj4q0b4s3TT6QY7zRdPkMVzdLM6pNeAKXiCYV2VQdrF8KwYrtcMSnY6paXEGp2vibTprpFiYjUIL&#10;XLCeNgAWMXPmsu1SCAJQFwhILRSz9VUvty+8bzKstOWK+R8j+If2BPEun3FraeDvF8f+m6n9oh0a&#10;4khhsflYmTy1EJYyCIyBOrBEbkqm0+lTfsqf8JVbWt3bfFO4jl+zRyXGl3EciXFmr5+RvLuWEbCW&#10;NgQNwZom5JXI9s8KeJdO8V6rqmvaD4htbyzhkFjvsL4SAugDMsibP3bqWyMN8yyfMowtR+MtKs7q&#10;1m1pDcW99HCqQXNjtE74kVlhG75X3Oqrtbg7iMjcaPqOHnq7v1b/AMyP7SxkdE0v+3V/keD6j/wT&#10;28DyeRfa142nuJV8xLcbZ97Bhyobzx2GTkYAzzjmpvCn7DPgDw9PplxLq2o6batMqrHfa5OIQu5o&#10;1jVXB/eyvPAFRySdmcK3yV7F8P73xDJf3V5401e1k1J40+y2dpHJHHBakKwISUCTczkhycgFFUYK&#10;tnW8S3OrPpay+H7WS41KO4VtMKW5lEEjK0ZlYfdAVHbBfCBtuT0pPBYZx+HT1f8AmH9o41Stzfgv&#10;8jzU/sffCjwyza9q0cP2eyZ5G86Nd7cZysjFViJXglgR1+YDJq5ZfAzwP4Z1O88OataWdvpfizS7&#10;oahDDpriMQskUckUks4YTZQvuyimNcltq4YeraJoKar5V94wvrXULyOWG4jt4YyLezkUErsVwHJD&#10;E/NIA25FO1CuB4n8LZ/iB4n+NWr+Ldf1K6XXY9amtrHTZrkypaweaUjtEVAF27cAlVBdgXOWOa8r&#10;NlgcHhVOVPRyitFd/En+h6OW1cwxVaUVU2T623TS/F3uaWv/ALB/7Jmjafs1r4WeH7VI5FWSea3R&#10;TJhh8hGNp3D5eBnBOMHBDbT9jL4YSq1r4J+HP9jaeshV5byadM7RLGVihaTKqHjT5SERlk3oWyc+&#10;oeD/AANY+BdcXXGsZLqfULeO3u7uS6kuprDpiKMlVH2XcAMJGm3ahK7V/d7reM/C03hj/hMl8QW3&#10;9lCFpGv2mCxqFYq2SehDAqQeQwIIyCK9WOFoveCPJljsXF6VG/meIaJ+y74X8Ha7NpluLmPzLdpY&#10;dQF1KkknI3q7mYbtyADZGmFETsxHmRqMPVf2ZrPxP4ii1r4aWeoaDHo9yYlv9PvJonlkB/eIhJyO&#10;flLjlTuVSrgsntnjHwNL8TXbTfE8Mtrpdq0cttHDdyRzXMgw+X8tlKxggZUMGZuhQIDJp6Z4qe11&#10;w+EdagmjuFtVmtL50/c3ak7SofaF85W+8mASrK6gAsqV9XoxekUTLGYpr43f1Pn6w/Z3k+HdgLzV&#10;fCH9oWtno32BrkJ5Zjt84eR4oPLQyIhLLMqecQrfOzhA1C1/ZCtdFZrHSPEGtTXUizW/2O+8QQa1&#10;aqpuGA22tzp8q26JM6q0hZymZGyfmU/RviXxJr0l/B4a8G2Ra7uWYXOpyQ7rfTYwASz8jfKcgLED&#10;k7gzYUE1Si8H2/wrjk1n4deH454ridH8QWzRg3V2oBBmSTqZFyWEX3GG4IqM2SKnGF+VLXfQmWKr&#10;VLc8n5dDz8/s8aXo3hpde8deJbi5m0zQ7UTakdNtorqOS1+b7Q0iKd2VSMNHyhAkX5kcIu74k1Pw&#10;D8L1k1zxXokeh/bbya4urlFjWG4udu/c0nADuNwJfgFGUtgxl+u8TeL/AA+umPONTintV1NLG++y&#10;zK7LISP9HKBWYyPlI/LAD/vgQV+8L11p+mXUjXGo20N1JJC0bJMgdY0YEOi54wRwxxlu/AUA9nTi&#10;vdWpjKtVk/fbscL4k+CemfEbQ9S0n4mhpl1ZEWSzt2XbbKrBlw2PncED5sbVAwoBaR5Lnw403QbX&#10;w83hTR7eZLXwvNHolnGxUGSOG2h2s20Lz838IVeOgrSvtE0zR7YzaT4ju9Ft4WEsyxXSNAsaD/Vh&#10;J1dIIgOoiEf14Fcn8NLvRfFujjXG8T6VNpOsXd9qGm6fY38iT3atfyN5twjBXZFgNom3IQ+bIkiM&#10;AjGrWjYyvKWtzH1Twf430nVv+Euu/iHcQ+HYbyFrmO4jgZ7y2bKyOXgtt8KqGDKytuO0FnjXJPe2&#10;3g/w7p9jLpFppMccEwxcKcs05KhS0jElpGIAy7Ese5NWNV1rSRp1wdV1WOG3+zv9om+1mLy0wdzb&#10;wQUwMncCCOuRjNch8P8A4rjXLO40mXQdT+1aTI8Ekt7Gts13GpIjuES5n84pKFO13zlkcFsqxo5R&#10;OcpR0NDQp9O0Q3WiaktvG1qslz/o9nFD5mNrXEgjjdmdy7id2CKP9LjX5n3UzTPDtrrWizazdWNm&#10;81+oeGUfvV8vLsuWSUiWMtLMylShMUqoQCCTjeNLDxR480y5vtMv73w3dC1RrVbG4iku52UsTFMB&#10;IIsD/lmRN8rNv3oRTvEH7SPwV8Kaaup+M/ifomjp9nEskF/qkCyoCm/ZtDnc+P4VJyema0jTlJ6J&#10;mcpKKvcm0Xxtquq37+CLa2k/taztXM02osY4pNjeXvBEUfnNuxvESCNScbgGjL9VoulSaT9qvrjU&#10;Z7q4vGjMzycJGEQKEjUfcTO5scnLnJPGPINC/aE/ZfuPB2l6dqH7R3h+7vLOzYW+qXfiyzkvbZ5F&#10;IfbKkjKCAxXCsy4UDLAZNDxV+2d4D8NXGm6DpXxf8Ga3DqF2sVzrkXiS0ik02DzYozJJFuZJpP3m&#10;7K7F4ZjEEjbNRoV/5X9zJlUpt2TS+Z6N8S/DureLpYtO04z6c0G5v7chufKkt9yfcjAG59w+9koo&#10;BBDFl21V8D2dlaRKZNPH26xV7OS9uLw3Vy67g/zyuBJ83ysUIAB4XcgRm858T/t1/steGB/YsXxS&#10;jvHj+Utp9vcXxkOM5Lwo+8+pyea5DxF+2P8ACDUkk8TeBNV16TWLW3YWrR+FNR2XBwWEEuYQDGT7&#10;hl6qQeu8cHipa+zl9zMnXp7cyPpS5v0VRCXzJLJ5ccasMu2D8oz3wCfQAEkgAmuastB1LT9Rm03X&#10;tbI02S6D2cNnuEZiEYQQOZC2FAVfljEQOCx37pAnjfw//as+Gk8K6z8Qzqja7bzyGFofC+ozQwl0&#10;Ct9lItQyoVyuXAkyXBJUgmbVP25vDUF42n2HwV+IWqRNwtxb+HfLikHt9oeM4+oFX/Z+MltB/cT9&#10;YpR+0j6EtRp1hC0dpBFCrSySSLEoUF3Yu7HH8RZixPUkknvWL4p0FvEtpC+k3a2t1HIfI1NYw0kH&#10;BBxz/dZlPX7xAAJLJ8z2n7VPjHTdWh8K6L8I/GieFJEf7Q14Lcahb5JK28EouQqxYAALEyqpYKyk&#10;IV9o+GJ/aW8baDFafAj9hv4j65BDGwt47a3s0hPPUym6bGWIJcgk7snJzlyy3Gct3C3rZBGvTUt7&#10;mL4v8YfEv4d+M9D0DQ9PjvZLp7h9YuL75vt8YSEKofA8p/3bFhGBHu2PtBZol9N1u4SGKQgO/lIz&#10;N5UZdiB1wFBJ/DOSQOpFeF33xf8AiX4v+IA8I/F/4B6j4Sv/AA3NqlhrOn2+uLdXdnNtWIY2pEok&#10;WRHVgHAUYIctlR6v4fttT8Go0njPWJr26vo91xq25PsqCMFljUIqiNcFm3FRuIYkjKLXkU5tYupT&#10;ck7W0TTs+t7Ht16f+x0pOLT1+eun9eZgnwBqmpXlx4q1l8TXcgSTQZGWW1a1Ax5UinKtKQNxcfcb&#10;5VLLvMtq08RaeIRp81qtlPCrKbKTapRUwMr2KYKkEcAMAQDkDo7+6ighaYzqqhcszcAAdSfauYvv&#10;Cmi/EW3ttU1iKRYYZ1nsJE+SR2U5jm3D5gAeVHHYnriur0ONe9ozLvIr/wAYX0miwNPbafBIU1K8&#10;XMck7Dg28LDDLj/lpICCuNi/PvMRq/hbQF2C0s1tTbKqWrWo2GJRjCrjoo2gY6YGOnFXbzUdU8Jx&#10;btYVryzUt/pVvBh4lWPI3ov3iWVh8gByyKFPzMKsWq2fil7iLw5qttdSW1w1vdSQXKuttLsD7XCn&#10;OQrKSud3zKARkstX7kuMlschrGu+JtC1a30m7SG9t2dfPvpJPLW2h4BdwqkFiQ2OFXIPQK7DoLTS&#10;bfT0dhNNM0kskrSTSbiN38IxwqhQqjA7ZOSSTrL4c0iw099NwX835ppnxvkfAG9sADOABgAABQAA&#10;ABXIrr9t4W1JfDGu6lbwrNMI9JkmmCNMTwIeT87ehHzEAjBKlm0Ug5b7GhLBo8rbryFWf12c/jii&#10;pNFllvNPW71qxFtNIzEW8U27y1ydoJHG7GCwBIBJALABiU+YjlZ1vi2OHxJIvhfTLZZ7ncsjXTJl&#10;bPDcSkjBDAj5QCGLDjAVmVmjfDu88HWfl+HdV+3N83nNrXzXEw2nYhuFG4KrlmyySH5mAwMY2ND8&#10;K3vgi0+wabdHVIS2+RryQLdux3kkvgLKcGJFBEe1U5ZuMDeNNMnu4tChDWuqzkqljfL5cisIw7Y7&#10;SKobBeMum4MAxIrl5urN/e2RzOv+MbTRpPsXiHT5LCYtgTzMrQYCjL+YpwiZOB5nlk46CrnhjwdN&#10;Yyyalql411dXDfMc/JEvZF46DqWPLHk4AVV66y0C2tYitwnmM/8ArmYfeP8Ah7dqy9a0WTwzbya/&#10;pevrbQx/PcWeoNvt2UbN20khoSEjKrg+Wu5mMbmmpdyfJGXc+D9P0yaXWdJn/s+VpPMmMPEU7fuw&#10;TIn3WYrEib8bwowrDNUY/F2qXSKniGH+xdMeOTbq3mB4nURswkDldsSgKW3TBVJ2Kok35GnpTR+N&#10;ltrbxrps+mSTbWXSLhyouDs3lQxCmRRtcshCttT51UEqetFrDOrQeXuXHzKRnNPm5ircu5TsNNsL&#10;KH7PbwL823zGPJchQmWJ5Y7VUZOSQBk1i6vo9voEMkfgh57e62l49Ps41aFm37seW3yoGZjuKmPO&#10;8lmGNwbrGi+IvKmi+F2q2sMkcoSaLUFL2yklCxXaQyMFBwFO3L5K5bcNLwe2kWuoS215Ytb65JaQ&#10;yagsm91fhlCxzMqrKqkMcIBt8zcyo0hBfMtivM5u1XV2WK0+Ms9n9q2hN1qPK0+5aVmjWJA7lncg&#10;gFXABLjaGKkjevJ4WDKwjMZj+YNgg/X1q14xvtNsrM/2oUKzMqRxtjLOzBVUe5YgDvkivN28L+PI&#10;dauNak1TU5tLgWZotBSVJpp2JLBvNc7hli21N+ABHgqAUFaIH73kbF/4r1TwPpN3eeArNb2O1uII&#10;7q2upGaK13okcez5xsRf3bGJQchgQE3mQa3w30C5i0Nr7W7qTUhZxpJJJe3DSMHMiHzDuJ3PvVSG&#10;PIOSCMnNO4s9F13wReeH9I1CCGK3jjieOHH+isgSREdMgoVwh2HBA4OK4e38YL+014u8I/sDfDbx&#10;dfeF9X+I02onVvG9xpMN1DaWunWT3yw2sPmBpjcSxonms0OwJkCRZA68P9m5nmWe4aGHfua31tr5&#10;/I7I4zL8HlNaVf4vx02t6HpXxOm8IalY6b/atxZLNaalDMqzAF/LZxA2OflG6ePLe4H8VOk034ia&#10;hBHf23iqS1UXCz/2PqDQu0kZVD9neaOLMYB3qSPOY9d5zgYV1/wSL+J/7J+kQa7ffFrxN8TNDvNU&#10;ZbyO40drSPRpsKI5TCLuc/vd8qedhVXYqEgyKD2+u/8ABF34q/Hi2g+J2h/tleM/hx9qsYYY/Dcd&#10;ldT20rKNgkR4byJICU2L5flgFlL7mMhx7WH4czCXE9XAyg4tQi3L7P3r1t6p3PHxGd5fT4cp41VE&#10;48zSVve18t+l/R3JPDmvaGrJ4eiD2V1DCW/s+8kHnFBsLSZ3N5qgyKGkVmXc2C27cKd4xuvB8unR&#10;yeIRukj3rZvazOl0rlDuWB4iJVcoGHyEErntmuF1D/gir8WdEdtL8W/twfFCa6Em+1tJPPtRvR9y&#10;SKxupQ/AyMbSDg8dK7jX/wDgin8OLnwxp+teOf2kPjZqTTxsrXk3j6BnTkNsFu9q7RgfJk+YQduc&#10;Dt9vDw3ziUYtzgubRar9H+p8ZLj/ACGMnbmdtX7r/VIyPDFxqtxqQ0/4h+NZJpJI/tVjpaxpGwjE&#10;isTNLCFSVkbYuxQE2yMGEoIaunj1HQbK0j061NrFbxwiKO3jCqixgYCBegAHAHTHFcjpf/Bvz+wj&#10;rttBceLfjB8Ro5pnIN9NrFi0LgHldzWG5SPU+vtzY8Rf8G4P7FlmjS+DPH/xK1KRZgsawaxpi+ch&#10;ztkQ/YORgc9PfAyQ/wDiHOY06nJOql63t970K/19yerT54qT8ktfuLfij4iL4Atbeez0ttUs2eRf&#10;s9j81yreW0nyqT+9+63HDHP8R62rK5fW5/7Z1rVoZ4fLcQ2Np+8g2l8rJv2gsxj28cAb3+/8pHmN&#10;v/wQl/Y8snT+2fGXxDzNIsccf9tWDSbj90BlsgvIz16YAyMGvafgF/wQ3/4Jx6tqtnp2r/D/AFDW&#10;mSIrJBrfii8ja5ycrJm0li42qegH31OCASeqv4Y5lh6bqVK0eVK99X+X/DHNR8RsnxElGnCTk3bZ&#10;L83/AME4fxx8Yfhh8LLhtZ8WfEa1sbVlbztPn1CCMKxZd06pJh22gHKI3O5iEdyKxfEv7ZX7Opmt&#10;/D2h/HvwVJPfMRcXcniy2WG1gBHmOXEmS5B2oikMSc/Kqsy/UVr/AMEWf+CS8OsR6Prn7Kq2chkZ&#10;DHa+MtdkdmD4wyNqAKjkAYycg9etdgf+CBP/AASf1Ly7pv2aFs/M2yLaQ+MtdkYx5A2FTeB1Y9zk&#10;gHpx18mtwdLD29rUtfy0PVp8WYWprGDdvT/M+KtQ/an/AGZvCS2ep+Dfjb4Ha3hYR6tar4qieSW3&#10;xzKgE5EkyEBiWV5HQMqksQDb8QftVfs3a1dR6JbftA+CRDuWS+kk8UQKGj3H92jJKp3kjqG+UckH&#10;IB+xLz/g3y/4JhWF7HcXn7KTvCzKggtfHWvsckjL8X24AAMxypxkDnrXSeHf+CGn/BLPwbeo2hfs&#10;n6TdXW5iratrmp6lAMddwlu2x024KnGeeTzl/qvg1H+M36L/AIJf+tNO9/Zv8P8AM+CdX/aW/Zc8&#10;PX7eJdK+OHgswtbxQX1jYavYNJKoYLHICJA5EalsoN2VztXcAG5b4ift6/ssaVLb+H4fjHY+XcOH&#10;1C6s9PnvkSBSN0S+SjgySfdGeFXex52K/wCm7f8ABO39kvwVZsmn/sF/CO4iNwZLg3Hw5068CQgY&#10;2rLLAxzgZycEk85ycTa5/wAEw/2NviNa2t3o/wCyL8LdKt4bgQ3VxH8NdKhaVlyC6FIArIWyP4T8&#10;o6bq7Y8H4WNnUxFovqtbfccr4yv8FFtrpt+p+W5/4KQ/sk6drOn3WgfFicaXFH9mutIj8K3yoq/K&#10;I5oz9mG3y9u0pkKYySAWRVbb1v8A4Kb/ALKNxpq2Ph/4nOstxNHFJcS6DqKiCE8yScQht20Mq453&#10;smcKGYfpj4c/4JUfseXQaXXf2OvhzGyzeXHbf8K705iVzgMyNFgjHVkJPHX19Q8P/wDBJ3/gnnY2&#10;EUM/7EfwiZ92+SSP4c6Yp3ZySuIBtyew6Vz4nh3J8LJJ15S9Ev1OrDcR4zGaxoW9WfjVqP7dv7Im&#10;hahH4s+HfxLaO+jtEtruzl0PUimpwoP3ayu0BPmrztmJZgGcMHDcYvin/gqT8DfEElrosHgDxhf2&#10;MjCW+jh02yYSADiFo7hmDqWPzFSpBUFWr+izwx4E8IeDNLh0Xwv4cs9PtbeERQw2dusSog7AKBgV&#10;qRwRxDCA/i2a83+z8vjspP5r/I9ZY7FOzaR/Nv4i/wCCqHwqvRb3Gj+AfGsN1ZzGaOGZLdIZl2kM&#10;kqpd/MCpJViG2MFbBAKt2Xwa/a21v40+M5PEXw4/ZH+K3jVrG0VdJj8L+AU1KSz3K3mTb4pnKFwd&#10;vy4G1OS2cL/QzgelFV9Ty+3wP/wL/gB9cxHdfcfgX468e/txahqMeseDP+CWPx7j1CGFoLXVn8F3&#10;1pPHEzKWQr9iuI3U4HDq4XkrtbDCfwP4l/bJvfFmleJ/j38H2+GOsT2m5dEv/DMltc38StJAHmN5&#10;AtxsKh0Co5Upt+bKjb+9tZeveCfBvim+sdU8T+EtM1G60ubzdNuL6xjmktJMqd8TMCY2yiHK4OVX&#10;0FcGYZTRxWEdKi/Zydve3tZ9mduX5tPC4jnqrmjZprbc/F0XX/BTLVvixrHw38F/8Ex/GuoQ6brV&#10;xYWWtaheSaXZ30cczIlws93aLCI3A3BvMZQCDuI5qj4z/Yw/4La6t8QIPiN4J/4J5+G9JvoYBD/x&#10;MPiDo94HX9594LfwqWzJneAHGwAMFLq/7iUV3RwmDjFJ00/Vv/M4Hiq/M2nY/D+H9ln/AIOE0VlT&#10;9i/wHGHkZ2EfiLTV+ZiWY8ax1JJJPcnvV6x/YP8A+C73xTs7nwN43/Z0+F+h6fqaG1uL7W9chkji&#10;Rv8Alri11CdvkOGBEbEEAhTiv2yorX2OE/58x/H/ADM/bVv5mfjqv/BGX/gtFpeg2fhfwR+0T8Cf&#10;Den2KMlvb6TcalJsUsWxuutNmZupG5iWbqxZiWNeH/gjF/wXSP8Ax8ftwfCf/gKu3/uFFfslRRGn&#10;h47Uo/cgdatJ3cn95+NfhH/gg3/wVrm+JK+OfG37bnw3s7iaEQXWradppvZ0iC4GyCXTIoyRyAdy&#10;kBm+bDMD6V4g/wCDfD9qnxpYJB4l/wCCsusW7dZF0j4ZR2mD7Pb38TEflX6lUVVqS2hFf9ur/Ilz&#10;nLdv7z8l4/8Ag2Y+NG1ku/8AgrZ46mVhja3h2859Qc6wc1ueDf8Ag2y8W6RrcLeNP+CoHxM1HSPt&#10;Ekl1Y6VbXNlPIXJdmWZ9QmVGLszMxibOT3Oa/UppAvWoZJTjK/rWkZeS+5f5GU6nL1Pzv8Q/8G0P&#10;7F3i+3+y+Nv2jPjxrKt/rE1Lxza3CMfXElk1ZNn/AMGtf/BN6xBMXjH4nN8vHmazpZ/H/kHf/Wr9&#10;IJrg5xu+tQyS4Up7YIJzWsZVOjOOpiIo+CvB3/Btz/wTK8K6kt9rnhbxT4kjD82eta5FHG/I4JtI&#10;IH7Ho2eTz0x3Ef8AwQe/4JKwsskP7H9irAgbl8V6wP8A28r61kuQCBJIFzJhQ3GfmxioRNJKglhi&#10;3/KpG0buPqOPyz9KvmqS6nFLESex8wWH/BFX/gmFo6eXZfstwLuIzu8U6u3vwWuzj8Py9ej8Kf8A&#10;BMP/AIJ8eB7z7VpP7KfhSRoyrMurwy6iq4JPK3TyLjj+IAH3r31dN1e4IX7Mqr5fLM2OeePXGcdv&#10;Xj1nTQIUk33N58vGyNBjB+bv68npiq9pbeQlHEz2uvwPJLj9i79jHgD9kP4Wrxnb/wAK803O3JP/&#10;ADw9u4A4PPeo4f2Nf2QGVmtP2Sfhpu2lo5IPAOnZOewxBjr/AL2M9a9el/sSyO54o/3fK7udnPXH&#10;8NZ2reO9G00MJLhc9gOR29M9jngEVdNVJ6Qi2ZzvH4p/cc34Q/Z8+E/gK+TUPAPwY8J6FNGwaObS&#10;9Bt7Q9OmYVB/mPauxlsZGVjfagzD5v3a/dAPbn/9WO1ctffFC1kmVYbtVVpNuVYbuh7d/wDgJPT7&#10;p6Vjaj8SpVn2LdKyrhN4I4bLdOemPQr14BHJ644DGVN1Yy9rTjs2/Vnb3Wp6DpF1HZvGqyyQF13L&#10;jCoVX02qMkDkrntnHFDUfiFY2YaVZo+MMqhjwufvH0/Hbwe/GfPm1+51fxBbTR6nJCkNvNH9nC7S&#10;XZo9rq2RtwI2HQEl1+cFTl0tnql03myTtbh5WfzAwG3PfnBA6jIwDn79dlPKox/ispVZPY/H5/iF&#10;Y/Gz9vX9oHQLzwvDp8ngr4m6paNNZ3BMd9G+o3yR/IRmJlW3G75m3sxIEYAWvQNXLqjRzQRNbeV8&#10;29++RgbcYxjPOew4Pbw74LWGr6j/AMFDf2u5NI1k280fxavigkt1lgkc6nqwy65ViAckBXTryT0r&#10;1i0vvFGqeLLzQ/iB4Ui0mx85o9F/4mCXH9rgb9+8KuIsIA/lFizgt/DHID+Y5th8Ph80qOnFJu17&#10;ddD73D4nEYjDxU5XUdvI4abwrq2u28et6HNdXnhlJefD9xCIlvokwqtEx+Yw8ZWN9qyhBnCOWbs0&#10;1nTLxZmtbyObyZNkypJna2AdpHY4ZTg4OCD3FdBfKyBnk4GM81wXjXwheeKo7q48I+IZtH1JcCS8&#10;s4I3yQDtSRZAUfh2+UjI3ZBU7WrhWhr8RZs9Tste1S50uzO9bMqL54/uxllDCLI/jKkE9wpHTcpO&#10;HqWn2XgvV5/EenQyJZTD/TrW3j3KCOkmzruA4yvzFcLhsRhN3wlbaRbeGv7NsLOO18ldklva3IkM&#10;E2dz72ddzOS24s4DnfuYZbjO1DVIbvUI9Ajk3S3CsfL65jXAd+P4QWXJ6ZZR1IFaBzdDL1zxzp0N&#10;pbXNmi3ZvGEenw2e2RryQqWCx4OCCAWLZ2hVLEhQWFYeAY9Whk1LxVGk2pzR7N0THZaLkMI4TwQM&#10;gEvwzsAflCoqQWXgXQvhb4huPE1u9x9lvlCbpmMiWDM2XK5JMKSP80hHBYKzY2lq6ie4MEW5gq+l&#10;HMHw7HD3XjOy8OTHSPEcs8dzH/ELVm81ez/ICOfw5HQDFFdRN4WXVit7fBN7LjmJWwPqaKOYR6Je&#10;+I/D9rpa3OkQQ6hIbmSCziswjNLOjMrICOAysrBiSNu1txAU4SPwjbXECz+KrW3vLyScTswiDLbv&#10;kMojYgMNhVSG4O4bgF4VYJPAOk6pqCeLL2NrXXFtXgh1K1K+ZbqykYUMCjAZztdWXcAcEiq/iTxp&#10;feB4LnVfGdtG2l26yStqVirfuox5z4khOWwqLEm5DIXdmJSNRXOVtoiTUrfxH4EtFk0m7k1i0VlV&#10;NPv5S10ijylxHPgmTaiSNtlDPJJJzMoGKd4fkt/Fcq32u2s0N1ZXG46bcrt8pgco+OVkA4IZSybu&#10;hLICDwbrq+MYh4ujuY2tJty2Co4Y7ASCzH+EkgjZ1X+LDEql7W9E0TXbfOqxY8lW8u5imaKaDcjI&#10;zRyoQ8bFGZdykHBI71a1Hfl0Ze1XT9O1ixm0/V9PguLSWMrcwXEKvG6HqGBGCPauWtLfxFcPcR+B&#10;9emk0fz2jvo7xvNkJDStL9mlf5i298ESMyAxqihNrCk1F/Fnl3A1n7ReaLtx51i2y9XMgB3KgUFF&#10;QtymJAFwqs5DV02g3OiS6ZHB4ZltXs4c28K2bK0aeWTGUGzgbSpXA6bcdqr4tCvhIfB02kSeHre3&#10;0bTJbNFGJLG5UrNC+47hJySWLbiWywc/MGYMGK+JRoOqS2/hi/tLe6upZPtFtFIuTC0RDCYd1KMU&#10;IYYIYrggkZo69Yadrut/YdCu/suuR2Mif2vbxK0tnC7Dg5BUhmQEI2Qxizj5CVr6BN/wr61mm+IF&#10;zCLiRgLjxEWPl3CRw7vMmJULajPm4TJQE5DF5SKfkHmRaN4S8SeFLm4vdbvp/EkE1xGbd5I0Fxp6&#10;fMhxyBIqq2SwAlI3/wCsyiLcl1bQZdH/AOEo+17LFo/NaS4QxsigZO9XAKEDqGAK4OQMGtjWPEOn&#10;6Bpz6hfudq8JHGhZnJOAqqMliSQAACSSAMkgVy994PvdQZfHmoaLGmroRNHYrdGNGVA3lxzMgZXZ&#10;d5bJVwjHKZKh2NY6IXNzblXxl4F0v4keHrefxTpa/YVXzlsZrcpLkj5ck4aPjkqAG6KSAHVvlmbW&#10;9c+Hn/BRb4Gvpd3JHcR+LVt1unhCLLHcTQQsuUbGTGWRj8hByQqqVz9mX2pWOqaI11ZXiTRsrBZI&#10;z3HBB9CCMEEAggg4IIr49+Imm7v+CgfwGu/NHlD4haesrMuQmdQtf0wrZr6DhnljnlBv+ZHlZ25S&#10;ymtFfyv8j9mfCXx28UacbWxDK0asPs8dwiGRuoPlSqRuH3jt5xgdM13PhL9pvTF1qTS9Z0OOxmhw&#10;94sdwrSQN82TNGcDGV+8ApCrnnGR59p3w9tftSw2lqZvMbP2abEivuH8BI+ViDkZHAJ54xXb+DP2&#10;YfF2reVr2k3FvawruH2a5VkmQ4655yMjocdO/f8AfsypcP8AK5Vko367a/L+vM/nXB1s9lJRpXl5&#10;b/mdZ4l8W+FPGen2d/c6ja28XmyGKS4Utby8EYWQf6s/dJGQOmcHGeF1z4KX/iGea+8NX1u6ZWW1&#10;iuNRMyTScErG+QQ+VyMHAOOhIx1sv7O/j+whmS9e0kadvLS5X7+M8ZRsqcnrzn2OSD0fw9/Z917S&#10;LaRtTkeK8jkUwzWczGE4YkBkY53EEg8kYbpxmvCjmGByyjzYauvJbre/l+rPeeCxmPl7OtRfnvfb&#10;0PAdU8Ba94V123/4S3R78ssbeTDNL8yKRtOw5CvgMMZ+YBhz3Ot4Ehu/BfiRrqG1lnhRWkEES4eB&#10;fmDEjJXd82GHYt1xX1do3w3sLyFV8UaTBcLFITHDNGHjH+0obJUkdRXQR+FPDcMqzw6Lbo6tkOsQ&#10;Bz9a5cRxtGVN050ua6s7Oy+W534HgnEcyqxny63V1r8zx3wp8Nfhb4h8No48GRrHqcatdXcse6Qs&#10;T0bcTsJbOQOh/MTaP+y/8O9IihuND8OR2l1HIBJcKdwaPBG3a+Rg8Ej24xxj2RtM09pFma0j3L91&#10;tvSpBa24xiIcV8tPPsdd8lSST6czf/D6H1NPhqho6ii2uqVjzDSPgN4Q0C9k1HTIJJJriQNLJdN5&#10;y5z0G8EgDJxg9f03dF+HcGh3bXdtdXE2V27bqTcO/IYjd+GdvTjKgjtBGijCoPyp1cdTM8ZW+OTf&#10;qd9PJcLT209DJjsVlgVMbjtwHwc9Oufx7Vn3HhBJbmS8tYo455I1DTGH5hg5xkbW57810wAUYAor&#10;ljXqR2OmWX0ZRSZymqeAJNVuoZRIsXlcyTRsyySf7JIPT65Pv1B29L8O6dYWa2aWUSouBsRAF4+g&#10;rQooliKs48rehdLL8LRlzJa+ZHHbQRDCRipKKgttT068uJrSz1CGWW3IFxHHKGaMnONwHToevpWJ&#10;2xjZaInoorC8WfFH4Z+A9Z0jw545+Imh6LqHiC5+z6DY6rq0NvNqU25F8u3SRg0z7pI12oCcyKP4&#10;hkbUdWaUaNbEVOSlFylrok29Fd6Lsk2+yVzdooyPWjOOpoMworjNU/aC+EWi/G7Tf2ctR8W+X4z1&#10;bSTqdhoy6fcN5loDMDKZVjMSDMEowzg5UDHzLns81KlGWzOjEYTFYVQdanKPPFSjzJrmi20pRvvF&#10;tNJrS6fYKK5P4rfG/wCGPwSh0O4+JviX+zV8SeIrbQtFb7HNN9o1C43eVD+6Rtm7Y3zvtQY5YcVj&#10;+G/2ovhP4r/aN8QfssaPfXjeLfDOkxalq0ElmywpDIsDLtkPDHFzDwP7x7g4TqU1LlbV9vna/wCW&#10;p1UcnzbEYV4mnh5umoym5KL5eWMoxlK9rcsZSjFu9k5JPVo9EopjTovf9K8l/aD/AGyvhp+zd8Rv&#10;hz8MfG2i61eah8Ttc/srQZdKtonhgm862iLTl5UZU3XcfKBzgNxnALqTjTjzTdl/SM8ty3HZxjFh&#10;MFTdSo1JqK3ahFzk/lGLb8keu0VA12VPIr59/aB/4KSfAT9nH46+Gfgh471FGk12Ty9U1a11a0eP&#10;QWbZ5f2yES+dApEiMZJEVNjBlZ8OEKlSnRjzVGkttfM0yXJ824ixjwmWUZVqqjKXLFXfLFXk/klt&#10;u3ZJNtI+h2dV6mo5LhR91v8A69fINv8A8FffgbZ6T8VZvHT6Hpt58PbhR4eh03xla6lB4xil3/ZW&#10;sZYAS7OyoJFCMLYTKZWG2QJ65+x5+1X4U/bD+E1l8QNDm0ew1prWO413wrp/iSHUpdIWZ5RbrNJC&#10;BteSOIvsZVdcsrKGUgZUcZg61TkhNN66ejs/xPVzrgXjTIsunjsbgpwoxlCLm7NXqQVSNmm7pxlG&#10;8leMXKMZNSai/WprgkcN07bqqTXsYdYvM+Zs7enHB/pV2PTSAWupx/urwB+P/wCqkdtKgbIjVmHU&#10;fTmu1OPQ+EnTrS1k1H1KCrd3ob7LE3TKt0HT1781NDoVwwbzpFUchQvYflT7nxBHGzJCgLKuduev&#10;t9cVVvPEtvDA009wE29fmHt7+4/pWijVk9EY8uDj8Tci8dJ0xdrTR7yGzhuhOe478+ueeeoqWS8g&#10;t0wFVF9OnauB8RfGbTLFZEsJVklU/IZFwnDEE59OD2H51wut/E3xVqEZjC+YiqGUFsE/L6ccDnlg&#10;pznmvQw+T4vEay0Xn/kTPMKdJWpxPW9b+IWjaduhWdZpevlxsGYjB5x6DBye1cJrfxeOpGRILpYU&#10;DhN+QeoJ5APPAOQGH0yOeAk1u6lTcZzNcSMu5ZG6yfPgn3ycnrwud3BAZLp+pTyLOo86R4yshmkL&#10;hhsJ2kHOVwTkYcYHTHT3sPkuHw+stX5nm1MZWrlrV/ibfXdt5n26Ty12TRsrHaELbd24jYozjn5O&#10;o5PFc8PHFxqNxIRO8gePP38CQbj8wODjJBbe27gfeHUs1W3slZJpn2ygKu6PapyVBK/KeC2em4En&#10;nb0Bx5I7B7phFu8sRL8iqAFbIAOeMFsLyRGcc5PUexTo06atFHHKpJ7mxc+Kb6G5ElzBIsbTbUk+&#10;95h53DqTwOTnf14xxTrfXo7u7zLcMIyrblhkK5OQPmJbI56qCOv3RznBmvo1tfOi8vN5/rPLIbzC&#10;NpU8jLAMepVueQ3JzQv9QmSRr6C4RA20qrfLu+UE8ls8cDhiSW+6cVp7PyMfbRiztz4pjsfHFrHp&#10;dojJ5dwzeZMyMsamHawG0c7j0AXOTlx0bQu/GzxIkF5d7JMsfu4yrBmLbQcrnOC+BjP3wOa8t07x&#10;PBZFUELJIyGT95LjaokHTO3oDnogOPvHJAs3GqwGFYVR1XyGdt0e7AKghyP4u3P3cY+c9RDw66o6&#10;IYuJ+Y37LFxBf/8ABQT9rm6jfcsnxWuTlfT+09Wr6D8U6XpWr2ElhrcIeFiDwxVlYEFXVh8yupAK&#10;spBUgEEEA18pfsr3Pi2y/a6/awvPAmnWd1fw/FINHZ3kxjSaEarqnmIrj7shj3hM/Lv27iFyR9U+&#10;GLTTPEUVv4nk1q4v84Me6JoY4ZEMitmI/Mrgna0cpYo8QO1HU1+HZ1/yMp/L8j9HwX8FM5DSde1X&#10;VNdtNLv9Ojm0q6sZJtP1z7dEF1AjZsCRqdxYqXcsAFxGGTIf5Ne5sre0ixBbpEm4ttRQoySSenua&#10;1/HHh3RvEelSabrW7ydyvHJG2ySGRTlJEYcq6tghh0IrgNG8c6hqvi+D4e6tpl00YikK+IJFRLa/&#10;8s4aOLDEtOD9+PaFXbIcnZtPk7bnf8WxgfEGHWV8TLc/DTS4brWmtN19azXLQwNbjO1pnVHwd24R&#10;jaXY79vyiUjd0rSNChln1jRgjSXW1ZrrcGaQIWCrnsFy2FGACW4yTnsYLKy08SR2VgsSu5kkK/xN&#10;wMknknAAyewA9K84+Ih8ReHdf+2/CzSV1DVNQY/a9Dkn8qKcAAG434IhZBtDPghgVUhnMYqr2D4t&#10;Ea+sG18r7HcqshmOxYzzuycAfmQPXNcvpVh4n8F3c134zt4W0ZZPLsZozlrJRxum5K7G7Mv3FUFu&#10;p8vrvDunadfQWfiHUDHdX8XmMk211EJYkbQj8h1X5CxVWzvG1AzINK5mVo23x/L0YH0o3D4dDNVE&#10;cblori508XajPIvwuW4bSbaRoFEUdv5SSKcMkZmkQlVPy4XKqQyAgqVUqeYOWR6HefEWx8P25HjK&#10;B9NfAKtI26GdgIxiOQccvJsVXCSOVYqmBQ/h+XXdVh1jxFIskduyyWtiv3EkByHb+8y8bR0B+bkh&#10;SsWkaPd6ldt4j8Wwo07KVs7Dhks0Iwc9Q0pGQzDhQSi8bmkZ/Ytz4ZsJJfBzRrDEhK6XeTOLcBY9&#10;qRxsNxt1BWMbVVkCggR5bdRG4e78zVvNDtPtR1azlezn+UzTQYAlUEHa6kFWyF25xuCs21lzmuT0&#10;7xV4l1jX/wCyNes4INGhXEuvWsjeVczov7xCjD9wM7sMXcDBTd5n3bnhnxna/EO5uLR7O90+GKR/&#10;ssN4oje+iXZm5iKsQ8J3phlPVhnGVz1EdpZxW620UMaxKgXy1UbQuOmPSq3H8O5ciWKKFbeEKFUA&#10;KF6AegrndY0DUrzUWvvBWoLYXA3i4kkR3tp2YKDuiV1DNhE+cEMAuAcEg48h1iz1E6B8NpkextZI&#10;V1S2mY+XaxDrFbH+GUxlSIySiqqcJvBfrfDOr6dqunq9jDJbtGCklncRlJYWDFSCD7g4YEqwwyll&#10;IY15DjpqQeFb7SNClk0W5sW0+7ub07ftUyk6hIYg7PG2cyYVGXBAZVh+6qBaueJvEdtodsF8h7q6&#10;nbZa2MIBkncg4UZwOgJySAACWIUEjP8AF2qQNa/8I9b6QmpX16pSGxYjy8Y5eQ4OxFyMtg4yAAzM&#10;qtV0G0/4QJodN8R67cXrXTpFZ31xDnD7ADGX5Kglfl8xmJJwXZmUEHvqZ+g+Dp/Amq/8JOUmmN8y&#10;pfabaXOLWxZpCTLDG+BgF/nb5S3zOBk7K7aWZ92WH59qYZYjG6TBSu07t3QjHOa4bPiLSDa6PZWN&#10;xb+GVu3DXm8SyxxcMibScx2+4ldw3bEGNsaASCloLWRU1zXPGVlqU2t+HbeHUPDs1x5MlqsjyXEc&#10;gbbI8WCQEA3EooZi6FVQFy1eY+GoNC139vH4B3N26zQp8b/DazfMRt2353K3dSCACDgg+le6X0qa&#10;lplnqGg3ME0PmwzxTJN+7khODlSAQw2nIxweOQDkfOPxn1dfC/x7+GOr2ksMeoWfj6xmt5XYfuQs&#10;jMGLEYVSy9DgHYeu049PKW446Dv1+45cZGM8O00f0ZWHwl8MaM8jaLG0KyPu8l/nRfXGeV/A4FbO&#10;n6Bb2BxEdq9kQYFaAORmivpKmJr1fjk36nzlPLsFRlzQgl6DfJi2eWY12+hFOoorA7bWCiiigAoo&#10;ooAKKKKACiiigAooooA+dfh7+1v8SPFn/BSbx1+x3qOjaGvhnwz4Lh1fT72G2mW/eZl04lZHMpjK&#10;f6XLgLGp+VeTg58e/wCCUcyS/tk/teFMfL8TFVvXd/aWte57Y9D7dKt/FPxH4x/Zp/4Koa98f1/Z&#10;k+KPjDw/r/wrg0x9Q8B+DX1FDefaYCFZwyqu2O1+YFs/MnHp5V+xL8dPiv8As5/Hn49fFLxb+wf8&#10;erix+Jfi/wDtbw9a2Xw4l86OH7XqE22bcyqrEXcfRnAIYAkAE+HUxPLioKbfuzl0ei5Xbp30P6Tw&#10;vDftuC8esspwSxOBwVkpwXPWjXpSq6SkmpJKUpXtoj2P9kT9qTxl+3R+wV8RPin+0J8RrnwLb6L4&#10;ku0uvEnw9aaxutO02ytrK+eSNgZpNxBlD4yWRmUDNfDPhTx38CfiXrfi39or41/ts/FGNPCX2pfg&#10;34a1HxbNJ4pu5olR0kkvPs08FmkjFUBWMkPI258Qhpvp7/gj74g1Pwh/wTM+KGuJ8Hbzx3JD4y1X&#10;b4KhhiMmrp/Zenq9sUkyrqRuDKFdmQMEjlYrG/EeLzqf7PXwa8UfDz9qX9k7Srnx58YPDeoD4Z6b&#10;8NvhLpCW3hqZ4Z4ltmubfbP5iNJAxGyZ4kEZ82V3dU46/PisLSqSe0W22na+0b2a1vstXe19j7vI&#10;Y4Dh3izO8swVNQUsTCnShTnSjUUHGMq6pwlCcuX2avUqNxjGnzKEueTH/Dz49fsG+MvB2m6n41/4&#10;KpftLeHdauLWL+2dB/4TTUrsWNy4GYTcJpQR8Hjcm1SOcYxX0t/wUq/Z68PfFHXPBfxM+MfxxXwb&#10;8LfCFnqbeOpIfEE9lfXu+JDbJbokTpcN5seDG2XYOVjBZgD538EvgB+3N8B/2bPhF4++B72txqHh&#10;3QJIvFXwX1q1gs11OK8vJLh5WuX2tHeRo9uAspXy/JkwQWlgn7j9v/8AYh8PftO+Brz42eOovE+o&#10;eKvDfw51SPQfA2gaxJdaaNWe1kaOWGMRJLK6y7PuCIziCANGcGNu6lh631GceROVouzTSez3vK6T&#10;3Wjaurao+FzjPuHcP4gYOthsxcaEamKpc8Z0q1SDbdJKNP2VB03KLTp1pyrU03GSqN05p/Bf7KHw&#10;l/Zfm+Nln8Xf2tPhKuj/AAV+IWn+ID8NrybxQ8kdrLYXKs3mywzrcKyRxywAEZmlkTy49pG364/4&#10;JifAj4J3n7RfxS/aQ/Z70fxbofw61DTR4f8ACVjqWnXEMGoWpFv9ovra9kuXuJD9qs7jgqrRiVPn&#10;DhoosX9k79k39qL4u/s3eD/2Nf2l/wBlzRND+FNjp19falrmu6kp1/7dPPd3NpcWEcbH7FPDLPGr&#10;JcRnMYlVgQ5hr3T9l/4A/t+fAAax8OfH3xl8KeO/B+maJIfB2o31tcJq0l0F/cW8hLbY4Q27ezyT&#10;tt8tUIGQnLleF9nOnN09N78qUlJrVO9nyq75bJrpokm/o/E7jb6/gs0wWGzOKrW9kqf1l1MPPDRr&#10;PkqU0lVh9anCFNVVKpCUU5TWs5wp/FvxB+NnxF8H3mh/sL/Hzxdfa34u+H/7Sui6noetahIZ5dX0&#10;a4WeQTO26TDbriGYrLM8gF8sfSFgND9rD9onxJ8Bf+Cl3x+l8Ewag3irxZ8OrHw34LttPhuPtMuo&#10;3cGiKDD5OXEyRefLHjGXiRBlmAr3b9pT9mL/AIKiftV6Po+h+IdN+C/hu30jxha+Ire40+91EXX2&#10;q2jlihDkrNHIoWTkBVJKr8wAxTfB/wCx1/wVB8G/tbeKf20dO1z4EN4q8WaDHpOo6dcXWstpyQot&#10;moaJFhEqORZRZLSOMluBkbYrUcXGXLBSaUk1Ll1UeWS2vq1dJPrvbc9LL+JOEfq8cTjqmFVR4etC&#10;rQVdezqV51sLUupRptQp1XSqTlFc3LzOKlqmvWF/Yy+I3iz9nr4e/C3xD+1X8TtD1rwzYuNd1zwv&#10;4wnE2pXUoDyq87gNLDHJuWHeNyxbQRmvgj/go78O5fg1+0Z4P8GeHfjt8Z/iNfeBrQeI/GF3qnjX&#10;7bceHLRri32NBNHGx064O1JDI64Hm2TAnIB/Rv4pt/wUTk/Zls7T4dj4ax/FW71MWusXFn9pbTLO&#10;yleSMXVp9pILTQhoJmEqupWOYLHIxSNsT9jb9gb4c/sueAdeuPinf2/jfxt47hkT4ha/rCm6jv1l&#10;yZLNRNuLwsXYyNJ887EvJgCOOP0MdhPr8Y0KcHHRXk+iWqVr6u6SfZX1vY/NeC+O6nBFTEZ1mmMp&#10;V7VKsYYakoJznUb9pVlNQvCkozk6b5m5ScVGKjGVqXwO/Ym8JauPCfxz8Fft5ftA+JtFkaz1rR7X&#10;WPiM01jfwFknWOeF7dXeJx8rxyENtZlO09PH/wBrvS/2A9A+LXj7x3dftF/De38feJNT0+21a38c&#10;eB4fFUOifYrZ7Zore1VC0EzMEZyzHJi27Rxjvfg7+xx8b/2S/j1aTfs1ftJxx/B3UNckbWvhz4pt&#10;5rx9KiIZxBYFm5LSzOfN3wsq+W0ovCmG9f8AjJ4j8bWXhG71H4CaP4OtfFF9cPLZXXirTZWspBG3&#10;71rj7PiXJVXAYHhtucjIPXQy+rXw7j7Llad7P3k3Z6x95PVNpPRrsmfPYjjTB5TxRCtSzR4mjWgo&#10;xlDkoShCVWMuTEqVCcE4ygpTUVOLSUlJxlZ/lD8VvjP8OdL+L+j+FfhR8c/hPqOk30kh1jxdffsv&#10;6TY6fpuF3KiJ9iuLyZ+GU/ugqsY/mIZ2j/Qr/gnR/wAMEaV4v+J/jD9i74oalrjeJNRs77xJpdxp&#10;klpZ6Tvluzbw2cLWkHlw5lmUIN+0IoOOref/ALL3wL+N3w6/aK8efthftIeP/D93408YeH1sIdN8&#10;KwSiwt7JvspjCtLEjM6rbJGFIPEe5nkZyV94v/iDcXuoyWlwxMf2kNu+fy49luvJUgup3NjI9cE5&#10;xnpyXhvMZS9vWSim21Fxd0tUrNzdrp3as3rboreh4s+K3DuMy1ZFlXPUapU1Uq06tJUqlRuFSaqQ&#10;jhKbq+zlHkhKMqcdOZR1kperat4zsobeSaW9WP8AdsVbcOxwByQN3I+Xg/pnF1HxOgkWP7TIEV5B&#10;NGvBQbWUbgcMmSV+8COOuOa8kfx7eXmm+fNetJJcW8KeWt4sgJeRmZRnh8d1bDH/AGRxUP8Awm2F&#10;uIpo90kMbzYjnB8tTKBkhirR8FuRvHIz3I+0pZH7Pdn8w1Mb7WV5HpfiLxMqlrYTIrRrMHmMjIpO&#10;FHA9MjnBI4Jx3rifF3iu51W3kgvNQdBukKwjACyZUYxz9SoO7n7vOayNV8YtHdNZxurWs1xN5LL5&#10;e2YF4lG0ZKS4OejA44IJrEu9QuL69uLy3hK+XGYppI96gszsrLtPtzgn3BPUetg8BGnaVjmq4hbJ&#10;m1p1umoaglxqOoMi7tzSNNk48w8knBPXjcGHOM9c6Ik022uo7mJmaby2MPC/MPLO0gdSc/3WweTg&#10;4IrjhqGppdwr5HmN9qY+X8xUqZnDFRgZOMHKnOexIFOXX9ThtFnuLTzS1vsk+ZevlMTluecjo4Xg&#10;A8jOPQlh5S6nP9YjuXrjWLW0v455DFKm6USeXJuY/wCsUtkt1+YnaNpwB8p4NbE3i4Wmnf2f5ixj&#10;zgGeZh8q7UTkcY6rzhTnHzElSeTnt9Vl852uBCvnuGjkbZv2r8hO/dgDqBgjGPm54a9lJaMt1d6i&#10;kazKwiWYAMhCoQwAI9cfIxbk5ByAb+rxm1cy+t8qbuR+IAAAgP9/1CGLUo5oifMaFWjja3JZgAuO&#10;GA3DA6kOvvXPzapGZ44ba83NMqwCPzA2RvyccggkHHyHd6jLczav4i8I6YqT6ldjHmbbiOBVEXES&#10;kgKRtJJB+8V6deAa5mT4kql8INI0aRvs62qxsqsdyjkvg5OPlDcl1Axhu7elh8rxFbaJ4OMz7B4f&#10;4p69lqaltNflmZJbpsO3mCT5Qp3cnDKAnU/eC+mcAkSPYXr+SRcBy6t+4X5ZJFUHk45cfMTkbxwe&#10;QK4abx54qV4JbvUWhhdWMHlsu1GLJlVA+UcbvuOG6cL1qO/8QahZw7I7yYo1xKskcDkLkJGCWyRn&#10;AI5Kj2bGDXqU8iqL4pI8GpxZQ+zFna/ZrOLW49Vm1Rna3sJEbEw2rvkVuWDAR42EBVKMQx+Xhq0J&#10;prIXcu61e4MczRyTbiqx7sEHBA2knHDhGIxhj1rzWPxDr8EM6RQbpv7OH2dYZVRnfYm1VG9iE+/n&#10;ZvU7lJRchaZrep6wbCeTUJpLMw3SCGeGQFIwWQkjIG1wCMFfLPfHWtf7Hj3MY8UKWyZ+fH7B11Jq&#10;37YP7UmoLCyGf4jF1h3btmb/AFU7d38WM4zX0t40uLj4dXLeKvD2i3WozahIsd3oNiAZr2TbhZol&#10;JA8xVX5skAxrliPLFfKX/BPjX9B8P/tYftGaNLdQtfXHjf8A0HT45g0t2sV7qW/ylHLhdy5KjA3L&#10;nGRn7g0bT5LaD7XqESm9mH7yTqUU4IjB9AR26n1wK/lzPvdzSpFd/wBD+lMtlzYWM3s0c9B4Xh8Q&#10;oNU1vUkvLeRW8u2s5j9nkjLqUYtgM+VXlchCJXVg4was+IfD2l65ZfZtTh3BJFlik/iikU5WRT2Y&#10;f/WOQSKzvGFnq3gW7k8beF42mtWbfrGiLj/SR3mhzgLMOpH3ZOhwxDhNE1a8+JuiW/iDw9K1vpd0&#10;u6G4urWRJJAsuxlEbhW5Cvhz8v8Aq2USoxrx7rZnoWlutjntW8fpYa9b/Ds2Rk1rUNw0s7GWG5VV&#10;3NJv2kRhF5fOSOihyVVug07wdpmg+bcIqzXl0F+2XjJhpcdAMk7UGW2rnA3MeWZmOlqfgDwzqfh+&#10;bw9d2MnkTXJuQ4uHMsc2/csqSE7kZDjYQfkCqq4CgDndc8bR+BUt9P8AE0l5eyMfLjvrWwaTzXyq&#10;oGSFSVkYtjAXazD5cEhAr9yvi0iQ+J9EgtJV1vRHW1vY5A0isuY7xcYKSAd8AbXHzKQv3l3I2B4S&#10;1hfizb6laa/4d1DR7a3mMC2Vyxt57lckecuw7hA2CEkDAuVcjAUM3caf4Y1RdYk1nVb+GSHyVS0t&#10;Y1OVY8s7se/RQoGBhiSxZQhr3hiw1mKNrtGWS3kElvdRttkhYdwfQ9CvRgSCCCQX6E8yWjILaz0z&#10;TLWHT7Cyht7eCJY7eG3jVEjRRhVUAYAAGAB0AxRXP3uqfE6yna20PwhFq9urNtvReeTu+Y4BXY3I&#10;XAJBwTyAM4BRzRD2czM1rVtV8FWj38xk1WzjVm+zqv8Apg4lbCY+WYljDGqkIQMsXkYgFvhl4PG1&#10;pB4h1O4ZBGrLJou4f6M7oGCXC4z5ojdSY24UuThiEYW/Ddk0hm1nUNYS/muJGG+Jh5USgkCNAM8A&#10;5y3Vm3dAFRXeKLOxazfVG1JtPnhhkEN9CyrJFlSCcMCrgfe2uGXKg4yoII3Zppt1NDUtO03VrJrb&#10;UoEeNSH3NwUYEFXUjlWBAIYEEEAjBFciNd8WXc15b6fNNqWjrcmOfUIYVW5iJkfeEUKEmSMMq8KC&#10;ojYHznDLTdL17xLq2qWK+LbGaw0+Z2NpJDGVFy/PlrcKxLW4xyFJ+ZtqsY2PlP11mIIR5MCqsaqA&#10;FAwFA6AVauw+HcXw7FoNvo0dp4YmhktY2kRWt5vMUyB2EmXydz7924kli27POax/FsT67PDpHhoN&#10;HrG3C6xDx9gi3qxZm/iUtGv7nOJCuD8odkpeJLDxBquqm3+H11Jp87RyG91BcNCdygD90flllJVM&#10;HgqoJLAEJL03h3UtMu45jpUqnyZjFcRYw0cgA+VgeQcEHnqCGBIIJryDZXGeCbeXRLNdH1vVo7zV&#10;ljJuLloVjkuEDff2jqo3gexPbIzf8RXdnaaVPealdrBDEvmNMzBdu3ndntjrnoMVk+O9O0fUNDW7&#10;1C+ks57W4V9LvrbHnw3B+RfL4O5m3bNmCHDsjKysVOT4S/4SLxfqv/FzdJ+w3mkvut9Mj5t7khjs&#10;vAwJDfdBERJMTYLbiYmAvdD4tRNMk8S3U0MXxJvvLtZLyP8As/7DC8cdzyzILg9Y3yFUoQkbMVUb&#10;vM8pOykYquE6e1LK8YUk4rg7i412F2h+F2medotm6w3lq1wY1ZUUq0dhkYVlARcFlhBXau1/MdGH&#10;x+Rc1qwjvru80/wHe/2be+Zv1O+giD26OctiSI/LJM25WO3bJtClnA2K/wAy/tZ3WreH7nw1rwsx&#10;b3mn+KIbq8xL5m5lRhuVyBvXO3DEA4GCqkFR9Y6Gugjw1C3h6ONbMqTEqxlTksS24HDB927du+bd&#10;ndzmvmP9uJLBfBNxf3ax+dDcRm1Zmwdxkjyo6Zyu7K8jjP8ACCPQy58uMg/NHNiPeoyXkf0zjpRV&#10;PQdZsvEOhWWv6fMr299aR3EDqwIZHUMCCOvBFWmljQZZq+gPIuOoqM3MQGQ35U176KMZbpkCnZk8&#10;8VuyaiqsmqQIN2flHVv6Ypv9qK5wo/3f/rjtT5ZGbr0l1LlGazZtcjjCkNu7fuzk5+n/AOumw3t9&#10;cviOJmTzMFwNpH4HsKfs5E/WafTU1CwHemmVAMg96q/Zr1jhnXHdg3I9sYpyWEpTEt0VPT92uP55&#10;pcse5XtKj2iTNcxg4HNNe6Cjdnio205AM/aXXA68U5NOtVw+WbvnzDz/AEo9wV8Q+iRG+oqDk/dz&#10;9P8A9dRvq6spKvtXor/1qwdNsC24xfw4+8aBp1gowIFx/d7VV6ZlKnjJbSRRXVJLphFAp29eF4K/&#10;Q/0oi/tO7I/0R1XOf3nf8+RWpGkMKCOJFVVHCquAKwbL4s/C7UviFefCXTfiJotx4o0+z+16h4dt&#10;9Tie9tYP3X7yWEMXjU+dFgsBkSKRnIpSqxjY0o5bisQpNOUuVc0uVbLRXe9km0rvTVFxtN1OWXLu&#10;Nq/d+fv65H9akGiSfMzXzFmXG3+H8qXX/FPhvwro114j8T69Z6dp9jA897f31wsUNvEilnkd2IVF&#10;VQSWJAABzXHeFf2rf2ZPHuu2/hXwF+0N4H1zVroP9l0vRfFlldXM2xC7hYo5WZiqqzHAOApJwATS&#10;lW5ZJNpX28zooZLXxNGdalSnOMFeUkpNRSV7tpWWmuvQ7C38PWkaMkzM+773ze+evX9avJBCjb0i&#10;UN/e28141fft8fsuW3iiPwU3xf0m31KbxbqHhmOPUWktYxqtiIzc2zPMiqGXzolVslHeRUVmZgDZ&#10;8dftc/BX4e6tNZePPi14f0LyYXmS31rV4LWW5jDFd0O+Qb13Bl6dQRz1FU/38XKMk0t9Vpfa5tiM&#10;nzLLalOjUwlWMppuKdOacknZuN1dpPdq9j1wzIOpqrc6tZQJvluVT5iBu7n0r5d1H/gpP+yz/bNr&#10;4Ql/aF8OrqurKrrcWN2JLC2gy2VmuVJhgkwr/K0m4ZTgl49+9pP7V/wK8YeJ4tM8GfGfwnq1xZ2c&#10;hsbHSfGFtcSXUqruZo4lcmQBCSRjjb1443w9GhXnyRqxbvaykm76ab76hjsp4py+iq2Iy+tTg486&#10;lKlNLk1967jbl0eu2jPfNQ8V6NpltPcXNz8tv8rqvXdjhR6k1RvPiBYWrSb02iCzM9xlh+74Hy/X&#10;kfnXkdp4xa5tNP03Vb5VWd31HWGZBHsxgqGR+NuFfOCMhenUDgvhh+0lY/tD/DC1+IXhzSNWtIfE&#10;2rNArapaRxSJDGxBKtGz7FOw4L5yRz0r0qeV01iI0Jv3pJtLuk0m/RX/ABR4Hts0rZZVzCnD9zSl&#10;CM5LaMpqTgn5yUJWt2Z71P8AFa7hNut29vHixlu71FU8RhflHXg5x0z1rnrnxtqMjafPqXmebDbz&#10;andGTgqnMagYAyOcjcCD6jAx478W/j34N+HmhSeLvH2v31lpmuatDo1nPBpsl40gLSkgR2sbhlMc&#10;ZbIVecAEEivF/gt/wUT0r43eBtV8V6h8LvFVpfTaxDpdtpnhfR7/AFqP7OipKzmSK2URsWO3aGL5&#10;IOMEE9M45PgcVHD16sYzabs3rZWv6b6X1dtNj08q4P484oyWpm2W4GrWw9OUYucVpzSvZRW87cr5&#10;nFNQuufl5o3+sD8QLtbeO4kEbSW+nTajNGoxtaViVBU5wRs6qc/ewODWHqer30Nhd6VZXLSXlrpK&#10;QozXDEiWVlYlXXEn8Z5y3Axk9K+Zfh1+3jD8U/jLrfwkvfgT4vgluPGGm6RZ6ha2GZLKyy0cj6gH&#10;VTbFCrudwc7DIDtMRL7HiL9prVtA/bF8J/s7S6FDcaP4ugm1y91i4iCukcUd4eIshGT/AENCSpzn&#10;eOoAruwuNyeVD21Kd486hon8blypbd7rt1WhOYeH/G2W5lPL8ZhlTrQw88U05w/g06ftZyupNXUN&#10;eW/Nf3bX0PeotThtr6Swdo/3uoQpNCyqX2xoWbcqHDLnrnkkdcc1g61cLfWcU0080nk2888A+YpA&#10;WfywRt/eRnAbHzBc9jwa+b5v+CjPg3xf4d8H+NfhnbQ6ba6n8RF0TxB/wl0iRNbW00SyTXsZhuCb&#10;dUSQESMzIMMGGACe4k/bw/ZxvNA1zXtA+IUN1b+H5LCz1K+ktbpYwkkkjjbIkWZF3B+djL8pJ4xn&#10;uweaZXi8Q6VKpFyspWbSurOV1fdKKu30SbezOfPPDzj7h/AwxWLy+ryyk4PlhKbhNVI0VCfKmoyn&#10;UlGEE3ecpJRu3Y9cstM1O31S2tJZ1+W6hSWL7YzKUiRd3IIjmwSfmILDkZpqaDONOsrK8nG+O1gH&#10;ltuiMTPOr5AbDQj7pJVhyc47j4ptf+CqXj+7+CmseIU0vw2viddenjXRYY7nyYrJ44sXDBkaKUiX&#10;fGdrxtiMfIdwIseP/wBsv9srwl4Jl8b6e3g+8s9Pnt1msdO8FeJI2tZM7EJku4Y449r7WI8xcllG&#10;GOFrz5cWZHGn7VVLrl59E3peSv8A+SyVt9Nd1f7Cj9HrxVq4h0J4VU5e1dFc8rXnaEt1F+61Ujab&#10;tF62ejt9my28f2Q3M4WN7jc/nbQf+WyYHygRyLxjnnjg8E1KkLadcjz5I7ZW2RTMzygRyG4lxnBB&#10;QtsHykbcngdx81t+0L4vh8E/DPxVfWum30fjXxd4U0/xDBNY+XGsN8s0lwUP2hYt4KDazuNo5ZU7&#10;+E6X+2J8WPHHg6z0LU9e0Cy1PXNfv9N0/wARa1ePbQaBFbwQyLL8oeRGaS6dgxJUsACpGRXsYzPM&#10;ny6rKnXqNOKjJ2i3fn5eVLXduSWumt20kz5Phnwh8RuMML9Zy2jT5faTp+/V5bOm6qqSfutcsPYz&#10;bs+ZpJRjKTSPvG48X+E7L/kJayzMswEnlxs+5vPIB3KRuyMt8wORz2zWRcfF3wjc2b3tsJgsdsSq&#10;uGEkaNayNhuTIq7fbao6jkkfC/wc/bE+M2u6v4J8O61deG9Wm8ReJLe0upvJl/tKNvtaHdKsZWAF&#10;vtB2M0bk7X7s+/0D4wfEvxbB498J/s//AAj1WOy1nVPLm1qSOzhuptL037ITJ+4ufMQSGFppwsco&#10;Yqi4A8xDXRgeJeGsZlcsdSc5WlCKjZKTlU5eWKV0m3zdHZa62VzHPvBDxVyPjajw1jXQpyqU69V1&#10;lOUqMKOG5va1qklDnhBcujcOZ3iuXmaR9Fat8T/ETmOxtrQw+VIWtVjg+aPkkIgRVCrjqY/L2hPm&#10;znLYGp+LLrXEksLe+kuowreaUw3nN5cAYFlAV8ZOQQXIBBbnFeB+Gvil8bvi14Z07xZ8OtIjs9e8&#10;O+NLi18Z+Dbqe2t3uLdpWk3SvOg8khN0RYhXaQSOFJjUJ1fwu+NXiH4o6548ax8I2dxZ6DqEtp4b&#10;uLCbamtTRwyBlF07mPdI0dtsZFKxrcAtuBUt7uX8SZHWrU4Uqc0pq8JcjtJKEpSa3fu8rjJWUlKy&#10;t7yPjuIPBXj7KcvxOJxeIoOWFfLiKft4qdGUq1OjSU72jat7WFWlNN050lOXOnCaXd35uL+4a3El&#10;1ssoXTz9zB4ysedygbWZQFViSfLGRyM4DJNMmhl8pre3kt2XOFRVWMrExLDaOGwOgCsGIBJYYPF3&#10;Hjf9pWMSta/sbNJOBcCCOH4hWTqCFLYCqudwB6IQxz6nFfPw1H9ra5+KPxA+DPhrwteWviPWGXUr&#10;+xh1w+fo8YfzgsU4nCKm27CsMklWwduGFc2ZeIGX5fKlGjh603NuKXsasNeWUklzQXM5ONrLVLV6&#10;Jnu8IfRpz7ianjKmYZtgcKsPCNST+u4OslB1IQnKbo4iXs4U1Pmcp6N2gnzSifV96jWN4017M0ca&#10;rDuFum1tj7uMH5iSR1fzF543ZBpb631GC3YBRHBFbylZYZVwuCUYYKlAchvu+W2cDtkYHwEtfjKf&#10;AEdp8cNLs49Us9SVMS3CSBoArGAsI2MW/eZANrRkBAcEkk9pPp95qFxGrRvNI0bRtMs7M6bpmCJz&#10;iQZIydu/BI6k4P2WDxkcZhYVnFw5knaStJXWzXR9z8H4iyOfDudYjLFXp4hUpuKq0ZqpSnZ6ShNa&#10;Si1qn8nqU5LZr61hlll/dteKF83zCsyIY0JO8sT/AB/K5dcJlGAWm2+lSHUVgiDZkZoMRrjYQjsF&#10;AHQAY+VW24xhOMVqQ6DaXV1DK03+rLurGBSu4yDn7gLMCgG4vEeCSGKqA424mla70+1hjh8rzo1m&#10;tHdtzAq+cGPcoLEZXeOCMkGtPacuh48Kb5kfmT/wTC8I2Ot/tA/H8Shobq18XWxs9QjULcWrfatT&#10;yyMQRzjBUgo4yrKyllP2/Z+IJ7K8GieKrRbedoy1texri1u9oywQkkxuB83lsc7dxVpAjsvxh/wS&#10;WuG1b4x/HTxPLB5H23xLbTMrPu2MbjU225PXG7r3r601HS4/jTNdeFrrT/N8Kxh4dUuZGZft0ucG&#10;CHaQcKfvyggKw2Jlw5h/kjiCP/CpUa7n9gZZL/ZYp7WNBNI0nx6t0NY05brTOYlhm/1dwQfmDD+N&#10;eNrKflPKnPzKJvE+la1BZ/2p4XkhF3GweS1umIhuh3UsASjEdHAODjIYDFWNEtrzwVBJo2uXcP8A&#10;ZNrGBpuoSMqGGIDAhl6KNgwFcfeGA2GG6SnrGux68l1baJfxeTZyrFdXBBYJIyhguARn5SrbcglX&#10;U8BlY+Jy39T0vTYyJfH1t4gvJfDXhFFm1ZbZpfsVw/lFVDRoSzYIChpFyw3ZAfYJCpWtWx8IWumX&#10;d9cG7nuGvGAYTsNscYGAir0AJyzE5Zi3J2qirj6/4h8J21v/AGbpurXdrerHt/tC22faFPXJypVu&#10;QDtZSnA+XAAHL6p+1R4c8O62fDer2Dz3kqyTW8ln9xolCZaTcf3PzPtyxKD5SzruwK5ZL4g3+A63&#10;UE1fwas9558moWDSKy2+B51qvRgp/wCWi9GCn5h8+C+VQZ2m3158WNEOoeGrm60/Tp1U2+py2gVp&#10;V810k2RyYYMAhKs6eWRJG4Eq7lqG68WaVrV2suvanJsguhJHa2LMFnQAYV8qGA3HlR94KASVZ0aH&#10;U/HenaBqNx4i0N1RrhSbqxupGjhuGCNtbOD5b7tu5wrZUYKkhSrUZfInmXzO2TT7e1iS1trcCONd&#10;qrjOPzP/AOvrRXjd3+2v4ftrya0g8D3155MhSS4tdQsxGzDqFM0sbMAeM7cZ9waKr933J9niOweL&#10;4bXRXGr6QbiHUbqYeXb2IXdfSZQ7XRvlYlYgpkOGSPfh0G5hU8HjxC+sW6fEhY21iO1kMMmnxyfY&#10;CN5z5YbJWUJsyHJON2w483Gh4H1G4vdN3a7Ay6vb/u9S8yML8+OsfrE2MqQTwMNh1cCz4jubBtIu&#10;DqNgbm38siS3WLeZBjlQvViRngCso9zo1WhclktxG7TBfLA+csOK4W9e9tNAtLjwlJM3hVXJuorN&#10;Xe5+y5yDbdzHk9FyfKGIRny6b4Y1DxRrrQReJ/Bl1b6JNALe1tNWmV7kLsUh7gCR9+7LIQWDgjLB&#10;958vuJ5slVPzFhjFaR97YLcvmWLLULS5sIbvS54preSJWt5IWDI6EfKVI4K4xjHGK5nxndXGjazD&#10;rfg3TftniK4hZP7OSYRrdwrziViCFVC2Q55VnwpzKUfO1XxLqXheS4s/A+kfareOZzqc0K+YumMy&#10;NIZBEpDTtnazQod58wHgsC3YaDBp1rbrdWk63Ek0Me+9Yqz3CgZViygAj5i3GBlmwBmqD4dRngqC&#10;08QJH4n1lJpL+3uZgkN1btEbB+UMYQ8ZCceZzvDsyHy5ADpeL7XQL7Rbn/hI2jjs44/Mknkk8vyd&#10;vPmK4IKMpG4MCCpAIIIrL15dOS6t9SeZob6ORvsXkyEPKdjbkKj/AFi7QSVIIBUMMFQRl+DbjW9b&#10;upLT4nQxrqUDRXFrpqwgW6omCs8Zy29g5y2WPlMEABwsspcLOWoNfeLV8TwxeLr4RaLJMv8AZ8i2&#10;4SSeQqNsVyc4X5iSoVVDthDggLL1USxx7YbddiLgKo4AA7VHfLbXcDW1zCrxuu1kYAgj3rjZvFGt&#10;arr3/CM6J9q/s2RJYT4gjUsyToMtEvykNhQ2ZmwoZNhLuWCv4dw1ntoO8Xate6Vqd1eeBpbNSkka&#10;+IJLz/j2g3bQJSdy/vVUqzLuAMY+YqTGT4P+2do9pZfDnUr5nae4lktY5rqcjzHAljA6ABRnLbVA&#10;XLMQAWNfST6HosHhyTw1b2KLZyQyI8TfNvD53ls53FixJJySSSckmvmP9sDUG1r4OanbPcxz31jd&#10;Wn9orBEY/LljmRpDsPKrwWGeCuCCVIJ7MC7YqD80Y1/eoO3Y/os/ZLjur79lT4Y3d5qjXE0nw+0V&#10;5rjg+axsYSW/E816ALD5lZrhmx9Oa8h/YJ8X6Xf/ALCHwV1m8v4Y2uvhL4cmZd33S2l27Y/WvVm8&#10;UaAtsLz+1YfKZsCQSDbn619Ry1L6I+df1e+rX3lxbaFf4P8Avo5pfs8GciFfrtFYmp/EXwzpcX2i&#10;41GPy843q1Z7/F/RVZHitJpIW+9cLhVAJ46nnqKuOFxNT4YsmWKwsNLo+E/+Cmf7Wvxy+C3x88Je&#10;NfCvj/xt4V8E6Hqmo6dfT2vwwvUsvPa3VVWU3V1DaazvaKeSIKYliQFwzkbq5OH9oz9tP9pT45fC&#10;P4Q6f4+03wf8VLD+2vEfiDwh4gm1LRNPaA3Ub2ek3tvBKZrqVLa0e4CMsYe1uULB8ySSeQ/8FPPC&#10;uk+F/jz8UPHuv+E7PVo9cmtp/CdvqfxCt4202KaKD7RfQWAu2urt3uVnjUbVt4lRiY3BVIN7416n&#10;4D+Cfw68EeGf2efhVqHgX9ojwfI1tpOmeF/EH/CU6rLo8lpdPcvfSQoltHcP9ouJSEjkkijRNixw&#10;svlfH4ieOp4uuqjlGMXG69671skr6c0lG8Unrdr/AA/3RkfDvDD4RyX6rh6VXE1KNSNOq4UHGHNR&#10;cnKtyy9q6VKeIUa8/ZtwkoybjvW+sPBH7X/7V3xT/wCCYniT9p2H4WeH9V8VajqElp4Z0LwXp+qR&#10;/aLE3kVlM5ENwLmOZT9rcSQygoqI4KsrAfLvxOuv2nfBfgbw/wDA74qf8FGfgjJf/Dnxt/bWj6ld&#10;eLNWv9b03ULUsPss6pZvHNHFKWxHPCzqcxhhGBGPoz9iD4yaT4q/4J8+Ffhv+x9431Lw9q+gBbHW&#10;tQ1jwwb5rTUTKbm+wsriKVZHmaRNkh2JNGCAw2D5z/bZ+Ovxy+FvhPxJ4Xk/4KZ2954ohlthdeFd&#10;J+FdlpV5cNLLFMSL+0Jktm8ljKW3gNjyzjeRXfi8NiFlccZUlLk5Fdpws3Zt7yi23bS19tFe58jw&#10;XHL1x1juHsFhaNKosZNxpTpVnVjTTjTpSaWGxFOnTjGTblKUVL2r55KCizuP2fPjd+2R4x/bOh/a&#10;Z8J/EvwV8SNL8Sa9oXhTxto/gOPxLJZeHtNkkO27NrcxwpCsaJeOs0jyxpJczMVBc1nf8FHfjPd/&#10;D/8AbM0nR7/S/wBoy+8I6vrFzH4q8Iv4lurXQ9eiSK2CxaMIn/exlnZ5lydu9VXys4XpPgb+zV+0&#10;L+zn4I0vwb8Bv29E0nT+JtS0WP4M6a7PMwy4lmaYySPj5QzsSFVVBCqFHjH/AAUE8BeKPid+3F8P&#10;/FnxFWLUND8V+LLHw7pPhq4txG0elxGwLjzInWQmW5vr0Akq67CVbBRY7xWR51QylVatKUW5wvzO&#10;LSu9Xfmk+W+mq1utLbdPDnEvAOaeKPscLicPPD08LiIR9lGtCrJUoLki4yo0KftUlKcPZzfKoNuo&#10;pJSl718Uf2gPAnxA8M/Ejwl4L/aK8ZeE5Lf4L3ttq/wP+JWjyi5dofDxlgaylu8TB4y7vM+ZZJzb&#10;tId8LRS1614s+I3wn8J/8EifD2rfF/RbjVdFs/hDoE/2GG8urb7ddraWrWcHn2pEsXmXQgQsCAoJ&#10;L/IGr5k+K3wV/aI8JfBzxhZR/tK6bouh+FfA+saJoej/APCORaje3+hR27N9muL+52ywvKkSeYsP&#10;7mNlBiSNY0RaHw0+H3xF8c/sB+IdK174l6t4wh1z4bWLaD4eazKR6Y2n2zvaQWwhb98/mrb8hczG&#10;3TcG3V6EcpzT6/Og6LUvZSknLl5dNtOaTavaOkVe9+VJs+UzPFcG1uGcDmFDM4OhSx+GhL2fP7V3&#10;S5kqioUoxqqmnUUp1Kjio8jrzaiYvwOf9hrxB/wTy8f+FPjN4W1jSfH2leHl1e61rxRqUumpq+sv&#10;ZapPops4xeFZnFvMQilFW4V43KybgRg6V4W/4Jt+E/GX7OXiPxLc6X9hv/Bt3dfFr7H4lv5pZL4a&#10;ZbtBJPFBIZIG+2mTMcaoA2FI28V5/rWj/HHwp4Y8VaR4y/Zcuo9S8VeEPDWieH2vtJj1WO1uILe3&#10;00XckJCvp07RMVi3jzI5p1QEkMa+grv4PeE/gP8AF/8AZ90fW/CGlapeaHoOtW3ir+xtNhS3km/s&#10;q3jgaad1C4aVso8hBZtx4Y8eThslx2KjTXsvhVJe9CSfvV1GLs7bx1k+qer965+oZ3xZw/kOKxMo&#10;5pWl9beOqRjQxdOUU6OXTnWUHFzUVSqWjSVv3dWELRtTsegftwafrc3xP8VftIfF3xo0Pw9n8Jxa&#10;Z4e0W48Sa6LGHV2MflzXsWlxt/opAlTcpJeSWKM7DJvTyXwx8JP2c9U+LPww8NePf2L9B0hfHh1q&#10;bVpJPidqWqpe2tppsFzbX1rPFfJFAk0jToFKykBFJIJ5t/tS+KrLSfH6654m8eftB29x4i0+W5g8&#10;EeCNWW3023lgSNFtxFhmiRvlZ5BGw3SMdpZWFeK6V+yD+0N44/4uJrlq2n2vhW0jttD8F+KvF12+&#10;oNYrGGW1tpI4VEZIZwseVMZDK8Y2/N7GbZRiKWcSoUMI6vLKLklHnslJSk5S5W0pQ0jFWfvac3T4&#10;Xw/4vyH/AIh5hsZmOdrAQqUp06VWdV0IybpTo0404KtS9pKlW9+rVkpQbp3cqOrl9P8Ag/8AZutP&#10;2Z/hb+0S0d1pei+FfHXhm8tvD+l319d+ZpkSWl6PnMivJIkf2lMhPMd9hwCThvnv9nq91XwX8XND&#10;1mX4gfDXwZcfCvwneTWPjDw/pKjV9Xj1LRJJ4LjyriINqbQxujOkkauqs2dzYI6r4e/Ddrv4b/FA&#10;RfBDxVoeox+C7rS7fRfEGvSaqk7zROyLbyLgTyB0UFI4V8ltod8uVHJfDLw7+1B8PvEenftQ3H7M&#10;drqy2/h3SLS3+0eILQ3FlBY2cFl5yup82CZ47UHayrtEhBDCujMMlpupgvZYeUYXbkowrT5VzuTT&#10;ShGUWpJO1otbJ8u3Lw3xjTp0OIlmWa0K9eUacIurWwNH21R4anSgoOpXrUanPQlNOcpVKcr80oc1&#10;k+S8GfFOO4T4leKPF/xV+L2tSP49j1iDXvAOzTdGu7yS8d4r/UIpVEVk8siJLFKVBjK8AeUK+jP2&#10;4V8HeG/2bPB/hzxR4fi0++Njp+i6xrF54V0zxLrEC/YLjzbcXczRCR1nJDSpLEyupdMMcV4b8Tvh&#10;b+1nqvjlf2jfH/gWz8SN42uFnXRobxZYbe7SA29jJcxE+TP5RckLllYK6yqqOVf0v9pH4QfFf4h/&#10;ALw78L7HT31LxhNcW2s+KLyW5tYkluPJcSq0iutu217lscglNhO8/M9ZRkONhlOZUKtCblGEnBOE&#10;489m3F6+9dpq0VJyT5lKztc408QuFcRxtwhmGEzDDKnWxMI1+TE0aiov2MadWP7u1FwpzjJ1Ksqc&#10;Kc1OjKipQcuXxi18M/DO40NvAcnibUNIt7e38j7VrXwn8P2uo4++4a4vNXWWIq3AIfKghQVX5a9t&#10;/wCCeeufCWy8V6x4HtfE2i32m+H7ZZG1LVvCNhp+oPctLcxuseoW9zOtzE2cZeV/MEiCMLHG7NP4&#10;2/Zu8AgeK7j4Z6PB4htPDqw2mh2B8M+GNLu726eced+9bThmNYGDICu7dgKTuwMr9jj4e/EH4Y6b&#10;4wTxJZW+iyeP9QtxZaZc6havNFZRNdl/NEMXkKC8yhRtjcmJyqIuK78m4TxmX8T4OEsPNK0uaXvO&#10;MY8knH3leKfNb3W7+SVmfKeI/jpwnxZ4I57Xy/NKTrOdONOnJ0Y1atV1qSqyjSlCGIklRlN+1UeS&#10;3Mua8Wl7b+1D+07oegfs6+LtZuGk0/UPEWl3OmaTZrF5d2iyoYYCm/ClQCSdjFgoJCfIc+KfsA/t&#10;C3Pww8J+Ifg1401CZNe0l/P8O2cokm/10aNPAscCHynhwzyICXDzyAxxvFI1acf7OniDxJ8Rbrx/&#10;+0L4m0jWtA8J3Vxb+CfCdjp8ltprXLSsF3xuu1VASNmQyymTCiWSRY2R9746/s/aV8W7PR2g1640&#10;3xh4b0ua/j8XQX224sLpZFmjSXagkkTJc7wxkheQOhZS8T/S1srzzGZl/bWHw7iqL5IUJySlVp/8&#10;vHJ6qLdoezV2vdXN8SPxfL+MfCrh3hF+HWa5lGtPMP32IzChCc6WExCUHhYU1aMq1OC9osS1FNe1&#10;ag7wlbrfH/7QTfCPRbbWtYXVtWsdAiEHkeHrqF5ILiWN3lumnyAERIZNxbLBmQEfNlPz78BfCTUN&#10;S8M2/inVf7Qht5rlrS1d9Pt/LnkChYlhkubuEyOWEg2rGyApgZywX7ZvvhRN8S/gRYaP488Q6F4p&#10;8UaxdLr91qXipZrex/dRyHMwsmik2Rx3MwQynLudzqgJjXxnxB+xd4q+JN1DqDeH/h/4ZbxDrz3E&#10;dx4abUfsixBGeaJVluGjihZl3IkY3lj8myMADyeNsnz7O8wo1sPhHKEKbag2otSnbmTai1zJxenM&#10;+91s/wBH+jN4ieFnhlkOY4HMc6p08VWxKhUrpOdOpSoOXs50o1Jxm4T9rK01Ri1azhL4lzP7MF58&#10;Uf2f/HfjTwpovwuuLrXI5I2ksZNdtNMvItkdyfOit23G7AiLyZiV0RAGO5XUnY+Pfwp8F67+2vpG&#10;gX4vI4dY8KJc6l5d8IVju4tPnRDC8asI9ht7c/vFyHD7htJA9G+H37FPhe28T6L9tbQ7nSW8Qf2j&#10;cacfDtxDK1raOQfKuJL6STynEudvzb3RdwfYrV2Pjb9mX4Z/GH4ww/E/xvNq2tXF5BNcX2jX2rMY&#10;7GzhVzH5aw7JY8tHu2g7QzO4UhlFbYLhXPf9XYZdiKCkoV41IxnONoxU5TkrxhzO6cotu7d7qMVo&#10;8uLPHLwpwnixX4oyvNJU6mJy2vh61bDUKk6lStKlRo0GoVK/sl7NwVaEI+ziuRRqVqkpJw+Vv2cP&#10;hF4Q8WaJ4X8WX3hZby9vvjpoOgTXU1u80c9pJGDLboJD5RII+bcc4ZcfIzE+s/sqeFtc8P8AiL4l&#10;/ETw54Okkk/tC5vNN8I6lLHp11bQo7taxXFvtK23mreokYOeEcBXjJNdB4Y/ZY8f+BdHuH+Evxo0&#10;/T9Pt7ifxZY6Vd+BrPUf7Pu5DEtud900jMyqMLLtVo85G1pJDXY/Dj9nK++Flz421/U/iN/anirX&#10;obXTIfEc2kQpa2LOhlKQwhmiUJiJvLLRr+5VVCqMNjw3wvm2U5hSk8K4ciabi6Nm/ZypuUfelKTf&#10;MnFSjGL5uaeyT7fFTx+8PeMuF8dhqWdQrOvKEqdOcMfzJLGYfERpVF7GlCnThGnJVJ0qs6kVG1BS&#10;ctPkjSF+KWm/ss614J1rwtpsHh+++I6Wd1eTrcNcabqy2ysR5EZcEeVH94BmP775WYRMtnwj8ONI&#10;u9M1BdT+D3hO7t7fR9RudG8Saha+I1g1r+zrS4e5ltZFuI1EuIWJztiDRY2r9yT6r8HfshfCPQPh&#10;gvgD4jyQ+Jbefxdfa22pXsklmZmQrASrwuH2bDs2tMy75j0K7hU8d/sc+HfGeqaTcaN4n8QeG5/s&#10;S2+ux2erXc95rIuxDDJFvuZnVSIWl3YEsbrI+RtKivMn4f53PCU6soqbUFHkk4uS953i9FCycnK/&#10;M2nonyrlf2mD+lt4UxzbE4GOIqYeM69Wp9YpU60aMl7OHJNpOWI5pOmqbToqPLZyipt1Ycj8d4/t&#10;n7N3wn0Ce10O3vdU1zwdLZ6Xqs19/Z5hbTZiFeOUySPCglRZGjd28tk4RmXd4XrHxz03StB0fxV4&#10;PufDvg/xx4T8YX8Mdh4d8MLDB9jntol+1uzK2SrRPGq5ZvmLBVxz9f3HwF8B+MY/Bs2q6XdXlv4J&#10;0ueHSbGXymjk8uO3s4ftShWDMqpHIT5ceZFbKsCVXo/AXwj8DfCXQ9YtPB1ndyrqWt3+q41K8ikj&#10;3yLDE6RSIiKELIpWHazgBfmYcn6PHcGZtmGKblUjDmjCDlZSadOELSjZwkpKonZqVrJNpn5Xwx9J&#10;bgDg7IXHDUauIqQxGIrQoKcqNOUcRicQpUqjlCtSnD6tKm5KVLm5ptQmpRbPk39nXU/gnrPj7wR4&#10;I1T4yaxLH4O1zSpvBaSW5jtdT1C6kjnuUjVrESJGt0iR/v5AHU7lMYzn0az+Dun+Af20/CPjSyuL&#10;24vPE9v4gklt7qSWb7KIdECqijbyqu0hULuVYzGighDn3j/hANG8E+K/FnjnS21KS68TtAL5P3B3&#10;f2dYPBBHbnapZX852I3NnEeBnGMfx58FPh58S/G+marrcEjQ6NHqFjHpsMJWCZbuGO3liljJaaJV&#10;h4VovmDjfgnitsDwfisPk8aU4wnVhXp1INKUbRp1ElduU/8Al0uWKteK0bk7yfm5/wDST4fzzj2r&#10;i6c8RQwOIy7EYaun7Oq5VMThm5KFONGg1bGNznJztVleaVKD9mvlv9ov4jwfBj41eJdT+A/iuKW6&#10;8RWtxb+LNMs/PVdLvUfaLqNoxEqzgOcOS8iTfaCwXeFr3L9lmP4OeGPg3Zx/Dz4j6XqdrpcLX2p3&#10;jXEVrcWk2UaWWaNlR413RvsklVm8qJQPMWNd3efDH4GfCr4K+H5NL+GOnrawvqNv52ofaRNPeSwJ&#10;IGM8xJCSBkLeVhY03MFRQzmodM/Z++EPgnWtVk8N/DDSdJutag+xX8cmnv5Lw+XAvltCT5WxgTvj&#10;iXDsctkqMduS5DnOXZw8fKVN+0570/ftR5/efs3155WdS8Y635bLR/N8e+MXhrxbwHDhajDGJ4Z4&#10;flxVqCnjlQTpx+tQXK4KjSlJYe1Sq/h9qnL3o/GHje1/ZC0L9pHToNJ0tZ/A8Ok3K6xBY313Kst6&#10;IbsxCOUEyS5b7MQVIjJ4OBuY9z8OPiB8IvBH7T2k/Ei0M2m+E/Gngz7Hp0mqSPbf2Obc/ZY0kdnk&#10;WQH+z1+YOQEuUZiCrCvpy0+HHh7wXLqt98P/AAT4f0d7yzv4JZtJtVh8xFLhQ/kxq8ecAYZdnDHJ&#10;Eak6XxL+GPgTx9e30vjjwTpWvW0dxPJZQyQDcrkTACOQxsuXeKIs4YZUANjbgedh+B8dgpPE0J0Y&#10;1PaKrFRpNJSjaPI5czfJy8y5VFWlJy8j6zNfpQcKZ9GGWZlhswr4WWDngq1SpioTqShU5putGh7O&#10;NL6z7X2UvayqWcKUabja7OG/Z3+K2pfHXwP/AMJ1d+HbrR/+JsscVu83nblSFw04aJIyUZ0ZCzRu&#10;BtZNxO7PcmygmVQ9uvl+QqRrJIxR5C7H+JiqnovDL8qrgDve0bQ9F0OJfC+h6fa6TaWtxN9ksNP0&#10;7yBCTBK7ARKAIwWDE7QAWOcZYBrdjYlLaN7dZFMcixyTx7PL24PAdRyWDOu0nAAGSQc1+lZfLFYf&#10;A06eLqKdVRXNJKybtq0klZf1ufyPxRjMhzHibF4nIsK8Ng51JOlScnNwp392LlJybdtXq7PRNrUq&#10;3MEV+FtcPLdNJI0bLGTIVLZ42nccbOoD4PPysxJVdJgtoPINovlQ2sPkrLN5gOCFxk5VTyOCVPHT&#10;sNAafLDA1pEsKxyOytJtjCs3mP0U5VvQ4Ixt9ck30064+1NLdOu4PGyR7W3YxndzhlHQY5wec1pL&#10;Ecuz0PKp0eaSPyV/4JZeE/FGr+KPipq9jeQwaf8A8JRC0yiVN13NFPdMLd1aJyIWV23OCGGEADAs&#10;K+8/DlzZXtkFsbXyfIHlPYsoRrcgf6sqOB2xjKkYKkggn4x/4JHaTfWd58TLi8Ef+laxA2V7st1q&#10;Ctxjpxx/9avrDxzomv8AivXrPSPA/iJdJvrfbLqWqCFpNtoM5h2jAZnJwAzLtG51JKbT/NGeU+XM&#10;aklrr/Vj+p8DJTw8Y7f11NDxRoTePdLvPDFpeG3tmjMV9dLCsmM9Y1DgqX2nPzBlXjcrA7Tw/jzw&#10;dN8PPDMeieBdsOkwqEh0gnasOZCzMj4LEncxKuTk4wUAIPo3hi/0vQLOLwle6SdL8ndHZK0zSwzr&#10;uGGE7AbpGL8rJiRnEhw4G9q/izRW8TxPp9rbqyR8yTt91D6e5+n6dR4bir8z3PRjKXw9D8x9MbVL&#10;z9rTxdKsE0dulrcG4hkk3fvjeK2ThtpwDgEbsbiPr6ta6HIW81tOtztz98MCPrhh7fl7Yr2P4Tfs&#10;faL8QLfWvGaNDa6x/wAJJd20mpRRM7SQgISpQSBclwr7uSPujAJA7fTf2JNWtiw/4Tw4ZiTt00jO&#10;eP8Ant6fnXy2Op4rFVFOnB2tY+xw2LweHp+znJJ3/wAj5vg8O+bxHpVszMcMzLtzyckkt6fhirh8&#10;HXkpUrpCrtwymEkZ5+p/pwMeteneKfBvgPwr4gufD9z8StS1C5srqSC6W18NjbFJG5RkBe4XPzA8&#10;jI461U0qx8C30vk3Oo+IgxXG5fDdqxLZPODfenTp1Ppz5Mo4hO1j0fa0Jap/gzzseDdQjGwo3/A3&#10;B/pRXtth8KPD+qWy3el2Xi6WM8b4/BsDc/UXmKKm+I7C9pR7/h/wDlfFLWGpRJaRNMt9809iLWVV&#10;nTZglxkgbfuq275W3bWyGwavha01+41H+0vHsdrJqNsrG1Fiz/Zo0bqVDEnzAPkLnnBOAu91rw/4&#10;+ftF+J/hebTwd4Tna01N7Pfquo3mnC4uGPmEx+SS2xhkSk5QqqygIFKsq4ngX9uLxjeaGtj4l+Hq&#10;anfWcmyTVrXUxbiQ9m2JFIo7jhsNg8DpX2ntqcZWb2Pz6WOw9ObhJn1TezwODHJjayndu+nWuTtv&#10;FWrXsbaheXf2Xw+k4dNY2nzLiEFe2CFhJJzOdoKKxAAKzHi/A37Svwx+IfiK/wDDfiDWLexeJVji&#10;sb6MxrMhUs0jux24I2rsOACSMvuAHq4u7S5t0ubaaOSGSPfHJGwZXUjIOehBHOc811xvKKktmbwr&#10;UZK8WmX7Ky03Sbb7FYWscMYLMI0XqzEszH1JYkknkkknmub12fUdM1q6tvh5Haya1NDHLPZ3kkn2&#10;UKG4d9mfLdgGQMBltoyHEWFy7iXxiNdWz8JssOhQ23lXbeWBJEQpCCzyNuV43eYCgwoUZ8wDrfDc&#10;+kNpiS6VMskLKF8zcSzFRsO4n5iw24O75sjB5p2K21J/Ba2WqWcet3iebqkKtBeTTQBJIZMhpItu&#10;W2DIXADMCoQ7nG1jc8SS6ZFpzanqc6Qx2ZMyXLMB5JAOWye2CQexBIPGayfEepnRraS/01f+JlcI&#10;sNrGkBkads/IpUEZUEk5JUKCxLKu4iPwFe654p01ta8Y2cNrdeZtbRY5VlWwZedrOPvucht2ANuz&#10;A4LMeTH/AHit4c1rxJ4v1CR9b0ufS7K1kSWG3KuHvo2B8tpMqPKXIYmEMX4XzNoJRtXX9NN7ozQW&#10;SxxyWzJJZrghVeMgqCFZTt4wQCMjIPBNV/FaR6ZJH4qVBusVYXBWMFntWx5igiN34IWQKgDO0ark&#10;Amq9jrUfjK2aLSLhmsGVfM1CF8LcBlzthcHkYxmReOcKS24oJdBSd9UR/wDCYWviKyFp4OuftUjv&#10;snuoxhbPjLb9w4lAx+7I3AkblAyR4n+018ONE0/wxd3+i20Vv5NvJ/aEbJvF3AY2MpLHL+aQN28H&#10;LsiCTcFUr7dp3hmw8HvKfDtqLfT5m3NYQIBFA/8AE6KPuhv4lHG75gAWct5X+1Fr+naZ4I1B1ha8&#10;muNPle1tbdd7TKF+Zsf3AGGW6fMoGWZVbooXjWi/NGdT3ou2x+sn/BPzXvE3if8AYP8Ag1qng/Xb&#10;WKGP4V+H7R4ZGDFmg063ik3L6Boz+A716lFb/FS6kdtDvdNjmVW3RK37ogMPmK9ABnHbrn0NfL//&#10;AARI12F/+CXXwxudT061eW3t9Ug+2TX20z7NVvI0GwYPCqFznOF74FfRk/ibxJrV1/Zum+HtM0+8&#10;tWCxvLc7orsZ6EFgc8emDjcSMba/aMNTqSoq0Y7LVpdvU/GcyzaOHxVSLb+J6L1I7n/haNn5jR6t&#10;pdvN5h32d3IBHIuM4G4nnjn1P6c+fEHiS6fz7jxtMjjm5t9LkLRM4UHcOoxwRnnv/dNbWtHWr2XZ&#10;rfhKzhuGxFBdxyxtGEwo3Lk8fMqjb0AyAcYzknWNXtDGupLpfhORpNyahpdulwsvOSmwZ+XqckkH&#10;njg161GC5btK/l/wLt/dc+cxGfz2V/mzF1D4S/C7xb4ntPiF4v8AhNHNrWmqsljr19pUMk9u0UmV&#10;8syAuArsWVkIIfLLjGR0cq/DK+8TL4zi+EOrr4ks7FdMOry2iCa5tjIZRC38XltIu/YMKSc9xWRq&#10;OtajeXS2niP4mzXNv5hLXmkxYWBRuZQVALbd2Cc5K4X+8SIdXvCzyXXiT4jzX2n+XLGmuWsLxzWf&#10;IOMHd/CuCcNncvHIzX1GjOpzSirvXRPfa+yu7d9eyMq3GWdSoqmq0uWMXFJybSi9XFK+kW90tH1O&#10;nbW/E+nRSSQx+H/DO2TPnW5SN5D8qkONxZmwM5A5C+hArzzxjovwi1XxXZ+M/HPgPSda8Swyebp/&#10;iCHR4mvEjj8zZJ5xUncpAYZI2lSMqeRatf7F07/R9P0y68YwI0brHNH5U6t93cxYBH2ruxkjBzkg&#10;5NTWml+M5tNuLXw9pv2yxuIZDfLqMCpIiOMKguFjCjCs3zemADiuqngcKvjitGnqkvzu7+tjz48V&#10;Z1h6rq0K84ykmm4yabXVNprR221VkN8Q+PJ9Jt2lm8Ow/wBn/bzbTa5MxhZpAyp8p29SSpHO084z&#10;ypg1PxLqOmzWtz4k8YWv2e7s/P8A7UsZg32W3bacbogdxB/AnOGOMmGXwXrkdlHrNh4mlFulussP&#10;heSQfZoY84LLlDg/M3LYwMD+HaczTvBngrSbee/+HMl/qVv9pcappt4HYXE4c8KNpUn5WHAB/u5y&#10;K9OnHC2t69P1eif4M8KWaZlTlzU5tfN/oVtT+LunWdtI/hvT9U8Q273hjsYY9PMzIwfBlVwQ/lgZ&#10;bOSFHzcBcizc69r2saC2seKNUW80FpliWGSBZPtbAFCA6cnZjIyOF4wCGC7Vkmv+Lpo4/C/hu28N&#10;alJaBmh8wS2sUJB3Ix42MVVd2AfmK8ZBrNm0HwZJq1vPr+oXFhrrxulpGrCW3jIUfOY3GSHXIBIO&#10;CO+Bt2jVwsbe7Z/Jv8NvVefWx5FbGZpUvFzbj6v9TnRqcl3Zxw+FfDsN9o+m3AMmpXkIa4+1E7oo&#10;XkwA6hGAIfK4PK9AHWUWm+Hb260rw3eSa5rFuwXVNH1dZihmkG4CHndldy84JAVsLkHy+nudO8Wa&#10;i6JqO7wtbsuNPutPdmhviWX968LDOwblwzHIPTJPNfR0tm0W10/wvDdapHb3jRw+MbFhHIbiSMq7&#10;yoWJYA7dxzkhEPO4kbfWqfLZfg/ze2/RNP7jzJRxEtv6/rzRkPof9jTjUfEerPrFzbqrS+Fb68ik&#10;AuGVYwEDuGXYCD0L7YwyhmxjNvtDsbnTbzWfiJdyvY6RKW/4RfVr8tJHK+AphkkKsEVQrcAkfNjc&#10;Dmt+Tw/Y+D9VK69p9j4u1axmhVNS0++Md/DNKpSKaSMg/Njdli2AFYlTggaN34IsbK1tfFnjTUZN&#10;fkhs0fT/ALI0cOqW1xIg7MwVnIjxyc/uzySCRH1yEbNv0a0+S7ddXZ66XMJU61RtW2/q/wB5y+os&#10;NV0eHxR8Rf8ASNDhmW20HSta1H7PfrMUUtL9pDD+IDkl2LccNgmOwUa9DYfFbxZoGqpaWcLJpbpM&#10;YbxUiJj2ToEBlO6NuZByFGeuG6i+8L2F3DL49+I8U9w8v+j6HaaUkdpqELtgNGY/NVGIZirqxwNo&#10;OTyQq6VHd2UfxN8cR3nk3lqBpN9psPmJLbKyBGubdvlUgMCrKxysjHg81P1ylGP4aflHz/me/dPp&#10;n7Gs9LW0/Xr/AJee5gXEurafoq/FbXfs/wDwkmru66abOPyXYyfu182Py2RhyuWbkYY8DKlr+DZv&#10;Ct0uhadqk1p4k8SKZL+fSY2jtQF2syy2ku6IEqVXA2mTrkleOuuNHfwzc/8AC0vGtoP7UuHf+zxY&#10;KGh3uvlr9otjtOT8keRvB2rgBsEu1LSPEfgzSI7a3kjXxfrti0VtNaW8l3poDKfL3of3iDaqMTht&#10;pXq4GTm8whdKNv006f4Y/i90jT6nU5ru/wDXXS2rOPtPDGj+I9Qsfh9A63ekaHGupaislnJLbSMp&#10;/dmGZQJYsGLhVY7BtXpgGO01C58vU/E0/iKdZrxJNO0HzrpGuFjQp5zI5UCePKxhg4ydqlTnr111&#10;4InaCy+Fmm3ljMY5o73xbcGSWFY4wFJFrdIc7Mq21ZfvAYYjdkammWon1G8163SaPSfC8P2XT7O4&#10;0uKS6a4wP3iSMRHJHy5ZU+bcgwdoKmXmVO2mv/D+m8nbpstyo5fVvov1/q35nIXPhPT9KbT/AAFe&#10;KZLPTl+2+ILi1nb7PNcbhJueCVTCWyrfMuOfvY+XFK68O6prWkz2d1NJJN4u1DbZx37SXAgt1Vs7&#10;JCRcQjy4fvbtoyNuMgHtpvB+p6pp+l+FdaEzah4gmkvdclspVcW0bE4Etu+844wdjKvynHGRVry7&#10;O0j1jxiqLFHpNr/Z+g29xd/aIXZdi7knjHmLzvUA5YBCcD7tZ/2hbbV39bu+/wA39yXQ3/s+Uou/&#10;b9P0X3tnHM7Wyavrlr4ouJ1t/wDiS6Cy6sibGlLxACTacqxUKN6t8y5GXzT9V0y00+e81S2hhZdH&#10;0yOwtLixk+zyS3EzK7K6KTC74J2kKHwo25HNdpo/hq38P6XplprllJNceG9Ik1LWI7jUIz5tx5Sj&#10;as4Kq3z5B83AIAOMc1Da+FLny9G0WVZma4nuNU1ZZCI7nYgdVUBQI5PmKNz0HTplY/tCnv8A1b/h&#10;k32941WXysr6/wBf156HK3/h+9sbW6kit0WPTdHt9Ns2VZXtxdSozSARyDZHkMh3o2478n+Gq1/p&#10;kmj2mueHbnUJrxYrSx8PWdjOwukRSqmRArqJEBDtnfI2QQAxACDu9J0eTxDJZwSSR7NS1eTU7iRp&#10;BxDCQsbPbEHCkLuBRlBBAYHNQ6RYQ3d3ZTXbyeXeXsuuagkcn2iFIowyRqYplEkQKRLjkgOW25AU&#10;1P19LfW36f8ADP7+hrHAc1rL+v6aOZj0O8l1m60XazQzeLrPS915ePM1tb2o3s0c+1JEYlE+/uIJ&#10;BJfG2ktLa41vUrbxF5UMk0mo3WpLiQrNGsEHkRjdCoWXnDfOvIYHg/d3bXT7+20ux1+eD97ZaPfa&#10;1cC3uJpI2nlQhQVVRPEwB6jcy7sDfjm1rHh/U7PSIbRLVfMs9Ps7RYZkkuITJLdCVglxAqvF0zmR&#10;AAT0xjEfXIp/h+n+T/Nm0cDJ/L+v8zlD4diOg3Gj2S/ZY7rRYkH2PMaedesXfchV4JP4QAI1cHIG&#10;Tir0nhObTNSkvh9nWGbWpitvHdSi3lW3tjgGHc/loDAM7Au0kFQDyew/s+7OtWarOI1bX4LeNJJG&#10;OI7SJchLiJcEBiwAljUkBiCOtVk01bbw/wD2rLYoPO0m6uVLKPMSSeXZkSITFIdsgxlAGO0NyDif&#10;7QfR7/r/AJNehr9R970OV0TQ767/ALPtJ7W5AYWMCqXdsebMJvkkwHQfui2CWYDAKkggmn6LeXli&#10;07tdR3TaevnSW11IZZVmvmxwFCyA+WQVkjIAYbicgV2lrodrpd0qLBG0MeouY2htZIpC9tay/wDL&#10;u/yoS7lgQ6k5GCM8Rp4Q+1qtlPp8NvbzXkCz7bMeTwLm4cCEsJIsl0J2uc5PAxgksw5tb6aP/M0o&#10;4Frpqck+gXT2N9qEcUohmhv1+z27Msbnz4oQXhx5UpPlgD5QzDo+WJGte6Pp1x9qlv4V+z6hf4j8&#10;7MkaO18sIkPR1XOPmD9ORllxW3p+kkPp0i2nmN51s0kiss0atLdTynklZkACgbvmGWHy4U0f2X/a&#10;moR31lbyW2WtJP3zFQ0gv5JC3nQ/MDgbBvQrhgMv0MSxzvo+v/DHZHB90Yd1b2tt5ZuS1u88amJf&#10;tUkcRDLdyR4l+VWJKMFQ7m+bPzA5qjemw0C0uP3LXTLJN56W6hPlhW1kLiJv3ZbDDYAoyOQQMCun&#10;fRIdRsJ7u11a8hMMcUsMiyQK0uLKd9sjKpikP71zyqs2OSMGqTfD3TrO1bQItPt2iaSSNgsaPDIH&#10;ktI8tDKWQvtQYdXDHAPPADhjFzav+v6+82+qT5fdRzUum2WpW9wlnBJ5UdrM5M37wKqSSLtckGVP&#10;u5zu+XgEggVPqWjQjVJXMszczFo1utyyZMhUkqSrAZOdwPQdcgt1F1pdxNHJcWlsIUMDefDErMdu&#10;GZcHeHQHJXADjBI+UAGo9Q0yNtXuFkheNltnkuZppj5kK+fcLkndz9znegJAIDOcgdUcZqtSo4GV&#10;7yMey0OHTZZbfaYVtpJEjR48ZCgnOMGMk5yTtU/KSMdRpSaO0V3JcCVf9Yi7VB+UYbK/MTIOinaG&#10;btmtrTtMlihFu8LecNzLtcBlzkcEhlZdp6gKNxHJBGfnb/gp/wDt72H/AAT7+CbeMNG0KTXfGHiK&#10;6e28GaHdMzQyTBX3Xc6kBvIhBG4QsSzPFGTGrmReWtjuW8m/X+vyPUwmWzxFSNKnG7eyPbG0WRYm&#10;mupfMwp8ybaGMnzE8sowwPPEm/AyMhRxbtdO3QoguWd5poyAkaqmd/yjB/d8ZBPyqxyfpX84fiL9&#10;tX/grB+0j4sa7/4Xn8ULu5kuFWG10PULixtVYYZQIrXy4VwUVvuj5st1ya+jv2Qv+CxH7df7GvxZ&#10;0H4Y/tvS6t4i8F3lxBDfSa98+o2Vv5m1r2O6VGe5aMjdtk8wsqlVK5Vh4sOJstqVvY89pdNv87o+&#10;yfAuZ0KPtklK3r+Das/wPa/2J9WXwDe6hpFlazTSeIZJTDJb2xk+yxR+ItbhnupeFxGgaLLE9xnA&#10;NfY2iaXY2enxRafL5kbEyNNuDGZm53kjqT+WMAcACvmj/gnxLPcWGrX9xetIJtPZHjZSGLr4k8SM&#10;XK9ifMAOO647V9D6/bDwNp82veHrqOD5mb+y5gTb3MjyhztVfmjlY7xuTI3Ss7pIQK/JczjKWOnL&#10;fU/WMMoqgoos+K0EukN4fsba1uL3UN0dva3dwIUlIRiVLYbAwrE4ViFDEKxGKozeGL34fQ3E3hzz&#10;rjSmtpHuNPkneaVZwMiSJ5WLHcAEMbNtACFdm1hJX+HWueP/ABdaf8Jlb/CfSYdQ8mSJpNX8TBJr&#10;dGk3CBfJt5timNbeVs7CzOOGVEkaxe6R+0Hc6be3PiLxH4N0+IK5jt7HRru8YR46GRrmH5sd9mO+&#10;B0rzp4Xn95tI6Y1XD3VqZ/7LV5pd94T1eOyvYZJYdekN1CkgLws8EL7XXOVbB6HFeoQoBPkjrXlv&#10;wH0f4hz+BrxNE8WaHaiXUG/fSeHZZZN/kQ/Pn7WF6YGCp6e+K6nw78NfiTahv+En/aB12+mL5X7F&#10;o+mW8YH93a1tI3/j1c2Bw8PqsG5L8f8AI6MbUf1qWj/A/RCxtPsenW9rsXbHbon3fRRT7JAJ2JXv&#10;XFa78DvGWraJJod/+1B8QDHIMSTW6aNbTEe0kGnIyn/dIqj4c/Zi8Fada/Y7/wAefEXUpFbJu7v4&#10;oa0kjcDqIbqNPyWvHlSp8zfN+H/DHTGX7s9Zhhj8v5hRXC3Pwg+E2ieXZan478VW0nlgrHc/FPWV&#10;Yr6/Ne5POefaij2EO7+7/gnHzRvu/u/4J/Pn8ZPg9f8Axs061s7mZLDxBZSNFc31nbn7JdWo+YMW&#10;bLRg7wVjJfa5lT94o84cD4Dh8L+HIbfTNKvF1DTb3AWTT7cjcm//AFxznLAs204xu+VsoxDeS/tD&#10;fEvX4P2pPiE2haveWVta+OL4WawXhXZ9nupo7ZgTkZjQ7YyQdgJAr1b9mWzT4m/DyexFxavJZac1&#10;lp+jLJKZdOlLXYjvGdJAmwtPeq6lAcW9qyjcEJ9bE5bWo1nN+7Z773Xpfqv8jzZx+tR5lHVr7/8A&#10;Ih+Mv7OHjjwrrH/CZ6BZSahJJeRrYX2khvtCSAhUUqPmVsoAGGQGIGQSM+mfs9/Erxde6K3hf45a&#10;VqWj3Ud35kcl9pps49RTAYkA7XZVwzS7V8tFCbyA5U9H8C/CTeD4zomo6TDaTWbND51qzmHUJFRA&#10;bhQ7sqPtDBgoA6gYClV9HvxpMdp9t1HyVSBGZppuFRccnPHGM1VGP1eU4t+7LddE+lvRlYXD/DWh&#10;eL7Pt1+9F5JRt4G7PSuV1qfXtN1e4uPh/pcbTS+XJrDSr+6IUgfIu9A1wUG0ZZV2qvmMAsYNWztd&#10;YspoNI01pLPw3csFjkMm24hLYIhXcQYoTygHMil9qBFVSvcQW9va2scNtbqsaAKsarwB6VHLzaHs&#10;83LruM8O2umC1XV7GdLyS6t4i2qbkdrlAp2NuX5SvzMwC4Ub2IAzVTX/ABVo/gPUoNW1W6aO31OZ&#10;bZ1WN3/0knEeFDfxfdO1GdiUzhVJGfB4ok0LWf8AhForea7muJpDpvmSPtb5TIySTOzYKnnao3CN&#10;gEjKxsa6Ky8I280tzquuSrfXF0rRhWj2xwwH/lki5OAcAs2cu3JwAipPL2H8Or2KOpaXc+OYk/te&#10;F7fSyzGaxkUCS8wcKJMH5YjjcY/vOCofaN8bVrme4+Hsiu6q3h8gAsq4/ss++B/x7+/WHv8AujmG&#10;WPVLjwddJoviG6eSwlcLp+pzyZK+kE7H+LskhPz/AHW+faZZLi7vPGDJaaJMq6RNDvuNThkGZ1PS&#10;OEg9COTL2UjZktvjtRv6kylL5Emp6/dPK2leHII7m9WRY7jzP9VZgruLSkdwpBEY+ZtyfdUl18P/&#10;AGtPC1zo3w78Wa54eQTTXXh24W+hbG5sJIweMngfM7Fk4Uli4wxcS+wPBH8N2WHT9Lhh8O/MX+yw&#10;qg05iclmAwPJJJJfGYzktmMlouT+N95pP2JtJ1EGVr6FlW0VNzSqpG8Y6AchSzYUF1BILDO0Y2kn&#10;2J5pPRbM+3f+CLem2mtf8E0/hdYTaQsd7JHq5huprwxicjWb9cruABwPkABJJUA4AyPpvS/CkVxI&#10;vhbXvAE1r8u9Jo5leOcnCKCd24E43EAfKcerZ8G/4Icx+FvFn/BL/wCGunNHLdXWnPrkV0beQZtZ&#10;DrF9IIh3VykkbYHaUE9RX1Hb6ZBOzaF4m07UFkbatvcCQrI7bsjqzYJHue+StfsOHxjjh4rsl3+9&#10;a/gfz7nOHvmla/8AM/zOEu/CcKzy6f8AE34d6xBD9oBt77S3zGuMYbEbZIyufXA+bKkCmLZa34Ut&#10;7eC8+FEmpQXn/MYusIbfBXDFCoYLgs21sYCndyuD6J9jsLQf2dqmsX1jFGyrasSHV8NgZBBAxgd/&#10;m689KjuPDfhzTA0Wty3V1p/O5Fj/AHG3rlieMcjAHTnkjpv/AGhL7T+Wv4a/qeTUwfNt+n4nHyad&#10;4p0raui+G9M1Tw3fSv5i25/0rawb5vkzjBdlGBhVUc9TVg6Hrtnctrdh4Bs9VtzJuXTFYLHbvtAw&#10;P3fIJHOMr3xXSNoumaU41LTNHnktZmZbqSO4ZmDMVPG4DICjHbkn608+HtH2trHh3ULqGCBXe4tz&#10;IfMZiV+XbnPRduf5gk0vrt16/wBa2e/mY/U3GXp/XbY5PTdO8TXzNL4V1i100QlhfW80ih9xO4xo&#10;cfLgrgc4ABxjJJifStIurz7TZ6/caXqkSqo0uWRhaS7XD7nXlfmDHb2x6kEDsho3hzVD9r0zR7j+&#10;0Ydqx2t8pVdxJ+ZvcAH1xjgZzXj/APwUI/bE8G/sLfsxeJv2gfiP4Pknl0eGGHTdLtbqKKbWL2Zi&#10;kVrHJLjaN7CSRkV3SGOWRUkKFTf15uXb7vx3ugp5dUqVI04K7bsl66fI6W+8M+GbbTri/wBcEPh7&#10;Urb95fahcXCLbyqp+794qI9pz16jOepK2Omt4nXS/FnhzTLbT7j7O0mh6pYzJLYXm4DbMxQgOCpZ&#10;unTkHjNfzW/HL9vD9vL9vb4n3ni34jfELxJqFtJerNZ+FfD7XMWl6fhiY44bOJsZRW2iRy8rBQXk&#10;dssfVvhV/wAFHv8Ago9+wx8MYfCnheC+m0C3vlka18RWUs8OnQgKPKjZCjxwsQuVDAbo1I2ZffjD&#10;iDA+0VKpU5W++q9Er3t966WR9ZU8Oc2lhfbUrSel1qkvPmtuvT5n9A3jDwEusaPHbfGbWbW90qOb&#10;zri8t1KnzVYFVPlkbdswzzwMcYOSI7KGdIZz4G0/TPFSx3DJqd9aTx/aYVCq6QAxsrJIvyerEbSA&#10;o24+Xv2ZP2/tT/aW/Zc+Dfx2+H9jb2fibVPi7p/hT4ieH7KFmtTM1vcs8aNcJ92ZJLS4V49/lbmi&#10;81mSQVu+ANe+JPgT4DfG/wCIXg7VotFksv2mbpJuXSSTzdW0mHy2fIIi8qWYOCMkNweDnz8VxCsL&#10;UdNq6je/RaR57pLXVea19D6jh/wTzDPsvp4iVeNOdadOEIu8tZ4hYd88raJNqS5VK8X0Z7Z4li0P&#10;wN4Xk8Z+OPFGlyaZLD9jXSLu6hsTatIwUxxNI4VCWG1ACD90bmHI0dP0Pxj4hZtJ8MWFv4TsZBIj&#10;Weqb2uJ5GKtmJ87dh3ElVJwSB3xXzN+3P4K8WWv7QN6F03/hILTwb4Du/F9nY3HxQ1KC4nvLQIqa&#10;hLDDlLeODzNsMMBtZJpDK4nYFkTsv2dbuPxpHF/wuUWGk6pcfC+31exhuviFr+uSyWl5ErRMmnXm&#10;5ZIGG4OIJpnjKrESGlLNnDiapPHPDyglq7P3ne1tly8t9erv+B7eI8AcPT4Hw/EFHFyqOdNVJxjG&#10;g1TUtIqV8Sqtk0+aUacviilFyUor1K1fwd8L9ftfhd8OVTR/FF0s66I2qWe2DURhXmFudqJchAm9&#10;/L3tGrgkrvIqzqvgzwx8JoLXXvHtstn4m1BjbWE0t0fsiz3cqqYAz4jQPM6Ku/O52Aw3f85U+F6S&#10;eMPED6lr/gmSHRdHuY9K0vUfBem2f2i4Om3tykV/FaXarZXErWclskTySzRuVaSKAsgf6D8GaFce&#10;Bv2XfAXwq8J+HbXS28ZfGjR9E8TWd14RsZrO+s7mKOWRrVrqe/tb9PNMBhvUwD5SARr5bA8GH4ux&#10;Nb2rnTtypu97t2to30TfNo+n3n3HE/0VMn4fo5fKnnHtZVp04yXsnCKjPmk5w1k21TUNOV++9ZK6&#10;R9IeKbvwToc+oeMPin4x8O6f4n0ya3t3t11SO4t9NluNpt1myhNuXaQeXJKo+VlOGUYKePPiB8Kv&#10;gxqK+MP2hPHeh+H9S1S7gtdI029nCxSoz5iYMd3lxM0Z3u21EYMWYZzXxnb+JtfTw5eftLfDzwJ4&#10;0j1LWtJ/tqbUNS02zvNI0a50q3MdkWMvhi1tI3Cho42s5STIcEhiu6//AMF/PFfiT9nPwTp/xT8I&#10;+DZp9Z8QX8VtoviSa81Rx4d1GF1NsYIheC0t3Fut2wBgJLuzgZLtRR4nxWMw8p0YJWcUr3StKTSt&#10;ZN7JN/PU4M0+jjw7wvn2EwucYyqqVSFdz5FTc1Uw9Om5xSlJRs5upyNtylFQ9z3lJ/V3gr44/ALx&#10;l4kutXh+M3hGbxBa3UlvZ+F7fxFayQvKyqyvH5bHer7kywLqGjOTuRwuV4b/AGmv2etH0fVvifcf&#10;HDRYtckkvLaHTde1aGGOWZGjdkhlkA85QrL5bxlkKuMblAA/CPwf+yba/H7UdT8f/Ffx/wCKde8Q&#10;X980uuaxdakJJnmOGeR3lV2J45ZsnpknNe7/ALKXjL4m/s+eNtY/Yvsnl8QaP4ivNH1TRLjVPBem&#10;a5dizYy2c1tDDdQl7m4ElxH9nRZI1BS4UbDOzDnqcX05U5xg7yim3dOzS2S1XXe78zn4f8BeF84z&#10;qGFqVK1OFRwVNupT0lvN1GqTteKvBRi1Frlk5J3X6/eFPi78E/EnwovLz4Y/FfSNSjXT11DxNdWd&#10;5bxXmj2Aj8x5JoiN0ZVElYxsobPmDbwcWPBPxE+EnxD8V6H8IPBni+bUbSPwUvi63WTSZzcSWjXC&#10;xxzkNCoAk85eGJdlGQpBLV8y/s3aLompfDr4zfs//EbxwvhHw/Yjwpa3niLWvANl4T1KGyneaWaC&#10;+EJVi8qBbcTTTS+YJ93zGVo34z7BaaZ+09DZ654j/ZSjtb74frH9s0fTkutEtdt+kmHiMi/6ewyu&#10;cDEBwoDbcZT4qzBUKVTljeT1115uZxdt0kkrJtvv0d/qcP8ARr4KqZxm2XQxddzw65qVoc0XTlhq&#10;Vem5Nwp885OpeUIKLSjaSXPFn2t8T/i74H+FF1o+pa3ezSa18RtWXSfB8OlwrMrCSSGATdjHGrXE&#10;PmZY4yu0Mx2nM+Hn7SP7N3xQ1uPwbpfxQ8N6afD/AIgksLHTtU8RWAl1meKYxrJbeXcuzQyMymFi&#10;FeQDOzawz5X+0p4D0D4y+FvhX8TPhx4N+HOp6fpvibw9oUPieGG8fS7lzeGB7S20oL5BsfObMpM5&#10;cxq0JyUVx5d8AtR8KQ/EnQ/h7Y6rNLcaxe6HF4fg03wPcx2OqPJrWkPqEmnzmIMtjY2+gwQiS6Yy&#10;Sut1LI+5iqVi+IMyo4xQioqNk733utk7/JNXTbtfmsjLhb6P/AWdcIvFVq+I+sxlOM7KP7twqtNy&#10;glLl920pxm1KMYzm7QhJx+mJ/wBoz4b3nxHj+EDeDfGzeIvEEM2p6pbHwncn7LpsAaSWWPCCS5jY&#10;hoUe3WRZXChQS3zXfA37R/wn+MGueMtL8LXkv2XQbDRzJqureRZ2sem3du96kiNJIWKiGJnk8xY2&#10;UEHpkr8+xfATxBff8FL/ABdeaN4P0PS/M8L6lrWn+FY/EF5b/wBqWkmoyafK7X9rE1xY3EzGS6/0&#10;dJCsbrbHCvIV3/gX4T+OXgX9pz40Wtrruj6VYeGfB+jDxTqWoXVx4h1Czmi0CVbO9tnaCD7ZN5gM&#10;06SQpuLPGgOQTpTz7MniIxqRsnUlFWT2jGTWras7xV+tk9kzhzTwX8N6fDtWtl+Jc8RHA4bEe9Vh&#10;7tSpiKEKi5IRqSm3CrKEHBSgpuMY+0qX5ev8R/tzfAux+CTfGmwGtXOm38CaZpdtZ2e+9tRHIYXN&#10;yySPb2zgyCRRLKrPGY2GWYLXoXiH4xaBo3gTWfiRb+DfFl1ptqsWh2/2HwXqRkYeX5ktx9lngjlF&#10;uBu3SYMYwAGLtivmvw/8OPE2s/snfCnwDoPw/wDF3xKiu9R1a/1Pww0mpaNazaS9/dSRv9tgMVlE&#10;m+2iuNt0Zrh2u4zGUjMa14H+2X/wUt+DvwE/Zob9m3VvF/xK134q69q95qnjLwq3m20mmTSxJHFp&#10;r3d200gsyjRXCbWupLhLeRZfs32pWjww+fZxWk9Iv92mtLe8km7u/Lq2tFJtJNtK6v7HEfgx4T5X&#10;FOm68HHGTpzcqilag6k4JqmqSr8sI05cs5QjGU5qKqzcZKn9iaV+2Xp3xIsNc1fw5+yp8WNR0WTV&#10;4bHSdZ8LeFZdRs77Tredl84TMY9rMYWBXkxt/EWGRd8a/tjw+GfGXhXw1pXwR1NtZ8VWtj4hNhqV&#10;9bWotxPcjTYYZVkk3o4mZQ21XIDZ2lQ7J+TWi/8ABWb9mvxL8I7X4VeO/gP4h0LxYsf2OPV103w8&#10;IISuAkzyRaML92IVQ374yM2WMhJJrrv+C1X/AAUs1bXP2sND+Gn7D/jXT9Y1Tw74D0u11Dx9od1H&#10;dGK4ac6gGsrlciJo/NhDzo27JkhO1TKj64XNc6qYeUarUZRUHfS1m/etum0kut9elrk5twD4J5bm&#10;NDFYak6tCo669kqtRzXJGPsuZKcZxU5Tbbairxdk17q+8tD/AOCjOpXbeGtfsvhRo+l6NfatLZ3W&#10;pN8RLKW40xruYmWa5sRF59tCg/e/OI1IWNt5V1NeqeGP2vvhR4r/AGjbf4SfC/VdH1zQ7ny5de8V&#10;af4rtbjTtNjiRBFDCyF2eV7jCNEzRtECrgMGxX85vgX9in4gePb1tV8QeL7S3mkGdzQsyJgdSBtG&#10;MbenX+eb4j8J/tDfsj+PLHXL/wAS3yxR3KXOn6pYRl7OV1ztWRJF2sMZBRgwZWZSGBIJg+IVKXsJ&#10;YhTne+0VdLWyVravrq0m7a6r5fPODeCa2KjisNk0sNQUZwaVarU1npCrLmkm50ou8YqUKc5qLmnC&#10;8Jf0meDPjFplxf8AiXwD488PN4V8QeG9PuL2TR/P/tZ77TrhrUrf2c8MebvzVaQBRG7iYhH+Yhay&#10;bP4+fGK2ur27h+Ds0EP9rN9nS4s/FMjMBbQwhVdPC64UbWcbizeYxOSoUHgf+COf7RHx6/ax+CcH&#10;x5+L/hqx1C11OOV9F8V2c9tLNp8i30hvdPeFGWZEee2SeOLbtWJY0LFRDWZrf7H3wd/Z58DWfjv4&#10;/fG34deG7+PVvt9j4huLQxXF1NFdy3cVvFdajq1pbefLHbrCubaNAjcchpz01cdnVTDQlR5r3le8&#10;UnbS107p9bOOklqj0si4V8FcLn2KwudyhC8cN7L2dadWm5VISc3BJxqQimoupCs5VKUpezd0uaXv&#10;H7NHxo8Q/GHw3rCeJvAdxpd54f8AHseibYdTunkD2NtE/mee1vCuXJcMkqo3zbJQd+F9J0VdUuhb&#10;yR6YY5reCJPmU2c8I8gP88DgxT4bGMHA3MRyDnwH/gm7+0H8EfilpnxLPw9+Jmgy32ufErX9f03Q&#10;YfE1nNfpprLbKJprWKd2Vd+V83lM4IdlkBb6avbFY5rqSaEYWO6G2Nt8SBYNmCeMFgMHjAIIwcFj&#10;6+CxNaeHTqXu77qztd2urK2ltLLzR+N+I2U5RgeMsRQyyEYUIqnaMJ88YydODmlO8ua1RyV+Zq97&#10;PQw7nTtXezkubqSRrhbUn7LbKyKv+jSLhITsJ+aXl1GCQuAoAAvpolydUuJrcR+T5jySCSc/ITJb&#10;gAqSGjOE3cLgehJ52zYxzm7a4uI/L8y4WNvLUJgSRIF5J5wmONo68DqS/gsgd7QtGrNlWZAwYmZz&#10;tDZOPbtjkYGCOmOJvb7j4+OF5Tnbyxgf7VcSNJ5ctsvmTZLITsByXByOJM/Mo4fBx3bdacY9S1Bi&#10;0w86GXE0cIG/dJdfKDjb8oHQ9R1PJroLyxjSBfOmWIfZysYljAd28tGB3dDzlsA52noMcOuIEmiu&#10;BJM0SssoaHy8OgzISVGCX4z0PXnpWixLsV9WkuhktBa3LTL+548yMrGqRg/w8ZJjJ3c/eGPqM18A&#10;/wDBc/4Vak2leCfjwLCzk03wzY6roqQXKSedb317JYeTJGFjdtnk2dyGkDnGEXC72av0UeO2QNbJ&#10;cxu6NIduwRs5IcHhm65PJz0XGM8j5f8A+Ct3wx8VeP8A9jbWB4bsFuJPDer22r30KxuXltoo5EmZ&#10;VC5JRbjzGPAEcMhJ4rkxlapLB1OXV8r0PouGYxw+e4ec2kuZJv10/U/J/wCGOu3uleB28X/D/TLq&#10;ZdPvobe+hj08srLLuIl+d4Co4xliMNhTgsDXtX7VH7J/gb9pT9nfS/iLr+oxeG49BkzqWraxbbor&#10;Gyk3Et5UEkm+TekKoEbLM+w43fL47+zXeaz4k0jxR8IjaKLXVkea3k+3CN45Ul863SN/s0kqBZiW&#10;++VZW2kEDaf02/Yf8CWXjLwna+EPihoTXKeVCLizkV1UyxAS4YRkMQJBHnBIPOcgnP4lGnU/taFO&#10;k0pykkn/AIrLW3qf0nmFTD0ctlVqpuEVdpdUtXbz0Pj/APYY16x+H/jPxh8PZri41S+tNSvdNstP&#10;02ydpC0HiDXSxkbOyMsZ4xvcxoPMQE8Zr6b1LwtpviPxV4dg8cxLPqkZl1BLWGTdaRLCFBVQwBcr&#10;LNARJtVm8s8IjvGfkL/gk/odp4qtviMup2trdRXF81vcJdWvmuwkurx2G8n7jZ+dSDvIXJG3n62s&#10;9Vntfifox8U3G660/wAN6tCbiSONWu915pCxuqRsxJYyeXjaheRW2oqla+vrQlHGSVR3snr5pb/e&#10;fAc0ZU+amrXe3k3t9x4T+2B8fPj/APCjxrq3wq+COv6Lo+pXdgNc1bxDLoqubOzMlwVWBGE4OyGG&#10;aWfdG5kZXkjWMu0Z8Fsf2x/2wNamtvCWufthRQ6lqWoabbWunzeDdOXzra6SFmn8z7Iqrt+0RbUJ&#10;DMFnY+WIvmsf8FSdZ1jTv2v9B8SajpE1ksnhW3RbeZkLFBcXKknaSMlXzjORuweQRXE6N8JPHHxG&#10;vlfRLyaPTWk23WoT3DsqBgxYbS2ZH/eScDGTIdxUNk+DisTKNVr/AIHQ/V8nynLllNPEV4xV43bc&#10;U9b+f4JHZWX7TH7Z3gzX7T4e/Cj9o3TddkvraTUd2j6fpFwkMfmNCBOfJZIJNsKttMhG2WIcM2D2&#10;vwm/aJ/b+8S/EnS9K+N3xGkTwvJJKNRFjp+mQTMwhk8oB7KNZsmXy/uHnvxmtvwX8MrDw9Enhzwx&#10;pDSyLH+9uGIklm+ZnLyOepLyO3YAyHAGcV6p4S8Baf4dtUklto5bxl/eTbc7Tj7q5HA9+p79gDB0&#10;69Sa5NIr7vQ8fNs0y2NJ040INtNc3KlJ/wB7TbyO8t/j18arS33H46eNuF3O0/iq8bHc5JlP86+e&#10;Pi9+0p4i17x3qWu2OoeIPEGpx+ZbR6x4j1RpbZHjSII0UY/eXMJYzK2+SMkxbk3o6vXQ/HrXriG7&#10;0X4eWct5btq0V1e3E1pMqLLBatAjW7n7212uY2OwjIiKNlHZW8X+M/hZrnwFcLFdSQ2v2iIalDD8&#10;rXVsX2tEGDArklScZ3BSh4cmvoqOHwtOjKtUjdJN2Wl7H5risdjJY2ng8M7Sm0uZ62u7IktP21/j&#10;BZNNaW/iX4W+ZFMUulk0SdykigAqQ+oMUOAMrnrk45ormtN8L+DLC1+yjwrYwxq7CFLWEY2Z4ZgV&#10;4Y/ewOORRXi/6xYFbYb/AMmPrVwZnnXHv/wD/gnyB+2cmofD79sz4oaRqunbd/jnUry1X72bW4uH&#10;uICM4+9DLG3+c16Z+yx8VvDPw6lh06/8aXRa4t7XWNO0nQ9sKTyyreRzJfnyS3AClQWKHdE/VQU8&#10;7/4KYXE2o/tkeLtSu1ZZJtP0aWRs5+U6TZnORjOR/ntXFfCvx7aeDdNhlW20uOW3jMG6+gIuZBMs&#10;e7A3f8s9mAWGP37Ha2Tt9fNH+6k0fMRk4UU+qR90+C/iJ49/tbS/D0F7/aFteWreU91CZpoZI2O8&#10;CRHB2+UsZDSl5CJgzGTNdB4X+JPh60+ILeB9b19L+7tgsVrNM7OIp1VkMQJ+UPy4JyznftZyw2jw&#10;HwhquuzWuj6npWsCe6tr4ztpkeoyxm4jf7N+7SbP3w0O75trZ27CThW1fjbYad4Y1uXx++oW+67j&#10;FlbxR6k2oLdRpDbqW8xolYuvloSSZGbzctJtZUrxPaQlCMlC7tfR+Sv5Jp3fzOfD4jFU6M5SlezW&#10;/wDXoem/t2ePfiV4C+Acnib4X3htpodWgTV7pbeKUR2TrIhyJVYDMrQruHzAt6Zrxr9gT47fEzxF&#10;8WrPwr4n+IuqalDqttLCDrmpT3SxlR5pZFkkwJD5ewNzjeeD0Oq3i/xV+0D8IfE3woufFLXd1HoX&#10;nw6e4Cy3PklZExLtO9/OVFbeV3ADlizsvzx+zn4j1Dwt8RtJ1axtPtlxpuopdxwbWYMsJ8xi2D90&#10;BST0wueQBmvUwap1qcoW12v6rQ9SNRVKcaiej/D1P1X1Twno+raK+lanb+ZC207lcq6upBV1dcMr&#10;qwDBlIKsAQQQDVGHxTqvhiK30DV7K+1i9kdkhuLGyH+kKADlzlY4pNmWOSitsYqASIxxFt4l/aeS&#10;7tYNT0vwjDHdJ8sjSXAVJMDCNgvhjkgEEqSMbgSm66PCfxvvI/tV4/hCW5+1Rzm4U3aszI+6MEjB&#10;2qeNgwv3uPncnw5y/li/uPSjR/mkvvO2u/CUnilQ3jBIZLcNJjS4WLwSKRtBlJA804yQpAQF+QxR&#10;XqrpY1rw3qf/AAj+pmS8s5iTp+oNy6YH+pmP94D7sn8YG1sOAZeV1HxT+0BpN1b6Mr+F7u5aRPtH&#10;2e1mSOzhOczSu8uAM9FHzNzgHBx0U+geP9XWE+IPGFisK7ftljZ6W6iRgysQX87dxtx/dYMQysDt&#10;qoy192Lv/XmKVKy96at/XkXtS1meY3GneHGhkvYWWOVpMmO1Zhuy+OSwXDeWCGO5MlA4ceT/ABE0&#10;Ww+Ha3uoyaiws7iFXuL6+vCzi4wqZbOFjRgsYVVwgOVCqNor0jwlb2mg2U3hiytvsi2skggVoYY0&#10;ZSd6siRY+QBwmSAxKHOSdzcD8b9cv7q5l8NeGZV+0rF/p14y7ksVZdw4/ilZSCqdACHbgqsnRKPu&#10;qRjT+LlWx9kf8GzMsnin/gnxriXN7JJcad8UL/7H5eVMcb6dpsmB6guzH8SPr+h0E0V9G2kX1xfB&#10;TJ+4kZHjlBBPG4YP49wD1Ffnf/wa1x6lP/wTo8RPZXsELR/Fe+Ty5IjggaVpTdj659eK/ScKmrRN&#10;9h1GBbiOQfMrBl3A4IP19OK+/jW91L0PyPNsLKWYVGurMq3uYYiLK/1mGWNjthjuIhuQ8YUnJye/&#10;Jzg84pLOG50K6ltbrxLEsTPmCFoQzBNvr7D6jAJ5zWnbwS6lGtvqthb3G1gBMufl4znoPpxUkUN1&#10;bH7JfWKSwmQLv53Y6g5PXFL23Q8+ODe/+ZQEAsT9vsdYZodxaeNsGMZ57Dg8+3XJr8/P+Dhr9s79&#10;pn9lX9mfwzYfsnXlzp+qfELXLjRdR8Z6XIqzaZGLcn7PC2z93cTB32XAdXhFvIYxvIki/RE6dfad&#10;IE0/TLVrNpCfJIwzs3Jbpjrn3Oa/OH/g4M+Avx48Z+CPBvxS8C22o3Pw98KfabrxdpMN9DFa6Xdm&#10;SG2tbxoi6yXMki3UsQKpIIESQ5RZXJzq4mVKlKaV2k9D2chyujis3o06zUYt9dttPK7e3mfj/wDA&#10;39jTW/iLpFx4t+KfxC1KLWL+4M9x9lvkZ/MPJMkkiP5j55PPXueDX0J+2z41/aT8c/8ABMk/sp/F&#10;/wCJGtePNW8G/H7QdR0fxN4gn+03E+h6lpOtrEXkZ3mYQ3Vteo/mltqmMLiMKof4I8P39lbLY+G/&#10;DuqHT4dImufE11DpylbCB1kKeYzDCR71kZsjgo3Bw+Pqj4JfsIj9rz/gnl8SfAPw3+H63Xiiz1jR&#10;L/whqV2y2drPc2Ul5P8AZFaICIyeTfXYUECPzL2J3dQQ6/P5PnGOxFasq0nJSi2l2att/Wp+x8QZ&#10;DlWDwNKooqLhON5X1s2k/wAHr23PgX9nuTwR4N1aWaSzhs9Os3iW6ul2FYN+RGZCSMbtj425PyNn&#10;ABI+h5de+EvxEvpvhhrup6VeLeafIJo2Ur9pgkTh4mClJQ0b5ADE4JBxggfPWoeGdMHg/S1jCxrJ&#10;rO+e1Xag42NuHy4U/McE5PYe31z8L/B3hPxNrI8Wr4N0v7PdNIE+w3QDtKyeY8sipCq73keVnBYk&#10;EqTueRiPhMd7OVb2zTb9eqP0HDU5U8Oqd0l6Lr0Po/8A4Im/sWx237G3jD4E/HP4fWOqabp/xiut&#10;Q0OTVrdZIbu1XTrOCGdUUlScJKu0tuTcdwBxu9Y/bO8Of8Ex/wBlX4YW5+P/AMHfDbzapNK2l6R4&#10;WtBb6hdtbKJHlWRJY5IY0YxozmRU3XEMR3NLGj+mf8E/PAktv+zrJqOsaxP9n1zxFdX2nxR3TMLd&#10;EEdqY9u0Bcy2skm0FgfMySCSq/mf/wAF7W8Q2X/BQiyi8febNpdx4J006E0Gnhh9hSS4G6RouwuW&#10;vDmUggZx8pjB/TViaEsD9br0lJ8q0fXZK789G/mfjmX5hxLQ4qnlmV5niMPRjNtKnVnFKSs5NRjJ&#10;JO6avb1ufUHw1/bf/wCCc/7bni+0+CHir4EyeHZPHGu2n2e+1xVsRr9/HBKkUUl3ZTeYZRvmjhSd&#10;gHaQBNzsFr7b0P4e+BvBcGm3enafbtcaHpI07S7SFVmWwtQsYNvCSN6KVhiUruAYRIDnAr8Erbwj&#10;4d8Y+GNa8EaXYXkeo6Zbv8slq8SyXSr5ieVIxCNyAvmK20Z5wK/fL4X+OPDfjn4f6B8QNH09VvPE&#10;Og2eoiS3USxlpoI5tuQ2DjeB1H6U8vzDD5hTdZUowls0tb9b3d3u/v1PN42y3Ocmo0cNHHVqmHV+&#10;WM5ycYPlUGoxvZXguXZe6uXayOV0X9lP4MJ4t8P/ABO8NfD6HwldeF1uR4bj0G4extLFZ43SaVbO&#10;FltxLJHIUeRoy5VVBPyKFa37OHwWuLXRfCehfCawto9H8TW3iG31DSrCPTxDqltwl66WyxRySgnG&#10;CrK44ZSAMehXVpLLYST/ABDtrVY/O2CSC5b51ypQ7SBhi2flGf4eTwKmW91TU7iNNItI7jS5f9bJ&#10;zHImBjqxAPIA6A9a7YwoxvaCV/JeS176JL0SPka2fcTYipCdTHVpSgkot1JtpRcpJK70SlObVtnK&#10;TWrd+Z8b/DPwD4u0a18K/EfwHovjRlkE2PEGjW86q20J521oihk2ljwoz04FfJf/AAXA/ZFk+Of7&#10;IUnjNLKzu/G3hnW9LulvLHQ4pNSvdNF4Y5rb7Qfmt4oxcm6MoHyC3mGVWR5B9ss66LHJp/hO2N/d&#10;blM9veXDqdowD+8Kscjk9DkjHGc14R+1R+3X+zt+yx8JfF/jW91rS/HHiLTdJvrn/hX+l6nFd3E8&#10;9upjkgkaNZBbrkeWxlXgqyLvfCHamlKpzKN310V/+BbX0M8uxmbYepSp0qs3GDdoc0uVczTkrXt7&#10;9lzd7a7H4p/CebwzL411Dwlb3yrY6p4P2XkA1BrfypSsfzLtIW3GIVLNEAzEZO5huH6L/wDBMn9m&#10;z4fXvxEX40+I/hDb6pY6D4f+yaLr2pTGc2mpG4s544oEkLBpB5Rk81SWiPUgTDd+dvwUgtPBOr3P&#10;jnxhq1npdnCYolvL+TCoXz8sfyHcxUN8uRhQx6A4+kfH/wDwVF+Jfwj+GHgn4N/sh6zaaLt+26l4&#10;i8UGzsL37bML+8tEhijeOWIoUgWUzPukZWtwvlIhEvwOX1qOHx1TEVJ+7BXfndpKy9Wf0piOG8/4&#10;nw1LLMopctSs+VTleMIJRcpNySb0SsrJu7Wh+svhvwD4Q+EcNxqXhjw1pukajql7K8cOjaattHPJ&#10;Iy5nmhhYI78pvkPzEDggmtXUn1zTrNdLtrxv7Z1DaZBHb74zGpJIKMQikj5Cw4DMMj5hn8x/2Ov+&#10;C2vxN0n4l2fg/wDa1vrPxbpt9cNGupw29nZ3mnSuqLHKdhitzADu37grhZfMDkRrE36SeG/HnhXV&#10;fD3/AAsPwp40h8Taf4kmVdFOl6hDIAFdklaOdXZXwI2yo6NEwPOQPtMvzDC5hRU6D07Ws/S39LzP&#10;xbxA8O+NOBMy9hnLcufVVIylOE7LX3nZ82luWSUkrO1rM5v48/Hn9n39lP4eSeJ/jn8RrLwz4R0u&#10;+itb261MPMl5cSkssEcIV5JH+RmKRrwgdsBVcr8c2f8AwcY/sRouqaxc/Dv4oETT+Xb/APEl014Y&#10;o9oHyMt8HX5V3Hg7WZtpYYNeM/8ABx9oN/J4r+G9hc+IdL1ax8L6Tdy/2V8zagb7UJChknRFdTFs&#10;08iNsZ3xSjnBr4++GGq6c+jW81sgurea+SxVo7Rmt7ZlhiaRJS0aMzO0jxxjaMlGOSNucM3zj+yu&#10;SMYc7lq23ZemnV/8MPhXgTDZ9l/1jE1JR3skttbX/J+Z+/fwW+JHwg+OXwq8M+M/g/4v/wCEg8Ft&#10;Zrc2OryXFyXf7PJsVmefE24SQur+b8xKNu689IlrJq9jbxz20jHUrvzbrzJsSQxpyCHTkAEADJ5G&#10;OeTXxB/wQo0SPwp8C/G3wK8P21w2m2njxdRtZ47iRZbW3urKFvJ/eR7XjR4WUfvHct5oZFCrv+2b&#10;jUozaXmtWUy3sdwsdjp32WTyrlV3fvAwfglQM9Cw2sMHOB61GtTxFONSltJJrur9H5p3vttsfAZt&#10;k9bK8yqYWp9h29Vun81b7y3dXEmsRzyLeLIby+EFrsOGWNG2sQwxzktnPTnrzX843jj4UP8AC/8A&#10;bD8SeHvjDrg8Q/EC81WXUPFGtSQqkeryXDm5E1qzlVMc6zRPHhUedXVhGNyqP6KLrWj4chvrcy/a&#10;V0PTY4oby13rLJcOr7i8eNrfcUbgc53jC9D+S3/BWj4UfEL9mj9riP4x6RaR33hfxiunbWgtxD9h&#10;ubeBLeW3YNPzIivE0WR5flXLQxbUidK4M7pyqZTUjFeenZJ/hqrn2fhxUp4fPHCbV5LS+uqfTz1d&#10;v+AePap+yH8Lf2hdBk1yDw7pttfzaCFsdQ01pITFdFt8STo0GF2EbSyljh3G0lVI+UdY+BPi/wDZ&#10;71fxNr3iy/iuf7Q8WR2en6tceH7xpbnTIoVkWaKFWVijLcQgnDFGiZcnmv0i+EFhb+DNAfw9p0bt&#10;a3GpyPpsrPmSSEkBZXO1SMDOQS208b3PJ87/AOCvvxF8K+KPEPwv8U/CDw1JD4SXwLdaZZ3EJkNt&#10;a6za6jdJqlmHdVaWSGdh5kpXdJ5obLBlNfB5HiqksLiU5XjGKtG/VySur30SvfzaP2PNMPh/7Tw0&#10;VH3pSl72y92Ldna2r6eSZ8w2Ws6knw/tvGPgu1mmjm1j+zbq8tYcMAU3KVEo3RBl5yNrAp64z9Pe&#10;G/g74K+MvwNfwncW2oajcHTWeC7uoXE0c+G28vyeQM5JDBiOQOfE/wBlW503x98LdU+G0un2mrSX&#10;mrTyNPa61GmoWlwgRPMhtjNG7uvz/wAEoY4VVLAmvqT9lO51jwvbyeDNTu1ubbcNuoz2qx3DEZUo&#10;wVmxgkqSGIbaG4BwPnsZJ0ZJ7OLun1Po+WNSk7O91quh79/wQt8HeBvgD8GvGX7NlnqP27WNN8QP&#10;4xvhbspi0+C/jNnBaRSK4bzE/s+dnXaFHnKA7FiR+c/xx+Ltz+1n+0VfftA/Hm/1C5uryPzbjTda&#10;uUml8P2vmER6QoWKIRpbbhC+I0MkqyzOoklfH7HfsR/s7xfBLR9e+ImrWGj/ANtfEHXbC7muEgzv&#10;01Y0+xQMynjbGryN8uM3LBs7Rj8kf2oPgZY6F/wUq+J3hf4q+DMXOs+ItSuLa4t9cEL2sF1L9qtp&#10;vOQslzKYZISI2w7hnVoyQwX9MxVbGvhmm67fPJK7XazaX3W+7ufj2Q4bKpcb4yWFinFWtfurKbXl&#10;zX+Vuh5n8bv2eh4H0/T/ANqb9lzWZIf7N1m0W+tvD+qEXWk6gHjktp4Xjf8AdzBpYWCAiRWeN1GH&#10;yv77/sofG22/aB+APgz4zTyWUWq+JvD8N5rC2NrJbi21LzBDeWy7vmKwzrJAN+T8g+Zgc1+Xnw/v&#10;ofgV8C/Gesal4VtbmHwnpd/f6ddMGhOrx21p5yz4cOYs+WV+ZWYCMFlBOxfqj/ggL+0Ff/tAfsE2&#10;416wt7F/Cvja80eMWqboJYs2+oqQpcyRsn2to+S7MI1dmaRnY5cK5hiMVGVGesYdb3d9NPu/Qx8Q&#10;8nwkKMcRD421olZcrTu/W/LZep9w2Tm4uBfJs8x7jGfuMd0wYE7evyrxkdcZzVW3km+z+XYIsf8A&#10;oyECLEbMB5/8J4bkLng8dhwama5DQRL5isy+T5crfvViIR3DAttcAY7HIzxnqKzlLeNI7iZdqxlG&#10;kX95GpEJBYbiHTPmDgZ5JyDmvsEuiPyr6u2Pk0+SUCASSxvKibUWRlcnbF1UfLj5Wzx03Y4zRGhh&#10;05bqIgKdxkaH5Q37tjwrcfkvQj0FRK1q12AhjxDIq8R+Yqqz4PQh1P7v7x44IHcV8m/8FhP2ydQ/&#10;ZL/ZGkufBHiFtN8Z+MHOleHbiGVluLJWiVp7yP5lkDKrqoZGBR7iMg5Wtop7G1PAynUUV1O0/ac/&#10;4Kgfsffsx3OqeF/E3jO81fWNLupYdS0Pwppsl1LA2yVph5khS2DRKjM6earrjAQkhT8C/tRf8Fov&#10;iF8fNO1f4UeAPA194K8Nq00niC+Goy3V5qEH2q5txFtVE+zrIsJ3wxhyzsIfMKb0b4f8Karc+K/g&#10;fC+n6zJdalqXiHxFYzL5caJP9qsNDtI1ViCVG+9KjBbofmYZJ7LUdI03xV47/t7wrY2tzqGqavb3&#10;NnYtOYkFxc+Lbv7PLuYmRybVbx8DHylid24geTLMp052itu59phciwVC03eT8/8AIj/Z08f3+kW8&#10;fxA8PeLY43ZcT6LqFwZNStIlYLtcA7mzG0brNudXSVGJLF1X3LT/ANtD4leKLqx8XWHgzW5/Cvhn&#10;WEF1baHqaDUNWuSmHjRDcxYhhgkkuHyjIWSFS0W4MfAPiH8E5m+Gjaz4C8N391qnhPwbda5qmo6f&#10;bFGGjW2rSW9hIN3ySSPZrOVQvkw20Z3iN5El7u51T4caR4A8c6d8NtOaOVfANh+60OUXkkr3Ev2e&#10;5uGnWJfMEVjaTy+eyKB9olYqi7Y1+OllNB5l9bm9ndLs/wCtj7Z5rVqYD6tGOuzfl/W56R4a+KPh&#10;39mrS774lfs3pappPiO6vNT1TT7yf7IFig0q41SBIo54GliaZI7lihRABd2YQRxkOffPht8U9U8a&#10;/tHR2Ntp1vomrTafrVjpd5qVxcPFfSWt7ZwTtEFnmUJHLG0XOxGkLp87KRXh3xZ+DNl8TNb8V6tN&#10;eedatrfjLRNPsTGYVsli0hobdTKM58q1FsFzkNg8FsivFPK8X+HPFMz6pqGj+Zq7afqdpZ3mqQG/&#10;aMWEc0jtDOrypHdPq8jLLE0W7yLxy5ZBHJ6csDDGV1ZtN3WjfVW28l1PF+ufVMO3JKys9Ur6P9T3&#10;j/go3+z74x8X/tE+FLzxr4i861h8Jxx3GpQxoklxJ9quSUVQoC4Xb820DBH3iGNdd8PPB1tcaHY+&#10;FfDVkttZ2cOPlGVhU9ST1Zicnkksck9yOr+NM2rfG5PCPjHVLyydf7HhF9dafMZFLEliPuhQzbiQ&#10;FLKFKkkE7Br6Vpum2uif2HbWEYt2Vg0LLkMCOc5+9nvnNeB/ZtRYycKm0XbXd6Lr+p9VLPpYjK6E&#10;YvS2iWy13t3CxsNP8M6XOdBtEm2zr595eXHkxbdgl81pSpBjCNwUDAMcHHzsuS3xC8G6Pr0dt4/+&#10;IFno95DbrItrqWqJp0Um6NFMkcMzrJLGXEqhpMgPG+0cA15f+278ebr4S+HLHw54N1X7P4g1yZ7i&#10;S8WQST2FqE8tmj3Nm3aQ4RXVcELOQVkw4+YZfgL+0J46sIfG1rd2KzeIroHT11a9lkmvml2yG4ka&#10;FJCgYMzFnYMCG3BdwJ+nwuUR+qLEV5clNu0UtW7b/L7z4nMeII0sU8NQhz1LJybdlG/6/doz7C+O&#10;2u+F/GGlp4n+EV9pHjDxN4d0+6n/ALE0PW4Z7yfTn8vzxBGjkF/OS0OWVjhSqqzuqt8P/Hj4u/Hb&#10;xHq48M2Orzf2DeX0Fzo+n6WqPJLEMC3WR1zJKZAUdkdmR2dSFI2gOl+F3xP+GsUHxEs9Z1a4t7e+&#10;b7RMunzQrYTRyHybmKV8MkfmKNrkhgzxqMnlfqL9ju1+HP7Sdo2v/FjwFb6r4s8H3UTx+IZVMbXs&#10;cybYWnaN1NzPGLbaJJVJUJEysX3tSxeW1Y4T63hp81NPlkmttv8AP/gGOW5tg8RmCw+Kp8tVq8ZR&#10;e9vXtZ/K+pj/AAE8B/Bvxj8NbXxR438drpou7icaPA3iS3aVrOKRoUeUzQRMZC0cmSEUEAEqrFkU&#10;r2zV/wBij9l3XLWwstS+FqPFpdo1rYxjWr8eVE00s5XPn5P7yaRskkjdjoAAV8p/Z1Psj7qWeYvm&#10;fLOVunofmj/wUz8NaVZ/tG2HjPS9Thu7Txj8P9F1aGRJA6MEtVsuD3B+xluMg5z3rk/Atl4ZPi24&#10;vNOsF1a10eS4S8a4022MUikTCLP2pGVmG1wmBJ/qhtVm2oew/wCCjvijQvHfiz4c+P4JbiGC++G+&#10;jPZ28yhWMFxeaq4Dcttf92Bn5gGPJIINeafBjULC/wBX1zWU0+a08mZhbJNPu+SSWQhXYIgdgAOi&#10;qCGJAG4CvWzCcvZp63Sjp6pHysXaN+ib/M7vwbd3Wk6RHbTaPcO16JYre3tQXKbJTGR+7/iyq4x0&#10;6jpXTP4ofWdU0j4fP4yXUIfE2sf6dZrcI0VjLCzW0V0GV2RiEDEhApeOFSSdyOOU8LeIdOu7S6jt&#10;U2+Tqkg8mNmYr+6jHCkYUHY+FB5+Y+uea8J+NJ7H4z6VqGo2yQxw6n5YmW1kXfI4cqSOeWZwM4GB&#10;joMkePh6MZy5ZPqrruupz1IqN+VbotWnjDSbjXJ9Jt7CW1vI5T501ycySNwApwzAjjcDxnJ5OVA0&#10;LzwhoHhUSfE3TT5s0+nyXMlnLNH5UbMWVpPmVsEbWbaQ4cMVUbgqtt/FPwl4B8Qa/wD2t4Tsb2HW&#10;EupLjUJ55wkUkzAsyfMc4yN3mFgAWcbSMGrPxu8UWnibx9N4qOh3EOrajY2B1Z5FaJYpfscPmJCk&#10;gDqhOxcEtu8tWDsHASYwp5di6ns230t8+/oZ0Xyxcovbp3ue5ePfjVqes/sp6LF4RnkihtZI9K8V&#10;3mn3IcWphi2hHbblY5/lYSZC4IRifM2nA+C/x18U/s5XTz+PLjVr7wzNAIFtIrzz/s82BKht1fER&#10;DK3WOQIVmV2yBGD4NoHjTxRo11ND4W8T3Om3skJtpJLK9kt5fLJXcu4MpPzDlcnlc9hj0z4NXjeO&#10;PHVxIvgBtQWaCVdTtdKhVWKh8ptMzKEVZCBl3RRuKFkAAID/f5ZZQe7D1KeLlNSVt2vz30+RTxU5&#10;VYSje90rdPX/ADPrz4N/tBfBz4y6P53gvXI47y4mZLjSNQZIrzcAx5j3HeNiM25CwwrZOVYDYm8Q&#10;WHgt10q/Fvb2O2KHS47WFt7ADb5YjUHOzAPyjATOVUIWPxH4t+Ht5oHxEu/CXgO2+3T2l1JJY2vh&#10;++e6khCkAMVDM8cgKjcuFO5c9Apr379nXxJ8Qdb0S48J/GHwlrUd9ZyLdaZqmvWU7NcIGyAXlj27&#10;422kZbLB+FGxifNo4v2lb2ag0/P+vuPQoYpyqOnUR61dWeo+JLiG5vLOOxjt23ROyJJdg8A7X5WH&#10;K70baWZkk4aMiuA8a6enhaObw/8A2c0Vmu57W8aXeJS2Swcn5vM3ZJLFt24NuJZlTr/D/ia4mH9l&#10;a5Nb/boUBkS3kyCpZgrAHlQ20kAk4wRuYqTXCfFzWpPGGnHStC1VYbG+tnWXVo8MQrrgGAHhjg7t&#10;5yvAwGJJXvnH3bo9Cnzc1mfdv/BtLPF4R/Yp8faBbwrJHY/HjWbWRO6qun6SiMePuna4Hqf0/RDV&#10;9PMhh1nSdL85I2WQwQ/KW57j+I98HHSvyZ/4NhfidHrunftDfDW4vpJrWz8bWWq2N/GwKu12b+N3&#10;4AHK2kRGMjnoMc/qJo+sW+n3cekS61dxW8jAiW4XaWRu2ecY7cZ/AHP3NCjKdFSXZfM+CzKj/ts/&#10;l+SOkkj0bxbbxlXltr2HlljLIQwxkEcbhz06flTU1bRNauv7LvtRuIriF9qrIu1QWAwOgycHjtzW&#10;XfX1z4dvopP7XZbeTLRyXUe5tuQMA8A5549ge+Ktaz/aF/aHXNEutPMexWbco3Mc5Byc4yMAc4zz&#10;x0qvY2t2ezOL2TfQsQa3pugTtp2r6jPMZJMLNMnypwcgfl6fjXg//BST9oL4I/Bf9lH4heEPHfxe&#10;0uG+8WeCdU0rSdFmuTNe3dxd2dzFCEjiDSBGfKeYQI12/MygZHyz+0X+3L8XPi98XPEXgK08RT6D&#10;ofhbVrzT4rHQrghLyOCOaN557hFAfzplOIg2Fi24XLGU/POvx6bryPpGp2NvdWMkKpJDcQq0bBX3&#10;ISMdVbLD0J46V5OIxlOmmqer28j6HAZHLmhOs7LR2W/3nzx8GbDxbc3gu53sbm3t12JLebmkRC28&#10;hDj+9yQT1P1r9l/2If2sf2RfCn7MWi+DrfxqnhtvDehpPr0eqW8qtJfYL3LJIQVuHeU7kiiZ5Nkk&#10;SBFJEY+Bfhz8CvhtZaVJLJ4Vs4oU3bre3vLx59u2RvMfcykdA20DaVVtshYqo7Dx38JGOh6foXhG&#10;Z026harFbSsvlwRlxK8i5wPmthcHdne7buWOVHi5Xh6+DlKc7O+x9rxBXwedYeFBuS5Xfpbb5338&#10;rHxr40XTdO+MGsaT4e8NTeH9Dt/FE19oOk2+pPM+lRtIXtVW4JMjlITGu9jv4ycMSR9D+AfEWmXW&#10;lN488TahfTSWtr5uq6/JbNNcmFI8MS8jgzFY02hC4GEAyvWtHxj8DdI8WweRfTxpqWn7Us2SBM3O&#10;WP7tj94cIxVidiudpAMwI434r3eqeEvB+rfs5W/g/UrjUNU0SRLe2ks5WaW2mSVJZAm0t5aqpbdg&#10;jk4+6a+TzKjiIYjWDabvpe2597lGIw+JwKUZ+8lZ330W+v3n7LfB7UPgzafC3wvofgczTaNb6Laz&#10;aDqE1iYftcEkKut02I4x5km/e+VVt7klQc4/OT/gt78JrfXv2n/DnxV8T65oL2tr8OksodB+2eZO&#10;nk313LHezRIMeRILhlQNkFoJRg7M16b8HtY+JenfCjT/AAt4d1TWvDsyTLiS3vZY47yFSGiUSALt&#10;CxhYxG2N8QG04JC/O8P7KHwa+IPjTxXr/gLUNTk8R6jDJF4017VPEU+qJqF5PB9oeSSWaWZ1aO4d&#10;oGQBNhEgZXYAD77EVKOLy6NOPuuajZfc3b0SZ+VZTleIyniGeJnPmjBy5n1aeib9W1d9zyH9n6/8&#10;PXHxQ0CD4g65Joun32pWsGqNpby30sZaYR+VAIoXdriUlIYo1QqZWjGcZev1i/4JzftLa5+0z8Fb&#10;y4h+Gdv4as/DfiB9I8Pw2LTXMVtYxWsBhilnldzPOiTbXk+Xf98KCSK/ne8f/tOatc+KLf4B+HPC&#10;154dtbPVt2qp4igMV5FNDciRbaYMC0Uysjt3YyogyoJ3exa9/wAFLf2zv2CLnS9I+B/xj/sPw54x&#10;sXNxpdwlrdI13A5EjpayhzAxje2/fKg8zAQs/lsqRkeDrYetHCztFz5pa9lypbLTq/zPW4u9jnOB&#10;lWpvm5OVLsm7uWvzSv06bs/o3ubD+xLJG8VBdSaEjdtXc5O4bWI6k8ZHHBGRyM1R8VeModB8Hah8&#10;SNa1iPS/C+jaVPf6zP8AZZGmhtYYmeRwFUuSqozAKpLAbQCTXg//AATn/bWtP2tv2QPCv7QVp4ba&#10;XXZoZrPxJpdnO00drqELmKR1LZYLIuycR5Yoku0u5XNee/8ABYr9ovwz4R+B1x8GvEXizSbDWPGG&#10;myXH9nXWoRRyR2tu6NvKtKsm+SVAkY2MjiKfkMi19FUw8qNRxqO1t2/L+tGfleFy+pi8VGhSi3Ju&#10;1krv8NT5j+KP7ZHxf/awh1rXLjUL3Q9HvNTjt7XwvZ3ztYSNmErE5wDeFWNmJJnXckl6CqQKgLeM&#10;2vw88aya3J4z8AeILG21OO7WWxGqWL3McNwuf9YqSRvg55VWCsApDYxXkOlfFr4feDbv+17rxVa2&#10;9w/hGW1sLq1aS4kSf+1bG6EDLAj7QTBcSK74x5gU4ABPfaL+338CtJ1RNQa21iZrixiOof2fp4MY&#10;mG7cg8x0JKsxB4UfLwTwKUM1y+EffqxXldfkfo+F4H4mqpRwuAqtdH7OSX3tJfieY/tk+Cta8N6N&#10;pWpQ+D5lsdNuL2XVI7B3uI9OiupyLWJpSN6qqQFA8yxiR96x+cqmQ+HeHX1Wz1PTU8KanN9pmikm&#10;uIZIQDbrkpls8EkbT0yCwyMg19b/ALV/xC+CXx9/ZNvPF2gfEbSre/0Dxja32m6DeX1nHql4hs4b&#10;Yg2jSC4dY3muX3oGiBj5J3oa+VtFv4vDWkNcWCF766RfNuezneCDjpgLuGMY+Y+2PzbiSjg8Pi19&#10;VV4zXMrO6d77dl/Wx/Xvg3UzSfDfscwvCdGcoNOLjKNmpa33bvo1pbzR1Mlo/h7VI54obZP7WuWj&#10;uJJDMWQuxkIjZGwpADkEqV+Vdw5yP1S/4IgfDD9p34N6HqvxX+LEC6f8O/Eeiwz+Do9a8tW1TUJZ&#10;I1gvLdMFo1+z+YDITGJ1mgK+cqho/wAwZpHTwx9ut72S4jit2uLhpiFbZGA5GUAA+7k8HPIwc19N&#10;fs5f8FXfjv8Asq+FbP4TaV4e8N+IvCXh6d47PTNY0/LRSPNLcXKRSQGNh+9mky0nm5YNtwpGOLhv&#10;GYPC4v2uKk0lordb9Gt2vw/A+u8ZeG+JOKODZ5ZkdOlOdZrmVRWtFe9zwleympKKV03ZtqzTZ9Wf&#10;8F3v2XdX8V/C/wAK/tKWHh/7RrvhKa8n8WWek6SZTqGlM0chleZMjy7RvMdUkDBEvbuQFAsvmfnP&#10;+zqf7b8FW4l1uzW30/VHvIowzq0TSOpcxZlKI5EKhiIwHXcBs3Mxh/bO/bp/4KC/tmWd9onj3426&#10;DZ+ENUvbSbWPCOl6ObCyimtplltoVUNcXEy7iH8tpcM/lHa5SJkh+BfiPwZ8HPCkkuv6Yt9dbWmg&#10;RoyrRyEEeRnlSC23a/XnG08Cvc4nx2X4qMKmGqqbaSsvv2aT6n8tcI8A+IHDuFnhcywFRcrbTS51&#10;Z/3oOUXt38uh+wn/AAS68I/D7wX+zvq3jDwt4r0u+1zxlr/2S+u9P1oXiabJHHGkdjP5EzrbTosp&#10;kaPEciNc7ZFDL831FfNZ6bfeZqkTwW+h2m9bgDzYvtDHGTwSGO70HBPOOK/mT+BH/BS39vj9jLxT&#10;qnxA+EfiHWNL0rVvE0uu6t4c1zQftGlTSSyJ8skc4c27NGqRb4ZI5GSJVEhMaFfvv/gk/wD8Fw/H&#10;37WP7V1z8IP2n/iJovhCHxVGP+Eb0HTdMitdJubwiExQLPLvnScruWNJJnSYyqgKSrEk332EwsaO&#10;CoxhrorpNOzsuZvXp5Xeux+HZ1lGMxucYvEYqoqduaUedTTmou0YRSi9bKy5uWPu2cr6H6W/H/8A&#10;aR+G/wCzL4M03xZ8V9SmYXk73jW+i2qT3Fy+QylYy6lVC5LO5WMfdLbnRG/O/wDb3/bt8cfte+Cd&#10;c+FejppHhfwfc3lrNYXV9bwzXWrX4n8yBBNO6x2gyiW7beIxLPI05jQqvO/G79o3w38c/wDgof4u&#10;1i91ttV8P3DSaXo8UdwWthb20sHkiMlmwjyxl8oQrNK7DiTniPGmteEfBv7NL+LfFEdtbS+Hbi60&#10;7bK6hrud5i3lxjvIy4Bxk7Y8khU48fHY+r7SWHhHuvPs/uv+B7OScPYPL408XVd5q0k+i6qy8vPv&#10;c5LwV+0X4n8FfDq60e08H3mr+IbGwN4N1s+yG0woSe4HDRoDLF6Bgy4Yb1rpP23ovhXa/sheH4L+&#10;0v11fQI1updUsdJjkmg1K9lke4aYoqR/ZprvzhLIjpGHAZPNeNIZPkfRf2nPjL4w+JkMXww8bR6T&#10;b65qX2a40e/vobewvVhKmC3u5JAsc0eGCA3H7tDI33ELGvpj4TaXp/iCe3nE8djDYeZYzW+oQl20&#10;pZHZJtJvg2fMsmkyIpSC0TOEO9pNt38XiaMchqaJS59/S+39I/R8PWWeR9orw5Ho/O27/wAjw79m&#10;v4uW3w78W2c3i7SLrSPt0ImtnvAYFvLdyU3ozbfMQspAYZGUbHIr6P8AFv7ZXwy8EQK/hezTxB4j&#10;vohHofh/SbndJcycbd8hysaZO5pG6DcQGPyniP2/v2dNIsfg9ovxU0/TLi003w3eXEM1vZabHuit&#10;Lq4eQRCRSEWCG5LLEFRlIu8ZypZ/jz4TeMfiB4F8RXnxB8PXWmwQ6lHJHDZX2medPBb7sNdLKTvR&#10;wQY41curb3BQBQRnhcno5xL27bUb6x63XTyKzHPXlkXRUeaVtH0sz9sv2Ov+Covhf4U/Ca68C/th&#10;/FyGXxZpGjzarZf2fp8b283lWckg02KOFN0Jjit2EbzH96HQby4O75Y/4K/f8FC/hV8WPh38P/i3&#10;oH7LOq+G9Uk1iGxTVPHEL2uqRae8c83ltaRPtAaRo5Ud5ZR5bybY1aXen56P4v1DUfEsCtqE9rbs&#10;z/aJl3SNDCXMs83Qszkb3ZurkZOSa9y8IaRoXxL0ibR/it4fstVs9UZTD4fulEp0y2aOWKEscYgu&#10;PJkuCjBg8JIVQZHmaP76piJVsL7B7bPS91Zq3+T6WPzTD4PD4LMPrsU+fdWbSTutbLe+t1s7n0db&#10;/EjR/iT+yf4nsfG0oN9qPg2+g1Y2kwjkjtpbVkLx9QihDkEAqOODXmv/AAR4/wCCz3wR/wCCdXwr&#10;v/gR8Tfg34mvNJ1TxJda1deKvDupQTXXmyWcFtHA1pMIldA0G8v5+VMjbUzgH0j4zR6jN+zZ8Ulg&#10;lbyY/h9c3FrL9o3yC3Nsy+WVB+QboJRnG5hyexr8jdQaWaZYgflaUZyew/8ArZrwuG6Ty+pXinez&#10;S/A93iepSzKjRco2TTe/muvyP6uP2U/26f2YP23/AA7rXiH9mH4lL4g/sfyxqtubG4s7ixaaIlFl&#10;huETf/Gu6NmUsjYZsV6sZmkaSCO68yXLDCsYpdv7sEFGOCCFYYXB6nJr8kf+CBdr/wAKK/Y4uPjT&#10;4pVV0/WvFF5q0n8KTaTEgsnRmKnLLLbXUgQEcxxbiAa938ff8FO/HuqWlzZ/Dr/hH9EkvtPb7JHq&#10;Cvc31k5aQqBExWOSTywjbGAMbMpIkCSIv1cs/wAvw8G67aadrJXufEx4frVKn7m1vPQ+tfH37WXw&#10;D+G3i9fBvjXx9HaapJq8dututrMsjSEyyAqFjYXAzhCYi2xmVWwTx+If/Baf9tnWf2uPjNDZagzR&#10;6T4d0bT7ew0mxvHnjjuZYIri5kyG2M7SgR+ciJ5scEPBKBq9a/ak8Y+KPjF8Qm8YeOdZuLqQeXZy&#10;zWcIkmsgTCxDwxxR2/yieVHhLxyGbczMVCg/CPir4TfETxNqL6142mt9P1C6YS6laGBy9vM6sXhw&#10;3zHYx2sCRyTgtis6OeYetGU00o2srrXX/gHbRyOtz8tKPNJavVfgSeA/GulaVoFnqVjoF0w064tt&#10;Zjkt5SrTTST2srgAHDFV06NMFUAMqqcFQG779nzxpqVz8QdHEPiXT7fVNFtJ7ixe6fbaz21lpeqN&#10;HJuyCHEkki46/MCCCSRwfh/4Jawurfbf7eH/AB5G3YwWZ3/6yORH3F+GR4gwzkZAHTIPpXw5/Zzv&#10;db1ZdO8OeHxLJMrRLdXrb/JVwwdRnorb5CVA58xx0bFeHjc0wMazkpXXkfR4PI8wlRUZrl9X/kfR&#10;nhLWb7Wfh/4X+H2qXNjBcXPgPRrG+sfDcyzRXcZ0SWyKAIyGWcwX1+rwSFWdLhzCS8TA+8fs/wDw&#10;T+EnkxwaJpVnY6XOqXDeGVt4720cSebvCXLtlYpElkXyXXcFb5yd2B+e/jf4u6F8ErW80bSms9W1&#10;21uGgh1S11BH04262glEYixvuFPyDcoVUZo2WQ4Fdj8IP+CjvxM0fxhLo3j+DT47NXMkeqaXbyRo&#10;0ZkZMyK7sYzkEnOAM847/N5hRzKs5VqV3B9G+nofRYHEZfhlGhzLnStdL79T6U+Huk+PtKtI9b8f&#10;+IY9SvdK0/RYvG1xJIzafo+pTxLc38EKeWyXmqXDTQW0zCN2In2schgPkbxv8TvC8n7XXi2x8ZeF&#10;rfTWs9Wg0drFL8Xdu0dmJIkupvKmuIYbhIltYgLYbITE8JiVWMb/AHv8P/ir8Pvipp1rqP2q3/tO&#10;GMtpuqLbxtcWTFkfzIXdW8ttyRtle6LnOK+atT/4JVax4Oi1OD4W/F+8vLDVNUi1KRNatQ90biFZ&#10;PIZp42UfK0825hGCyylT617GUcS5fGspYhuDXdNr8F+h8znHDmYSoyhQXOn2aX5v9T6K+HPjyy8c&#10;eE9am/4TKHWbmHXsNPGzO2AAMlsYwAUQDsF43Lhj2WlnfGpJ/hP0FfLCeFvFX7H3wFuNX8c+HNFu&#10;JG1RbDT7NdPmuLa2uJ1DrcOu0kwr9kRUWIA7mVGMe554+a8cftE3tmPD/irQ/iFDDY+IdL1G+1ew&#10;j8L6ZLDaSqtsGmgSS1kuNskRmklkllcBVCnrtXux2NwNfFSrYealFpPS+/VbbnJk+V5hTwcaNeDj&#10;JNrW226e5c/4KleHbnw3rWg/GK6WabTbixXSZlhhBMM8bzTJklhneJJMcceS2TyBXI/sc/tF6x41&#10;+FniOeWdmXwTEr2K3d4YysU0UyBEkXLNINmxRgEecFVxwop6R+1r8U4PCOseDfjP4U8PeMPC9xbw&#10;Lr2h/ZLVnjmaaaPykXS4w1s3mJExeSGRo22EbGANdf8As+/sZfAzx5fal8Uf2aPi5rXh+11TRbuw&#10;v9B1O3W6ls1nuFeOS3mSVCYQbcxqzGYnbKjSLKkqp3QzZYjArBzekdVpre9/1a9Dgx3DMqGPeMjd&#10;ObSbvpbRPT5X11utDy39orxDqmkeFvD/AIz1a8j+z+NLu5vtNsLO5LQwxxrEXkkJUfvpGuAcBV2l&#10;G3FnY7fov/glXpGu3HgPxJ8SLqwMOm6veW9ppjTCRWlNt5vmuoKhWi3ShFZWPzxyqQNvNwf8E+vA&#10;Wq63oPjb9oz4p6h4lm8NaPDYWItGl0yO58tZD507ieSd7gsVk3xSxkvFkhgSK9K1XxrnSYvDnhXT&#10;o9L0iztFtrazt0WNRGo2ogVQAiBAAEXgDjkYFcuNzyGEyt4OP2nd997/AKLUjK+GZ1syWMnvG6Tv&#10;p1X5Pb8jvNU+JPh3S7s2Zaa4KqCz2+1l+mcjP+e+aK8Y1L4h+ANDvG0zXfHWj2V1GB5lvd6tDHIu&#10;RkZVmBGQQenSivjXmWIvpY+/jksOVe7J/wBeh+c/7VMb67+x78CfGmvBZtfk0zV9JlbyWkaaG01E&#10;+TGx3Y2jzfQnOMcGuO8BL4nutC8Q+JLmBrqSzvIZLyZnBMsbzSQRyOWOWYygxnkk5QHoCe++M+vR&#10;Sfsq/Bez17U5bPT9OvvEAurxLRpF+1i8hkiiOARu2ncFfAI+mK89ubu1+Ht7o+n+HvD+pJpLNLLq&#10;l0rK8lwjxHyRKwwQoZixA2qC2QC1e/jJRlyRtul+CX+R8PzR9m15v87noHweu7bRvHsnhTxPqq2+&#10;lalpai7MV7JbglEhczEhgHfbHlA6sjTeWWQgAG3H4F8L+Iruwn0DVf3kE8ccd/JbyQTxXET43lGj&#10;dFj3hjkszY4ZOcVU8Cxaf4e+LNm2pJCNPIuZLpri3DRvCltKfM8uXaGAQbhkjrziofCl5q8Xn6RY&#10;QousaLqUyXgtZn5kEhLNlMHG/cPwGBjNeZGjJzcob6GcqtqdmjppfhVr/ijwNceLzqlrcaTdaGZx&#10;NZyeZKfLbPlsX27SANnyMSvlMNuQc1bzW/7WbQYJfC+m2sFrJJG07RsjXF0wUhpQ2cM0caHKucsk&#10;jDbuGb2n6Z4nv9Lns5Io9QheTzSlqyowlLBnAyQJEZgrHkBtu8cs4fD8S+GLW48LXU19ezWlvDmS&#10;3hnvsJMy25Ak8kxk7gJwN3C7XZeMlzpVwv1rEOcHZSWqe677+lzGlKSio8rtqtOvmVfFF1olqFuf&#10;DGiRMkcmGuEkdlLcHfhz3yMKenIOOCOw8DftOeLPB3l2+meH7PVrW6vf9I+2SBVD2z7Y5QpLf6QN&#10;sWDgjECD5mAYeW+Hvij4qumt9L8aeXc3MO21kvzMftE0flzEh1b5ZSGGxyNvz7i29mLHP8C6vo97&#10;oWpMPFV9aGw+1RawUtxcX5t/nnLKssqbiWUx7w/yFVZwpZN3oUMDRpSdrtaXt5eXX0Kp4etGooqy&#10;baSd0lrpq3ZJd27JdT3j4oeF4HWH46eCr65WDzEurjUGvFFw7sqAySEMvlS+d0EYzuwwOSGrtPhv&#10;+2peT6Otr8RzEZvJAhuzZyxiSTJzny0dGLZXAUIABj5iQT89fDr4z/FrVfB2v2fwa8OQ699i0WS4&#10;1i1bbvt7Vj5byRpne5DOFZEOScMVdEryDxX8crnXdA/sexRoY7xCuqW5hG11DkgI7M3DLsyQqnG5&#10;TuBOfXr08NUcKkKbXMtU1pzLqmmtH+HW5OBw+MUpr2iXK099Wm0ttbvW+nS72R9QeJf2718SeJ9F&#10;tJfh3dXkl/dLZ2cFlM0DTLPMsTQuphkaYZX7sbbWO0YZuE9l8TeO7fWdPW4RGt+0lvIMNG3IKnkj&#10;ggg4JHFfn18Ite8NeFvHXhvxD4X1fUtM1BvEipqkLKsNvFYF4Np89ZA0hYNcLIjxqoVEIZ/MZU+o&#10;vE+vX+uFtX8LanHDDNajLNlhdNtOyReojwMDcVYsMArhFJ4a2Hp8qcI27nve9Tlyykpdmtv8/vSf&#10;dH3Z/wAGw8pfxz+0tqVhcJCtr4i0YDYQqn/SNZ+XGRx29u1fq949+MHhbQtFuLzxt4w8OwyQwq8k&#10;LXUfnKT8qYUEu25gFXC/MwA64FfzX/8ABOv9rb4zfszp8adJ+GF+1uvibVtPS8umtZJmhxPfNHJ5&#10;sbqwfbM+AHIckZ3AEj0bxd8cfHOrwagmpf29qWo+JtD8m3t7GW+0+TTZ440VnY2kpjvZDuLuJRuH&#10;2hk8u2RV3ezDOMJhKMISi3JL+tf+AeDisHUrVm49T9tNZ/4KQfs16d4dvLbxUrTJDqMVvbtL5Vs1&#10;yWkVHli81kB8veC28oxyFUM5CHmPEv8AwUk+HXwnmv8AxD4Z+DviK4msVmkmsr2b7LGpRGfyzzKF&#10;YhSoJGM8jnFfhx4Z0q71iS18TT2OratHHLNo9tNB418yOKWNA80dvbHNwkUUToiCSXMhhkdWZRND&#10;H6ppn7SXxCi03R7fxxosciXml3EGjM11JqAsreO2ZZGt2nundbiYTbXDQZxOj28kEErxVpHiLArn&#10;jKg3dae+/wArf5HH/ZuKlOCjUS1193p952djeXUD2pj8svCzGOSZuIwylHO48j5HbkEZ4zmu2+CP&#10;9u+M/H9joc9ss1s15GLteu1N67z1GcIHbqM7fWvmiL9qvSNRkuLMfDeS4s/JkgT7RfKPtCN8uWXy&#10;2CfKSSPnGeOQd1e5/sF+Itb8c/GTVPFepTNa2t1fWsNrCshaK3Vnn34z8u7bIu58DPy5AAAHxEKn&#10;NVSb3Z+jVMHUp0ZTlG1kfUmj6odL0W28QJAsElveTLfJb5XEbSOfKZVQ5KlldCoB3/KCFdt12+18&#10;aFLpmsRwxzXGlqY4/MUFmt8koF7o6jIUgjofcG54i8OPpmoTukHznK3UJAInTgb1H8Rww/Ijpg1j&#10;ato91a6NHpN6kiva3X2W3aYKDNCU3wSDaB8oBMROBko/4+zzSgrHjKMZamzpfjyM3DKhUQQxrPps&#10;m4nC7Y43h+9u2ssUbn5uWAPY48q/aw+LfhDV/jL8MdF8S+HbS+877ddpqF1MjGPbEAnybceY0kdu&#10;fNBDYh29GNacGlXc9rcx2928ctu743cfKSeB/LH86+Y/2t/GcWnfFPwLpMeqQtqnh+4mk1BYV/eQ&#10;QyvAYkkOMcqrsFJyA+4jDqT52YYiNTCTh1sezlFGUcdCa1t/kfo14g/aN8L6F8H7T4jJa29z/aen&#10;rLoejWIZmvb8WV1N9gU28cmxgto6EhTsKMMZAFfO/wCyh4n+K/gr4lzeBpL/AML6pZ614gum13VY&#10;UeG9Rir3byyxFVCbkIZI1UEM0P8ABuDa3ww8QeIdP+E+rfCO88QW5Oo6XqB0nT2jSNbuOZI3FiHy&#10;vlmWU3JEzNuj8wYyBivJvDH7TGj/AAm+GNx8YfCHiiPWvJ0Ge+trLXdetGa4tIY0ZiZwUVIy3loj&#10;ks0k88EKLLLPDby8WJxVapiMLUgnyu2293uvu8tj1MFhaNHDYuk7OWq17L4enfz3+R88f8F3/gk2&#10;l+P/AA7+1T4Xt7e2s/Ecf9j6t5dvFGxvIpJntbiRvM3XJnto2VXEZWOK1jBc+Yqjw34O/DHWv2qr&#10;ax8VeI/jrPa3WjaTLYRaVa6eQMeUyF/MM/zF8gyDavmLuT5VA2/qh+1R4C+D37XH7PU3gPw7eS3n&#10;hHxh4Xt10fULGaT91DGkUlrOqhlkbypI4pPLb7xTa4wSD+MPwY8Q+PP2Y/jZ4n+EWqXKXMnh/Vrq&#10;y1CSxZmi862mMMroWRXKErkMQpAHKjJFfUYqWIqYeMsP/EhqnZN2673Pl8DCjTxns8T/AA56NapX&#10;W17ef5n6I/sSftX/ABG/4J6/BHW/B2mfEO/t7zT/ABfcXcOn6bqUv2fVWltLZUkhVlCOhWIM7spM&#10;ICrJGZGSJvCfjJ+0B8W/2p/idffE341eLrvXNUvVCA3Nw7JawKxKQwhifLiQu2BnkszMSzMx4v4i&#10;a5rX/CTSatq7yMsqqvku3ywqedo4HAJP8zyTnb8Mx2sXhWS0axRrq6mVpUuIwypFsV0LKwwxIYMo&#10;PBDBmBG0N8rxBxNjuIpQgoqMbLSPVpK8m935Lp66v+sOBfDvhrwswdXM8wn+/s3OctXFPalTXns7&#10;ayerskkse48I3SM0+lSR3QO4/Z1kGS2OBnkYz14yOepqidDsDeySWqSRzbg09vMu3cvIDYPGcgjO&#10;R0IPK4HXRaTCxVijfKm1Ywx2Adfu/d/SoZ9E8O+IbuTSorqH7VZsqzfZ5l861LpkbsZaPcpyDwSD&#10;kcV4awGIX2kdX/EYOE6kU3hqsZdVaDX38yf4HN674Et/Emj/AGK4k2HG63nSTbJE2eCrfWslvB3i&#10;TRbcP9omvIY4jJI7MisijuR36E8AYB5AyCe20K4j1K41jQotKsf7S0m4ZF03+0mZpFdFaCSZvKzH&#10;5qgEELJtGRksHRbHgP4bX3iD4QWOj63ptrD4ga1Ml2+qW+9xdKrBX3Ryt5YMio52P9zICxlvlr6r&#10;iKMeWclZPbffqY4jxT4ZxX73C4WpKo46NuME7bJtOV+u676o5/wb8TtKg0aG807XIZnt2d4biRkY&#10;R/IUOzGdzYyBwQNxJ3Y2NuWviia+g/tu4t57mWSd5H8qEybiDhhxkDJVfUlRjryJvjdoOow+BdQ/&#10;4QXwvZSapJAJbezWLCtdNIJGYMXt2RhIWcTAo6EB1UsoUzSeG7vRPAcOsWC31lDbaSn2XT7rR57+&#10;5SXzIYofMFjcPLIoVi7iIuxUFi4KlJNKeV0ay5lPd7Hk4rx2zTAU1Rjg43SWrk2n8rL89A0nSfE2&#10;rajDfx6GVaRj9meWRVS1Dlt0m3k7juILYL447nPceCPgPf8AiG8WfxHqUi79yn7ENzx5x8yu6nAw&#10;DldoGec9jHY+KNN0jxpJ8PoLKTUdWt9PTVbtbbTrlVXTmnkjMqCNJmkdNm3yx80jEY2rvMfvnwz0&#10;u2jnh06+a3W4mjz9nSQncAAH25ALKCwGcD7wyBnFcuIwtPDxvZnxma+M/GWZU3TpShRXXkj733yc&#10;tfNJM0fBX7P3w60i3Z9O8EaeziNgGuLcSM24fMpd9zYIPQnofSuf/aL+BPwq8Hfs6+PPHPgv4c6H&#10;pPiDSfCWpXum6xYaLbxXFlcR20jpNFIE3RujKHVlIIYZBBwR9CaToyQ2GY4fvcn+X9K85/a7sJIP&#10;2S/ihNFESY/h7rTbVU/8+E1cOW4itHGw5ZNe8tnbqj8uzPG4rMZOri6jqSd9ZNyf3u7Pjn4SfGy1&#10;1LxWnxJtdaF1HJqzSyTsGDS4k378EZwwAbGO5rH/AGw/jpF8R9B0fwV4Xur7+z5Ly41e6iksZYRJ&#10;cXJG1vmIEsYgSNkbapJmlxuVlJ8a/ZY8X3OtyabaaTpVnA+l2css0txGriTyU+SLaxAw7hYyTkZl&#10;yRhSD3/iDTdIbXrvXfFfiRdTvbqQFrbSW2p91hkyNGFUqRGeI2LbnGU+836x+7p1qmIqySV2lf8A&#10;H+vU4fY18ThadKjFtu1+1jz/AOCuh3HiTxNapJp6tZ6azLdSSRnyxNJLIIgeMM5IDBW4ZYpM5AYV&#10;9WfAb4qeIdL+IMnwo+I91JBrGh+ZbLqEnNzLbrMk1tP8zfOYGRHUfeKMw6ENH5tomgeGrXwReeO7&#10;qW38O6Xpd99tSC1jJjaQ7FI2liWZgsabiSzHbncRz4v8cv2j/FvxO+JP/CZWki6fceZGLY2P7t44&#10;04BLA534Ayc9c4r5vFQlnlZxp6RirXff/g9j3MPKlw7h0qrvOTu0u3/A/wAz9KP2gtGuPjX+zR4q&#10;+EvhrVlhvtUtY7mztyylGminiuPLU5VdsjRBVfOAHDHnKj8/vGvhnWvCPjbUPCGv6dNZ3Gnzx2LW&#10;t0mGEcaAK3HBV1/eZHytvDDIIJ9C/Zs/a01PS7hNP8T6y11cLtaZJpMvz0YEnqc5P1/GvpbxdoXw&#10;a/ak8GW6+JLcLdW7L9n1C1ZI7uDBPyqxB+U5IKsCp64yFI8nAY2vkNaWHxEbxbvfrfRXXdWR2Zhl&#10;tHPKEcThpe9bbo/J9nc+BrHWrWy16aaw1O5trq3jW3tGtSvzNJhZhJuPMRg82NuG+aVAVKlsfRHw&#10;ZsI71bEwyBlihjjVB0VVB4J6n6DAHPGDXmHxY/Yc+Onwy12bWtFtF8UaT5jNHdaRCfPQEoAXtzls&#10;knA8syABCWKivXv2U9A1ae3t9Pm0uRrpZcTW7LiUN6FMZHpjA/OvtMPmGBrR5oVFb1/zPh8Rl2Oo&#10;y5Z02n6f1c+hdd+N/gb4FeHPD0nxRstPm0HxTqA8NX4msxI5lnikeDcTw0O2KZWRs/NMMDl8/GH7&#10;cH/BMvxd8KLi/wDif+zjpdx4o8F3sPnW9nZbp77Si+FMe3l54xuBWRdzqoPmZ2GV/SP+CtNlKf2S&#10;fD73Vp5Mc3xKtI3WTKtGy6fqK8e+f89q5L9gH/gobrXhfRJvhD8W3l1T+z7VRpzNJve6ixtVG3H7&#10;2cKWPHzLkjOK4cbTxeDr/XMLre3NHuuj/r/M6cHLDYuj9UxGjXwvt3X9f5H6RfsE/Bs3f7GOi/Bf&#10;xbo1zb2cvhOHTrmzjhSJ4nnjaO5eZkVVWYnKmNlkki27Xl8zzIofie3g8ZaBpNx8SnuptHjS48/R&#10;ZJNeiW5WRJsDzoAfOO4BgrKqKGCtkBiR+tvivwL4Ye31LxNp3g6OTVreCZrnT7dfLGqrtbdbTqBt&#10;mR9xwHDAMQ2MivzD+Inwf8U6x4bt9V8RftKaI2i6heXKx6Za6jOtvNDbxukM5kSM28m97d4Yyzb2&#10;a3k6cFqrcsZJye79TkwdGWIhNxTfKu6X33/Q8q1XxpDqer3Ot6LbNp919oadI7W4IgEjbfNCqUUB&#10;Gdt6x5G1V2liQpPNeNLnU9T8Z3c1/Y3NvNcILr/SoSjOJfmDcqM5PGcYOOOldE3gjQPCN3eyaf8A&#10;F3Qb6SP5I4bcXY81jIUwrPAEAVfmyzqMMCDxiq2rQXem3VhqVw/lTRxuJI/kOVxgtGpxtOCcHHJI&#10;ZcsCampQjiIckXZGmFxdbLqrk43uYw8baH8Nol1Dxmky/vPLjsLeH99M+fuKCQAeerFR79as+O/j&#10;t4j+IX7P8tl8PvCWk2cOseI7rRYbBtSf7ZdwnT4CpkwANxluhlQCAQq53LvbB8RWU2oeJLjxhpln&#10;9smt7WGNre9mXEwkaTa25nEj7sy/KBuG1uQpJPK+AD4YtvEGnafq3wzudKvNL1A3i3OjqJJp4/JE&#10;4Vy5fec6YowfvGRyCDgV2QyLDYWEKr1k9denyKxGeYnFRcL8q8v8z0D/AIR/4czw3Wt678D0hmju&#10;tfu2+0SJb2rW3+j6NbSbfMZo41kkmz5hGxtzZIXeaug/Bb4DfFHTtQ1qWw1bSFhh07SrbUbO52W7&#10;LcWsyNeTygbVtxcWrTOw3gRmVdoYKC3xZb+GrD4CeI9VuvH/AIwtr/Up9Bh+0Q2hQXUkltPqUSyS&#10;RbDIgupFlJ2uFcx7OVBHo/wa+OWhaU83xB1L9pK603WNW0i8m1nSdM0+IGXUork39tItwI0AE7CR&#10;DEhVSqmJmYZL+jDDuR40sQo6nBeAvCf7SP7M+jaPr+p+F9b1HR7pIhcCKxaP7JO9v9qjSORggmVo&#10;WRlYKA28KM8A/WXwx/awfT0/s3xheSabLBfTWMkOqRGNhcQkCWIk4G9Ny5XtuX1GfVvhV4H0WLy1&#10;0t/GA02/0kRa54s8YawbS30+38xVt1hjbPnSCCFIhkAv8pXysBhxP7Y3xn1b/gnb8FdP+L3wa8K3&#10;Om+HbjxBb+HdK0O4kjjuLmBraaWO/laWKTcxjtYoclA7iMbnOwKvj5lw1QxLc37r7rr6npYDiSrR&#10;tT+JefT0Z5//AMFPf2hfE8H7PXg3wJ8NIppNQ8eeKPIW8sY0kDLAoMcKhlJ8x55YWVlIwYSM/NXy&#10;v8CfjXF4Z/aE8E+CPiNptpq0f9vRr4dsp7GJzFd3csUHnSymZWt57UpGUWaKQEqxQQlxKftj4cfE&#10;zw5+35+z3p/xh8UQXq3Gm6ldWOg6hJbW9vdWCeWEdVES+U8e/D+XKrxs0UTMhMabfNPjD+wtJ4ht&#10;7PxL8PtJ+HNrqun+JG1X7XN4Z/slmhDs6rLdWm6ZnAI3SIYiWG8bDjEYXLqeBw/srXe99nd/gj0a&#10;eaLFVJOc+RPpq49e2t/uMj4wfsv+AbXRPHniTXr/AFC0uGgk1vQcRxNGqw216/2Z0kiZHbc8yrII&#10;meIFZEk3O4PM/wDBOP4s+ItZ+Ivijxha3N9daGth9nure6vjM1xdEWn2eR55LeOSUhYb09DHF5wC&#10;Im+Qt6pceAvHWpaTqXg/xV8QLW+0/WNBfR9XeE31zdi38ryVWK6nufJZioQySizTzHMrBV3hhDe6&#10;t8Ev2W/BMGnRWMGj6fJJJ9jsbGFpJbqUKC2AcszYCqXdsDKAsMrXDisVTpS/c7/gelRp1sZB0qi5&#10;uZq299LWt6+aPRvE3i681BJNb8S6pHHbWsckskk0gjht4x8zHnhVAHLE9FyScV82fHb9tWPyrnwv&#10;8HrjLbo1bxCyg9iXSKNl5/hXzG/29q/dkryv43ftE+O/i9c/Yrqf+z9JCkR6TZzP5cnz7g0x/wCW&#10;rjC4JAUbcqqktnzrnPlk/KM7fevHalKXNN3Z9tlmR06MVKsl5LovXv8Al6nRyXGr6pczanPO11Lc&#10;SmWa4uJGZ5HblmYnkkk5JPJNFUdNvkhttkkbbt3UL14oqj6RRJfEyaR4k/YTjsdalm8m1+Niqixx&#10;szyD+yc7cLk4LqCcc/LxzivNlur+wv2E0uZIVKPFNI3ygYBBDjsOmc46V6Ro2hXmu/sOX0dtceTJ&#10;pnxWh1C7LLuVYvsTxqcAjCl2VOuTg8nOK8vutD1S/tZrzczq0uJLhpj5nQnjryeOeSOmOQR72K9+&#10;NJt6W/Vn8z6czXn+iFi8cX2o+OdUureWS8t54L+Frm4XMrrPbPF8/wAx+cmU5YE85OMcDe+D3iqy&#10;u/GVm8zW0lu1rDZ6j51w+RsjSFWMO1WV4xGz7huQMV+bPFZNj/ZKQx2unyrbzW8x22UDhnkfOeWY&#10;7iuWPPQfjkch4JtINC8VNb307TtDeyfaDbxKSJFd1yA6kZDAHn+E5GD0VDS846WsOUYyg0j6g8R+&#10;JdNfwneHUtf1a1t/DOoXF7Itj5sbm3EmZ4zCitsKsu8qRtVPMBB+QDwT4h/HOy8ReIrnTtG1m403&#10;SpI4bK6t3sC0kxSUSJFOXJdI0KRqm4nAaVc4aQH07RvH02lX9n4lS5a+0+2hSOWZ+fIXLsozlcAB&#10;Wby+ARvI6k188/FX4cx+D/ihfW9v4ZK+GtSv3/shZmJSGNl8z7PHJI/mO0O/YfnDvtViPnAPpUnR&#10;rUnOO/X06f5fcPC15QfI/l+v9ep0mo+J9Y0TWrfxPZRJ9qurwXdxcXV40YkaT5wSznO3z4J5ASCB&#10;kZ6kDS+I1ho3xXs/7R0rdJ4knu5rl4ZLr57hpNrfu2CbWUs5byx5aAsMYDHdwNzq63i2t3dWknl+&#10;YbeRpH86TyTyCCc9AJQOnXHTitm18Ta3YajZa9PeMupQ2qQ7o8iRVV3ZDvPJYLJ5WCOBEMEgAK6M&#10;409ZK/5/I6sReUVKLtb8St8PvH3iv4L6jH8QPhb4k3XWnzP9tmW6xJPA5G2OVFDIqApuGHb5mVhz&#10;GCnWftIXnwx/aG1fR/iP8EPCtyuua3bSDxbo6K0Nv9uQJm4hyVVmmy7OkeQjJ1YtvbsfBPjH4cfG&#10;fTLjwL8VrKHT77VpIxH4mt4vLlNxujWLzyoXzOQM7nHDH7pLNTLX4aeF/AfjPUPANx4XhtL7Q7df&#10;tckJklto5nnRELpIQwRmmTKjaQzEZwMH2sPHETw3JTkpU5Prunv8nZejR5Mq1NVueScZpdOq8+6v&#10;9x4NYaF4k8FeI20fxP4eWznW3WeHzo1kO3OA0b8jGQwJU8MhHVSB9K/DPxTpeofD3Sltb+JvKs4Y&#10;JR5n3ZMKm059W4A75GOorLh+OOi/EvSk+Enxm8M6fPp8c0q6Xrv+kPeaM7xmPzoRuDyxjEebVmEb&#10;eSg+XAZec8N+ENT+Hel29vrUsFxdWMjyw3MNx50ZgaSQZj2c4aNmOxgHDbQygrtXPGYeMad6TvFP&#10;Xun2f6PqduBxPtpOM1Z/g/Nf1oav7O2oeFrb4++NrnXRdRQW1pBfQW6xwvGXXYvmzRM25o1EpkOE&#10;cquS4QAkfQmkeI/F+s2d1daSug3LWemSyWsiW7xNpqMfJk81syjy5Y7kxTRJ5gXzG2CFk8yP52/Z&#10;cVdf/an8cW0em/abiXwTeG08zTpbqCJo1tHZpUiYNgxJIq5V1MjRh/LVmmi+npLG5sopPD19PZeI&#10;Ibq61K6t1js5Y0ZIrK9Sa8VhHDL5UMMsUrW7GJWNoVkjBDQj5DMJf7Za/RHeoylH3UcdqPxm0HSj&#10;da7p8Fh/wkWtW8rapJDoTNJYol0jiMz4NxEJA1z5ywM7tCsMPmtvcJrW3iR/hYn9veLfhb4/j87V&#10;Dem9uGkZ7maDbKn20hEk3lvs0v2mLayi4eRY3mCMcrRPEvgbwTa3XxA0jxPrlrq1jDD/AGHrElvA&#10;Y1uFJWXdE67VPm+SVkL5ZbaRNhSTnrvhvLrHxC15fFEclo1jbRiwvbnUoZZICF82aVZ4muHicPHN&#10;MiqmHzDGVCmaUPzVqkYRu1e2+pPs5PQ8j0L4YeIdSnuB4en86yhjWW21BreSOO6jZht27l4crl9h&#10;wSill3LtLfdP/BNP4R3s/hnVZ9VKrCtwZ7eNpPLlljYCLeqg7uGiYZHQlfUV5nr1n4Uur1tV0eCy&#10;hWWdi7Qjymdw5WRFQcMmQsxyAVacklzIZG93+CPiSy+H2uSa/eziHStNt1sbiZll/dqEhkYqIgSG&#10;Zy56HaZGPG3cOnAOnWtUS0ue5XxeJrUeST6dP63Pd5fGyWWrab4JlsJtUuruRIIVZkV4GZgNzSEY&#10;Cg4JIGc/d5Iz5z+178V/D3wK1WHR/EviOFZZ9PffZ/u3upYxKzWk74YuFUxSxAAHP2jcwXYzV4T8&#10;Wf8AgoZB4i8fXGqfADR7rRLl7smPVtWhjke0KyuH2QsZVcbdmHc9C48sHa48og0abxz4kbxN4o1O&#10;8v2lnM19qGo3TTT3chPVnYlmOO5OT9KnHZ3Rw/NTgry/D/gnflvDuJxHLUq+7Ht1f+R6frXx4+JX&#10;xbuZNJ+EVncaLYXMbDUNauNgkc5C5tsKDCMLncS0m5mYGM/KPRv2P/2LG13WlbULdruyuL4nUNUu&#10;LdWL3CxPKETd/FgE55278n7yhrX7P3wfuvH1tcatZ2CW2haSIhfXK7VY7idqIvcna3ONq4OecK33&#10;B8PNOgtl8MweFvDS2+k22m3hhRfl8mRrddqnnczE7nyeSyktnJzxZbgcRmlT2+I0h0Xf/gfmduZ5&#10;hh8no/VsKvfejfb/AIPbsfNPi/8AZ+u7nVLqws7Z5DYKiwspbeq+SsgwfZCK+I/H37KvwLvviLb+&#10;F/GWg3Ok6TpWqq39l6JcCzt3AwAHRV+WJgp4QoVJkKlWYsf1Y1my/sLW9D8T27ht2vSDUvLbcpjj&#10;0qeJw3cqDbhsEZyBgZIryH9tT9kqP4mX03i/wXaRQ317YxeSk0hRXkhBXYDggFgCQTwX3ZYBsj3c&#10;ZgaksO1h3Zra36HiZbmVOnik8Rqn37nkNj8TIPh9a3l5BYxzaZLaH7bYx7VxtGQ8JJARgBwCQrDg&#10;kcMv5b67ZaT8QP22fFWuiIxxap4w1CdY4bhG2br+WYLvTcrAY6gkEcg4xX0p8X/jvceDPB2s/D3x&#10;fL9h1C3kNncXF7IIRHzgq7MQqduSQMHrg8/OPwku/h0/xx1rW/BvjuG+2y6rLFpKWMmEt0vZEhlF&#10;xykm6JojgEnD57GuDI8VisvynF+2veMWoeTaa/B2Z93g8pwOb8aZTSja1StBzXeMZKTvbuk1fr8j&#10;tPFVkPFPjWQzF/ssTPNdeTHlliTJYgeuBjt2qv8ACS8OqWms3ZhijMmuyO0cKbUXdHG2AMnA56dv&#10;U1d1C1Wx8PyS3W1bnUpt7ZAO2JeQPYlsH/gNM+BGiSxeHrq/n+7c6gzp/tKERc/99Bv8ivmMtet/&#10;kj+hPGupbIYx6ymm/wAbfh+Zp+JPG/hvwdfafp/iC5a3OorM1vM21Y18sx7g7EjacSZGfvbCoy5R&#10;WpWXgrUtN8ZDWPCevtbaXL9qe+spL6SZHvHMrtIUcttUSY+SIxnc7lmAG17t3dN4svLr4feJdDtf&#10;ObSzPcxraPdW9pJ5hWFvMmiSObeCzKNo2tBIDu6jVs9OstD0220bTIfJtrW3SC3j3ltkaKFVckkn&#10;AHck17rl7ONlu9+3l/XzP5VjH2kr9Ft3v1HNa26XUt9BH++mVEkYsTlUBCjnoBubgcZJ9TXReEWm&#10;E6gqdtc2knz113gdt06Ej0rire9HU9XC1OWorFfxJpsmo6vDaREjzJVXgZxk9a6nSdMgN4lnEuI4&#10;1CKvoBwP0q1cabZG8/tBIB5iqdp/CmeHpwuqbn65qKd1QOPMpc+INLxP8C/h38Rl0u5+IHhHS9Wi&#10;0uaSSGHVNHtbpSHQqyfv43KKSI3PllGLRICSuVa/4A8Kw3Hxok+PHiXwdqlnH4R03UoNJS7RdTuL&#10;iWb7Kst5ZW8Bne3Q2tkI0ji2zTteTboY2B+09Ta5vdOWFT19q6bwh4Ns/ENpceHta02G8sb+1ktb&#10;y1urdJYpopEKOjo4KupUkFWBUg4IIJFccsRUjG1/L0T3seROEXuejfC/49/Bb4j+I7D4beE/E1xc&#10;a1qXg2LxTY2k2i3UAm0mSRYVuQ8kSqP3reUY2IkV45FKAxPt2PiV4N1DXfBGr6TpEE9xcXel3VvD&#10;Z28io1y8kTKsYLEKCSQMkgDPJAzWT4//AGh7D4HaBa/CvWEv5dfvtJt9L+E+nXmo/wBp6h4jvFNv&#10;BI225uIg8UD3doXa5vYZZyLokxqizy+j+CfFcU6aH8S9b0u60Hw/HfLdapHr+klb1LRLmPE3kNu8&#10;rdAJJRFPGZF3RpLCjiSNfLhh4yxMXFNRbSV3d9NdP6umTGpKNm90z8x/25P2Lk/Ys0jwX8RdL8Vb&#10;pPippc1/qvhuSM/aND1GB1+1Qu65jkVjcIVKsSG8wEBdhbxr4dLFreorb3kuIV5kZu/Nfqd/wVT+&#10;KH/BN34s/sweLvG3xJ8NeJl1Tw9YO3gO+0nT4LBrW7JhiRj5doqmORlTzomDDZ9za4jaP85fh74h&#10;/Y58c/s+eOLDwJrxh12LwPfXV5J4l1CNnk/dBdlthUCMZQqoGQSZmKhnDV+iYvA161o3stlfoetS&#10;znB0ruCu97f10XoeV/tFfFvTvF1za+B/BdzHNotjtkaWFQVuLjDDcrZO5FU4B4ySx+YbTXldtbf6&#10;RJcj5towvH5mqls14Lfz4/lXOyFcf57V0dno09n4dW+mLNNevthGP4RxxXoYehTwtFU4dPx8z5nG&#10;YirjMQ61Tr07LojmbjXNXtbxtUtpnjmZsrJt6H/P6V9Afs3/ALTd6qx6ZfX/AJV3GQGy2N4z1rzW&#10;PwWbiyW2eyz8uTlafpPwK1TVdTjl0W6ktZVYsrqOQRWGOwNHHUuWa16M6ctzKtl1bmhqnuj9HfhN&#10;8dtM8T28el6gY9+3vyGr0+2+HPg/xJPZ+I7Oz8u8s5vMhmh4dMjDLkdVPcHg4B6gY/O74T+Gvj49&#10;3a2Gj2wmvHkWO2drhIg75wBlyFGTjkkDvkCvpz4Z/teeL/gx8IPGHjr41fD3VII/CNiWnkktZY47&#10;m4LiGCFZAjKPMmaNA4BAD7j8oJr4jEZHjsPL3Y8y8j7mjneXYmnfnUWt03Y8D/4LN/H7Rte+J2of&#10;s56BpTRrYy6FqGrTyL5WNSt7O8zMqKMTedaalZRmVmDr/ZyJtKhDXynoWqa54T1PT/iH4H8UXmi6&#10;9pbrNp2qaddmG4gkAxlWUhh3HuCR0rn/AB74z8R/E/xdqPxR8U3azanrWq3F/qEka7V8yWRmbaMn&#10;auTwvQDA7VY0yFpZPtUU/DwhHj2jsTzn8T7HNfo2Bw/1bBwoy1skmfl2OxH1rGTqx0u216dD9b/+&#10;CR//AAUn/ad/an+IuqfAT4t6/Z61JpXgdr+x8QT2+b12tp7WOKOT5xFJnznLMU3yHYCTX6deG9E8&#10;Aa78DrFYfiZe6b4ourOedZNT1i5iMHl+ZLHGzyiOEZbMbOWQB8fMdjxN+In/AAQU8Y+Hvh3+2Pq/&#10;iXxDr+oWNtH8PdQjePT7Ozm+0M1zZhEdbqN12q22UbCjF4UBYxmRH/Yaz/a5+B2nFrmxu9Wjmk8w&#10;XUb6PpUStGQx2r5dqdjAtzncrbCdqs5K8uLpvnXLdddD3sprUY4NR2ldu/ftfy8j57/bj+G0Hxi+&#10;Al94ntWuU8TeAnuNS861vkZpbAIDqEYZpVRT5SCbcQ7N5HlqAXzX54+KF8H7rG58PT6pPaRRxrqs&#10;17IubqQuzkRhYx5Q2bIgrGU745HyFZVH7O6R+2X+z1ba9NezeA9HhBZTa30ejwSTEgINr/u1MjAq&#10;4Em5SAVyrYNfKA/ZE/4J6af4cm8Gw+NfGV1pd1q0N89vqjYkg8pX2RiWNUDIBNMmSoYrIzZ3Y2lO&#10;Wt3cjNqcMRWU6SXmfl9+3Hqvgf4T/G5vD+j/ANtW1pHoEEuki8mMkl1E0zsJPOa2iMsNxEEmjkEE&#10;KmKVCRkb5PPPg/8AHbwPba7D4t1nxLfadcJeW000bagshTEc0YLO/llwDMuQqMAgbPTB6L/gsDef&#10;DzTf2urj4X/CaGebQfBHh2x0bTdYvEj+2anE6vfCW5dI08yRPtn2ZS2SsVrEgIREVfluFoz80iFv&#10;Va9SNacqcU+h83VpR55I+zNO/ah8UeBvCdrfaTf2Go21vp+l3Nsuum3s4rltK2XzQDEkb3L+fLAo&#10;x82zcoLON49HsPil8LrzxZpfg6w+Men2tnZ+H72S81/RNUt5ple8trdFWSWF1Bl8yztDu+9E27fn&#10;5UH57WqGKSK8tjsbzgBt/gzj19j/AJ6V2l54t8SeIbD+y9V1T/R1mEkcccaL82MjkKOmSMD1rohi&#10;nHeNzjqYPm2m0frl4A/aj+BvgrXYfGNz4o0TULu70/zo9X8Ta9b6temSFAglS08/YqkhmXJyqzgF&#10;Y2gff88/t7ftXWn7S37H2sWRNrfahonxT8OvqWvWev3OoR373Gk6uw2ma3hEKxBGhEaqwHlHDsCo&#10;X4QsvJjfe8e+RQPnc5J9q6yxubn/AIRebTRfzrp80kc01qs5EUsiBxHIy5wzKJZFBwSBI2CMnNVs&#10;TKtG1kjLD4Gnh6ik22z9J/8Agmnr+naB/wAE9NP1HVJ1jVfEV9tAb5pCJeAoPU/TgdTgZI7LXfiL&#10;qPihntLZmhsflH2fP38H7zHuc846DA6kZPlH7KkaxfsA+A7eKRIlOva88km5VRUW5Ul2Y8KFAJLE&#10;gADJIAr0X4bfET4HaN4xt/CWqeMhda27CS1uIdPum09f3e8bbvy/szNg95OGwoAYc/NYz6xicVKl&#10;HSKtd/Jf1Y+jwv1fC4dVZayd7L5/1qdp4G+HF1rEcepawGt7VslUXiR+wPIOB7nkgcDBBrrrz4Nf&#10;BrXLn7br3wj8L6hceWqfatQ8P21xKygYALyIzHAHck1e0HVtM13SbbXdD1G3vLG+t47izvLWYSRX&#10;ETqGSRGUkMrKQQwJBBBGa1ICCM+9b08HRoRslfzZz1MwxNSpzKTXo7WPJ/iZ+yv+xZdS2t/8RfA/&#10;h3RWmcx2ph1ZtIWZsZ2qIJYldsc9Cahg/YU/YrS/uNMj+H1u1xZqrXlu3ii+aSAFQwLg3GVBUhhn&#10;sQeleqeNPBOgfEHw9J4b8R6ZZ3lncxyR3Edzaq77WQqTFIeYJOeJVBZeduDhhz9v8KrrXPFs+s6/&#10;D/YtuujTaPat4f1aKT/iWtEqJZ+U1jEqRxyAzowdpEkdl3tCREM6lGn/ACL7jvoZjjFFf7TNf9vP&#10;5dTlNG/Yk/Yi1rTY9S0f4f6deW0q5iubbxVeujj1DLc4P4UVF8bf2YfG/wATPFcOqeGpNLs9Ps7V&#10;re0jk15o28s3E0wGxbBwir53lqoZsJGoJJyaK5/Yr/n2vw/yO+OYVnHXG1Pvl/mfm7+zLq2ozfsx&#10;/GrTNXvf3cZ8Puqox2oz3rA4HY/KoPGOBziuJ13xDBalYXZ5mmbb5m3h1PUFjjBPbOM/njqv2Zby&#10;XUvhJ8UPCt3bSPJcaZp995Sf8tLe0ug7jODg7W6kEDqRxivPbHUrLxP4xvruSxXZZ2wH2dWZolm+&#10;VVJ3FixI8wsCT17AcVXi5U4W21/P/gnx7j+8k/T8rDrL7fqupxzlZYGjU7zj5gpAAx68d+K6Oy0D&#10;TjcnV4FXzZMxHcCCzZALknqTz8w64H4pa6KI9Rjk8yQ+fGRMvUZJ47jnHP557mmPrQm1uy0e3jmR&#10;VuFW48mMszkHOAOGAJAVu5BbqCQeflqKStsZvm5tDstH8Oalrvh+40jRo7RYb61+ySpfST7QCQ0U&#10;uY8YCOiklsjeUDAgla8e+O0VvbSWFnqN/drqmj3FxBdwN5ZWGQSbWKSBiWyAoOR1Xg85PrXhvxBB&#10;BqLeVEq+eyiSVd20KWAzgnJC5DDBPManBr5l/aI1+bxX8SrzX51nhkuY4xdWd1b+TJayRKIWjZck&#10;ZzHuyCeGAOCCB6dF050k43TWmq/L+u5pRjL23NLVf1uO0G4tdbjurFL1fMWRfsf7sb3n+8vIGONr&#10;DPUb/wDarWvtWkOjXHjKz02G3ayuI3d38yWO4k3JF9nKlvlUxnzCwH3twBGRt5jwdoupWGkf2tNb&#10;xNb3kkTwyRh2khkSXYAMYClst13HAPAzmu/uNItH8ReJdGW9tWhsdNuIY1jMYF5KIGRMAfI7eYud&#10;wGS+SGYnNPTmsz0H8NrGHqPxQ0/WrIWcdmLNd2+SLbvG7/ZIHT8B+IrS1/48Xl7p+nzwxtJrlhHH&#10;aSakshVL3T0TattdR4/fFMRiOUFXjVMFm2QGHzWK3ljbLKdyn+VTP5kww56dK6KPNQd4No5ZUact&#10;0enax8SPCvjrVm1yOZrK8upvMvIZ4iWQ7QWdWUFSufl5weD8oFeh+EdfbxV4Ps7me8W4GnwtbC4S&#10;M/vVWV2BwBuY4cAdTgAc186aBg60ilvvRndha+iP2WtO0i80q6gMLCaO+YQq2dgXy0yFGcbufQEg&#10;8ZAIFSlJ3lffcqjTpwkrdNjmfg1478KfB34+eKJPHviKHS7W+0GaySWcXflHzfs+2Mi2jZ2XapXO&#10;0EbdyssgRx2mp/GT4L3EUsXhj4waTHbZVo47yPUvNgboQsn2dQw2jGNnGOCB19C8R+DfDL2kg1Kx&#10;hdZsIyzKu19xxt565zjHfIFJ4D+EvhLRPCNxqlz4PeRZNQlMd1DLI0qxItt8jRgjeuWBIIZiAV53&#10;Fa5KmHpVKnPLc7KdV0+if3/5nMXf7c/w00+KOx1vTdP1yGOMjzLHTZjvUrtwPtTjgDOMqDnByWVW&#10;Gt4J/wCCj/wW0SRLHxB8ONYl0eZ999pkVlZPA8g8wrI0SyRRzMPOmiUMAqq43B1iSKvUNH8C+Gjp&#10;yyWdtb/Z0BTdGBtXaSpUY9CCMdiCO1c/qPhO2u9Qa48M6eqqqyCS6KgxM4KgqRkbjxjI6bGXcuSD&#10;hUyvCSpuLvr/AF2LlipVJJqKXpf8btnqfwo/ae+FH7S9jCnwltdRhsfD9mmmCHxOqyalNDE5kjZ4&#10;be5lVYV+0GJGRV3bG3ElRt9x8Fap420zQf7PumhmtLi68y6b7O8XWNE3ZeNmOFjRRHuCqF4xk1+S&#10;/wC2LaReH/ixYrYq8dw2iwTySbgGM3nTAEYxjaFVQeuEHfk4iftQftLeV5SftDeOWXbjYviy9GPo&#10;RJxWmFy+GGgo0np57/eKWKcn7y+4/THxX+zyNE8Ur4q8IaDHNpeohVmtba4814JRuLuilQzqwCZA&#10;3OXfjIOF98+A37PnhI+G9R8ceO9NdrDSWWOxjSQsk04DeYkkOAZCA8DLmRFyRvV03Cvxj+Hv7Wn7&#10;TeneL7HU7D4/+LbiSxlLxjUNfnuoxwMgxSu0bg4+6ylScZFfRXwM/wCCv/7b/wAG5Lx9asfC/ja1&#10;v7JbaXT/ABR4ZHkhQX5H2CW3dn+c4dyzJgbCmWzzxybCRxnt5K/lur97Hqf29jpYP6vCVrdetu1z&#10;9oP2fLP4bw3HiTwj4CvpW03W9Hs2t1voRG0U8RmzEACV6bn2rwCHxkDJ9a+CutT3Xh60hRwLmT7W&#10;EjnYLieGYwzD2UeaMd/lX1wPw38A/wDBYH9pCy0G10VPhV8P0tz4okuryZrTWAbSVbfYoDR3nnQ5&#10;3O2YdrBlUBgqhR6Jp3/BYr9rLQE8E/FHwRrlr4k+26XJF4t8G6lpEc1pDeQ3txHGUuBbrJDbTQLa&#10;SSrJd+eXWc5hja3YenOpToRtb0X9WR5Ko18RLf8AE/XTXZ9MuETw3d6rsuLy61JLAeU22S4e3uTt&#10;LBeD5TyN6/LwWA5+ef2qv+Cp37Kf7LvhG4HxA8RnVtcs5JYpvCnh24jmukkW7VJ4yN2LZ4mlYhLh&#10;ofMWGYRF2idV+D/jV4rt/HHwotdL8bftkeOvE+tW+sX114i0vStUuPsssr+QIvsMMqLbToqz3e9p&#10;JbeMo5hiWTyTPL8k+MvBXi+z02bX47WOz+y2rxWMcDfvXjCyIiPyWjZ0KF2E8nz7hucbSN6cudXh&#10;F/NW/P8Apk+zjG/PNL8Tmf25P2qk/bA+Pt18WbPwxHpenRW32DSbZh++a1WWWTzJuSPMZ5nbaCQi&#10;lUDPs3sz9j2wmn+JkkgGVj09kZvXc6EfohryDVNZn1HW5tQuIlT7VdO2yNmKqDkgDczMQOgySfUm&#10;vev2F4xN4i1qeQZNvaxyDPb/AFg/rXm55Lkyeq/L82kffeElN4rxKy+L/nb/APAYSf6HsXxG1ELe&#10;SLGwKwQ7E9uOfrzmtz4S3FpYfDDT7q5lWNWMu5mwNzG4dRj17fr71xvje5UmdiP4WrsvgpNJL8ON&#10;NjkddqCcKFX/AKeJT/Wvg8vXLA/orxsr+0wNNL+df+kyOguLazinkv4raMTSxqkkyxjc6rkqpPUg&#10;bmwOg3H1NZd7dpE37z5c9z0NampOyAmudvdRjt5pJwUYR/LLubhDgHOc/Kfun06etd1SU4xut/M/&#10;AcmweExuO9niXJQs2+VNv7kpO3fT7hx1K1R1Q3CAnlV3ckV1Xg/xDp1hPGl08gMhXyylu7BskAcg&#10;Y6kd+MjOMjPnt5qf2K3W8u/MjiVN/mrC7hgCQcEdDnt9OOc11VhpdjJHDLqGseRIsHlxLJIqb5FI&#10;cE8ED34xyB7HOtOSjJaaW/rc9rA5Tl9T2Dm6i51Ju0W9tVb3O1r2ctGnpc9K1vxHYaICmorcL0G6&#10;OzlkXJbaBuVSM54xnP51X0W8SW+WVd67sHbJGVZfqGAIPsQCKxtZ0zTdWv11C41BpftAhEcnlr5j&#10;LG7TOQVKg7lHQYA256gYxvGXijUNMtrq68PfaVmz5kMwCSbRuC7X35JyH6gE7gvI7uPPGlJy2R59&#10;fK8HmGIoYfCVG6tSTT5tIpd72vo7339D6Q8BxLdxRqX6da9u+Evhhbi6jk2+nQZr5H+HXxJ8XaL4&#10;Eh1OT/TNTbWrWFbV5o0a4RpY8QwhIGMnmJ8u7ZuIkaVCVCA/VX7CPi74ifESzjvPG+iWKwXGi2mo&#10;Weoab5pjmaa4vFeL51AUxCGNdgLnaVdnYyYHkYifu3PMx/DuPweHrVpOLjSk4O0t2mldLRtO+j/D&#10;Q+kPD+lmfSliMFxCsUu7y2JUMwDKCQDhhhicHI6HGQCOI/ajubrwx+zD8Q/E1jbwtcab4J1a7txc&#10;Rlo/Mjs5XUsAQSu4DOCDjoQea9ptNFIsPli/h9K8x/a+0tE/ZD+KW+I/8k91vP8A4AT1w4GcvrS8&#10;mvzPn4U41KkIPZtL7z8Yf20vip+39F+zY2j/ALRHwN0rwz4S1q4tdPtryJozMZCy3SQeWbqV4iVt&#10;nJBRSPmUkFip+RPA2n20Fre2yWW6SeSP7N+8cbWHRuuCSsjDHIIfPBxX6U/8FbfEOoeLf+CYvwv8&#10;T+IdXhvtR1TxLoNxf3S7VaW4fRr5pWwoAH7wnIAAUnHHSvz/APg1ol5qmiyPaJF5drexN5krKoQ7&#10;gQOeOm/8O9fulP8A2im35XPmKkamHxrpVN4ycX6p2/NHRSeFI0+yaWi4Kqsfp82fmrooNGt9W1JZ&#10;4ButLFFhtV/vMf64GTWJq2prPqxEDrtVsKVfI/MHmt3wdqSG6WxaTgOWI+oAP8h+Vea7OZ2z0id9&#10;4G8G/wBoXFnFLb/vL6ciMY6Io5r2DwX4F0/TpWdbQO4jaSNWU/Nzz06Vyfw1eCbUP7XRD5NhpzIj&#10;KuWEshHHQ4wqtjvz7V6j4St55Z7e1klXzZGPm5GAcqTgc9f8MV0RjE5JSLdr4Qkura31LQCY7i3I&#10;dYuCoPH0IJ/rVL9v7xQfEv7AHxA1t4fK1CS30m31i1bjDjVbIiUf3s7T/wB9npt+bofB+oum6zhu&#10;4/tEK7o4mYfeB6Y4OP657mrXx++E3hr4xfBTxj8P9b8TLodhrnh0S32pTSiKGwa2lW6imlYowMSy&#10;QLvAAJTcAyEhltx0MObU/JXTpIJdJhfIKsnOPY/41p6FI8J2ZymcrXCwazf6FcyafGQ6q33GzgGu&#10;l0bxI1yFC2AVtuM7u/5UoyQnofUH7BPgz9ovx58SNY0T9mPX9B03Xl8OyT3lxr8cRjayFxArqrSW&#10;txtfzGhOVQEgH5gOG+kr74W/8FW9B8W2HhST4u+CjcXiZurq1mtxFYqxIgM7HS1ZfOkRoowFbe6M&#10;B9048u/4ImeJ30v9pzXjPbySed8P7uJdkbGNJDe2JRpWVWaKLcApk2kJuBI2gkfpt4YtLXVNEuvF&#10;E+r6bq8msTMJbjTdktskKbkW0SQZaRI/nyWPzSPMwWMP5STOMZaLcn6xVpPRux8QeMvhp/wUo8FR&#10;Wtrr3xm8KzXF7dR29pY2FrBNLKzzJHvJfT0VI1eVA0jsqgui5LPGjaGifDH9vqa4t7LWP2mNA0q8&#10;uGMMem32j20czOu3esaSWiicAsq+ZEWQk8Mw6/VcOg6Ld+Of7Q0PR7O10/Q7aO2R7O1jjE10sbRo&#10;m6NgdtvC8qCNlKf6UduGQ42p9Rt9MtJL29vY4YLeMvcXEziNI0AyzMxOAAMkknAFZ8nvX0FLGVtF&#10;zP7z8PP+Chvh/wAfeFf2s/FGjfFLxJDq+uRrY/btRgs47dZc2MDJiONEVcIVXhRnbk5JyfFoIWmK&#10;xg8FueK9/wD+CpmqaprX7bXjDVtX0mSyluf7OlW1mQrJHG2m2rRiQNysmwrvXna+4AnGT4bo0IYB&#10;ielG5rq46kdhPsu3iUKDFIzRhhwDnj9fpW5NqkSPH5RViZMY9FI/z/npg6tbmx1FpM8NExB9wKh0&#10;69kmlHmPls5Zveqv0FY7S3lEq53Cuk1GVdO8I28ajP2iZUV+6nl8/wDjuPxrjbG5YSqGc8mvVtW8&#10;KaHd/AfUfGRum+3ab4m0qzt4tmVaOe11F5GJ7EG3iA9Qx9K1jqRJ2PsbwDef2N/wSU8J+Kb3S7u+&#10;s9N8V3N5eWtqy7XQXEwj3qxAcef9nKjnbJ5bcbdw8pk/bv8AhP4S8TeFZtP+Gl3PY2cjy+JJrxXm&#10;uY1a6jjkjeN2iWFUikDxybpEL7Y8clk+mv2Edf0TRf8Agnz4DsvE2saJZ6frGrapaSNrbLsnke8m&#10;VYVRmUSFwrjbnJHQHnDda/YB+AnxM8Vx6743+GM3kKmwx2eoXNqggEjS/ZcLqEgjhLMVWOGJAinY&#10;CEwBzVqMZ1G2uxdGXu79zoNL+OHhbSNK8QeOvgZpA1FZPCrX1w2n2NxeW890r28dpcStHKIkQRSs&#10;0hGJpYIF2sVtQB4D8bv2hNEb4fafovxR0u81jUGhS+vPEmqQrqUNhcfabKK5uI7aZHjhiKSbAqCN&#10;RJLHshALNH9gfCr4O/B34a/DSXwP8PvhbbW2kzwm31DSZbd5GvF27GjlkvQHuUCExqZCR5YCr8oC&#10;j59+Pn/BLi8+JN9bzfDvx0v2e2vHm03w74zkmkt13Nvcm8tnM2xB+7jVx5hAIaRwRu461OsnG0tO&#10;v/AOrDyw/LJTj73TX8zP+Cf/AAUf0rN94+Nn4mvbWztYY/EWlXCk2saLJFFHLao00ot32LMqJ5iJ&#10;K6v5mCY3HoH7SH7ZXjDRv2moP2cvCZmtdPsb7Th4oubCAm4FjcCMTytOG3W0KpcoPMRUkR4wwlXc&#10;FrL/AGZP2Mrfwj4OsoPjt4is7j7FaLZXENj4euVt7q1t3DxC4kvIEXaVe6jkBiDOsqkShgS2/wDt&#10;X/svNqfxUk+NXg/RdB1q/wBVsYxfeHtX12ayuLq4txGsM8DNcJA0cey3eWJwoMcMgDM8qhc+WpyS&#10;XyWu3mXy0eZb7Xem77HmnxY0f48r4kgHwZ8ceNpdFOmwMLuL4panci5lZdzSfPcM0XBVdhP8O/jf&#10;iivJPC3gv48+HrS5sfFv7Mvxd8Zag2oXE1x4g8M+IL63tLhnkLEKTaXImZSSrTLJtdgcb8ebIV5c&#10;cJioxUeaT877/iepHEYRRXuR+5/5Hnn7MaPbR+P22jLfDTWB+G2OvIPBk2o6b4pfS2JWG9YCWRmU&#10;kyElg2F4JO5lHflR2NetfsrauNX1fxN4YtWVr7WvA+r6dYwhT80hiDgAHsdh/X0NeRajZyGSZ0+W&#10;O32hm28gevuffOcH6V6PxYder/Q+blZVGu6R3izul4rwQzOIdpbd8u5s9M5PTp9R3rJvIYLiYeJL&#10;vUUs4/tA8zpuwD29ugxjJ/Gsvwfq2pXVnNpE1wjMHLeZICCVwMfT9AOlZ91fwSeIpry31ll+z6hE&#10;LhfLIVVRhiQgHJIG4YxuwGwKj7NjKUT2PQdP1S50tvEVrayLDa3Dx+bcAqZZAmVztJ3g70HzYIbO&#10;R0avCP2jvA9ifiOuoaahhg8SI16jzRuFE20+byTgsW/eHnjzF4x19r0m60uzaSS6tY7gBVjaSP5W&#10;O7srr8w4OOv8R/H58+NWpeK3+J8Gl63PK1rZxn+y1aQGMwHdiQbflJYDLEAcgqcbdq9lP4Vb5jw9&#10;/avUyPC2nppsV5YTanMPJkG6FfuOuDgnv8pZ2AHfnHTHa6LqNxdf2Tqpmd/Ljaz0+3uMP5ckLpIs&#10;WOyhmjkYgAMZ2zk5z1HwB+EfhXxdp0fiqfS4NWuXuWW8TWNUmtLGM+YEWN2gTzMkdCJU5K/Kw+Vv&#10;TvhV/wAE2fjhq97b2WrfEjw1psMUlwkl5pstxcXKb0RGAhaGIE4RRy4zk9e+kqUnZpnd7SK0Z8k+&#10;MYb2y8d32k21gqyfbmSK3tVVlJLEKF2k57DqxJ53MTkw32manYW8b6lAIWkZh5LSKJF24zuTO5ev&#10;BIAPOM4NfqF4P/4JitY2dn4U1P8AaS19fDqc32k6Fpa2EkxA+VkczyojbgjEmNiSGPBORe/aW/Ze&#10;/Z9/Zf8A2OvHniOe28UeJJIvD89npN14n16S9exe5RbSBY4E8m22JLJHIHMLSIV3KwKqB2UsO6i1&#10;dtDnqVoRemp+VOiP5euwHOfm/hNfR37Ob258HXlvBEZrqTVW8qBMbj+7j9SBzg8nA456Zr5v0/5d&#10;Xt5R/e/pxX0R+yZd2ltqmtfaIGw32ULceXkRFjKOT1AOBz04ycAZGP2TRfEeuSabfaMy3GtTvqGE&#10;3LecyPbEK2AE78My7lBdsgNu5K9R8P8AxVPNqWqafp8lvcaXa2MFzcKsm5tzSGJfKwfm3NIoYAEk&#10;+X6VS1n+z4dB/tiW5BhZVMLRtv8ANB6bQud2cjGOvGM55xvhFo2m3fjS+8WxX6/2lYzXBvNP+0A+&#10;XGY7RQh2/KzES7sZOCOCQATm1y6I2vzanosvgZ5/+Jk1xu/dSh7BubWXegH7xOBJgDAyfXkZyJo9&#10;Xiv5Db3Mf2e6SMNNbyHIHUEq2AGAIPYMAVJC5GX2fjnRIrOG31C4jgvZosx2YYu8jDdlY+P3vQkA&#10;DdgrlV3AVR8R+D4/F9tcR+JbHy4ZJWX7Kz7hIqt8pYqeASNwGc425wcrV6JXiZ3f2j5r/b/0B75N&#10;B8Y6fpitFDPcWV5qAwCXYK8UX+1/q5zxnHOeor5uiYkbw31XHX2r60/bmm1rUPhVa2K2G63stet7&#10;iaaPGYo/Jmiww9N7phhn72CAQC/yi1o0VxvRWCsM9R+Yq4XZMvdNX4e+H9Rjv59aSxlhsZj5EdwV&#10;+VpPlLKp/iIG0nH3Q65xuXPrFpaWfl+fJCyFFxF5LspUAYwCOenHWua8LW0MXwn0OZ75ju8TaoPs&#10;3G1ALfT/AJ/XJ6H/AHRXSPcq4is0nVucL71pDqD2Oz+HxgfQZltLZR/p7pllVmzsTBLY3Y+b7ucZ&#10;5HJNanjbUZ/Cen3lzZQ2881joNzebblA6tNGBJG7Z54cZPfntWZ8DpEvn1CPd8lvqBP/AALy4+f0&#10;H6VN8QN+paV4ruYUMnl+HrqGML/ETG3H6CumEfdOeUveO/a6EMyANu80gDd374/nVDxwVuvDF3Hn&#10;5vIbt35qnb6ot/4qt7NCNtqC52nqxQr+WGq34i3yaXfQryVzjnplV/8Ar1unoTHSR8R61MsGsXEK&#10;txDffKu77q9v8+tfRv7Eksat4kMMyrM0Nr8pH3kzLn8jivGPiN4dm0v4V6D4iuNHjjl1bxNrEi3y&#10;qGaW3RbOKNXYdMSx3O1CcjLEDDZPp/7EmpeZ49utDPS+0/cOe6sP/ijXy+fRdTKay9H9zTP1Twfx&#10;EcH4j5fJ9ZSj85U5xX4tHqfjVZUhuAWXOK9A+CE8LfDDT4Fb5ke43fL/ANNpD/WsvxJ4AF3FM00n&#10;ytz8tR+B77XvDmnW/hfT0hkXzpPKkmjYkZ3Pg4I96+DwmIpQi1Jn9NeJ3CeeZ5hqcMFS55c6drpa&#10;Wkr6tdWjttWbZAzE15/rt+jagtx50qNCxKNFJjHv065H+eMa3i3xN4j02/g0O/tYM3UTusseVC7Q&#10;vYk5+961yPiKaHTv3lxY3DHAMn+lAbue3ycfrXo062DqpKUvzPx2jwF4hZNWlVo4VXs4u8qUlZ7q&#10;zk1qtH5XL+nXtxfTQxCWNPImWSOXyQzAhwwHXBGRnBB5JrrrjSrvVELWlxbq626rGZFYB3yeuDwB&#10;xjk9T14qv8Nvhno2r/CCH46+IvEl5p+j211dP4jgtdM+1TadYwXMsBuF/eIszMIWdUbygTlSwVHk&#10;HHfFn44Q/BjRNA16bwNrl9aeIrW4Om3d5b/YYZriCSJZUUsH3KFlBJHzKdqsg3hh6tTJ5Vo3jHSW&#10;u61vr3PjaXG2aZVXjTnNKdBuC91PltaLjtZr3UuvdO7uesa7eTX8yTNetGsTeZG8ZO/zMMDnkZXa&#10;cFeNwJGRWXHei4u1EsKthshGAbB/L684rW8b+Er3wV8JvhH8Y9ak/wCJX8TdU0exvre2LzXOjf2j&#10;AJ4ZUjSM/bAsYkLKPKfcEVQ28lPUtW/Y31Ky+Gdx8UfAmt3WtSR6bHe2elpYbLq9izmaJIwzYn8o&#10;MYoyfnkKxuYcs69EcrrRvFx1fmv8z5etxBKUYcsrKD91pNNX31Wur11+VkWf2fIYLAoLKzihV5N7&#10;rDGFy3rx34r7T/ZJ8FeCvC1xJ/wiPg/SdLa6WP7V/ZunxwGXZnbu2KN2NzYznG446mvhH9qD4u+A&#10;v+CfWsfD+G11CPx9H4z0GPWFs7e6XS54bKa2jlim2sJ3A3y7DvRFZ4Jo0dmjlMel8Lv+CyM/w31f&#10;+1Lf9nprqNYTut28XbQx3Ejn7IcfLgdOoz3wPms0y/FQt7uj21XT5nsZPl+ccRRqvBJztbn95Le9&#10;r8zV9n3P2E0zT4ntPLO3lfX/AOtXlH7aum/Y/wBkX4qI0ef+Le61t3ZP/LhNjj618eeBv+C++peJ&#10;LN7r/hk5YQJCqg+Os8f+AIqj8ff+Czb/ABV+Cviz4aTfsz/ZDr3h29003f8AwmXmeSJ4Xj8zb9jG&#10;7bu3bcjOMZGc189Qo1qOKXMuuuqPqcL4Z8cVOStHCPlunfnp7X/xnw7+1L4u8L6n/wAEq/DfhTTt&#10;AvYdR0/4yxxXmozB5YbjFnqM5VXORCEF7F+6+VWaSR03MZtvyh4U8Qr4V8GzX0ZVml1DyvK8xRuX&#10;ZknHU44HHQuDX1X4zA8af8E1vix4c1fSwLbwN4p0HxJot5BCwY3l5cDTZY5XJ2bRDzGgAckyN8yo&#10;SnxbrlvcW3gfTL7jZPJdH3yDCOv4foa/aMlqe0y1S39zX8j884+wUst40xdG1v3nN/4GlP8AX9Dv&#10;vDnimz8Qot5DhfmKyR5GY29/6V0WjXbR6sskbfz/ADr5907VNQ0m7+3WF20b9Cyn/ORXpOheLtb/&#10;ALOj1TTUW+uJCGjs442BPH3Bt3FmzxgAZPpWOkZHjqXtYt9UfW/wi1K3W3VZZoUZpM/vJtoI6dSO&#10;ON3px3ycV6RbePbPw7oV18RdZjuLbR9PizcXzRu0SAbRxjLFskAKvzEsoAJIB+FtI/ag+ICM1tod&#10;rY20LBkt98LTTIzKQrfeVXKt833MZABBBINTxP47+IfxBSDWNd8W6hfzQl0dftOyG2k+VWdFXAgD&#10;iJSyrhSVyRnJPZGRwTP0k03xR8IdTV9X8Q+NdPgtbXcZr549sbIFLnb3JADEL1PbkV4n8c/2g/Df&#10;7Q2hXXw98LjUtP8ABqzn7bqFxGxlu2QOSArbkKJ5nCsH2zrGy4aBGX5L8Pan4lv7ZW1fWri6sI/+&#10;PWJpvM82bG0FdwJwAzYf1I2hq9B8N6raQaDL4T0+Xd++eSbajEeTFAGAOOMkx49Bt5GMZ6qVnujm&#10;knvc8V+IHwgj8LfBrw/8W7y7kj1DW/HXiHQbrS5FIa1/s610eUMRt4LNqTqeSf3XQdWwPDTZC8V6&#10;d+0ldzW3wP8AD3h6aNpLiP4reLNTuLlFHlFb3TvDskSjnO4COTIwBwME848u8LhmlUY+tcW1Ro3+&#10;zc/U/wD4IMfC4QeHfHnxsv8AR7ZvtFxa6HpOoebmaPYpnu4tv8Kt5lk2T1KcfdOftT4qaHovjBY/&#10;D0egaRe6wkZe3utU06O4XTEb5TcYYH5uDtTgyMuMqqu6eO/sG/DPTPhX+yV4D8N+AtVW98R3nhmP&#10;W764hme3toG1FftKtdwq7xyPHHKkKMymSQW6ldiKTH7FpHhPX/DcFvBF4ot7t5HabxBfX2ns1xqE&#10;xABdWWVVhAxhUCMqrgDgc6yu9LHDJ+85XM3w18MfB3gC3e28E2Nxp8bq+5I9RmkRpHbc8zRyMyNK&#10;W5MjKWPcniuV1Lw34n8WavcaFa/EjVLjTbObbqw1K1tDb3MoCyLabIoYnkj5UzfOFZCYfmLy+Tqe&#10;M/F3jbVT9i+F+nWtxDDevDqupNcANHEmVlS13p5ct0GO1dxMKvHIsrKVKmx4OvvCM+ntovhG5XbY&#10;/wDH1azCRbmEuzHfMkuJQ0hDPvkG6Qkvlt2448sH7qVl9xSlUXvPV/efl3/wXCs7yL9qLw5fX+kW&#10;sElx4Fh864s0+W6kW+vVDkkA7/K8nIOSnCbnChj8j6KMDn19e1fYH/BczxFc337THhvwwZYjBYeC&#10;YpgqqN6yy3dwGDH/AHY4yB2yT/FXyHo0W+JXiOfkG4Dvg0faOuP8NG3o/gbUviNrS+F9DEbXkljd&#10;zQq+fmaG2lm2jHOSI8D3IriLGRhKpXpnrX0J+xTpA1L49Weqxs0lxo+m3N7a2e35blyBb7Hb/lmg&#10;E5ctz/q8AEsAfni1+R/lI6D8amUveLjsdboxWSRCO3NevXd86fAbX9FPCx+LPD8+7d18zTtRbGPb&#10;nn3rx/wvi5u0hPyrkD6cV6Tc6o8/wq8QWxG1ofEWgrjH3ttlqSk/yrop9fR/kY1Onqd7quv/AA28&#10;K+BPhDefEqxkvrOTwTfPNZr5qHYfEOphWDRuCvKNnG47dwHJ59k/YX/aR8dyfAbxP8PdD8bNHDpu&#10;vWcOk6nq0yRTaZazwXs7ojMZEkjEengbAsZj8+Zg3yJj07wD+xj8Hf2iP2N/hJpnj3wq32638MyP&#10;F4gsZPLuoYZ7yS5MIkEgBAZnAEkUqp57lFVmc17Fa/sj/BDTfgBe/s8+EvBkmmaBqEcrSLpt7JHe&#10;edKu17gTuWczbfl+fcrIBEwMRKVCp8spSFUk6kIwPkv4Yftd+PdI8TeFdZ8OfH/xFfR6nMmn3Wne&#10;KZnvo55WOTHCuDtXzY4ozNIxkCytiaMNuk+pPjd+2PP4N+BH/C8/B+iak2jX+m6d/YNuumyLqGpX&#10;N99lniaNzFNDBElvJIrGSOTzJSUBjaJRP4QP+CVz+N/F+l6Z43/aIutQ0PwppcFt9j0vw/BFIkSg&#10;ExZW9nZJZOW3ssmcEAKqxoPof4sfDnxR4n8MX3gz4YKum6HfWtnHDD5Mtm+lXFs0RjEC3DLCLdoo&#10;Y1McQjMDRlwsrTMYuSo5wpO7u7v/AIY6IU4zrJWstE/8ze+AP7TF58YNJvPFtx4OvbfQxYz3FlNH&#10;GJryF7WSS3ubaWGBna4lMkEssT2ysHQlCiNGjT5Oj/txfCjxD4807wZqbzafdHxNNpsztdXscMDL&#10;uEYeRIRBJKZkWJovMKBmZUeViEfB/Z8+F/jK8hvL7x34f09dU8Nag03hu3XxRukuZvLlMdzLNbPN&#10;5MMqXEkTIyyE5cqgVYw3k9/8I7zQfj+tv4g0a38m7uG1yz8MrqQk1B7iF5riSVLRHaaY+dbu67I2&#10;Vlj3KzcCuepKpyxsr3aubRp041JpytZO3m+h9m6j8cPgt4PtrG11342+HdNW8sUvNP8A7T8WQK1z&#10;bSElJ0aaXdJG2DtcEqQMA4GAV89/HDwl8Q7z4nah4g12/wBbnh1SO2udNtIPD+s6n/Z8P2eONrdn&#10;sbKaCNhPHO/lo54kDnmTJK29jTfU8epmWPp1HGNJtLrff8D4J/YS1i41b9q/wnDPZqscjXuzauNy&#10;ixnyCD7j/wDX1ry7UNctH067srY+c0bKZGZV5OSy/j/L+Xo/7C5t7T9q3wXqMDtJBE0onP8AcaS2&#10;kiwfbzJFWsnQ/g74AXxV/wAIp4Uh8UeJLuSQxSfYmhgM8gBPyIIZGJBJ47beNw5rjlGP1dPbV/il&#10;/kehW/3h83b9WYumadqular/AGRdaM1tItxNHFcMuHlOcE53fd54IyDgYySSKNj4rsvDGqyeGj4c&#10;t7+6PmQ2bRs0clvIxIQjB9RzwSRuCld2R9U+LP8Agnv4r0z4f6P4z0i81OTxTcS20WraRqOoLd29&#10;qjvs/ctFApRULK7gl1RQ+HbYGfxn4meEfAvgT4lyaPoGh6XdXmiSxpcXjaek0dzdI2XeSCYOhy3D&#10;RncuBtIPzCplT9jC81oTGpGMXoWvgJpOseM5G8O3EardfaniWKSRI3ExVikCMSoLSOqxxqMFmlA4&#10;AJr6s8Nfse6lYeHNLbxh8T9J8MWN9MGm/wBHSGedQAzK7XAjPmFAV5ViiquQQCB8z/GjwR8Vvhf8&#10;UtQs9Y8NQ6fH4ijmbT7zR8w29tND902+SrMFbChcrjMZLBfveJ2HiqeXUdQ0r4k+F9SkvYdNhbRt&#10;Uivo5lspUnj2m4jeKQTwtgwiMPFskljcsVjaGT1MPKlTh70P0M4UZ1Jcylb5XPbPizp3wL8N/FpN&#10;G/Z88R2v/CO6TZW8usXmnTh2up4b6Sd7uR4oVhWU/wCpVApzEiEkbyI/sT9nvxPpviWwi1G21a3Y&#10;+XmSNE2tGyytlnXhxyecj5W3pyUYD8x/Bfxcun+ICaNZad9n3XWBItvGh3+YvMmArTHAI/eH5d7Y&#10;wDX6NfslXu/TEitpZnEa7fPkbKk8tj5cDK/MnIDkINzNjLaSkqlS6NKlPkppNn1B4V0pLe0hh2bh&#10;CoVmxwPw9Me9fM//AAWn8W6l4V/ZCg0HTI4/J8ReKLSw1DzEyRCsct0AvofMtoj9M+tfVnhm1/0Z&#10;WUD+4qrnnt3PJ6fWvj3/AILrWN9L+zz4YsobGQiTxnC7PGhwNlpdDsDn7/fGOcbstt7Kf8GT8jiv&#10;erFeZ+UomVbuFuV2twz9q9V8IeINb+F2tX2mtrFrDNJHb/aYUZjh9rOYnxtKPGd0ckZwyvx2582i&#10;8OXl38lvAd0bL5nnLjB9COv6V33jLwtqXxI+Luva94dtI7j/AISDWJ9Qt7HS4ZGFsZ387yVUopJX&#10;zPLICkbkbblQGbz/ALJ6cVeR0Fr8Z7zw5O3iW20iK3jbKTSy2UrRs5GFOOGDctyWIPcAEg39C/aa&#10;17RtVktPD2l2K3UwZpprnRyrSZLMd/luHYkCNRuJIESYCgHdgD9nbxfonh2bUvFcX9h/Z0Yizvrg&#10;xXkkhH7oC3KmRVJyxlYLH8hUPvAjaHwr8IfibpV5DLb3krxryWkaSWKVCCCPl3LgpkHB6H8az5JG&#10;0ZU9j0zwz+01c3d3a6j4tTQZpBN/xL4zZui7d7Ay+b5jvavngEpnAH3Mlz6VL+1DYWN8dNGi3OpQ&#10;xyGP7RHeQfL/AKwna8jIZMMFj2lE+4WLuWFeMSfBeLVb61hhWeG3aMLFGHG6R1X/AFoQKu8nC5wA&#10;R6cZN21+FGn6WsVrqNxtLR4sbgxzSRiPgbd7OMtjaMgAbT1HBo5ai2QXodzc/aY+Kfgzxj8GteGl&#10;63G1w32QRwuyb5QZ4HO3aSCFB55zlWzwMn5kEn2iCN423fLn5exz6/WvZfjX4QFl8L77WPIkt41h&#10;hFtvutyyE3EeRs3HGAc5546nPNeHWttdQRkpdnbjleoPrxitqPN9owqct/dPQbI6ZB4a8PQabcyM&#10;zW89zeqzZEdwZ3jIAxx+6hhPc5OfQDY06UyTeYzfKv8AeNU9U02e10Hw9rjW2y1vbAhWjOVZ4ztf&#10;acY64JAJ2lsHBBAktZU2nDfw1or9RO3Q9V/ZytwvhLWNScZ8zVnVfoIoj/WtmRjH4I1zWfL+aS1u&#10;GVe5/dnAFZfwURrP4Y3s/lf6zUpCF/vfJGM/pV3xx4ih8FfCK41F7dpm8lIlVf70rrCD9AXBPsK7&#10;KekEzll8YvhjUoHu5NakAjmu5lHysBx5hYD6/NjPsK6rW4TcWOoWw+9JannB4+WvN9K1lJ/7LtMB&#10;c3KPlVHOOO1eleIrh7OGa4jjc7rQjauMn0q4P3RP4j5//aA8Z2Xib9nrRfDum3Gf7J1C1lusQlVY&#10;iGVMZ4BYGX6kZPrUP7F97FD8XrFHHzTW7xr+QP8AIYr0b4w/DTRbr4b67perlYJNL0e5nhhEkUZR&#10;oYmliTYshJBKDq3YYyCVbxX9l7VJLP4saTcKePtGPyUn+lfP5lTnLL6yl1jL8j7ngPFRwvHGW1Y9&#10;K1JP5zSf4M+5PEoJsBAJ5P3jsh3HOMjmub8NBdT1HZMm5WnJ+791geG74IxkehroPEMu/TAyn5nY&#10;bMdyf/rVi+DQIteaFCPl/U56f4V+TR+Fn+j9b3q8UVfitqFu3ifSIAMyR2s3mMqlQxyq5weg3Ie5&#10;rD+I5im0q1lj+9s2tj2YVtfHtItO13QbqKLHmJcB2x/uMB+ZJrl/FV4t1o1v83Xcen+1muuh9lnk&#10;ZnKMfbp9l+SPcPAX7Qn7OHgX4IyfCX4l+BJ7bS5vDcia/cNpjta3EdzHvmIKEyO77hu2gHcBkqFB&#10;HwP+0T8YPiH8SvGPhvw/4+1W1u/+EV8I2mnaVJZ2qQqIJ3l1Ntyx4Uyeffz7mAUtwWBbcx+nPi3B&#10;fP8As/SLo0CrdXFrYWayXS7hcC5EEDKmYmG5YzIOGUjaWycZPxb8R7HZ8R/Ea2lk1rJa+Ir0Latj&#10;MYFw/wApxwCOnHHpX6fl/tJYSk5fyxt9yP8AO3jGNOlxVmEIKy9vV/Ccrfqfefiz9rT4eeKfgL+z&#10;Dpmh6JrEmoeEfHnhN9Ue6twsKmxE9q0SOAR87Qb1xklSN+SqhfonTP8AgopN4TsU0nT/AIK311HH&#10;Gph0qwk5tIwMlEfBD8OmPuqNj8gbS35o33jS7X9mfwnrltHdxw6D8RY4/Oe1MlusiwS3GR8+M4lT&#10;Kbedp+bqK+2pFvvB0sOja9LqmoNcRrCdSWySOKJm5G1IfnLMWKlWIPVudzb9qkMVKXuyt8l8j5+M&#10;sPy2lG/zZ8k/tb+LPEXi/wCM7vrniXS2s9BvtR0jwp4astNe2l0bRnvZtVt42UwRqYi+qzKnJcGK&#10;QMkaCLdvWFxHcWS3EL71kh+VgDyCOtYf7Tup6JbftBeMfCBitdIkiXTr2dbrTw1xqV2ECxRxMIA1&#10;oBbXoLx7ljc2gLl5BHjR8LPHL4dtdjbgLRRx/uivIz2D+q0pPdNr70v8j9k8G8R/woYygtpRjL/w&#10;GTX/ALcepfCi1x4bXsSWPX1Jrfv7Rp9ImA+Zmt32j/gJrK+Hi/ZtCBboY1K/UgYH611FnFsihjfk&#10;N2/pX55Ul+9b8z+0cvoJZfTh/dX5HlHjnxNrsHwA+Inw301Ly4j8S6FZ/wCh2+zyzNaanaXYnkJO&#10;QEt4roDbnmXkYyV8F8VxJB+z/pEqJ8z6syt3OP3pz7dB+X1r3Dx3Iuj+FNavbq1mkVdFvomWKQRu&#10;u+1ljzllYcbiSMZI4BUncPn/AMTa82o/CGztEtGgjj1b5VkYbmXY+GBHXncDnuOK/VOEKynlNaLe&#10;yaXzaZ/D3jtl0sLxtRrJWVSEW33a5o/glE4Mna3Xg1oaWLmMyT6ZO0c3l4Gxiufy71nuv901Y0e/&#10;+xXDeYDtaMg11R3PytmrpGiMFVbh5DtwRDHhc/7zdh9K29PmsraSOC7aN405W1jGIlx6jHztnnnr&#10;9axzrStaqIjtL/e4/lVWO9d7tCC0fzDJJ5/St04xMdz0zwte3Osar/bGoZSz08eftZeXdc447Aen&#10;HPvmuq+Gmn3OpyWNst4kLX13GkzSqWzHLIocL15KMyY7h642ycGy+wRcLJGUby84wfftjtzXpvw7&#10;nsLK3s7eRdywSKTuj3LHtOQW5G45Awo5Jxj1HbRjzSRhOWlzzD9o7wx4ptdH8ReJZppF0ePxpY2K&#10;2+07BcjTN5YcYB2Y/wB4euBjgvB1uvmRhwTuYDA4/Cvq39ob4babrf7FvjPx1qE8kU2m+NLS9tVe&#10;43RzuUtbPARXGJNjyEuytlYwBjgj5N8HXe2+hy2F3gtnsPbFcc9MRJPuax1po/XfwP8Atz+Ofh74&#10;Q0nwrrHwwsdH0/R4I4Gt7WT70aMRvARlVPMCs24qqmTcNuSCVP7dUs9xfal8SdHuta0m+VptM0SG&#10;3S3QW0reS8DgygXTLE8u5JFeFyYSsqMWVfJdItZ/FfhPSfFemeFIbiyuLK3kIuvL87LqrZXyUcCM&#10;A5yUXb0xwBUOp6SdXmtdW1nRtYvPtEkRXT7GzKrEVO4JiZd3KqxZ0ZdyjkAHcfPcsRtzbGkY0N3E&#10;958V/twWc8Dk+Gb7T2mhmSwuniScCQR7leSJmjcr/sgqx2t0xkec6l+2N4z8U6Prfhvx78O5JrGe&#10;xeG0W1t0tbgtlshi1xKu4fMDgKw3KVZCu+uWu9DspBb61perw2dxNHJB/wATAC4aWRjgLFmbCkfM&#10;AqsepDggfK+ztp4IZLIeJW164Xcs0ELRQ+XExTeoyrL8xP3HZepxtySSVTES3YRp0I7RPmL/AIKM&#10;fE7wl460zwJpWgeCpNLvNLtbuO5upJIN1/CyWnlyny5GbcHWdcscFQm0/wACfOXhzUEiZ4LgZXGV&#10;YHpXqH7cniLUPEf7Q15pOoaRDZjS7OCCOOBdvmIy/aAzgEjeRPg7Tt4AHQV5lZW8BTyBCqsSBmM8&#10;EZ9+nH1/pXRSTUUglqe5fsu+L9L8DrrXiLUPCt/cXF1HDBY6jpoHm2m3c8gUkY+YmIlckNswQRkH&#10;xH4kxiL4ja26aYtlHNqc08FqsYRYYpHLooVSQuFZflHA6V9ofszeBPhj4j/Z+8PDW9WGlalfNdmb&#10;ULy3QxuqXcgGwhh0XqXyRk4GMGvm/wDbK8AeEvh98XobLwz4vXWk1LSYrq9vE2BFmMssW1QmcAJH&#10;G3JJJYnjO0Z3lKo7le7yqxx/gDDtLdOGZYiDJtUsQvPOAD6fr716Zoltbap8IviRe2t0ssenz6Hc&#10;RzeXjK75Ysex/edxk4J615v8KtTl8O+M7e3uLVJFuv8AR5I5clZVb7qjHIbcBg9jX3N+zR8APgfq&#10;Pw71iT4jPr0lv4wt41vY9LktswNa3SvbkLNG6sV8t9wYFXDqCAEYSelhaMq11HzOHE1o0bOXkVfC&#10;/wAa/EMtl4H0O1+L+seFbPwv8LdLktbPTfPmi1O4S2F20ZjQmNSyzHMkgaMCMb8jivT0/aC/amtf&#10;i1o+gSeK/Js76+urWTS7nTbfUpRJawRSz5Nlaw+Yv70KGjZVBVsuFXeb9j+yP+zDd+LtN8Q+BP2m&#10;PGfhOax0uCyaW80+OSf91AkCss0Ii8vMUYDDByWJBAOKPDP/AATy8ar4o1qX4O/tF/D7ULS7ilt4&#10;77Wr1jfvFLGVfKNaTfZ3cF1bY5LKcFvThrZbmEajkr2u3o+h9pgOIuGZYOFKvBcyileUE9bau++/&#10;5aWOkb9rT43+FvHOqL4q0nwPceFdD1R7LUtYt75oWU75EiYpDPdyxhyhYL5LsFILBAc1P4Q/be0L&#10;VPGc2l+L/gFNoXk2s10NSTWILeeQRzsrFfta2uVMgkBG/cWDAoTkVQ8Kf8E7P23/AIffDu4g8OeJ&#10;fCshm1ay1AXx1S7vLyGW3uDLCFjVHR4xLK8xHlyZJYt0GMXxZ+w9+29o2gWfgHT/AIZ/8JP4iaK3&#10;t18XXOuuFsbeESGOCya7W3FugMuSokkAZFICkAjzazxtN63+dmexRjwfjI6cl9tHKHbWzdu/5Hq3&#10;gH9tz4JeO9K1izsoPFWm2em6fJLealeaO90turkgljEbjYBk481RHjjkcVs+D/j1+zh4o06RvBvx&#10;o0azjtLNrONdQjXTREruXHlblt5CAc/6ttvPOGw1fOt78CvjB8K/H3hi08S/s6+KPFFrcWEdvrF7&#10;JpNrf2PnPcRb2j+wJdBnWGEggzGZ3+dh5bSQPj6L4o+HttaW/wCzPrOi3Ef2HxF5l9b6pqSaLp9x&#10;ELiWQSXl00MVw7IhSNlaBXdAREkTIN+H1qv1s/kzo/1byWuuahOWvaUZL8Vf8ep9u+HLnwJ410S2&#10;1Hw/41/taC3hW2a80nxJcNG7IOctHOdzc8liznIyxor4Huvi/wDDLwy39meBI9HNlvkZre/0Gzma&#10;2fzHHlLLd2U8sqBQpEhkIYHIWLPlIUvr8/5DH/UmjLVYh/8AgK/+SPGv+Cel62h/EG307VVj+z6p&#10;qdrPZSeSfvxS7Cpk29TkFVyR97GCTn7u+Df7PHwr+F/ia81zwdoQjvL6SQ3F1NcPLJjeSVBYnapO&#10;Dx6DOcCvzk/ZCu4dG+Nfh/XCjRhtWit/M7hSUKgfU4HvnGa/VDwxcj+0JHZgrefJ8wU8LkkD8q9a&#10;hGMqbv3/AEPz/MIuOIXodVZaVbXEXlTQ56gelZ97+z78JPEPifT/ABnr3gXS5tU024Elnqc1qvmR&#10;vhlUlurBd25Q2QrBWUBlUjd0wHzfLHXtitW/uhY6RcXpvdPtUt4WlkutSk/c2yqpYTsOMqjAN95B&#10;gZ3LjnsowUpJM82T6n5xf8FJfipruifGKw0fwz4ctoZP+EZhluf7Qj865jZmmIWSK43i3UrtlWHa&#10;sgWVTKI3Z4k+MviH4qvde8RXWqa3qUt1N/Y8DW8k0nzp/pP3UwNoXczEKowB0Hp75+2/LPrn7YHj&#10;7UtHF1qWmz2mk6jHNeafBazKt1pVrOodAYlR+Tk7CS2WbDkhvC/GEHieSxk0SXwZILSR1a1mjAaR&#10;FSZS7OFZwuQVxuxg55PNLESi6jV9juw8LU07E66dbQ65oRltNyMrLI2dp80qoB49GIPUc8HGa/R7&#10;9kSW0FjZ26GEPHCHhkfH3iyD5R3wqnGAD3HAr4Zl8IanpGoaDq2rR27JqGqrHb27aeJFVpVbY3zs&#10;reh54B5GSoB938GX/i/SLaG10vcHUsFjXQZpI8KWXAMUhUjIbBBwTkdenMvac3uo2qQjKOrP0w8L&#10;S2Mdjbx311HB8m3ddSbSznHdiOT6deRXiH/BQDwt4L+LPgC30m61G+jg0/W4ru5WGGFdzLbTRlkD&#10;jdI7edHEA2ASgxtXLP4FH8T/AIj2OgR3XhzxUo8nAACA/38tPDpdqjRnJz5hRgxH7v5iu4MAejY5&#10;r/2zdeNvCi6v421W+nhSFytxb3E0jSrgeYQPkLBTjI2lVPTuB3Up1VGzRwvDxUua54PrfwR0vQ9R&#10;t4dU0aG6aeXcsV1NHC2d2NoO0HH+znn0FaFp8PNA0a6tbP8A4Q+1tppY2ZlnZMMoQkuJQzNGB6YJ&#10;x7c16hqmhaOq6bcLq8lgq7XtlvlE1uzscBQzhZNw4YM2AoyAcA1oWr3E1t/os91crJMy3TXWiyzL&#10;uB3EAQYXJPTDMNpPPQnSNOPU017nnXh3wtp0WmN9reKaO9YjbukYR5H+qJZRsGCAMlWzkY6Yj0X4&#10;Y2NzqVrpYvLNYfNMSW66gszKu0koVkTcEIAz82M9uTXpHiD4Y6fqFpHdT6fJBEswinj06wUz+W8m&#10;fMK7CwRsk8MCFbO0tlTraP4aufFeljWdHuJkt1bYu2O7+Yg71jQhotzKQxG1ASMAZIOdI0yTybS/&#10;Dvhmy1O803ULa8jt7W4bzB/aGwRkLuKLGpQgc9F3jjaBkE10Gt+FNN0Z/wCzLW1jtobXYbaW41Jo&#10;8RMELRRbC0jghAC+Ag2gYBXNddqf9j2Msc9zrV5p93GY4rWTULB3jUB8cNJHHIflILPlfvYLEqcW&#10;LC506+06PSo5xfNbybbyebTXuYY4yrNu2QPt6oNpy+B177do0YyJ9483+OHw7vbz9nPxBa6NfCPy&#10;tEudSaNbySaGWKNWkkAmOTKf3bNyc7toICruPw3Zubu2WV5M9iO4r9LvHHw70T4meCda+H2iadLp&#10;1vdabcWqXSaWqAyTQyKs6xyKHdU3O2EKMdjADOCfzHsA8Dg282VJz7H/AArnxNP2cky6crxPcviG&#10;unJ+z78LhaXDyTLa6oLjddI20/aVIUICSv3j94AnHcAE8fEmRwx/76r3X9orw9pWkfsbfDbVZF1D&#10;7dcR6X5Uc0LeVDA1nM7lCY1Cq0jBuDhmZuXIyPBI5Ds3Buo/KuetHlqW8kax+E90+HTFPgzp/lfx&#10;tOWXrk+c4/z/AJNcb+1f4juNJ8D6Z4ds7oRtNqEPnxc/vIkDSH6Df5Z9eldZ8LSLn4b6Rbru+9Mc&#10;7f8Apu9Y37Tts17+zzfata6/G0cnxK021bT/ALG5cGDT7/EnnfcUZmZfLJ3NjOMLXRL+D8jnjrU+&#10;ZyPhXxDczeIdJsoZf3cO12PHTH+Jr2f4ja3NY/D3UNZTG6CxdlHq3GBz6/yr53+Gly8viC2lY/dj&#10;VTjFewfHTUXg+AusTwbh+5t0bbn+K4iU/oamjL3WVUVpI7L9refwz4a+B/ibW/DAsY7qOyazW1ht&#10;GxaxTTw25jSSGUwkmO4diwBGNisNzYHyN8D7/wDs7xnpN2ZNv/EwSNTjru+X/wBmr7b/AGhPD2r+&#10;Of8AgnzceKvi9dXGk6pceGbC9N5d2RuJJbtRFKY3WNitt50wiiVmKkead0a7SG+GPAckdlrWkvLt&#10;XbfQtz3O8H61hmVPmjKPeL/E9TJK7wua4et1jUg/ukmffNpqqajpcTPJ/qwWkHoccVm+FZfsF/BL&#10;N/y0ukVtoz947B+GSPpWRpPiW0vYySrR+ZtaT5uuev0/xrchtYZtKa4spdsyzRtFIP4cSIR+o/Ov&#10;xaUeXQ/02o144hRlB3sT/tB28X/CMW92yr5sOpRCNmHQeW2R+g/KvKzqQubcQM5O1sr83SvVPjjc&#10;Jf8Ag+EqhCyaghUd+YZD/KvH7ezZboQk5GM12YZfuObsfP57WqRzX2SXxJHfePrPw14jtfhb4Fmt&#10;Io7y+1a1uHurO18yUxw2cYYPsKt1uYMKSWYo2GUKor5A+OBlX9ovx8JJvMb/AITTVA0jW3k7/wDS&#10;5efLydmf7uTt6Z4r6R+AOteN9Z/a11nwLZ+IrqHT/C+sasdLuduYtLWScQMMFWCpIYreI5UopbJV&#10;gSD8jax4nvfE/jLUvG17b7ZdYv57uSEMXJeWQvtB6nluvev1LCx5cvo3/livuikf5+cXVo4jijHV&#10;Y7SrVX985P8AU9eurnSbf9hG+0+XbJdTfE6NFVrQsbdTYbvMSTI2lvLZWU5yAvTaSf0Xs9EvvBWs&#10;R63pnhbQBb3jYs7m002WK5xghklVN7DPOAMAouQQdufjXQfCsOk/8ErPEuo38n2iTU9XTUh/x7j+&#10;z2bU7K0MX+tMjF1td+di9SMEKHb6y+K/iKDwP8P9c+IPifQNFvLa102SWO5utD/s6e/miia4RXmu&#10;mGdxRBhI5dwXAQncK9OlDdvsv1Pnj4P+O+t6Bpv7Zet3nh/xE1jpRul0LUNW1TRt7wr9iSwvp2ty&#10;pJZT5z/Ku4MAybW2kdJ4Gkhm8O2htZmeNoVXdngHOCPwOR+FeF6/4h1fVdU1LxR4mvn1DUNUmla4&#10;upJfneWUlmYkjuSxPXJPPPNfQmiappXiDQ9D8UaZ4mudU1DW9POoeITeW/l3Fvqkl3OJ43x8rbiq&#10;zoy8GK4jBAcOB81xBGTwd49Hf81+p+reDuKp0uKJU57zptLTqnGWvZWT+dkeoeCJGXRWt51KrM+I&#10;ePunOMfnXXwEho4nidcY+Y9K5bwvFPGlvp5dWjaxWQhlHysQN36mum0q7nunWOcJuj6MP5V+Y1Pi&#10;P7wwSth4ryOB+JWiJrCappVzEfJujPHJtzna24H9DXzF8V4bix8L22jrfSXEdrcq0m5YwEwpUYKo&#10;p7985r678cBzqU67FG5VKj8K+N/HsniD+1vEWiJaLLYx31x5bbSDCkcxIAPQ/KuPWv0PgvE8tDE0&#10;Gn7yTVvK/wCeh/KP0jstj7bL8bH7Mpxfnfla+60vvONRmkX+lRThlHy9afFlBnNRTOS3Fe/ofzXJ&#10;6j21RZwIovlwMMoqaCZt4YEk5/hrJiglnvVjiHzM2APc1egZlbY3UdQe1F2Seh+ENTaWGGJ5mz/F&#10;859+3f8A+t3r07wHei8mW0in+ZWUJ7DPUe9eLeHb/wCxW8mJvL77j34r1H4FX/8AbXjWG0RlYbd7&#10;KrY6e3OK78PL3kjnqR91nuP7RLadN+wl482alp7fY9YsoYbSYK1xHK13ZM0iZdSMpsUsFc4LAbQz&#10;k/EfhJZHmVFUnL4C+pr9Er34az+Iv2KPj1Y+IrGS3tZNWuNSsZHtLhvO+yaVZ3MRi2yBGTzLcgyF&#10;SF+bJOAo+Hf2X/BejeOfjP4T8I+J1uP7J1LxBaQas9rxJHamVfOdT2Kx7jntjPNYVv8AeG/M0h/C&#10;R+mHwp+Ctr8MfBehxtaNY+JLLTEtbj/iUzX294PLjlWaFkDxvvXK7WQEAcsrcanjHwF4d06/tdS1&#10;K7s3ub6bb9r1K1hg8yPdwuTAWTI+VUZlYAoWbJKntdVI8JaLN4vivdU0mGa7cXmn6Zpbx+YzJ85z&#10;PaDbywVULRqA2BuChTf1nU9GkZdAtvGkX2g3ebzUtJtU2yyHIMWxEkl87dsxkkqrHLl9qjPlHc81&#10;8Q+DNQ0u7juvE914fSFrffpHn3RurhgyKkkkbTvArvvw++QMR8wLAbs55+Guj3elN4h8U+G4LGw1&#10;dIIriUahLbCVt2SCvmYPysxzvYZTIUncD7Jd+ENZ8R+CIdU0zW57hF1QJE2pMwe1tllKu5cC2aSN&#10;49rMjBlfYAVY8VQ+xXGjx3+tL4vnms5ppGtbeHw+8drCJJSFg3+VO3k/vCqIq5yAAyBkNTYfMfk7&#10;+29oOkeFP2rPE2jeHtLa3sofsTWsP2kTbkexgcSB9zbg+7zB83R8YHQefWUEMpXnHy/MNpG0165/&#10;wUl0210P9u3xnYWgt2t9+mtHJZwmNH36ZasWwcfMSSWOAC27AHSvIY0MIYq/qTuPAqolH6N/A74K&#10;WafBDwfrel6lp+j2994dtJJri6s2jYyvB+8/ebozgud+4ZI3ZBCkA/In/BRW21NPjLpL6hNC+7wr&#10;A0Lx3Kyl0+03ShmKsyhm2ltqkjaVzzkV+nHw68P+EbW2tfCPw/8AH2rSRR2q2uliS3ka3tLWMBLd&#10;SDAixpjG51YMvA3OCXH56/8ABYPQ9U8KftJ+HtP1W4huJP8AhX9g/wBohh8vzx9oul3kF2bPy4+f&#10;acAAKFC1nLcD5x0x11GKNLqEsoADbW+ZcHH5n+dfbn7JvgDxr4j+Hbazoet6taLO8gj+z2eIkCop&#10;JO4fvCSCuE5BTuPu/FHg+2knhW+gHKyFd3fgD/Gv1T/ZL8GeJ/8Ahknwjb3mkXUnm2N9dKradLKj&#10;RyXEkiZVbZllUqqPs81CfMG51CgDbmlCF07MylGMpaq5wX2H4qz3MeheGvEmk3FwiEzfbI3knGAv&#10;HlhU28n1OfXgirUWs+KrnWl8O2tpp88kR2XXmagsTsQm5gijdlgcjbx0PXgn6D1iy0LWLPTLJvGF&#10;la27Osd1PomqWcPzKI8cSO2Co34jQuDxknkNnr4D0y88T39taarJrCrdGKWGx8OySLBOXdt4eFoY&#10;hIGY5lO1lQnaW3DNRzDFw2m/zMpYbDS3ieY2fxa+JXw6vjpFn4l1rR3t1zHa2GtfOWJ4VYopNzE5&#10;zt25IycY6+jeHP2+f2jfCbw6xqvjZprcSGNYNa0lVjcg4+8qK35Nzn6VsRfs6ta+HnHjPx9q15a3&#10;FmZoNOj8Pv5ryLtIXlZujMAVZAxLE4IQ5veGvhR4VsZn16DRtJvtOsT9m1G3k024+1POZRGqY8lJ&#10;AcEE/ugvGADu+W/7RqS/iRT+Rn9Upx+BtG94L/4KaeJVuf7c8cfCTwzrmpNgWd9ZyLbyxx4xtO9Z&#10;mJPbBX6GvUfDX/BS34NWNra2Pij4Y+IdLvpo3jkfaky2PmlS/lyNIsgjyBwqDhFAX5VA8WT9mXwD&#10;rl/YAeDbSxsp5ZP7PvLDw/IrR5PDXDOvlRyFWbAZGIdNpdGba0PhL4G/BDS9YuJvD39s3Gp3VzM9&#10;75etXPmWgZv+WAtQ0IiGG2KN2U2kFidtYyqZfV+Onb0f+ZpH61T+GX9fI9mtfHn/AASXTzJtQ+HP&#10;hO6uLiZ5ri5m8CtI8sjHLMzNZ5LEk5zRXmul/sXvDYx3Gka3falDdDz1vNQ+zyTSbu7eZpxZP904&#10;x6Ak0Vn7HK/7x0LHZmvtfiz8cfgnrlxpvxB0d7WWRVi1q1lWONB8rb0BODnngcYPTpX63eDXdLia&#10;ORGbbcsS0nUgk9h2AxX5nfCn9nnx9DrS+INf8DrbyQ3UVxAHaOOHYCCRtB3I/cEq2e5Uj5v0PTxT&#10;rHh3XNQkbwq1xb2ccDGZboDcDEhOFAJwCT9eSBRhaVaUH7r0t09TbMp0ZVk4yX3ryPatHhDEn5gu&#10;7+mOK0Nd0PTfEGnppGpWNpdR3DKZLS8s/OjcRssmCj/unLFVChirLy6kFePIbT9q/wCHWmJNa6nf&#10;6bb3NuuHV9URjFkfKWQ7T0IOCRn1rmdW/bw8PXXmXHhfdK2WW6mtoSAnT5gJWB52j/V9duefvVvT&#10;qU1LVnD9XrS2R89/ta/sq+LvFH7W3i7W7HxXZaPdatZaTPb6SsIjsra1t9Phhz5hxmGIwSbWMagC&#10;E524OPL9G+G2vDR2tr3U76xnkh857i40VpkjdAJFdo/utg84B28ZZtvX374r/FHxl8RtPnvpNmmz&#10;apDFDdTQvmScRGWRY2mAVtiGR2X7uC7gkgsK4+2XUdG0+2juLbSNMmWMq2dXa3jk5CsxURlC2VGe&#10;SFPRcHmq3sKlZyitzqpxqQpqMmaS3+nzalf+N9X1X7VNquqXF3rF7o+yRjcPJJKZSC0g2hWBO7c2&#10;GOcliDY8Lafq18bjVtC8VRtabZHaGPSI5DI3ykCRF2uSw/iCEkBsNyAaaaHd6xAltpmsyWD3UTNJ&#10;uU3fnRqRgq7MV27RgKQM55B4Y6UuuefZvdxeLv7MZ4cR3l1DGsc20nJjRgvQPxyygN2ySSIchY0z&#10;w5pvjaW+1hfEUyJNPtvHs1iTMYUA+cJQWVBkrtJZQuePmNWrTR9O1vRpLiaa8u45pGbT72108NJM&#10;Bgq4VQwyCBlisbHaPkzjFfwxYXeopDdN/ZMhkjZop9L01DKFUgjY5+UHIAPyDqdpyDTbZtUv/H95&#10;qaatY3Xm2/lrayyeVcWuwbG2sI2bGSRvX5Tk9ya0QuU3vBPh3SoLBdEOtQ/2jM26OzvLVbMSDn5f&#10;JVQwO35t2GJOSdq4IzYdD/tbXJLLRvFzQ/aNr3NnqWkwmd3AYAnau1lUMW+98ucEHvPqGqwz31rp&#10;VwIZP9IiVsa1+8ssY2tiTAl4I++udxxU2jXN1ayawsPiS+uluplndYYYmuBtIQOpJLNtLIANi7No&#10;wAOa2jIXJoMHhK4j8Ujw9Nq6w3c1uDt0uzFrJLHGoXam8Pw2Now6KShDdc1s3EKaOYPCUE8195MP&#10;2e+UbXnSLyywK8YboBtEbMOWLLuUGhPqvhzXL2K21bxHo9wfs4N22sRLNJFkbCuUcRGTcDuAAOF5&#10;JG3Op4itbL/hELjTbbxIthb3Fuogg0+3SO33kqigRoGcguAG+Z1IfOWB+XSMieUr2k0PnNq154h1&#10;iG3DIjLqlqkPlx+a6lnnKKXXOHVA6/IWHUkB+o3/AIYtfF0fiRvFr6dCbdNl+2jx3FvO277vnRYZ&#10;lIjJ2sQRj5QRwDQ9SM1vbpYz6aq+UiTTaTqkjwiND8qCNY/LA6KT3GDkc1yWtazollFLpWitHpc2&#10;m3A+yLp9/HdmdwMGRyw8w5yF+faB8ueQTVc8VHcOXU6WTw2nhi0l8Q2U2jNcJMsZs/s0treyhyUU&#10;oI3dkZiTtOM5AVuVAr85viv8Hdd0TVW8d6W8V9oPiTWb5tDutxVkUXDiNLnEarBM8YWQR4B2Nnav&#10;Kj6k+IHii68c+FX+GuufGhvDdjdOq3+uahFb/Z3XMrNAgR0EWd4LYbcwDZ3Bmrc8CfBnwB8G7rQf&#10;Geh/tXJ8SpLSRp9H0S1njns9PuAH/wBJYfabgb4fNleMCNWE0ivkqsit5+LxVOdVQg9V/XoaRoyj&#10;G7Ou/aM8MaN4n/Zg8U6J/wALKvrm2sNDe4+0RtFeRvJaMlyIMoqEB2hxuVEQCQsAoGyvz6eVguyv&#10;uf44axqv/Cs/E1pquqR3a3XhLUFWS+8uNgwRiUjkji2kjP8AqdwGWXjkV8IQyFny/aqxU4zkmhRj&#10;y6H0L8MxHYeEtNtF/wBXHp8c3Tozr5hP5saufta+FrDSv2IfCc0M0UepX3ilda1FbdZvLuY5kujD&#10;IWx5ZlWOeONuhHlsMttNYulXV1Y/DCG4sUkluH0mGOCNfveY0aqq/XOAK9l/bbvxrn7LGrSeN7mK&#10;1k0/T7CytdJ0e1igtlMUsMNv9mjZ52SNAsSMwlJZQwU7WreUo+zcX2MKcbybPiz4Z3ghmSf5jukC&#10;+YD0r6EtPh/r3xg8FD4Z+GWh/tPWpILeya4fZGshlUq7HBwqkbiQCQASATxXzP4MuHju1SE52/Mq&#10;+tfUXwb124jTS9S0/UI7S6t7yF4blmwIXVwQ5IIwARnORWWHa5XfsFb4lY9C/bP+Cth4p/ZW0f4P&#10;+HfEFvHqHhe3smsJF09o4dZubO1e3+aXL+U8kbSuqH92kkioHEYZ1+Tvgz+yp498TXs0mpXWk2Nx&#10;Y5M1jqd5Is5UbCqoVieMFgxZSW2/JyRkZ+s/GPh3TPiF4SttJ07U1jto7om4TQ41trWz/eKiMWJl&#10;VjvkYBVKqgCnOCMx/C34PaDoGv2eqao//CRXOm30oe1t9eihm1iHczKjbA5kwRtBXY+11HYEZ1K1&#10;GVZS5W49e50ezqcvuuzPK/DPiGKyuoUvlxG3yeYqhlOQecdOpHT0Fen+FII4rEy27/eZU8tefn3g&#10;jGeg/PoenbzLxHNp9x8U9c0iLw0ugW39tXkEOibnYacBM6iAGQliI8BQWJJC8knJrvvhp9pn1aCx&#10;3/LCrTtu6cAgD82/SvyLHUfZ1XE/0O4QzT65g6dV7SSa8rpOx1HxKhtk+Hd8LiJd6eWYPl+43mIM&#10;jP8Aslh9DXjdtE3mtcIy9NqMwr2T4oC3uPhxqM0sQZo/KMTY+43mouR+DMPxrx/StOXWLy30GSZY&#10;4764jt5JGYAKrsATk8DAOcnpiowqlOmqfd2/I9TiKtTwmKli2r+zpuVv8PMzW/4JV3mi2XiHxV4n&#10;8da9bwSTT2kc99dXnlvLuE7OjMY2B3sNxDMu4xdG24r5R+Mek6XoP7RHi6x8MWFra6ZaeLdSg0uG&#10;1l8yCCBbmRY1Ru6hAAG7jBr6+/Y68L6VqHwJhlFpJ/a3ijWEmkg0y8jN5I3nyhU2mRpZIc4JV0OP&#10;nZiQ4J5/47fsOaJqeq6lruh+MI9N1KWeSSCPUtMMG6QEu0bPESrSYZCzBS3zrn+IL+uOcfYxhHof&#10;5w1OapNzk7tkPiHVvD2pf8Ezdc8G6VaakuteH9Qt01aGFWWJlfUIbnznRWIZAhC75AhDKFxxx9df&#10;HP4R+CPH/gbVfAnxV8RXS6BrTK9rHp8Dw/ZBBJgfeEgjIcxsCVVTs6MhZR8Y+Kv2ffjv8NP2d/FE&#10;fjjxVpF9pFlZSeXGkga2AKAxzRzSxEliTtQKqbpCIy6vlau/tDfEf42eI/hpouh6JfWM1n4q01xr&#10;Gq6CqCa4tzGsq20j2/7uESiUhlwm8oUY7A4PXGtR1fktzOMZKOp87ePvht4Y8P8AxB1rwT4M+Ii+&#10;KNN0+4WK18QWljJax3LBV80CN2YgLIWQNkhtm4fKwI9O+EOqzSeDtO8Maj4kmurrSWmtIbFrEIlv&#10;aGT7QjiUcyF5bi4BVgSvl53EMFSx8J/2Vdb07WrdPiFo/wDZ9vuffaXkwheR06qWbC4HG4Kxk6Ko&#10;DOpr0b4jfDrS/hTrWmw2c1/YWurwxC+tdPgtzZ3F1Bj7OWjSYyZSGe/JuMN8wCH77OPGzanSrYGc&#10;V8Vr/dqfWcAZhLLeLsLVekZSUH6T93XyTafyO6sZ4ZtSN/aQNDG8G6OFl27Y2wycfQj8K0PDdwzX&#10;7WxXlsmsWyQRpDJBLj9zs+VOuOh+uP5VbsZ/s17Df87R94Zxn+dfksj/AEWoytYXx0yRalHIUwGh&#10;HzHucn/61fP/AMQfDV7rGseItE0vRPMkkt2+yyKeZJpIs8AZPVsHoOPfj6E+JCYjUJ1VvlYg+lYv&#10;h3w1p2uosUMiS31xebWtYV/fBFVCG+8u3kEhtwxsbqcA/XcH5l/Z2YXcHJTi4tLTs76p7WPwf6QW&#10;TxzPhZVOdRdKpGd2r6NSjbpu2j4RjOVx/Ko7jk5C1Z1bSNV8O6pdaDr2nSWd9YXD297azrtkglRi&#10;row7EMCCPWqEswc8Gvsj+N5Gp4JtkuPFNvEF5kkx1Ix78f0r0v8Abc+D3hr4GftJa/4R8CT38vh+&#10;Z1vNEuNUkRriSJx+83qDuTbOsyBXAfaikjkE5H7IUPh68/aL8I2/icSNbHX7MyQxsVaZPPTegIBw&#10;Sm7t9OcV9Vf8FlfhxpT6N4R+K9hqOi/btKum8PapDb6i815Irxm4g3hlBCxtHdZLHP79Bzg40svZ&#10;k67nw/FqElvAWjPzY+XmvVP2YL6TR5NY8VtIvmLbi3t2l6CRmDD/ANByfYH6V4v57SSrEOpIr2bw&#10;ZpU/hnwzp+hCRVmuiLi6+X7u/GFz/uBfxLCtMPze0T7GdT4bH6kePvglc+G/gXo8Ol+H5LVr74b2&#10;uqwwTabDN9pN5aM+yOQruLySyvs2vlGZ1VSykJyfw3/ZA/Zy8Ifs76H8fvCWi6LFqupXFva3Ov6L&#10;ai9j+yt5nmeWY5PJgbdGEedBuIEkZ3byjen618dNM+JX7R/w18JzW2m3WpeIvhP4O8RwW9icWGlC&#10;yuLgsiQ5McPl3MoCI5BXygBl2SvpX9o6x1j4l/AqLwzdWOoXQ0nXn/s/7PcLbXSRsl1GjK6szFHb&#10;LIW2jyVTzAsqEiK2Fn7VVOZ+638+97Fwx0Y0/ZOK962vb0Pmk+JbH+0L7WdL1vUmdbgLp1xpKy3S&#10;vGiOY1It41G7c27Y7qR5nDkEsbWi/wBqHQ7X/hC/G93cIJIrMy6GttKLUCRC2VkLSbEVirbZCwVS&#10;QerHR8S/Ab4sa1L9g8N2MeheZJIs15HfyzxoEDTLMICsfzmTc7D7rYXcfnfHMaf4W8EapYq+va/Z&#10;XesW6yxCOz0uD7ZM4CKHZNk7liVkJVOAMqByuLvEk6Jr/SJJNQ8Hazc3VlHDPHLf3cPh+GaG+djk&#10;bQIpfnO1QRjORGoJ2gmbUtF+yR2PiWTVo9Mv47yOKzfxVGtrPlHCjEgjjkIVJehwgCgHceTycd14&#10;y8L+GWikvdMWwmtZLdxb6TN5UL+WU3zOZE2ZZydwiYIduQhJFbehXKaBoNrpmvanDY3lxFGbhmvp&#10;EhVTuRPLhM+1SSGVWi2MS24qcYEvyHY/Pj/gs/8ABO/8FfGTwz8U/t1q6+KdDZFS10yS38xrXymM&#10;m4lkceXcwxja5K+SVOAFz4P+zJ8OB8dP2jPCHwqGnNdWGpaxCdYWFgv+gxnzbpgSQAFgSVjyMbeo&#10;r6K/4LEfDzWbLxn4R8RxfEjV9UttQtZfs+jz3V08EU5lAaa3juLu5aMyAohCKiv9myPMYSMPK/8A&#10;gnvpXxttvj/oOtfBKWxW9a/trfUNTvNEivvsdvJIXllRG2yRsqQODJDJHIV3R+YqyuDKuB+vGr6L&#10;4l1PUYo7FbjWtPuIWijgjtba8tYpFD8Ou5HiUvzubeoPJfIAX8yf+C6unS6Z+1h4eEkt4yyeALfa&#10;t1A6CLGo6gpRC6hmT5dwLFjh8ZGAq/pp4P8AGnh7xXq0lvqWr6NN4mhlMW7UrJJGgtzKD5a3BlnU&#10;IJChVSAVY4IG0Z+MP+C2PwmuJvgH4R+ID3iyXGk+LJrO1tbfSZohLDe2zNJM8jwQLI4/s+HhIlA8&#10;wnaMkVmET86vB2qQ2WmGJfmlaZnWNe3Qc5r9ov2OfCNhZ/sx+CoLjx9qEMieDtNn8tfIscefGJik&#10;TSx7pMBpl3KdsjPtIKlnX8WfAPh6Txd4jsvBFnYXtxqGoX0NrZW9jame4kmkcIqJGBudmYqAo5JO&#10;BzX7m/s/eHxp37Mfw3sPCereIr9bjwBobW4t7qeOGZV0yBlBEtyiZYFiY0R8InzxsrqKuTfsyZfE&#10;dlPpKXGvKdI1/UdPjtbW3julj07MQRVdzOktwvl7NjEEKpYFVyWGAV0bwzJJ4+jvLbVbjXrW1uG2&#10;6o1pazKkzZVgZ1AePCl9y+SACSCzAgGx4P0bV9ev7dvCl3pOi2cMwku9NWdZ/MypT91FEVaE5dwR&#10;uUnLkruLbi7s7m98Z3egar4XttWuY8LbrHoouIY2AZdomLzvExz8wkSNABkBd7tWAHK+IfDHgK31&#10;eW1Ok3lrrl5Mbu1hGiwzyyINjO0si2su8iNhGDvdnVRt44ToPGkzWN5pujW3ifRdL+1W8vkySWnk&#10;XFrbMI2wkbXMbqjmPZ5aLysK8AIJFl03SPD+gaXfaP4k0ezkULvtIbHwy11axzyKABLJDAizBfMj&#10;G4R/wBSWYsK6nwho0lja6vpPhwTaTeRtHJbRxalNcLaSF3KgWjxrsB3blATlDnCKBmZAY2kR6T4f&#10;0lhd+Np7i9isVjt4dWtrazW5hJJKxvJE7SFfLic7ZMAsnzqc42/Cuo6AdGuNY0bTz/Zqxyskdvpq&#10;2qWreZuZ5JXZVc7gFwhXAGcABSOdXQPEdybrXrPxnb3sdlIsd1D9oup41lH+sjBa+SNQqfMXEhG4&#10;EHDId9XTpNXvfCllpEN0ulLdXCQSahNPYwx5SdwBDEGCbz8uJF+dmZPndvLapA6608RCLzJbLU9P&#10;0+OZhJs/0SLzcovz/LqC7um3cck7euMAFP1RfET3Xl3GmzXRjUKstjbiFMdcENfglueTiikB8l6T&#10;8Kvh5aspi0G9uWXH76VnUnHfBKiuC+MXxQs9bgk+HnhsTRWfmhb69afYk6YG5AyktsAPJA+cDGdm&#10;d3mK+H47OVr+y8QXkMke4PLJZrJGB2B2oFJy3XOQPxxKJGt9OksbjfDeXMbRQx3ClfNZ2IwqB9yr&#10;1XJKqGzn0r2Pr1RQcYq1/wAiaeXxjNSm+axkWVxpFtdSSWRmKxyBUSx1JZ2kJYgDEknzqcg4Chhg&#10;etaGswWF9aR2kmmQi4lkB85tIcMF3ZCL5hCk4wME9AeOeNTSVvtPWaHxj4ltZJIT5slna+XHsRWw&#10;vzKy5ztOAwwcnJIBBrmx1KXV7fV/DWmi9t/3iC3vDADbspbkS5LlcE4IyCuDk5JrkSO/qOnNxrM0&#10;MXiTwtPc2lm+2OSORJZ/MJ4fEJLY28BVPU5bPAFq71bU7PTv7Pk8NtbwmaRV/stY543AZQAY2RSM&#10;qACEwATkhsEHNutNsLzT7q9vtI0vVGZY5Umh1NTIAQSGLeVySQPv7lIGMdSdSwsVYQ3D3Wo2M0du&#10;pjtTJFJBCuEGwKE2tjIAK5OAT2JrRDZJo2jaRame8u/D91bedcxx3U0t4LRArqeAbd8PnoAVyTIA&#10;D0ALDxhNp2o3Gk3TajDdTMPJsfObUI5AMkknIkDlWwSCATz2CnPvtQ0/E58Q3d3p8KPhLlf3KNtw&#10;FRV8x/NGTnhdvJ+7kGrXhe/12GWG88QeIl+zXkY8pIbdF3EnjLjG44zkcglevNVzEmpc3FpplxZz&#10;6BpVvY3Xlyb4V0Py2v8AlWMcjSxhV+bcM8gg8c9G2Bu47q41vxF8OLWG4kYNDKu2YRMoUgGIbh/y&#10;z5cAEE4GM8Zeo6nq2o+If7a8MRf6ZGgWa1jtYGaJSeAZhjBOFOz5jtxyMirb6bpd/JJqs/h/S5gy&#10;rJDb2ky7o5gRgkC33sOWBGSMAnb1FVzE8pv+K9b0/VdMhXUNGn1OCSRWjaGFJnhLbeEcujDBUZZl&#10;bo2etFzd2KW0urPbXn2iOZkb7b4jeMkcoFQ73Uufmx1A3jOOo5uz0bXrfTY7q4v9UsbrySkdssP2&#10;hVzgj92qYAGB1CkALn0qaS7e+mm8PXVxeP5kbGe4tLOW3VVBHzu0hI524yowV6cCn7TqHKXNI+ID&#10;3sX9iXk2qR5WT7WbrF9I0W5FA3bSAGAYlHXHBHUio28RXOm6hc3ugyhW1JGWGxksRbYZRyGkEamQ&#10;/LwMoQGbg9Rk6DfarqkAlv8AxdC2l/aMQSLbokiQJKAWXaU8sYC/MWyQcAHPMPiTU7iPXLTWrSSR&#10;ZLy3j3bY7dldMD5BvaKQhQN2OQDt4xwFzMOU0PCk3ibSbLL+FooWmVok1CO5UyNktlyEDFQoG4Dh&#10;ASQRggUeIb22g1iO913w3fCZpNi32nRokjHbj5pUlVthXAwQAMHBIOK5qy0tLtgb/wAL6bHNJ/rY&#10;7q6hVnI2crsiYpnYx5djgsDkGmO+qyebNcy6tbm3VYoI7RQQPnTIERjVsj5QRtHHfjFTKY4x6lnx&#10;NocFlp8cH9mTRq8xkZG14xSK2QMMSXTPUEEjpxyeUsb7TdSLeHr5pJBbWoKrFai7csp+Y7wjhuOP&#10;uhQCTu+7gj1u3snjhKX17JOu1oYdGdLiVVVlCli/PyryFC8vuwMljXutR1a41m48N6N4xi+zpalv&#10;L+zl2i4IKKQdznG3JDDG7k8VjdGqQ7x1ro0r4O+LPDNzcwmW40W+aO21Ow8iFIxA3yxHy18yVWII&#10;4AB2nau05+M40ULnPFfWHxkS1g+G2ra4mptCLXSLq23t5UmY3iePazttO5mIQhSSG3DGa+UdFR9T&#10;ubWzBbbPJGjbeoBODRuY1ND6J0Sxgttc0O1iu5ZIYtYtHMNuxjkaNJVwFIIOd+wcEH3Bwa739rmL&#10;/hO/2eNesdAmaO4hhjmuftkyxzSCB/OmDlQ28kW7/LkAmNGJO0AcF4dk+0aha3V68zQrqVoizQFY&#10;2JEqsZFZuijIJ9Npxg16b8V7DXfE/gLxNpVheQSXF3oN5bWa3mn7Z3PklcFkaNWRQ5xiNgoOQD0P&#10;Zilay8jnwq5oM+D9CSRI1vI4mKo/zSRj/Vn1+lfSXwZuV1GbSbEqu67vreLc0m1G3SAZzg4Hr1PP&#10;evn74eaXLrVnfWtnc7bpI0eJWbCyAE5Xv7flXs/wNur+6m0uw06WSG8j1KFIVRVZlfzBtIDEKWzj&#10;AJAPqKnD6L5GdT4kfWehTXV9qU+k6/4at47OO08qS60/UFjjuF4VFWBT5ik5A+YDICKSoBNM1KfW&#10;IFmg8P6W+taPC8otVOuSJ5CGRlAdcsrDO7LHcBuCvwMHn4NQ8VXOprND4hvLibYiSasLK1gRC8Zk&#10;wyCBmKhjwdzAHGMDAp17D43kjuJLAxutpMqC18N3bQ7JlK4TcYWKujbZDkqqqBwuAa5+Y9HlPK/j&#10;V4F8V2fxSbxcfDFrbaXK1mFk0tY/IgXyIVxIsRIhJJx82N7DcpYHcek+HBFtq1xc3AbJjIVjnof8&#10;/wBa624udf1nQtN06bxZrCtNPHJM95crcBJOS8ZkSMTKxCr8wbnaBnAUDZj+ImuaiLjwqirpd5HZ&#10;s8WqtaW8kbRLhkkeRlkZsRDGSyjqzLlSK+bx2QRxdZ1Iztfyv+qP2XhPxcr8OYGnh6mG9pyJJNT5&#10;bpKyveMte7v8ia68O6oNIktZ9OkiaNbe4P8AaVhObVx5yNsldV2qpCkkMygrznBGeC/as03w/ovw&#10;q8SeJ/Evw3t0t7PSbiF9Y0Sf/j5v7uGKCGTY0iusQkuI3berNn5h1bze0+HfjCTW9AkutZ1K21xZ&#10;7wteabJZ2oS3kYkid18nqQH6ZLMcnI3GvHv2n/Feg+Ldf0P4Q6Zq11errfinTTPopt7cPNpBuZ02&#10;QXGxljCyxRrkgMC2GQAEN6GByzDYHDexXva31tvp92yPkeLvEDO+K86/tFv2MlBU0qbkvcTk7N39&#10;5tyd9l5HvXwy0vxV8Kvh3pPgnWrO61uTw/pNkzJpmuzNCPKjjjkxFJKN4yiyRptwyeXlQrZrqJNI&#10;nmGl6L4f0mTR7j+0Flh02z1BLK1kg2wCQTGFZVP8SjcQGXzASWwF5DwsfEOl6J5llY6Tpd9qEzfa&#10;lPiiKOUBt+0IyxhS5DOAFVjxlNpZsKlzrwt9S01U1uRrVy63VxO0i3EbLLI+x3jjkkBBXauVCqzE&#10;LuYbPSTPheU4n9rvU4PiH8EPE1n40tbzT9Nk8LzXmiyW15DOqzW6PdeQrsjlUM8cQdd6NhiAASM6&#10;nwv8I23ij4C+AbKwmudUvk8N6Td2cl54fnAS2SyQLZs6Q/vSoIbOQrR8kjAJT42+ILTWfgB8Qri+&#10;8I6zfXjeE75LPVLZbkWVqs1tLuOJJSqq/wAnO597RA9cLSfBHX/GOjfBLwNo2sXlqdN1P4d6Olvd&#10;XgghWJTbgrC6klWLBSqseGRcsCWIGbabD7RvQx+KPEix2f8AwgsF9DqUxe6v4dYt5laV1IVVtiU2&#10;ALhwVZQu3JIfzK5T9pr4fQeDPhJdeKn0LU7eTT762u2vtPmnSawiaRLe6YiaeOJ/MtrmZfJRX/1m&#10;1iFUFPSdE1LT9O02zs7S/sW0vYwOlXGlW11C0eSILhIB5Lo4yQxLuWDSqhXaFrzv9oDUNH8dfAPV&#10;otZ+HVvbvpc8dnDPayR25CvJCrRy2sbyGMoqmNGLrlZDlThMc+IkqdGU2r2TPQynDSxmaUKEXyuc&#10;4xv2vJK/yOV8PSXVx4ehkbcsiw5ZJVKtuHByDyD9eadJOv2OF2bqw5/GsH4LeIZ9X8J2j3k2oXE1&#10;mxs767vsv511F8szLLgCUF8kH72CN3zZJ39csRbBRA/yN/D0r8xxdF4fESptbPT06P5rU/0K4ezW&#10;nnWQ4fHU2nzwTdne0rLmi7N6xleLXRpo1fiMWn0W3vQR+8WN9wHUlef1zWh+zi2hald6v4c1GVEu&#10;LmKGe3EkIZWWLzN247vlGXTnY+CRwv3hTvIX1fwSrEqWt8oqheQM7ufxY079mS7vbL4z2uk6d4ff&#10;ULrUraWCBQm9YNm24eVk2neAkDDHAGQxICmu7Jans8dTfnb79D5Hxcwcsw4NxkY/yKf/AIA1N/8A&#10;pJ8K/tP6drGhftD+NNO123hhuZPEt3csttIrR7JpWmRkKgDaUkVgMLgEAgHIHC+an3SDXrn7fOlz&#10;6H+1t4s0e7haOe3XT0uA8M6Eyf2fbFjif95gtkgnqOQSCK8f2/xfyr9G5j+DZbnrX7IOiadqvx78&#10;IW891JHG/iSxWa6jnSNoVMy5be4YIcZwzAgHGQa+0P2//C9nD+yn4z1XxF4m0PVpF/s6bRprmSym&#10;vhcfbbZC8LxIjkeRLKrNgEAbSCCzV8dfsP2B/wCF+eF9S0+ORrz/AISKzgtm3R7UkaZNu4Nk8tt6&#10;rggMOa+7v+CkHxWHgf8AZCvv7SistYm8R6lJoHk315a6gPOzJKs0ghCCB4Y1lZEUBUnEMgT72NpS&#10;5aa8yE/ePzc+G3hQ3U7eJtRs99rZuPLWRfllk7L7gdT7ccbhXq3hG/sdU1eOPXAzNKXO7djGR6+v&#10;f8K4Dwv4/wBNms4dKuJms444wkcMSjbn6n1OTz3Jr1bwr4CE1tp/iSOGKaJlWR5vO3qBgna4GQem&#10;CD3OMevbhYRduV37nNWk+p9C/Ajwt8Qfhp4h0nx94XS6knfRIrdbrWrFmsBYve/aUhjMTCb94wRg&#10;BHKG8xj0IA+9vG3/AAUP+KOofCn/AIV7a/BHTdPuruKIw6lp+tR3rSSRzjbtt5RAyt8gm3EuFXoH&#10;OK+ZfhPqz6jpNlp02j+IPtQ0W0tbrT7PT5ZldpLZEExV7so67FVEYxIqoSwxujrprPSvinp8t1c6&#10;3Pe6baWNn5/2nVtPiulgXbGhYf6R5rMPLlYYdkBWRkfMXz+ZVnL2kld7s2VOLUW1qi5rH7QWreN9&#10;SfxPr2paa22zeyWK8s4Q9zAGCHpcGaEjy5GGxW5miyowzhq/Fi98IazJ4d8JaDos2n30qrIsOpKt&#10;0rM5jktmiYhrnKhI1ByCrouXZCRHpHgu68QeDJJJtf0m+0i11B5Zm0W8tYm8pJJFCeXLbsNm5lK+&#10;Yzqfm+9tRm0ta17UfCd9deG9J1fQ7ELDKNPhvLFZ2i+zD7iSwyS26q4BH7zyyOFID7RRGXKWc3ca&#10;xffGG9uoYvAr6Db28gMVxHpkFuuQA0mXkjLRsCpAZWVCFCjGCT5j4x0jx1p+nXGoeH7/AFvUpoYn&#10;M8VnqM9+sCkOBBI0KhRuGThlH38c17d4L0fSYtR1SDTNJt9KuYbl7iZ1+1Xkkwy266t4sxfKW27D&#10;Gp/eZXkBc6WlfDDw9e6kb+e0vJLW1G0+X4gvokmYllwIiHZQvVkJPzKVVyBhdo1FEdz80/jh4gsd&#10;dutSj8SWd9PJJarBpEkFim1pFdC0DiRQcbz5hZSpGFDByqEegfsq6P4t+G91p9tK8a2f9ltqcdxb&#10;aebi3WeWGLcggIVvPiG9HJCgmMlGcCBm+71+HcGpaVY6PeeDNU1jUJkRDeTeF4THJbqUkMTLcyIu&#10;eWiaU52nOxk8zIl1rwB4LtrqG68T/D3w5aJLcRLpk0w+yMk0rAKVjg+1g48p3BLLtwrBkDAlVMU5&#10;R5UieX3rngNt8R/E3hsXWu+BNb0XSdSktGT7RbzxRrfwAFo2yS7xSMsgOSxB3M20mQFfEP2p/D3x&#10;l+NulLbeJVuNTk0meR7i60WyilEbPyxk+z4DkkE7jg7txGORX6B+FvhppvwjjXWLnwHp1/o1xatq&#10;Wn6tpVxbOk8c8o2ZkcQlmOxVQiUwsJGZUyA4ueJPDHh/xg1neX3g/Qda+wxPHLa6Lq0Uc+3b+8dU&#10;kiSXzJI8MqqxU7AqhWwRjGs4rUo/EHVfD174Y8RQ2/iGF7OZmxNMqlQqghctsUuMd8ZJ9Cck/pp+&#10;wT/wUWtfiGJPhI3wttNPv9N8O6jcxx+DtI+0290sMUlzdXLWhZfLgEUTMIoGhit4YPLit4k2bOo8&#10;TfsLeAPjJoLN4gksbprPURarY/2eDcQTiTmO5n812znCiby2O2dT5Y3bhL8Nf+Cdvwt+Dl3D4p8G&#10;aFquk+IrO+L2+nr4guLiOZkLMjTxW6eYIZBEf3btGT9Rsp+3hyuMkTJX1R9Gy6usOlaTdr8O7nVI&#10;L6323cOuW0k23AXasMXmO8LD5wWaI7mYMx7l0emXoFpfeFEm0PS9S8prubTYbvR7ggKf3Mf2jzI1&#10;XynOxMRKrfcKsGU4tv8AFL4lanBNpXgzS7i0uNPkeHUovEGm3TJDIS/zosaF4JMOUIKDaoBTK/Ku&#10;5ZXenWXh/wCxeLLbRbea28sQ6trcN5Lp5CxxYiWPaoiXdbsPMaaUO0G4Iw2ouHPcVixrV5pPhTVU&#10;8Oaz4NtftcdhB5tx4fmxdzXuGCWrAhShVEmmKM8gfk9Pmq5dXVy8Utja6pq1peWP2q4dZNC8qFY2&#10;lIitJ57wbY3y8e9YpETIOASCateEJNW0OW2sG8B6fa+ZaFNUVI7SzhmYzgCNVhklZzmOOOP5Ioz0&#10;EiZKnHgsfFPh57LRNF+Gn2W3spGTTl8O6lbRPdySiQNvhMMflp8gRZPIQjyhnO4PTuFiPTfDWj3c&#10;8dvb6tqlxeT2o+1LYeF7eaKViivtwlrJyNxJDsxAGQSGUG54ffwv478WQad4caP+w/7MDWdnaXMt&#10;hKrbU3O0cE6bfmlVQxhQnd0Knc27qXivxPfQHxHo0um3umo0scOjzXpsmjLqoMMm/wA5jIblZBnz&#10;EQlkQlmwJalxr+raRdGS80KSzs5Lh7i503Uri3njSSYqZRCsK+ZlMzv8owXBwQvlgAiK/jvpryYa&#10;r8D9J1i4jnkRtQ1DSfNklAkbadxjYfd2/dYjOcnduAKpX/jXTrzUJ5fC3jXQZLPzMRnWmuknHyjA&#10;4gfcoGMEnIHynJXJKnmA/PSY2UN09vpPi7yZ5Am77cqRfu1bIHMIY/ePcck+hFP1fTfCusSzAeEr&#10;G9kt90ky296I5ixP3tsW4hc5O5j90885rSi0nw34wna4g8SXEl7GysJEWKJsHJ2rIYUY88cZ4yDg&#10;HAk8SaXoWjp5bXmoabdt8zXfmPO0nQ8YlUEg9WBbpzngno5u56FjF0/xL4S0nw8vh3W7qFo5Mx/Z&#10;be4MjbSxYszjCkbui8ngH3Fjw5pXgDSbq31vSraa4aa3UyXjK8xHO7aw+ZR6gOpJIJ+U1seGX1KB&#10;Ro8V3M2YV2zalY3DGUtjjkKFGO24kD/d3VS1mO707V2vdT0nTbeO2JaNbLSyXkUqUCs2WVfm5yuG&#10;IPODVcwDPFNpoWv6mj3et6PbiFB5M9xsYqWcqVdRLhtq/wCzt+YHk7lqtFomk6A4luNUvpJlWNFv&#10;7GxjMTrtOzBWKTYMfLjJPIVQQwBTSLjSfEV7LqGo+H2/tOORYxpa2nmRiFQF2kghTJ1BZ8AcYX5R&#10;Wol3qdnGNCaPyo2aMhZUiSNIG6qwlZwcjfyqbcj+Hk0+YDPt7fTb2xkj13+zdUlumB85byOBI1+V&#10;SJH+VuRx8qkDABAIOWWIs9FuVjh0+1tNNmjEovG1JpEIAYhYSybn4IPyHGSepJzf0/w/oYZv+Ec8&#10;VXksi3DC4h0vUILeNFBOHkijCsz4AXcuSTxgqcVX1K4gtfFXkW3ia904gwxyQ3jXEjyNkq29Z1XY&#10;SoJGM849RT5mKxStF8EeKL9orDxDNGJJjG1r9ukjS7k8wsHAxuxls8cg/N8pJFT6rd6JcaJDpmqH&#10;KtBCsdxqcUigYQAhizfKSckgSAscgg8A3PEHh648Qqtnd2unyySCQWsbWrTYUfNtLjaIycg4IJYP&#10;jkrk86+vy+HfC99od/JatPeNth8lZBaAN0k3ScnJPGwkZ5Oc5J7QOU1LW1/syxiOn+KxcW8B8p4d&#10;Lh8xomlX/Wb3djyQQcdPQAHDdU1rRjqh8PaheWclm0C/6Nq0axSLwNqx7VRY+Co9Sd2BjBNLRbTR&#10;RbxjwnpU3zbkS8+zys27BR2MjeWpAJXKoy/6tjxnAW/m0bXdVlstcv5rVrW2hiEd8luF+YKXCCRS&#10;5HQ4LEjdjkcUc4+Uz9Qs9CmmI0fQrXzodsjRw6orXOAOuxVlAzuAycYBySO7tU8V6FJa2kuq6xdW&#10;epurK32C+G62RU3fvGUAOQCygDOCcDjmrVlDptmbjyNd1q8j8suzJqbH5xgbFEcgJIBzt2jjoTkV&#10;Q0TxTJPql5dJrFxeSS4Nna3EcqrG/LAFZGd1YKpO3kcnLE4IPaMfKPPiXQzaKsd1qWoQzcRRx5uG&#10;xjq65Yn5x9zKAjIxkrnDFndwavNfwa3Z6XNCMbYnj8ti2CMxPMSrAbeqhgQxxgZG/ayapcmDU9Cn&#10;0v7VvB+2XVo8U6uOSu7cCyEBsHk846FSM3xtJbW1tp2m+INJutQSPH2rULy2eFp2KMDsD7SAcBie&#10;xUYwG5lyHympcRvd29wg15ma8iVjI0MDwzMOV3OI8HaEAK919sUSeFfB+s2kN1JY6bMyySG6+x6h&#10;5cVvCTkNJgh/uDglASwIyuOJfCdzb2t39u0aZo7dWV7eaS1MUJ3EL+7Ukb24VvMO/nIwB0pWd9pO&#10;o/bI4LyTSfsc5LLJc2cU23cBkSFAQAQVILHOBuwesuQWKnxLsG0f4Z+JtMsLdZNHfw7eNDdpdQ+W&#10;HEb4VVAy3zqMYLEDqc5z8ifDuR/+Et062UL5kepQlQ74U/ODyfSvsn4ltp+u/BfxbFbXd9fOdF1C&#10;SO8XUhKnywSjb+7chg3T5s/KGzgrx8X+A2kHxD0dvMP7+9g+63IPmLWlJ81Repz4jRH0xpWki4kt&#10;4riZWKjPmSH5Q5Gd5BPryMkBR6da9AtYbqVjaH4kR3TRorRx2MMCSKi8FzvBDHADc8nac5JFch4T&#10;S+uvF9lpulTRwPDIkqysdqpscO7FsjgKCSMjPY10jjwGfFk2yCSARFl8y6XbD9ocu2WQ42jbx3wV&#10;J2jII7Mwko1IryOfL4v2cn5nyV4V8P8Ah7S/izrnw6t9Tnhh/tC4s9Jv/MG/MUjCMMcYO5fpzjpm&#10;uq0N/EXw68RtZ+JbeSRVkDxzJ8u/0P4/n6V45Nq97c6hNrEt7I1483ntOo+Yyk5LexzzXvvgzxJZ&#10;fHH4d4lRf7Z0pkF4kcOS656gZGQwDe4Kmpw/LKLj1WxnV0kn0PZvFkOiX2ljXvGuhSWd1d48xg2Z&#10;UXc+ScgAk4+9jPGM4BQ6Vr4i0+80aTT9J1dL6x/drNYszPI3zjqjtvl2jaQoHGDyo5Ddbaw+zW93&#10;oep3VvNLcQkzW9y90Fj5LBjG0gJ2j7rBWKgnKheGv/ZfijSoprDW9Ku7uzmMNxNqlmzOd4Dl47dk&#10;Tc2f4Q+FwRhetcfOev6HLy+HtAt9SkubS/s7O1ZlCy6ppqAqTywCSkgYZsg8jgjIwCOm0HVNPvNS&#10;OkzeIZr5orNGZbGS2aNpCMFCiL8qYUAAqVxJt3HAIhm0a40vX7e00KW1XT54ZlvjLCIY5FVTlRGz&#10;vuBDA7o2IYb1GSADgadqln4f1TUJdYsFtHe/8qMCHb5KkZOY15VsZ4IBweQean2g+U6e71XQNV0y&#10;TSdVj02bUvLWa3h067KSzoRxFJMrIdxdjljlVI561wN1e6BrX7Sug3UOiX11qWj+GpDDDb6ks8dr&#10;FJOscMY80D54jJey4yDuMT7sBlrvtOOm+I1v3bT5JItPtc2cl1Z4A3LudBK5ZZHxH951G35skjDH&#10;zb4cz6VrvjjxhqWr+NI7O3XULWzs/I8mKNHgQyOZXhCqcSXMgBGWyNpxwKnnJlHZHtF94r0pfFEN&#10;7qviyeGaOECK11C/e4t4p8NmU7cbT8mArnPfnIxs20vgzxGkkI0u31JpJF1G9uNJv2LLcMz71Mfm&#10;Lv2hSqqSMbg2BuJfzHVbyRNOsj4P1a6nj+ymaZnuJNQt4bdclnkVhIF+bHeMA8BWO7BN420ueWHU&#10;Vg0iJpIZHkvrZnsZNyhNzgnDgEHkktuDZPGAxzlezOsuJrDxEY/Dt58WvsNvq0a2Pk6np5h83mRF&#10;l/fuzFXUJhySck9NpLnwzs7mP9n/AOH+oTeIbq/sbfwvpLXf9pTeT9kjNqu5Y5dsaCNRhFDGQlm2&#10;4cAqeN1D4pHSkOpeMIdJl0OzhnkaHDSSQrEnIDtks2PlJVd2RxjCkc78BvixpnhH4daXaQyqtxFo&#10;FtBdNLZpK6gW6p8rBXUANuYAAnIXd0OJ5tCPZ+8e5eF/Evwj8b2+l23hnwlDDqjGQtc+HbqFrtl2&#10;mMBGmjO5CU3bTj93EThAATl/HDXbrSvBHibwZr0Ek19J5c7S/aIZRGovIOJTb4BkyzrufdsVQqkm&#10;TK8jr/xEsNRRtbjge4X5UaJrdEYs0jmNvPKt5ICB1G4AoEDAnISqPjfx5beLPAeoWw8QKi2sMEVn&#10;pun38Pkn98rPuVAu/J3NyoZSPQ4rkxn+6z9H+R7fDdP/AIyLBv8A6e0//S0c/wDCi3i8NaxqvhS2&#10;uriSG4uzrsMTx5jga6CxSfN13u1oCQcDaExnBx6BdRf2taG2jX94vzJz3x0rgYNRFhq/hbxBamdl&#10;uGl0u4hhX5W3p5odzzgKYCOg/wBZnOAQeyt7ua01LYjGPLbo936ivgMZKVSUakne6S+7T9E/mf3H&#10;wpTw2X4evgqUVGMajkrK11VSqX++Uor/AA22R03gSJb3w3eROfmk2lee/wAwxXK2EdrpPjnTbrUt&#10;auNMs11CJb2+tZnjkghLASsGTDD5C33ecV3nw/06zvNJur0zLFG1wVkUsMK45P0B3Cuf+JGk6VaW&#10;D3BbC7Sd+PyrnozdOspLumfQ5xgaePymVKe0otP0as/wPk3/AIKQ+Fb/AMN/tf8AiaeS9lvrXU47&#10;O7sNWZkZdQT7NHFJMroArjz4pk3Y5ZGySck+GgEDr+lfaX/BUj4RjXPAngj9rCxFnprapZw6Vqug&#10;xW7QrHM5nucxLgqfLczRyqGDKfL+TDb2+LAxcZUnP8q/Uoy5opo/zXxFOVGtKnLeLa+7Q9n/AGFt&#10;Pj139pzwd4fub77LBNrCSXF0wQiNUBfjepXcxUKu7K7mGQRX2J/wVp8CyzfsxWfiDS9c17UrHS/F&#10;NqbdrmeKK3s4QlzE8RtYwm1hPMf3j7nQMi8eawj+V/8AgmhYSa1+1LpGgxKTPLb3T26SWcVwjutv&#10;IVRopeHDNhcDJO7hWbCn7L/4KNnwN4W/Ya1rSrzxLolvqGrWemjSdF0zVjd7p/7Rt5ZnQmQAxlA7&#10;bvLLZwC7DOLnL4UYx6n5bpxzmvSf2efiV4p0HxvY+Gbe5kez1SdbWZFmKmLecCQYGcqcNjgnGAVz&#10;keaBsjLV03wlu2h+IOkyqfmF9Gf1rXDylGtFp9SakYyptH7F/Aqy0/xV4B8P3GuxrqUNvB9gs7i8&#10;0CSV7WSHBuBDM5n2hfL8tV2oxVPQqi7mi3Wp3WtTaf4E8STWDWsLxXmnS2Mdm0yRgk3dv9nRJJAs&#10;BPlB13KzJkgNI1cf+zZolhqf7Luj/EOeXVW0/TVmv9YEWstDZ7kubmFpGZyy2yiNznam1ztDBmZd&#10;3RX1lrOpX1n4M8F6x4dsUvb1ZFtZppJtWisJprcbd1ytxDIu3c6iGJGbajLsBZRjiNMRJLuwp/w1&#10;6G6V8P8AiiKK10r4iSTaiisms2lxrEF9MitGwaGW3uFLSFRIFIcExmMgsgA2r/YGsWovNO0+7sZt&#10;Fezmtv7P1ab+zZIZkKHHkLbORIG+fazFk2bgivlaP+FfWPiXw9J4Y8c6hpp0c3EMGoSWvha3tL++&#10;uS6kZhaZRG7eaZEzHHlHwoUxyOY/BXgTSpvDvlS+FrHw+kuqLLBfaRLcJBBeOSGgPNzGpdF3SLcJ&#10;vUyqQWHloMyiunhjXvGfh22vrm+8OSRWamfSdL0S+aG5WQ5KbnjcxyN+7zuj3qGUKquTkdB4e8Ma&#10;r4evLWy1uTUr5bo3j6ZZFftbWCgwoEmDw+bGm5UUhHiLCPc5GGY07Dw5ovxB8MR6Hr/gXVr7TYVk&#10;bR7fWtYtLSNLhU+bdIZI1dsrFzlAoYsqoVXdk+AYJNVvG1q0v9akSC1aPWPAWtStJ8pUvuFrK+SV&#10;KQum0kqAp83G8GeYR6Foek6DpWp+VqutahBqxvBJHJpvhna5lVGAQSOZVkCEZwcsqFV2DMdYt8ni&#10;TVfEM2iN4s1C0uJ7pZbSPUtObSbjasbIVtZ0WIvvHzbioUqoOAGrQ0i1+HevwTax4U8dTaTaLxpa&#10;+G/LjdfLQxToY8L1cMpcRyFo4416rmqcGiXC2eg+O9H07w9NZ6MVVm8UeLNQvAWfbEzSCJdikblj&#10;Z+VYkH+EOJuM63Uphrk0XhXxhquJpoDDawLcxtbW8vmo0QYMrs0hOJDIxLB0bPD4rkr/AFbxdb30&#10;3hTWzqniBYdabTraaaawtfNIdYmKj7M7BD5QyGYEJJkBd2DNrHh+8+IUD6r45vNLne7dvsFnD9te&#10;3mVFTLhobuNAnlMrbGYHLMQQCQ1X7PaafM3hWHwtJqmkW8UD6LfafqDXTaDMse+JlF0JYoQFaQiR&#10;Du4wA/yZANrw74an8d6/IdfsIdPuVmliS+XWEt18tEZZGB8iTcQVRQItjj96GC4YNH4otfEkGp6f&#10;Y6R4h1f/AEaZZfPtdHnultUXzcwzSRGO7ZXB2n+9M/7wgNI1O1C90rSrm00axuZLGaa48231YGWK&#10;OQMDFHaytpkkEglkbY4VQ20kYIKMkcuu61qF1ptxHpl3rmm6to8bRtqGtabHqENiZE8uKBbr5hGN&#10;i7iWEi8MXYfIXmTA2PGlu9rPpsGlS/2XDdM/2nVG1BI476R2G64e3MMohdX5wZLfhmXeNiipPGGo&#10;eMdC8RWuiWOq+HpoZF/d2uoWpt7eeEOSE2eYyyXEpdnUlzyqDbsyq1PGGtS6XFo+p6nq81leTXEJ&#10;m1L+0GH2ktuKvbDeIWjc7l8jGSruPLDiRQaxqM48UapoVxreoag18Vt1mtxZ2KzKoyDMXiZgRsXd&#10;tBziM7AGYlXAsap4Pm13R5PCkXjO9huIoYYLjTodLjxb53AlIjDJJHGrNwshcJwAx2KSl9pcktu/&#10;hCLRV1Zg7Tf2o8YtZrW3WdfKljkWQBeIdoaI7hhR8uCQWra74guPKl0dbGW0vPMhkuNQwsbxSoM7&#10;nLSSRvHDFl40LbiCFlwjFIdC8UW5+zWt/cTLcWMNx9ntdaEwt0B2LLGLmzKMQzbsBh91kU/KUFoC&#10;TxHqHinW7ptG0jQmFzbwl9WvLPxEY4XiBACHy49mTF/yzkRiIz0PmfLueH7DxVDeP4g1+8KpYWcf&#10;m6jqmloVTyzhnKQ3AdtoYsuYyqfNjaTxi+GbfxRd3qyWE9iI4vLlt5Na0MeYsSuUeFTE8Sb3HJIJ&#10;yQCVBGGp6H4tkvLWR9H+J9xbvp7b2muI4p5Cw3K22I28bM5U7gXKgIWU4J5CbG8vhyDxxaw6ncyw&#10;6kIozHFef8JJLZs6l2kG6KG12qR5h65PqT1orAjtta8ThtesfFnnJczSNut/EU+n4AdgqmGSeMgh&#10;QoBCkFQvLHJoouSfJS21xbaXM2h2EMljbqyrcWflSLhe/wB7aACjHB3EqVIC7hnFXxD4U8U7Yrjx&#10;NdWm2XmS3vJYmbGcEnHljIZ2JXoTjI+6LFp4/wBJ8KWtxZ2sek3Fz5+bddEtysELDPzNICWlyNvE&#10;YJ/dgZI4qxp3hTwZpr29xb3sN9eXVu8hm2i4aJlJMS+YAUhBkG0EhmAK55BquY9Ey5vDvhHSbCbU&#10;r/wtNFdeYwku55ZZVKt/FujzwVGecccA9cSeHJdOtnj0rSvGGmyvdRlrW1uLho1tBucIgRst95nH&#10;LA7ck5211GpaPe6taXGjQxf8S2Mbo5pLEKQVXavmC6BaUMCMFV6MMsGJxh3Xww0+186XW/GWpQx/&#10;ZzcJJaWD28EMYkHJKoU3hsZ5Bwrk7cDLUhGbreq63rmq2NxDBYzRyJJKb+80OZGRVZdiJ8xYkErj&#10;5Bxu7gmq2seOPBt9qaaJ42gmW1s0aWXdZ4mZtwXJQrlQR2ZRnow/hrZn8OWmq+JrLS/CHjow+dNv&#10;a6XVJ5GuVWJX3NG4ZAdzAbizqcZCEK1XdWt9dGl3EMljo6WVs5drPWrhZCJAV8xgkQYZywCBWJwf&#10;mB3bavmYFDTLV9StPN0q7nurWePyrWfS5InSRdqlSqtLtU5LLhsE4wccCuWOsaJqureVrnjmWzu5&#10;t0s0dlqDRiTAXGXwY3bZsHBAAJwSdrHp47i+8GG317XrTSdIMpDafb6ZC7XFzbsCM4yf3IaPhnwP&#10;3eABtG6n4a07w14lttS8VeJNLFrf3F89zDD9nO+3RdsmI1PMrPGMxk+Zz5rLgI5qecDKvfC/w/bw&#10;4ddGgeU17I32OZr6fyiwfb5u+ItwxUZ6H5QMHqZ9L19NC0qEw+PbG6lkaUXH2i5MQslEhO1UBd+s&#10;bhc8klSN4PPSTa/o+naLL4Sn1KKVrqCP7DYwxNHdeXIWZI5DMyoreW4Pl8Z+UYIwTl3Hw18P6ZYX&#10;mpX/AI/1C3tLWPzf9DklQIyyCEqdqHeWPltsxkBsMDgkHNcaMm7sNXkkXVNAtbMKm7+0NSk09/OB&#10;Dqu1QWLsxyArAbSBjqDVHWtV0W78QLZ+OtEuI3hUCzW6h2NInO7CMu7Z94BiCCdx4NdZrvhvw5qv&#10;hZ7bwUZ7vVfLV1uNM1a4eUfKhB8qNJTI20OMBFKFm3/MRtdqulto1ta+HLSc3mpSLNayXd/feRbr&#10;eb2cREZyXGcBiwHABYMGBOYfMczHcSeKNJmubeL7SsKRr5tqF3TksASAWIAXPO5lKj+8wGeVv38I&#10;TXUdpqmqTwTbZEkt0vJzHIu5CUmDllByoJRSM55weK7YeA/HVhr11Y6P4Y0W3byoIby+01S0SK43&#10;KwkQr5gwjNsUtyuGY8NWYo8PeOviNajUNEaOKKxeS2WS3MLTSRlsB3YnaFG7lmblMEkfLS52Vuc5&#10;ZeE9DFjcS2jRwQbvLtZlJuFfChgVaM71ChQpBAG7Azk5OhpN6y2N1c+H/EWn6hIsoeGO8mfasY25&#10;G1svtAbG52xz94dD0iST2+uXenRXFvbzafDHHbi8tQ0CsuAoRDhnX5WZjzt77gAy8+/huBrRta8P&#10;a9HZGGbyJZI9LheSNwok2iQuXKkFfvNuPIJYYyuaQEV5qerX2s+bp+m6HNvYSzNbxrFFEclzulQr&#10;tACElCxZmA4OC1Ymv+I/A815C97Ms0cccge5S0G3BdQIwNu5x945IZcOMY5NaGuWNtaRSXN/4+vJ&#10;EZpLdpLq+2RpIDECPuFODtBABBDfQ1m6T4tu7Gee+t9dkkt1iVLe0gulmf8A1u8qxVVVmz0ySFHP&#10;JxT5h8pvtqMF75lkumrcafeeYt1HLAJINoZwVGfldwv3id2RjOQQF+KLPQ9Y8I+KJjcpHdXXhXWD&#10;9uFqzbZFhmIZkyobaCp5IBAIJA5r3n42avP4i+GNx4Ts/BNomp3ik+daySmSRvMWVl2gfvWYfKu4&#10;sOfXkfO3hHTLKTUvPuWuEbG6Ex3TqVbtypBHWt6PxXObEa6WPpz4PfEDQP8AhLYtT1NJIQ0chk/0&#10;grnC9d6KzbTjnCk44x3rvNY+OGt+Efg/4s1mHxtAniC1t7qTTYrexAuobpRzIA2QyRPscbUIQJn5&#10;VVpF8HtvhBomv6HaTJo8sk0kcIuPJ+b7JvYIJJGbd5ce9lXcA2C4AGSBXV/FPwb4hi+Hsek6dqMF&#10;5HHp8um29xDG9z5m5CdvmHd8wGBkgMAFxgK4XfGWlJSbuY4W8YuNrHzXpejT6taf2zPA0m6VoobK&#10;3O2SZgASSeiINwBY8c4GTxX0T+zv4S8K+FtU0+91bQYbiJV36rGGZ0faORt4Dp2+cMDk5HIA+fXH&#10;xF+H7TaZPok0PzEHfHkqeefUfxdenPQ5rf8Ag18VdQ0TxBb/ANq38zLCvlDYcgoeqlcHrn7wBIxg&#10;hsjbCrU4QdldtCjSlKoruyP0jl12DWVj1jwFLbtHDLEsVrZySrJFG653TR8SE7AxGIRGFLFdwGDw&#10;fijw7b6BrEV7/wAJBc6fa61Z+fGbW5js5JW3mPYR5O/eWXcWZN2AoYksSPKfAvxy0HU9Qk8JWES6&#10;wl3CyzW9xdMX2YX9xDcZAh+eKJgoJQgP8oaQuPfvCuryeIfFen/COx8C2M2japDHf61qDa5LdR2k&#10;JgV4WjaZl2BRtLwuHygVwpypHDrE73oed2Xg/wABahZ5stWZrGO2eS8ZLiR/JVI0OCbdmyzNuYAR&#10;KPLSQsAOVp+C5bfTdUm+0vJpNvNJvtYryJrZ9pk3qf36gScLu534yRglFrrvC/hjwJb+OL1oNUt5&#10;LWEJb+Hbi+BeGWSMbthmjnjSPdtjMcinONuzawxWt42tvCEVxbfCvx/eLpN5cSQyauwt1tkiUzSb&#10;Ftra6Ecs4CR+UBFIVQLtUyFggOZDuzgtK0rWLPRrydG0HTdUtWlnuo518qc2pLrvXCkSIMKNkRbz&#10;Tv2ldlee/B62sLL4P/8ACwvF2nT6bqPiS+u9UFvpsIV5PPd3DHcQQGhOBhsFWUcNkj0z4/LbfD74&#10;beNdbudZm8Hz2Ok3zi4stC8g3V4Y4re1SGb5pG/fSPHuGdoVSWB3MnReHPAuleBvBeneE9I+Inib&#10;UJIPDotrKRYY/LVbaG3aJ4neGRUjKMrcMoHmKjEbXzPM7Bze8cBceJ/DGr2sM/h+/Vp7axVlhuFj&#10;hTDIdiFeFAwFCorjGACGLDbJrelxzWEovtLuIbgbUvotP09UkaQ+aXkDSxs5wcsWMhjwp2uWU7eo&#10;8LeDvFa2T6T46tLGa2nUrZ3Cxo0uoRI23faxzN5c0mzyQPJZ2VXjjG1WUPi6nZut9u8KeB76G6kl&#10;VYLf7S65nZ8SJ5cjuYvnBILD/lowBBQBplKRtGS6mLoGiWd1YtBpGv3E959lYXOmtetDIyKy/Ksa&#10;N8hJZXAc7cqCWAPMd5FpHh7UYdQi1uy1DQ8Z1bStU1ZcvH5ZPlCKddwkU4JbJBfJ75GLqfhm38V+&#10;FLvXYtKh0x7ZLf7LbxuyLdIzsd0W7PmxkhuxAIJ3FeKb4e8DCe0jXRdehhs7e0luNU2zZl5xhCEy&#10;4UE7iQjNjBVSKgtJSOlm/wCEQsfFbaJbJbyWLbvsusR6iYcgI0TLtBPAYbSGUsqcgnaMYWseJNK1&#10;q31bwk9rZs1mqtps9uzSmOM3ccYi3yhTk8chQeGDAnJGNqnwha4uJtY0HTbJbO3tVuZp7qYsqrIF&#10;ZcRE4XI+6MvuIAHbM9j8E/HiaQviRdSsFs2ZLi3aWSNVuthRi6MyjdyAx25AwASDjOWI5p0JxXVP&#10;8j2shnRw2dYatUdoxqQk/RSTf4GV4ia/0XwfqFuLK8kjh2XscUOAzywOsyKOuMvGqkgE4JxzXX+D&#10;vHOj+Kr9dMlim3LCGVl2jeOO4Y56j1z6466B0jxDDobazqHgu/ksV8pJbyFYysbyfcU73XBI5HcD&#10;0rF+FPg3QdEsUutU0++0u48N6lPYXDXNykhniBCwFtjMDuhkt3Dxko3mAglWQ18nLB4iWFfPB3Tu&#10;vmtfyX3n9UYTizh+nxBTeGx1N05w5Z80uVLkleKTdldqpN9Ph9D1TSvE3gPwjpv2zXvENnp8duo3&#10;3UqttxnAySuAcnHTJ3KB7+cfG344/Cu7028hg8a+WLZ1f7Q1nMY3OOhO3PBbhcfMQQCOM1viB4Yu&#10;tceY3Nnfaxa+S08j2+ww2MPmIEfcgwocS/Llu3LLvbb5r4u/ZO8S6L9l1HxR4Ku9S8O6lcNtaO4e&#10;xvomjByUMyYRsMxHnKFZeSBgsvqZfkuHglUru77dPmfnfHXjNm2K9rl+URVKn8PPvN2e8Wm4qLS7&#10;SbT0aOA/ab/bN8a/tFafp3hK502Cx0PTZxP9lht40NzcKJESUhFHlqscjKsYLBfMkyz5G3x9sKVI&#10;Pzf7tfZPh/8A4JqfDlLy31PxZ8QfHVnp9vJHPrWn3Pg/Sre6jt22FYA39sStHLJvjjEjQsiPKpZd&#10;uRWtF+zZ4Y+Guo6feeDPCK6LGJF+yPrGtvcXmoHzQR5s8UUUbhmdVWNVijKxKdjyRyvJ9PKpSpx3&#10;+4/mz2dSpK7Rzv8AwS00vwV4b+MWp/E/xqt0kWm6U1tpCwafJMs91cyxw+U7AERhozMQWB4Rhgg4&#10;P1B/wUi+EusfH39lDWbvwn4x0i6j8F6lHr1vNZQxm3l061s7wfZ0mAEhdYXfahGzNudihXd04Pwp&#10;4nWLw4sV5NoOlzzJJOq2+nSl3hnZmJO6RFARnKbuAU+YZ34av45+KzppMnhDxPcaObe+0mSyup9J&#10;mkX7GJPNUTxIGx54aaVw5kATduBIO2SHiFUldIfsZI/OmSGSOTYTyOq9CK6XwTDcaHeW3jWWBmgs&#10;WMhVchmYA7QPx68YwPcA0vDNroWrSNb6tIqs3zRSbsbcA8Z/z2r1Lwtb67az2P2uzXVdLvpI4ZrR&#10;LeMMAyL80TKB8yjOFJ2naQccEelh6fNJM5akuXQ/RD9jLwlb+I/hBoOinw7falqVxHdT2/iDRtXe&#10;HygbgiPdJBco5LhcmTfDiONF5Uu1e0Ra9pOhGTwfo66pqV1dtbhra0kiWxRbqHO9DCI0UruVCSZv&#10;mMnIV1Enin7Kfw0sPhr8PPDvww8cvcXrPpcOq+F4fszRxgTS3Ny8H72NTIYUuEfe8flxyqJN4VRn&#10;2GXwf4xttObUNf8AEGreHUs75I1skuo3urmxkma4tbVeBJBtunnVfK8tQv7thHshauGvL99L1ZUf&#10;hRU12ey8VNY+BU8YeJ/Bqva2cthGdUN7palmaOJAYv3l2XiSNnj8pERmkO8FnQbY034Y24stN1u0&#10;tdY12O18y5sb26W4D2spuFkm8zcVU4k/dxCYSFTnyA+wS80+m/FDw/FayXHw5v57O3a4u/C58Sas&#10;Z7hXbalsv2BJ5hA8kqPbrgurRyMXkU4Ik1Dw3408d3Flqnivwhpt4uqRvLd33/CVXEE0cMLuiWuL&#10;e7laIKLnZHsmMYEgXypyTDHjzFHRv8L9E8DXF9pvgv8As3S1voSv9raxq19HGu8lULbWLmEP5jmS&#10;YAY3B3Vhio1sPEVjfW/gTSPE+j2traRm5V47P7RM6ySm1X9zvCmJ1XLeQsY2yKwbiSsDSNb8N+Bf&#10;GEfwsn0m98H28si/ZdFsbtLy1kt5Fk8q4hSWJmjdrl5Nv7sIFj+boI5PR44pNF1W00/VPiLorLfX&#10;kk1vY32kwWMlurrhRH5TrNLmSMK0jEyqjMSdpyquBnv8MPDtp4xm8ZXmg6XqmrSabHLukiubGIpG&#10;QziOVZz8yBEChUkbJAAJI8vW0Hwr4X8Z6lfeNLayvrWSzYRzWurQxzTC1VT9ogaDHlzRBHYmRWDn&#10;zSFZnrg9S8VeFW0f/hHvDXxx1KxvLm6Ui1u7dpN89tcLdLGJjEIdgklUmZCRIFt8BQwL632rXPEe&#10;iL8NPiXNu1TT1N/ps1xO32TVvNiKrqe+EOshwzFmCmSJZVZVj5aRXA0PEdu03h2+MPjHWrwyTH7O&#10;2gG7+zyI5Epggkukm+xSMqbQZYwqsA6OfLYLJYaL4ovI7e9tvGN1rOh6TaTH7LfW8n2rTLoAKVnE&#10;CyfaCRLcMkgBLA2wjZ2EmaujTeMbXwhbeIPC3xQ1azsLO3W21Nde003d3a3Mm1ws8ixh5JgwkDrI&#10;G8tm3JgtEFTxB480b4feMrrxdo3hPxRNcNAP7Qea6eOOaFCYotn7pA42LKqpOrSfPjdnerHMBu6t&#10;4L+Hd7DYWPhOT+yrPXdsFx/wjlw8c2nmKBN0qi2A85fM2biQzkbUDFkZRSl0nUNZiYeDZtavJI5r&#10;W20nWNV1i6YSW6CMzSNEi7VCzR4ZGZTGqNwgDovPDwXrHijUr3WrbwZq2m3FxqcL2t5p+pRr5yNM&#10;pcRLJbI5Vgu7ysZdm80BZFZ11INStrHxdZeJ/EnjjUtJWK2h8yPVNPElu0MVz9qt4/tkDJtiR7qU&#10;KrzkIXdXwCsZGwIbu18ZeLtJh0XUfCHhu+t18s6hHqd1PMtnK7Ay8W88jt5Tqi4YZEkZZUfc7Loa&#10;94Jfw74YuNevNDmgh0fT1W7s9D1wCbUrNZhlDFPuD+YJlwGmkAPyhl8wNUesWvi7TtAu/FckGn29&#10;1dTRSW+p6WqW93Fulija3nMySxysJXfkc5KsArSKX0NVi1HRrq38PJ8X9J+16P8A6Jo42wrNZ+aq&#10;Foj5jNJh0bYqFYiG2Zm3Rq7K9h7kHhN/hTreg3mseCdVs9Q0CS1jmfXJrVJLyK4+WHyw9u0MkP7h&#10;QnABMamRnVASdf4qXHhfVIbi9bXYobmFd6WN5ptpLaxsJDC0UtsFDXJ3qrZY7gSpOCSKo/DDxFP4&#10;guH8BatpzaLYjVIZtHsrfVpZJHmMkonjSRmJSDzgF2wrGybmVw7F1Mmi3/jL7LGfD32SUQ2l1Hr1&#10;r4g8PtA+6GF5IUJhXymdo9ihxuBEqMgYFizuI39JsLK3vda1zxz4r/tCBtNt7mxk0/UAqx28dn5E&#10;zuAFWMtmV3JdgvmIgkIwoTS9B1lo9Jh0X4gahpltfW/n7dZtYLq8uVjcOpDALkFbkNt6g5+6wYnm&#10;dM1Z/Ani661Ma3YrqD3f2PUtP8L2csPmmRIUNyk53IJEmmVmLsikK5VmMapWb4Pv9VvtTvdd8LeK&#10;NUttHt9UVrOH+yl2razXKyuF/wBIcQhMM/3FVFtyFGPlNcwHTa7aeKPiVdr4l0S01hbVk2W7C1t4&#10;onj3MyGINkmLYyhT1wOcnLEq9ZzRaO89vr3j7XIGmuDcW62Phq7gjaOUCTzALdPLbe7O+8M5bdln&#10;ZtzEouTZnxtY6X4a8X6tIPC+pWelW8MTLm13NdSIMuVAO3aCCSWywyFByOK3Yta1a3uVuZorG1t7&#10;iKWBrSW6DXEhBYIMRAADOwkAMducZ6DlZPAuox31xM/hnQo/MzLNK9zcTAHu22QBcheMFB/DjHAG&#10;g2i+IvCelLc6d42js5o5FkEWmaLGC85wdnygFiSGG4jsSWHGRHoMk07Wl0jz9Y8T6bpGk2/zgW6W&#10;xW4nJGAAOq7RjClQTkllUAbtPSde+HHje8k1eGCGTVGgkeOO6b5Y1jYsm9XwCxZQQwweiA4Xmrp2&#10;q+K1N5f/ABBn+0R3z+URc2YW5kGw4/dxk7Ff+IEnkNnI2l8DxBqHw6hsp9SvfhfrNrF5yR/aLaMR&#10;ttDfdb5gCzlVGQoOQOWLcUSdVatHrWnzXdt/adjcvCsSbrXyyipEf9ZI6CEBgqMVwVyv3nZt1ZOq&#10;R/DjXYoBrOuyW7RQnbY3V8XVcSNyQ+Wzlcfu8Z6/NkMJtN1LSvD/AIWuB4tj1WCBY5DpNnqCp5uo&#10;JvBVnUBTgc9TtwBjHy5ydA+FPhzQZRrPiaNNSurmzFwtuXm8u0Y4yjIqhpejFdpK4ZVIHDAHcta9&#10;qXgnw9o73KeCzYzN5kWn3V3Y3UgwnnIxim2PtLEAnYQNrBN4Aybvw9s5NDkurjwvrkWoLPJCNKWK&#10;QxRxSEOMsQzScEkkksTjI5Yk3dchWDTl0fT7GHT4bidLaT+0JsRPbZypgjjV2C7U+Ub1OFIOOtcn&#10;J8O9fubry5otJ0+Nb4NcXkPm3LSRMR+7Cyq4ZRtUlCckgk43riQNfxHrHiDXEjtNMn0vxJdXc7Ca&#10;GKzSaK3ZU5lIy+3H7wbWKsQyEAklRV8XfFzTdO8Nf8I/dQR6vqK20cV9I80kcNkhjhWRN2394SmY&#10;wFwyFDv3BRldWs/GNrayaxc/EfWJJr5ljjj0nSyzFd48zyo1KooBRixyhc4VsZ3VteHp/FkvhrUl&#10;8e/vtHtbWWPS9JsdLLTagcTAM8cbuyy7XUjaThcrLIUYkFwsN0y60bVvC2n694R06B7CwRNPvLW3&#10;sxHC8zRkM8y7g4hGPmU7eWOeWBSPxP4qtTf6f4avNSt08y6a4v7yXW2sJLVHUyoVIZQoLhiQ6OT5&#10;qYZTnGX4pPg288Ix6xffCjVohZRRQ6gFtPs9ss2XkUFbd1O7c+QxCYVO7cVoar4us9Z+GmoJ4yt7&#10;uS4u5ne3jvmia4E5jHlM29BkkDcCu0A4UgkYY5h2Kul/D74Mw2NrrVhq+n6nqLNM0FnHfPObePzQ&#10;u3ZEYzIoXzTwrkk45ztFT4mt4A0mZbfQoF0JpXWN7ptLuYJ4Y5GmRzHFGqBwUGA7bSyTMPVjq+DP&#10;h7Y6BcQzalHp8pt7dbi4Vt5tYR9wLsiZQZGRiFJVuQHbB37rXjWK01Pw9/Z2t+E7VVbUHkWTULqS&#10;2SKF48bpJx5u6N2blCytiPC5O3BfuBR1jT9cPiG30iJNN07T7edYdQ1C6vhKUVyu7bGJSqbWXLbt&#10;oOzJOQAOb0nwbqK6zcIllo9jo8cO+51C3YBplwxYSOQFYBt6kBQI+QcNw2sPh54ngsbhbHwH4Xtb&#10;eafNlNcLJdiOEg7pC0qkhwFYAMVBY9MBSNbVfDevW1nHca9qVrrEf2NZbXSbrw2kipLt5MgicShF&#10;KoQNpPlhj2BJzAec38fw7vvEkuqyXW24jt1OnzNYjy2KnllJB5KMp7cBsA9Dma94Eia0drDUHdI7&#10;Pzbi7sbTzhKT/dJ3BVGG/d4Y4BYqAC7eoeDdD0i00CbxL4/8K6PZyL5sQjmijVr5TFtjUGRUKEyS&#10;YwxXiNjnOBXM+JvBegaDYX2r6Jc+IobGO6R1jtbeZYZIcIyzkzRjKr5jbfNK8gfLg4MupYo+cvH2&#10;naRcwNJrl7dQMp3Qvd3gLPG44bBPQYPG1eoyRxXksOj232y5vLG5jEb3DJ5ZbnAAYH6EscHpkV9W&#10;fEH4ReHvix8Przx/qOpJY3UMUjQ27YycPGAOFBxtZnwy4KqxUk5UeS6V+yL8T9Jki8Y+EPFentae&#10;TDNIY554pIUdAyksItm0Kc7i2AOfu8mfa30bGan7Nuox6P4pgu9VtreS3+zSxNNJcDbtVchFOCA5&#10;JABOe4I5xXt3/CEeJ9U06bQ/Fnguzj8mT7R/pUx8yxhDlPtE/mB1RAVPy5ikIYq20uN3Mp8LtVl0&#10;2PW/Ekx1F9NAWSabVI44kcDzHDMSJdoyBnaCxcEFtuD1Vj4Q1mS/k0u0+Gmn2EjSBppb7UFugieW&#10;nlRITnbEXRmL4UN5mGYqBvmVTomTL33exg+GPhlp3ibRV8SeNfDem2Ok3UMkVtMLYyR3CxK3mJ85&#10;XdJ90gnPzcZH3R57o/7I/wAA/iXZ210l7/YF8twguXt9Q8oHDDflZ94lO3B/d5YFsbCVCt7VeeC/&#10;Gd1pH9ta34n0hoYfNvI/7QsVgRIzGdyYESu+8+qb2IwueMz+CLbQPiBolxa614Igtmlmw0cUxtV3&#10;MQ5MbOFZGO2CNcmQbtgLj7pzjKaluVyxseTfC39lnwz4bvNQ8SWeu+ILjRY5vIF4y/KLcBQZgBC6&#10;zcuXXYDjyywYhS1eqaX4F0/wTcw23jfx1d6Drjaa1rqSy64kovY4lRI4jKHLjJhTC/MN0Z5QJ8tf&#10;T9U8E22nSeKtD8VeJpFEeyzt7PUnVoYo8ZTDxGORgRJF5hZkUMxzlMnQ1LVdG+Ikep6xb2H2dYWm&#10;ge+mmiZzOkalGcQgh0MmdgLqmVUojOAza80nuwUeXYg1v4ZeFPDehXCDSLq2uLGzbUdLuLwvJbxo&#10;4RS8mx/Nd1kjjxtUbPLLlMMoqLwl4o/sjRXsNf1iHXtQSH7RZw6ZeROxiRkdFkmTC3BX5gGAdw0j&#10;5bGDXSfDXT/Bcfhj7Vf+H7qTV75JL63hudTm+zxLlo0jmjQbxh1HmOS7th9u0MgqH4naB/wllzLa&#10;6n4SmvLqK0muLi8W9hsprwbo41huSXIBiSGZmCbhukUMgV9xOYdjxT9or4jNrWqeHbVdG8M6rrGp&#10;eJrLUdS02G+meULbyrNO43L+73GNEPmSycSPtBUKYvZtD0Xwp4l+EF5r/inwvaLb2dndRJa6Wsnl&#10;yRtL8saHzsqnnxCTqfMGW2qXXHM+LfBEPjnxloviDSvhfpscdjctENavZIrpnuAEjIi81hGURiy8&#10;MzFdkjdUx1cWi/FTxPZaZ/wktn4X1K3sWmnt99ucSxJKz+XExLIGQKY9uwEqiLzvUF82mgcurbJr&#10;DWdF8aQ6WkHiOJYhpr28kjXcEZuI1miRLcx79jpHH525mVwSIzyFya3iPT7rWtNma6ibR7j7OV0v&#10;R5bwWk9o1vEHA5jyzqJbhtwREVmkxvkP72l4PtfBfjzVtR8K6v4WtZNWVWZrjRbmRhcs3zB0U/u4&#10;QAMtGqsF7nD/ADbn9k6d4F1KbTNF+Men/YrfTZV1JbiOOU3iqkhPmje21o4/L2w7ZJG28ZAYLNyk&#10;jk4/gkNf1y58ReIE1f8As1ry3S+OszLJcWkZZLcoeGMjrwjDHybNoGVBXT1H4a+GfCGhXVz5l9oO&#10;oQxzDUft0xt4zZefFbiRWmcpIhG1wYgG3rGoCNktY16x+EHxF1zVLOO7kh8T29zEizyWjeXNAAiS&#10;MXMpWRw21dygOzkbWCsUSz8ItQ1Eazr134n8U3gl0m6MUlneXUl3JLbLKpkeVJCIFbMeUIEZVY3b&#10;PKyCHIpcxHpui+MpvD/iDw34h0Ox1K60mQzXHh+a7E0j2s8xLwOsKvuYq0i+XncwbcjYbaWy2Hib&#10;w7pWsapofwtFgzRy21pZy6uVFms0cR2hSUjXckeE8thiMYCRq+5dTV/AmiatqNnqXha1l8LaxJqn&#10;2Wx1jykuPs0O0tMBAhKzXBh81pQE+4CF5ILc1Zypp2tw22r+GfE2pTXFxJo8kP8AaHkLbWwBxHJt&#10;JVWwfnVt8bFUzvZWxnKTNIyaLsuofDnxFoMXxX1zwhdabc2dzFL4ht7WxkktW+ytJGgVTI4fZ+82&#10;blYsiLGGRDkcp+zl46+Ftp+1Pd+GtB1SLUf+Em8L2NzJC+oOlouoRrPB5PkncIS0cNk6+e8ZSUcP&#10;tcK2rpcPjTxlDpGia9pUN5a29rPcWemvqctut7tmWRrVnt3TAABcnYd5RlBU/czdR8IfCjRvFVjq&#10;er+CZtP8QXkCeTrVuzy3kUIL/NEPOWUvn5GBRhkhgcbneFJRvzdUaOpN2Ue56Dq9ho/ifwLp2rDx&#10;ta+GVuL2aJtEbTlvbiVo2IWOeUl2eeH7MiPHLjARRjICqn/CF+HfHz6bqMXi2+vbPWby8W3W6twt&#10;yroPMcNkygISAzKsUZ5WRjECqDk/DWhX/hOx0zxTH8Q5LaO3gujP/a2lxyW7kyCUtJMmwkgyyIsI&#10;YKpUnIjy5dquq21/4Ys/E+v6loek3SbI4rrR/PaRrp0ZYCFEnkwBPK52qmAxDM6uVOWpUpRe5oXv&#10;g6Xwf4f8RS+G9W1IXEdwYWtLyKCQszhWlnVJFQ5kCyGRslXTYAzqQw5XxzZL4r8Dq+oaBpto2nxt&#10;b2ujwzPG88T3ClZM7ywDKfMKlkZV3IAwQVsa74M8S+EH0nwnJr0b6HfNcwJeLbieaObaBI22bfhs&#10;CDG98KxdlHBduy0n4L+E7LxFaeGdJvNP0XxBbxWsGlanpd6mSjF4nZiMQnar78KoJTylJO7Mmil3&#10;OeXKfMvxEuNcfTW1fR9L1IwTWTPC9xIszTMFKnkuXwE4I5B4wACorxDxZ4b8a/EHRrp/Adve6hMV&#10;IutNhk+YQEkOY4iR5jbii7EyxLjA4r7nfwN4o+Hs9raXfxOmdrC1NhfNo+msJNMAd/NvN8gUXDsQ&#10;21k/eMuCpaNUaXB1r9lD4W+I3utCX4aaxK39uTxTN5tv50cZuFRd3lD9xOc7SrgmLGCzM4renUUX&#10;cxlKPLY/P3Wfg34++H+uWegePPAms6Hf31rHdWen61pctpcTwSOyJLHHKqsyF0ZQwBBKkDkV9r/s&#10;nf8ABOb4v3EUevfHXwReeD7XzEg0+y8UWc1tqM6s6ubpLKVVaWCNcAO+Edj+7Egt7kw/Rfw18K+P&#10;/wBnPwPbeDtD+IXxghhEkUcemaD46W6t7K1dPNSGFwfmkCK4AUorldsYdg7L0EOgy/F/xXN438Me&#10;M28RrqGrWaS2+oW8l0upXihZXg3tAZ1SNZoWlHDoWJIUtXdLHQ9naCd+55/spc2uxzOhfDDVPjKL&#10;Z/GHjLTLy1heOOPyrNJEiWIlX2JOijzWglkVWcqQlypG7DCPu7PwF8R9NtNU8P8Awy+KV1a3X9ne&#10;ZfQ3S3IS0uSx+SK4ldJ4pfs/mw7lTbnzUJcFWbXXw74p8T6TJLcf2HpVvJpjy6hN4P1KTT7c3GF2&#10;C3AXCLsjQNMGLK0TbyEGZOW8Rj4va9pVq3gfUNJ8U29r5t3qUNjBGd5y0EcwgdSot451O0QkSlt2&#10;0KoZhx8xfKbVh4fg+JWiyReI/h34ms20+9hgj0YalNuN4CwjkUxOmH+4VXYpMrSHzZnjUPe8LeJN&#10;HOm6hbXt54j1FI9Jt/Nj1PSZpfIljmWRbV5IocNIrt5eSRGHudnnAeVuyPBGlzeNPh1rUnxFtry4&#10;vLdWcapo/irUIFtmlljSNSJrloxvRnZUWOQsqliWdkLbmp6N8XfD2rWMGneJdNaS38yRTqiQ2vlX&#10;MayI0j+TGsUh3BmcIzRBJG4Uo0lXzC5TL0PWl8a3cPh74W+NdU0fVNCMcdx4b1uGVo0McptvLR5/&#10;3js6vckuGf5jFk+Yrhda98b6ymqWnimGweX7GILvULe8vt17aQrHITGLcoJf9eoaWSNAP9YXlZEI&#10;j4WLUrHwT42k8a+Mdcv9Y1Wxuf7GhutMhe3QTzEmSdPNIV/MS3ZTuG3y8PByoZbmrQxfFqRfG+la&#10;t4us2+02cOjz2dvJLDYXCFomeRkaWTY38ICM+SCQqkkJSFynUfE228R/FeG68BWVppJ8vS7ef7d4&#10;g1CVYIobrOyNCh89XMkcjJI5VcqQjbHUPH4/8P8AxQ+Jdp4f8F3d7os2raLCstre29rfW92kR8mI&#10;rJFhWBmaFo1CrHH86tuIB2ZtpaReKprew0345LJqVvLfJpC3Oiyx35hkM+YhN5gmgYhElLxMZ5Nk&#10;bTygbQ3TacXtPHFtr/jDwHYahaaf4cln1OS18QXQSwiuUuEls7S3nGEC3OCgwgVtvzSsCrBI+18A&#10;eP8ARPFsGtXXxNuvM1OyxDous2U8N00eyHe0bwSpPHcGNpQFCebGJPkWNj5sdO21W01LWbHwn8Rr&#10;/VtOvJLZ4iqxwtFEwiuNsDyQWsKgmGEFRlRC4hRo8nEj9P0j4qalpl1pF/r266/safTp9A8Sabb2&#10;9qlwsMk8EkZEUiu/7+NQrl40eX5o5WAcZPw++MesadbeG/AOteGdTtRNq0kzXWn6nEi3pa6hGxLi&#10;688sI4mkbMUwRsKmYhI2C7Edtc+I1k8Vpaa/4q0+OM28MV1HrdiDNeWsEM5jdbsr9nkYP5qt5aOg&#10;LElI1YFIdd8ceB9X8Rr4WsvGOl/2mniKK5jh1RWuLdbhhhrPeAQ/mkQqX3yEr5shCMGAr+KNH8Qe&#10;Hb5r7w94ttrrULiYrpMPiDRw1yk264iEImtvLxNM6ysOUYjaRclR+8z9Q8SePfiVZ3Wm6t8NrHT1&#10;0xrk2ceoahKsDTSsge58yPaS8aTwKZI41VGnCFUEh3AGxp17d6r4LX4Z/ELTdNtWM1xd6Pp/l3M1&#10;nL5N1OsMcbRuZUZN0eGlRpFiljQn98RU9rb/AA7+zXx0v4ZWOrLounqNR0A6a0V7ZXk0ET7FRT5i&#10;SAOGMKsAYWDo75RE5h9Y0nwP8I7LwJ44+I2n3k+l2babb3d3HNeeUjTO1k6XVuuIVI2q0xLhXQBi&#10;JI0DUPAOiX3g7R59M0L4mWd3rk+mwaQtveWM8U1tbQieH7G9nckxyHzJWlG9A+UmKlo5ZIjWhWp0&#10;ej67JYaHF4Kt/hV5+n6hDe3GiaPJr0UMkbW8sckEkEXlsd8SrApWMFgXC4JeMueC7f4rQ+A4bS/0&#10;6K7WC4t4oW1W6mS3khabZGwuWSSO6tmi3LJM8beXuVmbJfy71taeO9It9S0Txfp+l6poGsaW948e&#10;iKsaXLeQvnxsZwNxOGV5TJ5Z8yIPCmDtsfDrU7nwXb2cUt3rtjfSapNe27eMPMX7K0hMZEUq5iAj&#10;giMgj/1bR73xIHiU0BetLnxjoFnDaX0L28dnJLb3F7ZzPIdOERnETGYCK5niZWRTlNwZlcB0YFdP&#10;4cate6gusT2Gv6XrNvDNcXot5pPsckCbPMnt5JEaUKxYmQEqWcSSFiwVGPLDVfGWn+CbaRfBsN1Z&#10;3cPnTXGkbprK6t/OnDEwy5ZonL7H3qGjdNpkK7XrS8NeN4PFE2qeE9L0CSxa/W1GrLqGmpNNPfok&#10;MU25kuVXZtPyqyAEKcNzGCXJO18EePPL8NW97pXhiLVIbwGZbrw7qCPbHnbtzHARvG3DAgEHI+YA&#10;OxXDaQumeFtHs7TWPBHh/ULqa1SW4vItUBSVsbNyi5lVlBCA7VAUHIHINFHMB80eHM29j5niPxCt&#10;/HNa7ZPLt4hFDhEO9mzg5VpPmAyCrZALDHJfEOXTdX1C81HSPFc0NlLDGJrWGFpY5UQ7soqHayoP&#10;ujPHQMB00J/E50l7aKexW6urpZZPtMr8JKhGWC4yFIGNoYYyea6zw9YR3HhvdrCx3g2mbbNCCATu&#10;kUANkfL0ycnPPtQd/Mcd4d8Y6pb6fbWmkXnimZfs6o1xb6bHJGE4+X/Vv3CsEYvxn5iA1WbL4g6L&#10;quqw6RqOj6lY6j5E/kyXkkbtaE43PGZEIUlUA4QLkDIxgDqPCmqy3t9cW1tbQ2/2W5mRZEUszbQ0&#10;mTk47BeBnAySTkmEfDvRLfxEt/qVxc6i4jjaFb51KxbnlOAFVQAD8wAwM/hhjOR1j4Q6pqWoNqWk&#10;6yW89/ljug7KiAj55JPLGxR83AXIIwVG7Im8J+H9VRofDXjyz+1W9o26xvYZH8vaEH8K4wcjKk5P&#10;y4IGa0x4fvXt1N74p1FpG3bvs8ohjMOWQR7FHUY65xyeOazPh5pd340mbxH4g1y8mjt9VWxtbQyn&#10;bEgVP+A9CBjbjg5zkYQFj4k+FPEsus6fqfhyC0aWZZHsVXT4pZISv7wYuGQ/MTI7bgAMBeMsM2/D&#10;dv4wjsf+EU8Y6rDqMKzwzT21jYpNkuEdPMQ7EYHaSQ6lwA20MrYpPCXi2XxJPqV1qNn+6gUxRRrO&#10;xYKJCo+Zs84GMgA447LhumTR6l4k1bwrc26hLOGNmmhJja5nkT5pJAuPlIjA2JsGCeQMAFxGb8Tb&#10;C00+0iXR/inNYxtaLHdWUOqTSLBKGwZEEeFO3aR5b8HhmYMSXp6P4rsklOg3ni3xZr9yySPJcWGh&#10;28iKxORK0UqE4AbA3lQfLGQAfm29L8VNq2pTeHbfRrW1g01ntLcQhgCpeIKSAwBKqZFU9QrAZO0V&#10;2Wp6dL4SudN8L6KLNVa0u51lexHyK9vMZcKGAEjBR+8GMN823kggzgJPiVFrEsOv6/oV80iqh03U&#10;ru1JDAW7NtkQqkccpRWwoHICFFdRgniL4fv490pdc0Txil/DIVjs4b+MTLMWXAHzkKuCG+6F2sOY&#10;1GAeg8ReDYtb0mNbvV7qG3sY3Nxb2JWNb0SxlsS5DZ+bqPukDAC8ktv/AAZLq2lJ4Y0nWpNL0+Oe&#10;Gy8u1DGRkVR/GzEgcpwAD8pyW+XakLmjYr6F4Y8X6K0fhvxqLS6sI7hJDH9sX5JmMhZ/mRJkPKgO&#10;TlWZihHARnjXSNY0bT38Q6F9nms9Nt3MlnqaieeN1myCJJpZCHU7n8tsKQjOwYlUXkvH1hrumx2+&#10;naJ4uv4Y7iNGZZpmbHG2TlWQtvOSdxYKDtUKAKu/EjxBF8OtL0vQrLTvtB1LyYnuGnaNkRHCAYTC&#10;t8oK8jhXYDBOaQ7mv4dvfHptm1DxHa2FtpbSNC1vf2DzNcyeWihTkKzSyb8FCdpIQbPmAq98UbC4&#10;1KxvNf07UrzR1t7mW4tZDM7JufCFJNsoCSZ3YYFgGXC8lxVrxGtzYeDf+Eriud32HbCti+fJlWQR&#10;kFwpByplHzKVZghBPztnH8R3g/subxUIj9sVZNOW6aQ+cFiXGQwwqqS5IjVVVeg4qQOW0fx/P4X5&#10;8R+P11Fo7h7uPT1sWuJZGd4yWic4zhed8jFCiuoDnYK6K7+JCanE+oHwx4hm8u1Tf/oqQwtcIux5&#10;AiYOwSANhiNhbaEXlTr6PpOnavoul+ItQsbf7a0Fr+8htY1XlRz8wZicnuxXGVCqOlPw4ur+KtW1&#10;dDqa20um6s2lwvFCduNi/PtDDruGQScleoGAsMehxur6NcfF/Uv7YuPFy+TH86WY0sRKvyp5oRfM&#10;5k2jq5DnoDjaQkXhz4i+HdJi0y/Lapot1CqzR6XIihkYS/MA8I+bJcHaQx2fNuRWx0eg+BorLxBd&#10;eK9Xv1v9SJ8mW4ktUGRgruGcnJDr94sPlOAAcDL8F3Pi74i2cc154q+yq3mJarb2MYMWyNom3dBJ&#10;uBXO4dj3bIyauWa1hpUOu+E5bzS7pvLXUYJXsfE0l2okVs7pTtm2sFYnJEbJtVQjnjGXpPxa+JX/&#10;AAnV5pd34YsIf7OukN5EscqRwR7lCDzt5VN4+YMnzFWypbK4PhTca5ffEu+0DXtclvhaRtFah8pC&#10;rlI/nMSnacKgHBDEklmY1c0fxTp+u+INWjl0FY0jkgfy45EA4RoNwIQMrnyC2QcHeAVJQMRaaC5j&#10;oYdC1d9Rl0qea4sNQtocrJa27TQm43SO4WR4QSSEfCR+WMKihCAS/nF5ceNrHxBcReMfHdlJb2wl&#10;aa1mYSJIzuqb9iEOyb1WNmUIhyT8mdy9ZDDJb3dnoKXky2sG1QkMhiYtIW2vvj2sCpVzwRksuNoU&#10;h4tZ0/w5Pd6XBeaDDcR6kJopo5o4vkURyEFWWMOGUxnaxYkB2BJyc1qhoif4m+FU02aKz8RxwwzP&#10;Ht03SLNRNIoABYyNcFEBhaVZCgCqVXcI2CKbcWueCNc0hfC2meME02ze3uIbyEaWTI115bthpGlS&#10;MAZiAXGZCmQSrBa0QNM8DaNeeL7bTFkmtVsZZPKCQu7TXEQZldV3If3rcDKnJ4HBFjxJ8Orz4haZ&#10;eeGZ/FMlvDHqDW0ytaq8bSPaeYXRQVMY2u6bQcjOQyjKmtg5jhovAHjvwYLpINSmt981qLho7eKb&#10;7Mo3sZZUlCpuJKq8QYMxLbg3G3udE1a5LS6rq1l4gtJIY7mxbTfsiWlpHAhBLxbY2+0Q44jUEEGA&#10;OFwhLc98RbG8+FfwytJPDeuXnmW5s44pp5A77so6yMWB3urPwzZOwbepLV0PxJuviJ4d8JajcQeN&#10;LYWun3Eht7eDR1SRGgaOEsrl2ClxMGYBdu+NWADBSoBk6u2vfBy0u7vUvBtvfefcSTSX0d5NJHJG&#10;CzT2rLIN0T53yLIyks7KqhgpL72j6t4k8d+FdS1HUpbjQXnXzP7VtdVeZrmHBKSiOTasXlxkklhH&#10;vRULPtjdjheB/F+qeNPhp5viaC1uEuNOmcwiH5AjFnC7SSrbfKTlgQx3Fg24iu9eOXUZ7Sxsb24t&#10;X0s29yl6twxmn8qJigkwVTJZIWfaiqzRKQqnmgZyfirTfjc+v3Ws+E9cm1qG8mVVkNnBJJHHg581&#10;lkXAmaKTaVcLkYIQuFWPSNVhsnX7fZeG7HWp9Qks76xbUIVl+1ANvhuWELfuVeIRqu4EbxlhtAbc&#10;8M6bB44h267NPN5hQ2kLS7YY4zdi2ZJFjCGUjhkO5RHjCryWOePBHhbxLYTX1polvp9x/bX2C8ng&#10;VmacC1W4VvmPy5DlXA5fAO5VwgTbHzaBBb+DLrxDceK5dUsdWe8i+0QRnUokEVuw2SQscYMphVN5&#10;QNKVwT5ZBFYdx8PPjX4YvJ9Z0O0torfxFGf7Vkt7qGOS8hNynlB2dVEh8sErGvAPmIUXlT1C+FvB&#10;eneFrZ9L8H6fZyQ6dayST2tsgkm8+OSORGdgzAEXC+j0Yz8p2kk8HkbjXO/EW4Twn8WtnglH0u6a&#10;18nUpo5S0V2Yrn7OhEPCRAREBVQDYwJQqpKVIcxJqGu6jqumaWmtI3hnVpLVrWG4knkuUZI3ORIG&#10;+SOP5QyIHPmmLbhVZCyfEMXWpeJtL+KPw/W+1RRpK3jWtvIn2cW6MmEaR1eSRCVkcACSQhPmWNAy&#10;CX4k/GXVPhX4i0PQLLRrW8NvbrOJLiNNscDlY3ghXYTESBJl9zZMpJBKqRzFx+0J491Pw6xuPsrS&#10;Wttfr9okWRpJB5zRKCS+OMbxkH58Nx825BzIv+IPjhJf2s3hzWPAd0t5Dqm2GNbmSaSGUW7s0Xku&#10;2HzsdAyglWZm+VnAXc8TeAvE/wDYlvrnh/RNJ164kmnax0PVPCbGZvLZPM+eYqIVDEfKwXClFBUq&#10;Xk6aez0jxZZ+GviPPpm26FpYXsfmTNI8SXE+zylfjOxvmDMG3AsGDE7hNqUGkX2vaalxpSr511q0&#10;FrHbSGNLJleSNniI/eHIaMASO+0RAZbJqZIXNrY8/g0/X9YTT/CPxE8Pma40JbZ1m021khhZWRP9&#10;cdmxcxyQvuUGMFwm5PMVK7C9+Hfg9bC3SHw3oen3j69JBPeNINsFuln57FfIUb8Lu+SQsnlSBnVf&#10;nVMuCfXvGnhzW/FGoa35Vna/2UI9HhtYxE8aONgZsbw++JpC8Zj5kbaFPzFw+Ftjqni6SK58SatJ&#10;b2WlX+snzrwvNNPI0xAdz8pC7PvbPMO5sv8AM2Y5Q5y9PpGoaX8PbPwz8OprDULy0tH1P+0Li5ji&#10;mupZHi2XMcrEsnlvE2JojIfNRQolRkJz9FtfE/wv1+KPxF4W1BvtOlvYQ3nlS+cYmRPNeZwTsdID&#10;NmRYyVKYlj2nKa3iv4U/Cizv4NCm8EbYdZudNaWWz1KeOWNd0e+Pe7SeYmYkaNZNyxMXIB3kVm6b&#10;4z1T4R+K9Q8KeHr+8urSx1XfbTapcJPdLc6jZ8/vzHu+zxtbMwhGCfOI8wDeJAnmub3w+8aW3ijR&#10;bjS/Fep2VrM1nNdSr/ZJlnitrUXP2lDCTGyGUeRIyEFWw7Yxjbra1rdz4S8OW+ifEfQNc1ya1do7&#10;3UJtNjQRzGNY2cyRyHfHHGRF5gCAGPeQAd7c94s8V2Pir4nW37OXiDQYr7TbyySbzb5IZo44mRD5&#10;awvEQCHjB3Z+ZQBIshG48B4i+PV5pK3E3hvwdpdg0emW9xIkNvGsTyXeBnYiKP3fmS7Q24fMuRlc&#10;lkOx7Vp/xB8FavrEd5beKL21jjuLmJdJ1rSpLuSNd0LTz4heUgTkKAQ0vyyMdoQPuo61c6l8LbS+&#10;tPDHw70yeK2V5NQs7HXpZVeRo28qJEcNl0jxN5gwgQp8igHdX1bTNInn/wCEv0DTI7J7iDUbWO3u&#10;M3SC40//AI9LljJy2FJWSEbYpMKdqsuTt6Pc6hB4sXXL+4huLbWdOtYVs0tViaGLMon3SJjzJJDC&#10;xEmFKebwGZQ9VEzOX/t/4Q+JpdQ1Tw18KddmuNWYQzTahos7qjmBGVt/7yVYtjxhHVmkEm2TIRYy&#10;3W6V8PoNB+JUnizQ9VutItZP3WqNp92nzhbnMbmU4CuJo4ZBHHyRcs5YKXWTJ0nxr4j+Iwgu57/+&#10;x4pNF07Umg0ONYf3lzJ5KYZgxzE8iTAkne8Z3DBUJD4N+GFyfE/h/Q9d8V3F1D4i8NT3MzwxmOSN&#10;RM0k772dy1zOUG+449QgfDi4kM1vEUfjXwf8UL7xR8M9TU27PNY61pckEt1bgmVJZhFDIVIywnXz&#10;Ii8kjJIclWRV50/GzWYU8O2L+HZNP1uKRglrPbxOyXaKJYnmh2qYYn3+XHLvbaElkkUbS8XT3HwW&#10;8E6V4vtpNGudWsLuzsY7u4urO+RftlyLiWFWkDRsSi4dhFnZmVshsAiC91zU9J+IEfwg8Rw2OtDV&#10;vDMN0urXlgvniGAC8WGY5JmZpC2+TKZURhVTYd1iOrv9Oh8XeG9P8TXOl6D9um1E3FxBrFzJOlvK&#10;0mYnjdQwdcI+LgyJCjNGIomLq61tB+Nfw6k8MQ6TqetS6fI1rdT+XBp7CW0h2NGYFQjMzEyKzWqP&#10;50sLD5ljTcbHivwX4T8N6oU07SNt0LdUW6if7P8ANAHuUkItxGS6AmOMliIhhlGd248ZeDfDZ8H/&#10;ANr3NvcXNvDeadbwadeXHnR263pj2JCzqZI44mbzCNxaZh+8cqSppXJMvxldeBvizoY8Dazay6pa&#10;2l19omtfD+rqo0doJY4ZZpw6CAwhTuyiyBGbYm5iVbb8W/EI6Hbf8IZqvh3xD4UmmS6gi1G7kAud&#10;HkPmF5dwYYlURmVRBI80iqqMECFH5K78J+Gvh9rmnfEDQtPkX7db65qT2n2pv3EtnPbKTEzZ2tJH&#10;qHlbyGZUt0GSWdm3NY8favD8SfE/gW9jhvtKj0OOXUNNvreKW1uWjYhwsLJsjU43ICGKuSzmbOKo&#10;k1vDMGi+M/sEPi/4szalo/iZpJNGs5r+CLTbi42IrqYpEbyka78w7ztWRmMaoRlas+FPCmt674gv&#10;vBHxZv77xB4bmZdUsWkjaRILuJJLgMskDGRXikkjZJNzGIS7FbCmuC+NfjW3+FGq2t/4f8I6bHey&#10;afa6nNdQiRGddyLFb7i7OqLvDuQ+6V0Vsr8waq/xw+JG/wALzT6zDcrqt5az3jXVnH5oV4I0CK8Y&#10;T7h3lN4dUBQBRsy03sB1yeOLLwNLb+GfGOnQj7DegaTqnhmOG4mNuhdZbZGC7YmZ2V3QZR3SMyEF&#10;VA05tQ+EfxPR/EPiTUdN1Gzls4reXR4mtrX7Q7eZdBXjuJI47pgskaDkENMmSqriNPHHgnxTofwU&#10;h8SXfjCy1S2vLWGW10vUvD8LxWc/yrE6FWViIz0QnaRJLkbnDpieGbnwt8Tte1Ww1z4f6XDeWuni&#10;4+1WJmhX7TDatGJUVHDIGEikjeSWQkMN3DQWJbbwT4NvrT/hLfCvg++1BtT165knlu9D1SyvEtyk&#10;zKpnkCrc7LuBnVmjCBSm9VZtz+haL4M8HyxXnh7QtIs9F0+a3F5Y2tjalnkSV9ymKMrJtkkeOFfK&#10;IcjdmGTloxX8K6RF4itLdvC1/daZ9qit75U1Bo79YvPiRgg3orcGRAW3AsI+Nhd2OWfg14d1HXNS&#10;8Aa6tu95pccsd9qVjp0UUN88LfZxIbVxIgJd3c7zJldqNu27zaAd4p0y/wDFNpYy+CdQHg6+sdTY&#10;zXFnD9nlEcCtDPOACymKMXKZI+R4S3mqi+Yo6A6paWltb+GLzxFocMkdg0truMr71V0Fx5eFdo/N&#10;iXyx5YeWNJi2JB5ZTjvE/gDxF8PNV0ldO+I+of2Z4l1K41mPTbeFIjaTW7yKVMvLTBgZAC2CFlZS&#10;XXCjqYZPD3iLw7H4evPBtgVhvZbC1kkaaQwrFbC4yu5z5eWxjyyhXGA2zMdNCLDr8RfFuiPcQ65p&#10;dpLPJaz2lvpcMQjuVVd1vNFdO4KQmMhjlCkgjYMJCQklXTdGutX8fWOjeL7DT01a7g8yw8RaPJc+&#10;ZOSAkqmTakcZbzYyoZvMy48tVRABTvvhf4Ajl+2RaLcLBqNus1xCdRlaRvtMMsk0ZlLFzG7bC6k5&#10;LIWDK7MxwdI+M91Y6r/anhLwvY6XZXUNu00ES5uApdpBtmAUBl+ZVJjKhdo2kjcVzEHdaZexWiy6&#10;T420iO6vLF1gNzNpZlEmI0LlA7jZGJTIFVSylQHzlyqleT634r1TXYbGfxBoHhvUZILRreCS+0IS&#10;NFEk0gWNTvGFHXBzgk4wMKCpK5T/2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CuxLWzyQAAACsCAAAZAAAAZHJzL19yZWxzL2Uyb0RvYy54bWwu&#10;cmVsc72RwWoCMRCG7wXfIczdze4KIsWsFyl4LfYBhmQ2G91MQpKW+vYNFEoFxZvHmeH//g9mu/v2&#10;s/iilF1gBV3TgiDWwTi2Cj6Ob8sNiFyQDc6BScGFMuyGxcv2nWYsNZQnF7OoFM4KplLiq5RZT+Qx&#10;NyES18sYksdSx2RlRH1GS7Jv27VM/xkwXDHFwShIB7MCcbzE2vyYHcbRadoH/emJy40K6XztrkBM&#10;looCT8bh73LVRLYgbzv0z3Hom1OkuxLdcyS6Pwl59eLhB1BLAwQUAAAACACHTuJAZpwUHBoBAAB6&#10;AgAAEwAAAFtDb250ZW50X1R5cGVzXS54bWyVkstOwzAQRfdI/IPlLUocukAINemCFCQWUKHyAZY9&#10;SVzihzwmtH+PnbYSVGkllp6Zc+88PF9sdU8G8KisKeltXlACRlipTFvSj/VTdk8JBm4k762Bku4A&#10;6aK6vpqvdw6QRNpgSbsQ3ANjKDrQHHPrwMRMY73mIT59yxwXn7wFNiuKOyasCWBCFpIGreY1NPyr&#10;D2S5jeF9JxsHLSWP+8LkVVKlk8CYYJPMy+p5Esk3rqXTiDPTLik+TXjo8cSFO9crwUNcIRuMPBk/&#10;O4yeR3KswU45vIn7OeOQMn8n/21w4N7izbySQFbch1eu436Y9Mik/TYehvyySOpSY2abRgnIa491&#10;xN5hOHZ1Th1mtrbiv+LLkTpqs/HnVD9QSwECFAAUAAAACACHTuJAZpwUHBoBAAB6AgAAEwAAAAAA&#10;AAABACAAAADKGwkAW0NvbnRlbnRfVHlwZXNdLnhtbFBLAQIUAAoAAAAAAIdO4kAAAAAAAAAAAAAA&#10;AAAGAAAAAAAAAAAAEAAAAIQZCQBfcmVscy9QSwECFAAUAAAACACHTuJAihRmPNEAAACUAQAACwAA&#10;AAAAAAABACAAAACoGQkAX3JlbHMvLnJlbHNQSwECFAAKAAAAAACHTuJAAAAAAAAAAAAAAAAABAAA&#10;AAAAAAAAABAAAAAAAAAAZHJzL1BLAQIUAAoAAAAAAIdO4kAAAAAAAAAAAAAAAAAKAAAAAAAAAAAA&#10;EAAAAKIaCQBkcnMvX3JlbHMvUEsBAhQAFAAAAAgAh07iQK7EtbPJAAAAKwIAABkAAAAAAAAAAQAg&#10;AAAAyhoJAGRycy9fcmVscy9lMm9Eb2MueG1sLnJlbHNQSwECFAAUAAAACACHTuJAns5yU9YAAAAF&#10;AQAADwAAAAAAAAABACAAAAAiAAAAZHJzL2Rvd25yZXYueG1sUEsBAhQAFAAAAAgAh07iQN0QeHtM&#10;AwAAdAsAAA4AAAAAAAAAAQAgAAAAJQEAAGRycy9lMm9Eb2MueG1sUEsBAhQACgAAAAAAh07iQAAA&#10;AAAAAAAAAAAAAAoAAAAAAAAAAAAQAAAAnQQAAGRycy9tZWRpYS9QSwECFAAUAAAACACHTuJAnIYs&#10;HqI+AQCTPgEAFQAAAAAAAAABACAAAABMzwUAZHJzL21lZGlhL2ltYWdlMS5qcGVnUEsBAhQAFAAA&#10;AAgAh07iQJa/GIkwCwIAFwsCABUAAAAAAAAAAQAgAAAAIQ4HAGRycy9tZWRpYS9pbWFnZTIuanBl&#10;Z1BLAQIUABQAAAAIAIdO4kCeSlmRVcoFABnKBQAUAAAAAAAAAAEAIAAAAMUEAABkcnMvbWVkaWEv&#10;aW1hZ2UzLnBuZ1BLBQYAAAAADAAMANgCAAAVHQkAAAA=&#10;">
                <o:lock v:ext="edit" aspectratio="f"/>
                <v:shape id="图片 1" o:spid="_x0000_s1026" o:spt="75" type="#_x0000_t75" style="position:absolute;left:7831;top:88944;height:2261;width:3414;" filled="f" o:preferrelative="t" stroked="f" coordsize="21600,21600" o:gfxdata="UEsDBAoAAAAAAIdO4kAAAAAAAAAAAAAAAAAEAAAAZHJzL1BLAwQUAAAACACHTuJA5mezvr4AAADb&#10;AAAADwAAAGRycy9kb3ducmV2LnhtbEWPS2vDMBCE74X+B7GF3BrZDQTjRgmuSyCBXPI49Li11g9q&#10;rYylxva/jwKBHIeZ+YZZbUbTiiv1rrGsIJ5HIIgLqxuuFFzO2/cEhPPIGlvLpGAiB5v168sKU20H&#10;PtL15CsRIOxSVFB736VSuqImg25uO+LglbY36IPsK6l7HALctPIjipbSYMNhocaO8pqKv9O/UbD/&#10;HfNFOeVD8n3+ihfZISunn0yp2VscfYLwNPpn+NHeaQXJEu5fwg+Q6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mezvr4A&#10;AADbAAAADwAAAAAAAAABACAAAAAiAAAAZHJzL2Rvd25yZXYueG1sUEsBAhQAFAAAAAgAh07iQDMv&#10;BZ47AAAAOQAAABAAAAAAAAAAAQAgAAAADQEAAGRycy9zaGFwZXhtbC54bWxQSwUGAAAAAAYABgBb&#10;AQAAtwMAAAAA&#10;">
                  <v:fill on="f" focussize="0,0"/>
                  <v:stroke on="f"/>
                  <v:imagedata r:id="rId110" croptop="7350f" cropright="8088f" o:title=""/>
                  <o:lock v:ext="edit" aspectratio="t"/>
                </v:shape>
                <v:shape id="图片 2" o:spid="_x0000_s1026" o:spt="75" type="#_x0000_t75" style="position:absolute;left:4426;top:88941;height:2261;width:3377;" filled="f" o:preferrelative="t" stroked="f" coordsize="21600,21600" o:gfxdata="UEsDBAoAAAAAAIdO4kAAAAAAAAAAAAAAAAAEAAAAZHJzL1BLAwQUAAAACACHTuJAekyByr0AAADb&#10;AAAADwAAAGRycy9kb3ducmV2LnhtbEWPS4sCMRCE7wv+h9CCN00U1HE0ioiCh72sD/DYTNqZ0Uln&#10;mMTX/vqNIOyxqKqvqNniaStxp8aXjjX0ewoEceZMybmGw37TTUD4gGywckwaXuRhMW99zTA17sE/&#10;dN+FXEQI+xQ1FCHUqZQ+K8ii77maOHpn11gMUTa5NA0+ItxWcqDUSFosOS4UWNOqoOy6u1kN+XBZ&#10;nbaX9TL5Hb2OR7WZDL7ZaN1p99UURKBn+A9/2lujIRnD+0v8AX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TIHKvQAA&#10;ANsAAAAPAAAAAAAAAAEAIAAAACIAAABkcnMvZG93bnJldi54bWxQSwECFAAUAAAACACHTuJAMy8F&#10;njsAAAA5AAAAEAAAAAAAAAABACAAAAAMAQAAZHJzL3NoYXBleG1sLnhtbFBLBQYAAAAABgAGAFsB&#10;AAC2AwAAAAA=&#10;">
                  <v:fill on="f" focussize="0,0"/>
                  <v:stroke on="f"/>
                  <v:imagedata r:id="rId111" cropbottom="6096f" o:title=""/>
                  <o:lock v:ext="edit" aspectratio="t"/>
                </v:shape>
                <v:shape id="图片 23" o:spid="_x0000_s1026" o:spt="75" type="#_x0000_t75" style="position:absolute;left:4376;top:86570;height:2354;width:6870;" filled="f" o:preferrelative="t" stroked="f" coordsize="21600,21600" o:gfxdata="UEsDBAoAAAAAAIdO4kAAAAAAAAAAAAAAAAAEAAAAZHJzL1BLAwQUAAAACACHTuJAQ454yrsAAADb&#10;AAAADwAAAGRycy9kb3ducmV2LnhtbEVPz2vCMBS+D/wfwhO8zbRzG1KNPTgGO6yDOT14ezTPJti8&#10;lCZt9b9fDoMdP77f2/LmWjFSH6xnBfkyA0Fce225UXD8eX9cgwgRWWPrmRTcKUC5mz1ssdB+4m8a&#10;D7ERKYRDgQpMjF0hZagNOQxL3xEn7uJ7hzHBvpG6xymFu1Y+ZdmrdGg5NRjsaG+ovh4Gp4ClPZvp&#10;9IlVVbUr+/I8vN1PX0ot5nm2ARHpFv/Ff+4PrWCdxqYv6QfI3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454yrsAAADb&#10;AAAADwAAAAAAAAABACAAAAAiAAAAZHJzL2Rvd25yZXYueG1sUEsBAhQAFAAAAAgAh07iQDMvBZ47&#10;AAAAOQAAABAAAAAAAAAAAQAgAAAACgEAAGRycy9zaGFwZXhtbC54bWxQSwUGAAAAAAYABgBbAQAA&#10;tAMAAAAA&#10;">
                  <v:fill on="f" focussize="0,0"/>
                  <v:stroke on="f"/>
                  <v:imagedata r:id="rId112" cropbottom="34895f" o:title=""/>
                  <o:lock v:ext="edit" aspectratio="t"/>
                </v:shape>
                <w10:wrap type="none"/>
                <w10:anchorlock/>
              </v:group>
            </w:pict>
          </mc:Fallback>
        </mc:AlternateContent>
      </w:r>
    </w:p>
    <w:p>
      <w:pPr>
        <w:spacing w:line="420" w:lineRule="exact"/>
        <w:ind w:firstLine="422" w:firstLineChars="20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图1 部分实践教学基地签约挂牌现场</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目前，学校、学院挂牌的实践教学基地总数达24家（表2，图1）。在此基础上，还针对目前生物监测、生物制药、生物肥料、生物质能源等生物学研究热点，以项目研发、科技转让为依托，不断凝练特色，建立5个校企共建实验室。通过共建实验室带动学生的校外实践活动，提升学生的培养质量，也使学校与企业由短期松散合作走向长期稳定合作。</w:t>
      </w:r>
    </w:p>
    <w:p>
      <w:pPr>
        <w:widowControl/>
        <w:adjustRightInd w:val="0"/>
        <w:snapToGrid w:val="0"/>
        <w:spacing w:line="240" w:lineRule="auto"/>
        <w:jc w:val="center"/>
        <w:rPr>
          <w:b/>
          <w:bCs/>
          <w:color w:val="000000"/>
          <w:kern w:val="0"/>
          <w:sz w:val="21"/>
          <w:szCs w:val="21"/>
        </w:rPr>
      </w:pPr>
      <w:r>
        <w:rPr>
          <w:b/>
          <w:bCs/>
          <w:color w:val="000000"/>
          <w:kern w:val="0"/>
          <w:sz w:val="21"/>
          <w:szCs w:val="21"/>
        </w:rPr>
        <w:t>表2 专业建设的实践教学基地</w:t>
      </w:r>
    </w:p>
    <w:tbl>
      <w:tblPr>
        <w:tblStyle w:val="17"/>
        <w:tblW w:w="84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4"/>
        <w:gridCol w:w="3834"/>
        <w:gridCol w:w="1462"/>
        <w:gridCol w:w="23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814" w:type="dxa"/>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序号</w:t>
            </w:r>
          </w:p>
        </w:tc>
        <w:tc>
          <w:tcPr>
            <w:tcW w:w="3834" w:type="dxa"/>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实践教学基地名称</w:t>
            </w:r>
          </w:p>
        </w:tc>
        <w:tc>
          <w:tcPr>
            <w:tcW w:w="1462" w:type="dxa"/>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基地性质</w:t>
            </w:r>
          </w:p>
        </w:tc>
        <w:tc>
          <w:tcPr>
            <w:tcW w:w="2331" w:type="dxa"/>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山东荣丰食用菌有限公司</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山东七河生物科技有限公司</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3</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济南巨微（泽元）生物科技有限公司</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4</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德州创迪微生物资源公司</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5</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山东爱福地生物科技有限公司</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6</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山东大地生物科技有限公司</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7</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泰安市质量监督局质监所</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8</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新泰裕兴生物科技有限公司</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9</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山东省华盛农业股份有限公司</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10</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山东家祥蓖麻种业科技有限公司</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11</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山东侨昌农化集团</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12</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山东佐田氏生物科技有限公司</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13</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新泰莲花山养蜂园</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14</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山东地泰菌业有限公司</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15</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泰安市食品药品检验检测中心</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16</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威海市文登圣经山蜜蜂园</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17</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山东蓬勃生物科技有限公司</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18</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山东众人信农业科技有限公司</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19</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烟台金佳龙食品有限公司</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山东泰尚黄精生物科技有限公司</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21</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青岛海德城生物工程有限公司</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22</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山东泰邦生物制品有限公司</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23</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济南·中关村信息谷创新中心</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24</w:t>
            </w:r>
          </w:p>
        </w:tc>
        <w:tc>
          <w:tcPr>
            <w:tcW w:w="383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水发万丰生态农业发展有限公司</w:t>
            </w:r>
          </w:p>
        </w:tc>
        <w:tc>
          <w:tcPr>
            <w:tcW w:w="1462"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2331"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2022</w:t>
            </w:r>
          </w:p>
        </w:tc>
      </w:tr>
    </w:tbl>
    <w:p>
      <w:pPr>
        <w:autoSpaceDE w:val="0"/>
        <w:autoSpaceDN w:val="0"/>
        <w:adjustRightInd w:val="0"/>
        <w:spacing w:line="420" w:lineRule="exact"/>
        <w:rPr>
          <w:rFonts w:eastAsia="黑体"/>
          <w:kern w:val="0"/>
          <w:sz w:val="28"/>
          <w:szCs w:val="28"/>
        </w:rPr>
      </w:pPr>
    </w:p>
    <w:p>
      <w:pPr>
        <w:autoSpaceDE w:val="0"/>
        <w:autoSpaceDN w:val="0"/>
        <w:adjustRightInd w:val="0"/>
        <w:ind w:firstLine="480" w:firstLineChars="200"/>
        <w:rPr>
          <w:rFonts w:eastAsia="黑体"/>
          <w:kern w:val="0"/>
          <w:szCs w:val="24"/>
        </w:rPr>
      </w:pPr>
      <w:r>
        <w:rPr>
          <w:rFonts w:hint="eastAsia" w:eastAsia="黑体"/>
          <w:kern w:val="0"/>
          <w:szCs w:val="24"/>
        </w:rPr>
        <w:t xml:space="preserve">5. </w:t>
      </w:r>
      <w:r>
        <w:rPr>
          <w:rFonts w:eastAsia="黑体"/>
          <w:kern w:val="0"/>
          <w:szCs w:val="24"/>
        </w:rPr>
        <w:t>现代教学技术应用</w:t>
      </w:r>
      <w:bookmarkEnd w:id="499"/>
    </w:p>
    <w:p>
      <w:pPr>
        <w:autoSpaceDE w:val="0"/>
        <w:autoSpaceDN w:val="0"/>
        <w:adjustRightInd w:val="0"/>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1）开发专业主干课程教学资源库：从专业人才培养目标入手，开发构建了集自主学习、课堂教学和拓展服务等多种功能于一体的主干课程立体化教学资源库，有效整合了课程标准、课程设计、教学课件、教学案例、教学录像、实验虚拟仿真和教学考核等多种资源形式，随时吸收国内外最新研究的相关成果和基层应用案例，丰富课程教学资源。以此为基础，完成了《植物学》《植物生理学》 《生物化学》《普通微生物学》《基因工程综合实验》《细胞生物学》等30余门课程的教学资源库建设，新建教学资源库4门，虚拟仿真实验项目1项。正式出版数字课程3门。现有数字化教学资源库基本涵盖本专业全部主干课程和大部分选修课程。</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（2）推进信息技术与教育教学的深度融合，创建互联网时代大学课堂网络辅助教学新模式：互联网、信息化已成为当代信息获取和应用的重要途径，随着教育部</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爱课程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网和视频公开课等大量高校教学课程资源的上线，积极引导学生通过手机或Pad等客户端学习使用国内外相关课程优质教学资源；积极引进大规模开放在线课程（MOOCs）等教学新模式，开发了《植物生理学》、《细胞生物学》《微生物学》《分子生物学》MOOCs，采用混合式教学进行网络教学，在山东省课程平台上线了一流课程《微生物学》。所有主干课程均开设教学网站，通过</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课程中心</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平台学生可自由获取课程教学课件和视频资料，并参与教学测试和在线课堂讨论；同时，80%以上的教师还通过钉钉、腾讯课堂、腾讯会议等智慧教学工具，开展线上教学，与学生进行实时交互答疑。通过互联网辅助教学，提供了更灵活的教学平台，为学生提供了一种轻松愉快的学习方式，拉近了师生间的距离，拓宽了教学空间，丰富了教学资源，极大地提高了教学效率。</w:t>
      </w:r>
    </w:p>
    <w:p>
      <w:pPr>
        <w:pStyle w:val="33"/>
        <w:spacing w:line="400" w:lineRule="exact"/>
        <w:ind w:firstLine="480" w:firstLineChars="200"/>
        <w:jc w:val="both"/>
        <w:rPr>
          <w:rFonts w:ascii="Times New Roman" w:hAnsi="Times New Roman" w:eastAsia="宋体" w:cs="Times New Roman"/>
          <w:color w:val="000000" w:themeColor="text1"/>
          <w:kern w:val="2"/>
          <w:szCs w:val="22"/>
          <w14:textFill>
            <w14:solidFill>
              <w14:schemeClr w14:val="tx1"/>
            </w14:solidFill>
          </w14:textFill>
        </w:rPr>
      </w:pPr>
      <w:r>
        <w:rPr>
          <w:rFonts w:ascii="Times New Roman" w:hAnsi="Times New Roman" w:eastAsia="宋体" w:cs="Times New Roman"/>
          <w:color w:val="000000" w:themeColor="text1"/>
          <w:kern w:val="2"/>
          <w:szCs w:val="22"/>
          <w14:textFill>
            <w14:solidFill>
              <w14:schemeClr w14:val="tx1"/>
            </w14:solidFill>
          </w14:textFill>
        </w:rPr>
        <w:t>（3）更新完善了实验和创新实践网络平台，成立实验课程虚拟教研室。</w:t>
      </w:r>
      <w:r>
        <w:rPr>
          <w:rFonts w:hint="eastAsia" w:ascii="Times New Roman" w:hAnsi="Times New Roman" w:eastAsia="宋体" w:cs="Times New Roman"/>
          <w:color w:val="000000" w:themeColor="text1"/>
          <w:kern w:val="2"/>
          <w:szCs w:val="22"/>
          <w14:textFill>
            <w14:solidFill>
              <w14:schemeClr w14:val="tx1"/>
            </w14:solidFill>
          </w14:textFill>
        </w:rPr>
        <w:t>“</w:t>
      </w:r>
      <w:r>
        <w:rPr>
          <w:rFonts w:ascii="Times New Roman" w:hAnsi="Times New Roman" w:eastAsia="宋体" w:cs="Times New Roman"/>
          <w:color w:val="000000" w:themeColor="text1"/>
          <w:kern w:val="2"/>
          <w:szCs w:val="22"/>
          <w14:textFill>
            <w14:solidFill>
              <w14:schemeClr w14:val="tx1"/>
            </w14:solidFill>
          </w14:textFill>
        </w:rPr>
        <w:t>农业生物学实验教学中心</w:t>
      </w:r>
      <w:r>
        <w:rPr>
          <w:rFonts w:hint="eastAsia" w:ascii="Times New Roman" w:hAnsi="Times New Roman" w:eastAsia="宋体" w:cs="Times New Roman"/>
          <w:color w:val="000000" w:themeColor="text1"/>
          <w:kern w:val="2"/>
          <w:szCs w:val="22"/>
          <w14:textFill>
            <w14:solidFill>
              <w14:schemeClr w14:val="tx1"/>
            </w14:solidFill>
          </w14:textFill>
        </w:rPr>
        <w:t>”</w:t>
      </w:r>
      <w:r>
        <w:rPr>
          <w:rFonts w:ascii="Times New Roman" w:hAnsi="Times New Roman" w:eastAsia="宋体" w:cs="Times New Roman"/>
          <w:color w:val="000000" w:themeColor="text1"/>
          <w:kern w:val="2"/>
          <w:szCs w:val="22"/>
          <w14:textFill>
            <w14:solidFill>
              <w14:schemeClr w14:val="tx1"/>
            </w14:solidFill>
          </w14:textFill>
        </w:rPr>
        <w:t>加入教育部生物学基础实验虚拟教研室，并成立分教研室；更新了</w:t>
      </w:r>
      <w:r>
        <w:rPr>
          <w:rFonts w:hint="eastAsia" w:ascii="Times New Roman" w:hAnsi="Times New Roman" w:eastAsia="宋体" w:cs="Times New Roman"/>
          <w:color w:val="000000" w:themeColor="text1"/>
          <w:kern w:val="2"/>
          <w:szCs w:val="22"/>
          <w14:textFill>
            <w14:solidFill>
              <w14:schemeClr w14:val="tx1"/>
            </w14:solidFill>
          </w14:textFill>
        </w:rPr>
        <w:t>“</w:t>
      </w:r>
      <w:r>
        <w:rPr>
          <w:rFonts w:ascii="Times New Roman" w:hAnsi="Times New Roman" w:eastAsia="宋体" w:cs="Times New Roman"/>
          <w:color w:val="000000" w:themeColor="text1"/>
          <w:kern w:val="2"/>
          <w:szCs w:val="22"/>
          <w14:textFill>
            <w14:solidFill>
              <w14:schemeClr w14:val="tx1"/>
            </w14:solidFill>
          </w14:textFill>
        </w:rPr>
        <w:t>生物科学专业</w:t>
      </w:r>
      <w:r>
        <w:rPr>
          <w:rFonts w:hint="eastAsia" w:ascii="Times New Roman" w:hAnsi="Times New Roman" w:eastAsia="宋体" w:cs="Times New Roman"/>
          <w:color w:val="000000" w:themeColor="text1"/>
          <w:kern w:val="2"/>
          <w:szCs w:val="22"/>
          <w14:textFill>
            <w14:solidFill>
              <w14:schemeClr w14:val="tx1"/>
            </w14:solidFill>
          </w14:textFill>
        </w:rPr>
        <w:t>”</w:t>
      </w:r>
      <w:r>
        <w:rPr>
          <w:rFonts w:ascii="Times New Roman" w:hAnsi="Times New Roman" w:eastAsia="宋体" w:cs="Times New Roman"/>
          <w:color w:val="000000" w:themeColor="text1"/>
          <w:kern w:val="2"/>
          <w:szCs w:val="22"/>
          <w14:textFill>
            <w14:solidFill>
              <w14:schemeClr w14:val="tx1"/>
            </w14:solidFill>
          </w14:textFill>
        </w:rPr>
        <w:t>、</w:t>
      </w:r>
      <w:r>
        <w:rPr>
          <w:rFonts w:hint="eastAsia" w:ascii="Times New Roman" w:hAnsi="Times New Roman" w:eastAsia="宋体" w:cs="Times New Roman"/>
          <w:color w:val="000000" w:themeColor="text1"/>
          <w:kern w:val="2"/>
          <w:szCs w:val="22"/>
          <w14:textFill>
            <w14:solidFill>
              <w14:schemeClr w14:val="tx1"/>
            </w14:solidFill>
          </w14:textFill>
        </w:rPr>
        <w:t>“</w:t>
      </w:r>
      <w:r>
        <w:rPr>
          <w:rFonts w:ascii="Times New Roman" w:hAnsi="Times New Roman" w:eastAsia="宋体" w:cs="Times New Roman"/>
          <w:color w:val="000000" w:themeColor="text1"/>
          <w:kern w:val="2"/>
          <w:szCs w:val="22"/>
          <w14:textFill>
            <w14:solidFill>
              <w14:schemeClr w14:val="tx1"/>
            </w14:solidFill>
          </w14:textFill>
        </w:rPr>
        <w:t>生物技术与工程实验教学示范中心网站</w:t>
      </w:r>
      <w:r>
        <w:rPr>
          <w:rFonts w:hint="eastAsia" w:ascii="Times New Roman" w:hAnsi="Times New Roman" w:eastAsia="宋体" w:cs="Times New Roman"/>
          <w:color w:val="000000" w:themeColor="text1"/>
          <w:kern w:val="2"/>
          <w:szCs w:val="22"/>
          <w14:textFill>
            <w14:solidFill>
              <w14:schemeClr w14:val="tx1"/>
            </w14:solidFill>
          </w14:textFill>
        </w:rPr>
        <w:t>”</w:t>
      </w:r>
      <w:r>
        <w:rPr>
          <w:rFonts w:ascii="Times New Roman" w:hAnsi="Times New Roman" w:eastAsia="宋体" w:cs="Times New Roman"/>
          <w:color w:val="000000" w:themeColor="text1"/>
          <w:kern w:val="2"/>
          <w:szCs w:val="22"/>
          <w14:textFill>
            <w14:solidFill>
              <w14:schemeClr w14:val="tx1"/>
            </w14:solidFill>
          </w14:textFill>
        </w:rPr>
        <w:t>、</w:t>
      </w:r>
      <w:r>
        <w:rPr>
          <w:rFonts w:hint="eastAsia" w:ascii="Times New Roman" w:hAnsi="Times New Roman" w:eastAsia="宋体" w:cs="Times New Roman"/>
          <w:color w:val="000000" w:themeColor="text1"/>
          <w:kern w:val="2"/>
          <w:szCs w:val="22"/>
          <w14:textFill>
            <w14:solidFill>
              <w14:schemeClr w14:val="tx1"/>
            </w14:solidFill>
          </w14:textFill>
        </w:rPr>
        <w:t>“</w:t>
      </w:r>
      <w:r>
        <w:rPr>
          <w:rFonts w:ascii="Times New Roman" w:hAnsi="Times New Roman" w:eastAsia="宋体" w:cs="Times New Roman"/>
          <w:color w:val="000000" w:themeColor="text1"/>
          <w:kern w:val="2"/>
          <w:szCs w:val="22"/>
          <w14:textFill>
            <w14:solidFill>
              <w14:schemeClr w14:val="tx1"/>
            </w14:solidFill>
          </w14:textFill>
        </w:rPr>
        <w:t>校园植物志</w:t>
      </w:r>
      <w:r>
        <w:rPr>
          <w:rFonts w:hint="eastAsia" w:ascii="Times New Roman" w:hAnsi="Times New Roman" w:eastAsia="宋体" w:cs="Times New Roman"/>
          <w:color w:val="000000" w:themeColor="text1"/>
          <w:kern w:val="2"/>
          <w:szCs w:val="22"/>
          <w14:textFill>
            <w14:solidFill>
              <w14:schemeClr w14:val="tx1"/>
            </w14:solidFill>
          </w14:textFill>
        </w:rPr>
        <w:t>”</w:t>
      </w:r>
      <w:r>
        <w:rPr>
          <w:rFonts w:ascii="Times New Roman" w:hAnsi="Times New Roman" w:eastAsia="宋体" w:cs="Times New Roman"/>
          <w:color w:val="000000" w:themeColor="text1"/>
          <w:kern w:val="2"/>
          <w:szCs w:val="22"/>
          <w14:textFill>
            <w14:solidFill>
              <w14:schemeClr w14:val="tx1"/>
            </w14:solidFill>
          </w14:textFill>
        </w:rPr>
        <w:t>、</w:t>
      </w:r>
      <w:r>
        <w:rPr>
          <w:rFonts w:hint="eastAsia" w:ascii="Times New Roman" w:hAnsi="Times New Roman" w:eastAsia="宋体" w:cs="Times New Roman"/>
          <w:color w:val="000000" w:themeColor="text1"/>
          <w:kern w:val="2"/>
          <w:szCs w:val="22"/>
          <w14:textFill>
            <w14:solidFill>
              <w14:schemeClr w14:val="tx1"/>
            </w14:solidFill>
          </w14:textFill>
        </w:rPr>
        <w:t>“</w:t>
      </w:r>
      <w:r>
        <w:rPr>
          <w:rFonts w:ascii="Times New Roman" w:hAnsi="Times New Roman" w:eastAsia="宋体" w:cs="Times New Roman"/>
          <w:color w:val="000000" w:themeColor="text1"/>
          <w:kern w:val="2"/>
          <w:szCs w:val="22"/>
          <w14:textFill>
            <w14:solidFill>
              <w14:schemeClr w14:val="tx1"/>
            </w14:solidFill>
          </w14:textFill>
        </w:rPr>
        <w:t>山东农业大学数字化标本馆</w:t>
      </w:r>
      <w:r>
        <w:rPr>
          <w:rFonts w:hint="eastAsia" w:ascii="Times New Roman" w:hAnsi="Times New Roman" w:eastAsia="宋体" w:cs="Times New Roman"/>
          <w:color w:val="000000" w:themeColor="text1"/>
          <w:kern w:val="2"/>
          <w:szCs w:val="22"/>
          <w14:textFill>
            <w14:solidFill>
              <w14:schemeClr w14:val="tx1"/>
            </w14:solidFill>
          </w14:textFill>
        </w:rPr>
        <w:t>”“</w:t>
      </w:r>
      <w:r>
        <w:fldChar w:fldCharType="begin"/>
      </w:r>
      <w:r>
        <w:instrText xml:space="preserve"> HYPERLINK "http://202.194.131.160/G2S/Template/View.aspx?action=view&amp;courseType=1&amp;courseId=43&amp;ZZWLOOKINGFOR=G" \t "_blank" </w:instrText>
      </w:r>
      <w:r>
        <w:fldChar w:fldCharType="separate"/>
      </w:r>
      <w:r>
        <w:rPr>
          <w:rFonts w:ascii="Times New Roman" w:hAnsi="Times New Roman" w:eastAsia="宋体" w:cs="Times New Roman"/>
          <w:color w:val="000000" w:themeColor="text1"/>
          <w:kern w:val="2"/>
          <w:szCs w:val="22"/>
          <w14:textFill>
            <w14:solidFill>
              <w14:schemeClr w14:val="tx1"/>
            </w14:solidFill>
          </w14:textFill>
        </w:rPr>
        <w:t>百奥微生物科技协会</w:t>
      </w:r>
      <w:r>
        <w:rPr>
          <w:rFonts w:ascii="Times New Roman" w:hAnsi="Times New Roman" w:eastAsia="宋体" w:cs="Times New Roman"/>
          <w:color w:val="000000" w:themeColor="text1"/>
          <w:kern w:val="2"/>
          <w:szCs w:val="22"/>
          <w14:textFill>
            <w14:solidFill>
              <w14:schemeClr w14:val="tx1"/>
            </w14:solidFill>
          </w14:textFill>
        </w:rPr>
        <w:fldChar w:fldCharType="end"/>
      </w:r>
      <w:r>
        <w:rPr>
          <w:rFonts w:hint="eastAsia" w:ascii="Times New Roman" w:hAnsi="Times New Roman" w:eastAsia="宋体" w:cs="Times New Roman"/>
          <w:color w:val="000000" w:themeColor="text1"/>
          <w:kern w:val="2"/>
          <w:szCs w:val="22"/>
          <w14:textFill>
            <w14:solidFill>
              <w14:schemeClr w14:val="tx1"/>
            </w14:solidFill>
          </w14:textFill>
        </w:rPr>
        <w:t>”</w:t>
      </w:r>
      <w:r>
        <w:rPr>
          <w:rFonts w:ascii="Times New Roman" w:hAnsi="Times New Roman" w:eastAsia="宋体" w:cs="Times New Roman"/>
          <w:color w:val="000000" w:themeColor="text1"/>
          <w:kern w:val="2"/>
          <w:szCs w:val="22"/>
          <w14:textFill>
            <w14:solidFill>
              <w14:schemeClr w14:val="tx1"/>
            </w14:solidFill>
          </w14:textFill>
        </w:rPr>
        <w:t>、</w:t>
      </w:r>
      <w:r>
        <w:rPr>
          <w:rFonts w:hint="eastAsia" w:ascii="Times New Roman" w:hAnsi="Times New Roman" w:eastAsia="宋体" w:cs="Times New Roman"/>
          <w:color w:val="000000" w:themeColor="text1"/>
          <w:kern w:val="2"/>
          <w:szCs w:val="22"/>
          <w14:textFill>
            <w14:solidFill>
              <w14:schemeClr w14:val="tx1"/>
            </w14:solidFill>
          </w14:textFill>
        </w:rPr>
        <w:t>“</w:t>
      </w:r>
      <w:r>
        <w:rPr>
          <w:rFonts w:ascii="Times New Roman" w:hAnsi="Times New Roman" w:eastAsia="宋体" w:cs="Times New Roman"/>
          <w:color w:val="000000" w:themeColor="text1"/>
          <w:kern w:val="2"/>
          <w:szCs w:val="22"/>
          <w14:textFill>
            <w14:solidFill>
              <w14:schemeClr w14:val="tx1"/>
            </w14:solidFill>
          </w14:textFill>
        </w:rPr>
        <w:t>飞动植物艺术协会</w:t>
      </w:r>
      <w:r>
        <w:rPr>
          <w:rFonts w:hint="eastAsia" w:ascii="Times New Roman" w:hAnsi="Times New Roman" w:eastAsia="宋体" w:cs="Times New Roman"/>
          <w:color w:val="000000" w:themeColor="text1"/>
          <w:kern w:val="2"/>
          <w:szCs w:val="22"/>
          <w14:textFill>
            <w14:solidFill>
              <w14:schemeClr w14:val="tx1"/>
            </w14:solidFill>
          </w14:textFill>
        </w:rPr>
        <w:t>”</w:t>
      </w:r>
      <w:r>
        <w:rPr>
          <w:rFonts w:ascii="Times New Roman" w:hAnsi="Times New Roman" w:eastAsia="宋体" w:cs="Times New Roman"/>
          <w:color w:val="000000" w:themeColor="text1"/>
          <w:kern w:val="2"/>
          <w:szCs w:val="22"/>
          <w14:textFill>
            <w14:solidFill>
              <w14:schemeClr w14:val="tx1"/>
            </w14:solidFill>
          </w14:textFill>
        </w:rPr>
        <w:t>、</w:t>
      </w:r>
      <w:r>
        <w:rPr>
          <w:rFonts w:hint="eastAsia" w:ascii="Times New Roman" w:hAnsi="Times New Roman" w:eastAsia="宋体" w:cs="Times New Roman"/>
          <w:color w:val="000000" w:themeColor="text1"/>
          <w:kern w:val="2"/>
          <w:szCs w:val="22"/>
          <w14:textFill>
            <w14:solidFill>
              <w14:schemeClr w14:val="tx1"/>
            </w14:solidFill>
          </w14:textFill>
        </w:rPr>
        <w:t>“</w:t>
      </w:r>
      <w:r>
        <w:fldChar w:fldCharType="begin"/>
      </w:r>
      <w:r>
        <w:instrText xml:space="preserve"> HYPERLINK "http://202.194.131.160/G2S/Template/View.aspx?action=view&amp;courseType=1&amp;courseId=282&amp;ZZWLOOKINGFOR=G" \t "_blank" </w:instrText>
      </w:r>
      <w:r>
        <w:fldChar w:fldCharType="separate"/>
      </w:r>
      <w:r>
        <w:rPr>
          <w:rFonts w:ascii="Times New Roman" w:hAnsi="Times New Roman" w:eastAsia="宋体" w:cs="Times New Roman"/>
          <w:color w:val="000000" w:themeColor="text1"/>
          <w:kern w:val="2"/>
          <w:szCs w:val="22"/>
          <w14:textFill>
            <w14:solidFill>
              <w14:schemeClr w14:val="tx1"/>
            </w14:solidFill>
          </w14:textFill>
        </w:rPr>
        <w:t>山东省大学生生物化学实验技能大赛</w:t>
      </w:r>
      <w:r>
        <w:rPr>
          <w:rFonts w:ascii="Times New Roman" w:hAnsi="Times New Roman" w:eastAsia="宋体" w:cs="Times New Roman"/>
          <w:color w:val="000000" w:themeColor="text1"/>
          <w:kern w:val="2"/>
          <w:szCs w:val="22"/>
          <w14:textFill>
            <w14:solidFill>
              <w14:schemeClr w14:val="tx1"/>
            </w14:solidFill>
          </w14:textFill>
        </w:rPr>
        <w:fldChar w:fldCharType="end"/>
      </w:r>
      <w:r>
        <w:rPr>
          <w:rFonts w:hint="eastAsia" w:ascii="Times New Roman" w:hAnsi="Times New Roman" w:eastAsia="宋体" w:cs="Times New Roman"/>
          <w:color w:val="000000" w:themeColor="text1"/>
          <w:kern w:val="2"/>
          <w:szCs w:val="22"/>
          <w14:textFill>
            <w14:solidFill>
              <w14:schemeClr w14:val="tx1"/>
            </w14:solidFill>
          </w14:textFill>
        </w:rPr>
        <w:t>”</w:t>
      </w:r>
      <w:r>
        <w:rPr>
          <w:rFonts w:ascii="Times New Roman" w:hAnsi="Times New Roman" w:eastAsia="宋体" w:cs="Times New Roman"/>
          <w:color w:val="000000" w:themeColor="text1"/>
          <w:kern w:val="2"/>
          <w:szCs w:val="22"/>
          <w14:textFill>
            <w14:solidFill>
              <w14:schemeClr w14:val="tx1"/>
            </w14:solidFill>
          </w14:textFill>
        </w:rPr>
        <w:t>等十几个相关教学网站。为学生提供了自主学习服务平台，为教师提供学习、借鉴、参考、交流、引用的教学资源场所。</w:t>
      </w:r>
    </w:p>
    <w:p>
      <w:pPr>
        <w:pStyle w:val="5"/>
        <w:spacing w:before="93" w:after="93"/>
        <w:ind w:firstLine="560"/>
      </w:pPr>
      <w:bookmarkStart w:id="500" w:name="_Toc438025712"/>
      <w:r>
        <w:t>四、培养机制与特色</w:t>
      </w:r>
      <w:bookmarkEnd w:id="500"/>
    </w:p>
    <w:p>
      <w:pPr>
        <w:autoSpaceDE w:val="0"/>
        <w:autoSpaceDN w:val="0"/>
        <w:adjustRightInd w:val="0"/>
        <w:ind w:firstLine="480" w:firstLineChars="200"/>
        <w:rPr>
          <w:rFonts w:eastAsia="黑体"/>
          <w:kern w:val="0"/>
          <w:szCs w:val="24"/>
        </w:rPr>
      </w:pPr>
      <w:bookmarkStart w:id="501" w:name="_Toc438025713"/>
      <w:r>
        <w:rPr>
          <w:rFonts w:eastAsia="黑体"/>
          <w:kern w:val="0"/>
          <w:szCs w:val="24"/>
        </w:rPr>
        <w:t>1. 依托齐鲁学堂，培养拔尖型卓越农林人才</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为全面贯彻落实党和国家的教育方针，秉承</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强化基础，注重实践，学研并重，突出创新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的拔尖人才育人原则，培养适应新时代社会主义现代化建设需要的拔尖型卓越农林人才，同时解决地方院校高端人才匮乏的问题，集中优质资源，培养具有家国情怀、国际视野、全球竞争力的行业领军人才，山东农业大学成立了齐鲁学堂，每年面向新入校学生进行择优选拔。选拔范围：农学、植物保护、园艺和生物科学类4个专业（大类）共100名左右学生，其中生物科学类为30人左右。</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（1）个性化培养。</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齐鲁学堂坚持少而精、开放式，控制规模，动态进出的原则。在培养模式方面，齐鲁学堂实行</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本硕博贯通</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培养制度，实行弹性学习年限。学堂为每名学生配备一名导师，指导学生制定个性化学习计划，指导学生科研训练等。学生可在导师指导下制定个性化培养方案，可自主跨学校、跨院系、跨专业、跨年级修读课程。</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此外，学堂为学生提供多种海外学习交流机会，通过联合培养、交换学习、暑期学校、短期学习、国际学术会议、讲习班、见习实习、考察等方式，使学生有机会走进国外一流大学或研究机构，得到更多一流专家学者的指导。对于学生的考核，学堂也采取了平时与期末、笔试与口试、理论与实践、开卷与闭卷、过程性与终结性等多种方式并用的评价方式，加强对学生平时学习情况的考核；实践环节考核突出能力和创新，采取多种方式，加强对学生科研素质和潜力的考核。</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（2）强调独立性思考。</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对于齐鲁学堂的学生，学校实行小班授课，大力推进研究性教学和自主性学习，以启发式、讨论式、探究式等教学方法引导学生主动参与教学、自主开展学习。在课堂学习方面，更加注重课堂教学与实践教学以及科学研究训练的结合，培养学生科学的思维方法，着力提高学生的批判性思维和创新意识，提高学生发现问题、分析问题和解决问题的能力。</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（3）优质资源保障。</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山东农业大学的国家千人计划入选者、泰山学者、教授博导、省级以上教学名师等才有资格成为齐鲁学堂学生的导师，承担指导学生的任务。同时，为了保证所有学生都有参与研究项目的机会，导师们将邀请学生参加到自己的科研项目中，学校也将在SRT项目、国家大学生创新性实验计划项目名额分配上适度向齐鲁学堂的学生倾斜。山东农业大学的国家重点实验室、省部级重点实验室、国家实验教学示范中心等教学研究资源将向学堂的学生全面开放，为学生科研、实践等各种科技创新活动提供专门支持。同时，进入学堂的本科生还能全面共享图书馆及各种信息资源平台，具有和研究生相同的借阅、使用权限。</w:t>
      </w:r>
    </w:p>
    <w:p>
      <w:pPr>
        <w:autoSpaceDE w:val="0"/>
        <w:autoSpaceDN w:val="0"/>
        <w:adjustRightInd w:val="0"/>
        <w:ind w:firstLine="480" w:firstLineChars="200"/>
        <w:rPr>
          <w:rFonts w:eastAsia="黑体"/>
          <w:kern w:val="0"/>
          <w:szCs w:val="24"/>
        </w:rPr>
      </w:pPr>
      <w:r>
        <w:rPr>
          <w:rFonts w:eastAsia="黑体"/>
          <w:kern w:val="0"/>
          <w:szCs w:val="24"/>
        </w:rPr>
        <w:t>2. 产学研协同育人机制</w:t>
      </w:r>
      <w:bookmarkEnd w:id="501"/>
      <w:bookmarkStart w:id="502" w:name="_Toc438025714"/>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（1）注重学生的知识、素质与能力的协调发展，构建了产学研协同育人新方案。</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目前采用的是近两年修正完善的生物科学专业产学研协同育人新方案。具体措施包括：1）调整学分结构：毕业总学分及课内总学时分别降低10%和20%，必修课程学分降低15%，选修课的数量增加25%，使学生有充分的时间和精力思考生物学问题，按照自己的研究兴趣，参与科研实践训练；2）重视实践环节，把综合训练和毕业论文时间适当延长，将进入毕业实习阶段的学生分成两大类别：一类按</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创新型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人才培养，安排到科研院所、科研实验室实习，强化科技创新能力培养；另一类按</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应用型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人才培养，安排到校企共建单位、实践教学基地实习，尽快实现与企业的无缝对接。</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（2）紧密围绕</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厚基础、宽视野、强能力、高素质、广口径</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精英型科教人才的基本定位，构建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平台+模块</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的开放性理论课程体系。</w:t>
      </w:r>
    </w:p>
    <w:p>
      <w:pPr>
        <w:ind w:firstLine="48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平台课程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主要为生物科学专业的学生提供系统宽厚的生物学基础知识，形成与生物科学专业发展相适应的基本技能，包括植物学、植物生理学、基础生物化学、普通微生物学、细胞生物学以及分子生物学6门课程。对这6门课程进行整合，即统一制定6门平台课程的教学大纲和课程教学标准，使其在内容上既各有侧重又彼此衔接，有效地解决了课程间的重复和脱节现象。</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模块课程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旨在满足不同专业需求或学生个性化发展需求，主要开设包括发育生物学、生物信息学、基因组学等能够反映生物学最新研究动态的知识拓展型课程，保证了教学内容的先进性和开放性。通过选修课程的调整，使专业特色更加鲜明。</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平台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能够满足学科大类人才的基本规格和全面发展的共性需求，体现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厚基础，宽口径</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模块</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主要是为实现人才分流，满足个性发展的需要。在专业课程中，进一步拓展课程内容，创建了开放式的课程体系，结合《生物学学科前沿专题讲座》等课程和</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专家与我面对面</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创新创业讲座论坛等学术交流活动，分别聘请著名科研院所著名专家和国际知名专家，或者我校在国内外具有重要影响的知名专家，围绕生物科学相关领域热点话题做专题报告，拓宽学生学术视野；邀请生物科学相关著名企业技术专家做专题报告，带领学生到规模化优秀生物产业企业进行考察实习，让学生及时了解生物产业技术和知识需求，激发了学生的专业兴趣，促进学生与企业间的完美对接。</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（3）围绕塑造学生</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实践能力、创新能力和拓展能力</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，创建了适应社会需要的</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四层次、三类型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实践教学体系。</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为培养学生科学思维能力、综合实践能力和社会适应与拓展能力，根据生物科学快速发展的实际，在进一步完善实践教学体系的基础上，创建了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四层次、三类型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的实践教学体系。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四层次</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即基础生物学实验→农业生物学实验→生物科学综合实验→农业生产实践四个层次；</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三类型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即基础型实验、综合提高型实验和研究创新型实验。四个层次循序渐进，每一层次都根据其具体实验内容，分别构建基础型、综合提高型和研究创新型等不同类型的实验项目，尤其注重增加探究实验的比重，实现基础实验、综合实验、设计实验、创新实验稳步提升；实验、实训、实习相互结合；课内课外、校内校外、教学科研、科研生产相互衔接。既培养学生掌握扎实的实验基本技能，又逐步强化学生实践能力、创新能力和创业、就业能力。</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（4）围绕激发学生兴趣，依托教学科研创新平台，全方位保证产学研协同育人。</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基于农业生物学实验教学示范中心（国家级）、生物技术和工程实验教学示范中心（省级）及各学科科研实验室等实践教学平台，锻炼和提高学生系统掌握现代生物学实验技术与研究方法和实际动手能力；基于课程教学平台，锻炼学生的研究性学习以及文献查阅、写作与交流表达能力等综合能力；基于科研平台，培养学生创新意识、科学思维、知识应用和分析解决问题等能力与综合素质。2022年，</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创新平台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共承担学生主持的各类科研训练项目80余项，参加学生人数占学生总人数80%以上，本科生每年在国内外生物科学专业著名学术期刊以第一作者或主要作者发表学术研究论文5篇左右。各类科技创新活动极大地激发了学生的创新精神和学习兴趣，促进了学生创新能力的培养，保证了学生自主个性化的学术发展。</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（5）举办系列学术活动，提高学生专业素养和学术水平。</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生物科学专业的学生，80%以上会选择考研继续深造。为提高学生的学术素养和报考院校对我校学生的认可度，学院也从新生入学开始便不断举办各种类型的学术报告（图2）。学院设立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生命之光</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学术讲座和</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学术之光</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科研论坛，每年邀请20余位国内知名学者和优秀校友来校讲学；此外，学院依托作物学国家重点实验室邀请多位国内外知名院士及专家，举办了系列的学术报告。通过开展学术讲座，同学们深入了解了所在学科或相关学科领域的前沿知识，掌握了最新的科研动态，在与专家近距离的学术探讨中，同学们提升了专业知识，拓宽了视野，培养了学术敏感性，对于提升学生综合素质，提高人才培养质量，促进学生的学习意识具有重要意义。</w:t>
      </w:r>
    </w:p>
    <w:p>
      <w:pPr>
        <w:spacing w:line="240" w:lineRule="auto"/>
        <w:ind w:firstLine="482" w:firstLineChars="200"/>
        <w:rPr>
          <w:b/>
          <w:color w:val="000000" w:themeColor="text1"/>
          <w14:textFill>
            <w14:solidFill>
              <w14:schemeClr w14:val="tx1"/>
            </w14:solidFill>
          </w14:textFill>
        </w:rPr>
      </w:pPr>
      <w:r>
        <w:rPr>
          <w:b/>
          <w:color w:val="000000" w:themeColor="text1"/>
          <w:szCs w:val="21"/>
          <w14:textFill>
            <w14:solidFill>
              <w14:schemeClr w14:val="tx1"/>
            </w14:solidFill>
          </w14:textFill>
        </w:rPr>
        <w:drawing>
          <wp:inline distT="0" distB="0" distL="0" distR="0">
            <wp:extent cx="4752340" cy="3066415"/>
            <wp:effectExtent l="0" t="0" r="10160" b="63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113" cstate="print"/>
                    <a:srcRect/>
                    <a:stretch>
                      <a:fillRect/>
                    </a:stretch>
                  </pic:blipFill>
                  <pic:spPr>
                    <a:xfrm>
                      <a:off x="0" y="0"/>
                      <a:ext cx="4752340" cy="3066415"/>
                    </a:xfrm>
                    <a:prstGeom prst="rect">
                      <a:avLst/>
                    </a:prstGeom>
                    <a:noFill/>
                  </pic:spPr>
                </pic:pic>
              </a:graphicData>
            </a:graphic>
          </wp:inline>
        </w:drawing>
      </w:r>
    </w:p>
    <w:p>
      <w:pPr>
        <w:widowControl/>
        <w:adjustRightInd w:val="0"/>
        <w:snapToGrid w:val="0"/>
        <w:spacing w:line="240" w:lineRule="auto"/>
        <w:jc w:val="center"/>
        <w:rPr>
          <w:b/>
          <w:color w:val="000000"/>
          <w:kern w:val="0"/>
          <w:sz w:val="21"/>
          <w:szCs w:val="21"/>
        </w:rPr>
      </w:pPr>
      <w:r>
        <w:rPr>
          <w:b/>
          <w:color w:val="000000"/>
          <w:kern w:val="0"/>
          <w:sz w:val="21"/>
          <w:szCs w:val="21"/>
        </w:rPr>
        <w:t>图2  部分特邀专家和青年才俊为学生做学术报告</w:t>
      </w:r>
    </w:p>
    <w:p>
      <w:pPr>
        <w:autoSpaceDE w:val="0"/>
        <w:autoSpaceDN w:val="0"/>
        <w:adjustRightInd w:val="0"/>
        <w:spacing w:line="420" w:lineRule="exact"/>
        <w:ind w:firstLine="480" w:firstLineChars="200"/>
        <w:rPr>
          <w:rFonts w:eastAsia="黑体"/>
          <w:kern w:val="0"/>
          <w:szCs w:val="24"/>
        </w:rPr>
      </w:pPr>
      <w:r>
        <w:rPr>
          <w:rFonts w:eastAsia="黑体"/>
          <w:kern w:val="0"/>
          <w:szCs w:val="24"/>
        </w:rPr>
        <w:t>3. 合作办学</w:t>
      </w:r>
    </w:p>
    <w:p>
      <w:pPr>
        <w:spacing w:line="420" w:lineRule="exact"/>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（1）加强实验实训实习基地建设。本着</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互惠互利、共同发展</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的原则，与省内外20余家具有较大影响的生物科学与技术企业联合建立实践教学基地，统筹各类实践教学资源，构建功能集约、资源共享、开放充分、运作高效的生物科学实践应用教学平台，每年逾200人次学生到企业参加实习和实践。</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实践应用平台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建设实现了学校与企业的紧密联合，企业为教师提供了社会服务能力的平台，专家、教授深入生产一线，能够准确及时把握社会需求，实现社会需求与科研的同步发展；企业为学生提供了实践的平台，促进了学生创新和创业能力的提高，提高应用型人才的培养质量；同时，教师为企业提供新技术，学生为产品的研发和企业的创新注入活力，促进科技成果转化，推动了企业的持续健康发展。有计划地选送教师到企业接受培训、挂职工作和实践锻炼。</w:t>
      </w:r>
    </w:p>
    <w:p>
      <w:pPr>
        <w:spacing w:line="420" w:lineRule="exact"/>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2）学校、企业双导师制共建人才培养体系。学校聘请企业优秀专业技术人才、管理人才和高技能人才参与专业建设、担任兼职教师。学生的暑期实践、教学实习和毕业实习等在企业完成的实践教学活动均由校内导师和企业导师共同指导完成，保证了实践实习内容的针对性，提高了实践教学质量。</w:t>
      </w:r>
    </w:p>
    <w:p>
      <w:pPr>
        <w:spacing w:line="420" w:lineRule="exact"/>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（3）公司设立专业奖学金，营造实践创新学术氛围。为了鼓励学生发奋学习、创新创业，学院还与企业合作设立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实践创新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奖学金。目前，有多家企业与学院签订了捐助奖学金计划，如山东荣丰食用菌科技有限公司、山东佐田氏生物科技有限公司、山东七河生物科技股份有限公司、济南巨微（泽元）生物科技有限公司、山东众人信农业科技有限公司等，年赞助奖金30余万元。企业</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实践创新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奖学金的设立不仅为学生提供了经济资助，还营造了学生竞争学习的良好氛围。</w:t>
      </w:r>
    </w:p>
    <w:bookmarkEnd w:id="502"/>
    <w:p>
      <w:pPr>
        <w:autoSpaceDE w:val="0"/>
        <w:autoSpaceDN w:val="0"/>
        <w:adjustRightInd w:val="0"/>
        <w:spacing w:line="420" w:lineRule="exact"/>
        <w:ind w:firstLine="480" w:firstLineChars="200"/>
        <w:rPr>
          <w:rFonts w:eastAsia="黑体"/>
          <w:kern w:val="0"/>
          <w:szCs w:val="24"/>
        </w:rPr>
      </w:pPr>
      <w:r>
        <w:rPr>
          <w:rFonts w:eastAsia="黑体"/>
          <w:kern w:val="0"/>
          <w:szCs w:val="24"/>
        </w:rPr>
        <w:t>4. 教学管理</w:t>
      </w:r>
    </w:p>
    <w:p>
      <w:pPr>
        <w:spacing w:line="420" w:lineRule="exact"/>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注重学生的知识、素质与能力的协调发展是专业建设和发展的核心任务。主要教学管理措施有：</w:t>
      </w:r>
    </w:p>
    <w:p>
      <w:pPr>
        <w:spacing w:line="420" w:lineRule="exact"/>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（1）构建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学院+系+教学团队</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的三层次教学管理体系，切实有效地提升和保障教育教学水平及质量；</w:t>
      </w:r>
    </w:p>
    <w:p>
      <w:pPr>
        <w:spacing w:line="420" w:lineRule="exact"/>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（2）科研训练</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创新课题+毕业论文制</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：制定本科生科技创新实践培养和毕业论文的质量标准及其运行管理制度，依托学院科研实验室与科研平台学术带头人与科研骨干教师亲自指导本科生的科研创新与毕业论文，确保人才培养的质量与水平；</w:t>
      </w:r>
    </w:p>
    <w:p>
      <w:pPr>
        <w:spacing w:line="420" w:lineRule="exact"/>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（3）企业技能实训教学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专题讲座＋顶岗实习制</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：依托此平台本科生直接渗入生物高新技术产业环节，取得创新创业真经。</w:t>
      </w:r>
    </w:p>
    <w:p>
      <w:pPr>
        <w:pStyle w:val="5"/>
        <w:spacing w:before="93" w:after="93"/>
        <w:ind w:firstLine="560"/>
      </w:pPr>
      <w:bookmarkStart w:id="503" w:name="_Toc438025716"/>
      <w:r>
        <w:t>五、培养质量</w:t>
      </w:r>
      <w:bookmarkEnd w:id="503"/>
    </w:p>
    <w:p>
      <w:pPr>
        <w:autoSpaceDE w:val="0"/>
        <w:autoSpaceDN w:val="0"/>
        <w:adjustRightInd w:val="0"/>
        <w:spacing w:line="420" w:lineRule="exact"/>
        <w:ind w:firstLine="480" w:firstLineChars="200"/>
        <w:rPr>
          <w:rFonts w:eastAsia="黑体"/>
          <w:color w:val="FF0000"/>
          <w:kern w:val="0"/>
          <w:szCs w:val="24"/>
        </w:rPr>
      </w:pPr>
      <w:bookmarkStart w:id="504" w:name="_Toc438025717"/>
      <w:r>
        <w:rPr>
          <w:rFonts w:eastAsia="黑体"/>
          <w:kern w:val="0"/>
          <w:szCs w:val="24"/>
        </w:rPr>
        <w:t>1. 毕业</w:t>
      </w:r>
      <w:r>
        <w:rPr>
          <w:rFonts w:eastAsia="黑体"/>
          <w:color w:val="000000" w:themeColor="text1"/>
          <w:kern w:val="0"/>
          <w:szCs w:val="24"/>
          <w14:textFill>
            <w14:solidFill>
              <w14:schemeClr w14:val="tx1"/>
            </w14:solidFill>
          </w14:textFill>
        </w:rPr>
        <w:t>生就业率</w:t>
      </w:r>
      <w:bookmarkEnd w:id="504"/>
    </w:p>
    <w:p>
      <w:pPr>
        <w:spacing w:line="420" w:lineRule="exact"/>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2022届生物科学专业本科毕业生共91人，截止2022年9月底已有70人实现就业，本科生就业率已达76.9%。</w:t>
      </w:r>
      <w:bookmarkStart w:id="505" w:name="_Toc438025718"/>
    </w:p>
    <w:bookmarkEnd w:id="505"/>
    <w:p>
      <w:pPr>
        <w:widowControl/>
        <w:adjustRightInd w:val="0"/>
        <w:snapToGrid w:val="0"/>
        <w:spacing w:line="240" w:lineRule="auto"/>
        <w:jc w:val="center"/>
        <w:rPr>
          <w:b/>
          <w:bCs/>
          <w:color w:val="000000"/>
          <w:kern w:val="0"/>
          <w:sz w:val="21"/>
          <w:szCs w:val="21"/>
        </w:rPr>
      </w:pPr>
      <w:r>
        <w:rPr>
          <w:b/>
          <w:bCs/>
          <w:color w:val="000000"/>
          <w:kern w:val="0"/>
          <w:sz w:val="21"/>
          <w:szCs w:val="21"/>
        </w:rPr>
        <w:t>表3  2021届生物科学专业本科生就业去向统计表（单位：人）</w:t>
      </w:r>
    </w:p>
    <w:tbl>
      <w:tblPr>
        <w:tblStyle w:val="17"/>
        <w:tblW w:w="8364" w:type="dxa"/>
        <w:jc w:val="center"/>
        <w:tblLayout w:type="fixed"/>
        <w:tblCellMar>
          <w:top w:w="0" w:type="dxa"/>
          <w:left w:w="0" w:type="dxa"/>
          <w:bottom w:w="0" w:type="dxa"/>
          <w:right w:w="0" w:type="dxa"/>
        </w:tblCellMar>
      </w:tblPr>
      <w:tblGrid>
        <w:gridCol w:w="1741"/>
        <w:gridCol w:w="1000"/>
        <w:gridCol w:w="1130"/>
        <w:gridCol w:w="1122"/>
        <w:gridCol w:w="1127"/>
        <w:gridCol w:w="1127"/>
        <w:gridCol w:w="1117"/>
      </w:tblGrid>
      <w:tr>
        <w:tblPrEx>
          <w:tblCellMar>
            <w:top w:w="0" w:type="dxa"/>
            <w:left w:w="0" w:type="dxa"/>
            <w:bottom w:w="0" w:type="dxa"/>
            <w:right w:w="0" w:type="dxa"/>
          </w:tblCellMar>
        </w:tblPrEx>
        <w:trPr>
          <w:trHeight w:val="567" w:hRule="atLeast"/>
          <w:jc w:val="center"/>
        </w:trPr>
        <w:tc>
          <w:tcPr>
            <w:tcW w:w="174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类别</w:t>
            </w:r>
          </w:p>
        </w:tc>
        <w:tc>
          <w:tcPr>
            <w:tcW w:w="1000"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考研升学</w:t>
            </w:r>
          </w:p>
        </w:tc>
        <w:tc>
          <w:tcPr>
            <w:tcW w:w="1130"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签订</w:t>
            </w:r>
          </w:p>
          <w:p>
            <w:pPr>
              <w:widowControl/>
              <w:adjustRightInd w:val="0"/>
              <w:snapToGrid w:val="0"/>
              <w:spacing w:line="240" w:lineRule="auto"/>
              <w:jc w:val="center"/>
              <w:rPr>
                <w:b/>
                <w:bCs/>
                <w:color w:val="000000"/>
                <w:kern w:val="0"/>
                <w:sz w:val="21"/>
                <w:szCs w:val="21"/>
              </w:rPr>
            </w:pPr>
            <w:r>
              <w:rPr>
                <w:b/>
                <w:bCs/>
                <w:color w:val="000000"/>
                <w:kern w:val="0"/>
                <w:sz w:val="21"/>
                <w:szCs w:val="21"/>
              </w:rPr>
              <w:t>就业协议</w:t>
            </w:r>
          </w:p>
        </w:tc>
        <w:tc>
          <w:tcPr>
            <w:tcW w:w="1122"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劳动合同</w:t>
            </w:r>
          </w:p>
        </w:tc>
        <w:tc>
          <w:tcPr>
            <w:tcW w:w="1127"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其他</w:t>
            </w:r>
          </w:p>
          <w:p>
            <w:pPr>
              <w:widowControl/>
              <w:adjustRightInd w:val="0"/>
              <w:snapToGrid w:val="0"/>
              <w:spacing w:line="240" w:lineRule="auto"/>
              <w:jc w:val="center"/>
              <w:rPr>
                <w:b/>
                <w:bCs/>
                <w:color w:val="000000"/>
                <w:kern w:val="0"/>
                <w:sz w:val="21"/>
                <w:szCs w:val="21"/>
              </w:rPr>
            </w:pPr>
            <w:r>
              <w:rPr>
                <w:b/>
                <w:bCs/>
                <w:color w:val="000000"/>
                <w:kern w:val="0"/>
                <w:sz w:val="21"/>
                <w:szCs w:val="21"/>
              </w:rPr>
              <w:t>录用形式</w:t>
            </w:r>
          </w:p>
        </w:tc>
        <w:tc>
          <w:tcPr>
            <w:tcW w:w="112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合计</w:t>
            </w:r>
          </w:p>
        </w:tc>
        <w:tc>
          <w:tcPr>
            <w:tcW w:w="1117"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比例（%）</w:t>
            </w:r>
          </w:p>
        </w:tc>
      </w:tr>
      <w:tr>
        <w:tblPrEx>
          <w:tblCellMar>
            <w:top w:w="0" w:type="dxa"/>
            <w:left w:w="0" w:type="dxa"/>
            <w:bottom w:w="0" w:type="dxa"/>
            <w:right w:w="0" w:type="dxa"/>
          </w:tblCellMar>
        </w:tblPrEx>
        <w:trPr>
          <w:trHeight w:val="454" w:hRule="exact"/>
          <w:jc w:val="center"/>
        </w:trPr>
        <w:tc>
          <w:tcPr>
            <w:tcW w:w="1741" w:type="dxa"/>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生物科学领域</w:t>
            </w:r>
          </w:p>
        </w:tc>
        <w:tc>
          <w:tcPr>
            <w:tcW w:w="1000" w:type="dxa"/>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49</w:t>
            </w:r>
          </w:p>
        </w:tc>
        <w:tc>
          <w:tcPr>
            <w:tcW w:w="1130" w:type="dxa"/>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12</w:t>
            </w:r>
          </w:p>
        </w:tc>
        <w:tc>
          <w:tcPr>
            <w:tcW w:w="1122" w:type="dxa"/>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0</w:t>
            </w:r>
          </w:p>
        </w:tc>
        <w:tc>
          <w:tcPr>
            <w:tcW w:w="1127" w:type="dxa"/>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7</w:t>
            </w:r>
          </w:p>
        </w:tc>
        <w:tc>
          <w:tcPr>
            <w:tcW w:w="112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68</w:t>
            </w:r>
          </w:p>
        </w:tc>
        <w:tc>
          <w:tcPr>
            <w:tcW w:w="1117" w:type="dxa"/>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74.7</w:t>
            </w:r>
          </w:p>
        </w:tc>
      </w:tr>
      <w:tr>
        <w:tblPrEx>
          <w:tblCellMar>
            <w:top w:w="0" w:type="dxa"/>
            <w:left w:w="0" w:type="dxa"/>
            <w:bottom w:w="0" w:type="dxa"/>
            <w:right w:w="0" w:type="dxa"/>
          </w:tblCellMar>
        </w:tblPrEx>
        <w:trPr>
          <w:trHeight w:val="454" w:hRule="exact"/>
          <w:jc w:val="center"/>
        </w:trPr>
        <w:tc>
          <w:tcPr>
            <w:tcW w:w="1741" w:type="dxa"/>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非生物科学领域</w:t>
            </w:r>
          </w:p>
        </w:tc>
        <w:tc>
          <w:tcPr>
            <w:tcW w:w="1000" w:type="dxa"/>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0</w:t>
            </w:r>
          </w:p>
        </w:tc>
        <w:tc>
          <w:tcPr>
            <w:tcW w:w="1130" w:type="dxa"/>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0</w:t>
            </w:r>
          </w:p>
        </w:tc>
        <w:tc>
          <w:tcPr>
            <w:tcW w:w="1122" w:type="dxa"/>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0</w:t>
            </w:r>
          </w:p>
        </w:tc>
        <w:tc>
          <w:tcPr>
            <w:tcW w:w="1127" w:type="dxa"/>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w:t>
            </w:r>
          </w:p>
        </w:tc>
        <w:tc>
          <w:tcPr>
            <w:tcW w:w="112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w:t>
            </w:r>
          </w:p>
        </w:tc>
        <w:tc>
          <w:tcPr>
            <w:tcW w:w="1117" w:type="dxa"/>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2.2</w:t>
            </w:r>
          </w:p>
        </w:tc>
      </w:tr>
      <w:tr>
        <w:tblPrEx>
          <w:tblCellMar>
            <w:top w:w="0" w:type="dxa"/>
            <w:left w:w="0" w:type="dxa"/>
            <w:bottom w:w="0" w:type="dxa"/>
            <w:right w:w="0" w:type="dxa"/>
          </w:tblCellMar>
        </w:tblPrEx>
        <w:trPr>
          <w:trHeight w:val="454" w:hRule="exact"/>
          <w:jc w:val="center"/>
        </w:trPr>
        <w:tc>
          <w:tcPr>
            <w:tcW w:w="174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合计</w:t>
            </w:r>
          </w:p>
        </w:tc>
        <w:tc>
          <w:tcPr>
            <w:tcW w:w="1000"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49</w:t>
            </w:r>
          </w:p>
        </w:tc>
        <w:tc>
          <w:tcPr>
            <w:tcW w:w="1130"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12</w:t>
            </w:r>
          </w:p>
        </w:tc>
        <w:tc>
          <w:tcPr>
            <w:tcW w:w="1122"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0</w:t>
            </w:r>
          </w:p>
        </w:tc>
        <w:tc>
          <w:tcPr>
            <w:tcW w:w="1127"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9</w:t>
            </w:r>
          </w:p>
        </w:tc>
        <w:tc>
          <w:tcPr>
            <w:tcW w:w="112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70</w:t>
            </w:r>
          </w:p>
        </w:tc>
        <w:tc>
          <w:tcPr>
            <w:tcW w:w="1117"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76.9</w:t>
            </w:r>
          </w:p>
        </w:tc>
      </w:tr>
      <w:tr>
        <w:tblPrEx>
          <w:tblCellMar>
            <w:top w:w="0" w:type="dxa"/>
            <w:left w:w="0" w:type="dxa"/>
            <w:bottom w:w="0" w:type="dxa"/>
            <w:right w:w="0" w:type="dxa"/>
          </w:tblCellMar>
        </w:tblPrEx>
        <w:trPr>
          <w:trHeight w:val="454" w:hRule="exact"/>
          <w:jc w:val="center"/>
        </w:trPr>
        <w:tc>
          <w:tcPr>
            <w:tcW w:w="174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比例（%）</w:t>
            </w:r>
          </w:p>
        </w:tc>
        <w:tc>
          <w:tcPr>
            <w:tcW w:w="1000"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53.8</w:t>
            </w:r>
          </w:p>
        </w:tc>
        <w:tc>
          <w:tcPr>
            <w:tcW w:w="1130"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13.2</w:t>
            </w:r>
          </w:p>
        </w:tc>
        <w:tc>
          <w:tcPr>
            <w:tcW w:w="1122"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0</w:t>
            </w:r>
          </w:p>
        </w:tc>
        <w:tc>
          <w:tcPr>
            <w:tcW w:w="1127"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9.9</w:t>
            </w:r>
          </w:p>
        </w:tc>
        <w:tc>
          <w:tcPr>
            <w:tcW w:w="112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76.9</w:t>
            </w:r>
          </w:p>
        </w:tc>
        <w:tc>
          <w:tcPr>
            <w:tcW w:w="1117"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76.9</w:t>
            </w:r>
          </w:p>
        </w:tc>
      </w:tr>
    </w:tbl>
    <w:p>
      <w:pPr>
        <w:autoSpaceDE w:val="0"/>
        <w:autoSpaceDN w:val="0"/>
        <w:adjustRightInd w:val="0"/>
        <w:ind w:firstLine="480" w:firstLineChars="200"/>
        <w:rPr>
          <w:rFonts w:eastAsia="黑体"/>
          <w:kern w:val="0"/>
          <w:szCs w:val="24"/>
        </w:rPr>
      </w:pPr>
      <w:r>
        <w:rPr>
          <w:rFonts w:eastAsia="黑体"/>
          <w:kern w:val="0"/>
          <w:szCs w:val="24"/>
        </w:rPr>
        <w:t>2. 就业专业对口率</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生物科学专业毕业生中（表3），有68人考取生物科学类相关专业研究生或就职于生物类相关企事业单位；有2人就职于其他性质单位。就业专业对口率97.1%。</w:t>
      </w:r>
    </w:p>
    <w:p>
      <w:pPr>
        <w:autoSpaceDE w:val="0"/>
        <w:autoSpaceDN w:val="0"/>
        <w:adjustRightInd w:val="0"/>
        <w:ind w:firstLine="480" w:firstLineChars="200"/>
        <w:rPr>
          <w:rFonts w:eastAsia="黑体"/>
          <w:kern w:val="0"/>
          <w:szCs w:val="24"/>
        </w:rPr>
      </w:pPr>
      <w:bookmarkStart w:id="506" w:name="_Toc438025719"/>
      <w:r>
        <w:rPr>
          <w:rFonts w:eastAsia="黑体"/>
          <w:kern w:val="0"/>
          <w:szCs w:val="24"/>
        </w:rPr>
        <w:t>3. 毕业生发展情况</w:t>
      </w:r>
      <w:bookmarkEnd w:id="506"/>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截至2022年9月底，生物科学专业毕业生中，有49人考取硕士研究生，占毕业生总人数53.8%；12人与企业签订就业协议，占毕业生总人数13.2%；9人与用人单位签订劳动合同或者是其他录用形式，占毕业生总人数9.9%；21人未签订就业协议，准备继续攻读硕士研究生或自主创业，占毕业生总数的23.1%。</w:t>
      </w:r>
    </w:p>
    <w:p>
      <w:pPr>
        <w:autoSpaceDE w:val="0"/>
        <w:autoSpaceDN w:val="0"/>
        <w:adjustRightInd w:val="0"/>
        <w:ind w:firstLine="480" w:firstLineChars="200"/>
        <w:rPr>
          <w:rFonts w:eastAsia="黑体"/>
          <w:kern w:val="0"/>
          <w:szCs w:val="24"/>
        </w:rPr>
      </w:pPr>
      <w:bookmarkStart w:id="507" w:name="_Toc438025720"/>
      <w:r>
        <w:rPr>
          <w:rFonts w:eastAsia="黑体"/>
          <w:kern w:val="0"/>
          <w:szCs w:val="24"/>
        </w:rPr>
        <w:t>4. 就业单位满意率</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对2022届毕业生（含考研）52 人跟踪调查，统计结果显：19.2%的人月收入在3000元以下（以在读研究生为主），17.3%的人月收入在3001-4000元，21.2%的人月收入在4001-5000元，28.8%的人月收入集中在5001-6000元，13.5%的人月收入在6000元以上。综合毕业生对就业单位的工作性质、工作强度、生活压力和工资薪酬等各方面，毕业生对就业现状满意度达86.5%。</w:t>
      </w:r>
    </w:p>
    <w:p>
      <w:pPr>
        <w:autoSpaceDE w:val="0"/>
        <w:autoSpaceDN w:val="0"/>
        <w:adjustRightInd w:val="0"/>
        <w:ind w:firstLine="480" w:firstLineChars="200"/>
        <w:rPr>
          <w:rFonts w:eastAsia="黑体"/>
          <w:kern w:val="0"/>
          <w:szCs w:val="24"/>
        </w:rPr>
      </w:pPr>
      <w:r>
        <w:rPr>
          <w:rFonts w:eastAsia="黑体"/>
          <w:kern w:val="0"/>
          <w:szCs w:val="24"/>
        </w:rPr>
        <w:t>5. 社会对专业的评价</w:t>
      </w:r>
      <w:bookmarkEnd w:id="507"/>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2022年，通过电子邮件或座谈会等形式对2018-2022届毕业学生向用人单位发放调查问卷进行跟踪评价调查，期中问卷共发出100份，收回有效调查问卷88份。评价结果显示，超过89%的评价认为本专业毕业生表现较强或很强的基础理论和专业知识、专业知识运用能力、分析理解能力、实践操作能力、解决问题能力、写作能力、表达能力、创造性思维能力、知识结构的广泛性、团队协作能力、社会适应能力和丰富的人文社会学知识。</w:t>
      </w:r>
    </w:p>
    <w:p>
      <w:pPr>
        <w:autoSpaceDE w:val="0"/>
        <w:autoSpaceDN w:val="0"/>
        <w:adjustRightInd w:val="0"/>
        <w:ind w:firstLine="480" w:firstLineChars="200"/>
        <w:rPr>
          <w:rFonts w:eastAsia="黑体"/>
          <w:kern w:val="0"/>
          <w:szCs w:val="24"/>
        </w:rPr>
      </w:pPr>
      <w:bookmarkStart w:id="508" w:name="_Toc438025721"/>
      <w:r>
        <w:rPr>
          <w:rFonts w:eastAsia="黑体"/>
          <w:kern w:val="0"/>
          <w:szCs w:val="24"/>
        </w:rPr>
        <w:t>6. 学生就读该专业的意愿</w:t>
      </w:r>
      <w:bookmarkEnd w:id="508"/>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2022年，生物大类专业面向省内和省外（安徽、江苏、浙江等18个省市）计划招生275人，实际录取275人，一次录取率达100%；实际报到268人，报到率97.5%（注：2022级，生物科学和生物技术2个专业按</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生物科学类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大类报到268人，其中有31人经选拔进入齐鲁学堂，余237人，每个专业平均约119人）。</w:t>
      </w:r>
    </w:p>
    <w:p>
      <w:pPr>
        <w:pStyle w:val="5"/>
        <w:spacing w:before="93" w:after="93"/>
        <w:ind w:firstLine="560"/>
      </w:pPr>
      <w:bookmarkStart w:id="509" w:name="_Toc438025724"/>
      <w:r>
        <w:t>六、毕业生就业创业</w:t>
      </w:r>
      <w:bookmarkEnd w:id="509"/>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生物科学专业的突出特点是基础性强，学生的知识面宽、理论基础扎实、适应性广、科技含量要求高。本专业考研升学毕业生中，每年80%的学生被录取到985、211高校或中科院等科研机构进行学习，其中大约50%以上的学生硕博连读。升学学生所学专业涵盖植物学、动物学、生物工程、海洋生物学、医学生物学、食品科学、作物学等与本专业相关的领域。本专业就业创业学生60%以上到生物科学类或医药、食品、农、林、牧、渔、环保、园林等行业的企业、事业和行政管理部门从事与生物科学有关的应用研究、技术开发、生产管理和行政管理等工作。</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学院高度重视毕业生的就业创业工作，设立了学生就业指导与服务中心，由专职人员负责就业市场开拓、就业指导与咨询，采取各种措施推进学生就业创业。</w:t>
      </w:r>
    </w:p>
    <w:p>
      <w:pPr>
        <w:pStyle w:val="6"/>
        <w:ind w:firstLine="480"/>
        <w:rPr>
          <w:szCs w:val="24"/>
        </w:rPr>
      </w:pPr>
      <w:r>
        <w:rPr>
          <w:szCs w:val="24"/>
        </w:rPr>
        <w:t>1. 加强校企合作，实现学院与企业之间的深度合作</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在2022届毕业生就业工作中，学院进一步加强校企合作力度，建立了一批与生物产业紧密相关的大学生就业创业实践基地。同时主动加强了与生物类、食品类、制药类等省内外企业的联系，参加校园就业招聘会的单位累计达百余家，为学生提供800多个用工岗位和招聘信息，实现供求比例大于20:1，极大地满足了生物类人才的求职需求。</w:t>
      </w:r>
    </w:p>
    <w:p>
      <w:pPr>
        <w:pStyle w:val="6"/>
        <w:ind w:firstLine="480"/>
        <w:rPr>
          <w:szCs w:val="24"/>
        </w:rPr>
      </w:pPr>
      <w:r>
        <w:rPr>
          <w:szCs w:val="24"/>
        </w:rPr>
        <w:t>2. 开展系列创新创业论坛，依据学生选择，分类管理，实施个性化指导</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将大学本科教育结合相应的职业技能训练，增加一些实用性的课程。对生物科学专业而言，对准备继续深造的学生增设发育生物学、分子生物学和信息生物学等课程，对于准备就业的学生设置相关行业的课程。进入大四阶段，学院即安排就业辅导员对毕业生进行初步就业摸排，对考研、就业等意向进行逐一摸排，并形成班级分析报告。在摸排基础上，学院按照</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明确目标、突出重点、分步实施、分类指导</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的原则，有针对性地开展内容丰富、形式多样且实效性强的系列创新创业论坛。2022年度，学院先后邀请山东众人信农业科技有限公司、济南磐升生物技术有限公司、济南普朗特生物科技有限公司等企业的相关负责人为毕业生开展以客观认识就业形势、进一步转变就业观念为目的的指导讲座，重点抓好择业观、就业诚信教育和择业技巧培训。 </w:t>
      </w:r>
    </w:p>
    <w:p>
      <w:pPr>
        <w:pStyle w:val="6"/>
        <w:ind w:firstLine="480"/>
        <w:rPr>
          <w:szCs w:val="24"/>
        </w:rPr>
      </w:pPr>
      <w:r>
        <w:rPr>
          <w:szCs w:val="24"/>
        </w:rPr>
        <w:t>3. 发挥专业教师作用，全员参与就业</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充分动员专业教师，根据自己在教学科研中与企业的联系，积极为毕业生提供专业实践和实习岗位，通过实践促进就业。并邀请企业参加学校的专场招聘，为毕业生提供就业岗位。此外，专业教师通过长期跟企业联系，熟悉企业对毕业生的需求和对毕业生综合素质的要求，把这些信息传递给毕业生，指导毕业生就业工作，积极传授毕业生如何主动就业之道。学院上下形成了领导、辅导员、专业教师三位一体的就业指导工作联动体系，充分发挥专业教师的就业指导作用。教师不仅讲授专业知识，而且传授职业发展素质修养，介绍本学科领域最新发展趋势及职业优势，引导毕业生合理定位自身职业，通过言传身教方式引导毕业生求职就业。</w:t>
      </w:r>
    </w:p>
    <w:p>
      <w:pPr>
        <w:pStyle w:val="5"/>
        <w:spacing w:before="93" w:after="93"/>
        <w:ind w:firstLine="560"/>
      </w:pPr>
      <w:bookmarkStart w:id="510" w:name="_Toc438025728"/>
      <w:r>
        <w:t>七、</w:t>
      </w:r>
      <w:bookmarkEnd w:id="510"/>
      <w:r>
        <w:t>专业人才社会需求分析及专业发展趋势分析</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生物科学是目前国际上发展最迅速、最热门的学科之一，美国科研队伍中有50%都在研究生物科学，不管是国际还是国内，国家对于生物科学的投入非常多，因此生物科学的发展前景十分乐观。生物科学的重要性不言而喻。从基础科学方面，它可以帮助人类加深对自然的认识，促进对自然规律和生命活动规律的探索；从人类生活方面，生物科学与之最息息相关的领域有两个方面，即医学和农业。医学可以帮助人类根据人体生命活动规律，研究发病机理，从分子层面定向设计药物，帮助人类克服癌症、心脏病、糖尿病等顽疾，农业可以实现定向育种，实现农作物及动物的高产、优质、抗逆、抗病。同时，生物科学的研究成果还可以转化到非生物科学上去，例如DNA芯片等，进一步造福人类。</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生物科学已成为21世纪自然科学的前沿学科。这20多年来世界科学的格局已经发生了重大变化，生命科学已经异军突起，发展迅猛。近几年内，一方面在微观层次上对生物大分子的结构和功能，特别是基因组学的研究取得重大突破后，正深入到后基因组学时代。通过功能基因组学和比较基因组学的研究，对基因、细胞、发育和功能的探索正在形成一条主线，随之而来的蛋白质组学和生物信息学方面的研究也将在生命科学中成为重要角色。另一方面，在宏观层次上对生命的起源与进化、生物系统学、生态学以及生物复杂性等研究也在取得重要进展。通过微观与宏观、分析与综合、单个基因结构与整体功能、个体与群体等多方面的结合，生物科学的发展正面临一个新的高峰，进一步推动具有自主知识产权的生物技术产业化，促进生物产业集群化和国际化。目前，我国已实现生物科学的跨越发展，研究水平跃居世界先进行列，成为生物科学强国和生物产业大国。</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21世纪是生物世纪，生物学专业就业前景广阔。现今，人口、环境、食物、资源与健康等日益严重的社会问题的解决，也都要依赖生物科学的技术。可以说，生物学专业已经渗透到人类生产和生活的各个领域，生物学专业人才的就业前景广阔。所以高等学校、科研院所、行政管理部门、酒水饮料食品和生物制药等生物制品类公司、企业、医药卫生、海关、商品检疫、环保生态、生物工程等单位都会需要本专业的人才来从事教学、科研和与应用研究、技术开发、生产管理和行政管理等工作。</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但对于生物科学专业来说地区性差异是必然存在的一个问题，大城市对本专业及个人以后的发展都能提供更多的机会，于是在生物科学专业就业</w:t>
      </w:r>
      <w:r>
        <w:fldChar w:fldCharType="begin"/>
      </w:r>
      <w:r>
        <w:instrText xml:space="preserve"> HYPERLINK "http://www.dxsbb.com/news/list_37.html" \t "_blank" </w:instrText>
      </w:r>
      <w:r>
        <w:fldChar w:fldCharType="separate"/>
      </w:r>
      <w:r>
        <w:rPr>
          <w:color w:val="000000" w:themeColor="text1"/>
          <w14:textFill>
            <w14:solidFill>
              <w14:schemeClr w14:val="tx1"/>
            </w14:solidFill>
          </w14:textFill>
        </w:rPr>
        <w:t>求职</w:t>
      </w:r>
      <w:r>
        <w:rPr>
          <w:color w:val="000000" w:themeColor="text1"/>
          <w14:textFill>
            <w14:solidFill>
              <w14:schemeClr w14:val="tx1"/>
            </w14:solidFill>
          </w14:textFill>
        </w:rPr>
        <w:fldChar w:fldCharType="end"/>
      </w:r>
      <w:r>
        <w:rPr>
          <w:color w:val="000000" w:themeColor="text1"/>
          <w14:textFill>
            <w14:solidFill>
              <w14:schemeClr w14:val="tx1"/>
            </w14:solidFill>
          </w14:textFill>
        </w:rPr>
        <w:t>的学生中，有80%以上的人选择在</w:t>
      </w:r>
      <w:r>
        <w:fldChar w:fldCharType="begin"/>
      </w:r>
      <w:r>
        <w:instrText xml:space="preserve"> HYPERLINK "http://www.dxsbb.com/news/list_98.html" \t "_blank" </w:instrText>
      </w:r>
      <w:r>
        <w:fldChar w:fldCharType="separate"/>
      </w:r>
      <w:r>
        <w:rPr>
          <w:color w:val="000000" w:themeColor="text1"/>
          <w14:textFill>
            <w14:solidFill>
              <w14:schemeClr w14:val="tx1"/>
            </w14:solidFill>
          </w14:textFill>
        </w:rPr>
        <w:t>北京</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r>
        <w:fldChar w:fldCharType="begin"/>
      </w:r>
      <w:r>
        <w:instrText xml:space="preserve"> HYPERLINK "http://www.dxsbb.com/news/list_116.html" \t "_blank" </w:instrText>
      </w:r>
      <w:r>
        <w:fldChar w:fldCharType="separate"/>
      </w:r>
      <w:r>
        <w:rPr>
          <w:color w:val="000000" w:themeColor="text1"/>
          <w14:textFill>
            <w14:solidFill>
              <w14:schemeClr w14:val="tx1"/>
            </w14:solidFill>
          </w14:textFill>
        </w:rPr>
        <w:t>上海</w:t>
      </w:r>
      <w:r>
        <w:rPr>
          <w:color w:val="000000" w:themeColor="text1"/>
          <w14:textFill>
            <w14:solidFill>
              <w14:schemeClr w14:val="tx1"/>
            </w14:solidFill>
          </w14:textFill>
        </w:rPr>
        <w:fldChar w:fldCharType="end"/>
      </w:r>
      <w:r>
        <w:rPr>
          <w:color w:val="000000" w:themeColor="text1"/>
          <w14:textFill>
            <w14:solidFill>
              <w14:schemeClr w14:val="tx1"/>
            </w14:solidFill>
          </w14:textFill>
        </w:rPr>
        <w:t>及重要的省会城市或沿海城市工作。加之新兴产业尤其是这种对专业技能、科技含量要求较高的专业在大量的毕业生到来的时候，对于求职者的要求也提高了，本科毕业在文凭方面已经不是优势，这些单位给本科毕业生的待遇也不是太高。如今能够为生物科学专业毕业生提供较为理想待遇的就业单位对于学历要求的确是较高的。</w:t>
      </w:r>
    </w:p>
    <w:p>
      <w:pPr>
        <w:pStyle w:val="5"/>
        <w:spacing w:before="93" w:after="93"/>
        <w:ind w:firstLine="560"/>
      </w:pPr>
      <w:r>
        <w:t>八、存在的问题及拟采取的对策措施</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在准确把握社会对人才需求的基础上，专业以高素质创新型、应用型人才培养为目标，以学科建设为基础，以师资队伍建设为关键，以体制机制建设为保障，强力推进专业建设工作，大力提升人才培养质量，在人才培养、科学研究、社会服务、文化传承和管理水平等方面取得了明显的成效，但是，与当今社会发展需求对相比，与国内外同学科的发展趋势相比，还有一些地方需要不断完善。</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国内外优质教学资源的引进力度有待进一步加大。尽管目前本专业开发构建了32门数字课程，有7门国家级、9门省级、9门校级一流课程、精品资源共享课或精品课程，但是教学资源的建设还很不平衡，部分课程的资源库内容还不够丰富。为此，下一步将进一步加强资源建设，及时将相关领域最新研究进展充实到教学资源库中，同时，积极引进国内外优质教学资源，尤其是加大国家级优质课程资源的引进和使用力度，全面提高教学资源质量。</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双语教学课程建设进一步规范化。目前本专业将已开设的几门双语课程按照学校的统一要求进行重新认证，《生物化学》《细胞生物学》和《分子生物学》等学科基础课和专业核心课程率先通过认证，其他多门课程尚在认定之中。总之，双语教学课程数量和比例还相对较少，外文版教材的使用还不普遍，对加快精英型科技人才培养的支持力度还不够充分。今后将加大外文原版教材或影印版教材引进和使用力度，同时引进国外相关课程网站或视频公开课作为辅助教学资源，提高教学质量和水平。制定相应政策鼓励留学回国教师进一步开设双语教学课程。</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基于互联网的信息化辅助教学手段运行机制有待进一步完善。基于互联网辅助教学是适应新生代大学生学习特点的必然趋势，尽管现在也开发了一系列数字资源共享课，《植物生理学》等课程也采用了MOOCs教学，但是信息化教学的整体水平还有待提高，基于互联网的在线学习、实时交流和师生共建等运行机制还有待于进一步完善。接下来将扩大网络辅助教学试点范围，及时总结实施经验，构建信息化辅助教学分类运行指导方案，使数字化教学资源得到有效利用，提高教学效率。</w:t>
      </w:r>
    </w:p>
    <w:p>
      <w:pPr>
        <w:ind w:firstLine="480" w:firstLineChars="200"/>
      </w:pPr>
      <w:r>
        <w:br w:type="page"/>
      </w:r>
    </w:p>
    <w:p>
      <w:pPr>
        <w:pStyle w:val="4"/>
        <w:ind w:firstLine="600"/>
      </w:pPr>
      <w:bookmarkStart w:id="511" w:name="_Toc3610"/>
      <w:bookmarkStart w:id="512" w:name="_Toc24383"/>
      <w:r>
        <w:t>专业</w:t>
      </w:r>
      <w:r>
        <w:rPr>
          <w:rFonts w:hint="eastAsia"/>
          <w:lang w:val="en-US"/>
        </w:rPr>
        <w:t>四十八</w:t>
      </w:r>
      <w:r>
        <w:t>：生物技术</w:t>
      </w:r>
      <w:bookmarkEnd w:id="511"/>
      <w:bookmarkEnd w:id="512"/>
    </w:p>
    <w:p>
      <w:pPr>
        <w:pStyle w:val="5"/>
        <w:spacing w:before="93" w:after="93"/>
        <w:ind w:firstLine="560"/>
      </w:pPr>
      <w:r>
        <w:t>一、培养目标与规格</w:t>
      </w:r>
    </w:p>
    <w:p>
      <w:pPr>
        <w:ind w:firstLine="398" w:firstLineChars="166"/>
        <w:contextualSpacing/>
        <w:rPr>
          <w:rFonts w:eastAsia="黑体"/>
          <w:color w:val="000000"/>
          <w:kern w:val="0"/>
        </w:rPr>
      </w:pPr>
      <w:r>
        <w:rPr>
          <w:rFonts w:eastAsia="黑体"/>
          <w:color w:val="000000"/>
          <w:kern w:val="0"/>
        </w:rPr>
        <w:t>（一）培养目标</w:t>
      </w:r>
    </w:p>
    <w:p>
      <w:pPr>
        <w:ind w:firstLine="544" w:firstLineChars="227"/>
        <w:contextualSpacing/>
        <w:rPr>
          <w:color w:val="000000"/>
          <w:kern w:val="0"/>
        </w:rPr>
      </w:pPr>
      <w:r>
        <w:rPr>
          <w:color w:val="000000"/>
          <w:kern w:val="0"/>
        </w:rPr>
        <w:t>本专业培养德智体美全面发展，具有健全人格；具有成为高素质人才所具备的人文社科基础知识和人文修养；具有扎实的自然科学基础、较强的计算机应用能力和外语综合应用能力；具有国际化视野，掌握生物科学与技术的基础理论、基本知识和基本技能，受到较扎实的专业理论和专业技能训练；能运用所掌握的理论知识和技能，从事生物技术及其相关领域的科学研究、技术开发、教学及管理等方面的工作，或者有进一步深造基础和发展潜能的创新型、专业型人才，为我国现代生物产业和现代农业的发展提供人才支撑。</w:t>
      </w:r>
    </w:p>
    <w:p>
      <w:pPr>
        <w:ind w:firstLine="544" w:firstLineChars="227"/>
        <w:contextualSpacing/>
        <w:rPr>
          <w:color w:val="000000"/>
          <w:kern w:val="0"/>
        </w:rPr>
      </w:pPr>
      <w:r>
        <w:rPr>
          <w:color w:val="000000"/>
          <w:kern w:val="0"/>
        </w:rPr>
        <w:t xml:space="preserve">本专业毕业生经过5年左右的职业历练，将达成以下培养目标： </w:t>
      </w:r>
    </w:p>
    <w:p>
      <w:pPr>
        <w:ind w:firstLine="544" w:firstLineChars="227"/>
        <w:contextualSpacing/>
        <w:rPr>
          <w:color w:val="000000"/>
          <w:kern w:val="0"/>
        </w:rPr>
      </w:pPr>
      <w:r>
        <w:rPr>
          <w:color w:val="000000"/>
          <w:kern w:val="0"/>
        </w:rPr>
        <w:t>培养目标1：</w:t>
      </w:r>
    </w:p>
    <w:p>
      <w:pPr>
        <w:ind w:firstLine="544" w:firstLineChars="227"/>
        <w:contextualSpacing/>
        <w:rPr>
          <w:color w:val="000000"/>
          <w:kern w:val="0"/>
        </w:rPr>
      </w:pPr>
      <w:r>
        <w:rPr>
          <w:color w:val="000000"/>
          <w:kern w:val="0"/>
        </w:rPr>
        <w:t>具备较高的思想道德素质和良好的身心素质；</w:t>
      </w:r>
    </w:p>
    <w:p>
      <w:pPr>
        <w:ind w:firstLine="544" w:firstLineChars="227"/>
        <w:contextualSpacing/>
        <w:rPr>
          <w:color w:val="000000"/>
          <w:kern w:val="0"/>
        </w:rPr>
      </w:pPr>
      <w:r>
        <w:rPr>
          <w:color w:val="000000"/>
          <w:kern w:val="0"/>
        </w:rPr>
        <w:t>培养目标2：</w:t>
      </w:r>
    </w:p>
    <w:p>
      <w:pPr>
        <w:ind w:firstLine="544" w:firstLineChars="227"/>
        <w:contextualSpacing/>
        <w:rPr>
          <w:color w:val="000000"/>
          <w:kern w:val="0"/>
        </w:rPr>
      </w:pPr>
      <w:r>
        <w:rPr>
          <w:color w:val="000000"/>
          <w:kern w:val="0"/>
        </w:rPr>
        <w:t>具备人文社科基础知识和人文修养；</w:t>
      </w:r>
    </w:p>
    <w:p>
      <w:pPr>
        <w:ind w:firstLine="544" w:firstLineChars="227"/>
        <w:contextualSpacing/>
        <w:rPr>
          <w:color w:val="000000"/>
          <w:kern w:val="0"/>
        </w:rPr>
      </w:pPr>
      <w:r>
        <w:rPr>
          <w:color w:val="000000"/>
          <w:kern w:val="0"/>
        </w:rPr>
        <w:t>培养目标3：</w:t>
      </w:r>
    </w:p>
    <w:p>
      <w:pPr>
        <w:ind w:firstLine="544" w:firstLineChars="227"/>
        <w:contextualSpacing/>
        <w:rPr>
          <w:color w:val="000000"/>
          <w:kern w:val="0"/>
        </w:rPr>
      </w:pPr>
      <w:r>
        <w:rPr>
          <w:color w:val="000000"/>
          <w:kern w:val="0"/>
        </w:rPr>
        <w:t>具备自然科学基础、外语和计算机综合应用能力；</w:t>
      </w:r>
    </w:p>
    <w:p>
      <w:pPr>
        <w:ind w:firstLine="544" w:firstLineChars="227"/>
        <w:contextualSpacing/>
        <w:rPr>
          <w:color w:val="000000"/>
          <w:kern w:val="0"/>
        </w:rPr>
      </w:pPr>
      <w:r>
        <w:rPr>
          <w:color w:val="000000"/>
          <w:kern w:val="0"/>
        </w:rPr>
        <w:t>培养目标4：</w:t>
      </w:r>
    </w:p>
    <w:p>
      <w:pPr>
        <w:ind w:firstLine="544" w:firstLineChars="227"/>
        <w:contextualSpacing/>
        <w:rPr>
          <w:color w:val="000000"/>
          <w:kern w:val="0"/>
        </w:rPr>
      </w:pPr>
      <w:r>
        <w:rPr>
          <w:color w:val="000000"/>
          <w:kern w:val="0"/>
        </w:rPr>
        <w:t>熟悉国内外生物科学发展现状、趋势，掌握生物科学基础知识，受到扎实的专业训练；</w:t>
      </w:r>
    </w:p>
    <w:p>
      <w:pPr>
        <w:ind w:firstLine="544" w:firstLineChars="227"/>
        <w:contextualSpacing/>
        <w:rPr>
          <w:color w:val="000000"/>
          <w:kern w:val="0"/>
        </w:rPr>
      </w:pPr>
      <w:r>
        <w:rPr>
          <w:color w:val="000000"/>
          <w:kern w:val="0"/>
        </w:rPr>
        <w:t>培养目标5：</w:t>
      </w:r>
    </w:p>
    <w:p>
      <w:pPr>
        <w:ind w:firstLine="544" w:firstLineChars="227"/>
        <w:contextualSpacing/>
        <w:rPr>
          <w:color w:val="000000"/>
          <w:kern w:val="0"/>
        </w:rPr>
      </w:pPr>
      <w:r>
        <w:rPr>
          <w:color w:val="000000"/>
          <w:kern w:val="0"/>
        </w:rPr>
        <w:t>能在高等学校、科研院所、医药卫生、海关、商品检疫、环保生态、食品、生物制药、生物工程等企事业单位，从事教学、科研和与应用研究、技术开发、生产管理和行政管理等工作。</w:t>
      </w:r>
    </w:p>
    <w:p>
      <w:pPr>
        <w:ind w:firstLine="480" w:firstLineChars="200"/>
        <w:contextualSpacing/>
        <w:rPr>
          <w:rFonts w:eastAsia="黑体"/>
          <w:color w:val="000000"/>
          <w:kern w:val="0"/>
        </w:rPr>
      </w:pPr>
      <w:r>
        <w:rPr>
          <w:rFonts w:eastAsia="黑体"/>
          <w:color w:val="000000"/>
          <w:kern w:val="0"/>
        </w:rPr>
        <w:t>（二）培养规格</w:t>
      </w:r>
    </w:p>
    <w:p>
      <w:pPr>
        <w:ind w:firstLine="544" w:firstLineChars="227"/>
        <w:contextualSpacing/>
        <w:rPr>
          <w:color w:val="000000"/>
          <w:kern w:val="0"/>
        </w:rPr>
      </w:pPr>
      <w:r>
        <w:rPr>
          <w:color w:val="000000"/>
          <w:kern w:val="0"/>
        </w:rPr>
        <w:t>本专业培养创新型、专业型人才，培养规格一般应具备以下要求：</w:t>
      </w:r>
    </w:p>
    <w:p>
      <w:pPr>
        <w:ind w:firstLine="544" w:firstLineChars="227"/>
        <w:contextualSpacing/>
        <w:rPr>
          <w:color w:val="000000"/>
          <w:kern w:val="0"/>
        </w:rPr>
      </w:pPr>
      <w:r>
        <w:rPr>
          <w:color w:val="000000"/>
          <w:kern w:val="0"/>
        </w:rPr>
        <w:t>1、素质结构要求</w:t>
      </w:r>
    </w:p>
    <w:p>
      <w:pPr>
        <w:tabs>
          <w:tab w:val="left" w:pos="993"/>
          <w:tab w:val="left" w:pos="1418"/>
        </w:tabs>
        <w:autoSpaceDE w:val="0"/>
        <w:autoSpaceDN w:val="0"/>
        <w:adjustRightInd w:val="0"/>
        <w:ind w:firstLine="480" w:firstLineChars="200"/>
        <w:jc w:val="left"/>
        <w:rPr>
          <w:color w:val="000000"/>
          <w:kern w:val="0"/>
        </w:rPr>
      </w:pPr>
      <w:r>
        <w:rPr>
          <w:color w:val="000000"/>
          <w:kern w:val="0"/>
        </w:rPr>
        <w:t>（1）具备较高的思想道德素质：包括正确的政治方向、世界观、人生观和价值观；爱国守法、诚信友善，有较强的团队意识和健全的人格。</w:t>
      </w:r>
    </w:p>
    <w:p>
      <w:pPr>
        <w:tabs>
          <w:tab w:val="left" w:pos="993"/>
          <w:tab w:val="left" w:pos="1418"/>
        </w:tabs>
        <w:autoSpaceDE w:val="0"/>
        <w:autoSpaceDN w:val="0"/>
        <w:adjustRightInd w:val="0"/>
        <w:ind w:firstLine="480" w:firstLineChars="200"/>
        <w:jc w:val="left"/>
        <w:rPr>
          <w:color w:val="000000"/>
          <w:kern w:val="0"/>
        </w:rPr>
      </w:pPr>
      <w:r>
        <w:rPr>
          <w:color w:val="000000"/>
          <w:kern w:val="0"/>
        </w:rPr>
        <w:t>（2）具备良好的身心素质：具有健康的体魄、良好的心理素质和积极的人生态度。</w:t>
      </w:r>
    </w:p>
    <w:p>
      <w:pPr>
        <w:tabs>
          <w:tab w:val="left" w:pos="993"/>
          <w:tab w:val="left" w:pos="1418"/>
        </w:tabs>
        <w:autoSpaceDE w:val="0"/>
        <w:autoSpaceDN w:val="0"/>
        <w:adjustRightInd w:val="0"/>
        <w:ind w:firstLine="480" w:firstLineChars="200"/>
        <w:jc w:val="left"/>
        <w:rPr>
          <w:color w:val="000000"/>
          <w:kern w:val="0"/>
        </w:rPr>
      </w:pPr>
      <w:r>
        <w:rPr>
          <w:color w:val="000000"/>
          <w:kern w:val="0"/>
        </w:rPr>
        <w:t>（3）具备较高的文化素质：坚定社会主义文化自信；掌握一定的人文社科基础知识，具有较好的人文修养；具有国际化视野、现代意识和健康的人际交往意识。</w:t>
      </w:r>
    </w:p>
    <w:p>
      <w:pPr>
        <w:tabs>
          <w:tab w:val="left" w:pos="993"/>
          <w:tab w:val="left" w:pos="1418"/>
        </w:tabs>
        <w:autoSpaceDE w:val="0"/>
        <w:autoSpaceDN w:val="0"/>
        <w:adjustRightInd w:val="0"/>
        <w:ind w:firstLine="480" w:firstLineChars="200"/>
        <w:jc w:val="left"/>
        <w:rPr>
          <w:color w:val="000000"/>
          <w:kern w:val="0"/>
        </w:rPr>
      </w:pPr>
      <w:r>
        <w:rPr>
          <w:color w:val="000000"/>
          <w:kern w:val="0"/>
        </w:rPr>
        <w:t>（4）具备良好的专业素质：受到严格的科学思维训练，掌握比较扎实的生物科学基础理论和研究方法，有较好的综合分析素养和求实创新的意识。</w:t>
      </w:r>
    </w:p>
    <w:p>
      <w:pPr>
        <w:ind w:firstLine="544" w:firstLineChars="227"/>
        <w:contextualSpacing/>
        <w:rPr>
          <w:color w:val="000000"/>
          <w:kern w:val="0"/>
        </w:rPr>
      </w:pPr>
      <w:r>
        <w:rPr>
          <w:color w:val="000000"/>
          <w:kern w:val="0"/>
        </w:rPr>
        <w:t>2、知识结构要求</w:t>
      </w:r>
    </w:p>
    <w:p>
      <w:pPr>
        <w:tabs>
          <w:tab w:val="left" w:pos="993"/>
          <w:tab w:val="left" w:pos="1418"/>
        </w:tabs>
        <w:autoSpaceDE w:val="0"/>
        <w:autoSpaceDN w:val="0"/>
        <w:adjustRightInd w:val="0"/>
        <w:ind w:firstLine="480" w:firstLineChars="200"/>
        <w:jc w:val="left"/>
        <w:rPr>
          <w:color w:val="000000"/>
          <w:kern w:val="0"/>
        </w:rPr>
      </w:pPr>
      <w:r>
        <w:rPr>
          <w:color w:val="000000"/>
          <w:kern w:val="0"/>
        </w:rPr>
        <w:t>（5）工具性知识：具有较好的第二外国语（英语、日语等）的语言知识及计算机、信息技术应用等方面的知识。</w:t>
      </w:r>
    </w:p>
    <w:p>
      <w:pPr>
        <w:tabs>
          <w:tab w:val="left" w:pos="993"/>
          <w:tab w:val="left" w:pos="1418"/>
        </w:tabs>
        <w:autoSpaceDE w:val="0"/>
        <w:autoSpaceDN w:val="0"/>
        <w:adjustRightInd w:val="0"/>
        <w:ind w:firstLine="480" w:firstLineChars="200"/>
        <w:jc w:val="left"/>
        <w:rPr>
          <w:color w:val="000000"/>
          <w:kern w:val="0"/>
        </w:rPr>
      </w:pPr>
      <w:r>
        <w:rPr>
          <w:color w:val="000000"/>
          <w:kern w:val="0"/>
        </w:rPr>
        <w:t>（6）人文社科知识：具有通识性文学、历史、哲学、生物伦理学、思想道德、政治学、艺术、法学、心理学等方面的知识。</w:t>
      </w:r>
    </w:p>
    <w:p>
      <w:pPr>
        <w:tabs>
          <w:tab w:val="left" w:pos="993"/>
          <w:tab w:val="left" w:pos="1418"/>
        </w:tabs>
        <w:autoSpaceDE w:val="0"/>
        <w:autoSpaceDN w:val="0"/>
        <w:adjustRightInd w:val="0"/>
        <w:ind w:firstLine="480" w:firstLineChars="200"/>
        <w:jc w:val="left"/>
        <w:rPr>
          <w:color w:val="000000"/>
          <w:kern w:val="0"/>
        </w:rPr>
      </w:pPr>
      <w:r>
        <w:rPr>
          <w:color w:val="000000"/>
          <w:kern w:val="0"/>
        </w:rPr>
        <w:t>（7）经济与管理知识：有初步的经济学、管理学等方面的知识。</w:t>
      </w:r>
    </w:p>
    <w:p>
      <w:pPr>
        <w:tabs>
          <w:tab w:val="left" w:pos="993"/>
          <w:tab w:val="left" w:pos="1418"/>
        </w:tabs>
        <w:autoSpaceDE w:val="0"/>
        <w:autoSpaceDN w:val="0"/>
        <w:adjustRightInd w:val="0"/>
        <w:ind w:firstLine="480" w:firstLineChars="200"/>
        <w:jc w:val="left"/>
        <w:rPr>
          <w:color w:val="000000"/>
          <w:kern w:val="0"/>
        </w:rPr>
      </w:pPr>
      <w:r>
        <w:rPr>
          <w:color w:val="000000"/>
          <w:kern w:val="0"/>
        </w:rPr>
        <w:t>（8）自然科学与工程技术知识：具有较强的数学、物理学、化学等方面的自然科学知识和一定的电子电工学等方面的基础知识。</w:t>
      </w:r>
    </w:p>
    <w:p>
      <w:pPr>
        <w:tabs>
          <w:tab w:val="left" w:pos="993"/>
          <w:tab w:val="left" w:pos="1418"/>
        </w:tabs>
        <w:autoSpaceDE w:val="0"/>
        <w:autoSpaceDN w:val="0"/>
        <w:adjustRightInd w:val="0"/>
        <w:ind w:firstLine="480" w:firstLineChars="200"/>
        <w:jc w:val="left"/>
        <w:rPr>
          <w:color w:val="000000"/>
          <w:kern w:val="0"/>
        </w:rPr>
      </w:pPr>
      <w:r>
        <w:rPr>
          <w:color w:val="000000"/>
          <w:kern w:val="0"/>
        </w:rPr>
        <w:t>（9）专业知识：掌握生物科学与生物技术的基础理论、基本知识和基本技能，受到较扎实的专业理论和专业技术训练；了解生命科学的理论前沿和生物技术产业发展动态，熟悉生物技术及其产业的相关方针、政策和法规。</w:t>
      </w:r>
    </w:p>
    <w:p>
      <w:pPr>
        <w:ind w:firstLine="544" w:firstLineChars="227"/>
        <w:contextualSpacing/>
        <w:rPr>
          <w:color w:val="000000"/>
          <w:kern w:val="0"/>
        </w:rPr>
      </w:pPr>
      <w:r>
        <w:rPr>
          <w:color w:val="000000"/>
          <w:kern w:val="0"/>
        </w:rPr>
        <w:t>3、能力结构要求</w:t>
      </w:r>
    </w:p>
    <w:p>
      <w:pPr>
        <w:tabs>
          <w:tab w:val="left" w:pos="993"/>
          <w:tab w:val="left" w:pos="1418"/>
        </w:tabs>
        <w:autoSpaceDE w:val="0"/>
        <w:autoSpaceDN w:val="0"/>
        <w:adjustRightInd w:val="0"/>
        <w:ind w:firstLine="480" w:firstLineChars="200"/>
        <w:jc w:val="left"/>
        <w:rPr>
          <w:color w:val="000000"/>
          <w:kern w:val="0"/>
        </w:rPr>
      </w:pPr>
      <w:r>
        <w:rPr>
          <w:color w:val="000000"/>
          <w:kern w:val="0"/>
        </w:rPr>
        <w:t>（10）获取知识的能力：能较熟练地运用外语阅读专业期刊和进行文献检索，有初步的科技写作能力和较好的表达交流能力；有一定的计算机及信息技术应用能力。</w:t>
      </w:r>
    </w:p>
    <w:p>
      <w:pPr>
        <w:tabs>
          <w:tab w:val="left" w:pos="993"/>
          <w:tab w:val="left" w:pos="1418"/>
        </w:tabs>
        <w:autoSpaceDE w:val="0"/>
        <w:autoSpaceDN w:val="0"/>
        <w:adjustRightInd w:val="0"/>
        <w:ind w:firstLine="480" w:firstLineChars="200"/>
        <w:jc w:val="left"/>
        <w:rPr>
          <w:color w:val="000000"/>
          <w:kern w:val="0"/>
        </w:rPr>
      </w:pPr>
      <w:r>
        <w:rPr>
          <w:color w:val="000000"/>
          <w:kern w:val="0"/>
        </w:rPr>
        <w:t>（11）应用知识能力：具有综合运用所掌握的理论知识和技能，从事生物技术及其相关领域产品研发、生物技术下游工程实践和技术革新的基本能力。</w:t>
      </w:r>
    </w:p>
    <w:p>
      <w:pPr>
        <w:tabs>
          <w:tab w:val="left" w:pos="993"/>
          <w:tab w:val="left" w:pos="1418"/>
        </w:tabs>
        <w:autoSpaceDE w:val="0"/>
        <w:autoSpaceDN w:val="0"/>
        <w:adjustRightInd w:val="0"/>
        <w:ind w:firstLine="480" w:firstLineChars="200"/>
        <w:jc w:val="left"/>
        <w:rPr>
          <w:color w:val="000000"/>
          <w:kern w:val="0"/>
        </w:rPr>
      </w:pPr>
      <w:r>
        <w:rPr>
          <w:color w:val="000000"/>
          <w:kern w:val="0"/>
        </w:rPr>
        <w:t>（12）创新创业能力：具有较强的创新意识和创业精神，具备一定的开展创新实验、科技开发及创业能力。</w:t>
      </w:r>
    </w:p>
    <w:p>
      <w:pPr>
        <w:pStyle w:val="5"/>
        <w:spacing w:before="93" w:after="93"/>
        <w:ind w:firstLine="560"/>
      </w:pPr>
      <w:r>
        <w:t>二、培养能力</w:t>
      </w:r>
    </w:p>
    <w:p>
      <w:pPr>
        <w:ind w:firstLine="480" w:firstLineChars="200"/>
        <w:contextualSpacing/>
        <w:rPr>
          <w:rFonts w:eastAsia="黑体"/>
          <w:color w:val="000000" w:themeColor="text1"/>
          <w:kern w:val="0"/>
          <w:szCs w:val="24"/>
          <w14:textFill>
            <w14:solidFill>
              <w14:schemeClr w14:val="tx1"/>
            </w14:solidFill>
          </w14:textFill>
        </w:rPr>
      </w:pPr>
      <w:r>
        <w:rPr>
          <w:rFonts w:eastAsia="黑体"/>
          <w:color w:val="000000" w:themeColor="text1"/>
          <w:kern w:val="0"/>
          <w:szCs w:val="24"/>
          <w14:textFill>
            <w14:solidFill>
              <w14:schemeClr w14:val="tx1"/>
            </w14:solidFill>
          </w14:textFill>
        </w:rPr>
        <w:t>1.</w:t>
      </w:r>
      <w:r>
        <w:rPr>
          <w:color w:val="000000" w:themeColor="text1"/>
          <w14:textFill>
            <w14:solidFill>
              <w14:schemeClr w14:val="tx1"/>
            </w14:solidFill>
          </w14:textFill>
        </w:rPr>
        <w:t xml:space="preserve"> </w:t>
      </w:r>
      <w:r>
        <w:rPr>
          <w:rFonts w:eastAsia="黑体"/>
          <w:color w:val="000000" w:themeColor="text1"/>
          <w:kern w:val="0"/>
          <w:szCs w:val="24"/>
          <w14:textFill>
            <w14:solidFill>
              <w14:schemeClr w14:val="tx1"/>
            </w14:solidFill>
          </w14:textFill>
        </w:rPr>
        <w:t>专业基本情况</w:t>
      </w:r>
    </w:p>
    <w:p>
      <w:pPr>
        <w:ind w:firstLine="480" w:firstLineChars="200"/>
        <w:contextualSpacing/>
        <w:rPr>
          <w:color w:val="000000"/>
          <w:kern w:val="0"/>
        </w:rPr>
      </w:pPr>
      <w:r>
        <w:rPr>
          <w:color w:val="000000"/>
          <w:kern w:val="0"/>
        </w:rPr>
        <w:t>专业基本情况：生物技术专业1996年开始招生，2002年首次进入全国第一批次招生。该专业是国家一流本科建设专业、国家级特色专业、山东省品牌专业、</w:t>
      </w:r>
      <w:r>
        <w:rPr>
          <w:rFonts w:hint="eastAsia"/>
          <w:color w:val="000000"/>
          <w:kern w:val="0"/>
        </w:rPr>
        <w:t>“</w:t>
      </w:r>
      <w:r>
        <w:rPr>
          <w:color w:val="000000"/>
          <w:kern w:val="0"/>
        </w:rPr>
        <w:t>省立项建设一流学科</w:t>
      </w:r>
      <w:r>
        <w:rPr>
          <w:rFonts w:hint="eastAsia"/>
          <w:color w:val="000000"/>
          <w:kern w:val="0"/>
        </w:rPr>
        <w:t>”</w:t>
      </w:r>
      <w:r>
        <w:rPr>
          <w:color w:val="000000"/>
          <w:kern w:val="0"/>
        </w:rPr>
        <w:t>支撑专业。专业基本学制为4年，学习年限为3～8年。</w:t>
      </w:r>
    </w:p>
    <w:p>
      <w:pPr>
        <w:ind w:firstLine="480" w:firstLineChars="200"/>
        <w:contextualSpacing/>
        <w:rPr>
          <w:rFonts w:eastAsia="黑体"/>
          <w:color w:val="000000" w:themeColor="text1"/>
          <w:kern w:val="0"/>
          <w:szCs w:val="24"/>
          <w14:textFill>
            <w14:solidFill>
              <w14:schemeClr w14:val="tx1"/>
            </w14:solidFill>
          </w14:textFill>
        </w:rPr>
      </w:pPr>
      <w:r>
        <w:rPr>
          <w:rFonts w:eastAsia="黑体"/>
          <w:color w:val="000000" w:themeColor="text1"/>
          <w:kern w:val="0"/>
          <w:szCs w:val="24"/>
          <w14:textFill>
            <w14:solidFill>
              <w14:schemeClr w14:val="tx1"/>
            </w14:solidFill>
          </w14:textFill>
        </w:rPr>
        <w:t>2.</w:t>
      </w:r>
      <w:r>
        <w:rPr>
          <w:color w:val="000000" w:themeColor="text1"/>
          <w14:textFill>
            <w14:solidFill>
              <w14:schemeClr w14:val="tx1"/>
            </w14:solidFill>
          </w14:textFill>
        </w:rPr>
        <w:t xml:space="preserve"> </w:t>
      </w:r>
      <w:r>
        <w:rPr>
          <w:rFonts w:eastAsia="黑体"/>
          <w:color w:val="000000" w:themeColor="text1"/>
          <w:kern w:val="0"/>
          <w:szCs w:val="24"/>
          <w14:textFill>
            <w14:solidFill>
              <w14:schemeClr w14:val="tx1"/>
            </w14:solidFill>
          </w14:textFill>
        </w:rPr>
        <w:t>在校生规模</w:t>
      </w:r>
    </w:p>
    <w:p>
      <w:pPr>
        <w:ind w:firstLine="480" w:firstLineChars="200"/>
        <w:contextualSpacing/>
        <w:rPr>
          <w:color w:val="000000"/>
          <w:kern w:val="0"/>
        </w:rPr>
      </w:pPr>
      <w:r>
        <w:rPr>
          <w:color w:val="000000"/>
          <w:kern w:val="0"/>
        </w:rPr>
        <w:t>目前，生物技术专业年招生人数约150人，现专业在校生人数为684人，</w:t>
      </w:r>
      <w:r>
        <w:rPr>
          <w:color w:val="000000" w:themeColor="text1"/>
          <w14:textFill>
            <w14:solidFill>
              <w14:schemeClr w14:val="tx1"/>
            </w14:solidFill>
          </w14:textFill>
        </w:rPr>
        <w:t>山东籍学生与非山东籍学生比例约为5:1</w:t>
      </w:r>
      <w:r>
        <w:rPr>
          <w:color w:val="000000"/>
          <w:kern w:val="0"/>
        </w:rPr>
        <w:t>（</w:t>
      </w:r>
      <w:r>
        <w:rPr>
          <w:color w:val="000000" w:themeColor="text1"/>
          <w14:textFill>
            <w14:solidFill>
              <w14:schemeClr w14:val="tx1"/>
            </w14:solidFill>
          </w14:textFill>
        </w:rPr>
        <w:t>注：2022级，生物技术和生物科学两个专业按</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生物科学类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大类招生268人，其中31人经选拔进入齐鲁学堂，余237人，每个专业平均约119人</w:t>
      </w:r>
      <w:r>
        <w:rPr>
          <w:color w:val="000000"/>
          <w:kern w:val="0"/>
        </w:rPr>
        <w:t>）。</w:t>
      </w:r>
    </w:p>
    <w:p>
      <w:pPr>
        <w:ind w:firstLine="480" w:firstLineChars="200"/>
        <w:contextualSpacing/>
        <w:rPr>
          <w:rFonts w:eastAsia="黑体"/>
          <w:color w:val="000000" w:themeColor="text1"/>
          <w:kern w:val="0"/>
          <w:szCs w:val="24"/>
          <w14:textFill>
            <w14:solidFill>
              <w14:schemeClr w14:val="tx1"/>
            </w14:solidFill>
          </w14:textFill>
        </w:rPr>
      </w:pPr>
      <w:r>
        <w:rPr>
          <w:rFonts w:eastAsia="黑体"/>
          <w:color w:val="000000" w:themeColor="text1"/>
          <w:kern w:val="0"/>
          <w:szCs w:val="24"/>
          <w14:textFill>
            <w14:solidFill>
              <w14:schemeClr w14:val="tx1"/>
            </w14:solidFill>
          </w14:textFill>
        </w:rPr>
        <w:t>3.</w:t>
      </w:r>
      <w:r>
        <w:rPr>
          <w:color w:val="000000" w:themeColor="text1"/>
          <w14:textFill>
            <w14:solidFill>
              <w14:schemeClr w14:val="tx1"/>
            </w14:solidFill>
          </w14:textFill>
        </w:rPr>
        <w:t xml:space="preserve"> </w:t>
      </w:r>
      <w:r>
        <w:rPr>
          <w:rFonts w:eastAsia="黑体"/>
          <w:color w:val="000000" w:themeColor="text1"/>
          <w:kern w:val="0"/>
          <w:szCs w:val="24"/>
          <w14:textFill>
            <w14:solidFill>
              <w14:schemeClr w14:val="tx1"/>
            </w14:solidFill>
          </w14:textFill>
        </w:rPr>
        <w:t>课程体系设置情况</w:t>
      </w:r>
    </w:p>
    <w:p>
      <w:pPr>
        <w:ind w:firstLine="480" w:firstLineChars="200"/>
        <w:contextualSpacing/>
        <w:rPr>
          <w:color w:val="000000"/>
          <w:kern w:val="0"/>
        </w:rPr>
      </w:pPr>
      <w:r>
        <w:rPr>
          <w:color w:val="000000"/>
          <w:kern w:val="0"/>
        </w:rPr>
        <w:t>构建</w:t>
      </w:r>
      <w:r>
        <w:rPr>
          <w:rFonts w:hint="eastAsia"/>
          <w:color w:val="000000"/>
          <w:kern w:val="0"/>
        </w:rPr>
        <w:t>“</w:t>
      </w:r>
      <w:r>
        <w:rPr>
          <w:color w:val="000000"/>
          <w:kern w:val="0"/>
        </w:rPr>
        <w:t>平台+模块</w:t>
      </w:r>
      <w:r>
        <w:rPr>
          <w:rFonts w:hint="eastAsia"/>
          <w:color w:val="000000"/>
          <w:kern w:val="0"/>
        </w:rPr>
        <w:t>”</w:t>
      </w:r>
      <w:r>
        <w:rPr>
          <w:color w:val="000000"/>
          <w:kern w:val="0"/>
        </w:rPr>
        <w:t>的理论与实验课程体系。由14门</w:t>
      </w:r>
      <w:r>
        <w:rPr>
          <w:rFonts w:hint="eastAsia"/>
          <w:color w:val="000000"/>
          <w:kern w:val="0"/>
        </w:rPr>
        <w:t>“</w:t>
      </w:r>
      <w:r>
        <w:rPr>
          <w:color w:val="000000"/>
          <w:kern w:val="0"/>
        </w:rPr>
        <w:t>通识必修课</w:t>
      </w:r>
      <w:r>
        <w:rPr>
          <w:rFonts w:hint="eastAsia"/>
          <w:color w:val="000000"/>
          <w:kern w:val="0"/>
        </w:rPr>
        <w:t>”</w:t>
      </w:r>
      <w:r>
        <w:rPr>
          <w:color w:val="000000"/>
          <w:kern w:val="0"/>
        </w:rPr>
        <w:t>、26门</w:t>
      </w:r>
      <w:r>
        <w:rPr>
          <w:rFonts w:hint="eastAsia"/>
          <w:color w:val="000000"/>
          <w:kern w:val="0"/>
        </w:rPr>
        <w:t>“</w:t>
      </w:r>
      <w:r>
        <w:rPr>
          <w:color w:val="000000"/>
          <w:kern w:val="0"/>
        </w:rPr>
        <w:t>学科基础课</w:t>
      </w:r>
      <w:r>
        <w:rPr>
          <w:rFonts w:hint="eastAsia"/>
          <w:color w:val="000000"/>
          <w:kern w:val="0"/>
        </w:rPr>
        <w:t>”</w:t>
      </w:r>
      <w:r>
        <w:rPr>
          <w:color w:val="000000"/>
          <w:kern w:val="0"/>
        </w:rPr>
        <w:t>、10门</w:t>
      </w:r>
      <w:r>
        <w:rPr>
          <w:rFonts w:hint="eastAsia"/>
          <w:color w:val="000000"/>
          <w:kern w:val="0"/>
        </w:rPr>
        <w:t>“</w:t>
      </w:r>
      <w:r>
        <w:rPr>
          <w:color w:val="000000"/>
          <w:kern w:val="0"/>
        </w:rPr>
        <w:t>专业核心课</w:t>
      </w:r>
      <w:r>
        <w:rPr>
          <w:rFonts w:hint="eastAsia"/>
          <w:color w:val="000000"/>
          <w:kern w:val="0"/>
        </w:rPr>
        <w:t>”</w:t>
      </w:r>
      <w:r>
        <w:rPr>
          <w:color w:val="000000"/>
          <w:kern w:val="0"/>
        </w:rPr>
        <w:t>和2门</w:t>
      </w:r>
      <w:r>
        <w:rPr>
          <w:rFonts w:hint="eastAsia"/>
          <w:color w:val="000000"/>
          <w:kern w:val="0"/>
        </w:rPr>
        <w:t>“</w:t>
      </w:r>
      <w:r>
        <w:rPr>
          <w:color w:val="000000"/>
          <w:kern w:val="0"/>
        </w:rPr>
        <w:t>专业拓展教育课</w:t>
      </w:r>
      <w:r>
        <w:rPr>
          <w:rFonts w:hint="eastAsia"/>
          <w:color w:val="000000"/>
          <w:kern w:val="0"/>
        </w:rPr>
        <w:t>”</w:t>
      </w:r>
      <w:r>
        <w:rPr>
          <w:color w:val="000000"/>
          <w:kern w:val="0"/>
        </w:rPr>
        <w:t>，构成了平台式的必修课程体系。由7门</w:t>
      </w:r>
      <w:r>
        <w:rPr>
          <w:rFonts w:hint="eastAsia"/>
          <w:color w:val="000000"/>
          <w:kern w:val="0"/>
        </w:rPr>
        <w:t>“</w:t>
      </w:r>
      <w:r>
        <w:rPr>
          <w:color w:val="000000"/>
          <w:kern w:val="0"/>
        </w:rPr>
        <w:t>通识选修课</w:t>
      </w:r>
      <w:r>
        <w:rPr>
          <w:rFonts w:hint="eastAsia"/>
          <w:color w:val="000000"/>
          <w:kern w:val="0"/>
        </w:rPr>
        <w:t>”</w:t>
      </w:r>
      <w:r>
        <w:rPr>
          <w:color w:val="000000"/>
          <w:kern w:val="0"/>
        </w:rPr>
        <w:t>（含计算机类、体育类、创新创业类、心理健康教育类、艺术审美类、人文社科类、自然科学类）和19门</w:t>
      </w:r>
      <w:r>
        <w:rPr>
          <w:rFonts w:hint="eastAsia"/>
          <w:color w:val="000000"/>
          <w:kern w:val="0"/>
        </w:rPr>
        <w:t>“</w:t>
      </w:r>
      <w:r>
        <w:rPr>
          <w:color w:val="000000"/>
          <w:kern w:val="0"/>
        </w:rPr>
        <w:t>专业方向课</w:t>
      </w:r>
      <w:r>
        <w:rPr>
          <w:rFonts w:hint="eastAsia"/>
          <w:color w:val="000000"/>
          <w:kern w:val="0"/>
        </w:rPr>
        <w:t>”</w:t>
      </w:r>
      <w:r>
        <w:rPr>
          <w:color w:val="000000"/>
          <w:kern w:val="0"/>
        </w:rPr>
        <w:t>构成了模块式的选修课程体系。</w:t>
      </w:r>
      <w:r>
        <w:rPr>
          <w:rFonts w:hint="eastAsia"/>
          <w:color w:val="000000"/>
          <w:kern w:val="0"/>
        </w:rPr>
        <w:t>“</w:t>
      </w:r>
      <w:r>
        <w:rPr>
          <w:color w:val="000000"/>
          <w:kern w:val="0"/>
        </w:rPr>
        <w:t>平台</w:t>
      </w:r>
      <w:r>
        <w:rPr>
          <w:rFonts w:hint="eastAsia"/>
          <w:color w:val="000000"/>
          <w:kern w:val="0"/>
        </w:rPr>
        <w:t>”</w:t>
      </w:r>
      <w:r>
        <w:rPr>
          <w:color w:val="000000"/>
          <w:kern w:val="0"/>
        </w:rPr>
        <w:t>能够满足学科大类人才的基本规格和全面发展的共性需求，体现</w:t>
      </w:r>
      <w:r>
        <w:rPr>
          <w:rFonts w:hint="eastAsia"/>
          <w:color w:val="000000"/>
          <w:kern w:val="0"/>
        </w:rPr>
        <w:t>“</w:t>
      </w:r>
      <w:r>
        <w:rPr>
          <w:color w:val="000000"/>
          <w:kern w:val="0"/>
        </w:rPr>
        <w:t>厚基础，宽口径</w:t>
      </w:r>
      <w:r>
        <w:rPr>
          <w:rFonts w:hint="eastAsia"/>
          <w:color w:val="000000"/>
          <w:kern w:val="0"/>
        </w:rPr>
        <w:t>”</w:t>
      </w:r>
      <w:r>
        <w:rPr>
          <w:color w:val="000000"/>
          <w:kern w:val="0"/>
        </w:rPr>
        <w:t>；</w:t>
      </w:r>
      <w:r>
        <w:rPr>
          <w:rFonts w:hint="eastAsia"/>
          <w:color w:val="000000"/>
          <w:kern w:val="0"/>
        </w:rPr>
        <w:t>“</w:t>
      </w:r>
      <w:r>
        <w:rPr>
          <w:color w:val="000000"/>
          <w:kern w:val="0"/>
        </w:rPr>
        <w:t>模块</w:t>
      </w:r>
      <w:r>
        <w:rPr>
          <w:rFonts w:hint="eastAsia"/>
          <w:color w:val="000000"/>
          <w:kern w:val="0"/>
        </w:rPr>
        <w:t>”</w:t>
      </w:r>
      <w:r>
        <w:rPr>
          <w:color w:val="000000"/>
          <w:kern w:val="0"/>
        </w:rPr>
        <w:t>主要是为实现人才分流，满足个性发展的需要。</w:t>
      </w:r>
    </w:p>
    <w:p>
      <w:pPr>
        <w:ind w:firstLine="480" w:firstLineChars="200"/>
        <w:contextualSpacing/>
        <w:rPr>
          <w:color w:val="000000"/>
          <w:kern w:val="0"/>
        </w:rPr>
      </w:pPr>
      <w:r>
        <w:rPr>
          <w:color w:val="000000"/>
          <w:kern w:val="0"/>
        </w:rPr>
        <w:t>构建</w:t>
      </w:r>
      <w:r>
        <w:rPr>
          <w:rFonts w:hint="eastAsia"/>
          <w:color w:val="000000"/>
          <w:kern w:val="0"/>
        </w:rPr>
        <w:t>“</w:t>
      </w:r>
      <w:r>
        <w:rPr>
          <w:color w:val="000000"/>
          <w:kern w:val="0"/>
        </w:rPr>
        <w:t>三层次</w:t>
      </w:r>
      <w:r>
        <w:rPr>
          <w:rFonts w:hint="eastAsia"/>
          <w:color w:val="000000"/>
          <w:kern w:val="0"/>
        </w:rPr>
        <w:t>”</w:t>
      </w:r>
      <w:r>
        <w:rPr>
          <w:color w:val="000000"/>
          <w:kern w:val="0"/>
        </w:rPr>
        <w:t xml:space="preserve">的实践教学体系，含5门 </w:t>
      </w:r>
      <w:r>
        <w:rPr>
          <w:rFonts w:hint="eastAsia"/>
          <w:color w:val="000000"/>
          <w:kern w:val="0"/>
        </w:rPr>
        <w:t>“</w:t>
      </w:r>
      <w:r>
        <w:rPr>
          <w:color w:val="000000"/>
          <w:kern w:val="0"/>
        </w:rPr>
        <w:t>基础实践</w:t>
      </w:r>
      <w:r>
        <w:rPr>
          <w:rFonts w:hint="eastAsia"/>
          <w:color w:val="000000"/>
          <w:kern w:val="0"/>
        </w:rPr>
        <w:t>”</w:t>
      </w:r>
      <w:r>
        <w:rPr>
          <w:color w:val="000000"/>
          <w:kern w:val="0"/>
        </w:rPr>
        <w:t>、4门</w:t>
      </w:r>
      <w:r>
        <w:rPr>
          <w:rFonts w:hint="eastAsia"/>
          <w:color w:val="000000"/>
          <w:kern w:val="0"/>
        </w:rPr>
        <w:t>“</w:t>
      </w:r>
      <w:r>
        <w:rPr>
          <w:color w:val="000000"/>
          <w:kern w:val="0"/>
        </w:rPr>
        <w:t>专业实践</w:t>
      </w:r>
      <w:r>
        <w:rPr>
          <w:rFonts w:hint="eastAsia"/>
          <w:color w:val="000000"/>
          <w:kern w:val="0"/>
        </w:rPr>
        <w:t>”</w:t>
      </w:r>
      <w:r>
        <w:rPr>
          <w:color w:val="000000"/>
          <w:kern w:val="0"/>
        </w:rPr>
        <w:t>、和3门</w:t>
      </w:r>
      <w:r>
        <w:rPr>
          <w:rFonts w:hint="eastAsia"/>
          <w:color w:val="000000"/>
          <w:kern w:val="0"/>
        </w:rPr>
        <w:t>“</w:t>
      </w:r>
      <w:r>
        <w:rPr>
          <w:color w:val="000000"/>
          <w:kern w:val="0"/>
        </w:rPr>
        <w:t>综合实践</w:t>
      </w:r>
      <w:r>
        <w:rPr>
          <w:rFonts w:hint="eastAsia"/>
          <w:color w:val="000000"/>
          <w:kern w:val="0"/>
        </w:rPr>
        <w:t>”</w:t>
      </w:r>
      <w:r>
        <w:rPr>
          <w:color w:val="000000"/>
          <w:kern w:val="0"/>
        </w:rPr>
        <w:t>。通过基础实践训练学生的基础素质和基本技能；通过</w:t>
      </w:r>
      <w:r>
        <w:rPr>
          <w:rFonts w:hint="eastAsia"/>
          <w:color w:val="000000"/>
          <w:kern w:val="0"/>
        </w:rPr>
        <w:t>“</w:t>
      </w:r>
      <w:r>
        <w:rPr>
          <w:color w:val="000000"/>
          <w:kern w:val="0"/>
        </w:rPr>
        <w:t>专业实践</w:t>
      </w:r>
      <w:r>
        <w:rPr>
          <w:rFonts w:hint="eastAsia"/>
          <w:color w:val="000000"/>
          <w:kern w:val="0"/>
        </w:rPr>
        <w:t>”</w:t>
      </w:r>
      <w:r>
        <w:rPr>
          <w:color w:val="000000"/>
          <w:kern w:val="0"/>
        </w:rPr>
        <w:t>锻炼学生的专业素质和专业技能；通过</w:t>
      </w:r>
      <w:r>
        <w:rPr>
          <w:rFonts w:hint="eastAsia"/>
          <w:color w:val="000000"/>
          <w:kern w:val="0"/>
        </w:rPr>
        <w:t>“</w:t>
      </w:r>
      <w:r>
        <w:rPr>
          <w:color w:val="000000"/>
          <w:kern w:val="0"/>
        </w:rPr>
        <w:t>综合实践</w:t>
      </w:r>
      <w:r>
        <w:rPr>
          <w:rFonts w:hint="eastAsia"/>
          <w:color w:val="000000"/>
          <w:kern w:val="0"/>
        </w:rPr>
        <w:t>”</w:t>
      </w:r>
      <w:r>
        <w:rPr>
          <w:color w:val="000000"/>
          <w:kern w:val="0"/>
        </w:rPr>
        <w:t>培养学生的综合素质、创新创业能力和适应社会的能力。</w:t>
      </w:r>
    </w:p>
    <w:p>
      <w:pPr>
        <w:ind w:firstLine="480" w:firstLineChars="200"/>
        <w:contextualSpacing/>
        <w:rPr>
          <w:rFonts w:eastAsia="黑体"/>
          <w:color w:val="000000" w:themeColor="text1"/>
          <w:kern w:val="0"/>
          <w:szCs w:val="24"/>
          <w14:textFill>
            <w14:solidFill>
              <w14:schemeClr w14:val="tx1"/>
            </w14:solidFill>
          </w14:textFill>
        </w:rPr>
      </w:pPr>
      <w:r>
        <w:rPr>
          <w:rFonts w:eastAsia="黑体"/>
          <w:color w:val="000000" w:themeColor="text1"/>
          <w:kern w:val="0"/>
          <w:szCs w:val="24"/>
          <w14:textFill>
            <w14:solidFill>
              <w14:schemeClr w14:val="tx1"/>
            </w14:solidFill>
          </w14:textFill>
        </w:rPr>
        <w:t>4.</w:t>
      </w:r>
      <w:r>
        <w:rPr>
          <w:color w:val="000000" w:themeColor="text1"/>
          <w14:textFill>
            <w14:solidFill>
              <w14:schemeClr w14:val="tx1"/>
            </w14:solidFill>
          </w14:textFill>
        </w:rPr>
        <w:t xml:space="preserve"> </w:t>
      </w:r>
      <w:r>
        <w:rPr>
          <w:rFonts w:eastAsia="黑体"/>
          <w:color w:val="000000" w:themeColor="text1"/>
          <w:kern w:val="0"/>
          <w:szCs w:val="24"/>
          <w14:textFill>
            <w14:solidFill>
              <w14:schemeClr w14:val="tx1"/>
            </w14:solidFill>
          </w14:textFill>
        </w:rPr>
        <w:t>创新创业教育</w:t>
      </w:r>
    </w:p>
    <w:p>
      <w:pPr>
        <w:ind w:firstLine="480" w:firstLineChars="200"/>
        <w:contextualSpacing/>
        <w:rPr>
          <w:color w:val="000000"/>
          <w:kern w:val="0"/>
        </w:rPr>
      </w:pPr>
      <w:r>
        <w:rPr>
          <w:color w:val="000000"/>
          <w:kern w:val="0"/>
        </w:rPr>
        <w:t>专业十分重视大学生创新创业教育，将创新创业教育纳入到人才培养体系。在通识课程中，设置了</w:t>
      </w:r>
      <w:r>
        <w:rPr>
          <w:rFonts w:hint="eastAsia"/>
          <w:color w:val="000000"/>
          <w:kern w:val="0"/>
        </w:rPr>
        <w:t>“</w:t>
      </w:r>
      <w:r>
        <w:rPr>
          <w:color w:val="000000"/>
          <w:kern w:val="0"/>
        </w:rPr>
        <w:t>创新创业类</w:t>
      </w:r>
      <w:r>
        <w:rPr>
          <w:rFonts w:hint="eastAsia"/>
          <w:color w:val="000000"/>
          <w:kern w:val="0"/>
        </w:rPr>
        <w:t>”</w:t>
      </w:r>
      <w:r>
        <w:rPr>
          <w:color w:val="000000"/>
          <w:kern w:val="0"/>
        </w:rPr>
        <w:t>通识选修课；在专业拓展课程设置了2学分《生物学学科前沿专题讲座》0.5学分《大学生生涯规划》、0.5学分《大学生创新创业教育》和1学分《大学生就业指导》。此外，科研训练计划（SRT）、科技竞赛计划和创业训练计划等多个项目，以第二课堂活动项目的形式滚动开设，学生可以根据个人兴趣及自身发展需要有选择地参加，以取得成果申请学分（要求每人至少获得2个学分）。</w:t>
      </w:r>
    </w:p>
    <w:p>
      <w:pPr>
        <w:widowControl/>
        <w:adjustRightInd w:val="0"/>
        <w:snapToGrid w:val="0"/>
        <w:spacing w:line="240" w:lineRule="auto"/>
        <w:jc w:val="center"/>
        <w:rPr>
          <w:b/>
          <w:bCs/>
          <w:color w:val="000000"/>
          <w:kern w:val="0"/>
          <w:sz w:val="21"/>
          <w:szCs w:val="21"/>
        </w:rPr>
      </w:pPr>
      <w:r>
        <w:rPr>
          <w:b/>
          <w:bCs/>
          <w:color w:val="000000"/>
          <w:kern w:val="0"/>
          <w:sz w:val="21"/>
          <w:szCs w:val="21"/>
        </w:rPr>
        <w:t>表1  生物技术专业本科生参加科技创新实践情况统计</w:t>
      </w:r>
    </w:p>
    <w:tbl>
      <w:tblPr>
        <w:tblStyle w:val="17"/>
        <w:tblW w:w="4998" w:type="pct"/>
        <w:jc w:val="center"/>
        <w:tblLayout w:type="autofit"/>
        <w:tblCellMar>
          <w:top w:w="0" w:type="dxa"/>
          <w:left w:w="108" w:type="dxa"/>
          <w:bottom w:w="0" w:type="dxa"/>
          <w:right w:w="108" w:type="dxa"/>
        </w:tblCellMar>
      </w:tblPr>
      <w:tblGrid>
        <w:gridCol w:w="868"/>
        <w:gridCol w:w="1301"/>
        <w:gridCol w:w="1671"/>
        <w:gridCol w:w="1174"/>
        <w:gridCol w:w="1428"/>
        <w:gridCol w:w="1502"/>
        <w:gridCol w:w="1113"/>
      </w:tblGrid>
      <w:tr>
        <w:tblPrEx>
          <w:tblCellMar>
            <w:top w:w="0" w:type="dxa"/>
            <w:left w:w="108" w:type="dxa"/>
            <w:bottom w:w="0" w:type="dxa"/>
            <w:right w:w="108" w:type="dxa"/>
          </w:tblCellMar>
        </w:tblPrEx>
        <w:trPr>
          <w:trHeight w:val="397" w:hRule="atLeast"/>
          <w:tblHeader/>
          <w:jc w:val="center"/>
        </w:trPr>
        <w:tc>
          <w:tcPr>
            <w:tcW w:w="479" w:type="pct"/>
            <w:vMerge w:val="restart"/>
            <w:tcBorders>
              <w:top w:val="single" w:color="auto" w:sz="4" w:space="0"/>
              <w:left w:val="single" w:color="auto" w:sz="4" w:space="0"/>
              <w:bottom w:val="single" w:color="000000"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年度</w:t>
            </w:r>
          </w:p>
        </w:tc>
        <w:tc>
          <w:tcPr>
            <w:tcW w:w="2288" w:type="pct"/>
            <w:gridSpan w:val="3"/>
            <w:tcBorders>
              <w:top w:val="single" w:color="auto" w:sz="4" w:space="0"/>
              <w:left w:val="nil"/>
              <w:bottom w:val="single" w:color="auto" w:sz="4" w:space="0"/>
              <w:right w:val="single" w:color="000000"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SRT及创新创业大赛</w:t>
            </w:r>
          </w:p>
        </w:tc>
        <w:tc>
          <w:tcPr>
            <w:tcW w:w="1617" w:type="pct"/>
            <w:gridSpan w:val="2"/>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省级科技社团</w:t>
            </w:r>
          </w:p>
        </w:tc>
        <w:tc>
          <w:tcPr>
            <w:tcW w:w="614" w:type="pct"/>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第二课堂（人）</w:t>
            </w:r>
          </w:p>
        </w:tc>
      </w:tr>
      <w:tr>
        <w:tblPrEx>
          <w:tblCellMar>
            <w:top w:w="0" w:type="dxa"/>
            <w:left w:w="108" w:type="dxa"/>
            <w:bottom w:w="0" w:type="dxa"/>
            <w:right w:w="108" w:type="dxa"/>
          </w:tblCellMar>
        </w:tblPrEx>
        <w:trPr>
          <w:trHeight w:val="397" w:hRule="atLeast"/>
          <w:tblHeader/>
          <w:jc w:val="center"/>
        </w:trPr>
        <w:tc>
          <w:tcPr>
            <w:tcW w:w="479" w:type="pct"/>
            <w:vMerge w:val="continue"/>
            <w:tcBorders>
              <w:top w:val="single" w:color="auto" w:sz="4" w:space="0"/>
              <w:left w:val="single" w:color="auto" w:sz="4" w:space="0"/>
              <w:bottom w:val="single" w:color="000000" w:sz="4" w:space="0"/>
              <w:right w:val="single" w:color="auto" w:sz="4" w:space="0"/>
            </w:tcBorders>
            <w:vAlign w:val="center"/>
          </w:tcPr>
          <w:p>
            <w:pPr>
              <w:widowControl/>
              <w:adjustRightInd w:val="0"/>
              <w:snapToGrid w:val="0"/>
              <w:spacing w:line="240" w:lineRule="auto"/>
              <w:jc w:val="center"/>
              <w:rPr>
                <w:b/>
                <w:bCs/>
                <w:color w:val="000000"/>
                <w:kern w:val="0"/>
                <w:sz w:val="21"/>
                <w:szCs w:val="21"/>
              </w:rPr>
            </w:pPr>
          </w:p>
        </w:tc>
        <w:tc>
          <w:tcPr>
            <w:tcW w:w="71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总数（项）</w:t>
            </w:r>
          </w:p>
        </w:tc>
        <w:tc>
          <w:tcPr>
            <w:tcW w:w="92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国家级（项）</w:t>
            </w:r>
          </w:p>
        </w:tc>
        <w:tc>
          <w:tcPr>
            <w:tcW w:w="646"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参加人数</w:t>
            </w:r>
          </w:p>
        </w:tc>
        <w:tc>
          <w:tcPr>
            <w:tcW w:w="78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飞协（人）</w:t>
            </w:r>
          </w:p>
        </w:tc>
        <w:tc>
          <w:tcPr>
            <w:tcW w:w="829"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百奥（人）</w:t>
            </w:r>
          </w:p>
        </w:tc>
        <w:tc>
          <w:tcPr>
            <w:tcW w:w="614"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p>
        </w:tc>
      </w:tr>
      <w:tr>
        <w:tblPrEx>
          <w:tblCellMar>
            <w:top w:w="0" w:type="dxa"/>
            <w:left w:w="108" w:type="dxa"/>
            <w:bottom w:w="0" w:type="dxa"/>
            <w:right w:w="108" w:type="dxa"/>
          </w:tblCellMar>
        </w:tblPrEx>
        <w:trPr>
          <w:trHeight w:val="397" w:hRule="atLeast"/>
          <w:jc w:val="center"/>
        </w:trPr>
        <w:tc>
          <w:tcPr>
            <w:tcW w:w="479" w:type="pct"/>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2018</w:t>
            </w:r>
          </w:p>
        </w:tc>
        <w:tc>
          <w:tcPr>
            <w:tcW w:w="71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21</w:t>
            </w:r>
          </w:p>
        </w:tc>
        <w:tc>
          <w:tcPr>
            <w:tcW w:w="92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w:t>
            </w:r>
          </w:p>
        </w:tc>
        <w:tc>
          <w:tcPr>
            <w:tcW w:w="646"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67</w:t>
            </w:r>
          </w:p>
        </w:tc>
        <w:tc>
          <w:tcPr>
            <w:tcW w:w="78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56</w:t>
            </w:r>
          </w:p>
        </w:tc>
        <w:tc>
          <w:tcPr>
            <w:tcW w:w="829"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37</w:t>
            </w:r>
          </w:p>
        </w:tc>
        <w:tc>
          <w:tcPr>
            <w:tcW w:w="614"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53</w:t>
            </w:r>
          </w:p>
        </w:tc>
      </w:tr>
      <w:tr>
        <w:tblPrEx>
          <w:tblCellMar>
            <w:top w:w="0" w:type="dxa"/>
            <w:left w:w="108" w:type="dxa"/>
            <w:bottom w:w="0" w:type="dxa"/>
            <w:right w:w="108" w:type="dxa"/>
          </w:tblCellMar>
        </w:tblPrEx>
        <w:trPr>
          <w:trHeight w:val="397" w:hRule="atLeast"/>
          <w:jc w:val="center"/>
        </w:trPr>
        <w:tc>
          <w:tcPr>
            <w:tcW w:w="479" w:type="pct"/>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2019</w:t>
            </w:r>
          </w:p>
        </w:tc>
        <w:tc>
          <w:tcPr>
            <w:tcW w:w="71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23</w:t>
            </w:r>
          </w:p>
        </w:tc>
        <w:tc>
          <w:tcPr>
            <w:tcW w:w="92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6</w:t>
            </w:r>
          </w:p>
        </w:tc>
        <w:tc>
          <w:tcPr>
            <w:tcW w:w="646"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83</w:t>
            </w:r>
          </w:p>
        </w:tc>
        <w:tc>
          <w:tcPr>
            <w:tcW w:w="78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44</w:t>
            </w:r>
          </w:p>
        </w:tc>
        <w:tc>
          <w:tcPr>
            <w:tcW w:w="829"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w:t>
            </w:r>
          </w:p>
        </w:tc>
        <w:tc>
          <w:tcPr>
            <w:tcW w:w="614"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71</w:t>
            </w:r>
          </w:p>
        </w:tc>
      </w:tr>
      <w:tr>
        <w:tblPrEx>
          <w:tblCellMar>
            <w:top w:w="0" w:type="dxa"/>
            <w:left w:w="108" w:type="dxa"/>
            <w:bottom w:w="0" w:type="dxa"/>
            <w:right w:w="108" w:type="dxa"/>
          </w:tblCellMar>
        </w:tblPrEx>
        <w:trPr>
          <w:trHeight w:val="397" w:hRule="atLeast"/>
          <w:jc w:val="center"/>
        </w:trPr>
        <w:tc>
          <w:tcPr>
            <w:tcW w:w="479" w:type="pct"/>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2020</w:t>
            </w:r>
          </w:p>
        </w:tc>
        <w:tc>
          <w:tcPr>
            <w:tcW w:w="71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21</w:t>
            </w:r>
          </w:p>
        </w:tc>
        <w:tc>
          <w:tcPr>
            <w:tcW w:w="92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5</w:t>
            </w:r>
          </w:p>
        </w:tc>
        <w:tc>
          <w:tcPr>
            <w:tcW w:w="646"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97</w:t>
            </w:r>
          </w:p>
        </w:tc>
        <w:tc>
          <w:tcPr>
            <w:tcW w:w="78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61</w:t>
            </w:r>
          </w:p>
        </w:tc>
        <w:tc>
          <w:tcPr>
            <w:tcW w:w="829"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27</w:t>
            </w:r>
          </w:p>
        </w:tc>
        <w:tc>
          <w:tcPr>
            <w:tcW w:w="614"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83</w:t>
            </w:r>
          </w:p>
        </w:tc>
      </w:tr>
      <w:tr>
        <w:tblPrEx>
          <w:tblCellMar>
            <w:top w:w="0" w:type="dxa"/>
            <w:left w:w="108" w:type="dxa"/>
            <w:bottom w:w="0" w:type="dxa"/>
            <w:right w:w="108" w:type="dxa"/>
          </w:tblCellMar>
        </w:tblPrEx>
        <w:trPr>
          <w:trHeight w:val="397" w:hRule="atLeast"/>
          <w:jc w:val="center"/>
        </w:trPr>
        <w:tc>
          <w:tcPr>
            <w:tcW w:w="479" w:type="pct"/>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2021</w:t>
            </w:r>
          </w:p>
        </w:tc>
        <w:tc>
          <w:tcPr>
            <w:tcW w:w="71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16</w:t>
            </w:r>
          </w:p>
        </w:tc>
        <w:tc>
          <w:tcPr>
            <w:tcW w:w="92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w:t>
            </w:r>
          </w:p>
        </w:tc>
        <w:tc>
          <w:tcPr>
            <w:tcW w:w="646"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119</w:t>
            </w:r>
          </w:p>
        </w:tc>
        <w:tc>
          <w:tcPr>
            <w:tcW w:w="78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72</w:t>
            </w:r>
          </w:p>
        </w:tc>
        <w:tc>
          <w:tcPr>
            <w:tcW w:w="829"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39</w:t>
            </w:r>
          </w:p>
        </w:tc>
        <w:tc>
          <w:tcPr>
            <w:tcW w:w="614"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132</w:t>
            </w:r>
          </w:p>
        </w:tc>
      </w:tr>
      <w:tr>
        <w:tblPrEx>
          <w:tblCellMar>
            <w:top w:w="0" w:type="dxa"/>
            <w:left w:w="108" w:type="dxa"/>
            <w:bottom w:w="0" w:type="dxa"/>
            <w:right w:w="108" w:type="dxa"/>
          </w:tblCellMar>
        </w:tblPrEx>
        <w:trPr>
          <w:trHeight w:val="397" w:hRule="atLeast"/>
          <w:jc w:val="center"/>
        </w:trPr>
        <w:tc>
          <w:tcPr>
            <w:tcW w:w="479"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合计</w:t>
            </w:r>
          </w:p>
        </w:tc>
        <w:tc>
          <w:tcPr>
            <w:tcW w:w="718"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81</w:t>
            </w:r>
          </w:p>
        </w:tc>
        <w:tc>
          <w:tcPr>
            <w:tcW w:w="922"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19</w:t>
            </w:r>
          </w:p>
        </w:tc>
        <w:tc>
          <w:tcPr>
            <w:tcW w:w="646"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366</w:t>
            </w:r>
          </w:p>
        </w:tc>
        <w:tc>
          <w:tcPr>
            <w:tcW w:w="788"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233</w:t>
            </w:r>
          </w:p>
        </w:tc>
        <w:tc>
          <w:tcPr>
            <w:tcW w:w="829"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123</w:t>
            </w:r>
          </w:p>
        </w:tc>
        <w:tc>
          <w:tcPr>
            <w:tcW w:w="614"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339</w:t>
            </w:r>
          </w:p>
        </w:tc>
      </w:tr>
    </w:tbl>
    <w:p>
      <w:pPr>
        <w:ind w:right="120" w:rightChars="50" w:firstLine="480" w:firstLineChars="200"/>
        <w:contextualSpacing/>
        <w:rPr>
          <w:color w:val="000000"/>
          <w:kern w:val="0"/>
        </w:rPr>
      </w:pPr>
      <w:r>
        <w:rPr>
          <w:color w:val="000000"/>
          <w:kern w:val="0"/>
        </w:rPr>
        <w:t>同时，为加强对学生的学业和成长的指导，全面推行本科生导师制，本科生进研究所、教授带本科生做课题渐成风气。</w:t>
      </w:r>
      <w:r>
        <w:rPr>
          <w:color w:val="000000"/>
        </w:rPr>
        <w:t>近5年，</w:t>
      </w:r>
      <w:r>
        <w:rPr>
          <w:color w:val="000000"/>
          <w:kern w:val="0"/>
        </w:rPr>
        <w:t>学生参加科技社团、SRT、创新创业等各类项目80余项，参加学生人数占学生人数80%以上（表1）。有17个团队在</w:t>
      </w:r>
      <w:r>
        <w:rPr>
          <w:rFonts w:hint="eastAsia"/>
          <w:color w:val="000000"/>
          <w:kern w:val="0"/>
        </w:rPr>
        <w:t>“</w:t>
      </w:r>
      <w:r>
        <w:rPr>
          <w:color w:val="000000"/>
          <w:kern w:val="0"/>
        </w:rPr>
        <w:t>第四届全国植物生产类大学生实践创新论坛</w:t>
      </w:r>
      <w:r>
        <w:rPr>
          <w:rFonts w:hint="eastAsia"/>
          <w:color w:val="000000"/>
          <w:kern w:val="0"/>
        </w:rPr>
        <w:t>”</w:t>
      </w:r>
      <w:r>
        <w:rPr>
          <w:color w:val="000000"/>
          <w:kern w:val="0"/>
        </w:rPr>
        <w:t>、</w:t>
      </w:r>
      <w:r>
        <w:rPr>
          <w:rFonts w:hint="eastAsia"/>
          <w:color w:val="000000"/>
          <w:kern w:val="0"/>
        </w:rPr>
        <w:t>“</w:t>
      </w:r>
      <w:r>
        <w:rPr>
          <w:color w:val="000000"/>
          <w:kern w:val="0"/>
        </w:rPr>
        <w:t>第五届全国植物生产类大学生实践创新论坛</w:t>
      </w:r>
      <w:r>
        <w:rPr>
          <w:rFonts w:hint="eastAsia"/>
          <w:color w:val="000000"/>
          <w:kern w:val="0"/>
        </w:rPr>
        <w:t>”</w:t>
      </w:r>
      <w:r>
        <w:rPr>
          <w:color w:val="000000"/>
          <w:kern w:val="0"/>
        </w:rPr>
        <w:t>、</w:t>
      </w:r>
      <w:r>
        <w:rPr>
          <w:rFonts w:hint="eastAsia"/>
          <w:color w:val="000000"/>
          <w:kern w:val="0"/>
        </w:rPr>
        <w:t>“</w:t>
      </w:r>
      <w:r>
        <w:rPr>
          <w:color w:val="000000"/>
          <w:kern w:val="0"/>
        </w:rPr>
        <w:t>第三届全国大学生生命科学创新创业大赛</w:t>
      </w:r>
      <w:r>
        <w:rPr>
          <w:rFonts w:hint="eastAsia"/>
          <w:color w:val="000000"/>
          <w:kern w:val="0"/>
        </w:rPr>
        <w:t>”</w:t>
      </w:r>
      <w:r>
        <w:rPr>
          <w:color w:val="000000"/>
          <w:kern w:val="0"/>
        </w:rPr>
        <w:t>、</w:t>
      </w:r>
      <w:r>
        <w:rPr>
          <w:rFonts w:hint="eastAsia"/>
          <w:color w:val="000000"/>
          <w:kern w:val="0"/>
        </w:rPr>
        <w:t>“</w:t>
      </w:r>
      <w:r>
        <w:rPr>
          <w:color w:val="000000"/>
          <w:kern w:val="0"/>
        </w:rPr>
        <w:t>第七届山东省大学生生物化学实验技能大赛</w:t>
      </w:r>
      <w:r>
        <w:rPr>
          <w:rFonts w:hint="eastAsia"/>
          <w:color w:val="000000"/>
          <w:kern w:val="0"/>
        </w:rPr>
        <w:t>”</w:t>
      </w:r>
      <w:r>
        <w:rPr>
          <w:color w:val="000000"/>
          <w:kern w:val="0"/>
        </w:rPr>
        <w:t>、</w:t>
      </w:r>
      <w:r>
        <w:rPr>
          <w:rFonts w:hint="eastAsia"/>
          <w:color w:val="000000"/>
          <w:kern w:val="0"/>
        </w:rPr>
        <w:t>“</w:t>
      </w:r>
      <w:r>
        <w:rPr>
          <w:color w:val="000000"/>
          <w:kern w:val="0"/>
        </w:rPr>
        <w:t>第二届鲁南制药杯山东省大学生生物科技创新大赛</w:t>
      </w:r>
      <w:r>
        <w:rPr>
          <w:rFonts w:hint="eastAsia"/>
          <w:color w:val="000000"/>
          <w:kern w:val="0"/>
        </w:rPr>
        <w:t>”</w:t>
      </w:r>
      <w:r>
        <w:rPr>
          <w:color w:val="000000"/>
          <w:kern w:val="0"/>
        </w:rPr>
        <w:t>、</w:t>
      </w:r>
      <w:r>
        <w:rPr>
          <w:rFonts w:hint="eastAsia"/>
          <w:color w:val="000000"/>
          <w:kern w:val="0"/>
        </w:rPr>
        <w:t>“</w:t>
      </w:r>
      <w:r>
        <w:rPr>
          <w:color w:val="000000"/>
          <w:kern w:val="0"/>
        </w:rPr>
        <w:t>第四届省大学生科技创新大赛</w:t>
      </w:r>
      <w:r>
        <w:rPr>
          <w:rFonts w:hint="eastAsia"/>
          <w:color w:val="000000"/>
          <w:kern w:val="0"/>
        </w:rPr>
        <w:t>”</w:t>
      </w:r>
      <w:r>
        <w:rPr>
          <w:color w:val="000000"/>
          <w:kern w:val="0"/>
        </w:rPr>
        <w:t>和</w:t>
      </w:r>
      <w:r>
        <w:rPr>
          <w:rFonts w:hint="eastAsia"/>
          <w:color w:val="000000"/>
          <w:kern w:val="0"/>
        </w:rPr>
        <w:t>“</w:t>
      </w:r>
      <w:r>
        <w:rPr>
          <w:color w:val="000000"/>
          <w:kern w:val="0"/>
        </w:rPr>
        <w:t>第四届互联网+大学生创新创业大赛</w:t>
      </w:r>
      <w:r>
        <w:rPr>
          <w:rFonts w:hint="eastAsia"/>
          <w:color w:val="000000"/>
          <w:kern w:val="0"/>
        </w:rPr>
        <w:t>”</w:t>
      </w:r>
      <w:r>
        <w:rPr>
          <w:color w:val="000000"/>
          <w:kern w:val="0"/>
        </w:rPr>
        <w:t>中，分获一、二、三等奖。2人次，在</w:t>
      </w:r>
      <w:r>
        <w:rPr>
          <w:rFonts w:hint="eastAsia"/>
          <w:color w:val="000000"/>
          <w:kern w:val="0"/>
        </w:rPr>
        <w:t>“</w:t>
      </w:r>
      <w:r>
        <w:rPr>
          <w:color w:val="000000"/>
          <w:kern w:val="0"/>
        </w:rPr>
        <w:t>十九届全国大学生英语演讲比赛</w:t>
      </w:r>
      <w:r>
        <w:rPr>
          <w:rFonts w:hint="eastAsia"/>
          <w:color w:val="000000"/>
          <w:kern w:val="0"/>
        </w:rPr>
        <w:t>”</w:t>
      </w:r>
      <w:r>
        <w:rPr>
          <w:color w:val="000000"/>
          <w:kern w:val="0"/>
        </w:rPr>
        <w:t>、</w:t>
      </w:r>
      <w:r>
        <w:rPr>
          <w:rFonts w:hint="eastAsia"/>
          <w:color w:val="000000"/>
          <w:kern w:val="0"/>
        </w:rPr>
        <w:t>“</w:t>
      </w:r>
      <w:r>
        <w:rPr>
          <w:color w:val="000000"/>
          <w:kern w:val="0"/>
        </w:rPr>
        <w:t>十九届全国大学生英语辩论赛</w:t>
      </w:r>
      <w:r>
        <w:rPr>
          <w:rFonts w:hint="eastAsia"/>
          <w:color w:val="000000"/>
          <w:kern w:val="0"/>
        </w:rPr>
        <w:t>”</w:t>
      </w:r>
      <w:r>
        <w:rPr>
          <w:color w:val="000000"/>
          <w:kern w:val="0"/>
        </w:rPr>
        <w:t>获得二等奖和三等奖。近年来，本专业学生在《分子植物育种》等期刊上发表论文6篇。</w:t>
      </w:r>
    </w:p>
    <w:p>
      <w:pPr>
        <w:ind w:firstLine="480" w:firstLineChars="200"/>
        <w:contextualSpacing/>
        <w:rPr>
          <w:color w:val="000000"/>
          <w:kern w:val="0"/>
        </w:rPr>
      </w:pPr>
      <w:r>
        <w:rPr>
          <w:color w:val="000000"/>
          <w:kern w:val="0"/>
        </w:rPr>
        <w:t>学院还充分发挥综合性学科优势，鼓励成立学生科技联合会、科技创新研究团队、创业协会等学生社团，推动以学生社团为主体开展大学生创新创业活动。百奥微生物科技协会和</w:t>
      </w:r>
      <w:r>
        <w:rPr>
          <w:rFonts w:hint="eastAsia"/>
          <w:color w:val="000000"/>
          <w:kern w:val="0"/>
        </w:rPr>
        <w:t>“</w:t>
      </w:r>
      <w:r>
        <w:rPr>
          <w:color w:val="000000"/>
          <w:kern w:val="0"/>
        </w:rPr>
        <w:t>飞</w:t>
      </w:r>
      <w:r>
        <w:rPr>
          <w:rFonts w:hint="eastAsia"/>
          <w:color w:val="000000"/>
          <w:kern w:val="0"/>
        </w:rPr>
        <w:t>”</w:t>
      </w:r>
      <w:r>
        <w:rPr>
          <w:color w:val="000000"/>
          <w:kern w:val="0"/>
        </w:rPr>
        <w:t>动植物艺术协会现为校级社团，并被纳入山东农业大学农业科技协会。</w:t>
      </w:r>
    </w:p>
    <w:p>
      <w:pPr>
        <w:pStyle w:val="5"/>
        <w:spacing w:before="93" w:after="93"/>
        <w:ind w:firstLine="560"/>
      </w:pPr>
      <w:r>
        <w:t>三、培养条件</w:t>
      </w:r>
    </w:p>
    <w:p>
      <w:pPr>
        <w:ind w:firstLine="480" w:firstLineChars="200"/>
        <w:contextualSpacing/>
        <w:rPr>
          <w:rFonts w:eastAsia="黑体"/>
          <w:color w:val="000000" w:themeColor="text1"/>
          <w:kern w:val="0"/>
          <w:szCs w:val="24"/>
          <w14:textFill>
            <w14:solidFill>
              <w14:schemeClr w14:val="tx1"/>
            </w14:solidFill>
          </w14:textFill>
        </w:rPr>
      </w:pPr>
      <w:r>
        <w:rPr>
          <w:rFonts w:eastAsia="黑体"/>
          <w:color w:val="000000" w:themeColor="text1"/>
          <w:kern w:val="0"/>
          <w:szCs w:val="24"/>
          <w14:textFill>
            <w14:solidFill>
              <w14:schemeClr w14:val="tx1"/>
            </w14:solidFill>
          </w14:textFill>
        </w:rPr>
        <w:t>1.</w:t>
      </w:r>
      <w:r>
        <w:rPr>
          <w:color w:val="000000" w:themeColor="text1"/>
          <w14:textFill>
            <w14:solidFill>
              <w14:schemeClr w14:val="tx1"/>
            </w14:solidFill>
          </w14:textFill>
        </w:rPr>
        <w:t xml:space="preserve"> </w:t>
      </w:r>
      <w:r>
        <w:rPr>
          <w:rFonts w:eastAsia="黑体"/>
          <w:color w:val="000000" w:themeColor="text1"/>
          <w:kern w:val="0"/>
          <w:szCs w:val="24"/>
          <w14:textFill>
            <w14:solidFill>
              <w14:schemeClr w14:val="tx1"/>
            </w14:solidFill>
          </w14:textFill>
        </w:rPr>
        <w:t>教学经费投入</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继续加大对本科教学的投入，进一步改善办学条件，优化教学环境。2021-2022年度，学院本科教学经费总投入220多万元，生均教学经费约1750元，保证了教学工作的正常运行。</w:t>
      </w:r>
    </w:p>
    <w:p>
      <w:pPr>
        <w:ind w:firstLine="480" w:firstLineChars="200"/>
        <w:contextualSpacing/>
        <w:rPr>
          <w:rFonts w:eastAsia="黑体"/>
          <w:color w:val="000000" w:themeColor="text1"/>
          <w:kern w:val="0"/>
          <w:szCs w:val="24"/>
          <w14:textFill>
            <w14:solidFill>
              <w14:schemeClr w14:val="tx1"/>
            </w14:solidFill>
          </w14:textFill>
        </w:rPr>
      </w:pPr>
      <w:r>
        <w:rPr>
          <w:rFonts w:eastAsia="黑体"/>
          <w:color w:val="000000" w:themeColor="text1"/>
          <w:kern w:val="0"/>
          <w:szCs w:val="24"/>
          <w14:textFill>
            <w14:solidFill>
              <w14:schemeClr w14:val="tx1"/>
            </w14:solidFill>
          </w14:textFill>
        </w:rPr>
        <w:t>2.</w:t>
      </w:r>
      <w:r>
        <w:rPr>
          <w:color w:val="000000" w:themeColor="text1"/>
          <w14:textFill>
            <w14:solidFill>
              <w14:schemeClr w14:val="tx1"/>
            </w14:solidFill>
          </w14:textFill>
        </w:rPr>
        <w:t xml:space="preserve"> </w:t>
      </w:r>
      <w:r>
        <w:rPr>
          <w:rFonts w:eastAsia="黑体"/>
          <w:color w:val="000000" w:themeColor="text1"/>
          <w:kern w:val="0"/>
          <w:szCs w:val="24"/>
          <w14:textFill>
            <w14:solidFill>
              <w14:schemeClr w14:val="tx1"/>
            </w14:solidFill>
          </w14:textFill>
        </w:rPr>
        <w:t>教学设备</w:t>
      </w:r>
    </w:p>
    <w:p>
      <w:pPr>
        <w:ind w:firstLine="480" w:firstLineChars="200"/>
        <w:contextualSpacing/>
        <w:rPr>
          <w:color w:val="000000" w:themeColor="text1"/>
          <w14:textFill>
            <w14:solidFill>
              <w14:schemeClr w14:val="tx1"/>
            </w14:solidFill>
          </w14:textFill>
        </w:rPr>
      </w:pPr>
      <w:r>
        <w:rPr>
          <w:color w:val="000000" w:themeColor="text1"/>
          <w14:textFill>
            <w14:solidFill>
              <w14:schemeClr w14:val="tx1"/>
            </w14:solidFill>
          </w14:textFill>
        </w:rPr>
        <w:t>目前，实验室教学科研仪器设备总数4041台（套），仪器设备总值达到3953万元，生均教学科研仪器设备值为3.16万元。</w:t>
      </w:r>
    </w:p>
    <w:p>
      <w:pPr>
        <w:ind w:firstLine="480" w:firstLineChars="200"/>
        <w:contextualSpacing/>
        <w:rPr>
          <w:rFonts w:eastAsia="黑体"/>
          <w:color w:val="000000" w:themeColor="text1"/>
          <w:kern w:val="0"/>
          <w:szCs w:val="24"/>
          <w14:textFill>
            <w14:solidFill>
              <w14:schemeClr w14:val="tx1"/>
            </w14:solidFill>
          </w14:textFill>
        </w:rPr>
      </w:pPr>
      <w:r>
        <w:rPr>
          <w:rFonts w:eastAsia="黑体"/>
          <w:color w:val="000000" w:themeColor="text1"/>
          <w:kern w:val="0"/>
          <w:szCs w:val="24"/>
          <w14:textFill>
            <w14:solidFill>
              <w14:schemeClr w14:val="tx1"/>
            </w14:solidFill>
          </w14:textFill>
        </w:rPr>
        <w:t>3.</w:t>
      </w:r>
      <w:r>
        <w:rPr>
          <w:color w:val="000000" w:themeColor="text1"/>
          <w14:textFill>
            <w14:solidFill>
              <w14:schemeClr w14:val="tx1"/>
            </w14:solidFill>
          </w14:textFill>
        </w:rPr>
        <w:t xml:space="preserve"> </w:t>
      </w:r>
      <w:r>
        <w:rPr>
          <w:rFonts w:eastAsia="黑体"/>
          <w:color w:val="000000" w:themeColor="text1"/>
          <w:kern w:val="0"/>
          <w:szCs w:val="24"/>
          <w14:textFill>
            <w14:solidFill>
              <w14:schemeClr w14:val="tx1"/>
            </w14:solidFill>
          </w14:textFill>
        </w:rPr>
        <w:t>教师队伍建设</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高度重视师资队伍建设，不断完善人才引进和培养机制，切实优化师资队伍结构，形成了一支适应学科发展需求、素质优良、结构合理的师资队伍。</w:t>
      </w:r>
      <w:r>
        <w:t>目前，学院现有教职员工132人，其中教授44人，副教授49人，博士生导师36人，包括国家</w:t>
      </w:r>
      <w:r>
        <w:rPr>
          <w:rFonts w:hint="eastAsia"/>
        </w:rPr>
        <w:t>“</w:t>
      </w:r>
      <w:r>
        <w:t>973</w:t>
      </w:r>
      <w:r>
        <w:rPr>
          <w:rFonts w:hint="eastAsia"/>
        </w:rPr>
        <w:t>”</w:t>
      </w:r>
      <w:r>
        <w:t>项目首席科学家1人，杰出青年基金获得者3人，国家优秀青年基金获得者1人，国家</w:t>
      </w:r>
      <w:r>
        <w:rPr>
          <w:rFonts w:hint="eastAsia"/>
        </w:rPr>
        <w:t>“</w:t>
      </w:r>
      <w:r>
        <w:t>万人计划</w:t>
      </w:r>
      <w:r>
        <w:rPr>
          <w:rFonts w:hint="eastAsia"/>
        </w:rPr>
        <w:t>”</w:t>
      </w:r>
      <w:r>
        <w:t>入选者1人，国家</w:t>
      </w:r>
      <w:r>
        <w:rPr>
          <w:rFonts w:hint="eastAsia"/>
        </w:rPr>
        <w:t>“</w:t>
      </w:r>
      <w:r>
        <w:t>百千万人才工程</w:t>
      </w:r>
      <w:r>
        <w:rPr>
          <w:rFonts w:hint="eastAsia"/>
        </w:rPr>
        <w:t>”</w:t>
      </w:r>
      <w:r>
        <w:t>入选者4人，国家级教学名师1人，青年长江学者1人，国家有突出贡献中青年专家2人，享受国务院特贴4人，山东省</w:t>
      </w:r>
      <w:r>
        <w:rPr>
          <w:rFonts w:hint="eastAsia"/>
        </w:rPr>
        <w:t>“</w:t>
      </w:r>
      <w:r>
        <w:t>泰山学者攀登计划</w:t>
      </w:r>
      <w:r>
        <w:rPr>
          <w:rFonts w:hint="eastAsia"/>
        </w:rPr>
        <w:t>”</w:t>
      </w:r>
      <w:r>
        <w:t>1人，山东省</w:t>
      </w:r>
      <w:r>
        <w:rPr>
          <w:rFonts w:hint="eastAsia"/>
        </w:rPr>
        <w:t>“</w:t>
      </w:r>
      <w:r>
        <w:t>泰山学者</w:t>
      </w:r>
      <w:r>
        <w:rPr>
          <w:rFonts w:hint="eastAsia"/>
        </w:rPr>
        <w:t>”</w:t>
      </w:r>
      <w:r>
        <w:t>特聘教授8人，山东省</w:t>
      </w:r>
      <w:r>
        <w:rPr>
          <w:rFonts w:hint="eastAsia"/>
        </w:rPr>
        <w:t>“</w:t>
      </w:r>
      <w:r>
        <w:t>泰山学者</w:t>
      </w:r>
      <w:r>
        <w:rPr>
          <w:rFonts w:hint="eastAsia"/>
        </w:rPr>
        <w:t>”</w:t>
      </w:r>
      <w:r>
        <w:t>青年专家4人。学院拥有教育部长江学者创新团队1个，国家级优秀教学团队2个，省级优秀教学团队1个。</w:t>
      </w:r>
      <w:r>
        <w:rPr>
          <w:color w:val="000000" w:themeColor="text1"/>
          <w14:textFill>
            <w14:solidFill>
              <w14:schemeClr w14:val="tx1"/>
            </w14:solidFill>
          </w14:textFill>
        </w:rPr>
        <w:t>2022年度，引进优秀青年人才7人。</w:t>
      </w:r>
    </w:p>
    <w:p>
      <w:pPr>
        <w:ind w:firstLine="48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送出去、请进来</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拓宽教师视野，近5年选派优秀中青年骨干教师到国外知名高校培训或进修20人次，参加博士后合作研究15人次，每年教师参加国际或全国学术会议（含线上）100余人次。经常邀请国内外教学科研领域的知名专家来校举办学术交流会或专题讲座，使青年教师经常向知名专家学习、与同行交流，学习先进的教学和科研理念，从而开拓其视野。</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本专业实行新老教师挂钩，实行导师制。年轻教师在独立讲授一门课前：一是听课制度，要跟随富有经验的</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导师</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完整观摩听课2个学期；二是试讲制度，在正式上讲台前先在团队教师内试讲2-3次，由同行教师提出改进意见，如果确实处于不适合上讲台的状态，则推迟其授课资格；三是试讲合格后，与</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导师</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合作讲授同一门课，由</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导师</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进行具体传帮带。</w:t>
      </w:r>
    </w:p>
    <w:p>
      <w:pPr>
        <w:ind w:firstLine="480" w:firstLineChars="200"/>
        <w:rPr>
          <w:color w:val="000000" w:themeColor="text1"/>
          <w14:textFill>
            <w14:solidFill>
              <w14:schemeClr w14:val="tx1"/>
            </w14:solidFill>
          </w14:textFill>
        </w:rPr>
      </w:pPr>
      <w:r>
        <w:t>近五年来，学院教师承担了国家</w:t>
      </w:r>
      <w:r>
        <w:rPr>
          <w:rFonts w:hint="eastAsia"/>
        </w:rPr>
        <w:t>“</w:t>
      </w:r>
      <w:r>
        <w:t>973</w:t>
      </w:r>
      <w:r>
        <w:rPr>
          <w:rFonts w:hint="eastAsia"/>
        </w:rPr>
        <w:t>”</w:t>
      </w:r>
      <w:r>
        <w:t>计划、国家转基因生物新品种培育重点专项、国家自然科学基金、国际合作项目等国家级科研课题83项，省部级项目51项、横向课题30项，年均立项经费2030万元。在Nature Communications、Trends in Plant、PNAS等国内外学术刊物上发表SCI研究论文600余篇，其中，影响因子5.0以上的高水平国际学术期刊论文120篇，其中影响因子大于10的16篇；获批国家发明专利27项；获得山东省自然科学一等奖1项、山东省自然科学二等奖2项、山东省科技进步奖1项。</w:t>
      </w:r>
      <w:r>
        <w:rPr>
          <w:color w:val="000000" w:themeColor="text1"/>
          <w14:textFill>
            <w14:solidFill>
              <w14:schemeClr w14:val="tx1"/>
            </w14:solidFill>
          </w14:textFill>
        </w:rPr>
        <w:t>承担教改项目40余项，其中国家级教改项目4项、省级教改项目8项、校级教改项目30余项；获教学成果与奖励50余项，其中省级教学成果特等奖1项、一等奖2项、二等奖1项，其他各级各类教学奖励40余项；出版国家级规划教材5部，发表教研论文30余篇；2门课程被评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国家一流课程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，3门课程被评为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省级一流课程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，2门课程被评为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省级课程思政示范课程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p>
    <w:p>
      <w:pPr>
        <w:ind w:firstLine="480" w:firstLineChars="200"/>
        <w:contextualSpacing/>
        <w:rPr>
          <w:rFonts w:eastAsia="黑体"/>
          <w:color w:val="000000" w:themeColor="text1"/>
          <w:kern w:val="0"/>
          <w:szCs w:val="24"/>
          <w14:textFill>
            <w14:solidFill>
              <w14:schemeClr w14:val="tx1"/>
            </w14:solidFill>
          </w14:textFill>
        </w:rPr>
      </w:pPr>
      <w:r>
        <w:rPr>
          <w:rFonts w:eastAsia="黑体"/>
          <w:color w:val="000000" w:themeColor="text1"/>
          <w:kern w:val="0"/>
          <w:szCs w:val="24"/>
          <w14:textFill>
            <w14:solidFill>
              <w14:schemeClr w14:val="tx1"/>
            </w14:solidFill>
          </w14:textFill>
        </w:rPr>
        <w:t>4.</w:t>
      </w:r>
      <w:r>
        <w:rPr>
          <w:color w:val="000000" w:themeColor="text1"/>
          <w14:textFill>
            <w14:solidFill>
              <w14:schemeClr w14:val="tx1"/>
            </w14:solidFill>
          </w14:textFill>
        </w:rPr>
        <w:t xml:space="preserve"> </w:t>
      </w:r>
      <w:r>
        <w:rPr>
          <w:rFonts w:eastAsia="黑体"/>
          <w:color w:val="000000" w:themeColor="text1"/>
          <w:kern w:val="0"/>
          <w:szCs w:val="24"/>
          <w14:textFill>
            <w14:solidFill>
              <w14:schemeClr w14:val="tx1"/>
            </w14:solidFill>
          </w14:textFill>
        </w:rPr>
        <w:t>实习基地建设</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目前，学校、学院挂牌的实践教学基地总数达24家（表2，图1）。在此基础上，还针对目前生物监测、生物制药、生物肥料、生物质能源等生物学研究热点，以项目研发、科技转让为依托，不断凝练特色，建立5个校企共建实验室。通过共建实验室带动学生的校外实践活动，提升学生的培养质量，也使学校与企业由短期松散合作走向长期稳定合作。</w:t>
      </w:r>
    </w:p>
    <w:p>
      <w:pPr>
        <w:spacing w:line="36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drawing>
          <wp:inline distT="0" distB="0" distL="114300" distR="114300">
            <wp:extent cx="5145405" cy="3594735"/>
            <wp:effectExtent l="0" t="0" r="17145" b="5715"/>
            <wp:docPr id="90" name="图片 9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图片1"/>
                    <pic:cNvPicPr>
                      <a:picLocks noChangeAspect="1"/>
                    </pic:cNvPicPr>
                  </pic:nvPicPr>
                  <pic:blipFill>
                    <a:blip r:embed="rId114"/>
                    <a:srcRect l="2697" t="2808" r="2559" b="4402"/>
                    <a:stretch>
                      <a:fillRect/>
                    </a:stretch>
                  </pic:blipFill>
                  <pic:spPr>
                    <a:xfrm>
                      <a:off x="0" y="0"/>
                      <a:ext cx="5145405" cy="3594735"/>
                    </a:xfrm>
                    <a:prstGeom prst="rect">
                      <a:avLst/>
                    </a:prstGeom>
                  </pic:spPr>
                </pic:pic>
              </a:graphicData>
            </a:graphic>
          </wp:inline>
        </w:drawing>
      </w:r>
    </w:p>
    <w:p>
      <w:pPr>
        <w:spacing w:line="36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图1  部分实践教学基地签约挂牌现场</w:t>
      </w:r>
    </w:p>
    <w:p>
      <w:pPr>
        <w:ind w:firstLine="482" w:firstLineChars="201"/>
        <w:contextualSpacing/>
      </w:pPr>
      <w:r>
        <w:t>针对目前生物监测、生物制药、生物肥料、生物能源等生物学研究热点，以项目研发、科技转让为依托，不断凝练特色，建立的5个校企共建实验室运行良好。通过共建实验室带动学生的校外实践活动，提升学生的培养质量，也使学校与企业由短期松散合作走向长期稳定合作。</w:t>
      </w:r>
    </w:p>
    <w:p>
      <w:pPr>
        <w:rPr>
          <w:color w:val="000000"/>
          <w:kern w:val="0"/>
          <w:sz w:val="21"/>
          <w:szCs w:val="21"/>
        </w:rPr>
      </w:pPr>
      <w:r>
        <w:rPr>
          <w:color w:val="000000"/>
          <w:kern w:val="0"/>
          <w:sz w:val="21"/>
          <w:szCs w:val="21"/>
        </w:rPr>
        <w:br w:type="page"/>
      </w:r>
    </w:p>
    <w:p>
      <w:pPr>
        <w:widowControl/>
        <w:adjustRightInd w:val="0"/>
        <w:snapToGrid w:val="0"/>
        <w:spacing w:line="240" w:lineRule="auto"/>
        <w:jc w:val="center"/>
        <w:rPr>
          <w:b/>
          <w:bCs/>
          <w:color w:val="000000"/>
          <w:kern w:val="0"/>
          <w:sz w:val="21"/>
          <w:szCs w:val="21"/>
        </w:rPr>
      </w:pPr>
      <w:r>
        <w:rPr>
          <w:b/>
          <w:bCs/>
          <w:color w:val="000000"/>
          <w:kern w:val="0"/>
          <w:sz w:val="21"/>
          <w:szCs w:val="21"/>
        </w:rPr>
        <w:t>表2 专业建设的实践教学基地</w:t>
      </w:r>
    </w:p>
    <w:tbl>
      <w:tblPr>
        <w:tblStyle w:val="17"/>
        <w:tblW w:w="82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4"/>
        <w:gridCol w:w="3750"/>
        <w:gridCol w:w="1600"/>
        <w:gridCol w:w="18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054" w:type="dxa"/>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序号</w:t>
            </w:r>
          </w:p>
        </w:tc>
        <w:tc>
          <w:tcPr>
            <w:tcW w:w="3750" w:type="dxa"/>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实践教学基地名称</w:t>
            </w:r>
          </w:p>
        </w:tc>
        <w:tc>
          <w:tcPr>
            <w:tcW w:w="1600" w:type="dxa"/>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基地性质</w:t>
            </w:r>
          </w:p>
        </w:tc>
        <w:tc>
          <w:tcPr>
            <w:tcW w:w="1866" w:type="dxa"/>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山东荣丰食用菌有限公司</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山东七河生物科技有限公司</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3</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济南巨微（泽元）生物科技有限公司</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4</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德州创迪微生物资源公司</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5</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山东爱福地生物科技有限公司</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6</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山东大地生物科技有限公司</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7</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泰安市质量监督局质监所</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8</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新泰裕兴生物科技有限公司</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9</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山东省华盛农业股份有限公司</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10</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山东家祥蓖麻种业科技有限公司</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11</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山东侨昌农化集团</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12</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山东佐田氏生物科技有限公司</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13</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新泰莲花山养蜂园</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14</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山东地泰菌业有限公司</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15</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泰安市食品药品检验检测中心</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16</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威海市文登圣经山蜜蜂园</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17</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山东蓬勃生物科技有限公司</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18</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山东众人信农业科技有限公司</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19</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烟台金佳龙食品有限公司</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山东泰尚黄精生物科技有限公司</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21</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青岛海德城生物工程有限公司</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22</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山东泰邦生物制品有限公司</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23</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济南·中关村信息谷创新中心</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4"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24</w:t>
            </w:r>
          </w:p>
        </w:tc>
        <w:tc>
          <w:tcPr>
            <w:tcW w:w="375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水发万丰生态农业发展有限公司</w:t>
            </w:r>
          </w:p>
        </w:tc>
        <w:tc>
          <w:tcPr>
            <w:tcW w:w="1600"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866"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2022</w:t>
            </w:r>
          </w:p>
        </w:tc>
      </w:tr>
    </w:tbl>
    <w:p>
      <w:pPr>
        <w:ind w:firstLine="480" w:firstLineChars="200"/>
        <w:contextualSpacing/>
        <w:rPr>
          <w:rFonts w:eastAsia="黑体"/>
          <w:color w:val="000000" w:themeColor="text1"/>
          <w:kern w:val="0"/>
          <w:szCs w:val="24"/>
          <w14:textFill>
            <w14:solidFill>
              <w14:schemeClr w14:val="tx1"/>
            </w14:solidFill>
          </w14:textFill>
        </w:rPr>
      </w:pPr>
    </w:p>
    <w:p>
      <w:pPr>
        <w:ind w:firstLine="480" w:firstLineChars="200"/>
        <w:contextualSpacing/>
        <w:rPr>
          <w:rFonts w:eastAsia="黑体"/>
          <w:color w:val="000000" w:themeColor="text1"/>
          <w:kern w:val="0"/>
          <w:szCs w:val="24"/>
          <w14:textFill>
            <w14:solidFill>
              <w14:schemeClr w14:val="tx1"/>
            </w14:solidFill>
          </w14:textFill>
        </w:rPr>
      </w:pPr>
      <w:r>
        <w:rPr>
          <w:rFonts w:eastAsia="黑体"/>
          <w:color w:val="000000" w:themeColor="text1"/>
          <w:kern w:val="0"/>
          <w:szCs w:val="24"/>
          <w14:textFill>
            <w14:solidFill>
              <w14:schemeClr w14:val="tx1"/>
            </w14:solidFill>
          </w14:textFill>
        </w:rPr>
        <w:t>5.</w:t>
      </w:r>
      <w:r>
        <w:rPr>
          <w:color w:val="000000" w:themeColor="text1"/>
          <w14:textFill>
            <w14:solidFill>
              <w14:schemeClr w14:val="tx1"/>
            </w14:solidFill>
          </w14:textFill>
        </w:rPr>
        <w:t xml:space="preserve"> </w:t>
      </w:r>
      <w:r>
        <w:rPr>
          <w:rFonts w:eastAsia="黑体"/>
          <w:color w:val="000000" w:themeColor="text1"/>
          <w:kern w:val="0"/>
          <w:szCs w:val="24"/>
          <w14:textFill>
            <w14:solidFill>
              <w14:schemeClr w14:val="tx1"/>
            </w14:solidFill>
          </w14:textFill>
        </w:rPr>
        <w:t>现代教学技术应用</w:t>
      </w:r>
    </w:p>
    <w:p>
      <w:pPr>
        <w:ind w:firstLine="480" w:firstLineChars="200"/>
        <w:contextualSpacing/>
        <w:rPr>
          <w:b/>
          <w:color w:val="000000"/>
          <w:sz w:val="21"/>
          <w:szCs w:val="21"/>
        </w:rPr>
      </w:pPr>
      <w:r>
        <w:rPr>
          <w:bCs/>
        </w:rPr>
        <w:t>从</w:t>
      </w:r>
      <w:r>
        <w:t>专业人才培养目标入手，开发构建了集自主学习、课堂教学和拓展服务等多种功能于一体的主干课程立体化教学资源库，有效地整合了课程标准、课程设计、教学课件、教学案例、教学录像、实验虚拟仿真和教学考核等多种资源形式，随时吸收国内外最新研究的相关成果和基层应用案例，丰富课程教学资源。以此核心资源库为基础，完成了《植物学》、《生物化学》、《植物生理学》、《普通微生物学》、《基因工程综合实验》、《细胞生物学》、《生物技术专业实践》等27门课程的教学资源库建设（表3）。完成了《植物生理学》、《细胞生物学》《微生物学》和《分子生物学》慕课建设。此外，还更新了</w:t>
      </w:r>
      <w:r>
        <w:rPr>
          <w:rFonts w:hint="eastAsia"/>
        </w:rPr>
        <w:t>“</w:t>
      </w:r>
      <w:r>
        <w:t>生命科学学院</w:t>
      </w:r>
      <w:r>
        <w:rPr>
          <w:rFonts w:hint="eastAsia"/>
        </w:rPr>
        <w:t>”</w:t>
      </w:r>
      <w:r>
        <w:t>、</w:t>
      </w:r>
      <w:r>
        <w:rPr>
          <w:rFonts w:hint="eastAsia"/>
        </w:rPr>
        <w:t>“</w:t>
      </w:r>
      <w:r>
        <w:t>生物技术技术专业</w:t>
      </w:r>
      <w:r>
        <w:rPr>
          <w:rFonts w:hint="eastAsia"/>
        </w:rPr>
        <w:t>”</w:t>
      </w:r>
      <w:r>
        <w:t>、</w:t>
      </w:r>
      <w:r>
        <w:rPr>
          <w:rFonts w:hint="eastAsia"/>
        </w:rPr>
        <w:t>“</w:t>
      </w:r>
      <w:r>
        <w:t>生物工程专业</w:t>
      </w:r>
      <w:r>
        <w:rPr>
          <w:rFonts w:hint="eastAsia"/>
        </w:rPr>
        <w:t>”</w:t>
      </w:r>
      <w:r>
        <w:t>、</w:t>
      </w:r>
      <w:r>
        <w:rPr>
          <w:rFonts w:hint="eastAsia"/>
        </w:rPr>
        <w:t>“</w:t>
      </w:r>
      <w:r>
        <w:t>生物科学专业</w:t>
      </w:r>
      <w:r>
        <w:rPr>
          <w:rFonts w:hint="eastAsia"/>
        </w:rPr>
        <w:t>”</w:t>
      </w:r>
      <w:r>
        <w:t>、</w:t>
      </w:r>
      <w:r>
        <w:rPr>
          <w:rFonts w:hint="eastAsia"/>
        </w:rPr>
        <w:t>“</w:t>
      </w:r>
      <w:r>
        <w:t>农业生物学实验教学中心</w:t>
      </w:r>
      <w:r>
        <w:rPr>
          <w:rFonts w:hint="eastAsia"/>
        </w:rPr>
        <w:t>”</w:t>
      </w:r>
      <w:r>
        <w:t>、</w:t>
      </w:r>
      <w:r>
        <w:rPr>
          <w:rFonts w:hint="eastAsia"/>
        </w:rPr>
        <w:t>“</w:t>
      </w:r>
      <w:r>
        <w:t>生物技术与工程实验教学示范中心网站</w:t>
      </w:r>
      <w:r>
        <w:rPr>
          <w:rFonts w:hint="eastAsia"/>
        </w:rPr>
        <w:t>”</w:t>
      </w:r>
      <w:r>
        <w:t>、</w:t>
      </w:r>
      <w:r>
        <w:rPr>
          <w:rFonts w:hint="eastAsia"/>
        </w:rPr>
        <w:t>“</w:t>
      </w:r>
      <w:r>
        <w:t>校园植物志</w:t>
      </w:r>
      <w:r>
        <w:rPr>
          <w:rFonts w:hint="eastAsia"/>
        </w:rPr>
        <w:t>”</w:t>
      </w:r>
      <w:r>
        <w:t>、</w:t>
      </w:r>
      <w:r>
        <w:rPr>
          <w:rFonts w:hint="eastAsia"/>
        </w:rPr>
        <w:t>“</w:t>
      </w:r>
      <w:r>
        <w:t>山东农业大学数字化标本馆</w:t>
      </w:r>
      <w:r>
        <w:rPr>
          <w:rFonts w:hint="eastAsia"/>
        </w:rPr>
        <w:t>”</w:t>
      </w:r>
      <w:r>
        <w:t xml:space="preserve"> </w:t>
      </w:r>
      <w:r>
        <w:rPr>
          <w:rFonts w:hint="eastAsia"/>
        </w:rPr>
        <w:t>“</w:t>
      </w:r>
      <w:r>
        <w:fldChar w:fldCharType="begin"/>
      </w:r>
      <w:r>
        <w:instrText xml:space="preserve"> HYPERLINK "http://202.194.131.160/G2S/Template/View.aspx?action=view&amp;courseType=1&amp;courseId=43&amp;ZZWLOOKINGFOR=G" \t "_blank" </w:instrText>
      </w:r>
      <w:r>
        <w:fldChar w:fldCharType="separate"/>
      </w:r>
      <w:r>
        <w:t>百奥微生物科技协会</w:t>
      </w:r>
      <w:r>
        <w:fldChar w:fldCharType="end"/>
      </w:r>
      <w:r>
        <w:rPr>
          <w:rFonts w:hint="eastAsia"/>
        </w:rPr>
        <w:t>”</w:t>
      </w:r>
      <w:r>
        <w:t xml:space="preserve">、 </w:t>
      </w:r>
      <w:r>
        <w:rPr>
          <w:rFonts w:hint="eastAsia"/>
        </w:rPr>
        <w:t>“</w:t>
      </w:r>
      <w:r>
        <w:t>飞动植物艺术协会</w:t>
      </w:r>
      <w:r>
        <w:rPr>
          <w:rFonts w:hint="eastAsia"/>
        </w:rPr>
        <w:t>”</w:t>
      </w:r>
      <w:r>
        <w:t>、</w:t>
      </w:r>
      <w:r>
        <w:rPr>
          <w:rFonts w:hint="eastAsia"/>
        </w:rPr>
        <w:t>“</w:t>
      </w:r>
      <w:r>
        <w:fldChar w:fldCharType="begin"/>
      </w:r>
      <w:r>
        <w:instrText xml:space="preserve"> HYPERLINK "http://202.194.131.160/G2S/Template/View.aspx?action=view&amp;courseType=1&amp;courseId=282&amp;ZZWLOOKINGFOR=G" \t "_blank" </w:instrText>
      </w:r>
      <w:r>
        <w:fldChar w:fldCharType="separate"/>
      </w:r>
      <w:r>
        <w:t>山东省大学生生物化学实验技能大赛</w:t>
      </w:r>
      <w:r>
        <w:fldChar w:fldCharType="end"/>
      </w:r>
      <w:r>
        <w:rPr>
          <w:rFonts w:hint="eastAsia"/>
        </w:rPr>
        <w:t>”</w:t>
      </w:r>
      <w:r>
        <w:t>等10多个相关教学网站。不断丰富和完善的教学资源库，为学生提供了自主学习服务的平台，为教师提供学习、借鉴、参考、交流、引用的教学资源场所，教师可以根据自己的教学特点和内容对资源进行修改，素材资源可直接引用到自己制作的课件作品中，极大的方便老师教学工作，节省大量宝贵的时间，推动了现代教育技术的普及和应用。</w:t>
      </w:r>
    </w:p>
    <w:p>
      <w:pPr>
        <w:pStyle w:val="5"/>
        <w:spacing w:before="93" w:after="93"/>
        <w:ind w:firstLine="560"/>
      </w:pPr>
      <w:r>
        <w:t>四、培养机制与特色</w:t>
      </w:r>
    </w:p>
    <w:p>
      <w:pPr>
        <w:pStyle w:val="7"/>
        <w:ind w:firstLine="480" w:firstLineChars="200"/>
      </w:pPr>
      <w:r>
        <w:t>1. 适应社会和学生个性发展需求，构建了</w:t>
      </w:r>
      <w:r>
        <w:rPr>
          <w:rFonts w:hint="eastAsia"/>
        </w:rPr>
        <w:t>“</w:t>
      </w:r>
      <w:r>
        <w:t>3+1</w:t>
      </w:r>
      <w:r>
        <w:rPr>
          <w:rFonts w:hint="eastAsia"/>
        </w:rPr>
        <w:t>”</w:t>
      </w:r>
      <w:r>
        <w:t>的人才培养模式</w:t>
      </w:r>
    </w:p>
    <w:p>
      <w:pPr>
        <w:ind w:firstLine="480" w:firstLineChars="200"/>
        <w:contextualSpacing/>
      </w:pPr>
      <w:r>
        <w:rPr>
          <w:rFonts w:hint="eastAsia"/>
        </w:rPr>
        <w:t>“</w:t>
      </w:r>
      <w:r>
        <w:t>3+1</w:t>
      </w:r>
      <w:r>
        <w:rPr>
          <w:rFonts w:hint="eastAsia"/>
        </w:rPr>
        <w:t>”</w:t>
      </w:r>
      <w:r>
        <w:t>的人才培养模式，即学生在前3个学年完成理论课程的学习，后1个学年进行毕业实习及毕业论文。该培养模式延长了毕业实习时间，符合当前社会用人单位的需求，也适应学生分类培养的需要。人才培养过程中，根据学生的个性发展需求，将进入毕业实习阶段的学生分成两大类别：一类按</w:t>
      </w:r>
      <w:r>
        <w:rPr>
          <w:rFonts w:hint="eastAsia"/>
        </w:rPr>
        <w:t>“</w:t>
      </w:r>
      <w:r>
        <w:t>创新型</w:t>
      </w:r>
      <w:r>
        <w:rPr>
          <w:rFonts w:hint="eastAsia"/>
        </w:rPr>
        <w:t>”</w:t>
      </w:r>
      <w:r>
        <w:t>人才培养，安排到科研院所、科研实验室实习，强化科技创新能力培养；另一类按</w:t>
      </w:r>
      <w:r>
        <w:rPr>
          <w:rFonts w:hint="eastAsia"/>
        </w:rPr>
        <w:t>“</w:t>
      </w:r>
      <w:r>
        <w:t>应用型</w:t>
      </w:r>
      <w:r>
        <w:rPr>
          <w:rFonts w:hint="eastAsia"/>
        </w:rPr>
        <w:t>”</w:t>
      </w:r>
      <w:r>
        <w:t>人才培养，安排到校企共建单位、实践教学基地实习，让学生尽早适应社会需求。</w:t>
      </w:r>
    </w:p>
    <w:p>
      <w:pPr>
        <w:pStyle w:val="7"/>
        <w:ind w:firstLine="480" w:firstLineChars="200"/>
      </w:pPr>
      <w:r>
        <w:t>2. 依托</w:t>
      </w:r>
      <w:r>
        <w:rPr>
          <w:rFonts w:hint="eastAsia"/>
        </w:rPr>
        <w:t>“</w:t>
      </w:r>
      <w:r>
        <w:t>齐鲁学堂</w:t>
      </w:r>
      <w:r>
        <w:rPr>
          <w:rFonts w:hint="eastAsia"/>
        </w:rPr>
        <w:t>”</w:t>
      </w:r>
      <w:r>
        <w:t>，培养</w:t>
      </w:r>
      <w:r>
        <w:rPr>
          <w:rFonts w:hint="eastAsia"/>
        </w:rPr>
        <w:t>“</w:t>
      </w:r>
      <w:r>
        <w:t>拔尖型</w:t>
      </w:r>
      <w:r>
        <w:rPr>
          <w:rFonts w:hint="eastAsia"/>
        </w:rPr>
        <w:t>”</w:t>
      </w:r>
      <w:r>
        <w:t>农林创新人才</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为全面贯彻落实党和国家的教育方针，秉承</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强化基础，注重实践，学研并重，突出创新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的拔尖人才育人原则，培养适应新时代社会主义现代化建设需要的拔尖型卓越农林人才，同时解决地方院校高端人才匮乏的问题，集中优质资源，培养具有家国情怀、国际视野、全球竞争力的行业领军人才，山东农业大学成立了齐鲁学堂，每年面向新入校学生进行择优选拔。选拔范围：农学、植物保护、园艺和生物科学类4个专业（大类）共100名左右学生，其中生物科学类为30人左右。</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齐鲁学堂坚持少而精、开放式，控制规模，动态进出的原则。在培养模式方面，齐鲁学堂实行</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本硕博贯通</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培养制度，实行弹性学习年限。学堂为每名学生配备一名导师，指导学生制定个性化学习计划，指导学生科研训练等。学生可在导师指导下制定个性化培养方案，可自主跨学校、跨院系、跨专业、跨年级修读课程。</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对于齐鲁学堂的学生，学校实行小班授课，大力推进研究性教学和自主性学习，以启发式、讨论式、探究式等教学方法引导学生主动参与教学、自主开展学习。在课堂学习方面，更加注重课堂教学与实践教学以及科学研究训练的结合，培养学生科学的思维方法，着力提高学生的批判性思维和创新意识，提高学生发现问题、分析问题和解决问题的能力。</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山东农业大学的国家千人计划入选者、泰山学者、教授博导、省级以上教学名师等才有资格成为齐鲁学堂学生的导师，承担指导学生的任务。同时，为了保证所有学生都有参与研究项目的机会，导师们将邀请学生参加到自己的科研项目中，学校也将在SRT项目、国家大学生创新性实验计划项目名额分配上适度向齐鲁学堂的学生倾斜。山东农业大学的国家重点实验室、省部级重点实验室、国家实验教学示范中心等教学研究资源将向拔尖班的学生全面开放，为学生科研、实践等各种科技创新活动提供专门支持。同时，进入学堂的本科生还能全面共享图书馆及各种信息资源平台，具有和研究生相同的借阅、使用权限。</w:t>
      </w:r>
    </w:p>
    <w:p>
      <w:pPr>
        <w:pStyle w:val="7"/>
        <w:ind w:firstLine="480" w:firstLineChars="200"/>
      </w:pPr>
      <w:r>
        <w:t>3. 紧跟生命科学发展前沿，制定了</w:t>
      </w:r>
      <w:r>
        <w:rPr>
          <w:rFonts w:hint="eastAsia"/>
        </w:rPr>
        <w:t>“</w:t>
      </w:r>
      <w:r>
        <w:t>平台+模块</w:t>
      </w:r>
      <w:r>
        <w:rPr>
          <w:rFonts w:hint="eastAsia"/>
        </w:rPr>
        <w:t>”</w:t>
      </w:r>
      <w:r>
        <w:t>的开放性理论课程体系</w:t>
      </w:r>
    </w:p>
    <w:p>
      <w:pPr>
        <w:ind w:firstLine="480" w:firstLineChars="200"/>
        <w:contextualSpacing/>
      </w:pPr>
      <w:r>
        <w:rPr>
          <w:rFonts w:hint="eastAsia"/>
        </w:rPr>
        <w:t>“</w:t>
      </w:r>
      <w:r>
        <w:t>平台课程</w:t>
      </w:r>
      <w:r>
        <w:rPr>
          <w:rFonts w:hint="eastAsia"/>
        </w:rPr>
        <w:t>”</w:t>
      </w:r>
      <w:r>
        <w:t>主要为生物技术专业的学生提供系统宽厚的生物学基础知识，形成与生物技术专业发展相适应的基本技能，包括植物学、植物生理学、基础生物化学、普通微生物学、细胞生物学，以及分子生物学6门课程。对这6门课程进行整合，即统一制定6门平台课程的教学大纲和课程教学标准，使其在内容上既各有侧重又彼此衔接，有效地解决了课程间的重复和脱节现象。</w:t>
      </w:r>
      <w:r>
        <w:rPr>
          <w:rFonts w:hint="eastAsia"/>
        </w:rPr>
        <w:t>“</w:t>
      </w:r>
      <w:r>
        <w:t>模块课程</w:t>
      </w:r>
      <w:r>
        <w:rPr>
          <w:rFonts w:hint="eastAsia"/>
        </w:rPr>
        <w:t>”</w:t>
      </w:r>
      <w:r>
        <w:t>旨在满足不同专业需求或学生个性化发展需求，主要开设包括发育生物学、生物信息学、基因组学等能够反映生物学最新研究动态的知识拓展型课程，保证了教学内容的先进性和开放性。通过选修课程的调整，使专业特色更加鲜明。</w:t>
      </w:r>
      <w:r>
        <w:rPr>
          <w:rFonts w:hint="eastAsia"/>
        </w:rPr>
        <w:t>“</w:t>
      </w:r>
      <w:r>
        <w:t>平台</w:t>
      </w:r>
      <w:r>
        <w:rPr>
          <w:rFonts w:hint="eastAsia"/>
        </w:rPr>
        <w:t>”</w:t>
      </w:r>
      <w:r>
        <w:t>能够满足学科大类人才的基本规格和全面发展的共性需求，体现</w:t>
      </w:r>
      <w:r>
        <w:rPr>
          <w:rFonts w:hint="eastAsia"/>
        </w:rPr>
        <w:t>“</w:t>
      </w:r>
      <w:r>
        <w:t>厚基础，宽口径</w:t>
      </w:r>
      <w:r>
        <w:rPr>
          <w:rFonts w:hint="eastAsia"/>
        </w:rPr>
        <w:t>”</w:t>
      </w:r>
      <w:r>
        <w:t>；</w:t>
      </w:r>
      <w:r>
        <w:rPr>
          <w:rFonts w:hint="eastAsia"/>
        </w:rPr>
        <w:t>“</w:t>
      </w:r>
      <w:r>
        <w:t>模块</w:t>
      </w:r>
      <w:r>
        <w:rPr>
          <w:rFonts w:hint="eastAsia"/>
        </w:rPr>
        <w:t>”</w:t>
      </w:r>
      <w:r>
        <w:t>主要是为实现人才分流，满足个性发展的需要。另，在专业课程中，进一步拓展课程内容，创建了开放式的课程体系，聘请国内外知名的专家学者、企业家，为学生讲授了《生命科学进展》等课程，开阔学生的视野，激发了学生的专业兴趣。</w:t>
      </w:r>
    </w:p>
    <w:p>
      <w:pPr>
        <w:pStyle w:val="7"/>
        <w:ind w:firstLine="480" w:firstLineChars="200"/>
      </w:pPr>
      <w:r>
        <w:t xml:space="preserve">4. </w:t>
      </w:r>
      <w:r>
        <w:rPr>
          <w:rFonts w:hint="eastAsia"/>
        </w:rPr>
        <w:t>“</w:t>
      </w:r>
      <w:r>
        <w:t>产学研</w:t>
      </w:r>
      <w:r>
        <w:rPr>
          <w:rFonts w:hint="eastAsia"/>
        </w:rPr>
        <w:t>”</w:t>
      </w:r>
      <w:r>
        <w:t>紧密结合，搭建了高水平的实践教学平台。</w:t>
      </w:r>
    </w:p>
    <w:p>
      <w:pPr>
        <w:ind w:firstLine="480" w:firstLineChars="200"/>
        <w:contextualSpacing/>
      </w:pPr>
      <w:r>
        <w:t>在校内，以作物生物学国家重点实验室、农业生物学实验教学示范中心（国家级）、生物技术和工程实验教学示范中心（省级）及各学科科研实验室为依托，搭建了</w:t>
      </w:r>
      <w:r>
        <w:rPr>
          <w:rFonts w:hint="eastAsia"/>
        </w:rPr>
        <w:t>“</w:t>
      </w:r>
      <w:r>
        <w:t>生物技术科技创新平台</w:t>
      </w:r>
      <w:r>
        <w:rPr>
          <w:rFonts w:hint="eastAsia"/>
        </w:rPr>
        <w:t>”</w:t>
      </w:r>
      <w:r>
        <w:t>。2019-2022年度，</w:t>
      </w:r>
      <w:r>
        <w:rPr>
          <w:rFonts w:hint="eastAsia"/>
        </w:rPr>
        <w:t>“</w:t>
      </w:r>
      <w:r>
        <w:t>创新平台</w:t>
      </w:r>
      <w:r>
        <w:rPr>
          <w:rFonts w:hint="eastAsia"/>
        </w:rPr>
        <w:t>”</w:t>
      </w:r>
      <w:r>
        <w:t>共承担学生主持的各类科研训练项目120余项，参加学生人数占学生总人数80%以上。各类科技创新活动，极大地激发了学生的创新精神和学习兴趣，促进了学生创新能力的培养。</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为提高学生的学术素养和报考院校对我校学生的认可度，学院也从新生入学开始便不断举办各种类型的学术报告（图2）。学院设立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生命之光</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学术讲座和</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学术之光</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科研论坛，每年邀请20余位国内知名学者和优秀校友来校讲学；此外，学院依托作物学国家重点实验室邀请多位国内外知名院士及专家，举办了系列的学术报告。通过开展学术讲座，同学们深入了解了所在学科或相关学科领域的前沿知识，掌握了最新的科研动态，在与专家近距离的学术探讨中，同学们提升了专业知识，拓宽了视野，培养了学术敏感性，对于提升学生综合素质，提高人才培养质量，促进学生的学习意识具有重要意义。</w:t>
      </w:r>
    </w:p>
    <w:p>
      <w:pPr>
        <w:spacing w:line="240" w:lineRule="auto"/>
        <w:ind w:left="120" w:leftChars="50" w:right="120" w:rightChars="50" w:firstLine="460" w:firstLineChars="192"/>
        <w:contextualSpacing/>
      </w:pPr>
      <w:r>
        <w:rPr>
          <w:color w:val="000000" w:themeColor="text1"/>
          <w14:textFill>
            <w14:solidFill>
              <w14:schemeClr w14:val="tx1"/>
            </w14:solidFill>
          </w14:textFill>
        </w:rPr>
        <mc:AlternateContent>
          <mc:Choice Requires="wpg">
            <w:drawing>
              <wp:inline distT="0" distB="0" distL="114300" distR="114300">
                <wp:extent cx="4744720" cy="3053715"/>
                <wp:effectExtent l="0" t="0" r="0" b="0"/>
                <wp:docPr id="111" name="组合 111"/>
                <wp:cNvGraphicFramePr/>
                <a:graphic xmlns:a="http://schemas.openxmlformats.org/drawingml/2006/main">
                  <a:graphicData uri="http://schemas.microsoft.com/office/word/2010/wordprocessingGroup">
                    <wpg:wgp>
                      <wpg:cNvGrpSpPr/>
                      <wpg:grpSpPr>
                        <a:xfrm>
                          <a:off x="0" y="0"/>
                          <a:ext cx="4744720" cy="3053715"/>
                          <a:chOff x="1633" y="1773"/>
                          <a:chExt cx="9307" cy="7018"/>
                        </a:xfrm>
                      </wpg:grpSpPr>
                      <pic:pic xmlns:pic="http://schemas.openxmlformats.org/drawingml/2006/picture">
                        <pic:nvPicPr>
                          <pic:cNvPr id="112" name="Picture 3"/>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a:xfrm>
                            <a:off x="6752" y="1773"/>
                            <a:ext cx="4188" cy="3459"/>
                          </a:xfrm>
                          <a:prstGeom prst="rect">
                            <a:avLst/>
                          </a:prstGeom>
                          <a:noFill/>
                          <a:ln>
                            <a:noFill/>
                          </a:ln>
                        </pic:spPr>
                      </pic:pic>
                      <pic:pic xmlns:pic="http://schemas.openxmlformats.org/drawingml/2006/picture">
                        <pic:nvPicPr>
                          <pic:cNvPr id="113" name="Picture 4"/>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a:xfrm>
                            <a:off x="1633" y="1773"/>
                            <a:ext cx="4982" cy="3459"/>
                          </a:xfrm>
                          <a:prstGeom prst="rect">
                            <a:avLst/>
                          </a:prstGeom>
                          <a:noFill/>
                          <a:ln>
                            <a:noFill/>
                          </a:ln>
                        </pic:spPr>
                      </pic:pic>
                      <pic:pic xmlns:pic="http://schemas.openxmlformats.org/drawingml/2006/picture">
                        <pic:nvPicPr>
                          <pic:cNvPr id="114" name="Picture 5"/>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a:xfrm>
                            <a:off x="1633" y="5400"/>
                            <a:ext cx="4982" cy="3391"/>
                          </a:xfrm>
                          <a:prstGeom prst="rect">
                            <a:avLst/>
                          </a:prstGeom>
                          <a:noFill/>
                          <a:ln>
                            <a:noFill/>
                          </a:ln>
                        </pic:spPr>
                      </pic:pic>
                      <pic:pic xmlns:pic="http://schemas.openxmlformats.org/drawingml/2006/picture">
                        <pic:nvPicPr>
                          <pic:cNvPr id="91" name="Picture 6"/>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a:xfrm>
                            <a:off x="6752" y="5400"/>
                            <a:ext cx="4188" cy="3391"/>
                          </a:xfrm>
                          <a:prstGeom prst="rect">
                            <a:avLst/>
                          </a:prstGeom>
                          <a:noFill/>
                          <a:ln>
                            <a:noFill/>
                          </a:ln>
                        </pic:spPr>
                      </pic:pic>
                    </wpg:wgp>
                  </a:graphicData>
                </a:graphic>
              </wp:inline>
            </w:drawing>
          </mc:Choice>
          <mc:Fallback>
            <w:pict>
              <v:group id="_x0000_s1026" o:spid="_x0000_s1026" o:spt="203" style="height:240.45pt;width:373.6pt;" coordorigin="1633,1773" coordsize="9307,7018" o:gfxdata="UEsDBAoAAAAAAIdO4kAAAAAAAAAAAAAAAAAEAAAAZHJzL1BLAwQUAAAACACHTuJAMSO77dcAAAAF&#10;AQAADwAAAGRycy9kb3ducmV2LnhtbE2PQU/CQBCF7yb+h82YeJPdIgrWbokh4ImYCCbG29Ad2obu&#10;bNNdWvj3rFz0MsnLe3nvm2x+so3oqfO1Yw3JSIEgLpypudTwtV09zED4gGywcUwazuRhnt/eZJga&#10;N/An9ZtQiljCPkUNVQhtKqUvKrLoR64ljt7edRZDlF0pTYdDLLeNHCv1LC3WHBcqbGlRUXHYHK2G&#10;9wGHt8dk2a8P+8X5Z/v08b1OSOv7u0S9ggh0Cn9h+MWP6JBHpp07svGi0RAfCdcbvelkOgax0zCZ&#10;qReQeSb/0+cXUEsDBBQAAAAIAIdO4kA3/i6hNgMAACoPAAAOAAAAZHJzL2Uyb0RvYy54bWztV0tu&#10;2zAQ3RfoHQjtHUm2bNlC7CC1k6BA0Br9HIChqA8qkQRJ2wmK7rrosvfpeYpeozOU7MQftEFRtICR&#10;hWV+NMOZN++R4unZbV2RJdemlGLshSeBR7hgMi1FPvbev7vsDD1iLBUpraTgY++OG+9s8vzZ6Uol&#10;vCsLWaVcE3AiTLJSY6+wViW+b1jBa2pOpOICJjOpa2qhq3M/1XQF3uvK7wbBwF9JnSotGTcGRmfN&#10;pNd61I9xKLOsZHwm2aLmwjZeNa+ohZRMUSrjTVy0WcaZfZ1lhltSjT3I1LonLALtG3z6k1Oa5Jqq&#10;omRtCPQxIezkVNNSwKIbVzNqKVnocs9VXTItjczsCZO13yTiEIEswmAHmystF8rlkierXG1Ah0Lt&#10;oP7Hbtmr5VyTMgUmhKFHBK2h5D++ff7+9QvBEcBnpfIEXrvS6q2a63Ygb3qY8m2ma/yHZMitQ/Zu&#10;gyy/tYTBYBRHUdwF0BnM9YJ+Lw77DfasgAKhXTjo9TwC02Ec99ZzF639qBfEjXEchEOc9dcL+xjf&#10;JhxVsgR+LVTQ2oPq9wQFK7vQHIBHb2I5L9lcN52HcHXXcME8vk9c1GiCbzU2FIO5luyDIUJOCypy&#10;fm4UsBLSBPP1kNZyVXCaGhzG5La9uO5WHDdVqS7LqkLcsf131UN0wusbDqTQL1OIk8F+YIEXSpfC&#10;OppDXa+NxdWxwo7oH7vD8yAYdV90pv1g2omC+KJzPoriThxcxFEQDcNpOP2E1mGULAwHVGg1U+Va&#10;dWG0V6qDrG6V1+jF6Y4sqVN3wwoIyLFjHSIQBRHCWI3V3LICmxmA9wbq0NhsJhzS9+BiGQyQHi12&#10;aD6I+0CALboiFI7s4RD2UMf0qD/aIivwQRt7xWVNsAEAQwwOUboEQJto1q/gqkJimWGcJpXYGoC8&#10;cMRF3MTomhByQ1Vo/AsVgGabTWPeqiDChBG4o1IB1PpJBfsqOLBpb1QwGiJouN8fvwqiXRW40+3o&#10;VABif1LBL1TQj4L2k/KACnqj5my/P0rWG/1xnAWQ3s5RMDjKowC0/iSCfRFsPogOiOD+g+g/icBd&#10;EuAK5b4M2+se3tEe9qH98Io7+QlQSwMECgAAAAAAh07iQAAAAAAAAAAAAAAAAAoAAABkcnMvbWVk&#10;aWEvUEsDBBQAAAAIAIdO4kBkTrV19u4AAOzuAAAVAAAAZHJzL21lZGlhL2ltYWdlMS5qcGVnAACA&#10;/3//2P/gABBKRklGAAEBAQDcANwAAP/bAEMAAgEBAQEBAgEBAQICAgICBAMCAgICBQQEAwQGBQYG&#10;BgUGBgYHCQgGBwkHBgYICwgJCgoKCgoGCAsMCwoMCQoKCv/bAEMBAgICAgICBQMDBQoHBgcKCgoK&#10;CgoKCgoKCgoKCgoKCgoKCgoKCgoKCgoKCgoKCgoKCgoKCgoKCgoKCgoKCgoKCv/AABEIAWoCA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f&#10;wNJIP3bfKaxfDvxE8KanCyX+pwWd0oHmW1xKFZTj37HqD71oN4q8MTRssXiGxY46LdJ/jXnnqENx&#10;93oaq3I/csCppzanps3yxX0LZ/uyA1HLPbqGVrhPpupPVAcn4y8Hx6rbm5iLrIjK6svGGUhh07ZH&#10;I7jI719ofss+GPhd+0H8LrLxLf8AhXRW1e2/0bWll0m2P+kIAN/KdGHzenXAAr5TmljuImWM7v8A&#10;druv2N/jRN8Cvi9bxapcvDouuTLa30jbcJIT+7kOfu8naT6U6P7udjkxcHUo2R9t2f7H3wl1/SJL&#10;U+EtBjkAziLQ7bJ/EKDXn3xU/Ym+GWkW0OvX/gnTxbwzeVN+5CBUbADYRgchsDP9129BX0p4b8R2&#10;pnjlMHlrMq4bd+lavijw/Ya5pdxaSKWjubdo5FXvn8PrXqShyyseFFcuqbuvP9D5G0/9gn4I6tOs&#10;F98PLJ45P+ekswJz6ES5/lUHi7/gmP8ABG3uFWz8MTQxlQV+w61fov8A6Or6D8A3JltjoOptDHda&#10;bMYXEzD5wDw3K55HNd9cWNvq+jq0cUTtEM8KrfzolTgyo1q1Rv3nofiL8dfgpP8ACT4oa18J9Wa+&#10;+z6fqEVzpd1HqFxHMbeTDo5lDhw3JJG7gnFdHpnwytdPt1+x+KfEmSAQ0niK6kz/AN/HavpP/gq1&#10;8LodJ8U+H/iZZWar9st5LC+8uJVUyKxZSdoxkgnPuOAK8G8D6kmqaBE5bMkX7uVWPIIA/mMH8a8n&#10;FU/Z1ND3cNVlWpJlSDw1rNouyPxZqv8A20MUn6lM1I2la8Hw3iO8b/aa3j/oore/ChgQuT8vvWPM&#10;9jpMNYPEcKKg1XzP+utuM/oRQ/8AwkSni7tf+BWvP/oVbO1icgfpVW4tJHfe5OM0XAoNN4jjXK39&#10;sDj+G3Zf5NUMb68zM4+yM394xsK0jbO4IAbFKInUbdpoAzhN4mA/49rP/v44/pVe8n8YBf3Nlp/1&#10;a4k5/wDHa2OMZzTNxkBUIaqKuBzE9/8AEuMbk0bRyP8Ar+k/+IrN1TxN8S7OymupfDejsI4ySy38&#10;mQP++K7BlbGCtYvjl47TwnfSO2A0OB9SamceVoDlPhfqfiaPxBPrWjaD/aGbcRTt9oCFGLFivPXt&#10;Xcp448avL5M/wnvlX++uoQn+tSfBrSoNP8FW1wkG2S63SyM3U5OAPyFdVJyuMVmBz9j4p1F9rXXh&#10;DUIf7yqqt/Wpk8T75GWXQdSUD/p2/wDr1rFWHJSk/AfnQBmf8JNbZ502/Vf9q1NNm8V6aoACXKn/&#10;AKaWr/0BrTkzjgUza392kwMe58SaXIyiWVxj1t5P/iar3XiTQI2Xdf4/7Yuf/Za17+DzCvmLVKSy&#10;iDZCL9Sv+FZS+IDPfxHoPUaj/wB9RsP5ikOtaTN88epQsB1PmAfzqzPapv8AuLUL2lsw3PArfUCq&#10;jECle+JPD1qjSXOvWcar95nulGP1rn/EHjvwpaWcut3WuWcdhb8S3bXSLFuPQbicfrW/f6fYtEUj&#10;to9z/wB5B69Dx0/X0x1qnaeBre5l867gjMcf+rjCDax4yxA4z/KiVp6AQeFvid8Mr2COK2+I2hS3&#10;Df8ALGPVoWbHoAGzXSwyx3aCe2bzEYZWSNtwI9eKpyeF/D20xvo1rx2Nuh/XFRyaLYtCsT2sYWPH&#10;lr5Y49uh4q/sgXnljX5S3/jpqF2dMsTx9DWa+mWYOY7KJf8AdhUf0pradGh3Lbx/98D/AArAC21x&#10;EN0mc+te0eAPh34F1X4cWni6XSoJJrqM+Z50SyAHcwP3gccj8xXh32y6lXDTKO3/AB7R/wBVr0j4&#10;R/EeLS/BWoeFNTuVKwsZ7VGYKZN33l6dM89Mj3re4Hjmsw+NtU+Il1pF7o1rBp7XjLHOYkVmQMVA&#10;G3pkYOeKS80VdMuJLUPjy5CPvDsa1te8VWupeKd9hp8myORTJzx19cD+QqjfzveXUt28DL5khLr5&#10;74PP1HSlKPMBS+yOw80Tbv8AZzTAkiPmSPC+tWHctcgpZx/KPlPzHt7mszVnlkV4tOE0k+3Cxw4G&#10;eemWBA+pB/HpWcb3AsXJhljVN/3zhArfePoKZbaXKJQ7wtvHG3Odvt9ayrXwVqUNlcRW3iq6t7y8&#10;QCbVbeGNprfp8kKzIyKM9WKZbPPYBmj+GPFegyLFdfErXNRVRjZNZ6fGF9/3NsmPoPWtrgdAuigS&#10;tyevepo9PaA/Kajs725jXypraR/9pnA/klNurnVmK/ZRGvr5gP8A9aonsBMYzGf8mpIR8vKms/7X&#10;ryqWK2+F6/uW/wDiq9B+BvwB+Mnx21Y6V4a8Pbl4PmtAyrj16nH44qI35rEuRyBz2FLsbbu2mvru&#10;4/4JQeNbLSEvdQ8f2sc5XLQmxlOPYkD/ABrnbn/gm54+sSSPGGn7VBIL2U4yAcZ+7XVLC4icbxRj&#10;9aw6lyuR8y9vumjIboa+pNP/AOCYvxU1W1a8TxNpMcW3KyTRTR7uP7pT9a5vxR/wTt+MGhW3n6dq&#10;Gi3nzYwt5Kmfx8o0o4fE9Yj+tYXpNHz8Co6/zpS6Dqf1roPjf8EPjx8FtGl1LWfDvg9mVWaGzm8Z&#10;GO4mA/uxfZizflXkdprXxg1rRGnn0LSYb3zcf2fFqMyw7MHrcGLeTnsIwB03HJrOpzQ6GkZQnqnc&#10;66+1y2tCVT94391WyaoHR9U1x/OupXtbZjloo/vMKreF7XxlpsbSaz4OsY34KtZ6s0mPpmJa6C21&#10;m4bBm8L3cZA/57IR+e4Vk/eY1LuS6TplppMGyxgwuMbu5+tW0kmY5YMtVBrV2mR/Yd5zz/rYsfzp&#10;v/CQTY2f8I1ef9/I/wDGiSsVc01YlxknHviptsX9xfyFZY8QAJ+80K6U/wB4+Wcfkc/lQNfhbn7D&#10;cf8Afk1IXNR1T+GNf0ppBHUVmnxBbxHzDp90f923PFSf8JRpxG1rS898Wzf4Umrhcvbh60Vn/wDC&#10;Q6b/AM+l9/4Ct/hRS5QujevPCgtNYGuR2UcqxriSOSPh4z1GOxHb8veumsdJ8O3tlHe2GmWpilXK&#10;bYVP9KxT4oa8hdD4N1zbt5/0eI/ylrN07xtB4XuJY7q1uraydszLcQEMnq6gZyB3HUelesB2D6Rp&#10;qjadPt/wj7+tVbnQtKkH/HnF77hz/KmHxloc5jFt/aEySLuSePRLsoc/7XlYpX1/SSNy3JU9P30b&#10;R/owBoAz9Q8L6MsbOujQN9Aef1rLvvDditm0draLArLhtjY/HvyP51vXOv6IbdhLrdrH/wBdLhR/&#10;WsXUPGngywhL3njDSE28fNqEf+NQ463B7H3l/wAE+/j/ACfGD4Tr4d8QX23xD4Xl+xapHIxzOgA8&#10;m4xnJ3pjJz94NX1Vod499pYHmIzdto/xJr8cv2ef2qPCXwP+Ndp8SdJ8ZafeaO3+geKHs71ZFhhZ&#10;vkZypwCjZznsTX6H+A/29v2d76426T8StNuV3D/U3COHU9wVYj9cV6tOpGUVqeDUwvsq7lbRnoXi&#10;qH/hFPG1vrRsFNrqzfZ5nZvuzKCwONhzlA//AHx6kV2Hgy6G2S08pVDj+HP+ArgfEvxq+FHjvw/f&#10;aIniZUdrfzrSVYHykikOrgjIOGVScZ445rN8E/tG/C2axt7pvFMMU8af6SqQSna4yCpIXHBB71o5&#10;RMY0/Z1LpaHN/tz/AAxt/iR8DPEelx2rS3mmJ/aFnHGPm3pzxn1GelfmHo3hvxddeNbh9E8bX2lw&#10;SWamSO1t7eVHkDHPEqMRwVHXovTuf1o8Z/Gn4U6/Kps/FFnIlwuyUTblBDcY5WvzI+INnb/DX476&#10;94YS7tXs7LVG+y3ENwrq9tLyj8dOu3/gBrhxseZcy6HZl3tI8ye1yex0DxpACH8cvcf7Vxp8OfyR&#10;VFWlsvF6t++1jTj7/wBnuT/6MArSiZHVpFm7jAwaHLL0b/vrivP6Hpc7KHm+KYjjzNPbH8Xluuf1&#10;NQPqHiEOd0VmT/12Yf8AslagDOdrMPwqOZYhleA3f7v+NBXNoZputfcbks7X1+W8bn/yHR/aniLo&#10;fDtuff7d/wDYVcMW44Q/+O0oWQD7jCmvMIybM46jrgBZtBP/AAG4SoG1rU4QSfDd3/wGaE5/8fFa&#10;8jOq4IqsHRv4G/KnK3Q0MaXxRfRBpP8AhX+uSf7slkP53Irk/iP4zvLzTv7D/wCEF1jT1nBkWS+m&#10;tdkvIwg8qaRs55yQB7mvRGVW4B/SuO8ciLVvHeiaFJ8yhgW9wW/+xqQNL4fePtUg8M2un3Xwr8RW&#10;vkxBd/lW8in3Gydj+mfat+Hx9pbuI5tI1qJs9JNDuf5hCP1rXjtVtUUKAq7R8oHSk8nc28L83v2r&#10;HmigKY8VaPNHkPcL/wBdbKVf5qKT/hJdGzg3gX3aNlH5kVeKOBjf+VJ5bZyXLfhRzRApDxPoGcNq&#10;1uv+9IBQfFGggcatb/8AfwVbaAvw54qjdwAck5x7VnJ6gQXfiHTZtojvoG5/56VFLq+nFNwvY/T7&#10;4qQpDJ1iX8VFV7q1s5E2SWkTem6MHFVG7QEI1KzmLFb6HHvKP8arXmt6PaQtLcatbqq5/wCWoPSm&#10;XWjaNjMmj2jcfxW6/wCFZr+FPD+p30RXw/Zr5Lbty2qZyM45xWgFga1pct9HavqEMeVDN5kyqQD0&#10;HJ6mt6Ce3uIwtncxttH8Mg/xrDb4f+Gbi6+3ahoFjcTH701xZo7H8SM9Kmi8JaBaM32PR7eH/rjC&#10;F/lUqKjK4GlIXEp3x499w5qvLcw58st+lU3tbeFvKCt/30ajeBcfuhj1ockBMzKW+WmuflIqlJal&#10;Wzvb9aY8bqCyz1iBYZcn5aZPCqHco5A61T33WzCXTr+AqJ/t68nUpeOeGp8sgJBbSI7XCL8z/e5q&#10;OYSKhLfWqssUlzAwN9eLu4zHcYx+lUrvwMdahW4ufFGtWtuG2vNFqhjaQdggI5JPVulac3cDStIF&#10;vXZEnCpHxJJnhD71LMIbeP7PbKuM/vJNv+s/wqo+mQrJFHCbiK3hTEdvHMcNx1b+83fJ70s090kY&#10;Crlf9rnFRKp0Am2RxNs+X/Ck+Qt+7Qe/HWqD3rOm1ohu7stAvLgLiGXaPVsf4VKE3YulgDg1Lp1h&#10;fazeLZaVbvPM33Y4xlj2/Ae5rW+D/wABfjL8f/EkPh74d2czI0uJrxUjbYo6kL3HYscAd8niv0m/&#10;ZI/4J3fDr4IaZHq/i2GLVdYIDTecoZUf1P8AeP8A477V00acq2xDqRirtnzn+yX/AME1vEnj+SHx&#10;n8UQbHTOG8t0IeQdflB/9CPA7DvX3h4D+Hngb4TeHl8PeAtEhtYkUBmXLM56bmbBJrotd1vSdAsP&#10;3qc7CIYY48lzjhQB3PQAde1Ya6XqvidTNqZOm2m7ckKsPNkX/aboox6E/XtXp0cOqbT6nn1Kut2Z&#10;WpJLq121vpEbahdMwIVXPkop7s2MD+daOk+BbTRlXU/EuoG6uEVvLSRgIoQ2CVVfqo5PP8hek1Pw&#10;x4V0l7ewlht44Uz/AKwDHuT/AImvm39on9vrwP4EiubTwneJqF5HmOSZj+7SX0Ug/vWHouQO5FdM&#10;8RCjGzOGXvfDqe1eOvHmh6Fpc2oax4mh0+1t1ZmkmVQpX6lufyr4z/aQ/wCChF9JJN4R+DW5ONtx&#10;rUyYcHuYozwDnjc2fYHrXzb8ev2i/jb8atVa9tvFMNvb7yWjvreRyOf4dkgCj8CfevP4r3x9EQ93&#10;daXIxP7zZBLlvzc152Kx0pxaidGHwKesjovEGo6p4p1SXWvFWrTalqNxI0k11eSGR33Y4JYk8YAx&#10;04qMaa/lZjRfespfEOuI3+k6dG3/AFzYj+YNTr4tv1G1NEVf967A/wDZa8tuR7EYqOyNDyJCeT+t&#10;BjcdRWZJ4ovg21dKX/wLH+FKPEmpY/5A2f8At6H+FBMk2aG1t2MVIAuOi1lp4h1Bjg+H5j/uzIf6&#10;1IfEE8Zw/hy7GOuHT+rCgnlkaDJGy4IFCLCBgYrNXxL5ibk8O3xY9I90Qz/4/XPy/GKCbUG0TQPC&#10;t1eX0eDIqzx+WnJBPmKWU4wchckdx0oDlkdkFRzhdvNVtTvbLSot12+1mOFhVdzt/wABHNczFr/x&#10;Iv5Ct/4SvYbdm+U6fJbhnHsZJgR+QrV0fxFDpk/kN8LtagmUZa6uJLV8n/eExoJJ/wC1rj/oA6h/&#10;4AvRWj/wnz/9Cpqf/kD/AOOUUAdlPczOGEij/gVZ99ZC8Ro5F+mP8K0p7e5KsF8ST8+kMPH5pWTc&#10;aHqUmTH8Q9SjP/TO2s/6wGuyNS250EvhPVF0or4Vvbgqig/Y2k7rn7n4dq6BBG3Al3eoriNS8Baj&#10;qU63WqfEHWb5Y42EdrPDYrGzEcMTHbK4IPow/GneCrbxPPcTabrPje4+1QsPLE1rA25fqEBJ6ck5&#10;PWtFUTA7RrcAEo36cVUlsnlZv3g5/wBmllsfEaL5Y1eF/wDabT8H9HqH7NrcH7y61CFl7qLIj9d9&#10;aARz6TEiZkSNuv3lqq2kW8/D2MLL1CtEpAP4irzfbZU2LJG3/bPH9aaP7Stv9XDC2evWl10Yt1qY&#10;c/w38D3TF7vwDo07N98zaXE5b81qi3wT+F0bhofhd4fj9l0eH/4mus+2aogzLb2/+6GbJ/Sg6jqL&#10;8JYIfrIf8Kd5dyeWJz9r8P8AwppHyWXhqzt1LZKwwhMfTGAKzfFvgjRpbO6vLTT/ACppoVhnmSaQ&#10;M8fO1Sd3QE5HpXU3t1rLuphsIeP70x/+Jqhqv/CVXFjJDFo1m2V+815j/wBlqZc0o2HyxLXhj4Ne&#10;CLzRLG+lOsNN9nXMi+JL4DOOflE2PyFdJbeC7HSLcWuj32oQr/E0uoSSsfxkLVwvg7xd8UNLurjQ&#10;NL8GWupWduFeOT+0RFImfvLhxggHoc9+ldpaeLvEEjqt14Du4cj5sXULY/Jqyd4xDliE2j3kUm1t&#10;buW5xjKf/E1C+l3JkaJ766yD9w7OP/HM1a1DWJ7u1ktrO3urOfadssluHQfUKea8x8VeCPiv4mlY&#10;XuurdQM3ypHZLEo+g2cfnU3DliehHS7lB+8u5gv+1GD/AEpDpd8vzR6sRnpuh3f1rxiT4MeNYp/N&#10;bTmLI3ythMfqK0rDwB8WzdLMPEVxZhFyqR3DRofYrGQGH1qHUWwKNj1CaHXY1xDqtvj/AGrLJP8A&#10;49VG/wBG8Z3fNt4mt4fl7aWD/wCz1B4Vg8T6bprJ4s8RpfTqf3bRWpGB74A/rV+bxDpkC/6RdzA/&#10;7ED/AOFVGSlsUY8vh/4oRIzwfEGzXaP4tBVv5yVx/hPQ/H+u/EWZh4nt/tljMWubmTT/AN2VAwFC&#10;BwV/A9cnHNdlqfxH8KadCZL66vmVfveXYSn/ANlrF+EfjDw/Z65rGpavetG9xIvl5gdsryeqgjjN&#10;U9gO7t7LxlFGsUl/p8m0dkdef1pksvjqCQbE0x4/TdLu/WrkXjDwtcsqwarH8x6lCv8AMCrD6vop&#10;JVNVt8/9dlrjlGd7sCjFfa4y4u7GNv8ArixH86cdQ1Louln6NJj+lWjq2kN8q39vu9plo/tDTZTt&#10;F9EfpIKAMufWPEELHPh9WXOM/av/ALGkGpayyfNokfP/AE+D/CtJpoJTsQq/ptamXKhY8mMUAY93&#10;qOrR4YaAG/3Lpf8ACqE2qasWJbw5N/wGZTW1IA/yovt0qpeyJYwtJI21VUlmato/CBz+oeIdRE4s&#10;z4fkXdyZJJhhVB54xk1NY63eWkDTT+HLhvmYx+Vgll7cEjr1/Gr+n6edYkF6q/L06cn2/wDrVpm3&#10;iVcMv3eNrVQGGvjASfNJ4Z1VGPrDHj/0OpotYjuE3/Z5o/8AYkXDD8s1emSNWymOetUrm3jctI35&#10;UARy3KSHeijP+9UEtw5+6B/OnPaxsA7A5/3jUMkEcR3qPzrB7gQ3F5ap/rnkX/tmx/kKpx6nYTMy&#10;vLIuPWB//iavTD+Gq7Rt2DU+WQEYeHO1ZWY4z8sLn+lU7jUHt0eWbTrxlX+JbCVhj8FqxLnasaEl&#10;2bAUdWPoKsPo9nZFRqMQluomDwxtykTdmYdGPsRweetaR5luBQtdQ0HyBea3K0PmYazsZkMbSD+8&#10;+cbRkHA6mnS6umoTLLPcw/LxHHGwCRr6KO1TNaQCZprhY5JHYs0sy72P4nJpssEQbKJHt9uKxqe9&#10;awEVxc27DHnp/wB9CqN1eQRx/NcRrz1aQYqzcxFgdoVfcZ/xqASapasDZX0yN6xzMpx+dTZgZ8N/&#10;bXd2tjaXKTTNztikDYA6k88Aete8fs4/sy+EvF2q2+s/Fz4g6foWlrtlZpnLtKp+6ERckkjJyeO+&#10;MV4jf6j4mux5Vzr9+y9Nhunx/OqMl5rdpH5VrqtxEpP3YpmCj8M1pCUYyTkrkzTlFpH65fDj4zfs&#10;ffA7w+fDHw88W6XDH8publdxkmOOC7Fefw4HSuif9qn4YatcLZ6R48sY0li3/bLjcqj8NuT9OK/G&#10;c6h4gJBfXr7H8W68fB/WpLfWPFt3MtrZ67qO7pFGlxKd3XA4avSWOpxVoxOGWHlLVn7MQfHP4AeF&#10;5/7Ul+J1jeXkmd15Nchccc4BICj6dfWuM+On7bfwr+H2mm7k8RxX80kJa3tbWRec52s7ZCquc8nr&#10;g4zivy2l1rxjFayWviLxlqMgb72nw378n/bcH5eP7p3DsRWL4ge48WPJL4osrW+8yZpvLurKKZfM&#10;P8X7xSS2ONxJJAAzUSzDmVkiJYKVT7Wh9BfHb9vPxz8Vzcabod15OnMT/otruEIBxjfk5k4APYZJ&#10;4Irw278R3l9dm/1K/mnmbl3f+XHQew9Kw4rKy01dlj4d0mNf7q6Jagf+iqJ9QnVdiafp6f7mk24/&#10;klcVSpKpK7O2FGFOKRsnWYwcq6qKY+v2wO1nX/erAm1W+/1UaWyr6rp8I/klUrqS7uFYSyMO+UUL&#10;/IYqfi0HaMNUdFJr9urZ87d9KhbxLaRHLI354rj5Ip2b57ub/v5VOeFGYq0034TEUcrLUkzvP+Er&#10;sF5PGe9Kniy3z8smfrXnTwrECVvbjH8W65biq72Op6yfsvhy7unbobq4unCJ9ACNx+hoimwk0enX&#10;XiaygXzpbhFVfvM5AFQ2XjJtXj+zeGtMkum3f677sX4tXH6R8JLSSPzNc1bULiYncZJL+ViG9t7H&#10;A9uldZY6Jqtkqi38VagFXG2NhCyjH1j4qpR7ExlqaK6DqOoxf8VDqZMbf8utodqn2Lfe/WtnRtLs&#10;dMhW20+BIlznaoHPH86x7Ky1kNubXbhsnndDD0/791ehg1dGATXJz/2xi/olRa25W+xsxwK0uXXP&#10;tUghgztjVVP+yBWRDDq8rbW1qb/gUCY/lVpINVh+Zb4f7zQ//Xq/dM+WRe8g/wB4/wDfVFVN2rf9&#10;BOP/AL8//XoquWJJ6PJYXIUjy4+n96qk9hdgHZBFu/h3SED+RrWmeXqyTfhbuc/kpqJpVZebOf8A&#10;8B3/AKitOU6Dm5p/FcJxFommuP8Aa1aQfyt6x9WtPHs2ow31n4Y0uJo+RcQaxJK4467Gt0DfTcPq&#10;K6++8mFSzpcc88Wcp/ktUn1e1j+ZrLUH29o9IuWz+UdOXdAQ+DPFGra/ZSNf6D5dxbuUk+y3SyK5&#10;9SrbCmfTLY9T1rQub/UCWjbQbzb2ZfI/+O1zN74gt9H8QwalpmlasrScXEUui3MUe3B5LtGFH1JA&#10;zW9pPjvw5rYWawTUGjZTtMmi3S4IPvGB+Waak7ATQyTE5OmXif7/AJf9HNSF4j96GQhe2B/Srcdx&#10;HKgkRJMNyN1tIv8ANaZK8e0sFZT6+W1XGVgJvBmh3PxD8UR+C/CjST6lLG0kNmISGdVxuIz1xkZ9&#10;q7lv2WPi8kXnS+Eb5l/2Iwf5E15/4J8e3nwy+JOi/ELRpjHd6XqCSx5RgHXd86HjoVyPyr9Z/hd4&#10;u8NfErwNp/jXw35clnf26yR9ypxyp9weK6aPLUOatVqU5e6j8yL/APZ9+KNlMts3gLXvNk+4i6RK&#10;+R68LUF38AfjDYJ5k/wt8TMrdNnh+dsfktfqN4ys4ba5s/EHlqWtZis2ehjbhifpwa1oLGwmt2Ag&#10;Xa368VcsOpSumY/WKrR+Ms1zD8NfGc1p4o0PVNPLMIbuC702aOVC/wBx9jLuKlgBkcc1vf254b8o&#10;3J1BY/7vnKVP6ivpX/gqp8HdJ0LxXoXxZ07T41t761+w6gFj4aaI+ZCx99rSY/3a+d9F1jQ9YsY7&#10;nTtWtZkdQR+/UFfYjOQR05FYVKfJozrpz543Znt4g8MqxRtctyT975s1PFPpVxAs9pqEbK3IKtWw&#10;1nE6b0Mbf3drhiaZ/ZqSDDpj/ZZcVnyxtoaFKSG2jgWa4u02twPmFQfZbSc7VuV/FhWm+kwONrxr&#10;69qry6FaSDBt1O3kblBrH2IGX9p0yNip1eHPTG8Uj6posKsW1CH3/fD/ABq23hzSV5Ol2/vmBf8A&#10;Ch/Dfh6VMSaDZt9bVP8ACp5eUDn/ABB4g0ePw9fSxagkjfZ2EcazKSxI44Bz39KPg7pum2fgCG+s&#10;5I3aeaSSY7stnd/RQoqh8UvDmjWvh77JYaJaRTXF5GkTRW6q2498gV2Wl/DvQtM0m10qHTY1jSP5&#10;vLyvzEDPQjvTuwJ/sMc6NJ5cbbu/B/pUR02whhYG0iZsfe2UwfC/wfDKbtNNxJ/e8+T/AOKqZdBt&#10;rVCtoGUf3fMP+NJ3e5EnylNtPscZ+zR59lFNOn2AXmyj/wC+RVq50ZZoNryTLz1SXFZ6eHI/tDM2&#10;qXm3P3Vu2FZuAuYWXTdNkGGso/ptqtPoukNHzpsPHT92KuS6GkeBDq90rejXTGo7izdV2x3cik9W&#10;aQtmsyo2eqMO78P6HMcXGiW7j0aIH+lcrq3g3w/r/i+z0zQNHt7eSzbzLm6WLmM+n1rc8avqumWk&#10;cOk6vcSX11cIlrCqj5+efoMfzqTQvAHiTRYmdvF8kM9wd92Le2ikAc9gXRu3vya0jJWKH2vwz8G6&#10;fM0y6FB5ztvebbhnbuSR396svoenW48mF5lT+6t0+P51Ilhr1qxWbxBJcehmtYlP/jqgUXC6gBlp&#10;Yj/wAf0o5ogV1tYbbMcQb/gTlv51DcBtjfLU/mahjCmNj/tKf8ahml1TG3bb/wDfpj/7NVozctSs&#10;2elQXGTgEr1qWUXAbMoT/gCkCmxx25fNzK2OwVO/51HIaFKZZZMlGbPpxVC50fWr64jtdO1+9SSQ&#10;nAhWAY+u+Nv8itS7t7wt/wASvy9wO5mlUhEHq+D09upOKpahqXjCyU2Oh+HNPuLfrJcXGqtBLJ35&#10;xC+B7A9uasChL4S1exiktv8AhONQe6bdu1IQ25aHB+5EPICc92ZSfTFSabpep2iMJPEV1dHOd9xD&#10;CC3/AHwi1es5tZl41HSLW3z18u+aT+cS1aPlBWYmNcDO3d1oAo/aJCNs0XI+vNQytvk4JUf3dox/&#10;OrF9d20Fp55XEY+82QPyzjJPZRkk9BW5oHwb+OHiiwj1PS/2fvGkdvMuYZ77SVtgw9cTOrfoO1R7&#10;Ob2RnKpGO5y0hAbrVedyjbgfyr0W3/Zk+PeoSrFb/CLWPMZsKu63/M/veBVq7/Y0/adtX8yT4QXW&#10;08rnWNPyfw+05H4gGqlQqx3RnLFUY7s8ouZZGb7mPfimM1q8SmV299qjn866Lxv8LPip4A1iLRPF&#10;Xw5ubaaU5dW1bT28lP78gW5LIn+1jBPAyeKp28VppU0kUGh/a5oX/wCP6S6txAPQRq0uT/vOAf8A&#10;ZFY7aFqtTlG6MtPDl5exb5pGsbfdlLi4hDeYPRVDAuent6kU661jX9NX7H4O8NWCwt8r3F1q7x3M&#10;yj/npiB1GckbUwBgZzWtLLPqbfaby6jZ35LTXkX5D5sflUbRW9s2S9ud3Hy3EbfyY0Fq0tjN05b6&#10;SBn1OCztHPSK3kkmH4kxrUktjbIx23kbf8AYfzFXpRakbjLGAP8AaqqX0132C7T/AL+UFFGa3Afb&#10;hef4s8VJB4fivSuL63Vm/haZQfyJrSj063lXybe7Rg/3dvNSDwteF/LjjZs8hkhkb/0FWotcImDq&#10;Phy2sFLzahb/AC9QJAT+hrLNhYzNsi1CP/vljXUXfha9e4S2TSr5pZAfmGnzCNP96RkVFH+0WA9c&#10;VY0z4XaOpaTW725dgQPLtrKWJd390ySL/wCgqR71XI+4qnuo4mbwlDLIqWl4GdwThVPPGfz9q4vx&#10;h4l8M+CrhotZuZTMsyxMip8qsRkZ79PTP9a9v1H4chYgukW2m2Krysm4tKT7u4LD9K5DVf2W4Nam&#10;XUr3SvDt1clVzcXSwySNjgZLgk4HTNVHTcyU0ec6N4h+HOtbbi98U7txysPlMqD65H866y11/wAC&#10;adbrFDrsAXbkbm5rWg/Za1Wzk8yx0zSYm2/8u0kCfToRiqPib4C+J/DNtcaz4p1wqj2bJZ2dtdRn&#10;MmR8/wApLYA9eKcdAk+ZjovHXggPiPxNb8f7VXoPHfgRgB/wk1v6/wCsFcbbfsq/GTxVpH9ueD/i&#10;PHpkd1IstvJdSW06iLuuH24J9zkVp+Gf2c/H/hyJm8dfGLSbtlzuaea0gC/98N/M03KzsS9Dq4PH&#10;fgotti8Q25OP+egq9aeOfCUUmDq8P+ztcGuc03Q/h4Jm08fFTw7dXEa7pLfT9TW6mC+vlwF2/Suu&#10;0L4U32ogXGl2beWGx517Oi+2fLzuxn12/rSlG5rFco1/iD4RtYJLqXUT5ca75DHA7YX8BVLTPjf4&#10;M1u8l07Q9P1m8lh+8seiTqCcZxudVXPPTOfTNdJ/woI3ZDay32zc3zQrIqoB6bRxj6sa6Sy+Hkel&#10;2y21hp3kqq7dsYAGMe1RF2CWp53/AMLNP/Qn6x/4I7n/AOIor0L/AIV+P+fGiq5iOU76RNynbp1x&#10;/wB8p/8AFU1ItyEmzuF+u3/GtiFNXkjZ77S7cddpilPIHX7y1DIk5OYLGRh3xKvFdEfe2NjInto2&#10;GWtZF92UVVuESKL5YJm/3Yy38hWzcSy7D/xKZC38OZkqkbjVFP8AyAvxFwtT73YDHub+D7Oxube6&#10;K7cMps5Gz+AFc1p+vWPg3VJoYrW6/suUbyz2MqrbsSc8soyPYZrupJdQkHz6Ww/3pVqnfpfXdpJa&#10;z+HnmjkUhl+0Jj9TQrroA1L2yniWW3M21lyp+xy9P++ahurm0ThhMR/16yf/ABNQeD9evNIvLfwh&#10;4i0O4XcGFncxyq2F/hQ4PX+XTtmuguHRHZTo998rYDi1HPv16UcwHLXd3pEJEk6S5/hLWr//ABNf&#10;Tn/BPX9r/wAJfDU6h8MfiN4oW00uRTdaTd3W5Y45MjfESR8ueoyfWvCw0TLxb3P/AAK3/wDr01bY&#10;FiwT/wAdIrSMuWVyZx5o2P0iuf2tP2ZtVt5LQ/GDw+++Mhla8XkEciofC37U/wAArSxXSLz4x6FJ&#10;Nb/Isn29f3iY+VuepK4z759K/OfyY8YDMP8AgJoF5Z2AMUztk8/6kn+QrolipW2Of6r5n2v+2p8T&#10;vgB8Vv2fte0Oz+K3h+W/s7X7dp6pqMe7zIgW2jn+Ibl/4FXwH4L1L4YavpsOk3Or6RJcLGHFvcTR&#10;79rcg4b61q6p4z8O2IYXUlx0/hsJW4/BDWB4U8d+DNF1adLn7QILtme2b+zbhizD7y7QpYdjyMGs&#10;qk/aRQ6dO0rHYweDPDUY86y0i0VezQwIP5CpP7Iso3KCFRjsFqGGbwbqsYntra3SNunmWJjz/wB9&#10;KKmFl4ahjzt0/b/tbMfkalSsb8g7+xbUfObVsf7KmoJNGsGP3ZP+AzP/AI0yWDwrIdh/sr/vmPNO&#10;WXw+67ILizyv9yRRx+dP2gKNiGXR7J0IKSr7/aHH/s1U5PDumXIYB7jgf8/co/8AZqvNFpjSMLa9&#10;j9W23A4/I1GwsWRlW/mkB/h+3SAfo1Zy94o4Xxf4V0+78YaL4ds5br/St8k+LyR8KpB3fMTg5yMi&#10;u5tPB6RDdbeIdUTtxebufX5ga5HTPDmleJ/i3qAl1K8jtdNs41RodVnVjIQM4cPuAwegOBXYp4I0&#10;yF1kW81hWU/Lu8QXjf8AoUpFTyisizHotxAP+QzfTf8AXSRT/JaiuNOvfLKLeTL35A/wqaPR1icB&#10;dRumYH70lwz/APoRNST6fPJGwbUJl/2hHH/VKViZRuZosb+Nstqkm0f3owajMN7K21dUXJP/AD7i&#10;rB0q5E/7vxFeK393EPH/AI5TXsL6I5l8QXD9sSRxn/2SlqZS90p3NjqbDy/7WRff7KDWbqMGsWtt&#10;Jet4njjjiQszNZKeB178cVsyWk8g3Jqr/KcswRcD3IxzXIa1Yap8Qtdn8N2usxrp9jJm8kWAYaQY&#10;Ij4PzD1A4/Ssre9qaRkoxuyj4Y0Hxnrt3H43v9QjVirLaia16xngsMHjIzjH1rrEh15Rsmls2bpu&#10;8t/8amOleMJdsdr4msVjjX/V/wBj9B9fNpv2XxFbHZcXtvMf4WjtCuPzc1MtZaFKSauRlL5CVk8k&#10;lv7qtUN5FO4GYlP+7mrVzLfRKqSQgs3fJX/GoZJrsJgrDx0+c8/pSsyim9vOsZzAP++qryQkcmLP&#10;/Aqtyvd9d9uvqpZiRVQtfCTMsMRTuyOc/ka2jsY2uzPvEu/OLQaesi/9fAX+lZYm8RnUPLbw/Etv&#10;8265W83Y9tuwZJ6cHjvWxez3CyrHZ2/mYbMnmHbj0wf6nge9N826cjzbNlb+L5hgCqNimmoXOzEu&#10;myRqvRVZT+dAKMM/N68Y4/WrFwxMbfJyaw73WtSt42jg0iRuf+eqjP61nzgXvMh52QvhVycL/wDX&#10;rufgT+zh8Vf2hNWNr4M8H3SWSsFl1G6Xy4l565wcLj15PYHrXIfDTxponhrxRa6l8QfhRfeILIRb&#10;pbW01GGFQ/p8+ScfT6Eda+wfA3/BU3wPoGl23hXTPgLceH7CFVWNLO+jZV7N9zBzwOep710Uacaj&#10;1ZnUlKOx67+zt+wN8J/gLFb+MvF/k+IPEVv80N1fIBbWR65hiPG4Z/1jZf3A4r1y/tdR8RDIKx23&#10;LfaZV+XHoq/1NfM9n/wU/wDhC032nWfCmp3G1j5aJgITn7xzjcee465xVX4hf8FLfDGsaB5ng7wt&#10;qUeoSMwij1Tb5KLtHzgDJY+g4zjriu9VKNGOp5NTnq3PoTxb8QfCXw40OTUtT1GGzgQbTeXTZeZv&#10;7qDqT9BXx7+0f/wUAu7qebwh8NI7uGOYMJdSRRvA5GMjOw/QE/SvF/in8a/H/wAT79r7xBqNzIrL&#10;8yn5RgnoAOFX2H45wDXKx2sJQEqef9muLEY72jUUGFwceZubMnX9Y1TXpmu71ppfOk8xtsEjbm6b&#10;mJGWb3JJrPe0NwNrW8is38Txsv8AOuo+yxe9RSxIp2kr/wACNccry1PQVOMepyTaaIGw0R/Ko5rU&#10;yfKiYx/s113kxE4yvHZTVhFs4V3Tysvy8NyP5f1pcrNVKMYnDDTbljlLcn8KVNE1QyhhZSY9lrvx&#10;Yo+xidqyL8rTfLjnrg8n+tW/7O8OC223WnfapMAfNgRj3wM7s/hikJVJPocLpui39zfLZRwMZApZ&#10;ox94KCAT7D1PQV1WnfD1HG/UFUv18qJ935n/AA/Op08IeFHsLjT18J6StlcTCSfT49LhWCVwMB3T&#10;b87j+82TU9j4R8G20Kp/wimkx4/gj0+JQPwC0BU5uW5as/CmnhFtzZxlf+ee0YP+P41rW3hS1Rdq&#10;xKP9nFUbSx0222/ZLKGNV+75cSgD9KpeM/G2i+BNF/tbVo5G3NstoYYvmmkP3UBOFGT3JA/AU7kR&#10;lI6W10G2gf8A1O4/7tbEOlRPFuUcfyrxjwZ8XfF3xZhmufhl4QsY4bWeSC8udc1QAQyAfL8kIZmz&#10;+XvXhH7Rn7V/7Tv7PWq29r4jj+Hl415JIIUXR5sqF9WeUZ4I/wA5qlGUhVOaVr6H28dJUjKtyPut&#10;6GvlT9ob4nfEjxBdX2hyRwNptrcPBDDpl6GeRgwGZCF+QY/h5Iwa8A8N/wDBQ79oL4reKrHwLpOg&#10;fD/S5tVn+zR6h/Yhk8ksGIcBpWH8B7H6GsH9qD4X/Hf4geEG1/xj4q8L6hcaGklxaSR2ptZFXH7x&#10;FcBUAbGfmHUDpV04yZUKMejPr39m3x/418R6ovg+K38+y0yx2W8NxborSrxtbcRuBGe659K9Z1Hw&#10;VP4jg+z+JLlbeMrhobOMIX9tx5/LFflT8JvgL8Z/Bfhib4x+GviFZ29xqUcqyaLHrM8bKolyEzBI&#10;ijAGdpOBnGAa93+B3xy/aO8dWNvrngz4ufDvxRpu9QZNR8MhSuAMxZhSNgRx8zhzz1NaSo3V2ynT&#10;Uup9xWfgvwpplmum22iWnk9P3sKu2PqQai/4QPwgJQU8K6fGv8JFigJ/8dr5RX9rv9oLSfiCvgfX&#10;/g14U23CtJb6pax3BtwFQNhiF3KfTIGSa9C8L/HL43XkE2op4N8G3zQrlUttRuoeT25iOK5m4fzf&#10;iL3j25/CfhuA+XDo9qv+7ar/AIUsWh2MR2x2ESfSEVU0jxBZXVnZ3F1Eq388Km4tLO4afymK8jKc&#10;8epxU/lalqrMbPTplUNhjPqUiFf+AhiacVqF2T/2Pa/88Y/+/Yoqv/wimt/9Bdf++7j/AOPUVsK5&#10;rvJ/wjF40o8VXcekyIP3S3KSSW7Y65k35X27Hkd87NqIri3W5tPibcuh+7Hiz59jiEH+tPu7G1RG&#10;ibw4s3qFWL/2Y1izadFo2pvrmj+BJZZJ2H2yGVbfYwHG5f3mQ34GuynFRLpy5jf+zXDr/wAhDf7l&#10;V5/75AH9aja3ugdn3vxAqjpPiWw8RxNd2nw71aFY5PLkjmW3Vo2z0wJs/jitIQWWdz6Dco3oyg/y&#10;Y1oalaaK5j+UlR7Muf6is66h8Qs/+i3tjHjndNZO38pR/Sta4SxY7Rayo3oY2/pVWWDT2BV0kB6f&#10;NC/+FLlTA5HW/D3j2+k3J4q0VVSTdHt0SZWTnqrfauD7kMPY1r+A9S8e6vDcWWva3pLXFtIyNDDp&#10;UqyeWDxIzG4IYkY5VQOOg6VYurfRol3z20z84+W3kP8AJa57XdN0RH/tPSrHVobqORXLwWN1+8UH&#10;lMhOAR36cckVm4KOyA7phfqoCW8Mn95slP8AGobi41ThTp8Y/wBrzjz+S1i+Htb8L6pbG80zVdb+&#10;X5WE9tebQ2eRu27Tj1BNbEV1pw+T+05Dj+/cP/WptUADJeMvEEfT/nsf/iabG0ypuuZv4sfKxH+F&#10;I1/ZzsNmpn/v5mmXUlhs8wauBj1kX+opyjJoBtxNcwITbIsmf4Xbr+YrBv8AUNW03XdP1+Pw8sk0&#10;032Vo/PX5t3APOAuM568469jp3Go2HQeJdvrhYz/AOy1ieK7iyuNJldPHW54R5kUO2AZcdP4Mg59&#10;/wACODmoyvqB0v8Ab2uzloz8O7qJTyGmuLY4/KUn+X0qWJLib99Lo8iMf4fMQ/8As1VdAv11XTIb&#10;8eLmkZ413HMPDYwQcLjOfStBZJbcj/SjIP8AnptGD+NO0QMnxrapqXhG8SSziUwzW5XegJH79AR3&#10;4wamxpMUSxDSGCrxmO0J/pR4iPm+Hr8ZH+utz0OP+PiOnebOo4uV/wC+Tx+tQBXk1DT7dyI9LvBu&#10;44sW5/Sql1r2n2vzS+H9WG3+JdHkP8hVy5v9QJ4uY8evlbv/AGYVieLNT17TNGutRj1CzOyFjhrN&#10;x26Z808/hQBk/DE+HdUfU9cuvDc0zX2oyNHMNNJjVOy7tuM9QR2711cmieAlfzrnwtaxyKM5bT8c&#10;e/HrWV4FtfEmheFbG1ddP8vyt8MUcUkZXcd3LbmyeeeB+Fbp1XWpYyGs7b/eFy39VoAjgm8HWce2&#10;ytrOHacqUtguD9cU863p7/LHfR8/xL/jioZL3UQuTbRsO+bjH/stQyajqKphLG3H/b2f/iKBXC8b&#10;TbiZppdSuF3N/wAs7yVfywRVe5sfDlxFi41y+UZzn+2rpcflJTmvtR3HFlDu/wBm4A/pWX4l8X3X&#10;hzR5tau9JZkhGfLW4BYnsBkYJzQYS97cx/HUPhNo49B0XxRrEd9cTKizw+Jr1VhXu5/e4247EYNd&#10;B4W8EeCvC1gltpes3T/xTNJrU+HY8k7PM2j8AKzfh9Hfme68TeIfCNxJe6gwZo90DCGP+FQGkBX3&#10;yK6aSW15P/CIvG3X5vs//wAXQTyRHSeQVVIdYkjX/pnIpz/30DUckcsZwuv3RH/bL/4imtfQ9ToT&#10;/gsRx+TGmPfWzH/kFyD/ALZr/Q1PmXFdBk28t/yGZn9Nyx/0UVFILjdsM7Sd88f4U95tP++0DKF+&#10;9+4bis3Utb0G0s21C4hm8tOMfYZTuJ6AYTqak12Jrq5khYvcybYx97cf/rf1rOn/ALa1O6ZNPuFj&#10;h8oeXJ5fKN6kfxD24+o6GpJH4f1WcXOoaLex+WMLa/2fMce7bVIP4EirVro3huL95aabNGp42mzm&#10;UfyoKFOn+K1dh/a+m5750yTP/o6iFNU83/TZ7c/Lj91AV5/FmqyE0u3+RZJFI/h8t+P0qOZrNvuM&#10;fyb/AArJyYEckUz/ACiMGoW01JCTLGF96sb7VPllulXAz8z4qC91LTLWBZptQhVd6oo+0DczN0AH&#10;JJ68Clyyuc7qSuJHZMgZIlVmqvJaakkDSW2mQ7ivDNMQM/8AfJqOe002+dVvPEdxBznbHelc/qP5&#10;1Yis9NWX934ikYbs+V9u3Ln2HQVrYqMr7kNnP4j09FWHTdNmkaP95JJcMvlPk/c+Rt3bJIXtgA5J&#10;sW93q8kvmXtnb7mb53S8Z/yzGKu+Qo4BH/fVKU8sbgV469KiUObVmMlG7GsfNGwDHvUZCxj71Oa+&#10;t0GZJFX6sKr3N/YhQP7QgUsflAlAJqIv3kZe6tiXcCeKZPGspUMF455B/pTWsrjUrfbb37Q/N95J&#10;AD+oP8jTGsNRB2xeIZYyhwy7UbJ+pUmr5veHGVxn2fVIGV1toiu75meU7mUnooCjp7kZ9TjBvWmr&#10;XMI8u30Ro/m4lG2SQ/iWUD2woI9T2jt4b+E4a9Df8AUf0qRpL2JgVkx+I/wrQ0Jij38nnSpJHt7S&#10;MvP5E1YjVUXCc/lVUarMnE8iKO2cc0LqCyNtW5TnptK/l9ahwKUlE0rVxs2CnvEHOV+936f1rMVN&#10;SncLZ37RHvmFSB9f/wBdWktNZjZX/tZfl+95turbvy27cfjmo5WKVYmuZr22gZ7WxMoH8K7cn8z/&#10;AEryn9qa6lu4fDcV+gWNdQYfMRtBOMDjP9evbrXrls+phN0txCzf9cSMfr/SoLi2025uYbnVfDmm&#10;3rW7FoGvLUSBCeuA3A+tF5Q1HGPMeYfsK6SbfwPrZis7lv8AiYIiyTRtl8IdxB7jPphfSvF/+Civ&#10;wY+JXj/xDpz+GvAup3/2ea4DS29irhQQmPvdfwweK+yE8ea3ZQ/ZbFbS1jxtC29kFXH4YrN1rW7j&#10;WIc3rR7uhk8tv8auNWTBybjqfmL8Cf2e/i94V+Mvh3Utb8A31raw6rE809xo6KscYWQFic8csPz7&#10;19J+ONCsdf0XUvD+t+FI9Ts5rWSNtPblbsEf6sZICk9jkYr3nXvCP9p2y2+mafDdSufkP7xI8+7m&#10;QD8Bk+1Ztx8CtQljjN3qtjbsGy8NrBMfydpP6VUa3KyqfKfG9taQ+EtR1zwpoHgnUoD9oF9pdml3&#10;bkLMYV8yHcwdT823k8/N6c1mfspeFviH8NfG3iDX739n/UdD0/XFEr2a6xDMDcBiWkVVjQIHH8K/&#10;KO3t9U+F/wBm3HxGvI9Z8PXqwR3l3d/2g100cMqSw26RqmVOWHlvkDocc812p/Z88EovlRQX2xv+&#10;WK604B9v9WcVrKot2bRhGJ83XXjmefXpCfghqE89wyrNe/2jjaNoIU7HI+UYXoPUk9/XPhp/ZL6X&#10;ef2foQ0xn2E232lpWdvqTkfy/THpWjfCvwToUe2LwdDL8u0/aLxpcfgUxn34rcs1tNIh+yaZ4dsI&#10;Y+u1ZAv8kzXF7OmqnNBFWJdG0fwhdWSi60yybdEpYyWylg2PUrVkaF4Pt3DWen2at0LRxhc/lWbc&#10;+ItWL40nRIb1h95be7k4+reVtX8TUkM/j+c/ufDuk2/r5usySNj6rDt/U1pHmRi4l/7Fo/8Azwg/&#10;M0VF5fjv/nlpf/gdJ/8AGqKfvBys7S41e1uSp+0yx9v3bKKrXsenXKH/AIn14pX7ohmH8gK2SwH9&#10;3/gNNeGORTk816NH3kwjHkdjhdYtbUhpbXxrrlndLHtjk8maTjPcLH839Ksx/F3R9N+x6VrVxqsd&#10;xcKVjf8AsG7l8zb1cbIiQD6sBntmurk02yufkuLOGTK4YSRKwI+np7VC3hPw0sgnj8OWKyL0ZbOM&#10;f+y1ryyNjPj8UJq0P/Et1W5+bhfN0mSM/wDkRAad/aFwsYivdQA/2njCnr74q8dB04RtH9ghXcfm&#10;2wqP6Uf2VZRRbUtI/wDv2P8AClysDMe5s3BDalD7bmWq15qNvZQ+aNdsYVH8Vxcqi/mWFas2mWR6&#10;2yf981G2jafIPmtl/Akf1pAcBc/EGz8LXpGleN/DciXd0qvbLdqxQtxuCLIHcknnb+R4B6zRfEM2&#10;rRNMmt6HeqV/1umzbox+Ic1Yk8I6ZNHJFL55WThl+2SLxnkYDCrVh4e0eBRGlr5aquFVZ3x/6FRe&#10;2qAjmurjP7uWEcd5Khee7I5ijb/aWQ4/lV6XRtIyGEROOn7wn+tNfQ9Bl5l0yGT3kjGf5VpzcyAy&#10;5bzXF5t7CFl/vG5Yf+y1k6xrXi9GaC38L6fc7sD95qpTI/78mulm8JeF5lIGiW4Dcf6peP0rMuPh&#10;j4RncF9Pj/G3iOfzSs5eQGP8P7rUTp/9k6j4ds4TbyMskk15lgx7Y2c/nn2FdJItnCu42CN/sxqC&#10;P6Vm2/wx8Hafdi7tNIjjZQQu23iGM/8AAP5VpW+h6fCmBDzjqFXP8qxqU9NAKs4in8H6wLa1kzG1&#10;tvVIf+m6elY8+p29vJte3K8+o/xrtrTQdOfwRqyvBhbi4sVk49Z8Y9P0qhqHws8NalaSGPTbcylS&#10;Y2khDAN7jjI9sisuWT0JlLlOI1bxbHp1q0i28y4PbYFP4swFcL4x+LWmalo81mwkTaylvOvreNdo&#10;OeSZflBPc8CvUrrwHDp2l29nq8NndSQoxh+z2pt1iUn7u0Oec981QXQNOTKpDIg7LHcOo/8AQqv2&#10;c10KOE074zWN7af6B4chuFiULH9l8UW8vQY4EcrZ/AfhTbj44W1rIsd18Ntc3MM5tbS7nU/isZrv&#10;joqBf3dzMv8A23f/ABpslpLGhMeo3S9/lvJB/JqnlkBwP/DQFlC2E8AeLV9Avh6+b+cNOb9oWzk/&#10;1/hLxdEvf/imLs4/8hV2skLsuJL66bnveSf/ABVVNQ0+2khYLLNvbhTJcMw/EZ5o5ZE+9KJycnx3&#10;0a5TNvpnioybv9S2gXETH/vtRXN3HxU0rxZrsdxe2/ik2Nq+RHa25fdMvRuw49BnmvnnW/j78Trx&#10;3WfQvB9xEH/drfaD5uCO5BJBOe+Ksab+0f8AFdY1jfQ/CLFV2h10MAgenWqVOTMeaEdJH0/bfGfT&#10;fPbNh40LY5aewbaa2YvjHpAVd9v4gTK/xaXK38ga+ZNN/ah+L0K7ItH8Mrt4+XR0H64qWf8Aam+M&#10;AQltE8O/8A02Nf8A2Sh05R3I54uWh9QR/FqxvBtK6pCF6btGuDn8kNPk+JmmQqY11bUE3DjOhzn/&#10;ANp5zXyFqH7Xvxjjdlt9H0XP+xaxr/7SrkfiX+2V+0DbeFdSvtOmtLSS2024khmj8v5GEZIbHl84&#10;I/Gp5JN2Li5Lc+0tT+KVvHeR2cHiy8jmkUlY5NFdfqSZUVR7ZPNXNKmF68F14j+JmnPNbtuazkMI&#10;UZHUg9G/QV8I/s5n9t39oj4OaP8AGQftJWFn/asl0I7ebQ1MkPk3MsB+ePb1MRPHrXpFn4A/bzsJ&#10;FeD9p3RnKtndcaROx/8ARlTKiubWVjT2kZbH2hZ6toV2VlbxFZzMeA63EWP0NWvO0dztGsWzf9va&#10;/wCNfHUWmf8ABQa224/aF8IXGOhl8P3Gfz82nC7/AOCjNr/qPjV4DkXP3bjwxcN/7VqZUkl7sjF1&#10;JH2GLa1mGYrmJh/eWTOfxBqC608RqZTexxqvJLNx/Ovjw+MP+CkKHyz8XPhuuP4P+EYuQB/5Fqnd&#10;+M/+ClszGOb4h/DS4g3D92+h3eG9Djz6zjQk+oe0l3PrmQaxqhH9kXNvLGJNstxICIx7Dn5j7jIF&#10;T2vhvX1ffeX1hcN/C7QuCB7YbFfIsnxV/wCCnkYVF1n4XTbfut/Y9ynr/wBNfpVEfE3/AIKVwy7n&#10;034VybmywGnSrn/x40ezns5EH2vLFc2UDT6vdWsMaruZtrL/ADJrFsfiH8Pr66aCfx7olryQq3er&#10;xLIzA4+4XzXyRb/Ff/goLFPvuvhr8K514Kjy3UgjuDtPNb0X7R3/AAUUjcGb4f8AgWTy2yv/ABOp&#10;l/8AadacvL9pMuDjbU+r7e50K9XdaeLtLmX+9Hfxt/Jqm/suSU/upoZoT/EkgOR+dfH998ef29L+&#10;5F3d/BvwG0gXAlXxAwYfiYScVm/8Lc/bGiVoG/Zh+G915jEyeb4hLeYx7nNvVezk+xFz7Pl8N3Ev&#10;McBYfxN5OWH9KbB4ae0f7QtlGD08yRtv9K+J5fix+1jb7Uf9if4ZybR8vl67tP5+SKq3Xxg/alA3&#10;yfsIeBZM9rfxM3/xApewZlys+2tSsZITmLRra4mbmOOGZfMb/wAd/ngU200nV4VXzdFht26lWuBk&#10;exwtfCs3xl/aGV8t+wN4bjkP+sePxJuz9M4xVy3+P/7Q1hEptf2Mbm37sbLxZt59sSDApKg1LoUl&#10;aJ9xNBfAfJZhueSsnT/x2i4sL5RlLSNv7xkuCoH44r4lg/am/aXtDvuv2Y/HDr/CIfG4wv5zVoWf&#10;7WXxxtyZf+GTfiNI7Lj9344iK/k0lU6U0C5j7EfQLC5jZNZsLZT02xxB930Y4/lRbeEfC1vA0lv4&#10;YjbcMybIYstj1+bk18it+1t8aGjYSfsqfFdd2csvjS1fH0/edq09B/bb+IOhKr3f7F3xOvCowxvt&#10;etZ/x2ltuffFR7Ko9hyV3qfVei3tjdK0mk2d3IschQtCoMQI6jcrbT+FaLyXWFb7PLz2ZR/8VXy0&#10;v/BRzx3bMHl/Yr8fxqv3j/o8mPyY+1U9U/4KUfEFziH9lz4gW0TDC/8AEnjZl+h3H+VZSp1oyFy6&#10;aH1k1xLFG00waFFUlpZsJGo7ksTgD3PFQJG+pzYtrSSVdqt57TbIznuCxGfwzntXyVpv/BR7xxbl&#10;S37PvxA3Bid8vg4zMPp+94/ACtRv+CmF+rLHP8AfiMrY+Y/8ILL/AEY0So1ZKxcfdPpbWvBWn3sf&#10;l316wVm+ZbWSRWH/AAIGqr6f4GtPLtbLS9SQW4/ds0V1IVf+8CQQe/rXzm//AAU102Jd1x8D/iUv&#10;qR8Pbr/GqZ/4KtfCyy8Raf4Z8T+GvFGh3GrTeXYnXPCM1qrtx3dhwMjOM4yKmNGtHoWvePqf+2LC&#10;7Vc3OoxsvG5tPmGfzWke+2MVmvbqQL/dt5CB+S14DL+2f4S1aeOO08Y6bGpYiRmtc4+mXGKTV/jv&#10;oevQNbW/x9is42wRHZQwJ+DZJyPbiqVuqCKaZ7fqHjLQtOuI7G7utQWaXPlxHT52dvXCqhY49gah&#10;/tC61WH7Tp0WqQ843XSeR+IVx5n5qK8g0T44+F9GtXhs/i5pLSSMC00trbqxYdCSrLk+5yav3H7Q&#10;3hpV8y7+MHh7OMbrkxIPzMtEve6HRzRPTJdC1u/iWe98a6hAEb5Y7eVVB+pYE/lSQeErK1umvpPE&#10;2oSb23bZrwOufYEf54rgtK+M4vr2C10bxnpF48rDy0tZo/nPoB5hyfpXRL4n8YzzqG09Hz1ZptrD&#10;9DWGsAjK52kF9NBCIo9Vd1UZVppl5/lVi08TWEc5OpX0fyplmkmUAD1rjG/4SG8h8s3F1GWOW/fK&#10;cH8UqWDTNRh2slh5zBgd1xN5mT642/yxTVSXco7D/hYXgT/oatK/8GUX/wAVRWH/AGhrP/Quw/8A&#10;fw//ABNFX7Rge6S6bCvSq8tuoG1K0J2wD9KpyOuete3T5YnPe5WFvg5Ap4Qk8irCQb/uofypsiBO&#10;GTFbIOYj8lM54/Oo5rZSuQfyqYsB2/8AHaT5XO2nyopOXQq/ZkIwaabRR0q79nGcU0xBe2aXJHsH&#10;NIp/Zv8AZoW1ST7y/lVvZ/0zNMIAPC4ocY22HFu5GsEcfKr+lNmijkfe0S1MTgZqOU/MM1nY1I/J&#10;j/urTHto8bql3D0/SmuRt6fpRygUp0CPgU+O3idQzCm3Rw/NNe9t7K3a4up1jjRcs0jBQPzqeUDU&#10;WB/+EF1Rwvyrf6eP/IxqzbxrHEzx5+6c1ynxb8Tav4e/Zb8c+JPCepJBqEcll/ZdyYkkUTBpGB+b&#10;5TjGeeD7g18E61/wUF/av8C65ceFfEvxVtBd2eUuFXQbCRQ2OnmR70Yn0Gcc5xiuO/LID7v8fX4s&#10;NQWMMc+Uvy/U1yNx4w0K3GJNWtVPvcL+XXr7V8YeLf25fjjeyxL4o+I0Zkmtgy+Xo9suVYcHMaEf&#10;h1Fecr8T7UJI/wDwld0rbg+37GW3MDkEkxdc0RqPqwP0WGvlztikjbP91qq3XiC0ibE+oQqzLlUa&#10;RVJ69Mn2NfCEP7XPxBgi8my8ZzPheS1r0/K1rA8X/HzxX4pl+2arqhuZBDtjkkt5V28kjgWR5yTz&#10;R7TuB+hi6/YsMpdxt0z5bBse3FR3WoRyRMyPn0/Ovzr8OftTfFDwPb/2TpV+ZI1fepuGujyfrYn8&#10;ulblt+3J8XluFlmnso26bpVvXX8ltFFHtCJStEZMRPNKT3lJ/WlsghkKt0zXHw+OZbgmWXUrONGJ&#10;KssU4/QxjFXrHxUJnCQeJNPDbfvSQvj9WFP2ljknHmdztbPaX2oflqW+Igi3I3WuPXxbdwHadasJ&#10;AOf3KqP/AEOcVm6n8Uj5RjmaP0DLcW39bpaftJExjyvU3NRmI3HfjOa4j4k3Dv4C1zzXz/xKLr/0&#10;U1Mbx/FO7q8ye3+mWvH5XBrm/ib4rjtvBmqyC8VvMsZotnnRNnchUn5XY9D6VdOpH2iuipKTlofW&#10;n/BLa2ik/Yb8Gyumd02qFfdf7Tuq+gZtNtJVwYF9iK8i/wCCV3w38V6h+wH4J1iw03zLNG1MSTI4&#10;wp/tS7GD7nFfQd38PPFFkVWXT1/eZMbpMrK4BxlTnB5yOOhBFeZWxVP6xKPNt5noxwOLjTT5LnI/&#10;2ZtOI2x7VKmlRMB5iru/GumXwD4jZdw09f8Av4v+NQy+CPEkeGFiv08wf41zyxFO+rI/s/MZS0pP&#10;7jm59K08nElstU59LsBJt+zrt7V1w8E+JyN39mLyevmL/jW7Z/sz/GXWbOHWNL8A3lxa3EYeG4hZ&#10;GRxnHGG6gjB96XtqbWjKrYPFYWPNXg4ru0eXfYLAPjyv/HjThplmefK6/pXpOo/sx/HGzTc/wv1Q&#10;/wC5bE1RH7O/xrVsP8Ldc+n9ntT+LZnP7TD/AMxwSaXZxnJjpz6daupxEOnWvQT+zZ8bOo+FHiD/&#10;AMFsn+FIP2cvjgThfhTr3/AtNk/wquVmUsRhl1PN20m3xyp/CkXSbZG3eX+dekyfs4fHIHA+FWvf&#10;+C5/8Kjm/Zz+OKLmT4Va9tH3j/Zz9K6ox5Tm+sU+553JpUEhzjj8KaNIhHBA/DFdzN8EfixanE3w&#10;y1xV7s2nvgfpUFx8HviXBH5kvgPVVXOM/YX/AMKVp9x+3p9ziW8O2TtvIYn60Dw9aDjDYrrH+G3j&#10;uE/N4N1X/wAAX/wqG48D+MrVfMm8IamO3/Hk/wDhS5Z7h7aHc5keH7QDn88U6PSbVCSpaulbwP4w&#10;Chj4U1Hn/pzf/CkHgXxfL08J6ljv/oMn+FHv9yvaR6M5+3sEKnyzVy00lXGXzyK3IvAHi0P/AMgC&#10;8Xbxt+zt1/KrEPh7WoU2yaDet7m0f/CnHm6gqikYo0BwhEclEegxq3mS7t/qDW5/ZOrgYOiXSnsG&#10;gYH9aedK1NUUtp8y/WI1EpNPcftFHcxG0qAnhFGPu8dKju9JuXEfkIrL5g83dIVwnfGO/St9dIvW&#10;fD2x98imvZsi52fhg041Lbsn20e5jf2dZnhrZfzyK+L/APgp/YrF8Z/gsFj+STUtRWRcnDYNl/Lc&#10;a+4/7MMhLKGX/gNfE/8AwVYjFj8Y/gjNJLtVdS1Zm3LtAwbDua6sLU5qlmDlfZlCHTrLhPssZHoU&#10;B/pU/wDZlkTh7WPHpWRY+MvDpOW1W3P+7IKuN408NdtZtfb98K6akqctkbU4yRbfRdEYZOm2+f4c&#10;wr/hVSXQbNHWaOztlkzncIFyPxxxSDxZoDNhtWtx/wBtAae/iLQZVyNYtv8Av8tYyiaPQ9B+BNuz&#10;fELR5Jju8u7Qr+8bjn619dWW138wbge4DGvjD4OeOfC2heLtP1DUvEdnDFDcq0jvOuAvHvXtXxD/&#10;AGvfh/4I0e31HR71dc+0XIia2028jDJ/tEnOBXO+V9DSJ7lHK+QFOKuWjyBs+ZXgPw3/AG3Ph/4v&#10;u7i016yXQobcDyZtQvgfOJPQHaBn8a9A0/49/C+7j8238eabt6/8fqfyBrCUY9CvQ9G86b/nr+tF&#10;cL/wvT4a/wDQ86b/AOBS0UuUo9Z8b/tG+HvDmuXGgtoGsPJaybJiunsuDgHGDz0I6gdaxk/ak8MM&#10;cnRNV+v9mv8Anxms/wAafEnQ/BHxQ15vEehTXEU3jB9Mt/KjVgs0jYQMDnjOFzg459K7yG0XWNJ0&#10;vWfC/hq1zI8guI7i3RhGVDqVJGAfnXr34Pevbp4eVWClcyvBNq2xziftT+CR/rjfQn0bS5x/NKf/&#10;AMNS/Dxk3z6syr6yWsg/9lra+I8c3hfWdHs9H8G2lxBqCSpcSLpbyf6QvlbEYxqdqlC46EjB9RjS&#10;l8G+E9T8R6dptl4Ssb6xvILqWfUIYw2xo3iHl5Axg5cHvwcdDWscHUjsyOej0ic3b/tM/DOVQF8R&#10;Wef9qXb/ADrodG+JHhXWcSadrEEvcCOYGl1f4efDOw1m10nUPDFqs10GMLNZuMlcEjdjbwOTzx3x&#10;kZ8F1URad+0Fqun2SGC3t1ZIrdGO1cMR0qKntKLUZdQpVI1JcsVsfUGmzQalD5kbe3Bqc2Hkudnz&#10;VifC+2uJ9KhaRiflzzXTNFIs23FXza7m0loVfs8n/POgWquf3qVbCMBgo1IY2Y52tVvYzjuVfsUH&#10;90flVe6tE835I88VoeUf8io5bfLZJPSoRqZ/2U9oaimgPIxj8K0/s3u1Q3NuScjNAzIkiDDbj/x2&#10;sfxt4fuvEnhTUPDNhNHDcahYzQW80iZWKRkIV8Hg4ODg8HFdHNbv0Ibr6VHtONoU8e1AHy/4W8VX&#10;vxP/AGF9a1fVPFV1a634W8RvpniDwsNoihvobe5hlH94x8idASQvmqOMAV8ofti+E7bW9SvtfuDG&#10;x0DR579YpoQyzFVjG0+gOTXq/wC234n8LfsoftlQ6zeeO7jSfDfxS8ONd65pcLhYW1SFZbaOd+OF&#10;YbN2DnKk9Ca89/aruLa90/xld2Vws0MnhG5eCRWDB0JiwwIyD9a4a0bVUu5LklBy7HzdcftLeItW&#10;ljTVvhz4duvKjWGFpLM/JGvCqOegFLB8dpE4m+Enhxv+ucLD+tcKi/JnFDBuoau6FGmo2Z4FTGVp&#10;S0Z6Nb/tE2MJxN8I9JYsf4ZGXFTXP7QOkSf634TWJGPux3zCvMhvPBf/AMdpXiDDksKPq9F7oj61&#10;X7noVz8d/CbxYm+Dsbeqrq0gz+VZ7fGT4fzvl/gztJ7DXJa4doUPy7mpuxox8q/+O1P1Wj0QfWMR&#10;3PQIviv8Obhdtz8IJMf7GvSf4VPB8V/hfA+4/CW7X/d1pz/Na82ZZJBt8of980eVMD/q60jhaNtU&#10;L6zW7nqD/GX4VqP3nw41WEf3otUyf1xSD4u/BmXIPgzXl/656kg/rXl/kyf88qXZMOBHVLDUewvr&#10;Nbuelf8ACzPgwwYQ+G/EyN0Pl6pH/U1x/wAWPiF8L5PB15p1lpvibzp4mEf2u8ikQHHGcHPWsMxu&#10;Tl4qw/HUajSWeRPug8HvUyw1OMdF2NI4qtKSVz9cv+CSHi/U9G/4JxeD9GGoSLZ3cmqfaIs8Hbq1&#10;5tHfp7V9BX2uw3OkQ6rBZyRw28exUkYs33ic+nfsOfTJzXzh/wAElNJif/gnT8PWHRm1bp/2Fbuv&#10;p+98BarbeDDq114fuDp81x5bSFSNvA55H3TnG4cZ4r4LGUY/Wpytrdn7JR5sPhYKTteKt6mTpus2&#10;tzZG+3Hj+H/61OupIGKzeYoXbn3qPT/DhWWPTNEtZZTNMBGigsc/0xXrHh79mOa501r3XNWaGaZR&#10;uSCHdjPqT3rGVH3dDqjnFPA0LYmSUjya2vopbZ9QiY+XGxHy85x6V0fww/aA8b+CNN+0WIjk08yf&#10;8eN2uSOf4BnIyckdjWvL+zR4ltb8aHpcXnae3P2i4+Xbn1xXa+FP2V/BWl6e1vrLG8eQglZvlUcA&#10;cBeO3WppxnGWzOPN+IspxGHhGtNSUovRdH+h2fw2+LeifFPwrceLrK1mT7HI0d1bMm542VcnAHUY&#10;yR3IHTtV7wz8QfD/AIh8Df8ACwhZ3lrYsxWH7ZagPIQ20FFBOQxwAc8nis3wN8HPCPgix1bTdLSZ&#10;IdY2/bYorgrnaXI2kcgYcqeegA4xVzTPhXoVt4C1H4fQXV41vfxsrzSXBZkzgfL2AAA4r16J+O4r&#10;6rCo5U5XTLmh/ETSdW8Kx+MIrW+ggmlSK3jurbY08jsFVYyTtlySMFGYe9RaL8VPCOvaDqHimy1F&#10;v7P03UGtJ7mZSmJFKK3DAEAM+CcY+U9RTtD+GXhTR/Cy+E57aa8tlu47v/SJN2JkYEMCckDgDGTx&#10;xUmjfCPwNb+GLrwidFt1srnUI7hYUjUbNixKoHHpHnPqxrr5WccqkNzQ0HxXo3iyC4l0KZ5I7W8l&#10;tpHZSMuhwdv95fRhkEcg1pRPJEwbe3FZvgr4aeHfh3Z3Nj4ekuPKupmnkSaQFfMZiWcAAAZBA/4C&#10;K2DCp+U1tFSMnVjP4WBvsn5pKb9smDbrWY7vrThYgjIWiLT2WTIFWZOUrblyKSdl3bzn3atC0i8+&#10;JlDfP3w1Qw2BZAGFXNMtVhdjjmtqfwmPtJXsV3tr2KTJvJFGOzHmszxb4gu/D/hG+1ca9FaNDCyw&#10;zXc4jUSlWCcsQOWwM9ASM105t/P4C/d/zivJ/jH8MPjb8UXm8JaZq+m6PoMh23kkbmS4ul4OCMfK&#10;OBwDnpRUoudPQ9jJ3RqZhThWmoxurt7W6lP9lH4g+Jvid8NJk8R3z3V5Z3zRteSyZaVT83zfTkV7&#10;NFo+npYefNZwyNHH8ysoOT6V5f8ABb4K6x8HNSubW08WG70OWBDFZtEoL3OP3kxOOM8ADPSvUrzd&#10;PpkjRRhiNuRXl+9FWZ6GfV8JLMpzwr9zpY5mfSop5FuJtLt2Vxlo1iU7cnitPQPCvhRLhrnU9Fs5&#10;AVAVDYiU47dAccn1rQMME+jrIunLGZGVc915x/Sq2j2Wotq0kFshhWPI3j+KuKSqe00vqebHFXjq&#10;Uta8I+AvMk1FvBlsPLy7/wDEtj+bHOAuB1HavGvGuveGrXxfDp2h+C9M1DUHvInZv7MEMds2SDEc&#10;p8ynB7dOfavdtX0uLV7abT7WdpL1F81Ynbq6HcBz6kD3rxHxHoH2LxNd6hqA1DGoTKz30MYYROBj&#10;5sn5AcfrjqK5sbTr05q0jlxVarG3LoZ/hLxh4Zm1i603UfBGm2d8txIVkbS1limCDGxV2fTHBJzX&#10;56f8HL+n6NJq37OOo+HvD1pp7XF54iZlhhS2xhtNHzHb8uOeoOPxr9C9F0S9bxFbax5NxJHYytMl&#10;08RRJWYYIB3Hd2yQeMYPNfnL/wAHRlp9ksv2f4JmdZp5vFUzof4dzaWfU9OPzrbL5VKmLirnoZfU&#10;q1Ie+fCCm4Tjbp//AIPo1z/45zUuL8jKWFgR2I12P/4ivE/7NdlyZW57eXUg08AfNF+a19V7Jnc8&#10;RyaM9s+y6wR/x62Z9v7aT/4mhNP1Vh81jZr/ANx2P/4mvE102Nvvwjr/AHamTRoDwIEb6ip9i+5n&#10;PG67HtC6beA5K2Kj/sORH+lSR6fMWAMtqVI+Yf23Bz+Yrxf+yUVfls1qe3s8Y/LauRR9XNI4jS57&#10;KNIu5m8o3sfl9l/tq12ipoNAngO5J4fqusWteNjR1bqw+mKUaMoOQamdGzD6/wBke0/2Vef8/Kf+&#10;Di1orxn+yh60VPsUR9efY/ba+8ReHPD/AMVfH134h0q2vYZvFN4nlXUgwT5jLhVY7XdsFQMEnJHQ&#10;17No1lZ22mw2FjZQwwwIFihihCIiDooUcKB2AAAAxXi3h3xJLoXj/wAaeIR4fj1RW8Y3ELQyfLsD&#10;XMnz7iGIIGCFwMnuK9ov9b0rwtZrdardRReZIIofOYgPKeifUn+de9haalSN6kv3j8zyH9qXUfBw&#10;8S6HpUOt3knixmVdL0XTVMkojZxuuNikY2gMQ2R6cZzXrXw3tfFCaMtvf+DotFsbe3WOzt5tQ866&#10;BHUybRtwR/tFsk5FZGt6Fov/AAsDSte8ReGtJh1aSze30udtTYTLGJ4SY412jqDluDk7QSAM13Gl&#10;6opuV0LUBDb3sitLHZ+duZ4xxv6dM/59Oz2cYM57M5y+0jwefiLDfTwaoNam0uSJWjvJxbNCjKxR&#10;o1fyzy+7lck/Svl7UUeb9pLxISFbypGXLc/8tX/wr6znvfCU3jxrC3023Os29qpkvPJXzBEzABN5&#10;GSMhSRyOlfK2nRNdftA+Kmk6/b2Xp/00evHzKPNUgjsw0fekz6W+GVoyaBHx/wAswensK6KKAPKS&#10;UB/4DVP4e2DDQY/l/hwK3ItNeHdKwrDmdzolJdCr9lU/8sx+VQ3NswX90lan2YYzzUNxbsKuMmzM&#10;y/sje1RzWzKc5rR8hfU1HLbgvg1oVGXvFDyl9T+dRTRY5FagtFI4P6VBdWvzcNS1NOaJjyRlnORV&#10;d7X5uSMVpy25Q9Kia2yeVpdbBzRPg3/guV+ylf8Axi/Z3tfjZ4X3HVvAbSG8gUZ+02ErDzCO+6Mq&#10;GH+yz+1fGvwK+I9z8Tv2VNSXUnMl5o/hW80y4ZsFiimMqeP9nH61+x37QOi6brPwP8R6HqsO63vL&#10;HyZ167o3dVYfkTX5c+MP2Yvh5+zjD8RvDXw8a+a1utPu5it9cBvLxtARdoA24J6jPHWuPEvVQW90&#10;ZVIrlfzPl7yWEa4Wm/Zs8/0q5gZwnTtTNjYzivS1tqfLTKptQBmgopGMLVg8jFRmNvQUBEryRkcA&#10;cU3afX9KsSQuy4Ciofssmcbf1q426m8ZRG7T6/pSgMOjU77JJ2NH2WQdRV80R83mJ85/jpMN/epW&#10;t3A6UggYDn+dVe5XMu4x0JPrWD45iDaa0bjAxxXRbSnFYfi5RNac/wB7FRL4SU7yVj92f+CFXw58&#10;Kr/wS7+E+v3Ok28t1cW+sF5Jk35xrV8AfmyBwB0r7F1bQrbVdP8AsKW/mLyrK3OV7j3Hsa+Yf+CG&#10;8MTf8Eovg6Yx/wAuOsdf+w3qA/pX1giBW8pchj718JWp82KmvM6a+YY1zUvaPTbXY5vwr8M/DfhC&#10;5a80DRI7eV+Gl+82PQFiSB9MV0TRMxwRn6irSWUzruQ1IunE/epLD2OTEYvEYqpzVZNsoi3GdzRj&#10;P1pDbKRwn0q/Lp2yPzMtx2UZJ+g7mqXh3UdM8UaTb63o1351tcKxjkClc4JB69OQR+FdcYKyMX7R&#10;wutkJDbxxn94e1SRiTYxVNp6DHcUzxJreh+EtL/tDW5Cu5itvGvLzOFLbEHdsAnHtSfD/wAVab47&#10;02bVdKj3W8c3lxyno/HUeo7Z9Qa6Ik/V68qPtXF8vcsAyhdo/lTovMMoD/yq69qEdY89ejNVXw5q&#10;mleJdKj1nRbgywSM6q23GHRyjKc9wykdun410LY5XGXLzNadzQW1BQHrSfZAeBGv1xVO+8Z+FdGu&#10;59N1TWYYJrWx+2SxytjEOSN/vyMH0JHXNaWi6hp+t2dvq2m3PmW88ayRNtI3Ke9BnOjUpxU2rJ9R&#10;0FnuGNq/lVqLTo2X5uPpWXrvxF8HeEb9dP1/VFtWa3NwWlQhFiDBS5boBkgcmt63mt540uoJlaN0&#10;DRyKQQykZBH1oHKNaMFKSsn1IYIGNwFJ/CpolczMgGfmrL17x74V8K6pp2n6/qa28mpXPkW/mfdL&#10;4yAT/CD0ye9bGkanpeq2ser2F6k1rNH5sdxD8yuuOCK6qPIrtsVSjWp01OSdn1tv6EyRGIM2cfLW&#10;f4FbxZq+kvP4y021tbhZ2EaW8xYyR5+VmUj5DjjGTVCX4sfDWW1vLweONN8iwmWK8ka6XbE5XIUn&#10;sSM/kfSuh0bVNKuNJXWrW+iktZbYTR3Ct8rJ2Ye1b8ynbUXs62HkvaRsnpdlg6LDtyDn8axvHfiv&#10;TPhj4M1LxdqUse20ty0du8m0zt/cXuSenArRu/HHhOy1qy8Oz6/a/btS/wCPG1WQbpuCeMewJ+gq&#10;bXvDvg7W9tz4p0TT7o2/zRS3tureV7gtnH17VhUo05Xa3O2jGNGtCVdPletu5Fod/Y61odnrWkOy&#10;295aQzxRyLkqrqGx0GCM0++jkjna7D+WFx0UficYqNdY8K6XqcPha1vLeG6NkLi3sY+D5G4pvVRx&#10;tLA9OPxq0uoxJcM0ikptwG9fwrl+rxTCtUcal+Wy3Wh4P4s179on4kfFm3h+HhvvDWm6Y0if2hMz&#10;CC74yC8ROx1JGMbc4OSa7Hw/4c8Qal4bs7z4g3gbXpF8y+urVIwI5Dk/JuUhCBgFkCk46134Mtxy&#10;ITtxjj0qrc2sA3O6e/y1y1sDKe7PSxecU8bhadL2MYcnbd+rOPtPDEWm3ou7u7uLp0cGNppM59zg&#10;DJ9zzX5Jf8HSs1zPrXwImZes3iVSo6AY0rp+PH4V+wWoo6ylk+tfkH/wdK2Uo1X4BMP+WjeKD+X9&#10;k/41ODwX1fFKRnh8Qoxaij8tECHoKm2ZHBqHZtO1m+bvVgQkjOa+kL5nLUbs9/0qS3XEnWmeSc43&#10;VLBZuG3bqBErhyMZpYLfuRUq2vHzfzp6QKowTxQAixHHy0vlN1xUqRxn5F6042zDk/zqHG7Ag8p/&#10;SipvI96KOQD9tPC2o+Lvhdr/AIgl1HwLrF1/aWtXNwskenSgMrTOyn7hzwfvdK3rz4527X9vqGue&#10;ANVU2srSwxsrBdxGMn5PmA5x6HnsK+ivsTdRG4bOcsc5oNrL1kj/APHamH1inpGdj2Oanvy/ifNu&#10;rfHL4fa74l07xRqvhLUo7rT1CxMjydA4fB2qARuVT+HoSKvyftJfCp/FEfiO/i1WO4jTasLR5Rcj&#10;BI+fOenqBycZOR71dw27Nh4OlRnSNMuhiWxif2aFf8K0VbFfz/gC9m+n4njSftT/AAalvFnlkuhJ&#10;jbuNj82PTOenfGa8T+GXh7U/E3xa1zxDBYzi1vtSL2zyRsrMhZsEqRlfx5xg9xX2c3hfQmXEmi2Z&#10;+tsv+FNTwtocLK1tpdvHg5/cwqv8hWdbmqyTbvY0jKnBe7cpeE9Gaw0aOKTAKrjGKuzWzOdnbrV/&#10;y/l2KmAvFIVMa5IqOWXQz9TOFg2MVBeWxjwWNbG4etV7uBbjAcU4qfMU3cyvKj9BUM8KqwINa/2O&#10;P+6aZJp0UhyQ35VvYkyWiUDO7NQzRIyk4Fbf9l2/901XuLCEEoEbFHLLsBgyW6OSMgVB9klZtqn6&#10;GtuTTgrkqtNNkp4AqeWzuwv2PPfjlAYvhJqyuN28RJu+si1+ef7XMP2PUPiJdudywaLdZX13Mq1+&#10;jnx/0+IfCK/k3cm4t1/8jJX52ftiKrN8Rzu/5hsgP/f5a5cR/vEDaV/qzkfCwBznP6UNv29f0pyo&#10;NmQ+aZj/AGTXoHyfNeRFRT2Qk5KmjyvY0D1GUU5k2jOKbQGoUUUUCYyXPrTOf73/AI7UjruHWgJ/&#10;tVpGWhonoQurM3WsHxePs9mWfnDbq6QIQ3B/CsPxfFvsslelTKXMaQ+I/fb/AIIWTQ/8OnPhAZR/&#10;y5aufz1vUD/Wvra2ddzHyRu/hr5V/wCCF2lLL/wSe+ELuMbrLVjt/wC4zfV9aix2uu0tha+SdOX1&#10;yXqTUkluPt93ljcOakI705YSODmho8DODWnLJHI9Wcl8XvFWueF/B00/hm/02G/basMN0WaSTcdn&#10;7tV5Zsnpg1lfBrQfBvw1vIvA13q2of25Nb/vIdSV445FB6245jZeM5DFic16A2l2U7rPPaxmSPiO&#10;RoVLKPQE9qeum2bTpcTW0btG2Yyyg7DzyOOvJ596XKztjjeXBuhy3v5nCfGHwTdeKZpzqn2uaGKG&#10;3PheysbcyyvfEzGQuMqBhAACzBQG596v7M/hh4NBuPEGo6Lc2eoLI1nOjSL9nZUbpEkZK4B4Jxkn&#10;uRXo+qaVYa7p0mmapaedDKvzRsTzzkHjoQRkelP8P6Jpnh7To9I0e0FvbwrtjjXtyT+PWtDRZk5Z&#10;e8K0cH8eV8V6HocfjXw94lms4dNV0u7WPylaVJCMt5knypt253YYjnapNSfsp6LYW/wos2jsvstz&#10;NM8t0kl95u9s/wCtx1j3YztIHHPfA7jW/CeheKLZbLxFpUd5FHIJEjnXcoYdDg/55p+ieFtC8Olv&#10;7D0e1s/M/wBaLW1SPf7naBn/AOvXRH3tjKtmFP8Asn6ry2kne/dHj3xcl1N4fEmjWEytDa6sYWa4&#10;gg81PtMaeVH50zBY080TPnnarLyM8d38CorvVvAcOuS3epFZnZEh1G/Fx9z5CY2VV+QlMjt6Ejmu&#10;zuNJ0+9Yx3tnFMsm0SJLErBsdOo56/hVqKxt7ZPItIFhUdI4wAB+FAsVmtPFYGGH9nbltr6HgfxZ&#10;vtE+I/xb0ldKsZ9QtdGt2t9RnbQDNDZyGRXLs0rIhACk5OQMcg849Q+FGveKvFXw7h164sbVZm84&#10;WW1fLjuIVYiKQr/AHAHAzgEEDtXRat4a0LxBb/Yde0a3voBz5NzCrAn15B71cht47aFYIl2qqhVV&#10;QAAB09K2jT5tQxmZU62Bp4eMLOPXc+bPj14f1jxp4n0/XvEOkSajHpNtM2sahomlv9ltUQZeNXaV&#10;WkI5JYuvUADORXucFre+Efhba2/w5sLvUrqW3i+wtfN88CSbQHcOQcIDuKnnAxirmv8Aw98HeLdK&#10;t9F1zQ43traTMMcLGNQAc7MIRlSeSOh9K30bzVVYwu1VCoEHAA9K2p06abXQrG5r7fB0afLf2fR7&#10;HzVB+zv8W9P8P2/hfxXrtnHYX2rXWoXttb2Mdz5LRW0jCRnKqAZHLYXDAfLycEV60yat4Q/Zys7h&#10;tdW4W0sbE3V1qEaEeRJNCrRFVC5Ty3Zeu79K9AntxfW81pKvyzRlH+XnBGDTrbw5pE3h7/hGLywj&#10;ms/JSMwTKGBC4xnPuoP1ANaxjGMbWJxme1swp01XirRd7WsfOP2Dxfe/tK+H7Dw5oNlockenp9lh&#10;kt5ljs4FQ7Q0cigSERvIu6P5QxX5hXqn7St14g0jwP52nWOnzWLXUSagt3cSmQoZVXaiRr+8Jz0L&#10;D6E113ir4X+BPGiyNr/h21kkmZXkuIVEcwZTwVlXDqR2we9Wn8N6LDosWhXFoLm1hZCsV0xl+6QV&#10;JLZLEEA5JzmolHextic+w1atQquGkFax87+GZb7xL+0j9pliuJLPTgLWPTQ8jrp6iR9qbmSL92HT&#10;cAN2V7seK+gHtBCF+0XJYe6/4Vn6l8O/CWqadcabPo8f+k3AuJplZhKZh0kD5yGA4BHQcdK14w1v&#10;FHbxA5UYy3OcCs4wsYZnmVDMKinBctkkkRKqhd6zNt9s1DcoNm8HjtV6azwRK0mW/SqdzKEVRMNx&#10;Y9M0pxlbQ89GNdQZkIJ61+Qn/B02oivf2fWf/qahj1/5BHNfsVPZi4kXyk27uWPpX48/8HWISPXP&#10;gDbg/wDLPxM/1BOljP5qfyNKGlRXO3BLmqNd0flaIRIfN3D5j0qQAAY3VHHIRGvFSLyM7TXoHYOU&#10;Ln71Wl2jHNVQOfumrgHP3TQBJhPWjCetOHSjNABAE80c1axGepqvAQZVwatUAM2x0U+igD+m7y0/&#10;u0yeCIoWZas+WlNkiQxkCg9gyntIG+cx0gtog+FFWZIgsfzD8q+KP+Cpv7WHxU/ZX8TaCnw5Syn/&#10;ALYNwLuHUJLlkjWOOAjYsM0eCTIeu4e1Bz4jEQwtB1Kmx9nNp6ZyAfyqNrQjtu/3a/LbXf23P2/d&#10;A8CQ/E/W/hnp9rodwwWG+Nvf7Wzz/wA/nAxk59AfQ1z1h/wU3/bAvZIvsXh3T5FmkKRSpa35VmCb&#10;yAftXUJ8x9uan2sLWPHlxBgY/E39x+s32WTP+roFvJHy1u1fkk//AAVF/bGaf7KukWLMypIiR299&#10;ko5wjY+0Hhux79qz7j/gqv8AtdwXD28l3pcMkbFWTy7ncp9CDN1rP2qI/wBaMsff7j9fWU4yLdv+&#10;+ajZQ3BQrX5Cxf8ABVv9riRwj6tpzbv7sM3/AMer9Lfgtea1qFn4A1vV9cu7q48Q/D621jUFnnZk&#10;+0TDc20E8ADgD07k81pGSkd+CzbCY6XLS3PS/LU9aRrZCf8A69aa20JeQGP7pOKp3S4bEYqj1Cub&#10;WPH/ANlVe5tgrEBf1q5hvSmvEr/eA/WtLgZLIASMVHnnpWwLOAnJRf1qNrCPdkDHPqamQHm/7Rsb&#10;w/BnULgH5VuLUt/3/jr83f2zpWgT4hSRn/XW2365mjFfpp+0/bwJ8D9QiB2hrmzDH/t4jr8wf20Z&#10;3kvPHGh2yNNeXbILG2jXMk225TdtHfA5rz8VriIWNpf7q0fFCAIoj9qf9lj/AMmrl94T8XQSsyeH&#10;r9VBPym1b/CoRovivt4cvF+tq/8AhXoc0e58qqNTm2ITaoBn+tN8hMZx+tW/7F8Td/D17/wGzf8A&#10;wpn9keIRMsP9g36hscmxfA/Sq5qfcr2dTsU50URbh/exUJIHJrZuPCfiLyj5Oh3k2JMfLav/AIVA&#10;vhTxMTz4avh9bV/8KXNHuHs6nYzcj1oz71pT+EPEKpuTQrzPtauf6UyPwV4wJLDw/qEg64Wwk6fl&#10;S9pDuHs6nYoUVof8Ix4gik8q68O38bf7VnIP6U7/AIRjWCONHuuPW3f/AAo5o9xezqdjNBKtkelY&#10;visFrfAGQRXRXOlXaRENayqf+ubVzfieO5trCQvFJkKSreWeOKcZK+hcYyR/Qp/wQ8hji/4JS/Bt&#10;Yl4Ok6kT/wCDi+r6sz7D86+S/wDgh8byL/glR8HfPP8AzCtSx0/6C97/AI19aW6mR2LDpXzUpWxE&#10;vUmtCUVdkkcO8Zx+tO+zj0/WpIUCJgU4j3qjlIwAvyijPOKkijV3O4dv1psybHwooE2OT7vSnKSp&#10;yAKhDnOBR5jB1Ge9BBdDt3FZ2s+IrfQ5rOC5jDPe3Swwx5wS3rWkNhGMVm674Q03xLc2N7f39xG2&#10;m3YubdbcJ8zgYw25Tkc+o/lXVRi7MP3cn79yDxd8SfDfg0zR6nfp5kKRM0YkXjzHCoDzxkk49ga0&#10;5vFWg2l1Y2FxeqJtRQtbxmRcYAyD19SFHqSAO9R634V0fxBL9t1GzRrhVULcMoLLgg5Ge+R/PHBq&#10;xdaNpt/HcR3ljHMLqJIrjzEH7xVzhT7ZJP1NWo8xU44flTV7rcuCXL+W4AznnNYviT4g6P4c8SaX&#10;4XNhdT3GqTPHGY4v3aBULsxPQ4UdOtadlptrZbY7aPasahI1ycKo6Aen9fwrG8bfDfTfG1xBd3V2&#10;9vcW2Vhk2iRVVgVb5W6MQx+YYIIGM9DvRjyk0Y4epWTqtqKT9bm5fXlvpVlJqF9MsMMEbPJI3RVH&#10;r71V8FeOPDfjCTUYNBmEjaddeRMxz83y/eHqCQwH+6a0obC3uIPs19BHNF3jmjDL14POeRxzzzzT&#10;NM0Gw0A3c+nW8aNfXjXFwY41j3sTgbgoGSFAGTkn65raUOXVGNSVGMHFJ379DXgO1eRUkb7TuArP&#10;E9xjIH8qsQXLEYc1NrnJKVy2bg/3KgnZ5RhXK0vnRYwXqGVgXyjcVXuxWpKXM7FaR5Lc5y3qOOlT&#10;WuoYO3duP+7Ve+ZpG25p1qEjt8wD950Y9azTV7nTCDvYmuUYhlbkGqb6utuPIa1Vgi/e2A1Yu7l4&#10;4lCMrMfvbqgni8yMxs0f3fvKuD/Kp5oyOpRM6XWraI+ZEp8xs54r8cP+DqC+F543+Adq0gLQ6f4h&#10;yo/hzJp5/rX6+z6TLJPxL8uf73Svx1/4OmUWz+JXwREp+7o+vOzexksVH/oBqIuPtonXgvdxCufm&#10;IjMvy7hxVte30rMtbyJnAfFaO+IDiRfzrr5kddnzDgG3dB+dXEyTkCqQkjBGXX86mWcg4GPzFHtE&#10;acjLwIxjNL1FVYrtWk2u3y/hVgTQNwp+mWFL2iJsSQD96pzVqqoMTMFWZV991SRr5b5a7De1P2kQ&#10;tbQmopvmR/31/Oij2kQP6dst/c/Shy20/JWnsX+6PypsqIY2+TtVnsGNIu5QNv518If8FXf2ePjV&#10;+0L8UtIi+D3hE6o2hEyXZ85FWJnjgK/eI67f/wBYr77MUbfKUx8p59K83v7qeL4s+LorVlW4jtLQ&#10;2/mfdD+SAM/nRY58Vh44ui6ctL9T8/fFvwi/4KGeLPhC3wom+CdrbxyW8MU19DqhMkyx8KCuSowC&#10;cFce4PfzW/8A2PP+Ckl9qf8AaA+HsilZpZY1GsXB2F4zEx/1vLGIlc46cc9a/Tizt/jvDe2q/wBq&#10;6HJH9otXuI5IHz9nAbz9pA5c5Tb245603SND/aAisraHVfGOkreKNtxcQ2R8ssJSThWXgeXgeuec&#10;0uXyPN/1bw9Z61T8s4f2Ef8AgoBY3lvcW3wo+azjt47cNq9wDGIB+46Sg/IOnb2qC3/4Jd/tza6n&#10;9sXHw3hWS4mkeZrrWot5bec53Nu5OeSOa/TP/hF/2tLHy4rv4o+H5JPs6rcF9MIxIJ3LMhIGR5RR&#10;MYPKk+9blvoXx5c3j3/jvS5ZJI9tiPsyqID5j/e4O4FfJ/FWxnqIlTuZ/wCqGWc1pVL+jPy3sP8A&#10;glT+24l1ib4ZWpz93GsQ8/rX6heAPDmueBr/AOHPgbxPZ/Z9R0f4X2FreQ7w22RUAOCDyPer3gDS&#10;fjjaeLVn+IHirRbrSWjnYx2ds6OCT8gGVywUcHnmtzx7N9p/alsokyfL8EWY9uUzV06WtjuwuS4L&#10;LZfuPxOoQ5djj73+FMCMelTRwHOSf4v6UhjZHIJrf2J6BGYmx1H5VDJbZf7oq1QcYyRQqNmBUNqA&#10;cYWoZYnBbCdKvFkznjilOMcjtVOlzaAeZ/tXSra/AO/mdD/yELENjr/x8x1+TP7eGp6tpXjTxR4q&#10;0LWLux1DTd0ljNazFcFpwOR0PGeMelfrV+2BGv8Awz5qZ+7t1CwP1/0qOvyL/wCCgF55Ws+MZNql&#10;W2L+d0K8ytT/ANrimEpcuFb7Hy/pvx6+O9243/E3VGB6bpFOP/Ha0h8avjsowPidqH/AkQ/0rk9D&#10;gRo1Plj8K0yHPQ16iwlOOp819crG3H8afj+rAr8S7w/9s0/+Jq0Pj98ekHkt8Qbpmz95reE/+yVz&#10;O0AZo285xRLC0+hMsRVl1Omb4/ftARJ+78dsP9r7HCW/9BqJv2hf2gAPm+Ikv0On2+P/AEXXPSZ2&#10;81GAM52VXsIGkK9bozox+0Z+0BH934gt+Gn24/8AadS/8NPftBG1WCTx9Gyx9A+kWxx/5DH6/nXJ&#10;zgbchahKZ/hqfYxvsi/rFfudjcftU/tBPjHjOL5VCgLo9qOP+/dVP+Gmf2jXbH/CfxqP9rRbb/4i&#10;uXePaOFpMPjHNT7ClLdB7at3Oim/aR+PyD/SPG1o3/cBtP8A41XP+K/jp8Vdd06TTNf1izuoZlIb&#10;bpMEbKO4BVKgmiVuGjz+FYmuxIsbhU5p+ypxjoT7atfVn9E3/BGVfJ/4JYfBiMR4ZdBvjx3zql2a&#10;+prMkBiw9K+av+CNtqLX/gl98GYH+bPhiST/AL7vLh/619NBQOMV8hUf+0y9S6n72PyJoj+7zihs&#10;jqP0p1vtEYGR1qHU72WytZLqG3aYwxs6xx/xEKcD8625ji5feSJbdwFaT/axQ+19zEVkeFLrUbx5&#10;rDUtNa3CnepJ+8T1Fazxnd06GtIx5o3YqkZRm4sjpCCXX61ZWA4zspoC7unSpIJge4qXB6gfpUG7&#10;jOKl3cda6qVSwShdXHhs8gmnGcD+E1jy+KbKPxAvhaSG8a4ZN3mRWjtH0GPmAx359Kox/ErwbKLy&#10;WO/lZbORfOYQ7RtJ27gXKgjPHauzmj0Kjh8VOF1TdjpklBbdUqPk9a5q5+I3hWykgaNryZZ5Hjje&#10;G2zhlZlIPPXI6c9R61BqfxZ8J6YdQF0dQRtLXN2P7PkO0blTPTuzACnzDjl2Nuo8j1OvZtwxzQZQ&#10;oxurJ0zWxqgYrDNGE+V/NjC4brjr1x1HUHggVNPNIOAelW58xyVqFSk3GasX/PH96lF0FOayxPJ/&#10;ep9vJI0nDLxU3sc/szRN+gGSKmtbmOaPdvFZMrGSfGV96tNbJtBWUAf7NZzqNRLjT5ZFi4lQsWHp&#10;RZytJM8WzdhcqF61V8sRtjzPzq3o15FaTTXEi5+UBcisFVN435iK8YXC/v7V9q5+bbjbVE3DMMRP&#10;8pXirktxHMWK4UMenSqsxXOF/TtWEquptFSlLQzbia6K4Tua/Hj/AIOatf0i1+PvwOute8Of2jaW&#10;fh/WjdWck+3zsz22MHBxg+xr9k8L121+Lv8AwdFFE+O/wftlZf8AkV9Ufj3uYv8A4mtsGlKtqd2D&#10;T9tdnwbZfEX4Lv8AMfgSn/gcD/NKtjx98DWXn4IH8LhP/iK88s1zGvrtq4JWC8JXeqdO/upnoSqS&#10;jsdvH8QPgWGBPwPfHtNGf6CrafET4DOdw+Bkg/79/wCNeehmP8FSK+0YzT9lTe5P1ir5fceiRfEb&#10;4AZ2SfBaXnrt8rj/AMeq0vxJ/Z6VPJHwWuNv979zn+deZ+dlgMdfen7WxjbS9jT7B7ar1t9x6XF8&#10;TP2donDr8Fbvj3h/xqxF8Vf2enk2n4K3X/fMX+NeX24JlwVrQiRQudtL6tTJliJroejf8LP/AGd/&#10;+iKXX/fMX+NFed5H9z9KKf1WmH1qfZH9QWD6UkisUIxVzyD/AHVpGtzt+6tdv1eJ6xmsjKN23tiv&#10;I2urm7/aC8aRoMFLfT2UnpnySf6V7K0ExU4GPSvDrmW1l/aA8eQzw+Yq2+nrJG0e4MpgfIx3yM/n&#10;RGjFanPWqSpxbDXPC+pXk8j6jBZ6jJiFJZ/7HWTzlMihY03SA/KdzHHZuM9Cnizw/bXeqyX13pFp&#10;dMqIL3bpSsZSq8srNIuBjK4AyCay9dtNAAtdBtfDtqtu8MTw2Muhq3k/MhYkmRfmIAUAAYOOuMVn&#10;69FpoibRNB8JafpdjarH9l0288NoSjEDO396OedxOBx9OdInFCtfU0W0ddHvN1l4VVZJV/0i4sdL&#10;jIbdGpZFImB+YknJ6+pAzRD4Rsk1cQ6h4Ta4t1VXV00GMlWJ3FNxmzkEqScdUYc8Vj3+nwwBdOh0&#10;KxWFWjljtbjw4jR7vLVQ2GlHPD9hxgc456ay13xLqWmf2lbeIrXTVaNS1ldaWpYAYDYzKNoyreuN&#10;wA6ZrTSxSkpSVzo/C9toWj6q1no/g+axWZFZrvylVD8v3Dgkk+2Ki12aSf8Aa0MLHd5Xg2x3N/2z&#10;p3h8a0t/HJf+LLO83r8tvHa+WwBxz989Mj25zVWdj/w15fhyc/8ACI2HLf8AXAVjUXLqjop1Fz8p&#10;6QYRkEN/Fmq80bmThatkfKnNKVUnPFZwqSkzpl3KX2ef/nk1RzB4+CjZyBtUcknjp3rRwD/d/wC+&#10;ap6rA0ttMIvldoWVWVckMRgH61pr0JUrn52/t8f8F9/hT+yx8TL34L/Cz4bHxlrWjyeVrF9NfeTa&#10;W8w+9CNoLOw6E8AHjrXE/so/8HLPwx+JPxCtPAX7RHwVn8Lw6jcJFa65od41zBCzNj97G4DY9Suc&#10;Dsa/JXxT8PvH+seK9Ytr7Tb/AFTV7e+lbWMxmSaOYysr+ZnndvyCTzkGvpb9lL9nfQvht4F0f4x+&#10;I/BDTeIob9LyzkkjDNbqsgKttIIzgdCMetcmIxlPD7vU66GDqYhNwP3T/bMEdz+zXdX9hIskM2oa&#10;c8cinhla4jw307/jX45ft/XQ+2eLEkk+ZpLcr75vcYr9fP2iPHemeO/2KtN8b2TboNWbRrhF3KcB&#10;54Mj5eOCcHGB+Vfjz+3lMlxq3iQuPvfZz9D9tJrnrSi8VFmGIi44ecT5m0iPYnLVojpWTpE4IUM2&#10;ea1gcjIr25O58eB6UUHpRUlRGykBOahLxjtUlx/qqr1LN4DpSrrhRUYVu5p1FTqWRyqccUzY3pU9&#10;FAFcqR1FZWtgjDMOGatuRWZhgVh+LzLDZySr/Ch2r74qZ/CTyrm16n9Iv/BKWws9G/4Ju/BWygdg&#10;0ngS3lSNupDMZCfpmSvoXaxGdntXzV/wTk0qSD9h74IXMmhbs/DnQlW4W/KvltPtpGVBuwRmQnGP&#10;rmvpeGBS++KQhP4fcV8TVn/tT9T08Rg5YenF90KiYgyDUghkkgb5MgKTg/Q1ZitHMeMA81J5RigZ&#10;SPvKf5VvzXPKlF+1St1M/SwG3nbtzMcfWpZxuOQO+az5dVtNIsGee4VJZpcQxN95zz0FM8ca3d+G&#10;GsZk2ss0xjkUN0bBA+vIqJVowlZnVWw86ta1tzaSN/LwFxxXC2vjG+tfjFL4IudQ3/alWWCzmQgK&#10;q25dijY65XkHHByK72IsYMMjf6vk4rybVIlT9q3RL87lWOGcMR6mybaPx5qqlaUY3R1ZPgHsbhOR&#10;DoV6lSM1e0W/uOu8FeLj4qv9UsyGja1vCqrt6r90H8wa6JkkYfKwX3x0rzv4KtDH4p8SXAnUxmTf&#10;k4wB5j/0r0DStd0fVY/Ms9QgkJY4XzBniqo4iEo3kznzPB/V8U40otqyM/U77wnperw32tuyXay+&#10;TDNvdVGBk4wcHt9cEDODWfBcfCo29xPZ6Qi/aNtxLEtucMqmNVOwjCDcyMc4HJOeONy/8KaPf6k2&#10;rXto00sgXPmTOU+UYHyZ29DjOMnvUw8J+HGs3tDpMLJJbLAymPI8sNuC/nz65rqjX7E0q6hBRlJ/&#10;eZZsPhuNPhurjwzb7LNGv4dtmCPLzs8wAcYG88Hp1wMVHZ2vw98Sa9NpL6E3mXEf72T7DtikERjf&#10;AYjB6qcY571rJ4W0J7BNJj0uOO3jRUCREx8BgRypGeVBPrjnNVbdtGttejeKyf7T50i+crEks7Lv&#10;LEn5iSF69McVo6yj0CVSpUk3CT08x2maN4f0PUbzStEgSGPckvkq33mIOXAJPPrgCtIQALhwfxrO&#10;imF5rsNzFKzKpkXJJwPl/hHTr1IwenOOK1nV5o90DgbfvFvpTjiE3qcGKlJ1LNer7si8u1PANSRQ&#10;KrfL34rPttftWvJLYKreW+3ce1a1zbmZNqL8o+Y7e9XKtfREOjyrYrtZZmzH0q82njyVbfUNh8uV&#10;ZPLVe9D3+G2MRtzUylpqyPZkV5bSIjN2HG6lt7aRLRmf+LG33qpa+KdIvfEcnhyK4ZprVR9rTb8q&#10;lkBQe+ciqll4mur3xzfeETBH5Vnb+buUdR8v9WrjqVoKXKmd0cBiFBya2VyTxbLPa+E9Vns5tksW&#10;m3DxSKRlWWJmB/Ajp3rkYfiiH8BQ+KbZmvy2oLbRsI9rOAfmznowGfr+NdZ4y323hLWfMgUq2k3g&#10;X5Rk5gevJfD9nPD8G/J8ohT4mmK7hxtKkg/lXmYqpUi97H1eQ4HB4rL5Opq1JfietWdwlzZR3VrO&#10;ZY5Iw0chGNykZBx75r8Wf+DoL7RN+0j8JcBfLg8C3zScgEZvj/QCv2W0vVrHR/D+lrfXCx+Zp8TJ&#10;u/3B/nNfi/8A8HQFxb6n+0/8KZLC7hkWPwDcmba+Tg3zL+PSvSy2rGtWSfY8uWDlh6jbWh+dNrMm&#10;Mqc/Lwam89tuQKox7liHQDbVyM4iXmvfjHlOet7thwnY9Aafv/2xUefcflR+I/KqMoy5iWHLSD5+&#10;lWt3/TSqlr9/rVjPuPyoLJ7dwsoJeryTRbduazImxIDx+VWopVD80RuQ43LfmR+lFQ+clFaC9mf1&#10;Ocf3v/Haa+NvDfpTufVqQhiMc12Hp+0kVy4BCFfavnxrgt+0X8RijiMqbFEeRNyowt+pGRnGfWvo&#10;jyCSp9xivmu5khn+PnxRklt5Jo1vLcSQxruZx9m5UcjqPcCpRljJfuW0N8UWkd5ex20sFvPqEdrH&#10;EdSTQ4ZBLKSgVwWmyoUnO3BABJBOBnI8WaXdXGrXF/etHdXFnMyyXDeF4ZPtTFdqhS0oxjOOME4x&#10;nvVttL0qNjraeGr63VhAsdg2nW/nRqkiZP7xwx3LkDGcdewzUvNP1qaXUDJ4Zvo49WcP5Umj226H&#10;O0kviU7iDljk57jjFPlR4vtJFbXtPTUba10631K1lmH+jyXSaJDJHgHcow0h2bQxGMevXGTFouga&#10;3dStaXl8JY44XSBm8O2zKAApZP8AWHG5mBAIGDn2zp2vwy0zTZ3WCbTrf5W8uH7BbKYn2qA2AxJI&#10;weDnIbnoKvaF4L1DQY/str49jhjln86aG30+3QFjt7AZB4GM+vsKWq2KVaa1Nj4e77S8Qaro1xNd&#10;tHJjVH0+G3CIoTEfyOeowB67e2BnRh825/bD1wbv9T4Z08D2H2dP8aZpVvqAvftMviSS5j8ll+ze&#10;VFsLHYN+VG7OQe+Pm6dKTw5P537YfitWX/V6Dpoz1/5dYjWcuZuzO7AylKTbPVTA21RnpSMNhwW/&#10;SrUkRxkf3hTLpNvapjTjHVHpcz5dSuxH979K5/4kfE7wN8GfCF58TPiV4ps9G0jTYzLNeX0wjUFR&#10;nAz95jjAAySeAMkVx37Yv7Vngj9jX4Fah8avHVpJdiO4jstJ0tH2tqF7Jny4Q3O0bVd2PZUbAY4W&#10;vwJ/bl/b2+Pv7W/jO4vviV4vuFs0m36bottMVs7RecLGo64B+8eSaiVSUS6cZHpPwP8AFXwf8X/t&#10;b/EX4reItQudNtfGms3Go6HpUTq6r5s7zKhYgfMC+QNuOa774vfGr4Z/D20urPxB4lhs49hWEzYU&#10;Yx0C9WxnHAx6Cvz/APD3xB8Q+G5JBFcMyYzbtu2+RJ/CwPoO9T/FHxh4r+LGixy+IY4mvbWzcvdW&#10;spaObnOQD908cj2yODXgVMBKtjPa82nY+gwuN+r4Z04x1Z/Qfa/Gv4E/Gf8A4J++FtI+Dfxc0HxP&#10;/Zq+H7W+/su+jZ1lWSEuHjB3KQeSCBg9ea/LH9ua8gku/EUqtn99bgE9x9rc18Z/svfG3xP8FviZ&#10;pXjLw5qTRNpl5FciBWKrNtYFlcD7wK5r6w/a21m28U6dfazZHbHqUNrcQ+gDys4H612Sj/tUEzxM&#10;RJulNng2k5PP+1WyOOKxdGOIlBPNbO5fWvouWJ8aKelBOBk01nUDOar3Fwr8LUyjYqI6e6QqUK1X&#10;89PWobiTn7pqPzP9ijlj1LuW1nRjgGn55xVO1cNPjFW9w9azla+hrHYfHGZDgGn/AGV/7wpLVl8w&#10;89qn3L61JRXaFk71g+L3VbRg7BRsPLHpXRSkE9a5vx2gi01py53KCeFzxUzjzRHH4kf0e/sN6Npj&#10;/sQfBm7g8LapNs+F2hn7Y0zqUYWFsu5QvBGV6+h/L6MvNS0zTdPhEZkMnlgNGx+ZTgdf8ivjX9hf&#10;9oaCP9in4P6XLpOoMlr8M9FCGPUkXbmxg7ND7f3iK9d139oSw1fyXi8K3KmOJR/x/wC7zHHVjtjA&#10;yeew718XWwtb28mu59JiFHERim9ke1WfilLQxpqU6xrIx8mZsbR7H0/x4qt478SanZaX52hX9rDN&#10;5yx7rkfINx7n0+grw1/2g4GDR3fgtpFDZHmXxOz1AxH0ouP2idNufM2+FJFhaSFvL+0/KpjOehj7&#10;+lTLD4mK0MI4Cj7ZTvsegT6prt14t0mHV20meNZmkVtNmZgpyPvZ4/DP+NZY8aXfiXw3p2n6lKz3&#10;NvqUh85m2sVDcKB6AN1z09a4OL45afZy+bFoLAMynb/aG0nAH+xwOP1qlL8ZNOknfGhzeU7MFX+0&#10;PuqeMDCDtWP1XESd2j1+bDXTfTY9yh+PXgfUrqx0fSzdTXV2Cke2MgJJu24bJHHU5GelcX4Z8ct4&#10;m+IFrql9pccN+dTt41fzOimMRkcj7vzHPGcZxjv5Fp/xKtNL1/TtVi0aVhp90six+ePmUMDj7vGc&#10;deetSWnxahtbu6u00WTdNN5kbLcAGP7vTj/Zrf2NeStJCw9PL6PNyPVqzZ6dJceJNOiuRp2ntFb3&#10;U5S5aJshvnbC4OevOOCMkZBxgyrOzaXDdLaSOrRqdqrwOM/fJY5wR0P5dK4jSf2otatbRdM1PRWu&#10;7P5lkt2uQodMYVSQucjPJBBPtjNXV/ae8P2Ox9L+Fq/u4ghS61Z5FPy9wAB9P61H1OXY3ljqa+yv&#10;Xudn4b8ReOrnVk0bw1qt00zPhoVkMkcS5+8TJu4z6D8jXqVxr93ocdvpmp3yzXnH2h44yq9M9Of8&#10;mvnHTP2w9Z8PXE1xpPgWxCyqnmF7hy2VGBz6d+lMu/2zdSv7hry+8FWzSNgMq3ZHbHHH+cVtCjXh&#10;GyPGxlOniqyTSS8j6MuPHtnDIsas33vmXb0x1H86Zp9xDea9b3Np80bX8gb3/dg18y3X7Vk9xeLd&#10;r4LiRlVgw+1kg7hj0rQ0z9tLVtHNqYfAFqzWjMVZrp+SVxz+FKNPESleRjHA0qKfJ1PoLw5qzx3x&#10;uHC7Y4WZsyLtDeWvCnI4Pp3x+FWNJ8VX9xe+Sqwst0zeYzSEbOSATk4HTOB2IFfMsX7XWvGL7PJ4&#10;OtGj/ijWZlQ4xz65wOuc4pyftbSWh2wfDixXHH/H1IMjOcGqdHEdCvqtF6yR7/PHM9tM9vdbJGk+&#10;8re47f8AAq0b/wAewWmkQ28F1I0iw7ZHOFy2P1x37V85T/tmaxLbrbjwLaK27KyJdODjA4/QVS1D&#10;9qzV9Tvm1D/hBbGOQsPmWY5IwQBn/J/SolTrJG3scHK1z6i0Xxvb29/Do2rXezzwCsrMNvJ4JOTx&#10;+lY/xD1+VtUsZdH8dNplu7yedItibgMVwNuFOR16/Svn+1/a71+zlsZYPBVrmzmWTa0uQ+Oo6cZ+&#10;tIv7VN8ybZ/AdpIzSO37y4ZsFgoOMj/ZrGVPENbmmHw+Bp1udt+lkerR3niKJfFE9vrbX9159m1v&#10;eLAbcsoMbbceoU4/ya6iX4gWfhLxvN441WzkkhuLOCGVLde7mPdtH8RG0n259DjwBv2ltVnkkmXw&#10;XZbpI1X5pnIBU9evU1Q1b456hq0MccvhmzRluPNZo5HBPylcdfep+r1eZOx6zrZdXbhUejVvkfQP&#10;i34+z+JvDLy6Loqxwq+oW1z50fzFBbYV+DgYaReCCDmgy6lq3g4RaZZqitfqy2qx/LGfJOdoUDGc&#10;e+P0r5/0b41mw0vUtJudA3R38bKrx3bAxZKE/eU/881z7cV0EP7TP2JobnTPD95a3Ee3fJDqAG/r&#10;n+Dvk+9TUw9ap8SOimstwtFQw+17/wCR6M934kHiFbHXYpk8uOOKNBIQBHtATGBwP0Huck/kD/wc&#10;lx2g/ac+GYnkuFuF8AOsaiH92f8AT7jJZ85P4AfUd/1EX9qVrib7XqXhNr2bzt0cl5dqxjXjCj93&#10;njjv2zX5K/8ABwn8Vr74m/tV/D6KfS4bWPT/AIf7IY4znO6/uiW/lXbleFlDFXa6HPmmKjWw/LBL&#10;zPitIHxgt+lWQSFAK1FGQVDbutWACF619OfJ1IRlYaGOcYp/lORnP6UwMpcLuyTVrymxnJoMeWMd&#10;iOBCjZJqfI9f0pgjYfNu/Sn5/wBo0ALH8zgA/pVqKJi/3v0qvAf3q/MatxH5+tAC+S3qPyoqSitA&#10;uf1N7F9KCoxwtWfLHp+tMljYA7Vrv5DsIBhWUbe46V8jaRrmqL+0B8WhbR/NF4giSPb1+W3XHX6+&#10;tfXcQTzFEo/iGa+M9OtNas/j38UrxDJEtx4qzbtKpEcoEKAlT3wc9PpXNUlaRy4z2iw8mjWMd5ez&#10;NrE+iR3NzH5TybtNtvNcxupABeTgn+HOOenOKW50208Q61bjU9A8iZI9895eWNs2+TnJPzlgTtHA&#10;HHFMzpsV419feF7OS8Zlb7WsIZyyfd+bGcjt6VR1G+0Y302op8MLO+uJpjJJcS6fCWeQgfMWK7ie&#10;OpOayniqdN2d/uPnXUqdE/uNOfw3p9zqTavqPiPSJrxzuaR9JtwwfYiZ9zhB19h2px8O+HjqVxqd&#10;9q+kyxzRhWSbT7b5ZdqhH3dSV2HA6Dd7CuQ1DxXqDX8l1D8LtH86SQmSS6tYySx7sepNRQ2et64P&#10;J1yz0Gzgb7qWumopXjH3mU4OOMjn3rH61zS0v9xPtK38r+49Isf7P8EpizktdxX/AI97SzjhzkqA&#10;SEA9/wAzV/4Tzve/taeMroHdnRdO/wDSSKsPQ7fw1o8GPttnI8ijzCsxJPfktya1P2eL221T9qPx&#10;xcWk6yR/YbJI2Rtw+W2iUjP1BrpjzuzZ7GU+2UpOaZ76WZ1ZcfxUyaMSpvNWp4yBwvFMhjR4yD69&#10;D3rQ9o/PH/g4J8aSab8Gfh58NzBMYda8UXV/JKqfKgtrUxjP43YP/ATX4mfE+D+ztXCT7ThsRuv8&#10;Q9a/eH/gvr4Ii8Sfsa6RrC2w87RvHVrMtzt/1MUlrdRsuewZjGPqFr8JPiVtvEkV1/eQtgcY4rnr&#10;cvId1FNw5kcfKN3KY61e8PT7Fms5I8hufp6/pVPSTHMruo6cc1paRbp/acMnrJggd81zxVo3R0OX&#10;unFW8B8P+MJrNWxHHO0WfrjH8xX0/r3i8+If2etG1NpvMkisba3mJ/vI7Kf5V88/G3Rv+Ea8XRzw&#10;R7Y7y0jkXHTeMqf5CvTfgV/a/wARvhtdfDnSCjXaXUdzEtxLtUrn5wD26Z5rOSftVI58RFzw8rdi&#10;XSxluB3rawPStzR/2b/iZFzJFppYYLAaooP15Fbi/s8/EN+ETTx9dTT/AAr1FiKdtz5X6rV7HCso&#10;ZOnaqcsQVi2a9Cm/Z9+IkfDJp/8A4M0/wqpL+zt8SjJgW+m+zNqUY/nUvEU+rJWFrdjgJog3FNa1&#10;RVyxru1/Zw+JsjlgumA/9hSOpU/Zs+KZYL5elt/3EkqvrWHtqyvq1bscHa2agiRGPNWhACeDXeJ+&#10;zT8Whx9n0sf9xJKtw/swfFJ13NDpfI/6CS1n9YoN/Ei1h63LsedxR+Wc4pwZ/wC7Xpa/ssfFAxgR&#10;jSf/AAaL/hUb/so/FNefM0n/AMGS/wCFH1ij3Qexrdn9x5yeRlhXPeN4WvNP+wQt80o2rgDj8zXs&#10;Nx+zD8UrdN7f2W3+7qCn+lcn8Sfgd418NaS2pavp9rOAu0x210rHB4/DqPbFKVajKNky6dGs5LQ/&#10;Yf8AYz0z7L+yR8L4XTy1Pw70QqqdP+PCD36ZzXpqr5a7Fcn3zXx1+zp/wUu/Zk+Gv7OXw/8Ah54w&#10;13VV1Xw74H0rS9Sjh00MqzwWscbhSHwRuU9OK61/+Csv7Hu3zW8S61t/i/4lH/2deFL4me4tlY+k&#10;J0xJtxn3qq33/vYr5xm/4K1/sYucjxRq/wDwLSef/Q6q3H/BXH9ixFJHinVy3f8A4lXT3+9UWNOb&#10;Q+mMpnJNRuAWNfM6/wDBWz9jogiDxFrLt12/2T2/76o/4e1fsfsMnWtZH/cJP/xVNE3kfQcysZmH&#10;mk8+lKtr3Lda+cz/AMFY/wBjsvkavrbHv/xKP8WqZ/8AgrJ+x5Gg3a5rC56Z0v8A+zrRUpS2JPog&#10;2hAJLVDJDGyMN3VcV88n/grJ+x3twfFGq/8Ags/+zqM/8FX/ANjQjaPEurZ9P7L/APs6r2EiuY9+&#10;k0+HyynmNUUel2qurb2618/N/wAFWf2OmRseJtTXb1/4lh/+Lqqf+Crf7Hrcf8JVqnX/AKBv/wBl&#10;R7GQrn0k1pbheBUckMUa5Va+cZP+CrP7HpXA8Wat/wCC/wD+yqGT/gqv+x+evizVl+un5H/oVT7G&#10;Q1J9z6OXB6rSSjI+7Xzgf+CrX7HjJhPFepZ9f7N/+zpp/wCCqf7I7gBfEuptjv8A2aP/AIul7ORd&#10;z6N24/hqSBMuRivmuL/gqr+yS7ER+I9SOP7un/8A2VSx/wDBVf8AZLjy0viHVvb/AIl4/wDiqXse&#10;6Fp0PpPyE9TUkMSgfer5n/4eu/sgZwfFmrL/ANwr/wCyqxa/8FWf2QP4vFuqEf8AYLx/7NR7C+yI&#10;PpQBVGN36U9IlcZr5tH/AAVY/Y6Y8+MNQUbcjdp/X9amT/gqp+xwoXPjq+w38X9nkj881PstbWHF&#10;KT1Po4QAd+1TC2UQBia+cU/4Kp/sZbfm8fXX/gvP+NWIv+Cqf7FXlqH+I1wvsdPPH60vY90dEZcp&#10;9FLBhN2e2a/Ln/guFdu37YPgqz7RfDuF/ruv7z/4mvsWP/gqB+xhMm5fimyhv79iwr4Q/wCCn3xX&#10;8F/tM/tReG/HHwa1Iatptv4Jt9Nml3LHsuI7y9kK4Y91lQ56VvhY8tS5jVk/Zu7PDbNBKfL7qKtC&#10;JMBS3tWxpnwn+JpTzY/A98d3O5Qpz79a1Ifgr8VWG4+Br71+6v8AjXoc9PujzPeW6Zy6WkYcMKtA&#10;KeAa6a2+Bnxeu8tB8O7wqmCzM8agZOOctViT4AfGgW/2tfh/dmDdtaSKWJ+fwY0pVKceqCUb7RZy&#10;LBStN2JXVN8D/i5t3f8ACEX3/fK//FU21+B/xgkl2v4Cvtv947P/AIqo+sUu5lyVOkWczEqCQHFW&#10;YiN/Arq7b4EfFtmUReArx/cMnH61M/wL+LgH7z4f33/ASn+NH1il3FyVP5WcnRXVf8KM+K3/AEIO&#10;of8Ajn+NFV9ao/zIPZ1P5Wf09sSFJ2/pUZkYjBbrV0xgjBPWo2togOSFz0JNe9ynWUpYw6befTiu&#10;cv8A4SfDnUpZrzUPBOnTzTOXkkktlLOx/iJxnNdY8UKttEi/99Cq8l/pcUnlyXsKsP4WkFRKEbXY&#10;HHR/Bf4VqdyfDvSlYdvsgbFSS/CD4bPHtk8B6T9P7PT/AAro31TSFJzqUAPX/XD/ABqGXXdGgHmS&#10;6vaj/euFH8zXPaIOcUjmz8FvhWw3P8O9FP102P8A+JqMfBz4VIcn4d6L/wCCyM4/8dran8X+HlbB&#10;16wX63Uf+NRnx34Kswv2zxVpyFmCrm7Tlj2HNXzRJjaWplyfCb4XFcD4f6P/AOC2Mf0q94Y8DeFP&#10;C0z3Ph3w7Y2Mki4d7W1VCR6ZAra2NP8AOrLt7FmxmpoIMZxt4/u0SkpINehCVL8EUwqEOMfpVxlK&#10;8GmSxMRuA/SsvQI3R8y/8FavBmr+Pv8Agn/8RdF0SxSee3sbTUMMORHa3kNxKV9xFG/4E1/PT8Vr&#10;SEoLmKLa33Tx19a/qh13RNL8R6NdaDr+mx3Fne27w3VvIoZZI2UqykdwQTX81H7dnwnufgt8evF3&#10;w1utNa1XR9auVt7ds8ReYTF1x/AVrmxC9w9DCy92x8v+G3mi1G4sJW5WQn9a3I55IruN4nMYjYE+&#10;/Nc3rEjaX4u+0KflmRSMe9bsl99mh+0LCzMuGDKwB9epBxXPHsbRlyvUf8eNZ0rXdH010laSeEk7&#10;vs7KpyMbQT9P0r1T/gl38UfjH4E/aQ0nw38EdYvLXXvFg/srT/sNrLPLLcbw8SKkZBZi6qPxrwvx&#10;14pbxtbRs1v5KrIJPLjYYLKgTccADO1R0ABO5iCWJPefsO/FKf4M/H7wf8UNOCm98K+MNN1a03/x&#10;MlwhI4I4O3H4/jVSiHtotNH6LeNV/alm8a6ovj57k6xHdMmoTTeCmaR5RwQ5fJyKz8fGCJMJeTNg&#10;feXwa39Mfyr9TviDc/s+aBZw/EDxzqcFjba5fTfYrl4HcTtvJ/gDc459DzjPSuF8YeI/gBa6VG3g&#10;1/t2pTmP7FZyaPdKZlLgNgeTk4UlsDrjAqYYOWJqRhT3ehy1qtGjSc5bJXPzjb/hbN0P+QxLH/10&#10;8Jv/APE1Xms/ie8my61W1kx/f8Hg4/OvsjwF+0Z8Kfif8S9R+Hvi3wBa+GbfT5LqJNavNS+WZoZT&#10;Ht8kwDbuKnq5IxzzXaeI/BvwDtdMHiK41yRbGTHl3zaXOITnph/Lxz29a2zDKMRldb2OIVpNXX9I&#10;4cBmGDzKi6lBtpPzX5n583Oj+PBEzyXFnjuV8I4x+lUbiHxfawtJcPDtUZZv+ETwPzxX3xBoH7N1&#10;1L9lh8VrI7DPyWMpGPXOysf4l+D/AIG/8K11O+0PXDNcXWn3UWmK9vNGs1yI2Cxh/K2gltoz2zk8&#10;CvLlh7anZ7SPNZnw1Bq2shvLLWjfLnDeGf8A61TjVdcHRbHj/qWRXoUWgSCUoVG5fvc55qYaDOTz&#10;DWPK4my5eh52uua0F2lNNJ9/Cy07+3NUxlo9M/DwyK7xvDHmvjymH/AqsWfgyGZsMG/Cjl5tCjzw&#10;6nqTH/RY9Pk3fwt4c5/ACql+1+YmF3Fbxxqcq03hrHze2TjrX0l8A10L4d+MbnXdR0mO8EmlyQwx&#10;3S7o0kLKQxGD2Ujgd67b4tXPhj4o+Dk8NWfhuytWW6WUT2kbDCj+HDIOvrUxjKNTQD4nS0upyWS7&#10;i2t/1CQM/kRTW0a5P/L2q+0ekn+jivpqD4AaSU6K3+171m+Kvg7FpESvaK34Vt7OVrhofOb6HPg5&#10;aRv+4a4/9qVk+IPhrofiixk03xBpT3VvL/rLdrOXa/PtJX0x4e+GDar8syMFz0NdJF8ArJ1Vii+v&#10;SqpxvIVj5P8AD/hQ6BNNLCjLGyokML6KWEKqMcFWUkn3z2rSeOVmObZW/wBr+yXX+tfUx+Adqh4R&#10;V9KbJ8ArR+rqPwqvY67jPlzygB8+kMf93TX/AMaiYXbHjw1v/u50uQ/+z19TD4D2IG3AoPwHtDyM&#10;VXs5dAsj5ZzqyjC+EEPsdGkP/s9TW8fih/3kHw6hba2f+QK3/wAcr6iPwMts4ytXIPglYIcg42+9&#10;Hs6gWR8ja2ddngNtrfw2j8tudv8AYcoH/oyubuNM05Zf3fwwtzjt/Ylz/SUCvvXTvg1augMsoP8A&#10;vHP9Ktv8GdLCcbD/AMBrTlkFkfn6NOswfl+FUH/ghn/+O0k2noUxH8Loc/7OgzDH/kWvvy6+DGnT&#10;WzRRuqn1UVzl/wDBBo52WG73bl+6x46U+WTFbsfDEVtcW8wV/Cci/wCy2ktgflz/AOPVtWsupWcH&#10;mr4P3K33V/siQ/8As1fRPjfwZpPg7UxZXWniRnjWT73BBz/gawpPEXwzsiIb6G+hZW5RYQ4/PcK8&#10;zEZlhcNUcKkrW7nTTwOMqRThC6fY8WS/1ItlfAK+/wDxJZP6PUkd5rGcR/D9c++gyn/2pXstp46+&#10;DglVZHv8A/e/s/r/AOPVt6r47/Z3g02NtP8AE2rzXRYCW3bw+sYA9d3nZP5Vks6yv/n6jRZbmH/P&#10;png0M/iF0aRfAka7f+pdl/8AjtZmveNYPDNp/aPifQbCxh+7515pLR4/OSvZ/HXxH8Fw+C9Ub4aE&#10;y66ttjTU1S2aOAyFgNzFQTwCWxjBIx0r4y+MHwS/aK+J9/NrfinxTp+pXDyr5cf2t0jSPac4G0Y5&#10;wNoGMVrHMsuqaKskN5bjlvTZ1njD4w/BLxItvJP8QNDtbiym8yPbZsw5GCCGfbgj2yOvWsuz8Ufs&#10;6+HLttd/4SXQY5LrmRpoZGD89drOV59gAOo56+RXP7JfxqKNEy6Mse37sN22R+JWoLj9j34syWir&#10;HDas/wD001MY/LbWv1rK+XWsvvM/qOM/59s998NeIvgf441B9O8LeI9IuJgu5ljt9v5DcB+ldTH8&#10;NtPjUPH4ed1PRjpsmD/5E5r5Y0/9jf45RMJbW309XVsqx1BQQfyr7G/YPkvfhN8PdQ8FfHkbZlvv&#10;P0+7guWvDKrDDKQPuYwMc85rKpjstjHSsvvKjgcY/sMxV+HFuB/yI8bD+8dLf/4s0R+AtSSTfp/h&#10;qO3foGOmynj8HFfSI+JPwQYcaldD66W2P51Ppv7RfgP4eapNNoHgyHXIr23TdJeDyhCykjAVkJII&#10;wTj8+tcNbNcBCPMqqNY5VjKkuXkf3Hz7Y2vjy3jZHt4VG393/wASeXn82P8ASpLW2+JLJnK/josv&#10;/wAVX0Zrf7SXwq+KJ0+38TeFbjS7qFnQTWcMciMjBAq4BB4IJz/tdBiuwi+DqyL5kdrw3IOyurA1&#10;6OOg5U5Xsc2LwtbBy5akWj5Nt4/ifa5MVxsz126LL/8AF1aST4m3oWxn1zKs2RH/AGBMRnHoXr6u&#10;/wCFOxqpLWw/74rLt/g5puoeJYYpElj2sfmjY/N+AIFdkaUpHNGzPmeTw98RrXd9qljYbf8AoWJW&#10;H/ozirln8PfjLNb/AG4+GXeDoG/4RN+fxLZr7r+Hf7P/ANm1i2jtJbS8S4dVmW8hKlY85bBUHLAd&#10;M4BPcZzXvcPwj8IxKGNgrDaBtWOj2Pu7lKR+Tq+C/ixEN6eF5F+nheX/AOKqSLwn8VS3PhiZv97w&#10;zKB+jV+sX/CqfB2M/wBkH8RSj4XeFAf3Wl4P+4Kw9nyhqflB/wAIl8VP+hTb/wAJu4/+Lor9YP8A&#10;hWHh3/oHf+Q6Ku3kB9C/E7x7ovwu8E33j/xCsxstOjDTi3hMjHJA6D3Ir5o8Sftq/DzxNdtqEt9q&#10;m2Q/uY4rXaEX0xvz+NfS3xn+FQ+MPw31L4d3WryafHqUaq11HCHZAGDdCQD09a/OL/god8Oof2IN&#10;X8D6L4d1Zte/4Sx7wXUt9EIfs4hCYKhSd2dxHPpX1GJnOMb7Hnnu6ftYfDVR5scusybWH/LAf/F1&#10;wfi745eEfEHiK51NI77bIw8tWA/xr5Y0T46+ItWjYS+H7W3ZlIYecxx/jV0fFTxEeUhtVH/XMn+t&#10;cSrytuB9Cv8AFLwo/LWd03p+7H+NDfEnwsRtbTbj8FX/ABr53uvif4veMfZTabvVrc8f+PVm3nxd&#10;+JKAtHNp6+7WR/8AiqnmkXGjTqayPpn/AIWZpFunmRaVcHsGO0Vxfxv+LuutYeFdC8MwLZWt14xs&#10;v+EguppFVv7PRzJIAT3YogPIypYV5/8ACDx5408WXN9F4ht1lS1hVo10+zcu2SRwq7i30AzWr4z+&#10;GNl8TY7e31w+LbWKCYyqYtLlt1U4OQ0klv8Ad9t2OKcakluiFRSl7po/8FN/jP8AtXfHX9oXw3rf&#10;7Fvx41Twv4PtdBFvqVvI15b+fe+e7FwsNtLuHllRkHtX3Np/7dH7PNpaw2L6p4muZIbdEmkj8Hai&#10;dzBRk/NAp6+wr8/9P+AXgHTc+Rrurbo+FY6ptI9cYArSj+FXg6FAkviDUm/66as3/wBatPbvsV7N&#10;3Pu+9/b9/ZbspfL1DxbrVu39ybwvdqT+aVE3/BQ79lQjMXjXUsf9i/df/E18TWPhXwPpURiWSOT1&#10;a8vvMb82arcVr4EiG2VNNPfa1yP/AIqp9t5ClGUdT7Av/wDgpJ+y5YozL4k1OXapPy6LOv8A6EBX&#10;5W/8FNPANv8AtuftI618dfgp4n0eDQ76ztYIxetKsskkSBHYrHEw5IPevo27tPhLP819Fou3oyyX&#10;eFI9D89Z0+h/s/S2gsd/h+OPj5Y9eKBeeyibA/AVMqnOrM1oVHGWp+aer/8ABNr4nanN9oXxz4fU&#10;o2OFujj6fuRUSf8ABPr4oblsJfH+gBpG8vaqzk/XlAB+Jr9LD4W/ZvP7k3mir3yPELj/ANrUsPgD&#10;9nu4ffbwaXI2ch49YkbP4iWs7S6GraZ+atp/wSk+LlzZpLb+NNJuI3GY5LeEyKwPcEPgitzwL/wS&#10;w+L/AIH8UWviVfGFvI0MissLaOSpIIbHzSgEfL9DX6OW/wAL/gq58uKwtH45VdQl4Hpw9XI/hN8E&#10;sfuPCtqzY67pW/8AZqrXqTaKOy1741ad8ePDfh3wJcnVdP1jTLfzdVdWjW381QFJgRWOxSWyRhuA&#10;AMYqO10OSz1C3vrvxXql1Jbr+5+0333fcemPQUfC74P/AAHbU7i91V49BK2oitby3SaN2Z3Ubd6n&#10;KDHJ5AOMGvmn/goR491z4L/E/T/Dvw6+KGpW9nJbTN51vqUuy4CyYVvnYntiplVqUrOLsRFJnuFx&#10;8D/hzJr954mQT/b764kmuZvtG7e7sWbjOOWOT6muk1XwvBrnhmHwhqfiHVJNPhWNYtPfVHaJQo+X&#10;EZOBivzzP7VnxaDL/wAXo1Vc+mqGrUH7THxZu5Vuj8XNbkZTjct8+PXtXLUxGIrT5pybfd6h7KNr&#10;JfofdA+E3hi0h+ywCeJj95hIu4j06Zx0/KoZvg74fvYlWXU9S8tMnylmG0e+NtfFK/tBfE+9k81v&#10;inrZb+8t5JWjoHxm+Kl3fQ6hD8SdclWzuY5pIpL6bZKEcMUbnlSBg+xNT7Rh7I+uNT+CnhSw0y41&#10;GC4vGaOIsqtJ8pbGQPu1xD+G7oIp+zMAygkbTwfSsv8AZL8YeLvGXgzV73xd4mv9QkXWpI4/tkzN&#10;sTYp2jd2yTXqbWyyqFcL+VCfNrY2hHlPPH8PyD70D/8AAVq9p2gtGV/cyf8AfuuvbS4i+5VFT2+m&#10;xH5B9adjS5j6NoW+43eQx+XH+rrstK0PMigL29KTw/pcccn7xtvYV12j2truVmWrUYmbMzT9J2J5&#10;Lwfxf3asy+AVvoc/Ydw5PzKa6W002NpAySfkK3LezVYAzzDitoxXLaxPNE87tPhuISRHZRj0OK1b&#10;XwE0a5aBf++a7m3t4+8gx/u1K0EA53Z/3RVcsewXRxT+DpN52x/+O1FN4NuDysa/8CWu58qInCr+&#10;dNMCHrinYZ5+3hCY8NAv4LTD4UlX71jXdm3iZsIR+NKNN8xhwv8A31S5RnCx+EJSfms6lj8HXGc/&#10;Zf4q9BGlIBnApyacrtjy16+lHKBxkXhmfZtaBR/ug1MvhacrzFgfjXcJpkAHOKc2nwlcZqgOBfwv&#10;J0EY/Kqt14TmkG1Il3f7tei/2XGRjC0yTR4Svb/gNS0TL4T5T/as8MJpsWk3U0G2SaSRTJt7DtXz&#10;B8ULG/0nVLee1s/NimjOf3m07hX2v+27p0EOg+HyT8xupv5V8i/F5FiutNymdwm4+mz/ABr814oV&#10;8RJH3uQx/wBlh6HnH2nUwc/2L/5HFMkm1V2+TR0H+9N/9at4xxMo22/5Gnw2sStuaL/vqvjYpn0p&#10;zhfWM8aZGP8Atsf8KcG1eVSDpK8/3Zh/hXSfZoeyUotYmHHFae0lEVjlJLG+cfPpA/7+j/Co00i8&#10;V/NTSTn/AK+VrrpLGJj81CWkK8LTjVl1DlRy6xXsBymkHd/18LUqtrDfMNFb8JFrfktUGeDTVt12&#10;8Qmnzc2gcph7tZ/6A0n/AH9Wgvqw+9pUg7f6wVvfZx/zxb86bJbZjyqn9KQdR3wj8JeI/iN8RdJ8&#10;F6XYpDcXl1hZJJPljCguzHHYKp/Ov0MtdBljto4jEuVQKcD2r47/AGNrbH7R/hsGD+K4HI/6dpa+&#10;8fsEGd5r73hCMXg5SXc+G4oqv60oPaxylx4flbjyuMelZ9p4P369bOIf4m/h9q757K3YZJpuk6as&#10;mtW4H95sflX2sYpnzJp+CdHNleRXHln5ee9d6l7F941zdvJFp8yhmAz7VcGpRHpSlaOgG5Hexu2M&#10;j86nimh38SL/AN9Vzy38Jbl8VPHcrnKS1n7j6lRny9Df82P++KKw/tT/AN6iq5EV7V9jyP8A4Iwf&#10;8Ff9d/4KIWWt+AfjHbaJpvi/RYIp7SPTSYm1GEnDt5RJ+ZeCdpxg9K5n/gux4fXxB41+FNtNJcBb&#10;W31SXNvCzgZaEDOO39a/IT/gm1qvxd+A37QHgv8AaA8M6BqUNrHqZMOoR4jinRSRIhdsDB5Vhzjn&#10;rX9NHwS8aXfxn+GNj8QfGHgbSbG4vJLhYYrPUBqUJjWVkEkc7QxblYKG+4O4y2Aa9qnWjiYuPXqc&#10;M6dSnFSktz8VNM8K6RZQqUtdTkkYfeNnPg/kKvJoGpTbnsPCuuTbT/yx0O6cfyr9vJfDmjLF+70i&#10;1XHpbqP6U1rK3jj2wW0cf+7GBWKwMZPSRn7Rdj8gPh3+yZ+0R8W9Aute8CfDnUVWBjGsmpWZtsyF&#10;cjCyMCR7gYrZ0b/gnN+2ZcWMS6z4GWSXaBJ/pkKgt3I56Gv1g+yll2B/4s8iofsf2d8l/wAK1jg4&#10;xV2VGppY/MPTf2UvjB+znG+sfFHQ4bGPVf3di0GoLKxK7iwIBOOorO0nwX4YbSYr+Xw7YPcSKTJM&#10;1qhd2PUlsc19c/8ABROYw+HvDkZGR9uuCF+kaf8AxVfLWnFo9GgtgfuxgbgK5q0VCpY0j7wlppeh&#10;RMBBpMa/9c7fH9K0EjQcRwsP92smHVLd7xLQC0DPJtP/ABMpY3H0B+Un2JxWrESxw0ecf7VYG3s0&#10;hSVwTsx+FKlxaozQzXeGz9wtzT0jTDcfhVjRbO5up5AkOoMu4hls4baVV4/223Z/ChGfK+YqXscL&#10;6ZcuIvlED/eHsazvCEFr/wAIlptxJEuWsYjkRj+4DWnqe22068QStIvkyBd8Xln7p6rzj6VQ8FDf&#10;4H0sbc50+Hj/AIAPamSaFtJb3f7mFI2P935M1ctRaQ/K8CZX/pmOKqw6TLbRfapmmUddz+HRtP8A&#10;20BPHvirUBLnzPb7vagCdpICmdnH+7UEdzZvIEFnJ8zbdzRHA96keT+ERg8d6y9Nl08a0kay2LOZ&#10;flVL6VG3fQjH4dPegDVnCiKOSBvlMyc9Ryy8/hWZ4k/Yu1v9qDUU8RaZ450nS49Lj8ho9S0H7Yzb&#10;mJyGLrtHHStO5U+VHnvcRfh+8UYr239mGQDQdUJHW6VfyU1MoqW6Gpcp836t/wAEf9W1eEw3Px80&#10;2NTGVLWvhNoSmRjgrciub8af8EmfiF4X0RX+G3jzwzr14kqItpq3hmG3Xy8HLeYfMJIx0IJJOSa+&#10;/pJgFwB1FQyQccmpVNbI154n5wQ/8E2f2tozkeHPhuv/AGxh/pb1b1j9gD9pbwh4bu9fvvD/AMP/&#10;AC7O1ee4MaoDtVSTjFv6Cv0P8odx+a1znxlKL8JvEWRuB0e4H/jhFZyoxirj3Phn4BfD3xL4A8O6&#10;hZ+KI7IXF3qTTx/YJi0aqVA7ovPFd4EJ70absdjAR8oPXNXPs8Ocbj+VYR1iMoyo68h6msz+9xmn&#10;XdsAoCZ/Ki1tpEbfiq2A2LIqNu4966LSZQgXdXMwN90EY71rabqKCTyVXLN93nrTjL3Q5ep1unz7&#10;dvNa8VyptvnevMNT+PPwg8FTC38YfE3Q9McPtZbzUkQ59s/y612nhnxd4Y8ZWK6h4S1+x1K3KqfO&#10;sbpZQAehO0nAPOM+ldUfhOWcXe50drfYhChh+NSfbGPdaoW0LH5CcUr5Vtm6qKWxoG7ULnfzXN+O&#10;Pib4Z8AWv9peL/EVrptqzbVnvLhY1J9OTVP4mePdG+GPgbWPiB4jl22elWbTyLnDPgcKv+0TgAdy&#10;e3WvxP8A22f2qPir8fPiO2u+NdZnjjWaQ6bptrIVtbOLoFUfxHGMscFjkmgpSP2k8J/Hz4X+MtTX&#10;S/DfjvTby4YBvJgukZuenANegWVxHIqgvya/nT+G3xN8ReBL+PXfDep3FreQkOtxDcMrh1OQwOeD&#10;X7If8Euf21LD9rz4PyR6zMq+JvDLJaa1E0gLTfLlJxjHDDr/ALQYdqC+Y+qlfcwQHrSWF3YXjB7e&#10;+jbttVwTUAn8q2kKJuPlsMZ9q5PwT4I8Q6L4ii1G+uYvJ2kNGkmeSOvT2pFnoXB/i/SkJAH3v0oy&#10;PX9Kg1LUbTStPn1S/mWOC2haWaRjgKijJOfoKAHXl/Z6datfajdw28Kf6yaeQIi/UngVX0fxD4f8&#10;RjOha/Y3nfFpdJIeBnopNfif/wAFKf2+vir+0h8Try10HxHdab4L0y8aPR9Hs7hlSXYSPPkIxvZj&#10;zzwBwPbx34Z/H7XfB2pf2pp/jzVtJ1C3j83TtT07UJI5rWZehBB5B5BB9aZm2ftH+3gRDp3hxFPy&#10;ieb89tfIXxiAN9pe0/8ALOX/ANkqj8Ef+CjPiT9r/wCHVh8M/istvN4s8Ks0jaxb4jOqWrAASOn/&#10;AD1U8Nt4bO7jmrXxY/fXmntu42yf+y1+a8SP/apI/RMhlB4SKT6HNQIp4Y1LhQMhqjij2/NnrUnG&#10;NtfH9j3w4xnzP0qG6vrGxRZru7jjVuP3kgX+dVfE2t2/h/Qb3V7iTatrbPMx74UE18c/Ev4nat4w&#10;8QwnxBqk/wDp0YnMK3GFhjP3UGP59697I8innc5Lm5Ut2ePm2bRyynHS7Z9lQa7pV5cC2tNSt5GP&#10;aOZWx9cGrYfDZFfGXwg+IPw8g+KlknxG1PUofDumsJdQh0ubZc3EaL/qopCNqSPwoZvlB5PpX0V8&#10;LPjp4G+IfizVPDHgltXSxhZJNH/4SSaFr2aAjlZGgzG0iHAyuNykMQpyB6WbcI18vw7rQmpJb9/U&#10;4cv4kp4yt7OceV/gei4WZdrCkCBPlzThGx43UrR5Od1fGxjyyPprjCF67v0pCEzknpSsrCvM/wBq&#10;P4n6n8NPAscnh5l/tLULgxQ5GSiBdzuPf7o/GurC4epjMQqUN2c+IxEcNSdWXRHvn7N3jbwx4M/a&#10;E8Nah4h8Q2dnDHdSLNJcXCqE3QyAZyeMkgfjX6CWN/Y6tYx6jpl1HNBIu5JI2DK34iv5x7vx7qt/&#10;d3FzqLym4mbMjLM2Wz165r6q/wCCcn/BSXxX+zz45tfCnxD1e8vPBV4pi1G3muDM1nlSFniDcgqw&#10;XcoPzKT3AB/VsnydZXhvZRlzX1v2PzbNMyjmmI9pa1j9jnnVG8sjPfpU2mXGdXtpIxgqrD9K+CfF&#10;P/BcP4V2tnqEnh/4VX19JGv/ABLY21dEE/PO4qjbc/7O89iBUPwC/wCC53w88S+Prfw/8ZvhXd+G&#10;bOVvLtdVtL4XMcW7j96rIrevzKW46jvXrONjzYydj9BNW1aRdQjWQ+1WE1i0QfvJlXvywrk18XaD&#10;4zsLHxL4U1m31DTbxBNa3lrKHjlQ9wR9a+Jv+CmXxy+M3hHxbc+H/APjUaTp9vYrLdbWKvOx/hXH&#10;oCPTrXJW+JGsYznstj9Ak8V6IXVG1WEbmwoaQDNatjfZbcHG2v56fEfx9+LGnX8eq3PjLVLxmlzt&#10;kvJGCH1PzV61+y7/AMFav2h/2fPHFuviLWB4o8K3Xy3mlahqDZiz/FG5DMhB6jkH0zzTjTlvYTif&#10;uJ/aQ9/yor8uP+IhLxz/ANG2aP8A+DyT/wCN0VrdgfL37N37Y/w28Fxx/C3xHpFxZravs0W/uJjL&#10;HGpcyeWNq93ZmGdvXqelf0UfsJ/Gj4UeOf2WPBcXg34n6Vq8+m+G7K31SO3v0aSCcRAFHXO9SMbe&#10;QM44zX89fjCw+HMHh7+zbLwtYww3O77Pbx2qZCjhnAx949AT616T/wAEhviV8UvAv7aPh/StM+O+&#10;g+CNFvJjbT3GvLI8bwjhbVlH32fhV34AODkcV6tChHDzco7y3M8ZiZ4yjGMunY/olk8TaNJHsN6u&#10;PXfUb61pEg/4/l/OryWdjGwQhWwo+cJjdx1HtQbe2zxEPwzmu6GkTn9naJkT63pluN4vN2ThVRCx&#10;J7DCgkk+wqsnivw7dw6XPBr0Ei6xZi60w7Sv2mEqGDqDjjDD8+9SeOPFWg+FtNkaa/jjvGXfaQeZ&#10;iRtp3FsdQAATnHavjX9p74n/ABB8A+H/AIR6P4W8VXGmXkdrHaXM1usZfatvGjqCytgZHp6VNStT&#10;px5nsEafvWR2n/BSKcG08LxK3DTXjdOOEjr5ntVVLSOI9lA9O1d5+0DrfibVdJ0v/hIPFt9qjRrc&#10;CE3zoSg2rnG1V6n+VcHahTZxuBn5V/lXm1pqpUujdU5U5WYMlwsflJfXZDMDta7BU49inT8atW+Q&#10;e/I9qgTynOCf1p5lZP8AVkVmW78xaGNjDd1FR2mmWG97u4jtnkYYAk0tZCR/viRW9eMH61Gtw5Hz&#10;baltnZuT6UFCarGiabc+XHjNuxwPXafc/wA6q+EEMfhTTEA6WEP/AKAKtahIfskmD8vkn+VY/hq7&#10;1xWtLH+zY10+PSYTHdtN8zSbR8u3sMd6DB7m35IjbzIoI42/vr5m7/0P+lWYnyuDwfaq6yyHkgfn&#10;TllYN1FAi0cHqP8Ax6ofLu1uVl/tCZkzhopGDqR+NBn9GWgOW5/lQBPqVyscEIAG77TCAO3+tSvc&#10;f2Y1H/CIX1w3V9Qfj6CvAdUkZLJWJ6XUP4fvFre8LfHnxd8PIJPD2hQWfkySGUtOhJ3HrjnpQJxc&#10;tj6odWkxxSMreXhhtPbNfNFx+1N8WHi8yCexQf8AXqf8azbj9pf4vTZYaxFn/Ztl4/8AHq5/rEEa&#10;xoVD6edrhH+YcfSuQ+P2oppPwS8VapdMojg0eVn+YcDHJPtXzB8a/wBt34m/Bj4e3njnVNdjm8ra&#10;lrbpYgtLOxwsfXgHrnsK+E/j/wDt6/tU/HU3Eet/E/U7W3ktWjm0PQZmtLXaeNjbSGlJBIOSQRVO&#10;oqkTSNKUY3Z9oaL4+8KuweXxHYxeZ8y7rxBwenUjNaI+IfgeFsS+M9Lz6NqUQ/8AZq/NH4d/tL+I&#10;vBWqrF4klnvNLWTZcQ3E29ohnG5CeTj0NfSek+INC1mxj1PSL0SQXCLJE8a8MrDIrhqc0PduVGLl&#10;sfTU/wAVfh3br5kvjXS8eg1GL/4qmxfGH4cM2R4y03/wPj/+Kr5xF5CZMGYn61Kl7GPmVv8Ax01z&#10;OdSLNlTUdz6Rh+Lnw1TLHxnpvp8t7Gf/AGfmvnH/AIKCftk3vg/w5b/DT4Sa8q3mrQMdU1S0mAkg&#10;iJKiONkJKswBJOQQPSlF/G2Fc7ffFfOH7T+qafd/EdtKk2u3lxrDI3OCFJ/qa68LN1X7xnU0Z4Vr&#10;uo6t9o3fbmB3fM0i7mZvUk812/7PH7TnxS/Zn+IFt4u8EeLJI2aZPt2nrIfs95HnlHToep9welcH&#10;42jS11dkifP7ks59GFcHf+KJTLFuYkyOwH+yQcfzr2IU4uNjnlc/fz4P/tdfCf4rfDvSfH2na6tu&#10;NQtQ8lrIpzDJ0dCR6HNdJL8b/hxnzH8Rx7SedqMf6V+Zn/BMfxyutfC/WvCGq326bSdSV1jbgpHI&#10;vUD03DH1Ir6dhvUjCjHyZ7fSvPqVKlNtWNIxptFf/gq/+0f4csP2WLrQ/BWrfarvUtQjjlZVKBUG&#10;Tj5sd/5V+UevaoNZtbM6iQ007SSlujFfmVeDnglGH/Aa+iv25v2p/A/xL0q08B+Elkm1BbiTzreR&#10;QoiZWKhix46An6V8kzz30fiO0sUlkuJIuPLRTzz0Htks2enzH0rqw/vxuyZcq2K+t662k3a28EgI&#10;bhvqDX1z/wAELvjGnw2/a+1s61e3Eem6h4RuFuhHC8gMiyxGMlVBPHzYPua+JvEcF4+oSSSffWRu&#10;MdOa+gP+Cdf7SHwj/Z18a+Jtd+Leiz6hb6toa2C2sS5FwrSAyxNyDhlA6dxU1Lxi3EMPGnUrKM3Z&#10;Pr28z93ov2lvghOv+g+LZpFHaLRrxsenSGo/+GpPg3FIyx6/O7Iv3ZdLnib8mSvyh0r9srwxb2Ov&#10;n4L+DrvQv7SuHXTrrarr5A584biSrHIwvIXmvHfFvxO1ea5kfxhrs13fNMsQuIbx2aTj/lpnOOO4&#10;znNcvt63VWPQr4GNGq4Rqc66NI/caH9qj4bzsAn23bxuP9nz4Gffy681/bb/AGmvBw/ZK+IQ8N31&#10;xb33/CLXYt5vJmXYShGcmMAfiRX5d/s8ftv+Lvhj4z0q18W+Ir6bw/dXAgk03Ut0kkSMQBLE5Gdu&#10;T7DjAr7H/ab8S6DqHwE8SWF1qELWupeH7nc3mgjyzEcnr/nNL2tS6MfYxjF3PyNl+KF/qNw2iy2o&#10;k8yfHsvzZOP1qpruogXflWyAxtuYN+PFVdB0S+hil8QX1jJGqx/6OrKQWYjr+VWZdMju54xbMdsd&#10;vj5vWvUpRi4XZy+7sd3+xT48fwr+014fvLi9aGG5ke1ly3Db1wAfxxX6G/EK8ke8s1VNyJDNk5+7&#10;yg/oa/J7T21fS9dW6sCyzW7742j+8uD1/Cvu34lfHPxPpXwW8LNLM9trGqaSst5JJH80a4Azjsc5&#10;/Kvj+KMrqYzEQ5NG9D6bIMdTwlOXtOmx6ykvmBjHIp2thl/lUgGRv3H/AAr4bu/GHiO61BdTfxJd&#10;ySjnzPtDAhv0r1j4GftQ6qNWsvBnj29+0R3VxHb291IQGRmYKAWPBGT3NfNYvhPE0aPtITvbpY9f&#10;C8SUK1TlqRtfY9s+KsljF4Ev5dQhlkgYxQ3Edum6QxPKivtHdtpOO2cGviz9pf4f+JPAni6Pxbqc&#10;tuxmhh86zhiK/Zt671Q+oUEDI64ziv0f+If7Gv7Z0mlQ2vhz9kbxdr1tPJHJcSafJbooQMDwzSck&#10;4BGAa8c/ag/Zw/bx+I9tdWWnf8Es9a0tp7FLX+0JtDvNSuljQYDIVbYH75CkCvoOE8JjsJSlKUeV&#10;N9evyPM4grYfEytHV9D4Ev54oE+1Wbf67G/I6k9q1tJ+IOo+BNdt77Sr9ra8tZIz+74Oeec/lXpl&#10;v/wTX/bxt/Ln1j9kH4gadYxtuU6p4emgaVx2PmBceuPetj4d/wDBKb9tj4p+PobHX/hFdaHbzSB5&#10;b7Upo9iLkdo2Zs/hj1Ir7CtUhKm+dnzVGnUVROK1PqTwF4mfxd4N03xM8e2S8s0kZfTI5/WtkYIy&#10;RXsvwt/4Jk/tAjwdZRXD6Do9jZ26xedqWrBSVUbQcBT169eOprynxP4dvPBuv33hnVJoZprGZonk&#10;tZN0chHRlbHQjvivxPG4WtSxDco2UnofqWFrQnSVnsjMHzvsFfLn7e3jvT08QaFoGj6xE99ZxTPd&#10;wrkmLdt2Bv8AaIBOOoG09CK9S/a8+LGieAvhrZr4B8QXw1e+upIdQiljVHslVc445y2eG6EDIyOa&#10;+Z/hx4h8EXFxNonxetLyfRtcYPNdWoDzWs6MygqSeMkncAfmzz0FfYcNcP1sLWWLrL0XfzPks+zi&#10;nUh7CGz3PN9V1W5vmWc8PyrOuOTWzoel6npPhQeK9QUNFc3TQWa5G52XaWO3uuG9etfafw2/4JB/&#10;Bb4t6fb+ItA+P+vaPFJCJPseoeEpRGARnG/O0j3zXpGsf8Ee/hh4H+HmoePNW+N+h+KLHwnoN/cN&#10;pH2qGL7U3kkpGu2ffFLuAKnH3gMgjIr9Eq05xp89nb0Pj6cqMpclz82r/WtSkme4nvGwkQWOFeQv&#10;FZ0eu6xcahNd3F5u+Ubt2O3A+lepftE/s3a/8KNakSxiu7rS7hYpLXUpbcpvWSMSKGB+62w5IPv6&#10;GvPfAfw/1zx14gbQtCsZryZ4y3kp8rEbjjHv0/OuSMvaap3NpL2crNWP0I/4IhftP+LH8R61+z94&#10;i1C4vNPj02TU9DgfMn2aZCu+NefusCDtz1Hvz69/wUa8EJ8QvgFcfEO4sZ4tdW6/0K3t5g0kkDup&#10;2MMKcgbscE9BzkZ+Jf8AgmNZ+PPAn7VVxqAivNJvNH0ydJ0uImhkXefLCMrD1bPIwcV+hWp674Y1&#10;bTL7/hM72F7iQB5vtCjHBzn0xnmvMxTnHEKMVdnqZfyyum7Jn5QfEn4JfEzwno+l+LtfuZoYNXnm&#10;h8lODG8Sgsp59GU9O57ivMZ9SkisJkafG1WAbvmv0Q/aK0D4eax4bmvh4nsbq6/ejTYEuolVUc5Y&#10;pGG+XJA+Zjk+gr4X1n4CeKJ9cXSA1vCtxcN5ckl5GyIvLAEqTjgV2YenipQvODXyMMZCnRlpJM47&#10;/hPLz/no1FN/4QXUf+fZqK6Pq8v5WcXtIn074883Wtb8i31wwRxwrEZEU8KPp/TFTeE5dA8NTKun&#10;6xBNcZzJePcPle4AUqOM+ucda848XeLtc8MO2oWd8ssMcnPcyRH1HZhRovjSy8TL5sJDcZO3qK6o&#10;1ObU4480UkftR/wSk/4LL6Td22h/st/tKa1dXVwv+jaH4zuLpZAAWAhtbjgYCrkCUliQvzY7/d/x&#10;I/aMe2aTS/h0is6gh9TukDLjHWNe59yMeg71/Ml4S1uSw1CG4s5DG6Sjay9a/Xv9nz42/Fb4efs+&#10;eF734taNZXy3mlxHTca8q3UqsPkUxFCc4x3Jrkr5j9X366HdhqNTEP0PpebVtXmk1jxPqOqy3N1F&#10;o95NJcXDl3JEJ5yf/wBXFcB+2R4UGveNPBEdnrBRtCRmuI1jDq7kL8uc8Y/rXc6NIureGtQ1B7ZV&#10;juNLkjaGQjLb0BK9BnjrwK5/4n+ENe1rVtJTSLPzmEDSvvkVT/D1JIGavm9pTQS92pbseX/Gq6vU&#10;0mwkvdqs0dztX2ASuTtLmX7DFtm/5ZqT+XWuq/aO03VNITS7bVrNYZHt7qRNsyvlcKM5BPcVwdvK&#10;/wBlt5CW/wBSOh9vcVJFSXNO5ettVilk2R3MZbuvnDP8q0YmynPpXPadqupyX8cHn3+0scqb6CRB&#10;weChTJ/Pita2Z0ZkJPAHVqCk+bUuE8dR+VQz6hdW8qrDZSS/7UajH06g0vnEKQfT16VkT27X920t&#10;7FZyGP5YjdaCzYX0EinkZz+fSpk7DNq9u8aTNMysv7lsqy4xxRphePRbcB9qrbxgf981R8R3PkeF&#10;L65P/LO1c7Vj2gYHQdasxXaQWCKpZf8AR1+72+X69fwqkYyILDV7g3aq97HNz/q1vomb/vkID+ta&#10;r3QZuMf8BFYFhdzSXSwtd3qjaTsmsbYL/wB9IN349avfajFJlpCf6UEmh9pA/iqnDcalHcb5prgx&#10;bjgboWXoeu0hgM026uUePcHI47LmsWxghlvfOZLVmyeG0doz358wNjNAG9qupTmxEbN1uYP/AEcg&#10;qbT/AAjrXjLxFa6FouqQ2MuoXUFnHd3EZdIXldUDsvG4DduxkZxWPq8rNYgoORcwdz2mQ1698M/g&#10;R8Qr06b4u0+6tI4pLiG6hWSdvMXYwIyAvBBFc1bFUMPb2krX2NqNOVTZHnPi/wD4I7ft6fDfxLJr&#10;/iD9v7Q7qztSZ7izj0SX97GhLFREcRrkDBIIIzx61SGn3qR+W8ySOi4ZkGAx9RX6Q/tg3tynhzWx&#10;oulPM9xpxWzmgm35kdMMSgXcOvUnBzxjpX5/eK/BmnfDuyhvPiV8SPDvhtbphHbnxBdtbtcP3CAo&#10;NwHGT6mvKeOpzrOK17JbnVGnPd6Hy1/wUNOtW3wy026+zN9hh1qBryRWBG5llWNSM7uSrdBwQM4y&#10;K+aZ/Dep+DtFh8Q6/wCAP7RtRl5LO/uHhWZSMKXMZDhQSGIUqWAwCucj7C/aHv8Awi3iMJPrFvrN&#10;rpq8fZ2LWs0i8hxvXnHIHbk9a+L/AI5/Hzxl4p1m8sZ3+z2y3GLW1hjUAgHlmOOmMYAH419asljh&#10;cvVbFScZS+GPW3mXKXunG+PfDutfGuw0+x8E/C/RtCvNPtxFqNzp11NHHqC7uJJFmkdVk9dmAfTq&#10;a+mvgj4U0HSfhtovh7xV4ut7XULWxijkjaY/M2wZ56EZ/CvjnVfEqQ3QuZbry9qBI2GRjnJq/wCF&#10;PirrGiF3s/FT+Xvy1uxLBvqPWuPDYfL5Q5a1/W5gqnvaH37D8GoZY1uftwmjkXMckUgZW+hFWD8I&#10;dPU42bgv3mOK8G/YQf8AaA+OXx+03wD8JJJH0Xi68Uz3SmS1s7Uhhvb+4xOQpGSW45r9E7L9hPxn&#10;qNx9kg8aab5kqkqFic7uPcV5GYfU8LiVShUUr7HVGnUqK58x3nwz0uwie7lbZDHG0jSbwAqgEkn2&#10;wK/Pv46/Fa11j403ur6e26zsZsxxx85UE/Ln/dwD71/Qt8L/ANgz9nvwhZx6L8RbFPFWpXlqft0m&#10;rRqbGNAFMixwfdfgjmTdntjkVR+L3wd/YX1PwfJoPjr9l/wZ4murpCi2Wm+GrdZYw6BcJJGu6Eov&#10;ygqQQF4IruoYP2c7ye45YeTifzy/E/T7m1BuZ9DvLee6hTyYZ7d43LOAyrtOCCQQQDzyPUVc+Gv/&#10;AATw/bC+KX2e/wDC37P3iZ4/tEbma+sDZonmHIP7/ZlTjJK5/wAf1S/al+L/AMGv2NIrfxTpfwl8&#10;O6f4svoGOl2t9dPqmrRx7fLWSS7uXmlijwAAodc4wEx0+H/if/wUW/ao8bXbTXHxeFltkYx2tjZw&#10;oEGMABmRm4AAyST+grq1jsckqapyvI3vgz+wV+23+znrl58TI9O8MQpJGV1DTbjxJErTQghtu3uS&#10;4AGOQxGOCa9I8B+JNJ/a48Maj4BsfGcPhHxFNfQ2Fhb3Dh01OWSUR7bdgQrHccYbHO0EYOa8d+Fn&#10;/BVD9pr4V6hDJq/jmy12wV83FhqtjE+9SOdjoqlG9DggHsTX3b+zL8GP2Vf2xvh9Z/tf+HdEvND8&#10;SSeKI7+G+0/UpItl1bFWKSKPlTDKPmiWKQkg+YM5rKVNSN8PHDym1foeLWX/AAQ++C/gHX9U134m&#10;eM7vxHHpUzQTL5dxBZ3TC33ur+SGljcNsG1gB83GR12P2hdT+HH7On7Oep+GPDkng3w7pMLNp8lj&#10;4buJrV2aKxtIplaNQvmE3csu4sCWKfNnAx9YeL9R022tbNtP8Lx2+n2Cyy2dvceYLlgJMs7SWciS&#10;RMxEaAwh4m+95MPKjyX4r6xZeKdNk8Ma34svtQuIJGguYZNV0vUma4gVri4mzf2yTAyXl2VAYniP&#10;g5Brr9lyxSucElzO1z8XfC/gay8c+JtQuf7FuDZwqrMIIXlaMsSwLKmWC+WrfNjAOM1658IPgZ4X&#10;8SR6X4P8D6Cp8Wakrx6housaebiCVEikmaUIArx7VjB3n5QW5wK+ptW/4JyfC+Pxvd/EW18Y+IEt&#10;9Q0+8vLnRI4bRbeeSOWO0gytreK4V5JZcqhQEDjFdx8a/GekfCjRNWh0HTYbi60/TNQjs7WKO7Z2&#10;LCOGPEdxfyxgD72Cjfd5BxmsZx8yoxsz89fid4c0XwTeWnhLwfrE00mm2YF1JGdqeZ958f3x+HQf&#10;jXDzy+JfiDc/aFtLbT44WKSX0dqI2ZuvG3H6cfpXXeH/AAB4vtLq81TxsjRtdIXkJwSnGAo5/CrW&#10;jWMEEaoLcbY/9So6KornjT5japUcYpI5W0+G19czwXmoeLLi7aKdWcNajaVDZwCT9eK9s1z4teJv&#10;FdmV1LxJfSWscQghtHYJFFGAMKI1+UDof615b4s1C7IZYPlbqtYGk+LtTtL5bS4fcsh2sGbg1pUo&#10;R0OSVaUjf8ZG1ukkmdyzbSWdvwrzl1gW980NhZOI1Fb3iqO81K7NjBftGq/eEbZVvbNc7L4f1GNl&#10;3XqMyn92O4q4tqNkYe8tWxr26W13Hf7tsqyYzuwDntXv1t4O+LHxG0iwMOk318y6Wq/aLpjsRQPl&#10;Xc/Qc9Kk/Zz+CPhLRPCa/F/4m28epXF0zDRdNvGDQoo6SuMfMfY8VqfET4xeLvEMq6bY6k1pawqF&#10;jtoYxHGVAwBgdgBj6AV7uG4e+t8tWtKy6I4q2c+wk6UNX3OVuf2dvEfh3T2u/GPjnRbXbGXbyrgy&#10;Ed8YQH6fXFcRPp9rG4fTZ5JJlcETeVgoueSBXRa7qF1LCLRp5GkkbLtjgqDzWc01tFavPCn7zotc&#10;mZYHC4WqqdJHTg8ZWrR55n0J8E/+Cpf7ZvwF8cQ654Y+Pmta9ptr5cZ0fxJMLm0mgRQBblHz5Y2g&#10;AFCpHav2k/ZI/bR0L9tb4C2PxZ+HFxZ2EiwiDWtF+ymSWwvcZaM56r3VuMjngggfza3GvNZIyOFB&#10;kkzgDnPUV9Zf8Ebv27bz9lH9q2y0zWtbkXwr40KaX4gtvNxGjMcRXGMEbkb2PBNcEqTgrtnr4XFy&#10;5+WXU/bnxz4I8R+NXMmt+Jpbp2bCR2lrG5K4453ggg8degrnrT4QwWxRtT1S8jji+ZvOjRWhx/dZ&#10;92D9Pw6V1yfGTwBNcw3dlrOmqJ4yUaCbdIe+C+E9fb/HhfiD8T4r66mcwW7WsL/NM80n3sZA5JOO&#10;vOcfhXm1Zwue7CMdLEHjnwtL4h8K32i6HrVxbyXFu0FlcXE3mMJnGI2zjs+1s5OAMjkYr8/vGvgD&#10;UvBfxHvPBfiBbhLmxuNuqRztuZGzkgP/AB5BBDdwfWvubwP4mHjvXYr251k2llpsglgWOTajyr+e&#10;QPfjr0rwv9vLw/Z6X4yh8WPqUMc2o/ury4QArcMv3dx6ng+nSvPqZbRzLF04zta4sVmVTBYecqe9&#10;jyP9uv4efDD44/sVWq/C/wAH29jq3hePz206zsx9pnuQgEpO3LTMw5DcnDZr8z/gx4U+JvivxFa6&#10;b4M8B3WpTW14HuIJLPMJP8UZLYXBA6k9z6ivvofEXWvCHia11Tw34kkm8m5AvraFC0c0IyDjIHKj&#10;nj3HevpLQfEPw58V6d/a/jbwtpOoQ3FvHu1BbMJMyAYQebEVmHHZWwfTivtFgqFGKtsuh8TKtVxM&#10;XJq7ZkfATwzc2vhTwn8KfCOkzQ3mpOltb6XDJxG7xt+7Dbj3OBhiBz6Gvofxz/wSd+JWoeH5NI8e&#10;fEbRby1vpCLewuLqZ5rAFf8AWRylQySryd0bD2IzXUfsdfAj4RfBe6/4Xje6bq9vJeIV8N2GrSNP&#10;DYqSN9wmI8qzLlVLklQW5O7K/TnhHx1o3iXWV1GSaK4lkXZDcPgbRnoMg4r0KmIvFRitDipYepTq&#10;c02zx/QP+CXf7N2t/DJPBXxD/tDxMqxo00l9cIpMyjh+I2Oc9CWYjPBrr/gL+w5+xv8As92dvD4W&#10;/Zr0hpoZHf7ZeWYuHLE8naRtLcddufevcxMWgwkg496hOltfHdK2VbrtyM15UcPRp7I9OVepVilJ&#10;t27nz98cP2Qv2Y/jP43j8VWH7J9lb65t2NrGlW/9mtNCG3BZDCAJBuycsCR2IrxD4+f8EK9D+K+k&#10;3WseA/jDq3hrUJI2e103VLeO8tEbBxG0qrHJszgZIcgf3q+8H8OyxHzrLW7qBgMfJJ+lV9QsLxLf&#10;bJq00hHLeYDzTpyeFrKpS3XUipOdSHLfQ/BD4q/8EQ/+CgHhGG+m0n4S2vilbNneZvDOrQ3MhQE/&#10;NsyrdBnb19q+JPF2lW2lXU2l65p7Wd1bzGO4try1aJ4ZFyGRgwG1geCp5ByD0r+qfU4mMp1DTdRk&#10;s72GMiG8hYMy+2D1H+yetflH/wAFvv2A/Dfifw5rn7Yvwj8O6lH4qjvIpfHFjZr5mnzwsu1r4J1j&#10;kB27gpIIOdoOSfrMBxI8VUVHEwVujS6nj1sDKPvQk2fkt9k8I/8APxYf+O/4UU3zW/6DFv8A9+V/&#10;xor3v9k7L8Dk9niPMpWep+H9c0RG0zZCtzHmaOTkpkcj3NeWL4hPhvxDcDRpJFgSUqA3fnml8M+J&#10;LqydEVhtZ8fMeK+qdT/4I/8AxYtvCSePte+K/hWzhvLH7fDbySyeY8ZTfgDHUA9envX45LEUcPb2&#10;krXPtlRlUV0eK6F8dfD2hW8d3KktxcR4ZYjHwWHr0GPoTX1D+xT8T/i7+1n8YPD39v8Aih2uv7Wh&#10;h0ey3mO3t5d8ccOFUHAU45wfevk3wt+y58YPiLe/2Z4O8E3M3lyEfaJVKhVzjcwwSi98tgY5r7V/&#10;4JP/AAZ8b/CX9rDwR4K8RrZ3F9/wkVnMY9NuPMUf6QhwWYKM/L249DWWI9jWp92iqHtKNX1P3B0/&#10;TGtNLt9Nktoy8cCLOE5XzNo3Y9ec80s9orkNLa/Ntxu29Pat29j1Kyt5J7vwzqkZz8wjs/OY5OOB&#10;EXJrOvNV0qIx2l7dLbzyf6u3uQY5T/wBgG/SvRjDlpIVS/M2fMH7bDL/AMJRpdjGMBNHnO7/AHpa&#10;8qtHLWCRs/RQv4Yrtv2v/iB4W8afEiPTPB+tW94ul2X2S8ktZ1kXzc+ZjKnH3XVhjgggivN7O7Nv&#10;FtnmZcrx71z+7HS5zu8jRtrRLV/OUqv/AGyT+eM1ftblJmbbJ0Ht/jWOjPPzBcN/wFqmjguB/rXu&#10;R7q3/wBalzx7lRcorY2jKy/Kp60ghs42y5bPXK3DKPrwQKyQkkXyyz3HH99v/rU24vtPtV33OrrF&#10;j+JpVAH4ms5VoOVg5pbkvxE1COx8BasyShttlIfvZ7ZrTmIwBIAPlHyn6Vy93r/gbULSaw1TxPYP&#10;FJGVkWTUE5U9f4qcfFPgu+fC+LNLff8Aw/2on5feqvaU+5Nn2NtIbCCc3ENtGsh6usfP86sGREXz&#10;Hb/gNc8NW8NQrxrNmVH928DfyanrqWilfNiMkq+sUcjg/kDS9tT6sXLI3Jpo5EDBx/uk0kKxoCyI&#10;qlhhvmPNYR1jSUbd9nu/YCxmP/staFhNe3wzb+Hr6RSOCNOl/wDiaftqVtx8suxY1O6h8u3g3r81&#10;3EPlb/bB/pXO/Ev/AILVeOf2bfF9v8FPDP7Nmk682i2UAfVLrX5LfJcZAKhGycc8DoOorq4PBviu&#10;dftEPhyRR1j3bVP6kGvz2/bBtdUH7SXiSHV9PaDVFv42YyOrCK1WJMDA+98uD9WrmjgcNmVRU6yu&#10;t1qaU8RUwd6kT9DP2kP+C+lpD4Cs/wDhU9xpur+KdU05JdY+2aTPHa6UxVdyAOQZWyTtxxgAnriv&#10;zN+Pv7WXxX/aJ+Icnjn4heJrnVL2VdhaZQkcMeThI0GQi47DHrXB3purzVW07To2nab5Y1XO5snu&#10;Pb19K6C0+DXiGG0+361cQ2XmJjBJdh+HT+dfQ5fw/g8FJ1KULvu+hjWx9apPmk16In039oLx34e8&#10;Lz+G7+8a60/GI1mbMkWGztRvTHGGzgDtwK8813x9e69qT31/KoaT5VVfT0rW8YWK2dq1vvLrBmIT&#10;FQPMI6nH1Irze5QiZhlsoN30FTjqlXFVP3kr20QKTkkzob2S31CFoHdVb+Et61gamkmiN5burBpt&#10;25WqtdXMlpEs29vmwV96xr7xFNcSzWhHyuykbv4cHn9K8upTtHlDm95M+sf2JtO/bOthd/Fv9iy2&#10;1TUPEWk3lra3Wg6LYyXFze28yzOT5QUrJGvkncDyM5r9u/2bvi7480r9m/wz40/ad0a30X4halbr&#10;c33h/T4D51uXDRxQPHtykhVizpjKsVAJxmvg3/ggT4csfDH7M3jj4x2+vQxaldXsOn2kii5draOO&#10;O4aUkIhG5mlTDAn5WYcc19TfCr4nm4fXvEviDxLb6i2nuj/bkWZJLTerrn9/GuUIVgxXlep4zXmY&#10;eNGeOUXFO33nZhcdKWLdB9ketXOkePPG92mteMfFH9j6XGzRWPh+yvBGzHBINxJk7B6qpJ6DOflr&#10;m/iG/wALPgh4Fuviv46vLzxFb6bay3dvpthCYLRljXc0h6bl9HkY5OANxIrz7xT8fvDug+Kf+Fd+&#10;I9ftbW6vBIPLmfzGlhzltoB5OD7kA9K+VP8AgqL+1P4s1n4f6X4I0/xbJcW+tXxW8S1XZClvH/qY&#10;yB97LhWIwAMAdq97lWx7EnanofLf7SfxI1L9oj4g6t8YPGEwW+1a7kmNvEAI7SHA8m3TqNsce1B0&#10;ztz1JJ+ede0i4tYW1G4l3yTZLFT05wBW/wDFL4tf8Ix4quvDtnMJ47PK/IuM/uhj8MmvMn8fapq1&#10;vmZuJELrjPAyf8alx7HjYj3qhTv9YlDFAW68Zr9E/wDgij+1NpPgT4H/ABQ8FeLde+z6fpc8Wrb5&#10;CNsMcsbxyPyc8MkfA5Jf8a/OLV5SNQa3RP8AVwKx/EV237O2r6vp1pr2mWV3NFDqFvELqNJCqzBG&#10;ZghHcbsVKMo3jqfU/wC0d/wUR+K/xG1HUNJ8M67fad4dlulNvponAZ1T7pkKjk/xdcAnjpmvArn9&#10;obx6NXF5aa1eQXHnKWma6kY53A7s7vXnkfnVHxFeWun2zLeI25o88/w//X9fevO9V1Q/aGa3LNu5&#10;X5eta8/KjDmlzWPvD9mL9vq68W2L/CP4iyzXWrXL2yaf4ia7kTEcN153lNGCEOWzhsc5yQTjGn8W&#10;PA3jTX/FWp67oOo28NvfSlYU1S4fzAM8qrhTlc+vOa+FPAviOTR7y11OCTFwtwrKxb7oBr781L9p&#10;jw5oPwt0lNd0q41S8uLdfLsreP5QQozIzEEKMke/NclZ6o/YfDbKOHc5wGJjmEffprm5l27fI+a/&#10;ip4P8Y6ZrNvZ6lrlr5JY7xHMGk2543KBwPTmueupbXTA0ltZyMVPO1c5rd1LxdD4m1e613VU2yXN&#10;w8hjX+FSflH4Cqk17pi6f9pgdFkdjtjZeTTty6n5tmn1X69NYdNQTaV3fRHP32peHdUAOsW37tlw&#10;pVSrqffHauc174dypKmp+Gn+1Rbt7R5+ZR6j1A/OvQviB4L8YfD/AEbQPFPjTwHqWlaV4ntWutD1&#10;LUNLljt9RiTCySQOV2yorEAspIBIyRkZ851jxto8eoF9I1HYvAYLIQOtae2jUi+Vnlpcu6PtT4Df&#10;ssfDDx98E4/iF40+CK3VjZtBb3PiKGV44ZZmVSFd9wCSfN0JGefSvRvA/wDwTq+AXjyO4vNG/Zi8&#10;Q6hZ2bhby80ya5nWMkZCkpIRyCMc5IPHrXnP7Bf7cVj8B/hVqVxrXxAXSohulWxaGRnnuFU7USMf&#10;LKJBxlsbT1IU5r0u7/4Lz/tJ2UE1hpGh6fZ2MloFjjt9T8vKhAo4iAwRz7A4x0rzaeFqe0vzPfvo&#10;WvZrc+dvjt4b1DwX4xu/BL+G7nSbPS2+yWWk3UbLJBGnAUh+c45Oeea8j8SeHtS1Bt9qzKVGVRFO&#10;TXZfGr9q+f48eIbSfxgJIbqGSSdboXRm3SMMYJKhgvsSRnmuET4leItLiWG80/7XIoJE1t1GT7ZF&#10;fouX4ynLDqD0aR8nisFOFZyXU57V7TX7K2+0ajaSKqttUseq45/KubN9eSh4oy/liThlXPHrXeeO&#10;9R8dWVssXjPw3Jp4uIYrmxt7qN0eSJ1yknzKMqwIYEcMMEZBrjZ9S1VEju7eTb5bK0cKgKD36dD1&#10;zz2r57MJKrWeux62GpShh0i1b/Bfxn4kus2cUazPtMQlbbwRwDnpXU67/wAE9/2rPgz4Csv2hviR&#10;4a0/RvDZ1RBaai3ivT5ZJ5VOdkcEMzzMeOyDGMnFcxrnxD8V3WoDXrzXbiS6knX7R5rblfnk4+la&#10;mreO/FniHSYdI1jxLeTaeshMdvJcsyq5GC20nGSBjNcfLeNjojVlT23PUPGf7dnxc8U2cc3g/V5N&#10;KtoGCrGt45kkA4yH4x0z0747VW8Oft3/AB10WGNk+I99exx3SyzWN/M0iSAdQ2ecfQ148LRItN8q&#10;0+ZOSGHTnJrI+0Ja3PnFsDp061y/V6cfdsdccViO5+rv7H//AAUI0b40aG+gaTfR6LrdrHuutJkl&#10;B8xO8sROCy568ZHc9Cdb9rLxKvij4Sa1rGu3Ml9Pa+U9nHFMqt9oMixxgZOASzgfjX5b/D7VtT8O&#10;+JrLxh4Knb7baTLI0CTbSyfxrnI4K5GK/e79g8f8E7fiL8NtJ+LPhvQdNgmks47vUbXxkJ1+x3UW&#10;JHjL3KiGRkdCRt3NgKQM4rjp5fKniIzUvdTvqbVMZUlRlCSvdaHx3+zl4W1k3DXnxU+FUmhyw2vm&#10;W8eowqFmQnAYDPc5x69a+iPhLd/AnwR4u0PxB8UNNtY/Dq3KiGFYv3YfO1XI7xq7AnHv2Ffcmowf&#10;Af8AaF8CzSzz6H4s0IKI7r7PeC6jt2IztbYd0Uig/dOHXuBX5I/8FLfFvhf4QeNtS8FeFb+Gz0yz&#10;uZI9HtI5NyrajhQAx3Y245PcZya9LHWjiFV59PU4MLGpCnyuLufpJ8TPiFqovneBJ5rfaphmmtWa&#10;PZj5QjQzKQpHQkNWL8F/2j/COp+OpPCQ1m3+3Q7TJDayPI4UnByG+Zefevxv8Df8FUPiro/hBfhb&#10;491a61DRbeMR2OpW94FuYosEeUS331GRjoQAefXrv+CfP7XGl6z+1j4f8L3d7BDDrUl1GxWYNKwW&#10;F5I1bruy6DPB6/hVxzKm5qG9zaeHqSVz+gPw3rC6jHHHFOv3R8s0wVvyNdWsqWkWSV3ei44/KvGv&#10;g94kL6PDAqXUP7tfMW4gEbZHfG4/yH0FegvrKxQKyu3z/dU8k16L944+ti5qHiExz/fIO6qd9rc9&#10;7E2JqxtS1GKVt3mHrj5lqjca1Hp8H2pmXarbSG9a56zsrsA1d5jFIIZPmr401X9uGDwB+0f4o+ED&#10;+HtP1C1S8W1aLUHY4JjjdlXBPUPggg8exxXovx//AOCnH7Jn7PPi2Pwl45+IouNUaMSS2Wlw/aWt&#10;xnH7zBAU+2c45xX5Rftl/tjXWrftNeLfjB8ALKzv9N1S+ju9OuLiFkuFYQRIf3R4JDIfXNefKct4&#10;vU7KFGVSNz9P/wDhBP2af+jYfhp/4Tlt/wDEUV+MX/DwP9qj/od9d/78H/4qisvbYz+ZmnsJ9j4y&#10;8N2uj6TqUV14juYZreKQO1vHK377B+4SOQD617TB+1H8aPjpqmqDxZ4zuVs7O2Bs9PsWaGCNRwg2&#10;g/ORxgsSRjjFeAwH/RZPxruPgKT/AGhqnP8AzDWqatOnUXvK9jS7i9DvLn9on4peDfBN1oNr4iv5&#10;muF5nuLxpPLb1T+4fcc+9fUn/BCKS61n9qzwPquoSvNNN4rt5JZpnLE4lBYnPXp+lfLHwFVb74ta&#10;LY3qiaCa6VJoZRuWRS2CGB4II7Gv0b/Yz8J+FvBH/BUHQ/D3gvw1p+j6fFrmY7HS7NLeFPkfoiAK&#10;PyrONGEYSsjTmbqR+Z+1TPbtNvPz8tx2NeRftyfE+f4Qfs36t4j0eUW8j3drb+Y33QHmUMDnsRlT&#10;7GvTdIZmhyx714D/AMFWkST9ivxIHQNi5tD8w/6bCvRqR9nhm12Cj70tT510n9knQ2/ZwuJ4Lhrr&#10;WPCep/ZdUullYfbI5bO0uomJBBJSKeJFyThVA6AV57o3wb8OzR7pEZmHGGupWI/Nq+sfhCM/DH4y&#10;REfKuraPtXsP+KN0I8fjzXgGmcX02B3rzMYuW1iKesr+Zgw/AvwzMwL2FuwH/PSPd/OtGw+BngeN&#10;v3uhWDE+tjH/AIV1Vl92rcH+sWvOjc7Y2fQ5u2+A3w0jT5vCen5/7B8R/wDZa3ND+GngfS7Vre10&#10;G0jXd9yO0Rc+/ArYHSnQ/wCr/Gq5glypbFWHwV4StxuXSoeDx+7q9Z6Lo8OfJ023VT2WIU0daexO&#10;cZo5mRG3YspHYIRGlsqkfxLxViNlXkHFZOT53XtV6zJ8gc0czIjHmlqW1nZWz5h/E0ktyM5kf9Kr&#10;yE0khJHP92jmZXs4mdrHiK6/t+y8L2enSFby3lnur5VULbRpj5ST/E5OBwcYJ7YPyn4K/wCCe+qf&#10;tlftw+JvhH4i+N1l4X8Sax52o6La6vp8l19u08AbGEm4EEIBtBJJ2N0xX1xJFGfLJjXqB933Ffc3&#10;gr4c/D2x/Z08E+P7LwHosOvW/h7T2g1qLS4lu4y0Z3FZgu8E7mzg87j6mvTy2TjUckceKjem0fzo&#10;/tMfsj69+xl+0h4w+BGr6za6pqnhfUBaz6pZ58uZGijmjYA8rlJEJHUH6Vyeo65q2pxhWjJigh3X&#10;D9mYDoB619Uf8FioYYf+CgvjqaKJVeZbB5mVcF2+xQ8n1PA5PpXyfYsxjvlJ4+zuf1Fff0/+Rbzd&#10;0eZUiudLzPP/ABnK66X5Gz55Fa5c56Eluled3qlbi4DR/N5LFfoBXofjD7iD/qFxfzrhL4f6VNx/&#10;y6yf+gmvlanxs64/Cc/q1zNd6BaTINrq/lt7cZFb+jfBiS5trXWvEmqfZY7hA32dYd0gHv6Uvwqt&#10;bW+8X6fBe20c0f25DslQMMhDg4NekeNGZtcugxziTAz25Nc8pcuo3seq/sv/APBQ74h/sf8Awq1L&#10;4G/DXTtLvNFvr8XEy6pbs0rNgj5WVhtBB5zn617l+zl/wVz8E6LNeeD/AIl/D2S3fWJLeOfVLW4/&#10;dWjIZMSbTzt+fnngZ618GtHGbtyY1+8P4fc1jar/AMhDdjn7RjNcMcNQ5vaJWl3HRl7PEKolqfrh&#10;8V/A3w3+Ofwf034jSeJbqbUxfXlpDLYzAW80XlqV6fKCVlK5A6V5m37H+h+PfhBJ4V8ZePLyTVLO&#10;4aTSTHDuWEJnyhuOOM4JHpkVm/sJ399c/sh2EdzezSKviq9CrJISAPIg9a9s0iSSKEvE7KcdVOK8&#10;TEZpiaNZpdD6KP7yKbPyL/bE+D/ib4L/ABjuPCesWtws0ljA0X2hQHYhAjcAnI3qwB79eM4HHS6Y&#10;bK1sI4ItzQ7Wujt+7gdD+Jr7S/4Kd2ttP+03osk9tG7N4ZUszICT/pMtewf8E6Ph74B8ReJ4YvEH&#10;gfR75Vjcqt5pkUoGI+PvKa97C4mpUpxcjhrUo8zZ+Y0Oj63q2vT6s+nTvDNMDuWIlcZHcDivq74C&#10;fCTw946/Y71XU/DGn28PiLw74kubm8fZ/pF7A0ERSEd+MSEDuV9TX3F+1n4O8IaB4P1AaD4V02xx&#10;az4+x2MceMLx90CvDf8Agmv4f0G++N89tfaJZzRy63GJY5bZGVwuCuQRzg8j0rPG1pU6XNHo0a4O&#10;jGpUcX2f4HxJ4/8ADUGozLJcXfliX5VaL5t/0xXJT/Ds2yMP7X+SEHZuX5jkdK9c+K1tbW/jrV7e&#10;C3jSOPf5caKAqfMeg7V5fo0kktyvmuzfvD945rvprmjqeRy++ZsHw68Ryxx3Fk8cg83Yy7iCp3Yz&#10;j+tfo5f/ALGvj2X9mWHxzbCCZdL8OJPetDayI9uvk5+ZuFOenvkV8K6Y7h7zDHiaTHt96v2S+E0s&#10;up/8EHbC41KRriS60y5W5knbe0qhZiAxP3gCiHn+6voK4a1SSkkfQZLnmMyeNWFD/l4uV+h+QWlS&#10;RSOtvFbSM0i/LtyR9fp71gatqutXWrS2Gl4ZbVcvJ/AD0x7mqt/NNDqV+sMrKPtGPlbHHFbWhKv/&#10;AAhzNt5Nzg+/SuieqPJnruegfHH9qT43/tBeD/h98LvirrEeq2nw58OjRPDaLCQsFvhCc5JLNtjj&#10;XPAwi8ZznxL4nfDODTYh4o0W1/0cBTc24/hOfvrx0yK7FmZfEUW0/wDPP/0FK3vHyJ/whEnyDm3k&#10;B46jFFOnGMeVd7/ec8ve3OI+Hl2bnwn5F9JuaOb93u6xZGce2cGq2qzWUtw29gHA2qytV/4B2ttd&#10;fCrx1c3NvHJJbabZPbySIGaJjexqSpP3SVJBx1BIritUkkF42Hb7/rWkIrmRjI0otOmjuFnSVj25&#10;avqr/glRr3wYuP2jk8NfFrw3YX1zcWufD8uqwpNb29wh3FjFJlHYrnaWBAIr5U0dmKNk12P7N8kk&#10;f7Svgto3ZT/b0P3T74/lWsuaEmosmHLzXaPY/wDgoi154o/a0+IdyNTa8VfETxQyuwJWGONI0GRx&#10;wqYGOPTivn/UrG4sb9IpVwrDEa+hA5r2n9olVT4q+JkRQF/txuAP9tq8n8Vc3NmSP+WjfyoTaRtK&#10;MZanLSXVsbp4bnqrYFZ2ra1JaX7WVw7KsbYwvbHQ1HrBP9sH/roKreN+NUmI9R/KnzM5pRUZHpf7&#10;OHwt+If7RvxK0/4KfC+TT31nXLjGmw6pfLbQs4XJUu3AJHQetfbHw4/4IAfFr/hObcftVfHPwb4R&#10;8Nxxn+0v+Ed1hb+/RtjMoWIhVJJwpy2AOe1fBv7Ol3daf8U9AvrC5khni1W38uaFyrJ8ydCORX6d&#10;fELxJ4ivFsTd6/ey7nkDeZdO2QNuAcmvHzLGVcLVtA7sHh41oXZ1enf8ESf+Cb3g+SOfWP2uPF19&#10;GY8tHHpsEXmewZdwRuPeun8S/sWfsh/BHw5BcfsxfF34oabqs21o7yHxarruHIV40iXgnHy5/WvF&#10;zrutnWLG0OsXXlSWd0ZI/tDbWIhJBIzzggflXReGbq6OhapKbmTct1Htbecj5n/wH5V87iszxUab&#10;sz1cPgKPtLs6LSPjp4j1G1n8F/FT4m+KtS09oJPsHjfQZlg1TSeMrvtnJhuYic9FRyOrHpS+H/hL&#10;4N+Mnw5nj1T9ozxDqzbRJNPcNGyxybV3EoQcZK5PPBJx0rx7xjLJB4mmEMjJutxu2nGeZDz+NXvg&#10;W7ibX4Ax8s3DfJ2/1aHp9SfzrgrYutUglJnpOhRhLRFHxH/wT3aHWY7WL9piXbMu6KOy0i3mLIfU&#10;sRg12fwj/Y+0X4N/ETRPHEXx+8VXcuk6jFczWK6faxQXARsmNtrcBhlSeo9K+gv2KfB/hHW4/FFx&#10;rPhbTbySDwHfzwyXVjHI0cqsm2RSwOGHZhyO1ffyfBT4NXPw4ia4+EnhmQ/Y42y+g25+byxz9zrX&#10;mY7NsVl9Wm6T3Yo0adS6aPOvgV8XdA8XaHJ4gvrzy5La0Y3FtszsVBk+wU9RnHH0rCtv2331LGo2&#10;fhKOOGWNRFHNdtuRcA8jH3iev/1q4P4Y21tp1h8QodPt47dIvDesCJYVChAqNtAx0x29K8V8NXNx&#10;JpyvJO7MwySzHngV91n2ZYzDYWjKjLluk39x4GDwOHrYyamrpH1gn7XlncAfaPBzFmbpDcf418Y/&#10;8FX/APgqp4w8MaZZ/AL4B3v9k6nfwzN4o1BWV5rWFlCpDGw4R2Bck4yBtxg16HpTt5Gdxr8sf2tZ&#10;ZZv2m/FhmkZsa9OBubOBu6V5uT5pjsZWtUndHZicDhaEfcjY5W2s7zWZ/wC0bqZpZmfdLNKxZm9y&#10;T1NaOoaEj2YKXbROn8Sn/ODUGhHAjA9a3nRHZUdAynPBHtX1G8kYU1yuxy39geIP+hgX8xRWlsX+&#10;6PyorY6OVH//2VBLAwQUAAAACACHTuJASPZkDmiGAABehgAAFQAAAGRycy9tZWRpYS9pbWFnZTIu&#10;anBlZwAAgP9//9j/4AAQSkZJRgABAQEA3ADcAAD/2wBDAAgGBgcGBQgHBwcJCQgKDBQNDAsLDBkS&#10;Ew8UHRofHh0aHBwgJC4nICIsIxwcKDcpLDAxNDQ0Hyc5PTgyPC4zNDL/2wBDAQkJCQwLDBgNDRgy&#10;IRwhMjIyMjIyMjIyMjIyMjIyMjIyMjIyMjIyMjIyMjIyMjIyMjIyMjIyMjIyMjIyMjIyMjL/wAAR&#10;CAFqAm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oIrcLuJUH5SMGuV122YXW5V4xz+td1srD1WM+aU52kdOfftXzNKd3ZnqM4hoiMbgD9aaQ&#10;yE4J5JP61uyWSen6VWawGeOOenrz+Fdt0SZayvG2akS/dDlqtSWDDnp+lVZrJ1XJB7de9MCddUFW&#10;E1VB1IrGeAr9Ko3hdIsrng9qahFsTlY60anEf4hVm11TyJhLDJscdGU81595jhAxkYn3NOMssSCR&#10;ZCR6Zq/q6vdCdW6sz1S88T3WoW6xXNwXRTkA1R+3LjIYV59JdTRsuJXwRn7xp631ypH75hnkc5/p&#10;VOi3q2JTS0SO+W+DH71TLdjuRXn66rcqf9YfyFTrq90XCBwT7r/9es3h3uUqi3O8F0vqKcLpexwf&#10;rXCf27PGdrEE+y//AF6eNflJXg5PTij2Mh+1id4tyO7CpVuh61wa+IJA+HQjFTp4h3fdVjS9jIPa&#10;RZ6Np8kFxcJHNN5SHq2M1d1GO2syvkXSzgjnHavMovEuD8yNxVoeJ4yiklhnrT9nK1rE6N3TO2W6&#10;96mS5zXDDxLCDw36VPH4khJ/1g/Os/ZT7FXXc7V7tYY2kbJAGSB1ot9QjuY1kQOFYZG5cVyaeIIG&#10;/jH51PHrkSqArAAdOc0vZyHodaJge9O8xfWuXXXY/wC/mnrraE8uKahJdAOoEw9aesinnNc2usRf&#10;3h+dNmvLO5IMjNkdNshX+RoSYuU6jeO1OR8965631GCGMIshK/7T5P61ZXVYs4Dj86OYXKbobmpl&#10;fisMakmAd4qZdSUj7wp3QrM2A9G/3rLW/XPLCpRfIR1WjmRLi2Xt1LuqgLxT0Iq1bNBLGxkuPLI6&#10;KFzmqWuxMlYlyPalz71U+0KCRkUfaFPenzBYubhQDVQTLnrUgnGOtPmQrFyOVkOQSPerAvZcffNZ&#10;vnrjk/rSG6iUcuB+NHMhNGob2XHDGqsh3c9zVI6hCCFMiAnoNw5qdXLH5QafNcLWJBwKp3mnwXxC&#10;3HmFR/CrkCp2kIBA6+9VGF8W4ljx/n2ppoEiBPDmnpIrqJBtbOC+a1VQRqFUYA7VmvNqEbov7pgz&#10;Y69OCfT2qQS339xD/n607jsX+9XLJrdPvqSx9RxWRBJeM37wRhP90g/zNW91ClYlxubXn2n9xf8A&#10;vmo5JLIj/V/lWWH9/wBaaX54putLshKCBgN7beAT0pp4BPX6Um7mjdU8xaMy5vtQjkIg0yR19WcA&#10;/lU1tLcXCk3FoIsHozZq2zDNJn0ocgsMaCBvvQJ/3yKZHYW8soRbaMknstTZpVkKnKkg+xpXXUZM&#10;/h1JISgiRCe6ms6TwbI2WDr+NaIvZu8rfnTjqM+P9aaL0uqJ985HUPCd7EwwUKnpzVBfCdyzAyyx&#10;omedpya7GadnJJJNVy2aTn2NNXuYr6JZW0IHnNGvcuQMmol0u1lO2K8Vj7EGtK502zu5N88W8juW&#10;P+NMg0+ztXLQRBSe5JP86m4igdD54nGPpSDQWLACVT9RWzuAqe2ljSUGRNy+gOKLj1RlJoMqgHKm&#10;nNobgdBn64rsI9XtVUAQkAfSnPrFmw5iz9cVXs4P7ZHPLsefz6XMhIVAT/vCqEmmz85h/Wuz1a+t&#10;7lCkcCp7jg/pWI74yBWV7OyZa1OefTZR/wAsWqBrB/8Ank/5VsXD35OIDAo9WJJ/lTrc3Gz/AEh0&#10;L/7A4q7lWML7CwP3Gz9KswWhzjYfyrbBB6mtzRtOS6IaSWNEB5BPNJXbshOyWpyq2BI+5ilayIH3&#10;TXpg0OyI+VifxqCfQLTYT5oX/exSdKqtTNVYbHmRt+elFdXNp1okzL9qhOD6UVn7SXY0uiLbWLqi&#10;AzAkfwnt7Gui2VkalHmbqBkH+tedTlqbswZImbPcD8R1H1quY+oz+APv/ntWtJD8xBXknnP1qHyi&#10;QAQTjp+f411qYrGY0ZEY7HI74/Tio2iI5PGcdsf4VpPGAhHcdQD/AJ/lURiweg/l2/CtVMhoyZLV&#10;SoJA7DmsfUrNRaSEKRgV05i2kduRwfp+FZ19B5lpKOBlSM1rCWpDTOKeMpCx75ApUTI2H6/hU9yv&#10;yMO3mqP0pYkxIOf4SK7U9Lk2IRGzSLxgFSPyFMVCzLz0GD+dX/L/ANIjXsBg/iDUdvCHe4zxtXI/&#10;I0XsHKQtGQwX2qS3BXDN1IOKl2E3ZOOAwH50sABaJe44/nRcTiQqAWLdcnAoYkYA6A4q/bWqu444&#10;VgaheIGTHrub8jRzisVWBaVhjtSw71fbjHWrqQb1nlHTYv58VEgDykgYycfpTUh2IkQ7ZGIPIzU2&#10;GNuseOpxUske1YB/ejX/ANCqZYibiNccCQn9KOYfKZ5BKLx0XNPAwB7tiplTLPkcKhH6mmlCpjPY&#10;EE/rTuT1FHbjvinsMDK5H4054SsIb1c06SM7B7tj9KLoCJsgAhmB+tO3Oqgh29+aVl4jx/FS7T5J&#10;PouaFYewC4mHRz+dIby5RuH6+tN2/KeOhH8qSVcHntRZC1Jft10VysnI65NTR393s8wSdOvNUyhE&#10;RYDtzTgpW3jI43cGjlQXdy9/bF6qg7gR9alXW7tQDz+dZxUhlU9DTxESe/TNTyR7DuaqeILodc/n&#10;Uo8S3K/3qxQhwevFKyMfLHqcCk6cA5jdXxTODyDUqeLJlPOea5zuwx948U5wRgY96FSgHPI6dfF7&#10;A87vyqVfGHbcM1yUobcAB2zSN97kDgUvZQBzZ2S+MVJ4YVOni5MjLCuEwu4/KKQKrN0pewiHMz0N&#10;fFsPGX/WpF8UQHkkfnXnCRBj+I704Ly2M8HA5pewQcx6UviW2JByMjkVdt/FscRJSXbnrXlajc5U&#10;Mw9OaavmFX/eEEUext1By8j1U+JoJXLFxk8k04eIbbOPMFeUebIjFfMalWWfc2ZWyO9L2D7hc9ZO&#10;uWzlCJB8pz+hH9anXWoMY8xT+NeQrczmNmEzfLTheXRTcJjx60ewfcLo9gXV4D/Gv508apCRzIPz&#10;rx0alehCwkyAeeaf/bF6EDB+PrS9hLuO8T2mDUbTYfMyW7bWxUH29AeHGD0ryNdcvQQSxwenNSf2&#10;/eI3JP50nSmw909Z+2x5+8KPtikcMK8n/wCEkulY53fnTl8VXAOMPn60vYzGnE9V+1j+9Si7HrXl&#10;f/CXTA4IYfjT18Yvjnd+dL2Uwuj1H7UCQM1NLmKMOZIjnsrZNeWDxiQed9S/8JovGWOPel7OVndB&#10;oejm7UDrTGulx1rz1fF8bnG7H1qQeLYs4Lis/Zz7D0Z3Ruh61C19H5nl71343bc84rjB4pgP/LQY&#10;+tL/AMJHDuLB1yRgnPUf5JpqEytDsGuRu6003IzxXI/8JBGf+Wi/nTl12I/8tR+dFmFkdYs+78Ka&#10;bkA9eKxbXxdLaQtFDKgVv9kE/nVJtXDMWLjJ5NDQ0u51BviB1phvie9cydWBH3qZ/ai/36zcR8qO&#10;hku8nOartc81inUVP8VNN8p700mg5UbRnyPvU3zwP4qzLS9thcr9p3tEOoQgE/jU19qFlI4FnDJE&#10;o675NxP6U+l2JFwXHPXNW4L4x8g4rnReBepFL9vXvIKh6lWR1iau6rxIR+NRTas7rgux/GuX/tOM&#10;Hl81C+rRjvRZhZG+bkk5ormTra56milysND0zPOKoXy5boc4PrVp5cMWMbgeu3I/SqtwySuChRhj&#10;k5HHIryo7lGc685GAd39fwqPyiQCwPbnFXSMjjJ5HC/X8aYFAAyQPbp2/CuhSAoyIDE/cYPv2/Go&#10;ygH+cdquyx4jY4PQ9R7e9RsuQQOcA8D/ACa0Ux2KDQ4Ix1zz+X4VRurcmFxg8r/StnZjP19Pb8Kq&#10;3EX7k59CK1p1CWjzO7P79Yu7SIf0qZEC5J7OE/A4pl6uNTiH+0n9Ks4G8L6zp+jEV6fNokZWY9VE&#10;l1uxwZQv5Eio7FctfEf3R/I1PAP3cT+sw/8AQzUVkCr6ovopH5ZqW9GUo7DjHiQv23p/KoIhtvWU&#10;D/lrx+tas8X+j25xje6E/lVOGINqg4/5bH+QNOMrobjZlqwXdM4HoCP1qCNN7Fh/CSp/FhVzTExc&#10;MO4QfoSKjtIvklb1mI/UVnzD5BtsgOmzH1BqhbLlx7uf5Cte2j/4lMn+61Z9im4xH/bb9FFaQloy&#10;ZQ1SJ548Cxz3QD9atQwEsr4/ib+eKfew4lsUx0XJ/OrtpFm3yf8Anqw/8eqefRMpUzFSHa0gPdR/&#10;6FUUg+Uk9nx+taUibbRZO5GP/HhVNkyJfaStIyvEiULMtPB/o0OR1JphjzFb56s/9K0mQeRb8d6i&#10;lh2S2if7R/lUKeo+TQyY03vEpHQnNPKY04nueP1qa2j/ANO2+7U5k/4lqf7+P1rRsjlIVgzI8YGc&#10;bT+lQ3MWJduP48H8hWpHFi+dfUCoJ4x9rP8A11/9lH+FEJdBOJUMX+hyN6Jn9TTTHhLdD6E/+O1Z&#10;kXFoB/fRf5mpJ4wrxcfwEfof8KvmBR1IWhJdDjny81LHDhFY9Cgq6kW63R8f8s/6URIDZxk9lqFM&#10;bh1M9owkU/qWAH40sSb7wJjhQ1WbmMBmXHJZTRbR/wCnMfQkVSkTylG3j3zxj1b+oFTPD+9Hp5ea&#10;lso/9IQ/U/8Aj/8A9arJjzn2Q/zpXBRKSwbsNj/lnUbwgmc+gFadtFugU/7FQyRYjmPrj+lJSBxM&#10;8wFApPXBNRhAr7u25q0riLMmMdIjVVY90C+pY/zFWmHKRW0Z3rn+6T+pp0MPPI53j+lTRptjJ77W&#10;H/jxqxHFiT6SD+lDkHKVRCBckKP4jUPl5TPv/Wr6DEu/sXb+v+FMto90KZ/55Z/U0gcSm0I8yQnk&#10;ByKh2EQFu5XitARk2u89SxNMlixHAMcEj+lPmFylIwHy5PRQKPJK227qeKuTKVS5HqOP0qQRZjZP&#10;9tP6UcwWM9oCoKnqSOKjCExEDOBkmtVoc3jjGcDNVljxb+7Mo/DijmCxUWJvM2noucU5kZmYH+HA&#10;q4U/0mXHRVx/M0/yf3cr/wB5hRzBymWyMSffFI4ZZRnsB+tXzBiOE+uTUc8XzSEDpIq5/KjmBxKO&#10;x/kx+tHzmQk4yen5VfaPLRKAOFJqNEQtNx9wlQfoBTTJUTPAdVUtjr/SkyMFio+bpntVt0Cq+4cB&#10;FxRNb4mRR0zRcdmUWPzAY7dfWk4Eqtjr+tW3hAuNuOiU1oMPEuOT/jRcOW5UO0g5zuzmmnFXUt8z&#10;SccBSaqtGc47lgKEwsRZOe+KbvO8gHtxV2K33wO3vj9KrpbF9j46jBpXQcpClxJtGHbP1p/2qXb/&#10;AKx/zpRblEU+opgjJC+nJosmFrDvtc4HEr8e9J9unB/1rUvknb7nH61GY/8AWD/a2j8KEkF2SHUZ&#10;16StSf2pcnnzDUUkZUc+uKY8W0getFoivItDWLkcZya0YrqeRASecVi28PmumBkl9vSuqttPzGue&#10;DisaiSLi2VFlkPVzUixyEbtxx9a0YtPUHgfp7/WrKWY2YwR7EVjdFmMqnd3NP2+g/wA81r/YV3Fg&#10;OCMY/AU9tNfGQpz16HHepc0mPU58g56fpRWw2nuG6LRT50Fmeo1UuQAwIwGx26n9at1Wuc706n2H&#10;1FeEaFVw2ck57evr7GmgdNpB47H29jUuMgcr+PHr7CmcnH8XHp7fjWiGiGZcRPkdu4x2+lNZc7iO&#10;nPI5/wAallH7thwOv8qCvyk7cnGM4/8ArVaYyqy8sO3t9KrTR/KSeOv48VfcAg8D8D16duaZIuNw&#10;2469Vx/hVKWoHlF+CNYhBHeP+lWAgNwPQTY/8f8A/r1Z1KxxqCXRkURqVz6ggjtT1jtXvF8i4Rle&#10;TcRkHHOf8a9TmulYUY3IoVxY2xxj96p/8fNNgj2vqw9d/wDn9a05bAx2aRKwZkIOemfmJ/qKRrNh&#10;PdqhQ+crkEcdQMD8xQpIrlI5ubLTj/fMQqG2iH9pZI/5bP8Aoi1d+x3D6Xp22P5omUsM9AKms7F2&#10;uZZGXCiWTB+qrioU1Yrluynpy41BgP7rD8np1qn7hv8Ar4/9mWp7K1nS/VjE/MkinjoM5B/WpIre&#10;SO0bcjA/aR1HbeP8KUpLuPlIoI8aNKcfwuKy9OTckXu8g/8AHRXSLZSppc8WwlvmCj1rI0iyuPLh&#10;ZoWGyV92R0+UVUJrleopL3kaFwge6jx2h/mRUlnzbOP+m7D/AMepZInFxC+DsZdnHswpbaORI5EZ&#10;GDCZzgj2zUXTRTjYzZh/xLY/90H/AMfFVNuRcezj+Zq/KhbTIR7Iv/j1R+Sc3oYbSCDg/Wt4y0M7&#10;XZohP3FqMd/6Uy5jxfWg/wB7+VWXysNpx/EP5Gm3IB1W1HoDWaepco6GVap/xNZB6FqAn+gRr/02&#10;/rVi0jH9rXBHq1JEpNvCuP8AlvW7lcx5SWNP+Ji3uoqleKVnnYfwuv8AI1qKuNTx3K1Rv4/muj/t&#10;r/WiDXNYco6ENzHiS3jxwUA/WpbqLDwDH8J/9BNS3kZF5acdv60+6Q+ZB67Of++DV3tYjl3Hxp/x&#10;Llb/AGD/ACpsKf8AEvUn+6f5GrKJjSCf+mdNgTdp5Hop/lWV73Zbi9CpdJm7jHrg0Wkf+ly/74FW&#10;JUJvIvZRRZr/AKdLn+/n8ia0TIcStp0eZYT6g/8AoRqXZkv9CP1qSwjxJbdvkz+ZP+NPt49zSA+v&#10;9aUnqCWglpH/AKGOPUfpUc0X+hu2PT+Yq3ZcWJ9s/wAqiuARZP6AgfqKhS1KtoVJE3TH2gqrax5S&#10;PP8Afb+QrW8rN2/HHkiqVgmUj4/5asP/AB0VrGVyHErRR7oUH97p/wB9mrkEe6Zx6OT+RotYgRae&#10;hyf/AB80+3wsrt6mT+dDYJFKUbLJHHUk/ruqWFRGsIPeD+lPvISumQ8dh/I06ZObbHTyl/lQndBa&#10;zI2h22CjHPyk/jmmyxYigHoy/wAq0buLFoSB2SobmPBhX0K/yqea4NGVdqQ7j1OP5VchiDXTrjgF&#10;T+lMvI/3h46Sf0FX7VP9OlGPT+VNuyuCRUC/6dMMdAf5CqSpmSJOxZT+lauzF7dtjs2PyFU448Xk&#10;I9gaaegNWZCUzPdf57GpVjJs1PqwNPMR82647D/0E1ZVP+JbEccll/nUuWw+UzpI/wB3b+0ZP6VG&#10;ybrdnx1mH/oQq0w3JGB/DEf1BoSItpytj/loD/4+KblYTRRdD5sxH8KD+RqvAmbeRh3dh/6D/jWg&#10;V3famHclfySqlmp+zRj+9cEf+g1fNoRYivI8QyMOyJT2jJuIPdd361JfoFt3GSMrGP0NWVh/0mIn&#10;oIwP1P8AhUuSGlczFQtPOewUCnuobU9uPuhB+dPtBuFyx6ZyfypV2nU5nxwHjFJyRXKyNEw9wP8A&#10;ZYf+PGqPl5ukU+vNa0I3NM394H/0M1TWL/iaY9M/yoUkOURYYcWK+4ZvyFQwJ/o0QPfB/nWjGg+z&#10;R+nkO38qjtrcfYy56JFuH5Go5ylAx5hiIEdlX9RSyp5dqh7snH4mprlMQEn/AGR+QqTU4dhtoh3U&#10;f0q1Ihx1KzpthDd/NAqpzvY+srGtK4TbYue4n/pVFBmOFvXef1qoyuiWhLyHEe7t5mKinX/Scei5&#10;q7ejdZwn+9LUNzHi+kGOkdNNEuLQ/QUL6lEmOshP6V3Udq5jDAEce/oa5DwvHnWITjOAT+legqcI&#10;FCke+D6GuPETaZcY6GabcrgEZ59vWpFT5uhx07+tXWDO2clcc4J+nrSKik4GDk5wMetc3Oy+Uijj&#10;G7B6Y7/StCJ0CjCqf+Aj1NQKjcnGDjjr6U8ZAGc9e/19xUydykrEMiguTt9PX/GipNuR2/SipCx1&#10;Gar3W7fGQR+Ppke1TKc0yfGVyf19x71woRWQnAx2PY/X0NKUHUg9DyR7fSnDG0dT+Z7fjSNjJ4AP&#10;5dvwq0URsoIcDJ4PT/8AXSFR/FgE+2O/0pzAc9+T7j+tJtO09j+Xf8Kq4EUgyp2Hpn37j61ERtzz&#10;jk+3+FTyBmU4yTg479/xqKQbQQfl68/d/wAKaAwtU0C2vIMrHtk3Z3Dr0/GuHutFkiLeWpypI6+9&#10;epOhbBPzcj37GuTnT/SZwT/y0YfrXXSrySsVGmpHHjT7vBY7x+JpzWF8AmHlOP8AaNdWFGKXbjBr&#10;p+svsX7BPqcqkmq2z7Y5519txIpXvdV3HfcSgnrjius2DNOEKlsEA/hSWJX8ofV33OZg1zV4BhZt&#10;/wDvqD+tWG1/VXB5jGe4Wt8Qxk/cX8qkjiiKk+Un/fIpOtTeriP2L7nM/wBr6w3P2iTj/YH+FC32&#10;r7XlSVwD1O0YP4Yrq0gjIPyKPwpyxoVKgDb6YpfWYL7Iexl3OTOrasqBXmPtlB/hU8fiDVE2h9jM&#10;OjMpzXTNBGxAZAccCka1id1JjQ49qf1mm/sk+wn0Zzx8RXLKVMEOCewP+NP/AOEmvS+4wwknjJB6&#10;VuvpttIQxgTr6U1tMtP+eCD6Cn7al/KHsp9zIPie43lZLaMgehqYeJ42ZWeyywHB3VcvNBtzqdwy&#10;5C7zhR25qP8AsCE5wT9MVpzUOxny1it/wkUSuzpZAMe5IqRdftm5NgBg7htPepv+EfhIIyajHh9A&#10;33zVKdDqFqoR+IrbzNxtCSRjdkZpW1DTrkyl98e8g7SO4z/jUbaCQ+Nwx61FLocyY2/NmmlS3TF+&#10;8Rcm1LTpjG+5w8eeqnnNSPf6ZcmMGVkKjGdp54I/rWXJotymCo3Z7Uo0i5x92nyU3syeaXY3UmsP&#10;sv2f7WmMbd2QKI3sYoTD9sjO4EZz07Vg/wBl3IPMZ/Kh9OnU8xN+VHso9JBzy7HQiCISIxmUlcZx&#10;Sw2ey5ebehQk4IPrXOfYZgM+UfypRBNnHlsB6VSpf3hOo+x0UFkV8oh1JRNpCnvmpLayaJ3LsOTx&#10;j0zXMpDPkld31p4huD94uR9TSdN9x+0v0Olt7Lyrdomcck4I7cVE8UDQNC9wiFmB5rDFrcSrj5sD&#10;tk0n2GYcBKpUu8h8/kdDHDGXZxOjfIF4qpbWLxKOQdkpPy+mOtYjWsm7HlninQvcWxzEzoeh96PZ&#10;NbMjn8jZsoRizJyoVCTkf7RNRW9tI8MLqjFSXDHHTJqtFq99CuzduB/vLUQ1G9VjtlYZ7Y4qeSY+&#10;eJp30DvZRKEJ9cDpxTXtJ5BblYyQI1BIqgdTvzx5zc/7Ipgv74f8t5PpTUJi549jeuomNkF2nO5P&#10;51DJHuuhkHau3H5Gsj+0b4nBmf6YFP8A7WvlBAcfitT7KSHzxJ76E7nYKeJP6D/CrdtEw1FyQQpU&#10;c/hWYNYvhnLKc/7NB1u+45jH0Wm4TasCnG5ZlDKtw5Ugk4/OmomL6Ad9o/rVf+3L359yxndweDTx&#10;r1xgboIiR0ODkU+WaVrBzxZaKf6Tdg/3Af8Ax00qj/iW249ZFFVf7ecsXNrEXIwT60x9duGACwRK&#10;oOQMVPJUY+aIkCgvKD2j/Lg/41bhj/4lCYHPmL/6EKqrruGLSWURJ6kcZqQa7a+V5f2RlXOcA++a&#10;bUuw04le3QmznOOjSH9Kr2qA21qen+kH+S1aTVbGDeot5TG5ORn1qNL7TliCFJQY3LqevXt+lHva&#10;6CXL1ZHfQlwB6tGv6Vc2YuIv90fyao5tT0yVB8s28FSOO4pP7ZsdybopcKMHp/nualqXYpcvcp2U&#10;Y+y3TEdQf5VDChJvZOyumatR6lpVqJUCTGN8jH1pkV/pKNMpafy5cZ+Xpii0uwadxbdAqopzuPH/&#10;AI+ajWLGqzD/AGf6CrP9oaWyRnzmDIc8oeec+lJ9t0pbp5xdsWkGGXaeP09qhuV9h2V9yFD+7C/9&#10;ObVO8Yh0m5J4It/6Gk/4l2SRqUW3yvKweDjrTry5sbyGWFL+FSyc8+hqHe+iLuu5jXS7rcH1mIP5&#10;mrOrJu1GyUelSNFZ3MXkxahDv3lxu4yM1NdWrTX0FwskRjjXBw1a8y0JsZV5xZTj0nP8qqeXstrc&#10;H/nmx/l/jWtdadLLbyLDLDIXkLAK46Gkn02VxBGNgIiZTlhweP8ACnGaW5LgzPmUm1sl9ZSP5Ul0&#10;g+33H+zGP5VoPZALZiS4hTy3ZiC3rzTJbJpbqWSKSN1kXAIb2xQppMHBjvCkZOqgk4xGT+oruki+&#10;XI5z7fWuU8K2zxalMzxsoEWAT35FdoqKPlGMD6Vx4md5EpWICh2/h2z6U8Lzgn9fenbQwAxwPbnp&#10;T1DZ+63PsfaufmLGBPQjp7e9LsxxjpzkZ9qmC9QR37//AKqQjBHT8wPT3pXYAsG5QePxJoqVOFxg&#10;fnRSuBpJ1psxIcY/TPtTo6juT8ygD/P5VzIkibkKckDHce30oyMnv+P+BpFbC+4Ud+en1FObLA9x&#10;nuc+n1plDXUnccHnOcgnv9KjDhBjIH447/UUrgjnjuTnjv8ASl56BvyPv9apAIcsuSM/UZ/xqGVQ&#10;ww3bJx0/wqYgkHOfx+v0pGBwexxTuBEZEZ1AOe2Ov+Ncjc/8fdz/ANdW/nXYCMlhk9+f881yF0MX&#10;lyPSVv51rTNqW5EPu/jTuwpo+7+NO7Ctuhutx/cVIPvCo/SpB98CkMVfvH6VJF9xvrUY+8afHkI/&#10;1oAmj/ipY8ZP0pqH79LFy3/AazY7EwGWpQMMKROWFLn5hSEOPFBWkbv9KVzjH0q0yWZ82vWzXM5e&#10;ORSXJxjOKRNcsFOf3n4JWFNF50twD1yMVo6lqejR6Lbw2Vi0N8mN7tnBJ+93556ZrslCCex1UcHK&#10;rTjKN9fLY1U1XTigaS6MRIztaFsinrqWlk5/tBcepjf/AArOnnd7FDdlReE5KuSZNuOM9sVQmj8x&#10;Mc59jRyU+xtSyuU1rO3yN59VsBIQs+4D+LacGj+0rI/8tx+RrkRbTncEyQvU7sVLFIZExu6d80ck&#10;Ox0PJ30mdV/aFoTkTpmpBd2xbAuI/wA65BmkibBVvr7UsfnTEhFdsDJCnFR7qdrMl5NK1+dHYefb&#10;lgfPjx9alMkDYInjx/vVL4M1vQDbCx1ixt/OQ7UneIHcPQmu/tNI8M6jua1srKVV4JRBxXbTw8Jq&#10;6Z8/i3Vw1RwnH5nnpeIjAkjP/AhQfLK8FD+Neiv4b8OCURmwtVduijgn8M1GfCnht4mdbKLYuckO&#10;eMde9X9S8zk+t/3Tz5I0AOAvP0pyxDHKD8q7tPCPhmZtiWyFtobCytnB79aJPBXh6NCXgKKOpMxG&#10;P1o+py7jWLXY4byguSF60CHjha7dvA2gou4rKo9fOIqMeBdBlY+XLcZHUJPnH6UvqT7j+urscX5C&#10;85Wo/ssbZ+QZrtz4C0nJ23N4MdQJRx+lIfAGndBfX4/7aD/Cn9Ul3D63HscL9gh3ZMYNH2CAPnyl&#10;rtz4AtcAx6neY9Syn+lNPgGLoNWuPxANL6rU/mD6zDscX9htwc+WM0n2O3J3GIZrsj8P2/h1iUfW&#10;Mf40n/CA3H8Ortn3g/8Ar0vq1XuP61T7HHGygZtxjXNMOn2xJ/dCuxPgO/GcarGfrB/9eoz4F1Pt&#10;qNufrEal4ar3H9ZpnIHTbY/8swKb/ZlsWzt6dq68+CdaHS7syPdSKhbwXrqnIksj/wACYf0o9hW7&#10;h9YpHL/2Vb5J2daYdHtgPusfxrpZvC2uQR75DYKvq0pA/M0n/CK+IcZEFo2fSXrS9jXK9tROZGj2&#10;x7EU3+xYVyMnnpXTt4X8SD/lwgP0nFMPhrxHn/kFxn6Tr/jS9lXD21E5b+w4ucsTUbaHHn7xx6V1&#10;R8P+IR10hj9Jl/xpraFro66NL+Eimp5cQHtKJya6CpDEuPamroKlGDsC2ODXVPoutqDnRrg/Rgag&#10;bTdYUHOi3n4CnbELoPmos5kaCDEQW+b1pDoKGMDd83eugNvqQOP7Hvv++M0w2+oH/mD6j+EBqG8Q&#10;UnQsc7PoMYhba53Cn2mj25sxuXLAnJrYuY7uGF3l0vUERQSWNu2APc9qisSHsRIvRhmoqTqxj7xc&#10;I0ZvQoHRLRuApHfrULeH7YtuLPW9t+YfSoj938a51XqLqbOjDsc/J4eiyR5revSoG8NpwVm6+orp&#10;WX5vwqMrwlV9Yqdxexh2OZbw7tbib9Kgbw9IM7ZAfSupdPmphTAp/WZ9RexgcudAlQbklG78qiOi&#10;3bZ3PntyetdWycVFsp/WZi9hE5qTQnDBlfr1zXQWvhaNGBkkfp1Tg5p5jzXVeSBIOT0HHHpUSxMy&#10;J04x2KtjpyWCkR7yWz94k4FX1DZBzjjv9RRt4J+vG32p6npycfj7VzSk27mdiPOV5J7Ywc05VBY8&#10;Z47gegp21AAMn88evtS/IBwM546+1K4xypknCnr6Y70jfIhBbkD1/wAaUhRuKrzn+o96ULkZ6HHu&#10;PWlfUCEvyfnHX+9RQ7SBiAf1NFUBsR0yY/MO36U+Ahs7SCfrTJwd64JBz71lYkg3k54bp1B9vrQS&#10;drMRn6rnuPalILLjB6Hnn29qTj5hxuyeoHr9BUlCHB6BR16cd/wo3AgDJPGOvv8AWlByeoz9ff60&#10;nJGMk/8A6/xoATaSOg/L3+lBGM8kcHvRhduADgD0/wDrUpGAR6Z/z1FADWOCxyDn3/8Ar1xd4f8A&#10;iYXn/XVv512UnOTkfgf/AK9cZqR2ahd8f8tG/nXRT3sbUtyIH5Pxp4+4v0qJGJjJx3p6nKAYrY3R&#10;K3OPwqQf64VCGzinBsyKfekMmX7xqSPlHqDdtf6ir8en3uzP2WbDc52UA2luQRdGqSH7x+lSrYXg&#10;H/HrN/37NCWV2jtutpgP+uZqbC549xEb5hThyymlS1uFkybab/v23+FPNvcBh/o83/fs/wCFFmLm&#10;Xca39KJOg+lPMM2R+5k6f3DSPHJx+6k/75NNbibXc5CeYQ3UnHVgP0p0kKzxscc44qvqIKzNnglh&#10;j8quaVY6jfsI7azuJcnGQhx+fSvQmm5WPossnCGEUpSS3/MzMypKGLHcO5Na1vMssYPc9a7Sx+F9&#10;ze27S6hKtu5Hyxpyc+5/wrl9b0eTw3eeVLA6Z/izlWHqDQ6Ukr2NYZlhcRP2VOWqGecsCE7F574r&#10;GjmC3G9/lXP8I5rqtC8P3viKQC3iKwfxSuPlH+Nei6T8O9E05B5sH2uXu83I/AdquNKU0cmJzbC4&#10;O8d5dkeNXM6SOCrPzwASMU+CYxAkrkk4yPT8K9zvPBmiXkBjawhTjAaNQpH4iuctfhXaJOWub6WW&#10;MHIRVC/maUsLUvojlp8QYWVNxmmjzC0Er3eUiZ+ThUGSfwrf0641/RnS4iguoAmSwaNgjD34r2DT&#10;dC0/SowlnaxxYGC2OT9TWjsXGCoNbww0luzzsTn0azsqaa8zntM36pDbawFP71d3lk4IwCMfmT+F&#10;aUdo/wDZbwSN8zBvuHpnPHv1q+qKihVUKo6AClwK7lsfPtpttGHpumzxahJNIBGUUAMq/eH93nsA&#10;F5GO9FxY3lxJcyFU3MuyIbumD1Nb2KMe1BDMySF5tMWIRNuGBiQ5Puc5qDRoZ7a3CzKxd41bJHOc&#10;cgn1zntW1ijA9KAOVu7a8lluGWJ38yRsrk46IOOnvWxfSyGxVo1YLlc4yGHIrSwPQUAAUAY2ircJ&#10;ZmF84iJjUupBbHf6VDbSStds0Z2vJIV3spw2B6dh6dK6DApMD0FA7jR1p1BooJCiiigApCM0tV7z&#10;7T5B+yhPN7bycUDRxvxLuE/sBLYOVlaVXUDPzAdf51r+DLi6uvDNrJdljLyMt1IzxWfc+CpdVukn&#10;1TUJJSCDsTgD2HpWtoOhz6M88ZujJbFv3ER/5Zr6VnGL53I9CpUorCqlF3le/wDwDeoooqzzwoxR&#10;RQAh4BrK1K9S1h86UnCn5UAzv9q1CcgisnVLQXEcD8n7O2/aBnPHpUy20Axzql8LW6uBZIkSyYaM&#10;sdx9f6Vp6fqiXMTlY2iljO14T1zVYzB4S6XEZQddyEU/S4CLybUC3DqFxjAb3Gea5lzN3FrdFjxG&#10;wbwtqbY4+yyf+gmvINLGNHiHt/WvW/EmU8H6lng/Znz+VeSaeMaTB/nvXNjfgR6OB+Jlr/lr9BUR&#10;Py07J8w/Soycov1ryz1AY/Mf92o8/LHTifmb6VGT/q6YWGg8mkboKQd6CeBQA1vu1GelSN901GTx&#10;QCEUZZR711pVfNzkcH29K5OP/Wr9RXYAnzGzjr61EjCr0E456fkPSlKjGf6fSkzx1HODwRS54P09&#10;vSoMRSM5C5/X1pApIAJPGO//ANalwoJyAfy9aEGOgPbt9aAFPQ5/n9KQlewH5j3p6t8pxnv6+lBb&#10;kA56+/qfagCFhk9B+n+NFDDn8B3ooA0bW3g7wRZx3QU2WNEPyjA54zx37VNaHP5VFcYA/OpfwiRC&#10;wHPyqPrj1HtSjHUEZzxz7/WlG05OATk9/cehpQSBjn6bvf61AxCW25B54I5P+JpqjOMr6dR7/Snn&#10;kAndxjv7U7aNw4OenTHf6UARbMJkDHHp7/SgHgjd+Rp+1emD26/X6U37vAH+c0ARTEhTkgHPr/8A&#10;Xri9W51C6/66N/Ou2kOQRnB57/8A164nVxjU7r/ro3866KO5tS3Ik4jpYj8gPeog3yfhToz8tb2N&#10;0TIRk8etPU/NUCE5p6H95SsMkkJP4Zrv7XH2eLHdFJ/IV59Ie1egWzBLOJ2OAIlJPpxTSOXEdBbm&#10;6S2TBG5yCVXOOnUn0HvVcJJdWpmFxvLKSixnCfjjk/jUVtcwSF2uSvmTAHDDomCVH5frXK6jrLBp&#10;LSwHlwITu29/rW0IX0PPqVFBXZ1sS2YtVMsNsJ8YIKrnP4VLaQ3H2ZJFkaCQ5JTcWTHYEH+Yrh7W&#10;1uLjTLi8M0haMjaN55HfipNO1ue1Hly5kgJwykU3TM1iVdJrc7+C68wlJBslAzjOQR6g96sHkY3N&#10;+BNZayWz6fbvE6qesLAY+atC3lWa3SRQQWGSD1B9Ki1jpTMnwBY2134k1n7RBHMEwV3qGwdx9a9M&#10;S1hjGEjVR6AV558OR/xUeufh/wChGvSa9qjFcqZyVJybtcbsFQT2FrdLtuLeOUdcOoI/WrNFa2Rm&#10;m1qiKO3ihQJGgRR0CjAqQAYpaKdhPUTFLiiigBMUYFLRQAYpMCloNACZpC1Vr15khzCpLeoAOPzI&#10;rmI9Yv5YrKQrKzSXG2QLsAxhgBjPt3pXKjBy2OxByM0ZHrWdaXcstjI7gl48jPHzEfQmqGnX959g&#10;hNxKnmlcsHifcPY0xWN8n3oz71jzanIum3FxHLC7xMq/Kp4JIByD9ahTUb2W23eZEu7cAyoSynJA&#10;+X6YoDldrm/n3oz71nW95IyM85QRKB8+CDn6H8KzY/EcbT3MPmxlhcGOIk4UDaDk/iTQCTZ0eaMj&#10;3qkL1GtXdLiN2jTc7KM498Vjt4glEowU8kRCRnMJ4DfdwN3fn8qAUW9EdLmis21vzLDM+5WMRwyl&#10;SmD1wck06PVA8rxtC4KY5T5wcjPb2oFY0Kqyzyx3Ucaws6MDuYfw1TtNVa5tLiYrs8p3GXUgYUkf&#10;0qv/AG832loisQRQuZMOBljwOnU8UiuVm7xS45qrY3JuYi/yH5iPkz269QKtUybCk8VVjvopLyS1&#10;DfvYwGIPcH0qww3KRnGR1FULTR4LO8kukeRppOHZ2ySPSkNWNGigUUCOX8X+IxotkY4lke6lGI/L&#10;x8p7Gqeiaj4ilFit7aK8U4JacLtZceorrZLeKR9zxqzDoSKeqjpQbqrBU+Tl17kH2YMSSsZJ77ea&#10;f5ALBn+bHQY6VPjFBFKyMDB8Y8eEdUx/zwNeX6Xp082kQSq0WzGcs+O9en+Mzjwhqv8A1wP9K4fR&#10;VB0DTFPQsT/6FXn42Puo7MJLlehlm0JYkT2xOOnnL/jULWbooLS24A/6br/jXQ6rqJsYwFiL7gwD&#10;jkKR0yPc8U0XJudImLMjTxxMJQB91tvSvL5bHp88uVSsc35B3Eedb/8Af5f8aT7LI23BiI7ESr/j&#10;W9rd9NZWcIt22SyOFDEDA/M8UmiahNqHnu3MGR5bFQOe64BPHT86fL1Lu+TnexgTWN1BD50kOE7s&#10;CDVZm7jiui1H5dGvAoACz4AA46iuacnbSsEW2I7cUwt+VOIymKjYfLQUPiYGeMHu4FdiP9eR2z6+&#10;9cbDzdRf9dB/OuzxiR8/3u2fWs5mFXcFAwOecDvS4yM5/X2pQ3HT05z70ZX1/X61mYiDnJJAH1Ht&#10;QBz2/T1NPyMcE9PXPp7UmwZP19R60AKqjA47eg9PrRg8Z6Z9Md6FUbeT/L0pCBzwOvoPagA2qfX8&#10;zRT0QFc8fpRQBbsjk8elRzjcDx6/yNPsOv4U2cZ9e/8AI+1J/CSVmUEkbR9dvuKPIX0bHqCR3qQj&#10;qOfTGPf6U3BI+73649/pUFDBb4Od0qj/AH2/qKeq7GU4btkkdf0pRHgjgdu3/wBajn5R9P8APSkA&#10;q7uOnb/PSkJP97p3z70gzx9aeR6eg/nQBGzHBJkOcH+L/wCvXEa0f+Jrdf8AXSu4J7ZP+fxrh9a/&#10;5C91/vmuihua0fiKifcqRWAqJT8gpV5NdVjpJk4P5U4fez71GhO7FSZG7FFhDpGH6V3Ehxow5xmE&#10;D8wK4V+ld0I2n0dYwcM0AwffbSsc2I6FXXo0hsJbpQRIse1eeAK5bR7aJrSd5QSZRsHyE4H4e9dV&#10;et/aVgYQuBNFkHPQ9x9awbTTlx5Av4mdOCiRSHH611UmrHl1YNyTNCzkhtbJLcDIVcH9yeT3rPns&#10;4RpjxxoxcOZAfLPHtn6VYbR5+i3MOfR45FqKWwnhH726sEX/AH2z+VUZyWmxpeF1S5sWWZN4hb5A&#10;f8/SuhsyFM6joszYx74P9axtDtxYW4UMG81+CARkfTr6Vq2J3RPLn/WyFh9M4H6AVjLc6Kaairif&#10;Dv8A5GHWvoP/AEI16NmvOPh1/wAjDrf4f+hGvR69ij8COefxBmjNJRWpIuaM0lFAC5pQc02lBpCF&#10;ooyKM0AFFJmgGgCveWwuYCpjRyOgc8ZrHXw8/wDZyWYljhC/N5kSYbdkng9q6DIo4oGpNbGdaWUy&#10;wNDOI0QEBPIJU/Un3NLPp52ExSTlx0BuGAP860M0ZFAr63MP+yLj+ybiBmQzzzeaxycD5gcZ+gpX&#10;0RXlC7UKeZ5ru/LO3p04FbZIo4oHzMzNKsZ7G3S3eOIKigbkOSx9+KqxaLcG5vjNJGIJ5/OTYDvB&#10;2gA57YIrdyKWgak0Z/2a6ksbiCcxM7oVV14zkY5rDbw9eyxMGEIYwRxff6FM8/d966vikoCM3HVG&#10;XZ211At6zJGJJptyDdkY2gdce1Ja6QtqjLuLAv5pxwQ/fHt2xWrxRxmgVzFhsp10O9haMiWUzMqZ&#10;5+Ykj+dUJdJu5JXl+zAEyROAWXOEx3/CupwKMCgam0zP0aGSG1kEqFGaZ2x7E5FaNJS0Cbu7hS0l&#10;FAhaKM0UAJS0UUAFBooNAHPeNjjwdqn/AFy/qK4nReND00Z5IOPyau08cnHg3U/+uY/9CFcRpUe/&#10;RtKAZlIBORj0avPxz91HVhbX1KVxayrqjtHDLcRQys8ij1bB2j1wcGtCwjkSwuZbq38uRg2cn5mX&#10;HGffHFTX9y1ikUheRw7qmBt79+lPuIJHhkXz3IZTwFH+FeYz1JVG4K+xm+Iol+zi5klChcKisOBk&#10;8n69PyqHQ9PzBDdw3kgck+coYMG9Aee1ad2vlW0jzXDOFBYKypg/mKi0u6hvbUSW8hTpujCqNp9O&#10;BT6FOo/Y2RU1RwNIvV5/4+MZ/I1zb/drodXwujzgEktc9a5xzwKmw6ewZpjdKCaQniixoSWw3XcI&#10;/wBtf512Zzvz82OeMn1rjLU/6dAB/wA9F/mK7IABm9Oe1ZTOetuSNnnr09/WjHJ57+/vS4B6+vpQ&#10;QAR8p6/1rJmIhcr0Y/mfSgyA5579zjuKQBcHg9PQ+lA6Z56+h9qQCq4wvPbpnPrTS4Ck5H+cUozg&#10;DB/I+tMJO3j06YPoKAJ1fjqOp9KKYHxnr1PrRTATTbnynghfJaQHBHarE75JyB36/Q1FpoP2jaYw&#10;FUcGpJmBHz8d8fnVP3o3Jsl7qITje3A6n09fpTlYBRwPw/Gm7k9QOf6/WgEccj/OfeosUSA9CAOP&#10;akU8rkenamBhkHI6evt9aXIyMHg47/8A16VgHhgMdBjHWm54AHp2poPA5/zigHp17d6lgDSNzj8e&#10;SP61xWt/8he5Pqx/kK7fBIyFPT+tcNrx/wCJxdcfxf0FbUHZmtL4iin3afGev0qJSdhyKdG2DXWb&#10;rcsKfmp2RvqCN/npxbMnfrQMlmOMV39i+bC2/wCuSfyFefysCo+U9PSuntPEWmRWsUclyVZEVSPK&#10;fggD2ppHPiL2RfnjFuzclYWbeH/55Of6H+dZuo6JHeETgrDc9Mq2A3uKtHxJpBGDc5B/6ZP/AIVV&#10;Or6UvyW99iP/AJ5PC7IPpxkfnWsUzhlBy6FdLHUYk8oRyuMY3/aXA6D0/Op7TQR9qae4JbB3CLdu&#10;I9s0n9uWATG6HHoPNA/LZU0WsWBGWvBEnpDDJk/8CIqtexComkqmSTyIjtcja5XpEvp9a1QqxqAo&#10;AA4AHasWDXdHhjCJPtHp5b/4VMPEGmNwtzn6xv8A4VLTZfK10Lfw5P8AxUOtcen/AKEa9Irzb4bO&#10;smv6yyHKsAQfbca9Kr16PwI5KnxDaKdRWhA2inUUANqtf3senWMt1Lny413NgZNW6wPF84TQJ4QM&#10;yT4iRfUk0NlwjzSSG3et3rWiS2GmXEjEhsOoAK/XNTr4giF3b2txbXEEs5IQSKMEj3zWJpry3UMi&#10;W8WoOtu/kki6CjK+1Ofy7fXtM+2Wl35zyFYXkuA4U45pXNXTim4tbXN3WtZTSbdTsaSeXKwxqD8z&#10;AZxUNn4itZrdjJvSWMhZU8pvlYjPp0rH8Xef/aelqu149zkpsLEgKc9/SsyC4ntbHX5IJQsoMAjd&#10;AR2GOvPSi5UaMXTT6/8ABsdPYeJI7iHN1G8Mu8rt8tiCM8Hp3q3rGsxaRbxSOhdpZAioDjr3rLtH&#10;nt/FMdo9zLLE1n5hWQ5+bdir+p6Ul5cJd+Ws8sSYjhlbEeT36daEZyjGMlzbEV34iht9TsLVXhdL&#10;gsHbf9zAyK147uCVykc0bN1wrAmuF1O2uh4g0lJNKsFZi+2NT8r8fxfL2rqtMtWjdnm0+0tpcYUw&#10;HJI+uBSTvcdSnGMYtdRuta4dIiaVrOWSJQMuCAOTipX1b7JZpc38PkqzYJVt4UHoSewrlPHXlyIy&#10;W6u8qlGnPmNtVSQBxnGScVcBls4GtNziZGDKio8yyoR0YHOPwNNMp0o+zjLqzf0zVhqN3exBAFtp&#10;AgYHO4EZzWp2rjfDN3K2s6qos5dj3IyxAGz5R1BOa7EcrQncyqwUZWRS1bUo9KsXuZBuI4RO7t2A&#10;qvFrttLbrJtlzgblWJm2nGccCqPi+236abpIS8tsrOjiQqUOOvvWUZLg+FhPM0fCBv3kjO8jleMb&#10;SMZ9KL62KhTi4JvubuleI4NRtBP5UyZcqAInbvjrirWoavDYo/IeVRu8vOCRXDaRIdPm020EDF3U&#10;vuKS8EYPTOD19MVv+IZmgvkmLl4obV5HgSUoTg9eKVy50FGdlszWk1+0FhLcxuHaOEymPocAZxVi&#10;y1OK9JQZWQRq5U+jDII9RXE3LGXw/qkszy5ZlWGHzmZhuUAKemc5zW94UjWfTIbsrMkwDRsjSswG&#10;CR647U7kypcsOY2pdTsopGjkuoVdeqs4BFUNO8S2F9C0jTwwlXZdryjnB61X1O6ubUCFLmCW7l4i&#10;h8jk+554HvXP+F7m5gtnjuJLeGOS4cRu8W4M2fmGcjHtRfUIUk6Tk9zv/PjMPnb18vG7cDkY9ax7&#10;7xVpdlbNN9pjk2kDYrcnJxV5VuktCN0MsueOCqkfrXDeJbi7S3voooY5o3ZGl8uQsI2yOBkdSccU&#10;SdkFCkqk+VnaW+v6bcuiR3cRd8ALnnNaYNcXos99LdSzPHbrckKpgllYGNR6DGPfNdmhOwbgM45x&#10;QndXIqw5JWHUUUUzMKKKDQBzfjv/AJE3Uv8AcH/oQrjtHH/Eq072j/pXXePjjwXqP0Uf+PCuH02/&#10;s49MsQ93CpSJcq0gB6e9cGNV4o6sMrtlXxFdlb5IizKI1DphsdTg81paE5OiwkszE56nP8Rqpepp&#10;d7Kbhr5FfZsAWcDGDnPBptvqFnZaZHbxzxu0fcSoM85/vV5vKz1ZTjKiorcseIXQadtJG4sNoxkn&#10;6cH86reHbhRbNb7pWmHzsXBHB4wM/SotSuLK/kjLzhVUMG2TR5IOP9rjkUzSpbKykm/fxYfCr+8T&#10;hR64PXJNHKxrkVBwe5LrB/4lMh9bo/1H9K51myMVt6xcwtpmxJonJn3HY4OAd3oawM4GQc0nEdOw&#10;pPFMzSN92mjiixoWbP8A5CNt/wBdV/mK7Ij73pzzj2+tcbp3/IUtv+uq/wA67XAx0557e1Y1Nznr&#10;fEIQNvUflTyFzk4zn0HqKjwB9fw9Kd0Bxgc+3tWVjEMjgDB6dvY+9Jn5Dwp/Af40pwe/cenvTeCo&#10;57e3pRYBR14AB9Nvv9aafTjp/dHp9aTd97H8x6j2o5Jxxz9P8KQDto9f/HRRUTOobt+n+FFAF+xw&#10;ZAQegpZ9wBJyG9qSy/1npkY4p9wOT35rT7JmtyqGOCct165Pr9aduPHznP1P+NNAODwevYH/AOJp&#10;EJwvH6H0+lZmg4MDjDH8+nH1pQT/AHznH97/AOvUe47scn8/SlVy2Mkjr39vrSYDgSMck89z/wDX&#10;oxgD8KU9fvZ/H/69NBJHPPAqWA4DjGOPp7/SuI1441i6/wB4V2irj/8AZ/8ArVxev/8AIXuvqP5C&#10;taO7NaXxFBTlD+NOjHJ/CmL9w/jUkQ5P1FdZutwjH7ypMfvPxpiD5+PQ1Koy4+tAxW7VKOn40x/S&#10;pFGAaBNXHtxt4qRR81R9SoqZf9YV9KYuUMHJ9KFH7s05eppQMKaaAUcKKeuTJ7YpvQD61Iv3/wAK&#10;tbmckdP8LgRq2p/9c0/ma9PrzP4Yj/ia6n/1zT+Zr0yvZp/CjxavxsKKKKszCiikzQAtZ97pkV5e&#10;29zKWJgyUTPy5PfHrV5mCgk9KAdwzQNNp3Rg2fhm2tWnbzrgmaVpG2yFRk+wNLL4cgfULO6Wafdb&#10;PvAeQsDx79K3sUYpWK9pO97mdNpazanHfSSMWjjKImOBnqfrWenheD7UZ5biaXdKJZEbGHYdM4Ha&#10;uhxRimJTktEzIv8AQLe/uxcvLNG/l+UfLbGVznFWJ9OE5U/abmMKoXEcmK0MUmKBNtmJL4ctp7mG&#10;eS5vGlgz5bmblc9asppflyI/2y8bac7WlJB+taO33oxQPmb0ZmarpMWqWcluf3fmFSzqozwQf6Vf&#10;WMKgX0FSYooDmZnWGlJY3d5OrljdS+YwPGOOlaVJRQJtvVle+s4760ltpc7JFKtjrg1Rh8P2Fv5A&#10;jjOyEfIhORn+8fU+9a9JQHM1ojIt9Cih1RLsSNsjQpFCAAqA9fen6lo8d6soRxDJMuyWRVBLJ6c1&#10;q0mKB80r3Mk6JC13DM5LLCgVUwOoGAx9TTLDQ/sM6st5M0KlisPQAscknHWtnFJjFIOeVrXKNtpl&#10;raSSSRR/vJDlnY5Y/iahstFt7bTnspQJ4ndnYOOu4k/1rUxRgZzQHMyjFpVvBZNZxiRYm7eY2R9D&#10;nNQ3WhW02lnT4gYIiVJ8scnBzz+VatFAk2ilc6TZXjRvPAGeP7jjhh+Iq8oCgAdqSjNAXbHUUmaW&#10;mIKDSZoNAHL/ABC48FX/ANE/9CFeTxxo0K5QHKjqPavVfiK23wXee5Qf+PCvLIv9Sn+6P5VwY12S&#10;O/Aq7ZH5URU/u0/75FIbaIoMxpj02in5wDzUbueK827PSURhtICM+WmfpUMltCCP3UfX+6KldiAO&#10;ajY0XYcqAxxohCoq+uBikfhBTiOBTH5wO1O47DX4UU1uAvvTnPAFMb+H2pFIt6aCdWtR/wBNV/nX&#10;Z9MdPyFcZpR/4nNr7OP512Gen0HcVhU+IwrfEKW4HzAfl6Ub+B8wPX+lMDnuxH41Rvdcg0pS1xC0&#10;iZAGxjnkfUVMYuTsjE0t+T1A/wCBe9IG9+394+lYa+NNKf8A5dLgfTn/ANmqQeL9JAwLe5A/3T/8&#10;VVOhUXQnmRsFjg4JPHZj7UhY+YOT+Z96z4tbtdQhBtI5FO8IS+f5Zq9kiQHJ6+nuaiUHHcpO41pH&#10;B+6Og7mimux3cgdB/CPSipAvWUJEinzpenqo/pT54grE73PzfxNTrQfOv0pbr+Lr1HQ471T+EzXx&#10;FLKlj8uefX3+lAA4+XH4ex9qNwBHzHqM5P196TgkHH8vSpNBSM46d+x9KVGyBz+v/wBem88kL+nt&#10;9KVCBnnHJ659KlgPL+4/P2+tIvOOnams/bdx9fb60KcrkDIyBRYBwx/dP5e/0rjdd/5C10fcfyFd&#10;iuR0UY+nv9K43XD/AMTW5+o/kK1pbmlP4igg+WnRnlqan3TToh1JrpOhEkf3z9DTh9/8qan+sNP6&#10;sMUDHueaeORUTcuBUo+UUASdGSnhsTGmH7y0uD5xoAmQ9TTif3eahjbhhUhyYeOuaqJI/stSj7/4&#10;VCOAuamHMgHfFaIzkdV8Mf8AkJ6l/wBc1/ma9MrzP4ZcapqX/XNf5mvS69mHwo8Wr8bFoooqjMKQ&#10;9KWg0ARSgMpU96chBGB2pHwMmlUDJx3oAfRRRQAUUVDJcxxyrGzYZhkUATUUxpFRdxPHrTgQRQAU&#10;HoaXNHagDF+1XaalFG7qyFHY9AAcjHf0NP1G6uY5VWNG2YB3KOM845/D9a1di/3R+VIVUjGBigDH&#10;uLq98uzKowLyESADHAz/ADxT4J7qUXKsGUq6gFlzxtB6CtXaM9KAqjt1oGZFlcXUzynLBVJQbkJB&#10;I7j8f5URz3L3vlEPiMAsdpxk8f5/CtgKo6AU0hAegyaAMRbq6BZpDKVMhC7cYxnr9K24TmJTu3ZH&#10;X1pdoxjAxSgYGBQAuaCc0YpMUAFFGKMUgCiiigAooooAWikPSqjXoW9eE9AoNF0twtcuUVWkvIor&#10;mKBmG+TOBVgdKLiscj8Sf+RMuv8AfT+Yry+PiFf90fyr1D4lH/ijLn/ron868uU/ul/3R/KuDHdD&#10;0MD1EPK1E3SpM4Wo26V5x6SI5Oq0w0+TqKYaCmP7Con61IWHFRSEdqBDWPNIeaKSgC5pI/4m9v8A&#10;739K68H7vPp3965DSD/xN7f03f0NddnBBLY7dfesKnxGFX4hADxz2Hc1yvik74D6+Yv8q6wE88no&#10;O/vXJeJzxjJx5g/ka0wvxnPU+ExLK25yRV17UY6UlmdqZ7VaWVZCQK75GEWWdFiEcTDHWYf0rpuA&#10;TwOp5OPWuf08Bdoz1lBreDc43c59fp7VwYjdG8NiQFSB1/75FFCqdvVvzNFYWKNCz/1i/Si54Lf7&#10;wplo2HU0675VunUdfrT6WJeruUSxfqSDkeo9aacMccfoe31oG4BSRjp0H19hS545J/P2+tQyxFHB&#10;wvbsOvH0pwGAccdePw+lIuAOmeD2z2+lKuRxjHXtjt+FIB/O773H1/8Ar1GV3Lyv6f8A66exBB+Y&#10;9emf/r1Hkk/d4yP89KAFjwB0HT2/+tXJa5/yFLg+/wDQV10a5X04/rXHa4f+JtcD3H8q0o6tmlPc&#10;pqPkzTkGFNRBsKRSxOBkHrXXY2ciZD83WpFHzjFQxkGQ9/wqwYpEUSNGwQ/xEUrMFJCsMMDUhHyg&#10;1AXBNP8ANBApqLHzon/jWnj/AF1RGQZU1MmXy6o5AGSQvFVysTkmCLyxqQcR9KiEmFPHJp2/5AAK&#10;pRIuSt/DxVOVbifUmijfYigZZjgVLJeRQqGdgMds802yupZU86VV2SE7cDsDW9KDvcwqzWyZ6H8P&#10;rUWtzdOZFfMQBYeoP/167lbqIybN3OcCvM/C/iay026ntrhvLDRgAheN3/6sV3cU5mUTxTQuh+7t&#10;5DfjXo037up5tRe8zZzRTV5XNOqzIKDRQaAGOPkNC/0oflD9KrzXSRSLGc7mXI9KTaW4Wb2LROO9&#10;AOagkYiFjxwtRWM/nDrkqMUnKzsVy6XLprk/GF5daaI721ILRgBlYcFSa6sniuX8W2j6jayWsWze&#10;8XylicDrUVubl901w7iqqcti5Lcfa9GtSxdRMisdp57HFatnJ5trG3qKxFQJoVhHICGEYBx6ha1b&#10;WRI7NWJwKcG72Jml07l38KWqq3kZXJVgPXr/ACpwvIGOBKufQnFXcyFuZzbx79uQOvOKgS/3yBBG&#10;cklR9QMmp5Y47jbu5CnIIPekW2jWXzAvzepOaYFVtUAWBvKbEoUj8T09zTP7VYXXlGHIMhRTnpgZ&#10;yavi3jUIAgwn3R6U1rWJ2RjGuVJI49sUDG/aSbnydnOzfnPWqsuokW1rMEAMzY2nnHBP9KviNQxf&#10;A3Yxn2qFoI8LhANikJ7UAFpctcNMrKFMb7eO/AP9atVFHEsTOyjlzlvc4x/SphQIKKKSgBaQ0Uma&#10;ACimSSJEheRgqjqTWXe65ax2jNb3MTScBQGByc1MpJblKLexr5FNEiltoYZ9KpR38KTxW8j/AL6V&#10;S6/QVHaMW1KYY4Gal1EmkPlZpnpXCeLmkh13TJ4nZWW4jU4PUE967pmABJOAB1rnNRs7bUNQbcQ7&#10;ReXKoB6HJwf0rOvFySS7muFmoVOaS0H38rLrUagDGF5xzzXQjisW7CtfhgwyApI796WTU/NmCRFl&#10;5xnHWopy5ZSbJlFtIxfieceEJMf89krzJfuL/uiu3+I95M/hl43ZdvnoMdD3rh8/IPoKwxb5rHbg&#10;4uNxrH5T9KYegpTTDXEegI/UVG1K3NMPWkIQ000pptABRRTWpDL+jc6vCP8AeP8A46a63cSF5/U1&#10;yWhjOrxf7r/+gmutz0yfWsK2jOepuKcknk9Pf1rkfEeWOMf8tR29jXVnupOcA9B71UMckMzyo8J3&#10;9niyR+tVQnySuYyV0cdbuBARRZH96ea7LzJdp3QWL57GHH+NNRWcE/2Zpx/4Bj/2Sul1U9TLksZl&#10;hy0f/XQVvbSCTz3PU+1UzFK00ZFrFCoYE+UxwefTaKtkbuvGfX6VzVpczRrHYsqOOjdT60UiMQnb&#10;qe4orIomgOCKdeyBIGY5AyDx9aZGKL2QxWpfGTlR+ooRCKUahkXHJ45H/wCqlA+XGcceuO34VDbH&#10;MewOGKnaMnt1H6YqzyDwDjGBge30FJlCELyGb1757fjTtoz0/T/61IWwcFvXgn2+tIBzlVz1OQP8&#10;BSGOzkYP8/8A69MCc5HPTt7fSleRYlO50THdnx/M1A+oWin5rqEYxwCD29s0WY0iyh2rwf8AP6Vx&#10;eu/8he5PfI/kK6Jtd0+PrdE/7in/AOtXLandJd6hNNHnY54z9BW1FWbLgncgHIHrTZSVhkK8MFJH&#10;5UZwKdwykHoetdcdGaPY5pNSvVORO4P1qyNe1No/La7cp6EA/wBKlv8ATYordpotwK9QTxispMZr&#10;0qfJJaI8ypzwlZsvjVL3vN/46KlXVbwf8tR/3yKzfxp656VpyR7GfPPudr4fu1uLV2ugjSB8A+2K&#10;6aG9iWIqGGMYxXnVjcSQQlUOMnNbNlI8kZdmJ+aspqMVexvSlKbsy+2Nx+tDBxBJKq5EaFifQUwH&#10;IpZEkMWAu4So6hfXjA/WuaOsjqm+WBhpFdXhLpG8nOMjmtWJtRTT1tktsBWLbiMn6e1UtKkAt2LM&#10;OXNaAuEB+9+tdmhw+zb1ZC8d6ZGuJozk4Zm4GK9D+H+ofabO5tnRm2OJBjPQ9a4cn7TE8SMAxHGf&#10;qK2PDCaxoGoeelujIRskDHORkHjHfiqUktyJwZ7NbyKbdTnjFP3jscA1yQ8VWccjQzSi3bbu3Mvv&#10;6Uo8T6SrENqKydMYzV8yI9lJ7HWNKsYyxwPWl8wMuQeveuWPijRmzvvGPuAagm8VaOEAhuXAz821&#10;SKlzsHsZ9i1rOsz2V3IqXKqijGzHzE/lxWcNdCX8c890J124Hlj7vPcYFc9q98l9qc88LlonbKkj&#10;HFUBnHU1Mrs1jBrod5ZapJPd3scU+Fdt6M4JUDPpU8Wt2emK73DlEaTYDjOSa5DTtXj08MswmO8j&#10;Gxc0+51uC5nhlUXAMe7KmPjBA/wqFzJ3ZuqSlurI6+PxdY3N2bS2Znm2tjjjhc9fwrOttWubvxBG&#10;kybQsMny44OHwDXKpfWi6vDeq+MBg0aAM3K46D61fGvQJrX29YZ2QQmPYV5zkf4VpGTe43Qpq/Jr&#10;p+J20is9pCiHgMR83PHNV7oTqULBthPRen+etcpJ418t1MMcyBc5Vhwc+1Tjx6m/L28jxkYC5Aqr&#10;q5yuDW500Tu1muNxIOOcA9M1A6yvuVhyB/dJz/SsEeO7YJtGmv1znzOp/Kkn8epIPl09gf8Arp/9&#10;aqdmTys6iy06VyJC7xqOhBwSPw6VssdicEnHqa4BfiLKgwNPH4vTX+Iszggacv8A38oukS4s9AaV&#10;UALHApBMrLwa87l+IVy64/s+MY77zUY+IF4FwLKL/vs0uYFTbPS88Dmq4lJRvYHNeff8LE1Hj/Qr&#10;f8zUMvj7UShAtbfnvyafMg5GelvLzt3Y9TnGKI5/4Sc84615kfiBquc+RbDP+yf8aYfH+rEn91bA&#10;/wC6f8aTmP2bPVWPGahkuFi5fIFeXn4haxjiO1/75P8AjUMnjzWZBjFuvOfuH/Glzh7JnqC3wLHr&#10;jOD60klzKsoZUJRuzHH5V5V/wm2sqxYNBktn/V0j+ONcfH76IYORiMVnzMp0z1G7nW5tnj2cgjKt&#10;WVdW0Mlq0Bit4TwVZFORyOa8/PjPXCWPnx5br+6Wq8vi7W5WyblQfaNf8KmepcItHot1GsupWl2s&#10;pHkAgjafm6//AF6bqeoy2p8y3k2yTOFVihwnc59c4/WvNm8U60wwbv8A8cH+FVrjxBrFxhZLxioO&#10;QAo61nyyNY8t1zbI9Atdcv5dca1upw0ckLlUVcD7p/wqzpw2arfpnPlrEo/AtXmEet6rDOJkvXEg&#10;GA2BkCnN4h1jczfb5Qz/AHiDjNO0ki6kqbleCsrHsDXdjcXUqtMySAcgrzgCo0hjeQT2srPG3qf8&#10;f88142db1Uvu/tC4BxjO89KP7c1jbtGq3ar6CZh/Wl6mTStoehfEeIDwwzhs/wCkIMZ9jXDj7o+l&#10;Zl3faheRCO51C5mjyDsklZhn1wTWmD8q/Ssq7Vjowyeo09DTD0p7dGqPOWxXIdz3IzTTinEVG3Wg&#10;TGmg4pM8U1jSJDNIT603NITSKLWnXgsb1J2RnABGF68jFbY8Q2jD5orgdeNpNcugEh24z9aXaVO0&#10;Jj6SMKJQUtyHFPc6j/hILEk5aVfqlPGtWD9ZyB7riuVG/dj5x9JDS5fJH7z8waj2cRciZ1Q1WwZc&#10;falPT19PpUsd9aHH+kRnjvn29a47k9Q5+sa0ED8PeKl7Ndw9mjuUubXIIuIhz2YU8Txfwzxn28xf&#10;SuD+Tbk+X+KsKQOm3O6MfSUipdMXsj0NZlC/6z/x6ivPd4/vr/3/AP8A61FHsvMXsz0uPrUepTrb&#10;WMkrqzKuDgfWpIxVbXP+QTPyRwOn1rNLU54q7Of/AOEgRAVhsGOTnlj/APWqKTXb4rlbaGMe6j/E&#10;1mM6+YFYzkkcc4FM4MpQW65AzmRy1b8kUdippF19X1GQDN6kY9FP+GKgluppeJL2aT2UHH61EGkL&#10;MFMabf7qVGFaZWLyPlSR1xTsiuVDtisc4mbP944pGRVP3YQfVmJNN8tfs4c5JwOpzUzKqlNoAycc&#10;CnohWRGDzgOo/wB1KikJErZbP4Yq5nMp5zxVOb/Wv9aqC1BjT0p69KZ2p6nirJIrxPMspl/2TXPW&#10;dm95crDGQCepPYV07DKMD3GKxdHdEv3ibAMiFVJ9a7MM9GcWLWqZZ/s/TfuLLLuzt34+UGqFzayW&#10;c5iftyD6itkRKkZjLpkcMDkHP5VU1kqqWiDHmLH8/wDSuiMnfU4ynG5AFdFphxZJnuSa5pDXTWAx&#10;Yw/TNZ1/hOrDfGWpW8qFnH8IzVWDWvLR08ktu77yPTt+FWZAGjYHoVNc/uAkI9BU4dJ3bN60rKxe&#10;eWOU5EWz2Q4H8qQPEvVZP++x/hVcNwPejd1rpsjDmL8V4kTZVHJHq1dKPHd0AMWcXTHLGuL31Lu+&#10;UUnBPcW50Nz4iku7v7Q1tGsmwLkMegoGuzHrFHxWEjc1Ir8GnyouNWUVZM2v7bmwPkQfhTv7YuMc&#10;bR+FYu/gVIG4p2RXt59zU/te6/vL/wB8ij+1rkD7w/75FZe6gvwOafKT7Wfc1Dqt0P4x/wB8ikbU&#10;rhwVZ8gjBGBWYZOPxpS/NFg9tK2rLqXLRvujCqfUAVJ/aVznPmms9Wo3kCholVZLRM00nkum2u24&#10;gZqbyvlAwapacQZzk/w1plqxm7MduZXZEI2x/wDXpfLb0qTccdBRuPoKz9oPkRH5RNJ5J7Gpt1JR&#10;7QOREXltjtQImNSc0oGOuaXOxqKRH5HHWk8g9z+lTZpuTRzspRRF9n/2v0pPs3+3+lTbvXFJnvn9&#10;anmYcqIWtx/e/SmGAZ++fyqwWplJykFkMWydozIAxRerDtTfs6kdSanE0gQxiUiM8lcjFR702/fX&#10;/vqlzsFFEZtkHr+dN8mP0P51L5in+IfnTd6/3h+Apc0h2iR/Zk9/zpjW6Z6H86nMq9M/pTC4z1o5&#10;5DtEh+zxHqpo+zx9AD+NSF19aYZFz1NLmY7RIzAgP3c0nlp/cFSF19/yppZe278v/r1LbKUYkTxR&#10;/wBwCrOelV2IPr+X/wBenhhxyfyqJXZcbLYeW4P1qNuGz7UpkXB/rUTOAc81DRfMOTDModtqk4Le&#10;gpb1IobgrBL5qAA7uOagaRWHGfzpjsCSfb1pWC4ckfhSMDjPtTTJgcLn8ab52eNo/OiwrimkAyR2&#10;pC5z2/Ok3/T86Vh3HQELJmpGZWl79KgSQb+351KHXdn29aGCZJwJiDnpTQB5rYHfFAYbySTz70Kc&#10;Oxz1NSMRMLuB7tSbv3efrSqSM5I696QgmMgEd+hpDWrGl/3WcZ4pX/49WyO2aCh8rbwTtxjNOkB8&#10;grjnAFA2gESYHyj8qKXmiiwrHoMHnnr5aj6k/wCFRaupOnTFpCeBxjHerEBwADUWs86ZN9BXP1OK&#10;HxJHDN/x9p9D/SkP/H23+7SuD9pT8aaQftTY6ba2ueg0Cf6yX8P5UiDCOfVjQoO9j64oC4VhnqSa&#10;EShmf9EH0FSOQSn+9/jUZGIgnak3pgDPSrBkoP7z8P61Vl5mb61M0gPQ1Wlch84zVR3IbHYOOlPC&#10;njiofNcn7hp25yPuNWlibk+DXLXCtFdyAHBDHGPrXRq0ozhawdRBF/JkYzg104Zas5cV8KZZTXrx&#10;EwRGzDo7DmqUk8lxIZJWyxPNQjrTq7HE4Lk6n3rrLYBbaJdw+6P5VyUfJArsvIkVEC7Sm0Ywea56&#10;+yOvDuzbGXLhbSRgeinFc4T+9fntW9foyWEhPoB+tc8T+9J9qeHWhVWRYVvlWlz9+oV/hp7Nw1dB&#10;jzDy3Ap4b5RUCHlacG5pjuWVfmnq/BqsOhpynrzQK5ZEnAqbdxVQEbRUpb5SPagLk2/3pC3AqFm+&#10;UUFsKKdxNkpPH407dhqizxSEnJouSTq/8qN/FQhjuH0oycUXA0tOfFyD2xWp9oX++PyrO0KH7Rfh&#10;euFJxXTrpuP4awqLU3i/dMoTrj736UvnL/e/StQ6eM8rThp64+7WfKirmO0v93J+gNJ5zf3X/wC+&#10;a2/sAH8NH2FfSlYlyMYNu4+YfWmtlexP41t/YR/dpwsEP8NOwcxz26TtE34UmZP+eDfpXRHTl7LQ&#10;LEHtRyhzHPYkP/LFvzpD5ucCI/ia6L7Cvp+lH2Ff7opcouY53bP/AM8/1pCtwP8All+ZrpPsQ/ui&#10;lFn/ALIo5R3OZ8u4B4QD8c04RSEfMTn6V0hsx/c/Sj7GP7tDiHMc0YZexP5U3ybn+8v5V0/2Mego&#10;+xj0FLlC5y5tbjPUf980G1n/AL4/KupNmP7ophsx/dpWHc5g2U/XzMf8Bphspv8Anq35V1BsxjoK&#10;b9kA7CgEzmPsU3/PRjS/YJSOXauj+y4PC0jW3tUstSOaFhIOrtTjZN/eat82+O1NMC+lQ0WpXOde&#10;wdgfnYUz+zztwXauhaGomhHp+lQ3YowPsO3+Jvzoay4ySx/4FW20K4+7UTwqT0xU3KTMU2K45Vj/&#10;AMCNM+xqP4SPxNbJiApBGO4zSbHcxzar7002qjsa12iUfw0wxA9qVwMhbQbs/N+dSfZARxkH2NaZ&#10;hx2FKIsVLYGUbNs58x6kCbMA5P41peVkVDPHKozFCJD7sBSux3KM6b0O1cHPrUeJQgHymoriTVeQ&#10;lmo91O6sm4/tVsrLHcKf9wgVqqd92R7VrobRa4HPlKfxoWSQ/ehcfQ5FZNq17CgBMg/4FVtdRux9&#10;5hx/eUH+lN0raIFXZomMsc+aoz2zRVD+1Zf7kZ/4BRU+yY/bHqkPaq2szxLpsyNKquRgAnmquryy&#10;RaJcvG5Vgo5XqORXKNnGWbLHqc1yRg2rkU4pu49vvA9xUTybSTihQR0yabI8ajMkir+PP5VvGmzo&#10;c13GNM+eBSb5SM4UfWopL+BD8oL/AIYqlc6nKVIjUKPzNaRpNmbq2NDy3Y5ZyKDGFUk9B1Jrml1W&#10;8BOZ3Psabc6tdPCYzKcN14raOHexg8Sas2s20YYRgu4OMdBUlpqcNyQGBRvQ8iuS3EVNHMY2Vgea&#10;6fq0bHMsVPmuzvEQEA9qlWPOMCsKHW2jt4gY1bI61bttdkdtqWRkP+ya5nRkjqVaLRq7NvFcz4gQ&#10;JeoR3QVvm9IiaWeMRgDO0OGP5Vy2p6j/AGhOGChEXgeprXDJ8xnXmnCxUBp4NMBFSALnk12nDdFm&#10;0XfPGuMlmAruEKr93t2rjY9sSLKgJJ6NjoR71uaZPPLCzyeuBXLW2Oqi7It6s5bTn4APH865U53N&#10;61t332id2iCMUwDn1rOawui5Ij6+9Oi0lqVUTuQKelDMeasrp1yxHygfjTv7LmJOSv51tzxMuVld&#10;Oi0gb5jV1dMlwPnXilGkyZ/1gp88RpMhT/Vmmg9a0rfTCFZXkBH0o/srBP7w4+lHtIjsUQflFSE8&#10;VcTS8j/WfpUo0ncOZD+Ape0iLlZmsx2/SgNlRWrHookPlqzsx7AVIdEWDiVZB9eKPaRFysyt2cUB&#10;utbA0qHb8u4j0oXTIB1Q/nR7RD5WZAPP4UhPFbq6Vbt0jP5mnjR4SfuHH1o9pEOVj/CHzahL0GIv&#10;6iu08oen61k6Bp0FrMzxr8zDBzXSCIEfd/Kk9dQvYpCAHt+tPEA9KurDx92niIHtQLmKQtwR0pfs&#10;y+laCwjFO8pR14/GiwuYzfs/tR9nbsKvkRj+Nf8AvoUzzrZT81xCPq4pqIuYqiFgPu5pDAP7tWGv&#10;bBet9aL/ANtV/wAajbVNLXrqFqP+2oNHKHMRi3BPSj7MB2pG1rRUPOp2/wCDZqM+ItDRsHUoSPbP&#10;+FHKCZL5A9KDAR2FVn8VaCg/4/lP0Vj/AEqJvGegr0unPsIjS5R3L4hHTFH2cEdKy28c6GOFafPt&#10;HUJ8faNnHlXZ/wCAj/GjlC7Nj7N9aPs31rCf4gaWPu2lyfyFQN8Q7IfdsJj/AMDH+FKwXZ0XkUnk&#10;e1cs3xChP3dOc/WX/wCtUL/EI9E00D6y5/pUuJXMdgLXcMhM0xrXH8GK4w/EC8wdllAo92JqBvHu&#10;oHpbW35H/Gp5B8x23kZ7UjW3HSuEPjzVD0itx/wE/wCNNbxxrBHWEf8AAKTpj5zspYMVWZT6Vxb+&#10;MNXfP72L/v2KhfxRqrD/AF6D6IKl0mylUSO0ZcUwoD2riT4i1Rut1+SD/Co21/Uj/wAvbD6AVHsJ&#10;Fe1R2pTmo2Qda4lta1Fut5L+dRNq2oH/AJfJsf75o9gw9suh2+MHpSEZ4xXCG/uz1upf++zTGu7h&#10;us8h+rml9XD253TLzyKbsB7gVwTTzHP76T/vo1E0sneRj+NH1d9w9v5HoQWP/nov500tEOssY/4G&#10;K893Mf4jSEA9ean6t5h9Y7I9AM9uOs8Q/wCBimNe2a9bqEfVxXA4HSk6DihYXzH9Y8jum1HT+93D&#10;+DVE+qaeo4vIz9DXFZOKiySTmq+rLuT9YfY7KbWtOROZPMPoq5rHu9YtJj8mnIzdmkOP5VkUnerj&#10;QjF3E6zZaN+7HP2eAewDf40VWorXkQudnpXiW4kTRbtlfblAAPxrzdb67DD9++frXd+KHzpEyjuh&#10;NedIfnFceFh7oSk7o2/tdxKmXlY+2eKjLnaTn86iRwO9L5sR4MoX6102sVcZLcGIAgBvY01dUx/y&#10;7x/gSKe1vby/8t8n2IFJ/ZQPKTD+dNW6kNu+g8X8DD5oD+BqlqUkEiqYUZfXNWv7ImPIlH5VBcad&#10;NDCzuy7R71UOW5nNO1zL3Uqn5hTdpq1ZW7TTxqqg/MO+K6Dn3OhsRZLZxCYoZMdx0rQW4tsBVnQA&#10;dhWJIrssjmNBFAdpXO1sevvUunWqXrPsT51UkK79fbiuaVO/U64yt0NWXyJlZfPTBGOTWedItSeJ&#10;gfo1Jq1qljdIke7Y8Ybk5wehGfqKz9xPtSjFx2YpyT3RprosBXhz+dSf2Db4z5rf99VlqxH8RqRW&#10;J7n86v3u5F12N+2tYIYY4S4ZUJI3HoTV6N7aJcecn51yeTuyTTql07lqpY6sz2uwjz0yR61D59tj&#10;/j4T865rilwKFTSE6jZ0YurVDzcJTTdWvP75a58ED1qVTx3qlTQe0Zti9tV/5afkKcL+0H8RP4Vh&#10;78UueM0+RC52bo1G1H9/8qU6pa9klNYIP0rVs9NjudIvb2SR1aDGxQBhuec0Kmgc2Whqlsv/ACyk&#10;I9yKBq8Ha3b/AL6rEozjpRyIOdm6usoORbn8WpW1vI4tx+LViq5wKdn6UKKFzs1xrUh+7Eg9jmk/&#10;tiYciOPNZY6Y4rXurCKLw9a3IU/aGYmQ7s/Kc7eO3QVVkHMyP+3LvqFiH/AaX+3b3syD/gIrKzzT&#10;s0cqC7NVPEmqRn93clPoo/wp/wDwk+ssOb+UfTiselzTGabeItXJP/EwuP8AvuojrWpt96/uT/20&#10;NUDRmgRbOpXjHJu5/wAZDUTXc7/emkP1Y1BSHimIlMkhH32P4mkLnPU/nURbikFMCRjnuR+NJz60&#10;wg0hNFwFLYpM5NHBpKVxjuaM7abRRcNBc5OaTPtRSZouFxc8dKbig+tIHFSxiZ5oyaTIz1oyDSEB&#10;JpDzQevWl2H3NFhpX2IyCDkGgtxzT9kjdI3P0U0n2eZjxDJ/3yaCuR9iGipxZ3LdIJP++aeNNvD/&#10;AMsGH1NK6KVGfRFXNMNaA0q8P/LL/wAeFL/ZF53jUf8AAhRzIr6vU7GaelNrT/sa6PPyD8aQ6Lc/&#10;3kFHMhrC1XtEzDSEVqDQ7j/npH+tL/Yk/d0/I0nNdw+q1b2aMk0wrW3/AGBMesgA/wB0006E4zmc&#10;cf7JqeZFfU63YxSMd6acjtV2+t7SwIE00jt/dQCqkdzpzOFdp0ycZwDVLXYydNqXK2NyKPxrr4fA&#10;l3LCkqQyujqGU715BrN8Q+HLjRNOE8kDoHbZksD/ACqVJN2LlRcY3ujnHmQHGaQOGbg1nPlXIbOR&#10;Wn4etf7Q1iK22NIXBwijknFauFlc54PmaQ6kzzXfx+A7kjLWsSj/AG5hx+tSHwQsf33sUPoZMGsP&#10;ao7PqqW80eec0V3x8JwA48/Tjjv53/1qKPaof1eP86IfEpxps/8Au158h+dc13F3LJrivawmGEsO&#10;sz4FZOn+Cdbvnza24kVWxvIwv5msaDUY6mc6M072MvJI4GapyxTM+Sjj8K7e98DeJtNtlmeCCVSQ&#10;CsR3MPqBzVBdB13/AKBcp/7ZP/hW3OlqSoNnJiNxnKH8qUM6nGCK7C48Oa3awiW40uRIyu7dg4A9&#10;/T8apC0kZgvlKWPAA5JqlVQfV5S+EwY5WU5eWQL6BqZc3TTAKpIQHoWzU2qwvb3kkEkZjdMBlIwQ&#10;aodq6YLqcc207BU9vcPbuHjYqw9Kgoq2iEzT+3+cf3yKxJyWUYJq9ZTWsCSTIz8HDKRz9awVPvVq&#10;yuRBOpfBjJwwIzkd6hxLUmjW1WfzrkMCTFtGwn0//XVEnNW/sjBNvn77V2JiYDIz6e3aqTKUYq3U&#10;Vny2LTuSKalU81AtSrSGS0U3NLmgQ7jFKM1HnHNSoN7KPU4oKSAdalBGKvjRmDYMwBHXAqUaKf8A&#10;nuP++aOZbHSsHWetjLPSoGuAvvitm40jyraRxKWKqTjHtXL7iAd3WqVmc9anKk7SNOK5ibAPFdVp&#10;wj/4R6YiRgy+YWTaCG6d8/0rhIn+da73T7qOPTUswHcAZB2fe3deaJaCpQlUdonO5FJW6NFtP+mn&#10;509dHtAR8jkk8c9ahTOz6hVMEE4x0rZudPsNP06Oe4vS8zrkRRD/ABrVj8JtKmVs5AD3LY/nXK+I&#10;1uLfWHt7hdjRqoVdwbAxxyKuOrOatSdNasSO8ti2GjcA9w3P8q6C9u7W60KI20W1kRFdtxJJHHTp&#10;XEh+TXf+CdJs9Y0adZLlElSb5lYZypHHH1BptWMYe9KzOYz83SnZ5xXpQ8K6FD/x8ajbr6g7F/ma&#10;sQ+H/Dc8bm2uVfZwShU8/lUcx0+zgt3+B5d2pVRnztUtj0Feow6JosEbpcs7SdipUcfTFZ8+lRG3&#10;+zrfRrGz5kAUZYdsHNCkmRJRtozgYbee5ZkgieVl5KouTitGDw5qEsRmlQW0SjJaXgn6DrXYQWH2&#10;UN9gvreF3zvZ8gv6ZOK5DWvEN9a3c1lI8DvG20sh3A/jTTM79zNFpckn9xJ/3zS/YbpukDn8Kn0/&#10;xCJZEhuVVQTjeo/nXcrZ6bBChnmZmIz8p4pSlY6oxoON+Y8//s+7PSB/0o/s+7B5gYfXFd6ZdITk&#10;W7P9Sf8AGnLcaSx/49FH13f40ubyFagcF/Z92f8AlifzFINNuWcKEXJ7Fxmuk8U6hY2FpH9kQpNL&#10;nODkAevrmvPjcSed5nmNv65zzVK7InKjHY6H+xrvuqfi1KNFuT/FEPxrW8J+IYPKmiu4UknRQVYj&#10;JI/xq/dePobZzHHbYIOKWt7D56FrpHOLoVwTzJGB7Zp/9hSd5l/KtqD4gGeTYxWInpkcVYvPFTra&#10;SNcRpLEF5BX8sUe8VGdFfZOfGhes5/Bakh8ONPIEjkd2PYLXLz6rczTlzKwycjDHiup8M+Kmjt5b&#10;ecKZ+Njnqw9D9KGpDWIoW0iX4fCEvAeDdz1MgFTyeEljG5oYFX1aSqz61dM3zSsP93isfXdan8ny&#10;/OJb9am0hfWrbRRqnTtOWQRrJZO/91ZBn9aGs7aMkGCJWHUbRXnrTs77ixz61da8a52K8rF0XbuL&#10;ZOO1X7NlwxqXxRRuahrFpZS+XBBE7jrgcVa0DU7PVLo2106Wr4yrbeG9uvWuGZ8sTnNLHIVcMOo6&#10;UOmrGMsZUveOh68dP09Ouo/+Q/8A69MaxsCMJqKBu25MD+dc/buZLeMy3bbtozjHXFSEQAEtMxx6&#10;msvZq5f16r3H3d5bWc5imnjz2weDVC48QWdtKFYO4z823A4/GsrWLm0nmjIlbMS9h15rn7iQvKx3&#10;EknrVKmaTzGpy2R6xpV54d1SAyRvPuX70bkAj9KtsNBQ/cmb/gR/wryXSJ5I9UtxG5Vmbbke9dzv&#10;vEX53Rh/trUSpqJisXVf2jfMehz/ACoJoT26/wBa5DVdTOm3z2zwFgOVcNww9a0PNdoyGZVHpGDz&#10;+JrnfEMiQyQOSdyjjJz3pqmmaRxlWPU9EtZLLQdK+13kai42bnVuSpPIUVz83xNHmnyrNVTPXrXF&#10;3evX9+pW5umkj6tkDJrHlnLHOAAegpqlFmE685atnqMHjya7TMUsSnurLyKjuPEy3BH29beSLPL4&#10;2kfQ9q80tLmOGdHkUnDc4ParGp3X2ifcCRED+7U+nrVeyiiI1Zp3TNHxVfadfXoGnjEUaY3qOWPq&#10;f8a5zac5NSZ9xTo4ZZ8iOJmx3xwPqa0S5TOTcndnVaTr2q/2ckf2mUwxqEXa+MAdqmub+TUIlguL&#10;maSMsCVY5HH41zkYiggKC6h3E/Mu6qlx50R3hkKn+4+alxVxpk2riEXbkYyT0FZ8dzNbzCS3mkik&#10;HRo2KkfiKGfcctTDt7VpbTUTOv0nxheSW6WV3dy7wTslZs/ga0vtTO+LhiSe5rmdD8L6xrimWxth&#10;5KtgyykKmfx6/hXUX2ky6HbImpXdq8pGVijLM4H5cCueUY9Ck29xpikY5V8jthhRWG+r26uVTftH&#10;Tkf4UVHKO7Ol8Paa1/Cl79mQDqrXTfK3uFHUfXiu6sNZv7SFopHsJV6KFJTb/wCOmvOzrUNuVUyA&#10;x4xsHO0UsWuWlw+wSyK/beMZrN07m868p7s9Sh1uQ4Jt4N+MbvtBJP47ayL6fxdeaktzp95p9vEo&#10;2i3bLq3+9kda40yydRI351PBdTI4YSNn3NCpJakKbOlvfHup6Cnk67o67mGElgY+XIfxzXG6n4/e&#10;+OLSC3085yJIYgZP++uK6jWU/tzwpcwOFMixmaI+jKM/qMivGm681pCnFlqpZbFjULya9u5bmeVp&#10;pZGLNI3Vj6mqeTSsaSu1aKxxSWoZNLTTS0xC5NAYgikqSG3luZBHEm5iQBz3NAy9b6jJHavAGOxi&#10;Dj0NSNJ5qxsfvYwTTE0HVfOMP2GYODySOPz6V08Hg9vJjEswEmPmA7Vz1q0I7s0hCT6HNrUw6V0i&#10;eD1J/wCPlgPpVlPCEAGGuZD9AKw+s0+5t7KRyWTSbjXaL4RswfmklP4ipV8LaeOqyH6tS+tUx+yk&#10;cPk1JHIUIb+6c13H/CM6Z/zxb/vs1na5o1jYaPNPFFhwVCkseMmnHEQbsg9k1qY//CSSM2RbIP8A&#10;gRrW0K/fVLwrKqRwRjdIwJz9BXHbvXit/RGEenTPnBeTH1wP/r10OCsbfW6ttzrbvxJomn28gTTw&#10;7BdoLgEMfxrzB2BJYADJ6CtLXZi8kIH3cEnHrWSMnqOKqmkjhq1JTfvMnjfpXc+GfEQmEel6jFFJ&#10;Bt2xyBAHQ9ua4Ie1XLLf56NGxXack+lVIVOTjK8Wbeo6lqNjfz2rTgmKQrkIOQK2PDV/P5c19cP5&#10;m07YxtAwepP16Vl6vbHU5JtQt3DyAAyx4wRgAEj16VZ0f93o6f7TsaxlE63WqPS50r61fzfMWaRD&#10;/wA82IIrj/E4mnuheEyOu0KxccitZ1fIeNnz/soc1FfT+aq2rp55Ay7AYH0/CnGyZjJXRyCEHmtu&#10;w1aTSbR4YME3C4lB9O2Ksx6VZtJkW5JHYZrn7qUG8lcADLnAHatLpmUbrU3UvFu4vLlEltKwJicO&#10;xVyOx/8ArV1lnObDTYLcSOrbfnOe/evNYJiGILHB6e1d5FKPs8W4bsoufyqJxNFNy3LpuLl/mW4E&#10;g/2jmhprnHEaj3BqkIkkOVWVT7A1ctNK1Gdd0G/Z6uMA/nUoLjGafaWJyOp5rz26kMt5O5BGXJ5+&#10;teoLo2p9He3APq3/AOusG6+H99NcPIl5ZqrHIBZv8KqDS3JaZyNmIg7STgtGgztBxuPYVabX71nJ&#10;WQgDhVPOBVrXfDU+hwIrzJK8nOYycAenIrnuVIHpVq0iHdM7TS9We9hdZXRZIz34BBq/iSTo8Z9x&#10;XLeHrhIrqQyEYKY5OO9d/Y6Ra3EAmuyI1IyFTrj1JqJWiaK9tTivEsLJHCxbcec+wrmyTXq91o+g&#10;SoY5PMce0mP6VQ/4R3w6GCrbOx9d7f40KokS4XOV8MFYpZpnwQF4U/xf54rN1OZpb6eQ4BZj0r0P&#10;UNL0/TtMAgtVhdx8nO7Iz9a4PVEhRXYg+YxpRknK43C0TKDkc5NasuuSXdiLSZRjAG5eDx3PrWMf&#10;pWxY6Ob2CGSOWMZ4dWOCDmtm0Zoy5Mq5B49DV/R4LmXUYPKikf5ucKa71ZLO3t0jWOIbVAy3X9aZ&#10;/a8ca/KFx6Af4VnKfYpRY19HvFhMkkDogGSxHSuV1SGIzSb5lyD9TWzrvieaGzEMeY2k9D1FcK8z&#10;yOWYnJpx11BssGzy2I5lb0GahCvFcBWXDZwRUG4+tXLKGXU7qK1Vh5rNtQscVb2JRrN4J17Jb7Fh&#10;TyCZF/xqS18FauZ082GNUDAnMg/pXfxWmqrEA08ROP4iagu1v7VQ0hZk7tGM4rndToachmXGk3Vr&#10;AZWsImjA5ZHzj+tYmo30EVk48pVZhgbTXTre3AOdzBcfxc5HpXnWoWLR3d9HEuEikG0exyacXcLF&#10;Ga5Z26kCoxICMMv41ASw4I5orZEXO58LaNot9Cl213OLmIkPFgYB7HNdilnpgXa1zMPQsQRXC+AY&#10;Yri/u1mlaNBED8mMk5rvW0mwMTMlyQ46GUjFYTbuaQWhg6rMtjIAsts8DfdkzjPtj1rjtbxqEySQ&#10;yo6ou1sHgdSK6jxHps0+lyIFMzK6YeMZHXtise4EdjpEdgwjDKMyMgHX3Pc80RaKexkWcIfR7k+U&#10;DIZlUOeuMHj9c1kyxOD8y49KvvqSwR+TCuBu3EnnJrNnmaWTdu57VrFakXGYIOCK7+TSbPUPD9rA&#10;9itvepAuJ0ypJx/EO9cZbLHHPBPcfNGrhmUdwO1d+vxIim+WXTVb0BIIA7daUnqI4TSdNbUtZt7A&#10;kqJJArMB90DqfwAJrufFt3pum6ONPsLVUwNqDHAHdvdie59KpafqGktqpuLXT/sd2yv5cu4soJBB&#10;yufQmsDxJqEM2oOIlUbRhiP4m7mlcrSxz8hLH7tKMBOlMeVsdKRJQeCK0RkBIPSr+k6PeazO0VnC&#10;0rIAWC9QCcZqjIQACv4103g26GnTy3gLlyuxVXvRJ6DW56R9rbS7OKztkCRQxhEGOmB1PvXnWq3E&#10;+pa7N5hZvlPJ7kCupm1qW7ikDlVcDIwOR7E1j2+nvcNNe7Q0KqFKscZYg8j6VzLe7NtzjZLWUSMC&#10;ozn1oroXRS5/dKfyoouXyROTFw6nOav2M7z3MUOPvsBmsrNbejfZwrNKdki/Mr4PUdq6J2SOeN2z&#10;sbZZEtlWUncowSR1qUPgVpR6VcanosN5bzB5xGMxcZbA7H1ri5fEMUMjI9vNvU4KkgEGudJvQ22P&#10;RtFk82BFIznKn0x/k15Dfwm2v54D1jkZT+Brah8U3UgEMB8hN2Tg5JHpWd4jQprDSD7syrIPxHP6&#10;5rSEbbgmjMJ5ppNWYrG6uLeW4jhYwxDLvjgVUIxWyaexhNNMXmnZpqmgdTVEofW34Y2/bH3dmVuf&#10;rWIOlXLCcwCcjgmPj65FJjPXgoYDPUU4JUNlMbixgnP8aK35jNWQK8Ca95npxSsgVeMU4IBzSDrT&#10;xSKAClC+1OAzThTuA3YK5rxq+zRUAON8qj8ga6jFcf4/fFlZx/3pGP6f/XrWgr1ERPY4UtnqcVt2&#10;N1DDpQjd9sm8nb3xVzR7XT4fDs+pXUSOUb+IZyegArFsCt3rkbFRt3bgB2Ar01Pmuuxz1FypPudl&#10;Y+GbK8s45tUlkiVwSsa/eAPcmtWPQPCkCnbaLKfV3Y/1FZD3MpPzZI9a07PR725Tf5YiQ8hpDjP4&#10;daht9DFWHNovhhjn7BGo9pm/lmrEWk+GN/8Ax4qPdXYD+dTx6DGn+uu48f7C0sul2DEI99IF9ECj&#10;P480uaRVkMXRNGljkl0uUpOAfkL7lPtXEyXotpks0jYKSSnHTqSD9DXfWum6PazCRLi43DvvH+FV&#10;r3w1od9KskVzNBPuJDEhhz7Yqk+47mTo1wuoE+ZlYE4PONx9K2Ev9OtGMVpaqT32R9fqT1rmr1R4&#10;aikt7kjIYlSpzvz0x+VY8fiYRuw8k4b0ak029Acje1vxNdx3O2xlaIYKvG6Aj8CK5CSyuZWaXYDu&#10;Odqj+ldHpOv6Stxi7tC4boXG4L+H9a6J/GWmw4jh2oB0CjA/IVauiNGedxaTqchHl6fdPz/DCxzX&#10;V22i+If7JEkdozOo/wBVNGQ2Pb1+lbkfi1J1/dkNSnxKc42rmhykxJWMCz0zxHJdxLc6dIkAbLny&#10;8cV0Vxq89v8AuzuQJwVI5X8MUi+KHBG0AnPQLS398upWJmZdk8RHPqDUu/Uog/txH4fr6gYq1aS/&#10;bnIh6DqzcKKwsQzff2q3qCOa0Ybj7FEsKHIHJPqalq4FzU9AS/hMc15szjlI84/WufbwFbKSTqkn&#10;4wcfzq5LczzOWMjfSot9znIlINVHmRLsFp4N0iJ1abUnfBBIwFzXUSQ6ZKuwakw/EEVyzGduWmGO&#10;5ZR/hXN6jrzKzRW7ZwcFtoGapxbHc7qfTpYjmC9ieLszDn6YpyaZehGkEqTKVwFiHPNeXnVrtpd5&#10;lbpgD0FXLPXri3mVvtD7Dwyk5zUunK2g1NHpNukMqu12udzbVibI2gVFJp/h3fve0ty3oxJH6mst&#10;LyG7hSSB2KY4zUblM5dN34Gs0rMdzVZvD9rEz/YbAKoznyl/wrDm8a2cEpS00+JU7YAX9AK5vxHf&#10;Kbv7PBhVVRux61hbznJNdEYX3IbPSrDx7a3DGC9s4/m4AOCp+uak1a4sbaEXUUISM9V9DXmJet2C&#10;S81fQjbRRyzSQSKNqLklTnGcUSgkCkUdYvxfTiVc7QMAGsvzK0NT0q90wxpewGJpFLKpIJwPp0rM&#10;PBq47EvcfvqW3uGgnjmRirowYEeoNV80oyOgpsV7HrSayjIpDzcgHgGl/tu4D4QZjPH7xuT+AqHw&#10;gtrd6J5V8m/Y+1Hzg4IH9avX/h+K1ie5t3LxgZx3FcbaudCWhkefNNKVAZFzwQM1QvrVDDJOruxl&#10;k2sSeCQOv61qwJFfBbSKGXz2GGl80gKO5x0rZj0TTI7SOBzJMsfq2Kd7DPG76Fobx1981AFJYAck&#10;8ACvYbjRfD7Hc9lEzerMx/rUcdtoVqcx2dsre0Yq1W0MnDXQ47Q7f+zIWZlLTydcHGBWv/pM5Dvh&#10;EHdjXVR3lsoASJQO20Co7tNLu1xOoR+zocc/1pXvuUlYybGeaS3lt/MIgHzNk44ritfu4ppjDGyx&#10;xoSOO9b+tXTaJaXEYkV2uAERv9nOSR/KuAlk8yQk9+9VTiJskaK1bpLKDjk7Qcn86jaAAbkk3r3y&#10;MUzdg9advXHBwa2JLmn2FzqTmG1iMrqMkAgcfjWxH4P1dvmECqfRnGf51m+HdS/s7Vo5Mg7jtP0r&#10;0I62QcfLWM20ykrnNQ+HtWs3aaW1DhFJUIQ2TXG3quLl1fhlJBGMV6lceJTbPDHkLJK4VDtzj3rz&#10;rxFEY9VkdmZjIdxZhjn6U6b11JktDHLHpSE0d6StyCSMluACSewr0jw54PT+zY57u8lhlfloQq8D&#10;t15rzi1nlt50mgbZIhyreldfpetahqm6Ga4ZpEGcg4yKyqXtoOO53qaNo0K7X3vnrl+v5VOLLSI7&#10;Q28SyRITnKtnB455+lcYb+8iG2WNnA6HPNNkvp5eisv41z2ZqaF74etZLyVkv4wpPGTiisrdcNyF&#10;c57gE0U7sdzhtg61bgZym1QuQM8mug8YaVbQyrqNjF5cUzbZIh0Vjk5A7Z5/GuYdZIXKupVh1FdN&#10;+ZGOx6f4avyNICqzKyDjJ6Vy3jy3RNdS7jXAu4lkbHTd0P8AKsG31GaBwUkZe33jWvrmqf2rpVoG&#10;T9/AWVmB6qcY/lWahZ3NOa6MK3bZJzXcWOoaJe6Vbwam0O6NSh3L83XjBHSuDTk5p4INOcOeNr2C&#10;EuV3PS9duLdPDFxDZIi2+wYKjGeR0H9a8yJJPNdYkxk8FSAnO0bf/HhXIk0qFJU42Qq9R1JXY9QC&#10;KAaap4oroMkSA04ZPAPJGKYOtLkjn06UAew6TlNKtUP8MSj8hir4IrJ0Cf7RotrJ6oK068SrH32e&#10;lB+6iQHmnA1GDTqyaNCQNTt1Q59TS7vehK4rk2/iuK8fuCbBf98/yrrw+V5GMVwvj6QG4sh6Ix/U&#10;V0YeP7xGdR+6c3PqUp0qLTuBEHMh9STUvh75tU4PSNqypx8w+lWNNu2tJ3mVdxC4x7E16aSS0OJu&#10;+56FaXXkncApYHgntV/+2GL+XI7JuH3gep965vTrj7XbiXGzd6nNaiweeNhALHoKycQSL7ySFSBI&#10;TjkGq7PIOSzE+9aGn6L5Sg3Fy3+4vT8zWmdPsdvzwkj1ZyP6ipuM50STt/y02D260vmFOWkY9ySa&#10;3zDpEZ/1EJPqZWP9axfFV9p1poNwIIYPOf5FKg5GacdWM4HWtYk1S/LuxMaDZGP9ms/dk1Bn1NKD&#10;XSkkY8zLJmKrgZpvne/NQMTTQ2DmmFzRtb14JAytg56etdxY3kF5bJKsBLEcqBnBrzgPzXceA9aF&#10;i9zbO4VZAGQkcbun+FRK9ikzdSG/l/1NjKF9RGT/AEqzHpepCKVjaSkmMgKw25PbrVubxBMuAoUj&#10;1B4qlL4hkyclF9cDNYXZoiGDQtTd/m06BMerjP8AOtGbQNQUEiJX9g4zWb/wkD95OPoKb/b+4na0&#10;zN2weM0K4yO8LWLbLhWjf+63FZM2v2kcgTLH1IrO8S+ILrULlUkIAhBRQv61zwbJyeTWyRm3qdNq&#10;WtxSWMiQltzcZrAW1leBZgdwJOR3BpHhYERkgncOhyOafOzQQJCG5BycVSC5AQVOD1oGKjZ+5OaQ&#10;Nigk73wLrcljFdWzONrEMinrnvj9K7ZdbJhMh4/2TivFFmKbSpII75rVj8TXCwtHN842ld2cHpUO&#10;F9Rpmdq9219rF3dnH72Vm4GB14qjupSSetMHU1a2Bjs5rqfA16bXVbhCcK8JJ/Aj/GuXVHY4VWY+&#10;gGa3/D2m6gbtnW2mRWXbveMgc0pvQUdWdRrOnXXiK5iuLVFZbeNxIc9QRnHvXn9zBtcr3HWvZdg0&#10;+wjtbOMuMfMy87m7mvNvEOnyW2oNMYXRJTu5GBmsac9TVxujmtpBwas2kG+4jDD5dwzVpLdCA74A&#10;96soVB/dr+VaObJUDrYtQt7GyWK2BdIxnAGT7mrmkeK7W4m+zOxBbgpIMbhXGK86sGB2nsR2pJYP&#10;tEqyGXy5Qc7tuAT68Vzzjc2ud9cxx6dK7W5OLgevRfT88/pVObVHgTaDuJ61etLNtQ0yD/S4HePq&#10;VycBXgah+fDtSt4ejckvdgMfRf8A69CFczxK00YZEPP41BJbysOOK3bLSLe0DK147qewj6VZ+xWW&#10;778p/IUAckUul4E2BUHlzs/MjE565rsZtIsZ8ETTKf8AZINYur239kw+Yv7yMnAfH3T7iq5gaOE8&#10;VSSC8ijeTeqxgj2ya5zfXT6+qXFsJ1B8wNg59K5Zh83pW8GrGE73B2pMmmsOlOqxXHRuVmjb0YGv&#10;UrOdbiLyJdpJHBI6V5dCpaeMAEksMAV7nFfQKiiPywQAOFHFY1Ua033PMfE1vOL9NqOcJjABOOaz&#10;fMe5jQzKxcAxnf8A/Xr2I6yiNgMT9AMVh+KpLPUtEkM0yxyRHfG7Ljn0/GpjK2g2jyKSMq7DsDUe&#10;01M7ZYn3pldFzEagweau2l3JZziaAlXHGc1UxmgAg5zSYHZaFrP9o38dnePFCZThZWOFz6Gu6/4R&#10;DLDfeIB3AXtXiwIJGa7vwv4yuYol026fzAP9VI3UD0NY1Idi4s9PREhRY45UVFGFGztRXJnX2BOJ&#10;I8UVz8rLuYWobpdKu0X73l719ivNee3E0k8rSSsWdjlie5r0ST/j3n/65P8AyNebHtXZAyewo6VL&#10;FKIzzz9aiH3aTvWgI0bSyfUJyttsDBSzB5FXAHXGSK3bXT9EYi1a5MzfMUkAKZJAAz9D/Oudsf8A&#10;X/hV9uIkbv5nX8KzkrmkLX1N/X9KTw94bW0aSRpZ5AcshUH1x+QriTXbfEGR2u7RWdiBEMAnpxXE&#10;NU0L8ibZNb4hynilpq0tbmaJB1oIy3tTVpTQDPSPBtz5uhqhPMblf6/1ro1b1NcX4JJ/s+55/wCW&#10;g/8AQRV+S4mEjYmk6/3jXj1177PSpfAjqN1G72rlBcT8fvpP++jSieYnmVz/AMCNY2NOU6otxR5i&#10;gcsB+Ncq8jnq7fnUTM2D8x/OrUQ5DqnvIIx80yD/AIFXC+NLmG6u7YxSKwVCDg+9E5PPJrB1D/Xj&#10;6V1UIJSuZVV7pYsrUz2kof8AhKkDqeQarSQeSXHHKj+dT2jsqttYjMq5wfavQ7+2gGnSEQx58s87&#10;B6VtKq4SsZwoqcbs5LRpFTTo8+/8zW1aXWzkH2+lc7pP/HmR2B/xrZg4iOKpmDNOfWJMBIjIoHV4&#10;8H9KptfSuc7rmVv9smnxAFFOBnHWp24Xik0JFZZLmQ8rtFYniNgsKpuyScnmuim4H4Vx+vEm45NV&#10;D4gexi5NOWkorcxHUUhpRQAA81p6bMIZtxOB3rMXrVu2/wBYKUtio7nYQSK2VdvkbBVvQ1N5DFvk&#10;GQaz1/1afSugsR8grE1KyacrcuMfWnSxmIFLS3eV8dUQmuqtETyUO1c464qy0jg4DsB7Go6iW55N&#10;eeHdYZTMbC4CgFmZkIA7k81jL5cZy/PsvSvT/Gssg8L3ZEjgkoCdx6bhXlT9DW0XoS1qXDcIEIQn&#10;carSSNIxZj+FMHSlq0IKbTqSmMTJ9aaSc4NOpp60mI19Gk0lLoDVraSWI8bkcjb9cdRXo9hpvhuS&#10;BZbG0tJEHG4AOc/jzmvJB2rpfCrssGobWIwEPBrOoCPRl+zQ8JEiL9MU/wC2W46hPrXN27MyDcxP&#10;Hc1dUcVg7miNqPUosfIoYeq1m69q/m6TNbwxwSSuMBZcFV9z71m6k7IECMVG0cA4rFmPNTHcrqZi&#10;2Koo81t8nc9s+1OxjgDFSyfcH1plaSGA6UtApR1qAJ7S8ns5N8Lsh9jirsnjh4kWORS7A4yG24/x&#10;rLaucm5v2B6eZ/WhFI75/FubVZfMbLDhTwa5+fxBfyzmRLmVAOAA2BWVck+a/PTp7VGpOwVZ3xpx&#10;jG6OnsPFV6CIZX3EnCuev41ox6vNK7x3Db4pOGVuQfwri4f+PmL/AHq6KL7y0HJWilLQ0dJsba4l&#10;nuLtUe3t5dqx5zucc8+w4rjfEVjHbX0hiACt8wx2Br0CQAadBgYygPHrXFeIeW/Cqg9TCpFJHLse&#10;KB93NOlGBUf8NbGBZsDi7jfBAVgSRXYHXlHyp5rE9Tjmuf0EA3HIroLtVW5YBQB7CokrsqLA6xtT&#10;cFlPqTwK5jV9Ynv5cFz5S8KAePrWnrxK2a4OMsM4rlewojBIcmPVuakqJakHSrIA57UAOe1OHWrZ&#10;AEKkAUAVAhFPR2jcMvUGg9TTaTGjdi1mMRKJI2L45IorCzRU2Q7n/9lQSwMEFAAAAAgAh07iQGik&#10;UpwstAAAIrQAABUAAABkcnMvbWVkaWEvaW1hZ2UzLmpwZWcAAID/f//Y/+AAEEpGSUYAAQEBANwA&#10;3AAA/9sAQwACAQEBAQECAQEBAgICAgIEAwICAgIFBAQDBAYFBgYGBQYGBgcJCAYHCQcGBggLCAkK&#10;CgoKCgYICwwLCgwJCgoK/9sAQwECAgICAgIFAwMFCgcGBwoKCgoKCgoKCgoKCgoKCgoKCgoKCgoK&#10;CgoKCgoKCgoKCgoKCgoKCgoKCgoKCgoKCgoK/8AAEQgBYwJ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C0q2SPT/FNtGuGW6k7de9av7Pl1&#10;5keo6Z5LK0c27d65qr4QBvNQ8XWksTfJeSD9K0/gHEy3t6+P4h1rnjL98/Q849RgULGqhs+9TJHx&#10;1p4G9t3TmpY0z8uaEarYWJdueafRgDoKKAGy/wCrNRxfe/CpJf8AVmo4vvfhQBN/AteYfH7yz4h8&#10;Ps/cXa/+OCvTzkRAhSeK85/aAgSO+8L3YX/l4nH5xj/CuPH/AO6SNsP/ABkfFP7YNukfxx8PuP8A&#10;lpaOT/31X0R4+gC/s7TTj+HTrd/yKV8+/tuQrZfFjwrfY+9C6sfxr6H8XIt/+zJI6/xaDH/46F5r&#10;wai/2XDvzZ6S+KSPLf2npHl+AN00S/Ks0Lfm1eRfFPnRPCjL93+yWH/j9erfHSXzPgNfeYpYpbW5&#10;/UV5l8SIlfwT4PnH8WnyD/x+vawnw/M82srxkji7ZGYg4qzCvzlTSojA5IqWBMyZzXoHmh5KUKip&#10;yKseX70eX70ANHSig8HFFAE9r9w/WopuhqW1+4frUU3Q0ANj6/8AAakqOPr/AMBqSgxl8QUUUUEh&#10;RRRQAVFP9/8ACpain+/+FADKa/SnU1+lADaKKDQA9nGMCoJY8ndjPbFOiLHOTUiKCMmgCvFCqmpk&#10;Gxs5p3lLnIqMv2xQBYjIPQ015OOlQwvgE4pssmOMdOaAHPIpJWm1Gjs0nWpKAA8KW9KptcItXDyp&#10;X1qm1ujUAH2pPSmkNId6r1p32VPWnLGqrtCMaAI/Lf8Au0hVl6ip9q90x+NRz/w0AR0j/dpaR/u0&#10;AMPSoZKmPSoZKAKc336hk6Gppvv1DJ0NB0EMv+rrNveorSl/1dZt5zQdUfhRk3/3V+lQ1Nf/AHV+&#10;lQ0HRD4Rv/LRP+ui1+sn/BOKJz4F+GMQHPk2/wD6Ga/J1ui/71frh/wTg58KfC0f9O1qf51yYz+C&#10;cuL/AIb80fpnp0eYlkz2qWmWHMZb3p7DL7q8Y+NkFFFFBI2Xq1Q1NLyzCoaACkf7h+lLSP8AcP0o&#10;AgooooAaUcnIWjy3/u1KFTHK0pRCMbf1oArkFeCKKdKoRsCm0ARXgzBis6XPlNgdq0rn/V/jVWQZ&#10;TFVExqP3jJCuf4aK0vL96Kok/NXwFEV8e+LYR/z2Jx6fJWp8EI9utahCP7o/nVTwJCw+K/i+N1+U&#10;KrD/AL5rQ+CgU+LdQU/3D/OvoD9APTowVBz/ABUtHlkIjAcbaM0AFFFFABTozhqbSqfmoAsx/cFe&#10;bftFxSND4dkX+HWG/wDRdekxsNg5rzv9obP2HQnU9NYx+aCsMV/u0/Qqmr1o+p8V/tzxt/wm/hOc&#10;9Nzr9a+iJl/4xQZw3/Mrqf8AxwV89ft4Mf7d8JsR1uXTPvX0da24uP2RFlQ/e8Klvp8gNfN1/wDk&#10;X0PVnsRX76a7HkHxhQP+zhqTFN2beDOfwryXxlGf+FY+C5WHP2W4Gf8AtpXrXxIiJ/Zl1PBz/wAS&#10;6I/rXk/i2US/CLwbLn5vKuR/48pr1cD8R5uKd6Zz5iGwFRzT7aF85xT7D54gDVyKBCpbFeseWQAP&#10;nOyl+butTeWn92jy17DFAFJ/vn60hOBmnTLtnY570xiAOTQBLBuMeQtRyQFGwTViyAMGd3enOAwY&#10;HtQBRoqWeNY0Vh3qKgiW4qffH1qWb7lRJ94fWpJiNnWglq5E/wDrPwooY/vPwoyPWggKa/Wnbh60&#10;1zk8UANqO7bbDuxUmR61DekGA4NAnsVNx25AqII5kA29TU9sgY/MaspDHt7VoQSouxduaWiiszQh&#10;km2uV200z5GNv606SHc5bdTfJH/PStDQRTk5xS0BNnRs0VEtyJbjZASmAKj8t/7tTKATgineWn92&#10;kIr+W/8AdptWvLT+7VVkkU425+lACP8AdqzAcQKfaq+2T/nmakXzBHgrigB1xOqqQR1qHcn979Kj&#10;ckAsT3pvmE9KAHSScdKhd85GKazkio1ZmOd34UASHpUfepCCwwpp2q6Zd2Oj2uvK8bwXMskbeW+T&#10;CygHa31HII4I+hoAy5vv1DJ0NTSHLf8AAahk6Gg6CJgMdKzr8D0rRYjGM1nahQBmzjCcCqD/AHz9&#10;avzkbOtZ8hwWI9aDuo/w0TQ8x4x/FX6+f8E3kI0D4WoF+9YWx/Q1+QtorsUGOC61+xX/AATgiYW3&#10;wyGzG3SbQn/vyD/WuPHT5aJz5hLlw7P0asP9UP8AdqxUVpzGrf7NS5HrXjrVXPkQpr9aduHrTXPN&#10;KWwDaa/SnU1+lQTL4RtIwypB9KWggsNorQxKzxhTx0pd5Q5A9setSfZX9aY6MIGYT/MVwpx0PrQB&#10;HICj7CP/AK1JXB6n8I/ibqOpT3cH7RHiCzimkZ0treGPZCCc7QSDwOgzVeb4HfEpTvb9pXxY30ih&#10;wf8Ax3+lHzRpZd1956Gy7jnNcl4z+K+meEtdh8MWekX2q6pJH5v2HTYgzRx/3nJICj6npW1oeg6p&#10;pmlQ6fe69cXssMe03l3jfL7naAM/hXinj7xhe+FP2gdW1qy8Q6Po8n9m28O3XreSRbobM718vpjp&#10;zihBHllJxep3PhT4+af4u8ZXHhBPA2tW91Z4+3GZUKw56dGOc9sVHrXxp1mE3Emi/BvxFeWtqzCa&#10;5ZYocgdSFdsnFc58Lr7TV1fxF8SB480jXtYvIg81rpC+WsaIpwgViSf6ViaR8VL7xn4FvvFPir43&#10;RaRJIsyR6DY28Aki5ICFWRnY4wM5PXrQVHD0pz22tfXZno/h34x+CvEeiW+tw3PkLcR7vJuJFV05&#10;xgjPXiivEPhVp1xL4A06RRL8yyHlR18xvUdaKDq+px7ngvhwLbfHbxFaj/ltbq3A60vwijYeOLqE&#10;HGJG/mafpYa1/aM1RD/Hp4IH0qb4YR+T4/n5wWlbj8TX0dPufTHpy/6qobhc7Tmp5PlBUmq1w4+U&#10;AimaobRRkHoaKBhTSGxTqaQ2KqJEiSMNsFcP8fIx/wAI5pbr/DrUf6g8/pXcRhtgrifj2GHhOwcf&#10;8stWgP6ms8T/ALvP0Cj/ALxD1PjT9vmzWN/Cd8eseoOv8v8AE19C+Fbie6/Y9R4jwvhNx+S14L/w&#10;UGtJINL8N3BPynUP6V9EfDG1ku/2NrWdYi2/w7Mp44+4a+TlU5sqof4mj6Nfx5+h4n4vidv2Z9QE&#10;vzBtHVvw3D/GvIfFCH/hS3g3y8fJNdiT848V7Tq3lz/sxasn93Q1b8Moa8i1y0Q/s9+ENRK/6zUL&#10;xc/hHXuYX9f0PHxX8NnP6ar+SMAVoWqyHsKr6esYhC8f5FaVnGm37tekeWN8o9wv51vaTrfgW0sm&#10;t9W+GUN5JsI+0rq1xG4OOuAxX9KyTGmPu00so+81BUY3KtvcaNAZobrw4k7M+YpWuXVkX04IB+pF&#10;Z9x5Ymby4/LXd8q+ntVyQgyMR/eP86p3IzNknpQCfKEZBHFOpqMMdaduHrQSQ3//AB7/APAqqjpV&#10;m/IMHB/iqsD8tBEtwoozRuUdWoEFRnrUm4etRlhnrQZ1Ao70bh60gZSeDQTEST7zGoSc81NJjDNm&#10;oSQOSaCgoBxzRuX1ooAtbzSFieDSbh60bh60AIzADrUUkvJyRRI43FciqszknP4UATK6t0p1V4JQ&#10;snzt/DU4dG+61AChgpyad5yVE8oxhTzTPMf+9QBYWRG71Y/0f1rP8x/71R7T/wA92/76oA1P9H9a&#10;Xyoym4CsoBgcic/nTxqckP7vdnFAFm4sRJ0NVvsTJ0NL/abPyact4JPvnpTjuNbkf2Vu9Nnt9sTN&#10;gVP58f8AeqO6njNuwBqyykDnmp7fXLjTtF1DRFht5IdQVAzSIS0bI24MvPB6jp0NVjgIRmqs4Jxg&#10;VmZlcpsIGei4qOToaml+9+FQydDQdBA/3qztTYgcVov96s7VOlAGOn32qEHAz7VMjDe3NQ5yMD0F&#10;B3UP4ZdgXhUz1ZRX7If8E5SWHw3T00S2z/34B/rX43IVwmf+ei/zr9of+CeFoRqHgcbfmHh+2P0/&#10;0Za8/MPgSOXMv92aP0D03hVyewqd/vH61Bp3Wp3++frXlrRWPjZS5hKa/WnU1+tARG0yf7n40+mT&#10;ZK8DvQOWxFQOtGD6UoBz0oIFfrTac/Wm0GhCyEscHvR5bDv+tTYX+6KML/dFAFVyySbFPX2ryaX4&#10;dfEXwx8Qta8S6T4Y0/xJb6pMrw/brxIpbdQuNnzqQV+nSvXp8b+B2pnfNUpWK5t/Sx5L4X+D3iu8&#10;+JbfE/xTZ6XpJW08i30vSG8z6s8gVVbPoBiu0i+HfgqO/OpjwrYG4L72m+xIG3dc5xXSPxHioakI&#10;yqLROxmQ+HNDhTy7bS4oUySscMaqoyc8DHrRWnRQae0qd2fnO0a237SEzf39LYD3pPATeX8RZC39&#10;5hg/WrGpx+X+0Jazn/lpYsN3rzVTw7KLb4kyEnA89lFfR0/iPsFrFHqEh3bjmqjDacVZUkxAn+7V&#10;d+tdJzS+IIF3SjmphwMVFAQJMk1JvX+8Kwqbs3p/CJKfkNRJ96nyMCpwe9MT71RE0LKHCDNcH+0G&#10;/l+A4Zc8Lqttkj/rpXdf8sv+A1wv7RKP/wAKv3Iuf+Jhbf8AowVGI/3eXoaUv4sfU+Rv+Ch7GXwT&#10;oMwP3dXTn04r6X/Z/tvtf7ENnld2NBl5/wCAGvnn/goVpiR/C3Q5yP8AmLQ7s9uDX0p+y/G9x+w9&#10;YwKjN/xI7jkL/vV8lL/kW0n/AH2e0/8AeJfI+d1g+0/s4as7f9C+/wChWvJ/EEhk/ZX8FyONu3Xr&#10;5c/9s4q9e0//AEj9nPW7dG/5gbhf/Hf8K80b4e+PvEn7K/hnSND8F6teXtv4iuHks7WxaVxG0UeH&#10;wgPGRjPSvawb/eanm4y/s2cRpMittQHmt60Tjk1HH8GvjHpFuuo6h8KvEUES9ZZ9ImVPzKgfrVrT&#10;tI12R1t30q4Ejfdj8k7q9fmj3PKUJNXAIvdv/Har3VvnOXZf+A11MHw1+JLj5PBWrN0/5cJPf29j&#10;+VMuPhd8TdrSDwHrRVerf2dKQP8Ax2jmRBxMwkVtu/iq833juNdVd/Cj4nBjL/wr3WsH+L+zZf8A&#10;4msrUPAnjewdvtvhHUoTjJ86xdcD15FaXRFmYUzlP9W1HmP/AHqsXdhfxbfNsZl9Mxnmq8sU0LmO&#10;SFlYfeVlORUNljZJG28tVd5c5wRUs+4R5xVKWXYdoIouRLckM+G2BufSn7Awy4qohbzt4OcVatEu&#10;7y4S1t7ZpJJG2xoiklj6CqiIbJKytgCkMhK9qW6t7mBVlngdQzFRlD1HUfhVYzEtsQetEmTIdLPg&#10;430kcox8zVXLbmIBy1EbvjIPFSSWvOSo53VkwP71RtI69WYfUU0yh+N+aAHJyMelWs9aqwkOGKn6&#10;4qZpU2nDj5hQA/eO0mKqM7bmOelADE4AqSPUbW2sri0nhjL3G1FkZsFOeg+tABGzcDO339accE5M&#10;got4L191n9ikeVe3lkbe5J/CpEsfLtnuWt5ZpEjJjaOP5fr/ALQ/wrQ3p05VHZEQO9th+8Pyp4cD&#10;lW+7xVjSNFn+y+Zq37uSTl2dSv04/GrWoaZ4g0iza0Xzo7aTnaNwVv0oFKEoSszLLoVbJ6UwOhGc&#10;0kr7EKyYVl6jpioRK5+664+tRIzkWNyf3v0qPcPWm75B1Y03bIOq0iQPWijI70YcnhK0p/EAUUEk&#10;cNwaMMOGrQApspAjOaXcvTcKbMw8psGgCLen96jIPQ1XR5MZp26T1NZgV5vv1DJ0NTTEb+tQSEYP&#10;NZnQQv8AerO1TpWi/XNZ2qAkcCgDCH32+tOh/i+tIY3DNtHeiE43AnvQdFP4Sw33ozj/AJaJ/Ov2&#10;y/4J7qF1bwaNv3fDsH/pIn+FfieVYpwOK/bj/gn7Gw8ReFFCk7dBUtx/07rXn4/4Uc+O/wB3Z932&#10;4PlKQOlTjpSWp/cjFKetebL4j5GW9gqKf7/4VLUNzkEECpCI2iiigoKD0ooPSgCF+tNpzg56U3B9&#10;KACiiigBr9ajkqR+tRuCegoAjfpTakwR1FI/3aAGUUUUAfnp4nj2/GjSnOMtaPz/AMCrHs4iPiPs&#10;B63zf0rofF0Hl/F/RXbgNasM/jWTaoqfFLax/wCX49a+io9D6w9KIwij2qrJ9w/71WpT0qrIRsIz&#10;/FXUBHRRgnoKMH0rGXxHRT+EKVPvUhBHJFCFd3LCpNCx/wAsv+A1x/x6P/FsJi4+WG7t2b/v4K7K&#10;N12D5hXE/HhyfhtqALceZEf/ACItY4n/AHefoy6f8Rep8x/8FGIAPgxp8v8AEurRHj0wa+jP2OI5&#10;bv8AYY08BW8z+x514Hcbga+eP+CjsEp+BcN5j5YtSg/rX0d+w5dbv2HbJQpLLYXCr/309fIx/wCR&#10;PH/Gz2/+X0vkfN3hVBP8C9aBHyx6K5HuwUnGPwrpvGXxb8W/s5/DLwR4k8G3dpbrqa7rlr6wE67Q&#10;qfMELLnr0zz+tc/4KQH4J66mPmXSZ/8A0B/8RU37b1vPN+zl8JfNt1XzbF26dfkSvSoxUqsYP+tD&#10;hrX9m2jL8Vf8FN/H+pala2Or6d4I1ZbK4EtuZ/Ds0cZbBxxHJ9M8kZrDv/2vfEf9pHUZPB/hCzh1&#10;CHFxpcNi/wBlwF5cEOWRzzyDnPIINeK2fhjS2cPLZL5ij5W21p/YLWaSPfEPl4X2r244WilseTLE&#10;Vk7Nnv8AoH7b3xh+Eur23iPwDongmxjmsXDWtnZSSI6GQyMZGluJHLZx/HgDoBk56C8/4LJ/tBRW&#10;zWmt+H/B80bEN5LW158/I9LjivnC9kuLuX7ReXc1xJ5ezzJpCzBcYxk5qhdafbSqSbdeRjhacsLR&#10;e6M3UPo63/4K9fFO5Xe/wv8ACMeT90C9Xj/v8a3Lb/gpL8Q9Q0OTW28B+HWi85RMkd3cjb7csTiv&#10;ldbJVRfLiXj1qNdFSUyRyRtsk4kRejULCUPP7yXiq/R/gfXmk/8ABTHULTT59a8U/B2xaxtY9zSW&#10;N2/yAkAEhmHGeMjPX2Jq7qH/AAUI07UNPGu3fgTQ7WOVkb7KuvTRMqsFOQhhJHBJwCRkHBNfIWlW&#10;k2gRqulMyw7cPby/MjDHQr36VMniPX7NmFo9rHG2d0C2EQiOf9gLjPuRk+tU8LRdrX+8PrNbl1t9&#10;x9Jah+3pc3nl3n/ChobiN1/dzLq6Mp+haHk1j+Gv21tQi1adPEvwjsbm3nOLexuNYgjdPYN5JzXz&#10;nbTaxprSSWc6R+c2ZAtrHt/AFTt/Cqd/YPqVx9rv3aR89m2/y6Vn9TodV+LHHFS6pfcfWHiL9rvw&#10;r4c0dvEHiX9lyFbNZQjTR6xBIoY9F/49+p9MZ+tUvEP7ZfgDwP4ym0m8/Zv06zvtPk2tNaa5BuV+&#10;RlXW1/rkHIIBBr5yn8U+KD4dPhT+2Jn07cGa1m2yKSBjPzA84rH1a51fW7yTUNXu3mnf78z9WwMD&#10;t1/nVfU8PH7P4v8AzG8XKPRfcfTGu/tj/DXxTp63vib9m2a+s9zPHNdahFJGrE4J+a2IznNYs37U&#10;X7L62+YP2a7WOZY2CyLp9m4BPGeYVzXz/wD2r4obSl0P+3b1bFV/49Y5mCdc9M+vNVI4LhQQyN/w&#10;Kl9Toxd43+8UcZLqkey6P+0P8I7fWre91n4NaZe2aXSyXFqfDdkjTRgjdHvC5XIyM++a7rxd+1t+&#10;wrrOltaaF+xG2l3cjg/ao5bWRU55GwgdRgda+YvKn/uVFPaTSNk7hx/DV+xj3f3kSra3sj6Au/jf&#10;+yVIqiL4Iqvrt0uz/wDixWbc/Gz9lPfgfA+6O1v+Wek2X5/6yvDfsknZT/31SfZppD5Zj2j+9R9X&#10;j3f3k/WP7qPbJfjV+yhcuqt8GbxD2f8AsmzH57ZaX/hbn7KYHPwwn+n9mQf/AB6vEf7LcdDQdMYc&#10;mp+qw7v7xe3fZHs0vxU/ZNeRRL8L77Z/cFlF0/7/ANXNQ0r4KeNbC11L4afDi8hjDu9x9qjiSRhH&#10;g4QK7ELngtkHGRkdD4abWDqzirGo/EjXdE09rLR9VkjV4/Jjjj7Ljn8zk1ccPGLvd/eddCvKcrWR&#10;6l43FlqtlbvZXNqupWs7LJpsEOLWJs4WQn+JlGFAbdyM57DsvA37Omr+LNOs7zXfCd1f3Ey4tVWF&#10;guerOygg/TH/ANavLP2W9S0m98c6ZoWuQGZbrUIVmlaTdhN+W65wTz+dfpb4O1/RPDurktM32dYF&#10;CxxxrtztG0ZIJxkc44ryc1zL6lKMV1Pocry+OMjJy6HxL4v/AGT9U8IeKGv9T0+8gkRfOjhvWKiP&#10;DbfmDfMR6AdMGobDwr4bimkHiKSO4kkKxW8OfvM3UgZPAx1OPTHNfX37R1/ofxP1BtRuQtlHHDiR&#10;oIh+9A6Ak4/r1r5g1vwDBe6itxZ3EkKs5WORFyyL6g+tctHOKMo3kdOIyOcad4v5HHeJvhN4MtNd&#10;srtvDsd5FNu/tCOGZtyx5b51KkZIIGaxbqb9kyFmgnsL5WVtrj7Pc7gc4OfnP6V7f4Y8OWH9l2+j&#10;mxuNzXPkR3Eg+YKTnOT2r5y/ak+HN18L/i9faVJkxXkC3lv9HJH/ALK1d+HxVDGVOWL1PmcVh6mF&#10;V5L8Lms0v7IhP3NQH/bvef41X839lIfee/8A/AW8/wDiq8rLOx4egRTDtXoLDx7nnOs5dEeqCb9l&#10;AfNuvv8Avxef40r6P+zfPANStNYuY4/4YmW7yfwzmvKvLm/u007xJgxsSPqAKPYy/mYvbOOtj1K9&#10;X9lqK23QzalJcfwx+XdAH3yc1HHp/wCzNLZrfT6tdRg53KYbsqgGed2Mdj9MGvM3WXbmNv8AgO6t&#10;rQdX02Kx/srxFo1jdQJZ3Cwz/ZVWcSlG8tjIAGbD7fvE8DHc5n2NTm+NlKvLeyOtGn/szq+G1K4T&#10;/aVLoE/pUU2ifsyl9yeIb7LdD/pP/wATXnUgllk3Rxfxdzk0ohuAN/lMuKI06klfnY5Vtdkd8NE/&#10;ZwXgeJ7wf9s7n/4ij+xP2cT08U3n/fu6/wDiK4EtdjgK3/fJo33fdG/I1PLU/mI9odtJ4U/Z6YFv&#10;+Elu/wAp/wD43VWbwp+z8ykL4lu+P+u//wAbrkpPtGzofxqtL9qXhW/8dqvq/eTZt7byOvufCnwN&#10;WHNt4nuP+Bebz+aVhar4Z+FJU+R4hmb0+dh/Na5+6+0s25yazL3J5Jato0+XqdFOrzIl1vQ/BNt8&#10;1rqkkmc/xn/AVh+RpIn2xSsy7f4jUlyFTOXz9apq0Qm2eo+9V2N4yui9HazypI1ug2R87ia/b7/g&#10;n0M+KfDvP3fDaf8AolK/DdYZcl4pm+ZhkA9a/cr/AIJ+Kw8V+HwR10Ff/RCV5mYfCcmYfwT7m0/7&#10;i/7tB606yBHUdjSEHPSvNkfGiU1+tOwfSmuDnpUilsNpr9Kdg+lI4OOlAo/EMoowfSjB9KDYKKKK&#10;CpED/fP1pKcytuPynr6Umx/7p/KgkSiggjqKKAGT/c/GoX+7U02SvA71E4O3pQBHRRg+lFAH5/eP&#10;yV+J+hMD/wAs2/rWI7FfikrD/n+T/wBBrZ+IciR/FDQYpDhmjbC/nWRNEV+KSqykH7cnH/Aa+ipd&#10;D6w9Mn++1U361bkO4saqukhPCN+VdQCR06mqrL95SKcAT0FQ9zaPwjZf9WahH3/+A1NL9w1CA2/p&#10;/DSGTR/6sGuX+NdsW+G2oFh8v7s/+PiuoQfu9prB+MsXnfDPUIom6Rp/6EKwxH8GXoy6fxr1R86/&#10;8FIdNjT9mM3A25XU4CfbrXtH7CAeb9imzCt/yxuV/wDHn/rXk/8AwUqtGj/ZYuMZ3DULfd7DJr1b&#10;/gno5uf2J7diPu/aQT2HztXxnw5O/Ko/yR9H/wAvJeh4D8PVkb4QeIEOPm0u4HzduD/hV39tV/tv&#10;7OHwemi3Y/s+VWz2xFFVDwJKw+F2tQBOG0+5BYdvv1Y/ao1FNU/Z0+FscGZEtreRd/1jjOK9Sh/v&#10;MV5L8jgq/wAFngNvasCp2U4w7WViB941eh8obcbabcW6ldyLzk19HTVonh1vjK9BVT1WneVMPvRn&#10;8qbtYcFaRykb8HA/vVYg6mq5jlZuE71YhSQH7v6UBckqvcAMNpHRqs7X/un8qhuImJbaO9aAVpF3&#10;rgCojbZ52CrcEJPMoqTyYaAKBtiBnaKilh3/ACsPyrSlSMRkLjrVNkJBfb3oM5mfJE0bdOKFjUrk&#10;rVqWENwVNV5IsOVy1BmN8tP7tRyqobAUdKk8of3mqOVNo+XJoKiQyIo3KBUY44qaRWyx21Ftb+6a&#10;ChKD0owfSjB9KAKeqzR6bYtdSKPRffNcn4rTVdAv47XWtKubSR4VljjuoWjJjPRgGAyD2PQ16J4X&#10;TT7zxvpP9r26zwQ6hG/lvyrNkYBHcbsHHtXtXxe8HTfGTULT4eTapearqlrahts8e9bdioYlTn5Q&#10;c5wFAAWvLxmZRwmIUGtO59VkOV/XsJKrGWqex4z+yze6H/wl1sb7WbW1kE4aGS4uBGzHPRST6dPe&#10;v0G0DxPpU8cc+oaqsszqN8glDL6DH+etfJv7Ov7Dfg/xumqQePrZllt5HijbcOGBIP8AkYxVX4m/&#10;ssXHwbvlu/B3ibUI7ZZMRrp99IOPQjP8q8HMngcdUs6iTPosDh8ZgPfUL3Przx38SfgV4a0pv+Ei&#10;+KtrHNIpElqyf6v9fevH5P2ovhAmt/2foUlrePC2FlkhKjHqCRXzn4w8A+LJpZJxqNh9ouI1ZZmP&#10;mEj/AGtwyT+PFZfhD4fePBc3USCa88uBnL+WFB6DC8+pHauOjlNGKvKZ21sdXlOygfVep/tR+AfB&#10;rjU9TsxtZg0a267mQg+mPWvI/wBsf4u/DX9oKz0P4geD7q5+3WqvZ3FrdWbRb4idyuCeuGyP+BUv&#10;7Qv7IPinSLDQvFHhxZ5bbUNJi8yONnn+ySgfOB/eOXU7RyNjnkdMTxn8PbjwZ4d8Jz+IdTa4tpZp&#10;JJvtVmIyrLF/ewD3Bwc16GX4fC0sQpU5HzucqtUpNzVvQ8dQDf8AKD970qem6hIkmpTG2KiNpmMf&#10;oFzxTty+tfWRPiXFR2CmP96ngE9BTXVt33aoQ2ijB9KXax6KaAEgOBmrMhJjqJImUcK1SSf6uhgR&#10;0UUVzgNlGYyDVWUYIHtVqRhsPNVZj8wxXQBRvvusaxb37v41taiCqHisW9+7+NB00/hMe/6iqR+9&#10;V2/5IxVRIpJH+VG/75oNqd/aF20OBk+1fuT+wEki+KdBUod0eg/MMdP3KV+G8MEoTbsPT0r90f2C&#10;l2+M9Mz/ANABRn32CvPzD4URmP8ABPtqzYsmTTj1pllxHzUhBJyBXjnx4lNfrTqa4JPAoFLYbTX6&#10;U7B9KSQEDkUEDKD0ooPSg0I6KMH0owfSg0CijB9KMH0oAin+/wDhTKknBDZI7VHWMviAa+SOBTXB&#10;29KkprjK4qY/EgIaKdsFFdAH51fF4/8AF4fDf0f+tRXv/JWo/wDr8X/0Gpvi+P8Ai8XhodyWGKhv&#10;2VPi1H5hxi8Td7fLX0B9YeirGxTdimvIqfeqe3KyWyuD71Vu1JPStoyjYdmNkkEnSpIUBQmq6Z3Y&#10;H41YjdUTmRfzp80TWKfLsQyDHAqMAht2KkmdVfCsKM/5xTGFc/8AE+N/+EA1XnjyVP8A48K6DNYP&#10;xWST/hXGrbB832f/ANmFY4h2oy9GXS/iR9Twv/gpWyz/ALK19JGel5bdP9416Z/wTfxJ+w9CFO7M&#10;k+76lmry/wD4KKRv/wAMpX29sZktev8Av16L/wAE0Z/+MMFt9w/18v65r42bvlEv8R7z/wB4fyPD&#10;PAZZfh9rkJH/AC63gI/7+VH8cbfzP2afh3IBj5pPw/cx1c8BQSP4O8QBl6W96R/31JSfF1Ek/ZZ+&#10;HcrHkXEin/vylephf40X6fkcFT4WeH+UUlUZqynIx6mluYAj7gPpTVIDKmefSvpYfCeLU+IWRB69&#10;qqyq+7IH51deGUruK1C8LYwy0iLRfQihK7Ms3zVNGy8c1GqBOBU0fpWZz+zFc5PFQS9Wqw/Wq8oP&#10;zcVoaLQjb7gpj/dp5yVwBTXVsY2n8qBXIz0qNvuGpCDjpUbqwT7poIIZKq3H+tq1N8rYNU7hlMvD&#10;CgmQ2mv1pd6jqwqKWZA2A69PWgIhIQFwarXM22L7p60ssoyx8z9ap30im3wkmWz03UFDvtQ9f1o+&#10;1D1/WqHz+9ALjnmgDSWQRzB1fB9R2r6h+Avxx8LT+D2vNSgtf+Emt4ZIvOlkSNmXy9oI7yBl5P8A&#10;dIxXyyJCVz/s5rpvgjpmo+J/G0dvaRmTyLaaTaqnoFNeZmWFo1qLnLdH0HDuYVsHjFCC0luj2FPj&#10;Hrfhnxa6Wt55cdxJvkWI8HceTXXah4803VkBnuFIkXEqtls/4V4d8QBcabfw60kbcfL9DWHb/FTX&#10;Z/EJ0u3VlXOOR1OO1fOVMDTxFJTgtT7OOZSw83Tk9N9ejPdrXxjoXhwS2ZtkmtTlhHtG4H61m+Hv&#10;ib4dtdYTxD4wA0/R1kLwzRxhnfBHGO9cn4sT/hFPAVl4t1QyTXGosyRW0fzP0Jzgc9q5DSvHen+O&#10;dDbw/wDZorVmjVgt/wDu9vUH7w4P+IrOjl9ZR95m8sw05oxv8j6l8W/tVfCn4hfDtvB2kz6lcx29&#10;x5tnqCWoia0bPB4JJycg+ua8P/a88Tx3+geGNCW5WSS3W4uJgzZb5tijI/Bhx6Vyvwdv5vhxrkth&#10;Ho41mDUpVh3RrmONyWbCvnBxjJ68CuQ+ImtT694x1C7uLjKi6kWNVxtVQx4FenluB9niFO97HzOe&#10;ZosRh+SSszHyCBlvfrQfvColfIyalP3hX0sY8p8Xy2LMHU1IUhPLkZ+tRQsg5LCnOquc71/76qgH&#10;7Lf+8v5012hj+6A2ab5S/wDPRf8Avqo7iMLtw/5GgCTzx/dpGkDLgCq+3/aNKq/MOTSewElFGD6U&#10;YPpWAEMn3DULdVqaT7hqFuq10AU9T+4axbk4ra1P7hrFuutB10THvX2u30/rTLOTL7SRRqhw1VrG&#10;VzPtAoOuOxsxvGJIxI2FLAMfQV+5P7BQZfHGmiE5X+xPl3d/lr8MVUyPGhHVgD7V+6H7BkgXx5pS&#10;7f8AmA5yP9wV5uZa07HJj1/s0j7UhLBflTd8pqZSSuSKitvustSgHHSvDp6Ox8gNcHOcU2pCpIxi&#10;msjDoprYT2G0yf7n408gjqKZNynHrQQRUUYPpRg+lABRRRQaBRRQelBXMQ3XRahqa5BIGB3qLY/9&#10;0/lQUJSP92lKsOq0j/drKXxgMooorUD83/i/NOfjR4Xbb/y09KzPHF7NY/Ex5O5mXH5Vv/HCNbf4&#10;qeF51j/5a1yfxKvGHxFwyY/fJ96voD6w6keJ9QGq21mz3CwyMctHnAP51ty3b2p2PFeSEn7yRMQa&#10;zPCU8a67CqQrNI0TNDE7DDECuh1jxJ47l00mLwzawzYwsEc6sje5bBxXg4zHVMPUaVj0aNH3VIpX&#10;d3p8dlJqF3bXKtDGzBPJZS2B/nrWVoPiZfETWWqQwyW8cpI8mU4zj2q82v8AieXSZota0iGGRoWD&#10;CO93qPl9wK4b4da9dX0lrHOQEhupEXtWmW4yeKqPm6CrJxPVo4iyq4/4FUpOaq2TtJyH/i5Gat7X&#10;/un8q9yJFP4RAcHmsP4ok/8ACAattX/l2/8AZq3GR8j5D+Vc/wDEssvgbVg4P/HqxrPEfwZejK/5&#10;eR9TxH/gokvnfspagWHC+TXaf8Ezef2N48HJM7/1rj/+CgqmT9kfVWjH3Y7dsn/errv+CX0gm/Y6&#10;iZf+fqTj8a+Rj/yLpf4/0R7vJev8jyHwVMI/CeuLn5jb3w2/8CeqPxEnkuv2W/AoYHC6g3Pp+6Sr&#10;3gpY20HXA558m94z7yVD8QbRYP2VfApUfK2oFi31jFenhfij6/oebW0TPI76LheD9/8ArVcRZvly&#10;Dw39K0LyPKrjP3qq+U32zcBxz/Kvo4fCeLW+Inm+5iq7/eqxN92q7/eqjKH6ELRhm/GpI4zndjrS&#10;qgLZqZEUDJrMgheJs9R+dQTBju5Wrj7S33BUUkaliNtBPNErQKQckiiY/NipfL2c7MVDN9+gxkVx&#10;0anLho8EU0dGpyEBcE+tVEKZSvf6Vmv98/WtK+45PpWax+Y/WqNCKTqaqzkB+T2q1KwGcmtDwN4A&#10;8YfFPxfY+B/AGgTapql/Msdra2wBYknGTkjCjjLHgUAc9c4aPAbv2qqwIOSO9fa3hj/gjp4ybT4r&#10;n4ifGrTbC8dszafpdmJjEP7pd5Eyw74Uiu5T/gjh8LNN01ZNX+KniC+keHzVks0toVHGcNuR8HHf&#10;PPoKCuWR+eBRsZA/M9aRQWfywPmzjaOa/Rrwr/wTG/Zm8O3kZ1+PWtSKqxktNW1gKkhyMZ+zohDc&#10;+o7d+T33gL9iT9lXwhrE183wdsrkTYR4dXaS5ji4zjbIWUbh/Fk9BkjpQVGK5bs/NH4Q/Cnxx8bf&#10;H9r8N/h5osl9qN0+JFT7tvGM7pJD/AqgEkn0x1r7M8ZfsraN+yz8QLdNM1ITWJ8MW9np+2EqbiUc&#10;3k/IHJkK8EAgNX2R8IvAXgHwnJev4M8A6Po8zTG3b+y9JjtVkj5dR8qrkZ3DPqwJzzmh+0l8H2+L&#10;Hw/kgtYYV1Sz3S6XKqNsaYDHJ6gSMeTnkuC2dtcePpzrYZwhueplcqeHxkZz2Pzy8XeBbHV3ms5o&#10;f3LMxVR/DzXjfijwnF4a8Q2whgYhZCdzjt6GvoO5Go2c1za63ZyWl1DK0U0My7WVlOCMduRXBeNb&#10;K31NmO1G29S3avncF7Wk3GT+R9djlRrWlH7+5x8VjrWqINUuo5rq4A3QwqhKpjso9ayyvjnV9Sj0&#10;y1+HVvcNJzDHcIFwR7kDB/GvRfBfjGfTlXRY7fzGjAO6FSSvPpW1q3jrwp4c1K8uvE1zJcfYJ45b&#10;yxs7JXaITDJPzEcZ289iVyea9CFP2krI8+vjK2HhaDtYg8S+FG+Hv7L114u8XW8dneyXKx6DHaso&#10;VpXBVlxgkbcE9RjPcV8wySNM2XYnc2c+ua9K/aD/AGgtU+Nl3Z6ZY6a2n6HpO8abYs2Tuc/PK+Dj&#10;c2F6dAPqT5qeWyqkV62Dw7oxlc+XxVaVerzS6ihGK7FqWkIREUI4ZmbGK6Xwd8G/jB8Q7BtV8A/C&#10;jxLrlqpIa50fQri5j46/NGhFayqQi9WkYWlJ2jqc2QD1p6DC4FafifwD468ESLD4z8FatpDsMquq&#10;abLbk/8Afais1QR8pHPTFOMoy2dyJpx3CmyU5gV+8MfWmydqozG06P74ptOj++KAJqKKKzAqyfcN&#10;Qt1WppPuGoSCSpArQCnqf3DWLdda2tU+4axbrrQddExdSG6TaaraYv8Ap2Md6t3wUy/MfWodK2x3&#10;yySuAu75qDrjsaMa/wClqAP+Wg/nX7mfsGxv/wAJ3paKvTQeR6fIK/DiOWB7tSrrt8zg/jX7ofsF&#10;qg+JFiN3/MAH/oC15uZfw15nLjv4J9m2/wAq81ZHSqwVti/L/FVkdK8m58eFB54ooyB1NBUSGU8M&#10;Kjb7gqSQE7sCo2DbRxQN7DaD0owfShgcdKCCOiiigmIUUUUFDX602nP1ptBoMn+5+NQv92pp/ufj&#10;ULfdrKXxgMoowfSitQPzp+NdwZ/iV4aYf89v61xfxjby/iJIw/hkhP8AKuw+MYC/EnwyuespH/j1&#10;cv8AFy33+N76U/8ALPyc8dOlfQH2RueELyJvE1gTMysqyA/lXfSSrIjXNvDNN2WO2YZx6ncQK8Z8&#10;ba6PAkun+JVRjHHNtf5+qsOtdfot5pfjWMXunfFa6sYdm4rpogZgcDhg5zXx2fUa0a3OloergWpU&#10;2mdHq6xpbzeaskbSRsNkm0sOPYkV5l8OCBPL5R3hb5gOOlbfxF8beBPg74ZutS8QfERtUv5oSLG2&#10;kaLe79i2w8CuY/Z91SXxX4Jj8XXSeXLcXxdYz2Qk/nWnDsKkakpSW5GK+Kx6/pD4uCd7dOhFbfm4&#10;4C1g6ZGZZvNGfTFarssZwXxX18TmUrlhp8EfLXPfE/nwRq2O9i+PfithZUZvv1kfER4z4I1IF/8A&#10;lxlB/KprfwZeg1/Ej6o8V/b8R/8Ahj/VvkPNtbdveum/4JbXsMf7HUEGBvN1Nz+X+NY37f8AGT+x&#10;9qjA/wDLnbn8tp/qau/8EuhE/wCyHBN5nzJfXKsv/fuvj5L/AIT5eUv+AfRaLEN+R5T4UtZzZa6s&#10;bHG2/wAf99yVJ49Z3/ZL8Es3/P8AIP8AyG3+FJ4Mupmg1vZH8rf2gvP+/LTPGRlk/ZK8GZHTUUAH&#10;r+6kNehhP4kfX9Dx6l9Ty+b7q/7tQr/x8f8AbOpZmUKo3dqiVl8/JP8AAK+mp/CeLU+IdN9yqz/f&#10;P1qeV1+6WqBjliR61RMQT71S/wAFRKcHmpA67cbqzMXsK/Wm0pO7laTB9KDnGT/c/Gqk336tz5CZ&#10;xVSV1MmAaAIU6/8AAqbJ9805flPzD+KmyffNVEdMq6n/AKsf7tZdaepsuzGf4ay9y+tUWQXuX/dq&#10;rZx2FfpT/wAEuv2ek0n4DWfxI0JoNN1rxGsrnXI4986RpM8aJtkUjy8DdhSCccjkY/PD4f8Ahg+O&#10;viNonghWdf7W1S3tWkVeVV5FUkfQEn8K/aTwN4O0j4UeEdL8LfD26t4dN0u1EEVuXCjaoxu+p+8f&#10;cmg2pnNfEDw78adOtpJLzUZNWs4xn7d4cX7LfLx1aBm8uYZI6Nv7YNZ/gr4naxYTL4I8XI1wL8N9&#10;k1hl8vz153wSq3KzDaDtOBhcgnmvUTq5ngFxbXCssa+Z93dn+734wxz+ArgNbh8HeMpm0a+ga2up&#10;v9W2zBPOEKkD5SBuIbOeSDkZFBvqzI8b2q6TIbqXcY2by5PlBbnGe3XIq5pOoJdvH/aCLJGJY1hZ&#10;T2K8buPmIwOMY4z1qrf37a3pE1hLL511aTSCX93wQrLtb8Q36VBocbxWrQMh/d/PDt/hIif9cgUC&#10;Oz8MF7DWfJgmby7mJxhlBaN1Ksg+hI2+2a6KXWGlnaAwnypADwOQdpwB7hQyDGOUX+8BXA2dzNZS&#10;216Z5FLKv3WzvYyJ/wCyv+Rrr21S0sraSTUtQjt5toNpLIxEjOMEBP75DBSMZ461Mioq581ftmfs&#10;76t4ujm+KPhC2/06GHbqFpGRm72jO5QP4gmMf3hnqa+LPEt9fLbvZ2kLLJG2JW281+ok9n8TvEd1&#10;MvgfwNDa2rvtutU8RXfkxrgh9yworTSYBYYbywV6P6Ynh79hn4C6X4mk8X+PdMXVtTuk3X0FtCba&#10;0lkAGSIxI2SPvZzyFGR81cVXBwqy5loz08HmFSgvZvVH5p+EYruxt7jxLdW8hWONh+7jOJGxwuR3&#10;9qo/BL4c/FPxR49uPGPiHwHqk1nq00g1AXtqVS4tn+Ro23YBBj4wCDzkcgV+sXxZvfgnoHw+fwhL&#10;4Q0LSIo4zNBZw28UTGSMHnOOMNhgeuJGyTwK+d9P8VWWr2ovU061hHGyOSYEKPoMc14+MxOIymd4&#10;LmuejToxzK7k7HzTJ/wTL1nWb1/7I+If2G3kmJi/tKFZ5PLz8rM0ZUs2Ovygk16d4I/4JH/CK1gg&#10;h+IfxM164uJPn8+z8q1hZfZTFK2Pqyn2rutX8d6xZFbjT9Q0VfL+Yb2CsD+X9ahT44QeL7eTw5qv&#10;im4gmljbcY5ApTjG5D3xXiVs6zKu97eh6VPJcvh725c0r9hv9mT4UhdS8DfAr/hMtQhbdG2pa6Lh&#10;T/2zmlWP8kpvxS/as+L3wT06HVvEvwjSw0e1Kh2hkaSGBeykwjCY/AfWsLwb8JvEd/cTK/x01Zr6&#10;4kP2IwkeRtP3A27B54yfyqfw3rXxW8LWsun3Oo2evRXMJN9a3VrzOu350MblgcEOMNjOM45rNYXG&#10;YqzqNyXZMccRl+H5oRilP0JdF/4KI/Br4qaM2leNoLy3NwNrwpdGWA5H3XhfKsMeq8968S/au/Zl&#10;+Hes+DoPi/8Asx+DbE2tvHNJ4mh0zUwvkxjZiUWzsSvViRENuP4EC7mj8e/Aj4H/AB5u5NW+CS2/&#10;hrXJhmDTmk22FxMOSo3Fmt2Jz0+XPYda8K8Xaz8Y/hhcal8LfE97qmkzqrQajYTKY32Mvfr8pUgg&#10;gkEEEEg17WX4OVOop4eTVt4yueTmWIj9X5cRRS5tpI4i6bcWUH5h2FQgtjBqac5mMh6sxbj3OajZ&#10;Sfug/lX1MZcy2PkHFc2g2nR/fFJtf+6fypUBDjIqwJqKTcvrRuX1rMCtJ9w0xPu0+T7hqNWAGCa0&#10;Ap6t0asK6GTW7qvKnFYV3x944oOqiY1/G7SfLTvD+i6p4g1WPSNFs2uLqY4hhTG5z6DPepJwQWz7&#10;07wmmmPrYi1o4t2gmB3KD8/lNs68fe20HZHYmms7zStT/svU7WS3uIZtk0MwIZWz0I7Gv3S/YOAH&#10;xOsv+wGc+3SvwniMz3UbFnb5wCzHng1+7H7CH/JTbP8A7Ax/9BFebmX8Gxy47+Cfai/d4qQdKij/&#10;ANWtSLwtfPny80LTX606muCTwK0p/EZjaa/SnYPpSSAgcitgGUj/AHD9KWkf7p+lAEFFGD6UYPpQ&#10;YxCiiigoa/Wm0shAbk03cvrQXcSYErwO9RFWHJU1OGB6Ghl3DaalxvK4yvRUvkL6miqA/Nf4xvj4&#10;meFiG+9Pz/31WN8VF/4qXXJD/DDEf5VtfGCJn+IvhaUA8XH/ALNWP8THSbXvEGH/AOXBH/AEZr26&#10;3wn2RynxS0nxF4h8NLHplxGI/lb94Dxx/vV41efD7xp57hfECwljt3Rs68fg1fWXwM0Ww8ZX9rp1&#10;1aQ3G5MeXNnDcV7jB+zL8PLuVrXU/B+hhlVfN81GJQn12/4UvYe0afXzOinJ046H5yaB8EtdutWW&#10;51DWoJpOzSxvJj/x6vo3wX4Z1zSfBtjHb67p80UMqpKsVoQVJPTIc19Dr+zv8NbBgh8G6RCWk2Rq&#10;sT/MP7xPYfXmuV/ac+GcXwZ+HOj67pWh6fa2urahuWSy/jI65/zzRGlKnL/ImpJzjqYGlR+Sm6Qb&#10;WIzz3OauzRNO5bPvWLoeqT3NsrSqVyorbtZkLYZq3uZp2IlhKHIb9Ky/HaRnwXqyyPhWsZQc/wC6&#10;f610D+Vt3LzWD8QUhfwTqy7cN9hkP14pVv4UvQ0jLmkr90eaft1aRpE37M+oW814yab9ihLzLzgY&#10;7fkKof8ABMo3/wDwyfcR6cm61h1e4VZG4LLkYP6Vb/byh/4wr1RNsm1dLt+A3TgU7/glRGH/AGOc&#10;LK3z6rMxz9On8q+OXN/Z9R/3z6DX618jyDwTc/6PrEbL1OodP+uklaHjF9v7HHgdyMt/a8ef/AeS&#10;qPhdSi60mf8AlpqHPp88tWvG2U/Ys8CyM/3daQMfX9xKK9PDxfNGXp+R59bqeQXMuHiGP4RVcygz&#10;sd38K0k7q7Rnd0Wodyq7c9hX0sYvlPDqfEWt4PVWo3qOqtVYSg9HpdzetMzLGc80U1XXaOaUuo5J&#10;rMzJoPufjT6jgOU49akLAHBNS07kPcjuf9UtZp/4+K0J3Vo1ANZrMouME0RELN/D9aY/WnSkHGPW&#10;mtyeKoCjqfQ/7tZeOM1p6mRyM/w1nAHAGO9ID6c/4JO/B/T/AIi/tLf8JvrcayWfhGxN0sbc77h8&#10;xxjnsC5bPqor9KpfC9hNJNps9uDEXYooZsKMHpivg/8A4Is28p8Z+OrhUbyxp9qsmRxuMhx+PFfo&#10;dFsisGuCi7lk2k7T6/4Z/KtTrpr3Ti7TRH8MNGINT/dqzjysEnbhj6+1YXj3wlf3ujt4j0p2jmtI&#10;2VXxhvuqBz+Jr0tnt1ke7O1WJwI2j6qAfyySF+prB+ITM/hu5s3YqqLmRkU5PAJ/M7f++aDfl0sf&#10;Meu+PdX8N/ErS/E9yPLtNRZoNQ3nH7zO2Nf+BJvPP9wY616dpniKOCUJCN25Q6cdfkDD8zj8qj1f&#10;4O+GfiLp7x61bzWy3EeFkSPYztxtkwTj5dvHOea0NK0W18C21pYpfi6aOFYYrm7ZEkKrgZIOOTjs&#10;CPf0DOUeUuaH5GqT2dlMLiO2lcNdRuu1lxEFGPT7g/E07VLLwXonjH/hJoNLvrq+kyqyG8lm8n18&#10;uPcVQnvhQfU1V8U/EPQvCdq11rOrxsyqxENqgeXHchMY9OSQB6ivJPFH7Yep6U5Hh/wPcSQ7ivma&#10;vqgjJGOGMMYK4J9WHX6UEnt9n8XIvh3p8134turr7JMSFjKhZg+flVlUcAg4yexryv4iftheJ9Vk&#10;W08K239lwQljbytiSYjeQODwvO5D3xivJNY+L/iDxlp91deMGstPso1ylnpNuQxkzlc5JI/vZ4GO&#10;1co+u3fiMqdOiZzIWEgH3nbaMnPoQPzFS0dEYxirmx4u+JM/irW5L24lmfzB/rLg7ic5wGz3wGTA&#10;9ia838R2HjYvNrPhe3mm06S42oVYgru27cgdM7q9hk/Zu8eR+D4/FsGmh12rO6W/zFl3IfM56kKX&#10;JXrkAd66vwB4S0R/BupaVp8u6aeOORgrDPytJHuPpggfiK48RhY4iPvHVh8RUpy0Z8havF4nuSv9&#10;stdQwvuGGZgrY4IyfevVf2Z9T+HraDq3gbWUt4xew/JNdOFMb9VbPbBGQa9u0bSreO8n03WLNJls&#10;dRW5kguIQ6mKcHcwB5xv3c9MvXl/xS/ZbPih7zxH8NpIbOeOdkk098qJSAx2g/wkqOh4IPVc14+I&#10;y109ae562HzCk3yV727o1tHg174Px6X4n16L7ZY3EKtJvY7oZgfmzg42k8gjj5hWxqvi7StZkh+I&#10;vhq3mjkXVkEjeXtVdwTdjI2kbt3HU15v8FNa8cAzeBvFunXTRws8cf2tWZIJhnaFY5GCVBxnHANe&#10;j6jp2nWuuadZ+Fklhs9TvVM1q0jGIyAK5Ypn5flIb5eBgnGKvB06rnzwjyvr2M8Y8Ld021J2upL9&#10;T5Q/aP0LxP8AAL9o3X7fw/qrQ2eoXbalp6L9wxzksRjp8rl1H+7XmPjPxp4h8aa7Lr3ibVZry8mV&#10;Uknk6sijAH0AAA9AK+pv+CnXgiO+ttL+JGmRs72eoNYXki9FWQM0WfbMcmPVnI7Cvk/WvCHjLw5F&#10;Dc+JPCmpaetwm63a+sni81fVdwGa9b4ZXfU+am8RUpqLbcUUpdi7fLH4Vo+FPCfirxtqo0Pwd4a1&#10;DVr11Zls9Ns3mkwoJJ2oCcAA/lXqP7In7Dfxr/a/8SLD4H0hrPRbaYLqniPUo2S0tx3UHGZJOPuL&#10;yM844r6++PPwJ+Ev7CvgXwz4f+A+oM/iae8ZfE2rNMPtV5yHVXxxGgccIAMDGd2NxzxGL+r029L9&#10;L9TbAYGpja3s1p5n5xzxS28zW9xGySRsVdGXBBHBH50xgOtezft2fGXwP8df2gbzxx4I8CQ6K32G&#10;G11yS3cbdQ1CIust1gDgsNgPqVJPJrxtwdvSu+MuaKfdI4JJRk1cjoowfSjB9Kokhk+4ahbqtTyA&#10;7DxUDfeWgCrqPSsLUuRW5qLADBNYepc4FB1UTOuOCfpVOIZuMGrdyQudx7VShkTz927ig7I7GpBn&#10;zE5/iFful+wj/wAlLsv+wK3/AKDX4V25DSRhT1YYr91P2DmEnxKsWU/e0Ukf98ivNzL+GcuO/gn2&#10;nH/q1qReFqJGAQAmpU+6K+fPl5i0UUEgdTWlP4jMKZP9z8aduX1pkpBXA9a2AjoPSjB9KGBx0oAj&#10;ooooMyM9aKD1ooAin+/+FMp8/wB/8KZQRLcVPvU+owwU5Jp3mx/3qDSn8I6im+bH/eooLPzZ+MM+&#10;PiX4WiH8U6/zrE8Zw+b458RWmP8AmAOcfQitf40rs+KHhUj/AJ+V/nWb4s2/8Ld1W3z80/hu4Kr6&#10;8V70j7I679i3XbLT/H2kyagjLG2d7f8AAeK+oviHoeuaJq6+J7gf6HeKf34tQgIPTJ74r4H8LfEb&#10;UPht4dt/FVjFIZrOP5fLIyTj3NZvjv8A4KU/HPVIfsOt+DdRuLVY8RMy7xGvtmQVSL5vI+2fG/xU&#10;8LeKdZtfDVtqVn9quNqtDZr5vlKo5ZueOnf8K8i/al8Yad4m+HdjaaPqrXVtZasIVHlsixtyCAG9&#10;eK+ZtJ/bM+JdgP7V0nwNH5jqzw7oAZGPp/rfermlftIeL/jFaweG9d8DSaVtu1mlaSPYGfP++aB3&#10;cuh7r4fZWs1K941xW1Ep8zmsPQo3traJGPO0CtyEkyc0EtLoXI8Kg5rE+IjbPB+qE/8AQPlP/jpr&#10;bX7imsX4hqJPCGrL66bMP/HDU1Pgfowj8cfVHlP7b2pfbP2L9YUH/mFwfyFP/wCCU8oH7ISqW4XU&#10;p8j/AICtUv2xx5f7F2rMw/5hMJ/lU3/BKCZH/ZCaXHy/2pNn2yBXysf+RfU/xH00f4nyPKfCkryz&#10;65GP+emoY/7+SVofEKQD9ibwWhPTW4z0/wCmUlZHg92/tLXJCdo87UMf99y1d+ITsf2MPCKg8R6x&#10;GW9v3T/416eH/gw9UeZW6ni88wDKwbt/SgyLlv8Adqvdy+W67j0pjXCOzMrfeHFfUS/iS+R4U1aR&#10;ZEgHSpUkBOC1Uod+7FWELYyOtYElqP7gpxGRio4nXYqk84p+9fWgwJ4GITr3okl5zuqJZlRSN1Mk&#10;uVPQ4oEPySMVQl/4+qtCdVOS/wClVHOZ91S9wHnpTY6Cy460x5RGv3sVIFHUvvn6VQaVUIBPJq5f&#10;XEbsxPTFZMjz3Eyoo2/NjOPegD9Fv+CNng27034SeKvHE1thNW15LeKbp8sUQJ6+7V9JeLvjr4Zs&#10;9Y/4V74SN3rGvNJ81rpkIljh+Q8yPwiEHszA+1eB/s1+HfF/w/8A2a/AfwkhsLu2GsN/aWuTW+VZ&#10;YZnL/K2RtYpsGRjjv1r23T/BOjeH7iTS/B3hWG2t5pPMuGhw0jjqEwN4HvgA9+prTodkV7l2M1HU&#10;/F9rq+nWk8Jmt5LeRtRmm1D93CQylIlVQFck8kkfw+9bMcFprMTQ6hqMLpuyweT99n0AOc/lXCfE&#10;LxNFoniW30OdIltbJWvJrdmd2baPlJGPmyenA/GvOfE3x1vtR1BrXTtPjuQWIWG4Tzip7DysE/hi&#10;gqMuh7l4k8X+HtMm+y2uppI0cflmG3YSMmB1ITp+Veca74w1hNSFvpVlu1CRCRPLI3k2sY6ySgY9&#10;eF6t+FcIieNvGu8+LNe/snTVXO1YzGzqOy8E46jjpWX4q+ImkeFNGXwn4Ito4bdmBuGZN8kzc8vu&#10;yx/H29KCpIZ8UfiHbyTyaLpUzlV+afVLpmMt2468AHaoPRecDFeaXa3XiGfzjdSBsbm8xv8A0Prj&#10;8icfnVyazfU7x5dSkaWQ4faJOgzjBPYe3X6U1lllmXSLSy3yc+SqR/IpzjhR8zH3Jz07UGmHWruU&#10;tWuLWz0Q6DpwR1dg0js2SX9cZ4A9+T39K9R+HngDTdF+F39sXMH/ABMLyzleSYgDK+SzDHpwRVv4&#10;Yfs7JqEsWvePbOPzIWcR2P3jNjbzIfq3AHPHJruvG9gLvwEsWnxGOS1h8sLGqjH7qMbewwVJFBtL&#10;lehsfBvxnqEPg6PQLy6eVrK9uLfbISAVGWU9DwQw/KqGo+DF0LV7jxr4XtWmtYfMt9St1+8+24b5&#10;goHIIOf/ANdcg+s+Lre2l1jR7WGPT41S6kZmBdVMTKz7Rzyy/pXe/B/xBLfx6pJdXBkUapOi74/L&#10;OdwU/l9aDOMeVlO/0fTZvFVnq9sJGt73TZbfy2j4zgPtY/3dxI47E+gqrpqQ219dyJcSTLdRxszT&#10;r0fAB9j8vTBPAxXVeJdJddLW08LRr5ysi2knlny2Zdw3NjnnKe5/OvjXT/Dv/BQrwJrupeL73Zrd&#10;jeSNcWdraXkV3FDvb5YxHIVkAwwUKo3Dt61n9W9tLRmkj0K0uJG1rVESVTt8TNs2/KRgIowe2Bk/&#10;hV3wlqI1j4mLFZyrJZ6bmRtjAlsAKen+0P8AIrzj4afEjxTq2g+ILn4h+CdQ8O6xb6xHM1vd2ckS&#10;yCa3lO9A4Vtu5FHf74r0P9nCM3GraxqUx/1ylIZppFVInIVl3ElcDJOSDnB9hWcqfsW72FyyeiNP&#10;4jWmo+IILqz0nStN1S8tbmO5t7W+Ur58qtvTHI2uDyp6Ecipvhho/hL4+6xb+H/2h/hZJDokbs2p&#10;fbbgrCCoPKPkPHg8k7unrXq2q3PwQ/Ze03/hYPi3Wn1DVL5fNhh2LK33P9XAg6LnHLZ9j2r5U8Yf&#10;Er4q/tD+I7iKy0aTw54V+0MzQtN5ZmTOWyPvHIyORXzuMdOpiPaqd+XZH0WApc2F9jy77s+wfFf7&#10;Ufg7wp4GbwV+zjo+n6L4W0a38ltWhjWGLYOCLZFHz+8jZz1FfKninUYvi7LqHjC38bW9tdWqzto+&#10;m30LStfTBCwZmDfKC4AyQaZd/Gv4aX/hC48A3VrqVrYx7YdtrKckjhWxjgcCvKvHXjLwl4bebX9M&#10;ufsdvbWsq6fbtMzSyybDtwSSclsHHbFeZUrVsZio83fod8qOFyzBz5Larc+enZpZDM5Ys2SS3U89&#10;/eo2Y+tIkwRFTzNzBcE460m9T0Nfbwfuo/MJKXNsOopNy+tG5fWteZDIpPuGqsn31q1J9w1Vk++t&#10;M0KOp9fyrF1EZZa2tT6/lWLqQOQaDqo7GXfcfkaoRfeWr98RjrVGEZkCqKDsjJWNWxOLiE/7a/zr&#10;91P2B0K/EPTXx10P/wBkWvwqh3IyNjpg1+5v7Bz3J8e6SR0bQ/b+6v8A9evNzP8Ag2OPH/wT7ZDB&#10;hkGp0+4PpVaH7nFWFZdo57V85Hc+VHU1+tLuX1pjsuetb0/iAKKTcvrRuX1rXmQC0j/cP0o3L60j&#10;Mu089qOZAQ0UUUzMjPWig9aKAIp/v/hTKfP9/wDCmUES3Gv0ptOfJHApu1jxiguGwUU7y3/u0UGh&#10;+bfxvYJ8T/CLseGu1A/OsXxbMq/tFadZh/8Aj80i6j/8czitX47QkfEjwdlul4P0auW8cT/Z/wBr&#10;HwjA0nyzJcIfxhNe9I+zOTuGsbzwLNpl6LhZFfIMC5J5x1rCutX0O40/+y5NCu5mSMLvktCxI/Gv&#10;TfgxoOn+KL99G1JJGjF5MjbJNvRjgV6h4r+BvwZ8J6S2q6roN43Qs0mpSBf0IotZXN482iSPlvTr&#10;OK2VZbHw3ffdOdunsMflWx4Usr5dZt7+48N6h5ZkUmRrV8devIr3weBPh9/YEmoaT4RjVRAzK0tx&#10;Ix4HBGWIrhPhBHfvpOua9quo+ZHHc7YLZowFiUH1HPpVImVz09LQQ20ch+VX24VuvSrFuoLZxUau&#10;L2wt76QEL5Y28/rU0I2jK80WZlYtQrkKCKw/iB8vhHVgf+fGb/0A1uW7k7QR0rD+IsMr+DtW2o24&#10;6fNj/vg1NRNUpPyKgvdS8zxz9smXf+xlq6D/AKA8GP8AvkUn/BJ+YR/sjTwH/oIyf1qv+15Pv/Y4&#10;1aEH5l0WEt7YAqT/AIJXuIv2TpOOf7SkB/Wvk/iwU/8AEj6Oj/HR5d4P3Pea0dvAl1D/ANDlrR8Z&#10;yxR/sX6EZSMrqMW38qzPCkoSXWnRv+W1+D7/ADy0vjqbzf2NtAi6bdTiLH/gOf5V6WH5uWF+6/I8&#10;yv8ADL+up4tcT+aoY/nUSyf3W6VFLMQ626dMf0qCOXBwrfX2r6hfxGeL8RrxzEN07VYWbPKqPzrO&#10;RxnrVi3dMbXP0rMgnEhL88fjU6PwFLVSCMW3BeM1PEXH3vwoMyWZstwaZjFI8ig4dqTzY/71ABIK&#10;bQ8iHoaF+b7tBjL4gPTmqeoThQf0q2WGMZrP1FWPQcZ5oDUqStGxOD2pNISzfWLeO8CrD5o80sf4&#10;c0wKB0FRgJ5pLNn+lLYqO5+v/wAHvjp8LfE3gdZ9PvLSG4itYbe1WNjueIH5MEY424+lXf7W1KUN&#10;coAv2j/W5gUttz1y8J/9Cr82/wBk79oKTwRry+DvEtyxs5ZF/s2WR+In/ucjgHP4V9q6b8SdOsvC&#10;f9sReTcXUw2w2qsrKTnkk5HH4ZOau/unoU+WUbMofFKWaG7vdYuAyTahMoW3j+XfCvRmAVTyc8k/&#10;nXP6RazWNqsslusdpsAC4UqmOpz0J98E/TpR4r8Qan4t1Rdb1eaO3jZAo2jGxfRVI6Dp0J96o6x4&#10;90XRrMWWkXR87aQ1zO212/H736rUlez10LnjDxubTT/I09pU/gZpictx1ww39OgUKoHHNeb3t3dX&#10;Nx52ee7Jw2Pr/wDrrL8WfF7wtobSfb71riZs/u4VXn3wD19zmuTt/ideeJUWXTdO+yq0mxt8u5jj&#10;6UF8vc9q8G/C3xH8UEeS3v4tNsohltrZZ+QuQvJJye+BXaeGvCmj+AtYX7CrrN5MqmaSPLH9wG4y&#10;eB+NVf2dtcfTI3t7gRljCu35TkN56njsflB6/wA69O8TeDbfVZVv7Uj5oWLhsfdMSr25/wD1UDSs&#10;Zen+JhZXkKTbmSW8lDS7SRkuO4yO3rWja/2cyeYf39reSKj5YFT/AKhcH0+Vv1rK0qzitDa6Xr9t&#10;8/mKyyBurNJJ6dOBUW++8GX9vb34W4sprhRGzDcF+eIZP4KD+FA7a3L6fDzw3cae4tJGW4i32O1t&#10;rCVcMwG0jBBE8eDjgdO9c14cuE0HXdUBTy7uHXpjIy2cSiVPNUk7gAeR26e1dL4I8ZRaR8QJ9D1d&#10;45NNutJhlh84lljZCMEdeSoVcelO8beANH1m+vta8GSOH3C6W3jXOUcgHnPPMR4P9eQZvXmp6fqE&#10;Nrf2MtvNZx3B+Rh+8VjIFxjjjKtj6fjXI6rq2oWehxre2zMfsMZ8uJv9bJhHHQnPyj8TTfCt5MUm&#10;0u6ZYWhuIRJDjnIec5Ppj9fek1SG4/snZGW8+yhj8vHXekSYH5incrmPFv2lfGiWfwmsbm3k8yO+&#10;1JIvljA2BQRjpjog9+PU80fFPiC38N/Bi10ezMi3moY1OGaKTb5BSbyw7/Kd6kFOBj2I5rH/AGxW&#10;XT/BWk6DYvut9U8SQSWZVcYWWGXA9eoBrpfEfwfubHxDr2p+KI5JdHPh21sPD7RttVEdo5TwBjI2&#10;MCccZFYYmMqlJo0oytWV+h44vxJjW2XTfF1rHc3aBks9Rk2sVOc9frWPo3jvxtrevW/hvRtQmvNS&#10;vJltrSzjYfv5GOFXIHAyevQd6r+Jf2f9Z1DUG/s/xdIsak7JJtPVnIz04lA/HaM9cV9E/sE/An4f&#10;+BvEMOtw6bNqWvXFxsm1K8kD+XFxlVXACgnIzgHLYzwDXgxy2N7tHq1c29lC8EfIfx08c+KvDvi7&#10;WvhbJbravpmqSW2oXFvIT5skLsnynAIGQevX6V51bSSTuzys5bjlpCx/nXvH/BR74N+LPh7+034h&#10;8XXPh+SLQfFGpPe6DqCSI8V0m1Vc5QkKwfOUPzDcueoz4RZxMS2Fr2qOFoUoLlifL4jGVcVV5m2T&#10;J96n01IZQ2TUhikVdxXitJRs9DmluNoooqSRsn3DVWT761ZeRChw1VpCNymugCnqfWsXUfuj61s6&#10;kQTxWNqPQD3oOmn8Jk3QycGqVn/r/wAau3StnpVKz/1340GtP4jVwxAVepAAr9xv2C5Q3jnR2Lf8&#10;wL+aAivw7RWG2THGRX7efsETE+NNDULzJoKBf+/S15mY/Cicwf7h+h9y2yfufnFS1DGZBGvuwP4V&#10;IJkPG79K8D7TPkebuOpr9aUOrHANI/WqQc0e42iijNVyxHzRCg9KKD0o5UHMiOiiitrhzRIz1ooZ&#10;l3daTcvrRcgjn+/+FMqSUbmytM2N6UEu9xKbKSIyRTm+QZao5ZEMbANQC+Irm7nzxRTNjelFBsfn&#10;J8dHL/Ejwhx0vOf++64f4pSSQ/tZeA3j6/bJEk5/vRMP5123x6Hk/EnwoEbpdH/0OvMf2mtVuPCH&#10;xbsfiJaWy3D6IUuI4Wk2hyP4c9u/Ne2fZnX/AANc2XxCv7CQ48vUrjAH1P8AU19G+L428TeB5rNt&#10;btbVfLzGtwgyzD6ivlH9n7xzP4z1+XxlLpos5NQuZJvsytuCknoD36V6R4o+JPhy31H7JrvhPWNQ&#10;aMfK1qMoPwyOav7J0wqSpWlHc6nSYNTtNBuLbXdThuW2siSRLjjHA4ryvwFex2mm+INIf732zbtV&#10;fpXT6F4wk1Qm10rwzeabDuzH/aDg+YD6AEkfjXGaDdwaVrviL7WZGjaVj8ijI5px+EzlOU5XfU9h&#10;0+RX0u3C7tqwrtHTtWgmia5rVqJtOgs2UcAzXe3+SmvPtA+KPhmXTo4zpWvKqxgG5l0mTyxx6ru4&#10;967DwZ4tXUNFWbQ590cknyyMp/PBx+tKUnEiRuWXgnxbHEJJr3TIx73DNj8lFcR8e7fxz4M+HGta&#10;zF4h0mSJbGVVt/7OkdiWQgfN5qgc+qn3Fdu2qam0PGo5I/uxj/CuM+MU15q3w28RW1xKsm7T2Cr/&#10;AMBNTUlJ0Zeg6fuyXqjwn9qDVo9Q/ZU1yJH+X+x0UbV6j/8AVWt/wS4Zh+yjskb/AJikx/CuZ/aG&#10;tHsv2Sda8xtxOjxkN+VdF/wS+lVP2UmJPzDUJDivlacf9iqf4kfQxk/aXfY8t8JghtWl7NNfH/yJ&#10;LTvG0+39jrRdx5/tCE/+Q2H+FR+E58DUkYf8tr7H08yWpfF0Am/Y50wuP9XcQN9OCK9iEfh9V+R5&#10;tV3jI8InlTzVkVu1Rxuy8iqUlxKsgVx8vQVatG3xgt9K+iX8Rni7bl+K4yuWNWUkBblqz13dFqzE&#10;zFck0EGhFOypx+tONzIe6/lVeFjs+c0/cvrWZmSmYudxUfnSb/8AZH51C5BPFJQBM8mB0xToJeT8&#10;1V23Y+WnRttXk80EPcf5vzde9VNQlOCAv61LI2H4PFVL1WkbCUCKpdQMk1TkkZrk7TtXOd3rVhlk&#10;HysOtU5d4kZSKmQ1cknIiusJd+ZhvllUYx7ivof9lX48a34k1Sw+GGp2BuryZmSxu2nK5VQThj7K&#10;DXzgZccbK9L/AGN72GD9pLwyZn2LLfeRk9BvjdfzyRUm9KUuY+qfHujeJPCd6bXWlW3Zx+7jtWBH&#10;rzwOcA9a8p8Ra7cSC88y3uJJNrYZ2wo4yMYr6O/aQ8Nyixs5olaSQbi0jf7n+Oa8O1vwtbXhiljT&#10;aN48zb3B4q7np04x0PHvEGkCSX+0ri1maSbIDPjKYI4/Wu28IeHUTTwwDLItx93bnv7YFXtc0W1u&#10;9R+xwQP5cbblz3B/yK6TwppLXKyRQ26krKWb8if6UzWUYnqHwiDLphm8vcysAGXAJAjZz1/2tv51&#10;9AeGpYbqFS0bSeTakN2ydhAr5z8D3L6dEbd0KiSVlXbj1SPPT617F4G8VxTvNIZmXcrDjHRmYj/y&#10;H/nNByyutUdBfaXYzSRtdvjbD5irt5XaJDn9f1oh0iwdFsNStVkjjufLZpFzgZUZrQ1WGG9tY5be&#10;As81nMG+hQkDj2IqjpOowi7je6uhtW6Z5NykblaRwO567G/L6UDWxxlp4K8MXF9daVHrsqFFjXT7&#10;xrct5LFSrBuvyg4Pvs75q9pF14l8J65eG+tTbwx2SRrthYZ/1z579d3TrxVrwnrejH4pahbXO1LW&#10;4ssrKpAImLL6H7uCe3atDUfFcWm+JtUnaya4srjT4ZmTlihBmBx9FQ/X60DGeK08Pail34strFYb&#10;2NN07wNgyIDNhSvcj+n1rLe402WS8uY7iPZNKoh75Xy1HT14br6fSrXimwtvEWmXF54UuLWSSWHd&#10;LbXEbeZCWEpJIU5OPNHTuMeteK6v8a7rwJqFxpms6ZcS2q3LSLcWyrxjJbjsASR0/h9+QqyucJ+1&#10;HdHUPFHwy0Z7byfs/i1I9o+b93DHJs9eCrKfp71638ZtYt9N8M2ei2OyRZ9Kjlg2sBsBYkBieeUx&#10;8vJ75rx7Vbnwz8avit4d8Q23iN47Pw5eNd+XGu6S4m2fcyflACrz3PTjOR6L8RNa0vUrS3v7q9Zb&#10;o/LdQtIzZQqAsoJJ+6oK7RkA7SO4MyT5dCoK1Rnmsl5aSXExJ2ysWLB8/Lg4OO+PpXafBz4w2Hwq&#10;ee41Sz1BrO+bbJfWNn5zRHKggAkdV5ODuxznoBxmnnRfDE7arfaMt8JJT9nWaQqOcEA9yMbc/Vva&#10;tO28a6bfXbWNxizU7oZodPyqyJtG3cM4ON+M/n3rEKkeaNj0T9prw34O+M/7PVv8NfC/2O8s75W1&#10;Dwrq2nxyKllfbJHjSUOXYicb4i25RuLfLkA1+bdvLJFyUYf7ykYr78+EPxX0rwhb61puoTK+hf2a&#10;95NBJbqywuqlxOp4KkupwOm6TPGTX5/xy+dNLO4Zd8jHbuOOST/X9K1pz3R5M6fJKxegmDfeHNSS&#10;NmIgGqcc4Rsk1J58LLndzRIze46im+bH/eo82P8AvVnZkkJ+630qGTotTfwn6VDJ0WtwKeo9Kx9R&#10;6rWxqPSsfUeq0HTT+EzLvv8AQ1n2f+u/GtC77/Q1Qs1InOR3oNafxmtI5S1Bz0xX7a/sESj/AISz&#10;wzcxtndoSEe/7lDX4lSqpsvm/u/0r9qv+CflzCviLwbvlXyzocf4j7Mv9K8zMvhQZgv9nb8j74HC&#10;qPaotxXketShg3INNSJm5K182pWPjag6L77U5+tNX5GJah3Qng1qjAKKTcvrSPLHH99qpbj1HUMc&#10;KTUf2qD/AJ6foaR7qEoQH7ehrQq4eZ/s/rRv/wBkfnUBcHqaTcvrRclsV3+c/KOvrSb/APZH51Ew&#10;YsSF700qw/hqeaRpzIleUg8KPzpPOb0H51DJkNyKaSB1rSL93U05ok00hZMEd6gf7tG5fWkZhjrV&#10;B7txtFFFBR+bvx9mjPxI8K/N/wAvX/s9eY/tawi51e6jRHYvGi7Qvbiu8+PF6n/C1vC0fXF0p3c/&#10;3qd4o8NWvi/4rQWGpWvnRNMgaMqeRXuH2XNKOyPP/D2q2PwY0PTdd1K0keAW4LQxr8wyKjvv25vh&#10;tukuoPCOtxv2McaEN+de/fE34IaLr/hpbZfDMMm1gPmTnbXm8P7Kvg+BAj+CdPz1/ew5/mKHLTU1&#10;WxwcX7cWjzMGsfhzq1w7fcmuZkjUfkKd4A8Qap8QbvUvEepaSbG3uGwU+0bgFPXJ4r2Dw5+zp4Bt&#10;YFebwJoLNG2MSWinP5ivevg/o/wh8C6QsafC/wAJu3VhNpMTjP0IOan2lo6DPnPwX4ng8EmPwz4k&#10;v/8AQ9q/2dfTSfLIpPIPoR744re+HHjW18U6Pda3qmtW1uReypH0+dFcgHr6V9jeENd+Besov9qe&#10;GfD9uyqd0R0WIxj024Qmo/iR8X/g/wCEbq10vwp8OvD91aquJM6HEgZu/RM/ia56mL5I6x+409lG&#10;S1Z8n3vxC8B6c2LrxpArD/nnGP8A4quL8ffHX4Of8IlrWkjx3DJd3FmyxRqvBO0/lX6KaJ+zH4a8&#10;deFYfFNxF4Y0lb6MSLDJaouwHpzXmfx3/Zn8FeGvBmsTx+M9BkMel3AMdnjL/uz2Ax71M8wpuDik&#10;9QjFOS9T84/2mWUfskaspYbv7Fj6fhWj/wAEzDt/ZWJB+9qEn86zf2pJBJ+y3rI37m/slB97Pb1q&#10;/wD8E1JRH+yzGGP/AC/TE/mP/r14lL/cZ/4j2pfF9x5d4XK/Z9SnB6S3v/oyWtPxi6Q/sZ6e3/PS&#10;S3/HrWT4VkB0vVAR1a+P/kSX/Gr3xCYx/sZ6LAT8zNbk/k1ezR/iR9V+SPLlsz52dg5/4Gat2ci+&#10;Vj0qgrBW2E8+YanhYKvX61732meTU+I0EkxzuqxHKQ20Gs+KTAyDUyyqTuLUGZqLK237o/Ojzm9B&#10;+dVbeVJML3p7PGjbGFAE/nN6D86POb0H51CTEOtJui9aDGXxE/nN6D86POb0H51CvlscLS7F9KCR&#10;7ybl57VCSSxJpzFUWmgg8igCrN99f92qM/8ArmrQuQqlT/s1nzOplZgazqGlMrP9yt/4Qa5P4d+K&#10;/hvVbUEyQ65asq+v75OPx4rn5GGzg967T9mTQH8S/tE+DNJkUNHJ4jtWaNlyDskD/wDstZm9P4j9&#10;NvjJYLqXgOS82/LkKrDknt6+pNfO72V09u2Lc4GFjG7k4JP8x619K6qTqvg26tJmVhHvyf8AgZA/&#10;zjtXg+t3NrEFi2sq/vduF9EJoO6lbocPBp8yySXk8TcMF3HnONg9/wC9W/4BsFu7y7QBd21QeQOS&#10;Qvp/tN+VE1vCbby49y+ZK23cvT94nfPtVjwBFJpGqXm87vmQjaw5yCf5irTNb9jetLWWCaz3Qsgd&#10;kdgD90F3Y9/YV13hXWodNtZJ7m4eNVUbvlzyYgi9P9p/05rN8QwqzRvD5gKw/MqtnkqqAfeH8X86&#10;o272oMP71pI5pvMw/R2eRmC+2PKHtTuZtHtmm+NotMs3ttTZZFkiYR3CsOCQykfgFrL1Z/st8t8i&#10;t9nWOORpN3B2NcOT09GHpXnKeJtRkkYRHcke1oVYcMxjZ24zjhifxrqtP8S2aW7JexNND5YBQ/fG&#10;QyHAGfl69fegk5fUdX8R2+uXepI8Cs03lwGJTkKMAHB5OSD/APqq5oHj220S61SbVDctCdPSCOGd&#10;mP7srNIC3+1tkx7446iud8VeLdAu/FDXF7p92EvJppbNJpFXYFL7Tg9F46fz7YD+ICjajBaXRuPt&#10;Wp+VHKjblEcEcCgHPOcAj6qfegNTq/iN8S9FsdLvte0by4LiTU1it1jbaFy0xLcHqcg59K+ffjR8&#10;SfEfjQXGs6heqrNC33VGQvoPrXU+LtYl1C0gsRCqhZN7bpCSQFCgnnHY1xkPgzWfHOrW/hnRLGSS&#10;aR1UeWDwPX6Dv+dBXu3uc78D9KvG+DfjTX7GL/iY+HZf7TtwykebbsCsqZzyBleMH25Neh6hry+N&#10;/D+m+L9EvVklvIPPurNGyYm2H5lHTZuKjA/unPeva/Gv7P8A4O+Av7OXiWKyiaW+1TRZYZ5JJNy+&#10;ZIAhQAe5ZSegwp5OK+HfhZ42Nppi6NJqTRhiRHLG3+qY4GB6KBk496r3SlKMd2erajqkQmsZEO9Y&#10;1YsGU9m3H/x0VpeGbv7R4iIvm2JcB0kbb90hVb+gH41y93qc2pRrdKqn90V3JzliDz+QH50l74ps&#10;dDtI7y6v4Y/LkZ2MjHChkUemOCDXOxVJJRuej6no+nt8EPGN9Fz53he5tlU8HcqZVTn+E/eyOVKD&#10;1r4ujiXHBwT94ZzXtPiH9q20T4b658M9HhkuodajEU1xcf8ALLnDNH15K5APGMnr28ZVoWPy/wAq&#10;KfxM4KsubUj2n/np+lCphs7qmylDFccVsc42iiigAH3P+A1DJ0Wps4TB9Khk6LQZlPUelY+o9VrY&#10;1HpWLqLD5eaDpp/CZt50qnbf8fDf571cuvmOFqnbA/aWGP8AOaDWn8RsRJviCBc7hjHrX7H/ALAF&#10;yrXXw/mc4Mml2qNx/ethX42xzAbFDc71Ffr3+wPfsmn/AA5vCceZY2WPf9yorzswXupsrHRjLD6n&#10;6SqABwKUOFjHNRxzAqDn+GmlztwDXzB8XUaHSynnBqPzCepxTZRI3AqF/wB39+tomRY8z/aqO4kD&#10;7cNmoty+tCBSflqhXFopdjelG1vSqvLsSJRRRmpt5AFB6c0w3ES8E0jXcHT5qpRsA2Zl80jNRSMv&#10;rSTS75CyVGST1qjRD9y+tG5T3pmD13UDrQBJRRRVcw7s/Mn43xwH4u+GUjm3FZkHT3rnfj5418ce&#10;BvE95r/gtolvLVozCssIdTx6Vu/GB4/+F3eHIVbd++Q9Pesz4qQrP40vDPHvXcpIbvX0Ej7uK7ma&#10;nx3/AGn9etYVh1+1UtCJGRNHj4496rw/Ev8AaP1VVnHjCNYWk2t5elwhlP8AwJDXqOh6FZxW0N2l&#10;igVrYdPpWVrUulwv5UrLCsLZU8gVLpqUR8zRg2Gu/tCXSmK2+IMnmbc7RZ23/wAbqO61v9qGK4js&#10;X8baj+8BKvHYwbR+IjxXQeDtZ8Gtq87w67H5ysBN5nCD0Ga9Glu7FNMJjZcN93msXT96w4ylc+cd&#10;A8b/ALQkrXA1b4sawzpcsm3ZGoUf8BQfyrTk1n4puF874va9nOT5dwyfyFek+FPDmn6hb3TyWaKf&#10;tTlvlHPNaY8I6URxAv8A3yP8K6I0YKOqNufueQXWsfFy8Aif42+K2jXpGusTqB/3yaxPFcfxCuNE&#10;vW1T4p+KrpFs5MrN4guWyMdPv9K98HgvTWOPIX8h/hWL458C2MPhXVZyFBGny/ltNFSnCNN8qQSq&#10;bW7o8G/aWuT/AMMyajaAk7tHT5mbJ6Vuf8E5t0f7LUL44N1MPrz1/Wuc/aTtZo/2Y9UuC/3dJTb+&#10;NdD/AME9swfspWi7s7rmdh7DINfK7YSf+I9f/l4eV+E5P+JNqMwP8N7/AOhyVqfEdt/7H+hsF/59&#10;v/QTWN4VkWLw1qBb/nndn8zIa1/iHIo/Y+0WM/eVrfI/4DXsUvij6r8kedV6s+dJOLnA/vf1qXJE&#10;eRULsGuNw/vVIZU8r9K+i/5eM8io7yuSQ3ORtY1YSXtis/ocipI7sj7w71JBrWZCOG/GrUse8+YG&#10;qjA4dVIrQiKeQd3XtQBXebsRTfOb0H51HLgN89N/d0EvctRzbedo6etP+0ewqohQnFO/d0Ek0kxY&#10;dB+dLFIGyBVdtm04qOOXYKCZDr2Vi5QelUGz82fU1Zny77l/nVS4kWI/N71nUKpkLdB/vV6l+xdD&#10;dS/tM+FXsoGkkhvJJkUdykTMK8p+0xscAd692/4JyzWMf7XnhM3C7t4ukx7mB8VKNo7n3wdTsRoV&#10;5aXcjLcXuTBDtPACt3HvmvG/EtrE+8wE5W3lb6naPY+lfRfinwPpGk363Fqz/wCqmwtw4I6MeBjr&#10;nFeJeNPDF1pjFoUXP2dgFGMAtHwP++j+tNnVR5kzi9SicTwRRSZZrt9ynPJEmQBx6Cr/AIcsJItT&#10;aOeMbpJ1DdODnGOvbmq8uHv/ALW8aSBJmICnGVdpMH+X51q6Lam0uftEcm5JN0jHjCkKTtJ9jtB+&#10;tQdUTa1S/wBxkkUDAjG1W/3jIP5Cs2JIbaa3tEddsMTFfmzykYwev94tUl1lhIVDeWzFEI9MrGOp&#10;HvVcTfarzz0nxlV28H+Jy/8A6CooJG3zajcI1rawbv8ASGSOQEH92XQbhyfRh26n0qeDVrnRopL+&#10;Ob5o1ZmZmXgfO6/LnnuelPgFpCbe61N/L8uJXbLbQMKzkZPu6iorv+x7O0nENwBEZtjbSXbMcaw4&#10;OCcfeB6evXtoBfsfD9t8TmMUSKLwTGNFkXKvIQ21RkY6g+3Ga878W+GPFHgjxDc6Zq6bA1xPPGwh&#10;KrJul++p5JBU5xnr6HNe6eGLDRrDSLvXLTUY2mjkMyeSnOV80hucex/Ou68ReFNF8aeD/wC1r2xj&#10;mRY1ltJ8D5dyCRh68qQxH+77VNtbgz5H0jwb4m8W38Vlp9k0kp2pOwUYQ9wT0GSfpx6V9G/A/wDZ&#10;7074YaX/AMJBqcPm67Gm55N5UKNvzAc9cHbyBwxJ4A3d94b8FeFPBzmWCyt7dZGX7Q8hHzD+9k9+&#10;crn+EsOMDPn3xp+K9va2n9l6be5VCfMaOUbmUxEFM5yw3NjPJwBUykjN+R5z+2D8Q01jwJeaFpUn&#10;l29vZm6n/eluRGzDr0/hJ9xk1+aFjrOraZO0tjdMr7jn0P4V9v8Axd8URx+DpR5EnnXUYt4FxyRk&#10;L07/AC18m/GT4V3Xws8TQedk2OsWa3enMefl3FXT3KupH0K+vMwlLqYVL9SrpHxq8YaXEItsMnyY&#10;+aH/AOvWXr3izXvFM6z6ndu69VQcKD9P61kZ3n5fwq/aw5t1BWmTU5uUhjTL/MKuREjOKasW3otO&#10;iR8MdtMwsP3tSiTjmmkMDgrTSw6Yq0HKSbxRvFR7xRvFMnlkSMwIwKjkbOABTgBjpUZ60FclirqP&#10;3aw9R+6PrW5qPSsPUfu/jQOO5ny/6yqtv/x+Val+9uxVWDi7zig2pxlzXsXCWVtyHo4P61+tH7B9&#10;xMfCnwzKrwllZDO72Ar8lpQwjZsdSMV+qn7Bd3NceCfhrg/M9raAD/gQrz8x/ghjveoaH6jWN1F9&#10;mAJqfzYTzmsmxkVYl3HqtOa6Yc18ufDTTUnc1PNh9ajneFjjd+lZv2w+lH2w+lVH4hIvYg/v/wDj&#10;tCmJTlWqj9sPpTlugTh62W4dS95y+g/OhphtOAPzqj9oi9f0oNxFjr+laD5Sx5zeg/OgzHrtqr5y&#10;Uecg6GgOUWR8scetMJJ60E5OaKCgooooARmCjJpFlQtgUSqzrhR3pqQShgxSgCbeKKTY3pRQB+Yn&#10;xYh3fHvw+AOFdf51Q+LH7jxdde+Ota/xRlik+PuiLjbtasX43YPjC4WNvusoJ/CvoKjfQ+6+R3ln&#10;PcDwvaTRSL+8twEJPtXlPjjxXYW9rfWvieRZLOJlLeUctn8Oa7yyvfK8G6fIZ+sDDb6HFfHvx10X&#10;4heJ/FdxYu9xbae12W8y1jIZh/vA5rNVJ7AeweGfGcEepzT6vJZ3ujySxjS7Wztz9ojPq/T26+le&#10;reGfiDbavqTaG2tRb7WP5rUYDqO2RXlfwk8PaFoHg2HRvMQar9l+bzGJkZscHmqvw60Lx1B8VW1L&#10;Xkto7aNGjSZVxLOx7N9MVcZSvdlRbPpDwVOn9lTNn/ltk/rWsksOOtc74EI/4Ru6dP4ZNvQ9d3+F&#10;W4tQjkO0MM10c0e4SN5JIty4b61hfE66ji8E6tlv+YfKP/HDUq36FsKeawvijdM/gfVzu62Mv/oB&#10;qKnwsSXvL1PCf2pDt/Zd1Rd3/MKj/XFaX7Ac239lSybP/PwfrWR+1FLGv7LeqCQ/MNKhq9+whKIv&#10;2UNPA4+S4P8AOvlZf7rL/Ee8916HmGjOi+FL45/5dLk5/F61viLLu/ZO0oHH34f5Cub0adn8I3r/&#10;AMP2W4H6mtf4lXIT9lHQxt/1ksQ/8d/+sa9an8UfVfkjz6nwM8CSQFzjtTzjYuB/FUKf64oo571K&#10;T+7U4719D/y8Z5EviHd9vrUi2u4ZAPWmwDzJVwOlaVrFuXniizJIbfzE+XBqw9wyLnFDKq9RUVyV&#10;I2j0pWYC+fv+bbS7/wDZH51WiVo025p1AFhH5+6Pzp+//ZH51VU4OTSmRQMmizAmkkOGG0dPWqvm&#10;oGNNe6iJ4zVd5NvzEmgmRa85Kr3BWU4qMzqDtJNNS4Uy4b7tTIIkLx+W2McV6l+xRquraN+1H4P1&#10;DRbGWeX+1UEyRruKw4ZZG+io7MT7V5lc7HGY69H/AGSfjVbfAj4mSeMNV8NS31vcWElo0kMRaSAP&#10;1ZfTgYPfHSpZrT+I/XDXbaHxFZwanaahGsiwzJtVsjlgMn8G/SvIfifplorXMFpIqcsoKjnKgc4x&#10;2+SvPfhz+258PSn2S38SPawSfN5d9C0Xl8fdy3HXFHxI/ab+HU8LT2OtWt47kmKKG6VS+Sep/L8q&#10;z1OyitbnLXUzQ6pHbgvtuGKFhgbBgYP4Hn8Kl8K+KG0/Vrrw94hYLMzMYwW+9tO5x06EY+tedeLP&#10;2lfD+iiS/vjYWJZsxlruKTHPua4a3/bA+FF3PPZP43Z3ZMrNcxtmJs9FcjlRyMA4I47U+WR0n1BB&#10;rtqkEMUt3uxCsmAx52x+Zz06lgPrVYO9zZeVb2JlZp2jjVYS2Nm2Ak8dMMx//VXhyftR+A9WU3un&#10;eIreZvLCosJyTkpngegX9Kt+CPHGq3aw6uLK5uo12lpY+QM87T77j/KrJkpdD2+K0iv9Qfyy0W3A&#10;m2kcjfhuO37tD+FWdKsvCGmeTcazZTSeSUkmZiX3kKZCD1/vr9a5DR/Fd/c2qz6AsaefJt86VuCG&#10;BUE4IPQN+Q9a1LyC81hmuNS10TeTtIRARuAIYEd+UVe9BNmdpoN54ZvILjS7CK3t0f5TJJhdoXZC&#10;Bnjr5jsfZSe1elfDPXNGvvhvplu0s0ivYR+bHHcFQwSMxMcHgEpE344r501jx1p3w20eK/vLaS4m&#10;CkCGLnLbc+vPzSd/St34c/GfwnZaDY6Zf2lxZ7Lbc/nNhULPI20nHbeV6/8ALNjSlsKS909g1jxH&#10;rGr6dp+gfaFLPaRteZwHDIXXeOeQcgY65GehrCT4SabMtxeWpaWZ/vfavm7HOPSq/wAOviL4dvhb&#10;AX0Mn2hjJC0sgymS+Tj6Y/CvR4I57B1uZIkNvcR5jmjbOQRx/OsJR6kRj0R4L8QfhBp17L9ldVuL&#10;xdstt/dXnpwa8V/4KJ/CkeGfgX4F8TyqqX0euXFoyyAllWS3Rsf3QMwnj8e9fbuoeDbVdVs9Ui3P&#10;8wWVdpwyY5HUYbBP1x26185f8FdGg0/4OeG9CmhdZpvEbTQx7v4Ut5VLY9MutTGUuaxnUXNE/OND&#10;yMfN/uitK33iFRg1aTTnikUW2ijaoG7qA/v1qZ7WaV8Rae0eP+Wa9B+dbGcil8/vTov9YA2a0Y9H&#10;vpORb7f96RR/Wlk0g24EsrQsV/hF3H/8VTjuZlS5tJoo/NkjOD33VVIZjl1x6e9Wr+VrhlE11FGq&#10;j7u4H+VVXmtEGY7vzPVVXgVYADnkUVCLuBeC9OF3A3RqALA6VGetPDDHWmO6qfmagUirqPSsPUhl&#10;R9a6KbT5ryPzYbi3C/3ZLhFb8iQaw9T0+VVZi8bBf7sqn+tA6fxGPcER5+lUYJf3+STVy+RlXiqE&#10;KO0nyig6o7GnLKBD8xPXNfql/wAE9Y3uPD3wxgTPy21oPoRzX5UsGbbGw+8wFfrL/wAE6LSVJ/h7&#10;ZNgiLTYZdvoBCTXnZlJKkc+Mk40WfpRbAiFMjotNbOcE0W8yNbIM/wANI0g3H6181GLZ8POUpSdw&#10;opu8UGVF61oo8oojqKj+0x+9AuIzwM0y7klFN85KBIrdKdvILjqKACegp3kyHotaAOHSipFtbgqC&#10;IjQLWfvEaAuRhN/8VHl+7VYjtm7rTvJegLkcEALA7u1TNB8uA1CqYzuaneclS2+hN30I/s59P1oq&#10;TzkoovLsHvH5Q+MtaGt/tAaGbcsNxyQy1S+MN6reKr6RpPuuu78qlltZZv2iNJAGAkZH6Vg/GyUx&#10;a1qZGd3mKM17XtJH3h1La20vw902TSrZriTOGSNlzjHua5WfRNQv5fOPhK4ZmbO5p4v/AIqrfgO9&#10;K+DNPtp3k2TMudrcjJxxXtFn8K/h7pFgupT6ZdTN5YaTddMc/rVQa5tSuXmlZI850qw1yKGN4PBK&#10;tIqqBI11GD09c0uoQ649/Bc3ngSxaaFj5JmvlL59Rha9R0ix+HmoO8WmaSTtXLbZjgfU+teQfEDW&#10;H/4XEuhybha2Y3wQoxUD6461tp0CUZRdmjpvCHiwWvhq8sbxoVumuPmiSTdj8eKWDW3j+c85PauH&#10;8PmZtZvFMjMrXBI56V1yW3mxDA6VhOu6bskhGkmtyZ3gVQ+IGpvN4E1bcf8AmHyHr/smpPs4jgDM&#10;ayvHOR4C1bjrp8n8jUxr80XdIqO/zR47+07qAm/Zp1SEn/mFQ1sfsVXKWv7K2nxk/wDLvOa4n9pe&#10;8kX9nbUkJ+9p8afiDW5+yVqfkfsx6WuOttN/WvE1+qSv3Pcl9k8+0GX/AIoi6YDGbeb+bVufE2S3&#10;j/Zb0a3l5O6Erz7f/XrC0+znTwNcygbRJp8si/TmtD4qzCP9m/QopPvGSHaP+AZ/pXsRi/dv5fkc&#10;Fb4XY8LgwGCgfN/9apizMM5qNkcMXpq7wuCa9uL0TPJ7k1tMytuBrRtrwFeTWQA6ngVIkrL2rXci&#10;zNQ3eWxSM5c7qzvMI+Yk1YS8VDsKmgOVk7SBTgik85fQfnUE7xu+Qx4pNob7h/Oq5ZCv0LHmqe1J&#10;I25Cq1DCcN07dhSyXIiPMbVIDRC4XLVHN9yrcd/pL6e0Udr5dwzHzLmV2bK9lVQcL35wSe2KiW2g&#10;uEITU7fcBnazFT+tTIUkU3/1n4VG/DY9aUzLvwVOaSV4wcbhuA71ItUNeVUOGFQyajf28bJa3Uka&#10;9WVXODUM8yyHdn7tNYp9n3lvvcCplG2pUJe9YxvH19PdaMv2l3k/eAjexbvWBcXkV1DtG7LIDzWp&#10;4nl2pHFt3L71n6do0msP5Yvbe3McBYtMSAcdgfWp6np0f4aM+ztVjuPOkPDe3SrskUc8i4AP+9UH&#10;2eY7glx93tnrTobe7I8yNS3PTrmtDUtpp0cbebH8rfwkDpV/SvHPj/w/G1ppvjDUoYW/5Yw3zqv5&#10;A1k3N3f2Uscd5aSxFxn94tMa/SYblDdKXvdjS52Gk/tIfGjQG8uw8b3TqhUxpcSM2GGcEc/WvW/E&#10;/wAYP2u/hhoek33jaw0+1XXdLt9U0uO41mBJri0mi3xSbS5IBVgcEAjPTmvmiaU4LIcMf4vSvof/&#10;AIKS/EXwz49+OOj2HhCJpNP8N+BdH0awuFkUI8NtaRIm0bQc/KdxJ69AMVBP2jLtf2uPio+p/a9c&#10;0HT7pdwyq61b5U7s55bFdHZ/t+8tpfinwk6xtlJZIXjkwpGD904OB05/iJNfNEn7xt+9tw9TmozG&#10;7kGQKaA5Ufa3hz/gpT8ILW4a71T4f30kix7Yri3j8socjn5Xx0AHT1r6m/Zf/wCCjn7Nvji0m0C6&#10;8Q/YwsC7LTUpmVlYd1L44IPCjuBX5FWrrFw61d0iSC21ePUJod0cLBwikgkj8aJR5ifZrc/dG7/a&#10;d+B0toslvq4m+bMP75QPzr4Y/wCCtPxEsfHHi7wU2l6is0J0W4maOG43qmZtnbudhr5H0vxR4j8V&#10;6lJZadf3Fqm393Gtwwx7dam1GTU7u5E2q3jTSomwNJKWZVBJxyemSfzNT7LW5yytH4mQLI4bcWb/&#10;AL6qeKdPLKsjE/3ttV9w4x39qcY5lGf4al+7uc8uXoTFovVvyp0cuW4fb9aq7j600S7j8ysu31qo&#10;9yLouSv8vLZqrxnBFOjPmNsX9WFOu4EhhaeSdVVcbju9aodxoZR0FHmCqqXKuuUctSpcANt3ZP8A&#10;vDinZlRjKWxeF64GMmopLxiDkVCs6MmRmmecjjAbn3IpB7OfYlN+qjmV1x2FVLy483iNzjvmmTSb&#10;t2E/8eFV2ZDJ5ayDPH8QNBpGHkV74HBYY21StP8AWfjVy8hYZhjfce+OlVLeOQXAhjTzGwx2r3wC&#10;TQaxT5S1Or5Rl7MDX7B/8E3tF87xJ4bRulr4ZjA9j5IH8zX4/Jm4MaICC0gX6c4r9qv+Cbuiv/br&#10;XCfdtdDtkHHsOP0rys01gkcePlGOHdz7WtpI47dFYHcowakzu5FVgMDp2qwgbYvynpXixPjpRjJ6&#10;C0GPeO9GG/u09NwHANOVupHJLsQGDb13flTooQWwN35VN8x6q1PhR2bCqelT+7HyEP2f3NOjh2nG&#10;O9WRbzHv+tKttLuyW7+tUuVByjI4v9mrEMe45GRQsDA9KmXA6rVXB8wAYGKKa8qK200nnx+tTeRP&#10;LIfknrRTfNXaWx0pPPQdc1NrvVC5ZCTsBH+NQ7xTrmePy+P71V3nAXgGtFoOJNvFFVftD+lFBVz8&#10;roNVdv2itPstvPlseetct8dHZdX1k46zDb7V0GiQveftTWkr/wDLO1c7R64rlfjtdtHrOrCY/wDL&#10;bn8hXq391H31OMZPU1PA5UeF9HhJ58xB+tfR11HqV1o8dpp0sas0Iz5i57V84+FVSLQdGdB/y3Qf&#10;yr2TX/iF4b0uePTvEUupJH5I/wCPKIkfoCaqOwX9nLmXQueGdD1fw5PJaXdzC1u2WXy0AO7PP9K8&#10;b+Ksix/HGSaNdu6PH3q9IPxA8ESTLbeFI9VuHZtrNcK+0f8AfYGD+deS/GTVEt/jTZmW4WFpof8A&#10;U43H861XwhKrKq+Zm54LgE1xcSyAf64446118VoEjzg/lXLfDvmO6cp832oj73auyMyiPy8GvPq/&#10;EQVbldkODWL8QCV+H+qOO2nyH9DW5dfvI8LWP8RAB8O9WGOunuP/AB00ou0WCXvL1PnH9pbef2fd&#10;Q5/5dUP861v2V2K/s0aUrL/y5zHIP1NZ/wC0rEB+z3qXPzfZFGP8/WtT9mV0tv2Z9Nif5T9hlb8N&#10;v/1q5uX/AGa3me39k42yu2l+HsjEt/yBnHv3rvvC3wZuv2hfhfpPgrT9Wj0y6jiSW1nuoZGQsByC&#10;FVj0yK80tbpofh7Iy3fkj+x3BO3PrWV8OP2vNM8MWVro1lr3ieOaG32M9nZoob1wVuFP6V6c/bSp&#10;pwWqOX3XozuvEH7CGv8Ah11g1n4ueHoCfvbba9Yj2OLfr+JHvVeL9jHSZNoPxz0sMxxldKuz/OMf&#10;0otv2k7O8XzHsfFkysclns1J/M3NSTftA6ew2p4b8SH/AG3t1H8rqpjWzJaONzB4anJ3uTJ+w7p0&#10;g2w/GmGX3j0Gb+ripD+w/okceZfjYFb0bw1J/wDHRVeP4230xH9m2etx5Xoy98/9fVTQ/GPxJEx8&#10;3RtSuPTfNjH/AJHpe1zW+1vQawlLqxsf7EnhV32P8c7zOfm8vwqCPw3XI4rSh/Yb+Ho2tc/GvXpG&#10;H/PHwfC3/t6Kz3+M3iLeDH4Lv/fGpAZ/A7v51G/xc8YONn/CCXMi9vM1oj+SVo62bSVm0P6pROhX&#10;9h34Vbfn+LHiYnru/wCEThH/ALd0xv2J/hao2QfFvxA2f4pPDEPH5XZrmbv4neL5F3DwIynpt/tw&#10;fnzAam8H+IPFnjHWptJvPC9xYpBa/aJJ11gSLtzg5Ag6jj04NV/wpqN3If1bD9joE/Yt+Gtvw3xN&#10;8RSfNg48Mwr+P/H1mnN+x78IHfZN438SMV/i/sWFc/8AkY1Jf+DvFreF77xRodkt5DZ27TG3kvoo&#10;5J0AzlQYWYdDjIHT8/Ida+MXjDRJIhc+AZrfzk3xrPfRuSpGQcm26fjUp5hLVTD2eDXuuGp6dP8A&#10;sjfBe0k3S+LvEDe32GAH/wBDNVbr9mD4Ix/OviLxI3YBo7dcfzryG4/aT8QSFoR4QjXtlpoj/KAU&#10;uifGnV9ZiaSPw5a+YsmGSWUg/hhBVWzH+YX1XDfyo9Rb9mn4HQjzZ9Y8QSbf4ftMCfzjNVR+z3+z&#10;wJvMlPiv1by/EVop+gzatiuHHjXxVfSHGhWK5/vbm/kBASI03ctRtr+vu3zaLp7N/sxSj/2aqUcx&#10;l9q4/q2H/lO+/wCFMfsxWhJuPD/i+T+9/wAVlZjP/lPovPhb+yU0Sb/CnjKMr90J44s9p/8AKf1r&#10;zyW+16YlpPDtmPpHL/8AF04QavequdGsww6bo5P6yU39a2bYPD4fsee/tDaX4B0Lxkmm/D3T9Qt7&#10;L7OpZb/VEu5N2OodIoxjPbb+NcVFBLCPOMTdMqvrWt8Rr6a88W3AYRjyf3TLHkjI+pNY8c85Kqsv&#10;H909K76MXKmnLcOXl0RDLDO0vnsjKD/Du6UR3F1B8qGQc5+9V6WSOWLaYvm9aq/ZmxlmrezHZjr+&#10;4udQuI5766eRlXHzVVubeXbuhlXb/dqbYGOWlalcqI9sEe5u+TVhZmdHHIBu8za27IIrV1X4geLt&#10;QCpqV9DdbYwnmXFjC74/3iuf1qk0Ex+d1Vf9lahkicnGKLFkaPK5Z5mBYnJ2rgflTqBAw+81TR2Z&#10;kUENUtAQN92rumkKoZqi/s8sMB/zqxb23ljaW/KlZgdT8OJ9Lg8QQT6vb2lzbDImtbySRUfPQ5iZ&#10;XBB9DXu9p4o/ZqOjbLr4IaN/afnZWb+1NTaFYv7uwTgk57lq+bdJHk3OA3zHpxXVyePvFka7Uvoe&#10;uBu063P/ALJXNXjsLljLdXPaZvFPwIuokR/gj4dXZ/FBJqw3fncnj86U6z+z1sbHwX0VZNvy7rjV&#10;jz9BcivH4PHvi4rj+14h7DTYP/iKlbxx4zI2/wBuf982cAH5bKz5Zvqyfq9N/ZPU31z4Lhdsfwc8&#10;O/VrfVv/AJJqH+2fg9GCw+D3h2Pcm3/j31Rc9OeZjXlVz4+8ZW67V1+Qf7K2cIB/JKWHWPiJqibs&#10;3Eg/gb7LAOP++axdGfNdyduwewpp7I9nj8ffCRE2D4P+F+FC/wDIIvG7f7TnP1qKX4g/CpvlHwp8&#10;Kr/3Apv614+svxNT5hJN17QxD+lRvL8TDybi498eUKfs13ZfsY/ynrv/AAm/wzjO6L4YeF1HXnQZ&#10;f8aQfEr4djCwfDHw1/tf8SOTP8zXkf2z4n7Nk2o3ir3+5x/OrPhTWtSPiextPEGv3y2sl5Gt15JA&#10;YoWGQMDJOPTmhRl0bJlSjHZHuvgnw1rfxLu0s/h/+zcNWaRd3+geD7qQbcgbshSCMkjI7q3pXZL+&#10;yD8a5oDqd9+zho+l2/V5NUs7WAoO+Udt+fbGT6V9D/8ABObRtQ1T4z614pg0tTodv4fjt90kYRTm&#10;aNoo9hwSMRsSNuB+NfcryssS+YzMwAJDfeyO/rXJKrW25jhVSPVn41eIvgDr9l4vi8LW/gXwfdNK&#10;PlvLNYGgTPZm42t/skbj2BrC1T4Q6tY6g2mDwBor3HmbF+x6XHNubAOABz0PcV+pn7WnxN/4Qb4c&#10;ahZaDKtjq13aySLeW/8ArLaFSu5xjPzE4A9ia+Dfij8b/Ht7er4s1S9/ta8iaNLa8161F0uQScEM&#10;CpJJP3hn8axniHTdm2wliKNOLc77bniV/wDCfX10+5l07wpps95ApdbP/hG03MAMkcg8j6YPrXj2&#10;veJNWjvn06bw5b2MynDKumxwuPUcAHnpgV+tXwc/4KTfD1/D2mx/Ha0/4RG6kjRUvUZ5LNgSqBsA&#10;F4gc9wR15rkv29/+CifwC8EaVaaR4a8M+G/iB4murUT6XNeWMN5a2EZGFeSX5jnjhEKn1IruweIl&#10;OOqdiqVSNanzx2Py/wBD8AeJb7TofHVzZrb6XJq0NrbzzblFzM7ZMcQI+coMFiOF3qM54H7b/wDB&#10;OjRxGNWuAGVRFbRqD/s7v/rV+NPi74t+NvjX8XtN8Y/EC7haRdTgWCzsbZYLW0j8xfkiiX5Y16kg&#10;dTyckmv24/4J+W0Zs9Za2XfgxfKpHTDf/WrHNJe5Hl7nm5prRPoYWNyTwnetCK2IiUHP3RU0dsxj&#10;DbF/Spg8aJhh90fnXir3dz5eCjHYqfZvc0+O145erY2sMgfpUU+FfAXt6UVPejoaDfs0f979aa0Y&#10;g5RuT70u7/ZNI6tKMAdPWsYxdyWNM5z/AA/99UqSszDAHWm/ZZMbttCIUlVc/wAQrUVmWaKHPljL&#10;VE9wR0H6UuaIWZHcACYnFMp0jq7bt1MLgHFac0e4WYPMyDYo61G87Y5SpYyrdaHZOwo9pEOVlZpH&#10;YYCUh39TVh4i6fLj1qJ4m2bsinzJ7ESiyKil2/7QopmfLI/LzwZZw3fxyv8AWWi/eW9m20r06H/C&#10;vJfizPd3V3qTXLM7yXmMk9OelfQlp4Y03wj4kufEk16sazRsJndvlC4Oc18xfHn4+/DzWPG48D/C&#10;7TY7uRrxUvNSfPlq24Z2+pr1vZy7H3lPmirnost/aeG/CGl6nfhlhhZGbaMk461Y1z9r34KTsCRr&#10;CzxrjzBp5Kn24Jp3jPw6mseDrW3UsUWNSU7dK81l8C6C+ZDp0fHByv8A9esVPU3cVKOp2n/DYvw0&#10;t2W6fQ9duvLPypDp/lqR9Wfr+FctrPxSs/jD8Q7PxRoehTaba2/Dm+mXceDxgGorHwVoO9WhtcLn&#10;5sGu38GfCjw/rCH9zGu3k8c0/aLm1YuWMY2Ru/C6f7WlxcQ/NG1w2CpyDzXZZz3rO8P+H7HwfYLp&#10;FiB5e5nP1NXkdMferKpy82hkPIyMYrnfijdLb/DzVpC3As3/AJVuS3SJ0auL+Meo/wDFvdYijb71&#10;jJjNZjj8S9Tw39orVI7/AOCs2lRsN9xGke70yV5NbnwYsptJ+Blj4dbc00enyLuXPzEqcY/OvO/i&#10;HBrvjfwSnhvw7C11dXDIsMccg3E8cDPeu6+B+gftJ6VocOh61+zn4umt7VVVbqx0559vucD+Wa2o&#10;04To2k7a3+49apUcY+6j1S1/Y61k/Bq11SM2s142j5njWRVZflPBXPvXyh4T/Yf/AGjbfW4tQn+G&#10;lwFkZjb/AOlQguM8cb6+x7Lx34/tdPh0GT9mf4i3M3l7ZPJ02RFf8Cwq5p/i/wCM2jDdZ/snfEFV&#10;x92W2VCPxeSsVmVWF0qf4k08Pze82eJ6B+xr+1ff2iy2HwTv7lR/FFNHx+tai/sXftWh1jl+Dl1G&#10;xIG2aZVx9STivXpPEX7Q/iIq+mfsm+JfkY5FxeWcOfxaUCtNvEf7TsNqkJ/ZKvo1VfvTeJtPUfrN&#10;WU84zBP3YL7zX2FNby/A8nuv2Kf2ldDslvLzwHp+0j5lXV4gR9ckVUX9ln49S4z4T01P9/Vkr1eb&#10;xH+0bNMNn7OVnCw5xN4009Mf+Pmql34h/aMBJ/4ULpe/+7L48sOf/HjSWdZl1pr/AMCIlTjHa7PN&#10;2/ZH/aB2b/8AhHNJVeu7+0h/hVeb9lv46wk+bp+irt/vag2fyC16BP4w/abzt/4UFoqAH+P4gWGP&#10;/Qqz7vxl+05u8s/ATw+w/vN44s2H6E0nnGZdEvvD2cO7+44tf2XvjpcKwS08Prxjc162f/Qa6L4X&#10;fAz4ueBF1SPxDqPh+4N+qgGHUmVotpPHMZ/z619b/swfC618T/CS3134n/CWzbVL4SPLFY6q0qQr&#10;nC7XU7WOME4796+ZrrwV+27BfXVtpvwKsrjT1vrgabdalrDxSS2/mN5ZIEZ7dMnOMe1c9PPMZVqO&#10;Puq292V7GNr6nTeC/D1jYpJH40a3eFNLa0W2g1JGWQkn52LKvPOO5xXmsPwZs7DwVceCLiy0fUoo&#10;Lxzp7XmubmW3Y5CM3l/KQemMj3NdFN8Lv2554h5nwC8OhW5/ea9KR/6Kro/gn+z18ddb8ZPN8cvB&#10;Gh6PosMOZI9Ju5bi4lc8BQGRVA9Tkn0HcXUzavh4c83F+juyfYx31PmvVv2N7e61KS5iudJtUblY&#10;I/EBfb7f6k5/GodO/ZGn0a6+0aL4o0u1kY/vP3zTE/TO0foK/QGX9nX4AwJsPg3UG/7eJFz/AOPV&#10;Uf4A/s9xSFm8GXo9v7Ql/wDjgrilxX3j9xSo32R8K/8ACh/EFm37zxtp/wDwG06f+RKJPhO1uP8A&#10;S/iDbr6qljG3/tSvuBvgR+zzN8r/AA+vPfF7Nn/0Ya+bfjV+yV8d4PG90/wdl0i48PyMHtf7a3rc&#10;Rnuh2nDAdiMZ6kZrXD8SxxMuVLl9WHsJdjywfDrw8i4n+JZRv+wOp/8Aa1Nm+HfheRJHi+KVw+2M&#10;kY8PqyluuM+fW5e/smftgXbbHTwun+75px+taGnfDP42fsu+BfFfxZ+JsWgSw2nhe8i037Lb7yl9&#10;MnlQP+8JHyM+4cHkV6izWM1y05xb9SZUpR1sfCOpMXvbjzGHmfaH3N/wI0yBec7qjVzO7PIx3Fst&#10;u9alRfKO89PbvX1Ki9DEkoPSmCdfQ0hmUjGDVhZkdAAHQUUySZI8b+9AXH/U01mjHVhVeS6JJCHi&#10;omlkJ++KAJpR5hGxqlRlSP5qqq+1sl/1okvISCm40AWEulEgBPy1MLuH+9WbGS0gbnFWImCyKWHe&#10;gmR6F8Cvh9ofxN1y6stc8STaXBbxKftUdqJeWOB8u5f519SeEf8Agnv8KdW0SG9tviLqWpNsxNJb&#10;+Ui59du1iv4mvn/9lG3trmTxRM0C7otLheNioyreeoyPQ4rtPg7+0D4l8N3sU4vZF2y7WmiX8PmH&#10;esKztYzqKty3g7Hr4/4J6/C+M7hretH6Xafn/q61fC3/AAS+8OeOZZE8Mza5cNGMsP7QiXA/4Eoq&#10;/wDDb9qO68Sx3Fx4p8Nte2kM5WS+0pdotl3YBkQZOSOQOpHbtXuXw98VEWo8ReDtYmhhY5by2Ksf&#10;QMDyPxHFc0qk1HQ8uWKxUd2zy34c/wDBHzwVqnjK0sfHdv4mfSt5N0bPUoQw4OAH8sgHP6Vu/tAf&#10;8ExfgZ8Pf7Oi+Fvi/wAWYdXS6sdTv7VnjYEFWUiFeOoOfQYzk17pZ/HLxzKrRyarFGy4b947DOPp&#10;xmud8deNNY8ZR7NevbSZY2DL+8+ce1crrVZSsT9brON0z5p0H/gmwfGGoSWWj694lP2eHzp2jngd&#10;Y4843HZE3HNdJ4V/4JIWXj2cWvhr4ymSfkLa3Gt28UrkdQI2gDH8sV7R8OvEsPg/xCdZstXvLHaM&#10;N9juSoYYPBGDkc9Koatr2hS6xJqEl1chTIzblmKs7FidzEY5o/edhLGYpfaON/4ca+PrWExt4kvJ&#10;JG+6q6rb5H4GEU/w7/wRL+JfhDWV8RaZqai/Vf3U95fwSeSf7yoYNob35x2r0aH9pjxPoNsLHTfi&#10;br0MKrtVWvmkA9huJx+FC/tc+OYvufEfUJv+uzf4VvTcluKWKxVRWcmVvg1/wT0+On7P3xGj+Lfi&#10;fx5fX9tDbyQPZf2krR5kAG/YqKCR61d+Jmg+Mk8TyNbeJNSVZI93/H9JtVvpnpVzwR+1drPiPxjZ&#10;6J4j8ZSG1mciRrp2WMcE/MT8oHuTiuk8V+M/hxrVz9pi+IGglgNrRR6hGyn8Q9clWnFy90yi5nlX&#10;xA0NrD4N61qWoXskl2LfL3U0pO35lwQSenWvALbw0tkF1LU/D95fTTKv9krCwaIynOCy55I6jj36&#10;A4+nPi5a2Ws/C3UtG0DxFYtPdFRbt56sn31OD1z06YNfMnibV/iLZaqq6n4osGuoAI93mKqoo4yo&#10;UAhiBjkdDXmYrmpvRHnZpWrRpKkovXW5yUHwL139oK6u9H1fTNUF9eqJftlrCH2GKXkBcgFRgAfj&#10;XSeGP+CP+sa3Atwnj+SxkZf9RqFm6fyGP1FdV8E/iB4t8H+LjqGl6tHHD9jMbNAmTH/u+mT155r0&#10;+f8AaY8bSTbZ/Hd4oX5dxmkT+QrtwdWUaJWWVcRTotXZ5JpP/BNvxB+zPqUfxZ1nVfDfiKG0YRx2&#10;dzAsixSHlZSrsQxB6ZHBr27wZ+2d4++HdnJKmi2GyRd00VrbraliO5KgZrHg+Kd5rt0Y7zxgZ45R&#10;hlluGbr7MKz9Y+E/grx6vkyzNCG/isbloT/44QDVV5ymtz7nLcZlEcKqWNpcz79TbvP+CpnxX89g&#10;ukMg3f8AQUevQv2ff+Co3jXxL8QNL8G+JPC/2q31C4EWWnG9OOgbAJ/GvEj+xf4KkRXsm1Zu/Gpz&#10;f0Ndt8C/2btD+HfjK21q10i4nkWYNHJfTPK0Lf3kLE7f8a8+pQqS3kbYypwvLDyUKFpW023+R9zQ&#10;/tD2TjH/AAiFxwcc3g9f9w1M/wAf9PTr4XmHst0G/wDZK8rhglglG+Z2PXbuq68bkBg0kfy/wmiN&#10;GOx+cSp+8z0X/hoGw/6Fqb/v8v8A8RUlv8e9Ilk23GiXMan+JZFb9NorzNYZ3+7NN/30amgt5A37&#10;1pG/3qr2MSXR92565Y/FTwdqC7TqDQPn7s0ZWtnT9T0+/YSWWowzL6RygkfhXice2P5mHFRtM8U3&#10;mwvt291bms5U49DHkl0R9AfK/UZqBltQ215K8Z0/4i+KdLUJaavMyj+GT5hW1afG3WPK8u9sYZX/&#10;AIXwy/nXP7Gp2FZo9IMEbt8knf2qSOxjI+aZf++a8k1j9oL4i6fufTfhzpt2MnZs1JkZh9GjAH5k&#10;e9clrv7a3xF8NsTq/wAC5olXnf8Aaty/99BCP1pezqdio05S2R9ESWqRsBFIOfapBaRCLJb8a+VD&#10;/wAFKLxJPKHw5hRv4lN6cj3+5SH/AIKT6qq5Hw7t8e1+f/iacadSWyNPqta1+Q+pJU28B6jXngCv&#10;l9/+Ck15gA/D61Ynt9uPH/jtQ/8ADya9xt/4Vxb9ccXh/wDiauNGt0Q/qOKltA+qNhor5Z/4eQ6l&#10;/wBE3h/8GB/worf2Vf8AlD6hjP5D8mfj9+3H4w+OWuzeH/B5m0vRmkKr5bfNMvPPtmuJ+GkHkeMN&#10;NQr966Xr65rz3wgksOsKiPtUKfwr074dWslz4106KDczNeLtZu/NfRWVz6/2bjayPsK61KSfQo4v&#10;PKjywMenFcq+lBkb9/1rrYPCesPYQlrjau0ZXbnFWbbwO0i/v7oj/tmK8nlkjTmRxukaH5R2LNu5&#10;zyK7rwMhsYZBvqez8EQWjeYLstn/AGelaNpo4tY2jjY/N/s1lKEnK6REpw2uLLeu6B1OfemJezY6&#10;08ae8cXlO3zE+lRyWrQDmT/x00csuqMvd6EN1ey859aw/Edrba9pd1pmor+5lt2RwvuK2ZoZHO4I&#10;2318s/4Vm30D/Z5nEZ+7/dNPl7j1Pk2bwv4j8AeOoriGP7RFZ3yzKySDdtBzjB74r2Zf26G0aSSE&#10;+BNckZW271uEGf8Ax7pXI+LNEN14ouJZbxkyc7fLPAzWHqHhGCXMv9oNktniOqlTp1IpT1PQp4md&#10;PVM9Dk/brv5lyfAeshd2Vi86L+eTWZcftta7Jcn/AIttqTR7uFa+QE/kP61yVl4VgYKp1KRfqq1p&#10;Wvw8tppPn1hh7+WvH86xWX4W90jb643q2blz+2l4ru4vLsvhlqFuuf8AoLKM/wDjpqtc/tieNHh2&#10;f8KsmU/3pNZBz/5DqOL4Q2tyq+Z4ovfbZ5eP/Qaefg5ppO258RXMmOinZn/0GtPqGF6xIliOaV7m&#10;LqH7X/juVtq/D1oW/vNqIGPyjpsX7XHxBYbI/h8s2R99tXOf/RdamofBLw5qCsLi8vF7HDLz/wCO&#10;03TPgf4Ysflt9SvF+uw/+y1UcFg18SH9Yv1Mu2/aa+JN1MzReBYcnnbPq0pA/StOL9p74vRjCeAN&#10;G2n+L7dLxVi5+Evh5TtOo3fpxMq/yUUR/DHwzBEv+k3TBT/FfE/1qfqeFTuolLEX05j9Af2P/iLr&#10;ev8A7Nvh3WNTsI7eeW1keSGGRio+c9M4P69q62H9q39kuyt7XTNU+N/hGxks7OKK4huPEFsh84KN&#10;4PzckHjjp0Pv5j+zqsHhb4BaJo1vuWOPT3Kq8hyQWY9zmvzUn+D9pqPxMur698PXci3F9JJIzLIQ&#10;xzz9ea+YweWxxmKqKbaiuyNJVuVH63av+2T+ydDButv2gvCL9l8rWoW/PDGuS1T9tD9mRGLj42+H&#10;5V/h8vUlZvyGTX5/2XwT8HN8p8G3Df3tok/rUi/A3wmsu9PA903+yyy16cuH8FL7T+4lYzlVuX8T&#10;7c1L9uH9lxTuPxj0tRu+bDSN/JKxdS/be/ZYzuHxk035uypKSfySvkEfA7RlO+P4ZXDKeOLR2/mM&#10;1PD+z/pky7k+FV0frp8uP0rL/VvB95fgH119Ir7z6kP7cn7MKtgfGax/3ls7jH/ouorj9uv9mBSq&#10;t8YLdv8Adsbn/wCN18vj4AK5xH8Jbhj/ANg2T/4mnR/s9NI20fCSUev/ABK2/qKt8L5fLdy++Ivr&#10;/kfSUv7dH7KqXHmS/FuP/wAFd4cf+Qq+dv8AgpR+2P8ADD4p/BzT/h38I/GS6nJdass+pbLWWILF&#10;ErEKfMRcgsQe/Kiq0v7O+oLM0MPwmmbHTGl/4ivOPjn+xz8afEN1p914A+E+pSfKyz2sNsEVeeG7&#10;dRkV0YHhzLcLio1U5XT62t+GopYp1I20PnQKhXO8jgYpQRnFeqp+wt+1lJjd8G9Ry3TdNEv82q9b&#10;fsAftczDenwduh/vXtuP5yV9t7SnLVNGHNG+547RXt1v/wAE5/2wLo7k+Fm32k1W3H/s+P1rQtv+&#10;CZX7YVyQv/Cv7OPP/PTWrf8AoxqXUprdl88e54DVecncv0r6Sj/4JW/tiv8A63wnpMf+/rSf0FWF&#10;/wCCSf7X11GJG0vQU/7i+f5JR7Sn3Ofnj3PluRyCRUUhUnJlr6wh/wCCN37Xt187XXhePd/e1GY4&#10;/KKrK/8ABFX9qt+LnxH4VTPf7dc//GKftIdzP6xG9j5DVljb5G+uakR2YbhGB719hQf8EQf2mpcO&#10;/jrwnGv+zdTt/OIVbtf+CIn7QCIfO+K3hWNh15nb/wBkFRKcb7mirRPlT4bfC/4m/F/X38M/CzwD&#10;rXiTUIrdp5bHQ9OlupEiXGXKxgkKMjk+opvjHwF47+HWojSfiD4I1jQ7o/dttY02W1kb3CyKCR7j&#10;j8xn9iP+CTP7Oejf8E8dJ8Vaj8RdRh1/xJ4gmhjiutJ/dxQWke9tnz4ySzAkHj5RzkCsn/gqn+zt&#10;4j/4KGeNfDOueHvHmm+HdH8M6XPDHa6hbebJLNK6s8hKOMABEAGT0PTJqJYiMZWMZYiSnZbH5w/s&#10;fn7RJ4qjRTzpMI+b/rutN8HatPb2TW22MbrotvCjPG6vqf4J/wDBMa++FE2pT3vxw0m8a9t1iVYb&#10;AqEw4bccy89DXU+Dv+CeXgHwh4JfRbr4hafeatLcSM9/d2UTxJGVYKqKSJAwJB3eYfpwBUVKl37x&#10;LxXLpJXueEeAfir4m8L+CNc8CadPHa6brkqSahJbx/vZ3jRxGSTx8jNuHFLB+0tq1jqaXNtE1irc&#10;s8JOSc9T6+/Svc1/YM0CGCdD8XrH5mynl2a8f+RP6VxHiP8AYb0W2na2l+J0crqvCrboF/D56zfL&#10;Yimqd9TpPhP+0Tpni7ULXSdYljhe4bY19HKSgPqwPSvYI7XwncBnm+Iel8jC7pxn9Hr5XH7Ner/D&#10;fXodcstZN1ZW6M8y+Uyn7rYxtyD+dWlkYMSGbn+9WHs1zXRlUw8ea8T6gh0zwqE2R/ETTv8AtnIP&#10;/iqjbQdG3Yj+IVltbrgj/GvmGV3Y5JaowpV96kitYx0J+r+R9PP4Y0Ejd/wndif95FP/ALNUTaL4&#10;WjbbJ460/wDCFf8A4qvmhmlb/lq//fVNPmd3kb/gVHJEr6rHuz6q8GXfgjwv4lt9dvPFdnMsJPyi&#10;NQTx65rsL34tfCG8XE76cf725UaviJ+R95v++qZtnxhZT/31WcoR6B7Hl21PsnWviH8BJbH7O1tp&#10;O/duDNaR8H1471gReN/gyspuLe90pWB+99iXNfKRSfdzOaNkgOQyn/eFT7OPVESw8qjPqu9+KHw4&#10;ntmtIPGFnG2OP9DJArBn134dTA/bPG2nyITkr/Zp/wAa+cJRPjCuv6/41BMl0EyZV/X/ABoVOK2Q&#10;lg5Rd7n0pb6z8IYpNz+JdPYf3RZsCf8Ax6t3w78Wfg/4eZXS/hO3+7GOfzJr5HfztvLL+v8AjUEq&#10;PjG/jFZyoxZtGi+qPvGz/a6+EunxKkQ3bR/DsH9KtWv7a3wbhuFmktpmwe0i1+fzRSEYE1N8mZTk&#10;znHtWfsuXoEsLTP0aP8AwUG+Dok8saRcsuP+fhRn9Kcf+ChfwZQbX0ydfZp1P9K/N6SJxJnzW/Oo&#10;Lh5vM/dynHuaPZ3Od4OPY/SZ/wDgoX8D15ltLr/gLqaaP+ChPwJY4EF9/wB9LX5shpj/AKx80GSR&#10;PmRqFR12D6lGXkfpI3/BQX4Ev8hhvv0/xoH7ffwIY423347f8a/NkzTluX/WkLyEffb86v6ugWBj&#10;HQ/Sk/t6fA0H5Vu/xZRTX/bw+CR/1cl2fpt/xr81f9Iznz2/On73/vt+dTLD+QRy+Pc/So/t0fBN&#10;wGaW+zj+FV/+KoH7c3wKK7Xlug3sqf41+avmTdpmH/AjTTJd5+WY/wDfVP2EuxP9mx5r3R+gvjf4&#10;4fsZfFC0+y+PfBlnqCE/euNPTzB7iRSGH4GvD/iF+zj/AME6vGnm3Phzxf4y8J3En3f7L1Zpoc+6&#10;TluPYEfUV805uO0tIzXSf6uZvfDEVUKdSErmywS3UrF/4tfsj6d4asrvVvhb+1CdXht42kFnqUEl&#10;rMVUZwCsjIT6fdrwX+39ViO6Dx5f8/xJdSfj/FxXs1+0y2UwYks0bZ+Y+leNz+HLMSKrRL/d79uP&#10;5V2U52+JHRGnLl1dxR4p10jI8f6p/wCBcn+NFQHwta54jT9aKr2kRckj6A8Lf8E6PjHb3SXl3qul&#10;r7LNzXf6J+wN8VNOvoNVsvF1jbXEbB45F3HYfbmvWbH4LftzahH5tlqBH+yukHP8quX/AOzJ+3zq&#10;MQW+1mSzDDO793CSPX5iKVmaxlJHNwfs3/tRTwKLj9oERqv/ADz01P54NXLf9l/49GINqH7R9/8A&#10;9srKP/4mpP8Ahi39rDUG8jVfjetq277sviGBB19ia5Hx9+y78XfCfiWHwjrvx2bz5sYuG15BAvOP&#10;mk+6P8OawdFXuZu7dzt4P2VviZIwE/7SGuHP3tnlx4/Kp0/ZV1tRu1L9pPxF/wCDJV/rXl0n7HGv&#10;3YaXUP2ovD/y/eVvFm7/ANANZV5+yd4asZhHq/7RWhyN/wBM9Wlk/oaPYxDlo/abue1xfs0eGIZM&#10;6p+0lqx/2pvESL/WnyfAr4M2R/4mf7SV4v8AtHxgP6GvFYP2VPh0zf6V8ZLHb/z2W1uZB+mKtXH7&#10;Kn7PenWjX9z8XjMyLllt9CufmP8AwJgKPZ8uwfu47Nnr1x8L/wBleyTdqf7QjSH+Jm8aOc/gpqt/&#10;wiH7D9sN198ard2/i3eJp3JH4Gvn6L4d/BbUIpbnT4NSuIoWwsn2MJu9xkmnaOnw60i5jj0/wHql&#10;wdwBb7OpI9xR7Hm6FRl3Z7tfaT/wTqtHV/8AhYOmvIy8t9vunJrSsdY/4JradY/Z5tSs7mTH+sNr&#10;eSHP4f4V4h8YfD3w10/w1a6ppvhnVoLyVsFr+ONFC9+ME1zXh3SLRo474bcEZ7cCto4GMt2UfQ0/&#10;jj/gnpauwt7AS/3RFoN238wKWD4rfsQINmm+CNQkf+F18Nv/AOzmvIDfeHYYVimltg3ozgH+dWvD&#10;uueHfP8AKEis3ba2f5Gh4f2em4HrX/C5v2Zk2jT/AIXa5Lt/55+Ho+f++iKnj+NfwfcbNP8Agbrj&#10;46f8Se3H/s9cBaz20r4V22n+6xp8vnLdqltbzNk8MGPX1o9l5EuSsehxfFzwVIc23wA1v28y1s1/&#10;m1RzfF2Ic2n7O92uR1kv7QfyqhoK6iGj86Dov8RJrR1ydprH7Opb/a+XqPSp9nE5ZYr2clzK5C3x&#10;m1XZlP2f4VCj702v24/QIRRD8Z/GU0IXTfgXpu1f73iCLH6RGsOHSLZUdRpXmOzHa0loX2j+tatt&#10;pl9HZRW+kwpDIr5kL22xSM9his+VGyqRauW/+Fw/GDLNbfCXRIV+83ma4xwPXIQCsM/tWa5YyA3W&#10;geDo3ZM+db6wzqo6AMdnBrovHFpLc/D+/stOyt49qwjjXPzMR1A9a+KdS+FvxM8PeEbzR7/w1fQt&#10;PeFkWSPBcbuo56URhHsa05KR9bW37RnxO1wLJpHhfw7MsnKMJpWDe4wauyfF/wCNdrb+fd2PhO3U&#10;DP7zzzj9RXlvwV8af8K98P6PBdaYszW9ttuoZOeeeOvWp9Q+IHinxL4iuLmeBoYSxMKq33V9PyqO&#10;W72HL40ktD0TTfjV8T9Tugn/AAl3hGFc4MkenTSAfXDn9a77QvD/AMd/FWnHVdI+IfhOSEZBeHw+&#10;52kfWQV5b4M+IMVvoI8OPp98sjSAvNZyhSfzr3L4TKR4YvJ9cuY7W4urln+zm4DMF7Zbd1PpSlHl&#10;M61T2cbdTjfEGh/HzRbOW8f4laGVjUuyx+FhkgDt+85ryPWv2g/jDaMV0zxxayc/w+Go1z+ZP86+&#10;hNQ0bToDeXUGttJJcQsmya8/drkf3ecV8/8Aif4d6noVxJMlzp8jbmPl28xkxz7inKPKZ4e8l75m&#10;p+0F8fpx5r+P4oeeg0WBT/Kmj49/tCF98PxXkj2nqul2/wD8RWLd6br9zJkaRMW3YykJIoTQ/Erf&#10;8wG8b3+yNx+lSrdTp/d3NSf45/tAN+9uPjLqKM3aKzgX+SVXPxx/aCc/u/jJqx/4BED/AOgVRm8J&#10;+KJzxodxwOnkt/hVW40HX7ACS50S6Vd2M+SaynGPNdDtDsaFx8dvj6rEv8ZdeVun7u4Vf5AVXHxk&#10;+O1/cR2rfHDxRGjsAzf2q4I/UCqcPg3xVq6tcWWiysobqcL/ADIpX+H/AIxiYSXOkNGi8s3nISPw&#10;zRDltqitOhvavpX7TcU+H/aqvLaJ+YzdeNIFbHuA2Kyb/Sfjn5Pn3f7YLFuh/wCK6i/kKqXVhFbT&#10;lZLf7Q3UNJBJ6f7Iqu/kTL5b6TDj+75T/wDs1dEZnO/I2tJ8EfFW8+Sb9r1WZeZFXxcTjPQcKaku&#10;Phh41nl23P7UJYjht3iaVs/lFWbBq+nW0K27WvlhW3bV2IpOMcksO3TNQ3PiTSldnVY1b3vYVJ/N&#10;xWvtI9wuzaHwn1pVxP8AtOR/Qa9cn+UNVZPhRdyu0Vx+07bQgj739qag/wCiQE1iz+LdNRt0kA+X&#10;v/aVp/8AHqrv4w0Z12L9nHqr6taD/wBrU/aRfUylKonoa158Gksbjy7r9pnzLQpn+0Tc6n5AfP8A&#10;qz+4Dhsc/dAwRzzWfd/C/wAPxx7P+Gr7IpzuVZNWP84qr6x4+a/0+30Z9X8yxtdxgsv7ZtWjiLEF&#10;ioEvGTyffmsObV9MbdmW329g15Af5SUuaBouaxtx/D3wVCfn/afgYesf9pf/ABNPbwJ8PiN837SO&#10;oSY/hjh1HP6sK5sX/h8fNLc26+4mQ/yaoprvw0h3Jqdr7f60/wDstN1IPdlxconQy+G/hfbHdJ8d&#10;tXYDri1vT/7PVyw0n4TSp9qsPjFrk8q/wrZXQI/76lFcVPrlgvyxXtuyjt+9H/tM1B/wky27+dbX&#10;Nqre/n5/9FVPNTJ5TtNc8Uacvi/QdI03xjr+prNNJG/9oySrGg2nopmcN+IGK6Nsg7CeleSWHipb&#10;jxlpOqalfRbLW5JkkxIoRSD3dFr0CT4lfD7zWB8Z6b/4Gp/jRJLl0HH3ZXZsuCRxTDx1rFb4ofDt&#10;OW8a6X/4HJ/jUa/FH4dyybE8aaZknp9tT/GlDmW5rzRN6jJHSsH/AIWb4B80xf8ACW6f8rYz9qT/&#10;ABqT/hY/gTbu/wCEtsP/AAJWr98uzNjYw6GjY3rWSPiR8Psf8jjpv/gStH/CyPh9/wBDjpv/AIEr&#10;T5BchpSR/P1b8Kb5fu1Zp+JHw9z/AMjrpo/7elo/4WR8Pf8AodtM/wDAoUcguU0GQ9ifxqO4jbyq&#10;ov8AEX4fN08aaYf+3parT/EnwIPlXxjpv/gUtHJ5CtqXzG2ORUcsXsOlZ5+IvgdhtHjHTef+nkUH&#10;xz4KYceKrA/9vApKHdFFp4yOlI0XyjgVSbxv4KPTxVp//gQKZ/wm3g4nb/wkVpj2mFKVO/QmRbli&#10;55FU54dpP0ps/jTwavP/AAkVr/3+FU7nx14H3KW8V2a54C+aOTWXs5x6C5WWPL92o8vPUtRc6tpV&#10;lAt5f6lDDC33ZJJMAntVGPxt4VndYofEdi7N2juFJ/Q0ctTsFmWjHz1ajy/dqcdRscblu0bP9003&#10;+1LHdt+0DNEZLqIPL92o8v3apBe2h/5eFo+12n/Pyn/fVae0p9wI/L92o8v3apPtdp/z8p/31R9r&#10;tP8An5T/AL6o9pT7gR+X7tRsI6M1Si6tT0uU/wC+qX7Rbf8APzH/AN9Ue0p9wK91bs9s/wAx+4ev&#10;0ry26s5ft7RkfdZhXrEtxA0TKJlbK42rXGX2k7btmW3PLZ6Uc1ORSktjmjp0oOMGiug/s6Y8m3ai&#10;p5oh7p98X/7Wfi7Wp1yuqoB/duPL/wDZq4zx544h8Y3h1HxBp97dSLwGuNW7fg1eXQaB8N0OZtW1&#10;KQ+3y1o29p8KI9pmh1iX/eujXTdBI1bXXfhvYXBuJfAkEkm77011vX8u9T+MvjPe+MbCz8LXmmRt&#10;pNhxa6fBGEiHXqqqM9euarWv/CopR8nhG+m2j/lrqDLVyC++FkC5X4b+Ye3nXztWXNLmJKmmePND&#10;0uy2p4MsI2X+6pb+dRT/ABfsgdqaFZJu6b7X/wDVWzZ+JvAdu2bf4T6bnP3mkZqur478NxH9x8K9&#10;C/4Fbkn+dHvGUo+9c5cfGOOBVaX7AuOnl26f/FU5fjWkq7IVhTPUxQxZP866pfik1r/yD/AHh+3X&#10;/sHq38+ad/wuPXkOY9F0RcdNukR/1o94XLzHAXfxG8TQRA6HLKMuSypZxKCP++Kfo3xE+IdxdrFe&#10;3OoJb7s5jswD+BVK74fG3x2rborqzhH92HTogP8A0GppPjr8SzB5cHiRo/8Act4x/wCy1Lk47lcr&#10;7Hm/ifTNX+JV2tr4jfxNNax8rssS56+4q5pfwd8G2iqlt4R+Il1t44sVVT+ddy3xu+KEsPlN40vl&#10;9dhH9BVOT4q/ESQ5k8aagffziP61cakkFpLY56P4K+GriffF8G/Hk7fw73Rf/ZDWlp3wi1DTJVl0&#10;v9mrxM3+3PqBUn6jYKtN8QfGF1zL4t1Tj/p5b/Gq9z4q8Szvuk8Rag//AF0vJP6k0nUlILN9Ddi8&#10;MeO4fkh/Zu1BR/euNY6fkKf/AGV8XYJS1p8ELaFf+m+tDj8zXMS6vqUp3NqFwfXdMaia8u2G1rmR&#10;h6M5qeaQcvkde1x8coh+6+Hvh+395dcB/wDZqqTp8dbliWs/CsP11ZeP/H65pJ3C4kJP/AjT3uI2&#10;6LT5pCjTitWjauLX4852f8JP4Vt17KupA4+vJqrcaP8AG+RSz/E3wrF9JS2PyrLMinjZTT/ssy+2&#10;eKk1jGMR02ifHIyjd8bfDKKPvDbJx9AFNR3vhHxzqsyzax8c9DmdRxu0l5FX8DHUm9f4l3fWlMpP&#10;SgIqKldGdN4B8TGfdN8b9EVfW30Db+nl/wBauReApJUDz/H5unzLB4d6/oKfIfMXaSaSNUDfcH6/&#10;40h9SvH8ONNtrlrhPjnrG7s8OjgbfwzV6LwnowXZcfHrxUfXy7FVyfX79IfLxjylpmxD1iWhxuP3&#10;XuOl8E+CJTmf4yeOJ/8AgMY/m1C+FvhnbHE3xA8ct2+W8iWoWuFDfcWoZMO+8IKmSbJjGxcXwt8H&#10;XO99c8dSt/ebWUXP/jpp58J/BfpLH4ym928SD/4iqqTxr1ipDPGxyTUOMhcr9pcmk8I/AE9fCPiW&#10;T/rr4mP/AMTUbeD/ANnkHfL8MtWuMfwy+JpOfyWm+ft+6tJLO0i7SP1qOSXY05SceGfgEFVofgux&#10;5ztm1+c4/KpF0L4GKcj4GW7/AO9rlzj+dUQSD0p3me1KzGXJNB+Bhk8z/hQul5/2tUuT/N6aIfhF&#10;B8lr8BtBx/tzzn/2eq/n56pUJQk5qzL2ZpJcfDcLhfgX4VUdt0EzH/0ZTo734fwktB8FPCS/72nu&#10;383rJ80J8pFHnL3WjkJ5dTYfxB4ZBHl/CLwinof7H3Y/Nqa3inRoVzH8M/Co/wB3Q4/6k1kNLk5A&#10;qK4lwmSO9Vy2iNxjY2H8ZWUY3W3w88Lxt/eGhQ//ABNA8fXI5HhLw2v+7oEH/wATWC8oZdoFRLuH&#10;U1JVP4dTom+IGoEYTQdBX6eHrb/4iqbeO9YLZGnaR/wHR4P/AIisrPu3/fVRcjooqZF8qNg+Ote/&#10;5Z2unr/u6VB/8RSyfELxKECF7dfpYw//ABFYpc5wIv8Ax6m8seVxRFByo0rzxbruoRNBdi3kjbht&#10;1jEf/ZaxZvDuhTyF18NWMndm/s1M/otdR8NPD1v4p8caboWoFfs/k3dwysuVdk8gAHkZ4LdcgZzj&#10;Nd14p8EaR4MWGaLS7e+87cyxw6XANnT++fek6koysZSctbHj8fhnw7CFmm8OadCrHCyTW6Rj88fp&#10;VpdF0CSBXTTtPkjZtvyQowznp0r0Dxb8Go/if4RstQ8Nww2epbpm+zy2MUSMoyNrOnA6cV5tovh7&#10;VPDOp6lo+r6TDYzW19saztpvMjj4B4PU8EVzQxNR1OVnOq1WNeMGkfM3xhtjD8U9as4/lhjuwqRj&#10;hVXaOAOw5rmzbw/c+br/AHhXXfG0ND8VtaYhfmvFPT/ZFco0ZMm/Ar2IS93U9K48QxY6yf8AfVKI&#10;Y+xk/FqeCmPuCnIV3f6sVoabjrdIhHhm7+tSbYf71NXB6IKdj/ZoMZRdw+Vf9WfrzSYJOTj8aULk&#10;4ApwgL/KCKCRqIrOoxVo6ee83/j1LawENghfyq3sNAFVbFs8zf8Aj1TQWUO35iuakCKPvjNTRW6H&#10;lFFAFS5soMZBX8zXPaxYm41OCJUbyt25sNgA9jXV3MEbsQIxmqUumAnkDpRuVHc2PiL4pg1/wjpu&#10;mqIWkhlIPlzbsKq7QfqTXn+hWzf8JFaiE7V85fm9ea3r+wNvHu8373ovTFZOk/J4qs2CLgSbfuip&#10;tyjlE9203SQ2nWrs33owf0q1/ZsSj5Y93vVrQ7cS6Ras5GBCP4auG1jxgYx/u1wxjJyb6GfKZP8A&#10;ZyHrDR/Zsf8AzxrWFpb/AMTr/wB8ij7Ja/3h/wB80vZy7BymaNLTGRB/45R/Zg/54f8AkOtL7ND2&#10;FH2eL0/WoDlM+PTB/wA8P/IdO/swf88P/IdaCwQr1U0vlQ/3TRcOUzv7OVDkxY/4DimPpVrI29l+&#10;b6VozJEq5VagKkDNVHYOVFT+yrb/AGvzoq1RVByo2NoPWtC2J2YzRRXYQXLEkbiPQfzq+vSiipXx&#10;AT2n8VTUUVRnLcKOnQUUUFRCpB0oorGt0KCiiiiOwDoxjoKdRRVAFFFFABRgDoKKKACiiigAoooo&#10;AKVPvUUUAPooooApjrRRRQaBRgelFFABRRRUy+EAooorEAooooAhk++abRRW0djMKjuv9X/wKiii&#10;XwilsV6KKKxCIVHRRQakZ60HpRRQB0XwmkkT4kaYEbH/ABLdQ/8AaNe9WsMc9lE0qbiLfiiiuWp8&#10;TMej9Szp8MdtpMMcAKqzNuXceetfOnxCOz4xeJok4X+0Lf5R/wBe8VFFRR/iIxj/ABkfKPx34+KW&#10;tf8AX0n/AKLWuXP3vwoor1fsnYSDpSMflooroOgni+5TqKKAHJ1qSL/WCiigxl8RPAf9Iq3RRQSA&#10;5PIqxF9P4jRRQA2X/WGo360UVUSofEUdY/1S/jXP6f8A8jPZf9fNFFTLqaS+E+j/AA5/yArX/riK&#10;u0UVx0/hMQwPSjA9KKK0AKKKK4JfEAUUUUgGT/c/GoX+7RRWtP4QGUUUVYH/2VBLAwQUAAAACACH&#10;TuJAc/mzse+fAADlnwAAFQAAAGRycy9tZWRpYS9pbWFnZTQuanBlZwAAgP9//9j/4AAQSkZJRgAB&#10;AQEA3ADcAAD/2wBDAAIBAQEBAQIBAQECAgICAgQDAgICAgUEBAMEBgUGBgYFBgYGBwkIBgcJBwYG&#10;CAsICQoKCgoKBggLDAsKDAkKCgr/2wBDAQICAgICAgUDAwUKBwYHCgoKCgoKCgoKCgoKCgoKCgoK&#10;CgoKCgoKCgoKCgoKCgoKCgoKCgoKCgoKCgoKCgoKCgr/wAARCAFjAg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WCNt+Sta1grqgyKrW9r8w&#10;YrWvYWgZcYrhlsdgtsxMnNaUJ27SKZBpiBuFq/Bp4Kgla5QI4pXz1q1HJIRkU6LT07IaswWSq3Io&#10;AreZcVJaySyMwZatfZYh2P5U6K3UE7FNBdP4kQgS/wB2poVIbJPaphCncU0R7egqo/EdJXuj/ozY&#10;rAsNOsLrUFup7ZZJYpMwvt+ZPxrfnUmBvlrN0GAG6YsP4sVy4hc0iobs6KGMlFxVqLcFwRSwwjyl&#10;Oeh9KV9xb5RWy0ikcsndBSHf2FKA+eVqVYiwwymqMyD94ei1JGHxytSeQAfumrSQqqCgCnUgDY6V&#10;MLWMtuzUmz3/AEoAqBG3bunavS/2ZH0218WXX9riBoVRQ32jCqSW+Uc8denvXn8dqbqVYU+8xAWv&#10;av2fPh8PCWsSar4xubVY5Y1KqZEbJz6c0GdTdHB/tIxSD4t3zt97Ygx+Ari4o267a9W/aL8JXWpe&#10;NrrxbpAW4sGiBLRybmTHcjtXmtvHC52qaDMh8mTGcVLHbyccVYaGMDb71LbRRO+wNyvUVvTjY2j8&#10;JHbQuoYkVaijfstSRQJyoqzbQwdQ2a1MpbkEcEm8cU67t2VwdvUVfjgiZgwp88ALj5c0CItPhYRq&#10;CtXI4WHOyn2NtHjr2q9HBGB0oApwWzufuVoWlqyr92pLK2Vz9ytS1tIuma6DCW4WkcixBcYrStoi&#10;64xVeONRwDWhaoduQKBMdFA6nhauW8UhG04p1vCjdTV63tRgnbmg5ZRuh1tbdPlq9HG2Pu0yBFLK&#10;DV+KGIJ17UHKV0jkLbttW4YTxlV60QwKBuJqeMZbPvXQAbDRsNTUUAQ7DTJENWabIV6GgqLsytsb&#10;0qK5idsYFW9qnpTXVSvBoG3cypg2cYqCcHpWncQxnkkZ+tUZFUvnNBBj3aN5lV5EY5rQvUAkyaqy&#10;hcbsigDJuEbfVG7Q4ata6jXbuxWbOVfK8UFR3Zl3CkN+FVLiAlcstX7pk3YU9BWfPddVag6HrYzp&#10;onUnIqs5I3L7VZuboMeRVRmQhju7UBy8zuZrHK81TMBbLbe9Vtf1260y6ght9IluElk2ySRuAIx6&#10;nNS/b0K/K9Z1Nzan8JXu7Zl5xWVfRvz8ta893+NZt9dxbTkVmaGLeI6x9KwNWOFYV0d5e2zRlA43&#10;Vz+tMjRMVK/Wi4GXuHrRTML/AM9BRRdAZVrblsfL3rYsLbyyvyVBaWhXqta9jb4VcrXOegTwQIXH&#10;y1ft7YRgHbUNvC24HbitBY8oBWXyAj8sH+EU5I/m+7ThEp60+O3VmwFNL5GiiM8s/wB2nJGc/cqT&#10;7MP7rVNa24ZypUjijQJStsQeU39yhYG5ynarv2OKnJbqpbn+Gpn8Ic0jNu7YLbbin8JrH0iD/S/u&#10;966i6gU2vT+E1h2UB80uRj5q56j92JvT+J+hvW8BeDC9MVNHBtGCop1hG3kD/dqxGbfcVLfN9atH&#10;N9kr+Qp6qKswoqRgAU8JE33W/Wo7pmggkmjj3si5Vc4z7UyQwPSlHI27a88134teLNCuvsureG9H&#10;sj96Nb7xJDGxX121X0/47XmoXUdhayeFWmlcJHGPEasWY9BwtOwrnpXlAYyPvVm+KfEugeD7IXmu&#10;6lFDuz5aswDSEdlHeqy+Bv2i73UGuY9M0uKEqDHCNR+VD6525rwL4k/Fv4xeJvjfL8KdM0W1t9S0&#10;SJ2fWPsnnW6MF3Ou9l2hsexOauNNvcy9qb3xW/bl0PwDpt1Dofw217UryHv5Kpb7T0cy7uB9QDXk&#10;a/t3+J9dabW/EXwZ0Kxsodp3GK4uJ5vwEy/0FejfC79k/wCM2sfFeTx98QPFmm3x1LR2SbT5mLbo&#10;2XcqlQvQe3rXZab+w74s8RXyWPh74rWtrZ2s3nQWtnbrGME8pnywXA6YJzW0YxMJSlJnmWg/8FU/&#10;B/hvw9JpvhfwXaabNefJeFSA3oC0TzAkDn7pJ5r3H4H/ABct/id4VXXf7V0+4uGb5hZkphSMjKkk&#10;g1zfxE/Yr8H6xfxz+OIvDVzMsmPM/stzkjHB4FdV4W/ZKsr/AECMeFLzQ9LaBtkc+l6XJbSKexyh&#10;GR9c0fu9xKR1R1xUcyE59euBXmOr/tKav4b8b6ks3gWO4srdVj86PUCj7QSQ2GTHf1A969rs/wBj&#10;z4+w+EW1HTfihod5HAn7xr6zfzGB46jr+VePfF79nX4l+EdRuNC8TX+k6hJqVrHNI1ipUkbcbfm7&#10;fjWdavBRsdNPmlsegeA/iPZfEjwxD4i0e2kt4psqqTOrMNpx1XIP5mt/T7e687dNJ8v1ryz4O+I9&#10;D+Gng+Dwz4htrmwkjmfb5ts2wqWyMNyD+favQYvF1hfR/atPkkkVuQfLIqqNeioq7HOnUOrgQIMK&#10;2Km2O3/LUVztr4oBiBFmzHvuqb/hKi3AsTmtJYjDmajJHSWJWPiV81eiubXHI71ydtrF/M2IrNl/&#10;4Ca0IbjVJBsMD/gtV7fD9wN5/EWj2FxDa3N2scl1JsgU9WbGePwrWspFX52frXJx6bqFxcrLFp0r&#10;SDkMIzx+lbVnpvig4C2UwHvG3+FDxNLoznnTlJ6HQQBJm8wSba0LaVUAHnLWTZ+HvFNzGJFtX/75&#10;NaNv4T8SfeePH1qfrFE5+WsadsxCg7t3NakFxhOUrItfCXicYXHHatW38G+JFAMo27v7xo+sUSeW&#10;uWkuVLDAX8qvx3KMnRfyqlB4K19myJ0/76q/beCde3f6+Pb/AL1H1iiZvD1GEU6n5akWddwx61bg&#10;8EXpXeNQjq1H4MvCMG/j6+lV9fpD9jU7FDz09DSfaY6vN4LKna2pxhqT/hEYQ3Osx/8AfQ/xo/tC&#10;iP6tUKTXcWdvSoZ7tB901fuPDmgQ83Ovov8AvSis66034eQEveeM7aHH/PS8Rf60SzCCjoUsPUW5&#10;FJfxL1bn60ybU4FXBcf99VXk1D4M23Nz430+T1/4mSn+RrN1HxR8AkGJPFlmfXF4W/QVl/aFy/q+&#10;hZvddsIZMTTjPuRWdfeJbL+C9jUf7TCq1346/Z4gG/8AtiCbHosp/pWXc/Fn4Aw7tiq3sti5zS/t&#10;Jx1sh+wl2Lk3inS8bpr+P8WrM1Pxno6ICt8G/wCuYzVa4+OfwRtVxDpkjY/h+xY/mapT/H34Tp+9&#10;t9Blyf4fs6D+ZrP+1Zvoh/V7jrrxzpnkkb5m9hG3+FZdx4/swv7ixvWP+zbmi9/ah+GdipD6THHj&#10;/nrNEtczrH7Z3wd0/L3usaLZ46m61y3jH6mo/tWr0Rr9ViuppS+N7mZm2aFqLen+j4qhP4i8RTuf&#10;K8L35Hb92P8AGuQ1n/gpB+zXYhopfit4LjZR8w/4Sa2Yj64auZv/APgqd+zRYK2/4xeFf+2Woeb/&#10;AOgZrKWYYyX2SoYWmt2emT6x4ycbYPBtxk/3qomP4jT7h/wi7LnplsV5Dq3/AAV4/Zctxh/i5pLb&#10;T/y72NzJn8ozXNax/wAFnP2a7XL2/j2ebsot/Dtx/wCzKKzeLx0tkdKoUN2z3HUPD3xbkGYdKto+&#10;f+Wjf/ZVSm8FfGqT5oP7Njz/AM9Mn+tfPWrf8Fo/2fzxHqevTNjPyaIq/wDoTiud1L/gtN8H5VZb&#10;fR/E02OVYW0Ue7/x+p9pmXVMuMaKPpq4+G/xsmbdceJtNj/2Y4j/AIVTn+EPxJnJa4+JUMPqsVr/&#10;APWFfJupf8FqvBrfLY/DbX7jHQyX0a/yzXO6x/wWcu3BGlfB6ctu+X7VrB/kFqVHMJ63ZV6UdkfZ&#10;U3wU8Rht138R7pgfvbYh/iP5VmXnwQs1JW98b3kik5O2YA/pXxBq3/BYb4k3bmO1+F+mxe0moSsf&#10;6Vz+sf8ABVn46X0G3TfBejQnsTHK/wDM0OjjOrZSlRZ98/8ACkPCP/Q1ah/3/P8AhRX53f8AD0b9&#10;pL/oDaL/AOAb/wCNFT7Ov3Dlh/SP0atrbgHbWjaxOCvy0ltbcD5a0Le14ztr2PiJHQId3IqYIQuQ&#10;KdFFz8wqYImNtSBFCuOTVu0QNJtb+7Uaw8ZVKswxtG2cUS+EEtSULGBgAUBecoBSjPc0+FMuTmue&#10;PNzGiiRjeB0o2sc8fw1Y8pO4qSGFSGwv8NbS+EX2ivJCWtaxYkbdlCF+c9a6h7dfsn3edprDiiw2&#10;8rXHV0px9Tenq36Ea64IStvI6jt8vUmp/IumfzhFIN3qtUIlsBrYFuDu3Z5bvmu0aKW6UG8be+3G&#10;cVUObm1MLwULI5+OeaFeVar0Qaez80j733qtS6XHjIjqU23k2EixQH7vXFaGcj5i/azsmbx7HMse&#10;4NYx5PryRXnfgSy8jxdp+V4S6jZT64cV6x+0XaLrHigXZeWGKO3WNjNbuFJDdjjmuB8PP4b07WLe&#10;/n1mLbDIGKqp5wwP9KYpU+WN7n6BLpt3cafC8F55W+FT+lfIdj8Bf2lPCH7UGuJF8WI5vAGtT3Fy&#10;+mzSfNG0seGAyOm7nrXrl7+2N8H57G1tk1a83xxruC2rcYHSvOfiD8Yfhd4x1ttSt/iBr2nxSQGO&#10;aGz06Mkns4LDIx+VV7S2xz/I7T4R+PtX+2DRNRleLVNEkW01G3KjcCF2iQdyjL8wPQ16h4Rv7671&#10;C607XtUaCO2HmWV02AFYngg18e+Po/g/rdzH4m0P4m+LbfWoYfJjulhSPzl/uyhSA4HbgY7Yrc+H&#10;Xxa8FaJ4Wh8O+N/GniDVJI925prVfl5yNjqwcemCxB9KcajHyR5T6n1+yHjLWbeKz1PSba4t/wBz&#10;eQS7f3jHo68HgjpWmfh/4h0uW2VfEtrDLGylglwF3L6YxXzjpnx0+CPhp21XwhY64NUz/o99OisY&#10;/wDZwzFSPwyPWtzQf2rvDM9s0vxD0q+1S5jYfZprdY4SnOcnn5ufpXyeYcP4fGY76xKpNPTaTS08&#10;jrp1Jwp2jb7j7m0gAfDa5Uncdi5/Svnz9p2MDxpZuU5/s2P5sc1U0X/go58L7bwvJoFx4R1aNpFA&#10;WZtjDj1wa5Pxj+0B4S+MmsRarpt5bQtDbLD5MkxDNjP94CvYnG0OVXJo6SuzNW3juZFilj3KWG5d&#10;vWtbUf2l/wBnfwVdyeHda8U+HbW5syIpop9WgjZWA6FWYEGqUE9nHJHcLKuGdVDcbeTjr9a8J+L3&#10;/BE/wp8ZfiVrHxNv/jXqVq2uX7XbWsOlxMId3O3Jbn64FY06bqe7JnRWkuX3T3qb9uX9maxYRj4g&#10;+FY8D5QmtQN/I1FJ+3/+zDCAz/FLwyu3n/kJxn+VeA6Z/wAEA/hJt/034y+IZf8ArnbwL/Q1sWX/&#10;AAQF+AI+ab4q+LPX5ZrYEf8AkE11fU6MdOZnLGs7ao9el/4KZfsp2L8fFvQSy9vtDH+S1Vuf+CrH&#10;7J9t88/xY0Tj0jmb+SV5/Z/8EDv2ZGOb7xz4um29zqFuuf8AyB/LFadt/wAEHf2TYJwH1TxTMGH8&#10;WrRDHv8ALAKr6nh+7M5VJHQSf8FgP2VbINLH8UNJb02W1wf/AGWq1z/wWg/Zqtf9T49tZBtz+50+&#10;cn9QKbZ/8EKP2MolCXUHiCT183Wm/wDZVFbNn/wQ2/YjihVV8P6g2D/y01y55/JxVfVaO0Ww5jmJ&#10;v+C5H7Ptq3+j+I7qQj/nnoz/ANWFZ93/AMF5fgvbsXh1LVn5/wCWeigk/m9epaf/AMEUP2GI9ryf&#10;DvzG7tJrF7z/AORq1tP/AOCMf7DVtJu/4VBasP8AavrtlP8A5Grpp4SEdUmZ+71PA3/4L8fDJGzF&#10;Br7f9wdP6sazb7/g4C8HMxSLS/EJ9MWMC19Vad/wSE/Yls12w/BHQ2A/56Qyvn/vqQ1rWf8AwSz/&#10;AGLbVdsXwS8OjHeTQ4X/AC3A1fsafVC90+Kb7/gv6wGNL8NeI5F/vfaII/6VjXf/AAX58SybltfA&#10;/iSRT/e1aP8AotfobpH/AATS/ZBsU3wfBzw2rf8AYv2v9YzW1p//AAT5/ZUsT+7+FGif8A0W1X/2&#10;nV/VKMdbfiR7SK2/I/Me4/4L1/ESb5LLwFrhHbzNcI/kKx73/guD8dtQbGn/AAwvJBu6XHiCY/yF&#10;frTZfsXfs36cuLP4c6eo/wCvGEfyQVq2n7LvwMtzm28HwR4/554H6YqPY0uxHtEfjjL/AMFgP2nd&#10;Uk32nwVRi33T9suZD/Kqc/8AwU0/bY1c4sfgNu3dP+JfdSV+1MP7PnwitRmPwpD+PWrcXwT+FEYD&#10;r4Pty3+0zf41p7GitQ9tE/EOb9uf/godqC40v4HND2yvhW6bP41Vn/al/wCCoesfJY/Cy+jz3h8H&#10;zf8Aswr90oPhh8OIPlTwhYj/AHoQf51MngbwPb8ReE9NH/bqp/mKccPR3sg9pHqfhGfi7/wVqvw3&#10;keD9ct8/88fC6DH/AH0pqOO5/wCCxWt/PDpniRFY/wAOm2ifzXiv3jPhnwrEP3Ph2wX/ALdE/wAK&#10;YdN0tCCul2o29P3C0exjfZDVaHRM/CJfgt/wV814+WbjxdH5nO1b2KHH4Kani/Yo/wCCuHiHIuvF&#10;3iyPP/PTxPKv/oLGv3SmEMZ+SCEf9sxVWeRy2AQP91RV+yp9kNVJM/D1P+CXv/BUHxNHs1rxZqxH&#10;T/SvFl01TQf8ET/25dZP/E78S25aTljcavPJ/Ov25AULyarXWwyD5/1o9jDoi/aXPxdtf+CB/wC0&#10;3cyf6d4t0hG/i3RSN/WtbTf+Dff4wXGV1D4oaTC3/XlIf61+v8xQyEBv/HqzrpSJ22N3pShETkfl&#10;TYf8G93iWNd2sfGuzVs/dg0/P8zWva/8G+vhqNR/a3xuum9fJsVX/wBmr9M5Y5GlJx1qq8TK3CVl&#10;KUojUkz86rH/AIIBfBuBN+p/FTWJvdII0rX0r/ghP+zdaNuvfF3iK4A7fakX/wBlNffTxoRkDGPa&#10;obhoxG3K8LUyqSkyoy5Xoj4jtf8AgiP+yRby+bfrrl1/121Tp+Sitaz/AOCO/wCw9pQ3XPgS8um7&#10;tNq035cMK+rpbxCGwOay7iTfliaJTcet/U0jOUnokfP9h/wTT/Yl8PqptvglZzbf+fi6mf8Am/8A&#10;StOz/Yn/AGTNPbFl+z34XyOjTaXHIf8Ax4GvX7oDZ1/iqmuQ2aw5pOW5R56v7MX7Pthb7bL4K+F4&#10;gOmzQLfj/wAcqaH4V/D7Qotmk+C9Lt93yjyNOjTHPsK7u6K+VyazNVC/Z8gjPaok5RYHkv8AZHhv&#10;/oF23/gOn+FFY/24/wDPxRRzS7gdRZwK23NaEUSY6VDb27bQTxir1vFlVGe1eh8RoR+SlCwruGBV&#10;owN/DTorZy2SKoAjhTjIqZYVC8U7y2Bz/Sp0j44NR8TAg8vP8VSQrzipPJY9P5VJb27lyT/KnygR&#10;+X71JArDdgfw1MYGIypz+FSRWzjnH8NLlWwXI2UmDOP4TXJ65czWNr58SlmLYHtXZNbnyMMvO01i&#10;QQRSS7Z492XxyteZjL2hbuVR0lI5rwXY6hqGtM91EflXcp/GvRkHkhUfrRbadp9kouII1VtuOKz9&#10;VuvE2ry/Y/Btlay3UM0ZkW6m2K0ZOCM4ODj+VdVNme8rGkxB4FWYtphVMj6Umj+D/G8zgarBpsTl&#10;cssd6Wx7fdFV/Fiaj4LME98kcizNhfKJOPbmq9pEvlfUsTaNp94my8tI5Rj7si5/nXM698DPhT4i&#10;Lvq3g2z3N1khh2N+YrsrOb7XbrKuPm/h9KuCxTZkirtzCPIj+yF8FpzvTT71P9lb5qVP2QvgzGd3&#10;9m3Z/wB6+evWlh7eUKJrRSM1XJB9DOZ5Pd/sr/ByBAo0OX/gV4/+NNsv2ZPg/C7SN4e81Txte4c4&#10;/WvRtZU5AVCfpRDbpHbb1Uj8KuNGKMzgx+zp8JImHkeE4/TmRz/WrLfs/wDwwhgOPC1v933/AMa7&#10;OEYXp370XLExNgj7tP2MR3PN7v4L/Dm0lzF4Xt8/7p/xrl/E3g3w3pkrx6fotvHtHy7Y69Snd5Lh&#10;lLfw1xPjlU+0Sn/Z7VShCPQyb1PiD4z/ABL+IGifts+GfAWl+Lr+30SbVdMdtKhuWWBsyKTuUHBy&#10;fWv15a02HcTjPNfjd8fUY/8ABQXwqVH/ADENK/8ARgr9m7ldwU1y4iNOM9FY055bFixRRECD2qwA&#10;AMVFaxhI15qWuaQJdCSF9qFcVetZUJ2lB6VnoR3OKmjc7s5rWOxMjTSBJDuAqzFZg9BVOzlATIar&#10;CXODk/pW9H4iS0kJU4q5AwGCagg2OgfNSg4Oa7ugFyCTAxuqxA6IOe9UYWOM4qdJF6FxWHUiRopI&#10;QetTIy45qikwBxuX86sLMuMbl/OrMUTeauMbaFmXP3ah/wCBf+PUhJA+/QP3S35y+h/OgzZGBmqe&#10;4+tG85wGoAtiUZyRmmXE6qMhar72HU/rUcspUZ60BoSNISM5qG6lKrgGoxNIwzmoZ5B0LUANkl3H&#10;Jao3ZcZNNdweajL54JoAJHXPJqjdkNNwe9TTyPnCiq8mN/JoAgkUb+lVpgS+R2arEjDdkmqs08ay&#10;ZL8UARC4COwx/EaqT3ihmyKZcXEaOzM+Mms66udxYhq561rGkB93fqASorLudTADYXtSXVweTuqi&#10;zBgwrnNBjzk52iq1wMI2DVjyW25IqvcEhGo1NKZUuFPlBs/xVWfpU006vFtU9DVeeUIMUWNNiveE&#10;BMk96z71kMXBz81XL6QSIVjIz1A9azbhiYck4w3NTJaAfMv/AAm8X+xRXkf/AAkZ/wCe9FYgfZiR&#10;54q1bwsBu29qbFHtZQRVqH7/AEr0mzQIgQOVqSPrnFSBD605ExSQBjPUU6IEygU7B9KfChMnINWB&#10;MgG7pUqcnkU0DHApyAg8ihClsS26YycVOqqWXK1DB0zU8ed+fapXxGUPiItQwBn2NYcTDdHx/wAt&#10;sfWtzUAxXkfLtNcH8QvFUPhXRYbyS6hhaSRkSSYZVXI4yPwrzMVzSjG3c3ov4/Q7mZl8tSCp+Xrm&#10;s7w1NPB41ltreQlp4PljVvvYOelfJHxO/at+Pmj+IhYfDvwXa6rZW8SmW6W1yrPznPy11PwA+KXx&#10;u8W6jD49+Ien6boepWvmRw29jJ5e+NuhPHWtZ88Y7GEOXnufYEem6r95Y3HrntWT8TNOvI/CNu1/&#10;G25b4FGx0rk9G8Z6lqSmS98d3qyM3zR/aNuD7YNZ/jb4o+HtJ22OteLYmWOQMzX2pcZHrk1nGL0Z&#10;vKUb6NneeCS15JerNE8i20aFUh+9nv8AXtVnVbyT7LZ3ttb3duJZSskN0u1x7EVwc3x6+HPhnT5N&#10;a0Dx5ZxzXcShVWZH5HTqKg8M/tC+DdcMI8Y/GTSr28DZ8uNolCMTwvGOgrS9RVE+hF/dtY9UtlIi&#10;G/OfU1M6K64CiudsviN4T1CXyLHxJa3D/wAKwTK2f1rSt9ZhmOFuFP8AwIV3U+XqY3uTSWOWyRml&#10;FkQuNlKup2uPmuVH+8aDq+nqdpvY8/74rXmQEbaeCu0p+dNn0i3+zs2P4akk1iwRNxuojj/poP8A&#10;Go5/EWki1bdcxjI/vCi6A5bUdPSOVjF97bXn3jW3dJ5gzdq77VfEOnJK0gnXp13CvNfiB4o0+O8l&#10;madWUrxz1p3M5xdz4d+Pg2f8FAfCjZ/5ftLz/wB/BX7LyYEnzV+M3xtvrPVf27vC88D9L7TPx/eD&#10;iv6Ev2evBXhDXvATan4g8N2N1N9oZVkubdWIGBxzWFaEZSSZPNyRcux4akpVflGeKI7jdkHtX1Je&#10;fDr4b26l/wDhD9JiUAncdPjP8xUVj4Q8Bytmx0HR5Btz/wAeMDfhwuf1rOVGmtLnNLGRVQ+ZFcMN&#10;wDVYi3NyFavq7TvC/g+WPjwtpykcFVsY/wDCtS18K+GFTaPDViPm/wCfFP8ACrjhvM2jWjU2Pkq2&#10;4iHFTJ8y9D+FfW6eGPDyjCaFZAe1on+FSLomj2wzDpVuvP8ADbqP6VpGhyu9y+Y+Ubdbrb8sT4/3&#10;atRxXLbSyN/3zX1Ulvbu3Nuv/fIp32a37W8f/fIrXk8w5j5fitrtxtjtZH/3UNTxeH/EMxzFod4w&#10;/wBm2Y/0r6XKxpx5X5CnCMbcijlDmPm9PD3iPGP+EfvP/AZv8Kmj8M+JZDgaFff+ArV9FRiQkhgK&#10;kVCFyQKfKHKfPQ8I+MAML4Zvj/27tS/8If4xf5T4Zvh/27txX0Ft9/0pDuB4X/x2tuQn2cTwaD4e&#10;eOJR8nh+6+rKB/OrCfCfx9J+8GjMP95l/wAa90DSdPloBcDORU8pShFKx4f/AMKm8eA8aMf+/gpB&#10;8HvHkrf8gsD/AHpBXuW5j0NI5cdqfKiVTijxA/Bbx10+wRf9/hUMnwO8eTScW1uv+9MK9zXzT0QU&#10;hWQk5FKSj0RTikeJRfAHxqx/eXFmv/bQn+lSN+zn4qcZOsWa/wDfVezbJPQ05YyxyTUknip/Zu8V&#10;5416z/75amn9mDXrh90/ie3U/wCxCTXtwj7mjYM5pqKYHiqfsqXTnEnixR64tz/jTP8AhkiCR/n8&#10;XTfha17fSlcDJp8kQPEv+GO9HkXM/i24P/buv+NNT9jLwtjNz4pvm/3Y1Fe3VHKFH8H6VPs4geLx&#10;fsbfDlW/0jUtSkH/AF0A/pVpP2PPhEjfNDqLcd7v/wCtXrjyRAH5PzFQmTJyQPwo9nTM6kmo3PLU&#10;/ZI+D6OGOn3p9Qbz/wCtUy/so/BVBtPhuWT/AH7pj/IivSGkXftxUxVR82KFRgznjVqHnI/Ze+CU&#10;S7pPA8Mn/XSRz/7NUi/s8fBO1GU+HOnf8CRj/M130suFzs/Sq926mPp+lZ1KcblOtKXU4uP4L/CC&#10;HiL4f6SOehtQf518qftyeHvDvhn4iQ2fh3R7Wzj/ALLVmitYVQZyeeK+0SoL5A7elfF3/BQCfb8U&#10;toPTR1J9vvVy4iMVHQ0w9SU69rn41f8ACSt/f/WiuM/tdv8Anr+tFcJ6VmfqYP8AWLU6etQf8tBU&#10;6YINd9zQshhjrT4v9Yv1pijI4Bp8asJFJU9fStYxB7FpetSe+Ki3r608OrDrWhnqSxf1p71HHgDJ&#10;z1qQr5v3D0qZLTQLMcZBHFyKpzaibWNpVqxcBvJNZ8nMTJmo5WohZmVrPjW7ghkK7vlQ8N3r4K/a&#10;o/bO0p/E8fwn+Muk6lMPM+22cekxokYTcyrl96t0HIPevtvxEXcTpGv/ACzYV+a/7VfgFfHn7ZXh&#10;3wtdWxkju/DvmNErY37J5sA46d687HuMYxW25theumrJbT9pT4QWMn/Ek0fxfbK3UWt8Fz/5Frod&#10;H/bb8IaSYzBpfi2VkOV8+eFs/m5q3/wqzRfAEitL8E/D97ZrHGsl7feJ1s0V23bU/eKcthT0rT0f&#10;wh4OnC38Hwu+Htu2f+WnxEiO38PLryYVfaL3eZ+jPTlCnTlrYiX/AIKHaIxbHg3Ui3ZpIbbNVbn9&#10;uLwtrJH234c3kzH+MW9rkfmD/SukXwF4Iu1D3HgX4as+fm3+PR/7LCRUp+HHhWKPzLfwL8M1T+9/&#10;wmrkf+ia0/eWvyyM+bD90cxqX7V2g+M9LPhu78IaxHbzL5beW1vEQD2DoCy/ga9f+EGi3esaDaHw&#10;/qem2McMexVvtXTcR1G5hDkn656Vwi+H/Cdn8sXhH4Yf7Tf8JZK2P/INWrSHRYtq22jfC1O//Izz&#10;/wDxusZOo9oyH7Sj/Mj3GL4beNZkOoW3xO8IwTRr8irrTq/5i1rjPHfxO+KXw7nayu/HGm3m2PP+&#10;j+JH7dh/o1ceZ9ORONH+F7+58RTf/E1nXl5G1woWw+E6jb82/Url/wBQKzj9bvpFidTD90ZWv/tw&#10;fEWzmEdrpd1J83zMPEr/APxiuf1H9uz4kjkaDfSc/wDQxSDP/kCuxe+0eONhJYfC5W/vRz3bY/Ss&#10;651LR0l+ST4cfh9pI/pXZGU7e9GX3mcpYfujlW/by+Jytt/4Q+6x3/4qOXP/AKJFWIv2+PihHHti&#10;8AzNx96XxHN/8arpoNf08OI43+G59AIbhv60651i3f72rfD2HH/PPT7n/GtKfNJfDL7zJ1qMX8SO&#10;FuP28fipNNtn8Kyov92PW5//AIiq+o/t5eNprRrW88DNIrcM02rTf/EV20utROf9G1rwDu6ZGm3G&#10;f1Nc/r2rXcYY3HirwCqqON2kzH+prWNOte6i/vM5YijLTmRwXgTx6/xH/aI8K+JrnRks5m1yyXZH&#10;ctIABKO7HP6V/TJ+zfmX4drCTy19IPpwK/mk8JSLc/tCeFbmO8065H9tWQ83S4DHCf3oyMHkfjX9&#10;LX7Ohmi8AmURfcvmb5u3ygf1r1FdcqfY8vE2lTkVPiXrV5qHitfC8WoNDBAo8xSDtc9TnHtWVqH2&#10;zQHh1fSZpd8TDzRFalF2j3J5rofHmj2+na63ieWC8uEmYBls5hGB9T1/KqDNa6zcRaRFY3kn2pgC&#10;0eprIYx/tAA8D3rmrc3tGeDK/tD0jwrfJeaVa6mB/wAfCgsPciumtvlt+K5rw1pcen2FvpkEhdbf&#10;gMzV0kEqiPa7CvWo/wANHr4bRE6ZZc0URyRqmFahimeGrQ6ZDl2Y5o3KOBTc0UBzBRSEnPFJk9zU&#10;3ETYHpRUfnx9nX86PPX++v50+ZFklFM+0RDq1KJoycA0wHUZx1ppmReppvnxtxSuBJuHrRnPSm7o&#10;vWgNH0U0uZAOoppkjHV6PMjPR6OZAOo3D1pu9P71G6LOM0cwDgVHANFNOztR5h74qgHUU0yY6kUn&#10;m9sigB9IzBRSNInZqa0sR780AQzorszZqDAxxUstwmdoNQ8qPnqGY1LDsDqBUnBqEyxjjdUnmx/3&#10;6cTlkl0EmICVWnqaeWHby4qvNID905rOozGfukcgARj7V8O/8FBmX/had3j+HQk/UPX29LKgj+d8&#10;fWvhv/goJLF/wsvVpo5FYR6EnQ+iMcVyVvhNsvly4hs/Av8A4Sab0orD/taD/nk1Fch7vtYn7TDy&#10;C/T/AMdqeFYivA5/3a5xbvUQedYb/vzUy3+pqM/20f8AvxW31imugjpot3rU2DnDPXKxaxqXQ6r/&#10;AOS5qYa1eq2Tq+P+3ej6/S8/uD2c+503lKf+Wi/99CnRRKGx5grmzr1331tf/AenR6/es2F1eJv9&#10;loMUvr1N9xqnUvudZHbqw5kFESwoSDIM+xrnodfvl/5iNt+MZpkniLUl+ZLu2b/gJFT9epmjo1O5&#10;0jbSjfT0rMlVgzAMKp2viLVtuTLaLx3zVS61zUDIS01qP+BGqWOpX3uQ6NTuZGvSojT4/wBr+VfC&#10;Xj2SxH/BQrwX5y5E3hm7ULx2llI/nX2z4g1q/wDOnBuLXBz0Y5xXw38VQ0P7enw8ut4+fSL1ePTc&#10;x/rXmZlVjVs12Z1YKm6cmjrP2oLBLzwG0YjUBtStG+7/ALMwryPRfDqRx4RfvGvbP2hrf7T4MV2G&#10;VW8tefwlFef6XaoI1Oz06V15L/uaZ5uaytjLehQsNDC8nvW3aafGsCxyRIfwqWGHDfIlWltYyN2K&#10;9SUUebOUuhROgW0r5MCY/wB2rUHgnSmO5o1/75qcQqBgCp1KgcYrG0UyqXN1Gp4P0lE27E/Ksubw&#10;5pW4gW4rYMi7fvVRUkHpRoyqjfcxb/QNPiX5YgKwr3TLNXxt/SutvRuJ3Lxmse+t4S+Sn5UrR7Gd&#10;33MeHT7eJg6LzS3NtnmtOK2hONqUy6tjtJC0WstDGprIxFgMb7gaw/FURaJ8mupMBByVrnvE8eYG&#10;AFbU9jBfEZ/wfRU+LfhXcf8AmYLTGP8Arqtf0xfAnxj4Z8OeCWsfEOsx27yXBbbIp5GB6Zr+aP4T&#10;KU+L/hUbf+Y/a/8Ao0V/QfYw4sISP4lz+lcuKrOhaaPRlH/Zz3U/Ev4cR7gviW1kX0YNx+lV4vif&#10;8PlfMGtQRbm+9tP58CvFHjGRkUm3P8K/lXPHMJy1SOH2UT32z+MfwyskKP4jWR25dhA/P6VYHxy+&#10;GKjK60v/AIDv/hXz0scm3C1ZtoyIcMO9X/aVY6KcnFWPfP8AhfXw3X7mryH/AHbV/wDCl/4X98O8&#10;c6pN/wCAr/4V4QuzowpT5R9aX9pVOwOpLc92X4//AA9HS6uGH95YOD+Zof8AaB8AbcpNcf8Afkf4&#10;14WjRqmMU7Kk8L+lWsdW7B9YPb/+GgPBeflF0f8AtgP8aRvj/wCDv4Ibpm7Dyf8A69eLoTtxuH/f&#10;NOjYCQBnX8v/AK1P6/V7B9Yl0PZP+F5+Fm5GnXf/AH6H+NMk+O/hdR8mn3ef9wf415MHj/56D8v/&#10;AK1AkjUHMtH1yt2Qvb1O56sfj/4eAx/Z11+Q/wAab/w0B4eXkabdf+O/415WJYQPu0157fb92j61&#10;V8ifbVj1WT9oHSAvGiS/8ClAqJPj/ZGT9zoX/kYf4V5a00TjaEqMMITvD/1qXiqu+gvbVn1PVLn9&#10;oKOPr4eb/v8Af/Wqv/w0aEXEfh785v8A61eZvMr9X/8AHaQELyDml9br+Q/aVu56TJ+0dLjP/COr&#10;/wB/v/rVC37SF51t/D8fvukP+FedyMpX5qhldQPkAp/WsR5B7St3PSf+GkNV7eHoP+/hpk37SOur&#10;/q9GtVH+0xNea75D90LQzqV+cfpUyxWID2lbueiP+0n4kH/MLtP++jVK4/aT8Wb8rplv+G4/1rgZ&#10;mi2kKKrTFlxtU1n9axHVic63c7yb9pLxq5ylpbr/ANsz/jUDftFfEDblWth3/wBT/wDXrh8EjBBq&#10;KQ/w0PFVujJ5qvc7SX9oz4kZyk9qP+2NV2/aH+JrcrqkK/8AbuMVxNwzK3A6VDJLuTlWx6Vz1cXi&#10;baSFHV63Oxuf2hviiDkavD/wGFapT/tB/FcjjxOV9hCv+FcfcD+6h/KqpWdv4z/3zWX1nFdZGmj7&#10;nWXHx8+LcmVbxU6+6xqP6VQk+N3xU53eNr38Nv8AhWCyPj5nzx021UkHHD/+O1lPEYr+YvlR0Fz8&#10;a/ijIhU+PL3H++v+FZs/xU+Jlw+2Tx3qOM/w3TCsm68wJnA/75qqCFO5lH/AVrONbEveRnOFzWuf&#10;iL8RCG8zxxqhX/r9f/GvJPjjqt/qWkavqurX8s0g02YvJNIWY4jbufau/umRkOK8v+OMmzwfrrHo&#10;ukXWfwiNdeFqVJSs3c6MNTjGVz8Lvts//PI/99CiqH9o3HrRXo8r7Hefu8lunP8Ao6/980rQRr/A&#10;KfGg6h2pWGRQ4vmsXcZ5SjhYx/3zRFErSBXRf+BLUuOw/wDQaWMN5i4b/wAdrb2fmZkgsbVuoj/7&#10;905LG0ByFj/7905UlY8P+lOSOUP/AK79KPZrugvy6ob9itP+ecf/AHwKDY2ORuhj/wC/YqULJuwX&#10;FK0Tp8z1P1ddLFe2kRtpWnSRc2sZ+q1n3ul6ejfubCNvbaK2sHy8Baz7pW8zdiqjRjH3mVGpK+px&#10;OqaXZm5mefTI+c8eWK+Gfj7bx237dnwzKRrG0tnfx4UdlOc/rX3rr6N9pkGO9fCX7RsSp+3H8LJD&#10;12akv/oNeVmnK4q3ZndgNajb8js/jhb+d8P5uP8Al6tf/Qpa8805EWADPavSPjWCPBbQ7vvSQEfg&#10;715/plo5t1+XJbmt8j/3P5nn5rHmxjZYtskhQKmKSg4GKdBCYm+dcVMvlkZK17EjzbFfbIO1P5A5&#10;qbEfTbUXBrCpsVHQaTxiopchNwFTN06VE8UjLiogTUKroXDZ+tZN6jbxxWy8MnzKFNZl1AwfitPe&#10;7GZXtYyzc9qddIcY2dqms4GEnzGnXcDtyq8Yo+RjPcyZYRjfiuY8RRDDMf4q66dPkxmuU8SKEVix&#10;9a0p/CZX/eIzvhkf+LweFiv8OvWv/o0V/QZp4P8AZ0GB/wAsxX8+Xww4+MPhj/sPWv8A6OWv6EtK&#10;GNPh5/5ZiuLMI3pHqfFhxsgYckU3pxU9zHJIAEFRGNxwVryox5Y2OX4dCa2H7vp3qxADt6DrVe3B&#10;WPDCrMH3Pxqhjsf7Ipce1FAzQIjOd3SgHBzRzu5orvh/DI5SdDlaR3VOTRGwC810vgHQNM1KO91H&#10;XY41t44dkM07YRZT0rF7hyGAqkrkDgU0yIflzXfXfgq0k8JWsKeINMhZZXLXLSYV+egPeuN1DRZ0&#10;1ZdItUS6lLbVa1kDB/cH0pWYnFlERTO+yNGJ9KCjRvtcMOa9C8LeFrvwvatqM1jDeag7eWYftCBY&#10;E9ck8k1Q8VfDe5kabVtIuIPu77i3mmw0Z9uxquWQrM40Msh2IxY+lKYZN/leW27+7jmvQvAfh6dd&#10;DkuJtBsZGW3MlvdGQbt/YEdqs+GtJt4NRt7jXrFY76a5by2RQyyce3QUcsrXD3jzBWGPmHfApyrI&#10;8bSpGxWP752/d+tdB4e0033j1kS6jtxHcO5aSMMowemK6qVPDQuL2a1v5I4b5cTQ/wBkuy5/vLxR&#10;GLkzSMrnmdzBdxQxzyWzLHKuY2ZeGFV5BIEWUxNtJxu28V6N450jQdV8N/abDV5I49Mtx5Fm1qUz&#10;/tc8807R9E0aw8Gx2N3rEsn2pFmQw2BkaFs5/h+nfFVyuMuUd0eewabqM1w1rDYyNIq5ZNpyB9Kp&#10;yuEkZJRt7c17DDe6Gt7JqTXN8bqW38oXC6S6bFHU8jrXOeHfDul6R8QLrSLWVb7ZaF42mQN855z+&#10;tS4y0FoefBGnuVtIE3SSMAq+ppl3BcWdy1tdQvHIhwyMMEV69rC6NLqs2mSaLZrqVpDGYbi4Xy4z&#10;wCxBHvWT4un06LS7vUPEumaPPcTx7bWfT5i8gbHVs9AABz61NSm1Ed0eZmQDhhVdzlzinSuXlyG3&#10;LUTON5U1yy2C8SCUHcwFR89xSysTM1Mw2eBWOo1KKB1DDBFVCODxVltwGfaq2crmqiVGVyGX+lVp&#10;I18pj71YlYA4zULg+Ww9WqZvUq5TnXPy5NV5oQRjFXHUlvu1FNGcdPepvENDMu4CI/lWvK/j6JIv&#10;h34mmP8ADoN11/64tXrlxGSmT615D+0u/l/CrxcS33fDt8f/ACXeunCy/eG9E/B/yPeijbD/AM9W&#10;or0+aR18p+47fFD4ejgeLrLd73Aqa2+I/geQZHiyyKnv9oFRahpXhxxl/B8DY7pap/hWLdaDoDf6&#10;vRJo3z0xxXl/21Doj0v7Nl0Z1Q+IfgHH/I02P/gQv+NOj+IfgDepPiuw6/8APwv+NcT/AGLpqj5t&#10;Nb/vmo5dO0gDiwI/4DU/2xR7B/ZdU7mT4neAImx/wl1h/wCBC/40/T/iH4P1e7Ww0jxFZ3EzdIop&#10;gzH9a8zvdO0qSNpEj+UD+6PSq3gRrWPxham1jb/WYOcVVHNI1KiSRE8vlCLdz29GLFsjHFTOzOke&#10;fTmo/LdZl+XjaP5VMc7ea93pc8+O+pMI/wBz1/hqnMF3YNXI2Ji2+i1TmXc5YGolrDQs53Xhb/ap&#10;Pl9a+C/2o1WH9tT4TzqPvTakhP4R195a2olnkCPu5NfBn7WX+j/tjfCZyet9qAP/AJDr53F3uk/M&#10;9DBbr1R2PxtUr4aYddpjI/7+PXE6CrNFHuH8Oa7z4zxed4Wkb+6yg+374/41xujxsqoSMfLivUyN&#10;3wZ5+ac31xjrpcS4FSRRIIxkVJcDc2cVLGg2CvWPPIDGn92qrxSK52HitJkGKhMY3E7amWxnUKWy&#10;b1FKOlW2j+QgLVSpMxH+4fpWNeI/mfKRW03KkVm3ezeNwoAjt42x83p1p8i4hYe1SwBCuQadJs2H&#10;ntS1ZlPcw5k4z71yvi+IeXJz3NdhIwMjID3/AK1y/jBV8qT6k1rTMP8Al4YPw1Ux/Fzww57a5bf+&#10;jlr+hDS+NPhH/TMfyr+fP4f7f+FmeHQ//QctSP8Av8tf0Haeki2UQI/5Zrj8q48wfuHrQ/glmADe&#10;1Nkj/wBrvToQQ3SkmYAZHrXj3ucNS/MNzUsH3PxqHcvrUsDjb+NaIqO2pJRQCD0ooKIz940UN1py&#10;xuRnFd0Jx9mAA/LWtoPiG4sE+w39sbuxOWNpzt3ev1rJTB79K1tD8Y694dia30q9WKNjll8tWyfX&#10;kVjL4gOyvdX0M+C7CWXwhujaR8WhY4X3rh7+7kOoG6sLZrTdJuiXJG2tJvij43djjXTtPpEv+FZm&#10;teI9Z8RzLc61dmZo+IztAwPwqpTiB6uzEzsJrq18toLfbCdu8Nxk/jWL8QL69/4RbUTqDworakos&#10;VQjcUHbivObLVby1vo9RErtJCyspkbO4g8A+1S6tq9xq13JfXX3pGLMi52gn0FV7W6FY9F+Hs1lo&#10;nhG8miljmu3t/tMibs7FzgL/ADq54f8AF3he91eGxs795mmk3rDHD8sbY5GT0ry/RNcutDW6jswo&#10;W8g8qbdz8vtTdG1288P6kusaeFaaMfIrLkdMUe2fKo9iOaRtajceErzxNIfNuNNt49waSH52eTd1&#10;rsPAmu6S9/MsHjLULxYLdpGhnttqgDvwK8puLme6d5rhFDPIWYL71qaR441fRdKk0bT4o1jkYh5D&#10;GC+D2z6VnGo4SuTtI2/HGqeFPFLTX7+LbyS4jjIhha02Lwehqv4e1Dwpo9urQeOtVtppYwbmO1t8&#10;qG9K5WRMljt3F/vGkstVn8PXy6jZEebH9wSLuU/UHij23vXKv7x6z4s8T+HLHTLfSb/xVqEK3Vt5&#10;nmJBuaRSO5PT6VzXw/Ggr4w1D+xtSuJLb+y32zTR4YccnHtXH+IfF2r+Lbtb7WJVZ402xiNdqqvp&#10;iodJ8Q3ugXElxpxUNLC0TEj+EjmiVXmkmV7p6ppvinS9T1aK1sdt9Z6fppF5eXFsOWA+XkjrWZ8R&#10;Br2rWVtDoWmwtazaZ511ItqowQ3OCOnHauEPjTX10VfD8eotHaqMLGqjn6nvTm8f+K10j+xE1+Rb&#10;bYUMQA+6e3SpniNyX5GLKNkuxRVG5TE5OatNJGHz5n4mqs8itKTmuH7KuRqxtFJuHal5xnFKwcrE&#10;YFlxmqWDjINWZblAMKarZDDIFOxcboq3G/zuKbJnYPrUk6/vchajk+7k1nU3NCH5t/TvTbgH17U/&#10;+L8aS4VvTtWMQKV0D5Jy1eLftSO0fwg8YuO3hq+/9ENXtV1/qWrxX9qqQp8FfGzE9PC98f8AyXeu&#10;/B/GdWHPwi3R/wDPZaKj+xL/AHjRXpnZyn7d/tarc/C347694G8K6reW+n2l1tt0aYsVX0ya4HxZ&#10;438U6XNHb2eu3Hz2qv8AM/civQ/+CiSrH+1b4o2/8/nT8BXlHxBjCtaOp4a1QZ/CvUrYPCwqwjGC&#10;1fYzo4it7OTUnsVH+IfjST7+v3H/AH0P8KavjLxRcssFzrc/ls3zDfWFJBMv3JG596Zbm5iuozKW&#10;27uea7pZbg+XSlH7jn+t4j+Z/ed5LHImnMRe3GWjJ3eceOK9l+HfwM8Laf8As/6F8cIdRvJNWvdf&#10;ktLiKWbdGsagYIHavG3kU6MSPm/cn+VfTHw7ljm/YR8Ps3/LPxdJn2+UV5mIwOHhRbUUn6G9PEVO&#10;rKYYu2F/ujFOaMrtJHamWmSxJ7VPMVKLtrJx901WsrjbUEo5AqrKSC6+9XLYbYpDmqcxIkY1Mfh0&#10;KOZ1g+VdyYOPmr4L/bM/dftZfCWdT11i+Vj9dlfeXiLAumxn72a+D/21gIv2n/hK3p4gul/RK8rM&#10;KKUIy9TvwL/NHofxaiiHge4mJ/iT/wBHrXG2EZMCEj+HNdL8bbp4PBnlqG+Y4/Kda5vR545dPiYN&#10;1XFbZH/upzZt/vLJtoz92iptmRnNQlWc7UNeueSB6UhxSYctsBoRJc4C5/ClLYzqbaA3Tr61mkc1&#10;pSRzAHK/zrPa1ugSxXj8aiz7GYz+HNZmqAggg1pskqr8yfpWXqZaT7lFpdifUWxyFOamfmNqhsA4&#10;GCtTyq3lMdvatI6LUzkzKH/HxXNeL+Yn/GulAIueRXNeMOIm49apfxDGXxIwfA7qvxK8Nlm/5jVt&#10;/wCjlr+heyGbC3z/AM8V/wDQa/ni8JjHxF8Nuei61bk/9/Vr+hvTX8zS7dl6fZ0x/wB8ivPzL4T1&#10;I/7uTBRnNQ3ABHTvUjOV700wXNxG0kMLso/iVCcV4sfisc5DUlucp+NQxJcThjBA8gU4cqpOKlty&#10;SfLCszbsbVBz0rePMBOnSnU2NXZvLVWLE/dxzRc+bajFxFJGx+6rrimIaJcyEFacQD8wc1a/4RnV&#10;jpP/AAkJQm3aQxqAOSaqm3uIYsvbybf7wXpVcstxkbAKdyMfpTk+ckM3/wBapNP0y/v52TT4ZJ2V&#10;cttiJ4rU1bwL4jsLhbIaVPIXCkNHGccjOM4rTlk+gGPCoY/dIp28Kf4qsaV4b1rWL9tMsdNPnqMs&#10;rPgitpfhX40ZvLMVqrf882m+bp6VNrgc2jRbd7Pz6UFizDY5x6Vs634A8Q6Bpy6pdpb+U/KmOYNu&#10;+lR6L4F8TeJLCTVdN09njhONo+859vWnyu9raiujMGT3oYhOWNas3gfxlAhkm8NXqqvVjbtxVC20&#10;fVtQiuJrW0kdbX/X7U+77U3Fx0YntoiL5CueKaGQNjdU/h7Rr3xRfHTdOZFkEbN+8bHAFO17wzq3&#10;h5oTfQqVmjDwyr91qmWxl7xVaZY5cO3ymqN8u9vNQ7h2Nb0fgPxRfXdtBFp6tJcQmSD94ArL35qx&#10;L8I/HLwq0VhAfM/1aC6T5voM81PLLcRyUZYAikYhed9aVp4f1q81P+y7fTGJ87y5H6qrZ9RTNf8A&#10;A/iTw/fSWlxp0kgVseZBGWU0csuiAz/lcfe/OlkiAGGNXL/wtqulaJaa7dlWgvN3k7fvAg4II+tX&#10;ofAXiC6tdPnt2h/4mW4WoZuuMZz+dRKPMBzpQdTVSdSZWwdorbm8K+JPPmt4tJmkNuzea0cRKjHv&#10;UPh3w/feK9UTQbFVFwzYXzOMms/Zlw3MfIxy1GX29flxXYS/B7VYX8iXxBoSsDghtQxg+/HFZHi3&#10;wNrng8QnU5LRo7pC1vLazb1ZQcZzSlTnHVo0ujnioxzx+FNY7V+atZfCuu3Hhg+KorUmzWTytynJ&#10;B/vHHQVas/hV4k1Y6esEUP8AxMN32ZvO64GaIXl0FzI5tidpqGdg0RVetWb+yn064msLxdskLMjA&#10;HjIOKlsPC3iC+vIrRdLuI/OkVVkkhYKM9+nSs6nvSstQnJdDHjWTeCR39KmuPuVteIvAXirw3rM2&#10;jXOlzTNbsP30ELMjAjOQcVi3aSwuYJ42SReGRhgg/SsZRcdCYvmKV4cQMa8M/a6laP4HeNin/QsX&#10;v/ohq9xvD/o7fSvCP2zJTB+z/wCOJFH/ADLV50/64NXbhPjO7C/FY/CX+0Ln0/Siq3mL/dor0zuP&#10;3N/4KKSwt+1h4oKv8v2r+gryn4iSARaeQ3/Lqn8ql+Nv7RngD9qL4iah8YfhvqoutP1ZllTn5oyV&#10;Hyn3qj43Ysunqw5W1TP5V7+J/j0fU8/D/wAGXoYwOeaa4QFSw/ipd6+tMmkRdu48bq9aUbROKK95&#10;HbBIjouFJ/1R/lX0b8KH879hGx5/1XjVh+aivmyI50ncp4aLj8q93+D/AI48MR/shr4Ek1uFdWPi&#10;5Z47HnzDFsA3dMYrxsX/AA5eh3rdG5b8I2DT8/u6jiIXhvT+lSCJzDha4Psr0OyO5Jbn909Ubgfe&#10;4q5DG6RNkdap3EckZbeKzpx5ZhL4TmNf5u3HsK+Dv24cL+0j8J5wef8AhKJ1/NVr7x144umP+etf&#10;CH7c64/aD+E7n/ob5Af++VrizRe5H5/kduB+L7jsPjzIkXgbDL824f8Ao5K53w+0T6fCfl+7XTft&#10;ARwjwbIPSNtv/f5K4PRNRKW0MYbgKKzyWX+yoxzb/ejppcKgCmmWwLSY20y3uEnXlqntyqPnfXsH&#10;lDI7fM9WYLb96SVpYwrvuBq7DE+d2Rii6Ie5Su7X5OBWfNHxit66jZocj+VY7p971oE49zNuo8xn&#10;FY93btvwBXSSwOOvpWTdCMPkdqDnqboq2UXzYIqxcxjyz8vapbQQjDDjNPu48wswXtUyMznHUrc8&#10;LXL+L/8AUtn0NdddZDZrkPFsivG6qfWijuZv4zn/AAowHjrQD/1GLb/0aK/oU0H/AJAtqcf8u0f/&#10;AKCK/nl0BpLfxroNwvRNWgZh9JBX9DHhibzvDllN/es4z/44K480+FHpx/gFiYEnG3+L5vpXceBP&#10;FU90PscemQ2+l2VmxvFKDL8dc+pNcTJtPJOK65dQ8AJ4Uj0BPENxamTD3jRw7mmbHQ89BXk0rnNE&#10;mtdRbwl4V0ifSYIw2pTs9xlQd6ggBeadoyaLofxcuLCTT/MkkulW1XPyx7lyTj9KzdE8UeDr7RLX&#10;SfEsk0Z0u6Z7R41z5iE5H0qha+M7G5+I8fim7iKw/axIzbeQoyB+mK39pCMtWUbvgYLL4n1w21tG&#10;19HHIdPjkwSZN3YGpfH8UzaBpMvjBVjvpJCLgog3CP6CuM/tSCfxV9rF7JHbtfGTzo1O5V3Z4rW8&#10;TeNhq3iZdWgjWaG3YLbxzKcFR0z9aXtKbp6dxHdwarZGDSV0bxHHZ6fIVS3tpLXLT4ODk+prG8f6&#10;w1sb6xtPGsbD7Q6NYrZnIG4/JnHbp+FZuifEdtT1HT7GXw1p0cMcwEZ8v/VZPOOaXxf44aDxJfWs&#10;HhrS5FEzr53k5Yg/xdcZ711fu3T3GJ4Bgsrzy4tMstYa6baLqSzkCp16E9h0616JqA1C3WaC30q/&#10;maaICSYXUY8vj+HJzn3xXk9r468SafbW9pbTKlvDJu8tF2h+ehx1rtrLV7jWLabXvEen6UsDWrGN&#10;lfdIWxhRjNTRqKOhJl+CNM0vW/HqmylmhitW3yC4lBkdgfu8dRmtzS/C9hJ4lh8R2+uPI91HcN5d&#10;19Spxj0/lXC/D/U7bTfGdrfahciONZS8knTAxXZSeM9DuNGm1208uFrW3lt4bdG6s5+8PbvRRlGM&#10;G33D3TN+IGh2lh4W0mZPENvIbaFgsS5/frv6r9M4rpPAWrnVfCrCwsViWGbYsMIB2rgcnJXk/WuF&#10;8YypL4a8P5kVmSzcSAclSWFdV4Okh8K6ZEJbK0t7eeHN1dTXSlyx6Hb3FOFT/aL2toZK5r+IZpI/&#10;DGoXLM0bx2zGNiwByB7Oc1w3w3t9Nuor5oNWuY76O3klkjX/AFciDnn8a6TxYx8TaJ/ZXhvWtLuN&#10;zZuJdyxsR6CuV+Hk+keG9V1C18R3abWs3jkSJs789hilVlzVka6nb+GLM213a6g9noscd0jLH9lV&#10;vMORyP8AGvPvE3ik67qMOm6rpy2ttaTMrfZ+W2g4IA6V0l54w+HuliwTR7yTzbC6aS3jhXC7XPIY&#10;n261i/FLRPD2nQR69pOpLI15cOzIrZwpGamraUdAZ03hq3it9e0ddO1GabT5dLnmjW642DGMfpW9&#10;Yx6Sf7JgiksBJE7Mscd18ykjoPWub8N+PPDdp4Qhvowm7T7Ex+dJxJvJ+6B6c5q54R+I+leKbp47&#10;UXCrD5bSNdTKqRKvdfqa2jOmhaKJi+Af7Xg1fVZDcxpp7Xsnmf6QVdGBJLKoGSa24r6XV73T5vDu&#10;vM1lHcBbiK4Uq8vJHVvvD2Fcl4PMGmeIdU8aXt4iWtmZQi7+Xds42iob7xBNpXgfw/qlhLC00d5K&#10;6iRv4s8ZrGMo8hhEtfEB0i8MaNItp5wXU7z9yM/PiY8V1lqkrab4f1RvCi26r/yy3lZIGLDAAPXN&#10;ch42vNT0zwx4bhe8gi1T7ZPM3lyghGZywOe3Wte81O7fX/CNvq+rw3FxGZWvmE270INXGpCLdyjY&#10;1Xwl4m1HUJJ7nxfdLYlmMlrBZsrFe4yK8w8F6loHh/4mwagZJF0+3uZNryZLBcEDPqa9T0zXtCHi&#10;WS2Gp6ZvVZTtS+kMmNpHRjtryXw54zn8La5JHatH9mlu/wDSMxq3y5OcZFRW9nGUXHuVF2O6udT8&#10;K3d400et+FT50xKiTT3Ldeh96y/jHFpiaLHbeINasf7Qs1AsbPTlKDy25yQfp2pt94v8R3/i9tH8&#10;H6pY3kD7XjxaRgoueVyQOcVT+NHxK1iDxFe+H7GWzktVt41kka3VmVioBGanEVqdSnJBJcwmg2+j&#10;aZ8PbrX/AA9qGoXNvJNHBqGmNH/rGJGQgGffkV2ugzaWG8KqvhCaDzfM8nez/wCi8dTx398Vxvws&#10;vdHX4dz2F7rpt7qXVle1Fsw8xmAGAM9Oa6CPxzqEHxF0HwaniCabyoympMzD55MbgDjjINTQlGnF&#10;OT6IztLmPNfilc6ddeIPL03wncae/wBrcSPLuPntu65xxXr2o6NrV6zX8etSQr/ZMKWFutxsVpyu&#10;Sfr0ryPW9X8TeMvH6eHtU1iaQLqLJH5j8IN3P6V6D4s1HxhdavKmjeC7fVNPhlVLWZ77ZsKjaSMM&#10;MVjTlHmlfvoVKMuxt6h4f8Q3d1DcTatcW8MWkIrR/ainm3RPAP0x+tfPPi+31y28Q3UXiEP9s8w+&#10;d5jbm/P09690+IN34xnt9Ps9J8Cw6lF9jQzq18QIZMcqPm5+teEeMtO1XR9cuItZsvs8zOXaFX3b&#10;ARnGajE8vNGyNKSknsY93/x6sTXgv7acgX9nvx1n/oWbv/0S1e73U0ZttueWB/lXgf7asgm/Z/8A&#10;HSRcn/hF73d+EDVeF/iHo4JfvvkfhTgelFM+0r/e/WivV909b2cOx93/AAX/AGMfi3+yV8TvEHhH&#10;XPGcN/o6TYsPs7ZEyjozD+FscH1r37xqpnu7SODDMtihNe/X3h2xvQ32zwNp7buSw5J/Oq6eA9An&#10;Imn8FWe5VC/Mo6VliOIYe0hJQ0iZUsvqQjaUj5zFjdOclKJNNmc7WiPWvo3/AIQrw+F/5EqzXP8A&#10;siopvBehEbV8H2v/AH7FbS4sjJW9mT/ZUv5keWaXYpNpawOv8GPpxXrvwv8ACnhm1/Z8m8QT2cP9&#10;qQ+JoYoZ93z+SVyQKx9R8MafGnlxeF4V91j6Vz9rpt/p2uQmCyEMPmAssakDr1rD+26eI93ltcJ4&#10;GVNbnsDKx+YL2z+lWLZiWwT/AA1DZsZI1LqclR1HtVhESM7x3r0Y6xj6GMdySqWqIFOR/dq3vFVN&#10;WbK7v9mqCXwnIa//AMfbcV8I/t2hh8ePhXOB/wAzpIM/8AWvu7xA2bpttfCv7eQaP40fC2SQfJ/w&#10;nDc/8BWvJzT4Yer/ACO3L783zR2H7Q4I8FSFR83PA6/61P8AGvH/AA9rEwkWJ69j+PvxX034N6do&#10;vivWPC51e3kv5o5LPy1ZW+RSCQzrxnFef6L+3P8ADLXrtp7X9neFm3fNixg656cy1y5TWlTwluXq&#10;Rj6MamIbcrGhpd02xWPBNavmD+I1Na/tW+Cp33P+ztCuOcfZ4v6S1oRftbfD1VVf+GdoT/vWsX/x&#10;2u+WMqX+E4/q1P8AnRmwXUCH5pcVoW2t2MbeUvLEVctP2svhH1uv2bbfd/14x/8Ax6tjTf2wv2e7&#10;T/SNR/ZTsbgr/ei2/wApqdTESlFe6EcLTX20YMkkVxxk/d+XbWLOUEzHzcc16tF+3J+yVIm2T9jS&#10;2Mn+yxx/6OrL1n9r39l29/48/wBkWCD/AGl3HH5yCphjKkd4MJYenL7aPNbvUIELKWb7uKxb25wj&#10;SLkV6TeftSfs2tIZB+zltH/XEf8Ax2sq5/ae/ZquiYj8BGH+7D/9srSNetUXwP8AA5ZYWO7mvvPP&#10;4dXvN/lGbcF+6AKS+1WUx7WuW+ld9D+0X+y/CG+0fBOSM/7ULHH/AHy9VJ/j7+ytcNn/AIVK5z/0&#10;zlX+ppqpU6xZi8JCW1RHnokMu0NLtywyzdBXI+M7hbfzlVt21iFI789a9e1T46/suImV+Gbx9uJb&#10;gfyBrk9d+Jv7MF6rTnwlJGWP3ftF1/PbVRxHs9kyZYVR+2jyjwzetN4v0kPn/kJQ/wDoxa/ob8IF&#10;T4X08D/nxi/9AFfz86tqvgXVPiBpN34B01rezW+h3K8jNz5q/wB4A1/Qf8NvDuv634PsbzTNMluI&#10;1s4VLRrnB8tTUY+Uq0VZG22HauSXQO0DNVJUz8xaugufA/jR9oj8MXjf9sTVd/h949YYTwjfH/ti&#10;a8dUatvhZzrYxFVcYIpSEIwc1rf8K/8AHina3hC+/C3b/Cg+APHP/Qo3/wD4Dt/hR9VqvWwWZkgK&#10;OFHSpFZutaX/AAgXjdP+ZTv/APwHb/Cl/wCEG8ak/wDIo33/AIDN/hWkcPWjsifY9UZ8EsijC5+9&#10;8u2nxyTmd2fdtblmbua0oPA3jjy2z4Vvh6f6Of8ACj/hCPHi8f8ACM3h/wC3c1r7Op2K5WtDPkaN&#10;QCV3H+VSIPlxk/8AfRq7/wAIR4+YDHha+/8AAU0v/CE+O8Y/4RS//wDAc/4U3TnbYy9nPsZhcmTa&#10;JBj0xQTKqbSNuOVZRWsPAnjLg/8ACKX3v/oxpkvgrxv1Twnf/wDgOaPZ1OzF7OfYyZrmWWFYyx4b&#10;GG7UrklFE25gOeWJxV+DwR40aQ+b4T1D1/492/wqabwR4xVDnwvff+Azf4VXJPsbcsrbGIfKUmSE&#10;sre1NXYzb9i7jyxVeTWnP4Q8WJGSfDN9/wCA7f4VXTwn4qzvHh+8H/bs3+FZyp1G9mY8suxSY274&#10;UxDPqFp0hd/vyMyrwo9Kujwl4pP/ADL15/4DtSnwt4lTiTQbz/wHb/Cj2NTsw5JdjOLFIygJ2ntU&#10;KzvGD5UjBW4atG50DXIztbRrrp/z7t/hVY+H9cVMHRbr/vy3+FDp1OwcsjPEkreYGZvmOVGev1pp&#10;lMkP2eUtsjb5V3HaD7Vcm0XWIZQP7JuFUr3hbn9KqzaVqxbDWFwq7unkmiNKp2YckuxDcXF3JKrm&#10;Qs2cbmYnApI7u9R/OSZxIG4ZWpbnT9Rxtayn27v+eJo/s+/Zd4t5FyehjNTOlU7MOWXYCJopmuY5&#10;2EhB/eZOTULMI5dpc/7VWGsL5VybeT/vg1Wntr0O0htZP++DXP7KonswjGVxftc8L+baXUkbf3lb&#10;BqncSvv+0TbpHf8A1jMxOal8u4fAe1k6/wDPM0ht5SOIX/FTVcsux1RilG5VN1scbSyY5Xaf4vWl&#10;t7+/trkX0V3Is6tnzQ3zD3pJrO5K/Pbt970qPynODuIx7UcsuxKQ+e5mkle5eVvMPzGT+ItVJru9&#10;X5IrqUD/AHjVlo5d5KM3/fNRyRzZ+8f++aXLM1IzfXcQwt7N6/eNQXlxcTzLPK7SNt+Zm70XPmAf&#10;6zJ/3aazMY84x9aOWQcyRVuGyuD74/KvA/2xpxD8APH8jPj/AIpe9/8ARLV71Iw2kyDp0r59/bUy&#10;37PHj5QDz4ZvOP8Atka1w8Ze0WhtRlaorH4X7o/VaKb9kb/nnRXq80ux6ftanY/eBPAup548fap/&#10;32P8KkPgXVlGf+E91L/vof4VuASE431NHuOMv9flr42Na56hzX/CB6+zfL8QdV/8c/wpJPAHiONf&#10;MT4iapx6rH/hXXKY9yk0XJjKYQUvbTv0A4efwb4oEf7zx3fMvfcqf4VY0zxBeeH7CHSf7A0zUJI2&#10;y19fRv5zc9MhgP0roLtT9nwBXLzD/TVLZ/1mf1ropTl7VWM5QjuejWEz3cUcznllBPTj2q0wwMA1&#10;W0/bFAvptX9RU7Ng4NfaUeaUVc8eVlKwVV1Q/ucVY3j0qvqDK0YXHWr8iZfCcjri/wClEjupr4e/&#10;4KFL5PxS+FshHyjx5976oK+4dfwLv5T/AA18R/8ABR+KMfED4YTF/wDmfF4/7ZivMzX+Gl5v8jsy&#10;+T5n8hv7c1k158PtEjgXd/xM5/8A0UK8g+A/hS2ax3yWIZjJgsfrXtX7ZJQeBNHB/wCgnPj/AL9C&#10;vPPgDbSR6UzOP+WhP61x5X72GsTmmla56Fb6RpEH7uWwTO3nKiq82n6H5hUWcY/4CKs37FbjJP8A&#10;DWc8kTsx82vQjHU8qUrIbNo2nN/q7deaNH8P6cZWF5Bhf9qo5pnj4jkNWILhnjwT0FacpHtIk0uh&#10;+H4pP3USf981He6bozw7EhUfhVd2JmzUd1dEjaF6VXJIXtkZt94etAzOu3HXgVk3Oj2RkYxRr+Vb&#10;F1cyBsOMCqExUSkha3prlTMJS5tjOu9Bj37mQY+lVm0KLccKuP8AdrVuZpHPTiq/mt3SrA5fXdBR&#10;sqqD8q5nXdFVISCorudTctKdw7Vy3iFsxsc/xUrRe4Gb4UtEg1/Tcj/mIQ/+jFr+nP8AZDbzvhVb&#10;u6jGyEf+QUr+ZDw3Ip8Qaex+6L+H/wBGLX9N37HhU/CO3I/uwf8AohKz0VU0/wCXFj1m2bYdrHP9&#10;KlDqOwqOEkPyKmEnHSu+HK4k09I6jSw6jijJ9acsjEZEdOLOOTFVWXZFCIiuMsKUwJ6N/wB9U5M4&#10;5XFOpfJDuN8pQMDP500wK/38/nUlNbJ6HpR8kO+oscUQGBupTDGe7ULEcZ3ml8r/AGzS5fJGyegC&#10;FMd6TyIgOSfzoaNugY1R1vVW0eza4+zT3HBAS3j3GjRK7SAuGKDO3cc0KkbDGD/31XI+HfH+oatL&#10;PYXOhXW+G8aHzUjG0dDk85BGeaq6x8UpdLnuYoofNWO4jWGSGNm7jcrYHDYP45rH6xS5bsn2lM7m&#10;S3j2FduP6Ui26KuACTn+9XO+DfGb+K9EF+FeOU5Dq0bLj8xzxVjwX4pm8QpcTzYVYb2WEr7qcVpC&#10;UJRTQ+aD2NoQkciP/wAeoZFB+dKkSVX6Vi+OfFsXhHSG1M28sjKfuRxFs/XHQU5csY30Hfl1ZqCG&#10;J+ic/SjyYlX5lX8VriIPjJ5muf2OmmAj7VHA3mzeXLlgDnYRnHIqPWPjPFYanLYx6fNLHDcCOSaO&#10;J2BGOSCFxkHg1h9Yo7tk+2pdzu2tbeRcuin6rUbWFsx2/Zo2HfKDiuP074u2V/4Rm8SiL95GwQW5&#10;B++xwq8jqQQTjNSWXxe0e58Qtorgxw7vKW7z+784D5o8+orVVqL0TJdWmdcdKsWTmyi/79io206x&#10;B5sIf+/YqaC5Bj+9u+lPwGOSta+6+gnsVjp9gRj7BD/37FRtpGkkfNpluT/1yX/CruxfSmGBt2d9&#10;CjHqiCn/AMI/o5GRo9v/AN+l/wAKhfw1oRO5tEtW+tuv+FaiIVH3qYzknBNTKnT7AZT+EvDcow/h&#10;6zb/ALYL/hUI8D+DycHwnY/9+V/wrYARc4HWmKqL0i/nWXLT7AZL+BPBgXnwlY/9+V/wqE+AfA8n&#10;XwnY/wDgOv8AhWzP9zIjxVdS4PbrRyU+wXsY8/wz8Czp5cnhGxx/17rVeX4T/DscN4Qscf8AXEV0&#10;hYbOWx9KglG48y1lKlRl0Oeo/M5a7+EPw2MTD/hELH5VJ/1HtX5v/wDBTewsdK8EfFWw063SGGHQ&#10;7xI44xgL+56V+oMylEY7zjY38q/ML/gqJGX8LfFgheDo94f/ACDXNVjGm/dNsK5e0PwVxB6mio8P&#10;/copczPV9pI/e5XUvtNODhJOBXk/xru9T0j/AEjT9UmiZuW2SEV5zF4q8UzEK/iG8/C4NeDluR4j&#10;MKHtIySPTr42nQlyy1PqPzuPv/pSmb5OZfzr5nXWfETDjXr3/wACW/xqa01vxEk6q+s3TLnlWuDz&#10;+tej/qriv5kcv9qUz6IkvImDRb1zt/vVy+ouVnjIPIk/rWX4EN1cFVunZnZcjLk1oajgzbQfuyAf&#10;rXkV8G8DilCT1OynWjVpcyPSrJma1Xd/cWrUwwBzVLTj/okan+6v9Kt3Mi7M5719Zh/4SPHl/EY2&#10;q99/DUgmjAwWqO5/ehdtVH4ipPQ5HxB/x/8AJ7Yr4f8A+Ck1yq+O/hmg6r48iP0GwV9weI0dL7a5&#10;/hr4b/4KSoG+IXw5z/F44h/9AFeXmusYr1/I7MAvefyLf7Y9xnwBork9dWl/9FiuO+A0oTQXZj/E&#10;ev1rp/2y5kj8DaLHn/mKS5/79iuG+D995Ggvt6bmx+dcOUXdDQyzZv21j0K8u1kk+8Pu1ltKFdgB&#10;3qu2p87qrSXTGTINevTUo7nlVPhNEy55K1Kty6gMvHGKx2vXXtVqG8VI/wB5/drZXZz819Ce6vQH&#10;Ls+3ivFviJ+2T4R8MapJofh3SZtTuIXKySiQLGCD6969P1+RpbOdYh8/kttX14rnf2Rf+CfXg7x7&#10;4Kk1z4wQXiXWoXmbXyJQhMOT6jvXNisdRwNPnqHo5bluIzCtyU1qee6B+2FaXs+3xP4Za3hOCZLe&#10;bfsHuMCvUPC/i/w/4wsl1Tw7qkdzCx+Zk/hPofQ19ZeHP+CWX7KB8PeRdeATIZrbYs32pt4HrkY5&#10;r5h8Q/s+6X+zL8SPEnwz0SZptPW+iuLCSRfm8polYA+uCSM+1cuBzzD5lWdOEWn3Z35pkOKyumql&#10;TqOkA25xVFjgk1bM6Mu0fyqqyk5NeulY+fkzG1ltrn6Vx+uyYjbFdhrsbncRXF6+knlMaZPMV/C0&#10;mdcs97fKt5Gx/wC+1r+m79iu6iuvg5ZvE2VNvAT7/uUr+Ynw3Lt1K2Zu90g/8eBr+mz9hLDfBKzY&#10;DrBb/wDpPHWdv3lzaP8ADue2RY3HNSVHF941JXVD4UA6MkcA1MDnkVCrY60okx61omBLRSKwYZFL&#10;VAFN7tTqMUAPT7tLSJ92loN1sFZHiuC6uNNa3ttPa63fejjuDG31DAj+da9RuoAbA7UuVNWGec+E&#10;fDmq6LfXV3ceF7wNNqTzwt/aJZVjIUAMC2CeKq+KPAXijW/El0YUkhsbi7hkEkN0VICKMkr68cY5&#10;rtNR8V6Bpeorpl/qUcVw+CsTHk5P6c5p1n4o0G9u57K11OOSW3/10YblfeuadGjLRnPKlT2OX8P6&#10;br/hrwVDaWNrdXV5cN5aJczblg5Pzc9B0OKtaH4X1jwLexwaXB9qtLoL9sIf5km7yc9c966CfxZ4&#10;ct7KPUrjVYVgmO2Obd8reuKh1bxz4a0CK1e+vowt62y32nIf/a+nvV8tKGlylTh3DQ7DVLTxHqF7&#10;cRMsNxsMcn2gsHIHPy/w/wBao/FPQdY8S6VbafpMe/FyGuFaZowyYPBK89ccVqWPibQL92Njq1vJ&#10;sXc3lyA4H+FSJ4q0A6fJq66lHJbxqfMlRsquOvSn+7lFpvcpqLjy3PKfDHhvxRbRW15qi3kc02sR&#10;MluFDL5cQRS7MQWydvqKt/E3wj4mlmhSwFvFNfXSx272YnVlXeNzNtOwYUnLEHrxzXeWfjvwlf30&#10;On6frETSTNhIyCC3BPHHoDV1tV0a5uFsvttu0m75Y/NGSeuMfhXH9Vo8tkzH2UDgfE/gG5t/AF1Y&#10;eILOG5kjaNkkt2keSQ7lG5y3LtjPXNcrY6La2niWFJvB+2yW6YeZHpJGyPcdo4Hcbc8npXrU/wAQ&#10;PBEcklvN4gtw0blJOehHr9K1NMudP1GyjvrSbzY5lDRyJyGHarWHjKSkiXRjKW5JZRhIF28cAgel&#10;WkbdyRUZRGXOOakiBAyTXfGL5Tb4Y2HUUU3eKdiR1Vz1qbeKjKtnpUsBtFLtbrikJ2jJqAGT/wCr&#10;qqMHPHep5ZVZMZqEAigwqPUZMBtzUWATnFTTfcqGgyGXH+okP+wf5V+Yv/BT3I8I/FcDvo94P/IF&#10;fpzcsFt3JH8JFfmT/wAFNlDeGfirE2f+QPef+iK48QveR1YX+IfgbmT+6aKj+1R/3aKz0PSP2W+P&#10;Sh7RXHvXmOngMBk9q9Q+OboNJyT2rynS7lM8n+Gurhl/8J/zM83bWISRqI201Pbuvmgg9Kopcxg8&#10;lv8AvmpY7iPeChOc19J7x5KjI9b+H0m5IZT97ZV28c+cCDyz5/Ws34eyRnyGH8MfzZq84f7Qzv08&#10;zA/OvznPP+RtY+nwMX9V1R6ZZuI4EOP+Wa0S3IkQqo/iqKGQC1Qf7IqJZgSw/wBqvew/8FHFL+Iy&#10;wHGKPO298VB5vuaQv5hHNacoGD4mffqGT/dr4T/4KVS/8XC+G7KT8vjeAt7fKK+5vEjBb1sdlr4R&#10;/wCClsjr48+H0v8AD/wmkA/8d/8ArV5eYJcsfn+R34L7Xy/Md+2NcRyeC9FYsedWnP8A5DWvP/hZ&#10;qCwaH5YPRmz+ddp+19OG8C6RIOi6hP8A+ix/hXmHw8vo10xizfeJrlyX+DYwzb+Mdx/aiYOX/ipB&#10;fBmzvrn5LxdnD/xVctCz/NnjFe41c8apa2hsJc7xwauJIrQ+cfyrFspfMLD0rUjKnT2JYZHbPWpt&#10;y7GETX8CS6VL4ogi1WLzIX3ALJ91mxwK+ifC/gNtS8Im30S7t7Oa35xINyx98AcV8mXXiHSdCBu9&#10;U1SO2CnKtJIFwa9/+CvxRtPEXgO3k0jU41vpYf3Mkh4lAOO/0r5HiWjJxjU/A/ROC8RR5p0XHXe/&#10;l2PdNP0jxxqnhOxi8NeJA0i3wS6LSttaL0ARgR3714H+3Zp+i6V8WrW3spFa+bTUN+VlLYx8qdT1&#10;wK7j4Y6z8QfC0eoeI/E+lWMenwxtJJdRwlZOMkkc+lfNfxA+JF58UfHN54tuNS+0faJiY9zD5Ixw&#10;ij6CuHh6nP646kdl+R3caYinHAxpNXbd/QpEBeQKieQDinSyoFxu5qqCHyRX3vNfc/LI+Zl63cEh&#10;uK4/X5T9nkrq9WDGJmriPEt4I0kBNMTRm6ReRQaja+Z0+1p/MV/Tt+wU4f4IWZU5zb2xH/gPHX8v&#10;VncxG8tyev2hTtz7jmv6W/2N/i54G8B/BjS7LxJqjQyTafavHtiLAr9nQdqzlKMZanZSjzULH00n&#10;WnV5/bftK/B6Y/8AI07fTdbSf/E1bT9oT4PSDjxrCP8Aehk/+JraNanbccacuXY7WiuPh+PPwkmB&#10;2eOLXj+8r/8AxNWE+NHwskG5PHNj/wB9n/Cq9rT7icWdXGSBUoORmuTj+Mvwv25PjjT/APv9Th8Z&#10;vhdn/kedP/7/AFaKpT7k2Z1VFc3F8XPhtKA0fjbTsf7VwKd/wtX4cA4PjjTf/ApaPaU+5XJI6VPu&#10;0ucdaw4/iL4FZdy+L9NbPT/TU/xpT8QvBD/u/wDhLtN+bp/pqf40/aU+6L5ZGz5if3qHkULkGsf/&#10;AISvwx/0M1j/AOBSf40q+KPDTfd8R2f/AIFJ/jR7SPcvlZynjm4tLzxZa6RLp8yx/JLdXSWLvvIP&#10;yR7gDtweeeMfWsvwto73Wv2eky6TNHJY2t2moSNCVSTey7RnHOcZrvjr3hsN/wAh6y2+n2pP8aP7&#10;d8PSMFj1m1b+6ouUP9a4pU4Sqc1zOVFXbOBufDN/F4IsdQ0yLbcWHmRw2rW/mK/mNtxt7Y657Cm6&#10;z4J1XThZw2ugX1z9jsDFJdR3UIUnGSFWRhjByTwOMYzXog1LS1IKX8I9vMX/ABoa90yRcC8gYYxt&#10;8wf41X1elLdmfszznwC0un+EI5dV8MahJay6epkk2wMjLgdAjbufp9ar2N1bTeGPFBsJ0kjuLpUs&#10;pIozGsm5FARQRwR0JGeRXp1pBYWNrHbWflrDGoVI1I+UelNn0vSr5I4LrT4ZI4ZBIisoIVh3+tJ0&#10;+X4WHstTz/8AsvX7DxJ4eTVbdvLN9+73amZiCIJP4Sgx9cmtSPRdH1L4l/bbbSoFbS4BJJKke0tN&#10;Lxz9FBP411lx4f0O61OHWrqxjkurdSLeZlyyZ64/OpltreB2kCLuk+823k/WiNOVh8nKeY2VzPHp&#10;+sIniPSbf/Tbr/R7iHdIeT33jH5Gu3+F/Pw90btnTYd312CrA8EeEpEkD+H7N/OdnkMkAYlj1OTz&#10;V7TtNtdGsotN0+Hy4YYwkMa9FUcAVdKlUpzvcXLqTupAp0IJTOf4qOJE6U6MBFwVruUgsPPTGaiB&#10;O/GakMqjrUDuFbfk0c0eoEtFRrOO6mnNKFG4ipvHoA49Khk/1bUguN3ChqRpQylcVLAhkBHfvTae&#10;yk9Dn0pjqy8NU6HPUT3GzfcqGpJTuXANR4f+6fyoMyO8UvbkL9K/M3/gppE50P4qJj72jX3/AKIN&#10;fphO5WLH1/lX5sf8FLoPN0n4pL/1B74/+S7Vx4k7MHb2h/Pnsl9KKl8l/wC/RXLoeofth8SvBdx4&#10;ztBDYy+S3SuTsf2etbiGW1qPP+7Xq/2Rt4JFWAAowBXg4XM8ZhKShTdkelUoU60uaSPKP+FB62P+&#10;Y4n/AHzQnwH1tG3HW48D/Zr1oKvrRtTqTW/+sGZfzEfU6PY5Hw74VvPD6Ks9yr7VH3akuZB5pUH+&#10;P+tdFe7GRmX0rlbieNLoFv7w/nXnTxFTFV1UqbnRGnGnScYnpcX/AB7R/wC6P5VBEP3jGnwXCmBc&#10;f3RTIHDO2PWvtMP/AAUeHU+NklKmc8UlIJArVslcg5/xT/x+TD6V8Ef8FOZ9vjfwCoH3fGcDf+Om&#10;vvPxTKov2wfvYr4E/wCCnMy/8J34JGP9X4vt8+3yV4+Zfw4/P8j0MC7N/Iz/ANsTUtngbS4icf8A&#10;E0mX/wAcryDwhfvHZKA3Br0D9tLWUbwpo4BHOrTfh8teSeE9QAs0w38R/nWeUrlwqZjmsv3zPQLK&#10;fzh8zCtOC+MTbVbgCuSs9ROQQ1asd95u1VPavYPHk4nS2eorbxSTs3+NebeOPjbrpml0zw5GIVRi&#10;rTSfM2faul1PUXtdHnmDf6tCx+leM3WrWt3eySo+PMkJAoNKdOMtSHWtQ1XXdS+3avfyTSdy7ZH4&#10;elen/Cz9qq2+Hvhv/hW/jDwvNqFirGS0vLabbJDnt+eTXl7puuAxpLnTo5ZkkLbfWsa2EoYqPLUR&#10;7GX4yvgJuVN2PbNd/bM1PU/D03gHwBo11ZW94uLnUL+9aWUp/cQE4QEcEjk15sdf1TTb37bbX0kc&#10;jd43IqhpkMO7dDH93+LbRqGZHwBRhcDg8G+Wmkh47G4rHS5qruem+AviZq1/MumapGszMPllVcH8&#10;a7mC4KR5/vA14z4A1GGHVVdDu3fL9Oa9bibMMbg7sj8q2qRbex4WKp8stCPVTts24rzDxhceWZMt&#10;/Ef516h4gjAtMI38Ga8i8Yu8nmEHjdSjGSRlF+6ZljeI1/bg/wDPUV/QJ8Ntkvwz8OgL/wAwO1/9&#10;ErX89NnP5eowENyJl/nX9C3wriLfDTw8yvwdCte//TFK5MQtdT0cNH3TYRCGxtAAPariIpjxj8xV&#10;UId/yP061agKhcEmuRndFuOg62Ch9vSrW5QP9Ydv+zUFtbmVd2M1ct7KMx/N8tJMn2XM7kDvCG+W&#10;T80o3JjPmf8AjlSTRpFLtCk/jQEJGRGafu9Rewj1ESRQMBB+VKZT/CoqVYJBwFFIySDjbT901jRi&#10;Q+YwP3KDITx5f6U7yZCeFpfssp5x+tT7vQPYxIw6Acxr+Qo3xEcwqPwFP+xv6frTWtnC5C0uaQcv&#10;kNEmBgO3/fNJvwciRv8Avkf4UnlXP96kMV0BkPS9o+4mnbYeCx58yT86JH2r8ztj/aJ4qPyp/X/x&#10;4UNBMwwT+oqvaStY5+WRIurahbj/AEbVLiP/AHJmH9ami8Z+J7VcQ+KNQX/ZjvJB/WqLQTR8lR+Y&#10;ppgLDOwfhQqku44xdzRHjvxgeni7Vvw1CT/4qh/iN48t/wDj38Zaqv8A2/Sf41nrakjk4qK6iSMj&#10;cTVe0fcuUVbY3Lf4s/EiEZ/4TnU//Ax/8asQfG34qW5za+ONQ/4HNu/9CzXK4Ho1CIw+4v50nUmt&#10;mKEFKVmjtIv2hvjNC2V8czH2kt4m/wDZam/4aW+NaHI8Z7vY2MP/AMTXEeQW5OailhCN1NUq1Tua&#10;OjT7Hcy/tR/GJD+98Uof+3OP/CkH7V/xgi5XWIH9C1ov9K88miaSTaU4qJo3TolVGtNdSXRh2PTE&#10;/a/+MinDHS2/37Nsn/x6pF/bI+MSvg2ukfjaN/8AF15dlicbKRuudlTPE1I7MX1enLdHrkH7aPxL&#10;Qf6Vo2lt/uxOM/8Aj1Pb9tnx0pwfC+mkf7z/AONePFXwcR1XdGAy6Vl9axA/q9JdD2z/AIbf8WIM&#10;/wDCHWP/AAGZhTj+3N4g2L53gW3+gvT/APE14a06g7GqK4TcOBS+tYgn2NPZo98T9uecDfL8PM/7&#10;l9/9jUsX7dduARN8PHH+7ej/AAr57ERC4Xd/31TZsqtaxxVd9TKWDp9j6Gl/bu0sjEngG5Vfa5Wv&#10;j39urxbH8QfAHxB8VWtm1ul94fvn8mRtxX/Rm7/hXaTKTHwe9ec/tI2jN8CPGRH3v+EavSP+/D1M&#10;q1Sck2zSjhYRlex+C/24f3KKPJt/VqK25kdfsYn7yfbV9aPtqnjdVHzkpDMmK+ZZ3Gj9qH96gXS5&#10;5NZ6zbvWnFscmucCw04eCRSfpXJ3H/H7z/f/AK10UcgWNiQelc7I8ct2Ag+bf/Wrp/xETL4T0q2P&#10;+jrz/AtFr/rJP96o4LiJYIxu/hFOidI5GbdX3OHlH2SPFqfGywDnpTGP7zn0ojnjfgMKST725WHS&#10;uiMo9DM5vxP/AMhAH/ZFfn3/AMFQpyvxG8Hxdv8AhLID/wCOV+gPiqREvcn+6K/PD/gqPdn/AIWf&#10;4PQ/9DRCf/HK8vHxlKKfqd2Flyy+44X9sq8aTw5o+Sf+QtN/6DXm3gyQ/wBnqGz96u//AGuZ1uNB&#10;0hB21Wb/ANBrzjwhKwt1jz/FSy2P+xL1OfM9a7R2Ng4NbVuyiFWB9K5+x3Z4NbunrvAU/wAIrujc&#10;8epHYpfEfWE0zwzOqnHmjateKX11HCqzQqQyNkmvR/jpPLDY2MYPySM276ivOZNPF3b7Wf73Fa3R&#10;6FFKMS5p2ppewCcvtY+rVJLdT+aq29tJcPuGyCNSzSewxVGw0m1tCu+Rjg19X/sj+L/2ZPhH8O5P&#10;ib49ewPiKzupGVbtgZUjwNvlA5556gE1hicR7CndK7O/B4f61W5b2S1foe//ALKHwP8A2ftO1e01&#10;XUPhxDY+JrvTYrrVvDN9cGX7KGVcGIOD8pAyVOTknmub/wCCoH7Ofwf8NeE4fi78MfD32XUWult9&#10;WhsVVbcgp8rlB918jsMGuV1P/gof8INE1FvHOg+KlkkvrV4wy6WHuLd0X5Y2wNxVuAHHAJ545ryv&#10;4l/t1ad8fPBMHg6O1urG8hvvtOpRzSblkYAgc+mDmvmcPHMquOjUs7Xu7n2ONWWxy1001zLZr8jx&#10;Pwfq720yvPbNvV846YNe1aFqE0mjW9zcvuZjxt7V5ml3pk8zy7V65DIK6XwZrGoXt01hI+6CNdye&#10;1fYH53ifgOv1LVVezkV/lwvy5ry/xNIJYpWUdz/Ou0167EcbAt2rh9TP23/QbcZkkYKqkgZJOBzS&#10;OGD6HN2MzrrFvb+XGyzTKG3D5h82cg/hX9EPwuQj4ZeHVYbf+JHafj+5Wvxqvv8AgkT+3RNDb61o&#10;/wAPdLulaFZ4mg8UWe7DDI+9IMmvSLD4Nf8ABcbw1ax2+lXniaOGGFY4YYvEdiwVVGAB+86ACuPE&#10;ck3ZNfeejRUlG+p+szIQ2FyuT6VMsEyJuIr8mf7I/wCC7mnxq0cXjaTb2juLSUn8mNSQeLv+C52n&#10;KUl0H4iSMOoXR0mx/wB8of51i6DtZNfeb+1XMfrdYh/KIC+9XIkkMWdh6+lfkGnx9/4LZaYG+0+E&#10;viVhOGUeC5Hz+Ih5qSL9s3/gsHpP7u48MeOPl5YXHgWb/wCNVj9Xqd0ae1Z+u72ckjmQxn/dp6Wr&#10;bAdjDmvyRP8AwUK/4KvaPa/aNQ8O65HGOsl54KdB+O5BUDf8FWf+CjmmKJtQWGNFP/LbwxtzR9Xq&#10;d194e013/A/XtYJH+YLTTbSZwyn8a/IeD/gs1+3haHzZIdFZf70mhhf61ctP+C3X7YtrEzajpvh1&#10;2/2tKK/1qZYeqlpYr28Y7s/Wr7OwJxx+FAhlCnvX5R2v/BdL9qKEZufBvhiXb/06yKf0ap7b/gvJ&#10;+0Xblmm+F3hmVf4lbzV/9mqfYVnLZC+sQ7n6o4fGQKayu0Zwtfl/b/8ABeb43swe6+C/h0pn5hDc&#10;y/z3GtKD/gvp46hbGo/APS5lZfvW+pS5H6GtHRxPYr6x5n6UBWxjaaGBXgivzjg/4L9pHGvnfs+b&#10;m/iCazjH0ylaFp/wX18MSj/iYfs83kf93ytbQ5/OOs/YT7D+sRP0MBy20UFQpyWr4AtP+C9nwvdt&#10;t/8AA3XI/wC95WqxMP8A0AVr2f8AwXd/Z8cD7V8IfFCHvtuIX/qKp05R3QRqU5H3JKQRg0Qoc7hX&#10;xVH/AMF1f2XpCqXnw88YRg/3beBsf+RBVqD/AILqfsfFsf8ACI+Ml7Ef2bCf/a1TyzfQqXKkfZ+3&#10;0SqeowGYrsHrXyfa/wDBcD9i+aPdd6f4shXuz6OuB/5Eqwv/AAWo/YXuhuk8Sa9bjt5mis2f++WN&#10;HsavYm59Q/ZZM4pUtpFGBXzbZf8ABYT9gi6GJPizdwe03h+74/KM1p2n/BWf/gn/AHTmNfjwu7ru&#10;/wCEfv8AA/HyKl06kd0VGUeY+gPJk25AFI9qxXJ/lXhtt/wVM/YFu/u/tC2K8/8ALTS7xf5witfT&#10;f+Cin7DWsusVt+014XiLdPtl4YcfXzFXH44o5ZdjTc9Uktiv/wCqosBflKE/hXExftj/ALIV2hmj&#10;/al+HoX1k8Y2S/zlqQ/tXfsmNEJU/aZ8APuOAIvGVk2fylpcsuwzrJCueE/SnIqH70dc7p3x7/Z+&#10;1x9uj/HDwjdf7Nv4ktXI/J627LxX4K1IbtN8UafcLtzuhvEcEevBqPIZZPlqp+Sq8wjlGAlWlezm&#10;OIX3qedy8io57T7McysqhufvUAZs1oA24YqKSM/3a03gRkZl+bb32mqtzC6pv28YzxVBZvYp+V/s&#10;1FNH6pVkHK7hTWiMgyp/GjbcWpRkt2Y/Ke9cJ+0dauvwG8Zbjk/8IzfY9v3D16G8Oxjl64v9oaH7&#10;X8DPGEKAf8i3fd/+mD0R5Rp9T+fvypP71FU/On/57D/voUV0Xpl+1ifulvFG8VX3SerUBpAeSa+Z&#10;kdJbicZqcSE4A/vVRRznAqxC2ZAMjr61LUrbBqSoMRSH61y8hK3/AB/f/rXT7hHE+9vWuaaNvtuQ&#10;P4qz1WoLU7O3umNtGN3RfWk+3PnrVZJvItEJpscg3s79K5vr2Kh8Mg9nB7o0Ib6QGnT3tyVzFcKt&#10;UhKrDCg1FdTmNMbv4aSzDG83xMn2NHsZPiG7vprss15/46K/Pv8A4KcLcS/FLwiZJN5XxNEevYIK&#10;++NYmLTFs18L/wDBQj4eeOviB8VNMXwVpq3N1pd4t21vJMI9y4HIz16V6GBxtepiFGpLTX8h1KMO&#10;W8Vrp+Z5r+08GvNE0too8j+1Jf1Wuf8AAvwU+LV9ZR6hp/w61i4hkO6OWCwkZWX1BAr6M0SPwFqH&#10;hG10z4k/APUr68j+aSS3kDDcRzg7/wAK6bw14g+HXh63W10T4b+O9PjjH7qO11a4QKPYJMB+le3R&#10;zKnh6Ch1OLFYGpWrOR8+2vwW+Lke3zfhrra/72my8f8AjtXP+FbfEjTSGvPAurIPfT5P/ia+kE+K&#10;PhhV+bSPicvsms3eP/RtXrX4s+GlVQbX4mKv92S9uZP5uav+2FfX9TleU1JbHxb8X/hd8SNZtba8&#10;tPBerOtuW3quny5+uNteY6h4X8caTaSX974J1iK3gUtNPJpkqogHckrxX6WQ/F7wqsTRm8+JNrg5&#10;3J5zZ+uc1xv7SHx68Gad+zn4w0ibXPF2pTatpbWlrHrEckccEjcBsptz34bI9jVQzbmko2NPqNSn&#10;C7PznXxNZyxsVLEr/DjP4cV698e/2Trz4ffBrQ/iwZrn7VqCwDULV8f6J5se9A2OUyCMZrjfgF4K&#10;tfF3xy8I+F7pI9mpeIrOFi+NpDTKOfQV+rHxr/ZN8S614F8SaN448DXkMOpeKNNeO+mkzbyQ/aoU&#10;SNQOnBbv0OBjFeliKnK1Zhha3sozhyKXMrXfQ/N34ufsV698Lfgr4d+JmsQXbDVobeSSGSMKsXmx&#10;+YhbncOMdcV5PFpOs6R+9s9siYG5WXkY+lfqp+2N8ENdh+DnxU1fxD4I1a3aLyZrC6uo/wDRo4I9&#10;gRVOOTncBnooHWvzci08TMqk4+b5hiphUkopN3DFVoVKi9lFRSVrL8zQ8I/DP4j6/oUeuaf4cknt&#10;5c7TF1GDjpXoPgf4beI/Dtn9r1bT7iN5I8BWjPrXsv7J3jjwZp3wuXQ9e8Yx2dxBdOscLaTBMQpG&#10;c7njJ/UV6dD8TfhxbJ5EvjqGZl+6q+H4R/7L1rKtmHsqnLa5jLA1akdHufJ2vaPqcrMpsZef70Zr&#10;k73w67sxNpJxy3HSvrDxB+0J8J2ml0+bxLJGy/KzjQY1/k9ed678VfgrFcNGviq4O7OT/ZvX/wAf&#10;q6ON9ortHC8vnGWjPEdc8S/Ec3FssPjXWP3aLHH/AMTKUHH4NVe9+IXxj0O+awj+KXiKN4WK5j1q&#10;cYP/AH1Xqt/4p+C+rSBofGckbKvX+yyvP4VkXNj8JL6fcnjO3eRmyzSWDLu/StY1KW7j+BXsqi0u&#10;cRB8ev2ibQbrf45eLlx93/ioLj/4utC1/ai/astFAtfj74xH93/iez8f+PV18Hw+8B6gqi01LTLj&#10;Pdty/wBK3tP+DGnGJXg8P6VOvYrfMCf/AB6nLEYePRfcVGjXlszitP8A20/2zLMKsH7Rni5dvTdq&#10;zsP1ra03/goH+2/ZfPa/tGeJmwf+WssbfzXNdXD8HNDK7ZPhrAx/6Z6i/wD8XU8fwT8PyId3whuG&#10;XPDQX7//ABVc/tsLKV7FfV8wjtIxIP8AgpN+3lZxb/8AhoLVGYnpNbwsB/45XcfAb/gpH+2z4y8c&#10;J4b1/wCMMk1uyo3zabAcnzFH9z3rAu/g14RS0YH4L62+09Y75h/Sq/gDwTo3hrxvHrPh34catpc1&#10;uN9xLfX3mI8YdSQARweKyxH1X2TstTooxxCqLnPfZP20/wBsS++PzfDC28c2MmnrbxMFuNHiZ/8A&#10;UI57erGvTLX4z/tLXsu29uvD03OGWbwzA2f0ryL4N6c3iD9pxfFMaQyR/wBnr5sm4YBECJ/NTX1F&#10;p1hpbTCP/R97N/CwNefGrGSSkz0pU5Poce/ij4t38O7VfA3gm84587wnb8/pWd9s1+Z2TVPgL8N7&#10;gej+EYDn9K9ottF3RKIbZW/3SKbP4cSIF7m1EfuwFXHlvuc/Iux4fcaZpEjEz/so/DKX0ZfC8ceP&#10;yFUjoPgSQsLr9jn4dPu4Pl6YU/lXvK6HaTJ5qLuQ8fKopyeFrQdIVz/tKK6vd5fif3j9jHex876h&#10;4F+CMyrBffsVeC2297WSeI/+OkVRufhF+zXOf9J/Yr0Vd38Vvrd2uP8Ax+vpC78JxSSf6uP/AL4p&#10;sPgu2kcqYkP0UVjzy/mI9nTe8T5mn+An7JMy77j9j9l/vGHxNccfTJqgf2df2LHLC4/Zk8RR9v8A&#10;R/EpOPzr6ok8D2ZUqbZfxWqMvgSwJ2GCP8FFVzVGr3H7Kivso+VL39mT9huVMt8FPG1uwPAXXUb+&#10;amqUv7JH7DN1848HfEK3Zv8AnnqET7f/AB0V9Par4EsULJ9mWoLLwPp2/Y8aj5ey0KpUjtJj9jCX&#10;Q+Y/+GM/2H5fkk1L4iW/usML/piqtx+w3+w0Axbx98QYd3Rjo8LAf+PV9Xy/DSwzvS26+w5qNvhR&#10;prjIgwe/yA1rGpX/AJ2T7Gn2Pkef9gn9iyR8W/x98aQbh/y08Lq2Pyeqkv8AwT3/AGTyNtv+1Prk&#10;J7NdeE2x+jV9eyfCfTAuDahie/l/4VRuvg1pE+d8A9f9TQ5Yj+cTo0Xo0fId1/wTa/ZymTdp/wC2&#10;ZFE5Odtx4blX/wBBrMuf+CZvwwnZv7O/bQ8N+zXGl3Kf0xX2LL8ENLZcR28Z9FaAf4VQvvgRp7/e&#10;0u3+vlinGpWv8X4C+r0VsfHjf8Eu9JuN01n+2P4Bx/DvWZc/pVGX/glP4ruB/oP7T3w9mXqq/wBq&#10;MoP519fS/AfSmAj/ALKhP/AKrz/ADSDwulQ/7u0cVTrV5dSo0YdGfH7/APBJn4zmQS6T8a/h3cf9&#10;zKiE/pTk/wCCR37TM7+dY+MvA83YeT4ui5/SvrI/s5aGH3HRoz/tbsf0rh/il8CtI09VNvpjxtuy&#10;fLkPP61PtK2iVglRhFfEzwf/AIdR/tsQDZpk2jyKv/PDxVEAPpyKryf8E2v+CiWjBvsWj3zbc7Rb&#10;eKU5+mJKTx74F1bSdXnexv7yNU+8qzsOPzrU8Ww+In+Ev2vSNe1W1uGkhSOaz1GSJgN3TKkGs8Ri&#10;auGlGMlF3NKeHjWi3GT0MYfsm/8ABU7RItljpPjyNI+Qtn4obAP0WepP+FW/8FdNIT/RI/i0rL0K&#10;a/cOoH/f41etf2fP2oLdFuYfiv4xVmUMrWfjG6Uc+26rMPwm/bG0+Tdp/wAd/iVGV6MviyaQD8C/&#10;NbRxE39lE+xlHaTMCXWf+Cvugt5M2qfFwMn8LSXUn+IP61DJ8c/+CtukSL9p1b4qJt/56aPM4/8A&#10;HoiK6uC3/wCCiWjB10z9pHx5t/6bMJgfxYmn/wDC1P8AgpT4eT/k5HxIoX/n60eFs/8AkNqqVST2&#10;imVH2qWrZxNz+3H/AMFRvDEnl6n4y8ZJjj/TvDSfzNvWX4k/4KY/8FDn8PXvhrxH4tupLPULaS3u&#10;VvvDcSl43Uqwz5a44PWvQP8Ahrz/AIKW6G+P+F3fbMcbbvQ7fn/yAKmt/wDgoD/wUbsR5eo654bv&#10;1H8N1otuS38sUlVX/PtE2qS+0z4a+x65/wBAGX/v2f8ACivuv/h4r+3z/wBCl4J/8FMX/wAVRT9r&#10;/cX3k+zl3Pur7Wnp+tI17FnDYxXMHxfZDj5j/wACFL/wlNi6/M+0etfOKjPsz0HLQ6Vr+0jXg/yq&#10;H+24Yn3L2rn/APhJNFUjdeO3r+7NO/4Sfw3naZpM/wDXM1r9Ufc5/bSNyXxEhVh5Y/76rJfUfNmB&#10;zjnPBqB9d0Fh8srf98mokv8ARS+Xnx3+6a0+pQektg9pK10dTHrbS2yoYOncmqWveNrTw1pc2sat&#10;+7t7dd0rL2X+tU4PEejblX7Wq+7A4ryf4mftvfDbw3q154UtvC99rk1rN5NxHYWLSYYDOM8L+tX/&#10;AGbg+hHt6nU9r8HeMLTxjpseqaSsjRzLuj3dSPpV3U7iaIBbuLye37yQD/Ir4s8V/tefF3xBL9q8&#10;E+B9c0CKH5Vjh08s5HrkDj6V5/rvxg/aR1eeWWSXxIYZBiR5reUB5R8a4CT6gcYH4VP9mUr7Mv2/&#10;Ktz7j8RePvBmhBp9a1+1hVfvbphXE+J5tB+Jlg3ibwvY2d1Ha3UdvN9s0/mVj0KydQB9Oa+HdcPx&#10;A8SWcyalFrMhZvm85ZCCfavs79nu6VPhE0UsTI32+0G2RCDkIM05ZbRpRcy6eIUmkcn4o+EDz+IZ&#10;NC1rSLSNng81H0+eVAqE4x9fes+T9nfSoVULJJ0/ivZsj8zXtXjAo/jiOeZF+bTVA/76/wD11Hcw&#10;WhUPLjgdmFefV5oStHY66cnJankMXwLs44dkVzP+N5Iajk+ECwFkF/ff8Bvpf8a9kjS0VcKBj361&#10;VOm3eo6g0FjZPM23O2Ndxrn5qnY0Uup5CvwvlX/U6tqi+u3UH/rXs3xo/YPg+OP7J+kx+DYYbW/2&#10;QTyXF1Jv8/Y3zmTkHOO/A4xxTV8Ga/t3f2DcjP8A0wYf0r6e+F+u+GNK/Zvk0vUr5YdQbR7iGO1l&#10;jbfvIbAyFIGc9yK7sPCtzLQ48ZXj7GST8zm/hv8AsJ/8E9j4C0COP4ZeFF1rTtPt3F3bSbZ2ulVf&#10;myjfeL5/HjNdJ8ZNK+OfjDwFH4d8YeKtJ8M6bpusWN1aLNobu80cEqSRxlhOcFigy2RxmvJ/CPhj&#10;xgt/pWkz2Bimk1C3MsrQI0cUPmDIz/e5ySDx9a9o/aY8R3HiDxrN8PtKvJfscllD5l0kW+NGIOcn&#10;PUfWvo8Fh/r+IjGpKyR8zhc+nQozkqN2eOf8FKf2i/Fvjb9kDxh4HuNM0loXtrc/aLdpEkmbzVwU&#10;RWYEfU/hX5GW3hzxAz7xo9wP+2Dfn0r9K/2hU+LPhPWIY/hb4GuNSeS32tqV4sbLCVwudhPOcE+1&#10;cpoXxL/bJ0Zo5rnwZotx0PlyWsKk/rVqjGjUnHmvrofQY7GYPMPZVKVPk91XXmfN/wCyN8N/EHjT&#10;WtS0FLu803bbCfzGt8CQhguPmXHAb9K94H7L3isNu/4WAzH1a3Q/+y17jZfFn4nfEPQYbL4j+CNE&#10;0N7NybX+ygm+XIA/eFRgnj260WQvri48mOLcRztUc15+OwtSrWc6crLQxhjlCPLynzZrP7DOqatq&#10;TXp8ZSMzfeBgAH8q5vxP+wFrs4zH4om+UY+WEV9r2HgbxPeJ5k2neSvUGZtvHrjrTPEFt4D8GW7X&#10;/wAQfiDptjbxLulX7SuR+B+Y/gK8+dPFw+GojSNanUesD4LuP2AfEEVsxXxXOGHPzQZzWO/7Enje&#10;GYrHq8UuP71rX6BW+ofDvxp4as/FXw8u/t2m3e77PdeWV8zDFSwBA4yPSqMuh2hZjJZDH+7Xm1Mx&#10;x1FtOX3nZDC0p+8lY+E7X9kHx3YtvR7Vm/2oyP61rQ/s5eO7OMZ0WzkYdG81wf0r7StvD1lKWAs1&#10;b/eqdfDdiFw+nqaw/tTGSje50QwUT4qh+CfxHticeGoGxwNtzID/ACq5b+CviNopWGXQ5I2bPEeo&#10;ycD6V9mw+EtPk+ZbULVTUPhZpWpzrPKmNv8As1EczxXUzlhFc+ONH1rxxqWsL4UsbbUjdTzCKGNd&#10;SkXLngDr3pPE3hj4iaR4gWw1DQdZMkzEokd75o687jur6rvvgl4d0mSTU9NiWG6jBkEyjlSOcj3r&#10;M8AaWzTW9hqNtJdSSXkn+ktHnaPQn8aqWZVpdAWHjHY8B8K3fxI8J3kk2leDL9HZceYJArN9fmro&#10;Ivi78bbKRZZdO1aNk+7tbd/7Ma+n5PAGiLxHEjfWoJvh5pEygGCP8qFmMv5S1TZ872v7Svx7s/mh&#10;TVVP95rc069/al+OUq5vLnVJD/d+ytx/46a+g1+GWhqM+Qp/UU1/hjobjItVH0WtP7QqSWiF9WVz&#10;5+tP2xPjVpES/wDH06j/AJZvan/4ita1/bn+JB8uS+sZFDYB/c//AFq9im+Fuh+WyiyU/WOsrU/h&#10;NoJnsQ1gvzX0S/c6gt0qY5hU5tjSVDlR5z/w3V4xErKXkGGx+8g/+xqW3/4KAeK7KQ+ZJCO3zRD/&#10;AOtXeeKvhf4VtLqbGmQgeaf4RXC+LPA/hm3iIXR4jnP/ACzFbf2jVvsYOgid/wDgoX4lkhKGO1YH&#10;/pk39Hp9v+3xrLLzpNjIf9pnX+prP+CfwR8GfEX4s2vh3xNpe6x+zzTSQwfKXZEJUce/8q9q1v8A&#10;4J9/sz6ygu3+Hk0bSLuYxycnj0DV2U8ZGULSdjKVOSWiPIW/bmvJU23Phe1lZm4Zbxh/MU5f21Wj&#10;w/8AwiwB/wBnUB/8RXd3v/BNT9mtl32+l6tav2KtLgVzutf8EvPgZqMbi08Za5Ay4O3zpVx+JFUs&#10;TT/nDlqcuqIrL9uXSkTZdeGLh2H926Qj+Qq1B+3l4WjfB8OXi+p+0RH/ANmrDk/4JR/DzTFm1SPx&#10;94hdFXcka3m5W49xXN6Z+yf4fs5ZoDBJNHHKVRpHO7AOOaxrZlSouylc3p4WrLWx6Xb/ALdPgic7&#10;H0jUNx9DGc/+PVft/wBtj4dA7bqx1BPUbELD8M15jJ+yZ4WuX3pbzR/7sjcVn3v7IOkPJiOe7Pv5&#10;jVj/AGxTW7Y3g63Nqj2y1/bD+Dt2yiS6vIz6SWhH8s1cl/ai+C9z8iatIv8AtSRH/Cvnef8AZBhU&#10;7rbU79P+2hqndfsp63E+IfE98o7d6qOcU/5mEcHUvsfSiftD/Cdvnj16Ej/dYf0q3bfHb4W3H/Mz&#10;2an/AGmFfKFx+zF40gJ+z+MLoL/tLVOT9nz4qWjf6L4wJH+2DzW0c3pdWT9Rqdj7AtPjH8NLq4Kw&#10;+JtPZf8Arsmc/nXH/GDxb4av2he01mwkjC7mMcynb+Rr5a1v4V/GLR3Ut4gim7j92eK5yyh+Kepe&#10;IYfDdxeQ75pxGsjRHbuPTPNdFPNKMpe6yJYGpsdt8U9f0S61K68u7jIYHbg9eKo2tpa+JPhcLCw1&#10;WBbrzI2S38wb/lJPAPH45rkdW8I/FV9QuLC68ExXCwybPOZUAlPtgn9ahsfBPxJsD5ln4AlhYdFW&#10;5CgfpU4zG06sou+xdPDzoxsz3bwt8ddV0vw9DD4h8Cahd3kEe1riAxbZh2JG7g9Ola3wz/aEtvE3&#10;iRNG8VeGb3RrXy2b7dNGWjYjovHevnuTwz8Upzm58NXkff8Ad3R/pVC48OePoJVkfRda+Xj/AI+S&#10;f6Vf9o0re6yVRmfbTfEz4aWtvsPie3fnjcmM/wDj1RTfGb4M2rRjVNdt3Vu0a7sflmvhu6tfHkUh&#10;YR65F7qoY/qKqzT+OUOx9b15P7pazVv/AGWksdKW8g9l5H3FqHxB/Z2vo2lOs2pwp4a1bn/x2uYt&#10;PEnwc8VT3Fto2jWUohOGaZVXcD3HFfHk2r/ES2X/AEfW9S/3ptP6fkKqP4w+IsA/5GCJWz/y20uQ&#10;/wDs4raGK5o25kT7KXNsfaP9h/Db/oWdL/76T/4miviv/hO/iT/0Mdl/4KZf/jlFL20u6L5Y/wAp&#10;98x6ec5DVP8AYtsZYtUcd0Cu6rSkNHhhXBHEykchj38mpQtiGwVl/veYBmoTcaxgE6Jn/tsKs6pp&#10;8mWmj1O6LZ/1ccceP1qkmo6pb8NpF7Io/ibYP0Br1afvRTCfLbQniv8AWM86I3/f4VMb7WFj3PoM&#10;zf7sin+tVV1u7z8/h67/ADWnvrdwBlNAuVb1EYz/ADrTQzC41O/broVwvtlcn9a8++F3w38ReHPE&#10;2v6vrvgZLoahfefBK162VXHQgGu/TxI4cG40m89/3P8A9erEHi60SX5dOvFU9cwHmi8QILfSxHK0&#10;ttoMluvlkLGWLBWI6/ezWDd+Bfi1PPby6N4vjjhWUm4ijV9zJ6bu1dWfGWnxN80F0qn1t2FNbx74&#10;fjuPJBmVgud3kkVr7aTJ9muxmyeB/iNPZrHH4kj3BcMrSO//ALKanm8B+Nn2JDqNqzAAsGZl+Yf8&#10;ArWh8caIVybh13esTf4VZg8UaBIN/wDaK8H+JCP6UpT5tGCpqLuYd1o/iXToIx4gsWvLhshZrRt2&#10;1McDBX600xaZGqi40fXBhfm/dKcH24rpH8U6C4+fVBx905ORTo/EujFBs1GMf9tOv51Pu9ipTnKN&#10;kc+NU8Pwvg2+tf7Obdc1b8N+J/Dg11otP+0wTeX80l4yp/Wtd/EWhunN/H/38FL9r0q7T53hfd/C&#10;7LjFRaEtkTGMou9zVj8UWxIVdbVj/s3H/wBerB125ZwttfSMV/6a5/ma5XxLo+h3nhyZYdKt9rjG&#10;6ONc/gRXgPi/4UX5me40bXr+33Pnat0/+NZylGG500480WmfWC6/re3/AJCtye3+uPFSDxDrG5TL&#10;qch/uhm6V8m+H9I+ImkqqQ+MtU+TBX/T3xx9TXYaRP8AFHVbs3+o+LL5mbA+WYhQB046Z96x+tcr&#10;0K+qxa2R9FTeJ9VuFEV7IkqfdXdCp/pR9rZhlrO2z6Nbr/hXzH4u+IXxT8OeLF0yHxteCFrdTIvB&#10;xknuRkVctfi18R4VVm8W3Dr6ybWI/MUfWuxlLDdz6WhubMsn2jRbMnd837rB/SuC8e/tT+IPB3iK&#10;98LeC/CFnbm0m8s3DZ+c464H+NedWvxk+IaFWXxB5n+/Ap/kKxNUvL7XNSm1fUpvMuLp980m37xr&#10;GpWqTjqVGjGLua/iX40fFzxgfL1bxbcxxt96G0byl/8AHeT+Jrh/G32m40S4sUMlxdTQSOFUksVR&#10;csc+mBW6tuyR7s+1VIpJNA1648SahCzWr6HeWmE7PJGVU/nWUTol7tM9q/ZQs53/AGaPCYT/AJ9Z&#10;Dx6eY1d9JaTsT+7Nct+ywywfs7eFoQNu2xORj/bau9NznhVryMZ/GZtQl+7TZmW9rMGwsXtUws5z&#10;/wAsjWjZy56Iv5VYzXKdUJRsZUNpcKmBGRUn2ebGPLNaaMen9KdmgiXxXRky2oeBkmh3A8HK03T9&#10;LsLFM2dgq/Nu4Ud62gu7qB+VLtAHCigXKZTw7m4XFJ9mPXmtdIYiv7zFOMFvjrU8ouVmKIZBwBTh&#10;E/TFaRW3VsbQf+A03fbjjyV/KqRdyhIQGC4rOv5I1utPYj7uoQkj1+at57SKSZSqe9UdU0+KO4s/&#10;lGFvov8A0KpUfeQnNHH/ABQci+ZYT1lOP1rhfEaYs984746dK9T+KGm2jzSXKRt8rsW29q/Ob4ef&#10;tP8AxF8T/tKw+D9R8ZXVxot7rkkH2F2+UAswTHfA4+vNexg8vq4iLl2OGtio05LU+4P2X40Hxot5&#10;kb7thcnj/rma+lfBviyDxLd3djaaRf24sTGnn3VuY459yBt0Z/iHOMjvXzR8H7u08GeOodYkZF2a&#10;fcqNzYBbyzgZPr0r3X4Y/E661rwtp19f+Ery3mks4/Pj3o2G288g81hKXLJp9DWnLnVzv2tFc4Mz&#10;VV1OzgFpMHP/ACzPb2qrD4vtRkPp92h97c1V1jxposllKhvPJcRt8sqMO30qZVKfLubD44Ir6weG&#10;M/8ALH+leNQ6RLDf3CBl2rcP/wChV7Fod5F/YrXc88caLDgszBe2c15raWVvezzXMM3yyTMyn1Ga&#10;8qt8R2S+FWK8ViQMMV/Kpk05Am5l7elXotFJ4FxVqLSFVMNMWqbIFIxH06InGwf98iqtxpiFsCNf&#10;++a6STSN33ZCPwqtLoz7j836U7WC7OfOjIB81up/4CKh/sC2kkw0WP8AgIrpG0V2GN4pg0qZW4q4&#10;ysHMzkNc+Huk6ltMsOcd9tcd49+Ceh3Wizf2Rp3+lN90wphs17GNMlJ+YU06Yx+7D+S0uZx1QHkH&#10;gn4UXkVpH/bNhtWONV2t3wOp9TW//wAK+0hOBpsf/fArupLCSJSzRZqn9mO8jYP++aTvLVjXK9Gc&#10;fJ8P9J2HGnx/98is+f4d6fISPsiYP0rv5bRijBYx09KoCyZuo/SklbYUuWOxwlx8LtNk4FmuPeqF&#10;x8JdKZt7abC31jFelNZMOTmoHtAFwR+lOz7mcdNzzSf4Q6PIONIt/wDv2Kzbr4K6JINv9nQqfXYK&#10;9Yezj28r/wCO1UubLA3Kv6VPvdyzyr/hROif8+8P/fuivTvIb/nmP++aKX7zuxfI5yB4xhWXdWir&#10;R+Rgx9RXyf4V/wCCnfws1vXI9Gk0C8hEkoT7Q+Ng9+tfS3hXxfonirR4dX0nUIp454ww8uQMRmvq&#10;qmHrULcyaPn4yuXJVXeox+tJjBAUd6WaMqVOc+9LCC0nIr0qL/dpMb2GyEI3MTfmP8aZHMrS4EbC&#10;rV3CwTIWqcalDvfpVkWkTY/vHFSQDcSMA/SoTPCuNyk1e0NIJ5s7Pemiop9SPyo8bWSs2AL/AG9M&#10;Nn/LMVrajJE104XaOax4mB1uYjuiirKNlRCGAZBUqGF/mWFf++ais/KuJsD+GpL0C1dUUjB5oJkP&#10;wn/PFP8AvkU1rWzk5ktYz/wAVB9q5+/T0uN42gfrQSOktNOIx9gj/wC/YqCXS9Lc/wDHjD7/ALsV&#10;eEUqReZ2+tV5LlGGdlAct9ia1gifRVtY1424HtWVd+EVlXJ2/j/+qtjQD9pt44wp7/zrUNhFJHwO&#10;a4cS/eOylpE4+HwZawpuZY930qzZaFCqbUh5xj5RXQy6SW5A4/3qktbSNF2bP1rjfc2ieG/GKHwv&#10;p3jfyNT1JYZ/skfytIFxnPX865LU7tI4R/ZB+1L0KwzJ/UivLv8AgsraSabq/gnULCdobieO5V2h&#10;kZSyrsxnH1r5J8DXPjPVdUtdLt/E99G11dRxK4vnABZgPX3r18NlvtcP7S/mctTE2qclrn6BeF9Y&#10;1LUJbiPUNFurFbdsJJI+VmHqNoIxWtJqcESE/aGb/dZv6qK+hvh78OtH0L4faT4WvrOK6ks9Nhgm&#10;uZEDM5CDkn1NYN/+yr8O7mVp459ShZ2LN5d82Mn2ryHWp8zTvoaWZ4vba9bvIkW6Q8/xEf0FdFeW&#10;NrqmkPaXE3l7oiM7M9q7h/2VPC0bbrbxRqkeDkfvgf6VYuf2d7eaPyo/GeoL8u0HA44681Ua1Hrc&#10;rllKOh1P7P1qul/BPw3pqvnybEruP8X7xua7FXUDhe1cv8OPDN54O8MWvhi71Rrz7KrLHM0e0lOo&#10;BA7+9dIq991ePiPfrNo0jFxjZlqznCHn+7Vj7QfX9KoRsoYDrU4fJxiuc6Y/CWFugvVqd9tH96qj&#10;Z3c0lAy8l+oHL0fb0PG+qIKD7xp2Y15oA0FuN3IYUvmv/eFUBdKowG/SnCdiNwIoAtZy2ajbDHOK&#10;h+2beCaPtO4fLQDWhYjlxPg/3aq6zN/pFoA3/MQh/nUkQYDzz0Iqnq83+k2bsvH2+E49eaI/FY55&#10;dmc34/12G9+16H4g0jUbG3m8yM6gm0qFPGcoxZT+Ax3r5B+C3/BONNN+P03xCbxjeS6HpeqC403Z&#10;D+8uW6jLn+EMduQOeemOfu66EV0zIYlK7z8rD3pYIIkOTEox/s9a7aWOrUE1B7mMqUZatHn0vw8l&#10;MKxzIHC9yvOPf1rD1TwJfJLmC8uIV/6Yysv9a9hnS3ki8r5fyqjNpFl99ogxrllU5m2zen7uh5JD&#10;4X8ex8WXjLVYfTy751/ka6TRl+Itrbi1uvHGpTJ/Essxb+ea7KXToCuIoMfjTY7HyesI/OueUrbI&#10;7YKP2jHd9au4BZXmqzzr2EjdOK6PQIGis41J6JtqutvEDkrV/TuO3SspRvrY0lboXYFHyk5qeNkA&#10;5zUKOink0pljxjf+lCROhZ81AOtRuUY5zXO/8Jxp5vZrMbt1vJtel1Dxxp1nbySpukZGUeUjBSwP&#10;cFiF49zn0Bp3OiOFrOKfKzocRf3jRvgX+CsGz8ZaHcqub5k45WRen4jNXE13RTz/AGhGffzAKXMi&#10;Pq9VP4TSMsGc7KXzFZflhFZja7on/P8Ax/8Afwf41Zh1e0ZQIbhGGOPmo5kL2NVdCSVgy7TFVL7A&#10;hbdn9KtSXRccYP0qu1w47VRLi09URyaeoUkP2qqtkmOg/KrLXrnKMtQ7ucU+Un0GHTkc7c0yfSYV&#10;ODt/KpySp460ySeR8jbRZi8ihdaQvlEh1qnLpoEQO4GrWr6xZ6RbfaNVvI4I9wXdI4UZ/GqaeI9F&#10;uEzDqttL6eXMD/Wle25vTwuIqU/aQg3HukR/2ev/ADz/AEoqT+2Lf1h/7+UVHtKfcPq2I/kf3P8A&#10;yPwCg1C6icDcqqp59a9r/Ze/an8afCrxnp5ttUkuLFpBHNZSMdhU8ZrxpdJmnUlT0/Wuv/Z38B6h&#10;44+LWi+Gre2ZvMvUMoxxtB5/Sv2PHRp1Kfvo+Kp35tD9dvD2vReINAtNbgGFuolcL6ZFaUDfvFGO&#10;9Y2nWFtoml2emWxVEt41RUX2ArSW+jjfeSW9q+ZVuh2xNO9J8rr2rPkJMTDFEmtLKu3yj+NVnvCR&#10;gJVFEs+MLgetanh9WLDHpWKJ2kKqRV7TtRFqQy5yBigCS9Qi4cZ/irJtFb+3Jjn0q5dXjvPkZ+bm&#10;qGnM51iSUnPSnHcDodCAM7ZFT6wAZlOP4aoaffC1dnZamuL9bx9yI3Ax81WA057UIWDjA700yY/h&#10;phmw2TQKxqu7i0/+vWeW3Z3elObV0MHkYOaq/bMHGaGOK5Ta8JH5ov8Adb+ZreHSsHwcT+5I/ut/&#10;Wt1fu5rza/xHTENo6YqBmQHaT36Ci6vYYQwkfbt75r5b/bD/AG/9J+CWoSeEPBCW93rRXDyP8yQe&#10;/ufapp0albSKuW6kIL3mec/8FoET7b4Fc/8ALOO8P6x18t/s5eHG8VfGDwvoJ3bbrXLdWKr/AA7w&#10;aj/aA/aL+IH7Qmp2+oeO/Ecl39lVltYduEi3EE7R26CqfwJ+KU/wi+JGi+Olg+0f2XfRz7GXIIBG&#10;R+VfVYanKjgeV9jx5S5sRzI/bixhMcMYjACrGBgegGKnkcgcV5l+z3+1H8OP2hdMFx4O1ONrpEDT&#10;2bYV0z7e1enMhKNhe1fn9SNSjKSlvds9haxTRVlnQrkCm+Ye1NuQVTO2okYt2rm9rUNo7E8Mjq/L&#10;dqm+0f8ATSqbAr2ppZum2jmctWUaEMwZ8FqtRvntWPBOIsmQH2q1b6jARtmk2/Wod3LQ0T5S285D&#10;YMlJ9o/6aVVkmRmyjZHrQpJHJqQ5rstef38yj7R6vVOS4MfUVGbstwBQPlky89wD0YVNHOWXAass&#10;Ox5JqZLpY15zQKzW5oAbh81OAC9KhSfKghakEme1BUi4sqGHZn9aydZdjfafbr/Ffx/pmrxzkMOg&#10;7VUu2S48UaMgTav20bh6/KaqHxo5qnxFlXdZsf7Z3VN9pj2YDVFcSwmRwi872NVi7Kc5rERc8/v5&#10;lR3M/A+fvVfzx/dqO6mDRjAPWrZUfiRMbvn79KLoNwXqj5n1pDOE5wag6ueJoGbjhqmsbkhslqyD&#10;er/cP5VLZ3ahiGWizD2kTa+1D+9Uc9y2zaM5qib2IHlGpr6gDH3FTyyHzRlZM5fSyJNc1ItyWum/&#10;nVq+t0Mu9l646VzOteLoPBGsXEusQybb6Z2tzGpbPJ9BUP8AwufwrK/72Zl4x86kfzFZOUebU+1w&#10;nLLDpo6hYRJjfFWfPEguWUQrWZB8WPBzDP8AasePdxTz468LTyCWPVITu/6aCueo7nZ7stLF8xJ0&#10;8paUpIMBCB9Ko/8ACXaDJ/qr+P8AOpE1fT5Rlb2Pn/armqczWhXsoy6Fp57tDlZXz/stipP7V1ZO&#10;Uv5vwc1nNrNgTzcr6fep6X1tKhYXA6f3qwvV7sv6tSe8Uy1J4h1+JSV1Cb/gTUxfG3iBBg3Zb/gN&#10;Z0l8jEiO43fjTUy4ADiolKtfRkfU8L/IjWHj/X1GfMjb6rTo/iLrUfM0MZ/CsaZHjFVJJlPy/May&#10;lisVF2UmTLLcFL4oJF7xprFz4v0n7BdJ5arMshZW54rmvEUusa0R9pnSRlmV42ZRkYbPUAdq1TIf&#10;L8vB6dzWfcSgybAtXGtVe7OinS+r0fY0m1Hsjov+EzT+636UVzO5veir9tPyMvq8v+fj+8/HPSfm&#10;bDf3q+mv+CcmladL8annks0Zo7B2jZh90+tFFfu+N/gv0Z+Iw+NH3hcEmSMk/wAGf5VIpOetFFfP&#10;x+FHbTHUUUVRcth0P36mh+81FFBA9xmZCf7tVNO/5CMv1WiiqiBpKq88d6kjAHSiiqAdUMv+sooo&#10;AYetMNFFAn8LOi8GdIP91v61tyEiDiiivOxH8Q6YHC/Fe8urXw5dTW87KwQ4ZfpX4+/F3U9Q1b4h&#10;6re6leSTTNfSBpJG5+8aKK9DKv4j9Dmxnwx9TBCjGcVt6JDFJBl0B5PWiivpfsI4D2j9ibXdY0H9&#10;onw/Do2oy2yz3irMsLYDjng+tfrxaEyWCu/J29aKK+Fzz/e38j2sP/CRXuEUjlf4aqsqrFwKKK+f&#10;qfEdMdghAI5qby0/u0UVX2RmT4yu7jTvDt3fWUnlyxQs0bbQcEfWvzB8S/tVftEL4g1GRPi1qy75&#10;HG1ZFCgByMBQML+AFFFellcYynO6HV/ho+3P2GPiF40+IHwrXUvGXiCbUJ0k2rLPt3AcegFe7J0/&#10;4FRRXDiPiYokF2f3lIFA5AoornOqPwjh92nUUUE1C9H9wVMOlFFBmTdv+A1Rm/5GnRv+v4fyNFFK&#10;PxIwqfEh0hP2qbn1/nSv92iioEMqOX/Vr9aKKAI6jn6CiitDQjqWzAMvP92iigCWb79RTH9xRRSF&#10;LY5LxaiN4g09WXjy3qC6sbNype1jbPXKiiivOrfxD7vKf9xiVLjR9KdsNp0J/wC2YqsfCfhu5k2z&#10;6Jbtx/zzFFFcp6lPcw9R+H3gz7VJjw/APmP3cj+tZmpeGNHtY2+zRTR7fu7LyUY/8eooqJNmxyer&#10;6rqumMwstUul2rkZuGb19Sa59fiP41R4wNdc7uu6JG7+60UVFI0Ow8NeJdcu4s3GoM3/AAEf4V0l&#10;jeXTSjNw3/fVFFVL4iX8Rt2d1cOm1pmP40+Bm87rRRXHU+ImXxomk+4az5D85oooKkNooooJP//Z&#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MAb&#10;D1XOAAAAsQIAABkAAABkcnMvX3JlbHMvZTJvRG9jLnhtbC5yZWxzvZJNi8IwEIbvgv8hzN2mrSKL&#10;mHpZFrwu7g8YkmkabT5Ioqz/3oCwKIh763FmeJ/3Ocx292tHdqGYjHcCmqoGRk56ZZwW8HP4WnwA&#10;SxmdwtE7EnClBLtuPtt+04i5hNJgQmKF4pKAIeew4TzJgSymygdy5dL7aDGXMWoeUJ5QE2/res3j&#10;IwO6JybbKwFxr1bADtdQmv9n+743kj69PFty+UUFN7Z0FyBGTVmAJWXwvlxVx0Aa+GuJ5TQSy7cS&#10;7TQS7VuJZhqJ5k+CPz1adwNQSwMEFAAAAAgAh07iQNk5N4cTAQAASAIAABMAAABbQ29udGVudF9U&#10;eXBlc10ueG1slZJNTsMwEIX3SNzB8hbFDl0ghJp0QQoSC6hQOYBlTxKX+EceE9rb46StBFVaiaU9&#10;8715b+z5Yms60kNA7WxBb1lOCVjplLZNQT/WT9k9JRiFVaJzFgq6A6SL8vpqvt55QJJoiwVtY/QP&#10;nKNswQhkzoNNldoFI2I6hoZ7IT9FA3yW53dcOhvBxiwOGrScV1CLry6S5TZd751sPDSUPO4bh1kF&#10;1WYQGAt8knlZPU8ibOMbOo0E6PCEEd53WoqYFsJ7q07CZIcgLJFjD7ba401Ke2bCUPmb4/eAA/eW&#10;XiBoBWQlQnwVJqXlKiBX7tsG6NllkcGlwczVtZbAqoBVwt6hP7o6pw4zVzn5X/HlSB21+fgPyh9Q&#10;SwECFAAUAAAACACHTuJA2Tk3hxMBAABIAgAAEwAAAAAAAAABACAAAABA0QIAW0NvbnRlbnRfVHlw&#10;ZXNdLnhtbFBLAQIUAAoAAAAAAIdO4kAAAAAAAAAAAAAAAAAGAAAAAAAAAAAAEAAAAPXOAgBfcmVs&#10;cy9QSwECFAAUAAAACACHTuJAihRmPNEAAACUAQAACwAAAAAAAAABACAAAAAZzwIAX3JlbHMvLnJl&#10;bHNQSwECFAAKAAAAAACHTuJAAAAAAAAAAAAAAAAABAAAAAAAAAAAABAAAAAAAAAAZHJzL1BLAQIU&#10;AAoAAAAAAIdO4kAAAAAAAAAAAAAAAAAKAAAAAAAAAAAAEAAAABPQAgBkcnMvX3JlbHMvUEsBAhQA&#10;FAAAAAgAh07iQMAbD1XOAAAAsQIAABkAAAAAAAAAAQAgAAAAO9ACAGRycy9fcmVscy9lMm9Eb2Mu&#10;eG1sLnJlbHNQSwECFAAUAAAACACHTuJAMSO77dcAAAAFAQAADwAAAAAAAAABACAAAAAiAAAAZHJz&#10;L2Rvd25yZXYueG1sUEsBAhQAFAAAAAgAh07iQDf+LqE2AwAAKg8AAA4AAAAAAAAAAQAgAAAAJgEA&#10;AGRycy9lMm9Eb2MueG1sUEsBAhQACgAAAAAAh07iQAAAAAAAAAAAAAAAAAoAAAAAAAAAAAAQAAAA&#10;iAQAAGRycy9tZWRpYS9QSwECFAAUAAAACACHTuJAZE61dfbuAADs7gAAFQAAAAAAAAABACAAAACw&#10;BAAAZHJzL21lZGlhL2ltYWdlMS5qcGVnUEsBAhQAFAAAAAgAh07iQEj2ZA5ohgAAXoYAABUAAAAA&#10;AAAAAQAgAAAA2fMAAGRycy9tZWRpYS9pbWFnZTIuanBlZ1BLAQIUABQAAAAIAIdO4kBopFKcLLQA&#10;ACK0AAAVAAAAAAAAAAEAIAAAAHR6AQBkcnMvbWVkaWEvaW1hZ2UzLmpwZWdQSwECFAAUAAAACACH&#10;TuJAc/mzse+fAADlnwAAFQAAAAAAAAABACAAAADTLgIAZHJzL21lZGlhL2ltYWdlNC5qcGVnUEsF&#10;BgAAAAANAA0AHAMAAITSAgAAAA==&#10;">
                <o:lock v:ext="edit" aspectratio="f"/>
                <v:shape id="Picture 3" o:spid="_x0000_s1026" o:spt="75" type="#_x0000_t75" style="position:absolute;left:6752;top:1773;height:3459;width:4188;" filled="f" o:preferrelative="t" stroked="f" coordsize="21600,21600" o:gfxdata="UEsDBAoAAAAAAIdO4kAAAAAAAAAAAAAAAAAEAAAAZHJzL1BLAwQUAAAACACHTuJASk1zIrwAAADc&#10;AAAADwAAAGRycy9kb3ducmV2LnhtbEVPTWvCQBC9F/oflil4KbqJqEh0FREEtadqD/U2ZsckbXY2&#10;7K4m/vtuQfA2j/c582VnanEj5yvLCtJBAoI4t7riQsHXcdOfgvABWWNtmRTcycNy8foyx0zblj/p&#10;dgiFiCHsM1RQhtBkUvq8JIN+YBviyF2sMxgidIXUDtsYbmo5TJKJNFhxbCixoXVJ+e/hahTU7226&#10;Gmv3Hfa7Xded7mca/Xwo1XtLkxmIQF14ih/urY7z0yH8PxMvkI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pNcyK8AAAA&#10;3AAAAA8AAAAAAAAAAQAgAAAAIgAAAGRycy9kb3ducmV2LnhtbFBLAQIUABQAAAAIAIdO4kAzLwWe&#10;OwAAADkAAAAQAAAAAAAAAAEAIAAAAAsBAABkcnMvc2hhcGV4bWwueG1sUEsFBgAAAAAGAAYAWwEA&#10;ALUDAAAAAA==&#10;">
                  <v:fill on="f" focussize="0,0"/>
                  <v:stroke on="f"/>
                  <v:imagedata r:id="rId115" o:title=""/>
                  <o:lock v:ext="edit" aspectratio="t"/>
                </v:shape>
                <v:shape id="Picture 4" o:spid="_x0000_s1026" o:spt="75" type="#_x0000_t75" style="position:absolute;left:1633;top:1773;height:3459;width:4982;" filled="f" o:preferrelative="t" stroked="f" coordsize="21600,21600" o:gfxdata="UEsDBAoAAAAAAIdO4kAAAAAAAAAAAAAAAAAEAAAAZHJzL1BLAwQUAAAACACHTuJAuOVIqbwAAADc&#10;AAAADwAAAGRycy9kb3ducmV2LnhtbEVP22oCMRB9F/yHMIW+aXYtlrIapVqqFulDrR8w3YybpZvJ&#10;ksTL/r0RBN/mcK4znV9sI07kQ+1YQT7MQBCXTtdcKdj/fg7eQISIrLFxTAo6CjCf9XtTLLQ78w+d&#10;drESKYRDgQpMjG0hZSgNWQxD1xIn7uC8xZigr6T2eE7htpGjLHuVFmtODQZbWhoq/3dHq2Cx/Vt1&#10;h1HddX5BZhXW44/v9y+lnp/ybAIi0iU+xHf3Rqf5+QvcnkkXyN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jlSKm8AAAA&#10;3AAAAA8AAAAAAAAAAQAgAAAAIgAAAGRycy9kb3ducmV2LnhtbFBLAQIUABQAAAAIAIdO4kAzLwWe&#10;OwAAADkAAAAQAAAAAAAAAAEAIAAAAAsBAABkcnMvc2hhcGV4bWwueG1sUEsFBgAAAAAGAAYAWwEA&#10;ALUDAAAAAA==&#10;">
                  <v:fill on="f" focussize="0,0"/>
                  <v:stroke on="f"/>
                  <v:imagedata r:id="rId116" o:title=""/>
                  <o:lock v:ext="edit" aspectratio="t"/>
                </v:shape>
                <v:shape id="Picture 5" o:spid="_x0000_s1026" o:spt="75" type="#_x0000_t75" style="position:absolute;left:1633;top:5400;height:3391;width:4982;" filled="f" o:preferrelative="t" stroked="f" coordsize="21600,21600" o:gfxdata="UEsDBAoAAAAAAIdO4kAAAAAAAAAAAAAAAAAEAAAAZHJzL1BLAwQUAAAACACHTuJAxTSkI7wAAADc&#10;AAAADwAAAGRycy9kb3ducmV2LnhtbEVPTWuDQBC9B/oflin0EupqCaXYbHIQCr0IJpV6HdyJa+LO&#10;irs18d93A4Xe5vE+Z7u/2UHMNPnesYIsSUEQt0733Cmovz6e30D4gKxxcEwKFvKw3z2stphrd+UD&#10;zcfQiRjCPkcFJoQxl9K3hiz6xI3EkTu5yWKIcOqknvAaw+0gX9L0VVrsOTYYHKkw1F6OP1ZBVZlD&#10;U36fl3UhXaObU92XZa3U02OWvoMIdAv/4j/3p47zsw3cn4kXyN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U0pCO8AAAA&#10;3AAAAA8AAAAAAAAAAQAgAAAAIgAAAGRycy9kb3ducmV2LnhtbFBLAQIUABQAAAAIAIdO4kAzLwWe&#10;OwAAADkAAAAQAAAAAAAAAAEAIAAAAAsBAABkcnMvc2hhcGV4bWwueG1sUEsFBgAAAAAGAAYAWwEA&#10;ALUDAAAAAA==&#10;">
                  <v:fill on="f" focussize="0,0"/>
                  <v:stroke on="f"/>
                  <v:imagedata r:id="rId117" o:title=""/>
                  <o:lock v:ext="edit" aspectratio="t"/>
                </v:shape>
                <v:shape id="Picture 6" o:spid="_x0000_s1026" o:spt="75" type="#_x0000_t75" style="position:absolute;left:6752;top:5400;height:3391;width:4188;" filled="f" o:preferrelative="t" stroked="f" coordsize="21600,21600" o:gfxdata="UEsDBAoAAAAAAIdO4kAAAAAAAAAAAAAAAAAEAAAAZHJzL1BLAwQUAAAACACHTuJANGsmLbsAAADb&#10;AAAADwAAAGRycy9kb3ducmV2LnhtbEWPQYvCMBSE74L/ITzB25pWQdZqFBEW9uJhq4LHR/Nsi81L&#10;SWLV/vqNIHgcZuYbZrV5mEZ05HxtWUE6SUAQF1bXXCo4Hn6+vkH4gKyxsUwKnuRhsx4OVphpe+c/&#10;6vJQighhn6GCKoQ2k9IXFRn0E9sSR+9incEQpSuldniPcNPIaZLMpcGa40KFLe0qKq75zSiYLeau&#10;7s9y3267Pg95L09+elFqPEqTJYhAj/AJv9u/WsEihdeX+APk+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GsmLbsAAADb&#10;AAAADwAAAAAAAAABACAAAAAiAAAAZHJzL2Rvd25yZXYueG1sUEsBAhQAFAAAAAgAh07iQDMvBZ47&#10;AAAAOQAAABAAAAAAAAAAAQAgAAAACgEAAGRycy9zaGFwZXhtbC54bWxQSwUGAAAAAAYABgBbAQAA&#10;tAMAAAAA&#10;">
                  <v:fill on="f" focussize="0,0"/>
                  <v:stroke on="f"/>
                  <v:imagedata r:id="rId118" o:title=""/>
                  <o:lock v:ext="edit" aspectratio="t"/>
                </v:shape>
                <w10:wrap type="none"/>
                <w10:anchorlock/>
              </v:group>
            </w:pict>
          </mc:Fallback>
        </mc:AlternateContent>
      </w:r>
    </w:p>
    <w:p>
      <w:pPr>
        <w:ind w:firstLine="422" w:firstLineChars="20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图2  部分特邀专家和青年才俊为学生做学术报告</w:t>
      </w:r>
    </w:p>
    <w:p>
      <w:pPr>
        <w:ind w:firstLine="480" w:firstLineChars="200"/>
        <w:contextualSpacing/>
      </w:pPr>
      <w:r>
        <w:t>在校外，本着</w:t>
      </w:r>
      <w:r>
        <w:rPr>
          <w:rFonts w:hint="eastAsia"/>
        </w:rPr>
        <w:t>“</w:t>
      </w:r>
      <w:r>
        <w:t>互惠互利、共同发展</w:t>
      </w:r>
      <w:r>
        <w:rPr>
          <w:rFonts w:hint="eastAsia"/>
        </w:rPr>
        <w:t>”</w:t>
      </w:r>
      <w:r>
        <w:t>的原则，与24家企业联合建立实践教学基地，搭建了</w:t>
      </w:r>
      <w:r>
        <w:rPr>
          <w:rFonts w:hint="eastAsia"/>
        </w:rPr>
        <w:t>“</w:t>
      </w:r>
      <w:r>
        <w:t>生物技术实践应用平台</w:t>
      </w:r>
      <w:r>
        <w:rPr>
          <w:rFonts w:hint="eastAsia"/>
        </w:rPr>
        <w:t>”</w:t>
      </w:r>
      <w:r>
        <w:t>。每年约有200余人次学生到企业参加实习和实践。</w:t>
      </w:r>
      <w:r>
        <w:rPr>
          <w:rFonts w:hint="eastAsia"/>
        </w:rPr>
        <w:t>“</w:t>
      </w:r>
      <w:r>
        <w:t>实践应用平台</w:t>
      </w:r>
      <w:r>
        <w:rPr>
          <w:rFonts w:hint="eastAsia"/>
        </w:rPr>
        <w:t>”</w:t>
      </w:r>
      <w:r>
        <w:t>建设实现了学校与企业的紧密联合，企业为教师提供了社会服务能力的平台，专家、教授深入生产一线，能够准确及时把握社会需求，实现社会需求与科研的同步发展；企业为学生提供了实践的平台，促进了学生创新和创业能力的提高，提高应用型人才的培养质量；同时，教师为企业提供新技术，学生为产品的研发和企业的创新注入活力，推动了企业的持续健康发展。</w:t>
      </w:r>
    </w:p>
    <w:p>
      <w:pPr>
        <w:ind w:firstLine="480" w:firstLineChars="200"/>
        <w:contextualSpacing/>
      </w:pPr>
      <w:r>
        <w:t>为了鼓励学生发奋学习、创新创业，学院还与企业合作设立</w:t>
      </w:r>
      <w:r>
        <w:rPr>
          <w:rFonts w:hint="eastAsia"/>
        </w:rPr>
        <w:t>“</w:t>
      </w:r>
      <w:r>
        <w:t>实践创新</w:t>
      </w:r>
      <w:r>
        <w:rPr>
          <w:rFonts w:hint="eastAsia"/>
        </w:rPr>
        <w:t>”</w:t>
      </w:r>
      <w:r>
        <w:t>奖学金。目前，有6家企业与学院签订了捐助奖学金计划，年赞助奖金总额达30万元。企业</w:t>
      </w:r>
      <w:r>
        <w:rPr>
          <w:rFonts w:hint="eastAsia"/>
        </w:rPr>
        <w:t>“</w:t>
      </w:r>
      <w:r>
        <w:t>实践创新</w:t>
      </w:r>
      <w:r>
        <w:rPr>
          <w:rFonts w:hint="eastAsia"/>
        </w:rPr>
        <w:t>”</w:t>
      </w:r>
      <w:r>
        <w:t>奖学金的设立不仅为学生提供了经济资助，还营造了学生竞争学习的良好氛围。</w:t>
      </w:r>
    </w:p>
    <w:p>
      <w:pPr>
        <w:pStyle w:val="7"/>
        <w:ind w:firstLine="480" w:firstLineChars="200"/>
      </w:pPr>
      <w:r>
        <w:t>5. 创新教学管理模式，提高人才培养质量。</w:t>
      </w:r>
    </w:p>
    <w:p>
      <w:pPr>
        <w:ind w:firstLine="480" w:firstLineChars="200"/>
        <w:contextualSpacing/>
      </w:pPr>
      <w:r>
        <w:t>注重学生知识、素质与能力的协调发展是人才培养的关键和核心。在教学的管理过程中，确立了一套科学合理的教学管理模式，来保证人才培养质量。主要措施包括：</w:t>
      </w:r>
    </w:p>
    <w:p>
      <w:pPr>
        <w:ind w:firstLine="480" w:firstLineChars="200"/>
        <w:contextualSpacing/>
      </w:pPr>
      <w:r>
        <w:t>（1）构建</w:t>
      </w:r>
      <w:r>
        <w:rPr>
          <w:rFonts w:hint="eastAsia"/>
        </w:rPr>
        <w:t>“</w:t>
      </w:r>
      <w:r>
        <w:t>学院+系+教学团队</w:t>
      </w:r>
      <w:r>
        <w:rPr>
          <w:rFonts w:hint="eastAsia"/>
        </w:rPr>
        <w:t>”</w:t>
      </w:r>
      <w:r>
        <w:t>的三层次教学管理体系，切实有效地提升和保障教育教学水平及质量。</w:t>
      </w:r>
    </w:p>
    <w:p>
      <w:pPr>
        <w:ind w:firstLine="480" w:firstLineChars="200"/>
        <w:contextualSpacing/>
      </w:pPr>
      <w:r>
        <w:t>（2）科研训练实行</w:t>
      </w:r>
      <w:r>
        <w:rPr>
          <w:rFonts w:hint="eastAsia"/>
        </w:rPr>
        <w:t>“</w:t>
      </w:r>
      <w:r>
        <w:t>创新课题+毕业论文</w:t>
      </w:r>
      <w:r>
        <w:rPr>
          <w:rFonts w:hint="eastAsia"/>
        </w:rPr>
        <w:t>”</w:t>
      </w:r>
      <w:r>
        <w:t>制。制定本科生科技创新实践培养和毕业论文的质量标准及其运行管理制度，依托学院科研实验室与科研平台学术带头人与科研骨干教师亲自指导本科生的科研创新与毕业论文，确保人才培养的质量与水平。</w:t>
      </w:r>
    </w:p>
    <w:p>
      <w:pPr>
        <w:ind w:firstLine="480" w:firstLineChars="200"/>
        <w:contextualSpacing/>
      </w:pPr>
      <w:r>
        <w:t>（3）企业技能实训实行</w:t>
      </w:r>
      <w:r>
        <w:rPr>
          <w:rFonts w:hint="eastAsia"/>
        </w:rPr>
        <w:t>“</w:t>
      </w:r>
      <w:r>
        <w:t>专题讲座＋顶岗实习</w:t>
      </w:r>
      <w:r>
        <w:rPr>
          <w:rFonts w:hint="eastAsia"/>
        </w:rPr>
        <w:t>”</w:t>
      </w:r>
      <w:r>
        <w:t>制：依托产学研结合的实践教学平台，聘请企业家来校给学生作报告，直接面对面的交流；本科生直接渗入生物高新技术产业环节，获得创新创业真经。极大的提升了学生的创新创业能力。</w:t>
      </w:r>
    </w:p>
    <w:p>
      <w:pPr>
        <w:pStyle w:val="5"/>
        <w:spacing w:before="93" w:after="93"/>
        <w:ind w:firstLine="560"/>
      </w:pPr>
      <w:r>
        <w:t>五、培养质量</w:t>
      </w:r>
    </w:p>
    <w:p>
      <w:pPr>
        <w:ind w:firstLine="480" w:firstLineChars="200"/>
        <w:contextualSpacing/>
        <w:rPr>
          <w:rFonts w:eastAsia="黑体"/>
        </w:rPr>
      </w:pPr>
      <w:r>
        <w:rPr>
          <w:rFonts w:eastAsia="黑体"/>
        </w:rPr>
        <w:t>1.毕业生就业率</w:t>
      </w:r>
    </w:p>
    <w:p>
      <w:pPr>
        <w:ind w:firstLine="480" w:firstLineChars="200"/>
        <w:contextualSpacing/>
      </w:pPr>
      <w:r>
        <w:t>2022届生物技术专业本科生毕业生共 158人，截止2022年11月，已有130人实现就业，毕业生就业率为82.3%。</w:t>
      </w:r>
      <w:r>
        <w:rPr>
          <w:color w:val="000000"/>
        </w:rPr>
        <w:t>28人未签订就业协议，准备继续攻读硕士研究生或自主创业，占17.7%。</w:t>
      </w:r>
    </w:p>
    <w:p>
      <w:pPr>
        <w:widowControl/>
        <w:adjustRightInd w:val="0"/>
        <w:snapToGrid w:val="0"/>
        <w:spacing w:line="240" w:lineRule="auto"/>
        <w:jc w:val="center"/>
        <w:rPr>
          <w:b/>
          <w:bCs/>
          <w:color w:val="000000"/>
          <w:kern w:val="0"/>
          <w:sz w:val="21"/>
          <w:szCs w:val="21"/>
        </w:rPr>
      </w:pPr>
      <w:r>
        <w:rPr>
          <w:b/>
          <w:bCs/>
          <w:color w:val="000000"/>
          <w:kern w:val="0"/>
          <w:sz w:val="21"/>
          <w:szCs w:val="21"/>
        </w:rPr>
        <w:t>表4  2022届生物技术专业本科生就业去向统计表（单位：人）</w:t>
      </w:r>
    </w:p>
    <w:tbl>
      <w:tblPr>
        <w:tblStyle w:val="17"/>
        <w:tblW w:w="7839" w:type="dxa"/>
        <w:jc w:val="center"/>
        <w:tblLayout w:type="fixed"/>
        <w:tblCellMar>
          <w:top w:w="0" w:type="dxa"/>
          <w:left w:w="0" w:type="dxa"/>
          <w:bottom w:w="0" w:type="dxa"/>
          <w:right w:w="0" w:type="dxa"/>
        </w:tblCellMar>
      </w:tblPr>
      <w:tblGrid>
        <w:gridCol w:w="1895"/>
        <w:gridCol w:w="1279"/>
        <w:gridCol w:w="1192"/>
        <w:gridCol w:w="1129"/>
        <w:gridCol w:w="988"/>
        <w:gridCol w:w="1356"/>
      </w:tblGrid>
      <w:tr>
        <w:tblPrEx>
          <w:tblCellMar>
            <w:top w:w="0" w:type="dxa"/>
            <w:left w:w="0" w:type="dxa"/>
            <w:bottom w:w="0" w:type="dxa"/>
            <w:right w:w="0" w:type="dxa"/>
          </w:tblCellMar>
        </w:tblPrEx>
        <w:trPr>
          <w:trHeight w:val="654" w:hRule="atLeast"/>
          <w:jc w:val="center"/>
        </w:trPr>
        <w:tc>
          <w:tcPr>
            <w:tcW w:w="189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类别</w:t>
            </w:r>
          </w:p>
        </w:tc>
        <w:tc>
          <w:tcPr>
            <w:tcW w:w="1279"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考研升学</w:t>
            </w:r>
          </w:p>
        </w:tc>
        <w:tc>
          <w:tcPr>
            <w:tcW w:w="1192"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签订</w:t>
            </w:r>
          </w:p>
          <w:p>
            <w:pPr>
              <w:widowControl/>
              <w:adjustRightInd w:val="0"/>
              <w:snapToGrid w:val="0"/>
              <w:spacing w:line="240" w:lineRule="auto"/>
              <w:jc w:val="center"/>
              <w:rPr>
                <w:b/>
                <w:bCs/>
                <w:color w:val="000000"/>
                <w:kern w:val="0"/>
                <w:sz w:val="21"/>
                <w:szCs w:val="21"/>
              </w:rPr>
            </w:pPr>
            <w:r>
              <w:rPr>
                <w:b/>
                <w:bCs/>
                <w:color w:val="000000"/>
                <w:kern w:val="0"/>
                <w:sz w:val="21"/>
                <w:szCs w:val="21"/>
              </w:rPr>
              <w:t>就业协议</w:t>
            </w:r>
          </w:p>
        </w:tc>
        <w:tc>
          <w:tcPr>
            <w:tcW w:w="1129" w:type="dxa"/>
            <w:tcBorders>
              <w:top w:val="single" w:color="auto" w:sz="4" w:space="0"/>
              <w:left w:val="nil"/>
              <w:bottom w:val="single" w:color="auto" w:sz="4" w:space="0"/>
              <w:right w:val="single" w:color="000000"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劳动合同</w:t>
            </w:r>
          </w:p>
        </w:tc>
        <w:tc>
          <w:tcPr>
            <w:tcW w:w="988" w:type="dxa"/>
            <w:tcBorders>
              <w:top w:val="single" w:color="auto" w:sz="4" w:space="0"/>
              <w:left w:val="single" w:color="000000" w:sz="4" w:space="0"/>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其他</w:t>
            </w:r>
          </w:p>
          <w:p>
            <w:pPr>
              <w:widowControl/>
              <w:adjustRightInd w:val="0"/>
              <w:snapToGrid w:val="0"/>
              <w:spacing w:line="240" w:lineRule="auto"/>
              <w:jc w:val="center"/>
              <w:rPr>
                <w:b/>
                <w:bCs/>
                <w:color w:val="000000"/>
                <w:kern w:val="0"/>
                <w:sz w:val="21"/>
                <w:szCs w:val="21"/>
              </w:rPr>
            </w:pPr>
            <w:r>
              <w:rPr>
                <w:b/>
                <w:bCs/>
                <w:color w:val="000000"/>
                <w:kern w:val="0"/>
                <w:sz w:val="21"/>
                <w:szCs w:val="21"/>
              </w:rPr>
              <w:t>录用形式</w:t>
            </w:r>
          </w:p>
        </w:tc>
        <w:tc>
          <w:tcPr>
            <w:tcW w:w="1356"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比例（%）</w:t>
            </w:r>
          </w:p>
        </w:tc>
      </w:tr>
      <w:tr>
        <w:tblPrEx>
          <w:tblCellMar>
            <w:top w:w="0" w:type="dxa"/>
            <w:left w:w="0" w:type="dxa"/>
            <w:bottom w:w="0" w:type="dxa"/>
            <w:right w:w="0" w:type="dxa"/>
          </w:tblCellMar>
        </w:tblPrEx>
        <w:trPr>
          <w:trHeight w:val="397" w:hRule="atLeast"/>
          <w:jc w:val="center"/>
        </w:trPr>
        <w:tc>
          <w:tcPr>
            <w:tcW w:w="1895" w:type="dxa"/>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生物技术领域</w:t>
            </w:r>
          </w:p>
        </w:tc>
        <w:tc>
          <w:tcPr>
            <w:tcW w:w="1279" w:type="dxa"/>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87</w:t>
            </w:r>
          </w:p>
        </w:tc>
        <w:tc>
          <w:tcPr>
            <w:tcW w:w="1192" w:type="dxa"/>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16</w:t>
            </w:r>
          </w:p>
        </w:tc>
        <w:tc>
          <w:tcPr>
            <w:tcW w:w="1129" w:type="dxa"/>
            <w:tcBorders>
              <w:top w:val="nil"/>
              <w:left w:val="nil"/>
              <w:bottom w:val="single" w:color="auto" w:sz="4" w:space="0"/>
              <w:right w:val="single" w:color="000000"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w:t>
            </w:r>
          </w:p>
        </w:tc>
        <w:tc>
          <w:tcPr>
            <w:tcW w:w="988" w:type="dxa"/>
            <w:tcBorders>
              <w:top w:val="nil"/>
              <w:left w:val="single" w:color="000000"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17</w:t>
            </w:r>
          </w:p>
        </w:tc>
        <w:tc>
          <w:tcPr>
            <w:tcW w:w="1356" w:type="dxa"/>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76.6</w:t>
            </w:r>
          </w:p>
        </w:tc>
      </w:tr>
      <w:tr>
        <w:tblPrEx>
          <w:tblCellMar>
            <w:top w:w="0" w:type="dxa"/>
            <w:left w:w="0" w:type="dxa"/>
            <w:bottom w:w="0" w:type="dxa"/>
            <w:right w:w="0" w:type="dxa"/>
          </w:tblCellMar>
        </w:tblPrEx>
        <w:trPr>
          <w:trHeight w:val="397" w:hRule="atLeast"/>
          <w:jc w:val="center"/>
        </w:trPr>
        <w:tc>
          <w:tcPr>
            <w:tcW w:w="1895" w:type="dxa"/>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非生物技术领域</w:t>
            </w:r>
          </w:p>
        </w:tc>
        <w:tc>
          <w:tcPr>
            <w:tcW w:w="1279" w:type="dxa"/>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0</w:t>
            </w:r>
          </w:p>
        </w:tc>
        <w:tc>
          <w:tcPr>
            <w:tcW w:w="1192" w:type="dxa"/>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0</w:t>
            </w:r>
          </w:p>
        </w:tc>
        <w:tc>
          <w:tcPr>
            <w:tcW w:w="1129" w:type="dxa"/>
            <w:tcBorders>
              <w:top w:val="nil"/>
              <w:left w:val="nil"/>
              <w:bottom w:val="single" w:color="auto" w:sz="4" w:space="0"/>
              <w:right w:val="single" w:color="000000"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0</w:t>
            </w:r>
          </w:p>
        </w:tc>
        <w:tc>
          <w:tcPr>
            <w:tcW w:w="988" w:type="dxa"/>
            <w:tcBorders>
              <w:top w:val="nil"/>
              <w:left w:val="single" w:color="000000"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9</w:t>
            </w:r>
          </w:p>
        </w:tc>
        <w:tc>
          <w:tcPr>
            <w:tcW w:w="1356" w:type="dxa"/>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5.7</w:t>
            </w:r>
          </w:p>
        </w:tc>
      </w:tr>
      <w:tr>
        <w:tblPrEx>
          <w:tblCellMar>
            <w:top w:w="0" w:type="dxa"/>
            <w:left w:w="0" w:type="dxa"/>
            <w:bottom w:w="0" w:type="dxa"/>
            <w:right w:w="0" w:type="dxa"/>
          </w:tblCellMar>
        </w:tblPrEx>
        <w:trPr>
          <w:trHeight w:val="397" w:hRule="atLeast"/>
          <w:jc w:val="center"/>
        </w:trPr>
        <w:tc>
          <w:tcPr>
            <w:tcW w:w="189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合计</w:t>
            </w:r>
          </w:p>
        </w:tc>
        <w:tc>
          <w:tcPr>
            <w:tcW w:w="1279"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87</w:t>
            </w:r>
          </w:p>
        </w:tc>
        <w:tc>
          <w:tcPr>
            <w:tcW w:w="1192"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16</w:t>
            </w:r>
          </w:p>
        </w:tc>
        <w:tc>
          <w:tcPr>
            <w:tcW w:w="1129" w:type="dxa"/>
            <w:tcBorders>
              <w:top w:val="single" w:color="auto" w:sz="4" w:space="0"/>
              <w:left w:val="nil"/>
              <w:bottom w:val="single" w:color="auto" w:sz="4" w:space="0"/>
              <w:right w:val="single" w:color="000000"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w:t>
            </w:r>
          </w:p>
        </w:tc>
        <w:tc>
          <w:tcPr>
            <w:tcW w:w="988" w:type="dxa"/>
            <w:tcBorders>
              <w:top w:val="single" w:color="auto" w:sz="4" w:space="0"/>
              <w:left w:val="single" w:color="000000"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26</w:t>
            </w:r>
          </w:p>
        </w:tc>
        <w:tc>
          <w:tcPr>
            <w:tcW w:w="1356" w:type="dxa"/>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82.3</w:t>
            </w:r>
          </w:p>
        </w:tc>
      </w:tr>
      <w:tr>
        <w:tblPrEx>
          <w:tblCellMar>
            <w:top w:w="0" w:type="dxa"/>
            <w:left w:w="0" w:type="dxa"/>
            <w:bottom w:w="0" w:type="dxa"/>
            <w:right w:w="0" w:type="dxa"/>
          </w:tblCellMar>
        </w:tblPrEx>
        <w:trPr>
          <w:trHeight w:val="397" w:hRule="atLeast"/>
          <w:jc w:val="center"/>
        </w:trPr>
        <w:tc>
          <w:tcPr>
            <w:tcW w:w="189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比例（%）</w:t>
            </w:r>
          </w:p>
        </w:tc>
        <w:tc>
          <w:tcPr>
            <w:tcW w:w="1279" w:type="dxa"/>
            <w:tcBorders>
              <w:top w:val="single" w:color="auto" w:sz="4" w:space="0"/>
              <w:left w:val="nil"/>
              <w:bottom w:val="single" w:color="auto" w:sz="4" w:space="0"/>
              <w:right w:val="single" w:color="auto" w:sz="4" w:space="0"/>
            </w:tcBorders>
            <w:vAlign w:val="bottom"/>
          </w:tcPr>
          <w:p>
            <w:pPr>
              <w:widowControl/>
              <w:adjustRightInd w:val="0"/>
              <w:snapToGrid w:val="0"/>
              <w:spacing w:line="240" w:lineRule="auto"/>
              <w:jc w:val="center"/>
              <w:rPr>
                <w:color w:val="000000"/>
                <w:kern w:val="0"/>
                <w:sz w:val="21"/>
                <w:szCs w:val="21"/>
              </w:rPr>
            </w:pPr>
            <w:r>
              <w:rPr>
                <w:color w:val="000000"/>
                <w:kern w:val="0"/>
                <w:sz w:val="21"/>
                <w:szCs w:val="21"/>
              </w:rPr>
              <w:t>55.1</w:t>
            </w:r>
          </w:p>
        </w:tc>
        <w:tc>
          <w:tcPr>
            <w:tcW w:w="1192" w:type="dxa"/>
            <w:tcBorders>
              <w:top w:val="single" w:color="auto" w:sz="4" w:space="0"/>
              <w:left w:val="nil"/>
              <w:bottom w:val="single" w:color="auto" w:sz="4" w:space="0"/>
              <w:right w:val="single" w:color="auto" w:sz="4" w:space="0"/>
            </w:tcBorders>
            <w:vAlign w:val="bottom"/>
          </w:tcPr>
          <w:p>
            <w:pPr>
              <w:widowControl/>
              <w:adjustRightInd w:val="0"/>
              <w:snapToGrid w:val="0"/>
              <w:spacing w:line="240" w:lineRule="auto"/>
              <w:jc w:val="center"/>
              <w:rPr>
                <w:color w:val="000000"/>
                <w:kern w:val="0"/>
                <w:sz w:val="21"/>
                <w:szCs w:val="21"/>
              </w:rPr>
            </w:pPr>
            <w:r>
              <w:rPr>
                <w:color w:val="000000"/>
                <w:kern w:val="0"/>
                <w:sz w:val="21"/>
                <w:szCs w:val="21"/>
              </w:rPr>
              <w:t>10.1</w:t>
            </w:r>
          </w:p>
        </w:tc>
        <w:tc>
          <w:tcPr>
            <w:tcW w:w="1129" w:type="dxa"/>
            <w:tcBorders>
              <w:top w:val="single" w:color="auto" w:sz="4" w:space="0"/>
              <w:left w:val="nil"/>
              <w:bottom w:val="single" w:color="auto" w:sz="4" w:space="0"/>
              <w:right w:val="single" w:color="000000" w:sz="4" w:space="0"/>
            </w:tcBorders>
            <w:vAlign w:val="bottom"/>
          </w:tcPr>
          <w:p>
            <w:pPr>
              <w:widowControl/>
              <w:adjustRightInd w:val="0"/>
              <w:snapToGrid w:val="0"/>
              <w:spacing w:line="240" w:lineRule="auto"/>
              <w:jc w:val="center"/>
              <w:rPr>
                <w:color w:val="000000"/>
                <w:kern w:val="0"/>
                <w:sz w:val="21"/>
                <w:szCs w:val="21"/>
              </w:rPr>
            </w:pPr>
            <w:r>
              <w:rPr>
                <w:color w:val="000000"/>
                <w:kern w:val="0"/>
                <w:sz w:val="21"/>
                <w:szCs w:val="21"/>
              </w:rPr>
              <w:t>0.6</w:t>
            </w:r>
          </w:p>
        </w:tc>
        <w:tc>
          <w:tcPr>
            <w:tcW w:w="988" w:type="dxa"/>
            <w:tcBorders>
              <w:top w:val="single" w:color="auto" w:sz="4" w:space="0"/>
              <w:left w:val="single" w:color="000000" w:sz="4" w:space="0"/>
              <w:bottom w:val="single" w:color="auto" w:sz="4" w:space="0"/>
              <w:right w:val="single" w:color="auto" w:sz="4" w:space="0"/>
            </w:tcBorders>
            <w:vAlign w:val="bottom"/>
          </w:tcPr>
          <w:p>
            <w:pPr>
              <w:widowControl/>
              <w:adjustRightInd w:val="0"/>
              <w:snapToGrid w:val="0"/>
              <w:spacing w:line="240" w:lineRule="auto"/>
              <w:jc w:val="center"/>
              <w:rPr>
                <w:color w:val="000000"/>
                <w:kern w:val="0"/>
                <w:sz w:val="21"/>
                <w:szCs w:val="21"/>
              </w:rPr>
            </w:pPr>
            <w:r>
              <w:rPr>
                <w:color w:val="000000"/>
                <w:kern w:val="0"/>
                <w:sz w:val="21"/>
                <w:szCs w:val="21"/>
              </w:rPr>
              <w:t>16.5</w:t>
            </w:r>
          </w:p>
        </w:tc>
        <w:tc>
          <w:tcPr>
            <w:tcW w:w="1356" w:type="dxa"/>
            <w:tcBorders>
              <w:top w:val="single" w:color="auto" w:sz="4" w:space="0"/>
              <w:left w:val="nil"/>
              <w:bottom w:val="single" w:color="auto" w:sz="4" w:space="0"/>
              <w:right w:val="single" w:color="auto" w:sz="4" w:space="0"/>
            </w:tcBorders>
            <w:vAlign w:val="bottom"/>
          </w:tcPr>
          <w:p>
            <w:pPr>
              <w:widowControl/>
              <w:adjustRightInd w:val="0"/>
              <w:snapToGrid w:val="0"/>
              <w:spacing w:line="240" w:lineRule="auto"/>
              <w:jc w:val="center"/>
              <w:rPr>
                <w:color w:val="000000"/>
                <w:kern w:val="0"/>
                <w:sz w:val="21"/>
                <w:szCs w:val="21"/>
              </w:rPr>
            </w:pPr>
            <w:r>
              <w:rPr>
                <w:color w:val="000000"/>
                <w:kern w:val="0"/>
                <w:sz w:val="21"/>
                <w:szCs w:val="21"/>
              </w:rPr>
              <w:t>82.3</w:t>
            </w:r>
          </w:p>
        </w:tc>
      </w:tr>
    </w:tbl>
    <w:p>
      <w:pPr>
        <w:ind w:firstLine="480" w:firstLineChars="200"/>
        <w:contextualSpacing/>
        <w:rPr>
          <w:rFonts w:eastAsia="黑体"/>
        </w:rPr>
      </w:pPr>
      <w:r>
        <w:rPr>
          <w:rFonts w:hint="eastAsia" w:eastAsia="黑体"/>
        </w:rPr>
        <w:t>2.</w:t>
      </w:r>
      <w:r>
        <w:rPr>
          <w:rFonts w:eastAsia="黑体"/>
        </w:rPr>
        <w:t>就业专业对口率</w:t>
      </w:r>
    </w:p>
    <w:p>
      <w:pPr>
        <w:ind w:firstLine="480" w:firstLineChars="200"/>
        <w:contextualSpacing/>
      </w:pPr>
      <w:r>
        <w:t>158名毕业生中，有121人考取生物技术相关专业研究生或就职于生物技术相关企事业单位，有9人就职于其他性质单位，15人尚未就业。就业专业对口率76.6%。</w:t>
      </w:r>
    </w:p>
    <w:p>
      <w:pPr>
        <w:ind w:firstLine="480" w:firstLineChars="200"/>
        <w:contextualSpacing/>
        <w:rPr>
          <w:rFonts w:eastAsia="黑体"/>
        </w:rPr>
      </w:pPr>
      <w:r>
        <w:rPr>
          <w:rFonts w:hint="eastAsia" w:eastAsia="黑体"/>
        </w:rPr>
        <w:t>3.</w:t>
      </w:r>
      <w:r>
        <w:rPr>
          <w:rFonts w:eastAsia="黑体"/>
        </w:rPr>
        <w:t>毕业生发展情况</w:t>
      </w:r>
    </w:p>
    <w:p>
      <w:pPr>
        <w:ind w:firstLine="480" w:firstLineChars="200"/>
        <w:contextualSpacing/>
        <w:rPr>
          <w:highlight w:val="yellow"/>
        </w:rPr>
      </w:pPr>
      <w:r>
        <w:t>截至2022年11月，158名毕业生中，有87人考取硕士研究生，占毕业生总人数的55.1%，其中1人进入哥本哈根大学攻读研究生。16人签订就业协议，占毕业生总人数10.1 %，26人自主创业或其他形式就业，占毕业生总人数16.5%；就业的单位包括：股份有限公司、国有企业、机关、集体经济、私营经济等。28人尚未就业，占毕业生总人数的17.7%，未就业毕业生调研发现，未就业原因主要是二战考研（19人），占未就业毕业生的67.86%，其次是正在求职（5人），占未就业毕业生的17.86%。</w:t>
      </w:r>
    </w:p>
    <w:p>
      <w:pPr>
        <w:ind w:firstLine="480" w:firstLineChars="200"/>
        <w:contextualSpacing/>
        <w:rPr>
          <w:rFonts w:eastAsia="黑体"/>
        </w:rPr>
      </w:pPr>
      <w:r>
        <w:rPr>
          <w:rFonts w:hint="eastAsia" w:eastAsia="黑体"/>
        </w:rPr>
        <w:t>4.</w:t>
      </w:r>
      <w:r>
        <w:rPr>
          <w:rFonts w:eastAsia="黑体"/>
        </w:rPr>
        <w:t>社会对专业的评价</w:t>
      </w:r>
    </w:p>
    <w:p>
      <w:pPr>
        <w:ind w:firstLine="480" w:firstLineChars="200"/>
        <w:contextualSpacing/>
      </w:pPr>
      <w:r>
        <w:t>生物技术专业从设置之初就受到社会的广泛关注，一直是我校招生的龙头专业，带动了我校本科生的招生质量的提高和招生规模的扩大，吸引了许多有志向的优秀高中毕业生来我校深造学习。多年来生物技术专业为著名大学和科研院所输送了高质量的研究生人才，为齐鲁区域经济、生物技术产业、教育科研、管理和社会主义新农村建设输入了高质量的有创新和开拓能力的本科生人才。2007年，生物技术专业被评为</w:t>
      </w:r>
      <w:r>
        <w:rPr>
          <w:rFonts w:hint="eastAsia"/>
        </w:rPr>
        <w:t>“</w:t>
      </w:r>
      <w:r>
        <w:t>山东农业大学品牌专业</w:t>
      </w:r>
      <w:r>
        <w:rPr>
          <w:rFonts w:hint="eastAsia"/>
        </w:rPr>
        <w:t>”</w:t>
      </w:r>
      <w:r>
        <w:t>，2008年被评为</w:t>
      </w:r>
      <w:r>
        <w:rPr>
          <w:rFonts w:hint="eastAsia"/>
        </w:rPr>
        <w:t>“</w:t>
      </w:r>
      <w:r>
        <w:t>山东省品牌专业</w:t>
      </w:r>
      <w:r>
        <w:rPr>
          <w:rFonts w:hint="eastAsia"/>
        </w:rPr>
        <w:t>”</w:t>
      </w:r>
      <w:r>
        <w:t>，2009年被评为</w:t>
      </w:r>
      <w:r>
        <w:rPr>
          <w:rFonts w:hint="eastAsia"/>
        </w:rPr>
        <w:t>“</w:t>
      </w:r>
      <w:r>
        <w:t>国家级特色专业</w:t>
      </w:r>
      <w:r>
        <w:rPr>
          <w:rFonts w:hint="eastAsia"/>
        </w:rPr>
        <w:t>”</w:t>
      </w:r>
      <w:r>
        <w:t>，2013年被确定为</w:t>
      </w:r>
      <w:r>
        <w:rPr>
          <w:rFonts w:hint="eastAsia"/>
        </w:rPr>
        <w:t>“</w:t>
      </w:r>
      <w:r>
        <w:t>山东省高等教育名校建设工程项目—山东省财政重点支持专业</w:t>
      </w:r>
      <w:r>
        <w:rPr>
          <w:rFonts w:hint="eastAsia"/>
        </w:rPr>
        <w:t>”</w:t>
      </w:r>
      <w:r>
        <w:t>，2020年入选国家一流本科专业。</w:t>
      </w:r>
    </w:p>
    <w:p>
      <w:pPr>
        <w:ind w:firstLine="480" w:firstLineChars="200"/>
        <w:contextualSpacing/>
      </w:pPr>
      <w:r>
        <w:t>2022年，通过电子邮件向用人单位发放调查问卷80 份，收回有效调查问卷77份；超过 90% 的评价认为本专业毕业生表现较好或很好。其中表现较为突出的依次是：敬业精神、职业道德、工作责任感、团队合作能力、 持续学习能力、人际交往能力。</w:t>
      </w:r>
    </w:p>
    <w:p>
      <w:pPr>
        <w:ind w:firstLine="480" w:firstLineChars="200"/>
        <w:contextualSpacing/>
        <w:rPr>
          <w:rFonts w:eastAsia="黑体"/>
        </w:rPr>
      </w:pPr>
      <w:r>
        <w:rPr>
          <w:rFonts w:hint="eastAsia" w:eastAsia="黑体"/>
        </w:rPr>
        <w:t>5.</w:t>
      </w:r>
      <w:r>
        <w:rPr>
          <w:rFonts w:eastAsia="黑体"/>
        </w:rPr>
        <w:t>学生就读该专业的意愿</w:t>
      </w:r>
    </w:p>
    <w:p>
      <w:pPr>
        <w:ind w:firstLine="480" w:firstLineChars="200"/>
        <w:contextualSpacing/>
      </w:pPr>
      <w:r>
        <w:t>2022年，生物大类专业面向省内和省外（安徽、江苏、浙江等18个省市）计划招生275人，实际录取275人，一次录取率达100%；实际报到268人，报到率97.5%（注：2022级，生物科学和生物技术2个专业按</w:t>
      </w:r>
      <w:r>
        <w:rPr>
          <w:rFonts w:hint="eastAsia"/>
        </w:rPr>
        <w:t>“</w:t>
      </w:r>
      <w:r>
        <w:t>生物科学类</w:t>
      </w:r>
      <w:r>
        <w:rPr>
          <w:rFonts w:hint="eastAsia"/>
        </w:rPr>
        <w:t>”</w:t>
      </w:r>
      <w:r>
        <w:t>大类报到268人，其中有31人经选拔进入齐鲁学堂，余237人，每个专业平均约119人）。专业分流时，2019级、2020级和2021级分别有191人、177人和197人选择生物技术专业，分别占年级总人数的66.8%、69.4%和74.3%。</w:t>
      </w:r>
    </w:p>
    <w:p>
      <w:pPr>
        <w:ind w:firstLine="480" w:firstLineChars="200"/>
        <w:contextualSpacing/>
        <w:rPr>
          <w:rFonts w:eastAsia="黑体"/>
        </w:rPr>
      </w:pPr>
      <w:r>
        <w:rPr>
          <w:rFonts w:hint="eastAsia" w:eastAsia="黑体"/>
        </w:rPr>
        <w:t>6.</w:t>
      </w:r>
      <w:r>
        <w:rPr>
          <w:rFonts w:eastAsia="黑体"/>
        </w:rPr>
        <w:t>就业单位满意率</w:t>
      </w:r>
    </w:p>
    <w:p>
      <w:pPr>
        <w:ind w:firstLine="480" w:firstLineChars="200"/>
        <w:rPr>
          <w:highlight w:val="yellow"/>
        </w:rPr>
      </w:pPr>
      <w:r>
        <w:rPr>
          <w:color w:val="000000"/>
        </w:rPr>
        <w:t>对2022届已就业毕业生中85人（包含研究生）跟踪调查，统计结果显：</w:t>
      </w:r>
      <w:r>
        <w:t>52.9%的人月收入在2000元以下（均为读研研究生），8.2%的人月收入在2001-4000元，28.2%的人月收入集中在4001-6000元，10.6%的人月收入在6000元以上。综合毕业生对就业单位的工作性质、工作强度、生活压力和工资薪酬等各方面，毕业生对就业现状满意度达80%以上。</w:t>
      </w:r>
    </w:p>
    <w:p>
      <w:pPr>
        <w:pStyle w:val="5"/>
        <w:spacing w:before="93" w:after="93"/>
        <w:ind w:firstLine="560"/>
      </w:pPr>
      <w:r>
        <w:t>六、毕业生就业创业</w:t>
      </w:r>
    </w:p>
    <w:p>
      <w:pPr>
        <w:ind w:firstLine="480" w:firstLineChars="200"/>
        <w:contextualSpacing/>
      </w:pPr>
      <w:r>
        <w:t>学院高度重视毕业生的就业创业工作，设立了学生就业指导与服务中心，由专职人员负责就业市场开拓、就业指导与咨询，采取各种措施存进学生的就业创业。</w:t>
      </w:r>
    </w:p>
    <w:p>
      <w:pPr>
        <w:pStyle w:val="7"/>
        <w:ind w:firstLine="480" w:firstLineChars="200"/>
      </w:pPr>
      <w:r>
        <w:rPr>
          <w:rFonts w:hint="eastAsia"/>
        </w:rPr>
        <w:t xml:space="preserve">1. </w:t>
      </w:r>
      <w:r>
        <w:t>引导和鼓励毕业生走到基层，服务乡村振兴</w:t>
      </w:r>
    </w:p>
    <w:p>
      <w:pPr>
        <w:ind w:firstLine="480" w:firstLineChars="200"/>
        <w:contextualSpacing/>
      </w:pPr>
      <w:r>
        <w:t>我国脱贫攻坚战已经取得了全面胜利，科技兴农、乡村振兴即将全面开展。学院应该积极响应党中央号召和国家政策，通过就业动员大会、主题班会、专题讲座等形式积极宣传</w:t>
      </w:r>
      <w:r>
        <w:rPr>
          <w:rFonts w:hint="eastAsia"/>
        </w:rPr>
        <w:t>“</w:t>
      </w:r>
      <w:r>
        <w:t>乡村振兴</w:t>
      </w:r>
      <w:r>
        <w:rPr>
          <w:rFonts w:hint="eastAsia"/>
        </w:rPr>
        <w:t>”</w:t>
      </w:r>
      <w:r>
        <w:t>，并鼓励毕业生到基层，扎根三农，服务乡村振兴。</w:t>
      </w:r>
    </w:p>
    <w:p>
      <w:pPr>
        <w:pStyle w:val="7"/>
        <w:ind w:firstLine="480" w:firstLineChars="200"/>
      </w:pPr>
      <w:r>
        <w:rPr>
          <w:rFonts w:hint="eastAsia"/>
        </w:rPr>
        <w:t xml:space="preserve">2. </w:t>
      </w:r>
      <w:r>
        <w:t>加强校企合作，实现学院与企业之间的深度合作</w:t>
      </w:r>
    </w:p>
    <w:p>
      <w:pPr>
        <w:ind w:firstLine="480" w:firstLineChars="200"/>
        <w:contextualSpacing/>
      </w:pPr>
      <w:r>
        <w:t>在2022届毕业生就业工作中，学院进一步加强校企合作力度，建立了一批与生物产业紧密相关的大学生就业创业实践基地。同时主动加强了与生物类、食品类、制药类、畜牧类省内外企业的联系，参加校园就业招聘会的单位累计达百余家，为学生提供800多个用工岗位和招聘信息，实现供求比例大于20:1，极大地满足了生物类人才的求职需求。</w:t>
      </w:r>
    </w:p>
    <w:p>
      <w:pPr>
        <w:pStyle w:val="7"/>
        <w:ind w:firstLine="480" w:firstLineChars="200"/>
      </w:pPr>
      <w:r>
        <w:t>3. 发挥专业教师作用，全员参与就业</w:t>
      </w:r>
    </w:p>
    <w:p>
      <w:pPr>
        <w:ind w:firstLine="480" w:firstLineChars="200"/>
        <w:contextualSpacing/>
      </w:pPr>
      <w:r>
        <w:t>专业教师根据自己在教学科研中与企业的联系，积极为毕业生提供实习岗位，通过实习促进就业。邀请企业到学校参加招聘会和专场招聘，为毕业生提供就业岗位。此外，专业教师通过长期跟企业联系，熟悉企业对毕业生的需求和对毕业生综合素质的要求，把这些信息传递给毕业生，指导毕业生就业工作，积极传授毕业生如何主动就业之道。学院上下形成了领导、辅导员、专业教师三位一体的就业指导工作联动体系，充分发挥专业教师的就业指导作用。教师不仅讲授专业知识，而且传授职业发展素质修养，介绍本学科领域最新发展趋势及职业优势，引导毕业生合理定位自身职业，通过言传身教方式引导毕业生求职就业。</w:t>
      </w:r>
    </w:p>
    <w:p>
      <w:pPr>
        <w:pStyle w:val="7"/>
        <w:ind w:firstLine="480" w:firstLineChars="200"/>
      </w:pPr>
      <w:r>
        <w:t>4. 加强毕业生思想教育工作，引导毕业生积极就业</w:t>
      </w:r>
    </w:p>
    <w:p>
      <w:pPr>
        <w:ind w:firstLine="480" w:firstLineChars="200"/>
        <w:contextualSpacing/>
      </w:pPr>
      <w:r>
        <w:t>毕业生教育工作，既是就业工作的重要内容，也是大学生思想教育工作的重要组成部分。学院积极做好毕业生就业思想状况调研分析，掌握毕业生的思想动态，并以此为依据通过多种形式的教育活动，把解决毕业生思想问题与解决实际问题相结合，为毕业生做好事、办实事。加强学生思想政治教育和心理健康教育，把引导毕业生树立正确价值观和就业观，积极面向基层就业作为当前毕业生思想教育指导工作的重要内容，引导学生客观、理性、辨证地认识就业形势，合理调整就业预期，进一步转变就业观念，引导学生认清严峻的就业形势，激发学生的生存忧患意识和个体发展意识，树立</w:t>
      </w:r>
      <w:r>
        <w:rPr>
          <w:rFonts w:hint="eastAsia"/>
        </w:rPr>
        <w:t>“</w:t>
      </w:r>
      <w:r>
        <w:t>行行可建功、处处能立业、劳动最光荣</w:t>
      </w:r>
      <w:r>
        <w:rPr>
          <w:rFonts w:hint="eastAsia"/>
        </w:rPr>
        <w:t>”</w:t>
      </w:r>
      <w:r>
        <w:t xml:space="preserve">的职业观念。 </w:t>
      </w:r>
    </w:p>
    <w:p>
      <w:pPr>
        <w:pStyle w:val="7"/>
        <w:ind w:firstLine="480" w:firstLineChars="200"/>
      </w:pPr>
      <w:r>
        <w:t>5. 提前摸排，分类指导，实现最大限度的就业</w:t>
      </w:r>
    </w:p>
    <w:p>
      <w:pPr>
        <w:ind w:firstLine="480" w:firstLineChars="200"/>
        <w:contextualSpacing/>
      </w:pPr>
      <w:r>
        <w:t>毕业生一进入大四，学院即安排就业辅导员对毕业生进行初步就业摸排，对考研、就业、考公务员等就业意向进行逐一摸排，并形成班级分析报告。在摸排基础上，学院按照</w:t>
      </w:r>
      <w:r>
        <w:rPr>
          <w:rFonts w:hint="eastAsia"/>
        </w:rPr>
        <w:t>“</w:t>
      </w:r>
      <w:r>
        <w:t>明确目标、突出重点、分步实施、分类指导</w:t>
      </w:r>
      <w:r>
        <w:rPr>
          <w:rFonts w:hint="eastAsia"/>
        </w:rPr>
        <w:t>”</w:t>
      </w:r>
      <w:r>
        <w:t>的原则，有针对性地开展内容丰富、形式多样且实效性强的就业指导讲座和咨询活动。学院先后邀请济南巨微生物技术有限公司、新泰裕兴生物科技有限公司、山东七河生物科技股份有限公司、山东福田药业有限公司等企业负责人到学校为毕业生开展以客观认识就业形势、进一步转变就业观念为目的的指导讲座（报告），重点抓好择业观、就业诚信教育和择业技巧培训。</w:t>
      </w:r>
    </w:p>
    <w:p>
      <w:pPr>
        <w:pStyle w:val="5"/>
        <w:spacing w:before="93" w:after="93"/>
        <w:ind w:firstLine="560"/>
      </w:pPr>
      <w:r>
        <w:t>七、专业人才社会需求分析及专业发展趋势分析</w:t>
      </w:r>
    </w:p>
    <w:p>
      <w:pPr>
        <w:ind w:firstLine="480" w:firstLineChars="200"/>
        <w:contextualSpacing/>
      </w:pPr>
      <w:r>
        <w:t>生物技术是指以现代生命科学为基础，采用高科技手段对生物性状进行改良，培育高产、优质、抗逆新品种，或利用生物体生产有价值的产品的技术。当前，生物技术的发展已进入大规模产业化的起始阶段，迅猛发展的生物技术产业，如生物医药、生物农业、生物能源、生物制造和生物环保，已成为世界经济中又一新的主导产业。大力发展生物技术产业，是培育新的经济增长点，提升中国产业的国际地位和保障国家长远发展的需要。《</w:t>
      </w:r>
      <w:r>
        <w:rPr>
          <w:rFonts w:hint="eastAsia"/>
        </w:rPr>
        <w:t>“</w:t>
      </w:r>
      <w:r>
        <w:t>十四五</w:t>
      </w:r>
      <w:r>
        <w:rPr>
          <w:rFonts w:hint="eastAsia"/>
        </w:rPr>
        <w:t>”</w:t>
      </w:r>
      <w:r>
        <w:t>生物经济发展规划》明确以生命科学和生物技术的发展进步为动力，以保护开发利用生物资源为基础，广泛深度融合医药、健康、农业、林业、能源、环保、材料等产业。</w:t>
      </w:r>
    </w:p>
    <w:p>
      <w:pPr>
        <w:ind w:firstLine="480" w:firstLineChars="200"/>
        <w:contextualSpacing/>
      </w:pPr>
      <w:r>
        <w:t>生物技术是21世纪最重要的创新技术集群之一，具有突破性、引领性等显著特点，已经成为促进未来发展的有效力量，在促进社会民生高质量发展方面具有重要意义。近年来，生物领域成为投资热点，科创板上市企业中生物企业占比达1/3，</w:t>
      </w:r>
      <w:r>
        <w:rPr>
          <w:rFonts w:hint="eastAsia"/>
        </w:rPr>
        <w:t>“</w:t>
      </w:r>
      <w:r>
        <w:t>十三五</w:t>
      </w:r>
      <w:r>
        <w:rPr>
          <w:rFonts w:hint="eastAsia"/>
        </w:rPr>
        <w:t>”</w:t>
      </w:r>
      <w:r>
        <w:t>期间规模以上医药企业研发投入年均增长约8%。生物制造体量进一步扩大，现代生物发酵产品占全球70%以上份额。</w:t>
      </w:r>
    </w:p>
    <w:p>
      <w:pPr>
        <w:ind w:firstLine="480" w:firstLineChars="200"/>
        <w:contextualSpacing/>
      </w:pPr>
      <w:r>
        <w:t>生物技术快速发展，颠覆性成果与应用不断涌现。近20年来，生命科学和生物技术快速发展，呈现出前沿生物技术探索加快、颠覆性成果与应用不断涌现的趋势。基因编辑的精准性进一步提升，应用潜力不断增强，多种基因编辑工具得到开发。比如，CRISPR/Cas3基因编辑系统可以在人胚胎干细胞中实现大片段的基因敲除，编辑效率达到13%—60%。新型基因编辑技术SATI能够使早衰小鼠寿命延长45%。CRISPR活细胞荧光原位杂交技术可以实时观测活细胞中基因组编辑的动态变化。超精确基因编辑工具Prime Editor能够不再依赖DNA模版即可实现单碱基自由转换和多碱基增删，有望修正89%的已知致病性人类遗传突变。</w:t>
      </w:r>
    </w:p>
    <w:p>
      <w:pPr>
        <w:ind w:firstLine="480" w:firstLineChars="200"/>
        <w:contextualSpacing/>
      </w:pPr>
      <w:r>
        <w:t>合成生物学利用蛋白质设计开发全新蛋白质功能，在治疗人类疾病方面取得系列进展。美国科学家构建出能放置在活细胞中并调控细胞功能的人工蛋白开关，从头设计合成出的抗癌蛋白大幅提升了抗癌效果并彻底消除了天然蛋白毒副作用。此外，合成生物学通过设计非天然生物系统，极大扩展了生命的可能性。以色列研究人员创制出可固定二氧化碳的大肠杆菌，使其从异养生物变成自养生物。美国研究人员设计出一种无细胞酶反应体系，可以摆脱细胞限制，使输入的生物质能高产量、高生产率和高滴度地转化为所需的产品。</w:t>
      </w:r>
    </w:p>
    <w:p>
      <w:pPr>
        <w:ind w:firstLine="480" w:firstLineChars="200"/>
        <w:contextualSpacing/>
      </w:pPr>
      <w:r>
        <w:t>干细胞技术推动人造器官和再生医学加速发展。日本大阪大学于2020年完成全球首例诱导多功能干细胞培养角膜的移植手术。奥地利科学院分子生物技术研究所等机构利用人体多功能干细胞培育出</w:t>
      </w:r>
      <w:r>
        <w:rPr>
          <w:rFonts w:hint="eastAsia"/>
        </w:rPr>
        <w:t>“</w:t>
      </w:r>
      <w:r>
        <w:t>高仿真</w:t>
      </w:r>
      <w:r>
        <w:rPr>
          <w:rFonts w:hint="eastAsia"/>
        </w:rPr>
        <w:t>”</w:t>
      </w:r>
      <w:r>
        <w:t>人体血管类器官，促进了血管疾病研究。此外，微型芯片小肠、迷你心脏、重建胸腺等人造器官也相继出现。与此同时，干细胞的新类型和新机制也不断被发现。日本研究团队利用多光子显微镜，捕捉到小鼠胎儿脑组织中神经干细胞的形状变化，发现神经干细胞能灵活地再生柱状形态。中国科学院分子细胞科学卓越创新中心的研究人员在小鼠身上发现一群新型细胞Procr+，并证实Procr+细胞是胰岛中的成体干细胞。</w:t>
      </w:r>
    </w:p>
    <w:p>
      <w:pPr>
        <w:ind w:firstLine="480" w:firstLineChars="200"/>
        <w:contextualSpacing/>
      </w:pPr>
      <w:r>
        <w:t>脑科学基础研究不断取得重大突破。美国威斯康星大学麦迪逊分校研究人员在猴子脑中植入电极，将疑似与意识相关的区域精确锁定到中央外侧丘脑的微小区域。美国184个不同机构的360多位科学家合作绘制出全球首个大脑皮层基因图谱，揭示了大脑灰质遗传结构。同时，光遗传学技术的发展也为脑科学研究提供了有力工具。该技术通过基因改造神经细胞，使其拥有对光产生反应的蛋白质。当光照射到细胞时，这些神经细胞里的电子活动就会被触发，因此可用光来控制神经细胞的电活动。</w:t>
      </w:r>
    </w:p>
    <w:p>
      <w:pPr>
        <w:ind w:firstLine="480" w:firstLineChars="200"/>
        <w:contextualSpacing/>
      </w:pPr>
      <w:r>
        <w:t>生命图谱绘制范围日益扩大，精准度不断提升。生命图谱绘制正逐渐从分子图谱扩展到细胞图谱，为人们多层次理解生命系统、认识和治疗疾病提供支持。美国科学家对果蝇大脑进行了纳米级成像。德国科学家也重建了小鼠大脑皮层神经网络，揭示了迄今最大的哺乳动物神经连接组。此外，德、法、英、美等国的科学家也分别绘制出更加完整的人类肝细胞图谱、肾细胞图谱、秀丽隐杆线虫神经图谱等。</w:t>
      </w:r>
    </w:p>
    <w:p>
      <w:pPr>
        <w:ind w:firstLine="480" w:firstLineChars="200"/>
        <w:contextualSpacing/>
      </w:pPr>
      <w:r>
        <w:t>生物技术与信息技术融合发展，生物存储与计算技术成为突破性的革命技术。合成生物学的进步推动生物分子成为数据存储的优质载体，以DNA存储为代表的生物存储与计算技术取得系列突破。中国科学院长春光学精密机械与物理研究所的科学家使用32条DNA链创建出一种可以存储和处理数据的DNA生物计算系统。美国斯坦福大学开发出低能耗类脑人造突触，实现运算、存储同步。3D 细胞打印、人机智能等颠覆性技术的发展，将成为经济社会、生命健康、绿色可持续发展等领域的新动力。</w:t>
      </w:r>
    </w:p>
    <w:p>
      <w:pPr>
        <w:ind w:firstLine="480" w:firstLineChars="200"/>
        <w:contextualSpacing/>
      </w:pPr>
      <w:r>
        <w:t>生物育种技术的发展有效提高了粮食等重要农产品的生产能力和质量。1983年，世界上首次报道获得了生物工程作物--转基因烟草再生植株。1986年，首批经生物工程处理的棉花被批准进行田间试验。矮化育种、杂种优势利用推动了种业技术的重大变革；基因编辑技术可以精确、快速地改善农作物的生物性状，推动农业变革；基因编辑、全基因组选择等生物技术与大数据、人工智能等现代信息技术交叉融合，有效地推动了精准化、高效化、智能化的种业技术革命，驱动了现代育种技术的快速迭代。</w:t>
      </w:r>
    </w:p>
    <w:p>
      <w:pPr>
        <w:ind w:firstLine="480" w:firstLineChars="200"/>
        <w:contextualSpacing/>
      </w:pPr>
      <w:r>
        <w:t>生物科技的发展是近现代人类文明发展的缩影。当前，生物科技的新一轮变革，正广泛渗透到人类经济、社会的各个领域。与其他领域高科技相比，生物科技是关于生物和生命存在、发展、演化的科技，是关于人自身内在指向的科技。在未来，随着生物科技的革命性突破，人类认识生物、改造利用自然的能力将提升到新高度，人与生物将达到更高水平的和谐共生。特别是针对新冠肺炎以及其他各类传染疾病的基础研究，药物和疫苗研发等投入将持续加大，各类疾病检测设备和试剂的研发也必将更加受到重视。生物试剂和技术服务行业为以上的基础研究和应用研究提供工具和支持，也将持续受益。因此，生物技术相关产业的告诉发展，急需生物技术相关人才。</w:t>
      </w:r>
    </w:p>
    <w:p>
      <w:pPr>
        <w:pStyle w:val="5"/>
        <w:spacing w:before="93" w:after="93"/>
        <w:ind w:firstLine="560"/>
      </w:pPr>
      <w:r>
        <w:t>八、存在的问题及拟采取的对策措施</w:t>
      </w:r>
    </w:p>
    <w:p>
      <w:pPr>
        <w:ind w:firstLine="480" w:firstLineChars="200"/>
        <w:contextualSpacing/>
      </w:pPr>
      <w:r>
        <w:t>在准确把握社会对人才需求的基础上，专业以高素质创新型、应用型人才培养为目标，以学科建设为基础，以师资队伍建设为关键，以体制机制建设为保障，强力推进专业建设工作，大力提升人才培养质量，在人才培养、科学研究、社会服务、文化传承和管理水平等方面取得了明显的成效，但是，与当今社会发展需求对相比，与国内外同学科的发展趋势相比，还有一些地方需要不断完善。</w:t>
      </w:r>
    </w:p>
    <w:p>
      <w:pPr>
        <w:ind w:firstLine="480" w:firstLineChars="200"/>
        <w:contextualSpacing/>
      </w:pPr>
      <w:r>
        <w:t>学科结构和实力水平有待提高。学科结构和实力水平还不能完全适应国家发展的战略需求，优势学科需进一步增强国际影响力。下一步，将紧紧围绕学校的办学定位，强化学科分类建设，完善富有特色的学科体系。建立适应山东经济社会发展的专业设置与调整机制，进一步优化学科专业结构。正确处理学科和专业的关系，将学科优势转化为教学优势，把生物技术专业打造成与山东经济社会结构战略性调整和现代产业体系建设相匹配的优势专业和特色专业，依靠重点专业带动相关专业群建设，提升专业整体水平。</w:t>
      </w:r>
    </w:p>
    <w:p>
      <w:pPr>
        <w:ind w:firstLine="480" w:firstLineChars="200"/>
        <w:contextualSpacing/>
      </w:pPr>
      <w:r>
        <w:t>师资队伍整体水平还不能满足创建国内一流专业的要求。专业师资队伍仍然存在生师比过高、缺乏大师、教师来源单一且结构不尽合理等主要问题。今后将继续坚持</w:t>
      </w:r>
      <w:r>
        <w:rPr>
          <w:rFonts w:hint="eastAsia"/>
        </w:rPr>
        <w:t>“</w:t>
      </w:r>
      <w:r>
        <w:t>办学以教师为本</w:t>
      </w:r>
      <w:r>
        <w:rPr>
          <w:rFonts w:hint="eastAsia"/>
        </w:rPr>
        <w:t>”</w:t>
      </w:r>
      <w:r>
        <w:t>的理念，加强优秀拔尖人才、中青年学科专业带头人及优秀青年骨干教师的引进、选拔与培养，造就一批具有现代教育观念、教学态度端正、教学手段先进、教学效果好、教学改革成效显著的教学名师和教学团队；积极开展多种形式的教师培训工作，提高教师的教学水平、科研创新和社会服务能力，建设一支师德高尚、业务精湛、结构合理、充满活力、学风优良、崇尚学术、富有创新精神的高素质专业化教师队伍。</w:t>
      </w:r>
    </w:p>
    <w:p>
      <w:pPr>
        <w:ind w:firstLine="480" w:firstLineChars="200"/>
      </w:pPr>
      <w:r>
        <w:t>教育教学水平还不能完全适应创新型人才的培养要求。今后将以适应社会需求为导向，重点推进创新型人才培养方案的实施，提高优秀生源吸引力和毕业生社会认可度。采取的举措包括：①大力提高师资队伍的教育教学水平和科学研究的创新能力，建设一支师德高尚、业务精湛、结构合理、充满活力的高素质专业化教师队伍。② 抓好新修订的才培养方案的实施，进一步完善人才培养方案，探索拔尖型人才培养的新模式。③ 抓好课堂教学管理和考评考核工作，提高课堂教学质量。④抓好课程建设，以国家级资源共享课程和省级精品课程的建设为重点，突出国家级规划教材编写在课程建设中的核心地位，建立高水平高质量的教学资源信息网络。⑤建立稳固的实践教学基地，完善产学研合作体制机制，聘请知名企业专家作为兼职教师，确保实践教学质量的提高。⑥抓好学风建设，提高学生学习的积极性和主动性。⑦通过设置不同类型的奖学金，激发学生的学习动力。⑧ 鼓励学生参加不同类型的科技社团和科研项目，促进学生在科技创新方面的个性发展。</w:t>
      </w:r>
    </w:p>
    <w:p>
      <w:r>
        <w:br w:type="page"/>
      </w:r>
    </w:p>
    <w:p>
      <w:pPr>
        <w:pStyle w:val="4"/>
        <w:ind w:firstLine="600"/>
        <w:rPr>
          <w:lang w:val="en-US"/>
        </w:rPr>
      </w:pPr>
      <w:bookmarkStart w:id="513" w:name="_Toc14108"/>
      <w:bookmarkStart w:id="514" w:name="_Toc28253"/>
      <w:bookmarkStart w:id="515" w:name="_Toc21145"/>
      <w:bookmarkStart w:id="516" w:name="_Toc12987"/>
      <w:bookmarkStart w:id="517" w:name="_Toc9321"/>
      <w:r>
        <w:t>专业</w:t>
      </w:r>
      <w:r>
        <w:rPr>
          <w:rFonts w:hint="eastAsia"/>
          <w:lang w:val="en-US"/>
        </w:rPr>
        <w:t>四十九</w:t>
      </w:r>
      <w:r>
        <w:t>：生物</w:t>
      </w:r>
      <w:r>
        <w:rPr>
          <w:lang w:val="en-US"/>
        </w:rPr>
        <w:t>工程</w:t>
      </w:r>
      <w:bookmarkEnd w:id="513"/>
    </w:p>
    <w:bookmarkEnd w:id="514"/>
    <w:bookmarkEnd w:id="515"/>
    <w:bookmarkEnd w:id="516"/>
    <w:bookmarkEnd w:id="517"/>
    <w:p>
      <w:pPr>
        <w:pStyle w:val="5"/>
        <w:spacing w:before="93" w:after="93"/>
        <w:ind w:firstLine="560"/>
      </w:pPr>
      <w:r>
        <w:t>一、培养目标与规格</w:t>
      </w:r>
    </w:p>
    <w:p>
      <w:pPr>
        <w:autoSpaceDE w:val="0"/>
        <w:autoSpaceDN w:val="0"/>
        <w:adjustRightInd w:val="0"/>
        <w:ind w:firstLine="398" w:firstLineChars="166"/>
        <w:rPr>
          <w:rFonts w:eastAsia="黑体"/>
          <w:kern w:val="0"/>
          <w:szCs w:val="24"/>
        </w:rPr>
      </w:pPr>
      <w:r>
        <w:rPr>
          <w:rFonts w:eastAsia="黑体"/>
          <w:kern w:val="0"/>
          <w:szCs w:val="24"/>
        </w:rPr>
        <w:t>1.培养目标</w:t>
      </w:r>
    </w:p>
    <w:p>
      <w:pPr>
        <w:autoSpaceDE w:val="0"/>
        <w:autoSpaceDN w:val="0"/>
        <w:adjustRightInd w:val="0"/>
        <w:ind w:firstLine="398" w:firstLineChars="166"/>
        <w:jc w:val="left"/>
        <w:rPr>
          <w:rFonts w:eastAsiaTheme="minorEastAsia"/>
          <w:kern w:val="0"/>
          <w:szCs w:val="24"/>
        </w:rPr>
      </w:pPr>
      <w:r>
        <w:rPr>
          <w:rFonts w:eastAsiaTheme="minorEastAsia"/>
          <w:kern w:val="0"/>
          <w:szCs w:val="24"/>
        </w:rPr>
        <w:t>本专业培养德、智、体、美全面发展，具有健全的人格、正确的世界观、人生观和价值观，具备良好的人文社科基础知识和人文修养。具备扎实的生物学与工程学基础知识，掌握生物产品大规模制造的科学原理，熟悉生物加工过程流程和工程设计等基础理论和技能，熟悉国内外发展现状、趋势和专业技术规范，具有良好的生物工程实践能力、自主学习能力、团队协作和组织协调能力，及较强的创新意识和社会责任感，能在生物发酵、制药、环保、生物资源应用等生物工程相关领域从事设计、生产、管理和新技术研究、新产品开发等方面的创新型、专业型高级工程技术人才。</w:t>
      </w:r>
    </w:p>
    <w:p>
      <w:pPr>
        <w:autoSpaceDE w:val="0"/>
        <w:autoSpaceDN w:val="0"/>
        <w:adjustRightInd w:val="0"/>
        <w:ind w:firstLine="398" w:firstLineChars="166"/>
        <w:jc w:val="left"/>
        <w:rPr>
          <w:rFonts w:eastAsiaTheme="minorEastAsia"/>
          <w:kern w:val="0"/>
          <w:szCs w:val="24"/>
        </w:rPr>
      </w:pPr>
      <w:r>
        <w:rPr>
          <w:rFonts w:eastAsiaTheme="minorEastAsia"/>
          <w:kern w:val="0"/>
          <w:szCs w:val="24"/>
        </w:rPr>
        <w:t xml:space="preserve">本专业毕业生经过5年左右的职业历练，将达成以下培养目标： </w:t>
      </w:r>
    </w:p>
    <w:p>
      <w:pPr>
        <w:autoSpaceDE w:val="0"/>
        <w:autoSpaceDN w:val="0"/>
        <w:adjustRightInd w:val="0"/>
        <w:ind w:firstLine="398" w:firstLineChars="166"/>
        <w:jc w:val="left"/>
        <w:rPr>
          <w:rFonts w:eastAsiaTheme="minorEastAsia"/>
          <w:kern w:val="0"/>
          <w:szCs w:val="24"/>
        </w:rPr>
      </w:pPr>
      <w:r>
        <w:rPr>
          <w:rFonts w:eastAsiaTheme="minorEastAsia"/>
          <w:kern w:val="0"/>
          <w:szCs w:val="24"/>
        </w:rPr>
        <w:t>培养目标1：德智体美全面发展，具有健全人格，具备良好的人文社科基础知识和人文修养；</w:t>
      </w:r>
    </w:p>
    <w:p>
      <w:pPr>
        <w:autoSpaceDE w:val="0"/>
        <w:autoSpaceDN w:val="0"/>
        <w:adjustRightInd w:val="0"/>
        <w:ind w:firstLine="398" w:firstLineChars="166"/>
        <w:jc w:val="left"/>
        <w:rPr>
          <w:rFonts w:eastAsiaTheme="minorEastAsia"/>
          <w:kern w:val="0"/>
          <w:szCs w:val="24"/>
        </w:rPr>
      </w:pPr>
      <w:r>
        <w:rPr>
          <w:rFonts w:eastAsiaTheme="minorEastAsia"/>
          <w:kern w:val="0"/>
          <w:szCs w:val="24"/>
        </w:rPr>
        <w:t>培养目标</w:t>
      </w:r>
      <w:r>
        <w:rPr>
          <w:rFonts w:eastAsiaTheme="minorEastAsia"/>
          <w:spacing w:val="-6"/>
          <w:kern w:val="0"/>
          <w:szCs w:val="24"/>
        </w:rPr>
        <w:t>2：具有扎实的自然科学基础、较强的计算机</w:t>
      </w:r>
      <w:r>
        <w:rPr>
          <w:rFonts w:eastAsiaTheme="minorEastAsia"/>
          <w:kern w:val="0"/>
          <w:szCs w:val="24"/>
        </w:rPr>
        <w:t>应用能力和外语综合应用能力；</w:t>
      </w:r>
    </w:p>
    <w:p>
      <w:pPr>
        <w:autoSpaceDE w:val="0"/>
        <w:autoSpaceDN w:val="0"/>
        <w:adjustRightInd w:val="0"/>
        <w:ind w:firstLine="398" w:firstLineChars="166"/>
        <w:jc w:val="left"/>
        <w:rPr>
          <w:rFonts w:eastAsiaTheme="minorEastAsia"/>
          <w:kern w:val="0"/>
          <w:szCs w:val="24"/>
        </w:rPr>
      </w:pPr>
      <w:r>
        <w:rPr>
          <w:rFonts w:eastAsiaTheme="minorEastAsia"/>
          <w:kern w:val="0"/>
          <w:szCs w:val="24"/>
        </w:rPr>
        <w:t>培养目标3：掌握生物学与工程学的基础理论、掌握生物产品大规模制造的科学原理；熟悉生物加工过程流程与工程设计等基础理论和技能，受到较扎实专业技能训练；</w:t>
      </w:r>
    </w:p>
    <w:p>
      <w:pPr>
        <w:autoSpaceDE w:val="0"/>
        <w:autoSpaceDN w:val="0"/>
        <w:adjustRightInd w:val="0"/>
        <w:ind w:firstLine="398" w:firstLineChars="166"/>
        <w:jc w:val="left"/>
        <w:rPr>
          <w:rFonts w:eastAsiaTheme="minorEastAsia"/>
          <w:kern w:val="0"/>
          <w:szCs w:val="24"/>
        </w:rPr>
      </w:pPr>
      <w:r>
        <w:rPr>
          <w:rFonts w:eastAsiaTheme="minorEastAsia"/>
          <w:kern w:val="0"/>
          <w:szCs w:val="24"/>
        </w:rPr>
        <w:t>培养目标4：能在生物工程领域从事设计、生产、管理和新技术研究、新产品开发等方面的工作，并具备自主学习和终身学习的意识，和适应发展的能力，成为创新型、专业型高级工程技术人才。</w:t>
      </w:r>
    </w:p>
    <w:p>
      <w:pPr>
        <w:autoSpaceDE w:val="0"/>
        <w:autoSpaceDN w:val="0"/>
        <w:adjustRightInd w:val="0"/>
        <w:ind w:firstLine="398" w:firstLineChars="166"/>
        <w:rPr>
          <w:rFonts w:eastAsia="黑体"/>
          <w:kern w:val="0"/>
          <w:szCs w:val="24"/>
        </w:rPr>
      </w:pPr>
      <w:r>
        <w:rPr>
          <w:rFonts w:eastAsia="黑体"/>
          <w:kern w:val="0"/>
          <w:szCs w:val="24"/>
        </w:rPr>
        <w:t>2. 培养规格</w:t>
      </w:r>
    </w:p>
    <w:p>
      <w:pPr>
        <w:autoSpaceDE w:val="0"/>
        <w:autoSpaceDN w:val="0"/>
        <w:adjustRightInd w:val="0"/>
        <w:ind w:firstLine="398" w:firstLineChars="166"/>
        <w:rPr>
          <w:rFonts w:eastAsiaTheme="minorEastAsia"/>
          <w:kern w:val="0"/>
          <w:szCs w:val="24"/>
        </w:rPr>
      </w:pPr>
      <w:r>
        <w:rPr>
          <w:rFonts w:eastAsiaTheme="minorEastAsia"/>
          <w:kern w:val="0"/>
          <w:szCs w:val="24"/>
        </w:rPr>
        <w:t>（1）具备正确的政治方向，正确的世界观、人生观和价值观；</w:t>
      </w:r>
    </w:p>
    <w:p>
      <w:pPr>
        <w:autoSpaceDE w:val="0"/>
        <w:autoSpaceDN w:val="0"/>
        <w:adjustRightInd w:val="0"/>
        <w:ind w:firstLine="398" w:firstLineChars="166"/>
        <w:rPr>
          <w:rFonts w:eastAsiaTheme="minorEastAsia"/>
          <w:kern w:val="0"/>
          <w:szCs w:val="24"/>
        </w:rPr>
      </w:pPr>
      <w:r>
        <w:rPr>
          <w:rFonts w:eastAsiaTheme="minorEastAsia"/>
          <w:kern w:val="0"/>
          <w:szCs w:val="24"/>
        </w:rPr>
        <w:t>（2）具备良好的科学、文化素养；</w:t>
      </w:r>
    </w:p>
    <w:p>
      <w:pPr>
        <w:autoSpaceDE w:val="0"/>
        <w:autoSpaceDN w:val="0"/>
        <w:adjustRightInd w:val="0"/>
        <w:ind w:firstLine="398" w:firstLineChars="166"/>
        <w:rPr>
          <w:rFonts w:eastAsiaTheme="minorEastAsia"/>
          <w:kern w:val="0"/>
          <w:szCs w:val="24"/>
        </w:rPr>
      </w:pPr>
      <w:r>
        <w:rPr>
          <w:rFonts w:eastAsiaTheme="minorEastAsia"/>
          <w:kern w:val="0"/>
          <w:szCs w:val="24"/>
        </w:rPr>
        <w:t>（3）掌握科学地方法论，具有可持续发展观念和国际化视野；</w:t>
      </w:r>
    </w:p>
    <w:p>
      <w:pPr>
        <w:autoSpaceDE w:val="0"/>
        <w:autoSpaceDN w:val="0"/>
        <w:adjustRightInd w:val="0"/>
        <w:ind w:firstLine="398" w:firstLineChars="166"/>
        <w:rPr>
          <w:rFonts w:eastAsiaTheme="minorEastAsia"/>
          <w:kern w:val="0"/>
          <w:szCs w:val="24"/>
        </w:rPr>
      </w:pPr>
      <w:r>
        <w:rPr>
          <w:rFonts w:eastAsiaTheme="minorEastAsia"/>
          <w:kern w:val="0"/>
          <w:szCs w:val="24"/>
        </w:rPr>
        <w:t>（4）具有健康地体魄、良好的心理素质和团队合作精神；</w:t>
      </w:r>
    </w:p>
    <w:p>
      <w:pPr>
        <w:autoSpaceDE w:val="0"/>
        <w:autoSpaceDN w:val="0"/>
        <w:adjustRightInd w:val="0"/>
        <w:ind w:firstLine="398" w:firstLineChars="166"/>
        <w:rPr>
          <w:rFonts w:eastAsiaTheme="minorEastAsia"/>
          <w:kern w:val="0"/>
          <w:szCs w:val="24"/>
        </w:rPr>
      </w:pPr>
      <w:r>
        <w:rPr>
          <w:rFonts w:eastAsiaTheme="minorEastAsia"/>
          <w:kern w:val="0"/>
          <w:szCs w:val="24"/>
        </w:rPr>
        <w:t>（5）系统掌握生物工程的基础知识和基本理论；</w:t>
      </w:r>
    </w:p>
    <w:p>
      <w:pPr>
        <w:autoSpaceDE w:val="0"/>
        <w:autoSpaceDN w:val="0"/>
        <w:adjustRightInd w:val="0"/>
        <w:ind w:firstLine="398" w:firstLineChars="166"/>
        <w:rPr>
          <w:rFonts w:eastAsiaTheme="minorEastAsia"/>
          <w:kern w:val="0"/>
          <w:szCs w:val="24"/>
        </w:rPr>
      </w:pPr>
      <w:r>
        <w:rPr>
          <w:rFonts w:eastAsiaTheme="minorEastAsia"/>
          <w:kern w:val="0"/>
          <w:szCs w:val="24"/>
        </w:rPr>
        <w:t>（6）熟练掌握发酵工程、基因工程、生物反应工程、生物分离工程、生物工程设备等生物工程实验与操作的基本技能；</w:t>
      </w:r>
    </w:p>
    <w:p>
      <w:pPr>
        <w:autoSpaceDE w:val="0"/>
        <w:autoSpaceDN w:val="0"/>
        <w:adjustRightInd w:val="0"/>
        <w:ind w:firstLine="398" w:firstLineChars="166"/>
        <w:rPr>
          <w:rFonts w:eastAsiaTheme="minorEastAsia"/>
          <w:kern w:val="0"/>
          <w:szCs w:val="24"/>
        </w:rPr>
      </w:pPr>
      <w:r>
        <w:rPr>
          <w:rFonts w:eastAsiaTheme="minorEastAsia"/>
          <w:kern w:val="0"/>
          <w:szCs w:val="24"/>
        </w:rPr>
        <w:t>（7）掌握本专业所需的数学、物理、化学、信息学、化学工程等学科的基本知识；掌握扎实的生物学相关基础知识；</w:t>
      </w:r>
    </w:p>
    <w:p>
      <w:pPr>
        <w:autoSpaceDE w:val="0"/>
        <w:autoSpaceDN w:val="0"/>
        <w:adjustRightInd w:val="0"/>
        <w:ind w:firstLine="398" w:firstLineChars="166"/>
        <w:rPr>
          <w:rFonts w:eastAsiaTheme="minorEastAsia"/>
          <w:kern w:val="0"/>
          <w:szCs w:val="24"/>
        </w:rPr>
      </w:pPr>
      <w:r>
        <w:rPr>
          <w:rFonts w:eastAsiaTheme="minorEastAsia"/>
          <w:kern w:val="0"/>
          <w:szCs w:val="24"/>
        </w:rPr>
        <w:t>（8）熟悉生物工程及其产业的相关方针、政策和法规；</w:t>
      </w:r>
    </w:p>
    <w:p>
      <w:pPr>
        <w:autoSpaceDE w:val="0"/>
        <w:autoSpaceDN w:val="0"/>
        <w:adjustRightInd w:val="0"/>
        <w:ind w:firstLine="398" w:firstLineChars="166"/>
        <w:rPr>
          <w:rFonts w:eastAsiaTheme="minorEastAsia"/>
          <w:kern w:val="0"/>
          <w:szCs w:val="24"/>
        </w:rPr>
      </w:pPr>
      <w:r>
        <w:rPr>
          <w:rFonts w:eastAsiaTheme="minorEastAsia"/>
          <w:kern w:val="0"/>
          <w:szCs w:val="24"/>
        </w:rPr>
        <w:t>（9）初步掌握生物工程研究的方法和手段，初步具备发现、提出、分析和解决生物工程相关问题的能力；</w:t>
      </w:r>
    </w:p>
    <w:p>
      <w:pPr>
        <w:autoSpaceDE w:val="0"/>
        <w:autoSpaceDN w:val="0"/>
        <w:adjustRightInd w:val="0"/>
        <w:ind w:firstLine="398" w:firstLineChars="166"/>
        <w:rPr>
          <w:rFonts w:eastAsiaTheme="minorEastAsia"/>
          <w:kern w:val="0"/>
          <w:szCs w:val="24"/>
        </w:rPr>
      </w:pPr>
      <w:r>
        <w:rPr>
          <w:rFonts w:eastAsiaTheme="minorEastAsia"/>
          <w:kern w:val="0"/>
          <w:szCs w:val="24"/>
        </w:rPr>
        <w:t>（10）具备良好的自学习惯和能力、较好的表达交流能力、一定的计算机及信息技术应用能力，自主学习、自我发展能力；</w:t>
      </w:r>
    </w:p>
    <w:p>
      <w:pPr>
        <w:autoSpaceDE w:val="0"/>
        <w:autoSpaceDN w:val="0"/>
        <w:adjustRightInd w:val="0"/>
        <w:ind w:firstLine="398" w:firstLineChars="166"/>
        <w:rPr>
          <w:rFonts w:eastAsiaTheme="minorEastAsia"/>
          <w:kern w:val="0"/>
          <w:szCs w:val="24"/>
        </w:rPr>
      </w:pPr>
      <w:r>
        <w:rPr>
          <w:rFonts w:eastAsiaTheme="minorEastAsia"/>
          <w:kern w:val="0"/>
          <w:szCs w:val="24"/>
        </w:rPr>
        <w:t>（11）具有一定的外语应用能力和跨文化交流与合作能力；</w:t>
      </w:r>
    </w:p>
    <w:p>
      <w:pPr>
        <w:autoSpaceDE w:val="0"/>
        <w:autoSpaceDN w:val="0"/>
        <w:adjustRightInd w:val="0"/>
        <w:ind w:firstLine="398" w:firstLineChars="166"/>
        <w:rPr>
          <w:rFonts w:eastAsiaTheme="minorEastAsia"/>
          <w:kern w:val="0"/>
          <w:szCs w:val="24"/>
        </w:rPr>
      </w:pPr>
      <w:r>
        <w:rPr>
          <w:rFonts w:eastAsiaTheme="minorEastAsia"/>
          <w:kern w:val="0"/>
          <w:szCs w:val="24"/>
        </w:rPr>
        <w:t>（12）具有一定的创新意识、批判性思维，具有生物工程实践和技术革新的能力。</w:t>
      </w:r>
    </w:p>
    <w:p>
      <w:pPr>
        <w:autoSpaceDE w:val="0"/>
        <w:autoSpaceDN w:val="0"/>
        <w:adjustRightInd w:val="0"/>
        <w:ind w:firstLine="398" w:firstLineChars="166"/>
        <w:rPr>
          <w:rFonts w:eastAsiaTheme="minorEastAsia"/>
          <w:kern w:val="0"/>
          <w:szCs w:val="24"/>
        </w:rPr>
      </w:pPr>
      <w:r>
        <w:rPr>
          <w:rFonts w:eastAsiaTheme="minorEastAsia"/>
          <w:kern w:val="0"/>
          <w:szCs w:val="24"/>
        </w:rPr>
        <w:t>学制：本科基本学制为4年，学习年限为3-8年。学位：按要求完成学业且符合学位授予条件者授予工学学士学位。</w:t>
      </w:r>
    </w:p>
    <w:p>
      <w:pPr>
        <w:pStyle w:val="6"/>
        <w:ind w:firstLine="464" w:firstLineChars="166"/>
        <w:rPr>
          <w:sz w:val="28"/>
          <w:szCs w:val="28"/>
        </w:rPr>
      </w:pPr>
      <w:r>
        <w:rPr>
          <w:sz w:val="28"/>
          <w:szCs w:val="28"/>
        </w:rPr>
        <w:t>二、培养能力</w:t>
      </w:r>
    </w:p>
    <w:p>
      <w:pPr>
        <w:autoSpaceDE w:val="0"/>
        <w:autoSpaceDN w:val="0"/>
        <w:adjustRightInd w:val="0"/>
        <w:ind w:firstLine="398" w:firstLineChars="166"/>
        <w:rPr>
          <w:rFonts w:eastAsia="黑体"/>
          <w:kern w:val="0"/>
          <w:szCs w:val="24"/>
        </w:rPr>
      </w:pPr>
      <w:r>
        <w:rPr>
          <w:rFonts w:eastAsia="黑体"/>
          <w:kern w:val="0"/>
          <w:szCs w:val="24"/>
        </w:rPr>
        <w:t>1.专业基本情况</w:t>
      </w:r>
    </w:p>
    <w:p>
      <w:pPr>
        <w:ind w:firstLine="398" w:firstLineChars="166"/>
        <w:rPr>
          <w:rFonts w:eastAsiaTheme="minorEastAsia"/>
          <w:szCs w:val="24"/>
        </w:rPr>
      </w:pPr>
      <w:r>
        <w:rPr>
          <w:rFonts w:eastAsiaTheme="minorEastAsia"/>
          <w:szCs w:val="24"/>
        </w:rPr>
        <w:t>山东农业大学生物工程专业2002年起开始招生，2007年开始全国第一批次招生。2016获批山东省高水平应用型立项建设专业， 2021年成为山东省一流专业建设点。</w:t>
      </w:r>
    </w:p>
    <w:p>
      <w:pPr>
        <w:autoSpaceDE w:val="0"/>
        <w:autoSpaceDN w:val="0"/>
        <w:adjustRightInd w:val="0"/>
        <w:ind w:firstLine="398" w:firstLineChars="166"/>
        <w:rPr>
          <w:rFonts w:eastAsia="黑体"/>
          <w:kern w:val="0"/>
          <w:szCs w:val="24"/>
        </w:rPr>
      </w:pPr>
      <w:r>
        <w:rPr>
          <w:rFonts w:eastAsia="黑体"/>
          <w:kern w:val="0"/>
          <w:szCs w:val="24"/>
        </w:rPr>
        <w:t>2.在校生规模</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8"/>
        <w:gridCol w:w="1378"/>
        <w:gridCol w:w="1378"/>
        <w:gridCol w:w="1378"/>
        <w:gridCol w:w="1378"/>
        <w:gridCol w:w="13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378"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入学年度</w:t>
            </w:r>
          </w:p>
        </w:tc>
        <w:tc>
          <w:tcPr>
            <w:tcW w:w="1378"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2019</w:t>
            </w:r>
          </w:p>
        </w:tc>
        <w:tc>
          <w:tcPr>
            <w:tcW w:w="1378"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2020</w:t>
            </w:r>
          </w:p>
        </w:tc>
        <w:tc>
          <w:tcPr>
            <w:tcW w:w="1378"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2021</w:t>
            </w:r>
          </w:p>
        </w:tc>
        <w:tc>
          <w:tcPr>
            <w:tcW w:w="1378"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2022</w:t>
            </w:r>
          </w:p>
        </w:tc>
        <w:tc>
          <w:tcPr>
            <w:tcW w:w="1378"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378"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学生人数</w:t>
            </w:r>
          </w:p>
        </w:tc>
        <w:tc>
          <w:tcPr>
            <w:tcW w:w="1378"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38</w:t>
            </w:r>
          </w:p>
        </w:tc>
        <w:tc>
          <w:tcPr>
            <w:tcW w:w="1378"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55</w:t>
            </w:r>
          </w:p>
        </w:tc>
        <w:tc>
          <w:tcPr>
            <w:tcW w:w="1378"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49</w:t>
            </w:r>
          </w:p>
        </w:tc>
        <w:tc>
          <w:tcPr>
            <w:tcW w:w="1378"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60</w:t>
            </w:r>
          </w:p>
        </w:tc>
        <w:tc>
          <w:tcPr>
            <w:tcW w:w="1378" w:type="dxa"/>
            <w:vAlign w:val="center"/>
          </w:tcPr>
          <w:p>
            <w:pPr>
              <w:widowControl/>
              <w:adjustRightInd w:val="0"/>
              <w:snapToGrid w:val="0"/>
              <w:spacing w:line="240" w:lineRule="auto"/>
              <w:jc w:val="center"/>
              <w:rPr>
                <w:color w:val="000000"/>
                <w:kern w:val="0"/>
                <w:sz w:val="21"/>
                <w:szCs w:val="21"/>
              </w:rPr>
            </w:pPr>
            <w:r>
              <w:rPr>
                <w:color w:val="000000"/>
                <w:kern w:val="0"/>
                <w:sz w:val="21"/>
                <w:szCs w:val="21"/>
              </w:rPr>
              <w:t>202</w:t>
            </w:r>
          </w:p>
        </w:tc>
      </w:tr>
    </w:tbl>
    <w:p>
      <w:pPr>
        <w:autoSpaceDE w:val="0"/>
        <w:autoSpaceDN w:val="0"/>
        <w:adjustRightInd w:val="0"/>
        <w:ind w:firstLine="398" w:firstLineChars="166"/>
        <w:rPr>
          <w:rFonts w:eastAsia="黑体"/>
          <w:kern w:val="0"/>
          <w:szCs w:val="24"/>
        </w:rPr>
      </w:pPr>
      <w:r>
        <w:rPr>
          <w:rFonts w:eastAsia="黑体"/>
          <w:kern w:val="0"/>
          <w:szCs w:val="24"/>
        </w:rPr>
        <w:t>3.课程设置情况</w:t>
      </w:r>
    </w:p>
    <w:p>
      <w:pPr>
        <w:spacing w:line="390" w:lineRule="exact"/>
        <w:ind w:firstLine="398" w:firstLineChars="166"/>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生物工程专业课程体系包括课内教学和课外实践教学两大模块，其中课内教学体系主要分为通识教育课程、学科基础课程、专业核心课程、专业方向课程等四大类别，其中每类课程均包括必修课和选修课。</w:t>
      </w:r>
    </w:p>
    <w:p>
      <w:pPr>
        <w:spacing w:line="390" w:lineRule="exact"/>
        <w:ind w:firstLine="398" w:firstLineChars="166"/>
        <w:rPr>
          <w:rFonts w:eastAsiaTheme="minorEastAsia"/>
          <w:kern w:val="0"/>
          <w:szCs w:val="24"/>
        </w:rPr>
      </w:pPr>
      <w:r>
        <w:rPr>
          <w:rFonts w:eastAsiaTheme="minorEastAsia"/>
          <w:color w:val="000000" w:themeColor="text1"/>
          <w:szCs w:val="24"/>
          <w14:textFill>
            <w14:solidFill>
              <w14:schemeClr w14:val="tx1"/>
            </w14:solidFill>
          </w14:textFill>
        </w:rPr>
        <w:t>本专业核心课程有：</w:t>
      </w:r>
      <w:r>
        <w:rPr>
          <w:rFonts w:eastAsiaTheme="minorEastAsia"/>
          <w:kern w:val="0"/>
          <w:szCs w:val="24"/>
        </w:rPr>
        <w:t>普通生物学、生物化学及实验、微生物学及实验、工程制图与CAD及其实验、化工原理及实验、基因工程及实验、发酵工程及实验、生物分离工程及实验、生物工程设备、生物反应工程等。</w:t>
      </w:r>
    </w:p>
    <w:p>
      <w:pPr>
        <w:autoSpaceDE w:val="0"/>
        <w:autoSpaceDN w:val="0"/>
        <w:adjustRightInd w:val="0"/>
        <w:spacing w:line="390" w:lineRule="exact"/>
        <w:ind w:firstLine="398" w:firstLineChars="166"/>
        <w:rPr>
          <w:rFonts w:eastAsiaTheme="minorEastAsia"/>
          <w:kern w:val="0"/>
          <w:szCs w:val="24"/>
        </w:rPr>
      </w:pPr>
      <w:r>
        <w:rPr>
          <w:color w:val="000000" w:themeColor="text1"/>
          <w14:textFill>
            <w14:solidFill>
              <w14:schemeClr w14:val="tx1"/>
            </w14:solidFill>
          </w14:textFill>
        </w:rPr>
        <w:t>实验实践教学体系按照基础、专业、综合三个层次构建。主要包括基础课程和专业课程实验课、社会实践与调查报告、生物工程设备认识实习、专业教学实习、创新创业实践、毕业实习及毕业论文等环节。</w:t>
      </w:r>
      <w:r>
        <w:rPr>
          <w:rFonts w:eastAsiaTheme="minorEastAsia"/>
          <w:kern w:val="0"/>
          <w:szCs w:val="24"/>
        </w:rPr>
        <w:t>。</w:t>
      </w:r>
    </w:p>
    <w:p>
      <w:pPr>
        <w:autoSpaceDE w:val="0"/>
        <w:autoSpaceDN w:val="0"/>
        <w:adjustRightInd w:val="0"/>
        <w:spacing w:line="390" w:lineRule="exact"/>
        <w:ind w:firstLine="398" w:firstLineChars="166"/>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课程共170学分；必修课96.2学分，</w:t>
      </w:r>
      <w:r>
        <w:rPr>
          <w:rFonts w:eastAsiaTheme="minorEastAsia"/>
          <w:kern w:val="0"/>
          <w:szCs w:val="24"/>
        </w:rPr>
        <w:t>选修课学26.1学分，实验和实践环节为47.7学分，实验学分和实践环节学分占总学分比例为28.06%。</w:t>
      </w:r>
    </w:p>
    <w:p>
      <w:pPr>
        <w:autoSpaceDE w:val="0"/>
        <w:autoSpaceDN w:val="0"/>
        <w:adjustRightInd w:val="0"/>
        <w:spacing w:line="390" w:lineRule="exact"/>
        <w:ind w:firstLine="398" w:firstLineChars="166"/>
        <w:rPr>
          <w:rFonts w:eastAsia="黑体"/>
          <w:kern w:val="0"/>
          <w:szCs w:val="24"/>
        </w:rPr>
      </w:pPr>
      <w:r>
        <w:rPr>
          <w:rFonts w:eastAsia="黑体"/>
          <w:kern w:val="0"/>
          <w:szCs w:val="24"/>
        </w:rPr>
        <w:t>4.创新创业教育</w:t>
      </w:r>
    </w:p>
    <w:p>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90" w:lineRule="exact"/>
        <w:ind w:firstLine="398" w:firstLineChars="166"/>
        <w:rPr>
          <w:rFonts w:eastAsiaTheme="minorEastAsia"/>
          <w:szCs w:val="24"/>
        </w:rPr>
      </w:pPr>
      <w:r>
        <w:rPr>
          <w:rFonts w:eastAsiaTheme="minorEastAsia"/>
          <w:kern w:val="0"/>
          <w:szCs w:val="24"/>
        </w:rPr>
        <w:t>专业十分重视大学生创新创业教育，将创新创业教育纳入到人才培养体系。在通识必修课程的</w:t>
      </w:r>
      <w:r>
        <w:rPr>
          <w:rFonts w:hint="eastAsia" w:eastAsiaTheme="minorEastAsia"/>
          <w:kern w:val="0"/>
          <w:szCs w:val="24"/>
        </w:rPr>
        <w:t>“</w:t>
      </w:r>
      <w:r>
        <w:rPr>
          <w:rFonts w:eastAsiaTheme="minorEastAsia"/>
          <w:kern w:val="0"/>
          <w:szCs w:val="24"/>
        </w:rPr>
        <w:t>职业发展类</w:t>
      </w:r>
      <w:r>
        <w:rPr>
          <w:rFonts w:hint="eastAsia" w:eastAsiaTheme="minorEastAsia"/>
          <w:kern w:val="0"/>
          <w:szCs w:val="24"/>
        </w:rPr>
        <w:t>”</w:t>
      </w:r>
      <w:r>
        <w:rPr>
          <w:rFonts w:eastAsiaTheme="minorEastAsia"/>
          <w:kern w:val="0"/>
          <w:szCs w:val="24"/>
        </w:rPr>
        <w:t>课程中，设置了2学分的《大学生创新创业教育》，1学分的《大学生职业生涯规划》和1学分的《大学生就业指导》三门通识必须课。在专业核心课程设置了2学分《生物工程学科前沿专题讲座》。此外，</w:t>
      </w:r>
      <w:r>
        <w:rPr>
          <w:rFonts w:eastAsiaTheme="minorEastAsia"/>
          <w:szCs w:val="24"/>
        </w:rPr>
        <w:t>设有院级大学生科研训练项目，与省级及国家级大学生科研训练项目对接给优秀学生提供系统科研训练的机会。另外，山东省大学生生化实验技能大赛，生命科学联赛，以及全国植物生产类大学生实践创新论坛等活动为大学生提供了学术交流的平台，为参赛者提供了理论与实践相结合的机会，通过实验提高学生动手能力，规范实验技能，活跃大学生科技创新的氛围，为促进学风建设和大学生创新能力的提高产生了积极的影响。</w:t>
      </w:r>
    </w:p>
    <w:p>
      <w:pPr>
        <w:ind w:firstLine="398" w:firstLineChars="166"/>
        <w:rPr>
          <w:rFonts w:eastAsiaTheme="minorEastAsia"/>
          <w:szCs w:val="24"/>
        </w:rPr>
      </w:pPr>
      <w:r>
        <w:rPr>
          <w:rFonts w:eastAsiaTheme="minorEastAsia"/>
          <w:szCs w:val="24"/>
        </w:rPr>
        <w:t>根据学院的学科优势和特色，成立的</w:t>
      </w:r>
      <w:r>
        <w:rPr>
          <w:rFonts w:hint="eastAsia" w:eastAsiaTheme="minorEastAsia"/>
          <w:szCs w:val="24"/>
        </w:rPr>
        <w:t>“</w:t>
      </w:r>
      <w:r>
        <w:rPr>
          <w:rFonts w:eastAsiaTheme="minorEastAsia"/>
          <w:szCs w:val="24"/>
        </w:rPr>
        <w:t>百奥珍贵食药用菌</w:t>
      </w:r>
      <w:r>
        <w:rPr>
          <w:rFonts w:hint="eastAsia" w:eastAsiaTheme="minorEastAsia"/>
          <w:szCs w:val="24"/>
        </w:rPr>
        <w:t>”</w:t>
      </w:r>
      <w:r>
        <w:rPr>
          <w:rFonts w:eastAsiaTheme="minorEastAsia"/>
          <w:szCs w:val="24"/>
        </w:rPr>
        <w:t>研发中心和</w:t>
      </w:r>
      <w:r>
        <w:rPr>
          <w:rFonts w:hint="eastAsia" w:eastAsiaTheme="minorEastAsia"/>
          <w:szCs w:val="24"/>
        </w:rPr>
        <w:t>“</w:t>
      </w:r>
      <w:r>
        <w:rPr>
          <w:rFonts w:eastAsiaTheme="minorEastAsia"/>
          <w:szCs w:val="24"/>
        </w:rPr>
        <w:t>飞-动植物艺术与快繁</w:t>
      </w:r>
      <w:r>
        <w:rPr>
          <w:rFonts w:hint="eastAsia" w:eastAsiaTheme="minorEastAsia"/>
          <w:szCs w:val="24"/>
        </w:rPr>
        <w:t>”</w:t>
      </w:r>
      <w:r>
        <w:rPr>
          <w:rFonts w:eastAsiaTheme="minorEastAsia"/>
          <w:szCs w:val="24"/>
        </w:rPr>
        <w:t>中心两个创新创业团队，每个中心又分别设立了5个小组，每个小组配专门的实验场所和仪器设备，有两名专家作为指导教师。中心依托作物生物学国家重点实验室、国家级农业生物学实验教学中心、山东省生物技术与生物工程实验教学中心等平台，学院每学期为团队提供必须的研发和活动经费。中心成员先后在泰山等地采集标本近300份，成功分离到微生物菌种100多种。建立了山东农业大学植物志网站，建设了字标本馆，编辑出版了《山东农业大学校园木本植物图鉴》；完成了</w:t>
      </w:r>
      <w:r>
        <w:rPr>
          <w:rFonts w:hint="eastAsia" w:eastAsiaTheme="minorEastAsia"/>
          <w:szCs w:val="24"/>
        </w:rPr>
        <w:t>“</w:t>
      </w:r>
      <w:r>
        <w:rPr>
          <w:rFonts w:eastAsiaTheme="minorEastAsia"/>
          <w:szCs w:val="24"/>
        </w:rPr>
        <w:t>国家大学生创新型实验计划项目</w:t>
      </w:r>
      <w:r>
        <w:rPr>
          <w:rFonts w:hint="eastAsia" w:eastAsiaTheme="minorEastAsia"/>
          <w:szCs w:val="24"/>
        </w:rPr>
        <w:t>”</w:t>
      </w:r>
      <w:r>
        <w:rPr>
          <w:rFonts w:eastAsiaTheme="minorEastAsia"/>
          <w:szCs w:val="24"/>
        </w:rPr>
        <w:t>和</w:t>
      </w:r>
      <w:r>
        <w:rPr>
          <w:rFonts w:hint="eastAsia" w:eastAsiaTheme="minorEastAsia"/>
          <w:szCs w:val="24"/>
        </w:rPr>
        <w:t>“</w:t>
      </w:r>
      <w:r>
        <w:rPr>
          <w:rFonts w:eastAsiaTheme="minorEastAsia"/>
          <w:szCs w:val="24"/>
        </w:rPr>
        <w:t>泰安市科技创新引导计划项目</w:t>
      </w:r>
      <w:r>
        <w:rPr>
          <w:rFonts w:hint="eastAsia" w:eastAsiaTheme="minorEastAsia"/>
          <w:szCs w:val="24"/>
        </w:rPr>
        <w:t>”</w:t>
      </w:r>
      <w:r>
        <w:rPr>
          <w:rFonts w:eastAsiaTheme="minorEastAsia"/>
          <w:szCs w:val="24"/>
        </w:rPr>
        <w:t>共60余项，研究成果在《生物技术通报》、《微生物学杂志》、《菌物学报》等学术期刊发表或申请了国家专利。通过中心的培养、锻炼，激发了学生学习和探求知识的积极性，提高了他们的创新思维。</w:t>
      </w:r>
    </w:p>
    <w:p>
      <w:pPr>
        <w:ind w:firstLine="398" w:firstLineChars="166"/>
        <w:rPr>
          <w:rFonts w:eastAsiaTheme="minorEastAsia"/>
          <w:bCs/>
          <w:szCs w:val="24"/>
        </w:rPr>
      </w:pPr>
      <w:r>
        <w:rPr>
          <w:rFonts w:eastAsiaTheme="minorEastAsia"/>
          <w:szCs w:val="24"/>
        </w:rPr>
        <w:t>学院坚持与企业一起探讨院企协同创新的</w:t>
      </w:r>
      <w:r>
        <w:rPr>
          <w:rFonts w:hint="eastAsia" w:eastAsiaTheme="minorEastAsia"/>
          <w:szCs w:val="24"/>
        </w:rPr>
        <w:t>“</w:t>
      </w:r>
      <w:r>
        <w:rPr>
          <w:rFonts w:eastAsiaTheme="minorEastAsia"/>
          <w:szCs w:val="24"/>
        </w:rPr>
        <w:t>对接点</w:t>
      </w:r>
      <w:r>
        <w:rPr>
          <w:rFonts w:hint="eastAsia" w:eastAsiaTheme="minorEastAsia"/>
          <w:szCs w:val="24"/>
        </w:rPr>
        <w:t>”</w:t>
      </w:r>
      <w:r>
        <w:rPr>
          <w:rFonts w:eastAsiaTheme="minorEastAsia"/>
          <w:szCs w:val="24"/>
        </w:rPr>
        <w:t>（图1）。开展了</w:t>
      </w:r>
      <w:r>
        <w:rPr>
          <w:rFonts w:hint="eastAsia" w:eastAsiaTheme="minorEastAsia"/>
          <w:szCs w:val="24"/>
        </w:rPr>
        <w:t>“</w:t>
      </w:r>
      <w:r>
        <w:rPr>
          <w:rFonts w:eastAsiaTheme="minorEastAsia"/>
          <w:szCs w:val="24"/>
        </w:rPr>
        <w:t>知名生科企业农大行</w:t>
      </w:r>
      <w:r>
        <w:rPr>
          <w:rFonts w:hint="eastAsia" w:eastAsiaTheme="minorEastAsia"/>
          <w:szCs w:val="24"/>
        </w:rPr>
        <w:t>”</w:t>
      </w:r>
      <w:r>
        <w:rPr>
          <w:rFonts w:eastAsiaTheme="minorEastAsia"/>
          <w:szCs w:val="24"/>
        </w:rPr>
        <w:t>、</w:t>
      </w:r>
      <w:r>
        <w:rPr>
          <w:rFonts w:hint="eastAsia" w:eastAsiaTheme="minorEastAsia"/>
          <w:szCs w:val="24"/>
        </w:rPr>
        <w:t>“</w:t>
      </w:r>
      <w:r>
        <w:rPr>
          <w:rFonts w:eastAsiaTheme="minorEastAsia"/>
          <w:szCs w:val="24"/>
        </w:rPr>
        <w:t>先进企业文化进校园</w:t>
      </w:r>
      <w:r>
        <w:rPr>
          <w:rFonts w:hint="eastAsia" w:eastAsiaTheme="minorEastAsia"/>
          <w:szCs w:val="24"/>
        </w:rPr>
        <w:t>”</w:t>
      </w:r>
      <w:r>
        <w:rPr>
          <w:rFonts w:eastAsiaTheme="minorEastAsia"/>
          <w:szCs w:val="24"/>
        </w:rPr>
        <w:t>系列活动，每年邀请知名企业家为学生做专题报告10余场次，每年受益学生3000多人次。</w:t>
      </w:r>
      <w:r>
        <w:rPr>
          <w:rFonts w:eastAsiaTheme="minorEastAsia"/>
          <w:bCs/>
          <w:szCs w:val="24"/>
        </w:rPr>
        <w:t>通过院企合作的各种活动，使学生进一步了解了行业发展的前景，增强了信心和使命感，激发了创新创业的热情。</w:t>
      </w:r>
    </w:p>
    <w:p>
      <w:pPr>
        <w:spacing w:line="240" w:lineRule="auto"/>
        <w:jc w:val="center"/>
        <w:rPr>
          <w:b/>
          <w:bCs/>
          <w:sz w:val="21"/>
          <w:szCs w:val="21"/>
        </w:rPr>
      </w:pPr>
      <w:r>
        <w:rPr>
          <w:b/>
          <w:bCs/>
          <w:sz w:val="21"/>
          <w:szCs w:val="21"/>
        </w:rPr>
        <w:drawing>
          <wp:inline distT="0" distB="0" distL="0" distR="0">
            <wp:extent cx="4620260" cy="1715770"/>
            <wp:effectExtent l="0" t="0" r="8890" b="1778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620260" cy="1715770"/>
                    </a:xfrm>
                    <a:prstGeom prst="rect">
                      <a:avLst/>
                    </a:prstGeom>
                  </pic:spPr>
                </pic:pic>
              </a:graphicData>
            </a:graphic>
          </wp:inline>
        </w:drawing>
      </w:r>
    </w:p>
    <w:p>
      <w:pPr>
        <w:spacing w:line="240" w:lineRule="auto"/>
        <w:jc w:val="center"/>
        <w:rPr>
          <w:rFonts w:eastAsiaTheme="minorEastAsia"/>
          <w:bCs/>
          <w:szCs w:val="24"/>
        </w:rPr>
      </w:pPr>
      <w:r>
        <w:rPr>
          <w:rFonts w:eastAsiaTheme="minorEastAsia"/>
          <w:b/>
          <w:bCs/>
          <w:sz w:val="21"/>
          <w:szCs w:val="21"/>
        </w:rPr>
        <w:t>图1 校企合作协同创新。</w:t>
      </w:r>
      <w:r>
        <w:rPr>
          <w:rFonts w:eastAsiaTheme="minorEastAsia"/>
          <w:bCs/>
          <w:szCs w:val="24"/>
        </w:rPr>
        <w:t xml:space="preserve"> </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近5年，本专业学生参加科技社团、SRT、创新创业等各类项目67项，参加学生人数占学生总数的80%以上（表1）；在</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全国大学生生命科学竞赛</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山东省生物化学实验技能大赛</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等国家级和省部级大学生创新创业大赛中有104人获得奖励；30多人获得了由学院与企业合作设立的</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实践创新</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奖学金。</w:t>
      </w:r>
    </w:p>
    <w:p>
      <w:pPr>
        <w:widowControl/>
        <w:adjustRightInd w:val="0"/>
        <w:snapToGrid w:val="0"/>
        <w:spacing w:line="240" w:lineRule="auto"/>
        <w:jc w:val="center"/>
        <w:rPr>
          <w:b/>
          <w:bCs/>
          <w:color w:val="000000"/>
          <w:kern w:val="0"/>
          <w:sz w:val="21"/>
          <w:szCs w:val="21"/>
        </w:rPr>
      </w:pPr>
      <w:r>
        <w:rPr>
          <w:b/>
          <w:bCs/>
          <w:color w:val="000000"/>
          <w:kern w:val="0"/>
          <w:sz w:val="21"/>
          <w:szCs w:val="21"/>
        </w:rPr>
        <w:t>表1  生物工程专业本科生参加科技创新实践情况统计</w:t>
      </w:r>
    </w:p>
    <w:tbl>
      <w:tblPr>
        <w:tblStyle w:val="17"/>
        <w:tblW w:w="4998" w:type="pct"/>
        <w:jc w:val="center"/>
        <w:tblLayout w:type="autofit"/>
        <w:tblCellMar>
          <w:top w:w="0" w:type="dxa"/>
          <w:left w:w="108" w:type="dxa"/>
          <w:bottom w:w="0" w:type="dxa"/>
          <w:right w:w="108" w:type="dxa"/>
        </w:tblCellMar>
      </w:tblPr>
      <w:tblGrid>
        <w:gridCol w:w="780"/>
        <w:gridCol w:w="1368"/>
        <w:gridCol w:w="1700"/>
        <w:gridCol w:w="1220"/>
        <w:gridCol w:w="1446"/>
        <w:gridCol w:w="1472"/>
        <w:gridCol w:w="1071"/>
      </w:tblGrid>
      <w:tr>
        <w:tblPrEx>
          <w:tblCellMar>
            <w:top w:w="0" w:type="dxa"/>
            <w:left w:w="108" w:type="dxa"/>
            <w:bottom w:w="0" w:type="dxa"/>
            <w:right w:w="108" w:type="dxa"/>
          </w:tblCellMar>
        </w:tblPrEx>
        <w:trPr>
          <w:trHeight w:val="397" w:hRule="atLeast"/>
          <w:tblHeader/>
          <w:jc w:val="center"/>
        </w:trPr>
        <w:tc>
          <w:tcPr>
            <w:tcW w:w="431" w:type="pct"/>
            <w:vMerge w:val="restart"/>
            <w:tcBorders>
              <w:top w:val="single" w:color="auto" w:sz="4" w:space="0"/>
              <w:left w:val="single" w:color="auto" w:sz="4" w:space="0"/>
              <w:bottom w:val="single" w:color="000000"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年度</w:t>
            </w:r>
          </w:p>
        </w:tc>
        <w:tc>
          <w:tcPr>
            <w:tcW w:w="2366" w:type="pct"/>
            <w:gridSpan w:val="3"/>
            <w:tcBorders>
              <w:top w:val="single" w:color="auto" w:sz="4" w:space="0"/>
              <w:left w:val="nil"/>
              <w:bottom w:val="single" w:color="auto" w:sz="4" w:space="0"/>
              <w:right w:val="single" w:color="000000"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SRT及创新创业大赛</w:t>
            </w:r>
          </w:p>
        </w:tc>
        <w:tc>
          <w:tcPr>
            <w:tcW w:w="1610" w:type="pct"/>
            <w:gridSpan w:val="2"/>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省科技级社团</w:t>
            </w:r>
          </w:p>
        </w:tc>
        <w:tc>
          <w:tcPr>
            <w:tcW w:w="591" w:type="pct"/>
            <w:vMerge w:val="restar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第二课堂（人）</w:t>
            </w:r>
          </w:p>
        </w:tc>
      </w:tr>
      <w:tr>
        <w:tblPrEx>
          <w:tblCellMar>
            <w:top w:w="0" w:type="dxa"/>
            <w:left w:w="108" w:type="dxa"/>
            <w:bottom w:w="0" w:type="dxa"/>
            <w:right w:w="108" w:type="dxa"/>
          </w:tblCellMar>
        </w:tblPrEx>
        <w:trPr>
          <w:trHeight w:val="397" w:hRule="atLeast"/>
          <w:tblHeader/>
          <w:jc w:val="center"/>
        </w:trPr>
        <w:tc>
          <w:tcPr>
            <w:tcW w:w="431" w:type="pct"/>
            <w:vMerge w:val="continue"/>
            <w:tcBorders>
              <w:top w:val="single" w:color="auto" w:sz="4" w:space="0"/>
              <w:left w:val="single" w:color="auto" w:sz="4" w:space="0"/>
              <w:bottom w:val="single" w:color="000000" w:sz="4" w:space="0"/>
              <w:right w:val="single" w:color="auto" w:sz="4" w:space="0"/>
            </w:tcBorders>
            <w:vAlign w:val="center"/>
          </w:tcPr>
          <w:p>
            <w:pPr>
              <w:widowControl/>
              <w:adjustRightInd w:val="0"/>
              <w:snapToGrid w:val="0"/>
              <w:spacing w:line="240" w:lineRule="auto"/>
              <w:jc w:val="center"/>
              <w:rPr>
                <w:b/>
                <w:bCs/>
                <w:color w:val="000000"/>
                <w:kern w:val="0"/>
                <w:sz w:val="21"/>
                <w:szCs w:val="21"/>
              </w:rPr>
            </w:pPr>
          </w:p>
        </w:tc>
        <w:tc>
          <w:tcPr>
            <w:tcW w:w="755"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总数（项）</w:t>
            </w:r>
          </w:p>
        </w:tc>
        <w:tc>
          <w:tcPr>
            <w:tcW w:w="93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国家级（项）</w:t>
            </w:r>
          </w:p>
        </w:tc>
        <w:tc>
          <w:tcPr>
            <w:tcW w:w="673"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参加人数</w:t>
            </w:r>
          </w:p>
        </w:tc>
        <w:tc>
          <w:tcPr>
            <w:tcW w:w="79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飞协（人）</w:t>
            </w:r>
          </w:p>
        </w:tc>
        <w:tc>
          <w:tcPr>
            <w:tcW w:w="81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百奥（人）</w:t>
            </w:r>
          </w:p>
        </w:tc>
        <w:tc>
          <w:tcPr>
            <w:tcW w:w="591"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p>
        </w:tc>
      </w:tr>
      <w:tr>
        <w:tblPrEx>
          <w:tblCellMar>
            <w:top w:w="0" w:type="dxa"/>
            <w:left w:w="108" w:type="dxa"/>
            <w:bottom w:w="0" w:type="dxa"/>
            <w:right w:w="108" w:type="dxa"/>
          </w:tblCellMar>
        </w:tblPrEx>
        <w:trPr>
          <w:trHeight w:val="375" w:hRule="atLeast"/>
          <w:jc w:val="center"/>
        </w:trPr>
        <w:tc>
          <w:tcPr>
            <w:tcW w:w="431" w:type="pct"/>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2018</w:t>
            </w:r>
          </w:p>
        </w:tc>
        <w:tc>
          <w:tcPr>
            <w:tcW w:w="755"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24</w:t>
            </w:r>
          </w:p>
        </w:tc>
        <w:tc>
          <w:tcPr>
            <w:tcW w:w="93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w:t>
            </w:r>
          </w:p>
        </w:tc>
        <w:tc>
          <w:tcPr>
            <w:tcW w:w="673"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51</w:t>
            </w:r>
          </w:p>
        </w:tc>
        <w:tc>
          <w:tcPr>
            <w:tcW w:w="79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15</w:t>
            </w:r>
          </w:p>
        </w:tc>
        <w:tc>
          <w:tcPr>
            <w:tcW w:w="81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28</w:t>
            </w:r>
          </w:p>
        </w:tc>
        <w:tc>
          <w:tcPr>
            <w:tcW w:w="591"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71</w:t>
            </w:r>
          </w:p>
        </w:tc>
      </w:tr>
      <w:tr>
        <w:tblPrEx>
          <w:tblCellMar>
            <w:top w:w="0" w:type="dxa"/>
            <w:left w:w="108" w:type="dxa"/>
            <w:bottom w:w="0" w:type="dxa"/>
            <w:right w:w="108" w:type="dxa"/>
          </w:tblCellMar>
        </w:tblPrEx>
        <w:trPr>
          <w:trHeight w:val="397" w:hRule="atLeast"/>
          <w:jc w:val="center"/>
        </w:trPr>
        <w:tc>
          <w:tcPr>
            <w:tcW w:w="431" w:type="pct"/>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2019</w:t>
            </w:r>
          </w:p>
        </w:tc>
        <w:tc>
          <w:tcPr>
            <w:tcW w:w="755"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14</w:t>
            </w:r>
          </w:p>
        </w:tc>
        <w:tc>
          <w:tcPr>
            <w:tcW w:w="93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3</w:t>
            </w:r>
          </w:p>
        </w:tc>
        <w:tc>
          <w:tcPr>
            <w:tcW w:w="673"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42</w:t>
            </w:r>
          </w:p>
        </w:tc>
        <w:tc>
          <w:tcPr>
            <w:tcW w:w="79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10</w:t>
            </w:r>
          </w:p>
        </w:tc>
        <w:tc>
          <w:tcPr>
            <w:tcW w:w="81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24</w:t>
            </w:r>
          </w:p>
        </w:tc>
        <w:tc>
          <w:tcPr>
            <w:tcW w:w="591"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40</w:t>
            </w:r>
          </w:p>
        </w:tc>
      </w:tr>
      <w:tr>
        <w:tblPrEx>
          <w:tblCellMar>
            <w:top w:w="0" w:type="dxa"/>
            <w:left w:w="108" w:type="dxa"/>
            <w:bottom w:w="0" w:type="dxa"/>
            <w:right w:w="108" w:type="dxa"/>
          </w:tblCellMar>
        </w:tblPrEx>
        <w:trPr>
          <w:trHeight w:val="397" w:hRule="atLeast"/>
          <w:jc w:val="center"/>
        </w:trPr>
        <w:tc>
          <w:tcPr>
            <w:tcW w:w="431" w:type="pct"/>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2020</w:t>
            </w:r>
          </w:p>
        </w:tc>
        <w:tc>
          <w:tcPr>
            <w:tcW w:w="755"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10</w:t>
            </w:r>
          </w:p>
        </w:tc>
        <w:tc>
          <w:tcPr>
            <w:tcW w:w="93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w:t>
            </w:r>
          </w:p>
        </w:tc>
        <w:tc>
          <w:tcPr>
            <w:tcW w:w="673"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41</w:t>
            </w:r>
          </w:p>
        </w:tc>
        <w:tc>
          <w:tcPr>
            <w:tcW w:w="79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8</w:t>
            </w:r>
          </w:p>
        </w:tc>
        <w:tc>
          <w:tcPr>
            <w:tcW w:w="81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13</w:t>
            </w:r>
          </w:p>
        </w:tc>
        <w:tc>
          <w:tcPr>
            <w:tcW w:w="591"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55</w:t>
            </w:r>
          </w:p>
        </w:tc>
      </w:tr>
      <w:tr>
        <w:tblPrEx>
          <w:tblCellMar>
            <w:top w:w="0" w:type="dxa"/>
            <w:left w:w="108" w:type="dxa"/>
            <w:bottom w:w="0" w:type="dxa"/>
            <w:right w:w="108" w:type="dxa"/>
          </w:tblCellMar>
        </w:tblPrEx>
        <w:trPr>
          <w:trHeight w:val="397" w:hRule="atLeast"/>
          <w:jc w:val="center"/>
        </w:trPr>
        <w:tc>
          <w:tcPr>
            <w:tcW w:w="431" w:type="pct"/>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2021</w:t>
            </w:r>
          </w:p>
        </w:tc>
        <w:tc>
          <w:tcPr>
            <w:tcW w:w="755"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8</w:t>
            </w:r>
          </w:p>
        </w:tc>
        <w:tc>
          <w:tcPr>
            <w:tcW w:w="93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0</w:t>
            </w:r>
          </w:p>
        </w:tc>
        <w:tc>
          <w:tcPr>
            <w:tcW w:w="673"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26</w:t>
            </w:r>
          </w:p>
        </w:tc>
        <w:tc>
          <w:tcPr>
            <w:tcW w:w="79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w:t>
            </w:r>
          </w:p>
        </w:tc>
        <w:tc>
          <w:tcPr>
            <w:tcW w:w="81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12</w:t>
            </w:r>
          </w:p>
        </w:tc>
        <w:tc>
          <w:tcPr>
            <w:tcW w:w="591"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50</w:t>
            </w:r>
          </w:p>
        </w:tc>
      </w:tr>
      <w:tr>
        <w:tblPrEx>
          <w:tblCellMar>
            <w:top w:w="0" w:type="dxa"/>
            <w:left w:w="108" w:type="dxa"/>
            <w:bottom w:w="0" w:type="dxa"/>
            <w:right w:w="108" w:type="dxa"/>
          </w:tblCellMar>
        </w:tblPrEx>
        <w:trPr>
          <w:trHeight w:val="397" w:hRule="atLeast"/>
          <w:jc w:val="center"/>
        </w:trPr>
        <w:tc>
          <w:tcPr>
            <w:tcW w:w="431" w:type="pct"/>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2022</w:t>
            </w:r>
          </w:p>
        </w:tc>
        <w:tc>
          <w:tcPr>
            <w:tcW w:w="755"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11</w:t>
            </w:r>
          </w:p>
        </w:tc>
        <w:tc>
          <w:tcPr>
            <w:tcW w:w="93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0</w:t>
            </w:r>
          </w:p>
        </w:tc>
        <w:tc>
          <w:tcPr>
            <w:tcW w:w="673"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47</w:t>
            </w:r>
          </w:p>
        </w:tc>
        <w:tc>
          <w:tcPr>
            <w:tcW w:w="79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5</w:t>
            </w:r>
          </w:p>
        </w:tc>
        <w:tc>
          <w:tcPr>
            <w:tcW w:w="81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14</w:t>
            </w:r>
          </w:p>
        </w:tc>
        <w:tc>
          <w:tcPr>
            <w:tcW w:w="591"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60</w:t>
            </w:r>
          </w:p>
        </w:tc>
      </w:tr>
      <w:tr>
        <w:tblPrEx>
          <w:tblCellMar>
            <w:top w:w="0" w:type="dxa"/>
            <w:left w:w="108" w:type="dxa"/>
            <w:bottom w:w="0" w:type="dxa"/>
            <w:right w:w="108" w:type="dxa"/>
          </w:tblCellMar>
        </w:tblPrEx>
        <w:trPr>
          <w:trHeight w:val="397" w:hRule="atLeast"/>
          <w:jc w:val="center"/>
        </w:trPr>
        <w:tc>
          <w:tcPr>
            <w:tcW w:w="431" w:type="pct"/>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合计</w:t>
            </w:r>
          </w:p>
        </w:tc>
        <w:tc>
          <w:tcPr>
            <w:tcW w:w="755"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67</w:t>
            </w:r>
          </w:p>
        </w:tc>
        <w:tc>
          <w:tcPr>
            <w:tcW w:w="93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6</w:t>
            </w:r>
          </w:p>
        </w:tc>
        <w:tc>
          <w:tcPr>
            <w:tcW w:w="673"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207</w:t>
            </w:r>
          </w:p>
        </w:tc>
        <w:tc>
          <w:tcPr>
            <w:tcW w:w="798"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35</w:t>
            </w:r>
          </w:p>
        </w:tc>
        <w:tc>
          <w:tcPr>
            <w:tcW w:w="81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77</w:t>
            </w:r>
          </w:p>
        </w:tc>
        <w:tc>
          <w:tcPr>
            <w:tcW w:w="591"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276</w:t>
            </w:r>
          </w:p>
        </w:tc>
      </w:tr>
    </w:tbl>
    <w:p>
      <w:pPr>
        <w:pStyle w:val="5"/>
        <w:spacing w:before="93" w:after="93"/>
        <w:ind w:firstLine="560"/>
      </w:pPr>
      <w:r>
        <w:t>三、培养条件</w:t>
      </w:r>
    </w:p>
    <w:p>
      <w:pPr>
        <w:autoSpaceDE w:val="0"/>
        <w:autoSpaceDN w:val="0"/>
        <w:adjustRightInd w:val="0"/>
        <w:ind w:firstLine="480" w:firstLineChars="200"/>
        <w:rPr>
          <w:rFonts w:eastAsia="黑体"/>
          <w:kern w:val="0"/>
          <w:szCs w:val="24"/>
        </w:rPr>
      </w:pPr>
      <w:r>
        <w:rPr>
          <w:rFonts w:eastAsia="黑体"/>
          <w:kern w:val="0"/>
          <w:szCs w:val="24"/>
        </w:rPr>
        <w:t>1. 教学经费投入</w:t>
      </w:r>
    </w:p>
    <w:p>
      <w:pPr>
        <w:ind w:firstLine="480" w:firstLineChars="200"/>
        <w:rPr>
          <w:rFonts w:eastAsiaTheme="minorEastAsia"/>
          <w:color w:val="000000" w:themeColor="text1"/>
          <w:szCs w:val="24"/>
          <w14:textFill>
            <w14:solidFill>
              <w14:schemeClr w14:val="tx1"/>
            </w14:solidFill>
          </w14:textFill>
        </w:rPr>
      </w:pPr>
      <w:r>
        <w:rPr>
          <w:color w:val="000000" w:themeColor="text1"/>
          <w14:textFill>
            <w14:solidFill>
              <w14:schemeClr w14:val="tx1"/>
            </w14:solidFill>
          </w14:textFill>
        </w:rPr>
        <w:t>进一步改善办学条件，优化教学环境。2020-2021年度，学院本科教学经费总投入220多万元，生均教学经费约1750元。</w:t>
      </w:r>
      <w:r>
        <w:rPr>
          <w:rFonts w:eastAsiaTheme="minorEastAsia"/>
          <w:color w:val="000000" w:themeColor="text1"/>
          <w:szCs w:val="24"/>
          <w14:textFill>
            <w14:solidFill>
              <w14:schemeClr w14:val="tx1"/>
            </w14:solidFill>
          </w14:textFill>
        </w:rPr>
        <w:t>保证了教学工作的正常运行。</w:t>
      </w:r>
    </w:p>
    <w:p>
      <w:pPr>
        <w:autoSpaceDE w:val="0"/>
        <w:autoSpaceDN w:val="0"/>
        <w:adjustRightInd w:val="0"/>
        <w:ind w:firstLine="480" w:firstLineChars="200"/>
        <w:rPr>
          <w:rFonts w:eastAsia="黑体"/>
          <w:kern w:val="0"/>
          <w:szCs w:val="24"/>
        </w:rPr>
      </w:pPr>
      <w:r>
        <w:rPr>
          <w:rFonts w:eastAsia="黑体"/>
          <w:kern w:val="0"/>
          <w:szCs w:val="24"/>
        </w:rPr>
        <w:t>2. 教学设备</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目前，实验室教学科研仪器设备总数4041台（套），仪器设备总值达到3953万元，生均教学科研仪器设备值为3.16万元。</w:t>
      </w:r>
    </w:p>
    <w:p>
      <w:pPr>
        <w:autoSpaceDE w:val="0"/>
        <w:autoSpaceDN w:val="0"/>
        <w:adjustRightInd w:val="0"/>
        <w:ind w:firstLine="480" w:firstLineChars="200"/>
        <w:rPr>
          <w:rFonts w:eastAsia="黑体"/>
          <w:kern w:val="0"/>
          <w:szCs w:val="24"/>
        </w:rPr>
      </w:pPr>
      <w:r>
        <w:rPr>
          <w:rFonts w:eastAsia="黑体"/>
          <w:kern w:val="0"/>
          <w:szCs w:val="24"/>
        </w:rPr>
        <w:t>3. 教师队伍建设</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学院高度重视师资队伍建设，不断完善人才引进和培养机制，切实优化师资队伍结构，形成了一支适应学科发展需求、素质优良、结构合理的师资队伍。</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（1）加大了高层次人才引进力度：2022年度，引进优秀青年人才7人。</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（2）</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送出去、请进来</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拓宽教师视野：近5年选派优秀中青年骨干教师到国内外知名高校培训或进修20多人次，每年教师参加国际或全国学术会议60余人次。经常邀请国内外教学科研领域的知名专家来校举办学术交流会或专题讲座，使青年教师经常向知名专家学习、与同行交流，学习先进的教学和科研理念，从而开拓其视野。</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（3）新老结合传帮带制度加强青年教师培养：本专业实行新老教师挂钩，实行导师制。年轻教师在独立讲授一门课前：一是听课制度，要跟随富有经验的</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导师</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完整观摩听课2个学期；二是试讲制度，在正式上讲台前先在团队教师内试讲2-3次，由同行教师提出改进意见，如果确实处于不适合上讲台的状态，则推迟其授课资格；三是试讲合格后，与</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导师</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合作讲授同一门课，由</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导师</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进行具体传帮带。</w:t>
      </w:r>
    </w:p>
    <w:p>
      <w:pPr>
        <w:ind w:firstLine="480" w:firstLineChars="200"/>
        <w:rPr>
          <w:rFonts w:eastAsiaTheme="minorEastAsia"/>
          <w:color w:val="000000" w:themeColor="text1"/>
          <w:szCs w:val="24"/>
          <w14:textFill>
            <w14:solidFill>
              <w14:schemeClr w14:val="tx1"/>
            </w14:solidFill>
          </w14:textFill>
        </w:rPr>
      </w:pPr>
      <w:r>
        <w:rPr>
          <w:color w:val="000000" w:themeColor="text1"/>
          <w14:textFill>
            <w14:solidFill>
              <w14:schemeClr w14:val="tx1"/>
            </w14:solidFill>
          </w14:textFill>
        </w:rPr>
        <w:t>（4）鼓励教师参与和申报科研项目：近五年来，学院教师承担了国家</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973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计划、国家转基因生物新品种培育重点专项、国家自然科学基金、国际合作项目等国家级科研课题83项，省部级项目51项、横向课题30项，年均立项经费2030万元。在Nature </w:t>
      </w:r>
      <w:r>
        <w:fldChar w:fldCharType="begin"/>
      </w:r>
      <w:r>
        <w:instrText xml:space="preserve"> HYPERLINK "http://e.so.com/search/eclk?p=a249RQ-RF4aUVBNOMm2LGKvnWPrvkISjjpuDXgiHly-ErTmOjL7WXRAk4VWRTfBHUY7N3zJh8eFVC7o9AndGHN_mgp3JML3UjVknZRTAB3imf0Id8iWUF5bKi3hhxckSE7R17tjSZw5CwhkIduzgP_IqUavkqfQ59Lg1G8HUecRjdFiMpNch5woNM6a1JgwJG0SFYQj41l_sWME5ZQurX7y43PCPYTQH340c78kD1t8zOQMMXyhhkcLoeA0bwJYT3o5GwFw3D4DAsE0uK2OZ-9JFCOTkTTPL59jJv7ZxjINkOGSF5jADmFn0pNyKiT--JwSeY1UdYxJbS1lNTGZAGCyTaJWy2d-x7yPwIEPSQ6-viXD9GHbzcQSSmNWDiAnlSCecER3AHhwxPHPkRwgyroTEHyF6Ka6d5ev4Xb0-CbtEQHyk9n9EC3v1KO7BdH0YprzyNl2udCebCjOeNmHNcgNnctOjfToT52hBJaV8kbtKzMcu_YzmhYXWf8zvzdplTisgi6pb-ALCzpCP-UlhXPgFb7WeizZlBF-aatBhwOJr5GmxaqGctCvcP29N_uOXgllZoT9NihbTNhLVAxhgaJ7S1jdgn2w1KRG5vOl6FkvzH3iYVLzlEYnMRgqP0kaEv_XoZzA2Z57dLWHPYqY2knYsGOms_aFwKkiSddfGnzntGiu7I8lpz85anCTk8w_nnNSQqOBI2k1p8uc&amp;ns=0&amp;v=2&amp;at=AW5hdHVyZQIgY29tbXVuaWNhdGlvbnPkuKjnu7zlkIjoh6rnhLbnp5HlrabnsbvmnJ_liIrkuKhTQ0kg5pS25b2V5pyf5YiK&amp;aurl=aHR0cHM6Ly93d3cubmF0dXJlLmNvbS9jb250ZW50L3NjaXJlcC1mYWN0cy9pbmRleC5odG1sP3V0bV9zb3VyY2U9MzYwJnV0bV9tZWRpdW09Y3BjJnV0bV9jb250ZW50PW51bGwmdXRtX2NhbXBhaWduPUpSQ05fMV9STF8zNjBfc2NpcmVwX2ZhY3Rz&amp;sig=4d39&amp;bt=1&amp;ud=1569119469929" \t "https://www.so.com/_blank" </w:instrText>
      </w:r>
      <w:r>
        <w:fldChar w:fldCharType="separate"/>
      </w:r>
      <w:r>
        <w:rPr>
          <w:color w:val="000000" w:themeColor="text1"/>
          <w14:textFill>
            <w14:solidFill>
              <w14:schemeClr w14:val="tx1"/>
            </w14:solidFill>
          </w14:textFill>
        </w:rPr>
        <w:t>Communications</w:t>
      </w:r>
      <w:r>
        <w:rPr>
          <w:color w:val="000000" w:themeColor="text1"/>
          <w14:textFill>
            <w14:solidFill>
              <w14:schemeClr w14:val="tx1"/>
            </w14:solidFill>
          </w14:textFill>
        </w:rPr>
        <w:fldChar w:fldCharType="end"/>
      </w:r>
      <w:r>
        <w:rPr>
          <w:color w:val="000000" w:themeColor="text1"/>
          <w14:textFill>
            <w14:solidFill>
              <w14:schemeClr w14:val="tx1"/>
            </w14:solidFill>
          </w14:textFill>
        </w:rPr>
        <w:t>、Trends in Plant、PNAS等国内外学术刊物上发表SCI研究论文600余篇，其中，影响因子5.0以上的高水平国际学术期刊论文120篇，其中影响因子大于10的16篇；获批国家发明专利27项；获得山东省自然科学一等奖1项、山东省自然科学二等奖2项、山东省科技进步奖1项。承担教改项目40余项，其中国家级教改项目4项、省级教改项目8项、校级教改项目30余项；获教学成果与奖励50余项，其中省级教学成果特等奖1项、一等奖2项、二等奖1项，其他各级各类教学奖励40余项；出版国家级规划教材5部，发表教研论文30余篇；2门课程被评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国家一流课程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，3门课程被评为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省级一流课程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，2门课程被评为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省级课程思政示范课程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p>
    <w:p>
      <w:p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目前，学院现有教职员工132人，其中教授44人，副教授49人，博士生导师36人，包括国家</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973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项目首席科学家1人，杰出青年基金获得者3人，国家优秀青年基金获得者1人，国家</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万人计划</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入选者1人，国家</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百千万人才工程</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入选者4人，国家级教学名师1人，青年长江学者1人，国家有突出贡献中青年专家2人，享受国务院特贴4人，山东省</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泰山学者攀登计划</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1人，山东省</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泰山学者</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特聘教授8人，山东省</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泰山学者</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青年专家4人。学院拥有教育部长江学者创新团队1个，国家级优秀教学团队2个，省级优秀教学团队1个。</w:t>
      </w:r>
    </w:p>
    <w:p>
      <w:pPr>
        <w:autoSpaceDE w:val="0"/>
        <w:autoSpaceDN w:val="0"/>
        <w:adjustRightInd w:val="0"/>
        <w:ind w:firstLine="480" w:firstLineChars="200"/>
        <w:rPr>
          <w:rFonts w:eastAsia="黑体"/>
          <w:kern w:val="0"/>
          <w:szCs w:val="24"/>
        </w:rPr>
      </w:pPr>
      <w:r>
        <w:rPr>
          <w:rFonts w:eastAsia="黑体"/>
          <w:kern w:val="0"/>
          <w:szCs w:val="24"/>
        </w:rPr>
        <w:t>4. 实习基地</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目前，学校、学院挂牌的实践教学基地总数达24家（图2，表2）。在此基础上，还针对目前生物监测、生物制药、生物肥料、生物质能源等生物学研究热点，以项目研发、科技转让为依托，不断凝练特色，建立5个校企共建实验室。通过共建实验室带动学生的校外实践活动，提升学生的培养质量，也使学校与企业由短期松散合作走向长期稳定合作。</w:t>
      </w:r>
    </w:p>
    <w:p>
      <w:pPr>
        <w:spacing w:line="240" w:lineRule="auto"/>
        <w:ind w:firstLine="398" w:firstLineChars="166"/>
        <w:jc w:val="center"/>
      </w:pPr>
      <w:r>
        <w:drawing>
          <wp:inline distT="0" distB="0" distL="0" distR="0">
            <wp:extent cx="4803775" cy="3735705"/>
            <wp:effectExtent l="0" t="0" r="15875" b="1714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120"/>
                    <a:stretch>
                      <a:fillRect/>
                    </a:stretch>
                  </pic:blipFill>
                  <pic:spPr>
                    <a:xfrm>
                      <a:off x="0" y="0"/>
                      <a:ext cx="4803775" cy="3735705"/>
                    </a:xfrm>
                    <a:prstGeom prst="rect">
                      <a:avLst/>
                    </a:prstGeom>
                  </pic:spPr>
                </pic:pic>
              </a:graphicData>
            </a:graphic>
          </wp:inline>
        </w:drawing>
      </w:r>
    </w:p>
    <w:p>
      <w:pPr>
        <w:spacing w:line="240" w:lineRule="auto"/>
        <w:ind w:firstLine="350" w:firstLineChars="166"/>
        <w:jc w:val="center"/>
        <w:rPr>
          <w:rFonts w:eastAsiaTheme="minorEastAsia"/>
          <w:b/>
          <w:color w:val="000000" w:themeColor="text1"/>
          <w:kern w:val="0"/>
          <w:sz w:val="21"/>
          <w:szCs w:val="21"/>
          <w14:textFill>
            <w14:solidFill>
              <w14:schemeClr w14:val="tx1"/>
            </w14:solidFill>
          </w14:textFill>
        </w:rPr>
      </w:pPr>
      <w:r>
        <w:rPr>
          <w:rFonts w:eastAsiaTheme="minorEastAsia"/>
          <w:b/>
          <w:color w:val="000000" w:themeColor="text1"/>
          <w:sz w:val="21"/>
          <w:szCs w:val="21"/>
          <w14:textFill>
            <w14:solidFill>
              <w14:schemeClr w14:val="tx1"/>
            </w14:solidFill>
          </w14:textFill>
        </w:rPr>
        <w:t>图2 部分实践教学基地签约挂牌现场</w:t>
      </w:r>
    </w:p>
    <w:p>
      <w:pPr>
        <w:widowControl/>
        <w:adjustRightInd w:val="0"/>
        <w:snapToGrid w:val="0"/>
        <w:spacing w:line="240" w:lineRule="auto"/>
        <w:jc w:val="center"/>
        <w:rPr>
          <w:b/>
          <w:color w:val="000000"/>
          <w:kern w:val="0"/>
          <w:sz w:val="21"/>
          <w:szCs w:val="21"/>
        </w:rPr>
      </w:pPr>
    </w:p>
    <w:p>
      <w:pPr>
        <w:widowControl/>
        <w:adjustRightInd w:val="0"/>
        <w:snapToGrid w:val="0"/>
        <w:spacing w:line="240" w:lineRule="auto"/>
        <w:jc w:val="center"/>
        <w:rPr>
          <w:b/>
          <w:color w:val="000000"/>
          <w:kern w:val="0"/>
          <w:sz w:val="21"/>
          <w:szCs w:val="21"/>
        </w:rPr>
      </w:pPr>
      <w:r>
        <w:rPr>
          <w:b/>
          <w:color w:val="000000"/>
          <w:kern w:val="0"/>
          <w:sz w:val="21"/>
          <w:szCs w:val="21"/>
        </w:rPr>
        <w:t>表2 专业建设的实践教学基地</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
        <w:gridCol w:w="4523"/>
        <w:gridCol w:w="1581"/>
        <w:gridCol w:w="14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序号</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基地名称</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基地性质</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山东荣丰食用菌有限公司</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山东七河生物科技有限公司</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3</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济南巨微（泽元）生物科技有限公司</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德州创迪微生物资源公司</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5</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山东爱福地生物科技有限公司</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6</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山东大地生物科技有限公司</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7</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泰安市质量监督局质监所</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8</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新泰裕兴生物科技有限公司</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9</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山东省华盛农业股份有限公司</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10</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山东家祥蓖麻种业科技有限公司</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11</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山东侨昌农化集团</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12</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山东佐田氏生物科技有限公司</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13</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新泰莲花山养蜂园</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14</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山东地泰菌业有限公司</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15</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泰安市食品药品检验检测中心</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16</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威海市文登圣经山蜜蜂园</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17</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山东蓬勃生物科技有限公司</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18</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山东众人信农业科技有限公司</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19</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烟台金佳龙食品有限公司</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山东泰尚黄精生物科技有限公司</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21</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青岛海德城生物工程有限公司</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22</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山东泰邦生物制品有限公司</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23</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济南﹒中关村信息谷创新中心</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47"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24</w:t>
            </w:r>
          </w:p>
        </w:tc>
        <w:tc>
          <w:tcPr>
            <w:tcW w:w="4523"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山东水发集团</w:t>
            </w:r>
          </w:p>
        </w:tc>
        <w:tc>
          <w:tcPr>
            <w:tcW w:w="1581"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1419"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2022</w:t>
            </w:r>
          </w:p>
        </w:tc>
      </w:tr>
    </w:tbl>
    <w:p>
      <w:pPr>
        <w:autoSpaceDE w:val="0"/>
        <w:autoSpaceDN w:val="0"/>
        <w:adjustRightInd w:val="0"/>
        <w:ind w:firstLine="398" w:firstLineChars="166"/>
        <w:rPr>
          <w:rFonts w:eastAsia="黑体"/>
          <w:kern w:val="0"/>
          <w:szCs w:val="24"/>
        </w:rPr>
      </w:pPr>
      <w:r>
        <w:rPr>
          <w:rFonts w:eastAsia="黑体"/>
          <w:kern w:val="0"/>
          <w:szCs w:val="24"/>
        </w:rPr>
        <w:t>5.现代教学技术应用</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1）开发专业主干课程教学资源库：从专业人才培养目标入手，开发构建了集自主学习、课堂教学和拓展服务等多种功能于一体的主干课程立体化教学资源库，有效整合了课程标准、课程设计、教学课件、教学案例、教学录像、实验虚拟仿真和教学考核等多种资源形式，随时吸收国内外最新研究的相关成果和基层应用案例，丰富课程教学资源。以此为基础，完成了《生物化学》《普通微生物学》《微生物生理学》《基因工程综合实验》《细胞生物学》《发酵工程》《生物分离工程》等30多门课程的教学资源库建设，新建教学资源库3门。建设了</w:t>
      </w:r>
      <w:r>
        <w:rPr>
          <w:color w:val="000000" w:themeColor="text1"/>
          <w14:textFill>
            <w14:solidFill>
              <w14:schemeClr w14:val="tx1"/>
            </w14:solidFill>
          </w14:textFill>
        </w:rPr>
        <w:t>《细胞生物学》《微生物学》《分子生物学》，</w:t>
      </w:r>
      <w:r>
        <w:rPr>
          <w:rFonts w:eastAsiaTheme="minorEastAsia"/>
          <w:color w:val="000000" w:themeColor="text1"/>
          <w:szCs w:val="24"/>
          <w14:textFill>
            <w14:solidFill>
              <w14:schemeClr w14:val="tx1"/>
            </w14:solidFill>
          </w14:textFill>
        </w:rPr>
        <w:t>正式出版数字课程4门。现有数字化教学资源库基本涵盖本专业全部主干课程和部分选修课程。</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（2）推进信息技术与教育教学的深度融合，创建互联网时代大学课堂网络辅助教学新模式：互联网、信息化已成为当代信息获取和应用的重要途径，随着教育部</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爱课程</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网和视频公开课等大量高校教学课程资源的上线，积极引导学生通过手机或Pad等客户端学习使用国内外相关课程优质教学资源；积极引进大规模开放在线课程</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慕课</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等教学新模式，采用混合式教学进行网络教学；所有主干课程均开设教学网站，通过</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课程中心</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平台学生可自由获取课程教学课件和视频资料，并参与教学测试和在线课堂讨论；同时，80%以上的教师还会通过腾讯课堂、腾讯会议等智慧教学工具，开展线上教学，与学生进行实时交互答疑。通过互联网辅助教学，提供了一个更灵活的教学平台，为学生提供了一种轻松愉快的学习方式，拉近了师生间的距离，拓宽了教学空间，丰富了教学资源，极大地提高了教学效率。</w:t>
      </w:r>
    </w:p>
    <w:p>
      <w:pPr>
        <w:ind w:firstLine="480" w:firstLineChars="200"/>
        <w:rPr>
          <w:rFonts w:eastAsiaTheme="minorEastAsia"/>
          <w:szCs w:val="24"/>
        </w:rPr>
      </w:pPr>
      <w:r>
        <w:rPr>
          <w:rFonts w:eastAsiaTheme="minorEastAsia"/>
          <w:color w:val="000000" w:themeColor="text1"/>
          <w:szCs w:val="24"/>
          <w14:textFill>
            <w14:solidFill>
              <w14:schemeClr w14:val="tx1"/>
            </w14:solidFill>
          </w14:textFill>
        </w:rPr>
        <w:t>（3）更新完善了创新实践网络平台：更新了</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生物工程专业</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农业生物学实验教学中心</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生物技术与工程实验教学示范中心网站</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校园植物志</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山东农业大学数字化标本馆</w:t>
      </w:r>
      <w:r>
        <w:rPr>
          <w:rFonts w:hint="eastAsia" w:eastAsiaTheme="minorEastAsia"/>
          <w:color w:val="000000" w:themeColor="text1"/>
          <w:szCs w:val="24"/>
          <w14:textFill>
            <w14:solidFill>
              <w14:schemeClr w14:val="tx1"/>
            </w14:solidFill>
          </w14:textFill>
        </w:rPr>
        <w:t>”“</w:t>
      </w:r>
      <w:r>
        <w:fldChar w:fldCharType="begin"/>
      </w:r>
      <w:r>
        <w:instrText xml:space="preserve"> HYPERLINK "http://202.194.131.160/G2S/Template/View.aspx?action=view&amp;courseType=1&amp;courseId=43&amp;ZZWLOOKINGFOR=G" \t "_blank" </w:instrText>
      </w:r>
      <w:r>
        <w:fldChar w:fldCharType="separate"/>
      </w:r>
      <w:r>
        <w:rPr>
          <w:rFonts w:eastAsiaTheme="minorEastAsia"/>
          <w:color w:val="000000" w:themeColor="text1"/>
          <w:szCs w:val="24"/>
          <w14:textFill>
            <w14:solidFill>
              <w14:schemeClr w14:val="tx1"/>
            </w14:solidFill>
          </w14:textFill>
        </w:rPr>
        <w:t>百奥微生物科技协会</w:t>
      </w:r>
      <w:r>
        <w:rPr>
          <w:rFonts w:eastAsiaTheme="minorEastAsia"/>
          <w:color w:val="000000" w:themeColor="text1"/>
          <w:szCs w:val="24"/>
          <w14:textFill>
            <w14:solidFill>
              <w14:schemeClr w14:val="tx1"/>
            </w14:solidFill>
          </w14:textFill>
        </w:rPr>
        <w:fldChar w:fldCharType="end"/>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飞动植物艺术协会</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w:t>
      </w:r>
      <w:r>
        <w:rPr>
          <w:rFonts w:hint="eastAsia" w:eastAsiaTheme="minorEastAsia"/>
          <w:color w:val="000000" w:themeColor="text1"/>
          <w:szCs w:val="24"/>
          <w14:textFill>
            <w14:solidFill>
              <w14:schemeClr w14:val="tx1"/>
            </w14:solidFill>
          </w14:textFill>
        </w:rPr>
        <w:t>“</w:t>
      </w:r>
      <w:r>
        <w:fldChar w:fldCharType="begin"/>
      </w:r>
      <w:r>
        <w:instrText xml:space="preserve"> HYPERLINK "http://202.194.131.160/G2S/Template/View.aspx?action=view&amp;courseType=1&amp;courseId=282&amp;ZZWLOOKINGFOR=G" \t "_blank" </w:instrText>
      </w:r>
      <w:r>
        <w:fldChar w:fldCharType="separate"/>
      </w:r>
      <w:r>
        <w:rPr>
          <w:rFonts w:eastAsiaTheme="minorEastAsia"/>
          <w:color w:val="000000" w:themeColor="text1"/>
          <w:szCs w:val="24"/>
          <w14:textFill>
            <w14:solidFill>
              <w14:schemeClr w14:val="tx1"/>
            </w14:solidFill>
          </w14:textFill>
        </w:rPr>
        <w:t>山东省大学生生物化学实验技能大赛</w:t>
      </w:r>
      <w:r>
        <w:rPr>
          <w:rFonts w:eastAsiaTheme="minorEastAsia"/>
          <w:color w:val="000000" w:themeColor="text1"/>
          <w:szCs w:val="24"/>
          <w14:textFill>
            <w14:solidFill>
              <w14:schemeClr w14:val="tx1"/>
            </w14:solidFill>
          </w14:textFill>
        </w:rPr>
        <w:fldChar w:fldCharType="end"/>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等十几个相关教学网站。为学生提供了自主学习服务平台，为教师提供学习、借鉴、参考、交流、引用的教学资源场所</w:t>
      </w:r>
      <w:r>
        <w:rPr>
          <w:rFonts w:eastAsiaTheme="minorEastAsia"/>
          <w:szCs w:val="24"/>
        </w:rPr>
        <w:t xml:space="preserve">     </w:t>
      </w:r>
    </w:p>
    <w:p>
      <w:pPr>
        <w:pStyle w:val="5"/>
        <w:spacing w:before="93" w:after="93"/>
        <w:ind w:firstLine="560"/>
      </w:pPr>
      <w:r>
        <w:t>四、培养机制与特色</w:t>
      </w:r>
    </w:p>
    <w:p>
      <w:pPr>
        <w:autoSpaceDE w:val="0"/>
        <w:autoSpaceDN w:val="0"/>
        <w:adjustRightInd w:val="0"/>
        <w:ind w:firstLine="480" w:firstLineChars="200"/>
        <w:rPr>
          <w:rFonts w:eastAsia="黑体"/>
          <w:kern w:val="0"/>
          <w:szCs w:val="24"/>
        </w:rPr>
      </w:pPr>
      <w:r>
        <w:rPr>
          <w:rFonts w:eastAsia="黑体"/>
          <w:kern w:val="0"/>
          <w:szCs w:val="24"/>
        </w:rPr>
        <w:t>1. 产学研协同育人机制</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（1）注重学生的知识、素质与能力的协调发展，构建了产学研协同育人新方案。</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目前采用的是进两年修正完善的生物工程专业产学研协同育人新方案。具体措施包括：1）调整学分结构：在170个毕业总学分不变的情况下，优化和调整专业基础课、专业核心课和专业选修课的比例，使选修课的比例保持在25%以上，使学生有充分的时间和精力思考生物工程学问题，按照自己的研究兴趣，参与科研实践训练；2）重视实践环节，把综合训练和毕业论文有效衔接，将进入毕业实习阶段的学生分成两大类别：一类按</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创新型</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人才培养，安排到科研院所、科研实验室实习，强化科技创新能力培养；另一类按</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应用型</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人才培养，安排到校企共建单位、实践教学基地实习，尽快实现与企业的无缝对接。</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（2）紧密围绕</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厚基础、宽视野、强能力、高素质、广口径</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精英型科教人才的基本定位，构建</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平台+模块</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的开放性理论课程体系。</w:t>
      </w:r>
    </w:p>
    <w:p>
      <w:pPr>
        <w:ind w:firstLine="480" w:firstLineChars="200"/>
        <w:rPr>
          <w:rFonts w:eastAsiaTheme="minorEastAsia"/>
          <w:color w:val="000000" w:themeColor="text1"/>
          <w:szCs w:val="24"/>
          <w14:textFill>
            <w14:solidFill>
              <w14:schemeClr w14:val="tx1"/>
            </w14:solidFill>
          </w14:textFill>
        </w:rPr>
      </w:pP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平台课程</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主要为生物工程专业的学生提供系统宽厚的生物学、工程学基础知识，形成与生物工程专业发展相适应的基本技能。</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平台</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能够满足学科人才的基本规格和全面发展的共性需求，体现</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厚基础，宽口径</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模块</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主要是为实现人才分流，满足个性发展的需要。在专业课程中，进一步拓展课程内容，创建了开放式的课程体系，结合《生物工程学科前沿专题讲座》等课程和</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专家与我面对面</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创新创业讲座论坛等学术交流活动，分别聘请著名科研院所著名专家和国际知名专家，或者我校在国内外具有重要影响的知名专家，围绕生物工程相关领域热点话题做专题报告，拓宽学生学术视野；邀请生物工程相关著名企业技术专家做专题报告，带领学生到规模化优秀生物产业企业进行考察实习，让学生及时了解生物产业技术和知识需求，激发了学生的专业兴趣，促进学生与企业间完美对接。</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（3）围绕塑造学生</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实践能力、创新能力和拓展能力</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，创建了适应社会需要的</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四层次、三类型</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实践教学体系。</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为培养学生科学思维能力、综合实践能力和社会适应与拓展能力，根据生物工程快速发展的实际，在进一步完善实践教学体系的基础上，创建了</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四层次、三类型</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的实践教学体系。</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四层次</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即基础生物学实验→农业生物学实验→生物工程综合实验→生物工程生产实践四个层次；</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三类型</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即基础型实验、综合提高型实验和研究创新型实验。四个层次循序渐进，每一层次都根据其具体实验内容，分别构建基础型、综合提高型和研究创新型等不同类型的实验项目，尤其注重增加探究实验的比重，实现基础实验、综合实验、设计实验、创新实验稳步提升；实验、实训、实习相互结合；课内课外、校内校外、教学科研、科研生产相互衔接。既培养学生掌握扎实的实验基本技能，又逐步强化学生实践能力、创新能力和创业、就业能力。</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（4）围绕激发学生兴趣，依托教学科研创新平台，全方位保证产学研协同育人。</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基于农业生物学实验教学示范中心（国家级）、生物技术和工程实验教学示范中心（省级）及各学科科研实验室等实践教学平台，锻炼和提高学生系统掌握现代生物学实验技术与研究方法和实际动手能力；基于课程教学平台，锻炼学生的研究性学习以及文献查阅、写作与交流表达能力等综合能力；基于科研平台，培养学生创新意识、科学思维与知识应用和分析及解决问题等能力与综合素质。2021年，</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创新平台</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共承担学生主持的各类科研训练项目80余项，参加学生人数占学生总人数80%以上，本科生每年在国内外生物科学专业著名学术期刊以第一作者或主要作者发表学术研究论文4篇左右。各类科技创新活动极大地激发了学生的创新精神和学习兴趣，促进了学生创新能力的培养，保证了学生的自主个性化的学术发展。</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（5）举办系列学术活动，提高学生专业素养和学术水平。</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为提高学生的学术素养，学院设立</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生命之光</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学术讲座和</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学术之光</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科研论坛，每年邀请20余位国内知名学者和优秀校友来校讲学；此外，学院依托作物学国家重点实验室邀请多位国内外知名院士及专家，举办了系列的学术报告。通过开展学术讲座，同学们深入了解了所在学科或相关学科领域的前沿知识，掌握了最新的科研动态，在与专家近距离的学术探讨中，同学们提升了专业知识，拓宽了视野，培养了学术敏感性，对于提升学生综合素质，提高人才培养质量，促进学生的学习意识具有重要意义。</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（6）加强实验实训实习基地建设。</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本着</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互惠互利、共同发展</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的原则，与省内外20家具有较大影响的生物科学与技术企业联合建立实践教学基地，统筹各类实践教学资源，构建功能集约、资源共享、开放充分、运作高效的生物科学实践应用教学平台，每年逾150人次学生到企业参加实习和实践。</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实践应用平台</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建设实现了学校与企业的紧密联合，企业为教师提供了社会服务能力的平台，专家、教授深入生产一线，能够准确及时把握社会需求，实现社会需求与科研的同步发展；企业为学生提供了实践的平台，促进了学生创新和创业能力的提高，提高应用型人才的培养质量；同时，教师为企业提供新技术，学生为产品的研发和企业的创新注入活力，促进科技成果转化，推动了企业的持续健康发展。有计划地选送教师到企业接受培训、挂职工作和实践锻炼。</w:t>
      </w:r>
    </w:p>
    <w:p>
      <w:pPr>
        <w:numPr>
          <w:ilvl w:val="0"/>
          <w:numId w:val="6"/>
        </w:num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学校、企业双导师制共建人才培养体系。</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学校聘请企业优秀专业技术人才、管理人才和高技能人才参与专业建设、担任兼职教师。学生的暑期实践、教学实习和毕业实习等在企业完成的实践教学活动均由校内导师和企业导师共同指导完成（图3），保证了实践实习内容的针对性，提高了实践教学质量。</w:t>
      </w:r>
    </w:p>
    <w:p>
      <w:pPr>
        <w:spacing w:line="240" w:lineRule="auto"/>
        <w:ind w:firstLine="398" w:firstLineChars="166"/>
        <w:rPr>
          <w:rFonts w:eastAsiaTheme="minorEastAsia"/>
          <w:color w:val="000000" w:themeColor="text1"/>
          <w:szCs w:val="24"/>
          <w14:textFill>
            <w14:solidFill>
              <w14:schemeClr w14:val="tx1"/>
            </w14:solidFill>
          </w14:textFill>
        </w:rPr>
      </w:pPr>
      <w:r>
        <w:drawing>
          <wp:inline distT="0" distB="0" distL="114300" distR="114300">
            <wp:extent cx="5266690" cy="1970405"/>
            <wp:effectExtent l="0" t="0" r="10160" b="1079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21"/>
                    <a:stretch>
                      <a:fillRect/>
                    </a:stretch>
                  </pic:blipFill>
                  <pic:spPr>
                    <a:xfrm>
                      <a:off x="0" y="0"/>
                      <a:ext cx="5266690" cy="1970405"/>
                    </a:xfrm>
                    <a:prstGeom prst="rect">
                      <a:avLst/>
                    </a:prstGeom>
                    <a:noFill/>
                    <a:ln>
                      <a:noFill/>
                    </a:ln>
                  </pic:spPr>
                </pic:pic>
              </a:graphicData>
            </a:graphic>
          </wp:inline>
        </w:drawing>
      </w:r>
    </w:p>
    <w:p>
      <w:pPr>
        <w:spacing w:line="420" w:lineRule="exact"/>
        <w:ind w:firstLine="350" w:firstLineChars="166"/>
        <w:jc w:val="center"/>
      </w:pPr>
      <w:r>
        <w:rPr>
          <w:rFonts w:eastAsiaTheme="minorEastAsia"/>
          <w:b/>
          <w:bCs/>
          <w:color w:val="000000" w:themeColor="text1"/>
          <w:sz w:val="21"/>
          <w:szCs w:val="21"/>
          <w14:textFill>
            <w14:solidFill>
              <w14:schemeClr w14:val="tx1"/>
            </w14:solidFill>
          </w14:textFill>
        </w:rPr>
        <w:t>图3  生物工程学生到企业进行教学实习及实践</w:t>
      </w:r>
    </w:p>
    <w:p>
      <w:pPr>
        <w:numPr>
          <w:ilvl w:val="0"/>
          <w:numId w:val="6"/>
        </w:numPr>
        <w:spacing w:line="420" w:lineRule="exact"/>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公司设立专业奖学金，营造实践创新学术氛围。</w:t>
      </w:r>
    </w:p>
    <w:p>
      <w:pPr>
        <w:spacing w:line="420" w:lineRule="exact"/>
        <w:ind w:left="17" w:leftChars="7"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为了鼓励学生发奋学习、创新创业，学院还与企业合作设立</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实践创新</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奖学金。目前，有多家企业与学院签订了捐助奖学金计划，如山东荣丰食用菌科技有限公司、山东佐田氏生物科技有限公司、山东七河生物科技股份有限公司、济南巨微（泽元）生物科技有限公司、山东众人信农业科技有限公司等，年赞助奖金30余万元。企业</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实践创新</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奖学金的设立不仅为学生提供了经济资助，还营造了学生竞争学习的良好氛围。</w:t>
      </w:r>
    </w:p>
    <w:p>
      <w:pPr>
        <w:autoSpaceDE w:val="0"/>
        <w:autoSpaceDN w:val="0"/>
        <w:adjustRightInd w:val="0"/>
        <w:spacing w:line="420" w:lineRule="exact"/>
        <w:ind w:firstLine="480" w:firstLineChars="200"/>
        <w:rPr>
          <w:rFonts w:eastAsia="黑体"/>
          <w:kern w:val="0"/>
          <w:szCs w:val="24"/>
        </w:rPr>
      </w:pPr>
      <w:r>
        <w:rPr>
          <w:rFonts w:eastAsia="黑体"/>
          <w:kern w:val="0"/>
          <w:szCs w:val="24"/>
        </w:rPr>
        <w:t>2. 教学管理</w:t>
      </w:r>
    </w:p>
    <w:p>
      <w:pPr>
        <w:spacing w:line="420" w:lineRule="exact"/>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注重学生的知识、素质与能力的协调发展是专业建设和发展的核心任务。主要教学管理措施有：</w:t>
      </w:r>
    </w:p>
    <w:p>
      <w:pPr>
        <w:spacing w:line="420" w:lineRule="exact"/>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（1）构建</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学院+系+教学团队</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的三层次教学管理体系，切实有效地提升和保障教育教学水平及质量；</w:t>
      </w:r>
    </w:p>
    <w:p>
      <w:pPr>
        <w:spacing w:line="420" w:lineRule="exact"/>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（2）科研训练</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创新课题+毕业论文制</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：制定本科生科技创新实践培养和毕业论文的质量标准及其运行管理制度，依托学院科研实验室与科研平台学术带头人与科研骨干教师亲自指导本科生的科研创新与毕业论文，确保人才培养的质量与水平；</w:t>
      </w:r>
    </w:p>
    <w:p>
      <w:pPr>
        <w:spacing w:line="420" w:lineRule="exact"/>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（3）企业技能实训教学</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专题讲座＋顶岗实习制</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：依托学企平台本科生直接渗入生物高新技术产业环节，取得创新创业真经。</w:t>
      </w:r>
    </w:p>
    <w:p>
      <w:pPr>
        <w:pStyle w:val="5"/>
        <w:spacing w:before="93" w:after="93"/>
        <w:ind w:firstLine="560"/>
      </w:pPr>
      <w:r>
        <w:t>五、培养质量</w:t>
      </w:r>
    </w:p>
    <w:p>
      <w:pPr>
        <w:autoSpaceDE w:val="0"/>
        <w:autoSpaceDN w:val="0"/>
        <w:adjustRightInd w:val="0"/>
        <w:spacing w:line="420" w:lineRule="exact"/>
        <w:ind w:firstLine="480" w:firstLineChars="200"/>
        <w:rPr>
          <w:rFonts w:eastAsia="黑体"/>
          <w:kern w:val="0"/>
          <w:szCs w:val="24"/>
        </w:rPr>
      </w:pPr>
      <w:r>
        <w:rPr>
          <w:rFonts w:eastAsia="黑体"/>
          <w:kern w:val="0"/>
          <w:szCs w:val="24"/>
        </w:rPr>
        <w:t>1. 毕业生就业率</w:t>
      </w:r>
    </w:p>
    <w:p>
      <w:pPr>
        <w:spacing w:line="420" w:lineRule="exact"/>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2022届生物工程专业本科毕业生共82人，截止2022年9月底已有68人实现就业，本科生就业率已达82.93%。</w:t>
      </w:r>
    </w:p>
    <w:p>
      <w:pPr>
        <w:autoSpaceDE w:val="0"/>
        <w:autoSpaceDN w:val="0"/>
        <w:adjustRightInd w:val="0"/>
        <w:spacing w:line="420" w:lineRule="exact"/>
        <w:ind w:firstLine="480" w:firstLineChars="200"/>
        <w:rPr>
          <w:rFonts w:eastAsia="黑体"/>
          <w:kern w:val="0"/>
          <w:szCs w:val="24"/>
        </w:rPr>
      </w:pPr>
      <w:r>
        <w:rPr>
          <w:rFonts w:eastAsia="黑体"/>
          <w:kern w:val="0"/>
          <w:szCs w:val="24"/>
        </w:rPr>
        <w:t>2. 就业专业对口率</w:t>
      </w:r>
    </w:p>
    <w:p>
      <w:pPr>
        <w:spacing w:line="420" w:lineRule="exact"/>
        <w:ind w:firstLine="480" w:firstLineChars="200"/>
        <w:rPr>
          <w:rFonts w:eastAsiaTheme="minorEastAsia"/>
          <w:bCs/>
          <w:color w:val="000000" w:themeColor="text1"/>
          <w:sz w:val="21"/>
          <w:szCs w:val="21"/>
          <w14:textFill>
            <w14:solidFill>
              <w14:schemeClr w14:val="tx1"/>
            </w14:solidFill>
          </w14:textFill>
        </w:rPr>
      </w:pPr>
      <w:r>
        <w:rPr>
          <w:rFonts w:eastAsiaTheme="minorEastAsia"/>
          <w:color w:val="000000" w:themeColor="text1"/>
          <w:szCs w:val="24"/>
          <w14:textFill>
            <w14:solidFill>
              <w14:schemeClr w14:val="tx1"/>
            </w14:solidFill>
          </w14:textFill>
        </w:rPr>
        <w:t>2022届生物工程专业毕业生中（表3），有53人考取生物工程相关专业研究生或就职于生物类相关企事业单位；有15人就职于其他性质单位。就业专业对口率达77.94%。</w:t>
      </w:r>
    </w:p>
    <w:p>
      <w:pPr>
        <w:widowControl/>
        <w:adjustRightInd w:val="0"/>
        <w:snapToGrid w:val="0"/>
        <w:spacing w:line="240" w:lineRule="auto"/>
        <w:jc w:val="center"/>
        <w:rPr>
          <w:b/>
          <w:bCs/>
          <w:color w:val="000000"/>
          <w:kern w:val="0"/>
          <w:sz w:val="21"/>
          <w:szCs w:val="21"/>
        </w:rPr>
      </w:pPr>
      <w:r>
        <w:rPr>
          <w:b/>
          <w:bCs/>
          <w:color w:val="000000"/>
          <w:kern w:val="0"/>
          <w:sz w:val="21"/>
          <w:szCs w:val="21"/>
        </w:rPr>
        <w:t>表3  2022届生物工程专业本科生就业去向统计表（单位：人）</w:t>
      </w:r>
    </w:p>
    <w:tbl>
      <w:tblPr>
        <w:tblStyle w:val="17"/>
        <w:tblW w:w="4997" w:type="pct"/>
        <w:jc w:val="center"/>
        <w:tblLayout w:type="autofit"/>
        <w:tblCellMar>
          <w:top w:w="0" w:type="dxa"/>
          <w:left w:w="57" w:type="dxa"/>
          <w:bottom w:w="0" w:type="dxa"/>
          <w:right w:w="57" w:type="dxa"/>
        </w:tblCellMar>
      </w:tblPr>
      <w:tblGrid>
        <w:gridCol w:w="1886"/>
        <w:gridCol w:w="971"/>
        <w:gridCol w:w="1021"/>
        <w:gridCol w:w="1138"/>
        <w:gridCol w:w="1208"/>
        <w:gridCol w:w="1192"/>
        <w:gridCol w:w="760"/>
        <w:gridCol w:w="778"/>
      </w:tblGrid>
      <w:tr>
        <w:tblPrEx>
          <w:tblCellMar>
            <w:top w:w="0" w:type="dxa"/>
            <w:left w:w="57" w:type="dxa"/>
            <w:bottom w:w="0" w:type="dxa"/>
            <w:right w:w="57" w:type="dxa"/>
          </w:tblCellMar>
        </w:tblPrEx>
        <w:trPr>
          <w:trHeight w:val="397" w:hRule="atLeast"/>
          <w:jc w:val="center"/>
        </w:trPr>
        <w:tc>
          <w:tcPr>
            <w:tcW w:w="1053"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类别</w:t>
            </w:r>
          </w:p>
        </w:tc>
        <w:tc>
          <w:tcPr>
            <w:tcW w:w="542"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考研升学</w:t>
            </w:r>
          </w:p>
        </w:tc>
        <w:tc>
          <w:tcPr>
            <w:tcW w:w="570"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签订就</w:t>
            </w:r>
          </w:p>
          <w:p>
            <w:pPr>
              <w:widowControl/>
              <w:adjustRightInd w:val="0"/>
              <w:snapToGrid w:val="0"/>
              <w:spacing w:line="240" w:lineRule="auto"/>
              <w:jc w:val="center"/>
              <w:rPr>
                <w:b/>
                <w:bCs/>
                <w:color w:val="000000"/>
                <w:kern w:val="0"/>
                <w:sz w:val="21"/>
                <w:szCs w:val="21"/>
              </w:rPr>
            </w:pPr>
            <w:r>
              <w:rPr>
                <w:b/>
                <w:bCs/>
                <w:color w:val="000000"/>
                <w:kern w:val="0"/>
                <w:sz w:val="21"/>
                <w:szCs w:val="21"/>
              </w:rPr>
              <w:t>业协议</w:t>
            </w:r>
          </w:p>
        </w:tc>
        <w:tc>
          <w:tcPr>
            <w:tcW w:w="635"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其他录用形式就业</w:t>
            </w:r>
          </w:p>
        </w:tc>
        <w:tc>
          <w:tcPr>
            <w:tcW w:w="674"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自由职业</w:t>
            </w:r>
          </w:p>
        </w:tc>
        <w:tc>
          <w:tcPr>
            <w:tcW w:w="665"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国家基层就业项目</w:t>
            </w:r>
          </w:p>
        </w:tc>
        <w:tc>
          <w:tcPr>
            <w:tcW w:w="424"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合计</w:t>
            </w:r>
          </w:p>
        </w:tc>
        <w:tc>
          <w:tcPr>
            <w:tcW w:w="434"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比例</w:t>
            </w:r>
          </w:p>
          <w:p>
            <w:pPr>
              <w:widowControl/>
              <w:adjustRightInd w:val="0"/>
              <w:snapToGrid w:val="0"/>
              <w:spacing w:line="240" w:lineRule="auto"/>
              <w:jc w:val="center"/>
              <w:rPr>
                <w:b/>
                <w:bCs/>
                <w:color w:val="000000"/>
                <w:kern w:val="0"/>
                <w:sz w:val="21"/>
                <w:szCs w:val="21"/>
              </w:rPr>
            </w:pPr>
            <w:r>
              <w:rPr>
                <w:b/>
                <w:bCs/>
                <w:color w:val="000000"/>
                <w:kern w:val="0"/>
                <w:sz w:val="21"/>
                <w:szCs w:val="21"/>
              </w:rPr>
              <w:t>（%）</w:t>
            </w:r>
          </w:p>
        </w:tc>
      </w:tr>
      <w:tr>
        <w:tblPrEx>
          <w:tblCellMar>
            <w:top w:w="0" w:type="dxa"/>
            <w:left w:w="57" w:type="dxa"/>
            <w:bottom w:w="0" w:type="dxa"/>
            <w:right w:w="57" w:type="dxa"/>
          </w:tblCellMar>
        </w:tblPrEx>
        <w:trPr>
          <w:trHeight w:val="397" w:hRule="atLeast"/>
          <w:jc w:val="center"/>
        </w:trPr>
        <w:tc>
          <w:tcPr>
            <w:tcW w:w="1053" w:type="pct"/>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生物工程领域</w:t>
            </w:r>
          </w:p>
        </w:tc>
        <w:tc>
          <w:tcPr>
            <w:tcW w:w="54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41</w:t>
            </w:r>
          </w:p>
        </w:tc>
        <w:tc>
          <w:tcPr>
            <w:tcW w:w="570"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10</w:t>
            </w:r>
          </w:p>
        </w:tc>
        <w:tc>
          <w:tcPr>
            <w:tcW w:w="635"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w:t>
            </w:r>
          </w:p>
        </w:tc>
        <w:tc>
          <w:tcPr>
            <w:tcW w:w="674"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0</w:t>
            </w:r>
          </w:p>
        </w:tc>
        <w:tc>
          <w:tcPr>
            <w:tcW w:w="665"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w:t>
            </w:r>
          </w:p>
        </w:tc>
        <w:tc>
          <w:tcPr>
            <w:tcW w:w="424"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53</w:t>
            </w:r>
          </w:p>
        </w:tc>
        <w:tc>
          <w:tcPr>
            <w:tcW w:w="434"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64.63</w:t>
            </w:r>
          </w:p>
        </w:tc>
      </w:tr>
      <w:tr>
        <w:tblPrEx>
          <w:tblCellMar>
            <w:top w:w="0" w:type="dxa"/>
            <w:left w:w="57" w:type="dxa"/>
            <w:bottom w:w="0" w:type="dxa"/>
            <w:right w:w="57" w:type="dxa"/>
          </w:tblCellMar>
        </w:tblPrEx>
        <w:trPr>
          <w:trHeight w:val="397" w:hRule="atLeast"/>
          <w:jc w:val="center"/>
        </w:trPr>
        <w:tc>
          <w:tcPr>
            <w:tcW w:w="1053" w:type="pct"/>
            <w:tcBorders>
              <w:top w:val="nil"/>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非生物工程领域</w:t>
            </w:r>
          </w:p>
        </w:tc>
        <w:tc>
          <w:tcPr>
            <w:tcW w:w="542"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w:t>
            </w:r>
          </w:p>
        </w:tc>
        <w:tc>
          <w:tcPr>
            <w:tcW w:w="570"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0</w:t>
            </w:r>
          </w:p>
        </w:tc>
        <w:tc>
          <w:tcPr>
            <w:tcW w:w="635"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2</w:t>
            </w:r>
          </w:p>
        </w:tc>
        <w:tc>
          <w:tcPr>
            <w:tcW w:w="674"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12</w:t>
            </w:r>
          </w:p>
        </w:tc>
        <w:tc>
          <w:tcPr>
            <w:tcW w:w="665"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0</w:t>
            </w:r>
          </w:p>
        </w:tc>
        <w:tc>
          <w:tcPr>
            <w:tcW w:w="424"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15</w:t>
            </w:r>
          </w:p>
        </w:tc>
        <w:tc>
          <w:tcPr>
            <w:tcW w:w="434" w:type="pct"/>
            <w:tcBorders>
              <w:top w:val="nil"/>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18.29</w:t>
            </w:r>
          </w:p>
        </w:tc>
      </w:tr>
      <w:tr>
        <w:tblPrEx>
          <w:tblCellMar>
            <w:top w:w="0" w:type="dxa"/>
            <w:left w:w="57" w:type="dxa"/>
            <w:bottom w:w="0" w:type="dxa"/>
            <w:right w:w="57" w:type="dxa"/>
          </w:tblCellMar>
        </w:tblPrEx>
        <w:trPr>
          <w:trHeight w:val="397" w:hRule="atLeast"/>
          <w:jc w:val="center"/>
        </w:trPr>
        <w:tc>
          <w:tcPr>
            <w:tcW w:w="1053"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合计</w:t>
            </w:r>
          </w:p>
        </w:tc>
        <w:tc>
          <w:tcPr>
            <w:tcW w:w="542"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42</w:t>
            </w:r>
          </w:p>
        </w:tc>
        <w:tc>
          <w:tcPr>
            <w:tcW w:w="570"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10</w:t>
            </w:r>
          </w:p>
        </w:tc>
        <w:tc>
          <w:tcPr>
            <w:tcW w:w="635"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3</w:t>
            </w:r>
          </w:p>
        </w:tc>
        <w:tc>
          <w:tcPr>
            <w:tcW w:w="674"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12</w:t>
            </w:r>
          </w:p>
        </w:tc>
        <w:tc>
          <w:tcPr>
            <w:tcW w:w="665"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w:t>
            </w:r>
          </w:p>
        </w:tc>
        <w:tc>
          <w:tcPr>
            <w:tcW w:w="424"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68</w:t>
            </w:r>
          </w:p>
        </w:tc>
        <w:tc>
          <w:tcPr>
            <w:tcW w:w="434"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82.93</w:t>
            </w:r>
          </w:p>
        </w:tc>
      </w:tr>
      <w:tr>
        <w:tblPrEx>
          <w:tblCellMar>
            <w:top w:w="0" w:type="dxa"/>
            <w:left w:w="57" w:type="dxa"/>
            <w:bottom w:w="0" w:type="dxa"/>
            <w:right w:w="57" w:type="dxa"/>
          </w:tblCellMar>
        </w:tblPrEx>
        <w:trPr>
          <w:trHeight w:val="397" w:hRule="atLeast"/>
          <w:jc w:val="center"/>
        </w:trPr>
        <w:tc>
          <w:tcPr>
            <w:tcW w:w="1053"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比例（%）</w:t>
            </w:r>
          </w:p>
        </w:tc>
        <w:tc>
          <w:tcPr>
            <w:tcW w:w="542"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51.22</w:t>
            </w:r>
          </w:p>
        </w:tc>
        <w:tc>
          <w:tcPr>
            <w:tcW w:w="570"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12.20</w:t>
            </w:r>
          </w:p>
        </w:tc>
        <w:tc>
          <w:tcPr>
            <w:tcW w:w="635"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3.66</w:t>
            </w:r>
          </w:p>
        </w:tc>
        <w:tc>
          <w:tcPr>
            <w:tcW w:w="674"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14.63</w:t>
            </w:r>
          </w:p>
        </w:tc>
        <w:tc>
          <w:tcPr>
            <w:tcW w:w="665"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1.22</w:t>
            </w:r>
          </w:p>
        </w:tc>
        <w:tc>
          <w:tcPr>
            <w:tcW w:w="424"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82.93</w:t>
            </w:r>
          </w:p>
        </w:tc>
        <w:tc>
          <w:tcPr>
            <w:tcW w:w="434" w:type="pct"/>
            <w:tcBorders>
              <w:top w:val="single" w:color="auto" w:sz="4" w:space="0"/>
              <w:left w:val="nil"/>
              <w:bottom w:val="single" w:color="auto" w:sz="4" w:space="0"/>
              <w:right w:val="single" w:color="auto" w:sz="4" w:space="0"/>
            </w:tcBorders>
            <w:vAlign w:val="center"/>
          </w:tcPr>
          <w:p>
            <w:pPr>
              <w:widowControl/>
              <w:adjustRightInd w:val="0"/>
              <w:snapToGrid w:val="0"/>
              <w:spacing w:line="240" w:lineRule="auto"/>
              <w:jc w:val="center"/>
              <w:rPr>
                <w:color w:val="000000"/>
                <w:kern w:val="0"/>
                <w:sz w:val="21"/>
                <w:szCs w:val="21"/>
              </w:rPr>
            </w:pPr>
            <w:r>
              <w:rPr>
                <w:color w:val="000000"/>
                <w:kern w:val="0"/>
                <w:sz w:val="21"/>
                <w:szCs w:val="21"/>
              </w:rPr>
              <w:t>-</w:t>
            </w:r>
          </w:p>
        </w:tc>
      </w:tr>
    </w:tbl>
    <w:p>
      <w:pPr>
        <w:autoSpaceDE w:val="0"/>
        <w:autoSpaceDN w:val="0"/>
        <w:adjustRightInd w:val="0"/>
        <w:spacing w:line="420" w:lineRule="exact"/>
        <w:ind w:firstLine="398" w:firstLineChars="166"/>
        <w:rPr>
          <w:rFonts w:eastAsia="黑体"/>
          <w:kern w:val="0"/>
          <w:szCs w:val="24"/>
        </w:rPr>
      </w:pPr>
      <w:r>
        <w:rPr>
          <w:rFonts w:eastAsia="黑体"/>
          <w:kern w:val="0"/>
          <w:szCs w:val="24"/>
        </w:rPr>
        <w:t>3. 毕业生发展情况</w:t>
      </w:r>
    </w:p>
    <w:p>
      <w:pPr>
        <w:spacing w:line="420" w:lineRule="exact"/>
        <w:ind w:firstLine="398" w:firstLineChars="166"/>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截至2022年8月底，生物工程专业毕业生中，有42人考取国内硕士研究生，无国外攻读研究生学位，占毕业生总人数51.22%；10人与企业签订就业协议，占毕业生总人数12.20%；1人参与国家基层就业项目（西部计划），占毕业生总人数1.22%；15人以其他录用形式或自由职业形式就业，占毕业生总人数18.29%。14人未签订就业协议，准备继续攻读硕士研究生或正在求职，占毕业生总数的17.07%。</w:t>
      </w:r>
    </w:p>
    <w:p>
      <w:pPr>
        <w:autoSpaceDE w:val="0"/>
        <w:autoSpaceDN w:val="0"/>
        <w:adjustRightInd w:val="0"/>
        <w:spacing w:line="420" w:lineRule="exact"/>
        <w:ind w:firstLine="398" w:firstLineChars="166"/>
        <w:rPr>
          <w:rFonts w:eastAsia="黑体"/>
          <w:kern w:val="0"/>
          <w:szCs w:val="24"/>
        </w:rPr>
      </w:pPr>
      <w:r>
        <w:rPr>
          <w:rFonts w:eastAsia="黑体"/>
          <w:kern w:val="0"/>
          <w:szCs w:val="24"/>
        </w:rPr>
        <w:t>4. 就业单位满意率</w:t>
      </w:r>
    </w:p>
    <w:p>
      <w:pPr>
        <w:tabs>
          <w:tab w:val="left" w:pos="6120"/>
        </w:tabs>
        <w:snapToGrid w:val="0"/>
        <w:spacing w:line="420" w:lineRule="exact"/>
        <w:ind w:firstLine="398" w:firstLineChars="166"/>
        <w:rPr>
          <w:color w:val="000000" w:themeColor="text1"/>
          <w14:textFill>
            <w14:solidFill>
              <w14:schemeClr w14:val="tx1"/>
            </w14:solidFill>
          </w14:textFill>
        </w:rPr>
      </w:pPr>
      <w:r>
        <w:rPr>
          <w:color w:val="000000" w:themeColor="text1"/>
          <w14:textFill>
            <w14:solidFill>
              <w14:schemeClr w14:val="tx1"/>
            </w14:solidFill>
          </w14:textFill>
        </w:rPr>
        <w:t>对近五年毕业生进行了走访调查，综合毕业生对就业单位的工作性质、工作强度、生活压力和工资薪酬等各方面，毕业生对就业现状满意度达85%。</w:t>
      </w:r>
    </w:p>
    <w:p>
      <w:pPr>
        <w:autoSpaceDE w:val="0"/>
        <w:autoSpaceDN w:val="0"/>
        <w:adjustRightInd w:val="0"/>
        <w:spacing w:line="420" w:lineRule="exact"/>
        <w:ind w:firstLine="398" w:firstLineChars="166"/>
        <w:rPr>
          <w:rFonts w:eastAsia="黑体"/>
          <w:kern w:val="0"/>
          <w:szCs w:val="24"/>
        </w:rPr>
      </w:pPr>
      <w:r>
        <w:rPr>
          <w:rFonts w:eastAsia="黑体"/>
          <w:kern w:val="0"/>
          <w:szCs w:val="24"/>
        </w:rPr>
        <w:t>5. 社会对专业的评价</w:t>
      </w:r>
    </w:p>
    <w:p>
      <w:pPr>
        <w:spacing w:line="420" w:lineRule="exact"/>
        <w:ind w:firstLine="398" w:firstLineChars="166"/>
        <w:rPr>
          <w:color w:val="000000" w:themeColor="text1"/>
          <w14:textFill>
            <w14:solidFill>
              <w14:schemeClr w14:val="tx1"/>
            </w14:solidFill>
          </w14:textFill>
        </w:rPr>
      </w:pPr>
      <w:r>
        <w:rPr>
          <w:color w:val="000000" w:themeColor="text1"/>
          <w14:textFill>
            <w14:solidFill>
              <w14:schemeClr w14:val="tx1"/>
            </w14:solidFill>
          </w14:textFill>
        </w:rPr>
        <w:t>2022年，通过电子邮件或座谈会等形式对2018-2022届毕业学生向用人单位发放调查问卷进行跟踪评价调查，期中问卷共发出100份，收回有效调查问卷92份。评价结果显示，超过90%的评价认为本专业毕业生表现较强或很强的基础理论和专业知识、专业知识运用能力、分析理解能力、实践操作能力、解决问题能力、写作能力、表达能力、创造性思维能力、知识结构的广泛性、团队协作能力、社会适应能力和丰富的人文社会学知识。</w:t>
      </w:r>
    </w:p>
    <w:p>
      <w:pPr>
        <w:autoSpaceDE w:val="0"/>
        <w:autoSpaceDN w:val="0"/>
        <w:adjustRightInd w:val="0"/>
        <w:spacing w:line="420" w:lineRule="exact"/>
        <w:ind w:firstLine="398" w:firstLineChars="166"/>
        <w:rPr>
          <w:rFonts w:eastAsia="黑体"/>
          <w:kern w:val="0"/>
          <w:szCs w:val="24"/>
        </w:rPr>
      </w:pPr>
      <w:r>
        <w:rPr>
          <w:rFonts w:eastAsia="黑体"/>
          <w:kern w:val="0"/>
          <w:szCs w:val="24"/>
        </w:rPr>
        <w:t>6. 学生就读该专业的意愿</w:t>
      </w:r>
    </w:p>
    <w:p>
      <w:pPr>
        <w:spacing w:line="420" w:lineRule="exact"/>
        <w:ind w:firstLine="398" w:firstLineChars="166"/>
        <w:rPr>
          <w:color w:val="000000" w:themeColor="text1"/>
          <w14:textFill>
            <w14:solidFill>
              <w14:schemeClr w14:val="tx1"/>
            </w14:solidFill>
          </w14:textFill>
        </w:rPr>
      </w:pPr>
      <w:r>
        <w:rPr>
          <w:color w:val="000000" w:themeColor="text1"/>
          <w14:textFill>
            <w14:solidFill>
              <w14:schemeClr w14:val="tx1"/>
            </w14:solidFill>
          </w14:textFill>
        </w:rPr>
        <w:t>2022年，生物工程专业面向省内和省外（安徽、江苏、浙江等18个省市）计划招生60人，实际录取60人，一次录取率达100%；实际报到60人，报到率100%。</w:t>
      </w:r>
    </w:p>
    <w:p>
      <w:pPr>
        <w:pStyle w:val="5"/>
        <w:spacing w:before="93" w:after="93"/>
        <w:ind w:firstLine="560"/>
      </w:pPr>
      <w:r>
        <w:t>六、毕业生就业创业</w:t>
      </w:r>
    </w:p>
    <w:p>
      <w:pPr>
        <w:spacing w:line="420" w:lineRule="exact"/>
        <w:ind w:firstLine="398" w:firstLineChars="166"/>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学院高度重视毕业生的就业创业工作，设立了学生就业指导与服务中心，由专职人员负责就业市场开拓、就业指导与咨询，采取各种措施推进学生的就业创业。</w:t>
      </w:r>
    </w:p>
    <w:p>
      <w:pPr>
        <w:autoSpaceDE w:val="0"/>
        <w:autoSpaceDN w:val="0"/>
        <w:adjustRightInd w:val="0"/>
        <w:spacing w:line="420" w:lineRule="exact"/>
        <w:ind w:firstLine="398" w:firstLineChars="166"/>
        <w:rPr>
          <w:rFonts w:eastAsia="黑体"/>
          <w:kern w:val="0"/>
          <w:szCs w:val="24"/>
        </w:rPr>
      </w:pPr>
      <w:r>
        <w:rPr>
          <w:rFonts w:eastAsia="黑体"/>
          <w:kern w:val="0"/>
          <w:szCs w:val="24"/>
        </w:rPr>
        <w:t>1. 加强校企合作，实现学院与企业之间的深度合作</w:t>
      </w:r>
    </w:p>
    <w:p>
      <w:pPr>
        <w:spacing w:line="420" w:lineRule="exact"/>
        <w:ind w:firstLine="398" w:firstLineChars="166"/>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学院进一步加强校企合作力度，建立了一批与生物产业紧密相关的大学生就业创业实践基地。同时主动加强了与生物类、食品类、制药类、畜牧类省内外企业的联系，参加校园招聘就业专场和校园就业招聘会的单位累计达百余家（图4），为学生提供1000多个用工岗位和招聘信息，实现供求比例大于15:1，极大地满足了生物类人才的求职需求。</w:t>
      </w:r>
    </w:p>
    <w:p>
      <w:pPr>
        <w:spacing w:line="240" w:lineRule="auto"/>
        <w:jc w:val="center"/>
        <w:rPr>
          <w:rFonts w:eastAsiaTheme="minorEastAsia"/>
          <w:b/>
          <w:bCs/>
          <w:color w:val="000000" w:themeColor="text1"/>
          <w:szCs w:val="24"/>
          <w14:textFill>
            <w14:solidFill>
              <w14:schemeClr w14:val="tx1"/>
            </w14:solidFill>
          </w14:textFill>
        </w:rPr>
      </w:pPr>
      <w:r>
        <w:rPr>
          <w:b/>
          <w:bCs/>
        </w:rPr>
        <w:drawing>
          <wp:inline distT="0" distB="0" distL="0" distR="0">
            <wp:extent cx="4919980" cy="1794510"/>
            <wp:effectExtent l="0" t="0" r="13970" b="1524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22"/>
                    <a:stretch>
                      <a:fillRect/>
                    </a:stretch>
                  </pic:blipFill>
                  <pic:spPr>
                    <a:xfrm>
                      <a:off x="0" y="0"/>
                      <a:ext cx="4919980" cy="1794510"/>
                    </a:xfrm>
                    <a:prstGeom prst="rect">
                      <a:avLst/>
                    </a:prstGeom>
                  </pic:spPr>
                </pic:pic>
              </a:graphicData>
            </a:graphic>
          </wp:inline>
        </w:drawing>
      </w:r>
    </w:p>
    <w:p>
      <w:pPr>
        <w:spacing w:line="420" w:lineRule="exact"/>
        <w:jc w:val="center"/>
        <w:rPr>
          <w:rFonts w:eastAsiaTheme="minorEastAsia"/>
          <w:b/>
          <w:bCs/>
          <w:color w:val="000000" w:themeColor="text1"/>
          <w:sz w:val="21"/>
          <w:szCs w:val="24"/>
          <w14:textFill>
            <w14:solidFill>
              <w14:schemeClr w14:val="tx1"/>
            </w14:solidFill>
          </w14:textFill>
        </w:rPr>
      </w:pPr>
      <w:r>
        <w:rPr>
          <w:rFonts w:eastAsiaTheme="minorEastAsia"/>
          <w:b/>
          <w:bCs/>
          <w:color w:val="000000" w:themeColor="text1"/>
          <w:sz w:val="21"/>
          <w:szCs w:val="24"/>
          <w14:textFill>
            <w14:solidFill>
              <w14:schemeClr w14:val="tx1"/>
            </w14:solidFill>
          </w14:textFill>
        </w:rPr>
        <w:t>图4 积极组织校园招聘就业专场</w:t>
      </w:r>
    </w:p>
    <w:p>
      <w:pPr>
        <w:autoSpaceDE w:val="0"/>
        <w:autoSpaceDN w:val="0"/>
        <w:adjustRightInd w:val="0"/>
        <w:ind w:firstLine="480" w:firstLineChars="200"/>
        <w:rPr>
          <w:rFonts w:eastAsia="黑体"/>
          <w:kern w:val="0"/>
          <w:szCs w:val="24"/>
        </w:rPr>
      </w:pPr>
      <w:r>
        <w:rPr>
          <w:rFonts w:eastAsia="黑体"/>
          <w:kern w:val="0"/>
          <w:szCs w:val="24"/>
        </w:rPr>
        <w:t>2. 开展系列创新创业论坛，依据学生选择，分类管理，实施个性化指导</w:t>
      </w:r>
    </w:p>
    <w:p>
      <w:pPr>
        <w:ind w:firstLine="480" w:firstLineChars="200"/>
        <w:rPr>
          <w:rFonts w:eastAsiaTheme="minorEastAsia"/>
          <w:color w:val="000000" w:themeColor="text1"/>
          <w:szCs w:val="24"/>
          <w14:textFill>
            <w14:solidFill>
              <w14:schemeClr w14:val="tx1"/>
            </w14:solidFill>
          </w14:textFill>
        </w:rPr>
      </w:pPr>
      <w:r>
        <w:rPr>
          <w:rFonts w:eastAsiaTheme="minorEastAsia"/>
          <w:color w:val="000000" w:themeColor="text1"/>
          <w:szCs w:val="24"/>
          <w14:textFill>
            <w14:solidFill>
              <w14:schemeClr w14:val="tx1"/>
            </w14:solidFill>
          </w14:textFill>
        </w:rPr>
        <w:t>将大学本科教育结合相应的职业技能训练，增加一些实用性的课程。对生物科学专业而言，对准备继续深造的学生增设发育生物学、分子生物学和信息生物学等课程，对于准备就业的学生设置相关行业的课程。进入大四阶段，学院即安排就业辅导员对毕业生进行初步就业摸排，对考研、就业等意向进行逐一摸排，并形成班级分析报告。在摸排基础上，学院按照</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明确目标、突出重点、分步实施、分类指导</w:t>
      </w:r>
      <w:r>
        <w:rPr>
          <w:rFonts w:hint="eastAsia" w:eastAsiaTheme="minorEastAsia"/>
          <w:color w:val="000000" w:themeColor="text1"/>
          <w:szCs w:val="24"/>
          <w14:textFill>
            <w14:solidFill>
              <w14:schemeClr w14:val="tx1"/>
            </w14:solidFill>
          </w14:textFill>
        </w:rPr>
        <w:t>”</w:t>
      </w:r>
      <w:r>
        <w:rPr>
          <w:rFonts w:eastAsiaTheme="minorEastAsia"/>
          <w:color w:val="000000" w:themeColor="text1"/>
          <w:szCs w:val="24"/>
          <w14:textFill>
            <w14:solidFill>
              <w14:schemeClr w14:val="tx1"/>
            </w14:solidFill>
          </w14:textFill>
        </w:rPr>
        <w:t>的原则，有针对性地开展内容丰富、形式多样且实效性强的系列创新创业论坛。2022年度，学院先后邀请鲁南制药、凯莱英生物、科兴生物、维亚生物等企业的相关负责人在线为毕业生开展以客观认识就业形势、进一步转变就业观念为目的的指导讲座，重点抓好择业观、就业诚信教育和云择业技巧培训。</w:t>
      </w:r>
    </w:p>
    <w:p>
      <w:pPr>
        <w:autoSpaceDE w:val="0"/>
        <w:autoSpaceDN w:val="0"/>
        <w:adjustRightInd w:val="0"/>
        <w:ind w:firstLine="480" w:firstLineChars="200"/>
        <w:rPr>
          <w:rFonts w:eastAsia="黑体"/>
          <w:kern w:val="0"/>
          <w:szCs w:val="24"/>
        </w:rPr>
      </w:pPr>
      <w:r>
        <w:rPr>
          <w:rFonts w:eastAsia="黑体"/>
          <w:kern w:val="0"/>
          <w:szCs w:val="24"/>
        </w:rPr>
        <w:t>3. 发挥专业教师作用，全员参与就业</w:t>
      </w:r>
    </w:p>
    <w:p>
      <w:pPr>
        <w:ind w:firstLine="480" w:firstLineChars="200"/>
      </w:pPr>
      <w:r>
        <w:rPr>
          <w:rFonts w:eastAsiaTheme="minorEastAsia"/>
          <w:color w:val="000000" w:themeColor="text1"/>
          <w:szCs w:val="24"/>
          <w14:textFill>
            <w14:solidFill>
              <w14:schemeClr w14:val="tx1"/>
            </w14:solidFill>
          </w14:textFill>
        </w:rPr>
        <w:t>专业教师根据自己在教学科研中与企业的联系，积极为毕业生提供专业实践和实习岗位，通过实践促进就业。并邀请企业参加学校的在线招聘会和专场招聘，为毕业生提供就业岗位。此外，专业教师通过长期跟企业联系，熟悉企业对毕业生的需求和对毕业生综合素质的要求，把这些信息传递给毕业生，指导毕业生就业工作，积极传授毕业生如何主动就业之道。学院上下形成了领导、辅导员、专业教师三位一体的就业指导工作联动体系，充分发挥专业教师的就业指导作用。教师不仅讲授专业知识，而且传授职业发展素质修养，介绍本学科领域最新发展趋势及职业优势，引导毕业生合理定位自身职业，通过言传身教方式引导毕业生求职就业。</w:t>
      </w:r>
    </w:p>
    <w:p>
      <w:pPr>
        <w:pStyle w:val="5"/>
        <w:spacing w:before="93" w:after="93"/>
        <w:ind w:firstLine="560"/>
      </w:pPr>
      <w:r>
        <w:t>七、专业人才社会需求分析及专业发展趋势分析</w:t>
      </w:r>
    </w:p>
    <w:p>
      <w:pPr>
        <w:ind w:firstLine="480" w:firstLineChars="200"/>
        <w:rPr>
          <w:rFonts w:eastAsiaTheme="minorEastAsia"/>
          <w:szCs w:val="24"/>
        </w:rPr>
      </w:pPr>
      <w:r>
        <w:rPr>
          <w:rFonts w:eastAsiaTheme="minorEastAsia"/>
          <w:szCs w:val="24"/>
        </w:rPr>
        <w:t>生物科技的重大突破催生了生物产业，生物产业对克服经济社会发展瓶颈制约，全面建成小康社会具有重大战略意义。近年来，全球范围内生物技术和产业呈现加快发展的态势。我国推动生物产业发展已有30多年的历史，</w:t>
      </w:r>
      <w:r>
        <w:rPr>
          <w:rFonts w:hint="eastAsia" w:eastAsiaTheme="minorEastAsia"/>
          <w:szCs w:val="24"/>
        </w:rPr>
        <w:t>“</w:t>
      </w:r>
      <w:r>
        <w:rPr>
          <w:rFonts w:eastAsiaTheme="minorEastAsia"/>
          <w:szCs w:val="24"/>
        </w:rPr>
        <w:t>十一五</w:t>
      </w:r>
      <w:r>
        <w:rPr>
          <w:rFonts w:hint="eastAsia" w:eastAsiaTheme="minorEastAsia"/>
          <w:szCs w:val="24"/>
        </w:rPr>
        <w:t>”</w:t>
      </w:r>
      <w:r>
        <w:rPr>
          <w:rFonts w:eastAsiaTheme="minorEastAsia"/>
          <w:szCs w:val="24"/>
        </w:rPr>
        <w:t>以来，国务院批准发布了《促进生物产业加快发展的若干政策》和《生物产业发展</w:t>
      </w:r>
      <w:r>
        <w:rPr>
          <w:rFonts w:hint="eastAsia" w:eastAsiaTheme="minorEastAsia"/>
          <w:szCs w:val="24"/>
        </w:rPr>
        <w:t>“</w:t>
      </w:r>
      <w:r>
        <w:rPr>
          <w:rFonts w:eastAsiaTheme="minorEastAsia"/>
          <w:szCs w:val="24"/>
        </w:rPr>
        <w:t>十一五</w:t>
      </w:r>
      <w:r>
        <w:rPr>
          <w:rFonts w:hint="eastAsia" w:eastAsiaTheme="minorEastAsia"/>
          <w:szCs w:val="24"/>
        </w:rPr>
        <w:t>”</w:t>
      </w:r>
      <w:r>
        <w:rPr>
          <w:rFonts w:eastAsiaTheme="minorEastAsia"/>
          <w:szCs w:val="24"/>
        </w:rPr>
        <w:t>规划》，大力推进生物技术研发和创新成果产业化，一批生物科技重大基础设施相继建成，一批关键技术取得突破，一批创新产品得到推广应用，产业化项目大幅增加，生物产业产值以年均22.9%的速度增长。生物农业、生物制造、生物医药、生物能源等产业初具规模，我国在生物技术研发、产业培育和市场应用等方面已初步具备一定基础，我国生物产业逐步形成特色鲜明的产业发展能力，对经济社会发展的贡献作用显著增强，生物产业逐渐发展成为国民经济的支柱产业。</w:t>
      </w:r>
    </w:p>
    <w:p>
      <w:pPr>
        <w:ind w:firstLine="480" w:firstLineChars="200"/>
        <w:rPr>
          <w:rFonts w:eastAsiaTheme="minorEastAsia"/>
          <w:szCs w:val="24"/>
        </w:rPr>
      </w:pPr>
      <w:r>
        <w:rPr>
          <w:rFonts w:eastAsiaTheme="minorEastAsia"/>
          <w:szCs w:val="24"/>
        </w:rPr>
        <w:t>目前我国生物产业主要有生物农业、生物医药、生物制造、生物环保、生物医学工程、生物能源、生物服务七个重点领域。在生物农业领域，紧紧围绕粮食安全、生态改善、农民增收和现代农业发展等重大需求，充分发挥我国丰富的农业生物资源优势，加强生物育种和农用生物制品技术研发能力建设，突破了一批绿色农用生物制品生产关键技术、新工艺和装备，加快了新型生物肥料、生物农药、生物饲料等农用生物制品的产业化。加速开发了生物菌种新资源。</w:t>
      </w:r>
    </w:p>
    <w:p>
      <w:pPr>
        <w:ind w:firstLine="480" w:firstLineChars="200"/>
        <w:rPr>
          <w:rFonts w:eastAsiaTheme="minorEastAsia"/>
          <w:szCs w:val="24"/>
        </w:rPr>
      </w:pPr>
      <w:r>
        <w:rPr>
          <w:rFonts w:eastAsiaTheme="minorEastAsia"/>
          <w:szCs w:val="24"/>
        </w:rPr>
        <w:t>虽然我国的生物产业取得了长足的发展，但总体上仍处于中低端，存在科研与产业结合不紧密、缺乏原创性技术、缺乏核心竞争力和创新活力等问题。无论基础研究还是产业化程度都与生物技术强国有着较大差距。</w:t>
      </w:r>
    </w:p>
    <w:p>
      <w:pPr>
        <w:ind w:firstLine="480" w:firstLineChars="200"/>
        <w:rPr>
          <w:rFonts w:eastAsiaTheme="minorEastAsia"/>
          <w:szCs w:val="24"/>
        </w:rPr>
      </w:pPr>
      <w:r>
        <w:rPr>
          <w:rFonts w:eastAsiaTheme="minorEastAsia"/>
          <w:szCs w:val="24"/>
        </w:rPr>
        <w:t>基于生物技术的现代生物工程产业作为一个正在崛起的主导性产业，已成为产业结构调整的战略重点和新的经济增长点，并将成为我国赶超世界发达国家生产力水平，实现跨越式发展最有前途、最有希望的领域之一。随着我国生物产业快速发展和综合性大学建设的设想，近年来，众多高校纷纷开设了生物工程专业，除了工科院校，不乏综合院校、农业院校、理科类院校等等。但应用型生物工程技术人才培养与传统生物产业转型升级和现代生物产业快速发展的需求极不匹配、人才缺口依然很大，尤其是生物农业领域。</w:t>
      </w:r>
    </w:p>
    <w:p>
      <w:pPr>
        <w:pStyle w:val="5"/>
        <w:spacing w:before="93" w:after="93"/>
        <w:ind w:firstLine="560"/>
      </w:pPr>
      <w:r>
        <w:t>八、存在的问题和拟采取的对策措施</w:t>
      </w:r>
    </w:p>
    <w:p>
      <w:pPr>
        <w:autoSpaceDE w:val="0"/>
        <w:autoSpaceDN w:val="0"/>
        <w:adjustRightInd w:val="0"/>
        <w:ind w:firstLine="480" w:firstLineChars="200"/>
        <w:rPr>
          <w:rFonts w:eastAsia="黑体"/>
          <w:kern w:val="0"/>
          <w:szCs w:val="24"/>
        </w:rPr>
      </w:pPr>
      <w:r>
        <w:rPr>
          <w:rFonts w:eastAsia="黑体"/>
          <w:kern w:val="0"/>
          <w:szCs w:val="24"/>
        </w:rPr>
        <w:t>1. 加大经费投入</w:t>
      </w:r>
    </w:p>
    <w:p>
      <w:pPr>
        <w:ind w:firstLine="480" w:firstLineChars="200"/>
        <w:rPr>
          <w:rFonts w:eastAsiaTheme="minorEastAsia"/>
          <w:szCs w:val="24"/>
        </w:rPr>
      </w:pPr>
      <w:r>
        <w:rPr>
          <w:rFonts w:eastAsiaTheme="minorEastAsia"/>
          <w:szCs w:val="24"/>
        </w:rPr>
        <w:t>尽管近年来，学院和学校在专业建设中通过名校工程建设等项目给予了前所未有的经费支持，但是与实际发展需求仍然存在较大差距。虽然2016获批山东省高水平应用型立项建设专业，2020年成为山东省一流专业建设专业，但与其他专业相比存在较大差距。本科教学实验设备和仪器需要更新，本科教学实验室使用频率增加，实用面积明显紧张，这些都会严重制约该专业的发展，进而影响学科学院的发展。随着国家大力推进生物工程技术研发和创新成果产业化，社会对具有创新性和实用性的生物工程专业技术人才的需求越来越迫切，所以必需加强学生的实践能力培养。通过经费的投入，使专业实验室按功能可以明确划分为微生物学实验技术实验室，生物发酵工程实验室，固体发酵实验室，生物分离工程实验室和生物产品质量检测实验室等，为培养创新型人才创造良好的硬件条件。</w:t>
      </w:r>
    </w:p>
    <w:p>
      <w:pPr>
        <w:autoSpaceDE w:val="0"/>
        <w:autoSpaceDN w:val="0"/>
        <w:adjustRightInd w:val="0"/>
        <w:ind w:firstLine="480" w:firstLineChars="200"/>
        <w:rPr>
          <w:rFonts w:eastAsia="黑体"/>
          <w:kern w:val="0"/>
          <w:szCs w:val="24"/>
        </w:rPr>
      </w:pPr>
      <w:r>
        <w:rPr>
          <w:rFonts w:eastAsia="黑体"/>
          <w:kern w:val="0"/>
          <w:szCs w:val="24"/>
        </w:rPr>
        <w:t>2. 优化师资力量</w:t>
      </w:r>
    </w:p>
    <w:p>
      <w:pPr>
        <w:ind w:firstLine="480" w:firstLineChars="200"/>
        <w:rPr>
          <w:rFonts w:eastAsiaTheme="minorEastAsia"/>
          <w:szCs w:val="24"/>
        </w:rPr>
      </w:pPr>
      <w:r>
        <w:rPr>
          <w:rFonts w:eastAsiaTheme="minorEastAsia"/>
          <w:szCs w:val="24"/>
        </w:rPr>
        <w:t>师资力量期待进一步优化，加强相关工科专业的优秀青年教师的引进和高水平带头人的引进。生物工程专业是个实用性较强的专业，鼓励教师不断提高业务水平，增强实践技能，更好地实现服务农业服务社会；目前实际情况却是多数老师尤其是年轻教师困于大量的课堂教学任务，没有足够的时间和精力进行教学改革，投入到科研中的精力明显不够，所以需要稳步引进青年教师，不断合理分配教学任务，让教师有时间和精力进行教研改革和科学研究。</w:t>
      </w:r>
    </w:p>
    <w:p>
      <w:pPr>
        <w:autoSpaceDE w:val="0"/>
        <w:autoSpaceDN w:val="0"/>
        <w:adjustRightInd w:val="0"/>
        <w:ind w:firstLine="480" w:firstLineChars="200"/>
        <w:rPr>
          <w:rFonts w:eastAsia="黑体"/>
          <w:kern w:val="0"/>
          <w:szCs w:val="24"/>
        </w:rPr>
      </w:pPr>
      <w:r>
        <w:rPr>
          <w:rFonts w:eastAsia="黑体"/>
          <w:kern w:val="0"/>
          <w:szCs w:val="24"/>
        </w:rPr>
        <w:t>3. 调整课程设置</w:t>
      </w:r>
    </w:p>
    <w:p>
      <w:pPr>
        <w:ind w:firstLine="480" w:firstLineChars="200"/>
        <w:rPr>
          <w:rFonts w:eastAsiaTheme="minorEastAsia"/>
          <w:szCs w:val="24"/>
        </w:rPr>
      </w:pPr>
      <w:r>
        <w:rPr>
          <w:rFonts w:eastAsiaTheme="minorEastAsia"/>
          <w:szCs w:val="24"/>
        </w:rPr>
        <w:t>我校生物工程专业是由原来微生物工程专科专业调整而来，背景偏理，工科基础薄弱，存在重理轻工现象，致使生物工程专业在课程体系上存在上下游技术结合不够紧密、学研产环节薄弱甚至脱节的情况，影响了生物工程专业教学目标的实现和综合型人才的培养。</w:t>
      </w:r>
    </w:p>
    <w:p>
      <w:pPr>
        <w:autoSpaceDE w:val="0"/>
        <w:autoSpaceDN w:val="0"/>
        <w:adjustRightInd w:val="0"/>
        <w:ind w:firstLine="480" w:firstLineChars="200"/>
        <w:rPr>
          <w:rFonts w:eastAsia="黑体"/>
          <w:kern w:val="0"/>
          <w:szCs w:val="24"/>
        </w:rPr>
      </w:pPr>
      <w:r>
        <w:rPr>
          <w:rFonts w:eastAsia="黑体"/>
          <w:kern w:val="0"/>
          <w:szCs w:val="24"/>
        </w:rPr>
        <w:t>4. 加强教材建设</w:t>
      </w:r>
    </w:p>
    <w:p>
      <w:pPr>
        <w:ind w:firstLine="480" w:firstLineChars="200"/>
        <w:rPr>
          <w:rFonts w:eastAsiaTheme="minorEastAsia"/>
          <w:szCs w:val="24"/>
        </w:rPr>
      </w:pPr>
      <w:r>
        <w:rPr>
          <w:rFonts w:eastAsiaTheme="minorEastAsia"/>
          <w:szCs w:val="24"/>
        </w:rPr>
        <w:t>在教学过程中，存在下列问题①教材编写面面俱到：各教材为了强调它的理论性和系统性，知识点覆盖面不断加宽，教师把握教材的难度明显加大。②知识点重复与漏洞现象并存：专业课程知识分割过细，没有从课程体系整体考虑。③工程实践类教材奇缺。</w:t>
      </w:r>
    </w:p>
    <w:p>
      <w:pPr>
        <w:ind w:firstLine="480" w:firstLineChars="200"/>
        <w:rPr>
          <w:rFonts w:eastAsiaTheme="minorEastAsia"/>
          <w:szCs w:val="24"/>
        </w:rPr>
      </w:pPr>
      <w:r>
        <w:rPr>
          <w:rFonts w:eastAsiaTheme="minorEastAsia"/>
          <w:szCs w:val="24"/>
        </w:rPr>
        <w:t xml:space="preserve">针对这种现象，主张选用教育部 </w:t>
      </w:r>
      <w:r>
        <w:rPr>
          <w:rFonts w:hint="eastAsia" w:eastAsiaTheme="minorEastAsia"/>
          <w:szCs w:val="24"/>
        </w:rPr>
        <w:t>“</w:t>
      </w:r>
      <w:r>
        <w:rPr>
          <w:rFonts w:eastAsiaTheme="minorEastAsia"/>
          <w:szCs w:val="24"/>
        </w:rPr>
        <w:t>十三五</w:t>
      </w:r>
      <w:r>
        <w:rPr>
          <w:rFonts w:hint="eastAsia" w:eastAsiaTheme="minorEastAsia"/>
          <w:szCs w:val="24"/>
        </w:rPr>
        <w:t>”</w:t>
      </w:r>
      <w:r>
        <w:rPr>
          <w:rFonts w:eastAsiaTheme="minorEastAsia"/>
          <w:szCs w:val="24"/>
        </w:rPr>
        <w:t>规划教材或面向21世纪课程教材与鼓励自编出版教材相结合。教材选择和授课内容上需要适应学科的发展动态，在教学大纲的编写环节明确学科教学内容，全面梳理专业知识点，并在此基础上编写适合专业特色的教材体系，避免教材间的过多重复，提升教学质量。统一规划授课内容，可以通过教师例会等形式，将各课程体系中重复的环节适当删减，在保证学生知识体系完整的基础上，使课堂内容精简有致。</w:t>
      </w:r>
    </w:p>
    <w:p>
      <w:r>
        <w:br w:type="page"/>
      </w:r>
    </w:p>
    <w:p>
      <w:pPr>
        <w:pStyle w:val="4"/>
        <w:ind w:firstLine="600"/>
      </w:pPr>
      <w:bookmarkStart w:id="518" w:name="_Toc7416"/>
      <w:bookmarkStart w:id="519" w:name="_Toc16563"/>
      <w:bookmarkStart w:id="520" w:name="_Toc31125"/>
      <w:bookmarkStart w:id="521" w:name="_Toc11238"/>
      <w:r>
        <w:t>专业五十：英语</w:t>
      </w:r>
      <w:bookmarkEnd w:id="518"/>
      <w:bookmarkEnd w:id="519"/>
      <w:bookmarkEnd w:id="520"/>
      <w:bookmarkEnd w:id="521"/>
    </w:p>
    <w:p>
      <w:pPr>
        <w:pStyle w:val="5"/>
        <w:spacing w:before="93" w:after="93"/>
        <w:ind w:firstLine="560"/>
      </w:pPr>
      <w:r>
        <w:t>一、人才培养目标</w:t>
      </w:r>
    </w:p>
    <w:p>
      <w:pPr>
        <w:ind w:firstLine="480"/>
      </w:pPr>
      <w:r>
        <w:t>本专业旨在培养具有中国情怀与国际视野，正确的世界观、人生观和价值观，具备良好的道德品质、强烈的社会责任感；具备良好的人文与科学素养，能够掌握并应用现代信息技术；具有扎实的英语听、说、读、写、译基本功，英语语言学、文学、翻译、比较文学与跨文化、国别与区域研究等专业基础知识及必要的科技、商务、外语教育教学等相关学科知识；具有较强英语综合运用能力、文学赏析能力、跨文化交际能力、思辨能力及一定的科研能力，能够熟练使用英语在政府、新闻、文化、教育、商务、农业等领域从事涉外、管理、教学、科研等工作的英语专业型与创新型人才。</w:t>
      </w:r>
    </w:p>
    <w:p>
      <w:pPr>
        <w:pStyle w:val="5"/>
        <w:spacing w:before="93" w:after="93"/>
        <w:ind w:firstLine="560"/>
      </w:pPr>
      <w:r>
        <w:t xml:space="preserve">二、培养能力 </w:t>
      </w:r>
    </w:p>
    <w:p>
      <w:pPr>
        <w:pStyle w:val="7"/>
        <w:ind w:firstLine="480"/>
      </w:pPr>
      <w:r>
        <w:t>1.专业设置情况</w:t>
      </w:r>
    </w:p>
    <w:p>
      <w:pPr>
        <w:ind w:firstLine="480"/>
      </w:pPr>
      <w:r>
        <w:t>英语专业现为省级一流本科专业建设点，专业设置于1999年8月，2000年开始本科招生，2003获得外国语言学及应用语言学硕士学位授予权，并于2004年开始招生。本专业于2003和2005年被分别评为校级重点学科和学校</w:t>
      </w:r>
      <w:r>
        <w:rPr>
          <w:rFonts w:hint="eastAsia"/>
        </w:rPr>
        <w:t>“</w:t>
      </w:r>
      <w:r>
        <w:t>特色专业</w:t>
      </w:r>
      <w:r>
        <w:rPr>
          <w:rFonts w:hint="eastAsia"/>
        </w:rPr>
        <w:t>”</w:t>
      </w:r>
      <w:r>
        <w:t>；2006年以</w:t>
      </w:r>
      <w:r>
        <w:rPr>
          <w:rFonts w:hint="eastAsia"/>
        </w:rPr>
        <w:t>“</w:t>
      </w:r>
      <w:r>
        <w:t>良好</w:t>
      </w:r>
      <w:r>
        <w:rPr>
          <w:rFonts w:hint="eastAsia"/>
        </w:rPr>
        <w:t>”</w:t>
      </w:r>
      <w:r>
        <w:t>成绩通过国家教育部英语本科专业教学水平评估，为山东省首批通过国家专业评估的四所高校之一；2013年入选</w:t>
      </w:r>
      <w:r>
        <w:rPr>
          <w:rFonts w:hint="eastAsia"/>
        </w:rPr>
        <w:t>“</w:t>
      </w:r>
      <w:r>
        <w:t>山东省高等教育名校建设工程</w:t>
      </w:r>
      <w:r>
        <w:rPr>
          <w:rFonts w:hint="eastAsia"/>
        </w:rPr>
        <w:t>”</w:t>
      </w:r>
      <w:r>
        <w:t>校重点支持专业；2014年成为全国首批通过教育部本科教学审核性评估的专业，同年入选山东省专业分类拨款试点高校A类专业；2020年有两门课程被评为第一批省级一流建设课程；2021年获批山东省一流本科专业建设点，并于同年获批翻译硕士专业学位授权点。</w:t>
      </w:r>
    </w:p>
    <w:p>
      <w:pPr>
        <w:pStyle w:val="7"/>
        <w:ind w:firstLine="480"/>
      </w:pPr>
      <w:r>
        <w:t>2.在校生规模</w:t>
      </w:r>
    </w:p>
    <w:p>
      <w:pPr>
        <w:spacing w:line="360" w:lineRule="auto"/>
        <w:ind w:firstLine="480"/>
        <w:rPr>
          <w:bCs/>
        </w:rPr>
      </w:pPr>
      <w:r>
        <w:rPr>
          <w:bCs/>
        </w:rPr>
        <w:t>英语专业是我校外语学院传统优势专业，目前在校生人数566人，各年级在校生数见</w:t>
      </w:r>
      <w:r>
        <w:rPr>
          <w:bCs/>
        </w:rPr>
        <w:fldChar w:fldCharType="begin"/>
      </w:r>
      <w:r>
        <w:rPr>
          <w:bCs/>
        </w:rPr>
        <w:instrText xml:space="preserve"> REF _Ref118188788 \h </w:instrText>
      </w:r>
      <w:r>
        <w:rPr>
          <w:bCs/>
        </w:rPr>
        <w:fldChar w:fldCharType="separate"/>
      </w:r>
      <w:r>
        <w:t>图1</w:t>
      </w:r>
      <w:r>
        <w:rPr>
          <w:bCs/>
        </w:rPr>
        <w:fldChar w:fldCharType="end"/>
      </w:r>
      <w:r>
        <w:rPr>
          <w:bCs/>
        </w:rPr>
        <w:t>。</w:t>
      </w:r>
    </w:p>
    <w:p>
      <w:pPr>
        <w:spacing w:line="240" w:lineRule="auto"/>
        <w:jc w:val="center"/>
      </w:pPr>
      <w:r>
        <w:drawing>
          <wp:inline distT="0" distB="0" distL="0" distR="0">
            <wp:extent cx="4526915" cy="2466340"/>
            <wp:effectExtent l="0" t="0" r="6985" b="1016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4526915" cy="2466340"/>
                    </a:xfrm>
                    <a:prstGeom prst="rect">
                      <a:avLst/>
                    </a:prstGeom>
                    <a:noFill/>
                  </pic:spPr>
                </pic:pic>
              </a:graphicData>
            </a:graphic>
          </wp:inline>
        </w:drawing>
      </w:r>
    </w:p>
    <w:p>
      <w:pPr>
        <w:pStyle w:val="8"/>
        <w:spacing w:line="240" w:lineRule="auto"/>
        <w:jc w:val="center"/>
        <w:rPr>
          <w:rFonts w:ascii="Times New Roman" w:hAnsi="Times New Roman" w:eastAsia="宋体" w:cs="Times New Roman"/>
          <w:b/>
          <w:bCs/>
          <w:sz w:val="21"/>
          <w:szCs w:val="21"/>
        </w:rPr>
      </w:pPr>
      <w:bookmarkStart w:id="522" w:name="_Ref118188788"/>
      <w:r>
        <w:rPr>
          <w:rFonts w:ascii="Times New Roman" w:hAnsi="Times New Roman" w:eastAsia="宋体" w:cs="Times New Roman"/>
          <w:b/>
          <w:bCs/>
          <w:sz w:val="21"/>
          <w:szCs w:val="21"/>
        </w:rPr>
        <w:t>图</w:t>
      </w:r>
      <w:r>
        <w:rPr>
          <w:rFonts w:ascii="Times New Roman" w:hAnsi="Times New Roman" w:eastAsia="宋体" w:cs="Times New Roman"/>
          <w:b/>
          <w:bCs/>
          <w:sz w:val="21"/>
          <w:szCs w:val="21"/>
        </w:rPr>
        <w:fldChar w:fldCharType="begin"/>
      </w:r>
      <w:r>
        <w:rPr>
          <w:rFonts w:ascii="Times New Roman" w:hAnsi="Times New Roman" w:eastAsia="宋体" w:cs="Times New Roman"/>
          <w:b/>
          <w:bCs/>
          <w:sz w:val="21"/>
          <w:szCs w:val="21"/>
        </w:rPr>
        <w:instrText xml:space="preserve"> SEQ 图 \* ARABIC </w:instrText>
      </w:r>
      <w:r>
        <w:rPr>
          <w:rFonts w:ascii="Times New Roman" w:hAnsi="Times New Roman" w:eastAsia="宋体" w:cs="Times New Roman"/>
          <w:b/>
          <w:bCs/>
          <w:sz w:val="21"/>
          <w:szCs w:val="21"/>
        </w:rPr>
        <w:fldChar w:fldCharType="separate"/>
      </w:r>
      <w:r>
        <w:rPr>
          <w:rFonts w:ascii="Times New Roman" w:hAnsi="Times New Roman" w:eastAsia="宋体" w:cs="Times New Roman"/>
          <w:b/>
          <w:bCs/>
          <w:sz w:val="21"/>
          <w:szCs w:val="21"/>
        </w:rPr>
        <w:t>1</w:t>
      </w:r>
      <w:r>
        <w:rPr>
          <w:rFonts w:ascii="Times New Roman" w:hAnsi="Times New Roman" w:eastAsia="宋体" w:cs="Times New Roman"/>
          <w:b/>
          <w:bCs/>
          <w:sz w:val="21"/>
          <w:szCs w:val="21"/>
        </w:rPr>
        <w:fldChar w:fldCharType="end"/>
      </w:r>
      <w:bookmarkEnd w:id="522"/>
      <w:r>
        <w:rPr>
          <w:rFonts w:ascii="Times New Roman" w:hAnsi="Times New Roman" w:eastAsia="宋体" w:cs="Times New Roman"/>
          <w:b/>
          <w:bCs/>
          <w:sz w:val="21"/>
          <w:szCs w:val="21"/>
        </w:rPr>
        <w:t>：英语专业分年级在校生数</w:t>
      </w:r>
    </w:p>
    <w:p>
      <w:pPr>
        <w:pStyle w:val="7"/>
        <w:ind w:firstLine="480"/>
      </w:pPr>
      <w:r>
        <w:t>3.课程设置情况</w:t>
      </w:r>
    </w:p>
    <w:p>
      <w:pPr>
        <w:ind w:firstLine="480"/>
      </w:pPr>
      <w:r>
        <w:t>英语专业主干学科为英语语言文学，除学校统一安排的通识必修课和通识选修课外，设有学科基础课、专业核心课和专业方向课。除理论课程外，还设有8个专业实践环节和创新创业实践、毕业实习及报告和毕业论文综合实践环节，为培养学生英语应用能力以及综合运用专业知识进行分析问题和解决问题的能力提供了保障。</w:t>
      </w:r>
    </w:p>
    <w:p>
      <w:pPr>
        <w:ind w:firstLine="480"/>
      </w:pPr>
      <w:r>
        <w:t>（一）学科基础课</w:t>
      </w:r>
    </w:p>
    <w:p>
      <w:pPr>
        <w:ind w:firstLine="480"/>
      </w:pPr>
      <w:r>
        <w:t>英语语音、综合英语、英语语法、英语视听说、英语口语、英语演讲与辩论、英语阅读、英语写作、高级英语、中国文化概要、研究方法与学术写作。</w:t>
      </w:r>
    </w:p>
    <w:p>
      <w:pPr>
        <w:ind w:firstLine="480"/>
      </w:pPr>
      <w:r>
        <w:t>（二）专业核心课</w:t>
      </w:r>
    </w:p>
    <w:p>
      <w:pPr>
        <w:ind w:firstLine="480"/>
      </w:pPr>
      <w:r>
        <w:t>西方文明史、英语文学导论、英汉/汉英笔译、英汉/汉英口译、语言学导论、跨文化交际。</w:t>
      </w:r>
    </w:p>
    <w:p>
      <w:pPr>
        <w:ind w:firstLine="480"/>
      </w:pPr>
      <w:r>
        <w:t>（三）专业方向课</w:t>
      </w:r>
    </w:p>
    <w:p>
      <w:pPr>
        <w:ind w:firstLine="480"/>
      </w:pPr>
      <w:r>
        <w:t>英汉/汉英笔译技能训练、翻译简史、翻译理论与实践、中国文化外译、计算机辅助翻译、商务英语口译、同声传译、语料库翻译学、应用翻译、文学翻译、英语国家社会与文化、英语史、英汉语言对比、英美文学讲座（慕课）、语料库技术及应用、SPSS原理及应用、比较文学导论、语言研究方法论、英语语法进阶、高级英语视听说、国际商务函电与合同、教育心理学、国际商务沟通与礼仪、英语教学理论与实践、二外（日/法/西/俄）</w:t>
      </w:r>
    </w:p>
    <w:p>
      <w:pPr>
        <w:ind w:firstLine="480"/>
      </w:pPr>
      <w:r>
        <w:t>（四）主要实践性教学环节</w:t>
      </w:r>
    </w:p>
    <w:p>
      <w:pPr>
        <w:ind w:firstLine="480"/>
      </w:pPr>
      <w:r>
        <w:t>主要实践教学环节包括基础实践、专业实践和综合实践三个环节。</w:t>
      </w:r>
    </w:p>
    <w:p>
      <w:pPr>
        <w:ind w:firstLine="480"/>
      </w:pPr>
      <w:r>
        <w:t>基础实践环节包括军事技能、劳动实践、体育健康与标准测试、思政社会实践、大学生社会实践。</w:t>
      </w:r>
    </w:p>
    <w:p>
      <w:pPr>
        <w:ind w:firstLine="480"/>
      </w:pPr>
      <w:r>
        <w:t>专业实践环节包括专业认知实习、英语语音训练、英语美文诵读、英语公众演讲、泰山文化宣讲、英语数字人文经典阅读、语言技能综合训练、莎士比亚戏剧表演、笔译实训、口译实训、商务英语实务、科研训练与论文写作。</w:t>
      </w:r>
    </w:p>
    <w:p>
      <w:pPr>
        <w:ind w:firstLine="480"/>
      </w:pPr>
      <w:r>
        <w:t>综合实践环节包括创新创业实践、毕业实习及报告、毕业论文。其中创新创业实践包括学科竞赛、学习兴趣小组、学术社团、创新创业项目等实践活动。毕业论文形式包括学术论文、翻译实践报告。</w:t>
      </w:r>
    </w:p>
    <w:p>
      <w:pPr>
        <w:pStyle w:val="7"/>
        <w:ind w:firstLine="480"/>
      </w:pPr>
      <w:r>
        <w:t>4.创新创业教育</w:t>
      </w:r>
    </w:p>
    <w:p>
      <w:pPr>
        <w:spacing w:line="390" w:lineRule="exact"/>
        <w:ind w:firstLine="480"/>
      </w:pPr>
      <w:r>
        <w:t>学生创新项目全面有序进行，提高了学生创新能力。积极推进SRT工作。为此学院出台了SRT研究的专项文件，鼓励师生积极投入此项工作。近五年中， 2018年6项校级，14项院级课题成功立项；2019年SRT项目国家级立项2项，省级立项5项；2019年1项国家级、3项省级、18项院级课题成功立项；2020年1项国家级、2项省级；2021年1项国家级、6项省级。2021-2022学年英语专业学生主持省级SRT项目见</w:t>
      </w:r>
      <w:r>
        <w:fldChar w:fldCharType="begin"/>
      </w:r>
      <w:r>
        <w:instrText xml:space="preserve"> REF _Ref118191604 \h </w:instrText>
      </w:r>
      <w:r>
        <w:fldChar w:fldCharType="separate"/>
      </w:r>
      <w:r>
        <w:t>表1</w:t>
      </w:r>
      <w:r>
        <w:fldChar w:fldCharType="end"/>
      </w:r>
      <w:r>
        <w:t>。</w:t>
      </w:r>
    </w:p>
    <w:p>
      <w:pPr>
        <w:spacing w:line="390" w:lineRule="exact"/>
        <w:ind w:firstLine="480"/>
      </w:pPr>
    </w:p>
    <w:p>
      <w:pPr>
        <w:widowControl/>
        <w:adjustRightInd w:val="0"/>
        <w:snapToGrid w:val="0"/>
        <w:spacing w:line="240" w:lineRule="auto"/>
        <w:jc w:val="center"/>
        <w:rPr>
          <w:b/>
          <w:bCs/>
          <w:color w:val="000000"/>
          <w:kern w:val="0"/>
          <w:sz w:val="21"/>
          <w:szCs w:val="21"/>
        </w:rPr>
      </w:pPr>
      <w:bookmarkStart w:id="523" w:name="_Ref118191604"/>
      <w:r>
        <w:rPr>
          <w:b/>
          <w:bCs/>
          <w:color w:val="000000"/>
          <w:kern w:val="0"/>
          <w:sz w:val="21"/>
          <w:szCs w:val="21"/>
        </w:rPr>
        <w:t>表</w:t>
      </w:r>
      <w:r>
        <w:rPr>
          <w:b/>
          <w:bCs/>
          <w:color w:val="000000"/>
          <w:kern w:val="0"/>
          <w:sz w:val="21"/>
          <w:szCs w:val="21"/>
        </w:rPr>
        <w:fldChar w:fldCharType="begin"/>
      </w:r>
      <w:r>
        <w:rPr>
          <w:b/>
          <w:bCs/>
          <w:color w:val="000000"/>
          <w:kern w:val="0"/>
          <w:sz w:val="21"/>
          <w:szCs w:val="21"/>
        </w:rPr>
        <w:instrText xml:space="preserve"> SEQ 表 \* ARABIC </w:instrText>
      </w:r>
      <w:r>
        <w:rPr>
          <w:b/>
          <w:bCs/>
          <w:color w:val="000000"/>
          <w:kern w:val="0"/>
          <w:sz w:val="21"/>
          <w:szCs w:val="21"/>
        </w:rPr>
        <w:fldChar w:fldCharType="separate"/>
      </w:r>
      <w:r>
        <w:rPr>
          <w:b/>
          <w:bCs/>
          <w:color w:val="000000"/>
          <w:kern w:val="0"/>
          <w:sz w:val="21"/>
          <w:szCs w:val="21"/>
        </w:rPr>
        <w:t>1</w:t>
      </w:r>
      <w:r>
        <w:rPr>
          <w:b/>
          <w:bCs/>
          <w:color w:val="000000"/>
          <w:kern w:val="0"/>
          <w:sz w:val="21"/>
          <w:szCs w:val="21"/>
        </w:rPr>
        <w:fldChar w:fldCharType="end"/>
      </w:r>
      <w:bookmarkEnd w:id="523"/>
      <w:r>
        <w:rPr>
          <w:b/>
          <w:bCs/>
          <w:color w:val="000000"/>
          <w:kern w:val="0"/>
          <w:sz w:val="21"/>
          <w:szCs w:val="21"/>
        </w:rPr>
        <w:t xml:space="preserve"> 2021-2022学年英语专业学生主持省级SRT项目汇总表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4"/>
        <w:gridCol w:w="3819"/>
        <w:gridCol w:w="1651"/>
        <w:gridCol w:w="1544"/>
        <w:gridCol w:w="12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tblHeader/>
        </w:trPr>
        <w:tc>
          <w:tcPr>
            <w:tcW w:w="449"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序号</w:t>
            </w:r>
          </w:p>
        </w:tc>
        <w:tc>
          <w:tcPr>
            <w:tcW w:w="2107"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项目名称</w:t>
            </w:r>
          </w:p>
        </w:tc>
        <w:tc>
          <w:tcPr>
            <w:tcW w:w="911"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等级</w:t>
            </w:r>
          </w:p>
        </w:tc>
        <w:tc>
          <w:tcPr>
            <w:tcW w:w="852"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主持人</w:t>
            </w:r>
          </w:p>
        </w:tc>
        <w:tc>
          <w:tcPr>
            <w:tcW w:w="678"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指导教师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449"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1</w:t>
            </w:r>
          </w:p>
        </w:tc>
        <w:tc>
          <w:tcPr>
            <w:tcW w:w="2107"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高低语境下美剧融入中国元素对中国文化的影响——以《生活大爆炸》为例</w:t>
            </w:r>
          </w:p>
        </w:tc>
        <w:tc>
          <w:tcPr>
            <w:tcW w:w="911"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省级</w:t>
            </w:r>
          </w:p>
        </w:tc>
        <w:tc>
          <w:tcPr>
            <w:tcW w:w="852"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王一凡</w:t>
            </w:r>
          </w:p>
        </w:tc>
        <w:tc>
          <w:tcPr>
            <w:tcW w:w="678"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谷吉梅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7" w:hRule="atLeast"/>
        </w:trPr>
        <w:tc>
          <w:tcPr>
            <w:tcW w:w="449"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2</w:t>
            </w:r>
          </w:p>
        </w:tc>
        <w:tc>
          <w:tcPr>
            <w:tcW w:w="2107"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农林类院校本科英语类学生想象认同与学习动机关系研究——以山东农业大学为例</w:t>
            </w:r>
          </w:p>
        </w:tc>
        <w:tc>
          <w:tcPr>
            <w:tcW w:w="911"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省级</w:t>
            </w:r>
          </w:p>
        </w:tc>
        <w:tc>
          <w:tcPr>
            <w:tcW w:w="852"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于嘉玮</w:t>
            </w:r>
          </w:p>
        </w:tc>
        <w:tc>
          <w:tcPr>
            <w:tcW w:w="678"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李桂东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trPr>
        <w:tc>
          <w:tcPr>
            <w:tcW w:w="449"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3</w:t>
            </w:r>
          </w:p>
        </w:tc>
        <w:tc>
          <w:tcPr>
            <w:tcW w:w="2107"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新媒体时代中华优秀传统文化如何走出国门 --以BBC节目《杜甫：中国最伟大的诗人》为例</w:t>
            </w:r>
          </w:p>
        </w:tc>
        <w:tc>
          <w:tcPr>
            <w:tcW w:w="911"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省级</w:t>
            </w:r>
          </w:p>
        </w:tc>
        <w:tc>
          <w:tcPr>
            <w:tcW w:w="852"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彭清悦</w:t>
            </w:r>
          </w:p>
        </w:tc>
        <w:tc>
          <w:tcPr>
            <w:tcW w:w="678"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朱法荣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trPr>
        <w:tc>
          <w:tcPr>
            <w:tcW w:w="449"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4</w:t>
            </w:r>
          </w:p>
        </w:tc>
        <w:tc>
          <w:tcPr>
            <w:tcW w:w="2107"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以短视频为媒介的泰山民俗文化英译与传播研究——以皮影戏为 例</w:t>
            </w:r>
          </w:p>
        </w:tc>
        <w:tc>
          <w:tcPr>
            <w:tcW w:w="911"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省级</w:t>
            </w:r>
          </w:p>
        </w:tc>
        <w:tc>
          <w:tcPr>
            <w:tcW w:w="852"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王静妍</w:t>
            </w:r>
          </w:p>
        </w:tc>
        <w:tc>
          <w:tcPr>
            <w:tcW w:w="678"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李银玲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449"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5</w:t>
            </w:r>
          </w:p>
        </w:tc>
        <w:tc>
          <w:tcPr>
            <w:tcW w:w="2107"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中国诗词文化在人类命运共同体及外交领域的外溢和应用</w:t>
            </w:r>
          </w:p>
        </w:tc>
        <w:tc>
          <w:tcPr>
            <w:tcW w:w="911"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省级</w:t>
            </w:r>
          </w:p>
        </w:tc>
        <w:tc>
          <w:tcPr>
            <w:tcW w:w="852"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公亦婷</w:t>
            </w:r>
          </w:p>
        </w:tc>
        <w:tc>
          <w:tcPr>
            <w:tcW w:w="678"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朱法荣</w:t>
            </w:r>
          </w:p>
        </w:tc>
      </w:tr>
    </w:tbl>
    <w:p>
      <w:pPr>
        <w:spacing w:line="390" w:lineRule="exact"/>
        <w:ind w:firstLine="480"/>
      </w:pPr>
    </w:p>
    <w:p>
      <w:pPr>
        <w:ind w:firstLine="482"/>
      </w:pPr>
      <w:r>
        <w:t>除创新创业之外，英语系组建的英语专业学生英语应用能力实践辅导团队，包括英语演讲与辩论团队，英汉翻译团队、英语写作团队和英语戏剧社，利用课外时间，定期有序辅导学生，助力学生专业能力提高。同时各团队辅导老师结合国内相关竞赛要求，制订了校级相应赛事的活动方案。在英语专业的带动下，商务英语、日语和俄语也成立相应的辅导团队，为全院其他专业学生培养提供了经验。</w:t>
      </w:r>
    </w:p>
    <w:p>
      <w:pPr>
        <w:ind w:firstLine="482"/>
      </w:pPr>
      <w:r>
        <w:t>学生竞赛类活动全面展开，有</w:t>
      </w:r>
      <w:r>
        <w:rPr>
          <w:rFonts w:hint="eastAsia"/>
        </w:rPr>
        <w:t>“</w:t>
      </w:r>
      <w:r>
        <w:t>外研社杯</w:t>
      </w:r>
      <w:r>
        <w:rPr>
          <w:rFonts w:hint="eastAsia"/>
        </w:rPr>
        <w:t>”</w:t>
      </w:r>
      <w:r>
        <w:t>全国英语演讲大赛、写作大赛、辩论大赛和阅读大赛，</w:t>
      </w:r>
      <w:r>
        <w:rPr>
          <w:rFonts w:hint="eastAsia"/>
        </w:rPr>
        <w:t>“</w:t>
      </w:r>
      <w:r>
        <w:t>中国日报</w:t>
      </w:r>
      <w:r>
        <w:rPr>
          <w:rFonts w:hint="eastAsia"/>
        </w:rPr>
        <w:t>”</w:t>
      </w:r>
      <w:r>
        <w:t>社杯全国英语演讲大赛，CCTV杯全国英语演讲大赛，中国翻译协会全国口译大赛，山东省科技外语大赛，山东省大学生科技文化节，演讲大赛，SDAU英语风采大赛等多项赛事。英语专业学生积极参与，并取得了好成绩。</w:t>
      </w:r>
    </w:p>
    <w:p>
      <w:pPr>
        <w:ind w:firstLine="482"/>
      </w:pPr>
      <w:r>
        <w:t>学院出台的学生创新与创业指导实施意见较好地指导学生进行创新创业实践。此外，邀请秦工集团为学生提供SEC理论实践系列课程，邀请了泰安市企业家联合会成员来校举办讲座，引导学生未来就业和创业。同时，结合外语学院成立20周年等活动，成立了我院第一个校友奖学金——</w:t>
      </w:r>
      <w:r>
        <w:rPr>
          <w:rFonts w:hint="eastAsia"/>
        </w:rPr>
        <w:t>“</w:t>
      </w:r>
      <w:r>
        <w:t>博雅</w:t>
      </w:r>
      <w:r>
        <w:rPr>
          <w:rFonts w:hint="eastAsia"/>
        </w:rPr>
        <w:t>”</w:t>
      </w:r>
      <w:r>
        <w:t>奖学金。另外，学院定期召开校友论坛，邀请优秀校友做就业创业报告，近几年先后邀请1999级经贸英语专业校友徐慧平、2002级英语专业校友张贺、2003级英语专业校友赵胜男、2007级英语专业校友鲁华、2007级英语专业校友于绍阳、2009级英语专业校友孙飞飞等做报告，极大鼓舞了同学们的专业学习热情，拓展了同学们的视野，有效帮助其处理考研和就业的选择。</w:t>
      </w:r>
    </w:p>
    <w:p>
      <w:pPr>
        <w:pStyle w:val="5"/>
        <w:spacing w:before="93" w:after="93"/>
        <w:ind w:firstLine="560"/>
      </w:pPr>
      <w:r>
        <w:t xml:space="preserve">三、培养条件 </w:t>
      </w:r>
    </w:p>
    <w:p>
      <w:pPr>
        <w:pStyle w:val="7"/>
        <w:ind w:firstLine="480"/>
      </w:pPr>
      <w:r>
        <w:t>1.教学经费投入</w:t>
      </w:r>
    </w:p>
    <w:p>
      <w:pPr>
        <w:ind w:firstLine="480"/>
      </w:pPr>
      <w:r>
        <w:t>在学院的多方筹措下，英语专业教学经费较充足，可以保证教学资料购买、教学软件更新、教学设备维修，能够较好地满足教学需求。</w:t>
      </w:r>
    </w:p>
    <w:p>
      <w:pPr>
        <w:pStyle w:val="7"/>
        <w:ind w:firstLine="480"/>
      </w:pPr>
      <w:r>
        <w:t>2.教学设备</w:t>
      </w:r>
    </w:p>
    <w:p>
      <w:pPr>
        <w:ind w:firstLine="480"/>
      </w:pPr>
      <w:r>
        <w:t>目前学院拥有1个同声传译语音实验室，1个商务英语实训室，1个翻转课堂实验室，1个音视频制作室，9个多媒体语音实验室，共1045座，2个英语广播电台，房间使用面积1038.14m</w:t>
      </w:r>
      <w:r>
        <w:rPr>
          <w:vertAlign w:val="superscript"/>
        </w:rPr>
        <w:t>2</w:t>
      </w:r>
      <w:r>
        <w:t>，可以较好地满足英语专业的教学和实践需求。学院资料室现有图书14397册，常年订阅各类学术期刊69种。</w:t>
      </w:r>
    </w:p>
    <w:p>
      <w:pPr>
        <w:ind w:firstLine="480"/>
      </w:pPr>
      <w:r>
        <w:t>学校图书馆有纸本馆藏253.3万册，现刊1459种，报纸75种。建设了中国知网、维普、万方、超星、新东方英语、Wiley、ScienceDirect、Proquest、Springer、Science Online、Nature等中外文电子资源库43个，其中电子图书394.3万种，电子期刊8.9万种。现存外语图书143287册，外语类期刊13种。学院资料室有图书14433册，常年订阅期刊69种。</w:t>
      </w:r>
    </w:p>
    <w:p>
      <w:pPr>
        <w:pStyle w:val="7"/>
        <w:ind w:firstLine="480"/>
      </w:pPr>
      <w:r>
        <w:t>3.教师队伍建设</w:t>
      </w:r>
    </w:p>
    <w:p>
      <w:pPr>
        <w:ind w:firstLine="480"/>
      </w:pPr>
      <w:r>
        <w:t>英语专业拥有一支素质优良的专业师资队伍，现有专任教师 19 人，其中教授 5 人，副教授 11 人，硕士生导师 8 人，博士 6 人，在读博士 5 人。师资队伍整体年龄、职称、学历、学缘结构合理，教学科研能力突出。近年来有9人次分获富布莱特学者、校教学名师、杰出教师奖、最美教师、学生心目中的十大优秀教师称号；2门课程获得山东省一流建设课程；1名教师获首届全国高校青年教师教学竞赛文科组二等奖，2名教师获</w:t>
      </w:r>
      <w:r>
        <w:rPr>
          <w:rFonts w:hint="eastAsia"/>
        </w:rPr>
        <w:t>“</w:t>
      </w:r>
      <w:r>
        <w:t>山东省青年教师教学竞赛</w:t>
      </w:r>
      <w:r>
        <w:rPr>
          <w:rFonts w:hint="eastAsia"/>
        </w:rPr>
        <w:t>”</w:t>
      </w:r>
      <w:r>
        <w:t>二、三等奖；主持国家社科基金青年项目及省部级项目8项，发表ESCI及CSSCI核心论文15篇，出版学术专著及译著8部。</w:t>
      </w:r>
    </w:p>
    <w:p>
      <w:pPr>
        <w:ind w:firstLine="480"/>
      </w:pPr>
      <w:r>
        <w:t>英语专业通过鼓励教师进修、访学、考博，参加培训等，进一步提高教师队伍的教学科研水平。近两年来共派出3名教师赴国外访学，其中国家留学基金项目2人，富布莱特项目1人，省政府公派1人。培养科类基础课骨干教师7人，核心课骨干教师7人，特色课骨干教师7人。另外，在学校政策的支持下，选派近10名骨干教师赴英国进行短期培训。</w:t>
      </w:r>
    </w:p>
    <w:p>
      <w:pPr>
        <w:ind w:firstLine="480"/>
      </w:pPr>
      <w:r>
        <w:t>此外英语专业全体教师积极参加各级各类专业教学科研培训，为进一步推进课程教学改革和科研能力提升提供了良好条件。近年英语专业教师主持校级及以上课题15项，外出开会及院校考察17次，组织企业考察5次。</w:t>
      </w:r>
    </w:p>
    <w:p>
      <w:pPr>
        <w:pStyle w:val="7"/>
        <w:ind w:firstLine="480"/>
      </w:pPr>
      <w:r>
        <w:t>4.实习基地建设</w:t>
      </w:r>
    </w:p>
    <w:p>
      <w:pPr>
        <w:ind w:firstLine="480"/>
      </w:pPr>
      <w:r>
        <w:t xml:space="preserve">英语专业目前拥有的教学实习基地五个：泰安鲁普奈特集团、秦工集团、泰安市外专局、译国译民翻译服务有限公司和深圳市俊卿翻译服务公司。英语专业与上述实习基地充分接触，积极探索，为更好地学生的实践实习提供良好的保证。 </w:t>
      </w:r>
    </w:p>
    <w:p>
      <w:pPr>
        <w:pStyle w:val="7"/>
        <w:ind w:firstLine="480"/>
      </w:pPr>
      <w:r>
        <w:t>5.信息化建设</w:t>
      </w:r>
    </w:p>
    <w:p>
      <w:pPr>
        <w:ind w:firstLine="480"/>
      </w:pPr>
      <w:r>
        <w:t>英语专业近年来大力推进现代教育技术应用，已建成多门课程教学网站。其中，2014年《综合英语》、《英语写作》（现为《英语读写》）、《英美文学》、《翻译》与《英语语法》五门课程作为山东省省级精品建设课程，积极发挥作为英语专业核心素养培育的重点课程依托，充分利用现代化教育技术，提升学生的专业素养教育水平；2020年《英美文学讲座（慕课）》与《英语读写》成功获批山东省省级一流建设课程。此外，多门校级精品课的课程网站逐年更新。翻转课堂教室在英语专业教学过程中也正在发挥它应有的作用。</w:t>
      </w:r>
    </w:p>
    <w:p>
      <w:pPr>
        <w:pStyle w:val="5"/>
        <w:spacing w:before="93" w:after="93"/>
        <w:ind w:firstLine="560"/>
      </w:pPr>
      <w:r>
        <w:t>四、培养机制</w:t>
      </w:r>
    </w:p>
    <w:p>
      <w:pPr>
        <w:pStyle w:val="7"/>
        <w:ind w:firstLine="480"/>
      </w:pPr>
      <w:r>
        <w:t>1.产学研协同育人机制</w:t>
      </w:r>
    </w:p>
    <w:p>
      <w:pPr>
        <w:ind w:firstLine="480"/>
      </w:pPr>
      <w:r>
        <w:t>为培养复合型人才搭建平台，在学院的支持下，英语专业积极与与山东网商集团等相关企业合作，聘请企业专家进课堂，为学生进行专业课程的讲授及实践环节的指导；建立跨境电商实习基地，为提高学生实践能力提供平台；与泰安市15家企业建立校外实习基地合作关系，聘请部分专家担任创业导师；与泰安市外国专家局、泰安市旅游局、泰安市经合局以及泰安市科技局等单位合作，为泰安市</w:t>
      </w:r>
      <w:r>
        <w:rPr>
          <w:rFonts w:hint="eastAsia"/>
        </w:rPr>
        <w:t>“</w:t>
      </w:r>
      <w:r>
        <w:t>外国专家泰安行</w:t>
      </w:r>
      <w:r>
        <w:rPr>
          <w:rFonts w:hint="eastAsia"/>
        </w:rPr>
        <w:t>”</w:t>
      </w:r>
      <w:r>
        <w:t>、</w:t>
      </w:r>
      <w:r>
        <w:rPr>
          <w:rFonts w:hint="eastAsia"/>
        </w:rPr>
        <w:t>“</w:t>
      </w:r>
      <w:r>
        <w:t>国际摄影节</w:t>
      </w:r>
      <w:r>
        <w:rPr>
          <w:rFonts w:hint="eastAsia"/>
        </w:rPr>
        <w:t>”</w:t>
      </w:r>
      <w:r>
        <w:t>、</w:t>
      </w:r>
      <w:r>
        <w:rPr>
          <w:rFonts w:hint="eastAsia"/>
        </w:rPr>
        <w:t>“</w:t>
      </w:r>
      <w:r>
        <w:t>泰安市国际农机展</w:t>
      </w:r>
      <w:r>
        <w:rPr>
          <w:rFonts w:hint="eastAsia"/>
        </w:rPr>
        <w:t>”</w:t>
      </w:r>
      <w:r>
        <w:t>、</w:t>
      </w:r>
      <w:r>
        <w:rPr>
          <w:rFonts w:hint="eastAsia"/>
        </w:rPr>
        <w:t>“</w:t>
      </w:r>
      <w:r>
        <w:t>泰安市国际马拉松</w:t>
      </w:r>
      <w:r>
        <w:rPr>
          <w:rFonts w:hint="eastAsia"/>
        </w:rPr>
        <w:t>”</w:t>
      </w:r>
      <w:r>
        <w:t>等活动提供翻译和志愿者服务。</w:t>
      </w:r>
    </w:p>
    <w:p>
      <w:pPr>
        <w:pStyle w:val="7"/>
        <w:ind w:firstLine="480"/>
      </w:pPr>
      <w:r>
        <w:t>2.合作办学</w:t>
      </w:r>
    </w:p>
    <w:p>
      <w:pPr>
        <w:ind w:firstLine="480"/>
      </w:pPr>
      <w:r>
        <w:t>在前期与境外学校合作的基础上，继续选派商务英语专业学生赴台北中国文化大学参加交换生项目，并积极探索与国外大学合作的途径。已与国外学校如英国兰卡斯特大学和美国犹他州立大学达成合作意向。</w:t>
      </w:r>
    </w:p>
    <w:p>
      <w:pPr>
        <w:pStyle w:val="7"/>
        <w:ind w:firstLine="480"/>
      </w:pPr>
      <w:r>
        <w:t>3.教学管理</w:t>
      </w:r>
    </w:p>
    <w:p>
      <w:pPr>
        <w:ind w:firstLine="480"/>
      </w:pPr>
      <w:r>
        <w:t>在学院制度汇编工作完成、完善的基础上，英语专业完成了教学管理以及其他有关教学文件的制定。具体有：学生留学管理办法、外教管理办法、常规性大型教学活动流程、专业主任岗位职责、系主任岗位职责、英语类课程申报及竞课意见、考试管理制度等。完善课程组备课制度；进一步讨论科学的教学质量评价体系；积极推进省级、校级教学改革和教学研究项目进展工作。</w:t>
      </w:r>
    </w:p>
    <w:p>
      <w:pPr>
        <w:pStyle w:val="5"/>
        <w:spacing w:before="93" w:after="93"/>
        <w:ind w:firstLine="560"/>
      </w:pPr>
      <w:r>
        <w:t xml:space="preserve">五、培养质量 </w:t>
      </w:r>
    </w:p>
    <w:p>
      <w:pPr>
        <w:pStyle w:val="7"/>
        <w:spacing w:line="380" w:lineRule="exact"/>
        <w:ind w:firstLine="480"/>
      </w:pPr>
      <w:r>
        <w:t>1.毕业生就业情况</w:t>
      </w:r>
    </w:p>
    <w:p>
      <w:pPr>
        <w:ind w:firstLine="480"/>
      </w:pPr>
      <w:r>
        <w:t>2021届毕业生共计159人，其中考取研究生31人，出国6人，就业率截至2022年6月30日为90.57%。</w:t>
      </w:r>
    </w:p>
    <w:p>
      <w:pPr>
        <w:pStyle w:val="7"/>
        <w:spacing w:line="380" w:lineRule="exact"/>
        <w:ind w:firstLine="480"/>
      </w:pPr>
      <w:r>
        <w:t>2.毕业生发展情况</w:t>
      </w:r>
    </w:p>
    <w:p>
      <w:pPr>
        <w:ind w:firstLine="480"/>
      </w:pPr>
      <w:r>
        <w:t>近年来，英语专业毕业生考研率稳定在25%左右，推荐免试研究生均被申请院校录取，较好地提升了我校英语专业毕业生的知名度。此外，约57%的学生进入各级各类企业就职，主要从事内、外贸、管理等工作。</w:t>
      </w:r>
    </w:p>
    <w:p>
      <w:pPr>
        <w:ind w:firstLine="480"/>
      </w:pPr>
      <w:r>
        <w:t>通过对毕业生及其就业单位的走访和问卷调查，本专业就业特点与办学定位相契合，与市场需求的匹配程度较高，就业呈现出良好、多元化态势：就业岗位主要集中在公司企业（占61%）、党政事业编及教育（16.3%）等领域，就业地集中在二、三线城市及县城的占70%、一线城市占30%；其中选择在家乡省份就业的占62.9%，非家乡省份为37.1%。</w:t>
      </w:r>
    </w:p>
    <w:p>
      <w:pPr>
        <w:pStyle w:val="7"/>
        <w:spacing w:line="380" w:lineRule="exact"/>
        <w:ind w:firstLine="480"/>
      </w:pPr>
      <w:r>
        <w:t>3.就业单位满意率</w:t>
      </w:r>
    </w:p>
    <w:p>
      <w:pPr>
        <w:ind w:firstLine="480"/>
      </w:pPr>
      <w:r>
        <w:t>通过不同形式的了解，就业单位对我专业毕业生的满意率较高。就业单位对英语专业毕业生的满意度达到98%以上，对本专业的推荐度达到96%以上。据调查，用人单位对本专业毕业生的总体评价是：学生综合素质高、专业知识扎实、吃苦耐劳，适应及创新能力强。</w:t>
      </w:r>
    </w:p>
    <w:p>
      <w:pPr>
        <w:pStyle w:val="7"/>
        <w:spacing w:line="380" w:lineRule="exact"/>
        <w:ind w:firstLine="480"/>
      </w:pPr>
      <w:r>
        <w:t>4.社会对专业的评价</w:t>
      </w:r>
    </w:p>
    <w:p>
      <w:pPr>
        <w:ind w:firstLine="480"/>
      </w:pPr>
      <w:r>
        <w:t>通过不同形式的了解，社会各界对我专业人才培养情况的总体评价高，对我专业毕业生的满意率较高。专业毕业生获得社会的广泛认可，社会美誉度不断提升。</w:t>
      </w:r>
    </w:p>
    <w:p>
      <w:pPr>
        <w:pStyle w:val="7"/>
        <w:spacing w:line="380" w:lineRule="exact"/>
        <w:ind w:firstLine="480"/>
      </w:pPr>
      <w:r>
        <w:t>5.学生就读该专业的意愿</w:t>
      </w:r>
    </w:p>
    <w:p>
      <w:pPr>
        <w:ind w:firstLine="480"/>
      </w:pPr>
      <w:r>
        <w:t>学生就读英语专业的意愿较高。自山东省实行新的高考招生政策以来，英语专业的录取分数线一直维持在全校所有专业录取线的前三位。</w:t>
      </w:r>
    </w:p>
    <w:p>
      <w:pPr>
        <w:spacing w:line="440" w:lineRule="exact"/>
        <w:ind w:firstLine="480"/>
        <w:rPr>
          <w:bCs/>
        </w:rPr>
      </w:pPr>
      <w:r>
        <w:rPr>
          <w:bCs/>
        </w:rPr>
        <w:t>此外，每年都接受来自其他学院专业转入我专业的学生多人。最近5年，英语专业转入人数见</w:t>
      </w:r>
      <w:r>
        <w:rPr>
          <w:bCs/>
        </w:rPr>
        <w:fldChar w:fldCharType="begin"/>
      </w:r>
      <w:r>
        <w:rPr>
          <w:bCs/>
        </w:rPr>
        <w:instrText xml:space="preserve"> REF _Ref118197107 \h </w:instrText>
      </w:r>
      <w:r>
        <w:rPr>
          <w:bCs/>
        </w:rPr>
        <w:fldChar w:fldCharType="separate"/>
      </w:r>
      <w:r>
        <w:t>表2</w:t>
      </w:r>
      <w:r>
        <w:rPr>
          <w:bCs/>
        </w:rPr>
        <w:fldChar w:fldCharType="end"/>
      </w:r>
      <w:r>
        <w:rPr>
          <w:bCs/>
        </w:rPr>
        <w:t>。</w:t>
      </w:r>
    </w:p>
    <w:p>
      <w:pPr>
        <w:widowControl/>
        <w:adjustRightInd w:val="0"/>
        <w:snapToGrid w:val="0"/>
        <w:spacing w:line="240" w:lineRule="auto"/>
        <w:jc w:val="center"/>
        <w:rPr>
          <w:b/>
          <w:bCs/>
          <w:color w:val="000000"/>
          <w:kern w:val="0"/>
          <w:sz w:val="21"/>
          <w:szCs w:val="21"/>
        </w:rPr>
      </w:pPr>
      <w:bookmarkStart w:id="524" w:name="_Ref118197107"/>
      <w:r>
        <w:rPr>
          <w:b/>
          <w:bCs/>
          <w:color w:val="000000"/>
          <w:kern w:val="0"/>
          <w:sz w:val="21"/>
          <w:szCs w:val="21"/>
        </w:rPr>
        <w:t>表</w:t>
      </w:r>
      <w:r>
        <w:rPr>
          <w:b/>
          <w:bCs/>
          <w:color w:val="000000"/>
          <w:kern w:val="0"/>
          <w:sz w:val="21"/>
          <w:szCs w:val="21"/>
        </w:rPr>
        <w:fldChar w:fldCharType="begin"/>
      </w:r>
      <w:r>
        <w:rPr>
          <w:b/>
          <w:bCs/>
          <w:color w:val="000000"/>
          <w:kern w:val="0"/>
          <w:sz w:val="21"/>
          <w:szCs w:val="21"/>
        </w:rPr>
        <w:instrText xml:space="preserve"> SEQ 表 \* ARABIC </w:instrText>
      </w:r>
      <w:r>
        <w:rPr>
          <w:b/>
          <w:bCs/>
          <w:color w:val="000000"/>
          <w:kern w:val="0"/>
          <w:sz w:val="21"/>
          <w:szCs w:val="21"/>
        </w:rPr>
        <w:fldChar w:fldCharType="separate"/>
      </w:r>
      <w:r>
        <w:rPr>
          <w:b/>
          <w:bCs/>
          <w:color w:val="000000"/>
          <w:kern w:val="0"/>
          <w:sz w:val="21"/>
          <w:szCs w:val="21"/>
        </w:rPr>
        <w:t>2</w:t>
      </w:r>
      <w:r>
        <w:rPr>
          <w:b/>
          <w:bCs/>
          <w:color w:val="000000"/>
          <w:kern w:val="0"/>
          <w:sz w:val="21"/>
          <w:szCs w:val="21"/>
        </w:rPr>
        <w:fldChar w:fldCharType="end"/>
      </w:r>
      <w:bookmarkEnd w:id="524"/>
      <w:r>
        <w:rPr>
          <w:b/>
          <w:bCs/>
          <w:color w:val="000000"/>
          <w:kern w:val="0"/>
          <w:sz w:val="21"/>
          <w:szCs w:val="21"/>
        </w:rPr>
        <w:t xml:space="preserve"> 英语专业接收其他专业申请转入学生数</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4"/>
        <w:gridCol w:w="1544"/>
        <w:gridCol w:w="1546"/>
        <w:gridCol w:w="1548"/>
        <w:gridCol w:w="1401"/>
        <w:gridCol w:w="15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813" w:type="pct"/>
            <w:shd w:val="clear" w:color="auto" w:fill="auto"/>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年级</w:t>
            </w:r>
          </w:p>
        </w:tc>
        <w:tc>
          <w:tcPr>
            <w:tcW w:w="852" w:type="pct"/>
            <w:shd w:val="clear" w:color="auto" w:fill="auto"/>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2017</w:t>
            </w:r>
          </w:p>
        </w:tc>
        <w:tc>
          <w:tcPr>
            <w:tcW w:w="853" w:type="pct"/>
            <w:shd w:val="clear" w:color="auto" w:fill="auto"/>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2018</w:t>
            </w:r>
          </w:p>
        </w:tc>
        <w:tc>
          <w:tcPr>
            <w:tcW w:w="854" w:type="pct"/>
            <w:shd w:val="clear" w:color="auto" w:fill="auto"/>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2019</w:t>
            </w:r>
          </w:p>
        </w:tc>
        <w:tc>
          <w:tcPr>
            <w:tcW w:w="773"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2020</w:t>
            </w:r>
          </w:p>
        </w:tc>
        <w:tc>
          <w:tcPr>
            <w:tcW w:w="854" w:type="pct"/>
            <w:shd w:val="clear" w:color="auto" w:fill="auto"/>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813" w:type="pct"/>
            <w:shd w:val="clear" w:color="auto" w:fill="auto"/>
            <w:vAlign w:val="center"/>
          </w:tcPr>
          <w:p>
            <w:pPr>
              <w:widowControl/>
              <w:adjustRightInd w:val="0"/>
              <w:snapToGrid w:val="0"/>
              <w:spacing w:line="240" w:lineRule="auto"/>
              <w:jc w:val="center"/>
              <w:rPr>
                <w:color w:val="000000"/>
                <w:kern w:val="0"/>
                <w:sz w:val="21"/>
                <w:szCs w:val="21"/>
              </w:rPr>
            </w:pPr>
            <w:r>
              <w:rPr>
                <w:color w:val="000000"/>
                <w:kern w:val="0"/>
                <w:sz w:val="21"/>
                <w:szCs w:val="21"/>
              </w:rPr>
              <w:t>转入人数</w:t>
            </w:r>
          </w:p>
        </w:tc>
        <w:tc>
          <w:tcPr>
            <w:tcW w:w="852" w:type="pct"/>
            <w:shd w:val="clear" w:color="auto" w:fill="auto"/>
            <w:vAlign w:val="center"/>
          </w:tcPr>
          <w:p>
            <w:pPr>
              <w:widowControl/>
              <w:adjustRightInd w:val="0"/>
              <w:snapToGrid w:val="0"/>
              <w:spacing w:line="240" w:lineRule="auto"/>
              <w:jc w:val="center"/>
              <w:rPr>
                <w:color w:val="000000"/>
                <w:kern w:val="0"/>
                <w:sz w:val="21"/>
                <w:szCs w:val="21"/>
              </w:rPr>
            </w:pPr>
            <w:r>
              <w:rPr>
                <w:color w:val="000000"/>
                <w:kern w:val="0"/>
                <w:sz w:val="21"/>
                <w:szCs w:val="21"/>
              </w:rPr>
              <w:t>9人</w:t>
            </w:r>
          </w:p>
        </w:tc>
        <w:tc>
          <w:tcPr>
            <w:tcW w:w="853" w:type="pct"/>
            <w:shd w:val="clear" w:color="auto" w:fill="auto"/>
            <w:vAlign w:val="center"/>
          </w:tcPr>
          <w:p>
            <w:pPr>
              <w:widowControl/>
              <w:adjustRightInd w:val="0"/>
              <w:snapToGrid w:val="0"/>
              <w:spacing w:line="240" w:lineRule="auto"/>
              <w:jc w:val="center"/>
              <w:rPr>
                <w:color w:val="000000"/>
                <w:kern w:val="0"/>
                <w:sz w:val="21"/>
                <w:szCs w:val="21"/>
              </w:rPr>
            </w:pPr>
            <w:r>
              <w:rPr>
                <w:color w:val="000000"/>
                <w:kern w:val="0"/>
                <w:sz w:val="21"/>
                <w:szCs w:val="21"/>
              </w:rPr>
              <w:t>12人</w:t>
            </w:r>
          </w:p>
        </w:tc>
        <w:tc>
          <w:tcPr>
            <w:tcW w:w="854" w:type="pct"/>
            <w:shd w:val="clear" w:color="auto" w:fill="auto"/>
            <w:vAlign w:val="center"/>
          </w:tcPr>
          <w:p>
            <w:pPr>
              <w:widowControl/>
              <w:adjustRightInd w:val="0"/>
              <w:snapToGrid w:val="0"/>
              <w:spacing w:line="240" w:lineRule="auto"/>
              <w:jc w:val="center"/>
              <w:rPr>
                <w:color w:val="000000"/>
                <w:kern w:val="0"/>
                <w:sz w:val="21"/>
                <w:szCs w:val="21"/>
              </w:rPr>
            </w:pPr>
            <w:r>
              <w:rPr>
                <w:color w:val="000000"/>
                <w:kern w:val="0"/>
                <w:sz w:val="21"/>
                <w:szCs w:val="21"/>
              </w:rPr>
              <w:t>5人</w:t>
            </w:r>
          </w:p>
        </w:tc>
        <w:tc>
          <w:tcPr>
            <w:tcW w:w="773"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24人</w:t>
            </w:r>
          </w:p>
        </w:tc>
        <w:tc>
          <w:tcPr>
            <w:tcW w:w="854" w:type="pct"/>
            <w:shd w:val="clear" w:color="auto" w:fill="auto"/>
            <w:vAlign w:val="center"/>
          </w:tcPr>
          <w:p>
            <w:pPr>
              <w:widowControl/>
              <w:adjustRightInd w:val="0"/>
              <w:snapToGrid w:val="0"/>
              <w:spacing w:line="240" w:lineRule="auto"/>
              <w:jc w:val="center"/>
              <w:rPr>
                <w:color w:val="000000"/>
                <w:kern w:val="0"/>
                <w:sz w:val="21"/>
                <w:szCs w:val="21"/>
              </w:rPr>
            </w:pPr>
            <w:r>
              <w:rPr>
                <w:color w:val="000000"/>
                <w:kern w:val="0"/>
                <w:sz w:val="21"/>
                <w:szCs w:val="21"/>
              </w:rPr>
              <w:t>15人</w:t>
            </w:r>
          </w:p>
        </w:tc>
      </w:tr>
    </w:tbl>
    <w:p>
      <w:pPr>
        <w:pStyle w:val="5"/>
        <w:spacing w:before="93" w:after="93"/>
        <w:ind w:firstLine="560"/>
      </w:pPr>
      <w:r>
        <w:t>六、培养特色</w:t>
      </w:r>
    </w:p>
    <w:p>
      <w:pPr>
        <w:ind w:firstLine="480"/>
      </w:pPr>
      <w:r>
        <w:t>英语专业人才培养坚持守正与创新相结合，注重培养学生扎实的英语语言基本功与厚实的英语语言文学专业知识；同时，凸显跨学科人才培养特色，按照国家</w:t>
      </w:r>
      <w:r>
        <w:rPr>
          <w:rFonts w:hint="eastAsia"/>
        </w:rPr>
        <w:t>“</w:t>
      </w:r>
      <w:r>
        <w:t>新文科</w:t>
      </w:r>
      <w:r>
        <w:rPr>
          <w:rFonts w:hint="eastAsia"/>
        </w:rPr>
        <w:t>”</w:t>
      </w:r>
      <w:r>
        <w:t>建设要求，借助我校专业优势，加强英语语言文学专业知识与商科、农科、信息等学科知识的交叉与融合，培养服务国家社会与经济发展的英语专业型与创新型人才。</w:t>
      </w:r>
    </w:p>
    <w:p>
      <w:pPr>
        <w:ind w:firstLine="480"/>
      </w:pPr>
      <w:r>
        <w:t>具体来讲，本专业结合多年办学经验和实际，按照学生未来职业发展设置专业方向，分别设立英语+学术和英语+应用两个发展方向。前者可满足有意向考研及未来想在英语专业本领域发展的学生，后者则可根据社会需求变化灵活调整侧重点，侧重翻译及商贸，满足学生对英汉翻译能力提升的广泛需求和未来进入外贸类行业的就业需求。</w:t>
      </w:r>
    </w:p>
    <w:p>
      <w:pPr>
        <w:pStyle w:val="5"/>
        <w:spacing w:before="93" w:after="93"/>
        <w:ind w:firstLine="560"/>
      </w:pPr>
      <w:r>
        <w:t>七、毕业生就业创业</w:t>
      </w:r>
    </w:p>
    <w:p>
      <w:pPr>
        <w:ind w:firstLine="480"/>
      </w:pPr>
      <w:r>
        <w:t>基于英语翻译团队成立的</w:t>
      </w:r>
      <w:r>
        <w:rPr>
          <w:rFonts w:hint="eastAsia"/>
        </w:rPr>
        <w:t>“</w:t>
      </w:r>
      <w:r>
        <w:t>译客</w:t>
      </w:r>
      <w:r>
        <w:rPr>
          <w:rFonts w:hint="eastAsia"/>
        </w:rPr>
        <w:t>”</w:t>
      </w:r>
      <w:r>
        <w:t>翻译事务所，继续为学校部门、教职员工和学生提供论文英文的翻译、校对以及英文书信撰写等服务，并在带动全校学生英语学习方面发挥了较好的作业，得到了广大教师和学生的好评，同时也极大地促进了英语专业学生翻译和写作实践能力的提高。</w:t>
      </w:r>
    </w:p>
    <w:p>
      <w:pPr>
        <w:widowControl/>
        <w:ind w:firstLine="480"/>
        <w:jc w:val="left"/>
      </w:pPr>
      <w:r>
        <w:t>部分优秀毕业生案例：</w:t>
      </w:r>
    </w:p>
    <w:p>
      <w:pPr>
        <w:pStyle w:val="22"/>
        <w:widowControl/>
        <w:numPr>
          <w:ilvl w:val="0"/>
          <w:numId w:val="7"/>
        </w:numPr>
        <w:spacing w:after="156" w:afterLines="50"/>
        <w:ind w:left="901"/>
        <w:rPr>
          <w:rFonts w:cs="Times New Roman"/>
        </w:rPr>
      </w:pPr>
      <w:r>
        <w:rPr>
          <w:rFonts w:cs="Times New Roman"/>
        </w:rPr>
        <w:t>李广泽（2013届英语专业毕业生）</w:t>
      </w:r>
      <w:r>
        <w:rPr>
          <w:rFonts w:cs="Times New Roman"/>
        </w:rPr>
        <w:tab/>
      </w:r>
      <w:r>
        <w:rPr>
          <w:rFonts w:cs="Times New Roman"/>
        </w:rPr>
        <w:t>任职文化部。</w:t>
      </w:r>
    </w:p>
    <w:p>
      <w:pPr>
        <w:pStyle w:val="22"/>
        <w:widowControl/>
        <w:numPr>
          <w:ilvl w:val="0"/>
          <w:numId w:val="7"/>
        </w:numPr>
        <w:spacing w:after="156" w:afterLines="50"/>
        <w:ind w:left="901"/>
        <w:rPr>
          <w:rFonts w:cs="Times New Roman"/>
        </w:rPr>
      </w:pPr>
      <w:r>
        <w:rPr>
          <w:rFonts w:cs="Times New Roman"/>
        </w:rPr>
        <w:t>王彤（2004届英语专业毕业生）</w:t>
      </w:r>
      <w:r>
        <w:rPr>
          <w:rFonts w:cs="Times New Roman"/>
        </w:rPr>
        <w:tab/>
      </w:r>
      <w:r>
        <w:rPr>
          <w:rFonts w:cs="Times New Roman"/>
        </w:rPr>
        <w:tab/>
      </w:r>
      <w:r>
        <w:rPr>
          <w:rFonts w:cs="Times New Roman"/>
        </w:rPr>
        <w:t>全国工商联任副处长。</w:t>
      </w:r>
    </w:p>
    <w:p>
      <w:pPr>
        <w:pStyle w:val="22"/>
        <w:widowControl/>
        <w:numPr>
          <w:ilvl w:val="0"/>
          <w:numId w:val="7"/>
        </w:numPr>
        <w:spacing w:after="156" w:afterLines="50"/>
        <w:ind w:left="901"/>
        <w:rPr>
          <w:rFonts w:cs="Times New Roman"/>
          <w:spacing w:val="-6"/>
        </w:rPr>
      </w:pPr>
      <w:r>
        <w:rPr>
          <w:rFonts w:cs="Times New Roman"/>
        </w:rPr>
        <w:t>鲁华（2011届英语专业毕业生）</w:t>
      </w:r>
      <w:r>
        <w:rPr>
          <w:rFonts w:cs="Times New Roman"/>
        </w:rPr>
        <w:tab/>
      </w:r>
      <w:r>
        <w:rPr>
          <w:rFonts w:cs="Times New Roman"/>
        </w:rPr>
        <w:tab/>
      </w:r>
      <w:r>
        <w:rPr>
          <w:rFonts w:cs="Times New Roman"/>
          <w:spacing w:val="-6"/>
        </w:rPr>
        <w:t>任职国家移民管理局，曾获联合国</w:t>
      </w:r>
      <w:r>
        <w:rPr>
          <w:rFonts w:hint="eastAsia" w:cs="Times New Roman"/>
          <w:spacing w:val="-6"/>
        </w:rPr>
        <w:t>“</w:t>
      </w:r>
      <w:r>
        <w:rPr>
          <w:rFonts w:cs="Times New Roman"/>
          <w:spacing w:val="-6"/>
        </w:rPr>
        <w:t>和平勋章</w:t>
      </w:r>
      <w:r>
        <w:rPr>
          <w:rFonts w:hint="eastAsia" w:cs="Times New Roman"/>
          <w:spacing w:val="-6"/>
        </w:rPr>
        <w:t>”</w:t>
      </w:r>
      <w:r>
        <w:rPr>
          <w:rFonts w:cs="Times New Roman"/>
          <w:spacing w:val="-6"/>
        </w:rPr>
        <w:t>。</w:t>
      </w:r>
    </w:p>
    <w:p>
      <w:pPr>
        <w:pStyle w:val="22"/>
        <w:widowControl/>
        <w:numPr>
          <w:ilvl w:val="0"/>
          <w:numId w:val="7"/>
        </w:numPr>
        <w:spacing w:after="156" w:afterLines="50"/>
        <w:ind w:left="901"/>
        <w:rPr>
          <w:rFonts w:cs="Times New Roman"/>
        </w:rPr>
      </w:pPr>
      <w:r>
        <w:rPr>
          <w:rFonts w:cs="Times New Roman"/>
        </w:rPr>
        <w:t>刘雨薇（2015届英语专业毕业生）</w:t>
      </w:r>
      <w:r>
        <w:rPr>
          <w:rFonts w:cs="Times New Roman"/>
        </w:rPr>
        <w:tab/>
      </w:r>
      <w:r>
        <w:rPr>
          <w:rFonts w:cs="Times New Roman"/>
        </w:rPr>
        <w:t>任职华为集团欧洲总部。</w:t>
      </w:r>
    </w:p>
    <w:p>
      <w:pPr>
        <w:pStyle w:val="22"/>
        <w:widowControl/>
        <w:numPr>
          <w:ilvl w:val="0"/>
          <w:numId w:val="7"/>
        </w:numPr>
        <w:spacing w:after="156" w:afterLines="50"/>
        <w:ind w:left="901"/>
        <w:rPr>
          <w:rFonts w:cs="Times New Roman"/>
        </w:rPr>
      </w:pPr>
      <w:r>
        <w:rPr>
          <w:rFonts w:cs="Times New Roman"/>
        </w:rPr>
        <w:t xml:space="preserve">苏娟（2004届英语专业毕业生） </w:t>
      </w:r>
      <w:r>
        <w:rPr>
          <w:rFonts w:cs="Times New Roman"/>
        </w:rPr>
        <w:tab/>
      </w:r>
      <w:r>
        <w:rPr>
          <w:rFonts w:cs="Times New Roman"/>
        </w:rPr>
        <w:tab/>
      </w:r>
      <w:r>
        <w:rPr>
          <w:rFonts w:cs="Times New Roman"/>
        </w:rPr>
        <w:t>任职中国石油集团经济技术研究院综合办公室高级主管。</w:t>
      </w:r>
    </w:p>
    <w:p>
      <w:pPr>
        <w:pStyle w:val="22"/>
        <w:widowControl/>
        <w:numPr>
          <w:ilvl w:val="0"/>
          <w:numId w:val="7"/>
        </w:numPr>
        <w:spacing w:after="156" w:afterLines="50"/>
        <w:ind w:left="901"/>
        <w:rPr>
          <w:rFonts w:cs="Times New Roman"/>
        </w:rPr>
      </w:pPr>
      <w:r>
        <w:rPr>
          <w:rFonts w:cs="Times New Roman"/>
        </w:rPr>
        <w:t>于绍阳（2011届英语专业毕业生）</w:t>
      </w:r>
      <w:r>
        <w:rPr>
          <w:rFonts w:cs="Times New Roman"/>
        </w:rPr>
        <w:tab/>
      </w:r>
      <w:r>
        <w:rPr>
          <w:rFonts w:cs="Times New Roman"/>
        </w:rPr>
        <w:t>任职北京银行总行督。</w:t>
      </w:r>
    </w:p>
    <w:p>
      <w:pPr>
        <w:pStyle w:val="22"/>
        <w:widowControl/>
        <w:numPr>
          <w:ilvl w:val="0"/>
          <w:numId w:val="7"/>
        </w:numPr>
        <w:spacing w:after="156" w:afterLines="50"/>
        <w:ind w:left="901"/>
        <w:rPr>
          <w:rFonts w:cs="Times New Roman"/>
        </w:rPr>
      </w:pPr>
      <w:r>
        <w:rPr>
          <w:rFonts w:cs="Times New Roman"/>
        </w:rPr>
        <w:t>刘凌（2011届英语专业毕业生）</w:t>
      </w:r>
      <w:r>
        <w:rPr>
          <w:rFonts w:cs="Times New Roman"/>
        </w:rPr>
        <w:tab/>
      </w:r>
      <w:r>
        <w:rPr>
          <w:rFonts w:cs="Times New Roman"/>
        </w:rPr>
        <w:tab/>
      </w:r>
      <w:r>
        <w:rPr>
          <w:rFonts w:cs="Times New Roman"/>
        </w:rPr>
        <w:t>任职美的集团总裁助理。</w:t>
      </w:r>
    </w:p>
    <w:p>
      <w:pPr>
        <w:pStyle w:val="22"/>
        <w:widowControl/>
        <w:numPr>
          <w:ilvl w:val="0"/>
          <w:numId w:val="7"/>
        </w:numPr>
        <w:spacing w:after="156" w:afterLines="50"/>
        <w:ind w:left="901"/>
        <w:rPr>
          <w:rFonts w:cs="Times New Roman"/>
        </w:rPr>
      </w:pPr>
      <w:r>
        <w:rPr>
          <w:rFonts w:cs="Times New Roman"/>
        </w:rPr>
        <w:t>齐芳华（2004届英语专业毕业生）</w:t>
      </w:r>
      <w:r>
        <w:rPr>
          <w:rFonts w:cs="Times New Roman"/>
        </w:rPr>
        <w:tab/>
      </w:r>
      <w:r>
        <w:rPr>
          <w:rFonts w:cs="Times New Roman"/>
        </w:rPr>
        <w:t>任职现代牧业集团有限公司总裁办主任。</w:t>
      </w:r>
    </w:p>
    <w:p>
      <w:pPr>
        <w:pStyle w:val="22"/>
        <w:widowControl/>
        <w:numPr>
          <w:ilvl w:val="0"/>
          <w:numId w:val="7"/>
        </w:numPr>
        <w:spacing w:after="156" w:afterLines="50"/>
        <w:ind w:left="901"/>
        <w:rPr>
          <w:rFonts w:cs="Times New Roman"/>
        </w:rPr>
      </w:pPr>
      <w:r>
        <w:rPr>
          <w:rFonts w:cs="Times New Roman"/>
        </w:rPr>
        <w:t>刘灏（2016届英语专业毕业生）</w:t>
      </w:r>
      <w:r>
        <w:rPr>
          <w:rFonts w:cs="Times New Roman"/>
        </w:rPr>
        <w:tab/>
      </w:r>
      <w:r>
        <w:rPr>
          <w:rFonts w:cs="Times New Roman"/>
        </w:rPr>
        <w:tab/>
      </w:r>
      <w:r>
        <w:rPr>
          <w:rFonts w:cs="Times New Roman"/>
        </w:rPr>
        <w:t>入选非洲青年领袖峰会。</w:t>
      </w:r>
    </w:p>
    <w:p>
      <w:pPr>
        <w:pStyle w:val="22"/>
        <w:widowControl/>
        <w:numPr>
          <w:ilvl w:val="0"/>
          <w:numId w:val="7"/>
        </w:numPr>
        <w:spacing w:after="156" w:afterLines="50"/>
        <w:ind w:left="901"/>
        <w:rPr>
          <w:rFonts w:cs="Times New Roman"/>
        </w:rPr>
      </w:pPr>
      <w:r>
        <w:rPr>
          <w:rFonts w:cs="Times New Roman"/>
        </w:rPr>
        <w:t>徐飞（2012届英语专业毕业生）</w:t>
      </w:r>
      <w:r>
        <w:rPr>
          <w:rFonts w:cs="Times New Roman"/>
        </w:rPr>
        <w:tab/>
      </w:r>
      <w:r>
        <w:rPr>
          <w:rFonts w:cs="Times New Roman"/>
        </w:rPr>
        <w:tab/>
      </w:r>
      <w:r>
        <w:rPr>
          <w:rFonts w:cs="Times New Roman"/>
        </w:rPr>
        <w:t>联合国维和警察，被联合国授予</w:t>
      </w:r>
      <w:r>
        <w:rPr>
          <w:rFonts w:hint="eastAsia" w:cs="Times New Roman"/>
        </w:rPr>
        <w:t>“</w:t>
      </w:r>
      <w:r>
        <w:rPr>
          <w:rFonts w:cs="Times New Roman"/>
        </w:rPr>
        <w:t>和平勋章</w:t>
      </w:r>
      <w:r>
        <w:rPr>
          <w:rFonts w:hint="eastAsia" w:cs="Times New Roman"/>
        </w:rPr>
        <w:t>”</w:t>
      </w:r>
      <w:r>
        <w:rPr>
          <w:rFonts w:cs="Times New Roman"/>
        </w:rPr>
        <w:t>。</w:t>
      </w:r>
    </w:p>
    <w:p>
      <w:pPr>
        <w:pStyle w:val="5"/>
        <w:spacing w:before="93" w:after="93"/>
        <w:ind w:firstLine="560"/>
      </w:pPr>
      <w:r>
        <w:t>八、专业发展趋势</w:t>
      </w:r>
    </w:p>
    <w:p>
      <w:pPr>
        <w:ind w:firstLine="480"/>
      </w:pPr>
      <w:r>
        <w:t>目前全国共有900多所本科院校设有英语专业，其中农林院校35所，山东省51所（含二级学院）。英语专业面临的最大危机和挑战是：随着英语的普及，经济社会对复合型英语人才的要求却逐年提升，专业化英语人才需求缺口很大，而英语专业毕业生就业压力大，专业优势淡化，除语言外的相关技能欠缺，服务经济社会能力不够强。</w:t>
      </w:r>
    </w:p>
    <w:p>
      <w:pPr>
        <w:ind w:firstLine="480"/>
      </w:pPr>
      <w:r>
        <w:t>在此背景下，英语专业结合学校部署要求和对往届毕业生以及在校生的调研，紧密结合社会需求、学校定位以及本专业结构特点，多次进行多层面多角度的研讨，修订英语专业人才培养方案和教学大纲，以更好地满足我校英语专业人才培养的需求。</w:t>
      </w:r>
    </w:p>
    <w:p>
      <w:pPr>
        <w:pStyle w:val="5"/>
        <w:spacing w:before="93" w:after="93"/>
        <w:ind w:firstLine="560"/>
      </w:pPr>
      <w:r>
        <w:t>九、人才需求分析</w:t>
      </w:r>
    </w:p>
    <w:p>
      <w:pPr>
        <w:ind w:firstLine="480"/>
      </w:pPr>
      <w:r>
        <w:t>1.社会对英语专业人才需求的依旧旺盛</w:t>
      </w:r>
    </w:p>
    <w:p>
      <w:pPr>
        <w:ind w:firstLine="480"/>
      </w:pPr>
      <w:r>
        <w:t>当前全球化背景下，英语已经发展成为一门国际通用语（Lingua Franca）,随着我国经济社会的不断发展以及全球化背景下国际间的交流合作的日益加深，英语的作用越来越重要，英语专业传统就业领域如涉外、旅游、教育、经贸等领域对英语专业人才的需求依旧旺盛，英语专业毕业生就业形势总体良好。</w:t>
      </w:r>
    </w:p>
    <w:p>
      <w:pPr>
        <w:ind w:firstLine="480"/>
      </w:pPr>
      <w:r>
        <w:t>2.</w:t>
      </w:r>
      <w:r>
        <w:rPr>
          <w:rFonts w:hint="eastAsia"/>
        </w:rPr>
        <w:t>“</w:t>
      </w:r>
      <w:r>
        <w:t>英语+</w:t>
      </w:r>
      <w:r>
        <w:rPr>
          <w:rFonts w:hint="eastAsia"/>
        </w:rPr>
        <w:t>”</w:t>
      </w:r>
      <w:r>
        <w:t>的复合型人才的需求越来越大</w:t>
      </w:r>
    </w:p>
    <w:p>
      <w:pPr>
        <w:ind w:firstLine="480"/>
      </w:pPr>
      <w:r>
        <w:t>社会和经济的快速发展，对英语人才的知识结构和素质提出了更高的要求，也改变了传统的衡量人才的标准。对单一的英语人才的需求逐渐减少，而对既掌握较高英语专业技能，又了解一定专业知识的</w:t>
      </w:r>
      <w:r>
        <w:rPr>
          <w:rFonts w:hint="eastAsia"/>
        </w:rPr>
        <w:t>“</w:t>
      </w:r>
      <w:r>
        <w:t>英语+</w:t>
      </w:r>
      <w:r>
        <w:rPr>
          <w:rFonts w:hint="eastAsia"/>
        </w:rPr>
        <w:t>”</w:t>
      </w:r>
      <w:r>
        <w:t>的复合型人才的需求越来越大。</w:t>
      </w:r>
    </w:p>
    <w:p>
      <w:pPr>
        <w:pStyle w:val="5"/>
        <w:spacing w:before="93" w:after="93"/>
        <w:ind w:firstLine="560"/>
      </w:pPr>
      <w:r>
        <w:t>十、存在的问题及拟采取的对策措施</w:t>
      </w:r>
    </w:p>
    <w:p>
      <w:pPr>
        <w:ind w:firstLine="480"/>
      </w:pPr>
      <w:r>
        <w:t>多年来英语专业在学校学院的大力支持下，在前期名校建设工程成果的基础上，我们在专业建设和学科发展方面取得了一些成绩，但不可否认的是一些问题依然存在。</w:t>
      </w:r>
    </w:p>
    <w:p>
      <w:pPr>
        <w:ind w:firstLine="482"/>
        <w:rPr>
          <w:b/>
          <w:bCs/>
        </w:rPr>
      </w:pPr>
      <w:r>
        <w:rPr>
          <w:b/>
          <w:bCs/>
        </w:rPr>
        <w:t>（一）存在的问题</w:t>
      </w:r>
    </w:p>
    <w:p>
      <w:pPr>
        <w:ind w:firstLine="480"/>
      </w:pPr>
      <w:r>
        <w:t>1.学科发展方面</w:t>
      </w:r>
    </w:p>
    <w:p>
      <w:pPr>
        <w:ind w:firstLine="480"/>
      </w:pPr>
      <w:r>
        <w:t>目前，英语专业只有本科及一个翻译专业硕士点和外国语言学及应用语言学二级学科硕士点，缺少一级学科硕士点，制约了学科均衡发展；学科特色不够鲜明，未能很好地体现农林院校特色；学科团队建设力度不够，在社会上影响力较大的高水平科研成果数量较少。</w:t>
      </w:r>
    </w:p>
    <w:p>
      <w:pPr>
        <w:ind w:firstLine="480"/>
      </w:pPr>
      <w:r>
        <w:t>2.英语专业本科人才培养方案优化方面</w:t>
      </w:r>
    </w:p>
    <w:p>
      <w:pPr>
        <w:ind w:firstLine="480"/>
      </w:pPr>
      <w:r>
        <w:t>英语专业本科人才培养是个长期复杂的过程。在此过程中需要依据社会发展对英语人才需求和英语学科自身发展做出相应调整，同时又要充分考虑学校人才培养整体规划、资源配置、资源利用以及学生生源情况等各种因素。因此，新版英语专业本科人才培养方案依然存在一些问题。例如，在有限的地域和文化资源制约下下，如何切实有效保证英语专业学生英语语言能力得到有效发展；如何将实践能力培养更加有效地嵌入专业教学，使之更趋合理，更具可操作性，也是目前需要解决的重要课题。</w:t>
      </w:r>
    </w:p>
    <w:p>
      <w:pPr>
        <w:ind w:firstLine="480"/>
      </w:pPr>
      <w:r>
        <w:t>3.课程体系改革方面</w:t>
      </w:r>
    </w:p>
    <w:p>
      <w:pPr>
        <w:ind w:firstLine="480"/>
      </w:pPr>
      <w:r>
        <w:t>三年来，虽然在申报省级精品课方面成绩突出（5门课成功申报省级精品课程），校级慕课以及在线课程建设也取得了一定的成绩，《英美文学》和《英语读写》已建成使用多个学期，但需要进一步思考的问题是，如何将最高效的教学时间精力投入和最高效的学习效果统一起来。此外，慕课、在线课程建设由于受到多方面条件的限制，也亟须加大建设资金投入力度，以保证更好地服务于我校英语人才以及其他专业人才英语素养提高的教学目标。</w:t>
      </w:r>
    </w:p>
    <w:p>
      <w:pPr>
        <w:ind w:firstLine="480"/>
      </w:pPr>
      <w:r>
        <w:t>4.英语专业校外实习基地的建立</w:t>
      </w:r>
    </w:p>
    <w:p>
      <w:pPr>
        <w:ind w:firstLine="480"/>
      </w:pPr>
      <w:r>
        <w:t>英语专业校外实习基地的设立始终是我们的短板，没有充分利用资源，未很好地建立起学校和实习基地间的良性互动。其次，学生创新项目活动已有序展开，但是学生最终的成果没有全部有效转化为论文发表。再次，涉农、涉商企业聘请专家数量太少。</w:t>
      </w:r>
    </w:p>
    <w:p>
      <w:pPr>
        <w:ind w:firstLine="480"/>
      </w:pPr>
      <w:r>
        <w:t>究其原因，主要有如下：1）社会环境，实习教学基地因为本身发展的需要，不可能花钱、花时间去培训学生；所以学院和实习教学基地间很难去协调，实现良性互动。2）学生创新创业项目进行了三年，取得了一些成就，但是因为项目本身积累还需要更长时间。3）资金支持不够，比如实践辅导团队老师的辅导和学生比赛指导，全部在业余时间进行，老师们的工作是无私奉献，没有得到相应的肯定。</w:t>
      </w:r>
    </w:p>
    <w:p>
      <w:pPr>
        <w:ind w:firstLine="480"/>
      </w:pPr>
      <w:r>
        <w:t>5.教师培养进修</w:t>
      </w:r>
    </w:p>
    <w:p>
      <w:pPr>
        <w:ind w:firstLine="480"/>
      </w:pPr>
      <w:r>
        <w:t>英语专业目前有专任教师19名，其中教授5名，副教授11名。师资队伍建设是保证重点专业建设顺利开展的优先条件。希望能够发挥原有骨干师资，继续引进高水平人才，并加大对教师的培养和扶持力度，通过国内外（含校内）访学、攻读学位及在职培训等方式，使专业教师的学历、学位、专业素养得到较大提升。建设合理的教学、学术研究梯队，锻造出一支思想意识过硬、教学水平过硬，爱岗敬业，知识型、专业型、复合型、高学历、高层次的专业教师队伍。</w:t>
      </w:r>
    </w:p>
    <w:p>
      <w:pPr>
        <w:ind w:firstLine="482"/>
        <w:rPr>
          <w:b/>
          <w:bCs/>
        </w:rPr>
      </w:pPr>
      <w:r>
        <w:rPr>
          <w:b/>
          <w:bCs/>
        </w:rPr>
        <w:t>（二）拟采取的对策措施</w:t>
      </w:r>
    </w:p>
    <w:p>
      <w:pPr>
        <w:ind w:firstLine="480"/>
      </w:pPr>
      <w:r>
        <w:t>为实现上述目标，我们初步制定了符合实际的工作思路，同时采取必要的可行的措施以解决实际问题。</w:t>
      </w:r>
    </w:p>
    <w:p>
      <w:pPr>
        <w:ind w:firstLine="480"/>
      </w:pPr>
      <w:r>
        <w:t>1.抓好课程思政协同建设，完善人才培养模式、强化跨学科涉农特色、优化人才培养方案及课程设置。继续深化课程思政建设，推进新时代社会主义思想进高校、进课堂、进教材；以新文科及新农科建设要求为指导，完善人才培养模式，培养具有良好综合素质、扎实英语基本功及应用能力，具备国际视野及本土情怀的跨学科英语高级人才。</w:t>
      </w:r>
    </w:p>
    <w:p>
      <w:pPr>
        <w:ind w:firstLine="480"/>
      </w:pPr>
      <w:r>
        <w:t>2.以打造特色课程及</w:t>
      </w:r>
      <w:r>
        <w:rPr>
          <w:rFonts w:hint="eastAsia"/>
        </w:rPr>
        <w:t>“</w:t>
      </w:r>
      <w:r>
        <w:t>金课</w:t>
      </w:r>
      <w:r>
        <w:rPr>
          <w:rFonts w:hint="eastAsia"/>
        </w:rPr>
        <w:t>”</w:t>
      </w:r>
      <w:r>
        <w:t>为突破口，加大教学资源建设整合力度，在原先五门省级精品课和2门山东省一流课程基础上，打造特色</w:t>
      </w:r>
      <w:r>
        <w:rPr>
          <w:rFonts w:hint="eastAsia"/>
        </w:rPr>
        <w:t>“</w:t>
      </w:r>
      <w:r>
        <w:t>金课</w:t>
      </w:r>
      <w:r>
        <w:rPr>
          <w:rFonts w:hint="eastAsia"/>
        </w:rPr>
        <w:t>”</w:t>
      </w:r>
      <w:r>
        <w:t>群，力争建成1门国家级、3门省级一流课程，出版1-5种省部级或国家级优秀教材，促进优质教学资源共享；创新教师培训方式，帮助教师转变教学理念方法：突出产出导向，以学生为中心，从</w:t>
      </w:r>
      <w:r>
        <w:rPr>
          <w:rFonts w:hint="eastAsia"/>
        </w:rPr>
        <w:t>“</w:t>
      </w:r>
      <w:r>
        <w:t>教得好</w:t>
      </w:r>
      <w:r>
        <w:rPr>
          <w:rFonts w:hint="eastAsia"/>
        </w:rPr>
        <w:t>”</w:t>
      </w:r>
      <w:r>
        <w:t xml:space="preserve"> 向</w:t>
      </w:r>
      <w:r>
        <w:rPr>
          <w:rFonts w:hint="eastAsia"/>
        </w:rPr>
        <w:t>“</w:t>
      </w:r>
      <w:r>
        <w:t>学得好</w:t>
      </w:r>
      <w:r>
        <w:rPr>
          <w:rFonts w:hint="eastAsia"/>
        </w:rPr>
        <w:t>”</w:t>
      </w:r>
      <w:r>
        <w:t>转变，注重学生的</w:t>
      </w:r>
      <w:r>
        <w:rPr>
          <w:rFonts w:hint="eastAsia"/>
        </w:rPr>
        <w:t>“</w:t>
      </w:r>
      <w:r>
        <w:t>获得感</w:t>
      </w:r>
      <w:r>
        <w:rPr>
          <w:rFonts w:hint="eastAsia"/>
        </w:rPr>
        <w:t>”</w:t>
      </w:r>
      <w:r>
        <w:t>。</w:t>
      </w:r>
    </w:p>
    <w:p>
      <w:pPr>
        <w:ind w:firstLine="480"/>
      </w:pPr>
      <w:r>
        <w:t>3.转变理念，创新方式，加大教师队伍建设力度。通过国内外访学、读博、企业挂职锻炼等政策措施，把有博士学位的教师增加一倍，</w:t>
      </w:r>
      <w:r>
        <w:rPr>
          <w:rFonts w:hint="eastAsia"/>
        </w:rPr>
        <w:t>“</w:t>
      </w:r>
      <w:r>
        <w:t>跨学科型</w:t>
      </w:r>
      <w:r>
        <w:rPr>
          <w:rFonts w:hint="eastAsia"/>
        </w:rPr>
        <w:t>”</w:t>
      </w:r>
      <w:r>
        <w:t>教师比例达到40%；通过校企合作，从合作企业常年聘请双师型教师4-6人。通过职称评聘及教师评价体系等改革，实现教师队伍分流（</w:t>
      </w:r>
      <w:r>
        <w:rPr>
          <w:rFonts w:hint="eastAsia"/>
        </w:rPr>
        <w:t>“</w:t>
      </w:r>
      <w:r>
        <w:t>教学型</w:t>
      </w:r>
      <w:r>
        <w:rPr>
          <w:rFonts w:hint="eastAsia"/>
        </w:rPr>
        <w:t>”</w:t>
      </w:r>
      <w:r>
        <w:t>+</w:t>
      </w:r>
      <w:r>
        <w:rPr>
          <w:rFonts w:hint="eastAsia"/>
        </w:rPr>
        <w:t>“</w:t>
      </w:r>
      <w:r>
        <w:t>教学研究型</w:t>
      </w:r>
      <w:r>
        <w:rPr>
          <w:rFonts w:hint="eastAsia"/>
        </w:rPr>
        <w:t>”</w:t>
      </w:r>
      <w:r>
        <w:t xml:space="preserve">），使教师的教学及科研更具针对性和应用价值。建设期内争取获批一个省级教学团队或省级教学名师。  </w:t>
      </w:r>
    </w:p>
    <w:p>
      <w:pPr>
        <w:ind w:firstLine="480"/>
      </w:pPr>
      <w:r>
        <w:t>4.针对校内外实践、实习基地不足的问题，积极争取学校、学院政策支持， 结合人才培养目标，努力联系更多有合作意向的单位，为英语专业学生提供更多实践实习平台。其次，深化落实校地、校校合作及校企合作，使有过社会实践、企业实习及专业实习经历的学生达到95%以上，每个班级配备来自企事业单位、管理及实践经验丰富的班主任或导师，把社会实践及专业实习落到实处。</w:t>
      </w:r>
    </w:p>
    <w:p/>
    <w:p>
      <w:r>
        <w:br w:type="page"/>
      </w:r>
    </w:p>
    <w:p>
      <w:pPr>
        <w:pStyle w:val="4"/>
        <w:ind w:firstLine="600"/>
      </w:pPr>
      <w:bookmarkStart w:id="525" w:name="_Toc21824"/>
      <w:bookmarkStart w:id="526" w:name="_Toc32663"/>
      <w:r>
        <w:t>专业五十</w:t>
      </w:r>
      <w:r>
        <w:rPr>
          <w:rFonts w:hint="eastAsia"/>
          <w:lang w:val="en-US"/>
        </w:rPr>
        <w:t>一</w:t>
      </w:r>
      <w:r>
        <w:t>：俄语</w:t>
      </w:r>
      <w:bookmarkEnd w:id="525"/>
      <w:bookmarkEnd w:id="526"/>
    </w:p>
    <w:p>
      <w:pPr>
        <w:pStyle w:val="5"/>
        <w:spacing w:before="93" w:after="93"/>
        <w:ind w:firstLine="560"/>
      </w:pPr>
      <w:r>
        <w:t>一、人才培养目标</w:t>
      </w:r>
    </w:p>
    <w:p>
      <w:pPr>
        <w:pStyle w:val="15"/>
        <w:spacing w:before="0" w:beforeAutospacing="0" w:after="0" w:afterAutospacing="0"/>
        <w:ind w:firstLine="480"/>
        <w:jc w:val="both"/>
        <w:rPr>
          <w:rFonts w:ascii="Times New Roman" w:hAnsi="Times New Roman" w:cs="Times New Roman"/>
        </w:rPr>
      </w:pPr>
      <w:r>
        <w:rPr>
          <w:rFonts w:ascii="Times New Roman" w:hAnsi="Times New Roman" w:cs="Times New Roman"/>
        </w:rPr>
        <w:t>本专业旨在培养具有良好的综合素质，扎实的俄语基本功和丰富的文学知识和较好的翻译能力，掌握第二外语、经贸等相关专业知识，具备跨文化交际知识和能力，适应国家和地方经济社会发展的俄语专业型和创新型人才。毕业生毕业后经过5年左右的工作实践，能熟练并创新性从事翻译不同体裁文献、管理、教学、基础研究及其它涉外工作并逐步成长为本领域高层次人才。</w:t>
      </w:r>
    </w:p>
    <w:p>
      <w:pPr>
        <w:pStyle w:val="5"/>
        <w:spacing w:before="93" w:after="93"/>
        <w:ind w:firstLine="560"/>
      </w:pPr>
      <w:r>
        <w:t>二、培养能力</w:t>
      </w:r>
    </w:p>
    <w:p>
      <w:pPr>
        <w:pStyle w:val="6"/>
        <w:ind w:firstLine="480"/>
      </w:pPr>
      <w:r>
        <w:t>1</w:t>
      </w:r>
      <w:r>
        <w:rPr>
          <w:rFonts w:hint="eastAsia"/>
        </w:rPr>
        <w:t xml:space="preserve">. </w:t>
      </w:r>
      <w:r>
        <w:t>专业设置情况</w:t>
      </w:r>
    </w:p>
    <w:p>
      <w:pPr>
        <w:pStyle w:val="15"/>
        <w:spacing w:before="0" w:beforeAutospacing="0" w:after="0" w:afterAutospacing="0"/>
        <w:ind w:firstLine="480"/>
        <w:jc w:val="both"/>
        <w:rPr>
          <w:rFonts w:ascii="Times New Roman" w:hAnsi="Times New Roman" w:cs="Times New Roman"/>
        </w:rPr>
      </w:pPr>
      <w:r>
        <w:rPr>
          <w:rFonts w:ascii="Times New Roman" w:hAnsi="Times New Roman" w:cs="Times New Roman"/>
        </w:rPr>
        <w:t>俄语专业于2009年获教育部批准设立并于同年正式招生。</w:t>
      </w:r>
    </w:p>
    <w:p>
      <w:pPr>
        <w:pStyle w:val="15"/>
        <w:spacing w:before="0" w:beforeAutospacing="0" w:after="0" w:afterAutospacing="0"/>
        <w:ind w:firstLine="480"/>
        <w:jc w:val="both"/>
        <w:rPr>
          <w:rFonts w:ascii="Times New Roman" w:hAnsi="Times New Roman" w:cs="Times New Roman"/>
        </w:rPr>
      </w:pPr>
      <w:r>
        <w:rPr>
          <w:rFonts w:ascii="Times New Roman" w:hAnsi="Times New Roman" w:cs="Times New Roman"/>
        </w:rPr>
        <w:t>近年来我国高校俄语办学规模不断扩大。目前全国开设俄语专业的高校达到170余所，其中山东有13所，分别是山东大学、山东师范大学、中国石油大学（华东）、青岛科技大学、山东第一医科大学、临沂大学、青岛城市学院、青岛滨海学院、曲阜师范大学、山东交通学院、山东女子学院、德州学院和山东农业大学。山东依靠蓬勃的社会经济发展和中东欧全面合作优势，日益成为中国俄语教学和俄语人才培养的重镇。同时全国俄语专业人才培养规格不断提高，硕博士学位点不断增加，特别是专业硕士学位招生数量不断扩大。</w:t>
      </w:r>
    </w:p>
    <w:p>
      <w:pPr>
        <w:pStyle w:val="6"/>
        <w:ind w:firstLine="480"/>
      </w:pPr>
      <w:r>
        <w:t>2</w:t>
      </w:r>
      <w:r>
        <w:rPr>
          <w:rFonts w:hint="eastAsia"/>
        </w:rPr>
        <w:t xml:space="preserve">. </w:t>
      </w:r>
      <w:r>
        <w:t>在校生规模</w:t>
      </w:r>
    </w:p>
    <w:p>
      <w:pPr>
        <w:pStyle w:val="15"/>
        <w:spacing w:before="0" w:beforeAutospacing="0" w:after="0" w:afterAutospacing="0"/>
        <w:ind w:firstLine="480"/>
        <w:jc w:val="both"/>
        <w:rPr>
          <w:rFonts w:ascii="Times New Roman" w:hAnsi="Times New Roman" w:cs="Times New Roman"/>
        </w:rPr>
      </w:pPr>
      <w:r>
        <w:rPr>
          <w:rFonts w:ascii="Times New Roman" w:hAnsi="Times New Roman" w:cs="Times New Roman"/>
        </w:rPr>
        <w:t>随着自2020级开始每年招生扩大至60人。目前俄语专业在校生达163人，共有7个教学班。</w:t>
      </w:r>
    </w:p>
    <w:p>
      <w:pPr>
        <w:pStyle w:val="6"/>
        <w:ind w:firstLine="480"/>
      </w:pPr>
      <w:r>
        <w:t>3</w:t>
      </w:r>
      <w:r>
        <w:rPr>
          <w:rFonts w:hint="eastAsia"/>
        </w:rPr>
        <w:t xml:space="preserve">. </w:t>
      </w:r>
      <w:r>
        <w:t>课程设置情况</w:t>
      </w:r>
    </w:p>
    <w:p>
      <w:pPr>
        <w:pStyle w:val="15"/>
        <w:spacing w:before="0" w:beforeAutospacing="0" w:after="0" w:afterAutospacing="0"/>
        <w:ind w:firstLine="480"/>
        <w:jc w:val="both"/>
        <w:rPr>
          <w:rFonts w:ascii="Times New Roman" w:hAnsi="Times New Roman" w:cs="Times New Roman"/>
        </w:rPr>
      </w:pPr>
      <w:r>
        <w:rPr>
          <w:rFonts w:ascii="Times New Roman" w:hAnsi="Times New Roman" w:cs="Times New Roman"/>
        </w:rPr>
        <w:t>本专业课程按类别划分为：通识教育课、专业教育课、拓展教育课和实践教学课程。其中，实践教学包括基础实践、专业实践和综合实践。</w:t>
      </w:r>
    </w:p>
    <w:p>
      <w:pPr>
        <w:pStyle w:val="15"/>
        <w:spacing w:before="0" w:beforeAutospacing="0" w:after="0" w:afterAutospacing="0"/>
        <w:ind w:firstLine="480"/>
        <w:jc w:val="both"/>
        <w:rPr>
          <w:rFonts w:ascii="Times New Roman" w:hAnsi="Times New Roman" w:cs="Times New Roman"/>
        </w:rPr>
      </w:pPr>
      <w:r>
        <w:rPr>
          <w:rFonts w:ascii="Times New Roman" w:hAnsi="Times New Roman" w:cs="Times New Roman"/>
        </w:rPr>
        <w:t>课程设置主要参考文件：1)山东农业大学《关于做好本科人才培养方案修订工作的通知》（教通字[2022]12号）；2)山东农业大学关于本科专业人才培养方案修订工作的指导意见（2022）；3)《高等学校外国语言文学类本科专业教学质量国家标准（俄语）》和《普通高等学校本科专业俄语专业教学指南》</w:t>
      </w:r>
    </w:p>
    <w:p>
      <w:pPr>
        <w:pStyle w:val="15"/>
        <w:spacing w:before="0" w:beforeAutospacing="0" w:after="0" w:afterAutospacing="0"/>
        <w:ind w:firstLine="480"/>
        <w:jc w:val="both"/>
        <w:rPr>
          <w:rFonts w:ascii="Times New Roman" w:hAnsi="Times New Roman" w:cs="Times New Roman"/>
        </w:rPr>
      </w:pPr>
      <w:r>
        <w:rPr>
          <w:rFonts w:ascii="Times New Roman" w:hAnsi="Times New Roman" w:cs="Times New Roman"/>
        </w:rPr>
        <w:t>课程设置分必修课程与选修课程。其中在专业方向课中，选修课程又分为</w:t>
      </w:r>
      <w:r>
        <w:rPr>
          <w:rFonts w:hint="eastAsia" w:ascii="Times New Roman" w:hAnsi="Times New Roman" w:cs="Times New Roman"/>
        </w:rPr>
        <w:t>“</w:t>
      </w:r>
      <w:r>
        <w:rPr>
          <w:rFonts w:ascii="Times New Roman" w:hAnsi="Times New Roman" w:cs="Times New Roman"/>
        </w:rPr>
        <w:t>专业型</w:t>
      </w:r>
      <w:r>
        <w:rPr>
          <w:rFonts w:hint="eastAsia" w:ascii="Times New Roman" w:hAnsi="Times New Roman" w:cs="Times New Roman"/>
        </w:rPr>
        <w:t>”</w:t>
      </w:r>
      <w:r>
        <w:rPr>
          <w:rFonts w:ascii="Times New Roman" w:hAnsi="Times New Roman" w:cs="Times New Roman"/>
        </w:rPr>
        <w:t>、</w:t>
      </w:r>
      <w:r>
        <w:rPr>
          <w:rFonts w:hint="eastAsia" w:ascii="Times New Roman" w:hAnsi="Times New Roman" w:cs="Times New Roman"/>
        </w:rPr>
        <w:t>“</w:t>
      </w:r>
      <w:r>
        <w:rPr>
          <w:rFonts w:ascii="Times New Roman" w:hAnsi="Times New Roman" w:cs="Times New Roman"/>
        </w:rPr>
        <w:t>创新型</w:t>
      </w:r>
      <w:r>
        <w:rPr>
          <w:rFonts w:hint="eastAsia" w:ascii="Times New Roman" w:hAnsi="Times New Roman" w:cs="Times New Roman"/>
        </w:rPr>
        <w:t>”</w:t>
      </w:r>
      <w:r>
        <w:rPr>
          <w:rFonts w:ascii="Times New Roman" w:hAnsi="Times New Roman" w:cs="Times New Roman"/>
        </w:rPr>
        <w:t>两种类型。</w:t>
      </w:r>
      <w:r>
        <w:rPr>
          <w:rFonts w:hint="eastAsia" w:ascii="Times New Roman" w:hAnsi="Times New Roman" w:cs="Times New Roman"/>
        </w:rPr>
        <w:t>“</w:t>
      </w:r>
      <w:r>
        <w:rPr>
          <w:rFonts w:ascii="Times New Roman" w:hAnsi="Times New Roman" w:cs="Times New Roman"/>
        </w:rPr>
        <w:t>专业型</w:t>
      </w:r>
      <w:r>
        <w:rPr>
          <w:rFonts w:hint="eastAsia" w:ascii="Times New Roman" w:hAnsi="Times New Roman" w:cs="Times New Roman"/>
        </w:rPr>
        <w:t>”</w:t>
      </w:r>
      <w:r>
        <w:rPr>
          <w:rFonts w:ascii="Times New Roman" w:hAnsi="Times New Roman" w:cs="Times New Roman"/>
        </w:rPr>
        <w:t>选修课程是为拓展专业内容而设置；</w:t>
      </w:r>
      <w:r>
        <w:rPr>
          <w:rFonts w:hint="eastAsia" w:ascii="Times New Roman" w:hAnsi="Times New Roman" w:cs="Times New Roman"/>
        </w:rPr>
        <w:t>“</w:t>
      </w:r>
      <w:r>
        <w:rPr>
          <w:rFonts w:ascii="Times New Roman" w:hAnsi="Times New Roman" w:cs="Times New Roman"/>
        </w:rPr>
        <w:t>创新型</w:t>
      </w:r>
      <w:r>
        <w:rPr>
          <w:rFonts w:hint="eastAsia" w:ascii="Times New Roman" w:hAnsi="Times New Roman" w:cs="Times New Roman"/>
        </w:rPr>
        <w:t>”</w:t>
      </w:r>
      <w:r>
        <w:rPr>
          <w:rFonts w:ascii="Times New Roman" w:hAnsi="Times New Roman" w:cs="Times New Roman"/>
        </w:rPr>
        <w:t>选修课程是为深入专业研究和提高语言应用能力而设置。</w:t>
      </w:r>
    </w:p>
    <w:p>
      <w:pPr>
        <w:pStyle w:val="15"/>
        <w:spacing w:before="0" w:beforeAutospacing="0" w:after="0" w:afterAutospacing="0"/>
        <w:ind w:firstLine="480"/>
        <w:jc w:val="both"/>
        <w:rPr>
          <w:rFonts w:ascii="Times New Roman" w:hAnsi="Times New Roman" w:cs="Times New Roman"/>
        </w:rPr>
      </w:pPr>
      <w:r>
        <w:rPr>
          <w:rFonts w:ascii="Times New Roman" w:hAnsi="Times New Roman" w:cs="Times New Roman"/>
        </w:rPr>
        <w:t>主要理论课程：基础俄语、高级俄语、语法、阅读、视听说、俄罗斯文学史、翻译理论与实践、口译、写作、视听说、俄罗斯概况、学术论文写作与研究方法等。</w:t>
      </w:r>
    </w:p>
    <w:p>
      <w:pPr>
        <w:pStyle w:val="15"/>
        <w:spacing w:before="0" w:beforeAutospacing="0" w:after="0" w:afterAutospacing="0"/>
        <w:ind w:firstLine="480"/>
        <w:jc w:val="both"/>
        <w:rPr>
          <w:rFonts w:ascii="Times New Roman" w:hAnsi="Times New Roman" w:cs="Times New Roman"/>
        </w:rPr>
      </w:pPr>
      <w:r>
        <w:rPr>
          <w:rFonts w:ascii="Times New Roman" w:hAnsi="Times New Roman" w:cs="Times New Roman"/>
        </w:rPr>
        <w:t>主要实践课程：俄语国情知识竞赛、戏剧排演、俄罗斯文学读书报告、俄语演讲与辩论、就业技能指导、笔译实践练习、专业认知实习、俄语时文阅读等。</w:t>
      </w:r>
    </w:p>
    <w:p>
      <w:pPr>
        <w:pStyle w:val="6"/>
        <w:ind w:firstLine="480"/>
      </w:pPr>
      <w:r>
        <w:t>4</w:t>
      </w:r>
      <w:r>
        <w:rPr>
          <w:rFonts w:hint="eastAsia"/>
        </w:rPr>
        <w:t xml:space="preserve">. </w:t>
      </w:r>
      <w:r>
        <w:t>创新创业教育</w:t>
      </w:r>
    </w:p>
    <w:p>
      <w:pPr>
        <w:pStyle w:val="15"/>
        <w:spacing w:before="0" w:beforeAutospacing="0" w:after="0" w:afterAutospacing="0"/>
        <w:ind w:firstLine="48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rPr>
        <w:t>山东农业大学是全国创新创业典型经验高校50强。自2013年俄语系学生每年都积极申报大学生创新创业训练项目，每年获校级、院级立项多项。</w:t>
      </w:r>
      <w:r>
        <w:rPr>
          <w:rFonts w:ascii="Times New Roman" w:hAnsi="Times New Roman" w:cs="Times New Roman"/>
          <w:color w:val="000000" w:themeColor="text1"/>
          <w14:textFill>
            <w14:solidFill>
              <w14:schemeClr w14:val="tx1"/>
            </w14:solidFill>
          </w14:textFill>
        </w:rPr>
        <w:t>2021-2022学年俄语专业师生获院校级创新训练项目6项，学生获英语竞赛山东省一等奖两次。</w:t>
      </w:r>
    </w:p>
    <w:p>
      <w:pPr>
        <w:pStyle w:val="15"/>
        <w:spacing w:before="0" w:beforeAutospacing="0" w:after="0" w:afterAutospacing="0"/>
        <w:ind w:firstLine="480"/>
        <w:jc w:val="both"/>
        <w:rPr>
          <w:rFonts w:ascii="Times New Roman" w:hAnsi="Times New Roman" w:cs="Times New Roman"/>
          <w:color w:val="000000" w:themeColor="text1"/>
          <w14:textFill>
            <w14:solidFill>
              <w14:schemeClr w14:val="tx1"/>
            </w14:solidFill>
          </w14:textFill>
        </w:rPr>
      </w:pPr>
    </w:p>
    <w:p>
      <w:pPr>
        <w:widowControl/>
        <w:adjustRightInd w:val="0"/>
        <w:snapToGrid w:val="0"/>
        <w:spacing w:line="240" w:lineRule="auto"/>
        <w:jc w:val="center"/>
        <w:rPr>
          <w:b/>
          <w:bCs/>
          <w:color w:val="000000"/>
          <w:kern w:val="0"/>
          <w:sz w:val="21"/>
          <w:szCs w:val="21"/>
        </w:rPr>
      </w:pPr>
      <w:bookmarkStart w:id="527" w:name="_Hlk84748706"/>
      <w:r>
        <w:rPr>
          <w:b/>
          <w:bCs/>
          <w:color w:val="000000"/>
          <w:kern w:val="0"/>
          <w:sz w:val="21"/>
          <w:szCs w:val="21"/>
        </w:rPr>
        <w:t>2021-2022学年俄语专业SRT立项情况统计表</w:t>
      </w:r>
    </w:p>
    <w:tbl>
      <w:tblPr>
        <w:tblStyle w:val="18"/>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7"/>
        <w:gridCol w:w="4671"/>
        <w:gridCol w:w="1053"/>
        <w:gridCol w:w="1205"/>
        <w:gridCol w:w="15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 w:type="pct"/>
            <w:vAlign w:val="center"/>
          </w:tcPr>
          <w:p>
            <w:pPr>
              <w:widowControl/>
              <w:adjustRightInd w:val="0"/>
              <w:snapToGrid w:val="0"/>
              <w:spacing w:line="240" w:lineRule="auto"/>
              <w:jc w:val="center"/>
              <w:rPr>
                <w:b/>
                <w:bCs/>
                <w:color w:val="000000"/>
                <w:kern w:val="0"/>
                <w:sz w:val="21"/>
                <w:szCs w:val="21"/>
              </w:rPr>
            </w:pPr>
          </w:p>
        </w:tc>
        <w:tc>
          <w:tcPr>
            <w:tcW w:w="2578"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题目</w:t>
            </w:r>
          </w:p>
        </w:tc>
        <w:tc>
          <w:tcPr>
            <w:tcW w:w="581"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级别</w:t>
            </w:r>
          </w:p>
        </w:tc>
        <w:tc>
          <w:tcPr>
            <w:tcW w:w="665"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主持人</w:t>
            </w:r>
          </w:p>
        </w:tc>
        <w:tc>
          <w:tcPr>
            <w:tcW w:w="861"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指导教师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1</w:t>
            </w:r>
          </w:p>
        </w:tc>
        <w:tc>
          <w:tcPr>
            <w:tcW w:w="2578"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家训的溯源传承与创造性转化</w:t>
            </w:r>
          </w:p>
        </w:tc>
        <w:tc>
          <w:tcPr>
            <w:tcW w:w="581"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665"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王瑞娜</w:t>
            </w:r>
          </w:p>
        </w:tc>
        <w:tc>
          <w:tcPr>
            <w:tcW w:w="861"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朱艳红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2</w:t>
            </w:r>
          </w:p>
        </w:tc>
        <w:tc>
          <w:tcPr>
            <w:tcW w:w="2578"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研思十二月党人文学的现实主义</w:t>
            </w:r>
          </w:p>
        </w:tc>
        <w:tc>
          <w:tcPr>
            <w:tcW w:w="581"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665"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郑成文</w:t>
            </w:r>
          </w:p>
        </w:tc>
        <w:tc>
          <w:tcPr>
            <w:tcW w:w="861"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朱艳红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3</w:t>
            </w:r>
          </w:p>
        </w:tc>
        <w:tc>
          <w:tcPr>
            <w:tcW w:w="2578" w:type="pct"/>
            <w:vAlign w:val="center"/>
          </w:tcPr>
          <w:p>
            <w:pPr>
              <w:widowControl/>
              <w:adjustRightInd w:val="0"/>
              <w:snapToGrid w:val="0"/>
              <w:spacing w:line="240" w:lineRule="auto"/>
              <w:jc w:val="center"/>
              <w:rPr>
                <w:color w:val="000000"/>
                <w:kern w:val="0"/>
                <w:sz w:val="21"/>
                <w:szCs w:val="21"/>
              </w:rPr>
            </w:pPr>
            <w:r>
              <w:rPr>
                <w:rFonts w:hint="eastAsia"/>
                <w:color w:val="000000"/>
                <w:kern w:val="0"/>
                <w:sz w:val="21"/>
                <w:szCs w:val="21"/>
              </w:rPr>
              <w:t>“</w:t>
            </w:r>
            <w:r>
              <w:rPr>
                <w:color w:val="000000"/>
                <w:kern w:val="0"/>
                <w:sz w:val="21"/>
                <w:szCs w:val="21"/>
              </w:rPr>
              <w:t>习言习语</w:t>
            </w:r>
            <w:r>
              <w:rPr>
                <w:rFonts w:hint="eastAsia"/>
                <w:color w:val="000000"/>
                <w:kern w:val="0"/>
                <w:sz w:val="21"/>
                <w:szCs w:val="21"/>
              </w:rPr>
              <w:t>”</w:t>
            </w:r>
            <w:r>
              <w:rPr>
                <w:color w:val="000000"/>
                <w:kern w:val="0"/>
                <w:sz w:val="21"/>
                <w:szCs w:val="21"/>
              </w:rPr>
              <w:t>俄语翻译研究</w:t>
            </w:r>
          </w:p>
        </w:tc>
        <w:tc>
          <w:tcPr>
            <w:tcW w:w="581"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校级</w:t>
            </w:r>
          </w:p>
        </w:tc>
        <w:tc>
          <w:tcPr>
            <w:tcW w:w="665"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崔佳欣</w:t>
            </w:r>
          </w:p>
        </w:tc>
        <w:tc>
          <w:tcPr>
            <w:tcW w:w="861"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朱艳红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4</w:t>
            </w:r>
          </w:p>
        </w:tc>
        <w:tc>
          <w:tcPr>
            <w:tcW w:w="2578"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现代俄语中英语外来词多维度研究</w:t>
            </w:r>
          </w:p>
        </w:tc>
        <w:tc>
          <w:tcPr>
            <w:tcW w:w="581"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665"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荆</w:t>
            </w:r>
            <w:r>
              <w:rPr>
                <w:rFonts w:hint="eastAsia"/>
                <w:color w:val="000000"/>
                <w:kern w:val="0"/>
                <w:sz w:val="21"/>
                <w:szCs w:val="21"/>
              </w:rPr>
              <w:t xml:space="preserve">  </w:t>
            </w:r>
            <w:r>
              <w:rPr>
                <w:color w:val="000000"/>
                <w:kern w:val="0"/>
                <w:sz w:val="21"/>
                <w:szCs w:val="21"/>
              </w:rPr>
              <w:t>晨</w:t>
            </w:r>
          </w:p>
        </w:tc>
        <w:tc>
          <w:tcPr>
            <w:tcW w:w="861"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朱艳红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5</w:t>
            </w:r>
          </w:p>
        </w:tc>
        <w:tc>
          <w:tcPr>
            <w:tcW w:w="2578"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大学生俄语词汇记忆策略研究</w:t>
            </w:r>
          </w:p>
        </w:tc>
        <w:tc>
          <w:tcPr>
            <w:tcW w:w="581"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665"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祁晴杰</w:t>
            </w:r>
          </w:p>
        </w:tc>
        <w:tc>
          <w:tcPr>
            <w:tcW w:w="861"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朱艳红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3"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6</w:t>
            </w:r>
          </w:p>
        </w:tc>
        <w:tc>
          <w:tcPr>
            <w:tcW w:w="2578"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俄罗斯宗教与俄语关系研究</w:t>
            </w:r>
          </w:p>
        </w:tc>
        <w:tc>
          <w:tcPr>
            <w:tcW w:w="581"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院级</w:t>
            </w:r>
          </w:p>
        </w:tc>
        <w:tc>
          <w:tcPr>
            <w:tcW w:w="665"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丁若熙</w:t>
            </w:r>
          </w:p>
        </w:tc>
        <w:tc>
          <w:tcPr>
            <w:tcW w:w="861"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朱艳红</w:t>
            </w:r>
          </w:p>
        </w:tc>
      </w:tr>
      <w:bookmarkEnd w:id="527"/>
    </w:tbl>
    <w:p>
      <w:pPr>
        <w:widowControl/>
        <w:adjustRightInd w:val="0"/>
        <w:snapToGrid w:val="0"/>
        <w:spacing w:line="240" w:lineRule="auto"/>
        <w:jc w:val="center"/>
        <w:rPr>
          <w:color w:val="000000"/>
          <w:kern w:val="0"/>
          <w:sz w:val="21"/>
          <w:szCs w:val="21"/>
        </w:rPr>
      </w:pPr>
    </w:p>
    <w:p>
      <w:pPr>
        <w:widowControl/>
        <w:adjustRightInd w:val="0"/>
        <w:snapToGrid w:val="0"/>
        <w:spacing w:line="240" w:lineRule="auto"/>
        <w:jc w:val="center"/>
        <w:rPr>
          <w:b/>
          <w:bCs/>
          <w:color w:val="000000"/>
          <w:kern w:val="0"/>
          <w:sz w:val="21"/>
          <w:szCs w:val="21"/>
        </w:rPr>
      </w:pPr>
      <w:r>
        <w:rPr>
          <w:b/>
          <w:bCs/>
          <w:color w:val="000000"/>
          <w:kern w:val="0"/>
          <w:sz w:val="21"/>
          <w:szCs w:val="21"/>
        </w:rPr>
        <w:t>2021-2022学年俄语专业学生获奖情况统计表</w:t>
      </w:r>
    </w:p>
    <w:tbl>
      <w:tblPr>
        <w:tblStyle w:val="1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1"/>
        <w:gridCol w:w="4700"/>
        <w:gridCol w:w="1818"/>
        <w:gridCol w:w="1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5" w:type="pct"/>
            <w:vAlign w:val="center"/>
          </w:tcPr>
          <w:p>
            <w:pPr>
              <w:widowControl/>
              <w:adjustRightInd w:val="0"/>
              <w:snapToGrid w:val="0"/>
              <w:spacing w:line="240" w:lineRule="auto"/>
              <w:jc w:val="center"/>
              <w:rPr>
                <w:b/>
                <w:bCs/>
                <w:color w:val="000000"/>
                <w:kern w:val="0"/>
                <w:sz w:val="21"/>
                <w:szCs w:val="21"/>
              </w:rPr>
            </w:pPr>
          </w:p>
        </w:tc>
        <w:tc>
          <w:tcPr>
            <w:tcW w:w="2593"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题目</w:t>
            </w:r>
          </w:p>
        </w:tc>
        <w:tc>
          <w:tcPr>
            <w:tcW w:w="1003"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级别</w:t>
            </w:r>
          </w:p>
        </w:tc>
        <w:tc>
          <w:tcPr>
            <w:tcW w:w="1087"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获奖人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5"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1</w:t>
            </w:r>
          </w:p>
        </w:tc>
        <w:tc>
          <w:tcPr>
            <w:tcW w:w="2593" w:type="pct"/>
            <w:vAlign w:val="center"/>
          </w:tcPr>
          <w:p>
            <w:pPr>
              <w:widowControl/>
              <w:adjustRightInd w:val="0"/>
              <w:snapToGrid w:val="0"/>
              <w:spacing w:line="240" w:lineRule="auto"/>
              <w:jc w:val="center"/>
              <w:rPr>
                <w:color w:val="000000"/>
                <w:kern w:val="0"/>
                <w:sz w:val="21"/>
                <w:szCs w:val="21"/>
              </w:rPr>
            </w:pPr>
            <w:r>
              <w:rPr>
                <w:rFonts w:hint="eastAsia"/>
                <w:color w:val="000000"/>
                <w:kern w:val="0"/>
                <w:sz w:val="21"/>
                <w:szCs w:val="21"/>
              </w:rPr>
              <w:t>“</w:t>
            </w:r>
            <w:r>
              <w:rPr>
                <w:color w:val="000000"/>
                <w:kern w:val="0"/>
                <w:sz w:val="21"/>
                <w:szCs w:val="21"/>
              </w:rPr>
              <w:t>21世纪杯</w:t>
            </w:r>
            <w:r>
              <w:rPr>
                <w:rFonts w:hint="eastAsia"/>
                <w:color w:val="000000"/>
                <w:kern w:val="0"/>
                <w:sz w:val="21"/>
                <w:szCs w:val="21"/>
              </w:rPr>
              <w:t>”</w:t>
            </w:r>
            <w:r>
              <w:rPr>
                <w:color w:val="000000"/>
                <w:kern w:val="0"/>
                <w:sz w:val="21"/>
                <w:szCs w:val="21"/>
              </w:rPr>
              <w:t>全国大学生英语演讲比赛</w:t>
            </w:r>
          </w:p>
        </w:tc>
        <w:tc>
          <w:tcPr>
            <w:tcW w:w="1003"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山东省一等奖</w:t>
            </w:r>
          </w:p>
        </w:tc>
        <w:tc>
          <w:tcPr>
            <w:tcW w:w="1087"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冯婕妤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5"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2</w:t>
            </w:r>
          </w:p>
        </w:tc>
        <w:tc>
          <w:tcPr>
            <w:tcW w:w="2593"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全国大学生英语作文比赛</w:t>
            </w:r>
          </w:p>
        </w:tc>
        <w:tc>
          <w:tcPr>
            <w:tcW w:w="1003"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山东省一等奖</w:t>
            </w:r>
          </w:p>
        </w:tc>
        <w:tc>
          <w:tcPr>
            <w:tcW w:w="1087"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冯婕妤</w:t>
            </w:r>
          </w:p>
        </w:tc>
      </w:tr>
    </w:tbl>
    <w:p>
      <w:pPr>
        <w:pStyle w:val="15"/>
        <w:spacing w:before="0" w:beforeAutospacing="0" w:after="0" w:afterAutospacing="0"/>
        <w:jc w:val="both"/>
        <w:rPr>
          <w:rFonts w:ascii="Times New Roman" w:hAnsi="Times New Roman" w:cs="Times New Roman"/>
        </w:rPr>
      </w:pPr>
    </w:p>
    <w:p>
      <w:pPr>
        <w:pStyle w:val="5"/>
        <w:spacing w:before="93" w:after="93"/>
        <w:ind w:firstLine="560"/>
      </w:pPr>
      <w:r>
        <w:t>三、培养条件</w:t>
      </w:r>
    </w:p>
    <w:p>
      <w:pPr>
        <w:ind w:firstLine="480"/>
      </w:pPr>
      <w:r>
        <w:t>硬件设施：近五年,外国语学院投入大量资金</w:t>
      </w:r>
      <w:r>
        <w:rPr>
          <w:color w:val="000000"/>
          <w:kern w:val="0"/>
        </w:rPr>
        <w:t>进行了语音室改造，书籍资料购置，课程建设，教学改革，师资培养和实践基地建设等工作。外语实验教学中心成立于2003年6月，是学校统一设立的教学实验中心。外语实验教学中心现拥有1个同声传译语音实验室，1个商务英语实训室， 1个音视频制作室，1个翻译实训室，10个多媒体语音实验室，2个英语广播电台，分别位于校本部和南校区。中心现有主任1人，专职实验技术人员5人。房间使用面积1038.14㎡，仪器设备总值570余万元学院资料室现有图书14397册，常年订阅各类学术期刊69种。学校图书馆有纸本馆藏253.3万册，现刊1459种，报纸75种。建设了中国知网、维普、万方、超星、新东方英语、Wiley、ScienceDirect、Proquest、Springer、Science Online、Nature等中外文电子资源库43个，其中电子图书394.3万种，电子期刊8.9万种。现存外语图书143287册，外语类期刊13种。学院资料室有图书14397册，常年订阅期刊69种。</w:t>
      </w:r>
    </w:p>
    <w:p>
      <w:pPr>
        <w:pStyle w:val="15"/>
        <w:spacing w:before="0" w:beforeAutospacing="0" w:after="0" w:afterAutospacing="0"/>
        <w:ind w:firstLine="480"/>
        <w:jc w:val="both"/>
        <w:rPr>
          <w:rFonts w:ascii="Times New Roman" w:hAnsi="Times New Roman" w:cs="Times New Roman"/>
        </w:rPr>
      </w:pPr>
      <w:r>
        <w:rPr>
          <w:rFonts w:ascii="Times New Roman" w:hAnsi="Times New Roman" w:cs="Times New Roman"/>
        </w:rPr>
        <w:t>师资队伍建设：俄语专业现有5名教师，其中具有博士学位1人，博士在读3人，4人具有国外学习进修经历。副教授2人，讲师3人。在《国际汉学》《中国俄语教学》等重要刊物上发表论文10余篇，承担省厅级项目近10项，编著教材1部，出版译著2部。近年来1人获山东农业大学</w:t>
      </w:r>
      <w:r>
        <w:rPr>
          <w:rFonts w:hint="eastAsia" w:ascii="Times New Roman" w:hAnsi="Times New Roman" w:cs="Times New Roman"/>
        </w:rPr>
        <w:t>“</w:t>
      </w:r>
      <w:r>
        <w:rPr>
          <w:rFonts w:ascii="Times New Roman" w:hAnsi="Times New Roman" w:cs="Times New Roman"/>
        </w:rPr>
        <w:t>青年岗位能手</w:t>
      </w:r>
      <w:r>
        <w:rPr>
          <w:rFonts w:hint="eastAsia" w:ascii="Times New Roman" w:hAnsi="Times New Roman" w:cs="Times New Roman"/>
        </w:rPr>
        <w:t>”</w:t>
      </w:r>
      <w:r>
        <w:rPr>
          <w:rFonts w:ascii="Times New Roman" w:hAnsi="Times New Roman" w:cs="Times New Roman"/>
        </w:rPr>
        <w:t>称号，1人获山东农业大学第九届青年教师教课技能比赛二等奖，4人获得外国语学院</w:t>
      </w:r>
      <w:r>
        <w:rPr>
          <w:rFonts w:hint="eastAsia" w:ascii="Times New Roman" w:hAnsi="Times New Roman" w:cs="Times New Roman"/>
        </w:rPr>
        <w:t>“</w:t>
      </w:r>
      <w:r>
        <w:rPr>
          <w:rFonts w:ascii="Times New Roman" w:hAnsi="Times New Roman" w:cs="Times New Roman"/>
        </w:rPr>
        <w:t>ESC优秀导师</w:t>
      </w:r>
      <w:r>
        <w:rPr>
          <w:rFonts w:hint="eastAsia" w:ascii="Times New Roman" w:hAnsi="Times New Roman" w:cs="Times New Roman"/>
        </w:rPr>
        <w:t>”</w:t>
      </w:r>
      <w:r>
        <w:rPr>
          <w:rFonts w:ascii="Times New Roman" w:hAnsi="Times New Roman" w:cs="Times New Roman"/>
        </w:rPr>
        <w:t>称号，多人获外国语学院</w:t>
      </w:r>
      <w:r>
        <w:rPr>
          <w:rFonts w:hint="eastAsia" w:ascii="Times New Roman" w:hAnsi="Times New Roman" w:cs="Times New Roman"/>
        </w:rPr>
        <w:t>“</w:t>
      </w:r>
      <w:r>
        <w:rPr>
          <w:rFonts w:ascii="Times New Roman" w:hAnsi="Times New Roman" w:cs="Times New Roman"/>
        </w:rPr>
        <w:t>师德先进个人</w:t>
      </w:r>
      <w:r>
        <w:rPr>
          <w:rFonts w:hint="eastAsia" w:ascii="Times New Roman" w:hAnsi="Times New Roman" w:cs="Times New Roman"/>
        </w:rPr>
        <w:t>”</w:t>
      </w:r>
      <w:r>
        <w:rPr>
          <w:rFonts w:ascii="Times New Roman" w:hAnsi="Times New Roman" w:cs="Times New Roman"/>
        </w:rPr>
        <w:t>称号和</w:t>
      </w:r>
      <w:r>
        <w:rPr>
          <w:rFonts w:hint="eastAsia" w:ascii="Times New Roman" w:hAnsi="Times New Roman" w:cs="Times New Roman"/>
        </w:rPr>
        <w:t>“</w:t>
      </w:r>
      <w:r>
        <w:rPr>
          <w:rFonts w:ascii="Times New Roman" w:hAnsi="Times New Roman" w:cs="Times New Roman"/>
        </w:rPr>
        <w:t>优秀共产党员</w:t>
      </w:r>
      <w:r>
        <w:rPr>
          <w:rFonts w:hint="eastAsia" w:ascii="Times New Roman" w:hAnsi="Times New Roman" w:cs="Times New Roman"/>
        </w:rPr>
        <w:t>”</w:t>
      </w:r>
      <w:r>
        <w:rPr>
          <w:rFonts w:ascii="Times New Roman" w:hAnsi="Times New Roman" w:cs="Times New Roman"/>
        </w:rPr>
        <w:t>称号。2018年俄语系被评为山东农业大学</w:t>
      </w:r>
      <w:r>
        <w:rPr>
          <w:rFonts w:hint="eastAsia" w:ascii="Times New Roman" w:hAnsi="Times New Roman" w:cs="Times New Roman"/>
        </w:rPr>
        <w:t>“</w:t>
      </w:r>
      <w:r>
        <w:rPr>
          <w:rFonts w:ascii="Times New Roman" w:hAnsi="Times New Roman" w:cs="Times New Roman"/>
        </w:rPr>
        <w:t>青年文明号</w:t>
      </w:r>
      <w:r>
        <w:rPr>
          <w:rFonts w:hint="eastAsia" w:ascii="Times New Roman" w:hAnsi="Times New Roman" w:cs="Times New Roman"/>
        </w:rPr>
        <w:t>”</w:t>
      </w:r>
      <w:r>
        <w:rPr>
          <w:rFonts w:ascii="Times New Roman" w:hAnsi="Times New Roman" w:cs="Times New Roman"/>
        </w:rPr>
        <w:t>。2022年教师韩悦获教育部人文社科基金青年项目立项。</w:t>
      </w:r>
    </w:p>
    <w:p>
      <w:pPr>
        <w:widowControl/>
        <w:adjustRightInd w:val="0"/>
        <w:snapToGrid w:val="0"/>
        <w:spacing w:line="240" w:lineRule="auto"/>
        <w:jc w:val="center"/>
        <w:rPr>
          <w:b/>
          <w:bCs/>
          <w:color w:val="000000"/>
          <w:kern w:val="0"/>
          <w:sz w:val="21"/>
          <w:szCs w:val="21"/>
        </w:rPr>
      </w:pPr>
      <w:r>
        <w:rPr>
          <w:b/>
          <w:bCs/>
          <w:color w:val="000000"/>
          <w:kern w:val="0"/>
          <w:sz w:val="21"/>
          <w:szCs w:val="21"/>
        </w:rPr>
        <w:t>俄语系师资情况表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0"/>
        <w:gridCol w:w="720"/>
        <w:gridCol w:w="1049"/>
        <w:gridCol w:w="765"/>
        <w:gridCol w:w="1629"/>
        <w:gridCol w:w="2396"/>
        <w:gridCol w:w="14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5"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姓名</w:t>
            </w:r>
          </w:p>
        </w:tc>
        <w:tc>
          <w:tcPr>
            <w:tcW w:w="397"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年龄</w:t>
            </w:r>
          </w:p>
        </w:tc>
        <w:tc>
          <w:tcPr>
            <w:tcW w:w="579"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职称</w:t>
            </w:r>
          </w:p>
        </w:tc>
        <w:tc>
          <w:tcPr>
            <w:tcW w:w="422"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专业</w:t>
            </w:r>
          </w:p>
        </w:tc>
        <w:tc>
          <w:tcPr>
            <w:tcW w:w="899"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学位、学历</w:t>
            </w:r>
          </w:p>
        </w:tc>
        <w:tc>
          <w:tcPr>
            <w:tcW w:w="1322"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毕业院校</w:t>
            </w:r>
          </w:p>
        </w:tc>
        <w:tc>
          <w:tcPr>
            <w:tcW w:w="793" w:type="pct"/>
            <w:vAlign w:val="center"/>
          </w:tcPr>
          <w:p>
            <w:pPr>
              <w:widowControl/>
              <w:adjustRightInd w:val="0"/>
              <w:snapToGrid w:val="0"/>
              <w:spacing w:line="240" w:lineRule="auto"/>
              <w:jc w:val="center"/>
              <w:rPr>
                <w:b/>
                <w:bCs/>
                <w:color w:val="000000"/>
                <w:kern w:val="0"/>
                <w:sz w:val="21"/>
                <w:szCs w:val="21"/>
              </w:rPr>
            </w:pPr>
            <w:r>
              <w:rPr>
                <w:b/>
                <w:bCs/>
                <w:color w:val="000000"/>
                <w:kern w:val="0"/>
                <w:sz w:val="21"/>
                <w:szCs w:val="21"/>
              </w:rPr>
              <w:t>学术方向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5"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田  娜</w:t>
            </w:r>
          </w:p>
        </w:tc>
        <w:tc>
          <w:tcPr>
            <w:tcW w:w="397"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44</w:t>
            </w:r>
          </w:p>
        </w:tc>
        <w:tc>
          <w:tcPr>
            <w:tcW w:w="579"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讲师</w:t>
            </w:r>
          </w:p>
        </w:tc>
        <w:tc>
          <w:tcPr>
            <w:tcW w:w="422"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俄语</w:t>
            </w:r>
          </w:p>
        </w:tc>
        <w:tc>
          <w:tcPr>
            <w:tcW w:w="899"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硕士 研究生</w:t>
            </w:r>
          </w:p>
        </w:tc>
        <w:tc>
          <w:tcPr>
            <w:tcW w:w="1322"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山东大学</w:t>
            </w:r>
          </w:p>
        </w:tc>
        <w:tc>
          <w:tcPr>
            <w:tcW w:w="793"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语言、文化、文学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5"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张帅臣</w:t>
            </w:r>
          </w:p>
        </w:tc>
        <w:tc>
          <w:tcPr>
            <w:tcW w:w="397"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41</w:t>
            </w:r>
          </w:p>
        </w:tc>
        <w:tc>
          <w:tcPr>
            <w:tcW w:w="579"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副教授</w:t>
            </w:r>
          </w:p>
        </w:tc>
        <w:tc>
          <w:tcPr>
            <w:tcW w:w="422"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俄语</w:t>
            </w:r>
          </w:p>
        </w:tc>
        <w:tc>
          <w:tcPr>
            <w:tcW w:w="899"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硕士 研究生</w:t>
            </w:r>
          </w:p>
        </w:tc>
        <w:tc>
          <w:tcPr>
            <w:tcW w:w="1322"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华东师范大学</w:t>
            </w:r>
          </w:p>
        </w:tc>
        <w:tc>
          <w:tcPr>
            <w:tcW w:w="793"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文学、翻译、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5"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朱艳红</w:t>
            </w:r>
          </w:p>
        </w:tc>
        <w:tc>
          <w:tcPr>
            <w:tcW w:w="397"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40</w:t>
            </w:r>
          </w:p>
        </w:tc>
        <w:tc>
          <w:tcPr>
            <w:tcW w:w="579"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副教授</w:t>
            </w:r>
          </w:p>
        </w:tc>
        <w:tc>
          <w:tcPr>
            <w:tcW w:w="422"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俄语</w:t>
            </w:r>
          </w:p>
        </w:tc>
        <w:tc>
          <w:tcPr>
            <w:tcW w:w="899"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硕士 研究生</w:t>
            </w:r>
          </w:p>
        </w:tc>
        <w:tc>
          <w:tcPr>
            <w:tcW w:w="1322"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北京外国语大学</w:t>
            </w:r>
          </w:p>
        </w:tc>
        <w:tc>
          <w:tcPr>
            <w:tcW w:w="793"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语言学、文学、文化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5"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韩  悦</w:t>
            </w:r>
          </w:p>
        </w:tc>
        <w:tc>
          <w:tcPr>
            <w:tcW w:w="397"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37</w:t>
            </w:r>
          </w:p>
        </w:tc>
        <w:tc>
          <w:tcPr>
            <w:tcW w:w="579"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讲师</w:t>
            </w:r>
          </w:p>
        </w:tc>
        <w:tc>
          <w:tcPr>
            <w:tcW w:w="422"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俄语</w:t>
            </w:r>
          </w:p>
        </w:tc>
        <w:tc>
          <w:tcPr>
            <w:tcW w:w="899"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硕士 研究生</w:t>
            </w:r>
          </w:p>
        </w:tc>
        <w:tc>
          <w:tcPr>
            <w:tcW w:w="1322"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山东师范大学</w:t>
            </w:r>
          </w:p>
        </w:tc>
        <w:tc>
          <w:tcPr>
            <w:tcW w:w="793"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文学、翻译、文化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5"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刘  玉</w:t>
            </w:r>
          </w:p>
        </w:tc>
        <w:tc>
          <w:tcPr>
            <w:tcW w:w="397"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30</w:t>
            </w:r>
          </w:p>
        </w:tc>
        <w:tc>
          <w:tcPr>
            <w:tcW w:w="579"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讲师</w:t>
            </w:r>
          </w:p>
        </w:tc>
        <w:tc>
          <w:tcPr>
            <w:tcW w:w="422"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俄语</w:t>
            </w:r>
          </w:p>
        </w:tc>
        <w:tc>
          <w:tcPr>
            <w:tcW w:w="899"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博士 研究生</w:t>
            </w:r>
          </w:p>
        </w:tc>
        <w:tc>
          <w:tcPr>
            <w:tcW w:w="1322"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普希金俄语学院</w:t>
            </w:r>
          </w:p>
        </w:tc>
        <w:tc>
          <w:tcPr>
            <w:tcW w:w="793" w:type="pct"/>
            <w:vAlign w:val="center"/>
          </w:tcPr>
          <w:p>
            <w:pPr>
              <w:widowControl/>
              <w:adjustRightInd w:val="0"/>
              <w:snapToGrid w:val="0"/>
              <w:spacing w:line="240" w:lineRule="auto"/>
              <w:jc w:val="center"/>
              <w:rPr>
                <w:color w:val="000000"/>
                <w:kern w:val="0"/>
                <w:sz w:val="21"/>
                <w:szCs w:val="21"/>
              </w:rPr>
            </w:pPr>
            <w:r>
              <w:rPr>
                <w:color w:val="000000"/>
                <w:kern w:val="0"/>
                <w:sz w:val="21"/>
                <w:szCs w:val="21"/>
              </w:rPr>
              <w:t>文学</w:t>
            </w:r>
          </w:p>
        </w:tc>
      </w:tr>
    </w:tbl>
    <w:p>
      <w:pPr>
        <w:ind w:firstLine="480"/>
      </w:pPr>
      <w:r>
        <w:t>实习基地：现代牧业集团：原泰安蒙牛国际进出口贸易公司、莱芜职业技术学院、东营高新技术开发区、山东（莒县）华康蜂业有限公司、万力集团、优创（青岛）数据有限公司。</w:t>
      </w:r>
    </w:p>
    <w:p>
      <w:pPr>
        <w:ind w:firstLine="480"/>
      </w:pPr>
      <w:r>
        <w:t>校企合作：近年来，学院加强校企合作，致力于为毕业生全方面、多渠道发展保驾护航。目前，学院已与阿里巴巴跨境电商合作，实施教学培训项目；同时在鲁普耐特有限公司和秦工国际集团等校外企业建立实践教学基地，助力毕业生顺利就业。</w:t>
      </w:r>
    </w:p>
    <w:p>
      <w:pPr>
        <w:ind w:firstLine="480"/>
      </w:pPr>
      <w:r>
        <w:t>现代教学技术应用：俄语专业课堂教学均在语音室或多媒体教室完成，教师充分利用现代教学技术满足学生需要。积极学习慕课、翻转课堂理念并引入到课堂中。</w:t>
      </w:r>
    </w:p>
    <w:p>
      <w:pPr>
        <w:pStyle w:val="5"/>
        <w:spacing w:before="93" w:after="93"/>
        <w:ind w:firstLine="560"/>
      </w:pPr>
      <w:r>
        <w:t>四、培养机制</w:t>
      </w:r>
    </w:p>
    <w:p>
      <w:pPr>
        <w:pStyle w:val="6"/>
        <w:ind w:firstLine="480"/>
      </w:pPr>
      <w:r>
        <w:t>1</w:t>
      </w:r>
      <w:r>
        <w:rPr>
          <w:rFonts w:hint="eastAsia"/>
        </w:rPr>
        <w:t xml:space="preserve">. </w:t>
      </w:r>
      <w:r>
        <w:t>坚持三全育人</w:t>
      </w:r>
    </w:p>
    <w:p>
      <w:pPr>
        <w:ind w:firstLine="480"/>
      </w:pPr>
      <w:r>
        <w:t>坚持</w:t>
      </w:r>
      <w:r>
        <w:rPr>
          <w:rFonts w:hint="eastAsia"/>
        </w:rPr>
        <w:t>“</w:t>
      </w:r>
      <w:r>
        <w:t>全员育人</w:t>
      </w:r>
      <w:r>
        <w:rPr>
          <w:rFonts w:hint="eastAsia"/>
        </w:rPr>
        <w:t>”“</w:t>
      </w:r>
      <w:r>
        <w:t>全过程育人</w:t>
      </w:r>
      <w:r>
        <w:rPr>
          <w:rFonts w:hint="eastAsia"/>
        </w:rPr>
        <w:t>”“</w:t>
      </w:r>
      <w:r>
        <w:t>全方位育人</w:t>
      </w:r>
      <w:r>
        <w:rPr>
          <w:rFonts w:hint="eastAsia"/>
        </w:rPr>
        <w:t>”</w:t>
      </w:r>
      <w:r>
        <w:t>的育人模式，思政和专业教师各司其职，分工配合，形成合力，保证给予学生从入学到毕业每个阶段</w:t>
      </w:r>
      <w:r>
        <w:rPr>
          <w:rFonts w:hint="eastAsia"/>
        </w:rPr>
        <w:t>“</w:t>
      </w:r>
      <w:r>
        <w:t>无死角</w:t>
      </w:r>
      <w:r>
        <w:rPr>
          <w:rFonts w:hint="eastAsia"/>
        </w:rPr>
        <w:t>”</w:t>
      </w:r>
      <w:r>
        <w:t>的教育和帮助，促进学生学习、生活、身体、心理的全面健康发展。</w:t>
      </w:r>
    </w:p>
    <w:p>
      <w:pPr>
        <w:pStyle w:val="6"/>
        <w:ind w:firstLine="480"/>
      </w:pPr>
      <w:r>
        <w:t>2</w:t>
      </w:r>
      <w:r>
        <w:rPr>
          <w:rFonts w:hint="eastAsia"/>
        </w:rPr>
        <w:t xml:space="preserve">. </w:t>
      </w:r>
      <w:r>
        <w:t>狠抓学风建设</w:t>
      </w:r>
    </w:p>
    <w:p>
      <w:pPr>
        <w:ind w:firstLine="480"/>
      </w:pPr>
      <w:r>
        <w:t>俄语专业2018级之前主要面向山东省内二本招生。在生源质量不够理想的情况下，专业四八级考试通过率均大大高于全国平均水平，毕业时学生考取了南京大学、厦门大学、黑龙江大学、大连外国语大学等国内知名学府。俄语专业教师认真负责，狠抓教学质量，严格学风，注重学生</w:t>
      </w:r>
      <w:r>
        <w:rPr>
          <w:rFonts w:hint="eastAsia"/>
        </w:rPr>
        <w:t>“</w:t>
      </w:r>
      <w:r>
        <w:t>传、帮、带</w:t>
      </w:r>
      <w:r>
        <w:rPr>
          <w:rFonts w:hint="eastAsia"/>
        </w:rPr>
        <w:t>”</w:t>
      </w:r>
      <w:r>
        <w:t>精神，高年级学生通过</w:t>
      </w:r>
      <w:r>
        <w:rPr>
          <w:rFonts w:hint="eastAsia"/>
        </w:rPr>
        <w:t>“</w:t>
      </w:r>
      <w:r>
        <w:t>俄语国情大赛</w:t>
      </w:r>
      <w:r>
        <w:rPr>
          <w:rFonts w:hint="eastAsia"/>
        </w:rPr>
        <w:t>”</w:t>
      </w:r>
      <w:r>
        <w:t>、</w:t>
      </w:r>
      <w:r>
        <w:rPr>
          <w:rFonts w:hint="eastAsia"/>
        </w:rPr>
        <w:t>“</w:t>
      </w:r>
      <w:r>
        <w:t>戏剧表演</w:t>
      </w:r>
      <w:r>
        <w:rPr>
          <w:rFonts w:hint="eastAsia"/>
        </w:rPr>
        <w:t>”</w:t>
      </w:r>
      <w:r>
        <w:t>环节带动低年级学生的俄语学习兴趣，通过系内交流、考研经验介绍、就业经验介绍等活动传授在学习、考研、就业等方面的心得，形成了良好的系内风气。</w:t>
      </w:r>
    </w:p>
    <w:p>
      <w:pPr>
        <w:pStyle w:val="6"/>
        <w:ind w:firstLine="480"/>
      </w:pPr>
      <w:r>
        <w:t>3</w:t>
      </w:r>
      <w:r>
        <w:rPr>
          <w:rFonts w:hint="eastAsia"/>
        </w:rPr>
        <w:t xml:space="preserve">. </w:t>
      </w:r>
      <w:r>
        <w:t>合作办学</w:t>
      </w:r>
    </w:p>
    <w:p>
      <w:pPr>
        <w:ind w:firstLine="480"/>
      </w:pPr>
      <w:r>
        <w:t>俄语专业重视加强国际化人才培养。学校与彼尔姆国立大学签署2+2项目合作协议，疫情得到控制后即可每年派出30名学生赴俄学习。俄语专业每年有6名学生和1名教师可获得国家留学基金委资助出国留学，到俄罗斯著名高校插班学习、攻读硕士学位。在疫情情况下，2022年仍有3名2020级同学获基金委资助赴俄罗斯普希金俄语学院插班学习。今后随着</w:t>
      </w:r>
      <w:r>
        <w:rPr>
          <w:rFonts w:hint="eastAsia"/>
        </w:rPr>
        <w:t>“</w:t>
      </w:r>
      <w:r>
        <w:t>一带一路</w:t>
      </w:r>
      <w:r>
        <w:rPr>
          <w:rFonts w:hint="eastAsia"/>
        </w:rPr>
        <w:t>”</w:t>
      </w:r>
      <w:r>
        <w:t>倡议实施，学校与俄罗斯、东欧国家合作的开展，将派遣更多学生赴国外高校学习进修。</w:t>
      </w:r>
    </w:p>
    <w:p>
      <w:pPr>
        <w:pStyle w:val="6"/>
        <w:ind w:firstLine="480"/>
      </w:pPr>
      <w:r>
        <w:t>4</w:t>
      </w:r>
      <w:r>
        <w:rPr>
          <w:rFonts w:hint="eastAsia"/>
        </w:rPr>
        <w:t xml:space="preserve">. </w:t>
      </w:r>
      <w:r>
        <w:t>培养学生综合能力</w:t>
      </w:r>
    </w:p>
    <w:p>
      <w:pPr>
        <w:ind w:firstLine="480"/>
      </w:pPr>
      <w:r>
        <w:t>俄语专业重视强化学生双语能力。鼓励学生辅修英语专业，培养复合型外语人才。进一步探索完善</w:t>
      </w:r>
      <w:r>
        <w:rPr>
          <w:rFonts w:hint="eastAsia"/>
        </w:rPr>
        <w:t>“</w:t>
      </w:r>
      <w:r>
        <w:t>俄英双语</w:t>
      </w:r>
      <w:r>
        <w:rPr>
          <w:rFonts w:hint="eastAsia"/>
        </w:rPr>
        <w:t>”</w:t>
      </w:r>
      <w:r>
        <w:t>人才培养模式，尽快实现</w:t>
      </w:r>
      <w:r>
        <w:rPr>
          <w:rFonts w:hint="eastAsia"/>
        </w:rPr>
        <w:t>“</w:t>
      </w:r>
      <w:r>
        <w:t>俄语（俄英双语方向）</w:t>
      </w:r>
      <w:r>
        <w:rPr>
          <w:rFonts w:hint="eastAsia"/>
        </w:rPr>
        <w:t>”</w:t>
      </w:r>
      <w:r>
        <w:t>招生模式。</w:t>
      </w:r>
    </w:p>
    <w:p>
      <w:pPr>
        <w:ind w:firstLine="480"/>
      </w:pPr>
      <w:r>
        <w:t>俄语专业重视加强复合型人才培养。鼓励学生辅修农业类、管理类课程。</w:t>
      </w:r>
    </w:p>
    <w:p>
      <w:pPr>
        <w:ind w:firstLine="480"/>
      </w:pPr>
      <w:r>
        <w:t>俄语专业重视提高学生语言应用能力。俄语专业教师带队高年级学生积极参与</w:t>
      </w:r>
      <w:r>
        <w:rPr>
          <w:rFonts w:hint="eastAsia"/>
        </w:rPr>
        <w:t>“</w:t>
      </w:r>
      <w:r>
        <w:t>外国专家泰安行</w:t>
      </w:r>
      <w:r>
        <w:rPr>
          <w:rFonts w:hint="eastAsia"/>
        </w:rPr>
        <w:t>”</w:t>
      </w:r>
      <w:r>
        <w:t>、</w:t>
      </w:r>
      <w:r>
        <w:rPr>
          <w:rFonts w:hint="eastAsia"/>
        </w:rPr>
        <w:t>“</w:t>
      </w:r>
      <w:r>
        <w:t>中乌高科技成果对接</w:t>
      </w:r>
      <w:r>
        <w:rPr>
          <w:rFonts w:hint="eastAsia"/>
        </w:rPr>
        <w:t>”</w:t>
      </w:r>
      <w:r>
        <w:t>等重要外事活动，为学生提供实践机会。</w:t>
      </w:r>
    </w:p>
    <w:p>
      <w:pPr>
        <w:ind w:firstLine="480"/>
      </w:pPr>
      <w:r>
        <w:t>鼓励并指导学生报考俄语教师资格证等、俄语导游证等，为就业加码。</w:t>
      </w:r>
    </w:p>
    <w:p>
      <w:pPr>
        <w:pStyle w:val="5"/>
        <w:spacing w:before="93" w:after="93"/>
        <w:ind w:firstLine="560"/>
      </w:pPr>
      <w:r>
        <w:t>五、培养质量</w:t>
      </w:r>
    </w:p>
    <w:p>
      <w:pPr>
        <w:ind w:firstLine="480"/>
      </w:pPr>
      <w:r>
        <w:t>俄语专业毕业生发展方向多元化。毕业生升学或进入岗位后，均表现突出。经多方反馈，用人单位普遍对我校俄语专业毕业生满意。随着办学成绩不断得到社会认可，俄语专业招生质量不断提高。2022级计划录取60人，报到59人，不仅圆满完成招生计划，而且生源地域更加多元，生源素质不断提升。</w:t>
      </w:r>
    </w:p>
    <w:p>
      <w:pPr>
        <w:ind w:firstLine="480"/>
      </w:pPr>
      <w:r>
        <w:t>2022届共有毕业生23人，在疫情对外贸等行业造成严重影响的情况下专业就业率仍位居全校前列。其中考取研究生6人：徐婧（辽宁师范大学俄语笔译方向）、闫经纬（内蒙古大学俄语语言文学专业）、李天朔（辽宁大学俄语语言文学专业）、孙婕（大连外国语大学俄语口译方向）、李蓉（东北师范大学俄语笔译方向）、李想（湖南师范大学哲学专业），考研率位居全院第一。</w:t>
      </w:r>
    </w:p>
    <w:p>
      <w:pPr>
        <w:ind w:firstLine="480"/>
      </w:pPr>
      <w:r>
        <w:t>往届毕业生就业情况如下：2015届毕业生共26人，8人攻读研究生，考研率30.7%，2人受到国家留学基金委资助在俄罗斯攻读硕士学位，1人考取公务员，2人考取选调生，1人自主创业，其他同学主要就业方向为外贸、教育、培训、旅游、出版社等部门；2016届毕业生共37人，8人攻读研究生，1人受到国家留学基金委资助在俄罗斯攻读硕士学位，3人考取公务员，1人西部支教，其他同学主要就业方向为国美、青岛啤酒、工行等企事业单位。2017届毕业生共27人，7人攻读研究生，1人受到国家留学基金委资助在俄罗斯攻读硕士学位，2人自费出国攻读硕士学位，其他同学主要就业方向为外贸公司。2018届毕业生共21人，3人攻读研究生，4人自费出国攻读硕士学位，其他同学绝大部分为专业对口工作，其中包括玲珑轮胎、烟台建筑集团等知名大型企业。2019届毕业生共27人，4人考取国内研究生，1人获得基金委资助公费出国攻读硕士，3人自费出国攻读硕士，2人考取公务员，其他同学主要在银行、外贸企业就职，大多流向青岛、济南等经济发达城市。2020届毕业生28人，6人考取国内研究生，2人获得基金委资助公费出国攻读硕士，1人自费出国攻读硕士，多名学生进入猿辅导等在线教育机构从事俄语等科目的教学，1名同学进入高中从事俄语教学。2021届28人，7人考取国内知名院校研究生，不乏黑龙江大学、中国石油大学（华东）等学科强校，多名学生进入长城汽车等著名企业。其中李轲、李俊言两名同学应征入伍。</w:t>
      </w:r>
    </w:p>
    <w:p>
      <w:pPr>
        <w:pStyle w:val="5"/>
        <w:spacing w:before="93" w:after="93"/>
        <w:ind w:firstLine="560"/>
      </w:pPr>
      <w:r>
        <w:t>六、培养特色</w:t>
      </w:r>
    </w:p>
    <w:p>
      <w:pPr>
        <w:ind w:firstLine="480"/>
      </w:pPr>
      <w:r>
        <w:t>1</w:t>
      </w:r>
      <w:r>
        <w:rPr>
          <w:rFonts w:hint="eastAsia"/>
        </w:rPr>
        <w:t xml:space="preserve">. </w:t>
      </w:r>
      <w:r>
        <w:t>合作办学</w:t>
      </w:r>
    </w:p>
    <w:p>
      <w:pPr>
        <w:ind w:firstLine="480"/>
      </w:pPr>
      <w:r>
        <w:t>学校与彼尔姆国立大学签署2+2项目合作协议，疫情得到控制后即可每年派出30名学生赴俄学习。俄语专业每年有6名学生和1名教师可获得国家留学基金委资助出国留学，到俄罗斯著名高校插班学习、攻读硕士学位。在疫情情况下，2022年仍有3名2020级同学获基金委资助赴俄罗斯普希金俄语学院插班学习。</w:t>
      </w:r>
    </w:p>
    <w:p>
      <w:pPr>
        <w:ind w:firstLine="480"/>
        <w:rPr>
          <w:lang w:val="ru-RU"/>
        </w:rPr>
      </w:pPr>
      <w:r>
        <w:t>2</w:t>
      </w:r>
      <w:r>
        <w:rPr>
          <w:rFonts w:hint="eastAsia"/>
        </w:rPr>
        <w:t xml:space="preserve">. </w:t>
      </w:r>
      <w:r>
        <w:t>个性化</w:t>
      </w:r>
      <w:r>
        <w:rPr>
          <w:lang w:val="ru-RU"/>
        </w:rPr>
        <w:t>培养方向</w:t>
      </w:r>
    </w:p>
    <w:p>
      <w:pPr>
        <w:ind w:firstLine="480"/>
        <w:rPr>
          <w:lang w:val="ru-RU"/>
        </w:rPr>
      </w:pPr>
      <w:r>
        <w:rPr>
          <w:lang w:val="ru-RU"/>
        </w:rPr>
        <w:t>俄语专业充分考虑学生多样化选择，在现有招生人数下努力细化培养方向，将专业选修课分为</w:t>
      </w:r>
      <w:r>
        <w:rPr>
          <w:rFonts w:hint="eastAsia"/>
          <w:lang w:val="ru-RU"/>
        </w:rPr>
        <w:t>“</w:t>
      </w:r>
      <w:r>
        <w:rPr>
          <w:lang w:val="ru-RU"/>
        </w:rPr>
        <w:t>语言文学</w:t>
      </w:r>
      <w:r>
        <w:rPr>
          <w:rFonts w:hint="eastAsia"/>
          <w:lang w:val="ru-RU"/>
        </w:rPr>
        <w:t>”</w:t>
      </w:r>
      <w:r>
        <w:rPr>
          <w:lang w:val="ru-RU"/>
        </w:rPr>
        <w:t>和</w:t>
      </w:r>
      <w:r>
        <w:rPr>
          <w:rFonts w:hint="eastAsia"/>
          <w:lang w:val="ru-RU"/>
        </w:rPr>
        <w:t>“</w:t>
      </w:r>
      <w:r>
        <w:rPr>
          <w:lang w:val="ru-RU"/>
        </w:rPr>
        <w:t>翻译与应用</w:t>
      </w:r>
      <w:r>
        <w:rPr>
          <w:rFonts w:hint="eastAsia"/>
          <w:lang w:val="ru-RU"/>
        </w:rPr>
        <w:t>”</w:t>
      </w:r>
      <w:r>
        <w:rPr>
          <w:lang w:val="ru-RU"/>
        </w:rPr>
        <w:t>两个方向。</w:t>
      </w:r>
    </w:p>
    <w:p>
      <w:pPr>
        <w:ind w:firstLine="480"/>
        <w:rPr>
          <w:lang w:val="ru-RU"/>
        </w:rPr>
      </w:pPr>
      <w:r>
        <w:rPr>
          <w:lang w:val="ru-RU"/>
        </w:rPr>
        <w:t>语言文学方向课程包括：俄语报刊选读、高级俄语视听说（1-2）、俄罗斯文学作品选读（1-2）、高级俄语写作、俄语语言理论等。</w:t>
      </w:r>
    </w:p>
    <w:p>
      <w:pPr>
        <w:ind w:firstLine="480"/>
        <w:rPr>
          <w:lang w:val="ru-RU"/>
        </w:rPr>
      </w:pPr>
      <w:r>
        <w:rPr>
          <w:lang w:val="ru-RU"/>
        </w:rPr>
        <w:t>翻译与应用方向课程包括：翻译简史、经贸俄语翻译、俄汉/汉俄口译、中国文化外译、俄汉语言对比与翻译、俄汉/汉俄经典译文赏析、中国思想经典导读（俄语）、俄语能力测试与对策等。</w:t>
      </w:r>
    </w:p>
    <w:p>
      <w:pPr>
        <w:ind w:firstLine="480"/>
        <w:rPr>
          <w:lang w:val="ru-RU"/>
        </w:rPr>
      </w:pPr>
      <w:r>
        <w:rPr>
          <w:lang w:val="ru-RU"/>
        </w:rPr>
        <w:t>3</w:t>
      </w:r>
      <w:r>
        <w:rPr>
          <w:rFonts w:hint="eastAsia"/>
        </w:rPr>
        <w:t xml:space="preserve">. </w:t>
      </w:r>
      <w:r>
        <w:rPr>
          <w:lang w:val="ru-RU"/>
        </w:rPr>
        <w:t>注重语言应用能力提高</w:t>
      </w:r>
    </w:p>
    <w:p>
      <w:pPr>
        <w:ind w:firstLine="480"/>
        <w:rPr>
          <w:lang w:val="ru-RU"/>
        </w:rPr>
      </w:pPr>
      <w:r>
        <w:rPr>
          <w:lang w:val="ru-RU"/>
        </w:rPr>
        <w:t>一是通过丰富多样的专业实践课程为学生提供学以致用的锻炼机会，国情知识大赛、戏剧排演等实践课程已成为俄语专业成立以来的品牌活动，受到学生欢迎。</w:t>
      </w:r>
    </w:p>
    <w:p>
      <w:pPr>
        <w:ind w:firstLine="480"/>
        <w:rPr>
          <w:lang w:val="ru-RU"/>
        </w:rPr>
      </w:pPr>
      <w:r>
        <w:rPr>
          <w:lang w:val="ru-RU"/>
        </w:rPr>
        <w:t>二是选拔优秀学生参与</w:t>
      </w:r>
      <w:r>
        <w:rPr>
          <w:rFonts w:hint="eastAsia"/>
          <w:lang w:val="ru-RU"/>
        </w:rPr>
        <w:t>“</w:t>
      </w:r>
      <w:r>
        <w:rPr>
          <w:lang w:val="ru-RU"/>
        </w:rPr>
        <w:t>外国专家泰安行</w:t>
      </w:r>
      <w:r>
        <w:rPr>
          <w:rFonts w:hint="eastAsia"/>
          <w:lang w:val="ru-RU"/>
        </w:rPr>
        <w:t>”</w:t>
      </w:r>
      <w:r>
        <w:rPr>
          <w:lang w:val="ru-RU"/>
        </w:rPr>
        <w:t>等重大涉外活动，积累外事交往知识，提高语言表达以及组织协调能力。</w:t>
      </w:r>
    </w:p>
    <w:p>
      <w:pPr>
        <w:pStyle w:val="5"/>
        <w:spacing w:before="93" w:after="93"/>
        <w:ind w:firstLine="560"/>
      </w:pPr>
      <w:r>
        <w:t>七、毕业生就业创业</w:t>
      </w:r>
    </w:p>
    <w:p>
      <w:pPr>
        <w:pStyle w:val="6"/>
        <w:ind w:firstLine="480"/>
      </w:pPr>
      <w:r>
        <w:t>1</w:t>
      </w:r>
      <w:r>
        <w:rPr>
          <w:rFonts w:hint="eastAsia"/>
        </w:rPr>
        <w:t xml:space="preserve">. </w:t>
      </w:r>
      <w:r>
        <w:t>就业典型</w:t>
      </w:r>
    </w:p>
    <w:p>
      <w:pPr>
        <w:ind w:firstLine="480"/>
      </w:pPr>
      <w:r>
        <w:t>2009级姚鹏飞，任职外交部，获山东农业大学杰出校友题名。</w:t>
      </w:r>
    </w:p>
    <w:p>
      <w:pPr>
        <w:ind w:firstLine="480"/>
      </w:pPr>
      <w:r>
        <w:t>2009级闫欢欢，任职江苏师范大学，俄语教师。</w:t>
      </w:r>
    </w:p>
    <w:p>
      <w:pPr>
        <w:ind w:firstLine="480"/>
      </w:pPr>
      <w:r>
        <w:t>2010级牛继平，任职江苏师范大学，俄语教师。</w:t>
      </w:r>
    </w:p>
    <w:p>
      <w:pPr>
        <w:ind w:firstLine="480"/>
      </w:pPr>
      <w:r>
        <w:t>2015级侯永强，西部计划，援疆干部。</w:t>
      </w:r>
    </w:p>
    <w:p>
      <w:pPr>
        <w:ind w:firstLine="480"/>
      </w:pPr>
      <w:r>
        <w:t>2015级庞晓静，任职外交部。</w:t>
      </w:r>
    </w:p>
    <w:p>
      <w:pPr>
        <w:ind w:firstLine="480"/>
      </w:pPr>
      <w:r>
        <w:t>2016级刘国利，任职德州市陵城区精神文明指导中心。</w:t>
      </w:r>
    </w:p>
    <w:p>
      <w:pPr>
        <w:ind w:firstLine="480"/>
      </w:pPr>
      <w:r>
        <w:t>2017级李轲、李俊言，参军。</w:t>
      </w:r>
    </w:p>
    <w:p>
      <w:pPr>
        <w:pStyle w:val="6"/>
        <w:ind w:firstLine="480"/>
      </w:pPr>
      <w:r>
        <w:t>2</w:t>
      </w:r>
      <w:r>
        <w:rPr>
          <w:rFonts w:hint="eastAsia"/>
        </w:rPr>
        <w:t xml:space="preserve">. </w:t>
      </w:r>
      <w:r>
        <w:t>创业典型</w:t>
      </w:r>
    </w:p>
    <w:p>
      <w:pPr>
        <w:ind w:firstLine="480"/>
      </w:pPr>
      <w:r>
        <w:t>2015届毕业生张新伟自主创业，从事粮油生意。</w:t>
      </w:r>
    </w:p>
    <w:p>
      <w:pPr>
        <w:ind w:firstLine="480"/>
      </w:pPr>
      <w:r>
        <w:t>2018届毕业生姚晶雨自主创业，成立泰安市泰山区壹茶煎茶庄。</w:t>
      </w:r>
    </w:p>
    <w:p>
      <w:pPr>
        <w:ind w:firstLine="480"/>
      </w:pPr>
      <w:r>
        <w:t>2019届毕业生赵陈晨自主创业，成立济南一和嘉美商贸有限公司。</w:t>
      </w:r>
    </w:p>
    <w:p>
      <w:pPr>
        <w:ind w:firstLine="480"/>
      </w:pPr>
      <w:r>
        <w:t>2020届毕业生王元彤自主创业，从事生鲜、物流等。</w:t>
      </w:r>
    </w:p>
    <w:p>
      <w:pPr>
        <w:ind w:firstLine="480"/>
      </w:pPr>
      <w:r>
        <w:t>2022届毕业生周世宇自主创业，从事家具生意。</w:t>
      </w:r>
    </w:p>
    <w:p>
      <w:pPr>
        <w:pStyle w:val="5"/>
        <w:spacing w:before="93" w:after="93"/>
        <w:ind w:firstLine="560"/>
      </w:pPr>
      <w:r>
        <w:t>八、专业人才社会需求分析</w:t>
      </w:r>
    </w:p>
    <w:p>
      <w:pPr>
        <w:ind w:firstLine="480"/>
      </w:pPr>
      <w:r>
        <w:t>受俄乌冲突等国际不稳定因素和新冠疫情、中国经济转型等影响，国家对俄语人才的旺盛需求受到一定影响。在此情况下，我校2021和2022届俄语毕业生升学和就业率仍位居全校前列。2020年以来在山东省高考改革、新冠疫情肆虐等不利因素影响下，在扩招的情况下俄语专业第一志愿报考率和报到率再创新高。2020年以来在新冠疫情下中国和俄罗斯、中亚五国等说俄语国家经贸合作发展顺利，上海合作组织青岛示范区带动效应不断显现，对俄语人才的需求仍然强劲。相信随着国际和国内形势不断好转，俄语专业人才需求将继续扩大，就业质量将继续提升。</w:t>
      </w:r>
    </w:p>
    <w:p>
      <w:pPr>
        <w:pStyle w:val="5"/>
        <w:spacing w:before="93" w:after="93"/>
        <w:ind w:firstLine="560"/>
      </w:pPr>
      <w:r>
        <w:t>九、专业发展趋势分析</w:t>
      </w:r>
    </w:p>
    <w:p>
      <w:pPr>
        <w:ind w:firstLine="480"/>
        <w:rPr>
          <w:lang w:val="ru-RU"/>
        </w:rPr>
      </w:pPr>
      <w:r>
        <w:t>中俄两国政府非常重视两国语言在对方国家的发展，以便促进民族了解，增加民族互信。即便在新冠疫情情况下，教育部留学基金委仍然实施政府奖学金计划，照常选拔和派出中国学生赴俄学习交流。两国政府启动</w:t>
      </w:r>
      <w:r>
        <w:rPr>
          <w:rFonts w:hint="eastAsia"/>
        </w:rPr>
        <w:t>“</w:t>
      </w:r>
      <w:r>
        <w:t>十万人留学</w:t>
      </w:r>
      <w:r>
        <w:rPr>
          <w:rFonts w:hint="eastAsia"/>
        </w:rPr>
        <w:t>”</w:t>
      </w:r>
      <w:r>
        <w:t>计划，成立的中俄工科大学联盟、经济类大学联盟、艺术高校联盟、师范高校联盟、医科大学联盟、交通大学联盟、</w:t>
      </w:r>
      <w:r>
        <w:rPr>
          <w:rFonts w:hint="eastAsia"/>
        </w:rPr>
        <w:t>“</w:t>
      </w:r>
      <w:r>
        <w:t>一带一路</w:t>
      </w:r>
      <w:r>
        <w:rPr>
          <w:rFonts w:hint="eastAsia"/>
        </w:rPr>
        <w:t>”</w:t>
      </w:r>
      <w:r>
        <w:t>高校联盟、农业高校联盟等各类高校联盟持续推动两国高校交流。新冠疫情、俄乌冲突等因素影响下，中国学界、实业届积极行动，积极筹划，努力克服困难，探讨新国际形势下扩大与深化中俄全方位合作的途径。可以预见，未来一段时期内俄语专业仍将面临积极发展的大好机遇。</w:t>
      </w:r>
    </w:p>
    <w:p>
      <w:pPr>
        <w:pStyle w:val="5"/>
        <w:spacing w:before="93" w:after="93"/>
        <w:ind w:firstLine="560"/>
      </w:pPr>
      <w:r>
        <w:t>十、存在的问题及及拟采取的对策措施</w:t>
      </w:r>
    </w:p>
    <w:p>
      <w:pPr>
        <w:ind w:firstLine="480"/>
      </w:pPr>
      <w:r>
        <w:t>（一）存在的问题：</w:t>
      </w:r>
    </w:p>
    <w:p>
      <w:pPr>
        <w:ind w:firstLine="480"/>
      </w:pPr>
      <w:r>
        <w:t>1</w:t>
      </w:r>
      <w:r>
        <w:rPr>
          <w:rFonts w:hint="eastAsia"/>
        </w:rPr>
        <w:t xml:space="preserve">. </w:t>
      </w:r>
      <w:r>
        <w:t>部分学生和学生家长对俄语在内的</w:t>
      </w:r>
      <w:r>
        <w:rPr>
          <w:rFonts w:hint="eastAsia"/>
        </w:rPr>
        <w:t>“</w:t>
      </w:r>
      <w:r>
        <w:t>小语种</w:t>
      </w:r>
      <w:r>
        <w:rPr>
          <w:rFonts w:hint="eastAsia"/>
        </w:rPr>
        <w:t>”</w:t>
      </w:r>
      <w:r>
        <w:t>专业缺乏了解，有从众心理。有的学生抱着转专业的想法进入俄语专业，加上俄语学习本身的特点，专业学习兴趣不够稳定。</w:t>
      </w:r>
    </w:p>
    <w:p>
      <w:pPr>
        <w:ind w:firstLine="480"/>
      </w:pPr>
      <w:r>
        <w:t>2</w:t>
      </w:r>
      <w:r>
        <w:rPr>
          <w:rFonts w:hint="eastAsia"/>
        </w:rPr>
        <w:t xml:space="preserve">. </w:t>
      </w:r>
      <w:r>
        <w:t>俄乌冲突等国际不稳定因素的影响。语言与民族文化、国家综合实力有密切联系。成功的言语交际要求对所学语言国家的国情文化有所了解。受媒体报道等影响，部分俄语系学生对俄罗斯及独联体经济、文化等缺乏正确的认识。</w:t>
      </w:r>
    </w:p>
    <w:p>
      <w:pPr>
        <w:ind w:firstLine="480"/>
      </w:pPr>
      <w:r>
        <w:t>3</w:t>
      </w:r>
      <w:r>
        <w:rPr>
          <w:rFonts w:hint="eastAsia"/>
        </w:rPr>
        <w:t xml:space="preserve">. </w:t>
      </w:r>
      <w:r>
        <w:t>师资力量有待进一步增强。由于教师调离等客观原因，目前有5名在编教师和1名外教，师资有待补充。</w:t>
      </w:r>
    </w:p>
    <w:p>
      <w:pPr>
        <w:ind w:firstLine="480"/>
      </w:pPr>
      <w:r>
        <w:t>（二）拟采取的对策措施</w:t>
      </w:r>
    </w:p>
    <w:p>
      <w:pPr>
        <w:ind w:firstLine="480"/>
      </w:pPr>
      <w:r>
        <w:t>1</w:t>
      </w:r>
      <w:r>
        <w:rPr>
          <w:rFonts w:hint="eastAsia"/>
        </w:rPr>
        <w:t xml:space="preserve">. </w:t>
      </w:r>
      <w:r>
        <w:t>进一步引导学生和学生家长正确认识小语种在就业等方面的优势，改变英语学习惯性认知。</w:t>
      </w:r>
    </w:p>
    <w:p>
      <w:pPr>
        <w:ind w:firstLine="480"/>
      </w:pPr>
      <w:r>
        <w:t>2</w:t>
      </w:r>
      <w:r>
        <w:rPr>
          <w:rFonts w:hint="eastAsia"/>
        </w:rPr>
        <w:t xml:space="preserve">. </w:t>
      </w:r>
      <w:r>
        <w:t>进一步加强师资队伍建设，建议学院今年引进1名教师。</w:t>
      </w:r>
    </w:p>
    <w:p>
      <w:pPr>
        <w:ind w:firstLine="480"/>
      </w:pPr>
      <w:r>
        <w:t>3</w:t>
      </w:r>
      <w:r>
        <w:rPr>
          <w:rFonts w:hint="eastAsia"/>
        </w:rPr>
        <w:t xml:space="preserve">. </w:t>
      </w:r>
      <w:r>
        <w:t>进一步扩大和深化教学改革，根据社会经济形势变化，调整人才培养方案和课程设置培养适应社会需求的专业人才，加强教学研究。</w:t>
      </w:r>
    </w:p>
    <w:p>
      <w:pPr>
        <w:ind w:firstLine="480"/>
      </w:pPr>
      <w:r>
        <w:t>4</w:t>
      </w:r>
      <w:r>
        <w:rPr>
          <w:rFonts w:hint="eastAsia"/>
        </w:rPr>
        <w:t xml:space="preserve">. </w:t>
      </w:r>
      <w:r>
        <w:t>充分挖掘办学优势，培育专业办学特色。探索依托学校办学力量加强俄语学科建设的途径，形成专业特色。继续探索其他国际合作形式，鼓励有经济条件和兴趣的学生到国外插班学习，提升语言能力，了解对象国国情。</w:t>
      </w:r>
    </w:p>
    <w:p>
      <w:r>
        <w:br w:type="page"/>
      </w:r>
    </w:p>
    <w:p>
      <w:pPr>
        <w:pStyle w:val="4"/>
        <w:ind w:firstLine="600"/>
      </w:pPr>
      <w:bookmarkStart w:id="528" w:name="_Toc14532"/>
      <w:r>
        <w:t>专业五十</w:t>
      </w:r>
      <w:r>
        <w:rPr>
          <w:rFonts w:hint="eastAsia"/>
          <w:lang w:val="en-US"/>
        </w:rPr>
        <w:t>二</w:t>
      </w:r>
      <w:r>
        <w:t>：日语</w:t>
      </w:r>
      <w:bookmarkEnd w:id="528"/>
    </w:p>
    <w:p>
      <w:pPr>
        <w:pStyle w:val="5"/>
        <w:spacing w:before="93" w:after="93"/>
        <w:ind w:firstLine="560"/>
      </w:pPr>
      <w:r>
        <w:t>一、培养目标</w:t>
      </w:r>
    </w:p>
    <w:p>
      <w:pPr>
        <w:ind w:firstLine="480"/>
      </w:pPr>
      <w:r>
        <w:t>日语专业努力培养学生良好的综合素质、扎实的日语基本功和专业知识与能力。既培养掌握相关语言文学等专业知识，满足日语教育与学术研究需求的专业型人才；又旨在培养具备翻译和商贸等应用能力，适应我国对外交流、国家与地方经济社会发展、能够在涉外行业就职的应用型人才。</w:t>
      </w:r>
    </w:p>
    <w:p>
      <w:pPr>
        <w:ind w:firstLine="480"/>
      </w:pPr>
      <w:r>
        <w:t>本专业毕业生经过5年左右的职业历练，将达成以下培养目标：</w:t>
      </w:r>
    </w:p>
    <w:p>
      <w:pPr>
        <w:ind w:firstLine="480"/>
      </w:pPr>
      <w:r>
        <w:t>素质目标：具有正确的世界观、人生观和价值观，良好的道德品质和社会责任感，兼具中国情怀和国际视野。具备良好的人文与科学素养，合作、敬业、创新精神。</w:t>
      </w:r>
    </w:p>
    <w:p>
      <w:pPr>
        <w:ind w:firstLine="480"/>
      </w:pPr>
      <w:r>
        <w:t>知识目标：应掌握扎实的日语语言功底，熟悉中国语言文化知识和日本国情相关知识，了解日语语言、文学、文化和翻译学专业知识。应具备人文社会科学与自然科学基础知识，形成跨学科知识结构。</w:t>
      </w:r>
    </w:p>
    <w:p>
      <w:pPr>
        <w:ind w:firstLine="480"/>
      </w:pPr>
      <w:r>
        <w:t>能力目标：应具备跨文化交际能力、翻译能力、文学赏析能力、较强的思辨能力、研究能力和创新能力、一定的信息技术应用能力、自主学习能力和实践能力。</w:t>
      </w:r>
    </w:p>
    <w:p>
      <w:pPr>
        <w:pStyle w:val="5"/>
        <w:numPr>
          <w:ilvl w:val="0"/>
          <w:numId w:val="8"/>
        </w:numPr>
        <w:spacing w:before="93" w:after="93"/>
        <w:ind w:firstLine="560"/>
      </w:pPr>
      <w:r>
        <w:t>培养能力</w:t>
      </w:r>
    </w:p>
    <w:p>
      <w:pPr>
        <w:pStyle w:val="7"/>
        <w:ind w:firstLine="480"/>
      </w:pPr>
      <w:r>
        <w:t>1.专业设置情况</w:t>
      </w:r>
    </w:p>
    <w:p>
      <w:pPr>
        <w:ind w:firstLine="480"/>
      </w:pPr>
      <w:r>
        <w:t>日语专业着眼于全球化经济发展及国家发展战略，培养了一大批具有扎实的日语语言能力，具有较强国际视野、创新能力和人文精神的毕业生。本专业向外贸、教育、翻译等行业输送了大批毕业生，也有诸多毕业生进入海内外名牌高校继续深造，进入学术研究领域。</w:t>
      </w:r>
    </w:p>
    <w:p>
      <w:pPr>
        <w:pStyle w:val="7"/>
        <w:ind w:firstLine="480"/>
      </w:pPr>
      <w:r>
        <w:t>2.在校生规模</w:t>
      </w:r>
    </w:p>
    <w:p>
      <w:pPr>
        <w:ind w:firstLine="480"/>
      </w:pPr>
      <w:r>
        <w:t>自2007年设立日语系并开始招收本科生以来，日语专业一直保持了每年两个教学班，每班20-30人的招生规模。截至目前共有8个教学班，在校生总数215人。</w:t>
      </w:r>
    </w:p>
    <w:p>
      <w:pPr>
        <w:pStyle w:val="7"/>
        <w:ind w:firstLine="480"/>
      </w:pPr>
      <w:r>
        <w:t>3.课程设置情况</w:t>
      </w:r>
    </w:p>
    <w:p>
      <w:pPr>
        <w:autoSpaceDE w:val="0"/>
        <w:autoSpaceDN w:val="0"/>
        <w:adjustRightInd w:val="0"/>
        <w:ind w:firstLine="480"/>
      </w:pPr>
      <w:r>
        <w:t>日语专业课程体系由理论课程体系与实践体系组成。按照</w:t>
      </w:r>
      <w:r>
        <w:rPr>
          <w:rFonts w:hint="eastAsia"/>
        </w:rPr>
        <w:t>“</w:t>
      </w:r>
      <w:r>
        <w:t>通识教育</w:t>
      </w:r>
      <w:r>
        <w:rPr>
          <w:rFonts w:hint="eastAsia"/>
        </w:rPr>
        <w:t>”</w:t>
      </w:r>
      <w:r>
        <w:t>、</w:t>
      </w:r>
      <w:r>
        <w:rPr>
          <w:rFonts w:hint="eastAsia"/>
        </w:rPr>
        <w:t>“</w:t>
      </w:r>
      <w:r>
        <w:t>专业教育</w:t>
      </w:r>
      <w:r>
        <w:rPr>
          <w:rFonts w:hint="eastAsia"/>
        </w:rPr>
        <w:t>”</w:t>
      </w:r>
      <w:r>
        <w:t>、</w:t>
      </w:r>
      <w:r>
        <w:rPr>
          <w:rFonts w:hint="eastAsia"/>
        </w:rPr>
        <w:t>“</w:t>
      </w:r>
      <w:r>
        <w:t>拓展教育</w:t>
      </w:r>
      <w:r>
        <w:rPr>
          <w:rFonts w:hint="eastAsia"/>
        </w:rPr>
        <w:t>”</w:t>
      </w:r>
      <w:r>
        <w:t>、</w:t>
      </w:r>
      <w:r>
        <w:rPr>
          <w:rFonts w:hint="eastAsia"/>
        </w:rPr>
        <w:t>“</w:t>
      </w:r>
      <w:r>
        <w:t>实践教学</w:t>
      </w:r>
      <w:r>
        <w:rPr>
          <w:rFonts w:hint="eastAsia"/>
        </w:rPr>
        <w:t>”</w:t>
      </w:r>
      <w:r>
        <w:t>4个培养平台（模块）设置课程。其中，专业核心课程包括：基础日语、日语视听说、日语会话、日语阅读、日语基础写作、日语演讲与辩论、高级日语、跨文化交际、日本文学概论、日语语言学概论、笔译理论与实践、口译理论与实践等。主要实践性教学环节有：专业认知实习、日语演讲、日本社会文化调查、齐鲁文化海外传播实践、就业技能指导、翻译实践、写作实践、日本文学名篇读书报告、企业见习研修、旅游景点讲解、毕业（生产）实习及报告、毕业论文、创业与创新实践等。</w:t>
      </w:r>
    </w:p>
    <w:p>
      <w:pPr>
        <w:pStyle w:val="7"/>
        <w:ind w:firstLine="480"/>
      </w:pPr>
      <w:r>
        <w:t>4.创新创业教育</w:t>
      </w:r>
    </w:p>
    <w:p>
      <w:pPr>
        <w:ind w:firstLine="480"/>
      </w:pPr>
      <w:r>
        <w:t>日语专业聘请了泰安本地的成功企业家、自主创业的优秀毕业生作为学生的创业导师，给学生作实地的创业指导和帮助，以提升学生的创新创业能力，以响应国家万众创新的政策要求。</w:t>
      </w:r>
    </w:p>
    <w:p>
      <w:pPr>
        <w:ind w:firstLine="480"/>
      </w:pPr>
      <w:r>
        <w:t>2021-2022学年日语系承担SRT项目十余项，内容聚焦中日历史文化现象的对比，以及当今社会的热点问题。在教师的指导下，学生利用所学知识，通过实践调查，对社会问题进行思考并提出了自己的建议和对策。</w:t>
      </w:r>
    </w:p>
    <w:p>
      <w:pPr>
        <w:spacing w:line="360" w:lineRule="auto"/>
        <w:ind w:firstLine="482"/>
        <w:jc w:val="center"/>
        <w:rPr>
          <w:b/>
          <w:szCs w:val="24"/>
        </w:rPr>
      </w:pPr>
      <w:r>
        <w:rPr>
          <w:b/>
          <w:bCs/>
          <w:szCs w:val="24"/>
        </w:rPr>
        <w:t>表1  2021-2022学</w:t>
      </w:r>
      <w:r>
        <w:rPr>
          <w:b/>
          <w:szCs w:val="24"/>
        </w:rPr>
        <w:t>年日语系承担SRT项目汇总表</w:t>
      </w:r>
    </w:p>
    <w:tbl>
      <w:tblPr>
        <w:tblStyle w:val="18"/>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23"/>
        <w:gridCol w:w="975"/>
        <w:gridCol w:w="1221"/>
        <w:gridCol w:w="14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94" w:type="pct"/>
            <w:vAlign w:val="center"/>
          </w:tcPr>
          <w:p>
            <w:pPr>
              <w:spacing w:line="240" w:lineRule="auto"/>
              <w:ind w:firstLine="1205" w:firstLineChars="500"/>
              <w:jc w:val="center"/>
              <w:rPr>
                <w:b/>
                <w:kern w:val="0"/>
                <w:szCs w:val="24"/>
              </w:rPr>
            </w:pPr>
            <w:r>
              <w:rPr>
                <w:b/>
                <w:kern w:val="0"/>
                <w:szCs w:val="24"/>
              </w:rPr>
              <w:t>题             目</w:t>
            </w:r>
          </w:p>
        </w:tc>
        <w:tc>
          <w:tcPr>
            <w:tcW w:w="538" w:type="pct"/>
            <w:vAlign w:val="center"/>
          </w:tcPr>
          <w:p>
            <w:pPr>
              <w:spacing w:line="240" w:lineRule="auto"/>
              <w:jc w:val="center"/>
              <w:rPr>
                <w:b/>
                <w:kern w:val="0"/>
                <w:szCs w:val="24"/>
              </w:rPr>
            </w:pPr>
            <w:r>
              <w:rPr>
                <w:b/>
                <w:kern w:val="0"/>
                <w:szCs w:val="24"/>
              </w:rPr>
              <w:t>级别</w:t>
            </w:r>
          </w:p>
        </w:tc>
        <w:tc>
          <w:tcPr>
            <w:tcW w:w="674" w:type="pct"/>
            <w:vAlign w:val="center"/>
          </w:tcPr>
          <w:p>
            <w:pPr>
              <w:spacing w:line="240" w:lineRule="auto"/>
              <w:jc w:val="center"/>
              <w:rPr>
                <w:b/>
                <w:kern w:val="0"/>
                <w:szCs w:val="24"/>
              </w:rPr>
            </w:pPr>
            <w:r>
              <w:rPr>
                <w:b/>
                <w:kern w:val="0"/>
                <w:szCs w:val="24"/>
              </w:rPr>
              <w:t>主持人</w:t>
            </w:r>
          </w:p>
        </w:tc>
        <w:tc>
          <w:tcPr>
            <w:tcW w:w="793" w:type="pct"/>
            <w:vAlign w:val="center"/>
          </w:tcPr>
          <w:p>
            <w:pPr>
              <w:spacing w:line="240" w:lineRule="auto"/>
              <w:jc w:val="center"/>
              <w:rPr>
                <w:b/>
                <w:kern w:val="0"/>
                <w:szCs w:val="24"/>
              </w:rPr>
            </w:pPr>
            <w:r>
              <w:rPr>
                <w:b/>
                <w:kern w:val="0"/>
                <w:szCs w:val="24"/>
              </w:rPr>
              <w:t>指导教师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94" w:type="pct"/>
            <w:vAlign w:val="bottom"/>
          </w:tcPr>
          <w:p>
            <w:pPr>
              <w:spacing w:line="240" w:lineRule="auto"/>
              <w:jc w:val="center"/>
              <w:rPr>
                <w:sz w:val="21"/>
                <w:szCs w:val="21"/>
              </w:rPr>
            </w:pPr>
            <w:r>
              <w:rPr>
                <w:sz w:val="21"/>
                <w:szCs w:val="21"/>
              </w:rPr>
              <w:t>中日学生偶像文化观的对比以及形成原因</w:t>
            </w:r>
          </w:p>
        </w:tc>
        <w:tc>
          <w:tcPr>
            <w:tcW w:w="538" w:type="pct"/>
            <w:vAlign w:val="center"/>
          </w:tcPr>
          <w:p>
            <w:pPr>
              <w:spacing w:line="240" w:lineRule="auto"/>
              <w:jc w:val="center"/>
              <w:rPr>
                <w:sz w:val="21"/>
                <w:szCs w:val="21"/>
              </w:rPr>
            </w:pPr>
            <w:r>
              <w:rPr>
                <w:kern w:val="0"/>
                <w:sz w:val="21"/>
                <w:szCs w:val="21"/>
              </w:rPr>
              <w:t>院级</w:t>
            </w:r>
          </w:p>
        </w:tc>
        <w:tc>
          <w:tcPr>
            <w:tcW w:w="674" w:type="pct"/>
            <w:vAlign w:val="center"/>
          </w:tcPr>
          <w:p>
            <w:pPr>
              <w:spacing w:line="240" w:lineRule="auto"/>
              <w:jc w:val="center"/>
              <w:rPr>
                <w:sz w:val="21"/>
                <w:szCs w:val="21"/>
              </w:rPr>
            </w:pPr>
            <w:r>
              <w:rPr>
                <w:sz w:val="21"/>
                <w:szCs w:val="21"/>
              </w:rPr>
              <w:t>沈佳璇</w:t>
            </w:r>
          </w:p>
        </w:tc>
        <w:tc>
          <w:tcPr>
            <w:tcW w:w="793" w:type="pct"/>
            <w:vAlign w:val="center"/>
          </w:tcPr>
          <w:p>
            <w:pPr>
              <w:spacing w:line="240" w:lineRule="auto"/>
              <w:jc w:val="center"/>
              <w:rPr>
                <w:sz w:val="21"/>
                <w:szCs w:val="21"/>
              </w:rPr>
            </w:pPr>
            <w:r>
              <w:rPr>
                <w:sz w:val="21"/>
                <w:szCs w:val="21"/>
              </w:rPr>
              <w:t>朱</w:t>
            </w:r>
            <w:r>
              <w:rPr>
                <w:rFonts w:hint="eastAsia"/>
                <w:sz w:val="21"/>
                <w:szCs w:val="21"/>
              </w:rPr>
              <w:t xml:space="preserve">  </w:t>
            </w:r>
            <w:r>
              <w:rPr>
                <w:sz w:val="21"/>
                <w:szCs w:val="21"/>
              </w:rPr>
              <w:t>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94" w:type="pct"/>
            <w:vAlign w:val="center"/>
          </w:tcPr>
          <w:p>
            <w:pPr>
              <w:spacing w:line="240" w:lineRule="auto"/>
              <w:jc w:val="center"/>
              <w:rPr>
                <w:sz w:val="21"/>
                <w:szCs w:val="21"/>
              </w:rPr>
            </w:pPr>
            <w:r>
              <w:rPr>
                <w:sz w:val="21"/>
                <w:szCs w:val="21"/>
              </w:rPr>
              <w:t>国别借鉴视角下中国书籍文物数字化保护—以日本为例</w:t>
            </w:r>
          </w:p>
        </w:tc>
        <w:tc>
          <w:tcPr>
            <w:tcW w:w="538" w:type="pct"/>
            <w:vAlign w:val="center"/>
          </w:tcPr>
          <w:p>
            <w:pPr>
              <w:spacing w:line="240" w:lineRule="auto"/>
              <w:jc w:val="center"/>
              <w:rPr>
                <w:sz w:val="21"/>
                <w:szCs w:val="21"/>
              </w:rPr>
            </w:pPr>
            <w:r>
              <w:rPr>
                <w:sz w:val="21"/>
                <w:szCs w:val="21"/>
              </w:rPr>
              <w:t>校级</w:t>
            </w:r>
          </w:p>
        </w:tc>
        <w:tc>
          <w:tcPr>
            <w:tcW w:w="674" w:type="pct"/>
            <w:vAlign w:val="center"/>
          </w:tcPr>
          <w:p>
            <w:pPr>
              <w:spacing w:line="240" w:lineRule="auto"/>
              <w:jc w:val="center"/>
              <w:rPr>
                <w:sz w:val="21"/>
                <w:szCs w:val="21"/>
              </w:rPr>
            </w:pPr>
            <w:r>
              <w:rPr>
                <w:sz w:val="21"/>
                <w:szCs w:val="21"/>
              </w:rPr>
              <w:t>黄楚枝</w:t>
            </w:r>
          </w:p>
        </w:tc>
        <w:tc>
          <w:tcPr>
            <w:tcW w:w="793" w:type="pct"/>
            <w:vAlign w:val="center"/>
          </w:tcPr>
          <w:p>
            <w:pPr>
              <w:spacing w:line="240" w:lineRule="auto"/>
              <w:jc w:val="center"/>
              <w:rPr>
                <w:sz w:val="21"/>
                <w:szCs w:val="21"/>
              </w:rPr>
            </w:pPr>
            <w:r>
              <w:rPr>
                <w:sz w:val="21"/>
                <w:szCs w:val="21"/>
              </w:rPr>
              <w:t>卢永妮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94" w:type="pct"/>
            <w:vAlign w:val="center"/>
          </w:tcPr>
          <w:p>
            <w:pPr>
              <w:spacing w:line="240" w:lineRule="auto"/>
              <w:jc w:val="center"/>
              <w:rPr>
                <w:sz w:val="21"/>
                <w:szCs w:val="21"/>
              </w:rPr>
            </w:pPr>
            <w:r>
              <w:rPr>
                <w:sz w:val="21"/>
                <w:szCs w:val="21"/>
              </w:rPr>
              <w:t>用日语讲好中国故事</w:t>
            </w:r>
          </w:p>
        </w:tc>
        <w:tc>
          <w:tcPr>
            <w:tcW w:w="538" w:type="pct"/>
            <w:vAlign w:val="center"/>
          </w:tcPr>
          <w:p>
            <w:pPr>
              <w:spacing w:line="240" w:lineRule="auto"/>
              <w:jc w:val="center"/>
              <w:rPr>
                <w:sz w:val="21"/>
                <w:szCs w:val="21"/>
              </w:rPr>
            </w:pPr>
            <w:r>
              <w:rPr>
                <w:sz w:val="21"/>
                <w:szCs w:val="21"/>
              </w:rPr>
              <w:t>院级</w:t>
            </w:r>
          </w:p>
        </w:tc>
        <w:tc>
          <w:tcPr>
            <w:tcW w:w="674" w:type="pct"/>
            <w:vAlign w:val="center"/>
          </w:tcPr>
          <w:p>
            <w:pPr>
              <w:spacing w:line="240" w:lineRule="auto"/>
              <w:jc w:val="center"/>
              <w:rPr>
                <w:sz w:val="21"/>
                <w:szCs w:val="21"/>
              </w:rPr>
            </w:pPr>
            <w:r>
              <w:rPr>
                <w:sz w:val="21"/>
                <w:szCs w:val="21"/>
              </w:rPr>
              <w:t>王景超</w:t>
            </w:r>
          </w:p>
        </w:tc>
        <w:tc>
          <w:tcPr>
            <w:tcW w:w="793" w:type="pct"/>
            <w:vAlign w:val="center"/>
          </w:tcPr>
          <w:p>
            <w:pPr>
              <w:spacing w:line="240" w:lineRule="auto"/>
              <w:jc w:val="center"/>
              <w:rPr>
                <w:sz w:val="21"/>
                <w:szCs w:val="21"/>
              </w:rPr>
            </w:pPr>
            <w:r>
              <w:rPr>
                <w:sz w:val="21"/>
                <w:szCs w:val="21"/>
              </w:rPr>
              <w:t>郭玲玲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94" w:type="pct"/>
            <w:vAlign w:val="center"/>
          </w:tcPr>
          <w:p>
            <w:pPr>
              <w:spacing w:line="240" w:lineRule="auto"/>
              <w:jc w:val="center"/>
              <w:rPr>
                <w:sz w:val="21"/>
                <w:szCs w:val="21"/>
              </w:rPr>
            </w:pPr>
            <w:r>
              <w:rPr>
                <w:sz w:val="21"/>
                <w:szCs w:val="21"/>
              </w:rPr>
              <w:t>可持续发展视角下中日农业文化遗产旅游发展对比研究</w:t>
            </w:r>
          </w:p>
        </w:tc>
        <w:tc>
          <w:tcPr>
            <w:tcW w:w="538" w:type="pct"/>
            <w:vAlign w:val="center"/>
          </w:tcPr>
          <w:p>
            <w:pPr>
              <w:spacing w:line="240" w:lineRule="auto"/>
              <w:jc w:val="center"/>
              <w:rPr>
                <w:sz w:val="21"/>
                <w:szCs w:val="21"/>
              </w:rPr>
            </w:pPr>
            <w:r>
              <w:rPr>
                <w:sz w:val="21"/>
                <w:szCs w:val="21"/>
              </w:rPr>
              <w:t>校级</w:t>
            </w:r>
          </w:p>
        </w:tc>
        <w:tc>
          <w:tcPr>
            <w:tcW w:w="674" w:type="pct"/>
            <w:vAlign w:val="center"/>
          </w:tcPr>
          <w:p>
            <w:pPr>
              <w:spacing w:line="240" w:lineRule="auto"/>
              <w:jc w:val="center"/>
              <w:rPr>
                <w:sz w:val="21"/>
                <w:szCs w:val="21"/>
              </w:rPr>
            </w:pPr>
            <w:r>
              <w:rPr>
                <w:sz w:val="21"/>
                <w:szCs w:val="21"/>
              </w:rPr>
              <w:t>程</w:t>
            </w:r>
            <w:r>
              <w:rPr>
                <w:rFonts w:hint="eastAsia"/>
                <w:sz w:val="21"/>
                <w:szCs w:val="21"/>
              </w:rPr>
              <w:t xml:space="preserve">  </w:t>
            </w:r>
            <w:r>
              <w:rPr>
                <w:sz w:val="21"/>
                <w:szCs w:val="21"/>
              </w:rPr>
              <w:t>静</w:t>
            </w:r>
          </w:p>
        </w:tc>
        <w:tc>
          <w:tcPr>
            <w:tcW w:w="793" w:type="pct"/>
            <w:vAlign w:val="center"/>
          </w:tcPr>
          <w:p>
            <w:pPr>
              <w:spacing w:line="240" w:lineRule="auto"/>
              <w:jc w:val="center"/>
              <w:rPr>
                <w:sz w:val="21"/>
                <w:szCs w:val="21"/>
              </w:rPr>
            </w:pPr>
            <w:r>
              <w:rPr>
                <w:sz w:val="21"/>
                <w:szCs w:val="21"/>
              </w:rPr>
              <w:t>卢永妮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94" w:type="pct"/>
            <w:vAlign w:val="center"/>
          </w:tcPr>
          <w:p>
            <w:pPr>
              <w:spacing w:line="240" w:lineRule="auto"/>
              <w:jc w:val="center"/>
              <w:rPr>
                <w:sz w:val="21"/>
                <w:szCs w:val="21"/>
              </w:rPr>
            </w:pPr>
            <w:r>
              <w:rPr>
                <w:sz w:val="21"/>
                <w:szCs w:val="21"/>
              </w:rPr>
              <w:t>战后日本泰山研究综述与批判</w:t>
            </w:r>
          </w:p>
        </w:tc>
        <w:tc>
          <w:tcPr>
            <w:tcW w:w="538" w:type="pct"/>
            <w:vAlign w:val="center"/>
          </w:tcPr>
          <w:p>
            <w:pPr>
              <w:spacing w:line="240" w:lineRule="auto"/>
              <w:jc w:val="center"/>
              <w:rPr>
                <w:sz w:val="21"/>
                <w:szCs w:val="21"/>
              </w:rPr>
            </w:pPr>
            <w:r>
              <w:rPr>
                <w:sz w:val="21"/>
                <w:szCs w:val="21"/>
              </w:rPr>
              <w:t>校级</w:t>
            </w:r>
          </w:p>
        </w:tc>
        <w:tc>
          <w:tcPr>
            <w:tcW w:w="674" w:type="pct"/>
            <w:vAlign w:val="center"/>
          </w:tcPr>
          <w:p>
            <w:pPr>
              <w:spacing w:line="240" w:lineRule="auto"/>
              <w:jc w:val="center"/>
              <w:rPr>
                <w:sz w:val="21"/>
                <w:szCs w:val="21"/>
              </w:rPr>
            </w:pPr>
            <w:r>
              <w:rPr>
                <w:sz w:val="21"/>
                <w:szCs w:val="21"/>
              </w:rPr>
              <w:t>夏</w:t>
            </w:r>
            <w:r>
              <w:rPr>
                <w:rFonts w:hint="eastAsia"/>
                <w:sz w:val="21"/>
                <w:szCs w:val="21"/>
              </w:rPr>
              <w:t xml:space="preserve">  </w:t>
            </w:r>
            <w:r>
              <w:rPr>
                <w:sz w:val="21"/>
                <w:szCs w:val="21"/>
              </w:rPr>
              <w:t>洁</w:t>
            </w:r>
          </w:p>
        </w:tc>
        <w:tc>
          <w:tcPr>
            <w:tcW w:w="793" w:type="pct"/>
            <w:vAlign w:val="center"/>
          </w:tcPr>
          <w:p>
            <w:pPr>
              <w:spacing w:line="240" w:lineRule="auto"/>
              <w:jc w:val="center"/>
              <w:rPr>
                <w:sz w:val="21"/>
                <w:szCs w:val="21"/>
              </w:rPr>
            </w:pPr>
            <w:r>
              <w:rPr>
                <w:sz w:val="21"/>
                <w:szCs w:val="21"/>
              </w:rPr>
              <w:t>林啸轩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trPr>
        <w:tc>
          <w:tcPr>
            <w:tcW w:w="2994" w:type="pct"/>
            <w:vAlign w:val="center"/>
          </w:tcPr>
          <w:p>
            <w:pPr>
              <w:spacing w:line="240" w:lineRule="auto"/>
              <w:jc w:val="center"/>
              <w:rPr>
                <w:sz w:val="21"/>
                <w:szCs w:val="21"/>
              </w:rPr>
            </w:pPr>
            <w:r>
              <w:rPr>
                <w:sz w:val="21"/>
                <w:szCs w:val="21"/>
              </w:rPr>
              <w:t>信息时代下网络流行语在日本传统曲艺</w:t>
            </w:r>
            <w:r>
              <w:rPr>
                <w:rFonts w:hint="eastAsia"/>
                <w:sz w:val="21"/>
                <w:szCs w:val="21"/>
              </w:rPr>
              <w:t>“</w:t>
            </w:r>
            <w:r>
              <w:rPr>
                <w:sz w:val="21"/>
                <w:szCs w:val="21"/>
              </w:rPr>
              <w:t>漫才</w:t>
            </w:r>
            <w:r>
              <w:rPr>
                <w:rFonts w:hint="eastAsia"/>
                <w:sz w:val="21"/>
                <w:szCs w:val="21"/>
              </w:rPr>
              <w:t>”</w:t>
            </w:r>
            <w:r>
              <w:rPr>
                <w:sz w:val="21"/>
                <w:szCs w:val="21"/>
              </w:rPr>
              <w:t xml:space="preserve">的应用及影响研究 </w:t>
            </w:r>
          </w:p>
        </w:tc>
        <w:tc>
          <w:tcPr>
            <w:tcW w:w="538" w:type="pct"/>
            <w:vAlign w:val="center"/>
          </w:tcPr>
          <w:p>
            <w:pPr>
              <w:spacing w:line="240" w:lineRule="auto"/>
              <w:jc w:val="center"/>
              <w:rPr>
                <w:sz w:val="21"/>
                <w:szCs w:val="21"/>
              </w:rPr>
            </w:pPr>
            <w:r>
              <w:rPr>
                <w:sz w:val="21"/>
                <w:szCs w:val="21"/>
              </w:rPr>
              <w:t>院级</w:t>
            </w:r>
          </w:p>
        </w:tc>
        <w:tc>
          <w:tcPr>
            <w:tcW w:w="674" w:type="pct"/>
            <w:vAlign w:val="center"/>
          </w:tcPr>
          <w:p>
            <w:pPr>
              <w:spacing w:line="240" w:lineRule="auto"/>
              <w:jc w:val="center"/>
              <w:rPr>
                <w:sz w:val="21"/>
                <w:szCs w:val="21"/>
              </w:rPr>
            </w:pPr>
            <w:r>
              <w:rPr>
                <w:sz w:val="21"/>
                <w:szCs w:val="21"/>
              </w:rPr>
              <w:t>展</w:t>
            </w:r>
            <w:r>
              <w:rPr>
                <w:rFonts w:hint="eastAsia"/>
                <w:sz w:val="21"/>
                <w:szCs w:val="21"/>
              </w:rPr>
              <w:t xml:space="preserve">  </w:t>
            </w:r>
            <w:r>
              <w:rPr>
                <w:sz w:val="21"/>
                <w:szCs w:val="21"/>
              </w:rPr>
              <w:t>敏</w:t>
            </w:r>
          </w:p>
        </w:tc>
        <w:tc>
          <w:tcPr>
            <w:tcW w:w="793" w:type="pct"/>
            <w:vAlign w:val="center"/>
          </w:tcPr>
          <w:p>
            <w:pPr>
              <w:spacing w:line="240" w:lineRule="auto"/>
              <w:jc w:val="center"/>
              <w:rPr>
                <w:sz w:val="21"/>
                <w:szCs w:val="21"/>
              </w:rPr>
            </w:pPr>
            <w:r>
              <w:rPr>
                <w:sz w:val="21"/>
                <w:szCs w:val="21"/>
              </w:rPr>
              <w:t>刘长远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trPr>
        <w:tc>
          <w:tcPr>
            <w:tcW w:w="2994" w:type="pct"/>
            <w:vAlign w:val="center"/>
          </w:tcPr>
          <w:p>
            <w:pPr>
              <w:spacing w:line="240" w:lineRule="auto"/>
              <w:jc w:val="center"/>
              <w:rPr>
                <w:sz w:val="21"/>
                <w:szCs w:val="21"/>
              </w:rPr>
            </w:pPr>
            <w:r>
              <w:rPr>
                <w:sz w:val="21"/>
                <w:szCs w:val="21"/>
              </w:rPr>
              <w:t>孟子对近代日本的影响研究—以吉田松阴《讲孟余话》</w:t>
            </w:r>
          </w:p>
          <w:p>
            <w:pPr>
              <w:spacing w:line="240" w:lineRule="auto"/>
              <w:jc w:val="center"/>
              <w:rPr>
                <w:sz w:val="21"/>
                <w:szCs w:val="21"/>
              </w:rPr>
            </w:pPr>
            <w:r>
              <w:rPr>
                <w:sz w:val="21"/>
                <w:szCs w:val="21"/>
              </w:rPr>
              <w:t xml:space="preserve">为例 </w:t>
            </w:r>
          </w:p>
        </w:tc>
        <w:tc>
          <w:tcPr>
            <w:tcW w:w="538" w:type="pct"/>
            <w:vAlign w:val="center"/>
          </w:tcPr>
          <w:p>
            <w:pPr>
              <w:spacing w:line="240" w:lineRule="auto"/>
              <w:jc w:val="center"/>
              <w:rPr>
                <w:sz w:val="21"/>
                <w:szCs w:val="21"/>
              </w:rPr>
            </w:pPr>
            <w:r>
              <w:rPr>
                <w:sz w:val="21"/>
                <w:szCs w:val="21"/>
              </w:rPr>
              <w:t>院级</w:t>
            </w:r>
          </w:p>
        </w:tc>
        <w:tc>
          <w:tcPr>
            <w:tcW w:w="674" w:type="pct"/>
            <w:vAlign w:val="center"/>
          </w:tcPr>
          <w:p>
            <w:pPr>
              <w:spacing w:line="240" w:lineRule="auto"/>
              <w:jc w:val="center"/>
              <w:rPr>
                <w:sz w:val="21"/>
                <w:szCs w:val="21"/>
              </w:rPr>
            </w:pPr>
            <w:r>
              <w:rPr>
                <w:sz w:val="21"/>
                <w:szCs w:val="21"/>
              </w:rPr>
              <w:t>王海琪</w:t>
            </w:r>
          </w:p>
        </w:tc>
        <w:tc>
          <w:tcPr>
            <w:tcW w:w="793" w:type="pct"/>
            <w:vAlign w:val="center"/>
          </w:tcPr>
          <w:p>
            <w:pPr>
              <w:spacing w:line="240" w:lineRule="auto"/>
              <w:jc w:val="center"/>
              <w:rPr>
                <w:sz w:val="21"/>
                <w:szCs w:val="21"/>
              </w:rPr>
            </w:pPr>
            <w:r>
              <w:rPr>
                <w:sz w:val="21"/>
                <w:szCs w:val="21"/>
              </w:rPr>
              <w:t>卢永妮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94" w:type="pct"/>
            <w:vAlign w:val="center"/>
          </w:tcPr>
          <w:p>
            <w:pPr>
              <w:spacing w:line="240" w:lineRule="auto"/>
              <w:jc w:val="center"/>
              <w:rPr>
                <w:sz w:val="21"/>
                <w:szCs w:val="21"/>
              </w:rPr>
            </w:pPr>
            <w:r>
              <w:rPr>
                <w:sz w:val="21"/>
                <w:szCs w:val="21"/>
              </w:rPr>
              <w:t>中日跨境电商发展下山东地区日语人才需求的现状分析</w:t>
            </w:r>
          </w:p>
        </w:tc>
        <w:tc>
          <w:tcPr>
            <w:tcW w:w="538" w:type="pct"/>
            <w:vAlign w:val="center"/>
          </w:tcPr>
          <w:p>
            <w:pPr>
              <w:spacing w:line="240" w:lineRule="auto"/>
              <w:jc w:val="center"/>
              <w:rPr>
                <w:sz w:val="21"/>
                <w:szCs w:val="21"/>
              </w:rPr>
            </w:pPr>
            <w:r>
              <w:rPr>
                <w:sz w:val="21"/>
                <w:szCs w:val="21"/>
              </w:rPr>
              <w:t>院级</w:t>
            </w:r>
          </w:p>
        </w:tc>
        <w:tc>
          <w:tcPr>
            <w:tcW w:w="674" w:type="pct"/>
            <w:vAlign w:val="center"/>
          </w:tcPr>
          <w:p>
            <w:pPr>
              <w:spacing w:line="240" w:lineRule="auto"/>
              <w:jc w:val="center"/>
              <w:rPr>
                <w:sz w:val="21"/>
                <w:szCs w:val="21"/>
              </w:rPr>
            </w:pPr>
            <w:r>
              <w:rPr>
                <w:sz w:val="21"/>
                <w:szCs w:val="21"/>
              </w:rPr>
              <w:t>林钦鑫</w:t>
            </w:r>
          </w:p>
        </w:tc>
        <w:tc>
          <w:tcPr>
            <w:tcW w:w="793" w:type="pct"/>
            <w:vAlign w:val="center"/>
          </w:tcPr>
          <w:p>
            <w:pPr>
              <w:spacing w:line="240" w:lineRule="auto"/>
              <w:jc w:val="center"/>
              <w:rPr>
                <w:sz w:val="21"/>
                <w:szCs w:val="21"/>
              </w:rPr>
            </w:pPr>
            <w:r>
              <w:rPr>
                <w:sz w:val="21"/>
                <w:szCs w:val="21"/>
              </w:rPr>
              <w:t>刘长远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trPr>
        <w:tc>
          <w:tcPr>
            <w:tcW w:w="2994" w:type="pct"/>
            <w:vAlign w:val="center"/>
          </w:tcPr>
          <w:p>
            <w:pPr>
              <w:spacing w:line="240" w:lineRule="auto"/>
              <w:jc w:val="center"/>
              <w:rPr>
                <w:sz w:val="21"/>
                <w:szCs w:val="21"/>
              </w:rPr>
            </w:pPr>
            <w:r>
              <w:rPr>
                <w:sz w:val="21"/>
                <w:szCs w:val="21"/>
              </w:rPr>
              <w:t>认知诗学视域下《诗经》与《万叶集》的花鸟意象隐喻对比研究</w:t>
            </w:r>
          </w:p>
        </w:tc>
        <w:tc>
          <w:tcPr>
            <w:tcW w:w="538" w:type="pct"/>
            <w:vAlign w:val="center"/>
          </w:tcPr>
          <w:p>
            <w:pPr>
              <w:spacing w:line="240" w:lineRule="auto"/>
              <w:jc w:val="center"/>
              <w:rPr>
                <w:sz w:val="21"/>
                <w:szCs w:val="21"/>
              </w:rPr>
            </w:pPr>
            <w:r>
              <w:rPr>
                <w:sz w:val="21"/>
                <w:szCs w:val="21"/>
              </w:rPr>
              <w:t>院级</w:t>
            </w:r>
          </w:p>
        </w:tc>
        <w:tc>
          <w:tcPr>
            <w:tcW w:w="674" w:type="pct"/>
            <w:vAlign w:val="center"/>
          </w:tcPr>
          <w:p>
            <w:pPr>
              <w:spacing w:line="240" w:lineRule="auto"/>
              <w:jc w:val="center"/>
              <w:rPr>
                <w:sz w:val="21"/>
                <w:szCs w:val="21"/>
              </w:rPr>
            </w:pPr>
            <w:r>
              <w:rPr>
                <w:sz w:val="21"/>
                <w:szCs w:val="21"/>
              </w:rPr>
              <w:t>葛淑琦</w:t>
            </w:r>
          </w:p>
        </w:tc>
        <w:tc>
          <w:tcPr>
            <w:tcW w:w="793" w:type="pct"/>
            <w:vAlign w:val="center"/>
          </w:tcPr>
          <w:p>
            <w:pPr>
              <w:spacing w:line="240" w:lineRule="auto"/>
              <w:jc w:val="center"/>
              <w:rPr>
                <w:sz w:val="21"/>
                <w:szCs w:val="21"/>
              </w:rPr>
            </w:pPr>
            <w:r>
              <w:rPr>
                <w:sz w:val="21"/>
                <w:szCs w:val="21"/>
              </w:rPr>
              <w:t>刘长远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trPr>
        <w:tc>
          <w:tcPr>
            <w:tcW w:w="2994" w:type="pct"/>
            <w:vAlign w:val="center"/>
          </w:tcPr>
          <w:p>
            <w:pPr>
              <w:spacing w:line="240" w:lineRule="auto"/>
              <w:jc w:val="center"/>
              <w:rPr>
                <w:sz w:val="21"/>
                <w:szCs w:val="21"/>
              </w:rPr>
            </w:pPr>
            <w:r>
              <w:rPr>
                <w:sz w:val="21"/>
                <w:szCs w:val="21"/>
              </w:rPr>
              <w:t xml:space="preserve">基于农科类高校培养语言类学科的实用型人才的研究—— 以山东农业大学日语专业为例   </w:t>
            </w:r>
          </w:p>
        </w:tc>
        <w:tc>
          <w:tcPr>
            <w:tcW w:w="538" w:type="pct"/>
            <w:vAlign w:val="center"/>
          </w:tcPr>
          <w:p>
            <w:pPr>
              <w:spacing w:line="240" w:lineRule="auto"/>
              <w:jc w:val="center"/>
              <w:rPr>
                <w:sz w:val="21"/>
                <w:szCs w:val="21"/>
              </w:rPr>
            </w:pPr>
            <w:r>
              <w:rPr>
                <w:sz w:val="21"/>
                <w:szCs w:val="21"/>
              </w:rPr>
              <w:t>院级</w:t>
            </w:r>
          </w:p>
        </w:tc>
        <w:tc>
          <w:tcPr>
            <w:tcW w:w="674" w:type="pct"/>
            <w:vAlign w:val="center"/>
          </w:tcPr>
          <w:p>
            <w:pPr>
              <w:spacing w:line="240" w:lineRule="auto"/>
              <w:jc w:val="center"/>
              <w:rPr>
                <w:sz w:val="21"/>
                <w:szCs w:val="21"/>
              </w:rPr>
            </w:pPr>
            <w:r>
              <w:rPr>
                <w:sz w:val="21"/>
                <w:szCs w:val="21"/>
              </w:rPr>
              <w:t>李</w:t>
            </w:r>
            <w:r>
              <w:rPr>
                <w:rFonts w:hint="eastAsia"/>
                <w:sz w:val="21"/>
                <w:szCs w:val="21"/>
              </w:rPr>
              <w:t xml:space="preserve">  </w:t>
            </w:r>
            <w:r>
              <w:rPr>
                <w:sz w:val="21"/>
                <w:szCs w:val="21"/>
              </w:rPr>
              <w:t>宇</w:t>
            </w:r>
          </w:p>
        </w:tc>
        <w:tc>
          <w:tcPr>
            <w:tcW w:w="793" w:type="pct"/>
            <w:vAlign w:val="center"/>
          </w:tcPr>
          <w:p>
            <w:pPr>
              <w:spacing w:line="240" w:lineRule="auto"/>
              <w:jc w:val="center"/>
              <w:rPr>
                <w:sz w:val="21"/>
                <w:szCs w:val="21"/>
              </w:rPr>
            </w:pPr>
            <w:r>
              <w:rPr>
                <w:sz w:val="21"/>
                <w:szCs w:val="21"/>
              </w:rPr>
              <w:t>韩</w:t>
            </w:r>
            <w:r>
              <w:rPr>
                <w:rFonts w:hint="eastAsia"/>
                <w:sz w:val="21"/>
                <w:szCs w:val="21"/>
              </w:rPr>
              <w:t xml:space="preserve">  </w:t>
            </w:r>
            <w:r>
              <w:rPr>
                <w:sz w:val="21"/>
                <w:szCs w:val="21"/>
              </w:rPr>
              <w:t>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94" w:type="pct"/>
            <w:vAlign w:val="center"/>
          </w:tcPr>
          <w:p>
            <w:pPr>
              <w:spacing w:line="240" w:lineRule="auto"/>
              <w:jc w:val="center"/>
              <w:rPr>
                <w:sz w:val="21"/>
                <w:szCs w:val="21"/>
              </w:rPr>
            </w:pPr>
            <w:r>
              <w:rPr>
                <w:sz w:val="21"/>
                <w:szCs w:val="21"/>
              </w:rPr>
              <w:t xml:space="preserve">食育在中国推广的意义及方法研究：基于日本的经验     </w:t>
            </w:r>
          </w:p>
        </w:tc>
        <w:tc>
          <w:tcPr>
            <w:tcW w:w="538" w:type="pct"/>
            <w:vAlign w:val="center"/>
          </w:tcPr>
          <w:p>
            <w:pPr>
              <w:spacing w:line="240" w:lineRule="auto"/>
              <w:jc w:val="center"/>
              <w:rPr>
                <w:sz w:val="21"/>
                <w:szCs w:val="21"/>
              </w:rPr>
            </w:pPr>
            <w:r>
              <w:rPr>
                <w:sz w:val="21"/>
                <w:szCs w:val="21"/>
              </w:rPr>
              <w:t>院级</w:t>
            </w:r>
          </w:p>
        </w:tc>
        <w:tc>
          <w:tcPr>
            <w:tcW w:w="674" w:type="pct"/>
            <w:vAlign w:val="center"/>
          </w:tcPr>
          <w:p>
            <w:pPr>
              <w:spacing w:line="240" w:lineRule="auto"/>
              <w:jc w:val="center"/>
              <w:rPr>
                <w:sz w:val="21"/>
                <w:szCs w:val="21"/>
              </w:rPr>
            </w:pPr>
            <w:r>
              <w:rPr>
                <w:sz w:val="21"/>
                <w:szCs w:val="21"/>
              </w:rPr>
              <w:t>赵文宇</w:t>
            </w:r>
          </w:p>
        </w:tc>
        <w:tc>
          <w:tcPr>
            <w:tcW w:w="793" w:type="pct"/>
            <w:vAlign w:val="center"/>
          </w:tcPr>
          <w:p>
            <w:pPr>
              <w:spacing w:line="240" w:lineRule="auto"/>
              <w:jc w:val="center"/>
              <w:rPr>
                <w:sz w:val="21"/>
                <w:szCs w:val="21"/>
              </w:rPr>
            </w:pPr>
            <w:r>
              <w:rPr>
                <w:sz w:val="21"/>
                <w:szCs w:val="21"/>
              </w:rPr>
              <w:t>卢永妮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atLeast"/>
        </w:trPr>
        <w:tc>
          <w:tcPr>
            <w:tcW w:w="2994" w:type="pct"/>
            <w:vAlign w:val="center"/>
          </w:tcPr>
          <w:p>
            <w:pPr>
              <w:spacing w:line="240" w:lineRule="auto"/>
              <w:jc w:val="center"/>
              <w:rPr>
                <w:sz w:val="21"/>
                <w:szCs w:val="21"/>
              </w:rPr>
            </w:pPr>
            <w:r>
              <w:rPr>
                <w:sz w:val="21"/>
                <w:szCs w:val="21"/>
              </w:rPr>
              <w:t>汉语和英语对日语学习影响的调查研究—以山东农业大学日语专业学生为对象</w:t>
            </w:r>
          </w:p>
        </w:tc>
        <w:tc>
          <w:tcPr>
            <w:tcW w:w="538" w:type="pct"/>
            <w:vAlign w:val="center"/>
          </w:tcPr>
          <w:p>
            <w:pPr>
              <w:spacing w:line="240" w:lineRule="auto"/>
              <w:jc w:val="center"/>
              <w:rPr>
                <w:sz w:val="21"/>
                <w:szCs w:val="21"/>
              </w:rPr>
            </w:pPr>
            <w:r>
              <w:rPr>
                <w:sz w:val="21"/>
                <w:szCs w:val="21"/>
              </w:rPr>
              <w:t>院级</w:t>
            </w:r>
          </w:p>
        </w:tc>
        <w:tc>
          <w:tcPr>
            <w:tcW w:w="674" w:type="pct"/>
            <w:vAlign w:val="center"/>
          </w:tcPr>
          <w:p>
            <w:pPr>
              <w:spacing w:line="240" w:lineRule="auto"/>
              <w:jc w:val="center"/>
              <w:rPr>
                <w:sz w:val="21"/>
                <w:szCs w:val="21"/>
              </w:rPr>
            </w:pPr>
            <w:r>
              <w:rPr>
                <w:sz w:val="21"/>
                <w:szCs w:val="21"/>
              </w:rPr>
              <w:t>苏梦琦</w:t>
            </w:r>
          </w:p>
        </w:tc>
        <w:tc>
          <w:tcPr>
            <w:tcW w:w="793" w:type="pct"/>
            <w:vAlign w:val="center"/>
          </w:tcPr>
          <w:p>
            <w:pPr>
              <w:spacing w:line="240" w:lineRule="auto"/>
              <w:jc w:val="center"/>
              <w:rPr>
                <w:sz w:val="21"/>
                <w:szCs w:val="21"/>
              </w:rPr>
            </w:pPr>
            <w:r>
              <w:rPr>
                <w:sz w:val="21"/>
                <w:szCs w:val="21"/>
              </w:rPr>
              <w:t>杨</w:t>
            </w:r>
            <w:r>
              <w:rPr>
                <w:rFonts w:hint="eastAsia"/>
                <w:sz w:val="21"/>
                <w:szCs w:val="21"/>
              </w:rPr>
              <w:t xml:space="preserve">  </w:t>
            </w:r>
            <w:r>
              <w:rPr>
                <w:sz w:val="21"/>
                <w:szCs w:val="21"/>
              </w:rPr>
              <w:t>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trPr>
        <w:tc>
          <w:tcPr>
            <w:tcW w:w="2994" w:type="pct"/>
            <w:vAlign w:val="center"/>
          </w:tcPr>
          <w:p>
            <w:pPr>
              <w:spacing w:line="240" w:lineRule="auto"/>
              <w:jc w:val="center"/>
              <w:rPr>
                <w:sz w:val="21"/>
                <w:szCs w:val="21"/>
              </w:rPr>
            </w:pPr>
            <w:r>
              <w:rPr>
                <w:sz w:val="21"/>
                <w:szCs w:val="21"/>
              </w:rPr>
              <w:t>中日两国大学入学制度比较研究——基于《Just because！》与《昨日青空》的比较</w:t>
            </w:r>
          </w:p>
        </w:tc>
        <w:tc>
          <w:tcPr>
            <w:tcW w:w="538" w:type="pct"/>
            <w:vAlign w:val="center"/>
          </w:tcPr>
          <w:p>
            <w:pPr>
              <w:spacing w:line="240" w:lineRule="auto"/>
              <w:jc w:val="center"/>
              <w:rPr>
                <w:sz w:val="21"/>
                <w:szCs w:val="21"/>
              </w:rPr>
            </w:pPr>
            <w:r>
              <w:rPr>
                <w:sz w:val="21"/>
                <w:szCs w:val="21"/>
              </w:rPr>
              <w:t>院级</w:t>
            </w:r>
          </w:p>
        </w:tc>
        <w:tc>
          <w:tcPr>
            <w:tcW w:w="674" w:type="pct"/>
            <w:vAlign w:val="center"/>
          </w:tcPr>
          <w:p>
            <w:pPr>
              <w:spacing w:line="240" w:lineRule="auto"/>
              <w:jc w:val="center"/>
              <w:rPr>
                <w:sz w:val="21"/>
                <w:szCs w:val="21"/>
              </w:rPr>
            </w:pPr>
            <w:r>
              <w:rPr>
                <w:sz w:val="21"/>
                <w:szCs w:val="21"/>
              </w:rPr>
              <w:t>刘鑫宇</w:t>
            </w:r>
          </w:p>
        </w:tc>
        <w:tc>
          <w:tcPr>
            <w:tcW w:w="793" w:type="pct"/>
            <w:vAlign w:val="center"/>
          </w:tcPr>
          <w:p>
            <w:pPr>
              <w:spacing w:line="240" w:lineRule="auto"/>
              <w:jc w:val="center"/>
              <w:rPr>
                <w:sz w:val="21"/>
                <w:szCs w:val="21"/>
              </w:rPr>
            </w:pPr>
            <w:r>
              <w:rPr>
                <w:sz w:val="21"/>
                <w:szCs w:val="21"/>
              </w:rPr>
              <w:t>卢永妮</w:t>
            </w:r>
          </w:p>
        </w:tc>
      </w:tr>
    </w:tbl>
    <w:p>
      <w:pPr>
        <w:pStyle w:val="5"/>
        <w:numPr>
          <w:ilvl w:val="0"/>
          <w:numId w:val="8"/>
        </w:numPr>
        <w:spacing w:before="93" w:after="93"/>
        <w:ind w:firstLine="560"/>
      </w:pPr>
      <w:r>
        <w:t>培养条件</w:t>
      </w:r>
    </w:p>
    <w:p>
      <w:pPr>
        <w:pStyle w:val="7"/>
        <w:ind w:firstLine="480"/>
      </w:pPr>
      <w:r>
        <w:t>1.教学经费投入</w:t>
      </w:r>
    </w:p>
    <w:p>
      <w:pPr>
        <w:pStyle w:val="7"/>
        <w:ind w:firstLine="480"/>
        <w:rPr>
          <w:rFonts w:eastAsia="宋体"/>
        </w:rPr>
      </w:pPr>
      <w:r>
        <w:rPr>
          <w:rFonts w:eastAsia="宋体"/>
        </w:rPr>
        <w:t>2021-2022年度，学院对英语等四个专业总投入</w:t>
      </w:r>
      <w:r>
        <w:rPr>
          <w:rFonts w:eastAsia="宋体"/>
          <w:color w:val="FF0000"/>
        </w:rPr>
        <w:t>？</w:t>
      </w:r>
      <w:r>
        <w:rPr>
          <w:rFonts w:eastAsia="宋体"/>
        </w:rPr>
        <w:t>万元，用于师资培训、教研教改，学生实习，教学修缮，设备购置及学术活动费等。</w:t>
      </w:r>
    </w:p>
    <w:p>
      <w:pPr>
        <w:pStyle w:val="7"/>
        <w:ind w:firstLine="480"/>
      </w:pPr>
      <w:r>
        <w:t>2.教学设备</w:t>
      </w:r>
    </w:p>
    <w:p>
      <w:pPr>
        <w:ind w:firstLine="480"/>
      </w:pPr>
      <w:r>
        <w:t>外语教学实验中心现拥有1个同声传译语音实验室，1个商务英语实训室，1个翻转课堂实验室，1个音视频制作室，4个网络设备机房，15个多媒体语音实验室，共1045座，3个英语广播电台，分为校本部、东校区和南校区3个部分。中心现有主任1人，专职实验技术人员5人。房间使用面积1600.36㎡，仪器设备总值400余万元。2017-2018年度，完成80万元的设备招标，更新了3个多媒体实验室。</w:t>
      </w:r>
    </w:p>
    <w:p>
      <w:pPr>
        <w:ind w:firstLine="480"/>
      </w:pPr>
      <w:r>
        <w:t>学院资料室现有图书14433册，常年订阅各类学术期刊69种。学校图书馆有纸本馆藏253.3万册，现刊1459种，报纸75种；建设了中国知网、维普、万方、超星、新东方英语、Wiley、ScienceDirect、Proquest、Springer、Science Online、Nature等中外文电子资源库43个，其中电子图书394.3万种，电子期刊8.9万种。现存外语图书19.7万册，外语类期刊31种。</w:t>
      </w:r>
    </w:p>
    <w:p>
      <w:pPr>
        <w:pStyle w:val="7"/>
        <w:ind w:firstLine="480"/>
      </w:pPr>
      <w:r>
        <w:t>3.教师队伍建设</w:t>
      </w:r>
    </w:p>
    <w:p>
      <w:pPr>
        <w:ind w:firstLine="480"/>
      </w:pPr>
      <w:r>
        <w:t>经过十余年的发展，日语专业已逐步形成一支年龄结构、学缘结构、职称结构合理的师资队伍。教师队伍中有教授1人、副教授4人、讲师3人，长期聘任日籍教师1人；其中4人获得博士学位，所有教师都有一年及以上日本留学或访学经历。目前有四个学术研究方向：日本文学研究与中日文学对比研究、日本农村社会、中日对比翻译以及文化人类学。</w:t>
      </w:r>
    </w:p>
    <w:p>
      <w:pPr>
        <w:spacing w:line="360" w:lineRule="auto"/>
        <w:jc w:val="center"/>
        <w:rPr>
          <w:b/>
          <w:bCs/>
          <w:sz w:val="21"/>
          <w:szCs w:val="21"/>
        </w:rPr>
      </w:pPr>
      <w:r>
        <w:rPr>
          <w:b/>
          <w:bCs/>
          <w:sz w:val="21"/>
          <w:szCs w:val="21"/>
        </w:rPr>
        <w:t>表2  日语专业教师情况统计表</w:t>
      </w:r>
    </w:p>
    <w:tbl>
      <w:tblPr>
        <w:tblStyle w:val="17"/>
        <w:tblW w:w="89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3"/>
        <w:gridCol w:w="709"/>
        <w:gridCol w:w="851"/>
        <w:gridCol w:w="1037"/>
        <w:gridCol w:w="1380"/>
        <w:gridCol w:w="1821"/>
        <w:gridCol w:w="22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blHeader/>
          <w:jc w:val="center"/>
        </w:trPr>
        <w:tc>
          <w:tcPr>
            <w:tcW w:w="883"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b/>
                <w:bCs/>
                <w:sz w:val="21"/>
                <w:szCs w:val="21"/>
              </w:rPr>
            </w:pPr>
            <w:r>
              <w:rPr>
                <w:b/>
                <w:bCs/>
                <w:sz w:val="21"/>
                <w:szCs w:val="21"/>
              </w:rPr>
              <w:t>姓</w:t>
            </w:r>
            <w:r>
              <w:rPr>
                <w:rFonts w:hint="eastAsia"/>
                <w:b/>
                <w:bCs/>
                <w:sz w:val="21"/>
                <w:szCs w:val="21"/>
              </w:rPr>
              <w:t xml:space="preserve">  </w:t>
            </w:r>
            <w:r>
              <w:rPr>
                <w:b/>
                <w:bCs/>
                <w:sz w:val="21"/>
                <w:szCs w:val="21"/>
              </w:rPr>
              <w:t>名</w:t>
            </w:r>
          </w:p>
        </w:tc>
        <w:tc>
          <w:tcPr>
            <w:tcW w:w="70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b/>
                <w:bCs/>
                <w:sz w:val="21"/>
                <w:szCs w:val="21"/>
              </w:rPr>
            </w:pPr>
            <w:r>
              <w:rPr>
                <w:b/>
                <w:bCs/>
                <w:sz w:val="21"/>
                <w:szCs w:val="21"/>
              </w:rPr>
              <w:t>年龄</w:t>
            </w:r>
          </w:p>
        </w:tc>
        <w:tc>
          <w:tcPr>
            <w:tcW w:w="85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b/>
                <w:bCs/>
                <w:sz w:val="21"/>
                <w:szCs w:val="21"/>
              </w:rPr>
            </w:pPr>
            <w:r>
              <w:rPr>
                <w:b/>
                <w:bCs/>
                <w:sz w:val="21"/>
                <w:szCs w:val="21"/>
              </w:rPr>
              <w:t>职称</w:t>
            </w:r>
          </w:p>
        </w:tc>
        <w:tc>
          <w:tcPr>
            <w:tcW w:w="103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b/>
                <w:bCs/>
                <w:sz w:val="21"/>
                <w:szCs w:val="21"/>
              </w:rPr>
            </w:pPr>
            <w:r>
              <w:rPr>
                <w:b/>
                <w:bCs/>
                <w:sz w:val="21"/>
                <w:szCs w:val="21"/>
              </w:rPr>
              <w:t>专业</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b/>
                <w:bCs/>
                <w:sz w:val="21"/>
                <w:szCs w:val="21"/>
              </w:rPr>
            </w:pPr>
            <w:r>
              <w:rPr>
                <w:b/>
                <w:bCs/>
                <w:sz w:val="21"/>
                <w:szCs w:val="21"/>
              </w:rPr>
              <w:t>学位、学历</w:t>
            </w:r>
          </w:p>
        </w:tc>
        <w:tc>
          <w:tcPr>
            <w:tcW w:w="182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b/>
                <w:bCs/>
                <w:sz w:val="21"/>
                <w:szCs w:val="21"/>
              </w:rPr>
            </w:pPr>
            <w:r>
              <w:rPr>
                <w:b/>
                <w:bCs/>
                <w:sz w:val="21"/>
                <w:szCs w:val="21"/>
              </w:rPr>
              <w:t>毕业院校</w:t>
            </w:r>
          </w:p>
        </w:tc>
        <w:tc>
          <w:tcPr>
            <w:tcW w:w="225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b/>
                <w:bCs/>
                <w:sz w:val="21"/>
                <w:szCs w:val="21"/>
              </w:rPr>
            </w:pPr>
            <w:r>
              <w:rPr>
                <w:b/>
                <w:bCs/>
                <w:sz w:val="21"/>
                <w:szCs w:val="21"/>
              </w:rPr>
              <w:t>研究领域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883"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林啸轩</w:t>
            </w:r>
          </w:p>
        </w:tc>
        <w:tc>
          <w:tcPr>
            <w:tcW w:w="70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49</w:t>
            </w:r>
          </w:p>
        </w:tc>
        <w:tc>
          <w:tcPr>
            <w:tcW w:w="85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教授</w:t>
            </w:r>
          </w:p>
        </w:tc>
        <w:tc>
          <w:tcPr>
            <w:tcW w:w="103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日语</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博士 研究生</w:t>
            </w:r>
          </w:p>
        </w:tc>
        <w:tc>
          <w:tcPr>
            <w:tcW w:w="182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山东大学</w:t>
            </w:r>
          </w:p>
        </w:tc>
        <w:tc>
          <w:tcPr>
            <w:tcW w:w="225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文学、文化、翻译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883"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郭玲玲</w:t>
            </w:r>
          </w:p>
        </w:tc>
        <w:tc>
          <w:tcPr>
            <w:tcW w:w="70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41</w:t>
            </w:r>
          </w:p>
        </w:tc>
        <w:tc>
          <w:tcPr>
            <w:tcW w:w="85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副教授</w:t>
            </w:r>
          </w:p>
        </w:tc>
        <w:tc>
          <w:tcPr>
            <w:tcW w:w="103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日语</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博士 研究生</w:t>
            </w:r>
          </w:p>
        </w:tc>
        <w:tc>
          <w:tcPr>
            <w:tcW w:w="182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日本山口大学</w:t>
            </w:r>
          </w:p>
        </w:tc>
        <w:tc>
          <w:tcPr>
            <w:tcW w:w="225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文化，文学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883"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杨</w:t>
            </w:r>
            <w:r>
              <w:rPr>
                <w:rFonts w:hint="eastAsia"/>
                <w:sz w:val="21"/>
                <w:szCs w:val="21"/>
              </w:rPr>
              <w:t xml:space="preserve">  </w:t>
            </w:r>
            <w:r>
              <w:rPr>
                <w:sz w:val="21"/>
                <w:szCs w:val="21"/>
              </w:rPr>
              <w:t>阳</w:t>
            </w:r>
          </w:p>
        </w:tc>
        <w:tc>
          <w:tcPr>
            <w:tcW w:w="70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38</w:t>
            </w:r>
          </w:p>
        </w:tc>
        <w:tc>
          <w:tcPr>
            <w:tcW w:w="85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副教授</w:t>
            </w:r>
          </w:p>
        </w:tc>
        <w:tc>
          <w:tcPr>
            <w:tcW w:w="103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日语</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硕士 研究生</w:t>
            </w:r>
          </w:p>
        </w:tc>
        <w:tc>
          <w:tcPr>
            <w:tcW w:w="182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山东大学</w:t>
            </w:r>
          </w:p>
        </w:tc>
        <w:tc>
          <w:tcPr>
            <w:tcW w:w="225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语言，文化，教育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83"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卢永妮</w:t>
            </w:r>
          </w:p>
        </w:tc>
        <w:tc>
          <w:tcPr>
            <w:tcW w:w="70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40</w:t>
            </w:r>
          </w:p>
        </w:tc>
        <w:tc>
          <w:tcPr>
            <w:tcW w:w="85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副教授</w:t>
            </w:r>
          </w:p>
        </w:tc>
        <w:tc>
          <w:tcPr>
            <w:tcW w:w="103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日语</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博士 研究生</w:t>
            </w:r>
          </w:p>
        </w:tc>
        <w:tc>
          <w:tcPr>
            <w:tcW w:w="182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北京外国语大学</w:t>
            </w:r>
          </w:p>
        </w:tc>
        <w:tc>
          <w:tcPr>
            <w:tcW w:w="225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语言、农村社会、文化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1" w:hRule="atLeast"/>
          <w:jc w:val="center"/>
        </w:trPr>
        <w:tc>
          <w:tcPr>
            <w:tcW w:w="883"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赵</w:t>
            </w:r>
            <w:r>
              <w:rPr>
                <w:rFonts w:hint="eastAsia"/>
                <w:sz w:val="21"/>
                <w:szCs w:val="21"/>
              </w:rPr>
              <w:t xml:space="preserve">  </w:t>
            </w:r>
            <w:r>
              <w:rPr>
                <w:sz w:val="21"/>
                <w:szCs w:val="21"/>
              </w:rPr>
              <w:t>娟</w:t>
            </w:r>
          </w:p>
        </w:tc>
        <w:tc>
          <w:tcPr>
            <w:tcW w:w="70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38</w:t>
            </w:r>
          </w:p>
        </w:tc>
        <w:tc>
          <w:tcPr>
            <w:tcW w:w="85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副教授</w:t>
            </w:r>
          </w:p>
        </w:tc>
        <w:tc>
          <w:tcPr>
            <w:tcW w:w="103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日语</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硕士 研究生</w:t>
            </w:r>
          </w:p>
        </w:tc>
        <w:tc>
          <w:tcPr>
            <w:tcW w:w="182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青岛大学文学硕士、日本梅光学院大学文学修士</w:t>
            </w:r>
          </w:p>
        </w:tc>
        <w:tc>
          <w:tcPr>
            <w:tcW w:w="225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文学、文化、语言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83"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韩</w:t>
            </w:r>
            <w:r>
              <w:rPr>
                <w:rFonts w:hint="eastAsia"/>
                <w:sz w:val="21"/>
                <w:szCs w:val="21"/>
              </w:rPr>
              <w:t xml:space="preserve">  </w:t>
            </w:r>
            <w:r>
              <w:rPr>
                <w:sz w:val="21"/>
                <w:szCs w:val="21"/>
              </w:rPr>
              <w:t>霖</w:t>
            </w:r>
          </w:p>
        </w:tc>
        <w:tc>
          <w:tcPr>
            <w:tcW w:w="70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48</w:t>
            </w:r>
          </w:p>
        </w:tc>
        <w:tc>
          <w:tcPr>
            <w:tcW w:w="85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讲师</w:t>
            </w:r>
          </w:p>
        </w:tc>
        <w:tc>
          <w:tcPr>
            <w:tcW w:w="103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人文社会学</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博士 研究生</w:t>
            </w:r>
          </w:p>
        </w:tc>
        <w:tc>
          <w:tcPr>
            <w:tcW w:w="182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日本鹿儿岛大学</w:t>
            </w:r>
          </w:p>
        </w:tc>
        <w:tc>
          <w:tcPr>
            <w:tcW w:w="225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文化、语言、文学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83"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朱</w:t>
            </w:r>
            <w:r>
              <w:rPr>
                <w:rFonts w:hint="eastAsia"/>
                <w:sz w:val="21"/>
                <w:szCs w:val="21"/>
              </w:rPr>
              <w:t xml:space="preserve">  </w:t>
            </w:r>
            <w:r>
              <w:rPr>
                <w:sz w:val="21"/>
                <w:szCs w:val="21"/>
              </w:rPr>
              <w:t>明</w:t>
            </w:r>
          </w:p>
        </w:tc>
        <w:tc>
          <w:tcPr>
            <w:tcW w:w="70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47</w:t>
            </w:r>
          </w:p>
        </w:tc>
        <w:tc>
          <w:tcPr>
            <w:tcW w:w="85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讲师</w:t>
            </w:r>
          </w:p>
        </w:tc>
        <w:tc>
          <w:tcPr>
            <w:tcW w:w="1037" w:type="dxa"/>
            <w:tcBorders>
              <w:top w:val="single" w:color="auto" w:sz="4" w:space="0"/>
              <w:left w:val="single" w:color="auto" w:sz="4" w:space="0"/>
              <w:bottom w:val="single" w:color="auto" w:sz="4" w:space="0"/>
              <w:right w:val="single" w:color="auto" w:sz="4" w:space="0"/>
            </w:tcBorders>
            <w:vAlign w:val="center"/>
          </w:tcPr>
          <w:p>
            <w:pPr>
              <w:spacing w:line="240" w:lineRule="auto"/>
              <w:ind w:left="-24" w:leftChars="-10" w:right="-24" w:rightChars="-10"/>
              <w:jc w:val="center"/>
              <w:rPr>
                <w:sz w:val="21"/>
                <w:szCs w:val="21"/>
              </w:rPr>
            </w:pPr>
            <w:r>
              <w:rPr>
                <w:sz w:val="21"/>
                <w:szCs w:val="21"/>
              </w:rPr>
              <w:t>企业经营管理学</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硕士 研究生</w:t>
            </w:r>
          </w:p>
        </w:tc>
        <w:tc>
          <w:tcPr>
            <w:tcW w:w="182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日本鹿儿岛大学</w:t>
            </w:r>
          </w:p>
        </w:tc>
        <w:tc>
          <w:tcPr>
            <w:tcW w:w="225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语言、经济、文化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83"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刘长远</w:t>
            </w:r>
          </w:p>
        </w:tc>
        <w:tc>
          <w:tcPr>
            <w:tcW w:w="70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41</w:t>
            </w:r>
          </w:p>
        </w:tc>
        <w:tc>
          <w:tcPr>
            <w:tcW w:w="85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讲师</w:t>
            </w:r>
          </w:p>
        </w:tc>
        <w:tc>
          <w:tcPr>
            <w:tcW w:w="103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日语</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硕士 研究生</w:t>
            </w:r>
          </w:p>
        </w:tc>
        <w:tc>
          <w:tcPr>
            <w:tcW w:w="182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天津外国语大学</w:t>
            </w:r>
          </w:p>
        </w:tc>
        <w:tc>
          <w:tcPr>
            <w:tcW w:w="225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文学、文化、语言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9" w:hRule="atLeast"/>
          <w:jc w:val="center"/>
        </w:trPr>
        <w:tc>
          <w:tcPr>
            <w:tcW w:w="883"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末冈等</w:t>
            </w:r>
          </w:p>
        </w:tc>
        <w:tc>
          <w:tcPr>
            <w:tcW w:w="70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41</w:t>
            </w:r>
          </w:p>
        </w:tc>
        <w:tc>
          <w:tcPr>
            <w:tcW w:w="85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讲师</w:t>
            </w:r>
          </w:p>
        </w:tc>
        <w:tc>
          <w:tcPr>
            <w:tcW w:w="103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心理学</w:t>
            </w:r>
          </w:p>
        </w:tc>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学士 本科</w:t>
            </w:r>
          </w:p>
        </w:tc>
        <w:tc>
          <w:tcPr>
            <w:tcW w:w="1821"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日本北海道国际</w:t>
            </w:r>
          </w:p>
          <w:p>
            <w:pPr>
              <w:spacing w:line="240" w:lineRule="auto"/>
              <w:jc w:val="center"/>
              <w:rPr>
                <w:sz w:val="21"/>
                <w:szCs w:val="21"/>
              </w:rPr>
            </w:pPr>
            <w:r>
              <w:rPr>
                <w:sz w:val="21"/>
                <w:szCs w:val="21"/>
              </w:rPr>
              <w:t>大学</w:t>
            </w:r>
          </w:p>
        </w:tc>
        <w:tc>
          <w:tcPr>
            <w:tcW w:w="2256"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心理学、日语教育</w:t>
            </w:r>
          </w:p>
        </w:tc>
      </w:tr>
    </w:tbl>
    <w:p>
      <w:pPr>
        <w:spacing w:line="360" w:lineRule="auto"/>
        <w:ind w:firstLine="480"/>
        <w:rPr>
          <w:szCs w:val="24"/>
        </w:rPr>
      </w:pPr>
      <w:r>
        <w:rPr>
          <w:szCs w:val="24"/>
        </w:rPr>
        <w:t>日语专业注重加强国内外学术交往、师资培训以及培育教师的跨学科发展能力。</w:t>
      </w:r>
    </w:p>
    <w:p>
      <w:pPr>
        <w:rPr>
          <w:b/>
          <w:sz w:val="21"/>
          <w:szCs w:val="21"/>
        </w:rPr>
      </w:pPr>
      <w:r>
        <w:rPr>
          <w:b/>
          <w:sz w:val="21"/>
          <w:szCs w:val="21"/>
        </w:rPr>
        <w:br w:type="page"/>
      </w:r>
    </w:p>
    <w:p>
      <w:pPr>
        <w:spacing w:line="360" w:lineRule="auto"/>
        <w:jc w:val="center"/>
        <w:rPr>
          <w:b/>
          <w:sz w:val="21"/>
          <w:szCs w:val="21"/>
        </w:rPr>
      </w:pPr>
      <w:r>
        <w:rPr>
          <w:b/>
          <w:sz w:val="21"/>
          <w:szCs w:val="21"/>
        </w:rPr>
        <w:t>表3  日语系教师2021-2022学年外出参加会议、比赛统计表</w:t>
      </w:r>
    </w:p>
    <w:tbl>
      <w:tblPr>
        <w:tblStyle w:val="18"/>
        <w:tblW w:w="88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4590"/>
        <w:gridCol w:w="1575"/>
        <w:gridCol w:w="15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3" w:type="dxa"/>
            <w:vAlign w:val="center"/>
          </w:tcPr>
          <w:p>
            <w:pPr>
              <w:spacing w:line="240" w:lineRule="auto"/>
              <w:jc w:val="center"/>
              <w:rPr>
                <w:b/>
                <w:kern w:val="0"/>
                <w:sz w:val="21"/>
                <w:szCs w:val="21"/>
              </w:rPr>
            </w:pPr>
            <w:r>
              <w:rPr>
                <w:b/>
                <w:kern w:val="0"/>
                <w:sz w:val="21"/>
                <w:szCs w:val="21"/>
              </w:rPr>
              <w:t>姓名</w:t>
            </w:r>
          </w:p>
        </w:tc>
        <w:tc>
          <w:tcPr>
            <w:tcW w:w="4590" w:type="dxa"/>
            <w:vAlign w:val="center"/>
          </w:tcPr>
          <w:p>
            <w:pPr>
              <w:spacing w:line="240" w:lineRule="auto"/>
              <w:ind w:firstLine="422"/>
              <w:jc w:val="center"/>
              <w:rPr>
                <w:b/>
                <w:kern w:val="0"/>
                <w:sz w:val="21"/>
                <w:szCs w:val="21"/>
              </w:rPr>
            </w:pPr>
            <w:r>
              <w:rPr>
                <w:b/>
                <w:kern w:val="0"/>
                <w:sz w:val="21"/>
                <w:szCs w:val="21"/>
              </w:rPr>
              <w:t>会议名称</w:t>
            </w:r>
          </w:p>
        </w:tc>
        <w:tc>
          <w:tcPr>
            <w:tcW w:w="1575" w:type="dxa"/>
            <w:vAlign w:val="center"/>
          </w:tcPr>
          <w:p>
            <w:pPr>
              <w:spacing w:line="240" w:lineRule="auto"/>
              <w:jc w:val="center"/>
              <w:rPr>
                <w:b/>
                <w:kern w:val="0"/>
                <w:sz w:val="21"/>
                <w:szCs w:val="21"/>
              </w:rPr>
            </w:pPr>
            <w:r>
              <w:rPr>
                <w:b/>
                <w:kern w:val="0"/>
                <w:sz w:val="21"/>
                <w:szCs w:val="21"/>
              </w:rPr>
              <w:t>形式</w:t>
            </w:r>
          </w:p>
        </w:tc>
        <w:tc>
          <w:tcPr>
            <w:tcW w:w="1599" w:type="dxa"/>
            <w:vAlign w:val="center"/>
          </w:tcPr>
          <w:p>
            <w:pPr>
              <w:spacing w:line="240" w:lineRule="auto"/>
              <w:jc w:val="center"/>
              <w:rPr>
                <w:b/>
                <w:kern w:val="0"/>
                <w:sz w:val="21"/>
                <w:szCs w:val="21"/>
              </w:rPr>
            </w:pPr>
            <w:r>
              <w:rPr>
                <w:b/>
                <w:kern w:val="0"/>
                <w:sz w:val="21"/>
                <w:szCs w:val="21"/>
              </w:rPr>
              <w:t>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3" w:type="dxa"/>
            <w:vAlign w:val="center"/>
          </w:tcPr>
          <w:p>
            <w:pPr>
              <w:spacing w:line="240" w:lineRule="auto"/>
              <w:jc w:val="center"/>
              <w:rPr>
                <w:kern w:val="0"/>
                <w:sz w:val="21"/>
                <w:szCs w:val="21"/>
              </w:rPr>
            </w:pPr>
            <w:r>
              <w:rPr>
                <w:kern w:val="0"/>
                <w:sz w:val="21"/>
                <w:szCs w:val="21"/>
              </w:rPr>
              <w:t>杨</w:t>
            </w:r>
            <w:r>
              <w:rPr>
                <w:rFonts w:hint="eastAsia"/>
                <w:kern w:val="0"/>
                <w:sz w:val="21"/>
                <w:szCs w:val="21"/>
              </w:rPr>
              <w:t xml:space="preserve">  </w:t>
            </w:r>
            <w:r>
              <w:rPr>
                <w:kern w:val="0"/>
                <w:sz w:val="21"/>
                <w:szCs w:val="21"/>
              </w:rPr>
              <w:t>阳</w:t>
            </w:r>
          </w:p>
        </w:tc>
        <w:tc>
          <w:tcPr>
            <w:tcW w:w="4590" w:type="dxa"/>
            <w:vAlign w:val="center"/>
          </w:tcPr>
          <w:p>
            <w:pPr>
              <w:spacing w:line="240" w:lineRule="auto"/>
              <w:jc w:val="left"/>
              <w:rPr>
                <w:kern w:val="0"/>
                <w:sz w:val="21"/>
                <w:szCs w:val="21"/>
              </w:rPr>
            </w:pPr>
            <w:r>
              <w:rPr>
                <w:kern w:val="0"/>
                <w:sz w:val="21"/>
                <w:szCs w:val="21"/>
              </w:rPr>
              <w:t>2022年全国高等农林院校外语教学研究会年会</w:t>
            </w:r>
          </w:p>
        </w:tc>
        <w:tc>
          <w:tcPr>
            <w:tcW w:w="1575" w:type="dxa"/>
            <w:vAlign w:val="center"/>
          </w:tcPr>
          <w:p>
            <w:pPr>
              <w:spacing w:line="240" w:lineRule="auto"/>
              <w:jc w:val="center"/>
              <w:rPr>
                <w:kern w:val="0"/>
                <w:sz w:val="21"/>
                <w:szCs w:val="21"/>
              </w:rPr>
            </w:pPr>
            <w:r>
              <w:rPr>
                <w:kern w:val="0"/>
                <w:sz w:val="21"/>
                <w:szCs w:val="21"/>
              </w:rPr>
              <w:t>腾讯会议</w:t>
            </w:r>
          </w:p>
        </w:tc>
        <w:tc>
          <w:tcPr>
            <w:tcW w:w="1599" w:type="dxa"/>
            <w:vAlign w:val="center"/>
          </w:tcPr>
          <w:p>
            <w:pPr>
              <w:spacing w:line="240" w:lineRule="auto"/>
              <w:jc w:val="center"/>
              <w:rPr>
                <w:kern w:val="0"/>
                <w:sz w:val="21"/>
                <w:szCs w:val="21"/>
              </w:rPr>
            </w:pPr>
            <w:r>
              <w:rPr>
                <w:kern w:val="0"/>
                <w:sz w:val="21"/>
                <w:szCs w:val="21"/>
              </w:rPr>
              <w:t>2022年7月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3" w:type="dxa"/>
            <w:vAlign w:val="center"/>
          </w:tcPr>
          <w:p>
            <w:pPr>
              <w:spacing w:line="240" w:lineRule="auto"/>
              <w:jc w:val="center"/>
              <w:rPr>
                <w:kern w:val="0"/>
                <w:sz w:val="21"/>
                <w:szCs w:val="21"/>
              </w:rPr>
            </w:pPr>
            <w:r>
              <w:rPr>
                <w:kern w:val="0"/>
                <w:sz w:val="21"/>
                <w:szCs w:val="21"/>
              </w:rPr>
              <w:t>杨</w:t>
            </w:r>
            <w:r>
              <w:rPr>
                <w:rFonts w:hint="eastAsia"/>
                <w:kern w:val="0"/>
                <w:sz w:val="21"/>
                <w:szCs w:val="21"/>
              </w:rPr>
              <w:t xml:space="preserve">  </w:t>
            </w:r>
            <w:r>
              <w:rPr>
                <w:kern w:val="0"/>
                <w:sz w:val="21"/>
                <w:szCs w:val="21"/>
              </w:rPr>
              <w:t>阳</w:t>
            </w:r>
          </w:p>
        </w:tc>
        <w:tc>
          <w:tcPr>
            <w:tcW w:w="4590" w:type="dxa"/>
            <w:vAlign w:val="center"/>
          </w:tcPr>
          <w:p>
            <w:pPr>
              <w:spacing w:line="240" w:lineRule="auto"/>
              <w:jc w:val="left"/>
              <w:rPr>
                <w:kern w:val="0"/>
                <w:sz w:val="21"/>
                <w:szCs w:val="21"/>
              </w:rPr>
            </w:pPr>
            <w:r>
              <w:rPr>
                <w:kern w:val="0"/>
                <w:sz w:val="21"/>
                <w:szCs w:val="21"/>
              </w:rPr>
              <w:t>2022年外研社暑期培训</w:t>
            </w:r>
          </w:p>
          <w:p>
            <w:pPr>
              <w:spacing w:line="240" w:lineRule="auto"/>
              <w:jc w:val="left"/>
              <w:rPr>
                <w:kern w:val="0"/>
                <w:sz w:val="21"/>
                <w:szCs w:val="21"/>
              </w:rPr>
            </w:pPr>
            <w:r>
              <w:rPr>
                <w:color w:val="000000"/>
              </w:rPr>
              <w:t>外语教材编写与使用：语言与育人相统一</w:t>
            </w:r>
          </w:p>
        </w:tc>
        <w:tc>
          <w:tcPr>
            <w:tcW w:w="1575" w:type="dxa"/>
            <w:vAlign w:val="center"/>
          </w:tcPr>
          <w:p>
            <w:pPr>
              <w:spacing w:line="240" w:lineRule="auto"/>
              <w:jc w:val="center"/>
              <w:rPr>
                <w:kern w:val="0"/>
                <w:sz w:val="21"/>
                <w:szCs w:val="21"/>
              </w:rPr>
            </w:pPr>
            <w:r>
              <w:rPr>
                <w:kern w:val="0"/>
                <w:sz w:val="21"/>
                <w:szCs w:val="21"/>
              </w:rPr>
              <w:t>腾讯会议</w:t>
            </w:r>
          </w:p>
        </w:tc>
        <w:tc>
          <w:tcPr>
            <w:tcW w:w="1599" w:type="dxa"/>
            <w:vAlign w:val="center"/>
          </w:tcPr>
          <w:p>
            <w:pPr>
              <w:spacing w:line="240" w:lineRule="auto"/>
              <w:jc w:val="center"/>
              <w:rPr>
                <w:kern w:val="0"/>
                <w:sz w:val="21"/>
                <w:szCs w:val="21"/>
              </w:rPr>
            </w:pPr>
            <w:r>
              <w:rPr>
                <w:kern w:val="0"/>
                <w:sz w:val="21"/>
                <w:szCs w:val="21"/>
              </w:rPr>
              <w:t>2022年7月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3" w:type="dxa"/>
            <w:vAlign w:val="center"/>
          </w:tcPr>
          <w:p>
            <w:pPr>
              <w:spacing w:line="240" w:lineRule="auto"/>
              <w:jc w:val="center"/>
              <w:rPr>
                <w:kern w:val="0"/>
                <w:sz w:val="21"/>
                <w:szCs w:val="21"/>
              </w:rPr>
            </w:pPr>
            <w:r>
              <w:rPr>
                <w:kern w:val="0"/>
                <w:sz w:val="21"/>
                <w:szCs w:val="21"/>
              </w:rPr>
              <w:t>林啸轩、</w:t>
            </w:r>
          </w:p>
          <w:p>
            <w:pPr>
              <w:spacing w:line="240" w:lineRule="auto"/>
              <w:jc w:val="center"/>
              <w:rPr>
                <w:kern w:val="0"/>
                <w:sz w:val="21"/>
                <w:szCs w:val="21"/>
              </w:rPr>
            </w:pPr>
            <w:r>
              <w:rPr>
                <w:kern w:val="0"/>
                <w:sz w:val="21"/>
                <w:szCs w:val="21"/>
              </w:rPr>
              <w:t>杨</w:t>
            </w:r>
            <w:r>
              <w:rPr>
                <w:rFonts w:hint="eastAsia"/>
                <w:kern w:val="0"/>
                <w:sz w:val="21"/>
                <w:szCs w:val="21"/>
              </w:rPr>
              <w:t xml:space="preserve">  </w:t>
            </w:r>
            <w:r>
              <w:rPr>
                <w:kern w:val="0"/>
                <w:sz w:val="21"/>
                <w:szCs w:val="21"/>
              </w:rPr>
              <w:t>阳</w:t>
            </w:r>
          </w:p>
        </w:tc>
        <w:tc>
          <w:tcPr>
            <w:tcW w:w="4590" w:type="dxa"/>
            <w:vAlign w:val="center"/>
          </w:tcPr>
          <w:p>
            <w:pPr>
              <w:spacing w:line="240" w:lineRule="auto"/>
              <w:jc w:val="left"/>
              <w:rPr>
                <w:kern w:val="0"/>
                <w:sz w:val="21"/>
                <w:szCs w:val="21"/>
              </w:rPr>
            </w:pPr>
            <w:r>
              <w:rPr>
                <w:kern w:val="0"/>
                <w:sz w:val="21"/>
                <w:szCs w:val="21"/>
              </w:rPr>
              <w:t>《理解当代中国》教师培训</w:t>
            </w:r>
          </w:p>
        </w:tc>
        <w:tc>
          <w:tcPr>
            <w:tcW w:w="1575" w:type="dxa"/>
            <w:vAlign w:val="center"/>
          </w:tcPr>
          <w:p>
            <w:pPr>
              <w:spacing w:line="240" w:lineRule="auto"/>
              <w:jc w:val="center"/>
              <w:rPr>
                <w:kern w:val="0"/>
                <w:sz w:val="21"/>
                <w:szCs w:val="21"/>
              </w:rPr>
            </w:pPr>
            <w:r>
              <w:rPr>
                <w:kern w:val="0"/>
                <w:sz w:val="21"/>
                <w:szCs w:val="21"/>
              </w:rPr>
              <w:t>全国高校教师网络培训平台</w:t>
            </w:r>
          </w:p>
        </w:tc>
        <w:tc>
          <w:tcPr>
            <w:tcW w:w="1599" w:type="dxa"/>
            <w:vAlign w:val="center"/>
          </w:tcPr>
          <w:p>
            <w:pPr>
              <w:spacing w:line="240" w:lineRule="auto"/>
              <w:jc w:val="center"/>
              <w:rPr>
                <w:kern w:val="0"/>
                <w:sz w:val="21"/>
                <w:szCs w:val="21"/>
              </w:rPr>
            </w:pPr>
            <w:r>
              <w:rPr>
                <w:kern w:val="0"/>
                <w:sz w:val="21"/>
                <w:szCs w:val="21"/>
              </w:rPr>
              <w:t>2022年8月</w:t>
            </w:r>
          </w:p>
        </w:tc>
      </w:tr>
    </w:tbl>
    <w:p>
      <w:pPr>
        <w:ind w:firstLine="482"/>
      </w:pPr>
      <w:r>
        <w:t>在科研方面，2021-2022学年，日语系教师在申请课题和发表论文、出版译著或著作方面都取得了长足的进步。</w:t>
      </w:r>
    </w:p>
    <w:p>
      <w:pPr>
        <w:spacing w:line="360" w:lineRule="auto"/>
        <w:ind w:firstLine="422"/>
        <w:jc w:val="center"/>
        <w:rPr>
          <w:b/>
          <w:sz w:val="21"/>
          <w:szCs w:val="21"/>
        </w:rPr>
      </w:pPr>
      <w:r>
        <w:rPr>
          <w:b/>
          <w:sz w:val="21"/>
          <w:szCs w:val="21"/>
        </w:rPr>
        <w:t>表4  日语系教师2021-2022学年发表论文统计表</w:t>
      </w:r>
    </w:p>
    <w:tbl>
      <w:tblPr>
        <w:tblStyle w:val="1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7"/>
        <w:gridCol w:w="2887"/>
        <w:gridCol w:w="1742"/>
        <w:gridCol w:w="1448"/>
        <w:gridCol w:w="1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vAlign w:val="center"/>
          </w:tcPr>
          <w:p>
            <w:pPr>
              <w:spacing w:line="240" w:lineRule="auto"/>
              <w:jc w:val="center"/>
              <w:rPr>
                <w:b/>
                <w:kern w:val="0"/>
                <w:sz w:val="21"/>
                <w:szCs w:val="21"/>
              </w:rPr>
            </w:pPr>
            <w:r>
              <w:rPr>
                <w:b/>
                <w:kern w:val="0"/>
                <w:sz w:val="21"/>
                <w:szCs w:val="21"/>
              </w:rPr>
              <w:t>姓</w:t>
            </w:r>
            <w:r>
              <w:rPr>
                <w:rFonts w:hint="eastAsia"/>
                <w:b/>
                <w:kern w:val="0"/>
                <w:sz w:val="21"/>
                <w:szCs w:val="21"/>
              </w:rPr>
              <w:t xml:space="preserve">  </w:t>
            </w:r>
            <w:r>
              <w:rPr>
                <w:b/>
                <w:kern w:val="0"/>
                <w:sz w:val="21"/>
                <w:szCs w:val="21"/>
              </w:rPr>
              <w:t>名</w:t>
            </w:r>
          </w:p>
        </w:tc>
        <w:tc>
          <w:tcPr>
            <w:tcW w:w="1593" w:type="pct"/>
            <w:vAlign w:val="center"/>
          </w:tcPr>
          <w:p>
            <w:pPr>
              <w:spacing w:line="240" w:lineRule="auto"/>
              <w:jc w:val="center"/>
              <w:rPr>
                <w:b/>
                <w:kern w:val="0"/>
                <w:sz w:val="21"/>
                <w:szCs w:val="21"/>
              </w:rPr>
            </w:pPr>
            <w:r>
              <w:rPr>
                <w:b/>
                <w:kern w:val="0"/>
                <w:sz w:val="21"/>
                <w:szCs w:val="21"/>
              </w:rPr>
              <w:t>论文题目</w:t>
            </w:r>
          </w:p>
        </w:tc>
        <w:tc>
          <w:tcPr>
            <w:tcW w:w="961" w:type="pct"/>
            <w:vAlign w:val="center"/>
          </w:tcPr>
          <w:p>
            <w:pPr>
              <w:spacing w:line="240" w:lineRule="auto"/>
              <w:jc w:val="center"/>
              <w:rPr>
                <w:b/>
                <w:kern w:val="0"/>
                <w:sz w:val="21"/>
                <w:szCs w:val="21"/>
              </w:rPr>
            </w:pPr>
            <w:r>
              <w:rPr>
                <w:b/>
                <w:kern w:val="0"/>
                <w:sz w:val="21"/>
                <w:szCs w:val="21"/>
              </w:rPr>
              <w:t>期刊名称</w:t>
            </w:r>
          </w:p>
        </w:tc>
        <w:tc>
          <w:tcPr>
            <w:tcW w:w="799" w:type="pct"/>
            <w:vAlign w:val="center"/>
          </w:tcPr>
          <w:p>
            <w:pPr>
              <w:spacing w:line="240" w:lineRule="auto"/>
              <w:jc w:val="center"/>
              <w:rPr>
                <w:b/>
                <w:kern w:val="0"/>
                <w:sz w:val="21"/>
                <w:szCs w:val="21"/>
              </w:rPr>
            </w:pPr>
            <w:r>
              <w:rPr>
                <w:b/>
                <w:kern w:val="0"/>
                <w:sz w:val="21"/>
                <w:szCs w:val="21"/>
              </w:rPr>
              <w:t>作者类型</w:t>
            </w:r>
          </w:p>
        </w:tc>
        <w:tc>
          <w:tcPr>
            <w:tcW w:w="1000" w:type="pct"/>
            <w:vAlign w:val="center"/>
          </w:tcPr>
          <w:p>
            <w:pPr>
              <w:spacing w:line="240" w:lineRule="auto"/>
              <w:jc w:val="center"/>
              <w:rPr>
                <w:b/>
                <w:kern w:val="0"/>
                <w:sz w:val="21"/>
                <w:szCs w:val="21"/>
              </w:rPr>
            </w:pPr>
            <w:r>
              <w:rPr>
                <w:b/>
                <w:kern w:val="0"/>
                <w:sz w:val="21"/>
                <w:szCs w:val="21"/>
              </w:rPr>
              <w:t>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atLeast"/>
          <w:jc w:val="center"/>
        </w:trPr>
        <w:tc>
          <w:tcPr>
            <w:tcW w:w="644" w:type="pct"/>
            <w:vAlign w:val="center"/>
          </w:tcPr>
          <w:p>
            <w:pPr>
              <w:spacing w:line="240" w:lineRule="auto"/>
              <w:jc w:val="center"/>
              <w:rPr>
                <w:color w:val="000000"/>
                <w:sz w:val="22"/>
              </w:rPr>
            </w:pPr>
            <w:r>
              <w:rPr>
                <w:color w:val="000000"/>
                <w:sz w:val="22"/>
              </w:rPr>
              <w:t>赵</w:t>
            </w:r>
            <w:r>
              <w:rPr>
                <w:rFonts w:hint="eastAsia"/>
                <w:color w:val="000000"/>
                <w:sz w:val="22"/>
              </w:rPr>
              <w:t xml:space="preserve">  </w:t>
            </w:r>
            <w:r>
              <w:rPr>
                <w:color w:val="000000"/>
                <w:sz w:val="22"/>
              </w:rPr>
              <w:t>娟</w:t>
            </w:r>
          </w:p>
        </w:tc>
        <w:tc>
          <w:tcPr>
            <w:tcW w:w="1593" w:type="pct"/>
            <w:vAlign w:val="center"/>
          </w:tcPr>
          <w:p>
            <w:pPr>
              <w:spacing w:line="240" w:lineRule="auto"/>
              <w:jc w:val="center"/>
              <w:rPr>
                <w:color w:val="000000"/>
                <w:sz w:val="22"/>
              </w:rPr>
            </w:pPr>
            <w:r>
              <w:rPr>
                <w:color w:val="000000"/>
                <w:sz w:val="22"/>
              </w:rPr>
              <w:t>文化共性视角下的中国文化对外传播研究</w:t>
            </w:r>
          </w:p>
        </w:tc>
        <w:tc>
          <w:tcPr>
            <w:tcW w:w="961" w:type="pct"/>
            <w:vAlign w:val="center"/>
          </w:tcPr>
          <w:p>
            <w:pPr>
              <w:spacing w:line="240" w:lineRule="auto"/>
              <w:jc w:val="center"/>
              <w:rPr>
                <w:color w:val="000000"/>
                <w:sz w:val="22"/>
              </w:rPr>
            </w:pPr>
            <w:r>
              <w:rPr>
                <w:color w:val="000000"/>
                <w:sz w:val="22"/>
              </w:rPr>
              <w:t>教育前沿</w:t>
            </w:r>
          </w:p>
        </w:tc>
        <w:tc>
          <w:tcPr>
            <w:tcW w:w="799" w:type="pct"/>
            <w:vAlign w:val="center"/>
          </w:tcPr>
          <w:p>
            <w:pPr>
              <w:spacing w:line="240" w:lineRule="auto"/>
              <w:jc w:val="center"/>
              <w:rPr>
                <w:kern w:val="0"/>
                <w:sz w:val="21"/>
                <w:szCs w:val="21"/>
              </w:rPr>
            </w:pPr>
            <w:r>
              <w:rPr>
                <w:kern w:val="0"/>
                <w:sz w:val="21"/>
                <w:szCs w:val="21"/>
              </w:rPr>
              <w:t>独立作者</w:t>
            </w:r>
          </w:p>
        </w:tc>
        <w:tc>
          <w:tcPr>
            <w:tcW w:w="1000" w:type="pct"/>
            <w:vAlign w:val="center"/>
          </w:tcPr>
          <w:p>
            <w:pPr>
              <w:spacing w:line="240" w:lineRule="auto"/>
              <w:jc w:val="center"/>
              <w:rPr>
                <w:sz w:val="22"/>
              </w:rPr>
            </w:pPr>
            <w:r>
              <w:rPr>
                <w:sz w:val="22"/>
              </w:rPr>
              <w:t>2021年18期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vAlign w:val="center"/>
          </w:tcPr>
          <w:p>
            <w:pPr>
              <w:spacing w:line="240" w:lineRule="auto"/>
              <w:jc w:val="center"/>
              <w:rPr>
                <w:color w:val="000000"/>
                <w:sz w:val="22"/>
              </w:rPr>
            </w:pPr>
            <w:r>
              <w:rPr>
                <w:color w:val="000000"/>
                <w:sz w:val="22"/>
              </w:rPr>
              <w:t>刘长远</w:t>
            </w:r>
          </w:p>
        </w:tc>
        <w:tc>
          <w:tcPr>
            <w:tcW w:w="1593" w:type="pct"/>
            <w:vAlign w:val="center"/>
          </w:tcPr>
          <w:p>
            <w:pPr>
              <w:spacing w:line="240" w:lineRule="auto"/>
              <w:jc w:val="center"/>
              <w:rPr>
                <w:color w:val="000000"/>
                <w:sz w:val="22"/>
              </w:rPr>
            </w:pPr>
            <w:r>
              <w:rPr>
                <w:color w:val="000000"/>
                <w:sz w:val="22"/>
              </w:rPr>
              <w:t>基于雨课堂的《商务日语函电》项目化教学模式研究</w:t>
            </w:r>
          </w:p>
        </w:tc>
        <w:tc>
          <w:tcPr>
            <w:tcW w:w="961" w:type="pct"/>
            <w:vAlign w:val="center"/>
          </w:tcPr>
          <w:p>
            <w:pPr>
              <w:spacing w:line="240" w:lineRule="auto"/>
              <w:jc w:val="center"/>
              <w:rPr>
                <w:color w:val="000000"/>
                <w:sz w:val="22"/>
              </w:rPr>
            </w:pPr>
            <w:r>
              <w:rPr>
                <w:color w:val="000000"/>
                <w:sz w:val="22"/>
              </w:rPr>
              <w:t>教育现代化</w:t>
            </w:r>
          </w:p>
        </w:tc>
        <w:tc>
          <w:tcPr>
            <w:tcW w:w="799" w:type="pct"/>
            <w:vAlign w:val="center"/>
          </w:tcPr>
          <w:p>
            <w:pPr>
              <w:spacing w:line="240" w:lineRule="auto"/>
              <w:jc w:val="center"/>
              <w:rPr>
                <w:kern w:val="0"/>
                <w:sz w:val="21"/>
                <w:szCs w:val="21"/>
              </w:rPr>
            </w:pPr>
            <w:r>
              <w:rPr>
                <w:kern w:val="0"/>
                <w:sz w:val="21"/>
                <w:szCs w:val="21"/>
              </w:rPr>
              <w:t>第一作者</w:t>
            </w:r>
          </w:p>
        </w:tc>
        <w:tc>
          <w:tcPr>
            <w:tcW w:w="1000" w:type="pct"/>
            <w:vAlign w:val="center"/>
          </w:tcPr>
          <w:p>
            <w:pPr>
              <w:spacing w:line="240" w:lineRule="auto"/>
              <w:jc w:val="center"/>
              <w:rPr>
                <w:sz w:val="22"/>
              </w:rPr>
            </w:pPr>
            <w:r>
              <w:rPr>
                <w:sz w:val="22"/>
              </w:rPr>
              <w:t>2021年59期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vAlign w:val="center"/>
          </w:tcPr>
          <w:p>
            <w:pPr>
              <w:spacing w:line="240" w:lineRule="auto"/>
              <w:jc w:val="center"/>
              <w:rPr>
                <w:color w:val="000000"/>
                <w:sz w:val="22"/>
              </w:rPr>
            </w:pPr>
            <w:r>
              <w:rPr>
                <w:color w:val="000000"/>
                <w:sz w:val="22"/>
              </w:rPr>
              <w:t>郭玲玲</w:t>
            </w:r>
          </w:p>
        </w:tc>
        <w:tc>
          <w:tcPr>
            <w:tcW w:w="1593" w:type="pct"/>
            <w:vAlign w:val="center"/>
          </w:tcPr>
          <w:p>
            <w:pPr>
              <w:spacing w:line="240" w:lineRule="auto"/>
              <w:jc w:val="center"/>
              <w:rPr>
                <w:color w:val="000000"/>
                <w:sz w:val="22"/>
              </w:rPr>
            </w:pPr>
            <w:r>
              <w:rPr>
                <w:color w:val="000000"/>
                <w:sz w:val="22"/>
              </w:rPr>
              <w:t>论菊地章太对沙畹泰山著作的译介与研究论述</w:t>
            </w:r>
          </w:p>
        </w:tc>
        <w:tc>
          <w:tcPr>
            <w:tcW w:w="961" w:type="pct"/>
            <w:vAlign w:val="center"/>
          </w:tcPr>
          <w:p>
            <w:pPr>
              <w:spacing w:line="240" w:lineRule="auto"/>
              <w:jc w:val="center"/>
              <w:rPr>
                <w:color w:val="000000"/>
                <w:sz w:val="22"/>
              </w:rPr>
            </w:pPr>
            <w:r>
              <w:rPr>
                <w:color w:val="000000"/>
                <w:sz w:val="22"/>
              </w:rPr>
              <w:t>泰山学院学报</w:t>
            </w:r>
          </w:p>
        </w:tc>
        <w:tc>
          <w:tcPr>
            <w:tcW w:w="799" w:type="pct"/>
            <w:vAlign w:val="center"/>
          </w:tcPr>
          <w:p>
            <w:pPr>
              <w:spacing w:line="240" w:lineRule="auto"/>
              <w:jc w:val="center"/>
              <w:rPr>
                <w:kern w:val="0"/>
                <w:sz w:val="21"/>
                <w:szCs w:val="21"/>
              </w:rPr>
            </w:pPr>
            <w:r>
              <w:rPr>
                <w:kern w:val="0"/>
                <w:sz w:val="21"/>
                <w:szCs w:val="21"/>
              </w:rPr>
              <w:t>独立作者</w:t>
            </w:r>
          </w:p>
        </w:tc>
        <w:tc>
          <w:tcPr>
            <w:tcW w:w="1000" w:type="pct"/>
            <w:vAlign w:val="center"/>
          </w:tcPr>
          <w:p>
            <w:pPr>
              <w:spacing w:line="240" w:lineRule="auto"/>
              <w:jc w:val="center"/>
              <w:rPr>
                <w:sz w:val="22"/>
              </w:rPr>
            </w:pPr>
            <w:r>
              <w:rPr>
                <w:sz w:val="22"/>
              </w:rPr>
              <w:t>2021年5期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vAlign w:val="center"/>
          </w:tcPr>
          <w:p>
            <w:pPr>
              <w:spacing w:line="240" w:lineRule="auto"/>
              <w:jc w:val="center"/>
              <w:rPr>
                <w:color w:val="000000"/>
                <w:sz w:val="22"/>
              </w:rPr>
            </w:pPr>
            <w:r>
              <w:rPr>
                <w:color w:val="000000"/>
                <w:sz w:val="22"/>
              </w:rPr>
              <w:t>郭玲玲</w:t>
            </w:r>
          </w:p>
        </w:tc>
        <w:tc>
          <w:tcPr>
            <w:tcW w:w="1593" w:type="pct"/>
            <w:vAlign w:val="center"/>
          </w:tcPr>
          <w:p>
            <w:pPr>
              <w:spacing w:line="240" w:lineRule="auto"/>
              <w:jc w:val="center"/>
              <w:rPr>
                <w:color w:val="000000"/>
                <w:sz w:val="21"/>
                <w:szCs w:val="21"/>
              </w:rPr>
            </w:pPr>
            <w:r>
              <w:rPr>
                <w:color w:val="000000"/>
                <w:sz w:val="21"/>
                <w:szCs w:val="21"/>
              </w:rPr>
              <w:t>评述：石野一晴泰山信仰研究</w:t>
            </w:r>
          </w:p>
        </w:tc>
        <w:tc>
          <w:tcPr>
            <w:tcW w:w="961" w:type="pct"/>
            <w:vAlign w:val="center"/>
          </w:tcPr>
          <w:p>
            <w:pPr>
              <w:spacing w:line="240" w:lineRule="auto"/>
              <w:jc w:val="center"/>
              <w:rPr>
                <w:color w:val="000000"/>
                <w:sz w:val="22"/>
              </w:rPr>
            </w:pPr>
            <w:r>
              <w:rPr>
                <w:color w:val="000000"/>
                <w:sz w:val="22"/>
              </w:rPr>
              <w:t>济南文化论丛</w:t>
            </w:r>
          </w:p>
        </w:tc>
        <w:tc>
          <w:tcPr>
            <w:tcW w:w="799" w:type="pct"/>
            <w:vAlign w:val="center"/>
          </w:tcPr>
          <w:p>
            <w:pPr>
              <w:spacing w:line="240" w:lineRule="auto"/>
              <w:jc w:val="center"/>
              <w:rPr>
                <w:kern w:val="0"/>
                <w:sz w:val="21"/>
                <w:szCs w:val="21"/>
              </w:rPr>
            </w:pPr>
            <w:r>
              <w:rPr>
                <w:kern w:val="0"/>
                <w:sz w:val="21"/>
                <w:szCs w:val="21"/>
              </w:rPr>
              <w:t>独立作者</w:t>
            </w:r>
          </w:p>
        </w:tc>
        <w:tc>
          <w:tcPr>
            <w:tcW w:w="1000" w:type="pct"/>
            <w:vAlign w:val="center"/>
          </w:tcPr>
          <w:p>
            <w:pPr>
              <w:spacing w:line="240" w:lineRule="auto"/>
              <w:jc w:val="center"/>
              <w:rPr>
                <w:sz w:val="22"/>
              </w:rPr>
            </w:pPr>
            <w:r>
              <w:rPr>
                <w:sz w:val="22"/>
              </w:rPr>
              <w:t>2021年7期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44" w:type="pct"/>
            <w:vAlign w:val="center"/>
          </w:tcPr>
          <w:p>
            <w:pPr>
              <w:spacing w:line="240" w:lineRule="auto"/>
              <w:jc w:val="center"/>
              <w:rPr>
                <w:color w:val="000000"/>
                <w:sz w:val="22"/>
              </w:rPr>
            </w:pPr>
            <w:r>
              <w:rPr>
                <w:color w:val="000000"/>
                <w:sz w:val="22"/>
              </w:rPr>
              <w:t>卢永妮</w:t>
            </w:r>
          </w:p>
        </w:tc>
        <w:tc>
          <w:tcPr>
            <w:tcW w:w="1593" w:type="pct"/>
            <w:vAlign w:val="center"/>
          </w:tcPr>
          <w:p>
            <w:pPr>
              <w:spacing w:line="240" w:lineRule="auto"/>
              <w:jc w:val="center"/>
              <w:rPr>
                <w:color w:val="000000"/>
                <w:sz w:val="22"/>
              </w:rPr>
            </w:pPr>
            <w:r>
              <w:rPr>
                <w:color w:val="000000"/>
                <w:sz w:val="22"/>
              </w:rPr>
              <w:t>农业文化遗产与高校外语教育融合的价值与策略研究</w:t>
            </w:r>
          </w:p>
        </w:tc>
        <w:tc>
          <w:tcPr>
            <w:tcW w:w="961" w:type="pct"/>
            <w:vAlign w:val="center"/>
          </w:tcPr>
          <w:p>
            <w:pPr>
              <w:spacing w:line="240" w:lineRule="auto"/>
              <w:jc w:val="center"/>
              <w:rPr>
                <w:color w:val="000000"/>
                <w:sz w:val="22"/>
              </w:rPr>
            </w:pPr>
            <w:r>
              <w:rPr>
                <w:color w:val="000000"/>
                <w:sz w:val="22"/>
              </w:rPr>
              <w:t>科教文汇</w:t>
            </w:r>
          </w:p>
        </w:tc>
        <w:tc>
          <w:tcPr>
            <w:tcW w:w="799" w:type="pct"/>
            <w:vAlign w:val="center"/>
          </w:tcPr>
          <w:p>
            <w:pPr>
              <w:spacing w:line="240" w:lineRule="auto"/>
              <w:jc w:val="center"/>
              <w:rPr>
                <w:kern w:val="0"/>
                <w:sz w:val="21"/>
                <w:szCs w:val="21"/>
              </w:rPr>
            </w:pPr>
            <w:r>
              <w:rPr>
                <w:kern w:val="0"/>
                <w:sz w:val="21"/>
                <w:szCs w:val="21"/>
              </w:rPr>
              <w:t>通讯作者</w:t>
            </w:r>
          </w:p>
        </w:tc>
        <w:tc>
          <w:tcPr>
            <w:tcW w:w="1000" w:type="pct"/>
            <w:vAlign w:val="center"/>
          </w:tcPr>
          <w:p>
            <w:pPr>
              <w:spacing w:line="240" w:lineRule="auto"/>
              <w:jc w:val="center"/>
              <w:rPr>
                <w:sz w:val="22"/>
              </w:rPr>
            </w:pPr>
            <w:r>
              <w:rPr>
                <w:sz w:val="22"/>
              </w:rPr>
              <w:t>2021年28期</w:t>
            </w:r>
          </w:p>
        </w:tc>
      </w:tr>
    </w:tbl>
    <w:p>
      <w:pPr>
        <w:spacing w:line="360" w:lineRule="auto"/>
        <w:ind w:firstLine="422"/>
        <w:jc w:val="center"/>
        <w:rPr>
          <w:b/>
          <w:sz w:val="21"/>
          <w:szCs w:val="21"/>
        </w:rPr>
      </w:pPr>
      <w:r>
        <w:rPr>
          <w:b/>
          <w:sz w:val="21"/>
          <w:szCs w:val="21"/>
        </w:rPr>
        <w:t>表5  2021-2022学年日语系教师立项课题统计表</w:t>
      </w:r>
    </w:p>
    <w:tbl>
      <w:tblPr>
        <w:tblStyle w:val="1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8"/>
        <w:gridCol w:w="3363"/>
        <w:gridCol w:w="2910"/>
        <w:gridCol w:w="13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8" w:type="pct"/>
            <w:vAlign w:val="center"/>
          </w:tcPr>
          <w:p>
            <w:pPr>
              <w:spacing w:line="240" w:lineRule="auto"/>
              <w:jc w:val="center"/>
              <w:rPr>
                <w:b/>
                <w:bCs/>
                <w:color w:val="000000"/>
                <w:sz w:val="22"/>
              </w:rPr>
            </w:pPr>
            <w:r>
              <w:rPr>
                <w:b/>
                <w:bCs/>
                <w:color w:val="000000"/>
                <w:sz w:val="22"/>
              </w:rPr>
              <w:t>姓名</w:t>
            </w:r>
          </w:p>
        </w:tc>
        <w:tc>
          <w:tcPr>
            <w:tcW w:w="1856" w:type="pct"/>
            <w:vAlign w:val="center"/>
          </w:tcPr>
          <w:p>
            <w:pPr>
              <w:spacing w:line="240" w:lineRule="auto"/>
              <w:jc w:val="center"/>
              <w:rPr>
                <w:b/>
                <w:bCs/>
                <w:color w:val="000000"/>
                <w:sz w:val="22"/>
              </w:rPr>
            </w:pPr>
            <w:r>
              <w:rPr>
                <w:b/>
                <w:bCs/>
                <w:color w:val="000000"/>
                <w:sz w:val="22"/>
              </w:rPr>
              <w:t>项目名称</w:t>
            </w:r>
          </w:p>
        </w:tc>
        <w:tc>
          <w:tcPr>
            <w:tcW w:w="1606" w:type="pct"/>
            <w:vAlign w:val="center"/>
          </w:tcPr>
          <w:p>
            <w:pPr>
              <w:spacing w:line="240" w:lineRule="auto"/>
              <w:jc w:val="center"/>
              <w:rPr>
                <w:b/>
                <w:bCs/>
                <w:color w:val="000000"/>
                <w:sz w:val="22"/>
              </w:rPr>
            </w:pPr>
            <w:r>
              <w:rPr>
                <w:b/>
                <w:bCs/>
                <w:color w:val="000000"/>
                <w:sz w:val="22"/>
              </w:rPr>
              <w:t>项目来源</w:t>
            </w:r>
          </w:p>
        </w:tc>
        <w:tc>
          <w:tcPr>
            <w:tcW w:w="748" w:type="pct"/>
            <w:vAlign w:val="center"/>
          </w:tcPr>
          <w:p>
            <w:pPr>
              <w:spacing w:line="240" w:lineRule="auto"/>
              <w:jc w:val="center"/>
              <w:rPr>
                <w:b/>
                <w:bCs/>
                <w:color w:val="000000"/>
                <w:sz w:val="22"/>
              </w:rPr>
            </w:pPr>
            <w:r>
              <w:rPr>
                <w:b/>
                <w:bCs/>
                <w:color w:val="000000"/>
                <w:sz w:val="22"/>
              </w:rPr>
              <w:t>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8" w:type="pct"/>
            <w:vAlign w:val="center"/>
          </w:tcPr>
          <w:p>
            <w:pPr>
              <w:spacing w:line="240" w:lineRule="auto"/>
              <w:jc w:val="center"/>
              <w:rPr>
                <w:color w:val="000000"/>
                <w:sz w:val="22"/>
              </w:rPr>
            </w:pPr>
            <w:r>
              <w:rPr>
                <w:color w:val="000000"/>
                <w:sz w:val="22"/>
              </w:rPr>
              <w:t>卢永妮</w:t>
            </w:r>
          </w:p>
        </w:tc>
        <w:tc>
          <w:tcPr>
            <w:tcW w:w="1856" w:type="pct"/>
            <w:vAlign w:val="center"/>
          </w:tcPr>
          <w:p>
            <w:pPr>
              <w:spacing w:line="240" w:lineRule="auto"/>
              <w:jc w:val="center"/>
              <w:rPr>
                <w:color w:val="000000"/>
                <w:sz w:val="22"/>
              </w:rPr>
            </w:pPr>
            <w:r>
              <w:rPr>
                <w:color w:val="000000"/>
                <w:sz w:val="22"/>
              </w:rPr>
              <w:t>山东省农业文化遗产文旅融合发展研究：日本经验的启鉴</w:t>
            </w:r>
          </w:p>
        </w:tc>
        <w:tc>
          <w:tcPr>
            <w:tcW w:w="1606" w:type="pct"/>
            <w:vAlign w:val="center"/>
          </w:tcPr>
          <w:p>
            <w:pPr>
              <w:spacing w:line="240" w:lineRule="auto"/>
              <w:jc w:val="center"/>
              <w:rPr>
                <w:color w:val="000000"/>
                <w:sz w:val="22"/>
              </w:rPr>
            </w:pPr>
            <w:r>
              <w:rPr>
                <w:color w:val="000000"/>
                <w:sz w:val="22"/>
              </w:rPr>
              <w:t>山东省社科专项项目</w:t>
            </w:r>
          </w:p>
        </w:tc>
        <w:tc>
          <w:tcPr>
            <w:tcW w:w="748" w:type="pct"/>
            <w:vAlign w:val="center"/>
          </w:tcPr>
          <w:p>
            <w:pPr>
              <w:spacing w:line="240" w:lineRule="auto"/>
              <w:jc w:val="center"/>
              <w:rPr>
                <w:color w:val="000000"/>
                <w:sz w:val="22"/>
              </w:rPr>
            </w:pPr>
            <w:r>
              <w:rPr>
                <w:color w:val="000000"/>
                <w:sz w:val="22"/>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8" w:type="pct"/>
            <w:vAlign w:val="center"/>
          </w:tcPr>
          <w:p>
            <w:pPr>
              <w:spacing w:line="240" w:lineRule="auto"/>
              <w:jc w:val="center"/>
              <w:rPr>
                <w:color w:val="000000"/>
                <w:sz w:val="22"/>
              </w:rPr>
            </w:pPr>
            <w:r>
              <w:rPr>
                <w:color w:val="000000"/>
                <w:sz w:val="22"/>
              </w:rPr>
              <w:t>杨</w:t>
            </w:r>
            <w:r>
              <w:rPr>
                <w:rFonts w:hint="eastAsia"/>
                <w:color w:val="000000"/>
                <w:sz w:val="22"/>
              </w:rPr>
              <w:t xml:space="preserve">  </w:t>
            </w:r>
            <w:r>
              <w:rPr>
                <w:color w:val="000000"/>
                <w:sz w:val="22"/>
              </w:rPr>
              <w:t>阳</w:t>
            </w:r>
          </w:p>
        </w:tc>
        <w:tc>
          <w:tcPr>
            <w:tcW w:w="1856" w:type="pct"/>
            <w:vAlign w:val="center"/>
          </w:tcPr>
          <w:p>
            <w:pPr>
              <w:spacing w:line="240" w:lineRule="auto"/>
              <w:jc w:val="center"/>
              <w:rPr>
                <w:color w:val="000000"/>
                <w:sz w:val="22"/>
              </w:rPr>
            </w:pPr>
            <w:r>
              <w:rPr>
                <w:color w:val="000000"/>
                <w:sz w:val="22"/>
              </w:rPr>
              <w:t>山东省民间文学类</w:t>
            </w:r>
            <w:r>
              <w:rPr>
                <w:rFonts w:hint="eastAsia"/>
                <w:color w:val="000000"/>
                <w:sz w:val="22"/>
              </w:rPr>
              <w:t>“</w:t>
            </w:r>
            <w:r>
              <w:rPr>
                <w:color w:val="000000"/>
                <w:sz w:val="22"/>
              </w:rPr>
              <w:t>非遗</w:t>
            </w:r>
            <w:r>
              <w:rPr>
                <w:rFonts w:hint="eastAsia"/>
                <w:color w:val="000000"/>
                <w:sz w:val="22"/>
              </w:rPr>
              <w:t>”</w:t>
            </w:r>
            <w:r>
              <w:rPr>
                <w:color w:val="000000"/>
                <w:sz w:val="22"/>
              </w:rPr>
              <w:t>在日传播与接受研究</w:t>
            </w:r>
          </w:p>
        </w:tc>
        <w:tc>
          <w:tcPr>
            <w:tcW w:w="1606" w:type="pct"/>
            <w:vAlign w:val="center"/>
          </w:tcPr>
          <w:p>
            <w:pPr>
              <w:spacing w:line="240" w:lineRule="auto"/>
              <w:jc w:val="center"/>
              <w:rPr>
                <w:color w:val="000000"/>
                <w:sz w:val="22"/>
              </w:rPr>
            </w:pPr>
            <w:r>
              <w:rPr>
                <w:color w:val="000000"/>
                <w:sz w:val="22"/>
              </w:rPr>
              <w:t>山东省人文社会科学课题</w:t>
            </w:r>
          </w:p>
        </w:tc>
        <w:tc>
          <w:tcPr>
            <w:tcW w:w="748" w:type="pct"/>
            <w:vAlign w:val="center"/>
          </w:tcPr>
          <w:p>
            <w:pPr>
              <w:spacing w:line="240" w:lineRule="auto"/>
              <w:jc w:val="center"/>
              <w:rPr>
                <w:color w:val="000000"/>
                <w:sz w:val="22"/>
              </w:rPr>
            </w:pPr>
            <w:r>
              <w:rPr>
                <w:color w:val="000000"/>
                <w:sz w:val="22"/>
              </w:rPr>
              <w:t>省级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8" w:type="pct"/>
            <w:vAlign w:val="center"/>
          </w:tcPr>
          <w:p>
            <w:pPr>
              <w:spacing w:line="240" w:lineRule="auto"/>
              <w:jc w:val="center"/>
              <w:rPr>
                <w:color w:val="000000"/>
                <w:sz w:val="22"/>
              </w:rPr>
            </w:pPr>
            <w:r>
              <w:rPr>
                <w:color w:val="000000"/>
                <w:sz w:val="22"/>
              </w:rPr>
              <w:t>刘长远</w:t>
            </w:r>
          </w:p>
        </w:tc>
        <w:tc>
          <w:tcPr>
            <w:tcW w:w="1856" w:type="pct"/>
            <w:vAlign w:val="center"/>
          </w:tcPr>
          <w:p>
            <w:pPr>
              <w:spacing w:line="240" w:lineRule="auto"/>
              <w:jc w:val="center"/>
              <w:rPr>
                <w:color w:val="000000"/>
                <w:sz w:val="22"/>
              </w:rPr>
            </w:pPr>
            <w:r>
              <w:rPr>
                <w:color w:val="000000"/>
                <w:sz w:val="22"/>
              </w:rPr>
              <w:t>泰安美食旅游与地方经济协同发展的路径研究</w:t>
            </w:r>
          </w:p>
        </w:tc>
        <w:tc>
          <w:tcPr>
            <w:tcW w:w="1606" w:type="pct"/>
            <w:vAlign w:val="center"/>
          </w:tcPr>
          <w:p>
            <w:pPr>
              <w:spacing w:line="240" w:lineRule="auto"/>
              <w:jc w:val="center"/>
              <w:rPr>
                <w:color w:val="000000"/>
                <w:sz w:val="22"/>
              </w:rPr>
            </w:pPr>
            <w:r>
              <w:rPr>
                <w:color w:val="000000"/>
                <w:sz w:val="22"/>
              </w:rPr>
              <w:t>泰安市哲学社会科学工作</w:t>
            </w:r>
          </w:p>
        </w:tc>
        <w:tc>
          <w:tcPr>
            <w:tcW w:w="748" w:type="pct"/>
            <w:vAlign w:val="center"/>
          </w:tcPr>
          <w:p>
            <w:pPr>
              <w:spacing w:line="240" w:lineRule="auto"/>
              <w:jc w:val="center"/>
              <w:rPr>
                <w:color w:val="000000"/>
                <w:sz w:val="22"/>
              </w:rPr>
            </w:pPr>
            <w:r>
              <w:rPr>
                <w:color w:val="000000"/>
                <w:sz w:val="22"/>
              </w:rPr>
              <w:t>市级</w:t>
            </w:r>
          </w:p>
        </w:tc>
      </w:tr>
    </w:tbl>
    <w:p>
      <w:pPr>
        <w:spacing w:line="360" w:lineRule="auto"/>
        <w:ind w:firstLine="422"/>
        <w:jc w:val="center"/>
        <w:rPr>
          <w:b/>
          <w:sz w:val="21"/>
          <w:szCs w:val="21"/>
        </w:rPr>
      </w:pPr>
      <w:r>
        <w:rPr>
          <w:b/>
          <w:sz w:val="21"/>
          <w:szCs w:val="21"/>
        </w:rPr>
        <w:t>表6  2021-2022学年日语系教师出版专著、译著统计表</w:t>
      </w:r>
    </w:p>
    <w:tbl>
      <w:tblPr>
        <w:tblStyle w:val="1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8"/>
        <w:gridCol w:w="3722"/>
        <w:gridCol w:w="1611"/>
        <w:gridCol w:w="22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805" w:type="pct"/>
            <w:vAlign w:val="center"/>
          </w:tcPr>
          <w:p>
            <w:pPr>
              <w:spacing w:line="240" w:lineRule="auto"/>
              <w:jc w:val="center"/>
              <w:rPr>
                <w:b/>
                <w:bCs/>
                <w:color w:val="000000"/>
                <w:sz w:val="22"/>
              </w:rPr>
            </w:pPr>
            <w:r>
              <w:rPr>
                <w:b/>
                <w:bCs/>
                <w:color w:val="000000"/>
                <w:sz w:val="22"/>
              </w:rPr>
              <w:t>姓名</w:t>
            </w:r>
          </w:p>
        </w:tc>
        <w:tc>
          <w:tcPr>
            <w:tcW w:w="2054" w:type="pct"/>
            <w:vAlign w:val="center"/>
          </w:tcPr>
          <w:p>
            <w:pPr>
              <w:spacing w:line="240" w:lineRule="auto"/>
              <w:jc w:val="center"/>
              <w:rPr>
                <w:b/>
                <w:bCs/>
                <w:color w:val="000000"/>
                <w:sz w:val="22"/>
              </w:rPr>
            </w:pPr>
            <w:r>
              <w:rPr>
                <w:b/>
                <w:bCs/>
                <w:color w:val="000000"/>
                <w:sz w:val="22"/>
              </w:rPr>
              <w:t>名称</w:t>
            </w:r>
          </w:p>
        </w:tc>
        <w:tc>
          <w:tcPr>
            <w:tcW w:w="889" w:type="pct"/>
            <w:vAlign w:val="center"/>
          </w:tcPr>
          <w:p>
            <w:pPr>
              <w:spacing w:line="240" w:lineRule="auto"/>
              <w:jc w:val="center"/>
              <w:rPr>
                <w:b/>
                <w:bCs/>
                <w:color w:val="000000"/>
                <w:sz w:val="22"/>
              </w:rPr>
            </w:pPr>
            <w:r>
              <w:rPr>
                <w:b/>
                <w:bCs/>
                <w:color w:val="000000"/>
                <w:sz w:val="22"/>
              </w:rPr>
              <w:t>出版时间</w:t>
            </w:r>
          </w:p>
        </w:tc>
        <w:tc>
          <w:tcPr>
            <w:tcW w:w="1250" w:type="pct"/>
            <w:vAlign w:val="center"/>
          </w:tcPr>
          <w:p>
            <w:pPr>
              <w:spacing w:line="240" w:lineRule="auto"/>
              <w:jc w:val="center"/>
              <w:rPr>
                <w:b/>
                <w:bCs/>
                <w:color w:val="000000"/>
                <w:sz w:val="22"/>
              </w:rPr>
            </w:pPr>
            <w:r>
              <w:rPr>
                <w:b/>
                <w:bCs/>
                <w:color w:val="000000"/>
                <w:sz w:val="22"/>
              </w:rPr>
              <w:t>出版社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05" w:type="pct"/>
            <w:vAlign w:val="center"/>
          </w:tcPr>
          <w:p>
            <w:pPr>
              <w:spacing w:line="240" w:lineRule="auto"/>
              <w:jc w:val="center"/>
              <w:rPr>
                <w:color w:val="000000"/>
                <w:sz w:val="22"/>
              </w:rPr>
            </w:pPr>
            <w:r>
              <w:rPr>
                <w:color w:val="000000"/>
                <w:sz w:val="22"/>
              </w:rPr>
              <w:t>林啸轩</w:t>
            </w:r>
          </w:p>
        </w:tc>
        <w:tc>
          <w:tcPr>
            <w:tcW w:w="2054" w:type="pct"/>
            <w:vAlign w:val="center"/>
          </w:tcPr>
          <w:p>
            <w:pPr>
              <w:spacing w:line="240" w:lineRule="auto"/>
              <w:jc w:val="center"/>
              <w:rPr>
                <w:color w:val="000000"/>
                <w:sz w:val="22"/>
              </w:rPr>
            </w:pPr>
            <w:r>
              <w:rPr>
                <w:color w:val="000000"/>
                <w:sz w:val="22"/>
              </w:rPr>
              <w:t>文学者的</w:t>
            </w:r>
            <w:r>
              <w:rPr>
                <w:rFonts w:hint="eastAsia"/>
                <w:color w:val="000000"/>
                <w:sz w:val="22"/>
              </w:rPr>
              <w:t>“</w:t>
            </w:r>
            <w:r>
              <w:rPr>
                <w:color w:val="000000"/>
                <w:sz w:val="22"/>
              </w:rPr>
              <w:t>核·福岛论</w:t>
            </w:r>
            <w:r>
              <w:rPr>
                <w:rFonts w:hint="eastAsia"/>
                <w:color w:val="000000"/>
                <w:sz w:val="22"/>
              </w:rPr>
              <w:t>”</w:t>
            </w:r>
            <w:r>
              <w:rPr>
                <w:color w:val="000000"/>
                <w:sz w:val="22"/>
              </w:rPr>
              <w:t>——吉本隆明·大江健三郎·村上春树（译著）</w:t>
            </w:r>
          </w:p>
        </w:tc>
        <w:tc>
          <w:tcPr>
            <w:tcW w:w="889" w:type="pct"/>
            <w:vAlign w:val="center"/>
          </w:tcPr>
          <w:p>
            <w:pPr>
              <w:spacing w:line="240" w:lineRule="auto"/>
              <w:jc w:val="center"/>
              <w:rPr>
                <w:color w:val="000000"/>
                <w:sz w:val="22"/>
              </w:rPr>
            </w:pPr>
            <w:r>
              <w:rPr>
                <w:color w:val="000000"/>
                <w:sz w:val="22"/>
              </w:rPr>
              <w:t>2022.02</w:t>
            </w:r>
          </w:p>
        </w:tc>
        <w:tc>
          <w:tcPr>
            <w:tcW w:w="1250" w:type="pct"/>
            <w:vAlign w:val="center"/>
          </w:tcPr>
          <w:p>
            <w:pPr>
              <w:spacing w:line="240" w:lineRule="auto"/>
              <w:jc w:val="center"/>
              <w:rPr>
                <w:color w:val="000000"/>
                <w:sz w:val="22"/>
              </w:rPr>
            </w:pPr>
            <w:r>
              <w:rPr>
                <w:color w:val="000000"/>
                <w:sz w:val="22"/>
              </w:rPr>
              <w:t>湖南大学出版社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pct"/>
            <w:vAlign w:val="center"/>
          </w:tcPr>
          <w:p>
            <w:pPr>
              <w:spacing w:line="240" w:lineRule="auto"/>
              <w:jc w:val="center"/>
              <w:rPr>
                <w:color w:val="000000"/>
                <w:sz w:val="22"/>
              </w:rPr>
            </w:pPr>
            <w:r>
              <w:rPr>
                <w:color w:val="000000"/>
                <w:sz w:val="22"/>
              </w:rPr>
              <w:t>刘长远</w:t>
            </w:r>
          </w:p>
        </w:tc>
        <w:tc>
          <w:tcPr>
            <w:tcW w:w="2054" w:type="pct"/>
            <w:vAlign w:val="center"/>
          </w:tcPr>
          <w:p>
            <w:pPr>
              <w:spacing w:line="240" w:lineRule="auto"/>
              <w:jc w:val="center"/>
              <w:rPr>
                <w:color w:val="000000"/>
                <w:sz w:val="22"/>
              </w:rPr>
            </w:pPr>
            <w:r>
              <w:rPr>
                <w:color w:val="000000"/>
                <w:sz w:val="22"/>
              </w:rPr>
              <w:t>信息化时代下日本的英语教育改革研究</w:t>
            </w:r>
          </w:p>
        </w:tc>
        <w:tc>
          <w:tcPr>
            <w:tcW w:w="889" w:type="pct"/>
            <w:vAlign w:val="center"/>
          </w:tcPr>
          <w:p>
            <w:pPr>
              <w:spacing w:line="240" w:lineRule="auto"/>
              <w:jc w:val="center"/>
              <w:rPr>
                <w:color w:val="000000"/>
                <w:sz w:val="22"/>
              </w:rPr>
            </w:pPr>
            <w:r>
              <w:rPr>
                <w:color w:val="000000"/>
                <w:sz w:val="22"/>
              </w:rPr>
              <w:t>2021.09</w:t>
            </w:r>
          </w:p>
          <w:p>
            <w:pPr>
              <w:spacing w:line="240" w:lineRule="auto"/>
              <w:jc w:val="center"/>
              <w:rPr>
                <w:color w:val="000000"/>
                <w:sz w:val="22"/>
              </w:rPr>
            </w:pPr>
          </w:p>
        </w:tc>
        <w:tc>
          <w:tcPr>
            <w:tcW w:w="1250" w:type="pct"/>
            <w:vAlign w:val="center"/>
          </w:tcPr>
          <w:p>
            <w:pPr>
              <w:spacing w:line="240" w:lineRule="auto"/>
              <w:jc w:val="center"/>
              <w:rPr>
                <w:color w:val="000000"/>
                <w:sz w:val="22"/>
              </w:rPr>
            </w:pPr>
            <w:r>
              <w:rPr>
                <w:color w:val="000000"/>
                <w:sz w:val="22"/>
              </w:rPr>
              <w:t>中国纺织出版社</w:t>
            </w:r>
          </w:p>
        </w:tc>
      </w:tr>
    </w:tbl>
    <w:p/>
    <w:p>
      <w:pPr>
        <w:pStyle w:val="7"/>
        <w:ind w:firstLine="480"/>
      </w:pPr>
      <w:r>
        <w:t>4.实习基地建设</w:t>
      </w:r>
    </w:p>
    <w:p>
      <w:pPr>
        <w:ind w:firstLine="480"/>
      </w:pPr>
      <w:r>
        <w:t>外语学院国内实习基地有现代牧业集团（原泰安蒙牛国际进出口贸易公司）、莱芜职业技术学院、东营高新技术开发区、山东（莒县）华康蜂业有限公司、万力集团、优创（青岛）数据有限公司等。为保证实习效果、方便就业，结合外语学院的实际，日语专业本科毕业学生的毕业实习采取</w:t>
      </w:r>
      <w:r>
        <w:rPr>
          <w:rFonts w:hint="eastAsia"/>
        </w:rPr>
        <w:t>“</w:t>
      </w:r>
      <w:r>
        <w:t>分散与集中相结合、以分散为主</w:t>
      </w:r>
      <w:r>
        <w:rPr>
          <w:rFonts w:hint="eastAsia"/>
        </w:rPr>
        <w:t>”</w:t>
      </w:r>
      <w:r>
        <w:t>的原则，即以学生自主选择实习单位分散实习为主，以学院安排的上述五个实习基地集中实习为辅。近年来的实际情况是学生绝大部分自主选择实习单位，少数选择在校内进行教学实习。</w:t>
      </w:r>
    </w:p>
    <w:p>
      <w:pPr>
        <w:ind w:firstLine="480"/>
        <w:rPr>
          <w:color w:val="FF0000"/>
        </w:rPr>
      </w:pPr>
      <w:r>
        <w:t>海外实习基地方面，2013年与日本九州外国语学院签订协议， 2016年与日本国立山口大学签署了互派留学生的协议，2017年与和歌山外国语专门学校签订了教育实习基地协议，2018年，与日本广岛大学签订了</w:t>
      </w:r>
      <w:r>
        <w:rPr>
          <w:rFonts w:hint="eastAsia"/>
        </w:rPr>
        <w:t>“</w:t>
      </w:r>
      <w:r>
        <w:t>森户高等教育学院3+1项目</w:t>
      </w:r>
      <w:r>
        <w:rPr>
          <w:rFonts w:hint="eastAsia"/>
        </w:rPr>
        <w:t>”</w:t>
      </w:r>
      <w:r>
        <w:t>协议、与日本亚细亚大学签订了教育实习基地协议。2022年共有13名学生分别赴山口大学、广岛大学和九州外国语学院派出进行毕业实习，不仅锻炼了日语语言能力，更开阔了眼界，加深了对日本社会文化的理解。</w:t>
      </w:r>
    </w:p>
    <w:p>
      <w:pPr>
        <w:pStyle w:val="7"/>
        <w:ind w:firstLine="480"/>
      </w:pPr>
      <w:r>
        <w:t>5.信息化建设</w:t>
      </w:r>
    </w:p>
    <w:p>
      <w:pPr>
        <w:ind w:firstLine="480"/>
      </w:pPr>
      <w:r>
        <w:t>课堂教学均在学院语音室或学校多媒体教室完成，可以充分利用先进信息技术，运用视频、音频、等多媒体教学手段，查找并呈现出更多文献资料、日本文学原文资料和语音听力等学习资源，满足学生的专业学习需要。</w:t>
      </w:r>
    </w:p>
    <w:p>
      <w:pPr>
        <w:pStyle w:val="5"/>
        <w:spacing w:before="93" w:after="93"/>
        <w:ind w:firstLine="560"/>
      </w:pPr>
      <w:r>
        <w:rPr>
          <w:rFonts w:hint="eastAsia"/>
        </w:rPr>
        <w:t>四、</w:t>
      </w:r>
      <w:r>
        <w:t>培养机制</w:t>
      </w:r>
    </w:p>
    <w:p>
      <w:pPr>
        <w:pStyle w:val="7"/>
        <w:ind w:firstLine="480"/>
      </w:pPr>
      <w:r>
        <w:t>1.产学研协同育人机制</w:t>
      </w:r>
    </w:p>
    <w:p>
      <w:pPr>
        <w:ind w:firstLine="480"/>
      </w:pPr>
      <w:r>
        <w:t>外语学院国内实习基地有现代牧业集团（原泰安蒙牛国际进出口贸易公司）、莱芜职业技术学院、东营高新技术开发区、山东（莒县）华康蜂业有限公司、万力集团、优创（青岛）数据有限公司等。</w:t>
      </w:r>
    </w:p>
    <w:p>
      <w:pPr>
        <w:ind w:firstLine="480"/>
      </w:pPr>
      <w:r>
        <w:t>除上述学院级别的国内实习基地外，日语系还与青岛的青软实训开展了实习合作。通过青软实训的实习，学生不仅可以提高日语语言技能，还能学习到软件开发制作等课程，拓宽了学生的就业渠道，受到了学生和家长、社会的一致好评。</w:t>
      </w:r>
    </w:p>
    <w:p>
      <w:pPr>
        <w:ind w:firstLine="480"/>
      </w:pPr>
      <w:r>
        <w:t>为保证实习效果、方便就业，结合外语学院的实际，日语专业本科毕业学生的毕业实习采取</w:t>
      </w:r>
      <w:r>
        <w:rPr>
          <w:rFonts w:hint="eastAsia"/>
        </w:rPr>
        <w:t>“</w:t>
      </w:r>
      <w:r>
        <w:t>分散与集中相结合、以分散为主</w:t>
      </w:r>
      <w:r>
        <w:rPr>
          <w:rFonts w:hint="eastAsia"/>
        </w:rPr>
        <w:t>”</w:t>
      </w:r>
      <w:r>
        <w:t xml:space="preserve">的原则，即以学生自主选择实习单位分散实习为主，以学院安排的上述五个实习基地集中实习为辅。近年来的实际情况是学生绝大部分自主选择实习单位，少数选择在校内进行教学实习。 </w:t>
      </w:r>
    </w:p>
    <w:p>
      <w:pPr>
        <w:ind w:firstLine="480"/>
        <w:rPr>
          <w:rFonts w:eastAsia="黑体"/>
        </w:rPr>
      </w:pPr>
      <w:r>
        <w:rPr>
          <w:rFonts w:eastAsia="黑体"/>
        </w:rPr>
        <w:t>2.合作办学</w:t>
      </w:r>
    </w:p>
    <w:p>
      <w:pPr>
        <w:ind w:firstLine="480"/>
      </w:pPr>
      <w:r>
        <w:t>长期以来，为进一步拓展学生的就业渠道，提高学生的日语学习水平，日语专业在日本构建了一批海外实习基地群。</w:t>
      </w:r>
    </w:p>
    <w:p>
      <w:pPr>
        <w:pStyle w:val="7"/>
        <w:ind w:firstLine="480"/>
      </w:pPr>
      <w:r>
        <w:t>3.教学管理</w:t>
      </w:r>
    </w:p>
    <w:p>
      <w:pPr>
        <w:ind w:firstLine="480"/>
      </w:pPr>
      <w:r>
        <w:t>日语专业办学过程始终遵守学校和学院各项教学管理制度，重视教学质量，确保教学质量保障体系运行良好，人才培养计划顺利实施。日语专业严格按照日语本科人才培养方案进行课程设置，教学过程紧密结合课程大纲。日语专业共设置了8个教学基层组织，分别是基础日语、高级日语、日本文学、日本文化、日语语言学、商务日语、翻译和日语读写。所有基层教学组织集体制定课程教学日历、备课、组卷，并定期开展教学研究。</w:t>
      </w:r>
    </w:p>
    <w:p>
      <w:pPr>
        <w:pStyle w:val="5"/>
        <w:spacing w:before="93" w:after="93"/>
        <w:ind w:firstLine="560"/>
      </w:pPr>
      <w:r>
        <w:t>五、培养质量</w:t>
      </w:r>
    </w:p>
    <w:p>
      <w:pPr>
        <w:ind w:firstLine="480"/>
        <w:rPr>
          <w:rFonts w:eastAsia="黑体"/>
          <w:sz w:val="28"/>
          <w:szCs w:val="28"/>
        </w:rPr>
      </w:pPr>
      <w:r>
        <w:t>日语专业注重培养学生重视学习、热爱学习的良好风气，日语专业学生的专业素质得到了普遍认可。日语专业培养质量具体情况如下：</w:t>
      </w:r>
    </w:p>
    <w:p>
      <w:pPr>
        <w:pStyle w:val="7"/>
        <w:ind w:firstLine="480"/>
      </w:pPr>
      <w:r>
        <w:t>1.毕业生就业率</w:t>
      </w:r>
    </w:p>
    <w:p>
      <w:pPr>
        <w:ind w:firstLine="480"/>
      </w:pPr>
      <w:r>
        <w:t>2022届日语专业毕业生专业就业率90.47%。其中7人考取国内研究生， 3人出国读研。就业形式灵活多样，更有学生选择自主创业，就业更加趋于良性发展。</w:t>
      </w:r>
    </w:p>
    <w:p>
      <w:pPr>
        <w:spacing w:line="360" w:lineRule="auto"/>
        <w:jc w:val="center"/>
        <w:rPr>
          <w:b/>
          <w:bCs/>
          <w:sz w:val="21"/>
          <w:szCs w:val="21"/>
        </w:rPr>
      </w:pPr>
      <w:r>
        <w:rPr>
          <w:b/>
          <w:bCs/>
          <w:sz w:val="21"/>
          <w:szCs w:val="21"/>
        </w:rPr>
        <w:t>表7  2022届毕业生国内、国外考研统计表</w:t>
      </w:r>
    </w:p>
    <w:tbl>
      <w:tblPr>
        <w:tblStyle w:val="17"/>
        <w:tblW w:w="77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7"/>
        <w:gridCol w:w="1839"/>
        <w:gridCol w:w="42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67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b/>
                <w:bCs/>
                <w:sz w:val="21"/>
                <w:szCs w:val="21"/>
              </w:rPr>
            </w:pPr>
            <w:r>
              <w:rPr>
                <w:b/>
                <w:bCs/>
                <w:sz w:val="21"/>
                <w:szCs w:val="21"/>
              </w:rPr>
              <w:t>姓</w:t>
            </w:r>
            <w:r>
              <w:rPr>
                <w:rFonts w:hint="eastAsia"/>
                <w:b/>
                <w:bCs/>
                <w:sz w:val="21"/>
                <w:szCs w:val="21"/>
              </w:rPr>
              <w:t xml:space="preserve">  </w:t>
            </w:r>
            <w:r>
              <w:rPr>
                <w:b/>
                <w:bCs/>
                <w:sz w:val="21"/>
                <w:szCs w:val="21"/>
              </w:rPr>
              <w:t>名</w:t>
            </w:r>
          </w:p>
        </w:tc>
        <w:tc>
          <w:tcPr>
            <w:tcW w:w="183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b/>
                <w:bCs/>
                <w:sz w:val="21"/>
                <w:szCs w:val="21"/>
              </w:rPr>
            </w:pPr>
            <w:r>
              <w:rPr>
                <w:b/>
                <w:bCs/>
                <w:sz w:val="21"/>
                <w:szCs w:val="21"/>
              </w:rPr>
              <w:t>班级</w:t>
            </w:r>
          </w:p>
        </w:tc>
        <w:tc>
          <w:tcPr>
            <w:tcW w:w="4248"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b/>
                <w:bCs/>
                <w:sz w:val="21"/>
                <w:szCs w:val="21"/>
              </w:rPr>
            </w:pPr>
            <w:r>
              <w:rPr>
                <w:b/>
                <w:bCs/>
                <w:sz w:val="21"/>
                <w:szCs w:val="21"/>
              </w:rPr>
              <w:t>考取学校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7"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sz w:val="21"/>
                <w:szCs w:val="21"/>
              </w:rPr>
              <w:t>刘亚菲</w:t>
            </w:r>
          </w:p>
        </w:tc>
        <w:tc>
          <w:tcPr>
            <w:tcW w:w="1839"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kern w:val="0"/>
                <w:sz w:val="21"/>
                <w:szCs w:val="21"/>
              </w:rPr>
              <w:t>2018级1班</w:t>
            </w:r>
          </w:p>
        </w:tc>
        <w:tc>
          <w:tcPr>
            <w:tcW w:w="424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kern w:val="0"/>
                <w:sz w:val="21"/>
                <w:szCs w:val="21"/>
              </w:rPr>
              <w:t>江苏大学（保研）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7"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sz w:val="21"/>
                <w:szCs w:val="21"/>
              </w:rPr>
              <w:t>李</w:t>
            </w:r>
            <w:r>
              <w:rPr>
                <w:rFonts w:hint="eastAsia"/>
                <w:sz w:val="21"/>
                <w:szCs w:val="21"/>
              </w:rPr>
              <w:t xml:space="preserve">  </w:t>
            </w:r>
            <w:r>
              <w:rPr>
                <w:sz w:val="21"/>
                <w:szCs w:val="21"/>
              </w:rPr>
              <w:t>洁</w:t>
            </w:r>
          </w:p>
        </w:tc>
        <w:tc>
          <w:tcPr>
            <w:tcW w:w="1839"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kern w:val="0"/>
                <w:sz w:val="21"/>
                <w:szCs w:val="21"/>
              </w:rPr>
              <w:t>2018级1班</w:t>
            </w:r>
          </w:p>
        </w:tc>
        <w:tc>
          <w:tcPr>
            <w:tcW w:w="424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kern w:val="0"/>
                <w:sz w:val="21"/>
                <w:szCs w:val="21"/>
              </w:rPr>
              <w:t>江苏大学（保研）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7"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sz w:val="21"/>
                <w:szCs w:val="21"/>
              </w:rPr>
              <w:t>吴娟微</w:t>
            </w:r>
          </w:p>
        </w:tc>
        <w:tc>
          <w:tcPr>
            <w:tcW w:w="1839"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kern w:val="0"/>
                <w:sz w:val="21"/>
                <w:szCs w:val="21"/>
              </w:rPr>
              <w:t>2018级2班</w:t>
            </w:r>
          </w:p>
        </w:tc>
        <w:tc>
          <w:tcPr>
            <w:tcW w:w="424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sz w:val="21"/>
                <w:szCs w:val="21"/>
              </w:rPr>
              <w:t>北京第二外国语学院</w:t>
            </w:r>
            <w:r>
              <w:rPr>
                <w:kern w:val="0"/>
                <w:sz w:val="21"/>
                <w:szCs w:val="21"/>
              </w:rPr>
              <w:t>（保研）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7"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sz w:val="21"/>
                <w:szCs w:val="21"/>
              </w:rPr>
              <w:t>王</w:t>
            </w:r>
            <w:r>
              <w:rPr>
                <w:rFonts w:hint="eastAsia"/>
                <w:sz w:val="21"/>
                <w:szCs w:val="21"/>
              </w:rPr>
              <w:t xml:space="preserve">  </w:t>
            </w:r>
            <w:r>
              <w:rPr>
                <w:sz w:val="21"/>
                <w:szCs w:val="21"/>
              </w:rPr>
              <w:t>昱</w:t>
            </w:r>
          </w:p>
        </w:tc>
        <w:tc>
          <w:tcPr>
            <w:tcW w:w="1839"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kern w:val="0"/>
                <w:sz w:val="21"/>
                <w:szCs w:val="21"/>
              </w:rPr>
            </w:pPr>
            <w:r>
              <w:rPr>
                <w:kern w:val="0"/>
                <w:sz w:val="21"/>
                <w:szCs w:val="21"/>
              </w:rPr>
              <w:t>2018级1班</w:t>
            </w:r>
          </w:p>
        </w:tc>
        <w:tc>
          <w:tcPr>
            <w:tcW w:w="424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sz w:val="21"/>
                <w:szCs w:val="21"/>
              </w:rPr>
              <w:t>浙江师范大学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7"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sz w:val="21"/>
                <w:szCs w:val="21"/>
              </w:rPr>
              <w:t>张贝灵</w:t>
            </w:r>
          </w:p>
        </w:tc>
        <w:tc>
          <w:tcPr>
            <w:tcW w:w="1839"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kern w:val="0"/>
                <w:sz w:val="21"/>
                <w:szCs w:val="21"/>
              </w:rPr>
            </w:pPr>
            <w:r>
              <w:rPr>
                <w:kern w:val="0"/>
                <w:sz w:val="21"/>
                <w:szCs w:val="21"/>
              </w:rPr>
              <w:t>2018级1班</w:t>
            </w:r>
          </w:p>
        </w:tc>
        <w:tc>
          <w:tcPr>
            <w:tcW w:w="424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kern w:val="0"/>
                <w:sz w:val="21"/>
                <w:szCs w:val="21"/>
              </w:rPr>
              <w:t>西南民族大学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7"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sz w:val="21"/>
                <w:szCs w:val="21"/>
              </w:rPr>
              <w:t>张馨文</w:t>
            </w:r>
          </w:p>
        </w:tc>
        <w:tc>
          <w:tcPr>
            <w:tcW w:w="1839"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kern w:val="0"/>
                <w:sz w:val="21"/>
                <w:szCs w:val="21"/>
              </w:rPr>
            </w:pPr>
            <w:r>
              <w:rPr>
                <w:kern w:val="0"/>
                <w:sz w:val="21"/>
                <w:szCs w:val="21"/>
              </w:rPr>
              <w:t>2018级1班</w:t>
            </w:r>
          </w:p>
        </w:tc>
        <w:tc>
          <w:tcPr>
            <w:tcW w:w="424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sz w:val="21"/>
                <w:szCs w:val="21"/>
              </w:rPr>
              <w:t>浙江传媒学院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7"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sz w:val="21"/>
                <w:szCs w:val="21"/>
              </w:rPr>
              <w:t>孙</w:t>
            </w:r>
            <w:r>
              <w:rPr>
                <w:rFonts w:hint="eastAsia"/>
                <w:sz w:val="21"/>
                <w:szCs w:val="21"/>
              </w:rPr>
              <w:t xml:space="preserve">  </w:t>
            </w:r>
            <w:r>
              <w:rPr>
                <w:sz w:val="21"/>
                <w:szCs w:val="21"/>
              </w:rPr>
              <w:t>玮</w:t>
            </w:r>
          </w:p>
        </w:tc>
        <w:tc>
          <w:tcPr>
            <w:tcW w:w="1839"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kern w:val="0"/>
                <w:sz w:val="21"/>
                <w:szCs w:val="21"/>
              </w:rPr>
            </w:pPr>
            <w:r>
              <w:rPr>
                <w:kern w:val="0"/>
                <w:sz w:val="21"/>
                <w:szCs w:val="21"/>
              </w:rPr>
              <w:t>2018级1班</w:t>
            </w:r>
          </w:p>
        </w:tc>
        <w:tc>
          <w:tcPr>
            <w:tcW w:w="424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sz w:val="21"/>
                <w:szCs w:val="21"/>
              </w:rPr>
              <w:t>北京电影学院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7"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sz w:val="21"/>
                <w:szCs w:val="21"/>
              </w:rPr>
              <w:t>罗祯烨</w:t>
            </w:r>
          </w:p>
        </w:tc>
        <w:tc>
          <w:tcPr>
            <w:tcW w:w="1839"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kern w:val="0"/>
                <w:sz w:val="21"/>
                <w:szCs w:val="21"/>
              </w:rPr>
            </w:pPr>
            <w:r>
              <w:rPr>
                <w:kern w:val="0"/>
                <w:sz w:val="21"/>
                <w:szCs w:val="21"/>
              </w:rPr>
              <w:t>2018级2班</w:t>
            </w:r>
          </w:p>
        </w:tc>
        <w:tc>
          <w:tcPr>
            <w:tcW w:w="424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sz w:val="21"/>
                <w:szCs w:val="21"/>
              </w:rPr>
              <w:t>日本广岛大学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7"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sz w:val="21"/>
                <w:szCs w:val="21"/>
              </w:rPr>
              <w:t>韩庆钊</w:t>
            </w:r>
          </w:p>
        </w:tc>
        <w:tc>
          <w:tcPr>
            <w:tcW w:w="1839"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kern w:val="0"/>
                <w:sz w:val="21"/>
                <w:szCs w:val="21"/>
              </w:rPr>
            </w:pPr>
            <w:r>
              <w:rPr>
                <w:kern w:val="0"/>
                <w:sz w:val="21"/>
                <w:szCs w:val="21"/>
              </w:rPr>
              <w:t>2018级2班</w:t>
            </w:r>
          </w:p>
        </w:tc>
        <w:tc>
          <w:tcPr>
            <w:tcW w:w="424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sz w:val="21"/>
                <w:szCs w:val="21"/>
              </w:rPr>
              <w:t>日本九州外语学院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7"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sz w:val="21"/>
                <w:szCs w:val="21"/>
              </w:rPr>
              <w:t>李浩然</w:t>
            </w:r>
          </w:p>
        </w:tc>
        <w:tc>
          <w:tcPr>
            <w:tcW w:w="1839"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kern w:val="0"/>
                <w:sz w:val="21"/>
                <w:szCs w:val="21"/>
              </w:rPr>
            </w:pPr>
            <w:r>
              <w:rPr>
                <w:kern w:val="0"/>
                <w:sz w:val="21"/>
                <w:szCs w:val="21"/>
              </w:rPr>
              <w:t>2018级2班</w:t>
            </w:r>
          </w:p>
        </w:tc>
        <w:tc>
          <w:tcPr>
            <w:tcW w:w="4248"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sz w:val="21"/>
                <w:szCs w:val="21"/>
              </w:rPr>
            </w:pPr>
            <w:r>
              <w:rPr>
                <w:sz w:val="21"/>
                <w:szCs w:val="21"/>
              </w:rPr>
              <w:t>日本九州外语学院</w:t>
            </w:r>
          </w:p>
        </w:tc>
      </w:tr>
    </w:tbl>
    <w:p>
      <w:pPr>
        <w:pStyle w:val="7"/>
        <w:ind w:firstLine="480" w:firstLineChars="200"/>
      </w:pPr>
      <w:r>
        <w:t>2.就业专业对口率</w:t>
      </w:r>
    </w:p>
    <w:p>
      <w:pPr>
        <w:ind w:firstLine="480" w:firstLineChars="200"/>
      </w:pPr>
      <w:r>
        <w:t>毕业生当前所在工作单位或者所从事工作岗位与所学专业对口率较高，有15人从事日语翻译或教学工作，占总毕业生的28.8%。</w:t>
      </w:r>
    </w:p>
    <w:p>
      <w:pPr>
        <w:pStyle w:val="7"/>
        <w:ind w:firstLine="480" w:firstLineChars="200"/>
      </w:pPr>
      <w:r>
        <w:t>3.毕业生发展情况</w:t>
      </w:r>
    </w:p>
    <w:p>
      <w:pPr>
        <w:ind w:firstLine="480" w:firstLineChars="200"/>
      </w:pPr>
      <w:r>
        <w:t>考研率稳定，出国留学人数持续增加。推荐免试研究生均被申请院校直接录取；日资企业也有通过毕业生来校招生。除部分学生考入公务员或事业编、出国外，20%左右的学生进入各类语言培训机构，50%左右的学生进入各级各类企业就职，主要从事内、外贸、管理等工作。</w:t>
      </w:r>
    </w:p>
    <w:p>
      <w:pPr>
        <w:pStyle w:val="7"/>
        <w:ind w:firstLine="480" w:firstLineChars="200"/>
      </w:pPr>
      <w:r>
        <w:t>4.就业单位满意率</w:t>
      </w:r>
    </w:p>
    <w:p>
      <w:pPr>
        <w:ind w:firstLine="480" w:firstLineChars="200"/>
      </w:pPr>
      <w:r>
        <w:t>毕业生就业后爱岗敬业，表现突出，就业单位满意率达96%，受到用人单位好评。</w:t>
      </w:r>
    </w:p>
    <w:p>
      <w:pPr>
        <w:pStyle w:val="7"/>
        <w:ind w:firstLine="480" w:firstLineChars="200"/>
      </w:pPr>
      <w:r>
        <w:t>5.社会对专业的评价</w:t>
      </w:r>
    </w:p>
    <w:p>
      <w:pPr>
        <w:ind w:firstLine="480" w:firstLineChars="200"/>
      </w:pPr>
      <w:r>
        <w:t>通过不同形式和渠道了解到，社会各界对日语专业人才培养情况总体评价高，对日语专业毕业生满意率较高。</w:t>
      </w:r>
    </w:p>
    <w:p>
      <w:pPr>
        <w:pStyle w:val="7"/>
        <w:ind w:firstLine="480" w:firstLineChars="200"/>
      </w:pPr>
      <w:r>
        <w:t>6.学生就读该专业的意愿</w:t>
      </w:r>
    </w:p>
    <w:p>
      <w:pPr>
        <w:ind w:firstLine="480" w:firstLineChars="200"/>
        <w:rPr>
          <w:color w:val="FF0000"/>
        </w:rPr>
      </w:pPr>
      <w:r>
        <w:t>2022级新生共招生57名，2022年日语专业录取分数最高分526分，最低分515分，与山东省高考特殊类型招生控制线518分基本持平，远远高于山东省高考普通类一段分数线444分，且所有学生均为一志愿录取。</w:t>
      </w:r>
    </w:p>
    <w:p>
      <w:pPr>
        <w:pStyle w:val="5"/>
        <w:spacing w:before="93" w:after="93"/>
        <w:ind w:firstLine="560"/>
      </w:pPr>
      <w:r>
        <w:t>六、培养特色</w:t>
      </w:r>
    </w:p>
    <w:p>
      <w:pPr>
        <w:pStyle w:val="7"/>
        <w:ind w:firstLine="480" w:firstLineChars="200"/>
      </w:pPr>
      <w:r>
        <w:t>1.日趋成熟的海外实习基地群助力学生全方面发展</w:t>
      </w:r>
    </w:p>
    <w:p>
      <w:pPr>
        <w:ind w:firstLine="480" w:firstLineChars="200"/>
        <w:rPr>
          <w:szCs w:val="24"/>
        </w:rPr>
      </w:pPr>
      <w:r>
        <w:rPr>
          <w:szCs w:val="24"/>
        </w:rPr>
        <w:t>十余年来，日语系已在日本建立起了参与面广泛、合作学校多样、满足各种层次要求、社会认可度高的海外实习基地群。日益成熟的海外实习基地群为学生的实践和就业提供了广袤平台。2021-2022学年，日语专业突破疫情困扰，先后选派13人赴日实习，名单如下：</w:t>
      </w:r>
    </w:p>
    <w:p>
      <w:pPr>
        <w:spacing w:line="360" w:lineRule="auto"/>
        <w:jc w:val="center"/>
        <w:rPr>
          <w:b/>
          <w:bCs/>
          <w:sz w:val="21"/>
          <w:szCs w:val="21"/>
        </w:rPr>
      </w:pPr>
      <w:r>
        <w:rPr>
          <w:b/>
          <w:bCs/>
          <w:sz w:val="21"/>
          <w:szCs w:val="21"/>
        </w:rPr>
        <w:t>表8  2021-2022学年日语专业学生赴日实习统计表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
        <w:gridCol w:w="1456"/>
        <w:gridCol w:w="1521"/>
        <w:gridCol w:w="2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Align w:val="center"/>
          </w:tcPr>
          <w:p>
            <w:pPr>
              <w:spacing w:line="240" w:lineRule="auto"/>
              <w:jc w:val="center"/>
              <w:rPr>
                <w:b/>
                <w:sz w:val="21"/>
                <w:szCs w:val="21"/>
              </w:rPr>
            </w:pPr>
            <w:r>
              <w:rPr>
                <w:b/>
                <w:sz w:val="21"/>
                <w:szCs w:val="21"/>
              </w:rPr>
              <w:t>序号</w:t>
            </w:r>
          </w:p>
        </w:tc>
        <w:tc>
          <w:tcPr>
            <w:tcW w:w="1456" w:type="dxa"/>
            <w:vAlign w:val="center"/>
          </w:tcPr>
          <w:p>
            <w:pPr>
              <w:spacing w:line="240" w:lineRule="auto"/>
              <w:jc w:val="center"/>
              <w:rPr>
                <w:b/>
                <w:sz w:val="21"/>
                <w:szCs w:val="21"/>
              </w:rPr>
            </w:pPr>
            <w:r>
              <w:rPr>
                <w:b/>
                <w:sz w:val="21"/>
                <w:szCs w:val="21"/>
              </w:rPr>
              <w:t>姓</w:t>
            </w:r>
            <w:r>
              <w:rPr>
                <w:rFonts w:hint="eastAsia"/>
                <w:b/>
                <w:sz w:val="21"/>
                <w:szCs w:val="21"/>
              </w:rPr>
              <w:t xml:space="preserve">  </w:t>
            </w:r>
            <w:r>
              <w:rPr>
                <w:b/>
                <w:sz w:val="21"/>
                <w:szCs w:val="21"/>
              </w:rPr>
              <w:t>名</w:t>
            </w:r>
          </w:p>
        </w:tc>
        <w:tc>
          <w:tcPr>
            <w:tcW w:w="1521" w:type="dxa"/>
            <w:vAlign w:val="center"/>
          </w:tcPr>
          <w:p>
            <w:pPr>
              <w:spacing w:line="240" w:lineRule="auto"/>
              <w:jc w:val="center"/>
              <w:rPr>
                <w:b/>
                <w:sz w:val="21"/>
                <w:szCs w:val="21"/>
              </w:rPr>
            </w:pPr>
            <w:r>
              <w:rPr>
                <w:b/>
                <w:sz w:val="21"/>
                <w:szCs w:val="21"/>
              </w:rPr>
              <w:t>班级</w:t>
            </w:r>
          </w:p>
        </w:tc>
        <w:tc>
          <w:tcPr>
            <w:tcW w:w="2207" w:type="dxa"/>
            <w:vAlign w:val="center"/>
          </w:tcPr>
          <w:p>
            <w:pPr>
              <w:spacing w:line="240" w:lineRule="auto"/>
              <w:jc w:val="center"/>
              <w:rPr>
                <w:b/>
                <w:sz w:val="21"/>
                <w:szCs w:val="21"/>
              </w:rPr>
            </w:pPr>
            <w:r>
              <w:rPr>
                <w:b/>
                <w:sz w:val="21"/>
                <w:szCs w:val="21"/>
              </w:rPr>
              <w:t>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Align w:val="center"/>
          </w:tcPr>
          <w:p>
            <w:pPr>
              <w:spacing w:line="240" w:lineRule="auto"/>
              <w:jc w:val="center"/>
              <w:rPr>
                <w:sz w:val="21"/>
                <w:szCs w:val="21"/>
              </w:rPr>
            </w:pPr>
            <w:r>
              <w:rPr>
                <w:sz w:val="21"/>
                <w:szCs w:val="21"/>
              </w:rPr>
              <w:t>1</w:t>
            </w:r>
          </w:p>
        </w:tc>
        <w:tc>
          <w:tcPr>
            <w:tcW w:w="1456" w:type="dxa"/>
            <w:vAlign w:val="center"/>
          </w:tcPr>
          <w:p>
            <w:pPr>
              <w:spacing w:line="240" w:lineRule="auto"/>
              <w:jc w:val="center"/>
              <w:rPr>
                <w:sz w:val="21"/>
                <w:szCs w:val="21"/>
              </w:rPr>
            </w:pPr>
            <w:r>
              <w:rPr>
                <w:sz w:val="21"/>
                <w:szCs w:val="21"/>
              </w:rPr>
              <w:t>罗祯烨</w:t>
            </w:r>
          </w:p>
        </w:tc>
        <w:tc>
          <w:tcPr>
            <w:tcW w:w="1521" w:type="dxa"/>
            <w:vAlign w:val="center"/>
          </w:tcPr>
          <w:p>
            <w:pPr>
              <w:spacing w:line="240" w:lineRule="auto"/>
              <w:jc w:val="center"/>
              <w:rPr>
                <w:sz w:val="21"/>
                <w:szCs w:val="21"/>
              </w:rPr>
            </w:pPr>
            <w:r>
              <w:rPr>
                <w:sz w:val="21"/>
                <w:szCs w:val="21"/>
              </w:rPr>
              <w:t>2018级2班</w:t>
            </w:r>
          </w:p>
        </w:tc>
        <w:tc>
          <w:tcPr>
            <w:tcW w:w="2207" w:type="dxa"/>
            <w:vAlign w:val="center"/>
          </w:tcPr>
          <w:p>
            <w:pPr>
              <w:spacing w:line="240" w:lineRule="auto"/>
              <w:jc w:val="center"/>
              <w:rPr>
                <w:sz w:val="21"/>
                <w:szCs w:val="21"/>
              </w:rPr>
            </w:pPr>
            <w:r>
              <w:rPr>
                <w:sz w:val="21"/>
                <w:szCs w:val="21"/>
              </w:rPr>
              <w:t>广岛大学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Align w:val="center"/>
          </w:tcPr>
          <w:p>
            <w:pPr>
              <w:spacing w:line="240" w:lineRule="auto"/>
              <w:jc w:val="center"/>
              <w:rPr>
                <w:sz w:val="21"/>
                <w:szCs w:val="21"/>
              </w:rPr>
            </w:pPr>
            <w:r>
              <w:rPr>
                <w:sz w:val="21"/>
                <w:szCs w:val="21"/>
              </w:rPr>
              <w:t>2</w:t>
            </w:r>
          </w:p>
        </w:tc>
        <w:tc>
          <w:tcPr>
            <w:tcW w:w="1456" w:type="dxa"/>
            <w:vAlign w:val="center"/>
          </w:tcPr>
          <w:p>
            <w:pPr>
              <w:spacing w:line="240" w:lineRule="auto"/>
              <w:jc w:val="center"/>
              <w:rPr>
                <w:sz w:val="21"/>
                <w:szCs w:val="21"/>
              </w:rPr>
            </w:pPr>
            <w:r>
              <w:rPr>
                <w:sz w:val="21"/>
                <w:szCs w:val="21"/>
              </w:rPr>
              <w:t>戴佳乐</w:t>
            </w:r>
          </w:p>
        </w:tc>
        <w:tc>
          <w:tcPr>
            <w:tcW w:w="1521" w:type="dxa"/>
            <w:vAlign w:val="center"/>
          </w:tcPr>
          <w:p>
            <w:pPr>
              <w:spacing w:line="240" w:lineRule="auto"/>
              <w:jc w:val="center"/>
              <w:rPr>
                <w:sz w:val="21"/>
                <w:szCs w:val="21"/>
              </w:rPr>
            </w:pPr>
            <w:r>
              <w:rPr>
                <w:sz w:val="21"/>
                <w:szCs w:val="21"/>
              </w:rPr>
              <w:t>2019级2班</w:t>
            </w:r>
          </w:p>
        </w:tc>
        <w:tc>
          <w:tcPr>
            <w:tcW w:w="2207" w:type="dxa"/>
            <w:vAlign w:val="center"/>
          </w:tcPr>
          <w:p>
            <w:pPr>
              <w:spacing w:line="240" w:lineRule="auto"/>
              <w:jc w:val="center"/>
              <w:rPr>
                <w:sz w:val="21"/>
                <w:szCs w:val="21"/>
              </w:rPr>
            </w:pPr>
            <w:r>
              <w:rPr>
                <w:sz w:val="21"/>
                <w:szCs w:val="21"/>
              </w:rPr>
              <w:t>广岛大学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Align w:val="center"/>
          </w:tcPr>
          <w:p>
            <w:pPr>
              <w:spacing w:line="240" w:lineRule="auto"/>
              <w:jc w:val="center"/>
              <w:rPr>
                <w:sz w:val="21"/>
                <w:szCs w:val="21"/>
              </w:rPr>
            </w:pPr>
            <w:r>
              <w:rPr>
                <w:sz w:val="21"/>
                <w:szCs w:val="21"/>
              </w:rPr>
              <w:t>3</w:t>
            </w:r>
          </w:p>
        </w:tc>
        <w:tc>
          <w:tcPr>
            <w:tcW w:w="1456" w:type="dxa"/>
            <w:vAlign w:val="center"/>
          </w:tcPr>
          <w:p>
            <w:pPr>
              <w:spacing w:line="240" w:lineRule="auto"/>
              <w:jc w:val="center"/>
              <w:rPr>
                <w:sz w:val="21"/>
                <w:szCs w:val="21"/>
              </w:rPr>
            </w:pPr>
            <w:r>
              <w:rPr>
                <w:sz w:val="21"/>
                <w:szCs w:val="21"/>
              </w:rPr>
              <w:t>韩庆钊</w:t>
            </w:r>
          </w:p>
        </w:tc>
        <w:tc>
          <w:tcPr>
            <w:tcW w:w="1521" w:type="dxa"/>
            <w:vAlign w:val="center"/>
          </w:tcPr>
          <w:p>
            <w:pPr>
              <w:spacing w:line="240" w:lineRule="auto"/>
              <w:jc w:val="center"/>
              <w:rPr>
                <w:sz w:val="21"/>
                <w:szCs w:val="21"/>
              </w:rPr>
            </w:pPr>
            <w:r>
              <w:rPr>
                <w:sz w:val="21"/>
                <w:szCs w:val="21"/>
              </w:rPr>
              <w:t>2018级2班</w:t>
            </w:r>
          </w:p>
        </w:tc>
        <w:tc>
          <w:tcPr>
            <w:tcW w:w="2207" w:type="dxa"/>
            <w:vAlign w:val="center"/>
          </w:tcPr>
          <w:p>
            <w:pPr>
              <w:spacing w:line="240" w:lineRule="auto"/>
              <w:jc w:val="center"/>
              <w:rPr>
                <w:sz w:val="21"/>
                <w:szCs w:val="21"/>
              </w:rPr>
            </w:pPr>
            <w:r>
              <w:rPr>
                <w:sz w:val="21"/>
                <w:szCs w:val="21"/>
              </w:rPr>
              <w:t>九州外语学院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Align w:val="center"/>
          </w:tcPr>
          <w:p>
            <w:pPr>
              <w:spacing w:line="240" w:lineRule="auto"/>
              <w:jc w:val="center"/>
              <w:rPr>
                <w:sz w:val="21"/>
                <w:szCs w:val="21"/>
              </w:rPr>
            </w:pPr>
            <w:r>
              <w:rPr>
                <w:sz w:val="21"/>
                <w:szCs w:val="21"/>
              </w:rPr>
              <w:t>4</w:t>
            </w:r>
          </w:p>
        </w:tc>
        <w:tc>
          <w:tcPr>
            <w:tcW w:w="1456" w:type="dxa"/>
            <w:vAlign w:val="center"/>
          </w:tcPr>
          <w:p>
            <w:pPr>
              <w:spacing w:line="240" w:lineRule="auto"/>
              <w:jc w:val="center"/>
              <w:rPr>
                <w:sz w:val="21"/>
                <w:szCs w:val="21"/>
              </w:rPr>
            </w:pPr>
            <w:r>
              <w:rPr>
                <w:sz w:val="21"/>
                <w:szCs w:val="21"/>
              </w:rPr>
              <w:t>李浩然</w:t>
            </w:r>
          </w:p>
        </w:tc>
        <w:tc>
          <w:tcPr>
            <w:tcW w:w="1521" w:type="dxa"/>
            <w:vAlign w:val="center"/>
          </w:tcPr>
          <w:p>
            <w:pPr>
              <w:spacing w:line="240" w:lineRule="auto"/>
              <w:jc w:val="center"/>
              <w:rPr>
                <w:sz w:val="21"/>
                <w:szCs w:val="21"/>
              </w:rPr>
            </w:pPr>
            <w:r>
              <w:rPr>
                <w:sz w:val="21"/>
                <w:szCs w:val="21"/>
              </w:rPr>
              <w:t>2018级2班</w:t>
            </w:r>
          </w:p>
        </w:tc>
        <w:tc>
          <w:tcPr>
            <w:tcW w:w="2207" w:type="dxa"/>
            <w:vAlign w:val="center"/>
          </w:tcPr>
          <w:p>
            <w:pPr>
              <w:spacing w:line="240" w:lineRule="auto"/>
              <w:jc w:val="center"/>
              <w:rPr>
                <w:sz w:val="21"/>
                <w:szCs w:val="21"/>
              </w:rPr>
            </w:pPr>
            <w:r>
              <w:rPr>
                <w:sz w:val="21"/>
                <w:szCs w:val="21"/>
              </w:rPr>
              <w:t>九州外语学院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Align w:val="center"/>
          </w:tcPr>
          <w:p>
            <w:pPr>
              <w:spacing w:line="240" w:lineRule="auto"/>
              <w:jc w:val="center"/>
              <w:rPr>
                <w:sz w:val="21"/>
                <w:szCs w:val="21"/>
              </w:rPr>
            </w:pPr>
            <w:r>
              <w:rPr>
                <w:sz w:val="21"/>
                <w:szCs w:val="21"/>
              </w:rPr>
              <w:t>5</w:t>
            </w:r>
          </w:p>
        </w:tc>
        <w:tc>
          <w:tcPr>
            <w:tcW w:w="1456" w:type="dxa"/>
            <w:vAlign w:val="center"/>
          </w:tcPr>
          <w:p>
            <w:pPr>
              <w:spacing w:line="240" w:lineRule="auto"/>
              <w:jc w:val="center"/>
              <w:rPr>
                <w:sz w:val="21"/>
                <w:szCs w:val="21"/>
              </w:rPr>
            </w:pPr>
            <w:r>
              <w:rPr>
                <w:sz w:val="21"/>
                <w:szCs w:val="21"/>
              </w:rPr>
              <w:t>赵彩旭</w:t>
            </w:r>
          </w:p>
        </w:tc>
        <w:tc>
          <w:tcPr>
            <w:tcW w:w="1521" w:type="dxa"/>
            <w:vAlign w:val="center"/>
          </w:tcPr>
          <w:p>
            <w:pPr>
              <w:spacing w:line="240" w:lineRule="auto"/>
              <w:jc w:val="center"/>
              <w:rPr>
                <w:sz w:val="21"/>
                <w:szCs w:val="21"/>
              </w:rPr>
            </w:pPr>
            <w:r>
              <w:rPr>
                <w:sz w:val="21"/>
                <w:szCs w:val="21"/>
              </w:rPr>
              <w:t>2019级2班</w:t>
            </w:r>
          </w:p>
        </w:tc>
        <w:tc>
          <w:tcPr>
            <w:tcW w:w="2207" w:type="dxa"/>
            <w:vAlign w:val="center"/>
          </w:tcPr>
          <w:p>
            <w:pPr>
              <w:spacing w:line="240" w:lineRule="auto"/>
              <w:jc w:val="center"/>
              <w:rPr>
                <w:sz w:val="21"/>
                <w:szCs w:val="21"/>
              </w:rPr>
            </w:pPr>
            <w:r>
              <w:rPr>
                <w:sz w:val="21"/>
                <w:szCs w:val="21"/>
              </w:rPr>
              <w:t>九州外语学院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Align w:val="center"/>
          </w:tcPr>
          <w:p>
            <w:pPr>
              <w:spacing w:line="240" w:lineRule="auto"/>
              <w:jc w:val="center"/>
              <w:rPr>
                <w:sz w:val="21"/>
                <w:szCs w:val="21"/>
              </w:rPr>
            </w:pPr>
            <w:r>
              <w:rPr>
                <w:sz w:val="21"/>
                <w:szCs w:val="21"/>
              </w:rPr>
              <w:t>6</w:t>
            </w:r>
          </w:p>
        </w:tc>
        <w:tc>
          <w:tcPr>
            <w:tcW w:w="1456" w:type="dxa"/>
            <w:vAlign w:val="center"/>
          </w:tcPr>
          <w:p>
            <w:pPr>
              <w:spacing w:line="240" w:lineRule="auto"/>
              <w:jc w:val="center"/>
              <w:rPr>
                <w:sz w:val="21"/>
                <w:szCs w:val="21"/>
              </w:rPr>
            </w:pPr>
            <w:r>
              <w:rPr>
                <w:sz w:val="21"/>
                <w:szCs w:val="21"/>
              </w:rPr>
              <w:t>张喻涵</w:t>
            </w:r>
          </w:p>
        </w:tc>
        <w:tc>
          <w:tcPr>
            <w:tcW w:w="1521" w:type="dxa"/>
            <w:vAlign w:val="center"/>
          </w:tcPr>
          <w:p>
            <w:pPr>
              <w:spacing w:line="240" w:lineRule="auto"/>
              <w:jc w:val="center"/>
              <w:rPr>
                <w:sz w:val="21"/>
                <w:szCs w:val="21"/>
              </w:rPr>
            </w:pPr>
            <w:r>
              <w:rPr>
                <w:sz w:val="21"/>
                <w:szCs w:val="21"/>
              </w:rPr>
              <w:t>2019级2班</w:t>
            </w:r>
          </w:p>
        </w:tc>
        <w:tc>
          <w:tcPr>
            <w:tcW w:w="2207" w:type="dxa"/>
            <w:vAlign w:val="center"/>
          </w:tcPr>
          <w:p>
            <w:pPr>
              <w:spacing w:line="240" w:lineRule="auto"/>
              <w:jc w:val="center"/>
              <w:rPr>
                <w:sz w:val="21"/>
                <w:szCs w:val="21"/>
              </w:rPr>
            </w:pPr>
            <w:r>
              <w:rPr>
                <w:sz w:val="21"/>
                <w:szCs w:val="21"/>
              </w:rPr>
              <w:t>九州外语学院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Align w:val="center"/>
          </w:tcPr>
          <w:p>
            <w:pPr>
              <w:spacing w:line="240" w:lineRule="auto"/>
              <w:jc w:val="center"/>
              <w:rPr>
                <w:sz w:val="21"/>
                <w:szCs w:val="21"/>
              </w:rPr>
            </w:pPr>
            <w:r>
              <w:rPr>
                <w:sz w:val="21"/>
                <w:szCs w:val="21"/>
              </w:rPr>
              <w:t>7</w:t>
            </w:r>
          </w:p>
        </w:tc>
        <w:tc>
          <w:tcPr>
            <w:tcW w:w="1456" w:type="dxa"/>
            <w:vAlign w:val="center"/>
          </w:tcPr>
          <w:p>
            <w:pPr>
              <w:spacing w:line="240" w:lineRule="auto"/>
              <w:jc w:val="center"/>
              <w:rPr>
                <w:sz w:val="21"/>
                <w:szCs w:val="21"/>
              </w:rPr>
            </w:pPr>
            <w:r>
              <w:rPr>
                <w:sz w:val="21"/>
                <w:szCs w:val="21"/>
              </w:rPr>
              <w:t>徐康龙</w:t>
            </w:r>
          </w:p>
        </w:tc>
        <w:tc>
          <w:tcPr>
            <w:tcW w:w="1521" w:type="dxa"/>
            <w:vAlign w:val="center"/>
          </w:tcPr>
          <w:p>
            <w:pPr>
              <w:spacing w:line="240" w:lineRule="auto"/>
              <w:jc w:val="center"/>
              <w:rPr>
                <w:sz w:val="21"/>
                <w:szCs w:val="21"/>
              </w:rPr>
            </w:pPr>
            <w:r>
              <w:rPr>
                <w:sz w:val="21"/>
                <w:szCs w:val="21"/>
              </w:rPr>
              <w:t>2019级1班</w:t>
            </w:r>
          </w:p>
        </w:tc>
        <w:tc>
          <w:tcPr>
            <w:tcW w:w="2207" w:type="dxa"/>
            <w:vAlign w:val="center"/>
          </w:tcPr>
          <w:p>
            <w:pPr>
              <w:spacing w:line="240" w:lineRule="auto"/>
              <w:jc w:val="center"/>
              <w:rPr>
                <w:sz w:val="21"/>
                <w:szCs w:val="21"/>
              </w:rPr>
            </w:pPr>
            <w:r>
              <w:rPr>
                <w:sz w:val="21"/>
                <w:szCs w:val="21"/>
              </w:rPr>
              <w:t>山口大学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Align w:val="center"/>
          </w:tcPr>
          <w:p>
            <w:pPr>
              <w:spacing w:line="240" w:lineRule="auto"/>
              <w:jc w:val="center"/>
              <w:rPr>
                <w:sz w:val="21"/>
                <w:szCs w:val="21"/>
              </w:rPr>
            </w:pPr>
            <w:r>
              <w:rPr>
                <w:sz w:val="21"/>
                <w:szCs w:val="21"/>
              </w:rPr>
              <w:t>8</w:t>
            </w:r>
          </w:p>
        </w:tc>
        <w:tc>
          <w:tcPr>
            <w:tcW w:w="1456" w:type="dxa"/>
            <w:vAlign w:val="center"/>
          </w:tcPr>
          <w:p>
            <w:pPr>
              <w:spacing w:line="240" w:lineRule="auto"/>
              <w:jc w:val="center"/>
              <w:rPr>
                <w:sz w:val="21"/>
                <w:szCs w:val="21"/>
              </w:rPr>
            </w:pPr>
            <w:r>
              <w:rPr>
                <w:sz w:val="21"/>
                <w:szCs w:val="21"/>
              </w:rPr>
              <w:t>徐</w:t>
            </w:r>
            <w:r>
              <w:rPr>
                <w:rFonts w:hint="eastAsia"/>
                <w:sz w:val="21"/>
                <w:szCs w:val="21"/>
              </w:rPr>
              <w:t xml:space="preserve">  </w:t>
            </w:r>
            <w:r>
              <w:rPr>
                <w:sz w:val="21"/>
                <w:szCs w:val="21"/>
              </w:rPr>
              <w:t>琳</w:t>
            </w:r>
          </w:p>
        </w:tc>
        <w:tc>
          <w:tcPr>
            <w:tcW w:w="1521" w:type="dxa"/>
            <w:vAlign w:val="center"/>
          </w:tcPr>
          <w:p>
            <w:pPr>
              <w:spacing w:line="240" w:lineRule="auto"/>
              <w:jc w:val="center"/>
              <w:rPr>
                <w:sz w:val="21"/>
                <w:szCs w:val="21"/>
              </w:rPr>
            </w:pPr>
            <w:r>
              <w:rPr>
                <w:sz w:val="21"/>
                <w:szCs w:val="21"/>
              </w:rPr>
              <w:t>2019级1班</w:t>
            </w:r>
          </w:p>
        </w:tc>
        <w:tc>
          <w:tcPr>
            <w:tcW w:w="2207" w:type="dxa"/>
            <w:vAlign w:val="center"/>
          </w:tcPr>
          <w:p>
            <w:pPr>
              <w:spacing w:line="240" w:lineRule="auto"/>
              <w:jc w:val="center"/>
              <w:rPr>
                <w:sz w:val="21"/>
                <w:szCs w:val="21"/>
              </w:rPr>
            </w:pPr>
            <w:r>
              <w:rPr>
                <w:sz w:val="21"/>
                <w:szCs w:val="21"/>
              </w:rPr>
              <w:t>山口大学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Align w:val="center"/>
          </w:tcPr>
          <w:p>
            <w:pPr>
              <w:spacing w:line="240" w:lineRule="auto"/>
              <w:jc w:val="center"/>
              <w:rPr>
                <w:sz w:val="21"/>
                <w:szCs w:val="21"/>
              </w:rPr>
            </w:pPr>
            <w:r>
              <w:rPr>
                <w:sz w:val="21"/>
                <w:szCs w:val="21"/>
              </w:rPr>
              <w:t>9</w:t>
            </w:r>
          </w:p>
        </w:tc>
        <w:tc>
          <w:tcPr>
            <w:tcW w:w="1456" w:type="dxa"/>
            <w:vAlign w:val="center"/>
          </w:tcPr>
          <w:p>
            <w:pPr>
              <w:spacing w:line="240" w:lineRule="auto"/>
              <w:jc w:val="center"/>
              <w:rPr>
                <w:sz w:val="21"/>
                <w:szCs w:val="21"/>
              </w:rPr>
            </w:pPr>
            <w:r>
              <w:rPr>
                <w:sz w:val="21"/>
                <w:szCs w:val="21"/>
              </w:rPr>
              <w:t>孙宜珍</w:t>
            </w:r>
          </w:p>
        </w:tc>
        <w:tc>
          <w:tcPr>
            <w:tcW w:w="1521" w:type="dxa"/>
            <w:vAlign w:val="center"/>
          </w:tcPr>
          <w:p>
            <w:pPr>
              <w:spacing w:line="240" w:lineRule="auto"/>
              <w:jc w:val="center"/>
              <w:rPr>
                <w:sz w:val="21"/>
                <w:szCs w:val="21"/>
              </w:rPr>
            </w:pPr>
            <w:r>
              <w:rPr>
                <w:sz w:val="21"/>
                <w:szCs w:val="21"/>
              </w:rPr>
              <w:t>2019级2班</w:t>
            </w:r>
          </w:p>
        </w:tc>
        <w:tc>
          <w:tcPr>
            <w:tcW w:w="2207" w:type="dxa"/>
            <w:vAlign w:val="center"/>
          </w:tcPr>
          <w:p>
            <w:pPr>
              <w:spacing w:line="240" w:lineRule="auto"/>
              <w:jc w:val="center"/>
              <w:rPr>
                <w:sz w:val="21"/>
                <w:szCs w:val="21"/>
              </w:rPr>
            </w:pPr>
            <w:r>
              <w:rPr>
                <w:sz w:val="21"/>
                <w:szCs w:val="21"/>
              </w:rPr>
              <w:t>山口大学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Align w:val="center"/>
          </w:tcPr>
          <w:p>
            <w:pPr>
              <w:spacing w:line="240" w:lineRule="auto"/>
              <w:jc w:val="center"/>
              <w:rPr>
                <w:sz w:val="21"/>
                <w:szCs w:val="21"/>
              </w:rPr>
            </w:pPr>
            <w:r>
              <w:rPr>
                <w:sz w:val="21"/>
                <w:szCs w:val="21"/>
              </w:rPr>
              <w:t>10</w:t>
            </w:r>
          </w:p>
        </w:tc>
        <w:tc>
          <w:tcPr>
            <w:tcW w:w="1456" w:type="dxa"/>
            <w:vAlign w:val="center"/>
          </w:tcPr>
          <w:p>
            <w:pPr>
              <w:spacing w:line="240" w:lineRule="auto"/>
              <w:jc w:val="center"/>
              <w:rPr>
                <w:sz w:val="21"/>
                <w:szCs w:val="21"/>
              </w:rPr>
            </w:pPr>
            <w:r>
              <w:rPr>
                <w:sz w:val="21"/>
                <w:szCs w:val="21"/>
              </w:rPr>
              <w:t>李雨倩</w:t>
            </w:r>
          </w:p>
        </w:tc>
        <w:tc>
          <w:tcPr>
            <w:tcW w:w="1521" w:type="dxa"/>
            <w:vAlign w:val="center"/>
          </w:tcPr>
          <w:p>
            <w:pPr>
              <w:spacing w:line="240" w:lineRule="auto"/>
              <w:jc w:val="center"/>
              <w:rPr>
                <w:sz w:val="21"/>
                <w:szCs w:val="21"/>
              </w:rPr>
            </w:pPr>
            <w:r>
              <w:rPr>
                <w:sz w:val="21"/>
                <w:szCs w:val="21"/>
              </w:rPr>
              <w:t>2020级2班</w:t>
            </w:r>
          </w:p>
        </w:tc>
        <w:tc>
          <w:tcPr>
            <w:tcW w:w="2207" w:type="dxa"/>
            <w:vAlign w:val="center"/>
          </w:tcPr>
          <w:p>
            <w:pPr>
              <w:spacing w:line="240" w:lineRule="auto"/>
              <w:jc w:val="center"/>
              <w:rPr>
                <w:sz w:val="21"/>
                <w:szCs w:val="21"/>
              </w:rPr>
            </w:pPr>
            <w:r>
              <w:rPr>
                <w:sz w:val="21"/>
                <w:szCs w:val="21"/>
              </w:rPr>
              <w:t>山口大学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Align w:val="center"/>
          </w:tcPr>
          <w:p>
            <w:pPr>
              <w:spacing w:line="240" w:lineRule="auto"/>
              <w:jc w:val="center"/>
              <w:rPr>
                <w:sz w:val="21"/>
                <w:szCs w:val="21"/>
              </w:rPr>
            </w:pPr>
            <w:r>
              <w:rPr>
                <w:sz w:val="21"/>
                <w:szCs w:val="21"/>
              </w:rPr>
              <w:t>11</w:t>
            </w:r>
          </w:p>
        </w:tc>
        <w:tc>
          <w:tcPr>
            <w:tcW w:w="1456" w:type="dxa"/>
            <w:vAlign w:val="center"/>
          </w:tcPr>
          <w:p>
            <w:pPr>
              <w:spacing w:line="240" w:lineRule="auto"/>
              <w:jc w:val="center"/>
              <w:rPr>
                <w:sz w:val="21"/>
                <w:szCs w:val="21"/>
              </w:rPr>
            </w:pPr>
            <w:r>
              <w:rPr>
                <w:sz w:val="21"/>
                <w:szCs w:val="21"/>
              </w:rPr>
              <w:t>陈伊涵</w:t>
            </w:r>
          </w:p>
        </w:tc>
        <w:tc>
          <w:tcPr>
            <w:tcW w:w="1521" w:type="dxa"/>
            <w:vAlign w:val="center"/>
          </w:tcPr>
          <w:p>
            <w:pPr>
              <w:spacing w:line="240" w:lineRule="auto"/>
              <w:jc w:val="center"/>
              <w:rPr>
                <w:sz w:val="21"/>
                <w:szCs w:val="21"/>
              </w:rPr>
            </w:pPr>
            <w:r>
              <w:rPr>
                <w:sz w:val="21"/>
                <w:szCs w:val="21"/>
              </w:rPr>
              <w:t>2020级2班</w:t>
            </w:r>
          </w:p>
        </w:tc>
        <w:tc>
          <w:tcPr>
            <w:tcW w:w="2207" w:type="dxa"/>
            <w:vAlign w:val="center"/>
          </w:tcPr>
          <w:p>
            <w:pPr>
              <w:spacing w:line="240" w:lineRule="auto"/>
              <w:jc w:val="center"/>
              <w:rPr>
                <w:sz w:val="21"/>
                <w:szCs w:val="21"/>
              </w:rPr>
            </w:pPr>
            <w:r>
              <w:rPr>
                <w:sz w:val="21"/>
                <w:szCs w:val="21"/>
              </w:rPr>
              <w:t>山口大学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Align w:val="center"/>
          </w:tcPr>
          <w:p>
            <w:pPr>
              <w:spacing w:line="240" w:lineRule="auto"/>
              <w:jc w:val="center"/>
              <w:rPr>
                <w:sz w:val="21"/>
                <w:szCs w:val="21"/>
              </w:rPr>
            </w:pPr>
            <w:r>
              <w:rPr>
                <w:sz w:val="21"/>
                <w:szCs w:val="21"/>
              </w:rPr>
              <w:t>12</w:t>
            </w:r>
          </w:p>
        </w:tc>
        <w:tc>
          <w:tcPr>
            <w:tcW w:w="1456" w:type="dxa"/>
            <w:vAlign w:val="center"/>
          </w:tcPr>
          <w:p>
            <w:pPr>
              <w:spacing w:line="240" w:lineRule="auto"/>
              <w:jc w:val="center"/>
              <w:rPr>
                <w:sz w:val="21"/>
                <w:szCs w:val="21"/>
              </w:rPr>
            </w:pPr>
            <w:r>
              <w:rPr>
                <w:sz w:val="21"/>
                <w:szCs w:val="21"/>
              </w:rPr>
              <w:t>马晨童</w:t>
            </w:r>
          </w:p>
        </w:tc>
        <w:tc>
          <w:tcPr>
            <w:tcW w:w="1521" w:type="dxa"/>
            <w:vAlign w:val="center"/>
          </w:tcPr>
          <w:p>
            <w:pPr>
              <w:spacing w:line="240" w:lineRule="auto"/>
              <w:jc w:val="center"/>
              <w:rPr>
                <w:sz w:val="21"/>
                <w:szCs w:val="21"/>
              </w:rPr>
            </w:pPr>
            <w:r>
              <w:rPr>
                <w:sz w:val="21"/>
                <w:szCs w:val="21"/>
              </w:rPr>
              <w:t>2020级1班</w:t>
            </w:r>
          </w:p>
        </w:tc>
        <w:tc>
          <w:tcPr>
            <w:tcW w:w="2207" w:type="dxa"/>
            <w:vAlign w:val="center"/>
          </w:tcPr>
          <w:p>
            <w:pPr>
              <w:spacing w:line="240" w:lineRule="auto"/>
              <w:jc w:val="center"/>
              <w:rPr>
                <w:sz w:val="21"/>
                <w:szCs w:val="21"/>
              </w:rPr>
            </w:pPr>
            <w:r>
              <w:rPr>
                <w:sz w:val="21"/>
                <w:szCs w:val="21"/>
              </w:rPr>
              <w:t>山口大学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7" w:type="dxa"/>
            <w:vAlign w:val="center"/>
          </w:tcPr>
          <w:p>
            <w:pPr>
              <w:spacing w:line="240" w:lineRule="auto"/>
              <w:jc w:val="center"/>
              <w:rPr>
                <w:sz w:val="21"/>
                <w:szCs w:val="21"/>
              </w:rPr>
            </w:pPr>
            <w:r>
              <w:rPr>
                <w:sz w:val="21"/>
                <w:szCs w:val="21"/>
              </w:rPr>
              <w:t>13</w:t>
            </w:r>
          </w:p>
        </w:tc>
        <w:tc>
          <w:tcPr>
            <w:tcW w:w="1456" w:type="dxa"/>
            <w:vAlign w:val="center"/>
          </w:tcPr>
          <w:p>
            <w:pPr>
              <w:spacing w:line="240" w:lineRule="auto"/>
              <w:jc w:val="center"/>
              <w:rPr>
                <w:sz w:val="21"/>
                <w:szCs w:val="21"/>
              </w:rPr>
            </w:pPr>
            <w:r>
              <w:rPr>
                <w:sz w:val="21"/>
                <w:szCs w:val="21"/>
              </w:rPr>
              <w:t>刘婧媛</w:t>
            </w:r>
          </w:p>
        </w:tc>
        <w:tc>
          <w:tcPr>
            <w:tcW w:w="1521" w:type="dxa"/>
            <w:vAlign w:val="center"/>
          </w:tcPr>
          <w:p>
            <w:pPr>
              <w:spacing w:line="240" w:lineRule="auto"/>
              <w:jc w:val="center"/>
              <w:rPr>
                <w:sz w:val="21"/>
                <w:szCs w:val="21"/>
              </w:rPr>
            </w:pPr>
            <w:r>
              <w:rPr>
                <w:sz w:val="21"/>
                <w:szCs w:val="21"/>
              </w:rPr>
              <w:t>2020级2班</w:t>
            </w:r>
          </w:p>
        </w:tc>
        <w:tc>
          <w:tcPr>
            <w:tcW w:w="2207" w:type="dxa"/>
            <w:vAlign w:val="center"/>
          </w:tcPr>
          <w:p>
            <w:pPr>
              <w:spacing w:line="240" w:lineRule="auto"/>
              <w:jc w:val="center"/>
              <w:rPr>
                <w:sz w:val="21"/>
                <w:szCs w:val="21"/>
              </w:rPr>
            </w:pPr>
            <w:r>
              <w:rPr>
                <w:sz w:val="21"/>
                <w:szCs w:val="21"/>
              </w:rPr>
              <w:t>山口大学</w:t>
            </w:r>
          </w:p>
        </w:tc>
      </w:tr>
    </w:tbl>
    <w:p>
      <w:pPr>
        <w:ind w:firstLine="480"/>
        <w:rPr>
          <w:szCs w:val="24"/>
        </w:rPr>
      </w:pPr>
      <w:r>
        <w:rPr>
          <w:szCs w:val="24"/>
        </w:rPr>
        <w:t>赴日实习为学生搭建了提升自我的平台。以2018级2班罗祯烨为例，2021年10月通过广岛大学3+1交换留学项目的选拔后，赴日留学一年，并且在2022年10顺利考上了广岛大学日本近代文学专业研究生。在广岛大学实习的过程中，学生接受了系统的专业教育，近距离地感受了国外的文化和生活。因此赴日实习成为日语专业一大亮点，不仅提高了学生的专业水平，更是拓宽了学生思维和视野，助力学生在更广阔的舞台不断提升。</w:t>
      </w:r>
    </w:p>
    <w:p>
      <w:pPr>
        <w:pStyle w:val="7"/>
        <w:ind w:firstLine="480"/>
      </w:pPr>
      <w:r>
        <w:t xml:space="preserve">2. </w:t>
      </w:r>
      <w:r>
        <w:rPr>
          <w:rFonts w:hint="eastAsia"/>
        </w:rPr>
        <w:t>“</w:t>
      </w:r>
      <w:r>
        <w:t>日语+</w:t>
      </w:r>
      <w:r>
        <w:rPr>
          <w:rFonts w:hint="eastAsia"/>
        </w:rPr>
        <w:t>”</w:t>
      </w:r>
      <w:r>
        <w:t>专业型应用型人才培养模式</w:t>
      </w:r>
    </w:p>
    <w:p>
      <w:pPr>
        <w:ind w:firstLine="480"/>
      </w:pPr>
      <w:r>
        <w:t>日语专业坚持走内涵式发展道路，将提高日语本身的综合技能和培养人文素养结合起来，努力培养</w:t>
      </w:r>
      <w:r>
        <w:rPr>
          <w:rFonts w:hint="eastAsia"/>
        </w:rPr>
        <w:t>“</w:t>
      </w:r>
      <w:r>
        <w:t>日语+</w:t>
      </w:r>
      <w:r>
        <w:rPr>
          <w:rFonts w:hint="eastAsia"/>
        </w:rPr>
        <w:t>”</w:t>
      </w:r>
      <w:r>
        <w:t>的专业型应用型人才。结合国家和社会发展需求和本校特色，在扎实的语言技能基础上，打造</w:t>
      </w:r>
      <w:r>
        <w:rPr>
          <w:rFonts w:hint="eastAsia"/>
        </w:rPr>
        <w:t>“</w:t>
      </w:r>
      <w:r>
        <w:t>日语+翻译</w:t>
      </w:r>
      <w:r>
        <w:rPr>
          <w:rFonts w:hint="eastAsia"/>
        </w:rPr>
        <w:t>”</w:t>
      </w:r>
      <w:r>
        <w:t>的应用型人才和</w:t>
      </w:r>
      <w:r>
        <w:rPr>
          <w:rFonts w:hint="eastAsia"/>
        </w:rPr>
        <w:t>“</w:t>
      </w:r>
      <w:r>
        <w:t>日语+语言文学</w:t>
      </w:r>
      <w:r>
        <w:rPr>
          <w:rFonts w:hint="eastAsia"/>
        </w:rPr>
        <w:t>”</w:t>
      </w:r>
      <w:r>
        <w:t>的专业型人才。</w:t>
      </w:r>
    </w:p>
    <w:p>
      <w:pPr>
        <w:ind w:firstLine="480"/>
      </w:pPr>
      <w:r>
        <w:t>为培养</w:t>
      </w:r>
      <w:r>
        <w:rPr>
          <w:rFonts w:hint="eastAsia"/>
        </w:rPr>
        <w:t>“</w:t>
      </w:r>
      <w:r>
        <w:t>日语+翻译</w:t>
      </w:r>
      <w:r>
        <w:rPr>
          <w:rFonts w:hint="eastAsia"/>
        </w:rPr>
        <w:t>”</w:t>
      </w:r>
      <w:r>
        <w:t>的应用型人才，日语专业人才培养方案中在专业核心课设置了笔译和口译课程，又在专业方向课中设置了文学、影视、商务、科技、旅游、新闻、社科翻译和同声传译。既有口译又有笔译，既有翻译技巧的训练又有专业领域的拓展，以求全方位提升学生的翻译专业能力。</w:t>
      </w:r>
    </w:p>
    <w:p>
      <w:pPr>
        <w:ind w:firstLine="480"/>
      </w:pPr>
      <w:r>
        <w:rPr>
          <w:rFonts w:hint="eastAsia"/>
        </w:rPr>
        <w:t>“</w:t>
      </w:r>
      <w:r>
        <w:t>日语+语言文学</w:t>
      </w:r>
      <w:r>
        <w:rPr>
          <w:rFonts w:hint="eastAsia"/>
        </w:rPr>
        <w:t>”</w:t>
      </w:r>
      <w:r>
        <w:t>的专业型人才的培养模式中，日语专业设置了《日本社会文化》、《中日比较文学》、《日语词汇学》、《日汉语言对比研究》、《跨文化交际》、《日本文学概论》、《日本古典文学作品选读》、《日本近现代文学作品选读》、《中日关系史》等课程。这些课程主要讲述日本社会文化概况和研究方法、日本文学理论和研究方法、日语语言学概论和研究方法、日本历史等，既有知识输出又有研究导向，使学生初步拥有学术研究能力，也满足了考研学生的需求。</w:t>
      </w:r>
    </w:p>
    <w:p>
      <w:pPr>
        <w:pStyle w:val="5"/>
        <w:spacing w:before="93" w:after="93"/>
        <w:ind w:firstLine="560"/>
      </w:pPr>
      <w:r>
        <w:t>七、毕业生就业创业</w:t>
      </w:r>
    </w:p>
    <w:p>
      <w:pPr>
        <w:ind w:left="480" w:leftChars="200"/>
        <w:rPr>
          <w:rFonts w:eastAsia="黑体"/>
        </w:rPr>
      </w:pPr>
      <w:r>
        <w:t>1.</w:t>
      </w:r>
      <w:r>
        <w:rPr>
          <w:rFonts w:eastAsia="黑体"/>
        </w:rPr>
        <w:t>学院就业创业平台逐步完善</w:t>
      </w:r>
    </w:p>
    <w:p>
      <w:pPr>
        <w:ind w:firstLine="480"/>
      </w:pPr>
      <w:r>
        <w:t>学院制定了《外国语学院关于进一步推进大学生创新创业工作的实施意见》进一步从机制、体制及平台建设上为学院学生的创新创业活动提供支持和保障。自学院于2015年11月聘请15位泰安市优秀企业家为就业导师并举办2015创业论坛之后，激发了学生的创业热情。</w:t>
      </w:r>
    </w:p>
    <w:p>
      <w:pPr>
        <w:ind w:firstLine="480"/>
      </w:pPr>
      <w:r>
        <w:t>我院鼓励学生积极申报实施创新创业项目参与学院的创新创业教育，比如学院的</w:t>
      </w:r>
      <w:r>
        <w:rPr>
          <w:rFonts w:hint="eastAsia"/>
        </w:rPr>
        <w:t>“</w:t>
      </w:r>
      <w:r>
        <w:t>译客翻译事务所</w:t>
      </w:r>
      <w:r>
        <w:rPr>
          <w:rFonts w:hint="eastAsia"/>
        </w:rPr>
        <w:t>”</w:t>
      </w:r>
      <w:r>
        <w:t>，既锻炼了学生的日语实际操作能力，又为学生就业打下了良好的基础。</w:t>
      </w:r>
    </w:p>
    <w:p>
      <w:pPr>
        <w:ind w:firstLine="480" w:firstLineChars="200"/>
        <w:rPr>
          <w:rFonts w:eastAsia="黑体"/>
        </w:rPr>
      </w:pPr>
      <w:r>
        <w:rPr>
          <w:rFonts w:hint="eastAsia" w:eastAsia="黑体"/>
        </w:rPr>
        <w:t>2.</w:t>
      </w:r>
      <w:r>
        <w:rPr>
          <w:rFonts w:eastAsia="黑体"/>
        </w:rPr>
        <w:t>毕业生就业创业先进事例</w:t>
      </w:r>
    </w:p>
    <w:p>
      <w:pPr>
        <w:ind w:firstLine="480"/>
        <w:rPr>
          <w:rFonts w:eastAsiaTheme="minorEastAsia"/>
        </w:rPr>
      </w:pPr>
      <w:r>
        <w:rPr>
          <w:rFonts w:eastAsiaTheme="minorEastAsia"/>
        </w:rPr>
        <w:t>张志函：2018级1班学生，从自身兴趣和所长出发，大四下学期在浪潮集团实习，毕业斩获多家行业top2公司offer。现在位于北京的科锐国际任职，从事用户运营工作。</w:t>
      </w:r>
    </w:p>
    <w:p>
      <w:pPr>
        <w:ind w:firstLine="480"/>
        <w:rPr>
          <w:rFonts w:eastAsiaTheme="minorEastAsia"/>
        </w:rPr>
      </w:pPr>
      <w:r>
        <w:rPr>
          <w:rFonts w:eastAsiaTheme="minorEastAsia"/>
        </w:rPr>
        <w:t>韩淇：2018级1班学生，借助于大四实习期间获取的信息，就职于中国工商银行，目前任客服经理一职。</w:t>
      </w:r>
    </w:p>
    <w:p>
      <w:pPr>
        <w:ind w:firstLine="480"/>
        <w:rPr>
          <w:rFonts w:eastAsiaTheme="minorEastAsia"/>
        </w:rPr>
      </w:pPr>
      <w:r>
        <w:rPr>
          <w:rFonts w:eastAsiaTheme="minorEastAsia"/>
        </w:rPr>
        <w:t>高婕：2018级1班学生，凭借大三取得的日语教师资格证书，以及大四的教学实习经历，顺利在北京欧亚教育前途出国有限公司就职，目前从事日语教师工作。</w:t>
      </w:r>
    </w:p>
    <w:p>
      <w:pPr>
        <w:ind w:firstLine="480"/>
        <w:rPr>
          <w:rFonts w:eastAsiaTheme="minorEastAsia"/>
        </w:rPr>
      </w:pPr>
      <w:r>
        <w:rPr>
          <w:rFonts w:eastAsiaTheme="minorEastAsia"/>
        </w:rPr>
        <w:t>陈珑：2018级2班学生，大四开始尝试各种职业，曾做过家教、客服、运营以及助理，为今后就职打下了基础。现已在杭州丰亮直播基地就业，从事抖音运营助理。</w:t>
      </w:r>
    </w:p>
    <w:p>
      <w:pPr>
        <w:ind w:firstLine="480"/>
        <w:rPr>
          <w:rFonts w:eastAsiaTheme="minorEastAsia"/>
        </w:rPr>
      </w:pPr>
      <w:r>
        <w:rPr>
          <w:rFonts w:eastAsiaTheme="minorEastAsia"/>
        </w:rPr>
        <w:t>崔文棋：2018级2班学生，借助于大四期间取得的日语教师资格证书，顺利在大圣教育集团就职，目前从事日语教师工作。</w:t>
      </w:r>
    </w:p>
    <w:p>
      <w:pPr>
        <w:ind w:firstLine="480"/>
        <w:rPr>
          <w:rFonts w:eastAsiaTheme="minorEastAsia"/>
        </w:rPr>
      </w:pPr>
      <w:r>
        <w:rPr>
          <w:rFonts w:eastAsiaTheme="minorEastAsia"/>
        </w:rPr>
        <w:t>张亦潇：2018级2班学生，响应国家号召，主动参加支援西部计划，现在青海省西宁市社区工作，自工作至今一直奋战在抗疫一线。</w:t>
      </w:r>
    </w:p>
    <w:p>
      <w:pPr>
        <w:ind w:firstLine="480"/>
        <w:rPr>
          <w:rFonts w:eastAsiaTheme="minorEastAsia"/>
        </w:rPr>
      </w:pPr>
      <w:r>
        <w:rPr>
          <w:rFonts w:eastAsiaTheme="minorEastAsia"/>
        </w:rPr>
        <w:t>孙程峰：2018级2班学生，响应国家号召，主动参加支援西部计划，现在新疆工作。</w:t>
      </w:r>
    </w:p>
    <w:p>
      <w:pPr>
        <w:ind w:firstLine="480"/>
        <w:rPr>
          <w:rFonts w:eastAsiaTheme="minorEastAsia"/>
        </w:rPr>
      </w:pPr>
      <w:r>
        <w:rPr>
          <w:rFonts w:eastAsiaTheme="minorEastAsia"/>
        </w:rPr>
        <w:t>于林功：2018级2班学生，凭借大学期间服兵役的经历和丰富的的社团活动经验，顺利在威海携程就职，目前从事客服工作。</w:t>
      </w:r>
    </w:p>
    <w:p>
      <w:pPr>
        <w:pStyle w:val="5"/>
        <w:spacing w:before="93" w:after="93"/>
        <w:ind w:firstLine="560"/>
      </w:pPr>
      <w:r>
        <w:t>八、专业发展趋势</w:t>
      </w:r>
    </w:p>
    <w:p>
      <w:pPr>
        <w:ind w:firstLine="480"/>
        <w:rPr>
          <w:rFonts w:eastAsiaTheme="minorEastAsia"/>
        </w:rPr>
      </w:pPr>
      <w:r>
        <w:rPr>
          <w:rFonts w:eastAsiaTheme="minorEastAsia"/>
        </w:rPr>
        <w:t>《普通高等学校本科日语专业教学指南》的颁布，为全国日语专业的发展指明了方向和未来发展趋势。</w:t>
      </w:r>
    </w:p>
    <w:p>
      <w:pPr>
        <w:ind w:firstLine="480"/>
        <w:rPr>
          <w:rFonts w:eastAsiaTheme="minorEastAsia"/>
        </w:rPr>
      </w:pPr>
      <w:r>
        <w:rPr>
          <w:rFonts w:eastAsiaTheme="minorEastAsia"/>
        </w:rPr>
        <w:t>日语专业隶属于外国语言文学学科，是我国高等学校人文与社会科学学科的重要组成部分，学科基础包括日语语言、日本文学、日本文化、翻译以及相关日本研究，具有跨学科特点。</w:t>
      </w:r>
    </w:p>
    <w:p>
      <w:pPr>
        <w:ind w:firstLine="480"/>
        <w:rPr>
          <w:rFonts w:eastAsiaTheme="minorEastAsia"/>
        </w:rPr>
      </w:pPr>
      <w:r>
        <w:rPr>
          <w:rFonts w:eastAsiaTheme="minorEastAsia"/>
        </w:rPr>
        <w:t>目前我国日语专业发展趋势呈现复合型和专业型两个特色。我校日语专业结合我校特色和山东省地域特色，逐渐摸索出一条应用型+专业型的发展道路。</w:t>
      </w:r>
    </w:p>
    <w:p>
      <w:pPr>
        <w:ind w:firstLine="480"/>
        <w:rPr>
          <w:rFonts w:eastAsia="黑体"/>
        </w:rPr>
      </w:pPr>
      <w:r>
        <w:rPr>
          <w:rFonts w:eastAsia="黑体"/>
        </w:rPr>
        <w:t>1.应用型发展趋势</w:t>
      </w:r>
    </w:p>
    <w:p>
      <w:pPr>
        <w:ind w:firstLine="480"/>
        <w:rPr>
          <w:rFonts w:eastAsiaTheme="minorEastAsia"/>
        </w:rPr>
      </w:pPr>
      <w:r>
        <w:rPr>
          <w:rFonts w:eastAsiaTheme="minorEastAsia"/>
        </w:rPr>
        <w:t>结合山东省对日贸易的蓬勃发展趋势和日语翻译人才的巨大缺口，依托我校翻译硕士点的建设，规划未来几年着力发展日语专业的翻译方向。比如申请翻译课题、出版翻译专著等。</w:t>
      </w:r>
    </w:p>
    <w:p>
      <w:pPr>
        <w:ind w:firstLine="480"/>
        <w:rPr>
          <w:rFonts w:eastAsia="黑体"/>
        </w:rPr>
      </w:pPr>
      <w:r>
        <w:rPr>
          <w:rFonts w:eastAsia="黑体"/>
        </w:rPr>
        <w:t>2.专业型发展趋势</w:t>
      </w:r>
    </w:p>
    <w:p>
      <w:pPr>
        <w:ind w:firstLine="480"/>
        <w:rPr>
          <w:rFonts w:eastAsiaTheme="minorEastAsia"/>
        </w:rPr>
      </w:pPr>
      <w:r>
        <w:rPr>
          <w:rFonts w:eastAsiaTheme="minorEastAsia"/>
        </w:rPr>
        <w:t>依托博士毕业的教师，未来几年，力争在日本文学、社会文化方向取得长足发展，形成专业特色。</w:t>
      </w:r>
    </w:p>
    <w:p>
      <w:pPr>
        <w:pStyle w:val="5"/>
        <w:spacing w:before="93" w:after="93"/>
        <w:ind w:firstLine="560"/>
      </w:pPr>
      <w:r>
        <w:t>九、人才需求分析</w:t>
      </w:r>
    </w:p>
    <w:p>
      <w:pPr>
        <w:ind w:firstLine="480"/>
        <w:rPr>
          <w:rFonts w:eastAsia="黑体"/>
        </w:rPr>
      </w:pPr>
      <w:r>
        <w:rPr>
          <w:rFonts w:eastAsia="黑体"/>
        </w:rPr>
        <w:t>1.外贸企业需求坚挺。</w:t>
      </w:r>
    </w:p>
    <w:p>
      <w:pPr>
        <w:ind w:firstLine="480"/>
      </w:pPr>
      <w:r>
        <w:rPr>
          <w:szCs w:val="24"/>
        </w:rPr>
        <w:t>中国尤其是山东省与日本经贸合作的强势发展为日语专业发展、日语专业学生就业提供了广阔的前景。依托山东省正着力打造的中日韩经贸合作先行区，山东省与日本的经贸合作正在继续稳步扩大。RECP协定和一带一路的有力推进，也为中日经贸发展带来机遇。因此</w:t>
      </w:r>
      <w:r>
        <w:t>今后山东省乃至全国范围内，日语专业人才的需求必定增加。</w:t>
      </w:r>
    </w:p>
    <w:p>
      <w:pPr>
        <w:ind w:firstLine="480"/>
        <w:rPr>
          <w:rFonts w:eastAsia="黑体"/>
        </w:rPr>
      </w:pPr>
      <w:r>
        <w:rPr>
          <w:rFonts w:eastAsia="黑体"/>
        </w:rPr>
        <w:t>2. 高中日语教师的需求激增。</w:t>
      </w:r>
    </w:p>
    <w:p>
      <w:pPr>
        <w:ind w:firstLine="480"/>
        <w:rPr>
          <w:szCs w:val="24"/>
        </w:rPr>
      </w:pPr>
      <w:r>
        <w:rPr>
          <w:szCs w:val="24"/>
        </w:rPr>
        <w:t>近几年，山东省高中日语教学如火如荼的展开，几乎所有的山东省高中都在开展或即将开展日语课程，都为日语专业的就业提供了巨大机遇。</w:t>
      </w:r>
    </w:p>
    <w:p>
      <w:pPr>
        <w:ind w:firstLine="480"/>
      </w:pPr>
      <w:r>
        <w:rPr>
          <w:rFonts w:eastAsia="黑体"/>
        </w:rPr>
        <w:t>3.电商蓬勃发展带来新机遇。</w:t>
      </w:r>
    </w:p>
    <w:p>
      <w:pPr>
        <w:ind w:firstLine="480"/>
      </w:pPr>
      <w:r>
        <w:t>新冠疫情也带动了跨境电商行业的蓬勃发展，日语系有多名学生在跨境电商行业就业，成为日语系专业发展的新机遇。</w:t>
      </w:r>
    </w:p>
    <w:p>
      <w:pPr>
        <w:ind w:firstLine="480"/>
        <w:rPr>
          <w:rFonts w:eastAsia="仿宋_GB2312"/>
        </w:rPr>
      </w:pPr>
      <w:r>
        <w:t>总之，现在国际交流日益频繁，日语专业学生就业途径增多。通过加强对日语专业办学国家标准和行业标准的解读，制定能够体现我校特色的学校标准，便能使学生的培养更好地满足社会需求。</w:t>
      </w:r>
    </w:p>
    <w:p>
      <w:pPr>
        <w:pStyle w:val="6"/>
        <w:ind w:firstLine="480"/>
      </w:pPr>
      <w:r>
        <w:t>十、存在的问题和拟采取的对策措施</w:t>
      </w:r>
    </w:p>
    <w:p>
      <w:pPr>
        <w:ind w:firstLine="480"/>
      </w:pPr>
      <w:r>
        <w:t>经过十余年的建设，日语专业取得了上述成绩，但依然存在一些问题与不足：</w:t>
      </w:r>
    </w:p>
    <w:p>
      <w:pPr>
        <w:pStyle w:val="7"/>
        <w:ind w:firstLine="480"/>
      </w:pPr>
      <w:r>
        <w:t xml:space="preserve">（一）存在的问题 </w:t>
      </w:r>
    </w:p>
    <w:p>
      <w:pPr>
        <w:tabs>
          <w:tab w:val="left" w:pos="312"/>
        </w:tabs>
        <w:ind w:left="480"/>
      </w:pPr>
      <w:r>
        <w:rPr>
          <w:rFonts w:eastAsia="黑体"/>
        </w:rPr>
        <w:t>1. 精品课程建设滞后</w:t>
      </w:r>
    </w:p>
    <w:p>
      <w:pPr>
        <w:ind w:firstLine="480"/>
      </w:pPr>
      <w:r>
        <w:t>课程建设方面，至今未形成一门省级以上的精品课程。今后可以将两者结合起来，一方面引进实习基地，另一方面在实践教学的精品课程上多摸索。</w:t>
      </w:r>
    </w:p>
    <w:p>
      <w:pPr>
        <w:tabs>
          <w:tab w:val="left" w:pos="312"/>
        </w:tabs>
        <w:ind w:left="480"/>
        <w:rPr>
          <w:rFonts w:eastAsia="黑体"/>
        </w:rPr>
      </w:pPr>
      <w:r>
        <w:rPr>
          <w:rFonts w:eastAsia="黑体"/>
        </w:rPr>
        <w:t>2. 课程思政建设较薄弱</w:t>
      </w:r>
    </w:p>
    <w:p>
      <w:pPr>
        <w:ind w:firstLine="480"/>
      </w:pPr>
      <w:r>
        <w:t>日语专业现在没有一门校级课程思政教研项目。所有教师应该认真思考如何用日语讲好当代中国故事，如何在课程教学中无缝穿插课程思政。</w:t>
      </w:r>
    </w:p>
    <w:p>
      <w:pPr>
        <w:ind w:firstLine="480"/>
        <w:rPr>
          <w:rFonts w:eastAsia="黑体"/>
        </w:rPr>
      </w:pPr>
      <w:r>
        <w:rPr>
          <w:rFonts w:eastAsia="黑体"/>
        </w:rPr>
        <w:t>3. 实践教学有待新思路</w:t>
      </w:r>
    </w:p>
    <w:p>
      <w:pPr>
        <w:ind w:firstLine="480"/>
      </w:pPr>
      <w:r>
        <w:t>近几年受疫情影响，实践教学难以开展，比如无法去企业实习、赴日实习难以开展。如何在疫情背景下，创新思维、开拓新路子，成为目前亟待解决的问题。</w:t>
      </w:r>
    </w:p>
    <w:p>
      <w:pPr>
        <w:ind w:firstLine="480"/>
        <w:rPr>
          <w:rFonts w:eastAsia="黑体"/>
        </w:rPr>
      </w:pPr>
      <w:r>
        <w:rPr>
          <w:rFonts w:eastAsia="黑体"/>
        </w:rPr>
        <w:t>4. 考研率停滞不前</w:t>
      </w:r>
    </w:p>
    <w:p>
      <w:pPr>
        <w:ind w:firstLine="480"/>
      </w:pPr>
      <w:r>
        <w:t>与我校其他专业相比，近些年日语专业的考研率较低，考取的学校水平也较往年略有下降。虽与近年来国内考研形势有关，但也体现了近些年学生报考的盲目性、学习水平下降、教师指导不力等问题。</w:t>
      </w:r>
    </w:p>
    <w:p>
      <w:pPr>
        <w:ind w:firstLine="480"/>
      </w:pPr>
      <w:r>
        <w:rPr>
          <w:rFonts w:eastAsia="黑体"/>
        </w:rPr>
        <w:t>5. 教师科研水平有待提高</w:t>
      </w:r>
    </w:p>
    <w:p>
      <w:pPr>
        <w:ind w:firstLine="480"/>
      </w:pPr>
      <w:r>
        <w:t>日语系至今未形成固定的科研团队，每位教师的研究课题分散独立，缺乏科研上的领军人物。</w:t>
      </w:r>
    </w:p>
    <w:p>
      <w:pPr>
        <w:pStyle w:val="7"/>
        <w:ind w:firstLine="480"/>
      </w:pPr>
      <w:r>
        <w:t>（二）对策措施</w:t>
      </w:r>
    </w:p>
    <w:p>
      <w:pPr>
        <w:ind w:left="480"/>
        <w:rPr>
          <w:rFonts w:eastAsia="黑体"/>
        </w:rPr>
      </w:pPr>
      <w:r>
        <w:rPr>
          <w:rFonts w:eastAsia="黑体"/>
        </w:rPr>
        <w:t>1. 建设实践教学精品课程</w:t>
      </w:r>
    </w:p>
    <w:p>
      <w:pPr>
        <w:ind w:firstLine="480" w:firstLineChars="200"/>
      </w:pPr>
      <w:r>
        <w:t>抓住现在的金课建设、一流课程建设的机遇，积极运用雨课堂、慕课等先进的教学手段和教学平台，选取一至两门实践课程，集合全系教师之力，努力打造一至两门精品课程。力争在近几年内，从校级精品课做起，逐渐做强做大，冲击省级乃至国家级精品课程。</w:t>
      </w:r>
    </w:p>
    <w:p>
      <w:pPr>
        <w:tabs>
          <w:tab w:val="left" w:pos="312"/>
        </w:tabs>
        <w:ind w:firstLine="480" w:firstLineChars="200"/>
        <w:rPr>
          <w:rFonts w:eastAsia="黑体"/>
        </w:rPr>
      </w:pPr>
      <w:r>
        <w:rPr>
          <w:rFonts w:eastAsia="黑体"/>
        </w:rPr>
        <w:t>2. 认真学习习近平新时代中国特色社会主义思想的核心要义，上好</w:t>
      </w:r>
      <w:r>
        <w:rPr>
          <w:rFonts w:hint="eastAsia" w:eastAsia="黑体"/>
        </w:rPr>
        <w:t>“</w:t>
      </w:r>
      <w:r>
        <w:rPr>
          <w:rFonts w:eastAsia="黑体"/>
        </w:rPr>
        <w:t>理解当代中国</w:t>
      </w:r>
      <w:r>
        <w:rPr>
          <w:rFonts w:hint="eastAsia" w:eastAsia="黑体"/>
        </w:rPr>
        <w:t>”</w:t>
      </w:r>
      <w:r>
        <w:rPr>
          <w:rFonts w:eastAsia="黑体"/>
        </w:rPr>
        <w:t>系列课程</w:t>
      </w:r>
    </w:p>
    <w:p>
      <w:pPr>
        <w:ind w:firstLine="480" w:firstLineChars="200"/>
      </w:pPr>
      <w:r>
        <w:t>2022年8月，《理解当代中国》系列教材正式出版并走入了高校外语专业课堂，日语专业的任课教师相继参加了外研社举办的教师培训和虚拟教研室。未来应该系统学习并深刻理解《理解当代中国》系列教材，以上好这一系列课程，引导学生深入领会习近平新时代中国特色社会主义思想的核心要义，学会用中国理论分析当代中国的发展和成就，并能从跨文化视角阐释中国道路和中国智慧。</w:t>
      </w:r>
    </w:p>
    <w:p>
      <w:pPr>
        <w:ind w:firstLine="480" w:firstLineChars="200"/>
      </w:pPr>
      <w:r>
        <w:t xml:space="preserve">3. </w:t>
      </w:r>
      <w:r>
        <w:rPr>
          <w:rFonts w:eastAsia="黑体"/>
        </w:rPr>
        <w:t>创新实践教学形式。</w:t>
      </w:r>
    </w:p>
    <w:p>
      <w:pPr>
        <w:ind w:firstLine="480" w:firstLineChars="200"/>
      </w:pPr>
      <w:r>
        <w:t>未来将进一步关注学生对实践教学的多层次需求，既要利用友好学校等途径让学生在读期间获得交换留学机会，又要增开1-2处升学型、社会文化体验型、就业型海外实习基地。</w:t>
      </w:r>
    </w:p>
    <w:p>
      <w:pPr>
        <w:ind w:firstLine="480" w:firstLineChars="200"/>
      </w:pPr>
      <w:r>
        <w:t>在疫情背景下，利用线上实习、云平台等形式，创新实践教学思路。比如有大四学生线上参与了《人民中国》杂志社的线上翻译实习，足不出户就获得了珍贵的日语实践机会，并得到专家点评，收获颇丰。</w:t>
      </w:r>
    </w:p>
    <w:p>
      <w:pPr>
        <w:ind w:firstLine="480" w:firstLineChars="200"/>
        <w:rPr>
          <w:rFonts w:eastAsia="黑体"/>
        </w:rPr>
      </w:pPr>
      <w:r>
        <w:rPr>
          <w:rFonts w:eastAsia="黑体"/>
        </w:rPr>
        <w:t>4. 贴心全程指导学生考研。</w:t>
      </w:r>
    </w:p>
    <w:p>
      <w:pPr>
        <w:ind w:firstLine="480" w:firstLineChars="200"/>
      </w:pPr>
      <w:r>
        <w:t>从确立考研目标，到习题讲解等，引导教师在大学四年期间贴身指导学生考研。</w:t>
      </w:r>
    </w:p>
    <w:p>
      <w:pPr>
        <w:ind w:firstLine="480" w:firstLineChars="200"/>
      </w:pPr>
      <w:r>
        <w:rPr>
          <w:rFonts w:eastAsia="黑体"/>
        </w:rPr>
        <w:t>5. 进一步提高教师科研水平。</w:t>
      </w:r>
    </w:p>
    <w:p>
      <w:pPr>
        <w:ind w:firstLine="480" w:firstLineChars="200"/>
      </w:pPr>
      <w:r>
        <w:t>鼓励教师在职考博、国内或国外访学、进修，提高学术水平、扩展学术视野。鼓励并支持教师申报高级别的科研项目，近几年日语系教师在课题申报上取得显著进步，但还缺乏国家社科、教育部等高水平科研项目。今后要乘着学校和学院飞速发展的巨大机遇，努力提高教师申报项目的水平。</w:t>
      </w:r>
    </w:p>
    <w:p>
      <w:r>
        <w:br w:type="page"/>
      </w:r>
    </w:p>
    <w:p>
      <w:pPr>
        <w:pStyle w:val="4"/>
        <w:ind w:firstLine="600"/>
      </w:pPr>
      <w:bookmarkStart w:id="529" w:name="_Toc25513"/>
      <w:bookmarkStart w:id="530" w:name="_Toc20782"/>
      <w:r>
        <w:t>专业</w:t>
      </w:r>
      <w:r>
        <w:rPr>
          <w:rFonts w:hint="eastAsia"/>
          <w:lang w:val="en-US"/>
        </w:rPr>
        <w:t>五十三</w:t>
      </w:r>
      <w:r>
        <w:t>：商务英语</w:t>
      </w:r>
      <w:bookmarkEnd w:id="529"/>
      <w:bookmarkEnd w:id="530"/>
      <w:bookmarkStart w:id="531" w:name="_Toc17231"/>
    </w:p>
    <w:p>
      <w:pPr>
        <w:pStyle w:val="5"/>
        <w:spacing w:before="93" w:after="93"/>
        <w:ind w:firstLine="560"/>
      </w:pPr>
      <w:r>
        <w:t>一、培养目标</w:t>
      </w:r>
      <w:bookmarkEnd w:id="531"/>
    </w:p>
    <w:p>
      <w:pPr>
        <w:ind w:firstLine="480"/>
      </w:pPr>
      <w:bookmarkStart w:id="532" w:name="_Toc29585"/>
      <w:r>
        <w:t>商务英语旨在培养具有过硬政治素养和扎实的英语基本功、宽阔的国际视野、较强的国际商务知识与技能，掌握经济、管理和法学等学科相关知识和理论，了解国际商务活动规则，具备较高的人文素养和跨文化商务交际能力，能用英语从事商务、经贸、管理、外事等工作的高素质、复合型、应用型商务英语人才，特别是能够在农业涉外企业中从事跨国经营管理和农产品国际贸易的商务英语高素质复合型创新型人才。</w:t>
      </w:r>
    </w:p>
    <w:p>
      <w:pPr>
        <w:ind w:firstLine="480"/>
      </w:pPr>
      <w:r>
        <w:t>本专业毕业生经过5年左右的职业历练，将达成以下培养目标：</w:t>
      </w:r>
    </w:p>
    <w:p>
      <w:pPr>
        <w:ind w:firstLine="480"/>
      </w:pPr>
      <w:r>
        <w:t>（一）素质目标：具有高尚的品德、良好的政治素养，良好的人文与科学素养，兼具中国情怀与国际视野、具有强烈的社会责任感以及职业道德；</w:t>
      </w:r>
    </w:p>
    <w:p>
      <w:pPr>
        <w:ind w:firstLine="480"/>
      </w:pPr>
      <w:r>
        <w:t>1．良好的政治素质、品德修养及职业道德；</w:t>
      </w:r>
    </w:p>
    <w:p>
      <w:pPr>
        <w:ind w:firstLine="480"/>
      </w:pPr>
      <w:r>
        <w:t>2. 良好的人文素养及科学素养；</w:t>
      </w:r>
    </w:p>
    <w:p>
      <w:pPr>
        <w:ind w:firstLine="480"/>
      </w:pPr>
      <w:r>
        <w:t>（二）知识目标：具备扎实英语语言基本功和语言应用能力、广泛的商务知识及经济学、管理学、法学以及互联网信息技术知识；掌握国际商务的基础理论与实务；</w:t>
      </w:r>
    </w:p>
    <w:p>
      <w:pPr>
        <w:ind w:firstLine="480"/>
      </w:pPr>
      <w:r>
        <w:t>3. 扎实的英语听说读写译的语言功底；</w:t>
      </w:r>
    </w:p>
    <w:p>
      <w:pPr>
        <w:ind w:firstLine="480"/>
      </w:pPr>
      <w:r>
        <w:t>4. 广泛的经、管、法等商务知识及并掌握贸易理论和实务；</w:t>
      </w:r>
    </w:p>
    <w:p>
      <w:pPr>
        <w:ind w:firstLine="480"/>
      </w:pPr>
      <w:r>
        <w:t>（三）能力目标：能熟练运用英语从事商务、外事、翻译、教育、管理、研究等各种工作；具备较强的跨文化能力、商务沟通能力、创新创业能力与思辨能力，成为会外语懂专业的复合型人才。</w:t>
      </w:r>
    </w:p>
    <w:p>
      <w:pPr>
        <w:ind w:firstLine="480"/>
      </w:pPr>
      <w:r>
        <w:t>5. 熟练运用英语进行商务相关的活动；</w:t>
      </w:r>
    </w:p>
    <w:p>
      <w:pPr>
        <w:ind w:firstLine="480"/>
      </w:pPr>
      <w:r>
        <w:t>6. 具备跨文化沟通能力和创新创业及思辨能力。</w:t>
      </w:r>
    </w:p>
    <w:p>
      <w:pPr>
        <w:pStyle w:val="5"/>
        <w:spacing w:before="93" w:after="93"/>
        <w:ind w:firstLine="560"/>
      </w:pPr>
      <w:r>
        <w:t>二、培养能力</w:t>
      </w:r>
      <w:bookmarkEnd w:id="532"/>
    </w:p>
    <w:p>
      <w:pPr>
        <w:pStyle w:val="7"/>
        <w:ind w:firstLine="480"/>
      </w:pPr>
      <w:r>
        <w:t>1.专业基本情况</w:t>
      </w:r>
    </w:p>
    <w:p>
      <w:pPr>
        <w:ind w:firstLine="480"/>
      </w:pPr>
      <w:r>
        <w:t>商务英语专业前身为1993年的经贸英语专科，2000年招收英语本科生，2013年获批商务英语专业。本专业于2022年获批</w:t>
      </w:r>
      <w:r>
        <w:rPr>
          <w:rFonts w:hint="eastAsia"/>
        </w:rPr>
        <w:t>“</w:t>
      </w:r>
      <w:r>
        <w:t>山东省一流本科专业</w:t>
      </w:r>
      <w:r>
        <w:rPr>
          <w:rFonts w:hint="eastAsia"/>
        </w:rPr>
        <w:t>”</w:t>
      </w:r>
      <w:r>
        <w:t>，有两门课程于2021年获批</w:t>
      </w:r>
      <w:r>
        <w:rPr>
          <w:rFonts w:hint="eastAsia"/>
        </w:rPr>
        <w:t>“</w:t>
      </w:r>
      <w:r>
        <w:t>山东省一流本科课程</w:t>
      </w:r>
      <w:r>
        <w:rPr>
          <w:rFonts w:hint="eastAsia"/>
        </w:rPr>
        <w:t>”</w:t>
      </w:r>
      <w:r>
        <w:t>。</w:t>
      </w:r>
    </w:p>
    <w:p>
      <w:pPr>
        <w:ind w:firstLine="480"/>
      </w:pPr>
      <w:r>
        <w:t>本专业培养了一大批具有扎实英语语言能力以及突出商务专业能力的</w:t>
      </w:r>
      <w:r>
        <w:rPr>
          <w:rFonts w:hint="eastAsia"/>
        </w:rPr>
        <w:t>“</w:t>
      </w:r>
      <w:r>
        <w:t>英语+商务</w:t>
      </w:r>
      <w:r>
        <w:rPr>
          <w:rFonts w:hint="eastAsia"/>
        </w:rPr>
        <w:t>”</w:t>
      </w:r>
      <w:r>
        <w:t>复合型人才。</w:t>
      </w:r>
      <w:r>
        <w:rPr>
          <w:rFonts w:hint="eastAsia"/>
        </w:rPr>
        <w:t>“</w:t>
      </w:r>
      <w:r>
        <w:t>复合型</w:t>
      </w:r>
      <w:r>
        <w:rPr>
          <w:rFonts w:hint="eastAsia"/>
        </w:rPr>
        <w:t>”</w:t>
      </w:r>
      <w:r>
        <w:t>特色赋予了学生更广阔的就业机会，毕业生活跃于外贸、政府部门、海关 、央企、国企、教育等领域，更有一大批学生考入国内外名牌大学深造，学生培养质量受社会各界高度好评，就业率一直居全校前列。</w:t>
      </w:r>
    </w:p>
    <w:p>
      <w:pPr>
        <w:ind w:firstLine="480"/>
      </w:pPr>
      <w:r>
        <w:t>本专业师资队伍素质优良。现有专任教师10人，教授1人，副教授6人，博士5人（含在读博士），其中3人为经济管理博士，7人有海外访学经历，师资队伍结构合理，教学科研能力突出。</w:t>
      </w:r>
    </w:p>
    <w:p>
      <w:pPr>
        <w:ind w:firstLine="480"/>
      </w:pPr>
      <w:r>
        <w:t xml:space="preserve">自设置专业以来，学院高度重视商务英语专业的发展，重视师资队伍建设、改善教学条件、加强科学研究、提高教学管理水平，人才培养初具成效。近五年来，商务英语专业第一志愿报考率均在90%以上。 </w:t>
      </w:r>
    </w:p>
    <w:p>
      <w:pPr>
        <w:pStyle w:val="7"/>
        <w:ind w:firstLine="480"/>
      </w:pPr>
      <w:r>
        <w:t>2.在校生规模</w:t>
      </w:r>
    </w:p>
    <w:p>
      <w:pPr>
        <w:ind w:firstLine="480"/>
      </w:pPr>
      <w:r>
        <w:t>商务英语专业2013年始招生，8年来，商务英语专业的两个方向,其中商务英语招生基本维持在60人左右，商务英语（跨境电商）招生基本在60人左右，目前商务英语专业本科在校生四个年级。</w:t>
      </w:r>
    </w:p>
    <w:p>
      <w:pPr>
        <w:spacing w:line="240" w:lineRule="auto"/>
        <w:ind w:firstLine="480"/>
        <w:jc w:val="center"/>
        <w:rPr>
          <w:b/>
          <w:bCs/>
          <w:sz w:val="21"/>
          <w:szCs w:val="21"/>
        </w:rPr>
      </w:pPr>
      <w:r>
        <w:rPr>
          <w:b/>
          <w:bCs/>
          <w:sz w:val="21"/>
          <w:szCs w:val="21"/>
        </w:rPr>
        <w:t>表1.商务英语各年级专业人数</w:t>
      </w:r>
    </w:p>
    <w:p>
      <w:pPr>
        <w:spacing w:line="240" w:lineRule="auto"/>
        <w:ind w:firstLine="480"/>
        <w:rPr>
          <w:b/>
          <w:bCs/>
          <w:sz w:val="21"/>
          <w:szCs w:val="21"/>
        </w:rPr>
      </w:pPr>
      <w:r>
        <w:rPr>
          <w:b/>
          <w:bCs/>
          <w:sz w:val="21"/>
          <w:szCs w:val="21"/>
        </w:rPr>
        <w:drawing>
          <wp:inline distT="0" distB="0" distL="0" distR="0">
            <wp:extent cx="4995545" cy="2830830"/>
            <wp:effectExtent l="4445" t="4445" r="10160" b="22225"/>
            <wp:docPr id="99" name="图表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pPr>
        <w:spacing w:line="240" w:lineRule="auto"/>
        <w:ind w:firstLine="480"/>
        <w:rPr>
          <w:b/>
          <w:bCs/>
          <w:sz w:val="21"/>
          <w:szCs w:val="21"/>
        </w:rPr>
      </w:pPr>
    </w:p>
    <w:p>
      <w:pPr>
        <w:spacing w:line="240" w:lineRule="auto"/>
        <w:ind w:firstLine="480"/>
        <w:rPr>
          <w:b/>
          <w:bCs/>
          <w:sz w:val="21"/>
          <w:szCs w:val="21"/>
        </w:rPr>
      </w:pPr>
    </w:p>
    <w:p>
      <w:pPr>
        <w:spacing w:line="240" w:lineRule="auto"/>
        <w:ind w:firstLine="480"/>
        <w:rPr>
          <w:b/>
          <w:bCs/>
          <w:sz w:val="21"/>
          <w:szCs w:val="21"/>
        </w:rPr>
      </w:pPr>
    </w:p>
    <w:p>
      <w:pPr>
        <w:spacing w:line="240" w:lineRule="auto"/>
        <w:ind w:firstLine="480"/>
        <w:jc w:val="center"/>
        <w:rPr>
          <w:b/>
          <w:bCs/>
          <w:sz w:val="21"/>
          <w:szCs w:val="21"/>
        </w:rPr>
      </w:pPr>
      <w:r>
        <w:rPr>
          <w:b/>
          <w:bCs/>
          <w:sz w:val="21"/>
          <w:szCs w:val="21"/>
        </w:rPr>
        <w:t>表2. 商务英语（跨境电商）各年级专业人数</w:t>
      </w:r>
    </w:p>
    <w:p>
      <w:pPr>
        <w:spacing w:line="240" w:lineRule="auto"/>
        <w:ind w:firstLine="480"/>
      </w:pPr>
      <w:r>
        <w:rPr>
          <w:b/>
          <w:bCs/>
          <w:sz w:val="21"/>
          <w:szCs w:val="21"/>
        </w:rPr>
        <w:drawing>
          <wp:inline distT="0" distB="0" distL="0" distR="0">
            <wp:extent cx="5016500" cy="2606040"/>
            <wp:effectExtent l="4445" t="4445" r="8255" b="18415"/>
            <wp:docPr id="100" name="图表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pPr>
        <w:pStyle w:val="7"/>
        <w:ind w:firstLine="480"/>
      </w:pPr>
      <w:r>
        <w:t>3.课程体系</w:t>
      </w:r>
    </w:p>
    <w:p>
      <w:pPr>
        <w:ind w:firstLine="480"/>
        <w:rPr>
          <w:szCs w:val="24"/>
        </w:rPr>
      </w:pPr>
      <w:r>
        <w:rPr>
          <w:szCs w:val="24"/>
        </w:rPr>
        <w:t>本专业于2022年获批</w:t>
      </w:r>
      <w:r>
        <w:rPr>
          <w:rFonts w:hint="eastAsia"/>
          <w:szCs w:val="24"/>
        </w:rPr>
        <w:t>“</w:t>
      </w:r>
      <w:r>
        <w:rPr>
          <w:szCs w:val="24"/>
        </w:rPr>
        <w:t>山东省一流本科专业</w:t>
      </w:r>
      <w:r>
        <w:rPr>
          <w:rFonts w:hint="eastAsia"/>
          <w:szCs w:val="24"/>
        </w:rPr>
        <w:t>”</w:t>
      </w:r>
      <w:r>
        <w:rPr>
          <w:szCs w:val="24"/>
        </w:rPr>
        <w:t>，商务英语专业有两门课获批2021年山东省第二批</w:t>
      </w:r>
      <w:r>
        <w:rPr>
          <w:rFonts w:hint="eastAsia"/>
          <w:szCs w:val="24"/>
        </w:rPr>
        <w:t>“</w:t>
      </w:r>
      <w:r>
        <w:rPr>
          <w:szCs w:val="24"/>
        </w:rPr>
        <w:t>一流本科课程</w:t>
      </w:r>
      <w:r>
        <w:rPr>
          <w:rFonts w:hint="eastAsia"/>
          <w:szCs w:val="24"/>
        </w:rPr>
        <w:t>”</w:t>
      </w:r>
      <w:r>
        <w:rPr>
          <w:szCs w:val="24"/>
        </w:rPr>
        <w:t>，其中《商务综合英语1》被认定为省级线下一流课程，《国际会展实践》被认定为省级社会实践课程。两门省一流建设为将来申报</w:t>
      </w:r>
      <w:r>
        <w:rPr>
          <w:rFonts w:hint="eastAsia"/>
          <w:szCs w:val="24"/>
        </w:rPr>
        <w:t>“</w:t>
      </w:r>
      <w:r>
        <w:rPr>
          <w:szCs w:val="24"/>
        </w:rPr>
        <w:t>国家级一流专业</w:t>
      </w:r>
      <w:r>
        <w:rPr>
          <w:rFonts w:hint="eastAsia"/>
          <w:szCs w:val="24"/>
        </w:rPr>
        <w:t>”</w:t>
      </w:r>
      <w:r>
        <w:rPr>
          <w:szCs w:val="24"/>
        </w:rPr>
        <w:t>奠定基础。构建以</w:t>
      </w:r>
      <w:r>
        <w:rPr>
          <w:rFonts w:hint="eastAsia"/>
          <w:szCs w:val="24"/>
        </w:rPr>
        <w:t>“</w:t>
      </w:r>
      <w:r>
        <w:rPr>
          <w:szCs w:val="24"/>
        </w:rPr>
        <w:t>英语为主线，商务为环境，能力为中心</w:t>
      </w:r>
      <w:r>
        <w:rPr>
          <w:rFonts w:hint="eastAsia"/>
          <w:szCs w:val="24"/>
        </w:rPr>
        <w:t>”</w:t>
      </w:r>
      <w:r>
        <w:rPr>
          <w:szCs w:val="24"/>
        </w:rPr>
        <w:t>的课程模式，确保本专业学生打下坚实的语言功底的同时又具备相关的商务知识和专业技能。</w:t>
      </w:r>
    </w:p>
    <w:p>
      <w:pPr>
        <w:ind w:firstLine="480"/>
      </w:pPr>
      <w:r>
        <w:t>商英英语能力要求包括：英语应用能力（包括英语组织能力、英语运用能力、学习策略能力）、跨文化交际能力（基本跨文化交际能力、跨文化商务交际能力）、商务实践能力（通用商务技能、专业商务技能）、思辨与创新能力（认知能力、情感调适能力）、自主学习能力（学科自学能力）。</w:t>
      </w:r>
    </w:p>
    <w:p>
      <w:pPr>
        <w:ind w:firstLine="480"/>
      </w:pPr>
      <w:r>
        <w:t>商务英语专业主干学科为商务英语，除学校统一安排的通识必修课和通识选修课外，设有学科基础课、专业核心课、拓展教育课和专业分流课。除理论课程外，还设有专业实践环节和创新创业实践、毕业实习及报告和毕业论文综合实践环节，为培养学生英语应用能力、商务实践能力、跨文化交际能力和思辨与创新能力提供了保障。</w:t>
      </w:r>
    </w:p>
    <w:p>
      <w:pPr>
        <w:ind w:firstLine="480"/>
      </w:pPr>
      <w:r>
        <w:t>主要课程包括英语语音、商务英语听力、语法、商务英语口语、商务英语读写、商务综合英语、英美社会与文化、国际贸易理论与实务（英）、管理学导论（英）、经济学导论（英）、国际商法导论、跨文化交际、英美文学、商务英语笔译、商务英语口译、会展翻译、中国文化外译、企业文化、企业管理、国际农产品贸易（英）、国际营销概论、国际商务沟通与礼仪、国际商务函电与合同（英）、国际商务谈判（英）、国际电子商务、语言学导论、交替传译、英语演讲与辩论、二外（日/法/西/俄）、高级口语、国际商务沟通与礼仪、涉外电子商务等。</w:t>
      </w:r>
    </w:p>
    <w:p>
      <w:pPr>
        <w:pStyle w:val="7"/>
        <w:ind w:firstLine="480"/>
      </w:pPr>
      <w:r>
        <w:t>4.创新创业教育</w:t>
      </w:r>
    </w:p>
    <w:p>
      <w:pPr>
        <w:ind w:firstLine="480"/>
        <w:rPr>
          <w:rFonts w:eastAsiaTheme="majorEastAsia"/>
          <w:szCs w:val="24"/>
        </w:rPr>
      </w:pPr>
      <w:r>
        <w:rPr>
          <w:rFonts w:eastAsiaTheme="majorEastAsia"/>
          <w:szCs w:val="24"/>
        </w:rPr>
        <w:t>（1）学生创新项目全面有序进行。鼓励学生参与SRT项目，2021学年度立项国家级SRT项目1项，省级2项，学生通过参与SRT项目，提高了创新能力，培养了科研意识和能力。</w:t>
      </w:r>
    </w:p>
    <w:p>
      <w:pPr>
        <w:ind w:firstLine="484" w:firstLineChars="202"/>
        <w:rPr>
          <w:rFonts w:eastAsiaTheme="majorEastAsia"/>
          <w:szCs w:val="24"/>
        </w:rPr>
      </w:pPr>
      <w:r>
        <w:rPr>
          <w:rFonts w:eastAsiaTheme="majorEastAsia"/>
          <w:szCs w:val="24"/>
        </w:rPr>
        <w:t>（2）重视与企业的合作。企业方投入50余万元用于开发</w:t>
      </w:r>
      <w:r>
        <w:rPr>
          <w:rFonts w:hint="eastAsia" w:eastAsiaTheme="majorEastAsia"/>
          <w:szCs w:val="24"/>
        </w:rPr>
        <w:t>“</w:t>
      </w:r>
      <w:r>
        <w:rPr>
          <w:rFonts w:eastAsiaTheme="majorEastAsia"/>
          <w:szCs w:val="24"/>
        </w:rPr>
        <w:t>网商数字化教育管理平台</w:t>
      </w:r>
      <w:r>
        <w:rPr>
          <w:rFonts w:hint="eastAsia" w:eastAsiaTheme="majorEastAsia"/>
          <w:szCs w:val="24"/>
        </w:rPr>
        <w:t>”</w:t>
      </w:r>
      <w:r>
        <w:rPr>
          <w:rFonts w:eastAsiaTheme="majorEastAsia"/>
          <w:szCs w:val="24"/>
        </w:rPr>
        <w:t>，实现学生管理、在线慕课分享、教学教务管理以及实训项目分包等功能，提升数字化教学水平。疫情期间，该平台1.0版本已正式上线，对合作班所有学生开放。</w:t>
      </w:r>
    </w:p>
    <w:p>
      <w:pPr>
        <w:ind w:firstLine="480"/>
        <w:rPr>
          <w:rFonts w:eastAsiaTheme="majorEastAsia"/>
          <w:szCs w:val="24"/>
        </w:rPr>
      </w:pPr>
      <w:r>
        <w:rPr>
          <w:rFonts w:eastAsiaTheme="majorEastAsia"/>
          <w:szCs w:val="24"/>
        </w:rPr>
        <w:t>（3）以赛促训，实践教学。以《跨境B2C零售运营与推广》课程为例，本课程的目的为培养学生跨境零售操作实践能力，该课程尝试以shopee大赛实战演练为平台，学生与全国118所院校2360名同学同台竞技，为期30天的校际对抗赛。通过大赛学生们不仅清楚的掌握了国际贸易买卖合同的磋商过程，询盘、发盘、还盘和接受环节的英文函电写作技巧，主要贸易术语和结算方式的细节和运用，进出口商品的价格核算、成本控制和扩大利润的方法，进出口业务履约基本技巧，主要进出口单据的缮制与运用等，还锻炼了跨境电商商务交往能力、沟通交流能力。以《跨境电商视觉营销设计》课程为例，为提升学生的设计应用技能，在完成本课程内容授课之后，由山东网商集团举办</w:t>
      </w:r>
      <w:r>
        <w:rPr>
          <w:rFonts w:hint="eastAsia" w:eastAsiaTheme="majorEastAsia"/>
          <w:szCs w:val="24"/>
        </w:rPr>
        <w:t>“</w:t>
      </w:r>
      <w:r>
        <w:rPr>
          <w:rFonts w:eastAsiaTheme="majorEastAsia"/>
          <w:szCs w:val="24"/>
        </w:rPr>
        <w:t>网商杯</w:t>
      </w:r>
      <w:r>
        <w:rPr>
          <w:rFonts w:hint="eastAsia" w:eastAsiaTheme="majorEastAsia"/>
          <w:szCs w:val="24"/>
        </w:rPr>
        <w:t>”</w:t>
      </w:r>
      <w:r>
        <w:rPr>
          <w:rFonts w:eastAsiaTheme="majorEastAsia"/>
          <w:szCs w:val="24"/>
        </w:rPr>
        <w:t>海报设计大赛，选拔优秀的设计能力学生进行奖励与激励，提升学生的学习热情。</w:t>
      </w:r>
    </w:p>
    <w:p>
      <w:pPr>
        <w:ind w:firstLine="480"/>
        <w:rPr>
          <w:rFonts w:eastAsiaTheme="majorEastAsia"/>
          <w:szCs w:val="24"/>
        </w:rPr>
      </w:pPr>
      <w:r>
        <w:rPr>
          <w:rFonts w:eastAsiaTheme="majorEastAsia"/>
          <w:szCs w:val="24"/>
        </w:rPr>
        <w:t>（4）组织学生参加各种实践大赛。</w:t>
      </w:r>
    </w:p>
    <w:p>
      <w:pPr>
        <w:ind w:firstLine="480"/>
        <w:rPr>
          <w:rFonts w:eastAsiaTheme="majorEastAsia"/>
          <w:szCs w:val="24"/>
        </w:rPr>
      </w:pPr>
      <w:r>
        <w:rPr>
          <w:rFonts w:eastAsiaTheme="majorEastAsia"/>
          <w:szCs w:val="24"/>
        </w:rPr>
        <w:t>企业老师指导外国语学院2020级校企合作学生参加互联网加创新创业大赛，获得校级优秀奖；指导2020级校企合作学生李军峰小组参加第八届山东农业大学</w:t>
      </w:r>
      <w:r>
        <w:rPr>
          <w:rFonts w:hint="eastAsia" w:eastAsiaTheme="majorEastAsia"/>
          <w:szCs w:val="24"/>
        </w:rPr>
        <w:t>“</w:t>
      </w:r>
      <w:r>
        <w:rPr>
          <w:rFonts w:eastAsiaTheme="majorEastAsia"/>
          <w:szCs w:val="24"/>
        </w:rPr>
        <w:t>新生力</w:t>
      </w:r>
      <w:r>
        <w:rPr>
          <w:rFonts w:hint="eastAsia" w:eastAsiaTheme="majorEastAsia"/>
          <w:szCs w:val="24"/>
        </w:rPr>
        <w:t>”</w:t>
      </w:r>
      <w:r>
        <w:rPr>
          <w:rFonts w:eastAsiaTheme="majorEastAsia"/>
          <w:szCs w:val="24"/>
        </w:rPr>
        <w:t>大学生科技创新大赛，获得校级优秀奖；企业老师参加山东省农产指导外国语学院2021级校企合作学生参加三下乡活动；指导2020级校企合作学生参加教育部主办的</w:t>
      </w:r>
      <w:r>
        <w:rPr>
          <w:rFonts w:hint="eastAsia" w:eastAsiaTheme="majorEastAsia"/>
          <w:szCs w:val="24"/>
        </w:rPr>
        <w:t>“</w:t>
      </w:r>
      <w:r>
        <w:rPr>
          <w:rFonts w:eastAsiaTheme="majorEastAsia"/>
          <w:szCs w:val="24"/>
        </w:rPr>
        <w:t>一带一路 金砖五国 跨境电商创新创业技能大赛</w:t>
      </w:r>
      <w:r>
        <w:rPr>
          <w:rFonts w:hint="eastAsia" w:eastAsiaTheme="majorEastAsia"/>
          <w:szCs w:val="24"/>
        </w:rPr>
        <w:t>”</w:t>
      </w:r>
      <w:r>
        <w:rPr>
          <w:rFonts w:eastAsiaTheme="majorEastAsia"/>
          <w:szCs w:val="24"/>
        </w:rPr>
        <w:t>，11组学生参赛，3组学生通过校赛,1组学生通过复赛进入决赛；指导2020级校企合作学生参加SHOPEE跨境电商创新创业大赛，获北方大区优秀团队奖、优秀指导老师奖；指导2020级校企合作学生参加典阅杯跨境电商技能大赛，5组学生进入决赛；邀请刘华教授为学生做《商务英语背景下跨境贸易的创新》讲座。</w:t>
      </w:r>
    </w:p>
    <w:p>
      <w:pPr>
        <w:ind w:firstLine="480"/>
        <w:rPr>
          <w:rFonts w:eastAsiaTheme="majorEastAsia"/>
          <w:szCs w:val="24"/>
        </w:rPr>
      </w:pPr>
      <w:r>
        <w:rPr>
          <w:rFonts w:eastAsiaTheme="majorEastAsia"/>
          <w:szCs w:val="24"/>
        </w:rPr>
        <w:t>（5）鼓励学生积极参加各类竞赛。</w:t>
      </w:r>
    </w:p>
    <w:p>
      <w:pPr>
        <w:ind w:firstLine="480"/>
        <w:rPr>
          <w:rFonts w:eastAsiaTheme="majorEastAsia"/>
          <w:szCs w:val="24"/>
        </w:rPr>
      </w:pPr>
      <w:r>
        <w:rPr>
          <w:rFonts w:eastAsiaTheme="majorEastAsia"/>
          <w:szCs w:val="24"/>
        </w:rPr>
        <w:t>学生竞赛类活动全面展开，有</w:t>
      </w:r>
      <w:r>
        <w:rPr>
          <w:rFonts w:hint="eastAsia" w:eastAsiaTheme="majorEastAsia"/>
          <w:szCs w:val="24"/>
        </w:rPr>
        <w:t>“</w:t>
      </w:r>
      <w:r>
        <w:rPr>
          <w:rFonts w:eastAsiaTheme="majorEastAsia"/>
          <w:szCs w:val="24"/>
        </w:rPr>
        <w:t>外研社杯</w:t>
      </w:r>
      <w:r>
        <w:rPr>
          <w:rFonts w:hint="eastAsia" w:eastAsiaTheme="majorEastAsia"/>
          <w:szCs w:val="24"/>
        </w:rPr>
        <w:t>”</w:t>
      </w:r>
      <w:r>
        <w:rPr>
          <w:rFonts w:eastAsiaTheme="majorEastAsia"/>
          <w:szCs w:val="24"/>
        </w:rPr>
        <w:t>全国英语演讲大赛、写作大赛、辩论大赛和阅读大赛，</w:t>
      </w:r>
      <w:r>
        <w:rPr>
          <w:rFonts w:hint="eastAsia" w:eastAsiaTheme="majorEastAsia"/>
          <w:szCs w:val="24"/>
        </w:rPr>
        <w:t>“</w:t>
      </w:r>
      <w:r>
        <w:rPr>
          <w:rFonts w:eastAsiaTheme="majorEastAsia"/>
          <w:szCs w:val="24"/>
        </w:rPr>
        <w:t>中国日报</w:t>
      </w:r>
      <w:r>
        <w:rPr>
          <w:rFonts w:hint="eastAsia" w:eastAsiaTheme="majorEastAsia"/>
          <w:szCs w:val="24"/>
        </w:rPr>
        <w:t>”</w:t>
      </w:r>
      <w:r>
        <w:rPr>
          <w:rFonts w:eastAsiaTheme="majorEastAsia"/>
          <w:szCs w:val="24"/>
        </w:rPr>
        <w:t>社杯全国英语演讲大赛，CCTV杯全国英语演讲大赛，中国翻译协会全国口译大赛，山东省科技外语大赛，山东省大学生科技文化节，演讲大赛，SDAU英语风采大赛等多项赛事。英语专业学生积极参与，并取得了好成绩。</w:t>
      </w:r>
    </w:p>
    <w:p>
      <w:pPr>
        <w:spacing w:line="360" w:lineRule="auto"/>
        <w:ind w:firstLine="480"/>
        <w:jc w:val="center"/>
        <w:rPr>
          <w:rFonts w:eastAsiaTheme="majorEastAsia"/>
          <w:b/>
          <w:bCs/>
          <w:sz w:val="21"/>
          <w:szCs w:val="21"/>
        </w:rPr>
      </w:pPr>
      <w:r>
        <w:rPr>
          <w:b/>
          <w:bCs/>
          <w:sz w:val="21"/>
          <w:szCs w:val="21"/>
        </w:rPr>
        <w:t>表3.获奖情况统计</w:t>
      </w:r>
    </w:p>
    <w:tbl>
      <w:tblPr>
        <w:tblStyle w:val="17"/>
        <w:tblW w:w="4965" w:type="pct"/>
        <w:tblCellSpacing w:w="0" w:type="dxa"/>
        <w:tblInd w:w="0" w:type="dxa"/>
        <w:tblLayout w:type="autofit"/>
        <w:tblCellMar>
          <w:top w:w="0" w:type="dxa"/>
          <w:left w:w="0" w:type="dxa"/>
          <w:bottom w:w="0" w:type="dxa"/>
          <w:right w:w="0" w:type="dxa"/>
        </w:tblCellMar>
      </w:tblPr>
      <w:tblGrid>
        <w:gridCol w:w="1131"/>
        <w:gridCol w:w="861"/>
        <w:gridCol w:w="3608"/>
        <w:gridCol w:w="1047"/>
        <w:gridCol w:w="2225"/>
      </w:tblGrid>
      <w:tr>
        <w:tblPrEx>
          <w:tblCellMar>
            <w:top w:w="0" w:type="dxa"/>
            <w:left w:w="0" w:type="dxa"/>
            <w:bottom w:w="0" w:type="dxa"/>
            <w:right w:w="0" w:type="dxa"/>
          </w:tblCellMar>
        </w:tblPrEx>
        <w:trPr>
          <w:trHeight w:val="454" w:hRule="atLeast"/>
          <w:tblHeader/>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6096E6"/>
            <w:tcMar>
              <w:top w:w="10" w:type="dxa"/>
              <w:left w:w="40" w:type="dxa"/>
              <w:bottom w:w="10" w:type="dxa"/>
              <w:right w:w="40" w:type="dxa"/>
            </w:tcMar>
            <w:vAlign w:val="center"/>
          </w:tcPr>
          <w:p>
            <w:pPr>
              <w:widowControl/>
              <w:spacing w:before="100" w:beforeAutospacing="1" w:after="100" w:afterAutospacing="1" w:line="240" w:lineRule="auto"/>
              <w:ind w:firstLine="181" w:firstLineChars="100"/>
              <w:rPr>
                <w:b/>
                <w:bCs/>
                <w:color w:val="FFFFFF" w:themeColor="background1"/>
                <w:kern w:val="0"/>
                <w:sz w:val="18"/>
                <w:szCs w:val="18"/>
                <w14:textFill>
                  <w14:solidFill>
                    <w14:schemeClr w14:val="bg1"/>
                  </w14:solidFill>
                </w14:textFill>
              </w:rPr>
            </w:pPr>
            <w:r>
              <w:rPr>
                <w:b/>
                <w:bCs/>
                <w:color w:val="FFFFFF" w:themeColor="background1"/>
                <w:kern w:val="0"/>
                <w:sz w:val="18"/>
                <w:szCs w:val="18"/>
                <w14:textFill>
                  <w14:solidFill>
                    <w14:schemeClr w14:val="bg1"/>
                  </w14:solidFill>
                </w14:textFill>
              </w:rPr>
              <w:t>班级</w:t>
            </w:r>
          </w:p>
        </w:tc>
        <w:tc>
          <w:tcPr>
            <w:tcW w:w="485" w:type="pct"/>
            <w:tcBorders>
              <w:top w:val="single" w:color="FFFFFF" w:sz="6" w:space="0"/>
              <w:left w:val="single" w:color="FFFFFF" w:sz="6" w:space="0"/>
              <w:bottom w:val="single" w:color="FFFFFF" w:sz="18" w:space="0"/>
              <w:right w:val="single" w:color="FFFFFF" w:sz="6" w:space="0"/>
            </w:tcBorders>
            <w:shd w:val="clear" w:color="auto" w:fill="6096E6"/>
            <w:tcMar>
              <w:top w:w="10" w:type="dxa"/>
              <w:left w:w="40" w:type="dxa"/>
              <w:bottom w:w="10" w:type="dxa"/>
              <w:right w:w="40" w:type="dxa"/>
            </w:tcMar>
            <w:vAlign w:val="center"/>
          </w:tcPr>
          <w:p>
            <w:pPr>
              <w:widowControl/>
              <w:spacing w:before="100" w:beforeAutospacing="1" w:after="100" w:afterAutospacing="1" w:line="240" w:lineRule="auto"/>
              <w:jc w:val="center"/>
              <w:rPr>
                <w:b/>
                <w:bCs/>
                <w:color w:val="FFFFFF" w:themeColor="background1"/>
                <w:kern w:val="0"/>
                <w:sz w:val="18"/>
                <w:szCs w:val="18"/>
                <w14:textFill>
                  <w14:solidFill>
                    <w14:schemeClr w14:val="bg1"/>
                  </w14:solidFill>
                </w14:textFill>
              </w:rPr>
            </w:pPr>
            <w:r>
              <w:rPr>
                <w:b/>
                <w:bCs/>
                <w:color w:val="FFFFFF" w:themeColor="background1"/>
                <w:kern w:val="0"/>
                <w:sz w:val="18"/>
                <w:szCs w:val="18"/>
                <w14:textFill>
                  <w14:solidFill>
                    <w14:schemeClr w14:val="bg1"/>
                  </w14:solidFill>
                </w14:textFill>
              </w:rPr>
              <w:t>姓</w:t>
            </w:r>
            <w:r>
              <w:rPr>
                <w:rFonts w:hint="eastAsia"/>
                <w:b/>
                <w:bCs/>
                <w:color w:val="FFFFFF" w:themeColor="background1"/>
                <w:kern w:val="0"/>
                <w:sz w:val="18"/>
                <w:szCs w:val="18"/>
                <w14:textFill>
                  <w14:solidFill>
                    <w14:schemeClr w14:val="bg1"/>
                  </w14:solidFill>
                </w14:textFill>
              </w:rPr>
              <w:t xml:space="preserve">  </w:t>
            </w:r>
            <w:r>
              <w:rPr>
                <w:b/>
                <w:bCs/>
                <w:color w:val="FFFFFF" w:themeColor="background1"/>
                <w:kern w:val="0"/>
                <w:sz w:val="18"/>
                <w:szCs w:val="18"/>
                <w14:textFill>
                  <w14:solidFill>
                    <w14:schemeClr w14:val="bg1"/>
                  </w14:solidFill>
                </w14:textFill>
              </w:rPr>
              <w:t>名</w:t>
            </w:r>
          </w:p>
        </w:tc>
        <w:tc>
          <w:tcPr>
            <w:tcW w:w="2032" w:type="pct"/>
            <w:tcBorders>
              <w:top w:val="single" w:color="FFFFFF" w:sz="6" w:space="0"/>
              <w:left w:val="single" w:color="FFFFFF" w:sz="6" w:space="0"/>
              <w:bottom w:val="single" w:color="FFFFFF" w:sz="18" w:space="0"/>
              <w:right w:val="single" w:color="FFFFFF" w:sz="6" w:space="0"/>
            </w:tcBorders>
            <w:shd w:val="clear" w:color="auto" w:fill="6096E6"/>
            <w:tcMar>
              <w:top w:w="10" w:type="dxa"/>
              <w:left w:w="40" w:type="dxa"/>
              <w:bottom w:w="10" w:type="dxa"/>
              <w:right w:w="40" w:type="dxa"/>
            </w:tcMar>
            <w:vAlign w:val="center"/>
          </w:tcPr>
          <w:p>
            <w:pPr>
              <w:widowControl/>
              <w:spacing w:before="100" w:beforeAutospacing="1" w:after="100" w:afterAutospacing="1" w:line="240" w:lineRule="auto"/>
              <w:jc w:val="center"/>
              <w:rPr>
                <w:b/>
                <w:bCs/>
                <w:color w:val="FFFFFF" w:themeColor="background1"/>
                <w:kern w:val="0"/>
                <w:sz w:val="18"/>
                <w:szCs w:val="18"/>
                <w14:textFill>
                  <w14:solidFill>
                    <w14:schemeClr w14:val="bg1"/>
                  </w14:solidFill>
                </w14:textFill>
              </w:rPr>
            </w:pPr>
            <w:r>
              <w:rPr>
                <w:b/>
                <w:bCs/>
                <w:color w:val="FFFFFF" w:themeColor="background1"/>
                <w:kern w:val="0"/>
                <w:sz w:val="18"/>
                <w:szCs w:val="18"/>
                <w14:textFill>
                  <w14:solidFill>
                    <w14:schemeClr w14:val="bg1"/>
                  </w14:solidFill>
                </w14:textFill>
              </w:rPr>
              <w:t>比赛名称</w:t>
            </w:r>
          </w:p>
        </w:tc>
        <w:tc>
          <w:tcPr>
            <w:tcW w:w="590" w:type="pct"/>
            <w:tcBorders>
              <w:top w:val="single" w:color="FFFFFF" w:sz="6" w:space="0"/>
              <w:left w:val="single" w:color="FFFFFF" w:sz="6" w:space="0"/>
              <w:bottom w:val="single" w:color="FFFFFF" w:sz="18" w:space="0"/>
              <w:right w:val="single" w:color="FFFFFF" w:sz="6" w:space="0"/>
            </w:tcBorders>
            <w:shd w:val="clear" w:color="auto" w:fill="6096E6"/>
            <w:tcMar>
              <w:top w:w="20" w:type="dxa"/>
              <w:left w:w="20" w:type="dxa"/>
              <w:bottom w:w="72" w:type="dxa"/>
              <w:right w:w="20" w:type="dxa"/>
            </w:tcMar>
            <w:vAlign w:val="center"/>
          </w:tcPr>
          <w:p>
            <w:pPr>
              <w:widowControl/>
              <w:spacing w:before="100" w:beforeAutospacing="1" w:after="100" w:afterAutospacing="1" w:line="240" w:lineRule="auto"/>
              <w:jc w:val="center"/>
              <w:rPr>
                <w:b/>
                <w:bCs/>
                <w:color w:val="FFFFFF" w:themeColor="background1"/>
                <w:kern w:val="0"/>
                <w:sz w:val="18"/>
                <w:szCs w:val="18"/>
                <w14:textFill>
                  <w14:solidFill>
                    <w14:schemeClr w14:val="bg1"/>
                  </w14:solidFill>
                </w14:textFill>
              </w:rPr>
            </w:pPr>
            <w:r>
              <w:rPr>
                <w:b/>
                <w:bCs/>
                <w:color w:val="FFFFFF" w:themeColor="background1"/>
                <w:kern w:val="0"/>
                <w:sz w:val="18"/>
                <w:szCs w:val="18"/>
                <w14:textFill>
                  <w14:solidFill>
                    <w14:schemeClr w14:val="bg1"/>
                  </w14:solidFill>
                </w14:textFill>
              </w:rPr>
              <w:t>获奖等级</w:t>
            </w:r>
          </w:p>
        </w:tc>
        <w:tc>
          <w:tcPr>
            <w:tcW w:w="1253" w:type="pct"/>
            <w:tcBorders>
              <w:top w:val="single" w:color="FFFFFF" w:sz="6" w:space="0"/>
              <w:left w:val="single" w:color="FFFFFF" w:sz="6" w:space="0"/>
              <w:bottom w:val="single" w:color="FFFFFF" w:sz="18" w:space="0"/>
              <w:right w:val="single" w:color="FFFFFF" w:sz="6" w:space="0"/>
            </w:tcBorders>
            <w:shd w:val="clear" w:color="auto" w:fill="6096E6"/>
            <w:tcMar>
              <w:top w:w="20" w:type="dxa"/>
              <w:left w:w="20" w:type="dxa"/>
              <w:bottom w:w="72" w:type="dxa"/>
              <w:right w:w="20" w:type="dxa"/>
            </w:tcMar>
            <w:vAlign w:val="center"/>
          </w:tcPr>
          <w:p>
            <w:pPr>
              <w:widowControl/>
              <w:spacing w:before="100" w:beforeAutospacing="1" w:after="100" w:afterAutospacing="1" w:line="240" w:lineRule="auto"/>
              <w:jc w:val="center"/>
              <w:rPr>
                <w:b/>
                <w:bCs/>
                <w:color w:val="FFFFFF" w:themeColor="background1"/>
                <w:kern w:val="0"/>
                <w:sz w:val="18"/>
                <w:szCs w:val="18"/>
                <w14:textFill>
                  <w14:solidFill>
                    <w14:schemeClr w14:val="bg1"/>
                  </w14:solidFill>
                </w14:textFill>
              </w:rPr>
            </w:pPr>
            <w:r>
              <w:rPr>
                <w:b/>
                <w:bCs/>
                <w:color w:val="FFFFFF" w:themeColor="background1"/>
                <w:kern w:val="0"/>
                <w:sz w:val="18"/>
                <w:szCs w:val="18"/>
                <w14:textFill>
                  <w14:solidFill>
                    <w14:schemeClr w14:val="bg1"/>
                  </w14:solidFill>
                </w14:textFill>
              </w:rPr>
              <w:t>比赛层次（国家级/省级/市级/校级/院级）</w:t>
            </w:r>
          </w:p>
        </w:tc>
      </w:tr>
      <w:tr>
        <w:tblPrEx>
          <w:tblCellMar>
            <w:top w:w="0" w:type="dxa"/>
            <w:left w:w="0" w:type="dxa"/>
            <w:bottom w:w="0" w:type="dxa"/>
            <w:right w:w="0" w:type="dxa"/>
          </w:tblCellMar>
        </w:tblPrEx>
        <w:trPr>
          <w:trHeight w:val="454"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kern w:val="0"/>
                <w:sz w:val="18"/>
                <w:szCs w:val="18"/>
              </w:rPr>
            </w:pPr>
            <w:r>
              <w:rPr>
                <w:color w:val="000000"/>
                <w:kern w:val="0"/>
                <w:sz w:val="18"/>
                <w:szCs w:val="18"/>
              </w:rPr>
              <w:t>商英2101</w:t>
            </w:r>
          </w:p>
        </w:tc>
        <w:tc>
          <w:tcPr>
            <w:tcW w:w="485"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kern w:val="0"/>
                <w:sz w:val="18"/>
                <w:szCs w:val="18"/>
              </w:rPr>
            </w:pPr>
            <w:r>
              <w:rPr>
                <w:color w:val="000000"/>
                <w:kern w:val="0"/>
                <w:sz w:val="18"/>
                <w:szCs w:val="18"/>
              </w:rPr>
              <w:t>刘</w:t>
            </w:r>
            <w:r>
              <w:rPr>
                <w:rFonts w:hint="eastAsia"/>
                <w:color w:val="000000"/>
                <w:kern w:val="0"/>
                <w:sz w:val="18"/>
                <w:szCs w:val="18"/>
              </w:rPr>
              <w:t xml:space="preserve">  </w:t>
            </w:r>
            <w:r>
              <w:rPr>
                <w:color w:val="000000"/>
                <w:kern w:val="0"/>
                <w:sz w:val="18"/>
                <w:szCs w:val="18"/>
              </w:rPr>
              <w:t>莉</w:t>
            </w:r>
          </w:p>
        </w:tc>
        <w:tc>
          <w:tcPr>
            <w:tcW w:w="2032"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kern w:val="0"/>
                <w:sz w:val="18"/>
                <w:szCs w:val="18"/>
              </w:rPr>
            </w:pPr>
            <w:r>
              <w:rPr>
                <w:color w:val="000000"/>
                <w:kern w:val="0"/>
                <w:sz w:val="18"/>
                <w:szCs w:val="18"/>
              </w:rPr>
              <w:t>2022年“外研社•国才杯</w:t>
            </w:r>
            <w:r>
              <w:rPr>
                <w:rFonts w:hint="eastAsia"/>
                <w:color w:val="000000"/>
                <w:kern w:val="0"/>
                <w:sz w:val="18"/>
                <w:szCs w:val="18"/>
              </w:rPr>
              <w:t>”</w:t>
            </w:r>
            <w:r>
              <w:rPr>
                <w:color w:val="000000"/>
                <w:kern w:val="0"/>
                <w:sz w:val="18"/>
                <w:szCs w:val="18"/>
              </w:rPr>
              <w:t>阅读大赛</w:t>
            </w:r>
          </w:p>
        </w:tc>
        <w:tc>
          <w:tcPr>
            <w:tcW w:w="590"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kern w:val="0"/>
                <w:sz w:val="18"/>
                <w:szCs w:val="18"/>
              </w:rPr>
            </w:pPr>
            <w:r>
              <w:rPr>
                <w:color w:val="000000"/>
                <w:kern w:val="0"/>
                <w:sz w:val="18"/>
                <w:szCs w:val="18"/>
              </w:rPr>
              <w:t>二等奖</w:t>
            </w:r>
          </w:p>
        </w:tc>
        <w:tc>
          <w:tcPr>
            <w:tcW w:w="1253"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kern w:val="0"/>
                <w:sz w:val="18"/>
                <w:szCs w:val="18"/>
              </w:rPr>
            </w:pPr>
            <w:r>
              <w:rPr>
                <w:color w:val="000000"/>
                <w:kern w:val="0"/>
                <w:sz w:val="18"/>
                <w:szCs w:val="18"/>
              </w:rPr>
              <w:t>校级</w:t>
            </w:r>
          </w:p>
        </w:tc>
      </w:tr>
      <w:tr>
        <w:tblPrEx>
          <w:tblCellMar>
            <w:top w:w="0" w:type="dxa"/>
            <w:left w:w="0" w:type="dxa"/>
            <w:bottom w:w="0" w:type="dxa"/>
            <w:right w:w="0" w:type="dxa"/>
          </w:tblCellMar>
        </w:tblPrEx>
        <w:trPr>
          <w:trHeight w:val="454"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kern w:val="0"/>
                <w:sz w:val="18"/>
                <w:szCs w:val="18"/>
              </w:rPr>
            </w:pPr>
            <w:r>
              <w:rPr>
                <w:color w:val="000000"/>
                <w:kern w:val="0"/>
                <w:sz w:val="18"/>
                <w:szCs w:val="18"/>
              </w:rPr>
              <w:t>商英2101</w:t>
            </w:r>
          </w:p>
        </w:tc>
        <w:tc>
          <w:tcPr>
            <w:tcW w:w="485"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kern w:val="0"/>
                <w:sz w:val="18"/>
                <w:szCs w:val="18"/>
              </w:rPr>
            </w:pPr>
            <w:r>
              <w:rPr>
                <w:color w:val="000000"/>
                <w:kern w:val="0"/>
                <w:sz w:val="18"/>
                <w:szCs w:val="18"/>
              </w:rPr>
              <w:t>宋洪倩</w:t>
            </w:r>
          </w:p>
        </w:tc>
        <w:tc>
          <w:tcPr>
            <w:tcW w:w="2032"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kern w:val="0"/>
                <w:sz w:val="18"/>
                <w:szCs w:val="18"/>
              </w:rPr>
            </w:pPr>
            <w:r>
              <w:rPr>
                <w:color w:val="000000"/>
                <w:kern w:val="0"/>
                <w:sz w:val="18"/>
                <w:szCs w:val="18"/>
              </w:rPr>
              <w:t>2022年“外研社•国才杯</w:t>
            </w:r>
            <w:r>
              <w:rPr>
                <w:rFonts w:hint="eastAsia"/>
                <w:color w:val="000000"/>
                <w:kern w:val="0"/>
                <w:sz w:val="18"/>
                <w:szCs w:val="18"/>
              </w:rPr>
              <w:t>”</w:t>
            </w:r>
            <w:r>
              <w:rPr>
                <w:color w:val="000000"/>
                <w:kern w:val="0"/>
                <w:sz w:val="18"/>
                <w:szCs w:val="18"/>
              </w:rPr>
              <w:t>阅读大赛</w:t>
            </w:r>
          </w:p>
        </w:tc>
        <w:tc>
          <w:tcPr>
            <w:tcW w:w="590"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kern w:val="0"/>
                <w:sz w:val="18"/>
                <w:szCs w:val="18"/>
              </w:rPr>
            </w:pPr>
            <w:r>
              <w:rPr>
                <w:color w:val="000000"/>
                <w:kern w:val="0"/>
                <w:sz w:val="18"/>
                <w:szCs w:val="18"/>
              </w:rPr>
              <w:t>一等奖</w:t>
            </w:r>
          </w:p>
        </w:tc>
        <w:tc>
          <w:tcPr>
            <w:tcW w:w="1253"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kern w:val="0"/>
                <w:sz w:val="18"/>
                <w:szCs w:val="18"/>
              </w:rPr>
            </w:pPr>
            <w:r>
              <w:rPr>
                <w:color w:val="000000"/>
                <w:kern w:val="0"/>
                <w:sz w:val="18"/>
                <w:szCs w:val="18"/>
              </w:rPr>
              <w:t>校级</w:t>
            </w:r>
          </w:p>
        </w:tc>
      </w:tr>
      <w:tr>
        <w:tblPrEx>
          <w:tblCellMar>
            <w:top w:w="0" w:type="dxa"/>
            <w:left w:w="0" w:type="dxa"/>
            <w:bottom w:w="0" w:type="dxa"/>
            <w:right w:w="0" w:type="dxa"/>
          </w:tblCellMar>
        </w:tblPrEx>
        <w:trPr>
          <w:trHeight w:val="454"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商英2101</w:t>
            </w:r>
          </w:p>
        </w:tc>
        <w:tc>
          <w:tcPr>
            <w:tcW w:w="485"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周雅轩</w:t>
            </w:r>
          </w:p>
        </w:tc>
        <w:tc>
          <w:tcPr>
            <w:tcW w:w="2032"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2022年“外研社•国才杯</w:t>
            </w:r>
            <w:r>
              <w:rPr>
                <w:rFonts w:hint="eastAsia"/>
                <w:color w:val="000000"/>
                <w:kern w:val="0"/>
                <w:sz w:val="18"/>
                <w:szCs w:val="18"/>
              </w:rPr>
              <w:t>”</w:t>
            </w:r>
            <w:r>
              <w:rPr>
                <w:color w:val="000000"/>
                <w:kern w:val="0"/>
                <w:sz w:val="18"/>
                <w:szCs w:val="18"/>
              </w:rPr>
              <w:t>阅读大赛</w:t>
            </w:r>
          </w:p>
        </w:tc>
        <w:tc>
          <w:tcPr>
            <w:tcW w:w="590"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二等奖</w:t>
            </w:r>
          </w:p>
        </w:tc>
        <w:tc>
          <w:tcPr>
            <w:tcW w:w="1253"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校级</w:t>
            </w:r>
          </w:p>
        </w:tc>
      </w:tr>
      <w:tr>
        <w:tblPrEx>
          <w:tblCellMar>
            <w:top w:w="0" w:type="dxa"/>
            <w:left w:w="0" w:type="dxa"/>
            <w:bottom w:w="0" w:type="dxa"/>
            <w:right w:w="0" w:type="dxa"/>
          </w:tblCellMar>
        </w:tblPrEx>
        <w:trPr>
          <w:trHeight w:val="454"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商英2102</w:t>
            </w:r>
          </w:p>
        </w:tc>
        <w:tc>
          <w:tcPr>
            <w:tcW w:w="485"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刘梓睿</w:t>
            </w:r>
          </w:p>
        </w:tc>
        <w:tc>
          <w:tcPr>
            <w:tcW w:w="2032"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2022年“外研社•国才杯</w:t>
            </w:r>
            <w:r>
              <w:rPr>
                <w:rFonts w:hint="eastAsia"/>
                <w:color w:val="000000"/>
                <w:kern w:val="0"/>
                <w:sz w:val="18"/>
                <w:szCs w:val="18"/>
              </w:rPr>
              <w:t>”</w:t>
            </w:r>
            <w:r>
              <w:rPr>
                <w:color w:val="000000"/>
                <w:kern w:val="0"/>
                <w:sz w:val="18"/>
                <w:szCs w:val="18"/>
              </w:rPr>
              <w:t>演讲大赛</w:t>
            </w:r>
          </w:p>
        </w:tc>
        <w:tc>
          <w:tcPr>
            <w:tcW w:w="590"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特等奖</w:t>
            </w:r>
          </w:p>
        </w:tc>
        <w:tc>
          <w:tcPr>
            <w:tcW w:w="1253"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校级</w:t>
            </w:r>
          </w:p>
        </w:tc>
      </w:tr>
      <w:tr>
        <w:tblPrEx>
          <w:tblCellMar>
            <w:top w:w="0" w:type="dxa"/>
            <w:left w:w="0" w:type="dxa"/>
            <w:bottom w:w="0" w:type="dxa"/>
            <w:right w:w="0" w:type="dxa"/>
          </w:tblCellMar>
        </w:tblPrEx>
        <w:trPr>
          <w:trHeight w:val="454"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商英2102</w:t>
            </w:r>
          </w:p>
        </w:tc>
        <w:tc>
          <w:tcPr>
            <w:tcW w:w="485"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张</w:t>
            </w:r>
            <w:r>
              <w:rPr>
                <w:rFonts w:hint="eastAsia"/>
                <w:color w:val="000000"/>
                <w:kern w:val="0"/>
                <w:sz w:val="18"/>
                <w:szCs w:val="18"/>
              </w:rPr>
              <w:t xml:space="preserve">  </w:t>
            </w:r>
            <w:r>
              <w:rPr>
                <w:color w:val="000000"/>
                <w:kern w:val="0"/>
                <w:sz w:val="18"/>
                <w:szCs w:val="18"/>
              </w:rPr>
              <w:t>彤</w:t>
            </w:r>
          </w:p>
        </w:tc>
        <w:tc>
          <w:tcPr>
            <w:tcW w:w="2032"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第四届全国高校大学生外语水平能力大赛</w:t>
            </w:r>
          </w:p>
        </w:tc>
        <w:tc>
          <w:tcPr>
            <w:tcW w:w="590"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二等奖</w:t>
            </w:r>
          </w:p>
        </w:tc>
        <w:tc>
          <w:tcPr>
            <w:tcW w:w="1253"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国家级</w:t>
            </w:r>
          </w:p>
        </w:tc>
      </w:tr>
      <w:tr>
        <w:tblPrEx>
          <w:tblCellMar>
            <w:top w:w="0" w:type="dxa"/>
            <w:left w:w="0" w:type="dxa"/>
            <w:bottom w:w="0" w:type="dxa"/>
            <w:right w:w="0" w:type="dxa"/>
          </w:tblCellMar>
        </w:tblPrEx>
        <w:trPr>
          <w:trHeight w:val="454"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商英2102</w:t>
            </w:r>
          </w:p>
        </w:tc>
        <w:tc>
          <w:tcPr>
            <w:tcW w:w="485"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王晓丽</w:t>
            </w:r>
          </w:p>
        </w:tc>
        <w:tc>
          <w:tcPr>
            <w:tcW w:w="2032"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2022年“外研社•国才杯</w:t>
            </w:r>
            <w:r>
              <w:rPr>
                <w:rFonts w:hint="eastAsia"/>
                <w:color w:val="000000"/>
                <w:kern w:val="0"/>
                <w:sz w:val="18"/>
                <w:szCs w:val="18"/>
              </w:rPr>
              <w:t>”</w:t>
            </w:r>
            <w:r>
              <w:rPr>
                <w:color w:val="000000"/>
                <w:kern w:val="0"/>
                <w:sz w:val="18"/>
                <w:szCs w:val="18"/>
              </w:rPr>
              <w:t>阅读大赛</w:t>
            </w:r>
          </w:p>
        </w:tc>
        <w:tc>
          <w:tcPr>
            <w:tcW w:w="590"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二等奖</w:t>
            </w:r>
          </w:p>
        </w:tc>
        <w:tc>
          <w:tcPr>
            <w:tcW w:w="1253"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校级</w:t>
            </w:r>
          </w:p>
        </w:tc>
      </w:tr>
      <w:tr>
        <w:tblPrEx>
          <w:tblCellMar>
            <w:top w:w="0" w:type="dxa"/>
            <w:left w:w="0" w:type="dxa"/>
            <w:bottom w:w="0" w:type="dxa"/>
            <w:right w:w="0" w:type="dxa"/>
          </w:tblCellMar>
        </w:tblPrEx>
        <w:trPr>
          <w:trHeight w:val="454"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商英2102</w:t>
            </w:r>
          </w:p>
        </w:tc>
        <w:tc>
          <w:tcPr>
            <w:tcW w:w="485"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刘孟奇</w:t>
            </w:r>
          </w:p>
        </w:tc>
        <w:tc>
          <w:tcPr>
            <w:tcW w:w="2032"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2022年“外研社•国才杯</w:t>
            </w:r>
            <w:r>
              <w:rPr>
                <w:rFonts w:hint="eastAsia"/>
                <w:color w:val="000000"/>
                <w:kern w:val="0"/>
                <w:sz w:val="18"/>
                <w:szCs w:val="18"/>
              </w:rPr>
              <w:t>”</w:t>
            </w:r>
            <w:r>
              <w:rPr>
                <w:color w:val="000000"/>
                <w:kern w:val="0"/>
                <w:sz w:val="18"/>
                <w:szCs w:val="18"/>
              </w:rPr>
              <w:t>演讲大赛</w:t>
            </w:r>
          </w:p>
        </w:tc>
        <w:tc>
          <w:tcPr>
            <w:tcW w:w="590"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一等奖</w:t>
            </w:r>
          </w:p>
        </w:tc>
        <w:tc>
          <w:tcPr>
            <w:tcW w:w="1253"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校级</w:t>
            </w:r>
          </w:p>
        </w:tc>
      </w:tr>
      <w:tr>
        <w:tblPrEx>
          <w:tblCellMar>
            <w:top w:w="0" w:type="dxa"/>
            <w:left w:w="0" w:type="dxa"/>
            <w:bottom w:w="0" w:type="dxa"/>
            <w:right w:w="0" w:type="dxa"/>
          </w:tblCellMar>
        </w:tblPrEx>
        <w:trPr>
          <w:trHeight w:val="454"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商英电2101</w:t>
            </w:r>
          </w:p>
        </w:tc>
        <w:tc>
          <w:tcPr>
            <w:tcW w:w="485"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郭樱姬</w:t>
            </w:r>
          </w:p>
        </w:tc>
        <w:tc>
          <w:tcPr>
            <w:tcW w:w="2032"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2022年“外研社•国才杯</w:t>
            </w:r>
            <w:r>
              <w:rPr>
                <w:rFonts w:hint="eastAsia"/>
                <w:color w:val="000000"/>
                <w:kern w:val="0"/>
                <w:sz w:val="18"/>
                <w:szCs w:val="18"/>
              </w:rPr>
              <w:t>”</w:t>
            </w:r>
            <w:r>
              <w:rPr>
                <w:color w:val="000000"/>
                <w:kern w:val="0"/>
                <w:sz w:val="18"/>
                <w:szCs w:val="18"/>
              </w:rPr>
              <w:t>阅读大赛</w:t>
            </w:r>
          </w:p>
        </w:tc>
        <w:tc>
          <w:tcPr>
            <w:tcW w:w="590"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一等奖</w:t>
            </w:r>
          </w:p>
        </w:tc>
        <w:tc>
          <w:tcPr>
            <w:tcW w:w="1253"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校级</w:t>
            </w:r>
          </w:p>
        </w:tc>
      </w:tr>
      <w:tr>
        <w:tblPrEx>
          <w:tblCellMar>
            <w:top w:w="0" w:type="dxa"/>
            <w:left w:w="0" w:type="dxa"/>
            <w:bottom w:w="0" w:type="dxa"/>
            <w:right w:w="0" w:type="dxa"/>
          </w:tblCellMar>
        </w:tblPrEx>
        <w:trPr>
          <w:trHeight w:val="454"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商英电2101</w:t>
            </w:r>
          </w:p>
        </w:tc>
        <w:tc>
          <w:tcPr>
            <w:tcW w:w="485"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郝兆妮</w:t>
            </w:r>
          </w:p>
        </w:tc>
        <w:tc>
          <w:tcPr>
            <w:tcW w:w="2032"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2022年“外研社•国才杯</w:t>
            </w:r>
            <w:r>
              <w:rPr>
                <w:rFonts w:hint="eastAsia"/>
                <w:color w:val="000000"/>
                <w:kern w:val="0"/>
                <w:sz w:val="18"/>
                <w:szCs w:val="18"/>
              </w:rPr>
              <w:t>”</w:t>
            </w:r>
            <w:r>
              <w:rPr>
                <w:color w:val="000000"/>
                <w:kern w:val="0"/>
                <w:sz w:val="18"/>
                <w:szCs w:val="18"/>
              </w:rPr>
              <w:t>阅读大赛</w:t>
            </w:r>
          </w:p>
        </w:tc>
        <w:tc>
          <w:tcPr>
            <w:tcW w:w="590"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二等奖</w:t>
            </w:r>
          </w:p>
        </w:tc>
        <w:tc>
          <w:tcPr>
            <w:tcW w:w="1253"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校级</w:t>
            </w:r>
          </w:p>
        </w:tc>
      </w:tr>
      <w:tr>
        <w:tblPrEx>
          <w:tblCellMar>
            <w:top w:w="0" w:type="dxa"/>
            <w:left w:w="0" w:type="dxa"/>
            <w:bottom w:w="0" w:type="dxa"/>
            <w:right w:w="0" w:type="dxa"/>
          </w:tblCellMar>
        </w:tblPrEx>
        <w:trPr>
          <w:trHeight w:val="397"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商英电2101</w:t>
            </w:r>
          </w:p>
        </w:tc>
        <w:tc>
          <w:tcPr>
            <w:tcW w:w="485"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王小雨</w:t>
            </w:r>
          </w:p>
        </w:tc>
        <w:tc>
          <w:tcPr>
            <w:tcW w:w="2032"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2022年“外研社•国才杯</w:t>
            </w:r>
            <w:r>
              <w:rPr>
                <w:rFonts w:hint="eastAsia"/>
                <w:color w:val="000000"/>
                <w:kern w:val="0"/>
                <w:sz w:val="18"/>
                <w:szCs w:val="18"/>
              </w:rPr>
              <w:t>”</w:t>
            </w:r>
            <w:r>
              <w:rPr>
                <w:color w:val="000000"/>
                <w:kern w:val="0"/>
                <w:sz w:val="18"/>
                <w:szCs w:val="18"/>
              </w:rPr>
              <w:t>阅读大赛</w:t>
            </w:r>
          </w:p>
        </w:tc>
        <w:tc>
          <w:tcPr>
            <w:tcW w:w="590"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一等奖</w:t>
            </w:r>
          </w:p>
        </w:tc>
        <w:tc>
          <w:tcPr>
            <w:tcW w:w="1253"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校级</w:t>
            </w:r>
          </w:p>
        </w:tc>
      </w:tr>
      <w:tr>
        <w:tblPrEx>
          <w:tblCellMar>
            <w:top w:w="0" w:type="dxa"/>
            <w:left w:w="0" w:type="dxa"/>
            <w:bottom w:w="0" w:type="dxa"/>
            <w:right w:w="0" w:type="dxa"/>
          </w:tblCellMar>
        </w:tblPrEx>
        <w:trPr>
          <w:trHeight w:val="397"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商英2001</w:t>
            </w:r>
          </w:p>
        </w:tc>
        <w:tc>
          <w:tcPr>
            <w:tcW w:w="485"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郭园园</w:t>
            </w:r>
          </w:p>
        </w:tc>
        <w:tc>
          <w:tcPr>
            <w:tcW w:w="2032"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2022年“外研社•国才杯</w:t>
            </w:r>
            <w:r>
              <w:rPr>
                <w:rFonts w:hint="eastAsia"/>
                <w:color w:val="000000"/>
                <w:kern w:val="0"/>
                <w:sz w:val="18"/>
                <w:szCs w:val="18"/>
              </w:rPr>
              <w:t>”</w:t>
            </w:r>
            <w:r>
              <w:rPr>
                <w:color w:val="000000"/>
                <w:kern w:val="0"/>
                <w:sz w:val="18"/>
                <w:szCs w:val="18"/>
              </w:rPr>
              <w:t>阅读大赛</w:t>
            </w:r>
          </w:p>
        </w:tc>
        <w:tc>
          <w:tcPr>
            <w:tcW w:w="590"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一等奖</w:t>
            </w:r>
          </w:p>
        </w:tc>
        <w:tc>
          <w:tcPr>
            <w:tcW w:w="1253"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校级</w:t>
            </w:r>
          </w:p>
        </w:tc>
      </w:tr>
      <w:tr>
        <w:tblPrEx>
          <w:tblCellMar>
            <w:top w:w="0" w:type="dxa"/>
            <w:left w:w="0" w:type="dxa"/>
            <w:bottom w:w="0" w:type="dxa"/>
            <w:right w:w="0" w:type="dxa"/>
          </w:tblCellMar>
        </w:tblPrEx>
        <w:trPr>
          <w:trHeight w:val="397"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 xml:space="preserve">商英2002 </w:t>
            </w:r>
          </w:p>
        </w:tc>
        <w:tc>
          <w:tcPr>
            <w:tcW w:w="485"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王文娟</w:t>
            </w:r>
          </w:p>
        </w:tc>
        <w:tc>
          <w:tcPr>
            <w:tcW w:w="2032"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第六届全国高校商务英语竞赛</w:t>
            </w:r>
          </w:p>
        </w:tc>
        <w:tc>
          <w:tcPr>
            <w:tcW w:w="590"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一等奖</w:t>
            </w:r>
          </w:p>
        </w:tc>
        <w:tc>
          <w:tcPr>
            <w:tcW w:w="1253"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国家级</w:t>
            </w:r>
          </w:p>
        </w:tc>
      </w:tr>
      <w:tr>
        <w:tblPrEx>
          <w:tblCellMar>
            <w:top w:w="0" w:type="dxa"/>
            <w:left w:w="0" w:type="dxa"/>
            <w:bottom w:w="0" w:type="dxa"/>
            <w:right w:w="0" w:type="dxa"/>
          </w:tblCellMar>
        </w:tblPrEx>
        <w:trPr>
          <w:trHeight w:val="397"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 xml:space="preserve">商英电2001 </w:t>
            </w:r>
          </w:p>
        </w:tc>
        <w:tc>
          <w:tcPr>
            <w:tcW w:w="485"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付贵家</w:t>
            </w:r>
          </w:p>
        </w:tc>
        <w:tc>
          <w:tcPr>
            <w:tcW w:w="2032"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2022年“外研社•国才杯</w:t>
            </w:r>
            <w:r>
              <w:rPr>
                <w:rFonts w:hint="eastAsia"/>
                <w:color w:val="000000"/>
                <w:kern w:val="0"/>
                <w:sz w:val="18"/>
                <w:szCs w:val="18"/>
              </w:rPr>
              <w:t>”</w:t>
            </w:r>
            <w:r>
              <w:rPr>
                <w:color w:val="000000"/>
                <w:kern w:val="0"/>
                <w:sz w:val="18"/>
                <w:szCs w:val="18"/>
              </w:rPr>
              <w:t>阅读大赛</w:t>
            </w:r>
          </w:p>
        </w:tc>
        <w:tc>
          <w:tcPr>
            <w:tcW w:w="590"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一等奖</w:t>
            </w:r>
          </w:p>
        </w:tc>
        <w:tc>
          <w:tcPr>
            <w:tcW w:w="1253"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校级</w:t>
            </w:r>
          </w:p>
        </w:tc>
      </w:tr>
      <w:tr>
        <w:tblPrEx>
          <w:tblCellMar>
            <w:top w:w="0" w:type="dxa"/>
            <w:left w:w="0" w:type="dxa"/>
            <w:bottom w:w="0" w:type="dxa"/>
            <w:right w:w="0" w:type="dxa"/>
          </w:tblCellMar>
        </w:tblPrEx>
        <w:trPr>
          <w:trHeight w:val="397"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商英电2003</w:t>
            </w:r>
          </w:p>
        </w:tc>
        <w:tc>
          <w:tcPr>
            <w:tcW w:w="485"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马梦瑶</w:t>
            </w:r>
          </w:p>
        </w:tc>
        <w:tc>
          <w:tcPr>
            <w:tcW w:w="2032"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2022年“外研社•国才杯</w:t>
            </w:r>
            <w:r>
              <w:rPr>
                <w:rFonts w:hint="eastAsia"/>
                <w:color w:val="000000"/>
                <w:kern w:val="0"/>
                <w:sz w:val="18"/>
                <w:szCs w:val="18"/>
              </w:rPr>
              <w:t>”</w:t>
            </w:r>
            <w:r>
              <w:rPr>
                <w:color w:val="000000"/>
                <w:kern w:val="0"/>
                <w:sz w:val="18"/>
                <w:szCs w:val="18"/>
              </w:rPr>
              <w:t>阅读大赛</w:t>
            </w:r>
          </w:p>
        </w:tc>
        <w:tc>
          <w:tcPr>
            <w:tcW w:w="590"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一等奖</w:t>
            </w:r>
          </w:p>
        </w:tc>
        <w:tc>
          <w:tcPr>
            <w:tcW w:w="1253"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校级</w:t>
            </w:r>
          </w:p>
        </w:tc>
      </w:tr>
      <w:tr>
        <w:tblPrEx>
          <w:tblCellMar>
            <w:top w:w="0" w:type="dxa"/>
            <w:left w:w="0" w:type="dxa"/>
            <w:bottom w:w="0" w:type="dxa"/>
            <w:right w:w="0" w:type="dxa"/>
          </w:tblCellMar>
        </w:tblPrEx>
        <w:trPr>
          <w:trHeight w:val="397"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商英电2003</w:t>
            </w:r>
          </w:p>
        </w:tc>
        <w:tc>
          <w:tcPr>
            <w:tcW w:w="485"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朱馨萌</w:t>
            </w:r>
          </w:p>
        </w:tc>
        <w:tc>
          <w:tcPr>
            <w:tcW w:w="2032"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2022年“外研社•国才杯</w:t>
            </w:r>
            <w:r>
              <w:rPr>
                <w:rFonts w:hint="eastAsia"/>
                <w:color w:val="000000"/>
                <w:kern w:val="0"/>
                <w:sz w:val="18"/>
                <w:szCs w:val="18"/>
              </w:rPr>
              <w:t>”</w:t>
            </w:r>
            <w:r>
              <w:rPr>
                <w:color w:val="000000"/>
                <w:kern w:val="0"/>
                <w:sz w:val="18"/>
                <w:szCs w:val="18"/>
              </w:rPr>
              <w:t>阅读大赛</w:t>
            </w:r>
          </w:p>
        </w:tc>
        <w:tc>
          <w:tcPr>
            <w:tcW w:w="590"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一等奖</w:t>
            </w:r>
          </w:p>
        </w:tc>
        <w:tc>
          <w:tcPr>
            <w:tcW w:w="1253"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校级</w:t>
            </w:r>
          </w:p>
        </w:tc>
      </w:tr>
      <w:tr>
        <w:tblPrEx>
          <w:tblCellMar>
            <w:top w:w="0" w:type="dxa"/>
            <w:left w:w="0" w:type="dxa"/>
            <w:bottom w:w="0" w:type="dxa"/>
            <w:right w:w="0" w:type="dxa"/>
          </w:tblCellMar>
        </w:tblPrEx>
        <w:trPr>
          <w:trHeight w:val="397"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 xml:space="preserve">商英1901 </w:t>
            </w:r>
          </w:p>
        </w:tc>
        <w:tc>
          <w:tcPr>
            <w:tcW w:w="485"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孙子淇</w:t>
            </w:r>
          </w:p>
        </w:tc>
        <w:tc>
          <w:tcPr>
            <w:tcW w:w="2032"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第六届全国高校商务英语竞赛</w:t>
            </w:r>
          </w:p>
        </w:tc>
        <w:tc>
          <w:tcPr>
            <w:tcW w:w="590"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一等奖</w:t>
            </w:r>
          </w:p>
        </w:tc>
        <w:tc>
          <w:tcPr>
            <w:tcW w:w="1253"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国家级</w:t>
            </w:r>
          </w:p>
        </w:tc>
      </w:tr>
      <w:tr>
        <w:tblPrEx>
          <w:tblCellMar>
            <w:top w:w="0" w:type="dxa"/>
            <w:left w:w="0" w:type="dxa"/>
            <w:bottom w:w="0" w:type="dxa"/>
            <w:right w:w="0" w:type="dxa"/>
          </w:tblCellMar>
        </w:tblPrEx>
        <w:trPr>
          <w:trHeight w:val="397"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商英1901</w:t>
            </w:r>
          </w:p>
        </w:tc>
        <w:tc>
          <w:tcPr>
            <w:tcW w:w="485"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何依晴</w:t>
            </w:r>
          </w:p>
        </w:tc>
        <w:tc>
          <w:tcPr>
            <w:tcW w:w="2032"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第六届全国高校商务英语竞赛</w:t>
            </w:r>
          </w:p>
        </w:tc>
        <w:tc>
          <w:tcPr>
            <w:tcW w:w="590"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二等奖</w:t>
            </w:r>
          </w:p>
        </w:tc>
        <w:tc>
          <w:tcPr>
            <w:tcW w:w="1253"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国家级</w:t>
            </w:r>
          </w:p>
        </w:tc>
      </w:tr>
      <w:tr>
        <w:tblPrEx>
          <w:tblCellMar>
            <w:top w:w="0" w:type="dxa"/>
            <w:left w:w="0" w:type="dxa"/>
            <w:bottom w:w="0" w:type="dxa"/>
            <w:right w:w="0" w:type="dxa"/>
          </w:tblCellMar>
        </w:tblPrEx>
        <w:trPr>
          <w:trHeight w:val="397"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商英1902</w:t>
            </w:r>
          </w:p>
        </w:tc>
        <w:tc>
          <w:tcPr>
            <w:tcW w:w="485"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宋美雪</w:t>
            </w:r>
          </w:p>
        </w:tc>
        <w:tc>
          <w:tcPr>
            <w:tcW w:w="2032"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line="240" w:lineRule="auto"/>
              <w:jc w:val="center"/>
              <w:rPr>
                <w:color w:val="000000"/>
                <w:kern w:val="0"/>
                <w:sz w:val="18"/>
                <w:szCs w:val="18"/>
              </w:rPr>
            </w:pPr>
            <w:r>
              <w:rPr>
                <w:color w:val="000000"/>
                <w:kern w:val="0"/>
                <w:sz w:val="18"/>
                <w:szCs w:val="18"/>
              </w:rPr>
              <w:t>第四届BETT全国商务英语翻译大赛</w:t>
            </w:r>
          </w:p>
        </w:tc>
        <w:tc>
          <w:tcPr>
            <w:tcW w:w="590"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line="240" w:lineRule="auto"/>
              <w:jc w:val="center"/>
              <w:rPr>
                <w:color w:val="000000"/>
                <w:kern w:val="0"/>
                <w:sz w:val="18"/>
                <w:szCs w:val="18"/>
              </w:rPr>
            </w:pPr>
            <w:r>
              <w:rPr>
                <w:color w:val="000000"/>
                <w:kern w:val="0"/>
                <w:sz w:val="18"/>
                <w:szCs w:val="18"/>
              </w:rPr>
              <w:t>二等奖</w:t>
            </w:r>
          </w:p>
        </w:tc>
        <w:tc>
          <w:tcPr>
            <w:tcW w:w="1253"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省级</w:t>
            </w:r>
          </w:p>
        </w:tc>
      </w:tr>
      <w:tr>
        <w:tblPrEx>
          <w:tblCellMar>
            <w:top w:w="0" w:type="dxa"/>
            <w:left w:w="0" w:type="dxa"/>
            <w:bottom w:w="0" w:type="dxa"/>
            <w:right w:w="0" w:type="dxa"/>
          </w:tblCellMar>
        </w:tblPrEx>
        <w:trPr>
          <w:trHeight w:val="397"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 xml:space="preserve">商英电1901 </w:t>
            </w:r>
          </w:p>
        </w:tc>
        <w:tc>
          <w:tcPr>
            <w:tcW w:w="485"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李沂霏</w:t>
            </w:r>
          </w:p>
        </w:tc>
        <w:tc>
          <w:tcPr>
            <w:tcW w:w="2032"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2022年“外研社•国才杯</w:t>
            </w:r>
            <w:r>
              <w:rPr>
                <w:rFonts w:hint="eastAsia"/>
                <w:color w:val="000000"/>
                <w:kern w:val="0"/>
                <w:sz w:val="18"/>
                <w:szCs w:val="18"/>
              </w:rPr>
              <w:t>”</w:t>
            </w:r>
            <w:r>
              <w:rPr>
                <w:color w:val="000000"/>
                <w:kern w:val="0"/>
                <w:sz w:val="18"/>
                <w:szCs w:val="18"/>
              </w:rPr>
              <w:t>阅读大赛</w:t>
            </w:r>
          </w:p>
        </w:tc>
        <w:tc>
          <w:tcPr>
            <w:tcW w:w="590"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一等奖</w:t>
            </w:r>
          </w:p>
        </w:tc>
        <w:tc>
          <w:tcPr>
            <w:tcW w:w="1253"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校级</w:t>
            </w:r>
          </w:p>
        </w:tc>
      </w:tr>
      <w:tr>
        <w:tblPrEx>
          <w:tblCellMar>
            <w:top w:w="0" w:type="dxa"/>
            <w:left w:w="0" w:type="dxa"/>
            <w:bottom w:w="0" w:type="dxa"/>
            <w:right w:w="0" w:type="dxa"/>
          </w:tblCellMar>
        </w:tblPrEx>
        <w:trPr>
          <w:trHeight w:val="397"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 xml:space="preserve">商英电1901 </w:t>
            </w:r>
          </w:p>
        </w:tc>
        <w:tc>
          <w:tcPr>
            <w:tcW w:w="485"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高忱忱</w:t>
            </w:r>
          </w:p>
        </w:tc>
        <w:tc>
          <w:tcPr>
            <w:tcW w:w="2032"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第四届BETT全国商务英语翻译大赛</w:t>
            </w:r>
          </w:p>
        </w:tc>
        <w:tc>
          <w:tcPr>
            <w:tcW w:w="590"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二等奖</w:t>
            </w:r>
          </w:p>
        </w:tc>
        <w:tc>
          <w:tcPr>
            <w:tcW w:w="1253" w:type="pct"/>
            <w:tcBorders>
              <w:top w:val="single" w:color="FFFFFF" w:sz="6" w:space="0"/>
              <w:left w:val="single" w:color="FFFFFF" w:sz="6" w:space="0"/>
              <w:bottom w:val="single" w:color="FFFFFF" w:sz="18" w:space="0"/>
              <w:right w:val="single" w:color="FFFFFF" w:sz="6" w:space="0"/>
            </w:tcBorders>
            <w:shd w:val="clear" w:color="auto" w:fill="EAEFFA"/>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国家级</w:t>
            </w:r>
          </w:p>
        </w:tc>
      </w:tr>
      <w:tr>
        <w:tblPrEx>
          <w:tblCellMar>
            <w:top w:w="0" w:type="dxa"/>
            <w:left w:w="0" w:type="dxa"/>
            <w:bottom w:w="0" w:type="dxa"/>
            <w:right w:w="0" w:type="dxa"/>
          </w:tblCellMar>
        </w:tblPrEx>
        <w:trPr>
          <w:trHeight w:val="397"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商英电1901</w:t>
            </w:r>
          </w:p>
        </w:tc>
        <w:tc>
          <w:tcPr>
            <w:tcW w:w="485"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王嘉睿</w:t>
            </w:r>
          </w:p>
        </w:tc>
        <w:tc>
          <w:tcPr>
            <w:tcW w:w="2032"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全国高校大学生外语水平能力大赛</w:t>
            </w:r>
          </w:p>
        </w:tc>
        <w:tc>
          <w:tcPr>
            <w:tcW w:w="590"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二等奖</w:t>
            </w:r>
          </w:p>
        </w:tc>
        <w:tc>
          <w:tcPr>
            <w:tcW w:w="1253"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国家级</w:t>
            </w:r>
          </w:p>
        </w:tc>
      </w:tr>
      <w:tr>
        <w:tblPrEx>
          <w:tblCellMar>
            <w:top w:w="0" w:type="dxa"/>
            <w:left w:w="0" w:type="dxa"/>
            <w:bottom w:w="0" w:type="dxa"/>
            <w:right w:w="0" w:type="dxa"/>
          </w:tblCellMar>
        </w:tblPrEx>
        <w:trPr>
          <w:trHeight w:val="397" w:hRule="atLeast"/>
          <w:tblCellSpacing w:w="0" w:type="dxa"/>
        </w:trPr>
        <w:tc>
          <w:tcPr>
            <w:tcW w:w="637" w:type="pct"/>
            <w:tcBorders>
              <w:top w:val="single" w:color="FFFFFF" w:sz="6" w:space="0"/>
              <w:left w:val="single" w:color="FFFFFF" w:sz="6" w:space="0"/>
              <w:bottom w:val="single" w:color="FFFFFF" w:sz="6"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商英电1902</w:t>
            </w:r>
          </w:p>
        </w:tc>
        <w:tc>
          <w:tcPr>
            <w:tcW w:w="485" w:type="pct"/>
            <w:tcBorders>
              <w:top w:val="single" w:color="FFFFFF" w:sz="6" w:space="0"/>
              <w:left w:val="single" w:color="FFFFFF" w:sz="6" w:space="0"/>
              <w:bottom w:val="single" w:color="FFFFFF" w:sz="6"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陈青硕</w:t>
            </w:r>
          </w:p>
        </w:tc>
        <w:tc>
          <w:tcPr>
            <w:tcW w:w="2032" w:type="pct"/>
            <w:tcBorders>
              <w:top w:val="single" w:color="FFFFFF" w:sz="6" w:space="0"/>
              <w:left w:val="single" w:color="FFFFFF" w:sz="6" w:space="0"/>
              <w:bottom w:val="single" w:color="FFFFFF" w:sz="6"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第六届全国高校商务英语竞赛</w:t>
            </w:r>
          </w:p>
        </w:tc>
        <w:tc>
          <w:tcPr>
            <w:tcW w:w="590" w:type="pct"/>
            <w:tcBorders>
              <w:top w:val="single" w:color="FFFFFF" w:sz="6" w:space="0"/>
              <w:left w:val="single" w:color="FFFFFF" w:sz="6" w:space="0"/>
              <w:bottom w:val="single" w:color="FFFFFF" w:sz="6"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二等奖</w:t>
            </w:r>
          </w:p>
        </w:tc>
        <w:tc>
          <w:tcPr>
            <w:tcW w:w="1253" w:type="pct"/>
            <w:tcBorders>
              <w:top w:val="single" w:color="FFFFFF" w:sz="6" w:space="0"/>
              <w:left w:val="single" w:color="FFFFFF" w:sz="6" w:space="0"/>
              <w:bottom w:val="single" w:color="FFFFFF" w:sz="6"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国家级</w:t>
            </w:r>
          </w:p>
        </w:tc>
      </w:tr>
      <w:tr>
        <w:tblPrEx>
          <w:tblCellMar>
            <w:top w:w="0" w:type="dxa"/>
            <w:left w:w="0" w:type="dxa"/>
            <w:bottom w:w="0" w:type="dxa"/>
            <w:right w:w="0" w:type="dxa"/>
          </w:tblCellMar>
        </w:tblPrEx>
        <w:trPr>
          <w:trHeight w:val="397" w:hRule="atLeast"/>
          <w:tblCellSpacing w:w="0" w:type="dxa"/>
        </w:trPr>
        <w:tc>
          <w:tcPr>
            <w:tcW w:w="637"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商英电1902</w:t>
            </w:r>
          </w:p>
        </w:tc>
        <w:tc>
          <w:tcPr>
            <w:tcW w:w="485"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李晓灿</w:t>
            </w:r>
          </w:p>
        </w:tc>
        <w:tc>
          <w:tcPr>
            <w:tcW w:w="2032"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第六届全国高校商务英语竞赛</w:t>
            </w:r>
          </w:p>
        </w:tc>
        <w:tc>
          <w:tcPr>
            <w:tcW w:w="590"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二等奖</w:t>
            </w:r>
          </w:p>
        </w:tc>
        <w:tc>
          <w:tcPr>
            <w:tcW w:w="1253" w:type="pct"/>
            <w:tcBorders>
              <w:top w:val="single" w:color="FFFFFF" w:sz="6" w:space="0"/>
              <w:left w:val="single" w:color="FFFFFF" w:sz="6" w:space="0"/>
              <w:bottom w:val="single" w:color="FFFFFF" w:sz="18" w:space="0"/>
              <w:right w:val="single" w:color="FFFFFF" w:sz="6" w:space="0"/>
            </w:tcBorders>
            <w:shd w:val="clear" w:color="auto" w:fill="D2DDF5"/>
            <w:tcMar>
              <w:top w:w="10" w:type="dxa"/>
              <w:left w:w="40" w:type="dxa"/>
              <w:bottom w:w="10" w:type="dxa"/>
              <w:right w:w="40" w:type="dxa"/>
            </w:tcMar>
            <w:vAlign w:val="center"/>
          </w:tcPr>
          <w:p>
            <w:pPr>
              <w:widowControl/>
              <w:spacing w:before="100" w:beforeAutospacing="1" w:after="100" w:afterAutospacing="1" w:line="240" w:lineRule="auto"/>
              <w:jc w:val="center"/>
              <w:rPr>
                <w:color w:val="000000"/>
                <w:kern w:val="0"/>
                <w:sz w:val="18"/>
                <w:szCs w:val="18"/>
              </w:rPr>
            </w:pPr>
            <w:r>
              <w:rPr>
                <w:color w:val="000000"/>
                <w:kern w:val="0"/>
                <w:sz w:val="18"/>
                <w:szCs w:val="18"/>
              </w:rPr>
              <w:t>国家级</w:t>
            </w:r>
          </w:p>
        </w:tc>
      </w:tr>
    </w:tbl>
    <w:p/>
    <w:p>
      <w:pPr>
        <w:ind w:firstLine="480"/>
        <w:rPr>
          <w:rFonts w:eastAsiaTheme="majorEastAsia"/>
          <w:szCs w:val="24"/>
        </w:rPr>
      </w:pPr>
      <w:r>
        <w:rPr>
          <w:rFonts w:eastAsiaTheme="majorEastAsia"/>
          <w:szCs w:val="24"/>
        </w:rPr>
        <w:t>（</w:t>
      </w:r>
      <w:r>
        <w:rPr>
          <w:rFonts w:hint="eastAsia" w:eastAsiaTheme="majorEastAsia"/>
          <w:szCs w:val="24"/>
        </w:rPr>
        <w:t>6</w:t>
      </w:r>
      <w:r>
        <w:rPr>
          <w:rFonts w:eastAsiaTheme="majorEastAsia"/>
          <w:szCs w:val="24"/>
        </w:rPr>
        <w:t>）组建商务英语应用团队</w:t>
      </w:r>
    </w:p>
    <w:p>
      <w:pPr>
        <w:ind w:firstLine="480"/>
        <w:rPr>
          <w:rFonts w:eastAsiaTheme="majorEastAsia"/>
          <w:szCs w:val="24"/>
        </w:rPr>
      </w:pPr>
      <w:r>
        <w:rPr>
          <w:rFonts w:eastAsiaTheme="majorEastAsia"/>
          <w:szCs w:val="24"/>
        </w:rPr>
        <w:t>除创新创业之外，商务英语系组建英语应用能力实践辅导团队，包括英语演讲与辩论团队，商务英语翻译团队、英语写作团队和英语戏剧社，利用课外时间，定期有序辅导学生，助力学生专业能力提高。同时各团队辅导老师结合国内相关竞赛要求，制订了校级相应赛事的活动方案。</w:t>
      </w:r>
    </w:p>
    <w:p>
      <w:pPr>
        <w:pStyle w:val="5"/>
        <w:spacing w:before="93" w:after="93"/>
        <w:ind w:firstLine="560"/>
      </w:pPr>
      <w:bookmarkStart w:id="533" w:name="_Toc1873"/>
      <w:r>
        <w:t>三、培养条件</w:t>
      </w:r>
      <w:bookmarkEnd w:id="533"/>
    </w:p>
    <w:p>
      <w:pPr>
        <w:pStyle w:val="7"/>
        <w:ind w:firstLine="480"/>
      </w:pPr>
      <w:r>
        <w:t>1.教学经费投入</w:t>
      </w:r>
    </w:p>
    <w:p>
      <w:pPr>
        <w:ind w:firstLine="480"/>
      </w:pPr>
      <w:r>
        <w:t>外国语学院对英语专业、日语专业、俄语专业和商务英语专业共投入资金充裕，用于书籍资料购置，课程建设，教学改革，师资培养和实践基地建设等工作。商务英语专业教学经费较充足，可以保证教学资料购买、教学软件更新、教学设备维修，能够较好地满足教学需求。</w:t>
      </w:r>
    </w:p>
    <w:p>
      <w:pPr>
        <w:pStyle w:val="7"/>
        <w:keepNext w:val="0"/>
        <w:keepLines w:val="0"/>
        <w:ind w:firstLine="482"/>
      </w:pPr>
      <w:r>
        <w:t>2.教学设备</w:t>
      </w:r>
    </w:p>
    <w:p>
      <w:pPr>
        <w:ind w:firstLine="482"/>
      </w:pPr>
      <w:r>
        <w:t>商务英语专业依托学院的语言训练中心，开展教学活动。同时，针对商务英语专业特点，新上了先进的教学设备。新增了同声传译实验室，用于同声传译教学的实战训练以及同声传译、交替传译等课程的课堂训练，实现了会议和同传教学训练两个平台和交替传译、同声传译会议、模拟会议、自主学习、测试等功能的实现。设立商务实训室，配备了厦门亿学3D仿真商务英语综合实训系统，配备外贸认知理实一体化教学平台、世格外贸教学软件。辅助主要课程进行实践操作，如国际贸易单证与合同、国际商务函电实践、国际贸易谈判模拟实践、国际贸易实践与报告、进出口业务模拟实践、电子商务实践、国际会展实践等。开展与山东网商集团的合作，投资30余万元，建立了跨境电商实习基地，占地140平方米。配备了48台电脑，加装了阿里巴巴跨境电商运营软件，并利用阿里巴巴平台，开展课程培训及训练。学院多方争取资金，改造了学院原有的两个语音室，同时新建了一间机器辅助翻译实验室，安装了翻译训练软件，为翻译教学的开展提供了必要的保障。</w:t>
      </w:r>
    </w:p>
    <w:p>
      <w:pPr>
        <w:pStyle w:val="7"/>
        <w:ind w:firstLine="480"/>
      </w:pPr>
      <w:r>
        <w:t>3.教师队伍建设</w:t>
      </w:r>
    </w:p>
    <w:p>
      <w:pPr>
        <w:ind w:firstLine="480"/>
      </w:pPr>
      <w:r>
        <w:t>商务英语系（包括商务英语专业和商务英语专业（跨境电商方向））现有任课教师11人，具有高级职称教师占55%，有博士学位2人，跨专业攻读经理管理博士2人，在读博士2人，具有硕士以上学历教师占100%，其中5人有海外访学经历，形成了一支由博士、硕士研究生学历组成的充满活力的梯形教学、科研队伍；长期聘有外籍教师任教课程，外籍教师中学术背景皆与商务有关；与此同时，还聘请了经济管理类兼职教授，并与十五家企业结对子，聘请企业老总担任就业培训师来院讲学任教。2018年9月商务英语专业（跨境电商方向）开始招收第一届学生，除现有的任课老师外，还有企业教师担任部分专业课程。</w:t>
      </w:r>
    </w:p>
    <w:p>
      <w:pPr>
        <w:ind w:firstLine="480"/>
        <w:rPr>
          <w:szCs w:val="24"/>
        </w:rPr>
      </w:pPr>
      <w:r>
        <w:rPr>
          <w:szCs w:val="24"/>
        </w:rPr>
        <w:t>商务英语系教师锐意进取，团结协作，在教学科研方面取得卓越成绩。近年来， 1人获第十届</w:t>
      </w:r>
      <w:r>
        <w:rPr>
          <w:rFonts w:hint="eastAsia"/>
          <w:szCs w:val="24"/>
        </w:rPr>
        <w:t>“</w:t>
      </w:r>
      <w:r>
        <w:rPr>
          <w:szCs w:val="24"/>
        </w:rPr>
        <w:t>外教社杯</w:t>
      </w:r>
      <w:r>
        <w:rPr>
          <w:rFonts w:hint="eastAsia"/>
          <w:szCs w:val="24"/>
        </w:rPr>
        <w:t>”</w:t>
      </w:r>
      <w:r>
        <w:rPr>
          <w:szCs w:val="24"/>
        </w:rPr>
        <w:t>全国高校外语教学大赛全国总决赛二等奖以及山东赛区特等奖； 1人获得外研社</w:t>
      </w:r>
      <w:r>
        <w:rPr>
          <w:rFonts w:hint="eastAsia"/>
          <w:szCs w:val="24"/>
        </w:rPr>
        <w:t>“</w:t>
      </w:r>
      <w:r>
        <w:rPr>
          <w:szCs w:val="24"/>
        </w:rPr>
        <w:t>教学之星</w:t>
      </w:r>
      <w:r>
        <w:rPr>
          <w:rFonts w:hint="eastAsia"/>
          <w:szCs w:val="24"/>
        </w:rPr>
        <w:t>”</w:t>
      </w:r>
      <w:r>
        <w:rPr>
          <w:szCs w:val="24"/>
        </w:rPr>
        <w:t>高校教师英语讲课比赛一等奖、2人获</w:t>
      </w:r>
      <w:r>
        <w:rPr>
          <w:rFonts w:hint="eastAsia"/>
          <w:szCs w:val="24"/>
        </w:rPr>
        <w:t>“</w:t>
      </w:r>
      <w:r>
        <w:rPr>
          <w:szCs w:val="24"/>
        </w:rPr>
        <w:t>外教社杯</w:t>
      </w:r>
      <w:r>
        <w:rPr>
          <w:rFonts w:hint="eastAsia"/>
          <w:szCs w:val="24"/>
        </w:rPr>
        <w:t>”</w:t>
      </w:r>
      <w:r>
        <w:rPr>
          <w:szCs w:val="24"/>
        </w:rPr>
        <w:t>全国高校山东赛区一等奖、2人获校青年教师讲课比赛一等奖、2人获二等奖， 1人获山东省教育科学研究优秀成果奖二等奖、4人获校教学质量奖、2人获泰安市社会科学成果二等奖。主持多项教育部人文社科项目、山东省社科基金，山东省研究生教育创新计划项目、山东省教育科学规划课题、山东省教学改革课题以及泰安市级课题，在CSSCI、北大中文核心及其他正式期刊发表论文80余篇，其中中文核心17篇，外语类核心7篇，CSSCI期刊8篇，著作及译著4部。</w:t>
      </w:r>
    </w:p>
    <w:p>
      <w:pPr>
        <w:ind w:firstLine="480"/>
      </w:pPr>
      <w:r>
        <w:t>2021-2022年度，商务英语专业获评</w:t>
      </w:r>
      <w:r>
        <w:rPr>
          <w:rFonts w:hint="eastAsia"/>
        </w:rPr>
        <w:t>“</w:t>
      </w:r>
      <w:r>
        <w:t>山东省一流本科专业</w:t>
      </w:r>
      <w:r>
        <w:rPr>
          <w:rFonts w:hint="eastAsia"/>
        </w:rPr>
        <w:t>”</w:t>
      </w:r>
      <w:r>
        <w:t>，《商务综合英语1》获评山东省一流线下课程，《国际会展实践》获评山东省一流实践课程1名教师成功立项</w:t>
      </w:r>
      <w:r>
        <w:rPr>
          <w:rFonts w:hint="eastAsia"/>
        </w:rPr>
        <w:t>“</w:t>
      </w:r>
      <w:r>
        <w:t>山东省教学改革重点项目</w:t>
      </w:r>
      <w:r>
        <w:rPr>
          <w:rFonts w:hint="eastAsia"/>
        </w:rPr>
        <w:t>”</w:t>
      </w:r>
      <w:r>
        <w:t>，1名教师出版译著一部，1名教师获校级教改课题一项，1名教师获泰安市社科立项，教师共发表论文10篇。</w:t>
      </w:r>
    </w:p>
    <w:p>
      <w:pPr>
        <w:ind w:firstLine="480"/>
      </w:pPr>
      <w:r>
        <w:t>此外，商务英语专业通过鼓励教师进修、访学、考博、参加培训等，进一步提高教师队伍的教学科研水平。近年来共派出4名教师赴国内外访学, 3位老师跨专业攻读经济管理博士。另外，在学校政策的支持下，选派4名骨干教师赴英国进行短期培训。商务英语系全体教师还积极参加各级各类专业教学科研培训，为进一步推进课程教学改革和科研能力提升提供了良好条件。</w:t>
      </w:r>
    </w:p>
    <w:p>
      <w:pPr>
        <w:pStyle w:val="7"/>
        <w:ind w:firstLine="480"/>
      </w:pPr>
      <w:r>
        <w:t>4.实习基地</w:t>
      </w:r>
    </w:p>
    <w:p>
      <w:pPr>
        <w:ind w:firstLine="480"/>
      </w:pPr>
      <w:r>
        <w:t>商务英语专业与泰安市15家企业建立校外实习基地合作关系，如鲁普耐特绳业有限公司、秦工国际集团、泰安市大展城市发展有限公司、齐鲁名典咖啡语茶有限公司、泰安市新农方舟饲料有限公司、泰安文友书店、澳泰食品公司、豪迈集团等。2018年7月我院在泰安市外国专家局挂牌成立了校外实习基地，并连续四届累计派出260余名学生承担起</w:t>
      </w:r>
      <w:r>
        <w:rPr>
          <w:rFonts w:hint="eastAsia"/>
        </w:rPr>
        <w:t>“</w:t>
      </w:r>
      <w:r>
        <w:t>外国专家泰安行</w:t>
      </w:r>
      <w:r>
        <w:rPr>
          <w:rFonts w:hint="eastAsia"/>
        </w:rPr>
        <w:t>”</w:t>
      </w:r>
      <w:r>
        <w:t>活动的翻译工作，锻炼了学生的实践能力。在校外建立实训基地，聘请行业专家担任创业导师，实践创业导师素质优良，数量充足。学院还专门设立创客空间并专门在文理大楼3层腾出一间30多平方米的房间供创业孵化团队使用。校外实习基地的不断增加，不仅从硬件上保证了实习训练的进行，而且从软件上提供了高水平支持，为我院培养出大量专业性、实用型商务人才。</w:t>
      </w:r>
    </w:p>
    <w:p>
      <w:pPr>
        <w:pStyle w:val="7"/>
        <w:ind w:firstLine="480"/>
      </w:pPr>
      <w:r>
        <w:t>5.现代教学技术应用</w:t>
      </w:r>
    </w:p>
    <w:p>
      <w:pPr>
        <w:ind w:firstLine="480"/>
      </w:pPr>
      <w:r>
        <w:t>商务英语专业近年来大力推进现代教育技术应用，《国际会展实践》于2021年获批</w:t>
      </w:r>
      <w:r>
        <w:rPr>
          <w:rFonts w:hint="eastAsia"/>
        </w:rPr>
        <w:t>“</w:t>
      </w:r>
      <w:r>
        <w:t>山东省一流课程</w:t>
      </w:r>
      <w:r>
        <w:rPr>
          <w:rFonts w:hint="eastAsia"/>
        </w:rPr>
        <w:t>”</w:t>
      </w:r>
      <w:r>
        <w:t>。另外在实践环节也加强了现代教育技术的应用，设立商务实训室，配备了厦门亿学3D仿真商务英语综合实训系统，配备外贸认知理实一体化教学平台、世格外贸教学软件。为配合学生主干课程的学习，提高学生的实践能力提供了技术保障。</w:t>
      </w:r>
    </w:p>
    <w:p>
      <w:pPr>
        <w:pStyle w:val="5"/>
        <w:spacing w:before="93" w:after="93"/>
        <w:ind w:firstLine="560"/>
      </w:pPr>
      <w:bookmarkStart w:id="534" w:name="_Toc29743"/>
      <w:r>
        <w:t>四、培养机制</w:t>
      </w:r>
      <w:bookmarkEnd w:id="534"/>
    </w:p>
    <w:p>
      <w:pPr>
        <w:pStyle w:val="7"/>
        <w:ind w:firstLine="480"/>
      </w:pPr>
      <w:r>
        <w:t>1.产学研协同育人机制</w:t>
      </w:r>
    </w:p>
    <w:p>
      <w:pPr>
        <w:ind w:firstLine="480"/>
      </w:pPr>
      <w:r>
        <w:t>商务英语专业积极与相关企业、学院合作，为培养商务英语及商务英语（跨境电商）符合型人才搭建平台。开展与山东网商集团的合作，建立了商务英语（跨境电商）专业，聘请企业专家进课堂，为学生进行专业课程的讲授及实践环节的指导；建立跨境电商实习基地，为提高学生实践能力提供平台；与泰安市15家企业建立校外实习基地合作关系，聘请部分专家担任创业导师；与泰安市外国专家局、泰安市旅游局、泰安市经合局以及泰安市科技局等单位合作，为泰安市</w:t>
      </w:r>
      <w:r>
        <w:rPr>
          <w:rFonts w:hint="eastAsia"/>
        </w:rPr>
        <w:t>“</w:t>
      </w:r>
      <w:r>
        <w:t>外国专家泰安行</w:t>
      </w:r>
      <w:r>
        <w:rPr>
          <w:rFonts w:hint="eastAsia"/>
        </w:rPr>
        <w:t>”</w:t>
      </w:r>
      <w:r>
        <w:t>、</w:t>
      </w:r>
      <w:r>
        <w:rPr>
          <w:rFonts w:hint="eastAsia"/>
        </w:rPr>
        <w:t>“</w:t>
      </w:r>
      <w:r>
        <w:t>国际摄影节</w:t>
      </w:r>
      <w:r>
        <w:rPr>
          <w:rFonts w:hint="eastAsia"/>
        </w:rPr>
        <w:t>”</w:t>
      </w:r>
      <w:r>
        <w:t>、</w:t>
      </w:r>
      <w:r>
        <w:rPr>
          <w:rFonts w:hint="eastAsia"/>
        </w:rPr>
        <w:t>“</w:t>
      </w:r>
      <w:r>
        <w:t>泰安市国际农机展</w:t>
      </w:r>
      <w:r>
        <w:rPr>
          <w:rFonts w:hint="eastAsia"/>
        </w:rPr>
        <w:t>”</w:t>
      </w:r>
      <w:r>
        <w:t>、</w:t>
      </w:r>
      <w:r>
        <w:rPr>
          <w:rFonts w:hint="eastAsia"/>
        </w:rPr>
        <w:t>“</w:t>
      </w:r>
      <w:r>
        <w:t>泰安市国际马拉松</w:t>
      </w:r>
      <w:r>
        <w:rPr>
          <w:rFonts w:hint="eastAsia"/>
        </w:rPr>
        <w:t>”</w:t>
      </w:r>
      <w:r>
        <w:t>等活动提供翻译和志愿者服务。</w:t>
      </w:r>
    </w:p>
    <w:p>
      <w:pPr>
        <w:ind w:firstLine="480"/>
      </w:pPr>
      <w:r>
        <w:t>校企合作企业方助力到专业内涵建设与发展。</w:t>
      </w:r>
      <w:r>
        <w:rPr>
          <w:bCs/>
        </w:rPr>
        <w:t>企业一年来，对山东农业大学校企合作专业建设、教学改革及研究、师资建设、教学设备、实习实训设施等方面投入资源（经费或实物）情况：</w:t>
      </w:r>
    </w:p>
    <w:p>
      <w:pPr>
        <w:ind w:firstLine="480"/>
      </w:pPr>
      <w:r>
        <w:t>（1）企业师资团队建设：目前山东网商科技集团与山东农业大学开展校企合作项目，承担专业基础课、专业核心课、专业实践课、专业方向课讲授，常驻管理人员2人，课程讲师共4人，每学期业内专家讲座邀请不少于4次，成本含基础薪资、课时费、员工福利和社保公积金、专家邀请费用等约为20万元。</w:t>
      </w:r>
    </w:p>
    <w:p>
      <w:pPr>
        <w:ind w:firstLine="480"/>
      </w:pPr>
      <w:r>
        <w:t>（2）师资建设及交流：高度重视并积极承担教师企业实践任务，通过师资培训、平台交流、挂职锻炼等多种方式实现。公司建有多个教师企业工作站，设有运营中心、交付中心及产业研发与赋能中心等专门的归口管理部门，具备较强的职业教育教师实践项目策划能力，制订了可行性的教师培训、教师企业锻炼等相关的实践方案，为教师实践工作运转提供人、财、物条件保障，按照</w:t>
      </w:r>
      <w:r>
        <w:rPr>
          <w:rFonts w:hint="eastAsia"/>
        </w:rPr>
        <w:t>“</w:t>
      </w:r>
      <w:r>
        <w:t>对口</w:t>
      </w:r>
      <w:r>
        <w:rPr>
          <w:rFonts w:hint="eastAsia"/>
        </w:rPr>
        <w:t>”</w:t>
      </w:r>
      <w:r>
        <w:t>原则提供技术性岗位，解决教师企业实践必须的办公、生活条件，并对实施过程进行管理和绩效评估。每年8月组织师资培训，邀请行业、企业专家与教师进行交流与分享，2022年的主题为《对话名家——数字经济专业群内涵建设》。</w:t>
      </w:r>
    </w:p>
    <w:p>
      <w:pPr>
        <w:spacing w:line="360" w:lineRule="auto"/>
        <w:jc w:val="center"/>
        <w:rPr>
          <w:b/>
          <w:bCs/>
          <w:sz w:val="21"/>
          <w:szCs w:val="21"/>
        </w:rPr>
      </w:pPr>
      <w:r>
        <w:drawing>
          <wp:inline distT="0" distB="0" distL="114300" distR="114300">
            <wp:extent cx="1464945" cy="1953895"/>
            <wp:effectExtent l="0" t="0" r="1905" b="8255"/>
            <wp:docPr id="101" name="图片 101" descr="e464ee009d9e4f504d38b90ca77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e464ee009d9e4f504d38b90ca773163"/>
                    <pic:cNvPicPr>
                      <a:picLocks noChangeAspect="1"/>
                    </pic:cNvPicPr>
                  </pic:nvPicPr>
                  <pic:blipFill>
                    <a:blip r:embed="rId126"/>
                    <a:stretch>
                      <a:fillRect/>
                    </a:stretch>
                  </pic:blipFill>
                  <pic:spPr>
                    <a:xfrm>
                      <a:off x="0" y="0"/>
                      <a:ext cx="1464945" cy="1953895"/>
                    </a:xfrm>
                    <a:prstGeom prst="rect">
                      <a:avLst/>
                    </a:prstGeom>
                  </pic:spPr>
                </pic:pic>
              </a:graphicData>
            </a:graphic>
          </wp:inline>
        </w:drawing>
      </w:r>
    </w:p>
    <w:p>
      <w:pPr>
        <w:spacing w:line="360" w:lineRule="auto"/>
        <w:jc w:val="center"/>
        <w:rPr>
          <w:b/>
          <w:bCs/>
          <w:sz w:val="21"/>
          <w:szCs w:val="21"/>
        </w:rPr>
      </w:pPr>
      <w:r>
        <w:rPr>
          <w:b/>
          <w:bCs/>
          <w:sz w:val="21"/>
          <w:szCs w:val="21"/>
        </w:rPr>
        <w:t>图1:《对话名家——数字经济专业群内涵建设》师资培训交流活动</w:t>
      </w:r>
    </w:p>
    <w:p>
      <w:pPr>
        <w:ind w:firstLine="482"/>
        <w:rPr>
          <w:bCs/>
        </w:rPr>
      </w:pPr>
      <w:r>
        <w:rPr>
          <w:bCs/>
        </w:rPr>
        <w:t>（3）平台及课程资源开发：投入49.8万元开发</w:t>
      </w:r>
      <w:r>
        <w:rPr>
          <w:rFonts w:hint="eastAsia"/>
          <w:bCs/>
        </w:rPr>
        <w:t>“</w:t>
      </w:r>
      <w:r>
        <w:rPr>
          <w:bCs/>
        </w:rPr>
        <w:t>网商数字化教学管理平台</w:t>
      </w:r>
      <w:r>
        <w:rPr>
          <w:rFonts w:hint="eastAsia"/>
          <w:bCs/>
        </w:rPr>
        <w:t>”</w:t>
      </w:r>
      <w:r>
        <w:rPr>
          <w:bCs/>
        </w:rPr>
        <w:t>，组织行业、企业专家慕课，课程分为内贸电商课程、跨境电商课程以及新媒体课程，为山东农业大学在校生开通账号，共享不断更新的课程资源，平台每年维护费用约为8-10万元，因慕课产生课时费用若干；投入130万元开发供应链平台，解决在学生实训环节遇到的瓶颈—货品和国际物流、海外仓等问题，同时配套考测系统，完善实训环节知识点的学习，在实践环节再次夯实理论基础，海外仓在北美洲、欧洲和东南亚均有设置，年租赁费用200万元/处（海外仓不仅用于实训，因产业公司业务需要设置）。</w:t>
      </w:r>
    </w:p>
    <w:p>
      <w:pPr>
        <w:spacing w:line="360" w:lineRule="auto"/>
        <w:jc w:val="center"/>
        <w:rPr>
          <w:b/>
          <w:bCs/>
          <w:sz w:val="21"/>
          <w:szCs w:val="21"/>
        </w:rPr>
      </w:pPr>
      <w:r>
        <w:rPr>
          <w:b/>
          <w:bCs/>
          <w:sz w:val="21"/>
          <w:szCs w:val="21"/>
        </w:rPr>
        <w:drawing>
          <wp:inline distT="0" distB="0" distL="114300" distR="114300">
            <wp:extent cx="5163185" cy="2063115"/>
            <wp:effectExtent l="0" t="0" r="18415" b="13335"/>
            <wp:docPr id="1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7"/>
                    <pic:cNvPicPr>
                      <a:picLocks noChangeAspect="1"/>
                    </pic:cNvPicPr>
                  </pic:nvPicPr>
                  <pic:blipFill>
                    <a:blip r:embed="rId127" cstate="print">
                      <a:extLst>
                        <a:ext uri="{28A0092B-C50C-407E-A947-70E740481C1C}">
                          <a14:useLocalDpi xmlns:a14="http://schemas.microsoft.com/office/drawing/2010/main" val="0"/>
                        </a:ext>
                      </a:extLst>
                    </a:blip>
                    <a:srcRect b="3989"/>
                    <a:stretch>
                      <a:fillRect/>
                    </a:stretch>
                  </pic:blipFill>
                  <pic:spPr>
                    <a:xfrm>
                      <a:off x="0" y="0"/>
                      <a:ext cx="5163185" cy="2063115"/>
                    </a:xfrm>
                    <a:prstGeom prst="rect">
                      <a:avLst/>
                    </a:prstGeom>
                  </pic:spPr>
                </pic:pic>
              </a:graphicData>
            </a:graphic>
          </wp:inline>
        </w:drawing>
      </w:r>
    </w:p>
    <w:p>
      <w:pPr>
        <w:spacing w:line="360" w:lineRule="auto"/>
        <w:jc w:val="center"/>
        <w:rPr>
          <w:b/>
          <w:bCs/>
          <w:sz w:val="21"/>
          <w:szCs w:val="21"/>
        </w:rPr>
      </w:pPr>
      <w:r>
        <w:rPr>
          <w:b/>
          <w:bCs/>
          <w:sz w:val="21"/>
          <w:szCs w:val="21"/>
        </w:rPr>
        <w:t>图2：供应链系统</w:t>
      </w:r>
    </w:p>
    <w:p>
      <w:pPr>
        <w:spacing w:line="360" w:lineRule="auto"/>
        <w:jc w:val="center"/>
        <w:rPr>
          <w:b/>
          <w:bCs/>
          <w:sz w:val="21"/>
          <w:szCs w:val="21"/>
        </w:rPr>
      </w:pPr>
      <w:r>
        <w:rPr>
          <w:b/>
          <w:bCs/>
          <w:sz w:val="21"/>
          <w:szCs w:val="21"/>
        </w:rPr>
        <w:drawing>
          <wp:inline distT="0" distB="0" distL="114300" distR="114300">
            <wp:extent cx="5250815" cy="1838960"/>
            <wp:effectExtent l="0" t="0" r="6985" b="8890"/>
            <wp:docPr id="103" name="图片 5"/>
            <wp:cNvGraphicFramePr/>
            <a:graphic xmlns:a="http://schemas.openxmlformats.org/drawingml/2006/main">
              <a:graphicData uri="http://schemas.openxmlformats.org/drawingml/2006/picture">
                <pic:pic xmlns:pic="http://schemas.openxmlformats.org/drawingml/2006/picture">
                  <pic:nvPicPr>
                    <pic:cNvPr id="103" name="图片 5"/>
                    <pic:cNvPicPr/>
                  </pic:nvPicPr>
                  <pic:blipFill>
                    <a:blip r:embed="rId128"/>
                    <a:srcRect t="19621"/>
                    <a:stretch>
                      <a:fillRect/>
                    </a:stretch>
                  </pic:blipFill>
                  <pic:spPr>
                    <a:xfrm>
                      <a:off x="0" y="0"/>
                      <a:ext cx="5250815" cy="1838960"/>
                    </a:xfrm>
                    <a:prstGeom prst="rect">
                      <a:avLst/>
                    </a:prstGeom>
                    <a:noFill/>
                    <a:ln>
                      <a:noFill/>
                    </a:ln>
                  </pic:spPr>
                </pic:pic>
              </a:graphicData>
            </a:graphic>
          </wp:inline>
        </w:drawing>
      </w:r>
    </w:p>
    <w:p>
      <w:pPr>
        <w:spacing w:line="360" w:lineRule="auto"/>
        <w:jc w:val="center"/>
        <w:rPr>
          <w:b/>
          <w:bCs/>
          <w:sz w:val="21"/>
          <w:szCs w:val="21"/>
        </w:rPr>
      </w:pPr>
      <w:r>
        <w:rPr>
          <w:b/>
          <w:bCs/>
          <w:sz w:val="21"/>
          <w:szCs w:val="21"/>
        </w:rPr>
        <w:t>图3：供应链系统运行模型</w:t>
      </w:r>
    </w:p>
    <w:p>
      <w:pPr>
        <w:ind w:firstLine="482"/>
        <w:rPr>
          <w:bCs/>
        </w:rPr>
      </w:pPr>
      <w:r>
        <w:rPr>
          <w:bCs/>
        </w:rPr>
        <w:t>（4）实习实训设施投入资源：</w:t>
      </w:r>
    </w:p>
    <w:p>
      <w:pPr>
        <w:ind w:firstLine="482"/>
        <w:rPr>
          <w:bCs/>
        </w:rPr>
      </w:pPr>
      <w:r>
        <w:rPr>
          <w:bCs/>
        </w:rPr>
        <w:t>目前投建校外实训基地4处，分别为潍坊安丘数字经济人才小镇项目（在建）、济南长清创新谷实训中心、淄博齐鲁数谷实训中心、济南陆港智慧物流大厦实训中心。潍坊安丘数字经济人才小镇项目占地588亩，总投资28亿，园区规划实训楼2栋，约为10000平方米；济南长清创新谷实训中心面积2000平方米，规划工位300个；淄博齐鲁数谷实训中心面积7000平方米，规划工位800个（已投入使用300个）；济南陆港智慧物流大厦实训中心面积1800平方米，为2022年新增设的产业实训中心，规划工位200个，另规划设有直播间8-10间；已建成投入使用的实训基地总投入约为360万元/年。</w:t>
      </w:r>
    </w:p>
    <w:p>
      <w:pPr>
        <w:spacing w:line="360" w:lineRule="auto"/>
        <w:jc w:val="center"/>
        <w:rPr>
          <w:sz w:val="21"/>
        </w:rPr>
      </w:pPr>
      <w:r>
        <w:rPr>
          <w:sz w:val="21"/>
        </w:rPr>
        <mc:AlternateContent>
          <mc:Choice Requires="wpg">
            <w:drawing>
              <wp:inline distT="0" distB="0" distL="114300" distR="114300">
                <wp:extent cx="5380990" cy="1859280"/>
                <wp:effectExtent l="0" t="0" r="10160" b="7620"/>
                <wp:docPr id="224" name="组合 224"/>
                <wp:cNvGraphicFramePr/>
                <a:graphic xmlns:a="http://schemas.openxmlformats.org/drawingml/2006/main">
                  <a:graphicData uri="http://schemas.microsoft.com/office/word/2010/wordprocessingGroup">
                    <wpg:wgp>
                      <wpg:cNvGrpSpPr/>
                      <wpg:grpSpPr>
                        <a:xfrm>
                          <a:off x="0" y="0"/>
                          <a:ext cx="5380990" cy="1859280"/>
                          <a:chOff x="18287" y="4529455"/>
                          <a:chExt cx="8474" cy="3138"/>
                        </a:xfrm>
                      </wpg:grpSpPr>
                      <pic:pic xmlns:pic="http://schemas.openxmlformats.org/drawingml/2006/picture">
                        <pic:nvPicPr>
                          <pic:cNvPr id="104" name="图片 104" descr="4eb586194962a7358abb4c449a9d2b7"/>
                          <pic:cNvPicPr>
                            <a:picLocks noChangeAspect="1"/>
                          </pic:cNvPicPr>
                        </pic:nvPicPr>
                        <pic:blipFill>
                          <a:blip r:embed="rId129"/>
                          <a:stretch>
                            <a:fillRect/>
                          </a:stretch>
                        </pic:blipFill>
                        <pic:spPr>
                          <a:xfrm>
                            <a:off x="18287" y="4529479"/>
                            <a:ext cx="4152" cy="3115"/>
                          </a:xfrm>
                          <a:prstGeom prst="rect">
                            <a:avLst/>
                          </a:prstGeom>
                        </pic:spPr>
                      </pic:pic>
                      <pic:pic xmlns:pic="http://schemas.openxmlformats.org/drawingml/2006/picture">
                        <pic:nvPicPr>
                          <pic:cNvPr id="105" name="图片 105" descr="c1243c29cb067d4aa7c5562aec7231e"/>
                          <pic:cNvPicPr>
                            <a:picLocks noChangeAspect="1"/>
                          </pic:cNvPicPr>
                        </pic:nvPicPr>
                        <pic:blipFill>
                          <a:blip r:embed="rId130"/>
                          <a:stretch>
                            <a:fillRect/>
                          </a:stretch>
                        </pic:blipFill>
                        <pic:spPr>
                          <a:xfrm>
                            <a:off x="22631" y="4529455"/>
                            <a:ext cx="4130" cy="3098"/>
                          </a:xfrm>
                          <a:prstGeom prst="rect">
                            <a:avLst/>
                          </a:prstGeom>
                        </pic:spPr>
                      </pic:pic>
                    </wpg:wgp>
                  </a:graphicData>
                </a:graphic>
              </wp:inline>
            </w:drawing>
          </mc:Choice>
          <mc:Fallback>
            <w:pict>
              <v:group id="_x0000_s1026" o:spid="_x0000_s1026" o:spt="203" style="height:146.4pt;width:423.7pt;" coordorigin="18287,4529455" coordsize="8474,3138" o:gfxdata="UEsDBAoAAAAAAIdO4kAAAAAAAAAAAAAAAAAEAAAAZHJzL1BLAwQUAAAACACHTuJACt6IR9cAAAAF&#10;AQAADwAAAGRycy9kb3ducmV2LnhtbE2PQUvDQBCF74L/YRnBm90krZqm2ZRS1FMp2AribZqdJqHZ&#10;2ZDdJu2/d/Wil4HHe7z3Tb68mFYM1LvGsoJ4EoEgLq1uuFLwsX99SEE4j6yxtUwKruRgWdze5Jhp&#10;O/I7DTtfiVDCLkMFtfddJqUrazLoJrYjDt7R9gZ9kH0ldY9jKDetTKLoSRpsOCzU2NG6pvK0OxsF&#10;byOOq2n8MmxOx/X1a/+4/dzEpNT9XRwtQHi6+L8w/OAHdCgC08GeWTvRKgiP+N8bvHT2PANxUJDM&#10;kxRkkcv/9MU3UEsDBBQAAAAIAIdO4kCANP/BtwIAAIEHAAAOAAAAZHJzL2Uyb0RvYy54bWzVVctu&#10;1DAU3SPxD1b2NImTTB6amQpRWiFVMOLxAY7jJBZJbNmeR/dIwI49n4LE31T9Da6TTKadIlGhConF&#10;ZO61k+Nzzz25mZ/u2gZtmNJcdAvHP/EcxDoqCt5VC+fD+/NniYO0IV1BGtGxhXPFtHO6fPpkvpUZ&#10;w6IWTcEUApBOZ1u5cGpjZOa6mtasJfpESNbBZilUSwykqnILRbaA3jYu9ryZuxWqkEpQpjWsng2b&#10;zoioHgIoypJTdiboumWdGVAVa4iBknTNpXaWPduyZNS8KUvNDGoWDlRq+iscAnFur+5yTrJKEVlz&#10;OlIgD6FwVFNLeAeHTlBnxBC0VvweVMupElqU5oSK1h0K6RWBKnzvSJsLJdayr6XKtpWcRIdGHan+&#10;17D09WalEC8WDsahgzrSQstvfny6/vYF2RXQZyurDG67UPKdXKlxoRoyW/KuVK39h2LQrlf2alKW&#10;7QyisBgFiZemIDqFPT+JUpyM2tMaGmSf8xOcxA6C/TDCaRhFQ29o/XLESMIYGFqAwA8Su+vuD3ct&#10;x4mS5DSD3ygXRPfk+rNJ4SmzVgzEt2jdZsXpSg3JQTLfmyS7/v7z5utn1K8UTFOwWMjyKJn5aZjO&#10;MImDKCF5HtIwTEla4Dy2BVhsCzeAE8v6UtCPGnXiRU26ij3XEiwM4vTl3r3dtekdZnnD5TlvGtsN&#10;Gz/uO4VUxtqcgVXUq6InRDJtFDO0tgeWcPBbIDv0ZdroWR6IWc4abPQb4xwZIE4HA+wtFPoR3rff&#10;780xtR+EU9pcMNEiGwBB4AGtIxnZXOqR0f4WsM2BRB9COrQCgn9hmmj/nk2mgZXRNNTHYUBxSnNv&#10;FhchITGNIvAPozEOfPZ/mwYPHZ288QimwXgW+PenxsE0wTh0Ai+9OzMewzT93IHJ3I+i8StiR//t&#10;HOLbX87lL1BLAwQKAAAAAACHTuJAAAAAAAAAAAAAAAAACgAAAGRycy9tZWRpYS9QSwMEFAAAAAgA&#10;h07iQH8zuONnmgAAXZoAABUAAABkcnMvbWVkaWEvaW1hZ2UxLmpwZWcAAID/f//Y/+AAEEpGSUYA&#10;AQEBANwA3AAA/9sAQwAIBgYHBgUIBwcHCQkICgwUDQwLCwwZEhMPFB0aHx4dGhwcICQuJyAiLCMc&#10;HCg3KSwwMTQ0NB8nOT04MjwuMzQy/9sAQwEJCQkMCwwYDQ0YMiEcITIyMjIyMjIyMjIyMjIyMjIy&#10;MjIyMjIyMjIyMjIyMjIyMjIyMjIyMjIyMjIyMjIyMjIy/8AAEQgBvAJ6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0h1p461yWgeK0u8W96yp&#10;Lj5X7N/hXWAg854qGrMzH0FQykEAg9jRS0wIHUQwkqMbRkCuFuWLytIepJNegkZGCK53WdFLhprZ&#10;OepX/D/CtqUknqZ1Ito465O50X1NWAeKrkH7WQwOVHQ1PXVEwY10WRCj9DVrQtcfRrg2s5LWhOM/&#10;3DVUnFQxRrMJSwypbFRUgmhwdmeoQzJPEksThkIyCO9TA5rzvRdZm0S5ENwzPZOeD12+9d/BPFPC&#10;ssThkfoRXHJNOzOhO6FmhSeFonAKsMEGuG1nSn06VmXLQnO1v6V3tQXNtHdQvFMoZGGCParpzcRS&#10;jc8xiH7sH1pzj5T9K1NU0p9Mlxy0J+639KypzhCB34rrTTVzFpok0jUptGuUlUloX4da9ItLmK8t&#10;0nhYMjDORXmLRlFwcFSOR6V2ugiLS/D/AJ8xKpjcSe1c9WNjWL0OgPIrjr3wyLfxFbXdsv8Ao8j7&#10;nUfwN1/KuujkSWNXRtyMMg0pHqKzTsWcb4mdTqMceMrGg4/GudW4fTtSW5txhc52n09K3/EcEqao&#10;0rj924Gw/h0rnpRumxjoK6lb2aMtpHo+nX0WoWSzxHII5HpTdSsE1CzaJsBhyjehrhtC1VtJvirk&#10;m3c4YenvXokbrIgdSCrDIx3rms4s03Nu0QRWVvGvRI1X8hU1Z1jcFT5TfdP3TWjXTGV1cwkrMQ01&#10;ulONNbpViG0UUUANNFFFABTD1p9MI5qgEph60+mkc0CGnpTacelNoJGnrSUrUlMBDSUppKYgooop&#10;gNoPSjIpCaQCUGikoKQUh60tIaBiUlLSUEsD0pg6U89KaOlUhDT1pKU0lACGkpTSUxDaKMUYoGFF&#10;OooAbRTiKbigAooxRigAooxRigAooxRigBDRS4NGDSASiiigAooooAKMZpcGlUYzmgBMUYp1FAHj&#10;obDAjgjvXVaB4se1K296S8XZ+61yOcf/AFv6Umfxrz2rnYe2QTx3ESyRMGQ9CDUwrynQvEN1pMwT&#10;BkgJ5jz/AC969PtLlbq2SZMgMOAe1ZSVmNFimlcnnpThRSGYOsaCl0Wnt1VZsYI7NXJSRPE5RwQw&#10;6g16URmszVdIiv4ywwsw6N6/Wt6dW2jMpwvqjgpTtjJothiBR36mpb62ltXMUqlTnv6UiAKAK6G7&#10;mIrIJEKMMg1Pouty6NdmCUl7VjyP7tRDioooknMxYDBOBUShzIqMrHpcFxHcxLLEwZWGQRUuM151&#10;pWrTaFchJNz2jHlf7vuK9BtrmK5hWWJw6NyCK5JRcWbxd0R3VrHdQGGVQynjHpXA6vpstheJE/KF&#10;sq3YivRzVS8sYb6AxSrnuD3B9qunUcd9hSVzziQFiEA5Y4rpvEri08JeUDjeVT9f/rVnNpcttrdt&#10;byglTIGDDuKk8fTBLKytxxuYtj0xgf1q5tOSJgnYq+E/Ef2aRbG6f90x+RifumvQAwYZB4PSvD1J&#10;z79c16f4Qu7i60cG5IKpwjHriomuqNEa+o2EeoWrRSdT91vQ151d2strfzQyjDKfzFeoHpWNrekj&#10;ULcumBOg+U+vt9KITt7rJaPP1iEsLBuMnrXR+FtZZH/s+6bn+BjWGqGMbHBVhncD2NV5gwuN6Ha6&#10;DIIrpcU4kJ6nqoOCMHntWpaXHmqFb74rjvD2sjULUI5HnJw3uK6O1z9oTB5z1rCN07FSjdGuaa3S&#10;nUhrqMRlFB60UAJQaKSgApGpaQ1QDTTacaSgBlIacRSEYoERt0ptSHmmYpksaaSlNJTEFITS0hGa&#10;AGUUuKMUANooooGFFFFA0NpKdijbQIbTakIphpoQwimmpCDTMVQCUlLSUCCiiimAUUUUBcKKKKQw&#10;ooooAKKWjFACUUuKMUAJRS4pcUhDMUlPxSbRQMNtAWnYpRjNDAbijFP4qheapBYzJHJks2OlRew0&#10;i5jFGKq3N20dvvhjkcsufkwSPwqj/aV8P+XVvyNFyrHmB7/5xSd/89KeR0wMY6f/AFvWmqMf/W4/&#10;GuM6TS0a1+0ajCg5BIzXqq7bW06YVFzXB+DbXzb5pCPujFdfr9x9n0afB5YbB+NZvV2Abo3iC21Z&#10;WVTsmU8oT1raFeS+WySCWBjHKDwynFddofisT7bXUGCzDjzOzfX3pzptCU7nWUmMigEEZHSlrMu5&#10;najpcOow7ZF+cfdb0Ncde2E9hMUmXPo3Y16FVa8sobyExyqCD0PcVrCpbcznFPY88Y4BPoM0lov7&#10;kHucmrus6bLp4fgtGchG9ahiXbGq46CulNMxs0OdBJEQwBqPRtYn0W5ZDue0LbWX+77ipJTtjqC0&#10;RJrYq4zvJJz3pSimtQi2mej2t3FdwLNC4ZG6EVNxXnGn6pPoF1jl7Nzgr/d+legWl3DeWyzQOHRh&#10;kEVyypuL1OhS5kPkgR3V2UFl5BPavPPHrM2rQRkHYkX65/8A1V6R1FZetaNBrFmYZQA45Rx1U0oS&#10;swPHwMtXosW+x8Dkxna7IMH3JH+NcTdaXcWWofZJ02vuwPeu71wi30G1gXjcwyPbmtGrtIT01J/D&#10;uujUoBDMwFygx/vVulec15fJvs54rq1kxIBuOOxrvNE1mLVrJWyBMvDrSqQ5dQi7mf4g0fzFN3An&#10;z/xgd/euPZcyMfTA+teqEZ/wrifEOj/YZHuoF/cP1H90/wCFXTnpZkuPUwrSeWwnS6iPOcsPavTt&#10;CvY9RSKeMg56j0rzaKMtGFxyRXd+CNKNrZG7MrESFlEfYAHGa1nTvZiUuh1+eKaaU8UUzMjPWinm&#10;mGqASkpaSgApDSGkNUAuabS0lACUjGloxmgRHSHFOI5puOaYhpFNqTrTStArDaSlpKYhCKSnUUDI&#10;yKDTj1oxQAyin4oxQNDKKfimYoEB6Uyn0000JjTTSKkxSEVQiIikxUppCARQBFRT8UlFxjaKdxRx&#10;TATFJTqOKQDaWl4pcUANpaXFLigBtFOxRikAijNOxSgUUWAbtpkzeVC74ztBOB7VLWbqkFxOoEM6&#10;oOjKemD1pS0QIjs9VSdAZAEyQOvc9KuR3cEjsEcEqcGuLluSk6CUkQxvtO3qT3/Oonv389pBI2ON&#10;gB5IHqa55VuUvlO2lnWdXhgcFyPvAZ2/Wucv7K4juf39wk0hG3PdfQ4pllrLQRySBAqADAB9+T9f&#10;ep4pYtYuTLvljfGw4YYP0HUUc6mh2Fsbua1gDiKWWQ4XLDAA9vWtAyakSSIOPqKxL7VriykNtFIc&#10;LwuzkKc8Z9TVP/hINV/5+TSc7Dsc0QQcEY9cjv8A0puMkjv3Pr/jXput+GLXUwZYv3VyBw4HX2Nc&#10;Hc6VdWN0IbiIqc4Vux+lYxkmbanYeDLbyrAykcuc07xhcYjggB6ksRWxo1uLXTI0Aw22uV8Rzefq&#10;0gByEAUVEdZA9jEyVwajKebu7c5FSuMKaVMBBXRHUy2Zs6J4ml09ktb0l4eiyHqtdzDcR3ESyxMG&#10;RvusDwa8tdQwwRxVjStautEmAUmS2Y4ZD2+npWdSnpdGiken0hOap6fqNvqVuJreQMD1Hcexq5WB&#10;ZFPbxXMTRyoGVuoNcrqWkyWTGRcvATwfT6119NZVdSrAEHggjrVwm4kuKZ5zeNttyfamQDZGntW5&#10;r2hvGvm2yloicsvdRWMeDjHSuuLUlcwcWhLt1e2fIGadpWqXOhyow+e1k++vofUVWuPuAepxSfMk&#10;ZQ8o36VFRLqODfQ9Ns7yG9t1ngcMjDg+9T9a57SjHo3hxrlx8qp5jD8v8a2bK9hvrZZ4HDo3p2Po&#10;feuVo6CvqWj2+pmJ5BiWJgyuBz16H2rB8Vna9rCD91CT+PFdfWRrmkpqUG5cLOg+U+vtV03aSuTL&#10;VHn1x9zHqR/Oi1u5dNvo7q3Yg5wy+oqS4jdJljdSrqxyDUbKDcKMdsmuuS5kZJtHounajDqVok8T&#10;ezD0PpVmeFLiFo5FBRhtIPpXnWmajLo16JEJa3c4da9DtrmK7t0liYMjjIIrklFxdzVO5yV3pZ06&#10;4x1jP3TXd+Ho/K0G1Hcru/Mk1nXlqt1A0b9D0PpW5YKqWECKQQkaofrXRCpzKxlKFtSwRmkzzTjx&#10;TT1qiQ70yn96ZVAJSE8UtNPSgQ0nBpCc0jGiqAXNFJS0AJRRRQA0jvSEYp5HFNNADCMUHpTiKaRm&#10;mJkZHNJinkc000ybCYopaSgYhHNGKWigBMUgp1IelA0NJ5pDTqQ0CG4oNKeKSgBMU3FPop3ERmkp&#10;5FJVXAZik206ikA3bRtp1FADdtG2nUUAN20uKWigBMUtGaXFACUUuKMUwAUYoAp2Km4Da5DxFk3Z&#10;ZbmRpQMLGq8A12BUHO7pXGa9d2TTEW8JZ1+UMmAuefzqKj90qK1OeZjJEd5IkLEkk9RTC7lioTGO&#10;ox0FNutxfzGYbnA+UenvUIMowXcqGODnrXHLVGqJwTnrx6Vo217sKKFXPGe2BWWiM3KL8p6E03e4&#10;J4PvWV+XYbRpXN6jM6KiMwIO9TVXcvvVfDAFscehpfOH9w022Fj12obi0gu02TxhxnPPapuKOKk2&#10;sRHbDESBwoNeeTyGeeSVurOTXo5AIwelYGqeH0mDS2oCSf3exq4tIhq5xcx6LSgYGKknt5Irvy5l&#10;KMPWoyea6oGTAmo5FDOq+tSVGpzOD2AqxXJbW6udMuRcWblSOq9mrvdE8QW2sRAD93cD70ZP8q4Q&#10;ruGRUBV4pBLE5jlXoy8Gsp07oqMu562BkU7ArktD8WLMUtb87JzwJOzV1gfIGO9csk1ubICgOcjr&#10;XNa1oXW4tFx/fQfzFdODSHFOLcXdEyXMeXzKfORewJJz2pXXcUQDlmArrtY0BLpzc2oCzDqvY1zd&#10;pAz6tbxOpDB8kd+BWzlzEqNja8UyfZvCnlZ5kKJx37/0rj9C1+fR7kEFmgPDp6+9dF49mKWdjbju&#10;Sx/AAf1rhe1TFXRTPabG+g1G1W4t33Iwz7j2qxiuO8DRmGxmuGY7CTxngY7/AM662G4juIhJGwZW&#10;6EVk1ZjMfXdFS+HnQgC5Uf8AfQ9K4hlZLuRWBBQAEHtXqTYNc9ruii6zc26gTrywH8X/ANetqVSz&#10;1IkjjJv9UR6kVoaHrL6RdLDIxNrIf++TVCcYAUgghuhqPYGfaemK6JK6Ii2epJKssaujBlbkMO4r&#10;Wshi1X3JNea+HdZa0lWxuWzEx/duT93/AOtXpttxbR46bRWUI8rsXJ6EpNJ3pTSCtEZB3plP70w1&#10;QhKaelOpDQAzApCKdikIqhDaWgikoGFFFFABRRRQA0ikxSmk5pgNxSEU40UARUtKRSGmFhtB4paQ&#10;0BYKMcUUUCGnrSHmn02gY00lPxTaADFGKKKCBCKbinHNNIqgEpMUtGTU3ASiiiquAUlLS80ANpcU&#10;vNJii4BilxSUc1NwFxS0nNLTBCYpwFV7uV4YC0W0v2DnA96q2upYjC3aiJvr146/TilcqxcvJlgt&#10;pGb72CQucE+3+RXFT3cLed5MQUMwK71Hyfr1rR1NZ70tcRsWtwMgk4C5PUj865edxHLKsU2U3ffP&#10;U9+PyrCpJlIU2sy3UlvJGBKikHAyR+X86oOArZKliM8Zqwt7t/d5wu4sc8Z9OaJ7vzJdxxlQFUJw&#10;CaxbRoitArHcrSbcHhakkZdgVc/L94mo2b+IKAf609dj8vnB54rB6sZEpLZGSe1L5UnvUgKI5Jbv&#10;0FO3j0FK9gPWqKztN1i11SPdA/zd1PBFaAOao1uOo60lBNIkp32mW9/HtmT5uzjqK4zVNFuNOcsR&#10;vh7OP6+legCmSxLIpVgCD1B71pCo4iaueXc4NMjH3j611ur+GgczWQ5xzH6/SuX8pofldSpHY11Q&#10;mpbGTjYXOBUczZXHcmnmo3yXUenNaMlA8IdQDkEdxW7oniiXTitrqBMkHRZe6/WshTxio5gBGSRm&#10;s5wT3KUrHq0E8dxCssTq6NyGU9akI4rzLSdYudGkGwmS3Y/NGf5ivQNP1S21O2Etu+71U9V9jXJK&#10;LRsnct81Sl06CS8S627ZVBAI75q7mg1JTPOfHUjPq8UfOEiHHuT/APWrlsGvWNa0O31i2w/yzKMJ&#10;IB09jXmuo6bc6bdGC4QhhyCOjD1rWDViGdlpp+xeCZ5cYzAxH1Of8awfDniSTT5RDO26BjySfu1u&#10;a1mz8FLD0LbF/XP9K4DBoirphc9qt547mFZImDI3TFPwK8y8P+IpNNlEUrboD29K9Ht7qK6hWWFg&#10;yMM8Gs3HlY1sYPiDQhcL9rtl/eKcug7j1FclErPMwA5AxivUM8Vz2paKizPeW6/MeHUfzrajU1sy&#10;Jqy0M/w/p0V1rdss6B1GWIPfj/HFemqoUAAYAGBXE+E4t2tlsf6uE9fciu3rokkYptoQ0gpTSYqU&#10;MKaRTu9FUIjoxSkUYpoBppDTqSmIZzRS4oxQCEopaSgYh6UlOppFABTTxTqb17UAIRSUppKYDSKQ&#10;jilNIaYtRtBFGKCKA1EooxRQCCiiigY2iiigBCKSlIpMUhNBSUtJTFYMU0inZFJ+NABijFGaM0Cs&#10;GKMUZozQFgxRijNGaAsGKMUfjSSEqjEc4BNIB2KiM8S78yKNgy/P3a56412TZF5sZjViSQp5ZfY9&#10;qyxcyQSm6aGaWL7sqvxk5wAalzsVY3NfurRojG10fNCsVjB4Yn1NYL64REi26ISqqN0gzkYxS63H&#10;9ouhPaxAoiBmMa8D15NYdyJ4pFimUoAARxzg9awnJ3NEtDXtHfVJPsGZFLtukZBnj2UY/EmptX8L&#10;TQTP9lAFuERVY8lmJAx7GsnT9Uk02UyW2AxABzzn1rtYo317SIrmaQRS+gbj0Gf85qotNaiOP1Hw&#10;/PaO+zbLGq8uBwvPygn17VjMUUBcFmH5V12oSW0WmyWrXUzl5NzSbgUYg+3tXNSmS48y4jRRt42r&#10;wMVnNFIhDHdljgCmNOsbEKwP4U+N4nAVgFx71WmiQElWB5wB3rEomWRCuSMmnbx/cqCKBnUbD82c&#10;bQDU/wBjm/vr/wB9CpcR2LGjxTSajEIHdHBySOCP8a9RjzHbhncnavzE1w3hG28y5ebAAAAHPFdb&#10;rEnlaXOB/ENo/Gresir2L0c0cyB4nDqehBp9ec2t1e6TLvtZS0eeY2ORXWaV4jtdRxG7CGfujHr9&#10;KHBoSdzcFKRTM0uTUDHY4xWZqWjQaivzjZL2kUc1pCnU02ndBuecahpdzp8pWVMpnhx0NZ45lb24&#10;r1Ka3iuImjlRWUjBBGc1yWqeGXt989oC6Hlk6kfT1rpjVvozNwtsYCimTcqF9TU6rjgjmoZBmdB6&#10;c1tuZi8YogurjTbgXNo5Rs4YdmpxFRy/wr6mlJK2pSdtjvNG8QwaomxsR3I4aM9z7Vtdq8oYMrrL&#10;E5SReQw6ivRdKuJv7IilvZF34GWPH51yzjY1g7mjVO/0y21KERXCA4O5WA5B9qt5B5BoJxWexbON&#10;8av5On2tv2L7sD2GP61wrLjkV3Xi6MXV9BBuAKxk5PbP/wCquKkiMUnI4reC0MmyCtzw/wCIZdMm&#10;EbktAeCCenvWK+DyKaKppMEz2W1uoruFZYWDK3TmptteYaBr8umTBHYtAxwVPavSbW6ju4FliYMr&#10;DIrFxsyk77k+kWkVtqM0yceagXb2GK3e9ZViu66B9BWqa2g3JamUlZiGilpK0RIUlLSVSATNJTsU&#10;nemIaRTaeaSmIbTT1p9JQA2kpxFJQMSkPNKRTcUALijFApaAI2602pDjFIRTAiNJUhX2pm3mi4Da&#10;DTsUhFADaSlopgJRS0mKAG0U7FJigBKKUUtADD1pKeetJigQ3ApMD0p1AoCw3AowKfRQFhmBRgU+&#10;igLDMCjAp9FAWGbaxPEE00UY8iYhu0YHX6mtxyoQljhccnOMVwuq3U8U7bLmWSF9wTjHPcZ7ipk7&#10;IaRmteGKfKkbymMnsT/Xio5J3aYSNO7yK2QewqBJYyVS4HzAhiy85H8jVbfIjgDoa5ZOxaRqnUGu&#10;LmTyw0QYkLFGSBWeIJrqZzGuWzk847daUTGCJ1jOS7DOe2Pf86Z55AIDHJ+8Bxk1NykiOWJoljZg&#10;DvXcMHtkj+lbNlfwQ6N9mgaVbmdgHboqjOe3NYbtkgjOMYIpYDtkDbsYORxmhOwnE1HjijRoYkkk&#10;ug5CttBGOBnB98/nSXmn3SILdImDhhvRV6EjOM9+1S2ly0Ewv8NvOQ67wBnsD3xkZPbpXRWHjNZY&#10;ZCbNBNuyOcAjI/Hpk/hV6MDhFWNXKSfKM5LYqSICVZJEUHy03bc/hXRvaWV5cXF8ZYY7dXGYTJl2&#10;jzgn29hXL3EMscxURtGH5C+oPSolGxQ3zSmMdqj3t/eNDI6HDAg+9JWdmF2eheE7XyrDzCOXOaTx&#10;XO4jghjPJJY/hWxptuILONFxwBXMa9KZtUcA8IAo9qcN7lS2MpLj+GUY96hMAuLhypxt6MOtOmC7&#10;TkcinWeRGzeprde9uYO62NbTvEN3p+I7wNPB03j7w+tdZZ31vfReZbyq6nng8iuHG11IIFRKs9lI&#10;Z7SVo2HJx0P4UpUuxcZvqekjrTq5bSfFcU+2K9HkyN/F/Cf8K6dXV1DKwIPQg1zvQ1Wo6igdaWkx&#10;mPqehQ3uZIwI5vUdD9a466sp7O8dZ49oAwD2P0r0moLmzgu4jHMgYH25FawqNbkSijzgrUMnM6j0&#10;5roNU0GeyJkhzJDnPuv19a58AtMx+grdyTWhmlqPVPMlRR/EwFdX4qm+yeFzEpxvKp+uf6Vz2mR+&#10;dq0Ce+fy5rR8eT7bWyt/7zFz+A/+vXPdtmq0KHh/xZLZFLa8Yvb9AxPKf/WrvYp47mFZYnDowyCD&#10;nNeMYrtvAwmImJlYw9AhPGf6U5odxniCQyavL/sgL+lYssQlkCnstX9QmE2oTuO8h/wqoOZWbtgC&#10;uiKsjBvUy5oGjYjHBqJ1H41rzKrJgjkkYqq+n5JKt+dDiUncoCtzQddl0ycKSWgY4I9KyBA7ybUG&#10;T0rrPD/gm7vys0w8uInO9u/0FTYps73RLiK8HnwtuQrmtk1T0zSLbSYDFbqfmxuYnk1ewaaVlYhu&#10;42jFLRVEiUlLRVAJik5p1BoAbTSDTqKaYrDCKbUhph60XASilpKEAHpTcU6igBmKKfikxTAjIOel&#10;KBxzT8UhFACEUxl4qSkPSgCE0lPK0mKYEZFJUmKYRzQK4lJS0UAhKSnUlMYlFFFABSEUtFADaKdR&#10;QA2inUUANop1GQKAG1QutVtrVnR2+dACQPQnFR32u2tnuUsWccEKMgfX1rjpNVebUxeNapuB4U9D&#10;z37E9KhySGkegALPFyAyuOhHBFYWtWKeQYrayEjlWcuDjb/n0qmuvzy75Ecbt4YW+PvDpgHrjqaq&#10;3OpSTCZpEltzJjeu7HFJ1EBS1LwxLaWySxMZCQzOM4CquP8AGqMunXEQhaUCOKZSybmyMYzU8mo3&#10;D2gjaVinPBc8Djt3qpLeo0bqXkdzwpbGAOenp1rCTiy0Qy6fJ9nMiwyfKcM4HGaqqrY+lXjqVyyt&#10;GZHEbYDAcA47/wD66h2PLKsa42g8nNYuRRAUbOSCO+ak8lssVU7ieMdKQ8YUnj1z0/CrMdmZoGZJ&#10;o8KAQGbDN7fXn+dCYFMlyzBst2q/pc0cEr/aYg0bLkDPcdOnTvWfg55HSrMUb/ao3mBWEldxC/w0&#10;47gdPJaW0GnwSrazJPcy8l3wpPUcZ5H88VmRabcpq3mTwlo0BkaOV8bh2Ga6yys7O2aI3F/G9nxN&#10;FE+dwzwuSev0rnZr20vNZu7w+Y8DfdgZSWcjgc4wPWulpCLOrZvbaOE2yWtuwZ4liyzSY7Z9c5rm&#10;BYXAGCiA/wC+K1nvppGaaF5YDsy0ZX5QPu7hjt36VsRWGnNEjNNp+SoJ3I2fx5pWEdCzCGDPTaOa&#10;4WdjLK8h5LEnNdhrMjRabKVBJYbeB+dcaSNgIrngtCpMo3HCcHrxU8R2RgYqCT5pkU9zVgjFbwRm&#10;xd3PFMnlZYH568U6ophlkX1bJrUlE6QxSQBCOQKs2WpX2kMPLczW/eNv6elVgSOlSBz0PIrNxTGn&#10;Y7PS9ds9TUCN9ko6xsea1cj1ry1YvMvJHjYoygbWTgg/Wt/T/E9xZkRaipkTtOo5H1Fc8qbRsp9z&#10;s6KgtrqG7iEkEiyIRnKmp8Vn1HuIQCMEZGMYrA1Xw5FcbprXEchOSvZq6CkIzxTA4vQbGWPWH86M&#10;q0a//WrN8cS+ZrKRZ/1UQ/Ak/wD169CMa7t2Bn1xXn3izS71dSmvim6B8AMv8PA4NVF3eoHMdfau&#10;/wDCafZtCknxyQW/z+VcDivQoF+yeDjjqY8fnj/GtGtgWxyrEs27nOc0kbZBPqaCCtJGPkArpRgP&#10;bllHvUuw7M+oxUUZBmUN0rXihE11aQr0eZF+vNUhM7HQ/CFlp6rNOommPJyOAfpXUAYAA4ApcDI4&#10;pcVlYdxO9GKWiqAYRzRinHrSUhiYo20tFMBNtIRxTqQ9KQDMUYp1IaAGkcUwrzUlNzzTRI3bSYxT&#10;91KyiqAiopcUYoASilxS4oAQGkIpcUuKLgMKYpKlAzSFBt96VwIiKaUqXYaNtFwICtMIqdlFMKVV&#10;2KxFtpMVNimYpXAjxSVLikK1SYyOjAp4HNBSi4EeKMU/bRtNFxXGUU/bRtouMZRT8UmKLgNprJuR&#10;lBIBHaptlKFFFxXOH16wmso5hBEfs5G+R2GSOOPx5NY9rZz3UcTEOsasIy5U4Xp1+uRXpssEc0TR&#10;yIrI3VSODz3p3kRrGVCKFPOAOMj1FQ43dykeZMIIEa3mO+7jOxWjf7vfj19Kz7v7RG4adiXI45yf&#10;T/CtvVLu0srmY2yma7L585sbR/ujmudlkllleVsMW/8AHa55otERkL9SR7Z4p7yRmJIxEoYdXPUm&#10;olZ4yHx05GRmn27gbndjuUZUA4zWdihjbt3fnpTvMbJI4NPdCtwxXEgUZHzZA/KnJZXEilxG5HGA&#10;Oeff0osMWO1M5IiYsdoJHTmkRngEqhwARsYHrUIkMbttYjBxwe2fWmqT5m6QFzg8lvWpFYt7EdN/&#10;ljbyAM9vb3rqtJTSjLNBdyZQqhgi3c9ScE1ydtsSQmZC6jOB0zgg/wCNSSmN3VwjhGy3B6Z6D9P0&#10;rSMuVajOl1i806SFZFjWSIuEWRWwyLjoB9M1lWN9Pp1wpYg2y7RhcEkE54Pr+tYbjC4DZ7+3StPS&#10;JhBews5ijQHJeSPeB3zt96aqXeojR8Q/ab2e2uYbP7OEHlpGuDxnP49Rn61kGa8B5gOf+uY/wro9&#10;fke4gILeZKQd7wj93EmemPU4Gc5rlPKkPOGpylZgersAwwwBHpWRf+H7a5BaLMUh7joa3CtNI9Kw&#10;TsWed3ejXljcmSVN0fZ0HFQHNelMgYEEAgjoeaxr/wAO21wS8P7qT1A4/Kt4VUtzKUWcfUOd1yP9&#10;kVpXulXVkSZIyU/vL0rNg5Z2Prit1JPYzs0TE88U7NR02RtsbH2oEh1qSAXH8Rq0WWQYcdetVoOI&#10;lFTD1NFhjIp7nTLtWsZCjNyV/hP1FdbpfieC7YQXQ+z3B6ZPDfjXIRtm9Y9dqY/GppY4pkw6jPpW&#10;c6fNqXGdj0gHIz1orgLHXb7SJEiY/aLfsjfeH0NdhYavaanHvt5AT3Q8MPqK55RcTZST2LxqN41k&#10;Uq6hlIwQRUh5ppOKkDkNZ8ILI5uNPwrZy0Z6fUVb1z/R9Cih6ZYLj6f5FdFis/VNPTUIQjMVZeVI&#10;q09dRSOFnKGNdoIYL83PU1CBjFXdR0+ewbZKhwTww6Gqtdiaexg00MUbpGP0FbnhhWn8R2CE5VXL&#10;49MAn+lYyD7xHrXUeB4RJ4g34/1cLH88CmI9JxT8U0cU6oGIaTilPSkoGNNJTiM03FABRRijFABQ&#10;Bmil70AIU9KaQakGR1p2R6UMCAqfSgRk9qtgA9qkEakUuaw1Eo+X7UoiY9qv7V9BShFpcxXKURb5&#10;FMMBWtPCgcU1kVutHOLkMzZShavNbqe9N+z0+YXIU9ntRtq4YfamGI+lHMFitt9Kdt5xUvln0pGR&#10;sdKdx2GeWKbsFKQw60mT3pXJ5Q8sUeWvpS5PpShsUrhykZgGKY1vjtU4b1p2+jmHylBomBppQ+la&#10;GVb0pCin0q1IXKZ4TmjbVww+gpphPYUcwWKuyl2VP5RHak8s+lHMLlIdtJtqfyz6UbPancLEG32o&#10;Ce1WNlKFpcw7EGwUBBU2ylCj0o5h2IdlL5Y71OFApcD0o5gsYOr6HHfWpSFIY2wQXK8gZ7V5jfWY&#10;tJJArB0UkBxyDj6fQ17W6h0ZD0YEH6VyOteEEuihsj5crHG89I0AP41nJXKR5g75XBqe2a32uZt2&#10;4KSm09T2rQ1TQ20yVomEjsuCrbcAjuaqRW3lo7kZdRxkZFZN2Y7kcM/lTsRwpPIGDx6VaTUBBBth&#10;jEZkXbIQ3JGefzGPyrNcYYnPNIEyeTgGo5gQjKMnbkg0v3GG1s+tPCEKDn5T0NDqqKozuJHOKkYp&#10;ld4RHgYB9Oas28iySYmkYcYU44GP8mq0bYcLj8akVtvy7+5yaQhJlUXDAbQN3BHSnsd8mEJIQ4Ge&#10;OB0qu338g8YwBTkPzAnkA80wLRv7lrJrcyM0S/KO3Gc/rUAllAA3y/8AfRp20Kz7GHlkYPPb0pDk&#10;H/WUNsZ67QaBRSKDFJilooFYY0asMMAfr3rFvfDVtOWe3HkydwBwa3gM0AVSk1sDVzz290q6sT+9&#10;jyv99eVrLn52r3Y4xXqrIrghgCD1BrB1DwxbXL+ZD+6cHIHY1vGtfczlT7HJxJyvFTslW5tNuLKT&#10;98hCj+IdDUE5CQu57Ctk09jJ3TM+2BJlk6hmqfOOvWktYylpGPUZolGMU0JkBlH2wFuQqkVLsb7R&#10;FLbO0cpbCshwao7iZXYHuavaGjTavAnVQ2SPpWE5bm0Vsd3PqUOl2MEl7IfnIQvjvirMc8c8Ykid&#10;XQ8hlOQa5Hx7PthsoPdnP8q5jTdavNKkDW8h2fxRn7rD6Vly3Rqes01sYrJ0TxBDrCELG0cq/eU8&#10;j8DWox7e2ahoZDLBHcRGOVAynse1czqnh94MzWoLxd17iurFKRmrjNxZMo3PPrK383LPkcmux8CQ&#10;D7XfygfdVVH4k/4Ul5pkUuXjCpJ3x0Nafgyze1s7zzV2u03T22j/ABNdSqRaMHFpnT7eKWl7UmaS&#10;YwptKDS4pgNop22jbQA2ig8UmaADFLijFJQAtBOKTNITQA8PinrIMdahpMUnqBZ80UecKrY96OaQ&#10;XZa8xcUeYPWqtGPeiw+YueaPWjePWqn40ZPrRyj5i2XGetG8etVd3vRu96mw7lrctBKmquT60BiO&#10;9MLk5CmmlB2qLzDSh6AJNgqNko8yl30ARlPak2mpM0uRQFiHBHaj5qmyKOKAIckUbzUuAaNi+lAE&#10;e496N1S7RjpTCvtQGoce1NyKDjNN4p2AdgetGBUZcCkMlKwtCXApCBUfmUhk54osFyTmkz1rI1XV&#10;p9P2NHEJVf5AgHIP19Kl0+/kuEbzzEJFJyinOPrVWFdmiTisnUNZhs90f/LQZwW6A4GM+3NaJk9q&#10;4XxM7W9+xhKsWAffgfKcnj36frSbshpkWtajNJbCOOYSxEZklZQOc8Ad81yplI4XP165qz9oZZFK&#10;xK4C4IbnOcZNQ3dyu3ywAVwRyMFfyrCfvajQ0QQywE/L5jdSe1V2jTdgZK55pwfamS33vQ0x8bvl&#10;JwayYGgDZi0T9y5IUjB6Z9c5rNCoCGOW/nTw+0EDOfUU3a45Ck46mgYjCNZAImOPcYokbdggAAel&#10;PjVCzNKW2YPI657VGIn3ccpzhu3b/GhjGE56CliIDc8D3qRgq9eaaNoPSi4iSSMld4wV9c00RnH+&#10;ranpJk7WAwaXy19G/OgrQ7TTvGOn3mFlY28mejdD+NdBHMso3I4dfUGvDycHPer1hrd/p7BoJ3Cj&#10;+HORWjgM9nz0pa4XTfHittjv4sHu6111nqdrfIGt5kfPUA9KzaaAu9KUUg5paACjtRS4oAZIiyIV&#10;ZQQeuaw9S8OxXMDrA3lO34it+kqlJrYVkzhbqwuLJQskZwBgEdPzrNkbOT2ANelOiyKVdQwPUEVz&#10;+peGIbmNjbny3Pbsa3jW7mUoa6HDR/czjrW94Rg8zVJZOyJj8TWfe6ZdadlZ4io7MBkGuh8GwgW8&#10;83dnx+VZzemhokYfjmfzdbSIEYiiA/HJP41y2cev+f8APStnxNL52v3TDnL4/IYrH6HH6VS2Gd74&#10;Jh8vTpJz/Ex/If5NQ2/iC8srhhdDz7ZmJBH3lz6DvWhpKGz8J7xwfKLfmD/jXPpLG0biQkPxt4oj&#10;HnuTKVmdrZ6hbX0XmW8oce39fSrfavNITLDfPLaSNG6gH5ehPuK6TS/FKSv9nvgsUucbx90n+lS4&#10;NFKVzpqfDNJbvuiYg9x61ErhwCpBzzx6U6oWjKN+01GK5+Rvkk7g1dx7VyfcEcEeldBos8lzE6yn&#10;cExgmt4SMpQLmKTNTFMGm7atMmwyinlaTb707gRkUmKkK03bRcQ2kIp9GKLgMoIpxWmmncBKKXFG&#10;KAEopcUlABRxQaSgQopeKZ0o3UAPwKMCmbqN1Kwx2KMUm6gNSsAYpQtLmgNigdxMU4JRuFJvwaQx&#10;dho2e9J5tNMtAD9vvRt96jMtJ5vvQDZKeBSZ96iZ80wvTSC5K0mKaZTmot9NLU7BzEpemF6j3UhN&#10;VYLji/vTd4plJRYm5JvFNZieBSA0MMrinYVzl9WukthIVuZZ7hm+VQOFrDt/ED2chZItm58yFTkn&#10;nP51p+IrSS0TMLIISRmPHJ75Y9+lcfLG/mjhkQkDcep9/wBDWU730GdPqXiJr9lNu8scQX5lBxnp&#10;/wDXrJu73zQ7lcE/MSXyc59PrWfb7gCC/wAjAEjPaleK3YrukIU8Z9PrWbkUkbMlzbf2OoVYxdlc&#10;BlY5A9/8msMbHTygBkHJZhgmmfaBGjIoBHY1EXBbjoB0FZOTKHJCjlzvCheSMdammRIW2JIsmO4q&#10;tklSQPl7+1NaUGMAdj6VIDJGfzMd/SkLsecnHpUqMGIJwCO9Ry7Bwv3u9K4CfPtHX5qsrK6wiPjH&#10;vVWJmz1p+5nIDdKGBIyfKDjk9qj2NgE9PWpg6iIjbnjAJPQ01V3ggk4wcAd6EMYFYnjrUnmSepp5&#10;iZAu/qR2o3f7NMDBOc9DSA4rbktIpPvD8qpS6ay5KHcPSulwsJTKVTQXM1u4eGVkYd1OKY0TxnDK&#10;RTDkVLRVzrdL8d3triO8UTxjv3Fdlp3ifTdRChJxHIf4H4ryGlVipypIPqKhwQz3YMCMgginV5Dp&#10;vinUdOYBZS6d1fmuz0zxxZXW1LkGBz/EfumpcbAdVRUUNxFcoHhdXX1U8VLUgFGKBT6AIZIUmQpI&#10;gdT1DDNQW1lFZxNHBGFQknA9TV3FGKdwPIda02+tLyR7qFlDEsH6g568/wCNZsaFnVB1JAH+e1e0&#10;TQxzIUkRXQ9QwyDXOXXg+za6iubUmEq4Zk6qcfyq4y7iH6mBbeGxEOCQqj/P0Fcl0FdR4obba20P&#10;PDE/kOK5huAa6KNrGNT4iksjLK7qSMtVm2Ec4laQAlm71RLYWrlqMQD3OaI6yY5OyL1rqV5ozARO&#10;ZrckfuXPT/dPaus03WrXUVxG+2XvG3BH+NcLdSFTEOoDZpVIuLqNoWZHVTypwRUyppvQcZu12elh&#10;sjiuj0FMWkj4+8/9BXmGn+Ip7YrHfgunGJVHT6ivU9DwdJhYfx889+ahRcXqW2pbF8jNG0Upoq0S&#10;JtFG0UtFMQwp6VGUqemnrQFiuVNG096slBTfLBoCxAaaQe1WDEPWk8vFK4rFfFG01OY/akKkdqq4&#10;WZDtNIQam2t6UEH0ouFmQHNJzUxB9KT8KLhZkWCaXZTyD6UmDRcLMZto20/B9KTB9KLhZibR6UhG&#10;Kdg+lBBx0pXCzG005NPxRQFhmDSEc1JTT0NMbGGk2mnGmk0CuBHvTSMUhNITTRLAtTSaQmkpiuHN&#10;JzS0UBcac9qTmlNFUA2ilxRigBMUvNLSihgc54jilVVlijMsnSNVLYHrnnHpXL3ttdRxPDcRtO6o&#10;xYFuE6enfp616UVB61QnfT7aRjKI1ZvmbjO6psNHlTspbcIlC4A2jPGOKheXc2VRVwc4XvXUeJoN&#10;PRVa3jkiuJvncH+6eeR2/wDr1y6qA+euPWueaszVEe7nLZ9wKTA29CSeue1WElSMtuiVtwIyeg9D&#10;UMqBJ2GflHTPes2gJ7RLeXKSrIxPZPTuc+2D29add2At2CqQy7SxYHPqMZ/D06moIUcsrjgHgkNi&#10;rf7qKdzOGdsMAAwAJH+SaOmoykigDoc+ueKSSLcy44xUiE5ywGDzxSuQWBFQxEewRr0BNR+XuIIY&#10;gmp15JbPSgvwAAMdzilcBrYVguM8UodU5zk5/CmFgcY4YfrTzC6ABxgnkDPvTQy3CsUjDcTsxg4P&#10;Q+tPXSb51DKqYIyPnH+NJZlJNqFMtu+UAHJ4P6dDXSy6Y0UrxrpsThWKhw4w2O9FhpHKUEcUYPpS&#10;969E5ys8fmXDZ5AFRyWEb/dypqzCMgt/eNTeWQM4OKz3KuYkthNHyPmHtVbDA4IIro6rXMSvsG3q&#10;alxRSkzFpynBzWi+nBvu8UyOxkVGJQkVDRfMhLPVLuxkDW07xkHoDwa7DTPHL7VS+iDYH+sTj9K4&#10;h4SZQgGCana0ljGRyKl2Gj1uy1iyv0BgnUn+6Tg1ezkcHivFEnlhfcrMjD0re03xne2TBZT50foa&#10;nk7DPTgaUmsDTvFmm6hhfN8qT+6/H61to6uAQcg96mwCmk7UtJQMgngiuIyksYdemCK5nUvDOUd7&#10;NsHH3Grqmph6VSk1sLlT3PKLqyntG2TxshHqKtwjbEo9hXodzZwXaGOeNXX3Ga5+98NlButHz/sM&#10;f5GtadRX1M5QZyl3/rF9hUmlwGS6YZxx1p13byRXLpLGyMABhh71Z0OPM0re1arWVyHpE3tNslk1&#10;WyjxlmuEyfocn+Veu44rzXw1B53iawX0Zn/JTXqBh7VNR6hSWlyDbS7am8kijyzUXNbEG2jbUxjo&#10;8unzCsRbaQrUpXFNIxRcLDCtGKfSYpXEM20EY6U/FIRTAj5padikIoASjI9KMUUBcTaKNopaKBjC&#10;oppWpCackUkhwiMx9hQ3YCHbRtHpWhFpF1J1j2j1Y1cj0NR/rZvwHFQ6kUUotmFtpVheQ4VGP0Fb&#10;jjR7EsJJo96gFgW3MB9KqTeLNKt7g20WXlAzgDA6fn+lJ1OxXJpqV49IuZeibR6k1ci8PDAMs34K&#10;KyX8XXkuoPDBaokAtVnEjAn5i4GM9OhNZ1zrt7PnfcMB6LwOvpSvN9RPkib0umw+aypIeDjGc4qB&#10;tKI+7IPxrzHUtSuYtSnMc8ineejYq1oetalLqtpAb2UrJKqlWPB5q+SaV7kc0W7WO/Olz54ZajfT&#10;bhf4QRWVpM3iWGzjF80nm+e4JdASU2jHIz3zUMnivV7fUHtXsxtViA7pgHBPPGKlSkXyQNNrOdes&#10;Z/AVG9vIq5KMB9KiXxfMs2nRyWQIvJmiLKxGzG3Bxzn71W28UQpCss1nIqklfl+bFP2khOmu5UKY&#10;4wRSbTVyHxLpE77CGVsEkMg7cnpU1vq+g3UMc8VzF5cmdrMpXODg9R61Xtu6JVJPqZuw0ba3FOlT&#10;/wCrnt3/AN1xSnTLZjlD+Ro9sg9kYW0CkIFbbaMnaRh9eagfRpM/JID+FNVoidNmVgUYFX30q5To&#10;ob6VC9pMn3omH4VaqJk8jK+KNuamMLKOVI/ClETE4Ckn6U+dC5WQ7azL7R0vJA6EIRktgD5iehJ6&#10;nH610UWm3Eoytu/1IxVqPQ7lvvbE+nP8qh1Ui1TZ5oPClxd3MxnURqrjBycuvoPwI/GuVvdMmtJW&#10;MsbIpYhd3XGa9/i8PjrLL+WBXKeL/Ddo1wiRxbpSnmSSPJsSNB3LEEZP9KxnUi9jRQdjx9ooydwJ&#10;Apq4Y7GzsHQVoXluIGiKxFInGULMDkDqePf29qqoBvJaYIAp52k5PpWW5NiViscICR5JG1iRnOem&#10;PQ9fyqs7bowAq5z6dO1aMEsclrHBdSOCzgjIwAMYBPI9eOgrpNNGmaZ9tW+trd9yoYPMIIy359QA&#10;e4HrzyylG5xq2bvaPd9URlQn6gn+lV0RnYKvJPT2rr5tOhtVkgW+tI7aYAlVl8wnBOCVwCOO2M5+&#10;tctMpSTCAqcYP9aVgcbERUpkEYNChcZPWkIzwTnHftQckYU0ED47NppBsYZ6keg9fpTfLeKQtkqQ&#10;2M4I5FXNI+0m7dUWB98LqRLjbtxz9PrVQMHGCTjtzRcZ1Phu+03SbyG7kuJmLJiZUjG5c/3WPf8A&#10;xNdF/wAJdaJ8kN0qxLwitaISF7A8V52oAjODxRx/eNK5SlY6Y6TbH+DH0NUr7TLe3tJZgTlVyBUH&#10;/CQTdTFHUF5q730fkCHaWIzg+nNbLnM7Is2+hxy20ZZiHK54qwun3cGFR0lRf4WFZqandRYVi69u&#10;av6rqs9hZW7ptaSQ5bI7UXYxJIYT/r7doz3IHFZ1xZo16sds28Bdx9qt2euyT280rwqPKA4BPOad&#10;YXEUs013IqRKzAD0o5mh8qK40ycD7mavR6fMIADGenNacU8EhAWVCfQGtNimzjHShVJEcpwzadu1&#10;OJDGRnJPHtVybTDj5RxW1ZxrPrdxIcEQxBB9Sc/yFaxt0bqB+VRKV2Wo6HnN7YlEJK9KwnTDkCvU&#10;9QtIRbuzIMY5yK84WMPJIexOBVQd0O1iiCynINa2neI9R08jyp2KD+BuaqyWuSAoJJ7CqroYzggg&#10;+9WM9C03x1bTYS8Tyj/eHSupt7yC7iEkEqyKe6mvEqs2d/dWUge3nZD7Gp5QPaGNMPSuD03x1LHi&#10;O/i8xf76cGursdbsNSQfZ5wW/utwaloaZoU0jmnUlShlW7s4LuPZNErjsSOR9DWOuiGxZ2tiWRud&#10;p6iuhNJtFaRm47EuKaE8Eru8SlnQjyrd+vYkqP8AGvR/NXNcPoYZdXh2cbgQ2O4612eKpy5tSFHl&#10;ViUyjFN8welMxRikO48uPSk3Cm4pcD1oC4hYZphYU/ApNopgMxSVIRTSp9aBDaKdt96NhoAbTT1p&#10;+w0beaEwI6ekMkhwqM30FaX23RrSNQ7o0gA3BRu5quPFEbvPFZWTExStEWbgEgA5wPrj8KTqdi+V&#10;dQi0i5kxldoP941bTRIowTNPwOvYCseS/wDE2p2NwtrbG3kKOsbEbRnscmpJNCuZleTU9U2DeCBv&#10;6D+lQ5St2Goo0ZbnRdPZVklTcxIUZ3ZIGT+lZ83jWwgeOK3hZy4yOMcVXltvDFrcW7S3TTOTKUCs&#10;WDfu/n6f7P8AOq48RaVauq6dowLBQFZ+CPyz/Olq9ytieTX9evZillZlUa28xTsOd/mbcZPH3QTT&#10;F0fxHeXzS3d0sdsRwrP7eg4p39q+Ir+Zo7e08qI2odWSMj94XwRk5H3aYfD+u3khe8vRHF6O+f0G&#10;RRpuDE/sDSbWaeS91IPI0cSyBSMjYMD88Un23wzZ3bSw2JuLgjBdh7e/0qY6BpFndXE13qe52hiR&#10;4wQNoVQAfx60n27wzZzkRWzTy+4zn86AK17r02oyNpcFgI4WtUnBUZOd4AHFU4NA1G4zttyoOPvc&#10;VqSeLXF0bey01FItBOrMSerBQuABxzmoJL7xLfuBEsqIeyoF7+pqlNroS4p7nK6p4J1U388iCJgT&#10;n71VNN8M6vZ6xZzSWpCJMjFgQcc1palp/i2G/maKScqSCMTZ7Uywu/Fkd9bx3AnMJdd+6MHAzg84&#10;q+d2J5VckTWfFdppXmS27vOLh1w8OfkwCOn1NQr431hG2XOmof8AeQrUq+KNft7CWWW2RpEujGA8&#10;RGUAyDxio4/H95u2z6VA2e4yv881PyKLkfi6CRdOafS49092YUwfuN8vzf8Aj36UxvFehSFop9Ok&#10;UAkHb0z36VJ/wl2nyW1tPdaOAHuhCmCrbGwDuGR9P0qC41Xwk9zLFc6cyOrlSwj64PPI5pW6D6E1&#10;nd+FLi9XyIpEnlyuCDzng/zqJNK8L3en26wak0UKFxGS3vkjkds/rUtgPBr30Elo7RTiQFAS4G70&#10;5qMeHvDU+mxQQavthSV9rGRT8xxkc/QfnRZIN0Rr4Ssnz9j11RntuHI/A1c/4RXUY5zPa36kmz8n&#10;hiPnByG/SqB8C2z/APHtra4PTKD+jVdXwrqEM9q8F9Gyw2ksJwxBZjvIb8Nw/Knp3EvQqPpXjG3b&#10;KXLPjoBJkH86la88X2+mzOY2adJEKjYDled3Tr2qr/Y3jK14jupHA/uz5H61YiuPGFrYXjOsjTLG&#10;piBRWydwz0HpmiW26As3vifWrK8mjFiZI1c7G8s8jPFdZoXmalp8V9cJ5bzD7noBXJSeItfh1COH&#10;7Ejo6x4ZojwSoznkdzXR6t4u03wuIre6WZ5jHu2RKD+ZJ4rOXaxcdToVs4geVB+oqRYY0+6gFecT&#10;/FpWyLPSWP8AdM0uP0A/rWPefErX5wfK+yWw9QmSPzzSUJMbnFHsQVR2FQz3dtaoXnmSNQMkuwFe&#10;DXfivXrniXVLgqeyNtH5DFZhlmn3NPLJJ/vOTTVNkuoj0bxN46itr+38svcWJdZY2Q7Q2OMe/I+l&#10;cd4o8YP4guIn8oxquPlLllz9P8mi60eOXwSmqs7ySR3HkxoDxGmcnP1JrmoIfNmjVWVSzAfMMj60&#10;rIUpMde3zT5EkfIbIYknHt9M81RBzuJ4JHFdDr/hy40W7ihvnQSvGr7Yzkckj+mfxrLfTp3CiGOR&#10;znGMU0Q3qU1JcsWb65704Mf4iSRTHV4pdjoc45U8EVPbRLNOiF1QOQuWOAM9yfamIdFK0Z4HbuKb&#10;PMZixbGScnFaes6Hc6PKsMpRxjdvRsgj+nWshulQ2DTI+DxUZJRmQ/ezUi4Ey+Zwu4E1bvW0yW9l&#10;ltxNGpkYeWuCAOxDcZ+mPxoBIpWxmSXaoJL/AClcdQe1TwwNLKFUFXJ+Ve350toCJUkniLq7gBnB&#10;ZcA8559q0rOyjt5hNdPGAC2VL4IPOGA68EjI7j607DsUxbzAqo4JOCOn4U82zKSDLFkcdRV65uYW&#10;vN9tGsYUkx5OeO2T+X5Vn+VK3zYbnnpUXCwS6bdx/ehcg+nPfmqmwiTaQVP5Yrq4TIFAF35uezrm&#10;s1Lb7bdTzSIWAcr8p9K6lMmyI9JLSyskh3x7SSGGazbm6juCVeEjbno/H5V0tvaW0COqEo7jHzcY&#10;qsfDcLgskzAHv1pcyuBkW/8Ao+nMCgImOevIAp7DGmwgcZYk1pajpiwWikPkgKgWpDosr20USuuF&#10;zknv0o5kDMmyiLXCCtSaVljbDkYHY1dstBcSM7Sr09KfqOkrFaSSNLjaOwpuSM2mR6Ari1kmycyO&#10;cH6CtcvKf4jSaTprR6Xb4IyUDH8avCybcM4xWTNTnfEly8FikYY5Yc1xkEf7rd6kmuq8ZKyEMWGG&#10;4ArnI1AiA9BVxWgxYG8m4SQjIVg2KtT3djcAie3JPqKptj0pX0+6ILCFyPpTYrmdcwxGUmAMFPZq&#10;rmMitP7JPu2mNg2M4IpH064AyYWx9KdxpmSQc0qStE25GKsPQ4q79kJkClSCe1S6hpD2KxkyBt/b&#10;HSi6Gy9p3jDULPakp8+Mdm6j8a63TfFlhfDa7eRIez/415oYmA560IDn6GhxvsJM9nDqyhlYEHuD&#10;Tia8qsNavtPb9zOdv9xuQa6nTvGMMxEd1GY2/vLyKlxaKR3/AIfXdqe7+6hP9K6zNcv4UliuRNNE&#10;wcYUAj68/wBK6emiWLmjNJmjNMQuaM0lFABmjNJRQA7cKC1MpPxpAP3CjdTMD0ozQIdupu/NJmkU&#10;x7yCRgdR+tNActJfOZSFQD5u/fpXRw67euksem6Wqsk7xGTZncVA+b8f6Uw65pVtceVZ6MZJB0Zx&#10;n9eTUw1XxFeiQWdmsCCSRQdmeAcA8+tTJ3LirDHtPFepWdwrzfZmkj2pghdpyvPH0NJeeHbdp5JN&#10;S1hFDOW2l+QD2ofRPEN/Yzx32o+SZEABMmMHep6D2BFNudA0dJ3e+1Xl2J2KRkZNQU1dCkeGLN7V&#10;S0lzIDOYyAeuwBx/3ziox4os4ZFjsdIRSehYdKlNx4Xs5bcJbyXEmJjETk4wo38E45GB0pg8WLGy&#10;x6fpMaZ6EL0/AUD0JP7T8SX07xw25hi+zK6kJt+ct0yfamf8I9rt5KzXV7sQ9i+cflTjqXia+mkS&#10;GExRm3R0ZI8fOTyMn2qM+H9fvZCbu8Koe0kpIpIGyX/hHNNtbu4nu9TQtJHEjoCPl2rgH8aDP4Wt&#10;ZjhWuJRjPB/rSDwxY293cz3mpJ+8jiVk4+XYuAfxoZfClrNud2uJfQMT6+mKGJoSTxVaxXvkWWnK&#10;HFoJldv7pcLtqvLr2vXkgW2gKqcfcjz+tXP+Ei0iC+WK200GQWglWTaB8m7AXPXqagm8Y3BXFvax&#10;x+5OTTSfQG1bU5nU5/F0GoSsqXBXIIwAe1R2mveJVuYo5rd9jSAMWgPTPNJqXjXV4dUmUtAy8cNH&#10;ntTbfx5eySxxyWluwZgMgEVfI+xPMr7lr/hMNQitLyWWyjbybrygCpGRg8/p+tQJ45t5iBcaRE59&#10;Rj+tWl8aMqagZNNRltbryMB8bvv/ADdP9n9aiHjLRZiPtGjDJ77VakrjZI/iLQnsBcXOklYluFXa&#10;ADhyCQf0NJd3HhF7y4jubdlmEhDsAeWzz3p8mreFbjTJnuLAx26Sx718vb8x3AH5fofzpL638IzX&#10;s5uJXjuDIS7b2HzHnPpQtxiWll4P+1QyW96ySq6sqknqDnuKSXwxo0tq8EGroqi5Z2LMvDkY2/pT&#10;INB8LtJHLBqnKkEZkX/Cpp/CNnKt6kWpoGmuvPbOPkPzfL19/wBKHqBS/wCECZsm21WJvTH/ANY1&#10;ej8Matbvp2y7ykHmCX94RuDdPriqDeArwHMGowt+JH8qv23h7XLQaaI7onyboyS7JSAYzt49+hpX&#10;8wXkUhpPjO2I2XEj49JQf51YtbnxbDDdG5R2ZIWaMlQfm7dKrGz8Z2zMY5p3XPHzhuPxzVmy1DxY&#10;k7JdI5UROQWhUfMFO3oPpTYlua+jahq1/qlpb3cASF7dJZWZMEOACR+dcV4wuDfa9qckiMNsqohP&#10;GFX/ABzmu607WLpfC0ur38axzpEy7Au359xA/wDZas2Phuzu9Vvrq8t1ljfy1jVhkY2D/wCt+VZp&#10;2ZpbQ8aSNchVBJz2q9b6Rezqwhsp5Dx0QmvdINI0+2/1NpCg/wBhAP5VbWKNeFRQPYVTq32J9keK&#10;W/gzXLkLtsTGMdXYCtCH4dap5TvLLCoC5wCSa9bO1RlunqTXOa9qNlZ3cE7amlu7AoQpJLAdzz29&#10;81POx+zS3PIvOXyJNIeQrFvaV2ZthbAGAc9MEfWsgm0guCFDSlTwN3B9Oau+Jb+PU9TmmaZXcscu&#10;q7QQO/FYB6ccUXIkzel11LlmluozJIqjy1Yk7cE8ZPbn9Ks+FfEz6ZqMIlnKQtJlwwyMVyhJ6k/n&#10;QQpXI69aCebW51epeJLe/wBSvLk6bCryowckk5zjDD0PFYGImnRVh2hgEDZ4Df3qqK7844yAD7j0&#10;qwsjGLYqjacZGaLg5XNUztNbym7nLyShcHJ+Ug4wR0x3/AVnzRBHypyh6VBJKyj7wY9ck0ol9+tT&#10;1G3cfIglYZUYx0q2LeGNJJJbMbp8lGDYC7uvH+elVEfcwrRu0uGtIZ5Hi2ABVYN8xHoaLiMVpJd+&#10;1CwHTG49cc1sDUm/s77IIYjHgYLxgup6nn6mqGVLZ4o8w7cgjijmFckGBjPUUZHbFVzNnmjfSsIW&#10;G4u4FOZjx0HerlrfzWqBRghjkg06/soU2eTJnc+MGrsWiBlBaQk/7PFdTsAsuseTDC8kAcyAnGcY&#10;GcU6yvvt8rCOIwqgyzbqS60U3GwpLtVEChSMin21hLZWNwi/NI/TFTZDMybUJXuxmQyRRyblDd62&#10;IfEFuQPNR0PtyK59IWEsodTuVenvQIZMfcbH0p8qYnc62z8QWzKQAOvHzYqDU9VjugtqiHMrBSSe&#10;gNcyYJM8xt+VCNLDcRuCVdeRuo5V0JW56fBPEkar90AYGRUrzxCMtuGBXDW/iW5iGJY1kA7rwa0P&#10;+EitZ7faQ6MecEcVHIy+YxvF17Hc3scUZyoNZHQU6+fztSJznqabjiqWgyS1QSXUSnABbkmuwVow&#10;oUMmAPUVxZxszz9ahYsBwzD8aGriudLcfZ5NWYSShNiKFIOOSasKWUZR45h6E81xzZKZPP1pqu8Y&#10;yrsv0OKfKPmOrijFxqMjNFsKqowR61cktIZMeYgb0zXP6XLL9ohJkYiRuQT1qze6pcRyzBHACtgc&#10;Vm07hclsNNgnDyNErZdscds8fpUWp6NbJAixoqSSOFDGrGlXssOn3DFhhAFXiqcV7cX19Gsr5VMs&#10;Nq98cfzq0mJS96wsfhiGLf50+5kiD4UHGTj/ABrUXRLSGKIKIsmMFvm53dfyxUtzKpN2VcgMVjHP&#10;YY7f8Bou5YzLLh1IACDnrhQv9ai8mzdJEiQS2hdYpnQJAHOyXA3GtjTvEuoacY7PYLoyKJC8rnIJ&#10;GSM1jTFV+2gNwDHEOMjj/wDVUMr7dSkwf9XFjjjomP51UfMUkj0Xw9rs+stN5lqIVQD5t2cmt7Nc&#10;v4Ly2lTSH+KcgfTArpsVVzF6Csaqahqdtplv9ouXKx5xwMn8v89KtdBWN4nZF8PXjkDdsCqe4JOP&#10;5ZpXBa6DF8X6O4Gy5JY8KpQ5Y+g461nf8JuBLJG+mTgxvsYBwcN6Vz9sudT0iPAz5hfB/wB88/pV&#10;ZJhPfLujQiS9JHB7H/69LmLUDrh43088NBdK2duNgPPp1qzb+L9KnmjhDypJI21VeMjJrire7heV&#10;W8kjO6QYc4BAY/1qrI0SQQYBz9lk5znruApqVw5D1vzARwR+HNY/iC51K2shPYBPlYBtwyST2ri/&#10;DMEcur2S/aJcgbim8/NgZrr/ABZJ5fh9ApwWuUGQfxpSdkCjdnNXPiPW5YXikEYBi80sgIOPQYpk&#10;zsl/ps7+eS0ccsqiQ/MC3r9OKoEkzsAeRZJ/Fjrjr+daVzcC08SaXIyLIIYrclCeuMH8qjmbdi7J&#10;I7yPxFI915Floyr8wBbbuPWnI3irUYlO02xIbIwEI+cgdfbB/GoofGF3PeQW8VtFEsjhSAM96ell&#10;4qv7WI3Fw0Dsh3gMFAbfx09sflTldEpp7AfDGo3Fq632qKjMU53k4w4Pt6Yps+k+HYJd11qfmNkn&#10;ZG2efwoHhaQxKNQ1VM+dG/zNnJVs459cVFLYeFrdwbnUfNcEnaG4zSG9iY3/AIatJIPKtHmkCSGN&#10;iM8cBhz60w+Lwkois9LjQn1GT09sUHVPDVs0RgsjMwhdkYj+Hdg9femp4yG7ZYabGB6r9PQCiwaE&#10;p1TxJeTTJFA6IIYnRhHj5mHzcn0qI6H4jvZC1xdFIz2aT6+lStq/iO6mnSG3MaCKJkKxY5Zctyfe&#10;of7M8UXjky3EirjvJjH5UXfUGTnwkq3NzcXd+irJHCpB/h2Jt9e5zTX07wxbz75r0Syf3VbPb2pf&#10;+ESna5uZrq9jEckcIAJJwVXaevvzR/wjugwTGW51MFv7qsB2/Gi4NEGpX2hGNraxtm+1m0Vo5Cn/&#10;ACz3jjP1rmjuI69jXXlvCttcxtjzZhaYQ8nMQb/Go28U6LbY+zabn32AVUJWJnG55drCt/acpIOM&#10;A9PYVThJFxGfRx/OvQNU8dQi+dZNNVlAGMMPT6VUXxdokxAk0gZPqimtfaPsZ8i7lt/FOmFtTSbS&#10;gVs5xFLgA7zlhnp7H86q/wDCQeEJ2HmacVJ7+WP6GrMmp+GJJNRimsyDE6/aDs+8xPXjr1NUgPBE&#10;5DLmI+mWFZrU0dy1LJ4OvNOuVfMVsCjS/KwwecfzNNv9K8LXdxL5mpGKWUAtl8dR70p0rwrdWF3C&#10;mobInCmVt+NoB47epFF74T0e9nMg1YRsUTAJU8BRj9AKWwdCtB4O0TaPs2towznmRTVy48GySyak&#10;8N/Hm8mWUDH3cbvfvuqkfh/Ex/c6rE/1H/1zVm48H3xudRlguY/9JjjVMEjBXbk/oaTBXKZ8F63E&#10;AYb1SPaQirC6P4mt7CJI5pGlF0rnbLnKYOR+ZFVP+EX8U2/+punI/wBi4Iqf7L4tt9IuMSXD3AkQ&#10;x/MHJXnPX8KYLcfdSeLre6nMK3DxeY2zgN8ueP0qTTda8RnUbeG7t5FidwrM0BAHvmmX2p+KrXUZ&#10;xDC7wK52ZiB4qbSPEOv3uqW9nc2qqsrbGYxFSB3OaTXkBqeIXeTwkkNzg3ckazvGvHJKgfkSPyq5&#10;rviJ/DelWe2NZLqUAbHP+zkn8Dio7qIXHjFlch7c2gUL2G2UZ/UVg+OI2utatpDJuhMbxoO24Zz+&#10;ZIH4VFr6GuqKFx8SdZkbbF9nh/3Uz/Os2fxlrk+Q+pup9E+X+VZI0m8mbMdvKx9lNXYfC+sTzK0d&#10;lL05+XFXZIz5pFG71q+uFLPeTyc87nOP51nSzs4LOSxHcntXU/8ACB6wIJHa2wvBIJ+tc1eW0tqA&#10;WXA+mBSbj0JfMUI0EjMxODggAVSdH34HSr5JWATDaqs2BzyKhYgnPHvUXJZVcAkA8etNKngLUkik&#10;tmkHBzTuIQA55NSA4FMIAY5NKj84GaALMNhPeOEhjLswyo/vfT1qsYnico6lXXqp6ipo3eIOygc9&#10;ecc+tMaTGSWOWHOTkmmkUhVVQVO7k+9WjcAwCLb0bcWxz+dUFOGHsalduNo71NgJnC+UGMi7umwd&#10;cVEfXI5qIll4brSA8inYQ7GWNP49KjJ5pc0WEdFd3drPqluDKnlxglj2JNaEb2cxIikQnn7jYrjW&#10;657k1d087EuJv7sTc1s4gmdUEPVJ8/73NGZlGSof1KnBH4VwlgZpb2KJJHG5wMBjWnqV9Mb6fZM4&#10;QNgAMcdaXKyrmvp/luZ7h1b97JnJHGKtvfWcXDSJnuBk1zcV/c2saJFKQMdKt22oS3cmyWKNx3JW&#10;jlZLZspe2cnSVP5VW2QXmpSsArxoqqMeuazLyJBlkRU+lQQC5WLdExCscnB601FicjffS7Vgfkx9&#10;KdBp8VtkoOSO/Nc60lwvDNID9TVy4vpYNFQLMyz7ujdcUajTuZUrB9QncdAxAp3WoIR8pPc1OOBT&#10;GadhpqTQiSUF0fsDgirMmj2G1jmWNsHrVK11gWsaxGLcF6EHmpZ/ECSQOiQsGZcAkip1uAlroRub&#10;VJBMBuGQMVLP4aZId3npwM9Pai11m0SJI3DRlRipLrXIWt3jSZnLLgArSux2KmnWFwbi3fYQi4bJ&#10;9KhutPuv3khjIDP39zW9Y38LwhF6qACM8/lTby+tJ1hjSdCPMBbn0o5ncLFNLC5j0t4fKO529RUG&#10;l2UkeriOYKCdnB9z/wDWrpopEaIFWVl7Y71Qt2J1S6lXOFU8+mFJ/nQ5aMIpXuNCrcMgJQma5HG0&#10;8j/JFO8lJrv7g/ezD8AW/wDrVLau6y2mS3yq8pyQemf/AImnWty4kjJx91mb5fRdw/nWfMboqrDH&#10;JBuVFzLckDDdAP8A9YqARhrq5ILbQ2Afqf8A61X4W+WxBCjG58bMf5+7VCAr5Erlc5Yd/Y/41cWT&#10;I9F8FwGLw7ExYkyuzc/UV0OKztAhEOhWaAYHlg4+vNaVWYvchubiK1gaaZgkajJY9q5bxNqsd7ou&#10;LOSKaJpUWQ5PXqB+VbuvMqaJeM6hgsR4PSuOmjiXwzbDKw77l3AC9doOP51M520NacL6mfZm5Or2&#10;e0Rq8cBYHOVxgtyPoazrYzeZbMmzjfIMseoH/wBatyBVTV71vMH7qzI4XkYQLWbbxKChMu0JbPnK&#10;9M5H9ahS0uUUoWlCZEYOIn5Deqgf1pLl5BHh0I226jk56kc/rV97dI7edhMhIhAwQf7wGfpxVbUI&#10;wHuFUqcJEgwfYdvwqovUJLQu+EJlXxJAGyo2EDdx/CK6XxtFG+m2r7m3GYqAG4AC5rj7bT7gu0rQ&#10;y+ScKHVSR97/AOtXQaii2vhnTIihcuZHJbOQcdaJyFGOpz09vtkuFDyfLGmD15IX86uajayxa6kN&#10;sssrxqm0csSQopJgGub4KMASopw2O/8A9atXz7qHxxLLp8Iluo2IQAZ5C46fSoi/eHL4S9o2k+In&#10;1G2m/syZFR1Yu/ygc571vSaH4tvooRPqKRZiXzC0h+936cVHav43vrkNN+6h2tkcLzt4/XFJdeEN&#10;fvnVrnWDEoiRWVpWPzBRuP5g1pKVzNKy0LNr4UW3Cf2jrqO4uYpQB6ruwOT3z+lZzWXgWzYtPqbX&#10;BHUK5Yf+Oiren+ENPsI1F1rUbuLhZflI6gHjr6HP4VROmeA7QsZ757hgeQGJH6Ukx9DRXWfC9pbK&#10;9ppzyoluXUlcAp5mD1P96qD/ABFjhXbYaIi+7df0FXv7U8K2VtvgsDKiW25cr1TzMY5/2uaz/wDh&#10;YlhBn7DosaHtkAfyFFkhu5fl8TeJLqGb7FZkPshZfLhLcuuWHeqYi8e34AZJIwe7Oqfpmrlz4t1q&#10;SCZrOxXcqwlcIT99Nx/LpWW1/wCO7/iKOaMH0QL/ADoBmw3hXWrhrhri8jTzY4Ap3E4ZUw/bHWmp&#10;4Kggl8291lQB1GAP1JqKbQfEt9DOslw6GRINu6UjkL8/A96on4Z6jPOGn1GNY8EEcseaVwZuHS/D&#10;VpLDNLqHmPHalB+8HMYbJIx75qlJr3giz+6hnZcf8s2P/oWKsDwZY26wifUgNlq0B6DIJJLfmaof&#10;8I14KtDm41FXx2Mwx+lCQN2Kd54r8L3U5J0yTYRjJhXJ/WoF1LwXPybYR/8AbE/+y5qe6g8DvKEi&#10;kTbt6gtUA0fwjLgpe4I6fvKroTcsPF4TludSDTbJWIa6++McjB6epFUv7B8JzEGPVQp/66j+tX38&#10;O6PPPqDjUVD3KqJV3LhACpB/QfnVE+A7OQ7oNUD/AJH+RoukD9Cf/hFNKmsby3g1RSJ41Vm3KdoD&#10;qc/pTLzwM13Ijw6mg2xRxgbc52oBng98Ui+BpViu44rxD59v5Q+XodwOf0qO58Fao6W3kXCZigWJ&#10;vmIyRwad2Fl2Iv8AhAtVT/V38J/4ER/jVubw9r8d7dPFKSr2aRR7ZSMSLsz9Punms8eGPE0Jwlw5&#10;H+zOavmz8Sw3kQV7gxfYSpw+QJRuwfr0pP1BW7FMWPjW2zta4P0mU/1qxHeeL4NPvWkjnMyIphBi&#10;3HO4A/pmqxvvF9uAXW4P1jBqza+I/ESw3TT25zFC0iboSMkdP60O4kh954m8QWkyqLbchijb5oT1&#10;KruHHvWp4f1/UdUleS4t44o7d1OVBGd3HesyXxrf26WrPZxP5sKyNkEYJyCPzFdBDePq3g97sweT&#10;NM25VTuEOf6UnsaRWpPpMZi0KW4kIN2nnRFyOp3n+tU/DNgmoabpl3ORIbcyg5/iYscH6df0q7r8&#10;rwXulWkA2wSXDeaR3ZlYgfqT+VQPcL4S8FJIfmnCjYp/idun5Z/Ss+hZ1MdtEoykaj6CpAqjPAwa&#10;8dvfG+v+c8TXaoVYqdqCs6fxVrEoHmarcAf7Jx/KjlZLmuh7ddKXtZESQxsRjcuMj3rxTxFpBkvr&#10;pvtoZEwqb+WY4J246d+vSsy41S5mYiS+uZM9mkY/1rIknw/B/wA9KFEmU0RXNo1swRpELZKOobJD&#10;en0qO4hktm8uRdpwD1zxSi5KOHAG4EEVc1kwzJaXMU7SPLH+9GMBHHb6UWM9GZWc0mKdFFJNKsUS&#10;M7uQFVRkk0Ojx/fGDyMe4p2ZI1huFNUFQBmnZzSHj9KALEdxIsTou0h+pYAmoH25GDSDOOPXFOCN&#10;uGBkntTQxgPPQ1N94g/lUToytjke34ZFSNygHegBrZLfMaZ0IpDuOaevHXpSAXaSeKd5ZpwIBqXA&#10;96AL9tojXNqkpkKswJxjP0qyuizR2M8KspeQYBIIxTrbXrZIkRkYbQBxV99Ws4oo5ZZNqyZ25HJr&#10;XmYGPpug3NpeLNIY/lVsAHPzdqhuNHmjmiWV1zNIAMc49a3zq9l5Qm875CdoOO4qg+o2tzqtuyyZ&#10;SJSxJFCbAVvDW48XJ/75q1Z+HHh3ssyn6jFW4dUsWX5bmP8AOtOG4gMGRPHz6MKXNIHY5zUtKnit&#10;nkJTaoz1qxaaLMLSLleVDVb1meOWBLeORS00ipwenPP6VsoV2gAjA6YqrsiyOfbRpiQCi4zzzWJ4&#10;nspkuDOyYj4VW9hXeMQAecd+a4/xjcKywwKwJ3knBzSTuEUc1GP3Y9ac/IpQNoFGc8VViis2fQ0K&#10;Pm6Eda7q1tYfssQMSEhRk4BqCe3hfUbeLykACs5+XrzxUuQJHLR2VxMm5IiR7GoTG8coV0ZDnoR1&#10;ruRp9qORCqn2qnfWkMl9bx7exY/hikp9yuUw9MDI1zMR8qRN+J7VnJy7H+Yrt/s2EwAmDwRjrWcb&#10;OM6jIGgGFQcKO5p86AxbieVLgCN2QKq4AOMcVuaQx/s6aeTaXdeWY+pA5/CpZbKzlRi6L05OK6vR&#10;fAWozaPCWdIllVGGTzjBP9aJSTRUFqYcYt0jlcgGSK3C7RwMHGf/AEKmqYgk5SIgrE2Pn9cLXfQf&#10;D4Zk867BEmMhR2H/AOqtKHwRpkGRJvfIAOTjoc//AF6xNjy8xYZSqOPLtuDuyMkH/wCKqK202eS1&#10;VVRhlm7fTHT8a9aaDwvYcyyWSnGMvICf506PX/D0QjEEkLb5VhTyo8gsenaqTaJsmyC0hlS1hiSB&#10;/lQLUk0c8CB5I9qk49apz/EPTIgTDDPJg4xgAZrCv/iN9qby47DCK2cl85qlJshqJf1+Oe+0mSCB&#10;irtjgD7w9K5660i8fTLG32ljFvL8Djd0qQ+OVBIezP4NT18d2zA7rRx/wL/61TJNlRkkU1027WTV&#10;38lyZUKp7/P2/CqI0i9KygW7A/ZwgJz/AHhn+tdDN400230+O8nhlEbymIAKCc43evvVseKtJ+y2&#10;87l0S4UsmU5wDjn8qWth3VzjZNMu0glHkvh9qjaCP4ia1tD8Px6zrc8N40kdsjCR/VlXIwD+IrdH&#10;ifQyMGfaPdDUsWvaGxJS7jBPBOCM0e8tQ5k0buq3lppS26wwYgUbERRjHHvVCXxRp0cO+4gcIO5U&#10;HGajk1LSrmBpJLuFo48ZZn4XPAzUbJot1b5M1s8LHAbzBg4//XU8reo00KniTw3cuFMaM7HOGh71&#10;vw2NjFdfbIbaJJm/5aBQGNcVDaaamqTIltCUTG11cZ9+9aJ8STI9sBHuWVypO0jHOBTswurGjqNn&#10;4lu9WleyuTHYmFlUCTb85UgHjnqRWdeeCNSvpfNutXSNdirguWOQoBPp1BrUnt5bkuftkyBwRtR8&#10;AZGOKzL3w59tleSS8nywHBbgfgfpTTsToyWz8I6Zp8Ua3OtK5WVpCRhckIQRyT0BzVI6X4DtCfO1&#10;F5yDyPMJ/wDQRUtt4Wht4lQzOwVnJ/4Em2li8GaPGQ0kMz9z+8xzVKXmJrsiZtQ8I2lqWisXmSO2&#10;DD5M5jL8D5j/AHqof8J7otpzZaAmfcKv8ga3otG0eJNn2EsmwR4Y54Bz/Opha6dbZNvpELN7qP8A&#10;69LmHbsZN544vobeZ7TTYdyeTtGGOd6EnpjpwKyT4u8YX3FvZMgP/PO3/wAc1102p3cKObXTICwI&#10;wpPUAHOcDtxWZc+IPE+P3Wlwgf72ad0Mrzr4uvYblEa4RjHb7MEJzs+fp75rNn8H+K7xFD3ZXP3j&#10;JcE1qXms+JWhn8pNjBYtmFHUr8/61jNN43uiQs8wz3DKo/nQJpFy/wDCd7pujNd3F1G32awkicLn&#10;JYljn9RXm77ic7sivTxoGv3UMKXErnNpJFIrvkFmZsH/AMeH5Vkp8MtQc/vLiNPpVwkluZyi3scO&#10;CCtKAAVr0BfhfdKAFuUPuQakj+GNzu/eXMQHrgmtPaRI9nK5Wi8JyXL3V6l0g+22sSBCv3cBO/8A&#10;wD9aoN4C1ReUu4iPUsR/SuzTwPILqSZtQdQ8CxELkYxt5/SrcPg3y1w2rXpHoGxWDkjblZw8HhjW&#10;LVLoLL8z27om2Q8MRxTJdP8AFENtZrDJcB44Asu2X+Lc3J557V6Zb+HbeAc3NzJxj534q4un2kYy&#10;wB285Y/59aOcLHkQk8YxNt3XJ+oDVpx6j4jjubBHJMbW8hm3Rj/WDzNvb2WvR2bTLdPMkmt0TO3c&#10;zgDPpzVWXXfD0R+bUbLPtID/ACpc3kHLbqeexeJPEgYKbaJ/YxMP5Gtaw1bXLtmEukArsY/LG3JA&#10;OBz6nFdDJ408NQgf8TGM/wC6jH+lQR+PtAluI4IppHd2CDEZAyT70232HbzKiz6nJFCW0Hll+YMw&#10;GzkjHI9Oa2LGO52KJ7RLe3jTIXI6/Nnp9RVaDxrYXHiE6KkM4uFkeMsygKCuff2NU77xhBLrcnh4&#10;2kgeRzC0obHb0/Kp3K2GWts2qazdNLLujhvI7pCP7hj4/p+tZHie5j1XTL+JVYnTpI1BPA3EYJ/U&#10;1ttdJoXhUagUP2h4Y1xjq2Ao/Ks/SbVL3WtctplJhMkZPoecjP1AFIZ51d6JqdxMXjtJmzzkKeci&#10;qEumXsDPHJCweNcuDwV78/pX0OkahQFXgcDiue1rwfZalHK6oySOHYhWI8xz0yfSncz9mjw+2gmn&#10;uYkSNndzhenPr19K07TwndX7MFeJCqhjkk4z2OB9PzFegaL8PHsblbq7kEhHBiOfukc4P4itLVdC&#10;gsrBV08TRyn92M5Izy3OPU8fl6UJhyI81vfAl9aaTLexyrPsxhI0OTn6gYx71yJjlllSIZ3EgBTw&#10;M16kmr2+iwXVpOhkiliIbnp8x+TjOTnPP+FcZq9tb/2vJeWssUEUQDCJ27jgp7kf40Ji5EZsWmXF&#10;vLP5pMVxbgPtX72fUfh6VBc2zsLiZjho2+ZWYZ5PP8x+ddN4ivdO0vVbSWxlinWSzKXBjk3A7sqR&#10;WfLf6VJoUrPGZNQn27WbjYcjJHr06n1qtwaRjWsCXL7GkWMkHAOeT2H4nIrSvdI228E0DxyKfkYD&#10;gq4xxjPP1HXFPJ0eDWIvsxm+xFU8wumWyOSAPT/GtSyvNBkvWlukuGWSUs6RqMBB0UD1PFSJI5cO&#10;6o9vsABOW4549+1dDofhy5uMTSFoBjcpeMneMjOMEZIzn8KS+TSDqU09rBN5LAkRHCgcj39M11en&#10;eNP7DsPsZ05ri1j2tCszhmTPJ5xjHpSuhqK6nF+KdPey1yWKVlZQq7WVduVx8vH0wPwrFZcIOcHP&#10;eup8U61H4inN/wDYVgby9m5WzuI6Guda3MsAYKS3XjtVCkrFUqCw3nCsDtJHWmAcjrirDRDahyxU&#10;DuOM+gpJP3kpfABPYDApEsWBQZBu+6CM4GauNbRhiA02M91qBEHls3OcfKB35703zW9T+dBNytGh&#10;eVUUZLMBUutS5u0t1bKwIF49e9aBtW0y/gJ8ticlct1NZNzN5t5I/lqMtk4rbmGie6/c29rB02xh&#10;j9W/+tipLRQtpczN02hBUF/cJcmF9oVwvJpovglqbYIu0tnJouAI/IHXmuijykCgHGBXN2+1rhAC&#10;MZya6eCaFY5TIAwCnHPemtzKRnR5k1FP9nJrXWRx0dh+NZ+mrFPLPcMdgACgDmt+DS/OiDhyAe2K&#10;bkhWZTeZ0tJWZ2JOAOa5O8XF3t3EnAJ/Kuz1OwEOnMxlxsy3TrXEO5e6djyaLloeTxTJG2oad2pI&#10;reS9lEEQy7A0XKGJdzovyzSD6OalW9ud283Eu7GAd5zirX/CPX+P9WuO53URaLPJb+aHjVVJU7mx&#10;0PWkrbgSWba3cR+ZDO/lj+JmHb61Y0u5vLmZ5pLqJSg27pR2P0qOKyu1052AbZtY5zgYOP8A9dRW&#10;OnSyRpMAPK3dz1xS0C7Oh/tBILdWuJlBJbG1fvYNVNK1aPzZLi5hLhiCVQ49gKrjS7i+0tJVYHy0&#10;xtByTzTLC1lSz81oZGXKkBR17/5+tTaKGa2peIbWaB7eCzKHkbs129l421KextTGsMSYmB2r0SOM&#10;EdfcgfhXn1jYQtrentdRNHaNKPOMh28dW6/SvXbOXwraWRPmWQWANkocgKxx79eKUrI0hc4C48Xe&#10;ILrAOoXOO/lDb/Kroe/axt7m4e5ZVtrmVmlZj8zDYoOfwrrn8YeErPHlsjY6eXbn+oFUfFXiOz1L&#10;Qbu0tY5FJWFizAD5Xw4HXrgUvkUcjZ+D9YvoVljtH2SDKsSBkHn/AArp9N8E6jAmnCQRr5F008nz&#10;5/hQJ/I1EnxHSztYraCwUpEixhmk9BjsKsv431CQR+XFAubJrjgZwxYqB1+hobkJJCRfDid0Amv0&#10;Xnspb+dQ3/gG2tmjj+2SMxGSdgrEufiBrm7Z9qVM/wByMcZ98Vn3PinVZ7lg17MWC9+lL3hPlNiX&#10;wQrH5LtiPdB/jUJ8ESAHbdZ+qf8A16yB4n1dDxck9euKm/4SzVlUYmUnjqn/ANaq94V4F7UPBV5d&#10;6Za2kU0StFI8jM2RncABjr6U+68JX0ltYQo8f+jQCNs55bcSce3NUdY8Zatp8eniExGSaDzX3KOf&#10;mIGPwFaeoeLb+yuUh8uM4iRnyp+8UDH+dGo3ymZL4N1PPypE3/AsVSu/Dl/YW5nniVY1ZQTu962R&#10;48u1xutYD9M/41U1fxXLq2nG2a2WMbgdy5PSnFyvqS1FbFGLTLrUPDOoQWcLzSvNECo5yBuP+FWB&#10;oWpxeHLC2+xyiRJJnkUDkZIxn8qs6T4gj8OaE128DT+dcCMKG2nhM9x/nNbzeNbZbOzuZLWUG5jL&#10;hQwJUBiB/LNOUnfQIpW1OLk0jUo1Ja0nBx2WoktL6MDMM445wpruT4700ctDOvHoP8alTxrpLdfO&#10;X1yg/wAaXM+wcq7nHtNqEHhbUHWW6SQzQopDsCPvZx+QqQalqlv4c0yQX10JnaUsxkbJAYAd/rXZ&#10;t4q0RNPN3NIVt/MEeWi/iIJ/pT21zQHt7eV5o/KmUtEWiPIyc9uORUtpblWOC/4STWUU7dQm4Hc5&#10;/mKnj8Xa2ox9tP4op/pXXHVvC0nW6tPxXFKJ/Cko/wCPnT+uBmRaOZdhcvmc9e+MdZs9BtLpZYml&#10;lndCWjGNoVT/AFNX7zxhqtq1oqJA3m2sUrllP3mAJrZl0/w5c2kSSNZvAGYx/vBjJ645+lTTaLos&#10;5jLiPKxhU/eY+THH6UtB2sc3/wAJ/qSOFazgfnryKsx+P5goMlhHjjpIf8KvnwzoF2WCM2UYBtsp&#10;GDjNNk8CaTKm3zLgD08yjQq7HDxsg8RW2kmzbfMIyJA/A3KG/rUafEbTxIyPZ3GQxXqp6fjVlvB1&#10;o2vQaqJphLFswnGPlAA9+wrBuPh3p32jD6pJGzEYDKO5/nR7r3Fd9DrbH4j6df3ttawWc4eZ1jy2&#10;BjPHNQD4i+ZYX1zFp2DaypHhpPvbi3t/s0zTfhxZ2Gp2939vlaSFxKEwBnBz/MVow+AdNjtbqDzp&#10;mS6dXcEjqu7GMD/aNCSKXNY5VvixqDsfL062Xt8zFqqSfFHXXfCLaoPURn+prso/hx4ejOSkj98m&#10;Q1YTwV4Yh+9bRcf33zVXj2ItM55PFmsv41s7D7WBaSwRsUWNeS0IbrjP3ua4+68X+I3lwdVugD/d&#10;O3+VevrpmgRX8MwW0F0qqsTFxu24wMfhUBk8I27cz6UuOOZEpJ67Da03PHJtZ1qdRu1C+ckf89nP&#10;9a1PD639zDq6Si4ffp8m3eCcnII69+K9O/t/wlb4IvrDj+6Af5A0+38V+HriV47S7R2SNnISM/dC&#10;5Pb0zVc3kSou+55pa6ZfTeCnhW1lMi34baUPKlMZ/wA+tZMfhTXnYldOn9vlr11PG2iPp897FJK8&#10;EDKjlYu7Z/wrPf4n6CpIRLpj7IB/WkpPoinFdTzxPBHiGQcWLj/eIFXrHwBr8VzFK1vGoR1b/WDt&#10;XWP8UdMyfLs7lvrgVWf4qWxbEemuT/tSgf0o5pE8se5ND4N1KLxudaVoVtvtJlxuwcHrxVq68GXE&#10;/i5dZW5RIlmSTy+STtxn8+abf+PZLTXoNNFipSUxHzC5zhwp6Y96j8X+N7zw9qgs4LSJ1MQfexOe&#10;cjoD7VGt9TXQZ4m1NJbieyaWMQS2rLAueWlV8H+VbDXFroWlXN7cAK2A0pB5ZtoA/pXj97q/254Z&#10;Q6p5JbaCRldz5J/X9K1vFHihNWt47dJj5AiHmBB/Hxyfbjr71JPOhL/xv4jKLNDeeTFNkoiIpwM/&#10;Ss7/AIS7xFODv1e5Vj3UhePwFY0d0726RORtViV/Gr1ro+q3S+Zb6fcSRnI3LGTnt2FVGxHMyR9c&#10;1iRAX1q+PPTznx/OqE95eSSYe8uHUj+KQnj86ty6Dq8CNHNYTI+PMAKHpg5/kfyrHkaUqGOAQNvU&#10;c020HNImMUTFs7mUjrnPNac8sDeDnhGnszi4yt0WOUwBxjp3P51iQOWcAZA53e1dp4Xgt9W0e+0J&#10;3fzrlvMg2kY3qpPPt0FQmKLbPO5MlMcnFTCdpIYoT0iyAMdic4rpm8A655phNqiTYyIi43Edz+n6&#10;1z0thc2eoC3uIXhl3BWVxg8nFWh2Yy5fIC8nC9MdParmmhSd0gIA7mvQLH4T3FzaRTS30cZfLY2c&#10;kdu/41ka54Sl0bUDaiQH5A8bY4k9uT65qJyHZmVBKd8w+UhQSVCAEg984qRZ2H38Mccbu3HNEYUz&#10;uJkIIGMDqTnj/PtRqttc6TPHHMF/eg+U68j6fXpWDbkIrzR/abefySI1X5tmeDjsPes+LJtQUcnH&#10;XmtaB7WJ3WYljsKrgcB8jr7YBrNC4ilVBgEnOK2pO61EMSzkmtjIr5O8Js/XP0qAxPuwVOR1GK0t&#10;PlMZZRyOvP0rbimtH8qaWJXIb59vXbkf/XolO0hbnKpE4Uvs+VR83PSo8L/d/Wum1y2gmuv9D2LC&#10;UHlgHlvTIz/Kph8P9YIBEDYPtQpobRweo6lLeyh3yMdOaob2LZJ5o6mkxiulKwiZHZn5JpM7mP1p&#10;0Y4JpF4phcuWMAmdsgnAq3JC0SZV3Html0tMQs/cnFPvWwABQZsfY+cEB84hWOTXW2l60cKj7VET&#10;jlWGK5yBNsKj2qQ5osJSJ9e1p7izMOxRluSprmImJy3cmrmptllX0qmnSmkUtyQsAtTaRdRW+orL&#10;IwCjiqcxxG1VYm+fPpSaKO21TVoGsGFtOrMTg89qzLnUY10aO0iY7+N9YWQxX605cNMASAM9zgVN&#10;rBc6S81gnSGtdgCsiIPyB/wqvHeFdJEOADGpI/Hj+tZl88RZUjckhuobcvTtmmPduzY4K4xjpwKa&#10;Qjp9KnMOjTl5gW2ZVc9PT+dbdrEY7SNf7qgVwEM5ebaoB3Nn9a3bvW7m2mEBYDaOdvc1MojNTVo3&#10;uZbW1jwXZiQCccjgfzrdh8OX62txbPsDvHFtYNldig5/Xp61xdjrN3Lq1vKpDyghVGD6+1d/F4lv&#10;4LcSRR2qtcs4AZPuxpwo7d93WoZrHVGJF4XlQ4v5RbYfZuPIznp+ord8RaXbafPDbNchzfXMR+X+&#10;FI12j9DXKanrGqarLJFqF9GiqRuKqOOew7VzMmpXDzJK08rOjHlvT2oTYj1JfBumw3M82oXM0dlH&#10;gJ03SMef8f8AIrcFl4eU2o/esbu3WLa7EbYl5z045A5ryT+09Sv0y93KUQqFRnJHAwAOe3SrOp6u&#10;Lya8kzP9qecJCgY/JGARjj/gP5UasafY3ZvEHhiLVJJRaq6JxHG4OD7k0yXxBpF3PJcCwiEhG1IA&#10;vyp9T3z+lcBLa3H2vyPLcyF9qgAnJ9BWpHYzRiQsrByCWAVjj8e9DSFd9j0yGz8P3BRTFbiQoHOH&#10;49xnPWpj4f0J+kUf4Sn/ABrzKOGRLPbHv3p95vU1IHuU3ECTJHAIPB6VF/MPkekXnhPSdQeN5kf9&#10;3GI02vj5R/nrU934V027uDPL5u9sDCtgcDHpXA6t548WKRcypFHJFGyAn+EL0/WoL/XtSOoTSJKy&#10;JJKxUA9Bmq17juux3D+DdLYnbNMMHGNwP9KwvE3h+30W0ikgmkZ5JMYbHTBrLOrX0IjxcurEgkhj&#10;/Sqt/q817FGs073AUElXfhT+NXBt6tkO1tjo9N8MnxF4agQz+SqXDv0zngD+ladx4MaWC0hFwNtt&#10;CIhx1wSc/rXK3evajpGhaQLCY2/mrK7qADn58DqPatLUvFmq2V1bxJJvAt4mkGBlmZQT2py5r6FK&#10;1i7N4DnbIS6UjHcVGfA17ziePn2NZh8faqB+6CgY/iUf4VN/wn2sRHMluhHrt4/Sp94LRLt54N1C&#10;XQEsImjMv2rziTwMbcVBqOi3On2FhHMyZhh2Y98k4H51O/jm+k02CSKGEzPK6yqQfkXAwevc5qpq&#10;+uS3S28zKpKxDeq5Iz9KzqSKVio/hy4NsJUhUR5HJPc/zpl14V1FNjGzHlrliQ3SrJ8XSolsotd0&#10;MBDCNTjJ960pviCkv+iyaW2ZUOSJun5CkpaE2Rj3ljLdaXZWptmJiMhYHoSehH5H8qbrPnpqIG1Q&#10;qQxouDxwoBFRvqzmRn2kMU2Y9s9frUb6hbzWskGyRpSwkicABVOOQT3qOdhoVvKv2jV4VdSWJG0E&#10;+38qQy61HKGhN3sHGRuxmtCx1rybM200QZVbOVOCOAOD26V1Vp4z0G2s4YZBKrhQpBizz+FXCV2E&#10;TJa71JfH9nB9ouRbkQBo952n92ueKwJ7/VZJ2M1xPuVyRubPevTB4l0b+149PLn7bJt2jyjzuAI5&#10;xjoRWBrWu6FexH7K4eVgVJWIgqeoPIx1FXJsdjK0vxJrDa5pxlvbiTzLiKJxuOCu4elaCXmpz6br&#10;im5u2dJYxH+8bI+dulbXhHUNGgeJri5iN3MVjRFQ4GPlXgDr9TXTDxV4fWO6dZQFt8CbEJ7nA7c8&#10;0LYaR46E1uZyZFvZOeCdx4pw0fWpTxY3JH+4a9T/AOFieGgxVZpCR6QH/Cmn4l+H0bA+1MfaL/E1&#10;XN5Csu5zcek6h/wk/h+c2cuyKG38xtvCEfezWFdeDNfmuXMWnS43HBGBxmvST4/0f7TbQgTk3AUh&#10;gFwmTj5vm4I71SuvifpNpcSQm0u2KsVyAuDg445oUwaTOFHgbxE4x9hYfVgK2fDfgrW7DUmluYVW&#10;NoJYzl/7yFR/OtmT4p2K8jTrg/V1FTaR8SLfV9Uhso9PeMykgO0oOOM9MU+ZvYUYxuZeneCtWi0H&#10;UrOVI0kuGiMfz5+6STn86zl+GGrs5JngT8Sa6ay+IP22zv5l00I1pGJAplzuywX0461kP8V5lfaN&#10;LjB9TIf8KScimo9Sonwu1Inm7gH4Gpk+Fd3nLX8Q/wCAmlf4qXjNtWwtx35Zj/WoW+KGpuPktLVR&#10;34b/ABobklqTaJf8Q+GY4ni1Zr5f9HSKFkUcsyYGf0rX1zwvaeLWj1I3bQ/uMYxx3OT+deZXviC9&#10;mZxM22KRjJjsxJP+fwq6vjDVNPszaI6Kjx4K7eMEf/XrJTdw5o2OS1K1NrfGEuhU/wASHKjPQfh6&#10;VSilkeYII+narov4zDJbTRlozOsu7GccEYrNdwZfM5xnJxVEMuFwszoCQwICj+dez+A7lrLwtFNe&#10;ZEcs21CB0GOPw4/OvCopP3gbByK3H8Q6pPAls90VhVFjCLwuF5HTqeTz7mhoqLS3PRviLqMSXkHk&#10;yESRxbmZW4ZSen5E+xzXmGoTq17MN6vuJ+fA5Of05q1qeq31/bwJcTRskEQiTAAIX04+lYDSZlBO&#10;T7VNrhJl9EQxjCqqsT84zk/5xXoHgOG20e8bVL27jiVYcLGeWbPU47cfzrzdblFXaDz1H1rStdUn&#10;t4mhEmEkHzZPsRyPxpCjoe2Q+L9Mm0+bUSiGaAlFA+9gnpn06frXEeMbtbzXvDmsFECyopZc5+ZX&#10;ywP51w0l7PEWhSVhGW4BP+RU9zKx0aN5Z3aSOcosZOcBgSSM+4qo6stSPo+4uYra1kmdgERSxOew&#10;FeNa34xl1LWSXVPKAHkqw3bB9OmRmuce/u5LchtRnYMmdpZun41hvcN52ev4UpQsEpmrc3rQXiEt&#10;+8iIKsvt/wDqNXJhJf6U19Ndhz5qqYWPzZx97P4VkQTkK0b7cvzub6elOR85Xa7R8bSvI7Y5rLYg&#10;dFukuBIH3ITggHBYVNbAieVWPXPBqDfHHGdyjPIzu4qhLM4vA4k5KjJU+1XSV5CbsXoZDG4YEA98&#10;+1XbaaSJw6uBxgVmRsDhieAQSTU0Ux8uRty4AyvOB9KdZaiRsSSBU3B1LdwD6960o9RXy1/0hug/&#10;5aN/jXLtKwGT0YfeHOKn+1p/z+J/3xWNirnKuwJ4GBUdKRxTevHavREyccQU5U4HNNV1VBG6buMg&#10;5p8e1nVUQgk+tAmbtonl2iD2yaqTfvLlV96utwgA6AVSth5l4Se1Oxle5v6d5fnbXj35GADTZM7D&#10;8oxk4PeoopPKyQPmxwabJIu1SuQQOaYjG1A5lP5VAnyjmi7lEk2QCOemaD0oNVtcr3TYjwO5os4D&#10;O20D5m6VHcn5gPStnQNQs7ASPOCXxhPlzg0mMpGLoNjBh+tRvblBuJ47gmp574PcvPHnBz1HTNVW&#10;mLnJH4UgFHMgxjgUqx5lIJ49aSJ0OTmrVtHAw3SzKoHzMMc0CLelWKveQsX4L46V0U/huK8uXme4&#10;YMxyFA6CsiTUbR0gMKiJY1PygdCSPz6VZ0m9t452uLi62qPuoT976+1J3Yze8GaTYxeIiswMjRSg&#10;RnOMEdTXdXnh7QeI5GVfKjwhMvQEk5/U15vopubma/u7e1LJtkUSAd24GPfBpnihbiz1NnuIHEKo&#10;EBOQCVUD9etYtam0XZG5qNrolnazXNsYZZdpyXfJXAOOPeuAlELzQIjBRtG9jwMnmr9hoWq6lp8t&#10;5bQsYXBAOCdxBHyj3waz7uwu4vPVoiUiYRuwH3SO36U0iZO52Pho6S1pN9rvU3yBo0RRyoAJz6Z6&#10;VzNzEtrcw3cMzAP+8Rz1JHrWXbLIssbKecFgP8/Wrj29xIkayuq7flAfgpkn1/OnsCeh00N7HcNB&#10;ereM99Dulw67gjbh/Tt9aBrVlcy3xlmkTcoaIqMFm759+KwxZ3djcYAUMQPmzxjGe3XrT7bTGzuM&#10;sRJPQHFZykkgudfpviK2tlMjxgYG0gDGTgHJP1pLfWoItVDeYJFZxk4OAOwrmmgk/equDu6Y55og&#10;jaMxHbuKnr6461g5FHT3F/a3UUsSkNeM29SOpXpj61o6dqGiGzckQSPEoB3KDuOOa46zjmE7TeW4&#10;ALEM3TPPFVgZEuGIA24zT5rIGdZpF5p0mrOLpbfY7HlgMDjj+tZfjGWwa6tl0+KJEAbd5YA3HIrJ&#10;Vot5kYAv6+lRySRvKSFY85YnuParhUsQzv8ASrPRrvR9Oh1BYTMYDtVzjgsSf51sPoukvdeayRGY&#10;bf4uRtGB+leX3LyTSR7W3MoVVHPA/wAmlnvftMrySzOzH7zHjd27U/aspSR3N9pHh+zZjNbIndCp&#10;JzXHKkd1E8rEIhYgR579vwqBVBXcjkADrk8VlS3TpGRvIA/SpbctiXqakcYYhS4jIOAM8EZpxcbx&#10;ETnPBaseG4X7RsPzEdzVxZSsz5GQRkc1DT6jRrx2luUMiyEH0644qsIw87BVw2cFjVMTOv3HK565&#10;+tLNciOWIKdzZxwfzqbsWhNeRGKcxhgwXHI796g3qgAAC5HQVNcT+aSepAyRjGKqI+WzwTTsDJbe&#10;JZZWDvsI55qzFaWl3NsnmEXPytis6Vw2JBkdutJDMyAsvOe2elVG62A7az0ibUfFC63C6fZ4DHuQ&#10;n5sKgB/lWdqukRW0rSW5DRHH1B6mqWi+IrvSdRZPleBwFYZPcDJ6/hRealdGQxbQvGMjI2jn39+v&#10;tVOdyk9Da0fw1f8A9p2tzC0J8top9ofJILZA4+nNdFa+C9T+y6mJWiBuyrIQ2f49x/SuR0PxDcWF&#10;9GyxiZ3CxBCx98fzrrbbxxqaWd+kkdsZbMgKSp5+fbzgj9MVpGRStYxdR8BzadayXt1dwRIik9fv&#10;EVyLtHGMxMDJtyf9kV1c/wAR9Rv5jBPplhKo5w0bnI/76ridSnaXU2uPIFvv5KICFA9KJNszlYki&#10;uUW6VmY8EMSDinlnklYErtY5U5rGmYbiVbIPPTpU1tdmNNjL1PU9qlp2JPQPD/hK21+AEajHFLkj&#10;ycZY11ujfDmPStVgvhfb/JfcF215ppGsSaaxngZRJ6iuu0DxzrM+q2lgyxeU0qBz5eW2scE5qoSb&#10;0NI2OlsfAC2SXym93rdRGL7v3fmBB/SqR+Fto77jfyZ9lFJZeMNWn1PUrWRov9GhmaPEfRk6fyrn&#10;JviVr0UuwSQH38qtLsbS6nSSfC+wjjLNezADr8orC8R+ELXRLZmt55ZpEAZwcfKCcVD/AMLG8QsB&#10;h4SCcFhEP8Ky7zxBqOopK1zJvR8ZAQY46AcfnUTcupMuUw71ondTk4UYBPaqt05+QkksVp93M8Kb&#10;Wj44JPSs1rp5WLEfd6VlFMixJKsakHcSwyc44z6VDd3ZnuXlMCR7udqDjOP69adJd+ekUTYwit9D&#10;3/OoRbzXE6xwAtI52ouetajsOhRH3yb8FF3BT+A/qaPNbGeMVOG+yXrq6gqyjzRkZPc4P+e9TW1h&#10;Jc3Ewt43kiXOxtnX+6Pqf6UhJFB5iykVCVYqSTtPau3h8Hrc6al0fMS4kAKxyJxleCM5zz1rnbh3&#10;luTbXqmIJlSWyfKA4xg9adh2McIcA5OPUVbgZY5UaVS6g5IJxkVKohW0WAOokEu4zBzllwMjHTt+&#10;dTi8Cak0jSmcRKPLbaADgDGQev8AX3pAEhhnnkMS+TGSNq5zjj/GnswGmToY2f50ZZMfdHOf51Ja&#10;6at08HlOqNJk7WkHygevGe5r0O9h0+b4c6rHY2f2cQCJ2bdlmbIJGe45FOO41Fs4ERSfYoGEZIZd&#10;gyODms+/gMEvlsR8vJA7fjXVpqEB8G2bKp+123yBmJ27d7cAdM/MAV0aouUrippmN1K8zE5Y7itV&#10;JEixn7qOTVy0jKx4DgqWywNU4bg5VjAHTk7V46VL9sKqI9x8sfNgcZrGURli+/eQ7YiDjqehNZgV&#10;lKHOfT3rrfDWi2GtQzfapJ4GRgQVwVxkZzkHJ54FZXiTS7bSdcktbOcy2wO5CTyAa0pKzFJe7cqx&#10;OCOB0XkfTmnCZLlTAISZ3YKAnJNNhXGx8jD8dOlMtI2W8eVow6qPlc5+U+w9aqqurFHUSQXcRNuY&#10;ZEZB/EuDiq2H/ut+RrVmvpjCGWRXUYADNkjn0/zxVRRcbR+4bp/ntWKsMyyQRUYG405wQOlLGvfF&#10;dYmDjLfhirNgm+6QenJqsOea0dMT53bHTimtwlsaEzYQmq9h992xT7psRGlslAhz3JpmPQtqxNRz&#10;yFUOPSpoly496j1FFSHgcmmSjCYlpCaXNNHLMadmg3WxUmb5zxSpwtI2Gc1KqjYKVhifwD3NLhdv&#10;Xmnbclc00R7u/aiwDVX5WHvT1cohAPJGKmhgje2JdirDpiq+wgUWAkyViAp4kLYGKY33BQnXNMR3&#10;ln4o0rTNBgtokmE55kCjjOByD69a5fUNcn1B1NxLJKOp3nPP0+lZJlUMTnmoyNzetYuJopHoOmeO&#10;4bBUt4YmFsgIVNoxyuPx9Kx49WSSwu7CaedUlk83KAHc2COT+NZdvBbEBQHkdguCv8JJHb860prC&#10;NLSeYMBsVQAeN3c0NBcqafLZloWlMpMRRgAAQTnn8hiuh1HVNH1a5aZ7WSEINqhCPm29znvXNraJ&#10;brGqybiy7mB7GtVNPt0055nJM7Bdig445JP54rOSuV8JU/tJjFPsUlppP9YeuB2/lU1u5Lsdu3nr&#10;nt6UyDSbn7Fb3OzCu7BRnuqgk/8AjwqFpyqu2DhlJ5FZyVxpGxFfwFXhXeNo6+9V4NRhW5IYsTgY&#10;JHQY/wD11hLdvHuZQ2GOMH+lPa8Qt+8hBPAIBxSVMnmOtuNfsjBFFbl2CMCV2jaVz3NZ9zfQzTs6&#10;qV4wFAwKw3nVW+VcKF5HY9etVxKXnKg8kZzniq9ncOY2fOhLySY2qOMZ9qqXd5GJP3U29cDOBgH8&#10;KzWd0LFgQAeQKgLpKcKWFVGmhGpbavLBMSjAHHPr7itFdWgliKGGNAXDY5JGPeuYKfN1OfWgJIBh&#10;H4q/ZiOu/tS2R2IZSHXGxuPm4xWJeTAEIoP3Oc+uazmU+T85Oc8EVPdNhwuOM0Rp2AvadeRiZUdE&#10;AI+dmGTV5GgVAA+XPUD6/wCFYdrEpKsSffirZkMUnI5HPHWomrlX0LNzmFyAnBGRk9KWCeKQrIwI&#10;de3TORVSSVp0wAVJGCTUZkVLnYxboB+lQo6CNQzYml24IOB19qAUHygEAnPXFUI5FQNuJJ3VMpaR&#10;JCDyvH1pSjqG4O+xVjLA4BOar7mWTk4x0xUcjBH6dKAwJGT1rRIC7DLlyeAB6irRuUkwdxJHBJOc&#10;+lZ5RmQbBy3pUas8RxjvU2vsFzr9As0udVgck+Wrq2QQMen61e8R3+j2ctzFbtOrzSZkcj5W53Vx&#10;kV9IqmPcQD1AbGRngGrWqq1xY26jjBySfpV04aj5uxYu9S0mQo1sWhfHzbstuOf0qvLLbzWhUSJ5&#10;xYclyMVzjK8dzsdSCD0IqW6jZpmI6E1o6aJTLv2RmDAPGeeMOP60+KAiJi8eSp5rLtkP2lA3TPNb&#10;GJltfkyPnKnjtjvUSjbQZPat5jbY0LuBnaozmvTPAGjw3NwLxonDrGGDDoGDZxj8K8rt5ru03TWs&#10;kkcsJ3F1PQE4/wA/WtCz8a6/YL5dvftEp5IWNeT+X1pKD6DTS3Pbh4b0ax1C5vJJjHJMsgcPIAMO&#10;Dn+dZj+CfC0jbmn/APIwry//AIT7xTcBgdSZuOcxr/hWlH4t1wWqSfbPnZASTEnP6U3zIpNSOyuP&#10;Dvha2t5wzy4jIIHmfe47VjywaDazxOPONmzMCGOSpxjIx9TXLT+M9d2OjXSFDnIMKc569uO/51Qb&#10;xTfygRz+U8QIIXyVG0+3HSoakw906i6tNL1RkjEpEUZdwWwHZNvQfiP1rgLhYre4nUlhEUPlhh83&#10;tn0rdgv7i4aC3LIFiZ8ERgNnJH5Vzd9czSsTIwfLZ3kcmqitROxvafaaBPp0UMs8x1CRWZZP4FY4&#10;wp9hg1mW80dlqfzkFoSCpK5G4EfpgVVsVluLYQRnlZd4UD5un/1qijKmRzJuJIznvVsHoizqU8Ml&#10;5O0XO6QkP0yO3Fa2heIP7KKAWxnCvuZCx2nIx/LNYrGPbhgGOOppjMdh8vjpkioIvrc9Gu/GFley&#10;3E0NvPCzoHwZBjeOOB+ArjdWvftt2bhohHK4G8A8N6/jmsdLpt43Z44qwT543KRhfU0ncHK4OYpJ&#10;Arg+WmeF6/nTUa2b92yyL3LZ5PoDTwFHOOT3prhHPIoA0LbUYbSORVg82RwoLv6d/wAe30+tdZa+&#10;NNKi8LXthNZzG5uI3j3gjavGFA9gAPyrh1SLb3okTam3Gc8U1uUm0dBp+uadF4UutLubdzcySl4p&#10;lA4ztOD7ZUVz1+kYk3RFuVG7cBgHvj2pgKY2Z5JGDnoaS7JSQZ7j+VayRCempELgZIk3KMAfIMdB&#10;x/IUQmLzow+7yweSo5x/WoS248il8zAK+tZhc9L0Dxn4Z0u0Fo+jStDuDsWbcxYYwT+tc34jv9P1&#10;rU1k0u0NqhA+Vm4PH+Oa5sFgODgVYjVBAZnHOcKc00im7qw6Qy2zBJPuKe3Iq0t0iyIjE7GbeMVl&#10;3EjKmS27PqatQy7ZLecopCEAg9DTmrxIRba3RbidkI8nPGT29a10XSdi/LcdP79ZM04lUxxthG5I&#10;x0qAQzgD53/P/wCtXNyyKHedbZINspI7ZpBe2fQWgqQrDImxY1jYjl81We0VJVVW+Q9TXWn1BoS5&#10;ntJBiO3EZ9VqzZKqW4IP3+TSx6VHJkhyatrZFVAB4AquYiSZRvJF24FW4AqwIO+KcdODEEk1KLIg&#10;cN2o5kTyMWKQI2fas7U7hpWCg4C1omzJP3jUb6ar5z1+tPmQKDMBBxjtSgda3BpUYGOcUq6XEOcc&#10;0cxdjnNvz88VKQQn3hXQDS4ic4FO/suHOdgpcwHOsORzR2610g02Dugpf7Ot/wDnmv5UcwHNlcqf&#10;mpGU4HFdQunW4P8Aq1p40+37Rr+VHOgOVkB4AFNZWEbEjHHFdh9hgx/q1/KgWFucZjGBS5wscIoY&#10;HJRj+Bpd+DXdnTbNusCmmHSbJ/8Aljj8TS5iuU42G5MJ3KxB9qebpnBBZiD2J4/z1rrG0CxY5CMP&#10;xph8OWh6Fh+VLQLHLC8YY5OBUrai7DBkPQL+FdA3he2PRyPwqJvC0R6Sj8Vo0DUx/wC1p9gTzG2j&#10;OB2GcZ/kPyqP7e5UoT8pGK2D4U4+WRKibwtMD8rKfxpNINTMa+dkCHG32FJ5obJOOe+a0D4auV/h&#10;z9Gpp0G4X/lm/wCdOwrMotcEHbnIxim+aEDEDk1cbRZ15Mcn5VEdKmB5VvypWHYptKcHJPJzzTUl&#10;weB+laN1aSXGwlSpVQo49KqnTpFP3v0qgI1fnBpcBujgU42MmeopyaZMwyrJ+JxSsFhUTCkHmrdz&#10;bRtE0n2pA4P+r5zVY6fchsYBHs1FzaXLTu4icqTxgUmmFjTs4LKEKWu0z94jFRvGs07skq5djgE4&#10;wM9KxWSRCAVYH3FIJGUg+nep5WDN5LCWZCiMp2nkhqjOmXfm+arxHkHBbtWVBczBwFcjn1q4s02M&#10;7yeKnlkh9C5a6fJdSAbgqA8n8M1emsvsdlMhdXZiNuB0ABz+uKyUnlHAYgcdOKmW7dVGQp4PWplG&#10;VxoBZ+azOJAyg5yeOKl+x2yqhL7sng7hTXbzFOxhlgMrjFUmjmI2AHjt61STe5LRsBYmOxVKsD0/&#10;pTFtYgrNhyA3JFZDJIg4U0YlyQFIDdRQoW6iNKaG3BV3Migk87Tz6VNbX1sski3EpWJsAbumcCsN&#10;lkcqjZ2jHFF9BJFHhpMrtDfTNddGno2iZbkl/ObnU/NDB1UBA46NirUpk8soITncTnHaqtnbedDu&#10;43KSOfWrYZ1ZQSDmtfYtrnBy1K8KOZhvDA7up6f56VuWLvBZzmEpOSV37u3r1qiBuOCBzUQuJbOd&#10;7YSF/nGcjtznH51xy940WhvWm+wg1BCqMJ4UU5Gfl3jJ/l+dc/OFEka7MYHX1rqrQDeVe33x54yc&#10;Z9R+YH5VO1ppz8y2Chx93BYjrSU1Et0+Y5zSY4vPkB2n5egrQVf9Bi47EflWuml6fEu+GARzHqQx&#10;xSNo8hgRY5E2Ak857k1Mpcw1TaOSuhhjVSMIJ13LuTP3c9a6+88MSyIrwSIOMNubqf6VDB4UkXUk&#10;lWRRbx4Y5b5umen1pRkglBpmdp6ncrvGy7pSwJHUHGP50zUdK3ARRJGRgnng/nW400N5eW+nwSLN&#10;tG5BGeVCgVLfWZgR7mVWSNQSWxVTmoSsTyyaOM0vTppL6VAxiC4y5P3cmruo6JeRabFdyREqG8tC&#10;oI43fL9ckmrum6npSXdw9/FI0MyBSE6jDA5/Sur1HxJpOseGbLT4JSbiCTCgjBIRG2t/6Dx60OQ1&#10;ZnmM9jLChMvyupGFpsEEwRm2kjFafiGaF9QfyyDwufTIUA/ypsMkaiJQfl2nNCZDWpmTQhZHUDPc&#10;Cmg7Rip7pi+WBDHoCPSquGIzQxKxMJc8Y4p24VBHk9jzSjhtpHNToK5Or7WDe+Kv2sP2iWPKAqCT&#10;n61lghmCjk1s6fKY95DKEAIwepoWg0yo9ukV1dR8AYYr7dxSLbvfhQhUunXJwCK0Lu0kj1u3WeNo&#10;UuQhBZcfKTjNdrqPgGSGyL2cwZoUJSMKfm9efWt29FcldjzuTSGQf8fMBPsT/hUZ0liBieL8z/hX&#10;b6R4OOu2IuYL1VIO2SNl5U+hq8/w3vgPlvIT9QaLQ7g+bseef2ZNFH55KSR7wnDdzn/A07UrC6Sz&#10;jlSP/R+zDB/+vXRXugXVjqgsAftEhAbbH68n88ZqTVPCN6lrcXMUgW3VC/lu5LYx0NRdJmiukcSI&#10;A8YTqauwooiUHtwRT9NtDeXSQqQMAtz3A/8A1VHc3EP26VoN32ctwD1q2jKN+poQ24l54APpVz+z&#10;x/e/Wsu2ufMi2qH8tjhV3YNP8lPW5/7+CjlbKbSJZ5FfAXacdcVEME9BTIRiMCpIlLyqO+ayjHlV&#10;izShi2wqehNShTSjgYpaoQm2lC8UZpaLAN2+9O20UmaADbxS0Z4pRikwADJ6UbaeDS0agR7RRtFS&#10;AA0u0elGoDAop4A7UADNLjmkFg5x1pRnvRilCmmMKBxS49aNvHWiwhwNO3UzHpTqEMdupwxUe09x&#10;S9KdgJBjNL/nrVczxqeXA/Gg3MAHMij8aQFjg+lKBxjFVPt9qDzJ+lRnV4FPG40WA0MZHNJsHcD8&#10;azG1tf4IvzNQnWZT92NR+FKzHc2PKjbqq/lTTbQn70an8Kxzql03TaPwqP7bdOeZTRZhc2TZWrDm&#10;FKYbCxXOUUf8CrHMkh6yN+dG71YmqsxGjJZWGPvgfjmovKs0AUTvx7VSDKO2aduHoKeoDpYo2b5T&#10;uX1IqM20TjDRIf8AgIp+80m6jULEJ022JyIlU+1NOmRH+NgKs7jS7qLDTsVBpUWP9YwpraWCPllb&#10;8quZpd1Ow7kNrZ/Z3JaQsD6CrbbCuAqg+u0VGJOKTeM0rCuZjadc8/OpyfWkFjdAjPP41p7jQGya&#10;LC0KTWDXCRq37tkDEsBwR2FQf2XLJHh5l/eLg7hjZgjr/wDWrV3mkz09quM5RVkxWRnWlrNakgqr&#10;JJtYH0JBz/Knm3cSA7Tkc4Cj0zV7I9KXdVe2mtLicYvoVFgbcQRjBx+oH9ap3jxS38TQwyK+PnLH&#10;IJ9RxxWxupQVBztGfpWKTT1KdmtC4t3cqo2pznPK1Omp3SKoaMHBz/qx1qj9ofP3jTvtLetHKVcd&#10;farcxwjy8Rtk87B0PWswa3eqQ3m/dGACO2auyss6hZACKgNnbsOVpcqGp2HTeKL9yvzIMoAcClj8&#10;U3ildyxn14PpTGs4GAG0jAx1qI6dCTwzClyofOZnhy+Wz1KeQgFvJcKTjr/kVJcareXW5ZXd1znb&#10;ngGpV0GJH3CV/wAql/srBO2b9KuVnuRuZJbcAShFLvWMbo9wKj+mK1DpjA/fBq7tP2VYXRW+Xa3A&#10;6VHKS4nKrKZQSy96eZ+Titb+yEUHbuGfeov7GXd98j6inyomzM0S7ywwBinGRjGq7doJ44/WrwtB&#10;ZFjjzd54OOlSyXCIiqyKxHbFZznbQFoVUdEiCjqDnNBMeCwHzVdjMLqSUQepxUsccJBARSO9Y89h&#10;GLCcIzkck4XHr61oaS0K6jbi5yItwLY44qyLaMnhRtByBinPGCxK4AIx0qnWQFvxXNG81ncQXr3C&#10;hSo3YygyCB79TW1Z+LfErQKwu7BywBXcVGB71y08CyxiMH5Qcrgc02OPao+cnHOM1qq8GtRX1Ovt&#10;NR1XQLttZm+yNHesVmihOUQno1dbPe3Utu08mqwJGF3gQKTkfWvJtzIGBztYEEZ65qSOdzEqNI21&#10;BgHcenpTVRMtO5oy+JZIvEX2p8Fp2YEnquRgflitq912BrNxLIx3oV/MVxs8MU1wkwGCoAI9SO9L&#10;fSyTwCNSu0c9KjnTZomr6lKwvJLK9S4jAJQ556HIIP8AM1XtwjSOig7X7H9KYhw5U+vapha/ZpVk&#10;XO0nr6V0tpWME1doq5MUgkViGVskelXftdqeTG2T71DPat50kq4KHqBUQt4cf65/yqHIvQ1xVqxj&#10;JkLntUcFpGkm5pi/tirg3LxsPFGwyfPvS5qIBiOlKuQeaAJKXNN3LjqB9TTDMgPLr+dAEtLt9Krm&#10;6iH8YoN7Ev8AF+QoAsbacBVUX8WOp/KkOoKv3UY/WiwFwCnc1nf2meyD86jbUZD0IH0FAGsOlGax&#10;jeTn+NqjMkzfxN+dAG2XVerCmtdwr1cCsM+YerY/GmbD3ajlGbh1C2z9/P0FH9p246bj+FYgCjvT&#10;gRTsBrNqyD7sTH8aadWyvywgH3NZmaTNFgNBtWn/AIUQfQVG2pXTfx4+gqpupKLATm6uD/y1b86j&#10;Mkjfedj+NMpaAAA92P50/I9aaOtLRYBcj0pOPSjNFMBfzp2Pem8UUAPyKUUyigCTNGajpfrQA+lH&#10;TrUf40m6gCWjcaj30m8+tAEpfik31EWzQDQBMGJo3Go1OKXfQA7JozSZozQA7caNxpm6gNzQBJuN&#10;G40mRRkUALu96N1N/Gj6UAP3UbqjpaBj9xo8w0zNGRQIfvPrTg9RGjPvQBPvPrQJAOtV91G6kMsN&#10;Nn1pvm8VDmjNIROJOetL5hxxVbdS7/emBZ3560oCMOlVfMpHnKdBRYZJe2ZEJlJVCOjN0rDuHOV3&#10;EFu5BrWW98xPKuUEkdVLvTBKnmWz5H93uKzcbktFdSxO4DB7+9SLcMvO7PtWc0klv8kgIwep9KfF&#10;Ovmhs44wc1m4Csasdzls7uPXNTLcMWA253Hg5rLW4QHIUbSMVMs7AhduAfu5rNwFY0XZtwJwF6Zq&#10;EuhfZg7+ucU1ZpBB843Z4BqSO5h4ZgemMkVFmKwjq0inqcdKR28qOOPHzsakFxFHkH14pd0TsrnB&#10;weMU7tDWhWeaRW6YPeomkw2TwD61pt5X8S4J9e9RiKOVNrEEA8KaXMBhEHz2x6jpV4I7QbXzg9OK&#10;tzQKJ8iMfMOvpQkO2MByVxn/ACK2lW5kiLFORWV+M7SOtV/ssX901psrKxUAFT3NM2N/dH5VPtCi&#10;U6g46ACmNeynoag2UFQK6jQsC+lxgn8aYZZHOd7fnUXy+lKGC9KoQ4Fu5NHJNJ5ntRvB9qQDsGlA&#10;9TUec0mT60gRN8oHXNJlfTNRbjTqYyTcvoKDIB2qOinYB+80hdjSCigBcmjFLjiigBMUuBRQKAFp&#10;RjvSUlAD+KSkzRQAZpcikoosAuaXdTaWmAuaTNFFACg0uaZRQBJuo3YqOigCTf6U0tmkooAM0Zoo&#10;oAM04U2gUAPozSA0ZFIB2aM0lFAC5ozSClpAOzRkU3NGaAHZFIWpM0lCAXNGaSiqAXdTt1MooAeG&#10;5pcioxTsikwFJ4pMikJoyKAFyKTIpKKQC5FGRSUUALSEUU6gBtNYZp1FICLbSqzxnKsQacRTCp9K&#10;AHOYbhds8Yyf4h3qlcaM6jfAcqasFTjpRHPLA+VbGeoPSgDJKyxHDqR68VMlynAcbsdCe1bBlt7j&#10;iVdhPfqDVO60Rsb7fkH36/SpcUxEEU+UILHdkYFOEjtuBHIOQDVVleFh5kZUigTEEHOCazcbEsuR&#10;sGfLBSR2p0N4EZvkGT7VA2DGHXginLhIiWX5iOwqLAXvtKSw7cHNMWB2bKv8pPynNZ6OTJycA1a8&#10;1k+6+Qev+NQ49hmh5M6xcshA7E1MSAnzc8fL7VnC9YJjknHcVY+1lo9zH5eg4qHFiH7nUjoRjvR9&#10;pHvUYuEYgkbsjBxR56+i/lRysLFTJozRRXeWGaUc0lKKAYuKTHNLRTEFLSUtABRRRQMUUtNp1NAF&#10;FFFMBQaU9KbTj0pAJmlptOHSgAooooAKKKKACiikboaYC0U1adQAUUUUAFFFFABRRRQAZpc0lAoA&#10;WlpKWgAooooAKKKKAFWnUwcGnCgBaKKKVgEHNLimmipAU0CkpRVIBD1pMmnHrSUwEyaMmiigAyac&#10;pOabSjrQA6kNLSGkADkU6minUAFJS0nakAZ5oqM9aeOlAC0UUUAFFFFAEZphUGpDSUAQNHt5FTQ3&#10;clu3yng9QelIelRMBSA0hLbXy4kCo3oeh/Gs690VwxeE5xztNMFaOnXMryJC7bkPY9vpQBzj+bA2&#10;x1IHvSm6I4HA711d1aQzhlkQECuTu4lhnZVzhTxmk4IVhzSFsEL044qRi7KGIOPWq0LHf1qYMXu4&#10;42+6eorNoVrFpGDDB5HrUikBCCpIHQiqMR2o5HUHipfMdejY5qWgJjJIpwBweead5sn99ahZ2eLL&#10;dcVT3t60kgP/2VBLAwQUAAAACACHTuJA33/yrXtGAAB2RgAAFQAAAGRycy9tZWRpYS9pbWFnZTIu&#10;anBlZwF2Rom5/9j/4AAQSkZJRgABAQEA3ADcAAD/2wBDAAgGBgcGBQgHBwcJCQgKDBQNDAsLDBkS&#10;Ew8UHRofHh0aHBwgJC4nICIsIxwcKDcpLDAxNDQ0Hyc5PTgyPC4zNDL/2wBDAQkJCQwLDBgNDRgy&#10;IRwhMjIyMjIyMjIyMjIyMjIyMjIyMjIyMjIyMjIyMjIyMjIyMjIyMjIyMjIyMjIyMjIyMjL/wAAR&#10;CAG6An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CpRRRWRYUUUUAFFFFABRRRQAUhFLSgZoASNTU6Uipin4oAKKOaMGgAooooAKKKKAClFGKK&#10;ACiijFABRRijFABRRijFACiigA0uDQAUUYNLg0AJSijBoAoAWilxRigBKKXFGKAEopcUYoASilxR&#10;igBKKXFGKACiiigAooooAKKKMUAFGKMUtACUtFFABRSijFAAKKMUYoAKO9GKXFAC0UUUAFFFFABS&#10;YpaKAExSU6jFADaKcBzS8UAMop+KMUANxRinYpMGgAopcUAUAJRg0/FFADcUmKfSUANopSKKAMui&#10;iigAooooAKUUlFAC0UnNLQADmpEWkUc08UAPopKKAFopKKACiiloAKKMUuKACijFLQAUUUuKQCUU&#10;uKMUAJRS4oxQADpS0CimAtFJzS5oAKKM0ZpAFFGaKYBRRijFIAooxRQAUUUUAKBRigUuaAEooooA&#10;KKKUCgBKWlooASlxRS0AJijFLRQACigUuKYCUUuKMUAJRTsUYoAbRTsUBaAGgetLin7aTpQAm2kx&#10;xTqKAGiloxTttADetJingCloAZijFPooAbikp+aSgBtFOoxQAlFLijFACUmKdinbaAI8UU/FFAGP&#10;RS0UAJRS0mKACikzS0wCngU3IHU04OPWkA8CnDrTA4PGaUEetAD6KTcKM0ALRQOaWgAopaKACgUt&#10;KBQAlFOxRikA2nUYooAKKKKADNFB4oAyaAClxS0UAJikp1FADaKfijFADKUDinYpR0oAbRT6KAGU&#10;7HvS0ZoATHvRj3pc0ZoAAKMUo4ooATFGKWigBNtKBS0UAJijFLRQAmKXFFOxQAmKMU6igBuKSnGk&#10;poBMUU4dKXFIBtFOxRimA2lHWnYoAoASkxT8UYoAbto206loAZtp2KWigBuKSndaMUANop+KMUAN&#10;waNtPGaOaAGbaUCnc0c0ANxRinc0c0ANxTsUc0tACYopaKAMPFGOaKUdaADbSEYp9FIBmKXoMmnd&#10;6guGyNoPJouBXmuN0hC9B3pBPxUTW7A/KaZ5cg7UAW1nqUXA9azSGX1pQ7L1zQBqCdaeJFPessTf&#10;WpFmHY0wNVXFO3CswT+9TLNnvQBeDZoBqqJ/epFlFAFjNKKhDZp4agCSimA0oNIB1GKTNOoATFOF&#10;JS0wCiiikAYoxS0UAG2jbTqKAExRilooATFA6U7FGKAEpcUtFACYpdtFLQAm2jbS0UAJijFLRQA3&#10;FLinAUUANxS7aWlBpgN20badRQA3bTscUuKKQCYoxS0UAIRmk206igBAOKMU4CigBuKXFOA4pcc0&#10;wDbR0paCM0AJxSNRilxmgBtLtpcU7HFADcUbaWloATbRSilxQA2lpcUuDQAlGKXFFACYoPFLRjNA&#10;CUUuKSgApMUtLigBuKKdiigDCxS0UUAFBpcUqqS2MUgI5N2wlVLfQVQd2BJYEfUYrfRAiY9aQord&#10;VB+ooAwhJxwQfpTweeTWm1lC55jA+nFQtp0f8LsKAKZAPpTTHGe1TtYyLyrhv0pjW8y9U/WgCL7O&#10;pHFRtbMOmKmLFOCpH4UCSgCuYpBzik8xlNWw4pTsY/dFAFUSt3Bp63BHWpTEh7U1rVSODimAq3B/&#10;vVKtziqhtnXoc0myQdVNIDSW4BqVZV9RWRvYdqeJTQBrhgafuFZK3LL1NSrdeuaANIGlyKpLcCpR&#10;MG70wLNLxUSyDuaduHrSAfRSBhil60AOopM0uRTAKKXFJSAUdKWk4pRQAuKMUcUUwEA5p2KQdadQ&#10;AmKMUtFACYoxS0uKADFGKOaOaADFJinYoxQAlFLijHFACUuKMUUgDFGKMGjBoAAM0YpcUUAKOlGK&#10;B0pcGmAtJTsUUANop+KSgBtHSnUuKAGU7FLijFACYpaKdQAgFLRz2pOaAFxxRinKDiigBuBRgU7b&#10;mkwT2oATFAFPCmlVaAGbfagD2qXAoC0AR7fajHtUu2jafSgCPbRUm0+lFAHN4NKFyaUGndKAIj14&#10;qxEyryaZtpaQFkuppNwqvTgT60ATbhSVGGpd9AEgAPWjaPSmh6duHrQA0oD1UH61G1nA3WMfhUwI&#10;9aX8aAKTadH/AAuy1CdOlXlHVvrWnRQBkNb3CdYyfoajLspwwIPuK3eabsVhggGmBirID1OafvU1&#10;pPZwOOYxn2qBtNjPKOw/WkBV2q3UCmmCM9M1ZOnzL91lYVC1vcL1Qn6c0AQG1JHDY+tNMEi9s/Sp&#10;t7L94EfWlEmeRQBW+deoahZCO9Ww49qCiN1AoArids9amW5I70fZoz6imNakfdbNAFhbodzUyzqe&#10;hrPMMgHIpu51oA1xID0OacHHrWQJiOpqVbn1NMDVDilD1nrdjvUoulNIC5kU4Cqyzqe9SCZfWgCW&#10;lpgcGnA570AKOtOpmaXdTAdRQKKAFxRRRQAtFFFABSMcCnYoxQBSur42yZ8p3wP4elR2mpfalz5R&#10;UH3q8V+U4UEkcA1DZxPDD5b7cgn7tAE4yRTgD3pwFOxQA0Dmlx7UoFOpAMxRin4oxTAaBS/hTqKA&#10;G4p2KKWgApCM0tAGaAExSYp+2lC0AR4NLin4pdtADMUYqTbS7KAIlHNOxT9oFGKAG4x16U13EeOC&#10;zHoo71MAKAoHvQBSad+QWRPpyfz6VC1wnTzXc+i9f0rQe3ic5eJWPuKckaJ9xFX6DFO4Fa0EpUmR&#10;SoPQE81aAp+KMUgGYp2KULTttADeaXtTttLtoAYBRUm2igDmjCRR5eDV1o6iKc0gK+2mlasFaaRi&#10;gCLbRjBqSkxmgBoFJTsUYFADaKdRQAgpc0UUALvNLvPpTaKYEwcUoYGoKO9ICxQKg3H1pVcigCxj&#10;nPekx+FRCSniSgBWRW6gH8KheygfqgH+7xUwenjFAFB9MQ/cdgfeojp868q6t+latGOaAMZormPl&#10;oifpUfnYOCpH1FbuM01olYfMoP1FAGMJRmnZVu1aLWcDdY8VA+mIfuSMD+dAFYxRMOVAqJrVP4WI&#10;NWm0+dfusrfpUTQ3KdYjj25oAgNo46PmmeTKnWrHnFfvKR9RinCYGgCrvdfWnrcsOoqwCjdQKQxR&#10;t2xQAi3frUq3Q9aga0U9GIphtpB0INAGgtwPWpBMD3rJKzJ/CcUCZl9RTCxtK9ODVkJdMDyanS79&#10;6QGkDS1US5U1MsykdaAJqKj3g96eDQA6lFJSigBcUoFAINOpgGKXFApaAEHWnbaQUtACkUmKKMUA&#10;GKMU9RxS0AR0DrUm2l2+1ADQlKFp2KXFADdpoxTuaB9KAG4p2KMe1SYHpQBFilqSl20ARgUuPrUg&#10;FLQBGFHpRtHpUoFLtoAjxQF5qXbRjmgBmPrShKkooAbsoK0/FKKAI9tOxT8UY9qAGYop+PaigdjF&#10;PSoiPWpTUb0hDCKaVBp5ppoAjKUbcU+kpgM20m01JSEZoAjKmkwalFLxQBDijFSlQaNlICE0ZqXy&#10;80eVQBFRTthzRsIoAbRQVb0oAIoAKM4NG2mSIzjAOKAJA9G8+tUZIZVJ2kkfWo/9IHRHoA1Q5pQ5&#10;qtA0rKPMXBqagCUSU/zPcVXpaALAcHvTqqZIpwdh3oAs0VCHNOWTmgCQxqy4IBHvUD2UEnWJQfUc&#10;VL5lLvBoAptpkf8AA7r+tRNp0y/ckU/XitMEUZpgZDW90nWMke3NM8x14dGH4VuUYB6qPxoHYwxc&#10;Ke9OyjDkA/WtZrWCQ5aJc/SoX0uBj8u5foaAM3yYm6gj6UG0B+6351dOluPuS/8AfQqNrG6QcBW+&#10;hpCKf2eVO+fpS5kTqCKsETxnDRuPwpomGcEgUARrcsvepUvD608GJ+qg0ht4H6ZFAEyXanvU6zKw&#10;6iqJsz/C/wCdNMEyjgbvpQBqK47GpA2axvNkj6hh9RUqXhxTA1gQKdWel4COasJdKeo/KgCyKAM1&#10;GJUboakVhnrQA4KacFpAwpwNAABS4paKAACl20opaAG7TSqKdSigBMClxS4pQKAGhfanY9qXFOxQ&#10;A3bzTttKBTsUAMC0u2ngUYoAaBxS4p4Xil2e1ADMUYp4WlCc0DsM20bal20BaQWI9gpwWn7DShTi&#10;mIZtpdtP2+1KFoAj20VLtooGc2ajepDUb0hDTTTTjTTQAlJS0lMBuadTM807cPWgQvejFJmnUAJg&#10;Uu32NFLmkMUcCiiigBaOvWkpaADHsKCAewpaKAGbB6GkMQqSloAhMI96b5Rqxk0ZoAr+UwFJsarI&#10;OTinYX0oAqbfWjAq3tU9qTy19KAKuBS7asGEZ6UnlelAEAU04CpPKb0o8tgaAG7aTGak2mgCmA3B&#10;oGadijFAWAE04OfSkxRtNAx6vT93vUG0inAUAS5z0p2ah5FLvagLEoXPpRJBG4w0an6imK5FP809&#10;6BELadbN0Tb/ALpxUJ0r+5I2fer6yg44p2/NAGV/Z91H0ZWH5U0pdRctExH51sKadwaAMQTjHzr+&#10;YpcQSfwrW0Y0f7yqfqKiextn4MYH04oAyTaxEZBIpv2Nx92TNaTaVH1jkZfrzTG0+4XG2RW+vFAF&#10;Hy7iPsT9KVZ5E+8DVwxXaDPllh/smmGfAxIhH+8KAI0vOelTreqaYPs8nGFH6U37JG33WIoAtrco&#10;e9SrIG71nGzkA+Rw1AS4j/hJoA1A2aevNZS3MiHDAg1ZS6NAF7FOAqslyjHkgVYSRT0OaAHhT6Uo&#10;TFAangigAwT2pwWnAinYFA7DAtLtp2KXFAhoWl209VpcUAMUYp1OxS4oHYaAKAOakC8UoTmiwrib&#10;aTbUu2jYKYXI8CgCpNgpwHFAEWKeFp+KUKKLAM2UVKBRRYLnHmmN1p5pjdakBhFNNPNMIoASmPmn&#10;k4pp5oAyNVv2soXdeuKwIvF10p+eJGH1rd1nSjqMBWOYJ7nmudk8KXw+48b/AI0mn0O3Dqly++dD&#10;pGuHVHkXyTHsAJOcg1pT3UUEZaVwoHUk1laFpcunWrCQASOxJwfyrD8XQ6pcMsNvBI8OMsyfyoS7&#10;nNXspvlN0+LdIWTabtQfpVmHxHpc33b2L8TivJzpt8n3rWYf8BNQtBKv3kYfhitOUw5j2pNRtJPu&#10;XETfRxU6Tow4dT9DXhwLLyCw/DFPS9uoseXcSr9HNHIPmPcN6+opwI9a8Zi1/VYsbL2b8WNdZ4N1&#10;vU9T1CSK4uPMhjjLYwOp6UnEEzvKM4rm/EfiGTRoUaONXZjjDcVgx/EWT/lrYjH+zJ/9aiw2z0LN&#10;FcXF8Q7Jv9bbTr+R/rVyLx3oz/flkT/ejP8ASjlYXR1FJisaHxVo833b+If7xx/OtOC6huE3wypI&#10;vqpyKTTBMnAJNO20zzAOppwkB6UrDHgYpaYr07cPUUWAdRxQDxRQITmlAyaTFKDzQMUj2pNmetOo&#10;60xjdgo8r0p2KcuQKBkflGl2mpaWgRBt9qTbVg9O1M20AR4o2VKqA9ad5YoAg280u32qcRA0eSfW&#10;gLEQGO1AqbyWpvlsD0oCwzB7GlUsDT9vtRigLCBzT91NIO35QKrMbvdgJn6YoCxdDe9PB5qpALgn&#10;EqgL+tWghoEPyPWl2gnkA/UUzbS80ADWVvL96Jc+1QtpkPVGZfxqdXZTTxJ/eFAFP+zpVHySgj0N&#10;N8i6j4K7h7GtESLilDCgDMLEf6yI/iKTy7aQ42gH8q2OD6Uhghc/Mik+uKB2Mk2kf8LkUgtZE+44&#10;NaxsID0DL9DUTaewPyS5H+0KBGcBcKehNSLcODyDVv7NcJ02kUmJFHzwn+dAhkd1Uq3Ct1NRFYWP&#10;zLj9KPssbH5XI/Ggdy6rg96lBFUBbuPuSBvrxTwJ0PKn8KALyinBc1UW4ZfvgipkuEPc0AThaeBx&#10;0piyqehp4IPSgLi7aXFLS7TVAMpTxT9hpwjpAUFluGufLaJVGMj5quBeKk8sZBxz608JQBDtNLs6&#10;VPsFLt4oAg2Gip9o9KKAOGNMbrTzTGHFSA002nGm0AMNVrh9iE+lWGNZ2oybIGPtQgOI1/xDfwal&#10;5dvcMiqOgqnB4t1gSBfPDk9AVzWRqE3n308uc5c4q3oFt9q121jxkB9zfQc1payM76nqfnulsHcg&#10;sBzXHXvjae2vZYVt43RTjOa666iJtWA64ryO+V0v51cEMHOc1K1LdztdM8ZHUL+G0ayAMjbcg9K6&#10;77PE/WNTn1FeNWl1LZXUdxAQsiHK+ldJH471BVw9vA30BH9admJPud22lWMg+a1hPr8gqtJ4Y0iT&#10;71nGPpxXLx+P5R9+xUn2f/61WoviBAR+8s5B/usDRZj0NWTwXpD9IWX/AHWq9pHh+00ZpjbliZcb&#10;ixzwP8mq+k+KNP1WXyYpCkp6JJwT9K2nbCmk7grGD4i8Nf200ZFx5WzttyDxXNyeALxRlLqM+xGK&#10;i8Ua3exav5VvdSRqo5CtxR4Y1rVbzXba3kvJHiYkuG9AM01ewtLkUngbVkGV8pvo1VJPCWsRc/ZC&#10;f90165nPr+FNYhV6fpRzMOQ8bk0LVIT89jMMegzW54NTULbWhGY5UgKMZAykLWrr3i+bTNQNtDBF&#10;IAMtv/8ArVa8N+J5dZuJY5LSOMRJuLK2fwov1BFPxbr9xZ7YLZijt1bHSuNXXNURtyX86n/frs9Y&#10;8UWMF+8E2nibZxuGDUmitoniIyqmmqhiALbkGOc46fSjoDXY5OPxdrcfS9Z/95Qaux+PdYXG4xOP&#10;dcV2D+D9GlB/0UD/AHSRUEngLSH+75qfR/8AGi6FZmHF8RrxABJaRsPZjXoVhcm8sLe5ZNhmjV9v&#10;pmuQb4c2RPyXU6j0JBrtIIlggjhX7qLtH0pO3Qa8yWgdaTNKOtSULnmlFJjmlFMExactNpy0DHUU&#10;UUABHFAWlHNLQAAUtAGKKAHL0p4pi9Kf0oAdQKO1HSgAwKQqD2p1A5p2AQRLijyPepFFPAzSAh8s&#10;gcGjafSpsUDmgGQ7TTsH0qYKM07aKBFcClxU6oM9Kd5YoAqlCTTwpqfyxR5dAEIVqcAQak2Gl2nN&#10;Axquc08SGjy6cFPegQ5WU9adx2OKYENI2EGSGP0FAiRo0bqoP1FMNpC3VMfSo1mOQBHL+VWF3UBY&#10;iNgo+7IwNJ9mlXo4YflVsFval3HHShAUtk4+9FuHtSYjP3oytaCtzT8g0DM4Rxn7j4p4hdejA/jV&#10;0xREZKKaT7NGRwWX6GiwFUNKnVakWfH3s1P9lOPlkP5Un2aQDkK1MBFmVuhqVWBquYCDzGyj1pdo&#10;X+Ij60rgWxg07HFUGmMQyTmqkviO0tj++cL9aYG3il4rmn8aaavRy30FRN4zgb/VwSH6jFAHVcUV&#10;x8ni+dj+7tgP95qKAKRprdKcaa3SpAYabTjTDQAxq5vxLdi3sZmz/CcfWuhkOK4Txlc/uBHnlyOK&#10;cdxM4rqa6zwJaedqU1ww4jTaCfUn/wCsa5TFeieBrbydHadus0mfwA//AF1ctiI7nVBc8Guf1fwp&#10;aanJ5vMc3dl71vmeJTguoPoTSiWLHDj86jU0ucFJ4AkB+S7B+q1XbwHffwXER+oIr0YMh6EUuV9f&#10;1p8zJsjzKXwPqqAkeUfxIrCvbC406cw3KbW617RK6KhPGcd68r8V3K3OsMEPCLtPtVJsTRj27yLc&#10;RtCxWQONpHrmvaJZCtqXPXbXk3hy1+1a/aR44EgY/ReTXp+rTCDTpCeAFNKW4JnlesS+dq1w+c/M&#10;QKZp9/Ppd2Lm2KiUAgEjPWqzsZJHf+8c11XhvwnFrOnG6mmkTMhVQoHQf5NWtEHUiXx1qy9TEf8A&#10;gNSf8J7qTLhooj+Fa5+Hduel5IPqoqL/AIV2M8XxA94//r1Og7s4m7u5L25eeU5Zutdz4BsyNPvL&#10;gj77hF98Dn+f6URfDuISAyXjle4CYrsbCxg06yS1gQJEgwB+Oc0OWlkCR5H4gheHW7kOPvNkcdRU&#10;ek61d6NJI9oVHmABgwznH/669V1PQNP1ZQbmBS4/iHBrDfwBp38Eky/iP8KE0FjATx5qQPzRRN+d&#10;WofiFcD79ojD2arz/D21PK3Uq/UCuV17Rf7FuVi83zFYZyeKFZuwtUekeHvE9rru6NFMU6jJjY9R&#10;7Gt6vKfAkLP4nRgTiOJmOPTGMfqK9XxUvcpCUo60oApcVIwpcYoxRTBBTlptOWgY6iiigBRS0gp1&#10;ABQaKXFACinikHSlFADqKKKAFoFFOWgAWpBTQKeBQAlA60tKOtACjrTqB1paBAOtOpF60oFADhxS&#10;gmkFPA4oAUAYpRjPSlAGKeBQAmBRtBp1AoAPLFKIxmnUDrTsAgipfK96eKfSsBD5ftQIyamFSACq&#10;sBWEZFOCVYwKUKp7UgIMU7FTiNcdKPLHpTAi+bNODc1J5Q7VGYVHakA4HinfKRyAfwqCS4jiwHOK&#10;aLxO2aQEr2lvMpDIOfSsXU/B1nqAys0iN2xzW0JflDY4qJr5EJGaYHDTeDJrecKs6FD3IINWovDA&#10;A+e4P4LXVS3UMuMpuI70wSx9ohQBhJ4ftlHzs7fjRW/9ox/Av5UUAceaa3SpGpjVIEZphp5ppoAr&#10;XBxGT7V5f4quDLqYTsij869XwCMEVQm0ewnkLSWsTE9SUBppiZ41149a9Y02D7BodvDjBWLJ+vWp&#10;xoOmgj/QoeP9gVo+UpTBAxjFNu4krHkWu3sk2rTESsFU4wGqgt5cgcXMv4Oa9Yl8NaVM5d7OPcTk&#10;nFQt4Q0hulqo/E/41V0DTPMV1O+X7t3KP+Bmpk1zU06Xs3/fVeiHwbpB/wCWGP8AgR/xqM+CNIP/&#10;ACzcfRzRzIVmcEfEGqkYN5KR7ms52aRyzEsxOSfWvSm8B6Z2aYf8Cp0XgTSo2BbzXHcFuP0ocohZ&#10;mH4CsHa5mvmT5FXy1b1JNbfjG4MOkuoOC3FdHb2sNrAsUEaoijAVRWH4k0C51iBEhmVMNk7hU3uF&#10;jysDnivYfClr9m8O2akYLIXP4kn+tcevw/vtw/0iLH0Nei20Qt4I4h0RQB+FU5XQ0ibbRtFLRWYx&#10;NorM1XWbbSITNc7tnAwoya1K5Lxbo19qyItrtIDZOTimgY5fHujn73nr9UqQeNtFbrO6/WNq40+C&#10;tZHSJD9Gph8Hayo/49h+DCrtEm7O5HjDRWH/AB+AfVD/AIVwfibU4tS1PfCweNRgMO9H/CI6z3tC&#10;foadF4Q1mWQJ9lK5PVjxT5Yhdm98N7YGe+uiPuhUH4kk/wAhXoVZHhzRRomlLAzbpWbfIw9fStjF&#10;Q9ykhRS9qKO1IYUnNLSigBMU4CilHSgBaXFJS0DFxSjrSUo60ALilp1FAAKeKZTxQAd6UCiigBcU&#10;q0lOWgBwpwHFNFPXpQISlApaBQMcKUdaBSjrQIBx1p9AHFLQMAKdSDpS0CHjpTxTVp4oAKVRThRT&#10;AOooA5oXpTh1pgOHWnU0dacKEAoFPFIKcKADGaeq8ULTh0pAPA4oxQOlLTAMUxhmn0EcUAZd4gMo&#10;44qJQKs3vBWq3Q0nuBcVcwL71nzR/vDWjAA1uPbNVJR+8oAiRMCnBRSgU7BoATbRUuKKAOSIqM1I&#10;ajNSBGetMNPPWmmgBhIUc8VSvNQitbWSf/WCMHdtPpVmYMUO0c4riJYdWWK5tY7GTEkxJfIxggdP&#10;ypoTOwt7uO4gilB2+YoYBjzyOlW16VwtumrGXT4ZrGULBMvz8fdHr9K7pelDEOxUVxMIIWlIYqvJ&#10;C9TUtUtRd47ZikLSn+6nU0FGJJ4xtEvEhMcmDkliOVx7Vv2V5He24ni3bT0J7ivPZfD14+oRP5LI&#10;JSzbTyFHXBNdj4eaeOzFpLZPbiABQxOQ30p6WA2wBSHgdaWmyA7DjrUgZk/iDT7ZpleRsxY3YU9T&#10;/n9afb6zaXF2lqDIksgJVXQjOB9K4G8tL6bWLhIrdyJJAANnT39hxWvothd2viC1ee3dCfMycEjk&#10;etVYDuhQTtGeBjvSgfLTHUMhDdKQEM+o2dqu6e5jRfUtinxXcE7bYpkcnng5OK4HVrBpdVZbGB3i&#10;jIU7RkA4Ocn8q2fB8Gx7lZYNksaxgFlAZQV5Gfwp2Edd1pjlFGWIAHXNOHArO1obrFlMDShuCAcY&#10;96mwy3DcwTsVhmSRh1CnNTgA9q8t0G4m03VnaOJpcYG1TgHJPevTbWV57aOWSJomcZKN1WnJWESk&#10;Ac0B4xn5h15Ge9Dg+WRXl2pm5jleSF3ytw4IB75/+vQkB6oCrjIOR0zmnVz/AIOZ5NFdnLE+fIPm&#10;OT1roMUDAU4LQKcOtADeBS4Fcb441HUtNEElnO0UZJDbRVbwX4kvL/Uns7+4Mm9N0ZIAwR2/L+VO&#10;2lwvqd5iilC0tSAAUuPaua8X6vdaTp0clmwV2cAsRms7wX4j1HV9Rmt7yRHRYt4wuOcj/GmFzth1&#10;pwApKcKBjqKTIpaQhQOKXpWNr2urodospjMhd9oAOKj8OeIl177QBA0Rh25yc5zn/CmkFzoMCkAG&#10;aWlANAChR6Uu2gUtACqtPxVO+vBYWbzld20jj6nFOtbv7SG42le3tTs7XFdbFrFIBS0opDFFOApo&#10;p460AKKfgU0HFOpgFOApBThxzQA4daeCKzrTVba8uHgjJ3o7Ic/7JIP8q0hTtYSYtFFFNjHKOKUC&#10;kHSpFGRxSEJTgKXbQGUnbkbgOR3oGPApQKQU8DNACgYpwFJThSAcOlLQKXFUIMUh6GloPSgDOvh8&#10;qmqq9KuXv+qFUxyKljLtt/qTVecfOKntP9W31qG4++KBka9afTBxT6BBRRRQByjdKiNSsOtRGpAj&#10;brTTT2HemUAJTdoJp2KKYDcY7U6iigApuAadRSAbgU4AClooAKKKcF4pgM2DO7ApyrzmnAUtABRR&#10;RTAaqKu7CgbqVVCknAyaWlxmgBcU1lDqVYAg9QafS4pAV0tolPyxqP8AgNWQuKQDmn0XATFVTp1o&#10;zMxt48tyTtHNWwM04LikBDb28NrF5cEaxpknaowM1LS4oxTABTh1pAKU0AYniqxF/olwmMuq7l+o&#10;rybT72TT9Rgu4/vROGx6+orvfFPie+0y+FtFFGYmXOWHWuPstJuNcNxLaBPMRtxizjIPp+tXHYl7&#10;naa94l1GFLWbSwHgnTdv2bqxf+Ev8R4/1an/ALY1Y0Cy8R2f+hGHZbNn5nwfLPqP8KzNTu9d0q62&#10;XFxIMdGA4ahJBci1XWNY1iBYbqH5VO4bY8Gq2kXup6JdNcW1uxdl2HfGSMZz/Su08NeLoLwJa6js&#10;SbGFkIwH/wADUvifxPDp0b21tta4I6gdKLrYPMwR4418Hm1jP/bI/wCNdJ4T8Q6nrF1cRXlqqIke&#10;5WCEc5xiuJ0i413WtQEFrcy5zl2/hQepr1+zgMFrFG773VAGcjBY45NSxI5DVde1u21KWGC2BiU/&#10;KTGTn8aq/wDCS+IccWo/79Gup1nWbLSWjFyrkvnG0ZzWafGmkrGCElJPGNlC9AaZx+uavqWopHHf&#10;xCMKdy/IVz+dN0PVdW0uOc6ZaeaJCN58stjH0+tWvE+rwavNbvAjKsYbqPWrXhrxDa6PYywSwu7t&#10;KWyvpgVa2ESr4p8Tkf8AIP8A/ILVIPFHijPGnZ/7YtV1viBYo+0Wkh/Kr+neNdLvbhYHDQM/Cl/u&#10;n8e1K/kHzNAandQeGlv7mAJc+WGeM5UA59O1Z1x4mvoDGqwwTGRsfLu4rW8SgHw5ekDpETXH6Xrc&#10;xl8yKFCyr852/dUnqP8APeiKT1G20bl7qVxe2j28luVD9SiHNRw6vPaMypbuxPXKGtyyvQ5AkYFW&#10;+63Y1iXdy0XiG9QscfIyjPQY7Vou1iH3uSSeKbiCPzJ7conqyECtrRdWh1iFpISNyYDrnpVbxLGs&#10;nhi+4H+pJ/rXP/DZzuv1P91D/OodmildM1vESeIPtYfTbiOK32DO5lHzd+tZUMHjKdd0d9Ey+quv&#10;+FdL4l0P+3dKa2EhjkU7kbtn3rz7w3eal4WvpkuVP2cNiaEnuO4/xqVrsN2ubraf45LcXqY/31/w&#10;rMn8S+J/DWpJHqTrKjYJVgCHHsRXpVjfW2o2qXNrKskbdCOx9DXB/FGMeXp8gHO51/lTT1sDWl0d&#10;dq2uCz0KDUoEVo5thG7sG/8A11hW/i7Wrz5rXTFljB2lwDimasd/wvs3z9yKE/kQK497fUl8Nxar&#10;Z3MwgimaOVUYgJ0IP61SRMmzs7OafS7qS9lglWWZ2bYy8Ak54/OptS8a6hpZikn0wi3c43MCufoT&#10;XE+JvEia/pOmFjtvISyzDseBg/jXW+KVWT4daUzHkrAQffbTeoldbHaWt3HqukpdQMypcRZU91yP&#10;5iuV8B6hevLf6ffzPJLGcqZCTyDtbr+Fafhm7Wx8CW13MrGOGF3IUc4DGsTRNQ0zW/FbXGnTy2sx&#10;/ePC6/6zHBx9alFu+5hf8JhrWm2980d0ZGS6VP3w3bRh8gZ6dBW74K1K4u/HF/50zMJLcvtzwMlD&#10;wPxriNSj2y67F/zzu1P/AI84/rXS+CH2eO0H9+xQ/nEhq9COp6yZFUnLKPxrhLOcp8VrxWl/dvFg&#10;c8fcU1lQ6U+vePNVsZr24ijRmfCMexGB+tQnw3HD4+i0c3M3lsm4S5+b7pP9KlJFOVz1lGVuhB+h&#10;qnrOrW+i6bJfXCuYkIBCDJ5OK463t5vD3juxsYrmWW3uY8sHOeuf6iqHxDuJ/wC15LXznEDW8beX&#10;nj7x5x+FJQuNy0NfQ9dmvvH00ZnlNnc2iywROeFyFPTpn71ddpur2WqtcraSF2t5DHINpG1vxrzr&#10;Titn4j8JXIBHn2vkk+vLD/2YV0Hg5RbeKfE1n0zcLKB7Et/iKGhpnbjpTx1pvanAUrABpuKfimni&#10;gCjfD9zVJOgq/eD9yaz4zkVIy5aHh6jueop9p1ce1JcjpQMrVIOlR5qQdKACiiigDlT3qNutSsKi&#10;brSAY1RHrUp5pjCgBtBooNACUUUUAFFFLQAUtJRQAuM08dKRelLQAUUUUAFFFKKAEpw6UYFKKACn&#10;U2nUgCnU0U4dKAFWnUgpaACiiimAooxminAUAcZ480z7TYfakXLxHJx6HrXF+GtV/sjWobhyRE3y&#10;S/7p7/h1r2G7tEuoHicAqwIOa8x1PwPqNvcubVBNETlRnBFVElnqEYSSMOhBUjII71U1LTLTULZ4&#10;rpFZMdccj6GuY8N39/odm8WtOsVsi/uw7Avn0GO1Y+v+MJ9RDQWZaKA9T/E3+FKzuBhataQ2Ooyw&#10;W84mjU/eH9apDE1yonlKhmAZ2+baPpW/4d8MXOtzeY+6K1DfNIRy3sK1PEfghrVTcacCyKMtGTyP&#10;pWhJ2fhvTtNsNLjXTykkbDLSjkuff/CtoDFeIaRr9/oU2bZzs/iibkH8K9J0DxrYazJHbMDBduOE&#10;bkN9DUSTGjN8fKC9kcf3h+lYFppn2jQr69jG6W3ZTj/Z710nj5f3Vk3/AE0YfpWd4b1a002wvFuw&#10;xWVwoAXOeDmnHYHuVfDEllNqYtdRhjdJRhGK9G7V2d7pGjafZS3ElnAqopJ+XvXml4beO5Y2bSeV&#10;ksu7gr/jT9V17Ub+wjtZrhjEoww9fT603qLYXSIm1bXoECLiWUsV2jAUHJ/Sm+ILVLHW7q3hBCIw&#10;ZR6d6t+GNXt9GkadrV5pyu0Hdwoqv4iuRe6s90qFRNGrAE5xxTe5KR6h5UupeEkjGGlntF6+pWuE&#10;t01Dwlcpc3dnvSRGj2lvl/SvRNBOfD9gT/z7p/6CKi1qLT9S02a0ubiFdw4JcZU+tQaNXRgeG7w6&#10;z562+yPYeYixygPofT+VYXigzWHiJlDnLQoSQfdqw7a7vfDetF4ZUaSM8lWyrr3FWfEmtJrOow3i&#10;IUzCqsmc7Tk1opNmTWh6bqdnc6v4X8i2dUlmhTBbpjgn9KZ4T8PNoNrL50ivPKRuKjgAZ/xqtYeM&#10;NCttMtIpL5S6QorAI3XaB6Vp6X4l0vWLpreyuPMlCl8FSOB/+sVGpobOM1geJPDMet25aJliuwPl&#10;kI4b2Nb4rm/GevjRNJIibFzPlY8dh3P4Uk7Mp26nNaPoOu6JfKY9StbdScSK8mVce4xzWh8UEzpd&#10;jIOcTcH6qcVznhHwxL4ouJL3UJpfsqHaTnmRv6AV1XxHt1j8K26oDthmQL9MEVTWtyOhf0HT4db+&#10;H9nZ3G4RyRbSVPIIb/61cdrUF/4J1WKG3nkl0yU+Z5TnKyYwHVh07V1vhC5ni+H0MttF500SybI/&#10;7x3HArm9auPFHiOz+y3Hh8KAcq4GGU9yMmqW4nsL42tNGbwxp+oaTa28SyzDLRIAeVJwfpXXWei2&#10;Wv8Ag/R4LzzNiW8TjY2M4TFePXf27T0k0u5BTa4kaNmzhsfpwa7Pw5q3i3U9OSHSmtRDaqsOGADD&#10;jAosCZ6naWkFrZx2kMYWFECKnUY/rmvNooktfjP5cYCI+SFAwOYun513mgLqqacBrLRNd7zzH029&#10;q4bUsRfGazYnG4Jn8UIqV1KZzetJt1vxRGezb/8AyNH/APFVqeEG2+N9IftJZAD8IyP/AGWqPiNV&#10;Hi/xEikFZLfcCDweEb+lSeF5Snirw2/96Ep/49ItXYjqdZpZMHxb1CM8eYhP/jqmpdV/d/FjTH/v&#10;wL/7UFTax4N1O+8USavYailoWUAEA7gQMVzer6Tqdl4s0u3u9Uea4nwqXGMFMtjj8/1qUNnTeJj5&#10;PjrQJe7Hb/49/wDXrD+Iqn/hJ4wv8VkT+W+upsPBRi1S31C/1Ke8kgO6MP0B/wA4rnPiCpfxbbKP&#10;4rB/5PTW4PVEd9mHQPCOp9Ps1yVY+27P/stdFphFv8VtWhzhbi0WQfgF/wDr1X0TRo/Evw6gsZZT&#10;GyyMySDnawYmud0i9n0/4qbb65MyhjZ+c3QnbgD25xSKR7FTxTQMinikMKa1OpCKQFO8GYWrMi6V&#10;q3X+pb6VlRdKkot2v+tYe1Lc/dptscTfhT7gfIaAKdS9qiqUdKACiiinYDl2qJqlbpUTdakBmKY9&#10;SGo2oAZRS0lABijFFFABRRRQAUUUtADh0paQdKWgAoopaAEpRRSigApRRmlHSgBKfg02n0gEHWnD&#10;pSUuaAFFLSCnUwEpaKcBQA2nigCloARjgZrgfE/iqeO6ezsX2BDl5O/4V295J5drIx7LXi08jT3M&#10;shPLuW/wpx3Jb0Oq0jwxP4hsft17eSZdiE3fMcDvzWN4h0dNFv0t1kMgZd2T616rpNqtlpNrbqPu&#10;RgH6964Dx+B/bMP/AFz/AK1aeolsdD4Anln0KRJHLCKYqoPYbQf8a0PFxePw5dmNipCdQcfrWT8O&#10;f+QTdD/pv/7KK1/Fwz4cvB/0zNS97D6Hmnhixt9R8Q21rdp5kUm7cCevysRz+Feqad4b0rS5PMtb&#10;ONJBnDnkj6eleZeDzt8W6ef9ph/46wr2MU5MSOP8er/otmT080/+gms3whpdnqa3cd5EHVDGy5OM&#10;feFa3j0f8S22PpN/Q1y2jWWp30kyabIYyAC+GxxTWwnudtdeGNHitJWS1UMFODuJx+tee6GkT63Y&#10;JcIjRtIA4foRXTSeGNceFjJdDGOcyGuRtrc3d/b2ynZ5kirux93nFMD1hbbQ4BxDYr/wFa858YGK&#10;XxExtijR+UgGzGB19K6RPAXmp8+olgOu1f8A69cxr+jro2pfZUlMg8sMWIwc5P8AhQB6f4fUy+Gr&#10;FemYFXP4Vz0Xw5giuDK1/I2c8bBXSeGTnw5p/wD1yWrGqapbaVZvcXMiqqjjPUmouUefeIvCukaJ&#10;p73MlzM8x4iTIGW/KuPtdPu72KeS3iaRYE3SEdhWtqF3e+K9ZUIpLOdsUQ5Cj/PevUtB0C30TSha&#10;KFZ25lcj77H+narRLVzzTwZFot/fNY6rbB5ZDmGQuQCf7p5r1LT9B0vS5TLZ2ccUhUrvHXH+RXmv&#10;i/w0+iakL21BFrK24EceW/ce1dV4Y8ZW95bx22pTpFdLhRIxwsg7HPQGk9gjudjLIsUTSOdqqpYk&#10;9hXi+s3N14s8ULFACRI4ihX+6vr/AFr1HxJZX+o6Q9rp5RXlIDljj5e9ZfhPwhJosst3dvG10V2R&#10;7OQg7n69qUV1HI6TSdOh0nTILK3GEiGM/wB49z+J5/GsL4iLv8JS46rIh/Wuc1G88a+HZ3+d7u2y&#10;SJfL3gj+Yrn9U8S6/wCILcWE8TMpbOyOLknP0q3uK+lj0L4auW8IqvdJnUfzrV8T6/DoGlvMSDcu&#10;CIUzyW9aqeFNKvdE8HCHy1+3uHk2P0DkcA/kKwG8G65r2prda1cRpHnlVbJA9AO1LqHQoeBvDL69&#10;fXGs6tGZYWLAB/8Alox4z9OTVANdfDvxn/E9jJ+Txn+o/pXsVpbRWVpHbwIEijGFUdqzdf8ADlj4&#10;ktVgvFIZDlJF+8p70cwWNKyvINQtIrq2kEkUg3KwPUV5T8RZZNO8bW14in/j3VlPqQWFd94Z8KQ+&#10;GzL5N5cSpIANkhG1e+QB3rS1TQtO1gob22jmaP7hYdKaB7HhmlQvNqFyuDldOldieTzDxn8auaDK&#10;U1fw5LnpP5ef+2uf/Zq9H8P+A00+7v7vUJ0uJbtGi2ou1VQ9R/n0q9F4D0OB7R44JFNq5kj+c9SQ&#10;efXoKYHT4rz7x+TB4k8OXHpKR+Tp/jXoeDgVl6x4estdltZLwPutm3JtOOeP8KhblS2NeuW1LwtP&#10;qnioanPLGLaK2aKNBncWZSMn/vo11QHNOAycVSYmrqx5VoPiXUPCmnS6XPotzPKkpKmMcc/z6V0H&#10;grSHvbS91PWLBVmu737RFFMuSgwMHnvmu12DOcCnqMfSgSTFAwOacKQ9KUUigoJ4paaaQFa55jYe&#10;1ZMZ61sTDKN9KxVzuI96llFq3P78fjU84ypqtbn98p96tTDg/SkBQ7VKOlRk5pQTTAfRSA5oouBz&#10;LKMVGw71KajbpUgRGmHmnmmUAJtppHNPpp60ANxRilooATFGKWigBMUtFFADh0paQdKWgBetFA4o&#10;oAWlFJSqKAFxQBxS0UAKFGaXFApaAExTsUg606gBAKdikxmnUAFOHSkxzTqACijFGKAMnxFOINEu&#10;nzg+WcflXlOnW/2jUbWHH35UX8zXpHjUsNBkCqSWKjAGe9cd4UsJpvENqxifYjFySMDgZq4bESPV&#10;RwOenFeXeNrhZ9d2qQfKUKfrmu18Ta4+k2YWGEvLJwpAyBXn1noeqa1ekiF8uSZJXGFFC3Dodr8P&#10;7cx6BJIwOJJiR9AAP6Vq+KV3eHbz/rkavabYR6bp0NpFykS4ye57n880zV7SS+0q4t0xvkjIGfcV&#10;F9Rnk/hdtvifTj/00H6g17PivOtD8E6paava3c7QKkMgYgOSSB6cV6QBVMSOT8dLu0iI+kw/lWd4&#10;B/4/7tepMQ6/Wux1HS7bVbf7PdKWTIbg9xTNM0Ox0pme1i2uwwWJJOKL2QdS7Mv7hxjnBrzHSbRx&#10;qlviB8ifn5enzV6p160iwoG3BQDnOcUkwPPNR0fW9Eu3k06adrZjuBQ5I+o71lppWr61fgyRTPI5&#10;CtJIuABmvWiM08KOcDFUMq21qbPTI7aE5MUYVc+uK4S98KeIdYud99cxlc5HzcD8BXowHOMUvfPe&#10;iwGB4b8LW2gqZd3m3TDBlI6DuAK6LGfrSKOOacBTEQz20N1C0VxGskbDBVhkGspPCGhLOJhp8e7I&#10;PJJH5VuYpBxRcVhwXpTgKQcU4DFIYuARSCJFOVAB9qcKWncBQOM0oFA6Uo7UAPHSlAGaQU4daVhj&#10;hTqaOtOqhCinDrTRxTh1pgOHSnAU2nikNj6UCkHJpaYg604CmgYp9MBcZpaBRSYC5php1NNIZDL0&#10;NYmcO31rccZ4rDP+vkHvUMomiOJV+tXZehqgp+ZavyUgM/HJp1IT8xFLmmAUUUUgOdfpUTVKwOKi&#10;brSsBE3WmkYpzU00AJRRRQAYoxRRQAYoxRRQA1qUClooAKKKKAFpcUlKOaAFxSikHNKKAFooooAc&#10;KWgCigA7U4dKKKAFFPXpTBT16UAH8VKOaTHzU7GKqwBRSA0oHNTYBGQMMMAfqKcq7egA7ccUuKcK&#10;YrDGUMMEAj35p6qFGAMDpS0tNMdhcCgCkp+MUWAP5elLSUtIkUU4U1RTwKYC04DgU2njpRYBMUoN&#10;LSKKEA6nU0CnCqAVacKaKkHSgAoAzRSikIWlpB1p2KABafTQKdQA4dKWkHSlxxTAeKWkFLQAoHNP&#10;AzTQKcKYC96fTMU8UwFp4FNCk04CkIcKWk6UtMYtOptOpoBwopM0ZoYC44ppp2eKYx4qQI261hyc&#10;Xkg+lbhPNYlxxev6EVLLHKKvyfdB9qz1PWrxbMSn2qQKL8SGlpspxKaUHimAtFGaKegGC3SoWHNT&#10;t0qBqkCNqjNSmozSsA2ig0UWAKKKKdgCiiiiwBRRRSsAoFFFA60ALiinYFAA3YoAAKUUuBQRigAo&#10;70tHegBaBRTsCgAoopaAAU9elNHWnigApaKKaYCCnDqKSnDrQA6gUUCgBacBSCnDpTSASnUYFFDA&#10;XNLzQOtOHSgQi08CkAFKKEhCgU4dKbTh0oaAWlHWilFCAWlFAHFOAFMApwpop46UwEop2BSYoAUd&#10;adTQKeKAFWnAUnSloAcKXtQvSnACgBRS96QUo60xDqcM0gGTTx1oADTgKSlFAh6inYpi9afTAUCl&#10;xSUUALTqQUtNDFopKKYCmo2NPqM0mAxutYl2cXn4VtPWLfcXIrNlIRW5q+pzAp9qzN2Kvwtm1H1x&#10;UjKk5/e0gakuCBJTA4pgTbqKiDUUAZbdKgYVYPSoZOtICI1GakbpUZpgNNFLSUWAKKKWmAlFLRQA&#10;lLRSCpAWgdaKB1pASUDrRSiiwC0UlFFgFpaKKACnU2nUWAKWgUtFgAdaeKbTl6UWAWiilosAClHW&#10;kFKOtMB1ApRTqYAKUdKSlHSmAtLSUvakwFA5p9NFOoABThSUopksKeOlNpw6UALSgc0UvehAOpaS&#10;loAKcM4pBUi9KYCUAU6igAFOHWkFOFAAOaWhe9OFOwrir0pwpop4osFwFKOtIKUdaYh69aeOtMXr&#10;Tx1oAWlFJRQA9etPqMdRT6AFpaaDS0DHA06mClpgOoptFACk0xjxS5FRO6oCzsAo6k8UMBrmsbUm&#10;AlXnFM1HxRpliSHuAzD+FOcVw+s+NmubhfskPyL13VnIpHYhvQ1oWrZtfoa87tvFcrY3wj8DV+Xx&#10;q9paGOG13ysSRuPFTcZ092+HHNQrJmvPLrV/EN9N5jO0a9lUACrFrqWsIR5jOw91FF0B36v70Vyq&#10;axdrw4/NaKLgbpNQvzUpqJqAIm6VGakbpUZpgJRRRTAKKKKACiiigAooooAKUCkpaTQD6AecUUD7&#10;1IBcUYpaBTQCgUuKBS07AJilxRS0gCloFA5NIBcU4DApD2pwpoApaSloAKcBTacOlIBwp1NFOpoA&#10;AzThSCloYBTgKbTh0pAOApaQUtNAKBTgKSnLTJYYpwHFJTqEwDFOxSU6gBaKKWmAAVIv3ajqRPu0&#10;ALiilooAUDFL1opaaEwAxThSUUxDhTxTART8UAKBS45pBxTs0AKKeKaOlKDQA6ikBzS0AOBp2aZT&#10;qaQC5p1MpGmRRlmA96Bkg4pc1Ql1KGMHbljWZc6xcMCIgFHtyaGwN9pkQZZgB7ms668Q2FtkeaZG&#10;HZOf1rmp1vbtsySED/aNJHpsfBfdI3p0FTcCzd+K7iRilpEFz043MazHj1TUWP2iZo1I6Mefyrah&#10;tSBiOJUHtxVtLMA5c5PtSuOxyK+God26TfMw9en5VYOgLtGYlVR0AUDFdX5SrjAAqOYZSpaGc0uj&#10;RAYMSn8KeNGQ8xwqDjrjpW3s96mgXGakLGB/YKAZckn0FSJpEY6Ctxl9aaFApWGZP9lrRWtgUUwM&#10;gioWqY1E1MCIio2HNSGo260wExSUtJTAKKKKACiiigAooooAWiiigBc08DvTKkB4qQCgUUCmgHCl&#10;pBS0wClFJSikAtA4oopALnJp4qMdafTAWlpKWgApwptOFIB4FLSClpoB1FFFAC08CmU4UAOxS0lL&#10;TAWnLTetOWkSxadTadQAtOptOqgFFKKQUooAUCpF+7TBT1+7QAtAoooAdQOtGRRTExRUMcxaeZCA&#10;BHtxz61MKYkIEzyg8uACPpmmBDHLt1CcE8DZgH3zV/PJqHyIxIXCjJAB/CpRQAHdnqNvpin96bTl&#10;5oELmnCm00SgdCD9KAJhS1EN7cqnHvTXjPG5yPpQBJ5ijrQJDIMopwPXio4igdtoLH2H1qVVlkHC&#10;hB+ZpoCF2kPJfA9qqsjyZCgt/KrxSBOZXz9TmopL1FGIQD9aLjKX2J9zNIccdBT444UU/KNw74oe&#10;Z5DliTSZFQ2OxCbZWYkmpkhjTtk0tLmgdh4GOgpc03dSE8UhjjjHWoZSNtPJqGU/LSewhvFPi6mo&#10;Q2ehqSIjNShj26UwHIp7H5TTARinYBwFFICKKLAY5qJ+tSmo36iqJIW61GetSN1qM9aAG0UUUFBR&#10;RRQAUUUUAFFFFAC0UUUAKBTx96milHrUgPoptOzTQCilpBS0wClpKWkAtFFFIBV706mr3p1PoAop&#10;aQUtAAKcvWkpRQA8U4U2nCmAp6Uo6Uh6Uo6UgCnU2nUAOpaSlpgOWnCmrTxSRLClHSkzTh0qhpBm&#10;nUmKWgQopRSClFADhTlpop60ALRRRQAd6dTe9OpiAU4UwkCmeenQZY+gFMCcGgvjqaqs88kgRQEB&#10;bBJ5pXhaKL945Zt3+eKALDTKBxk/QUBpXA2xhc93qU3NtEAoYMw/ujJqB7iRpSVjCdB83XvQIteS&#10;PLDSOWP5VD50SsQgz7KKjKgx75HY/U4qI3sMAO0At7UMdmaCmd+Qqxj1PWop/LjOZZNx96zZNRmc&#10;4B2j0qBmZzlmz9anmCxqDUI4CfLXPsOlQHUJ2yA20HsBVIcd6UGlzDsSlixyTk04GowaA1JMCbNK&#10;DUO6lDUyibNLmod1OzQBLmjNR7qN1ADyxqKQ5U04tTJDlTSYiBTxUiNk1CDninpgGpGWGPFRg80r&#10;NxUIbmmOxMDRTAwooEZxFRyHkVMwqBqq5NiJjzURPNTHrUJHNFwsJRRRQUFFFFABRRRQAClpBS0M&#10;BRRQKKQCgUo6UUtIApRSYpwpgKKWijGaGAAUtFFIBaKMc07FACL3p1FLVCDtTs0daXHFKwXEpV60&#10;lKvWgZJmlFNpwpgKelKOlJS0gCnUmRS0AOpaSlpgOU0oNNFLQkSx3WnjpTAaeOlMaHdqKO1FAhR1&#10;pRSAc0ooAcKetRg8ZpRKvQZY+woAkpMgdTSKkz56IPrmnrapJ/rGLfU8U7CuRiRc/Llj6Dmplikc&#10;9MD3p0l1Z2a4Z0U+gqnJrbNxbwk/7T8U9BF37Ntb5jke9RtdW0CYZh/uisqW6uJiTLMcf3V4FQma&#10;OIcYzUuQzSe+3EeXFtXdkM3rUN27PE2+YvgjjoOvpWVJdO0mVPGQeaQuzA5alzjNv7Za26DZjPt1&#10;qpLqLyZCKF9+9ZwOBTganmY0WGmd8bnJHoTQG96g30oakMmB5608E4qDdTg5oAmyaUH3qHeaUNQI&#10;n3UuagzT91FwsSbqduqLNKDQMlVqfu4qEGnD61SYE2aCai3GjcaLgPzSOflNN3U12+Wi4EAbDU9X&#10;+aq+75jUiH5qkCwzcVHupWPFRZouFyYNRUe6imOxC1QNU7VA3emyLkZqI9alNRHrRYobRRSZpgLR&#10;SA0tABRRRQAClpBS0MBRRQKKkB1GabSg0AOzThTaUCmA4HNOFNFOFABRRRSAXPNPzzTKAcUAOJ5p&#10;1NJzinVSJY4U4dKaKcOlADaVfvUlKvWkUPpc4pKWmA4UZFIBSEZ+tITA/MeKkBpijgU/pTBDs806&#10;mr1p9MYClpBSjPpQSxwHFOB4pM4603zFA65+nNAE3aj61VE7OcINo96HwF+Yk0rjsWRIp4HP0pUL&#10;ySbAAvPeqsdykEWWZQPfiqkesqkrMil/cdPzpcwWOnjtIYxudS7+5qleXlvBLhmVfasqTV7mcbQQ&#10;i+g61mzbWm3Ocn1NO4WNaTXFwfIjLH1PAqq97dXAO6Yov91OKo+Yqio2lc9DxUtgXw0UZ9T6nmmv&#10;eEcL0qhk+tG73qbsdiw0sjnrik75zUe6l3igLEnFKG4qFn2jNKG4BoFYm3inBxUOaMigZPuFLuqE&#10;NSluOKAJg1ODCq+8U8MKAJt1KDUO6nB6AJg1ODVXDU8NTAmBp4aoN1O3UAThqcDUAanBqAJc0ZqP&#10;dRuoAkzTXPy03dSFuKAK5OGpythhUTn5jRnkGgC2W+Sot3NBPyVHmgCUOKKizRRcLkjVA3ep2qBs&#10;81RBEajbrUhqNqCxppKU0lMAooooAWigUUAFLSUtBLCiiigBaUdaSlHWpKHUCijFMBwpwPFNFKOl&#10;MBaUUlFIB1FFFIBVH6U6mr3p1MQ4GlyaZS0AO704Cm96eKAFoooqiRy0uBmkHWnUhigcUAUmcVDL&#10;ewQffcZ9ByaB3LQGKXOOpwPWsebWSM+XGB7tWXc6hNKCGkYA9hScrbAdHLqNrBkNKM+g5NVBrKyu&#10;BGpC+prl2m79/XvSxXLA5UMannuOx2Am3DJaiS6RFyWAHvXNi8uWHDKtMO9+XYsfehsLG02qxRv8&#10;gLH0HSqkuo3ErcHYPQVTFOzUXbAkJLnLMW+pp+7acioQaXNNIZOLhh0ppcsck1DkU4GmIk3Uu/io&#10;s0uaAH5PrTs1CDzT80DHhqQtgj3NNB96DzjnpQA9ueM05XwMVFk+tOB96AJtxoB5pmfejNAiXNOB&#10;9aiDUoagZLkUZqPNKDQBJml3UwGjNAiQNzUgNQZpwegCbdTgc1DuoD0xlgHjrTt9QBuOtLuoAm3U&#10;uahDU7dQIkpCcCml6YzE0ARSNhqUHjNRyH5qTdxQBaDZXmoy2DQjfLTGPNAyQGiow1FAi2wqFhU7&#10;9KiaqJIGGBUTVPJ0qBqQ0NNBoNBqhiUUUUAKKKBRQAUopKUUEsKKKKAFpR1pKUdakoeOtLSDrS0w&#10;ClHSkpR0pgLRRRSYC0tJS0gCnL0ptOXpQAtLSUtMB3enimd6eKAHGm56+1Kax9WkdXwHYDHQGqJN&#10;Ca+ggzukGfQVRm1oniFMe7VjjvS1m5MCzLfzS8NIfoKgMo7n8aj7mqNwzfakXJ27emeKV2Bce6Xn&#10;b8x9qhZ5ZDgYX26mhBxUi/epDQ1YgOWOTUygDpTe1OFBRIvSnimL0p1MB2cUoNMNOHWkgHClyKQU&#10;UwClzSUHpQA6igdKKACiiigApQaSgUAPzRmkHSloAeCMU7IJ61FQOooAlpQaSgUAP3UbqbRQBIG9&#10;6XPvUQpaAJQeadkUwdacOtADhThTRThTAKVTnikoX71ADyQBnNJvJHAzUch5QepqVOlAAGBHOQfe&#10;jPvQ1RvwoxQA2XrTR0oY5FJQImjPy0Gmx040AJRRRQB//9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GZS7yb0AAACnAQAAGQAAAGRycy9fcmVs&#10;cy9lMm9Eb2MueG1sLnJlbHO9kMsKwjAQRfeC/xBmb9N2ISKmbkRwK/oBQzJNo82DJIr+vQFBFAR3&#10;LmeGe+5hVuubHdmVYjLeCWiqGhg56ZVxWsDxsJ0tgKWMTuHoHQm4U4J1N52s9jRiLqE0mJBYobgk&#10;YMg5LDlPciCLqfKBXLn0PlrMZYyaB5Rn1MTbup7z+M6A7oPJdkpA3KkW2OEeSvNvtu97I2nj5cWS&#10;y18quLGluwAxasoCLCmDz2VbnQJp4N8lmv9INC8J/vHe7gF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Cz5wAAW0NvbnRlbnRfVHlwZXNdLnhtbFBLAQIUAAoAAAAAAIdO4kAAAAAAAAAAAAAAAAAGAAAA&#10;AAAAAAAAEAAAAHnlAABfcmVscy9QSwECFAAUAAAACACHTuJAihRmPNEAAACUAQAACwAAAAAAAAAB&#10;ACAAAACd5QAAX3JlbHMvLnJlbHNQSwECFAAKAAAAAACHTuJAAAAAAAAAAAAAAAAABAAAAAAAAAAA&#10;ABAAAAAAAAAAZHJzL1BLAQIUAAoAAAAAAIdO4kAAAAAAAAAAAAAAAAAKAAAAAAAAAAAAEAAAAJfm&#10;AABkcnMvX3JlbHMvUEsBAhQAFAAAAAgAh07iQBmUu8m9AAAApwEAABkAAAAAAAAAAQAgAAAAv+YA&#10;AGRycy9fcmVscy9lMm9Eb2MueG1sLnJlbHNQSwECFAAUAAAACACHTuJACt6IR9cAAAAFAQAADwAA&#10;AAAAAAABACAAAAAiAAAAZHJzL2Rvd25yZXYueG1sUEsBAhQAFAAAAAgAh07iQIA0/8G3AgAAgQcA&#10;AA4AAAAAAAAAAQAgAAAAJgEAAGRycy9lMm9Eb2MueG1sUEsBAhQACgAAAAAAh07iQAAAAAAAAAAA&#10;AAAAAAoAAAAAAAAAAAAQAAAACQQAAGRycy9tZWRpYS9QSwECFAAUAAAACACHTuJAfzO442eaAABd&#10;mgAAFQAAAAAAAAABACAAAAAxBAAAZHJzL21lZGlhL2ltYWdlMS5qcGVnUEsBAhQAFAAAAAgAh07i&#10;QN9/8q17RgAAdkYAABUAAAAAAAAAAQAgAAAAy54AAGRycy9tZWRpYS9pbWFnZTIuanBlZ1BLBQYA&#10;AAAACwALAJYCAAD36AAAAAA=&#10;">
                <o:lock v:ext="edit" aspectratio="f"/>
                <v:shape id="_x0000_s1026" o:spid="_x0000_s1026" o:spt="75" alt="4eb586194962a7358abb4c449a9d2b7" type="#_x0000_t75" style="position:absolute;left:18287;top:4529479;height:3115;width:4152;" filled="f" o:preferrelative="t" stroked="f" coordsize="21600,21600" o:gfxdata="UEsDBAoAAAAAAIdO4kAAAAAAAAAAAAAAAAAEAAAAZHJzL1BLAwQUAAAACACHTuJAiM43k7wAAADc&#10;AAAADwAAAGRycy9kb3ducmV2LnhtbEVPPWvDMBDdC/0P4grdGsnGhMSNYuqSQJcQEnfpdlhX29Q6&#10;GUu1k38fBQrd7vE+b1NcbC8mGn3nWEOyUCCIa2c6bjR8VvuXFQgfkA32jknDlTwU28eHDebGzXyi&#10;6RwaEUPY56ihDWHIpfR1Sxb9wg3Ekft2o8UQ4dhIM+Icw20vU6WW0mLHsaHFgd5bqn/Ov1bDVB6v&#10;h2o4rndp+YZceTx8ZUutn58S9Qoi0CX8i//cHybOVxncn4kXyO0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jON5O8AAAA&#10;3AAAAA8AAAAAAAAAAQAgAAAAIgAAAGRycy9kb3ducmV2LnhtbFBLAQIUABQAAAAIAIdO4kAzLwWe&#10;OwAAADkAAAAQAAAAAAAAAAEAIAAAAAsBAABkcnMvc2hhcGV4bWwueG1sUEsFBgAAAAAGAAYAWwEA&#10;ALUDAAAAAA==&#10;">
                  <v:fill on="f" focussize="0,0"/>
                  <v:stroke on="f"/>
                  <v:imagedata r:id="rId129" o:title=""/>
                  <o:lock v:ext="edit" aspectratio="t"/>
                </v:shape>
                <v:shape id="_x0000_s1026" o:spid="_x0000_s1026" o:spt="75" alt="c1243c29cb067d4aa7c5562aec7231e" type="#_x0000_t75" style="position:absolute;left:22631;top:4529455;height:3098;width:4130;" filled="f" o:preferrelative="t" stroked="f" coordsize="21600,21600" o:gfxdata="UEsDBAoAAAAAAIdO4kAAAAAAAAAAAAAAAAAEAAAAZHJzL1BLAwQUAAAACACHTuJAM3zeEb4AAADc&#10;AAAADwAAAGRycy9kb3ducmV2LnhtbEVPTWsCMRC9F/wPYQpeSk2sttat0UOxYD0IVUvpbdiMu4ub&#10;ybKZ6vrvG6HQ2zze58wWna/VidpYBbYwHBhQxHlwFRcW9ru3+2dQUZAd1oHJwoUiLOa9mxlmLpz5&#10;g05bKVQK4ZihhVKkybSOeUke4yA0xIk7hNajJNgW2rV4TuG+1g/GPGmPFaeGEht6LSk/bn+8hS6v&#10;9qPJ59fUrL/HS3q/k1GzEWv7t0PzAkqok3/xn3vl0nzzCNdn0gV6/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3zeEb4A&#10;AADcAAAADwAAAAAAAAABACAAAAAiAAAAZHJzL2Rvd25yZXYueG1sUEsBAhQAFAAAAAgAh07iQDMv&#10;BZ47AAAAOQAAABAAAAAAAAAAAQAgAAAADQEAAGRycy9zaGFwZXhtbC54bWxQSwUGAAAAAAYABgBb&#10;AQAAtwMAAAAA&#10;">
                  <v:fill on="f" focussize="0,0"/>
                  <v:stroke on="f"/>
                  <v:imagedata r:id="rId130" o:title=""/>
                  <o:lock v:ext="edit" aspectratio="t"/>
                </v:shape>
                <w10:wrap type="none"/>
                <w10:anchorlock/>
              </v:group>
            </w:pict>
          </mc:Fallback>
        </mc:AlternateContent>
      </w:r>
    </w:p>
    <w:p>
      <w:pPr>
        <w:spacing w:line="360" w:lineRule="auto"/>
        <w:jc w:val="center"/>
        <w:rPr>
          <w:b/>
          <w:bCs/>
          <w:sz w:val="21"/>
          <w:szCs w:val="21"/>
        </w:rPr>
      </w:pPr>
      <w:r>
        <w:rPr>
          <w:b/>
          <w:bCs/>
          <w:sz w:val="21"/>
          <w:szCs w:val="21"/>
        </w:rPr>
        <w:t>图4：济南长清创新谷实训中心</w:t>
      </w:r>
    </w:p>
    <w:p>
      <w:pPr>
        <w:spacing w:line="360" w:lineRule="auto"/>
        <w:jc w:val="center"/>
        <w:rPr>
          <w:b/>
          <w:bCs/>
          <w:sz w:val="21"/>
          <w:szCs w:val="21"/>
        </w:rPr>
      </w:pPr>
      <w:r>
        <w:rPr>
          <w:b/>
          <w:bCs/>
          <w:sz w:val="21"/>
          <w:szCs w:val="21"/>
        </w:rPr>
        <mc:AlternateContent>
          <mc:Choice Requires="wpg">
            <w:drawing>
              <wp:inline distT="0" distB="0" distL="114300" distR="114300">
                <wp:extent cx="5382895" cy="1763395"/>
                <wp:effectExtent l="0" t="0" r="8255" b="8255"/>
                <wp:docPr id="225" name="组合 225"/>
                <wp:cNvGraphicFramePr/>
                <a:graphic xmlns:a="http://schemas.openxmlformats.org/drawingml/2006/main">
                  <a:graphicData uri="http://schemas.microsoft.com/office/word/2010/wordprocessingGroup">
                    <wpg:wgp>
                      <wpg:cNvGrpSpPr/>
                      <wpg:grpSpPr>
                        <a:xfrm>
                          <a:off x="0" y="0"/>
                          <a:ext cx="5382895" cy="1763395"/>
                          <a:chOff x="6083" y="4538859"/>
                          <a:chExt cx="8477" cy="3122"/>
                        </a:xfrm>
                      </wpg:grpSpPr>
                      <pic:pic xmlns:pic="http://schemas.openxmlformats.org/drawingml/2006/picture">
                        <pic:nvPicPr>
                          <pic:cNvPr id="106" name="图片 106" descr="61b3bf772f345520a1c3a160f00abb8"/>
                          <pic:cNvPicPr>
                            <a:picLocks noChangeAspect="1"/>
                          </pic:cNvPicPr>
                        </pic:nvPicPr>
                        <pic:blipFill>
                          <a:blip r:embed="rId131"/>
                          <a:stretch>
                            <a:fillRect/>
                          </a:stretch>
                        </pic:blipFill>
                        <pic:spPr>
                          <a:xfrm>
                            <a:off x="6083" y="4538859"/>
                            <a:ext cx="4163" cy="3123"/>
                          </a:xfrm>
                          <a:prstGeom prst="rect">
                            <a:avLst/>
                          </a:prstGeom>
                        </pic:spPr>
                      </pic:pic>
                      <pic:pic xmlns:pic="http://schemas.openxmlformats.org/drawingml/2006/picture">
                        <pic:nvPicPr>
                          <pic:cNvPr id="108" name="图片 108" descr="c77d0e936240a4ff8dd9f8a0cfbefaf"/>
                          <pic:cNvPicPr>
                            <a:picLocks noChangeAspect="1"/>
                          </pic:cNvPicPr>
                        </pic:nvPicPr>
                        <pic:blipFill>
                          <a:blip r:embed="rId132"/>
                          <a:stretch>
                            <a:fillRect/>
                          </a:stretch>
                        </pic:blipFill>
                        <pic:spPr>
                          <a:xfrm>
                            <a:off x="10454" y="4538872"/>
                            <a:ext cx="4107" cy="3080"/>
                          </a:xfrm>
                          <a:prstGeom prst="rect">
                            <a:avLst/>
                          </a:prstGeom>
                        </pic:spPr>
                      </pic:pic>
                    </wpg:wgp>
                  </a:graphicData>
                </a:graphic>
              </wp:inline>
            </w:drawing>
          </mc:Choice>
          <mc:Fallback>
            <w:pict>
              <v:group id="_x0000_s1026" o:spid="_x0000_s1026" o:spt="203" style="height:138.85pt;width:423.85pt;" coordorigin="6083,4538859" coordsize="8477,3122" o:gfxdata="UEsDBAoAAAAAAIdO4kAAAAAAAAAAAAAAAAAEAAAAZHJzL1BLAwQUAAAACACHTuJATJOM/tYAAAAF&#10;AQAADwAAAGRycy9kb3ducmV2LnhtbE2PT0vDQBDF74LfYRnBm92k/kmJ2RQp6qkItoJ4m2anSWh2&#10;NmS3SfvtHb3oZXjDG977TbE8uU6NNITWs4F0loAirrxtuTbwsX25WYAKEdli55kMnCnAsry8KDC3&#10;fuJ3GjexVhLCIUcDTYx9rnWoGnIYZr4nFm/vB4dR1qHWdsBJwl2n50nyoB22LA0N9rRqqDpsjs7A&#10;64TT0236PK4P+9X5a3v/9rlOyZjrqzR5BBXpFP+O4Qdf0KEUpp0/sg2qMyCPxN8p3uIuy0DtDMwz&#10;Ebos9H/68htQSwMEFAAAAAgAh07iQOdPssu0AgAAfwcAAA4AAABkcnMvZTJvRG9jLnhtbNVV227U&#10;MBB9R+IfrLzTOJdNslF3K0RphYRgxeUDHMdOIpLYsr2XviMBb7zzKUj8TdXfYOxks71JVKhC4mGz&#10;M7Yzc+bM8eT4ZNe1aMOUbkS/8IIj7CHWU1E2fbXwPn44e5Z5SBvSl6QVPVt4F0x7J8unT463Mmeh&#10;qEVbMoUgSK/zrVx4tTEy931Na9YRfSQk62GTC9URA66q/FKRLUTvWj/EOPG3QpVSCcq0htXTYdMb&#10;I6qHBBScN5SdCrruWG+GqIq1xEBJum6k9pYOLeeMmreca2ZQu/CgUuOekATswj795THJK0Vk3dAR&#10;AnkIhFs1daTpIekU6pQYgtaquROqa6gSWnBzREXnD4U4RqCKAN/i5lyJtXS1VPm2khPp0KhbrP91&#10;WPpms1KoKRdeGM481JMOWn718/Pl96/IrgA/W1nlcOxcyfdypcaFavBsyTuuOvsPxaCdY/ZiYpbt&#10;DKKwOIuyMJtDAgp7QZpEETiOe1pDg+x7Cc4iD8F2DIez2Xy//XIMkcVpOrwfBWFod/19bt9CnBDJ&#10;hubwG9kC6w5bf9YovGXWigH3Nlq/WTV0pQbnwFiAkz1jlz9+XX37gtxKyTQFhSVBERU8TUMexbNZ&#10;iElAIxIkmGNMiiKzBdjYNtwQnFjUrwX9pFEvXtSkr9hzLUHBwJgr9+Zx37o3kBVtI8+atrXNsPbj&#10;XimkctYVDJSiXpUOEMm1UczQ2ibkkPgdgB36Mm04lAdgFrMGFd2jm/v7vxdQHCSgDqse6H50o/vA&#10;m9LmnIkOWQPwAQzoHMnJ5rUeAe2PgGoOGJwJ7tAJMP6FZmC8Drds0gysjJqhaVpiNo+SMMYk5jwr&#10;yznPCKa8YJzw/1sz7s4+rmYCHM/iw9BIxxQH0eD9yMCZm/XTyHgM0bixA3PZTaLxG2IH/3Uf7Ovf&#10;zeVvUEsDBAoAAAAAAIdO4kAAAAAAAAAAAAAAAAAKAAAAZHJzL21lZGlhL1BLAwQUAAAACACHTuJA&#10;tO2MG9tqAADWagAAFQAAAGRycy9tZWRpYS9pbWFnZTEuanBlZwHWaimV/9j/4AAQSkZJRgABAQEA&#10;3ADcAAD/2wBDAAgGBgcGBQgHBwcJCQgKDBQNDAsLDBkSEw8UHRofHh0aHBwgJC4nICIsIxwcKDcp&#10;LDAxNDQ0Hyc5PTgyPC4zNDL/2wBDAQkJCQwLDBgNDRgyIRwhMjIyMjIyMjIyMjIyMjIyMjIyMjIy&#10;MjIyMjIyMjIyMjIyMjIyMjIyMjIyMjIyMjIyMjL/wAARCAGoAn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tgKeBQBTqAEopcUbaAYo608c0&#10;wKacBQSLTqbT6AEpaMUYoADSU8LRgUAR96cBTivNAGKADFLilopjExQOtO20bKAEpRQVxQBQA8Ut&#10;IKWgApaSloAUdaWkA5p2KQDWGaUCgLTsUCAU8Cm4pwoGOFPHApopQaBjqKKKAFFOHSminDpQA4VJ&#10;2qMVJQAUUh6UygB7DimEUoNKT7UAMPSmGnvxTDQBEetNqQ4phFACUUUm6gBaO1FFACjoKXODTR0p&#10;cUxEgOaXNRgUpOKQx5NJmmE0maAJM0ZqMGlzQA/NJupAc0lAElFMBpwoAWiikNAC5HrTgeKipCSK&#10;AJC3NNJpuaQ0AKTTSeKYWHpTSaAHMabupGpmfagB5NJSZ9qM+1AC0U3NGfagBaQ9KSipActLSClo&#10;AzaKZSg81QXJAacozUYPNPBwKAJMUnFJupwIoEJSil4pcUAANLQBzTqBDSaN1L1ooAAaWkApaACi&#10;iimMUPTw2RUXenUAObpTCaWkxQA4GnUynD7tAC04dabSjrQBIOtLuqPvTutIY4Nmlpopw60CFHSn&#10;Cm4+an9BQULRTaKAHZoU02nKeaAHjpSg0g6U4CgBQc0/PtTRRQA7PtRmimbqAH0mabnNLQAh6000&#10;pBpCDmgBp5ptSHgVEetAARTcc0pJozQSJmilpKBhRRRTEOpCaSikMTdzS0mOaWgApc0lFADh0paQ&#10;HinqKAG06nbaNtACUE0YpO1ADc0h604imnrQAlMY84pe1RtQAE8UzNKaaRQAE9qTmkJ5paADmjmi&#10;igAooooAKUHmloHWpAKXNKOtLigDIo703JpQaokevWlPApoNLmgYtOBptKBQA/dS7zTM0lAEgfml&#10;3H1qKloAlVjTwagXrTwaAJc4o3U0UtABRRRTGKOtOUU0dacpwaAHYpcUu4UZBpCG1IB8opvFOHSg&#10;YEU2n0YpgNFOFJtp2KQAKeo5pqipBQAAUpFFFAxtFOooASlFFKBQA4HNOFNpaAHg0ZptOxQAo4Bp&#10;MUozmlxQAgAp2BRiloAaeKYW5p7UzHNADWPFRmnN0pmKAEPNFFFAgJxQaaWpM0AOzRmm5ozQA7NJ&#10;mkzRQAuacOlMxTx0oATIpaYTzTxQAo6U8GmCloAlBJpeaaO1O70AGKRhxT6ax4oAjPWmE809utMP&#10;WgBhI6UxqcetMagBuaQ0tIaAGHrRQetFADhRTM0UAPopAeKWkAuaUc0wU8dKAFB5p2abS5pAYgpR&#10;1ptLVEj6dTR0pRQA7NOHSm04dKBi0UU4KKAG0uDTttO20AM5FOoooAcKXNNpaAHA9KU9KaKdmgYg&#10;NLk0YxRQIM0oJpKKAH7qkV+KgwfWgE0DLYxSmoFapSwIpgG7mlBqPvTgaQEuR60hfFMpOaBknmcU&#10;CTNREcUKOaALO4+lG4+lRhqUNzQBIMUtMzSg0APpaYGFOBzQA6n9qjFPBoAcKdTAeadmgBaaxx0o&#10;J4phoAUtmmE06mmgCMmmE08imNQAmaCeKM4pCaAGE0maU0lABmjNFFAgzTgabQDQA7NLmkzRQAtK&#10;p5pKUHFAElFNzmjJ9KAJAxxTwajBpw60ASZppoyPWkJqQGnmmNTs00nmqAjNJ1p7UygBtMp9NNAD&#10;CKSnHpTaAAUtIKWgBQKWkzRmkAtGTRmkzQA8GnAcUwGn5oAxdhpwQ5qx5YoCc0ySHFOAqXYKPL96&#10;BjMUVIFGKQrzQMZT1o2CgCgB1FFFAgNJQaKAFoopcUAApaSlFAD80GmZozQA6im5ozQA6lHSmZpw&#10;agY8U7NR7qM0DJQacDUIbFKHoAnHvRkVCXo3UATAjpRxUI+tO3UASClFM30b6AJgaXNRBqcGoAkp&#10;ynmos04NigCbNLUIepN1ADx1p1RhsU7cKTAdRTc06kAHpTO9PwKbt96YEbVG1TlM00xUAVyKaamK&#10;Uwg0wIGBoBqUrmjaPSkBFmjNS7R6UmwUxEeaXFP2CjAoAQDBp1AFP20AMopSvpSYoGKDijdSYpcU&#10;CHBqfmoqcOlAD80hPFMztpCeKAHbqYTSZpucmgB26kJzSUZNACGg9KKMUMBvWkxT8UUgI8UYqTik&#10;wKAGUU/AowKAGUo60bfelC89aACnZpNvvRt96AKpBpuaXNSLyKYDKVBmnbRSdDQA7HtSEc07NHag&#10;Bu2kxUlBoAi4paceaTFACbaMe1KB70/afWgBmKTFSYpMUANxRinYpMUAMxQ3FPxRjNAEVLUmBTWF&#10;ADaKXbRigAzRk0YpMUALmjdSUmKBjt1G6kooAeG4pd1RUc0ATbvejcPWoc0Z5oAsB6eG96qhqcGo&#10;AtbqdmqoenbvegC1ninBqqh6cHoAtZo3VCr04OKAJg3NPD1X3e9ICfWlYC2DmlBFVd5pQ/vSsBao&#10;7VXEpp3nUagOIpjLmlMlJvxTuA0rTWGKHfNNGT1pAFJS0lMAooooAVetSYpqDmngUAJimkVMTikN&#10;AEOaAaeVyeabtoAbSg9qO9IDzQAdTSGn5pDTAYabTzTMUxBRRiikwEpaKdSAbRinUtADMUYp/NGK&#10;AGYox7VLijb70ARY9qB1qXb70YoAZijFSbaTFAGVmnhxmo8UUwJw2R1pD9ajCj1p4FAC09TxTQKc&#10;BQA4U7HFApaAG7aMUrDIpuDQAoFOA5qOlBoAkxQF9qTNKrUAL5RppQ1MsgApdysaAKxQ4pNpAq0Q&#10;KYy0AQUuKk2UhWgBgWjbUgWnBKAIdlIYmFWQnFL19KQ7FMqemKbg1d21G0dMGVCDRzU5WmlKAICT&#10;mjdUpXmmFKAI+aKeOaMUAMzS5pcUhFABmlDUmKbyKAJd1ODVBk07NAFgPzTw4qqG5607dQBaDZpw&#10;aqqNg0/eKALG6lBFQB/enBhQBKG5ozUeeeKXNICSlzxUWaM0ASZFG7FR5pM0AS7hSZpmaVWxQA+l&#10;FN3CgNSAlUg9KeOKgzinbqAJWbimFxTC2aSgB5cUm6mGjBoAdnmk3c0zBoxVAP3CguDUf4UfhQA4&#10;sDRupuDTgPWgA3UA0u0U4LxSYDaQHNP20m3FIAxRRRQAop1NFLigCQGlz7UwGlFAD8Um2l3GlBoA&#10;TFLiiimIw8UYp2BRxTASlXrRigCgB4NPBqOnUASA1IBx1qDmngmgCTHvS4FR7jmnhs0AIy5FMwRU&#10;4FIVzQBCKcCafsFBTHSgBQB1oxQB2pcUAOB9adgYqMU4GgB22mEc807J9aMUgsApwWkFLnAoGhwW&#10;l2j0pAaM0ihQOaQp7UoNLmglkbRjtTPLqbNLQBVMP1pPs5p11qVjYj/SbqKI+jNyfw61ZhniuIll&#10;hdJI25DKcg0wKLQH0qMw4rW2bqY0IouBlGM0hQ+laJhFNNuDRcDNZSPWmFa0mg9DUDQnPamBTxS1&#10;YMXqKaYhQBDS7qeU9zTDGR3oAUN60u8UzFGKAJA9OD1EKXNAE4anhqrBqkDcUATbqN1RjJpdppAP&#10;zRmm80c0AOBpabThnFABSg0YpM4pASA07dUOaKAJcigGogTS7qAJQaWmBuKXdQBIFGKNopmaQnig&#10;CTaKCoqLdRuoAk2j1o2j1qPdRuoAk2j1p/FQbqXJoAmprD3qPJoJoAU0lIM5paAHCikBo3CgBc04&#10;GmZpd1AEuaXNRbqPNVSFLAE9AT1oAlzRmmBs01pdhA2s3GcigDMBVqdtri/DXjCO/K292yx3HQH+&#10;F/8AA12KSLIuQadhD8UYpc0E4oAKUdaTJpy9KAFp1JSimAUoOKNlGylcBwbNPzTQuKMCgB4PFLTV&#10;FOoAKKXFJg0ALxS8YpAKdt4oGkIOlOAyKAAKcOKChu2kxTicZzxjrmo57u2tEL3M8cSju7AUCHYN&#10;AFYN7400yAMsJe5fHRBhc++a5u+8b3jgiJYbZPU/MaAPQiyopZiFX1J4rJvPE2l2fytdJI/ZYvnP&#10;6f1rzC71u4vxI8lxNc7OWBbC4qlNNMYoHAVFlbgYzQDaO+vPHLFT9ktfo0p/pXPXvijUr0lXvHAP&#10;8EPH8qoi1jyS5Ln1JqZY0UbVUD8KCSkzyjLhDu64bqasaZ4jNrdEW1ybecH54yeD9R0NGMzH1Fcf&#10;fFWv5sqyZkJB7HnNNK4N2PadO8bKdsd/FsP/AD1TkZ+nWunt72K7hEsEySRnkFWzXz9DeXWn2MMq&#10;P5qszDY3TA9K2NK8TKkwaGZ7WfvzgMff1pWC57iGyOaCMCuL0zxngKl9Hnt5sY/Uiuqt763vYPNt&#10;5kkT1U9KQyZqgf71S5zTGAJoAj25pSvFSDikNMCEoMVEUPpVgikxQBW2UbKshRml2j0oAqFKNlWS&#10;o9KNgoAq7eadipfL5pwjoAjUHNTICaesVTxoAelAEQipfK9qtqgpxQUAUfKo8v2q7so8qkBSMZ9K&#10;jKVoGI1A0RzQBVIpKnZOKj2YoAZRT9tG2gBoNLkUu3NLsFADd1G6nbKNlAEdKKf5dG3FADaUUu2g&#10;CgBKM0pFMI5oAdmjNNxRg0AOB5p1MAp2aAFprUooNADc0u6mnrSdenNAEmazNUuGgurSUIHCsd/P&#10;3Vxy2Pb+prQ3U1gGBB5yMc/rQBMrA9DTs1k2U8ltKbKcbQpPkMTncvp9ea0t31oA+fprUxnfH0Bz&#10;gdj611Xhvxo9v5drqDlox8qzHqvs3qKxMdqrT2m8mROG7+9O5J7NDdLNGrpgg85HQj1qUNmvJvD/&#10;AImuNHkEE+57XPKE8p7j29q9Msb6C9tkuIXV0foQf0pjL4bNPB4qFTzTwc0AS5pQ9Rg0tICYSU4P&#10;zVccVIHoAnHNLtPrUKtT91IB/SjIphamFjTAlzTw2ahD0oPvQBYGMU4YNVwTmnKcUiiaqupXRsdO&#10;uLnAJjRmAJ6mpwazPEUiJoF4WAOYyOfekM4S98WandEhbkxKP4YRj9ayHeeZ97hi/wDekOTViBVC&#10;AgYJPUVIVGc1RJlje9+0LSfKqbiAMVSkUDSppgm5jJxn0q+jf6XfS/3EAz/wGqrjbo8Knvk1RNyp&#10;p8rPpN4zDb86qMVqTIPN0+LGQo7+wFZ1omNDUAZ8yfJ+nFakuTqEJHKIp5HrSuBogcdqa3BHaomm&#10;Y9EwPVqrtcqDt80Z9EFJ6DRKp/eMa5e6O+UIeTknn6V0oKqNzKyrjJY1nzaQkx823lyMcDPFCYON&#10;yle25aztFRtpUE4xwc//AKqq6dFnUAJYwSvJI6Vp30bo0SlSFWPBP4n/ABqtpR/fyyEdFJ/SqvoT&#10;1KVvqF1ZNugl3R5+4xyK6TTvELW7JOWa0kJIEing4rnrmCP5HUbGb0/Gp72Nl0+1XYXBBZsDkE//&#10;AKqTQ0z1LTvGTYVb1BIn/PWL/CuptL62vovMtplkX2PI+o7V8/aVJOtwVt52ChS20+wzWvp/inyp&#10;1Mm+2lHSVDwaVh3PcSQOpqAXtq03krcRGX+4HGfyryyfUb6/UOb154z/ALXH5DiqMrSW8Ms8RLSI&#10;uQvT9etIZ7MTSV5nonj2aMJHefOu7biQ4OfY967vT9bstSUCCUCTvGxw3/1/woA0aXNJRQAo5pcU&#10;gp2aAACnUlKBQA9SakVqjFPFAEoangkVCBTgaAJcml5pAeKf2oAbg00pUlBWgLFdkFRFBVopSeUK&#10;B2KZTmk21bMVRmM0CsVyMUmKmKkU3aPSgBmaKcRSEUXAbQaMUUAJz60U6igBtIRzT6SgBuKdtp6n&#10;FPoAhxSYqfAPFAjFAEIFNPWrXl0hioApnrVGSK8EhKzqUOThl6H2raMPHSo2h9qAMyCZ2kkhk4lT&#10;njoVPQ1K7pGuXYKPek1DSRfJCwZkkicOCpIz6g+1YXia31ObS5BFZyF1bIaNgRs7g9zQBev7uEyL&#10;bPDK5ZsKY1JKnufqOKY93qduRGNON0AOJVcLu/CuM8PX+oG9keV5PJj33DKVxlhtHX3yRjtXpcbR&#10;zQpLE26ORQysO4NAHztY6qUGyXLL2PcVsxyLKgKnIPTHeuRaMpyOKntL+S2fjpnketU0Rc6SeBZE&#10;54bsR1p2mareaJc5XmNjkqfut9PQ1Ha3S3UasARnjn19qneNZE2sMikij1exuBd2UNwoKiRA2D1G&#10;RVtRxXBeH/E7WISy1AloF+WObHKexru43DIrKQQcYI70wJce9LTBTqQC0oFIKeooAXGKBSg4pQRS&#10;GNPNIaeeaQigBBShhmk20m00wJN4pQwqHaaMECgCyGrC8XzeXoLru5d0X8uf6VqbiK5nxrcYs7WM&#10;luXZjge2P60mUcwpCooPpTWnTsc/TmquJH6RN/wM4pTBMVJaQKADwgoQiFI3CXIYY85m59Aahnkt&#10;IIUinnXCrgLUBiMulK8zs7ySAZJ9/wD9dVtVAOogbR8seP51WpBf8+OD7NHBb5Ev3M8AVNG1xNfS&#10;W5Kosagkr1zxURXOr2cf9xCas2Pz6peuDwCBSewycWSE5cs5/wBo/wBKlESRLhUA/CpsYpknSouM&#10;q3X/AB4XA9UYVzGlq0FzdPG7iONHIGeOhx/KulvmC6fKT6j+YrnrHix1B/UH9Rj+tUhMt2+uH7I0&#10;l5GHUOEyo9j/AIVetPsV3FJLaAAOpDYHrWAvGhyMe8h/p/jW7o6eTphIGCFz+lNh1K13pUxZWhIc&#10;KMY70tyGjNtFjBEZz9fmqDTtQvft/wBkldZIxzuPWtGG/s7yMs5CYO35+ME9v0oT7hYzNOVZbi5c&#10;8ZjIyPpWdNbNHMgyJAenr2rpV02OJJmtj/rV2jnjPtWTcW0qXy742CdjjjtmnclqxXu5ZLS+Atpv&#10;KdUXK9m4FatnfTX2mztOgDrgbh3qrqixyR3LMgJUDBI9hS6apGjzhW58wAbqdh3Dyo5tPkLqGHmy&#10;EflTo5LqxtoJbeX5VXJRvXd1HpTUcf2QC2csXOadPGRaRP28tQP++uKLAdfpHj2aCZbW8BkbggP9&#10;7GOx716JbzLc20U65CyKGGfcV4mQP7Ygz0B/QAV7BpOq2N/AiQSqJFUAxNwR+FKw0aQGO9OpMc45&#10;z1pcUhjguRShRSDIpd1ICQClxjvTQaXOTQA9VFOxjvUYNO3ZoAl7U8NxUOaUGgCcCnZqINTt1A0O&#10;pKM0cUDCgigUtADGjBPAqNoKnozSEVGjNRsp9KuscioyAaQymQfSjaKsMmBTClNARbaTFTbTQEph&#10;YhxSheKm2ClEXFAWItozSipDEaUR+1ADAvNPpxXFJigAHFLmkooAXdTc0HOOOtU7OeQQTR3B3zQE&#10;7sdWXqD+P9DQTYvA/nTW4ycDNc5oXiCfVNYuraeJocRCWKM4+5kjP+eldGeR14PNAWMDV9OlRWvd&#10;OUfaI28zyiPlkI4P444rPstU86Avai5tULHdDhDsbuOTx9K6wiqNxo9jdy+bPbo7kYJPegD5rkHy&#10;mq8ERZ8n1qzLwppbRCWAx1IqjJFq+n+yWVtGDhid3Hb/ADxViy1dZMJOwB7P2P1rM12TdeLGvRFA&#10;qG1h3uoIz7UWHc7Szh+03EUXUO6jjuM16lGVRQgGABgCvPfDFrv1aAKBtjUt+QrvsGkWWA9OElV+&#10;aATQBaD04PVZWNOB5oAshs08D3qqGxTxJQBZpRj1qDdTt9AE1KAKhDdKkDc0FkgUU7YCOajzT85q&#10;QEMagVxXjNsXtrFnkKWP4n/61dvuODXn3iyXzfEJXPCIF/TP9aQGUKgu3KWkrc5CE1P0qlqj+XYS&#10;nGScD9RTQmVCmLOwjx1cMfy5/nVC5jEupuc9SE/WtOQN9qsoscLGSfyFY9uskusfM5K+cSAPxP8A&#10;SrI2NiHDa2zHGUjx/KpdKIc3LjvIar2OP7VvZP7oAzVrRUAsd2MFmJqZDNA5qOQfJU9RSfcqCkZe&#10;sP5emc92H+P9KxIsDR7x1IIYqBj6itrXDt08AH1P6GsPaE8OcAfPIP61othNjCp/saNR/G7n9V/w&#10;rfsht0hyOmz+lYE7PDptnjHzAjGOeWb/AAroRiLQZCxwNmP6U2SZFj/yELuT+6h/kar2sUcumTCR&#10;dwMinntgH/Gp7DGy7cNn9y3I+hplqdmksDwXkYZx04WgB+lNNb2l48UhO0fIrnIHzAVctNY+0ieG&#10;5hMZjBLsvIrOgleHTJSoyS4VvXHWo4pkWC/bvIOB7f5NLQdzaWxgutO8sT7jJyW9aIbNrSwkh+85&#10;kBG0VzSvILJJUlZHVgqlTg9859a6Gz1CddJS4k/esJCp7HHrS1EVlDLosYOQdrEg0l4oWK3wTkhA&#10;Rn8a0vOtL23i8z5RIuVDcHrUN5pryiPymBCEcH0AxTTGMUs2tBWAAUthh3471VsNbu450ikAlBOE&#10;ZThhzViKNk15zsIBQnp161US3RdZjCKE+7kDpTYHeaJ48kXbG0i3CDjZIcOvtmu30zxBYamFWOTy&#10;5T/yzfgn6eteBpbN/aUaMBktnch96t2OqXaTiIsJ0PqeRSHc+iFAYA5zmjy68p0Lx9NGVjafzV7x&#10;zH5h9DXoOleJLHUysYfypz0jfgsfb1oA1PLIoAOamzSgCkUM2560gTFTYpRQBFtNAGKm4ppAzQBH&#10;zTt1OwPSk49KLiBWJNSDpTRjNLmpYxaUGmk4o3D0oAfRim5yM0GgAprdKUUGgCPGKMU6imA3FGKd&#10;RSATFN3mn03bQAm+lyKXbTSPemAuQaPlpoxmnZFIBMCjFGRRuoAWq01sHlEqMUlUYyBnI9CKnLCm&#10;lhjFMDHu9N+0xHbBAHCMivCdhwTyvpj/ABrNsvEN5ZXSWurwskUjbUuNuEBPQE9hweTVfxHcXFne&#10;2FvZadd3CqwaR42OGUdQSOp6HNdOkkVzCCNrqex5pgZ+o+K9H0xQbi+iyxICqdxODjtWM3xK0IHg&#10;3JHqIx/jXK/EPQrXS5ba5s4RHHNuDKvQEY/+vXCdaoylJopzckCtCwTM6cdOazzlpgPfNaVq3lQT&#10;zEY2ocfWgDGuW8/UJH7FjWnYRg3EYx3rMthvmz6c1vaXGDKWP8IpsUUd94Ng3TXM5/hUKPxP/wBa&#10;uvA4rC8KwCHSA/eRyT+BxW6OlQmWGKNtFPBpgIEpdhpwPNPoAj2mkxUwPtS4HpQBCM0uakyB2pcj&#10;0FADFbinhuabxmgdaAuTBqcGxVWR3VlCgFm9aljR1UFm3Ee2KVikS7s96841aTztdu264cj8uP6V&#10;6Ifl/CvMGkMt1NJ/eYn9TSaGOrO1f5oIowfvyKK0qzr4b7y0TH8e78qEJiSY/tJjnmOHH61j6SC9&#10;+Gx/Ezfp/wDXrQnKrLqMw/hUKefaqmkSRtLM4OQqE5qrksliDtaajIr7Cz/KfpWrpCtFpsIfGcEn&#10;865a4n/0EAFlcsT14PSt3T5rswxr+7KKB0PSpeoI2d2TimSHgVDbyKwmwfmXOaaj5cANkVJSM7xE&#10;xFvHGP4gw/lWVc/u9BtlPeT+Q/8Ar1e8TSuhixyFH3T7n/61UdTymmWKHhsMT9cAVa2JY27H7rT0&#10;9k/x/rXRSjbo/HfH8xWBdgfa4U3DKLGMenyit3UWMOkRkeoGM0N6gYdkoFhqMigAlSMj8P8AGmxh&#10;10yErgje5OevYf0p1sCui3g5yWA/VaGzHosBAJO1j+p/wqgKLt5lpJJny3Rht56g5/wquXkS3Zlz&#10;sbg1fmi8vTIrhh8udpwev4VksALRxnkNwPUVAi0YG+zxNnG4A4+pNbKuIPDcbHuzH+dY1wzQ2lvE&#10;eS6DGBjHJq81xDJptrbF+UyW/wAKoCyxLaRbjbhTGOP+BVNPPNbTweTIcPtDKeR939KiuCwtoY1x&#10;gRD+eaLrnUoF/usAw/CjcZpJfB7p7eWPaUyQ4ORikjtra4uVureUMeMgHIOP5VStQP7YuSOgR/61&#10;TizBHfyJ8rB8Db2+YUBcurZzx6nC0inYB94dM1FCivqWSAMLycfWp4tSuF1AW8qrIjKDkcHp39am&#10;hlsb5mkiGyQcHPGKLiMmG2/0mZAN2IjjjnpXV/DqOa512HfO5SJiwB56A8VkR6fJBcPICCjKB+ld&#10;F8N1xrQAGOHP6Gm2NHro60+oRnNO5qSyTNGaiyfWlBJoAkzSZptFDYDs0uaZRSAfmlzUYPNOpAOJ&#10;pKKKAFzxijNJSUALn3oz70lFADqKbRQA6k3AUlIetNAO3ikzTaM+1DAdmmk03NITQApNJupGpuaQ&#10;ClqN1JSggUwELUmaUnmmkjFAATiqkttHI5dcxyf30OCfr61MTzjPNQJcxSyOkciuyHDBTnBouBx3&#10;j+zu5NAeWSVJYopFcfLhl4I/HOa8nJ56ivoa9tYry0lt5kVkkXBDD/P1r5/lX7LPLC0YJVyOR71c&#10;TOUblGAEuzenFXroiLRz6yNj8KqW/EYx1JqXW32JbwDsmT+NJbiexStB1YeuK6PTE/cs2OprDtU/&#10;drx711ejW/mSWsP99hn8TTe44npOmxeRptvEBjbGM1cBqMcDjsAKeDxSGLmnCmUoNAEi9aWoweaE&#10;njk37HVthw2DnBoAm3Y/lS5z0rCa5H/CQ75J8RoghjjGfmc8k/lWsbqJZUjZgHkO1R70ATgZpdpp&#10;AcUZoAcFFRXNxBaxGSZwq5x9aUyY7VyvirWbQQSWzRmRwQuR1G7ByPyoA3bbU4J7pjvGxflAzk5J&#10;AFaxOFxXl9teRxSQySNJtkZFc5xjgcZ+tdJe6xqKTWioiqCGLooJLEdPegq5rT38bx3Ukbj5Lcvj&#10;uPTIrg4ejH3ro3hkt9DvLl5WLyrtZSBjOR3HXFc7FxGPfmpYDjWfNhtdgHPyRFsVonNc3qV1cxau&#10;723JUKGx2FCBi3buLC+kQDDzMp+lYQZ4YzJFLgMMMAa0nu86f9nJyztu/Wsi5QJ8oYAk8jFMi5a8&#10;+GS3igIIfOS/Xj0qWO+ujMY4UIGNqkD+dRXdo9rZ20nlnfJgjjqMZrR0y3nKxmHJUZLnIwCDSYI1&#10;7ZHgt2O0vHgZk9T34qYIUl255Iz9On+NIbmDykii/eMm1pNvIA7809XzdNIT8rYGfyqSkYfiMhpl&#10;GT/CP1NQ651tI/SMn9T/AIU7VmEuoMe2VxSarl9UtY/+mcY/M5/rVoGJdxq3iCIY+7+uMj+lbWuK&#10;f7MiAOADu/IGsgHzPEJY9MsPxya1PEE48jycHIjLA446UuojJjJ/4R55GABeVcY/H/Cmz7fItUJK&#10;kwg9fUk/1pzkf8I5bj1kB/n/AI0/UQBYwqQP9QuOOn3apMGMulMehQByHR5HYZ7ccVjG332ySg4A&#10;fBFbl7ZodNtmMjDcjHbnjtisSMFoefu7sZz3GaQi1flRBBtAB2jA75x1q7LBFZaBATjzJgxJI6ki&#10;qd7EYHYTkmUoNrH0AHT8qjSSS6EKtkxqhVQw6e9AzWvIlFtA2MSBE5B+n/16dOjprcSHDK8n5YxS&#10;3rljFFtztEeSPoKJir67CAQdrkH86YDbFs3l020q6xvuBGMVW/5cbsnqzq36irdgS95ehmLARkDJ&#10;zxjNUgMWV5jP+ux+tAFhf+QxxzhMfkKgUYtbtsdZMZ/EVPGSNWkUjkZORUAIayuOf41z+dArGnpb&#10;ym8vA0hZFc7VPbmul+H1491riO0QRgGBKnrwa5rTQVvL0noWY/rXRfDVQ2sf99fyNAz1oS04SZHS&#10;mCKnCIUixd3tS5zTdlOC0AGaKdtpNtJgJS4oxS5pAIBzS0ZooABS5pKKACikzzSGgBc0hPpRRmgA&#10;zRmkoPNCAXdSE0lGaewC7qaTzRTTQAu6jdTaaTRqArNSZFRk5o5oAkBFRyyrFG0jnCqMk0c0x13I&#10;ynoQR9eKBM5i4+ImgxDInlc/7Kf41mzfFDTR/q7S4f8AECvNb62aK/uLYDmKRlP4HFV0ikbPy8j1&#10;rqVJGDqO56BffE/zoJIY9PIVxgky4P6VzkPjO8tb+W7tLaCF5FCkYJH1+vWsT7JKV52j6monh8n7&#10;zqfoaHTj2BSZ7bZWmr6hYwXLassayxK4EUI4B+teW+J4W0rxDd20ipMdwbzGTlsjOa7rw1cXEnhz&#10;TBpl3At0cpJDK2d2D1A9fpWd4s0W91bWFuTpk4fylVzGNysRnkGsJaM1jqefWseZI098VT1dzLqL&#10;4/hwtadhgT7m6KCSaxdxmvS57sSRSiSzQt0yVUD0Fd54YthJq0RxxGpb9OK42wTfcp7HJr0XwjBg&#10;3M2OwUH9T/Sk2NbHUEYpw6UlLzTGFNUk59iaJCwRtg+bHy5rlfDV3fyajfR38ioUfJiJyQTyPwoA&#10;6e5nFvAZCVyOAC2MnsKztURDBJdRT7GZDuw33sA/rxWdq+oxz6ZqFvPEJ5YWYgIeQvZhXEzXz3Fg&#10;bPY5l2B8YHy4zkDHrmgDb8O3sUMMtxPcysyP5jxg/MxxgY/wrstMkuJzvazWCLJcZPzc8Zx2rhNG&#10;xbwRpc/vmlzKkIzkNxgn8q7exnnjjlmubuNkjUKYlGNjY6Z/l9aANjcAQCcE9BUV1MsEXmPII1DD&#10;JP1HFU9Ole8P2i4tPIlH3A3Xb2/GoteiuJNMnSCb94xymRnB4OB+VAF+W5R7UOjjDnapPc+lcXf2&#10;01/qSJIDFG2FbcQBGRnnn8fzq5ElxLoBmlZ0uIlG5gMHcvQcdetYrXt3GgvzG9tMFCunOZN3QjPU&#10;80ATHfDbTs7pJOuUjhAJX5W6kfrV/R7e/N/LNIPIklXcQAS+3/Z/Xv3q1pOgm4t1uJJGUOilMHGS&#10;PXHX2roreC009G8iIbmOXK8tzxn6UAZniUrb6MsSIEDSDgDHqTXMIAI1HtV7xRrsF5erZREEQ8s+&#10;eDnHT8qxrVxcTGc5wchOegqWUi4RiuekiaePU51cptJAb2FdE3AJPbJrEK7dDuXxzK/X6kZoQM5f&#10;kxJGBtk3feb+L6VZER+wpG6OHZxhj0bntWhrmI7q0jHVEpbqXy9K0/KZG7OM9e9MzsTNZqurWMD/&#10;ADFN2dx6ntn8Kg1BZdPea3tHVUfmTpx1/wAKRry6uNaje1RfMZAPmYHHGc/lUktncrdxHUmRkLfL&#10;jndgGpbKRnwzGZRYWvy+YwBk/iP/ANaumgtVtIEgVzI47k5/Gq+nK11ctKsUSARjDKORmtYRJExx&#10;y3Uk+tFirHH3yZ1pUBIzJg474P8A9arFyN3ieFf7rxj8gtQ487X4znjcW/H5v8akd8+JpWJ+47H8&#10;gaYmJp8jS62UZOQdxIPrV7xMpW4iLTHaUOF9OazdNnittSmml3YzztGcCruuXttqCrNbyLLHsADD&#10;sckmh2uIznZpNGtcH5A7/L6kYq1qbHcItvCKi5B9lqtdQyW6wRDiNhuUemetT6srQ3cuxsgvtwR9&#10;RSWwEuquY7WzUHaTbnqKxPMd7eME4AJ4ArU1d4/MiETbgIwXwc856VmtEdsRQEEqTtP1pXYx9608&#10;k2+YFQclV9BWvqkATTrTKYcRqc56fMOlZF4WedtzF2BIBrV1KeSW2t1kUArGNxHb5v8A61UmIkvY&#10;yl5CQ+dxRSD9P/rUwsya4FZclpjgj05/wpL67jN0jRfM6ygAevXH86g08TNrEbS/ebc2fTrTuBY0&#10;2RP9MkQ5PkknNVuf7Onz1MoP86t6bule+DgH5NuQMZziqiKf7LYk5zP3/GmBZjO7Wrgg8bT0quRi&#10;yuSD1nP86sICur3KEA4VzkfjVcbTZTAd5AD9e9AGlpi/6Xf5OfmYD866L4anOrbj0w38jWBpw23N&#10;6f8AaY5/Gt74dZTUs/738jSuB64rD1p24Y61SElPEg9aVyy2GpwI9aqBxS+bQwLVKKq+dT1kzQBP&#10;Riq7TImNzAZ6ZpwekBKelNzTN2eKXNMBc0v400mkzSAcetJmmFuaTNAEm6kzUeaM0ASfjSGmbjRm&#10;gB272ozTKKYD80h603PvSZoSAXNIQKMimkn0pgFOxxTc0bhSAH4phpzHNNoA8P8AF0TWXiy/CcZf&#10;cPxAP9awZXLHJP5V2PxLg8rxFHMBxLArfXGR/hXFKjMjMB8q9T+NdkGmkccl7zGlmPUnFNx1qRIn&#10;kyFU5AzVhbCQjJYAY3U3YNT0P4bw2eo6JcW1xAjvBLlXxhgGHGCOR0Ndt9huk+WPUJAg6B0DH8+9&#10;ed/Cq42ahe2+f9ZErj8D/wDZV6ZNe2tu+yWZUbGcGuWrozopvQ8EjGywnfpkbRWPDGUmxUiamTB5&#10;MvCZzTolieTcsq/jxSSFc2NKU72fGe1en+GYfK0ZG6GQlv1rzvTIysA45Y16pYw/Z7C3i/uoB+lI&#10;pFmikpaYFO8kiCeVNuWNwcOGwOPeuL0iW2h1q7slctBI4kEjruLEEZDfjxmu6uY1khbdgFfmVm6A&#10;joa88cm11uZ4YkZ5I8pHGdwYkg5B9M8igDY1+2uJ57dgI/ORyFaEkboz6/p+dLqGg2d7YwSRqhnm&#10;lTfj5dx7gk/SpNUM6ixhaY28LI3nF2yxPAzxWZeaos19b+crboi6lQCpDDABPqDyaALb2Wj6PdRT&#10;SxbroYQqjZ5P3c/j6+tXrPR7l2jmu5CJmYOFTG1ee/qccVkwzxa1dveXMps7SzYBTjqxP9a6mO4h&#10;kLSQXTXePmWOMjAx70AaScDk5NV9QUm2OAxXI8wL1K1aByoYgjjJB7UcFThvqRQB57aXcQ1KWCLz&#10;Z4RtKBiflP4c0O0sl/DbQMQDMSqu2dhHQYPbJ/St2K2jsNakmkgQRSqUSTHBI5yfUnmsq6tLefxD&#10;aMsoLGDcxUj77MOp/OgDrrKU22nJHNtDxjaVjGMDOMj0HvXH6vq8Vnrzxsn2m3aErGhPO89j3xn+&#10;dX/Es7WSxJbTN5xbEaD5eeMjI4xyP1qhoWhXl65fUY3EUrB5G4+f2+lAHPz6dcSX0azL5ZYbpAnQ&#10;E84B/wAK2oLcQQLGpyF4zV3U1/4nEoBBVPlXAwMACoRwKhopFe5O2zmOcYQ/yrM8nbpFpCST5kg6&#10;n8avasdulTkHkgD8yKrSx4l0qDPTLE/RRVITMzVmjbUXDMuVAA/Ko9VgQzxwMxG2MseaivYkm1uT&#10;ODmRR09xWrcb/wC2sqhcRw9KGibmLZ3wh1VZolxGgCEAf5561p6lC+o3EJ8wszHCr1VRz+tYEdyR&#10;czMIvldyTjPHNdJaXrJaqz7lMThhCwwQDx/Wsxok0hglsFhZywycFc+oxn8K0kL9ZCOBlsCqOn3N&#10;vZ6VGLiRQScE7sdef61ZivbeaxumglWTy0PI+nFMq5zOnyJLrEAyM78tToRv1W7lz0WVhx68f1pd&#10;EVJtcmcYJTGSR0/zimaeu5r1mJ5ixkHpllqhFnQrUT30quNyHG73pmu2kVrqDpbxrGgAO1Rxkjmr&#10;XhNTI8kjNnL8Z9qr+IpGTVJc8qSFGDyOBUtCKd1dtNNASQUiUDninX832q/Roz8j/MR78/4im28U&#10;cl5bRKOJCpKnnq1RwBWnCMAsgkxjpxmgC3rbRfaCBtLeSgyB371nwu0kkWTyp2j6Zq/rCn7fIPlK&#10;7VPA9hVXy0UQBxkMMkdCeT/hSGR3YzqJI43nP61oa7IovY448bfLUN6d6y327kJYgcDntzVu5hEM&#10;8ce5toZchurZ56UCFsIG/tK1kZPlaQBR6YxzVq0ZP7RHVXCuSDwQMGnzz+XfQyucEOzBQenTAptp&#10;IJdVL4/5YEkH6E1YEmnHyoL2QfNwD+tVVH/Eox3E4/kas6YqPa6jhQgyBgexqvAC2koSckzj+oqg&#10;J0OdXu2HTY39c1VEieRLH0JnyPerFs3/ABMLxSOVR+R3quY0ksXdT8wlAz+FDAmt7pob6UKRseRw&#10;c+ldX8PrgR6iHlIG5iox3JyK5Cyib7U0bNgq2NwODjmup8AW/n61BvwYotzY/wBrB/8A11KBbnru&#10;1aRlGOKKKRY3FG2n0UAMxxTZGkQEpzipCMjFVkmAkaEt847e1AFHVLrEETryfNXae3Jwc1Y025+0&#10;RedyAcKMnrjj+eaq6mqyxNEMx/PHuPQcsB+dS2LCNYkwoVIxgD14z/MUAbCtinbqrrKGBwc84p24&#10;0wJd1JuqMsaTfSYEmaN1MD0b6AFzRupu6gn2oAduo3GmbqTcaAH7zQXNR0ZppASbjSbs1HupaYDs&#10;0m40lLmgABOaWkyaM0rgLRSZpM0XA85+Ktv+7065A6FkJ/Ij+tcCHRISJSB5ihQq9QPWvU/iTb+b&#10;4W8z/nlMjfnkf1ry6GOMxwNtTJYjnkt3xXRTfumE1eRGs2yXeZVKbcfL6VYS9hEOdx4GAMdajcLt&#10;Rtsf+twxUDgHsas4C9F+Xaeg6EVTJL/gK7Fv4wgHRZt0f6ZH8hXsrwxyNuddx9Sa8G06f7D4mspw&#10;3yrNG34ZFe+jpWNZbM0gj5cW6Q/eWpFVHOUfn61R2c1NbRNLcIiD5iQKCTQgurq1cNHIwwc8Guw0&#10;v4i31vtS9jWdP7xGGrm720ks4VkkIIJwMUzTrQ6hP5KvFGx6CRtuT6CkUj2PQ/ENnrqObcOrp95X&#10;H9a2KytBjvItNSO9t4oZYwEHlnOVA61qio6ljJA3lnacH6Z4rj/EqoptLy2ZftUMhRogMZUnOCK6&#10;6V9kTuBnaM8965G7vre8057hoIoZ15I25kV89Pp8tFxFqaI6rJDHIqnMZYLGSdqsRuyemetcjq1p&#10;crq8lvPIdkDbEm3ZKp1/9mFdTbzpplxbyQqDFPH+9jQ4GcA7gP6VR0PT01a/nknikFuyvLEXGQ+X&#10;YAj0xx+VMDe0WwElrG8pmAiOI0lXkD156/XtV67uLaxuk3uIUlU73VcZP8PPrS3d4NLsF3spdUAU&#10;yHapOMVwM0tz4m1ElYhsbP775towMlvf/wCvQwNq5vp7/VZ9PhvBcweSdxBwAPT64/nXT6NHDFo9&#10;r5CsEZAw3HJye5qrpuj2+jQRfZ41XcAsxJznI5P51p+RskZo2KhsZUjjpQgKeqx295bnT2l8uaYZ&#10;TaOcj37VzFvcSPql9FcWCzSQIkJAPyfKpOcn3I4rqkdDdtvVVkhjYjPQAnsfTArnfDNt/aF7dX0z&#10;ErNI0qIOgG7AP/jtAxdG8Nfb2GoXytC3mFo4B0Ue+a7GGBIYwkYIUdMnNQLdASNAhMjr/CGGTU8k&#10;my2kkPG1GJ/AUmwODmk8zULl/Vzj8zRj2qOLlnPUk1PSBGTrcgS0RCCd7gAetEwzrUII4ihJ/Pin&#10;6kVa9sYSeWkzzUU8m6+vSjYMUQXpntmmDMK3YPq6vKcBps5Psf8A6wqxNdAarcS/u8JwBLxu6Yx+&#10;VZiTxP8AMBwBwCO9V47tVaV5Iy8jg8sOhqHO+hCIpJi8zOpAJck4qzLcSx/vXUtkDY7HGQPSs9DF&#10;tYtxIDx71YjkFzbOtwrM+8FZDnj1FSMtW95Fb4eRUlJBAV+QOc8VdivBapeRtD5DzRkKg6DNVRdR&#10;RWjRxRKpLBjx1NV5rvzSC3zHAGT1496nm7CTsaWjNFbvcyllV3UnJOdxwelJY/LZ3jN6KP1J/pWU&#10;szKremPyqZHLQME4UspLfgaqNRgmdJ4aVIrNmJABzyfWufvn86eNGB3FsHB6dutW9Mu2EiRbj5ZL&#10;FgP4vaq8UaS3yjaVG7AB9M8/1quYq46yAj1WBuQqkEZ44xxTbhlXUozjcUb5sDtxVu+AGs3AG5Qm&#10;QNo6bVx/SqthEX1OIMCSTg1SYxNZiaG7kkilJj3YyO3pTorNmnsRI+4uoY59CSf5Ul6BDPc24O5Y&#10;5WK57joKuTAz6nDHE+wiEc/3cLkj64osBmeWDqCW42sN4BYe9Xb6Zv7T2TLsZCFOOgwMf0qlJiK8&#10;yqtlWHA9qtSNLeavGxCiRmHBHf3pMBunp5urebKQeSQD06E1ZslIuZJOCfJft/sn/Goh/o8qgdVR&#10;/bqKTTY9l1dhyQPJbOztxzTW4i7p37qxv3Pcg8e5qpFGV0u2XuJ+fzNWrFQ+lXoEhPzgAt7Gobf5&#10;tOtSwwWmBwKsB9tg6jeMMfcfr+NVuV00EEf64E89OtOim8ue5KITtVlcD9TQssZ05h280HH4HNK4&#10;EcH+ulc8wvKcv1x1rrPhysra1GQflAbPPXjvXMxpGsUqBtqs5K+2Qa0NFvpNItZLiCVEmUjnuQP5&#10;1II9yorgNE8fwSM/9qHYSB8yrwfwroT4y0BVyb+M/gf8KZRv9aaxxXOP470JePtTN9ENVZPiDoiZ&#10;w07fSOgZ1lZd7vS5jmXqnt1GeR/I/hXN/wDCxtOAwYZ35P8ACKqXXxEtZgNljKTnOWI9KBHUakY5&#10;bNvmOGwrD/gQI/rUOpFRPEiFgqg7wlcXd+NhcWElqLNgWXAkLcj06UTePLuVt0dgigDGNxPcH+lA&#10;HpVivlwooVgAOd3c96m8wmbaOgH+f615gfH+rEfJawr9cmoo/HOqwzPN9lgZ3ADHB5xRYLnq26lz&#10;XmC/EnUP4rCI/QkVKnxMuB97Tkx7OaLCuelZozXnQ+JwH3tNb8HqdfidbH79hMP+BA0WHc77eKM1&#10;wq/ErTW+9bTr+VTp8R9Gb7y3C/8AAM/1osFzss0GuTX4g6Gwz50g+sZrW03X9O1ZQbS5RmP8HQ/l&#10;RYLmtRTFzjPb1pc+9FxjqWm80ZouA6im03NFwJMj1ozUeaM0mBJmjNR5ozQBj+Lrf7V4V1GIDkRb&#10;x/wE5/pXh0LXLRqsQwEfIPHX+tfQd1ELi2lhYZWRChHsRXz7Ez21xLGXRNr4YN1Jz2rak9DOS1Fx&#10;eTh42cAKwJGO/amG3uXudrSgN97dnFWTHcpcMAY8O20n0wNwzQvmtcxswRHwwx6c1rczsUrhJraY&#10;NLJubs2c19B6XeG60mzuQ2fNhRz+IFeBXwcxK8jLuDdAO3f9a9h8E3pm8I2H8RRSh/AkfyxUy1KT&#10;seAMO9aehxF7+M9dgLVnOjBuRxXReG4cCaXHoKyGkd7oGh2Wp27yXtuJdj4QMTjiugg0HSbZg0Wn&#10;W6kEEHYCQfUZ703w/EIdIiB6vlq0yai5dhwb2rHuvE1lbXEkJSV2RtpKjjNacjhULHoBk15lLdLL&#10;NJIQzF2LcDuTmhDirm7q/iYTSWxghcKsnzKz4DDHIrLvNcjMTomngAny924AFT0HToM1mySFmU+W&#10;5UZqvO+4gbSFByRnrTsVymxZ+IY9O0oxpCnmJuCspwcNnGR7Ej8qvWnje0sLa3tVtZGaKJYwQw+Y&#10;+v8AOuJuyhXCBlOR1p9ssQzuJDZGeeTT0MLs6671DRdcvFuNUkuQFBWOFBhVGfXueldjogszpoFk&#10;c2nIRSuCO1eTt5SjPmYxSpfXLRiO3IWMYG5Rg4zSaQ1I9gjv4ppJ44hvSEAM4wRu7j6061vop2Me&#10;9DKuMqprymHU76BNkck6KecK5xmvRNPQzaVBFKuLpYgVkZe5Gcg/WnaxVyTxBLFa6de3LKvmfZii&#10;E9ck4x+tO8P24tLIR7dphjjiPHcDJ/UmsvxdMk+n2Ns3yie6VWzwcDk/0rQ0oTLs3vujkDPtxyeQ&#10;Ac/TmkM1raHYgcj52yWJXnk1DqkrR6TcFiN2wjPQc1h3/jFLG7mtltTIYjtLFwM1ny+K31eJ7b7O&#10;sa4BLB8nrUtMVyCFPkz6kmpqZCMRL9KkxUjRlXKmTxBZjHEaFvxOf8Kz55I8am7jJaTYB9ABV+IO&#10;+vzk42JFjP5VkXUDDT2uDJjzJm+X8f8A61Em1ETMGaTYx8vHHeqQmIfLNwetTzSeWWUYwajgRWhZ&#10;ymWzgCoT6skW0CR3SSEB067TU006nIVgoyTjFMNm8NukzBAX4wp5FU3c7uBRa4uhKZe2fxp6OGBB&#10;zx3ql5u7I6U9pTGvy0+VAWfNOSGBqVZx5Wz+EnOPwrPWXf1yBU27KKBjinyoC3ETEjS7enAycVZ0&#10;2US3se7dwei9Sc1nbdyq5kww/hx1q1pswt7pJeDt+baT3pWGmbJZn1e/kJIwkjAfnwai0pmXVYQV&#10;zj5mx1I5qCOVpriSXpvJLY47/wD16taBJnWUZzycAY9Kal3KKur/ADySnlWaRipHQ81ccC1vnjTL&#10;bIQpI9dmCao6hvZ024O4tgemTWj/AMeuo3ZzuMaMuT1J4FW0My4QWv4wznLNyR2rQjKrryDcdiuW&#10;3Edqqacc60jhSSZDjHrVopK/iJ87A3L4xkZ/yKmwBbE3F65lAKpE/wCe0kU6zyZr2Rh96Fv6VFDJ&#10;HDdSjcQnlMuM85ORTrBZCL9QR8kQwWHutUIt2HyaNeFu8n881FAcafYqR/y1x+RqSESHQ7kMo3Cb&#10;Bxz0qGKT/QLJlBy0rMufXIp3GNtCDd6ifZuKhEDrbspXAzvy3HrViwlSJ5pGQucqMfX1/Ko5725u&#10;ZjHIqxxjIwOTSYCfZt/kFWyr5JBPcZqaa2hDKiyDBODyOKZaxGMQkljwwII6cGsVwEmIHOTQhHSp&#10;bWQjLeYuF4Zt3SkL6auP30f4NWTZ/LZ3SEhVcr+OKi8hfSqQzZ+1aYpyZI/1pDf6aP4gf+AmskRD&#10;sMUNGKYjT/tKwB45/wCA0n9q2a4+Rv8Avms3YKXYM0AaT3kX2NpwrbS20evSof7VSLgxsfxqJlC6&#10;VK3T5xjFZs7jfjuKEgOjtLn7bEzqu0BtuCcmpp2MVu8mPuDOKz/Do3RzEno2cfhV+4Ba3uBn/lmf&#10;5UXC+hmf22gPzQtj61PLfJDDFK0bYk6YHSsBzwa1bob9Os2zxg02iUyX+1rU9Ub8qX+07M9QR/wG&#10;s9LeWSN5EjZo0+8wHAqLaP8A9dJO+gO6NUX1ie4H1WpfMs/I847fLzjdWJgVdZc6IfZ6B3LYk09+&#10;BIufQVN5CQjzIyyN/eU4IrnYABcxkf3q6a9XdYye60AmbGm+L9Y01lEkv2qHuJOv5/412GmeOtLv&#10;dsc7m1mP8MnT8DXlVtDM9oDHIfl7HnNDSsq/v4/lH8QpNFXPeY5o5UDxurqehU5FP3cZ9a8Q07Vb&#10;vTpN+n3jJ/sE5B/Cuw034hMAE1K157yRdPxFKw7nf54pKz7DWtP1OMPaXKSZ/hzhh+FXwc0hhzRz&#10;RRTAOaOaKKQAa8I8QD+zPFuoqIwcSsVz2yc/yr3Ukjr+dePfEi2EfiQzDgyxI/14wf5VpSV3Yieh&#10;yv250EoRFAlGCDz7Zo/tCfzEcbdyLtBxVYIzdBn6U8QSY+6a6VEyuiSS8llTYcYP+Ndp4R8UxaTo&#10;7W0pOfOZgPQED/A1wxRl+8MfWnBiowDSsDZnJuIGST+NdhocXl6dGcHLZauThXcQPXArs5c2mlkI&#10;SGSMAGuZmiOytvE1tFBHEYHGxQOCO1WV8T2fdJR+FeTC7v1wftMn404ajfg/6/P1UVLix3PU77xD&#10;aS6fcRxF/NaMqoIxya4lmmzkRcfWsUatfgY3xn6ripF1q7xgpG30FCTGp2NJpZgc+UQM56ZqtLcS&#10;yHcq/dzyB7U/Tr+4vb3yjGqJgkkZrSaApcgxFSNuWQ9z6/zo1He5zTsZpO+cDPFWE/dW+8gHPGe9&#10;OXURayzlLctl+o6KKkXWbXzN7wSZ+gxVXIaKkYMkm5wNmcqtWA8aocFhzxirI1fT3IHlOD7JTv7T&#10;0pgu7gA55Q0uYmwlqFllSFJWyzAAHvk161crtsPLUjIUBeemK8pttS06K5V43QEMHDFTwRW1P4yl&#10;kh+S9gLDkA0NlRRa8QGWbxJYo8wUrDI4VcAAjIH4nFdSZGtpra2gxI7hjlmxwP6dq84n1t7vxQt4&#10;0sZCRgJ/dznI/WultvESoXZYYS23YrBunH+NFyjlNScT6hczFDueVm9uTVnRUBMz7QMADP1pp0vf&#10;0mNX7OEWsZUqOSCSPahvQlLU1lGAKd3qAXK9CCKZLqFtAN0sqoOnzECsyzMtp2L6rOqj92xGSfQH&#10;NYWoTPLZQArtAGcE4yDzmtm2jc6LfBAHlnZiNpyDn3/OsTVrhVtYVaPy5QNrAtk9OD7ZpyXQlmDI&#10;C6gYwo60rvtACAAVDPdl08tFwMYJFNK4Rc7hnkZ71CRBYLuExu6dOaj3/JnbzUJO4Go93yY5qkJk&#10;nUnkZphWQncc7fenKVXDFTmoZpmfIJyB0oAVXCg5FKHLc1EoLZJpQwzgc/SqSGT+d6k+gq5aeWSW&#10;LhSvT+lUYoxtfcePX0q3BHGiu7fMCMD0FJoEWI7iTaTgkEYJH+farNgZDdKYmKn1qnA7qpTfg8YB&#10;HXitLT7aSX7TMi/6tC23p0H/ANaosOwPkyQnGSHHTvzV+RkmvL+UqzABsAf7wGayIfMubqBN3/LR&#10;QB9TWhK3lRX5XnBCgf8AAh/hVlkWlru1NFERlJBwo4+lOiMr6jPIv7plR8456A1L4ak87V42faPk&#10;YDH1qOxfzL27LLwInfr7UAGn2yM1yZOSIt2W453CrNkAE1HOCNq47/xCobeYzQXSowRvLC5POMst&#10;La7orK9eaUOvyrwv+3TQFmxG3w1Lu67z9c7TUcZH2bSVKqd0nf8A4DTxJH/wjpdH2q9xjPTsaIgD&#10;Dp3QgOT/ACp3ArQSNFLcEf6sSgNx9cVPbFJLppEHBBxn6UljEu2Zf70iH19aIk23JVOMAihIC/5P&#10;lXUYBABiZsD6CuYcKZXPoa6W+cA2hZG3bSOO/wAtcrKXZ5OMc0JA0aVlCstvcydfKVev40wHipNJ&#10;Vv7Pvy2fur/Wo1IxQhIXNH1pM0ZpjFoPAzR+NRzyeXHuHJouBPIf+JTLlh9/A/KsyQ5kB65qTzWe&#10;BgXG0HO31qEnAPPShMlm74eYBbge47/WtOQZik90/pWHotxFbTOsi4Mowua3t6yRll+6wpPcFscc&#10;e9WnuibeKIDhQCKrMpyw96cWbygNh2ngMe5ptkonhujFvVs7G6ioVfvjI96jKFmA7npirEltKMKq&#10;M/GflGam1rs0UW0Irg1ejG/RrlfQ1noCMBlIb0PBrRtPmsrtf9kkflVonbcyIXHmIfQ11rAta4x1&#10;FcauRg+hrsoW3WqH/ZpyBEGlSqsBVjgEdamlRXtZcLye34VTswFR1bBAJA/OpjKYS8bE4I4PtUDK&#10;UceLmTHVk7VLZwzy2u8SAkcEP3pqEfaEI/iXFW9P+WOUfhTAqw3A84cPFMCQCpwa6jSvF+p2YCvI&#10;LuIHGGPzD8a5TAF1u7iSpDbD7LOy8OrZDD6UAep6f4y067ISZmtpDxiToT9a6JZUZQwYEEAgjvXh&#10;MFxL9ndnAk2qGwe/rXongfVpL23mgkkYrEF2K38Pr/SgaZ2JkAJHoKaZcDPsf5VWuJGjZHRsAEBv&#10;pVd52+zkgE4coB79APzx+dSM5vW9f1e21aS1hlihjUBlKrk4I71w/ie6uryWGe8uPNYKVBx27Vs6&#10;9eyTa3v+yvFuXy23H+IdfyrB1aPzNNSQYIVxgj8qqm7TQpK8TGW5KgqgC/Sl8+diPmb/ACKaJGHp&#10;0xThcy7dvGPrXcc7SDfMcZDN+FMPHVSPrUwu5D1x+VRyOZG3MeaQWQmmRebfRJjjdk/Qc1s+Irgx&#10;WkaLkl27eg/yKr6DDm6d8fcXFQ+Ipd14kPZEz+Jri3Zt0Mg3Egx9/wDOg3bLjLN+VCJ5sgWmagBC&#10;yLjrzVCH/bj3P6U77aT6fitZ3mj0p6yKTyKAN7S7q4MjNbqpYDBOK6Jrx44ZJJgocLjg85xWV4ft&#10;THaNKF3Fzxip9RLRWYJOPMc8VD3LWxjPfum+PPBbd96ifUPPIZkUYGPvVQl3SSZK9+oqMxqpxnP0&#10;qzNs1INQEWSqDJHqOKj+0xgYKkfiKz3DJ2Iz2pmTRYDZt1juZCNrY6c/UUTiGO6kSNThWx603Qx+&#10;8ZznG4D9CapAtNeSSqcjcSfxNIpFvKnJbgDtik3QDjIx7VSnYAgqxH0qv5rgnDn8aLCbsag8n+Fy&#10;P+BVIJGX7t26/SQ1j+Y/940LI+fvZNFgTNwXN2nK3svP+3W07mfTLRJJDNJkbs/MRkj/ABrlRMxR&#10;QMZ+lblhGsZXKgMcFvf5TStqMfcajd2c3k2kqJGB9zaCOetZk1zLKw84qcDn5fvH3rOu7iQX0pzk&#10;Bz3qIXEjNgDr60mrgx8vPGFGOcjvUe/e4JXoMU5n5ZcfrSi3YxGQflUWJYjcAg0xVYrkCpSoK9cE&#10;9aX7h5fj0oEQNnjdnjtUL/e4q3K6sMkYHY1EY0YZ3ZNMZF/vdKXaM5HBp3lhW5GQKc3l5yvBHHSq&#10;QCqWJCdjXW6ZpUctu0M08RZx8oVxkHBA/oa5W3UIwlYbkHUVt6ZfIupwTJD5jqThVpNaFI1j4XKK&#10;d04L5+X0AHFXbXTJbaG8UMrGWMqnP1/xrI1/UI7uS3MsLIwUnBPTJrME8KgBZpVbvh8D+dKxSNCy&#10;tTba5BC7KSkikkcjipZrWf7HdBo2y7qRx25J/mKxprnFwrq5wFGH3c/nVhdYu+i30v4tSFc2dAt9&#10;t8XkUrGYzyRgZNULASLcXY8pmLRMvHr/AJ4qzaa7mKOGVy8meXb3q3pTBjdSEn55SaLjKun28sEF&#10;00qNGCVALDPcf4UoDHTLnZuYl8YVf9s1q3U2IMDcC0gHHJ7n+lUtNv0s/NDyFS4YjP8AvGrTAp3E&#10;RHhSBHQ7vPzgj2PNTuRDZ6aTwFXJAHPQVp2mt28kSLKV3YBPvV+7MD25C+WxGMcZPXtSvcEcZYyp&#10;awSs7lZA6lVPcDNSjU7eOcu5O0+1O1i2H9mrOmRMZirNnoKw1STEgJLYzwxzVJaiOq1O+WKO0kCs&#10;cJuBxxytYDXKEknP4jFbd2mYrRHbJEBxx221ypi570luNmxBqUcVrcRFWJlGOBVYXQH8LVniI461&#10;LDbFwfaq2EXPtaj+FvyoN2o/hb8qz/JOeTSeURQBofalIJwRUZuR86OOuMfjVUIM96muHWbynjXA&#10;SIK31pMCJpCCMetKrfON3TvUe72pm/JpWJsaAmjlkjRgQu7qOtdMbgm2UxgjCnoM98Vx1sQXGWCn&#10;oGPauytLdLe2RUbG7gFjyaTGcu8nzEHOaRpz5AjZyfmyoxVe6iK3EoB+67fzqNFOcHmnYDUtZjbp&#10;vQDeepIzip49Wu4XLRyYJ68CqEDkoVbjB4p5GKyZ6MGuVcpeuL37aoaRQJB3FPtZEto3M7qiTIQm&#10;W61QXG7B4Hc1RuC7SEqeKqmzHEpfEWg0eMZU10djcwtaRr5i78dM1xuX9P0rS0/y0i81yVkBwCK1&#10;ZyFyS6+zyzKMH5jio5dSMjBmx93FUJ5EMpOc5qBsHHzc1JNzTjvcMuSCBWnZzozMVJ57VzSjn7/W&#10;rlvdi2yejY4Vu9NIabNZgVlkP+2DWhb7S06NyGA4rKjkjnywmTLAcbhVxJBDJvdsJgAk0yggQK7J&#10;1BUjFaGh6hJp8/mREjLKCPWs+JgbnK/dLNj6Gn2zYMit0wfwwaAR60zieweMna6p36jjrXMams8+&#10;oQxpdAA3O2SLfjOBuyuPXgVqvMI9IWZmy5tzsJHUbTx9O1c9O9vdavbzGNbd3jEsjRgkhmKgj8VK&#10;n8aQzF1jaGgaOc3DRuASTkL6LxWe0wv7GeFdqvuxtJ6c5qz4tEFtrxjstqfKC5U9T1/Os8qH1GJw&#10;ys7Kd7DjjNQ9Hca1RUXSZ3KhWB3HHSpV0OYs6tIq7e/rWhauPtTR7wNpJ69e1WvPH2ornjA4P8qf&#10;t5h7OJk/2E+3IuEPODgV0dl8OJryziuF1CNRIucFDxVWJdsbqhHQGvQfCtwZNCiBfmNiv9f60KvJ&#10;7hKmjynQ5YUtnZpEyW6ZrD1a483UJ3/h3bR+HFVraVo4gmxCPcVBLuMhJGCTVJEF3TELys/YCqmq&#10;yb75kPRABWhpoKW5Y9zWJcuZbqRyeSxpoTGgVJFGZGGKiC1c05N94i543ZNNi3O80+MW+lR+y5rE&#10;1y9jZIoFDDy16sMZJrYmlH2Xg4hQBf8Ae/8ArVzmrIZLuQEgbQufzyf1P6VEdy3ojNZyGAxTo8SP&#10;j1pkn3wfUVLp8RkuR6A5NaIzG3JHnhetRA5JAGSfSll+acn0FSWVw1nMJVVWbkAMOORQwNXTW8mw&#10;kl6YRm7+lULRgltI5B5qA3MwRolc7SCCParWNumKoHL8n6VJaKTsHkyAcVGApPTvT9/7xmOcdMUx&#10;lw6gnODnjvTRMhzDCD60m1SSPSnSAhkUHjvTUZlyV6mnYVyWIqjA54HFdLbfLtDnB2MeTz2ArC0i&#10;BZtTiV+hYZzVybUZ21W5TcNgZ+g7Lkj+VT1LRkSp5kzttJ3kn9alsYN92oOeBULSvgYYgjpzWhpK&#10;lrh3PYUMaKNyqm4lOcfNipEfdHsx0PUVXYlmPqzE1JGm+VU+7ubbxUtE2JGiKsATgkZ57VCMSE45&#10;7ZqxdyK0hJHzAAHnqRUNuODjv71NtBPccYMQeYUJwQDxwAarkqvGeTWrc3if2U9kkYDNJuc46YHA&#10;rHckkZoSBk6FGt2GW8zdn2xTBFnvn6U5M+WzHHXFaekQxSvseMMyr/EeCcjGB+dN6FwjzS5URXMC&#10;RW6ou3ccZq34YtfM1dWOPkBOPwNM1hVimTA4GM+/WtLwiFFxPKeFC/lRcLWdjO8QZjuVjYLyn9TW&#10;dHARbSzYGUIGKu+JMvq3HIEeOP8AeNQzLixkIPy7lwB34ppIOpWuHbKkYHyjI/Cq25vNNW4oFlW4&#10;55UDbn1qs0REhB6Z7UuoNaE8btnjp0NbtheXEEMaxbChb5iepPoKT+zbaO33pw6oWY579hU9pbJF&#10;BCzHduwcHsTSYWZrXDl4YSEf/WA/L1HDVzV9MYzEQpJw3U+5rZ1K9S109JGBI80dOvQ1zF3dJceX&#10;tB4Ug57nNUhjkuirjcBxXTWFtm3S4YDJwQK46FlLtvLD5SVx613EEq22gJK2cKgJA/Ci1hIg1GJW&#10;0UMOP3hz+VYSx5vZQGPRuDWlc6pbvokancDJI20Y9qz1P/Exl/3WpjOgJglmtmQqdtqcnPfb0rjm&#10;XDuMjg10JurI3SljhRbnc3+3XOSNuLt65NKJLHDOMZH51o6SmVkz7Vmr9wfhWro33JPw/rVsSMyV&#10;ik8g/wBo0uM96LmMtdysOzUIpaQKOCzY5oDqGSnHXPelnbywgR871yw9DUkkPkTbGIP0Oahu0WMI&#10;ytncvI9DU9NBkTvjB9aaDxmo9+celSxDccEgAc0AWdNlWK/ieRcpnJ4ruPJ87y5ZQOBlRjkZHeuT&#10;0FYZNXiWQAqMsM+oHFdpIyA43D86ljOB1Euup3KhjxI386ZZgvNgk/nT9YAGr3RUg/NnIPtTNOYf&#10;aOT2q+gjQt7SGS7InmMSBc56k/SnSpg5H3expkhAmHcYqxIv7qIeq7vzP/1q55t3PRw69wiQD7zD&#10;5e9T6jb26WUUluh3SoWH4GiBf3fIz+9UfXg1av2/0e2U4XaWGPTpUuTTVi5QUk0cuHb2/Ktixh87&#10;TJCI9zBuOelULi3bz38tDsJyOK2/Di5imjPryDXVdNHmSTTOanbbIcgj1phcE1ta7YxW9wgjGN+S&#10;c/Wsny0AX1OaBWGKQWGDzWjcKuy3LfePr6VVWNVijbGSWxWhejEFo2OhxQNKxXf7OysVPIHapXLG&#10;2tiGI3DaaqBQHmX6/wA6tlQbC3bPCy4/OgB1vJKHUNJlRIFOfSrFrcTm+w74ALrx0OKz41Ck8/dk&#10;7/59q0Avl6qCeF87nPocf/XoA7/w/wCIo1tfs9xOMom5d/AK45GP8Kw9a1KwVG+yPmUO2NpwGGU4&#10;P4isQyCyltpCXUGIplR7tUN01vd+Qtsr+byGdieRUjIbi6E7q/ljeUI+je/rVm0uNoj8tNxXIOeC&#10;cjpWbcW01s6KwADjK+h4zTInkgmJB5Ug/kaTVxJ23NpS6XwkdWjJXAQHnOcY/Wp5JfKvMuvPXr7m&#10;q900kptLlvkJfac8H/PSoGaR7nyGXByRgn0Oahp9S0zVt9STeUwAuCMeuTW9petCztniDgDeTyfY&#10;Vw7RXCXAURPnORxWtHYXciBzGxJ5PNTyhzHKIVU8kYHvU29GGPMGPcirmlaSmotIJnZVXpg9a1f+&#10;EStG/wCW835itzOxkLNaxQBNxHHqOtVE021kUss6DHZpAK6A+ELbtcy/pQPCMXa6l/IUXCxzn2EA&#10;8BSPaQU+CE28okELEDt610Q8JKucXcv5Crtp4etYYyshaUk53NQ2FjEm1a4lWNfsxVVIbA74rNnM&#10;s8pkZSSzZI/Guzk0a0C8R/rTYtIs+Mx5/GknYb1OOEMhB3W78dqkhmFqD+4dcjrXbDSLLjEQ/Og6&#10;NZsMGJafOLlOETyHkJZdvqSad5dqASJEJHua6278LW9yytE/kgDkKvWof+EWijA/egkeq0XDlOQg&#10;jR5CZDgdjV2eVDFtjxgAAc+/P9K3JvC5eM7JIwex24xWafDNwJNglQ570XQWM5YbcsAT255qVY7T&#10;cFZ+3XdWkvg+6bnzoh+Bp3/CG3JwWnj/ACp3QFAwWLMGMy/99U5LS03AJcrk8AVcPhGZf+WyflRF&#10;4cmgnjk8zJRg3T0NTcdgi0t0bd5rrt56Vj6XELm7cMeCjZI56j/69dhcS3ZtZcxnhCOPpXFi4l0x&#10;gRvjdgRwcUosGaf9l24P3yBn0qWK2gtIZnEg+YYx6n0rIOuTt1ll/BqQ6uzD5nkbByMmnZgXzp0M&#10;dsXMqFlUnqapWNsZJOWAOCSSfugd6F1g7CrMzZznIpouS0bKgHz8EgdvSjYC3PbEQfa2CGNh90N9&#10;0Hp+VVrOPcjgH5xjA7kmp5b25kjMW8bQuMbRyKq28z28nmJ95enGeaSkJrUsNp0guzCPndR8xB6t&#10;1I/KsydFE5UdN2K1vtE62yINvDl87eST/nFZsx3zSO4G7OSAO9CBssWkLyQvtj3qG649jV2KG6tJ&#10;Fk8ojJAU+9VLWfbHmOME9/enPqVw0RUxZ6fhSfYcZWdy7LBd3M+ZrVzk/wB01YispYs+WJYwTzty&#10;OKoHVLkIjqCcjDfMeDVm216NFPnvIGP1NIfW5LPapJKEBdn6szDkD8qkeztxCwzwBnFZ41pI5XMU&#10;zNvbczN1arcuoSy2pxISrKe9MHqZdvKFeU7CQSOh9qmE6ZY+U3qBSWV09qsuOSW9Pap31MsASPmU&#10;7h8o/KgCI3v7ooA3PJJ7k1Ml7GoBAkJA4yeKsJqFqy5kKA/9chVlL/TAF3NCT/1yoAy9X1Jbqxjh&#10;VSCJATn6Gq2nae15Czrt+Vsc1c124sJ7SMWhQuHy2FxgYq74XgjksZWfP+s9fYU72QIpf2JIjqzq&#10;CCcDBNbV+Gg8PyRY4CAfyrQFrDnA39QRzUd5ZpNayRneVIGQDU3uM41ik1lbRlgPLZj19TVk7Wu5&#10;JN4CkEHnrWvHpFvDHuWOYk+vNKbSInBWUf8AAc1XMKxz0sTEEZGT79qiEBCHJHT1roptMt5WALyK&#10;AP7lVf7MtgeJn/74pqQWMUIcqPTFaujqy+YCuOn9alXS7cOpWfkH0rQiQqT+9i/GhyQuUxHQ+fOc&#10;fxHtWfJuDnr6DiupMTbzzCfXmopUiRTuGG9l4oUgsc4qNtzihIt7lXHUVPLeqTgfoKgNyc5BOef5&#10;UOUuiEVTFtO3BzVoQD7OhAwxzmk89GI3ZyO9BuCQB6UrgEaOJtyAjAPI7cUy6LyIp3ZI9KlW6JXB&#10;6Ypn7juvf1ouBChbbls/jTslW3DjirKG2DcocfWnsbXJIQY9zQ5jK0QmLBhu4Oc9q2vPQnqTgBRj&#10;2H+OapxzJ5ZVAAPrUfntvGFxz61DXMdNGfKzfsT5iI6KG2SZIJx9P60t3Ok0LbkV5twIHqDWJ569&#10;2/Wpxdxgd+BxS9mdDkk9y9p6hIbiNyzFfmQ561kJfXFpcTeUxXcSTmrovozjk9McD61Umj82ZpI5&#10;CAexWrjGzfmc9ZpxsmNuLya82+c2StVguMHsKWRbqNgMsw9QKdHDdS52qeOxFaXOWwrkpbH1Vs04&#10;3T3Fsiv/AAtVpLeUxgMBk4yKUWbLj92uAalsZX2GSSRlGVwckdqZFcO9s0ZxhSDV+O3kiBVYxhj8&#10;3vSLZ+WHIhGD15o5kBUbcHmCj5gwP860/tOmGWNjNIJFVS7+WfvAdqp3JCEfIEbgHFQecAeSatag&#10;9Do01LRTHslupGAfcP3BHf8A/XUEs+iXGxv7SaJlIJ/dnr3rDM6Z+8PxNSLItJoRvyPpF5Hbwyaz&#10;GqxkZJUgkcVQlsbH55Ib6LLfdG/P8hXPai2ZxjpimWzZYqeh5HsaBnUzzs9hb287BpYyGyOwqJ7h&#10;Wu45XAOJPmGOTwKpwXaPGIrhjuX7jnsf8MVbW2ivCrtexRHHQnBpq1g1R1BtJZrdTE4yy5Rtwojh&#10;u40CtFuI7jH+NUNPsLO2YtcSm6zjYyZyv0rQCaeRn7Nc/hKf8azG9TCsLFhl4325/vVqx28g+9IT&#10;9KSzgxEPmXj3q6Ic/wAWfpTAqmEj+I/nShHA+8351dWEDvTxGo7UgKGH/vGnp5nviru0elJtweKA&#10;KjCTNOjVh1xUzCnKOKQxFU57VJtpQBmpAKAQw9KQ4I5qYUFQTRcGVmAAqJEXfmrbIDUaxLnrQIkQ&#10;LTm245pyoBSMoNBRVlZaqswzVuRKrtGM9KQELuAh4HNcH4lkEmrMF5VUA/Su7lVfugjPXrWZNpkM&#10;kpkdA5PtTWhLPP1Bd8KCT6CrI0+7PAgYn0ArsvssNqCY4FUDsBVf+0JFGPs6gD0NVzCOdTTJIsee&#10;VQn+HvUqwoJN3cH8KvSiG4lMsiTEn0NQ/Z4CcGSVB7jNQ22TYryH+EcjpmkMnzqccL0HvVk20RHF&#10;1x6FaPsg/huoiffipsxWITMwUkKc+lV3hEiMwHzGrwsZicrJEfxp/wBjucYEcZ+jimrrYLMqW48q&#10;MqBmpAMgcGpxZ3K5JhJz7ijZcLktbyDH+zmp1CwxYz12+xFNNtGeSoPoamWWTbkxOCPUVG12u4Aj&#10;Gam7FqQNYpnKr160fYJgcxnjspPAq0Lle/H1FSJOhXKuD60czAx7i1uoQXYkL3OafYWU19Ezrg4b&#10;GfwrU85NwViDnrnvWrp8yeWUVFznJAFaRqN6FR1ZhJoV2x5Cj6mn/wBg3ef4TXWKRtHyipl29cVf&#10;MVY44aHcAguRj0rZ02GWzgaJNqqTn7tazlf8ipI8Y5IxSbK2KStOP4k/75qRpJtn8LfWr4A9qCqt&#10;1UVNguigLj5PmQg+wp8UsbMMnn3qw0ETDmMUwWkJP+rFMdyXAPYmoJORgJk+/FTizhI4XH0NH2CJ&#10;uhcf8CpWC5leXfnIWGP86YkOpIctCn4gVupZAYxLL/31UotcdJGpcrJOaa31Dd/qE/ACq01veMPm&#10;t5B9F4rrzBgffyfcVG0M2MCRMe4osxWPPn0mfcR5Uq8/3ah/sudTjDf9816DJBd44KH86ozQ3neN&#10;G/GquxcpxB064z0/SkNnkYLgGuuMN0OtuP8Avqm5lT70D/gaLsfKch9glxnI+lNNjPj7ufxrtkuB&#10;xugfP+7VuN7ZhzF+aU+Ziszzw2U548sim/Yrj/nma9I2WR6xp+K0nk2J/giz9KV2FmedR2k6k/Ia&#10;sJaS8ZAFdy1vZt0CZpn2WADgJRzSQ4xbORFsf7mfoasRW6kDNu2fdq6hLdP7o/KrSQjGdtLnZagz&#10;lls3/htB+OTU6w3CDiFV+q106qBzxigsin5nUfUii7G0c6kV2RzIqj2GKkS2YffmBP1rZmvbOIZe&#10;4iGPeqL63py9AZD7LVEjFteOHz+Iq3DZcA5B/AVS/tuJuIrFnPuKVtUvHG2KzRfcmizA2EsUI5C/&#10;981MtjHgkxpj/drnlm1SQ/NLsHsKd9nuJB+8upW/GizGmjE1hYyJJomUSKckKRWH9pkchQV59qnu&#10;bhormWF0T5WK/d59qrKYAoLbwfUVcI2VmbYvEKvJSUeU0Vs7kIrgK24ZApDbXOwkqMjkqPSqy3AP&#10;S4mGOny5p6znkC8cZGOUrS6schWdw5Icc1Y0+yF1Ifm2he9RSRx7twnVj6bTTobgQJhXcE9dtZzT&#10;todGFnSjUUqyuuxsXJa1thGXDKy4BZRmoLA2UjKLtSxHcHBFZkl1LMwLuWI9auW0qmLcyLuIIqYX&#10;tqXi6lGdVuiuVdjuoSjQp5ZymODUu76/nWD4dmLWMiFslH4+mOK1tx9ao5i5DCigYVfyqcAVGjc1&#10;MDmpKsGKU0tIaAsJTT1p1IetAyM04UEU4DikA4dakFMXrUlAAKKUUhpCI5OtNXOakIBNKAPQUwsK&#10;OlKelFIelAyF6rOMmrL1C3WgDE1HT5ribzImAwMVnNYXyD5SfqHNdSaaRmkKxyxi1BVxtkP0OaiJ&#10;u1JBRgD6pXUMnsKjKjutO4jmDPKM7lUfVKFmVudkf8q6Qwoe1RNbRN1jU/UUXFYwjKmOYvyakAhz&#10;kxuK2zYWrcGBPw4pp0q0P3UZPo1Fx2MbyrUn+Mf8Bo8i3bpLg/StVtHjzlZXFRto2TxLn6ii4WKP&#10;2ZSOLlRn/aIqSOzlVsrcZ9t1Tf2VMpOHRvqKadNuAOIkb6Nii4rDXt748K75/wB7NJ5F6gyy7vqt&#10;J9luYiCsTj/dbNNZ71P+e4PsSaVkMUGdch7WJh7x/wD1qaxXbzZQA+ymj7TeqeXmA+lNN/eA/fcj&#10;3FPlQiIyQrk/YYyR7mnLqDW2Tb2caMe4U0HUbj1Y/UU0392QSJHGfQUcqAtWWrahPcojRqiE/MQn&#10;SugTOOuT9K5IXN6wBEk2fbNPSW9xkm5b65puwHWEBvvKfwFMGBwCPzrnEW6l6xzN/vZra06KWFTu&#10;QKW9etSOxeAFL+dLzim89zSuOwpUEdTSqo9TSbSe/wClKob2phYnUcdc09c5qNVb0B+hqVQQen60&#10;BYlRT/eqTb/tU1CR2IqUfWgLDAjZ4YUm0+oNSDB60jmNBlnA+pxQIiZBj7oqF1HpRcahaW/350X6&#10;ms6bxHpyDHnBj7c0ATvGD2qMxEnpWdN4mtfvRxO3uBVSTxS2AY4AP95qLMRvpB83OatLGDwa4x/E&#10;moSHEYUZ9FzSNf6vOMebIo9sLTsyjsmWNclig+pqtLPYRZ3ywj9a5A2l5Mx82diP9piakTS8/flb&#10;6DiiwG7NqmlKThg59hVKTWrJR8kLsaqrpkC4yGP1NWEtYo+VRR+FHKNMi/th3/1FoSPfNAvtVkGE&#10;Cxj3q2qjHSnYxT5UJyZSMWoTj97eMvsppq6Yp/1szv8AU1fzijIqrCuVVsLZSMR5x61ZW3iAwqKP&#10;woJpVY0rASqFXoAKdvVTzUOT60uKLATGYfwijzG9BUNMdiB1NFgOX1/MGstIAPnAYHFJaXl/d5WN&#10;IHKjJLRL/hV/VrM3hUkcpwMVlCyuYdwQlQetUhNEsuoywyFJ7SyYj/pmP6U1dSicjdptqfdcj+tV&#10;Hs5y2WphtpR/DQIvm9tGPzaYn1SRqq3UtvL/AKiExY7Fs1AYZB/CaTyZP7poAQN+dXBOUiyybgem&#10;PWqflyH+E5qzHbSyqFIIFAXN7wzMGM4Ax0IFdIGGK5bTYntdxTvWwsz46mkM6NAKmAGaiSpMipLH&#10;0hpM0hNAC0hNITRQAU7tTKf2pAOXrUlRjrUgNACig0lNJoAWlFNyKWgB2ajLCn0xiOvegCNjmomp&#10;5NRsaQDGqFt38NSMeKic4oAQtJ7Gmb5O6ClL0wy88ik2A7eD1XFBZe3600EntSGlcBN5DdBSl8jg&#10;EUw9aA/0ouAuG9zRk59PrSiQ9jTlf3FIByxs3QD86eImHUGlWbnGVqXePShAVyhz0o2jNWCykVEw&#10;z60DGBQKNid1Bo2UjJjHNADSFP8AABSCNW42irMZCjkgf8BqzGiOOQCaAM4Rj0p4jxWi/kpx94+1&#10;UnkiRsNhfc8YoAaE/CpAKpS6pYxHH2hD9OahbXbVPu73+gp2YjV+lG3J6isCbxGEOEts57lsfyqj&#10;Nr91JwpRP1p8rC6OtCZHBpNoU8kfnXEyareSHJuXx6Cqpkmdss0r/Uk0+VhdHeSX9rCCXnjGO2Rz&#10;Vc+IrKP+J2+grjkgnY52gfU1Ktm5PzOB9BT5WK508niqBQfLjdj2qjL4suSSERFHqazBYr/EzE1I&#10;lrEOq5p8orj5PEOoS8CdgPRRVR5r24PzNM2fViKvLGq9FH5VIBgVVguZJsZ3OTgZ9TmpV0wkfNJj&#10;6CtQKCelOC0CKMenRgckt9TUyWkQPyxr+VWRgdqAQKAGiPHYfhTwpoEgoMvpRYB4WnAc1AZT2puZ&#10;G70rAWSV9aTeoqttcnrUgjJ70wHb6N1G2gDmgY7J9KUUUCgBwxRkUlKKAFzS1GWxTC9AE2aQ81Dv&#10;PrSFjQASJk9eKrmEMan570uKAKb249KZ9lHpV8rmk2CgCgbUelNNqv8AdFaBUZpCgoApC0Ufw1Kk&#10;AHarITmnbaBWGRxY6VOFGOlIoxTqBmyszelPErU0OD0UUpOR6VJQpnI7Un2g+lNJ47VCzGgRP9oP&#10;pTTckDpVcsajO4mgZdW5z2qT7QfSqcXHWps56UgJhctnpT/tL9gDVanpk+9FhMnE791pDcEdBSBM&#10;dVP51FJx0NMQ/wC1nP3cfjUy3APcVQGWb1qcK2OppATvc47ZqtJekfw0pXk8iqc/DYoKJTe/7I/O&#10;onv8D7o/Oqzn2qu7HFIRbbUT/cH51XfU2z9z9arEmoJAc/eoEWX1Rh/AKYNWcdYvyNU24qMnikBo&#10;/wBssekI/E0jaw4/gH51mb+SM5xTWDk/KCfpRYDTGruf+WY/Oj+15P8Anmv51mIkh/gJ/CrCWN1I&#10;f9UQPU8UWAtnWZB/yzH50DWX/wCeY/OoDYMnEk8S/jR/oKfeuDJj+4tFg1La6rI2D5Y/On/2nJgY&#10;QZ+tUftlhGPlt5JPdjimyazIV2Q2sEY9SMmjlGaceoXMhwsW76ZqYXd2Pvxqg9zisKTVLvp9pZB6&#10;LxVKa6MjfvJGc+pOaOUVzpv7RVG/eTwge3P8qjbXrcMVDM3+6tczvz91Camis724GY4TtP8AF2qu&#10;UfMa0niQKB5du2T3ZsVWbX76QHaUjHr1pi6FcYG+YAVINLhhBV2LEe9PlQuZlWTVLyT/AFl0/Poc&#10;VA0qyHnc59TzWmLe3UjEIHHfmpfsztysRA/2RTshGQfNbAWPAz3pwjmPUgVpvbsvLI2PcUzbntTH&#10;coC1JILOTzU4s0OcjNWgntTwtAiBbdAMBRTxHjpxUwOKWgBoXjmjaPxp2aUDNACAU4Cg8dx+dIJF&#10;B6GgY4HHUUpJPSjzY8cKT+NRMzk8cCgCTd6mkL46VFj1pwFAhxkNJlvWlxS0ANpQKWnAUAIozT6Y&#10;TjpSbqAJM0bsVHmkzQBNup241XBp26gZLk+tLuqHeaNxoAlLGk3GoiT60A4oAezfWlpm7nrT80AF&#10;LimkijdQA7NJTfxpN1AD80ZphakzQBJRUeaM0ASA05STUYPvTs0AS7hRmowaXmgRrRuT93ipg7nt&#10;miipLGM3HSo2oooENpKKKBjhyaeDtxRRQA4Op71IpG7NFFADmkUr0NRFh2NFFAhikbqlD/WiigLA&#10;WO01Sm5OTRRSGV3PaoH60UUAR4JJCjJ9BSG1mcjEZH1oopMRDLZBf9bPGnHQsBVTdpqPte4LH/Z5&#10;oooCwrXFjGRst5JD/tHrSSaiU4itYkHuM0UU7ARHVr0LgSBB/sDFV5buaUjzJnb6miimSRfaFA+U&#10;85pftAI4BJPXNFFJBcckF1Kcqm0HuTika3cPtd+RRRWgXNKHQJnUM2CCOOauDQWRAVVST2NFFKwE&#10;0WnmH/lkvPXPanMJoBhGOR27flRRSArtLcSZ3OfpTSMnlQaKKEAwrg8VIkmOAWX6GiimBIWBCliz&#10;Y9WqIsC/AxRRQAYoV9pwQCKKKAJzJCFyVzUZmhPCoc/WiigBgMmMheKjZmbqe9FFAC7Gpw60UUAO&#10;HWloooAKUUUUAKemeMUUUUAIW5o7UUUAFFFFAB3ooooAKC3aiigYmaKKKACiiigBO9LRRQAmaUHi&#10;iigBKWiigAFOHNFFABRRRQAUHiiigAyaaZTRRQB//9lQSwMEFAAAAAgAh07iQICRUVgciAAAEogA&#10;ABUAAABkcnMvbWVkaWEvaW1hZ2UyLmpwZWcAAID/f//Y/+AAEEpGSUYAAQEBANwA3AAA/9sAQwAI&#10;BgYHBgUIBwcHCQkICgwUDQwLCwwZEhMPFB0aHx4dGhwcICQuJyAiLCMcHCg3KSwwMTQ0NB8nOT04&#10;MjwuMzQy/9sAQwEJCQkMCwwYDQ0YMiEcITIyMjIyMjIyMjIyMjIyMjIyMjIyMjIyMjIyMjIyMjIy&#10;MjIyMjIyMjIyMjIyMjIyMjIy/8AAEQgBogJ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MdadTQpp4FADE/15/3aaB/pJNOAxc/VaDxOKaAt&#10;J96pl6VCvHNTL0qgH9vwpYf9Wf8Aeo25FEP3CP8AaoAlHU06mE4o3e1Ax+aijPzv9aXOTUcf+tcf&#10;jQIsZGT9KZKf3RoyRmo5D8hFAEyfdX6UhPNMibKL9KU0APyKCRUeaRs0AKy5qFkqSg8igCoRg00m&#10;rLJnNVnjYDI/KgCNjSZprMRwRzTd3saAHkg1HvKSAg4NBYY5FRs43A5GPWgDTg1PgJONy+tSy2cU&#10;6iW2YMOuBWK0yDuOOtJHetBIGiYjHbtUgXHVkOGGKM8VPDqdtejy502Of4qhvbOaKPdCQye1IYwN&#10;xTJ2/cP24qjM80casZFw3oaqtM5HLEjvRYDaSVBGCWHT1pj3kC9ZAfpWLuA+lMMnPSiwrmu2pQgc&#10;Bj+FQPqf92M59zWaXPpTSxNFguXW1KY9AoqF76duspH0quFc9KcLWV/4TTEDzM5yWZvqaj3irAsJ&#10;iOgFPGmyHqQKAsUmYdhTN5zxWoumD+J808adCOtTzAZ1pdz2k4kixuB6EdRW1qFsmrW/220UiQD9&#10;4neohbwIQQtTxTtAwMfyj0p3GkYBtpegQ5qWKwmccoR9a2ZZhJKzgYyelN3ccUAUE0xh1cCpE05P&#10;4mJ+lXN2KQZzQOyGJZwr/Dmp1iiXogpo+tSAZoFYdgDoMU4UgU1IBVJANcfum+hq1Cn7tfoKhK5R&#10;h7Vft0yqj2p2JHIhzVhU4p8cOcVOI8CqsBUZahkFXWTiqkwoYrlKSqrnk1akNVH6mpaKRETTDTmp&#10;hNKwxDUZpzGmFxSAQmmk0hcCmF6TAUtxUDxBzmlZwKA3y0gNLT9Ot3tpZpkyFBPWsw7FY7Rxnit6&#10;5ZbXQeBgyYFc0XySelICYvSeZUBY00k+tMCcye9ML1FmkOaAHl6YZKaQaQ0ALvyafUa/eqSgAooo&#10;oA64U4fdptLiqsBHn/Sl/wB2lb/XrTWGLhD7UsnDg0gLSmpk4quPu1JIWEI2cFetUgLQ6UyDkyD/&#10;AGqIQ3l/N1xSQn97IPemBMfu0maUmm96BiMeRUSN++f6CpGYZHIqu0qpOSWAXbjNIZazUcjZQ/So&#10;DdwgcuPwqN72MggBjx6UwLMLfulqXPFZiXpjQAJnHvTWvpe20UCuamaQsO5rIN3Mf+WmPpUTXDk8&#10;uxoC5stIq/xD86YbqMdXFYpk3c4LH3ppf0AFAGs1/AOd2T7VA2oqM7UJrNLMen8qTDn1/KgC1JeM&#10;/RFFQNcuf48fQU0W0jnjNOGnzHt+tIRE0rN1cmp7K7SGQCVN8R+8pFOXTXPVgKVtOKDOc0rgXG06&#10;2vE8ywlBP/PM9qyJ4poH2SxlG9+9WVTyZNykqw7jg1pJqCyqI7uNZF/vY5FO4HPjeeKuQXt1CjRh&#10;zsI6GpWCZbYOAcim4FK4FxobK404Rq26fqBjnNZdzpk1sSWBxU+SrZBIq5FqYCiO6G+P19KTAyVs&#10;gyhi/wBakFlGOpJrVmtIJo/NtHU+2azzuQ4YYpXAaLWIfw1IsMQ/gWmGQY4pDJmlqBYAUdABRn0q&#10;sJMUu8+tFhk+TTS5zUXme9NaTiiwx+/NITUQcnrSlxSsFx5pKZupC1NIB9KDUefelBpiY+pRUQp4&#10;q0hEgFSrUaiplFOwrkiDNPCUKKmjSqSFcEjyp4rUghxjjtUMEfy9OtasMZwOKtIVxqR4FOKcVZWI&#10;0NFQIoSDArOuDjNa0y4BrJue9DQ0Z7tVVzzVqRetVmWoYyJjUTGpiKicUDInORUJzUrelMI7VDGR&#10;MDUZzUppjUgIiDU9vF5pjHvUJNaejR+ZcoMZAOTQBJ4icKltbDoq5NYPatHWZ/O1OU9lO0fhWeeK&#10;kBppOKXFJigBKKMUHigBDTCae1Rv1oAVfvVJUKfeqagAooooA6vJHVT+VSI6kcH86pEXsfO9iPan&#10;pedpogffoauwrkzsvnIc0SSITwwNQD7JMfvGNv8Aa6UwW487CHcPUd6dguXVu4l4J5p/2tCpAzzW&#10;e0UiP9049amRGI4FNILl9bv5QAv60C4YOzDHNQpBIccU8W7lgMGnYBXuXx96oHlYjlzVprJiOSKj&#10;Nke5osBTZye7fnT4LpYiweLeh6g1Y+xj1o+yRg880rBcUR2VyMxP5Tehqvc2FxFkgb19Vq0sSL/C&#10;KkSV4sFSRUhcx/KlJ+6fpinraSOeRj61rSTeYOQAaiLe9K5Vil9g9WpRYAdWq2TSF8daLhYgFlEO&#10;uacLeFT90fjTi/vTTJtGTQOw4pGBwopvTsKQuCPwphekOw5icU3zMdKYz8VEXpXCxbWcEgNUuQeQ&#10;Rism4chRg96esxiwVJoFY0XjWQYI/Gqslu6kleRTo75T95SPpVlHV1yp/KhMdjOOQeRiitB4lcci&#10;qkkBUZXkUybFYmmOMqRTzkcEUwnmgRXBkjG0Nj6VoWE8MqvBdt1+4T2qjKah4osBq3mnSQDfGd6H&#10;uKz93XNS2upzWgC53x90ar/l2WqrmBxFP/cNIZl7/cUu8etR3VvPaSlJVIA6H1qvuPrQIueYKC6m&#10;qYNPWgCZnCkU0yCmSjOKYBxTGS+YKXzAajpVoAkDE1IrVGBUijiqsIkU1IppqCp405ppAPRTxVlR&#10;SImSKuRQ+1VYhjY4yR0q5BCD2p0UNaNrbEnpVpCHW1t8o4rThg46U+3tsY4rQjg2imIqiEY6VHJH&#10;14rQ2e1QSJgGgDEulxWLcLkmt+7Gc1jzL8xoYzLdagZavSIQarOtQyio4xUDirLrULrSAqsOaY3W&#10;pXWoyO9JoZCwqM1MRUZFQMhIrd0RRFbT3DdFXOfSsQjgVrmaODw4yK4LyEBhnkD3pMDDkbzHdyer&#10;ZppGaWgikAykxTj1pKAG4prGpMUwigBhbNMkOCak2ikcZJ4zmgBidakLU6CBnPRh74qf7Kndz+VA&#10;FbdRVj7PD/fP5iigDaiWaNuJePSrqFZOJlVs98VRSQ1Osma2JJzYwMSUO32NLHEI2ymc0wSYFL5g&#10;PegC0rjfk81aUQsOUwfUVno2Wq2hppAXYoEdcxyD/gVK1vIkm8jgDtUMGdv41MXfHysRTC5G+Nue&#10;arM4z1Bq0JPLBLAMD2qqxtX4G6M+p6VLAYXFML0rwMx/duHHsagdJEPzKRUsaHmSm7x61AzgdTTD&#10;J6UiiyXFNMmKqmU0wyE0WEXDKPWmNKM1TLmmGQ0xl3zB6012DqRmqfmGhXywoAtGTaMZFRmYVXc4&#10;Y0zdSsFyw04qMzVCx4ptMVyVpA3UU3zT6VGTSZHrQFybzTQtw6nKtg1BmlpBc0odRfIEgBHqKtLN&#10;FIMowPtWNn5cU0MVOQcH2osO5tSRK/Xr61TlgdcleRUEd+yDDjd/Op1uUkHyt+FTYCnJ90kgg1XJ&#10;6VeuQDGTVEqcKaYgcfLUKuUYMpII7ipXPBFQUAbdtrCtGIL5BIh/i7ikutJVk8+ycSRnqueRWQe2&#10;antrqa0cNE5HqO1KwDNhUnIII7GnBfetZZ7PVFCzAQ3HTd2NUbqxntG+YZTsw6UAQvzimU5mBxg0&#10;2gApyikUZNSLVJAOValUc01RmpkWmBIiirEa81HGvNXI0PAxVIRNDH3q/BGTjrUUMecYFadtCc9K&#10;tIljoIc8Y5rYtLbgcVHa2pJGRW7aWhwOKYhsMHAyKtCDjvVxLM8cVYFocfdNF0FjIMWB3qpOp5rd&#10;ktWAPy1m3UOFPrSuKxzV0vJrKnSt25jJJ4rLnTnpRcZkyKTVV05rUeI57VTkiOTzUsq5nutVnBrR&#10;eFj0DH/gNQm0kbpE5pNoDOZfU1Cw98VrDTrhjxAfxzS/2Pcn/lko+tRcowyKjbnpXQjQ5z1Kj8qP&#10;7Cc8tPge1S2gOcVC8qoAck4rW1cFba3t41Gcbm7GpbrTFs1W4jnV2jbLKe9SRW1vdn7VeSruPAQH&#10;oKVwsc55D+qgf71Hkg/8tB+HNdULfSYx93JoM2nx9IM/hSuFjlfs4OOXP0WnCzY/dikNdQb+3T7l&#10;sPyph1baPlhSlcLHPjTZyuRbN+JIqRNIun+7AB+BrXbWZsfKqj6Cqkmr3bdHAHsKLgUptLuIU+ZV&#10;H0FQG2lH8R/Cppr25mPLsfoKu2SsYgX7+tMDNWzeRsEufrzUy6WCRuBP1FbEa/N0qcLnrVJE8xjj&#10;SEx0ora8sUU+VBzGMoqVRgUirUqgGtiRvNABqXaPSgLg0wHRZzVuMGoYY8mrscfSmkJksQOMVNil&#10;jjPpT2XAp2ApTE7eKz5CeRmtGUYzWbL96paBMrsxBGCR9Ket3PHwHyPQ80x6Y3NZ2LRYN0j/AOth&#10;BPqKaY7WXlZNh9G/xqsTzTCc0WHcsNZyj7mHH+yagZXXqhH1FJvdR8rEfjT/ALZN0chx6MKQERqM&#10;/eq0Z7d/vxlT6qaY0EUnMU6/RuKB3K9C/eFPktpo+SmV9RzUWcNz2pCHSH5jTM0kjAkkHimE0wFY&#10;03dQTxTaAFam8Uhak3cZ70AOBp9RjmnrQA6kNOxSGgZGabnB4605qYetIB7TuybSaZ5h2gelNpme&#10;TQwHs24niowKfRSAG6j6UUpUtjAPFKqMegJoAAOKv2upyQL5cg82I8bW7VVWCQ9Eb8qeLOc9In/K&#10;kBaktY7iLzIHXOT+7H8I9KoMrISGGDVmKyvFYFEZT61daMtAftURBHRl60DMpTUqjNTW9g8ylhgK&#10;DVxNL5+aQU+ZCKSDmrSY71cXTbcYzKPzqylpaKceZk1SApxKuc4q/EhOOKmjhtFxyavxm3GCFqkS&#10;0JbxdOK2bW3YnpUNtJCVBVMVr2syhh8oxVCsbui6BLdgPtwncmusttCt4VG7k+1ZGka15NuI2UbQ&#10;eMVtLrELLkA1DuxxLSWNunSMH61IIIh0jX8qqf2tF6GoZNYVfuqKmzGX2tYHGDGv5VzmvWVtEAUY&#10;AnqM9KludalIO0hfpXN311JOxLN+tNJhcpTww5OXFZ8sVqCSTmppyADmRKz38oZ/fjHsKvUQj/Yx&#10;0TJqs81uvSAUshhB++xH0qtJJb443n9KQWBrxVztiUVXe/fsiimvNCOiE/U1A1xFnHkJ+PNQxjm1&#10;CbHDKKga9nb+Mn6UrXOOiIKjN1J7D8KkZHJNOynmTp7iq0S3Hlr5iuWA571YluJfLOHIOO3FUIrq&#10;URWwZnYt1JNFgHWsD/aJ3dCAegNS+S+MfIo92FER2ROe7NSGpsFxPJ9ZkH05oMcYGDOT/urTCetR&#10;N0qepVyRlt8ctIfwFHmWqj/Vsx9zUDNx1qIt60BctPdQIvy26/jVd9U2DCQRj8KqSv71VLZPtVJI&#10;kuSatMeiRj8M1p2jtLbJI+Nzc8dK509K6G04s4v92rSEXI/vVN3qGP1p+TTIZKOlFR7jRTsKxREE&#10;g6oakVCOxqeOC4QcZ/A1OrTLw65HuK1VhlULmlRMtVwOjEBoV/CporeGQjAI/WgVytAh3GtGKI+l&#10;aFlojSsCmTn2rYTQJwANhoU0htNmAI8DpTZF44FdC+hzL/AapzabLGPumq9ohcrObuBhTWXJ96ty&#10;8tZFJwprFkifzSm07vSpeoWKrdabUxgkMmwKc082M4GSqj6uv+NKxZSPWmGrpspD1kiX6v8A4U37&#10;EB1uI/wBP9KhgUyRimGr32OL/nsx/wB2M0fYY+wmP/AMUhmcc0xuTWm1iOMQzf8AAiBTTZ4/5Y/n&#10;JSYFCO4lj+47D2HSpGui6kSRoxx970q4lqhPK24/35M1N9lQdZrQfQ5pDMzy7d1jxIysfvFhxTv7&#10;OmkUmArKoGTtIzWiYYgMG6hX6Rk/0qCcbImMVy24dcDGaLgjKkRlwGUj60wDLFR1Fa1mEIZLksT+&#10;dMtrW3jun82IyKfunNFxuJlOpHUUgXI45reuY7ZoHjitwHIwDmqVu0tpIzGBXG3HNFxFNYm/ut+V&#10;TpaTsRthc/8AAa2Y74GMHbGGxnFSRXchj5GD/umi4GWmmXTEAQtQdHujztx9TWwZpmQ7RITjsKrx&#10;/afJUOr7wOeaLgY89jNCPnWoo7VpF3c1tvFIw+baB/tOKiECoMeZEoz60rjMp7IrGz859KrxQ8/P&#10;xn1rcKxAczqfop/wqvKtoAGLsef4UpNhoVlsgDViC2iRv3q7hUrPbDOPMP6U1Jrd0DeW/I6FqAJw&#10;1qn3bcfjT454weIlH0FQCaEdIPzY1Is8Z6Qxj6jNAJEzXSjvGv4iqkt5Opyu0j25qfzyBwkY+i0o&#10;uXHQgfQCgLFH7VdtyN34LSf6dIMbZD+FWpZJZP8Alq/4HFUpUlU/MzMPUmgCzbpdwnhMDuG4zUjQ&#10;ljkOoJ/h3A1mgc8ipF4II4NNAX1jKHDSIPrmrEUcZk3Gden901Tjusrtl5Xse9SpGd26M70747VS&#10;0EaiJETzKT9BV2PyFXl3P4f/AF6x4pPeriMCv4VSBm3BLb7FxuxWpbSRZGFrm4W+RB9K27M9KpEn&#10;S28ygABf1rQS5IHGAKwoZORVxZOOtVYRpG8YDrUEl2f71U2nGOtVpZQe9FhklzeMc/MfzrLmuDg8&#10;0k8+Seapu/FAhk02W5qmCTnHrT5Hyx9hRGvyfif50hohYk1BJ0q0y/LVaUUmBWfJFVm/1qj1Bq2w&#10;qtKB9pj+hqWMaw4ph6VMw4quh3O4z0OKgCCVyHEY7g8/Sq9vlo7b1GasS4+0x+6t/Sk0uMST2g6r&#10;8zH2ANIZZubdLZxGpJIUEk+pquTU1xJ5k0j56kmq7fWkAwtTGYYpWx61E2D3oGMkYY61Wd+4NLcO&#10;AnWqpf5QM9qBCOxNNGaCcmkBpgBrpLdcW8Y/2RWHbWb3T4A+UdSa6FUwAo6ACmiWSxDNSbfanQJk&#10;VLg1ZJBt9qKnwaKYHey6R4jhObvw9aXI9Yk5/wDHTWdMtquReeH7y3Pdo2P8iK9q4IpGRWGGUEe9&#10;TzlWPAprGLLSxbvKPQOMMPr71JZWcLHcRxmum8aWog1S8MahVIDADp0z/jXOWfNujD0q73QktT0v&#10;w2dLSzVTs83/AGq6VUtW5URkfhXk9rctGByRitaHVpEA+c8e9ZuLKPQzbW7dYkP4VWm0ewnHzwqK&#10;44a5MB/rD+dQza5Kyn94350uUY/xX4atrazaa2nOf+eeea8tvUInyNwYDkMea7e71BpiSzc+9c5d&#10;wSuxZCKpOwrGIGLDBtyzepNMeVkGDbKPrWg2n3jAsvmbfUDNU5rW7H3mJHucGrAg+0SvwkMf4LSP&#10;Ldj+FV/ACmvHOnWI/lULMOkkVIQ9nvH6zKv1dR/WoXEx63afg9RuFPTK/WojGWxh1/GlYB7RA/ev&#10;V/8AHj/SmmK3HW6J+imozBLxhSR6io2VgfmB/EUhk3l2g/5bSH6IP8acrWi/xSt+A/xqv7Un4mlo&#10;BdE1ov8ABLTTeWoXHkvj/eqoelREetIDRF3B2gP4tSi8QOV8hdvrmsynAn1oHc2BcIekUY/ClM24&#10;Y2pg9sVkCVl71KtyaaEXxEhOQMH2qaEy7crISAT1+tU47kNirdtINhGe5p2GPeWVUbgsQOoNVIJf&#10;3Cgn5u+TVsOuHHHJphZBwQOeKVgRXbLSuD0wMU1gR0qXahkYDIIA6fjQUb1DfpSAqn7ucZGcfrUF&#10;0pFtIQOi1bKFYpFxg5JHem3ADWku3n5D/KgCFYyYxj0oQEFAe4NTgDyovfH8qZF83le2R+lSMdtN&#10;SKmFpWYKRwTk44FPIwnvkD9adgIGLCYLnjBP8qXBpzAfaxnpgj9BRKwTbxnLYosA3IFO303Io3KA&#10;SaQA0McnIODUJhdO2RUwcEZHcU5ZRnBHamIrgAfWrEEjwtlGIpzRpIMjg0wxMvvVLUDQjaG6IBYR&#10;S9j2apSHiO1xj0PY1mx+nSr8NwUTZIA8foe1UTcv2zZVPwrbtmGBWDbtFvUwtkf3T1FakE2MCrQm&#10;b0bgEc9qsrKOayBcDI57VIbnGeetUIvvNzVSe461Ue7wT8wqnPeD+8KBlky9aid81SN2PWk+0j1q&#10;QRIp3ecc9uKsJgJ1qnGGYtgcGrIVgoFAxkpPk+9VndSeSKfMDyMmqTAk0mBIzL68VVlZTcIQQQBR&#10;IDg8VUbIBI61Iy27DFU0fDS8/wAVQvM5FVTI4yc981IEzyF51JPTcKdp9y1rCx8pm+Upu7Lms/c3&#10;mA57mtK9kMGkWsA+VpWMzfToP60WAQ3CjuKga4XnmqDEnuaiZueTU2GXXulHeoXu1qkzeppm5fWi&#10;wiWaXeOKjUkik3DgUokQcZFFgH4q3Z2TTtuYYTuaito0mcMzqFHUZArbjYKgVdigdtwpMaJo0WNA&#10;iLgCrCryKxbjVVS4SGLDsWAJB4HNdEkZ9KuKJkTQR4SpNntUsKHZzT9ntV2IZW8uirOz2oosFz6F&#10;T7tOpkfKZp9Ymp5944izey8feh/xriNNGbRfqa9B8aJm7jP96HH6muA0cZtiPRjW8diHuaCDAqbO&#10;BSKlK6YFILjTJiq8knXmlbOaryd6TZSGO+TUTHikak5qboZ1Oj+BLDXNMTUHuLiG4YsCY2x3qvq3&#10;gC/sUR7fWnkVm24mXJHBrrvAbZ8O49JmH8q1NaTfaL7OP5VSZLPLb3wZ4lhtxJ5NhcoQD8pw3P5V&#10;i3Wjatb2/mXPh65CgHMkTbx+PWva5wz6LwSCIxg1U2n+xDu+Y4OT681SEzwCZ7XdiWKWM+jJ/h/h&#10;VSRLNvuS55xgKf8ACvVdXtoi5VkVhgdRmuK8RWFvHaJPHCiOsgyVHvSaGmYcmj3EYyEdcjIJXFQN&#10;a3kfXJHvXbyq40y3Lj6N+FQW1vJc3UUETqksjhUdhkKScAke1Q3qVY4srL1a2De4/wDrVGyw90dD&#10;9c16rP4F8Sxn/UaTd/QFCayLrwrrMefP8MTEDvbTB/0OTTsI8/MUR4WYD2YYpj28n8O1voa3tTsY&#10;rJ9s+n3tsSPuzRFTWQ0VpnKyMPwp8oFLy3XO5Wz9KbkDjPNaraTdx4dQ+CMglT0qE2dyGy0IY/hU&#10;sClg4p4XIqyYdv8ArLd19xmnJBG5AV2X6imkIijQmrKKVFatl4euZ1DRruqebw9dxg7om49qd0VZ&#10;nPPI6k81C07lhnsc1cvLV4XYMpBqgyknjrTEPF2fMY46ipftXy9KqC3nJ/1Mn/fBqUWtyeFt5j9I&#10;yaljHrcuu7Hc5qM3TCMrIoY4xzxmnjT75ulpOf8AtmamTRNTk5Wxmx7jH86nQCtFch/lYFAvTHNP&#10;g3ZX5lJB5wfapJtJvLcfvbaRR6hcj8xVCYLEVZ1YjpimrMCy91KtyEKER7s5xVlrpSo57g1lw3Ew&#10;f5WYr6EZq8k3mHa0K8987apIV2Nlu1EwYe/8qY97u7HjmmXEKK3J8snpnDD8xVcxzbdwCuGGAVNS&#10;0O5Y+2/7NDXe4YxVDE3daQiXrkUhl9bl1UDA4pfPYiqaLKx6ip40UxkPKVbt8uRTRJOLp89anivW&#10;6OMrWbh/7xpyo5H3jVAb0flTKCjYPpmphGynPUVhRq4OdxzVqPcSP3jfnQkDNiF9rZHBrWt7uOX5&#10;ZvvDo69fyrnoEGfvGtG3ZVBBXcO1aIlm0yOq7wQ8f94Hio2nGwZaqMdw0edjEE9R2NK0kcy4OEb9&#10;DVCHyXCk/eqpLMp/ipsqlGwy4NVnA3HpSuOxaWVGPWuh8PaDca5MVt03BRliTgCuYQ/7Nb+j6nc6&#10;ec28jpn0qWM9AtvAEyL+8liH0NWJPAh24WeMfUVz9v40vUi2uzufrUNz4vu5R92XP+8aj3irkWu+&#10;F5tOcA3EDBum0k4/SsE6S2ebmIfgaluNUmuJNzW5OT1ZqrPcSnpbJx6n/E07MNB8ehi4fZ9sTd6A&#10;df1qYeEoiTG92Q546fXH8qordXsUgkiijVl6HHSibU9Zfnz1U+qgZqWn3FocvcJNG7xsMMCVwe2D&#10;ioJlZCoVwwIycCtWSymlZnaRGZjkkmoHsCEZjMu1c5wDQDZlRxyvIAiljnGBUuozNdXW8DYqIqBT&#10;2AGKvWKLb3IkbduUnGEPBxwaVtNTkmUn/gNGwGI0Z/vGomjHqTW2dOjH8bE/SoXsEHaQ0XAximWx&#10;SGIZratNPieVmaNsD1q6NOtgc+UKBXOcgIjct5YY9BkVat9MjnG6X5Qa3ktIF6RKPwp5ijz90UBc&#10;xX0a1CFjMygeuKzpbNVnKJIduM5Irc1IKAgMiJ165/oKp/2dNKwkBXY3GeRn6DFKwylY6e731uQx&#10;bEgYgDsDzXeohHHeuesHMV9bW4MaFm5VSS3411Ijq4kyJYk+WpNhp8K4Snlc1ZDINtFTeXRQKx7r&#10;BzCp9RUlUrKdPskW5wCVBwasNcQjrKo/Guc3OV8Zr+9tm9VYV55pi7DKp7Oa9G8XSRyR2rI6t8zD&#10;g/SuAtlCXkygd+fzNax2IZfUUkvSpF6Uki5U/SkFig3Wq0inmrbDrUDKTUyKSKbIc0CrBj+ammPD&#10;VJR6F4Bb/iSzL6TE9fYVuaxkWJOCcMK5/wABf8ed2vpIvH4Guh1bH9nydOCD+oq0QxiHdopOD/qj&#10;xVSPL6K4CjO045q1aHfo/ttYfzqCyJbTCCMcGrRN7nE6g/mqHZduV45rlPEQH9kOfRh/Oup1Eq3C&#10;g5GQfzrl9dXOizetAF+VPM8OWcg9v5VX0s7NVtD6TIf1FXYRv8KW3sRVO1QrdwsOzqf1rKWjNVse&#10;35waXNN7CkqyTjPHKgtbEj+Fh/KvL/EFrEdKnkEaB1IIO0Z616p44/1dqf8AfH8q811gb9JvAQeF&#10;qkT1JFiZdJtHJyCOKW30b+1Vci6kgaP+6AQc+ufpVgLu8MWLj1x+lXPDx5nz6Kf51C+IroVbnwTq&#10;EbQ+VqUEu+NWxLFjg/Ssi50LVNPvGSW2t5ih6o3+NejXMay6lpzNj/UL+maytbP/ABMZ/qP5Vpyk&#10;3LmjeM1QRWtzpcEUm0dABmtW48W2qoxawgwOpbAArgSM65ZLnAZTVqQhdR2MgdRJgqe4qJRsWmU/&#10;FZOvSJNZWkEQQc+VyD9cZri5rC7iIPk4IOQyHBr16Tw1olxo0l1LpyLJxzGSD1/+vXI6h4eijj3Q&#10;XFygz0MhI/WiwrnIpq2qWgA82ZR6Ou6po/E950dIZB7oVP6V3N7paY3iIK3dQOKx5LcRvjy1/Kpa&#10;QzCfxLKv/Lh+IfP9KRfFNxgEWhA9SxxWy1vE/wB+NT9RWVc6A8xkmt9qpuwVzmo5UMjfxPePx9kj&#10;z7sc1BLq1xOpV7K15/vYJ/nUTaZLGSoaAsDgruGRVjTtJury9igSJS7ttGMYqkkhGcLd5JC5WNcn&#10;oCAKJLdgPvIPxr1SD4W33lAu0IY9eRxXOeKfBeoaFai4m8sxk7fkYdaq4WOFeDP/AC1jH4n/AApq&#10;2/cTID+NSvvU8/yqFnfcAGPSgCVIJCMNKrfUUpsYyuS2P90VUd5R0dvzpiTznd+8bj3pAXYLPKkj&#10;d6HIxUrWChgC5/KqXmTYUrIT7A9KGedj96nYRc+woBnLn8KUWsYQE7xVANIrje3HfmpVRm+7NgHo&#10;TRZgaRtYkGct+eKnW2hH/wC1WSUuB0fd9DSjzsj5jTQG9DFBu6Dp/eq2nkgc4/OsGIP13mrBY8Yc&#10;j2piNvzIT93bn3pjjC5wpH0rIMgCY2/N/ezTPtMqjiVqYGlJKSMFvk9Mfyqs0wB27uT6LVMShz88&#10;rg1G5XOQ5bnii4jX+1Koxn5vpir8N2iqAC2awYXST5ZST6P3H/1quCMpg/eT1FNAbX9oIPWhLrz2&#10;2KhasbIHXrWvoOrnSL0XEcUbtjGJFyKYzTg0m7dARbScHPQ1Be2dzaRM8luyj1INdUPiNchOIYVP&#10;stZmreLdR1a1kt5CohYcqqdajVjOOe+2k/KtQPqJOcbRVqe2XJJXA+lUZIGMmVjJB9FJoERNfyAY&#10;DIPyqvLeT7SpYDIz0p1xA8TgNGykjOCO1QOrEfdPA647UrCFmvJYiqq7HKgngjrUD31wRgM/51bv&#10;Ec3OMbtqqMoPQAGqrQSf3D+VICu95cNxubH1quzzMeTn6mrZtpmb5Y2P0FL9guT0jNA7lzRkIhkL&#10;YOWrU2j0qHS7Rooip+9nrWj5Gaokq4FIVFW/s9KLcntRYLo53VrpbWaFmiVzg7d3QVmT61cSrgAJ&#10;ngsPT+laviG1d7mBEA+4TywFUoNKK4eVJPYgAj9OtJlDfDiM+uW55PzE5/A16IFOea5bQlYavGm1&#10;iNrEkx7e1dgqZOaqJLHqmFo2H0qdV+UUu2qJK+2ip9gooA04/iZaWLC2msZ8xAISpBzge9W4vijo&#10;rAB4bpOOf3YP8jWnZWGmy6dbSTWULuUBJMYJJzz/ACpz6Norod2mwkkdowKVka2MiTxTpmvQrFZS&#10;SF4yWZXQrwe9YkZH9pTD3roNS0rTrOATWNokEhbDFRjI54/lXOqdurMPUA/oP8KWgramoo4pxGUP&#10;0pqmnZyDUsEUmWoytWmXk8VGVqGykVyozTWTnNT7KRlpDOs8DNtF6nc7CB+ddLqnzadOO+3I/OvI&#10;NY1bUdGtYptOuXhZ3w5X+IYPWsgfEDxNsKm+3gjB3KprSJLPcNPbOlng8bh0qCxlD2coGSAcdPav&#10;ILX4k+IrVNga3deeCgqxF8VNbijZGsrVg3XEZHb61XUg6G+iKySHBwWOPzrndXTdpNyPRCaoXPj6&#10;8uOHsoh1xjNZtz4qa4tpYWtlXzFK53HjIoYzstNxJ4UhHpj+dRxRhZFPoQaj8M3Udx4a2AncmAc/&#10;Wrvl9KyluaLY9YU7lBHpS5rkYviN4ZQCOS9dHX5WDQvwR9BVhPH3hl8Y1aIf7yMP6VaRJD43XNrb&#10;H/bb+QrzfVR/xKrzr/qya7bxL4k0TUrSFLbVLZ2Dn+PHb3ritVltVsLlDdQEvGwXbKDnj2NWiLal&#10;uyG/whZZ7MP5GrmiLslmOcZUVU0T974Qt++CP5GtHTV2SPnjK9/XNZ/aRb2Ny4OLzTCO8K/zNZOu&#10;ox1WUL0OP5CtuZA9vZSDG5I8dOnzGqep3MltfyFIo3BC8um7sP8ACtTM5Rvl13TifcVbu1K6w/HA&#10;l/rVe+naXxDp0rKqlmPCrgflWndQ7tTJ9ZM/rUSepcTqIhu8OSDHZT+ormdS/wCPciurtYidHni9&#10;AB+orltTGLdh3B5poTNS4tw8KnHUVz97Z4YkCur2hreM+qj+VULi23Z4qWUji5IirkYq1bQj+y7i&#10;TuJBVm6tiLhhipLWE/2XeJjkSr/Ss0Oxbk02yufCUUstrCZPNA3bBk8HqfyrnYtOitdQtJbddrGX&#10;ZweK6wxt/wAIeFHaYfyNYjR7Z7AEn/j5H+f0reysZvc1Pt944mjju5Y2jzgZJBxXL6yL25GbiYSo&#10;GGeuea6NEYXl7gdN/T8aybxCLWUkD7yfz/8Ar0lHQfNrYyk8GXF60gsUMjxjLrvCnH41gyaNMLQX&#10;YgnEBz+8MeR+leweHY9uq6lx1jHFZFjCG8EnP/PKQ/q1TYu55U+mSMwAQHIyMHHFbPh7wJe615ph&#10;8uNUOCZJVH9a0/sO+a2VV5NojU3bLaSHGR70rBcfqXw5udJtXubmaFooxk+XKu78BmuaFrpbtj7X&#10;cK3oYs/yzXZnThf+Hbi9eWQSxKxHOQce1c9qekx290YmQA4ByPcZpaoVzO+x6O/ytd3Jx1xFj+lS&#10;NbaWI9sUtxnHUqKjOmxg8Ow57811FtL4Shs0S50y7eYKAziUcnuelIZxTQospVJQQO5YAmpYwq8G&#10;RGHu4o1OKym1hxYRyRwtnYJGyR+lFtpE9zcpDD+8dzhVUck+1VcViwqQk/fC49HBoxGQuJAQTjkg&#10;EVry+D9QsbUzXUbRIOpMef5VS/suOTgXKnPohp8wFRo1RvmdQPUnioXMQ/5aL+v+FaM1iEjCpcHI&#10;HdCKqGzBHLA++OafMIpl4gcbgfzpQ8QfOTj6GpmsOchjU66cmfmc0roTEhlt+nOf901bW5ijXCNg&#10;Hr8pNNi0+MAZYmphp8Y/janzDIxLA5UfMvuV4qZZI42wyNnt8vX9afHpscjBdzZrutJ+Glzc6bbz&#10;/aYQkyLIAc5AIzRdAcZDexI4by2JB6bRXY2ni3SljVBoauwHdq0V+FL9WvY8/Q0+w8BT6frTeTfR&#10;ho4hKG2E9SR/ShtDsYWrau95CBa6Kbcg53JnJrmX1u8ticJIp75YcfpXtP8AZepSW/7zUkQHgELX&#10;Map4At0tbu9NykjJG0pBjPzYGfWlcdjy+71Se7lV5VZ2AwMv+nSq/wBoaSRYzEAHbbncTXsEXwys&#10;bq1hfzI03KG4Qnr9TT/+FU2G4MLlgQQQQgouhWPGJbqTc/7uM8n16VXNzIWwIox9Qa9lf4Y6d/a8&#10;Nsbl9jwvIcKOqlQP/QjVfXfAem6DbR3EJMpd9hDqMYxSugseX6bH9qEjSov/AAHirn9m2/UofzNb&#10;9xYIuDGgUE/wjFQizOelVEiTsVLC0SNDsXHNXRBVq2ttkI471OIvarsSygLcGnrbCryw09Yvaiwr&#10;HF67Cz67aWxkEaMi7nIzt5PPArsLXwjoDQqZPFDkgcBY2UCtS+8P2cnhy31Lyz9sM2wNu424btWA&#10;9jOELbTtrKT1NVsOn0jTrLUFaw1F73CEEsCNvT1qYJiq1nEyzMzZ6Yq8M1UNiZDlHFLtpyjPWjFa&#10;EjdtFOxRQB1dk2NItTk/dYfrUgb5RzVfT2B0mIDkqzA0/BxnI/zipjsOW5DffNakE5wa5OX5dZHu&#10;gx+tdbdgmJ/rXK3y7dYtz6r/ACpSKjqaCipQBiolzxUy1m2WRFeaZsqxgd6bt9qljRDtpsq9Ks4H&#10;pTJUyKRRd0S3hnuWSeJJV2EgOobB49a1rjRdMeBybG2J2n/lmKz9D4vR/umugcDy2HtWsTORzun+&#10;HtInt3MmnwMc91qrb+FNEnMwfT4SQcfTk1uaOf3Ug9CKS0CrNOBnk5/WrIOBv/DOlxM+2324Y9GN&#10;cRq9nHHcOkOVCjJyc16Vq7qtxPzwCT+led3TrJ9qkPLM20ew7/0oY0dB4NY/YlA6Ec11RT2rmPBC&#10;brP/AHWrsdmaxluaLYrn4T2d4PtI1K4UzfvCNgIy3NRSfB2IqQuquPrCD/WvSbA50+2P/TNf5VZ6&#10;1aZB4vqfwpfT7YSrqqsMgYMOOx964fXdJl0cKPPSQt02qRX0H4mJXShntIP5GvBvFVyk+reX1CDm&#10;rBHReDnd9BVCcgtkj3q/q+kXmq2iQ2DKsqvuJL7eOai8EwhvDu4Do5z+ddVYptnOP7uKz+0PocE/&#10;hLxVCsZEpIfIXbc0y40HxXbn98ZSQO1wD/WvUbmNjHY4HRmJ/MVm+Jbj7MHJOAIsmtTM8pt7y9i1&#10;+1hmdzLHJ0Y56V6TIHl/epw5GR9a8wspRc+IrWQnczzZP4mvWvK2ELjpWctzSDK9sfF40+aWOfT2&#10;QDJRlIJ/SsHUrnX0t2LwWTf7rmu+sudGufZDXMako+yuaoTRv2MnnadbseG8tcj3xRImaLSELZwF&#10;R/yyX+VPaoGjEu4R9oc4qraMhlvrfOHDI2PUYFa00e6Rz61j20RPiC7Psmf++aktlp/FWi2Nm+mX&#10;cjpPE4LDy8jpnr+NZNzrelXd9YC1uAxWZSRtIrT1DR7Ca2mnltY2lLjL45rh7u1gi161S3UIqyKC&#10;B3Oa1Wxk9zvJr2Gwa7MtwkIlJC7j1rAvbu1ezZUuI2JZOAwP8QrT1LS7fUbeNLlS2zLA5xziuH1z&#10;TbazmhS3yCWBPOeM01sJ7nruhoFvr1j/ABR8flWRYIP+EKIH/PGX+bVk65bSf8I412L97V7ZN525&#10;zJwBt4rjLcaofDi36ahIqPuUQAn15/lUxKZ11pDm7teP+XGP+tTXtkDGzbeQKh0aYs9u0nUWyLW3&#10;OgkhbHpSuBTtYdng7URt/wCWb/yrE8SW2dVOB/yzT+VJrOpatp1pNBAIzYyoVbI+bpzV+7b7dKlw&#10;VwWjXI/ClLYEcw1o23ms65jcOAK7F7UbOnNYl3bYkzUIZzMUZbV4h32HPvzWqsLK+RnPXNQ2UIfx&#10;BGv+wT+tdALUbulMZnbZZBhmYj3Oav6bcT6fMZY443JGD5iBv51bjtParSWo9P0oAzNTuLjU5Flk&#10;SJCowNiBazvsb46V1H2MN2pTZAD7tAjlPsj+lOFs/euiNnjPFRG3A7UAZKQkVKIjjpWh9n9qBEfS&#10;gCC3hxIDjnB/lXuejDboenr6W0f/AKCK8aWMqjtjorH9DXYeHLSe78P2U8viK/QvGD5aYwvGMdKd&#10;rgeijGPWswH/AInt13xaRfqz1hjS1yd3iHUiPXcP8K520ja48ZapYNrN95UMC7HDfMTwcHj3P50+&#10;UZ6Ki5tF5PSqetgf8I5f5J5tpO/+yawl0iBYQDrepFsdPM/+tWX4ktorHQ5ZYtUvpH3Ku15CVYE4&#10;I6e9LlC56Harstol9FAqbNY0urEKohHAHUjrUK63KeqL70crFzF5ufEUZ/u2rfq6/wCFZnjFPNs7&#10;dOvzk/pVM6448Slti4FqNw+rn/CrGp3iagsWxSAnXNDi0CaZxVza7SFxUCwe1bV7HibHtVURjmtY&#10;bGU9yn5eFxjikCc1bkTtTAlUBEE9qeqDNSbacE47UAbkvlv4csIN67jIzlc8gc/41He2ITT1G3B4&#10;rmGEaeJneMbSLDc+TwTvx/Ku2vnMtihbAJAJx9KwluaR2OLmhEa+nJqNRzV++UAJketVFUZq47Ey&#10;HBeKMU/bRtqyCP8ACipNtFMDX004sWLMAN5H6VeX5h7dj+NYUYdYWkDHCkcVsfvXhjVJcswznBHG&#10;KiOxTG3IbynB61zGrjbfWjL15H8q2yblZmjmcnIyPQj1rG1riazb/ppj9KJMqJcXoPpUyDNRJ0qZ&#10;azLFK0YpwpcVDGR4pHHFS7abIMLQUWtH+W/T6H+VdE2CD9K5vT3WO6jZmAXPU/StS51CFUzDcQ7h&#10;2Zhg1pEzkRaY6x+apOCTUVu/l3k5JyvOB+NZ0OowlpFM0aEYY5b69PyqJNShM8jtPEgI7vWlyTM8&#10;SukVvcy5GScfnXCXEYWCJGHJTc3rzzXS+I7lLlo7aKVZBJKMlT2rAnUyTu3bJx9KTegJG/4EUG0m&#10;Ho9dkEIHFcb4EP7u5H+2a7VemayZqtjsdNP/ABLbf/cAq0Tiuah8VaPYW6W1xdqk8YwybScUsvjT&#10;SYpGSSSXcOywseO1WtjNrUm8VOE0aV2OArBq+epZBeanPKwypZs/SvWvGXi+xvPDlzBZx3TStgBm&#10;gYL19cV5Zplo2x3ZcHFVfQfU73wGufDMw9JP6101oMTD6Gua8BMI/D10rkKfM71uyXyW6mSNDO46&#10;RxsMn8+Kz+0HQ2pgTaW5GeGbnH0rjviNdC304AcPMoUD25rRl8T3K26xnSX4Y4JuI/b/AGq5LxcN&#10;T16+tSLRRFHH92KQSY+pGcVrzIjlZzWkqo1XTWKYYzAbh3r2WePEpHavLoNKurfUbB2iKrFMpckg&#10;YFelTanZvOVSbceOgrN7msdjV0+IixuYz3Qj9K5rU48W8o9D/Wt201a0iimDyfMVIAx14rIuwL2K&#10;QREEseKpEm3ar/xL7f8A65L/ACpGSo7a6SOCC3dJAVjALbeMgU97qAEAseenympArunJrKtUA1y+&#10;yP4Y/wCVa7SpknPHvWRK01tqdzcQxCRJEXGX28ipsUT6gwj02cvwAwOa87j/AH2rW0jDlrhTn8a6&#10;jV31i7hnVI0W3O0FAQT+fFZVhpUjSRyzfu/JkDAcdvXmtE9CLanaTQKbeQk42qcV5lqb/aL2V+qq&#10;wVT7A16BeyyXMJQXAgUdSp5YY6cg1y7+HmJZFk+XOVJIJP5UubSwWNXxbDLc6dYWMIH+kzKrZ9AC&#10;f6VzOkJ5nhcICMRpIT9TkfyzXW3cMt79nEs6jyckFYyMHGOufSs+HQI7W2e2t7hxA5JK7eeffNJS&#10;Q7XJ7BAiW7f9MVrVU/LiqkUUcKKquDsXYOmeKetwrAlecUrjMzXYjJazgDhIj+J7/wCfetFIlWCI&#10;Y48tf5VRvbZLy4DNJIqMAGUNgVZkS3a08gu6rtK4DnOPrSckFh0sfy1iXqDfUR0UZ5nnP/bdv8a0&#10;3tUkRonAHA6tnNTcLHLaYgPieP08o/zFdP5fzdKq3GiwTQrtKo47qxBHtxUCaGFkVjcMcHP+sb/G&#10;ncLGzEnNWlXAqqsix8fLjpwafFJ5gjA5ZhyM0rgWgB7UrDjtVOQsMnJG335qJZix6nHucUwLZTNQ&#10;sgqs8jHON3Aqw8YCkrKCQccmgLDTGKBH7Uka5dQWBGRkZq8bco4baqrjoTTCxUZQLefpxE//AKCa&#10;6zwpfaTH4V01J7yBJVhAYM4GDmsRfLUE+Wh46Z/+tV5JIljGyKID8B/SmnYR0a6pobg7b+2xnHL4&#10;rldIutP/AOFg6zNJcRLbNEoRyw2k/L3/AAq2kgJDERfT/wCtinpJEpB8qEnucjP8qrmHY3W1LQ9y&#10;qb63y3T5xWL4tuNPn0YQW88UjvcRZVTk43AmpVu0Rd2yEDpnI/wrE1bUvPYCM5w6qy7uPvryMfXr&#10;7UKVxWO6nt7WO2LKRkDsaz0NvvIdm2gE5GOtPuY1SzuiAM7wBlRx8qVlAhd3yg5U9h6H/CmiWRuI&#10;JdauJEZgv2aIDdwc7pM/y/WtG3X5MfrWHbysdQu1SNSEjhB+XPd62rFCllAWTaWQHH4UpSBRKV+o&#10;+0n6CqwTirN0we4cjscGoQKuOxD3Kkg+agLUj8tSVQhuKWlpQKYzPgRJPEF4x+ZVs1RvYl8/yrsr&#10;0r5WEHyjpXOMwTc2DyEXj3f/AOtW5ct+746VhPcuJgakMBPxqkvWr2onJUe1UkB3CqhsKRJRS4ox&#10;VkCUUtFAi/ZvG9pPBIwVZNpz3BH/AOurFo4s2H+kblB7ntWaqxDpGn1yc04S+X91R+Kk1jzM2aTG&#10;XesW9vdN50vz4xytYep6taXckEUDkusoJ4+ta9xMrEFokYkdTED/ADogt4biCV2hi8xF3IdgGOaL&#10;jSsOibKA1YWqYmkHAIH4UwX8wu/IAB+XfmpuUaa07IrP+0z9wtH2iT0jH4VAGhiq9+00Vm7wR+ZI&#10;MYUnGeaY1zOpwGX/AL5phuZ2BBYY/wB0UDMxjrGpW72q2IVpBtGG5rPbwZrykB7OcZ6EzCt2K+ng&#10;mGwgPuY5PbFWW1u+cDdMx55w2KtOwNHFPoV4tw8LwSiRPvAyj/GpIfC1zcXaw7cO3QNLx+ma6Jrg&#10;u8srqrODnk8t+tMhvVlkk2QkNGdpOfYe/uKrmRJgXvh19OvzbSoodV37lnJGPyrQl0awiJxAzfVv&#10;/sqv3ESzzLJJAS20r97nFTmQt1ijB9zSUkFinpUC22fskPkgn5iFPJ/GtJ5JlnCNMeVzkDFV2lkU&#10;YDhR7ZrOuTNgyrNJ8h5xkZH4ilcZ0sNzIuAZyo9cc/yovb1jbNsu5Wb0BI/oK52G7cgESkZ7mcGt&#10;BRPNGQZAVPHL5/pTuKxdmsLWaNlklmkQ9Q7tUSaJp6JmOLH4mopJLls7pWbPPBNR/abmFDsZfm67&#10;uf50uYLFi30q0dXPlDAOMU59MtYwdttH9SP/AK1ZMd/qDqHguGSN+fuLg/nUitqkmc3gP1Vf6UXH&#10;y+ZpvplsY0Ywx5PpkH+VVGsra/TLpGoDMoCjGcEj09qizqIUK14hx/0yzSRztBCEzvkLEltmBySf&#10;60kwegHw7YpJFKobfE2V5/8Ar1Yjldrm5kYjcpCnjsvSoU1GUxgtFz3+YD+tM+0puclV+c8/vB/j&#10;TuBZ/tKSMsis3PGflqBdYltXMaleuckiovJXeWSFSfXf/wDXqpJ9rS4kaJYgGOPmGTx681MrlLU0&#10;X8Q3AHAQkkDsepq2dSnd1VimVbPSsF2vpF2MICpIzgH1qw15IMlYMkemQP60lJ9QaRpXOp3IEe0o&#10;Q7BTx6/jT7m6fywGY9OwX/GsKZ9TnVfKtVwGDjIY/TtUiprVzkPYw4/4EP51dxWLxuSI2Byd/Ofl&#10;9frUfmkjksMkf3fX61Wa01hcFhbRgdjKP8KVIr4vsnnjjYdQDuP8qm7HoS3N8hikZlY7QTgFR/7N&#10;ViKFWQOCenrVaTT4pI2VrqU7gQdqD+tSYEMRCO7kdjgVSYrIYJPLulSMnBU5J7UrzBzgEk+oH/16&#10;qO1wJQ4ti/BGDIB/Wo2lvs7ksVU4/wCeoJ/nUtoLFhdSSGMx/NySckA9Tn1qKLVI4cqAxBJP3fU/&#10;WqD2uoScm3UH6j/4qq8mm6g5z5QH05/9mpJhymo14jEks/8A3zTobiOWUR5b7pbO09Bj/Gsf+ytR&#10;/wCeZP0H/wBlV7SNPvFvWMke1REwy/A6r7n0ppIGjSVYSRhnLKQwBXHQ/WrG1GBkOVIB74/lSR6f&#10;OoMmQ7DnbFGRn86sXFnMbVVELB2XO0kDHHfnH60WAx5J2MhbzXxjpsamecf+ejf98NT/APhHtQUA&#10;vPboPTlv5VTubG9t5mjEbSAY+ZY2waGCLJl4/wBY3/ftqlglLSjMrEIpwNhHb1rPWK7C/NbOf+2b&#10;f4U+MzxsW+yv0/ut/wDE0hqJozTRhdhZwzEKCFOMk8dqk/s5F+9cytjrtX/P8qyy8000a/Zm3eah&#10;4DZ4IP8Adrfx5Su87bQRggfMQPXgU+YXKUprZIWUGeVQRn7pP9Kc7q//AC2ce20/4VW1K48+4U27&#10;N5aqFywIPU9th/nTUnAjRWVdy9WDNz/45SuUk+xajVPMj/0liVdWHynnBB9Kvy3YWMRrIqnOSSp/&#10;wrHWdFkDccH+8f8A4mp2vomGNvP+/wD/AGNHMHKXhcMcf6QmP92pmviTxcJj6f8A1qwluJx/ECD6&#10;Ov8AhV6zttRvEaSKM+Uv3pCyYH61S1JasaMd5l0V7tEVmC5xnk/QU271m1tpggncqVB3Mo+b9OKz&#10;oJt95BbSncxuY1+8vZh2BJ/SqGu3mlWmopFctceYIUyI0BA49SaTHFXLl9qnytcxXixAsqhmYDPB&#10;OKl0wPqV0I2kR8JHN5m4DP70k88+lcvrT2tzoVvLamQxNctjeoBGFAPT612Pgu0UlcJk/ZrdeR/e&#10;LGiLe4SR3E9wk1rMqzJuaTdgdx8vf8KzjFwcSJkjH3vY/wCNdDb6NbSR5dCG3EcY9cVIdCszj5Dz&#10;9KvnZFkchaQLb6hc3Ly43BAoBHOA2f51sRXMcttAA33IwhyR1Aq4NDs5JbhcH902On+zmqlzpNta&#10;MqqOCob86TbCxlz4W4cDnJJqPd7UjyRF8xMGQ4YEHsaj3j1FbxatuYyTuNc/NSUkn36KYhaUdKSg&#10;daYE9whMS/IAP3YBz1O5j/UVozn5AKfLpqQTwwjaxk2sSe2ajuOa5pO7NorQxL/5ph9Krp96rF7/&#10;AK4/SoF61vBaGchx60U6jNUQNop2aKAGK64+aSEfSbNRmWA5C3aKR6c/0rDtW/cqKWEOJ2+Q8968&#10;h4uT2R6aw8erNeS6t4oz5t0G9wh/wqzY3NosVz5byPiIsfkA4/OsGe3mljIWMmr+m20yLKGXG+Fk&#10;/GhYiTZToRG/2pYEci6/74X/ABqBby3l1RWiMmBCc7kxnkeh96of2VqSf8slb/gVVbuO+08GZ1MT&#10;mMhSCPUf40415N2IdFJHSm4z91H/AO+CaljaORfmcof9pDXDHUbx1y1zJ0/vVWa5lZlzK5Pu1V7U&#10;PYXR6SXtwuWuos+5P+FV3vbJPvXMQ/4FXnsjsQMkn6mpcFkHBp+2fYPYnZtd2Tz71u4QvOGZsA9M&#10;09p7faSt3btz0Eq/41ylpA8tpGpU8SN27Vd+xSKvoPoamWIs9hqgn1NTzlDuQY23dQJo/wD4qnaX&#10;mSe9IVcmQHG4H+FfQ4rI+ysB1FVWvX0szKFDb3HGSP4fb6VUK/M9iZ0FFHVT7tygoVx/sA/1qKGd&#10;i5H7z8dg/ka5SXXZyuQkY/4Dn+dV21a5MZIZVP8AsoBV+1RHsjvpIpSAQvHuT/Ssx4tkU+4KDwc7&#10;XHr/AHq45NUvGbDXMmD6HFLDcTPO4eV2Hlt1YnnFP2qF7JnW2QkBXcpAPrIn9BW4qlUxk/zryiF2&#10;IBEjA/WtCG5uNo/0mT/vo0OqgVFnc3PngcbyPQQ5/rWXfiU20SLBckqzEn7KGzn2yMVz/wBpulx/&#10;pMw9w5p32m8BB+1SHvyxpe2RXsWdHaQJJpNqzJFnylHzRO54+hpbeV7eUqoYKeyWLD+ZqvY3lsmn&#10;Wqz3dyr+WDsi6YyRSya5aQHCrcy4/vvWjqRRn7NmzHOzjOHH+8oWq7EfawNyZJ6eYSfyxismbxIy&#10;KClqn1Yk0n/CQXbyxqBGoLAcL2qfbQuP2UuxbuVkxhElPJ+5Erd/eobX7QsoaWG5AHPzRxKD+tYc&#10;2t6hDdzRrMAquQPlHTNR/wBrXzk7nRuOpUUOqg9mzuVcbeCF9uP6Vk3l5BHcyKbO4kIP31tyyn8c&#10;1zceqXSZHlQkf7lD3jzOXktoix6nBH9aOdMrkZuC+tXBC2kyE9Ga0b/GqN1NCLeXClW2HB+yOvOO&#10;Oc1QW92kFbRevZ2/xprXe5HDQHBU4xK/H60KcbicZHY3uo3EKqq3MCIqgAbXYjj0FR2upSSfelLj&#10;1W3df1NSSieW3QR2l248tTuQ7F6D+ImqMVlLG5klkijUdVlu2kP5KDV80VuzPlky5PIWkQnZgnjd&#10;IQfyxWheBEnJJ2/LnOP61SaS0RUYyyscg4jQAfmaTVPENtZag0Rs5JCFXnf2IB6YqfaQ7lezn2K8&#10;t1ZbwonLueg5P8jTruWOHTHkcoi8fM25B1qvN4qtpF2/Y5kH+xtNUrnWrK6tzCzX8eSPmXYT1+tH&#10;tIjVOSKdzqMTACOezf1zduuP0qFdQPrbH/cvif5in77A/wDL/qQ/3oYzRt09h/yErv8AG0jP9afN&#10;EXJLsN/tCQdFiP01Ef4VPbXryMRJiMdiL4Nn9Kj8mwI41Vxn+/p60La2HfVYP+Bafj+VHNELSLvm&#10;D/nvL/wG5Wtvw5KTa3LuVkxOUVpW3EAIpwMdfvVzJsLBv+Ynp/8AwKyb/Ct3w6YYLaWJbqHH2lgr&#10;xwttP7uPpxx+NEWgdzoJbqRYzmQhAeMYUU/zlj0gyyOmPMA3PJxyPWqs9i90QIWSQnu+7H5Yq+be&#10;KPSVgmvYYSHXLptxnHSmwSZQM0USBg6BT33jH51javdsmoyqEjbG3k3vlnoP4e1b5fTmTDy28rDo&#10;XdcfzrC1DT5bq9kmS9s9rYwDAjEdO5PtSugs+xQW+lLAeQAPUakp/pWkq+kv5XX/ANas9tDmJB8+&#10;wbnqbNf6Gn/2Jdjo1k3/AG7Ef1pNLoPUuATCUHdMRkci5GKdPdzQNsWO6lyPvJKnH5mqa6NehhmK&#10;xPHaFx/Won0O7Y5+x6ax9SkopctwuWhe3Gf9TqX/AH8jP9af9tuB/wAsdU/AIf61QGiXXey0z/vq&#10;Uf0pf7Hul/5crA/7txIP6U+VBzM00vblnC+VqoycZKJj+dXES5xnfeD/AICn+NYI0y6VgfsNvxjp&#10;ev8A4VbS2uu9gQf9m+P9afKF+5sW0rx6tbW83muJkdwJNoA247DOetaLytL9oRuET5VAGABiud02&#10;OWLxHbCSBoyIJSA0/mddtb+5lacY6t/SqWiJk7so3Wj6dZz2dzb3MjXDTISh6Z6nmuE8ZIV10Ann&#10;yVz7dataJqd7c+K0jkuHeJZXKoxyBgHFQ+KGQ69LlckIoyfoKTHcYVA8M2C9zLK36LXpvg61CRRT&#10;byu5LYY9cZ/xrirLShfaFYNvChTJ2znkD+ld94asGhvbSHzCwHl57dEzQhM7a2nBd06/vGx/31Vs&#10;MOP8+lJHaRxkkDJJzmpvLBHSqJMyJ8SX5x/H/wCyVR1PBuAODiMVrWkaNLeZUf63H6CsjVisd8wG&#10;AAB/KkBz08UZmbCgY4AA4HFQeSmfu1alYbifeo0HmOqjqTgZqopdRPUqS/epoY96ddo0F3JDJgPG&#10;cMM1EHXPUVtdGdiXdSrywHcmotw9afD80yAEDLAZ9KOZdxWZ1l3j+1I1/uoP0Ums2bFTxs82oTF2&#10;3OjSKTjrgYqC4xnFc/U2Wxh3mPtLCoVHNS3WDdPUYHet47GLvcd1ox7UAYpasBMe1FLRQKx5qPF9&#10;5D0iiP4f/WqeP4gXMa5a1hOPUVy7jIqu8YdSMV5apxb1PQ55WO4T4kyZ5sIT+B/xqzF8SVLBTp8X&#10;PTk/415YxZW25ximljnqa19hHoZ+1kerf8LGgY/8eCj6NVPUvFlvq8IjWAxeWCWIOcjj/CvNBkfx&#10;H8609Ln3CeJjz5TY/Kl7FR1Gqre50kGp6WABKZ2PtgVbj1Tw6GG6KY49XrkUxt5pjjnio9lFlqbR&#10;6BHr3hpf+Xfn1IB/rVxPE2hxgGNUUe6ivL2PNKuXGzGST+tT7GInVZ6k/jfRrdPnuSAeiohNUn+I&#10;uhr92K5f/tmP6mvMLhGHzdulV81osPATrSuemT/E2xGRBpcj+7lV/pXMan4tfULgyLZpECQcbs9M&#10;/wCNczmjNXGlCJm6kmdFZaqbuTyWQKx6HPFascDyLtMiA/71cUkhVlIzkVoiSVcEO3T1pTp9ioTf&#10;U62HSpGx+9X8xV2LRWRtxkHQj73rXCm6uFH+tf8AOpIL+7MoH2h8E9M1nyM0U0d1FocEfYY+tWV0&#10;q0ABMbbh0+bpXADUrwE4ncc+tRnXrxGIMz9aXsmw9okehSWybCFjXpjkmovsaYwcr9DmuFXxHdj/&#10;AJbNUq+Jbkf8tj+VHsWP2sTrJG2rbDPSMj8naq1y3zcc5rm38R5WPG5ioIOfdif60g8RMWyUBpSo&#10;ybuCqI6SRiY1GM/SpEZhLGQjcEH8qwU8RyR4IhX25zVhfFsodcwr+VT7NornTRoXVnPNdSShSA7k&#10;jI9aSOylUcsv60z/AITGZHKmFTg+n/16mi8axj79hG5/2s1XKxXQotmzjen5n/Cnm2fZwwJ9c1Kv&#10;ju3HA02JfoMUjeM7KT71j+Tf/Wo5GFxv2VlGNyfTeKikhcAgAEYPOac/iXTn5FmF+rZ/pUL63ZyA&#10;hUCk9hSs7jurHVu7NZxZYkeTGfzRaprxFIP9o1T/AOEjslt4opFkUiKNCOOyAetNTxBppUjewycn&#10;IH+NYTjJybaKi1Y1GUskeO2KqeIYXk1RnRcqUTkf7tImv6bx++4H+zUj61p7sD9o5x0waSTXQrmT&#10;MgQSg8xmnCBz/wAszWqNSsj925X8alS/tP8An5i/Fv8A61O7QroxfJ7FOaa0SqOV/KuhW7tj0lgP&#10;/AhTw9s7hi0RI/2hS5mGhzYtg3JU/hTjbKBkpXVIIW7RfmP8aews4xlxGR+Bo5mO5yn2ZMDCflW9&#10;4duGtLOdEjQk3TcsM4/dx0k93YoD5cKj3PAFLoY+0x3LIAQbpj8o/wBhKtOSi2iZWbRcub24nLrJ&#10;K20Dhe3X0qa4IGiLn/nsP/QasrpMsjsXAVT7c1fbT4DZiF1LJu3de+MVhFyerLdjjXC9itR8HjAr&#10;qJtIscZ2MoPvVYaHZZyWkUdPvZP8qaTC6MHaPQGnCMei1tt4ftD0nl/Sm/8ACOW+OLmQfgKL+YXR&#10;jhMCl2sepYfQ1pSaBsK+XcuwJ5+QcfqKePD8hGftYH1j/wDr07sLoyxvU8SSD/gRqTfMBkTSZ/3z&#10;Wh/YE3a6j/I0n9g3Q6TxH6k0+Z9xaFLzLodLmb/vs0huLsdLiXP+8aunRL0f8tYv++j/AIUh0a+H&#10;8cf/AH1Rzy7hZEOlSyv4ijM0hYrbPgsfVlroHk3FsdO35Vz9lbTWviArPjd9kLYHPVgP6VrSSMUk&#10;x2yc/hXfTl7qOWfxM8/8MEnxSrY/if8AkaseIQz69NtK9AOnsKb4bTGuqx4wGP8A46a6uSxtZpjI&#10;8Ksx6k1oSUdOvng0qxiRVOFbcSO+9v6V6N4eWX+07WSRcKwUg46/uz/gfyrkZLG3+zWqpEAAp6fW&#10;vSLC2SO00qRchiVU/gr/AOJpxJZ0FGcYopCM0xFWzyHuuOsx/kK5/W2H9pOO2B/KugsiT9oz/wA9&#10;mxXKa9Ns1iZT7fyFAijKoOaZHlJAwxkHIpHlBNNDc9adwIdQiSe+nlAwHfIBNVfsuOlXJHy1MyBU&#10;8qArfZPenx2TO6qp5LDHNTbqtWAE1/AjLkNIoI9eaOVBc1dNAZrx3OH3PgZ9arXH3zVqZha6ncJG&#10;gRDldq1QupfnoZSRjznM7/WkHSkkOZmPvSjpXTHYwY6iiiqEFFFFAHirfdqJTjNOJG2owea807ih&#10;eRlCrZ+/n9Kq1oXsRd4wmT8uTnscn/61Rx6XeTY8q3kfPotdEXoYNalOp7Rnhuo26Bhj6g8VbufD&#10;+q2kQknsZ1XsduamjsprrUdHt2KjzkQIUAJClj1/Wrewhq9Ka3Wu3k8CxmEi3nmMwbuARj1wAKiX&#10;4e3cylku0Ug4w6n/ABrHlZrzI4lxzTR/9eumv/CsdkGE2taeHU7THuO4H8qxv7MnZGeHbNGM/NGc&#10;9O+OopWAqSR7rGZv7pU/rWZWrIcWFyPZf51TtbF7n5j8q+vrVppLUhpt6FaitYaZF3DH6mlfT4Fi&#10;J24Ixjmkpp6D5GjHztrUBzGv0qJtODBfLkBJJyvp6Vpw6PfzIBFaStjvtolqKKsZzDimwA+euPWt&#10;OTRdRThrVx+VVY7aaG6QPGyncOoqbFEHz7jwetVbqMriQjj6VfZ8SsMdzT2i+1wCHoWYAfnQpajc&#10;boxKSnYxxSVsZXCiihVLsFAyx4FIC3btvjx6VIQQy8VFaq0czxsMEHBFXGUNtFZy3NYrQSZgsrZ9&#10;aasgz0qxdW6C5kG8DkfypggTs4NRcuwi7ad8vrT0twe9TiyGPvH8qm4WK2EPemzKTC2xjuA4q59i&#10;4+9TPsjBhg5ppoGjEF5PxucsOnNH2xv7opb+D7Pdsg6FVb8wD/Wq1brUxcif7WR0X9ae9+7kHGOM&#10;daqnpTaXKhczL8V6WIBYj8auCaTs5/OsTvWxbjfEpx1FROKLjJsn82Uf8tD+dKLiftIaZso8s1lZ&#10;GhMt1cAf6w0/7Zcj/loTVfafel2miyHdlj+0Lju2frVpdVvLO1DwSshdyTg99q1m7GqaUEWkQ7b2&#10;/wDQVqlFEtstp4v1mPpdP/30auR+NdZEO/7U5G7H3s1zTrmpo1Issf8ATT+lHs4hzstav4r1e+kj&#10;DXcqogyApxk1Xh8Va5B9zUp8ehOazr4cofrVWtIwjbYzlKV9TqoviD4hi4+1q/8AvRg/0qx/wsrX&#10;tuN1v/36FcbRkUOlDsJSkjrX+IniB+k0SfSJf8KgPjzxCTn7bj22D/CuZzTs8Uezh2Dnkd54e+Iu&#10;ow323UttzAynjAUg9jnFdfH8R9MON9o/4MK8Yt/9cKv1nOlFsuE3Y9hT4g6K33reb8Cv+NWE8eeH&#10;yfminH/AV/8Aiq8YFOB4qfYov2jPWDq9pqviJ57At5S2iodw/wBsmrMkpWCbHbOM/QVx3gs4Nwf+&#10;ma/+hGuouH/0eX6N/Kr20J31OU8PuyakzHH3G/i9q6+G7t9oDTIGzgjNcRpz+RcM467Dj68VeiRh&#10;JggnB61RLPUdMhsru1UuwbaMDD4yPyNai+IBDHaQiFSsD7v9Z97gj+tYGi2VtJpaPJcRq+Pul8H8&#10;j/jSKIw5Jb9arYk68+Lhji0/OSj/AITBO9o34SCuOkZcsAeO1QM3XmlzBY7K18WQQrIJLaX5pCw2&#10;4PWsHVtRj1DUpLiNXVGxw3XgYrFZznGaj8xlYDd3o5gsa/mUeZyOKqh29aUO2aq4iw7ZamFqTNBP&#10;FMQ7cat6XKsWqW7yMERZASSegqhmorlsQOR6UAat7eI+r3LpOChkbB9Rmq81xub74JrAimB+XFWQ&#10;/Spe5RaBy5PvUg6VAh5qYV1R2MGOoz70h6UlUIdn3optFAHihBI6GmBGU8j86mKXDDhWx69KaLOQ&#10;nLso/HmvOsdty3BGqW80vnW6TxAGNZed3Pbg/rUR8Va7Gu1btwM8BAB/LpUctuhlLMx7DAHtTFhV&#10;ex61onYzaubuj/EPUbA+TqMbXVu+clh84/PqKuweJtJs9Rlvk0b7S8hJt/n2FFOeOh9/zrnGUE/N&#10;GHPq3NXLSxu55oRBbysBj7injk1XOTY17vxzq8kYa2s7axj6BjlifxNc9d63qV3JuutVmfJyQh4/&#10;pW7F4I12808Rm1MRFwzgysF4wPX6frVy3+GE74N1qcCeqxKXNK7HY5VI9GLCSa5uCxOW3w5yfwao&#10;LtngbyI5GNuw3oAMZB55r0mD4daNbLvuZJ5gOvmMEU/1rR+yeGrDaStruQYUgGQ4H5Ub7jR5Xo+m&#10;S38k6BGOUJUeXkOa2V8Iau8YW3sipzj94wUD3rvxrljFGRa2k0g9AojBqBtb1CQnyrW2gH95yXP+&#10;fxouh3tqjndL+H100mdSuo9nZYc5rfHgrSogWFqjqgy3msScDr+P4YqGW6vph/pGpMF9EAQf41re&#10;HI1aC8feZAVVVZmz655oTRLbOLu/EVtar/xLNHhSLnbLJgH24x71nXHjLV3Q+V5EY6ADrWLqjp9n&#10;haNWVCOULZw5ABx7cVlB3xhRincZpz6pfS7vNu1yc84ptoyRjznnZzuVSR71mhjjlhirdgUdLmIE&#10;nKh+now/pmk3cFsNuDG1wxjBUHg5PU/0qe0iDMgOeTgY9e1UpHQXEgIbhjWlppjYkKTkqSCw+7j5&#10;v8/WotqUYcenXEyBwAAexPNTx6DfyRsyxqQPVgCfoK0bjWbnTrh47WGF4MgqzxBieOueo5qIeKrr&#10;zAzwQnHUAEZ/WtItmbSKU2hajAm57fj1DA1VhjnivYRt2PvXBYcZzXUReLLGWMi6tpY39VIYH8+n&#10;H1qCfXLW9vDbwWSeRgbXb7x/wqxFJbbdrV/HKMsrsCVPAO6rTWsKjmRg3vRcXIhLmJAGkYsxA5P1&#10;qlCVlnX7TKyxludozgVDtctNosXSebNvQg7mxjv0quFIPSt2VLCzjd7KVp3jAY+ZGVwCQPX3H5Vk&#10;yzrNIX2Kuey1lJFxb6kaKwPBNW03bepqurjNXEddvNZssPmx96m5fcMEVKSpHpTAoz60luMytehV&#10;Whmz8zqqkewRf/r1kVs6zm4FoI42yqYbPfgY/SqMemXk2THbu4HcDiupNHM0VD0ptXzpOoY4tJT9&#10;FzVOWKSFyksbIw6gjFUIRUZlZgpKr94+lbNhk2qnPtVWxLf2TqS7MqUTLY+6dwq9pcZNgpHqamWq&#10;KjuTbT3Aowf7tSgbetBJBAJGSMgVjZm3NEQYP8Ip2xfSnLIPSnbx6VNxkWxOm3mm3Sj7NHgfxt/6&#10;ClTkqe3NQ3Z/0dP99v8A0FKqLJkUcVfitw2l+YW/5a4/SqHete1AOj8/89v/AGWm9hLcybi3je4t&#10;kkYBHkCsR6Hqay7pEju5kjzsVyFz6A10SwA6jZO0ZeNZfmH44rNk0W7Z5HcpGWYsFZucZrSm7xIn&#10;uZNLWkdCu+GVo2B9GqNtHvQD+63Y64qiCjS1M1lcqMmFgPXFIbeZF3NGwX1xQBcfT2tJrUl932iA&#10;Sj2zn/Cp/LNLcYjg0qUOWJgI57fM3H61J5vvUS3LiRiP60bDU6NntUnU8ipuXY6XwcuI7g/7Kfza&#10;umkQzRMg/jBFc/4RH7m647R/zeukj52/X+tTIFsZkHhtllDB1OAe1bNr4SvZAJUMTA84zzVuEjdX&#10;XaJrNtZWhjnV2OeMKDxVRJZyggltYvLaMZHUnP8AjQC2PmrqtT1C0uNMMaqvms5bOORyfauYlC9j&#10;TkxIYWJFQs5wcCpeAvXmoh/OkBG0ntUJYEg96mbPcGq7nGODQBbEmBT45SZAKps5Ap8T/vRVCsaY&#10;agnIqHcaTcaoRNkVXu2xbP8ASnZqC6ybdh68UxFGP+9U6yg4qWz0q6uUzHE7L6habcafcQEBlK5P&#10;cVNhlpOcYqwOKroNoGKnFdS2MWxxNJmg0lMQuaKSigR5po1suus6wRukijdhxwR9a1x4OvZGwI0H&#10;uWrtLefTli3Wzq0fTMShV/Prio7nVoooz5UUbuP4WYtXFZHVc5qLwKXYme7jQk9EUtWpD4K02Mfv&#10;RNIfU4Uf0q3JrUmCEz/wHC1Tl1KeTrgfXmi47l9dM0XTxuMdpGQPvN85/pTv+EhsIQRAssuO0SBB&#10;WE84fO+RTTYX81iI4ZWwcHavejmC5pyeIrmVGMNnHGwPyecxcmqct9qs/D3xjX0iQKP8aljt1Vws&#10;2VLdBnoPeluLS0brK30BobDQzXWAMWnneRvWSQmozf2cCExruK9Aq4qWTS7VidpkA9SabHpVsGKh&#10;TIT2J/pSJsVn1iVoi0UA64GTmofM1a75AZR7DaK3Y7QISkcKgjmo51vlB8qNF9yc0risZUeiXUxz&#10;POFH1ya7nw3BHbWL2qtvCr94jHXNcU9tqs77TJgexwK7DwrbtaWskMjhpCpJIPvVIbPG9VOy0yFH&#10;yy7ax/3r5ABNdVf2T/bbm3ZdpWRmBboPmP8AOs6SzdcZXr3pspGOsLfxED9avaZGqXyghiZAY92e&#10;OR/jipvsrAZ24/ClETI4bncp4wKQ7lEwMzksOe/1q5aRiOGQg9B/M1LcJ+/ZlXAbDY9M9aFQ/Z3P&#10;qQP5UgIHETHLyc+4qtNHBg7Hz+FSSQnPBqExNzzQhMtWUas1urKrK8pU5A/2aY0vlyLtjiQg/e29&#10;Kmstym0Az/x8/wDxNU7mNmuXK427zj86LsQ29dVuWGScdhUazNtwoA9hUl4gN05Oe38h/hTFDAAK&#10;uKLjNKORnnuE3EhoDj6gA/0qj58oPUH6gVc02Nvt0IYcN8p/EEf1qJImBO7scHih6jTI47hgfmRT&#10;/wABFXkuAV5hQ/gaiCrnlR+VWoZYokIaBWz6mpaKuRGeMdYQPoTQJ4SfuMP+B/8A1qm822KENAwJ&#10;PUNUH7okDBAOKSQ7lPUWkt412qfuAA/jWfDq13AR5c7KFPTPFbmo+ckqpuxH5YznpkjmsiSGBicI&#10;D71qnYylqXrTxRcQyFpUWT3U7TVyTXNO1LHnxmKTGDkA5/GsD7GhPGRV2PRLee1eZZ3XYuWQgHJz&#10;j+tVzC5TUj0mN/tNpbNs89BuAPHBBH9asyafDptsIlvIXKD7iHPPfNZ9riK2dFkclEHzN35H+FRt&#10;Jl/3Y4PSk5WDlLaRNPKVjxjOB6/nWvHpUclhFAoIYb90hU5DY4/DA6VzLFkbOSp57mtGxuJDZXyr&#10;I24RqwIPPDAfyNJyGoWZR2upPzfpTgz04TSAD5zThM46hT9QKxsbDMvS3JJtY8gj526/7qVMJucG&#10;ND/wHH8qv2WiXmtIot4lSJZG3yscInyr1P4dBVxRMjnUVnkCKpZmOAAMk12Nj4V1WWwjhMSpK7+Y&#10;I2PzAY7jtXS6H4ZstKhE0XLZw17MvLH0jX+vWtS7uktYiqoUjY42Z+eTn+I+ntV8qtqRzHnFzC9g&#10;01hIF+0owYMpyCAM8GuRle9Y7n3scdQc13HiKRDrU0uSu21AIC9Mrjj86wrZYwZiJAcRP/CRzg4o&#10;i+XYGr6mAl9OjYDOMdgTV+HxFPETleT1KnGaY21ZAQyHFSgIwyUjJ9iKfOLlNCPxdHHDg2e9/wDb&#10;YEfypItbiv5GUWipn+FTWewiHP2dc+xoSQRvvjiVXHQgcinzC5S/dRbrVZRHtWI7SD2BIx/OqGRW&#10;h5zy6LMrHLkqST7MKyfmqWxrQvQuO9WN3NZ8ecVMXYY7VFjRM7XwnzDdHtmMf+h10KH5owOuT/M1&#10;zfhRj9hnz/eT+R/xrTlvGhG8Y4JpPcSOjgTmtBPlSub0zV5JJQJVGOM+1eiJBok1qrLeFTtGTtqo&#10;xuQ2czK2Tx1qq6nripL0rFdyJDJ5kYJAbGM02OZmXlQRSYxhHydKiI61aAG2oynWlcCDB7k0wrU5&#10;X2qMg+lFxWIGHFPt0+fNOK1Jb4D00wsTbTRg1PigKM1aZNiCobplWH5j1NXto9Kr3VukkYBHQ0+Y&#10;LHQaF4vt7Gxjt5LYHYMblbrTPEXiW21Gw8mCDDEjLZ6Vy5t40HBI+lQ+S3mja+c+tLmHymoLi2mt&#10;4iiFJU+VxnIb3HpThmsl4pIySFNWQ7g8k1UarRLp3LuTSZqp5r/3jQZ3H8Rq/rC7C9nItbqKq+e3&#10;qKKPbx7C9myjFp0u0IqhUXoOgFSixRW2vKN391RVt/NPCyRD6tg/rVSSyuic7Cx9iDWFmalaW1ZX&#10;IN4FT0C5NNENov3lmmP+02BUhgkT78bD3Kmuc1bXmtbk29ooZl4ZmHGfaiwjpVuEiX91BEn/AAHN&#10;VhcLbI+ZdqsxcjPc1yAuNav2wnm49htFWIdE1GXme72DuNxJp2YG4+sQbsJvkPsKgbUrqQgRwqv+&#10;9zTYNNgswGnunfH99sCkl1rTrYkBgxHZBn9aLDAx6hcHLSt9AMVctbOSEgs+CO+eaxz4qJlAS0LL&#10;nkb+f5Vs2GrC5wf7OnQf3iQRSYjSjZ95CE5b3p6q5PJ4+uaY8sZX/VrkdyKZGyOCUKnHUilYZbCA&#10;feNa2jKBLK3OdhrmZb3Y23YWP1rofDaXEqzTOjqoXAyMCmgOfutStY9SvBKA2xyigJznJzz35rKu&#10;9QtZW+SzHHrxUetHytWvAAf9ax6eprJediOpFS27lJF2SaNh80MePpTBNbqf9Wo91ODWfkt6n2p8&#10;dvLK2FQmldjsSTRWZfKqwz1yaBDbH5SxUHkcd6tR6PNJy7hRUi21pasRdOMIcjdxn/GhsCvFokU/&#10;Cykk+1LL4Vkwdsg49auJqW47LC1eX0Yjav8AjVldM1G+H+l3JiQ/wR8UXYWMa00RopzJ5odo+RGC&#10;Ovb+VVH8O3Y5MeT7V3dnptvZwlEUnI+8fWnmIcjH6U+YVjzl9LnmcyCJiM4yB6cUz+zpl6wv+Vd3&#10;p0J8qQBiMSvwRxyalu7i2s1LXDoM9Bjk0rgcEIZI2DBSCDkcU+7iCXBkHSVRIB6Z7fzrp5J5L0gW&#10;1oIYz/y0mUZP0Wp49PtxGqzLvP8AebvQpaAcQRzRjI4Fdv8A2RYSH/Vj8KX/AIRyxkHBx+FLmHY4&#10;Yqc8URxlpVA6kjFdm/hOFvuSVXfw39jkimLbsSKMVVwOS1RzJctjnOQP++jWb5e09a7GbwndKWK8&#10;5/xzWfN4W1AHIiBp3Ec/uwRWja5Npd+hiH57hU0mhX0Zw1u34VZSymt9NuN0DiRyirkcdST/ACFM&#10;DKt1YwXPrsqFC6EFScir0UciJNuQrlcfoagBZTwCKNwImLvyxyc5q9pYzJOmOWgcfkM/0qITORja&#10;h+qCrelgf2gm4KoYFM/VSP60CuUlYHjAq1bkZVBCJCeg5yau6X4eutTuGSNNkUZ/ezOcIgHqa7XR&#10;tHgswRpihig/e6jcDAX2Qfw/qfpTUGwTMvTfC8KlJdUhIkcZjsYj+8Ynpu/uj9a60W0duqpPHGXT&#10;/V2MXEUXu57n2pqPHaofsjMgP37l/wDWSf7o7CqFxeqkZRBtU9s9arSJLbZaur0I2933uBwcYCj0&#10;UdhVQR/bbGaU/fVwFzVQI9w+SeK0I4ilvIycqhBPvSvcRxGvx4vrhyRzDCp/Jf8ACudJKK+FPK4z&#10;69K6TxPgXk7DozRgfhGP8a5d5FYFRnduOakpbFWRS7j5TQsL44BqcwMR1pvlSjoxosMgaNh2NIAQ&#10;eGarGJR1OaaUc9qALkJYaRMc9WC/rmqHmyZ+9WlbozaNIuPm84D8xj/CqG/nDRL6dKYE0EsmOi/i&#10;oqbeT96NP1ot2iz88bY9FNW0NmThlmH4ikM6Dw44jsJiABmQcf8AAR/jU13LvljQYxgMTVXT2SKw&#10;k2E7TLwT/uJU9ghuLhTIMg9s9ql7h0NOwCLICw4rr4r20NsAbZAwGMgt/jXN/Z0iZAuQCOcmrEQP&#10;QN34q+axNi62Gc4GAanjTAqKFc1aQc1D3Gh3l8VGUqxjimkUhlYrTClTkc0m2gZWKDFJHHh6skUg&#10;ABzTJH0o60maM0xDqhnJC1Lmo5eRQCRVYZAzTAo84D3qYrSRp8woGTFBikERY9Vz78VKF5pCMUAx&#10;ptWI6D8CKhMWDg1ZxxTSM9aLCuVvKHpRVnbRRYdzGW7uVOVu5PoSDT/7Quu7Quf9uIVR5pRnNHMx&#10;mmuqTj71rC3ujsv6U77fbOcy2D59Qyt/MVlOSwxTeQeHcfjVcwjb+16aww8RUf7VuB+qmmy2mj3q&#10;bftKw57xyMh/UGsxZnCgbt31pTOcZKKT6Uc47DJ/h5p18SYdYuc+86Sfp8tJB8LoIjue+nnPo0eB&#10;/wCOk08SM3/Ltk/7JH9cVcgBZchzEfTzCpH60+eIrEf/AAibWCE28UJI6ADaT/31WDqC+JoiyWmj&#10;jA/iEgf+VdT9tvIOFv5l+rgikGpXbHLTwy/78QP680+eIcrOPsvDXi7XjiSCSBM8mVtqj/Gun0rw&#10;TbaC32jVNZOe8UXQ/UnrV5dSuBgm2tz/ALjsh/QinHUg/wDrbacj/ZlDD9Qad4sOVkn9q6PZEix0&#10;8zyD/lo//wBf/wCvUUeu6heX8MTOkMJcDYgzx9aU3lq5+fcPaS1U/qOaI3sBMkqNa7lORnzEP+FY&#10;uFRu6Za5UtUUNUto5LueRlz+8x09eRWW1hA3/LEV1EkUF0WJA+dtx8u4UjP0IzUTaSnVXnH1jBH6&#10;E1TiybnNDToQcrEAaljtyrqNuATzW0+nMv8Ay3T/AIErL/MVGLGbHymOQeqyA/1qXFlXRmeUxJwK&#10;ZLp0c4VpcHB+7jgj61qGzuh1gf8AAZ/lTXjcL8yMD7ilZiRUiKW42pbhV9VqVbgFsfMPqKXNJxQM&#10;l89R61DNexq3Rz9BSlAy+lIYFPQ0gMuRrx3kW3l8iNzkkgFh9KbDYwxuZCGeU/xyHJrRkgPUHioW&#10;AT7zAUAAQ08oSQM9OBUf2m2BANzED/vCpFmgY/LcREf74osxXQ8LgVYTOMmqs91HApO4N9DWPNf3&#10;MzEK5VPrSsFzoHuI4ly8mPxrNvNXjZolTLbZNx98VlgFjl23H3NE8LTIFjwrA5BoBmsviHJyYOB3&#10;JofxXZICCCzD+FOSf8K5w2U0zfv5iwH8K8D8qnisYohwop2QjXh1y51F9kaQ2kZ/jlG9vyFbdtaw&#10;fZ1V5UmbklsdT9BXKABelTK0mzCswx6UwNa+06D7bZJ5a7ZHYHA/2TQ/hu0kfmICqdst3LcQEu3G&#10;dpbscV1FlZXzxs8s8YRR8zkYC/U0K/QGYa+FLMkAJyemKlm8N6RpTLJe73l6paxHDN6ZP8I/WtcX&#10;8s0ptNFXzpOj3jjAUd8eg9zTII4LJ2NqwubzrJeScqn+6O59/wCVaxjbVktjPspcK+pKIos7odPt&#10;xgt6E/1JqS4uMgLKECp/q7dOEj/xNQyThXbyyzyMfmkblmp8FiSPMnHvt/xpyn2JuQGOe5Gei9j6&#10;1WNiRJ87Zx1rTnuQAUj6etJFb5Ikm4HXae9RcCp5UgiHlIQPWprRjBavCwB8xwSalnuc/KDgUJFG&#10;1i/P70uMetNAef8AjAtFfCIDk4YAf7qj+lc9HbSIMsvJrs9Y0ySfVpLooz8AAY6cCqL2xH3oiPqK&#10;TZSOeMbDsabW8bdO6/pTDbJ6DH0qblGJgmlCitn7JH6CmGxTP3RTuIpRj/iVXn+yVP6gVmRRbsZz&#10;nvXTQ2Be3uIEQnz1Cr9QQf6GrieDLiIdzTuhNHLLGQelPC89K6RvDN3H/AarvoNwOqkfhRdAhLTP&#10;2DYOplP/AKCtb+mWxWROOfpWZYWM8Kt5q8bsrgewH9K7nwXbWk+qhLz5UCEjJxzSW5RUaDJ5UD8K&#10;SNNr4r0ubw/pEy5WYLx1DA1w1/DDDdukDb1VsBsYzVzVkSmJEuKsqOagj6CrCVkUSEfLTCKkPSmG&#10;kwISDnpTTUxxTOKBkZFIBUhHNJimIbRRRTuSLmmsM0tIaTGRlaWNfmFKaWP71JAS7eaCtOzRVITY&#10;wik2089KSqAbtop1FAHNGQHotAcE44Ge9acWhTXBxDvP4ZqV/DN1EhZ5YVx/CW5NQMx7m2ufL/0U&#10;wu2P4nxWDNpfi2ebEUW4Z4WEgiugmKW0mzIZvY5pFv5ojmKZkP8AsnFHMilFjtJ8I+I2AfUby2to&#10;x1VgGb/CtS8tdGsU2tfl5QOyjB/Csia9uLiMrJcSEHr8xqotrEDkD8TRKemiBLXUsSXSlyI9xTsS&#10;MfpTPN3NgnNN8sY9u1MCYkB4xXP7Sp2NVGJL5i5Kk9OuaA6k8MPwqrMjGRyBkGqQjlDjhhR7Tuh8&#10;iezNoMR0JH0NSCdx/F+dYxeVOQ5qwkzlMk5NHtUg9mzVF046805boMQGX61RU5UHP1qSMFpEUHG4&#10;4qlVjfcnklYtPLb55UEeu2lSSEHKSMn0YioLq2kgmaN8Er3FQjjrWybINWO6mX7l7KPYvmpftl2e&#10;s0MvtJEDWL1pwYr0JH0qlNhZG0t3KvW0tm/3CyfyNPF+B962uY/+uU+f5g1iLO69HNPW7kHUg/hT&#10;VRisazXcDH55Zh/12tlf9eKA1nJ/FZH/AHkeM/pxWYL1u6j8BUgu1PDJRzIDS+yW7j5VQ/8AXK6H&#10;8iKhl0rI+U3Kj/rmrD8wf6VU823bqi/lSqYM5V2Q+quRTvELDbnTJQuUuF3BekkbJk/XFcZqPh/x&#10;LdSO5khlUnIjinXgfnXeC6kiwF1CVc/3nBH8qf8Aa7thzNDKP+mkQNUuUTTZ5FceG9cgJMmmXH1C&#10;7s/lWfLbXkH+st548f3kIr20Tt/FZWj/AO4WT+RFBnhP3rS6XP8AzznDD/x4GqvEnlPD/tMmQN7g&#10;ezGpo764X7txIP8AgVewyWuk3H+uj/7/ANmj/qKoy+GPD1yT+50/PsZYT+hxTSQrM8zXWL5DxKG/&#10;3lqzF4kuIz88Kt/ukiu4k+Huky58lZlPrDeI/wChXP61RuPhqoH7m7u0/wB+2DD81Jo5ELUwE8TW&#10;7EeZFIvvgGr1vq9jcvtSUBvRuKjn+H15GT5d7at/v7oz/wCPDFZ0/gvWUyUgjmH/AEylVv61Ps0x&#10;3Z2dnpf2gB/Oj2egYGtm20+0h9Hb615HFY6tazKqJPExOAQSAPxr07SNZm0nRljaUTagc77iYgiM&#10;f7Ix19zmodNj5jobkWFhbpLfMVYENHBH99/Y+gqrIt1qsQudTk+w6Wp/dwJ1f6DqT7mqulvaFPt0&#10;u/UNQkPyq4O1T/eYnr/KrFxcMZjPcy+fcY4J+6g9FFWrRFclkmH2cQpH9ksR92FD88n+8aqNK85E&#10;USbV6ACmBZbtycnb3Y9KvIsVqmB/9c1m53BahBAlsvmOdz+p7U2e6aQ7FyB7d6id3nfAGSeg9KsR&#10;xLCNzHLVIhscCxjfL97rjtTZJHlJC5psjtM2AalBWCMAdSOc96YFR4WUgsanSNhb+eDwjgVJFEZm&#10;3v8Ad7D1q2fLWzZpW2wjJ+pxTQHI6rJdw6hI0bOEJGB26CoBq12nDIrf7y12bQRS20JKhsrk1XfT&#10;7d+qD8qks5kaypH7yxiP4UG/s2PNgn4V0f8AY9s38AoGh239wUho5hprGQfLa7T9ahaOJ2wkeK63&#10;+w7YfwinrpUAI+UUFIxtLhUOjOufLOVHvXTo5kXOADUC2kMZIVasIoUdakQ4qp6qKaY0/uA/hT80&#10;maBDDbQt1jX8qkhtoo3DIuD7UA1IhxVALIzbcAnH1rOaJi5NaRbIqEgZptthYrKpFTJmlOO1ICfS&#10;oYEhY4pmaM8U0kUwAmm5oY03NAAWIo3GmEnNJk0gH7qAeai59aUE0wJcimMabkmkJpgKTUkfWos1&#10;JEOQaQE2OaWkPWjmqRIHpSUc0ZqgCijNFAGU3irUmTYGjA9lx/Ksm4u7u7J8+4kf2zgfkKqksOtL&#10;uNcntbqzOj2diUKFGAMVVljfcW5qfcaDcqOGqLRezKu0Ui7qP4hUsM8hHJzVkSxOOGU07bGTwB+F&#10;Fn0Ycy6oRZTilD5bAFKFXHFNEYV8g80/3nQXusHnSN9rHBpVmjbgMDUFxbtJJuBFRRwSq+SuPpRz&#10;zW6HywfUvYRuoBpfKQjAUVHBZT3HCfKP7zHFatvpSRpmSYu3oOlS6q6oOR9GUQBgACnINrq3oQa0&#10;HsVx8uRUbWZA6mlz0mPlmiaae1unLyh1Y1D9ktGOUnI+tRG3YehpGgkHRa0Uk9mZ2tuWPsSkfK4P&#10;0qNrMp6GofmXsaUSNjhmFXd9xWHfZ/VaYturTKhJG44JqQXMg/iz9RS+e2eVU9O1NSaCyIDEQcUv&#10;ltU4mUkkpyad5sR6jFHO+wuQqFW7Cm4OelXv3J74pwijPRgaFUQuSSM5grH5gCfQ9qjEMechcH1B&#10;xWHrmi65Nqs1zaE+ScbNknoMdKy2bxPafejuMepXcK1Ti+pNmjsx5q/cnlH/AALP8808XN0nSYN/&#10;vp/hiuHHibVbfiaBTj+9GRVmLxmek1p+KtVW8wv3OyGoXIPzRxv9CR/jT/7QBH7y1OPbBrlYvF1i&#10;3345U+ozV6PX9NlH/HyFPuMUe8F0bourQ/ehKfVSP1FSJc2oPyXLofRZCP51lR31rMMx3EbemGFT&#10;oomYAYck8Y5ppsNDZS7uAMQ37n2bDVHdade6rCGkuYoI48sZxEqjPoeP5U06dZaeqz6mN0hGY7VD&#10;8zfX0q3LC9xClzrT/ZrNcGGyi4LY9u31PNaRuS7dDB07S7rUJGVCFjjzuuGOEwO9NGlO1zvnl3wK&#10;5VVAGJB6/Stq4unuYdsgW0sU+5bpx+dMlKmKEoMLkYFNyFYS5uBboqIFQbeoFZtjcR3968OSQg3E&#10;jvVLxNPItzFEjYVo88d+T/hT9AtZrXzJ5BtMi7VB69ayk7iOiMixrtUfhUA3zSYAz6n0psavO+F4&#10;Xuxq3uWBNq9akAUJbpx97ufWoWZ7h8D8T6UgDzuAD0+8fSpiUhTYv4mkAfJbrgDJ96SOPzG3vnHb&#10;3pI42lYFvu/zrQhiBUs+RGvX39hTV2AsUKiJpZTiLt/tew9q5rX9VN1byxRECLYRkd+Kt63qrTfu&#10;IiFQDHy9vYVzko/0SX/dNTOf2UaRhodvCcWyD0UU+m265g5/uU7tSuNjlOOafvqKkJIFCETZzRUC&#10;yU7zPemO48+tIGpXOIUb+9n9DUIfnFIVibNAPNM3e9G73oKJgaeDUAan7qYEm6mk80zNANMmw6kH&#10;FKDmmlsHFILDj0ppAxQTxTN1AWBqbilozQFhpFNxTyc000BYbSHilpD0oCwCgigUtAWGmn255NMP&#10;NPhGM0ASK7H7wx+Oafmm0VSJHFjTdxoNJVDsLuNFJRQFjkiQabgEYpJFb0NNAIrg5v5kdCQ8gbcV&#10;WlgZuhFWP4eage4CMaXusfvFU20y/wAOakiZ0GCGqf7SvkNO4ZYkOC+OKI7y3lUESpj34rRU9NA5&#10;+5XfVIYQdzZPoKrNrshb91b5HqTWuILWUcxxsT7UHT7Y/dXb9KtRsQ5XM6PXE/5aQsv0OatR63Zt&#10;xvKn/aFOfSUJ+WT8xVWTRjz8iNn04qiTTivreQ/u50J9jVpZ3AG2U4+tcnPo0yHKRkfrVYrdwHG6&#10;RPzpOMXuF2d4l5Mo+/n6ipo9R/56Rhh7HFefrqmoxHiXePQjNWofElyvEsSN6kZFL2MQ52dw13bs&#10;fuMB71Iktu38RFclF4hjIG6J/wADmrkesWjY3OVP+0MVLoroUqh0myN/uup+tRtahj1rLS8t5PuT&#10;qfo1TrIf4XP51HsWtmUplk2Z7YNRm0YUwXEqnhsipVvJB1AIpclRbBzRIjbuO1MMTjoKuC7U/eSn&#10;C4hPWjmqLoPliyiY2H8NJjHtWmrQt0I/Ol8qM+ho9u+qFyLozMDt2Y04Tuv8X51da1Q9sfSo2sge&#10;hoVWD3QOLWxUZ1cfPEj/AFGarS6fps+fN0+A5/2BWi1i3ZhUZtJh/CDVc0O4ve6mNL4Y0KX/AJdm&#10;jPqjkVVl8E6bIP3V3Oh/28N/hXQ+RJ/cPXFXFsobOFbnU3MMR5WIffk+noPc1pCMpP3WQ2uqOMh+&#10;HF3O7G1voii8s7gqFH1ro9EsE0lhaaKHvdRYYkvH+6nsgPA+prTWO71uEM5Gn6PH2H8X/wAUaU3o&#10;8k2Ojx/Z7Xo85+/Ifc967ILljrqZu3QVRbaRKWBF/qz8lzykZ/qff9Kryu/mtc3khmuD6ngfSoy8&#10;VspSIZY8sx6k+9VGZpX2j5ialzuSVL+5kmuV3Mcdh2Fa/P2S3+gxWLdwGKZSevOa2R/x4230FJFE&#10;d5ZQy3kdzINxVMAHpU8UPnYZvuDt60Xlr9pi2GVkBA5WpGYRoADwBgVHOm7CcdLkjOqLtGBUChp2&#10;68dzTQpmbqQo6mpyyom1e1CabsFtLjmZYk2oKjiQzNuP3f50IhlYddtaVvbjJz8u0ZJPQCha7Cas&#10;EMA25ZtqDkn/AD3rL1fVCB5EPygcADtS6zq6wKLe36joO49zWAWLJknJ9aU58uiLhC+rGSE7agl/&#10;49H/AN01PJ9yoJf+PZx7GsFubncxMFix/s4o5pi4wMdMU8tg1oYhSEcUb6N1UgsMopSBSAkUBYml&#10;bdbQpjlc/wA6g4yeakkPIHYdKi4oGO4pKKKAHBqkDcVFinDNMCTcKcGFQHilDUAT5HrTG5PWo91I&#10;DzQBKx4puaQnim0mwHg5ozUeSOlG6i4DiaQmm7uaQmmA78aaxGKTimt0oAN9OzUdAalcCTNSRH1q&#10;EPxUkZpksnzRmo88mlzVIkfmk4pu6jdVAO4opu6igDPi8W6VecXNpbt+GDVlU8OXvIV4T/sNn+de&#10;YmM56UoMkfKswP1rl9s3ujrlSR6Y3h2wm/49tTX2Eg/wqlP4MuzzG8Ug/wBhua4mLVL2IgLM5Hoe&#10;a0bfxRfwHOc+4yDT54PdE8klszpNa0u6m0qC0WylgEJzhVBV/c/lXHz6PPCx3RNn2rorXx7dREBy&#10;/wCPzCtaHxzZXOFu4LeTP95cGtFKDIcJHnbwXMByglT6gin/AG+/t8YlZh7jNemC78NX4w9sEJ7x&#10;tj+VMl8PaFdD91eMme0qg/4U+VPZkO6PPYfEFwrAOiN+lXl1xAB5kDgeqnNdJcfD2ObLQTQSe6Pt&#10;NZVz4I1G3B2xS7O+AG/lT5BcxBHrFk+B5u0/7Qq15tvMANyMD2yKwbnw3cx5yrKw/vAiqj2V4ke1&#10;4n46MtS4FXOmfTrOQfNAn1HFVJPD9m5+QyIfY5rKiuL23gG4yrjuQcfnU6a5OnyuRkf3hSswJn8O&#10;sM+XcfmKhOkXseQUSVPY1di1zcMvED7qami1y1c4IZPqtGoGDLpUoyyxyofQ1oWWg6qsCXUt0tpA&#10;/wBxpHOW/Ac1tRXltMNyyoR7nFTMqToAwEids8immJlU6NrqRpLaXltdo+cBWGePY81E8us2sYef&#10;TvMj6FozwPyq6lrGnKAp/utgVBLpULxmNSyqecKxH8sU9A1LCPKLQXNxaTwQno5Tcp/EUxbyzZcp&#10;dwt7A4/Q1HZQXmmQMtpfz7QciFmBQn8QcVaOl2msaZ++iisNTVj8yfckosg1EjkjlPySKx/2SDUm&#10;WU8Mwrj9R0m802bBVwD0ZDkH8RUUepX0GFW6l46BmJH5VLgPmO3WaUdHP481ILuQDt+VchD4ivoD&#10;iWOGYH++MH9MVpReI7dsCe1lj9Sjhv0OP51DpJlKZ0IvD/EmatWha8lEcMbbsZJHb3qtZW9vPYi/&#10;nme2tOxlTDP/ALvr9aBc3mtsbDSIDbWS/fcnkj1Zv6VUcJGW6B1WtmWrvVbbTX+z2Ci8vycBsZRD&#10;7epqL7BHZv8A2hr8zXF03K22cn/gX+FKktnoY+z6Youb4jElw3RfZfQe9VNm1zPcuZZ26k9vpXVF&#10;RpRtExb5tWS3M9xqTB7s+XbrwkC8AD8P5VDJcAJsQBU6VFNOX6nj0qNImlIzwg/Ws5SuA5I3nbC/&#10;d9atQ2whPP4mnpKsagbAAPSo5J88ngVh7zkW+VR8zNv/AJpM+9aAz9jt/oKz7rO4Mwwpzir4/wCP&#10;S3+grpJRNIxGDntUDMXYYBKjr71ZMfmMuT8oFKwRRjIrmnK0rR3LUerI0kO3AXAoX535ztHX3pyR&#10;mTnov86vW1odwO3LdQvp7mkl0W4vN7Eltb7sY4OOp6KPWqmr6qltD5UJ+mf4vc1Jqepx2UBijbOR&#10;1/vn/CuRmmaaRpHOWJ5rVtU48qCCcndkEkjyXDM7ZbrmrPSMVVP+sNWQfkFYG42Q/LUb/NC2fSny&#10;dKai+YyxZI3dcDOB60LcT0R24GAKj70biaK1MgpKWkpoAJNA+lIRQTQA48mk20uc/liigAxRiiig&#10;BRTsHbmo81sSXVlLpjKYSLkBFVvQADP65ppXAyW602pCM0mKAGUtGKKAFzSUUUmAU2lpKSAQ0lBo&#10;NMBKDSZpM5pXAQ02nGkFAgqSM1HT14poGTUU0GlzVImwZozRSUwFzRSZooEebEYprfdIxSvIi9TU&#10;JkZjhFJHvXEl3O9sDx0FNLHtTxFIw5bA9AKcICDnec+tPQm7ItxPGKXCmrAWMjDLtP8AeWmNAVHB&#10;DD1pu3QdyMAqcqSPxNWIr69h+5cSDHbOai2ZpdhqeYVjRh8R6jAwLOrY+orXtfHt3FjeZB9G3fzr&#10;lvLPc0nliqVRrqDgmei2/wAQYZcLcLE3++lXE1bw/frmSyiUn+KI4/livLinpSKrJ0OMVarSIdNM&#10;9VbStBvIjHHdSxK3VXwyg/jWfN4Bt5lP2W5t5F9Mla4OK+u4OI55F9s1fg8R6hCRl1b8MH9KtV+6&#10;IdLzNa6+H19EhEay7fVGDCseTwzeWy7XV+OeVIrYtfG93CfmMgHs2cfnW1b+PlddszIw7iRar2kG&#10;J0pI4FtNvFPzKwT/AGeaktr+9sG8m2nlVHHKt0/I16Omu6FfjE9jAx7lDg/4/rSnTvDl2PkeWAn3&#10;yPyNVo9jNxaPPv7UuYFy02Sf73apIdelZjmNWX1HFdjceB7G85gu7eX0DDaf0rLuPAF5DnyoyfQo&#10;wb9DT5AuZUfiO3LFZEZSO+c1ai1mylOPPUfWsu98H38HDCQY/vqRVB9Hu4kIVMkf3eaXKF0detxB&#10;MNqyIw+tJJa20y/PDG491rhPIurdvmjcARII7fcfXkV02gadqmoKZ3ma0sY/v3Eh+X6D1o5WBpRa&#10;JZXMgjjsVkY9AM/41Ym07Q/D8iySRC8vx92AtmOM/wC0cc/Spm1aSTGmaDFIxcbXuCP3kn+AqeOy&#10;sPD6ie+23eodViHKoff1NbRhbVkt32I4tNudTI1LXLhoLXHyJ0LD0Vew96km1F7uIWemxi0sBx8v&#10;Vvf3NV55LrVJTcX7nb/DH0A+v+FNluNq7I8Ko9Kcp2BIUGO1QpGMt3Peq8suMkkkmoy+WwvJNWrb&#10;dbP5gxvI6kZrFu4GRJcvvDJg+xqza3s87AeQAO7A1s/bFYYktbeQ+pSqTFVJKqqlj0UcUhiPLtGW&#10;PFJZ3FtPIVZy0n8K44/GriabZ3cAE128cp5IA4FVP7LTT7vKXKyAA4IHIoEQ6jgsAOxNWV/48bf8&#10;Ko3bbmyOner54soPoKsC2Wwo47UxI2lPQ7fX1q3a2D3mWJ2oo5PqfSpoYWjfaV6HCqO9Yzjrpuy1&#10;57DLeA5T5ck/dX+ppNS1CLT7Vl35I++w6t7Cpb68j0+3fLjzCPnYdvYVw+o3rXjFiSFH3R6VWlNW&#10;W4K83foNlu5LyZpHP0HoKCTioIDwalyawbu7m6VkNP8ArDVgfdFVyf3hqwDhRSAjnbamcEkngDua&#10;lybC0D5/fyMAPbnr9MHA+pNJbKsz/aHz5aZ2/wBW+vUD/wCtVe5kM8gdhwZEUD0G4YH9K0XurUh6&#10;nbfSikPFLmqJCikzRkU0SwNFGc0UDFozTcUmaAJN/vS7+KixS80APpS2BimDOKQg0APLUm403FKO&#10;lADs0maTmm59aGBKc000FqaWoQADSZNNzRmgAzRnmkpKAFo703PFGakANNFKaYTxTEOzUinioeae&#10;p4poCUGn1EDzTt1UIfTTRuppamIMe5oozRQB5wvkn7rZPq1TrGAOCD9KzwuAKeCwHBxXDudqRfCU&#10;FQO1UluJ06HP1qZL7J+dAanlY0ybaD2pyphGFItxC3XIPvUqBXDbWB4GcfWqhe+oprS5XZPam7au&#10;eXUbQ89Ki5RBijA9KkKEdqNtMdiMoKXYPSnkUAUDsiMxnNRmPmrOKTAoFYg2UbR6VPijaKLhYrFM&#10;HIYg1JHdXcB/dzyD23GnsgxTQpzVKTQnEuReINQiI3Mrj/aHP5itS18b3UJ+YSLjptbI/WueKc8i&#10;kMSkcrVKpJEuCO9tfiEOBJKpB7On+RWrBr+laowR7CCdmOAEAJP4V55pPhy71iQmFfLt1+/M/CL+&#10;NdJBPY6An2bRE868b5ZL11yx9kHauqlzyZz1FFbG/q0Ph7S0WWS3Y3J+YWwfOfr6CsZINT8TP5kr&#10;rb2EXttjjHsO5qW30WK1Q3+vSnJ+dbct8zf7x7VFd6ndauFigAt7FOFVBgY9vf3rpdkYWLD6jbab&#10;G1hocRMh+WS4blif6CqUcAgbzpnMkx6se309KAYrRNkaDjv3qB5Wb7xrOUykiWWfdkZxiqM9yY0y&#10;AT9BU9rJBJcATt+6U5YA8muiEWgXAGI3gPqrGs07jOI+2uDuAINaNnNcyDfJ8q9h3q9e2tik+23Y&#10;yIvd1HWi3tLi9kMdrGWIGSfSixNiCa5WFMk4qCPUoScsDkd8VLe6DeA7popRx6ZFQ21gsJ3yHcR0&#10;FAjRRw6hgTg/hUe4SzpFng9TT4re4vA6wbeMAknFPj0iexcXFxIgI6KDnNNIZU1BAihQMAZqcH/Q&#10;bf8ACoLwl5Mn16VY/wCXGH8P51QWN/TpxHZMvJYtnA7nFLc3K2SNlh57Ahj2Qeg96q2tyltbF+sv&#10;8JPRRXN6hqBupCin5O/vSlJRVxqLkyrqd815IcEiNeAPWqMn+q5pzD5j9abLzFXK227s6FFJaCQd&#10;DUw6VDB0NTDpSGM/5aGpApuHWBc4H3yOuD0A9zVaWQo+1RukY7UUdzWlBH9jtQdwaVuQ3944wW+n&#10;UD2q4rqyZPWwXLbU8lcfLjdj16fliqD/AH0H/TVP/QhVknKmoDzND/12j/8AQhSvdiasjtSaWgcm&#10;lUZrQgMUmPanFSq5NNzTQBRRRQAdqbTqKAEFLQBiigAooooAKKKKACkOMUjZpOTikxMdTT1p54ph&#10;60AIDijNJRQMKQ0tNNABSUZpCeKBCGmMcck8U+mMMjBGaYIQNUw7VWjiETHazFewJzirPagTHilp&#10;oNLVAKaSkbpSZoQDqKbmimB5q1C9KKK4UdoppG6UUVQAvSrNtxbT/QfzooqluKfwktizEcsT+NXm&#10;60UVzlET1EaKKooQ0hoooAKKKKACiiigBO1IOtFFADm601qKKYmeheIh5HhfS44f3aMmWVOAT6kC&#10;qvgZEk11d6q2EyMjOKKK9SlscE/iKPiOR5NWUO7MDPggnOavAAAgDA9BRRTmIzzy5qtdcRtRRWDG&#10;Y+cDNaWmOzEgsTx3NFFZx3LexoN98Vp6IzKkm1iMt2NFFamZv6jI40eQh2Bx61yclFFUyR0/7qUC&#10;P5Bx93inFmZlDMSM9zRRQCK033qn/wCXGH8P50UUFCaiSNOfBxxWEn3qKKyq7GlMib7xqOT/AFZo&#10;orE1CLqamHSiikBUX/kJP7QuR7HFbN7/AMf0w7AoAPT5aKK0XwES+IrHoar/APLaH/rtH/6EKKKj&#10;qN7HbpSjrRRWpmx0n3FqOiimgCiiigAooooAKKKKACiiigAooooADSL2oooAc9NPWiikLqMpKKKB&#10;hQaKKAImpBRRQJC0hoopsY3vT16UUUkJjxTqKKoQjdKbRRVAFFFFAH//2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AZlLvJvQAAAKcBAAAZAAAA&#10;ZHJzL19yZWxzL2Uyb0RvYy54bWwucmVsc72QywrCMBBF94L/EGZv03YhIqZuRHAr+gFDMk2jzYMk&#10;iv69AUEUBHcuZ4Z77mFW65sd2ZViMt4JaKoaGDnplXFawPGwnS2ApYxO4egdCbhTgnU3naz2NGIu&#10;oTSYkFihuCRgyDksOU9yIIup8oFcufQ+WsxljJoHlGfUxNu6nvP4zoDug8l2SkDcqRbY4R5K82+2&#10;73sjaePlxZLLXyq4saW7ADFqygIsKYPPZVudAmng3yWa/0g0Lwn+8d7uAVBLAwQUAAAACACHTuJA&#10;2Tk3hxMBAABIAgAAEwAAAFtDb250ZW50X1R5cGVzXS54bWyVkk1OwzAQhfdI3MHyFsUOXSCEmnRB&#10;ChILqFA5gGVPEpf4Rx4T2tvjpK0EVVqJpT3zvXlv7PliazrSQ0DtbEFvWU4JWOmUtk1BP9ZP2T0l&#10;GIVVonMWCroDpIvy+mq+3nlAkmiLBW1j9A+co2zBCGTOg02V2gUjYjqGhnshP0UDfJbnd1w6G8HG&#10;LA4atJxXUIuvLpLlNl3vnWw8NJQ87huHWQXVZhAYC3ySeVk9TyJs4xs6jQTo8IQR3ndaipgWwnur&#10;TsJkhyAskWMPttrjTUp7ZsJQ+Zvj94AD95ZeIGgFZCVCfBUmpeUqIFfu2wbo2WWRwaXBzNW1lsCq&#10;gFXC3qE/ujqnDjNXOflf8eVIHbX5+A/KH1BLAQIUABQAAAAIAIdO4kDZOTeHEwEAAEgCAAATAAAA&#10;AAAAAAEAIAAAAMT5AABbQ29udGVudF9UeXBlc10ueG1sUEsBAhQACgAAAAAAh07iQAAAAAAAAAAA&#10;AAAAAAYAAAAAAAAAAAAQAAAAivcAAF9yZWxzL1BLAQIUABQAAAAIAIdO4kCKFGY80QAAAJQBAAAL&#10;AAAAAAAAAAEAIAAAAK73AABfcmVscy8ucmVsc1BLAQIUAAoAAAAAAIdO4kAAAAAAAAAAAAAAAAAE&#10;AAAAAAAAAAAAEAAAAAAAAABkcnMvUEsBAhQACgAAAAAAh07iQAAAAAAAAAAAAAAAAAoAAAAAAAAA&#10;AAAQAAAAqPgAAGRycy9fcmVscy9QSwECFAAUAAAACACHTuJAGZS7yb0AAACnAQAAGQAAAAAAAAAB&#10;ACAAAADQ+AAAZHJzL19yZWxzL2Uyb0RvYy54bWwucmVsc1BLAQIUABQAAAAIAIdO4kBMk4z+1gAA&#10;AAUBAAAPAAAAAAAAAAEAIAAAACIAAABkcnMvZG93bnJldi54bWxQSwECFAAUAAAACACHTuJA50+y&#10;y7QCAAB/BwAADgAAAAAAAAABACAAAAAlAQAAZHJzL2Uyb0RvYy54bWxQSwECFAAKAAAAAACHTuJA&#10;AAAAAAAAAAAAAAAACgAAAAAAAAAAABAAAAAFBAAAZHJzL21lZGlhL1BLAQIUABQAAAAIAIdO4kC0&#10;7Ywb22oAANZqAAAVAAAAAAAAAAEAIAAAAC0EAABkcnMvbWVkaWEvaW1hZ2UxLmpwZWdQSwECFAAU&#10;AAAACACHTuJAgJFRWByIAAASiAAAFQAAAAAAAAABACAAAAA7bwAAZHJzL21lZGlhL2ltYWdlMi5q&#10;cGVnUEsFBgAAAAALAAsAlgIAAAj7AAAAAA==&#10;">
                <o:lock v:ext="edit" aspectratio="f"/>
                <v:shape id="_x0000_s1026" o:spid="_x0000_s1026" o:spt="75" alt="61b3bf772f345520a1c3a160f00abb8" type="#_x0000_t75" style="position:absolute;left:6083;top:4538859;height:3123;width:4163;" filled="f" o:preferrelative="t" stroked="f" coordsize="21600,21600" o:gfxdata="UEsDBAoAAAAAAIdO4kAAAAAAAAAAAAAAAAAEAAAAZHJzL1BLAwQUAAAACACHTuJAWUG1F7sAAADc&#10;AAAADwAAAGRycy9kb3ducmV2LnhtbEVP22oCMRB9F/oPYYS+SE20ZZGtUbRQ9KnUywcMm3GzuJks&#10;SdbL3zeC0Lc5nOvMlzfXiguF2HjWMBkrEMSVNw3XGo6H77cZiJiQDbaeScOdIiwXL4M5lsZfeUeX&#10;fapFDuFYogabUldKGStLDuPYd8SZO/ngMGUYamkCXnO4a+VUqUI6bDg3WOzoy1J13vdOw2nar7d2&#10;dfz96OVm1YX30RqbH61fhxP1CSLRLf2Ln+6tyfNVAY9n8gVy8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UG1F7sAAADc&#10;AAAADwAAAAAAAAABACAAAAAiAAAAZHJzL2Rvd25yZXYueG1sUEsBAhQAFAAAAAgAh07iQDMvBZ47&#10;AAAAOQAAABAAAAAAAAAAAQAgAAAACgEAAGRycy9zaGFwZXhtbC54bWxQSwUGAAAAAAYABgBbAQAA&#10;tAMAAAAA&#10;">
                  <v:fill on="f" focussize="0,0"/>
                  <v:stroke on="f"/>
                  <v:imagedata r:id="rId131" o:title=""/>
                  <o:lock v:ext="edit" aspectratio="t"/>
                </v:shape>
                <v:shape id="_x0000_s1026" o:spid="_x0000_s1026" o:spt="75" alt="c77d0e936240a4ff8dd9f8a0cfbefaf" type="#_x0000_t75" style="position:absolute;left:10454;top:4538872;height:3080;width:4107;" filled="f" o:preferrelative="t" stroked="f" coordsize="21600,21600" o:gfxdata="UEsDBAoAAAAAAIdO4kAAAAAAAAAAAAAAAAAEAAAAZHJzL1BLAwQUAAAACACHTuJABUdV8r0AAADc&#10;AAAADwAAAGRycy9kb3ducmV2LnhtbEWPT2/CMAzF75P2HSJP4jaSgkCoI3BgmsaBCwztbDWmKW2c&#10;qsn48+3xAWk3W+/5vZ+X61vo1IWG1ES2UIwNKOIquoZrC8efr/cFqJSRHXaRycKdEqxXry9LLF28&#10;8p4uh1wrCeFUogWfc19qnSpPAdM49sSineIQMMs61NoNeJXw0OmJMXMdsGFp8NjTxlPVHv6ChXaW&#10;zr+L4jt8pnmbu0m/303P3trRW2E+QGW65X/z83rrBN8IrTwjE+jV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R1XyvQAA&#10;ANwAAAAPAAAAAAAAAAEAIAAAACIAAABkcnMvZG93bnJldi54bWxQSwECFAAUAAAACACHTuJAMy8F&#10;njsAAAA5AAAAEAAAAAAAAAABACAAAAAMAQAAZHJzL3NoYXBleG1sLnhtbFBLBQYAAAAABgAGAFsB&#10;AAC2AwAAAAA=&#10;">
                  <v:fill on="f" focussize="0,0"/>
                  <v:stroke on="f"/>
                  <v:imagedata r:id="rId132" o:title=""/>
                  <o:lock v:ext="edit" aspectratio="t"/>
                </v:shape>
                <w10:wrap type="none"/>
                <w10:anchorlock/>
              </v:group>
            </w:pict>
          </mc:Fallback>
        </mc:AlternateContent>
      </w:r>
    </w:p>
    <w:p>
      <w:pPr>
        <w:spacing w:line="360" w:lineRule="auto"/>
        <w:jc w:val="center"/>
        <w:rPr>
          <w:b/>
          <w:bCs/>
          <w:sz w:val="21"/>
          <w:szCs w:val="21"/>
        </w:rPr>
      </w:pPr>
      <w:r>
        <w:rPr>
          <w:b/>
          <w:bCs/>
          <w:sz w:val="21"/>
          <w:szCs w:val="21"/>
        </w:rPr>
        <w:t>图5：淄博齐鲁数谷实训中心</w:t>
      </w:r>
    </w:p>
    <w:p>
      <w:pPr>
        <w:spacing w:line="360" w:lineRule="auto"/>
        <w:jc w:val="center"/>
        <w:rPr>
          <w:sz w:val="21"/>
        </w:rPr>
      </w:pPr>
      <w:r>
        <w:rPr>
          <w:sz w:val="21"/>
        </w:rPr>
        <mc:AlternateContent>
          <mc:Choice Requires="wpg">
            <w:drawing>
              <wp:inline distT="0" distB="0" distL="114300" distR="114300">
                <wp:extent cx="5325110" cy="1987550"/>
                <wp:effectExtent l="0" t="0" r="0" b="0"/>
                <wp:docPr id="226" name="组合 226"/>
                <wp:cNvGraphicFramePr/>
                <a:graphic xmlns:a="http://schemas.openxmlformats.org/drawingml/2006/main">
                  <a:graphicData uri="http://schemas.microsoft.com/office/word/2010/wordprocessingGroup">
                    <wpg:wgp>
                      <wpg:cNvGrpSpPr/>
                      <wpg:grpSpPr>
                        <a:xfrm>
                          <a:off x="0" y="0"/>
                          <a:ext cx="5325110" cy="1987550"/>
                          <a:chOff x="6122" y="4543151"/>
                          <a:chExt cx="8386" cy="3130"/>
                        </a:xfrm>
                      </wpg:grpSpPr>
                      <pic:pic xmlns:pic="http://schemas.openxmlformats.org/drawingml/2006/picture">
                        <pic:nvPicPr>
                          <pic:cNvPr id="117" name="图片 14"/>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6122" y="4543151"/>
                            <a:ext cx="4127" cy="3131"/>
                          </a:xfrm>
                          <a:prstGeom prst="rect">
                            <a:avLst/>
                          </a:prstGeom>
                        </pic:spPr>
                      </pic:pic>
                      <pic:pic xmlns:pic="http://schemas.openxmlformats.org/drawingml/2006/picture">
                        <pic:nvPicPr>
                          <pic:cNvPr id="116" name="图片 11"/>
                          <pic:cNvPicPr>
                            <a:picLocks noChangeAspect="1"/>
                          </pic:cNvPicPr>
                        </pic:nvPicPr>
                        <pic:blipFill>
                          <a:blip r:embed="rId134"/>
                          <a:stretch>
                            <a:fillRect/>
                          </a:stretch>
                        </pic:blipFill>
                        <pic:spPr>
                          <a:xfrm>
                            <a:off x="10466" y="4543188"/>
                            <a:ext cx="4043" cy="3088"/>
                          </a:xfrm>
                          <a:prstGeom prst="rect">
                            <a:avLst/>
                          </a:prstGeom>
                        </pic:spPr>
                      </pic:pic>
                    </wpg:wgp>
                  </a:graphicData>
                </a:graphic>
              </wp:inline>
            </w:drawing>
          </mc:Choice>
          <mc:Fallback>
            <w:pict>
              <v:group id="_x0000_s1026" o:spid="_x0000_s1026" o:spt="203" style="height:156.5pt;width:419.3pt;" coordorigin="6122,4543151" coordsize="8386,3130" o:gfxdata="UEsDBAoAAAAAAIdO4kAAAAAAAAAAAAAAAAAEAAAAZHJzL1BLAwQUAAAACACHTuJAYgpn89UAAAAF&#10;AQAADwAAAGRycy9kb3ducmV2LnhtbE2PQUvDQBCF74L/YRnBm91dgyXEbIoU9VQEW0G8TbPTJDQ7&#10;G7LbpP33rl70MvB4j/e+KVdn14uJxtB5NqAXCgRx7W3HjYGP3ctdDiJEZIu9ZzJwoQCr6vqqxML6&#10;md9p2sZGpBIOBRpoYxwKKUPdksOw8ANx8g5+dBiTHBtpR5xTuevlvVJL6bDjtNDiQOuW6uP25Ay8&#10;zjg/Zfp52hwP68vX7uHtc6PJmNsbrR5BRDrHvzD84Cd0qBLT3p/YBtEbSI/E35u8PMuXIPYGMp0p&#10;kFUp/9NX31BLAwQUAAAACACHTuJALQglWOoCAADxBwAADgAAAGRycy9lMm9Eb2MueG1s1VXdbtMw&#10;FL5H4h2s3HeJ07TNorXTaLcJCUHFzwN4rpNYJLFlu+0mxB0ScMc9j4LE20x7DY7tJNu6SUwwIXHR&#10;9PjnHH/nO9+xDw7P6wptmNJcNNMA70UBYg0VK94U0+Dd25NBGiBtSLMilWjYNLhgOjicPX1ysJUZ&#10;i0UpqhVTCII0OtvKaVAaI7Mw1LRkNdF7QrIGFnOhamJgqIpwpcgWotdVGEfRONwKtZJKUKY1zC78&#10;YtBGVA8JKPKcU7YQdF2zxvioilXEQEq65FIHM4c2zxk1r/JcM4OqaQCZGveFQ8A+s99wdkCyQhFZ&#10;ctpCIA+BsJNTTXgDh/ahFsQQtFb8TqiaUyW0yM0eFXXoE3GMQBY42uHmVIm1dLkU2baQPelQqB3W&#10;/zgsfblZKsRX0yCOxwFqSA0lv/rx6fLbF2RngJ+tLDLYdqrkG7lU7UThRzbl81zV9h+SQeeO2Yue&#10;WXZuEIXJ0TAeYQykU1jD++lkNGq5pyUUyPqNcRwHCJaTUTLEI+xLQ8vjNkQ6TAGg9R/ioXMOu7ND&#10;C7FHJDnN4NeyBdYdtn6vUfAya8WAexut2Sw5XSo/uGYM40nH2OX3n1dfPyOcWNTWxe7yPsSCeSHo&#10;e40aMS9JU7AjLUGYQITdHd7e7oa3DjyruDzhVWU5tvbjdgpSGavPGAhAPV9hIBh634AGpOKNcZKG&#10;Gr7Qxp5uq+lE/SFOj6JoP342mI+i+SCJJseDo/1kMphEx5MkSlI8x/OP1hsn2VozSJ9UC8m7DsPJ&#10;nZrcq+C2y3xvuB5DG+I62RLnAHX/DiJMWYYsVm0UM7S0Zg7kvQbCvU+/4Ji+JteWQYPArceOpO+X&#10;ZqftBMegg1aYvqTXEaTS5pSJGlkDOAYYjlSyAcAeULellYLH4MABJK8mMP6FnPsLoJOzy+a2Pv8n&#10;Ocf+Dukr/ghSwFEyBpq6aypN/RG9FqJk2Goh8mv9JQXE/bUW3EUHL4ETfftq2afm5hjsmy/17BdQ&#10;SwMECgAAAAAAh07iQAAAAAAAAAAAAAAAAAoAAABkcnMvbWVkaWEvUEsDBBQAAAAIAIdO4kCOvjfj&#10;bz0BAGA9AQAVAAAAZHJzL21lZGlhL2ltYWdlMS5qcGVnAACA/3//2P/gABBKRklGAAEBAQDcANwA&#10;AP/bAEMACAYGBwYFCAcHBwkJCAoMFA0MCwsMGRITDxQdGh8eHRocHCAkLicgIiwjHBwoNyksMDE0&#10;NDQfJzk9ODI8LjM0Mv/bAEMBCQkJDAsMGA0NGDIhHCEyMjIyMjIyMjIyMjIyMjIyMjIyMjIyMjIy&#10;MjIyMjIyMjIyMjIyMjIyMjIyMjIyMjIyMv/AABEIAd4Cd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XzimkCo5ZOmMioxI2Mjp0rv5Tzrj2b&#10;cnyHn070yNm+6wyf1pqv82cc+4pRKrNnB98VViR7xITkjp6VCYgQSnJPapTNkHA57VHGEY7gSp6d&#10;aFcdiEhlbB6+lN6nJ61YZxkjGRUPlxtwrYJPQ1aZNhhfOTnApN43AqeegNSrBEpOWzk9M4qVIo0+&#10;6B9aOZBykTxnBdcsfeoiTtzjHHQirnHrUUhBIUruB60lIHEp+bk5HHNIXySAMj1NTl1VsIML396Y&#10;zl0xnBrRE2GIuBkEkj0qXz+oOBUQG3BZgTjGPSmZJ5C8A9QKLXAsrOGBz2707epwAck1VEYAzznN&#10;NJwPuZ56UuVdALhGcjFRvErA9Rz1FR/MqhwwXPY80rSllIHDe1FmMGaWH7sp5GMZ60NLFnMibe42&#10;8e1V1dmPJJHcgdKQttBHAA61XKSW/KY58uTdjnaeDTDI68SRlT9O1QxkkngjBxnPFSCV1yq4dOcK&#10;fX/9VKzAeJFboRn0pHbahPWmfus7QdhLAZB4pXt50f5AHXGODijQCKSbJBVjgelKs4yAT171G8aq&#10;du4qecimMhEakED3xg1dkIs792cdR2qq7kHJOD6Ui5Cndg9uKkScP98AjPenawtx0DSE5PK4qxmo&#10;96spIPApc0LUiSHZprGkzTc0SFFagWAxnvUZlT174qOTdvwSPUAmoWR2kCDAI5xQkaE/nDdjGKil&#10;LM2ACQR1FRMu1sM/1NKHK8qD/SqS7EifMVAU9fWkUeXnPWlkfeoYAZ5/GkHmAEkBaYBjIyTznrSl&#10;gnXn6imBwzkjBxxwOaRiAep46CmA7zDIc4ODTsDAbP1zSFieMjb/ALVNYOcYHBOaAFJz9PapEZdh&#10;DcgetROjL1cZxSZ74J9MUPUCRgDJnblcdu1KYcJ8hxznmhZ/l5FPJfOV5GPWldgQ+W65Y9cdBTcj&#10;Ld/XmnmVgCeuBz7UheNkyRyfancVhqOWbI4CjvUhZjjAO3rkU0fNx0Qe/SmmQYaNMZ9fWmA53RCQ&#10;pycUkaMcMWOPrSIgjGZD9OacZDg46HoaGwsSkgCoS+72FR7iOSc0vQ80JAO385z0o83nPUYpnUHO&#10;TQ2fzpiJwwbOO1NdscCoA4U7hzSu+5/Q4osMUtxxTQPl64puO2cD608qw6c/SmKwhJyT7UqsR6gU&#10;0o3QjPOaCV6YpgTCTn2pQ4P41XyAuRxSqQRuI4pWAs5qPecHIIxSGQ8YXg96b5hZeDQgJQw45pc1&#10;BknvRuwKYE9JniohJgc9KRpPyoEPLnPtTMgim5yT6Zo59aYC8eppykg+1AGAaQDrTAk3igMCcVGT&#10;0pygcmkImFFRq2BjOaKBnWE4BK9B39acZBj5hnntSyKEUpnnvilSPAVlTdn1rzNLHbYikVpPlTDA&#10;c0wqY8krz1PtVpsjsRnuOMVE7LIDwBjvTTY7EG4neASeKVRwpLnOOlPV02H5FI6cgComdm43AHvn&#10;nFUTYXcivkk8cZHPNIwZc4UbT3pRhAo4II4OKGLbsAZ3cnjigLEe75QAcDFBJWMDJyBxTWUuc87h&#10;0xSkbucAkGqCw794yhucjqOlM3g8nknjpSoZN5bd07e1IZI/M8tkGD6dqLBYa0o6KV4FMMh9QSR0&#10;qSOKAZzktzuyMYFTCGDcPlGTyMmhySFYqpDK6ktjHYZ70oDRkE/fOfyq9lV4GAPSopJE2nv7Uuds&#10;fKVGkZlLZPocUKiLkndk5GaGjgxuUtjk8nimk4fduHNX00JsITuTrgZwOaGKgDnHXk0F1LgELz6i&#10;opHUfLuBA647mmkKw9c7Th16UhVWYHGVPUg4piFnG4RkgdDirKwlk5+U9eCTn60PQLDG2lcg57Yq&#10;FSWk2jIGRjB70+SOVZPlXKY7UwDavON2M49KaEOdyBgjLg9c08MWIOAOmF45NQDqJAecdCM0n3Ml&#10;iOnXFFgJhMw/1wDHODnsPY1I9tHM0flyld3ABGc1VDlMEMAW5P8AhUscm/aCcMOjZ5pNNbAEtq0Z&#10;ICZU8b155z3qB0YlgOBuIyBVlmnSQvGx+7685qJnSSYq6AMT8zKcGmmxNDFJimUAHkYxVzsMjmoP&#10;Id0cpIOByX4xUqLKiKJUIb1Jppoia0FPSmmnMccUzNTLccFoVrifYwHIpkrqUDMAWx1FWWRW6qD9&#10;RUFwQu3HBzjPpTTQ7EIJfJIB44zSMAFzuYE8E0jNtHIzzg5NRyOdihG+laEk4j3vkHIximhWYFMD&#10;/EUKTC+cZz2z0p0zAEN0wM5xSuOw3dHGmwrgng4pgcqwIBHak+ViGBH5daYzBecfe4ApoRKzxkMV&#10;Ug9zQkoZMnlh055qMlQD0B7giplCCLAxkDnFDsFiHzPMOMbh707oOpwPTpUZPPFNVs52/TJ9qYDz&#10;kDG7cRzTw5QErggYzioAQ7sB07t6VKzCNcR8kjk02A9nReVHzH0NKgAQM5z16dRUQXy1+ckA8jPW&#10;mlmuH+UdKBD/ADPMHlj5ew4qVVES/McnpTQFhAA6nvUROQzc0txisxZzknj0poPoR/8AWoyADg9u&#10;cmjYQoUdcUxDt2Onr9KZuyuT1FO8shRvJI9uKTC/dCkqO1FwsAkUg4xxSFhgEg8jpR8mQDjbUkgj&#10;QBtv0xRcLDQfQj/CmEgjsSTjNLwwwR1PcdaT5TnGB/KmKwo4GcZPpTlY4y3BpmW79z1pM9iec80A&#10;PLZ6gc9/Sk3dsZxxTMhmHFOB9B1pgA5I596kWXJPTFREjHtTcj5VOfwoAlM3Zvxo8sMAEY4FCMud&#10;27OfagMuflbnrQApib+9TGO0cjp7VOGBGc0yQnIwcUJhYj6inBsLil2q/s3qKYUKYGc5oFYUkH6G&#10;gD5sk800BugGfeniJjjcfrTATLD73B7UoIJ/nUuOMdqZ5Sntj6UXCwzOeOo9aXrx0oMOT97AoKMD&#10;1z2FO4rBtLcYP1FFSIpUcmii4HdtGrsCc5FVXSbzNqgFccHNT3EU8AZlBYE5yOf0pFnViAflOM15&#10;EXpc9Jop5eFiJH59BRuVuQ3H9KvMiuRuUH0yKrXNu8uArYXuK0Uk9xOLK7ANyxwQOvFRHckgUcsc&#10;1cSzWOPaGIOQc002xQHD5bqOMVSkhcjIxCWxvYnHvxmmGMZ3dMHpn2poeRAC6EDO08YpjBpCWZyi&#10;k4wBT1FYez7BnAwDjHrUHmM56NgfePtVpY4FVpGcybTzViN4WVQgC5GcUOSXQfKZTybgwXPpilWO&#10;VixRCA3AJ7VpSuqcZGTwPrVBpnC7ZUIG7knv3qlK4nGxKscnLM4DDpj+VIbZmfcZOfUVUSVAAOcu&#10;Ac+9SL5tuxaSTBIP0oaYhZwULbg2BgqfWmbwwBJUjODzV9G8yMMR1FMlEKgeYFwOBkdKSl0BxKGQ&#10;sZBPvhT0FJztRurHB69KnktizbkceXjO31qqzES7CTxyR0FWmmS0ITI5ZVBJ3ZODjipEgijcFyr5&#10;P4AU0uFJA5Xbye1ReapUsz8MAcDtT3EaSSRsxRMcenSmG4jD7SQMd81nRskkq4BJJ6Crk0AdcqNp&#10;PUY61DST1GRSSFSxBbb3qPlhkfxU3LoqiRSCec1EtwWLIFbAH8PrWiJaJwSJWxwMYqNpWIATlgcY&#10;qJpJDt2xMT1IwetO3n5uNpC5OaYrEkcSmZTIxLEcY9ac0nlM2wkBRjbVeU4VXxllHAXt60RsxQ53&#10;bTzjpj3zQBdjlA+UuH75HNK0kW7a2CR1yOlUnYM6gbsYJJJ/nUaDehDF9uev/wBalygX2iT5nDY3&#10;DrnirdrcNEqo4G1VC8DOR71ked+6ZScoBjmrFq7uCxLbewak1pqL0Lly9rsUSPjLdV/wqt9nkUAw&#10;yeYBngcfiRTpQrKCwBCnPPaodrbco5K44AJwe9FrAtQ+0MDtaMhucqeCKryncxZm6HOB2qRriRBt&#10;mXzF3fx84Hse1SSwW0rK6yvExGAOtNaA0UlMbgsRnjOCeKWR02rhFU9+KmuLZwcGMsGUEEKckHvV&#10;YMqqzBhsXAweTVKSeorWF3sw2srjjJJFIXK5wTjtzxQlxsdoueM9vxpPkuS21ipxzgcGi4WF3jaF&#10;JHPAwaZGI0lBkHJ5pskXlPvd94PQf1qMHJzgAepHWndCsXnXYfMTt2FQzPuYbWxxk4qu0zAbd2AO&#10;eOBjNR+cQSzDaPp60h2LJG4gckNnJ6UihmRgrg9AT6VTFwrkkthQfmP+FXo4ZGhW4zEsRO0Kzcsw&#10;6k9+9PmCwkaCQMkbY56n+L6U4utvhSwPsDnH/wBeonvI7f5IwC33Wc/0qOOFpP3zsGBycEdaOZBy&#10;kq7piGkDAAdasxyIAVQY9Peqz3CtEAuOR0qJWYruDHg9c0XuKxeMyMnPHaojEASRJgNxUJfou7BP&#10;NINxyDnAPrzQtNhWJCCn/LNiQeuKCGY8IeOmc0eYyr97lcnNOW64IPJzwaq7Cwh8xFBZTwM/SmBl&#10;OADTzMxIGf8AGmE9+/rQmIcODk9fSlZyfl6gdMdqbnAyOD3pgYgpnA9RmmIco+Y5HQ/jS5ZzhR05&#10;471EN8rEJ07k1ZSAKFyc49aG7DsRZO8llICikL/Ju656VbIBHIyKikSPK7geuOKSkFiPIXgYHcil&#10;DDPGBnnimOqCQ4H50j7WPfntmqEPyoySTSBvUfQUwZALkgDsBRv5UHv2oAk7jJHoc00ggdOnpTGZ&#10;ckA89eaduwnXcfUUwHHLAdqMg5bqOlKvzIS4HtSgqAQVUH1ouKw0SYPHHqaV3JPt603k+uP0p6kh&#10;PlO7NAArHOR0HvS+YcNzk00g5GaVAjKdwGB3oAd5uW4P4U/zDgHH1qI7ANyjAPNOWT5PX60ASK+e&#10;tJnc3BpEUOOQR+NPChBwTj60XAUnC0UnLnCEZopiO5V54WyCSiAkgk80+OWG8ySPLfuRxnFWxATS&#10;GwRlIwAT/EOorxeeJ63I+hnvbXNurYAZTzlevTHSmRXKyAZyDjqa0z5ttGqnDqoxnHNQyi1uGVZV&#10;AfrkVSn3FykH0Ipp+nNRz2tygd7ZllH+x1FRw3EjqPMiZSByT61S1V0BMcAZNULmKZ5Thfl/2cCr&#10;kifaIjt5qCNjGFyMFRtIz0571cXYTRWw3kiTfkL+GTTDOTNklV2j5cdzWgsY3YwGQnkY6VWeBRyI&#10;2xvBCj19atSRPKVyHdCXHzZ7ipbdWdE2jBxgD+9SgRh25wF5x1xVm3eJEJIxjkMOtDloCiV7hHAB&#10;MI6D7w6UxnPl7ZoxtPHHcVqKVkIKuCeCw9qhkaOWQjtjge9QpeQOJSWaNE7g9gTk1DcMJACTlB1G&#10;OQa1vIh2DAww4+bioZbeIxt8g69RxQpK4OLKcESRoNrEjGcFs1A7Ru0gKKG9e/vWl9lwucBMLxzV&#10;YwIMZcKDknPGapSVyXEpyWiuqgScdCWHJpFsIEGHJYe5pZ4o0bfgq3UE+tVbjfkrHuIkPfqTgVd2&#10;+orGjHDHECsa4B5pxrMQ3yxNuyBjjHUUxr0sGUS8qwJbge1RZ9wNJ2UDkgCq7SxQMpVVCPnLAVRk&#10;vDMF3bSuMnHTrTYJgJSyuQo+9npj6VSRLLL3R8/5CCAMn0xUXm5YHCkHlmxxikEwmkO4KMLw1Iqs&#10;OjMAw4BJ4q0JoVI920bANvHJ6c0reaYXBxt3H2zSQY8xv3gbHA7ZPSrET7FbftYKeMHvTuKxU8mb&#10;C4XA4+Y445pGikYnYSe3zDOPetF3iWTLFRxyPWq5u0Tg5wwzincViusLgM+9C3QZFWIQ1vbEuAMc&#10;8UeaX2ZztH50xZ0U+W4ynORjP5UndhYkiuFl+U5DHI21Xh8y3uGjYfuiflPoe1WlSNW/dqAMZNPY&#10;AjBwfrVK3KZtvm0K73CJu74qs9wJUU8g9/pRcwRmdWLYZj6ZzVKTzTK+104wv0qFY0aLUcyI4kUt&#10;kJgHJ6VZhkivINl1Hlhli/Cn8+/61kkiCPe0gLDgY70w3DxNvLdTnGMfhTbFY2haQzWbGwkcFiR8&#10;/bHOc1SlhmtFLTR7V4BKcj8TioLK5LoVBAOMZBJ//VSC8vLdWRx5kWw5DHIP1qOaztcrlGMXmjXZ&#10;h1RsA5A/CozcqiszA7vuk9RSm4tXk8x4k2csfKODzgDjGP5dalFpPNak2xWcDAK9CD784NHtOg+Q&#10;qfaA23Lc85APOKas7worSZL7sKp64Pc5qO102/Es7NbOGUcbiMA5+vPep4tIu2Mks0bt5aljg5Zv&#10;YU+YOUdDIhVXlBbk/MTjHFRLqSGIxJhHB+RsdfXJ79q63QNQVbG3SKxbDLncq7CecE88n69PpVi4&#10;0zQ5Yme3tbX7XIyqithFdhkfLjgnGche455rF4lXtY1VB2ucnZ27w8yPz/dB4q0biMZy4wK0rjw3&#10;dRIWikWVh/D0P+c1gXmlXccrCUTRqSTgpkcDBwfSp9td6idJokuDDujYtjPQDoajVyGUIy49qoyx&#10;yoS3mAhRxn/CoEupGUNwxPzDJGOK2jU0M3A1BM5UYI75OKc05K4BbJOBisxHOBI8jbgOBnjB7571&#10;MgbyRtkDOTuO7irVRE8hejlwo3Odx7kc9aI/3x8uILgc8VURZXiQsgcA4yrdqumAKimIbSOvNV7R&#10;C5CXyZwxOVPpk0YeMEvwi+9SQTb1wQwI65FSsaFUuJxKZlGQeCc4HtTmCsSeM98npSLJE0m1kUN0&#10;BxSSQyjCoAwzyTWikRyk8ciou1B9aQTFCwznFVmkAYJjknkZpGlXfgbj0wB9aqwrF6OUnII5+tQN&#10;Kx3BlOB2qP8AevLgLjB6kVaaNXUBvmIpXSCxASCD6HvQAM7icml+y7S2xzz0FRvFLkKufcimmgsP&#10;DbvlGe34UbjyCRj2PNBgfnDAZphh8tCFO9u4NO6FYerAfKE79RRkEEd854HNM3Ebcp0H5Uqsc5DD&#10;kUwHEkrhg3r0pc9hnAphyACzZOacDjODjFAEikKp+br7U4HC4JqIMAoPBPrQXYkBSCaBEnXvmmA5&#10;J2genpmnMr+gx9aiLAEAn36UAS/LjjGMUoDuoOAfQ5pkZ8xxkZHWrIwBgDAobsFhsabeTnP1pXk7&#10;ClJwDSRIJOSp4/i7Ghd2BJGVjQMTgmiq80vICgccUU7isetBTmnHApGbBwKgkbDA8V8/a57RISrZ&#10;HHHWq0tsjL8vH0pC/GVBxnFMS4UEI0g/KrSa2ERfv7bOzaV44NHmwXYMc42uRu3DirTbW6EGq80C&#10;OrfKAxGNw4NVdPcOXsQnT5In3xPvjA4UcE1VNxC7yRzpkA4GV5B71YU3MBAWRnA4APOal/tG3dMz&#10;oV5447dqvmfXUVrFV4xlGiGUzk4NVDKsYBlDIc/MOef85q5f2VxKY5raQOowQpOD+FVZ5zDF/pSK&#10;WHJBHQ/jVKQminNMksqhX2oDnHaoLmWRpGAjBJ5wvOBWuJIXAVCuduQBxxWXPbebdtuIVvT1FVGd&#10;2S4k9q8glLSyFDjJUcDjtVmK72M2QMZxvPU1EYrYuhKn5QeQe/vUckUMkgk3cYwAw4ovcdrDr2bA&#10;yM7c5DA5PamqzSRFlkZWYZAaovKJlP74sCOh5HGev6Ux0aMeZI2VB4I5NCfQmw+e4Bi2SFs4PO7J&#10;OKpM0lwxJlwo7d6mYsZSkYAByTnHBHepJJ8RPuAMe0EDHrVJ22FYr3d8bdUjjYY6HjmoFuS0X7wP&#10;sOW2g9aZbwTXJbkhVwRzx9KW6trl2I2K6joS2P5UuZLQVrkf2wxS/fUJjAGO/wCFR3cymQjhN2Mn&#10;oT6Z/X8qjktJooiYISGYYOWBx9KpiC5lgQqQzo+eGBI+tPmW4rMsxq/mFnZSIxwnXFPWVJoyVYJk&#10;gLg8g+v54qvcwSW0bSAcsMFupxUMRbywqwnPTbjp7mmpXJaLfnD7SzM7cL0PIPtU24DZu+QdDgda&#10;oB90bOZRtZcLxwT7UsmZkB835duM/Sq5hWNkzRW6Ewjex6sTyaro8ahnkDEOM4Jx3qlPcFZgDj58&#10;DO3oDUm6QhYyu1yflI649T6UXFYsvia435DIMce1SugKfuljyvPviqvmiRCGRsqQGLfxDHP4+9QW&#10;5d59652qOdvGaq7FYv7UnHzSbCxyADkU2aa3sBx80xHAPb3qrIYWV5XB2qcDa2Mk9sUWcAuy9xPy&#10;24gjGKqC5n5EydkaFipEbOzbvMO7NPuiyxMY+W61DMWt7U+SuSo4FQRahFcHaWKv/dbg0VrrVbE0&#10;0mVp74SIyEbcHAJ4qoSrKFEgXtlcfNWlcrE0ZMwBUVk3MkJeNY/9UTtIzjn6/jWKqI15Qa4R1IIw&#10;FUuCDjPOKchS8t8xgB1xlQMA+2apy3IQk+YBu+Uejd/60+G/+QqqRp06cfU1nOp2KjEvyTPFbnCK&#10;rD+FOeKyX1J2RjO+1QSMetVGvpNkkskmw9QG9O+f0qlEVmkeWaQ+WEDElcbsnopNZe0tuWoGjBqK&#10;z3PliIMpI3MvHbgH1+hq9ol3ZG7nkkmKLGu4OGwd2emAOawbE2NxcvFKZYISCVMLDc2B0Pseevc0&#10;2a4tbWaVLct5+0skf3tg7AEdTiqU+XVg43PQLfULW+u/s0EhkmClwig5xx2/EVeg02e9hkj+aOKV&#10;cGQHJ4YZGP8APevJtNtdX1e9ZleaJARuYkrgE849T7V6bFqGo6Rp9t5dyZ0RdmZVLKSA3A5JJyME&#10;A4GPujmplWbjbuXCkrjfFWq6f4YtLe2htyZTh1Q8pgcbiCCCe2cetUk1lZ8SmaVllAZNx2eYv3ue&#10;rOoBbgllHPGAK1r3XrLVLaGW+gRbRGLsjxpIkrAZAG7gHn6j2rgrK9gm8Yz6ZY28FtbSsnkwyAyM&#10;zALnrndwzn5g2OcYqLJq5p1O5tNTubaJDBcCdG4B3mVQRwAvb0+VMfStuz1xHicXNuwXJBYAjaRj&#10;rn7p+bocfSuXl0HV9O34aSaIKAZI3PzAAcED5ivHCnI/2cVJY211cXH7lIBPDlIyoICDkdR9weqp&#10;s6ng5xUFa7F3UNI0hraRrq/Mc2S0jj5W5Y87OoyeM9DXn01zDGXS3LhFBUMWAJHr6ZrrPFPkaRoy&#10;2UnlB3bzNsSqgwMEttUAL6Zxn3NcDalNRuxAWaMSkL5rJhck8Zz6ZrVSsrsxkruyNB2mgs4Z/Kn8&#10;mQhVcoQrHnv9B0qcsG+cykgMdxBIr0xrK21DTrSyuIGt7eJAhgXOJAFGOepx7Z+tUbnwRp14u+wl&#10;8lVfO1W3IGB6Z6j6c0e0B0jhzPGsiEPIiv1dsjgdR/WnxSyMwIcH5+c10GpeGL/Sgkm5JdzYO3OX&#10;OeAAetZiWsQfdIhhkY8hR0PvWkZmcoWFW6lADmTnpyeP8innUW2KFwWJ/r6VBdweVbAQgS9ug+X/&#10;AOvSQQyBQ4iQAjAY8sMVspIzcS0LllchAADzz61b+0qVz0J4rBeTbIFcliD93vmpoMzEq0uzJLD3&#10;+la3RFi+twccg496kjmgWMPsAI5HFUXLCVl3bh0IFPUlmWNVVT1wwJq1JE2NP7RHnBIHGeaVJUk6&#10;HnOKzGFxlj5RHPrxUkBdnVSzAjqQM09BWNIuvI9KQMGGR09ahlt3Y/LyPrzmkjjdVxsIPfNAhGnL&#10;MNmDhsdetNkUoMgMS55x2p32dnZGYYA/hqaOBzlTwB6VewioQSBtJPPXpinrEy5Y85OKtx24B+bP&#10;0zUhRdvQcdc0+YVigwIGMjHc0oQMccqPbv8AWpDGRkop25pNgAwRnHc0XCwxgO3p3oCgMFAPI7Gp&#10;lhJXfjORTZIyoXap3H1zTuIVHCqFJpoys2AuR71DyHwxG/vTo5W3qEIYelAFygkAZNFMb5sAZ57i&#10;pWoCAmR8KeCalmdYVwCWIGOe1Sx5gj3kAMQMcVTfdPMTnnvnnNXcVhsaByWOee1FSErGAOn0opXH&#10;Y9WkymGbtxwarOcAN6jk1alkVRknisa5mb7QWOeBwMnFeLBXPYYT3OH2l+Fx8vcn60isSS3BY44P&#10;OKrvMcsqR7kHBYnGD17/AIU2W6EMIZ41L7c/KK28kSWWuHUJtB3YA3Lz+n51ainV4vmfLDg9q597&#10;t28nOAfQjn/9XSpBdpLCZE2hifnVSQRn3qZIpGy5HOap3CCQAZVfmDZ2jP51nS30yQysGzGoIBU5&#10;KntUP9qtG0aXAAMnRgemelZ2a1RTa6lkT3VoyiOVijEl2z9059CcVKus2t20tpfqCqkbTgg/X1FZ&#10;0epwyTvC7DeDgbQTmrCtEJN7wxOSMHeoP60KaT95EuN/hLkunuymXT5kZSBhSefpmoElngttt5EC&#10;ynDBu4qkGuIbgtBMSWG087f/AK1WpNct2kjsNQWOTqHbk9P1HSqUubRCtbcsLaxvOZPOcFv4c4P0&#10;pJrdLZVaKMuc9+cUS6eJ5A9ldIeclWOf1FVJtRubG48u4hfy+gb+8faneSY1ZosbJnhzJFzg/NgA&#10;j/P9Kilntyjg7cgjv29KstdxTQlGcKSOQe1QW1lFbvvLeYexI6UvarqLk7FSWQNIUg25K4OMc8+t&#10;WrWwQIGnGWI6EU64ljtR5ywKecHaozzVe41iGMfKSxB59qHUbWgcqW5PcXUFoRHtAJ5AUVmTakjP&#10;sRGyyZGOSO4qC/ulu9r27lyo6L1BP/1qqRkfZ3lQxhFYREZw7HGc/Tp3oVrXZLJHu7iFVEsTFOgJ&#10;IBas6V3inylwMvgjceuOtNubiQoxb94UTueEPb8apRq8keZCwWZSSN3pwBn8RVJ2IZeFy3kyRSSK&#10;xLFsLycdcCoZriRIwZGkBJI4wePQ+tVgWF3FbRwtJNLhY/k5YdOKW5d7ZnVlKhMcdOckHp2qlLUT&#10;RICcphpEiUEfdPXnP41Z3tiJwdqMMhieR68VQa5AYx7VlRUGCRn6VPFb3N5IkGYY1dvl3MFH+Aqu&#10;buTYui4XcpBRlAGWIzgkdPrmrCzgws4wMDbwepxTjDY6a1wkohldV8tAPmVXHXn8/wAainmiaBZI&#10;VSLr8pAH+TTjO4nEkhKpbszqC7ZODzj8KsxxSTnhXVcn5t2Dj6VSE2GSLAbC569T15/Wp4dVA2o2&#10;GcgEBew9KptiSEvM/bba3B3BWBbJ/n+FaIChfl6Gsy8AvWEkEhEigYB4BFMtLx7W3dLhHBXLAnpW&#10;9GceWxjUg27mmfSs2fS0mlkk3kFug96W31aGd40PDt+lXmwoJJGB1roMdUY4EisbO4fIK/I2e1Z9&#10;5bqoijSRNwJ4k5Len9a0bu7jeMyxruKAgGuWlvJLyZdwfaGySB1Hpx7mvLrSSqPlO2mrx1HXFysL&#10;sEQMFBYFuwHTiqM84lhS4VPLjx8wUche5+hxUN3cpJcGW2diQDnBySOwxSXEogeOYSSPcSIBsbsO&#10;Pvelcsps2URbcy3M0QkRdh3bI0BZpFx0wM5z+dWtNguNRv2gjij8gIS0MxKxxgc5O0jkc8U2Czje&#10;3+1TyXUJVOXRBhjnogznGD19PQcVV1HX5ZobaLTzcJboPlAkyc+xPU/hS5lD4tx2vsdrpE2lx21z&#10;9kgSaZlKOFkZWJHAIyc4/wAa5qPwdLd3RlurqZV/2uWI9AareHbW/S/a8kjlghgUuYlyCD12nPXP&#10;XHU5GK6ua+ihLEztJMh3yQj5eVXlSDwcEnvmolWWkpmkKTasjStL/SdGsrW2WEJdSHy0FwQqLjkt&#10;n8Pxp2oTwuoMPkzK7FQ037wEZOFUZYtzj5clRn7orjfFshuvDNndTpPiNmVdnRBxktkdckcj8+Kb&#10;4Rb/AES78+eKYqS0SM4yeATlT15C8HIGDwaj2vvXexfI0uVG9qDrHp8t3lmBXYS5ZSAcjC4OeOOM&#10;4GPu1weiXUsPjyB4T5RY4DlyhwUIzlSCerdyeOtbUHiSa8tNQt7mApcxRcvLJyEBHGOM444+7/s1&#10;taAlhceHku/3P2hLpUVkkLS4cFPugjvnqDncc5HB6YTTg2jFp8x0seu3dxp5tb5/NiVV8yQkRkYH&#10;zLu7cg8EA1d1fxNBpmmMLWMm7ZMxRsOOnBIOCe31yMda5lpTFcAtiJ1YIoTlh06EYCEZPA2n2NQe&#10;LpxbWtuGPyo7DyywXGQDygwASCeoyecnGaIK8rMcnZNowb68kv3ku7uVpHfkE8buMA+w9AP8TW14&#10;D8J3dzIuoTvLBYgh4ucPIR3H90e/WsDSX83xHZidDMH58llDADP3mBGMY9fpwK9cOr/Y1ENzAhXg&#10;AR4UgEgfdJPAz16VpVnF+72M6UerMvUNbsodV/syGdWLg7mZVILj1JBDc9SwODUiTOs6SRlgAg2s&#10;mdxHHAIG4j2B2/7NPl0Tw34oaKW32xXbRrIjw/upCvJBAPDd+RkjpkU2XRykhskuEuHVN1wGBLuQ&#10;OrAkhieMbt5+lQ7dDSz6l631aUi3a5UTkNhHZcFScg4YAAngcDn61geJ9bS6draGBInTbukdBvHf&#10;HTIHNTzLLHKZ5IdskjGLmPDOBgkddzDGMjJXA+73rhtX1QQXssZRQoYqvlqqrkcZwAB+lOL6kzvs&#10;biTW9oEBIJZcuwOc/wCTTYrmPdJEkhkAyME5OfWsi2vgEaMKkoJz932z+Jrf8OS20+pubizMiWqC&#10;TyhwM5Hp25+nrT9pYzULszZYnjLKQY9hwySIQ1LC0Rg3mIxknHmZzk+2a7iew0vWrmR552l88AQo&#10;zbdq9wh+6x/OsrUPA66bpclwdRPlxqDgphVbPoCfwGOtWqoOk9znzMgweG4yzlRz+FOt23ziVonI&#10;6gg1VntLvTij3cbwq6/u945cnnr0zjt1quLk4RlKj5sKrk8Y963jO6MXE3ROZN4yVKnuOtSQCRF3&#10;nCgdx1rKa9PKMzHbxk8An0q1ZBnhV1cr1BB5BrRTsiOU0FukBVzJgn0q0t4s3CgkevasoWsrPnzE&#10;P+8OasvDJtAj2gnqBwKpVExOJoq6EgNnI5GPakMyYJVhheoHNZyRvjbvBPfdmpT5gXahQ8/jV3RN&#10;i4JEZgQB8w4JFMaUlgCRtPSqhlkjDM5UNjAwM0zJZkDMwYjrmqFY0RKMYOMHpSKpDluOetV4yMYL&#10;ZxyTmrcbD+EZIGKBD2UnA5/Cq8jfNnJ9Kn3cqp49aY7MVzjnscUxFQwqFYt8/wCFOhVDgBFB7VKc&#10;Fl9fY05VzNnAwKLgGzHbipILUs2S3GecU+JPNfBJA7kenvVooI49q+lCdhMgnVPT2qJIQqE4xVhF&#10;YsSR+dJKowRntRfoOxmy5PTIAPNFSsCBwuc0VRJ3t3PI5UxMGQg5ToTWZcOiW5l81vQoSOf5U+4Z&#10;4cR9H25znI75qtAytOjNkkA/6w8dO1eTsj2dy9HLmMMihl+5kDOelU7iQI/zg7A2AD6VqQGVtobY&#10;qH5wB2GapanZXF4CYWAZRgsw9KVx2M66jFvuuGBRxiMIX55B5x6dKzYbiVRjzdylu2MDI5+taA01&#10;oHSOYbzIdp2noD1/Dmsi+sLiGTAtpFj5KqrAfL9KTegrF2S4KWY+ZCq5GM54/wD1GsiZ1eRog524&#10;HRewUc/z/Oql291EhWRpII1AK71YFu4GT61WiuD5TzSIoLZAy3YnPPp/9elfQRYMgjIEYycgK/OW&#10;Pce1btj9qWMC4dcDgKB2+tcraBoTLcPIJFOVGCTz61Ol5e2wfzZfM3ruCpkkY/yfyrOb5tEOOh1R&#10;uofOKGVAw7Z5phNqbr54klfH3Wz0H0+tc1JL8rzPIzyMQoKrnA6Hj+tQGRorkkTyNKU2oi/xA5yP&#10;pWcU07plOV9GdnE7xanFLYbY49hVoJHwufr/AI+lXIPEcfmeRqEACs4RSBuDHvx2HvXCW2qXFvcO&#10;mBJlQ3zNgLwO/Unmtg4mjWQkq7L1jY9xVuq46SEop7HT3GmwTzs9jcrHN9/yi2Bz345A471j3t7f&#10;aUCk9vsQNhWJyrL7HvWTH51pcCWJyEVeu7kYBxx6Z5x7n2xd03xSFgeC/H2iHG5d6KQ3OMelOMlI&#10;Gmi3Fq1td7lVunPzDA/OqN9FObtXs5MQFRgOwJA/r3rUltbPUrMtp0vkZAOzHA46eo6//XrmrxtT&#10;0po4WtWAkOTK2WU8npjpxilaUdhXT3NGaWxjNuHjuFmXPETAbyB97pgc8Yx0rHnfDy7WYAAEyHHB&#10;z6D86W41JJf3CSL5zA9Ofw68H0rHVb2K1ZZLIAqOGIzk569fpTjPuJrsXjvvZ55N2XlOGVh+pFOF&#10;pNceXGrxRLIwjRgRwwHf+72/Ss6KTZJ5fzNcTMEGFzljWlPZmys3lkZnnDus8QjIWAjGMv78j8Kr&#10;mIsMvYzY3ptYblpXhXZ5qEnbjnaDx3JHFQi0k1Bgpm8r92X/AHpK72H8I9+Tio4tVtoxd20lvFIJ&#10;YvkbdgxnPJHqf8apwXglu1Num9kYGLHy/wCT/hVKTFY20GnRx7Ps8jBSVYknPBrRVtOVfIEJ3Oc7&#10;9zenTrXOlrm3hkeTDGRtqsrcjHH9BVuCREQSs26VicDGPwxRfzAvvFArlYlxhjncxI59jUU0ipmN&#10;jlcdBxt9qguCk9zCsLbwyjaAdoGT1PoMYqO/mmiaZVMT4xmQcZHbFaRZLRdaSJMKhEa43BsZycc5&#10;PtVKfUE8lEicllHBxTUsJJERrmSMK4CqCeoyP8/jVv7DOoAWSNFznKDB6frQ6iXUXKxGR4oxLLKw&#10;QouHQHk59M9atXOpR20cbGVXT7pI7msudNSlAQOgcck7uvXt0/8A1VJZ2dxGu26MTofvKyhifxrO&#10;Ulu2NRLwmgusSwlfOQZB9DjvWhGzz6eplUbnTJ+pFUADuWNBjcQBgdK0JbmO3jCM+SMAdyK6sJUt&#10;Fyk9DGtG7SW5zsDFrZ7aYEMvGOhxWfPYz7gIZmMYGCvdQRgn3/StW7kjmuxcBCp27cmsK5juLrUB&#10;buJhbbvmwh3Oh4YgY6Y7gV59R81Vqm9DpgrRXMjHluIrecwaeXKq+4yk5PPFW7i6gtrQNcWMAUFQ&#10;pZSrP7sfp/nPNTz21lZSM+2QmBVVRNjDNzyRjjPGB/8AqrBv0udXuIoIN8smThd4x/h+NKU4xdlu&#10;Uotkuo6g2oxWsHkbZFwiJbrgYJY5GO53D8vet/TPDk2nXNtd3kaSq+CiuORxnjOBkYHHvVzRvDVt&#10;pF/At4VnvTIM/INwY8r1wfcnI4/Op2cz30kUJklu03F1OSVdm28KR2z0yRjvXLKe7WrR0QpXtfY0&#10;LeSaYtbusrSXCxyMh+VCVZmZQuOSFUAnqCuPUVjTwLZ+Gr2XzUZpZMxSfKScjH3SPlwRjI59Djio&#10;bm+EdnqtzbW1t9pty0BxAu87gfmBPI2jd0x1A5AwIPC+kSahp8X29gun72wpyGlI5/h5H161NpO7&#10;v95rdLQt6TeXviGwit9SfzooMySKoGBgZOQOegyWrQls9NIW40i2SG9dfmlEPlgYXdmMjo3zDnrw&#10;PfNLRhpdjcz2moWUKRyElUlzhskbccZz756Hmtyztzcakda1Cd7e1ssFlKMFUAf6sA9Rjg9vauWV&#10;blnyw+82inKF30OV1aa4sry32QxPPNtRY54kJkU8lvlHJz68+9bOrHUZ9IuLe2mS2uVt/MaeE4SR&#10;cMGXI4B+U8exqhN4gste8SzywwtBCrjbKpAGTkHJ5xuGQOQKbqEk2nR30nlTx2jN5S+RIU83Gecr&#10;wRngHJOCfSuhSk2m0ZO1mk9Craajqui6JPc3MYuPLKiBw+cpnkeYp3AdOAQOat+LdZhht7KcLblX&#10;gDRJCVCx56n0Jzz0HbOSM1majcfaNK0+0tXmtyZTvhSZmXJI+9kkdP8A9VbltaQu8MMxjuCLZpJJ&#10;plXco2bgNuOg56E8HPtXTTqNO1znnTujnfA02zxPExdB8r7GY4ZzjrkYIP05r0XUZXtbY74jGVPm&#10;BUAiwVBYNt7fc6nJOeGHNZllcaXaSDWZP3MsiCFZDhGKE/w/xA+pUjvzWlcSh47d7MusTZYOFx3G&#10;W3cAZBPK4Y92NaJxvYjla3KkkbQiZM/Oz5YSA936ndnOQ3BcN7GtLStYvofLiinaaJU3lH/efLgc&#10;A/ewOecke1Z4glitmiRAQh2s/dCA3OSNqE7E5wGz1Y9aWCMCSRUBMYPmSFgXGeeSDxjB6sCT61aY&#10;h8/in7bqd1bXUgiQZ+zoSdhA3DJByrc7TllI+nbzS/vZP7QlZ13hjucSL1J5Jz1yfUYrdu4nk1BX&#10;UFkABViQw3dc89evXH44qeDQJb2NvMiHnOm/962Nq9znt+PrWlSrCElHuZxhKWpg28DXJiey+0RT&#10;ufljTLnHPIxzXZeEbW4gs7171QAZkj+YABGXIIwy4B5HTBz3q54LibQLieaW1guIpVVY3UklcMMh&#10;SB33A474rq7O90+6hUXU5a4A3FpmMZBJ5UMDheRjaCOnTrRJx6DjF3uzKIKvMrBWKrmUNgkjB+/k&#10;Ekcf8tNw9MVZh1CeFYkjlJWWMlImO5TtRcbU9Of4No4HFWb3RvI8tY5gs0xDRRKFCjgkkYGB6ZUK&#10;fVu9ZtzaXdtJJ5iNhI9zPgFWOzJJJBDYAHMm/HY9zBQ3W/EtzHpbJDCoeTdG8ykEIOh4OcfrivPY&#10;r6FnVt/7wcA9AOvP5CtXxNdFZ4EkjkPyZMqMSQDzjGTgfkPQAVl6VfWawbBhWJJIc81o5ciMmuZ6&#10;l/TB9omeR/mCnqMj+tb6OOgIrLiuPMVhACZAQAGGASeBXoWnSW1paQ2k9usbSKNwKhw5HPTHzfka&#10;nncgUEclJeCAqvc/rTRcy3D/ALraCpzy1dtc+HtIurRriKPMiDkRsQwOc4weAT6EVzU/hy/tYDLD&#10;GrjO4quNwHXBA61tCdiZU2UXR2yzkIDznOc0kcTkq3mYOOO9EtvcW8iR3MUiAJkE8Z4B/wAKeGBZ&#10;Cp2r0xmuiEjGUSYBsfO2TjAxxmg2zAb+d+O1SRgLgZAUdOe9OEynjI3Y5xWykZtEKREADaQO+asi&#10;UFc78D61EsnABACnue9K0rt0UA46k8Vd7k2JTLwMNwfenhg24DjA/OooyqqAWVSOTxUhnUg7sY7G&#10;i4WGlNqhgcjHanxrgEEgMeTz0pFRiAzY56AVZgiR3HJOOW+v1piaJoYgke+RQT0Hemlt7kD1pbif&#10;eQMnaowoHamxcLk4yfalcVifhFxUTYPPFIz5bGOlNDDdwCc0IBjrzn8qKkb16UU7hY7u6tQ0QExA&#10;A5yv881hTta28jF9oCjcDj5ufzrpbtMpnI2gHg1gzReaAfs2+TGM5zge3PFeQpaHspXGtf24AlEp&#10;JGQqtg5x29vpVOXU7uZyLeMkbeQPWlTRXdcysoVn3MMHcabd3ttp0qRRRD5s7iDkjHr7VLqJaIrl&#10;7kqrJGHuroKQSM8/c96hu72K5gYQcjb8wfHXoP8APvWWPFUcbGORUIZwFIOPlOBk/iRTP+EkjZri&#10;OVAVRsDio531Q7R7kVxb/ardftM2IuN4wCBjpgUkNhaTwskMcYIY5kCKp4+np61Feavai03Rhhgn&#10;ABBOR9etQzXe7zZYV2ugyQo5YEf0I/zim5X3JskWH0olfKW5dtx4Pp69MVz+oI2lJ5MZMs4OACvY&#10;44PvkE/ia0Ip5buFhE+2Ug7QTn/P1ptvoE86H7ReIbkMpUAA+pBPrxkVImrmExlu2UElUf7zFsnb&#10;n+tRyGFds4wsYRtgTJYD8DxkHrXQ3+giGFpoL9QeQVLAcf57Vyd1KQzItsqwzMIllDYI5xn/AD70&#10;rsTViRmluLN2jQRoxA2NyQDzn26mtbTjHp0QeS6LlxwitkdM9PXisBLq4lKx3SIkcS72QcblzjGK&#10;lilHnr5cjqrgxxhUzsGOppS1VgWmp1Zv7aREy2VkwNrDpn1qI6fb7HUeYEb+AOdo/CuSc3kFu8gk&#10;FwJDwZP4V5BwSeD7egrV0m9WztF8/eu9sZZgVz7GsZRcVeLKUrvVGr5Nzb3SzWUwhCFm2jjPB4wB&#10;g/jnoK0bfxY9o89tqfzFAAdsYwcnGCOQao+cj/dYNwDjPb1psirKjRNyjYJU9yOhojiGtGN009jV&#10;u9C0bxFIslnci3mVfuRjg/8AAeufz/CqM2h3GkWrIgleNyMPnco9Tx0rN33trexTWzxqqIR8y8gn&#10;uPfk1ai8WatYFJr0MYEQK7FeZDt7Y9OM/UVrzxqLR2Is4vUwrecLfMyXMoltmMik8EHAwRx2q7qW&#10;pRXkskcEs/2WScuITINsjALliBheh444rcFvoOv2r3Fg62V7PHtDRnAz6FM/yrG1vw5qtilu1rAb&#10;i2RCsskT7geg57jPP5VclKO5GjWhQtLUXUZnW3SRfOwY0IDDC5zwM4/Str+07WCxWSK2RkkfJmHU&#10;YBGP8/r2ybaCW0EKQSXFrLITkJKccj7uRVOOQouI4zG6S7SrDO/nPfqOefapbUh2aN53jvlJtLiM&#10;Nkgqex9arfZbsurTxqcEZZWGMd+KzPtYVkcyHafm3RgZYcZ/nVi6v5DiGzcqzE+XE/zOB2BI9qpX&#10;WiJunubV3p8+m2TGQxwscqu1gQ5B2tg+xGPrnrWLFd3UtyTC25lBDHqPrzVWd55FAllfYAASSSqD&#10;J4/Qn8TVzS5rW0glnLljnGSMceoq+ayJtdluXY6SCOVmDuMHHAPccdRiqjag7TRRxyyMVYEMSTz3&#10;qrc38UglaMhgzblC8fKOuT+Ao0gmfUC4jUIBk7hu/I9jTvZXYrXZbu9Va2cMrF3IILA5G7j/AAq7&#10;p2oyXNv++jfeOrgcE+gp82nQXc6r5Id+vUgD3OKtyJHYqsUDBmVNpl/oPT/6w69an3XDmloh6p2Q&#10;5XNvkumZyPlGfuD/ABrJudSjW6WJpMu5GD1yTnH8qztZ1h4n+z27ETsBh1PT2rGjgkQy3HE8kbFj&#10;Pu6Z6Yz1Oc84pWdVdooLKPqdyPCt2JxqbXFtFII9zQzNwo6ZYDj8P/1U6w8T2t5NKlxOPPtgqvOS&#10;FDNnAxXCXOum3uI7WJZCikPIJJC49xgYqxp+nzeK7+5lkiA34bMShdzA/cVe/BB9OOaXtOTSKK5e&#10;Y6jW/D8uv67FcTXAzcbYUMRAEgA4BBB3HGeah0HT5dP1e/ttNgMlxbvEYZWGSw3cknoFxngYz0zV&#10;2aSWDbZC3SU2wFs8flhgSOAVyQ/bjn3qWC7to412O0MsYIS3hc4PIDsQvz5AAIBJHB+WuKrK7ap7&#10;nXTp2SciPxQkH2QzWN9b7mlzM0excbVUhQxXcAo4wCRg49apaQ1tqflbb7f5QBlthCr7yTk8nB69&#10;/rU0Vpd3eiy28F7b3T7maKC6iX/R23HkMP4vvHnsfwq54ZiNtZQf2rBElxHIyJl90eB6beM9sCuS&#10;dWUYuUunbU3Su7IwLbw5qLa1cPLKzxtuZY1+UvlhhGx90H6+uK0/Elve6VILywuVgjRlSOzTb8yA&#10;ksTgA4JJPPJzk1uy20MapflcSxkSC4MhTL5JAAJK7ck4Xj61j2IuJLydCqFIFWS42vHkA5Owlhg8&#10;dACKv2vt4p0noEaag7SJrLRppQmuat5F1bSuswichdjdOd3GBknjHPNYN74sudY1K2tvsnl2IiZD&#10;bxphJOOuPpjFQ+INQ1bWvLeeOO30SGX5IFmAUjOM9ctxnpWu2x7XT3uYgfsQfzba3kbaSo6sjcA8&#10;8kdSeaqnQV7tW8jOU3smUNS0y0s7i6vBFHb2j2yuqNGyvIxPQliwxjPTA9hzWbrkw1CKOGyVnuLd&#10;jdXEqDbt3feztAyFC8+5P42bW/8A7YRNOt7VppcgzMyFkRQeMj7wx3GTz+FVtJurxbWSKbTImt7s&#10;yR71gEgkdP4sdUHzAewx1610Ju+1rEeSLmkNpt3pcbIJZTHIjSS5DSYIwBgjIAPHykVIZfPhvpGD&#10;NaxstxBAQWD4yuwknODlgT7AGrH2lZLtriSEW6G28pCrh9wBxtDEEqRnHfjt3rO1m61Gwns3+0rM&#10;84V3VuRCBJ8rKwPUAEY7ZI707Xd7DvZDZNQkEKWMNvJM5xNbwhtwgBBOdw+bv64BzSaZbX+mzeZL&#10;qksbAFJPMO5IlbkZ3Zzk4zUM8+pS6mk9mZopmZVeSSQuWYL932GB0PetSxgS8fGoSf6I2RNKqjYJ&#10;CRkA4+U4PcEHHrWbgk1yvcV090b0eqiWa8kuIvK0yzl2Qug+VW8wA9+OoOVI4Hvir7Wcd1YSRwNH&#10;PFsOI0ZSN2Bj5fu54HbPvXOWzZnto5Z47aWWONi0Q2RxgbX2qANpBBJ5B5OTg1saLDeW+oXd95bS&#10;pcEpbwABS44wSV6HHYVcsQqe4nTvsZlhoeqrdLNfadMScBdzDaW9x6Y64rUu7a4060imntkN6R95&#10;ZW5HYBcgBfqK626vbS30uS4mmhBACyDeWAIA+U98e3v71zlzf6e6RzGbajMqI0aqGAY9hjvj0osq&#10;j0ewRbgrW1MvS1uY7K5e42GUsXOArbRlTgcHIwucHK8dKsoqKRJGCHeRjGQTkqXcnBGOBuHC4Hrm&#10;rdx5WoxTQ274jVzHlh0YKyhiAAM/dPIJ9xxVdVDM8ksI28EDaNxU7T824MW6ZyxYe1dcLWVjBp9S&#10;/pcrWjBUnkSOFV+VWARi2CQR9zt2APvVbxF4jeKaysrmQwIzZldA6ZPIA4OR64ByeuQKtWgkZWkd&#10;WXzPlR1Zwxx6EEN0HRSB7VwHjOcPr32ZFlWJSSSduAO5CLgYJySSDn3rWFldyIne1kZPiHURNq09&#10;zCwTK4wpLbiOOSevTPNYwu0mZTJEqnP3oxg4+nStaVBf3SwxrnaMs4THAHXA6fQVPF4bt7xoxBMd&#10;zAsFA+ZlHJOPoD+VKVaGl2TGEiz4YsruXUrS4CmS2EmR5qEh8c4HqfYGvT/tPmkGRX2EHzCwOM7T&#10;97Jx6ffDVasdYsobeKA2htY9xijWJdyHtgYHv2qe5s7BraOWy2s6vtTyRkpnggjhowBnhSn45p77&#10;FpWRUhcxnILiRQyKACrBeBxjDAdOFKr7Cta1v2SNHZlmBJCliMt7ZHX8ifU1Ri0wxyFPLja3MpcA&#10;hMYyMZUKFJwOuM/7VGqXFnpFkXVvs8r/ACp5eRknuQOo+tNJsL21Od8R6s9/q5VVP2eIELGDgK2c&#10;E/iBWUlyJMMGAycgAdf8ax0vft13KDI4kL8uMKCB6Dr0FPe625AwZcbTsJbiqVSzsYtXVzbW9LYA&#10;ZmJON4HTjNPWVEhYBgWY8nuKwxMY403SBQR0cfeOPzo+3bVkaR15PyhTk4H+TW8anYzcTc83zAiB&#10;txzzjg4q07wK21l+bGRlutc/ZSG7nMkg+THTPWrMt8rbUhj3FQQDjOKtVNbEOJsxeRKCFBBHB5NW&#10;BbxHHB4/2qzLFXiUmQAMfTtViW4U4TPIPPNaKV3ZENF2PazBM49MVfZY4YSowGPU1Ut1iijEzxlQ&#10;Rwp5xVW5umdgoVs9a1b6EFtXaSXKkgZqaSTg4NV4WKRAMearu58w4LZPpSvdjsW9/wCH8xS7wTx0&#10;HpVMyBQN7c+nSnCburjAqhWLvUZziiqbXAx7UUxHeXFw/O4e6MpOOB6VmHV4rRy742hTk4Gc/WqD&#10;ancTNcryrpyGHP8AD7+gxVWP/TBtV2b5MybuB044rxXqe1fsOuPEEkq/bNzqF4Ea9D6Z/Xj2FZ17&#10;MZr5XdWDPGA5Qghcj07UptxLJch1BJUBWAwoA7en0z6Vn38txDCJohhpAQ7BcbwD3/wpWSegrtog&#10;KOdQZLd3WJlJJcbskc8HH4imWttdz3IJbd+7xwACSDjIBoMzQwW8kr7VYcbZNu48enTnNVrW9a0v&#10;R5okQNGfKVCWJJ7kZ/lUtglqWViXTnlEsweNjmIunAJ+U7vaobmdH01DDIuXG4BGACnOSv0FQ3b3&#10;scUwndHDqBhsFj+fTmn21lHPbRJ5qJIeFbcxyo4xj14H4cVDkrXHboKb42ymaJ5FIDOQqj5c9MnH&#10;SkXxO42kypsVwkgb+8eT74qe10SyeOaEXMlvJI2PLwcZ9e/akvfCtpp+mz7bpgX25JGOR0/nU88U&#10;9R8silLqytdTxkuZMfKdpAwB29+fWqGq3b3UMckqDAYB88lOMk4/DtUg0V20sPbyNPMmdrBiNoz0&#10;x/jVeG0lmYQSumSfuFGAbGM5O4E5x9PTFTzre4nFlX7Sht2lZmc3G7y9wy3Ucc9s59+lFtIIpxc3&#10;EBUEBgZHYFcen4Z61KG8u6uI3w5UgoyED58YOcdM4JqCaSCCA3PlpuVfmR3PP1ORke3vTvfQm1iF&#10;tUilv5EtYMxuG4jj56nGB09Ofc1La3KiOKK6jRYvMJLSDIyOwGMDrUOUj8+FUZpCw2uQFOMHA6Yx&#10;8o/OolkFvarHBlp2O5QeufUHoRxTeqsgRqXN5Pp81xIhaRVjChk4XqOMeoBH/wBbNP8A7bvgYVET&#10;GQAAgjhxgHPtxVNp7i5Xyrl8EgyEJ0OMD06Z7fWoZQ4ifyQ3mLtxIRywHpngcccVFk90O76HRR6z&#10;FJExcKrqBgFsA59DUlveWt2BCWSQuMNERuGD/kGuXuE3koibZCypnuq9wMnrTjNDFMCk8vn4AEjS&#10;EsM9eMeue/ep9kum4c7Oxa1063sw9lbSQ3qsCoEmUx7A8j8zRa+KtQ01Crym5kWRd3mZRsNn5QR1&#10;4A9TzVKwmvJogbqJUOOhJyaskBlYEDkgkEZBwcjI78gH8KSxE07SdyvZxtobEraH4iuEeHfaXBXK&#10;upUZY9VKdDj1GKyr3QdRtXDm2+2WzsF85FBWNQRuJXqOOfy/HPXSjNfJIb5oBklSckIScnHf8q6S&#10;bVtS0SaDznS8sXdEa6RMBC3fK9MZzz1xXTD2c4pp6mT5k9UcRNJBawgQRrGGLbA4J6HpzkelJFeH&#10;7P8AaZQkUgI8o8EgY5x7/rXfy6b4e8SBrhokMwJBeM7HJHcrnn69fesbUPCl1bkvbRQXdnGh/dBM&#10;uPwxn+dVJOO4t9TnVllh09HkURMoyi8gkc/jzz+ftRGT9iR4wpZzl/MGMD2/Wq9yk95dLDJcSZzs&#10;5QKvGc9OwOee+K04rMS2JgivWdl6NtBA9OD1FQ5pIXLcpSw29tbyPtKhRhgP4+mM/rWnotxPcRP5&#10;zHCgBV2BcVny6ZPEjKwMyyuN4BJOB0x78mr9pAtraOEhdGxlw/zEgfpSlJSVkNK2puJNFa2BmlkC&#10;NKcKxbGB+PTj9TWBbatHd6g1us0YiVSzSE4C9uf1qvLeTa6jyi6itgpESq52hhggbR9SPpgVBPox&#10;0aAyXkkaxq4Hlo4YAn+8fWt5xjPfRIzjeO27OhGmaHqFzHAs7K0oGSjqrSH024rnvFbJa3DafaeS&#10;I1IZlhJBAAHUjqQVPrWVLf3Taol1b5hDHCeWuWYYIHqeelbGn6ESq6lqW5Z5twhgljLcKOH6jPbv&#10;jnnI4rCU3Jcq2Rqo3ZmaHoMepEXV3CsUbZWIOdodvcZHA9sZrrkFlFdDT7Rs2sUiKnULIob95lgB&#10;xgZ544B7Zols1vtSltyp3JGoS2dREWbaCGKrycnOepNZY1HU9O1m8RbPzskPHNs8ohSQGJRsg5Ds&#10;PmBPPFZyk7WWxvGCjvuOuNd03Sry8torhXW3kZ7fC4cMWwGEg/1nBzk5+tc7aamZNZD2rbbmXKNI&#10;su35mG047d8/4VZWyJ8TpBHbTSLBKYVlZAAQABjOPb19e5rorq3sPD1xBfi1s1tUCCWRA7tIcnIA&#10;bpkHBC8e9ZyfJG+5SvLZmxYaVY6WsNmlpcSX00XnxiZnfcxAOSABj69unHIqTU7gW9yAhxdy71jl&#10;kuDGVHfdxhuMHHA9qsPqUF+ywaSUhKssUl4wLFVA+6DjdkksT05LHvWH4ttoZolS+v5Lq+gBjhcE&#10;uXycjp/k+9cvt+aRry8iJJbGG505Z0vfLFv8oJdNs55AfZxwGUZAJ6gVF4MtZ9OfzL6+juYbyYxC&#10;JMO0jrj73GTgcY6deKTRJLiLQrC2ukSaNvOhjUqxADMx8wlumGj69RnJxxlBeSiCMOLS5lhEiyyT&#10;hiiEAEEMuMksTg9PQCtHRXLZaN9Q5r6s3XsrO3jSwunWWzlul8iF/mjDE88g5B54AOB6c1ycV5dT&#10;3s1qwSN5pi32qSRtgjJIGCSW+bJPJPIz1zWdB4g3WclgGDK+ZPMhX95G3Q/MecYZsD1PUV0Fhp0k&#10;GnW5vL+R7ecxCJ5IAJTGBkEMc4weOvGM980pwqxjr7yJjOM5WRTXTbzSri4mgRWsLeZPmkbb5rtk&#10;MfMjxxwMY9frVlor4Gwi+WSGMGYxSIkfG4BiJNoJwCgJzyDmn+IdT06a9W1nDrfSKZEmP7voMLjA&#10;GTnnPOR0q1qkVo+nPqK6fDO08BCyxgAq/mPnh93PKkkYIHTitYVYyStoJwaOd1xLO3sJdwMV9LKr&#10;FR8ojXaCMKoCkH9PeqtnbLqVlHC93BhZA00wyZSjMPlC9AAeeO9a8dvLreh3FzOVhgWLLsuBLPtO&#10;R16DJxwMVnXOl2sdvDe6fK6woFjniumwokPIHqOR9PyrXnjCPM1qZSi3Ky2Nxot0cNolqzRRSiWE&#10;qoeUqVYgsG+Vu/06ViQavbxx3SXt1PCA29LZIlCLg5wVXjkgcYI6cGte4uPstidQlMi5tykSs5kS&#10;N2HzcbhjnJzk9fwrCsPDUk09pNcSrFbTOOHb5sjndg9QcY6jqajnjJb3KleL0N3T9OjvtbOqyW4G&#10;m+WjW0DxKnmkrgkqoAxuz9a7CzjtbCyluReLPuIwshDKMc4QZ+Xp61VivDZMHu1nkSAZkkwiqg25&#10;2KMck9cdR2688vqXiKfUdeSwUeRapGXRgVypPTJ5J+leelUqSs3a/wBy/wCCbvlgtrsmvLpPFBku&#10;DLKttA+4Ly0jqoOee4O1vYYGc5p/2yM28Zliee4iy/lyMT8hPTg5Ugj17jIqCOKO20h7lwGiiXyh&#10;OsXKscoNreq72POPurzxWTqWo3tv4k05JLuU3TqiuZCq7c+4JyOevXvXoQioq0TKT1uzdtpn0834&#10;N0/24yeYCkruhOD9856jjrlfY1mW3jWSWKETWsaxgjOzIDPyu7A4PAHQD2xVu7toLy/S08n7HZyk&#10;jdMmFY9SC64LHPckH1NS32z+z0imsFhWGcRwlVATIY7WVuRjAGT3zVNySv8AkS4pnVWd3bPYebFs&#10;MEgLAgBcLk5yMEt3+9v+grzbWYtRklnuXtHzPJveRmGW+p49zj36VrCQR3kV1c+TJNIro8Nuqjbj&#10;PzAgBT67TwffNT69O2m2hZL3cWuXjVZolRQi5wQFUA8Y5BHJ6VqpJrUzlC2xl6fo8wt1lgKbGJUg&#10;5BlPpg8VPY2eoJqi6leFIraANEoIVklyj8YIIwACeRzjjtizZaoNXsUvHtzFsGwSK+eScEAE9T3O&#10;MnJrQe3FpYKREYkkJwYoQGXcjJgDgjlhyCM7sEMOKxUHGXtJMd01ypFokM4D7ARKSwZV3HL7sHIJ&#10;xyPv7qWCeeGGNI2xcM2E2EbxlGI2n7w6H7pA9u1NEolYy2xzEZPNjY4U5BUcBdoB/wB0K3uakgik&#10;yI9nHmh3DZ2hdjDLA5X/AL6VvrXZGaaTRi07nRwayVsmlkkWYjA3OwyScEfMMDOD0wT71wOua815&#10;cXV0rEAkwyQHBwP4WFb+r3/laZ5k7vCXXnDOrBSeP4t2BkdSV4+6DzXnl7qsmCMoXj+QyAgh8dDX&#10;RTlyxv16GNT3mkV7nUseWMLO3JJOcgfzFaFhpN1qnnS6eHaWMBmQnJx9azdK02513UEtLSIySty3&#10;HCjuT6V7VoWn22lWrWMEoklhwspA59R+h/zxVTsnqOCueTX99e2RWC4tCkiL8zSA7ue/bGeKbDfQ&#10;OmbYrCg+8HHr79fTmvY3Omax5ltILe78slGQ8lTgZweoOGHI6Z7Vw3i3wz4f0i0NzEkkU8rYSLcc&#10;cEZIJ9B65JzWDaS0LcDIg3vMu6co+B8qjqPxrVhSKM7ljUH1ArJtdCl1KHzdN1BZMDcyPiMqQP16&#10;8VpxWN9AqxSRSSOBywXP06Uc0kZuJZknKIcEA4/KrlgkzPL59ukmVyjbuFfgD2OBngjms6fStRJy&#10;TGo4Kqr9frWncyRaZYwRK0XnOCSVPof4j09a7aVoxvIwmtbIbqF+EbyUYKF4HOOaiswwPmyNknoQ&#10;axkkNzcsXTeE6nOKutdBrfYuU7cHpV87ZNjYa5CrkEE+1RC5wMZI3dM9qyRM+1lV/lVcjP607LKi&#10;+ZKRj8hVImxfaXaxyuSR7mpDP5qLtGOO9U/MAPyuflOBuPWnbyVz+HA5q7isWfNYDggnsPSiqgmW&#10;NgATnpk0VVxWOre3jht0Rt0YZhkht2Cfc9+B+XTvVCWaeAnYMAPsYhu554Hrx9Oa1L7RmL+WHcRR&#10;bQjOSQccf54rP1SxRLX7Xu3MrnIzkN17fWvFPYsyg+oObqK3WUHb8xI449PUc5P6YFUJrt7S2M81&#10;wZWYgiI4AXB6Yp+qXAtbBvKO5ZBuV2QAtnIIz1/M/wD1sk3O6RJGikzLEE3SAFV5x3HP4c1L8wNF&#10;BDrDiRHWKTGSjKJAfwPGeahnFuk6G1maO4Cjeq8ZA78fyqBU+yyxRJ5qksxEjHCgBT0B9Tj8qrPb&#10;qLia8WRU8tCrDcWIzx1NZ/PQd9CTznmZUeZDkiVWCjoD39Kmtt00Mzxu+0uTEin/AFbcBufyrOv5&#10;be0kKxyt5c6dxuC5BHr34/Km3eqG1lSzjDZRyj7BggDgDj/J460egjoH12PRz5RcSDYcLvzhqyNT&#10;1yVyPtSIqAhgFI+YgH16dR71kXUsUUUsUkzoFIYbowWJ7Y4BH1pHvIbSWK6YTFpYc/M27JIHXPHb&#10;0pOMW7j5naxfjuTORPDPIuVPygBOc8qQAOM0TXbNKojQzeVHkS4yV3YPXjI4xn61nNfJFerAdnzq&#10;DuyMf7vHrTLySa2imtorXMgwC8Z4XIJwD+XeosK7saFu9kiySyIzTQjDzbiMkjnvzWbcG0uLuRio&#10;nJ29F6j0x0H86s/aGCSlRG8IbOWQADAy3I7/ADDrnnNUre4Mk0toqALsA3KwwBxgY6c/zpJWuxvU&#10;b9tMDRJvFxdySH5mXcVONv5Yxx+tLaqw3MsjNOFJR5BkKvQgZyP0p3l21jehAsKzPNtdVbA256kZ&#10;x3I7d6gCyXkzufK8u2YjcASSMc1VyXuWxdlpJJFEQtwvLF/mU5Azj69vf8agkvIBKsSlXZmyVIyA&#10;O/AqKeK1meGGAkwl1LbcKOvI4HX/AAFVGktLa3AiSVppOWZ2B2847U0kyS9DKTdSy/aY2iVD8zAk&#10;qewxnA9PwpuktLc6ui9Y1dnGFA59TVi1tGk02Ty5F5wSogCbsdOeCTU8cSwIFubqV5HwUbzflB9M&#10;+ucip51qkVYtx684u/s8kZZsldwXGCOufUU6e+lubqOKKRoHXlmBypB4H41lDely8c6pPvB+dcjJ&#10;xnjHUVYjSNJSI4jGiMfLDtuOPlHAPpweO9TyxTHdkl5f3UkClMMwfgkAcg9OvJ78U671u6ETRq3z&#10;HaAIs/MQQTkHPAIFUoZ03urN+7jBZsA5LHoBj/69MZZmiVV3o0zYncscBc8EDpwOtWopE3ZuLqkm&#10;qXy3kVrDFLEq7UtztUHnnAAwe5xWna+KtRsrR0ZHuZY1BBkbkAnueOnv+dclDrTWc0McYZ4goyhP&#10;UfX1+n0rpF8u7h8yWAoCpBD9QCMHkdMiiVSUHfoCipI3hrGjau1p/aloouSPllGAynAHXowI7kcY&#10;PSqUvga8jAuLDUGnt2O4LENh564Gf5ZrA1AIsa7EaY4K7lwSgzkdMHqSc59K3vCV/ql40UclzG8F&#10;uNrAuwOMcHbn9cVtSSqrsRJ8ovlSLcRWm12mJ2hXHJx6/SuisfDkbWssd/C7xY3SxFipk9ieoWtg&#10;SysAomfkYJLdqz9TjuWs5FtiRMw+XnGT6ZrWFFU4vqyXLmaMGbw/FbefqcUEVtHAv7iGJyNvcDf1&#10;LHp7V5sZrqSe6tBI8n2l9uzdlcbsjOe/A5Oa29c8Ras+ptp2pm5C7dnlHPBPAKjjHHp/9etDRLKy&#10;063uIopVmu9yrOWG1SpyVIBOOmOmP5555zct9Ei4qwll4fbTJjPMzC82MY4Y0L9OGX5SMk1qusza&#10;lLfwQRCJYPJttiZj7ZyhyVG59/QgYHXjFeaU3NzbpqF7sYIyRLMSyA85YbenXA4+mKz9Z1SNL5MG&#10;QWSIAilEwsY24QMBkkMzHntjO7pWCqRklY61DlKHiXX59OnIs4A9tvSOTOXIZBzjcBk+5H6VlxJq&#10;GuXsotLEwW8zBsSvlBnGcsenQYHrirKTzeJddjjmBht3crGI4gAGxxnGB7dulbuh22n2AmtnmklY&#10;SEvcockISEYBeVyQxA4yMk5GKppQ1asZazdlsWJpIrDQbC3Rgb1ZFLlFLHAJJCtkZyMcY6nrwBUl&#10;k0t74ikOp6bctawri2jnjAAXlgDg7c5x1B5NZ11dO3iFZLKGMpbsYFIV3XOSScOScZGc+9aVxqot&#10;/MiuTNesEYs9swBIKk4BCAgcHNcleNST23N4uK6mvd65pPh6C5SKKKCd43kZ0cySSylsYDHpxnpx&#10;wa4qys31W5k1pArFJVMdusgLhwcjA29OO3NaMt1J4inkvdTdEuRbYt4QgaCJXXJJ5BDbSGzz06cV&#10;De6paeEkitI47a40+XZJcLuWYNIRj5SACvHPBBFawp8ivuRJ3d+hsy3LrcN5VzJb37SfaD8mGYKr&#10;BgoKqOS+3nP8Wc9a4iW/ubK5uLaGUvGJGjkkY7hIemcEfl361NNZajrF2NR0+1mW2kc5MkwOM8jJ&#10;JJ2jB57mrk8FtDo4huYopb1sBWaEkpkBgVdSAcZ5yCe1bpcpEnzaEbaDYWOmkPj7fJ91VmAaLA3M&#10;CuB9eDjHFb1/aQ28tkYoZ454YQy2yMXVQMIzvjodynP94/TNR3mmm8eFZZnWeSBixDsq7lXhgzEb&#10;skKDjqOPem3891dabNfxmKaTyNiy3zkuql3XaCCFzhR1GcknNLTqVa2xLqN6pt7x/JheackiSCDj&#10;y84yNwJXHXI9eatw6nczeEZ5xFCLdFMLrBCMSsWOD975dwJGTxkcCuPg1ye3iNm376DBRBzznnr6&#10;ZA/Cta+RH0V9QuIgI1MMH7lQg2AYXK4GSevOSAvGRxWVSCb5KkSoz6xY/XL24svDNobWwDWcl1xG&#10;0YB3fxooB4+o61p6dcRTQ+dPpgt47FGlZZIgg7DO8DOVBYg/Mcr15pLLV7EiK5DwGW33Kmz93KpA&#10;+VicbT054Ge+adYatdyaNNBPJv00gSNIxHmsTk7EYgggAEnjrxWapuCXI/vKc1uzKsre41uGW+l8&#10;tdGilxKJ8PLOwOcK20EZJBx+dd3ZROVjnu7YRG3HmSExjKx4OFGQT+WKZY6VpunadBPplrILeWMO&#10;kmzzCC3UsG79Pb2qXVrCV9Ojs1vY7e3DKDIItu8Z5wi8ZH0rnrwmpN9fy8x02rJnIaz4qm1jULi1&#10;gCRWtuBuUKXZsYGE/wBr19MGqN7FaxSG9lR/sy226MHETzt2Zj0bk87ccVsvbRmK2QXCpbiSZ5VR&#10;VMcj4CfNsAKZVhyD/EDkmsC6tLm80a5mtDHHFCCCnls4XByFOOnHHOQeprspQjGCile5nJtu5Jol&#10;wbuOQQCb7QqAzSrM2I3XlcqxKkLs6Y7k8Y4yGnt9T19J7sxTIoDc4jIUcAgAYJA6cHNWbe/udHsT&#10;YzLLbzSREuwMcqMxPUqwOOC64B9OOudHSDBLa20tuII0jJEsnlrlzyeWILKDgDH41svJk72JvLjl&#10;tJobO5jS2WIr5gGDK5DdcsNp+bBx69MVyl3q19d27I1q5uTIXmdHOzLDPKD5eCW/Otv+2rVkubWS&#10;3RtweNY5HLoVICr17ggHIHYdK1fC2k31nO99qNvLHc4+VWUkMTkswAPOB296zqTVNOVhWcnyplnw&#10;Nps2mwOl2C08hBCBOVQgcnmp/GZttU1K10lAxU/vFKkjfhiMemTlRn/Z/LY1iax+z/M580qBuLFR&#10;IcEqCOh/EGuKczv5d9dGS4EyqIQgkIK7843AgAghsjr+JzXHSlKpP2ivY6JLkjyseN1r9sskiZ40&#10;kBdASwRWOACOD+IIPSsLUoNUtL22eO3I8hvMMiYKsAw65JwenHrWhrkpNnO08m2ZGHzPHveTpxuz&#10;k+vJPtWZoWoyTp9jmlkdDmUHPI5HLegAz0x+Fd8XzR0/EwfLezN3wnql9d3Elldx7SIzh1LKwGfQ&#10;cbcY4xW1baxue2DzYjIbywSzSEDI4wwKklugK1kXm+zO6Vz9qhtvNLRkoCSxA2sucn344wBWV9si&#10;82zuWc+WZwJhLCqhGyOrgZHU+46jnmiybXMthWsjpPFmpGTToltoGMcxZmAiwuCOOgC9O+CffHFe&#10;eWumapqDEwW00gB2hQOp/rXQSeJ0l16WTMlxHOEGCFyp2j0GPoPT3rrrHSXv42W3MlsEG4PE5jKn&#10;6qQa7KSsue97HLPV8qLXw68NS+Hby9urto5J3hWNVSQEx5JLBh25C4z71v6y0eh+GLm8tVYXr/NK&#10;8YywY9W6dB2rLN39jlitruYm4UEmRjvZMlRnI5Ubd3TbjPcnIxPG+uXA0L7OJ2drsgEIFI2jJIBA&#10;GeoHPp36nF1OaTb3Ojl5YmL4W8QJNeGyuNs0F2+WjmbhmyGbjBBJ2qvIzyMEdai8Z3kmta7taYiK&#10;2yhPmZUN3xyeMlscng47VxtrJIb2Jre2mR4sMWVPmU5yM+vTNXYAonuPtDlI0JjaM43BueAe/I5o&#10;U0pXRnK/LY6TwxrzaTeoGtnkV+C6Hbx6MOARxyO9ddb6pDezv5DKCv3gBjcdx5x0HpgAYxXmOluz&#10;I7sSrDKBGY4b1/QfrWzosD31+US5MEwO8sx46j/Ek/jXTQnKU/IwmtLHfSyxwQs7NgDuTxXJ6ney&#10;3Nw0e1g+44U5zjB/pVnXdUW1UW4O91bDEE4Jx+RFZljFJNOLmdSoXG3B44/GtZVLvyMlE0LZHtbf&#10;cyBmbqMcil2ozmdXYnpsPTNWI5VkBKnODVa6MYzsQGTrxxmnCd2JodGzrEHcBW9uKVZ2ZSW4BPAx&#10;VeSZ0QO/3ioIwep70faPnCFiW9AB19a3TIsXN2F+buuAMfjSs7gqqkjoM57VRkmVVG8HJ/vHP+el&#10;PV5FXhVAH8Pf61SYrF1HjGMFQTxk0VU3CRlJUbR1PvRVXFY9aQp9k82RELsxK7icYrDv5o4o/sZj&#10;doychiB39Kkk1Ff+PWPYiKOGKkknufxqo8Uk0sRml8qQj5SerY6YHFeVJ21Z7G+iBtHtZrNBIssm&#10;DxvBGB6AZ6ZJpq2cFrEUhiCjOa0TfRwW/wC9kLgDG5upqlNcRyoJIm3Iw+UivPqTk/Q3UUjJ1YKL&#10;OWUbRIsbYdicAY7jvXMPp0zWEUSxgI8eXZW3AjqMdx6+nPSr1891Lcb9zC2jYuySYyccgfQkgVh3&#10;GpR211E8UTGUjoHIxnGPr+Oa1pqSWhhNpvUikKCdontZfLt0wWc5Yfrjpmpp4khjtFS1iBJUTF+o&#10;fuCQe/X8aWW3e+v8yF9s67pViwBx69gePenT2cNxFG1mXl/ekyGQ7zG2e+Mdc/p9aty2JSLNxqBa&#10;FTDD5UattVwOcAehHSsa5E73kJnUkygCJdqs23nt0GT360k80Xn3yu9w6ovIEmB+g5qvPeNPpcbR&#10;EhQwV2ZsszAAkDPOOf070oxtsDd9zcimeO4g87Tt0mcEiMFlHbnp1zWe91LHfyRohEWctkcL1H4Y&#10;znjmr+l6mLSyjWdZcAckqePz/pRqsdnOkrxtKJbhB+7VuT3Bx+P41je0rNFtXVzIka8eQ2kMMcME&#10;RIeSTIEvJ+hP4elVrl5DZRRQIXeQEyFAMAg/3cVrW9kNVt0Rrt8xDIPkY49M55rXsbCw09oyyxmY&#10;/wAbDkn8+KcqsY+olBswNI8Ptdn7RqSyk8bNzYz9c/561sXemI1s8NoscBByVUYDHtnFRa5q8tlJ&#10;BFAuXJyAf4vbH4VUuNTdbpp1jaB3Gza8mec9wc4+gqP3k3zFe7HQrW/h+8s1crPGxyWAUkHJBBwc&#10;cZ/p+IrLFBBMYmh8tN4yoBbc2ORluoH0qcX90dQglVSGKkOC2A3bOOwB9f0qy9/u1FUljdklyEDg&#10;EBh3FXzTW5D5ehQhmkN7LOyB7ZUOIw2V/LoMCp5WzEp2I4kJGSOFyAR+Z/GqDWcbG44CqgJO3POT&#10;gg7eePrTpElkmdBIsKkjKxxklMHAGQenb6Cr0ZBOkht4sRHDtuyB3PfJI64zTVBhleYSGSVWyUBI&#10;VAcj8ScH8qZLZ7ZhczTsGTPysBgj0GfX60kSq0a3BLAyRiONC5yT15/UZ7YNO4F5GJgR4JUHLfME&#10;5Pf8DjFVbt45kRUfyYmJzgHuMjr05GPxNRq95LE9yJljSMkLuHBb0Jz/ACppuJJNRVWKKsEZf5lA&#10;V2C4B/WhbiLWnxn7ZHPPbRlGHyBiAFXqCRjngiugvrlY7clZ9jN90r1P+ev4Vy0MVxqksdtHGYdz&#10;+Wu8Ek5yeB26V10vhmy/si0UNcyPE26cebyy98KQCvPHfj1pShzSTZUU7aGDb3yNfxpA7oxRopZG&#10;B2sMjkDnHr/+utnSdCtPti41ddj5JALK7Y/u5HSqE2jz6HFHNcae3kO/7tXO4P1HzMOpOD0Ixiks&#10;bsQanIklyIJVIO3buVeT0B6/0rSdX6unKCuyFDndpbHrEb21rYoZrtVjRB81xIN5A4yc8n8qnMsN&#10;zF51rcQTKF3fKwJI/mK8z1GSK8uX3rPJcqQTk5JGB14AHHpXS6Oq2WjTzW1sYZJSMvIByPTPp61U&#10;qs6mEdZPldgjGKrKm9hZtW0DXWa31GxSd4U3ee4B8vHGFPXvwCMcdDWDf+C98N1c6JP9ojmVWiiY&#10;hWXA4wx4YEY54JpLy0gS7llu5zbLM48x4GcsxbOQB0yeo47Vj6D4kg0+8mt7a5mXT4WYtBKpZiBw&#10;Dx9QP51yUK8K2jfz6G9am6b0Luj6z4k0Nksbuwhfy12ZkjBlPpgn39KgWV9bjuId8UEW7dtl3qSS&#10;d2Rg9yMYBHSult7+DxVZgw3kUEtowcw3ihkZGB6Hscjt6cYPNZ2p2SyastvqEV84DebJEkpeM4AX&#10;crN1xvQYO7A/izWjpwlNOSvYUebl0ZR8PRCezjFzbpCsbspKwDgBc5J9ccDPGTUl/PHqOpwQWKug&#10;eNTG0kv7rIwWRRgEAfMTyR16VUHiHUNAvJdLa3uZLCYMhcptbaf7pHYZ55qDQdOFtrTOLwgxq8Yh&#10;uMKcMu1iBgjIDfU5pyu99QjK2h0E9mbXxHCSZLq6jj3l4T5YQngbSjcAghsn1FMsrwW+o3QeS7mZ&#10;o3VGkvP3iSYJ+VhzyeMZFJ4fvn1HWr64h02K0m5IEdvvXYVwAQegGOcYPPbpUPieGTT5LZbILFCi&#10;kq6MChkyecYGC3Geh+tZ2k37js+zNeZNaoryzw6XFbraxSyWUUQjbdG0ZcncCeuCQWI9cEDjBrP1&#10;+a4u2l1cWv7idwcNgMWxjAGcnGPpUzadc/2ZYz30xDy3G7yMFoym1Sz792d3IyO3Na0cV3ZvapcR&#10;loImaaJSfIZI8EqfMX5jxxjnqa0230ZNmyxPd25jlv2gMaQaeyRxhpJoNzNjhdy7ckKOOBx0OK56&#10;HQ7ptKglGpvI1xdFoAI9q57lmBAU55+n4Vo2Kq9jfXEkzHUJ2xHA1wdwO4MHTIJJ3HpkdM+4mvGi&#10;0Z1izJbzRAKGMWC2RjYd3BwCOucgCp5rK8lf0DlVzKm1uDSr19PjuzFMkDxyzTDzlkY9cZzt4J5U&#10;+mRUGgvFf3l35tyfsWA0i+WSk5zgAhcFQSx6dKjisrS5vZrqZWube0fhljBLMwYhtp4ZQUAx3/Gu&#10;g06OS8u7mSCVYLdfmZXt0UOqkH5VXb1+UnBH499FpG25Ordyrp1jbXHhzWLg6dbfZxJ5iyFXLQjA&#10;GxCcnuOSfWtBL37BBbW8pHlREzC1KoCg+fawkQE5+YkZz0NZGu3s2jxWjmF1F43zxO4fy8dMrjBH&#10;scisu7F14l1OZwTbxK/lNOsXlIgwOMA46Y4H9axl/NflGrLRK5sWLNrk9/eXdsn2R23tJtBfJP8A&#10;q1YjPI4x+WK7HTtOtruKNjYL5SL+4spnKKgbJZmAGQQDkZ5z05FUvBvhu7tIZ5lUiLduhe6yCxON&#10;xGOnPNWvEusajZWLQWto8Q85IppxlgpOFBZh24/I1zVefmutX0NIJct5E3ibxVPbXlvY6cyQxSF0&#10;M7fdBUc4HtxzUZvorx7WMSGS1aBt8kxYtuPy5VmbGQcnjGcewrF1pZGt7OKyQ28EYLyESOCXdAxO&#10;CTnjII/lS38sUGnNdQXkH2VdpWGMiUsCDuPznOCCTjBAzW9Ok4wt8RLaM1LS7sdEgbSJtyRkzSMW&#10;CqQQm3HPP3d2Ov3c89Og1w21lYpe3F1HBeRwASKp2tkkMOnB78HPbtXO6VfLgwRMq6VL5bpFIucy&#10;ARhyG+9yOcbhjj6Uanrz22oul6lxNaXiL+4Nwz7kxwMnnOfTBolSd7wbuugcyS1M9re01vWrVP30&#10;8Bm3u0cEcaouQoByMEE7Sc9D061rx2USa3LaWemqHZFj8kgpxgfORnDMBjp3NSeH7GzW41HVtMhd&#10;rcwGErNHnycqW3AAEfwHqOec9RlDq915ejW+tQxO88odWZ8tGpPUkN1OcY+n0q+eX2kJRW5lWloG&#10;1SW91FIZrRZ2t0jdhES38J2jnb616MusQx6Y9vOY0lf5ma6GEZOeQOCOBgD2rlPEENissenXF3cm&#10;4ikZPJhBdMvkLgnnIKjPOOeAKR7PfYG6urmS9LJ5gEowsgBYAtjlcHpk44xis5041bOMrDinG+hV&#10;mjsr43OoW8xk8v5YbOM4DLnGQGJYg89DmoNZ1q2sr2e6lllMhSKR04CJJhl+7zgqccHP3T1zUYuL&#10;C3mk0+61GGBZMl5WHCtwT90nByBXM+IokvL3cs88tuxXfcSyFixxxj6gZPvx252iltsZylZXDVLx&#10;b7WzGrpcxEho9sYj3EjgEJjnnGa6bTtJs7JZJ8M5n227QwnLRD+MMudxB7bT1xms7w7oOneQs19b&#10;uCuZI45GK7sDozBcr6g96v3UdxPaQ21rCtzcSDzFiMgVoiof5Synn7+7JPPtWjbt3JiupFJNcyvH&#10;HBayKFJknazV0+XJIO0nA68Hrj1rI1bWLW80yKxjh8oK/mS+Q7KJMd2B43D171fhvG0032n3Sxsp&#10;X5gV3jdg4wytkfmazvD9ta3t2pksY3iDhB13kk4GBnBP1pwjd6MU29iTSNGt9avLW3tUaCfefNLk&#10;vhMZ3dsZ6V7PFDa6NpmAyRRRJlnPTp1NcBpkK6NrV8I5HdZysjoy/NHwTtAz1/8ArVJrE2oHyNM1&#10;K6uGtbn94UXAYjPyrnaOPbmhYiKb0GqTSRn6bp99f+IrbUpLz7Q0jLLIiuQX5baPTZlR/wDWFd1c&#10;xabcstvqGmeWyIRHIYgyqPZsHHAzVLwfov8AZls010/+mS8GMSZVAM4wOOefejxRrtotpcWUjkIA&#10;UmXO0nIyMGlF+zp88ne47a2M/wDtTSp7Ga20yUKx+RSG2tx3Oep464z7iuB1HTbqK8Ecru5aQu5J&#10;BAJOc/y/Gs6CW1hvIQCzxebgjd1XPrXUy63Zz6isFzEixY+8cg9M4yD65rWVOntD4mc7nJ77GXPI&#10;d/kMyN5i7QzEhV9TkV0dvENCtECrtupSRuyH2Y54YYOP61sHUI7fSSIEj8tirOwAH7teQq8dyBnk&#10;dPeuE1fURcylmZ1LtyiMeB0xzn/P1rT+FHlW7I0k7kss6ahfBGMjnPLg5H1xWo8qxotsoIQAZx/F&#10;+VY9v5NvbkQmQPKuMSYOKnjnAcbgWL4GxRzj3/WpjqJmlCzxfKGfkc7j0p5ffufzMIDll98f5NVg&#10;WS3BdFB/2en50/5EZI8qiMwPJ610RZm0XLaVJFRXClTkozdRk0ojZXMKO23u4GcGqZbIAGF44wPc&#10;/wD1qlQ/vArNuGMkDqa0TJJ3SSHaMBlVR8xGef8AJNN8zav3iC2TggVOrs2QwwFPTHbFUZpc7VVQ&#10;Mnrk1ohMkaUBEy3zHrjFFTI8VvAGZFDdwgyaKfOKx6tZ6RbG3SWWCQuf+ehwfyFYHigJDIGRCGYH&#10;O0hS1dyzhlwa4/X7y0hm2T4fkZB5xnivD525XPblBKJyl7Gs1uFt72COHjeD/CTnjd1P8XWmPHPa&#10;2M0TXoZgA6KgyFBPBGe1TahYSLC3kvHIFjVVRX5yF5JHuQP/AK1Yql4LR0uJnIU/KiE4YDtgYOPp&#10;V7rcxejFurp2sxds+GgkVlXeCHYc/NjGRwOKq6jNEtvi2if5lTzQq4PTknrznIxzUBgN1fJNDAw2&#10;yAyJ24IPIz0wetWVlSOxXCypJnYNy5Dc56+xPp2obSJ1Yy6ktHkhgFxOwKgIACGXnjJGAOv+NUkS&#10;BUjvYkYRs2BGJCX3+h/EHFPvL4teW5AEXnPGpwAQvODnP51Wv9QVLhoI1dpVcMjdA3sw7Y46ep60&#10;WeweYXd3HbTzv5mGk++gO459zUyqz2cqXAVkdY5dmTmJcEA47dv1qta+HbrUZWuL2RokblmyGJ/W&#10;tB7OD+12WKcSSCMynzTjIGRgEc8Ek45HHoKiU47Iai92UFufNtIIyiiIt8rEZVWPHXuMetTKbu11&#10;Bo7iVZEcLscHiMYPA7c4A9uKqt5k8kdtAm8hzuYjCx56npjNPMzQ6pHZSNIiOmxXYjqByT6fUeg9&#10;6GhJlm1eeyaNoHk8iJ2BXdkbDzkg5GOarTanLqG+V9ghilQfLklsHnA+n8qgF2YzKHd5jJMcRhAV&#10;BYHH14Ax71WvpWs7uIJE8dtuJKK+HORyM9RQo3fmHNoWLhpL2za4k48uQhTNIScZBGAenFRTW0Ny&#10;pbyts8nzqCTkHv8A/qqSMxSOkb2SxxLFIVV9zFcLuDHnn5iRz6VRtJrqfUAZGJCg4KgEDJxkCqXk&#10;Sy44ZvnS7QC5jCAOn3SMHrkkcgfnVy6hXUIWlGxZQY8zRngMepx25HQVlzxwyxpEBNLKXbZHuwcj&#10;rjr6fzqdSJbKK202OT7Sp3zxtkhiOv61L7lLsSS6gz3MdsLjCyvHvwCC5B6g9hn/ACKPs7LfhlYp&#10;Ey/P5fyjnkHP49/Q1Wnt7hbm2e5Kwzbg2WUbRg9/yFaX/COPdOXiuYfs8ig/ICx6DPX3/KhyjFbi&#10;s2Rb0EJjlcPFIWJA79zk54qlcahK0BeKRwgOIduFGMAE4/AgfU1sz+FojYw28MjKVJyzclhUsHhy&#10;3iQF7icyIu1WUgY57cVCrU97jcJGXocd0tpLPkSR79xRieCB1HHJoYRwWqTXUhW6V3lVVIAOMYB4&#10;56/kMV1CW8zL9isovOuWjOxX5JwOp9aw08ManMY7i8gfdMC4z91EBALN3xnGO3Herpt1HfoEo8om&#10;my6jda/a3m9kIlDIiqATg9cdO55Oa7vXnj1aN1uLi1WaKHclw5IZgAxKnghuFAO3byc1yWm61a6b&#10;qEUS6fDJOwH7xyzucHBKnOAcg446V0169vPPBcXVq00FwdsrpKUO04LE7RxhNwx2HetpOGiiFO+t&#10;y/DZy2elXfk3i3dmVDEwt+92GNeWiJKkfMSBwR6jpXL6hpun37NcO05v7d8yR7VRTGOByPunpxWl&#10;p09usGm3nn3FldrDGAuPkcqWjJIx/sLnuWPty6Yre2E9vFIj/eWSTGWzjd83945JH4dKm907ltaG&#10;JpQlutTjWe4kSC5GCyYwSTgZPr1zXZX+mWFjaRK7SyH+BnlOAQOoAxXGaFqGiRGW3ltZJZojhcs0&#10;Z+Ycn5cDPJxxxgYrb1q/8+zLNKI7iOTzFi3Z8vnoce1J14TovDydm9jN0nGaqx1XUq6szMqM8hRm&#10;Rx5m4ZyMjIH97BIyc9etcl/wj0CQfazOfP3N5is/3QD1P1GD+Neh61YWl74XWKOeJ3LBlaLqcg7g&#10;eO4x+IribCK41rUpNLhjETFSsecMwByeR1POO5/GvLouVKDjtY6qsbtN9S9ZQ402d7JFNspAlKw5&#10;3kghRz15zz71u6PHd22n2kdzJt2zmPLOxDhlkyev96AKAR29+OY8Ey6tpviG7tWgmkWJCCqruVNs&#10;inJT0GDj61tfa7i+FgU3JAt2kTxEE7eZfnBxwCXcYJJ568V6MfhMomrd6pZX0c2ltdqjxpvUSH5G&#10;I54PY/p7Gq+vPc2mnoLiPZK0REU0GJVMeQCu9vmAwyk8kc44GQcFo5rTxYNFt5B5bwiVmcZwVXtn&#10;pwvatrXry70qxk0tnb7KZVKK2B5iF4hhiMEjg9CGzg1q2rpohX1TJoEvtLMV5ompTPp8CgSWsv7u&#10;Qg5PJ6NwR3Ge1UNSmsNWuXtr+F47nqm1gBu6Y3Dr2HOa2NY0+DSpxb2tzLa3qStHEgmHlSKBHgHj&#10;j5W/mSTWTrP2r+y7y1vpbcpDIGR3t1IjIIyEwDtB6ZAH4UKzd7A1ZaMr3nlDVIYGglM0cgG5Yg3q&#10;CcdD2J9cdu+hf6mtvZ6hPljPftsje3UKWUYB+Q5+vH8q42DWdZ0rUYtStrR2jPymRgzLKRxyckf5&#10;FaOp3OoeIIUuppYbWdCcxnguT1PoKyjCUVq7h7VFVblYpBBdIGhJ2/aD1A3ISw7dEPT1IpdbiuY7&#10;aK4dHNnN8olkcMZCvfrx/wDqqTUbSSzi055UadJpPkjQAqnsMHnrnB4+tbWsFNX1mKC7iQ2KP5Rk&#10;jhVWI7MMdTjHYfQUKykuj7D1kmUfBtq08cLiU2zTSbdjMF8xV6hCSOcE4zkcnPTm5HcG0Md3chEE&#10;jhfJkyG8sfddlHBB24ByR8tXbpnt7O+lSNFjiZVtPIVYgjDBO5T8wztz9Rn0rjby/j1SWHT4vOaU&#10;fLsc7vLYnJUDpgHtSqLmlqn6opPkjob9/ZzeI/EKRteXk2k7DiWRt5VV9MY7kdeTXR6RaltV3RWV&#10;pHE8OYo5IPmlIbAfIwcEKRuPAqx4d05rcQ2aWkQhYKWg81l83nl8/wB32HpitfVbySJGtbdka/mY&#10;o7gALHGD8qA46ZIGT19s1wzrSbstW9l+prGFnzGVrmr3Omx3NnpEIaRVDTTCVUZsZ6DAHHTpzWTq&#10;M0l5pLR74CqMJ0luF2mcEhT849yvvwDnHFY2mXGqzxX1vLqEMMXmiPe8SuhbPOOCVGO/Ga344NMO&#10;hoZzHLb2ivI8SxFFmOG53j5gMg8dDs6cZrqw9FUlvq9yJT53cjnWF9Gjv7q8YywwhQrM252HA3E5&#10;DgE7cjH9K4jUb6S+jexgg8mcOpZQu1VIHODn2HXP+MusavK1nb21uSgDM7KD8pBA2sB0DEg5q7o1&#10;oLK1mnuvnmTyz5cg+SZWPJJznjjp0wOtbKEU+dqzMnJt8qLehwPa2KI0bfa2dg8S/u5IsOgB3EZ5&#10;JBwMAjucCmXc9jp0FtNFAbjVGYySmYsGAxnGTkd+wz71ZudSt0gvybgPqD3QRpJN0rrtOFwRgjhS&#10;TjsFwBmuYhTUZ5kEzyOgl2FuVYjOSFI4Of8AOKpz5PeewWuuVHTw3El5aXN8QkMTIxjCt5QjUKyK&#10;B0GMybiOfuc53VIsl1barayXy289uo2RpbRLvK7d2ccc4IzxzjvSyRiHTJ4FRoLcrvELAONuY+FY&#10;gsDw7E9PlHHIrJv9YtzrKTXIuXRlETrJMsjuNvJHy4Xn09e3Spi1Je6y23Hc3PKs/wC0bjUZpWN2&#10;rCOxQbbfEhO0FkUDI655wSMd+L13FfPqgk06aS40mC1aF1UgDdjL9Oec5798VjalaySQ2uwvLcXe&#10;RC24rFEQwcOWyMkBj6Y96o6Xay2VrcGHUUYsPuAZ83b1HPf8MetZVKCkua9mUptPRFfVU077T5hu&#10;NsMrY+zRJ8/THUjv/Srln4UmsNViFzGbjTr397CisS3AP8JPUZBI/wD1VuXMtpqF1p7zOILa3ibb&#10;FIREuR/ckQEkjOfTI6Cs1brVr+wkmtby2xbpKyys+SMAAgE5O7ac5Ixg8YPVpTglFaoXLFttjdQk&#10;NibiaMKZdyxIisUjCBQCWjYlgeeKz0V9GtBd3VtBFfSrIsEiNuBUEhgYzwQwIUcdBmur0mLVNW0R&#10;7rV7VHuFRpFldQCmRwQAMntyeBXD6zrF1d3trbufOu4htHmhdw7hSR1GBzn1pqpGU+VLUU4uKuVm&#10;1Wea9mvI44I2dhkeSpGegAGOPwruvA3hy4W5XVL0PGIyXij6Byw647AViL4au7bTbPUFWK7CkGSK&#10;DadpPOGwPQd/WpL3xNILS4WO3W2uJh5eFDgxoeeB6Hp+fbp0xavZ62MVF25mR65d2L+LIo9OC434&#10;MkuSjkHGMZxsAwBwOBXfQgWtpGbp7eeBCoBHOw9sAnKnkn6V5xouhi4uEuZ9qrGRIwkXhhwRx710&#10;N5ZHVtllbXMKqkpEQUElmHrgkbQO9c9WVOdRUmtd9DenzJc3Q6K5097+YwvKyTDMkBhXYSMEHJ+j&#10;diD715VrtvqNuqxXUU8SltzNIScnuckmu/1rxK/h6RNPi1CW6hSMrMZSGZWY9AwGc4B6jjP5ee6r&#10;qNzr+oMzmUQD5VG4sMjocHviinTlSdnstvUitOMttzJitykv75RhGG0nHzZPU+w5rV0GwuNV1eKF&#10;IUld3y6S/KMA428c9MdKjeG/mEWbJwxPyOU4ftn0rodOhGh2BkkPk3khZBIj4YKRjAI6V3UVyxdR&#10;nJJ62I9avLO0t3sbQOgiypwSQWBPAz1HHJrnrOwF7OZDKrRA8gDBx9O1Qzx3FxcmKPb6EZwQPcVo&#10;I50qKONm3BuWGeee386ylJvrqOyRpGxjIVoyUKjAwcjHv61WjhlsXyZFZnccAcnv/j+dRiYRxkxu&#10;xwTj5v5etLcSu7+ZI/APCL68dc1UE0KTLakhAGbkc4A/z61Ii4AaTBkJzkjp/nFVUldInaeHyz29&#10;6lSR2gQsSAygjA/zitkZtFlpdpII5U9SasafNFKpYBSenHNUt27a0m3djsOlOheWLBDcDrgctWkW&#10;TY1J5SYyuNq7fm4rLhkZMnGFB4Pc1aMwngw5Ytjscen/ANaqTb3izuGGHPy9PrWlybFor54IXO1e&#10;W9vSiorWXbn94TnBJFFO4HslzqLwT5cERDOcDn2rkdZt7a6mil+2SRxsTjMYwM+vTrW7dXNvqVsW&#10;SU5QkBh1GD6H6VzGr2ky2DLbzAKFJmJHXv7nPSvGjJejPYmm13HxvZ6SBMsLOPmBkkPJ4Gcfh/Wk&#10;uBp1/JiyuY1uBnaRz9eMist5LeKCGOeM3dzEpDR9eMADHsOfxP5UbZprEpeoi+UyklN+3B9CBRy3&#10;1T1I5raW0J5tPe3lk3SSs742KGwM88YGOM49O3Ss9711upIp08t/LzGQufM7HAIOPpV2e9ttchVA&#10;Zre8OEDoCQBkHt64+tYbiS0aWPaJbmB+pBJcdeef5URv9rcUu6FtoEktGjKsJY5P3qu4BOTjj8SB&#10;2+tSaatld3Uz3kcLTLgoqqRlQBjvgjFUrmeeLSXuDtje5Ys+F5z6Z7Hp+VWJ45LFbUGDNzFFw0XI&#10;UheO+MdD07+/LeuhK0NmLU7OaJrKJNowcxn5QF9e2BXORRt/a8EskREW4xI8eOCW45OTyc56HrRL&#10;bI80UzX0okeENIoYsTz91e+PxrRuHkZIVKlFLfIVG19o54HqDt6+mecVmoqG3UbbluVbi485XgaN&#10;1ESsISdoBIY85xzx271X03aI2v7sSSSphQGztxuB4xz29e+Kt3UkUkq7lZhAHBVUyNx7gk8Y9Mmq&#10;ipKq3dqJfM3RhyS2OODnIHOAOnQY9eapPSwrakZlWaAXM1u7xkMyugwU5wM46H/PFLcu95Mkz24M&#10;aR+UC6gFSe5z/nmq0N26vcQMgd2lCworAA8nODjpn8ulKs14RctMFEh+RVZAwbGOBn19qq1hXHvc&#10;SSWRuU3x3IkEZO7Jxk9B2XBX2OT+F62ms7ImCZcM6gl4VG8+o6ECqkBEIijSPz4iFmdZRiQqP6cH&#10;HBqiRLcmSSYssqn5VVOx6k4pcqegXtsbVloswvWlMSLGyn97uJdgR6dP0/WtDT9KuLN0QXn7lGLB&#10;RGMtnruP/wCus2y1b+zjFbsRLEVJYIclGH/166G2uPtUAl8towxwA4wRXPVlNb7GkUiWS1iuFCyx&#10;JJ82cMM4qwkaxRFY1VFHCqowAKiJGM9Mce9RXepW1luaV/lQZYLyc8cAevzCudKUtEW2lqTTSRxo&#10;XaQBVA+8fWq81lf30bxabCJ7nbuVWztxnknkcYz1rnLqa71ae4j3NHB2dlGcdgcdz6CurXxAdJ0C&#10;1gtHKvMN91LIqeZKynhAAMKoyvXOc/XPVDDuNpMzdRPQ0NB06Sw0CFbu8hS/kYp9nnX5Wx3zzk4O&#10;BwPbHWlt4BZzXCNoqQC5XCBrhnaMYyM9QU64BB69aqJrMviK3kiitbdWiXO6VthXPGMEdRwaS3lt&#10;4p3EazQIYlnd2O7OxgSFO0Hbt2cdOeOprputbDjdpJnHatfWiyLLDHAqKcxxxDbgjr05wCTjJ/xr&#10;ufC1l9t0m3E1yYLhcgsjnb82VVgQeG+Zc5Jz09awbbQvM8SXYa0MkauZSh3KJgWztBGOzeo4HrXR&#10;arPazXKQXP8AocqhISpiDPEOTkYADAYAzwePzzcZNWjuEbJtslni1W1hljnjjlmN3KCmQ2C4WUMh&#10;wATtZgOBg+Yc84GaqCS6mgjXy1YK0gL7t6/MCAevoM+1a661qNhdhYpYtQsLgLmQQkZ4IHXp1GQC&#10;c9AetM1j7GVjuJpo4l8sKFQqMnIOOBnjA6nmojW5Woz0ZbjpdHBaDb3elaZquuSWUXltIsSrKAxV&#10;Q2OAe27bz1+XvzVHTL2+nntoPIjYyK0QfaV35P3jzyfepbq+upppBBcO9uZXkigwSMEknI+vb61L&#10;Dp15Zzxyzu9uFdPKLptL9ccDp1z0NVSSjU55Wu3+Bz1HePKjSk0PWdItBJ/aCeU74aNiSvTv+Va2&#10;inUbK9gv7ohbeZCQwG0RYGMkNlscA5J5zT9U0O/OmAAAgP9/tzHJLM7N8zHp9K6W1s49S0kyy7pZ&#10;2tTjOVDkDj3DA+hPf2xlnVqLi4q6e5WBk5pqT22OJmmvU1Z9aijlltEIKs5YBmHUEdGH1rXttes7&#10;zR4prqyQXW5DcGFsFirpJkdtxKnOQc7uvasXRtQm0+OGOS6HmBmXDEt+G3kEfWrerXtpNbFL22is&#10;2yVeSL7hOeG2ZOOgz7+vaad0rRLk7O7Mm31tbrxzFqNnA0qGAxMCvzJlSCR7jNTTRJq15qIlebEd&#10;vLcKzsQX2R7xnnB+ZVPHuaoXMNxpFrIUlS4iP/LWEgnaem4gVsL4l8yAQXVpHLFNbSWy3S/LKWMb&#10;ICSeD9/qBnJHYYrqu07WM4yvuaXjkr/wlweRkKpP8q7Vb/lmvOByeR39PrVHxjcqdE1MKSJFlIbj&#10;GPmXHT2qeWe3uZoVZxdXAk8wBQFySF3BsdcZPJ/u9uaxvEUEkiatuKQiUecVfKk/dwAPXCn9PWrg&#10;9SpK8TD8M+Lf7FZhLCZo5PldSw27T1yhGGPXrXRajfeHddj220k2mu55kALRZ91zuX9a838s5yOP&#10;xrZspFjs2RCrtndtYYY8dAa6FGE375y3cVodKl1qGiafLMl1JeJGwRZ+XijUjHHBHcelaWmXFpd3&#10;lvPqCX1tFcKNoDELu9tvJAPv+Fcx4Vu3vvEdtpskzRQXjGGQAsVbPRWAIypIGeeld3JaXVvBDFt+&#10;0QgJi5048biDgbRgHoewPPJNY1YRvvc2pttXMfV11XU7iaGGBpXLbzO4HbC4H88Z6inaR4KuJrpZ&#10;9TZY5nIYIiCRnJPJ+nuas6Lb20ij7DNcpITulgnO5ScnlWHKsfTH1NdFf+JmNi9terCzukhhlUB2&#10;jCuUBz36HH0PPeiCdKNo/iFry5prQ27m5+xiS1tobea6lt2XcqFHVAOTgdcdsdTXCfbri3vr2zgv&#10;LlLn7TMRJHCVeRdqqEx/slc4z3Y/W/8A25Z3yzzyKrxxRH99t2lX4xgjle/T9axdLUW9rOY1FwrF&#10;mSUyvG0cipISysCcnJYc+o6dBi4w52lujdTckmX9KurdLh7WR7mWFG8t5SiAyYwSrr35xznPWsS9&#10;12KK6lg+yO8MshCpHhViIP8AdOc8dBnHPOean1a9h0yOGytIi4SJjcRPD5bAk4IZ1IJwc4z+INYl&#10;slre+I7UPM/l3UwaXIy68/dDHqcd60lC6vJXSMnKzsi/pmhXYRLk+axaTKCKP5R04Ynk9QffNb9w&#10;wsme8uY2CRRnyY3d5YwMEFFwQRyy454z3IFTrZJKI5ZsxNbv88UR8wgoqqpdW+VsAYJXrngCsWHx&#10;BfXsw06KRVS6lbMogRGGTjjJ6Y7cf1obvsUkokXhLTle9nlu7mMxsREiOuC5+U/MOflwe/8AOu41&#10;XSLqOyjjitYmUNvLCL5WOcDqD7VkaHp1tbXsbE/Z4UiW5PypK2054bKnaeuc+nvXYHW4L8zrJcXc&#10;kCxr93aA3TjhcHPf8cYrz6koc7lPTsdNNOMdFc4zVdO1IaRNHf4hLqdzRKHYscdhjA2nHWsDTNIF&#10;nYprIuLplBCgRxKwLH5Spzkr+Vddfap5up34igeMKEUjLSFDtLAFF6qdpB54K85yBWVHHp50q0EN&#10;u4dgDHIT5bEg8kgcHHXHXtmuihS9mm5dXczqPnehWKzWtxBEklqskBDENiRSMAqdnTPy8kEHJ6jG&#10;Kw7a5uDqwkhuIXk2uHKRAJ7naMDGMfrVbV7ppdfeMTec3ylHRdg24HykLj07VvWXhnS9NbT7q4ll&#10;mvpWXdHvxgbcspUjqAV5z36cc7KMr3vddjFu7sWYbyC2uUt0eF5Yo8fMylOWG5QMAY25yCDg1Ytk&#10;urX7TC3kwQOShjzviLfIeW9y5JP3htAB4NUzNALi2uobJxHEzSsyPucRg8g9cfj2zz6VtZ1iK50u&#10;F7dYPLcljMseyQOM4yAcAli56dCO4p6dNGPmtuSalrt3pepwxhYEQJtaC3lYxEZyVYE8Z4OOea1N&#10;LufDuto/m6Xa2t0wIWR4wy5Oee3tXCLMt2geeJjOBgOWI4B5yOhPvXp2iaGuk+Drp7mX7JJMpeVg&#10;ofEfPy4PqD2wcnrWsVpa2pn8Tu3oHhbRJ9Kh1F7pkaFmDxGNg27qD9OD6Zrav9AhhuINRhEDMp+Y&#10;NACTyD8pPToAM579OtcF4ebVbu7kj0WQsIxwZn4AzwWHP+fWulHiV9NuhYa1EbVpE3F1bCuRwDgf&#10;5/KuOdCcW3B2b+42U42s1dEniOK6vrHZFYwjUInXc0fyyOoQElVJzjJx34FVBcS6TbQyWiB7yW12&#10;iBlIMeOmOoz1JBHPrUN1olzL4tg1mO+Mtm4CPE8rkqu3bkc8jHP49DTNcf7L59wN1zMCT5ruTgDt&#10;gn+VbQjU5k2te5Mpx5XZnn0/2rUb+VZZGEzZYl/vFj3P41EkPkQCN3/eFtz4HRR3z3pY5pZLm5vp&#10;gqk8Pye5H49xj8avWOki9eJY7lWYAGWNlKkAduOvHeulJ1Z+SOV2ijqNK1abUrXzGhRI4P3a7Tgb&#10;ccAL7d/X0rnNevjdzZgRHUqFUMevqevetDV7yHT4Ba2RSBP4+M5Hcc9652CNNRuWkZwoDFtuzHH1&#10;GKqrJbLZExXVlvSbHy90ssbLLnjParN6jy4+z7TMnGH/AMfy/OppJlhiIDAELwOuazJJvMgecFgG&#10;O4A4PIOB+HFc8U5O5b7Djm1RWnVBJuPO3+tPjeWScIiswRs/Kex6Hmi5kDBHdF24BBK9T3qa0vF8&#10;5wgDDZuY7QP8jt+Vbp6XIEJH2shndzjJV+VqyGAjG/aFAGOwH4elV1jMryN5i4bpx0Apo8yWc7sp&#10;GmOhAzjpVokscbArOfl5Yjgnjr+lPR1jPlozHIzvAzVS5usyGJFJOcHH6VaiinmmURKjAD5QDgj/&#10;ABq0TYUTiJWCsS6/Ln05pgkkuAE2s3zHIAHStaz0hYZpHn/eMw6EVpQaZFt3RxJk+2M1aYWM/TrL&#10;9zuFswwe/NFdCuYYNjgA9eKK2SJNDVtIutBtZZW2yxytt3xMwUKOmR1HUd8+9YEGpyWtsBd+dcM/&#10;QgcYPbmvbJ9PHklMZVuo9a5PVfB9jOSIxJaSl1dJIgCqkdMr3HevLnSueipW2OEOkG9ufPtLhonm&#10;2lwQGOMHpnpnJz1qje+FtbM8hJzCSCRuwPyrtB4a1LS3M0kccwf5hLbqfvEAYI9Bz1963Z9yaLul&#10;RXlIO1RwSPy61glUWxr7stzhtP8ADcFru5eR5IyNx7ZHb/69ZusaHcQyi3t3Y27DYxIBO/HXJ9c5&#10;/Su80wR3CZmURMy48snkZqxeafB5LsYjIiAHAxkmopt3fMXKCtoeHDTZpJGhuZgLSN+cDOBu59x3&#10;rXutLi86OFruaCKNFTzXAOcAcZxnPQZ9sdq7+XSrOCESfZ0/ek5UANvB6fris3W7S1sbUOwc5jUY&#10;yCdxHvnj/OauSbehny2Rw8ljDprxsWaaVkZEbd94k9evy8Z57VWhvbu81SE+VuiiV0kkB3IAeQck&#10;dcgA+uPetXUbW8SK1lkmlkDgkyKASFA6e/UDrVGO3me3a3UpFbyY8vn59xzwT9TznJ7ZHQS/MhrX&#10;QrJIttbSRQRoZ4wWkMm7Bz3AB+nHSoHuGtrae9QxZlK7SAuTjPOPTrx1qxaE3cVzHJdBbqN9zHAC&#10;vjI9MVBfhJtNhjBA3tlnIyW9D04FOO9hPYQ2dyNOdmsrhJSFC9gM57Y7HFJd2d5DNbyksTs5Yk/N&#10;xyCPTtXWafJb26Ik8qF4tu2TG7OOpIx1J5/zmq7SMmoNMl8piXaJJivAH0P0q0xuKscpqGk332kT&#10;ywMkUSjkMF69eee5PFa1voqy3K6glxIm9QWRf4sjnn/61a2vxi90lJLaZJnkQbskAvnnGB3/AM/X&#10;F0TS+S907pInzJHu4I9xWMptxvew+W0rF+y0K1srk3CPIzEHhiMHP0FahIXHTim5IXk8DP51m3Wr&#10;RW11EhdWjbhscYOBj+Yrl96o+5ppEde6xDaHAaN2U4ZGJyD647ge3Nc5brNrt8zOSkcjc7cK0pOO&#10;PTGRn863YfDX9r6o7xXStOmGWB+Me5IHT8c0k848I6xbbiJrhWJkZhhNvoAMcEe46/jXfSpxpx5n&#10;uYSk27HR6b4fsNKs7bULidy3/LOBlIi3noQ4yD3yDzWBq9pJaBpoZUiW5QiWOSENtTdgBdw+bOM7&#10;scEdfTqb5ILOxNvpxewM0bSSpKrNC64ZgVzu56c9Km0+5ivrD+ztZiiuIY41+zRXsRRxGULArKDl&#10;ScKNp4+U89aqUnJbmnIlscR4ct431T7KYyYnVuHbhj1zuJGDgY711TW40+907z3eEvI0S2/mFkUM&#10;G/HPyx4J6hwOwNUbvwzcGJJdPsreAaagd4XuCXY4DMzKcDH07VYOv6hrZlktILeZInRjHIBtwrIS&#10;A3HUqpwOv41hOfs/iHTT2L82rG1ls7KSRBJNxJKCxTI6quDk8g8VFql07Rf6XdwXcIfzG8xQrBSQ&#10;Nm4YPG/djvgiuY1C8/tHV4G+yLFbWbebIN4UOrkP0zySMH8TXQX9tHcQzRf2OUkkiMy7FcFztYIB&#10;knOCVIPH3TjriqhPme42tzM1rWL/AEmW1kimWIkyDyyfkZQ3ynHPO0/yrmr7Wm1WNY3iHmb2KGMn&#10;5foBW14igXUtIRkfy3Lx3Mm88Rhl2jHGcfL+dJBptlpdmbi5ubREERKRJ85ZsDqxIPJ7DHWirKEJ&#10;JvVmaUnotjn7eawihItkmGoRnf5rHOcdQijH15rpU1SbxPPLb3cQt5YZVfYsgyxOOAO/GOfT61zO&#10;hTWketreX9m89mgczRRArwwIAGDxyR3rdvbrTJZBd2CPFdTRJvJlJO8AZJz0/CrcISmu/wCQqb5Y&#10;tnr+m2shsBbzqGTpsA6e+az9b1r7NqMGmRnG5CgRVHHHGfb3qhoWvTHRV811EgxgsT7dv89aytWj&#10;l1PdKp/0jYwQ52MNwBOP73cc/lU5ljKcv3C1YsHh6kX7ToYEWnRXt88FpCsjzLK4ZpizMAM4AGMH&#10;rwDzVvV/ClnffZorCDyZEGfIYlHcN0JVsgtlXPBx7djz+jW9/beIYjbSrb3K5bzmnDOMqwyvTr7V&#10;6FdypfeQuum5a4e2VoZAfLd23Y29MZ+8MkchQcjJrOjHlW5s5X3Rj2djF4Y0ZiYVdpH2h1IdSf7p&#10;PY8Hg1z8+oabdT+XeRrb3AYGMRoWG72x0I45H5VrapDaWsErWrM+24aGNQxJDByuT23Hrnj8K5LU&#10;rKXTkjFydt1IxOSMOp3ZGT34wf8A69bTqLmUWYOFtUbujslpfSJiO8siQjxMG3hhkgh15B6/1zW7&#10;fyhraGTT51iEzoI4Z/vqzMQQpOQowM54OAc5zXG6c1qL+K4EilmI86EKQCuRzgcjv3rQYGa5tjFL&#10;mI36RxsqnCBi2MNjA6j1PenB6FR2NQ6Npt/axy3Gnxw35cmSIx/ZvM+bGAcFc8HoF9SDnNcpqGmy&#10;QanJdGzhg02aQlEVwVQj+Ekkmu+vNRngfTtFvIzdweQ4kVpCj5SdlA3Lg8DgZOPY1y3iuO3bSJVs&#10;4vKAuim3OcYZh1/xqk7hOKsY+nKttc2l+IVhZXzGUGAdrdTxn9fwrtxeXOn3z2VpdSxNcWkR3x7c&#10;geXuPbA/z3rzu3muo5YAyi5jWVmMgZiTlQMdccYz0r0Fnt7vUrO8gnaVJLQRhSfulIMH5T069qPU&#10;UNmWZxo8ltpLy2ksRm0/eZoZtoBAbk9STgH5ueOAM4qFH1ZZHlSeG7tt0iHzIwd6ggfvR1yA4G05&#10;Iweay7tLgeGkXLItlLHF8oXL7izYz19eOlXby/3a7qUqzf6KRIsajOCWmY9vovXn8KcWVJOxja74&#10;a1nS7QyfZ5Zi8hkDQqAqqeQSMccfhVmz8UzWUTQ3dpaiyP7reifOrADO0H13d/8A9eLo3jq/tJgt&#10;5JcXEQJ2ATthM9hnPWptR1TStblLahphhJ63Nq+HLc8spG1u3oeOtW8O5LTVGCqWfYlvZxrKOheS&#10;TMhVACFJ5JA6dD171StJTbaha2llbmG7WQRtJIwJLE8gZ6Dt64+tJJbXMxeTRomuPKcMrL97A6Hb&#10;+FRQ3ky6ml3djdeZVmGdpxnB/QdayjF001f5Db5mmzuvPv7oW1pbupypDsSzSBSq7lG84b5jxg9B&#10;3JNcu1/aWd6qlbnzEJVJlVRJuDZGM525wBx0rcn1fS/sYfTzLKkpaR4nIOHbklQQcAe3p7Vy2ktN&#10;eaoLeH7PaqdzYkQvkDkk9Sc46fpUSUZO7VmjXm7M7g393DpV/qEL/aXuY1iErSGCRWVIww+Uc8sT&#10;j/ZHWsDR57y6upLIXEjRZ3FAzswXv9cfrWncR/a3gjZyumgSTRoqJE7LuPyK/IbaCCM4zk59BhWV&#10;xHLJ9ht1lX98HD/aArEe5IxnH61UoX+JXK5vkapjhsheT73dI7iRJ5GYROm48NuHJ79QR844NY3i&#10;DWLhjbBTE8KhljJjUMBkDJ7ZGMZABp+u3k0Nn5cpt3jeQOmE/eIME7Sx5Iy565+7moPDuii4mN3q&#10;E0n2TBBRn2qT35wenXFEVd80ZadiZS+yXLa2hk0z+1Ll/wDSbc+ZEFkCFW42sQQdwye3THvVhptX&#10;v7ON9kMrRlYXVGG/rngHg8KOxHWpw0UlilvHbAxhZpFkmlBXYBhSnQZ+bOMclRzxTDrc1tII5IPI&#10;aQmZbedMqm7B+VgARjLHvxgetXZbvQQ7U7u9t9EkG6Ka2fCZmj8t4yOgyOvHH49q4mGGIM5w8iHk&#10;DcPw4x+n61evNSubovZyTNLC7F5Ywfl3Z5K+lbln4PS8t7M2908PIZzJH8xyMkDHfGOKpKSjzPYz&#10;b5pKKNfQ9PEMEWpX1pbs7bUt4i2wbs8HHv8ATFL4q1yfWLuLSLUJhD84B43jOTnuoGe39KpT6ZqU&#10;dqsaTieJRlI5zhoyeB+P6c1JY+G9dg0x7u2aEtL95MfPgA/gauLvE0sk7Md4YsLjT9RuJI7oeQfQ&#10;gZOfp29QQeevatG2h1LV/EM8t3Cl7aRDBjuVXlM8AcYz3H6nmsJL6W5khswpCKxUSjjnOD83Tk96&#10;3fEGrL4d0lNLtJ83UgDTzAnI75z7/XpWFL2lRy5tF0Kk4xWhJBeYgWBIhCEACxq5ZUUZAGTyTgZr&#10;IvNZgW8a2dHcYClgeMmuct5Li4mN5NIDyQobnd6mkMN5e3gihRzDjLsuTgfX17V0RlOCUG7v+tDl&#10;klJ8y2OmXSNPnHmAb0PIBOQCD1GP6561O0dppensIYJPM5IPmcEkj16fhRpNvcWOiyJbROoupD58&#10;vmcxRLtIUL1+ZioLZ6DGKwPEF+21GUOYz90NwufcVtPlgrRM1du7MTV7n7ReuiBlwxG0+vfrzmrc&#10;KfZrPy12rJIMkqT0/GotPgjnjaQQKko+6+48/gc01pp9+64jCKOAW6Ef41zPXQ0Gm9AjxscFB/EM&#10;/p3poM1zDnCrkgrz0HoTStmRljUsUkxyvOPwNT/fTymkw5zhgMfjx9apaCLCw+VEI5HZ5CB8ucqv&#10;v71OZCsUvG9dvAGMn16VShkKKsAIc4ODj8c0qSuYVDnZJyxzzjk447+tOwi7BYNNOWjXGB905/PF&#10;XBoUnlIA2CP6etVtL1B4kjIVSoP32XG6t43gbCRuTkcnsa2il1JYzTtEtrfLlmduu0ng1pR2NmT5&#10;kcQV19CRzRHdRw24DlfNAqNL3f8AIVYHsT3rRJX0EySSPY3mZwT1PWp4J8KRt59qpSM0wZcYIOMk&#10;9PepYTsBywJx07H8a0SJJ2dmALHPoPeiqvmgsV568DNFWI+gQUfoQcdcUNDG+Nyg1Vt1MTknjPJy&#10;c5q2rhq887GrAI1UcAVSvNMiuVyuEcdCBwfrV/NNJoeok2tjzXxHo72l3HgM0ssi/vRnoTjnB4A/&#10;lUVlrpNtILwxhlBIePO1gPTvmvQL5d4I2BgRgg9xXL6p4Xt7+2fydtlMx4IQlPxTt9RWFSjdHTCo&#10;1qc3eTQ6lAZLa42Bh0Cg4Pr7HpXLeIgtnFG93NPcKgC/LhRtA4B69MVe1XSrnw4DDPbqFlB/0qM/&#10;I2BkAHkg5559O1Vb1TFpyWlzbfbFJbcC2CCD6DtzxzWHvRfkXzKSOYufEEckRtLJZXhI+UkYYMeu&#10;OuB1qtGsVldnTklDszNIZg25lx/AOmSGB9Mg57VvT6Ube3RtMjWGVcMVPUk9jn2qgul3c921xPaW&#10;kc+CEdC2QTn5scgnnvSdWNiOWVzGtIEv0AUzBixk2Y+QgE5AzyeBWgstnK0mY4fMjXescjOOAw46&#10;49ug/WooLHV4b9S0MIiXKM4PDqc9s4/LFV7qNrBGup7eMSyqVREcAEfe+bqc5APrQpJvRk2sieSc&#10;C+uXuZBCAqvFGudrA9voATVtJ478vFIgVI4gCNuBkZxkg1lLMb547WZWijyRGBjMi+mMHB/MU27v&#10;Gt4o7aHHkgBsn7zAdmxj+hrXfQVy4b+yhhFlbtMy+aHMm4fIR0K8d+/0FSrpCXLC6N7LFC/8Ljkj&#10;25qLStKS1QXd75RidVIDAk89Oegqw2qDWrWWzVktCrbVcrkAY7+lZN8ztArp7wXtxJqOnmHT1Z7p&#10;n8qNM4bnjd78f+hZ7VXXQ9T06UvfIYyOTIw/dxH29TW5pHgcmaB0vka0IUy3MWS7gjOBnp6fkea3&#10;fENskHhp7ezG7ycHZ1I55Pr057V0wpqlDm6mUm5M5JSlwoFjOlukLL5piBHmgg5yckljz+fNR+Ir&#10;uO82+fBHK6sQoUn72MY3HBIGP/rVDoJtEkmfzW3NJ8pZuE9WwRz1/wDrU3Wpmub62y0Shm+Xb07D&#10;J5OD+fU15spTnXs9kdCUVS03Ox0bUPO0i1mlSSKRFBb93vUgd2HB7YGCBgd6mgvrk6A9m0C3yQzi&#10;1ud2EMhjcg7e4O2SLAwf9We3Br6Zes+oXFhLFDFcwQnyQsuHYKuQnAwx+X26/nLFzcXds0PmuYYr&#10;hFaLyhHgeRjcScknyXJBx8pByMZ6097AtUiRbO2eedFs7mJQdjJLJuLgjaWJzzyrDoPp6a+l6PBp&#10;WmmRi8VpFFxFnLN8p5O3pjBOevHXjFc9GgWZJXs7tTLagSIZc4ZeQoGBjox7ck9aoaprep6Zrhlt&#10;b54vMhWMRsudqEjIweCcknGQPrWOKo+3hZ3KhP2eo3xb4fgvLkvHPDHeNtXyI1+4gUAFxnrxjp6V&#10;vaRqumSWttFPO76hax/vjGhUFlKnkAjd93IAxjFcl5mrXwur5IpblvMDPJjaRxz06j1wKpoYtSSQ&#10;WSILjO5p5C0flAdWO0/N2/OsoVOT3Vsgkru9tzc1qAadoEtnLNHMkQdFnRvvsj4QY98Z46VyGmaZ&#10;c6wzybwyofmUk5x14q7rOpgacbeG4MxhADYw8XA915JJJ6963/Cd3ptxa28801vaQLktFtA8wjoA&#10;SOTnnr6VrKrNwvFasmNNSmk2Zxa1020S1so2aZgQwdP9aOmTknjJ9OcZGD0g0cWVvcBEhlmJJDsB&#10;yD+Nad6tpqGsS/2VZyyQnAeSN2wxyWJAPucenFdLZeHxbabJepp3lzJkjdJknHf/ACK9LCYb2NJz&#10;k9WcmIqKU+RbImn02WLSDeJAybBvVZcFuR1HTnpj3rlN0EkirCywogVkjDs3UcAkn2PT/wCvXTW3&#10;9q65oZgubwBp5BHGeQCOoz9OCcDtjvx5rdTi01y6sbxZBFHGIlH3cMMc+/8AXjNeJSlTnNqDu195&#10;6NV8kUktzW06USalJPAqb7ZBulbG/cScbfTH1zit218Q3uoT6Ymq2qyGNUiingfYySZDJvDAhsDP&#10;PQZc4Ncjpz2+nW97dWt4zD7qow5cgZ649T6f41o+HYbvU9QjuYomMYhADylspKCpJB9c4HHADc+t&#10;dabu+U5Ummjo9Ruk0W2mILXF1czSOoVPVzg9/QHPvWBaeH9R1N5bzVllSFXzjGWfuQp7YAPPTpXQ&#10;6dFbWmrQ6fc+ZI0rbjIkp3DuAOAMHpkGt251NWlW3SNvNLBY+CQI2bGCSeeMnP8A9aueVSpTkrL3&#10;5deyNuRTWuyPOv8AhAdSiuI7iylSWMEeYd20oD2Pv9KsXNreaNJD9k86GSOSNwXUZf5gc56EdOOM&#10;4NegWUd1bQrDJLseQkrGqANnAB3Zzjv0PNULu5+2ajHpxZJUkB8yUxqxJ4GxVDA8ZznOfatVXc5q&#10;nu1u+hm6KS5kcxcawLzxBb3tzFDb7FJlXLFfnYucjk9WOccduAM1meILspbSjcj7rt2TYc5UucVP&#10;4n0mGz1BEt5PnZlGeqliB83QYA6cgHjjPNZ0sdxFdQQ3luC0SfIShIPOSSAfy5rpTlDUybbVmZl8&#10;zWsBikWTJBwu7gNu6/zH4DpXVeFpodMWO41IR3EU+YomU4ZGKEDOePbODWfb6gvmv5hbfNHkSSjf&#10;sXblvp/D79M5p+g2dz4juxFDHG0MTndM2QQvOMjOP0ojzSvyiTUdzs9U0uK4tryKIme3uJY7hGj2&#10;tgqpCgkHn5mUduhqldwRQWqtLuSBNOWTJ/hJlkPv7e+B9ayo7TVNB1uKdPPms0mTfJGx5UHBGVx6&#10;9feqt/q+vavZmBYxsQbJIo4tiiNfujIAGBubv9aiLd7dTWU1Y5VFRQkSKzD72QB83qT7V2tzoNzB&#10;Gz20An0xIo2XcMrIWVW3AZ3KSQM49gM9+Sgs1muVtldt8jiNmC7iOecDvXcW13NaxaaZp/s6yTtb&#10;zuVwwWNEABzwMY7DjnOc1upNaIyprqYE3nX7rOLmC0ltowsexfKG0dMHPJ79uaguv7S1WJxf2Xm/&#10;ZxukvAgEqoODlsgMOMc5Oe9dFb6fpusWb3RB06a3ljiZoUXYSRksUz09xzVGfSbmGVfIlW4t23Eu&#10;pIQKCPvc8Dknr2PJNaqpok0N09blKHSXmhivdOm+1RxpsISPy3U4HVSTnqehxxWfpl7DBqm+9tJP&#10;NSXck43jB7blyK0JfEEejXkdrDbFYnVX2yOW8vLHO3vj2OT7112mnTPEkphe7RX+URSMCH3EgDnH&#10;A+oNDp7uOpjfWz0Me+1bSkWaCztSjJb4MZ+6D1z19x1rlb2SV7D7U1skOXwBsIY/h0A9hXQa34Su&#10;LO4uVtJIrpjibYJCWO/awwoPAwT3P4dKx9Ov7yGCSC9ixHDnKOp3r9M5rGMbalybe5f0SzhmaCTU&#10;hymdrSR+ZubcuA4B4Ta2O2SevFW9N8x/thtWjWzdmZnRWAjyP7uDxxxx+dQPqEMFujwTSTCaIDMh&#10;UqeSDkYGOvHf3rQ0lbiWOW4ijNpHJGzf6KS27JJ5GCMHgYPSkpLaSNI2ew7Sbp44o5obbEEuEgPk&#10;bklK5IBXqCGGcjJwO2Ca5bxPKr6i+Io4lDbIzHKX27flI+hIz361q61qE8MVmqW0cLW7sEniLKdy&#10;4xwT1/Hua5sSM8gdtkkjKEXCg/iRyKvzvoTN9EXtB0e41DVIbWAsrghnYtjaPbg4P4V7HItnoWiv&#10;JcEGOJcu7DJdsAfmeBWf4Q0CPRLE5lZ558NIGA4OPpn9TVfx1cQNpf2SUAknfuP8JHTHPU5/L6ir&#10;UoRhzPqCg0yjYXDazeFBaqpByjI/GM5IB749D6VqHRp7Jy0dxcJDsKt5RJY/Kijp3wG5xwTms7wf&#10;b3FzE1wyeQvl+WjKvK+4B4zznoa3p7290q2ZrxorkfdiZAUZ2wTtxz6dqmMWo3loaXvpucXcxJ4U&#10;srl1uUuxcDy4sAAp6kqQcelYaxNqmnrOboKnmfvV6AY9PwrSvvEisVS6hWYuW8045DE5IAPYdB9K&#10;zr/UIY8QWsYWEDdj7vOPSnHSPtH8jCpK75UZuoX7bIFjK7v+Wce05UDAAz7c/Wug8M2tzGpHnMFf&#10;mQk8O3p17VV8P6Lp9/FJqU09wzrhYYiw/wAOg/ya6gWUOm6LHcNtjjaTZGpY7mPdh9O5Nb0UkuZm&#10;UuyKWp6wunoyxkLMMAsRuAOM/wAsfj6Vw09wNQvEXfJs4CjA/Gr+u27f2hKICZmwPnjBKk9+Sfr+&#10;Q9TVbTYfs7s86gNwBnqKxlO95MpK2hae0nhJeCZtwXaFYdfqahmZ5VEFyuTtyxPAzwcjFabyBV3G&#10;sy4lWa5jCYGGACtkZrKLbGwCNt2xvhQOPl+6MZyabbmNCqiTzJGIJO7qSOcfhUdzvNykbyH5s7uP&#10;8am0+MNKRFblT8wY9jxx+dbIks2dr9rm2K2xgMkquCPQVqr4eyoR92OCWBwT/ng1BZ6kbE7fKPXk&#10;qK2Ir17hHLyqkZIx7itYxViTOfTGTcoUtt4Tac4FNjt5hIgLFAgyTgjPtW2Zo3jWLdg4yWIxWbeX&#10;JDrGjhhuwTnPvVaLYBPN2MQW3NjOB269P1P41KL5Iwd3UDJ71lpIFEpGW+fnJ6fT86r5knDsdwXo&#10;Fxj86aYjbXVRIH2g7c9R64qA6g8iFUBJJ646Vmgp5fJC7eowe/amfbhECsQxu5AP9arn0FY2DcMo&#10;jSRju5+tFYyXUk78q444cdqKPaByn1UJVIIyCKcX2oMZI71ycuprb3xEEmUHB9DWvbaiLiIuARz3&#10;ribcTv8AZ32LVzqgtQ5J5UAhT3qsPE1k3lh2KOxwR12mqd5OhXkAn6VyF/byyTF4pAcsBsI4A7kG&#10;oVdX1LdDQ9RUhwB17imSiMHaeM+vevObbU54L6GFGJ+YgDdkZBUnv0x7+tdYPEVlPKoaNsB9ocgE&#10;bvat4yUtjFwaLVxarKCGVSuejDII+lcxrPhO2vIZfsbfY52cORjMRx2I6gdenrXYMyv0we+R3qlM&#10;c7Sf5dqJRUtxps8a13w9qnh65kvrlfOjdvlkgGBntjr0HTisOx1G7i05ruePMG5jG0kh3MuTx05I&#10;wfT6V7wGgZTHJu2MOSOQP+AnrXA6v4Is/EOnlbeM6RPAxcIuHhZjzu9V7j09ulctShfpcpSaOQ0+&#10;+XUbUTsojBYqMtnPvTNSsEv4TCWK4Bww5xx/+r8qr6t4cvtNtWbU4pLaFATAImXyye3zAEd+g71X&#10;0XXYrhY4LllR/uhufm+tccqTj70DRTvowHhi9aaOSG7VFQcE7lIJ/E/0rS+zWujJEs0i3FxLJtLb&#10;d2T2BFdFbLkElcn0BxzWHqvhe8gKXN2jxR3DExIpwXHU556f5961pKVbRsUrQ1Rz2qWus6neKCjp&#10;a7lRUi5BIHUDOe5ODwMipx9l0twdSiJiJ/1C/fB7sx7n/PFOk1h9DngurYLLeYIaORAYkQcYGDkd&#10;P5/jD4iu9K1qa2/s6V2upgGmLJhUJHKjjJ578D2rruqcbR+8wa5nqS2Piu+0TVppI4vtKyRYhhLj&#10;YuSCHKqOTgHH15zjFdP4d8OeJ9V1iLW7tnsoLhiZsjDEDjAXHTtzWJ4V8KMuqQzGRXkjYOGyQqY7&#10;8EE/pXsNmPEk2nRC9v8ATwI5CJ5ovvOoPuNoP5de1TDll719ENprQ4nxh4Q8O6bAL5Lg2k7scIxL&#10;eYSRxjsM152NNLzvaojTqoyjRSg5YAcZwPfOK9013w9pniWzFtqETHaQ0csRw64OeDg+/bvXFL8P&#10;xoDSXct291EuxY/LUps92HzZ9O/B655CxUOS80tPIdP3rROXt7dLm5srkvJaXUDKH2SKgO3uXI4P&#10;GO9dxq9xb27xRILv5YmjhtmiEnmEhFAL8hlAVDkY/wCBMcht3FDBO88Wn2l2k6DdIHDRqoGd2WGO&#10;uf8A6/Q5esW91OFj02e7S0NwPMtJ2BaJ9w+bd/cO+Pvnp2rChJyX7xanQ4qPwmlrOnSI5vI0mLwz&#10;hjHGwU7CMHIxu7njnpXD+LSYJLFoWleU7oisgyTtPHvnJP6V3T391quizWUrrdaki4/eA29zH8/I&#10;VskOOCO307Vzs+izTx/25LGuIXWFEjn84xljjDBjndy3J4z6DptdwV0ZyXMrMqaHrER0+WKdms5L&#10;ZBtDnhs9TtxzwRxnHfvXFXmoyy6oz2agx5P3U2gjOeQPp0ropxdrpUyXyQyS+WI0fBLuB37EHnGS&#10;CD6dSbN6dNstOWSazt47iEBNy79rOADgA9+MY9zXFCEadSU0r8xUpOUVHsS6BrF1rOijRorKydIk&#10;w5W3H7wf7QP8X+1nueO9R32hyXJtIBpoDL8oaNSAvp04+tTaJA9joP8Aalzcukk5Z1VJdoYDlQQB&#10;6k9CPSui8OeJrvaiw6bLdIDlzJwSfw/+vXRhOavXaivdX5hiK3s6KUt2b/gvw7Jp1lIL2JFmZiCu&#10;Ogrsp4oYNMmJUBRG38jWbpl/LfR+a9n9nx/AX3HrjsBj/wCvWvKqXdnLCy8OpUj8K92adrM8GL96&#10;55dJ4fudZtrOCK+urK13l0MXVupY5x17elUb7wfb21xLHaiS7SQbpJbh1YkjO08LngYz611EZ1rw&#10;1bTsXW4tIlxGspPHbAx2Gc49q52S+Gs3SpK4heZ/nKkg9RyDnA/75z718zjcHWpJOlpFbnvUMVTq&#10;P3tzjEvYLDTb62WbE8LtsJCnBz3BHvjiun8Kapp+p6Hp91qTG3urOaeCOa2kKMAVRwWGDnkEZ9uh&#10;7ZTaJpWmeI7y1163RbUoWjkMjhpGzjO4D9P0NO0i/stA8uUQBrE4k3JlT8xGRub73ypgqQOvUZNd&#10;FOUVFS7kuDWp0F+byDURcPa295tRWjvIwuGByBvHIPA9jz1q5bJFqUgnOYA77GjNz80aBSdwJGWO&#10;7HBzjt61zF2sv9mLdWTTPYPJGVKEFduedxPOcjtjk+mKw9b1u607VYmt5SF8rJH1JFdElJr3dxcy&#10;T1PShJb3E8X9kyoXCDcWfIjxxgcHnB71jRW+nLqMouIXuLVWkZTJIyOjBQzbQuB69gfeuE1nWru+&#10;srSWKP7ONqx71O3djjJ79fWuk8L3H2K2e31dpTFcLIEui5Uwu6bSGH8QOPfBrCKpw956Nlczk7dC&#10;a7uLpp1S0miuHWcQRhn3TqNowvQHpuXqVzngYp4toLuFkScW9yMs1vB+8BIGQCjYI56lSR7CnLo1&#10;x9u0fVleSQf2jGX3IAerYyQT2YcDIHOeamWa11O5uI9TgLStuRLhGKyREbjkHAz0HHt1rovdWJsZ&#10;h8OxTpLc3dvOLZcL50cBUFsAMvDbgOT1HQc1np4gPhWbydPgiQq3zIc/OvPU5znvzXQm7ljnuRFq&#10;9xMLaPypJ1YqzKVDYx1HOcnJzjjpXmsU8s5F7IiSSIoABTjAGOcVLgk00Zydj2Lw54ki17TJJDbC&#10;OdDtkjzlQeoIzXK+NddaO4fTbbag2gS7VOTk8cjtjrVHQNZmitbfR7cJFdXc3zTsCQqnpnrg+/br&#10;VnWLeBTp4n0y4s7hkXzZGl3K5wOQSOp5zzgY4q5e9FRRMY31Ockv7uC+to9OhHnLIsq4ZTvx0yQA&#10;QfxrtGkOsFY7mzhWeWQme5iY/MuOGK9xn88YG0VULLb3DRyi3hl+8EjAIk/ugnBGMdge3WoNT0zU&#10;xIlzAryx255cLhW/2uc8ZPH8uRXG1UhKyWn5nQrJG1d6JdW89xLZTI9hcS4GxAQhjQEEA5xnHXrW&#10;JH/x4m7STZcXIiWBBLgK4nHGev3Vb8M+tGma1JbwsmoeecHakaEDcW4LElTj8jWuLuzurUJJBbpc&#10;NcKpmIOBjIzuA6jj86r6xKL1Wg3CL+Fnnmuyg+IJCgRUQbAQM5B5J/NjWpo93c2H7yIQuj/eR+4+&#10;o6VfPhmG6u3Qhrh7iNpLZYm27Tj5Q/4fy7VXvdDn0aVYJYQpZFOU5HPbPc13QxMVG0Xc5nQcndmr&#10;bazJdXrb4o4IVXcQ8nzZB4+bgHj6d6v3DW+qwCC5hW8ibJyrFXUAdQ39DnNZOjmKa3vYrgFd0YVJ&#10;UG4glgCNuQDw2cH0FMm0RzE7abcveQqx3kDBBXnJA4xTlV5nsEaVkQ6n4cdjD/ZbrNEgx5Eg2yKv&#10;oMcN0BzjOaq6fqeu6ZM1rJHLHE3EsTjaDg8/1rZbWbCOBRJZSRX6KdjQ/NDJjgZycg8EZHuatJen&#10;UrQQzPFICu4g8mLnAG49+vTtQopqyFJNamHe6PBqMkUq36/K24xucDnqDj6YrodL8M6NfS2bREK8&#10;IAjUODuHUZBzn/8AVWZeaA1yZDZvEGcAeXKeG7fKc4B+tZVtqGoaNcQpKJobqQkhZEwoXIOBz6Y5&#10;FZyhaPJawoSs+bc9Tufs9n5MWp33kwqQVMgUb2B6D5egrj00PUNY1WNblHS1UiRmlyfNG7knnuDn&#10;r06VX1bXh4pihsLi58qeLOxn+UEnrhvoO+a6fw5d3OmeH4tPeJZp7ZmMhV9xlByQBn0yntg/hXJ7&#10;OdGPMlex1qcasrPQ6WGGG0txHCiRxIOAvAFeXeJ/EUN9fvJC8mYJCIMv8mMAFvqf6dMnNdBr9/bp&#10;YzyQXTiOV8vGR94DGRx0zjHTNeezxfbr5hFF5UJO5iOijr/kV2U6qrq2y6mFRezFtIzctJLLEpLn&#10;KEgkk59j/OqUxfUL4q4VEQkuV4woqS51ARlIoI2Uo235VxnHHXPf6V02hWtlNA8D2KrP9+aQ5YNz&#10;wvoMZrWKc5baI59l5lzRYXisEfKeScFE6FR0wT68f57ZviLVjcKEjlLRwgr8ykgAnJ6cVo6lqUNv&#10;YTvEmChKDnADcnv+n071w1xcT3kojVxypLdcepz+VXVd3ZExXUms726lkZjIGVeox6/4YoliMmZC&#10;7ZU7cKeCOx9/0pbTbC3krnHRz656Hp7Ed6croJmU9Om0c5/wrB76FkkkrwsFDjLjGCP/AK9McJ86&#10;tzIz7lx1I7ChzicOQDkjGBj8x9KhDAH7Q3RSQPU9v5jFCQGlETeWzxsNjgY3im6e8iyyRFpACvIx&#10;wCcZx+tVEIe7YRgqrLknd8w9qsx3br8pI+X5cY/z/kUWa2C5YlnaFtgDYC5z2P8AkUtnesLUgSKW&#10;fOPMXP5dMdapjUfO+UrlCcZUHp60koiWFZT/AK1Thcf/AK/aqi31Ey3cahI1qyyTEEcFQMflRYRL&#10;LF53nSmQ5zz0PrUdhp8UilmDvnjLjArSeJLSAYAC9AFFNyeyEkQ+WYAxHmS5bcc4/wDre1S/68EZ&#10;28dwefb+dMM8ZVW3g7ulW494OCBj3pxm1uDRnmwMhwJyQxJ+7yaguEWGZFjUsfVjkmts2cMjBmYp&#10;jspwKSW2iWRXRFf3J6VsnckoDOwGTCk0VLdGIkITjPf0oqeULnp08sn2pWKqPMIIUHtXRR6kgVUy&#10;oOBkA9K4y9unmskaJfLlhUZLcE9gPXOQfbpWBJd3MTJJPNKpkYgrGPmAzzxXHP31uekpcp6NeXxK&#10;k7h+VY81zyem761iLrNrGfsazFnUbiXbr0/xpPtYkBKuDjjIOa4Z3RrzXNffFJJl8E4xuzg4qyi/&#10;uxHGwEQ5A25I+hz169c9awIbkbjnnHvV6C7OzGfY5pKo4ho9yaDxDcW2vhLRZZkVW3KzYG0DOenX&#10;jmugtPEzXOpQ2rwGMyRl+JN2OnsPfPHfrXNl08xZAMSrnbIOoHtXPXKXNn5kmGmmkZisiscJuHOR&#10;+H6+1ddLErZmM6b6HrBBdg7ECNSQxPH8s1n3t0ryLDGv7tCcL+R6gDP415lbeK59NntRNO9yrrjy&#10;VcAIT0HPXrXVWvii2v8AUFtEjdJ3QyZcDt2/U12RnF2sYO/U3SIZLdra7giuraXl45ASv1HofesW&#10;38BeEEleYW97CwbO0SiRVHtuGfzzWmrgjhCRjoGqzEeFyfl4zk89OlEqUZCTLel6VptpLmKN968p&#10;JMwf9MAdPb8ahutICzTT30ouGkGwzTYCoh7Adqo6trqaLFGVj3yN0XBA+vQ1x2veOJLyKFbgxwFC&#10;N0JyAgPU4PJOPeuepOFJNQWpory3ZzOveGxLq9x/Zt0Gtg2EMgKnH059az7OyTTLlY5wHeTpIo+5&#10;9M1Pe6zdRXhuRJw+VEe/OR03Y564PGabFFqlwJryO3V1jPyb+SQf51wSqTcfedkWoxb0RM2py6S8&#10;cUUsv7xtyy4wR6dePb8K9J8NeJPDesW72eqRPHeSY3vubEvGTgjGPp9Pw43wHaiSdbvUIVW5kmZL&#10;WW4jBhSZSr/MvQZB2jB4IzjPNdDbxS6xqryajYw232eRBeeX8m1RwGKDB3c4LA46fKOtbQoWSd7t&#10;Fxcb+9szsrLxBpF5eGxtZyrrxGkg2lwB/D61o3NwljbyTzttjRSWJHt0rynUPCeoyak1xb3duIEf&#10;Me8srY9Tjp+dV/Eni4rDZadp7yXAtYPKlmkfIZsH5gCeDx0OegHOM16DrOEFfc5eWLl5FnWfEEFn&#10;PK8UMUNnOv7y0K/K/fnHRvcYxUN5p801rNLDBNN5q+YrRTk7pVXaDjJHL+Xj2Y8cjHIz6fqMrQ3l&#10;3bu6ScpGpyQPf0rvfDsl7qPh4f6LCLmCUKsaOYGK7VU4ODk5KE5PXb1GBXI5q/mdEW/kXLm7Op2k&#10;L3wuJreaNJFmG1GjJw2EIzxnd1ycDr1qrFZQw22yJCmQerco6njPJ5zzn+XSoLe1k+yrGrXKRWr7&#10;DHDJuVY87ky2Mn5HODx7ioJJIbWSZxHcSyGRJwJHJLMwKvt7nHz8e1C6oo4O41m1aa9ZUnja4QR7&#10;hIcqB6fUDkc/Wpl1hb7Rha3tzPMIGWRI22qHwcYJ5J4NaOufD6e1niutOurW6s52I/1m1oGA3MH3&#10;dAMHk+lcbNGLed48q5QkEoflNW6MWkc/NKL1PTPFd4+bKwtriCcSROXYIFJAI2Lx6dM9+tXPClrr&#10;kNq7eekIY8oy5/SvNbG4kWQsZmUoPlw3Qe36V2ei+LZVvYI50VoyNhPfPrXdllCFCFnuzixtSVR6&#10;bHqlnO0Sqk26QkYLrxkfT/PNdHY3AmwRyT1yMHHrXDW+p278s20EfdJwR6c10dpeJLErBDHtGFO7&#10;qfWvSrQueZCVtza1OwXVdLuLTGGdTtPo3avMNW8LalojwSx5k5+Z0HCsP/1V6PDeSBUXkAnpnvVi&#10;ZEvLSSKVtu8/JkZGa45Q0szphVTeh4x4yePWbKGeGQRiMBZGkY/MwGTx0/H+dUdQvbGbRohcTLNC&#10;3zKBHjfjBzwTzyAeOcD051Ne0aS/tLqzjnt7NY7hyscn3nIHPHOBjJzkdO9cfNaW1jph8m+a4MjE&#10;I6R8oEycYzxk4781828NFWins9D3VOSjdrdDLK7u5J1g0+OVIg5dlXCggkH5h0rodT0HTbby9RWd&#10;181vm+1QhyPlJyjA7DypwOMErmuTtre4j1SPelwUdN/lNkK475xyBXexTWsl0ltpPkwu5zLZXUub&#10;dsBuFJ6kkdD/AHhjGCa9CKTRnFK2py9mBbXgm+xRyoXO9JVJVcn+EH9D3qe5u7SSO5nsY5ZjyQJJ&#10;Nuxh9Bzgc/0rYt2lvIIbe/SBfPhEsUvmMjIOQqI5BDADs35g1najpcllE+naaJ57qQhlRIArSnGT&#10;zkjHHbOeaxnQc3Z7GilaNjDsta1ZJYEsZMPvWZIVG5EZc4znj1rrdN1231SeO31G2e3uwJMzmVX3&#10;sVI9uMk4Ax2+tcjaPIttctIZbZ4W/eoycjkjGOuMdz6cZqGeVEs4BZxrAhGC/XI9c5/nzVK6djLm&#10;sdRrm7Q2uv3hla8VI0kAIGQgyRjgDBHAziuJgYPKpf5eQcgAA++OPyrV02Jb21k+1TySk/ubaLdy&#10;XI7HPAHH1/SpZrC1WO1DTl7osySRFCNmDgYOcc46/wA+tbRT36kP3yC4isbdICFuPN3b2fJHBwPX&#10;H5+1ddPKL+PT2t5F1OwFr80cmRs2lQchThOw+U9B3zXMeIQEvBDDYSLCkWP3p37m4+bqOv5fWs+1&#10;hvrZBFDGCtx8wWMnK+lYq9NWZor30R3SaLa6g015piKjR3aR/ZpJAUYHBzknJ+mRVUvLbeKkieNt&#10;Lfy/lUt+6MgGQRuB+UHBwCfT0p2gstrNDau7pE7r5jLhcueO+egJ5H6VryT2enuttqZjvYpLlY7Z&#10;JRuAJVix55Tl1OQOgA5wTU0sTGbszTlaVxWutOuWh03W4YLa8QYaa3xiQ445yfx9eabpNjFp0V5F&#10;bzLfwyy5jil2gBgMsfpx61k+I9L0+GznvbNWME8myGMqSc8D5T65z1qC18P3Vk8KITPJhmldMqI0&#10;YAZBGenPY9T0rHEcsV7srMcN9i/batpUFkJZbFvtEhYSxDOYdpIA3Zz7kc/WtW51uF47OSFpEinG&#10;/wAyXD7DnggZOOnfPFc1fWWmzKRN9w/JDKQVcKM5BxgHnv8AWqmizS6Zpsqs32h3+SKFUDnA6ZHr&#10;/k1km3HqirtaG3eW1m85vYkS5lEo3xRoQNqrgkBQBydp781ipI7Q5+1ul267EWNgoJLABSRzypOf&#10;1qTQtRlmVopQ0cixsHVvulmOGUdMHaBk9elX0FpNcRafdJHhnXFwrbXwBgKCBzknqTxiuqniIqXs&#10;5bmbg2uZbEN7c6XcoHngZ7htio8LklAVJI2nC/KxwBkccnOOasmlPpm6YXMMi5fCAFgFU4JYMBn8&#10;Bz6AVpazZt9ohWNjLbBpJXjtwPMwSpdSM4OPl9fXPOBh6k/lafL5e5XECoSUIw55P3ueQRntXXGS&#10;M5GPZeMbmCUrOBNHyBgY+hrptN1621qJ4pYkVBn93KwO4DHvkfhXG2/hPWboqLewmYspblcYAGSe&#10;aZHbG2doZo5RKpI3LyAfQj+tbJraT0OdprVHT3XhCzvZXlsL4xsDjy5PmH0DZ/n+ZqO4m1TRo4IJ&#10;pp02PgSlm4XAxjsRwfoP0pQ6vLZ+QP3hMZMciE9B14445NdPaapDdItu4Dg5DW8oDDjGajlU1eLH&#10;zWepnp4paZH81UZQ20ENgn07VRvtUhljwgEZ2sTtbkHpnp/StG+8NWF3G32Z57Ri+/bxIp47ZwR+&#10;ZqtZ+DraG7Vrm8a5TAYxxrt3nOcEnsQOuKFSnawOSerZiaPbLcXkdxcEqjsETuc9ziu5jjt9KtDG&#10;rkxlSSxUBmP5nqcd6mCW8UpkisbePChQgQYAFV9bggbRPNBkj3ybViB+/wAc4PYfnXQ/3cDNe87H&#10;Oa9qxurP7OxVbZmEqgY3nHHX8ax7WCER+dAHyf4pP4SPpimXNvcyyFfs5wG+8Ocjp+Hc/jWnawiK&#10;0VCgBI+YetckpaXNEuhmLJ5kMgRFUKTufqSxPr9B+tSp5ZYJkg5Ck45J9z3+tSTQtbyYt0VQcOxx&#10;wACO1QDMke4sCcnHU5H0oTvqASl1jEaklySFGenX/Cljdwjwy/fLcFTwDj/PWlTr5iRMxyVHPQnj&#10;I96Q5SEHO8nJ4PJz36f5zTESZcjOVZuDlcjH+cUiie4jkZxtVzgEDn6mnLJKQohTcOBwuQf8K25I&#10;Ft7VYlT5gR9w4yOP/r1aixGOym3jAEXH3SF4zx7UlrbvLexZLR7zxjnGemfzroFjEdrzHGXAz+NZ&#10;cQEcjNK6th9x4Ofz6etVy2EdKsSeQV24I6VRuY5CG2j5Qc/MD0otbx2iJYZ2tj8KkOoIi8sxIOD3&#10;q1FCKHkW8SKWQR4O7aTuB/wqIaoI5vK7Hnnt9KfcobhxO2QOTs/z+dZYaNHKqx7gnOQtJoC6dRkE&#10;hVuRncT6CmT3kpA8sqR3yazI2ZpJGOQdmDgHB561IHDRbM/Nj04/A0JagWGvWMyKFGADksTjFFRA&#10;qihQV3AcEk80VdxWO/mZg8qK5ikUklpH3BcdDn3rJgaa4vZszF3EZLTKoCqvHP8A+qi5kkuIYLe4&#10;lbdxkqvL4GBkHPPPXODmpp0QaR5hDwNESnJAO38B0PP/ANevPvod5h28uxLz5CJVk5Zk3OB2we3T&#10;mmT319HdtPCv2ZEGGh6jrjgVueQjxo9rbNNBIrKwRxgsQRk4xnpz27e9R6taxRaebhLeTdGojfef&#10;mGRgf5/xo5bk2dhul6tJeK0sixRrkhfm5OPY9R/hW5DPheentXnmn2N3PcBxB8quC2RhcV2qSMke&#10;SRuAxjNclaCi9DSnJtamys52jGMj2qGaRSCN2feubfxKEikYxD5X2ghic/4dafda4qxPuQJKql8E&#10;7scZHTt/hUeyn2L50WLy1iuWUldskfKSLgFax9bD21rttYW3vKuJAxZwMEAA56/KRz2Ix7UX8SXY&#10;lZ4lR0k5VWBOP1rd0+eW9sknnt2QZzgrlSR3FapTpNSexDanoV/C+t3FjqETOs0pfC+WJCOfp3r1&#10;6ImRBywHVs8nHp+lePxTSaZqN1qFvnPQllBC5Oc5x1z7Cu18MeJc2DtqFwJJD84IXgLkADI75P61&#10;60KqrK63OTlcHZnS6vbR3Fn5RBabBMbE7cEg968b1vRdY0me4e8GfIAVWLbh83Qr6ivc5JIQiiML&#10;ck7grhvlxjGRxzzn8hXE+OIEkh33VuxRE3ySKQFCjoD75Ax29c1hWhpdGkXfQ80e31edbcLE4ZUA&#10;I2qpTHTp26c8d+K17Gyv47cia8MO87nVQCWx3rON2tvfNcBZJnj+U7T8p64GcDpweh/DFTDUZNSa&#10;JoUeORTwpJ2/XPrXBUg7bKxpF2Oj0y5tDnTHJ2bi+HDFlkYbQ4wc5/Tpkem74Xle0jvNUlia7uEz&#10;59rIzhnX7pcEklhkHORivNY7e6trqKeW8CTZ4EhJyuCTkjtj09a9D07Upo3aNJ0S4AMkEzzZEuVA&#10;PyEfcKgcHv3GcVpQk49TTdWaKvivW5f7BX7CssdvOdrEoSyr6Z4B98fnzisfRtHgt9Gk1vUUZ35F&#10;tGTjBPTJPUfhXRRfbI9MvNOZrWS3ZROZZEYKozksi/w5GRz6DisrTb9b/Q73S9UuoUiHz28iHCj5&#10;s4GR7D8zVz1kZuPVly1065m0C1cyBotpIkhGdoz35HI6Y5rPvPF1/b3kVxZxRbYSQHaIJu6jJGcc&#10;YHrggVq+GNXtPJfRwws9wEcUgTczgnocd/f35qjrVlo+jykb2ungkZ1XG/amDjOMArknjHbO7HB8&#10;uCdObT6s6+bmhozZstch1RpBJFDbzTlZdsPAOFw2Tk5OCAOOB+dUk/s83Zeae4hPkvE0sj7lXBWR&#10;Sqgg5yH6nGSOa5i2urHSbaN3t5pDOSyuzgKE+gHX9K29OcXc7Tw3cAvYiJUtpsE4AHO4cEYBGD68&#10;1spVlUutUCUXG19TW1CWVbNjcwHVkVXP2yEeXKrAncsgYEbRkjkHOTz2FKXQdA8V6TLLPZ/2VeIN&#10;qXdtHiFjjjevOOnXj+lNvLiKRpLU6qqwyJsYQb13hcr3J3DjPPBwO5NaenxfborXUbIS6ZqE0Uby&#10;yIMwSDGNpXtlgOvvn0r0VJpHO1d6nmOo+HH0uCN1ulu597mVIlO2NAQFJJ6Mecjtlc8nFWtI0+C5&#10;EcjvKszkhEVehHfPNd3He6hp1/JbPa2GJI0jubKJC8algPnbnaSQQflOOOe4ri49QTStUuJYp1SZ&#10;JJA6kBFdSfugduO4FVUlPltB2MeSHN7y0OwjhnthGJV3ggMQo529Mn6H+YrqtKlk2BZZA7ntntXn&#10;t74ll1nTmWzjRPMGzeGAZFx93rnOQDn9KwNJv7zTLlLhJbh0TG/zcqGz+JyP84rowWMqRTp13d33&#10;OTG4KF+else/xSGMBSCfUn+dSX2oiz05pgPM4GFyBn6E1i6ZqCXdnBcRjAkjDAZ6VV16S9uWt7CG&#10;ItDIjNIQOPTHPua7MW3GjKUd7Hn4Wm51owZymtanBNdLdTxxCSQFxIrB+BnjnFcE9/b6ffK8Amku&#10;JDIWLKGUAtwVB7jB9OvbHNy98Mah/bEkcxxbROd0hUnaPZc/1/GnLo98NRSDTRHOhzicx7dqgjLn&#10;+6fmGevsa+dw9OKVnK7Z9FV5m7JWsS2OrRaRrMVzextdFoihG3DKGGflHQEZ6nNdG91p+uXsF1bX&#10;LwL+6EW5FJMoIHQnj7p4OR3zzgcdfC9t77f9mjmnACb43LNvAwST/SpZlv4oYzM0wlkCKkSoCIyS&#10;c4UHOcBjnj+tdC93RGSbWjOysrpbC2stEe2guIbJJ4vtEse4g+aw4PbgA/j0omMZt3fTdVWOzEqL&#10;HBKpM6Sc8KTwAT3znGfYVQ0W+azj1Cymt3urRSyeS8jA7zjlRyWP5da0302wGli4huo2t4p4pXjn&#10;b5o1BAJx3PXtxtGM0RqxvozSzaOM8YtfT67C09yZJlt0PQAYBbr6/U9ayY5Zbh47d0YRBdoEa7in&#10;0z/jWj4j1FdT1MyW8W2NVCh2By6jJHHpk/8A66rSadfQWtvNEXBf5kbBAc9D9fpWr95XOdq70NTS&#10;bWC3uYri/lkbaPLVCoYL8pA4PXnBxx3rT1E+bLBp908TyRBl3xgeYi9geefYcE+vas2y0i+fVZGW&#10;4V5oipMiY8tW6FSfUHb+tad9ogmh84SecFYy+b1JbIG4nPT2rlU505Wnrc2STWgajpk11G8ttdve&#10;xWcKAmSJg0eeV+XJPXH0NVtStYJNegtbG7unDqA6yrh4/bgYPtj/APXsLr1taabeSIk0csscSR+S&#10;20sUI79u/Qe2eeH3N1Y67NZS3cUkE0qgJex7S8gUkE7f+BEYHcHriuhTjLRjcbFG3hSaZ4HtPIiV&#10;yTDJKBID0ySevHPGK1I7K1FxFKmL2JMR/Zrt/uscAMG5yMEjpx69KNX0LULnUItt6t3HFEPLlZQC&#10;ODjOOfz7ZrlNX8QNb3LWbogZJQXkjPCsG6AYGRjHXkH8c8k4fvlyfM0UuWN2ejto0WoSweTbTYij&#10;8trfOIkz/F0yMe1UNcmtNLsrh4Gkit1zHKw+Z5G6YUk/Wr3hrWINTtdsMsK3LHeyoXBPGDndnsBw&#10;PzFQ6zISqJH5Tqu5jAshwG65J9OD7Zqa2HjKXPN7GnOntocxpdvc6vBa6n5lpFesSkVtMuQ0a8cF&#10;jjdnr+HNVI3vIdZuBLF/ZTtkRuE2xoSCN3zZxxnkc5I6V0Pm6c8sP2mAwRozGJlfsSCemQOd3GB1&#10;6jvBKLiNGE9pHfWUcreU8nzEKRj5cfd49ufSuujVhJaHPKLQk2oafc3MNlflbOaElmdTvD/LkDeP&#10;X36fpXO6zpUN7LM9pMLiUADz/M2BOeu0Hgfia15tFinEd7YQwMj3LLHDLJ8siAnB5POcHIJJOOMC&#10;saGaa3W6jup3s7ll+VQh2soYnZxkEf4CqdCLfNHcXN0ZBNqFzZalawQTtKPK8onGduVwcHr0A54O&#10;D277HhbRLzX9WN3qUpe0hOSjKSrH0zn/ADisC1vo7fVLi+uCXnclvK8sbcZHIOeOPb1rttI8QWDQ&#10;C4026az2J+/tpFDpI/TK8jHTnGDzmp5VF3l0DmUm7Ha6hf22k6e88pUKo2qhOAxxwteM3EjSXM7E&#10;7GzgKpADD3z3xiul8Qaq+tBTKhSKNciMNlG+p9a54mC0SdrgbpcAHKkhc8VqnCcG0zKbtoc5qOo7&#10;4wYTvdD8zEAAH096ghurmaZXZtvOc4IPPXH+e9TvCkl062UDSyEkDI3DHrW5p+iTzSxvKQNrF3dl&#10;6tkcbfStcPTSaZlOWh0WlSrNpsbCSSUYxvYYb6Yq+qr97hWBwc81n3chtrbMRWNm+7gY+tZVr4hm&#10;S68m727MZL9O4x/Wut1Y81jDldrnUxoyyEFVKY78kmm6rDJc6Svlqu62cuVA52nHP51Rn1OOK2S4&#10;jZZAwyCpyAewPpV/TtXjlVNzCGbb/eyD6ipm4VFyXKjeOpybowGWH09/amZU8Ac+9djqvh+K8sUv&#10;o1SKcvhE/wCWb478cj/63SuO1DQtV0Z1a9s3UyZ8uVSWQdxyO9cLpOO5vcgu43Fu+ASxBwMZzWL+&#10;8hhkmmTErHGGPQfStKPUA9yLcnfhf9Znrj2p0sMF0FEsZ5zjPBpJuOjE9TLuJHjMap87HAPUA9P0&#10;61YsI2cy+YpJ24UFgQQfT8KsPZokRWKMMyqQqsxxVWXzYbcSMpEo6cDH6VopJ7CaNSN44WSLjf1I&#10;6D862yFIDyEsV+bI4AB4wK5u0DTyCRzt4Dgkdx25rctr9JN0fA2gAj1IraLJZO4WJSI97liME+lZ&#10;EttOvKuhiJzyOnrWncSqkaktuzzx0PpWdc3QeJoQQG+9k1VhEf2sxFgCQhbcOKLS4V7p3YoQvYis&#10;2ZR5QDS7h3A/x/pTrF0jPyxlwSPvfxc0kwOhfddrG5ACH+nFYt3BHDKoV+T2J5NbEkpji+7tXaNu&#10;K5y9mEjqxQsufWmxEZfy0Cs+cZAOevOf8/hSxzfxRKT2O5eg+op8ts8jLhcJweeo9qf5uwFMYAHX&#10;3qbjIixCqrDnHY80UHYXV2ZTx0I60VQG/FJ5tnmRirW7EbOgHTGT1PJ9a0LCV76EG72kRKxaINjJ&#10;yPmPao7zSbhL5pLRI4rdPlbkncQefr2P5e1Ub6SzhhLxS/cYrySCfTgfzyfeuK2p13sdLpc8Uek/&#10;Z5P3cCzNtJGCc8gnsMbj+f41BrE1w8TSRMNpXIw2Rgds98VmNqzRsY7mJTLwECsCoAyDkDv0/Kk8&#10;SXk/9l2oijPIO9VTABzx2qtFuNu6LWlzu1mZHkLbxwhXhcd81IxypXjPuM1yekteTXsAZpfLX6gY&#10;9K1LiZn1JDHIiOj7FjYth+OeRxnPGMVyVKd56FRloVLm1W1lihaQA+eZ2kdTnGM9jyRjpgVQ1ENL&#10;dZln3My/uUVeSpLY3H16Vavb2W/vY7aN9synEhAwRk4YZPXtUjS2X25fKjEkzMFw/wB8E4HBP55/&#10;xJreN1a5m7PY1NC0MacgmkcPKxwQoyFHt710A1O1ec2O4iTHyqwHP+cVUtryC51CKzjXaEO0yA5+&#10;XsT7/hT78Wmm6hJMITJJn764IAPoTUTgpK/UuLtsQ3lhFd7Y1UF8nKsflJ9x0zXP3E4s7hohKhUE&#10;osaAcZPoOMde2Qa7WxihktUnUg7xnOc81h32g3V7fPDpcKebINwBcKSwIJxnqeOnWpw9WVOaCrDm&#10;idD4T121lSOwUXOYs4ZmUgAnP+frXZ3scdzC8bQgq+AQ2Du9sV5RoGg6qmqwSzWbII2BbzhtB9vX&#10;NevRNKYVIAG0bcdz+FetNJO/c5YNtWZ5X4n0mOwhWK1gZIJ2O2FCThsKTz/CCc8e3XtXJx3f2WdY&#10;FjaIREsu5uGOePrxXrHiFJbiyvoYI2JkXyykijB4ByM9eCD1yK8ruo52niWK3ErxYwV52kdmBHOM&#10;V59Wmk7dDZSGPJf3WoxxXgCAOImQocKCeWzgk9OuPavW7rw4Z/CmmarbK00samG4ijUYEe4/e3f3&#10;T/KoPD8lteafCfsnlXOxYTMyhhE27qE7d8Z7V1Ol3cWkzxl45fsN6Cs7XEflkPnG4qRwMkg8+nau&#10;fD1OZOLVrHS421Tucbp9zcSwR/aWLSrI0MwLKAVP3WI9+MAH+KuA1eFrTxBcWa7wBJ8hJByD0PYd&#10;zXo+t6QNH1iS0g8v7FeRGW3nC5AZSCM84OMjGMfdrivF8MlzdWV/ax/MyfN8uGB6jNb2dyKlnEoR&#10;XFzaBpbdoleWMqzMu7aPY9jx2rdh0e41bSH1CyaGW4aNkmSMZI9wvUE8k+vJx0qne+HNQ0jSLa/v&#10;rYx/asbcPnbxn5+eMjpVGHVtQ06RJNOlkSV0KzejDI4Ptgdfr60qlL2nvxWvUmlU9m+WexDBZrcx&#10;Br4liFJVZHOI8DOSOOv41lW9xB9q+2OQohYKYATtKgc4IOen+RS3tnqbTPcMoZpxlixLdT6V0Xhv&#10;wq9nbXZ1i2j8i7iDK3Hy4VjjP8JP59PpWMl7FNyfyGlzuyOnDJe2C6rp91AY3KqzhAHTcMfOOecp&#10;+OSeM8V4kDWE1sZrqeaG4dC0SECQ5DjPPy43HgHk4zxVPS9IbSPPtrWR5YJWf7o3bACCDkHnKkc4&#10;GDUhmmsp3s7ctiQb3IJGAFI3fL3wTx371l9bip8vQ2VN2u9y20l3JNIm+O0tZoXMGCWYMG35OTk/&#10;LMDnjgdOK878WhE8RTSIARKqyBlzyCOvNdtFtF1bLPBM1xFLGgMj7mVZAysCPTPl88ckcdq57xzY&#10;yF7KfyljyDFtB9+P0rupTi0mtjmqxObsLswXCnc+3IJCHBrttA1gapq9vY3EFtc2wieRV8raIzg9&#10;u+Dnr+FchcacmnxxmaUmQn+EZA9vzz3qbTb270O4lXywGnTZk8ED2rGvCNaN479BU5uDs9jrfDOt&#10;yJevboJxEsx2ovKgA+v/ANatrXvFJl1qGCOZ1gi2+YisRuJ57fhXJ+H0kiuWlctn+EFuP8/WnXlq&#10;914iVgJNsuCNoycgYx+le3ODWGtLseZTt9ZujtZby1v7VftsXJnCHywVbZ65JP41yutX0ujarINK&#10;aQQMheRnY8jORjPA/wDrV1FneT3EMunvYpDOZ1YTyyYB527WTBJyCenfB7VzXji2iv5okEp3Wx8p&#10;lGETHTPr1yf6d6+XpYdUays9Hc+grTi03F7Gzp8E2kRu95EwgmVJ1mjQSRgNyAyEc+uQQfTNPS1F&#10;7NBbtqllHdKp+xkRfuWySN5YEkMf9oc8CsrRdUvV0q3u7XZM1vCsExlUnGCwAPbGMCrMcVobm3EN&#10;msTSwCd9sxcKwkYYwRkZ9M446GvT5Ytcr2OW7aui7pun+G7K5tzd6rIdSvELM6kbQSMYB7Y9+veu&#10;W8RXsJ1KSztRNdyH5PNY5yowRtAA/H+dYV5ug1G/nAUs07heeQNxqbTHljnDNKEkk5YMxHyDnAI6&#10;E+orJ0oxfPbREOo37qLuiLB/athFPE0i/akE7tFuJHTHPb25rf1XSYri8EumzEmJm/0Rpck4bkJg&#10;D8v1quLiNbuSQSbnidmUD+Ni2NpHUdME+3pit5hHexxiaBY5huJcsWznBOScccfr1FZwxSveWhoq&#10;VlY5tRd2urkWMQsXlcxrA75UYbByX/i47+3FaF3q0rveW9xDFZRKhSY5DjjgYx1/ya0JAk1vPO9q&#10;bm0lujLGDIVYEBySvXgjbge/tWXp+lNHK91ZRQ6hayo5linYB1wASTjqcntnHrXYnGRKutEca1+Y&#10;YnQwYEYIhJbOSe4BXp3rrrHwtqbRxlbhYr6CIr5bSAgAnjBAxknJx+pqkln+4aW5aKOPfsWKdcqx&#10;xnjvxx37fn0em+JppbqCCOG3UueGGR+PJweuMHH1rgxCqL+D03LpqLfvDxqWtSaA2nN5sV3t2ySO&#10;vIVBjJxzXK6bp1peazGJrxZo2c+YUQhzx2z3J9q9DvdYnt4/LtktxIBjzi2dx4O3AXGfxNcZBBb2&#10;Grm7lMYlE/mvaYIUhhtPA5xjpyfp1qYyVN66NlyhdLyLd/b3lnp9tFDp8EqCQkXcKENtzhdzA8Z9&#10;COPWoLy+urNmuluIri2ubUwJbqeYgAPlPOQw4PU8nqa1LiGaxijvLC7MkL5WWEDGcj+IYHHsfzPW&#10;snyLDU5JWm22bwWvDW68FlYggqfXIA5HSulVacvckQ1LdFJNce532N7G9wjFREka7GJ9sA46fyqk&#10;2oTaDOzm/mRjN80RO8Jgcbh681dW4uI9Qt2niWGBVVGnhH5Eso+9x+nvWRdW2nCcmcTTrz+9Vv8A&#10;WHtnI4yfr/WrjRio+69DKTfU3U1ovb20a3YdY1/d5GAM54yP0Pp061opILfSY4ri8tJLeV1yrt8w&#10;HUqM/MOQOvXPTvXCS3UMKtbxqER/ubWBPPqc1SujbxFoyu59vXJwDU0k49bhKdy/fGWS9mNrD+6k&#10;ChFLdh7Z6d6bao9leCO3mdkyN7yAKM+3Wqun3E3mgTW0k3lqPLCnG38O9aMWl6vexTNbxN5RA3Rr&#10;820e54rSzbakQnZaGi908ysPlL4+9jbj9abJoWp3Ox7iCSNJQDjOC/pjP9am0jT7lJlE8bnAx50g&#10;yF9gD+HNbOp6pFp9moR2dl4OcsD368V1QpRgtTJybKmn2C6RGzM6hSOVUcqenJ79aj1TXnnaRBEq&#10;ooAyuEJJyTnj/PrWXda6t3ayxzvsxjZ5ag459M8jnrWVJb3k03mpGAkhyPmB/OlOpfRaISj3NCfV&#10;J5UHVpQeGJzxUn2IeWglwZpDgsTkcn04x9frVmzskt48nY0xHJPas+8nQXYV5nUI33dueccYNZ8y&#10;eiKsT2iSS3ogWQbFbuOntWxcq1rEFiX93ngE9Oc5zjgcVW0yMQopIXzCcgjt7e9aNwWkjLAbwOoU&#10;cinr0AjtfE8+02zkyQQ58pW+Uqv1xg96l/4Sq4ltf7PleSKGYgBo2zg5HIHbpWbP5TwtsPP3SDWY&#10;bb50/eMETPygcnjjn0pe2d0mHKdIIdMYqrQRCbnbJCQkmO5PY8A9R3qjfaFdXMa/YGDqjbm+bEm3&#10;3GAD+BNY89yQqtImJuCXUH5Rz1/AevrV+01q682JHYvGQRJhRkfU96tOM91Zi1RUm3QSCORHjkVi&#10;SZBtyPYHoOvP6UR3AMSecFDsccdK6VGhv7YiVVuI1yNki5IJ4xnOR17VQm0K1mdjbzPGQuY4pssg&#10;+jDkfj+dEqL9QUkZ4IYZUg4NOhjeNCsWME5wSOM/X6VC+naraXBeW3EcJPJBDL+YpZpjG5Rm2kjI&#10;G3JI559+f5Vkk4se5ZuIJZCgWRAAMNjP6UeRGigMgZ8YZvWo0nySuSCB0bipxnqTnvVOTegrE8dl&#10;E0e5Yk/Kn29uRLho1CgZHHSiOQrGNpqdHORngkVpFiY6+gaSEbF3HFc/cWrqhYQoGHQDiusXGwCs&#10;e/U7mx29quWwjALTJCu4ru68D9Kqy75WXhg+chc9qvy7WymeTzxVJ2KSEY4J4OOamIwQM+VQ7WHG&#10;W5GaKkjid1zgJnk+tFaJCO01C++yJNZlcEsTwSducZ/kBWN/Y/8AaEkc/mxmMfeABB/WtDWId16s&#10;0rOksgG5BjOe5qs1zBJDJ5NwG42qirh0x3461xSbt7p19dStMbP7eySWzBFU/vBuBBHr659f8i4b&#10;6L7JHLH80ZGEz7Va04S6labZURyIN7F1wxIPQHp0waxLzT5LQ26FT82AqDIMRJ+bgdTWLhe1x3tq&#10;WbpkmiSFisZPOQDuU/TP09+ayrm4afVESJDbxsmMhix+Xjr2ye9X77TRa2heO681cj5XXnOfmYHP&#10;HQfl6VmW/wBou2jcSmGG2JKP0Z1yccc8/jVRikrik3sI4W3vIDa2jLLIPLbGd5weSCeMnB/OpZoo&#10;Z9ThjtWR7wSGNQe+MHPqOc/ketWY0T7aFkd5Wl4PzBGzz7Hj+eOlQQ5kv/Mglj82BkKMPkG05ycf&#10;Q8073EbNijyXqzWmN7ApJFjj6k11N94fluLISGVEB+9j5iMD/PesrwrLHDeyW7KN0khKnOe9d/ql&#10;ukGm5Usdo3ZNVN8kdNy4LmOTtJgtulucfLwNqgfpUd1dvA6tECrqQyyA8gg5GPyqmGke4LxLk54A&#10;FS3tvKAJHBxjNcG5pco33iHUYb1bpbx523MTvJ49Awyc9q6jw/47j3W660otFkOGlTJCHsSCfWuT&#10;QIJlfa2Qc8Yyfbmuf1QT/aJJJEWOMMAA75Zh2NehhKqb5ZHNVjbVHrb3kks1xbzQtFPC+ySKR87G&#10;4OQRwQQR9c/lzPiewJtftEOYyG/e7GVcj6kfyGah8F3U13eraT+VmdeJtpJJA/iI9AD15rtJGsFt&#10;4t0aXMoDbwc7PRcg9fXmuurTuuVmUZdUef6Hqt5ArWjPJAtxyQf4iD839D+J/H0rS5RqenLJe3Mg&#10;l8sxGFUVY1B5yQxOT7gjtxXEzeFHhnh1qxuBKLOcvNZzDhYyDkqw6jg8dv59nbG10zTory5kMryh&#10;HVAcIi9l9Wz9B6cV5GJk6Saikn3O2j72tzmr2W9tba6tIpJ00GIlo2e3DFcg/wCrJ+6M9+evaua8&#10;PGeO9MoRpp2VHjFy+8oyjJHTBzyMHHrXpsT3WpzOVZYbba6maVMKAMcKoAz+P1578Z4l0X+wdWSe&#10;2ST7HMxeEzrghsnIIx07jjp9M0UqsnHU1ai3oXrm7P8AaVt5F+sNve/vCrRiRrV/un5WPGOe/Si8&#10;+H5CrfR3vKPtuIkjDbeeGBJzhhgjisuOX7Zq0T30SQowXfcW8f3OcKW3LyPUZ568V1Z8Tah/aE9h&#10;LaGK/RPKMVpCGNxHtYgfMSFCk7s4YkOcDrn0ITsro5qkLlGfwhpS2kN1LNPHAigt+9wGOe5x1qtq&#10;6LPIkVoxki8vIaQlkTHP3uTkgHselZzatba7o40q5nK6lE5wjE4kZeMk8Dn3xmsfStdmsrgWF0EZ&#10;CwG0ggAdBnPUZI59a8zGQnNJw6G1Gok7SO3mk0eOyjt4XFuksZYopw2eByxPP4jnjAqOLSLa+jL3&#10;IRbTy/KVoz8x5HJIxjHpjvjNYgTTLpEWO2VzI4VuSSHGc4Ychc4rrZLlNHsrZbuSJzPuZgzcJgcd&#10;RxyB27Vxtc65LNy7nRtr0OVuLCXS7dIhcxQiZtzuyF2cLtYFt2ccjoMD5s9uOZ8TXwluPItd00by&#10;Foy65Y/QHjHHvXSeIp9L1OxkjsrnDqgAZASPlHoAvXJ9ulcemnT3dzDDE0rLCpbeN3zkDtkcYrtj&#10;OVNcs3scs1zP3Rmh6Fca1MG1CbbFbBndZHyXIwdu0dOp59ulJ4kZJQkkm2EhzgJ29uPy71uWejPp&#10;ttPqOopLb27ogUpKGLLuHJBIIySoyDx0I5xWrptrYadCb+5DagZUOxhh413LnbgjIbqDmtKcZSq+&#10;0eyE4rl5Ho2cja6mP7PSOFHFzjG8jgAd/f8Az9Kk0vWWBvbi4KrNbOJEjVflJyAec5GODx75qHW0&#10;sbi6hEVtLEJC7eXbjlQByAvTHHqOlXmv7DSAltFbQSOVADqdwU8A7vl+Y9cnjp2rrq15VVZs5oUo&#10;wehVudW1LWLgXFhaurwnzDK3BQDtuzznr7VWmt5pDHPK5F1IoDBpQVY9Bxjuff6V095cW8Vjc3Nz&#10;cyQ3rAKtvHCTG6NjBBBx0ycn/wCvWVrFlG2hr9ntgZJispuHm3MiBiFXGAAMHnGeq9OlQqaS93Y1&#10;d9bmULy+0+aZI0dYwu1ghx+vT3rpJ9dhudFju7eLbfRWqxBUACg723fXOVPTjnk1ysdtIU8yC4Ej&#10;ZDOpOBkdjnmu6tLa2NjBctapCJRlNwAyfXrzzVQjzuyZm5OKOO0rRNQ1KeCZh+7ncKgZgSWPqMVp&#10;XtjBZ3FhZTWkyyEkTs8gJPzcYAHAwPf6GrOvahd6bqtncRQo1vF84RvusRzjHWtYXUWoaXY3EkH2&#10;q0nOLhnBzC+/JClTkHDcdfxqm1GViqeqOf1RlGul7rEXluIgII/9VGDx0OOcnoT0+pOxFdW722+C&#10;9S4gChZEferlgOM9eOPp71NJ4ZNtIbu3txcwC6mQ28hYYVS2MHq3T8xjmucst62F6xnW2kZgjpkB&#10;imegB5J56cfWlOnCotStYmrPrUmnJDLbzrIq4cq5BGRtG3Pcc/pSw6tas0DLEiRguQiKFzuOD2/w&#10;rmjdoxjjniXNsD5a4xu5GDxxntz6VpRQQX8IjkuBFLIQVWNi/B7cDA/OuZ0JL3IaDVRPVmnqFq2r&#10;hYoVdLK1OAwOdzYwMZPPPWrU+kT6RpjzWUUVyJIUcvIAXgDE4IUN14+9z34HfNubNtMs1traWRsB&#10;iQeBjPc1o2OpC5sooTdNb3QhSEWsGW83axKnJxg+/P4UUoyg3F7F8yepXN6YdOs7mCaOQrK7vas3&#10;LP3PT5e3P6VUvpFvblXt5vJLElswksOemRnqen1HFdINOWeIi+EURSBnkZINrbi2NzHnOBk9OT6d&#10;a56V9Qgu7S6cRTWkMKIWUBQyfLkHAyOWxznJBHaujkhN3a1J5mlY1ZLpWlc3SzrcRMN4Hqei55H1&#10;rmvIP9rSqk53vhzGU5HPH07H3/Gpzqk2kXl0ySfboWOd84K5P97BJxyTXNrevFdC4mDiQuNw6cH0&#10;/pzWH1aNNu3UUqpuW+o3+n3UslnC86bwxwvydc7cHt/nFUNamWWG3ljikjV2DzqAcbuvf6mqceqy&#10;W17MsRkw+UO44/HjrVkXlxIH82B3/wBpR97J7Dt0xW0dIpJGbkmE9tY6hDHKwEb55MJHHP09KgZ7&#10;O2RQ9upZ/uyK2449adFtv2ZGAiQEjzwMLt9SP8K14fDMcTqYrrzoiBiUqckew7VdGhLboROaepmx&#10;2WovDJqM0M/2NAoZwMZJPALfXNdLbalNDpSRXuIQpIjj6HHv6/U1W1m+mCQW80/mhRiGAALHCAOC&#10;q9j79evqa5y+1e5EodivmkcHHQcjGMVveMNEtTPVnT3GopfQ3EMT7Jiu0lmCjn/aOBXO313LdFrR&#10;Ufy0YqXX5sg44B+o5NZ8dteXPZgrdyeMVqPu07TkC5Yg84GevXvWU5XavuUomcxMe2NIB5hACuf1&#10;rWs/tGxjcEEjG1QBkD8KzcEuju7Yj5IA2t+eau6cqSIohJLH7jZJ45Pf3pcvNoMlu2nRRKjmMZGe&#10;+acs0Ui7yysB3Jxg1cu7Jjb7RG5kxyXOAMViRJM12Io41ESfexznI9PfFDgFzpdOjluEkbILI24H&#10;tg1qPEpDMzbQOVA6dOp/yKpaTp1zBbBWQJyGLE9vSrl5jy5F5+fHHXgVulZEmBqbRJqEjRBmIBJC&#10;njrVaGZLiIOOvcehokuxG8hwSjDb05zT7FM2zE5Cg8fLWM4pq40GA3GKjEKLI8gGGYYJ9R6VIW29&#10;aQyDYWHK47c1krrYY7Tiba73zfNDuyfLO1j/AEp7XVyZnCyMZCuVRe45/KoEkR/usM+ncVcigiuU&#10;JdfmAwCOK1VST0bJ5UW7PUntWSO6crIyjGPut7HrVmXT7S9cMI3hcjaJYSOnP8PI5yehFUJLEq2T&#10;821ePXI6VJYPcWbSdg2AFYZAGMcHPrXRFqXxE2a2JrnQpYYdqos4xkyxthuB3U+3ascTslwYmXCh&#10;MuO6nuOa6QaskqskiyEhs7lAA4/GnTS2t1uZo45R3J4f354PWm6aewXMGK7j3MqOHKjJ2gnirUcm&#10;9gwbNR/2CgkZrK5+Z+SspwcfUcH9KhlW6s5UTy2XjByn9e9Z8jQzYE2FANZd3OTMe4qczfKMkEgD&#10;p64FUrzY0QlRhgnFOV7AjHuYpXk3Rsv45psKlptpYlgM8d/arfQjBqRY+d3Q/SpiwI4IXO4NuQHo&#10;R1oqychcj9aK1uI2NStJ7zViZZFVVALN1A7Yx2x0/CqGkGx0/UZhcSISWyjMuCB61oamZRLsVYxN&#10;IDkFycZ5/qP84rGutOcyoVkR32Zkww/DANcT95as6tnc7yCFpHimsZoiuNjKcFSMAccccAUt1oQt&#10;p5bp0ErSN8iqmSQevJ4BrJ8FXEcU3kTzYZvmVCp/nXpFxYy3dsjxuQy8getSk72NVqrnl/iW0mNq&#10;ipaYlGH8piS3Hb6HmueSZEtlkmhcSOOVHyfN6dOmcnNexyaXPK7NcBF+QpnuQR+lcb4n8OxO08sg&#10;PlKP3SpkDrxn6CqcU9CGnuef3tyttePJhGmXaXyvXjsTV3SVaPTJr5pQqzMdwC5KjkAE9uT6elPm&#10;05otFWWRHERJUnOXPJpunTyXaRWltFGgjAOwr3z69857/wBMUdLEdTo/DNgsOrQOxmljcZJZcDpn&#10;AOea9GuLuB4xEw3LjDbecdq4rTU/dxQF1Ro497AJxn2x+tdBZsIkLTKN+VCox5Prx9KaSktTRO2x&#10;mppuy8JQt5WevSte+sPtOmkoOUH51qXdzAsURkiVWbAxn9aJrqCO2EaclvvDB4Gf8Oax9h2KujzM&#10;RnOw/e6CnW/ha38Q6gIWu/s11jfGH5jkII4IJ4P8/at+9jgd2uFhMag4LsMDJrKu9yXSS27ZaMhg&#10;yDO0joaxXNSlclpNWZd0rQhZzRPc3SySQIRGiZjCt1b/AHiT1z+XptEryf4WPUV5ndzXVnNFeee8&#10;zwTbo0x9/OOW5yM4x36VsaX4ou7rUYkuFihikPKhcduOpr16VT2qucko8rO1Q7FIBPzZHIyCMdPo&#10;a17K3jcWs0i+dNIuI0kkKpGASD0z2GcY7/lhK+9mG5SRxjHNXbLVTYBt6iSPI8lHJwj9CeMZyPy/&#10;nhi8O6sVy7o0o1OR67GrHq80kqSLZSv5bhBNIMKgPysQOoHHHTJqnrltYyWLHVbltQuSM7Uk8pQd&#10;q9Dz35yPXpWWviCwvtTmtIzHbTkZjF3ITvIIz85GMn0OKu3GlI53Sj5WVQ95O/7uEnJ2qozvGDgn&#10;K/d688eT7CpGoktfNnaqkHG+xwNrcSx26XgQ+S0hgC3E6geWW5OCMZ4HXPrg1tyfbVvLedb1Z3t2&#10;2QtFGQyphSN0hAzgkqR1GDgGtbTtAtjHfaE10BdSKJrNtrGOMqMDG7r69/0rCitLy0vTBeGYh42h&#10;YTKFG5TkBQD33OT7Ac816MdHdGctdDD8TtLJ4inuBZiF5F8wyREBD68H/Gs9taM2nrHcW8UjqFWO&#10;ZlBdQDkZ5xj656+1XvFs8q2FrfIxZuYZdqcE9Dwe2Qa4iG8ufs625j4ViwJxxnn0qOSV7mMnqbxu&#10;tQtpd8E0isQBleAo9AB/OrCzXDxSveXsjSFCV3ydSO2T+NZ9tO2H/d43YOGbPOOeT26+tSvEswVg&#10;Y/M/uuck1olT5Woq0jO8r76Bb3BF7YeXPuZWHLuAu0ndlh16V3El0os1NsnnM33tpGe/Tvge+PrX&#10;Ow+F7i2htr28WKCF/u5YBz798ZJAHXpzihbq6Nw+QscW0BvtAGNo4A4HT2rzqlD6w/d1S3OyE/ZR&#10;u+p0ZSXU9Nmivryd7GF442YAKXbGVUeuDtzyO348dqOozlms7CwlibBPErH5COPl6A/nzXUWmqT6&#10;ncw29jpEr2A2tNEucbgABk9MfIOgznrWJrN6LXXprdbRHneXDrGeRyGHO0cc9MVtSlU2ktOiJqtS&#10;1vdmdcrb6PpdrdAbr2aEtI7ucgnjA49D+lW7PTZZ9LWe2kgQtbiTew3SO56r6kZ79uRUmrW01tDb&#10;srb2T5fLn+8p9MenPGK6bQv3+mRxNaJb30DGF2YgIdzZOOfvAZ4xSqqbhzRFBLmsyKS4txpYtJI3&#10;uYY1UyWpP72NwBuwwXgYB5DHjtmo7/Trn7JZaVbzyyR755IbOVF81dpPBPTG3ng8k9BXQwKbFiIJ&#10;N8DfKYj8xkHRmbCjjFZ+palbjVbW6WDypoJvNklXheVwxxnnJZevYdTxgo4rmfK1ZoucLI5AWNhN&#10;cwQx3DzvcLl1RTGqHPTJBzxk8CpLrWm0XWluRahIY4/KijDeZsHQEE9Cccnggk4xW9fQSXVzbHUL&#10;N4bwphbi1XIVgw5OAFbj06e9Zd/pk13pN/qEk29ZY3eKSQfM5BOSQemcYFdilGxjKJBHKniDVI9R&#10;QeVbxfu3hmHGDkgAgHrzzxWpqPhme3sVbS5Cu0ibyt23B7c9z+tc5od0LEbI23MGDYPQnBHp713W&#10;k3f2yAWc0LvMOY/LAwT1IJIwAPWuWt7VTXLqioQjKLfU5XS/EtxYLFYawkskcDrKhLlXV2znPHzD&#10;nOOORUyN/adkn2iOO4mjuQn2gBQSgDYG4jnoOvamnSZL3U7y4vopJrW5lKQzD5SGXGPwww/MVXud&#10;C1SyspbO1uRJBI4cKAFwR9ea6YqW8TJytozB1ll+2CGE5KAqVwB0ZupH4VZ0Vbu0nje1DGYHKrjc&#10;G49M5rYs7TSLIJHrQWO4uVbzHGWKnafmBwcYOD/Q1eMWleTG9m0lk+5hHKSzlhtGS2Ogye2Ovatn&#10;JR06kRXM7kd20Go2m6CQwEhTMzyBct/CoGD3/Qc4rCu7SfTdSjeQrMg+ZJFGCSADjr6H8f0q75Da&#10;dYXFvdQPJ5cyyRzod0ZPHByOVwc+tUluryGPb5sMkYACiTlmB7eo5FYVKV3dPQ1cl1LFrrt3Y6o7&#10;Mwki2bWyxG5SMEYz756/jW+s1nDKbvTZh5dxBGuw4wu07ujEk5Cnr/e6muHkFvLKwkI+Vj5jRkjY&#10;PUZ6mpDqBTy4bWNpIkQbix6c9M/l0/8ArVl71rQGpK+po+IbqKSSWZZN5lYsykYJTPAHp26Vy9ze&#10;Ca4UCLK5G7BJBrceUyICLdVkIwBKw+XHpSppGrTv5scG2EYzMI+3HT17VpTi27PcznbdFGKZEj+a&#10;zbf8pXBI3Dt9KktopZ7uNZm/eH+EAsQPUkV2dpBD/Zf2eSzQTAMPPbDMx7H2Ht7VRu2g0eBTDAm5&#10;j16A8gdua64U1FXkYylfYq/2ZbWqq085l2fciVdoH61Dda9JFMZC/lhPlMYGQfr/APrrDvtQLM5A&#10;y+4ZLeg9vT61Wggmv5TlsDrkjgewqZVG9dkCibOqahBq0ipab45SoUtI3DeuMDpn8apppKJkzzEt&#10;jOFq1FZw2yggAydNzHv7elQC4k+1hXQEhfvk9j2x61i5NvQuxJ/aEUJEeG2KB8xPOKteY08RaNkK&#10;dMdCeM1lxw752Zo2CSJheh6VqIskdtHJLu37fugcBSe/fpVKC3C5BHp0+2SeaJ5oWPDBDtz6E+ld&#10;Rodi0Me4xL5agYx2681Z0JzYNC7TGaLOXiK/K6nqpBz29q24763hdo7K3+zx5+WMHccehY8nv1ra&#10;Eeomc5cQXLzlRnhvmOOMUunaQ7X8szRqAwxkjgds/WtVHYzyZTKnoR61PAyyE5QAISeOlacqEI6L&#10;axBQScD061RuQkltIT8kRyoPepbi5RUCLlmIzgD1qpeOsp8hCANvORnFDQjnrrcx3suUOMqOgz0G&#10;KghmaOBvM3eWDhSffoMVqFQR5ceA3ViBjB6fT/8AVWHcJdLclXb5N3II61i1cYs9yskWxM/P8pP4&#10;4qrZLIsjqGJbH4VOIGeXgKDjlsHgHOKvWtv9nZS+STwcd8/hSjF7Ayrb2Fy5idIl8wHDbjXSW9sU&#10;2RttX1I6ZohtyXU5wmQSMfyFXioJOwcDpzWqprqK4GBSAy//AK6a8a7cHmlIKsHVTx23cVDcXQVF&#10;JGBnBGKHG2wXM2eFIw4T5DnOfT6VRnnnkvFdS8YChQVII7du/Sr11MGGF79aoNjvms+dxY7ItPrl&#10;1cXUkkggLKMyfu/L49eK1bS/ge1VmkQ7h91zwKwFhVgSMqT1I70x1fyDGg3AcA960hU7icTZu7WG&#10;5LujG3kPLEfMpz6jqO1ZF7Z3NvaMu0SruJDR/dz/AEqRbqZXUI25RkfNz+fv0q3bXqEFWwkjAjnO&#10;B71paMtibtbmFl1WNScuASwxj0q9EQTjIJrReC3uX+dRuYcyR8HkD+gpv9mCP5opDKw9Rg1KpNDu&#10;VJEJGAQKKdMWiwHUI3o3eijlFc6GaOO4il2q6KX2DK7mwAOn0K45qvH4b3XIla+MLADeOm4nsK6H&#10;VLSOzZSoBQb/AJgR0x1HvznnFZVlBPc3UCSytJGG+T5AOPzrlUdbHY/M6Gw8NLJcw30bJthO0IF5&#10;x2z613un27RwbWYH0GOlQ6RYxRxISwbjoK3EREXgAGtOVWsO9jnNYnFnCW8pnyQMjtXH6vLHczGF&#10;ZFXzE5B6YHf613eq24uY2RW+YA9uDXIazZtBFC0UXmFEIcgAn6VDjbVDvdHKXdhbWo81g00QQgJn&#10;O5vp6ZFZX2O1t70NDCoZGw4+7k4zxjPXtXSNmO1ImjyoYlQOvTpjrjP6E1yV1Itzqf7mUR5X5jlj&#10;0HQ5HXipa1IZ0trOFtSiQhVkXcuBnJJwQe9WI72PT51a8kRyCDhQctz36c/0zWbpd1JHp5RolMi5&#10;McueSpPTpj9akT7O0ZS8KvcTMGLlchQccE5/pRoh3OkF5HPeqq5+XO1sZ/Q1NG0jB8I0j/3pCFIP&#10;+Ge3+Rz1nKWYKdzKuctgAg8AZ45OK1ra4gaWTEh34ALs2Pb+ZGacdRi39oZNK2Syp5Yy4VDySeP8&#10;a5+wsF85SrKqk427sE+2Kvalcs8YjhG5VG3f3Izmr+h2wZVklgPAyrNxinJJJ3J3Zm3vh9ZB5gyr&#10;KeNpwf8A6/41wd3bX9jqRkbjJyjgEEDsAO2K9pkRHPb0rJ1pIWSBGZiB22DC/jWdB8krhUjzI5rw&#10;5Pqt3H5k7RG2TOWIG8njBIBzjPfp29K3jISrbucH0/zzVaTVp4dNKi1VmXCnBK7gDnkCrulSWcwh&#10;mu8+YrfvIVPAPZSTj8eePc9PQbuuY5bW0OA1zTFtrtpCfNSRiwjJ+UDI64GepGMfrWz4c1aN7l7O&#10;8Z5D5O4BGwrg4I4I69unXpW9q5fVLR4pERQ8nm4RQuG7cjniuBlh/wCEf1Tesvn3qAMXjOQ4wGyM&#10;+nTGB+NefXptJpaXOinI9R1A/wBpRWs0d5Fb6jG4MISAqQqgnaxLYzj0HTtWf4kFtqiLrMHlpqtp&#10;GHurNmJdVVgGcbfb5eR0bseuZo+rx3E8esPc+XK3yRmSLeqE9WC98c8cdeta/i3TXggttT091xPh&#10;jNE3lbhkkptORjknJwRjHNZUpPltLfqdBzetQ291YXdpNIQch0LMAAfQew/rXnhiFpdhLlDsB59x&#10;2NdPqEUbR2oIlF2u2NdwAGAScnsQffnis+W5Fxr0cupyxb7Z181FTgqDkAeoPT1HpWjqx5WupjKL&#10;uVpZWCw2cFtKs+3eQXAzke47DpV+1OmWt6ltqLXW5UDBoABluc7sjP09xVvVbKOxhi1mzRXaaXby&#10;xPlqcYwMA8dOvcVb1HTrWzspLjaZbxgMMo+bP4f5+tcH1iKcdN/zNo0ne76EN7qx1K/NjZyvLaRY&#10;ED3P3uFA5A98/pVeYXLROHdXiUjZIEA+vGeea0NK0yP/AIR+/vLiWKO8RcRqRliSec/gDj61Lb24&#10;vNIukJUCC3IBibYAwPTknn3wfwrfEYhU0qUFaz1M4U3N87NrSdRt7XRZC09zHcfZk35QgAjqBk84&#10;5+Ydm9s1lWItNX1+8+wbnmt/mAl2kPggEs2RgHHPXp75rjLLxDqEMBi80JtG1SYwxI7g+v8AX8Ku&#10;+EhJc+IXuWWaO0Ks06xn74xkrkep/wD1U+VxvOfQrnu0oo65nu7rxotu2n29gjMrJG7FY1KAkE56&#10;9znoeODXN62bm2u7gxtPPcbj5p4H73JzjBO/uM98129zaQR/Z559Ma8tlgGczkmIktu7k5wcj0OB&#10;jJrn/wCzzZNPdJaNc29tcTwGNZWVmKE/OzAHA5HTn271vCUKkfIU0ylonjKe9UWuo2huDsHzx4Do&#10;g6jpz+P50wLp2oT3N+ZGMYcpHG0eDwRjPzY/CrekNJ/Z9zcqVtEeRY53AVtoz0GTuYH0Hb1PFY2n&#10;6nBp2otZXKkxtvIlVQWGfY+4/Gs69J8vubhF2a5joNH1y4GqSWs0Bmso42WVX+bgnJAPTOfw4xVf&#10;XZru9vrTS7W3ntLSQ7QpJ2puYnJ9fvA/410Wmz6M1tEGvGk2kCPZER77ifx6Zrp3RWsllDSTweW7&#10;7lC7scc4znA6ZHsa4fbSpyUWtDbkUlucLo/hYW7O8N1HcXUcqBBMMJu7KVJPbkHOKhRbldZvbbU7&#10;pdOeVJHRsMApPPy7TgggYzz16VtoxsY5Ipb0rbEI0rFQSCOmADkkcd+3Q1V8qRtOu7i2a31C0cyA&#10;PIcsiY3A9sc5zjOOOldWGrc8dSZRUdEYUevahaToywpd2sR3Ik3LgBSMk8ZOCR07D8LDa1NLpb3r&#10;wN5xm2sWwoIwMAfNnAHoO/U1a1LT9Qht5107axu4FkmjKh3TO/lSQOCFPGc5PfiufuzbTaVAJJQ9&#10;z82YwWUofUk8HpjGOPWu2KV7xMJruVI1n128ktrncrkEo5PTnkdjjFWbV7nQpbg3tuZ7Yp8nz7Rk&#10;Dg//AFqqWuv3Wl2b7PJ3B8eYV+YgDpyOO/1zV658SxahaMkNnHjyz8pfIJAHY/jUJp3v95lqtjR0&#10;i90+7sJPs088cyzK7QyMpGVRm69GGR0/CsKWNLCN5seZJISVVByBnOBkY6/jTItNa/09bi1ZY7gZ&#10;DxE4zj/Iqjcwz+YIZd6SFckbjgMf8/rWdSnKVr7FKaM4W1xdSyzbymSAy5yefarzTwwq0MULNcBS&#10;oB5HPf8AD/PB4gXT7mKUbkeNYyG5XJb6etalnpctzIwc/ZlwMuwG5snHPPeumNO++xm5E1l4dvDY&#10;m+1KSKFMZg+0lgJj/dUAHcf0960bXUprS18u8lMkm0NFCc5jHJ+gHT8qj1K2+zeQjXEzRpCf3kzb&#10;iBn+H0/SuUu76Se6aRn3dvlGMjv/AEquZx92IrXOiHiC4ttUxPKoTILIAQFHtnkmrGo6vZ6xbG3t&#10;raRNpy00jckn0HpXLW9lNeIJJZtqrwC3JrRW1k+0FkuQq4HAWspzuuW5SRQmtUt5lR45JWP8Q4B/&#10;z/StZJUgUIYzGoGe1SSzLEw3cgjPHaog63JKNE5Qj5iRj6VnrJaj2HXB3wqwP7okHzB9cY/Woms1&#10;+ZYyTICM9SSfWrUEVvDdrGA0kYGMehroY7aOHMiRKG7kCtIrlFuZFnYx24i86NzI5+7nI9fwq+Vg&#10;aNxJGd27AU46fnVpGhurmFjnep4GBtp84WEsXIYsSSB6Y6/nWvqJjraAfZ0GdrL0HpjpirUCEbi7&#10;tuIw3oc1SgnmeVWWMmJMZFaM4Vk+TknBPr/9fitFtYRVaRoS8mT0xj0+lAuo4g27BLHAI6H2/rTD&#10;IBFyrh+jZ6AVnXknmz+WMFORxx26/rSbsBqQXaSRAoigt0PU1AdkU7yAZI6nNUbZRBbjYxLHk9Rk&#10;9qeJmd2diFVexHWi4EV2jmEv5mG5OF6EVSlQArlj8o6D+KtB5yYkV+AABwOnoTWYw867Cp91ByxN&#10;JsRaiSOcK33gf4fYetaCPGHw0eCOhYe1VLQlIg7MW2HB45HbFSFTLKsgUqgOcepqkgL3nCRnXBAx&#10;nPpUiNlCASVAyM4qqsUkxOzAA4wfStCGIJEEXBIA5PPPeqQiNQWhLbSGA6k1BNESVwc5JIBHWr+f&#10;McIBgfT86rzw4ckyHA6AVbQGBcoTOQFbnj6H6VUuGZI1LffXtjFb0kYTG0gH/arJukCNk/NIvP6/&#10;rWUooY2BxLHjaQwHpgU9VCkbjmqiXzKoLDOTwOBx61ZQrKcEnB5z6Vmo3YyRkiZiPLBOOtRmA8bc&#10;4+tTxwiMBlbPGNvpUvmY+8p/CtVFom5TBMIViNsh/i7VajvOAzjB9umKe8YZcjpVOSEgHBxVqTQm&#10;jU86BmUzIsyYztJ/rRWPKSTjlVx94f4UVXOhWZ6o/wC/LKY96nOd46Z61Bp2n+Vfs2AADx3rXUxN&#10;CM8Bhg8cZFTQFEkCJHwTjPc1zW1O06DTtoiyBzVqSVl5GMZxWbDuAChgAM/jV0uoizjpVWBkF0N8&#10;ZeQYA9OM1gX0yWzqqrlSee+a15bh3bkApjnNYWqTRQx5WPLD0Gce9RK2zHcydcb/AEZpI0Vm4AOe&#10;SfQ1wOuLKkSbYdqkKobaMsR64PA6nPPeuymmiurVncBNrrk5x1PXHpyT+FYdxZT6pt+xxPJGoBVU&#10;U4Ug9M4571la2hLMqOW5tZPs8uxRKQojVcfoe30q+bloRHDNEgVhgEDc2TxgccY4/LvVC/S6ivZZ&#10;QhbZ03N93PHY5zSrM0sS3oXaUKk4+4p2gH3z1qbCuEeoL9vjaV3jUvulTaQDx3x7/wA66aK/SOUu&#10;DHJGVLqig8sAD3+tcQ1yZb+NrsRwoRktuGDz3xWml80tx5cd0EEuQBjIGQV4A9jVCTOlh1JXkLJH&#10;GxY8ZXNb0UjGIM4CEjpnpXAXF1b6fMkcXzuCCwbI7Vuaf4hS8lMYi2YGc7s0qmquhxfc3ZbtlkPY&#10;AVTubxHQMwBweM1XuJ1kBwfwzVJ1Z0IDf/Wrnu+hdzK1vWJIW3hjCFA2henTjr3/AA79ad4c1N3J&#10;hub1WLfKkRBDEdc56c/jU0+jDUPLguWYW+8M20YBYD2fwk4/z7inWuh6fp+rQFbqaQmUrGxjCADn&#10;qCa7sNVTi4yOerB3ujamga4ZHWRo1iJZVDD5h0x9ao6zY2s2blbVY3jXcpJJbaQCQD39hg+nqa2t&#10;Stra18P3DxzRxXtsftADkf6RHwCoJPDDqMdfQ5rPglW7t4Lksfs74XzAhOOP88VpKCmmmRezuefz&#10;XUtrtWJfmZvkKtldo9RU8vim7mgaKSczIsSqVJ5yMfn09f6Vv67ptvJPJd5BEg2HacfNxjAwMA4r&#10;ivsrPdIFjAZ+QhbJHPGfQ1xct/cehtdrVG34fsLjXJjA0fMYL+c/RB9AOtbWoDS7JvIks7O4ulAY&#10;SqhznGdzE9enQZ6c+9nS77+xdJd2SMyyAbwCoz6YPSqVsy6vOby8iMTFx1Hy4PQg5+o/GuWVSKTc&#10;TqjZRt1ZVhupJonnuZI/mIEUa8q3PPHbp0611E1pbvpMNoBDHLguqynDBic4/lXLrHbf2uN6OzQk&#10;eSsKAZAJxuHr0rtdIihvbxpZN6yuNxC43HH05rCceWcZtaLUqMuaPKcc2i31s0snlTPCgJeQgDLZ&#10;Py9R29KqyeII7y1h02LT3WJThgrMVYnrycH+Vesa1q+l2OhTQXr7mXdtWVfmJOdpC/h19q8cuNZ+&#10;zQNGriYMwJxgK3pk/wAPrxmtKkXUnzSWonaC5UV73SLZoylrIvmlVzuG1ACx/wBoknhR+fWum8Im&#10;Oxtms5v9ZFlpYlU5bnj37f8A1qz9LsIHkuNQ1KINHEipKFnCFCeFI3fexg8cZJFQXun28FpLcrcX&#10;c08h2xN5QUIo/vEZ5J966lSc42nsY35XdHRX2szxq81k5gmTcNr5dGz1HHoM81nafqwkK2mpvJCs&#10;1w0wmY9HZSGJyBwc/Ue9ZNncxw2sSTXSS5O6Rs/Ngfw4I/nVXVLi5UmeOeO884sVVQSydzkdq56U&#10;ZwlyWLk7rmR1Mtrp11ZvLOsMUvmxot1AxZJOD/COM5A/r3rm9S8OPqGvWtvDckzPu37RkRR54OPo&#10;TmqeiarfQX0MVvG2SyN5UnQnPX2HOK9Cs9E0+3drycvvzzOH2u8pwCFGMbcZAH+NbV6/sly31exM&#10;Y8/Qz4dLs9O09HhndXhwYyTu3NgZPTkZz/niutstQj1HShJeNHZ3Qtwp5LKUJHzFMDAIB6HvWDf6&#10;DLdWzTxRqfIbIgRiDKuQcDPfn0rNt9SutR15rW3tfs0cID21tI3mAMB0+bAHJzzx6ZIAOdKg5xaq&#10;u5pKSi/dIfGeoTiVbWN3RppGEzbQCMYGNoY479cGuP8ANmsg1sLsohBcAfdYdCOvpmtLWVkTN8mo&#10;G6c7mczp5boxbnjJB9eCfwrl0S41OTfjLoNzsT05649BW0aLhpsjnqTu7naWXiObUMPJCzRwRCOF&#10;lbG0oQRwPx9/yqaa9BuEbUChaSAiJlBBJznLevfrzxWDay/2XbR2z3Efkk7mdVzzgHHrkD+dRXV4&#10;t9sWJS0ajaODkj0yKI8/N5FXXKGqRWqRS3Ms7TrMxUJnARvXg9un4Gs+C0it3XzZXAIDLsIIwfxp&#10;19FEo8newSM4AwME9/fr7Vq6Ro+mXjJHevNAnBVcAu/09PrWsIy9TJtMqLezfJHbyM8kbZXau3bz&#10;1J59q2dLvry4u0SZUkjThpRHkKB/EMcmr7adpOnpkfu0B4DHdlfU4qO21a1fy4lTaj5CybhgdeD6&#10;frXVDlgrPcxerH3PiIJI2+Is4yvmk5JXBxx6cVzl9emeee5QJHvwACxIHXOD7f4U/VdOliaUwT28&#10;qFtzRxPuIA9W6fhWdHaMYiZ3DEDAjH8OCOvv/jWPNfcuxqXGp3GrxpavGDbg5aQqAx/HtTI9NtYh&#10;/q8k/wB41Wsr0PFsTGVHVhinvO88kcZUjJILZ4XA/memazm5NlKyRNcypbxBSAkZ4ODyAfaqRZjb&#10;hrYkZJAIY8j3zioWeW6kNvtZsj5WwTkdfWnyIVhigJO1sLkLyKajYLmtCu+OOWUZlUctgEZ7VDbS&#10;yS3TspAjAOCwwPXFU3la3eJIXXYMgh+P8mnQGWeZw9wsUf3jg849u9NIRpWwxdKRwC2AewatY6g6&#10;5OCVJOPcViJOiR7IkZ0jbIftn/62c1aWTy2KqXZjnBaqQHQW9wiqhEaGRhwFH6U5p0uHMajMmfvD&#10;p+dVNOAXmQq7Dkc5Iq/DJbnJiK5PXHWqugEtopQSrttVhzzzVp5o1B+YlkGNvb61VllZTlfmG0ge&#10;oPrVKfMu1VlGQef54q1K4rFiWZTEdjDPVgRxWSYxFI0o2szAYx/DweBzU95NGseA5weCAPXqTmqc&#10;0jQ4MSgx7QvB9RSYi1bFltldyBkcf5/CkmmjllbLkqAM4Peo7SBpI8SFhH2APOahdo4bgwqoJcfN&#10;1yB70OXYZB9t+1XJBdgSCMr34qZbWUIqxyAknLMeMiiFoHYlQisOo71djCcHf1Pas3J30AlsrF4d&#10;zGTezAYzwP61caMrb7GAyOeKIm9DzUrnIHJGPStIy7iaH20b71ZiApxkZ696uJ8ijoSeMgcVTRgG&#10;25A3f4VaBA+YcEe/at0SK3Q7D8wHHtUM2WClB09alK5lBDg9sUNG7HO4AkYHNUBSuU+UHnp+VY91&#10;ArQ5YfMOcHg1uXEbhs9vSsyVdzOGO4n09KloDAjty7+YzYGcFMenvWgiDGEJ3HA47VEsZcusaY54&#10;P+NW4IXhRd2CRnnrUJWYwEGOrtz196kILfl1xT84OxTnBxmmtlBknk9RWiJEVsEADj0pjyKc54xT&#10;1UEnB5PJpnlqxxk5p2ArScjKnNFLLGUOQMt60VFhnqbXaoGCAKEO7B6df/1VYivPMuI0LAnGcjAF&#10;c400tzMCwYpuxVvzo4dqjruIXcRxWT0Oq51MF0d7FSSq4JBq+l6skBGc+oxzXGpq5gARh8/GeMcV&#10;csJ5LuYrG3PVm6AD3PanfQLmpLPIJMhW255HtWfGt5qF0baKzmkbPULhcHuSauXF5DAuIX8yTHzS&#10;EcKf9n/Gs99UkiVyGYyMeWLnj6elZOSe4a9DK1m+/sp30+2Fq1yDl5mO/YcfdXIwMevXPpXNSTyN&#10;M8FxdTTM5DhcEAkHnA6f/XBrZuXiTfKVGeWJx365rnpb20e4WT5kn3Fdyc+3XuKzc77CKdxelpXs&#10;3lOC20My8LzVbUrsaei29qNqsd57kHHTPpg5/GrOspBDAPKj2vncz53bvw9awXlkvpVBQNKT94k5&#10;PX/P4U1Z6kt2FvZYdS1ItHBKIWjx5Y5OQOgx71LFY6naeR9stZoo8fu88MeeB05PpWmkEMFrmJQC&#10;RknOc/jUFpe31sreVcPASxDYCuWXHoT1rNTvogsT3Vq019+8lMUgADI4GRx0Pp9Kc9yNIuFAheUO&#10;v3gOp+v/ANash5xcaqsTSgkzDz9hyGJHLDge9WLuSWJ32Sbo0U5G7gdulPXYDorPURc/fUxuf4GO&#10;SBxViXUktQA4baSBnHHPua5u7dxvuLUsVVjgr2HGOe55Gag068N9cJBds8kQbcOfu+pqfZ9R8x6L&#10;aXdtMFAlUk9s0+8EcCuyxiXzMBVOBtP9a4uy122gvCpjB2/c5I5rdm1mOS23OwjBGcseM9RzVpcu&#10;qC9ynqptprdDMpDq2cA4PuK3ILgz2KMFaMYGFZQAAOBwPxrkHv1vNRRzF58Ry7qr4yB6Mfetuy1t&#10;tSl8toPKxGHwjdRgD9etd0Zqcbroc7VmaqlVLidBJE/Dx4HzLn8OfSuU8Q+F20rUGlt7nzopF82P&#10;PLFT9M9Dx2rqAWCsoyI3bOCcmlubE6vZrZAD7RF88A3bd+eTGe3OMj/69YVo6c6NKb+yzn7FraOU&#10;iYNNOq53svyg+341Bfzt9usoQ8ao0gxsXLJ0HTjvzUCWN8Xlt5FWEsdhgZsOCOufbk11Hh7QFgLy&#10;3U8TSQIERU6gE9c+ufxry6q5bzb2OqGvuo0p9B0orFAI2SfpvAJJ55+bHPetK3trTTWSFNxO0BWB&#10;/PJ449vatWARpYPdmAhEG0c4JI4yf06Cua1NhLBPLFHMkwxkhCevOB6VnRi3Be96msnZtpHIeLXm&#10;l1eRpGMkAj8tCW5256cDGeTxVDT9Nij0iRnjjmk3fKmQSR+OOlGqySx6ogjjkmROWweCPyqQ65As&#10;/khWi3J97aGAwOcAVtVi5WSZjGScrstXIt9ZsV82COGZYokeYHeAVfYdwzzkMp459uchLlr6zhtY&#10;YrURjayNJBJ5gm5xyQSOP61zljqc1pehLZXmiYMZ4mUNhemWXpjn1ro7TUrfcAbg+VGjsEyR8xwS&#10;enfHA6c9a3hV5Wkxbo53X7eS01XzTtIdQ/yqBg9+PqKgiuZmQ4eRFA2ltoHHoOfSrMhv/EeoBLRN&#10;zhcBM8/l9T710Fl/Z1tpUFjKba5a6Zg0TRFWiZeB8+cknPTpyfStVZvVERTvdM3PDum20mkSz2ip&#10;KxG2SUsAYvlOOuCefetORkexFyPuoyIoVw+ARnO1iAOg9fpWd5t5oRhaysYXsbWMLJ5M4di3ViRg&#10;EH68dvesPU/F8GrzQrbWTxSeWFcbvukDBPXsB1P9K5J0bS54q5uppRsyxc6xvlkimnCQuDGZZMbh&#10;z/DgHHT2/CrcVpFf3jSXsqX26SKKC6tjtkXIYbjj0x0PHv68zqGm3ckEccsc4BIz8247s8nGMfhx&#10;VuRLm2SR7G6kjj5BB+Q+oyPTIz19etdEE0rswczO12AaXbSReaZFliUqduOoB9T6/wD6ulcj5rLy&#10;jFSRjg1112Ir6SQTh8QR7lB79gueTWSzafG4H2Yk7c9d2a25jJ6jLC0ha2F1cfvCxACdz1H49BUc&#10;NzKRNHHGAcYDqdoUZ710ln4etLvTjPNcCAYwkKKGfv8AeH8PJqJtCWGN98hZFGQqDH+P504QvrLY&#10;UnYpWGi3Nw/nLteQ/wDLaY8Hp90d+v8AOuxs9Eh0zTjeXUg3ODsbAZ3YdtuQQM1ytxq0FpaxQ2kb&#10;iOJw5D5yfm5GQcfn6/jVKTWjcXKsxTLJg7cjp0/GtPaWVoCS7mrf6mgunEsTkAbQuNoIPUZrky0v&#10;mERhgMBQBWvJFd3lwC4OCuAx6Cp4rf7PEIzy2eTWMpKPqUkZyxyW0APyqerFiQTUct1AEWIhmO0k&#10;uOSxPOc+tXLmzaZSqvhT1z2+lVv7Mhtxumdn7YHFQpJjI5opIbJEhUAMNzEENj8e30p0ju0A8tgZ&#10;GUDCg89j+uKfGBPdlUkQoQM4OW46cVctrQIWPmKXyGIHCjGPz4qlqIWys2hs45fuyjhW3deuale0&#10;QSlpGOSMtzxkDOK1rZIjBlG4AywI6cc0wpHIfs+fkb5iCOevrV8uoGK9qs8ZlUhmyQD3X8DS29pJ&#10;HEZnALkYP0/xrX8qOBEVFBU4YY4PJqrO6pJGCcKWOATgf40mgKcFqVeSMHdFg9eMkgcfy/KpI2f7&#10;VGGVy2e7cH86YlwrXEiqzfKufr0B/pRIxmRjv+UY4AwR09/SjYDT+2fZnMygFQuMD0qO3vZTP5sc&#10;fyOTiqE8y2sOxZCWwSdw6023uvNKqAFQ8qvbsPX2NNMR0gvFkJj6t0IqMQJ5ofPP5iuck1FoLnzI&#10;nIkQgqUOSK2ofFbz24SKCASqSTM0Q3nOO/5+/NTtqMmnjtbZQUkMzdSWGOfYdxUQljdlbaPlOfxr&#10;PuLhp5GdzliafbAnnNRztjLTecFzGNwzwOmKYBK6bp0GTlchcnpUzSiOHlgM1Fuk2hohlifvA8H3&#10;rSOoiFd0Tny1G4Dlh0JPapyQYt8abM8EMcc1KFJiZH2o567apTukcXlbm3jrx1rRCNPTldFZmkBz&#10;2zmrpmCkdCKxo5Z32vCNo7ZIq0H3IWHy4BznFFtRFyC4Bn5Tk8Zz+taKrjgyEJ+prHspGlDBjwB1&#10;71bjkYycHI9xWsXqI17fygcA8+tTNCN24kmq8CBCCTk1Z8wYrS4itMqng1mTwxKT8o5rQuF3ZIOK&#10;zLtWKnadz8VLArDy1JVQB9KQyYxjn1qrIHAGXHHpRvwCSwJPbFTbUZYTcWO5cA9TinMFzk/Nx+VV&#10;4nJQ5YjPahfMJ5BHrVp6iLUcisNu38qUqo6Cmx4ReKcSDTEV5GAopssYb1ooA3bu8PkLJ82Gw2Vb&#10;gt34x7Gq09/JPIkkSNtXAUkdf8azdSvon2pESw65Ixj29KitzcTpHHysanO7pXLe250XOticyR77&#10;gJv+8zKBgYx1/WkttTk8wRo5Vd/znHB/nWVbq8KmCOVGLj5t474yAPz/AM9KhEtzbs4LDy2JXcec&#10;flSi7jOk/tSNZGWSUMFOAcc5pDexzKWQnA9RWNbRRMRIZhIM9MYzVmaVViZRhUA5rOdugJsfLMGX&#10;qDWTJ5KSl1jUN64rOeZI3Erzsq53BQQf8/lTnvIZGAWVTnoM81nNNbBe5Ffl5ruKM7TG+QTzxx3x&#10;WfG9taTcoXAGfMV84BOBjA9v1q9c7fKclW3gFlPbPp2qhagQO5uIi29eoXO3r+nI/wAinHVCYsbx&#10;y3QlWd2gUjKKpzz9eKLaIx3ZVJGnDybWRQ28Ag5x9fr6UsccdwNqyCNguWHT8zUtsoktJYhLh8ln&#10;cHG8HOO3+fanbUAsYof7RS5hx5qJlgvAXAC49zVlYo5JnQIj3AYgNt65/r+frV+0s03qRKI5NuVc&#10;nGByMDHX/P1pt1Z/Zrkuk5ReDuKk7iatREZOtXtvpqtawoST6dCfX/PrWNHPJckzpmILwG3ADPXn&#10;8K0L1pJrtppfL3MzbQwA74IJ/wA/rxmXFzD+8hSPAGNqnnnv2wKW+wi9Z3VrJ/x9hC/G1tvP49q2&#10;5PKnt/LdD6gDisX7I1xIssa7YlIJJj+ZiQAQBnBxgnkge/IrXhUm1Uuu2TPLFuT+A4H6/Wsqitqm&#10;UiB9luiBAyRjsgH3uxOfyx71SjvrtNTmhtt8exmXA657j8Dn861VRpXULz710/hzR7OYPBeIPNfm&#10;F84CnuPxq8PO0lcU43WhiaFe3ovUspgZVkzhifun612MUUzadd3lu++4swHeDGGKDILKc/MVxyOO&#10;Mc54pfsFvGzpBAA54Zl56dqtWBOnyi5tt3mIOcnrnr/PFd89TFGdrNm+p241m2a3RHKm4IHzbsYz&#10;9CMVTs9aMMH2KLc87sSjMRwT6+v+BrY0ry9PgaBy7wNkPu4znk/l9K5fUbGDQtc8qKdpnCho1XkB&#10;W6Z/Xj/GvOq0I83LLY6Y1Ha63OoXXJIrYadboZGhOWZuNxPTjsKp6nfXQ0+RpHjRnIYiPJOB9frX&#10;Kwa99mnlV8b3bLNjJ6YxweOf8moNQ1i4kt/M2IgX+IL1/A1g4tzdo2Rop2ja4zUtThCsi7pZT8rE&#10;jAGO5+vtmuSOoOpeIryWOMrkjP5VvWVmNVu4V8tBI8hAkkbYv0rQ/s/Rpb9LiOCaMQA+fGh8wMw4&#10;wp7ZPet6dJWuZO5a8O6VbG1dmjKTMmyUMuGcYJ6Z65ZefaoPEFhFfQpDaxrb3II3oGG0j3Ocd6f/&#10;AMJAlo5EsDiNk4YffLZGB2xx6/nVKW/8+4khO2SzfIDOfn65479KwdBxqc7ZpzJx5SnbXZsL+AWj&#10;Sfu3UO+QrOR1wecex+ldXeXunaliVSFuGllmE6DIUN8yCQY7E44yfl9CK5WS3k3Rmzt1KbuBnk8H&#10;FLoH9oPqU0cU4tbiSMrsCHEvJz7Ae/04rflnu0RB+9yo6a4nvbnUTcTzxSMu2OWWEYT7owAQOSQe&#10;c4rl5oHTVJzAOTK2CPrWrMLldPa0KbJUOHcnIDZ9ASM/4VlWt7FY3amVhMRzvyThu5Azz0/M06dW&#10;M9OwVE1udRbR6nFBMbhShVQAc5b+dZesXUCWyBQCyqGYEn5jVZNdkuT5SRtJJIe3bPYVpjQHugjz&#10;xseQNuOAPc/0reEHIybOShNzNNLLCWCMercDHbj+lbGn6HPcGSdQIpCeGZMZ+g7V062EVvaJFhR5&#10;ecfLiql3qL2kWyOLKDG5j/EPateWMNWRdvYb5UGkW7qoLsvJy2C2OpJrl9Q1aWYiXzvlxwmOnt1q&#10;xc6zKbhpWJMTKQhABJ7Zx3HUVz4hnu5MKCyA8cYArKcnJ67DSsQyE3E2E3MScj3z7VqadpwV1kmT&#10;Jzwp7fWp7WyitsHA8zuSc4q2h5H1rCVToi0jV2xsq8Y71A6Kyk+lV7gTqiPFvZsc8ZH0otmuGjYz&#10;4X0GMUuXS4XK7YDEdqilQSIQSRkcEVLIcse2PSmH7vTNRsMow28MTnzB1yAFHNW92yVUwNqgSE5P&#10;GPwqKXIUkLuI7A1E0223IMTCR8dRx71vF3JZpWt5tChlCIMMfm5PFSPdNIWKDdg5yOorDh3GEtci&#10;QbOASOMdqv8A2qGzjjAzgnDNjnOOlWmBrXU6od/LCMYyvX8Pas+RzJCZXDdTgHsKzW1F5bhkTO1u&#10;S2eAfT8qljuZJIQz8hjg57n6UNgMRoYJGJJ3HjIOeP8AIH50XUkgLGJMLJjDDjOKqzBWcyyh+Oeg&#10;APPStEygpE4XC4+71x70IRXnt5J0UyKvyqchWzz6/wCc0RM6ARRIFHPzEEc4/OrN3AJIg8THBGS3&#10;Q+4qpMJrpshdnl+p74pajItsaRPEzbnJLMVHT3q1aiBFKROGPU881Sl8wSLiMSPjkKc/hUkcZhl8&#10;wK43EjBXHHXNS1oBoAnHH51qafJaxNtu0LRvwXUncnuB3rCiu4piApbPoRUrTOpDKdw4zxg9c8VM&#10;Y6juat22mRu6rNNd8cNAwRR/30CT+QqtA7+SEjUBsnqeT6VnwM6QtsJ3yHPUVIVdJQ3zgIv97JJr&#10;Yk1T5wjUSsAuPmOcmq9yU3xmNd2fXvUYnYWqPIxIYfePcZoRwNm1QxB+XnrTTAuPJhRyBxxg7fSr&#10;UNoLxVCXAWUkfK44f6EH9Dj61mLF5xBZsMOCo7fjVsTIkC4J29Ae9NMDR+xX6ziJIHRhwRtIrZgt&#10;zBGZrvKKv8PdjWPp3iPUbeI+XcMyDKqjnOPzph1O6vJC8x3gdc1aEa7ags8rFU2qOgpn2pi+FOCO&#10;uazluFXnbt3ck4oDhcyF9+eM1aYjRafevUZ71mXUhXoTnPpSSTBEL8n0IqvJO7LyCCeQT0oERTt8&#10;p3McD+Id/wAKjI8xFbdx16Ypr7S7CQ7m659qhM/OwY2gVLYyaSUEjrz6VYEnyfKSSKy459zucAen&#10;+FPjdvOIDEDvRcDSimOSp4wKduJfAPbNVllLAjIznGKnjK4JC4Pua1iySQsMDJopmA/0HWiqsBCb&#10;YwtG0ilnL4CD+ZParC6gjySREBXGR8x4z2qC4kE8MkURJOQz72APr+HaqccDpbDZHtO774Jx9SRX&#10;nvXc322LNxI9pc7lkIkB3LjkN9Py/wA4q1Hcm8iEZGGLZz2+tYyqPJPmNmRTgkc457k9q1o7xLaJ&#10;WUq0YGNyjBz/AFqugGgIhGscXzMGO1mjXLDkEnBx29+vpWZqGoyQhUM3yOo6CpzqMZRXcmONujvw&#10;P0rDvb2C8TbGh8wjcXyAo/zzUrV6g/IeHkvHMSSqY+2fT271YttMCzhmkD4P3QOtZdsSsc6oD5in&#10;CsK0bYyF2l3v5jMSVUfdHpnv2/Kh3ewItzBreGQyN8z5wpXIH41Ve5V5YFRFcGMCQgdXA7j/AD07&#10;4q4BFcJ80fbIUkkuPT2qKGM2pljbaF25jwvLdR6fX8qOVAEDIrQv5SK5B27gf5AUtvdRuZBkqQ3L&#10;qeOeg/OqMeGuGmllkBUgYGFyD0PuKZcAJOY3cbM7htY8D2/yKTVmCL/2yd/KlgeKMuuCB155I9iO&#10;Pzq0uqi5ItnJjx8yHr07dP8ACuXW5uYJBciMmFTg4b72R/hV9LsG1EpVFMpPyADI/wAKauBrXEUF&#10;9DJFIkjFlLI3+1257Z5z71kW+lNFeu32czooyRnOPxrT0hmEDrJJ+6Zhzt3MD7fh/OnyMJcKhPlD&#10;ov8Aj71aihMtWcRuoiTCyBeAD/SoroGNxgYUVpJJGlqsmdnA5FZV5PvfAIwx49655xtsUmXLHkAD&#10;GK6GP/V4XI4xWLZWx+RS3vnNa7NtXH604KwMyb+/mspvJhnbnluvB/GtDTtfjkIguXMcmAA3Y/l3&#10;/wA5rK1KNW4JCgc7guSPpWXb3H2a+SYMCAQc57f/AKq7qMlJcrMZqzud1cTg8By0fUAf4Viapp9x&#10;qskbWyqZYgCEHDOAc4B9eelWVuo5olMbKxJyCvWl3lXUqxR92QR2NOcOZWEpWZ55PI6yllRxk87v&#10;Xv8AX61YnvZfsbvKu4gACM9B7n0ra13TQ85vGnbFwWd1AAIYE5GT25FcoGFveBpMsmfXOa4Zwvo+&#10;hqnY6XSJ/O0+5tLtWiMrROinCk4JDBSe+CD0I47cVdtLCTTLa+dLHzoWO1HEu3ymDYycY59SOPes&#10;tZyAkysqxx4kU4yTx0xWx/a+mavHO6JLDc7D5rIF2SdzgcEkkdhWdOfRo2VrGVqLzz6dPNdFGKgb&#10;ZXGXPPPPpz0rnZJFSzEqSbxnGdhGfxroNTlt53ZEkdIdo3FFJDDnAB7deayZ4vtNqsHkCC3Q5V+7&#10;DoSB+daTlzT0MrFrQfESWKiKZfMtuSy4+bpjAPap77UxMyFD5cMr5DAgugxjr1wD27+tYhngtN8K&#10;JuXkK+372cA5/I/nUcUdxfzrFbQySEYwigtz6/qa1jJ7N6EWW6Nr7SrxeVFIxmx8rkYJ/GobHwvq&#10;1+3nrAUtz1klcDcfUev4V0Wn6HY6PAlxrUkkl8/+p023ceZgjhnbkKO+DWnBd3RjRroKxA28chQO&#10;wP0xVqhGMrxBzdveIND0f+zJgy8OOA4OSf04rp1ZVjZsgjHPzdPrWUbmQFjlAuAck5z+PrVKW+ki&#10;haRWG8hlI74I/wAT+laqSWiJs+pT1rVJjLLGjKAoIByAWxxwR1Fcz/aszQeWDlgThjyQPSp79pry&#10;RfL+WToSvGR71Vt9PWNgZW/LpXPKST94pIfDp8rgMxUIeeaveXFBEEQAepHep1IMfByvvVRzh+Kx&#10;nJspIQnk/wAjTQSSNoyfQU132qWPQc8VAt7B5gDOV/CoUWxmrBfR42yNgg4xg0XE6lAVI56EVVaG&#10;AxGTcTnoPSoiQMYwParlboIUnjOeaCw9sVCZlD7DxnnNVrqSRPnh57nuAP8AGkotgXM8EdqUk4FU&#10;4bhzbl5Rg/h0qM3+xsSI2TyPp2p8rAuMPUfhVW+PmlQ2FULknHXFWI382MMOhpkioCSpDNzwe9OO&#10;jAgD+QoC/LERu5+mfw6igLvkDHDSD5jsHQY6+9Qxq0mRtbBIyo+hznP4U24cxOgIICnDKvcVaQhs&#10;dwrM8RG5Vyyk446dqs208TO43jy1IwMHJzVeJC583yQoTnOMk8+nepLaYNMFEC7SeuKYGzA4CFBj&#10;ao3jdzVWJwLk7MsOS3ORU0ajy2wo57dMntSWtrKu8NFhW9+9NagUiix3TyZGRyF7VDI891wuQmcf&#10;TNay6eqODMDuJ+6O9LJGocRovf7q9cn/APVTaEZEMPkHcWDNjoDUyzRyACNiABhhjnqOf1rVh8Ha&#10;jepKsb20cka7xE86q5GemOo/HFUWsfsc/kTRsjLkEdD71NnuMpLd+WNiYPuOlPlMjxoZDt29cntS&#10;lEiuVMSg4OBu7+9TTsjMQSu33GSaYEEs+5kOQVB4HY/5xVvzh5gw7Bu3POKob5N58uHad2Qcf0q+&#10;AdoZuWxyw/lQBYR03OjM2Tydw6/TFNE2/CIh68gdxVVZEDK5Y/KMAHv1zVqKbCGRcgd+ByapCLyu&#10;iOyrxGOSMcj2oWRjKI1PBORUTPxknk+1I8+0AgZOfvYq0I0FJX5S4J7CmiZPuFsrjt61ASxALHYD&#10;yPWkjkjT7oLEjtyapCJ5ifLwmSp7CoHYrCN4O3qfrSSOSMxnb9TUPmiKMh2znnJpNgJLIkYy6545&#10;7E1TldicLHtz606eVTw3fnAqHezxZAPHAz6UrjJgSiIrAfgaQu5GVU5+tQLIcdd2c9fwp+9mzsBx&#10;6UkwL8bBCCeSeeO1Wo5ASMck1lw7yBk9OgzV2GQK2AOa2iyWX84H3aKRWJGW6+lFaCMaSX7OXWQb&#10;ZN5JIHBH9KsTXS+U24/IuNqoO5685qtqMklwg8oEkdgRiqau8EImmB3N3J5X9a4Lp6mxPaT7JJIw&#10;mfMwACM459KsXpkCJHGcqoGVXkA455qhb3AhiefhnLFQSe+Bj69/alurtoGjGHJA2lO+e9O+oFnU&#10;7kLbKowcAKTvBAOOMAH0qurRon2hD5UbLsC/xOPU54qpcwTz36xTDZuGRge2cdqdcOqxQJK6mMKB&#10;3JH+TSYCz/ubhJJGTaMjEZDZ47Y4rbtboIxAHzK5wx5DZ/DPfPI9axzCiNGfL2MT8o7Edd35VFNd&#10;vBDjymUMeMnPGBnNIDpPMUgu5ckAgHaRj8feqkN884Zs/M7CPgdAB+pOQPzqjc3Z8hDGFIZcEocg&#10;e1MaR0SEqiqEQM3mrjLf1BOKYE2pXgedIVLEEhODzxxk8e1PjuSkhXKkAEhnJ/rx9PrVP7TCqLcM&#10;FaQAbiOcHp04pu+G4RWTDEuu8Mcdx+n+NICVFVS0odplJwqAfw84PT1q0qhbkExhvL5fBGCtUXmk&#10;t5x5KkbgE5wQB22mtCGGeSbMu3JyGZV/qcU0gNu3kgEKMoHl7ewwCcdvft/k1YXy4IRsT5SR9eao&#10;aagLLCGdlhOSw9M1fu5N1uieX87sDkHGa0S0EU9WaaSNooSAseSTnt6fX2rm3uiHHyys0aggg5AP&#10;r7Va1O6niuv3Tkq7fd3ZzVWzPmyTyyKMupJGMDdn3rOQGxp2p3cko+bdgc54ArqPtIKrgk5FcTpd&#10;u6yiYudmcsMdv610dvexTviMkFeoNJoaJro7wQQM+vpWZHpN3JHNLkMEXeGdsfKOp5rWMTXD7BjB&#10;5Y+gqPVJcRkJj9yu4nOCvt71rTjyxc38iJO7sR6CjwpJKJY/Lbggc8g1sYWSTcBwfmIPY1xVjfS2&#10;s5giYxiQfdDcH36dK6XR9TSyvMXX77f1J/gOevP9c/QVvD3/AHiHpob8ekLeRkXVu7wsp5AwT7qO&#10;teeanpltbTzeUsk23JAPy8Z4P19q9Le+luwUDYUnhV71zms2KyxG6t9xkGQ2D+tZ1odS4vocJJfM&#10;rQxW6uAhwQ2Dmp3tJllaRQUjcY5wM1Yt9K3T5Zhw204IznGauXD/ALjy3kKuoyoI/wA4Nc3Ir6FX&#10;MhJZYI2KykxxNjGByTnjOeRgGlvNXjuYUTySSi7RuPHWqjJLdXDRW8ZOeSF6fjXWaZ4etdNKyXWy&#10;5u1P3c/u0+vqapU7vQLmJYeGr3UGWa4T7HbEZEkinnjjA9/85xXVaRbvpdo0NsE+Y4Zl+83qCeuK&#10;sy3DSRI02WkOccAfL7Gs2+1SC0tzuJZu6gcA44OfzrdRUVeRDd9izNPY2pkZcgsQGOBk/h61Tm1B&#10;LqMvG2UU5fnaT7fn/WsB5Yw4k+VicsQ5yD7cc003JOQi43YG0d6zc3L0GkdVBqiyRCAAHZ/EetWV&#10;t2uVyfuk8tWPo1uBvknUkk9M5Nbyz7I3xjapHtTUtNB2My8iS1G1MY/nWOTuatXUZklXK5z6YrLH&#10;yZyMmuaad9SkSwksrLnIFROjDlv51ft0DjOMVV1QNAgZVz6gdaFELlNsYIqq1lG7AgkHOT7mlhuT&#10;LktEUU8Ak9aVbiNuN4z6GhJoCxkogjAAAppIxQ0gbkY98VXlm8tc/KecYOaVmwI5vLu2wzMpQcc9&#10;qjljMjKLfHl5ByMcf5P86jxHOrbCY1zyxFSwQC2DBmY7uenFabCK8WY2fqy5GWA96VFjLGRkLJ1L&#10;luB+ApJ5BbHaoGGGSvvTIY5Ht9rMEiY5JxkgVQGj5yRoNp+UDgrUJVp5do27s7uTg1AEEPyyykqh&#10;6Y4FTQjzpzIoOzOAenFEVqFy5a2pt1fe/JGcZ6D61BK6qAVVQSeBjpWtLD5sIEYBwAOvPTFQR6dk&#10;lpR9BmqstxFK2WeUneo29m6VdSIKucD1qZikWEyB7VC9wqg4NZtIYhuYo22s20/SnS3eyPKMOnGK&#10;oSqkrl2HJ96jldVQoAM+npRddALh1DCtJMQB0ABzg1Jb3jvasUkEbFiWYY3EAevasKRnmiVVcHks&#10;R6VOLjyIo44lO/uD3/zxWlxFpm8t1xuwD92tGW+S6tDbyRlmCgRyDrGPQ46jGfpWCHlllEhHzDqF&#10;NXgVJVy+xScYx0ouA2ZSqghC20gKwHGPrTpF4LkDKjqPWnBht2Nww7U8CMna54I4zx0oSASA71d2&#10;7dB6DvVZyGlXbgsxwBn9cVdBSJNuD68nrVQczY8oEZyWxzTaAWNYoWk3ncR046Cp47ndHl1Up096&#10;rSSBXCqpxzwBg9O9JCWKN5uQP4TilcC+s6SBtp6Dg+lS5fAHygnBHtxWdaMiFlYjd/Srcs+47c7S&#10;cE5qk9QLEkoA2AlmIxk1JFmKMgNgt1qGKLy8SM2SOwNRSyEkBcDjbxVXEK8xBLZ5B5GKbc3Ckhcc&#10;c56GpBEirg8k1XuRIWBQH/Ck2OxCw+bJUuw/zigsSww23AzjOMikdsRBPl3nrnqaY0UrspO1cdT1&#10;pAK8vzKPzJGKkU4YnkD0qKYYdSBk54x3zUvmfKT90noaEImQiNSecn3q1EdvzZycZ61SgRXJYg/j&#10;VrIBA/QVrFiLqy7uB0NFRxMNnTFFaXEUc1DPAk4+cZI6U8nimPKiHLsFHcmvNXkbEFzF5domGO1D&#10;8owfXP8An6VVhuYZWxKCjEjLZ6D2HrUrSNO2GIMKvkYB+bt6dO9RQwJczyZGBGNxwOtaLbURYeFm&#10;nLsxCr1k7kHjj86bI8QmYTW6h3O4AYxk/jilkUurFCoYDbknGB7f57GmxlHtnRiDMMnI/hFMBLdn&#10;W7CLGzxs4QYP+eOf0pjIr6iFkAAAJwDxx780k8gSyEXpjJqNV+zSxNNJnKkbeeB9frmjzEWN4G+O&#10;P7u4MGA70iljHKLzJCkYwfmyf6YqrDNL5/7vHJ4BqchNjKXkIz8wUfl/WgB0YheOMrDlQwDE4GT9&#10;fSi7uDEx8uNUVjxwPyqeNHSKPycFcAsH70x7d5VZ5/3aYOzJ79ulAD7WQXLsxiAVRxgZxj2+lWoG&#10;xHNE+6Po45GTVaNvLihihVlkPLBun1/lVl1SWI7GXjA45NMC7pd3Gq7EX5xwWH61szxbrdWbOVAK&#10;letZWk2KQu8m4MB69P8APWtcu1xEQFG5htHPFbdBHNXqos3mlJAFB5GCMn/9dZ14waKNI2yeCBjn&#10;nnB/WtvULZorZmcBsfKFH9KxzERFG0cYEkeGOecVi1YZp2tx9ltvMdiWPRAeB0z+P+NMs59s28Ed&#10;c+1VQHu12riNR15q1bWpAaFWTzT0LHFVHsJnWw3Ecdh5qurM3p6+lYryNl9/Oc5qrCrylI2ceXGc&#10;YzmrFyvJUc068+ayXQUFbUks9OtbqOR2l2TL0XONw9v8K1tOsreEjILHB5b9K5iYDYFkOB/Dk96j&#10;s9SnhlykjfKejNnNXh5u3KKa6noCNh+Mrg8VZjUxuWQ7STk+/rWRp12l2gZTyANwNbCHgAjpXTYh&#10;FDULBb2UmLZblvvgJwTzgn+XSsmfw0hcNPcFz1+RTz+eK6faCec9PrSMARjFR7KJXMzEs9Ot7USQ&#10;QBYxKNvz/wAX1PY1WupXsAfNULIDnaSFFal88AiKMRux079K4nU0ZmIaRm2HaAeRWU3y6RGtdzUO&#10;r2/2dpTs84MV8nO49Pvcf/W/KuXvZwQwchpHywKnGBggZ/w681UnV/OyoIbsB2qaKCOE7roHnr3w&#10;f61hJu+pSQltHI+0BSQTXQRWsMeMRgtjqagsprdl2o6gAZxirkV1E0gUthumMc/SobbKNGxAA7gd&#10;6uY2xqCdzs/OOnPFVLWVQ2Ay59KlZI/ODPIVBOBx0rSnohMSS3XzvnGc+vGPesO4LR3h25aPJ6/4&#10;10kkyjCDG8kcnt/nNU5rUsjR4U98itHFS3JuQWUoePcF2nOOtSXoBiyQc/SkiiW3gBB3EjkdhViV&#10;fNgCEYfHQcj61PIO5xt67Ywyc/eweOPf9KpWsfmsGaX7vYZJrfurZXmBBAY/KQ3Yc8/kKoxWkduW&#10;dc88DuKjlsBTmDbw+9gp+v50y5dpo0UDLY4I7gDGTT71mlZINm3JA4HWohJszHGpZFHUHHfvmiwx&#10;0CPJbGNnCgHuKfOGiWN92BGAMAcdRUPlB4iSw3EZz2FJM6giCQ8Lj5ux59e9LqAsrGWWOJcY7Enp&#10;+NXUkjWPZKxYY7d+nSqbnbIPLRWxyM9AKWHbJ+8fK4ODt6UwJHg86IFJMjPOeKeHFuohGMdjRIyQ&#10;wEYIHHeq8EpkjZyAWUnbSQHQWDIIeCfmPOeKeZmEqoDjJwc4NYttdTtJkHgflWoLpQAWAPbI7VYi&#10;vqMpJVVIye+ehqhzbzfPLhT/ALJq+8Mcsvmb8jsB1qhcnzXKg8ZySwHyj3pPUCR2BG4MSBzkZqok&#10;omZywOSBjHpUgkWNfKI/i44PNRpH5RMjOhyOntU2sMZEypPyCSxx14qyLRtucqzAEDPGM0kMkRLA&#10;IA4GenWpGulj4YZz3FGoC28LRBi/zk9QOKenmtNyAFznBNRvMApYHI68VC77wrg8EZppgXnR/NVg&#10;oYA57c1NgBCzrnBqtBKgi4bcB1NWUmRhww6U76iEiXc4Z+FPr1qaSWIHbuAP86r+dtkw3yqeCfSq&#10;ktwATtwcdOetN6gWmdd2AwPFMY7hjOPpVGaYKATkZOcjvT4Zm8oFuQe5rNoZaihRDuySe2akCIDl&#10;snHPJ4qvFOrkhTgjjBqcODwelNNgWY7hWAyCAeOaeFjByFGfWqbpuAVSFA9qeoKRFQ2TjvVXESzb&#10;+q85FQR+ZklzgelNDyqctjHpmmyXHGccd6YEchVSWxnB9aWCV5CQw49agd1kcYBYd8etW0UKuBwK&#10;TAdsXduxzSeQpbJJ+lOBpwNCAaSV+UZ9APSp0couCeaZSBQM4PJrRMVix5xPGRRVcBty5P40VdxW&#10;KC3EqQkuvfaCe/FRXD+daq7nbk528cj1FS3EcTMOoQfT0/yKrXTeZEoRSAOMdAB2rmSRoWYF8tPK&#10;B+QqWzkcHp+I5/zin/Mny7SoaPsSPz9qoS3BCIqtuYLgnOfrVkyyDaQNssoB9qLCFMvlRyRkfumH&#10;HPOe9SRIVR8orZHDLUPy3MBjZeVfh2bueTS42I+z5iGI3Z5x/n+dAxHliGcgbmyCSvQ/jVWWdrgK&#10;CASpPzAcmkmkM8gwD9KsIHhiQxxkk8k49ulPYRLZQFMyOvXpViZHkQrGAHZs5I5NRRSyPkuuAPai&#10;RpPN3KMNnaM8beOx/wA9KnW4yO1SVLlRKx2gf3qJbmdZCqE9vfNVmdpWwWzt4GPSr0EKxEEsCzDP&#10;PYVT0ESQl2iYy4Xcm0cdKktlfBU7NzYAYHgUZDRt1J9qWxLK5UDgk8Z7elOCuDNexG2F1cbkxz2x&#10;6H+dX7cqgLnP0HSqMGWc7CoJ/HAq+wCooQDpySetbokq3MimcKzfIT35/MVl2+57uZzCdpXAwOK0&#10;0Ef2h2GC2cAHpz0pmxwWCEFgc+xqWrgZsNtPJPsCsp3ZOB2+tXLmxdAGZsM33fYdDT41ZbtpWOBt&#10;4qcMWJaUliegJ6U5JRj5i3ZTtYRACQxJI71Ojkk/oTUsmzA4AqqW8mTDklcZOO1c7TbLG3EmQcqX&#10;A5CgZrL2ESMyIyoxJ5/+tWsHinOF3A+4qb7GfKRVQkdjirp3UhS2LnhuXAkiP3s5zXUxtwcnFczp&#10;8EkM4ZO/XArp4wCvTII5rvMiZsnFRyACB3ZtpPCjuTT89BVS/kHmheyDGKibshow7q43DaTlgeTW&#10;UyNLKuULKOgHStmUqzElR+IqEyKBjpXK5FmDJp7Nelyu1TyT1474ql5RMrAx54PPXntn86276TCD&#10;sP7w5/z1qptGGdd+GJKq1Q11KM6KBY5A4Bw3BAPJ/wAmrsMJhXzJjvZeMZ69O9NSbDKrgMwORgdP&#10;f+dLuEsRK8g5XGM5/wA5oSESQXR3BSowWGTmtK4nXeoJO0HgE5FZdlG28nacbTzir2fMtyMZIOCO&#10;vOOKvYC3DNgCaQ/vCBtHqPWpknEnysPxArO8yMwlgQAPlUY5p0F8jhE+6c9QOv8A9ervoInEa7sP&#10;KAM5Hap1m3OyopLbcEg9BWfcb2dMDAJ4z1/H8MVNEu1iC7AnqT+dCAgMS+YWfvx+PbNZdw4ivBGw&#10;2nnGPWtgcRSK33s5BPT/ADxWeIVJM8x3SEZxj/PNJoChcQrNNul6gYBB4BBHNZ8rOkhEasQBgf0r&#10;buYxw5BHHApkUSyR7gu3nrnrUOIzEjRkYyyEK2eATxTYsyXBDbSQCAG9f8avS2SK7bwNxJ564qBF&#10;Zp+IlIPVu4qWmhjJEaIkqQVJ+baM4H40u5Rbxt8u0ds4LAdQamlA27O/cZ5NVorf5Ckv3icdzgev&#10;4c1IDGl850jH3BxgVLFH+6kUA7Sfu59qRWCfcQfN3HanoWYhmHA+8COMUwG2lw0bGFcHJ+U9gf8A&#10;Jq9FOQpVwM84JHWsresVySEH49qtwySSEEJsAHVu+aa3EaIYROMNn14qtNHFEzHceTk8cVYhWNOJ&#10;DuPYYqO7IaM+ZxjsOKpq4GekZcmQAMB0APc/WoikkkwVvkA4zjipo2iCnAwCec0XD74wFIOehzUX&#10;GPSNEDbOuME5zVeTduBI+RsDcf50GJ5Nh3KCvXmpZIpGiVFYcdTjFF7ANnDAhQwUE4wTQ6+YhCk5&#10;Bx/9ak8lUYO7bm9T0qN5gwOeoIbr1oETwPGkWH4LHuKsCHeoG9toHFUVHmqW5wAMCrVrOCu0AjHc&#10;0MB93u2Fk2gYwf8AP4VVjCnhmVnJ6GrkgEikGqwgKBjnL5yCaVxjTbkkGV8gdAKQy7I1RTxj1oiM&#10;u5sqxA6UsMbeYd6fKeeafqBJbRAASbtxPtVkNzTcYHtRmoYEgc+tO8yqzSBPvGlDgjggj2oAnZwe&#10;vSoWAK4Xt600sOneoHDsR+8UAdD3qkwJ4FManJGTUm+ohnABOT60E0mwLAftQJ13EHIxVbeM4zSM&#10;+cg8VSEX1cMuQc0F8A1WglAiz0x+tK0ynAJIqwHNNjHOaKi+TOetFPmQiB9rDGcYQDHf/wDWeKSZ&#10;B5aopOcYAGaicNI29Wxhjj61KWYXMcW47c5JHXisyiRoInmClVQqo5zxyM4/nUIYidfNYMqnAz61&#10;YR1VWnC4KttA684zmopoN6G4zlhng9xQA45jDZQFeN2e/pUZljCkqcEngZ6fh2ptw7QRBG5ZlByD&#10;3/yaqxL5jgetCQC8kk45NaaRNGQke08ZO44zUUzrH8xXOBknv6VHI7+ahV8KTkAD34o3AU3BcNiM&#10;bugzx+tTxglGim27mHyEdP8AP+NRMoaSHjg84pSJJJI1ZuT8oIPQU0AsSeXbNIoA3MQee1Lt82Fe&#10;GyBgljgD0oyI7eRBkqW71FblyWj3kIRgj+lMRYtJVjkwwBBPWtI5X95Gqn1HqKzY/K3jCH8T0rWi&#10;+VR9KOoE9o7DkDrxyelXVk2o4OOmRVKD5+p6HIqwNok5BJPrW0XcQy3Bad8/ePQ1bjgby2Bydzfp&#10;T4IkEvA5x1NXjt8raBg+taKGlybmfMqAbMAgelReW0iDjGOlWhAN+SaGcBuBUTVxooyxSIm7r7VW&#10;aaAsylQJOOpwDir92+YS3ocVjPF5zyyk4C8n1Oaz5bDHMdshVSc98HrXT6KSGTzP4htOa5iGTbGp&#10;QYwO/wBa6DT5X+Q55qoq4M6S0VILsMBtBOD9KVAVd06YY1Exy2fUZpynaMAV1IzJy2Oap3wzKWHR&#10;hmpmbtUFycxIfqKmauhozJVFUJR83pWlKKozKM5rllEtMqzLujxtDEc1nztKipv+83BA6kcVrMAF&#10;qncldvzLnHSoGZjADJIwXI4JFT2Y8jfsH3mxz7en+e1VS7CQbz8vfHXBp00jxwjJ37iQSfw/xoAu&#10;28gM7o7Y3dKcgCq+V+Vh1zjH1qlahpH3FsY796sPIsch3AnPb3HeqYEU0pMOVLYZuhHepLEhWLOM&#10;EHGW4wahuZCZlIyOhps8pEm3tQgNWS5G8nh8gqDS7mdAVypx1NQWIyrMQDV4HK4xVXEVpJCluFOC&#10;wzu5qKd42YAD+LqafcMFDJz8yiqflvkMzDC9KGBYKkRkMwJHb2oManKhhhRjjkU0fMN/bIFLLNvh&#10;zjHNFgIsK77QoLdyKjeI8CPjHJ96khBDlvQc0MjMDgjB9RQ0BmzWgkmIiHDjGSKhe3NvIN5c564r&#10;WZAACSfl9Kh2/vuclsHv2xUuKC5nFQAzZOFGMZ6Gqu5i28sSAMH8aluspcEj16UYfeX4GSAPaotY&#10;ohQKboMih1GCc8CntITMQpIGegzUJlK7l75zxUgbEG/v/WgRpQgDmZufc1FdN5jbDuBPGBVSO4eZ&#10;lj6e/wCFWHUsBJuxtH51TYEDELHtVee2fr+VRSOwl2qMgMcDFSZLyBFCgAdD3P8Ak1CGBnZhkBem&#10;PrUgSbCW3uwXHNWBIhUgN06mqschaVl7d80rMIMqBuU+vqaVhkil33AoAAOuaiWNRcnJHIyMetNt&#10;gTLkHGBzUl1lQGyc54pgCSN5zLxkg5+tNLPncgIHtT2RQDIvUAYodmK7hjgZI9aQD3eUNlBnP41Y&#10;BJAz1qCCJkzyOafPuijL56HFIBsrSAjYpye4qSIsUBcYNV45cruOcZx1p7SukaucHPUUWAsE96TN&#10;RpJvXOKbJk5IOCO9KwBN82cDkVFakb265x6UwTFhsYZJ6VJDE4VzleBmq6APlbgYOTjpUO4qVUgb&#10;iMYzgUE/Mq9cjuKaqeaNzfhRYRIzGMDDYPvTvtADbW4PrUIcTN82eOlKmGLFRjsc0WAmKgZ6YzUY&#10;Zn4JwmcA5pASI89ecc0xWYLnjnp7U0BZ4WPAbNRF2Ln5TjHGTTSPLQZwSe9NibOR3HT8aLgP37UG&#10;c59qKY64+cn8qKYH/9lQSwMEFAAAAAgAh07iQPRaKr4D0wAA+dIAABUAAABkcnMvbWVkaWEvaW1h&#10;Z2UyLmpwZWcAAID/f//Y/+AAEEpGSUYAAQEBANwA3AAA/9sAQwAIBgYHBgUIBwcHCQkICgwUDQwL&#10;CwwZEhMPFB0aHx4dGhwcICQuJyAiLCMcHCg3KSwwMTQ0NB8nOT04MjwuMzQy/9sAQwEJCQkMCwwY&#10;DQ0YMiEcITIyMjIyMjIyMjIyMjIyMjIyMjIyMjIyMjIyMjIyMjIyMjIyMjIyMjIyMjIyMjIyMjIy&#10;/8AAEQgB2AJ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6lUc5pKcK6DEWlFIKUUDAAswUDknApkciy7yhzsco3HQjrU0ZCSozEBQwJJPQVR&#10;sGR1uzEQY/tUm0jp1qRMt0oNGc8UBTmmx2bAijHvTgPWl2ikFhgFKRmnYooHYQACgnilI4pNpzQD&#10;QooFAFKBTYBSbRTsGjZmpYhuwUuPanbakiXMqA92H86QyIAGl2iq2nljFPls4uJB/wCPGrmaAG4o&#10;xS0UhhR9aKQnimIX5aQ47Un40UWGFJiloxTQXExRiloqkJiYoxS0YPrTENPWjFJd/Lpdw4yGDxYI&#10;6j5qeaAG4NGDTqXigYzBpDkU/Io4oExmTSin8UcUCsMIowacfajFAJDcUmKfiigdhhFJipOfSjn0&#10;oENoqSNPNmRCcbiBn60xWDNIMfdkZPyJH9KAYlFPwKDQKwzBpCvNPox7UDI9tG01Jj2o6UAR7TRt&#10;NPPNJg0AMIxSin7fWkK0ANyPWgkY60u0UbaAG0AA9aXFBGJWjz86Y3D0zyKBCEClHSl2mjGKEITm&#10;kp1NpsAxRsFA5p2D60ICMjFHNPIoxTAjxRin4FG0VIEZpMCpCtJt9qYDNoowPWn4pPwNAhOtL2op&#10;QM0ikFKKTvSTv5EMUhGd8yxY9MgnP6UrlEijLD61S0tc2s2MA/apv/RjUmp3kljarLHLFG5lSNfM&#10;QsGLEAAcjnmodDj1BI7o3txDIDcygJHFs2ne2TnJzmpuOxphCDninc0tFITYUUUUDTCigc0uKLho&#10;GKACTT8UHkUAN20YxS4pKQBxRmjIp8aGRgox0J/IZpgM5p/IxgkHPUdR+dRQSrPCkqghXUMM1De6&#10;lbacENwzjeSFCJuP+eR+dADNOQxwzAszE3EpJbGfvt6VbyazdGvjexXB+yzwqJ5CDKoGcu3HWtLi&#10;iwwooyKMilYNRwptLupKpCsFFFAGaYwPSnDpSY96WmhWEPWlx70hFKgBbBB6E+vancLCEUVXsrg3&#10;VlDclQpkQNtHarGaLgVr8ObCVVlZAXjDAY5G8D+tWT1rL1fVYbWKS28uaWb92+yJMkDeOfz4rSRz&#10;IiuUZCQDtbqPY1KeodB2Pp+dGP8AOadu9qXNVcWo3H+zSY9qduo3UXGNx7UYp26jdRcBu360uz60&#10;u76Um/2ouIULRsHrQrZPSlkYRW7zN91CAfxOKVwDZ70bPelFFMBqlopFkClipyFHU1U055poppJ4&#10;TCxuJf3Zbdj5z3q+gy68dxVKzuVuJbxUwRFdSLkHO75ic/r+lT1Cxa49Kb+FOz7UA5qrgN59KMH3&#10;p+aKLjGYPvRz6U+kBzQAzB9KTBqakxQBHtOOlG0+lSUmQJHjJw6YyPqMigBmB60YGOpp+0UbB6UC&#10;I8dKhLK2sXxVlYERHIOf4KslR6VH5Kx39yFULkRk4GP4BUsOgtJin4o200IZikxT8Um0UwsNop2K&#10;MUCaGGkzTmUk9KTafSgdgxRindqPwouTYbg+1IQfanc0UgsNC8jOKtyxIJnwi43HtVWp3LGRiZpM&#10;5PZf/iaLlJXKwXilxjNAeIj5Zoj9HFOAB6MD9DRcFYjB5pl8C9rbIEYn7YnIIwOG9/arGzmuc8T+&#10;Irax0GRrW4R7xbhY4UA6yYYfpnP4UmWim3/FT+MY4VY/2fozh3x0efsPfbXR2DF4bknqbqb/ANDa&#10;q/hvSE0fRYbeNvMdv3k0g53yHljn68fhVjTFJt7jgn/Spu3+2ajqMt0uR6UbW9D+VG1v7p/I0yLB&#10;xRx60uwjqp/KjafQ/lQAg60tGD/dNLg+h/KnoVYQmkzQc+hpOfSjQNBfxpaQD2NLg0AFHni2DTFJ&#10;H2qcLGuWPHYUYPpSLOkcyZddu/ax3D5SQcZ/z3pAVdMnQaHa3EuYl8lXbfxtGM81y8GsR+K/E1rb&#10;LCy2dqzzxyEYMuMKD/ukk/XFOjZ/E8sejwyldMs1RbyWNuZnAH7sEdBxyasaPGr+O9X8lAsVlaQW&#10;6Kq4Cg/NgflQwsdFaYxcjAH+kycD/eNT1Fbg5usA/wDHzJ/6EamwfSmmgACjFKAemD+VG1vQ/lTA&#10;TFGKXa3ofypdjH1/KgBmKUU8Rt6foaXyzQAyinmMjuKaV/2lH40AJT4jiQHGetMO0dZYx/wIVXl1&#10;XT7K6ihuLqNZHBZQDkADqSeg/GhgRaUpXR7MHj90p6+1Z9/rE81y+maMgmvgPnmb/VW49WPc+grN&#10;tNTbxCF0vTL+K3s7dRHcXauPMkwMbYx2H+1+VdRp9lZ6baJbWnlpEvvkk9yT3PvU3Q0jOttFi0vT&#10;rt2ka5vJtjT3MnLOd4/IDsK2W+8aiu9psLkhlOFU8H0YVNt3HIIxREGNp3bmnbMelGB/kGqEN+X0&#10;o+X0pcA9KNvt+lAhPl9KPl9KOKOKAD5fSkwtLxTh9KAGgDPFVtVlMekyqoJZ5Il4UnjeKtn6VVvZ&#10;kNrPErqZEMbMgIyBuBzj8DUyeg09SwKgvtQtdMtjcXkyxR9iTyx9AO5rMl1yW8ma10W3Fy4OHunO&#10;IY/x/iPsKlsNAhguBfXs731/2mmHCeyL0Ufr71VxWuVQuo+IZI90QsNL3BiJlBmlHbj+EfXmrOh6&#10;LDo8+ptDj/SLpyABjaoOAP0P51fv7pbKykuTj5SAPqTgfqali+/cD/pvJ/6EaXUfQfRS0UxWEopa&#10;KBiUd6WimAUUUUXAQ1ESW1S8J7eXj/vipT0qJIljvbsjccshJZi38C+tICXFLWZe65bWs/2WFXvL&#10;zHFvbjcR/vHoo9zVQ6XqOr/Pq1z9ntz0srVyAR/tvwT9BgU2xWJbzX4VuDZ2ET3150ZYQCsf++2Q&#10;B+dW4lvTqNw13LEfljwkaY/gHU5P0qe1tLeytlgtoUiiXoqLinMd2o3B/wBiL/0AVLHYeBxRiloq&#10;kT1EIo206imMYRikp5GaMUCsM5owafiigCOb5YbY4wXmZSfUbSaTHNJPG7NaP5jBFmb5OMHKGpcZ&#10;OAKSEMwKCBWfd65Z20phQtc3A/5Y2672/HHT8ar7da1PGWTS4T2TEkp/H7q/rQ2OxpS3dvZun2nJ&#10;D8KgIDMfQZ6mkfW18xsaVfMMnBATn/x6sfRkU6tf26bpLezYJ5sjF3eYjLEk+g2jj1NdfipuWtDw&#10;xYEUgiygyOh8sf4VIqKrl/sibjkEhQCc9e1SAXGOi04Gf+6tfSewp/yo+V+sVl1/Ej8uP/n3/I4q&#10;GSw06RdslirDOec9auB5x/AKQTS/3Kl4ei/sh9Zrd394lq8Viym3Eqbfuje20fhnFSy3ZnklkeW4&#10;VpW3vsmZRn2APHXtTBM/eOl871iNL6rR/lQ/rdf+ZjQ6Hj7Vff8AgTJ/8VTg0a9L3UB/29Sf/FUe&#10;cuP9VSedH/zy/Sl9Uo/yoPreI6SZKJgAQL6+/G7l/wDiqX7TwB9uvOP+nqXn/wAeqHzYieY/0o8y&#10;A9U/Sl9Uofyj+uYj+ZlgXTAf8f8Aej/t7l/+KpwvG/5/rw/9vkv/AMXVbda/3aN1r/dp/U6H8ofX&#10;8R/N+BcF84/5fLz/AMDJv/i6X+0HHS7vD/2/Tf8AxVUf9GIo222PvVP1Kg/sjWYV/wCb8DRXUX/5&#10;+r78L6X/AOKpw1KTP/Hzff8AgdL/AI1l7bc/xmjZB/f/AFo+oUH9n8SlmGI/m/A2YtVljfd5982O&#10;gN65FUdSm+2WZt4Hntd7ZmdJyWl9ckjPbsfX1qp5cfaQ/nR5SdpP1o/s+h2/Ef8AaOI/m/AXRLW3&#10;0ONhbzakHfG4x3xQH8Av1q3p9yLK/vLx5b93uXRjtvGXIXoG4+b8apeUO0v60nkn/ntR/ZuH7P7y&#10;v7SxH8yN6bWYrq8uJ3XUo/NlaQJBqLxque2AMUn9o2mOW1r/AMGkn+NYRhk7S0eVMP8AlqKf9m4f&#10;t+If2liO6Nw3+mnl11pvrqch/wDZqPtuhsPng1c/W+c/+z1hFJv74puyf++KTy2h5mizHEeR0P2z&#10;w70Nrqn43Tn/ANnp323wxxus9QP1mY/+z1zZWf8AvCmkTAdR+dR/ZtHo2V/aNfsjqDfeE+jWV0fq&#10;7H/2egX3g8dbGX8VJ/8AZq5bM3t+dG6XPI/Wl/ZlPuWswq9kdZ9t8Gd7IfjDn+tSLqHgsHmygx/t&#10;Wua5HMn/ADzzTSW7x0v7Op9yv7QqdjsxqXgof8ulmPrZf/Y04XfgaSeKRrezUocgrabT+i1xBY94&#10;6bv/AOmdS8tg+pax0ux1mlr4EtLGNJI7UysoLiW3LYbABxkHFXxJ4Eb+DTx/27Ef0rhC6/8APPFN&#10;3J/dxUPLYrZlrHS7HoQvPCFvYXsdnNZxGaLYyohXeM9OlN8vwQT/AK2zH0Yj+tefF07r+lJujPal&#10;/Zy7lfXL7o9EFv4KP3Z7Qf8AbYj+tSLaeEM/LdQfhdMP/Zq82/delNYx5p/2d5j+t+R6Z9g8KN0v&#10;EH0vWH/s9O+weGMYGoH8NQb/AOLry8+X60392e9T/Z/mUsV5Hqy6b4fI+TUJv+A6i/8A8XThpWis&#10;RjUb3P8As6nJ/wDF15OQn96mhcnhql4B9yliV2PXhoWnMfkv9S/DUJf/AIqpP7As8cX+qf8AgfJ/&#10;jXjwX/bpcEfxUvqMu4/bpnsH/CP23a+1b8L6T/GsnWfB8dxp2p+VqN+DOkagSXDNhgwGT6jGB+de&#10;a7pOgkP50oluFBAmfB9zUywUu4/bo7i48Pat4eMLWOr6hJpMUYV4Vk+aMjr26e4BI9DXQ2lil7bL&#10;cWmt6myMOD5yH/2SvKPtl4OlzKP+BGmJd3kK4hupYx6KxFSsDPuV7dHo+u2VwJtL03+07uf7beR5&#10;WXYQEQ7mPCg9q25bC8mvrx4tUngUztiNUQgfmM1479uvzKkrXkxkjzsbecrnrg9qk/tnV1Ysmp3Q&#10;JOSfNbk+vWh4OfcftUeu/YNTUYXWXP8AvW6H+lJ9i1jtrMf42a/415KPEGuKeNVvP+/rf41MPEuu&#10;gf8AIUuv+/hpfVJ9w9rE9TNprn8Or2342P8A9nSi218H/kKWB+tg3/xyvLh4o18dNUuvxbNSDxf4&#10;gUf8hOf8h/hS+qy7h7aJ6aYvEI+7e6afrZuP/alKF8Rj/lvpTH/rg4/9mrzH/hMfEP8A0Epv++V/&#10;wpw8a+IVH/IRl/GNP8KPq0+4e1ielZ8ShuP7JYf7sg/xpQ/iUD/j30pv+ByD/wBkrzX/AITnxCMf&#10;8TB8/wDXNP8ACnf8J/4iH/L+f+/Sf4Uvq8+5XtInos8/iKO3djp9g5Az8k75/DKVkamfFeo6uLWO&#10;2ghsgiNKsc5R5PlXI34OOuOBXJf8J/4gzn7cP+/S/wCFKPH+u+Y7m5jy2M/uh2GP6VLoTDnR39lF&#10;qml2/k2Xh+0iTOTsu8FvcnZkn61YF3rvfRI/wux/8RXnY+ImuD/lvCf+2VL/AMLH1vubY/WM/wDx&#10;VL2Ew50eii81jvoY/C6X/Ci5uL+PUpRb6Y9xmKIvtmVdp29OeteeD4la2P4LM/8AbNv/AIqlX4ka&#10;sJ3mMFkSyqpGx+3/AAKk6M0PmR6D9s1XvoUx+lxH/jR9v1EddBufwni/+KrhP+Fmal1+yWh/77/+&#10;Kpf+Fm3/AHsrY/i3+NHspoOZHdf2jf8A/QBvc+0sP/xdJ/aN+OuhX3/fyH/4uuGHxOvt3Njb4/3m&#10;qT/hZ1x302H8JD/hR7OQcyO1Gp3medDvx/wOI/8As9L/AGncd9Hvx/37P/s9cV/wtCTvpif9/T/h&#10;Th8UT30ofhMf/iaOSXYLxOy/taUddI1Ef8Bj/wDiqX+13/6BWo/hGp/k1ccPiknfSz+E3/2NH/C0&#10;Ys/8gp/+/wB/9jRyS7D0N/WPFn2DSjN/ZF+0onCRxlQpYkHHcnoD2rJ03xFB4kjJuri+fav7y0so&#10;WUL7MR8x/SqsnxNs5hEJNIcmOTzOZM/wkf3fesi98X2L6gNS0vT5bK9L5kYMCsg77hjr7/zqeSfY&#10;LxPQLS+0+wiEVppl5Cnolkwz9cDmn3PiK1gtZppILyNY0LFpLZ1HAzySMCuaT4o2Hlr5unXIkwM7&#10;CCM1n654/sdY04WKWd1HFJKhnLYyUDZIHucUuWXYLo6Pw5fw2ehwtcQ3f2m4LXE5FrIcuxyedv0/&#10;Ku7VNyA8cjPNeaj4n6MMD7Ffj6Iv+NXB8WNBxzaal/36X/4qjlYXRxYjlH/LQU7bN2cfnTRD6Sml&#10;8pu0tfU3PjXbyHqJ/UH8ad+//wBmoxFID/rKfslH8QpNktdrC7pwMbVoDzD/AJZj8KTbN2ajE3qK&#10;QhfNl7xUvnSf88Tmkzce1G+4z0zTuGovnsBzDSGcf88j+VKXuP7tNLzf3KQ1difaE7x/pR9oj/55&#10;fpQZ5h1iNIbhz/yx/SndFcsvMXzoif8AVj8qDJD/AHP0o84n/lj+lHm+sX6U7odpeYm+E/wfpS7o&#10;f7uPwoMy/wDPL9KQzJ3i/SnoGvmLmCkIg/vUnmxY/wBXSeZF/wA88UBZ+Y7ZCej0nlx/3qN0P939&#10;KD9nPrVJopX7iiOPPEmPxpDGv/PWkxB6mk2wf3qY+R9/wF8v0l/Wk8s/89f1pCkJPD/rRsi/v/rQ&#10;xqL7/gL5T/8APb9aDFJ2lFN2R9pDSFF7S0jTl9B2yX/noKTZN/fFN8vuJDR5Z7SGgaj6B+9B60hM&#10;uetHlNn/AFlIY3/v1JaiG6WkLy/3aNso/ipD5vrSKWgF5O65pvmN/coJl9aaWlpMtCl/VKaZP9ij&#10;dLnpS75f7tS7GiY3zl/u0GVP7tDPKB92mea/daQ7imWP+7Td8X92gyt/dpPN/wBn9KhlagTGR0pA&#10;YqUyf7P6U0sMfcqWNNi4i/vUbY/+emKZvX+4KQley1Ohevcl2p/z0FIVX/nr+tRZ9qQ4oZSi31Jd&#10;n/TUUbD/AM9f1qHC0vy1OxSiyTy37ODR5b/3xUfy9qTilcaiyTY/dlpPm7kUzj1o2g/xUrlJDiSO&#10;h4pCWpu0/wB+lwcfeFQ3crlG/P70bnpcN6j86Pn9anUqyGlnppJNPO7HUUz5/apehSSD8KMn0pRv&#10;9KX5/Spuyhmfamk57VJ8392ky392kBHnHalBB/hp2T/co5/u4pN2EmJ8vpSfL/kUhJ7ik3VPN5FW&#10;Fyvajj1pNx9qM1HMuwWF+QdzSHaehpCfamk+1O6Cw7AHem4GfvCk+oo4/uijQrlYu3/ao/Gk/Cky&#10;PSpukPlH4/2hTSCf4hTcj0pAR6UudD5B+D6ijB9RTePSkwPf86XtEHIdi9iEMYLAmQAqFbJ5pz6e&#10;0cIlY7UJxy3P5VomK1S5s28sRiaQSEKMbTkDHT/Oap3NtbKGnVsmSeRenoT3r2o1m3ax81LDKMW7&#10;3+RELCTarDftYZU46ilNrMoyWYD6GrlzFAy2AGX3RYKg89adqNjFBDCIXUwLkFwQSWz0JHpTdZXt&#10;Yj6veN79L7FDyX/56/rS+TL2kpPKT+/R5Q7S1rY5HH0FMc4/jFAW47MDR5Rz/raXy2/560C5WJtu&#10;PVfypCLn1FKI5O0tO8qb/npVDSsR4uevFJm5/uipPKm/vil8uf8AvrRYPuIg9yTyq04tP3QU4JOO&#10;4oInB/hoGv61GeZL/wA86Qyv3ipx8/8A2aA03oKLjt/Vxvmn/nlR5g/55U/dN/dFJul/uCncdl/T&#10;IzKo/wCWVJ5sZ/5ZVJuk/uCk8yTvGPyqk0DGb4j/AMs6TMP9ypPNP/PKmmTj/UmqQ033YzMB/hIo&#10;/celL5g7w0eYn/PL9KHYa5u7G4tz3NJst8/eNKHj/wCeVBeIf8s6V/I09/uN2wf36NkX9+kLxE/c&#10;ozD/AHalmicu4nlxZ+8aaUTs5qX9z700iD+9RYpS6Nke0f3/ANaTZ6SfrT9kR6NSeWn9/wDWkUtR&#10;uxz0kppjk/vipPLTs9IY1/v1Nykhm2XswpNk2fvCneVz9+jyz/fP50mWkN2TeopCsvtTtjdnpNj/&#10;AN+p1LSGlZfRfypv7wdUFSFHx96mlJf71S0UtRhL/wDPMUmXPGwU4rIP4qTbKP4qhlpDf+2QpPlH&#10;/LEfnT8yetKWkpJFWI8IesXH1pCI/wDnkfzqTc/ek3yVLZSuMxF3jNGIf7pp29qYZG9KLIdmJmAe&#10;tBMOe9IWJ6qKTd/sik7BZ9xcRHuaYRHnqacGx/DRlSeVqdCldbjCqHoTSbV9TUvyY+7SYT+6alj5&#10;mRkKO5pMCpSI/Q0bE96izGpEWBSYPY1KVjx1puF9aVu5akR4PrRtPqKftXP3qCq/3qOUrmQzkd6O&#10;fWnbFPekKL61GoBz60hDdjS7P9ql2H+9UsCMhs9qQq3oKk2n1pCp9aQ7ke0+gpdp/uinFT60uD60&#10;tB3IyOxApMewqRgabtNSx3GY9qMD+7T+RRzSC5Hx/dpMD+7UmT60nPrS0HzMbtX+6aTao7Gn8+1J&#10;zU2QczG7Uo2p70vNHNOyHzHcHWlAVYYdu2MLlzklu5/WoHubZrGG3Ebb0ZmZj0OaieeExRhYSHA+&#10;c9j/AJ/pSLPAISGjBctwcHgV7MaUI6nzsq9SWhZkvbd44EWN0MabS4bGf500SQfZ/IG4R7g23d3H&#10;4UgmsfNiBRtoI8wAHOMDP9elIZrP97hGOPuYHWkowTuyJVKrSSEKwZ+/SbID/HTPMh7rS7oT/DxX&#10;QtTjbkP8uHtJR5MZ/wCWv60zNv6H9aP9HPrQK8u48wx4/wBbSGFf+eppu237Z/OjbAf4qLiu+/4D&#10;/KHaU/nR5R/57GmeXBj75/Ojy4f75poL+f4DvKftL+tJ5b/89f1pPJj/AOelL5KdpB+dMd/6sGyX&#10;/nr+tG2X+/mjyV/56/rR5J7SUXHf0FZZh0YUn7/1FNaJv+ev60eVJ/z0oTAU+d6ijM46YNHly/36&#10;Xy5f7wqrlBvmx9ygvL/cppWYdGFN/f8ArTTHyjvMkH/LOk82T/nmaQCY96X9+PSndFqDE8xv+eVI&#10;Zf8ApjS5nAzikMk+OlTcvlfb8RplH/PI0eYv/PI0eZN/doMk3dD+VK5SjJCean9wUhkQ/wAP6Upd&#10;+8ZpDKR/yzpNlpMaXT0/Sm709KeZMj/V03zOf9WMfSlctOwgMdBMVI0q45jH5U0yR/3P0oKTYv7o&#10;96Nsf96m70P8H6Uu+I9VqWWpMTEf980mxCf9Z+tITFzwabmIj7tLUvmJPLX/AJ6frTTGO0n61GRH&#10;6UbYvpUO4Jknl/8ATSm+Wc/f/Wm7YvWkKx+v61LuUpMfsf8AvUeXJ/eFRlV7NTSo/vfrS1Lu2TbZ&#10;B3FJtk9qh2/7VJz6/rRYaUicCT+6DSEP/cFRDcB979adl/71TdFe8OIb+4KCG/55imZb+9Rl/Wk2&#10;hpMd8/dBTSxH8NGX/vUh8z1pFWfUTef7tIX5+7S/vBzSZkrNsuMRN/8As0b/APZpw3+1Hz0iuUj3&#10;/wCzQW9qcd2OlJ8392peg7DSfajg0uW/u0Z9VqG0MblaPlp2f9mkz/s1LsWNwKUY+lL+FJkZGVpa&#10;IAIX1pML/eFISuelJlfSldD5RcD+8KXHvTPl/u0fL2qboXIOI4603HPWjikIXHU0aDURxHFN59aa&#10;cdqBjvSdh8ouD7UYbtikOKbj3osg5STa3tQVPpUfHqaAcd6m6Hyjjn0puD6UGkpc0Q5TqPMl/wCe&#10;dPEsmP8AVUKJ89BTv3/90V9Cz5Cw3zG7xUvmjHMVLumH/LOlMk3/ADypaEu/9Mb5qHgw04SRAY8r&#10;FKJZAP8AVfpThK4AzEaNAsxglhz/AKo0vmQH/lmad5z94jSed/0x/SiwrMbvt/7h/Kk3W39w/lT/&#10;ADgOsX6Uecn/ADz/AEphZ+YzNv8A3T+tGbb0P60/zY+vl/pR5sX/ADz/AEpD18xgW3P96kxb5wCa&#10;m3w4+4fyppaE/wAJ/KhBr5jNkH940hSH+8afuh9D+VGYO4aq0D+tiPyouz0vlJ/z1p/7gjqaNsHq&#10;aNCl/Wgzyl/56/ypvknP+uqTbD/eo2Q/3z+dUGvf8CMwt/z1o8lx/wAtak8uLs/600xR9pKdwTl3&#10;E8mQD/W0nlyf89aXy1I/1lJ5K/8APT9aZV5AYp/74pDHN/fFOMX/AE0pDGf+en60i/e8huyYDqKT&#10;bOO4o8tv+en60uxh0kpehS5uthhM+e35UhMw9PyqTypD/GKQxSf3xSNFL0GFpfb8qZvlP8IqUxyj&#10;+IU3y5f7wpDIz5n9zNJlv+eQqXbKO4pD5vtQXG5FuP8AzzpC3/TKpCJR6UfvfSpZokRFvWI03cn/&#10;ADyNSnf/AHaNzf3KktIj/dkf6s03Mf8AcNTF2x92oy7f3Kl7lK4zMX91qX9yexpd7f3KN/8AsfpS&#10;aRSQ0iH1P5U0pCf4v0qTeP7n6UBxj7g/Ks2kWkReXDjl8Uvlw/8APSnF1/uik3r/AHaRSGmKLHEl&#10;IIY8Z8wU8sh/hphZPQ0adirMDGv/AD0FHljP3hSfJ6Gk+T0paC97uO8vn7wphQjPz0vy570bV9aW&#10;g1zLcZtf+9QUf+9UgRD/ABUuxf79SyuYi2P/AHqArjuKk2D++KPL/wBup1HzkZDgdRTf3nqKlMX+&#10;3TfKP979anUpSRHmQdTRuk9RTzEf7wo8o/3xSsUpIbl/Wj5hzSmNh/EKTY394VLKDJpCx9M/hTtr&#10;eopCreoNToO4w5P8NJ06rUm1vUUhVvWpshpkfH92lwv900/BHajmlZD5hny/3TSYX0/Wn8+lJ83o&#10;KnQOYZtX0/WkKr6GpMnvik3H2pBzEeF9DRtX3qTOe1IT7UXHcj2p6n8qTanr+lSE+1Jn2qbIOZkZ&#10;RPUflSbV9f0qTkn7v6UuPYUWXYakdMFmx9+nAT/3wajEDj/lqacsUg/5bV9BofHXQ8ef6inYuPam&#10;iOT/AJ60uycH/Wg0iHfyD/SAfuilDXGfuUYn/v0uLj+/TC7ANP3Sl3zf88/0pMXOOooH2n2oFcPM&#10;lH/LKjzJP+eZ/KjNx7Ub7kdhQH9bh5sg/wCWR/KkMzD/AJZUb7k9h+dG65/uinYrX+mHnt/zx/Sg&#10;zH/nl+lAa4/uUF5gP9XQGv8ATE87/pl+lHnJ3j/SjzJf+eVIZZB1iNMNRfNQj7lNMkf92lMzf88q&#10;Tzj/AM86NB6+Yb4v7tJuh9P0pfO/6Z0nmr3i/Sq0KTfmG6CjMHY0CVO8Q/Km+bF/zyFA1d9xSIfW&#10;k2Q5+9SGWI/8s6N8P9zmgtJ9xfLh/v8A60nlxd3pS0P939aaWh/u/rS0K97v+Ahii/56frR5MfaX&#10;9aTdCTyKQ+QfWi5S5u/4C7E/56H86TYv/PQ/nTMQ+prT0NNPlvhb3a7o5htBzjDdiDUydlexpGLk&#10;7XM7YP8Anqfzo2ntL+tdg/hrT9/yOJE/uuNrfmuB+lOXw1pisD5QP1lY/wCFcixtLqdywVRdjjAj&#10;Z+/RsJ/jrt/+Efsu0yR/7kK/+zZrnPEVpZWVxHDDcmSbG5gI1XA7ZxgfpSjjKcpco5YScVfQySjd&#10;mo2v6j86aFB/iNLtH98/nXUYXswxJ7UhEnoKRlOOHqMhv+elGo+Yk+fHSmnzM9M0z5um+l+fs9S7&#10;lJinzB/DTd0ndaX95/fpv73P3ql3KUh25/7lLk4/1dNzN/ephklH8VZtml2PJ/6Zmkz/ANMz+VM8&#10;2X+9SebL/epFK/YkyAOVNNyn9000SyetL5knXIpXQ7sCy/3TRuTGMNR5kncCk8x/QUroauL8no1I&#10;SnoaPMfGCKYZD/d/Sp0K1HFk9KTKUnmf7NIXBP3aTsUoikofWkynvSZX+6aPl/umpdi7C5T3/Oj5&#10;Pek+QdjRuT0NTdDsgwp7mjavrRmMjjNHyVLkOw07c9TSYXHU0p8ukxHjrSbRSYYX+9+tGB2ak+T1&#10;pcJ61LaGLjPejb700lfU0w7c/eNLmQ+Uk2+9GPeosLn7xpcD1NS5IXKPI96TBpMD1pMGlYLMUg0m&#10;DS7B60bewNPkGJhvQ0AE0FD/AHqQBgfvfnRyWEKU74zSjIHSmndnr+f/ANeky3Tdn6c0vdQWY7J9&#10;KXJ9B+Qph39z+ooyf79LmiOzOiEEfaWnCAE8SmlCQetPVID/ABV7p8gxv2fn/XU8W5/57CkMUGf9&#10;YaPKgP8Ay0NIQ4W7dphS+RL/AM9aYIYe0pqQQxY/1ho1E0J9nl/56UvkT/8APQUvlJ/z1o8kdpaN&#10;SfuEEM//AD0FIYrgfxin+Tj/AJa/rR5P/TY0WDr0I/LuP760bLgfxLUnkt/z1NHkN/z1oHp5EYW4&#10;HpS4uPan+S//AD1o8mT/AJ6UwsvIjP2n0pM3I/hzUnlSf89KPLlH8YphZeRHunx9yjdP/cqQpL/e&#10;FT2Fu89/DE5yjNgjNDdlcuKTdkV4UuZ5lijjy7dBmpLq3vLLb9og2bunIOfyq7P5+la062toZ/Iw&#10;2TNjqPTafWqTy3moXskzWTyzt0CzZ2qOw+XoK53ifeXLqjtWEUYvn0fRXK/nOefKOPpSeaSP9V+l&#10;b2j2v2mzuPPsypVscvlhx9BisTe7rvMbKrchRhiB27itYV4Sk4oynhqkIqTW/mOnhnt0R5rVlV/u&#10;tjg1CXG3JgOOx210GnPdazEtrLEy2tsmQSgBY4IGSGPT6U+1uJU8LaibY7o0LhJCuD0HNYfXEr3W&#10;qOpYJycbPRnPR7pd3l27NtGTtXOBUfmLz+7P5V0fhe4uvtUysXkBQH58cc/SsO5uZ5rud5ULM0rd&#10;R056VrCvzT5LE1MPyUvaJ3KzSxq2DGQfTbR5kP8Azzb8q6jXrmddPsyESPOBvaMNxtzjkGsq1W/v&#10;IZHhNu6x/fPkIMfmlQsUnfTY0eEmknfcysxs2BGSScAYoLJHJjYyupz3BBrWtb7bLbSR3VvJKZVB&#10;iW3UHGQODtqx4ru5JdWjhMQVUhBAC85J7n8P50fWE5KNtylh2oOTewlv4tEcKrPp/muOC6ybc/UY&#10;NNPia7vZlgs7OKBmOAXLOf6ViZ/6Zkk11PhW1WEz3UsBZvuJkdMfe/w/A1z4jD0qadSTOijias7Q&#10;ivmX7i5t9I0mSW5me5nA4P3d7noAOw/pXBhHvrpmy8s8rZOATk/4V02tzjVdRZWUxWNiuZpP9rvj&#10;1OOB75rK/tsxQsmn2wtmf70xUFwOyrn9T3OfauXDuMffau3sjqrKUlyXt3ZftfB0kke+4vI4ePug&#10;FiPr2qhq+gPpQVzMJoTxvUYwfQis8ybnLu0rv/eaRifzzXW2N0moeD71bhC8kSMoc8k4GQT+ldU6&#10;tWmueSVjmhTpT91XucWVjI++RTPLjPSWrURj8xMpxkdq6LxOsEF5bpaafEzOhd8Rkk8+xreVVRSf&#10;czjRbv5HKeUoP+tpCijH72upudHjW0tZYYI3muAAITbuMEjJyd/AHqau6LHCuiX63dhCskTMTHsO&#10;DhQRnJNZvFRNFh5HEeWT/wAtaXyG279525xntmlOzccjGT0XoK7QyWmgeGord5dl5cKWAKb8E9SR&#10;6AfrVTrKMeZijRcnZHFCJj0kFIbd/wC+K27bQbe70yfUl1HEURPmboyDwMngUWcHh0W8wu725aRv&#10;uPHA3yfhjms/bR7l+ymnZGH5Djq60GFx/EtSpFbmVhJcSLGPusI8k/h2rrfDVnYnS9QcTrKFGQ00&#10;P3SFPY9ac6sYq7HGE27HGeRL6rSeVJnG4Vq3NtpEemB01C5a8znBgIR/Yen1rqL/AEuwul0i1Jjh&#10;F2nMkSKGDbAR2569Kj28LXL9nNaHBeXIO60bJCOoq7dabNFq82n27m4kjcqCg649q6m60Y6ho2nx&#10;RWzRaidqyOYioUAcljjGOPrVSqQir3BRneyOK2OOoBqMmQHhf0rrNA0KWDX3s9ThUgwsylvmVsEc&#10;isXXIli1u7hhjSKOOQoqrntxml7SLdrglO12Zm+QdqTe5/hqXym/vCjym/vUO4XIt8n90Ub3/u1J&#10;sb1pPLepbKuhhdh/DTfMP939KkMb/X8aQo46iptcpSRH5n+xRvP92n4f0FG1v7tJxHoML/7NJv8A&#10;9mnkN/dpuD021FikhNw/u0Fhx8tKQ2Pu0bWPQGk0gI2K5+6ab8p7GrAjbqQadjHRPxo5L7D5rFYI&#10;p5waeqKM5yalJ/2aTHP3DR7MOcjwuOMikwMcVKTgfdNJjIzg0WSFzkeFJ54owmadj2NGKWg+YbtX&#10;PXApNi+tScelN+UnODQ0g5mR7VB4NG3P8VSEj3puVNRZD5mMwOzCjH+1/On9aTA9D+tTyod2dMHg&#10;/umnA2x4203zYj/yxpyyxf8API17x8g9e4o+zZ6U7Za+v6UebD/zzP5Uvmw/88z+VK4rtdxuy1/v&#10;U7Zbf3uKXzIP+eZ/Kl8yD/nmfyouK77sbst/79Hl25/jpd9v/wA8zRvtv7hpNhzP+kJ5cH/PX9aT&#10;yoP+etP3W/8AdNN/0Y9jSuK7/pCeVF/z04+tHkxnpJ+tG23PcijbB/fNPQf9bB5Kf89P1pPJT/np&#10;SiO3z9+gx2/ZzTTHfzE8lf8Anr+tHk5/5aml8uH+/QEhHO+quK77/gHlEf8ALU/nVrS4n/tS2AkH&#10;36qlYT0fH41Y02KI6lb/AL4j5+1RUfuMqm/fS8zcghmHiu6/e8+UCefYVT0Y3kmtz77pmGZBg9MB&#10;uO1Mu5xY67cTI/mt5agAttHT1qhaz3MVw8wuYt7kny3KqnJ/vYBrxKMpyimk7WZ9FWlGMmpNXujo&#10;7A3stxqZaXcFkCr7AZGP0rlba3uZVjSNsswGBXSaRZ3EcV1JdOEeVt3yng9enPvXLxxbrZV88gMu&#10;CM9RgcVvgJv2zXWxljrOkn0udQLJk0VbeO4JS5cRvJE2cknBwfTjFRJb3dj4e1WFWRmhL9gR90Ho&#10;frVe6hki8MWrJclQHXAXjHzUlokq+GNScXB3fOTuO4k7R1z1rmqSqP2k5dHY66apLkUeuqJfDb3z&#10;3sgZlI2f3FXv7AVhTpcCeYnA/et0/wB6tnw2l019Jm6Lfu/7ijuPQVjTRTC4mzL/AMtG6/71dtCX&#10;+1cvkcOI5nhG1bc39fM502wEgBXK4x1+5SaF5o0+/CI2CvO7HoaZraTLplgzyl1+XAXrnbWfaajL&#10;ZQzRqkx80YPK8cH/ABrnjPmhUS3udLTjOm3tZDkt5YZLCQWMsZZ1IlZ1KuOvY8GpfFBuRrYJQf6h&#10;cfTLVFHfTTQ2VoTP+5lBRm249OcH3qXxMlydaUu4P7hcc/7TVVKpL21OMu4qsF7Obj2KdilwfMuv&#10;LBEQwgI4Mh4UfmRXc2ST2djDbrD/AKuMKSepOOT/AFrndNtbkQ6fbFgPNdrlvonC/qQfwreuJ7q1&#10;tpZ5HGyNCx/AVyZpim6rgtkdGXYflp873Zy2uXMkTJpMKcbvNnPd3Jzg/nn8qoatFNaajJB5RVUV&#10;Av02jP65NQ77yWVp5GBmd97E+v8Anj8K6vaniK0Rn2+cowcEBl/+tXRB/VKcKk9nv+hjJ+3qShHp&#10;scZucj7ldXGW0rwZdrNAVeeM4yP4m4H9KsQaDDp7G5mwyx85lICj3rJ1rWX1GSKRj/oMD5UdDO/T&#10;5R6Dnn8fSjE4+nXtSpO99y6GGnSvOa2Mi5cpeKhTbsVMj/gIP9a3/FirdX1qohmJWMnESZJ5+orn&#10;7Y3N9qibgGlmly2OmSe3t/hXVm+mn8YrFGgJhhKkdt2CT/MVpVlyRgvVhStJyM97y31a1sbBbe9/&#10;0XDSbFUM6gYP8VXNLNnFpWrR20NwqYY4nHzA7elQ6dNMni64DShm3SZi3tx17dKk0m8uJYNcLjez&#10;SSZJ5x1AH5AVxzqdV1VzpSs7NHKWtzDa3SzNB5zJ8yI3Td2z7f4Vv39np9xosWs3QupbuQAPskCg&#10;844BBwPaudikXf8AvVfbj+BQf5kVs3Gv2s2gx6X9muRsIPmbV5wc9N1duIfuxktzlp25ncv6U+nt&#10;4P1JRBOsZD5VpAzfc7HAH6Vi295ocNpLBJpdxI7nIkMw3L6Y4rb0V4T4Uvo1jkKMJAzMgBHyegJ/&#10;nWJp15otu0zX1nc3IdNqgIq7ff73WsFOPtZJvY2d1FNLcZ4eWE6/Zh8FS54POeDXUhLX7dKkd15E&#10;LXDpNAsa4dNucj5c+1cxoktv/wAJNa+RE/k+b8gkA3YweuOK6SOeAX3iHcJcbc/d+58rdOf8KMXN&#10;Llt2Hh03e5FrL2cPhSBobddvnFAlwnIGW/u4weO1Ta9Munabpl5AkLSRYUeYrFVynbn275qrqMlt&#10;c+ErCO0imdWuMK0o+YkluuCfWtDUJbbVJ7/SUiBMdsu3PQSA5/kV/M1ze0XLq+prKOpwlzItzcPM&#10;VgjLnJWJSq/lk12HhbR4dPsJdWuEZ5mjPkxKOduOw9T2rk7eWCxvD9psvMeLjymJA3f7XtXU2OqP&#10;d+G9UmuCTMN2zbwqDaMADtXXiZRjS90ypKXNdlXw7PNeeKnlvpGWUxt8pJ+QdlA7CsXXVT/hIdQA&#10;fgTv39zXVWuuaZq3iGyeG1kSVIXErsAMnjgeo61gTQQXvjSWEj9290d30zk/pUUqkeddNC5wbRi7&#10;F/vfrSEJj7/61NdtEb664IHnN1+tQYjPQV2qXMk0c/JqJtH9/wDWkI5+9T9sdRsE55p6hZCkHs9J&#10;hj/GKbhPWlAT1qW2tyrIQjHcUc/3qCEH8VKIwx4PFJO4huD/AHqURu3SphDGO9LtXH3qahcXMiLy&#10;H6nn8acEcDjilwP79G0DPzU+VISlcQrJTdr+1O2n+9SEH+/SegxuH9qU78UYP96kw3/PQVBfKJ85&#10;HIz+NHzntSkMP4qTD+tS0gURMseqg0fN/dpfm9aT5/WpKURDn+7SfNj7pP50pD96QbgOo/Si4con&#10;I/hApDnuDTst1z+VG5/Q/kalpFcjGY/2T+tGP9j9KUl/SjL/AORS90fKdMJ3x/qqFmfPMPFAa4/u&#10;Cnh5/wDnmK9ux8cHnH/nhS+f/wBMKcJJgP8AVijzZv8AnnSsTr2G+eO8NOE64/1X6UedN/zzpfPl&#10;/wCedFgtLsxvnx/88v0pPMj/AOeR/KpPOk/55UefJ/zyoaD3l3IxLF3i/Sl82H/nl+lO89u8NJ5x&#10;/wCeJpWDXzG+ZCf+WZH4Um+3z9w0/wA71hoEy/8APKmUr+Y3db/3T+VIWg/u08zL/wA8v0pPMQjH&#10;l00kF35jMwehpCYM9DT96f8APM/lSGVB/wAs/wBKLC18xv8Ao9AaNDujYo4+62M4NL5sf/PP9KXz&#10;Iv7hoaTVmVFtNS1IsBnMk0xlkbGWK4pxWBv4qUvEP4GH4Um+H+7U0qUKcVCK0NKtadSfPJu4rPJ5&#10;YhW9eOADGxODj0z/AIUwRQBQoYYAxS7oPSjMHoaVLDUqcnOKs2aVMVVqRUZPRCSPLLEsBulECsGC&#10;7Mn88+vtSbZCjRjUHCN1XC4P14oP2f8AumkxB6GpeCou91vuX9drWST28hY0miYtHqDISMZVU/wp&#10;DG74828MgXoCFGPyApMW9Ji396awtNT50tQ+t1XHkb09CWea5uFSJ7kCKP7uwlW6YGSDUXkn/n6l&#10;/wC/rf40oFv6n86aRb+uKKeFp023HrqaSxVSdrvbyHLEyMri5lJU5GZD/jUlxPdXs6y3MqblXaoQ&#10;moNlvn71BSD+9j8aUsNBzjU6occTNRcL6PyLUOpXtvcebjeRGIkAfovXNOutWvry2a3ZSiMRuO/P&#10;AOapGOIn75/Ogxxf3zXHVyqlUnzts7aWaTpw5EkKyP2lJpjQs33pKDHH03mgRRn+M16DhFx5ZK6O&#10;NTafMmJ5LFgxlZmHQuxbH50pidnLtJuY8bmOTj/Cjyk/56H86Ty0/wCehrJYejF3jFI29vUkrORL&#10;by3FlMJ7dl80AhWYZ25HXHrVdBdRu8izyiRs7pFchjnrkj1qTYP+ep/Ok2f9NT+dEqMZS5mOFZxX&#10;KmRbJkHBJPXJOc/XPWtSLxBeW2nGzhs4FLAhpFAUHPGdoHXFZ5iLD/Wn86iaNx/y1NYVcHTqRUWr&#10;W7HRTxMovfcZtkxS4k/u0Yb/AJ6UZkHHm1vy8qsiHqatjr0+naVPYJaeYJd3z7sYyMVkFZD/AAmn&#10;Zk/56A0uX/visIUIxqOp1Zq6knBQ7EumXT6dqUN35Bk8ok7QevFXn8RXIudRmisl/wBNGCH52jBH&#10;49ay90n94UeZIP4lqK+GjVkpMdOvKCskby+LHjsLW3XS13QHeCPlXfzg4/HNZmm6zcafqZvmhaeR&#10;93mAnG7P/wBfFU2kk7Fab5kue1ZQwNOLb7mjrzlrYmv9Qn1O9e6uI1EjdkQKAP6/jWjZ67FZ6Dda&#10;ebR3km3YcdBkYrHMsoORto+0TZ5C4q54WLpeyvoVGtJS5rFzStUOlalHdC380LkFScZBGK6L/hOL&#10;ATmcaABL/fGzcfxxmuQM8meAopvmSf3RWVXBwqWu7MpV2uhb1XUhqmpS3f2RbcNgCNTnoOpPrVMO&#10;o6pS7pP7lG58cpW0KXs4qKZDqczuKZE/uVEWTJ+U1IXf+5SKssh4j/Gq1JuR7l/umnoA5+4cVYRR&#10;HklMtT/tDYwY1puF9xSqdiHZCoHJz7imkx56k/hUrTv/AM8xj6Uwy5/5Z/pVKMUSm2NPl9RTfk9f&#10;0p5kH9yoy/GPLpNIpATH1BpuY+5NKXB42YpC6/3TUtFJgfLB+9SEJ/eP40b1H8NN3r2WpaQ7ilU9&#10;aTauOGo3DPII/CjcvpU2RakG0f3qMKf4/wBaTcvcGkyp7GoaRakOwB/F+tGAf46blPT9aU7Pep0H&#10;cQrz94UFT2b9ab8me9GE9aAUhcN3b+dJs9T+lNIT0NJiP0NTZFcw/wAv0P6Uvl+9RYTHek+T1o5U&#10;HOzqx9o/vCngXB7ipLLS7u+Z1hlXKjPzHFX9M0hp3uUmmG6Fgnyt35z/ACr2JzjHdnyEKM6mkUZo&#10;FwO4o/0jtileKUTyIrcJIyDnPRiP6Vs2mhyvaiSeQI7dFJxj0zUupGMeZvQI0akpumo6oxh9p9qc&#10;DcZ6CtX/AIR6+UDN1bg/U/4VFDo15PPNElzFmEgMSTg5GeOKSrQ/mG8NXT1gUM3H90UFp8fdBrVP&#10;h3UR1uYP1/wrNuoLm0uHgeRGZMZK9OQD/WqjUhJ2TJnRqwXNKFkRh7j+4KbLcPBE0soVEXqx6CmP&#10;O0bBXliViMgMwHFUYbJ/Ec9y80wXS7HmQ5GJH/u+/wD9cVFatGlG7Lw2HlXny20LEGom9LfZpomC&#10;9Qp3fng1NDdvNEsipwapafYW/wDwllpDa6eBOYpC8UJEaldpwTj0IosL2FjJbQr5OJSEjeYOx7nH&#10;45rnji17RU5bs7KuB/cupBaL7zR8+QD7gpDNJ18ukPnY6CkJn9K7jy/l+I7z5P8AnlSGZz1jpm6f&#10;+7S7pv7oqtCri+a3/PKjzT/zypN83QqKN839wflRYfyEM57RU0yk/wDLKr9pp97fIWiVdoOPmOKs&#10;f2FqPYRf99VLqQi7ORpGlUkrxizIEo6GP9KPNX/nl+la39h6l/cjP/AqQ6JqWP8AVIfxp+2p/wAy&#10;K9jW/kZkGRO8f6Unmxg/c/Srd5BcWLqk8IBYZGKfBYXt1EJYrYFD0ORVc0bXugUZp25XczzJEf4D&#10;+VG+HH3T+Vav9k6j/wA+o/76FWpdAlSMtGwdgOE2Yyfrms3Vprdo0jSrPaLOeLw/3f0o3wf3a1Dp&#10;Ood7Mf8AfQqtd29xZBPtFsF35xyD0queHRhy1FvFlXdBj7tJuh9KPNX/AJ5UIweRU2YyQOlU7Arv&#10;uMzDn7tG6H+7WxqWkLp9k1wZA4DKuNmOpx61j+bH/cAqFKMtmbOEl8SYfuPSk/cY60hkTsn6Uhlj&#10;z9w/lT0AcPJ7E0hER/vUsWyaZIgu0uwUEjpk1oappB0qCOR5Fl3tsARTnoT/AEqJSinqzWEZPYzs&#10;ReppCI8dab5kX90/lSF4j/DTVhjisY/io2x/3v1p9rEt5dxW8S4aRsZPQe9aGp6HJpdr9okeN03B&#10;fkzxn6ilKUYuzZSi3sZRjjPemG3Qj5XpQyseEJx1xWlpmjSaqkrwOiCNgDvJH9KTtuylcyjFj+Kl&#10;8kn+IVLIsccrxsSSjFTg+lT2WmSalK0VujbwMnccfzqLK1zTmZSMJ/vD86QxMM8g/jVm9017G4ME&#10;5bzAobCnNRJYyyRhkguWQ9GVCQal2Gm2RGJscGmmKT1q2mm3UrBEt7on/rmaq7UMmwM5bOMDnmlu&#10;VeSE8uX2pDFIB1qb7FP/AM8bn/v2aDZz4/1Vx/37NJspORB5TnvS4de+KkNpMB/q5v8Avg1E1vKO&#10;SsgHqVIqdB69Qy396lUTPwnJp6Wq9ZJMewqUbVIVJDknHA61Si2TKcVsIkEi8uefSnky9AcVI1hf&#10;Z/1Fx/36am/Yb7/njcf9+m/wqtEZ6siKy0wrKKklguYVBkWRB6shAqBi4H36TaNFccRIBTf3vpTS&#10;Sesn6UmWHHmcVnzFK4ZkB+7S5kz92mEsP4x+VKS2PvClzFpCl2HVRTNzf3adFHLNMkaYLuwVR6k9&#10;KvX+h6ppkImvLZooy20MSDz1xx9DUtrqXGFzP3se1JuPdas2mnX1+XFpBJMUALbFJxUNza3NrO0M&#10;6NHKvVWXBFTdFcpHk/3f1o3U35u7D86uWelalqMbSWlrLOinBKLnBqbhZlQtj+H9KTf/ALNI+9JG&#10;RwVdSQQR0I7VYtLC9v8Ad9ltpZtn3vLQnH14qXbqPlZX3f7FJuH90fpT5Y5LeZ4ZkZJEO1lYYKn0&#10;NMLYxzUvlGIWH90fpSbh6D9KsfY7swGcWs/lAbi/lnbj1zioE8yRtqAscZwuSaWg+VjSRjp/KkyP&#10;T+VOctG2HDKR1B4NJ5ntn8aWgWY3I/ziineYP7v60bx/d/UUe73HZ9j07T9IWy1GREutyum5fUc1&#10;FpFoTc6picjE5/8AQmriNO8WXNtdXEieH7+VmJwqs3HJP92pNM8YTxTXhl0m9i8yQsdkJlK8k8/d&#10;9acq6lq30OaGH5ElBaXNgwMLmUeb/wAt35/4Ga1Lexs7+/jY6leXE0Z3qJYmCgj6gAVyH/CXq5kj&#10;Oluoc8t9jYtnOScFzjPp+FWm8c6Vta2tJ7ixdvlkkaLywMf7K5P5mnPEQlCK7GVPDVIVpzezOv1v&#10;TLSaOGS/uHEaEhQsZfk45xg46VHo8VjaJOba/iFuNoy7BMMc8YOK4qHxPoCXJ+0n7cpAJeXOfwzx&#10;+FW7bxX4biFy1p5MUZIXyp1IJAHbAPc/pWPPa60OnlUmp66FXUfE39iOb2waKaRnYEyK+GGT0IrG&#10;k+Ic1zcSTTWSh3I4SQ46Ad/pTvGviK21ywghtQm6OUsSmcHj3AriRvU4UEE8ZrKVecJ3iX7CFSDj&#10;U1TNbX9Z/ta6juPK8lkj2EBy3fr+tZCyOrbg7A+oNX9V06HTUtVS8huJZYvMlEThhGSfukjvjFGh&#10;6Ld67qUdlaRlmPzMeyqOpNYTqTnK73N4QjTjyxVkhItVu1nSQ3c6AYBKOc8DH+P511HhnVGt9XtZ&#10;Vt7mS2kZlYC3LkjHODn/APVWPrXhDVtLuJ3/ALOuRZx/8tthK49Saki0jxLoNv8A2iLK5t7cAEyk&#10;cYPT8KNVNcwtJR909NuzDJKptCwGDvDKRtPbqPrVfbP03CsnQdXi1m2H7zZcqPnTPX3HtWx5LdC/&#10;619Jh2pQve58ji48tVpxURuyf1FG2f1FSR2+ZUBfgsB1ra1PR4LTT3mjzuDKB8x7kD+tVUqwp25u&#10;pNDDzr35LaGAUn9RSbZ/UU/ynP8Ay0P50eQ5/wCWn61pdGLVtHY3/Dq3H2WT/f8A6VBe2+orELiO&#10;+usvcGMqsnC/MRwPyFWvDsMgtpQJv4v6VLpaSXIu4Hmz5Vyxx/wPI/UGvKxKvVbPpMDL/Zo67lKe&#10;yv4zdIup3paGESAGQc53cdPb9am0+K/h+xzSXdxKZgfkdhjoT/SobG7lm8RXI80eXKxjB/3eP6Gr&#10;JMw8RWtos3yQQNkZ6E9P0X9azcbaW3N/aXbtLYzvEpuDeQ7l/wCWf9TVfT0125hP2K4kSJDt2jZx&#10;37irXidJvtUB8zOUP86t+FluPsdxh+PMH8q64W+qttHDVb+uqK6liG11U2AEt1cC5CnOCuM9u1Z8&#10;UHiczx+ZczCPcN2BHwPyq5ZQazcXNxPcXskduruqDCjgMQP4emBVTT9UurrUZ4TqMggJ2wsQnzY7&#10;/d79vwrijFXfu3PRlLRXkXNSj1sKgsJZixJLE7OB+IrmtRfVRcrHqUjySIpKqQvAP+6P9mupgXW4&#10;NX8ua5aW1dSUJVfyJABzWJ4m+0f2024r/qk/m1a4dLnV0ZYltU5NPYm0LTo761lea3LsHwDkjsKX&#10;ztCjn27HEivjhJCMg49PWr/hX7R9guMbceYf5CuVYTfbnyAD5zf+hGumbqSruCdkckOSNBVHG7O3&#10;1aSE6e39oRYtg6k4BznPHTnrWTaWui38rR20MjOo3EYdePxFXfFP2g+H5ScY82P/ANDFZPhLzxqM&#10;+0Lnyv6isKUZKMnF2sdVRwcoqS3MzWolstUeCGAqgUEZ57VoeFYYrqe4We0SUBRgMucdag8T+edd&#10;k3L/AAr/ACFa3hK3vbd5ppISscirsY9D16V1RqN0OaT1OWVKKr8q2HSajo1pqItDpWJldQGEIwCc&#10;Y5/EVf1e/sreCNr+z8xC+FGzPzYP9M1hahp+pyeInuI7ORo/NQ7wpI42/wCFaviq21C8sIFgtmmI&#10;nDFUGcDawz+tcElflbe53xaTkkggj0q901rqDTIwhDAbo8HIrgd+B9w8+1ehaFFfwaAIZbUo+X+V&#10;uvNcNNDd2rhJ4GikwDtYYrqoO1RxbuctdL2alax03h6xj0u3k1K+QIdvy7xjYvr9au2eu2Ovwz2c&#10;1use/IVTwXXsR7+1T6fdyanoBub62ilVNzldmR8pOOD3qvo+oadql3sttLWN0G4OUTjntgmuepNy&#10;qNy6HVSSjTXL1Kfh2yfS9cu4pYyUMOUfHDDIrQ0SSL7brJMfW69PrTdO1S8uvE19BKiMlujKm1cE&#10;DcvH6VLokj/2hrIERz9pGfyNKdWU/i7BCnGO3c4OeZItTnfYTtnYgY6/Ma7W71u7tNJiv/sNpJHI&#10;qnasrDGfwrlftQt9fklltvNVJ3JjwPm+Y8c119hrYv5VsW0WSKEj+NRtGOemK0q/womdKP72RHHr&#10;t0+iPqLWNskYUnb5zZODj+73xTrS9+x+DIbmGJZZkiyqsCQTmpNU1mHT5BZHSJJ4igbCKNnXpj8K&#10;fHqgtfC32+O0ACBmWI8Y+Y8e1c3Q6bdznH8Xas6lRYWye4ickfmawtKSMa5YsWP/AB8IWH416Ld6&#10;5JbaBHqQtFd3jRvLzxlsd8e9cJp7GTXbWaSIKWuQ5Uc4y2cV00FF3sjnqtq12d3reprplvFJBDHK&#10;0syx/vGKhc55yAfSqOqa3qGlQRzSadaSo7bPknfg9ecrR4zkU6RH+6P+vGOP9lqksLq38QaCbWVc&#10;yqmx+Bww6N+lZcra5uhrz+9yrcoWHiu61C8S2j0y2Vnzy07YH/jtVvFd/N5UdjcQ2yMT5mYpWbA5&#10;AyCo/wAitHw7pS6TDc3V9HtcEgMTwqjqfxrktY1CLVNVmuwuEbCouMYUdPz6/jV8q9olDUjnlyNz&#10;RoeF9Wisbo2zwCT7TIqhy2NnbpjnrXSeJtRg0yzVVgSV7gMq8gBTjr0964jSpIxq9n+7z++T+Yrp&#10;/HbxeTp5VOd7dvatMRf2i13IoW5XoT2Wpa5PfQR3GnQRwOw3yAHhfXrV/XLu9sxANMtBdMxJcsCQ&#10;Bxjof84qHxBqsun6dbPZeWsskqoTIm4YIPv7VWvr/V9LksjNdWksc9ysLBLYqcHrzurmla+h0R2u&#10;c/4g1PUrm3it9Rs4rVS29SAQTjjufepvAqxnXJAZACYT/MVa+InledppUEfJJn/x2qPgIxf28+4Z&#10;HkN/MVpCVouxMk7o3Nd8UjRdSNolmtyAgbf5u3r2xg1m/wDCwG/6BEf/AIEf/Y1sazqHhS31Epql&#10;tuuCgOfLJ47VQ/tfwHj/AI9R/wB+DWCm+pryo3tCvU1vSlvXjSAs7Js3BunvgV5RcY+0zDd0cgV6&#10;1otxotzpwk0tNtvvI27CMHjPFeSXSr9tuNv3RKwH51VNu4pRVrnd6XdSXdjDPa+HIJVTCiTzUUlh&#10;1PIzXQxRy6hpzNfWSRyKSRbs6ybsDg56eorK8FrA/hZlZmXLuCV6j6Ut7NJa6M9npNtqF1cMCPPn&#10;blc98nnPoBUzk7jSVjSs4TBp0lzHp6W9wVJNshUFyOgyOKxryWcLPeXXhZHCKXkkZ4ycAdfyFSaL&#10;PdR6a1rq9tfiXnEyHcSD7jkEVeuo7dPCWoIJrp8W0uDcHL9D1pXfVjseWLMn9pi68lfL83f5XYDO&#10;dv8ASvU/DGpRatazy29stoI3wUGOeM54ryaNA+0KCSR0FeifD+JEsbwT70O8YyCO1W42VxJl2ZZx&#10;cSbfDCSfMf3mYvm5681oaQkrmUNpi6eeOmw7/wDvn0rHuJ/Dq3Eok17V0cOdyo8uAc9B8vStLQ20&#10;iVpfsWp3t0Rjd9pZ/l69NwFZXdyjkPF2r2kst5p0dhGl0k2GuAq5bB55681ytrazXl5DbQqWklcI&#10;oHvWl4kiP/CSakVDFPtDYbHatbwXc6LZzs127f2hJMkUAAJwG4J9ByapCZ1utRrZ6NbaS8+xLlo7&#10;XKkZ28Anp6fzrAl0FPCOuaVd21y5inmMMjykYXPHXHTBJ/CpviGqpHYukhJV3IOeh4q9rsEWveBo&#10;7qGTe4RbgAeoGGH/AKFSuCZm+JNEj1jxbpyrcoy3MZ81oWBI2/8A1iB+FYHi3QLfw/eQW9vPLKXj&#10;Lt5mOBnA6D6/lWr8PNMEl7d3x+UQKI0I9T1/QfrWN4wvVvfE9yySb44gIlP+71/XNTa7Kua2m/D8&#10;6jpltejVFjE8YfZ5WcZ/GrP/AArI/wDQYX/v1/8AXqho/gibV9Jt79NQjjWUEhCpJXBI/pV7/hW1&#10;x/0FIv8Avg/40couZHGWXjDT7QtJNPqckjj5vKMcYznJ6A1VTxrZwNcFdNuJ/McsDNevwM9wuAai&#10;8N2ek3Wj3DXih5ASXOcMigdR+tXvh/qXh3T5tUj1iKMyOmIXkTeNvO5cep4+tRNz5VN7Myg4c8oK&#10;+hh/8JIGkPk6XahnYkDazHk5xyaYviC8mk8mC0tPMdhgC2R2J7dQak0nVNOtPFM0/kLHZyu4iB58&#10;pSeP04qxJr9rp3jRNVtrVJYY25Tpv4wT9fQ0rydPmuivd9ry2e17mdealq8dw1tdN5cqnaU8lVI/&#10;IVSkt7mABnV13sy8DuDyPrW34q12y1HWo7rS4Gjhjw4Mg5ZidxyPqcfhWRf6gL4uYrfyd0jSFVbP&#10;XH8uaxfqbJt9C3q3h3UdGs7e5upEMcuMhJMlGIJwffArOhFm1tO0skonGPKVQCp9cmrDz6tqcCws&#10;k80SncFWMkbsYzx7CiHRdTaNkFhLuYj5mG3H5/h+VPcNEUba3e7l8uMjzDwqd3OcYHvXrmiaG3hS&#10;ygRZYlvZ4t9w23dg84Uc9B/OqPgrS7DRhbXeowobpHZy23cUyMADH+ea7GfUfD104klM7MFwP3Ug&#10;/pXTSocslKotDknXVSMo0n7yM2a9uJ4JIZp4XjkUqytFwQR9aoQRaloegSWs8T6rpMkREbQkGWAc&#10;jDKeq1t/aPDOORP/AN+5P8Kdfazpf9mSWlkkrM6bFBjZQue5JrrrRoyX7tanLh5YmMr1pLlPI7+O&#10;3sLoXukXWFLf6ro8Z9MHqK7DQ9XttYtslilwg/eIf5j2q3PZ6fdrtnijce68j8e1cFfKmieJgYDJ&#10;9nR1JwecHBIzVctTCWn9l9DGU6WOTpr4lsz0cJEpyJDkUrkyLtkvLhlyDtaViOPxqJZLeRFkRsqw&#10;BB55FH7j1r1HTjUSbR4sK1SjJqLsP8uP/noaNkf/AD0NM/cdmo/c/wB79a05bE8/n+B0vh2JDBL+&#10;8P3h39qYpt9IWSeR2eS5uHVVXrtDnJ/Dr+VQaNeabaQyC6uo4SzcbnxnisadoZr2eVZjIhdvLbdx&#10;t3HGP515dSnKddwXU9qhVhTwcZy6M6H+zrS0vJL7zx9nijEqhffI4/I/nUttBDeXdrqUb7HlBSRC&#10;eQdp6/QD+VcuwVgqmZ9g/gzxxnH8zWvpH9mQhZrnUlhkDEiNpAAeMZ5+ppzpVILml02FSxFKpPlg&#10;tZasf4mtsXVviY/cP86seGIG+yXH74/6wd/asrWLq2vr8G3lLwxqFV+xPOce3StHw9JZxW06z3Uc&#10;RLgje4XP504X+qNFVJL6/Gxb0lrm5vL6Ga43RRyMqJjtuYfj0qpp1/Nf6j9na3hSPcw3AnIA6dsd&#10;qzFvzZ3l21pJG4eZ/mYbgRvbpgipP7dvB0NsPpGf/iqxjRkrOKexvPEQu4Sa0ZuGS7/4SUWhuP8A&#10;RxEHC9wfrWJ4mhkGtt+8z+6Xn8Wq7pQsAx1C81aFbyQncjuqYHToT6AVl6zNb3+rSSwT7oVVUVx0&#10;bGSSPbnFVRjarFdSq9Tnozl06F3Q9UttNtZUup5FLvkBY2bjA9Aal+1eHHk3YkLs2c+VJ1P4Vz5t&#10;0/57mhbVTIv+k9DnpXXVw0pTc4uxwUsZCMPZyjc7zU0gTTXa/cm2DKW4J5yMdOeuKyLfVNCsnZ7e&#10;R0ZhgkQyEn8xVvxHCraDMEuATvjPX/bFcYbVv+ewP0NcdGjOo5JOx6FetTp8raLGo3T6jfyXXzIG&#10;OEDcHaOBn34q5D4h1O1t44Y5IdiLgbkJOPzrJ+zsB/rB+JroLTTNGtLSG5v9RjaRk3eUWGf++Rya&#10;6506cKSjPY5KdWdWs5Q3NLQ7vWtUkMkrwLbL3CEFj7c1suLl4plt54vOT5eeQGxnB/OuTv8AxFI6&#10;C30xDDHjBmcAED/ZXt9T+VZVhdXmnTGWC4JLHLhznd35/wAa4fYSqawWh3LERppKo9TTuPEmuWk7&#10;QTJbpIhwQUP/AMVWPfXt3qN2bm4MfmbQg2DAwM+/vXSm80rWkEd+wtpccMx4H0f/ABxWDq2lJY33&#10;k294J4ygcOMHgkjGQfb9a3oRpqSTTUjOtKcotppxOn0MXB8Iy4I27ZB+prO8PXGm6XapdS38SXLp&#10;h42flRn061Y8P3dtHpD2VxfxQksceYwUEH0J49aitvD+lW1xHN/b9sfLYMAZU5x+NZVHapO7tc1p&#10;pSpRtqN8M3Mt74l1G5gyElUsuRzjcMfpWpoguBqetLxn7Quc/Q1zviG7t7zVUW2uldFQIZIWwucn&#10;oR17V02k6THottcZ1SJ1chizMBgD1JNRNLlUr9Bxfv8AL1ucPdmaPWLiQJllnY+2Qxru7W41c/Y5&#10;bk2nl3PRUVtwO0t3PtXDpcQza2ZZ5c2bTMzMM8rknpXXadNLrd3HfpcrDa2rMkcL9WJH3j6den+N&#10;XWa9lFE0r+1lc0LqbVvNlW1W12RoG/e7sknPofas1jOfh8xYD/VnJH1qjqHiE6f4lYxyieARiOYK&#10;wIyCTx7jP86l8SX0Vhon9l28yF5udgP3EJyc+melc8U+X1OmUlcn1R5R4HhO0bRDF/Na5KwuJDq1&#10;lhf+Wyfzrq9REjeAoj5i48iLIz7rXE28ssFzDMCD5bhsZ9K7cO3eSOKvFNRuegeK4rq70yKCGMGS&#10;S4VVB9SGqrp2mf8ACMKb7U7xUZl27Q2FPt6satz6ppup2cZ/teC2dWEibpFR0Yex+tYsmi6PNMZp&#10;vEsMsp6vJcqx/M1yqbScTpcU7SRqHVLDxNZyWKyzQM5wqt8hf6eo9q5PWdBvNF2tNtaJzhXX19x2&#10;rYOhaKRx4htf+/6VBq9rbxaMwj8QJeGJlMcJnRzyccd+hq4TjB3ixSi5LVGTokNxLqts0Vu8gSZC&#10;xVSQBkdfSuz8WWF3qcNqtvCG8olnOeAMVy2h+JJdEhuEW0jnaUggmXbjGfY561bPirWdXnisofIt&#10;TOwj3LyeeOpJ/lVV3KUlZbCpWSdzc8TJJc6dp8aQsWa5TaMdflNTeJ0kmg091hJWK+jdvYcj+ZFV&#10;LaxtPCifbL+8WWcDCgtkj/dXOSff+VR2fjSK9mmt7+3WCCQ4jYnIA9G9Pr/+usHe+hrbSxW+IIZn&#10;0z93gBJOo/3az/AuU8QNlAf3DfzFSeIPD7WFut9b3XnW7MFVWfcVz6HPIpPBcz/8JAMbeYW6nHpW&#10;1OK5HqZTk1JaG5r1r4fub5X1SQRXBjAAMgXK5OO31rL/ALN8G/8AP2v/AH/H+FbGt+HJ9Zv1uhdx&#10;wgRhNpAboSc9ff8ASs3/AIQWZv8AmIxfjGP8axgk1rJI0cmnojf0FNMttOEWmETW/mE7g275uMjN&#10;eUXhAv7r5cfvm6/WvVdLtB4c0Z4554mjR2kZ+FAzj39q8tumWe4ml2lRI5b6ZOaqmryY3L3dTvPD&#10;N42l6GLS50nUWdmLbo4Mgg9Oc1btktbm4WEQa/Fuz88sjqo/HNZ1rbeM5oo8XiwoVBUuI+mOP4TW&#10;xBc3Gg25n1rV0nLDhSirj6ADLGsqm5Sdxl3bWtmUDDWpi2f9RK74+vPFVNU1QnRJrCx0fVHkmjMf&#10;mTxE4B4JJJJJq/B4gg122MVleGyuT93cq7vybg/hWXc2/jaByIr6K4QdCI0U/kV/rU2GcNp9xPo+&#10;rwzLb5uYCR5UgPXGMEda9O0O91O9Uz6nZwW8WPkVQd598E8CvORf3+leJGvriBXvYpGZw4GNx9hX&#10;Wpb+LdRa31FL+CMOgeOMDCqCO42nPXvmrlqhLc2U1O6vb24itLRIYYSAJLqNh5h5zt6cVNpmoi6e&#10;aC6tHhnicqXEZEbjPBUmm6Mmtw+f/assE+ceV5ahcdc5+Ue1UNQtvFc1zOLW9tY7VyQi7AGUH329&#10;fes7Mu5keJ9Y1SzhuLO5023MMylFuI92Of5H2rkNGKjXtOz0+0x5/wC+hXWate+IdB0RrfUpLa7t&#10;7kNArnl1JB74H65rkNJcLrenuRnFzGcf8CFXG4mdv8RzEbay2DB8x/5Cq3gHWYFkl0i75DgvCT0z&#10;3X+v51p+N7eXVDp1pbxgSyzMq54HT1qK2bRfA1sTLi61F1wwGNx9gP4R70lYkvajNpvhLw9OLRQs&#10;khYRDJyXbv8AQf0rykAkZYkk9Se9ehab4003WbeWw1yyih8wkK/8GO2fQj1/lXOeI/Dv9hus8Uom&#10;s5TiNs8g4zg/4042bG9jHtrieOaJFnkSMOMqGIHWvdl+zbRnPSvN9F0Tw3c6Ta3V5qCx3RXdIhuE&#10;XBB9Dz6V2w8SaGBj+0LT/v6v+NOVk9CbHhMHg6ZWObwICMHYpP8AhVqPwXZZzLd3DH/ZUD/Gu5hu&#10;CZUWSANH5BLZHpnn9OtR2zkW1zIIyHXaAfQE8n+X511rAUVo7ux40sfiJW5dLnKxeENGTBf7XJ7F&#10;xj9BVyPw7ocYGLIt/vMx/rXRNKDqFsxgCsVVnGOCalM0bW1xJ9nA8xFkXH8IyP8AEj8K0WGw8be6&#10;YvE4qd7SMH+zdNiibydOti4X5d8YIz71g6Ro2p2GqyXRFqkUrfOgBOFznAGOK7DzsjiP9KTzfWM/&#10;lWlTBwm1bSxhSzGtTTTTdxgmjC4Cfhil85O0ZH4U4SJg5XB7DHWk8xQf9VXQoxWlkcjnUeruN8xM&#10;/dP5UvmRd1P5U7zl/wCeePwqxC6+RM6x5ZQMcdATyf8APrTbRMVJu2pV8yL+7Sb4v7n6VLJNv2kw&#10;gYAAwOTz1qe6n3mVPKAw4wBGBgc9x+FF4prQ0UJO9mypvg/uGuA8QxRTeKvLIOyQoCPqBXpdq0Ek&#10;axPCN7PlHOOoxx9Dn+Veca/KF8YCUjGHQ4x9K4sxknSt5np5RBqtzPZpnTeH5I30G03KSQmCfxNa&#10;ReD+4aoeHptvhy0TyxwCc7eeSa3ppVNmxEKtgRjhACvHJzjnNdVGfLSicuIoueInYz98H939KN0P&#10;p/OrVpJb+dumhBjHBB468f1z+FRptiu1RouVfByPet3Jc3Kc/I7XICYCclTQGgH8Jqa5dFuJf3eF&#10;DkdOByag85Oy1UbPUJOUfd1Hbof7ppC9v3WprKSNr63V4QymQAgjqKiMsZO7yxnr0FJtXs0ON+Xm&#10;1EL2/pTT9mPJ/lWjeC1a3lligCfOqMoAypGenseP1pLI2UkcUTwLv80sGI+8Btyp/DNZKceW9tDf&#10;2U1Nau5QAt8daP8AR/7xqW0MLGdzGGZImZeB147dO+addNb+Xbv5e13T5sKB0JGce+P0qlNbJD5J&#10;O7bKxW2Jpf3AHU/nVi7e2EfmJEAJgpUYHGPvfrj86baTQ7JUMKnbEzAlATn1yanmi7tLYajLRNkH&#10;+j/3qCtv2fmmPLE8pcRhctnAHFTaj5KajOsce1Ff5VAxgVXOtNNx+z0vcg8m1Bz8uc5zTs2/9/NX&#10;7iO0SW7thCNkUQeOQDnIAJye+c/yqKwSzms5kkT9+WURNjvgnB+uMVClFapGzhOVrsqFrfP36j/0&#10;UHIbB9cU+88kX1woj2qsjALjoM1CfKI+7+lWmpIi0ovRkheD++aaXi7MfxNW3+yLYAtbKJZcCMD+&#10;FR1c+5P9aSBLOK0glMIkMk5Vyw4CgDj8c/pU+1S6GkaTb3KRZf73FRLhCQpVQfQVprDYwa9LBJGZ&#10;beMyDaTgkAH0+lQahb2ls8SxLuRk3q+OWBLYz74A/Wpc4trQ0jCSTRTch/vSZ/GmiKL1FO/ck/dP&#10;5Vp2sFj/AGV5kixK/wBoVN8gYgAg+n0qZ8u7RUObZMzAqAY3YphtoDzhM/StC0jsprm6kaI+XGjy&#10;JGCSOOg9cf4U29itRb2dxEoUyo29R6hiM/jx+tZvlejRooyXvXKe0H+P9aa9urnL7Wx64rRvrezi&#10;ub1Yo8BfL2cnjIGasabYafd2sYdT9pM528nDqNuV+uCT+FNuNtVoNc19zGEYVcKRj0FAjJZmJO5j&#10;kknrVy0jtGmn8yMMFikZVJIGQCR0NO1CCyjW1kgRo/Pi3MmSQCGIOM844qW46Kw1zb3M8w5bPyk+&#10;tKYmHOa0bywt4LC0nRmy+Vlz2bG4foR+Rotl09rWZ5LVHaFVJJkfLEtg9DxwfTtTTitUh6sy/JJP&#10;Wl8g+9XNPitZ9Ut4pFJiklVCpJ4UnHUY9aLWzgu9Tjtt2xZJQmR2GaHy9UNNlMw/7IoEJHYVpTW9&#10;lLYTXMaeU0U4i2jJypBIznuMfrVm20uyurCKZWJmSKR5oycZA3bWH0IGfqKhuHYr3u5i7H9DSr5q&#10;OGQsrKcgg4INN2p2bFWLOK1e9hW7lKwFsOy9hVWRKbuVzG+8ueWPJY8k0bHq/qVnHbLFtjVA2795&#10;HJvRxxjBz+YpZI9OFhHMsDBnd0/1hJGFXB9OprNcqV0X717FAGVUKBiqk5IB4J+lMK5GDitC2t7R&#10;bSOadTIZbjygNxG1QASfryP1pzafbWuvy2V1Ixt4mcF0IyQASD+lJcq0K1Zl+T/sr+VJ5WP4V/Kr&#10;2qWC2EkcYfdlNxYHIYbiAR7EAGrWp6daWgl8kkbRFtPmgkll3HK+lRyw7DvIyPL46ClwxGOKQpn+&#10;I1Ys7eOb7V5hOY4C6845BFXZLoJtsfJqeqSxrG9/dFFGAomYAD86qkOSWYgt6k5JqMR8/e+lX9R0&#10;z7Els6yFlljyxx0cHDD8OKjkje47y2KTbyecZq1BqWpW2PIvbiMDoFlYD8s1ObC2Okpfh2J5idMj&#10;Pmfw/hjJ/A1X06zju7topXbaIZHBU91QsP5U3yy3Q05IilnnnmaWaQySOcszHkmjzp1ACuwA7bqW&#10;whjnv4Yp3ZYnbDFeoHtVjVNMbTvLUOH3ZIYHhl42sPqDSfKlylJu9ysLi4B/1rg/7xoN1dDpNJ/3&#10;2au6jp0NnLdW6CZpbYqHkAypJHPbj25rK2sP4qSjHsVeRK800oAkdnAOQGYnBpEkkikSSMKrowZT&#10;6EVPZWX2iK6mkY+VbRCQgHliWCgD8TTDHC9xbxxFtshUMD1Uk8jpS5Y9BXkW5vEGr3EkTzXsjPES&#10;0bcZUkYJ6ehNZr7pJC7jezHLM/JJ9Sa0tY0tdNeRFD5WZ4wzMCGC9/bqPzpz6PjRlvtzqvkrJuON&#10;rMXK7Bx14zUcsQuzK4PGxSPcVM1zO9otq7s1ujb1jJyoPqB+NWLCxF1aTTbJZHjlRAqEDhg3PI9v&#10;1p9lpBvdSubRZMGMPsJH3mBwB+NFohqZuwZ/1a5+lG1f7iVfvtMeys7CYvmS5Qsyf3ORgfkQfxqz&#10;LpFpBM8MtzL5iMVbaoxkcHFFoj1LpmuWADbyoHCliQPwqSOe4QnapXPdc1XUz+gpwacfwrXsuCPk&#10;3Ul/TJ/Nl3FiG3dd2TnP1pBNMBhdwB4IBPNRh7jsopwkuOy0uRE+1mv+HHiWTsg/Kl82T+4Pypge&#10;4z93mjzJ/wC7TM+ZvoP85/8AnmPyoEr5+5TPMn/u0okuP7tA07dPxH+a/wDzyzQbidFYwpsfBAIp&#10;hluf7tUdW1WfS7BrpkGAQKUmkm3sXTvKSjFa+o621GXdGtxljMMo7DkkdVPbIrRkuZ5Mh/MYHkgk&#10;nNefW3jSVJWE9uhjL71Kj7h/z/M11Nnr9tfqGiuEz3VuCK5aFalU05j0MXhq1N8yjvua3nS4A2HA&#10;OQM15t4tkYeIJGwVIVcflXooefI4BH1rz/xREZ/EscT8b9in8azzGK9hddysnk/rFn2Ov0CdzoNk&#10;THn92B+Vav2ucgj5sFdp5PT0rE8NyS/2HCgAJiLRMD1BBNau+4/u11YaKdGPoc2Kk44idu5IJpQu&#10;NpxnOO2aGnneXzGVi/Xcck/nTA9xj7tNLT/3K25NbmCnK1h8lzM/31Zuc8nvUfmv/wA8aQyT/wB2&#10;jfN/cqoxsDm5asctxIjKyxlWByCvUUhmbJJjzR5k39ykMs39yq5VuNSdrWFNzIxYlWJY5Oe9J9ql&#10;BXCNhTlfY03zZ/7lHmT/APPOp5FsaRnK9xY7mSJg0alT6ike4eQ5dST/AJ4+lHmTf3BSeZP/AM86&#10;XIivaSQ1p2IAKHC9B6Ui3DxBtq43DaeOo/KneZN/zzFNaSb+4KOUanK+wCXH/LEflmnSXTyuzyJu&#10;ZupIx/SmebN/cpplm/uUuVFpsme/kkiEbLlcAdBkgdATjJFR/aW8sxiMBCdxGB1+vWmeZNnO00hk&#10;mPVaXIkaKT6jmmZ3LuhZmOST3NI0ikcpTfNlH/LPNKZpf+edFirkrX8zjBx9zZnYuduMYzjNNhvX&#10;tlKRKNpIbDKDgjoRkdai82Un/V0hllH/ACzqHBGikxyTlJDIF+cggkgHr16/WmO+9RkE4GBntzn+&#10;tHnS/wDPOmGeTp5VLlS2L5mJkf3Kk+1P9mNvgeUWDkFR1HHXrUfmyH/ln+lJ5j/88v0oeu41Ikiu&#10;DBIJIxtI46ZGPpST3XnurMANo2qqqAFHXAA+pphlfH+q/Sk81v8Ann+lTZMtTJprt51AcDsCQoBb&#10;AwMnvSJdPGkaRnb5b71IHIP1/AVH5rf88z+VHmsP+WR/Kp5UVzskiuTAzMqqSylTuUHg9etRyXBl&#10;kDv8xUYAwMADtik+0HP+pP5UgmP/ADxNQ4ocZvsTvfSSxSowTbLJ5jfIB83t6VElw0cMsSqu2XG7&#10;I54OaTzif+WJpDNj/lj+lJJIvnfYS3nNtcRzxhd8Zyu4ZGaQ3B84yr8j7tw28YPtR53/AEy/Sjzh&#10;/wA8/wBKGkLn8iW41GS4j2MsaKX3sEXbub1NIl/Igj2HbsRkBUdQ2c5/M1D5g/550GQH/lnip5S+&#10;ZvoAeP8AukVJBMkEokUKxHZhkH61DvA6g/lSGQf3T+VD0CxcuLtbiKOIrHHHHkhIwQMnGTzn0FRe&#10;cptlgIUorlwe+SAP6CqxcehpN3samy2KSe5ft737MmwJG6Fg+2QZAYdDUXnk3Ek5O933bi3fcDnp&#10;9TVXcD2zSEjPK0tL6jsyxJL5qxLIzMI02LnsMk4/Wp7rUBdli8MKswVSyg5wMAdT7Cs/cOwoyM8i&#10;j3R2kS/If7351Na3C2zSMqI+9ChDg4x+BFVd+O1JvPvSckHIWnmR5o5fLQCPACAHaec885/WpJ79&#10;57U28gQjzWlDYOQT1A56cCqG760Bx3qW4lcrLYuCLI2nylDIJc4OcgEevvRa3ItJ/OVFc7WXD5xg&#10;gg9COxqpuFBdcYwaV0PlZPDIsVwsuASvIBzj+eaJZ3mhihkclIgVT2Gc4qDI96aZBkjNS7BaxpTa&#10;k88Uqsih5golcZy23v6Z9aobV9ajMi45JppZT60cyHa5etLn7K7nAeORdkkZPDDr+ecH8KY8sbXC&#10;yogRUIIQE9vU96p7lx3o3L71LkHKzRvr6O9eVzCsckrl2bcTyc8DPTr+gpV1Mi3FuVDReV5TKSef&#10;mLA+xBNZhK+ppNy+9Tcdi9b3kdvBLC8RkEjq2QxBG3OMfnRHfmK4mmiQoXUgbW+7yDnPfoKpbl96&#10;Ny+uKVwsXr/VJNQSMSKQ6O77gf7xBxjt0q5/wkrNzJYW0kh5Zzuyx7nrWJuX1NJlPU0h2Z1C+b/z&#10;0X86dmb/AJ6L+dU1znpTxn0r3eZnyfsfJFnMv99fzpQZv74/Oq2PalA9qVxOj5FkGb++v50v77++&#10;Pzqtg+lG00XF7Es/vf8Anov50fvv76/nVfBHrS4J7UXD2JY/fH+NfzrN1+za80W4SWQYRTICD3Aq&#10;yVJ9K57xPfy20CwI2PMQ7vpWNeoo03zbHRhaE3Wjyb3OIL44IGRXUaBDFHpEt5FPEl3HIcbpAu5c&#10;D5SCeRXLZy2W5NOEJNuZgcAHGK+ahPklc+rnDnVrnqOjXb3lgs8bKIyx2rn7vqPpnNcr4iJ/4SuD&#10;Jyd0fI+tQWevSW2kylVjVxsRV/vDaQTj1+UVm3WpPdXsV020Mm3A+lelWxUZ0FFvU82hgpUsTKp0&#10;2O9sUlsdRu7QMqiVzOn1OMj+VaX77/notctb6qdWubS4iiYTRy5kVASNvQ/zroAwYZHIr08LUi42&#10;i9Dzcbh3zKclq9y1++/56J+dGZv76/nVYA//AK6MGulyONUix++/vr+dNJmH8a/nUGDSc+hp3H7N&#10;FgNNj76/nRmb++tV+1XINLupJ0R4JEQnlip4FJzS1ZoqV9kRZl/vrTS0394VPLpl2k0ipbysisQG&#10;2nkDvUdjZNfTFFkCYXdlqlVItXuX7Bp2aI8y/wB5aTMv95avDSExn+0IMfjTLvTDbWn2hbiORN23&#10;5QetJYim+ps8LNK7iVC0v98UmZT/ABL+dQkmkz7VpchU12Jt0w/jH50m6b++Kiqa1tJr2cQwbS5G&#10;fmOKXNYr2Qm6bOMrTSZs/eFasPhu8ZJDK8aMB8gBB3GqV7o97Y2/n3CoEzt4bNR7eDdrj+ry7FQ+&#10;Z/eH50n7z1H51asNLl1CGWVZoYo4iNzSnHWrI0e2BxJrFkPowP8AWnKtCOkmXHDyeqMwmXPUfnQW&#10;k9R+dRyKFldVdXUEgMOjD1pBT5r6oHTsOYuO4/OmEuTk4/OjaW4AOT0rWPhy88l5Fkt3kRdzRK+X&#10;AqJVFHdmkabeyMn5vT9aUF6faWs19cpBAu52PT0HrVu+0a6sLcTs8MsJbaXibIB9DUyqxRapt9Ci&#10;S/tSbnq7YaPeakjPbouxTgsxAGaqSxNDNJExBZGKkjpkHFQ6ibsP2bSGbnz2ppL1rQeG9Qnt1lBh&#10;VmXckTNh2HqBWSVYSFCrbw20j39KXtFtcpU3YTc9Jub1rfn8I6gkcLQgSFly4yAFPpknmqN3oOoW&#10;Fsbi4hCxggEhgev40vax7mipNdDO3N/k0AnIzV6w0S61GNpYzFHEpx5krYBPoKrXlnPp901tcJtk&#10;X9R6ipdTohuGgHA//XUWWycc/jWvZ+H5bvTo7tru2hjkJA81iOhx6U6Xw3NHazzpfWkohQuyxuWO&#10;PyolWhsKNORjfN3/AJ007/T9aAeaRjU8xdgy/pRlvQU3Jz1NGTn/AOtUtlIduf8Auije/oKTI9KT&#10;I/umlcY/c3pSZb+6KaRg7fm96Qgf3jSbYIflv7opNzDqlMIPY0bTjvUtlDizH+Gkyf7tOWNnAwD+&#10;NRSKUbB71LjK17aAmP3N/doyf7tR4NKqkAkmo5uhQ/LY+7UbNg9KXJ9aYfxouNMf5xAxtH5VGW5J&#10;wKXg0wrmolJsvQUEN/hR07Uigg80E/7X6VFx6BnHagt7Uf56UpBxwaLhdDT+FIfpSkH15pMe9K7A&#10;MDuKRsY6UuAD1oP1pMaGYx2FJx6CnnFJxUXHc6SlBNOET/3TThE5/hNfRWPleZDBmnrnNL5L91NP&#10;ETj+E0WFzIbzntSineU/9004QSH+E0rCuMozUnkSf3TS/Z5P7ppBzIi69q5vxbYzTQRTwxeZtyjA&#10;DOAe9dT5En9w0NBIQVKsARjis61JVIOHc1o11Smp9jxxg3mbADuHGO+av2mn31yy26wOA5wWZSAP&#10;c10Nz4VP9vRIlpO1s+WZjKMn1P4EitgeD9ODZK3JPvKa8KOCqyk0lse/PG0YxTb3Od1ews9N06Kw&#10;gdJ7h5gTJxle2PpVWbwvqayKEgRlwMlG4/WtvWvD1np9pFcQRuJPPQZZieM11IikCjCnpXVHBc8n&#10;F+7Y5p41QgpR1uzkNN03VdPZVFv8isGx5wweRkYzj9K6OESuTJNGI2OPlDbqueVJ12mkMUn9013Y&#10;bCuhpzXOHE4yNXdWIiaaRUhif+6aXyZP7prtSOLmXcipMmpvJk/umk8p/SnYOZdyLqQM966qW1u3&#10;1KGVLjbAAuY9+M+vH5VzJik/u1Ytiw1GGe4LPsYEsx3EAGufEUpTSsdeGqwg3zPc3beyvE1CeaS5&#10;3QNu2x7+npxWNoALTyepgP8ASoZ2lN/cXFsXUO5wy/KcVNpUi2M7PMrhChX5RmuelRlGDfkddWvC&#10;U0k+prafcNLp7ZkuVK7RueNQVz/d9vrVPUw40mYOzswuiMvjJwMduKl/tSIcCTUQP+2VVr+9insT&#10;En2hnaTeTLjPTHauanCXMtDqlUhyvVGJtNaunWFncWM01xPsdM8ZAwMdfes4o/oaa0DNjK5Ir15x&#10;m42jozyoTje8hgzjPIq3p88VvcF5WmXK4Uw43Z/Gq/lSelT20MHm5u/NEeM/u8ZzTlB8jTNYyjzJ&#10;o3LqCxtraKye2uW8xg2UQE5PYn/PSqGqR2VnA9lE9wXBD7MjYCcdffFWf7bNrCsVhDIwB+9cvu/L&#10;B/rVPUJLS7hEsdvJFdM2XAb5T6mvLhTlzarQ751I8um5No/k/wBi6n9o3GEbS2zrjnpS29npNzbT&#10;3CrdCOAZYMRk/T8qSyu7G306S2ktZmMwAl2sMN+vFSw32l28EsMdlchJRhwWHI/P3q613NtJ/cRT&#10;ceRXZz8/km4kMAcRZ+XfjOPemYBFW70W7zqbOF4owOQ7ZOfzqDyX9K7ad3Exly3GYwM1uaen9hWr&#10;39wSJp0KwQ9z3JPtWRGskciuFBKkHB6VrS6/ezHMlnZO2MZaIk/qayrqTjZK46UoqV2xPDAP2q5I&#10;/wBZ5B2n3yKbZ7v+EPvg/CCRdufXI/8ArVQs5rqwuFnh4deueQfY1Pfapd31uLYwwwwbt5SJcbj6&#10;ms6lKTtZGsakUnqJ4dZhrluu5sfNxnj7pqpqH/ITus8fvm/matafqVzpgbybe3dic7pFyR9Oai1C&#10;8uNRkWSS3gjIznyk27ie55pyhJVE0tA5ouNrm/a3FlqeqWF2Lh0uo1CGAIcH8emOTWTNdfY/Etzc&#10;RQrMVmb5cZyaWDWrm2gVILO0SYLtE4T5sf41Rtp7q0n+0QMVm5+fgnnr1rONKXNtoW6kOW1zsFS3&#10;TxFgQ3RuHQuZScxjjpXMam1qYStvbXqOH+ZpTlSPz+laGneINQ+3Rm/uHNsM7gEX046DPWqF5rGq&#10;XcckDzlrdz90qo4zx2zWKpVFLYv2sWieC5sb3QU0+6uWtmik3hghIb8uvX+VO8XlWubLGd32cZyO&#10;cZ4z+tVLC+axQqbG1uPm3BpVyQarX091qN21zc4MjenQD0FaunL2ia2J51y6nSafDLL4Uswunpen&#10;zG+R5NmBk85qcW80elalv0mKxBt2AMcwfdweKxNT1FZbCzsrISRxQrlsnnd9R+P51aF9ptrp1zHa&#10;G7knnh2ESnIGev8AOuepCTk3Y0jKKRyuME/WggVYaF3Vn28g/MKjETntXYouxjzJkQx3pcZqXyX/&#10;ALtL5LY6UnBhcix7UqLk5x0GaeYnB6UrIyqBg5IyaSgwuQnJPJ5ppH1qXY3pS+W3pScGUmV8UfhU&#10;5jb+7QImY4C0uVlXQ2KV0425FNm3O+TwB0qdI8PnliBnPaomDMeap83LZ7E6XI87R8vX1pnzZqXY&#10;fSkKGsWmapIZzSbc9qftNG01PKMZt9qTB96fg07aT/DUOmK5Dj2NLj2/SpCjelJsYdjUODQ7kf50&#10;hB7VJtb0NJtb0pcrC5HyTtxQVxkYqUqVGcHdUeGOTtquRpahzDNp7imVLtb0pSpI5Ws3Tb2GmQ0f&#10;hUnlselHlyf3T+VQ6bQ+Y6fZceopds+eopNspP36PKlP/LSvpNT49peQ7E/tTglwe4pnlTf89Kd5&#10;cw/5aUrmbXoOCXHqKcBPj736U0Ryn/lr+tL5Uv8Az1pNsWnkOAn/AL36UoW49ab5Mn/PX9aBFL/z&#10;1oTYaeRJi49aQpcf3qb5cneU0COQ/wDLU0XDTyGNDcm4R8jAVhnPrj/Cn7J/Wjyn/wCepo8p/wDn&#10;r+tC0bZUpcySdtCrf6a2oWwglchd4fKnnIqyI5wAN44o8lz/AMtj+dHkt/z2P50rLm5upXO3Hkur&#10;C+XP/fFIY5/74pPKb/nsfzoMb/8APY1WpSUV2E8ubP3xSlJ/+egpvkN/z1NH2dv+etGo/d8g2Tf8&#10;9BSeXL/foMDAf62m+U3/AD1NNXD3fIXZJ/fpNkn/AD0FHkH/AJ60nkH/AJ6VSLjGL7C/vR/y0pCs&#10;hP8ArBQYSP8AloPzpPJ/6afrVFckRNkneQUmyQ/xikMX/TT9ab5Q/wCelMXLEVo5f74pBHIf46PK&#10;XvJS+Wo/5aUzRWHeU/8AfprRyf36Nq/89Ka0a/8APT9aLspSsGxx/H+tDK/Z6b5Y/v8A60nl/wDT&#10;SnYd79Rdr/8APSja/wDfpvlj/np+tHlj+/8ArQK4uxv79BRv+eh/Om7F7yfrR5af3/1oKjIdtf8A&#10;56U0h/8AnpR5Y/vfrQYc/wAf60WNk0IVfH+to2v/AM9KPJ/26Qxf7X61NgFw+P8AWGm7X/56Uvlf&#10;7Q/OmmIdd4pWAXD/APPSkJYf8tKPKH9+mmIf3xTSBCln/wCelJuf/npSeT/tCl8nH8QosUrAGbP+&#10;tqTDEf6z9ajEX+0PzqQR8fe5rNxNoJWEwc/fo2/7dBjHXcKUQk9OnrU8iNU0CkqwIb6+9I8RGGVv&#10;lbp7e1O8jj76j/gVOSFM7XlG09dv86OQTlFdSDa396l2t/eqV7YIxG5iOxHGRSCFT/8AXNLkfYFV&#10;g9iJIyzAbvrQ4ZmLBuv8qsCJVhJJTLnA5HQUzyx/fUD2pcjF7SLkVtr560oikbpz+FaEGmyXAJEq&#10;IoxlnbH5etWP7IkGB9ojH+1nJP8AhRyCliIR3aMv7NIo+c7T/d70wrKeMgD0zW9b2McUEsM0yurc&#10;g9wfzqi+nov/AC2z7gD/ABo5WYxxcJScWygsMmxyGAwMdfWmGFx/Ev51dlt0jgU7mLM54x2H/wCu&#10;qxRPUj8KXsrrU3hVi9UyPymP8S/nSGBz/Eo/GpNkQ/iP5UoWL+8f0qfYGqq9SH7O/wDeX86Q275+&#10;8v51Z2xk8M1O8pT0dqpYZA8QkVPs7/3l/OnJbSOceYi/Vqt/ZxjmRvyH+NCWxkfZGzMx6DFV9VRk&#10;8UmVzYzdpYj/AMDpjWdyozwR6g1fktIrclZJRJL/AHR0FVXjdzzLhfT0qHhY+Yo4l30sVfJnJxtJ&#10;PoBmho5Yv9YCrdgRVmCJkm3eaAAOuadM5dSoYk+5qPqq3uzSWJs0rGeS5/ipDuH8QqwYm/ug0hhP&#10;OVA+pNcs8PN6o6VUgV2B67qb83rmrGyEA5zn2pmI/wCHA+tY+xmtzRSi9iHDk8c07bN6/qKey5Hq&#10;fTdSfZz/AHD/AN9Ueza6lKSN8REf8tOaeIm/56H8qhKIilnk2qOST2rDvfE+n2jbImeZu+OAK9mp&#10;UhTV5ux8pToTqu0Fc6Pym/56GnLDx981laPqVrqsLujlXU4KH+daYijx941MZRmuaLujOpSdOXLP&#10;Rknkf9NKPJH/AD0pixRd3P504RRf36rUz07j/IH/AD0pfIX/AJ600Rw/3/1o2Q/36nUL+Y7yF/56&#10;/rR5Kgf6z9abshBzvP51Vu7/AE2yx9ouQhPbqfypNpascVKTtHV+hbMCk/62k+zp/wA9f1qva3Vh&#10;fReZbTbwOvbFTbYf7360R97VBJOLtLf0HeUg4839aQxp3l/Wk2wf3qTbB6/rVKIl6h5UY/5afrQY&#10;ov8Anp+tLsg9absgB6mrsV8wEUWf9YfzoMcQ/wCWp/OjEAPFIVgzRYEk+ohSLpvP50eXF/foIgx2&#10;rK1LWLWwlWFV8yU84z0pTnGC5pOyNKdKVSXLDVmr5UP980myEH79Ydj4ktLq6FvNGYnbgHdkZra/&#10;c+lTTq06ivB3NKlCpSdpqwMsOfvmkCxf3zQTD6fqaB5Pof1raxKXmG2Pu9N2Rf3qcTCO1NzD1waL&#10;AJsi/v8A60bIu7/rRmE/wmkaSMbVSNpJGIVEUZLMegFNtLVmsLvRClYR/FTNsP8AeNP1XS/EmkW4&#10;urrQv9HI3HZMGdR7gVBZ3dtfWyzwg7G9exrCji6FVuNOV2jqq4atSSdRNIkxD60u2E8bqXdH6Um+&#10;P+6a6DDUTEQ700iH1pxaPrtpu6P+7QNIMQ+ppQIfem7k/u08tHj7tKxaQmIfeg+T71HNcW9vC0sv&#10;yovU1R/t3Tcgv5yITgOYjis51IQ+J2LjTnL4U2aH7n3oHlds1IURQpVPMRwGRh0YetOWCZuUtwB6&#10;lf8AGneLV0Tz2IcxnsTShVP8DY9SKm8lgcMwB9uaBHH3jlc+wwP60tB+0j3I/Jj/ANkfVhU8WnmU&#10;ZVVI9c1JBDITuitQoH8TAnH51a8+ZQQ5eQ+g+Uf4mlfsc9WvKPwlYaPk/MyqPqakGkWwHNyCfQda&#10;bLNMwJkG1Bz6AVkf29pYuBD9oTzCcdOPzqW2t2kRCWJqX5TSltrSE4Zbg/VRiow9n08p/wA8f41a&#10;hmuFA8tgQf4SwOfwzU+yKX/j5tkQ/wB9G2n8qdilWlDSTZQ821XpCx/4HSGa3zxbqf8AeJrTtdMs&#10;pJWPmmUDonSpLy0s7ZFZIVVyf4+RU80b2CWIpaJyepkecnRbZCfQbv8AGnYZhzCEHvx/OrPmEr99&#10;Meigj+lQNb3F9eW+n2bIs1wx/eEZCKBkmqnJQi5y0SNKbdSShBO7HxxwOBHJIij+Ehc49qRYrbzQ&#10;mxyc4+6B/SpdW8GX+hp9qh1I3EpXPlMpKMcdOTxV/TPs95ZQ3XlhnkjBPqMjpXDhsyw+Jv7N7G+O&#10;wtfARU6mzM2RoZJdsNum1eASO1L50US/cV29AMAf41rizhZiqqQg7Af5zSSadbhDtiYt6ZxXapw6&#10;nlfWU46tmK9xHJ9+FGP4/wCNML2//Psv4E/41YdQpwLTH1zURaZTlbdR/wBswf51okmdEeVq6uRF&#10;rU/8snH0erdkkcoKCNmjHUP0/Cq7Ncn+Aj6DH8qfbz3Vu5IjLKeobNOUdNCpRfL7u5Lf6csKCWCa&#10;TywOR6HrWXvQn5ijj/aGK05r25kI2wBQOcev1qKa0F1GZreAiT+NB/SsldblYec4xUaisUtlux5Q&#10;j/ccH9DS/Z4SPkkYH/aQiotrd4se2Kcu5SD5R4po7XzLZkqWzE/6tnH+xz/Kr0OnbsM6mNO7PwK0&#10;dP1KKeRIvsxRsfwjiuW+JN7MLqzt0DLCsO7r1JJ/wrLEYr2EG7HHTqVMRV9lax08On2EhKrMkhHU&#10;K+afNBDDbtHbLtY9W7mvHrbVpdPuoZ7UlZo2yDnhvY17tL5Jw3lYzzg9q4qGYSrOz0IzDBVcKlPm&#10;ujiJ40VuAc1HGiucN8o7seAK6e4jjdiFt0wOSRj+nNYtxpj65q1to9qVtIX3PLMoBKqP8Sa9Gpio&#10;U6TqPZFYOo8RJUorVlOQwA7RISB2A61CWiGcJn3Y5o8TeCn8NxfbdP1QTledrEZb14zzU6q5jU7I&#10;8lQc4HpXNgcxpY6/s+h6mKwdTC2dR7lYvn/6wqIqvXNXSr/3U/SmCN2+6ijH0r0ORnLGokVcL/eN&#10;ART14HrV4YjH+rV39SBtH+NRMHY5Kj8hUOinujZV30KjCMcICB696j8tfeul8P6KdY1DypVVYEG5&#10;zgAkegrvR4R0YAD7In5mvOxmMwuDko1Xqztw1GviE5QV0eUa7G50W48jcz4HA64zWt4d8K6JZeHb&#10;e5vtPe+1C72lcKGC56AD+dLbFYrhXVSzDovr7V1t1NJZxxQyRtbkrvWJ32YBHHNeTxHKpBRlHY04&#10;cVOV4S3PNrPTY7TxJPJFBJbQFCDG645yPwra2xEctVO0Z5prh5nLBXZVyxbqcnk1ZxF6135Ld4a7&#10;POz2MVimokgWH+9S7YaYBB3p2YfWvW0PF5X3H4i9f1pNsQ7/AK0mYaUPCOtJ2Fy+ZHcMkdpNIgy6&#10;ISo9TXC6npF/FeRG+3B5lWTPXAbn+tegLJBuHAPtW5rd9ZCETTWRLHywpDlcA8nHpXh53UqU4Qcd&#10;j6Hh+jCrKcXueX+G45bXxBJCzEwmM59D6V2eYR3qnCsJvZptqjso9Aatb09K6MnnKdC77nPnlKEM&#10;SorsO3Q+lJuh/u0m+P8AummmRP7n6V6tjx+XzY/fD/dP5UheH+7TRIn9z9KDIn/PP9Kdg5fNjg0P&#10;92jdF/dJ/CmiVP7n6UvmKf4P0osUo9mxd8J/g/Sqen+Eor3Wru8viBZbQUbdt+Y44yfxrpdK8Nap&#10;rIBtrJwh/wCWjjav5mul1/w1Lo3hmKKWUSOQVPHAPXArws8r2w/LTavc9/IaEfrF6idmjxXVvD0F&#10;tqZFpcbgAflSBq1IKfMCcZ9q6rdEP4P0qOxtrXUfEv2O1iaErHiN3yQxUc59OMmtG+0q+09d81qx&#10;j6eYnzL+JHT8ay4flLlk5s6eIaMFKMaaKJkj/uH8qZ5iDop/KgyY42UCX0Svpbnzap+o0ypn7h/K&#10;jzkP8B/KlMrf3Kb5rf3KaYNW7i+ao/grT8Ox+f4itZFVA0Ku4D9CdpA/nVCHzZ5FjigZ3Y4CqMmv&#10;R/CfgO7WYX2ojyP3ZCIDk5I6muTHVIRoSUnZtOx04Pm9tFpXSZk+Jr2+udPkjaS1ykY8zy3O5d3p&#10;zXm+iWr6dZSRSfOzSFvYfSup8VN9n1S4jWG5WZDsdWfIk9CPX61FJoOqLarOlv5se0E+UclT3GOv&#10;B4r5TIaUo4i8nY+szqUfqyUVe5meaP8AnmKPNz/yypVjnYnETDHqMYpMEE7mUew5NfcOx8dewhf/&#10;AGP0pC+T9ypELFsJA0je+cfkKmH2nPzBYR6KOf0qeZCc7EGyQD5o9g9W4pyBeBtZz6IvWpgm052N&#10;IfVuKtQrdykJFEcnjai0nIh1JdBLPw4demjhlhRLeORXlVzlmAzxXX+I5reO0jsU09zEkTNtjhyg&#10;QDqateG/DGpWlnNqM6vESMCIjll9TWFr1zfvNI1vP5a7fJVR1OTz/hXxGfV3PE8sXpY+zyCkvYXk&#10;tTD0++FtodsBGwDAqmByoBI5qvLPdMpfzJJF9dx4+tWls7pCbZ7dlx/eGAD6/wA6jCNaycjzJR+C&#10;j/GvqMArYePNvY+Qx6jHF1EtrlZPtUy7suE/vM2BUiyxxchDK395vuj6DvUskkk5CuhDdAVXj8qb&#10;9juFB3bQvr/9brXbdHO5fIhknlmO58kfpQplkOI4ix9BzVhUCH7hkPq3A/KnGScjaAFHoBgU049C&#10;VtZIz7nTr2+v9OsxC/2eadVnK87VJA5x0611niHwZoH2W4gtdDVXjjAWVcg5J47e1N8LLeNqYSKM&#10;MhBMm4ZwBzkehrT8UO0emyyo6iVpFxyd3B46H+hr47iCpVVeKTsj7PIIU3QbtqcJpgurLTYrWYnd&#10;HlfcjJxn8MVOXf0P5U79+CcgDnnPrQgmeQIMZNfU4G/1eLnvY+ZxsIfWJ2XUekjxQlwp3v8AKD6D&#10;uatQ3plgeO7jMirghh94dqpzPIz8EbAMLSQiVnKDGWUr+nFbOKlqcLgnqT3NtJEgliAkgPO4dvqK&#10;ueHnVr/c2ElQEoe5B6ge/Q/hWTDqb6ewMjKYn6oT1/CrXh66g1TxpY2scZW2eUBiTjIzz9K5Mc4u&#10;jKnN2ujvy51I4iMuW9jT8RSW62qrcX2pM8jthg6hTxwMfgawdLeSK3WMZ+ZCMZ/EVq+LtOvTP5EZ&#10;ae1DEwTBTll/xrhZvEcuj61Layos8UMgCup5wO3vXy+RctCq/an1edw+sYZRpq52VtqMkA+51qzc&#10;6rIiqETAYA5rmbTVIL5tsEoDEbgjcHFX3Mj2gIOSjYx7Hn/GvsYwpzSlF6Hws8Ko/ErEkt4ZDl4h&#10;n1Xg1EQX/wBWAfY8GocP6UbWPauhRSVjohS5VoOYOp+ZNp9CMUm9vSnrJKigZ3L6NzTdu/PVD+Yo&#10;L5bdBrOw6qK5ifxHqE148WnOI2XOAByRXTmGfoBvHqnNbvw00mCyj1lbiHy7v7RgTYG7yyoIAJ6Z&#10;5ryc4xM8Ph+eHc9PLcPTr1eWR5jYa/eTalHDcsJTKwTgY5JwK68Q+Wf3p5/ujrWj400+xnvbOa0h&#10;xcQXgd8OpwgOeoz6DvTL23Nv/pUQyrnj/YPuKwybFzxMHKbNc0hHCyjCPUI7trQbY4ljfHAXt7n3&#10;qW5sZ/FelvaMkRmhUlZW+8OeB+p/IVk7kRw88gjQt8zPSt4os9D8aXF9aztd6d5rARxDauwjgjPp&#10;9O1bZzKEaDg/ia0MMqw7+sKs1ot/mcbq/he88P3KSXoDJncCneup8O6/c6jYCGW5Ms0YJYvnKjPr&#10;3ro/F994b8R+G5dQi1SNVQfu4wR5u/spQ8/075ryjTYpIb5SCMkfISeN3bNfOZbipQlzTR7OaYOn&#10;VhyrY9LfVZSNm0PGP7/JPvW14avYJ7toplcysPlDNnjvg9ugP4Vm+HvCereIW/0aLbGpAeUn5R+J&#10;616t4b+H1loSSS3M5ubh0KliNqoPavpMxq4b6vKnfVo8XAYR0a8aiWzPN/EUtluazFshAhwrbmzk&#10;E9cj3NcsqsQFjkAPTDcV6Xqfhi4fVEMkpeyWTcZAM/J6Aep6Vl6l4Cm8lpNPuNxA+4VwW/H/APVX&#10;hcOqNGcnN2PfzqSqQgoq5xjx3MHzSLuX1XkfmKhe7dhjaAM/dXpTntrm0ck7gy8EjjB9/SmGeRxh&#10;1R8d+h/MV9fz31R837OLeqATE9VFSI/cgAfz9qYiRt8zOYx2BGc1JFZ3N1MkVunmu5woj5z+FJyt&#10;uPki3ZG34YuD/a7JIxRXjIG3HOOcc11gaIADylOO535P/jtTeEPhnLBPFqGsyFQuGS3U8565JH8q&#10;6KTw3IZG8qaYR5O0eUOB2718dnsI4mtGVJ7KzPpcoqrDUnCoupY0HwVpOitGxj+0XXXzZOQPoO1Q&#10;eKvDU3iQESRxxiP7jp94r6V0cLFs+o4zUjybAMHB70q0pVn+8dznw8VQs6eljzK38FxabbtZSWgN&#10;uzFt7cuWPct/npWLrfhP+zLd7yDdJbqRvB5K5r0SXxPYv4h/sd43MmCDJgbc4BA+p5/Kq2rywXKN&#10;Yxp8rAB8jsQeP5V1YXFSoJRjsc+MwixD55aNnkWYfT9KTdFnp+lS3KfZrqaB1+aNyp49DUe9P7v6&#10;Cvp4tNXR8tKnKLauxd8X90U+JFuJVihiLyMQqqByTUfmRj+D9K6rwJapca755jGy2UuTjoe361FW&#10;apwcuw6dNzkops3NA+H8atHcasu09RAp6/U0/wAXeHr7V1xbWfkxxYVAj5DgcDIxwfzrshcr5o39&#10;uf8ACnSt8uc89q+YxNWeIf7w+pwdCOE1hueI2ugTafPKtxatJK+FEYbGwZ5J9D6Cr174fkiiMtup&#10;fAyYz94V6bdxRrZyulvHI4VmAI+83avPv7ZuJtQMcsQhjZyojGcrge4z3710YKv9XioLYMZg5Y6T&#10;qLojmN6j+Gk80D+A1b1JDb6hKgT5c7l+hqmXYnha+ihLmipHys6bhJxd9A84f88zS+d/0zpN0n90&#10;/lS/veyE/hVk8onnH/nnWx4ZthqHiKxt5I8o0o3A9x3rLEdyTxCx/wCAmun8CW9wfFdkXiKqpYkn&#10;6GsK75aUmuxpQgpVIrzPY4UWJfLRQqqOABgYrO1fR01eFre7lZoWH3Bxj0IPrWgDiQc89DXF+IvH&#10;OkWV2IGluROhKqqJw3vn0r49tNe8faUYvmtA5S/8CNo/iXQ7uyEpVpHWWR5O20nn3xurpIngnjlV&#10;WEqA7HXqD7VxPjLxrqDaYsYuhEWlDRKASe4+vTNaWgJJaW4kmZVWZkAAbqBkk49zmtKElD3Ua4ih&#10;PWU3qcxqlo9jqlzbKCUSQhM/3e36VUzIP4a6rxhChuLe7TIEgKtgdx+P+cVzYGThfMY+gWvrcNW9&#10;pTUj47FQ9nVcSAtKOi05RcuMrExHqBU5iC/6wlfbcM/lWnBcRxxou7y+PusOa0lUstDjnV5Ve1zu&#10;vhroiJpsmqXMWZ2crGW/hA9K72QLLEUOdvfBxWV4ZUL4csyBgMm7881pRPkFfTOa+SxdV1a8pM+q&#10;wUFGjFpWujKvfDOnXlxb3BgUTRAhWIzgfSq7aZYaWbaF5fL86Xy0wMZOM4rfBJkx+Nef/Ea3vDd2&#10;Vwl5JHCHCRBekcnZuBk9/pisI6O6PQhB1WqbZjeP9Lj+1Le2gCJkxyc9cdD/ADri1jCHhd59+BXq&#10;Mmnf2vpQsnffLIpHmN13dj+Yz+NeZPZ3SSOpBBRip3ccivocsruVPkb1R87mlBU6nMtmI010V2ja&#10;o9FGKYgmzzipDby9XmQfQ5/lSpEvXe7/AEGK9Rs8d8pb06znvbyKBQMyOFH4mvbdJ8Pafo0KpBEp&#10;lwN0jDLGvPPAGmGfWvPkTEcC78kk89q9QacbgT614Oa4h8ypxenU9nKcNBp1JLroSTwmZAokZB32&#10;965298JWk935yINxHU9AfUe9dEJ1bgHmheuM9K8KcFLc+hpzcH7uhxusW9npVvGuoyI0UrBBu5Jz&#10;3rj9Z0EW9ws9sXa3lAKZP6Z/Kux8aWtmz2kn2WM3MzkCZl+4dpwx9cYAxVVrZtQ8LPCSrXEQEie5&#10;HUD8K78Lip05JX0ODMMvp1qDqL4jhDa3agiMBR7cE/jUJtL5DuUNmppnljbCyjH0qIz3Hadh9K+i&#10;i5M+KV2N+z3DD542RvULxXVeFvBMmrqbm+maO2BwoTgv/gK5iM3c0qxpO5ZztAz1r2jR7c6Zo1vB&#10;IxZo0Ac+p71y47Ezo07R0bPUy3CqtV99aIns9JstItGSytVB2/8AAm+pNcrqvhP7d+9lDRgnJiU5&#10;3e39K7hcFA3UHnNJwzH24r5qtD2zvPVn1lB+wVoaI88u/C9tfHFzbmCZv4ocj/8AXXF32h3emTyx&#10;ElyflRh3Xuf6V6T45ub2ytrSezbZ5Mhkdt2AQP4TjsefyrndTtv7Z8OvfyFkniAmbC/wn73B/A/h&#10;XrYPGzjJQb0PNx+AU6UqsFqcT/Z93jHlt+YoisbuORZPLb5SDxThDuAMd4p/3iVpGtbpRuyzL6q2&#10;f5V9Ept7HzN2+xzGuTNbao0bD7jbOfzrZ8Ajd4u0osPv3Iz9Nw/pXH+IJnXVVyeTMM5rq/BUwh8Y&#10;6S3rdRj83Ar5TGSlKvK59fgoqNCK8j6MurC3uESAxhY1y3ygA/8A1utfNHjvQQPHmrW9nGCwkUjc&#10;eBkA9e1fULFhMv0P9K+Z/iBrsui/FLVJVXk7VwemCgzXNex1LWSTehwVlLNZ63b+bmNllAbPoeK9&#10;HgiLCRN5yVJH1HP+NcV4u065tdStb98yW13GksMucg8cj2x0rvIZoQUfyU9eCf8AGvayarzRlHoe&#10;RnVNQaKexuu+gof79XZY7OORkaFhg9Vf/EU2K1t532RmbP0BAr3uc8WNVdSkUP8Af4qxFYuyb5JB&#10;HF13N3+gqyLezticzJJKOm77o/nVWZJJn3NcROf97GKXNfYr2sZO0SeFZmbZpyOW7yfxf/WroPC9&#10;oWlula7ZLyUAIV5BK5OD69SayDmy0yNFXDsCzMTxk9Pw6fpStpEd5JHNI0rNGAYtrlGTtkYI598d&#10;/oK+XzjGqop4VL5n0WV4JU3HEN3ZU16K907UDNewsiMceYFwASeDgD/ORUFhdROSjTh4JeDg9D61&#10;Y1S7jv72xtLrVJcWy+U7SMz7Qe5HVj789qx/MgOvzaZpOyRNziJ2XaW4OOvvjtWWT436tD2E1ddz&#10;bNMD9bvVT1S2OY8TXzprE1sr744jtB+lYzTFhzxUV7HPFeSpcKyyhsMG65zUZ6YqMTWdao5Nio0/&#10;ZQUCY47AUhmK9zUSsQACaWOKS4l8uMZbBIHrgZrA1Z9UfBnWrfVPAUKRgLNayGGb3PUH8iK9EIDD&#10;B5HpXzV8BtQvLfxHfWaN/os8JZ1P99eVP8x+NfRVqz7QWPy0223djSS2HzW8MxXevC9u1cn4j8Rv&#10;oeq2tvHZo0ErKpIUZ5Prnr7fyrrVb5jmuUvtIjS/vbqY+Y0xEilhyoAxgULRmtLk5rz2PMPHcH2b&#10;xVNcRAok6BwAeM9D/LP41zaiOXmUFR/eTufpXoXjGyjmtLOaTZuVmXLEDqB/hXD3FvAjjbNGBjnB&#10;6fkK+owE+agjwMZKEKzjsVHtZQA7MpTsQf6V33wn0xJvEEt46MRbxHYW/vE4/lmuIgKW03mq68cZ&#10;XknP1r1f4YXUc324BcPhT06jJFGPk40JNE4ad6sYNXPRs5fnnHApfMA4qs0wSfGDkjipCGJzmvlk&#10;e5cyrC4Fwsk0Dh0L8N2HAq0EZky/8Z4Ht/nFZXg2ER+G4AytvcsWB784/pW65CkswBIHbtSi7xTK&#10;qR5ZOKPNfEuiTWmuWuq2ybonlIkBHKDqD/P/ACahm8QWem3UpvZHedcN5ajJI7e3auq19vtMOyRB&#10;sByAW6H1x615H4jic+MJM/ceFSfwzTblGLktjoc1XjCEnqtCfWNVttS1OW7trV4UkwdrkZ6deKo+&#10;cP7lNV3IARSw6DFSFZx95Nn+8cV9ZhZJ0Ytdj4nGU7V5KXcb5w/55muy8K+IdJ0qwkt52dLq5cYO&#10;wlQB0GR+NceGx1Jb2Arb8MRRXmqss0ClUQsMkk5rPHpPDyfbUvAxSrx6nosFyLu/jCNuD4IIOQcE&#10;GtSOMy3DSnPlxjav+0e5rnvClmW1K8uvMIjiAijj7c5JP9K6tzth9ABXzNOoqkVI+pnDkk4nOeI5&#10;Z7fQ5XgBMnTAz3Iz+ma8xMoHiNJXx5sg81u3U/8A1sflXqerTZtm2N0J5H0rx7xNa+bq9iuDg5H1&#10;FdFONm5vZEua5PZrdvc6DX54ZSsloYppBw4QbqwhczEcRqD/ALoqvEjwAJGcBSQCKmLySf61c/7Q&#10;wD/9evewXvUYyXU+XzCk44iSa2Hfabr1I+hxTTPcnuf++qPImKkp8wHp1/KoysnvXZZHIqaY/wA2&#10;4Pb8zXdfDOIyavNcSfejjwo9ya4LbJ6mrum6pqOk3HnWcxjbGD3B+oNY4mk6lGUI7s3w8IU6sZtb&#10;Hut9e28cU4EmbgKRx/Cf5V5xqHhGY3NpcNOLi7mLGX+5COMYzXNXXjg2AS41MznfJg+QRjHuCa0b&#10;P4raAmF8643EBcPF/wDXr5OthpU5ctRbH2GExSXvwd0XfG/gC2GgQXCzr9sjniVJGH3dzhf6isPw&#10;TELG2uJLm4E7MQDA3VCCRnnv16Vb8Z/EbRry0to4jcMYZ4ZnUxkAgMCevsDXJWesWOqPcyWHmJJ5&#10;7OpcbSEYk4OCe5NVSp881GI8Rinyuczs/FF3ayW0ccQYuW3AFgNuK5fzpyNqsqA/3RimhJpZMbmZ&#10;j+NW47NkHMgMvsfu/jX1GGo+wp8snqfJY3ERq1OZbFfy3tyCzBpj0Xrtp8drcM5Z3A5ycnmpTbiN&#10;jiRQcc9R/wDXqN14wJGfHboK35jkU+x6RoXiW4uTa2cE6RQ28QV1Kg7iOOvWuw0m6NwJt4w+7oD2&#10;9a8a0M3ceowmKZYEdgruwwoHuT2rttP16L7UwhvbeaWJipeKQOrexIr47NISwtdS+yz6/K6ixNDl&#10;fxI9AY7TurA8Rx2dzp0rXoJjjG75eoI6EVaOs2bwCWWeOAKPn8xsAfjXM6nruk6lutYNVtJtwO8R&#10;zKxC9+h9OPxrPni48y2OlRkpJGK3iG+082rW8UQMm4o0p+Zl7McYAyMHGK5u6tZb29muri5RXlcu&#10;wjXjJqe8uxq2qS3K4EEX7uED9TUZjTu9enlHM6ftWt9j5/iLFKnWVCD239SNLCBT99m+pqdY40I2&#10;lR9BTNkYH3+nvSDyVXdv+nNezeTPmXUk+p2fhnX9P0a1limSR5pSPmTB+gxXSxarb3Vzbxwy4Z5F&#10;G0r8w/A15nohiGrwkNk57/Su90aCK41prhs+ZBggDuOlfO5mlTrxX8x9hkknUwsv7p1+1EGeNx9q&#10;FAAY0gbLb/yqOVx5b89jXIescv4nY3UDW8a4KDIdjx/n3rLstZsLO2ikkuEZsfcQ7j75x0rS1WRW&#10;ili6u6kD2rynS4lgEcB42O6nHYjIpc3LbzY0nNNLomy/fNb3d5cNADGjOXjUkcZ7VR2x9fMq9Jax&#10;P8wYBvUGq80Nup3knnqAO9fYUrRjY+A9qqknLub3gmztJvEMclxPGoiUsiuQNzdsV6tcKRZkcZbp&#10;XhAkgTlEOfUk/wBK9R0nUlitdNFzcFYvLDNuPB4z3+lePm6cWqsno9D6LJndOmlrudftKbVydo55&#10;OaegCoM/jWPa+LfD1+W+y6xZSMudy+cMrT5tasmbCXkLDHOG4FeWj2bmR4uhku7HZHG8jxyJKir/&#10;ABYbOMfTNVdPaBIJftLJHbshSQucKFIxzmn6h4t8PC4RG1azLA4KCUFm9ABXmmq3LyXDRvctPGrs&#10;EOeB/wDq6fhV00nUjFvdlTk/YyVttSrdxww3c0UUokjRiFdejDPBqvvQDKuwPtQzR56Gmlo/Svsq&#10;cLRSkfGzalJuxxHilXGqofmO5wwY966fwov/ABV+kk8L9qiB/wC+1qPWtOjvrUTKdrwEPj1XIyP6&#10;0nh25WDxFp0jkBVuY2JPbDA18xmNF0q7fRn0mAqqpSS6o+o2dV5718w/HCJV8fCdRxNbq34jj+lf&#10;R808QBZpAq+p6CvCPjZZ20wsdRivLWSZWMZijmDNtPfHXqP1rhaOx7nmNjLqGrXNhpCyySRGULHE&#10;T8oJPJx/X0r2WXSIV4B2ke1cf8ILGzl1W91GcFp7VFWJccDfkE/XjH416vdywiFm8oZ9a7sBU9i3&#10;ZbnnZnTlXh8WxyM9jCpEs7kKAAQvUkVQuLpGHlwKY4vQdT9a6OeWMoSUAArMmmtwD+7lbH9w/wD1&#10;69ynWcnqfKqbT5W2YRC9AG/Kk2g4wjn6KauyXVvn/j2lP+9IaVbu2iZP9CQyk8ZJO3/69djnpsdc&#10;akrqyZU8UXJt7EqGACCM47feH8+fTpUx1eRlxBE4RRhJH4znIwD16Enr2rJ8ZM0krRDJD7VIHRTk&#10;dPyrcuoVtrCJUGflCrgHn1/+t9e1fCYl3qyl3bPtqF/ZxXkcrc3l0ZXma2kLknMiuQFJ6ZAxnkdy&#10;azrDVM+Kba5nJADr5hHpxn9BW9NGosmI2k7lwzHbt+U9PXoMe2K46b5NXbHORnI75qYJDnKSVkz1&#10;/wAQ6DosPhTU5FsonuRC7pO43ODjse3SvDWXBNez3Oqm88FXDvFgPZkFgerYrx5wpJ+prtrUvZpW&#10;2Z5uGxEqzkpbplbGfrWt4WA/4SrS1Zd4a6jUr65YDFZ/lpt4zn1qxpkn2bWLKX5hsnRuPZhWUd0d&#10;T2PsAaFpGiia7s9OtLWWUZkeKMJ9elbyJiMKe1ZV3eQPoH264kAg+ziWRgRwu3J5+lcpd/GbwvBa&#10;NLAbmdwOIwgU/qaBxd0ju2GHNYWvyrHEVydzKcYrjE+N+hys5ls7yPHQIqvn9awrj4x6RqepGGPT&#10;7gBhtWSRlXnHHGTTW4PYteNxJFptnLgNGGKtnkAkcfjwa4g3JLhkiiG/k/IMe9ei+MI3vPCavBGJ&#10;cSI5KcgDBGfpzj8a8+NpcpAU+yyFh82QuePSvosuf7przPJxsYKfM2RS3CyFfLRFVewQfnXafDDV&#10;/s3iQW8sios0ZUZwAWyCB+lcMyyJ96Bx7lcU+GUmZSPkcdGziuqtTVWDh3MoWptSWp9OMgZ0lB5H&#10;T0qTyc8l2zXJ+EtXnn8N2dxeSxyFl2tJHyyYOPm9+ldSs9oVB89On9+vk5xcJOPY9mMuZXR4Hd/E&#10;7xHb20dnpcUMUFsSGfALSHOe/QDpx6VhXfxc8WOfL+2LCORiO3QfrisvX7V9M13ULNvmCzFkAPUN&#10;yP51z08igspIOCAfc55rOFnFcux0VY2m77nVQfFrxNbTvHdTQX8IYgeZHtP4EYrU0rWZPGGoLcm3&#10;EUpV0ZVbIyFyP5GvMJsPM3ua774VJM2o6gVQmKO3LbuwbkAfkT+VW5JQkpdUZxT548vc14p7hItg&#10;ACqSPlGM8mgvKeo5ojWcjbtGcntUhjaMHzSM/wB0f1r6fAJLCwv2R8rmSj9bm33GoJ5ThErd8Lny&#10;tXCscs6MOOg4z/SsMyysuBgL6AcVo6B56axbv/DvAP48YrbFQ56Mo+TMcNLlrRl5nofh+90zTbfU&#10;Zby/ggdHzIrONwUDOcdcc05PGWj6tEDpl6ktsud8nTJ9AOteJfFXT5LbxUJ3jxHcQKVPuOv9K8+L&#10;MrkIzKfavjsM0oJH2WJT57n03fX8V3C8EcyxhGI+Y4zj/wCvmuH1UWsl9ZvDdxTOkjIwjcNt4J7H&#10;2rxsz3kYO24kAYYOGPNa3hXUZLXUBbEnbccL/sv0B/mPxrr9quRxXU5ox99SfQ7wNIenfPH408CU&#10;jlwKTyWH8Q496I7eV2wpJPoK+mwlP2eHhF9EfN42oqtec+7FAlBGJOfY07Mkh/eHJ/vDrT/smz/W&#10;zAH0Xk0uwj/Vnb6MeTW10cTcelhv2Gd8Mjgqe5OKYYo0bmRpGHpwP8aeYX3ZaVifWgorf6w7vcda&#10;XvAm12OP8US+dcpbnG2MZwPU1y8wjXG0YPqOtdJ4kRU1qUKcrgYPrxXLXDfN+NfMZhNyxErn1eBS&#10;WHjYNzlm3Mx4PU5rpPAf73WpbYk4eEsBnHI/+sTXPQEMsuQPuZ/lW34FRJfEqo7lcwvgj6Vlh5ct&#10;SLXcvEK9KXoekKILZdiMGY9dpwB+NNWOSXIQ7V9uKtJZ2yAH7x9WNTbUzX0zmnqfDSrrvcqLpsX/&#10;AC0k/BTU62drH9wDPqTmpNkdBEQHYVDkzN4ib0v+AyTyY4ndmwqqSee1eXPczWlybqwme3lLE7oz&#10;jP4V6XqCxPpl2oYDMTDj6V5LMzBSprysz1UUz6Lh5t88r6nqngjxk+uCew16WNpIkBRjH8rrnHPb&#10;OSPrmsrxzrNhbWMtpZ2EEf7wPFKkYRg2eWGB04xXIaH4iGhQ3qLGWkuFUbs9hnI/X9KxtR1GXULg&#10;vIxIHTJr536v+993RH2SrpUbyd5HpHgzUk1DQgsz7p4XKse5B5H8z+VdFmDgHk1xfw+eBdLuiyZl&#10;80ZPtjj+tdkkkW4NsGPcV9Xg1+4ifnubJ/W5Mk+zRufmzj8ahlii342n2GTV5bmHAyv6Uvmxlt7J&#10;8o6DHWuhSaPPu11E09IbSSOUr+8LDr2Gaf438UX3hVBdaVcrDcz4jBKhh3J4P0qFZUMo3ggbhn6Z&#10;rO+J17pl74fUIvmXMUgKMo+5Xi5ulz05s+o4bnKpGtT6WQzw98b9UsW2eIIhexdpbdVVh9RwD+lb&#10;138cNBa28yKO+ZmyNpjRSP8Ax6vBCxPFQORIG9B0riPcvbQ9M134tS39zbx6YklvAXBnkfG4juow&#10;eB71sQLHHqLgHKGQsMd8jJ/U14r908V65pNxtFjCwLPsyWJznj1+lDcdItbtDpxk3KSeii/yN7Mf&#10;92kIhcbWQbT7U/f6LSb/APYr6pJI/OUpdDPlRYmIZOPbvWz4iuQPBVnc5ysZUY9wCB+oFQEecmPK&#10;yR7dauajpUuqeBLuzTCyJl493qOQP6V5uc2lhU30aPpOHqzeKcG90zxidIlLMI13Hqfc02PVJ7RJ&#10;4rVljEqbJMIDkelNdiUGeuazVk3byT34ryW76nv2toM+5KsncEGvUdGUSabE4BdFcgbjg4IJB+uC&#10;K8tm4CnvgV6toIli8K2FxuRllfJVhk8Jt/L5c1UbKcb90D5uSdl0Zaa1IbAK4PTAJz+VPFqqjLRO&#10;c9zhP51IL2U/u2Yqh/ucYqnN5iMQwyTyCe9fZJyeh8UvaN2E1AwRadcqqoCYyMglj/hXDTyPb2sk&#10;sbEOg3K3cEdDXZzK8ltKmB8yEdPauI1ZxDYSK2QzYUA9a8TOItODPdyhNKd2Sjxp4jurbbdavdyq&#10;pU7TIRkDOQfrXNyTz3E/mXEryM3BZ2JNTR4W3GenSqrr8hPoa8Y9g9A+Fsrw3+oBe8a5/M16dJfS&#10;+SAUGD615T8OTIlxezr93Yqn65P+Br0HUbmaOzgPHzf4V6uDo81NOx8xmtWrHEcsHo0TyT+YpQAb&#10;nBA9zWHdfaYXw8ZU/wA6ktbiaW4WPIwTznt71o+XMiNz5ijnDDOPpXqxj7J6nk8vs2nMyPtM0Cnc&#10;S0no3IT8+9VRcNnIiUP1DDPB+lX3sxLlrcNu6+XJwaoO08TlCBER1wMGutOLR30bNprc0fEHh2O3&#10;t9DvlnkYSSK0h2qoB27s4AHcH86rajIWZskgLwAB90Z7cdOD+RrpdYKt8O4bqSbM1oqzINwySO35&#10;cV5VceMY5CT9ilTJ3ArKOD7fL9Py9+Pga0Wq84LWzPuYSj7KM31RszNG1lIZCgVCpPHoGGBgdz/K&#10;uZFh9p1WOMOEAfZuPoTwf5fnSy+K7d7M262JwzBiTL09hx/nFTaDqceo+JLZTEEDcOSc9Oc/nTim&#10;tzObUrWOl1qSXS/DraXlsJ8rbhg5Jzj9a8+l285A+td54utxGk0XnFm+0EA5yMDNcFLDMpPyMQOp&#10;AzXoYiScKduxw0qSp1KnqQfKDnAPoQMU+CQx3cMuV+V1bkZHB70q30iJ5aiHA4yYEJ/MjNVnya5k&#10;7M3ep9X2eq2/iD4bX9pMUjl+ySW+1AeuzggfiK+YJ2ZPkI2lRgg16doviKWDwuYgX3SQY3KPVQMn&#10;/GvK7mYSPI+DhmJ/WrrJxrNJWW6HTivZKV9dhkr/AC4zUUMhhmSRTgqwYH9ajZzt+ppSeR9Knrcn&#10;c+lL3V7b/hW8Zs5op7maKNSgIY44zxXnSXbpNvLEHoar2U1xFZ2cCO4FvHjcOMknPH4Yq01y0vM8&#10;ayH+8Rhvzr6HK4TcHOStqeZmMIc666ALu6jJUTPkf7RpRe3X8RRv95Af50SW0UyLJHMUY8FX9R71&#10;BJbTwgFj8vqOlerddjgjCD2MbxDdTC/UqxjDRgjyjt9fSs4eINcUbV1W9CjgDz24H51a1tibhMnp&#10;HjP4msjH+3Xy+YJKs0j2MKnGmkzZ13Uxca1NOHLyFW3sf7249u3FcxJMc8nvmug1u08vUbxxxkk4&#10;Fc0UaRtqgkjJ/Ac1xSo+xbp32O51vbL2trXJFyU3+5r0T4Z6rDp1tqPmOd2VdY1XJfCt+mSK8+bi&#10;1TjrzXZeD7Urpr3AABkcjPfAH/1zTp4X6zL2V7XMp4n6sva2vY6SGeYQkSjDuxZihx1OcdKMr3Vh&#10;/wAC/wDrU0xyf3qcsDBN8j4TOB6k+1fXUaCo01TT2Pk8RW9tVdV9SVYQV3kMqDvu6+w4qte+I5dB&#10;aG7ht0mlQ/u43b5fqcc1Iwkfq2AOijoK47xDdEagyM+5UCqB9etYY6p7Kg5F4Ch7WukyXxP4pu/G&#10;M63tzClt5EexY1OVz361yG8+Yc8mtCO3u9TuhZWkbOzNwBViXw5c2usfYseYQf8AWDhTjr1r5GPL&#10;HRH18lKpr2MdpGB6Ve0BRceIbBCdo81cn6c1RnjMM0kb/eRypH0Na3hWAS6/C3QIrOfyx/Wuikua&#10;aSMKnuwbPSStspABd/XnFSgowxlgvoGwKoiJSeDVuC1zgkkD34r6/lstz42cXu2SrbxMerf99VOt&#10;jER1b86lgtYuhcHHpWpb2ULY+YkVy1KvKcqc5y5YMzI7KEMCct9TS/2baBiWkJ56Zrak06ALlXwP&#10;rVOSK2TowzXOsS3szapQrU9ZM8z8cxpDrKCIAKYh0+prg5jmUj0r074gW8Hl2UyN+8yyn6cY/ma4&#10;LRreO68RWkMoyhmG4e1eNi0/btvqfU5bUvhIt9ClDnypD2211Hw9iV/EEkjdIoGI+pwP5E1z0kXk&#10;m6ixgqxX8jXafDi0Hk3l0wGSVRc9+uf5ilh43qpGuMqKGHlLyO684ep/Kj7QvTAP1FIUH/PP8qaW&#10;ReNuD9K+i5UfCof51s33o8e4NG23YZRufQ1CZUHQUnmpn7lHL2KswmCCN1dCAykHivIrtts0iY5U&#10;kV7Cl5syCgZfQivI9XVTrV95YwhlbA9Oa87Ml7sT38ik1OafZGROxY005rV0yxa+h1MhSTDbbx+D&#10;L/TNZ0Y/du2PavIt1Po7ps9B+HzpFo9wzRlmabg9uFFdW02STtrB8BKV8MAhclpnOfyH9K6VfM3D&#10;5P0r6DBWVBHx2az/ANrkNUmSVI1U4A+YgVbedWwojIC8CgF40b5cO5yaaDJ121u3fY8uU7dBPNyP&#10;uVx3juDZpgmj3KHlCuueOhOR6dK7JpJD/DzXM+N97+G3Zk4WVTn35H9a5cXSU6T5le2x3ZViqlLE&#10;xUG1zOzPL5H2nFViTjj1qWc4eoq8FH27AHkV7ZoNskGjWk4iVXkgQs7Hk/KK8UxgivZtLCpo9mvz&#10;SEQp0OB90V35fTjUqO/Q8vNp1I0EoO12ajXCJ2dz6KKUTXDAFbVUH96Q1W+13CjEapGPYc/nVO6v&#10;TbxmW4lx6ZOSa97k0uz5iNFvSxtQySvIN0mQOSFGBUb+I7OxieJZo5Qh3GHzANx+tcTqOuXV1A0V&#10;uzRxH7zAcmueI+bDruXvmvFzGvTlF0d7nvZTgKtGqsRe1iCRN6vg7euBnNZIhKtktwOtdBJZ27Iv&#10;78JjtnNU5tOyMQSrIc815aaWh9BK97mbPhwNpBr0fw/fpNodtaI0RMeDhX5ztA6fn+decz27xnDc&#10;YotvPRvMt3IZT2OK1pSgqkZzV0iJ83JKMXZtWPVy7/3R+FSIzSL5chAA+43of8K4fTPFcsbrDf8A&#10;AHG4D+ddZDPFPCskdxGysOMGvraOIp143gz5evhp0X7yJpEkSQq3BHauF8RRR/b5flAOc5A713qF&#10;ZxseZAy/dO79K4rxPD5eoTgEN8oYEHPUVxZv/AXqdGVy/fNPsc+sMl3IkEQAIVnx9AT/AEqs/IIG&#10;ea2fDyLLrgDuqqIXyWOBypH9azooVCb2OeSAK+e5bQ5j37+9Y6rwGHW2vip4LJ/Wu71dXCQK8igK&#10;v4/lXDeB5Y4rWdXljjYyjljzjFdTrV1bvdJtu43UIOQwPc19BlyXsYHzOZxvi7pDIZZFnjWM7SWA&#10;3dT/APWp02oXM25Gk+Qnge1UY57cFmNzHlUJHzDr0qL7RAf+W6f99CvWcIt6mDoqUryRcV5V5WRg&#10;f96rCXskqiO6Kso6PxuFZRuIf+e8f/fVNNxB/wA9o/8AvoU3GJsqNyx4l1HULTQXMUqTWhHlnCjK&#10;g+teYM3yDrXe6lJFNpVzCsyncucBuuOa4KUYAr5bM8JGjW9pH7R9Bgq1SVFQqO9tiJV3Zrp/BFlJ&#10;NrUkqMqmGMnc3OCSB/jXP+V5T43BgVVvzGa6nweBHa3kpk2MzKBzjOP/ANdcdCkqlRQextWnKEHK&#10;G5q67E8VhtMgfEvLZ5J9a467eYqQCAO+Otddqa5sS24EFgOtctfEJDnHJ4rpzKEadSMYbJGeFc3B&#10;yqbtmUYJFMbMCBKMqT3GSP6VKYG3hA4ZvboK39Q05hothONpeFQrjPOCP8/nWd5cjRuIYiXYYwo5&#10;9646kOS3mjePvI663jEGkiD5siDae+TtrgpuIuK9EhRZLVQ0+F8sAk9egB6fWuduLDSLuSKGKR7U&#10;RqTLI2WDc8fjiu/MK1P2NNRd9Dko6Tlc5v7JN/ZwvCP3PmGLP+1jP8qIlDyRKehYCuoksln0dNOt&#10;ovKiE5lDSNlnOMcfhiqSeH54L23WSWA/vASFYsdoPJ4/lnNeapwutTZTTudh5YUABuBSbBn7/wCt&#10;O82B2OwxsPUNxTle03/vMgf7Lj/CvtqMqfIrNfeeLU5nJtphHEGV03ZOMj8P/rZqNd6cIxz6Cty3&#10;bRIlVmul3Dn5mzj9Kp6k2mCMGxuEJJ+ZRmj6xS5rXOONbmnblf3HJeJYwBbt8u85DbfwrnttdH4g&#10;2eTAykE7yOD7Vzp618/miXt9NT38Lf2epvX88d7fSyx8o6459f8AIrD0oFLi7k28JBIPzGP61qRw&#10;yiGLMZUN8/4dqq2ISO31RmODlVC46j5s/wBK8yVZzk6j3Z1xpqEFBdDOl/49k+ldVomqw2mlWtsQ&#10;28gnA7kk1yzYa1X1xWlHmC4tjydgQgKO+Af61VPESoy54bk1aUaseWWx1ttqqSXEaMD8/wB0bwue&#10;cdT71ZnvJjBLdPbTG3hJBkXlFGcdQMYz3rkEnRZmMqncrEhcn1zXpsurxXHgOG0S2cW2pb4CxYBk&#10;x3xjnpWss2xN9znWXYW+sTl31ZFQOInwRkYbP9K4/VD5k+5zmSQ5IHYntW9rVx9htoYVjaNVjG0s&#10;u0uP8KoLp95ZaINdmijKSyeXG7uCQSM8LnJ6dccVhPMK2Jjyz2Oilg6NF81NWZZ8EPDb6xJJcfLh&#10;CAG4NdTe3FpNIY7cAgMdpxyM9a4fRtUtrDUJJtUsWu0ZSuzeyEN2OQR0/Gul0N9Lv/FU8ceow2+l&#10;pC0xmmYgxgdQMgFj6Y9q86vRlKfMj18LiYU4OMjg9Tcy6lKm1VZGKnHc561p+F5Db30riHzMgRgn&#10;gAk55OfaqetAXHiLUJLNZpYjM7ozL8xXPDHH51veElmtra9lWHcDhGLLznr+XFdXtZUo88d0ebNK&#10;pJrozc+23iwvIIo1VSB8vf8AEGpI59Rd8CCPoDlj2xnPWq8Goiew+zRwYgT53LMD5eTnPP8AX9aL&#10;m4lu4I1hLC1J2tuc75j9Oy/5+gs0xjerMVl+F6xL1nquo3DyrAluUiVmMnO0hRk455p7+KNXsowW&#10;W2GewyT/ADqPT7i4E01skMKsttIcNzwEJwMHH+e1ZVwjRWsTyEFHdTnIweM/4VnLMK0upUMvw9KV&#10;4x1N2bxVqwglk8y2dImCuVRuCaqXHiTUILVLl2g2sgk2heQCSB/Ksycym1uI4sCCZ05yDgk9vTpV&#10;m80OLaPMEktttB3iUE4PAA+h/rULHVI2be5dXD06mko3MXW9bm1e3gMm3arHGFx6VgaTcNZ60LqM&#10;ZaHcw79iP61pXNuI44hvBU5ITbjZ2wfese1mkgv2eEDI46Z711Ko5rmbIjShTjyRVkNklM0l1Ixy&#10;XYkn6mup0G/v9L8PRyW6q0csrkAAE8DnqPauWYASXAC7f9n0rqPD7R/2LCHQON7goRnce35ZpTqy&#10;prmiN04zXJJaGvYeJb+5gkne48hEO0YjViTj6cdh+NTRa3q9xbGZ7lFTO0AKhOc4/u1HDDbtFshi&#10;eF+oQ8o3uf171egtYJbRA00Kqsi5ETgMR349OfTt1rmlmVa+kghl+GvbkRITqiWYuJb5VXbuOI14&#10;FV9Pu7+/UzG+EFpGcyzyqoVV9u7HOQABzV7UdRtn037FAPMK4z2ZlHv0zjj8Kzr7XLK+gigh0pVg&#10;iGYrcHhTt5YsCMnrz049sVVHG4mSvKTFVw2FjtBGVf8Aii7iupVtLh5LcMQruqqxHYkDOPzrlrli&#10;7vM5BeR8/wBa6BbC3ntmdMl+FVCu088k5/Qdq19NsYl0b92kD3KfNtUAk8+v6VdXGSUb1G2dGAwM&#10;K9X2dNKNzltBWb7PqyxzmINFhvQjnrWGn+qx716Rp8UOo2F3JsVHkBRiRggivOFUqCuDnPpSo1/a&#10;trsa4zBSws7N3v1R6D4EikuNFeMXs8GyRvkTp0BzW7Na3kc5jTU592eMnqO/f61zngWWKGynabI2&#10;yEkZA/h/zmui1XU7X7KWaWPeFLKQwbcQPr7+/U1yYjF4inW5KbdjKnhMPUjzzgm/Qxl1DVJLdJft&#10;krLJcmFTvIGAcZrbFrdm1SRdRuQxbDAy8Y/n1rFS5tYtL0aFJYwUKPKdwPzlg3I9s/pWxaX6BZP3&#10;sLrnfuZsr15yB3/GirjMQleMmQsLhk9YL7kUL97/AE+CR5by4fPETLJxnrhhnjjNU9bltn8GXJu7&#10;yaS+e5C26sSQ6j73qPWrWu6jHctaxfKYAd2FTg9vr68ZrN8T20cXhPTWi5VbmQfTIJwfcV0YfE1a&#10;kFzt6kSoUIy92C+44G4++B7Vc1SzNn9jBGPMtkfGc9cmq+1Zb2NWyFLgE+2a6HxtFHHqdnGmeLZQ&#10;T26nGPwrocrSSC2hztnbPd3McSdXcKPqa9Ol06O2ZI47pZIvLGwKcnOQP5c1geEbOIQyyywqHVw0&#10;Msi5yRnp+ldl5jyeY0zW3yqHjZP7w9MnPr6CuPE4yVKXLTdmenQymrVoqtZNeZRj0+JdHurq4l2S&#10;xuoQ9Aeu7A74wK5S+u0llDRPkZwAwwBXV3Vi0nhy/eOdn+dSOTyckE4rzlJMXRA+bHTPSt6GIq1F&#10;rJ/ecdah7N8so2fobDTF4/30zCEckZ4NZ092hH7tNqj361LMpldA54x0FRzQqvKkNt7dq1M7lcF5&#10;lLnIUUwylU+8c0kl2WVY84UdhTTmR8L0x1pCGrI8kmN2R71YlWWEK7KNp6EVTJVDnqaspc74ip6e&#10;9Go1a5HOd65K596SyvpbO4VgcpkblxnIpuSHK5ynYUk0Owqyn5T29KpNrYlq56hq3iTRNd+xPpum&#10;GAKMSkxhfTgY6n61yviK2NpO0e8uGTeCVwQMdDWd4eJlvEt3cKjHkngDj17V1upaMl/cTJHOBHFb&#10;gs+Cx71hVqyjUXM9DWnSdT3YLUwPBNvb3PidUuk3x+U2Rz/Ssm6jSO7mjj4UTsiD0AY11ejaNb6d&#10;qImtr15iYmVl2BSeOQDk1garNFd6vNcof9YwbCrtGcDPH1zThVU5+69LGmIwdbDpOrG1y34Xh82G&#10;9XaMq6kZOOua3ru0j+ysF3pcoocBQSGycEfhWZ4KgW5vL63YON207wSAMbuvH0rvJdKiUBncbcH5&#10;dpBK8Hg885rjxeIlTq2TJpwTjexzt9aiytbdXiiJkYF5TuyowSB97HTFYjD/AEl0E4YZOCrcHGen&#10;txXa3lqLrTniaJpJRdxJIo9QrA4P0FcbcaZLBdRsIxEFwBlcHjvjuacK85RV5MOuwySQ/Y2TJEqk&#10;gnJyeeP51Dpvm3c0+XYqOFGf8+n61PqWxI3dSC65OV6En/IrKs7l9Pu22tyjY6nmtoVJuLabDS+x&#10;qWVpe3l+1l5uWKMxycYAXLf/AKq46cjp79q60Xc0esS3kJKzJGzqQM4yvNco0fmXCL/eYCtqbk3q&#10;Zzeg65DRzusilWAQEEY/hFbuksiaRCRuB+1YkPQYI9fwqj4kcXPiC6dCD0DFV2jIAB4q1p80n/CN&#10;PGxykU4ZR78Z/nWknoQmd1qjtF4cXTHSNUhUTKwJJcsVP6A4rlLvw/fXE1qQkPlyYc7pAvy/jXXa&#10;5E88Nlt+5LYW/VsfMe/v0NU7qcSSIGGVRQowPSuCtXlRbtqe9lOW/wBoNqTsl1QXVhBzEVTypo8F&#10;j0B9QfY4rjksp5pmt1LBg2Cq5OT+HWvRNPjg1G3jt22xHlQ5Y/KT/wDqH5Vzc8Eeka7M0rzBkG4L&#10;C21g2Ofm59ayw2JbupHPmmD+qTcb7FaGMlJbcSPIyJsMB6cEe/rmsq532UjxMqrKX2mP6c4P5inx&#10;3Nvb3f2iJZUlBJQlxg/p9aBNYGF5nQGV/lJPIz1Oa6lpqzwN2V7m9uLlRHFbrG4JIxxgegzSPFM8&#10;UYkjeORM7iO/TB9qb5sM0w+yRMmMbkZshj3qBryaAyoRgkbHzyfzrRLshpJHaaHLL4elilu5PMgt&#10;csYZTuGCMnCnpzVaKe3vtehudzCC4uBI0TDAUNzjjt6VzM1lqv2SK+u4JktJvkSV+A2Og/IVPp8x&#10;F1FFGwiPmjYTyqc98/Wk4O7dzalOUWel2n9mSq0i2cB2koCxXv0+U85qCzgt4itqbAszklSY+XPU&#10;gE8YxnjFYcutxXbx2ls6WrqwPmsuRIfw7c8frXVJMI838qwXR+VX8sFSmc4xzwcDp9K8urzw1bZ6&#10;dVx0scx41WGPTQfIRGE42YQA9DkZHFcD5/q4z/u12fjXUXvLhIOHjh+dlx0Y9ie9cURknp/3wK9b&#10;L7+yvLU4KzTkdnqN3HbXTB4BjjAU4A49K5eG6kY6iWQKZUJHtj/6xqc6j9pYLMDkd6hkiiQTOrkg&#10;xnj05FXSg4wSYSdykHzEoNbkNzIsFpKIgVklQM2OuMDH6VnJa2/kmSSQjHJArrtB020udEtHmXcR&#10;l0G7pzxU15qEbsIRctDm0sZ7u+nkRWO1jkgdM5r060toR4J0gXokVEllOF6sc+prC0TES7I0USO7&#10;guB1G49a7DWbgQeD9PmYqxDuAT0JzisJV+bmh5Fqla0med3UFjd6taPeT/6JG5WVIzlkRcEn8cnH&#10;0NY+laxZ2uu2c18ktxY20zHYx3EoTn7p4z3qbxdF5Gs3AMkJkmczOsQwEz0GO3r+IqppP/COvp9/&#10;Fq32qO8Kg2s0XKgjOQR78f8A1q2oxtTSHJ3loSWto3iXxDdfYo2ZWaSZI3YKSgycHsDj0rFjZheq&#10;UUqd2No+vSmRyPEMxuynJAKnFJko4ONp6g1t0MrHcW+rOt7HbWQO+aEq7428EYPUc8cfyrXVpJYf&#10;3jOsvHGeB9K5jw5a3A1Oa8KCSIBlV1+6Wz1Ge3WulacHJYbZPc15ONbi1FH1PDOXU6ilXlq72Ea2&#10;gaaWeYL5IIIiTGJGx1fucdu361HcL586lWXcuMDGMVHlpBwx+nrUQ3hs49q5nVnJJN7Huz4cwknK&#10;Wt3+Bo2Mkja3cMIlQPay9sH7h6flWRBLBemFZFWNQrZIGcnI5/Imt/Q9z3L7uV8qRf8Axw1ysJjj&#10;mEKybdiFgQM7jnP9e9dNJ80fQ+SzXAvBVlC9zesLSD7FqKkF0RoSQxwP9YBwR7Gr1/dI8MEUVuyy&#10;+R5PzLwwyTyc5zms7THK6XqzRFSo8p8E5xiReorTu5Ha9MgTADhueOozxWVZtWZeVYfD4iThW67H&#10;A+IJFaVDEytGB8pUY785981R0SLz9TeMIXLxsQB6gZ/pXZalpNhLdee0f3iSY88ZJ5NOtbXT7O8F&#10;7b26xSpwp5I5GDx0rshiqcadjR8OYyU24pWucRqChtVvdo2gMVx6c10ngmzF+r2zo7RmX5WXHXHI&#10;54HA/SqGu6U6yXN9Cd8UzF34wUJP8q1vByNa6Q8u8jzHO0KMnjr/AJ961q1Iyoc0TyquDq0K/sqq&#10;szsVtLCKeeC5VY1ijUqpkyzMxIC57jjtWXqqWcCxS2xje73hWjxtRsds5A7c+uanuRHaeTf6kBM8&#10;gAhtzJsaYDPzMeqpz179B61ympQzSWb3Lp5DOCck5A5+6v6dK4KNBtqTZOLUF8JHqFzb6jOTIkFh&#10;dxcylD8p2kDjHc/0q4P7NmuI0QvEYkILEZDMc7sYGSMY7eua5MX4EIjkUlwfvD0/yalW+knmeRmS&#10;OALgoOAR6D3r0vZ3Wh5ziaE2obZ444LlFSIEM0Z8syBuoJ4zxUltqd7aXMbRxRJGQMKCB5g7Z/Ks&#10;iO4tGdx5TqG4RidxT+WamgguGdSVRVVTIWBDqR64odOLVpGlOpKnJTjo0egSCKXSor2FlyW+dO+a&#10;zpoY5dpkhi9AdtLZtGtlbLJLlH+ZiiY/Si5Ij4BBI7jvXkRbpVNH1P0zCUoY3BRVeKvJXKctrFv5&#10;hjBHbYKb5MX/ADyQf8BFSli7bs5zTWOOtevF8yTZ8FiKapVZU10GCKPP3F/KrOnJGb5QyhgQcJ0D&#10;Hjj+dVzIo71BO5Ee6NiHB4KnBonG8WjnYT7Ly4bN15IUjDsCw64A4rQ8SafbQeB7O5jkE0jXciGY&#10;ZAYAHArAnWQeWiEpuODgfnW/4gSWH4YaXCFIiS9l3SEdBjj88n8qmnG1l2Ieu5587FZUfIOCDWr4&#10;juxe6pHslEirEqqQMcHnH61kqFypKnZkZPfHtVzUFUakQqkKFXHHONoxXQ17yYuljtLUMllAJBtd&#10;Y1wPwqUTM28c4PbNVNJuF1DThIXYyo219w7/AIVeMaxxgnqK8Kumpu5+sZXKnPCU3DVWLVnqDRaf&#10;dWe1QH2spPXIIrz64jSK/bGeuTXZAmYlEUs3YAVy+oQ4uLhSMMpIxXZgW9j5fijDU4zVaL1ZShvC&#10;9wcjI9KsTXMkpeOOMDPU1QiTyrYuSN7n5fp3NaEBRbJmcqD1292r0T48ppbRKm52yd3OO1SkK6gI&#10;QgA/OqZZ3c7eF705QQmM4J70DI3jPmEA5GetBIDhF5AOCadMvQKTgcUwqEwBnPenYQ8bRJwaZJKS&#10;4B6CmsrYMg6CmM3IIosBqaNcJb6hFIWCrnGT0FdYmr/Z9aFwrwywurLKsbZ3Aj0PfvXB2ZVpvnfY&#10;vcjtXWaCDFqDCeESRNHvVjEMEZ4I9Oa568E/eZrhp1FViqe7aN600iLTb1tUidnhkUiKIkjaT1z+&#10;FZuvaZBeTi/swIRtAkiPTgAE/pmugika5sLiJUG+IiQO7YwvTGO9Z627u4BIAYfnXmQrVIyufoMs&#10;ow9enKnU3Wu/WxU8F30VndakrOuWMUar3Yktk/hmusaa3lvwxlikt0BJicsTjkZ7fXj2rnD4fjmg&#10;nn020mF3EwC+QpbJPqPTrWppNhqFzZxwXun3cMsBB2SQFo3A9OOOvrWleCqv20T4nEYaeDqOjPoX&#10;jcQNY3DW2yNPtkRwGL4HzDOfXH9Ky73zJpVhZXKsS/mCMB9oBIXOenNaMdjqE1nPE+n3ERmmjkx5&#10;RKBc/NhcDHqR3zVqKymS9Iisr2Xy02hjB5YKkY24IA/LNS4NRTsc/McHqUA+zpbwn5mcttxyEH+J&#10;xUY06BL1pZBMwZFYKpAOfXnqK6tNGvrjXr26n0mZYVQRxLsbBUZPAx1zitGbSb+RreWHTAGjUIqt&#10;HnbjH5CtvaygkrbiOPWylubrUPLWIoEXfIVzgYPTHTPtXGbRHfxLKdoSUBs9sHmvY9L0S+i1jUri&#10;bT2RJVRY/l4PJzxXmHiXT5rXxDexNEwcSFgrLg4PIroo1HKbTXQhpcpX1dAmq3Xqzkn860LCKVPC&#10;c7GL5JJdwcexUc1Fr2i6ppLxnVYPJlnG5QXBJ/Kut0fRLzVPh9BHaWYmmDNhlYAj5snP6VvUk1FE&#10;wjds3fEKRxLohLqrtpkCqPXhv/rVzjtknjO3uK7DxJp+p/2Vp0sFqri306OOYEDchAOSPp3riIpv&#10;Pt/NJGTkED1rz8bB35uh9nwriaajKi93qTQSeXIWywz6VX1qOGaz3cJIOd2c0qEbAd3IPIpsirOp&#10;SQBlPUVxwfLJSPosbhKeJoyi43bOUmh3tlJUOOuSRTrbTdy75gwQ5/iAx789uRV3UdNitcGB8k8l&#10;WP3R6ZqjJBKdkbZKN0O7OfcevSvYhNNXR+U4nDVMNVdKorNDo5bYzCBEZpMhVOcAnPrVqaC4s/MM&#10;gWSRkDKMA9uvNVIIza8FQZFIYNt5HcnP4VN/aM/l5eOa4whWMtnC5/z7VTWuhgU7jU7+SzSzmlke&#10;FG3rGxyAcYqa2gk8mSd9oAYL97v/AF6VSed2cfNswcgAniuhm0KVLO3vml+2vdEELG2TuOcg4Pt/&#10;nFNpWsWlcijitRAkfnKJEBJB/iPbGK67TdWt10WS4MC+buCh2OG4BJIJ656Vjr4L8TX8If8AsqSK&#10;VSNhd8FlHABLHtx6VrJ4N8UHS47Y2CJJkhj56ng9e/Hf86561BzSR0uo+VXMC/txLps2qTuFe7lL&#10;RgZ/vdDxj1rmSwBI3ivRtY8HavHopg+yRpbQSGRXMwLAYAx+nauZFo8SiPyIDt+XJiUk4rpoSlTj&#10;sZzim9TDdGAJxz7URHeskZ+8wApnndg2BTElKSg+9aiLLWqxWXmkSblODjkZ7cGu68P2F3Notu0E&#10;EzlgpUpGSAP8Kf4S8K2/iCxaaLUYwS214XTNenaHp+pabAbW6ngltY1VbdEHMYHGCcc9qzq0XVXK&#10;VGpyO55rDpV9pVs8lzbXkW+RsMFIC8nH0zxWlrGsnTPD1lZX9rHsbMkJZyS2WIJKAcYyDzius8V2&#10;U2oixtI3WJS7SO5GcYwBx9WFea6vHBe6WdQe4C3STCNFOcY2EgD0yV/M1jLCqMrt7j9pzQ5Sh4h1&#10;uwkfUxLpafb7pIkSbfny9owWwOhIC4Fc5deHL60021v51VILoEwZPzSYODgCptXhMVx592xl8yMp&#10;E8TghmX5evpgCrdrYvFLY2LzJFeXjKqyTt8lqjHv6E9/St4xsrCck9zEs5U03U4JJoo51icM8Ugy&#10;rY7H2rpvEWq23i0w/ZLBoJIiY49rDyo4uoH3QSefyqLUPBaW+qX9tbaxaSw2S5lnncRfMDggAklv&#10;wz1FcuHu1gMimbyFO0uAdoPpmjfYpXj8WzOqt76Kx2WUcu7agUketJfa0I9oV/Mc8Yz0rmwyRzEQ&#10;T5Un+MdatWGkXN8ry+Zbx45AmnWMt9M9T7VhOgpyvI7KOYyoL9zozuNP0i9m0M6ubi3e34yqE7k7&#10;cjFUpmaJwM8Hmu28H6PLa6Ui3+pwEvF5T27SrIjLjgjnIOCRWF4t0Kaw33FvLFPbZGCrruXPYj+t&#10;YYjCNWlBaH0WT5+5xlSxEve3T7i+F7WfU9U8qGYRbFZmJGcgjGP1rST4ZsJmd9SjIIxjyjz6g81f&#10;8DaPHDY/2qt2DJMu0IOQoz0PvkV1w54Nxj6KK6MJhlyNyPI4gx6r4hcjukjlbTwKltbXUAu0C3CK&#10;h8uLAGGDZ5PPTH41Y1bRIINPlnuLhsIqcpFkhgMZAz34/KujwO1yx/Af4VU1Owjv9PltpbiQK4HT&#10;2Oa2qYOlKL0PIw2JlGrFXsr6nmMlvJOwdec8YIxUDxtG5Xacj1rZWZRKyqPu028jt3i8x2VSPWvn&#10;2rOx+r069opdDn72aZdJvIIkU+cgDkjnGc8fpWh8P7/StO06UapZ3jNHOW8wQF4kGB1IBI6GnaVp&#10;h13Uxab2SEg+Y69QvtXbaf4LsNOkhmi1G8MkTBgdyjOOx+Xke1ergoKcGpLQ+K4nfLiozi90Vbe1&#10;8LaxfSXSasLq7lbcS86h8+mMAgAcYxXG+KfD0a3+LLUo5bZFMkjSzpkEenI9cV6fqWk6XfQub23g&#10;cAbixjGRjnOQM9q8X8TXSXGp7oiBa7cLF/Eq8cHAxzzxk4rsqwgtUj5WVSTVmYENrPqupQ6faRs0&#10;szhE3t1P8qsXGkz6HqU1veQRSmJihVWyN2KbJcXDXZktoRG0YAR4zzH/AMC9feqU/wBuil3NKWdW&#10;zuDhjnrmoV7EpizPFkokAQht3B5X2qLFxKQHl2rgkFjge4qLMkpMhwTnJ561fg0+6vSFUCOF2UfO&#10;eF5Az+tVstR2OosWZ9KtgW3FYwM/Q1p31sX02LUohm3cbXI/gYcYNc4NSj0szabKm6W0ZomZW+Vi&#10;CRxXXfD6WPW9E1jQrshTdfNFk5JbHb8MV5NWjJOU3sfd084o0cNRhTd5W1Rwuo6nNDNi1YYUZY4z&#10;VJtWvXmU3BGCuRhexroJPB8MFw0FxfSwIThpDDv6fiOM1uw/D+3ubNY4/EnnRKcj/RAce2d3vXrU&#10;qaUFY+QxuIlXxEqjVrs4FtSkJ+8w9s1o+Hb2SbxFp0ZJIa4j465+YV1y/C60kHOrZHfFvj/2etXR&#10;PhzaaRq9vqEd8ZXgbeqyRfLntnmtPZnLzM9HCxjGEWsjxf5b+EdTidJG82Aoqxgk7j0q39tdcAtH&#10;n2jP/wAVUn247SQ6D1+Q/wCNb8qIuzwnTfDDah4ms9NkEkdoWzJMUIXAGTg4HXGK6D4laLt1yzud&#10;Nty6ywLHIsakhdvyjp7YH4V6wL9xgb4ySOojx/WgXr/89F/79/8A16jkLuePeFIP7GurltQ0e5uo&#10;Jdo8swsGU56rx1wT6V1Gr+D7q30+e9gnjdEO5YwpB2fj3Aru/tjkgeYPfEYpTOHUo0jMpGCCBjH5&#10;VhUwkKnxHpYHNsTg9KctOxgeGLWPRpUs7hIi1zEJbefH3z/Euf1/OvNfiFpUtv4nvJgMRTEOOCOw&#10;zXqeoaZPPodn9nyJtPuR5TA8lM8fp/KuY+Ids93dWyRDMjxkAY5J9K8+liPZfu5LW524qnLGS9vz&#10;b9Dx1g20IegqTJSIFsknp7CrFxCynJGMcEVAXCSEkfdHANd6dzxJJp2HiIrF8qjPU5phIAHHSoZL&#10;h2Ynue1ReY3fNOwiZj948cHgVFnfzkGo2fqSajDgDANUK5O4JG1T74qA8UbyOQeabuJPNMRf0m0N&#10;3OYxKsR2ltzZ7fTvXaeH/DlzcwW9/FqltHBHuDpKX6nqM7cAn3NcloKt9tVscZrqrfxfrOi6m8ST&#10;GW0/54sqlSCMc8Z/Ws3ZvlZrBSglWj0Z0VnYXV45ighZxggkKfTPWs5ZZZZ1gWB/MQlfLHXPpWlo&#10;njOeyvIwsMaW5l3Mm0cZPODXXX1hp2n+LbmcRD7RIPNTJ+UhhyQPX/GvOlg2mlfc+zhxJT5pNx0S&#10;/EztB8M6ujQagt/9iBkDPAYyS6jseR6muzCPn5iD9BWM13GxOY4iPoDTTLF1aNPwUV61ClGlDlPj&#10;8di54uu6z0ubZQ4o2kDJNYTGNjwiEfQU6Py8n92nHsK2904/eNsY9aXAx1rCNzAMnMf5Cmf2rAgw&#10;NhA9BR7vYLSOgwAeorLu/DujXklzLPYQST3K7ZJnyzY/2cn5eg6Yqj/a8QyePXGKBrsJTJKrn2pN&#10;RY1zIs6t4U0bXLiG41C382WFQiMJGXCjPHB96u6fpdhpUaQ2EawQrn92pzuJ7knknj1rLXV7dySJ&#10;V49qeNVt2ON6j8KXKkPmZr3tubuxlhVfM8xShUMBwfqRXnl34Quo7koj2kKknMZnDSZ688nmutOp&#10;RgfI4NINTweHGD2rCvRdTS+h1YPFzws1UhucD4k0RtC1YWe/eDEr7vrWE9zFbPiWQLnpmvU/G9jB&#10;fT21wxCSm3Uq/YjHQ15XrUkduwimtQ+OQfT8a8ZUvfs1ofb0c458E6jkuddzBuBPe3TlPn3NhcZq&#10;q6yRsqyM6BPl6c/hVhry7muvNQcryFHO0DtzUltcQyXy3N+yyRlWyiYyTtO3I9M4zXpxVklY/P61&#10;WdWrKctW2R3E5SJAkki5b50PT6gUGeRgkTSSLsBAKqQSp55qCBGvLsL837xtvsD2/DpV/WVm0+9a&#10;3upledI1XdFjB46ZHBwMc1ViLEE6WzxrK8FwokyBM/cj6da7z4fyaRZXbM4jnum/crKGIQKe5Ugc&#10;cda81aVpV2h229cE1uQ6wUsYbSGARImGJViSWxgn2zxx7UarYWvQ+gzIxx89uM9MyUb34zJBj2av&#10;CY9QkwDvbP8AvGtCx1d7a4STOcHoxyDXoRUbCvI9qzC8bJKlvMrDBDoGH61gt4L8OOxY6bHknPDt&#10;/jWdZ+IortFeKTtyPSr/APaw9WqJRTY7yPm/eSKlDNxzzRRXMbM7n4b6oLXXooc7TIcDBwCfevbP&#10;tx2jLc0UVpElnM+LPEj6MbK4SMSM6yIpZiAp+Ug+/IHFeTajf7dPMRbq4bFFFKauVDYzLW8MkgM8&#10;aSJbq8iKTt5IAH1wcHHtSatqkupSxyTSuxRAiqeiqOw/Emiisx3KDSs0YQk7QcgZq7ew32nabb28&#10;s6ta3Si5WKOXcAemSB0NFFUJNsywcc1J5mSuBzmiilYRrWc7qQTgEd62YL2RT14IINFFbRb5bEW6&#10;nSeGNYksJTADm3kOWX0PrXXLrCFvmY/hRRWNNvmaOrEQVoy6slXVVIO1s47Uq6oWk++APrRRWz2O&#10;aK945K7UW+pThOgbj6dqrXduPJRmO4sc59KKK+Zr6VZJH6xgW5Yak31Rf8Pomn6hJM0xB2cJt6qe&#10;+a6GXX4wM78UUV6+A/hnxHEbvi9Sjd+IhJCyAjawIOe4rj9dewmtI2dI1wW2KnHPfgUUV1VdrngN&#10;aHHzu1vbNDGw2ykEjPP41VuFZnQDCnOKKKyiYkslsdpMSs6r1ZfmwR34qvDdzwOpDNhc/KTx70UV&#10;RZGJC0rMfvMa6Lw9qs2k6pa3cZ/1UoYj1HpRRQ0mrMpNppo9B8aKIrmDVrYlrG/UErnjJH6f/WrA&#10;t71IvKiikeCQOC7Hp14ooqMA26Nn0bOjEr379ztI9XtF2gEM3faOM1P/AGm0qE52r6Ciiu1HOAu8&#10;nB5z3qT7Wvy/L0Gc0UU7gx3n7zkZ+gNPW4AHDH160UUCD7cqDjPPGael6p/i5NFFLoBraLdrcyzW&#10;bH/WR8fUVzviGBhJbTgHzI3zg0UV4ePSVTQ9vKm3JHA+I9ICNJewods7F8Ds3euTTTJriTAQhM9a&#10;KK6MNJunqZ5jTjGs7GlaeH7dZc3BbHpnrVmXSbDYUWL8c80UVpzO5zxhG2xiXem26N8gbIqobSP+&#10;7+lFFaxbMakUmRtZLjIqo0RVvXmiirRlI63R7NYo4nx823caz2kZruSUk5LHrRRXMn753YhKOHhY&#10;vRTH5cgEZHPpXo3iq7luNF8P63CRv8nyZD6sP/1UUV0VtJQa7nHS2kVbbVZZYVkzlW5qwNRk3DD5&#10;HvRRXSzElS+lEhK/d9Ke91LKcbtpPYUUU7AVjFIxb52PtmkNvgnDEkHmiigQ0KwPORjrQYCoPJIH&#10;SiigERCMjaw6r6U2Xc2SRnB7dqKKLDGM8gbjOf8AeoFxLGAcnPTmiik9gOh8U3DP4T0a9GclTG34&#10;f/qry/XbyebCxx7BGvzMcbm9/wA6KK8yG8vU1xGyMaay1GKJZpU8uOYEKSwGQOvFZ8UBe48rOT2x&#10;3ooraLujnRfCLCBHC7l1O0qOuahneNt5kQls9GGCPoc0UUdRlQhQx25x71atxjGPzooq4asaWheR&#10;zxVlJORRRXSgNHT7maKcCEEsxA2r1Ney23gmBrWEzXEolKDeAOhxz2oook2gP//Z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BmUu8m9AAAApwEA&#10;ABkAAABkcnMvX3JlbHMvZTJvRG9jLnhtbC5yZWxzvZDLCsIwEEX3gv8QZm/TdiEipm5EcCv6AUMy&#10;TaPNgySK/r0BQRQEdy5nhnvuYVbrmx3ZlWIy3gloqhoYOemVcVrA8bCdLYCljE7h6B0JuFOCdTed&#10;rPY0Yi6hNJiQWKG4JGDIOSw5T3Igi6nygVy59D5azGWMmgeUZ9TE27qe8/jOgO6DyXZKQNypFtjh&#10;Hkrzb7bveyNp4+XFkstfKrixpbsAMWrKAiwpg89lW50CaeDfJZr/SDQvCf7x3u4BUEsDBBQAAAAI&#10;AIdO4kDZOTeHEwEAAEgCAAATAAAAW0NvbnRlbnRfVHlwZXNdLnhtbJWSTU7DMBCF90jcwfIWxQ5d&#10;IISadEEKEguoUDmAZU8Sl/hHHhPa2+OkrQRVWomlPfO9eW/s+WJrOtJDQO1sQW9ZTglY6ZS2TUE/&#10;1k/ZPSUYhVWicxYKugOki/L6ar7eeUCSaIsFbWP0D5yjbMEIZM6DTZXaBSNiOoaGeyE/RQN8lud3&#10;XDobwcYsDhq0nFdQi68ukuU2Xe+dbDw0lDzuG4dZBdVmEBgLfJJ5WT1PImzjGzqNBOjwhBHed1qK&#10;mBbCe6tOwmSHICyRYw+22uNNSntmwlD5m+P3gAP3ll4gaAVkJUJ8FSal5SogV+7bBujZZZHBpcHM&#10;1bWWwKqAVcLeoT+6OqcOM1c5+V/x5Ugdtfn4D8ofUEsBAhQAFAAAAAgAh07iQNk5N4cTAQAASAIA&#10;ABMAAAAAAAAAAQAgAAAAdBcCAFtDb250ZW50X1R5cGVzXS54bWxQSwECFAAKAAAAAACHTuJAAAAA&#10;AAAAAAAAAAAABgAAAAAAAAAAABAAAAA6FQIAX3JlbHMvUEsBAhQAFAAAAAgAh07iQIoUZjzRAAAA&#10;lAEAAAsAAAAAAAAAAQAgAAAAXhUCAF9yZWxzLy5yZWxzUEsBAhQACgAAAAAAh07iQAAAAAAAAAAA&#10;AAAAAAQAAAAAAAAAAAAQAAAAAAAAAGRycy9QSwECFAAKAAAAAACHTuJAAAAAAAAAAAAAAAAACgAA&#10;AAAAAAAAABAAAABYFgIAZHJzL19yZWxzL1BLAQIUABQAAAAIAIdO4kAZlLvJvQAAAKcBAAAZAAAA&#10;AAAAAAEAIAAAAIAWAgBkcnMvX3JlbHMvZTJvRG9jLnhtbC5yZWxzUEsBAhQAFAAAAAgAh07iQGIK&#10;Z/PVAAAABQEAAA8AAAAAAAAAAQAgAAAAIgAAAGRycy9kb3ducmV2LnhtbFBLAQIUABQAAAAIAIdO&#10;4kAtCCVY6gIAAPEHAAAOAAAAAAAAAAEAIAAAACQBAABkcnMvZTJvRG9jLnhtbFBLAQIUAAoAAAAA&#10;AIdO4kAAAAAAAAAAAAAAAAAKAAAAAAAAAAAAEAAAADoEAABkcnMvbWVkaWEvUEsBAhQAFAAAAAgA&#10;h07iQI6+N+NvPQEAYD0BABUAAAAAAAAAAQAgAAAAYgQAAGRycy9tZWRpYS9pbWFnZTEuanBlZ1BL&#10;AQIUABQAAAAIAIdO4kD0Wiq+A9MAAPnSAAAVAAAAAAAAAAEAIAAAAARCAQBkcnMvbWVkaWEvaW1h&#10;Z2UyLmpwZWdQSwUGAAAAAAsACwCWAgAAuBgCAAAA&#10;">
                <o:lock v:ext="edit" aspectratio="f"/>
                <v:shape id="图片 14" o:spid="_x0000_s1026" o:spt="75" type="#_x0000_t75" style="position:absolute;left:6122;top:4543151;height:3131;width:4127;" filled="f" o:preferrelative="t" stroked="f" coordsize="21600,21600" o:gfxdata="UEsDBAoAAAAAAIdO4kAAAAAAAAAAAAAAAAAEAAAAZHJzL1BLAwQUAAAACACHTuJAFk/BRb0AAADc&#10;AAAADwAAAGRycy9kb3ducmV2LnhtbEVPO2vDMBDeC/0P4gpdSi27g1NcKxnSFEI2O6HQ7bDOD2Kd&#10;jKXYqX99VChku4/vefnmanox0eg6ywqSKAZBXFndcaPgdPx6fQfhPLLG3jIp+CUHm/XjQ46ZtjMX&#10;NJW+ESGEXYYKWu+HTEpXtWTQRXYgDlxtR4M+wLGResQ5hJtevsVxKg12HBpaHGjbUnUuL0bBUqTf&#10;52R+2S797vCT7nk6Fp+1Us9PSfwBwtPV38X/7r0O85MV/D0TLpD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T8FFvQAA&#10;ANwAAAAPAAAAAAAAAAEAIAAAACIAAABkcnMvZG93bnJldi54bWxQSwECFAAUAAAACACHTuJAMy8F&#10;njsAAAA5AAAAEAAAAAAAAAABACAAAAAMAQAAZHJzL3NoYXBleG1sLnhtbFBLBQYAAAAABgAGAFsB&#10;AAC2AwAAAAA=&#10;">
                  <v:fill on="f" focussize="0,0"/>
                  <v:stroke on="f"/>
                  <v:imagedata r:id="rId133" o:title=""/>
                  <o:lock v:ext="edit" aspectratio="t"/>
                </v:shape>
                <v:shape id="图片 11" o:spid="_x0000_s1026" o:spt="75" type="#_x0000_t75" style="position:absolute;left:10466;top:4543188;height:3088;width:4043;" filled="f" o:preferrelative="t" stroked="f" coordsize="21600,21600" o:gfxdata="UEsDBAoAAAAAAIdO4kAAAAAAAAAAAAAAAAAEAAAAZHJzL1BLAwQUAAAACACHTuJAfvO/K70AAADc&#10;AAAADwAAAGRycy9kb3ducmV2LnhtbEVPS4vCMBC+L/gfwgh7WTStB5Vq9CAq7gqCD8Tj2IxttZnU&#10;Juvj35sFYW/z8T1nOH6YUtyodoVlBXE7AkGcWl1wpmC3nbX6IJxH1lhaJgVPcjAeNT6GmGh75zXd&#10;Nj4TIYRdggpy76tESpfmZNC1bUUcuJOtDfoA60zqGu8h3JSyE0VdabDg0JBjRZOc0svm1yi4LtfT&#10;7/2h9/Vj57syWx2nB3e+KPXZjKMBCE8P/y9+uxc6zI+78PdMuECOX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78rvQAA&#10;ANwAAAAPAAAAAAAAAAEAIAAAACIAAABkcnMvZG93bnJldi54bWxQSwECFAAUAAAACACHTuJAMy8F&#10;njsAAAA5AAAAEAAAAAAAAAABACAAAAAMAQAAZHJzL3NoYXBleG1sLnhtbFBLBQYAAAAABgAGAFsB&#10;AAC2AwAAAAA=&#10;">
                  <v:fill on="f" focussize="0,0"/>
                  <v:stroke on="f"/>
                  <v:imagedata r:id="rId134" o:title=""/>
                  <o:lock v:ext="edit" aspectratio="t"/>
                </v:shape>
                <w10:wrap type="none"/>
                <w10:anchorlock/>
              </v:group>
            </w:pict>
          </mc:Fallback>
        </mc:AlternateContent>
      </w:r>
    </w:p>
    <w:p>
      <w:pPr>
        <w:spacing w:line="360" w:lineRule="auto"/>
        <w:jc w:val="center"/>
        <w:rPr>
          <w:b/>
          <w:bCs/>
          <w:sz w:val="21"/>
          <w:szCs w:val="21"/>
        </w:rPr>
      </w:pPr>
      <w:r>
        <w:rPr>
          <w:b/>
          <w:bCs/>
          <w:sz w:val="21"/>
          <w:szCs w:val="21"/>
        </w:rPr>
        <w:t>图6：潍坊安丘数字经济人才小镇项目</w:t>
      </w:r>
    </w:p>
    <w:p/>
    <w:p>
      <w:pPr>
        <w:spacing w:line="360" w:lineRule="auto"/>
        <w:jc w:val="center"/>
        <w:rPr>
          <w:b/>
          <w:bCs/>
          <w:sz w:val="21"/>
          <w:szCs w:val="21"/>
        </w:rPr>
      </w:pPr>
      <w:bookmarkStart w:id="535" w:name="_Toc118323517"/>
      <w:r>
        <w:rPr>
          <w:sz w:val="21"/>
        </w:rPr>
        <mc:AlternateContent>
          <mc:Choice Requires="wpg">
            <w:drawing>
              <wp:inline distT="0" distB="0" distL="114300" distR="114300">
                <wp:extent cx="5328920" cy="1978025"/>
                <wp:effectExtent l="0" t="0" r="5080" b="3175"/>
                <wp:docPr id="228" name="组合 228"/>
                <wp:cNvGraphicFramePr/>
                <a:graphic xmlns:a="http://schemas.openxmlformats.org/drawingml/2006/main">
                  <a:graphicData uri="http://schemas.microsoft.com/office/word/2010/wordprocessingGroup">
                    <wpg:wgp>
                      <wpg:cNvGrpSpPr/>
                      <wpg:grpSpPr>
                        <a:xfrm>
                          <a:off x="0" y="0"/>
                          <a:ext cx="5328920" cy="1978025"/>
                          <a:chOff x="6119" y="4546819"/>
                          <a:chExt cx="8392" cy="3115"/>
                        </a:xfrm>
                      </wpg:grpSpPr>
                      <pic:pic xmlns:pic="http://schemas.openxmlformats.org/drawingml/2006/picture">
                        <pic:nvPicPr>
                          <pic:cNvPr id="110" name="图片 11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a:xfrm>
                            <a:off x="6119" y="4546819"/>
                            <a:ext cx="4152" cy="3114"/>
                          </a:xfrm>
                          <a:prstGeom prst="rect">
                            <a:avLst/>
                          </a:prstGeom>
                          <a:noFill/>
                          <a:ln>
                            <a:noFill/>
                          </a:ln>
                        </pic:spPr>
                      </pic:pic>
                      <pic:pic xmlns:pic="http://schemas.openxmlformats.org/drawingml/2006/picture">
                        <pic:nvPicPr>
                          <pic:cNvPr id="109" name="图片 10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a:xfrm>
                            <a:off x="10463" y="4546820"/>
                            <a:ext cx="4048" cy="3114"/>
                          </a:xfrm>
                          <a:prstGeom prst="rect">
                            <a:avLst/>
                          </a:prstGeom>
                          <a:noFill/>
                          <a:ln>
                            <a:noFill/>
                          </a:ln>
                        </pic:spPr>
                      </pic:pic>
                    </wpg:wgp>
                  </a:graphicData>
                </a:graphic>
              </wp:inline>
            </w:drawing>
          </mc:Choice>
          <mc:Fallback>
            <w:pict>
              <v:group id="_x0000_s1026" o:spid="_x0000_s1026" o:spt="203" style="height:155.75pt;width:419.6pt;" coordorigin="6119,4546819" coordsize="8392,3115" o:gfxdata="UEsDBAoAAAAAAIdO4kAAAAAAAAAAAAAAAAAEAAAAZHJzL1BLAwQUAAAACACHTuJABNzzYtYAAAAF&#10;AQAADwAAAGRycy9kb3ducmV2LnhtbE2PQWvCQBCF74X+h2UK3upmDRabZiNFWk9SqBZKb2N2TILZ&#10;2ZBdE/33Xb20l4HHe7z3Tb4821YM1PvGsQY1TUAQl840XGn42r0/LkD4gGywdUwaLuRhWdzf5ZgZ&#10;N/InDdtQiVjCPkMNdQhdJqUva7Lop64jjt7B9RZDlH0lTY9jLLetnCXJk7TYcFyosaNVTeVxe7Ia&#10;1iOOr6l6GzbHw+rys5t/fG8UaT15UMkLiEDn8BeGK35EhyIy7d2JjRethvhIuN3oLdLnGYi9hlSp&#10;Ocgil//pi19QSwMEFAAAAAgAh07iQPRonUsHAwAAQwkAAA4AAABkcnMvZTJvRG9jLnhtbO1W3W7T&#10;MBS+R+IdrNx3idP0L1o7jXabkCao+HkAz3ESi8S2bLfdhLhDAu6451GQeJtpr8Gxk7ZrN8SEEEiI&#10;iyTHxz7H3/nOOXYOjy7rCi2ZNlyKcYAPogAxQWXGRTEOXr867QwDZCwRGamkYOPgipngaPL40eFK&#10;pSyWpawyphE4ESZdqXFQWqvSMDS0ZDUxB1IxAZO51DWxMNRFmGmyAu91FcZR1A9XUmdKS8qMAe2s&#10;mQxaj/ohDmWec8pmki5qJmzjVbOKWAjJlFyZYOLR5jmj9nmeG2ZRNQ4gUuvfsAnIF+4dTg5JWmii&#10;Sk5bCOQhEPZiqgkXsOnG1YxYghaa33FVc6qlkbk9oLIOm0A8IxAFjva4OdNyoXwsRboq1IZ0SNQe&#10;67/slj5bzjXi2TiIY0i8IDWk/Obr++vPH5HTAD8rVaSw7Eyrl2quW0XRjFzIl7mu3ReCQZee2asN&#10;s+zSIgrKXjcejmIgncIcHg2GUdxruKclJMjZ9TEeBQimk17SH4LsU0PLk9bFsDuKG/suxt44XO8d&#10;OogbRIrTFJ6WLZDusPXzGgUru9AMuHfexHLO6Vw3gy1jGENADWPXX77dfPqAnAZgOxu3rDEiDs25&#10;pG8MEnJaElGwY6OgMoEJsF+rtJarkpHMODU4CXe9+OEOkIuKq1NeVY57J//eDkI6ZfUFg8LQTzPA&#10;SeFMsFAbSnNhfalDbs+Ndbu7LPtifxsPj6NoFD/pTHvRtJNEg5PO8SgZdAbRySCJkiGe4uk7Z42T&#10;dGEYsEKqmeLrzsPJnVzdW9lt9zU943sPLYnvcEecB7T+eoigcgw5rEbTF8C9Ly5jNbO0dOociGz1&#10;sHgz4VnfEu1SYqAJnMVe2d9fvuv6T3BvW7yJT+/Wg9LGnjFZIycA3wDPE0yWAL4JaL3EbSyky7oP&#10;oBI7CkDuNB50A9OLgLqpSRD+QFdE0Ma7XQEagLtbz/9AV7iM/u+KJrE/6AocJf3u9lSHG8DX7aYt&#10;4EjYnOl/pS381QF3qz8u2v8Ad3nfHoN8+99n8h1QSwMECgAAAAAAh07iQAAAAAAAAAAAAAAAAAoA&#10;AABkcnMvbWVkaWEvUEsDBBQAAAAIAIdO4kDdBSZ6qoYBAJaGAQAVAAAAZHJzL21lZGlhL2ltYWdl&#10;Mi5qcGVnAACA/3//2P/gABBKRklGAAEBAQDcANwAAP/bAEMAAgEBAQEBAgEBAQICAgICBAMCAgIC&#10;BQQEAwQGBQYGBgUGBgYHCQgGBwkHBgYICwgJCgoKCgoGCAsMCwoMCQoKCv/bAEMBAgICAgICBQMD&#10;BQoHBgcKCgoKCgoKCgoKCgoKCgoKCgoKCgoKCgoKCgoKCgoKCgoKCgoKCgoKCgoKCgoKCgoKCv/A&#10;ABEIAcACV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xJgtkGkQM20bpJVU7Rx8w9fr096sW9svmLnscrt7nnP8/88Va021aXSIQyHy/OkKsx&#10;9wM//q/D3sWVozSZdfm79flHr/nivFcj2kj9ev8AgiPpEN7+wi0k68D4galhckbf3FmfT09u1fVv&#10;9mXWmXK/ZxIgjbMMykjBB457HP05r5m/4Il21lL+wqWuI284fEDVDtjuHX/lhaDPBAJ4NfXE9jp8&#10;0WD5jf71w7L+prrXwo8urpUZ7p+zn8dxqMdv4W8QXUckkn7va2AxbbnzFXjIPJYLnYckgR42e1Jb&#10;2JfzHgVlz83HWvh+wlu9Nv477TpzDNB80cqqPlx7YwR2IwcjjBzivpL4C/Gy98Z7fDXiO5txcfdt&#10;ZJJGMkrAcx5YneeCVYneyhgwJjMsmtOVnY83EUH8SPQtb0bTbuzZ4IsH0bvXF6jo9n5rJsXd0ruL&#10;e6E0jK21lWV049VYqf1FR634J8wtOibTt7V0SSlGxwxbhI89l0oXFt9gkfy3jcvZzZxsY4yjf7DY&#10;Gf7p+YfxBuN8Q+DrOGY6jb2PlLJMyzxsP9VN3GOoyc8djnpkCvVp/DlwsRWWPFYuq6bG29r+LzEZ&#10;fLuYuQZIsYyCOjLxz6AEYK88fL7Cd+h30q3NocFYaBD99IF3Dn/PrV+10OMDLIBxjj17/wCf8mDx&#10;D4c1/wAMaksUvjvVfs88ZexultLHEqf+A3VSeR1Hy5GGBKx29/dRLInxM1hM5+aO10/jPfm1PrXb&#10;FRlG6NOZ7lyTQ/lLpGzVC+hAPlgFY8H1PtUJ8P66zHZ8Wte9Cv2XTuf/ACU4qwmkzxqu7xzrUzLx&#10;udbLn/vm3H+fzosNSZVm0nedycfhzTY9LSGdZ2LfK2Vq0dPVd2fEWobegz9nG3jqP3ePzqOSCND5&#10;g1y+I9H8nr+EdJxQ7s/M39tH/gkV8fvF3x48QfET4LeCdM8QaPr1ws9qV1a2t5rf9xGpS5a9nWSS&#10;TzBJmRd4ZQjs293Vfo7/AIJf/sS+Pv2U/hfrF/8AGzUZB4i1y/j+z+GotYW6s9FtIY9q7Qg8sXMz&#10;MzSPGzqUS3UFWWRT9SFY9206ndBcfMsnlk5+oQY/I1Dco0Y8yDUGbrgSIpX8du3iuGngcPTrOrHf&#10;8D6vHcYZxmGTxy6ty8kbape87bXf/AI57ZZkznaelVZLdgmAf/HutOlfUOXXU4drfd/0c+/+2P51&#10;XnHiAIJRrGmBe/maXI2PficV1XsfLjhagLhXGFH3u5/XmhoyB8yfL0Py9qrzxeKkXjXNJz/taPKe&#10;Men2kVTuE8ZmPNt4g0WNw2XaXQpmQfh9rH86kovzQLnEkhG3p0556dKia3i/1ciZX3/H9cZ/SsuS&#10;Px/Iu3/hLdDVv9nw7Pke/N5/j/Kqc9t8S0k2jxxoIXH/AEKk+fz+3D/P40Ab0oVmUBgq4Hccdsf5&#10;9OtNjXcm0Pxtz/n/AD/hWTFa+N5JVMni7SGXZhgvhqUE/wDk5/ninxxeJI2BufFdiduBtj8PuCOe&#10;v/H0ev0/AVIHDfH63m0bx18K/iLY6O99e6f49TRvMMZZLa11OCS2mncgHbt2xgMSBuYDPOD6PcIF&#10;PlA7ux9e/wDnpXnH7V3hc+Lv2Z/HGiav4sSO3j8PyX8zQ6d5TSLaMt2YlYytgv5GwkAnDHHXNdl4&#10;X8UDxt4X0zxvarHFb63pVvqNvC8Z3xJPEsiocMRldwHBPTNJh0LskckTZjQt24HTv+n40yK6H3mO&#10;Me/rRcreCRo45raeNl3fNuRu/ONrAdqhNvdxDe4tSuTwszc+mcp/nmkBYCKWzu+Xn6A/l7kUkiqV&#10;ysQBI/unn1FRRzEfI4xx0ViePyFSSPG0e4nhQSzen+f1oAVHJO1kXjjBA/z2/wA5pX3H5/LJUep7&#10;VCZSjbvu49M8VIkqMPMJX0+b/P8A9agCRXEjAOMtu/IZ/wA+nPpTjJ8+WHtu+nFRK9sqsjMF2jPI&#10;+np/n8uEjuLYsdnzE+w/z/nHpQBMPLAXzIsDn0/n2/nTZJPm+Y4+X5iAST2/z/k1E96YT8sjYYY4&#10;7ccd/wBfakaXzio3YYJyxPFAEwUbMEq277o3cj39P5U0KFfLBvVfT/P+NVBO8beWkq5Ykqef54p7&#10;SSJFvjlXdu/hY5/+t/8AWoAsFlbJAG1scBsjI7URiOVtsn1H+NZ5mnT7kPzbfvLLj+nSpjc3Cja9&#10;snHO3zP/AK3Hfj8aALERzJw3zDjBPSuD/aI0/wD4TLQfD/wja10+4g8ZeLrG21SxvbjY0unWpbUL&#10;ry+u5tlps4wMSHPJFdvBc3L2vmPaJGzNwWlB6D0AP864R72XxN+0e1rbS6XcWngnwd++WQn7Ql/q&#10;k6lSpwQoS3sG5z0usdDzURo9GbEztLglZMfM3b/6545qNoQzkALHnozDG3moLi615flhs7GQZY7Z&#10;NQdcj2xEffjGKoLdeOQpcaDoygZLbtclwBnjn7L9M/8A1qoRrFDv/wBXgj7u5cc4yP8A6/8A9c1I&#10;IWLlYkO0n8T71jw3fxB/1g8PaCdvr4gl9enNoKet/wDEhT/yK2hjMgDf8VFNxxzj/Q+Rn+dAGxDb&#10;qh3qqyc4GTgDI+lSyWqsfNVeduPl6/5/z7Vmrd+OAFjbw/om7r/yMEoH62vNOiuvGuzzW0nRV56f&#10;25N/8i0CZqxWEAXCLjn/AMdz0/8Ar1NDYKW3Z4/iy2KyRqXjiL/VeGtEZefmfxBN+X/Hp0qWPWfH&#10;auN/hTQ8DuviKXP/AKSe1Whcprm1hVhhPm9R2/H/AApIAynGGHbJI4rNh1TxrIMxeEdG6/8AQwSg&#10;e5/49OuKki1XxwknzeENHb/aXxBL/wDItMk1Jo/OGMHrzjP1qFNHU/Kqf7y461Wi1Pxn/H4S0rr/&#10;AA+IJCPzNqKsxax4zRgv/CI6WxP8J8QSdj/16/hVgSR6GvQRdvl+XPSpk0DC/wCqj+pWhNZ8YcEe&#10;ENL9P+Rhk/8AkSlXWfFynDeDtLJ9V8RSf/IlK0QIpPDsD5WS3X33R5z+dVb7wyq7kVWx2J45/wAa&#10;vHxB4oQeX/wiemj/ALmJx/7aVUvPE/icgKfC+m7myNp16Tj8fs3NHKCZmN4W+3yrCXULyZJHTKgd&#10;2PP069eK9D8J6HbaJY21pDAySLGUjhk+9bo2c7vSRs5bgFQdvBLrWd4esAbaPXLmHZ+8Is4kPyyy&#10;qeZSSMtGjfKuAA7g5I8p0fpNKgRJFJbnrmuGpL201FbE1J8sTQ03T8v8o/Gui0uyLW7OqZ/dknHc&#10;Yqvo+lFm2hfbiujt4I9M06SScDLEIg/3uK6qcYxVjzpSctS7oumw2tt9quQFVQWYv2Fcf8R/i9N4&#10;fiaHTp1WaQFbeHA+UdmbPOe+OP8AGx8S/iDZ+H7KSESLsTiKNW/1zj39B/nPbwPxF4imu7uTUtSu&#10;Va4lDFfz6Aegzj9Sc5NE59Ea0aPNqyHxR4ku7i4N9eSiSSQ/Mu7HHA+gAAAA4GOBjt8h/wDBWwT3&#10;n/BPT4lXs4ZpF0+zK8HAzewdgenPT9a+ltUv7+d/OuIbcrnG37UwGPoU/wA5r5w/4Ks3Ekn/AATy&#10;+KBeBVb+yrX5Vk3f8v8Ab98D6dKz+yelTjaSPwKvbcS7lYM3Y8/0B+lQ6bbFNL1oBdq/2ZGpbng/&#10;bLb8TWkbXed7q33jt68fT1p0NjjSNadwGH9nRgbWxn/TbX9a44yPZ5bnXfs/2gjspirD/XKGyvsP&#10;6fnmvpT4bzkJGse1j1bd0xk/05r5z+DMgFhM8mMyXBIGd275Vzx/n9K97+H+o20Fu1xLqEcENvC8&#10;1xLcSbI40QbmdiThVVQ2SSABycc1nLWRekYnsvh64feu0YZsgJtz9e/OK8F/a2/4KGx+AYJ/hn8C&#10;9Whutc5TUPEEZEkWm9jFAejzHu/KxgBRuYnyvJ/2qP22Z/Flhc/C34O3b2+lSq0Osa5HlZNRQ8GG&#10;PukJHDH70g+X5U3K/wA15JOK7KOG+1P7jhrYr7MPvNC41S61K7m1LUbmS4uLiVpZp7idi8jscs7M&#10;SSzEkkk9TRVaCQxJksy5/Wiuqxzc7PY9Gtivh2zaH/lt5h/KVl/Pj/H20LKDbOtrvz+8ywHU5P8A&#10;h/Kuc8I+JrW50iy06Qtm2hkEkrKVD5lZ+RnA+/64GM+uOr01C0qtE33GUHaDwenQe4x/ga8iWknc&#10;9eL5rWP1o/4IzXgt/wBilbOVtuPG2o4YqBlvKtiQcdf/AK/1r60trxCVeJvlx0GfXP8Ake9fHv8A&#10;wSFeKL9jZoHh6eOb8KOmf3NpzwfU9q+qbLUDbzKZPuswAITBwe/8v8murmskebUhzTbN+6n5UB9u&#10;33OD25rzXx78d/iN4A8Z31v4RvLW3t7YWz27yW58xG8tJNwYMCGEh3Ag5BAI5AI7oSm6h8wxj5z8&#10;vcbcnH5jFeM/GiMHxPrDMThfIK7h/wBO8Yx7cnHHpUSloSoLqcv47/4Lr/tm/s9fHPWPg5pXhv4e&#10;+ILKz1uCOPV/FXh+7kugs6xzvvNrdwI21pXA+QHaoBJOSf1Y/Zd/ae8DftWfDCH4j+ELaexmWd7L&#10;X/D98wNzouoJxLay8Lkg/dbaNwOSqtuRf5zf2x5l/wCGv/Fmx+mvWsbYPP8AqYVYfXiv08+PfjT4&#10;5f8ABK79pC18eXVlbyLcpZ2WvadHeB7Hxhp6xcSbwA6XEGGVZWiEkbMoxNDmKbXC1JuLuZY7B05R&#10;jyKzf4n6TX5tlHlyJWHq+lW94mYhz1o+F/xP+G37QXww0n4vfCjX11HRdYtRLbTcLJE2PmhlUE7J&#10;UPDLk4PQkEEz3jG1mWMHPrXTJprU8TllF26nMan4a0nxRotx4F1i8a082Qvpt8se77JcY+V9uRuX&#10;nlcjIJAKnDV87ar4n1rwD4gvPBviSJbe90u58i6h5XBxuVsHHyuhDK2ACrKw4INfTfiCyN5D5kDh&#10;ZAueejY5x/n/AOvXk37SHwv1L4ueF4fG3hj7S/ivQbExrp6R+Z/atiHLMgXr50ZLOmzl8um1i6FO&#10;WFX2UuVnfRfNucVa/E/zEKF1XOfvLnH05rSg+IIEXmTTNyv3j/n8a+dbHx3MFyJpOVUjbtYcjdnr&#10;0I6dvYVsWHjiRBzdA7Qdqhc8emOo/P37munnOn2Z7s/ju2aJpDcPkjK/L/8AXpD4l81VeHUUXco+&#10;Urg/r7+/6V49Z+OyE2rI/LE/dG1hweec557D3rQ/4TFJNsjEKdo2uo6cdfrj/CnzIXIz1BPFsLsI&#10;vNb/AHSwZT7g/wD1uP1Kt4hjCtIE/wB5vw5rzhfFEIXHnNIR/sn8xnt+PTnvTk8Q3RfAvdvG4/Ko&#10;xjof8g9aOYOVnon9vJIDENysVDN9cfj/AJ7+rZdZeM8ENkj249PrXzX8WPAfxr1f4s6BqXw2/ai8&#10;baHZ6nfSNqmn2+hw3un6fFFa3Mgkz5SgK0q2sOyRyzByynO4j1zRNU1/T9PhsLrxM+rTRWypNfT2&#10;qQyXLDq7LGAik4PAAA/OpuU42S1O2k1VWVY5X+9+n6+9MOpwKxVn4z9f89q5f+2MDd8uP5n/AB79&#10;P1p51dnUOsvGAOW468AUroR0n26Ithl4/X+f9aqvdLJNsGOPvfN19f0FYx1NBGT5qt83zKT29OKi&#10;bVBt3IO/zfL16f5/DilzAb0d+u7aH/iwy7egyf6U0XTHhmG3nn1z/nv/AE5wzqhdzg5G/p6++akT&#10;WIcbwN3zY2qDkjtwPwo5h2ZuWmqG2ninjI3JMr/PHu6EHpx6ev5dvM/2Ur1rH4P/APCB3PiGbVLz&#10;wX4h1Pw3qGoTR7TJJa3ThCOvy+S0OPQcc4rsJNUR2ZUO5VAxx0rifCN0+h/HLxx4be8tks9W0/Sv&#10;Een2dvbhTueOWyuWbA+8ZLJHJJOTNuJO4gSx8p6d9riMPlibjgZ25/T8Pw/mhugAQW3Y+78uBnH9&#10;DWVBfxlGAwD/AHl6HPf9ead9rj25Xhu3Tkn/AD+FAWZpLOoX73ru/X/69OW6iwqLIOf72P8AP6Gs&#10;g6mZoQqne2QOcn2/Pn26e9Pmugsauq89vl6cZ/x/zzQDRdllbdtjDFm4zwc+/wDP/OK4fUv2of2X&#10;PDt7Np3iT9pz4b6bdW+fNs9Q8eabDLGf7rK8wKt6hgCOlaXivUJl0O6e3b5o7V2VOrEgDj3Pp9K8&#10;U8Q2mv3XijwpfaD45vtJsdBS7fULWzvpI4r4NA0EUMyIw3qGk84Mc4eFCOcVpTipEyfKj0w/tjfs&#10;fujN/wANZ/Cwjr/yUTTOff8A4+PY0Sftj/shvI2f2sfhfwuGH/CwtNOf/I/9a8jX4eSSW0Z8U/tC&#10;+OnukZ2l1LSvF11DLJIx3BlR5HhjRRhAojH3eSTk1Fc/CrSLqzF5o/7VvxgeZZI2mXWfHUxjKjOT&#10;/o/ksuTtxzwOnUGtfYoz9pE9jX9rv9k2YhY/2rPhm3y/KV8f6dzn1/fV0Xgv4v8Awl+I5kX4cfFj&#10;wv4i+zsDcHQPENrfeTnIG7yXbZnBxnGdp9DXzH4q+EPiLUrG4Ph/42+PFuri6tTZ31v8VtcmWxjQ&#10;oZyY3vtsocKww+7BlwAAua9w+HJupr0X9yzXJgjWDzpGPzHgknIznKj88dqipTjBXuVGXNsemCds&#10;tHA/zbsLg/X9fXtmo3leIszFRtwWxxis6KePdsklba/3lXuemf8A9f8A+tHuIpX2vJ/E33uc+mcf&#10;561iUXPtjKNxX+LGN3Of85qaK9Z02sCo64zWObqEP5SSMx469+f85zUk19CP9W+3soXHP+fb8qAN&#10;iMiaRYYH3MzAKq+/FcH8AdSTxLouvfFBdSe4Xxb4uv7uxe4tPKkSwt2WwtoySMuPItEkBI4848dS&#10;YvjV421nwV8HvEfiXw5b3E2qQaa0OlRWWfMN1ORBbFOuWE8seB34HNb/AIc0Oy8H+FdJ8G6ZqVxc&#10;WOjaXa6baz3Ry7QwRrFGzHuxVRntQV0OgE+RvE3RsfL29vwqIXaCTqd2SR1OP6VkG8kYbHlCnaP5&#10;dPof8+yR6htO4t8rHj5s557fjVcxJvzag33lTPqNw4pbbWFAHmJu+bGPMxj/AD/WsSO/QuA7rjae&#10;PX16UxNVj/1hGAy5+Xk8/XHNPmA6NdYikJLoyt1Vt3Tn/P8AnilW/WQM5OCCMe//ANeual1tVGRu&#10;+UZ5GAPw/wA/yqGTXw5MsRz3VV9D/wDq/wD1UcwcrOsi1P8AdtIjgfNwcnrigawEfacFW/iJ46cf&#10;5/CuPvvEWpLbtJp9vbyz4/dx3Fw0asfdlRsD1wM14n4T+Nn7Y2ufEy6+F3ifwj8P7KbSmiuL7U7O&#10;G6Ntc2rlTmIPemRXxvX/AFchQmIuuHOHz2Hyn1BHrpih/eKuNo5pf+EkiZwI7iPr7e3+fw9q4GXx&#10;PKpaPcu3d8u6M8549fXtk/4xN4tgyAFB3DOR+WeB7/UVXOLlPTP+EpRYtkk2dpyF3AHt9aQ+LLeN&#10;t5mavLp/G00K+XGmGxw2Ov09v/r1n3PxBSGQia4k9JNvfAPOMjjr680udBynr83ji0jbYk0attyD&#10;5gP5YNVJ/iUkK/u5drKfmUnA6dP8/pXjN98RJ5MxG4aLd+BP68ccdex61j33xCdSzfaI1UNgbc7i&#10;cc5yePr0we9T7RD9mz2m8+KsVuX864X5AfMxNwMDPp0x+H45rs/A+gavf2323XhJDJModo5chkjI&#10;+WP2kPJOfuqegb5T5f8Asv8Aw6vfiT5fxM15W+ww3LJpNq0ZAuJo2+aZiRjy42yoxndIrAkBNsn0&#10;Ja6fHahokQ/K3JY8se5Pv/8AWA4AFYVa0n7qMpyjHRD41d38+UjKhVVQNqooGFRR/CoGFCjhQAAA&#10;ABXQ6Npkj6Lfag8f+qtJGU+4UmoPDnhufUZVllT932HrXdaroslt8PdYNrF+8j0e4aNQOrbDgfie&#10;PxrShRtqziqVOhdEOleGNKu9f8Rala6fY2NrJc3l9f3CRQWsCKXklkkchURVBZmYgKASSADXzCf+&#10;Cq/7G/j7x1p/w+8C+PdY1PVL3UltbG2j8PTwRySb8bmacIVXbubJHAGSBXin7eH7Wi/td+KdU+EH&#10;w68QXVz8HfCtvczatJ4efdc/EDUrMeZ9ktnQ5eyRwvzJ/rpF/dknZPB+eH7Kt5PZftWeBYc+Yy+M&#10;LeH5m25y5QsdpI75wCRnjOKnEV5UuWy3Z34PARqwlKo9lex+tWsfG/SvGetG4vrmRpJN3lpDD+7i&#10;UAnb9444HUnk1i3muSXs6XTZUBTtXdkJ0OPUnj/9XSvLfBNyZdUsVgbarQt6HAKEkfjj/wDV37qS&#10;ZlXaTn/OamNRy3NfYxhoiS81JpJPLd/lwT93kn/DNfPP/BUu6a4/4J7/ABUghjBzpFmW3dh/aFrk&#10;f59K9uv9RjW4aAfM8ceQOMHJ6evUf57/AD3/AMFIprl/2DfipNOPnbRrT7ozgf2jacD9MnHPHGAK&#10;qMrsqMfeR+JRs2ki852G4thlMZx64+vSnrb7NA1pQ67hYxleMYJvLUf0/M1bZmCYGW24GBnj9D1q&#10;lq9/aaf4b1J52UedaxrENwy7fa4JCB2ztRvy61wx+JHr7Gx4K1/TNA0Ca91G9W1hiuGLzTZwnyL6&#10;dSegAGT0A9eJ+KX7QHiTx3pbeD9JZrHQ96mS3XAku9pyvmkfwggMEHy7gCdxVSOX8QaprWuuq3Es&#10;EdujfubdLpML2yfm5b3P4YHAyvsc3rH/AN/l/wAa9GjRjT96T1PPr15TXLHYioqX7JNtLZj44/1y&#10;/wCNKLKcttzH/wB/l/xrq5onJZjoAoTOyipYdHvJV3fuz2+W6j/+KoqNO47G/wCGLgQzKFlC7TnD&#10;ZY88fyGf/wBQNeieGbxZAqpJu243cDG7Hf8AD+deYacN8obZ9xQCAOhPH49c49vwrvPCM/lyLEts&#10;drj5l4yBg+nTjFefXj1PSoyex+vH/BJiXyv2OY5Iy0nmeNNS3sp4PyW4x2wRjHTivqm0uBcIjSxl&#10;cSfd5H4ZH5dTXy9/wSd0Q2/7FOmzxNuWfxRqU0fyHC4dEP5bPX6ZFfUejwSTopP3Sflb1/D6/gKU&#10;nsYS+JmhZKLexjgJ3Isaxr6n5QB+NeR/GmOefX9Qkk3fdjUN1BAhTr9Bj0/rXsgjdolTG7CgM2R1&#10;/H6e1eQ/GWNTrOqrIy/dhCh+rZiRjjn2A/Hp1zDEfnF+2vcNP+1J49eQNmPxJIv3OAYwq88e1fsr&#10;/wAHHul6b4h/Ys1a61GHM2j/ABnikspsfPHs8Iz3BUH+6WUEjoSAeoGPxl/bVUn9q34lwIMt/wAJ&#10;hexqN3X99g9+1ftd/wAHCNjHN+xF4umhZt0fxVkkba3Rv+EIugP/AGWurC/7vP8ArsXX96tSS/rY&#10;+NfD37cfib/gi5/wUJ8Tfs/eIoNQ1z4IeLvEl7b6TcTJJG2+1u3s5mR5f3f26B0CyESbLhJYTJ5R&#10;lia1/VTwx8XvAvxO8M6d498Fa7FqGl6rarcabfQghJ426H5gGUgghlYBlYFWAIIH81P/AAXG8aeO&#10;b/8A4KQ/Gn4U6rrTzeH9M+LWv6tpOnyWsY8m4vGt4rl1k2eYyOtjbAoWKK0TFVDO5b2j/gid/wAF&#10;epPgR4pg/Zt/aQ1OabwvqMqrpetOxkl02XAXzNuMygDAkVfndP3i7pYnjuiTly2R52Iw3tI863P3&#10;wvdeVDkSYB/iHeuZ8Qa0+meXrWluyTW8mY2QHIwPTnIwORjn9RTbXI7u0jvLa/t7i3mjWS1uLZle&#10;OaNlBV1ZfldWBBDAkEEHPSud8Ta3Pc2sqwFSY0LKNgyF7jvwRx/TiuOo+a5z01bQ8D/a18Jaamrz&#10;fGrwbp9xFb6tcs/ieyhjaZbG9dsGbCrv8qcnd0IEhI3YkRV8dt/G6J808epsGHONLuT2I/uY6f0r&#10;6AkvrjW9f1TRNe23Fjc/uWhljB8xWiQlQfvZy/BzkAcY7eM+O/h7rHw+19tMmaR7WcPJp1wy/LPD&#10;nHsN65AbpzyBtZSapVJONpbnfT5dgtvHFhF8kgv8Y+82n3G0jjjJTmtOx8Y2zJv3yqrHKs9u4znk&#10;8sB29ev16c9ZwyptRhkd2Dc8c1oW88kTfNuXcf3gPPTpyP8APWteZmvLE6CDxrp43W8t/wDMWG1C&#10;cEnHUZ9/r+NWrXxnpscu19Yt9xOFDXA+VuOM/wBKw4pHjVUeX5X6qre/r/nIqWONF/eNuHzBiynG&#10;W/8A1Cj2j7hyxOptvGmkGMNJrtvj0+0KPpj/ACPxq7aeN9EmGP7etSoyNv2tAxJOOg69On+OTy1l&#10;ezNcK0jKoZ8bip568j8+/GPyroNN02+1Sby7NN3Qqu4rkA8nP1x3B/mH7S25LpouS+M/DSfMPEdi&#10;hdcZ+0IR09c4B/Hr06VYh8X6AT5R8RWLMoHy/bE47Zxnpj9ahvNL1PTIl89nXb975s4+vv8A1P4V&#10;C19cSOsvnt93PzN1XrzyPzz/ADoVTmQcmpoJ4p0YsqprFu4YZ/168n8+n5dalbX7Avsk1KHb/wBd&#10;F9xnr/nnFZjapd4+Vm3Eg7t2Md+nX9ev5U5Lq5Aw87BtxYr5np/+vqKfPIPZroacWtQtP5Ud2pHQ&#10;7pBz09D/AJ609tQixhpI2j6bgRwBn3PQ/wA+tZpvrrymi+0tIOm3cSD7dee3WlTVpmXyDN8jLllV&#10;uvIHH5Y9aOdh7PzNQXMMgBS5UlshdvOT/UdPzFc140e60j4m+DfF1uLVYb1r/wAPagxhAkdZ4hdw&#10;jd/sy2BUA4A89sYya0CY7n95Ntfc3Vsd/wAc+n9a439oK1trX4eHxjbaMbq68K6xZa3b28caHzFh&#10;mAn3Z6r9mec9Rzj0zT5riUWenM8u3JO5sjr/AE96kjnebP7wsw6qRz/n+n68/LZaBdN5trpVrJH1&#10;R/s6EY7Hp/TNQz6F4flLJPomnbeCCbCLI9vu/wCf5EZEWZ0guZfLwpJPp1/zzQ07OVcBin8LbTz7&#10;+/fpXOSaJ4dkTdJ4fsZV6szWsZ3e3Tr/AJ9aP7A8MmTK+F9P/wB1rNOPwx1p3A6ZJld/OxuZeT6C&#10;o5Es1cM9rDnqr+SB0Pfjn8+3Xnnnj4f8NyBlfw1prMWyyrp8Yycf7v6f40y68NeD5cA+E9M3J0/4&#10;l8RyemDx2pc1g5eY6LyLcDCWUKhWx8tunT8v/wBdI0UULtut4fmH3vJTJ5+me5/n71zqeHvC0ZV4&#10;/DWl8cL/AMS2LGfX7v0/GnNpPhUcHwtpe5VwuNOi/DnHHp9PrRzPuHL5G9NJa5BjggXdwyCFcMew&#10;4HX+fH4zQ5WPbFEqqACqrH0HYe3OfxNcwnhbwm2J/wDhD9K3L3/s2EN14Odvb9KfN4X8Hyhnn8I6&#10;XIzDLFtNi6Y47e3f/wCuS4HSPdxxKysm1uh8xRjJx+vrnJ9uarm++6FkLDoFZt2fxPT/AArAPhbw&#10;osTSP4R0nbzlV0+La2OOmKpp4V+H6Jvt/BOklt3+sXT4+/4dOtDkEY3On+1ltyOxwoG7jgc8/wCe&#10;9OBmuQyxyMdvDFG6dsf/AK65j/hGfBkJGzwppv3R1sYznn3H+fypY/DfhXzWK+EtO2qfmxYx4H0+&#10;X3FCkypRS0RT+Jc+pa9488C+AY7Kaazk1qXXtSuIbhVaFNOVWg3Kc7lN5NZk45/d545I66TzA/Ab&#10;5uiquffr2ryvwxovh7xf8ZfGHiafwtos2n6HBZeHNLkjVZFMwU3d6Cm3YJA89umeuIcHBFdXL4b8&#10;LFhCfCmmr0C7tPi9M/3ff27djRzA42Oja7lL+WQzFcBtvYen+c04Su3zKzbc/L8wGOn+f84rl38O&#10;eFmk8v8A4RbStzNjc2mRd88D5fp9PSo/+Ea8HSRtIfCmlN8uVB0uA547fJRzjjT7nTxTzFt6ozcf&#10;My9ueP8A9dI1zdqrP5bYxn5U6dOeeccj8TXKN4V8ESAOvg3S1x/D/ZsOOCf9j/8AVj8KZJ4e8MZZ&#10;bbwtpaqy/dXT4vY9do/+t71Lmy+SJ1kl1Ix86SNvu/eK9T7enr3/AK1Xury5UkNHIF7MF+U4Hr61&#10;zMXh7wr5iyHw7p6swx/x5x46/T/H9KsW/gWwvXzZ+E7eVmxuxYhsd8dD2/X1NHtLa3DkRoS6wPNx&#10;tPHHy4J/z+H4VRuriyivZNcGlW63Ulv5P237Ov2hogSwj3gbtoY/dBxkn1NZ+q+FrbTfLafQLeJV&#10;b5lW2UY45+tY9xZ6eJTmxgU9GxEF7en+f8T2pPszcPiYQnas+4q2f9aCOnQ8/pVV9eikDIsqsevE&#10;n3vdh9PrXPi108O0i2kSjjb+7HGDkfz/AEqrcWUUitJKit0/h6f4+tR7SRXLE2311/JYzlssx/d7&#10;iMcd8j19uffvkX/i11Z4xc9Swz5vbt0PbpVG5k8qEx+b93nCsf8AP4VnsrlSGO7j7m7v9KXNIOWJ&#10;Y1TX8L50l4rsWwPMIx/n9a7T9nX4O6l8b/GCtqaPH4Zs5AdWuvNK+e3VbaEjBMr8ZII8tDuJ3GNX&#10;5TwF4D8TfEbxRb+FvDluxkuH3zS7crawAjfO/T5VDDuNxKqOWGfrD4a+HdC+HC6f8PfDFlMllbCR&#10;3nmm3yTtj55ZDtGXckZ6bQNqhUAUC2M61TkjZbntvhTRtM06xt9Ps7a3t7eCNIYba3jWOOGJQFSJ&#10;FXAVFUAAAAYHpgAt7iyiuN92u45zhcVRtdSjito/JfcOhZWyPrWbcXyyPhW/LNVFdjzNXuen+GtU&#10;tLq4jtoourBQo6mvhf8A4KQf8FBvEnx7+Mdj/wAEv/2NL97/AFjxU02neJr3S23TakwilZ9MhYEL&#10;Hb4jdbicsE2pKrMsMc3m+Kf8Fi/+Cx1l+yX4U1H9n34CeJvt3jrUoXtNZv7e42po68q8MZTDGXgi&#10;WTd+6P7pD5xdrX4O/wCDc7xXrXjL/guv8D/EXiTVHvNQu7zxI91cSEbmb/hGNUUZ4GAFwAAAAAAM&#10;AADf2k1Cx04fCpfvJL0P13/4IE/s9+GdQ/ZW1L9pzxvHb6p4k1C81bTPD8bQjyNBtfsx8xYAxY+d&#10;Ngl5s58srGoA8wyfmP8As6anbQftdeA4wZPLk8eWan5tzAG6C5yOvX8fYV+wf/BDIW8H7Ddro6XO&#10;7/i5WoW0i/XRFlwfwYH9a/F79nC4ST9rH4eSs/l7viRpatyB8xvowPw/xrHGRtSgz1sPH/aK0fL/&#10;ADP0N+FV7LNqlhucMI42B44H7tvfg16LqV8bOBpIwZGEbMI4xycDP+Fea/CoCPULEKpcMsnyluq+&#10;U49T35/zx6RJGFRZZdvmbVDn16/p/jWS2MetjOuPLgy73IeTbiR14z6euFHYc9frXg3/AAUgl2/s&#10;F/FDyH2s+g2wAbLZH2+0H48j/wDVXvGqKyRlBJ/CNvzH2rwj/goTYif9iH4pkW7bo/CzTHj/AJ5T&#10;RS/h90+uKqL94PtL1PxN1W6ktoxG52qqgqzdW9/0I9veuC8X6lNfN5QbCqflUH72f6/5710XjGaU&#10;nMaNtmxwx5bjk9P59c1xmpNLyHP58np/n/PXTDx1ub15dDMO7oaKc+OoBptekeYFABNGcHIqSNSx&#10;y31+tA0WrSOUBhGFxx0xRUy7VQb5Is8j5x1+lFcrvc6VyrQvaRNFG7YB+bKriMe36j2rtfBV15U8&#10;cqM3+sXaWYZ/wP4+nfkVw+moftUeD/Dj5h1/D8R2z7V2fhBiFWP/AKaAbe3Yc+vHp7YrCprob0T+&#10;gT/gkD+2PF4e/wCCVXhr4K6P8K9BuLiPUtahu9avrdXeZnvrl/OKY+aVBIiRsx+VI1GDsAPaWDXl&#10;3tJtpD5aqXbtz0J+pz3z7CvkT/gknexxfscaekkTPKfEepsv3u8vT+efrxmvLP8Agoj8Yvij8Bf2&#10;ztB+Mvh68m0//ikbVdC1NY7a4jjVL822oxeTKGG5or63yWTBG3acpxNnKVvIjlXM7H6RRykx/L/F&#10;/Dnqf8/hXjPxjkWXxDqsAZusQU8dPKQY59Bjgeldt8LPiK/xB+E3hT4hanpsdvceIPCen6tNDCCI&#10;1lubWOZlXJJCguQM5IHqa87+Ml4Zte1KaZljjZY/3jDk5jRR3/vduufQ1k9CT87f2v5X/wCGrviR&#10;cT+Yyx+Or0SKx5bF0QR+Iz+lftZ/wXtD3f7G3j62RM7vi4sR+XOM+CJP6t+tfiT+2OJZf2lfiihy&#10;r/8ACdawkbf3SLuUZ/QfpX7p/wDBcTQnvv2RPGcPkrib4sRSdMbh/wAIkyZ/TH0FdOG/3eZpU/3q&#10;iv66H4Nf8Fls3H/BUD4+6dqkclxYyfFDVJF8tQZLSTzihmizxu2qA0ZIWRVAJVljkj+N/ElvqXh2&#10;/jaK72yKyz2N9ZzHa6hjtmjfAP3lI7MjKVYKyED7+/4K9+E7XVv+ChvxwuNv7w/EzWcjbnJ+0yev&#10;+cCvhnxhZ/2P5mj6ymNPlZpY2RW320hwPOTOOcIoZTw6gA4ZUZHL+IzOGsF6H6rf8EUP+CykWs6P&#10;pv7I/wC01rX2eSHEPhfxFJIqxxgniKbpiIk43D/Us3TyWP2X9O/FWqtBbMs4+bkeWynn+fQevpX8&#10;olpcaz4O12HUNOvfIvbSZJbW8t368gq6k8EEc89QcEcmv2e/4JA/8FSLT9o/wlafsy/Fu7ZPGWmW&#10;Un9g3Sbm+320EbSvC3X/AFcSOyuxwERo3KssTXGdSnfVHPUp295H2ZpOrtFr+plAyvHqHl+Y77if&#10;3MbA9fXg8+vNdTq2j6J4/wDCknhvWY2SRBvsZG/5YTgfI4Pp8xBGMkEjg4I4fw7erPrGuT7FXGsB&#10;CwX+H7Nbkf4/0FdLYav9nhYxsm5skeZge34Hnpmud+6Z+aPKb3R77SNQmsdWt2W4t5Nkm5SduO4P&#10;pjnPenwWMDbYQF27vlH5du3+Jrb+KGspaFtVLlzbQnzlg5kkG4bSB3xz09a8/X4u+E2Od8oVlB3f&#10;Z3bjr2ByDx04zVas6YyvHU6hLZHG8ZK428f559fQU5ovJi+VkOwE5x6DPX/63T9eah+LXhWSZY31&#10;COMjnd9lnGcAY6p/Wnn4s6A0fmWt/btlfvt5ihvoCo5/E+npQWdQkD71YbtpUH72f6dq+jf2LfF/&#10;wH0LW724+M2ii+ZreMaVJIzGO3xv8wGPgSbgV5Ytjy/lAy1fJy/FXwzII2n1aNdrZcQgtg/U4yT9&#10;AB6+tjT/AIt6NZzYs9TVVbn5rjZjHJySevX2ORQB9qftZeO/2Xtb8Pxp8KvCrR6osymS8gxFCI24&#10;KtGSS3PYBcYJJPQ/M5aVxI4O5dxK/MAW698frXLL8WfC1wQZNTtt2fmjN3H8v4Z65zngYpX+IfhS&#10;dRG+tWWzdnLXkWD+bdf5fXmiPcDpBfJHNiOVQyMSV3fhjH04py3CsxmibGFyzN35/KubHxC8OJu3&#10;eINP2rzhb6POcnvux1/zkU6H4jeGJZCIvEOnYDEtIdSjwG6Y68d/w9O2l0B0ySCQBCxX5fvN1/yP&#10;yp5IZtypjA+YZH58etc5/wAJ3oMnySa9p4O47l+3Rc47ckcH/wDV61CfHmkREwxa1YqdoK/8TBfo&#10;MYz1P+H1OYnludQzXG0/ZwrHaW44xj8fT0/xxBq9jY6/pV54e1ws1jqFnLZ6gqj5nidGVxgf7LHv&#10;WJ/wlmm7cpqVqrLwd10p7845/L9aD4m0/wA47tTswpADBp1J6dCf17fhRzBy6jfgjq+oaj8GvDsm&#10;saTJp95a6aNPvLWdwzrNaO1rLkg9S8Lnv97mukmu987u0i7W5Py8YyD+R/w71518OtUGi+JfFmiw&#10;w3CWk3iL+1NPuWctBKtzDE0qpJyNy3K3GUByu9CQFdd3UtrMDy/PKskn8O3nOc+w/TP8qSK8jbN4&#10;7oJAW3KcSbhn8ienv2ofUI5JQQPlA2jzfl59v8euPxxgNfP5nlylmXbwSuGHqPrToLq5ebyw2V2n&#10;jdliADnPT0zx1p85PLE6Q3BYAqd3zZ7fn/kd6jOoNvbee+Pmzn69u/8A9ascXl0zZw3lsBgtnjI4&#10;x7f/AK6ha/uFzFAjN8hDbl7nvgZ7cfhRzIOVp6G61+t03kZBwOdzf/X+v0pkeqBtzOmcKx3buuMD&#10;/P4msU3dyp8mWN/MPH7xCuSOv+T+lILu824SzmjG5iuFO4qT1IxjuPXkUuYo3/7TELbju+Ytj0/O&#10;iTUmktxE0LKOFX6Y7fr/AJFYbT3Sqy3NvI3zfwj2J5GB04/ziiXUNQh/eGFwqsFLeSTgD8PYfQ/h&#10;TUiXFM1jPKqbdqqmfm545HoO/A/Dp7Ri4cvsDfLkde1Zct7K6GdbaR9wYq/lHaMd93r6/wCIqqbu&#10;5iAEscm3djEg+6ME+3pRzXFGNtzoTNLFI0ir8pXDNnp83+frUGoa3aaRYXGsandiG1s4Xnubhl/1&#10;UaKWZ+B0AB/KsZ727O7KO3l/w+nP+f8AGuS+PGqa9e/Cm/8ACvh176G88RXFto0N3baPJeC3iuZk&#10;iuJZEQEJGluZ2Z2ZVXb95W20cw+WKNf9nyfW7j4S6f4n8QRWQ1LxPcXOv3z6apVJGvZWuUyD/Esc&#10;kSHOfuYBIAJ6+Jp4l3A9WwMj+vHv+f4Vjxy2+n2sdtpmnx2ttbxLDa29va+XHCigBUVVGAoGAFGA&#10;MYHpUn22+80edZT/AOztibOR6cVF9blGijSuzExtuJ/Enpn+X+eajlaRo9/ln7vT1GM5z/k1my6l&#10;rHlNeR28kca53My4ABAxnI4HTqf54pj6+i/NcRqjN0Xru/8A1/h0zSuBqAuRuk3jjO5m5/8ArcVG&#10;8i+Su1/l28nHpx379/f1rPXXYRH5ZjlVc7d3lnpjr6d/b8hUc3iOBR5jM209V8lun8v5/U80XA1o&#10;i4uMONw+UsP58H6ivsz9j/Rv2SL74ZJ/wns9vLrzTP8A2hDezSJHEAzBBFswCuwDOSTu3dBtA+Gp&#10;vFWksxLTsWPZl5H5j8MY7jrU8PxNttODMmsmMscvtz83PUgD05+maV/JP1DfrY99/bK8M/BvT/FB&#10;m+DmoLPYSJm4h3fLHISThS2MqAVA79ck8E/O10nmqDvXGT15Ht9aZrXxN0e/4n1dSVOZBuBBOP8A&#10;9XXpg96yP+E78OIp8jUFUbsbWbgH1HB9P/r0o6blSavoa0kX2lV8krls7t2OxwO4/wAn8KrtaZ3O&#10;Y1Xdkp8ufTrxz07Hkc46mqa+OvDUcm2bXIlbdlf3mFb8Sfy9e9V5vH3h+Q/u9ctU3MCqmYD6H+fe&#10;ndEl6W0jkh8uaPdux8gbBT369SPrUA8PNeX8NrY2zTTXEipbxQ/elkLYCgdzkgVUTx14fVtr61aE&#10;qAcrcDnB+v1/L8/QPhDLBBd/8JXK/wA54slkYcLjDSDB4JGVHAwM4zuwHHVkzlyxbPYvhJ8OdK+D&#10;3gz+zmuI59X1HbLrMy7SFYLxChXnYmTjOSzMzfKCEWxbarEPFkF2X4aNo02twCzqR9cFf6+lc6+u&#10;3UsKorsG3fIok7jj8elZ/wDapXxFA8s4f/R28vDdAGUf+zZ59OfWtkkebyyk7s9mi1vNqhSQOvVW&#10;3d8+1fGf/BXn/gqt4U/Yi+H83w98D66s/j/WrfakFjOPO0yN0Vxzz5UzoysDgmKORJSAZLdZYf8A&#10;gpN/wUv8P/sNfCZoNBvLa68b6hbltKtZCrLp6vkLcPGwIkkbDeVEwKEq0kgMcZST8A/iz8U/HXxs&#10;+IOofEv4hazcapq2r3TSzTTzNLIzO5cjcxLMzMzMzElpHdnYszMTpCJtQw/N70h/iLxn4r+KPjCf&#10;xN4knkvNS1O4UeXCrFslsJFEvJAGQoXOe5ySTX3v/wAG19rZaX/wWr+COm2rx3V1HceIDqF9H88a&#10;/wDFOaoBDEw4KhjlpASHZRs+QBn+C/DNgljPJpVrL/p00bJf3aNlbZCMNAh7EjiR+4LRjC7y/wCj&#10;/wDwbf8AgpNJ/wCCufwa1cW4XbJrm1t2eugajx09/wAxSfvSsd8vdpn6+/8ABBSaOX9l+6hjZtsP&#10;x5uY8OMY/wCKQszjqf72f8Og/Gf9m3yI/wBrn4cwv/qo/iho/wAyj+EajF61+zH/AAQP8uT9nXXA&#10;G3Kvx+lCtnr/AMUVphz+OT+dfi5+z9OE/bE+HUe7Yv8AwtzR0+bH/QVi/wA/jU5hph4G9C/1utbt&#10;/mfoz8HMDWLCSVsNIzsecbiYHHrx1yB7969UuEbao8v/AICrV5H8GGca7YxZZli3s/XoIyAT+OB+&#10;Wa7r4kfFDwR8K/Cd5488e+JrLTdPs4ZGj+1XkUUl7IsLyC2gEjKJJpFjcJGDliO3Uc8ddDCS9407&#10;r7PE/n3jNt3fLyM4645P+Na37Q2p/sIr/wAE7vitZfFLRtUt/ED/AA/1ZBfS3MxjW48hxAYtjIv+&#10;s8slWXJORkgZHlvwl+Nfgj9of4WWHxY8DwahDpOoTXcFvHqkEcdxG0FzLbShkjd1H7yJ8YbpgnGS&#10;B5d/wUX1yOH9g/4rXFoyxyf8Im6f7QLTRhhn+8N/T1z3zVxvGQj8QfiF5B1GX7JOHVV4YKNvPIP0&#10;+np7VxVyVkXCxDGMMf8AaxXS+JLn7XNJIkittRQzAnnoO/p0/wAcVy1wAOX7rkgc4reiaVdWVJMf&#10;w9OwphFPcPn5vvdOaaTkYzXcjhYAjtxU8BXcBjbj1GPxqILnhR/471qaFCG+Vsd8r3qZbFU/iLUT&#10;BUyEVl7bu350VJDHtHzrJ26MB/MUVzXOgs2mIof3jnBODz+R/wA+n5df4XiCbZFQfMQFDc7efvHv&#10;1riYWG3I5y3zYYD9eD789/17bwgI0ceYgbJOF6Y9zz1/lnORWdQ0pn7Af8EmLIp+xxoslsh3Nrep&#10;OwfP/Pc9fxx9a8l/4LS+HtQ1bxl4B06xh3T3Hh29gjyxzvl1HTlU/QMAxOOACexz7r/wSV06yH7E&#10;nhtnPztqGos5bHX7ZL3/AOA+teLf8FvLBz4r8BmBnDL4R8QFTFkFW/s69kBH0aJe/BrP7f3B9s+o&#10;P+Cf/wAVovjT+z1o/hzSfC15p9/4Jjh8H3UOpSJFDcPYj7Glwk8nlxosiwh2VynklirEqokfW/aG&#10;8J33hj4i6p4L11bb7Vb3EYumsb6O4iKm3RlYSR5Vhh424JwTg4YYrL/4JfaxpHiH9kKw0bTjI03h&#10;/wAXeILHUty4jM02qXF+oXPUfZ76DJ/vbhjjJtfHS0a28f6p9nmEbXHlpCqL/EYI1Of09vlrOprU&#10;ZOlz82/2tXK/tK/FCSRjkfETWtm3uBfzDP8Aniv33/4LNXWl6l+ybLeafqEN1bap8RoZI5reYMki&#10;/wBhyJkEcHivwU/aviE/7UfxSgtm2s3xM1wLtJ/6CM+P6V+3f/Bdfw4fh58AtS+NHh7XriC3h8c/&#10;a/EXh64usWOoJBoUkvnqPLdoLgLGU3R4WQSESrIUhaLqw3+7TRVTljiqLfn+h+Qn/BUaJrj/AIKG&#10;/G9Mq3/FzdY2MexN1J/I5/Wvin4x6SUspriKRVbzNynby3zZ2k/iMV9pf8FFdZu/E/7dPxl1bU/D&#10;N1o1w3xK1rzNM1CSNpoCL2UbJDEzoW9djOnPyuwwx+S/i7FFLpU0uQFZc7ue3T6/Xt+GKzqS/fSf&#10;mFGP7uN/I8ZtLq+0+G2s7W4kj22/SOTbljPLzx2x1+gr6j/4Iz3tyn/BRj4fXU9w7Itr4iVxIxOf&#10;+JBfnB9ecZ+ntXzJJZuyrGqMq4xubr/rHPr15P519N/8EjIAn7f3w/yFVfJ175d3AB0LUBj/AD+l&#10;OMveKqR/dv0P2N8LTx/2lrTRzFUk1Yb933R/otuMjj/Pb0PQS3UcNv8AvW2vIrFM/wARHpz6Z+n8&#10;+A8L6k1tqWrxK7bV1IZRu2beLDdOneutilFxF5iyqqsnHy5OM5H6+/cfWsWvePP5Tm/Hvl3lnJbR&#10;7WV2KvuBOcKPx9s9cjr0NeP6t4an0s/bdPtpFh3Fp7fkmMeseTnAPG3sFOBnOfZ/EkKu0aFtyMx2&#10;rzyemB3xzx256VgX2gRzShEG3czfdxx+B/DH+cLm6G0Y+7qea22hvcwq1tufIz5itwfcAe1TRaAz&#10;nyol+TB7duf8K7hfBoDySS3KrJwQ3VSMr1U8E/h378CtLS9BtVZYLlI45MrlY2GOScYJ5PQ44/lm&#10;lzGh5vD4E8uQsbp/uYXdt+QfgB39fX1rQg8DXkj7IQnyt/Ec7T+o4x9f6esaf4Fjll3RKY85Pmhe&#10;Tn8Oeh+n41sWfw8guFWXdyowyjjC+nTr9fzpcwWPD7PwRdNayS3E6qkIklZ5FztXexJJxyMfp9Oe&#10;y1j9lz47+HdLutW1z4L+MdPs7JN9xf6h4TvYbeFM4LNLJGq49CCRnGThga9F0X4dpDFxbrIJLiX5&#10;MfeUyt8pGBx7eh713erfEX43ax4euPC158ZPFs1jdwmK4hm8QXEgdGOChLscqc4weCOMEUcy6hys&#10;+V5PCM8ZZSqs0bAbQv8A9Y+v159qo3HhzyJMqfLkUY3LGCwHBxkg/qPQ17hH8OrSCTyoWdiucszF&#10;mUDkjJz6+vr61l6l4Ikilbbbx+YSVUs2N6nuG+uOx/rQpIDxsafJBeLazWzKZo2aORlwH24yvP8A&#10;EAScd8cE4IE39kSSDDF/T5VJ5/Lrx+v1r0PUfCdtdxqn2Zs7g5xlScDk5Bz07isX/hGbmK5lgNzH&#10;OvWPzMh2XvuIGDg8cYzwfYaKQHMPp7L8k21mViCMcDGc/X+dNW0aI7FGArZwwPHfH+T/AIV0F7pL&#10;h8puAY/LuGc5xz+tV5dNeNtjjKlcKuP4sdP8+v1rRMmUWzCezSJ1R1UsrYyGyeef884pVs4wduF2&#10;n7yjAGK1JrFklZYxjCqxzjkHn6enFN+xMGQum4MCF5xnHb27Y+tVcyaa3M+OzgiiZ44VztO7C4J4&#10;/wD1/n7Un2eAoSiqueV44Jz9P8/nWjFErjYWXqBtPft/n+tElmdisw+6uGUgcY6n27U7iKEFjApJ&#10;jhU+mP6+3FJJp0Dcva7g3GAAdoPG3n/6xq8tqqMHQYOTxtPp1HpTXgEisjLk5z8q9e3B7UXAzv7O&#10;tLZPKhtE2r2Vcj1z/wDX9MUqWqj94BGeh3benH+fz96uyIWjZ16KuVYNkkj6+9Lp8L/ZVRlUt0fa&#10;hOf8Bx/Oi4FT7MpdokVvm+8oY4PABGPpmo3tg0IWNtpb/VyM3IBHB68kfrV+4tGZCBIq91ZE3Lxj&#10;PHH+e1OS1TyvMhb7rA88MeevsenGB1/Gi4Gd/YdjAFRYtzKzfvGJLFs8n6nnkfypsmm2jRKrxxtx&#10;ltyjr9f8/rWn5CumVQ7U/wDrc/ypsdiY3xHGAeS3J/rS5h8rMm40+zWRXlVd27Cr756/n/Wqk1tH&#10;czLZWsRO2MCSSPhQp6DnGc8nByBnNbt7am2XLH5jwqjPzEnoDSwaaoR5Y24Zvmx2wMf0/pUuRcY9&#10;WZCadbwqscdvgN94r0Prn/Gg6TExy9vuYcBiOn+H0roIdLkeXMSn5W2nnoc/Tn/61WodGklj2oc7&#10;W+8x6/h/9fvU8xocn/ZmN260/wB7Pc59c+3ej+wIZRh7ZWKsR3b+n07V2cOgTfLBLbNuK/KGU4Pv&#10;0qyPD265jtVst8sisfLVhnHqTzwCfT6VPMwODk0GHytqQAHgY2g59sdzn0zn+VW58N2tqsmoapax&#10;+TCu9pJIwqQIuMsxPAA65J4A556evW/gRJI1aWyk5feuxupA68DOcj/Pfb0jwnNpF3batpBube7t&#10;biK6tbq1uCk0E0bbo5EcYZXUqjAjBBAI56TzgeReMvgP498MWOm6v4y8Da1olpqDFdObUNNkt479&#10;mj34R2AEh2BnwpzgFugJrFk8KbI9qWa7TIFHmJ+nT6fX+f1h8RPiv8bfiN4b/wCEY8YfEvxBqVhI&#10;irNp91qUssM+0h18xN2HIYIwJBIIBznmvNNQ8CTtFumtBw4y3ldDv6njHfHXrU87HqeLN4buB/q7&#10;X+L7pUevQ9apyeHtRWdVW0EcXHzLzv4GSPXg9+mD617HqHgWV41xDljwqyR4x6n3HsT/ACyMufwH&#10;9miZpYVZmX5F3HjGD2zjg9f8aOYVup5dF4ebaX2E7QMHGScD8Mc/5705tCnKMzL8qjIXnuTyAc8n&#10;t9fevQLzwqtsrRA7umNx2gd8Z/zxVWLwrcCbMkf+rXCqpBA/T0/HrwQDhczFqcrpfhyGR1lngbb7&#10;oMfgSccfy/KvZ/Al/tsrfO3YoVDgnIwQAcdufz6ntXIad4Wjnn8yRyPl2kbfvDv0zjp+X6dppOlh&#10;bNLaSPauPmXng8k/kfx4z6CqjczqfDZHdWGrTfY2j81eH+V/73YdPx/zxVO9vn/t61UTpJizmzhv&#10;4d8fb8Se5z61npqdnZWzgg7lxtHBA6HJwf8APXkZrnbjxJd3Wv2LNMOkuxWj3f8APM++B049fwxr&#10;zOxhys/IP/gtZq99rX/BQzxta3cvn2mnx6SlnCZmZYt+jWTOMAgbiepxngAnCqB8sweXBa3V7YWq&#10;wzR24aB06oxkjXgnOPlZufXkcjj6i/4LAxG5/b/8eFX3NIujNtKng/2LYDj8/ofevmeG1/0W4RmK&#10;iSFU+7381D+fFac2p6VKP7teh1Hwk8LwPsnkt9pK5ZmH8unPT9fw/TT/AIICWv2D/gqt8GxKrIEu&#10;tZQZx82dDv1H8/1r89/hHZuLWNWhb5gAu5T27Dn/AD7Hp9+/8EY9f0fwd/wUm+FHirxFrlppen6f&#10;ql9cahqOoXCxQ21uumXZlkkkchUQLkliQAOTxUxleovUisrU2fqN/wAEAXuY/wBnHVkuItjt+0Nc&#10;Kyr6f8ITp2P0Ar8a/giGH7Z3w7iZNkg+Mehxt9f7YgGPz96/Wf8A4IZ6drfxI+DNxYyx/Y/CcH7Q&#10;cx1KBbySO71O8TwdaYjJiYBbJUigZlLMblpnjdY4YWW7/JX4IWyQftn/AA6shMWVPjToS75sknGt&#10;QdT696rMH/sdP+u7NsN/vlb0/wAz9FPgxo+s674n0/R/Dmk3l9eTecbezsLZ5pptsTuQiLlm+UMx&#10;wCQNx7HHzT/wXZ8OePdC+HPhHT9W8M6vY2kVv4gi1X7RYSxR2969vZCyilLD93LIkt0yI3zOschA&#10;O04+m/gVdahp3ifTrmwvZre4gaQrPaSsjxMIXwAynKjBxxjv615b/wAFoZLi6/ZN0vXbxWmuIfiv&#10;oF1NJJISzjNwh3E8kneAT1zXLS+Iyl8R45/wSm+KHxX8Y6t4g+Hceq2sPg3wdYajJNpaWMQluL68&#10;168aKYzMC4CLbXKFQyowkT5SVLV6t/wUaD237E3xUCDCt4ZVoZD0GbiEEYx26/8A668f/wCCROle&#10;MLb4zfEDTYIrNdOt9B2+LEkP7xr59XvmszASSdo/4mW/JxzD17e8f8FMrCNf2FPinIQfl8MqynA5&#10;H2iHj2OPX3rb/l4iX8R+E+szDz5If9WGYnOM+vPH+c/jWDckbmXKnaTu2/X/AD9K0tTkVnWMM2Nu&#10;7/P86z7iRyCxPzf3t2a3paCmVXX5/mz6/Wm7MnAp5wD8pHHFIEy2DXUmc7jeVh8UJbg4+9yauW0L&#10;PwV3FuFb1/z6+9QRgg5HOOKsRE71AXPOQPWsZSNopI0Ft57gbopWPygN82O3uKKfZjEHJZvmPKg/&#10;/XorHmNeUpwSHZuCKzfxZ5zz/n/PI67woQHy8Y8s5y3XPfjP1/SuLtpBD+8Rf1Az3/H/AD+HU+Fr&#10;xo/KnjGxQ2DnBUr9ecD/AApzKpn7hf8ABJeyhg/YK8EXCr811PqbNIjBst/aNwCevXIIx/WtL/go&#10;T+w/4q/af0HS/FXw6vPP1vRbGbT49DupEggvLe53QyyCY48qRIridsNkMCuCpUB+K/4Ji61e2/8A&#10;wT88M2mj6z9ja3vLqVpo7fd5SvqF0CB1JywB4yRn3NfR1t4I8fQ6FJr8nxMuZLUW5mDWt7K/mJ1+&#10;UZAOVwccDoKapaqTla/qYSn7zsih+wl4RuvB37Lvh3wzqFndQtp+pa4qw3EbRsqNrV9IvDAEZV1O&#10;OnPTnJ5347SK/wASbx1LbUmhI2NhlHkRjqO/U/549LhsvEHi3wxp2u6X8SrqwhjtY7a4+1XLoJZF&#10;43nDkFj39QBnBzjybxzZXGk+K3s77URfTfak8y6aUsJPunIP447421lWpxj71+u3YcHzSPzk/anS&#10;S7/ax+JltAW85vilrSI3of7TmAP+cdK/cv8A4OIXhh/YW16No438zVdRJSSQqG/4p+ZeoIxyR0wf&#10;Svw1/aPk879sf4lwNG0cjfGDXNrKu7BGrzDp+X5V++//AAWca3k+Hvg2wu13Ry/EbG3dtJ/4l6+3&#10;IwTmqwvvYeXqvzRpiF/tFL0f6H4N/tyfEGytv+Ci3x0+DPivxrd6t4i0L4n6zCmr6tHBHNrEYu5W&#10;84rBHHCJxu+dI0jQkF40VSUj+cvixFLDYXRlAKyYOSOhHHpVz/gtI91B/wAFbf2hp4GkjmT4u608&#10;cithlIu5MFSOnb8q8v8AD/xjl8ZaL/wjHjWX/iYK3+i3xwFuBj7rjgB+wI4bI4DDLa4ijapKUe5n&#10;h6vupS8htlZC4hj27VyzfxY+bk/X0r6c/wCCUdoqft6+BcRiTbb62u0/NjOi3o/PH86+ddD09lso&#10;3RlXcc529V3MPzG39PavqH/glPbWtt+3P4JllbCrZ618rDHzf2RejHXqBzj+dckdzqqfCz9OdLeQ&#10;61rDK33tR3bcDaMwxYz+A/Ht2res9VuLNMFGIx8ysxPOeMcdecen45rNtraOzvNWWNtwfUA7bmHy&#10;qbeEKB6dMdP1FXI4iVEYh+6wG5QT1z79Ofesm9TksaFwz3kO+Incy5dR1PqCOOR2+n1qF9GWW4Cr&#10;n5lGRjgEgdf89+/aezt3RA0YJ/uttI49D/nv+ezb2ymASiMfdUsrctk9B9env9KQzPtNDWSRU3NH&#10;78HPH0HStbSvDTCZfKhEhxhsj+Ecd89yP8OKuWNpKJtggyvWNtwyuCf6/wCe1cz+1d8Qdb+Cv7N3&#10;i34h+EfGWk+HdU0/T44tJ1zWLOS4t7W4mmit45THHDOX2mUMqmORdwG5SpNXTp1K1SNOmm5N2SWr&#10;beyS7sPdWsmkurey835I9A0fw3bRKqtBtO7PQcY6YHTv/nNbFt4UjlBmW5khZgN20DaePRh/Ign1&#10;r418fftOftXeFv2Y/gv4Z8NftB+D7j4qfERjczeIptFVW1KG4vQNPW2tXsFgjEkdzBGWlgjGIWYY&#10;JZxe0/4V/wDBf1nkuo/jX4ZVduMSaf4fbvjtp59PU/n0+jwvDNStho1cRiKdC97Rqc6bs7N6Ra3T&#10;W5xYjMqdHESpUoOry9YWt5btPbXY+ytE8LRwadtuD+8+0TA/LjrKxzj6HjtippvDiNLuFv5i8fMw&#10;6def89zXxv8AGH4of8FD7n4u+Cf2c/2ff2lfCjeO08A2f/CceHbnStNed9dEU91dTBmsmiiiMBgx&#10;hkjyQAoZwC3TfiN/wVy+CXxa8G+FP2iPiT8K2j8S6xBBa6LrV9p1tJqUZmSJ0iNukRD/AL1QMHht&#10;uQwyDpT4RxFWmpRxFPmaclFuak4q+qXJs0rp3tYylnUISadKVk0nL3bJ6aP3r3Vz68v/AAxETtzt&#10;Yr822MYb/wCt9fWsG/8ADagk4jkw2VDDPHX0r5e8S/ET/gpn+0N8avHQ/ZA/aU+GN54Z0PWmjs9H&#10;0mPT5msrNmkjtmme6tJZGeVYXdmDld+/YFUBR2/7PXg3/gqrp/xY0+f9qXxd4VuPB0cdx/aMelw2&#10;XnXDmJliX9xFGygOyvuAP3ACMEkYYnhyWDw7qVcTSUkk+RuSnqr2s4JX+dvMqnmSr1FGFGbTduZW&#10;ce19Ht8j0jU/DEMrSW+G7hVVenP/AOr/APVxXNaj4fSVVlJRnt8tGynDcAjGcfdPfrx0xxXp+taS&#10;VwVjbJYBR/e9+Px75/nXP32noAxO5c5G7+6f8j6V87Hc9A82udPV9sTxdF+ZdpGP8j9PTmqklpDF&#10;+7jlzt5X2/LA/wD1+1dpe6a32x2nJUKPlCg7enXH+T6Vn3GkQO+wRsd4/hbDAcjacfh/9arA4ufR&#10;JFle4kYB2Vgd2Mj2yR+H4+9V20yOUtvX+Hjk8Ht39v09hXRa+j2ETR20amTOxQVI+bnnr06E57Bv&#10;wzxYMsOyVfmHG5l27m9h+X0z6VoDVzFayjceVHtVlP5DPT2P4U19PmVfvD+8di89Mfjxz+FbFxBJ&#10;JGpw37vG0M33R3A74qPy149Oq7Ttzj8M9sfyq76GPL71jIeONxvkJ28Dd19M8+nHFRSW3mKV5Vim&#10;FbPr6+tar6ZCokAl8xuvzLjAPt9Dj/DNRR2u9f3cTL1+9nG31ye/+fWmSZ6xoHy67T3XB4OPr7Yq&#10;G2QxMow2cL1OSMA47e/6e9aNzayTCRpUO5iRheo49D7/AOe9FpYbolE53PgH5cZAx+PbPT9KBpXK&#10;Qt3m8tljXbnvnnjOPQfz64qdbRZV5j933Ac8Eknj61djsArNhPvYA3Yzz3+hJ6/4ZqeazCycsysz&#10;cMvGFA/wxnuaXMPkkZBs4mm3ku2FzllzgDqT9fr3qx/ZsJ5kQtnP3u/044/H1rQitVgTMwZVI2cc&#10;Hk+pH6+/1q1/ZsZXaQ4wuMEjI/8A1f0P1pNlxiYY07MySEFlVl+Zuxx0z36HsKuRaWIoy0SMWX7u&#10;326/jj+n4aEWks0iocFDjdyeWGeePb1HNXIrBJBI0kZX5SEbjGDxkcH8c9c9qzbLMu302N23PAsn&#10;IPHp6n/P59tKDQJXVYvKjbcfvM3TJ4P3egH5mtbS7AOdy2n93bnByOMfz4A/Pjm+kMyzw2EVufMk&#10;3eZLtysQwOcZ7nCjnqfYipAyRo7W9yNNs2U3Ugbb1JXsXJPUDsO5/Kt7SvDphhjWWJhJt2uyA8+5&#10;JA7dug6CtPRvDkFrFvmm8yWRv9Ik/iPpz2A6cH88nO7a6SSyv8y/KCvyj14JyOcen8qmTAyrPwsG&#10;RbiGYKORIFx8w6enXnr65HvWppHhxwd7j5doKuOjdOmPx6VtQaUWtQlvtzz5e48FueuOo/X6Vtad&#10;o628KiBPlUAZ2+3+f8is5Ssawjc52Tw/CXx5TfewV28D/PP/AOqqeseFkgg3oi/LNHj93jPzj0z9&#10;P8mu3j05wxcgMf8AdHWoNW01lhWUptUTIPX+MdqlTuX7NHneo+HInWWUFR94u2BgjuOf8/1wNW8P&#10;xyxq/wBn2bRtDr0/H0/+vXq15pJkjYGPK/xZ7f5ArC1TSVcMPK3565XJX6en+eO1XzEyjY8pvvCp&#10;nd4pDuBOGHl54zz/AC55qqnhy4toRFErHYuGWSM88f59v1z6Rd6I+ciJWzzvUfMxxg/j+np0qjPo&#10;aySstzADuGA0Kg478cfh/U0zOyOEtPD84bCHj5eNvQjuPxx7detat9dWuh2AecLGx+VY+CWOOOOc&#10;dPp+OK1JrWLSdPmvLhiwiYqPl5c54AHvn9K4nVbq71iaS+uF7AYdtxQA/wCP+etNNohxTC/1Q3Ux&#10;aMbWaQdM4HQHjtxx+Y7muZOrSXHj+1it7iR4I9PYXS9YlYyRkAtgjPP5Dt81dDDCGaNlORn5cen1&#10;9Mfp61n6Ro0dnf2wVPMlmEz3BCt8zlkY/ezk9cey89zT5mK1tj8tP+Cqtisv7dPxEknOQf7GX12/&#10;8SXTx/X8K+ZbyylW2kjA27nQfNwW+bP9B/Svqv8A4KkW4b9ufx9E6Lu2aKGUc5/4kthyD15/z15+&#10;ateh8uxUcfLcKCCBkck/0/z3OZpnfT+BHefCxUdI4pBtbbt+WP259/X/ADmvYvCPjXwp4M+I/g20&#10;1q3W+vtS8SWMWm+H15l1BjcoNnGdqn7pYgjPADHCn5xuvixYfDPTDGsUd9qDR/6Nas3yq3aSTByF&#10;77eGYcZH3h0X/BNDwkf2ov8Agp78G/BHxO8a65a/8JR8SNMtrnWtFvIoL61YzL5ckDSRyRxsjBNq&#10;7CoAAAHGOqjh5VFc5a1aNOVj+jT/AIN8ook/Zp1ZI5N7x/tEXLTMO7f8IVp4zX49/DSAWH7eXgm1&#10;heRvL+O2jqp4DEDXIRjjpX7Df8G9kEtn+zNrdtdurSf8NDXe51XAJPgzTzjHYDOB7AV+RNlGLP8A&#10;4KWeHrW3dsQ/tFaaka7ucDxFCM1OYR5cJC5eD1xVb0/zPvz4JNHJ4w02N5BG26baw7kxOP5f5xxX&#10;P/8ABVPwPfeOP2R5NG063klmXx14ZMMUK7ndpNWt4FVcA8kzAe+cVv8AwNO/xxp8chy3nTqo9cRP&#10;x19M/l0Ney+JPCug+MNLj0bxHYfare31Sx1GGNpmTbdWd3FeW0uUIJKT28UmCcErgggkHlh7tmxS&#10;T5j4r/4JU/DLxXFpXjf48apohg0jxzaWY0y6V12TXFtrPiGO4UKTuwokgIYgBhLkEiu9/wCCm0Jb&#10;9gj4qiOANu8KttUn5f8AXRnv9M/hX0jqSzx2uyHhUXaI9o+mB/nmvnr/AIKSWYn/AGC/ixGqnnwf&#10;cHb36qc/l9OlaRlzVUZ7s/n41mRDIu1FHQfdxmqDggfMxH90+n41b1ENlSwDHb/Djj/P+FUpAc7S&#10;PmH4Yrup7BIjfzCc4NKqhQSp9zjtSqDjBb9elKrFGzk8+9bEcutyxCSJdpXpx1NWraNwCmSTx9A3&#10;XP6H/OaqQ5DLldv972/yKv2io7bBHhmYDcrYA9sf5/rXPI1hG+pZtC3kLs3L/wBc4yP6UVbsJILe&#10;MiSYqGOR8rN/L8Pw/QrEs5+GT5FYx7V24+7+ddJ4bmC72XG4sCme/fIP4Vy0Lr5mPl+bsy103h4i&#10;3dEIbaso+VQT3U+hzx9O3vWtQmift9/wSqTwc/7EPgjwtdXTPfapp98s0UbF1VV1C92ANgAEKOee&#10;o619D23wQgNmscXi2+SGNsxw+WRGOp5G7rn2x+fPif8AwSl0VP8Ahgb4bXt1ptvNMtvqDLJIg3KR&#10;qd30ODu57dfqDgfVWkvEYx5O5cHO3+JeOhBOfzArKWIqU37j7Gfs4ylqeWXP2w/B6SORXZtO8QYu&#10;go6BosFvYbnA7Y9M8VwniaPS18RiDw/JJJa/aIxbvLkNjapJx25PH5HOefpi38K+GlhkMGlR+XdR&#10;5uF52y5ORkdM9+2K+f8A4w6fZ6V8Sbi20m3jWEXkISOPhFyFyOp7n/PZVMRGrG1utyo03GV/I/Nn&#10;9oqEv+2x8SrZUIkf40a0ihvl66zNyT71++X/AAWRsnvtH+Gemw48y4+JCbVY43fuIUwfqG/z0P4J&#10;fG6I3H7dHjuzG1TL8dNaVXbBVf8AiezjJ/T8q/fT/grYBeeNfgjp3l/NP8UIo1bzMdWsxjGeev6V&#10;pg/93l6r80aYj/eKT8n+h/Ml/wAFlpYj/wAFYf2iZp7JJP8Ai72uhd7PyBfSjsR6Gvm2F7BuukWr&#10;NwOWlxn8JOK+jv8Ags3hP+Cr/wC0MS33vi9r2P8AZH26Xj9elfNcLAFkccYyfp/+vFddX+JL1Zyw&#10;+BHpHgbWZJbSPTbhPliGFkRjuwSTtJySTk9e35V9ef8ABKJrQ/tr+DZkDnba6u6/KOo0y6BOPpnp&#10;1r4p8KOLdoSv3Y2UDaQSeRx7e34V9lf8EmZV/wCG0vDMjTNtXT9VLbwO9hOM+3Va4JRtK51c3uan&#10;6hrbebealLBdSq0lwMeWylQCiDkEH6Zz61oWyyxrsmnT5nyf3K8nj0FZ0l4jaheJsLK0wKhV4X5V&#10;yf1/XPpVy3upzYYeT5mcD5wCOo7Z5J7f4VzGJr2sTywfM3zL1ZVXkY91/wAevtzqrpuqWkwumvr5&#10;o1Rl3+XFlc45G1MZ7HIzgke9ZaFP7PZnYHfGfl3A+v8AXivRNftnghuYY4G27X4PGzrj8j9PzxkA&#10;oWOizXD74fE96y4+bbHbkZxk/wDLKvkj/gshfeLJvhD4J+Bfg251G91bxv4uEenx/KqTvAixJA3l&#10;oGbdNe25Gc8pnBI4+vNGJhlUurKroCNo/wA/y71V8UfAD4QfE7xvofxI8d+C7XUtY8M3ENz4fvLk&#10;k/Y54pfOSRF/gcSBWyMZKKDkACvXyLMMPlOa08ZWi5KF2ku9ny/c7M5cdhKmNwcqMHbmsvldX/A+&#10;Vf2z/wBmj/gnb4t8c6F8PfGf7bzeC9W+HXhuy8OQaW9klzJHaW677UEKqhGVJD6nLDJyK8R8G/Dn&#10;4QfBb9ur4H6F+yR+1jqfjy41Lxtpv9rz6bbS2f2C3a8ijmjMitiZZLc3Pmx4I8rIbKyYr748W/8A&#10;BPH9lr4m+Mb/AMfeOfBDajrGrXjXV5eXTRSMzk5xlo9wUD5RzwAB6Y6b4HfsH/st/Avx5Z/FL4e/&#10;C2ztdd01ZBp960aqYN6FHYbVHJRnXnIG7IAOCPssv46y/AYH2UpVpvkkuWXs/Z80k7vbmspO+54e&#10;I4dxGJxKnanFcyd0pc1k152vZW2Ph3wd8JP2lf2zP+ChXxx+KX7Pvxzg8B6h4R146TJr0MlxGbuz&#10;Ms9nboph+YFotOV3zgZxwvAr2r4f/wDBOr4veDf2iPDH7VH7a/7Zun+LNN8ARm9jk1TUpx9m8nfJ&#10;CWkuh5ccSyt5jElclRznp9Lfs6fsx/B79mHwxq2gfCTw9JaxaxqBvL9p5laSWQAogJAUYAB7Z+Zs&#10;k5wN74q/CHwh8b/hxrXww+IVvcPpevW0cGoJY3RhkCpIsihWGcYZRngg85yCRXnZhx1isRio08N+&#10;7w6hGn8EPaKCioytK17vVr3ranVheHqNGm51feqOTl8UuVybbWl7aadD8+5f2Jv2JfBvifWdU+Cn&#10;/BXzw/4N03V7/wA2PT9P+IFlHJDCDI0UMjxXQMwjEjKrMSSDk8k10H/BHr4jfGXxj41+KC+Lfi/r&#10;HjjwTo+oWtnod54l1S7kWeWOSYK8Ucku+BZYdrSKhUk7MkFQa9Wuv+CN37EcUbFPDvilmZMZPiHh&#10;cH/rlj9DXsn7OvwO+Gv7JHh0aB8DNOuNLVbyS7F60qyXDSNG0ZLyBV8wbHdcMCAGI6dO7OOLcsxW&#10;S1cHSqVa058qTqxguVRd20463dktehz4HJcVRx8K8owgo3doOWratrfTTc0vEMj3O6KFbddzE/Z4&#10;1YqM9Bhm3YH+8Tjvxxy2pw6ggYy3MIxy223fHpgfMc4yPpx2rp9UufNm80Ow3Aj5sDgk89eDjPHX&#10;8qwb2QqZMN/wHyzzjJH09Poa/OT6Q5u+XVWu2hhkt1UlQrGNzxjrw47+vXH41kz2mrQtIVuLVmxl&#10;g1o/OQOc+bwM579R1FbMmRL5LqOP49557Zx/nJH1zl3LtF512YyzEMF/hz7D8iP6+miA5rUNF1V9&#10;XXUDdxKsayBIPIkJDMxJfdv67cjsOTSXVrNLO/2iWNV2r923bc3p82/j/wCt0q+zpbwyzXbNsj3P&#10;JN/djznq3Yc56ADPpwy9lhWYrMxVerdORj16YyfwqosDJktLpATFKo8yT5Ww23r0xuxj6f1FVFsL&#10;2CabfdK0iMflFv1OOoy/H/6+avXutxW9t9pNtO1u0QMkkVuzgKee2d3fp1NUF1Zrm68qbbE253YN&#10;hhtUfMcjIP4VaJlsI8NzI+83salsnK2zEYB448znjqefbtTGivlTMl1G3y/LttSeen97PX6jnsOk&#10;rGOOTzkb73LMFAP48e/PT3z0qQRqwyNq5+ZumABTM0tTPvLK/a2Jjnj/ANX1EOcH0+99fpUul2t3&#10;HHDa3V6pfb8qrDgk9zjJI46/p60txcJGPI+0RSS7iJNrc7gec+mOmSO2OOzbPygm2Xa25V6SkEgZ&#10;4I9Mce3T6I0siURXjbnkulLbl3MEbPGTjr0waikj1Bp1K3GGDZZfLPynJ/2uepPvnv2sW+3JB2nb&#10;kbSpyO/r79fcVIQXGyRGU7Qfmx0HYg/y7fjQHqRiOWUr5IUlsY6nbx/s/wAvX3q1DZXZi8ua4Qqv&#10;Bb5sr+Z9v/1UGNlQMp8wLknbnByPQd/58+lTRyKoYvGTub7248+v6f54FIocba7jVUSeNmH3WZTn&#10;9Op5+nGPenCe6i1KPTrS0R90bS3D+ZjYnOzBxyWIb3G05HXMgJZlRImTc27djHGemPw/Tv1q9pcS&#10;RXLXMaqvmMN5VgCcED8eAPXn8xmBesl1CJfs8Plt82TJtbjI55P+Tn87mjaVfWWoXF3JqSzNcFQr&#10;C32gKmcLjcR1JyeCSec7QBDHIz8q+fbnK4GM9O3X8PxrUsk84guflVgM568f5/z0lsDWs7aZxsV4&#10;38wZ+Vcfp9SPr/LrvBHhy/8AEWprp6eHtU1aTy28y28P27tcYyBuGIpdqg7csUIAOOAeOb02cBUd&#10;PnwNihct2GB78fn/AD3dMKo0LEKzxnK7uu7OD09x29PpWctioK7Oj1zwve+FLxdLk8N6xpMnkhvJ&#10;15iZmyfvf6qPC9gNp+6eTng0yC82s0sioC3TDHnP6fyqvbvJMFC4GW+bsDk9617SJY4tp255yV7m&#10;sJS5VqdK0RLb2M5jMazDnn5snPP1qjrdjdi0RRMiyfaI2DKnT94Oeo7f54rYiIiy5HJwf6fzxVXU&#10;5iyqpG5cgle5wf8AP61lGXKM5+9hubeQQteK24dfJHHPf5vr/k1k3cYUMYiobb82Y+M56jk5BHFd&#10;JcwefKCF+6oO05rIu0ieeQygKw+83fFdEJcxLOWu7e+N29wGjzjC7lZlUfTcAf6Vl6nDr8kDSSz2&#10;scaqR81q/C9epfH1OOoxXXy2kIhaSTYo/wBrjAHf8smvPvFF82r6lhU8y1SRlhAYj1AOPX5Tz15P&#10;PFap3MmrHKeKzdM7vJq24qrbl8nK4z2y3J9Dzn1rIVZECliVKnqAfQe5/L9e9dB4hsvss0JIxuZm&#10;bnheMggn2zwPTkg1z+pNGF3t+6+YD5wRn3wfqaZEhrQpCiRxTBdq5jZucYIGB79P5VXtzdT63bxt&#10;P8rRyeYrLglTtXPXg5YHt93jtUhLpb72bO0YAYfw/wCf51T025WPxKtqq4/0eQcqTxvi56+3/wCu&#10;gk/NP/gqDZpD+3T4/EaBiF0MLtXHA0PTR+XGPX+nyn8R9ej0zTwtiM3HnBo22bgvB5xnHcdc89c1&#10;9Sf8FS5in7cvj52k3fLo272/4klhz35P9D618d+NpPPumeQZAZjiXqP/AK/rz6elaU0pVNTq5rUt&#10;Dk5oo5pHnur2ZpGYlmaPLM3fPzV9Gf8ABHW4ttP/AOCsH7N8xmc7vjX4bjwFxjdqMKjv6mvnOdGR&#10;2U/w9dtfQH/BI0gf8FV/2bsj/munhTH/AIN7bmvXpfEjzKseVH9Hn/BAMv8A8M762+3arftGXZTH&#10;93/hCtPGfzBr8kfEaJZ/8FWLSDT7fakP7TlkkcW7hF/4SaLjPtj3r9e/+CC1lFZ/s2XxU4Wb4/Xr&#10;x8df+KTtFP8A6Ca/IvxTpkenf8FZ49NhlRlt/wBqG1jjkX7r7fEsYBHJ449Tx3PWubNo/wCx0/66&#10;yO3Bf79W9D7p+CAeL4g2CyMVYXc5K7j/ABRycZ9Mmvcr2WS2IU2zNGWVWk8wcZJHPfrz9Tj3rw34&#10;WRLJ8T4Lh4mVV1aUM23heXUD6Z4/LpXv15C89hJDGzbmX5QvdgSRj0ry0zSSuzHv412lGTJ5I+U8&#10;HrXgf/BRCLH7DXxXJhVmTwJelck8/J1z+tfQN6gMYU9QM7j1rwn/AIKBlbr9in4qqVOx/A2oruPb&#10;9w3b9fwrSPxIxP53tTXYQvynbx04rNc7RjPfr/8Ar/z+laGoMA3y91A3beMY/wA/h+VZ4Cg4B5zi&#10;vQp7Ey7BkE/QdcUucx8P8v09e1NUAfKeefypyZx97r/F6VoImgVThf4tvyj/ACKv221fmBLbT93P&#10;U5z/AJ5qnAAV2xqv+eOMn/Jqwh2sVaLAxlfw/wA/WsZG0NjWtEnuFLrGWXopGMY/EH/PrRTLS8lg&#10;XEZXOPm+Xd6+lFYl3ic9CkbFSi89Pu9K6bw8CXxI67mwMY+8Qeg6dSK5mNS/c/LwMfpXUeHnikkJ&#10;usld2XYE5Iwe/wCGOcgfz1qmdI/ev/glE5X/AIJ7/C1G426bqB3BcAE6reHv6ZAPvX0hZWjSSfao&#10;HbdJGvzbiChGcdOvD/8A6q+b/wDgltM1v/wT3+FVufvR6TfH7vY6reHGfT/PPQ/SulS+dFiL73Ab&#10;AH93P49f881xVPiYJe8aGnTzWdtHaartG1FVbrgRyc7cc9GPHynjngmvAfitFJP8V7hSDuGtQbQ0&#10;mcgMnHHsc/j7c/QZ3/Z2E7KUK4O7OCtfO3xHR4PivcXNvJt2+IFKbiSSqyIFA/2eB69AM4FZpmlr&#10;n5x/F+0Nx+3t4ztIl5b48aoFWThs/wBuzH86/er/AIKs2X9ofGz9nvTlkKtP8UYynzdGFxpgB/X9&#10;a/CXxzYR61/wUb8SaeozHN+0HfR59Qdfk/Wv3o/4KZRLL+0x+zPCZirSfE4Lt9Q15pCn+f613YTX&#10;Cv1X5ozxH+9U1/df5H8v/wDwWKJk/wCCrX7RTSL83/C4vEAPH/T/ADAD8q+c7MMZcIG3Lz94/wCf&#10;8/hX0V/wWKk83/gqt+0TM7c/8Lk8Qbh6f8TCUenOeK+dLLPnct83oTnd7V2Vv4kvU56ekV6HU+Hp&#10;PLkVzt3LyrH6gYHvwB69O/X7I/4JDNJP+2dobf3dD1SRV3ZJ/wBFf16np+X5fGfhyORduW3LuGNz&#10;DI/z+Rr7I/4JA+YP219HYIv7vw/qbfKOn+jt/Qj61yT+Fm/2D9PvNZNW1MQuuz7Up/3cwxdB6c5r&#10;S02R3CvcwkEMdq7jtXpz9ccjuKyihj1rVPu/8fEe35fu/uIsDPr2z/KtOzBu7dYfMZTsxuYbSMHG&#10;eDz+lcRNjonDvpRlQ7v3IVnjG7OV6cdewx19PWvWPE9tFDFfO8/yrIxPzbu/3eMdeR7V4+ksD6Yy&#10;JNj+Ha/8BI6cjHT09T1r2zxK73FrqDqV3KzPxtwfmJ/z9PrQI4+Qym9j2Ftmz5QSwAwcHrwPpnkD&#10;iuq0hi8WQB8rYbac4P1/z/jy5iE97HDJ8v7sDcOM9ck5xjk+nBHfgmzJd6xaxSR2135artCfLll9&#10;iMfoOvTjjEy+E1h7p3Vg8hj8txx2bPT1+lb1s22Pk4VscYxmuM8HaxNf2fkSTtujYo7SNlg3dW7c&#10;E8Y4xiu6t7dBGpHKlc7mH1/z+HeuNxfMbkNq87x/PGCqyMOG5xuPY4/nU7RIy7lyMd/alsY08pkD&#10;Nt8xvzz/AI0lzJDahftD7d/y4Y9W9BxyfpVW926AqX8XyMct/gawbiY3M8kqJuiGVXbxyMjPvyD9&#10;a6G5DPExLbSed3pWRdQJbQ+TDGqLEvReg6//AFqqnImRyuqwrI6vGp2gknv+OO/HH41iXse5nQt1&#10;zhvSuku3MkrRwJ8+cDc6qCT2yxAHPckAdzVvx94BsPDOjW2pyfEPQri8mhzJpNg0lxKjlzkNIiGI&#10;DyxGwJfJLsoB2bm6TCVjy+6gdZWHGM/wt+Wff/63tWbKWKchj8uDuOfwPv8A/WrXuljaVog3yjcO&#10;uGbB9vT685+mMm6VPuZz8+5Fb5srj3759f8A69akGZI4tn+c5Zmwy9d3yng5H8+P1rn7bSLWyvZL&#10;SK5uFhifesc107Rxr2ATJUYO7tz1JJ5roNdu3ttPaUxMzSfJCsYz5jkEhenc+3X61k21sbC3Xc26&#10;4fDSyFurFsAjJ6YwOfz7mogRzJFKjBCoVgx3RsG9hjPOD/Pt0rNk0e2w0aRptZf3ncseoHPuM+ma&#10;0BKPOyDuVuVOPU8jjj04wOv4U1opET7UG4ZRk7OBjPT1+tUBVYSu77DgMASNvY85x+f9c9az9SuW&#10;fU7fRYbVmEm57qVgNoVUJEZ785BxzwpBxkA3nWdFMUZIXaFUs2c49/XA/Tviq9zYS2kSz2sMbTo3&#10;mbTgb3z97PXvk8nj+73ZMY9yjdRaXo91JLBDGhAx8q4YkE4A/Tn/AOvV6yACeS4YbVU53HcMAD+R&#10;/HnrQ2mRJdR3TvG7LEVVnUrtyCpI6kYA5yefrkU61d5rdVT92nDbjEfnypx2Pbv7fkhvTUmgX7rR&#10;vn+D5M4xkgAcZ/Dp6d6dAzId8kbDPK7k5PqR0+nv0xUNvMucfwNu+bbyfbHvj9PapgEgjV1gZT5n&#10;BWPG4cZ9s8CmLdk0TuVxjLBjt4+ox044qSF8YjkTltx+7kD8uOn9foYYP3qY+ytu+Yt157Zxjn/6&#10;3vUwQq6vxjdgFX6ZOAc9+2elIotRRFZVkDJnC4+UfLjtzznj8Bz1q9CjGJmEbFmYfVs46Z7/AKDG&#10;eOlU41dHRQDIxHb6569hj16D17WLGWa4xG6BUY5b5drNyBypAPJB7fw45zWYGpZuMNBL/D8zfQjj&#10;nuPbjnNbWnq4HKgYyqr+v8/5Vj2keEYmTd83O5cE8Y9f61sWgaW33MmCykfKScc5OP8AOOKmQGhp&#10;80iXSOWGA2cZ7g9/xrobUqEZhI2dq/N93B7gdu9ZmkeHprnSF16LU9MKbm3Wra3apc8HB/0dn84+&#10;v3DlcMMqc1rWqHyvMgO35f4cfL6Gs5GlPubGnXJuLYNFLu2NtYgcZ4OP1rWsLhpWUI/ylshf04rJ&#10;toG2Bl243fOBxnHfk+nvUM+tz20rQskduP8AnpIx+Q5H3udoHIHBzznJHIxqR5joOqhmlwVyzbee&#10;G71HdFni2yD5WlQLhuvzgdR9adardzOMRKqsuTlslf8AP1p1zAQqrGVQ+aiswHqwrnAjAzHsH8PP&#10;y8544/SsfWxAio0nyheQy4+Tjtx3rauWW2tXvbn5dq8tu/X+VcH4g8RSag7Rxrtjbn923PTJOc/X&#10;GBxnvitKfxAZPiXXrqdJIYLjau0rIOmeo49iQfXtjvjm28iBLCHDZmdmB2ZwAGJPYdcY+vfmrGr2&#10;9+f9Nt7yIx+WEaHb97nO7d1zncQDx2yOtVLWZbqPTbiOLLRzuJ49y7lxvBBwTzyfXPvXUjGRl+PI&#10;yEs/spZf9aGZWJxwByM9f8K5PWQJJy8itt34Cj+Lv3/z712vxBiX7PYSKrBmaQfLjJb5ff2Ax161&#10;wuu3FwJ/Ltbf955hZWmkKqV/vDCn1xxwMcVRnIjvbl47VgjYXdjpgdeo9+n4+vFUdMaUeJoS7Fv9&#10;Hc8nPGUB6e+Pfp+LrqK62ovlqOCSY8sATz7YH4nkHpUej+fP4nj+zo5aOzlZtvPymWJTnHI5KD6t&#10;+FAj8zf+Cqc0kv7cvxAhSPdH5eitJjPfQ7Dnv7dP8a+QfF6xm4kklZXOPw9sfj+XSvsL/gqlHFb/&#10;ALa/xAuEwrrbaOpb72P+JHYYH0PPPsa+N/EcisXY8lmJ7YHXsO3Hv0/AbUtzp/5dnNXI+bCZxX0B&#10;/wAEjCF/4Kp/s2k/9F28Kf8Ap3tq8BuCcspPPP3uv+ea99/4JJMF/wCCqX7Njjv8d/Cf/p3ta9Sj&#10;8SPNqn9JH/BBQ37fs0yyXSfuX+Ol6bdv72PDEKnH5V+RfjPRrLQP+Cs0Xh7TUDRaf+1Ja2seVxlI&#10;/E0aAcfQelfsF/wQ0c/8Mu6coRVVfjlqCrtPX/imEJ+vOa/If4nwv/w+B1ATH/m6wSL8uMN/wlAY&#10;AY6c1jmn+40/66yOvA/79V9D7g+FoVfG9jG7bVj1Qt+8IO75yM8ex/P68fQTyR2kckm7ovY+n+f0&#10;r59+GylPHNpDM7ea2s7cnAIw5JOPXjH1r6BnUzwMmMKxK8dOAM1462NpbmVfDcxZpF+7gLjr7c/1&#10;/HivE/25bZJ/2QvinHt3KfAOqEjj5R9nY5/T0z1r23V920yQBWPIVMkY468A5rxL9siaO+/ZY+J1&#10;nMVjb/hA9WDfLn/l0l7ZHI9M+3HFax+JGR/OjfOJGjYvjCgAZxgYHH8//r1TmYs7NnnoeBVjUShk&#10;LrtPzfeJJ46fWqskjno/XtXpxRnLcRAX5z7U9A27JHXH4VGcfdPZakiYgiLOOc4z3qmIswM8WDv+&#10;8Pu4wDx0/wA/4VLBuEyxqu098rjH4darwyBRtlX+LOPX1+v9KsWriaQ7Wxx/F368/wBPxrKRrB6W&#10;NGN36kgdvvY7n6880U2KIzIHSaSH2iT+frRWFizCt/vZ45+79a6bw2WaIzo65ACqV67ucc+orl7Y&#10;KecNXS+Gp4VVZG++uSWJGT0wR+ea3rGVHufvn/wTEZZP+CfXwlV3jQPoF0zbV3f8xC7bt9fWvpLR&#10;ioj8lDhowTuYAE9P8/5Br5r/AOCXEzXX/BP74V26Lyui3aKoXbnbqN0Bxj+6K+l9ILSuuMYVSdys&#10;eR9fTj2/WuCq/eZcdWaduxzhpfM/z27Yr558cIJfiw1ssitnxIrZbBJbzDnr2Gcf5yPoIq+wGN2H&#10;9739/wAq+dPHyCX4tXUTsFCeKA27dnGJvb69/b2ziaxWup8EpGkn/BT+4gm3Msn7R8sexTgsD4hY&#10;Y4Hv/nv+4v8AwVH1L7J+1n+ynGy8zfFiJFz/AHf7U0VT+pFfiT4Oglv/APgrbpdnYhWM/wC09GFV&#10;W/veJBn+f41+03/BVq7Mf7Vn7JMoKhf+FvRqdw5/5D+gpxkerY/GvRwP+5y9V+hniP8AfKa/uv8A&#10;I/md/wCCuTGb/gqN+0M4PP8AwujxGWbPf+0Zvf0xXzzbBizDcefu/U19Bf8ABWllk/4KgftCTgD5&#10;vjH4hO30P2+bv75Jr59hKLIoYbhkrtPfrge9ddb+I/U5afwo6bw5DIzRjcyszM2ZMDPX1x2r7O/4&#10;JEQeV+2TpM8cfzjwzqgKsp4/0fqfXnB7fyr4z8OBn3DqqnJPHy/pnr+Wfevtn/gjskb/ALYVn5z7&#10;mXwrqTg8kkGNRj6/N+NcdT4ToXwn6Q3cdzD4g1ARTs8bTruG35siCIlgcZ6cY/Xsd2wA2AmXcQOm&#10;PVR0Pbuc1QvIVOu37CFv9ZHuDKMcwx9/y/8Ar1atLfUYm3w3arIF/wBXJGWXJHseOvoR14NcQOJc&#10;aJYEkK+5Zem71H8q948ZSMum3w+Zzym3HUl9uM9+v07968FmMiwyScR4jOFVjx1/P/PpXvXj2HZp&#10;d5kNIqzA7kbHRgQeffHTJ/pS6k9jk+V1KBQHZPLUZXoTyeQOnX/9dbBhM6EPAWJ4ZO3T3/CsW1ju&#10;H1GNkWWZduVkbnIBwR644J6du3SuitJfs7lpFwGIG4/lnJ/z71lNmsIljwJpmox6ldQGJUiZkeFV&#10;YNj5Tu46gDoP6YFd5pZmg22t0F2bcYUjgnjP546cVzXg2J/+ElVUtx5c1jJ++5IDIy8dMdGyPXn3&#10;rrL+yuGuN9vLGN7KMOv3QAM4PvXNLfQ1JdJhMdkzMo3LJJz1AyxP8jUdxEzus23leMn09vSrmh24&#10;W1kSVBu89uAvBXcR/QUahEpBWEAFRgfN/nv+tLm92wGJqRdU8pk+Uj5ie3vWZ5F3cnbBasx2klVX&#10;OBjk/wCeBXmv7S/7Y/w9/Zp+N/wa+CfxC0PUpJPjR4ivtD0fVLHEkdhdw/ZViWZOpWaa8hjDDhPm&#10;Y/Kprxb/AILpxvbf8EwPibq1t5qXFjJoc0M0EhRkk/tywQMGHORvPIwc10UacnJJ9SZS91n0nq0U&#10;jspdPmY/xN1XHTntzXPajvO+OOQqY1w2egGM9xyO/f8APk8d+wv4t8VfFL9jr4R+NfG2t3V/rWtf&#10;D/RpdU1S9unmnvLg2kSvcTPIS0kkjfO7lss7se9cL+wt+3D4W/b5/Z/b46+E/BV74XubbXrrRtY0&#10;G61JbowXUSRyBo5lSMyxvDNC+5o49rl0w4jEjdHJJX8jCR6ZKGuLidpERlZl8s8jcAoBJ4Pp2xx+&#10;dZhtna4W2W3Ys3y7FUt17D61L8aPAVr45+COt+FPAHxr8V+EfFOqWqww6po+hWyyWqmdfOEF2907&#10;RSvAJESYQbonkVl2soYfkL8U/jv8Yfhz8cvFHwVb9qT9oy4m0O5lj+3T/tFXLPOI5ZIX8yCy0m6e&#10;Jw8TERyFXaPbIoKyKa2o0/adTKUuXU/T7wj8Vvh/8ZLB9a+FPjrRfE2kWtw0d1qGhahFeRC4CjML&#10;NGSFZVcNt4OJI2+6wNat3HvTHzfLyv7sqw6cHv2x6c1+GX7LHxh1z4W/CHxF4h0X45/ELwzdLevJ&#10;NZ+C/iXqGifbwlupjDRQaVcwyPu3L5kk8eBjIRV3t+jf/BL+28c/En4W6T+074j+O/xa1xtcsrzT&#10;7vw78QvH39tWcfl3nl/arcNboysWtyqkkMMyKQy4Z9p0fZxvcmM+Y+qJt7XO5eVjGe/B69P8M9aq&#10;a9f6R4e0q61/xLrVnY6fZQvPqGoahdLFb2sKIWaV5HIVVAXJJOABV4Rf8s5Y8ybQMbc9sAep9q+E&#10;P+CmvxO+Jdp8W/Dvwj+PfhvV1+CurXMUmn6f8ONtxrPi6+QQyfYbmOW4hkSGOZd58hD96LLl3iaL&#10;OnHmlYqUuWJ9uadqGl6/YW+teGtbtNSsb61juLO+0+8S4huIXTckkciEq6EHKsp2kHIOOqyWFy5w&#10;IJD5g+XCkbfpjp/+v1r8rPiP8T/iB4y8GfATxP45VYPDK+OtWs9M8KfC3UJpZrPSl+xQxadutnWS&#10;W4T7POoKSbmSRSGBc1wmo6NY+JvH+ofDLSvgf8TF8St8Rv7XWO4i1a51C08HspP2e4tEvGm84F4g&#10;XIXg/wCu+YEa+x8yfaH7F3mnXljZ5mtJPmhDpGyjnuBg89PTnIBqKyli+yLK1xHzGH3Mu3GRk+/H&#10;H5Y9q+Mf+CPPhtfBehfFjwvZ67eSWNj8TbvT7S3uJWZYzAiJ54BOBI6lQ7AZby0zwterftFfDH9s&#10;b4p/ELw+/wAIP2htL+HnhG309ZtSuIdF+3apNqAdyoMcgVGg8vyyB5qEu8m5HCqVjktK1wT0ue92&#10;cYun8qKF2bzhGkaxE7lJxvH64PqPQgk0fUdH1zSodf0TV7S8tpwT9ps7gSxSFW2khlJyAcjrweM9&#10;APzI+L37XH7YKXXifwN4B+OPxM8W3Hg3xFc6b8Qbtvhvoej6fbWcPmx3LCWMTGJj5bYMoUKiksOA&#10;Bw/hLxBr/wAHPHugfD39hTXvjxpul+JrePW/EtjfaPpV7c3GnqwS3vLKG3do5CR5yMzFRkRgk4wL&#10;9h5h7Q/XjDlPlkAUrnbt6nP/AOv/AD0lWEoAY5yMY57cdfp/9evgP9l3x7+2h+1B4y1DTPhX+3x4&#10;g0rTvCusCz8YaP4y+F+m22r6chVgNiKk0c0jNHLGdzRujRMWT7gf9AxI13M1xNarHuJYx8bV56cd&#10;Bj/J4rKpHk0uVGXMSJDEJfJizIzjk7i2R0z9Px+melTvZWsE1rNPNHA91IY7WRolV5HVC+xSSCx2&#10;IW2jPyqT0GR8n/tdD/gpB4HsfHfxc+F37V2l+H/AuleG7vVLbw/L4D0y7vIZLe0eV7UTyWxZkYxs&#10;VlLlk8wDawUMfztuP2lPinf/ALP/AIm+IPiT4iza54z8VRx6fc+LNZ1JL3WrHTI7gA2VvcNq5mtY&#10;JDnegsBvRyu/yyCKjh+aN7ilPlP3Wspbws1vPHGvzKyzKv385ySoHDHr369etbtlGCocJ8vXHpgf&#10;0PH4fSvjT/gmp+0P8Y/izb6P8K7rUvD8mg+FfB9si2934PaPVLm3ihSCF47iPXbsfK3keY7wEOpO&#10;ArNvX7DtZdQiVXgtlmQR4/1p3Dn6e3+eRXPVpunKzKTurm5pqXAXZEq7mHzhU9vxJGB3roNMinuM&#10;PBGxAbspPbp0H+TXwV/wUo+N/wAcPC37TH7OvwC+GnxFvPCdl8S/Ep0zXLrTpH85N+raSEuImBUx&#10;TIA6pMm10S4uEDBZXz8O/trftHftA+BPit8RPgN4l8a+LL2bwu8babrU/jnxZfXkUM8SSx+c0+sG&#10;CKVY5ER8wOm8MNpCgmqeHlU1uX7SMT987WzvUTzHgkDHB+6efem+JfDl3LpkkqWDrLJbMIGZSOCv&#10;HPdcgetfgf8AsJar40/aT/aR+F37L99aXcMni5JLnVPEN9rnii2uzZ29rNczzRka1HBKWhgmw6RK&#10;m7G1GHy19y/8EB9L1bwX8Vv2q/hrF4vvr/S9B+KNvbabaXN9LMkZin1WGS5BdjukmWOBXc/M4to9&#10;xbau2K+F9nFy5tl2Kp1uZpWP0n8NyyTaJazTQNGzQr+7btwMH6Hr607XJI7a2UH5fMuoVbb2XeP0&#10;x/k1JoVzFf2PmruXyZJIfuH+FsDr2wAf61k69JeXafZZYFMazKTlvcDOM8denP44rzI6nSZviG8l&#10;1FDKQVgjz5a9D1By3vj8vrXM6pGZCDhmXny1255/rXYXdnFJoZLx4/dkjb1OAa5DVX8sbQFUqCOn&#10;Ge9bRFNHPairiyZ4HYBhlWUdjjjpz6f/AKqzIYPKvLW7t5DCzSKsxZsrNnIycd8DHHOAM5AArVmK&#10;21rKY4l3eYTxnjJyc+3fj0+lZKjzTb7xuVb6EKwBP8eemc5PPb/E7XMZIp/E+6t44LW3zteR3Cbl&#10;ODlV6HGOrcd/bOK4OYCaUySsrFuWYN97PbH4+ma9A+Ltt9o8P28VxC21rkj5sjGV6/h+HB9DXnKl&#10;NySJct8+4tnJ+YgDGeuce/8A9erjQXEG6dULr/vEcjn6fh+GfaqmgCRfFcL/ADfLayZ3YGFynTpx&#10;wB+OOKv3cPmws4mVZHUYaTuR3/z+VZ/h+QjxFaxhAjNbP5ioxbK/Kc9s9M9vancUkfmv/wAFXiR+&#10;2f8AECSJ/M3RaNjbIThv7Fsfy5H6fWvjXxFkOdwVjyPvdfXjsPr1zX2Z/wAFXM237aPjyHh2aPRW&#10;TlRx/YtiOD9c884x25NfGnipoTPI726xtuwVXuMf/X7/ANa6aJo/4aOamZS7YXAz6179/wAEmz5f&#10;/BVH9msg/wDNevCI/wDKza18/wBwApwD1z0PbNe+f8Enfl/4Kn/s2HJ/5L54QHP/AGGrSvSp6WZ5&#10;9Q/pU/4IX3Pmfs02tuAuIfjpfL8vv4Vjb+tfkT8TS7f8Fd9Ud5MtH+1U53D/AGfFGf0xxX6xf8EG&#10;7xX+AwAAgP9/31qxb9x+0HdRjd2/4o23fH/j1fkj4zmtk/4KnXlzaTymOP8AaakSOW73+bsXxIwD&#10;Pv8AmDkDJJG7Oc1z5p/uNO3l+bOrAL/baq8j718AypF8SoSS2BrrKmF7mUr/AD617xKWfaArbWAJ&#10;Pc+n+f618/eDJivxFhiQhm/4SgfdPBBuenf9a+gpstKrYHAIxjrn/wDUK8lG0jO1GZIRy4U7Tu3Z&#10;6Yrw79reTb+yV8UBMyqyfDvWH8zn5cWUuG6deOgzXtOvAiFkc4JU7mbnAI/yPxrxH9tTTf7U/ZN+&#10;I0DsDCngnULhtyj5litZJSu3PRvLK+nIyCMg6U9ZGcj+dW6TAZN+fQKP8/0qmta+p2032Zbua38u&#10;OTHl7flyCOPzxnmsmZBHIVU5FepAxl7o5QM7ix/A5qSPAAZSP549DUIBH9amjbIUKW+XGD0x6/Sq&#10;kIGbaNoJ3HtVm1kEb8sww27jt2qsEYLwGPb/AD+lWYJI2XCHapALD04/l/hWci4fEaNlMYFZox94&#10;9fvcDj/J/wAKKLKSFUIkk3L/AAkc/wAqKwNDCtyhGBx9O1bvh4uG8/zBtAxzzxj06dex/wAa52Hp&#10;908e3Sug8OOrPtjHzKvLdR0PGP8AP+O9ZGdJn79f8EsXi/4YM+F7b+W0S57YP/H9Oen45+lfS2jT&#10;RLL5Cjb/ALO7vxxj8f5+tfOP/BL83cX7APwptbgq/k+G2Zf3a7iWuJSQWABbqQNxJA4HXJ+jLCIt&#10;c74xINqn5m9+i9c9P0H4ny6nxM2WjNg/Km4/d2/Nu/zxXzf44jif4vvakfvF8WLu2ybs5ugAM8ds&#10;fTkdq+jBhgFVfvNtO5R+ua+ZfEoeT42XXUbvGo+XaMj/AEz25Of85qY6mh8afAxY7j/gsX4XLxCR&#10;Zv2pbQfKp6HxKoHH0r9gf+Cs94Zf2o/2QnU42/GpVP4eKvDyY/Wvx9/Zykef/gsD4HXZ80n7UmnF&#10;sgY/5GSMk9OuCa/Wv/gqxepP+0j+yHc7/wDmvkkan6eNfDy4/SvQwP8Ausv8SM8R7uOpP+6/yP5w&#10;f+CquW/4Kc/tBNgYb4xeIW27v4TqExz1z/hXgtr8so8wL8rfLXuX/BUku/8AwUn+PUiufm+L3iAn&#10;5vS/m/OvDLVVecDG3djj8K6qnxNnJD4UdT4YjY268su7jaoyTn6j/wDWOtfb3/BHKJpv2woAiKsb&#10;eEdS3Nt424jH+FfEHh2VS+U27eAu5snOAc564PHfrjv0+4v+CMoM37YgWOTdH/whuolQuOTuh7eo&#10;/wA8EVy1PhZvH4T9LryJv+Ejv98bbd8Q86Yc8QxdPT/AHFWIbe4trdXU+64HX9Kh1BZzqt80yAbp&#10;UPyvu+URqP5AfTGKu2cEiQeSkDbl/wCWbN973AHbpjjHpXDEroNkz9l/0ibC/wAPmLjPB/z1/IAV&#10;9A+N4ZZtO1QrNH5nlyMWVeCcnB69jzXhTSRyiT92FjYNuxIBlcYIzgd89O1e4+LBdfYbp3smGcq3&#10;71QF5xnJP+envVdyOpyIeawv4yp3fL8rbeDyTx/h/hW9ZCNotrR8YzIu3v8A/qFZd0M3cKTxjdHD&#10;Gu1m5PXHHToR/Wr+nNMkK2sNr5snIVTtALDHrgY5X2x9RnCRvE7vwDa2suorOEV/L09mjPHA3R9P&#10;Tjv3BraucyX3n71VOqBh93A6++cZ9s47Vg/DyLVE8RpJexlopraSJ4oR8qAgEnPXqoHQYH5102sx&#10;o119phtHVVjXzVMe3a2Tg/iCK52W9ws9xO5eFZmB3c/xHj8yauNbiSJsrluzHv8ArVDSbkSRACPb&#10;mWQKpx/ebn8Tz+NXbqaaOHzERvThs4pCPyt/4LyftR/Dj4Eftv8A7Ks/jbQtYmh+H/iGTxlrH2K3&#10;hYXNhJqNjGYYfMkRfPVNPuX2syqS8ILKGLLwP/BS7/gtN+xP+2T+xH46/Zt+DWg+P7fxB4qGmpp9&#10;9r2k6fFZW4t9Us7x/NkivpJMlLdlXbG2WYZwMmv1U+J/w/8Aht8WLy1/4S7w3eSX2nq4t5rO/mgZ&#10;VYjIZoyDg7eOQR8wBxmuUvv2cP2fIZmMHgHUvmJy3/CSakdp46nzv8/SvQp4qjGMVJO6MpQqXZ+d&#10;X7L/APwX2/YM+AnwJ8A/C7xb4R+KDap4O8K6bp2pfY/D2nvBLPbW8aOIHGoHcpKnDMEyMZCnOM3/&#10;AINy/EGi337K/jrR7DyxqWm+NI3vrdkPzRzW6mKTO0DJKSp1YgRDOAVr9EdS+AfwVsVaa18M3UO5&#10;clhq167buACN0h+nT+tc98Ofgz8Ovg4mpW3w/wBANjDqFx591FbWaKrPn75WKNQWOQC7ZY4GTjJO&#10;vtqU4PlW5lKnKO5wv7R/7YX7LP7KtrDH+0B8btK8O3F1D9osdLkhmub64T5grrbwJJIULK67yoTd&#10;wWGOPzI8T+Crf/goX+0h4k+KX7Ffgbxr4B0Dxre2cmueP/FWvSWsTzonkuLGwsnHmO8iyZ82adc7&#10;v+Pcvsr9Vfjj8APhD8dbKzsfi78PtM1yDTpmnsYtW0u3ukidkwzBZo3AOAOQA3y4BAJBj8MeFvCP&#10;hFx/wjWnyJewzhhLMdxCDnaFMa7SCAflABAxjGcVTqxprzJlHmPxO/ZU/ZX+Ofi39mrxn8Rvh5b3&#10;2vNoPiO70fxV8M49cvbP7fbC2t/OltzaTIsl0oeRDHKJUkXgI5VY5PqH9hX/AIKnfsVfDPwD4f8A&#10;2cta8A+Mfh9c6fNJZRw3Vm2rWsLBmYbpbcC5knlneQsgtAqySEDAzj68+Af7KnwX/Zjtrn4c/Bfw&#10;zHpGi3d5NqF5ZPcXlwZZmWKNSz3DPziJThW2/JkAbjWxrP7O/wAAb/4iN8Urf4P+HR4mknE0niJv&#10;DMA1DzQuBILnyvNDbeCwbJUY45J1qYinK6aM40+XU6bTriC7hjuNOkYqV3Rr5e1hxkHB5B5xg85z&#10;n0r8yfjtN4H+PH7Tl98fPA/hPx9pMOqfFjSfh74d+IHhnx5JYjVle3mgup4yYpgIIja9ISqOk3LK&#10;VYH9Orf7DbKllDHNJtGFEkbFlPft1+8e5/nWDN4W8HQ2baSnh+2NmlmIDZy6fmFLdU2LGiY2iMKN&#10;oTGNvHTpFOoolSjzH5J6V8KdOn/aj8Pfsb6boE2jpZfFzXtTm0Wy1K6hkt9OgtLeO1m895DMks0d&#10;ncS/eBKyROgVJEFeufCj9j74xfD74tald/FT9jTW/Fd5ceKZks/ipb/HuSxmtdHLRpC2yOcyTCOI&#10;b9rYd1KoVDDn7A+Bv7C/7Mf7M/iC+8T/AAS+Fi6NfahAYLy7a4vbmfyd4byVa5kcomdpIQAsVXdu&#10;wmPWhDDcWxuJrFvRTNbsMAk9sDJ69Bj64rWWIV9CVT7nxN/wSW8QnXNc+N8WWMbfE28vtkhwUEzk&#10;ZPudnPpivp/4x/Gj4PfBLw6viP4yfFrRPDdituZIf7RvkS5vRGYxILe2BMt0V3plI0dlDAkYwaq/&#10;Bf8AZo+Df7P174gm+FPhe4spfE2tSahq3mTTy7pmLEYMhYhVDNgZwM8nJJrY+IfwW+FHxbsLLTfi&#10;r8LNH8Rx2EzS2K67oaXXkMSAxXzEO0HauQOvfI4rOU4yldlRjZWPyv8Ai74U1n4i/scfEr9qnwxp&#10;usW+l698cNQ1i3+2SSwxXejz3ESRSyQq3lT4umVBvDhHSUKQS2et8YeFPGPi743/AAe8G6D8Qda8&#10;dab/AMJRDCbi1+Bsvg248P2ULLvW3u7ZIpAFiaSQLEwRDErMOgP6e6H4f0fRra3tNO0L7LDbwpDY&#10;w21u8cdrCqhAiooVUCqqpgYCgAY65mi0LS5nktoEmhkb7yxRyBlXAPJ5PXn3655Na/WLdCfZnyT/&#10;AMEptW06f4nftCeCFR2utL+LN9d3V8wDNNHPNLHGpPU4a3lJGBy/uRX2VqN5LptlcXun2Ud1MkJe&#10;GCSYqkr/AMKlwDtDNtUtg7Rk4OK5T4Tfs+fCb4Jah4i1v4W+C4dLvvFWtS6r4kvlMk02oXTEsSzu&#10;zMqBmcrGuEUsxVQWJPb28tuWIWC4X5gfLWN1xjpg7cjGP/11z1Jc07ouK5UfCH7Qfij/AIKXfEH9&#10;mjxNa/HzSPgX4A8K6xZzW+o3WrXmsQXNtA6uqos8ckluzsoyqgsZThdrElK/PT4l6F4il+Fngyx8&#10;O2sjaLqGrX1ppMdrYajFFq1xAYFN3Et1LIkyM87opjWNw3mK8aEqK/cb4g/su/Av4weL7fxr8Vfh&#10;hpviTUNPsxa2M2raMlyIIdxfYu9WCkFmbgBs5OQawvjz+xl8Bf2ltX8Ow/FH4bvqmn+Fyx063hae&#10;FQJCjyjETrkMsEOS3zDZt4DOG6Y4inFWIdO5+cvgv4X/ABb8DfGGxi+GOu/DWbxP4P8AFDR+HfB3&#10;jyObR7m5vreWJovsNkl7JvWUrCyeY0LSKVbaUw1fpv8AsJ+Nf2zfiH4B1Lxf+2h4Z8H+HdQuL6Jf&#10;D+geFbdzIkI8wSzXExu5o8P8nlqmcgMWbkLWt8Sv2VPgB48gtdE8a6Do3imxt5BLBpt1pMl/HCSS&#10;WVjeQK0blerIW+9gNxmvVNNns5k+12szyKZMSMvzDJPK8Dr6jqMjpWNatGpGyRcabR8J/wDBVG/h&#10;0X/goX+xtrM9rcTQxePELLbsDLJjVdOJVBx82GGOmScZHb5V/bU/Y7/be8Q/G/xJ8a/jb8AJJrDx&#10;de3Gr6rc6dvujolv5rGO32GK2uXSGMIPlDCQDILPuUfpR+2V/wAE+vhl+234r8M6h8VrKSWz8LpI&#10;lmsM9xFKRI+6QYiALqwWLjehBXg9q5HQ/wDgg/8AsSxRtJ/wiEchHKtNBqsrDk9N2oHnPoPXtRTr&#10;U6cVfcHTlI+Af+CWH7Pf7Z2o/tWTftN/sE+DvCni5PhzMNOtbjXND1saPqH22xuLcxlIlE5KKxk2&#10;ySIyt5LYKELX29/wb9i917xb+0x451aW1mm1f4l27XNxpsbpbSz+ZfzSeSrs7CPNwMKzMQNuWYnJ&#10;7j/hxJ+xRqassnhe1hhb5ZPJ0m/yx/3/ALdlTz1B4z09PoT9gv8AY0+Gv7CXwbvPhZ8O9Ik26nr9&#10;3rk8ge4miSWSKCAKJZNz48uFO3HzcH5mbPEYqnOm0updGjKMkz2m/uofD+mMy8zSyYQf3m29evt/&#10;9bg1nXjTtYSLckqfk3NtwQxZf6/1q1NbLc3EeoXU02Yc+SqwsFQnhuo57den60jpA9rdSHDM3lvG&#10;W42lZE46ex45JNeSjtIns4rnw7N8jfJG/YbcjJ4x29fx964TXAUumiBwrLuVeM4/zx17CvQxcW/9&#10;g3GyBiskEjIPLYHaM9fc8c9q8/1ZsSL5tm+9VG0NCwY/n379c49a0pt3Imc5rLLGoRIFUrkhtvtj&#10;HHbP/wCqs6xgjAgMsgONRh24j9AeOvOd35jpitLVPOljZ3VmUrlcZ6EdfcY7fyyKo2SXKvbiPkNf&#10;ozMsZ5z8ufp8wH5DmtjMr/FhBHotuYxl1uCwLfeYhSAOnGevFebyiGG6VQ29t37vDZwB1J/Xp7et&#10;emfE12n0L7Da28zGO4X5jGRt+VuOnv04rzSVb+a4EaaZIu5cfaDEdqr+XIBxxlfY1QFbVpZfKito&#10;pSrMx3bQV2j8u/55/GneG2I8RQpGPmWNz93aeWXB+mc8fXtxU1xZqiNuEjMrKCphzwB0z6n3Hf2N&#10;Hh+xibxCzvpzI32QyAspXcdwHX/I+mKAPzA/4KyyL/w2t43tnU7fsejldzDDbdHsjx+O0epyRz2+&#10;MvEABuj5n3Vyfl6DP8ue3+R9m/8ABXRjB+254qt4Sy7rHR2k/wDBXbYJIx+Z56fWvjDWmmYkKmNp&#10;ZVw3fPJA7Zx27Cuyj8RUv4ZhzkM5ZSRtJ7V71/wSi/5Slfs17W/5r54O/wDT3acV4JIedp9a97/4&#10;JQgj/gqV+zXgH/kv/g7/ANPdnXox2PPqH9G3/BBRNvwZ1eRW+/8AtJXQbd/2I1livya+JpurX/gq&#10;d4iOoyKGT9pe9MzQqQh2+IpBuCkkgHrjnGcc1+sf/BBVnb4Oausr7m/4aUuyP/CGtBX5L/GS7mv/&#10;APgqB4u1W64kl/aK1CZnZsDnX3Ofb+mK5s2dsDT/AK6yO3Af8jCr6I+8vDKoPiuNku4p4oJ3MAMt&#10;9rPTk/XHPJ/P6A3HazM+3nG325r578IrDa/FXynDbP8AhLP4l7G6NfQRAhRpwH+bj7vv09+eeSf0&#10;ryeiLkZeuxpMcPIQ27cvy9Rj1/z1ryH9rNTN+zP8SYH8xd3w71qNflOSPsE4z9Ogz0zXsWpQNfXc&#10;dskG9nP7pdpbPqCOvp2PHpXlv7V2nXFl+z58SrC9WSN5Ph/rSfcIbDWE3TI69f8ACtqfxpGcj+bG&#10;S4eVVQPwsYAyPYVWwc5BqSTjayngqvGfaowd3FevE53K+4pOV5NTQuFHzL8uOOBzUI2nhjTz6A/p&#10;0oYD1kJP4/xVYtyWKhG+Yt/C39BVUZ2/X261Ygba3Dk9vXP+feokjSHxF4YWPbcKrNuP3jtx04GR&#10;zRUcRMkSllPf7i//AFxRWFma2M2NhG6uGHtWtocoQGdQu/P8Lf5wOf0xWGrDfz9K0tIcMxBO3OOu&#10;Mew5Prit6kfdMKcveP6Ev+CaM0tz+wT8JwjyMF8HQrHukJyvmueOePvE445JPFfRWn/v5Is7twA+&#10;YqAd2O2OAD3x3r53/wCCccTWn7DXwiiiQru8E2fDH+8m49eoxyPxr6M0+MDb5Z5X721xj7uD3+h5&#10;5/Dr5NT4mbxNJDsGwjBJx9K+aPE0VwPjvdCEjzG8YK6RtwB/ppCjPYYWvpOKdvKVzHhum30+mPp7&#10;f4fPPikBvjXvdkJTxep8tmI3f6aVA465De3B9azibR3Ph39nC5t5P+CvPw9vYVYLN+1DpO3c3Lbv&#10;EcXJzj1H19z1/V7/AIKXJc6j8f8A9kmZTjyf2iNR3f8AAfiDoK/yBr8k/wBlq83/APBVf4YTmSM+&#10;d+0xoJVucHPiKD15ycn/AD0/XT/gpJEbf48fsppt+Z/2hb9lbd0z8QNBYj8h/nt6WA/3ST/vIxxn&#10;++U3/df5H83v/BTFpZf+Cifx4klO7/i73iIn5u/9ozfhxXicURadUP3d2G5r2b/gpI4H/BQP45FZ&#10;F/5K54iHynr/AMTGf/Dn0NeNWcjCby92M55Xn8ua6anxM5ofCjpdAKQlWZdzNz8zcDjrwPy9a+4v&#10;+CK8zP8AtiXcUkqhbb4f6lIQzc/6+3QY/Fh6frXwxpkgUJHG53bsRt/nt+dfb3/BEki7/a91Jllj&#10;Vv8AhXOorIvl8hhd2JI6j0I+n1rmqfAzojsj9NdZmsbPXJHkYt500Yj8o5YsURenHGevoM4zxWtB&#10;Cv2PEpXcW6A9snjpx/F/npycUl5f+M9QNzcDbp8yrDGikE7o1wzZ6jjgcevTiuktriYwbpJVYDpt&#10;j2quT+mK4IhIuqkc8WzblSmOCOVIH9OK938VSPL4fuJX+X92rNvbGOQefQgjv3rwW2bFsXz26ldw&#10;HHfH4n39ule7+MJUk0u7aVV5I3J/CcOMfWmnuK2pzwZm1FWk6tHggcZ4xjn8K1rB0DZhgHmD5N/8&#10;RUHgfTOPbnp2rBzMt15bY8xQPmwQDzj0POT+la1jMqJ86/LnknP5fn9O9YzRrHc7z4XXqpr4hQDM&#10;sLoBzxjDc/gv6fhXR61Ozy3cqt8vmKI/7uQoHpxz/IVyHw1Ik15HX70NuzJ2+Y4X+p4rodYvFVri&#10;33AMxU7vbAOMZ4x0rFmn2iPz5QrSQcbZD95cA4J/zmohqF3fzTTecyxINsW1iN3Pzeh7Y7fpTUlj&#10;urcqJGYN975uvUf5/wDr1Fqd0mm2SyKn7rcqN0G3JCj9SPQYqdwJ4NaKSfY7u3hWJRnzFQ72/I4+&#10;vGT+FUb290xZ97osin76sPlHB/PjsfbpjmC83btzBfmOFw3P15H8v0rJubyQK7vD8qt82zOMfgP1&#10;ojG47FbXY4G8vy33RszFcAfd9PQj9DXN6vJBAjBizLyZlHy4z/8AWA/M1oXKys3mwfIzADG7Gfb8&#10;vXpWJqrwGQblZXZiCVXr6d+v+PWuqmraGNQp6pOZUVgdxzjbjGeT1Bxzx+XSoLv4ieNf+EaXwO/j&#10;HWG0dcD+x21OX7IMMJB+7ztzu+bp1OevNQ+fGXaPc33mVl9GwOPqf1z36VDFBbQXUdzNax3Cowdo&#10;Z9wSVQeVYxsjYPT5XU+hHWtjDoc/Lcxq7SRwlW3EMqhenrgnrwcnIz+YqGUKHMUXy/Nz07k4P8q0&#10;Na0197XFtFbwpIMtFHv2g+ihyWC+gJJ6knpjFm82HdHE/l7ufMYDcOTyfxPvQSPmlZeEPzbSeWyD&#10;759Pccfh1hllGWa2b51JKyfxHqduPy74+Y8dKivXUvuQN3VS7ZOPfn1/z0zUknlkbc825ieXLHGD&#10;29zgZ/ya0Afs/fAs0ZZR8rf3Rjq3bP5enSnTPaXMJWNM7t+GViQexGc8fhjPr3qpvR3WYu2GYryo&#10;56Dgccdc++T7mOWdoLUTRqdzZVGZuM7Gbkjn+H1Gdw5yRgAnmnFoRdyXLbtuJHb5ecnHQ8/dX0HH&#10;qTVc3k7GNooEVW3YJU5zxwB29Oev86MsepyBjqV5bmBIc/JC6MzZPPLsCAATnjOR75kiUTN9mVS3&#10;ypu3Sdcnj37H2PbpkgDoDqN232lZfLCtsjUYXdgcN1+U4454x2xV6xvlhjb/AEHy41z+7XIGcHnt&#10;j09f5CF1CJH5pHlj93uXoDkA9TwCAenXFO3IWiSdFy5z8y9TnJ6j0z/LnNAGhaX3nphuFDcFjg+/&#10;b/Hj8qkW6hRVgib5hnywqk9uvoevfIJrNjKxOcy/usYfLEBccbjn3HHTp37W4WLxNJtz3k3Z9cgZ&#10;Hp/gPagDRtrkEsNpbMmYs/wjp/POSSc8Yxgmra3LRr5IuWj8w/nx/knufwNU7JfNfzmJVm/hPb8q&#10;6TwzrPiDQEuI9D1m+s/tkTQ3QtL54fMQgjDFCCRgkY5+8c1mwNfxl8Q5fEBOl6DZyaP4dtvI/s/w&#10;9DqU0ltbukKRGYqT5fnSYd2kVFZ2kcncSxNPQbiddNjtrorJIsfzZ78deRyOv51mHTsXEiWTbFZA&#10;7b8tnPcsTzg/z/O7ZxmOf9y45b7rHIHQficd/UUF3Oh0y6LSL5S/dyO2d2f1zx6/gK6vSLpo0jnk&#10;Ofk4k6EZ7d+Of1yK4nTZmEp2uGB5KZHQZyMjtwDiuh0+/M8m0xZbKqrKOnXHU9efT+Hv0rKr8JrT&#10;3OssdSuLYpOifMHzw+P16jr+dSrqNzLujnfzGZizNjG7p15/r/UnDt9RhYLFEWPZuvBwTjpVq3u1&#10;aSS3eYK24Mq9MZB49x8pP4VzNHQapkhuYdy3GdvUg5HTofwOP/1VXur6IBore33YRjGp54698dqo&#10;Xt9dPK1hYSwiYRh3aVDJ5SkkAsoIPO1wOR0OMgYMdh9rt0mub+aGSRo3SPy4mRQCRzgsxyec8njF&#10;HKBtC+Nt4RvLqSJFaW1mba7AEtsb5R6/d7dOo615bqNxe3Vqs+q75Ci5eNAMHjnGOuM8Z6e3Jr04&#10;22/wlJCy43WMwyvUt8w/76/xrzK4nMxVkPD7jHgfj/X/APXVQ3JkUdRvZmb5kj5zgL6jkjBHP1P1&#10;wDxTNHuAIo7Z48q2pLiRc9NhODzxj8en40y/JijePODtJO1TwMDt6D/Ptn6Xqq21pHby3ipnVoW9&#10;Ny7SMEHufTpkA89tkzFln4rygeH7e4WNdq6kp2ygf885OePoOP8A61efPciDbunYAE7f9n0wfof8&#10;5ruPi3dxr4bi8p9we+Tao945OP8AP6150sjh2DnaVwCOw/Hp6fn71SAsSPE0IZZAu7PzLj/Pb9Kq&#10;6NclvEUb4C5hcY8vHQqeuO+P0xRdGJbdVlX+L+Lt+h9v88VS8PyM3iKPZ8oWOQfMvIyV6nryQD25&#10;HPrVRA/Mz/gsMyyftseKJQ+3bpukNs5wSdNtwTivi/WwB+6I3bRj7p69/wAa+yv+Cwi+V+2l4gYl&#10;sNpOls53cY/s+Dj8P898fGOtAZZVbIzgbl9//rV1Udwl/DMiQ4fON3r9Ole9/wDBKFtv/BUr9msE&#10;D/kv3g/8P+J3aV4HMCJP3nJ617x/wSnO3/gqL+zayj/mvng7H/g7tK9KOp59TS5/SB/wQot5h8J9&#10;YuwF2yftJ3Rbb/2Ill0z71+QXx3u44v+CiXjK+hj+VvjpqEyqpxx/bUnHt/L61+xX/BDiMxfB6+t&#10;vKC+X+0NdFm3Zyx8EWWTxX42ftOXEun/ALdXj/UAreZD8YNVkLKoy7Lqshrjzf8A3Cn/AF1kehl/&#10;/IyqryP0G0FLlPjT9l3YC+LpFk3DptvDu4wOwI6ZANfQQdJWBjiXIOMbevPNfPWju8nx0uMhkZvG&#10;UhaNh0P23b8x/wAnPNfQStjIVcf3cf4V5i2Rc9GjO1xoo2ySvyrtAbHGa8n/AGmFEX7P/wARm8jc&#10;R4B1yQptG1tunT8cdzgdOwr1HUBO0jmcqynGV+9t4/Xnv9K82/aKWCT4DePrZ3JS48A65HIVbBKt&#10;p86n8eeM9OfetKfxIykfzXzqgiAXptU575wPaq6nBzillbKcH2pgfPBH1r2YrQ45S94lBI5B+lAY&#10;dStN8wbuvQ9aVTuGBQVFpkyht3yHGOzcVLGCW2RjnGflz/KogcLycd+lShgwwT1Ht6VlI0i7alkR&#10;QMOB5nH5fjxRSQGJ1xJ8pXjnn+dFYvmudBlKhYbsVYgZvmAGcqeT61VwwGSamt3x8xH8JH3sZ4rr&#10;ktDhptH9Fn/BPaFLP9if4Q2ky7nb4daPKuR032sb/lgj1z6DpX0DYsM7xL83Q14X+wfay2n7HPwn&#10;llmRFb4Y6CFVsFj/AMS6DkDr6envXuNmBlY93GRuUMD/AD6V4tf+I/U7Y/CjSjZdysJCvddo9DxX&#10;zz4gSb/hdTJ/aGHTxkrq+QSMXuQfx9/Q19B2sjq5Qt8w56dPYn6/56V4NeWqTfHaKwZpMTeNMSfw&#10;4/0o8fnjk88fhWXmbR7n5+fsipDP/wAFOfhGyR5X/hpDw66qT93/AIqG3xwPT16d6/Y//gofbW2p&#10;/H79llHH+r+PGpPH/vp460U/+yn8cV+NH7Fd1d3H/BRX4L31tHJI837QnhZ5Gzg7W1+1LE+uASa/&#10;Uz/gtl8QPFPwq+Gvw1+K/gPWn03xF4Z8deM9Q0PUFt4pvstzH4tsWjm8uVWjfYyqwV1ZTjBU5wfT&#10;wbUMDKT/AJkZY3/eoL+6/wAmfz1f8FHpvP8A+CgXxukjBw/xY8QSLhf72oS/5/GvHLdZGlAQHr97&#10;0r0X9sHWrvXP2lfF/iXVD/p2sahHqWoyKTiS5uIEnnkwc43SyO20fKN2FAAArzlC25cgFVJO3OM1&#10;1TlzSucsdImzpRV2QR/LhgcqxBIHb8sdsfyr7v8A+CGEKt+17rQkMj+T8M9RZWZeCxvtPHOP945J&#10;9ufX4L0yTylVz97cFVfukc5/yP1r72/4IPSTL+1x4lhU7j/wqvUHLK3f+0dKHHOOc1y1PgZtA/Sa&#10;9MY1+62PHuldW+XsNoA/ICtC3nEUUbiJvnwvJxhjjv8Ah/nrVKSDZfSXJXcctu6fP1PXJ4+vt6VP&#10;bKJLPynxk4DbTwenQ9PXt+Feb9o1aNSzYTupRjtZemOnv7DrXt/jA7tJu4VG47gVKrk7g/oPp+ff&#10;pXh9puRkuHI8xSu5to2t9eOmfavcfGDBNPupBGu0x/L8uc/PnGcdOFqo7MjlObkVhfQxKke7bglH&#10;HHXgHGOp/wDrVrWBYyYQ/dyF4z/n/wCtWLbTqb6EI7MFjyu5ug/n0yPb861NPkAbzAOi8Y6hcVMj&#10;SJ2Xw2uHi8RYxu327/w+hB9fb/PboteCS3k0sfyquzKluvAHHryfyrlfhnctceKf3MMnlx27NLLn&#10;AOSq7R3J5HsPXORXUeILhlluEQnrHu+XGeOg/TP4fWueRp9or6faW8sLGaFd0bN8x6hsnkemM9Rz&#10;S6zcRQ2EzShQka+Yd3QFfmyfbI/zxUWmXUUdu0QdgdxCrt6884Hbr/nOaj1y3N5pN1ZmRcz28ka+&#10;YcckEe/H5/SpHYhaQXEKzQyblfmNvUdjjv8Ap/Ss29kVYWDRllI+YhePrVPS9XlNn5E0Sw+SoRvM&#10;lT5So6NgnjnIOSMFTnk1JqEys7SAcFSeUBzx+o6f5NVH4hmXOI4t5VVX+E8njHTp/jnisHWSmdk6&#10;K24Yk3DO4+v9fWta/lnjaUshZmjydzZwT2P+e1Y2rXMeFkQtuLHYz9vf6/hiummc9TUyb3SbEyi5&#10;ggjjkRQPM28jrxnrz0x7n1OYTNJ5n2KRtrKp8s/dyDwfqf8APfNWftkkyb55N27gcZ7Dkcdvc9qh&#10;udQsLpPs9ySpVQTtj+62OMfmff681qZkN9BbujQ3Y27hhWJ5Xg4Oc+uPTv34PO3NtHcgxwszJuHC&#10;tnnBBP5Hp6/nWhqfiSGKJfJRmVo9izb8scDOcEZ/BcknjGORkzapFdqHxuVlz++X5j6nt2xx27ep&#10;DMrakkUaBGf5t42K3DZ9Ofw4+grLnjmaJUt7kxybD5e3++D39ef5/WtK+2XMTPMQ3zNtZfmJJ5yc&#10;/j7579hXFrkKVdtv3txBG5T6jPPPB5yfXpVJgY0t5qgtVE1kszDJkW3Jy3fofbqA2eOhyMRyhmaH&#10;VpmjZY2by1eRgUQ9Rtx8zEhc56YAA4ydmSwgk8yOQt82R94ce/Hfp1IzUUthZuT9pmk2zqwKqoxw&#10;wOepPXHYdKoDFuLXUru6VCiR2rR4kXyyrN8oxg/XOTycdu4lsrCApGbeBdy8xzRqPmHXH+f5YrUN&#10;vZlPLiZcxnO7Hyrk9zjt/nNJpumymGLGCi7QvmMMhQCME8ZIP8z0oAjaVVZneVecNvUckD9R97+e&#10;epogCxOqJkBl+WTv1xj/AD+mKsf2Ze3QjiEcayKo2qzYG7Of89MnHSo7jTppSwmVtm0ny9xwOeuc&#10;Y7HvkZxwOaLgVVuLfUUVLS83RyYYNE5DMCMLhu2CfTr71padb262yokZ2xnb8qbeeeemPf36dTTb&#10;WzdVCtEo+XhkZtyge+eeD6A45q9HHFJ/q5v7u7aML244OP8A9VTcC5psYnGA2GZ9zMv5cjPr+ZHa&#10;txFt4Ylyy8ryxUL7ke3X/GsSzvVjdUI4hXHyt9COoGP1NX7LWbK+mk8+QwrG23nlpsDr8oOBjjB5&#10;Jz6ZaQLiEy3MupE/6yNYtit91VLn04yGx+HNWgyjcZHGGBLNvzgnPP8AKq4vLS7Ty7eX3Z/JK4zn&#10;jkDnj6Z471JaRs7Fg7bWdW/1ZUt09iOvv0+tBaNK3Rn2gg+YPm+QehHft/j699zS4g8eIgoGSNvG&#10;ff8AyKxLd/JlaYDav8QYdR149u/Tt0FbNg6o+7zMjd14yvJ/z+GD0rGpqrGkTStd6R4I2vtB3L3P&#10;T+Q/n7iprm7a2K3VvbedLuA2qvb5gMnBwPmznHGfQk1RS7eN8W0B3M2FViBkZGSfoM/l6c1oQwC1&#10;TzJmUyM/LbflOO3X/Puc5y5bI3iSaWsWmancahcSK11fxxxtNJMRuMe8rGinhVUM7ADB+8WJJZiJ&#10;Zai97Pc6ncgW+xWt4QnKtjnP49B7nPQYsxzWzOJJ7fey8JuBO3/P/wBbuabd3IcBY5Tj5d2VGD8w&#10;/Xp9f0pFF22srPT/AAnNc20JjcWshZVYgBsNg4/HI447V5vdAQuIbVSqr8v1GPXrx6/XvXpUj+d4&#10;VnWFvl+yS4YMc/dPNeY3rzbvPWTO1QMSLnK54/TvxwPqaS0kQzM1m7gjt2kJCr5eWYqFUD1P/wBb&#10;0rKtW+0Q+SfMi/4mkG2Iwr8yrghWLe/PHtk4JB0NQU3i+eW8xVy24Y7DOcc+np2z6VTsYI5RC7wl&#10;W/tWIx/KQ3oR79Rx29ea16mctx3xGx/wjUa+UA39pIGbZk/6t+Cf8/rmvO8SDLGPb8o216R8SRGn&#10;hneyrvF4hXjoSrZH1HArzTUZEjVt0jFo/wCJAWyAP8/n+NaIXQS8aQ25aT5mTnn5f4h/QGqvhyN5&#10;dcW6eZ9zLMSu4EfMwIXP0GMc9KcIpZrf7bJCFG4bI0z8q9s9MnP4DtkdY9CEkeuRLJIcbTuOPTt7&#10;Z/pmn0A/Mf8A4LFThf20Ne/e5b+wtLCFuTn7HGpP/wBfHbv2+MdVLCfeXUH0X5enf/Pavsz/AILJ&#10;7I/20tdEqfLLouksu1u32SPGT6dcDpnP0r4s1WXzJWkLH5mO7PWu3D6ky/hopPJubOa95/4JV5/4&#10;ef8A7Nrf9V88Hf8Ap6tK8CbJJx9K9Z/YS8Vaj8Pv2xPhz8TtGWJtQ8H+KLfxHpi3SlomutOP26BZ&#10;ACCYzLAgZQQSpIBBII9D4dThk+bQ/qC/4IhWaQ/BnVnWPn/hoS8Zv9n/AIo2yAFfib+1azzftkfE&#10;S6MWGf4oao68/e/0+T/Cv2l/4IGatP4g/Zdi167K/aL74wfaboou0NI/gjTWY47ck8dq/FP9ruSX&#10;Sv2pviTOJdrQ+PtUk3dCp+1uetefmzvg6Ue/+b/zO7L5c2ZVPT8rH6M6RbCD443nlXXmbfGDId/R&#10;h9ulyeAM/ePbqAcDpXvzx7V2o+0kMFX1/wDr14ZpFqLf433zSADf4/uGfc3ygG9OcegBGcYxnJ7m&#10;vdJ3b5lDLtX+IdD6/wCfWvPj8KNqnQxtXO63ZJ2OW4Xrz6/19xmvN/2gWaD4H+OpVjDFPA+sFdy5&#10;3n7FMcY75+gP8q9NvJY8NHOfZv7oB7/59a80/aB3f8KU8cNg5bwTqrKI1zn/AEKX7vYH8snNaR+I&#10;xlsfzTMCY8jPvxTV+Xkj3pxkOFGe3NNO3sfpXuROGXcAo+Xg1IudmaYGGe49OKVS2/DdaGEXYkjI&#10;zt3D8e9WI3VSz7D0x8vb3quvXP8AKpt2VwW6cbj/AJ9qykbomjnfH7pm/wC+c0VGCNuTJjtRWZfN&#10;Io4GTk5p0e5CR6imnK8qKkiQsGYnouRXS9jlj8R/SV+x7bJbfsmfCsCDy9/wx8PuzqmBn+zbc9u/&#10;BOcd69a0WaRPMtyWYLIAvIGwkbgPXPP58cV5X+yusx/Zk+Galsj/AIVzoO3PcDTrfGPwxn8fSvVP&#10;D8E3kq8h2bmYsq8/Mpx7df0zj0rw6vxt+Z6CNPcEcttZR5e5W4UBcj14HP0+hzXhFzuufjxb3EJY&#10;bfGyBivy7x9tAyOnbJyO2D6596t4yoVCVfs25O/cEfU5/H6GvCmJk+N1iLS64bxarJCEBH/H3nHH&#10;GcZ56jr1643900pu1z87f2GPMP7f/wADXMjMzfHjwqd0eP8AoO2ufw9f/r1+of8AwcI6ctj8CvC9&#10;tsZduq+LpvlwvEviOxcnnsf89c1+XP8AwT5kF5+3v8BbtXLLJ8a/C7bmbbk/2vbH19e3Oa/Vj/g4&#10;csLjW/CnhHwNaPDDcXh1UW7Tthd02t6eF3HB2rnktj069/Qw3/Itl/iX5oyxn+/R/wAL/Jn83f7V&#10;Mry/HrXHBP3bM9c/8ucNcLakE7gW3ev8selek/tp+FdR8DftMeJvDGqzW8txbiyLSWsm6Ng9lA4I&#10;OBnhh2ry9QcDaWWuxawRyo0bVisgIfG3n6DnJH+eK+9v+CAlwF/a98UwvjH/AAqe/wADbtJH9p6U&#10;ceufp6ce/wAB2bJ5e5pccHlR71+gf/Bve5uf2uvGqRIVeH4P321d3Ct/a+kcnjpj9fyrCt/DaNqf&#10;xH6Y3yyQPOZHXcJG2qx+YYYjGe/II/CpoI5Wh8kDzORIVGM/XH+e/wBKW4idbu4YyblW6cfvGGch&#10;tvpnPGOueg6VYt4Y4bNZju3bl6c459+nA69j+deUbyLcQjSbld21sYAHPtyf85r2jx7I1lodxKHK&#10;neoXk/Nk8gc8HH5/WvE0ZkR2CndtzGGbr14/T0xXuHjhV/sWdi2FZlPzLw3zA46dvw9TVX91ijuc&#10;nE5juE3KY9i7yy/iQPf/AOv1441rB3lVnuFVQWKqinsD/UdqyLM3E2oLM77XXGQq/KBnoPr7+ntW&#10;rbxiJljSUrt+XbsPHOM9cHp049qks7b4ZQvJrE1wjMFW1KuB6llxx+B/L8DoeLNRs7K7lW5u1jMs&#10;g2+Y+NwAHTPXBA6dKo/CSC4aa9uJAu1RGo2+5z+Y4z7+9Saxei41Sa2gQMqzYbjq2BkfUenvzWMt&#10;y4/ET2zb0XDBvmO3nrz2x9annsxs87+I916gelR2KGZmCsW3EbecDHX+dWp2aGJZVO1eB9Ov86no&#10;M5650OwS5+0mJpHX7qsxwPb3HXrmszUJHR8ypty2OEzu56+w963HO88gtub5vmyc46Vl3yQvuMis&#10;xxnrwB/nFVHcDDlDnPmSfu1UfKf4u3QdevPesHVYRhpOVbcfmjzkHrz781vXckVvK0ZVimPl6ep4&#10;GPr/AFrKuIwx8oMI9pxu25x1568Dkf1roiznmYF1GTEyRqzcELhc8d+g/wA8fWsmWIu27IVwQNpx&#10;knpz6dvcj8K3ryOGyQzOdwjwVGMHPYk+3+c1iyQOky5Xld2xWxwx7cda2MzMubdheK0jNkcDdGdy&#10;4HPY+34AcVUS2jk4in6L8rAcHrgdfWtSdWMmeueW6dO4zk569/p1zirLCxXaB8u7Kll4yR/Pt+NA&#10;pR6mcbdw2wr+CseR06HP8uh75pYIpJZGcS8burdD2/zzVy4UyuY1VhtGNzDt9ev/ANcdxg02W3WJ&#10;GM8jNuYh1bK5z6njPbpyPXIoIKcNtPJMDEsYI4bbx1OOufXseO5znBsC0ZpvIEefbjOfz4HJ9gDz&#10;irKW8hKiSU+m717Y7e3/AOvmrBtg+18H+E5ZuRx2H49u/U0DtpcyHtJPMC5barfdU8bT6Y7ehFU9&#10;Ptbk2cby/Myqu/qQGI5H59vauot4Llip8rLr/E2CvtyPzz78dDVfw7pwbQbArGf3ljAMHP8AFGCe&#10;meDg80CMe40SO7Ia4RpFx8obPzcAY4+90HH8smiOza3RRFDs+YIwB6Lj6VvHTpPMYtHu/i8zqQBx&#10;908/j6/Sq80TMBbtEqSFd7dx0yTnuOR69O5oHZmV5TqSNu7b37rzkZx+PP8A9epcyMAPMJ+Xlt3Q&#10;fX0/xqytvvVtpwrKqsqqOcNjPX6/56K1mYU6t8jZLJ347UD5WU5WkVlaNVZ/vBf7pzyTz245/Q84&#10;tWW7yWONh8nLb+vGD6HPHr2Xn3jjjd2WNB8oGGVSDnHAx7Bc/wCeRftLXG7GG5ww9fyOf6f0Coof&#10;awKkqyqwb3TGeeQOPr/nrV60Vnmhclm7fKu8KuevFRwrCMgsWJkyFHHzA9D/AJ/DNaFtFIqI4clu&#10;38WFxnueenqeueelSw6lyyUqfKL/AHm25Vs8k/z/AKVo6XcM/wC7jLeXzukX5sENnA659zzjp1Bx&#10;kK13qd59msrfMIH72cttU9QUGO5Gc88A9MkV0FpttbVluWP95Wdm+XjHQfoB09qzkaF2wEiyKjfN&#10;JyQu7rz2PH6ntWqxCuwVt27+LPWsmyAlkjXbuG5dpbjoe3v15/8ArVe2RFBJCc9WXjGF4yPbH+RW&#10;cjaJNDE2zCg7Tx0Hp0/z/Wo7tBJbyASbWUoy/L97DqSOPb8KkijLMyHooHH9M9aYoBMiSXDMWhwq&#10;4J34OfzyP51JRrRrLH4RkdJdyiylZtpHHynjp/n9a8uv7a3uCiT/ADhP9WJWO0YGMntnHfGf0Fep&#10;WkDt4TZFbcJLaZSd23JIYDrxjv8ApXlt0/mbd7ru2sxUNnPcADv3oj8RMijcNLLEyNHgSKRhiBt7&#10;9z/XrUdgT9iWWRw3/E0hd1K8bQRn6fzOParixmVN9sSvysF9OnQdh/8AWrPsJ42tPL8lcfag3zdA&#10;crgYHbgZx0BHWrZnIT4noy+GGjKnat0pjQE4AG4c+mB6eteY3u64m8qINuibLLu7EcH6gjPOPxPF&#10;ep+P0jPhRlDqzebEFwx+9/IcEjHbI74x5sUjWfzF4I6e6/45/wAmriKxArp/Zqp9mDIWBTdkFlI6&#10;fT1PTv8ARNF41+NpQB5iyBvYcHHX/IqafbJDsD/dbK8cjHOOQR+hB/kzRI5Rr0NwvzDy3Bbd1JDe&#10;uB15/OqHbQ/K3/gtVeSQftv6pDGVXzPDOln5eOfIPXnrkewxjuDn4znO9d/Xvx/Ovsn/AILiEWv7&#10;b8yxTbmfwjprMq5G35ZBjP0A/OvjC5kcjk5716WHj7qZz1JEIO35q9G/ZHYr+0DoeBg+Tfcjt/oU&#10;/NebE5r1j9h7w5qXi39p/wAN+H9HEfn3EOoYaaQKqqthcszEnoAoJ7njgE4FdkvhZx/aP6c/+Dfd&#10;UH7IOmkSFmb4pKXJHf8A4QvThxyfT/8AV0r8Wf27rGOy/ak+K8QfcreNtVk6dMzMSP6V+2X/AAQN&#10;tpLL9kvTbS6Ee6P4mBVKpjJXwfYLn9DX4z/8FFNLt9P/AGwvibp0w8uOTxHLJJuP8MqLIW/8ezXn&#10;5lH/AGOlL+tX/wAA7Mr/AORnUX93/I/Q23gdPjbqUIKbV8cTN82VPzXmec8e3Tj3wa9oN3DIWgiu&#10;VZk2q3zbtuOMEYznH49TivEJUjl+O95ZOQyt4wuN643K4a6ZdpXGCCWzz6e+a9vD5VVBVfLjwgb7&#10;uBwB16V56OupujLvhKW5g8sycuJWDMp7fdPIz15zx+fnvx2R5fgx4ui8xmk/4RTUgsYbDEm0l7du&#10;3Y9R9K9B1aVS21FGSjDO7ocjGc8dPX/658/+M8Lv8M/FNmSzPL4Zvkj2jDMzWzjAP1IHse9UtzGW&#10;x/NCSCoAFABzxR0TB/8A1c0nK9q9885jgvHy/jQAeuPoaVSShBPFG7B3bOMAHmkNW5iRUKFTipU5&#10;Pzvu6H739aSOUEMdu7PGe4/z/nrSncoyOmMVm7nQh4gkkAWNx8q9qKckgZfmI/4CtFZ+8MzeKsWq&#10;EpI/PAz96oAuRnNWYIlMUmcfKuea6JPQ56cdbn9KX7M8Yi/Z7+GsR83avw70I4kxyf7OgPbGenHb&#10;GCCa9SsWSNTLHt+713HI/l6/pXmP7OJeH9nv4fByD5fgHQhjb6afb9fw/UZr0mxlh3+ZJjhMHnjP&#10;PJ9O1eHU+JnejStJIhH5Q/1m0rtLfdJ5z0+prxKxuI1/aF0t5V6+Mo1XzFGObnbnP88f1r2iMjEj&#10;/vGAJK7vT0/T+XoceH+HJE1D9orRxLKWE3i2N28xdxY/aMAn1/WsJfCy49T88/8AgmlCtx+3f+z9&#10;HE3zf8La8NvhfbUIWP8AKv1W/wCC/V9ZT/E3wZpF1cyKINMSeVoyPkRtYh5weCf3ZPb7nXivy3/4&#10;JR2Fxqf/AAUE+ACQszf8XG0mVti8ERzK5P6Gv1a/4LN/CHx38cP2y/A/wj+G/hc61rOseE7I2elr&#10;fQWzTKmrTzSgSXDxxqfKilIBcElcDJIFelhVfL5Lu1+aM8Z/yMIen6M/nZ/4KURQwfto+MBbsDCL&#10;fSTC3HzJ/ZVptP4jB/GvC8Ddt38dPTNezf8ABQnxR4V8Z/td+LPEHgrWI9Q0uZNNS3uIXJXKabbR&#10;shzyGR0ZGBwQykHkGvGUXJ27+c9K7Ka5YK5z31LVs/zKrN93/aH+etfoB/wbxRi7/bB8cSM+B/wq&#10;S7xyRu/4mul8Hnpz9Pl/Gvz9tVCkBkB7fMO9foB/wbuvt/a98es9uzf8Wluwz8fKv9q6ZyckZB6c&#10;ZOSOwJGFb4WaU/iR+pF3Aq3dwgb5o5CeNw/jx29x+POamjV/IG4Mu05H09en68Co72O2DzSM+1vO&#10;k5Vm4AdgCeTzjH+eAsCrJCj7nbHbJweAQSK8eJ0SLNtGgkIVO+5hj/OfWuwv/GXiDxEk1tezsY3x&#10;5ibAvUg44AyM49TXH26x4aR3k3YzIzOckd84x3x+VbloBLJIYW+5gKpb0PHH5d/1oeugkdTZpCdU&#10;VTt+YbshjwOfp2H+c4q48aGZoFCrzlWXPDDBxjjjnp+tVomt31LzoWk27WXb5jHZgkZ68c++BVp7&#10;OxnVlni81f4V3N9QeD6/rVFnTfC7XppLy90+zbarxboWjbKBgQM88ZxnvjjnHFadzbC2vfsrSKZF&#10;kbDM2TzzzjrwQPwrE8IR6Murxtq8Un2fkPtlf5eMA8Nu7/8A1q6DUofDt3FJ/Yts37v/AFbeZJ69&#10;Bk+388e+UlqUi1ZKoc/N8u7LMOSen+f85q1dqphG2Tg/n/n8+lY+mFEi8hTJ8rsGYSFT97681oXz&#10;wPBlo9zMuFXzDgZGM9f859qnoUUborD+8aZYxwFZmCjP48f41k3UoX5AcR/7QPTHr65/zirV8E+U&#10;xjB3ZOGI9fT+vFZt+rtGzNI2UbhTI3HTB4Ppg+tOO4GfejbGykx/dG1Vj3duDjjr6VjmJJWkzFty&#10;xDfNnJB565x09Cc+9aWoNbi12NuZtoVXWZgyjBx39z7HnjtWbNM0yea7O2cA53bSBjpz3z2/rWyM&#10;ZGTrku2dnlX920bP9MD04zz0FZrgeUwjx5bclcgdAOPr+n6VJr8AeWO0sVkQzPm4uPMdgiDkr14L&#10;HC98AsQDjivc2UDIULMFj4VlY/Nz+vUn6n8K2RkzPvJ0tjBZRhna56eVzhRtJfBydvKjIydzDjBz&#10;RhbiNiYmXao+9/Fz1z+VPl0+yjmkupBIskkPl+Y1w4wN+7H3sdec9Tjr2qI26uu+VpOWPzec+WGe&#10;xz1A/XFUIatkWOxtp3L78dcgen4elTtFGeG4bYcbc5PA4/l+p7VC9pa7mJWRl6opuGXJH8X3ifbn&#10;HFLbWSAgbrhd3J2yPuOenfn86ALdtbqkpjTBVeemeDkZH8iefw4qy8e9lfzNqruDDj7pxkfr2qmL&#10;W3kjMjZ8tuP9YTgnrjJz/wDW/W1bWNjLGsk5kaRVAk23D5z68nOe/wDjQIkkntiqrMQwjOcyN93B&#10;PJPtjp78UzTbeKPSLW2EjYWCNNzKFzhRxjP4f5zUF7pln5ReQ3HXcrC6chvruJB7HtTbG1LWcZWW&#10;RmEai4YS4yeevJ9M+v06EFyl24VEcCRduAAyqc4J9OfzB5H5VWvZGdmBjbbubbtBIU9ev056c+1R&#10;mIBVZ7lzt+6qNx+WevUZ9DjpUc9laQSfIZJDjAkZ23NjpnnHf8/yAURzxQNGGaJt3HK5HPPp+Hfq&#10;OlNCb5NkUYHcbW649yOg/P61Is3yeWuxiVwjFs46/h19KjlRGDSCUKeu1O/ORz37dPQ9KAGraRsz&#10;Mp+98zENjt7e1SWZRYmjPyk4LOvDev8Aj29+KWJkP3ANoBG7JGR+HT2+lQGb7TfGG1CxRwIzTNtJ&#10;LsVG1BkcBR8x567QBjNAGpGrDEnmx8R/Lubbhe30GfbBGfUVNmK/uP7Jt5RG0axPdt5jblUhtoGR&#10;znax6/w9CCaqxFAqw7txzukZ8t6nHTkHn3+tXrS1gtrh3MHl/argPcMqk7pNqpkkE4yqqOOCQPXJ&#10;zbLNizhitbZIRAP3a/dVu/uSc/1H6VoW23arBdpxhhuHBx/L/PaqVqlop+z2seNvC8tuxn/PHara&#10;SrDIpkbcucZVz8vt6D6dP51DLiaGnsDJkJ96PHHODke/0q0rxvIpd8gc7fTnj6ev5Y6VUtJDEjMJ&#10;Dt27Pmkbcuegx09Pyqza4kkWV3bDD5cN1HXJ6ZP6D9ai3Y0iXEaM7UjRccn5Sf8AP9aq+Z5dyX3L&#10;+8jZM7uTxx+vr9asCOJhtdG2gddzf07dfeq01nps+/eqKyq5w0zYPGQDz68Y75/ClJFM3tKaE6Ch&#10;llVdsZ3NxwvJzg/y/wAjyi4CRRxyHKonyge2B+vHeuvvo/DDaTcebbiLUljaaFmuJMuoCsxKs2N2&#10;AewPTg4zXBzXkM8yQW8LGPzGzPIxXac44GOSep5HHfPFKO5mX7WOJkYtIVO7jnggHn6npWPCfs+l&#10;yXPlP5cMySKOMK2V4+vTr6Z4zV5dNsJLGSSC4kkZdzMxumxxnjAIHTjGOnXJJrN1AInh+4Im8pfM&#10;xEvnH5vUYzyRg+vT0FUyfUz/ABX4li1LSjp0UHlo8ylpJG3Mcc4x37c/0NciyB3aPPYHc2ccHGOf&#10;Tsf8avaqVlgIVlHzd885wD/n29aovvknbc/3sbl/z/8Ar+vNVG/UpDJHJGUfarYVU5z0Gev0z/8A&#10;qqXRYgmtRuk8YVoycs2Tjr+Zx+AJ56VG8KbDHHG3Jy3zEbuMdj05H/1qNISMa1aqiy7i5WFfMfAO&#10;xs8Z44BP/wBer6MD8pf+C7Hmp+3AspYLu8E6a21c/wB6cY9uh/ya+KZ+G68dBX2z/wAF4AF/bZs2&#10;C/e+H+nH5c8fvblf5CviaZt38IHfAr2MN/Dj6HDWI694/wCCaTRr+2f4VE0pjRtO1tWkVNxQHR70&#10;Zx3xnp3rwfJxivZ/+CfXi3wV4G/ay8OeKPiL4ktdJ0W10/WBfaheTiNIw+lXaKMn+JmZVUDJZmUA&#10;EkA71P4b9Dnj8SP6cf8AggtGYf2Y1gkbcy/FeVtzH/qWbYf+y/Svx3/4KwwfZP2yPidGWHzrZTN0&#10;/wCWmlWz5HvzzX7Qf8ETPBHiP4ffB/WPAHjHSmsda8O/F68sNZsfOST7NdwaKkE0ZZCyttkRlypK&#10;nHBI5r8af+CzNmdP/bT+J9sbc7U0fR27DOfD9gx6fWuXMv8AkWwfp+p15Z/yNp+j/Q+6pJxD+0Hq&#10;d4qlfL8cTKsYwM7bvjt05PtwD2xXtjvu4d8r1XYenT8Mf4mvFdQMU37Qetbo4/KPjK4Vj5mFI+2k&#10;ZPf8s8fhn2K0nVYvLVMNHxtZug7N7A//AK/WvJjsjsq/EVL8Rsfnn+6cqu0D3wK4z4npLceCtfFu&#10;u5pNEu1hxlgW8h9ucY4B64/qM9jqEiqchlwFG6Tgn179Bj/OMZ5nxrHHN4f1RXwrTadcJuViRzC3&#10;Tnt/X3qvtIylsfzGyxmN2G0/eIzTSeeD+NWtXVYtRuI0XhbhwF9AGPFVea96Ox50viFyRzmjcx70&#10;nBGSKUE9OfpVCJITjlOCO9SqBjdnJWoEDdhU8eMNvH5VnI6I/CPSRQN2wHc3+e9FWLaBiCTFuP8A&#10;nnv/AJFFc7lEoy4xk9K0rW3Z7V/L+bcrbvl6DHX8/wDIrNj5ODW1p8u63kRT8qjLbep/Ht+PAzW1&#10;aTRNGN4n9In7PExuvgF8PZ12xn/hBtGUiOQEIfsMOc49wePXjqDXpFnuEIkDt/e2r29fX9f1rzP9&#10;n0qnwN8Ew7Qvl+D9M434xiziHGfbI68D2r0a0kaKMb0JZWIb7p7Z/wAjvXjz+JnUjRVFniK+Yybm&#10;wsZ7ZHXkdPQ885rwvwEI4/2itBjn2qv/AAk0Z8wtyo889T6/Ljv/AIe1pLNJcC1UKu5fveX8p6Hq&#10;ecd8cficV4b8KJnf9oHw3PLGmTrivIBIDgAOWHPAAPcgferKS91lw6nxb/wRf0qe/wD+CjvwFtIZ&#10;djL4pSVzt3fLHazSEfkmM9uvbNftF+0BJLc/8Fu/gvpyuNreAPNHHXaNdf8Akn6d+348/wDBBuxX&#10;UP8AgqT8DdOZdwW+1SVVbHHl6Hfy/psB+tfsB8ar2Nv+C5fwJX7Ttab4Zytt/vj7F4jJ/XB6/n29&#10;XA/7on/eX5mGO/3v/tx/kz+ST4qqP+Fq+JuR/wAjBeY/7/v/AJ9KwY02ttK9a2/ikcfEzxEXIZm1&#10;y87f9N3NYsZZzwfm+ldlT4mc8NtSwkUf3ijfXmvvr/g3o+X9rDxzIzFVb4V3CSEtjA/tPTjj8wK+&#10;DLa2mnQBOq/dVR05HPFfff8Awb6Ws0H7U/j26kHyL8LJiGf5V51Kw/PNcVb+Gzen8Vz9Pop0LTGJ&#10;Pu3Ey44wfnYDPqT7+p5q1ZM5jWNxyf4mf6f/AFu/rWdE6tBcNI3y/apuduWP71uevf8AxqwjxNCH&#10;T5yvzAf3cnuM89+K8aHU6LGikxLqU6jBwT93rz/9f9a1dOuYor+Iszt++AKluW5PHtnnr/SuchuV&#10;lvN6yOrKyh+nOMg/iMf/AKq76/8ABE2hwrcNqSyBZUG3yyCu5gvfOf0/HmtES9DSmnEPiDzc/Kkr&#10;hk3H5sk5I9jkgemPytXBMzM+5ljZW8vs36Z5wf5Vjw3DT6yy7ZMxlkKqvRuQen/1s/lWh5klz87B&#10;VVuSyrt5Pce3Xj3+lBUTc0yc58+Ny29fXJJ9ee+a2NMu4xaTQFscLgGPJPJ4/wA9K5PTHZ5SyHcz&#10;f3iDjrgn/wDWPrmtqwumWWVQ7Eqm1Txgc8deuPlHUcD6mky0+huadOgeRVw6mT93g/w+n/6uvFWL&#10;y6aRd6mT5idyBu3Y89P/AK/asnS5VAkjS3KssmNydGGTg+vQe1Wry9EK/wDLTvtfIHODxjv7e/0N&#10;Ry6lFeebnYZCrf3fT/PX6VnzziWLy0LAYyzMw+UZxgf54qWeaOJ2OWZthHynr7fzP4/jWbdyqx27&#10;fpxyR+fT/wCt+OiJkVpnKMzzT4jPyiN4+T0weOc4H0A9Kz5beTytsjZ2swDJHtA6cD05/HirE9wc&#10;MIJBllYBVHucdumccn1rPnmlUfus8Hjb364yc8f0/lUTEqXMpdHeROedyqRg8Dt/9YVn3ZyvlRPN&#10;wwA+YBfp06/X8+Bme4Kxq0hQsu7rk8gDrj/E5+tZ82wN+7Tq2GGDg9P8Ov8A9etUZsc8JkTyvMT5&#10;uWbuM9MDscce/XmqoI275S/G1v3jcKRgHv8A/rwAcUTSssjNuzt/i3jA9F+vuP5cVB5xmdmdVj8o&#10;BVxlc+vr2wfx+gpgLNPJEP37/NuAY575Gc/59fWm+e6hpGO3IO35flQk56fiOff82vIY1y8q8Nnd&#10;tA/l9PpTJlxIVkJXOTuHVWHfH4/y5pJlWNAag8USokg+XOSybt3p3A46dPw4p638ciq0rbVVv4h0&#10;B47f59MVR3W8EYXg4HzKH780XU5WFYHb5sHdz2z0z25/GlcHE0J71Rt3jzty7gA2eT19P6dqr/2g&#10;iwKYRMGVQu7cCBwOMn/PSs2SYyFpEbhfm28YGO/H+fYc0WkhMW/bxjCx+p6ev0qiTUEwZS8kqnpt&#10;VRx0HrxjOfw64zxHNKgjYDd93AVj7+3vx+tV/tUnysiYX+M54/z1+v8AOMzO2587flJZdvPfnnv2&#10;9/5rUehcdhIHk/dgrwrbSSMf17VCGkhcShyflOVVM89j83t/nHFV4pTCnmkbe2xs5A6/l0xj/wDV&#10;IGJiwkuB1zk889utLUasT+cETaW3BeRtI+bnkcg5Jz+uc9qraS8k/Ko0Me55JZmIZp2DkZH91cqM&#10;/e4447gn87zba0hk3cNJt6KAOvt/hn61X1i7nTSWtrNkj8uNyrFtzBuxHHrnJ/DmjzDyNTStSjv9&#10;UL2rGS3t12tLG2UkYjlQec4GDweD+FbUEhEg+zFvvbfmYc8fQdf6c1zHg6xbTdEgtCTuJZ2j4yhb&#10;nafmIJHA7enY1u284REDPuB+6uB82AM/Xk/SpuPyNhZDGfPCFt2diH8x3/OrVpLyrO6lUxu+Xt0P&#10;fj8uprKjZ3bc65PRVTAz/LnOf84FX4Jdx2KSpbksM56c9yM9uvU+9TIpGwk7PIFAVP7u/gj6df8A&#10;OKtxyskGWkVsqN+4DB4/Q/kaxLWXdbFFdsbeir/ienX/ADirbXDeUtxKPmI3biN2OvT+frUlo2Yd&#10;RV4sORtH91huAHt1/wDretZ2tXNvJZvHKyKzbcg5OMyL6cZ5H5n3pLSXgyO4OMHzExnoDgduT74/&#10;lWdqclzNayB2DM23p/10TngccHn0FA7mVr7NMEW2j3LJCrTyb+S2FyPYflxWXKx8tYGl2qqjy8H7&#10;vOMcdsHp+HSr96k6zsk/klRwJFBDMe/A4655z+B5NZly4jPDMox6gcfmP5//AF85LqIsW148FjKI&#10;VZE5PDdscj05HTjjNZMnnDw9cJNPGytMSEZgCTgZbH4DtkA+mRUtpfQkNb/aF3SZPkyZUtx97kcj&#10;/wCtzVa73XOjSWsRGRcKWZuc7sggd/w9RVdiTmLy4SaXyIpF3Hja2cq3T/PaqZu1ZMRuGVvlEme/&#10;JI6emPz/AAG9rWhmDSZr0TuJEUbVzwRkdPb9fwFczIyLKyE7eQu7qPvcLk49xx3BNaRKLc1wHtts&#10;S7m8zAZVGCQefT/P1o02RX1m2JbcVkkLKvYeW4/njn/Godo+yBWYbCG4KkZPfPHXP8xxxTrNjFrO&#10;niPHzXRQBcY/1Mh/E8U+gH5b/wDBeK3z+2RpN0z/ACy/DuwMOZN2QLq8z9Of5Z718OzJ85ZPyNfc&#10;/wDwXejMX7YGkjYpP/CubFt3r/pl6M+vb+VfDE2BubcM+3evVwv8Nehx1dtSJhg4xSUE+1APGK7D&#10;jP7KP+CcDyzfFn4+wyxsPJ/aL8QTIW5BDG4T/wBl/wAK/EP/AILe2iQ/t8fFizkLfLpOhpyO3/CO&#10;6f8A1r9rP+CZV1J/wt39pGe6Xhf2htaWMqfW/uYx/X8DX4y/8F57Uwf8FHfjFYmT5v7P0VW49fD1&#10;hz9e9c+af8i1PzX6nZlf/Iyl6f5H2Hrqovx21pVZj/xWlzI22P7m+5J756fyzXssT+WyzblkVQB/&#10;9bpXjHixpl+OHiC6hTH/ABU07BW4zmfcM4HJGfyGK9h2wxlTGN21QB9McHJ59uef6+LH4Ud1bdFP&#10;VsoUjVZGWRcfLna2O/A5/wA9OawddRLm0kiyrblkySu7GUPY+ufy7jrW9PcfaEEzgqgXILKBnP1P&#10;+RWDexLFcSO8G7ao8xd3BXn16jIPP5ccVS+JGW6sfzN+LEaLxLqURK/LqEwPlrtXhz27D26Cs4Eq&#10;c1reObdrTxhq1sybfL1O4Uj0xKwrI+te9H4TzJK0hQeNpWnocDA/GmgZOMU4ZPB9aJDjuSdec4qW&#10;EEqQ0n3Tg/5/zxUQdhxjp+lTRJxuJzxg7VFZyN0WIVhEYB2hu/y5zRUcTBcmTDZ/vSFcfqKKysae&#10;72KduqMwDdd1bGnoHt3aRd2xW3LJ3GPX/PT1rHtRtk3Z4/velb2jb12lU+QxklWztLY4B59e3tV1&#10;jOivdP6PfgvCtp8J/CsJCx+V4ZsE27uFxaoMZx2xXd2D7SuY2WQ43jHT6nnoD/j2rjfh0JIfAuh2&#10;nKtHo9qn+7iFB0P412VpdIy7ImTOMcZIH09P8a8qp8TOotWhy6uTkK3I4weRwCOvp1ya8G+EN5cR&#10;fFvw7fywhXW63yb8DH7tywPpyD68npXvdnbvtih8wMpOF5OWJJOOM9u9fOPw3nOneKNJS5fmG1uW&#10;YMQCQtpK2P5A++7mspbGkNmfOf8Awb+gr/wVf+CKHGQ2vDjqf+Kd1Lr+tfqt8UNYj1D/AILb/s03&#10;2Vb7Z8LFZWVh1bSfFD/qF/Svym/4IIH7L/wVv+BcEY/1l14gXGOw8Naqf6fpX6b+K7z7R/wWW/ZD&#10;ut+PO+EtqcDo2fDvi5uvXt/OvUwP+5L/ABI58d/vj/wP8mfyy/E9/N+ImvbirN/bV0d3fmZv61hw&#10;RTebmNc//WrW+IO6Xx7re1WbdrF0dvf/AFrcn/PeqdjaRqfPkfAX0YDP+f0roqOzZkdJ4YsIL2VU&#10;ZIxz8pZuc+ufz7V+gH/BCfR47T9pXxtdFIzv+GMy/LyV/wCJlYYB54Od2a/O7TC9kwa2+V8Ebz1X&#10;8f8AI4r9A/8AggBfXl/+0L8Rpb+bcbfwHHEwYclWv7d8Zz1xFjPJ5rkqr3Gzopn6QRlUeeN5FJ+1&#10;Sbjnq25uh/8A1Gi6kWFLdSVWSaTbGi/e9TgAdBxn8u+KWXeks0cancLuY/dAIPmMcfl2J/pU8dvF&#10;HFvj28p95QTtB5x9OP0ryY9TW47SYYzcrDGY1+ZVaZu5Lfe9+Tk9Mn8K9f8AEM7S6c0kqIrR3EZX&#10;PUjeM885x/h65ryS2Rln8sKWbhV6njPB/lzXqniHUPLstypI375SeM5IfPfGRxjAPp1GcaR3ZLMg&#10;TPa6lNcYDeYd0jrk7jzz7fr+lLeXL+a0Sht7ZG5R0Pcc/nj37dao3V01nrH2RbfzWZW2hSIweOOg&#10;6cj+mcVctI5oiRIdzSMCW8v73tx2HTHYe5JJ1GtjY8M6Rc32oRWg1aRmuIdxcxqVXqcAKARz+Pfn&#10;t0McEmmWczP+8jDIGkb7xyTgcH+Y6VmfDNmXxBJJ8+PsLDDADHzKefTofXn61qeIZy2o3EOeflDD&#10;cRj7nXnnqcdfbvSLjtcLD92G8wZ8xsll5zwf0/xqS6uFt7cq0q/eAG5u/TgfTFZiX7WMflBY/mXM&#10;e7O4/dyehOAcfTPJphuLqWaWS8njX5cxwQ5YBe7E59SPwxzmgOYnu5opgpX5mX+Lb07Efr+H6Vn3&#10;MjbmbcM7du314wOx9RUdl4psJLcTaiPs64DLdSsFifnkq2emCOGOfb1LTVLC+tvtlm/meZGSrfeL&#10;Y4H3f/rfzoJkVpcyhYn2t8xPzHHUk5PYde1Z+oxeUrJAfl6bXz9ffHb8vpVorMwWUNlnx8wkI7df&#10;6f0qneNcLHsmh2rtAJ7cDrzxnH88+xtGZjzajH5629yvkrkfvVjduCSMHb0PJ9ufzguZBOcxtyq4&#10;ZmOd2CTx17EY/wA5vXVvNuKl1U78yboyx9Mdz27evbPGdc2ssUu52Z42bHkFdoHsDjIGR2659cGn&#10;qBC7sqFdvGOFbkZzkd+Pc+gGPaq+eWJ7/dYdeMfnwP8APNTyuQ77Nq7jhUbapOPXHbg8/wCNQtuR&#10;gC+d3TDHnvn8M0yRGlEa58vc27pnke/0+n4VXV23EDO1eW3N8pI649uCfUgegzRLKgkZiNoAGWxx&#10;0HoTnHP9KFVnkILbX5x5bD+f+cfyskp63LeyR4F1J5aw7laNcBRjnOMZXHOSR9ecldMkgu9PVhL8&#10;ke5JEKsSuMZwzD51AOAQAMVYTDy4VdvGGZTnjv15649evrVTR7WfS5riCWRF8yZphGoAVWIzxjjO&#10;MenTHOM1Nir3Lcr+W3ExXa33XY89frnv3z3+rIpJ2hjkSFgrDcowRjjnnH5fj+BLczgKsa/u8Enq&#10;D0P+HXGOvTHNGK8itYo7WR49+Mou7qMgEn2Hrx7c1Rnc1Hy8O51+fp5p78nPHbt/X0McUrBtrZb5&#10;du5unTt/nPGfWqttcRrFM0lxGu3nc2F2Dbx178E54+nHNiNZkJSLf1ztJHy/yx+fr+AUStGnmNEW&#10;3qr/AMTYBXJOcY7jPH5+lLcTMQ+0/Mw9xkjrnnP+fxoQMXCiReZMBlXlckcflx3P40yO2YHzEtyP&#10;lw23HPfn8/yx7UATmOF2VPL+Q8KcAZORyRjj8f8A6xb5N7d3MSwxf6uXzZJGyAccD6kHBPQcd8U1&#10;7qG1tZJ5MyLCuTtyWY/wqB1OSf17YqbRoXgt5Lq5ULcTbmuBt3AdcKPoAAPz56mWUi5F5QaNIzKr&#10;R/KMEe2D7+ucd+3WrCbJD5iIVzxt3H5vYgD0/Lr9IYQWmIC5YjIyOnf+XsPfvVojzAp2FlZvlVv4&#10;hgY/A5H/ANfFZdSi5GxgfDspZf4dvzfT6e/8+lXvtaOy2yKy8/NnAyQBx+lUlV/K25YAZYAdRn+R&#10;/wDr1OrRo/mPKrcN90kYxgDvj1/H1FUwNNQsqZkDYPHzL6fnjp/+vFSQMryuZGVsN8xUkgdP1B7n&#10;v+dUIbiVfmYNlQuerL/MZ69/X61ZkuIZYmmgf5W/5aRnO5T379u/8qgpXLKbneRVkQbGJba2dgOQ&#10;D3I6H0yfpVXUysFpIXjTb5fC+oyucgYx04/yKksVs7OB1town7xjI2SWZs8sT/n26CqWoXs32aeR&#10;h+78hxGyjdjLDoBzwf1oKFubES2ryCRvMGdo2kNuJ4B6n865mSSJPlK+YGwNrLx65Prz/kV16ln0&#10;edo1KyNGTiP5c5XoT6/jmuEE8ssO2KKFUkXA+c57dOOeM9+tRInUmlhEyfPAobJO7zDkc9cjBBP6&#10;/Ss+zuriz0Zp2j87y7hY2c48wZxyQo+bGeoA5OADyavOyrakthhnlm4y2Rnv68e1U7mQJ4eupkfL&#10;+ep+Y9fu9PTHHr1PtV9CSTXXa78OXEsDoyrDGd0Un8PmL7+/6jsDXDyylL1/3zdQDtz6enOOT9en&#10;0rtPGMF/Y+HtTlssmNo8/Z9vJPmL93pyfToTzkZJPEpP5zb5dxDD5Qey4yOOvp+XtiqiVEld444l&#10;dAwXdub5eCeM5/D6fjVdZ5Drmlpu3bbx8rxzi2lIx+eeT/DVwboQxgG7v5eOnA9enf8AKqg3HXdJ&#10;/d7VfUHC56FjbTH69BVFH5o/8F60jT9rnw5LBjMvwvsDIf4f+QhqI/oPavhC6J8xsKQvavvX/gvk&#10;kEf7V3hN1HD/AArss7l4BGp6oOv4H8K+C7pSSzZbr/FXqYX4UclZEBGD0pB0oycYpQMjpXYcR/YH&#10;/wAE29Q/4ux+0hER/q/2itQ/i/va7ep/T9K/Ij/gvsiJ/wAFP/jBGBhWtdC3Mc9/D2nV+sf/AATe&#10;1Et8Xf2l4nx8v7QLspC4/wBZ4lvx/Svyi/4OAY3H/BUv4tQqmCtj4f5x1/4kGncn8q58yfNlcfU7&#10;Mr93NJf4V+jPpzXrwf8AC3tQkRs416RjmM4GZuT09T+Jr22U8YlhC7icBxkn8MY6/TFeH6gsJ+Jt&#10;+8Em7ffLKT0HJVvzP0z/ACr26aeRU5A3Bv7vHfn8h9e4rxKb91HZV+JFO4kLFZh03feUjB/z+v0r&#10;JQwXWuQxIuC0w+Vl6/MBnH0rWvnKo77drbQdgbp6+vb35xWRZ+bJrVu8H3vtEe3+6TvHTg5z+fXv&#10;0v7SIP5pPiO/m+PtckDbt2tXZ+v75qxPrW58Tk8v4j+II8fd1y7HP/XZqwq96Pwo82fxC8inqwLE&#10;sOaYCc044C//AFqYkSKf4gafAc9u/Wo06f54qaJeCSorKWx0RLClgoPlfVf69etFOgKru2Hd7swo&#10;rI25SlZ7Q6lm+vFdNoEcLwrFIY8eblvMxz2wfYfQ9K5i2zncq9Pu/wBa6zwtKbeaG4Q5bzk2nJYB&#10;t3GP8np+NOsRRP6QrGxvrHQbGKziy1vbxK1tn7+EwcfQjPbPTit7SIoriFbuJcMwz8rBueO/T6/j&#10;9arzQPHcu8SFHySqyDbyD0/n19KtaE7Jaoi7lCsw+YdVBAXjnsPxyDXkv4jc0bV5on/eN/EMnjkZ&#10;yR7dK+a7O+8m4ury0uzC1noOqTMx4+ZLC4boeoyO3XAr6UsrkL+9jkGf+mnbj8f8gelfL2p3X2TT&#10;NevzH5ixeC/EEirtBZ9mmXWCAeDwnOOQB71nU+FmlPqfPv8AwQdX7P8A8FffgHEjgIdU8R/dxyP+&#10;EV1n6f16fl+l/jELpf8AwWK/Y5Du2YfhNZqy7eqr4Y8ZEkH6gV+aH/BCHy2/4LBfAUqu3bqXiTC9&#10;v+RW1gdO1fpn8ULlD/wVU/ZJ1SOH5o/hXG0kn+yPCvjDAHvk17GXR5sLFf3jlzB/7ZL/AAP8mfy0&#10;eNmSbxbqk8br82oTFvQnzGyfb1x78dqzVuzEh425/u5yat+JjL/wk9/u3bvt0247up3mqSI0vJJ4&#10;/StpfE7mZ13geeC+to7Ro2/d3KBd3IOSOPrgfrX6Af8ABBHSre1/aN+LH2eRfLj8LWUQRR8rA3GT&#10;9PuHH+TX55+G7uCxgMDr83mqyrtGeOx4/XB/Kv0V/wCCAkZm+KPxS1aOUb28NaerbRy2Z5MD6YXp&#10;2rkq6Qkzop9D9D3h2anPcKePOnVVVRgfvMn9e31xViTChY2XGxe0mAOfy/r6VXEMv264j/6eJR8w&#10;6jzCAfp6/UcjpVpYHZVUdW/iyFz36n615MfibNJDbX/XrLLLlfMXouduD24P5Yr0nxLG02nS2s0n&#10;k7inPl7tuHU549vcfrXnmiW0N1qkFvdKxWS4jD7T23AEDuT1/wAmvV/F1ko0t5PL+YMu3zPXPtn6&#10;enNax6h2OLhsvs+svFF94DO5st5nQd+nBPHb2FaKM5uPmQszsB+8A+YZ/wAajEStrlxCf+WcjCPA&#10;7EDjoOntxweo5ol8u2l2iQrwSWz3yMD8aEDOu+F8+deuEb7v2IncDzjcgK49OQfw4xVjxTIf7VnR&#10;Lny2kZT5bKpU/IAeuTnAHHY+mcVD8Kby3sV1K5vW2GOGML8uQvLZHt0HGfbrUfiHzItTmnn+9Id7&#10;IvzFeBgYH+9/L1qWV0KUejWM00eras0ckhkATPbjG3g4IxxjuOoq7f2EOvavHbLeOIbaFpbqNz/r&#10;33IUR++0jc5AxnC5+UkGp5MN8c39os6bVZFmXcCeckg/hgHPTPer9vHZQ2/kW8Sw7SWxxt3HHPYH&#10;sAPoKBld2LyNL5jK3ORGPmz6/jzx+FZs9lFb3s90tqytJs3Orn58AqCR0OAcZ5OAcn01mZBKqpC3&#10;Lfe2H5uPrxkj0549apm7t7gRzI/ytyrK33uvTtjp9D9KCGVbh3DFwPvABenDZ/P+nH0qjeyEQeWH&#10;YbONoyzDg9sdsAfl0FXplO0eYdpVsMBjP+Hpz7fTNG8t0DeaHA6jHYD05+uMdQO/roSUDKWjCtD5&#10;fZ1wWwTjGCOvfjjn1HNUp4UljCh9pbgnHRunTuRWk8WW8zaei/NjPfH5dB+nespHDRq0a43KCdrH&#10;jIBxQBQ1CJVZo0n2vuwwaMFRz0P1z7Y9eeK8yTQhXeZZJMkLmPAwR6dume/T2FaBbEbTK25hl1Vo&#10;88c8n8e/r6VWuFeIeWGAyuP97t3/AB9aAKgZCwMki7ufm6Fgcdfp/XH0rOyurxA5VWJ24yqtjBP+&#10;cdOfSrc1vBnzAMbnLeZz6+456D+dNiTeuHfk53/KvPT0HT8+nTHAu5BCZJo02kM3zMW3Dhsfoev4&#10;VDFdXEl7JCSvlNChjYdeM5z6DG3H4nPWrtxGVUO0TYU8rtJxzj/P9eDVK9vLLS7Zry6VlQKNyEDB&#10;HAPt1bvjqOBTAGt3l/1MvKnOPlIHbHOO/bIzzWfY6dErQ3k7GSaRSoLNnIA3gDnI+n+JqPTNVup7&#10;v7RNJJGHbMcYT5QDjap25x2zjj+ZhsT50lu2qW0M1usKrA00YbbhRyMj/PtjNBS0Re+zyyaotxHD&#10;/o8VuDIu9drysxxwT1QDIGOrg9gSX2rT6XP5Sx7mkj3NuPb6Yx1HrV6xS0S3BtERYwcKsbcZ6cY4&#10;6D9OO9VdbtY5JDIn+txhmJ3cAdyef8n8QS97cj0zxEmoFxqUkccEbfMZJSiMSM46jnHPp6DAIGpZ&#10;T+eDNbnbmQj7vPUjHzY+nPGPXIrL0bR4Zk8u1kjjZW4YsQWZjnpk5zhec55OMEcalp4eFnOCupSC&#10;PzCfJ6qCc5ClssiknoCAByKn7QNFLWWtbS5sxKY2khuEdLdYmmkmX7vCrlsAfNnBGU5wMkbSFZkV&#10;oX8xGVWWQNuDKeQQehyO44PbqKZHFbxQKmz5QoPmcDfx1OAPb8sU+UJZ2rSLCi+XHkDG4kD8P8+p&#10;J5TGieFwhWIylm6lv1z0/H+fpV1GkDKVhibawVfQAjnGOpzwPf1zxUjiCuxb67VPJxgZGcHPTnHW&#10;tCFpJCpKf6s/Ku0gbuvHQjqf8io6jLEH7wIio3+03kngcZOcd/8AI71NAzeWqldyqzEfL0B6enfH&#10;P1psMp81pI2XIw6/KMjP9OTjjNNTY86yQzybD8qnuBz+AyD9Rn2psC4iCWJrZ1H75dj44OD1z7nP&#10;+etWZJFJAYfeyfm5+Y9R7/5FMsyiLscKzKeOPusc4xyT3x6+metOdXhy84X7vX3PQcjgn36fymxU&#10;R0KKVZEc/wB773C89v8APvWdcRXCyzNFek7oJFwyAspA/vAggDHJPXHPrVq7vVt41gRd00zLHCqn&#10;cVOC35DnJ/8A1UwQSmxupFuJMLbscbRwcHJPHI4P4D6UuhRa022lGhPcRRjbJGzLHkckLgkc/wCz&#10;jt0rhYzAsnlZPls21R/s4H9a9Q0i2tBp8KK2Y1GNzY27Q3sfu9M57cGvMsY8tI4gWI2ndn5T07A5&#10;/wA/SkA1o4lgkZevVVZunT07c/rUFmx+yXDzwq3ysWbsPujGe/U9fb6VcXKw7/l3dfl69Tz7d6pp&#10;a7NOuYA/DRqWUc/3sD26HoeuBTJ9CbxVFNb+HdQmIlMnlxs+1cnIlX6jIycep9c4rz6GJ45owXLR&#10;scRsy/jt/wAOufpxXpfiOIzeGL6XGf8ARwxbceMEZI/I/wCcY88ls4nbzDtUr95o2+9nIIJ+v5fh&#10;VRHHYkaLMbIgK+Zzt6+nHv8A5NVvLmTxJocEibm/tOXO1v8Ap0uD1P4fl19L0S7ozGDvY5KtuxgZ&#10;H0x2/wA81Db+YmuaPdRqwZbuUx/KMnNrKM9OByBx/jTGfmd/wX0WFf2sPBqqm4r8JbQlsjr/AGtq&#10;v9MH8K+DLkkg/Nu2/pX3p/wX4cD9rHwaJFK/8WptBlvbVdUPfp16DvXwTOgVsqM54z6mvTw/wo5a&#10;pVyaXtwaGGKUEdD+ddxxH9aX/BMu9a5/aH/aesnYnb8a7Gc9eN/ibVx/QV+Y3/BwLvP/AAVi+LEJ&#10;k+X7PoKfdzgf2Dp+RX6P/wDBMXUxF+1J+1Rbb1+X4seHScZ4MvirWuvuRivze/4L9z295/wVZ+K8&#10;okXzFGixqGOOBo9kp/8AQf8A9Vc2YxcctS7P9Tpy1/8ACp/26vyifRMc63nidroiRkZLaTzNn3h5&#10;cZ6+p64zzXvlzGC3y7dobH3jgAZx0/Dpz/KvnnRjHdRafcLNG0k2i6bIxZsg77OBtw6cHP05/Cvo&#10;uYNcOyquVWT5m/HqOOvXPrg9a8aOx3VfiRmXcR2tCxKDafX6gfTt9KytPiS41mAOFYvcorN/C3zD&#10;J57Y/TitXVEf5mSPnAP3R+X+Ht6VnWkKJqtqpH3LhWJ7DkcfXGar7SMz+Z74nJHF8SPEEcS/KuuX&#10;QXHTHnNWDXR/F8KvxZ8UKq7R/wAJFe4X0/fvXOcV70fhR5sviYe1OyWbcR702nKMnGO/pVCJMkDD&#10;Gpot2AB+FRLnqtTxlicKNxbsKxkdSJ7dyNzsA278f60UqB3HyyKuP7x/xorE3SkUrQuWA611XhtH&#10;MtqUQK3nKVb1fPXOe2P8OtctZPtdGJVtp+7/AErrPDwW5kt44IGkYXKHywxBfJHGcdwCO/XpVVfi&#10;RjS+G5/Szq2oaeNZvYV1CGQi8k+7IOfmOD16Y7e3FS2F5aK37uaKT5vmKtuUZIAHB+g64zim6xPL&#10;Lrd+iW25ftsxKttbbljyP1FTWkTW8IP95tw4xknqSTjtxxgfWvJ6nQWrVIWucfaGWMYLLGQcDHPP&#10;r1//AF18sa/BfR+CvFDxr5Jj+H/iI7iNwfGiXZXnI+uRn2r6rV5ZLdra4LbfK2fKBnoRnvn09Mno&#10;a+WfGnlxfDjxpHKzb1+GHiVg20Y2/wBjXhBPPHHHA9uhNZ1PhLj1PCf+CDdq83/BXz4FzKcLBe+I&#10;mfaOp/4RjVRz/wB9D8/ev048b6TNN+3X+z3rTR7W0v4DxzSbvvJ/xTniNM+2DLj8fevzO/4IGxH/&#10;AIe8fBplHCHXyzbj/wBC7qQ+h/lmv1d+JFhaRft76PpRIVvDXwDkjVQ2DHjS9QXkHnpL19/XOPay&#10;3TCx/wARzZh/vsv8H+Z/JZ4iaKbXr6RG3KbyVvmX1dqpWjTMf3btndnH+f8AIqzqa7NXuo4WZlS6&#10;kCsy7S2HPXHTP1/PrUEJjkcow+83y9u9XLqZmtaIm5YdgVt2VBOSnHt26f8A16/ST/g3riceN/ir&#10;cLGCo0XR09cEzXnp9Pyr83dMSGV418pRu4DM2QvH55/D9cV+l3/Bvdbu2ufFy5ct+5sdAydu7OX1&#10;HA6nrj+nOa5qv8NnRT6H6A7D5snnBh+8kLMDwcv19uvfB5PWpzIsqqdrZ9v8/wCetV1uAL6ZoW3B&#10;riVtu/nO49h2z/T1qxIYmKoJs7vlVueefpxjn26+9ePDqaSLGjRRS65bq0bsr3MXmDapK5I59T2z&#10;/kV6v4rFxHpe+WNVVZUJbbwMSdxn1x+vTivJvD8l0fEemusu1m1G3KvtB2nzBj9T0459K9W8enOm&#10;YeUMzXkf7vn9583I6+h+mcc1tHqw7HKIgh1OaUIu5zn5egOBwvPAI/L04FLNFdA7rZo2dWG5mlGE&#10;yeCe/TOPfrxmoLmV/wC2yHYthhtJJ7qCevqSc/U1LLKCvltIzKvU7jndnp056j/IpjZ03wrjNvqF&#10;887yzyy2YOdq7T82VUKOmM+/14FaPi+2nTxE770SOH5PNdypwccdMdNvP6DFZnwnvFg8Qsm9v31u&#10;y7umXBDdeh4U/n71reL7hrXUG2x7V3KnmL/ufe59Dgfn9KljKNrn7GDBtJZQwzlflx94Z6fSpFik&#10;htfPnO4+Ydrbj8vB4+uM+nWqVpdt5Cso2ttU/K/TgH398c4qeafPyozEZwhDLwc9/wBKLANctJth&#10;wx8xcqu4cnPTnOeTn/8AXTTJHERlQpaQBgyDJJ4yMH3646mkBEkTRFlk+X5mPOev+e1VbgjylMX3&#10;vvj733c/Tqf/ANfpTsTIb5rkZZenzMCSMZIBxx9M5xxj0qpLNGwKfaAc5y3PJHGOR36Z7YqSaRmh&#10;aFG25YE7TweePw9+eaqh0IVXB27vmxnJ+n41RJR1XU/sHkwzQ+a11OIIk3EEdWZhweiqW7Djr0qr&#10;P5hihC2y444XltuAMY9ieen4Y5kngEuqR6mJm3Q27Km6TCrubLOBjIJwAf8AZHHU1XmldY2aILhl&#10;wzeZ09h6/XqePWgBkgWWXYvyt/tKOnJHPP8AUDH5wThfJ3Ivf6e479OOwJ5HvSPdjBhJKlW3bTzt&#10;PfjseP8AOaZNLCUMJOepby2O48deff8ASjoIqGN96x4+6vzNtO1cDg/oB64p9zEURU2Sc8fM23J5&#10;9vXj/vn8EkuHzuTux+6MYPr/AJ//AFwXF9EQplnI2rtGcZPHTp83IHGCDt71WotBs0l2xMluqSFR&#10;8xaTK54zkAZY/Xk8evOT9nuLyeS4v5laQKFXJI28ZwcYyMnvntz3NzWLiOGABJceZzt8ssDzk9f8&#10;eazftqtGHTLbic/NgdD+Of5+1UHQIY4ra9N1F/rYVb/lo2eepyfX16c9c1Gls0qILVlVePvsyqc4&#10;4yV4z6kYPbNTNKYRiLLNuwdy8t78j/P41ThmaKEGKRmEi5UFfvcE5Pfg46dTigo37G0a0t2Erwy7&#10;mcn5iVds8c4OfX39PWhcGzubjz7uFJJvM3BtoLKc9e3Ge+Bjj6VKJ4pYDGxGGBG3gHGD15P+T6Hm&#10;pFcNFZzSEytIAWaGPADjsepB7jr3znqaCUXI7pPse3y/4WPlq2MHjK5A79B7emK2rK7P2XBXKq3L&#10;HPIPTpn/ADkGue+3WPlKsa7Mbt0m7O4nqDxx0HIP4nNP05lurryjI2GYbmZunv8A1H0qWUdNbgND&#10;53O5ly27qeB09Bzk9h37ZbqOpJplzbxQ23nNN5jR4bGAqjdzggD5wuSQPm98VHcXsNozG6YbnO1V&#10;UfvDn2A9+w603TVaW5a9un+eVyIYwv3Y89/c4yfrjAAqQNGMR7xPs2qwzui5B7Yz+PXAPWr9tA4y&#10;cK3Ocqp4z3+vr/LjmjZqwcFyexaPPA47Y4Gfp1qaOaNAqywHbkZAb7v4/h1GeDUxA1IYmim2rtDd&#10;XaTA68dB1x17cjHelbT1Z1WS4b5udy4Hb257elQQymJ1tyu3axCr6455/wA/41YW5/dtltu/AbjJ&#10;IyeenHGP6H1oC1awXKOkiNGcA/MeOO/Ycc9aak76k0kdu0cbdPNZSyrg8rnAyRk/TP4VHFJL8yxx&#10;N6Fo2PP44/z05xVqKcIGYQfKo69lzjHH9OmKCojX0wWflK03nFfmEkmGy2Ac4wMYHfGBjj0qnd6l&#10;PYW2oA6Y4aa1mjUbl4byz82B/DlsH3DexNye9U7giD5uOW4z/nn86z9Sui1ndiAtkW8m1t2CvyH8&#10;+fTjjtmiwXOk8JBZrFITCp8pdu6RgcjqOnIyOnHXjjmvNtRvI7aTEskaFQDkvt69PzOOnUnvXaeG&#10;7i/sbbdM6hlVRhWBUnnqPXkY/H1rg9RVrHUr5LdGlkW6kC/OFLASHHOTxjGBnoPeoZSJZJp2PmnZ&#10;Go+7/fznrn0z0/PIGMQo8ken3kkKbiqr824qN2eB7dunX2xTXv5mXytvzLjcY1x1OBz/AJ6UkLq+&#10;nXVrG+5JPLX7u4hQ3bH6dDzz1zSJN/xUEh8OX8bxoqm1fdtB4xyD1zjPt1xjpmvOolViqpE7sPl2&#10;8A5PT1/ye/f0TxobI+HdSkjT5vKY7d3Aw+Rj0PbtwMfXzJWV03K2Y1+90/z2/wA81oNbE0UsscUk&#10;dvauu45RpMADkZHDYHT05z+UEK6hqOvafboNqx3hdmB+biF14OMDluuRwKtq0qKZEY9hhm9eM8H9&#10;fXnvwWkkjarCrp8xY+ZnHy8N7DnqePrUjPzQ/wCC/Dvc/tReCZbu2aNW+FVv1YcAarqfTB9fxwK+&#10;A7nJTcR3+b/Gv0B/4LzxPL+014OZbcfL8LbdG+fd01TUSTgj0Jx9T1HNfAN4nyEsw45O2vSw3wo5&#10;qi6lBiCc0A45zzRjnBpK9A4D+pr/AIJea2+o/tAftJa0jCQXvj74f3AkQEb/ADvE+rtnB553A888&#10;81+eH/Bd2eaT/gqF8UtQmjbMlxZiPbH2S0jjznP/AEzHr39K+5/+CHsk2vat8Wr1+Wubf4QXbFej&#10;btSvZSc/8CzXxX/wcA2iW3/BSjxhcxAr9q02B2+Y4OJZkJx25Ss80j/wmy9f1OrAf8jj/t39Intn&#10;g6+k1Xwb4e1Oy3bm8D6DPJJt+4G0q0OT1IGT949M4zjmvpd5Zo5PLeFiy8ea0RBbC+3XgenA9M5r&#10;5P8AhvdyP8OPAd1IrSF/hX4XuZFb+LdoViwGTx/Ev+c4+sEvAk4aMfL5bDcxOWO4DgDJI+927V4M&#10;PhR31fiM7VHfEaTReXnaAWyvQjkFj/8AXrMMluLyNI7yNZDIp8ktyVLDOO3J6f07bWoMJAoI2qWI&#10;ZdvTr/Ujpn+tZTRQyXUHnFo1DAfLyQM5GPwOe/8AhRkfzT/HG3+z/GfxdAqBVj8UX6qoOcf6Q/Fc&#10;rXdftIWqW/7QHjuKFQFTxhqYVR2H2qT5fwrha96D908+orSFNIDQDQDjpVEE0bhzy3J61aiCk7XC&#10;8t93HX8qppgjOKsR5K42/h61jNHTD4dS0/7s5uVbn7vA/wADRUgjiMalRt/M5/IH+lFY8x1GbZkb&#10;vmXPzZY12Xg8ytqdjDbyNH5moW6eZGwXbmVRuGRwef8AOK4+1Uq+yMjIJyQfau2+G5S68aaDaSiS&#10;XzddsY0jXnd/pCDHXnj0B5PbnNVdZIwo/DY/pKupCmqXjgbmF07Y3AAncehP07+9WrCTZCsMLN5S&#10;qdvmL1Xkn+ft6VmvOy6hNcxxqV+0OVVY8KvzEduPTgdq0YY2xvJCschtnUceg5/Tj+flS3NyzczG&#10;GxkDbj8jY247LjjPTr37etfLvj17yP4S/EEtDIzp8KfFh2qR82NFuupxyAB2ABP5H6X1qZ4fDdwz&#10;hd62b9x/dOPx6f4181eLVln+GPxMfZuU/CXxZ5jPj5MaPdfXjtnjrj6RLYuJ5L/wb4b5v+CsHw5Z&#10;W/1Ol688nTH/ACCLsf1r9OPjTqBtP+CkHxYkWRR/ZHwUvdregGiM+f8Ax7rX5w/8G5ekDUf+CnOi&#10;3yMS2meCNcnb2U24iB/8ij86/Qb49ajH/wAPDP2loFAI0z9n3WZ2Zm/u6HYDn/v99efTNexgv9zp&#10;/wCL/M5sd72Mn/g/zP5UNQcG/lw2VaRss3cljzSQNK8qrEoZt3Pfp7VHqG6S9kkZVUtITt9DnpS2&#10;WFdWDj26fStJW3Mzo7DLSKUULnoDng8c+3X1J5/Gv0o/4IDbbOL40Oz5/d+G1+bj/oKn6DsM/wD1&#10;6/NK0dcRzEsoPG48H1/DnsPWv0x/4N/QY9O+M6NuX/kWFXdzkAatxk/nj2rjrfw2b02fd0xInncL&#10;5f7wjcZPvDPy++D68f4XJGaKJVDfdj+9nOOo6f4/nk1lgbBtnCgYAftuyc9sjrj/ADirmpwyCw8q&#10;QiPvtj7/AJdOPT+deWlY3LWi7pNctBbSMtz/AGhCI2TIZZt67SO/B6Z9K9c8ehG03zDuDNdqVVcf&#10;LlgB27Hpj16nOD5D4KSYeJtK34j36xbiJfNP3fNG3IznpjPsB1wa9U8b3Df2QzMyf8fEZXOBk+YM&#10;DGemcdenXtWkfhZL+JHJyNOniCZIm2oowo3feyAQMn0459sdBUxbarCQqc7RnPI+vGOmf8mq7SpL&#10;qjnI256vnI4/L/PtUkkpVWY7do5O0kcDv+nT2oiUdP8AC8F/Ey3cO0pb2spcMueCNmB6Y3A55yeM&#10;HNbfjhohdeWZePJjGSRuzuPb6BR/PNc98INRhl8RXsaxzSbtPwh2sn/LRDxuxk57gHp9a0fHCLc3&#10;7MJMNHGqrhe33s59yxH+J5pgU7MFIUcA4MYz+7wR2x+Xp9TUkiKLZd0jdAB7D+77f/r6jFVtPKCz&#10;t3kbH7qPcq8/wjjHpkdPfkU/bcOuXTcxb958p/8A18dfwGe4pi9SYTu7skY+5/dXnH4fh+FVr6SR&#10;03wySZLY+VSSASOPyxzzS3MK7lKk9QV3ZOOB09B/kVD5b3DtGiLl1H3F25zx16dqCWVXlEu7e5Uf&#10;eYx8AD/PT69KhedlDbJV27j92T7w6/zz0/xy66icgNBlW25Tb94+2Dj3P4VnXdyWk3Tg7tx3Kxzk&#10;ZPU59ec55NAgurl1XYjttZM5THAPB5+nX8PaqU32bd9pAxhs7tp46/5/Lj1dM7tJ5cYbzdvVj931&#10;+nQ1WkjlOBvdlb7q84HHH41G4BPIrbUkPy4X5WPB47/56/jVedRhW2kqrZYgdFP/AOo/5NRO0rbg&#10;JmXCDdDyCxwO3r06Cqt0zK7RiQhS33lYcHOTjHv+Hc96sCa4W4RVxKVKybdx98d/Xj2/LrB5kcNw&#10;sJzvaThe3fnrwO3rxios+flZblmJU5YNncPQ/wCPtVGe1hlma4Ta0irty2ctyTj82Pp+lVcnlLGq&#10;zibT3UhiuzHzKTk8enOfbGcfTAwZLiQ3LLcS8sG2sOeg9cYI9cc8DoeKt3+sRWNlIGj8zawzHwoD&#10;duSPpyeBmqkF0uppu8vZMuC3ys+TnoMYH5gdM/SimTKXkk8qRlG5mUeYoUN6rnH09M9ar2aH7Ku5&#10;yOSQFyFbPXB9cnPtx75dNbNhp4CwTgM24cBuAfrg8fU8nrUMPmm2hlUh4wqldxJ2ggEf0yOmaCVJ&#10;WNae0W8ijkg8vd5YGMLlgB93pj8eTx+NVY0ubSRgFZdpH+tXb82Afyx7/T3sxxoI98RX73JbkAZx&#10;z9SCOTyQQKqXL/aHzKrbl/i2k47Z68gH369x2AUl0JraaaT98d20qG+YFSeBk8j3AzznH41d02T/&#10;AEnzvmB65X+E9O47j6EfWorRh9nkeSPcuDwoHB9euecj8eeKbp2nXN1Ibu78p5t26NVj4RtoBP1P&#10;qBn6ZpSKN6wgaWd9SaddzquFYcLgEfmQecZwPYCtB/MWLg/KuF+Y4H5fU9/Wsu1tJn+bdGy427lY&#10;cf1/L1weuKtBFC7JHZVEgK7889/X9fY1AGhbL9mjQHcvJ+XHAGScj/PerYMqxLtlWPdIAvTcT1z2&#10;9D2z/TOIY/Ibpm2j5vl6EdfWnTwomzdtZihC7WU56jgk+nFRsBrQFmOJAu2PLdep54x6c/8A1uas&#10;ibzWbD7iem309MD06Z71jafYM0KxXPl7sjcq8LvAAJA64PHOe31q5GZIIVRzjcQGxjnHp19D2/wp&#10;8wGpFceW3LswYZjkViQnbAP+f8LEbLKvloV4YFVZfwGPTr24+nSsuHMLM5XarNhWXkD69M8cZA6n&#10;nGamuJobaPzJnKhuh2scYGeMZ5AGeO/aqAtSm3iTy8hYw2Cd3O3/APXgfz4zVG+2PZ3dztXbBbyS&#10;byvTam70J7dMZPTgUPNeuVJ0+4G6Rgscke04GcNzjOcD3IPrwIb1YrfTrrzU+7aTeZHt6ZRuCPf0&#10;96Cja8LyWN3abTMGk3AxxmQblXA4IPPX9a4fXJY7jULm5hhUK0kpTac7uuO/PUfrXeeDYPO0xFQq&#10;sjyf60gKANo+YnGc5GevTHpXn0jLcFXO5WZRt5+6SM4478n/ADxWcugIrM8rTMjwc7c/eY/lwO/r&#10;/WmQSs8U1tGG83ywcKv+9j8v/wBVE0Dxqs9tdSyMpI+zyTff4bjJ78989PxEVpKbuG6je3kUGFma&#10;ObGFXPU9c4IHPPb14CjovEcf2vw9fA3Plho2kBVjxtw3TvnBB6celea2aKOJGU7WAXqCPoMk57V6&#10;fr3lTabeIZdipZyEndwMIcEe4OMd8815ekk325o8v/qUwdxPJzkdu2OAOh96qII0PNaGLY21QeWQ&#10;J059f/rjik0qQPrMa7d0fRWZguBnH07f5xio0Lx5RCzBv4dxPX05/wAiktAyajBzu3SqF3N7nnH+&#10;PNUB+cv/AAXhcJ+0L4RmNozeZ8O4lZjzkfb70Aj0IAP5ds1+f2rfLIxI/iOf8K/Qz/gu1aTXHxr8&#10;ISkyfL4J8kblGB/ptww79fmzj/HB/PHVt/nHeP8AgI6dK7sL0Oer8JQYjPApM85NK2N3FIM5616R&#10;55/Tz/wb2BbnRfHUxeSSO68D/BmePzF+Y5gmlDfjuH4AV8ff8HF9glj/AMFBZbqMbVuvCa3DHH3m&#10;Gq6nHnPt5ZH+ePt7/ggfof8AYuia8Zj81x8H/gNIMf3W0KKUdv8ApoR+HfrXxj/wco2ckf7dWmsV&#10;J8z4es3TpnxHrgB/lU5g+bLJS7y/VnVgP+Ron5fojf8AhLbiP4X+B4fuqfhR4N8vKncd3h2wbcPw&#10;IGMcEdq+q4rzZKsjxsTwcrxyVyTzxnr34+orwGefTNYt/Dc9oFjt28B+HntjEQoMT6VbMmMAcgHa&#10;O4UD1r3yON0Xbtx83KgkY+vHX8O1fO0/hO6oN1GSMRq8cQ+983zHHXHzdsfl1x61ialqUNrdqiRn&#10;zHbCsAdoOMjp9D+APpWnqRSOMK8G4lDjLDPTp/n1461zjRyS2kL3srNIZFkk+RU37e3Hbt7CtOpm&#10;fz1fth2klj+1b8TbeUqMePtXI2+95KQPpzXmNevft06Z/Zf7Y/xU0ccfZ/H2qIAO+LqQDHtivIT9&#10;K9yl8Bw1viDPFKOuKSjOK0MSVBhcip0iDnr7VCoYfMp/EdqsRuyjaU/izz0GKxkdUfhLcMyxJ85V&#10;Sev7wjP5d6KiWWRVOzP3ju6D+dFY8p1FWzdlk3eXuxzhu9d58EPs83xa8LR3E/D+KNNH3Rt/4+ou&#10;e3bJ/OuBtSEfLdPWvSP2Z7Q3/wAffAVqs3lmXxppKCQqxK7ryIZI7gA5/l1qq25z0fhP6MoohNdS&#10;SHcGZvu9PXg9/T/CtCEuVXyAzblxgKefr/nj9Kw1eOSRbSY/u1J3Yk+Vhjk568kewxnpWxEZGXyQ&#10;WZeBtxw2cAZGMH2445ryep0Ca5iTwxqBI27LGdS5PK/K3Ht6c9OtfO2sXAPw2+J0aZfHwf8AFZkx&#10;6f2Pcg5/PnPGfTAx9AeJph/wh2rMqsx/sS4kXzMnGIW56+o/n9a+e9eubey+GnxRHmNE7fBfxSwZ&#10;CNp/4l753Zx94sc4P6ZqanwGkDlv+DZTTluv+Ch2uajcop/s34Ka1dFmXlT9u0yPI55+WQ568V9o&#10;/HXUIE/4KDftlTP9+D9l3X5Y13HcNui6Hnj/AIEPzr4n/wCDazVl0T9uX4jX8m1o7X9nHxDcNuH9&#10;zU8AAID/f0Y/gMHmvrL4+6gyf8FKP2ztOnY7pP2RPFUitt6BNE8L5+vMn6V7eB/3Sn6nHjNcZUX9&#10;39T+YmZpS/74bZBkNu65yf61JaFvNyJG67VA4zniq97cGedpX+83JwKbAzlsLk/7rdapxvEz5lex&#10;0Wl3SrKpaNiuSCzDCk9dvp/n2r9PP+Df2Rv+Ec+NksjFXa48M7s9wBqvHvy38zX5d+H4DO6EtnCh&#10;/vfXjnv1H59q/UT/AIIAb38JfGK7QqvmX3h1I2C9Ds1LA4I/2sk89PauKv8Aw2dNM+4oJInkWZY2&#10;jHAVWlJzgDJ4OOQc5wDU15JcX6LK8cf2cHCDYWctkjOcjA9PX2GM0bSVbq+hgFmvkm1WT5pDkqQc&#10;fTp7E45rYdgYCqLtXbjdtHPtjtzXm9ToY/wnC0HiCwffx/aVuFY56GReD3716X8Qrg/2OFR8sbiO&#10;XG45Iznb6jnHbt+FeceGJVbxDp0bP/q9QgZtwHGJFOMH6V3vxAdI9CYTTbAsyqzSPkA4zg+3I+p6&#10;e7j8LF1Rzm5BPMkkrBTwZFz6fTP/ANb9X2btdStLEu2PdmFhzu5Hzdc57gnsfzq6eJ9QvWe+tvs6&#10;sgdYGmBYtkYOV4A46AnO4Z9K1t6pCZEhG3A3Ky4IAzj/ACPWhIDovhlF/wATW4aQtt+xurPGfvr5&#10;i8YJ4P5Dj062fFU0MGqeflVMipnb6AnjHf26Y4P0x/D2p3GjzSPGytujZDt/h5HPHToPrz9ak1bW&#10;ILu/xdDymbaF3L97H6EZx+PXFWBJpJebTrYyn948Ks21eckDj/D/APVTzqOnTpI1reB1tXAmaJt2&#10;w8Z6cDgjJ6DnPQ1jWMWsaja2osQq2sibJJCcMSMAnbj7o+bvyc+gNaa2zaXPFp+n7czRbrdVj+4A&#10;wDOxxzgsufU5zzk0gLE0zSwCRSNrcrtbqOcfgRVe5JZ2liJY8/d44/x60g8P30ILWGvTfN8zx3Sm&#10;VAfVeQV+mdvoBUIttWjgaO7tlYq2PMjYFZVzgEDJK9ehH4+jJsMmLCHbvILL0BGT6Hp6/wCeaq3/&#10;ANmlRVa2PA27TgjIzz/Pgd+lXpHdYfIbGzGW4HH5/jj9O1QSpFE7REtuZcBt2cY/zjqQeMe4Sc9d&#10;W8kVsxtY1jDfO3zDgbiucd+T9SBjjGahM6OfKKyK6AMWZDtJP90kYz6d8Y4wTjbuk8iP7W6sVXCn&#10;HROOCP5H1/nnXbyMisThlbI2gAE4I9OhGfz9MilYCjtXdumQKqsQAFXdt5/Hnp2P51VmMP8AqmU7&#10;tv3gOnAx/j9AKuTSRW0i28iv5jBs+XGT6c5UY7jr3IqjdvDIirDH5fzfKrsfbpkZOP6+1UJkCL5T&#10;q7O27HVWKseuf5n3GfbNQSNl2cybWfG5vf8AHI/xJqxNAY8NIw2ldzcH5cD6cc9j6d+1V0ErMpJO&#10;5ju2/wC83Ptkg8e/HpT6iiZ+u6ZBc2TySSzKvy7uSQQB90g5zx6c81i+Eb6B0lieTa8Mzr5a4Ij4&#10;3EDjJ68cGuivgn2fCMN3Vfm69uc9qw5JoFvZIg2fK2rHHyWHyjrj1I4/DpzVFErXE0kfkuwCyJtE&#10;kinnnAzhj2J7HrUdvGm2GWeLyVaEFWk+7sxxz74zznrSSORlYUy0h25MRA56DnjrjjPvzWbpUmpS&#10;TQjT4YY7NWVZJJFO88DJ/ngHBznPHQMZfEdJp0lswkmtLhZF8zDFfyxgcnrz9MHrUOoyWiXMdtG7&#10;rJJuIbcSAevuM5OcDGdp7jJozzXFvemx02KbbPaqzL5Z2oueSeR1JAA5JJOOAxDtPtkLxzTGaaMS&#10;EpJJyytgk5PqCTx6HHcigcPiNfT4XFjGkuWVcMzNIQSPQ4J5ycDtgD2zdsoFKZWQ/wC9n39O/H/1&#10;qox3CiUJMfmP3l252jH3s9u3uM+5za0i8WSYGKN/9l8fTjqf5jpn1FS9zRmtbCNnZp339MLIgO3j&#10;65Bzj06/jViEojsQrL5jfeXPPPOMDsc/T24qGIwyJkSN1+6wHUcYHp/jVi33xKoXDFmxtVuC3Tp0&#10;x07fXpwmCBSFfzlKtxhQq4/X26/iPWrFvBJPch5EZlQZjVYh8xORknGeBnjimuzyMtuINq7PvP2b&#10;nAHTPI6deg7gm9abiygTDzMgBedwzxkHoTyO2OcCsuox+0odwG0NJncx4JwOfz59s9hUtphpsGdd&#10;v+12OeDx0/DFAaYMsZVclcEAlc5OPT/H8OlSM8qkBFZmwSqHdnHOM8Zx0zwcD3qkgGTRwx25muWV&#10;dvzeX0UdOh9eew4yKtI10lttkfDFvmXG3acYA4+hPH9KpWVpLqW24vLGLzGwJI9uWR8dC+OT9OPy&#10;ydZLcy4mXj5cuy4OOvPqfzGOevSqAq3cZli3SSN8vKyYHyn0HT1xjiqeovG9ndwkI26OQeWpAZsK&#10;eASMc/QnpxWp+7d8Szc87gcHJ6/5+n1rm9dmjh0+6R4ZI/LjdGeSMqueRwTwfUHryKlmh1nhQxDT&#10;FjS2b5ZmwqrgMevUZ5/XFef6peWlvIZbl441Zsq0jKoPtzj8v8K6L7Ze6Yz20IWVVznepIOMcdc9&#10;+fXP1rn71JIZB5kStIzNuO3Gc/eHJOOmcdxUyewEAuBcKZ0bKsCY2Vgdy9j/AJ/rVS4tra5tbgXc&#10;LMcgrJHJhlAbPyngg5HvkDrVy6IX94zbR0JXPzfXHX/P41i8xJjTs3zMM7VHf8fagDWvLua102a1&#10;v7pV87TmW2mcqokJhIweeHyfcEcjuB54WkhnIucj5jtjXnsc854Hft7V6LqzKNBmt4rWOXdp8gVV&#10;xmRjGRjPHGe+eSOorzOwSOxtY7JrdmaEbGP3unVgT15PPYE+hFVEqJfaScHzc/dHO3+fXHr9aLSb&#10;dewBWUt5nyDdjnjk8ep6VGZGC7y21S2SrHPfHf8AmKI2S2u4ZDI20XEZjbC8HzFHvx/k+tUPlPz9&#10;/wCC5WG+M3gVriF9snhGYbtw+Yi5f37Ant9Ce35365kSssn8IwB1x7Zr9GP+C7MRHjzwDcxRKzSe&#10;GrtFkLKuGE68HPTue1fnLq8j3FxuYcFflb179e9d2FOat8JmkYooor0jzT+qb/ghcpuotWhh/g+C&#10;fwDP4L4Ws2/9mr4x/wCDmq3a2/b/ANBCR4VvhZA+7jqdf1w4/nX2b/wQZuXGqazaunJ+A/wPk4PX&#10;b4R0/P8AOvkP/g6Ehjj/AOCg3hUp1Pwfs2Kf9xvWufx596yzDTK7ef8AkdWC0zRea/RFz4XzMvwk&#10;+GqT72834R+EMlm9dCseTzzjBz0/lX03bmSG1hjdGzsXoeuAP0Jr5d+F7tP8Kfhqsq7RF8JfCUW0&#10;Hoq6HZr/ADH559a+n9NuPNs4ZiHj3Qqysep4GeOPXrj/AArwab909Ct8Q2+lmCNFGx27gW2qQrEd&#10;iOh7en8yedQfa1jaRQrSNjcq9M//AF89Pbit/VzcLayK4P7uP5SDjP59ef0z71h3CyAKm7b8uGjG&#10;OmcYyT+vrT6mJ/P/AP8ABRGIW37c3xcQHn/hYGp7hzz/AKQ/P4nn0/p4meecV7t/wUlQr+3j8YFc&#10;bf8Ai4GpHb6/vmrwnt0r3qXwo4a3xBxRmiitDEkjc8jFWYi21cHnse4/wqoucdeKkjLcgfiKzlE3&#10;py6GhG7j5Sm72LgYoqO3C7Tux17qP69KKxOuMlbcpW6gyY3cfzr139je1TUP2svhfpl2u5ZfiJoq&#10;SK7Y3A30PHY+/Hf17eQwE+aBg/ezXs37DFv/AGj+2n8IbeZxtl+Jmgoyux2gfbYeT6D8P61VT4kc&#10;9H4T+g6ASsyu0pXEny7nwCcdz/nqB341rViI9jxBWLdXbnHP/wBbnP5ZqjpEzyRedI3LOdq54U56&#10;devJ/rWpBGyou0ruU5Vup3AjP0wQfr9MV451FTxdbxp4M1fduG7Sbhd23IC+U3H055/D8Pm7x28a&#10;fCP4mTySsr/8Kl8RLGu3li9oUPHtvz656dq+kPGcRh8Catbsi7W0S5U9eSYT04IIH49K+YfiZdPY&#10;/BL4lF1U4+GephsdU3GFPryW/wDrDNTP4GXE4P8A4IE6pH4f/aY+MuuRr89h+yZ4vmX0O290Zuv4&#10;e1fYn7SFwIv+Cqv7YloUYMP2LPGcm49P+QN4S/zzXxj/AMEImj/4aO+N9vJHlW/ZD8amT5jzi90b&#10;jGcd/wD9Xf7G/abmQ/8ABV79su6B/dr+xH40Y7jzn+yPCoP4YT/PNe1gZWwtNebObFL/AGyf+H9T&#10;+ZqVUSTCnjrzSwuytkHbz1/z0pjjLA59PvUsfznAH4Vt9k5I/Eaml3IiKs6LIPMBbd1znP8An+tf&#10;qZ/wb/mGbwX8W5DlP+JtoR27edoiv/XPcmvyt09gJVPmfeYjJzj9P89PTn9Uv+Dft40+G3xSWZz/&#10;AMhvSVkVh/CsNwQc59XY1wYnSlI7qZ9t6cJLYKGfawt48Jz8vykenBOMd+nvWo8riLA2yDAO1st/&#10;+rv/APXrItbv/RUbDKxjG/ce+O+f/wBQGe3TTSDzAsxIUsuFUfw8EcD07+/oa8pM6WTaJPcx67p8&#10;kM23dfQr93IwZAD1+uK7bxXd22o2G2O8jk2yASKrBmGOhIzwf15NcTYxRm5SNUK5kA3KfmPuPQ/1&#10;rai0S/klWQFmjXlpI/mYnkDA78j36d6r0JJ9FgVLh50hUqcF48/KG+UA+nb8vrV+4WUsriNXV0LN&#10;tHU/h6gVFpdu9pcLFKAojBLK2DjuMeo/r045q9OXkX90v7vaC2Bnj+vHp37VS2A1dC0ptQLyRlVV&#10;Fw2VPPPU478dT+HSpJrGGPdFuUqrEMTjrjp09Tj8PwpfBV9NcyTafp4kWEwxtIyxn94u4EsmSO54&#10;I6E9+lXrmCSG8aBTtKyfLG2Pmzzj8evToR3qgMy3/tKDT7e10+2t2MUMY3TMVGMDsATkgk4OO1Xr&#10;Wyuo5pNSnb95cKqGNDlUXJIUcDnk9h+lS2ESRaeoV1VmUMFDZVcjgf59/rUltcfbYUlt45GLAblP&#10;DLj73HQ9j3H4HNAFfc+395L0+b58DHX3GB/nuc1bmFmbYwKtg/xDgEf/AKv8KtXhm3lPJX5WHLPw&#10;y564xyRweCOvtUKROLlQ7fNtK4HfJznBxjgc45HT2M6kyKNwCVbf8qqv9/Ax+HXvVO4jmjDKjr83&#10;Tf2b1H4fn+VX7ptsStKjL8ypxkZ4+gyPx55zjBNVruB4yr28H7wf3jjbzjHfsD16445OKZJm307K&#10;2ce+9WY475/z7Vn32w5SFSzdPmwOSeSTnk+5wfzzWhf27wxAx2ksmF3fKpJOBnH49OgPPtVG60q4&#10;advKVlH8SN2yRnn14A7j+dMCm3lgGKcKGO7d82MdSP1//UapzErcZDDaWDLjg5788Dt3OeSatvHG&#10;Lhii7vl42/MDjPXng8/lkd6jlsp2jXZEx/vfIDnp+Pp/kUCMxw0cTRwxvtZ0+Yqdqc9cDI+vr+FV&#10;J4jn5bnLL0wwOOc54HIyB+X4Vo3NrNEu1on+ZcJjI+bp19Qf5dsCq5sAI3ydrbc/LnBI5OOxxnqM&#10;HmqEmZ19EDGXeQKWwv7z5h6454x7cHjryKwotOL3TN8vmNhV2A/dH3c5xzls/r3rqLu0kmhURjd8&#10;w3MoBz/s/r7e3rWHNpupxuIUsLpVWTa7zxBeD3AA45IIz3yeOM0EZIr2hS7T/RLpSVkI8zPyFOQe&#10;ff2wcfhVeGe7eGCa0SFla2SWRJXOACudoKjKkbevzAL2ySaunStQgX7LHBIM5KpCCGI7KuOMkf56&#10;U+009orGGRbfy8QooSRSo+7yMep6Hnnk8nkhn9om0yylggkuHby5p1HmfMSoYZIAx1wWfBHUHNSS&#10;QLCg27/KUbVWHu2Qd3Xkcdfp1zzci0vU7mANHbO6tJtH7v7/AAenc855wPy5Lm0u9CSW6abIGC4y&#10;y5CNlv5EDng9sigqN97FWwLXEmyaL5kHzeXtyOeMj0xkcdcd+taltYgHEm0M33lXBDY/+t2qjFYX&#10;6yrJGXaP+Py8lWyPvZGR1zweTjpW9p+i31xbx3AtrgoilldeMe+PyPPXHocVPmUyKAyO+DMrK2Bu&#10;3Zxz1OPb8fzp8AaJvMaXAbaynOMd6tNp9xEXHlruX5lUJ0B9B2Gf5fhUbadNPG8SrlmjZVJAO3qO&#10;eOOuc+tTJoaJbZZVKrHIfl/1e7ufXt/jyetXrNtyYCZbzNyrH1PB4GPYduKi+zl7jzI4fmLNwFO3&#10;9R/n2qW0gkdt8MZXcuNqY4/LHGO1QMtWhluDtDqf4lbnknOCPx579KswRLdP5hf/AFcYX5SOCB15&#10;7/qOaryx3MatFPA0JXIXzE2jH444zn3B/GnxGe3k8vylcYO75lwT+H3vx7e+aoCzaweVLtjt1jHH&#10;zFQBux+efy6fib0aRxtuQL93cozn8f8APNVfOCBsMdvOfmAIH55/z3p8ryTRMrz7QV+Zd36Z7jGe&#10;lBY+78sweaZPm24zvPPGenQ//X7Vl6tFHdaZdzyx4WO1mcI+BkKjHH0Pp3qxeedqQ+zsZLZY5N1x&#10;HMrK7x4OUA9z64+73FF3bzSWNzYtHJtns5UQRxjOXRgvXGRz268cHpQMuW2mRS27PHb/AC5K9D6D&#10;tnB4x/LtXL63p1s17IXUNtbO4jJ6H/HtzkV22n2ly+nFQrL8zYVoRgfT/wDWePYiuRvrZ4r6aNpl&#10;kfzmyxxt3E5x2HTPA9iO9RZgYN3bTwhlVd+w+/HHHb09aotNHFJ50kXbIUr0/wAn6D9a3LiJYvlE&#10;bbsZVQuc9/w7/wCTWXdWnnGRoi25c/LGvzD0A5z+nPtmkAal4h0wWFxCl7+9aFwke47gxTpnsDwM&#10;+vrXDXCmERyPLhg3yllHyg9/0J6An+XSXvhm6h3lyFRIt2Vy2RnOfujnHasq8tgX/drJtEmVOPwz&#10;9f60y1oVIZPNiWMr8u3HY/59frxSyKiXVrDM67prqLC7uvzr/gf8io4X8qRsxMzHliylSw5GR+WO&#10;mR61Wm1BTLa3EibfJ1O2LbZAx2+cikHpxg/jir3QM+Hv+C7FssWv/DS4EO1JtF1VcFvvFZoD0+jD&#10;67vwH5s6qQZGbP3ueB+n/wCqv0l/4LzySzH4Syo0nzWuviNS2MkGw3c+3T8COtfmxftI7+af07H/&#10;ACK78J0Zy1tYlOig8HFFekecf1Ef8EH9cltfFfiTc3yw/s3fCCZd3rH4K0jJ/Wvl7/g6F3N/wUG8&#10;Jkn/AJo/ag8dP+J7rde3/wDBD3XCmtePFJZY4f2T/h7IxA6eT4L0Tn/x814f/wAHRG0f8FCfCIMj&#10;cfB2z/d+oOu63z7f59KxzGX/AAnv1/yO3CRtmUf8P6Ik+FEzN8I/h/GjqF/4Vn4fSQNg426bAmff&#10;7ufwr6mgWJtMhfy/4EMaykNtXaOOnA47df5/LPwXmWT4L/DtoPlWPwDpqMzZXOyLy89vTr7GvqLR&#10;hJdaRayIjbvs8Z+Vunyr0P4+w4rwafwo7a3xDdSuJILUq4KhiA20DqTjn/P5Vh3yNGywTP8Axqfl&#10;/hI6k/lzn1ra1GIyxqgbbyGGV5C9cj06dvpWPdNDG+1pY8rIqqoOM5PHGc59vx6VT3MT8Cf+CmUP&#10;kft9/F62DbyvjzUNxXof3nJ/P8PTivBa99/4KUSy/wDDe3xalPzMfG14xO3+Hdx1rwKvepfCcVf4&#10;hcetJxmjOetBBrQwHKMnmpIQA/TvzuXNRruJ2ZqSIEnI4qZGtPcsoEbJmUMfXaM/zooSLeMnHXv/&#10;AProrA30KcZ2vlP/ANVe0/sBLdN+2t8I1tWCyL8SdHdG8sEhlu4z3yD0rxWPHmYavcv+Cdck0P7d&#10;vwcuEh3Qn4laRwwyMfa4/rV1TOgz9wtO8R/FW3RlF+GbofKht2BPQH7vBzkdP5itZfEvxVWBVN1J&#10;jaRI628PzehwBwB7Dt+fQG6ie2aW1sY45FX71vCoZ8dR0/QeuO9b1jdaXeL9sisLVy3zfNGu0g9+&#10;nt6D2xzXh3uzu5kcHr+t/EeXR7qDU1K2v2OQS/6n5YyjBsY+YZUsOPTI6g14b8cpo7X4F/EpV37z&#10;4Bu41C8433VovIxwOo98dT2+pPG1xoy+DNVkg02CNl0u5KmO3G5T5TYAPXv1yDXyj8fbiWX4F/Ex&#10;0kULJ4NZW29i19Zt1/Hp7/iW9io/EcN/wQtlMX7QXx0nU7dn7G/jko2c4xd6Ln9ea+zfj/Imp/t3&#10;ft3eK1/5c/2SfFlhGwz/AB6VpCY6esH+ea+Nf+CElodV/aH+OVmh3PN+x744i2huBuu9H/z619Ef&#10;E741fDzQ/jP+32njrx/4c0HXtZ+HGt+H/Dem614hgs7jVJnkMKwW6TSKZZGWFDtQE8r2Ir1cLKMc&#10;LSb7s5cVriKnovzR/PGImRstEfpzT4LffKqKCOeTXv8A4c+BGvato1nY+KPF1pa2Np923Wy86YEj&#10;Of4UJ7cvlfTgKO+8G/Cr4M+D7uO5svA9jezJI5W8161W+kKMoUxtEYxbkA5Kt5Qdcn5zgYJYiK8y&#10;Y0tj5r0rwuZEWYyqNv8ADI+B0Pcehz/Kvqn9h3xZ+0t4F+G3iTw3+z34w03Q/wC19XhOqapqEMcz&#10;wSJFmPCndlMO+cwyfw9MAHY8Kaf4K8C6vb+JfBmkaPo+qWpZre/0rSVguIgc5KyogZTgkHBGRkdM&#10;19X/ALEejeGPG2j69408baVa6tcR6kFWa/zIqt5S75CjnY0nyp85BYbeCBmuGpUk02jtgo9jxVfC&#10;X7WsdqJ5P28YJ5imZIIrjVoAGz0VUtAoz6AqB2GMGnR6f+1ysm//AIa11pl6q0PirVFBz7CNR09x&#10;X3hpfjPUI41k+1Sr825fm2b1z0yB6Y9/z53Y/iCQjPDPcKzRsGYe/P8AXv6flxvmOj2nL0/I+Aor&#10;L9rdEXy/2vfEi/LtynjDUe2P9vPH+fSr1pp/7W2oPm5/bA8VNtXbt/4TTUGCqTnGDKP8/hX6CeHf&#10;iLqL69ZhiZN15Eyws7HdmRflzx79fX8u1134lapEmBv+9hfMnbjjsep+hHQZ47HLLuJVrbx/L/I/&#10;OKz8P/taXMqsP2y/FfDAK6+ONQ7HpgT9atQ+CP2n8r9o/a/8YNIq8M3i7UTgZ7H7Rjrn0/x/Qaw+&#10;I98blR5yg427gTyScDBJPOP1qab4oaxMjSG9by42VPMkYhVUd8+4UnAySAQoJqPmV7ePZHwLpfgb&#10;9qO9ZYpv24vHlvC0h3SJ4s1JsdBnm9UHp0yBx19OysfgD+07DBb33jb/AIKEePNF024WOe3uNQ8T&#10;3qXF1A0pQyWts+qK1xws2G3JCXgdGmRsV91eCPjAdOur501T+0Fz5K31xDlY9wXJiUkAEfNtdwWw&#10;chEYZFrXvj7r13rL3D61cTNLJtZsB3HQfMx5PA/vH2zgChrTRlLEeR+c83gj9p20ZrZP29PGSxnl&#10;s+N7xfftfnH4frzVd/Df7TUWI7z9v3xhjaAM+O9QYhR9b72/z1r9F4fjz4ouFIOqzIzcjb82Tz0A&#10;YD+XPtTYPjf4vSHaPEExkEmd0mRnkc8Hr9O2ajll3KWJXb8v8j87Y9A/afmDSH/goF40bn7v/CcX&#10;3P56hz+AqtP4b/adKlm/bq8dMzDG3/hKr8Zye4+3/rX6K6l8YPFU0qmfxCZirHcrpnAz0yMHn9eO&#10;2DWZL8UvE8xXzNVb5fvfvGA6jP8AF+vbn8a5ZLqL632X9fcfnpbeF/2qLi4BT9trx5I5Yhf+Ko1A&#10;4Gemft//ANalv/AP7V9ymdQ/a58fXXy/K0mtajKADyM/6Z0/+t9K+/pfiLrrjZNqckpZTuDSMTID&#10;0B5wcAf56Vly+N7662/6WW3Ln5QFC9fwz/XtzSa8w+uz7HwHH8EP2ndahV4PjZ491BhJmN4o7+fP&#10;XOP9JPI479Kjl/Z7/a0dmz8VviQ+FyoNlqIAHr81zgf/AKq+9b3xndxH7q/LEx+VTkkjjOT69/UZ&#10;71nXPiuNyZdj7ugXkDgdc7vTPJzx+NP2a7kfXKnY+FJ/2df2oJsP/wAJX8SHkxglftpD8e8h29+M&#10;nHvUUP7Lv7Q+p6jDYNrPjrS7VpGa8vtWjv5bazjALSXEpTBWONAXcgMdqNgHpX3Euv3k0kYht4/L&#10;3EzM0v8AqjtJJPzeoA45pH1aewspP3ytLerlBHLkpCrYye5LSJ7FREeqvy/ZLuL63U7I/PI/CL4h&#10;TyBpPiF4gkUr+7DWkyyEEnnmdsfqRzzVa6+C/wAUJZZCvjLXAqtjzJNOuCwxjjIm65r9Am1iVJ5E&#10;YTRq0WMhvmzgAdR/9bnPTiop9Qvpke4SZj8qhVBJy3Xpjj69Me/NP2PmP65U7H5+yfBH4jzI0Uuv&#10;64zNguf7Knbd2/56cZJ9SOnqKib4AfEkxbJdf12NWb5B/wAI5cbW/Azc1+hMd9OUCPM27lmXd745&#10;Gc+v5VRv9Rv4pla3uioRtzL5jAsvBPJHTJ9BnOec0exv1D61U7HwPF+zF8WJtwjTW5GdcFv+EVue&#10;R6Y87p+VB/ZM+L/lK76RrR2jYj/8ITdMoGcY/wBafT9O9ffFzf6fM/mS267iNq7YlPsHwe/I9+eu&#10;ADVOya3muRJIjL+7UsobvxkZz6DHPbnk9V9W/vMPrVTsfC8P7I3xllj8uTw74gkj3K21fAV2MkZ5&#10;/wBZ/nJ6UH9kT4nvmFPDHiRZR8pjj8E3i89f7/f+lffkV3FEGVZWjRgN3mdN2R+uAePeqt5JdBjI&#10;LllJUbflHYEdcE9+54OfXg+r92H1qofC5/ZA+L88Jj/4RjxR8w5dvBt0VOfVTjPT1FWB+xX8cVC7&#10;tE8UhW/1f/FEXm08/wDXT19q+6tLlltEe1ubp5ldyT+8K5O48DAGRntgAk/hWjBr8cDM0yr94+Yd&#10;5GzOc9hzx37/AKr6vEn65V7HxJqP7CvxQsblTo8fiK+s7qFJrJv+EcvBKqOOIpkO0pMhDRuBlS8Z&#10;KNJEySPDH+wz8WmxHcaL4ljVmw4fw5M3II52+YOfY198aT4me9S48POFYPJu0tJbh18i6wFA2j5S&#10;JQEjYnbtIiJbYhBji8QeV5nl7vNh/gViQe3bocjpyBxSlS5eo/rlTsfDui/sQfEdcwanpHjSaBcn&#10;yLHR5YmDZzyWDjHXjHfOeOdSL9h3xacQt4R+JDL/AAK0YGz87b9MV9tQeK7loY4Rf+dISzAcE/e9&#10;x9f8O1XbPxq0a7WkYqrfLlhkDP6fhS9nHuP65U7HxBb/ALB/jKOFpoNE8fwsq/LGsL4GB1OLT/2Y&#10;Vak/YD+Kbss+nR+Oo9x+b7Rpt1IS2B0KIMnOeCBwDz0J+47fxwZLwGYMwXC7Xww45Ix6fkOD34M9&#10;t45uZ7kg3BVfL2lVl6D2Bb6fy69V7OPcPrlQ+INJ/YF+LFzHJjVPiE7Nt8ua30a5ijU46MGyW529&#10;CuORznItwf8ABPj4twRhb34geOreYSBFhbwjfEYxnhllOcZ6EDg9ex+2pPH87ssk4mkbgMWQHPOT&#10;jk9v5VMvxNvbd2dGkVc5ZePRsg8nnn247imoRKWKqHxev/BPj4hw2+68vPifcXW3Ehht2hiPJP8A&#10;FE5HG3gk5xkelQj/AIJ/+PfIhms0+JXnMP8ASFluHYkjng+QvB689D0Lda+0G+I91bB5ZjIybmLK&#10;qjoRzj5vTtx168VPb/GK9iExuJvMAgc+WzEhcZzwOxPoM4z9TShEr63UPitf+CX/AMcvFUlxqfge&#10;28YXlvCiutrqWlut4jbF3gAuBcAOXwYvmMcZd0jHA5d/+CcXx2aNnFv4meN2w3l6LKyv1IP+tPb2&#10;5r9E4filcz25jaNmSSTdtkQ7SVPHGRz9OOB07YniT42anq2rXCaqskknnMFvGj/fYyxUu2SZTyD8&#10;4ZiMKGUdJ5EH1qofnfe/8E9PjEtwDHY+KMqdv7zw/cfMCf8Ae/D8fxOTffsC/G5v9Hj0fxoWVgAr&#10;eGbvaDgnOO/Tsf54r9F5PHwurnzYDNdRxKW3KpUx8D7yt0Izg8lc/dZhg1k3vxPklSc2scq7VY7m&#10;XL7vTbu5PAxxjj8q5UT9aqX2Pzf1P/gnz8cZYM3ul+N1j+86t4TvQrd/7xx07ism9/YM+O0c21LD&#10;xsqouV/4pi6yBjGcZ5/Ln27fpve+NLqS0a7lt428yPLKqgAjbggHnj1zx+Wa4PUvFUlwfMuHkUxk&#10;+WI8ccdsnP4duoosS8RUkfn7/wAMLfH+wANs/jyz2x53R+Gb2PAz1+9wOPTiqUP7G/x88O6jHr2l&#10;eJvippV/ayGSHULHTdQjaJu75Ta3dhwy9euOv6B3Pia5YyRTXe0Mn7tfLByOgGT1GP8APes6XW7m&#10;V47p/vfbE3bZCf4+vX6H1NUm4u5PtZPc/LD9sHRv2hPF2ieGbb4iapeeJoNI+1x6TqFrpcalY3WD&#10;IkMUSszkIuTIXJIbDt8xr5u1r4deN7fbt8IapnaML/ZsvPbj5a/Vr/goVPYWsvg/UrDSIIbzUP7U&#10;+33UNuEkuRGLMIHcDc+0E7cnjccYr5au72/iyzbdwO7d83Y9ufXp0613UasopM5akYy0PihtO1R3&#10;YHTp8qSGHktx7dKZ9hvScCzk6Z/1Zr6y8ZeFPDHxAuGuvGnhuG+vJGdpNQkkdZ3ZlUCR5IyskpUA&#10;FRIzKuOFwSD5n4h/ZiieZj4Q8Uqm5lAh1fJ2jb8zGWJeSW6Dyxx1PHPdHFwe+hxvDn7a/wDBGfxM&#10;dM1P4qI52vb/ALF/hSdR3Aj8GaBXB/8AB0IGk/b/APCYWL5f+FN6f6j5hrWtn8sMPzrJ/wCCXXx4&#10;+Cfg/wAf/E3w54m+MvhvSjffsf6f4Z01tZ1Iaeuqazb+GtFsWs7YXXlGeb7TbXEaogLSbCyBlwxu&#10;/wDBz5LPbf8ABQnwy11ayKrfDC1iX/gN/eucfjKenf8ASsZKE8DKz6/qaYaMljovy/RFn4Cypc/B&#10;P4ezxHzAfBNrGU652PKvf3BB5r2DQvA1+1laXQvlt3aJH+VchcgHoGHAz6DPbGcV4b+ytffaf2dv&#10;h6qs24eGpQytx01O9VT9MLjPoK+sPC2u3Nt4d06GSFsCyTCsxwPk4HB6Z/Hv1rw4fCkdk/iZwuuf&#10;D3U82Zt/El2s63nmIEYjfgMQuA/HOF79QR6VXl8Ma6GFr/bl+JDyscl45YZBxyD0yc9+nU5NelXu&#10;tXNxOkpZWaKNvLV1wFO4Y556nHGc8n61my6qQsc3IjVRhs8svv15xnn/ABxVGfMz8Ef+Ciul3Vn+&#10;2v8AFDT7i5aeZfFcxkY/ebKJj1zwRz36187uhjcowPBxzX0x/wAFOEWH9vL4nbJF2v4gjfHqWtIW&#10;J/En+dfN2qx7LxnA4k+Za9nDPoceIj7qZWBxS8EUlFdZyjlI7mnpJlt2ffmo+aAccik0VGVi2mJB&#10;kR7vz/xoqGPzGX5FY/Q0VlyyOhO6HWluJrmOItwZFH5mvoD9gG0hX9vL4QPezeWifEHTy0g+Uoom&#10;DdenavBNFUyarErnHJJJ7cV77+wqNK0n9tb4Ya1rWrWtlY2fi6C5vLy8uFhhgjjVpGd3cjCgLySQ&#10;e3Uisq8nzJDoxvTbR+866YkgYb1KyNlhtznPBye/Uf8A160dPsfJt0i3vJ5cYRvMye2OpPHTnjnj&#10;14+afib/AMFQPgH4H82y+H2nah4yvNoZZLb/AEGyO4/MGmmUybgOeIWXtuFeS61+1x+278c7FJvC&#10;2pWvgXQmVAl5pK/YEuP3nEqXcxa4ZxjJNsVXCYwDjPkaI61Fs+yPjV8SPhr8JvA97efEfx7pehNe&#10;aVO9iuoXirNcgrgGOHPmS8kA7FPJr87f2ov+Cjvwu/4RPxN8HPAfhLVtWn8Saa2nza3fL9lt40SV&#10;JlniR8zTgtGF2ukRUPnLFdp1bD4DeEdR1+bXPGXia78ZaxeSPcXEa3xgFzPvLO0khZ57kNncWzA+&#10;See59T0f9n34heAfAfiLxRpgsfBul2NnbNc6dpsiwvf77pIE89ozmQqZ3YNO7MCAoGDkTKpFGkIn&#10;xz+zDr3xkh1jxRefCrxnq3hm81LQf7M1bUNL1W4sBJpM77p7SV4SGeGR4oNyYIYxruA5I9E+Hn7I&#10;/hWz8N6x46uvCvjfxZpun+TJ4o1PSLcW9nb/ALyTyjcSRW1x9lRnkaPc7rubaFZSdtfc3/BLf4A/&#10;Db40fHjxDo3xe8H6X4ksdN8Hy3Vjaai5lt47pru1t1dowdkmI5ZAA4YA4YDcqkehXmmQWPwD/bhk&#10;hnB3a9Zwu0aDajP4qulAGD6AccYrqw9N1Ip301McRU5ZSfa36H5n6v4D+Gl9ctH4f+HzaapB8tf7&#10;ZmmdT/DuJCqR07d8U22+EOkyQ+ZHaXA+ZT+7kKoOAef8847da9Ds9C0hQWV7dv73zA8Y9z16D+la&#10;9lZ6RBzLqRCtwqRw8Kvr2x+Gf8M/aB7Hrc8x074VaVEWS8tdrYzmbhd3J6d+B9RzX1x+wD8MbaP4&#10;b+IJjbr+817DBVIV1FvGTjBA6HPPGffmvMfD+k6OZT5c8Twldy+cwyeeMEfd5GDyCTX1x+wrZaEv&#10;wl1YN5bK3iaYFd7bQDaWpwM89jjOew55NTKXulxjYqr8Lp4ztSynddoG7cDjgduTnr26cdjmw/w1&#10;nZlVra6j2fxN8rP06nj8h6V7DZW+nWsioJFhVVAVfLZgGIGdpI9cfmOvWr8d1ockjbtRZlC4k2tg&#10;cD34+p/rWZoeQ+Hvhhrr+ILFPMZv9KjMbL8zEgjsBx9Tk/TrXZax8NNdvTHaadp881xNKqxW9rEX&#10;k3FScLgZYnHTtnjrx6p4c0fQrDVbS88Sa+NP3Nut7MbpLqX5WP8Aq8fugflO6Uj5WDIsoBrY1+88&#10;LxhrbTPs9nFMdhja6kLzbSGUSNjn5lViAEj3DcEUmp5h8p4DD8OW02WeHU5TeyKrBrexk3QxfeX5&#10;phxIflDAR5QqwPmggqS+8B3Ek7y3Jk8zkCB4FXb64AwB05/vY5z1r2ywn8LrHGZr3TdifIqpHOvc&#10;8YCDHp0Ofyp9xeeGrQA21zbQqxAYnzOcdcfLz+OOv0rPmfYaj3PLPCXwz1KSwmEFlCpVsfu2A24Q&#10;lWO4gnOeRgg8jPHFO++Gl/bSEfPH/pDIF8scYJ4B3AcfSvaPDV14cee6xqUczNt3bQWAJ3dRtwen&#10;6HmqWrW3hxJWkupLWSN7hlijmk2BPRcE4zkYznPcepdx2R5LB8OZXxcSzMD0K/Z1POOM5PH5EetI&#10;/hBYG8qa4VW6jdGoBHQH3/x9O/pW77P5azfYPs/A8ybPy9fl6EHntznj14o340q11NL+yvIwY9qy&#10;NDkb1wcFtwHQ578Zbn0XMDjY4A+CXnjb7KyqqLnd5ZVcfnj0/PpUaeC9x87dK3zZ2+RjHP15/wDr&#10;9R373UPEGm7cxLM7O+WbanXPT73Xr9PbjOdDq2bd0vWR23ZR9ijAxyM88+2e3r1RnY4W+8LSxyqr&#10;CRB99V25Vl54/wA88VUfw/cQyrMIXVWXhtmRkck89v8APQV3U2rQR8FNpxtyGzgemPr+FZuo6xYX&#10;O6UzLn+LnqOaN2ScXe+E5I41aeOZ/wC8qxjHA/xP/wBYdarzeG4QqxTLjbFgD8wMfX/HvxXQXeq2&#10;si+Y7Lgcbd3zDryffHP+HOIX1G2ll2earbumO/Xr6cAn9frfLElmDpfhnTNQu/JvDLDarGz377kD&#10;JCo3MQSygyH7qru+d2RQcsKzNSs5L26e+l2xloFXylZ3SNVQIsSbiWAVQFG4k4ABJNdrrg0/QtCh&#10;0eUyLqGrQpdagu3aEtSQ1vAwYqT5hAuCp3o6G0dSCrisE3Fur+eQqhmBbO30IwB0HU9cf4GoXMVd&#10;IM+BJB+8ZiGZkYA4x6j0GOv164qiunMrsoXbtb7u/wC71I/McZ9q3Li7spVAjm2sSoVlUg8np06k&#10;85461VaCKS4YBdx24DFc4IGehOc8f5xTvLcaM2KO0Mh2LuHnYVVYLtOOeSp5PfgZ61DPFaS3TIgf&#10;a3G1nyepOMgDj1x3x+Gu1rpVs2BPGytk7VyMZ6D5sdMfT09TAsdgbuaS3SLLcMwwMYX/AAI7dMfW&#10;nGQzIuLGyEXnxIVXcPljYDc3pkjByP5E84NUrKzs7yKNob2dTuLHa6hlxjvg9/oOvTGBsz29uq4O&#10;1vmVwyblxnv+YXI/I5qpFpd8tw1ygWSHaG6KOSOgHX3+meva+YCG0e3mgGnNLM8iop+aRAxzuAIA&#10;Hqp5wOcc1YjigjDRIsmOS26T5sAkZ9SM569x0wSKkFukl2L5W2mP7rMdzbcHK9R1/DtVokPcmQwO&#10;QrDbu6dPpwP/AK/WnzAVrGwkkLCVcdz5fPzA8n7vA/DPvVsaLDOhcp5e4fvFaPO7LDrk4PuDxz7G&#10;rAkhn+aNSSrdeNxx3B657Zz3+tSwyvEQmdzL/DnkD05H4/T86XMJkMeiK0mHl+VVDeWyhiecnIP1&#10;Huc1s6jpH9pWn9qQwtJeK+zUlG3jj5JscEg/dbAO11BYgyotVrOZVZV2qwRgP3aZ/Trnp/nmtnQd&#10;bGjXUhiheSG4Uw3lrHMEE8ZALRFikgUghWVij7HVJApZBjNu4uYxF0G4gl+z7GC4B/dtyuTnHH4/&#10;981c/wCEeInjaNz5ZbaY4/4jnHcd/wCXSt3xFY2miaq1pBf/AGiAIXtbo4X7TGeUk2q7BG7Mm4lG&#10;yrYZWUOt9Rt7cb2VGxwP4eOecA/5xUWQ0Z48ONtSJSY2Y7m+YHOe3Hb0/nU1voMiySea23b/AHRl&#10;fUn5sYFaCaraTXClB8zDCsvUD/J6c/0q0s2kBlBVWQjLDaMt07Hj88+tVyxGYsOgy3HzgZw2TtY9&#10;egC8c8c9T3rRbwXH5HmKfmVsPuzhm5GDx9f881q2+oaLPF5E99EGD5HncBj9enP15H6bEWuadcXT&#10;Lc3G5sMFVl6n8/TGevX1JqbajSucivgiWdsxCRTt+7CgbqeRz+PeoW+HU8Nu29+u7duj+U8cjrn9&#10;OvUdx3x1jREmkRp41ZtrZfaG5z2z6dM1atr/AEhp/tMV7DI5/iTLBhgcZAJzjjipvLsa8se5xek/&#10;D5ZUkltJ2Ks+c8cDb6AH61j3Xw41C61O4MUDMvmEbmU4HUA52/Un8OlezaL4t8NXEKi6iklk2BW2&#10;qrbmzgr1HXrnoeB6isXV/G3hKK7nttQRlHnOF8pk9ep9Pwz0HXFVd9g5Y9zzSy+G987xyqpRlUYa&#10;Dd8pz1AByP05/WSP4WW980hntm3GNiJ4bUYkKocBk4XltoOCuBk7ZGGD6baeIPDzK91O0iu0Y/eN&#10;GMBeTjO70x7elX7DV9NgnctcQny1JV5lADjI43Z46jHY0ByR7nmF98DtZsrW2uDpyy2siiOO6s5N&#10;9vMxX7i8ZDYGdrBWAbJAyM+b3Hwmu3Q2kUE0e1tjK5HXOCxz2HofXH1+s08WeGrPTGvZ7uONHRS6&#10;+ZGVkT5W2sr8OuQDtYFTgcVyUd38N/FdnvtLz7FdMMSPdwPJCTgDkKzSRk4LZAkDO2AIl5AmwlG2&#10;zPnuD4SXcc4hksJJVc5Z3ZMr0/L15GKsR/Bq4tpY5l06T5po2KrMvBz+eOh/Uda9vvNE8O2062Mt&#10;uPMZWCusiFWA4JUqWVh7qxHJ54Oc+6sdBjkiCXYjVWU/OxOTnkdRwe38+RmiT4o/4KAfC0GDwY9x&#10;bxsnl6puLZIB/wBD7D1HUgH7v4D5jvPhVCkCiO3ZVyAPlA3AnHXOP5V+gH7c9poAsPCs1xdODHJf&#10;8TRgnDfZwR144HU9u1fNOp6L4clLG2v3kPG1VZMenBA4zg+3H0rWnUaiTKnzHgV78I9B3sk9lKgZ&#10;gSu0qw4+vHT8qil+EXhyUbFW4j2nP7vAGPxOfxr2q78O2uAkqyqM7l3NlTyOnA5/HvWPfWGij91B&#10;MCehPmdPy/z3rX2hPsfMw4f2SPC/xA0pdS8PfDvWrq+sdDm1XWdV0NZZtlnGESWeaPc8cNtGwG5/&#10;LTDHLPgivIfif+zn8VtTfRdI+Hc8OvWcCTfZX/tW1sRG0hRmRY57nGCQTkEg5yQCa/S79gLQlk8C&#10;eMNT0uRZJpv2YfG6jOdzsurGFT9PlxgHtW3/AMFffhx4Ztv2htb8T2+j2kN5feKrqK6ure3VJJlh&#10;0PQGCuwxvIM7kZzjecdTWlSnbCupf+tCaNV/WFTPgj4TfH39qP8AZn8GaF4D+PH7ObDw/o+ntZWm&#10;rWsyxsqS3sk6k3cbTW0+1pioQbW3bQzAnNfX3wQ/4KA/sweO9CsdL1LxzN4b1JbeOM2niSzNshZR&#10;sLGcF4VBI3DMgPPPORXAeBv2brLXPhxpPirwZ8Qr7S77VLK7F9Y3ke63n23c9uEBjZWVCkI3bxLu&#10;Y8YHFedfFH9kCDRLSPVPEXg680mOaNWh1rw/ZrJaOqjapZVcxoDwdpWORsZODmuWM4y3Npxiff0F&#10;7pGpaUuv6XqEdxY3EfmW11byK8cyYBZlZSQy4PUHpVa8sUjj8srt24Cp/dPQfT/DmvzN0Pwr8cPh&#10;Defbfgt8WLpo2/10dndfYGfK5YyQSuYJUwAOXYk4+Toa9N8G/wDBUD4z+EJP+EZ+Nfw/ttaZVRZH&#10;ZZNNviucmRlKtG/HIAjjB45FVypmLj2PhX/grDYSab/wUF+I8JXLNfWMq/MD/rLC2J//AFV8v6o2&#10;+4Vi+75OTnvX0v8A8FLPiXoXxd/bA8SfFTwvZXVrYa1a6dJCl8irMrJYwwyBgjMv+sjfGCcgD6D5&#10;o1Jo2m2R7uGx82ODXq4f4jnrL3LFWinOpVtppM88iu04RRj17dx1pxXPzAGo804EjigY8glvuH/v&#10;rFFMLMx+UfpRUmnNHzOu0P4deLYrsovhjUnkH3VSzYn06d+vb1r1r9nf4b+KLr4u6HNr/hrUrWzg&#10;u2kv5rhVs2S32sJCkkylN+0tjhz0ypr1vRrPULiTyJLuFQwwSbqNeB/s56dPWvSf2eNO8r4zeHI7&#10;wRtEuqI0sbMjAbfm5HTjbnv0FePUrSqSPQpxUY8qPR/hH8EPFOpCHUPhz8P7axRljePxDrUYZlVl&#10;ZlkWSUFznpvgQDpkV7/4C/Zg8L2d0niD4l+Ipteui2Z7SFfs9sxK8gtzJJz3Bj6DK10a6ncWkUzz&#10;kzNHnc0hLHOO479PX+udPSrya6gk3vt2qBj+8uD6/X+Wa5bLua6m9u8OeDvDVxZeDtGh06NoWM9v&#10;p9uI9/yD75UZdjgfM2TjvXlPxT8Tz6j8EvHaGKONY9P007IeNzf2pacE+nfngY9ea7bxUYX8O3Cl&#10;izeWCuFOS24dPy/T1rzP4hafe33wg8YRxWVwryabZCFRbuxkxqdoWxjrhcHgcYJ9azlrFlR+I9h/&#10;4IgXi3Xxz8YXU7AiPQdOiYTY+6+rWoPIJHAH1/pb8d6idO/Zl/b4kgyv2Xx1o6rtJyM+L7sdPwPH&#10;tUn/AAQj0G4j+KPjzW9QgZY7eDw7aMt1GRzPrMJUkH/rm35/XMHxS0+aL9mn/goLbW6KrTfEjw+8&#10;e5uqHxrqAGeuOAa9bBr9zB+v6nHiviqL0/NH55f8JfNbEmG5fdj+BiuPzwRj6d/Tpcs/F6T3IuJB&#10;cecuSxfGQex3d/xrPfSr8ycgP8xVFTBP8/QegottKvzOY2hkjXHsR+fc9v8A9XPnm8XeJ0lp4utU&#10;iUW93cMckkkZZj3+8Ov9PrivrL9hnx+1v8KNWjkvLj5vFUxMUkK87rS3XPB6fL69ua+RfCvg/wAZ&#10;eJbiaw8NaJPcNDGsly+7bDaQmRIxNPKxWOCLfLGplkZUUuuSM19bfsiaRoXhT4U6g+heJIdcuv7e&#10;m3XyWciWcU32eBsRRXCq84CGMlpY4wHMieVIoWR4qS92w43uezQeIZW09NSaSS3s9zIt1cbvLyGP&#10;yrgfMwzggDIJycDmrEHxibRrbZ4bumgutytJqT2oedSr7gYCoK2+CEO5CZMq37wKzLXA+brer6kt&#10;7faxMLjaI1kmkYllXhV5J4UDAHYLgdBie/i1SQqkuoySeYoCrGxPQ9Rn8PUjHcVkr7Gh2XhHxzDJ&#10;rtsgu3I87d5nlkbCAcHaR1Lbe3O71ro9f+IUiy2rR6o2TJiPy48ELg7uCP5fyrzjwRZavbeJLc+b&#10;hpGaPEeSDuUg9Af4Tn6ema6fWNGvJriAvqMzN5m6SKOEgDCkH59wwMse2c4PHAp6pEysnoy9a+P9&#10;buC0Et3GybQuFUZjOOqkDr6E5/whHxB1UJia7maRty/KqupGcA5J/H8ayLXStSiuJIpGZlXcJHk+&#10;7kPjHvx+H5cNexnuX2xRYZlx5YGPl69COO3p1xg0uYm53Pgzx7qULTvHeSxhkRJMsPmxnj8Ofz7d&#10;otb8WX9xLLJHcHb53OJNoGB6jGDn09ep4Nc54Y0+7t/tCrBt8wRjg4Ockeh45/Djr2dqGk3486O0&#10;iKsq7m2x9cjPPb/Cq5tLjuzW/wCEruEfepJWRQeGH3cfL9QPUcfoKqQ3t1GGjiYiORtzqnoT3x2z&#10;/PHPembC7iOTJubuyArv9+fQn+VPksmt4lZxuXdyWbgYP4evpU3Yi4ur3qr5j+aEU7SvUe2D2qrL&#10;4nkhiaKASKzAhlMh25/A89+h9Kp3FtqTKd3mKx5CrCcgY9geOtUxZXUkklsFY+XwYyxBA9cAdP64&#10;75yrgXW8R3EkHlNFjBDLhieTwB1/DPXr1qpJqWpHat1iOTb8nlxcnPY9c+uB6VXuoGVmTzC25tu3&#10;qdxPP1HTtj+kLafLdJHJbk/LkLtXCv8AQ56c/ocCkA4anexR/u4vMJYfKVJz0PbvinaFp1vqF5Nf&#10;6sszQW0LSagVOzMeQBGOQQXchejbd+48Liof7GuR895N8qt93yenoOpx7/0GMWtU099C0q20eGYq&#10;00cd3fQpnbuZMwxk7iDtjYtwFcNcSI4zGMMDPvrnVdX1C4vtRllmuJ3Ms0kceC0jNuJAQBccjgAB&#10;cgYUACoT5kXmGb5QkqtlY8qAOD36cjr3H1w6KDfNu8jcTktIWyOuM9Sf5D24pslpK7tbyL8uOVIz&#10;79/y/CnzaWAHk3lt6MWUgRhF5HPAx+I5IGfwFRm+a3bdJM7MHGfMj78cZ7Acde4HanLZ3cpZWYL3&#10;ZRJ2GOQR/kcd6pros99L5LWsixtHgqw5HpjI/mTzRfuAXoaGBlgjCs24yRhTnpnn1GDjn/61VdPs&#10;3gs5ZpI5F8y4BDS/dJGATyeTt5x9OelaFxpFu+7bIzOGO5V7c+3PUevbmo47a3hJ8iCRcAszPjOP&#10;TP1wO/b0qlKKQEUlncRoVjVRIqjaBggHGQe/HI6g5/mlqZFsIlv7ptyqD5bLzyMc8cfj29qsXKwX&#10;J+z283z+XiTa/XGecdeuO/QfhVdbeSQea0zs7ckHqc5PHPvnp379aIyAiV7mCb52XZnfH5Zw3Tk8&#10;jqSo6+vAxwFXUbhWWRn2nbtbaPvj04Hc4/LpUsul3Gf3S7t2DuMgz6dP/r88CmRWkvlqT5isqjKZ&#10;54x175+Ydj1z6Vd0BIdSQqkUySZb/WSMTz3xuwPXp0A9808ajMGwzqNu3arKGI4yeo7Hjj/69Vox&#10;JcynywZFG1Nq/MBzjGRwvc+mM81BcRFXV3V0T5i7EAkNzjGc45479OO5BoBqw6wzytAojYpHmTMI&#10;56DB54OcY44/nML6eORZrss3Qk+TyTnp0Hv/AJzWbb23nMVEpjZsnDKPlb1OOev+cnixBpWoREuk&#10;mNrdQzZHfPTA4NL3UB1ekahJ4o0seD7eSaa6jZn0fybdTJI3GbY8hjvxlASxEg2qoM7sMqDVZQZI&#10;ZFHlsQY9gJyMDPGM46Hp36EYzk/YbsxvHGJFx95vMJCdDnGPbjPQ9O9a2v2UmrQQ+Kbe2E0cyiO+&#10;8uH93Fd7QSe6qJQDIi/IMiZURUiBrN+QFm11ia4UNau0Py4U+V8zDac43g9QeoH0xnm8mtupVbqZ&#10;t3J3+Xw3f/Ht19OlYEdpLKu0ySfvAoAfdk8dSO+M+5AGalS0kbYoumbnBXbyeM8Yz/nNIDdn8RyK&#10;DbrE7K67GKYYspXp+PIPc/jSJrFy37w3Bb5id0uWwOy5z2B/Ws+1huLhlVTJGNuCyoeBj1GMfX/G&#10;pTY3Vwy751w3G4nO3Jz3/wAmi73AunxE+ViaWQ9CPl9RjGM8gZp8WvzgKI5Q3mMPl2g578dR0/DH&#10;6ZcumXcUh2IcSH72MtnHp0/z9ac9pq9vKm+V9o4zuYfw454Pb69PrT5pAb2n+I7iOPzQjH5uNyEE&#10;cDHpwAMggdz7YwNU8U3MdxOJ42XdM33BtVsE9s8+3p7DJos7m8tY1FxbyH58ruYBW7YGc5/r781l&#10;6hpsUiSyyPjbgb1xg5xycgcfpnv6K7e4Gzb+LmV9+7yVyWj/ANIU45xwR/Tp/OUeN8cf2zInykeW&#10;spz15AyQc5FctFpd7cuHiIjXzAdzRgAYHO0D9eOanh8NQvMwWBWkC/LJIozGcf3j0/8A1jjrTsir&#10;I6GHxq8saxXayzBbcALId2w4I9DkgfU88CsEePXu9huJbhtvTzJxIff09frj34q5Y6JeFdrwFVTK&#10;7lwM889Fxj68nrXGNoNyL1IbiR0YoRho8kcqMfnnp6/SjcEjsdP+Jd/Z272f2qRoZAPMt9u5W2hs&#10;MQccjccYIPJxVyD4grqTrb2moNazNIpWO8mEaOCy8LISQvJbhiAqpkuSQDx8GiXG5o0uo22LhlXe&#10;D0znsCcds9fXmiHTpZ5c53Bmy7NEwHOT+vT60WGcL+3H471yCy8KWU0ckdx/pj+TNIq/I625Vvuj&#10;IYHcp6Ecg96+adV8eXFujG6WOboWVrKFscY65yO/86+hv2uBc6F4P8OzG1gubBdQuEkt7qIlVdlS&#10;TAKlZIyxi58pkLCPaxKkqfnW4+HWn+L7hpfAdxMZNrONE1a6jW4xuY4hmGyO5baI/lAjmd5dkcMm&#10;wudKcu4rsy28aC8PlvYBU25UwqxbkdOuByfftjFNbxi74inecR9QJlPP4YB5we3pj1qhrHgrW7O9&#10;uNJ1DS5obq1meG6t5HVZYZFba0TqfmVg2QVPIxjFZ03hzU7eVYn0tl3twzNyB+mB9Aa20ZJ+hn/B&#10;KHXm17wnb2zfcuP2dfHSpG2cMv8AwmF7GAf++Mfh1rb/AOCzWqTW3xn1UgCRl+J+qIAeMJ/wi/hA&#10;4J9NzMcc4z2pn/BHnSmXV/hX4e+zx/8AEw/Z/wDF0ErKo2uZfHmvsFJ9QsYz9K1v+C9Hhmz0rxl4&#10;R1/TLY7fFHibX9YmmVsrJt0jwxa7/YBbcDHtXdiFbL5W8v0OWlL/AG9eh4t8FfFEcPwe8Lqbr5mt&#10;71ZFMyqo/wCJpd8jPJGMfrnNexaL4jjXR7VpNWjDRwKVEbANggYIHXPT34z14rwL4SaTJ/wqHwzO&#10;CSq294pO4AD/AImF0xHT/aFer6Rod6NKhnky0hjU7Vhww9Ox/l0rx+XmijulrJmZ8Qvgp8J/GsDX&#10;76Qtleu5YXmistu5+Y7i42FGJP8AG6MfcDivE/iB+zDrphNrper2PiK1DFxp2oWMccgfdwFEm6OT&#10;5erFkOcgDvX0LJp1xCDLLlW4+96kHAx7498ZP0rIvdOZJowD8yqNyhTz9OeR1+v5VUfUix+XH7SX&#10;7KMfiL4k3N1o/i210GG3s7eB9H1LT75rmCQL824upBDElwS/RuABgV5Fqf7ImqNMpbxxaSZbHmQ6&#10;VKzEY+9gdP54/Kvsr9sPQbl/2hNeWPzo49tl5bqx25+xxEliOvP69ehrx+80vVAA0j4jaTA68fU4&#10;wMj27/jXXTqyjsyZR5lqfOWs/swalpvzJ4hu7ra2ZvJ0N/lA6kZcFjjPAGTwACSBXHaz4Q8KeHNQ&#10;l0fxDrWvWN5CR5lrdeGVjdMgEble4BGQQRkdCDX1pdaRIqhrxYlLfOu1v5enf/PSrf8Ahaw1+xj0&#10;7U9MhvrdGdo4Li0WaNJHXaXVXBAbA4bGQcYNdMMXNfE/y/yOaVCPQ+SZdK8EbcWviXVHfsr6LGo/&#10;S4J/So00nw3JK0aa3fYGMM2lrj3z+94/Un0r6C8Qfsn+GtZhabw7fX2jStwsau09uFVCNpR235LA&#10;fMZCBzhegHnHij9mz4s+HYmuU0iLVbeMqGn0m4ErZIJKiEgSnbg5IQqP7xyDXRHERltIz9jbocN/&#10;YugZ+TxE/wD2009//ZWP86KsR6JepI6XGlTR7WwFktXPQ4PQDH5dqK09o+/5C9nE/Qyx8Ci6vlca&#10;bN58m0fKyru4+mcY/D8sV6V+zp8M7uP41+HHlG147mWQRrhnDCCTDAj0OD6YH4VuL8LLeG5aK6ME&#10;axyKWN1byKy8E9E6dDjntXq/7KngCx/4Xno8ULxyYW6MxXfhv9ElBOCxyPxHTtmvHO2J6nF4Hvvs&#10;S5mhkUSYLSKwI5CjjPI/oenp00fhq+traNXlt0ZcbI15VG/AHB4r0iH4fadqN5CPJfdGRn5h85Ay&#10;SQPw45x361s6R8NFmR2it4lz957iMKfpnOfxx/WsXFyepVmeTa34KZ9Fkc3sRaRYo2jkt+T84/ix&#10;zxzzz+OBXEeMPC+r2nw88RSRTeXNFDaGNpFXc266UMV3DGcAc+gzzgV9G6/8N45/Dk2x7dirBR++&#10;6rvXqC3pzzjP5GuD+JHgzSNN+G2oXixx3XmahZmcRXRxHzJtZiHOCDx06sPoF8OxUb7Gh/wSe8Iy&#10;y2XxGvtZmkm+x634IEKxY/5aazIxLYwDzFznPBPXNR+NPh1qmq/Af9sjRdE0qd7zWPGnhy7gW3uI&#10;90sR8X30ibcN8uFB4OPqea9U/wCCeN1qHjDS/H1t4mvZJo9N1Twb9hi4TyYp9SuElHyKud0aBcnJ&#10;G3KlTzU3xG1KTwl8NfjfqOu+I73TdHufEGh6b4VutIsrea4gZNXvZJPLQvF5w+zLE2ZJOVDbWLZU&#10;+vRVsPB+T/U46n8Safdfmj4BT9g79pu50ZLnTPgt4la2ucS/M8YRiQNhz5g/Tp+tXtH/AOCcvxui&#10;/wBK8X/BzxVqF43mCHQdB8pZC2xSklxdyB4bYDeT5YWaYtA8UkdvvSY+haz8aPH90Uh8EX99oPlY&#10;b7ZDqJOqXI3u257uOOIgfNt2QJDGypHvV3TzDn3PxE+J+t3v2nxT4kutamh3G3vPEWrXV5cWuQMm&#10;OVm8xBx90NjI6YNeedaizhfHX7IX7UOj6BJZ+LPht/wjXh2G+kvLfRvtBtNPt3aRzHueZts0qLMY&#10;Vnnlkn8sIjSMFAHqn7JXwc1TSvhNqVvN9jLSeJJ2Hk6pbTAn7Pbj70Urr2GRnPHTkVhaJa+GIB9v&#10;u/B+kNKrbftVuJcrwc5HmjJx64Bxg+/1D+zNZeEJ/hY1/HpsH7zUJpGX7IjeWQqKRhyzAfL3J471&#10;nU0iXGJ563wj16aLZNc2WSQG26hCucDPd8gZPHGeOQKuR/BfXVKtHbw7t2GkjuIueM9c8Zzkj8jX&#10;sjaN4TvrhVt2+zbXyrQ2yqpweucEAjgdPSrB0TQFbyzJcTbfuzMoO08+mPcH39MDGPQrl96zPJvD&#10;PwR1CDWYXFxBuzmRXmLHoRnKk+w56n8cbGs/B7UJJVRrhUk7Bec8c9+T3xx6/X1XRrjSdP1SP7Pa&#10;LIF3KWuIyzA4PHy4+nryc96vau/2ucD7MuwD5m2r6cds/r3xTXkTyxPC7P4bXEEyo2ZSGKOV2jf8&#10;wPduP8+tOufhtr7fNcQyOu/K79QjO30IBbIOM98V7Hby25kdBtk+YFg0PI98jFVAtsZhdQwxRoy4&#10;2hcAep/mfSoZXs47nmeheAtS0ppMaXj93tV1VOeW6kMcjJ79OaNa8IZk81bRdjYC/aJAu35evXPT&#10;+npXrWnXXh2W6KFJpCi5aSNVbHTj72MfiOlR6vHpOd0GuTW43sC0sIQ/ThjkDPfHbrVdCWtbHj8v&#10;w4wvzwScH5fld8k45BAwOe3X1HNQweAZVuFVnSBldS5kjyQM9z26HtxXr1tY2koUx6pds6r8zONq&#10;k7s/dBOevr6+lR6laWoj33NzCw/5ZyMh3N14zz7+3fimB4/J4KuLVuJlO7jajNnPUdue/Tr2xnFV&#10;73QL0J5kNwvysc7vlP0H4Y4JHb8PU0stP3Zl8tRnDNHAWVMHoSCpzk8gZ5P0rGv/AAit3PJPYyxy&#10;GRi3l7WRvpjHGf0znjNSDiuh54NAviXaWVY++1lyc5BzwP6e1VpdDupJA0EnmNwuFV2LcDv19e3o&#10;e9drcWLJiI2GGXIb5W+93B465Ht9OtVJpdKhEj3Wmxqm0/vG+UKMYJP6HnjjnPdepmc7ovg2V4pv&#10;EOuWa/2fpapNJbyKdl3MxxFbEB0ysjDLqro/kxzMhLJisfVo9Q1jUptS1NzPd3VwZLmaRmaSZ3JL&#10;M2QMsWJ5557k16Z45i0yyto/AkMcf2rTWY6oJJlRvtrYV4iBz+52iLBZlDrM6HbNzyNzosCkzzqq&#10;gthpdxYH6ZGD/KhAcnJpCQoktzYsGk5V5EY7unTP49OAP1in0PTZJ3e5M0Ej5G3bwmPbqP8AHNdL&#10;caVCDusLtZVMYZ+WyeuOBnP+ear3Gn2sUgkuZFYpz5i8dsdh2x3/AF7Xy3QHO3PhyGM7/tJwrZV9&#10;u3aTwPx988emRTRo4aHzIZ9zNJlVkK/NwfXnB/p2rcnlsWQpyOh3bcqMHp16j+RqvMyxhbZFG1iD&#10;8seMHGM8Y44/z2VmifIz5/DkzO7CTczZJ3Z54Bz3+vr688VHHo+2JHaKNmWEJ5aKB9R0yf69Mmr0&#10;V26tvfecNnd6ntx247fWlkk86I+fGVwoO5Uz+Hp/+qpuUURDcsoxJuI4+Vvu/wD1seg46Yqoull1&#10;SWIR7uWLBTycDqCnTj1H4YwNGRppCyli275tzMckgcf5zVZVvSqsLdHVsn/WY7dcc8fjz6dACPYl&#10;kC6XsQmECNVf5d0mD/30Vz69sYPPNQXeiIsRlEoj+YHy1Y8jsB0x7dvXPbWLNIh+xEN1C/MQW9eB&#10;9Dx6CmtpFxcw/vYt7eXlQoHy5HIODzz1x+hqrBdmDBpktxO8Yugqpy21Tg/UZ78nvz9CTO+iWYjZ&#10;ZX3Dd97ywoGO3fk4/StFrCSC2zcW21VUDcOceo+h/L6VPbWfmQ72IEm3Csp5HqPoOnfPb0qhczMS&#10;LRYIQloU5kfO49zzwQeuMfXP15u2+kmaMKhV/LYndv2hj/eOPbj+tX4rKxRlS9maRurRlgxGDjBw&#10;MDJ4ptnqMEEjW81sy+Wck8YAz0yOp6+lAiS10iedfs8YR1Xh1Vs8YI49OcdeK0NE0N9Ku5hdWyta&#10;3Vu1teKtujSJGSG3r865kQojgblDFQrHYzK0en3BU7kdgh5deCe/vgHnH6YOK0oWkLpLM3DDltwz&#10;x6AnPtjp+gqGVEoXng6Tw5rs+m3cUckkO0gxqCs0bDekiAjcFdWDqSAxV1JA4AnttAuPKSN7pFjj&#10;UNGrq5689Ng5Bz368V0Vpbp4p0aa1Ro1vNF0+SayVpAFmtw5ee3BPVlLvMp4yBKCWYxqMe31GNpm&#10;G8bc/MV6cZ4+ppFDW0S9uJGDXKM395h3wfU/5701dAkuYnna6g2Yz8xCt279fbituONVVopkUOWy&#10;zbs57D9f19qng0+yzFJcWu/nl2YrnB9PX6EfnSA5yx0uaGP5mDK3O5WH4/l/nin/ANj6Ksh8y5mh&#10;VuFLBemCPf19q66a00KaPchjZtxKhmI/mB9e3P4ALHpWmLJHI8cJUSLtaSZBtY9ScscdT1GPftV2&#10;0Kscdp/hLSVsrVo7mQusO0+XCgzyc8hj3z0HT64Db3wrpEsnmDU5WaJSU3wjHOP4c9eD3/lXeWlp&#10;paWscN3pke1SxhjWUop6ZztGDjPXpwaz7i4sxfyxR6NCyMqp5fL5yMBh6E9M+3vxI7HIxeEbW7kM&#10;C6orN/CyQt/Uj2pj+D4luWlt7gL/ALJi+aTgE87jg/p9K7yzSzuYDEbKNZFXBYKC3p+fWrNnaeHL&#10;jUpLZzNG3lgtIsrcj1O4dOxOT+uaB2OJ0zw5aRWMd0IGeTaytutS2W5w3J7E59/QdTippEFwu5ru&#10;624AiVrMBpBk8kb/AP6/P1FeyWVho9taCa3nb5YCVaSRfk46n5e1c/Z6ZpvnJDJEwRuceSOce2ff&#10;1/8ArP3RcpwcPgazkSN4xMzYz81qBt/8ezn8+ee1O/4VbZRRSRXWqPDI6k/u7UMA3I43Pn9O/wCf&#10;pVvpuiDasFnFIrN8sjMNvH0/zk9jV6y8G6fcov2GNJGzh1Xbn05BA569eD7807RFynzR+2B8MNGu&#10;vAej2Muo30SyauJvOaxQldsEgIKebyvzg8HPHQg188XvwQsQwig1PzirAKrWe1mGMn5S5U//AFq+&#10;0P2x9Bhg8MaGftDFrW/kODGGIDRMR3HI29fY+leEppmhm62TGaZXCiTZIYgpPGScMfTtjmtI7DcT&#10;zG18N+HNYitdG8fXP9sWtqsMMbPDE11ZwoUAjgn8wmNVRXRY2WSFTIzeUzAMK9x+zfpmqpbx/D67&#10;n1ya4UGXTrfS0W+RvlJUQCUtcAEu37nzCI0aSRYgDj2Cbw+zaYNMN7YNbySKVkXT4XkiyuSBMEMp&#10;H1IzkdM4qG28IWLstveWvmLOpVStuzZJGMYY+jbSMD9Tmxcp71/wSz8DaZpfin4QyRy+Yf8AhUWu&#10;xQtFltySeK/EEyPnJAUhzgZPJ7gA1u/8FwvBg16X4KtalI1bSvEEmVUHOY9EAU9Mj5f0/Pvf2G/F&#10;s/iP4seDYPEenpqGtXHhW6sbfXbhit5uF1q1wyzv0lRl+XkeZvCtuxvV9b/gpto1r4z0T4X67puk&#10;FrCy8P6lPutYl8uCGVNM2SL5g3eUNqgvgBS8ath2VT6M+Z5a12Zxx/36Pz/U+L/g18N7YfDfSZJJ&#10;N32eS4Rm287/ALTISCAecKVPHNemaf8ADyyh0+Oa3Xy12Lt2Zxt7HA/z1711/wAItP0+D4c2Ak0x&#10;rmOG4uBDJtCBsvnJPJPoOvAA9K9E0vStCu9LjkXS1hbb1T5mB+pHp+lePHVanoTjqeKX/gOK9jSW&#10;Qx7oztD+WCy54AJz7evGOlZ938NYfK3WztIy4A/cZEfzZx1PXGMgDv6V743hbQVj/wBIsTLtO/bK&#10;xDZBzkY9Kjl0/SETCWKnaQu9tzEj059fz4pS5eqJVO+x+X37W3w6jg+POtTXyzqzWtmYVjjLcC0h&#10;GW9gQePYeua8m1DwC14n2Wd55IcdSx+UccHnOc/564+5f2rvCWlJ8ctSlNgMT2tmWjZSQ4+zgemA&#10;cr/F68nFeW33grwsFSA2VrHMF3MzWoKseMY2R8e/J4Ycd63jsS42PlS7+HrLKDFctleViZtxU+uf&#10;w/lmq58IajCvzXBWNuFyf9Zn0O7r+ufwr6k1LwZ4Vk2xpLamSN8xtCoG3g5x0I4J7D29agu/hdZw&#10;W0N1PocDR3KlI5pCA0oA3Eeh+9nsOfwqtCT5Sn8A3XklGe+kZV/5ZoD36Zxjv61BJ4Sit03v4bX5&#10;eDJLJKJCcegZVPT0OMV9TN4D8Oi5j86K18sbg0Pkr83I6navv78D6F7/AA/0i3hk8uw8tm4QSRfI&#10;g9gRzwMYIOc4wccnMB8i6v8ADvQvE86XfiTwzY3kkcYjhkvdIScqo/hBkDEAHtnGaK+oH+HuiQna&#10;dF02RdvEn2CBM9+mOOveijmYcqLlv46s44F0vWo5b6KJNiySkK0ag4+VgNzYycK3GDwV5z6X+yv4&#10;g8NL8c9MmtIWCx2d47FdzMEFrLnhm6dBjHOPSvnay8d6nAwxq+oRsv8AEt66kKPQZHPT6dSK9W/Z&#10;T+K/i26+NWkWMvjHVrqH7NeuY5tUmKjFrIc8scY4P16UwWh9xWXieyuFzYqPJ8w/N0xg/ln/ADzW&#10;tp+sqIxKtyoZ+fl4VjnHHTtxxn9K89s/iV4ntHUWusXQVuNv26ZcfkRuwc9eea3LH4h+JdbPlWmp&#10;zTKx8yaRryURxLwN7EuqxrkjczkBc8kCseaOxXMdL4m12CHTMvNtKvnjnuM59MfpXEeN4rrVfhhf&#10;3t0bPT7NtUt4v7W1a7NvbCZCd0fRmkdQ6kxwpJJtYPs2qSNTXvitceHNI+0abq1xqF9JgxytcN9k&#10;RXQj7p+ecgsjAtsRWjIKzxtz49+0H8bfidffD5dbX4ga0lwfFVureXqroiRtBdssaKhAjQEcRrhF&#10;GMKABhOQ4+9JH1//AMEq73wlrFr8R73RZ7qQx3PhyC8vNQiCyTFbi9aMeUHeOJVL7VAZmJzIWXci&#10;ReZ/tH+Nvsn7JXjzVNTu5pmg+K1ksitMPM+eK8+b5uBliSAMdM8VP/wR18fa14n8O/FmXxTrt/fX&#10;kGseCUV7y5kllCPqF0I/mY/dL7uP97PFcL+0V8QPEelfB34+arHrN1NbTeMvDlrp6wXzRrD/AKXr&#10;bvJEBu2MyKilgBuCr1AFezTf+zw9JHFO3t6l+jj+aPmqT4s+Go12zPfRx7Nvyqu3d67t2D0Hpnjg&#10;Y4Ivi/4JT/j31GZFBwqh4GULg9C3v7+uea4NfjR8UJQFi+I+v5x9231S4YMe3Rv8/pSD4j/Fl498&#10;/ivxI3zdf7RuBj5c8/Nke+B/PNeV7Q7rxPU9O+Lngq8jWI65chpG6xRwyMzdxw459gBn9a+ov2X/&#10;ABp4Rj+DMT6d9oAkurjK3kKbmYNgsQspGfl9eP5fBkXj34gDc974t1C4k6r9o1CaYBR3wZCAPwPb&#10;8fqX9mLx7qtv8C9OMupSrJJc3jt+82+axkdRx16YH4fgJqSvAqO5743xDls5CljLZSb1wqyWPysC&#10;3T/WNnkg8Y6DPFTReNtSu5BHAokGCWWGwVgOBk+v5YySfavKrn4hanMd0dxcsvDGRtQ6fgM46/56&#10;1BJ47vnLKuVxyzTSlsn+9xj/ACKz05Qb94910/xVqsTq82l3EyLG3mSLauhbnjpnHb8Bye1T33iK&#10;UnzIbe8j6qV+xk5/Bu2R0Pp0rwnw/wCLBdayn2ueLdyN5XKjg9c++Op/KtbU9anX90EUvuMjRqgX&#10;Py/xDPY+h98cYotoHNrc9Mg8SvJNJks2TypUhunXBJAwSOPT8arzeKJrZ/Ie3f5eMRgk4x0BGefp&#10;7+9eWJ4pvUuWUquVPTYfl59v84GO2KWbXy8kbSXxjCvt4Tey8ccHHH8vw5Vo9RuXY9ih1+4S1aXd&#10;cIrKCZmzle4BAXp+een0o6xquoTiPZdSNthZJPMJbdnOGUj8OOvfk815Tb6nqF0ZBpkLTRJw+4fM&#10;wzuz+Oc/55kj8c3FvAge5ZV2nYxkOR17E/j6c8Uxc0eqPULbxHqisfOmvGHTZGxwBngEMDz09Pzy&#10;TSvtWlSd5fLvLZsDzJDGQRyOOCvoD1rhtF1yHVA0Or+IIrUeX5nmXG9lYg4wNoY7uvPT5fXgmpan&#10;awyxi1vVvFXBWePcuQDjcN6g44HPQZ/IuiebQ7Iaw4JNtquoybTnd5b7DyPvZc/nxz34qrfao0lo&#10;0/2q4c5VWXsCOgx+AOOK4q51ydyxS3UHPyL6ZHOc9cg9/qeeoutX0m4yQxhZOimPYeDyf8eOPzyu&#10;YnmN6e6EEn2mHzF2cqyrtwQSRjptwe4PBrZ8J69qehw3HxHmkAexmVdPN0oLSXrElX+ZhkQgeaTh&#10;13+SrrtmzXEwtquoanDp2m6ZJdXVxMIbe1t1LSTOx2qiqOWYsQAByScDkgUvi7xrZQi08K6P5F5p&#10;enQ+X9ojyftczkG4u/4Awd/lRiit5EVuj5MeaRI+bWGgu44hbzPGVOf3ZVS2c5J456jnoPTGKjuf&#10;EM8cvlR2SR7sxgMxOVOcnsf1wTWDeapoMyeebaGNtvzqzM3zYHrz15z7j0zVZdct9RCx22lwsqqd&#10;7hlQ7sddx59O/cj0FHMB1suvPJaML+GESbcKLdlyD1JIYnJ57Y/XjE1HUrlmCJErNvztZtvPr1/z&#10;+VY1wk8srJ58cK7iGDTgbDnHU8c8d+wqKX7dZf6Qtu023+8uVcZxgH0JGfb6DmubYnc0Q98kDTW7&#10;Kz7sSNuOF4zjP0xx2yfenLd/vFklKqW/558k/iTjNZ9v4q+ztGHtNy+dvG1+noScdPw7E02518s+&#10;37GyxbsSMsxweO3A+nHAHPPIouFjUEgESv5sCsWI3tMF/Qjr1pJLiUKBaXkcgUBVVbhT/XJ5yCQK&#10;5y41OdHJVPLKsAy7hnBI6c/yHAruZfBnwZnEdnp37RdrHPJc+XHDqXgzVFaXkbSDbwTKSxYjrkEd&#10;CCDWevUcYmNM9zFC6vEituVNuMdT1OD056D6ZORVO3eO8Bjubr7NuUqPLh37j6YLDGM+/pxXcXP7&#10;K3xDv/DF14r8Ga7peuQ2sO+S0+w6lp0zqDhvJOoWcMThQdxJkBOCqhmwreYH+27XTIdalsJYbeWY&#10;JGL3MUp43CREcKzxnkbhkZHJGRmou+w5RZtrcbrdYo7tWZY8MUUjBPfp9f61FBqMn2x4n1+T5W/d&#10;x7gC3PAPyjjGc9iaxP7VuI9s6FSvO5myfl7ZAOR+P4+gia8ZII4I5m2rJ97ILDOcHcBnHufX6VXM&#10;TynVtMzbbqWdfRQ0yr2Ge/A6c4FHnrG/kLP5MjcsWYfMuD9Mc/8A1vUcrcXkBtPOafJZsg4BDcAZ&#10;z6jp16YHA5qrbeKLWW4VoLl22KFeRssu3bjbg4JODjgdvxp6hynW3E6rd74riGV1blTKqk4zzz09&#10;uMA+nav50P29XjjjSNtwZ/OBAxzjp168549TWbFqdnOW8rVTHJsUNEISFHTpnjJ2g4HIq/HPBb2j&#10;KwCqoz5kTMGGTkZGcdemPbqKV2HKa1pdOwEkLKzZyrB/br+XPXoO4PN2ynuJ41hKx7v+WnlkA455&#10;/l6dK56DXoYriQJDMwZ/l2qMLg7ect24zjv9KtSajHLFuhjkXCn5Vcrn1xg/Qe49sVMpagtjqrA3&#10;1neR3+n6g0Nxayq8My3QjeGRPmDKc5UgjIOeO3NdB4m3XcEHjHTILW3s9RLfarOzuk8uyusnfEOP&#10;kVuJY+2x9geRopGrzmLXZyzKiTRsoYbsjJIyP4T68e/0rc8LeI7fT55rDV7lm0rUUEWoLHbqzREH&#10;91MgbHzxtyCpVmUyR7lWVqnm7FGxBcyzSefbMshwQQtwjMR747cdSPaplS4MbPc252jG6Qsu3dju&#10;Ac8genb61zupiXR9Qk0/VApaFv8AWbmMcgIDLKrE/MjoQysOGUqQSCDTl1u0C7BH5ce4uI9o5wOO&#10;Oefw6U7gdIqK6B49T0+L1W6ugoHGev4dP/1UkFvqMjhXlt2Vk4Ec6sN3OTwckf4e/HOSavdW8Be1&#10;vF27sjMKqBjHPT+f59i2XX9YS2l/0iXyZF24yFzjJ7A+n+HanzKxSZ2dlqtlp1ravJqNoHEC7lhu&#10;lYcg8feIxgdyOoGR2oand2N2GeGe1LPyAtwnPfHX/wCv+VcaLpxCqrdNu8obiuVU8j6f5xUf9oy5&#10;aJ5HSP8AiZscD8ex4H+c0c0Q5j0LRtc1JfMX7PE0Kxjy1XydpPygjPVu5/yKsWnim6t5pHuYl/1e&#10;GjikVimcY5GB6Doevp088ijgWc+eY2xh5GZT82BzztP5HGeR3o05pnmIhfb5ce4hrg46jg4/EfpR&#10;dFXPUYPEitHHPIhiRW2K4YZK5Oe/HfvisKXUoGtijwtIrDEbRtGuF7Zy4Ge+OnP1rnbPWY0hj3am&#10;qq4XdG1yCVJ9c8A4z6fhxXPtfQ6fH5UF75iq/wAzwsCpbPY5wTjv19uKV0gvc9DtNUiaDyYlaErt&#10;2rx8oPJGQ368jHrkVYfxDAlu0w8tVVSfOaUqV7ZH4n/Oa82OqX/ltLelvm6pHkIoPrnPYnv29qrS&#10;6pOtvlAZpOdkfCseM5yBz+v+L5wOo/af8VxR/DjT7680WG++zaxGnltctH8phmy+QR0O32wTjmvn&#10;mf4i6Q4WO10Gxs415m23zOoAGcgM3HHp2Hp16L9sXxS8Pwj0+JtTlt0/4SSGJvLkbaR9nuT05PYH&#10;+gr5sg8QzTL5UDLKAoDBWkHcYyCcdf8AD3rSD7Ae5y+MNPkgjvLO80/y1jLNsuhE6EY4bd8vb1P+&#10;E1j48EE/2e51JbctyzQ39uzn2y7L9OPT1xjwZ/EOoRoJEXbIrZM2A2G44weMfh1P5vXxTfRyG5kl&#10;MzLwGkt0DEgcdB2A/wA81oLmR+ln/BPTWL0fGX4a31osjxXWn6lctM08bb49urRbiFZuN8W3g4zn&#10;BODjp/2+77U/CEnwdvNSuP7Kvl8A232WaS9NrJHc24jMjJICDFJE00XIIbMmRnaceMf8EwvEZvf2&#10;hvgrYIdxufAGoeZhAuP+Jh4mIHHBGF6Dj8q6z/grRq+u6b4d/ZyuNInkMlx8OdSVoo7hgeI9IOQQ&#10;RnOcZ6HHI9PS3y6b/rocG2Ogv66lz4VeN9P1nwDBF4k/sy1kkvbhY9S0vUoXMiIkW3dA7xo3Tyx5&#10;RjI5kcSyOxb0C2/tKx0iPU7m702SwaRlh1azmZraXluM/eVjgkI6rJtwduDXyP8ABr4j+JZfhrA2&#10;o69d4/ti9WNvO3gIqW/A3ZwNxk4GQSWIFeq+EfiJeadYwtaX7L5m5JG+78hY/LnuOCSvrn1NeNF6&#10;HpSfvHr+q61pKjdZ6xZzHGfLS6RScDkYbHuPb07Vi3Wu2oDR2t1GJmTKr5y5jPOAeeP/AK3OMiuN&#10;g8VaHqc0kN/bTWkjTAx3qurW5XcM74toZDgltylsYAEZyWGPqOravbQRi4uY5lLBVeHDRn5cnaRy&#10;eucdQcAgHOHZBzNbHmn7TsunXHxeeC88UadE0mmW0jfbtQhj3feGf3rqGOATx3+ua88vfDMFqkkb&#10;eNfDbLtJ2x+JrKMjvnDT49eck/oa5f8Aa18bCT4xzWZEjfZ9Pt1hIZT8pyxPTHVzx39a8pj16wl+&#10;R0lVeT8qKW/9CraPwolqR7HdafpWnxkt448Oh/kfDa1AVVT6kSMCR04yPzxS28NlFZ7r7x/4bljV&#10;mZWXxBAmxT2G5xzncfxOOtePLrELruti6YZv9YvfHBwPpjv+NK97I6+batt4JkbcwyPXJOT64+tG&#10;hPKz01Y4QHjXxNpdyNqmPytYtm4zgZbzQOmBxkfLx709QkvrFmjn8TaLCWGFjm1+wQnPp+9JOcHn&#10;oT6mvNhqGsBNya5EVbcPLWYs2cYBxnPGPxHfoQSy3bpmSbiRshnXJYEZBzjgdsD0pc0Q5TupF1Fp&#10;2nm1TSJHZQD9n8TadjA6ceb/APr9aK4GWd4SImm6L3UNx69KKOZDszmUZJpv3cLht2W2kbV4HGBk&#10;/jmvT/2QrcS/tAaP5VtNNNJb3yBIodzEm0lAXaByxYqABySQBWBovw5gn8nVviTrZ8O6fcWYuNPW&#10;SxNxfX8bCMo9vabo8xsJQ6yzSQQyJHKI5XeMxn1b9mK+vLb4nS2PgDwdceH7BtPlLeZeCa9vNskh&#10;2z3Plxkrtm2mOJIYG+z27PE0sYkZOXYXKfSC2NrpUzr4nimleJCo0+zmRZEb5eJpMMsRAbO1RI+U&#10;ZGWIkGr1z4yu5U+z2llBYRbpP9Ft2JjCnnBLktIQvG52ZiABn5RWKunXUzs17CqyKpG35W+Xtgqc&#10;VJBps4fdKRu242r0P4ep4/zmsNQfkUfGN35mj5RVP71RhWPo3X6/1ry/46a5ct8I1C2sKlfFVnt+&#10;QjcDbXuQ3P0OOvB5r0zxorHSvKuEVV84NvZhyACOOOTzXl3xt0uab4SxzeVvT/hJrXPGd2La6znt&#10;0Ix3xk0/smsF7p9Mf8EMIr/XNO+NE80e9X1DwTIgi42+Xf38hxg9FA3YzwAe1eZ/tC6tDb/sK+Ov&#10;iLp7LHb+IPi5o9ja7ZA2VitdTuQBjjG2cHg8kmvof/gg14evLb4P+P8AxDNYxx2954ptrOGSPG5m&#10;gsZZSGHoBMuCeCWOM4r5d+Mdn/xqTsbS2UN/xfLT9zNlVZv+EdumK5PU5IJOerV7kNMLD/Czy5a1&#10;6vrH9D5HuvG2oCbP9q3jYXPmRqFC4xx3PA9sfmart431B3a3e7uNpOB+86sOct3z+H44qAaDq0kT&#10;LG8OGdtq/aByPXr0xmoJrSa0umjnKxyrlSOfQZ6f/XGPpXjnompZawkd/FcyrJJMpDbdq4+Xscqe&#10;3HHavqb9nS4un+Bejz3MicPdk7SACPtMnO1VAHAzgY/AjNfJ+n6bbah5zXGpWlq2z5WuFlUNk84K&#10;oT+Jx19eK+m/2dXMPwJ023mP7tpL1UXHf7RIDjnkZ/HHrRLWIR13O8/teNiyJLtUHcyx/Ng9ucf5&#10;FTpeIRvjm2sdu1twA3Z+719s/wCNYtlHGzeW1yzbW3LtReOOcDd1zk/jj3q5JkL8r53dmAXv25P6&#10;/WszRxjubvhu6I1VcyB9qt87H2Yd+3+ccVp6xrkClYxOqrGrN98/L238deDjgdyPWsHwyga9MkkD&#10;Kro23bLtHpjofT1+lTa7CJY/ORVWZN3lusgB7Dk+3b0zj0ouRpzElnray3B8ksytnquNuD+ZP/1v&#10;Wrkd6JVa4nlXhyJOvHt0+lYdpFM0xhjU71DHvge2R7kDj09jWh9lMsbeVdxknnyy5IbjGTz1wP09&#10;+AHbodT4WuIZ7GRd/wAry7WK43cqPxzz365xVaVrcoFtbyORW4Lxtsypxx156f41D4WtdQh0z+z2&#10;jLSef90OGJXAGF/DH61n3Fpqv2YK1szNyrmKNgo5/Q/rxRLZESLlxo9vdXSyzXTA7cqsWwKzds5B&#10;zjPftUrW90pZFkVZImwWZl5H4cHnPbrjg5rKsLXxAyRwRrNIwXLLGrttGf8AZXPPpjnvz1k/4Rvx&#10;HPfrOluxh8geYjwlUOHPOSMZ59QcfgagVjUiV5wZBcLJt5aRPujp37nj26UrMbVWk85Ydq5LCbBP&#10;Qfh36n+tY8+m+KWnjRbV9zKc+TA/mMAeOh9+3cn8bPh3wZ418U69a+HtK0i8a7u5hGourV1VTyTI&#10;7bSAoXczMcbQCTxyEI1BNdaX4buPFMd9vkvZJdO01SqyLuMYNzMchh8kUixrkKd9ysiOGhOOYIuL&#10;YsvmNIqjpjcSOevH+cema0vEl7Lf3i6dphka2tYzb6Y0kJR2hLu4fYWYgu8jyFckKz4HTFYRtvEu&#10;njB0HUMNgLItq3zc87Rt7+/41W4Fhsl2dIG+TnIUBQcY5/n3/rS28F9HD5iou1V+bcox14LdOx64&#10;qONNUJ3yWd2m1cqrW2G+gyoGe31x7ml/tC5Z0hh0qYrt+8FO5mwT0AGT04/qMVIDlF3FcbpJlhbH&#10;yoG3D+X1/wAjmR7q/ZWtVtGn+UEkkgngf3TjnPcevpxn3F54qkDyHR7pvLcBZijKo7dgf5d+3d0l&#10;1rqf6jT7yMowPlrJzJg5OflAJ4zjnOTiqAc91vkLtYMJPNZlG0DP3ecY7nPPH48VDNdTLGwgiVYR&#10;kt8vyqoGSQRnHTH/ANeobJdYupZJrmzZnbJj8xdueB8w4PcDgDsPxbrFprkxS1h0iZvLZ2WT7OSV&#10;4AGQFz2PXjj2qgB7y2Wfy5ZFUsvI2txg4z05/oetNGv286yG32+WhHyrlfwPGSDu54/nVK70+/M2&#10;JYzuPDbUZiDjuAD/AIcfjT9Mk1R3IMTf3FbytxHy8KSBnv3BzVWQG54Z+IPivwQwufCGt3GlM8ZW&#10;RbO6kijZT1DBGVWHs24HhiOCK+jPiFoOh+JP2f7G01/9mKx0zXL6zhntLnwP4dnt7GyheMmCUug8&#10;stuESvFlgQeuVUj5p0+2mvL5V1O3ktrObiZpbUyFQf4gpYFiDjIyARnuBXpHhv4zaXounWv9sfFN&#10;fMFuqt9gv9cL2uF6D/SVjPORhRtHVfbOpFuzj0NISiviPO73wVrui+cusRXdjDDJ5Ukl7b7T5hyA&#10;uMDk88c5x065qX1lZWVu0q6l5kjMSkIxsZNvI4B49yemPXNezeO/2g3k8D32iaJ8ZrLVP7TsZbe5&#10;s5DrnmNG64ZDJcXxhDYJAYxunA3AV4fD4am1KfbbaxC2WyojuFYj6kN1xkfT9dKfNb3iZcqejM6O&#10;wtZbhkln2rv+WaSHjnHHXGMe+MdxzVq3091EkMNwm5stuXKk569O+Pw9D2q5N4D1yD95Le2cccZK&#10;md7peOG64Ocfd9+e/wA1OtNPNpZrsu7eaRWCojSIuAOOMt+XcjPI7ac0ehJnro+r26LJp5hy/wAv&#10;7/KlvZcY+b0zwe/WtNrfV7OGO2lv5pWgiJZtx+Vuc8E8DsD6AfikyXh3BVRhHJhWEicZG3j279/6&#10;1JbwXdxCJprtflYZAvB19lzkEDH4jtWcu4EcHmWl0DdT7WVeFbdluCABjPr+HfGcVoKN8SxsylmP&#10;ybVJLfLk+3v04/QV7e0uZ3ka6vVjCtn99cFR1Kk4Y9P8atWq3EEsj/2laLG23bi4Tbj05PHpz+XN&#10;SwJJVk3PKJt0nzMXGMn/ADnrjvzTkvbm7UzPcuMcjdyGI47e/uMcAg5oE9zNG04vbdQV+ZVmj/D/&#10;ADxz9Aakju/MQwGa3Pm/89nCs3r39+n+NZgdBaahceKfDi6NczZ1HSctp7M2FubP5maAccyoS0i5&#10;xlDNlv3canNa2nVMrPGcZ3MzdOCT0/z61Do9zrOlapaaroV4lrdW9wk8Nx5kZaKRW3KQGzyCM9MC&#10;tbxxptkTb+IvD9tHb6fqIx9nifctjdhR5luMnIUnLoSWzGyqXdkkIAM/ZiNk2/e4xtPr1yB/WoxL&#10;bWU/noPvHLDb6gZ/U0Wcksrkyy8L/dxt5P8AiPr+BqSWyUMGvPs8e6T5JpGRfTJJJ/Lrj9KAJrS9&#10;e5TbPax5HA46g856/wCf0rHuNQjhvZlMJUNIdrRXB5XJ4zyBz1x2/XW0iBGt2mWNfK5CoGBY4OP7&#10;xyePy9Kydd0WwLTSyatHncD5PysUPAO75hg59+/4VUSoli01aymkZGEq44XMgYMPTHHufw7dafHO&#10;bi8mvLZY/lCpIkYK7QCq/dUYxj0HXPXNU7K2DbLc3yL/ALTbE+Y9+vTnOev1q4lgtjKy29/HIVJS&#10;Ro5UIEZ5IzjkYHboF7VIcpS06WJrZJGlPl7PmEijr0Hy859RwP1rFL6ozjc0ySCPoISO2cEAZ5/D&#10;g9OTWo8P2aNQ2o2/lnhlkmX5h3IGeR0PqeB9coWGq3Nxvtik8YUBW+0IAflzgAsOAeox2zk5xTiW&#10;Pgv9SgkbdF5efut5WSoPUZx0+v8AQU2fU75bSaKNJpC0beWzLlgNueuPUf5xUcGj6hL8kUEKN04n&#10;XI5zwdxz/n0II1rfQRkboIOoWRrpB83Ufj+Z9cYwHoXFLqcZ+2PMYvhZZWxIY/8ACUQBhyMD7NdH&#10;0HUg89cjtXzRLPtfy5JpDuXkbsjpnHA+n/16+nP2o9JvNV+FFmIrbbI3iKFkVb6NcqIJ+jb+OvTt&#10;npzXznceF9etpvsv2CzRVPyq2sWm5j6nMozx6Z6VtTa5TJoz2MrtvSduRlfLk/UY/D3qW1aOdcCc&#10;7lf5d8owx7jnP+e4qdvC2qw7nvYI429ft1uysfQkOfocE/1qe2069lC27XFj9393uv4OOgPV8rzj&#10;k4P61XMSfZf/AASjv9Q1D9qb4N3Mg8uGwt9Z0hZFZTvC2etXu07cgYN2DgnPII4OK6n/AIK8Xt9r&#10;nhL9nm/kEkcNp8J45ZFY/Kkl1Ha7V69T9mbt/CPYVgf8EmfDmqaJ8Qvh34nvri2kj/4XB4nto47e&#10;VZNqr4Y0wfeV2ySbx+nAC5OB19j/AOCvXwkt9D+CHw98SWl1btb6Lp+g+H7GG6kRd4NnqL7yXYbd&#10;ot1+994uccqRXrR/5FtT5focH/Mwp/11Z8tfB29SD4Q6TL8gf+1L7zVLNxhkIJ56Fdv6HvXqXh7W&#10;AulRwM0eeW8vycbMHH3j6+/ToK8h+BGnRwfDmSeTUIEkbxFdhl86L92v2ez9GwO2Oh5zkDGfVvDE&#10;bNo0ZWWHKlysitGNoDEZ3AjP8yD6GvCWx6kviZtyTbY9ktyN/IbrjAzx19PfvUX2i4ktpEfakPmb&#10;XO7cGxg7mBG3jqAehGR0pkgCutvIkTOyja/nL7Zyf/1ZwcVDM17HK0KJbY3cFJoztGBw2G6//W75&#10;FMk+c/2w9O8AXvxLX7ROPD17ceH4ZvtEizXFnclROCGKh5rd8RxogCzI7y5ZrdVLnxrxX4S8T+Dd&#10;STSvEFl5KyJJJZzw3EdxbXcSyvCZreeF3iuIvMikQSwu0ZaNgGJFezftj6Ze6j8RNMe0ks1MegRp&#10;L5moQxMjGeZhhWYE8HPAIz7givN/Dy+L/C6Po0Gs6ReaXdXCS3mh6lJFLazMEZN5j3nbKI3kVZ0K&#10;zRiRikkZOavoByMTSQTB7e3Ds2dwlt0cFcdfmUj+vPNSRyGSdo7mO0jZW+UtanO7PIOwYA784H15&#10;rv8AU/h74J8VWfnaDqUHhvVWYD+xb7WLWSxlf5B/o9wZN1vlnciO6IWOOL5rqR22nmtZ+F3irwxd&#10;/wBn63crp1w9rHOsOoaxBDI0Mq74pVHm/MjowKsBh1IZcggl3Ao2ek3OqMY7bUtPWUrhvPadeRxk&#10;fuyOo5yQPTvhtx4J1bSdObUIvFmksqgLJbW+oK0hzjjYAWbPHbipP+EU8Rq2IfFVhgkf6zW7YhQP&#10;Yy+3So18PeMJv9Kn1XToyNoXdr9mNuT/ANdP/wBfvxSAppZzxloppYtyn75YLu/76HP4AUVafwH4&#10;tyGk1HSHbaFLJ4js+3Qf60UUXA63UdG1ltXuPFt5dx3moX87XN7d3F9NPLLNIS7tLJtBdySSzEsS&#10;ep5yfSP2Uo9Vufivp0pgtwJoLpZLiIzuv+oY4JZ9vJA6Y6k9BxYttGs7iGG90+/axmhUZkUbAWGP&#10;myFBzjnnvgZrv/2b/CVzd/GKx1a41CK5/wBFvN0m5N7SGFzubBzz6EAHrUc2pr7M9evNOsYl3ajq&#10;TSOi5RhZqT7Ekk88c0JbaeFWXzJpPLYrtaEEY9OF469Ce1dcfA0cFwv262kSZW3BeQG5HPXnr/nt&#10;aj8IWkUTWdpp7beTuUEd+g3Aj07HHr1pcwvZnA+IZlj0XfZ29wuxizMtw/TBzxjA/EH6nrXkvx9u&#10;tRb4XwXIF4mfFdqu5J2YIPsl1nOCP8/Xn6E17wbZWelM91v3ecu5WO75sYyNqdOcduepPNeefFm1&#10;0nTvh+q6pbySLJ4ggHlNb+Zj/RrgjhlA6k4HHGe2RSbHGLUtT2v/AIIheErl/h58RNbvdYvGg1Lx&#10;Dpdstr5/+qktIp7neMg/6zeiN6qnGOtfPH7RLXN5/wAEwIb+7aVZrj9oC1uJjNu3+a3hy53E7iSW&#10;PQ5J9epNfW//AAR5j05PA3jgWVssccnia2kWOOEIu77HMT0OPuqO55r57+N+haXqv/BPHTLa201n&#10;hb4625khmIyW/wCEdugCwLY6MnA79ute5zcuFg/7rPMt+/q/4onwKI725RfnjVgzAKxAb1yBx+ee&#10;e+KtwvqNuhgUCRd4eRcnJ9O49PTjJ9q9FudE0wRfZ/8AhH2X5yMrp6NnA6HCgnHru5+tUz4M/cPM&#10;brUIhnG6108D5s/KT+8x0Ofw68V43MelyPocQqapes0dtGIyCN7LIF2k+/5/4V9I/s82V5p/wa02&#10;W5wfPnuWVhyVU3Eg4PGBkfnj6V5Jc+FrBDtinupFU7m82NdwI7sfm7H9a+ifgd4dhj+BuhxL5cqy&#10;fank2tkg/bJscEccD35x7GlKXulKmRrbGd4wEbbyMrJ8rcZ9Mdf/AK9Q3GkSecxW4Zh95l28qOnT&#10;np68Cuq/sm7uCI47fcTg7s474x65I/PmppNNfzf3hXG45Xklfb8wfas1JkuMr6HMRaeI92JWkT+F&#10;c89j2xzj0qeETWh+e7Zd0TKkaySM24Dj6DPv0z7VtTaDBe/6lMMwIKo3JOeTk98/5wM0618LWwjk&#10;WW4mXcMLuiUlcZzzkZGPXHuPWronlkYlhbK0IhMl0xZs+ZHCWH4gkc8//qwcTiwEMCl7GQsy7ZNt&#10;uMnjp1Pt1GMY+lbSaDeWcP8Ax8NJuGJN+Bnr79iDz+lO/wCEemJZ5W2oFyzLIo/E85/Q1RNmN0C2&#10;DWk2I8FpFA3fLt4wOO3JH4DjrVY2FhDcxtiQs3DfORt+bHYcf4LXZ+D9B06bT5/tk+3ZN96NT93A&#10;AOT2+vrWfdeEWiniisdN3bGLLuYZ6g4+vU+238KLlOLRhwGSwPkqN23gqfurnk8ds5z9ajluprw+&#10;Q+l246Hcy7z64546jrj8xV660zULa7MGzcW5DCQfMO/Uhvfkc0DT7lDJiKH5MGRXC/5x056cH0qX&#10;cz94zbiRrn5bi2tjHuHlt5KDbx3GOOPzx2rWjn/4R3wnNe2dhi/16OSGzZYNrx2AZlnlViBzJJG8&#10;IKk/LHcKwAZc2vC/hBfFutW+lT6hJa2rsWurxW3fZYFG+WXaSC5RAzBQfmIwOTV7xFbeHtTvpLqK&#10;0W33tizRrhX+z28e1IozgDcVQIu8gMxUk5JJKsCR5v5c8cyxxwMrFf4eg5Jz0PXI+nr3qW51K/tE&#10;EcdurSNna8hJx/u/n+R6jvu6hD/ZkbSW+pcbsbVb5u/X8v8AIqjDc6OVae91t0uGX5UWBvlOc4LY&#10;5HH070iTCkmug7C4tNqyNtb58jPqCM9unb1PpXmR3YeXH91WVWkGCO5PGSeBkn0z0Fb93e6VLARI&#10;quythflxzkHgH9f84j8PeKvEPhbVW1jwr4nvtPu2t5bc3mn3bwsYnUqy7l7EE9+D6EDABz1/G+lz&#10;zLc3aiRcGQGRtynPRsgkHPtxjtmqUt/MmViuGd5MCMqxUHqAR6/pxjpXQSLaCdrrUy0sszGSe4n3&#10;M7Nk5Ynu2O5JJ/WhL+3tiwtYvlboyqPmOfbrVcwHPjUNYgg3QRxhs7l/0NJlBGOSXBwfx9DUnnX9&#10;2irqV3uMe5F+Xb15PC9QeO3TnucaE17dXAwsPlMT80i/IE4x9CePxx0zWbJaSTz5N/JNJwOYV2hh&#10;jJGWA7kYPH8y0wKOoLax27SrbM3l4+ZY9u1sfX8/5c8x2oZdxs7OcjzOjQscM3ygkDj/AOtV6VhY&#10;3DQpLIq/wg7lyM913H1Pcg5+tOske1Us0e5P+WjSc44xn2OMcj0q/eYGcvnMqAw+W5VSoIyQ3XGM&#10;+vHb8ukK3BdFt/OyoHBX7y98/mPy/IW1aS4m+z3FnwAC6svT3BHr096mtvsTWnkvJI8qvuX92Ch5&#10;z1PJPb0+nQ0pWAolmtBIchWZuzYX8x09RUsE2pGOOAXUkuAdu1jtLAY7HGP1xnqcVZk0ZCym3n2n&#10;aAyKOo2nlW7DOOO/qBTmtha2q25+b5vmZs9MDgk5yQP6ChzAbmRIWQzyRhjiFBJtyOevOPTPTB/G&#10;rC6dHFCLl79TJnaUPLKv9ScHHbjHeqrzxy7ZbdflVtrOGzn2HGPT8asWlnYXpMc9yzs75+VWOOBt&#10;BzzjIHXAqeYAhMkiCPzoXwF8w7j0OcY46nB64Pyk981J50ttHJIJItnlkSbk3bPlOTxjnA7c+/NX&#10;Ljw/FbSR3EeqwMWXO1JDu7888bR83Jx/MHZ0rVF8G6Jq1u/h/RL651LTjBHd6h5kn2FjncY8MsZd&#10;sgFnVtuFKFTnM3A55LgzwrdxnzN33gJFYdcZ9+Mj9cejnd2izK69D95d3vux04+pqnpxX7PGiXDv&#10;KV/ebwMEE8Zzgknv6n61bl+1JMIp4d8jfMymMkr+GSM49B0oGXLOVLiMXe/a7EjG4nOT09OCOg5I&#10;qyojiJZLfaeu3aTnnr0//X9KYsk+PNMGF8tXUQqFUcAZwOAQOPelgEc0gR4lBaTGHXGenBx7VmIt&#10;AZYGaflaXEDkPJbMqjspznHAb29/w6V0XhPUNHjnl8N+IL7ydL1eNYNQm8neLR9x8q8VSMGSJiTg&#10;EM0ZkjDL5jMM3TvKU/6MI4w33RMF5xkjrkAj257ZrQEGnDfHe27fMgO6JgX+np0755PUHmgDJ1TQ&#10;rzw7rF1o2pL5c1u/lL+83KyjBV0bkOjrh1ZThlKkEgioVjgO1hEp5wVXoDkAEge4/EV291a2Xjvw&#10;2qwpIdY0O0aRlkhBk1CyRS5JYvlngUMx4JMAJyq2+DycOnKZWMs0m7cfuqOOm7PPoPTgUDJdH015&#10;7RWhnwxXdlY+Dzx159etYOu6Yl9fvvcrM0xUFBxwuMg9ew7V02jaXNNbxvDdeTHz+5VQQ2RyMjp/&#10;P86oatpUEd68120jE/dKyEDJ7dP5kdwKBxMrTbWC4Ef+jzbR975846DHHc++eR3FTWoSKeRodPkC&#10;sOA0yhmyM8YXpjp7fXFX/wCzpbct/pTMGbLHc3zLj3PJ59cZ781Zs4NMvbhbOSbfu4kZfl6Ak9Bj&#10;1/MdMZoGcrfvFcXDs0Qk5wwf5Tx3B459weg+lQzWRiysp8yTbu+eP+EEY246d+eMfy6+88EqhI0u&#10;dl7BpmDY4POAOnXtxWU/hbVWnit3jGFyPNZmxyOcnHI/MYz6UyrsyLae1KLFZSebjh1XJwCMn8zj&#10;t+WKlMkAtmeV4oFYFlMkeR046A559Bn6VuTeD8wKv2+FhEuWVPM2HBx7ZP4YP480dS8KtcKrmFzI&#10;Fb5Y492cnt1GMjnINIR53+1KI7P4YWKDRreZf+EkhG3ykO8eTcdcg8EgdR64NfPt/d2zShbvwtHb&#10;99sW4emMEY49cfTmvpP9qbRLt/hRp8EETbT4jgVWkTadot7n8cZx2FfPT295aHFrJuZc/K1uPx5H&#10;p64H4jpUTSK5omaNNmaRYtKt7iBG5It7iRc9gOWP4fp60kelXReSy1nUNQwq48uIrOU7c7n4PXI6&#10;j1rd0u/1+zl+0RJvdmH7yezMgQ56qTkK3Hb9ccdNpCtqlpJYXGi2ck3LoYxIFHy88qRjLZ+VRzn6&#10;YrmYez7n0N/wSasbCD4oeAPCtrdSR/8AFyNe1by2tVjkPmaFaxAkr2B07G3nGW5G4V7p/wAFhNRT&#10;xD8EvBdiZbeO1ul8P3ySKqKWb7LqagbiPu7XY7c4zjuSa87/AOCX2nQy/Hf4dahFp8aRprGrQzMm&#10;AfOGnXbF+eSNssac5Py5z6egf8FK7Ka28C/CuOZY5LePwZpIe3mkZQ0nkXID/L3GSOwG7qK9qn/y&#10;K6n9djzZRtmFP5/qfKfwJ8FW154Ha1trm4bPie5KlYwPv2tl2Gfl+X9Qc167pnhfTYLC2hmtru2+&#10;8PmhymM8fePHH4CsH4JWEN94QaGLTopZ08RXTG3to2ySbayA+8mM5X1IxjmvUdKsL+ztEjurNoQu&#10;R5MkLh+pO4YHPXH9ex8OMrxTPSlF8zOTl0CSALtul8ot994jhueTntgA/THpVJrHU0nJtL0xqrfL&#10;MkbcjHUccn/CvSJYZY3W5tDmRlAYNIeFxjuR0HOT/jUF1DbTpJF/Z1qZG4jkaHcTz1+v45H54FIU&#10;o8qPjv8Aap0Se/8AifC76zHbyLo0O2W6k2KymSRgVwMnq3bA4HOa87h8M6l5f2ex1exnZm2MbW6c&#10;dBwG3IuT34JHHOMivor9ovwLpetfEqCTVmtP3uhp5MvmZUfvJVxhTuA9xwv93kmuFl+Ff2YCeW7s&#10;ZrRFO6WzuleSVsjgF/mxyfwHbiqBR2PKT8P/ABXOGhi0LUJF2glkVmQ5HPJGPw9/Sr1qvxA0PQIf&#10;DGt6Lcanoscsksej6tC01tDLIV3vEUYSWrMY4t7QvE0ohjVy6jbXoE/gS3kH2hIPs7L8yM8zDIz3&#10;BYLu9ee2O/B/wgF5bqxXxpawsu5JPtUzxkg4O0D5g3XgEjPXtQNwPOYPhpba9HJ/wjNjcedGzH+x&#10;9WmCXLKfMIEUihFuWVUQY2xSM8ypHC/LVi6r4XstLnawuNMurW+tZmgvLa7wpjkVsNGykAowIIII&#10;yDwcYwfYW8Ly+bsOp+ZHj5ZEL9unykfL29uR176v9pW+oRQ2PxN8LR+ILFVSG3mmuhBf20a7ABb3&#10;YEhUBEZFSYTQJvdvJ34YF2Cjbc8Dj8PvJGrJKUG3/lm27d8x568UV7lqf7Pena3Kt/8ADzxxptzG&#10;yg3Njr2rWejXdocADeLucQzKSH2tBNKxVA0qQM6x0UcxXLA//9lQSwMEFAAAAAgAh07iQFe7fYG0&#10;6AEAoOgBABUAAABkcnMvbWVkaWEvaW1hZ2UxLmpwZWcAAID/f//Y/+AAEEpGSUYAAQEBANwA3AAA&#10;/9sAQwACAQEBAQECAQEBAgICAgIEAwICAgIFBAQDBAYFBgYGBQYGBgcJCAYHCQcGBggLCAkKCgoK&#10;CgYICwwLCgwJCgoK/9sAQwECAgICAgIFAwMFCgcGBwoKCgoKCgoKCgoKCgoKCgoKCgoKCgoKCgoK&#10;CgoKCgoKCgoKCgoKCgoKCgoKCgoKCgoK/8AAEQgBwQJ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Wa/8MRzx+ZGnzVQh8Pqr+U6V6Eui+U/&#10;2eQfLVW98NvBJ5iL8tfQQxDtY+blRfQ8+1DwtGhyI6z5/DoHG2vS7zw/vg3hM/zrKuPD/wDscV00&#10;8V3M5UXynm914eXk7M1n3Xh8OuPKK49q9C1LQnTlUrJu9JZfvLXbDEdUcMsOjz+80EKeV5rNudKI&#10;6LXfX+lIcgx/SsO+0o5OF5r0qNa5wYjD9jjJ9MA3AL3rNvLEociutvdPIyQKy72xBXBSvTozPMqU&#10;3Y5mS03N6VTn05g5K10FxY/PlR/9elh0pmGZBx3r0YOJxtOJzsWjBjulT8fSm3tlkbI6278xWw2i&#10;Jtu4D5VJwScdv59up4qm8LSNtC5r0KekTmrK+pgz2TgbQMmm/wBlmBPOlHWugaygtl8yflv7tZV0&#10;lzdzbFU4zxWsanNsYUakJSOevLZ5H5WqdxZFTkiukurWG0XzJWy3asi4HmuS1OdQ3cDMNtngkVDN&#10;b5+8taEsAPtULIy/fGRWakQZ72o/hqN7cjgCtCSDHKjNRmBh3x/wGm3YDPe2qMWeTmtI22ecUC1x&#10;1qHLQ2UjN+xDPShrRQKvvDt7VFIABwKydzYzZLbGTVeWLA4q9cc8Cqci9sUIClNHk5IqCSEdhV2R&#10;RuwRUEi7TxTApSW/HSoJIPVa0HTPIqCROeKrmZL0KL2uTnFQSW+D0q+yletRTIG6ij2jQRM+SAlq&#10;heDjCir0seDjNQyKQc0+Y1Rnywd6rSxY7VozLz0qtNH7UrpjM6S3U/w1C1vjtV9044qCRDmjmYtC&#10;m0WOKidOKuPHnioJk2rmqHaxTkQjkCoypPU1Yk6VGy45FAFeRdwqMp2AqwwVTzUbAgFiKA3K7rgc&#10;VDIC3BNTvjHSopF5yKAK8q1DInvVlwM9KikXjpVIllZkz3pjR5qwR6io3BxiqJK7oR0qGSM9SKtE&#10;Z4NRup6EUAVSnpUbx89KtMuajkQ46VaZaZX2AdRUToSMD/8AVVhhkUwoO4pjIWU+lNZQalYYPFJ5&#10;e5eKAISvPFAj7mpAgHWlCDFVzO1gsRFCabj2qZhjpUb561IEO3rxigcVIelNwQOtBNhjdcbaUgHq&#10;KUDHUUjLnvQRK4xlx3pBkU4qegFCDHJoITsRlPlqORAnAPWpmXBxmopgd2aq1zWMu4x8kYFQu4Xg&#10;ipGbjIqF/mbNHKPqDsX4FFIRkcUVQH9KNz4OS4gVkKq456VVl8Hzzx7JIl4/Wuqor+fY1pxP1p4a&#10;mzi4/CFyS8DQc/wisy+8Lyxlo5Y/zr0eo5ra3uBiaFW+oqliJdSXhY20PHNU8NkZ2pWDqHh9wp3R&#10;/jiva9X8J290jNbLzj7tcrrfhSWDKvH+Yruo4rmOGtg2eP6no7I33awtQ0sj7q816frPh4xk4Tj+&#10;VctqejHDfLXtYfErZnl1sPY88vbDk5Wsu50zd/B1ruL7RiT8q96x7rS2jb5xXtUavNseRXo8quck&#10;+klfmZRgVUu4iDtReK6q6sGIwI6zLq1itmLSj8K9jDScloeXWhzR0Oan08k7yOPeqdwYYMrCu5vU&#10;VvX8ct5wF2LWbPDaWIJPLV7FF8tNOR5lTmtytXMk6dcz/vbjj61Tvp7Wz3JFjd0zVrVdUmc7F+77&#10;VjXUbS/MTVcyeiMo0WtWZl9K88hbNVXiPQ1engZWyRULQk9qtrmNim0ftUTRA8Yq/wDZpAcYppti&#10;P4VqeTsZPXoZxtTnIoNt3NXzGvdP0qGYRp0pcsu4RlYpmMDgCo5VGM1NNLnhRVaVmztNTyuxRBO+&#10;2qj8nBqzJ/ezUJQt8xo5WbRKsqg1VnQg5q/LFxuzVd48nBqWrFFKRagePnmrssRB4FQOnqKAKki7&#10;e1RvGcZFWZBxzUEhPQmp1HYqvHUMq+lWpPaq75IpWYuUqyrmomGRzViRSOtROADxT5WVZlSVfWq8&#10;q4NXJh61WlXFNRbApSLxxUEg55FWpl71XkBPWqcSiBh3AqCWMtxmrTDsRUTqTTiaLYqPCvWoZI9v&#10;IFXWUHtUTofSqFYoum5sU2SPK4q1IhqBhg8UAkVHiI+7UTjBxirjjHSonTIwRQLlKrrjkVDKuOat&#10;SR8dOarygirM3fqV3B60xl3VK4ycU1lPWmSQMuRnFMIzUkgxUdVylcpGyjuKjfpUz9ahbJ5zQkCR&#10;C4GM00jNSuB2FM8v3qiiF0OaFQ9MVIVIPSjnNAEZHtTCfapX6dKjdec4oAY/TrUZOThhUpHY03yx&#10;nkUCIwPmwRQUxzUhT0FMIzxTIlKSYwrnmmuCD0qQ46GmkZXAp2YnLmI8EDNFOP3eaaelHKQRue4F&#10;RyNuUYGakc55JxUJ4yyt/wDWqjSFiN84xio2YHtUh5ODUb5BzQV1I8MTwaKHJ6CigD+nKiiiv53P&#10;2IKKKKACo7m0gu4jFNGCPp0qSigDjfEfhJ0LOiZX1rjNa8M7AxEdeyOiyLsdcg9jWF4h8KJeIZLR&#10;R05Wu/D4rllaRx1sOmro8O1TSmiDBYPm6Vz1xo8qtulBr1HxDoptSxeP7vNcdrT28YK7ea+pweIj&#10;GJ8vjMPLmtY4zUoSg2Rr9a5/UYLeIsznc2K6LWnuHY7V49q5rVYZmQrg172HxCj8J5dXDyUdTB1S&#10;8JBwPyrn71pJXORXRXVmWbLCs26ssfMVr1KdZy3Zw1KaOfurctzVOSDHBFbU9r6VRnt+fmrsjY45&#10;R5dzLe2yNuM1VktNh+U1pSYUGqtwNx+Vq6Y7GbRVICn5qhlmjRcbamlHHzCqtwuBTMpScWQzyOy8&#10;CqkqM/3T+FW6hlUq3H1o2MiiQR1FMlQtyoq3JDnlR+FQmNgaBlMx8YxTPKx1q40G45JFMaMdMdDU&#10;+hvEoyJkEKKryQ/3uO9X5AM5qpN7D86iXc0Ks6AoMGqsykHBFXZEOMN64qo6A5zStrqBTlBOcCoJ&#10;OTirsilxj0qrMmOKOUpMqyAg1FICORViQc81E69qLOwS97QqycjBqGRPSrUqZqB+nWkgj8JWdc9B&#10;VaUc4NXJFHXFV5QM4qyilMKqshJyKuyoOlQGIde9DArlCOTUMikHNWnUj6VDIveszQruOMio5M+l&#10;TEEdRUco7CrQFeUZ4AqGSPParTJuGahkAA6UwKrpx0qMqWFTOG6VGw2jOarlAgkAHGKgmUdxVmTa&#10;TiopE4zVCKUikc0w9Knl3E8ionHcCgx6leQd6iZSOcVYKnkUzYAK0LK7KDTGj9qsOp64plAFdlJG&#10;MU0rjpVgoeuKaVHQimBAUOKYw44FTPxyKjbrjFVpuBGwyOlMKntUrLz0ppUjqagCFlLdKMDHIqTY&#10;tNb5eBQBGfQGmP14FPY5PNMIA6VaM6mw1uOaYxwMmnOecZpp6VSVzMY+c8mmOSTT2XHNMYADGav2&#10;YDT05FQuR1H5VJIm4dajJQHAFZlRlZkZJzkio356VI/TNRsRjig06kZwGBIoolLFuRRWliT+nKim&#10;QzJMm9HUj2p9fzmfsid9UFFFFABRRRQAUjrvUqe9LRQBw/i7Q2idvMB57+teeeIdHgicjbmva/EN&#10;hBe2R81trL9015t4o0pQxw1epg8Q9mebiqMeU8u1ixRW4Sub1W1UZwlegazYnBI7VyeqW+Nwdetf&#10;T4StzHz9aJxd/b5PFZV5bE9q6bUrTYc1jXsHO4LXu0anU8OtH3jnbqA7icVnXVu4bp+Nb91Bg9Kz&#10;7qJs4I+lenCocNTzOfurdicHpVGWAoeDW5dxZGcdaz54TnI6V206hyuKWhnSR54NVZYcHvWhOoA4&#10;FV5FJbNbxd0S13M6aIIcg1DIoZelXp4Qw6VUdWQ4q+hjJWehWzVeRwW3VYZTyCKqyAg4o5SRruT0&#10;FQu5JyKmqN0+YkCptY2iyF8EZqvKpI4HSrEoKmoWbJ6UcuhsivIueGWqs8IxkGrsoxxioJEqZIDP&#10;kAC4NQyLgZNW7hBgnFVpBuGPzqbAU5FBJGKhkGO1WHUg9KjkA3Un3LK0i1A6Z5q046ioXHNJ6bDK&#10;kqkVA6fLk1bkWoJFAFUBSmXHaoHBD8VblU45FQSkCTjpQNFeVQ3BqF4yDVhyD0qF881mWV5Aecio&#10;JTirMi5FV5gQfWqiBCSaifkZxUtRyd8CtOUCGRSeahuAdm0CpnqOQZWqFLYqjg8imSsQMYqZ1xzU&#10;MgJqoxuZR5uhWPPamlD2qVk55pCnFVYormPuDTGTPerJGRioXTB4oAhZexqMg9CKnZc0x14xWkfd&#10;0ZMtrkLLjmmP92pSOxFMZcU37xnzELKMVEyknIqwyelMKg1ElylKfch2t6UhFSEY4IprA4wBUmhD&#10;IMdBUf1FTPmo3HOcVS6ESlYhcEHrTCOelSlfQUjKO9UZtkBTJ4pCMcVK2DzUbjHatKYiNl561G+D&#10;wamYcVG3HWtAIpc7cLUDdNuKsHFQyEl+RWG4ETcHGaY3HT1zUj1HJzzVwj1AZKCcP+FFKcH5TRVc&#10;pXMf0jaF4lEQCucrXR2d7b3Ue+F8+3pXkema6VwCfmrpNF8SSQuCspFfz/Uw0j9RoYpKyR34ORkU&#10;Vmab4hs7xQskmxsVorIrDKnP+7XHKMo7npRqRkrodRQGB6GipLCiiigCK9jSa2aN1yMV554msVZ2&#10;BzXca7qK29sUicbu9cXrF8kuVzz712YX3Xdnn4qom7I4vWNLI3fNxXI63pzqGO2u31S4R9wIwa5j&#10;Wd208Z5r3sLOUZHh11rY4nUoG2ncvT2rDv4cHmus1IKGbcud1c/qhjAYba+hoy2PFxEOVnO3UQxk&#10;Csu9iJ+c1t3QG/gVm3sS4IJ7169M8utsYd3BgYz9KoyxZrZuIf7461n3UBV84rupS6HI/e0Zk3MW&#10;OQO9VHXBwRWldpzwKpTR89K7ofCQU5Uweaq3EXHStCROMVVmTHJqiZ7FB1DjBqrJCc9K0ZoAfmWq&#10;8qblyBVJ22MTOYYNNYEjrU0sfNRVUo9SofEQyx55NV2UA1amOBnHaqzjIqUdESJ1I61FIgxU7Akf&#10;WoZBleRUlFSVARuqnMuG4FX50AXj61VnT+LPWgZTmXB31XcdwatSj5dtV3UDnFZssruKhdf4asSD&#10;g4qFxUvzAryRkc1DMnHFWWz6VEyr0NTew7FCZTnFVpkIJAFXpowDuFV3OW6ValcfKVTHxnFRSDir&#10;LkN1qvLxSkUV2OBzVeYZ4qxKOCKhk6URAqt1qOXjPNSsMNjNQSnLdK2Jk7Ihk3HrUZBHWppQcZqJ&#10;uuapIz3InGTio2T1FWCoPaonBxVLyKIHUZximMMHpUrLu5zTWXsRWnL3J5iCTOaibnrVh48/xfX6&#10;VE8LBdwOav5EXZCVI7UxjntU1NZAeKVybkJGaj2n0qw0JHQ0xkI60biIGTuKYwyOlTsoI4FMZc8G&#10;lJdwK7DI5pjqcYqZo8HAprr2qOVjuV2UZwRUZUEYIqZ1I7U0nAziqEQ7B61G+M8VM3TpUTL3oAif&#10;I4pjnjmnvUbt2xW0bW0DmRHuFNJJOacSM4xTSO+KUtieYjfJqGTAPANWGU9RTXzjIFEdATKr+tMf&#10;7tTSoTz61ER2IqyiNww6UU4oT3ooA/eKy1QNtO+tqw1ooQDn864G21DB5bFalnqxTG9+1fjdTCtH&#10;3Eajiz0Ww8QlcbZK3dK8XzQkbZT9DzmvMLLWVY5WXpWnZ62yjlq454Xujqp4q2qZ67YeLLK42pOu&#10;0/3hV06tpysqGf73SvJ7TxEUlH7z8q0v+EjLLuaQ1wywWuh6FPGysekTapZ2xw0vWq8/iWzjU+Ud&#10;zCuJbxILm3yZfmQcfN2qo+uqV3q/zD3rP6oafWqhtaxq/wBpdpQcZbpXNaxfKyfew3So7/WdyeYj&#10;1iX+oecOvNdVKizjqVoxIdSvG2kk8Vg6leqVJ3duPereoXhAKsaw9SmDISDXsYelqeVUm5alG/uG&#10;O4kVg3uZGJIrSu52BOWrOuLhSTmvcoxPIrT5mZF7CcEisu6iYn71bd5JE3yqKyrwYfIHFerR2PPr&#10;bGbOnGD2qpPHvTpV+4GDn3qrIM967InGZNxEB8pFULiLJNa94v7zC1n3adxXfTfukme6EcEVXuEJ&#10;U1dlTPNVnGetaES1KLgnkVXeMqc44q7IuGLGoZV4zTFGBQmiBHSqs0e1sitB17Gqs6D0ouy7FKUb&#10;hgVC6Y4xV2WEYyOtQvGR2pGkSoyFVxioJAeflq46nGKryDLbaVxlOY5DA+lU5wfvVenBZeB1qo67&#10;lxnFLmKKb55yagkBAq1KoztqvKvFZPcoruveomUZ6VLJ0qE/eJJoGiA5Y5FRPmpmyByajlPGKiRZ&#10;Vn9apyHqTVyfkYNU5TnNVTAhkfaMVXkyTmp5RmoicDNOW4Fd+ahcAAk1YdQOaikTjiqjLoBUkZCc&#10;rUJyTipJ4WRutR5INamMpdyN8dhUbLxnbUzjjJpuAe1VEIkDLtrC8ZeP/CfgazluvEGqRpJHGrC1&#10;WVBI2/f5f3mVUDmN1VnZULLt3Z4q9411C40XSEFvM0NxeNstfLjDzN8wUmNCDuOTjJVgD/DI22J+&#10;B8XeGVli0fxF47vbeOa8t7iDbdKqraybFMLB5QwLEJEwctLhf4XVWMXDi8dKj7tLV/kdFOnGWstv&#10;zMG4/bI0YancW2k/DLU9Ws45AIbrS7gvJtIyokjMI2OwyQFZxgcEg5G1aftEvFePf+NPhF4k8M6D&#10;MU/svVtYsZVa5Ds3lt5flgAFEdvld87Tt3gEjxLXr7SbXXbzW5NK1a4mvLa1vIbK3kkEVjYGGK4w&#10;Jo5me3XzpRueMSRbLcIAqtiuRsPHnjS81DT9Y8Xa7qN1pPnyy/2atzD5bEGNmZFgxkxlRhmypdMO&#10;rFCo8f8AtTGQlzc99drKx6McHQnG3Lb56n23aXWn6rZx6npN/DdW0u7yri3lV0fDFTggkHDAg+hB&#10;HanbGHfFfKfw/wDiVr3h+Zdc8M3Ekd99jgbUofMAjOfOCRytIwWRseY4GCBvYgj5Wr3D4f8A7Qnh&#10;/wAUBbHxZFb6TdCPP2r7SDayhY0JfeceXubzNqksAqDLljtr3sJmtGtFKej/AAPOrYOpS+HU7qWI&#10;kZ61CY2Har0sDxuUkQqwOGBFRtCCcgV625x8yKrR4HFNKg8GrDxHoRULREHAqHDsToyu67TxUbLn&#10;kVZdMg8VAVKnBFTuBC6HPSo3UnkVYfrUbJjkUeQFdkJOahcdqtONvaq8gyM0tQK7nHFNJx1qSQYG&#10;M1C2ScYqox6ibGSZPNQv1zU5HY1G4ycVoQREZ7UjYUbttP2nHNIcHrQBGR6io2B6qamZcdBTSuON&#10;tTsBDJGSuCar7OeBVuRGYcmoHjKniqAjK445oqQrjnNFFgufs1DfE8Fqtw6m6jbu/Oueiu8nBNWI&#10;7g4yDX5y6R9J7aR0ttqOeQ9adtrTIF+b9a5GC8IPWrUGokDlq56mHjIuNc66HXwDzWkutRuoUydf&#10;WuHXUO4NWE1NlGfMrnng77G8MV0Z29vqbI/3+KifWGik2lq5eDWW4Yymi41TzDuaSsPqeptHELud&#10;BNq6rJwflPXmqN7qYUjbJ1rFk1MMMhqhfUzja1XHB9w9umi5d6iGb5jzWXeT5bcTUdzdfPuJqvcX&#10;KEYJrup0uXY5ala5DeSjkA1m3LAFjirF1P8ALg1n3L5JAr0KMDhqPQguJNnzDmqVxKWG2p5ZMnkV&#10;QuWILAHvXoQicNSRBc/vPaqjE9SKtTZI+Xiqt0wTjNdUTnKdxy2aqTIHHNWZiH+VagccV2UfhJKk&#10;8eBiqcqYHNaEqcljVWdeMkVsBQkQ+lQMMNtq7Ko+7iq0wVh05oApzR5HFV5U3D9KuSgAd6ryIpFA&#10;FNsjgio5Ux3qw8eGztNRyR5FBoim6lRVWRQOavSJzt29qqyRjnis5lRKk0fyciqUykDge1aE6ZFU&#10;5o8dKXNoOxRmGDVeQGrE4xVeXjtUDK8nfFQMDnOKsvgGq7L3oT1CO5WlzvqKUd6mmT0qGQFuBQ0a&#10;Febmqsg5q3Oo7VWlUdcUX5QK8iEjcagdcc44qxICagk6YqpAQkYOKay46VJtO6k2nOKkCpcxM4+U&#10;d6qyRBW2g1oyKM8iq00IJ3EVvHYzmupVZAFrB8U+OLLw3dQ6PZWjX2qXAVobGFWO1C20SSFQSqlv&#10;lUAFnb5UBIOOjcw2wDzKW/uoGI3e2cHA6c4Y5ICqzFUbhtc0CS+nl8i2tJhqMx+1NH/x8XbPhEh2&#10;MZFZCrqvJZdjAFZIpFS/48ZjPZpU4b/l/wAEunHTmaJPBHhDUPHXjj7R4jvGupmMbSQtj94q9bcA&#10;EqsQU5yCQ8bBhmJ8X9r4m+F9O1jV7TX7TcsNncTvcahGp/0i58qRUEDI0jmPc4G7Y20hXG51R0v6&#10;5qF14L0aHwz4ZuI76+vI9t9etctNGYHlIdGzMGkUuGwQTJO5cZC+fMvo/iW/0H9mD9no/ESz8N2f&#10;jz4neKfD5k8C+F5ZGW00nSm3xprV28Wx2hdopFiMIEl1sk+z+XCklxa/OYzFU8PTvLV9F1f9dT0c&#10;Hhq2Kre7our6I+SPG/h5NJ+HEUviibTtI0DxAWltLhZhLLLHDNHaXcMNmqTzNdRtE8xVEuHhKyec&#10;0JKzHx3xT4zvbrXrdtI8MXs11Bbs0dtqWoBPIuPMBEsVlarMQMBAoWaI/KxK/KxP074i8KeFbnwD&#10;pvxa+IPxDkuFa+m0LRrpdIL3ep2GmRbDY6VbWMcVvb2sUsyWoKNFZ2s0refJHcCZT8/+Mrf4ii/l&#10;HhDwnb6G9xeBbqPS7WK71CS6W2lWTzJjCiRu6W9w6pbQW5UtLs3Hc1eV7SpU3f3bLyuexGlTp6qN&#10;vN7vzsefp468UjULfxDFDot1b2LtI8cdrPBb7/70hYT7trc4Xy2xuAcZwew8L+MdP8TW32J7maz1&#10;ZhGf7PmmL3FwrzBFdGEgt33CSJhtb5WlYZfaSeb8SeEfFWjapdaN44+L82i6larb3P8AZt94wuLi&#10;eTzUWTEdpFP5mVDLu+QKc5Xco3Vzniu38NPp8zJ44k1K4RDPKdd86FXWMxMQk10ROJJFTyVMcjlQ&#10;7gRjzXeksRVoaxafdXNnh6dbRr52PoP4f/GPxH4FiW20qWG60zzoy2n3TqMo8iu5iAkJjdlLEdVD&#10;u+5Cy17R4E+KfhTx7bQpaXcdrfSqv/EvmuFLSN5fmHyiD+9UAMdwAOFJKr0r4x0H4u67Y3H9l+N1&#10;1q8tIba/vJt6tFeW7rdiMeYqGNLseYPvxtuR3x8oiYt32nappmp2a6ppuqQ3Vld3Ughk3JJHMpVS&#10;SQJMglXRsEBg06clXBr6DLc6urQf/br/AEPFxmW8usl80fWToejDFQvGVrzv4F/Eo6jH/wAI54r1&#10;ySSa6meTTZ9QmMkrs0jFoWdmYk5PyqenKA/Kor0x4cGvrsLiaeKp80fmux8/WpSoz5WU3iB5zULp&#10;zjFXpE3cHtVeSLcea6DMoyIRmo/wq1JH/s1DImFyKNwK8g3ciq7g9AKtOAOlV5BhulJKxXMVnBzU&#10;e04zVh0z1qMpx60ySBxzmo3Bzmp3QnoKYy4oAgwM5xSMMdBUm31puKAI2HrUbthtoFTODnOKjKAt&#10;n8/eqSM5SvsMyKYeTxUjw/L8n/66anIwR+NLlsHNJaEMsTFSAaKmKY5oouZn61xXAB5PNWYrrPV8&#10;VkrOhHJqeObb8xNfFOkj6DmNeO5/26mF0ayUn/utUqXbBuTWbok+0NVbw9amF6WT79Y/2nJ9KkW4&#10;wuQ1Z+yGqhrR3rY+/Uhvj03frWOL3HWl+17vmWp9iaqoaJu26lqY96e5qh9qOMZqNrrAwaPY9w9o&#10;0XpLveNu+q73RBwcVVe6PRTUclx8uc1tGiT7Unnn3DrVOdst1przNjqKrT3Lh8V0U6fKY1KiHPJ2&#10;NUZucnPapJJWY8moWPOK6oxscspdSF271QunMkmau3MirxWfKdvO6tooyWhEepNRv1zUignjNRv9&#10;6uqkIibpyKryAAYqywwcZqrKSrYxWoFaVcHAFV2jyd2OavMinDVGUDHFMpGfLb5PAqu8TDgmtJ4i&#10;O1V54cnOKCjNlhOeP/1VXkQgkCr0sbKc5qEwgnBNLYLlF493U1VuIihzWlNEcYAqrNER8rD8amWp&#10;oZ0ycdKpXC881pTjPaqN0mD0rIDNuFGeaqyZ6gVeuYz1AqnIMkigCq65GahOBwasyKR1qsygN0qV&#10;8RMX7xDIOORULD1FWHB5qGQYPFVJ2ZsVZx3FVJBnjFXJwTzVeVRjOKr4tQKrDIqCVCTmrD8GoyMc&#10;VQFcgjtRUmCelJjnOalRAgkxv5qjqtxcWtq1xbWRmfois21AfV3wdi++CScKoZ2VG0I4vPuo7ZpF&#10;RpW2ruPsSfwCgsfQAk8Amur8OrptvD9oWItJbtizsypTdIAQ0zlhg7WV8klREAC2G2KvPisT7Fck&#10;X7xUIc3vPY821jRD4c05vEHiDUWl85V/cLw0zcYyhDqqYYr5YD7FcE+Y7MJc34b/AAo+Ivjq8XxN&#10;4g0i8mvNUvo4NF0C3mbzrxS53tGmJMH5iWlPUuxDMDJLd6nxL8X6UmrtdeIrhY5bdBJqU17NFGsK&#10;iMylfn+VQEWST5spHGr3Nwdpijl9Y8C/FTUvg/pLeH/AsBj+KHiZfKkutUsQz+BrGZfMG62nVydX&#10;nLs0GnurtbRN597H5jx2Nz87iMUqFofFOWy6t932R6GHwssQ3N6Qju+y7Luzxr4t+Hj8OfiN9n8d&#10;2On61q1lcRSSeGry6d9KhaZUw2rSRANdI0bRH7BGVkvVMMchgsWH9o9n8TfDXhTwr8GrX4pfFnVr&#10;/wAafEP4jRx6+2mXmvPa79NI2rq+qX1uiG2tphAI7e3t1BaCDybbZBC0tjg/Hz4VfD34F+MNM+Fn&#10;ihk8ceMtHlGrax4X1u/e70nS7m7ma5jbXZ0bzdRnkNwbiSxEwlvmuG8+aK1mDXnQeOvhH4w8KfEO&#10;2+IX7Ueqz3moatcW+uahour3kX9veN9VXaILZ0ih/wCJZp8YVBc3DR7LaNEtLK3Fx9nitfn5VnJ+&#10;1k3ro3f8I+Xdn0UaMYL2MI7apNf+TS/RGN4x+F/xA1HT9D+KXxq0KCPQYbTTpPKtNN/s5b2wgt2N&#10;h4d0TTo5oyiMm9YoVeOK2tzcahcz4Z5Ln5y8Z+EPHPi2CPw78OPBmtaPYWtxBYJ4d0XV7i8Bkn+1&#10;yRm51XyEuLiF5nvZWt9sVpHGdoiJAmP098QPhn8Uv2l7cftTfEPXZrmSPV0kv/iD4ihmt9I0nT0u&#10;REU03TVLyTwG42wW1nB+81C6ihi865YzXA83+LmseIfifpVw3wx/Z/1PwH4U1O1EF74d0KAy6zrF&#10;kgFlbrrE9rGVJliuI410+MPEZtRn3G8ecMmlJS9o6TSutlfSK3d+7+8zlKLgqqvro3bWT2Vl0X3H&#10;yL4j8J+Hvh4Lnw34g8V2+n6hbbYpvCvhnSI7iWyuVunW4tZnBENtcRooZlldXDseDtUS8tr/AIk8&#10;K2clvcaJ4J1SOzjhSOOTxB4sMU1wwPPmKqTowOeQHwQfujpXv3xu+BPwq+CFvb+HviHqtxD4j0i8&#10;kju/Cfg2aOaZbPDpb7fMEa2++GS2uo/tLwtJGxQW4ZDIfFtZ8aWml6nDf+G/hb4e0+Sxt1tmXU5b&#10;nVZbv5m2SlVa38tiSdxCMT134+UbxlzLRt+mxnpF6pL13OH1aDS5LV7+10xrTTU3T/YLy3xYwSCZ&#10;JSkVxbTMYPk3qG2qzGRlSPMrMtjTPEXi/wAM69qmr2f2m3v1W/u5vP2NLMzzeSzXMKgLPuMrjzYN&#10;2GKMQwgbHR+KvHviqS7x4lsPDOmXUkb+VHJpd3BhWjaPaF+1ZPDPyQ3tjnOJ4k0vyJV0aPw8FbUL&#10;fdY6ZcXAmjlE6JFGltMEEkcpEEAKsI9wkMcccESu7cFejKnLnjdf15HdTnGceWVn/Xn/AME9A8H+&#10;NdM8brHpOoXNva39xN9mtUWRntruTyg8jQzMzh1yMlT8w8yBsZZlr6U+CfxmtviFZxeG9V064t9U&#10;t7FZVnbe8V5GDtLh2UFZAfvK3XJZCwDiP4d1WYRWN4tnPuWNruV1azRpl84RyRSSQwsEkIR1Md3E&#10;B8yqFBihVq6vwn8YfFngjxNb2+j3/mW9vti0W80+8WaS2hhjZnlimeMC4iEZcCJx5jxrEjRtvDH2&#10;Mrz2pg6q9rqtm+/r/meXjsphWpv2fy/4B95vHxmoXjB5Nc/8Fviv4f8AjF4FtfEek6zZ3F7HCqat&#10;BaBl8ifkH5H+ZVLK23lhwy7mKMa6aaLjgV+kUa1PEUY1abvFq6Z8bUpVKNRwmrNFG4VscVTkznBr&#10;QlXAwRVW4iA6CtTPqU3XPFQyLntVqRDUTAEc0gKjIccimlSBnNWGXuKhcDOMUAV2BHBqNkwMVadA&#10;eQKhkQk9aAK5VugFBXnkVMyZ701ogTkVSJkQmJWGWFRyKqnANWPLPrTTEG5aqM7EDKV60xkDn5qm&#10;aLH3VpPJJGVNAyJkJHDc0VJ5Z7GigR+pEE+4VZSYYzms6OQrwD1qZX4+Vvyr5LlPS55F5bkd81Yh&#10;uRja5/Gs+OTcMGpEcgYzScbk+0Lz3IAwpoF7x81U1kPrmhmJGGqeQPaIuLdZPBqWO4ZeA1ZySAet&#10;OE+08BqfIUqhde4OeTSfaBjGapidd2NlBuQBmn7MHULTXA9aia5V+rVXeZnGKiJ54ahU0T7QsS3H&#10;GFqB2OM5pN/cimSSbhgVookuQhkDd6hlkI4U0PJioZSTWiiTvqyOYkjJqrNkEA9qnkc5qs7lzkit&#10;okjT9aj5NOfNRys0cZdY9zdFTcqlj0ABYhQSeOSBzyQOa29pGlTcpPRalRjKclFbsa8sZvE05XX7&#10;RJC0scO75mjBwXA6lQeM9M1G0bJw4r8w/wBsb4heP/2gPjpd+PdA+HutSw6qotNLns7GQ3U62VpB&#10;BINkU07h/JRHMELPHH5m1XKrw/4S/wDBSz9pz4PalJpPi7XR4vsYL2S3vNN8U5+1wzCVVlQXQ+cS&#10;p5Lp5b7hGWcsm7AHhYfPZS96pTtF9nd/c0vw+49qpk/LpTqJvz/zTf4n6avET/FTViKdDXgvwO/4&#10;KVfs3fF97fRfEupy+DdcuJViXT9fx5Ejs7hVjuVGxsIEZi/lgGTA3YJr36xls9RsLfVtMu47i1vL&#10;eO4tLmCQPHPC6hkkRhwyspDBhwQQRxXtYfGYXFRvTkn5dfmt0eZWw9bD/wASLX5ffsU33k4Iprxb&#10;k+arssIMmCagkADYArpMUZtxbnPAqu0JTqa1JYgwzVWePjNAWM90IPSq9ygbgir0kYzmoJkB+8tJ&#10;lxuZU8JzgCqNxERnNa1wu5elULqPHasHuMyp4ietU7iHaeRWncRnsKpXMZbqKnYWxmzLjNV5F56V&#10;eli4waqyoRxigFuVZRjg1FKeMe1WXGV6VC603Z6mxSlABwKrzAnqatzR96rNGccirjsBWdQTnFQl&#10;c96sSDHGKhYfNk1QERXjbS2tpcXkvk26bm6+gHvSXdzDZWkl7dEiOGNnkZULEKBk8AEn6AE1BeJ4&#10;snP9k2+grGu5Wu/ODvHE2/ASVkx8ykMCsbcSDyw6MsksHPiMVHDxt9p7GkIc2vQS1+zaNqX225u5&#10;NQkmX5o7WeCNUXDumBNg+UBFI+W4ke3LMVSMrF1mh+A/iD8V/Gmk6fpGmzahqmqQq9rD9okSSVJm&#10;xuTCnZEu0uC4Vjv3MQx8pfNvDtxDquqSR2umW+tSS3his7OGE3TTS7o9xCwJvdl/cQhY1U+Y0cEa&#10;M6xQ23ofh34lfE8+H7qx+E1hd3XirxJBKNQ8TeG7xpL60sWCK9hpk1sJN11cAAS6lbkiGMrBpxnZ&#10;01J/l8VjOSVo6zevkvN9kenhMHKv709ILTzfku7JPGnwq0Wz+N+n/Bz4R3l14p8V2N1Pa6p4s0+0&#10;FxFY6nbyI01lp2Ad1zbzjzJrxgY7a4g27mvYhJpHLWem6h8FPjK+l/DhbTUfFMepHTdAnt4f7S03&#10;w7qSSyRTXZRvMGpa1vV0ig2ta2s4muLz7TcxrZQ7HwX8c+PPCHgm1+APwFNnJ4y8YQRacuueFZlt&#10;7XQNKYwqmiaPLBJsaRowhudSt3EFshht7OW6mB1CKXVPBmlfBD4rC1+EF1Y6/wCLvC8L6Rok+lrC&#10;NE8JX0SmORrdHXydT1GKRBbW1tt+x2c0byzie4tY7KLw2p1ZNayb1Wmsu/pFa/Jn0EfZ0YraKWj1&#10;0j/nJ6ejRF4q8F6F+y78VbTT/FPiZdT8baCqX1t4NhuZbyNNVnmFyt7r175uZAJJhcvaLN9t1O5k&#10;TzJktGnuZKNl4G8H6v4H1L47/Hj41/Ybjx14qmtLLUrVbfVfFni+a1YQX09mh2wCWORhbK2FsrBF&#10;Yv8AZ4IPswsfD6z8NfD7wJfeK/in8OdY8Sa54stw/wAP/DNzrctg9xp80kn2zXtRuJRLcJFdXBnj&#10;guH3XV7J9quI4mCPfRz6J8MfFXxe8AeMvjj4i+JPg3wfpvhm5g8Pza5/Yrf2fosUSR/ZdMsNNtZS&#10;4jgt50FppkJMs8l5Aq+ZPeXF0RuKnzX0ejlbRPtFfcr+ROsoqPLdp3Ub6vzk/wAbHNbPEn7QvxA8&#10;N+Hte1u40DTdLhuV0TR7e4lm0X4eaPbK63motJeeWkksFs5+06ndnzp5rlo90YuY7QTap4hj0fVr&#10;z4f/ALDfjHWb3RfEm6GXxbZ2qvqOtZCpbaXoauE+w2eX+fUEjjub64KywPDBBaSHc8c/Ff4r/Ezw&#10;hb/D7Rfhde2XgHwva2zaf4Z0bT5NT1a9+zygWt1rElnEYri7a5mDxWdqDbpe3LOhuZVtrhNqabw3&#10;+y14wsfFHww8UWfif4naLpL/APCVaTq2tLJoPg6+lgdZ4r77JIqXd7HDN9nSxW4WONPPvJ5ozcWS&#10;Fe/7OMGndPSKWstm3Im6VRzi1ZrWV9I9Eo+n9bnzTefAjwl8I/BWn+KPFlva+F/DmrT3TeEtH0/T&#10;rm01DWPJnjFxZR2MaRtJBPDvC3iT28ES6jbSGSVZDt8C8U+LrLwHpkek+EPANno6C1Aj1HXIlvtQ&#10;u/s4Ihu1jXZb2s4Ykv5X2mIOQq5CLu+yPEX7O3xZ+MGvX3xjnku7F9a0W+1vxJ8TfEBj8pJLPzX+&#10;1ahcMIVhs1lCxqsRKwRrcCCJUtHVfDvjPrvwt8M2UmlfBP4a6v4okNxdIviLxppNzBpv7yzghnt7&#10;bT5P9LuF8oT28q3BgYEo6tcRMtdcZc27u30StbyZhy8qdtEnu3dvz8/xPn+51H4zfEzVTpcWqeIr&#10;prSzjnjmtdtpG0E0QmR2NskSMXRkYBjllYEbsljVtvDfxB1ZZrXW4r6WOOPdcJ4i0hBbuELmPzpG&#10;jEkwVmO3zDOik7mjc81oeL/H3xs+IOuML7xvr8kp1JYYbXRGNjHbzTuxjhU2/lu4OxljEryv+7YA&#10;k72OfbfDH426l4kvlu7TxVHc2crRSXl94iu0kfsR5ruC4PTKllYAgE9KqVO+jS+9/wDBKhLs/wAF&#10;+tjjobTR5o1NxZSWhuNHVINNupnWcW8kMsk01lKr/PEodyN7uGWECSWNG8hom1TXbzT7rWtcu47i&#10;S8WddSe3meUSPcRxGN7m3cLl3NvIwdCGLhXOIo4S/W654W8Z6RpVxpmr6DJq37xZbqz1wnyDM2YY&#10;WS9O0O4eSMZZmlVIyqywgknIm+yXuqIFtdQ1Oe0tzPDZ3EMVvq1rDFDDLGv71CrRu82RGUPmSTSk&#10;G8fBPl1qLpyt/X9fj5HZTqc39f1/XU2Pgz8SNS+DPxFh8X2NnJqo8ySGWFrra9zp8dojgJcYAnXY&#10;oZVkTzAkSSbC0iBfuDwX410H4jeGLfxb4ba4Fvcr80F5bmGe3cfejkjPKOO45BGCpZSGP586lPai&#10;ynSS8W5+0ebHdXn2JlimuUtyssl5byNujcOLaQy4+VpVkmwypDXqf7Mf7QviLwFr+k6RqWtzQ+Fd&#10;auJXmsdchkZLaIQwuJ7W4AO7ar72BAJjG+T5pYjH73Ducyy6v7Go/wB3J/c+/wDmeTnGW/XKXtaa&#10;99fiu3+R9gTRnGarTKcYq9ut7mFbm0uI5oZUV4ZoZA8ciEZVlYZDKQQQQSCDkVXnTb2r9QvGUbo+&#10;JlfqZ8ik1XZSODV+RARjFVnSp9mFyuy4GajZAelTEY4prLk8VmUV3Ug5qNlOcirLx54NRlB3FOzA&#10;rSZB5FNqd4weGFRtEQ2F6VaRm7kZUHtSGPJzipDE4OMU3BPQU7MVyMpk4IpGjI4H0qba390/lSde&#10;MU+Vhch8v2oqbacZxRS5WFz9KklZVwDn61NFOM9cVlJPIpyTmpor3HDZr5h02dutjVWXmpFl2n71&#10;UYbhGXAPWpkcngn6VHKZX1LiTd8U4Pn+KqqyEdTTjI2M0uUXMTF8fdNHmtnJqEybuc00yc9KvlDU&#10;sGTvijzOPlqq8u0ZzSLdDoafKUWWf3pvmGoTICPvU3zkzjNHKBMzgHmo3fvSFwF3E1E77qoB7Nu7&#10;VE7e9FMc89arlHciuJAB71XHvUzor8tURPy4FXEQw5JwK8n/AGx/j9pPw1+Buv8AhXwvd2Z8TXk0&#10;FsLi31i5jvtNikhldsQQ7UnjkjHlyrLIpVZ4iqSCTKeqatqMWh6Rd63PBJJHZ27zSJEVDEKM4y7K&#10;i/7zsqKOWZVBI/Mn9u340Wnx6+KVx4w+EnivUtQWx02OO3jXxB9pls41Id4wkTGB4hIzKkYjBKMo&#10;fzXDO/hZ9if3Kw0d5avVp2Xp3en3nu5HQ/fOvJaR200u/Xtv9x4brHxF0/UtQutRltrq0vLiOZhq&#10;2gXUkLSLLEFC+W5RghU4dfM2uN3LK7Z9e8GftA+AvEXhvTfhd8avhvYePvD+g2C2mh6lpdxLb61p&#10;unpPG0oVWdHkGUtIkEZhAjgMZZll8seK3/ijVYrybTvHfhu11C4hmmVjMnkTK5jVAgkjGCgHzA7W&#10;J8wMDgJirdaR4K1ATS6B4mktfJeSRY9cVYd0SohVhKpMYJc4wxU4ycYTc/zlGtUpvR38n/wT6Oth&#10;aNbWSs+6/wA1qe4ab+yt8K/jdqEOifs8/F7TLfUbyCKNfCvi7dbXMl6yvNdJFEiOxt7eHemxPPfz&#10;LObdM0ZWZuH+HHxv/ai/Zlgh1HwD4s1rQ7C6vJUjtbpVutNuLjyWUogbfbXEqxgkLA77RHuOCgA4&#10;nUv+FjeEWmT4jRR6jY2tx5KQ6haM5kDSRuwjuQQy8bQd25eduCVKL2HgP9qPxP4d8Iat8JvDvi2a&#10;x0nXLOa1fw74pt1vrMR3ZMchilG5oE8plJjcomXLMGLSSV2+1puzkrNa6d+mt9Pv+RxeyrU01FqS&#10;7P8AHpr818z60+Cv/BYnwtrdxFpfx9+G76UZpWVdb8L77m1Ri6KgeF2MqKB5zM4aQjaihWJJX6s+&#10;HPxU+GPxp0D/AISr4T+O9N16xwC82n3AZogXkRS6HDx7mhk271G4ISuRzX5S3Mvwa8ReEpH8efC6&#10;Xw3qVv4fjXRPE3g24kmtL+SOwjgtVngZ5I5C8kAllFv9nD75ndi0ilqfiH4TeNvgvb3Hxy+DHxUs&#10;dc0nQZJpV8UeFdUeC9tEhuoLdJpoG2ylTJNEu6NZooyknmSDbz61HMsVRWslJdnv9/8Amn6nn1cD&#10;hakrWcH+H+X3Neh+wDxsowRUEq4FfnP8Iv8Agq/+0F8K5/8AhEfjT4Yh8WW2mytp9wt0BZ6pBLAh&#10;gMDygFHkWVQZWkUyZWRSdxyPrv4K/t4/sxfHy4/sbw148XSdWbd5ei+JFSzuJQDGv7sljHIS0oVV&#10;R2ZtrkLtUtXrUc0wtayk+V9n+j2/G/kedWy/EUtUuZd1/luepSgBuKjeMP1FXLi3aNtpXBBwRVcx&#10;MK9I5UZ9zAM9Ko3UHGMVrTxnbVO4iyMYrk6kGRNCAORVG5hx/DWzcxEdqo3EeRzRcLmLPDgcGqsk&#10;WTjFatxEAOlUZkwelIa3KE0Zziq0iEGrsir1xUMyhe3Wg1TuUZgNvSq7rVyRTjFV5ErSK1GUZUzm&#10;oWU45FW5F7VXkXA5rQCbw/oWt+JtatvD/hzS7i8vrqXZa2trGXkkf0AHJrsbH4U6p8RB4Y8MeFpF&#10;WLxBi0YrGbffeJGRcKgLAHYkZ5RisUcUozHFAzJg/C3xXqXgT4i6L4t0ryftFlqUTxtcZ2J8wG84&#10;wflByOeoFe1fGfQfBln418QfDPxz40sbdF1a4mt7/Wpo7WOx8LTqJgsszOkf2P5WuJVZm80QQIQZ&#10;EhUfI8RYuph8RTirLRu7+5/due1leHp1otyTevT8Pveh4n+0F4z8DRG1/Z9/Ze8KXviHwvdx+TrH&#10;ixraNJPHsjfaVkt7eRjHHDocEcc/mO+yO7i3ySyR6Z9qnv8Ao/Cg8OePj4d/YN+Bj2s2k6qv2bxp&#10;r0Mkn/FaXZheSSzjldFZdEhj81pCFV9QAlPlCzEqagupX/hD9pr4+Wngb4V3Wn+Dfhf4dtZtQ1u7&#10;8USfY7y+06zVZpdf1QSKv2a2ixHNFZyeWsB+yTXXl3MlnBp3G3Hh7TPH3xT034XfA/R9QTTfidcT&#10;aHJJr8MkOs69phmjka0dCvmafpciQ/aLizWP7Rcw26i/ZIYZbCD5yPNKWu6d3ddHtKXZLS0fLY+i&#10;fLGmlHRWsuV7NfZiuret5eejJLWyh1H4sr4O/ZP8R6l4h8R+IyNF0z4gWL+UVs2RkujooDD7P56k&#10;x/21I4ZLZpjY+StyupTLoizfsc+IfEFhoN34buvFum2J0PT4bK1TUIfAuntuW4kkREEMup3a7Ibe&#10;xiixbwKJ7sOZLawkvePPEfws8EeJ9c8Tfs8eLLrUo7vT5rK4+KdvdtaxwaYq7bk6JHHgoblQwOrs&#10;5kS2EgsP+Psag0F34c+C/wAHfCfheXWbCa9+IG23ltfhvcaM1jo/hgyqZ9Pg1hF8uUIsBW7k0tDH&#10;PcebbxTra2zyM2tacYxUnez/APAp/wDyMey/zMqcZylyq1184wf/ALdL9SxpPgO6+CnjNfiJ+2D4&#10;H8UarDqc0k+h6HrWrwtq/irW/IjzuSTpbafCImnluHSCArZWccU8zLbrylv4D8TfGP4kaHrmq+GZ&#10;vDukaR9tsNJtrFWbw34DsPLN1fXkU90iIzxxuZ7/AFa4Ky3c00aDyjPFZx9V4V8D6X438Y6t8b/2&#10;oPiL4s8OwQ6Skt58QvFUU73GpXk8Ly2OnWsIAM7GM3F6NPsoQI4i2yO2F0pkzvit4o8V/Ev4BR/B&#10;9vD/AIkb4a2MPl6P4Pt9LfV9Sut0+Yb7WDAXN9dNeXHmR2dqotYbq7jWKOc28F0mfK3JwVnKOq19&#10;2HX77/1YbnGMVNtqMtHp703t8lb0I9S+L1n8GrfxV8Pv2UviPfHwz4juBbat8StSN0NSukSFoIYd&#10;GZSv2O1iEkqvqjRyXF001zNb/Zoo7C6q38Pfhx8KvgL4X8G+Lvjhf6TD8O9Q8FG/+H3hfwtbi41D&#10;xDIYEW0jsIEJSZUWeK4ku5nSzi+02azkLLctDt6xpPg79inXtU+GiW2m/Ebxw3grT9N/4RXVIIG0&#10;nwjJcQq0k+qPG5a5leNQq2FrsM0CsbiS3j1KF4uO8E/Db45ftQ+OdT8f2XijVvHGuQ/YtP17XvFm&#10;pRedYwtcTuJWiVIorWzjVbmYxwQeUd8vlx+bPEktx+FVY3SdlKd9Xfe3oZSjHm9nNJtaxglt2u/8&#10;zkvFmu+JvjH/AMIl8OPFfg7w/pvhDw/eQ6f4D+H/AIW+0zWOm6lcXiLbzyy3R36nqksskMSXkwV2&#10;kaR44IHnnaWj8UfgV8NP2ZNRjX9ojVG1PxNDqElzpPhPwzp41K4vbaC9g+zXcjyILSwilSO//d3p&#10;Ju7aRkQR3Nu8deuX3x18FfAifV/h9+xPq+oL9o8YHU5PitrWm6dfW/lpEbaKHQoXPlzZMl2z6jdQ&#10;+XKLqdrZZre9iktfL/AP7Jvjz4t6BqDeEvBjxteafrGr6z4m1q4aSGS+WQE3l/fLIxLTXEgjeZvt&#10;EsgW4lRZDbSqu9P3dEnCk9bvd7fdf53Mqj5rOVp1VpZbL/hup8vfFb4o/E60+3ad4F0Kz8C2dhHB&#10;YX1jpqtqGpKqwpbR/a766hzKzCF9jCOKZAj5Z/KEteOan4S8bfEGK4mvbbXPE0ugW8TtZ6lcXGoT&#10;WcM/MLQrM8j7JQ3mYjAypLldozX1x8XfFv7NngBtQt/gb4el+IGoPcXMEXiDUY1stEgQx3tuUjPl&#10;I2rKYp1d3t447S+ik3i6SVfl+ffjN8SPjrfXItPFPiubRLRXWe303w3H/Z9vAUiCh4pI3NxsZJC+&#10;HneN2dmAwihOiMYyjpH7/wCvyI5pQl7z18v6/M5fw/8As++OYrf/AISPSvCsmkXCR7oXtNQNjO3B&#10;4DQsDyOx4Pfjis/VNG8QRQ/2Lqnh3VtQt4FaKwmhb7HqQjS3e3ZY1VAzRCSaFG8lQpVmcxXBZiKt&#10;/wDC3xX4tk1bV7bwPL4i1LSbo2+tTalA8tysgLqVLyq80soKHchG8HG4ZOTJ4F8JeNFi/sHStI8W&#10;aHHDm5t42sbkWvnLk5MN5GLbhyrKSFYMqsrKVBGdSjz6JJej/wCBb7zWNTl3b+a/4JWnhvdQ1W58&#10;X2VzNebo5Yv+Ei0u+RbuFUaCQNLaoCSsCyhiEjJRY4k8q3dd4pXdppd74aMmq6dYQi8umld7W8V9&#10;OkjEzxZyN7Q4LuVmDGJmgJZp5cqmheXmo6hPcax4ohlsLpZTbReItNmL27stxMqiZphKCiubeNHu&#10;iFX7K7C4V0ZAaXZzeHY7PU7qKw0NLjUofM1axid7K48+ZZkimBkDRbYJyQZCjeSkgFywkCr50o2/&#10;r+vz+Z1Rl/X9f15HuP7K37QegeBp/wDhUPjSzu7D7bfl9PV7oXEdnLIGaRB8zP5G9ZAzEl4nUtOF&#10;Mjsn0rPGD1FfnjarZaHNCuqWdpDMWtzbw3Vn5mnzs7zSMY8xgWjsglKJ5KupnxHA7ETL9W/ss/tA&#10;TePbVPhz8QdVjh8RQWKz6bHeqYZ7+2BZGK5+Wdo9mSyFm2OofLpI7fa8M53ytYLEPyi/0/y+4+Yz&#10;vLd8TSX+L/P/ADPVpY+eKgkiB7c1oSw46iq0seDivuj5govFjgiojHge9Xnj42nvULQUWuBVZedp&#10;ppQY4qdo81GyletCQN3IPLA600xYO3NWOvBppT0NAFcr6CgRgdPxqcxk9aRYeuadjNtkPk7uM0Lb&#10;jPQD8KsCNRTgp6AUjQrmAGirXlqo3yuFHTLHFFTzRW7CzP0ADDHJpQw6A1GrBulKPUV86dXMTJcO&#10;vAarVvf9AxrPpVYqcipcUyJam2s4I4pyTKy8NWTBcMlWYrkfxVny2MuYvtheaa77O1Qpdn+9SNNn&#10;7xpormHMzMcmkpjSkDOKb5rkZplcyJc0UwSFhxSGTbxmgoeWApQQelQ+YDQXPYVVgJWIA61G3TGa&#10;Te1NZgBuY1QDJVduFFM8tsY21NUWpXUum6XdapDpF5qDWtrJOthp8JkuLnYhby4kHLyNjCqOSSB3&#10;pSkoRcnshxi5SSXU+Yv+Cjv7VOh/CDwxH8JLO40/VL7xFZTDVtFj0iTUpVs2jeImaMbBb4eSKWKZ&#10;JDIskSttT920n52+J9IuviBrj6po3j3S9UuLi4jMOLp45Zf3fmM213OQm/fkDeDJLGxLQ4r179rz&#10;9pzUviJ4yuz8RNAuPsMl5JdWdvomtac63UZYCJQ1q6R3AMDIv2gSPMYoow0hWOMDxOf4fad4vvpV&#10;8OePbfWJ7iYRyLqbSJcXb4LTyESjdIoVhIWwSwEnVkw3xWLrTxFSU3f3uj0aXT+u59vgcPHD0lHT&#10;TqtVfr/XkJd+J/G2j239leLrP7VE9uVW31i38wr5rFvM35Em/Cyqvz8DcMfKNtHX7n4S67bypqd7&#10;ceHGm85mikjNzbyAhQsQYLuQYy5JTaN7Ln/Virq+M/iX4MeGy15ZpIlka5FrqkSzKxjkWPO/lgEl&#10;WNl2sAGEbDIcFq1n4g+F+rvFc674RutJmhaFF1LT9s1vvaT97I0RO+MBs4C7wqEcny65YR5pW/NX&#10;t/XyOyUuWO33P+v1JR4a8WeE9EkTwFrcc+jyxy2c95ZXEd5ZlAiFpBCzNGq9QdoDMVcEYdd3P+Iv&#10;HPhu7sL6f4leFW0W8ZmjW90GYqxld49gEMzDGPnJKyHjcw5csmxceAdZvrG81r4beOWvriW1d5Lz&#10;R7+S2ubaMy8RvEh37pI9rhSuAyOOqqz4njT4l3lvetoPxR+G8OvXCiZ5NQ8lbO5S44hXDwrjgRkH&#10;EWMhDnChQ6sko+v3fd07/qRThJy72+/+vUTw14Q8V+HpbjWP2ffiYmpQRRtcNZx3DLMyRyCNN8Eg&#10;Bdj5vDMpXOcAEorXPD/xY1LwTcLqfjTwWdIvdNvYFlm0eNV84wELG8tvLmC4X7THG5BCIGiOARlD&#10;hzeFvg54nSbVPh38QJNBnt5JpIbbXCtuFVIkZWEoLRBi5IyxDgHOMJl+kubn40+Cre10DxxpMOtW&#10;6xzwXE2tqZQ0m6O4k2zg+aM84Yl1VQRtJi+TOjKpFrkdvTVfd0LqKLXvL79H/wAE9m0H9pPRvirr&#10;+m6v8ZPAnhrxnpsmm/2bq8NroP8AZ3iCW1jkju3PyPEzskkUUe2MiNoxKgyJ22xWP7M/wn+MEmn+&#10;Hvg58TFXxDdTSuPC/ii1FpfIqxvLIsjoPIubhEVSsNrFHCB57GdliUv4kbP4Y+Jjbwy/aNFmmZm8&#10;u7hN1amQzsqjzVG6Nlif7zIq9t5OXbaYfEex006hqMSa5p9z5gW6uD9ugLPIIztkU71G6Hbt3KAT&#10;yu413fWVHWor337/AD/4OnkcX1Pl0ovlt03X3f5WfmeveFvjv+3L+xTqVv4R1TUb57G3ltxJ4d15&#10;Te2khYtcmC3mbli/mv5r20jKrMwZt6fL99fsm/tC2n7T3wft/iF/YLabqFvcfYdZtVdWhF0sUcjP&#10;CwYkxMkqMu7DLuKnJXc35r2/7QGt+KNHsfBuqeKnaxtNYj1O107xhCmq2BmhMccCNJMpcwInz/Zp&#10;B9kYJIJVYSyeZ+mH7GPwzX4Z/s0eF9Ilh0v7VfWbaneSaXIJNzXLmZFml2I008cTxQyOwLb4SCTg&#10;GvVyXESqYvkpN8lm7P8Ay6fK3ocGZ0fZ4fmqRXNfdf1+d/U7q4gK8BKo3EeOorXuUw+R9Ko3cIxl&#10;RX0conzrj1Mi6TjGKozJzWrcwsTjFUbiHnpUEmZPDVG4t1bgVqTxnpiqc0WKqJUTMuLXb1//AF1S&#10;nQjoa1p0LCqFzFg8CnYu2l0ZzIA1QyR5HFXJIh1xUZiJGcVaHEoyR4NV5IQa0ZIj1qvJFzzWiRRU&#10;gtZTKvllg2eGXqPevq/xB4YF/onhP4p+Nr28tdC8ReD4tK11ZbUXTefaz/6OIiql5JfsjqY4zkGQ&#10;qQGmGxvmHTVSK5V2Xoc19oeDPjX4Gvv2HtS8ILp8kF1YzAXV5b28kn2aB3RZrg+WQ4VVZFO1lb94&#10;mCDzXxPGSrQo0qtON7PV9rn0WRRpSlOM3utD421bw5rPxA0y68M/DL4bx+EfDOpa5b6pqn2zWUit&#10;7S0tS09te63el/I8q1WT7UYSz21tNKn2dLq6C3V50/iLxJaftI+LtJ/Z+/Zv8OyaFo3irboOn6lq&#10;FuU1LxRpYAku7nURIjTW1hOIzK+nxhZHhhjW7G0vY2nQ/FvR/i98RLSebw5q9nD4R8GzQ2Vk95fW&#10;2naLoV1hJb7VNSvHkMDTpI0rPcAMlpGot7eJpJJRech4y8Q+EPGlhfeEfgL8E9W03w7babHpmoX0&#10;mgzz694t0kC2ZoJ4GDz2Nlf3UsLyacUS4vDHbwXHyebpy/OqSq2ikveW1+u/NN9Xu0j3I+7H2ib0&#10;e9un8sF06Jsi8J/EPVvhPrOs+EPgR4ssNa8UeLL63tLzxho+kR3sOmGOQ/Y9L0hpkkW+ujIwurm+&#10;Ae0hZIYYVmlW5uYMzR/AngPwR8OLq6+Kt94um1zUNSE+j/D+wvWh1DxJatcSvLql7fyNJPZ2uoXa&#10;3JfUrhzcTx2l5LarczyxSmaz1n4Yfs1vpHhn4Z+PNQ1j4jeFdOaw8YNfTW02l+B724jaO5tXWF5I&#10;tT1ONXazhtVaazt5ftEszTPDa2j3NI8E2OoeGm/aZ+L3ja3vvDuseOpLTXbbWjJda543uoMR3Nnb&#10;jzIRcTSCIWS7Git7GCzuWkMEFisI3p1Oajzydk9HL7Un/LHy6GM6fLU9nGKbWqj0iv5pPqyhYax+&#10;0R+1Gz/Gfx/aWGsXNnDLaXl5qc1tp+h+C9OuGMsgiiJItrPy4nuLi4maSZ0ht0d7gizhRvij41eA&#10;/hbrfi74PfsheKtQsdB1T7Hb6l8QtWupY9SuovKuA1vosYaJ9NVI5GEupmI3E5u7h4TBHFYXK43j&#10;7xx8Qfif4w1zwZ4I+EFzpnw5t9Qi1+LwX4TuFmkkvlnjSK61aKBDJqN/I7WhihXfbWskNjDAkjwQ&#10;3Tdv8QdP+EX7Jl74p+H3xF0nSfiR401Sx0y3bQLjR/tGk+FJHCXM51edJD5oKSRlLC3UzTQRr5zR&#10;w6oTHnzRp04+0Xw/Ytq7buXq9e3qacsp1ZKlq3rz30V+kflp3OOtP2cfCHw2+Gmr/Ev9oPU7r4Ye&#10;FrO80mz0CbSbWOabW5pS7yWmm2oLGa7EAQMGhEMLzvI5b7DeLWV+0Z8cH+O2ga94X/4RjS/A/wAM&#10;9Q1dNYm+H9rDZwNOwWOO3vNbnV5Eu2ijtkfyIiLS3SOOFBcmztbkaB8AfFf9sf41ya54lWbxR441&#10;7TtQntdcksY43tbW3ET/ANn2h8tksbPJt7fBZF8y6jknlaW4luH7C++Mnw//AGc72+8IfA/T9J8Z&#10;fEyO30ePxN4rvM6x4T0LUbf/AEu4jgcPbXOp3f2poAFTy4IPstu7Ml1aSwT9Dio1uSpFSk9ox2Te&#10;9/8AM54y5qfPSbjFbze7S2t/l/wxXsfgz4M+AlrpvxP/AGw/Eeq6PdWvjB5vD/hay0e21m+8XJZ2&#10;0ZcWyDz1a2lupoo5bm5ZIIgW3tHDeW1ynn/xD+JPxY/aCvdP8Fp4d0vw34Jt5Et9M+Dvg+4ludLk&#10;vmuGuP7QuZhbwz6pdyXZWcNLHHGkwhcQvPvuJMnw18Ovin8aviRr2u+H9X17x1461rQ7vULltS1u&#10;F9V1FormKORbVboxW8EAmuoNsEW20tjclgkEA+X2XxHefs8fsl67qnhDwuml/FT4i2OsTyQ3WmtG&#10;uk+GJzbvZeVrTR3CtPIkf2yb+z4tzEz28dwkQW01CnKP2a15VdoxT0Vv61v/AMEzjKUdaFo03rKT&#10;3bf9dP8AgHh0/wCybJ/wr26+NXxL8dW/h/wLfaLDcw6tdqFt9Tt7hbxUigjz9oupyx091t1jaO6j&#10;uEEUgnjaNfBfiZ8SfhvoiX2l/s6/A+a4E0e1vEHjC33RMtveSXkNzHYLueROjI1xLBcRiODzVY2y&#10;Rj3bx7P8WP2g/H+r+Ovi94pvvE3iaSaW/tVkuJo9L0WzYKZYNKtXeRLOJYIUdyu6WQWyvdSu6hxg&#10;+NP2S7rwr4EtfiV+0J4os/BekxyLBp914kmVRLI8NndC3hsJy7zSSbdRQ20yJMk8OY4rqGbK9KqS&#10;qU1VrSs39n0/rf8AEwUYRqOlQje1ve9bP+l+B8e+NvjP8X/FEN/p+v8Aj6S3hvL9p5LHS7aOzWGZ&#10;cfu0lhUXKqoxgSTMSEwzOwFcjqus+P7HTP7c1Xxf4vXSGYrHqMvie+FrNg4ZVZphkqcqc4wfbr9C&#10;eOfi1+zn4B1Vr34LfBu48TKlzfKup695mm289reRr50UXmpJO2wbbfbcW64TztskiytJP5P4h/aD&#10;+K1zoOn+H7G+8O+HbWzk8m1fw7pAgyvG2Bhdy3EYQAcbUVsk/OQCBq+WWvLf+vMqPMtHK39eRyPh&#10;nWNf1jSLnUfDXji616O3WRZLW7dbmcI7MgMdygaQMkc1wsYnE6IZciMFVNFppcV3AnhzwukejalO&#10;rPLoGqLJFDtJC+dbhdzlN/nztLayGDyrKOWVc4Q39b8d/FLxNYy6bffEHzorpDHLFeabp0kUmeNr&#10;p5HIOenH09GeK/E8eoaLcv8AEbw7peoac118osWnaC2kdAqGSIyPPaJvDsZIJZBtgVRACxY89and&#10;NtNL71+ba/LyNqdS0t7/AJ/kkxunzyDxAmiaDfWegnUgoTw/dHz7C8ElywRYWUvEYh9qkwsYZTJD&#10;I0lqoTijpWrav4Bga90KS4mvLZherpF7qCvCyJaRFJradGO6OEqGTy2kKRwbg1q33rkOjf8ACURW&#10;82lpD4m03Ug5jj1C7jlvZ8zSBkMnyx3TFZPtGzMUwdoledHjjRmW+n3vizSdU00anHqNm1zGl9oe&#10;pkx3VjNgqgNxMyZkWe6IRLhleQWjIkvlK27jcZRd479Lfp/wPmje8ZKz+f8AX+f3n2f8DPjPp/xg&#10;0OaK50e+03WNM2R6lZ31vsEvyjE8LDKSRt1+RmCnjLLsd+ylhwc4r4j8BfEDxx4J8Rvrnw51W4tr&#10;q2kEt/oWsXjwzxrLJbSvFKlwY1uFc3JVRKyyOyMyXMpRGb7P8E+MdB+IXhqHxHoNyjBlVLy23fvL&#10;O42qzwSAgFXXcOoGQVYZVlJ/SuH84/tCj7Gq/wB5Hr3Xf17/AHnxGbZf9Tq+0h8Mvw/4HYnkhz0F&#10;RvCfvAVdkgxyKiZOxr6TlPIuUWjDHNRSW/GavvAp5FR+RVEmeYvammMirzwBV4XpUZti3IFAFVYz&#10;3p3k+1WFtz609LfB5oAqiFuoWotZBtdFu7gapb2LLaybL68lVI7dtpCuxf5cBsEg9enXitJbcEZI&#10;rnfiulhaeCb7U9X1G8tYLeETR3drKU+yzQ7po3JAyNzoiZ5IJXZtY7h52bVp4bLqtWG6i/LodWCp&#10;xq4qEJbNr8zxP4h/tFfEzwcsPjLWdF0u2sZbCNtLv5FuVtUE2x4rqEyQb5mnhLhRsAjjDgncWAK+&#10;f/H+rWureKdN0z4VW+tafax6LbC81TXLVsFTGTHNFGqtKEfG0uMLlhwgkCkr8EfFmOpyf7zd313/&#10;AK0P0z+x8K4q8dux++/O7IFPV89aqhv7rVIk3ZhX7Kz81cZFjPegdarpKxfB71MjE8GkTtuTKcjN&#10;PjkZe9QoTnFPpNGTjyy0JlnK96UTnPWqwIHVqcDxxS5S3G5aWbBzupzzcYNUwSOhp3mEdaEioxcS&#10;0smR8poNV0fB3KaeZ2J6UmUSMxUcLmlpqTBuvFHmp2NO4DZJT91ajLMepp0rBmytNbkfeqgJIpGY&#10;4avm3/gpF8dviF8LvCWmeHfhtb39rdXitc3erPrn9n2qQqwwqtFi5nkDLhhEfLjWZPOVvOjK/Reo&#10;6jaaFpN1ruoiY29nbSTzi3hMknlopZtqjlmwDgDkmvy4/au+OvxL8SeKNSm8d2NjIbe4l36dcXVx&#10;eSW9mztiM3cIaNC7OFR4Y/symZCpCEKPIzbEclNUrPXV20slb89vvPWyigqlb2ja02v1b/y/yPG9&#10;e8YeEPFGq3C+OPDd3p81xdLN9qsbmSf5pgyPM4mRCIgDHOgi3q6sMA8rJTt/hpb6+FXwV4vsNRab&#10;y9lrI3k3AQN5c0rxt8yxq+0jgko/GcKZCO6+DWtQRG+sdQ8PvHHG0y2kQmtxHE+zyowgLs8kW1t3&#10;ljDqT8xz5sd58HdVvbS4Oh6hpmuW8MEpu/sNwsmOTsiK8ku8RDbcYzuXJ+Uv8tL33e1/Tf8Ar5H1&#10;i5Yx7fl/XzKv/CRfEr4fxRw3iXiQGKHdp+qW5mtzBHIYliIbPlx7jsOwoWBj5x5ZpW8ZeCfFQb/h&#10;LfCcmlXtwZG/tDw/MHjklcqDI8L7SigYfarNkh+ctzLF4x+Lfh6/utO1DUppEW6iW9sdetTdRzM8&#10;ZKht7blXaN4ClQxXOT8wEN54x+Hnia4uJ/GHge6sLjfJJLq+g3Tyr5znDSyQtsIRQEfahdiS/BJY&#10;tvFONHrrtf8AH+tDNyvU227f1/mN/wCFaWHiLU7fUvhh4xsdUudPkkljtWlSC+t0QbhIyuFkjYzY&#10;Vc4wxjb5dzFcPWPiX8dvBc11pXxD8LLq2ltbuI4dQgLSwW0x83IlBWVJHRWGS7bDEQFUxbU1tR+E&#10;Nr460m4i+EXi3T9Vl1GPYsV1K1rcIpQCadonUOqq53KNp4Yc+uNF4r/aU+FdxHYeIVm1y0WQXTWm&#10;uR/ag7Y8rcxk+cbJQpGx0XeFJ+8wPNUb5r6rzW33G0fhtp6Pcq6xqH7PXxSumF1p154a1VluLmGA&#10;25ntJSpytsnkqJACCXJ8sAAOuTiMHpG8D/FLwfLPrvgHx1Nf6bFdTxeXodzHdWsrJGPMMsfzozFP&#10;lJ27tyqoJxGWn+Gth4U+OOo3CWHwN8SW+rabZ2f9pz+GbKa+WKOSRvOuJIVRpIxlCqqvmkDCfMYw&#10;rdb4W/Yv+IsHxPtfh74W8Y6PoutalaSarMutasNP1C1s5l82MyQr/pUW+KRX2eV8nmrv2hkdlSXN&#10;ro/PZ/d3+4KkuVcrv89fxOEk8W+GfEDSf8Jz4PWCWS4ZkvPD0nky7WiUKphkyrYdQS29QS24AZbd&#10;veHfDNzHqkl58LfHMFxP9p2QRCY288qxwi4IMcgHmpuVlK4ZCME5HmCP1Lwp+z5r2raR4m1z45/E&#10;bQLq28N3US26/wDCL3lrqWsXE7xWIgtnmhtIplQzicvEsgEcMpDFljAt/CX9j/wD4sN9feOk8YaP&#10;p5jWKztbkWCzykLgy7oJbmNlY84PlkEnAxgCqkZVJNR6ab6omFSnTiuZ2v8AieOPcy3d7LoPj3QR&#10;YXEgFtJrVtCIZ4ZGLYbYP3cmBNHlVUEoATvO0V+1nh3wbpPgTwhpfgfQEul0/RdLt9P09L6YSTLb&#10;wRLFGrspIZgiKCQSCRwcV+Wvge28SfC/9oi30f4a+EJ9cm8C6xp+s/Z/GnjRo7aYo0M1s6CDTXkV&#10;QECtEJoxgnH+sJH1N4q/4KFfHnSvDGpeJdZ+FXg23aw0+a5+z2NxezB9iM+3MjpjOMZr1cnxmHwL&#10;lKpfXTbz1/Q87NKNTF8sabWnn6W/U+nri3zniqc0D4wRXzDoX7fnx88Q+DrDxLb/AAn8HrNeWccz&#10;Wt5NeR+WzKDsYrI2CO/H4Vy+sf8ABRj9pfTvF2k+F9f+FHw7sZNY1BorCPT9S1C6eaCOGSSaRt4j&#10;8tlxHgDzA28glMAn2P7ewDfX7jyP7LxXS33n1vdQEHGKozwHBGK8Buv26/G/hTQbjVPEHwlh8UXG&#10;8C30/wAN3YsJgO+77WzRtjr/AKxTjtS6P/wUX8AnSL3W/Hnwu8R6elvOtutrocB1a4ExCkpJHEqk&#10;AbuXTzFGOSOcaU84y2X27eqZnLK8ZHVRv6NP9T2+e3fGcVSlhIPSuBT9t/8AZnjjsbfxP43m0DUt&#10;SYnT9F1bTpftlxHuCiVEhEgZMsBkNlf4guK7zTPF3gnxXeyaZ4U8Y6TqdzFb+fNBpupRTukWQN7K&#10;jEhcsoyeASB1rvp4jC1v4c0/mjnqYevS+OLXyK80ZXkiqM8BY5ArbntmAIZKo3NsfvAV0xiY9DIk&#10;hPQVA6MvBFaU9seu3FVpYsjBo5ewlIouhIqGSHnkVcdCrYIqKSMkVaLUittK8g161+yVLa+IvEPi&#10;D4U31tIY/Fnhm808zW6kyhvLLxxjA5DTLDkDHQc4ya8pkiIHSui+C/ie+8FfFTQ/Eum+Ybi01COS&#10;1WL7zTA5jXORwX2hhkZUsDkEg+dnGF+tZbVptdG16rU6sJWlRxEZLubV78NtX8Q+G9BY/EXUNP0W&#10;yuJjqTLZOnh/wzHAif2lrV3LMsUNuy20EpElyyR20dkLe1TM0n2yS68Z614W1m68M/sxXnjyDw14&#10;q8y41nxI3m2eqX0VvC3k29pEpjk0m1ghnnuJZ8RXs8xbd9ngt0gm7b4i+DL74h6/q/wE8EWWta9D&#10;H4guvE1l9luLS3hubXd9qsk/e5SQiXfPCzmNVmh+0MyqkAPmerfFrSvAmjaJ4i/Znu/O8Vw2Js9f&#10;+IQ1I39lM8skbXaaAsyIksckoaNNTuIVRbSzX7JAY757lPzGnKUqXLvZ35UvvcvyR9tD4rvTpzN6&#10;rsorv1uU9OtPgx+zBrfgvxVZ2Uy/Ey5uP9C+E8OmJbRaFBHahbGTUmQM9iLeyFvdR2K+TcyTXFmp&#10;W2jjuHSl4c8A/E79pHxf4m8Z+IPEGmWeuaF4Xn1m48Ra5ZvpmiaLpUTiJLOCYb4tP02PynVY2LMY&#10;rG7uCbq4WSWTR0X4cfDb4e+AdL+J37R99I3hDxZ4dvta8GNod1LqPijxDdTKJDd2wlLGVytx9rm1&#10;K6lSFZryzM8kvmykY/ifxh8Qv2k7TRfCP9kRto/h/wAO283hP4e6T9qu7GzS2hWSOeZ5287WL9Eh&#10;iRLifEn7mIwwW8s8vnddCUvaS5Gm93L7MV1t87mVTl9nFSTUduX7Un0u+isHxX+Oo+Hnhu88M/sf&#10;6T/Z1tqGjadpOveOtSSfS9Y18sM3H9lK7+boqsZJHkuJle83zSrGIFsbGZrfgL4A6F4D0+D4pfHa&#10;80/wP4P0rx1dWmo2Oo6Xfq+szxxtdzQ2ltaJHcX1zIxYeXbh2V4r5zulsjHJ0PiLRfhL+zpb6l4N&#10;8ZeG4/HfjzVNP0dL3wLfyJLY+E7iVFubg6pcJLJHJtjESixgZ5J1EZmK22qM8PmWgJ+0H+1J8R7z&#10;xr4whm8ReIpPFDadpf2UTvpun2dxdRRCOyswzfYbU+Qu7bl2iszc3DzGKSYum4xqP2UmoyWs35b2&#10;7X/4YVTWnH2sVeL0hF99r+hf8f8Ax/8AEniD4YL8FPh54f1jwb8O5NHntbzwzq2owXmueKY3uZLq&#10;ddUuXB8mIyXBT+z7aRbaMTXELSS20yW8Op4D/Zo8E+FfDy/G746+IdK8B+ArDVtOkWbWm/0PW7b7&#10;Mbp7CxjguI5rm4dPLjSGAM++SZYy01qbeTW8ZePP2cv2R9Yt/B/ie5sfiF8TriHU9EuvDdkPtfh/&#10;RxdXiRGPV5I22/altMF9OjLsTezxzsYLi3vYvO/iafiP+0r4sPjX4j65qXjDxNDu+xX1ms82n6FJ&#10;PdxWptLOyE0gslleSC1CrulneK3FxLPPtkaozVSm1hUko6uT3v8A8HuzOUXTqKWKb97RQWyXn/lv&#10;6m140/aP8VXHw8h+DH7OJ8RfCjwZaLsj1G91w/8ACYavIjz3WJ9Rtp51srM3VzdyC1syZAoQxS26&#10;yS2Yxv2ev2YPil8WV03wJ8JvDMMNvZwXdjHNbtAtrp8lvZwNbw3iMRJbo/2uzwyJJKVLyxpN5Ui1&#10;6PrXwW+Bv7P2ntqf7YXiWS71LXNM1FdN+GvhybdrusW5lCR3ttHE8LadA8NrOvnzeSqvqFuhksLm&#10;JDJ5z+0J+0T8ff2ndQt/DfxGfTtC+HN9Ji6+F/h+4e8sZrpln8261G/ltY5r8SS3ck/lukUTGOMm&#10;BpoRcNUJezlzYRN9HLfdr72TKLqRti2kt1FaPRfh/Wp1/i39o/4Kfs42dn4b/Y0+Hfh34pa5puo2&#10;mqad8RfEljb3Hhfw9J9njhZbFY5Vu7yZockPC5hjfUrrZcooms1+fvinZ6140Mvxe+I/i6bxFq0m&#10;ksbjxV4kiQSxwqwkkCiNBDb2yvblzDGFhRmaUIC5Y+zfCX9l/wCMXxs1j+yfDvh66s1Fx5b3kzeS&#10;ts72TX1lLL5jRN5MqtZb1jEkvlXnmLFNGshG14k+O37MXwg06bwD+zVNpfxa8aXk0kN14m1BkHhf&#10;QUls7VPNiuEVl1bzJYUkFpFcylZzfQ/aLBpDBWnPh8JWun7ST017979DPlxWKo/D7OC/Ltbr6nyv&#10;L+xj8SPGMGuT6ho0Wj6THh4ZLqFYVjMGoqkxErs8gjWD7VsdX2XBs4iQqSmQeT+IbH9kP4ZXE1zZ&#10;+NX8ZX9rrkmp2dn4ejS8tdRhd1EdnNcKWs3eEK0kjGSFnLMGVg6QH1b9o/Ufid8ffEDap+0J44vP&#10;El1NeNLp2lC3hs9Gs5ibhohBZKBENpkuYo7udnuRHL5UlzIo2nyHWPgH4u8TQLdeDvC11eNHNaiZ&#10;WYMZYZp5rZJlTCMITNDPGZBvVPssxdk5VO5RqrWo0v6/rucqlR/5dJu39f1scN4q8d/BZvGN1rng&#10;n9nm6kinmNxNJ4g8RPCokbaGWK1gNxCkYOdp3Lz0QDisW68f6XayzT+HPg79mkuvJhk+w+KTM0SB&#10;l/eRRXVv9n8xcZ+YAnGC3cek3f7D/wAWptEP9oajplrdWusTxKb52KPYxhh9sDRKCwbBZYn2HYQW&#10;aJhtGXr3w8/ZvSwtX8OftM+Grf5NtxPf+JdPaOVyOGVRMmFPXG5+ozjBxnJRjvJ/gv0OiMnJWtf7&#10;3+pyF/FaeLPF8kvg9r7QtalkkuZbe309UurxllvZUlexLSQ3+390Q8XmncGld7cAVnawuhWes3k3&#10;jPRvL22PlWfibRLieOH7OENnE8Uu5poFVMwt5ryxTPIWlmC+WK6bxd4c+AupadY2t58W/COvafYy&#10;SG+huvGVozurJ82z5mzngLl0CZDK4KCpPN+IngnxDt8Oz6hrFwZI5J9F8STeVqBkcxFlW8IZLgNI&#10;yweZOpJSJoreUdRzyjzv3bP03+a2fqtS1Jw3uvXb7+nz0MSbw5r13Y2zeKozrlvHG0lvqXhl3gub&#10;aK6e6XzAkYysUmZplkt1lVo7SMLbbJGLdj+z58bfFHgbxfNr2h6L/wAJZod9a/vn0+4t4Lto9y3E&#10;v7stHE7wNd7flIRfmQRQmSWRPP8Aw/aeH5bC4b4eatf2eqWtxPc3mkXjeSnnE20M7yWpYG13YuFa&#10;4gkCxRLsecliosazp1ql3BqfjrULzwzcalDGqa9E0DWV4SqiGaVygilKRefcfv1huMmFIgz/ALyp&#10;oVamHqRq02001qn8tX09GvmXWpxrU3Tmrp9Gvnt+qfyPvqxvrPWdNg1bTZGe3uoVlhZo2QlWGRlW&#10;AZT6ggEHggGh4K+Xv2Uvjv468Ha8fA3xTgSz8PtJOjXW6SSHTLkmScMS5MtrEYztZJV2IY2ld43F&#10;wD9VyQkHBr9WynMaeaYVVI6NaNef+T6HwOOwc8DW5Hquj/rqZ7xEdBTWTnkVeeDPOKie39q9SKOM&#10;pOhxSLHk8VbMHGcVGYj1AqmgIRCPSnCMCpBGM/M2BkD8ScAfmRVCTxVoNtqS6NPdrDetcNGtndEQ&#10;zOBu+dEfDShtjbNgYvhsD5H28tbEYfD29pJL1NI06lT4VcurGcjC143+1D8UdY8C3lrpVzbW8+i3&#10;mmT3QYSI1pcQCGVJTdbnUnypljZFQozlgsUguPL2e4QQMzrIrYI5VlOCD6g14r8cP2Y4rnSvtnw6&#10;8MaLcXFxZyWWpWFxBFDLqS7vOSXeWRZLmPEoRzhyrKmSN2fmeMKeYVsnl9VV+rtvb06/f956+Qzw&#10;tPHL23y/4fofO2o6tpfiC1tb6Cz0rXZb2aO/k021vLiOBna1WOW0AtWlZo4ZMnzTiWZ1DsGjIcld&#10;X8fPhT+0H8LfD2u+MfFi232PxJLEtz/Z15L9qtmedZfIlW2CDYphizJH5oLGNWkbJIK/njGZXjo4&#10;iXNScX2as/zP0vD4ijKknGSa8nc/ZEYVqeD3U0EAnNFf0WflI53LKM05Zh0IqMHBzTgcngfN9aDO&#10;USyrZOMU5TioAxUDcakD+tBF7DqAcUZooKvqODEnGKHJzigAk5FK3+7QVYRXK9qkV+MmolHPWn0D&#10;SH5BP3qVZPmwpqOlUkHIFV7rDlHsQTkCnRpvbFN3bhUGu67Z+FPDmoeKr+yvLmDTbGa7uLewg8ye&#10;RI0LlY0yNzkKQq5GTgZFTJxim3sg5XeyPAv+Chnxa8V+BvC+k+E/CVvIq6g0z65dTXRW3S1MbqFM&#10;KFZLssQ6ldwhj3IZRukgZfzZ1f4m+A/E+sx2/ivwhp2pWcIuIbfVtJZUe2UqVxHFuYCQSq4J3rhW&#10;yAeQ/sf7VH7SvjPVvFmoeGvidpkt5pZmnijhm8aNLd2LH5rpImmjht9+6MsqWjRwyFY/IZ1aLd4t&#10;qWq/BLxg8mp39zrGi3G6xMivCZk8pE8t4IQm8hQoVdzKNu2NlGPMQ/F4uu69Rz1Tetpduitt6+Z9&#10;lgcP9XpKL1S6rv6/gVrvQvhPq9vJfaH48bSHS1juJrXXPkjt4UJSXdNgIZCCkgRWOMSAZU5ij1T4&#10;MfE7w5cR3djosk09ndTPby2MwMkTQKZFkAyChIUlejbht4YoGsJ8FdV1edk8H+KtG1iOLUJre4mt&#10;b5GW22xq8YcgnDuGxtGQMo2SrFlxNLsfiV4Q1aFNGTV9JkkVb+f7OoXKxuI1eRGDK+HkRCrqQRMo&#10;IIcBuLl5pJONvQ9C8bcyl95Ytfir8SfDlrarca7Ffww26Sw2ev6atysbvtmimWRCkm4KQUZnfKTD&#10;AGFI1fCmk+A/jF4mt/APhP4P+JIda1SG4h0Wz8O2L615nlq100pt4F+0SvGEmJSOMjylByAi+X9N&#10;/sy/snyfETxlq3wq/bT12bSvFGnabDPceBz4Ue01ueweMTpcXF1L+4sxG93bbYvIeaQM4aKIHzj2&#10;fwC8RaDH+2F8UvAXwr+Hf9i/D/TfDMXh7VvD+lx/Z7W+nS9MTPdZlc3i5n1Yqs7u32dlQKfKjiTr&#10;hTrV6kFRWjdk99er80lvY4qlajQjJ1HdpXstNOn49z588Sf8ExtD0P4teFfhN8TfjkkFxqup6ktv&#10;4Z8F3Fjqt5aRWF41tdx3832hbaBo0t77DxNcuGtZFaASloB6n8bfhtpP7MXwFtn8A+F5dc1LUrhd&#10;At7rxRfHW7ua6nvHuLaTy7iP7Kwa0tjbC3jtI2DSKRM5V/tFnwrrEvx9/bc8ZfEaXUI5LPwJbxaV&#10;pNv9qSR7eRpWjZ4jGu2aCUQ6kC0pLhLxdmGVWhyfijdR/ET9qbwr8P4Wsbyz8EWt1reoLM1yl1Fc&#10;SOGVPNkcLKscpsZUjjBVVeRCWVfLh6aOW01h3Nu7lLli9tL2vb79zjrZnVliFT2UY8zW/S9r/cem&#10;eIde+GnikXWj+MNXsbzQ/FVjDBPHqF0z+G10+3VBHLJ5rPZ2lvtCuTxuVA53+XuHifwD8Taxf+F9&#10;Y+Ivg3wvoVvP4i8YX+pWeg28ksFhaQvKEeJWcyzP5TRy7d5Z2z8zZ3O+x+0/48tPCHwd1QyTCC7v&#10;IzZ28jW7TCXzGPmLgA7SIRKQxIAKjHzFQdjQvCF7ZeDrTRmujqMml6fa2cty1vsEnlRJEJNuTsB2&#10;8DJwOOa9WODpfXbL7Mfxb/yR5MsZV+qNy15n17Lf8Wjjf2gfH3ibxpr/AIU+GIuLSCBdWXWdVhhi&#10;Mk1s9srLbTsA4MMDtLLFltwd9vTYyvD4p1/xFraWtrZfELWvDsVrhF/sdkYPGqjAfzlcdsfKg9c+&#10;mZpKXesfHTXp/tNrNL4c0u009ba1XzI5YpS8++VsnMiSIY9qkbRlWG5c1o+LdUh8OWMmpah4atZt&#10;Qis7q8s9PkuDFHqDQRNM0e3O7Z5aMXZDkKGIx2VKjRjGc7dX+Gn6F1atX93TXRL8df1Oq/Yb0fx9&#10;4o+KWpeK9C+KVxcW8d9fXmn+I7eOK4up7TaLJXJlieOPcPLAR0wY8bcc16t+2zp3xE039nTxNdXH&#10;xa1jWprqO2tLfR77T9Jiju2muoYtoaCzil3AMXAVwMp8wK7gfN/+CY2tfATSvD2qa/Y/GLR7O6Ol&#10;2MP2HUPFFpGJnleaS5+R2DFo5I4dqg/IsuCDlSO4/bQ8X+D/AIi+G/Cfgnw74/sI2uviJpialeQy&#10;JLFZ2fl3DyTyODhNoQOADlwjhc4OFGOGp5RNtrna017+XqzlryxdXOopRfImumllrvbsj0DRfhn8&#10;SfCug6f4dX4/a/H/AGdZxWrJaaRorRDy0CYRpNOLleMAsxYgDJJya8/8ZeF7/wAbftJaL4N8Y/Ef&#10;XL+40XwVqGqaZfXGm6VvgknubW3YIPsWwZjSTJKluQAQC6t6dcfHH4Qy2scrfEnRY1m5VptQSMdM&#10;jliMcc15Xr/xN+DGjftfv8QNf+OXhLStMsvh1DpKyal4os4YdRupb+acvbs0oE4jSEo5j3BGyrbW&#10;4rsr08Dy04Ra+Jdei17+RxYWWZSnUnKLXuvePfTt5nRW3wl8QeFbaOx8Na/pOox8m6uPF/hK2ubn&#10;dkn92bA2UKL0GGhc4H3snNcX4F+FWsadoupahqnhjw3rtxceI9UgEMc15pK2fk6ndwvIxD3Qud3l&#10;jYirb+WoVWaUgufXPBvxE+HfxT1JtM+GvxA0PxDcPC06QaHq0N27QjkyARMxKY/i6Vw/7MXjK7+J&#10;nwWtPiBqemrZ3Gsaxq1zdWkbErBM2p3RkjBbkhX3DJ9K0ngMDWrxiktm+/bvfuRTzDH08POTdrOK&#10;2tvftbseH/Hb4a+N9E0/wba23ge/bUm+IFmtxcaTq9pdWs1oRJ5UavcCzkW5aXyiQUWFFViZyMsL&#10;Ws/DH4eaY91oWn3P9i2dxdf2jdX2oaLe6LDLfhhlHumiSFpZHCqAZf8ASMEYdQa9e/aHhl2eCxCq&#10;/wDJQNNV8+n7z/61dm1lG5bLelcf9g4WpiKkVpa1vn6W/I7I59iqVGEn1v8Ahbvdny58Dfi7+0Fq&#10;HhnV/EPw9+KN8NP03xBc6XDM0a6lptrp9tIsbR24yYE4iGyYbwgY8OpIPqWlft8eI/D3iS38M/FL&#10;4Zw3C3X2y4F54cmkZ4bG3GfM8lgzTTyKyERIQA29AznYX5H9nL4V6PfX/wARtS13RiNStfi9ryWO&#10;rQu0F7BbzNHc+XFcxlZY42Fy6siuFdZHVgQ7KbOo/s3eIvHfx/tdS8LeL5ms/AvhWfVNbj1+1W6W&#10;SG7kW2toBMhiuZ3/ANGdTLPNM6hIz8xaTf5yo5lg8LGtRquzdrPXeVup631zA4jFSo1IbJu606X6&#10;fqfQngT9oL4PfEp/sGieLre21KOS3huNI1Jhb3MM8yh44NrcPIVdG2oWOJIz/GuerurNVHK18M/t&#10;B/Br40eLPBP9g/C34V6hf+KJ7lLfSLfQ7d9XeaSeN4JFtxBElwJjDLNlvs6RBUcGXc8aP1ngr9ob&#10;4q/Dbwbo/jjQbpr/AMK6jawy22i695kiQW+bSDybWZVMieQkc6+UQ4MzBCItrCu6nntTD1vZYynZ&#10;rqu3e39ehP8AZ9HEUlUw8730s/8ANH1ZLBzjrVeWHaK4L4F/tc/B749+H9M1LTr+TQ9Q1W3R7XSt&#10;bXyTOxW2JFvIcJcAPdxR/IdxfcNowcelzWjDqf0r6HD1aGKh7SjJNHmVKNWjLlmrGaUAWo1aa3kW&#10;5srmSGWNg0c0TFWjYchgRyCDyD2q69sRwDVeeDua6vZ80bMSkz2nxFq9x4qTwvNCLzVtI8aeFptH&#10;1q2t5kWEyQMqZdjG0rsbNZl2KSgfZGwJkDLzOieL/A/wf1Oz1DwnYx+KvHEmn6npvjDSdamXVPDn&#10;hy8kHlypM0ZX+0rpE/0V7K1n+zQv/aPnXAdbVWteHfFNxp3wm0vXJ73UMaD4ht57oabIUlWxlBtZ&#10;FXCkyscKBEu1hyyurtHWbq/hr4PeBW1Ffi3pH9reIPsljq/gfwX4b1No7me3N08ciXbyRsumWhA8&#10;kXDlZpYV1P7Lb74oFr8lxVJYXHVKM3K19ktZdl6b3PssDP2lGM4pXtu3ou7t32Oc+E/ww8efHa7X&#10;4xfHXxrbyaW+sJonxR+IHirWrazuLRP+Pny5Z2wtrgXyJBaCJUWXUYhFFHEJClS1/aPs7bwncfDT&#10;9mWLUPDOm6Ta3Wjax8QpNLWx8Sa0tzdB5Et4fLMmi2TCPYGJW/Kw2xeS2lsRJLq+IdX+Ov7V/wAa&#10;HuNZu47zTbrxUsfg7Q9JhkTRtDupYbxppVt4t/mXhUX8k11IGuHU3pj8uItAs+qXHwD+BeoQ6B8R&#10;tI074g/EzWNDt7HWvAcAt7nRNHuEu/OdtXvoowr3cVtDEv2CBnYmSWOQ/Zr6OePF+7yKtrbRU19y&#10;bfXX5HZ8XO6T31dR7eaS6afNFHwN+z1ovhjwjJ49+L2o6b8PPh/4ZvtS0fURqwlsv9Ihti0FvbWv&#10;2cSX80t1L5P2e2yzvHdwqRcRxLJg/E/9pn4l6NrVj8Kv2dvBGpeBvBt9awaXrXjJbrZ4u12OwsJY&#10;onnutNxHpcDXM8lzGlq/mPK8kxa3+03Fs1ySH4sftKfEbTvFfj7VL7xX4kmvprK3vLWzmj0/S/Mg&#10;kvGttLtCJlgVre02ssReeaGxXzJZ5oS7dRe6b8K/2S7iTxJ8WlvvGvxG0/T7DU9N+G/hXUIrfVdJ&#10;vrax+07NYvbe48i1iae8ttsUSyTSCAXEC3MUlxbJtiotW+sSvLRqEdklrqv6+Zjh5J3WHj7uznLR&#10;3fb5nH/Bb9lbW/i7o9rr2qaTp3h/wN4Nj0vVL68vrpLHT7LS4zMs0wunVoYzb2NvLII9reWTalws&#10;M6TJcuf2lfBvwx01NM/Y1g0+S+tbK7sb742+KvDcf24wSGScppVpLEhiRZLnAubsSFlsI45Ir6Ly&#10;bleb8aeP/iT+0xrWh2Pj7So75dPuVXwD8OdF0Uw6PoU6JDbW8NrCiMZJ1ACR3EpaQGefyFt4pWtk&#10;7T4V/ssWGkeCJfjj8XNdtPCvguxvLW7kudatruQXkTXbbtPW3EkdzeSyxQW8cDxOxlOpQvA8z77d&#10;qm1Jxr4lrlevKvTS/f8AQmHu81HDpuS05nt526L835nkfw8+C3jPxr4/utR0C71rxFfeINTtrfUP&#10;EWt3Wo6zqUsvl+XGlzM4eaVI4LWfy2LSsLe0JXcqOR7ZZfC34Mfsk2uk+KP2odf1K+8WXcGn6npn&#10;wm8PyW9z4gt1mguhciR/t4t4rVJmvPLnEsS+dpcPk3LSS/Y35n4k/tPX/hnwndaL+xJ4W/4Q/To9&#10;Ai0/UfiF4i0eGTxJrVlDeNIXhS7xHYWzJ9onEc8byY1O422tncg7vJ/CPg++tLOSTwf4au59W1RZ&#10;dR1mSSzluNQ1m+ji33DuATcX17MkLkHMk8zlOJJG2nanGtWXsnelT387X79PT8zGrKjR/efxam3k&#10;ml26+v5HReOv2kviR8cPCtv4A1bSoPhn4HsLY6dD8F/CF6ItNgjFs2YLqYW1vJcgpLdRmzyloY0j&#10;H2TzIFnaPwB8NPHnxb1+TSfBXhi4utSjbfafYfPaXdJDcTW7SmJQ1orzWlxCt1MRbLM0YeWIyivY&#10;IP2dPg7+yzp1v8Vf2zPi3pvhHTzqCyWlvbaTHeahrc8Gpx7JILJYpZLiJ4Uja4V7WSQW+oTeYlq0&#10;DSDnvHX7Xfi/xt4Cs/hN+zj4d1f4T+CZNNiszbtcRTeJNTg+zR23kTXQkuPsoMQkh3wSvdjybaWK&#10;7hIaOpo1VKm8PhoqT6ya0/HcdanLn+sYmbiuiT121t6/8OW/jD8IfgL+yVqH9rfFfWbzWvEj3S6h&#10;pfgTwXZrHfGFrq2uY7iWdpSIHEtjdujvNaJcf6ZalrsgFvlX4xftJ/Ga/trXw/8AB3w74e+Guj6f&#10;GscVvosEOpXkzBpCqmW7h8nyWUqTF9l3h41/e4LK/YaD4Wh0hvFutaaI44NYW+17xB4i1KSW5kkk&#10;SCS6m1C6nk3STKiGSaaR5lyAXkcYYp3Gkf8ABPr4jeNtcaHxF4Yv4dPa826hHcSG0E0CXV6kiQ/K&#10;WmKTW1jJFKsb21xb3sEyTyeWVPRTiqcXLEzfPf8Aq3l+Bzyqc0lHCxXLZa2/O+l/xPzk+Imjy6zq&#10;qXfibXpvE08UbfYdQ1bUZ9SATOQkT3JcxhjtbYduTgsO9YWpaVqUHhyfxj/Z00ek2ckaanq9wpS2&#10;spH4iR5BuRS7fKNxUn5cV9k+PtR/Y0+Gmi6Sn/CYx/EjUo7HR79R4NtGvLdriAjM1rdi4+ywI83m&#10;3Utq1wzEyrhSnlqfJPGX7XWu2Y1C2+GXwn0XQBd67NfTalqUhuH1BJS5dp7WBYtl05McjyLcSgNG&#10;6/vAwdd4yi1eK/r+vMhxqRdpy/H/AD/yPKdA+Dfj7xdpP2uy8Jtc2NxG3zXzQwxyL0PExXcp6HqK&#10;qx+HNa8L+KrLwx4QvNP0K9dZnvPDlw3m2bSLH8s6IpDQsVCK9xBseNQzBz1O14s+O/xy8Rao2pye&#10;Ov7IUN/yDtF0u2FuvXp9rW4mBx1BkKg9ABhRkt47+L1zeL/avjH+0tPmQx3Wl65oNtJa3EJGCpEK&#10;QuQPTfjHapnH2i1i/wAE/wAzaPLHaX5tfdYdqNl4V0bWIX+Ielf2K92sH2G5W6RrUvEv7u5sL792&#10;tvceXFAied5JMcSmWScqgEs//CwPDehahH/aA1K1i/5CySWqRziFgYY7qRX/AHeoW77Z5f3oimkY&#10;Kz3DxJ5hfD8RYfDyMfiF4eks7e4s52uL7TIZrvS72FROzCdNsk1uNpghIK3SIpIRYQQ1Jp/w/ksC&#10;3/CCeLWt7LU5pP7Bt2kS60e6kkjuoJYbaW3fdbuzLKfMgmV1hO2ZQ24thKP7y0b3102kv0f9dzRS&#10;933ttNd0/wBV/V9ilopd7y8u/h/rX9jx2XmSHwzeRmJtMl3T4ijeQGSxkWNkwzq0H2mb5ElC71+n&#10;P2SvjfrHjDTJfAPxHgGn6hZyrDoKz2Jh+1QiHe1usi7oZpIAGThkmZYnLwI0MrH5j1PV9Nv/AA9Y&#10;S+LPC11oE1v5g0e8vbtbVrcbr79zbapEESN1IiVIrjyFRUUbLg4zv2PiP4h/DrWb5tPjurix0XVI&#10;3hlsIYbfUYUWR5PMk0+RVt3YCyVVUCMCPdO0E3UdmV5hUy3FKrG7XVLz7x6eTRz47CxxlBwaV+jf&#10;+fX5n3O0I7VG0J9K534J/FTTPi14Pjv/ALSq6taxRrrFn/Z81myO2dsywz/vFhlCsyElwMMhdnjk&#10;A6427Zxiv1bD4iniqMatN3UldHwtWnUo1HCas1oUWgGOlQvCF6CtJoPao3tix4FbGex5b+0TJr2i&#10;eHLPxF4O8Fz6hrS3SxWt7a2sLyWqqGlJDvG7xnCyKrK0So0m4uMAN8ZzftAfGP4J/Eq6bxHq99qG&#10;uWevYmi1XS7Od57V41jjge4SYtKuFaNzIyrEEcLIjYFfSH7WXi34veA47OdPBlxrGmW818ItW1WC&#10;1MEyyCJhbNFEsoVVWJwjSorOZPmI8oFfljxprHxN+I/i248S/ETwVPrWta9Zzarp1zDdWsmpWlik&#10;gjnefylkZvJVWQQhVJ2NI6x+XID/AD7xrnFWtnMlGE4cllZ6Xtrdf0z9KyHAwp4FXcZX6r8v6sfb&#10;X7JXxX0/4w+D11fw7pcaf2fpemQ6qdR8aQajfxkWreY1xHFLK0TmdJSPMWDzEYttVkZB3d5aeNY/&#10;EQttZ8TaZaWr3UTafNZ6cyXEAeO6MoV5mkSaRIo8hkQN8xZo0Rcn82tB+L/xN0DVIbP4G+Ho5NLs&#10;IUB0vSZsXEduBPdNbvLgGRmRppv3WFcRzN5UkKhj9kfCj9sn4VeKfhjH45+KvifVvDPjCKZv7Z0m&#10;S2vUVbmO9kkNnGqQMzW/kWFv9o2I4t1u3BkV5yT9JkfFEcywSwteTjJLdtJPyex5mPyWWEruvTV0&#10;+lr2PcLzVoNX0NdN07Qde8UWrTTWs1/ZLAr3D28vls5CtFgNIjEFFCkISMKy7iuAX4gW3we8KQ+O&#10;PiB8RLrStG8VWKX2n2NnrNrNPYyGd332rlQL0XCTpLL5St5LAYLI+9Sva+uznGN1G6VnzJX/ABWx&#10;531VxnLlva+ltvwe5+hmUx0pu5c5H5U1XGcNT9nda9Zs8kjYjORQGan44xTHANLmAcZWIwTTllkI&#10;2k1EIxnJFALdzSvcnlTLSS4GC1SB+eaqxsFHBqQS470By2LAfHQ04OCMk1XWXcOtSKRjrVcwXaH7&#10;29aUOe9QiYhsMKkzVFEmR1oz6VGBk9KkoAdHnOK8C/bw/aj8Q/AbQ7Pwz4H0TxFdatfW63F42k28&#10;a20dpL58aedcv/qGLwSYG5C+zblgxWva/GPifTfA3hDUvGOs6hYWtvp1nJO02qXht7cMB8qvIEdk&#10;DNhcqjtlhtRjhT+df7Ufx/m/aS8WWFxqPxBENlAszaWsfhu8t7WDTtpuJ5klneQRs8EUbySIwhYW&#10;0biIEMW8fNMTTjFUOazlq7dv+C9D08tw86lT2vLdLvtf/gbng/jLxj8IvFl5qDX/APbnhrGj+THD&#10;BHug+WZGC+RaPJ5hVogPKYbNqhl2ybCuZqfwUGq3Woz/AA48VWOrx2b2xSxjvo3mRJdwPmMpCqfl&#10;JXONwD8AphrU/wCz74h1uK113wv4u0vVrPUNQkgh1CJwI1hT5Eldo12u2UdZNoJ3rn5izbeN1f4d&#10;eK7SK1sta8HXX+n3E1tb2r2/mGWSHlxtGeMDcpxhwCyFgpI+XqSk3ecfn/Wh9ZT5eVKMvl/Wpa1j&#10;wP448D3X9r3Wm3Fv9h1Zbez1CHK5n6xyRNw2GGNrgDk7eGBUfVP7OPgv43fs0fHnwx4K+POp2Q1C&#10;68P33iTWNCur6WTVvCGl2sU99cSPLGyyWmrPbWs4igkO60+02zq1tdbWtPnjwJ461XUfCOtwa140&#10;1y4uNWWEaS/2wSW8bmQCW4uJCks3kCIMphhCFjJ5jPtiMU3pPh6313wj+zX4h8Zaf4Yum1f4sa9D&#10;4Q8Gvql9OijS7KW2uLoLLcSRW7q10dMt1uG3Kn2O5UvD827NRbkuW9vz8iKtRcttL7en/Dbnt3wW&#10;8T634d+D3xa/by8TaRbw6p4tvLhvD1rp+mwyQW0azNFEEUyl0tvtkvlNA7L+7tkJWX93UP7Olhdf&#10;sy/sJap8VryyuINU1a2n11Ea1gl2PNst9PGEJBidRayEOSymd8qD8gj/AGwfh1HLafCT9gH4eaZP&#10;b27SQPfasvhk+YkUUk1nLfCKJkBY7L+4lbaqSHy5AACA/3883a7NV79urwPrHjBvAP7M/wAP/Dsn&#10;2fWNXjlkj0fQblLfRbK3S2tMW6W6CIWy+e0hQs7wnywXhjdN30MKkcHF8urpx5V/jlu/lsfPTjPF&#10;SSe05Xf+GOy+e5X/AGNvCLeCvgPpmnxXlxPqXiLWI7+8tbWRLkWct7BG9puW3Um3R7FLSUmUkqZf&#10;mZQyIvF/s5Ta1438Q+LPjisC3ia/4oFnH/beBdWmnQKzqYpAr7wfMghMOY1/0UEsdqCvSP2kviJ8&#10;H/B/wG13w3pfjzQYbGHS9R0P7FpNm+qiy+y22JrRorNxHaybP3MX2iSGNZSgYMFZD5f8HPjb4G8G&#10;/BHwvo/gHwFr2rQxyTPfL4l1KDS2EUj+dviFuL3fvkkl+RnjKLtGWPNQ8ZGDpU01aC6a67f5mscF&#10;OrCpUcdZvrppv5eRl/HGLxL4w+Mfhv4XweN7rT1/tKfWYbjRdDRWs4Uy1sXkmMqPKrRzoZNqR/vk&#10;zEx2ivQNc0rR9U023F/cXi3unsv2W4t9XntVkBwrGaOJ0jlGf76kDccADp5D4i/ak8Ur+0J4i0vQ&#10;vAugW6X/AIVW103UJbaa4udFtftUkkSRmaV4ZptzuZJHiCSYjxEnlsXk1j4y/GLUfAMfgbVfilq3&#10;2WFzKbzSVg0m7c89ZdOjgYD2GB6g1yzx0pTm9Xd/kdUcvcYRWisvz3D4O/C8/ELRG+N7/DW1vJtf&#10;1S61LTby10c3Bso5JP8AUx3BTMi5UuGXAIccZzWr8X/hl8WNd+HOoW/hTwnr0l9PNa2lrDaZt5JZ&#10;JrqKFYXLFWEcm/y2IBXa/wA4CF2HjHhX4kfE34sfDBdC+J3ijWtZ0q/unu/7D1rWJr+3jDMzIu2U&#10;lW2qVAbaOOwrnPHi+FfD/g6/0Lw1DptjcPHFALeCNU2RyzRwM21cFcLJkHpuCjvXL9Y/c2t03Oz6&#10;r++5nLrsfRPjLwtcfC5VtPH+o6L4d2qNkOra5Z2YUZIAAklXA4IHbg+leZ+LPFfhW78T6VqelfGD&#10;wjJpdq8x1RIvHOmfZ0YpthZz9p27yWkC5wcCTHU1yuk6TqN7ao9taSyKFyWVCazfF/hzWZp9Lt2t&#10;3ydQa5jgGNzeTE8buR1wv2pBnpmTHWiVapb4QhhqcZX5u56WvjP4f3v7u0+LPgl3ZsIq+OdMJyen&#10;S45q14X+Dfxo8UeItUu7XTLe/s7OztzatZ6xayhLdmlbcQspIBkMuM4yVbGcZrzA6VqKR7haS4H8&#10;WzpWL4q1/S7a50my1HULe3jj0tnLTzKodmurhcc9x5X5EVTrz0vEccPT1Sl+p61rXgPxobO6sZ/B&#10;2rSLGrLLu0yVo29edu1hxzgkVk+H9Q8W+D78+Lbb+0fDmq675t5FdW++wupI5WLBkdNr8KQMqeMD&#10;0rzq30jRor+DxZpel20d3EwktdSghUSIw6MkgGQfcHvXS+O/G/juTxhqWl2vxM8TLa2N8VtktfEV&#10;3COACSRHIoO5tzEdCWJPJNV9Y967Qvq2lrmz4q+Lfxj0U6Xb6d8WvEUjzeIredZ9Y1aTVJIplEjI&#10;6fbjMEIPPAwcbTlSQfT9A/bQ/aF0XTbWwuNS8P6qyybr6/1jQ2a6mXpsX7LNBCgH/XIk+teQ3vxI&#10;8cfEvxZo8vjLVLW+GnSrLDHJolmC7RAugaTyfM27lG4BgHGVfcrMpfafGbS9Ul1a+8R/CrSXF/b5&#10;0+PQr65sTZTEn5v3rzoyYwAojAB5O7OK2o42pSk3GTVzCrl1GtFKcE/kj3r4dft5/Du31XxLYXXw&#10;a1jT5bjxQ96yaTqkF95jSxopaRpxahdscMWSobLMw2qEy3bt+0n8PdV17V7L4aeOIbi68VTeG/Dt&#10;jYtHJb3t9cRa2tzctDbzIkssC2jMrSKpUM/OPlJ+QvCkPgmbxT/bt9qlzoOn6xDGmozXQN6LPUEj&#10;lO3Maxs9uyJGocR7/MfmMIC4h8YWF5q+jaPqvgHxRo+pTS3j3E9nFeeTdLZwF/tbG2uFjnKrEJJD&#10;iMgou/oVJ0eOrPCqk2rJprv8VzmeV0Y4p1IxaurX6bW/rU/S34ffGGL9nPXpvjxcab9r/wCER0fU&#10;tVSz8ot9oaGyndYsDk7yNnHPNeY6z+zv4S8bvL8P/iRoFjp+r+auh+Kn8O3DRpbXtu8dvcQq8Ljz&#10;kt7i32orFlH2dBjivlTwT48+JvwegtbHwf4j1DRbWHTwun6W8YksY7eSXzS0dnOr2/zsG/eeXuIZ&#10;gG5r074G/t9Q+KPtXizx38PorOTW/Emo6rNceHWZoory51NpZcwzvuEQeS4maTznkICqsbE7q7/r&#10;mHxONbqxspQce+qen5nl/wBnYrC4T9zK7U0+ztb+upH8YPg14Q+GnhzxV4S+HurXU3gnw7rV7a6f&#10;f+S8GqaRa/aG2eZwROxt5FmS5iCZ86MiFVBeuh+AH7Y/jv4R/DfR7r9oLX4/Eejx2epDVNes7qCe&#10;4guIpSIxE8bmO7iaRJ48q5I3QCPcikDrbvxD8H/iRod5pH7LWp3GtWWjwaNZ6/qE3htrmX/QdFtk&#10;tZJLW724Mv8AZ8Fq6TqxA8xjFNlUk8y8b/Bv4V+P/CPiu2+E0j3mq6pfRmbR9Q87doMN7ZRx2w+z&#10;F44SA5jdGXDDY6lyBJv8nC+2w3s54WTUuS77Nrdee17M9WVaM+eGJWnNp5J218t9/wAD7S8Oa/4f&#10;8ceGLDxn4U1OO903U7Vbixu4wQJY26HBAIIOQVIDKwIIBBFSTwH0r4j+Bn7S3iD9lH4t6R8L/EHg&#10;y4sfBfi6GPUW0VpBJJpG5HVriJhGiyu4jSaVlVVkJCsscr7k+4dN1bQPFWjw+IfCmt2upafdAta3&#10;1nJujlAJGQfYggg4IIIIBBA+1ynNqOaU2tprdfqvL8jyMZg54WSa1i9n+jO3+BbbrLX9Maf5rjTZ&#10;IbKHB+e5ZGZD0wMGLO44A9yQDn6jo+heI/BEPxA+KXiTQ/BukWvhVTN401yRpLubULVYoEAtY5Vm&#10;v5pP3vlQWyEzpG0asv2m3RavwvuRpHjyz1KS5aGOHfJcSIpZhEi+Y4AAJOVQ8AEmt/8As/xN4r8R&#10;eIPB+geF5rzxDDqH2nQNN1LWYFhnt3lj/dWyyPHEs54jOcAPcxb5Wj8vb8fxRRlh8yVRS5eZb9uj&#10;/JnqZTKM6fK43s9r7/1oYXxh+POuaRPN4K/Zn0u48A+G9Q1f/ib3lvqXk+KtatYrQRb1uon26ZAC&#10;u7y7dluGdIZmmikubmI5+i/sx6db/D66+IvxX1Cy+H/grwmuoaZ/a2sW8kY0xhZRiDyLRk/4mchu&#10;XghW1g+d3hurcSRTxqknS+ML34Ufs72GuaHaadp/xY8fada65ELeCO8Hh22ZrhbU2mocyNdXCrHe&#10;KdOg3BTLdWlwyD7NOfOPEHjD4q/tI643iPx34g1LXPFN9Y6lb20KwyImnRzW7XMtnpVlJlTmOGJV&#10;ijDzXX2aLzJLqZQ7+DS2lGhpF6uct3btfz6s9yrKMeV19WtFCPS/e3kdN4k/aOhtPDN/4L/Zm0jU&#10;PBfh6/tpbe48dStAPFXimFLaC3ikh2RIulpNDbzSYhxcsbiO4BsbhZlbD+DP7PXjb4ra3qXhT4Z6&#10;BbRxPcXc9xdxySRxyXE1xamV5p4l/wBGmaS/lm/eHzJxDPJF5rxvGe91j4KfBD9mKCHSf2mtb1PU&#10;b66kWHTfAfgW4S+1C/sJxFCt7IzmOPTYT9k1UiYzR+aoQwvDdoYG4z4y/G/4zftA6XfaP47gh0Pw&#10;feB93w18PxM9jePLBNJc/bbqZEbVXklu7nzGkEdtK/ku0IuIjKejDuUo8uFjvvN9+tu5jiOVNSxU&#10;rJbQXbpddDYvfjP+y98DruTwr+zfp2j/ABU8aW9vNF/bsmoXL+FdHVbr7ZZy74t0WtXNvK9jxE0S&#10;l9NdvN0+5Do3l/xqv/F/x1+I9n8UfiF481DX9Y0zULmazbVWL2ulW1wwzFaRLsht8LbQQOIPLklV&#10;EedpHPmN3nwh/ZV8YftCeKrO98LaLGnlK0MOrySSm3ilAvGgUuuI96T2u2WFC1zEt3DN5Mke1h1U&#10;vxm+A37PNlHafsx6fY/FTxHcwZh8XX2238M6T5kGnTxyoIi0uqESQ2V4kQdo1lS9SO9snzCuPLRp&#10;ylTiva1L7rp89lr2L9pWqRjUT9lTtrfq/wA38/xMf4cfsw6vpujr8XP2hfHOh+CfB+l31t/aviDx&#10;hKLTS0P2yS0lt/MlkgOyWSCAxXBfyJE1GNopnb9ycnU/20NJ8C2Q+F37DXhzV9NkksBHefF74g+G&#10;2+2X6/Y7WFpdO01lgS2uTHFDLJcTWsdubmyYy2lyXZq898VeP/i58a/F8/jv9o7XpPE+tWGquNIe&#10;3sxHpejGRpkaHS4ZAvlxLHLIhlbdcTQpGJpZWWMV2Pwn/Zg8e/H++nbQ/A1tcTW8clndahcWayWt&#10;nOn26MxXFw4VSYL+y8maBN15bLexTLbOjljpUjOtTVbE1Ovw9NHqu7ZnCpTo1HRw1Nt2+LS+u3kk&#10;cBfwaj8VfFcl5rmu6p4q8WavdKja5eKLy8luDPdFEjOwrFGs81xELaAIIUuWjijjRgB6D+z3+x/4&#10;q+PFvo2t6JoskvhO4W3uY9T89Us7q3kOm3iNFOEMcwltZ5Whnt47nybuzkhuBCxY16LqvjT9jr9m&#10;e41LwnpGmw/FTxxp9xdQXXhzTNlxpunXENxe+XFqV6QbdJ4Lq0hgmUK9zCwt7j+z49xceFftM/HH&#10;9ov9ozxPHYfEnXGvvAd1M4m+HekWTnTfLkueP7QaUEXjqskBQyyrEJYTLHBCE4KmIqNe0w9Pljou&#10;a3S/RCp4eK/d4mpzS35b9bdX/wAMeow/tN/smfs9RW8H7OvgVvjl4v0uaOaTVNKuBa+HEuIYtvmQ&#10;ajJ5sJmkWW8WOWzjvmimWa1na0WTKfP/AMWfid8Yf21fDjXn7Qfje11yHcIpfBPhuwOn+G1AiUDb&#10;biR3vQfsq3I+1yTNDLuaExqeeitNI1TWNUj0ywijXzLq3gkmnuEhghkubuC1iMsrkJGr3NzDDvZk&#10;TzJkG75hn3D4Ffsg+Lb3T5viT8RbW18J+HE0631jVrjxZYyWMb24jsbt3mgYxTxZiXU7O5+0PZy2&#10;ssMcyC5hODtKjhcHWjUnPmfVPVvtbt8znjXxGLpOnShyrSzWlu931+X3Hwf408LNBb3txbaOkM9j&#10;bzXK30a7fkS3815i+7JEIV2c4BCxyMX2hWrkdc/ZU+I3iu4vL7SfDiwQsumyJZwyMiLHdqJRLBPJ&#10;lZhFGytIolZlyIz+9EkS/cXxX+L/AOy78GtMl0j4EeCdU+LOswSQrZa5q0iafYfaYbO2s3uzcC3E&#10;Uf2i03SLcWFm8U0pl3MnnPIvy18af2hf2m/G7zWOq+MtJ8N6bLDNaLY+F7FLYraPJ8peYtNcwTqB&#10;tLwSQZCqwjU4ZuyNapW96MbLp/X/AA5zyo0sP7tSacv6+f5HF3X7DTaXNr994s8WpFa2li//AAjW&#10;vLbhVhiADefexSf6tcFv3UcgA2gmYHAPA6T4J/Z30WxjufE/7UXg/UpHQKbi116ztos9Mqn2h2IJ&#10;HZmOMZxiua8d6HM+vS6j42mn1TV7ORYZrrWruS6voyrNtjZ5WabClm4JGwE/dBrBnjWW48sSNKjD&#10;cs23IZs42joT6dCOnQZq5U6v9X/SxpTqUrf8MvzudfYv8H9Lnmn8J/HTwebKNWntbf8Ati3gnS62&#10;7FkEwlwybTtIMLqwGGyAVpL3wfpeoPJ4k8Pa5D4ZOtIR/a2jGKTSdS3B4lLKzSW16nmTIixyBbh3&#10;8xgqAADkJzYaO6y3WoyRg43M0IXB7fx/59qs6FpE1m39qfCrVLjw3eKoi1STSbWN4rpG3RqZLXDR&#10;3DRiV5AGj5VmwysFNRKNVRfMlLy6/J33t5ouMqPMrNx8+nz02+TL2t6l4jW31jwh8R/Bt4NPhKi+&#10;utHilurIxyebKk5g3SXFkNsSr5gFxGgRlEa5Aq9beHLbVUg1D4S+I9O0zT5FngtdP1K8a60ma4ka&#10;QFLaWNw1sJZZmLRQSREJAxlhKnbVi48V+IPCfiK2vvEfg3y7SKT7Pp/iPwhHLd6d9nDxhY3svM86&#10;GKKG1YvHDK0S/MfLdiDWVovgrwYvhK78VfDvWWtZZIy0OvaXexvZyJt842l8SkcW0Ruzv9tiieJm&#10;jiUS4WOsJR5ZWau+z0fdWf8AX4msZXjf01Wq87r+n6WO1+F37RGp/B/xlH/wlEc+kWdpffZ9ViuP&#10;JS1vIWQssUd2VhtZGEI86Mym1ZAIYogY5JRJ9qaVeWetaXbazp7SNb3luk9u0kLxsY3UMpKOAynB&#10;+6wBHQgHivhFR8QtL0lf+E08C3l9odwIYdUkstPZgiqY/wBxeWZL3NmyJk7rZ5I4g26KLnJ9n/Y2&#10;/aAsHS18C6xcQ3Gm6tdO9n4jXUvMtzfSMpWAn/VRPL5i/ucQy+cd5id7pxD9Lw7mzwlf6tWfuy2v&#10;o0+nqn3PFzjA+3pe3pLWO9tU1+jXbc+i2gXrTDBzkVfaEelNMHPFfoh8fz8xTWOWM7o5Np9V4rj/&#10;AB78AfhP8Sl3+Lvh7pd5dBXWLUmt2juoC8yzNLHPCySJL5g3CQNnLODuWSRH7xosVR13W9M8NWX9&#10;oazNIkLTLH5kdu8gVmOBnYDtGf4jgDuRXDjMLg8RTf1iEWut0vzex0YatiISXspNPyZ87H/gnf8A&#10;s6+FbnPgf4JaxcaiJI5v7cfXICjruj8yLy2dGiJUPh4RFIpPySxZDDzj46/8E/PC3wy8Jp4w0Hxv&#10;9l8R2irNYabo+hXWxFjnkkzA8G91EReKUyyLLcExOGnbzgB9jeKLXW9StItN0aC4jaaUGS8g1L7O&#10;0Ef8TAhH3MRnClcE4yVwGFGy+BfgGPEGr2dxr1ut1NPHb+JJheR738vDlJAV8xdjYkx5h85wzONg&#10;X4fMOFsFWlKlhqKv/M7xUb9rL3mv+HPpMLnWJpxU61V27LVv1u9PwPlj4L/tC/HTxVbJ8MfD2veH&#10;Y/Fmj6PDqdk1jeWmnK8UjCR2l+3R3NskxOozhiLe3uZDGN8shSZCV9U+Ifgh4P1iK4l03zNMvLiz&#10;jsvt0dvb3bRWqPGy26RXsc8KRDyo8II9qhF2hdowV5seE84px5Z1ubtZ9Om6OieeZfUlzKml6r/I&#10;+xShHOaA7A8nNG456Ugx1Oa+k5keCO8z1U0hXHQ0jcr8ppoL7sE0MCQZU801tx5VaM84p2eMA1PM&#10;BHvOeRUiuScEUjKTyRScg9KOYCTJ7U5HbqP51GFJ5zTo0YnaDRzgSCXdxTo2cHC/rUeBnCN+lSQ7&#10;gfmq4zFsTpnPNP5PQU2MZNWra3ad9saZwpZvZQMk/QDn2AqnNJXGeM/tWfGzT/Cnhe++H9p4e1j+&#10;1LlYpLHWgotrfT7iOSGeK4jkclpJIm2TRlIZ4HkhMMpH7wL+X/xR8CfEDxJLp+naf4ChezuLtrWz&#10;S0W2MNqIm+TKeWy265RRHLHJEYxHLE6gSAH2H9vTxX4fvviTr2vX5utTkuNQudNsrrxBdKkcsZvJ&#10;RGsYnkMVuiGX7OrrIUeKCOZSgldF+btL+KHjzQb9rvQfGWoKq2n2aFZm3xrF8oDeTIXjWT5F+YAk&#10;fMAcMQfjsZialSTdR/Ftbsnpc+sy+hThFcq26vu1rbX9DNgGv+HprXXoVvtPm8yeG1vFR4XEirsm&#10;jVuCGAba65yN2G64rpvCHxn+JWkXdjawa99tgt2l/wBG1KNZhJv3ks8nEp2FiygSDG1V5UBa09D/&#10;AGjvFVnd6bN4j0ex1T+zf3sNw8Zju/tSg+XcCQEqjgk52RgnsV5NKdV8L+ONLtbXwZ8OPsOrX+qS&#10;SXkcBa4dp3CqsUDffZWG07NigOflGWctw00ub3ZHpVG4x9+P6mfZ22pa7qDNp0Jm1S+uRBZQQ2ch&#10;82aZiCU8n2Owx4O5bgYBxx9i/D/4MD4X/tdaT4e+M3h+TQvD3wX8FxWOlNrHh+WUa3q6W/n3k2nI&#10;+66vVa7u7zUInhjkaOKW0bbAJIVHEfBHwH8FfgtrHjjxN4t1bVI/H3wc8O2uqatDfaXJBb6RrHmi&#10;VY7eSF5I7u8iPlWZS7FrHFM6M8N/HHPHWP8Assal4l+HP7HPjz9snxXqF1qV14k1W91PVNYurhGe&#10;5vfMaJZJTIdrSNduUkkCt8xIIJUqLo1ueteGqSv8l+lzjrUkqfvvfRLbVnfWXxa8A+PP2/fHfxE+&#10;FPgu4vpvCc0OmyeJNevxPp91JGYre68m0gWCW3aSGJ44pWuJQo82Rk/eLHH5F448a/EL49ftmaX8&#10;LtY8a3vibS/A+g+TdWt1HCF1C8IS4kla3t4o4jKrRW7nbGoBtQ4A2Aj0/wDYD+CWh/DP9kG4+Pfx&#10;lXUEufEFrfa7qVrcQmzeO0+9E/m7hJLujjeeKQGNSt7gI21ZWxf+CY3g/XW8CeNP2kvFbXX2/wCJ&#10;niiS7hUXMLW09nbNKscqRoN8TmeW8RhIRkRxlEVSGk7aeDxFepSpzdue835LfVeehy1MdhsPGpKm&#10;tIWivN7WT301Z51+2/Z+MW8I+E/htZ6W9rcfELxFaWOnG8mEBZPMj3eYpO9AHkh3blBUOMjPFeja&#10;D+zvfaZo+l6ZJrdtapbxpHdWdvbvPuVRtCRSlkIOMfOyH/d71yXi3UtN+Ov/AAU1t7OH7HNZfDPw&#10;s0s/maf50dxcsSuzLcLLHLcq6vzta1O0BstXoX7Ufj+T4cfAbxZ4yRVLWOhzCHNyYcSyfuomDjkH&#10;e6YAwScAEE5HoYXCYW1avPWMW0v+3Vrt5nn4rMMV+6o09JSSb+b038jxT9lD4feGviR4o+Ifxe1F&#10;FuLO/wDFB07SrOaZmuLNLZMbmdW2ESRvCQBkKUbHBBOj+1hpfgf4Wfs7+JBpdpODewi3heaZ7iQv&#10;M4RsSSliihN7H5gAF+X5iM9t+yn4VXwL+zH4L0NrmG4kbw/DeyyQ24j+a5H2jaeTvZPM8vfn5toI&#10;wMAcT+01q0+rfFH4afC3S/EVrDNd+Jm1i9tLpNwktrCJpdjgZyrsSFRgVd1yeIzVxw9OjlabiuaS&#10;+d5P9LmP1uvWzRpTfLF9+kf87HQeBvhn4W8AeFrPwvotpC0draxwSXv2NYXu2VQnnSKhI3tjJ5PJ&#10;6muP+Nh0W+8beAvBV5byLHda5cX3lxlkMhtLZ5U+ZeGRZmhZ1PBPljua9QvZodM0WTVr6ZYbOJMv&#10;dTOFjT6scADp1ryFvGnh/wAS/tCy6to/iXRb3SdP8HrbDUI9RR2ea5uyyxR8kMES0be6n5S4jPK4&#10;HXiY06dGNNW1aXyvd/gjmwsq1SpKq23ZN/N6L8zupdGhMEjyWiMqw+ZyvLDjp74bPtXnOoeHnuvi&#10;vHdy3yn7HoOY9P8AL+6t1cbQ3+8WsJN3syfWvTJrmymt2On6xZ9sFr2NMKQRj5iPbmvPPDmnafef&#10;EfxJ4it/EMTXkMlvY3ZmvIVjEkdut2GQlsEf6YYz2zCcdaqtKm5wjdb/AJJiw8akYVJcr2/NpGhc&#10;6fZBFdYRtkbEeO3HQ/yrGvLW2GtXWi2iRyLp0kazgxj93O9tBI6jI6EMj+nznpmuivrKSFEd9Z00&#10;bZQyqmpQMTk88h/Yfn+fJXmr6L4Y1C8uvEev6baSTTrHdSz30aK7QxR2okyT3SCOio6ftI2a6/kO&#10;nGp7Gbs76fmLqek6LNFJf3VlC22GQ5CBf4Se31BrPvPCHhu88R6ndiwjjuZtQlE88UIV5gshADN1&#10;OFwBk8AcVp6VP4a+Ii/2R4W8RWd957eSzafeJNtR8JuO0njkDNS30Sf8JNevasux7+Yoy/dOeeKm&#10;UKdSqrpPQunUr06L1a1OdtfBOheHr5tV0hbhZPJuJJWuL+aYO3ltwokchBz0UCsOPwDfQ2MNvpeu&#10;KTIxK3N/CJGAzypEewHHIHQ4AJyc113ibzINSjhj3eX9nu0wCecQMQPfpVqwsHvdJJWRdttAkme4&#10;Z3kHXrjp+IrneFw86jXL2OuOOxVOinz9Xvr2OP1TwtqR8IwwWq7n/thnZFOcqIQAR/30D9PyrE02&#10;G9sdWs11bT7i1bz42mE0eRH8y5VnXKbuem455xnBx27agFnk0nDEwSRSE8Y2urKPf/lnVHx5po1H&#10;wVfaf5jRmaxlVpFQkoxDKGHuM1xzy+lPms2rHdHM60HFSSfNb8TFfx749trnUrGy8ZaksMnm2i29&#10;zIt1bpELjepS3uFkhVtyghwm4DIBwSK2LTxN4S0iwbUj4RNomp3t9eraeG5GaO0kMikW8UFzKQEO&#10;SR++QKXY/MCqpJP4P0rX7owXNmBPNiNpo2Mb+WewYcqOnQ8HkVV/4QB5vDEmq6Ve+Z9q1P7RapdR&#10;iPajW6KY8rnbysbk4OAxAzxXHLCYimlOLvfY7Y4zDVpOEla2/wDw5peDdPl8OeP9W1bwB4zjmja7&#10;N5pOp6LdS2t9EzLLDcMF/d3EAZLbJbAVo34ZgSB6L8Kv2nbyw8b+MNE8QaFYrrSwaXdQeJ9M0tBc&#10;SyI6eQt1ApWOWONA+GjVWWOJVEU7vmvEo5H0AXtlfwta33kxXlrMJFGI7aWORp1YHcmx3Rgx2kFS&#10;w6Zq74f8RXek+KIdXvtH/tKf+y3+0X0e37bJBGIYhG7l1WV8oZN0+ZXJbMoVhjKnVnRqRT0ab/FN&#10;PT5lVMPTxFNtO6aVvk01r8j6W8SfDR/H3ijw7ezfGXTdUmvLrUPD+j6hZLGv2S1Mkelx26iB1aSV&#10;Vk1OfLnazmaNwyIyG3+wJ8ZdN+Dvi2/+DHjDWNIj0Pxf40v18L6tDDcwpf6gQj+bEZIArQzxtbxK&#10;jTGZJQuI2jlMy/M+maLe6Pc+NvFmm6xJeaLD4itNRkaFmhN/H5lxC8W1sPG48zMbsoKgb13Ry/vf&#10;obwrq1r8Q4fBPxe+HvgmGTUr7xFb6v4ZtdTlaaHQrR9QvdNmugsciKFhkj0xDDyXFvCBEys2cKeK&#10;qYHGQrw3X4pOz+9Eyw/Nh5Up6p7eTauvxPuQWhguY7hFyY5FdfqCCP1Fdlruk6dofiCx8LeKLnUN&#10;Yh1zT5VvtNs4Y5NNedCrtay4TzJncRuuXdQxeVX+SZo188+C2tX3jX4N+E/GOo69Z6rd6n4cs577&#10;UNPZDDNdGJRPt2EqCswkRlBwrKy/w13N7bvpXhCDxd4j1a8Sz02QXVnZ2MLXV3emE7/L2KfljZoy&#10;rFipkZ9heMbWf6riqnHEYGniIvT876r8Lnh5W3TxTpta/wBfrYg0f4DaP4d8My+M/iV4p0nwn4G0&#10;S3xDrAuAtq0cmnO9qLCKEeZqhkmlgCW0aBpf38KslxAsbJq/7VC+FdR1b4TfsyeHpvDFhpk4j1Dx&#10;/wCIbSFta1hmks4jNaxqBBpsN1b6dbq+E86UTrJ5drcoZD5h8dPHXi7xz41tr/4Z67J4n1OSzabw&#10;jY2tqbo6XZzW0JNnbIzGJ45UtLPbFZ7XllTZJ5k4Mr+p654D+EP7LS2fjn9sX4g6B4f8R3knn6T4&#10;R8N28U+q+Ipre9uTDFDDdnbHbzwWdoplvVWFVu2ina1dVlX4F4qlV5Z4iXNbaKWn/Bd+59bTo1Iw&#10;aw8bXWsnvf8Ay9NTyb4Rfs5+NNe8Y6rJ8MNFuL+81ZpLiY3d9Nd6jqUyQTzG5u7iZmYvcTxPH9pn&#10;JjV7mJZJYS4Few39p+z1+yV43/svW9Y1D4ieOLBmgj8J+GXK29hdQNb3NnPqmoS5Nq6+VYuViIuh&#10;FevmC/gYMOY+Of7TPxp8R6Tp/hj9ni+bwL4HtdSs0s7Hwrfj+1NWhtHBtLm81SQ+c+63srAeXDtc&#10;AzRSzXUOTXPeAPhL4l16Wz8DfC7whOGh00HTdE0+zaOV444pPsyYA221uz2jWvnShbdJHijkli3V&#10;2wjUqKSrP2VNa2XW+u/6L7jllOlTkpU17Wo9LvZW8v1/Eb+0T8TfG37Unhx/CfxH1Z7HwqsOzw/8&#10;O9FM1npVvDFK72iXNujxNflE+xq0dyfI8y1V44bbeyVD8FvgH8SviNcWPhHQdC1O6jijtzdR6ZpY&#10;8yCBnhVlZp2iigItLuO6jS4e3My20oheR1Mdesaz4d/Zs/ZLufJ+NOqap4q8VJ81n4C8IzC81WaG&#10;T7VHHNdSSTJFY+ZZyQyhZ548XGnsLa7mGIz5n8SP23P2lPFXiO18GW0Nh8MfBTkS6fo3gO4kjlSc&#10;zwTfvdVKRSNtuLd38u1jtUMN60dwLhSMzGvGLTwkOVbczvbVr7/mOVGdRNYud38XKrX0X4f1qd94&#10;0T9lj9jjRN3xrlbx546j8mG68C+DJZb9ba+e0sXkt7yZxHFbwYk+0RfaBA0lteSDyrnYC3lfx0+M&#10;vxi/aUsJ/BHxU8VzeGfA95bx2E3w38E6lLY6ctu8awNb3d1GUuL1dkk1s8e6GyniMbNZJIN9Yum+&#10;CbLW/D9r4P8ACng/7DptqtpDaeTaxwrApeCKGNA4UQhzL9lyTGVL7Rwwr2jwB+xzp/hHw3b/ABU+&#10;OvinR/BfhXSobO51DUPG0j2dpZ25+xfupfNliZN+J7WVS9qYpRFLGZlI36ezoYSs54mXO7K3V39O&#10;3qZxrVcVRUMLHkV9bdvXv6anz38LfhVq/h6wXwx4Y0qyhtftlrBE3lrZwRLJNb2sMsheTbBHI0kM&#10;WXcFTJHucgGvevhn+xd4nm8KyfFX4t31n4Z8M6Xpq6tql94sjNrHFawJY3k3mwO8EkSGFNQtblpp&#10;LNrd0jnje4jLU7xp+2d8NPg9oqRfsgfBa78WavtNtD428eWEllbWMptzbS3S2whSZX/0C2jmUQ2S&#10;XBEEnmTFw58j+KvxI8XfHTUYfE3xT8Xah4hW3u/tek2d8I47WwaN7xoDHbwqsQmhjvLi2E4UzPEQ&#10;kkkhGS6NTFYj9xS/dxSvr8Vv6/4cmtTwuH/f1vfb0str22f/AAfuPTNR/bH/AGb/AILXN14E/Yu8&#10;Gf8ACwvEulrNp8vxE8USfZtNsbk2rafczWzwxRNeORp+mTTLYpbWt/E6Si+80Bq8K+Osnjb9pu/j&#10;1v8AaP8Aiff+J7uG9+06TpbXTWOiaS5kdkjhsov3QRPOkiS4uFuLwQybJLiYqhGhofg7VvEmpvbe&#10;HVmt4bpre0upFkjt7eBp7lLSCRmxHHHE1xLaFWnfa0r4fHygexfBf9g34ifFPRY9Z1i1vNBsr62j&#10;mtbvVtPmt5oFuLOKdX+yToJzJDNP5clvNHAM20oWYLsdqp0cLhISWJ+K7trdtd7dCauIxOInH6t8&#10;Nl5JPtfr8jwtvDmreK9Ij8P6fozBtNs9qssT7hGoSQJsL5G2Lzo+AixfZ1JDg5Ocv7Jnj74g6RcQ&#10;2Wm3F1Z/vkeeHElusjadBf2xaX7k0EouLaFmheWWN0w6M8DRD6h+KPx+/YD/AGRJWsNO0O++K3iL&#10;+0N1voXg61S8s9OmhOsKolmLrZpJbySX1q4kkn1NILiETCaJRIPEPjl+1t+098bIPO/4Sm38A+Hd&#10;StJRceH/AAuyTXX7+3EE8dxqMgZy6SK5insxZSR7zu8xkiePXD4qtWSo0Y2SXV627/0mZ1sLToy9&#10;tXlu9ktL9v6seY/FH9jf4QfDvw/dXPxs8YaR4Xi1LSrDTrPWLzWYbN7PU03SXBhmlIhlaVUKojxE&#10;rCjswaT98PMdZ+L/AOyh8L/ETeLPAOn6hf8AiLS/L024Gg6ZcWqrFHlGuYWuHitGXMasZo3eSQFT&#10;lwSwqfEH4Y6NaX9141vJ9S1LUJIIf7W1m8kM17dRgiKLNxIrPKfLiCqWZ3xA/BWMmvL/ABx4ZOkX&#10;1xFpEYuI9kb2c3mIIriNgDuyrNtIBIK4JV1ZT0JrtjTqdX+pz/WKa+Ffp/X3k/iX42fCq28SSeIP&#10;h9+y/o8lxdSGW6vtbNtp927HGebeO684Z/iZ1PQbcjcecuvjBbrrMnifS/2efDEGoKp/0xdbYXBU&#10;nlVkFlu/UcHA9DS1jQ9SttCbxbd2bW2kx3y2l5e3BPlm4YF1h8zG0OwU4TluM+lb2pfBX4h/8IlF&#10;41s/BrNZ7fl+zyLLcZ2g826uZQcMP4R39DUSpx6yt93+R0RrSdvdv9/+YzRvif4VtLexguYtY8Jy&#10;X0cflyeImiubE3eZ9sH9oRPM0e6a4eUyXSyRosZYLGeTo3Hw+0S+8Y2vjoTyaJcasIIxr2iagbVZ&#10;1ea3KXEE6vJbXMc7uuYJsSMgLJGWB387oXh/XfEgXwXqXgvWbWG9kVXk1LQbuBYuhyJJAiowIyG3&#10;FQRggghW2tC+Gi2Vhcah8LvGEnhTWdMUQ67d6G8U2l3NwbYxs8lpj7OCiISUkSEKZ1fcTtLJxqVP&#10;dVpLez3v5f0gjKnT953i9tNrf16memp/EvwnZ6jaeLfC1xfWuiv5x1Dw1bm3uI0kSadbk2TGOMiS&#10;SUNIbeS3lBVxNuUENYt9N8E+PNavfFHh+5W4EkM9trWpeHJnhufMaYqpu7c+QyRytD+8gu40twIy&#10;4lJeQyWLjWvEPhHWNO07VdAks/7UjkXRtT8Cx3E+nvDuaNN+mswmhWGKVpnFpL5gJJG7nFxfDnwz&#10;+JWkL4p0O9mmWzeM+HfEXhjVN9xpccpcJaNKipNbqEkD+TOkccALK84UBVyS95Qvt0l0fk/Tr+Op&#10;rze7z236x/VevT8ND68/Z9+Ktv8AFDwsNP1LVmvtY063ie8vPsaxx3tvKZPs90jRARN5ixtu8sIp&#10;dGdEEEkDyd8bdV/gH/fNfBfgLxX8W/B3i2x174Z+INLureSzuNT0vXNat1srq7cQW0kljdFFWG7j&#10;kt1h3zMF+ULOszvbIB90/D7x14c+JXhS28W+G7pZIZsrNDu/eWsy8SQSr1jlRvlZGAZTwQK/Q8hz&#10;Z4yl7GqrTj+K7/16nxWbZfHDVFUp6xl+D/T+kWzbBuClNayXulaAhUngUG3BORX0DZ5MeZMppbgf&#10;w/pThCOmKtGAhc4rl/Fni/XtInTRtL8I37XV1xa38ljLPZo2ekhtw7LnryFHBywO0Nw4jEU8PHmk&#10;d1GjUxErRN57cSfKDj3op17Pe6eIwNBvLzzJpEb+z5IP3SDOx286SP7wAyF3EMccgbqK5qmMoxla&#10;V/8AwGT/ACRUcLWkrq33r/M+jCwP8NN68GpmgOM9aabdscLXz3MdfKR44opxQ9KFXvVcxNmJ5eTT&#10;goFKB3zS4H96i4hKKkWL+LfRLH/EoqeYCOheTz+tHfmlYKPutn8KoCWPy/4TUiDvUMUbbtxqdeFp&#10;ohjlODXjf7fvjHxZ4J+Bent4f0XSZLfVta8m4v8AV1EgiaEJIsUMWVLzFTJOGLIqpZyLu8yWFW9a&#10;1rVbHQdGutc1K+srWG1hLtNqV4LeAN0UPKQ2wFiBu2sRngMeD+fn7TX7Sdh+1HqsfgjSvjf4VvL7&#10;Triew8O2ujwlEl+0TIdphNw73Esnl24O1jjyxtVQXB87MsRR5VQlK19Xbsn+ux6eW4etKftYrSP5&#10;9P8AM8H8U/tHalZa1JB4u0bSddktZFks7ezQW/2W6QhxM26eaRGVSnlnysNvk2yAwsjZd542+Afj&#10;yJrDXvCF9od7rLreatqlqqOlpdJF0jcZfY2MYWIJIzb5EB+cXrz9miHxatt4j8FfEa1uvDsmksbG&#10;43CdfOUn5ImRtnlPKXY7ceWzEBXzXH6p8Cvifo+kWeqyeHzcS3V01vJYafmea3IbCyPtGPLfqGUn&#10;aOXCc183UdRSdo+706/ifU01DlV5a9en4HSS/Dv4G+KI9R1zw18TrTT0uo1ttDsdQuhbiC+BAO9b&#10;jEzxPwBwDudmV2UeXVnwB4zb4AePPD2o2XifQ5JLXRLjWNeZNPF2tpFBmS3tre+O9Ibi4ukWMzWw&#10;WW2LKqXMUv2iKLgl0e58Aa3q2neJHt7XXtFaOHT9NuNZ06Bmv5ZFSCTF2+2a2UkyNIiSRHYqu0ay&#10;iRYfg98HdV+M/jrw/wDBPwHpt1aX3xQ8UWumadex6G6z22iW0vlzXkltbBYrmNnWWWaVeQ+myO7g&#10;+Y9c8nzaJWbNdN2727npl/4X8Z6D+xp4J+Bv2hdP8e/tL+PINQvY7+O4tFi0n7S1tYNcoYlVUnuH&#10;kuA0Syho4LeRMAgN7h/wVA0y5vdL+Df/AATn+EL3EP8Aa11Y2kck0L3Utnp9un2SGdwmWkiSNbl5&#10;W2gAW+cgBsXv2Trvw3+0l/wUq8Y/FzwEyt4J+DPh+18LfDvS7G7ut9vZuP7PtpV+0BmaH7Kl3LIJ&#10;ZRKzysUSRgyph/syzR/tXf8ABSv4oftG2+rWbaL8P44tM8N3dnI8UzSSP5Uc6xsrrJHLZ210kvmM&#10;CpuwY1DBWh9TCU4yoqnHerJR/wC3I6yfzZ4uLqy9tzy2pxcn/il8K+SNr/gq/wDEHSfgl+x9a/BP&#10;4e6fHZHxBJbaFoem28bOYbSAKdkWSW3LsgQZLEhj35HoHw90DwR+zp8C9L+Gmn3H2iy8H+EYLq81&#10;DTtLaOG+jCO0txES3lGSVklmMfmll8xWYgOrN4l8TfI/aS/4Kk+GfANpcfatC+E9nNr10y6xJvF9&#10;5vnbwzZJKXk8EZhUgIkO0YRQi9B/wVD+Kv8Awr79lrWrLTpl+2a9PDplttutkqB23PIqjlwFQq3I&#10;UeYCSeFb1Y1+WpiMX0iuWP8A27vb1Z5kqHNToYXVub5n6va/ojzD/gnA/jbxdafED9ofxZotxn4h&#10;eJZrmG/mvAi3awNII3jhFuq7BJNco0gfGY9ixR7SzZn7fB1rxf4R8B/s6+JtZ0k6l448bW8E2s2t&#10;lJGbSFHCl0tWlfcB5yk5k5K4BUMSPov9nL4Fa78NPgX4N+GmheEZt8OjQRyvau81vJdOvmXEonb5&#10;djzNI4YlV+bC4GFHkep+DYdf/by0fxn4++M/w/8ACuk6F4RWLwf/AGh440tJdflvVdScC5eQReXK&#10;zK5VQ21AoYOXMVY08PlVPDuWsmk9dru8m/x3LpOpXzOdaMNI3tpvZWil+B6B4w8OxeIobGbUdUv4&#10;xp85uLf7BqE1p5jgciXyGTzlO0fJJuTn7vXPgmt6UPi/+17qlh4o0fS9c0DwZ4PtraNbqFZhY6hd&#10;yrcKdr5HmGKNhwNqL2DO1fQfjHxf8LPCV1rHh3xl441a3vdNtJZVOn+EdQls7pY4jLsW9mihs/Mc&#10;oEjXz8PIyoDuYKfK/hV4c+GHw68W+KPiXH4B+IHiyTx/eQ6mtz4QXSLazs4THmKD/Tb2OSV18x90&#10;nlx7y33VxitMVicLOpTjF3Sd3bXZafjYeFwuMhTqSkrNqyvZatq/4XOiPhywjhVYrWNDCv7uLb8o&#10;wCQMdhwOBxzXlPwqsrDxD8QfHHjYM0sjeJE0xbRTuit7e0gT5AMZEhkmnaTJ+8egxXunxI8UfCTw&#10;n8N3+JOl+C/Hl3NZy28mo6DqGo6dZ+XC9xFCx+0RJdKGG8HAUgnAzzkee/C25u/hjoB8P6f+y54b&#10;1TfqFzdXWral8W737TeTTSM8k0hi0mJWYluPlHAA7UVsZQniIOKdldvTysv1HRwOKjh5pyV3Zbrv&#10;d/oR6xpVjFbt5MscbRK0gPAwAMkH8a4n4b6B4PFnq2teGby4mh1LXrxj5+Cd0E7WaMpA+68Vqkn1&#10;dunQei/Fzx3Gnwt1zV9N/Z/8P6RfWtmryai/jC9vorSN5oomk8poYvNP7wBQzBQxBIYAo254Kvf2&#10;bPBfhhfD2h/s23hh8ySRjN47nZnaR2kdizQE5LOx4457dApY2i8QnZ6J9O9v+CEcvrRw7i5LVrr0&#10;X9I84vdODGS3g0yOW4tYtyQq3+tIG8fiSdvpxWFFpZRLq6vJlvvtF9eXtvOwJ/cT3EtxCuDz8sUk&#10;a/8AAe1ej/Gf4tfDPwh4Dv8AxD4S+A82naisQjh1JfF0lw1oWwglWNrcI7LnI3ZUHBKuAVbDTx7p&#10;djpkWjaH+yP4dkght1hhuLn4p6is21V2jd/oLgnA65JJ5znmn9eoOtez0Xbvb/ISy6v7FpSWr79l&#10;/wAE5+y0/T4NZtb9bOFZIL63eM+WM581e/8AnpXG6P4N8OanqVt4vl0S3j1KeFpG1GOBRcbim4/v&#10;AN2c9eea9Ahm+Gul2i69450/xfb31xqdssGkaPrFleW8C+ehZ1lksoGJRdzBXGHICFl3bg7WG+D8&#10;1/Y+H/BXhj4h6VtlEUuvapb6ZeWKxNwT5SXkc4AHsxx/C3d/WsNKtfXbsXHB4qnRtFq9+/Sxxfi3&#10;wtbjX7bXpdTv5HSS8gjhk1KYxsv2OU/NHu2OcfxEE++ak0nTfFUltca7D4tdVa2h83S5LOLyZcPI&#10;c7gqyAgngBgPmORwMd78XPDHwd0LR9mg/GgalqFvuuAq+FdQW38uUC1YtJHE8isGnXaqRSMzMu4J&#10;GHmSt4g8H6F4D8I2trq3xl8CHUL6xhWx0hPF1tBdXP70H5BcGId+VcqcDgZ4pxrYd1naXbyKlRxn&#10;sUnG+/S/Y8gH/CXWeva9q1zDZXVw0FiLGGMPbx7RJcYV2zIcjdywHPTaOtbd14gt7lVsdR0a8tVb&#10;SWlluPLVog4HKAITIx64JQAhecEha67xn8Ffih4I8QR6T4m8Cagt/rNsJNOtbO1a6Z47eRfMZ/I3&#10;iIAXEWDIV3b/AJc81l6vpF7o9zJZa1pM1leQZjuLa5iaOSL5FYAqQCMqwIz1BB9y6XvSlZ9f0RNb&#10;3eTmj09CromsaFf+IbeHSdZt5mvW8/T41uF8yaEYIkCjkjBBJAwKzfDkeoy3cryTMNPj0jTp7WM/&#10;dMvlypIc+4EZ/Co/DfhrSm0TR9HvbNGgh0+GJVkXOFCjg/gPxGfeq9hpes6TfTeCNFlkht5NOmWO&#10;6jYMLZrO7wsUaNlFUpM2Rt5wOuBWHNL2MLra35m/JBYiaT3uX9cOnW2t6dfX7yCS4Saxt41UEMzK&#10;Jjk9R8tuw+p+lU/Fnh600O/sZ/D1p5T6hNLazxJ9wIYZpy6oMLvMiKS3BYE7icDEGv38/wDaekap&#10;4ot4Vht9Xbyms965kmBtoY9jFsgGc7nLD7owvJ23/G2s2l1osMWlap5V9HqloPKdcSBDdxQzfK2D&#10;sKu6mQfLtfcCQRma0acvacy6J/19w6Dq040rPq07eZTnXWvBfibydscV1faXcRw3Rt4rhREoCMwS&#10;ZGTdi543qcMvAOM0zQvF/jfQNJ8MR+G/FGs6Lp+l6sbHUv7L1p1Fvb3F02yWFTyqR3E0k0Yff5cr&#10;x5kdyHOx8Uora4sfDV/fWqyNfXElndKZNhnhe2lleMN1XcbeI7hyAvFcnZah4l+Ez+JPCd/qF9ba&#10;jo9xH/aUlpcF5oPI2pN++RjuAMdzG5RiGAbcSCxPjZhh406lo7br5pM9fB1nWp+/v1+TsfpR/wAE&#10;9/Hvw98c+A/EA+GttNDpMniCS/0a1jj22kGnSZtYFiUndGzvY3EzxFV2GZclnaTH0BrOb/wfq2iT&#10;3gjabTxbQ7FDTKJZlhQopB3Ks1wucghfMyeK+Af+CP3xBbw58ZdY+CupeNtPtNM1jQLm+0LRZEZJ&#10;Li5ivWb7LGZCzEwwzTzKquQ6TyyMSylY/tL43Wej6fptxBeeJWiuNSW3kk0mS1u5VvbO1M3mwo0Q&#10;dLdpJbu2G51CySRWyPnCSQ/RxqfWOFWrXcNPSz/yZ4tSj7POVrZOz/r5oqeKf2g/jp8Dvhakn7OG&#10;vR6bqd9qNvpjeItY8MC/1S1UXLC6NuLoNBaGYafZpK0sMwkYhmjjkjSSXwT4SfDTx98XvEy2VrH4&#10;h8VX2tapY3Wp+IPFDTahLrcsMllavNcrIktxdCC2vJGljWItHHBv8pogQd34caR4z1fwf/wh/wAS&#10;PHllDp8s/la5qdhYPFeXsxuQpWysZGdImiiEdx50t2gcQxgKRIrxdP4p/wCCkXjCPwddfB74Xad4&#10;K+Ct5aeTD4wXwfKmoa5fwv51y4tNrTNpsEaTTJAXjmk6tA1usJjX81lTlTjZK9z7KnLSzlZI9G8M&#10;fCP4GfsG+ErfxH+2p8XJodcv9MivtF+FekQ297r17iCC6S2W3tvNEafabPVbNp/NazlFykhktJmJ&#10;qCy/b4134taDqXw9+DOhP8IfDLTSRrotvI8PiK9icXNkLi7vCoEE80cljLi1d7m3nhTfeymUxr8w&#10;eB/hT4x16K+1jwDpDeJvFuoeKJrXxBqWpajNfTTanKkl0vmXLqolkuVDrHC1xJcvOJcoAYkb6W+G&#10;/wDwT/PwztbP47/tnfG238F6fDqATTxfylXvLp7YKws4JdpkmuoYy6J5Yulmt1ia2kKsDph60Y1F&#10;LEXlbo/8jOtTnKMoYdct+q3+/wA/vMPQfDOoXU8Nv4T0ZPLub6Se4mmQwl5buYzYEKKoaWWaSRQX&#10;2Pv3H94znd7J8Of2T7Lwj4aj+L/x+8Zad4N0XT5IE1HVPGmrLZRRrNJZRx71aSNITMWEeJGgMc2w&#10;hJN5VhP2vNB8Gommfst/BeO1h4huPHXja1Aur2ASW7SPb2UbBoYp4laRfMaAwzqC9meQfG/GHiDX&#10;PiXqq6l8WfFV5441dLeSymvNUaOdY1aGxhu4lijVLe1WYWtrNLbwpFHJIhl8rcWNfQf8KGMjaK9n&#10;Hz3/AOAeJ/wn4SXNN+0n5bfN9fx9D06P9tX4X+HdJsrz9iD4b2mrNDAbdfiF8QdKntopNiWIaSHT&#10;gsFy4mRLq2mLPYss8CTeXdxurN8/+JZPGnjP4ur8RPjT8R9e8aXcFoz6bq/ii4Bs9GU26W8zQW8M&#10;EVnZNKkCrIttGnmALI5LPJu674efBj4i+I7GLwjoGlXmp3kkMkqxWtvJbzXWY7wR+XGS3kW8stnN&#10;Ct07rDHcGNZJlEoI93f9nP4P/s4aLb/ET9on4oab4Zs7We8urW1uZEkur9rcnUX8izKOlzcGG1k8&#10;y1SK8MySTeV8xD1yuOCwtOLb/eJpu2r9O36nYpYzFVJRgl7Nqy0svXu/yPniz8IeIPGUL6Tp+hyX&#10;UF4jLb28Nossl00JgcrAn8UyM6gIgaX97GybWwR7R4b/AGFpfC3hy88W/GbxHpHhDwvpNlObrVtR&#10;vY4hFGq3yPc4kKCNfLNjeJcXEm8GK4huLRcCRs/R/wBvnwn4b0+1sv2QvgXbWuj2bw2y+MvHjTS3&#10;WuW1pJBbRsYt4u5YZ9PgiEVzcXEdxCY4Ektise2vBPiQ3xP8e+JLH4l/Ef4n+JfGt9D8qf2vNElv&#10;Z3C26xSSQWkQFtbyXMKjzPs9sis6PI2ZJBnWpUx1en7ZR5Y6arWTV+nX8jnp4fAYep7KUuaSu7bR&#10;v59PzPpLxH+2H8A/ghq8vhT9nb4TzeOPEGiySwJ4s1e4Gl6TDN572t1HFOtuXMjJBDKzWlmLO6j8&#10;p1uZGVa+cPiJ8cfj3+0oJB+0N44Z7W4aaP8A4QLw7ay6ZoaRyxRrKk1o0rSX5kaHzyt755t5mcwN&#10;EHK1NbaNr/iS8i0XwxpMl5dNK8UNrax+aXaNh8iJHkuSqyDjBQ7SQcMo7T4bfsn/ABE+K8EMnhTT&#10;bVGn0+Z7G5khFvbXDNaRXNvcvPGqxywu97DHLJCZ5o2+0K8LPC0R2lg8Lg6kKjl682rfojOOLxGK&#10;jKnGNu3Lpb1Z5nLcRXIk0uDdi8RvOnjRpFWRkSSN22yIZOSGK78ExOkhHKnsfh/8LtZ8by2fg6O2&#10;a1N5fWxsXuJpZpIoZ5rmOGdUh3u1sHsrpHmhjaNpYnGQSEP0RP8AAT9l79l63s/GPx6+KVrpV1HJ&#10;f3fh/S0vmF9ew2V7bXgFuiZuby4tVitg7WMULMtzOkkbJMqDhfib/wAFI7v4fWF7oP7HH7OtrHFN&#10;qj2v/CTeLd1vbs0dwmdSFtaSGa4iuojLtaaa0uUnYNJG7v5bFTHe0qe1oU9Urcz6L8vvFTwEo0/Z&#10;1p2Td7d3/XY47SP2BvFGq+H4tW8ReGbXTZlsdLums9cZfMt3kLPe6dNHZyyKQFEcaXEVwpDtKSjr&#10;t3eT+OdO/Yx/Z/8AE9g+ofFm1ute8N+Jr2JvsCzahfaLdOX3W93DpyyvGINpiRbgfuzGTuMu5mvf&#10;FXWfiN8fNJm1r40fE688VLqVmtrqGhqqw6SqfaVvFt/sSxpBKIpgjJLLHJPhIg00gjjK+TePfAeh&#10;SWk15BZQ2oEgjuVabCREDaQV/hOcfKMnDcL8rE9FKFepBTnJWZhOph6MnCEXdfL/ADZga1+134C8&#10;NeHrjRfhJ8DLq1mj1hpPs959k0m1kjYsZJleza5MkjP82HjjDrIdzbgwfgPHH7W/xc1zUvtPhvwl&#10;4e0mxkgEc2m30c+pyM/TImV7cY6jb5WRnBJxmo/F/hqQC1uoNHmhWVj9qs5biNZomVVyBgH7xLEf&#10;LgDaAzsGxx+r+Fdes/D934o1KwkXR47z7NJqzQMLeGdsbYWlPyGTHG05JJ4XnjpdLlje/wChMazl&#10;L4dfmzVm/ac+NE0Kx3OleDZFVv8AWSaPehmXsCftwUgfn79Qalv8TviLrt3cHWfBHhzxAsOm3Bsr&#10;XTprrSb+2mbAAt7lWncB4wyHaYjllBYjINnVvhJ4/wDCfhfT/EeseCNQvbXUoybVtLs2vpNowMyR&#10;24d4jz/y0C5OSOKy4fDXxB020/tW18Ja1D5LYiaPRmjkYEfd8spyRzjK8EAHvnHlp7834nRzVH9l&#10;fdb8UdFpni34b+NryPwpZ+JH0e8v9UXULPR/GVh/Zd5Ddx3aWqSQTJm2uNqx+UlsgLttIaRT5hDv&#10;Ffwt8Pav8Qbfxj4g8PatoOvXySWF9daZqD6fdpJL5iQ3FrJG2y4mEKMJIYpZTtfOwsMPc8K61o/i&#10;DSbjQPHMKx6HNNZ2183jDRXsy128wCyZngCzsSIysWxo8x4zEqhWbL8Odc8CaPNpPwq8Q6norRrH&#10;LH4C1uIX+n6jbiaWWaCOKd5NruJXWQWs2GGzOx3ymk6cpU+k1+On5/f8iY1IxlbWD/DX8vu+Zk3L&#10;fFDT9Q1C11QTaxJC8d3PqWiR/wBiau0UsqKL/wAkqLS8EcARSJEjaJhtZlwJH634Nftbt8KfEmn6&#10;lBq1tq2n6xNGPE3hnVFfTtathKrTQyW1vct+82RyxIQkkkczp+5CvPJIeYtPidrPh7StNuvE1nNo&#10;Omy2kv8AZ+u+GVl1fQS4sdsn+j/u76wSJUaNIoNhU+dlgA7V11lrGk/ELS5J4p9P1rw3NJIIbrTI&#10;V1BIZJfKj+yzmMebHI9vPKzkwq8Ql+acDJbPD1PZVE6U3GSd1f8Aq/33uVXp+0g1UgpRfb+u/RWs&#10;fcGj32ma/pNrruiahDeWN9ax3Fld28gaOeF1DJIjDgqykEEdQakuDbWsD3F5dQwQxqWkmuJVjjRQ&#10;OSWYgAfWvAf2TP2hLW40Y2Hjvxk0mnh2aHUtSW3WNo5bxobWcTQN5KCU/ujHhT50UpChQzN9Gazo&#10;up3uk3FroeprY3UkTLb3jW4k8l8cNsJw3PY8Gv0bC5ksXheeGsktvP7/ANT4mvhJYXEck9u/l936&#10;Hjeu/tm/s9aB4pj8I6h4uulmk8sfal0W68lXcqPLLGPhwHQsMfKHBOOcdtpnxP8Ahvret22g+HPG&#10;ml6tcXSq9uNJvo7lJUYuMo8ZKyYKNlULMoVmYBVZhwvxa+AXgzVZrqP4jeDF1NNc1qzuLW+8O6U8&#10;19bXXl4urkwIj4gcRwxuMSsdy72KrGsfW/DX9mv4d/CDVPE2q/CLVtS8Ox+KdJs7eax0u7RrO0hj&#10;mmmilht5FeLLSSTtukVxy+zbl93hUMbn1au4zULX63Tt9+tz1amHyunTUk5beTV9PJbHW6vcR6Rc&#10;W9td2NwJLqTbDGluzE/Iz5wB0wp/MetFcn4D/Zq/4RKaQ+F/iv4tbMbQXrRx6aXlDSGfEkgst2d7&#10;lxzkBiBhWK0V11MXjoytaP3r9WjH2eF6Sf3P9E/zPrPYAelMYAtnFdlqvwn1W1RprCdbhevCEH+t&#10;cze6LqVm22e0YHvxXh0cVSqfDJG9bDVqfxIp1HKg++Kc4lBx0/Co28zo2a6eY5OWSG0U0sVOCtG8&#10;9hV3GSRybBginmZVGAKr+ZjrSGQHqaCbEhOTkCjPOKjDYHBpysc8mtBaEiu69DViPniqyKXOBVu0&#10;RpJVifHzMBn8aCOp5N+1/wDFf4V+G/hH4g8B65qHh3VteuLS3e38K6hfRSSL+9R47ua0Lq01tGyC&#10;V432pMiNF8xcI35XfG7x7aeJx9us2e50+eX7Na3l3M12k0mHGwyzW8sVxJHHG+4NLHcLI8MyEmNy&#10;PpD9qD43fFCHxBq15BZeENNkW+uxNo+m6Y14lrMZnMkSzW92gmnEzSRzbo0Julnx5ilJZPCrr9qG&#10;0vNFvNA8U/C3StcYzgKy32y1nRFXkq8DlszCSRXP3VdF2kpub5XFYqpUu5Ll5lp3sj6zBYSnC3I+&#10;bl37Xa+48iil8i6t7+N9klnMs1pKvyvFKp+V1P8ACw7EEEV02i/F/wCJuh3VxqFn4zv5pbtozJ/a&#10;Mn2wIyklWVZw6xtk5LKASQM5wK9Cb4y/AjxJ45s/GHinwBdSanNbJb3t7eWsVxb26YwBIu8mZU+6&#10;r+UXwBgL2q6P4B/Z513wz4hk8I32o383hs/2vqFxLa3crJYqwH2cKWtfNhbIRmWRJUaRQZ1yCfPU&#10;ZR1jJfeenKX80Wcj8afij4/8U6X4f8CW+sSTa0umxQtb2uqz2/8AaF9eq6pPNaXFlDBlbR/Kfy3K&#10;fv1kSYozxL3H7N+o+HfhP8Ovi9+11bQu2meEfDcHgH4WaheaTcQfaNWutvmXtrKshW3uo7OC4nmh&#10;DspF8yPuWUpLx/w9+Bv7Qfx8n8dfETwD4HuNWbwDpjXniaS4vnhi07UNRZ45ZrhdSuVktmghWZZJ&#10;wSE+yJNLkK81fW/7PXwJ+D/iiw0X/gm3YfD7TfFviDwHrNx4h1b4lNo99caG/iCN42uor/SjNbNc&#10;20ZQaeJZpY/Oa1iYIqTPE2cXKVS/lp67fhv8iZKPLbz19N3+GnzOr/Z0+EXxR/Zy/wCCPy3/AMMf&#10;Ddx4h8Y+NtIk8STabonmX2+bV2t4LeSBI0Qgx2TW8jg7kR4XJZowBXP/ALJ48GfsHfsef2R8Rr68&#10;1LXP+Em1Cbx9Z+DYxrSaNrBkgie0uZbfFvp8kcJtFeO5mjLSBxGZSVU7H7SOiX37Uv8AwUms/gFY&#10;+P8AXfFnhjRmMnii21yG31LSzHHOuoT2Uy2UMMKxCVLK0b7UJJTLbIsjSMqRpl/8FRfHFv4s1rwh&#10;+zVYeKtGm1HVvEnmavLJcS+dYzZ+zQ5nXKqW8+5LRKrz5hTCruCy+ph60qdqsHblXKlvvuzz61GF&#10;WXs5rm53zNrTRLRf1Yf+zr8GtD8J6r4n+Mfw10yS/uPilotvrMvjPxvqTTX9lqDjzfsx06C1tgbX&#10;dJISyXce8+WwQBVAyvCnx1+LPjT9pTxN4RfWtJbQ/DujrYatDpHh6Owik1ArHE0ojdpplBlivHjf&#10;zi8ZX5GVWZT3Go/FSPwX8L7XxH4P+Glxb6Xp+g3Vz9l13UU042sFvAxt4CG8yQSTFVjVWTcu75hv&#10;wjeG/suaF4k1r4U6t4nPiK4tdV8Va5LdHxFaxrJfxpE3ltHIbmOVJCZlncMVbKz5zknHbTwsuaFF&#10;X7tdP6ucksRHlnWkkui2b+/V6I7f4y6D4G8M/AbU7DxtPeeILHSJJtT0VfHE1x4m+yao8YigkRdQ&#10;NyVzJ5a9PLUMxYBdxrmv2XvCiaL8HNGmjtrJptUiN952nx/LcJMd8LE4yz+T5Sk/7OBwBWP+2Zc6&#10;0fCPh7wZa6xrL6prl0unqtqVW31CFGUss8e5IjMZ3tXVtihdrZeNMhvQPAXwm8BeBbqbU9J8JRx3&#10;FxbQ29xdXD+YxijXbGgJ4jVRwFQKoHAAGKcsPL6zJRS91L72KOKjLDJyk/ef5fM4n9p/Xvtfw5vv&#10;A3hQaJqWoXmvWWj6hbyXwEmnXEha4iDAMPJdmtwpMqkBGcgZ2spJ8Q/hz8PDD4Pjt7+OO1hWK3i0&#10;nw3e3FvFGqgKqvBCyAAAADPGKz/jj8OvCWvftB+EdD0H4RaXDHDp9xruratC0UMk++Ty45GACs7R&#10;3FtDjBYszjKhYia6aHQLW2BgW2VlHBBUE/yrTDYWVacpXtZ2/r7zLFYqnh6cI2vfU4H9pDxZ4R13&#10;wBpuiwa9dXX9sazBHfeG7O1nS41DTwGafepVSFR/IJGQQWVuApIwrH9pDTo9RXSm+Dvjxep+0f2J&#10;E0S/VhMR71f+MkEmpfFrwf4NfT4rG3tYrjVo76GUiW+D5TyduMKEe0yT1dWkXjAJ6WDSkEIZYdy7&#10;emfatKODdSpP3tnb+vvCpjI06MPd3V/vZxvxN8XvqPgez8SWNlfR6e3iOws9V0ue3TzL2OTzJFiK&#10;Fvu74AxyQPlGSBzTLf4pW+PLXwNrm7P3f9FJI/7/ANXPiHpnkeLPDP8AZU4meS61FL2x84N5UKwR&#10;eXOyehZ5EVsdd3oavR6RCThkxuITd6fL1PsDVUcGpVJtt6O34L/MmtjeSnCy3V+vf/gHOeLviLoJ&#10;0S4stf8ADmp2QupLeO1+3QxFZXFzE7JhJGJPlpJ25/SsbXvjJpnhW4is4vBHiTVdwGZNL0+NkH1M&#10;kiV0Hj7RNHuLHS7fVhC23xNaSQc/fG25wR7bhtP1FUPiZaWltJaR2YEci7lmVCRkbYyCfzP5Uo4P&#10;mqzs9rdvU0ji06cLx3v+A+PxDpXiPwpda9e6ZcWC2qW8yw3ZQypi9t1LbYmfsT69emeKz9O+L/gC&#10;5vY9Ht73UPOb5VaTQb1Y8+pkaHYB7k4rldV8SDR7dtAQnzdVCxqO4WOeKRjj0yq/TP0pFMuN4kf8&#10;WpLCr2klfaxtOtHkWm9zqfHviLQtEnkuL7W9P8n+zY5Jm+2xbYo/7Qsf3hO75QMjJOMdPatS2+z3&#10;2mW+pWcqyQXUSy2lzG4ZJkIyGUjhgeOQe/evM7m3jvdZvLKUIyyeGLkyo8Y2uo1HSyQR0OenPrTd&#10;RL6t4cPhG/dm00wiL7EszpGqYxtAUgKMcYHGKzjhZupJRe1vyNOaMqUXr1/P5HdaOl3onxNm8caR&#10;czW+qWNvYyW2qW8hSeKXN9GHVwdwPllk3Ag7XZelb0XjD4j2XhbVPC+k/E7Xo4dWm82+mvrhNUkK&#10;4IeJf7QS4VImB5jVQvA4FeR2Pn/2TrHhaz1K6sLDTrXRfssWn3BhkUebfkrvXDlTsUEEnIz3rYX4&#10;ka7L4oGrag0clgLNopNJht1hjeTcCJdw3MCBxtGFJ5IJrnp4ap71ls3sbSn8PvdFv/TOq8DePYtd&#10;0yPxBqvgHQdai/sVobK1guLnTHW9Z8yF5Y5JIvLVzKqqLfcq7BkhTll/rfwq0fWNN0S4uPEWl3+o&#10;aFeSzTX1jFf2cl9s86SGOS12zsAEOD9ky+QAAeBw3wT16Sy+FmgXWm6FNdf2lI15NHHIALa3nu5S&#10;zZxl2jywxgb9vG3oLni7xX4WPjfSdZ1C4kt4dH1Sa2zcxFTO01uyo8a9WA+YEYDKVPGOTjGVaOHj&#10;JN209N1/W5pKMJYiScU9/Xb+uh2PjH4Wa3qel3DaGtv4ottDvrK4vo/Cdyt7NHIpS6WBoU/epIwj&#10;+6yA1geOtN0zxd8LtXntoY73ztFnexa3YP5kixsY3Q+u4IwI6EDHrWn4ut7S60C81fS72NNQ0VpZ&#10;LXULVwZrC8jiDbo5F+aGYI6kMpDqJFIIyDWn8NvFviLWfA3hy6vbuy1GybT9NElrqtiJHhtEBaWK&#10;GeMxypJJuGWlaZE24WPbla6/bylWamr3j09Tl9jGNGLg7WlfX08kc74xN9f/AAibVrTU4rrS4L23&#10;uvPXCvbwJcW8rSq2RmLyUmcqQWbzeG2gRnl/hjZeDb/473fh/wCLGr3S+H9aSZdb1DS8zXmmxyHY&#10;bnyyjMwVrzeVCEuISqbiVz1HgSfwXrn7P82ipqP/AAjtvfaVdWMR1S58y3tmjV7bEl2Y0iQ42Y81&#10;Yg5dQm5tyLwPi7Tk0P4maTq15ZvpN+IootbtVmDNHcSfaV8uXaTj5kt0GchigI6CvOxko1KdOSfR&#10;JnZh6cqc5xa6tr8D0L9gv4m6D4C/a58C/EjxLcaDxNHJNe6pcPDb2sd5ZyWMroyBmMiqZWRANpYR&#10;hyq73X9d9D+I/wAP/idaef4N8V6XrGk2cmnX8jQyRXFhrU00txDZ6a0q7/Kka7hVGGxmBIjZPmcD&#10;8GZvGNnoeqqfsa6c39v3djutWXm6e58y3VDEzbQBJIeD8rKwzwCfo/4kfGXWvEfiRfHHwz8OW/hJ&#10;bWGYaPB4Nujpty8bT+fGHvLcJI0hdIT5g2gMgZVQivQyvE1I4erRik09Wuuqtv8AJdDnzCmlWpze&#10;nn6f8OfT/wAWfE3ivwd4Y8QeCNSm0LxJfeE9PsbvVNPvYbW10q68vWZbR4fPMQkKPe6VefLfs6K2&#10;wSFYTIo9f+GPwV+CvjTwtqPxv+LPxt0HwzobNcWmi6P431C5tLq/ljt7ZriB7ZdzxuyXtgVykqRz&#10;Oqm1uGukeP45v/2sf2mrSC11OH4lyap/ZHiKTxBa2eoaXDIftB82WTaYvJMrtNI04Ny06CbDsjYG&#10;LHhv9oK28MS3Ml9oeqeFdFkhg1CTTdF8QPdWOjy2kh/c2k9wRcW0DxeXcBQkjLPAyvM8coEfy+Kw&#10;OLi3aOnda/1/Wh69HFYeVnJq/wBx7hP4hvvhtrmmzfsi/D7xF4Za38J3Wl6PJeTR2Zt9bthdecy2&#10;0CwiLTJQoWExS+dJDlpV2Mr28PxU+OGv/Gn4i+Cfir4guLP4gS6tbSPbeJbrR0kn0vStQkuZrZoo&#10;Xg82NEnuLxyZJRBDFPCsBhe2WAR/sEfC3xz8bvHmqeBvgD4utLW6vLSG+sdD1TXtOsTd3N0hiMM0&#10;bSDUEtFtbe6uC0FvKzlZo2jVnljHdeD/ANrT9jb4NfCnVtK8EeB1+L1rHqmi2Hw3Wx1KS1sUAeVZ&#10;NQu7xd8mmi5gsIjLYuHMu9Yprd7ViIfNqcqdmtUzvg5OPkzuPhxot3400tdV8Qa/a2+mafb2Nx4m&#10;8TSbLey0TzEgZ3mmuzbQN5dwzRjbJG8rIDHGEyw9M0+L9l/4Py3Vn8WPG2qavq+jqILHQfAdm89v&#10;qd7Hp9veC3t9TjCxr+/tJI4ZHfThG9zJa3DzKYpW8O0PWfFkPxt1fxFoHxa1bTln0bT7KzutG1C+&#10;sbi7tbMrbSWrCWSVrm6ET+HnIs2gVF2SPZsyzXDXPGOneHdAv7qw+Gfhu9h8P2dxHaa1rF39oW01&#10;mRrq4ui8i791nCV2pHAm3zEtPMRVZNqd0sRiq0bTm7befzZyxw+Dpy9yCvvrt8kei/Fz9vf4x6O6&#10;6H+z/wDDvSfh3oL61Jc3Gq/ZYtT1C8ijntXhfZMFgtLi4iWeOZGiuxt3Ms6yBXPiL6BpD6ney6np&#10;91rmpalaww61qfihptRvtShgjCRR3k13vlnKwylAs5LeWSo4BA9E+D3wiu/jxr+n+GmigmvIHjvf&#10;sUmmNeTRW4meGaeFBzvELuoEjxE+ZFz+9Qt1dnp/wI+Hvxl1/wCG3xKWa6kt76x1WSPww0/naboN&#10;8dQh33llqMH2pVVbnSjL5W97S4aNPtQlKQ3HXTxGAwM3yq90rLdr1fmcdSjjsZBKXu2bu72T+Xke&#10;ReDvhz4pWKHTdK0+71C4u5riTTVXToPOvPsxi87aF/4+GxPa/uYwWVrmNRGDLz9A/Cr9gLxdfyq2&#10;v2PliO6RlW+/evfrb3mxPLjSUSyR3dpEY1aWS0uIvtCsyFomjav4s/basdGtdV0z9k74O+H7T5tl&#10;x428fXiyfbxaXNvBBcR26XAn1SOW2TZCz3MM9ssSNJFthER8Z+J/jfxv8Y72bxJ8XPHupa9bxxrN&#10;b6bPM0OmQQw3ct/ayraRrHCz27ODFetH9o8uKItK+0Mbw7xWJhy0moRXnd/5/kZYj6rh5Oda85Py&#10;sv8AL8z19P2hf+CenwjuNN8NeEtbT4v6tJb2JLeGfs9/bRKsV6i3ryoYrDMQu50Zo2mv1jvlXY8S&#10;Jt89+N37bH7Xvxs0G68OaP4w0v4aW98kapH4ZZ7m8jD2TQXUE2oSJuZGlkeWK4tYLS4gKx7SzR7n&#10;83sPCdrpetM3haKzsbW9eWe8tYY1t1Z/3Ym/dxqplLPskMjbsuSzE4RW3Lf4W+Nda+yXUGh3gS+t&#10;b650iM2/lSapBDPBDILdXIa5lieaCMpArPvmwUyVA2w2Dw65pYje9k29H5oyxGMq3gsNa1k7Jary&#10;/wCGPP8Aw14Zh0i61TV9Rk1bUdV1C+a81fWPEE01zf3c4SJCbh5l3mWNDCvzneFZRgBRWldxq9tO&#10;srKilnWSa5wqKocES8nJBQMwb5WQmNiMggfSng79grx74iW4tvEFwul/bLXVYrPUX2xCO7SeKO1v&#10;lttplu4XzPPJFL9jlOYfnDSv5XceJvBH7GP7ON1JF8W/Ftrb6jeW00F54Yt3nmmTTNWmSFllsbQy&#10;3NxZAWgj8y4NxHGFuQGHnSA1DHUqNFUY+/8AK39fcKWCrYit7Z+787/M+ePD/wABfHcy61oEXhSS&#10;SW1GpXX9lyRzPIk9p5DmzkVmK2chaW3ELXPlISrkyArM69TH+w54o0rxZN/a8Vvb2tvrMbiK9mfO&#10;qaWLUCWGSO3IFtMLqT5WW4lDxRHCoZCYtj4s/wDBS34gaD4ehg/ZV/ZotLOOaODNx42vI1XTJ/tz&#10;/aGOnacWFzFJbAETJeoyPMGeHbC4k8J8W+NPjj8fPCn9p/HD4xahrsskeoQXui6fvsdMW1vl2PYy&#10;WyBUvYVj3RobsXEwV23Slmapp1sVVqKjZQ00W3/BHOhg6UXXbc3ezd7/APANTxtp/wCzb+ys1nb6&#10;/wDHC1/4SjwIztPHZKf7c/05VIluLPTlEs+YbhdkjROIopcghGYt4nqX7Tv7Ovw71W+8H/DnwHqk&#10;2htG9zbXmi6BbWdjcXEkYIba80c8fIEbl4NwwCAwX5tDVfCHhuW0Tw/p+h263skDQ2K+SysFjHEa&#10;hMDA3DA2nGQOA1eM+MvCts1nHfWmmzLtG678q2lDxIzgCSRZQoB528EZyuBkkntjScZWkzn+sQ5b&#10;xX3v/In1b9sTx9qvhW4ig+FGj6dqkc26xvrnWpdRhiPzfK0a29sxO0lQwdTjghuS3FXH7TXxwvA0&#10;VzH4QuFZsvs0C7VS2QM8XgbPAHJ4x61QvdBnR5JLiL5fMZbeQyAMV7Er1B7kZ6jGT1pnhnwH4q8T&#10;XbaJo/hy61S5WDzZYLGxkYxx9TIVGSq/7THA9OSaudHlerYQxHNqkvuv+ZM3x0+M2qJt0+fwfb3D&#10;KUUSaDdsjSfwo5+2bgGxgt24IU5ArY0L4taP4S1qLTfEXgTWPCNxa2iXDah4LDajpS2qLJcTTvb+&#10;UGt0aTzUeSOAsvmcyru3V5/4tvdK8Fa1JpPiDxbHp9wrBLrTbuaGO4jznHyMu4flnjjJrqNP+Inh&#10;G9n0vT73x9pGm6vo2oedpM19PH5lwXjK+UoaWPdv+VWTcpIGMrlXHPKnKPwS1+86FPmXvR0flb9P&#10;0Z1HhixsviP4ZmsPBep6b4i0N4kuZW8E6gkNzp91KztbuLWVw1mEVmlYef5zPEFCKqtFWdq/gLQv&#10;FnieHxrbz32l+ILfT1tPEU2j3c+n6gti6eT/AGoEHlSxhZ42ULJG6NCoYpjZjd8XfCP4dXfii38b&#10;a34ES1vItQtXvLrQ5HjvIdQlbyo/30BjuMgSI2WCDDqSsjFBHl2Fj8bdH8QN4FbXtI8cQafNBf6D&#10;Z+LbJTLPa2rujvBqMOMXyTeXE3nozB18wOBuFXWjOKXtVzLuvw/rXsZUqlOWtOTi+qf4+v4d+hta&#10;Z4X+Jd3qU9x4j8UaH4uktI5I5hb2MFlfahpt2isbaZllSMiWHyljVUixMbaQyMiSK309+yv8Y9Zv&#10;4NM+G3iTxFN4gt59F+1+G/E11p81vdX9sqK6xzRlT5rrA6MbgbQxADjzHVpPkfw58TvBV5pFinjG&#10;w1jwnDcKttEni61e/sFkuJpvtcUGpwsJoJG2OrtcSIqrtzCQrAekfC3xTrGh61Y6fb3FtDpOuJNe&#10;6Lq2m3kV3YjUz/pDmOWMRMwKwvOHCQgym5JLmSHy+vL8XGjUTpO39ba/qc2PwtSpRaqLby/rVeX+&#10;R9bXumajrFxrSadpc32povsaf2zbolttKZYo8X754yJASodRuUqCjBseV6r8Lvi/4RtNFX4feMbn&#10;TfFWo3jS6/qn/CP2eorcxzKinzfPIMWxo0kndGJnfGDjGz1L4D/GCX4r6RfWPiPw+NK8RaDcLb65&#10;p0d4LiL5wTDcwyBULwzIpZSyIyssiFcxknt54Is5Ar3K2VYXMoxre0afRrS2uunfoeXRxlfAydNx&#10;VtLp6300+XU+bdJPwq8Etotp8VtJ8RWus3TmfWIZLTU7i31HUlt2gmuYYIJHgUMYZRFiGNzDCzLE&#10;kO1gV7b4h8Z+GNNluNLuGkvLi3j827sdPsZ7ydE3RDmKCORyczRELjJUlx8qMQVn/Z+Ho+4pQf8A&#10;iV2bfXpVLSmpK/Z2X4o++vsLxnEcgNZ+uaIl/A0c1tv/ACyKuR3JYDP6VL9qwOR+dfBxlKMro+nc&#10;U1Znl3iTwAybrizidec7WWuVudKnhk2OhHsVr3S5WyugVkIU/wC8K53W/CFnev5ibS3ba3WvWw2Z&#10;SjpM8jEZfF+9A8iuLJ0bDflUD27qM13OqeENRglJ+yMy+uKgg8LRs2+7sG299rY/pXsQxlPlvc8m&#10;WFqqWxwsiMpoVSO9dzeeBdNm+awvtrf885l/qP8ACsnUPDN1pZzcWvy/wyLypraGKpT0RE8PUp6t&#10;GBHbzSn5I6mj0667hfzrSiRQcKKkaE5zmuj2hg4lG10q4LcsK89/aL+MuufByK20bQ/D+n3k+raZ&#10;cFr651ZoW05j8kcghEDrcDO7KGSE4wQ3OR6tZxSSTLFGpLMcKB1Nfmr+3/qfwP1r4u+JPHdppaax&#10;HazTWNxqWrXD3vnTxOyzuiySusSRFVtVj8qJ4jayj5lKGuPGVqyiowaV9/Q6sFTpSrc01dLp3fTq&#10;jzf4hfB++8WeK7m1sdfgsdOhiV/tvmS3N483lssasftCSs6YSQzvI5LbC6tkg+SXv7P3xW0nwlde&#10;KbrQovMs2IbS7WQzXU6f34gg2uO4XdvP93pWGnjPXtH1C7tfCmr3mi2rNturPS754YZJs/vH2Q3M&#10;kLEECMSxbBJHDC7KHLE6Nl8afizpOi/2Ppfj29iX+G8uIorm4X0/eXEbswBzgMSBk4FfM1Ksasrz&#10;ufYUqc6MLQt8zO8W+BfGXgPStK1bxhoklja62v8AoLTTKzFifuSKpJhcnACSbWJIwDXS2Xwf8SaV&#10;pFu3jvwbdWOlR+JtPi8XahfeG7C+/sO1JaRUaOWVbiC7mjjnkjtXa0NxFASJHiZ3i1NO/an+Kk81&#10;jaQadobMGihmluLGTdcDIDHIlAV2J642g8hOxv8AiXxro2t/EG6vdS13VDYS3F9daSslmjTnbEot&#10;xJEsyqqs0NjDKwdtqAHEpRVaY04y1izOrUnH4ker/ArWvBvhX49aHdeE9Fs9C8G/BvSW8RatYy6j&#10;FZzanfWguJ0ivZy+L69mu7ptOW7jjDGMwslrFCnkR+z/APBNrxTrfgrwP8Uv22PiHZ22qS6hfTPq&#10;PiC/kaG8khtlluLxIDgRXbXFx5MS7ZI1SXd95ojC/wAqaImoeCf2XI5tH0SW68QfFrxERpMNndK9&#10;xNoOnt5EEUMcavI8V9qbSloH2HzdEgcRS5hdfor9uPV9O/ZA/YJ8H/sy6der5l9Dv1mVG8y0u2ty&#10;tzdky3TPNCZr+eGVAigBd6ZjQLE/TQw8fZym9or8XscdSp76XWTt8lq/8ix/wTV8JX3xT1n4j/tH&#10;fFEpqd54m1r+zmkvtNaIXEkc4vbuYxbVt2V7p4QDGmEksmClRkVxlt4juf2oP2+td+KVrPcXnh3w&#10;xG8emXkOqpqGnypEptYPLYj5UnYz3sflgKHVirO2ZK9r0fXLX9kn9huTSvDly82oeGvA9vcxarpM&#10;jX9vJqV9MU+1wXF0vlzob2VpzGeREVPlhZIkbxv9g34c+L9A+FepeN47PSbWXxY32nTb+50+4M8k&#10;SbkgE8JaMNED5s6Or5mS6GCiqpPrUcPyVqVK23vP9DzamI5qdWreyfur+vTUvft3eLZtI+E9n8O9&#10;FtvtmqeJtTjhg0tbN5JbyOJg5WJgpCyef9mUDlm8whVb5ivXeBPBlp4H8D6T4T0+7kul0nTYbZZ7&#10;hh5swjQLvbsWOMk+teU/En+0viH+2j4b+H2r39xqMHg3S4r7Uoby52W7XCos5ureJG2xkzS2IZTl&#10;2WHDF1QEesWXgHwbY+GNQ8J6rFJf6XrEm/VLbxLqs2oQSqDuw32t3CxggHaMIuM4GK9GjOVTEVKq&#10;Wmyv5b9+p5+I9nTwtOlfV+87Lvt26HgPxx8UeHLj9rDSYPG+rvpej+FdOSa+m1bVkt7QTGMzxyLu&#10;dQN7S2w2j53MXO5FIr2S2+KXhSy8Mx61N9uvba4j3Q/2fo91dNMvqqQxszDHfGK8v/ZF06x11/GX&#10;xB0vT5tLtdV1xbe10BYVFrZxxh5UEDBU8xQtyIshQo8nAAOQPX9dn8P+HtHu/EesWd41pptrJc3k&#10;dtCfMaJELPsDYBO0EjkD8Oa56HNKlKrJpczb+XTr2NcRKNOrGiot8qS369enc8F0nxSmq/tAeOPi&#10;hpfwu8QL5Dx6fDp6+WG3oFjnX968aK+63RyhIaMSgZOWJ7Twp4i1TWnxrPgjWtDjVQd1/JYyM3rh&#10;YLqT9SK5b9nWzkh8CDWNQ1HUr261zUZ7u6uNRk3ES58snc2GbcY95dslmdjkjGPQSl7d+XZaZpkb&#10;3MlwIY43k2sWcgJ0B4yTW2DjKOHTbtfV/PUxxs4yruPLe2nXoeIa5q76p8ffFGr+A5o9e/s3T7W0&#10;jk1LUJbVLTzEUzQooil+7PDMpAwAdzAsJMnW07XvjJPd8eE/C8MWcZXxBczHqP8Ap0XtR8K9c1Lx&#10;DZ61431fRrK1XXfEl1qVvZWdwWW2ikYZT5lz8rrIAeMqFOAc101xcahuZ4ltYRGQZFaMnauPvcEe&#10;p4/2TVYSLdHmcn7zb+9jxdZRrciinypLr0XqcPc6hbXnxNgvGsFuLq18Kiz8QPaXDKsF0byWaGEF&#10;o+Qbcq/TqTz2HRW+pRHmXw9dMWbbth1Idfb9wSK5mz1GXVviN4i1/RYbe3sGuLOzkaaPDfa7aAQX&#10;DMoIwpfBU5yQTzxXTWl9rFhazah9qt1jt5njmP2Unb+7YjgyDJPAA9SPxrDJOm3d6t/nb9DPFS/e&#10;KNlol+Vzj/H/AIQ1PxL4u0DxPoFtJHFYTXa3trcXPmR4gFth8hF58y4TOQO9Yfj+88dnWjJ/wjem&#10;STtGg2y6xLCoXB54t3/z9K1rbXfFVr8SLHTJI4fsmoaTNc28slvuVJHulRyQCOphQAZ/hNV/Fmq3&#10;2p+ILi51BY/OO1XWNSFRgijYMk9Oh565+gVGmnKcrvV/krHRKpKPJGydo/mcmfCHiHV/D0njjWtM&#10;02G+0vVrezs7aDVJJEkjuIriSRmYwIVK/ZUwApDE8lcZL9WhSyshLY29xfSbcvFDGikfi7gH9K3b&#10;vUbOLwrJpZCi4m1u2kj+bogt7sEfjuH5day/KwODThT/AHk9Xv5dl5G8qnuxult59/U5nw1ealqv&#10;jea1vvDt1pe7wneKrahPBtb/AE/TOR5Mj9OM5x1HXtPZX1pf64vh20aZpmz+8ksZ4oBgZyZpEWP/&#10;AMe57Vae1lfx3HHGu4yeFb/H4X2mE/yqcQypwzfd6/N0rOnGXtJ69V+SOmVSPsoK3R9fN+pgXIud&#10;K8a6lodxcwrcXkemRx2cc8ckrsn9oEjYrFh99MEjB5xnBxPd2N1aNsubaSNtu7bIm0kevNc9rdjK&#10;3x4sZni+X/hG2cSHIy0crKfyE/611Njbw6bqVxrOnwRwXl5HsuruFAsky4xhmHLfiazw/MnPbd/p&#10;6l1akY8j8l5mp+zRLaL4X1DRbJP3OgXl5p6KefljvLt1+uEkWo/ihoiJY+Hor65WKztfiBbrNNKw&#10;/dqiSt19Czc/U1i/s0eHfEuoWHiqK38Q3lnMvjK/KzQsjuYkW2KoTKrAqyuQcgnB7HBo/aIfXR4D&#10;8TapqEdrJb232eZYbeFo51uBcA+aJC7KBxyojyQxG4cEcvM/7McbbJ/g3/kEuX+1L827Wnrb5HVe&#10;K/AEWo6S9toci2lwzSSWs20OkVy0TQ+cUb5WO1iCDwRwciuY/Z/8X65p3wr8Pvc3KTLJZw+ZazNn&#10;y0F23mkEDdveHO3d8qkxnBAYHub/AMRzQXjWN5okyrGkpa4hZXjXa2EXaD5hZhzhUYA5GTgE+U/A&#10;O1u4PB1xpl7dJNcadq9xbyxq3zRRoItpZD80ZxIoKNhlbIIB4rWrGi8VTa0un5dmgoSqfV5qetmv&#10;Pueh/sx+LdA0uLxFoV1erbxx+LLpYPNmJYr5wt0LHACF2jKhc9QcE8E+UWevavD4It3l06xubPS7&#10;i6OmxNbr+9kNwl1vWVRvRuY14LIV5ZHOMb/wMt9O8OfFfx14ftr1nku9SivVViMpvjSV8+g33Hy+&#10;ymvNvHniDxV4K8ReJrnVT5cln4sktrbRZMr51rcoZo5Y8Hau2CK3jUEELHIoAG0Y8TGQccNB32co&#10;/c/+AerR5XiJ26qL+9f8E5Px9q+o27a5qV1dm21GHWrXWNFtGjCsk8jhs7WJ3go24ckMoyeQ4H0p&#10;4bhk1DQLXU9M1OaNZ4YgjRzebE8cbbRsDAqA6g5KgEg9eAR82+Lf7P1iOwvbbUv7QutU0YmGC4AE&#10;0AXckaFQTkgRRsD05wM7Sa9u/Z1l03xH8O7S7fTWjuorU263CN8yw/6sBX6jJiLEDoT+NRlUuXFt&#10;d1+RWZRvhU9rM7jw18Rf+EU0J9J8a/CvxVbrbskWl32gRxX8bQJwxkiZ1lTgAq5diw5IBBB6Twb4&#10;q+FHicQ6D4G+KGj3xW4hsrKw1O6exu7gtlYwqXqxmYkjYfLMnzkAnJrl4r7VvBZuLfQr28mjuLVf&#10;KGrgz20MoGwMjblkZsIpdS+DuDfecmnXdx4O1wale+JPhiL6GSFZGfdDcNcTlAjRosuwQ/LEGHzY&#10;J6HIJHpexxVOV07rzX6r/I8/noVI6q3o/wBH/mdxd+E76fQF8NeMdPuPMx5bTXmniJnlhfH2hElU&#10;rxIokQ4YfdIyCMvurrULzRU1p9V1aPE7ahfWUxNzNMCimS1bcWkQZRcRxlQJEU4OCreX393r/wAF&#10;Hm8a/s6+NdQ01dDQarceG9YupRot4kkbRzQFWYRySBRub5i4Lq0bAxpj6i+Gn/Cn/jj8PNO+I3gi&#10;1tks7+3KSR6evlrYXmBJPBIAq/v0aTDBgc4DDKsC2P7utUdOtFJ29b+j0NOWpTpqdKTtf0+9GJ8I&#10;vjf8RPg/qcep694w1TUI728vrnX5IWgNvc3V1YvpyY0yZo4rgpE1ssIe5jZWtIU3glJ7b7N8P/tn&#10;/sUeIfhn4e8CtqV1ovjrUri3kk0fXbiSHTdLkEkVx5g1C5uY/tDtDbvYovm3Fys19FFG0JuJJJ/i&#10;bxV8MP8AhHzJ4V0u9m8uG0jFjd3MYkZSOFk54Z1Zd3TqFPfNRyeHPE11ZrqemWFzdR2d5Gs0drIv&#10;7zcArbh95gqyGTaACSgxjnPNVyvCVvhbjtotjenjsRT1lFS316n1non7RniH4L6Gutr8Q9Fs5NQ0&#10;O4sr4eDdJ026nl0tLWMpaSzmEzbpY5o7kXEbxSztHbFslAH2/g543+FH7WfhLT9NsPFN5Jr2qeIr&#10;bQPCWveNPFEn23ULm/kvbpovNkRhOLG81XTbW9ZFmkC3FjApt2MZm+LbGPUvC+oz6RZ3t9p9nqiy&#10;JqOmw332e1u5d4kZZ4FK/amcqsuJA6q1pG4CuqtVGy07xhafD7XPCNvPb6/dDwbLoGj3HiCOW1mS&#10;Rb+TUbS4SeymiZUhmvLphGVML3PlXDxO1rb7OTF5TW5V7JLR9N9uprh8ypO/tG9Ut9j788Y/s1eK&#10;PF2t2/hfw34vsbqFtasdWS9u7GO2vdRjurFdO003UcMkqiOeFbS3trG8cRu4sVcJEUxq+D/gDrmv&#10;eNrvw1rVo2qR6BaQrJqHgnQft6y2ccExkuCbdQq+dDpszQF0Wa9la0cRuLp5oflvwJ+3H8W/h94T&#10;szp/i5tQ1O3mCeDJLjREn0iS6ew85JVto5XmxPNarbXFxJIuItQfiOz08Q3nT6X/AMFLrTxZ8VfE&#10;njT4j+EfD/hy6stXibTde0+0iZbW4sXtVjt7N5mLi2tr6BoRbLavMLdInY20ct4JvPti8NUvble1&#10;7f0jscMPWhZvmW//AAD6g8K6/wDseaJqUifEfW7jwuW0F9T0XRofEVvqt1rcEAS+uoxJYJLOt3bN&#10;B5MdtbLb3LRSxI4mkuiib3in9sfw18OtGuD+zj+z1fnSvEU2pzWfjLXYG063vrl5LgXF4FJa7u5h&#10;qRnM8d19inbcZFZlljmfwGXxV4T8deEf7V+C+qtoesG11XU/DfiGTVHkm1yW2S3a4+xSXl5HJdrZ&#10;G3uGllt2Y/azJbiGDCMep8KeG/C3ir4bw+O/h54D/wCEg0uz8BW2kqkXiCS3udEuI3OmW0rCJGN2&#10;heWzk8u433MtxFN++ECGClGXNUUqrcl11/4ISjGFNxopRfTQyvi3+0F+1D8aNHk0nV/jvrHh2R5r&#10;K5so/AeoSaHHZXsFu0LNHcQBrr7PO7vJJDPJcqpKmPaY4yvknwh8JaJ8PfBv/CLaJ4dfTrXTixt7&#10;OS3lVoo1Ee5VjMX7kq7guhcHdOgWP5WNeqWfw+8VXujQ60nhvUYlvvDsur2NvJZmOW7htfLaZrVG&#10;G+5kDSRqYYS7sxEYViSD6j4N/Yn8a6rffZ9S024a0t9aNtK/mJYxvamxaVrmCSaOWfety8cWyS0V&#10;WYSsHAVWb3JfU6NSM4SUbLZdfX/gnic2NxFGVKpFu73elvQ8EuIrm6gmE2lR3Fr5nl3AmVWimjZS&#10;DkOCHUn5SrKAQGzwOdf4b/DXWDDE1jBcTQ3kz2Nvq15N5MNzdwxNePAJD5MLTGBS3ljHyhQFbPzf&#10;Slv+y18JPhV8L7jx98cPiJo+k6bp+h2tp4k1SWaHT7MXP2oI0jXNxJO1tI0siQJ5EsRJVI8kuxZP&#10;iF+2z+yx8AdR1TxB4Q8Ha94q1iPX72LxO3hnRw1wZljZ2u2ub54RfRMyCMS28s4IbIyoBrOWOVSp&#10;zQp3a69jSnl0qdJxnPlT/H7z591D9lLx9r2nyT+G9EZRqfhu31PR5L61lsrSead932WczIk1vKqn&#10;exEMilnRQWLNtPEn7FdvPeeKdP1K6hs7XVLC2TQ3jnL6jpIEW26lWUqIJt8jHCtb7I0KD5mO4XdU&#10;/b8/ar/aH0vWV0TwVo/w6s7rQVS1NvM+p6tZ3Tvk3UN5MqQrt+6sMtm23rk4Cr4R8bLLxx8Wpb6L&#10;4s/ErXdWt9Vjt4da0zUb2aTTLoRBVEj6ajraBvk3nZCmZCX6nNa05YrFR521b+uxEo4PCS9n19L/&#10;AJ6HQ+LvC/7Pnws+J+l2fiTxr4Q0Dxpo2nxpZ2MutW+m3U1u4O2U2kcsayNIu7ZK6s545YqRXld/&#10;+0R+yfpUuqeOPBGjz3l/eSs9xZ2vgmeyvb+UvzIZbyO3Q8Z3GR8t8u334/WvhhaJcSaRo1pHAbWE&#10;xR29naq0XytgKPLbaByQCmQWKj+LcPOdUt1SBrq1eNo/lBaGQOxJ6YCnPHqOlbqnddPuM/b09rP7&#10;/wDJHqU37W3w31a2ka6+H/jKzugxeLzrPT2XknAZo7s4Hboxx7815/qn7THia4uXi0/4V6YqSFjb&#10;+f4kkDeZnJGPshXJ5OMjvz3rmZYpAUuFh89lkICquSo9BuI5PHc9uuKtzaPaalZtNHJJH+7yuUGU&#10;44YfT3x71PspdH+CNFiIq14r73/mdBbfG34drZJ4s1r4Y+KdDWa5Qaxq2jTQCOOTlBJOtrciW6hV&#10;dwIlgJBO3y8kBup8H+IdB+Jun2WmfC/4q6J4qFva+ZardXjWOuWCGbyLqclF3Rj59iRfZoYwTGCS&#10;hUV5/wCDNZtdMvll1C1c288nk3kE0atGMjGSOQVYEKR06ZAyxrrPD3we8NeP9L/4V38Qfh++qWdu&#10;Gj8K65qUKTTR27F3+xPIm94o12vh1YAKyD9y/lBiH1iMrRf/AA/9eQ6k8PLWS+7X89fxWhoa3YeG&#10;9KuPFGq+M9GvbG11rT5bjWtL1pY4LSCaOQIl5HPD5lvHuBVvvm5xErhJHGBY+Hvwq8J+FreSzuPB&#10;Wi2+qR26wzT6HHLa2uqW8Ae4tNRe3t2VPOhkAZZG2gSrsWdVYx1j3WnfFnwfosnj/wCFnxd1C4sb&#10;W8+36z4b1y4TWYzZlRHugeRxcBVEbSeX9p2O4fbIVBMit4vvPBup6LqnjP4QLb32prHqNj4i+F95&#10;9oivrySPyZrh7WQRPIUilDqjLdEoWI3eWxEVvZyTjVjbzXn2a/4A6fNvSlfy9F2fl6/gek/BDU9f&#10;17xLHqGm/Fexk8Yafay2erww/Zba+WBoYvNkSSBV+0WbiSK5heRQqh4icSrmH668OaB4Y8TeG7bU&#10;ND1PUUnHzfar+6+1XdpMdpdT5/mLG3QFVG3BBXgqa/NrxdD4M8Va/pvi/wCG/wAZNMh1zwzdGxuL&#10;XUbM6dqKW0QdL1r23kMe6GNpCZQkMEMdsbhdsqRxxL9F+DfiD8e/gdqF54r2aXD4fvrhDqOh2Omy&#10;X0emRmQmW8iiRVaZVLlmVZImkDu/lI6tWuX476niLOm5QfVNtp973+/UxxmD9rTVpqMuz0Xpt92h&#10;6b8VpPFvws1TXvHWseKvHkem3NvFFa3un+JIbKW2lEkKN9mVPMTEiouV8jeV3Nj5WdSvQNFS5nkX&#10;Th8U9K1Aa1Y2cuhr+6u7ZrFY3f7ai+bvcS/uWaRyY1M8KIzkhmK6MVlkcRWdSEmr62b/AOCZUMZK&#10;nTUZQTt1t/wGfc9rqCFdyy1aF8JQFzXF/wBoqq7GDKP7ytUi6zJGv7q63f7zV4f1Wp0O761Hqdht&#10;hfhyBUggi/5Z1xi+ILpOTcK31qeDxhd25zIwP/AqPY1hfWKbZ1qrNnH4fdqK70i3vI9so2n1FZNl&#10;4vglI3MvvubrWnDrlnKuRIp/3WqeWpA2jKnOO5m3PgqFzuS7/ArWTqyLo6mGaHzo/bpXWtJDcLuj&#10;k/KsnXLKSSFlW03dtyqa6KNaXMuZmNajBRvFWOBv/wCy7mQtbWJhbP8AequLfA71q3sGyRkkgVWz&#10;1FMtrGWeZIIYmd5GCqqrksfQV9BTqR5T56pH3j5z/bL/AGrvCXwRutE8C6H8U30/xRfTXE1zo+l6&#10;ZDqVxPaLAd0ckBgndAQ/mblEbgIrB8E5+E/iLrXwp+Mtz9su/Fd5pY0m/huLjUr6S4055pdzPFBv&#10;u4wkhbypnwuHbyZNp649v/4KK/tBL42+JNxZaMbf+yvDcL6ZHNLiImYOTNISYkZwn3F8zElvK99E&#10;TtNfndrWr/8ACX+JrrxjcwFZZHMcG8HdHED90kgN25HI3DI614+KqSX7xyvzPReR7mX04y/dqNlF&#10;Xb03+49zm/Z/+EXxI8YQXnwt8X2Nvp+nxquuaNod8t8wjA/1nmSSu8DHgZIdcuPkx0h1n9j+/n8c&#10;ovh3xMLfw3JtDPdf6TfwHoSEAijmHf70eBnrivE9/wBoUuH3f7KhcH86veG/EOteEGup/B+sXWkG&#10;6k33f9l3DwGY46t5ZG447nNcPtKfWP4nrOnUX2vwOx1j4QeIvhf4ymtdalt7i3WMtpt5DON0ytkb&#10;mj+9Hhdy/NkEn5S2GxX0rw54j+JPi2z8A+EYFl1fxHrNr4f0CGacRJLc3EoiA3uyrGWdioYkAlEy&#10;egqxdX+uw6ItxrWr3l/fFdiy6nfSXDCSRuFzI5IRS3IUgYDEDmvQ/wBmSZfBd94w+PsN3PYzeAfC&#10;qaL4VbT53tZG17V4ZLO3ZmiQuGjsY9QvFnUxN9ptYy0rPJtfoso07LqcFSTlK7PUfgr4D0H9pn9s&#10;i3sPB+oa1beA/hfodjb+GbqRjK4hsWjhsnDoY4rWe6mhuL+VFiaNpHuQELOZlTxdbyftDf8ABTK1&#10;8O2On6pDpfgbVGuL2RtQiW6gTTJWIMnnSytLE+pSIqhPn8kj5YtrMndfsdaWv7M37DPib9pTVLVY&#10;dY8RRzavatqOgPE8UQxbaZby4l3TQs2yYSAxjbfNjgeY+Z/wS++FEum+CvEXxq1LTWRte1H+z9H3&#10;WsAVLC0ZkZ42jyyq9y06lXIz9mjOMYJ9TD0YuNKl1b5n6dF8/wBTyK9WUZVaiekVyr1e79UZ/wDw&#10;U28a6jrv/CH/ALO/hdbWPU9a1SC5jnvkeEQzTyNY2ZWfJTyzJLcGRQjv+6jI7o/tVjZ+Fvhf4Gt9&#10;LtXTS9B8PaSkKySNNcfZbSCPGSTvkkCouSTuc4/iJ5+e/hnep+0j/wAFDtW8b21x9q0/wraXE+ip&#10;aTLPHcYU2ds8Yly/lyRfa7n90oCyAHK5w/u37Rngr4ma9+z34ij+HWj3h1i8aHTdPtPtEFnLdyTX&#10;UNu9uDePEuJUkdFJwJCwVCzMtdVPExvVxLe+i9EYVMLKUaWGt5v1f+R84/siWdz418QeNPjRrFpa&#10;295rGtNH9nstPMcdtI5N1M0Ds7yCKQ3KAoWY5txuLnDV3H7SHiO28IfBvxBexPZtcXln9hghvJNp&#10;kac+W+zkFnWNnkAGcBCTwDXRfB/4beEPhp4d074Rn45eA5NQ8Nsx8bWL+MU+0aS8haedY4TGruwk&#10;eQRxSCJmAUZJJrz79qDxl+yF45+HEV14i+NniaPQLfUsXdlZ+DLuz1C7mVJAqwveCPy96kxIwV1E&#10;kscjERo7pH1rD0cC4KXvW/Fmv1LEVsfzuPup/Ky2+8l+BHh6bwv8HfD2lSLqClrAXc1rqq7Z7aWd&#10;jM8LDA27HkKhTyAvJJyaoftJ+O08G/BHWpf+Eiu7GS+CWtvcWpwBG53TRyEH5I2gEyk85zj+Ljsf&#10;Av7Qn7OuoX0vjG58C/Eq1UWsiw+FdYXTFtppCvyu8lrcNKuOuRKcd0PSuG+Jf7RHw/1vwrDrvxN/&#10;ZW0lY9H1q0vYYR8U737HGsdwm6aYG0QSkQmUCLypi7MECyFtjZ1sww31X2cO1jWnlmKlivaVLb33&#10;NnQ/Ct54Y8LaT4bvrqS/e10uC3uLiOzKAvFEI94XsDzhcnAx3rN+KlzbaN8PtW1vU9TutPaPS7mK&#10;O9t5WWVZnidbcLt+ZGM7RgMMbSc8AZGVB+3d8SvHOq3lzF8G/AemaS0zxNoOreGzPcBeCN88N0sL&#10;gqc8RD71HiX9rSXTvhl4j8Nw/Bb4e6Pp+oaPeJrl9pfh2WOZrRo389Qgn8tyyGTCujAs3OQcVDzS&#10;k6PLFPaxf9kVPrHPKS3uc58MdGOk/DzR4tF0e8kgawNxJNM+WbzyZm+8QVG92wpxtGB2rRl8X+Db&#10;CVoNU8YaTHcLCySWtxqkCs+4cAhm6gYznjnjPWua8M/ta/teeLtNt/EN7+0ZrFm1xCjvZ2mgaQY0&#10;JA4BlsXfA93J/Surtf2vf2mLBJHl+Kkl18v/AC8aHp5/HAtx/Kqp5tGnTUVF6Kw6mTc9RylNau/U&#10;5r4U6J4q+MEOuePPA+hS31v4i1q8vIbXS7eScwAAgP9/Zb3I8olFOWUqT1zgj0xXb3XwL+Od1o82&#10;jL8JPEI+0yRzSM2h3I+dAQf+WXIxt/EdOa5jRf26f2lYtZ1rRNG+LEN1p9rqlxb2tzceGdOlclHK&#10;yANJbkhRJ5m1RhVTaFCqFUSaj+1l+0Zq0nnXfxQmVm43Wum2kAxn0jhXH+elKjmns6ajy7F1cpjU&#10;qubluO034R/HXVPEN1pFt8EfEz/2Itnam4j0K5KtiaS6IyIzz+/wRwRgZHIrlfih4V1LwXq1xqfj&#10;zy9BFzcM+3Wt9q27AJH71V9f1FbGpfteftIfDv8As2fwj8UNSlEum3Wo61/aFrbX8cebiK1h2JdR&#10;uEUuiKdgz++LEEA1J/w3x+1XfxCWX4n2jE84j8L6anf/AGbcUqebezTTjfVv79TSplMajUlLpb7t&#10;DxKbUNH1n4kaeNG8d6Xcr9jbGn2usROXf5xnaHxnng4z8rY712b+FPEUZ/faWyZ4/eSKo/U11+vf&#10;ti/tHal4Xvtef4ozR3lncWsdm8Om2qqnmOwkYx+X5cjbRhS6ttySuCSawtN/as/aziuVvz+0frTR&#10;qQywtoOjqp/FbEN+taU82jG7cXq7/wBfcKeVuaSUkrK2v39vM5S70nULL4iWcN3av+88K6kP3bBs&#10;n7Rp5HQn0/SrH9j6lIqsunznPT9yf8K9Uu/2lNc+MNtMnxL+EPw/13UNJ097q38Sar4ca4vomVlX&#10;cvmyNEMhsH91nHTBrnPDP7Xvj221uO+1b4O/Ci403dhrKDwW8UpXPQSvcyIv18s49KqnmlGMpSkn&#10;q/0SJlltZxjGMlov1bPL9S0bf42tdRYASR+HdR9yNt1po/DiQ1KsQbOwcD/A8cZr163+K37OGs+P&#10;7XUbX9lW8jaTz9stx8TdQkWIuVZl8tY1Qo2wfJgKpCkDKrite+Pv2RL6E+MLrwL4+huriJWuPDWk&#10;rp0ttbt/dgnuXWWQYxzKR9PV08fh+aTb3d/wQVMFiOWKSvZd/Nnm3wF2+IPHvi7wPbyy2sWm30N/&#10;I9vO0YZ7mztVwcEHrbEnsSag+Jvh8ar4B8WafeapMVi8NXshPy/vJI13LnjjlRz7fWu48F/D74KW&#10;fxJ1z4seHfjhPo/h3xHoa3OsabfeFbmfUtGuICkVvbMLfdDceZE9wzNFkK0Kc/NgWPG/7PB8R+FN&#10;T8I6B8cvAeo674i0m5h0DRdP8XwPeah5qHy0jjdY8S8jdGzLtOVJyM06dajLDShf+b8W7fmTUw9a&#10;OKjUtp7v4JX/ACOT8H+ILjV/B2i6xe2at/aGk20/nK53NujD5wRgnn1A57V578P9H0+w+IXxA8KX&#10;cfm79Xtr6SC5jBDLcRGXGOhCuCPyNe2eD/2dPj74O+HXh3w748+FeoW9xDpiWvlWu25aJ4kVNr+Q&#10;zhThAck4JOATXkMPh+bRf2n9at70yfbNW8NxTR2zD5ongm+zvCQD94BN2McfN0waqclKlQn5r8U0&#10;RRi41q8bdG18mn+RnjUbrS/2q47TTrGGOTXvCsj3N7NEX3XIdgJG+YFgqxRLsDAAE4A3MTxP7Sui&#10;JD8VPEGmXJa+vtc0u0v9HX7kdgYmghaV3JwpKQTq2RtRCrFvvbO2+Lkmu2HxW+GusaaWjt4dauLS&#10;5n2KUzOsQ8v5gRl0SQDvlcggjNO/ag0bxJd+M/BsfhC1ht7rWotS0O41KSEFMXUKRpE7HgdZWXnI&#10;+Yjoa83GQvRqrtJP70v8z08LU/e0n3i19zf+R893tve2Hhrw/dzaPJGNN1SWO51JRhmWYIbeMn02&#10;RSOuOGVyR7+pfsZavNBJrngbT9ZRWttWLZvoCyyxcBFTDAq+1Jm9B1w3SvG9HupH8Fa3bXmsRRfZ&#10;/sl7aWbru+0zB/I4ORtZVlZ93P3MEEMa779mjXb3TPjhbJPPbRJr2mQSxW2Bh5ARFx3DBTM3Xnqc&#10;14+HqezxMJef56HqYmDqYWcV2/LX9T6I+I/iTQPCkcd7411pdH097wQWd1I0ktu5YAlptkJZGXB2&#10;7d2V3kjAynV6R8PrHxjqLS/Du/8ADnjJdLs8avfeE/Elte/ZFkXdkrGwZi0kSKBjPJ2k4YFniIiD&#10;Q7q4k1pdPhhi824unh8xUiQ73yPQqpGRkrnIyQK4bXPhP8NvFWmajcap8M9L1S8mLTybkFvNcS43&#10;AG5QCRSzDls9+QRkV9NU+tRm+Rprs/8AP/gHzOHlh5U1zpp7XX+X/BOp8UeGtS0C/sku/D2oW8s8&#10;cmbebzIvJjwWMrI2NwygUHGVy3Qbq4qX4TfDm21rS9Xs/C1jps9ndNLZz6PFJY3QuRh0ZZ7VkZdo&#10;RjyeuCCDw3ZRaZ8U/Asd9qfw6+Ofi62ZtKSytdDv9YXULCGJQqCEJfw3BjBVANy8qrYHy5Sq2l+M&#10;Pihpcumrr/gnwL4u0fT9LZbyXTLe60XUL6QRnDAwPNDIxIU48tQ2cDy87hjUnKWlalf0s1/n+B00&#10;Yx3pVbdOq/4H4kel6d8Z/DuqabZ6B+0J4g1Czhle7mh8VWMerNN80eYmum2SJG3y4jBBH7xlIJJH&#10;YfDr9of49eEtSTRfGnwf07xJ9oulbUL7wrrX2UWduSVjbyL4Kju2Hzi4H3QG2gKz87Y/EzQ49A0K&#10;/wDiB8I/HPhm6/tVob65s5LXVrGyhClfNmNtLHMY1R9zb4SBtyodlBG3onxK+CF5rGoPZfG7QI10&#10;uSSyurDWr2XSbovkMGW2vEjaR1ZAvGQoZ+c4U42wfNdScH53/J6GrljFG0oqX3P8Yne6T+178BfF&#10;1ppVj4zl1DwrearfXEOm6d400OWzIaNQWkachrZARIfm84EA/MBuUnrPDWnfC3xvYR+NvBet6bfR&#10;XWYZtV0W7jkimMbNmPeN/CM74UHALn1zXli+Gr7QPEt1DPpzWsV0Fn86OxlBeQbY2d5f9XynkKq8&#10;MQj/AHgDt56w/Zz+G19czeIdD8JRaN4g0a5mk0zXNIjbT5A8wLK4+xywtKEzt+ZlJ2sMgEk7qniL&#10;e7JS/D/P8jnlUwv24tbef+X5s9y1H4b+Io9HuINE1prq4ZpJoWvriSMeb5nmpGzIdzRh+CuR8g2k&#10;EZzRvtFmt/E9hqOp6J53+jy232iWGSSSyZlLDay7o7cMjTLI+VLMYVy2VFeX6FqXxn8A2Oinwv8A&#10;G7V7zT7dpkuNN8eaYmozTPcZEJkkjWO53xyy4IabCjGTsjKP03h79ov40adJYWHxE+BMer40uSbW&#10;NV8E69C6pMpcokdrfeQcEBc4mkIzxkkJSdSW04P81+H+RXsYb05r77fnY0tL0vxD8LrdfEHwm8dX&#10;fhPUNF1nStQur63dXUXmnteNBq80kv2cSXIh1GZ5pGaRCGlULJJlm9I+Hfxw8R/s4+PtB+I3w/8A&#10;g4nia+8L2ep3bafeeJNRg02bV5Xv72x1r+z7EWtus6XJhs5YV+1u9rBCIxAW+XzfSf2r/wBnXWrm&#10;xtvEet3PhPVdQ09rhbPxto8+kyLHFvLRNPOiwyFcthUlcEtgZJIrvtLsNI1yDTPE3hnUIbm1ez3W&#10;d5Dc/aFubaRQQVk3neGKxN5hLEhep3E1zSwmX4lWt9xftsfh9/xPRvDP/BU3x7+zpBpPiHwl8E/O&#10;8Mat/pGveD/EHmQapa3KI/8AaLabILa5aDT7S6WAxSX0p3C+RUjkVzND9G+P/wBvHX/jr8BdB+Jf&#10;7PXxTs/hvp/i3RbxdEutQv7J7htRmWd8Sy3/ANoRoraS1KyyRCJYUvnijVmt45F+JrXw++nWi6YN&#10;PtRbwo9pHCywxxT6ZMoWW1dEtTtiRDhYUH7z7NCHk+aSo5/DV1pFprEHhrxJq2iw3D2L6xHo8hW2&#10;1PT4DMUt57f7I1tL5aS3EfkiOSR4kiWRx5g28VbJXy/up/edNPNPf/eRt6Htnwh/Z/8AF914UvPj&#10;T4/+Nc3i6eEzaTdeJPHWtTza3pf2a1lujoF7I8T+TPH5ORbNdOxuL+NBGr+cVLe2vBpg1mxtJls0&#10;v0tmv44mMdvM6zMgcqDtyLefGepgcDJUivF/h9afFv4V+OF1TR/iPB4kXS9aVLHQfGNq15Hpmkz3&#10;Ru0a3hSScsftrTlzcxLDK0l1K8ZEShvUf2Xf2/8AwJ8UPGWifDb45abo/wAO9QUTaZdSXlxb2Gmf&#10;2S2mtDLHe6lPZ3bQXnnRKyieaSNLeZRDLZmEh8adTMMth7OpC8en/Dmlajg8wqe0hKz/AK6Gn4Y8&#10;MTeHNVsbrS7hre3/AHm63uLVsW++NlSLCOgkVSwbaSflCZO47hd8WeBNY8R/atR0qyurpYdPklvE&#10;trdZBb28YxLNuUMUC8ZfcVTjkda9/wDh/wDBrwvPaXnxW0WJY/DFlbXV7D4gstN03X9HudJguILe&#10;6ulu4b262TKkkrYjtk3tDujiiEUsMW5Nrv7NXwc8I6R4/wDiHp0S6XLaWujeGtcuNWuPE2rFZEZz&#10;DPb2gumgjAgYGRNyZgkMnksRGKw+ZYemuWEGm+76mGIy3EVpc85rTTRdD4ki+COofEa60WKw1KHy&#10;L7Spn0vxBP8AaLu2+xxnPlGe3SVIWJY4WRlLY+VThjXNa9+y94g13w9caxbwx6P4iF5i30TWBbLB&#10;cxq4WSYT2sszKMbXC+SAPNVTs5x9TfF39uD4eeGtI1vwx8KvhJqN/caVdQros+oXEGn6dqyttZ5I&#10;3RZriExhmwstoCzxjOAd9eA/Eb9tT48ardx6l4b8B+HdD0ybT8LZ6lY3V5dmb5leRbsTQxSRllOz&#10;NsMEfNuIwO6M8RJ81rfcvzMHTw8dG0/V3/I43xP+xxpWqRWFx4X1+70zyGK6xb6hbi6S4bgkQlPK&#10;8oHs7eacHnBBWm/ED9mnwRq2gW0Xhy4vvDHlsDPcaIzh5SduSyXv2gJyOVVVxuYnoTXmOt/GP4/X&#10;+nX2ieJvi7rN19vhWO4vFs7Kwu9oOV2zWFvBImMtjDA/MfWuL1nV/FV9oN14R8QeOPEGq6bdczWO&#10;teIbm7hbjqVmkYM3fJBPv0q5Ke7v94r0U7fp/mepWv7Nug6KZ4JvEuoX0kkZXfeNA7Swn+EhYlUn&#10;lhjBxkHuRTYfhNr2l63a6tJ428QNYwsJV0e4tIFt3G3jeywrNlflkUiQEMqsoDIpHgumfDLwXbeZ&#10;a2ng/TYZAwZhFYxruBBwxCqODz2xnIqYfDvwy14lrfeHdOdWbzLXzrVGXcPmMeGUkqcdO3OMEA1h&#10;L2kdf1ZrGVGWn6I+kE0/4j20kWqy2Wi6tJcWMo1PU9H82xnuf7sUULO4DMmAZftEZ3iNsFY1Q81q&#10;ml/DrTvCeo+DdelvPDGkzXseptea9aiGPw3LKxdVguQ6wF/N3Y8mZvLLKCjq0jVwWhfDvwnLpsmr&#10;+DLvWvB8izQzX3/CE3X2Fp3gOMOin7PIOXVjIhHKszqgkD+iXt18cPCs1rdaD4803xNpuratbva2&#10;fjDRDa3aW5T99EbizRFTHLrutXddx3gJCzrtzTkveV/xM1Gn0dvw2+9fkS+I9B1Gx1eH4nN4N0u9&#10;ubN47bxVcLEHt5oU2bLxSGR1eMOXaJiN0G9XkVDDK2n4L+L3gv4YWknw+8SWWqabZ6fp876bqtnb&#10;hmtbO5kfyzcRgFWkRgIxPIJd7FXlKm4Hn8no/wARNH0bxzN4b8ZfAjW/D+vJqkdxdXXgmSW4jvVD&#10;MIbo/ZPLuruFvL2vmB0QlI5cFsE07X/Anj6xt4vhl8RdB8WXCyX2oTeG9Ut7ex1XUY2SSC4tAsa2&#10;7WqPAdmXh+8Ipi38bYyqS3pSSl/W5r7Hm0qK6/q210fTHg/xL4H8XaO3hvU9J8G+I9HupBNpr654&#10;d+3LYxyKDIXVSWKzSWsZDYUZiUYbaGorwf4UfAxrPwXdeC/DfxMbxP8ADjXJBdxpGv2XUdPnBR0U&#10;Ngq25dnmRyLHhlDKqNuDldUcRmPKrRX4HFOODjJrmf8AX6n6Zfsx/tefBP8Aa68R6v4e+ElprEn9&#10;ixyveXU1oDBsWVUVg6MwG4MrfMV+98u7k16reeCtRiYtb4Zc8V+B/wCyN+2BqXwN+Lfh/wCJNlda&#10;xcafY30EmsaPp2qfYxqMauGaJpdjAHKLyFOM854z9d2H/Bd79p7TfGmoazr/AIB0W60W8lils7W1&#10;seLSFHUtFGfMVnZ0VwSxZszZGAqBfk8NndSEbVD3K2V0p6w0P0oufD+r2q7ntH/4CM1nmG6D7CGH&#10;+yaqfsgftmfDr9rz4XWHjjw440/U52kjvtBupo/OgkTG4oAxZ4+eGIGSrcDbXrJh065O6W3Xd03b&#10;ea9inmUakb2PNq5a4y3seaxw32cGBvyq1b3N5ZnesTA/7td0dEsG3HzZDn+Eniq9z4bDqfs5jU/7&#10;S1p9cpy0aM/qc46pnPWniyeEfvY+f9mrJ8bOVwsbD/gVNu/AWsPMWhEbL7OOapzeEdZtDmS1Zsf3&#10;Rmtqf1WXVGcvrcFZpjLu4t79/NkhO7PXdXzl+398arf4ZeH9L8PaUnjCe+muopbq08Kw3KxiKcTx&#10;RG7miKIsL+XcqUmkWE7Szq2xGT6Tg0e9BWP7LJuJwBtNfnf/AMFMfjg3iH4ltouiWen3Fn4ft1X7&#10;ReMsbC4aHchUtZCTCQzvtbzG2m/vIjypVOiUfapU4ytff0MKcvZydSavb5a9D5/+MPxg+EXiyQ+H&#10;viraTafHfRytNDqEIme4HQx7rRpSM7jzuXOw4JwccxpN3+yV4k8OyfCrRDo9mskeyG7uNOeylhGf&#10;vLezxqdyjJAMhzjGCDivC/Fni678feMLvxPdbViwIbWNMsqxjphu4zz0ByW4GcCjL5QK/vm/76Iy&#10;K8mdb941FXXS579Oh+7Tejerttc+htB+En7LFtp7eB7Txjpep6reMy2VxJ4m8y+3HGFijilCSY6A&#10;eWxJPeqevfspeG/hL4QuNU8VeItU1DUheRJpe2GO3jDbt5SZCjlxsV+jR/0rw8BWt8x/Mev7vGTz&#10;7161+zl8HdX+IuqWugW+p6Pov9pSTXF3rXiXVo7Cx0+1t7ae6kmnllYKFjt7e6uCEDO0cTlVfbgV&#10;TqU5P3kku9wqU6kY6Sb8jndYuG+3sy7nj023aaWOHazPIy/KmOu4Jn5cjIlU+hH05qH7Efxntv2S&#10;vhXoXiLUtJ8H+A/FUdz4z8cePtY1aFdMsrvUmiRBJG8kW8CyTT4YlYM32rUJ1E3lFmj0PgvZ/Cfw&#10;f8fLX4Ifsw6No/ibxhpc11f33xv8W6beQxeH7pP7Yjh1OytzdPZvFbhND1CzMsUsd3FuMk1s0iR2&#10;03wd/ZZ/bF/av/bi8Xftj+LfgF8SLjRNQvZrjQdWuPCGoJa30bfKjW28yCOAphkhSSRIlRY1ZlwT&#10;nPHUZStey7t2J+p1lq/W1rnd/twfEf8AYx8MfB/Rfg18QdR8Yafb2XiNNL0uw8EeGTEtnLbQ7B5T&#10;3gjiurQQTLh7cSJu2DdhSG2/CHxG1fwJ4K8O+EfgP8G9B02z0e4+x6Xo7W9zqEuv2BIEMa20X2Ty&#10;NRuX2M5xOxkmkQF2cu3nv7Qf/BOX9sT47/tV6V4o1H4T6TY+FfC2l7bGHxJ4s0jSZp7kkspmiurt&#10;LqOB5G2NKIW2xxSNFHK6bJes+P3/AATq+M/xo+FWr6B4w+OPw68C3l0saR2epeNpLvS47UztMYZP&#10;7NW5W/mTEIE80Ea77WGaGC2kLkupm1J1JSVS72Vu3yJp5XKNOMXDz17/ADPnj4OftYftYfHb4V+J&#10;PDvjDxhqX2XXrpJNH1bSdRtLB9JtTAZYIhfWAjuvMgdtPJtUjhWWEXVs9xatGIa8z/bY8SeJdY8P&#10;6f4c8e6vdeKPEF9qENjoniLXruOTUINNLGSS3UqikxiRdpCgKVdC25ySfsj4afsV/Bj4FeCtH8E6&#10;3+258LWtbWPbqUultfNcK2SXMcdxbQq+PmwGdScAVyXxh/Zk/wCCf3jH4r+HfGuu/t/64bHw+QG0&#10;az+FdvJ5+4hmP2hNXIUkhMZRwu08ZauVYyj7Ozb+5/5HZ7Gp7TRJL1R5V4K0SLw74Ys9Fiw32e2W&#10;PcV+8QOvc/8A668t/aadfE3xB8E/DZIbeaNr19RvMSBpUCDYAV5wrK0nzHrsx2NfZ+m6x/wS38EX&#10;Rv8AXfiP4+8U7UdP7Piu7bTIHAxhiPsU0gbH/TUD2PQcT4k8Qf8ABIKL422v7QFj4P8Aik2sWmkt&#10;p0Gl/wDCbafPp6qVZfOMMmm5kfaz43sQPMyFBVCmksdRcLJflt95McPUjK7/AFOF8FeD7bWLO713&#10;XdXXS9D0vyxqGpGMSO0jq3k2tvEWX7RdzeXJ5cW5RtjllleG3guJ4fAf2j3hTxJ4a8MX93drHq2u&#10;nVL37RqX+iW8duhVLcAhBJtEpxIVUk732p5mxfsCD9uf/gn3Za/IkP7MFv4mt9Hm26dH4ia+J06d&#10;ljeSRFtryOFJpR5JeWKONnSO3jcMLeNqp+Jv23f2CfFnxX0/40a3+wfod94j0eGSHS9SuvF3iT9w&#10;kiOkiiL+0TFyJG6rznPBxUPGUZb39NNvv3KjQrRlov6+4+e/Bui6n4t1O8XwZYyaoqw28839mx+d&#10;5ayb1jdtmcBvKcKT97y2x904zvjXpniTw/4F1Cxm8L6g19eeVZWlu1lKxd7mVLbChQd7kTYVBklm&#10;XA4r6N17/goZ+zHe64PE+n/sX6fa3f2YQSNZ+LdWEbxhty7o3uGRypLbWYEoHcKQJJA2fbf8FVPC&#10;CeJv7Ovf2XPCd9pNhY2M+m6ZrfgrSL9bS6W4nc3KXFzaSyySnbD1Y+WbdWXBkJOn13D2sv6/MmOH&#10;xHMm0rep4P4NsNSu7KGxtfDOsW7Kn3L7Qrq3Axx1mjUeldJ/wht7Cgn18ww2Ksv2pvtMYYRn72Oc&#10;5x+te9N/wV+8KzDyJP2WfAbRyAb43+HugNk5/wCwfzUN1/wVt8D3EBjuf2T/AIdsrDBSX4b+H2B5&#10;zjnTq1WOwNuv9fIxeGxnN0/r5nyf4A8NeJLzw9F4zs/DVx9n1rdqdin2iLf5FxmeNSC4wdrr1PX8&#10;as3f/CZ24by/hnqzY4H+l2AzzjvcjivojW/+CqvhWKPQbLwp+y/8N9Ph028Aazi+GPh/yriBbaWN&#10;YNosF2qpKOMdPKx3FWf+HtHh+MqIv2TfhqPmJ2/8Kz8P/p/oXGTVRzDAxjqn9/8A9qVLC46UtHG3&#10;p/8AbHzX8Wbe80bRfDOhR6LJc6tqCxxG1hmjW5tCy3N6beUs4jZHTYwIdl3WTcj5N2dpXhjxLMi/&#10;bPDstr6ieeH/ANkkbivp2f8A4Ks+BNe1KO78UfsofDma4sWSS2un+GuhSSJ8kqKFLWR2bVklXjtM&#10;+euKvR/8FVPhOYo5j+y74A3KT/rPhpoJx/5T+npySKVPG4LVzvv57f8AgLKlhcZZKNv6/wC3kfK8&#10;+ga69prOgG1UvINPmt/3y7ZD5k+4deMKmecdsd6k/wCEa12wg82a0VlVekciscf7oOSa+qD/AMFW&#10;fg1HOtxL+y/8P13Abw3wu8PsxPPrpvbJ+mT61z+rf8FQfh3q/jvTNS/4UF8P7Xw/Bo99DqFpD8L/&#10;AA8kk908to1vICNOUgIkd0vHH70Z7Vp9ewHn+P8A8iL6pjvL+vmfPvgTVJjda5YJpepCSLQZvnk0&#10;ueON/nj4V3RVY/7IOT6dawtP0jW005bhtKuFjVRuMluRgY9Mfz719D6/+0z+xP43vpNV1b4YX1rJ&#10;NHslj0y6ewiKZ5Gy1eJB9QB9eBTk+OH7AC2UNpD8KbiJlUb5ZNYvWkI9y1yQ314J5qo4zL5aOTXy&#10;b/RCeGx0dVFP5nzj4L8S6Jd/EDTdL07X7Ke4FxILi3hukaTb5MnVQcjBAqrpbF7KORjwyg9K+jNT&#10;+LH/AAT28RXEENh4f1SzmsLrcbq1ubiRopCmMFZJWUfu3PPP3/ujAJy7zw7+wH4qTytb+I3iS8jj&#10;YmG31SxtWRD13DMJwM5568VX1jL5ae1/Bk+yxsdXS+5o8d8N6hNDPqmmniGTw/dyyf7yBdv/AKG1&#10;c/fpPdzRpHeTQmH94rwSFTu7cdGA/usCp7g19M2/hf8A4J8yaXPp5+LGqR/aLaS2kVLiKJljkUqy&#10;5SAEZGOhyMDHQ5880H4Dfs++ItM8jT/2tLGzW7eOS1mj00s9unloPLEk5PmDcrNudQ3znoAAJlWw&#10;srRVSL+Y4RxCvJwa/E5Pwxrfjbwf4Is7jwtreoaKsjXS3kmk6hLD5/mzFy2YyCF3q5CkkqSBluHb&#10;e0v43/EHX/EXhPS/F2rR61Z6SzQWaalpdpcyIRbuomeaWJppJdgZDIzlm80lixwR0mvfsxW8Gnro&#10;3w+/aF8MahZjVFmW4vpPKnSPyQjRqkbsCWfe+7IABxt/iok/ZY+J2nvH4k8IrpGt/Y5YUkgs9SWP&#10;7Uz/ACSNEJQqh40Yuylgp+XYTuMUdxnFSSjJPbZoUouUXeL67o4/4g+IPg38WPCdlp3xU+HuqaON&#10;Nn/tq81zwTqxkll1CPeQsVldgpDbkO5CrPujKgLlSQD9o34UWHxs8F2mk/Cfxnarqml+ILC+bRdY&#10;k+wTXUhaeGG3t3dzDNM5kXAWXILKpCl1B3vFH7MPxt07SbvV7n4b3a2+6QRxWtzDPMV5AxHE7OeM&#10;cgH39KxtZ8K+MY9DGteKfBOqaXBfWSi4N9p8kKROwwUy46gkDGc8jPNbupU5ZJ9VZmCjBSi1pbb5&#10;nydr3ws8R+BvijqPhS08BXE0Osx6npfh2G+T5JkdWW3lSRvlfBZGEisUJCkNgg1yPgLVobDxH4T1&#10;q2haSX7dJY3DTN8iJL8i49CBI5+oFfS/j/U7x59Pt/EmqTfZZ7G0m1GOVd9uhVnZikbhljwW3HYA&#10;c7Sc8V85/FzwrL4R1HVPDGiaNJZ2dhqCXCxveKzKp+WOQc7iGRlYjB2FuvJx5dSPJ/XzPUoz57J9&#10;f+GPufw1qum+IrYSWF5bm6it4ZryxjlV3tPNQOgcfw5B4yBkdKxdMDwXf2R9WgvpI2eGe8tV2xyS&#10;oxWQhckr8yt8pJKkY6g1P8FfEGkeNvhTZyiIzW9xavFPDdRjJiky4iccggxuoIyR25q54A8H+JPA&#10;uuanD4J1nwvNp7L5tl4c17w79tjst5YqybJomhUyeYoVcpsA4ZgcfTSxE40oTUb37Hy0KMY1Z027&#10;W7ieHLE2ejQ6P/Z8dnDFGbaC3hm8wJCpKRnJ6EoFYg5K5xzjJz9J+yosmnQTWe60k8lobOPYtuMb&#10;kiK5O1hGyemc5AAIA3otR8d6Xo922s/s5eE9Q166lNzNdeG/F1xpy3RGyPKW8sEqoyp5YO59pwMY&#10;6CPxDqnw9sPEmm6G/gr4laVJqbM9xqF1odnqNrCFwHdxp8zzDlkHIYkbcKOaz+u07apr1RtHCzUn&#10;ytO+u5H4EhtP7Lm8MzxQmCOMwfZjdG4yi8KrFhnc0ZVmDZIzjLfeNrUNEi8S+DG0rWYbe+k8vbM2&#10;raL+4kuYiV8420nBXepZQDgqRtbDBqq+GNd+EUfjnUrew+OPhOxhs1R7uDxLDNod482CrHbeInm/&#10;IIwMZKhOSARt7HRvCOvX1jP4o0SxOo6PfrHcWWq2GpR3kMzEGNli8p22oBGjHHBaRj1zW1Ovh60b&#10;cyfQ561GvSk5JNbM4DxP8EPh9pukXnjfwDNq3guPXLS2utRuNH1i40jy7UKp3vAh8tHSMsdrR/fz&#10;uILMa6DT9P8AizoXjHT72y+KTarHNpqaU0XiPwpb3jt5cLbHe5s1tphgr9+V3BZstvd811Wk6JqW&#10;neH5NJ1PTWtWgvpHtVmMhkkikPm7zvHy/vWlUKCQFVcYGAMYWU2peEG0pQJrzT22R/b7jeXnhO6K&#10;SYw7fv4SQqACQ/K9qn6tQesVZ+Wm3oL61XXuyd1566P17HLz6r8WNMu7Hwr4h/Z/hmWSGX+39U8D&#10;eKjAu6ZpWEsMd6kOxix523JK535UlQdPSfjH4A0q40vXPHA1bwvP/aT6Zct4i8LzwQlnwoU3caTW&#10;qRO4VgRcDmEbiAMnttea11fTND+IVjaMyzoI5WGls0xilAGACQ0Q8zymYkHCxnIHUYHiDwnpviaz&#10;1nwJrlmz6dr2nyCaRY5ZCH2iKRt0gaGIhfIaNRglhI+0kM1Hs61PWE/vs/QuNenVjapD1to/Puti&#10;W1m8D+Lv+Eg8HaTfWN/ZwyxSrNbx2lxHbTzL5yERmNlbLYuVlkEgdpiVLBdozLP4TfCKW+tfE3hj&#10;To/Ctxc6PLol1ceDdabS1hZpchHltZYVlZLhTEAVdjJ5alcJhfLvBUviTSvinZ/CG41OPVPiP4Zu&#10;TL4d1K4vBEPE+kNE8kmjzyec4gcKfNt/tJZEaNOYVYtJ6tov7Qvw90uS31Px34e8Q+G7f7f9lvJP&#10;Evhe4ht7OXzSqeZdCN7UBiuVYTbMNktkYrgjjI1ZNVoK6PQ+qypxvQm9f628yw1t+0T8OPDl5qWg&#10;/G1dch03TfscVt488NxSRq6GN0uTeQSWbFBbsnmyv9oJImYB5PlHQaZ8fvidDdXun+L/ANna4nTT&#10;tLhvDeeD/FVndox2tv3R3ps5EH7pyoUSFvuAkjJ6vwpffDD4jWmpeKPhp4o0XWPs7xQX+oaDeQXm&#10;Nu944XkjY7QA0mxSwA3MwHJJXTvAk+latby6bqxaGCMxMly8sjSREDPPmBfM3rE3mOjnG9QF3s1d&#10;MY0d4Sa+d1+NzByrR0nFP8H+FjDtP2hvgWY/7E8R+L4/D8UWlqP7B8cWtxo8VzZzuIyqwX6xLcpm&#10;Mx7kD7BuUFQzbsj4hfBe6u/El74nTVla4uoY2TzrcLlikQM3HyqzGPzSRFtZ3BxjGOufQv7K0i3t&#10;b+yF1apHLp9xazRbkuNOnGx4HWSTDhY9u8sGZ0idduZCo4nxZ+y58Ol8G6jp3w9huvBd9b2aWEep&#10;+D9Yl0qOeKIu9rPOlvNIJzEZ2jknuUaRlExCgeVtitTqVI2upfh/mOnOjF3acfx/y/U8y8cfD74j&#10;Q31zNceF4fLmvIHkfR0SQ3LRsjpvYgSyJ5ke4qyqhOAysADXe/B39r/44fCzw8vwwvdYi1HRY9QF&#10;zNo99JJbFYRKs7WqfZZIlQPJDb5E0cxLWsC7QF48S1H49ftF+FtZv/D2peILHWr37QY5odc8PrDL&#10;bzw71lhQWPlKinBPzo21VXGc7TeuP2qrNrC6vPGvwuvILe3VZbdtL1C3vVAJwVcy+QwYHAwqsDnq&#10;D8teZJUt2rHdy1paRaf9eZ9Y/Cr9qj4e/Ge9PhDWNJvPD2qX0zSQC+u0uLRLiRmLWqShVkPzBnDS&#10;Rqp8zYDnYG1/FnhfUgLy2OjbnhyYZmSNFuV2/eDk7woJzyvGHCglufkv/hLvhDNq8L6V47Gh6ik8&#10;ZtVupJdLuJZSf3ckC3Kxu5DoNrRfdZQMg4FfZnwLbX/jVoP9p6trmn6brmn61GNYsbexdrZ7UYOx&#10;U84Sx7wpUSGTcCjdcbjtTxK5eVvU4a+FqRkpJWXW55D428Paje2i3my3iktU2TrN8wlTIChWAjJw&#10;Wxk5O3ZjhcVwus+FXZvOnv3h3DEkMKqwT3+YdfxwfpX3tpvwU8GS+ML/AFWEWdvDPYsi6HPYI2nq&#10;sm4MY3lhZw20MpXziuCvyjcKxdL+DGl/B7wRriwXTadp8KyTaxPq2sXc1jCpXJlZbqTy0iKgZCsF&#10;GCoYbSRp7aW1hRoX0b+5Hw/pvw08ea7Yt4i0PwnrV5DaKXkl02zmki8sNyC6fLzjgkjJABIGRVA6&#10;v4V8STL4dtfEFu1+rK3kLMBKjnkcN0P6eoxkV9Mx/Ef9lnw14UuvFfw48c+DU020USX2meGb21mL&#10;Kx+b9xZiUyuvzEFFOSCAwViTx8f7SnwD12+kjtNd1a3ivJMM2oeDdSiXd0Jy1sCMjjB7gYxkml7S&#10;Vuhf1frqcD4Q8E+N9LuY9URbeNbhdmoLHq8MbEgECVWWXIzjGAd2GXkbcV1Og6z4F0bWbX4Z6h4x&#10;ayk1bzPsNvearavvuJCxUxrMpaVwQVKqxDFlLpKZZnTI+IH7QOkaLqDQaL8K9f1mONm8u7sJLRVd&#10;enInuI3yeeSp9cZ4GboP7Q8808MOm/AjxXJ9o2z28a3elMZFwMsC14vGW4wc8jHAqI1pR0L9iqkb&#10;/qjvNf8AAnjLWtPs00N428SeFXnudJ1e5mZY7ncFDQGMs5kjlUhCzShgDGwkaQSqlHxB4F0e41G1&#10;1HxZ8PIL/R/EV4ra5odxbJO+haoyiJb+JsFI5ZFeNSRslZfKkXc2VGHb+Pf2dINOXTNa0vWvAinW&#10;Gurhm0u90qG1veATNe2oFuCVeLL+cUZZUG5t2D1Xgi9t/EL69r3ws+Pek+ILzULwws00Vpd21nJy&#10;xi8q08lirb2Yq0hwXZhjexauenUd7ahGnUprTb0t+Kv6o6L4c3thpXiP/hCdZsLHVtG1W8utR0No&#10;o0ZI9V5a8hTf8paUTSXaAO7gPeoWxCqgrLv/AIZS+IoU8FfEPwnpuoaGtlGF1azvnivlmUglUVY9&#10;1vGGVtoScqqyNH5YUrsK3jWcVZHPKjGTu3Z/15o/NjxVe2r6TZTeHbm9ljXiZ592DwNoDdCRgjhR&#10;W54P8SeMtDnxfa5cbhGVs4Y83DRpuDH5WbAGMjONvzkntXnC3LSFVSWQqW+5GM7Tnp7nnj61oT+L&#10;vEEVvHa30G5oFZIvtCfMityTgjgnPU+3oK+IqYfmjyn1Mb8x9Nfs9/tP/Fv4H+I5Na8F68uoFoce&#10;dJY21xBkjdloZAyOyZyrEEqyqy8qGr7i/Y5/4K+fE/wBrVnoP7RXinUNa0OTz5bu+aH7dcortuVh&#10;5kkbE7lMY3OqKHJAbaBX5E2vjq4tpZGhhjsxKwf/AEd3VQwPUKDg5z34x0xWv4W+P2qeGrn7BqFl&#10;Hd26M3nWsyMI5G54IVl2g5UEgjoCOaw9liqcr0+nQqXK9Grn9Gn7K3/BSD4UftN3utabBZx6FPp7&#10;XdzZwX2pQBrmxiUusoBcEsVVyQBwFJYLg4928JfEDwV47tG1DwX4v0zVoVaVWm0++jmjDRnEo3KS&#10;CUPDYJ2ng4r+YzT/ANoO2tdO/tHUYGkNxbtBLamAnIH+rG4sGIAXbn+H5a7mx/a/1x/CGl/8JJ4t&#10;8QRwwr/Z0Ojx+IJ1A08FW2qgY7MELsXYYwTuZDgV0UswxEdKkTGeFpSfun9Ka3UoAKqG44xTxfMv&#10;yuv8q+KPhd/wVR/ZX+DP7L/gnUrifWNav761R5NBsNSW/wBRtbYzbWa6eSXYkwHmOV3LuCKxSISj&#10;b57+0j/wXu8GeE/ALah8I/hRfLeXmlhF1TVrxdtleEnfsQIVkCqCUYsdz4BQgYbulmOCpq0pK/bq&#10;cHscRzNLY+hv+CiH7Q/hj4feGLHwOdb8SWGpNc2t3eXHhy21QeTDOZoYEmlsF+5MyTr5bsVOzLIc&#10;oR8h65+zb8Tv2jvsel2Xwc1S40vxFaz6hFr3iTSpdJ027gXDyONQvlhhbcZAQPMJceZgHDV4l+yD&#10;/wAFI/2nbjwzHaad8ULOz1K2ji+y+JLy3jm1Kb5HU4uXHmFVDMgV2JCsqLlQCH+LPiZqXjfxLc6j&#10;8QPjfq2vX0ca2kkMmoOiofMZ9iuHCry7bg5KhioLJhicFnNOCvH8f6R1xwKlpJnqXh39hb4L/Cbw&#10;XPeeJPHvwY0S4kuJUXQ9c1I6vdllYr8ssFtdxIpA3DEox/EFJNcxP+zV/wAEkvB/xIt7/wAQfHn4&#10;geLbIW4km0Pw7o8Wlx3MjbxiOUz3LAKVBKmIbgwww6CDw38M/B96Y7xbYswyvmTZLMRwQdwyGByD&#10;nkEEEZzjsJfBtvBY7tDlW2mU5ikWPKk9wyZwynuMg46FSFYctTMqkv6t+Wv4nZTwMY9SO0f/AIJk&#10;aAl9Z+BP+CffinxJ9qcvBdeMvF2poLdAP9WhtprRQDgH5gSC3UjitSw/ae1rw98P7X4S/CP9if4Q&#10;+H9Fsby3mtY/FHh221mfzIvMWOV7m9iuZpJESWVVkkdpFV2AZdxNVo5lmt2W6h8iSMYmiJztY9CD&#10;xlTzhsc88AhlGVe2OZ/tUKfICOVOM1yvFVJdPvu/zZ0Rw8I9Trr79v3/AIKCxaTHonh/4yf8IzZ2&#10;6lI9P8Oq8NvAvdVjUqqjnOAAMkk15/4j/aS/ap8QwTDxj8ftauPNYn9yyROT/vHLf1FQ6w2u21xb&#10;3WmRLc2xby7q1Zf3qA9JIj3I/ijPJXlCGXZLzPi7VLV0aVSV4AyvT/PvURqS5tPyKlCJzPjP4q/G&#10;AX0Kn4meJLqFl8uQyatIxi+8VbH8SnJBweDjjG5l43Ub7V7tvM1DU7ieRvveZMTn8+prQ192u3aJ&#10;o9ylcPGy/eB7HP8AWuYvtR0/whGllr2pLaWoVVtb7Ur5R5/X5N7HczqMD5skqQdzNv29UZSe7MZW&#10;6EWqI0iYmdmLdpJCwPvz2rFu7W1tL5Z7iJTDMBHukkXEcmQFAG3+MnGSwAKoFUlia2LvXdCaMzJr&#10;lpt/6+VORjjAyT/OsI+NfBGpw3FjJrVxGCpjaRYbiBgCCDsbCsO+GQ5B5Bziq1JZdNvtOYUUNkjp&#10;396qTwBWxgfKew96ypfiTolppyPdSTXdx92VLW38oOwyNwV3wobG4DezBSM85qoPiXoMoMktnfLJ&#10;3Ro48/o5H60+VonXqa8qy/2jGyec63CmJ0VZXCMuXBwCUjGC+5iAWJjXccKKbIqEnnrx+dcp4i+I&#10;07n7Lo3hqC4jb5lmvrhlKOp3K3lqrb8MFP3lzjqKqP8AGGF1ZbnQljdGYTR/bh8pBwf4P59M84OQ&#10;KjF3JOvm3kiPf7jbWdeC3g1GzuL2+ul80S28NuqloWZgJCz4+6VEJCsePmK9WFY+teLvFWnOY3+H&#10;epW7ruDLNG5Of++ARisG48S/G2/sbrUNF8PpHZ2sPm3Uv9jzHYiEM25jJjb/AHuMhTnjg1oF/M7x&#10;pI8bmPP93+lQySiQDPQfnXA+HfH3xH8VSyRaTb6PLJFHvkjkt3hIHT+OcZ98ZHT1GdjTIPjbrFy1&#10;hpnhXTppg3zbZkUY9MmcDtTUW9hSfLuaHiFpk1XQzC52tqjibHdfsdz+fIFaTSE9Oq/p+lU9U+Hv&#10;7RenaRN4m1X4c2a2+mxvdTTLeQfu41Q73x55JwhY4UEnoAaoab4hv76wjupYoVZlz8qkDP5mm4yj&#10;uhxaktGbe0GBsRr1yzE8ken4Z/X2qBplVcE//XqulzreoKLbQdJiubh8YiaUKCcdcsy+h/L6VGfC&#10;H7QDL58PwytpFGSub6Hkc88XFEYymrpBKUY6SdiWS4ctlWxj+61ULGHTZdVvL62lmaeMR2t1HJwi&#10;lQZFK+5WcZPfAHY1neLLr4s+DLRdQ8UeBrGxheRY0ka8WQFjuIAEc7EnCnoO3NR+GLv4t+PdKbWf&#10;C/gywureOYxSSeckeGwG2lXmBztYcjj06YFezltYrnhy3vobc1x5a5GNuenpUQuQ0YjCt8x4Hr7V&#10;i32m/Gmzl23Hg6zjZhlV+0R8jcef9d7Vzdh4u8YeKdU/4RHStC0+9uLwtB9nXLRyKQQfm8zaVxnL&#10;Z245zijkDmjLZo7q0mmSASSLIskjF2jm2b48nIU7Pl+UYXIzwBkk5JdJM8Z29SOgY1y8s/xbs7u5&#10;sr/wpYvJayiK5hhmVirbVfHErZO1lPGetVbj4iXmly/Zdb8MSwTbd+x7jacZOCBsOe/T0PcGjla3&#10;DmvszpbucTFbJWAkmJ3KpAYRj77ffVu4UMuSrOhxirP9pSoML16lupNc/beIvEeoW6yWfg2+2yxq&#10;ykF2QjqCCEIbr1HBq1Z3V/NkatYG2boqSMxxz7gY/WkwTuaUmqXpYJDPt+b5mVcdqr2vinXYT9vg&#10;1W4Rm+4sc0q7U6gbTjaT1PAPY52g1g674y03TdoZZ2j8xWkaJc7uM8NvXvjsQRkY54q3Hjrw2Fyu&#10;sdf4DbycD06UrKRR6Fpvx9+L/hz5tG+I2tQ/7H9oSbfyJrYg/bX/AGiReWJPxNmnXTLxpoVuLZJc&#10;OYnjwSR8ygSP8pyM4PVa8htvFOhaorR2usRrIq8tIpTv2LgDPI9fxxUkuu6U1+tomp2zyzcRRxzK&#10;WPHYDk/h0qlzR+F2CXvbq57h4k/br+Jfjrw7D4P+I/g3wz4gs1mSZbe+0cGMMjBtxAYDPb/a6EMu&#10;4VB4p/aC/Z/+IOleX8U/2WPD0oj3K954fnewuJVcBCskkAWSQcKArMwyOADivGNl3GPLdmzuPLLj&#10;nPT/ADzTIXLbkDRsjbdrJ29efyx9M5OcDRVq38z/AD/My9nS6RS/A+lfBXxI/Ys1LwjaeFPEvgvU&#10;NFtGs7dbzSIYft9mk6RqjOpuGkkI44yTwq8KWNdhYv8AAfW9atde8OfHTTVvrRVS2s5ppbMzKhzG&#10;k2JQssaZk/dtG/8ArONoBDfHsR53n8R7fWpsNHMwlZSC3CqBx9fUn8hwB6nsp5liqcbaNen+RyVM&#10;Dh6kru6fqfakfgfxKvii38ZaD8SNJ8RRyLLbNp0lxb/8S+KVAxeLy4Y3YmWOHKPLgqpIBKgE1Gx+&#10;JvhrQX1bxZZ/bJLXXFgtf7DsntYZZJIdiRTB5J2eJTOjvNGcIU5BKsh+MrbUb7TIzJZSzRybcYtp&#10;CPw6j+eK+ifgT8GPFw8FSa/8SPFWuJd6rp5ax0+3vZYzbxFTtfJ5ZyPudk3FsbziPuwmOr4iryKP&#10;rq9DhxWDw+Hp87l5LRanba14g1G38PWOpa34M1CS6juh9s0vQ5oZ4mZ1eEoXn8ovGPMyTtQ5Az8u&#10;4Vz/AMQvhh8AUfRbW/8Ah5p8IuNRjkN1pvhmYSpwduLm2QG2YSmJizOAdhAzkEdnNDH408IrHqlh&#10;Ja/2hp4+1WqzbJbdnTDx70bKupYruVuCMg1Xjgk8YeDHS4vTby3ELxXTaXd5a2k5SVY5AByjgqG2&#10;ggjoOlexKlTnur/I8eNecLWurO2jOc8caHr2vabD4s+Cvxy8QXWqf6RBp5k8YHVbOS42N800d9JN&#10;GxBUwjAUq8y5xjnqv2WfiX4Q+K/he68OeMtA+w+MPD5jtPHllcaeYZjd4Ma3KmNQW8zyh6FMMrAB&#10;QSipqOveEV82yhtbu4hiuBb3REyW90hDRh9j4fy5lH3SeU4PArB8U/BP4Q31jpvxE8MeDbPTLiGe&#10;DV7XWNG0+a01AxNiRsNZGOdpGiLgLlvnKnaxGDjKjOM+ek/l0Z1Rr05R9nUvq992j2wfC/wLrPhu&#10;Xw7p6NJpd40xuI5Lxpd5kJLrmQs2MEgLwFAwAAABzvjHwNcWeq2qRagpNvMs9tJcxud6kMkisEaN&#10;S5RnA6qrFX2HaFrjP+Eb17wXq0WoeA/i/wCKPDsF9NHBqiy6wuoxvuG1JEXU4bsJIZPLT92YwQ5y&#10;ThVOxqMfxiGot4Vn+KdtfLtae11XXvB/2q4gUFA6PJZz2dud29SqeUr4Q4Y7WqvaYjlvYmNPCylu&#10;tfJ/oY/xi/Z38S/FrwqL3wreRWetWsIuvDHiD+0Xjl0XUIJA6PHsXciycrKwY48qIhGKhl0fhPqX&#10;j/xFaaR4S/aF+H01n4+jt5J75otJMtjIQrqLmK7t/MtkZoXJZPMR1dpVEaKF3WfCvxQ+MujWEmla&#10;x8KNFvjp91svLix8TTRyXw2qxltYJbbYoIYfu5JwA4YeYcbquat+0Rpv9nwa94q+EvjLw/YTNF9m&#10;1bVNPt5izOV2I9tY3E9yrSbwFUwgbyoODgVzyvKftNU+umj/AK7nXTjaPs9Gumqv8v8AIyfFnw8/&#10;Zx+NmiXnjvRdE8I+Lpiy2GrarE0N9LAREFWITqWkt2VUBXY6Mo+YYJzVvw38Lr66hk1jwj8X/Hml&#10;3yx+RfR/8JQ+qJdoXVsn+1lu1ifClVeNUIAIOQxpJvi3+z5400+bwV8YNQ0mCyk8u9j0n4jaO2mL&#10;c4Z0E0MWpxx+cRllDIG27W5HNdz4d0jwFrOt6f8AF3wpqH2+GTSjZafcWGtSyaXNAsXkgpbxyfZX&#10;KDGH2FgVUk5FT7spXVv1LfPGNtUvPVHJx6b+0f4e0VJZPEnhvxYLe4VI7G40A2d1fRPNgtNerdeT&#10;CyRtuZo7NgQjBY2bAOJrXxo8XeFvEieCPiV8Btbgnupo4tH1nwteLqWkzySjEUEl3Mlt9muHn/0d&#10;IpEXc5yG2srN6Nb+FvGujeFdQsdM+I8+oaxNdLNZ6h4o0m3nhtIv4oRFZraGQehZ9yjqSCAK3ijS&#10;/EmuR2PhG+8L6Lqul6lpclp4rvn1GeyLLIpSUwWyxTbkZX+686sM43Hk1UnK3utr8SY8l/es/wAP&#10;8kcZ43+GXwo8bauvh/xN4HE961mNYluf7OmijZQPnEtzGBGXXDEws5bHzAFcE+dxfs//AAx1ixt/&#10;Fnw+8WSNBe3Ek2n3sdwl9biJpCHSFs8JvGOGIBHTIyPRrLwx8c/h9Y/2VpfivTvG1vbXYtLQeKop&#10;NLvJLdgrJczX0L3S3JiD+XJut4Hcwu4J+XzPNfF/xy0jRrjTdR+MvwH8QaPcaPqbxDW5rG2urHS7&#10;liMta3TSCSQEAfNFEC+MKHxk88uWXxI0jH+TX5/o7GT468F67b6HcaXpuhabq8ZtVtXtp2FsbiIN&#10;wf8AVsu5ATgFgCOWJbrn/s8ax8T/AIQfFmws7TxbeeAdF1K52+IZ/Den2/2dQ28xvIZklgXEgjWS&#10;XarBMkkADZoL8WfgjrMGtr4d+LNzpbX0wnm1XVXubdYZCc/6P/akflIDyvlou0BidowpF+G8t9ct&#10;08RaHrdjqWjzaa0UE1qfM+03SMAZDOjNHsOMMix/KxJBwNlZShT5k0XL2kYW2v5f8Oj6n8beGfGE&#10;3iqP4p6T498UDWLaNQsVl4gube2njACuq2scqWyO4H3giguFLcAg+X33wz+HfgpY/HXg3wlpsFnL&#10;FJLdPZ2cUQmhlUOZyQoO7OGPPIL8FiMXv2aPjbrt9oVr8L/GPhXUL3Ura0knW805vtNva2quihJJ&#10;p3jY7WkRUwg+TChQIyx2odX1m2vr3w1q2n6XpqXc002lSNftKscrYZ0ZTFEWLEtIF3M3+s5AAx6E&#10;JUpRvY8KaxdOThOTfz3PNtd8QRpHJBb+FjHIzFDuk3qDnvhRn865C7v7xNJPhtrGNYVXcm1TuiUE&#10;fdYN8pXIwcAjjqQTXXX2i6rpWqSaXLrtjJGkRktX0+H5mjzgqNztnYSBg5AUqck5rlta0e++WebV&#10;Z5GLF18yCNQjDO05VQcdjgg9s88XJxlHQ1pxUXqRQa5qc7tE19G0ka5mxbr36HkcZH1AIIBOKsaL&#10;HeNdR2dtJ5LvM02mzrb5EFxhiynBGAw3Ht1dc8qKyNQczItxOssDL95ftLplc4IJBGQOSMYye+Dm&#10;pdGtb7xDC1poWm3Oorty626yT7B1G3BOCOCD+P15WbxjbY9m8B63J4hsYr7TdSuLW6s2xfQra+cy&#10;ugPymP7z7d7cKCWSV9i72jdNDxX8M/hreXUfxF8QfCfw9fWt0WTV49a8Nw3k26QqhA3o+TkZVo8+&#10;Y3CrK06yxeaeFtN8d6L4it7qT4e6/HNOogvIrawuA0/OPMRSo6Hk4JADMPmIUH1Pwxf2XhrTLy3N&#10;hrA0+6t5Evmu5ppmhBVYd3ky7g5jVVwqnlPMGP3caPPNTUdTSMakZe7cxR8O/D/hXV1vZfiv4i0e&#10;1vY1l03XLXxK91CLcRKqxul6Z7XY2UPmGPcH2bZQJ1hQri/2gvi/4n+EPhGw0TW/FEDRPeG703WL&#10;S3+1LdQuZRG0ZUAJlSx8tmJTDgEoIySvJqZth6dRx5XoelDB1qkVLmPiPxL8Ub258F6D4Z0u306O&#10;TR4m8ubT9LgtLgyGRnWR5YEDTlQcbpWZ+cDCopHLO2qPpsmvvpdx5C3nktcLAfL3suVQvgKHxGzA&#10;E87SQODn6V/aK+B/hLxp8QE1D4B/B7WPDfhDxZ4g1HTfD/irx5arp9qlzbxwSi2RbVTHAw/1ZkmY&#10;qy3KyS+UVeRPK/jR8Kl+EaWvgG08cLr19BdTQXk2l+H1hs5k/cvHJBdEie63SSTKUmhiki8uMMoZ&#10;mii41y22PSjyPY4vStC1LxTqkek+D9Evri+keQm1WESPHHwASV69fm+VQOOuah1rQL3RNQksb25t&#10;59Q3fNFa3Ec6YyR/rUYoSSBgAnIZfUCr0vgTxtPosN1H4MvU024vpYY724sWjjmmhjDSp5hwuY0d&#10;Wb+4r5bAbJtaL8CPiZqmg6h4juvBl/p+l6fA0t1qN/YywxHE7W7IJCojL+bHLHsZgS8TIMvhDMpW&#10;KfLbUwTxFbzjU7d5rhctBEx/csHI2sSACxwG+UlcMOchgOm8M/Emf4fwLLo1tb/apNjR3DL+8gIB&#10;BIyD17+345yNO8IeGTKy/wBpT3E0bZkWOHb0JzyN23gEZ55xx1I09B+Glv4i0qTUda8Uw20vTT9K&#10;iiV5LsDOSWBAT5tqrwxb5+mFD89T2NSNpbGe+x02r/GK78U39rr6XEv26GHfcSXFxs3kA5A6KegO&#10;Tk5P3TzWgfjrb2Ua6RIknkJvnh/ibzCTv52k5O7HGFA7gcVo+Ff2HviVqGkyPrWpiwuJHeKxglXK&#10;zMA3GQ3CEfNuPIVW4JGK9J+DX/BK34leLvCuoaz4tubOxjulhfR9amuHt7ZY8fN+8ZCpWTzISsih&#10;lwkgxu4HBPC4W2vQ1VOpLoeG2Hxt0/w/r8MraLJIqSFZZJLwhwpzuztK8kds9+MdR6d4P/aFj068&#10;XxTo+raebpRHJDb3GBIlwEEaNHjGNpbcQoBIZgd2AF8Z+KX7N/xa+EFtb614y8D6jZ6TqDIdO1C8&#10;j8vfG6u8TMjYePescpCuFc+W/wAvFcVBqkWn7nhXLMd0O9uQ3Y8dccHr1olgcPUXNDcOWS3Pvj4S&#10;/tfeNdR0W107+zP7TubXUreG8mEuZb238pjJKm92Od+z5QpIVuHwoFfXPh6/ufF3gSz+IPhSxe80&#10;6+2G1f7RBFvDY/ilkVOAezHoQMkYr8c/hp4+vPD2qLPfXUy2zS5nWOZg0hA/hKKcDBxgg8MR3r6o&#10;/YU/aW8fxa/a/Dz4caXrzTS6kl5ra2erJ5F1bpCQsfleUHRwQx3LJyqEeWeWGMsPVpytub06nLuf&#10;avxXkn+Hf2fUrq7024SMN9oePUCjp3KYMZDDg5BIxgEcgEec+KPiZ8Yk1E6h4Y+Et3Jo8tuhsov7&#10;GubiSUnGZPOUopTrgBPT5j37vxCllqF0974t+Fs0t0+yW41LR75ElldR/FIXhkbGAB19ulc3qfxC&#10;8DaNNeWGi/HXxB4f1K82yQ2fiC2a4hsM8LuNzGcJwefOAJB+bjFbQgktRSrSex5brvxH+MV14zh0&#10;3Udcj8K/bbbzILPXrFLO2RRx5mbiMykE+7DPGBS2P7MPxv8AGmpx6u3xm08aZdIzx3ml6tcTR8k4&#10;McQVEZc8DDKMZAHHHc+Kf2qNR8KXUlld6r4F8RWM9uYH+y6p9hdWIwWk3POrxkfIRxzIo4Brx/xz&#10;8afgRYy29/o3ge48Ma+ujyNDN4U1a3SKNmDYj82wlwWJXGZEBAI3KFGTvFPojKU6kij8Qv2V/jH4&#10;e1GwvfHyPrek27CXUrjQ7r7VcQQg4ZYoZzEzSngjbuHXqeK1NJ+FX7G3ia4bTH+Inizw9fLbtPda&#10;X4omt7SSFQR8rvJbiIllKsFViSrA44OObX9rXVNHhbRrf4m6zq1rZ2UkUEer6HDcLdTYyhafzoZw&#10;M8Fm3EA5w2AK5XU/2gbDW76DUPGHw7s9Qmht2WOP7YVQs5UsQjqy4+VMZBK4PzYYitEqjM7s9I+L&#10;H7LXhiyikuPAfiW8tGaNmjhu9s8bZQbNrABkGec/N97pxg4vhD4h+APAEGp2HjH9nXS7yOzeY3Wq&#10;aRG+o+QqQxuA0V47smASxcuowV+Xgk+Q3HxX1u0meTwvCmg7pTJMulXE6rNggqJFkkeNtvIGFUYZ&#10;uOmG2fx++J1jey3Nt4mU7m4LWNt8revEZyce31zV8kupN2eu+Jrv4E/EC1kTwtYaFN5jlZIbez+z&#10;SnaVf7oVJAvI6cc49RWN8PPDvxd8J6WZvhhrrSaeZpt3h7WozHHIULJvj5GN5+cODHuULkkcV4j4&#10;y8b6x4012bxJ4glW4upgBLeGJEZ/lCYwgGMKoHTpgVreF9V1vxZPHFrWvzXsdsqtFDqExnRVHygB&#10;S3pmr+yKMZN7npnxC8ZTHUBY+MfD9xot5IGbyboEI67nXerEcr8h+bp2yaqt8MPAGu+Ff7Q8d3Fp&#10;oV4zyyQ6o1wI1/iWN3LlQ6lFQlcjAyqsMlj4z4o8RXGqapJE5Xy4wUVI02rgZH6j/Prm2txvR3W4&#10;aNmySvDA9PXJ9eMjqa0TfJqJ01zXR3WreM7v4d6lF4W1LxVp3iLS4bdRZ32k38U2EH3QCDxj7pRs&#10;EY+X5Qu71D4KeM/h9o9k+p3XxL0lPt1158cV3qkMTQDy0TZtZgwHyFuQOXNfK/ijVnW8FuY1Xbz2&#10;OQeh6f5/nTS6Lq0hkyyj+FscVpG8UEqcZLU9s/aF0/4R+G/EFv4t+CHjCzLzT/6ZotgxZbaQrnzY&#10;WwV8o8gx5wpOFBVtseh8KfjZ4D0m+l17xR4nW1Wa3iVbEabcyNDKjSCRiUQg53IAucjac4ya8Ggm&#10;c4J43DtJwR6Gopr66g3ECThh5mzdgHp79f8ACp5mpXRXJGUeVn3No37WPwDtY1Evj4K33mZtMu//&#10;AI1XiOreG7jStBv9X8M2N5faPpzXHk3k1uY5pYYi2JTE4VuUXcMKM/wg14TCb3VriG0tIpPNnZY4&#10;Y2U53E4A9zk1+l/wq+Fek/8ACI6Vc6xbwhZM4MyBlfAwEPrub5e+Rxg1lVlOVkXTp06T9T5OutD8&#10;Q/DDxdoXiPxxYTaXpkNzKNQlb9/tR7eVRlIN7MBJs5AwOpIFegWH7SnwKFusUPxDjbjBMem3Rx/5&#10;B/x/lWt+3/pY0XwK6eX8gXHJG4H8OpP5YxXwzoV3K1ipQlt2fmIwTV4epUjAdajSqu7PXP2jvi5b&#10;+P8AXl0fw1qLXGi28okjkUOqzM0ag7o3A+6QwBK5w7YxmvTvAvxW+CPhDwnY+GrTx4uyzh2eZ/Zt&#10;0PMk+874KuRuYltu4gE4HAFfMunNLeahb2yxbvMb5VYdBjPT8K6vUPDF3HA4jjX5l3SN5Z24/u9e&#10;T1/LpyM37SUZX7kOlHk5eh1f7Qfxu0TXU/4R7wBqAvo7m32Xd/5ckSIpZtyBZFVixHB424OATklN&#10;r4P6/wDs8/C7RWab4jQ3mtXUYW+vl0m82ovB8qPMIxGDjJwGcjJwAqJ4BZ2klyznCKvnMv7xT2x/&#10;iPpRPHIt7HHJJFGrIcYB56dT2PNL2kua4KlHk5T0rx58ZNLtNd8QS+EJmuvtt9HLbXnkkKi/ZYIy&#10;drgMWDRthSuOQeRwel+Gnh/4V+R/wmOv/FHR9W15pvNSa5ujbRwkYC7En2MW9NyjaNu1Rs3HwXV7&#10;ue2tw8bFVV8NwcHOfWs9NXcRAqd21eck896fNKWpSpxtY9ys/HFtpdpp/gjw7NBeXlnZram8nukg&#10;tVaNCCfMkZVPMfY4OVAJJAPWaD4KtLjS5/EGseKbPXRaoXuJNNuhJbW+CGDEg4JBQHJAwc/WvH9O&#10;8Obb2MX+ovIN7bIlBRGBHQnk5HJyCAcDjsfcP2YvhboHiXXbaaXRYfOs8GCeSINJGAf77ZYH8cnv&#10;nqMJVnfuX7FJaOxzfif4j6f4TtmmaCeaSJP3dvGNqj0y/QD6Zx6cGvO9XufHvxQibWYfBUMNny0U&#10;0cCAOA7D/XOoLsPukKQCVztBFfVf7eXwshk+Ct3rF1CrHR7cyQyMAdjMvGCeR93FfDr/ABc+Jl6P&#10;JuviHrkiquFWTVpiAPxatqdWVWN3oHsYx1R6D/whHhzwzbLceKdYVm2/6tWMce7ABAx8z46jGDgc&#10;jrTU8OW+rX1xomg+D5bOaCNXkutUkmiwCSFwhJY5Ctg8YOc4IweZ8IeNfEmiPJrGk3kf2q4X95eT&#10;QxyzdCCA8iMw4Y5AIBzzmtLxD8S/E81h+/1DyjxumjhRZJVxjGVHABLEbQpGe55Nc+upnyy7m9e+&#10;A/CWg2Yu9a1uRZVDYmOyNT7bSCT9ASSfyHM61rckF0s2m+Iby42tndNlUP5sd34gdOKxV8TafdSy&#10;TT6iJpmUFpJrgZb6sx5/X+VetfAvwV+xV4wih1P9pH9qG68LxwyzC60XR/DVxcSTp5ZWJ0uYkmAP&#10;mNvZGhwUQqGUvuQUoylYfLKKu7v5HnMPi7WJ7hFuNYbbGwbbtTB7jtzg/wCPXFegeC/BPxt+IcMd&#10;14M+Gl5eW1xDM9vqFxbeRbz+W5jdVmlkWNiHDLgHOQ39047j4ha3/wAE7PD2o6dpv7OetJfXDWsN&#10;vJeXmm6g9xcXSABJy11EFjd5AGbywigscKqhVX6m8NeJrfxN8P8AQ/EH2+OS4udKt3uN1wMs5jXe&#10;OeW+bv36/X0sLgqWIbvLbtqeZjcdWw0U4w376fgeF/C/9k7UrG1i8SfGW7t3M0CPHoelyTQeXvQc&#10;TSgrIsyP5isiH5WRSHPzA+q/Dqx+JuiWeqWGlfHDxNp63GozGa1W8t9UVV3/ALrZLqUFzOreT5e7&#10;L4z0yMZ6Oxitl0uSws/t7/ZdSuIZJtQRvn87F0SjYAaNfOMakcAR7OWVqy9B/wCJX4yurKSxsreO&#10;9t0uYmVds9zMhEcsrj+JVT7Mgbrzg4AAr2aOEw9GK5UeLVxmIrc136dvu9Crp+t/HH/hJtZs5PHO&#10;g6kYWjW3l8XeGYr29aBkBWbNlJZpGpbzIwrRFj5RO4ggKml+I/Htn4g1Dw+PCvgjWntbOG5W30v7&#10;Z4dEXnyS/PKAb5ZSzxSHA2HO5mYk4rduLC30rxtHfW/9meXq1u9rcXH2tfPmuLZyY4FAJDBAbxmU&#10;HKkE4I3FV1SHUrLxNp1yU1DyZFmtpLeG3HlxMyiQTytjKD90IlwQGaYAgnaQ3Tj9lvfuHt6ktJJb&#10;dlv/AFcwNJ8Y6vpusy6Ff/BQWscMP2q4t/BniVbqSR55ZiX231vaxli6uzYlz8wJGW51NI8f2CwT&#10;aPd+APGmlx2cjT6heawtheSRJcTSuhENjdS3DKDvVfLjbCoAQcE1e1Cxkg1vTr1Ir2SOQSWrxxzK&#10;sEYkUOJpFbBYgwrGm0k5nPBBytzT7KGz8a2zm2O3V4XtLj7PZZdmjVpoZJZc/JGmJ4wCCC10ACpJ&#10;DUo1IvST/AHWpyjrBd+vT5nK23xF+E9zpNx4S0Xxpq6w2KrZXWqan4b1exisGMYKefdXFsVgcRlG&#10;DzspO9WPBGdnxR8SfhPq9tpMdl8YvAd7r1rcxPaw2fiqyuvNcgoyW582Pe7xvJGrHAywOCODo3KX&#10;1j4sNkXumtLu1Pl+ZdRiKGWNs7UTG9ndXdmIyoW3HCk/NqeBreSDX9W8LOZ/IvoftVoZJYljJYbJ&#10;oIlTDYyPNfeDua5JBPIWk6q0uvuCUqEkpcr77/8AAGaj4c13w/4mstUvvDV0ovY/s140NijvgZeK&#10;SR1O5Y1zKAMH5p88AEm3p2iwPpOseGo7mezjbdPbXdrb+T5LSly2x3LK8qyB5CdoC70G04yeB8P/&#10;AAH+F6299Y23wk8L2WqWNzLbWesr4Pgdo8DdDNG8ylpmSNow0hb5pUf5gQa0Lj4eaDdwaV48vNc8&#10;ZQ26SRTarpr/ABG1HyooipR0kK36xxrA7b38tiMQMoDZwZUqkdWkVKNGS0b+75rqb2neILN5NL8U&#10;TxhLi1ma01SO18yaNNzCOcR7miXEc6K5meNj5ccm1R5hqHVvgf8ABjxPrmqzX/wz8Kz6veMb/TdY&#10;v/D9s8xkG0tkrIJpiku2R2JRdtxGgbrjO8ZfCnxjf+LxoHiP4yeJrjQ76xdoNPj0PSWgVQ+2WGSa&#10;SwfIdJECI2XYJMSzY44j45fEz9qD4X6K3xE8JaV4X17RdB1hofEmm2azwahaWgIKzM/2x4n3Qusr&#10;gxgRB0kaIqjsmVSpy+9OOxtRp8zSpTs36o9N0r4fWcfiGz8VaJ4r8XQzahDc28lzP401K/fTrwfM&#10;qmGaaezCpsnRhKrxiTy0UEnFWYPDfxN060bUPD3xi1TVNSbVTp99D4k0W1vre0yy7ZI7bS7e0kLs&#10;Hhkw8yxxRzFmJ8olvL/BHxx1HxLrl14D1XxBa3um6/ZrrfgDxJLZwZvYjKZG2xsrwfbLKXZuCrzs&#10;WVokPmE+sHxel4b2PxFp1je22oWf2a9sLqF5Ip0GdoMbs0eCJZQ42ZkBUM2EAChLD1Y3RdSGKpys&#10;3f11/P8Aq5W1q2+NnhfRtSl1Cfwp4onsp45DIzv4dhtrOVVLXm+SW982IAyFt3lHMEyp5hVVPNfF&#10;Tx94r+DmgQ618RfhfPcTS3y2jR+E9YtL2MGVGaMkXLWk43bJuRCUBgc7sDJ7iz8f3lpNpYuGmuvs&#10;Vs0F1cyTLvu4yA2XSNUTzVYDaRtRRJKqqu4bavjLxJoPxA+F998ONae8kTVNNuLHfObgxkZzayS/&#10;6SzvJFKltI8jrKWEcwVP3pUEoxtoxRnUjbmin/XkeA6/8b/2avFtza3viKKC6vpP3P2O+8LzXVxC&#10;3Xy3KwuuRn+FmXHfFcvL8Nf2bvFuvW8fhTU9DOtXH7zTZdJ11JLyMg5zEN7lcdgo+TtjtX134PfE&#10;PQbJta1nwebiZm3ysskU0vnA4Eyxxk4OMZKoOuDyM1l6tqo0SxvdV8X+A9W+yw2gnvjJoM0sKKMK&#10;fmaEqAc7ccEAk9ia8+U5dUjvjFfYv8mdx4Z+GfjfwN4osPGPgz4lak9xp98twy6+x1DzuqvEDKx8&#10;lXRnjJjAYBjg5xj7Gf8AZ2ufjB8LtG1zSPifJpupzxw3F5qGn2KyQSkctsifDRZI5BdiOVORmvzV&#10;h+KvguDQpIvh14T1HS7e61Gbzbixvv7JMsbr+6djbMrOnmMqhiGKoOeWy3sP7On/AAUM/aR+Eeoa&#10;L8I9PuPCcfh261OVLW+8WW93qM1n5pLKssgvLfcm9sFicqCDuYg7s44iMHYmrhnUs3uu593+J/2S&#10;fhd4xtdP13SNMvNDvdPbc0NnqM88DzKMMJFuVzLHnIHypvQ+hFHjr9nn4OeN9CjbUPAGn+ZDIkjQ&#10;x28NtNI6/K0LtbNGpbIKj59iuAcELXzj8QPiL+2zBfXnjJ/2g7iFQ0Ly6L4b8KWMdusKZ3CJLpLh&#10;vMIZyCzksVVT90EeM+Mfiz8RdZ1W78R3vxc+Id1dXA3vLD4ubTkJCbd/k2MUUe4KB1B+6ByOK0+s&#10;LomZRoX1Ul9x90eItKjsPCy6fo95cCx8gRtZ3EjzI8ROMEStnK9cEkkbhtLFcedz+Evh54CH/CQy&#10;+GdCtrSfLSX0dlDGke1fvZ2gBSN2TkAHnB3Ma/Pn44+IfEGtwWGreKp9Y8UeXGBeTa9rl5fM7AZa&#10;ZTJK20nJfZg/exx/Fm/BDUfDOoWUvhrXPh/oV5c27M4l1LTY5pZIWwVcMeq89TnqvPzccssZ7/Ly&#10;nYsH+75uZ/cfdGr/ABn+AM9tNpqfF/wksiqVsRJ4mtl3cAAHc4xnhSDuPG4HPNcFrHxY+G621zp8&#10;Xxf8N26yRsFkHiC3+WQjA5RzjB+bcuSDyMnp80eMfhp4ft79YLbTNOjs71JLi1hjtB8pCgtGrYJ3&#10;KfmCgkFcgABcn1D4G/Dr4AfGDQLf4Z/ED4WWP9vaTmXTbu2YWjXcasu2K4kg+ZwT8jOQ7BG3A+Yc&#10;iZVqlT3bIqNGjGPNzP8AA2re9+Dsvg268B3GueG4/KZ7tdWha3mtbsvcKrG4NusYMjCKMgZRWKBm&#10;UuqsSp7n9hbwodEktPhl41+IEPn3TPp2ktqNrMjRqfLnt02tGguYZU+ctKEeLaUaRgQSvNqYPFOW&#10;y+86oVKNviaP2/8AA/7GHwV0rwHHo2t2eqeIroWV3bLqfia+N9KFutonMMcg8mAMqKnlxxrEqDaE&#10;AJrotG/Zk+AuqzLqM/gKyuFm0VtNmklhaZp7Q4AgaVvvIhVtqtkqxZxgszN6UFhtlO0/w9T7f0FN&#10;si1zaRjYFVlBPH3uO3tXuRhT7Hy7qVH1Z4f+03+xb8AvjH4fit/FXgixkg03V4tXml8zy5FmTgyN&#10;IpBTYuGVQ6hyoVmCFiP53f2kPAWseG/i5rHgkePrfXLexvniOuf6lLrDHcwB+6DJu92+8Fwwr+oz&#10;XtA0/VNKbT57G3kjO4eTNCrxnIIZSrDGGDMp74Y4IPNfkX/wWf8A2OfEOjfDu8+JXwxtbOPwvouq&#10;zXXjjUbHwrBa2FrP8z2v2y5hZrqfUZbm7FrD8kipHKPNktYxIW4cdR/d80Ud2Bqy5uSTPzHX4UzX&#10;WlC3sLK1tpJI0kGqalqDooyckog5PH94DnkADrc0az8U/DPU7HxbNZWGpRWkm61lhZgryjGIsjG1&#10;SxLcgA7d2e1cV4ig8e211Z63rtrfeTfxtNpTXETbbuFXaMyxkrh0WSJkLrkB1YdVIF/Q/iGPDPhe&#10;+0yZ5heXU6lZWuvLj2nfuGxRhhg7SMgjJ2noV8F068bNtM9pJX0P1q/YP0LV9U+Fdr8TPiL4A3X9&#10;5BbzaTq9vdWlxayxNHG2UFvcTBGWSNwWcI4UhcIWZK6X4ifGSXStZufC+itpLyWrf6fdGa2d7SRl&#10;DfLbmbzJJPKZCCRt+ZQCx3KPz+/ZG8d3HxIhg8K/CbXPEXg/xhG1t9n1jwzcSuL2WIs6Ne2oAtZ7&#10;YPl2RwhIJDSFFEY734p/H/xV8NvixFov7Q/iubxBbXt9ENH8SeF9We30xUjVImjms3SUwz4Vp22P&#10;IjGXCD5CKz9n7zcvuO3n93Q+pvGXwQ8PftDeGI/D3xGspNSgjuI7iFlt/s729whfEu9QVcAsxVXD&#10;KAuCjDK1x3xd/Yj+D/xuhh8CDTrizjs/IB/su9t2VZI43VWbdL5jMdy7ydxcJkkEDb4Gv/BUTSLB&#10;bS20bQ7iYSIFk8y+8iOGUjJJMYVti8ZPViTjtXp/wx/4Kq/DGe6aLV7a6W1htYREbiQzXUsoXMzS&#10;MFjRQSUUYABKu3AwgblyamXNfqb/AIR/4JU/su/DO3tB4n0m51t1gWKdrnSp595LEniA7AcYXdgn&#10;A7Hmr3jHwH+z58ENf1TV/h/8OdL0y8vNKinjuI7mSD7YGIVYkiiUiIhNsnzCNWj5UuzYJ4+/ae8H&#10;fEmwvofB7WM00MNuFZoYJFnM+FVFk8psgGRQSGOD8pG44r5+8feLfjBJO8Z8K6Cyycq6+JJunf8A&#10;5dev+P40o1FU2ZUYnWweIvF2ubfDngzVdUs7yS0mN7faZIo3NtG2bZgpHg8YbcpLgc8A17/wZ4st&#10;raTVb/xZqkl7Dx9sm1CRZGbHqjIAfYADOT1Jz2P7FvgjxVceC/EnxN8a6dBBHdXMWj6Y9nqnmxSL&#10;HsubpWjKiQsD9iIcgJhmUbiG22vjLcQeHfA99qLOquFdlZG6HB9frx36da6Y0/3fMY1Kn7zlR8Ue&#10;OdGvbzxRdXcfii/FusrKbaPyWR+euWjLHP8AvVy93out3F48ekeIoY7eJVjZJrcvIHxnaSjx7RtK&#10;EdfvGu51hY0iku5pFVdpaV3bAHfJOeBWRZ6fPHaKZx8/LOskgYoSSduR2GcD2A+tdEfdjqVe5z7+&#10;H9U2K32yOZgw8x9pTAHpkvn8/wAabcxalFDuiX5hgBsc/hz/AJx710M72GmadJqWr3dvbQ7ghkup&#10;hGgJ6DLYHPbnmuJ8W/GrwR4c1W1UafJrSrPumjs5/JUxhirFJWRuSQQCFYYzz0y4tydkTKPMW5xI&#10;A6u+48s/7zp+VZt5NFbL/p10ke4/8tiFV/zxzUp/aa+FVzokltF8CbjzII4vtFxc+LmL3MYniMiY&#10;SBFjd1BXeoBUFscZB6r4cftvaL4Z8O2vh+H4LSStGzGT7L4iESyTOxeR1j+ysEDSMzBBwoO1cACu&#10;qNGP2pW+VzjrTxFON40769Wl/mc1p+i63qUsttZwRqba7t7Sf7RdRQeVNcOEhRvNZdu485JACqzE&#10;hVYinY/GrwX4VtbrTrxNQuroZG6CBDGp/unLqTg8HA7d6q+Lfitp/ii91G18S+AdOuINQ1y7vLrU&#10;NFk8tppjbvHbqxJb5I5LoMSTgg7Qc5Y6Xxe/Yc/ai+CHh2P4m/Fv4Qa14d0XVLwW9nd6t4fvbeCa&#10;SdJWWNJLiFFZ9iSMuCSRGzD7pwpQpLRs6KblvJWONh8Zw/2fLqpscBt/l+bcbd5AJx0brtIA9arj&#10;4iapb28JstHs5JJmDLDLG0jdO20rz/ntmt7w/wCCtL0+409brTTcQmRhN9qCyxo20nJXHc8A54zX&#10;oUtjF4ds/tum2DR/2fa/aLZlusBmUEhVKkMDgDPAHJ61EqtGO4JyvojwDxF4w1jUb1rjFujSRo/+&#10;jqcLlQxUZJ6Zx7YqeytfiE1jHqt5pl7HY3UbLb3cllsjlYq2wK+AD8w7HHHPpVXTXt5r28vYn2wv&#10;OdhIC/KWPQfT8q9Y8NWd/wDEa90L4d+LPEmk6Xpc0Mf/ABNooVl+yCNHKGUtKFBKpjG5fmkXHOBW&#10;ktI3RpKSi7WPMYtJ8cXUjLda2LZv4vMuCOe33AeaS78O+JbALC/iFZpZJCFEVxIfKUDO85UYBxgE&#10;ehzjv1evaA/hjxG2haxrdptWbzFvtPjF3bzDBKfMp4VuFIIDKD8y5BWq9idQ07WLPVNE0+G8Zozu&#10;N9DFcJhVwuY5lZX5Y8EHrz61yxqVHKzCNR+RH8JvCmoXPxG8K6le687eZ4ps4dsmcFhPFnJZuByO&#10;SPSv1y0zwNa/FfwZaeEdAF9p7aRq1rczT6tp82m+Y1neRXG1ftSx+ajmHZvTchD8Hac1+cv7FukW&#10;/wAQf2sfDNh4itmWfVNYZ447axhEIkw8jkLGQqAIpwAmBkABQAR+qnxG1u98H+JPDugWNg0ya5qb&#10;addSLCW8mNbG5uhISOFBe3RMnqXA6mtqceaTuZ1J3kkfGf8AwU5l+w6QPDl4jfaJow8c0KmSJV3Y&#10;5mTMYOf4CwbjpivgW1+Gw1XQ4das9X8yaaaWD7FDZksrRbQeSwGTuU+g3jJGa+8v+CpT7vCJsom/&#10;eFZCF24K4Tdk/T2/pz8i2fw18VeL/DDaD4J8DeINSPmCaW4tdKuZBB5oRgR5YYMGPmYyMHII9Kzn&#10;GotIm1OpGMbtnnfiPwYnha0kaXV47iSRcJHHGR8oZcscn1OP146ViwqhRSy8E9dtexav4L8YeG/E&#10;uj/8JN8PdUsbryLpls7u1aF7pV2sxjEqouEUZIzwMHvWg/jY67YNZ+Gfh/4hupI2dfMh0+OVeAzv&#10;ykhBAVXYkcbVJ6DNEXKPxIftrx/4J4bd7RGBjny0/kKm0zXdT02BpoXjk27Y1W6t0nVVOSQFkDAf&#10;dHQZ4rvvA+l+I9RtdRtNN8B69qjTTD5dO0nzkVtiEq+c4I7jHQ8muo0r9nb4jeNJofDdp8ENTtbi&#10;3sbjUHi1J7bTfOhjKbnDTuitt3ouwfOTIoUMTih83PdXL9pT5bSt+B5bF44n1LTF8OSeG9HjVmkZ&#10;ryGx2zkl2kxuzgAZ2gAABQB71n33i/WdQ0hNDuIdPWGNlKtBpFtHL8owMypGJD15yxyeTk816r49&#10;/ZL+JHw28OSeNfEfg1tNt7faJC2vWM4BY7AAkUjOeSPXGCTivJrexyGxabmTAbcyj+Z/pVT9tFWk&#10;3+WgqboSXNG3/BPerXwskupxK/y/Z5nbv83ylR/PPSvpL9ihPDMXjP8A4R/Vdcs7e8vFDWFjNcBZ&#10;rjDHd5aE5Y/7o6189eDrSxu9B03XtYG9rrTYI5t8jbJDKFHKZ25LNyce3TivrX9gbS0ivNSiSGKN&#10;YYBGkYGAEG3AHsPT09KzjC8kZVJ2iyx/wUq+0aX8ONT8IzWc0cd94M1S/ZpIyoVraayVeT6/aiBj&#10;0x1xX5XITnPmH8K/YX9srwJpXijwZqd9qRKyJ4fvtNjbGQsdyI2c+/MEf+TX5CyadIDt2hecfLGf&#10;6mtJ0rWsVh6kdUzX06wspIo7dpZnZoVZ4TckAMRngDGOoPerup2HhuOzhka1llmhU+dNc3RG3bj5&#10;FBbDfTGeemBX0F+yP+yT8J/jP8EpviB4+8aa7YX1rrU1pJb6XdW0cZhjihMbP5sTMhdnMYbcFJCg&#10;DOc+l/GL9k79nPwf8B9Qk8L+DrqDU7Hx9pFmviBdfunjv9Pu7O/Msbqkxi3xz2E54RGAyDkFTWv1&#10;ep7P2nQwljKUa3Jd3PiKDSPC8N9/Z2o3qQsjbJpJI5G2tnHRe349q6bR/BkfilJLfwnpElw0tnMY&#10;2t7F9wjWNjJKQq/cRcuzEYVASTwTX2R+yB8A/grq3wztfGereAra6163u7qHUrq8uZLm3nlEpcFI&#10;XdotojkjUfJztJ5JJr2Hx58HPA/xA8Lv4U1PRNHtZBYS2ul3baLDL/Ze5SElhTAAKH5gBt9iK66O&#10;VzqU1NNanFVzinTqclnofkhHBPM+yGFmbsqqSa+8v2evjDoQ+CNjG9vrDXunSSFI4fD93djaz+ae&#10;YUYcJLtIJG3IzwVryLxXoOjalJpl5P4b0mRZNFRYwlvFm7mhldrh2AB+fbLCu4jLAYzhcDtf2TtU&#10;1PTE8RaNYXa28dnDDewWePmEYJWRlQDMgC+WDjGADtKls1ODjLCSbT3RWOqxxVNJrbU9w8HfHb4Y&#10;eLfGP/CK6f4yvIdS1Sxs/sGj6zpM9ioVZ3x5JuEj8wzGcpgMRmNdoYua6jUdKuz4y0xbbSLeS6hZ&#10;lvITCxuYbSZWwYkX5grTxxBs/JtiY5yoFeI+FvF+neLb/TP7YttD0/UtJ8QRzafd3Nivnxgo0UVv&#10;bXAGYsTmJyMgsQiqM7a6b4xeBLnUdMuvixceJPFkvi7R9Nli03VLHxFqFxc7SzBbfKb3AJkKyJHn&#10;ajO3ALMO6nmdSUL22PPlgaMZLVrp38vIsaj4q8Oa746s9b0Sxt7WTULZdQ8I61/Y+qltWeJ2iu5C&#10;T5UQaO0ieBFUOT5wkWSMSmOTc8LWPhvSfBmr6foniptV1K3vLjUJvD134shb+y7yCcbYcx7ZY4JJ&#10;URx5m/eGZpctK/m+KeIvBvhPwVax+MdE8ZatYW99ax+INFs49dkhuYmzatIzQ5iYTu/keUq5DnT4&#10;3Yt5bFZ/Bl34ntFsr+++IOo6PY61oNppniSSe3tSLmazXbAjwzWxjmCLbiFSVaRhvUyHlJOSnjpR&#10;q+8tb/mdEsLTcfdb6b+R9Jaxd2PiHwZ/alulqrSWsd9YtqQWWGKRVWaGR/Lcq2xwjfIxHy/KTwas&#10;X+pQ+JfCcPiXwtBDfM0UGp6OJ7iSGO5kTbPAGaM7lQsEzjOVJBDDIPiXgv4zfEqDxDND8UvjhqVr&#10;ayM0cN9p+n6bcRrOUj8pJ4/7NSY/K5Y7AQQygmMhsbXhj48eI00m9vPHuk3tzqohSKPy3/czbAXG&#10;IhMsaP8APtkZMCRv7qxoW9Onj4VOj8zilg+XqtD13xhqemeIdOh8WeF7ae8hhtbfV9MvLazWd7q3&#10;cFisCk5LvCXjyMcTjBOSKsajMdK1PTPFltGGazulEzQpGWkglIRo97keXHuKSOQckQgYPAPhuifF&#10;Kz+JFjJ/wk/hG+W701vItH0/xtqFlGkJbcjG3glQqp2lcMxJMTDI27F3tJ8TzW/h2HwLaaLZrpUk&#10;DW8llcRXV+rIqjajNdTSqkYRGUqRhtyjcOA231qMldEfVXHT+rHr/iS0OmeN7PWoYh5etWjW15JC&#10;s0xWWPfJGSc7I41HnqWKrueSJSc7RUGk2Gl2+o6t4Jvba2ktL8SXNvbyRwiORXZluohCvzPiU+ZI&#10;7rhmvAMthgPGfH3xu0Twfpp0rxj8Q7ezW0kjuLW0kYSvFJuBjlECfvHUOA3HAIJBHJrzDxt+37oE&#10;KsfC3g/UdVu5dwa51W4SICQHbG2FMjSLwDglDjjIPSKmNpxepVHA1px0PqzT/HOh+PfB8lvYX7Xn&#10;iLwjqUtvIt1axfaLq4tpJIJBG7CKESzRLIreWQIvtGG2jAPCftX6hbWPhVotQuZY9J8Q6PJbx30U&#10;stxGLgRuYo/LVGVYZEklMsqhmeIOu0kRkfIM37bPx7l1S41bw/r9rpIuNpe1sNNiaIkII8/vlkZs&#10;gdWY4PTAwKybr9sr9oCHUf7Wg8X2f2vCj7U/hrT2kGOgBMBxjPY/jXJUxvtabjY9Cjl/JO6Zv+D/&#10;ABvb/D7Urzwx4pk1CPwp4knt9St9UjjkuD4Z1uMqUvMGRmLKzgSYdXdJMcqQG9u1bwP+3OF/tWX4&#10;z6NP++XzNN07T7WJvLP3lDS2RUN/dLE8ZJOVw3gepfty/ELxZpZ0v4mfC3wF4rmEYX+0tf8ADu+5&#10;CjurRyIBwfTHHbmtrwb+3r8QvDsVvpln4F8KrYxKsf2P/TmCxoNqpHvumEYC4AAGAAOOtcUGtm38&#10;tDvlRqPVJfPU99TxF+1Tp3g+KK18H6LfapuBlW8tUdgNnIMkd/BHneD92HG3ac5yB6d8P/DPiFr8&#10;N8RPi1od7bteCP7LoPhe6tHZWl2JJ5tzcsq7Q6NINvyjzNpkEeX8J8P/ALT/AMSviXa2tx4P/Z31&#10;VVZXf7dZ64IbSTZncA9xbMgPBGPMySMDJrvfD/jH4k6j9nPiHwLp2moYVabd4kaedfUMq2qx7hg/&#10;cYj3ORXZTlfq2cVSnJb2X3HS+LbD4jaJb6lq7aL4Pu9N0u82RtZ+NJZr64hKK7TQ2yWRMgUOwK7t&#10;5aOQIGwu7itU8baDq2j/APCQeA7W+8TQ/aprSX7FHFbyxSRMVYSR3kkLxnoQrKH2lSQuRXb6ne3F&#10;lZrf2FvcX0j7f9Ht1hVhnGTl5FGBnnncc8AivIfihq2uaFFffE7wx8PtQ0fWJFitLqPVlgmtNTjT&#10;eVldba5Yq0IUqsrFTiTawZPnhucuxMYp6O1/68y7ef6d4ZuNX1bS57bbGy3Fhcqs0xPf5LcybuM9&#10;Cf5VxulWvgzxhLNolv4Tm+bDb7rQZ7Qrg/wtLGnzccbDn9KztL+Kfx0u7aW4u/gfqWrMytsj03Sb&#10;u1UYxj7wlznn+IcDtkVNpesfHzxVcu+jfs061DIrK3/E2uHtFOTz+8lhVeO/zd+M4NcspRZsoOP/&#10;AA59TfssfE/T/ip4OvPBmv6zHd614Vm+yXjNJ5j3EJXdFM3yKC235WxnDocnkV4v+0RZ2nwp8eya&#10;Re6fJb6fdOslvMsQ2wq3AOBz5e7KbgAqNsH8XE/wb8N/tKeFPiFpXjdvg3PY+TI1tqiQ65Z3EdxY&#10;v/rFJSdCSCBIhKsAyfd+at/9oX4v/BD4j211bw/ETTbfULNW+zRS6nbRSltmfLyXYA54BfHlt/Du&#10;+cKUvcOeMZRxHu6p/geE+MJtJ+zzaPJNF5e1ZbWUx71UsMqpblfLJPrgKeQSmK81vbLUPCusf25Z&#10;WQZoZZDvkUjzImOJYnwOpYnBOCCzHJYrjtLeT4hatpzRX19a6pGzCOGaHULeWQ5JCkLHKwzlicZY&#10;4L9cgjD1Pwn4uu7qRJ4HXy4ZJbgyfN0J3MuWx/dwwJGCDnBGfIr1Jc1z1qS0sdl4X8SWniOWTwbq&#10;2p7BIq3Wj6ljAVwMA4OeQ29XX5gMOucKK1jeXvhfVrXxroX7m+tZpCttuL+VcIPmi+UH5WH3Rno3&#10;JHQeS6bpeq6czaDqenTQu0zPYrNA0bEnAKgEdZAFxw2GjTG0Fiey8OeJU1KPyfEN5501xH5Udx5f&#10;7ydFUhTIe5X1+bjIwWxW1OtzR1M5U+V6H0ZpvjK3+JHhw+J47qbyrvy21C1jtZJpIZ0G0XCCCWMu&#10;4U+S3LELIMHauCV4P4C+I3iDwhqd9Y6cxtmfBLSSFykgON4UJkkqGU53fgAMldHtu5nySjoj+jTS&#10;f2yfgi99b+Hvihd6t8NfEF154s9D+KOkyaK0/kkBpIbib/RbiPcQVeOVshlO0bhn0i+8W+EtG1SL&#10;wtdeIbW31BppLePS5pBHcEpJ5RIjbDbMgbXxsZSrKSrBj/PT8UP+Cpnxy+LupeI9f+KWqSa9Zahp&#10;clro/hWa8B0tLhpBi4ntJllE4W3dlT/VN50dnPvZrUIfKZPiZ+2J+zB4Mj1zwV8bb3QLPxppVvKZ&#10;vDfjCOSaeEEuil7aUyW5VgVaPKMrZR1X7pzWNcXYw/sqnKN728r3/E/erV/+CtX7Dnhr4vTfCHXP&#10;i61rf28P7xrnRrqFWmDEtHH5ka+b+7BYMvyOcIhkclV/NX/guJ/wVA0L9qvxN4d/Z2+Enh+G+8J+&#10;FNQh1i61S11C3uY9a1Ce1QwGBxHuhFvDcXMLFX2mWeUEMIkZvzdsJ9Y8VeJrrxHqktw1xG7Xd1et&#10;eFmlkOSSXJLFnJySSWLDOecVDeeNL2TX117S7qePzJJEju7dsqGUJvKseAQGXjPAYc88TUxNSUTp&#10;o4CjRkpLdH7FeMfhZ8e/+CrvwAtPAnw40r4B/DH4d3P2NfBOk2+oX2qeItDbSkjtYNLuNQlMcP2g&#10;oz7XRTO8YVD+6aSQ/Fv7Qn/BCb9s34CaRY+JdZuNFvdM1W+istJke8EMlzdGPdMBF8/7uNlcLKSB&#10;JGFkwu9Vr5p8K/Hj4h+DEil0Dxvd2UlrdC4ha1mXCzBDtkAjwM8up65DnI4JPtl//wAFNf2h/ivc&#10;eEbH4ufE7UNUs/DKOlqst0iTXczyyyy3VzLsLSXDtKd07AsyllYsGbPLGpHR1fwJqU61O/smvRoy&#10;PCtv+1B+yt4Wjux4g0+xhXUGij0NZpI5ZmAid/lMXllW8uLcW+8I0DZUceXfEz4xx+NEuLL/AIR+&#10;Cz8uONZvM2Su0gJY7NgVANznGEJAA+c/MT6d8VfFeo/tA6jpuvxXohkh+SfT1uJJl3K5LMgLFXDK&#10;RhDkqGxn5a5+5+G/gySBbMaEyqVG5Yn+9gg5/HA5P9az9nTxE+aPTY2hOUaa5t3vY8NLiVftChl3&#10;dT0B/M/5zVyx1a+gsZDaXSRNNGUL7VJUHqAfUjuP8c9/q/w2a6v4Z20GdbKAMfI81WJUEn5iOWYk&#10;9OAMEDPU8Be+EtVZGitbPd5bs/7uQsrgDBO7nJAOaqVHoFubY6LQPiFqS6Za+H5r3fFBbyQ2+5Qz&#10;IzMjjvyA67gv3VZi2AxzX2n4ViXV/AelQjWvtHk2Ku0P2hJNivyuT5aMRgDBYAnH1r8/LG1/s+dv&#10;7VjVHSQAx9MY556enr+WK+kP2NvHnw6PjvTdL+II1i4j1rVoYtVXSbqWK4W3/drI0DA4MgRSRuyA&#10;sZ4ZuDzSpxU9DSLlE++Ifg14I0j4XeF4YL/UPtkekx3VzcaPqGoaObm4uP3zC6ihnRbiSJXW382Q&#10;EskCYAUKB4L+1n4R8OR6Hb6XHqHiBZpWIwnivUFUqOeUE+Dggdu9fU/xP8RXeva/cX2q6nNcTzXD&#10;zXV1cyF5JWOSWY92JPJ9TXyZ+03rTaz418iJTttIcDv8xxn144FejOHLTUTlpylKTkeG3+mx2dj/&#10;AGRAskkM0m2R7gNc4XBJDmRidrAFc5OCw4rK1fQr+8n8638Q31oFbIW3ityD7fvIm/nXSXNst3fP&#10;dmFf9HTylZYZFcM21nGSdrKQI8YHBDZJzgdb8AfhnJ8UPi7pPhaKaaCFXa4vLtdHjvVhjiUyfPFM&#10;rQlWZVj/AHqtHmRQySA+WyjHmkoo19rGEW30PnjWvhb4O8V63ca5qWvak00iLvZZohwFCg4Eft2O&#10;OprnpvhJ4I1GeSXUNUvrbypPIigj1CJ8opIVuEPLj94QDwXNfrJ8S/8AhI/CXwi1LwXrHxcvNY1D&#10;xlLD4b0+68U6RaOsUt/KLQuItPt7YyeXHJJLjsIiSdoNXvi74C+Gtv4ZbXNSTXtJ03w/pEnl2PhX&#10;xdf6NbW1rbwlgohsrmFFRVRUUBTt3KAMV3/U6i+3secsyUYqVt/67H5DyfCTwiZZNHtdcm+zbVnu&#10;M3EfmBlZkj2kIF2nMoPBOVXB61JdfDXwl4bsP7Vi1aZWt2WQPeTL5KNzs37E3bSRjg5Pav0C+FF5&#10;4a8d+D73xl4z8J2fiTUNf1BtXmt9cEM+ow29reW1pBphnuAXkQRwozyzsAYrpWwwmGPOf+Cl3hD4&#10;Y+EfE/g/4WfCr4beENF1fVEln1KGy8P2sMuqRyyeUsQkiiQEoUkwzsB90khlU1g6NT2fNzaG0cZ7&#10;SsqbT/4bc+c/2V/2ZPGvjP8Aae8AQap+zPr3jrQrq/tdU1Dw7pEbxDX9PW7CXDRuRhLdWJikkXcs&#10;QhkLgbXx9Q/8Fg/2hf2wfi54+8J/BX4/fCn/AIQa1sbi917RfD1pfSSxy2zlbeGe5bzDFdSxr56L&#10;KqRbfMmAA3kV9D/8Ey/gppd1+2j4duvEPwK8ReF7z4ZfC23fT9YsdW+02E2p30IutTsb2QhiZC+v&#10;vJFDv+X7KJFyGIHz5/wVZ+Klz8cP+CkfjhovF0esaP4J0uw8L6OY4kRbB4YfPu7VSEBfbeXlyGZy&#10;W3AqCURAH7N8t7lPEc1ezWyvf52PIv2Zf2UdO+OR13xt43/aDsfAeheFY7NNSmbTpry4u7m8klW2&#10;iit4pELoVt7pnYMXAjU7GRZHizP2nPgz8BPAek61qngv9pLVPG+saLbpLpYTwK9hp0xARnJluL1p&#10;lKqzcGDlkI4B31B4fubvR9f1bUZdCtf3FqkUF4ioXCYUxyZ5KsrvMMcYAB9DXnPxxv44Ph9dQ3G4&#10;yX1xDDCyj+LcHOeeBtRunf60ezhy6rUcZVJVl72mmmhwvhMXl7oy3Oo6teSmZs4a6bCgHGOTjHHf&#10;1r9LPHf7FXwG8N/HTSfhF4e+CFnceB/D3gtNSk1q7vLj7Xe6lcXbwRC4zJ+8UxWM7BQNiuZfl+Zc&#10;fEv7IngBPFf7QfgPwXP4ZTXLdvElidW0yRd0c9qkqPc7wTzGIUlLD+6Div0O1a8l/wCGiviN49bx&#10;7/bOmrcabplrp9peRyRae9tYRySW6vu2q7T3kishZNksUgZgSwHbhqdOUlzLqvyb/wAjjxtapd8r&#10;6P8AFpL9TQ034J/BTRb631zSfg94VsbqFStvcWXh21hkXjHBRAR6nGM9zXz74q8VfC3wj+0x4y1j&#10;4o3eiyafHeaZZ+H7e401XuNK8q082abBTcsbzyKodckyNzhQDXffGT9pmHwn/aEPhYwGaTSY3sbx&#10;t20FoWYFQRztJByCVYMSM7Gr4H8c3/iDxj4mu9Su4obhJrpvs8tuVLCPAP3QDxlyuMqCFwBgGtMV&#10;iqdJpUorTXbQ5sHhatXmdRvVfPdH29+zZ+0dp/xu/at8N+C4dRjbZJcTWZguHb7fMZE8uCNWbdM4&#10;VQ6sEV2DsvlxlGDfW/xN1fSPDep3SarZyfarjBtrVbGWS4TaQskoRULDGFQ8DiUfj8Kf8EY/BEx+&#10;Pmt+M54pFk0/w61qV2bQVnl39PYwAevPUV9n+M/ClnqHxAh+KDzBbjS7S/0y3hGdsqXMlvJIcnC/&#10;KbWP3+f654oVJVrzluz0o06dFqET4m/4KE67Z6jq9ndXdvNFbzLdxeVOpjbLW0iLlG5HzEDoM9Ot&#10;Z/7Lehw6Gz6PfN9svrWzt4byS2td0KSR28Kp84HzMVaUApkDDZYiSPND/gopetqnie307zT53mLI&#10;P3nXFxESMeyq34flXn3wG+N3h/w14mjtG8ZaetneXBkaE65DZIH3L88hZgjdCuJNy4yeMhlmniI4&#10;fFRbKrUZVsPJI9v+KmlS3Xxb8I+K7aTbJ4Z0zVL623b9kvmC1t8kosjBD5390HI6jgjxrwnoWt+E&#10;ZJvhpqEUzanHIbzSbddOUW0zHdvV8kNEGiluAYnRNqts+f5Se9+BnxSk8a/HbXptX1ixhs7Pw7dx&#10;W1ra30U1vEpvLZiFeMlZGZlPzAkOANoChQuB448K6XonxqsdN8YXn2fQ7RpLzT5rWWSZbiAq4kh+&#10;05C5wgiUnlAI0OUUV0YytGtH2sXu7fgl+hx0KdSjL2bW0f1b/U2P2VvGngr4f/AHSdW1F18/VLxr&#10;jVZIZgWV3mkQzupwVRY4U55zwBknA9A+Hvjvwx8XfiRrV01uYY/Cvgm8u7WWOUutwJNZ0eGOUAoG&#10;IIPAAJ3DAyVr5Q+Gvj+30nwHL4He2S4mWaFlt5LOSYriIbGxGDk5llX0G4dScV0Gj+IvEqePI9ak&#10;8L65Gt9pdx9ojHh+5nklhA3TT+WyFiqrEzEgBYjHlfLwuMY4+tHlh0X6HRPBxlUlJLV3/FHpP7Zd&#10;y978K7y6tp9zQXkEFzBHcvtJa5Ty5Ao+XlH7knLAfw188+EPH3hvwD8IvEXg228AaVfax4lneOTX&#10;NVsIpn0y1jhJH2Qup8qV3cguMYAGPmKsnQ/G34oJ4u0X+yLeG8t7eS5tVtkm02dN/lzJje8iYOQW&#10;Yc98fLwteVa5Lb29uscVpdKpuZFldbZxvQ4DEEjaT+P49Kwq4j20nUR0UcPKlQUH/Wx7x4Qt7Cb4&#10;faHNq13HAr2djJ5krKgaQBHVc8DJI6f/AKq+pP2KNUFl44m8MLpOoNc31q7o0OnytCgDRn95Ns8u&#10;LgHG916jHWvn74WPpWg/DzSb6S0MdtZ6PDLdQsoXLLCvmnB7sQxyeeeea+r/ANimKK2169RFUM0c&#10;nyr2x5WPpUU43kh1HeLZ1P7TGizJ4R1G11QwxyTaXOlpGt1E+ZQA2MoxB+VW/HFfkF9huWCKJocO&#10;3zMITwMEjPPTtX63ftgw6hNdeGf7Pdlj/tq4a9AzzEdNvQBj/f8AL/L3r8q9Q0i80XUZLCa5s1SK&#10;cwh/tLbsBtvK7eCfrxXZy3JhI2vh3478S+BNHn0XSvEc1n/a9wIp5LeEfNFGMiPs2C8xztYAj72f&#10;lx9SfsjftA2/i79nL4z/AAQ1LwrH5MfgfTtbttQbZtjuLTUdOtmkICjMki3bkuxLbQFzwSfkaRIf&#10;ssaW+oqXgu1a2kNi7HLI+9NobuEXngY64617H+wPBb2H7Qc+i+KZ7fUNF174e+Ko9S0iGEiO8WDR&#10;Ly9t0Kknf5d3a2k6Ac+bbxFeVFefUlKniNHoy5RjOndnu/w6+JfgL4QftE/EL4Jagn9j6Pe+PNQP&#10;h9JkC/ZX+0XEaWrpjIxFbxxYzlGiRSuGZk2/F37SQ8JeFPtN/pf2HWJGjjt7W6UTRpcGQK1v8rIW&#10;G1ZZFkyA67TgF1jr5/8Ajj4K8HeOfjHceKfDfxp1jVr250e08R3+uXV1HFcReILi3tGu7MhowSVv&#10;GuY1Yctjf+83jPTXx+Fdz8EL/wAXeMPF3iidrrSoU8HtqPkl0ZLi2ilLvFZlVRYYHK7QJHlWJy0Y&#10;DsPVp4ypTp8ifoebVwlGpUU+9rnm/wAbra3lube3tNAbwzcQ69cW9ja6f5c0EFpKrzGONWBLAeTb&#10;iJweVJPJIxT/AGfLmPTfiUdFnvXuF1DT7m3a+eHc8DOjMf3aqmSPLAK5/wCWjfMRxXPi41DxF8L7&#10;7UNaa4mm02NE0+6XXrhPKt7Z4pCUAykn7r90oI+QLHjbs2jF0Cfw/D4ntYLi7v1sJApll+3vNIYi&#10;QZF2McBgm4H16dM1ye2j7RHZKn+7tf8AD9T6IlVNL1bUrG+j0/ULq1kxYyXUzssE0ckLxbcNkPkO&#10;pwCUJG3G0Ep4x1Frf4es9xruuQ30krtYyweOruc3haRovLSEXJaURpIGLfK4Cxsyld6yeUaPZaBb&#10;a7HYXGjW5kZmIWW1AJVdpZslRjBkPoBgdetbniHwrb+C726h0jwFodiF8s28F9b2t3HcQpwsgYo/&#10;MoXLYVSrHaxBDCuSNd8rtoV7PbUvRaJdeIMBoGhfl8KaGmv+FtOOhC6MNv8AZ/E9+rWJWKXBhimu&#10;DGkwjV5fLYbnMy7wreYBH/whXhTwzrGu+EIvGOsQpaLFOulNdIAkm6NnMh8xVMmDuyq5jQM7MFiz&#10;XDieOwnOfDmktOrSyKTa71dnjAJEuSSF2HAwAA7EDIzWvqdjGmpNq9n4Thitbq5dks9OjK20bSKZ&#10;Nxjy7OSZdsRcAINowoCmo9pza21NOV9zq/F/w4l0nxHDodvq3iS40mPSI7/da+bNNCqlkR4lwqs+&#10;AerYwEIZQpK19Pk1rT75YNW8Y6pa/aIDbw3F1Zo9zbGLExS5ibIy4lm2NnJaHGVXGTSofhza6Ja+&#10;IbEWkuutffurO7ZlNzbRvul84RbRLMd0ZAwGMiswUNgDL+IPh7w74c8YR2kVloNvG1vZy3VvFbrd&#10;KsM0IlPkpLErJH5Vz5ahhgsisCzgsK9q6esXuTGKlpJHVaLpWr2XiiPR9E/aXt449Rs5ZX1lNHtG&#10;SJovNkSB4pHyCw8xvullICgEkLWfa6B4g8ReJI7ub9rvVtNhvGWFpJLNLVGkLphUiUrGA0XnuWIQ&#10;BolRjmTK8Dq9r4f0i/S40vSdixsIZki09F2o/EqqJRs5DMCrYBBOOlHiK0hivI7hPDkFg1pGRI2l&#10;6RBFMtuQyuA8a7S+3I3EkgHJxg4f1qT3/N/5mkafLt+SOi+I37Luj/DvxH/Yk3xUvroNYtNCIfDs&#10;asCjIGUjzFAzFIjqFJJIccYDnnNR/Z60q7W4m8NfHXRruGGNZka6tJIFkjcsuwEbz5qSI4aPHCmJ&#10;s5cqvKX+pvY61NFDqmoQxafqDW9xDcansQRvlN5wBkqzBj14446kjgaG/bT/ALTMFuMyx7biYMWJ&#10;/wBg4znIyR3xn0vm3aN4xmoq7/A6Dwr8AoNV8QSaJcfG3wvYNDDMsbyR3e15lTMcbNJHGkauSnzM&#10;V2rliMgK0XxF+CfhXwvouneKdK+L1pqWm6nYyXMCw6LNDcLIAdkMkRkcxszBUyTtXeDyMVjajHKL&#10;R5ZtYvI4YVZ2zdNwwXqBnJJ46HAwTg5NWfAusf2jouqeFrmVrhVYOl0sTSTQfNuSVZcHy2AZgApA&#10;bacgHBE+2kEoyjrf8EVvDV3+y3pt8q+MU8a3wt92+C3FpHDKwByMq7HBIAG0jr1A5r03wP8AtYfs&#10;o/DWSO48Gfs7XtvcW9yZ7W9mlhmniYjBKyS73XjgANgZOOprwDxlpksUseqBWKyKqSfLMVRhkBQz&#10;g/INrRr8zEiBicVh1P1mtTlp+Rv7GFSOt/vPsCf/AIKW+Hru726Z8KLsqcBpLrV1jCruA3HbG3TP&#10;OKdP+2dqV1FNdw/DCG3ktV3eW3iJy+3BLkAWrcKoy2SDyByeK+SdHkWC7S6MJkWM/vo+m9Dwy5wc&#10;ZGRnHGa7qJL+XSFm0+78y602VJo1kGUni4cOyZJ2sHVmLn5jMUVcJXdRxWIlG7Zx1sLRhsvzPfJP&#10;27rjTL2PTpvAVnMTIUjFr4jeUsckDbi1xknOASM8HHINbPhH9uXw1fGHxBF8Otfk+yb5Zo7DyJjg&#10;cOPmZWwQwBIU7BIpOCQK+YLnVb/bc2mmNZzLbt9p0v8A4kts+Bj5kc7QmdoGcqzbogBjJza8NtZi&#10;yXXtPhP2y5mPlQ2qsrq+1kdAEBOSHwqhhndFnOMipYqsiPq9FK9vzPpC6/4KOabrKLq0XwQmjjhu&#10;i1vJL4iAYnsMG1YKXUlTjJOSAc4I4fxv/wAFA/j3rdwtvoF5onh6FWZlS30t53uIyDiN/tCSKQAD&#10;0Vck+nFeO6iE1dZ7zRdXu1W7b93ZruKtKAN43d25B2gbfmXnHFVdO09r7S44L3V2ZlnCOvpkAoeW&#10;+bOPQYwOcmuOpiq8t2a08Ph49P6+Zc8afGX4lfEEJH418Z6vq0cLtPbpeam8kcZOV3IjHCenGOOC&#10;BxVLQL688S6tDo0UqwXUjhVaSQKh9ydwA4x+Gal/smRLTKMrSMWSdJrX5Q2MHB3cg5wCOTjjGM1k&#10;sl3Y6kronlz20hEiKDlccFDg5OcEe/ryTXOqs5aNnXyx5bJHaaRaappmpeVe3GwK3lsu3POePTg/&#10;jn3rptPjuGu45rK2kk+XbMjKNh3HDBuQMfUYGO2CaowvpOr6HFqdvbR+TJD5jeZg7AOGOT0IIPPp&#10;zwBkz+DH02CaC5sLC3khGVaSNV+UlDyMEY9MbsbR2OMJpzMTpfE/wxudHsJr2/0TULWGzu3triG9&#10;dLdhcxLgxvG/zo4HVGXcC4BC7lVneHptM17S2vYNLWa+0+Tdfst9tJyP9Ypxhs47NnKnavK11E/i&#10;LxVYaZa/2dcRy2txHANUj+aRbhrdnjjM8TFfmgR3wqgAKXHysTu4271LUvhp8QG8WeH5NMkjhjeK&#10;OPSYD9nmVj5U0SxgLlNhOVwBtPOcGo5uXYVpSLC3WnXh8+HTlubpU2FZppcSQcYGV+9tIXtnpxgZ&#10;oqZYbTU5pZNKij09l2iKXTpHXyuOz53ZIzldxxuwenBVe0ZOx92/to/8EyrvVf2lL3Tf2VPCnhG+&#10;sb3Q4dbu7Kw08WmnWUczvcTPEkTOpiitngkWOBpi8dzD5fmPuRPjTxt+zjoPw6+HmmeMfiB46v7P&#10;UNdtJ7rSdPsLS2uF3eV/o/K3i+WHkCiR3TzIo/Lfym82ISfv7+1F4Z+C/hf9mLxje/G3x6+j+HYd&#10;Da/8dXWgSmDUr6wDL5dgJJm3LI/mxxRQufMEkhVWCKkUn4rfBj9m746f8FRPjbqh8Dw6B4V0+1k8&#10;uzkv5mi0/RbW4vXeGwhZEJ2os8zLu27Io2y4IRG6JU1F8zZlRr80bdF17njvwX+EeqfE/WdF0DWb&#10;HUtF8HTaomn+JvGkOkPNpOkszKv+k3TEQxAmSLzJHcmJJd4jkO2J/pT4veGdK8J6xP8A8LA0Ow8T&#10;6X4gXUV1bxN4hvtG1bVLyG50x7TRJbPVLmznvLYtDBFcyGLCJJHILWK0K5b6J+P/AOxD+0Dffs2e&#10;Gf2D/wBkmzn17SNPuIdS1zWIdS/s+1v9QaHUEnaEzSKI5JraSSQpKfPaGdSUeCMJF5PYfDLXPgB4&#10;z0/4HfHD9h/Q/GHiXwRHbQfavBupQQyQ26hrpRfWsK/Zr+fzJLdXlkYO6QmOSMtI7AdtkNVFPVf0&#10;u5+b3xKjsIPGV9p+n+Wz28zx3k8E26OecMd8ibUTarN8ypsQopVSCwLHLm06S/tDMzNmFxED7HJO&#10;eOc4/D37ffv7anjP9nL4s+LtBurv4S2+i2Pw/wDB32SbwppPg+/0xE1C4naR7Z4FiEaGPq8isqyT&#10;zOymRDuHlHhrwz+yx4X+E03iTxzaaFrWtX1wYf7Jg1j7O9hGVUtOqK+8PvbYFxuAhUnaHYklT5Y3&#10;bIp1ud/Czwb4a+Jb/Sb2axS6Mk0kJiikuLwRhWcj+8R0A7lcHJJ4wfYbTULS80yG/OpRnEjQmPbs&#10;ZCoXOeAuSWxgE8r0GAT4FqIistcljtpzcQRyYimX+JQeCCMdRjkAfhVl/FeoJaNp9tdRrHK++RWG&#10;fUAZxnoOe3Q9RmuOm/Z1OZG0lfQ9l8WX8j6T/ZemJJNPdS+XGsecqzZ6EEFWHO0+oxxXa/sPfCXT&#10;fiJ8erTT/Gej3GpaP4d0+61vWNOWGNnkjh2pDsj8uX7QPtUlsGj2tuj38EcVxvg3x18MNMu/C9j4&#10;k0V7iG2VX152tWhjuMGR4wxiBkwGYKygMHRFAwMof0W/Zb0f4Hab8KpfiH8FdEkht9cumj+3zaTc&#10;W/2uOD5d8TXCq8kZlaVGZcqXtyCSyEL206vtovSxjU/dx0PzI+NH7Nfx7u/H2q63rHwl1PS11Se4&#10;v0trqXzmji84BkErAefsaRFLj5myrkc5P0f/AME0P2ObjwV49uvi341is7hdP0EpHp99by+Zb3kr&#10;7Udcp5chVYrgHax27lJCllz9O+P5LK+1Rrt4o/ORNm4oAVXPIBz3z7da0PAazeGfhVBPd3Mi3Gr3&#10;T6hPFcafJbNGrjbGGSViwIhWMN91d24hFLHMQpfvLinW/dtGB8RtO8K69Jda1r/hLTbyYbmaS5sY&#10;5GPPqQfy9sV8h+NY9A07VLzULfTLHT7eKeR3ljhjhSJF6seAAMZJPTr2r6S+LfiYaP4WupWutkki&#10;kL75zyP8PTNfMeuSX1xPHFZi4i/0lWkkh2gxquWG7f8AwsQEOAT8+RtxkdE7ykZ07qJRtYbu1gEc&#10;0kqSNueZFuGmCSOSzhWYAldxOOBxgADoPe/2Hp/B/hPUde8W+K9Zt4LyS1jtbGaa6kXbEX3zKRwh&#10;yRbkMSSAjAYG7PiDQSzOqsrMDz+OP/11w/w7gb4x/H3S/h9ZXGuSWGqeJYYby30fWJV/0ZGVJrlF&#10;RtoKwq7lirYXJOQKqn+7qKRNePtKTi3a59//ABH+KeieH/j74R0TxDqfiLSrPTtK1DWJJI7QLZTz&#10;tGtrDFK21nkXyp7xtqbVDopZm2MBw37Y3jK+lF0/gs3M91pduiztoawyXErCct5BZ4nCsLuGxGwl&#10;cgSqxQ+WTi/s5an4V8bftTfFDxv9oXUdH0WHTfD3h2D+0JNUt7lYpG3XTSXBkZ7hJcgTBv3azOpO&#10;GzXB/tct8N/E+vxiT4O6Fb3moahb6kniaxsoonlsoJLtcbJFLzs8jRidcbSFQlH2FD2SqOVNt9Ty&#10;6dGKrxjrov8Ag/qenfCbwt4l1PR/Bd14Yu9aC6LpqzNbXHiKaF9SsoXItbmdN6KziCJ4JHVHUwS/&#10;NufbEfAfF98P2zP26NP8N6P4Zh8aaPNeWltd+D1vGtpvsYMaSvHdFVYKUeabbGTjDMQQCa9u8F+O&#10;vA3gDwwPEkGsaXqWmw2s1/ZR6XHFpl7e2JWIQmWNI+jq9lA0Mi4VZ5j+8LCKD5j+EOl678QtI+Kv&#10;xu1Twlb+OGh0ObTtB16XWGsXh1HVLmLTfKcIyvOz29/eP8yncbY8hQazk9Ejpw8f3kp/L7z9PP8A&#10;gjOnw6X4T/E34+ahDrXgFdX8StPrNj4w1xRollYRJLe2t6lzI3Ci1vwlxdPhStsh2go+fyr0z4he&#10;K/jB478X/GDxTewzal468WXut3Nwtm0SM9xIXAWEAKibWXChztA29q/Tn4reI/8AhkH/AIIc3TeD&#10;PHF9qK3Xw2j0vwrJ8QFVJ5E1iQyfZYolk3SXFvFqUsax4+9Zb3j2BxX5T33ivQtG+HGqXWm6/axT&#10;WelztDJZTI0kcrZjhICcr87RDPG3I6Yon0RdKLlKbS3aS9EXPC/iXUPFXwl1Txt4S8J2+k2kmqMl&#10;wdSvpZmvWknX94EAQAb5SMeZhTvA9Dx3xL8a+ELbwlpeha9pSTaxc21xJMtmnmQgPLEI32SufLZU&#10;ikCkFmPnSZwGGZrzx1Fonwk8GeAvCOr32pfZdt5f6X9n2xyeZunKk43/ALqQttwCrE5OcAVw/wAZ&#10;PFWo3njdYdQ0ixtzY6Pa2kNrCpK7fLWQliWyXJdizcZJPA6Dnqy5UrHdRUpVG7dX/kSeKPHuk67a&#10;2un2XgKSCO2t/KnYo266fzHbzJAzsA+GCYUKu2JDgsXZo/CvgrUviZcpYeFtOSS64EdruSNo4kY7&#10;5NzEKoUYyCerADOTiHwzqUs1nH5rLGyyRp5jRhjy3Jz26N+tSaR4juZtTt7S8luEuZLhnu7gqq4V&#10;ohvww4OGy/4is/aSjG50WstCbxj8DPHmnSySyWlhJ5KyeeYNWtX8pY1BY4jlbPB6DnA6cimfDK38&#10;Ra/Pa6Ta61eQpu8s775oo1545c7QB35wBknHWl1W7e907yvOY+Zb3T+Ysxy7MrqF98lB9S2OlY2n&#10;eI/EVz5trZXpgt7e3aeOzVAPu8kDjJ4LHvx7DIlznKILmlGx+j3/AAREsdUS18eePdUu5ZLe5t7K&#10;G1M1wzbWje4ZtpPQYkj7nOPpX0Lr3jfxRc/ELWPC+oxlfD9rotpdaXcYHz3ssl2l0uevEcFmcE4G&#10;8Hua8R/4I2+F4ov2QvF+neI7GO6tbrxJKpt7q3V43jNvCcfMCHXBx6A7scg57y98C/s2W39tWvw/&#10;+DvhGz1DRbj7HrUtr4Zton+1NFFcDlI1LDyZ4W+rHuDXbR/ho4ZtKsz41/bo14p4/W0jkX/SrOeP&#10;5W+VPlaTI+nl/rXjq3+jXPhTT9UumjjSC3VGS3hTbI/mSBxgt84wQ56AAgEjIz6J+1dY6NZfEefU&#10;9OsrO2Gk6eZ1SG3VVkbZIiqRgZ6ng564r598W2sD3FtYvrjNp5gtWs4rWBvnZlEjxEnOTEZpF3MW&#10;bkEAh81wYyP7xI6sPFSp7n0D+xNo2g638WtQ07xGZPsd74ZMkczbZPLZbiEnqNuMSY6EY7HnN342&#10;2ejfC281zwBpl9cXWzSIZrG81S3ikMKl9iRrsCxrmJvMOVJKFD8pjCtc/YW+DV94s168RPisvhm1&#10;tbi30y91qS60+KOP7dcxR7Wku4jGI1MfmMSFICMSwVTn6W8f/wDBMfRo9PutX+Ivxs8cXvh3StIM&#10;LXV54Y060u4He90+GOxeHevkyPDqMN6i3DRuLee1Ekdu5aKLaUqawMYfaORwl9acr6aHwL4e12Lw&#10;7d3METSNcNDIVt4pJBukLwKuSoABKoQuWAJ2jjcVrpNJ+I9+0dvqOuwXGqaba215Fo8EcKj7OZS6&#10;CZnjwHVJSsw3ddg4AO0dZ+y18LNJ+KfgvXby++HlxeXWiahfahp+tr4ijt2nuEOnRCwghkOPMImb&#10;nBLtNEFO5BHJsfDDwn+yp4++Bmh+FPENz/ZPi3TvA/izVbuPTdevpo9Zv7exSbSV8piP7PYmC5V0&#10;bLTSWxYDZPbGuWWlT7ztjy8up5h8WNStbjVZtL06G4ktb64t7m3aSQskK7xJ1PoBJjthicA4rzjW&#10;dR8rS2WQ+ZEs033pGVQd2MsVPIyRgY6qOozjUvbiQeIkEdhfmOW7MW2HVJ5BEisNpO5myBuO5W4A&#10;cc8kDm/EOmXXnXUUehy3X7yQq6s7LCXdsDHI3HA6YJwOvNKnf6u2u5XLHmSZ9DfBO1m8b/A+PT55&#10;mZbq1u7edvu7FeSULnpj5SCAMcYx2r68/YW8SWWveJr+z0yO88yJpDJ9ss5LVTuVeUadUDD5G+6T&#10;z9QD8n/s4Wv2X4PaIsLnbItydx/6+puR+Ir6g/Y41e3vPEJu7ebMF3F5kBVgQVMZbrn0x/8AX611&#10;4fXlOWs1GMrHsP7RVqR4fkmihWdl3HargsqhWPfGPlD9ya/Izxxd6ZH401mOe+h3Lqk4ZTMoKkSN&#10;2z2Pb/8AVX6tftH+MU8MaJHqV9FJJHJOtmqdw1yfs6Hsesw/z1/K74oaXJp3xF8QWdyRtbWbt9uO&#10;Nryuwx7EMK9DlkpaHPBxtdjPBOjeIPFButM8H6LqGp3S27SxR6TZyTyhkVmJAjViwEXms2BwiMTg&#10;KSPQv2SrzxV8K/24/hDP4w8O6zo+o6X8WtHi1TT9U0W6E0eL6EzwvCsXmM/lyjdEqFisgUA7gtcb&#10;8H9XtfBvxH0/xdZXtvb/ANn3CXK+ZDI0cwjkVyrrENzoVU7lBG5cqCScH0T4z/tffD/x34++G/xI&#10;8GfD+90vWPBeowah4ouo9VuluNZuoRaqJ4nDt9nxFbMdyCNlPzbidoTycZH98pHdRjzQ0JfjP4h0&#10;DxF8PPDPi34a3s81xL4fubjUxJavGHEeqahGYcyY3BYGgYk8csqklCKzPDXx703wl8MdJ8MXfg7V&#10;Ly+s9P1Cwu1vpt9glrewT2zskcd4hZwk5xkqS+xnZ1hSM9R+0PLp3hH4s+Mvg/p3kT6H4P8AG2ta&#10;XHcGzaPFvHfXJMZHfv6KN7DB7+D6kL7/AIRn+2JrhWVrwwkeanEmNy/KDkghnAOMHYSDwcZ1JSi1&#10;JdVYmnGPLax13w11Hwx8RJNW8H+G44rc3UL+TaeINQhsLeCEvKSWuWO0CON1Qs5UkBQOCFHJ+B9I&#10;8TeJFOpwWdkyafbrc3ha+HmCJv3ZcIFJHzYB7KWUEjcCfUP+Cb+rDQ/24vhsNV1fR7PT9Y8TWGke&#10;ILjWlj+xJpt1JGt7HdLMDE9rJbNLFKjho3ikk3DaxWuD0238U+GfinqHiHQp9X07w5JfXdjJq0m6&#10;SG0tb1GYxNLEqRmQwS5aPCBjn5QDgEJc0k+36FzjHVL1NzxLdeJ7fxJpviKbVdJuJLibfHmGRmDS&#10;4llySQAfvqFVvm8uRRtIFXdf8S614jjuNb1OWGxumvGjuL+G3ka2VNgWKOPdN8j7YpGIG4tlTjJJ&#10;bnviLH4k0qy02XUtLube30a8kt5IYZCs0Vyk4ZywKkKyGVByRluxwSG+emqfbPD0Ov6ksck4n8N2&#10;un3iMkm+Qsm9OdpWMzZZ8PygIFVOnL2koxX9bmUGvZps3rPw54suGurjULnS4fJ0Un7XqEyh41Eu&#10;DtTeGll/cSKq4LbAxOVC41NSXV9KGnahqOoWl5b3Frbi1023iljivIYv3YX55ArsdhjLA/M0RLAj&#10;luJ1UajELG+/sm1uH065QT6fJqSyCZUlEhjmXdnBKMTjgAr1JwrtG8NXGs6wvh/UtSiuGtMxxr/a&#10;EeHB3Fgm5h8vDPxnI5IBOBVOjPls0xSmt7o67xHo11d6XcW19b2qz2kkjNHF/rJJUdgVaRsnYDK+&#10;07xn5c7tgK118WX/AIg0mafUfiVPDdarqMXn6OumLDbyXcaELckowTIErqN6gYlYo2PMVaVpLrlz&#10;p6hoZ7ePyIobi4gj+1weZ5/lmXzd2xTgDI5wGPIOKY3jO+iu49Ia1t1WJ4bHUrqKJZEtrSPYhlUS&#10;bQ5YeW2wgFyOME5GNTl5jaEbx1L17o2sahp9rcH4kbmBjW6jn1a0MjFQUMgmJIcvy3LsRkg8gGsH&#10;X7fxLqkFrdah4ihkb+z4bNlsXhljVFiEUQL4bb8iBiBzkgAD5cdFB/wjyW82mX960LNG7SQnTfLl&#10;dX43pIzMx7Icr8uMZYYNTeD/APhFZEnsxYzR2/ls3n6lqCzxzSZGAsFvJFJvddoJYuDsxkAiuj2M&#10;uxn7RR6nmfinSbWzurez2ySWz25tTILExt8vEch3EhnZNspx3cfQXBeTzaXa62Lpluozi88y6UEu&#10;DtYsY+clhuC9cN/FkZm8VabDILq0jnvJntLcSW+oXl1u824XkhVywyYXiXbk7RbnryBD4bt4NV+0&#10;aO8Un2W+tPtUa/u1G44jlYEclifLYAjjn6nSNOStc3jUUo3Rq2jxSyLMYVnhZQWjVnjV16lC2Awy&#10;PlPfGcetcdomr6poHip4NLu5rNpWaymi0y8kyUckiJTHJkg/c+Ytnec5PTqPB0v2zRzaXUoa6spm&#10;t5k84sSR0Izx/Cec9T9K534jW9rZauJhbp/p0DLKJJCWDrja+OgGMAAf3eal0+UqMrvlG+I9IluW&#10;uNLuBOztI0sDXA3yMz7cOWaReS3lx5Ktw7tk7RXFrEWi4X3rtb2dNY0i31qKxk+XCXUccMSblIIY&#10;RLtO3BZ1DcnPPGABga/aSWmrsjeWrSYkbyTHt3nqyiPAVC2SoAHyFSOCCSVJaWNKMtLMzdOZUu1j&#10;lbarcc+vb/PvXbeH7mMWkMN0HkazbyZrdY2O+Jy/ltt3feWR3jDYwpuEOcgCuJvLcxybQuBjKnHB&#10;Htn8q6LQb+1lZbi+aTyZlMOoKnUxkYfGByR8rgcgMq0UfduiqyvE6qTWvFfhC0bT9F1ue3s7WQOr&#10;Wd8ypJHJjB4kAJDbSAqncGYscKRWPrWta74o1L+y/FOr31zDdJ52ltfXEjm3fnMSGU5AzuU4GWZE&#10;xWxdXF/JZCO/mt47iyk+yXXmb1Ux5YOvyIp24GQqqdkTRLyTXVfBX4PeDfF5bVL3xzayxwzNJYtH&#10;aMypcKBtMmGWTb8qfKNuOgByc7RpSqS5YnDzxpRbl0PM9K8M6jrWvLp+iaPc3s+o7j9ntbE7luFB&#10;3IqpF0OeFXAVZYy33a9a+H37Dn7aHxNhm1DwB+yj8QtbsJFbzrjTfCN1LEhAbPzhAnykHuAAcZ4N&#10;fSK/s0eH9Pgtr74bf8FDPFHhGP8AekW/hP4cR6aImfqGkj1hHlGNvzOzsMvt6kHj7f8A4Jxal4Xe&#10;4vfhF+3rY4uIxHu1DR5bCSWMN91ljuJtoB5xkgEDHY10f2ZU6p/ev1ZjLHU5faS+Un+SRwXxB/Yx&#10;/ao8F/Zbz4sfs/eIPD83kqNQt/ENm1ss6oAI5h91skZU4IIAQAnJI4fxT+zZ8UPEmrJf+HPCkkwk&#10;kmW+mu7y3tyxDnZKQ7gAlNoYAcFT9T9JeEfgB+3x8BNc0vXfhh+2F4Nm1LTdSS703Um8QSC9tpfL&#10;ZD5MzxebbgoWQ7HQkM3zAsCfb9N+G3xG1vw/eXP7QHwP0vxNDFawt/aXhvU7S11iR2uDcTyrdPLA&#10;bl9pkgD3bzrCjIBE4hh8m45NHzXrYzlmVSna1peia/O35nwx8Mf2dvjLd6va/Dmbw/Y3UmtSBdNs&#10;rHxHYXks8hwpRI7ed2cn7uwLk5AHQE6nhP8AZZ+JOg+JZra18R+F5LT7Q0M1ne69Es0UyuQY3SQq&#10;Q8b/AC44Jx0B4H0p4z/ZL0XS9P0/WPCnxL0fQ7i6ka51bQPG/ijTo763ZDuRFubSXFwTjLZ2dcDd&#10;tyeo0T9lb4zaxpOlSadJD4wtNMumubixkubTVbV42vDemBAtwksCO7y72idZX8+Uh0LsWtZTGMve&#10;TfowlmHMnJNL1T/zPBfCvwd8Dzstv8XLTxdFMVMFne6NdQW8d08ZdAwM0KqpCho1fzHLFSFOX21N&#10;cfsr+Cv2jrWHwl8Fvhxrllrbaoq2F34h1mwjt76IAB0lmlaGOGQn7qhCwG1VJBwPUvEWmX/w6kg0&#10;W7tdW0G4it7Z72bUrJds94sWJJvLyYEQzmSVI/LJiVlTezAyG14VbQtWvbe58Nalq0Gs26q8beHZ&#10;I03urM5nk86F/NO8s25mIBPHBrrhluBs1K/zWv3/APAOX6/irpxt8tvu/wCCeseBP+CD3x5+OPhj&#10;WrL4K2Ol6Xr/AIUvrZL5tSlkR5oZoQU8uQbrWVCfOYrF9yTzAwQ7N5X6cf8ABPX9tTR/ih8CFssJ&#10;ajTdt1eHSZA0jrMdryHafMmaKdRAflAWOWFsspyCuStw/To1pRpzbjfRtpu3Tp2PWoZlLFUY1HTj&#10;e2tk9+vU/En/AIKT/t0ePP8AgoR+0XZ/DP4TajqVz4Xt76Cx8OaU22NdVv2keM6jIu7YHczGNCSN&#10;sIBOws9fW37G3xQ8FeCfgRffBzwPZr4d8L6RcT6ZJ4mk1aKWPxXebil5qcSeYkflM8axpMJpEaO3&#10;KLtGI0/J/Tfhl8RXg0nWdXxoZ8UTRQaP/aSyRNfWsvyvdfMQfsp3KgkwVlzIFLGJgPp/4X+GfFHg&#10;KzstO0z9r+40210+8hijtdJ8PRWTQ3gkRQiTySclS/zO4QrgkkjJrw8Q48yVw9nH2PKtD9R9P/aE&#10;0nwZoqak88MN2Lf7brElvvVxbgwpHGw3Hc7hJ97bgWBtYxFbxwiIeR/tIft4fF74N6RefGG41aTQ&#10;mtLG407w/oUaMt1Nc3ImKCV4wAi7ZTMzgRJP9m8skuyV82WHxd1DwtBcNc/tOXniBbGaK6+3ap4o&#10;hkk+1OgG6J8rujjXP3QPLMwGcFgviHxR+Is3xi+L8ek6l4na80rRZpHmvIZGl8+diA0w+cBtxQNk&#10;gbliiJI6DLlc3ZGEqcVHXUtNf/8ACM+H1ur2aa61S6h+36lNcMxkeeX5kZmOd/DRMGJ+847iuAth&#10;bys13eRxNJI7Ou4cqp7AHoMHp2zjpiuo+KGsW8qweB9C02SxtYdlxdSXQU3F5I0eQ8uMqoCuVWME&#10;4Em/OWIHNO22PEBXb/CGrupxdtR0o8qb7nnPxS0CEF7qzstskk7bU+UNK5BI7Z6nnqMdf9nm38D6&#10;jp+lya5qFrIjLJGIWGWwSQOnUYJHTr7ZFeuy3UbHzJxGZNx+YqPl/X2rjvHutQaxew6RBL8tspld&#10;o2TapPygA9iBuypB6qan6vGUjb2mhQ0m1j1GJLm+gi3BtsK7/wCHOcHLc8nPOec47Cv1Zs/APiz4&#10;R/CHw/8ADfwf4h8O6bH4f0SGyvFXS7m9inu1GbmaNmuYm2y3DTS8quDKeFHyj4I/YA+H138RP2lP&#10;Dbot/PZ+H7j+2dQnsTExt/s3zwtIHXHlNcCCFtuWAm7feH6D/FHVRa20elNKu5sGUFiCmRn+ozx+&#10;dOUIU9EY1Jc2h5LdW3xG8Rahb+G9W8Q6HdR6pdLaTMvhy5jjVGBLB5PtmIwVUoJGICsy8H7revfE&#10;zWl0yyj0OwTbb28SqiySCV41AA2F8EtgAKOgwOMcCuR+DujWepfES413VIVUabayR2kd1pUj+YWV&#10;XcB920Kw2EMVAV7cgElgA74o699s1Vo43Crkk/UnPHr16e3fqbp6GUr6Hgn7S1p4W1e4isL7w5YS&#10;yPulmaSyRi3A6nHPB/n+PiS/DnwJfy3dxc+BNHaGNhFEJfD6L/tFlYjDq2QMBRho2GSchfRPi/4p&#10;gk1+8u7ubbb2yBmlk58pVG5j+lcrYRPY6dDaSW6rIq/vRGzMokY7mwW5I3EkZHHoKdik2jlvFngz&#10;4f8Ahvw1fa1B4F0lHit8QyLpMOd5+VM/KARuIzntWf8As0eNb/4c+Obj4qafo9k11oen3UdvcWti&#10;ZJbdzAfNmVXZgzrGSqr0Yvg8ZBv/ABZnvHsbXS9OuVjkZ/Mk3W6yELjC8NwQck5x/B1HNcDaafrm&#10;l+DLm4h1hi+rzQwW6jbDJFl1maX+86hYVjdMYHnjJ4Aa0utzKpUvLlZ01j4j8V+Dbe3g8NfGTxJo&#10;t5fXUlzfSWF1HBbSXEgRJZUjWNfLZ5PIYjd9wMABxjB+J+pXuoX0N3ceN7zULmaT/TL7zkOofvBG&#10;ZN5wvG2O1IK84ckkgACnL4avpb9YptZWSecKA2SAzAgBTyQpyy4PPToOtYWp6cfEGsSa/Zar5kVx&#10;Kq6ddHcsn2eNNqZUfNkx+XkkBiVPGSal2XUUebWRp6dqWlafeXmq3GrXlnNbwvcQX019Nc+UrRrA&#10;jNGSVd/OYnBXp1OMZq6b4uv/AA7LHo1xd3Gi6hNIt9ca9aaZbySTXCwTNayLM3+oB+3qjIhjQDy2&#10;Y7guxNEi1aS2vNBh12WO81XUEsrO1a0ZnuEjjzdRO7gCIZkT5icgxHsMjtv2U/ht4Z8f/HjUvB95&#10;8S/APgfSEs5o9WuvH+tCPSpLBlczeU9xG0r3Cyy2xihhha4VlEoCGJpFUfdR0R8zu/2nP2hvFvxf&#10;+Gvg/wCE9z8So9WsdFvo7ZNEs4jax2UcMcYWVIEIhjeR7eHcyAHMp3YZyT4z8ZpJbXwhL4XsJDA2&#10;o6laWIW+uH8vyiTJuG88APBHk8gBj/errvHXh/RPC3xHtfBvhzxJp3ibTdBS4ax8TaXNOLXUVluH&#10;kZ1M0SybP3UbAugYiXnqDXCfGjU7NvHfhzR/EESx29rZ3F7NdH5lzISgAUrjhoOOOrdOK0+zcim3&#10;zryuyjca6vivW44JI47D7LYTS6P9nhOSJBhkfCjAVmkKjGMlgMgDPmHiq+ttQ8R3l3p0jtby3btb&#10;tN1Me47M5/2ccduleo6F4s0zwump+IvD93ZrNdW88tjZ3FkWntnMJkYszRBAoICoEbcC2RtbNeWp&#10;c605W1S627I1KrxyOAOnNc9Q7MKuW7N23bRf+EUhtShXUJrpwsyqdnkmMADrjO9s9M9Oex6T4V61&#10;q2lx61Pf+HJT9s8O3NjbyJp7t5TyujBgcdSVI5ycSngjOOc1qyu7TS7S3uoY1jMAkjkgypm37pEL&#10;DjptIzycV2PhXSPGP/CGa1aReJ3uJLq6tksZGlDNvVJGZFZzuXJkjzggn5c5wQJl8AXio3OT1CPU&#10;bHQ5ZPEWl3EP2e3j+wiSMoBN5yOQD6lfN9aueIdGTT7KKC3sXmVbZRdTeSyravIFUx5IHIJ2k9M9&#10;M987X2ubeFpLy+a5mn1CMwrKxYoirIG5JPBMqfX3qDxZ4c8QeDtQaPxHpgsry4h86C3Pl70Akdfm&#10;RSdnMbEZwSNrAbXGa93ZlRjzWsz9Z/8AgmTp1zp37Dmk6jqsAiur2aYXMZkTgxSNApyOOViU+ucg&#10;55zr+NtM8N+G7XUJtEgEd1qyx3mtPuz5twYEjVhx8uLeGBe/3c965n9nDRPi7pn7H3g8+AviF4d0&#10;y1u9Hhvfs+qeD57yR5JwHb547+EAZY5+U5/nXsNK8X+FvBV9Z/F7X11bUZrie6hk023+yRxxSSyS&#10;xKyu8zbRG6BVDgquFJYgk91GP7tHm1OX2ktep8b/ABw8M6x8U/j+vgHw5eaes2o6exX+1ZJUt90T&#10;xvtZogX+ZdygLySwHevH/jt8NvEXgXxnY3/i3V7J1ur27gt4LQs3lLa3sttLgMiAp58UwU8g4Oec&#10;4+gvDHiHwfpH7V9n4n8Y6nJa2MF9KhkW0+0PGi2rSgDbHI43PGF3oPMQHcjRsodaX7amn+FPi38Z&#10;GvvhJYx3lnp9jOYbiaSeFEuJdVvLiXb+6JkL/aElDBgqgNhtxwPOxlSNOpq+h20ZSjFJI6v/AIJA&#10;LrnjD9rjTfhzY+MvE2l3GseG/Fv9nW3huZAlxeR+GL545pQ7qrSRCSRoso/70jAAY173+1F8YNY+&#10;B37K6+LtG+AHhWx8DfHTwzpWofDt/BN02mx6Driy6f4i1owRKCQgu72LTI/LdTCmkwRjm3Ib5u/Y&#10;J+LfhH9lz44r8T/EHh+1j1jS7WSfw/ciSTydNm823W53ypyRJphv4DncHlljGwnBTqvHuu+Ibb9i&#10;z4E/B/xV4hh1KTwfp+r3tvqH2uaaEW82ryPiLzEG0qkbrt4BGOe1c9OUZSXohTlb7zw39j3xB+0J&#10;qfxeX4RfAbxdqNnq2sa8BaWNnq32GC+jeYJcw3cwubVTbSRLtZXmVGO1Pl3s691+2L8DPCujweDd&#10;V8B/2XDea94dtZPEVpZ3CJYWl5ZWsNjLAiiPfJO3lJcySu5NxJeLMqRhw0mT+yr428E+Cvhl8VvD&#10;OqeDr7UPEXjvw7caPoOpWt8iLpUO+6+0SSK0ilwZHs2CKp5jzvX7sj/j3r3i74ia/wCHtH8deGV8&#10;M3mmeGrbZDHp4jmvfJCxJeyl4laWRo4I4uSyhbNVByGy61SNOq/T9DSClKOh8/z6R9r8Sx+JtLWP&#10;+yZdWikt/JuCfKV5QwRs5O4HdGeFyQGBK5NdXq3x41Xwj4I1P4Qf8I9psljetJd21/8AZIlvILiU&#10;2RfMrIzmLZZqoRGjYNKx3lS0b+l+JvCD3Pww1bUvC2ix2troegmbUZrW8cRtjbGH+eRsbmZVEYDH&#10;k4714V4j8P2+u3t/J96fyYo7eaSbakWMMSRjkkZHUYz37GFxXNQlNKwVqdOpJRqpNfqe9fsr383i&#10;T4UWVhp8TTSaVNcQSLHk9ZWm4BHAAmUY/wD1V9Mfsg+E9S8GanZ+HBA00em2Mdos1uMiYJGULAd8&#10;44AGa+V/2SrJtF8A3drcJ80mss+3zN2SIIQTnA6kE+2Rya+p/wBm7VbH/hL2aOTd+8WJm6jcDIp/&#10;EMDn0xXfh/ecWjlxDXvWN/8Aas8VaTqWlx+HL7R/E/mC/s7mOWz8I6hMh+z3Ec/LxwMv/LM9T0Nf&#10;nl8Z7+HVvixrl0kcqKbwbVmgeN8eUh5VgGH4gGv1C+K8ttJH9lVk27cMCcYDDb36Yzk+g9K/Lz9o&#10;a/tLP41+I45HMe68jkVWXGQYI/0yDXfL4jno66Jf1oHwx8Kal4kvtQe2kto10nR5byZZpignjDJE&#10;6g44bEhYdfu4GTgV6BpX/BPn4qQ2cfiuPXNKvo9S01pJbS+LwTwpcWzbJGRgRujaRGIDHp1wCa8v&#10;+HmtX91d3Xh/w5crJd6pZmEwsvMypLHcbAxGFP7kc8c8cA17d8O/iV+0VH8PNL8EfCf4aKsek6pK&#10;l74j1TUFdb8SStcCOPcVxld6yYZyBKoAjIBPLWjRetQ2X1mPwaeprftQT6Dqnx18aeLNA07ba+NW&#10;0PxPLb3ar97WNF03UbhDjuXvZR6knqTyfH/2ctJ0XV9Sm8M+P9NkbRdcsdSe41a20Y3DaRJZWss0&#10;8o2yRSTmKLyZDCkiI5lRn3vEinvv2g9f+J2v+M9W8f638GL7w3Zrp+k2UN01nI1ilxZaZa2KlX27&#10;fmazWZRuOPM25bZuPmdtrlzo/wAQbiC215rdZp7m3On3GsR2sIWdY4p/9ZIqRiWKNVJOMjGSMKRw&#10;T9nKMbbXOqHMk/Q+7f2zvhx/wT5+Dktr8D/A+lax4p8Qab4E/s/SNW1VtPRPDUglW4w0enWsF3d3&#10;U32OdHNwrxQJftJIFFypHwv8dfHcvxV+O2u/Eq5tb26ZP7Ltz9uvGmuHNtBFbjzZCvzO6W2/cARy&#10;ODyB1vwv+D12Nf8A+JM7azcTW8kd99j8XWF/BIHhkiYbYpMbmSR+pLDnaQcmofjFpXi7VbrTNX1i&#10;yur6Dw4smj/8S3Ty3kHf5yqqbAzIGEuXZNwMiK2OAJ+KOkWv6/4Aez5I73b/AOHLnxNv9U1fxV4h&#10;8U6joVnpt14ljmvLbaq3dvaW10js8hVwwJYbfnI3KW3KUcKV8t8CHSgsU1/rf2Hz43try48vf9nt&#10;2Bjl+XGMmMtzkkZyMHBrorTWvEPi6yudNlGswzQ6UtnBDPY+W88cSZit4wOX3NGqY25+cdc1T8Of&#10;Bv4yyW0jf8K3uPKupN8bXE8cLKWOMeVJNGcduR9a9OjLlipJdDl5HGNmzHg1HQzok9jpcDedb2rt&#10;CupsoEX8R27iOepA5yTjaSQaj0/xN4habRFto9PZbq2tzb6esMTDfG/kYclMqzvCWIyMh+pzXTR/&#10;s4fFHxXq9xqrtpdrFcXMjXd9fX8cUf2jP76Ham9vkl8yPOMHZkcVd8N/ss+Po9SsPCmnaho95dSv&#10;eTxXmkedcGCPbCjtOBEG2L91Ao/1kvJA66VKlXSVv66GkIUHdN/r6m14R8e+GNet9a0u206xhurq&#10;JZbdv7PBZvMaRTtAcbU2JEPu8M2SDuGMjV4pR/xV+narIlxb75pIGZpIZI4LfcFYzF1bzCp3qSQ5&#10;nYAKrkHuNH/Ye8dWInh8MeL7mS4aFYJvtHhVrbZG0qMxVp51GVKZwMkhSAOeV8cfsw6x4O8AXniE&#10;2fiCZY8W+q3WqNBHAUfKBkjjw/MjIvViAx9CayxdKUqKbjrH8jPDypxxD5ZaS6HnUEHhrxDdR6n4&#10;U8bXM11bwsLrS7dkkZgI9onj+0CHdGgIaRCPljDNvdBM0OEL7wr4h1Ftbs/Ft9Cum7mFquijzDG6&#10;4kmKpcKdqnqF3MFwcMA2PpPw/wDse/C+HRdD8QAaPpv260hvdNvL7xRPb3QEiK8cgT5UEgDL90YD&#10;AYrcT9lfwP4T1OG91u80O7mupDLc65DpLXBCqq/vDgssTZJ+cHLhlZl3JJI98lTk30KValzWsz5M&#10;m1S50LUU1B47iOOxuAXtxGnneW2RIgR+QQhk7fLxnHWs6zluPD2qLb38S7rC+YrIsfnERsdsgGCA&#10;Tt4zn7y9e4+qPE/hv9n/AODfxS/sXW77T7jzoPNiuvDtraf2hZzEKTDMjqGkLB9yurBs/Iy5Ad+U&#10;8QeKv2TodakutI8D6hqlxcu0lx9oVY42Ocnly43EnJwqg+tYylSjrKSXzKjUcI2s35nkbW+oaF48&#10;jhuT5EesxYCSXAVRMgC4xn/c6jknjpWj8QfAniPUfC81g9hc+ZDMk8Xlr8vmD5cEqDn5SwA4+Y/n&#10;1nxl8d+CfHXhC10TwT4PvtHv9N1RJ9JvGuomXy0ygTcAGjGCGCqOqr1xxpt8czeWSjS/hja6fMW/&#10;4+FumkXce2GTsfcZ/WueWKwsftFqpKya3PIvhn8OviBLqsltpNotncLG0sN5fWbxxqTtyC3lMd4+&#10;UoMYGWIII517z9nL4ha5FFFf6nBPJG21XjmkZFJyDgPGgHCxjg4AQAZzhe01T42eNbqA6YunaRbn&#10;PzT20LrK2SRgnftAzjoAelZlt48+IviW6j0LTtUuLiebIht7e3EjMRn7u1SxIAJ46AZ7Gsfr+F2V&#10;38h+0qc3MrHPwfsx+MLUt/aOsQ26HaFlZVAA4PJLjnn65Na6fs1S2kuL74g2Pzd44Wbb/wB8nB6/&#10;579Hp/wk/aC8QXv9kp4J8S58vey6oj2kLDAcEvcFEx9D1464FbHhv9ir4veN72Ow1fU/C/h+8l+S&#10;OPxF4kijEnPBBi8wHPbn8OeCOKlL4KbYSqze7MXw38M/hF4dhVPEvxFs9QmNqkM1tJCIztVsLgM6&#10;4+VUQ/3hEhxlcnmdB1Xw34W+IF34asLyVdNa88zT7ppD5aw9QrZzgrnYPm7ZHBAr2rw//wAE5/HO&#10;t3cvhy18UXE2pW+TMun+HJntzjsJ5pI0PfnjORjORXYap/wSwv8ASPBaeLr7xI1hcW5Akt/GGp29&#10;vZ3D7sfetXdlH+yXBAPU8mtlUxU9oWIVSmpe/Lc+a/CfxC+KNv4Xj8TQ+PdVm1CaQSzaViP7KscT&#10;lTCYm6t8nJ+QqCMsSdw7/wALfEJPHVhLqFzeXltfQTeXew6XCdpzzHMscrpIsbrkqCoPBXnBr0uf&#10;/gn34QhttPdP2i/C+mNdM0zQeFfC+o6pZrK8YU/vxfS7DzznaGIBYNtXbxV1/wAE89VTW7hPDvxo&#10;uLVlhjW21K38P7EbYoCtzqHmLnbzuQkZYgDgVtH61He5vKphKnW3y/4BpW/hnxZ8waw8eRwsu5ZJ&#10;/DU6qwBxncGIx2/rzVmXT9T0yJftPirxNbmJvmSbR7hduDyBx9e9Yfh3/gnn4tj0d7LxH8UNMnuP&#10;Mby5pNHuZdqHHBKXceOecbDz1OMYtWX/AATL8XXpjk0z4n+Ho9rHcG00wl25OMSXoY+vtmjmxHRP&#10;7zP/AGXrP8Dr9U+PnxD1TRm0jVf2i/Ed9Z7VX7LqGoXflttIIBD5GAVHHOMce3h/jXx340uPi9rR&#10;l+JXijS7eLSYZtJ/4R27YNLM+yPzGAdNwMrSlixUkDAZeK7+1/4J/atperR2urfGDw/ayLKF8uPR&#10;Xmdc/wB1Vvt3OeAvXPFa+s/8E+/iZBqFjrPg74iQ6pNZljBdw+E7y3YK20Pv+1XQjkBVcFTuBHUd&#10;qiX1jzNIfVY7NfcbPww/bY+KfwKht3uPiBq3jTw3HDarqugeOYUubq1tSIHS6zIW/tC2uJfMY28i&#10;SokQiQ+aNzNyfxx/aX8Jw58EQzsuhtDFeWNrFpsM0M6Nyh3pt82ME4BfeCQSATg1paT/AME+v2hF&#10;dotR8VaTAJrUxNdfY3kmAMYjcN85XBQFQFbCq5VQAqbKsX/BNX4reGoY3i/aUsrG3EzeXYPp88Kv&#10;827aMOp9ce+a1jjsVTjZGXscE58zsvQ0v2Pf28n+DHi24tPiqtlf6bqyqZNL1PT4oLOK3WN2hngW&#10;2hPlS+Z8rHYyyK46lQylY2v/ALHOi+GLqa38bfE7S9SntMLNY30NykyAkY2pc3iuyZIOVBUY69TR&#10;XVh81zKjT5ISdvNX/M5q2DwFapzPT00PDfFnxV8bePLiz1Lxp4v1DUJNKsILHSVvLt5ksLOHd5Vv&#10;EGYiKFN3yRqAoBOAKraZ8T9R0zTTaWtksk0shdby6mfdCc87VQgZx8vzh+GYDGRjlL7UYodmFbcy&#10;5fnODntjHGPXnP1rdtPhD8W9Q8AH4oWfw91Obw+siJJqgt/3Sb5CisSM7UZ1ZBI2FZ1Kgk8V8/yu&#10;1zsipM1vC3jnxdoV1Br325JnhuvPhW5VJl3qQQXRwwcZ6BgVPQgjIPp3wm1q1u9HudYvZbdWinjL&#10;RiFU8xznoRyRx29PevAruO9tpvIZl3KpLbG3YIJG04+h7nrXon7NXg7xL8Y/iZovwj0bRb7VLvWr&#10;+OzstN0+6gtpJppCAimWb92g3kcvhfcfeDjUdN3FKm56M9DlvYJ7yS9kuoJWm2MrQngKVHyjIHRs&#10;jPTjgkYNYOv+MbOwvo9OETNMyhtvO0AuAecY4BJxn+HkjIB/Xj4Z/wDBv5+z9aaTDpvxW1fxZDfK&#10;u1rqz8UWhN6xVtzRQi3Pl4+Rtv7wg5Xc4Oa6LSP+Dfb9gDw5q0GuTQ+MLtnjYQy65rkDQyTFujRP&#10;bgq7YbpHjBPoMa/2lh49Tpjg6h+Ms2rpBZvfSOm1UJaTlscHkgDn1wK4O3vJ9Rnmv2iZ/ObewKqS&#10;q9lLtjoMYOOgzX9Dngj/AIIn/sQ6c63U3wOOooIZfm1C6NrHFJnPJjWGQjjAITHOTnGR2Gn/APBI&#10;r/gnhBt1XUfhFp/nQyKy+V4gv3kC4y0J33DZj3dlCY5xjOaylneCi7amiy+s+x+XP/BKr4T23hz4&#10;Zaz8YdZ0Oza6166+yaVfSwsLhLCJVaXD8L5UkpQYX+K2O77q46r412el6v4gurxZdcfy42PkWGt3&#10;aNIy5O1EjlVSemB0Jr274ya18Mfh/qeqeF/hFp6aZ4X024mtvD9krzSCG1812UkzM0gLMzSHccgu&#10;Rx2+YvEmuJrmuRQXcu6HzzeSPJbrJHmMjy1JJ+Rw5WRWwf8AVHpkGu2L9p7/AHPNl7srHqPwt8Na&#10;j8M/hnJf2uoalZLfNIzbbpZbXUArNulEcpldH877QTk5+fPOdx89+InjG4u9Oubm7ePbtx+5UKxP&#10;qrDBz17jHt29I+Jl/beF9Gt/C2nfYdtpaxwyy6aD5NzIqANMN3OX++TjJOeADgfPfxi1wRaR9keV&#10;czSDtjPB/wAK6Ir3bmPNd3PF9S0DTrjWoyNU1hZZJ/MfZ4iuR5ar8xbY8hDKW2KwxnEnUGtkX11B&#10;AIlnlC9P9YT06Hk5JzXJfE3xdL4S0LUdZtzcGdEVIY2WNDgKZZHR2z1TjBGN0Q4J4Ob8MvFl/wCL&#10;vE19Dqeq3gtLS4jtr2JWjk8mbOZRERGn+rX5fm3bj83cATzGnLKUbnGfFL4jPJ4kvtG0W2htIreZ&#10;re5ZrULNKyko4JZmUgndztDYxnpmsvxn8VvE8M2j23223Wa308T3O3TbfMMk+1gAREFCtAtu5wM7&#10;nbcS2Qv0Pc/Cj9kKCeOSx+BVozDnbNrmqOM+hzdnj/PPFLotl8FdDtI0k+BXh3U5lYK15rlibiVl&#10;H3V+clAqqFRVVAFRVUdKXP5BGnT5tj5osPiJ4i1W5vPE15qskclhoszbraNYSpb91F8saIrbJpY2&#10;JbsCeeAeb1Lx5r9xYfY77xVqF1Duz5E15K6kj2JxX1n4lvPhvq2qWWp6d8JPC+nizZ2S1t9At0hu&#10;dy7cTRhQsir1UMMBvmHzAFcqX/hCGn3S/DLwvIqkbo4/C9h1x15gJ6/WhSt0L5Y9jwX7Ff33hnTf&#10;CeiRSatHbaK9/qemKghCSTLiG4U/ekZDcx5AzxEcjaCR02h/Bvx3rHwdttf+Gevf2lrTeJntpPhz&#10;pOl3Tatp3mJmW6lxCVjtdv2JFZny7s+ABGzH1TRNf8HaJBHp8vgOz1COCZ5beO+up2aBigj+Rg4Y&#10;AIXAUcDzXOPubeu8I/tE+Lvhx4YuNC+Hmp+JNAae6muBcaH401KyCSniF9kUyq7RxiGPc2TIIV3l&#10;jmlKpL7O5Xqjw3wTp8i65qUtxL5c0EiWc8canDyQqtuzgkAjcbbdyM/vOenNDwD8B/i1+0D8RfFv&#10;iX4deE4Lyx8JWkC+Ib2+voLe10lvLZnlZp5EARZYJ2ZsgBcklciu6fQfhClpi2+B7K4hCq1x4u1J&#10;sSjjeyeaNwOc7eh5AODxhaTovivQ9L1bRNE+IniuzsNduZ59XsLXWjFa3jSjEm+GNVRgVODuU5Ax&#10;0AFOU7qyJhG0m/KxzvxX/ZT+J3wK+D+n/Gr4r2NjJp/ii/tY7Gxivk+1xtIPtH+kRDJtmMULpsZT&#10;g7gRlDjxuwvriDVI7m2t1VmhSKbMmdw4BI4+XgAd69p8S/Ba48W2Uem3HjfUIreOTzNs9ms7OwXa&#10;oy0sfQFun96uZm/ZhnDn7P4tlZP70mmbTj6eacc1lKKludNOSjGzZhLp1rf61a2s+sr9mkjkWS5u&#10;ptwjVFDAfKpxwWwMHJOBWxb22tL4bt4LTQpluPMZ7plj5b512KEAyMBM55647c7fh79nzQ7CFrS/&#10;1HVGmmCiSW3uo4FbvgAxsfwz2q5P8GLGGfbL4j1yZVGzyJdSypUfw8KuP0/Wlymcox2ucFp+nay3&#10;jvRNM+xSLIszXDRvlSI1IYnoSGxCcDBPAwDwK9R8HfBPX/j58RW0LwFcWbazbo+uXKLYvb/uYWVJ&#10;Eji2BV4lBCgJGFTAI2qKxh8CfBcbs401Y8gbdt9ISPwDE4/w/Oh40+EGlPo+m6T4XWGHVNY8R2mn&#10;aeBIxaTzhIuGzzt3bSevJWplT5teqKW6SZ+p/wAOtPtfBn7O/hfw0rMRZ6Lb28bcbgEjCjj1wOle&#10;Y+J/HUfjjwFa+OoLWS3XVtMhvPssiHMSyIrhCCeCBhcdsYr02/uoYvBmnWT3scOIIxmZtqxhsZJ5&#10;4AHOSa8Z+L+qWNrolxBp0Cw2oyttCoIEcY6KMY4AwP8APHsxjyxSPHjK935nzF4T8YX2ifF3xcdO&#10;8B2mt3eqaFHaWq6pb+dFaSG78xrkZHB2R+VkMmPM+9xtPQXfibx9o8ttd2nwH8P3LwsWkUXBuFl5&#10;/uS3gQDAxyCP5V5vqNlDeapdXl4ZG/0hxH5fIxuPAz9T0POTTYtFt5oNsUBVxjqx3de3bGRivLqU&#10;aNSV5RuempSSsjv734jWl18S9a8Ta54Ktbea6hthb2OuahaxW9ntgVRbmK0I8xEXCoyNHxtLDcGU&#10;YnjzxtrOs6TcppGmeEbSOPTpUWGz1ydssVYbgkyysWwwXAYZCJ0PNYNv4LuLyIlbWTdu+8xIwfU8&#10;f5FaVt8NpZrZZgkf7sZMbSEA++BjP581Ko0VLm5Qv5nmdp4As9Xe5fU/iJ/Z63DNJ5dvp87soLq4&#10;Vs7RncqE4yMoMdAateH/AA+3gLUPt2j+N5tQeZl/0ttJjk8lRuyvl3BZX3b2zkcdcGvRrb4bC6ZV&#10;FmwLH5UjY8/TuR05rag+Bl4kEckmh33mM3yx/ZJGLd/7p9vetJRjLdAqjjpc8l8d6dF4ss4rHU/H&#10;Xi7VmgWQ2sesa0skULMBuIG1gAcLkALnAyeKs+FNSh8PLcTXenyTi6kDTRteIsZwmB/yy3jgH+Ig&#10;+leyW37PmqSgOPDjhu6S2+1hxnkMOn5dPpVnS/2dLm7nMTeF41f5nL3S4GDj6+3bHp3qdOW1gdTu&#10;zF+GWtWGr+H3vdP0mOxVb5la3EzSbjsQ7st65xj2r2j9m5bzRfEDRTzb2M7zeZIvO2SZ5Qv1wwA/&#10;3cVy/h34Aa1pb+XpCaescvEn2e4YFgPby8E9fTFdHomj3vg3V45NL8XQzXbbQbeSFCTyQB80ikY5&#10;x0zg8VtS92S0MKnvXsd9+0t4tv8AQfhj4g8Q6Uy/arHRpriHy+GV442Zce+Rx/nHyd8S9T0rT/H2&#10;o2mpeBPDmqM5DxTaro4nmx0wHwSADk4OOp6Zr6K8dX8niy0bw74p1S+CSwmO6jsbD5ZFIOVJEbj2&#10;wG5/nytz8K/Cazyaj/Y91eTXG399cyR8nOQRkqQOvYZwetdNSfNsY0U6b1PBbIQagjTWnwS8LruU&#10;hfJ8LQsRkdfnVhUnh/TPEehQR2OmSx2s+4sqJp0DSO27JO4DJOR7/wCHvUXhHSrryrGw0rS7+6XG&#10;2CSJfNHvxvJ6+nWum0v4Wav4kh/s+DTntruEKUgvNHuXhIzkDeFVRxjGTx+QrJXOj2iW54jpGr/G&#10;2SdLG2uL6N9uF87TVUMOvJZNo45xxVjQPAfxGTSofDdpb6hpcNnlbdYL5ViILFj92QEDd7f4V7VH&#10;8HfidLfNaQ6M1njCvNb+QsZ9AN5Z/wAP5c1JYfAX4ma/drNqn+gwxqFEianJvZfUJEAh6dCwH5iq&#10;5TOVWB5Rofwr+JN3HLHdeL9Qt5I2+RoZ7maPGM8limTjngmorT4ZaBqdvNoGqeObua685pr5tIUT&#10;CSQ8lnj2SYJ92Ynv1r26L9k2Majcan4o1h7iNlXbJY6SROrFupbMpPGP4fftmua1T9gTUviHfy6p&#10;p/ivxhZ+d8kkzX4VEHYC3ks4GbnB+8enXPNEuaOyuTzx/mPNtS0X9nfwj5N/qlisd1b4WNZrd7Wd&#10;mGDuPmeWpOceg9qb4l/aJ+CMKQXNhpkV1NG2JoZYYd/sMrFLn1+8vufXSvP+Ccui6hdTRXf7X2jy&#10;Swxt5lnNaxNcZHVQPtZZ36jgZJHTrWFa/sHaXqsn2fRvixqt1qBZhHDe+DksoSc95pr5UUfX1rnl&#10;Vxy+Gn+IfupbyEvf24dGtrqFtG8HyNbxhRHb3EALdPnAcONnt8h6+1cVP+154tHxH1P4j6T4dX7V&#10;cWUNnZLeNDI1pbqWdogREGYNI+7BP8K5LbQa7LSP+Cbf7ReszSQ6Td6PceTIFRbW6e6kkHZsWkc8&#10;a5z/ABOCR06Cs/Wv2Hfiz4V1mbQ9f1vwtY3ka7ZLPVNSuIZlJIbJR4AQcYP074NcdStmsvs/cgi6&#10;K2aOauv2pvjHPqM+p2121qtwwHkR3Uqojc8hA4HOeeMcDvnOL4s+Lnj3x3erceNtY+2RDhljt4wS&#10;hI+XcACccYJJweeOp7O3/Yi/aevLy1Tw/wDBDVNQhvCv2S8tLYrbuCMAiaTACn+993GOeOOuj/4J&#10;oftgw2Ze++Cq2qxvveZvFGlDygBydxudo78nP16Y46lTMpaPmt8yoypJ3VvwPDrfxd40s5obHStc&#10;1i2tdrDyY76SOOMcjaMNgAjgD1z+K3mh67rZ+032ryXGThmnuS+fTqevTA554r1HUv2bvi94bujo&#10;kvwe17UbuNA7Q6BGNW3DBOAbJpQTjt7flPpP7O/7QmpRJcaL+zN8QIdn31HgW+VsY4UBoRkYPTHv&#10;6546n1rrF/ibOcZa3Rwy6Tqvjq0g0rxZqVjZ6jbxpFZ65eOQlzCFASC5wpPyrhUmxuQARyZQBoHW&#10;Hwiu7rUobDxL4s0u3/fAXFxb2k0siocfvNsiRCTghsh9xGfvEjHVeJPhz8QPAZXUfiV8IvFWhwby&#10;Dca94furQEkkZ3SooODnHt+Irmx4/wDC9gFs0u7NpN21Y0wvPXGM8Dk9uh4wKj2lXZxKUjtNH/Z5&#10;+DOnwqmqfErVtWmLkLNpcMFmo5xg+cZCOvXJHpiuo8M/AP8AZx05JJvEV9b6hbzTbJEv9fna5tVz&#10;yyLbxxq+SSeXIPY45rzPRPGdm0m+xvo9qQseHGWI+Vh6kEemB78gmy3ieeCRYoFW685z8vylsdz+&#10;Hf6H3pxxPJ9hE2k9mfSdl4e/Y70kR6elh4E1OzEbLJJd+E7m3ukJxhkuA06kgHkNGfvZ7V2PhnxT&#10;+zPFp1xafZtcnaWRlS1XVoobWNyBgB0+zuoJOCxQn2OK+QvD9zqXibVpNI8LeE9T1W+jfzGs9LtZ&#10;LiT73/PNQTjB64wSO+a6i1+EfxoMkct58N7nSccpJrkkenK3OQge7aJTwuMbs49M13U8wqfZpL7i&#10;ZU+8j6zbxlbP8Pv+EQh8FeFbix+05Ua54sTXwRlcjyX2yA8/e3ELu6Cq6+OfHUVhBY+G/EFvoq2+&#10;7baaLabomjycL5d41wF+iFa+YIvh94xsEjm1fx/4d0eReFE+tC6bILdrH7TwQM84xnGO1V9P1jw9&#10;pF6LDxD8d5ZLi5ZoreLwxpcty0p6jH2p7Uk+gAJ4HUHNehTx+IlvSM/q8H1Przw94J+IOvS3HiDT&#10;vF2oak8y4utPtbrV9rN6eXCvkqe20fLgmuZ12XQ/C2tTWXiVbXRbyPb9rs5ZjFLEx6ZWQl8kevc9&#10;uK8S1+fW/htJb6b8QfBXxUjW+dVsNU8U28ei2hk+bYSbqKePHOCGkHQnjNdTc/tKfEn4e+I10K20&#10;vwFptlqjBvtEd5b6nDaqSABJJo8rsdo67oycetdsMRKUdY2JdGXR3R6KJtdgkR7TwtrGoDcrK0en&#10;qkYxk4zcLjnHYH3zW/Fb+MfHmlRLc6BcaesMmG/tLVgCnGB+6js41Y9Oj454NcLZftz+HdK1dtI8&#10;V21ldRpCRb614T+03UckgzjdbXqWbhfo7EjjgmuR1j9uXXb62YWulXSXccjfZ72zaC3ilGCAJYJI&#10;pmHBGQs/PqOoftZX0RSpPqv6/A9qm+FeoOzzSeJplkWMBLW1ijjyx6uXcS5I49BwKjuNA8Fi5/4R&#10;3W7i41S8tYVnk0ltQur+TZxiRrZNwxjuEAHbFfO/i39o74ja/Yymz0/SdPhuVC31o9rJfQzcEf6m&#10;/eeOM88FAhzXnniLxr468RWUen+I/GGoX1rbtutrWa9cw249I0ztjUDgKoAxx04qXKXVlKjc+rdc&#10;+LPwa8CQQwyjQba2kVkRvJjJt3Ck7JraLdcRHOBzCMFuevHF6r+21pelW0dr4f0aSbZM6yW8FusU&#10;YXoHjlck+mA0A6cjtXzjHFIQqRuo3HJ8s+nf9a3PBnirU/Bs11JY+HdB1KS8hCP/AG34dttQ8lg4&#10;IeNZ0dVbtnBBDHIztKx5s0VNRO08Q/tU/ETXYmjt71Y1+1edbzvNL5wHaN0UpDIo5HMXrx1ri9d+&#10;JHjrW7S8Gp69cfZ7r5r22tiIbeXp/wAsY9qHoOdtdJq/7Q/xi1nRovD82s6fDZwNuhtbXQLGGNG4&#10;OQqQqvJGeBz1qrZ/Gz43pdtFpfxG12BJmUMtlqckKtjgYCMB9AKuPYUuZdF9/wDwCv8AD/4H/E7x&#10;0F1aw8HXzaeyk/bbzZa2744ASa4Kxk59Cc/lRXRav4u8a6lo8Vx4t8RalqGofckm1DUXmlVQeADI&#10;xx3z05yOSCaK6o8sFaxwTliKkrxaSNzx18Of2Mob7UU+Enw91m5l/wCEQuNL0P7VrEdvJJPJbTRC&#10;7kijEm5i7xqsYkC7EILO0m4ezfAz9oj4qXX/AATt8M/C74f/ALF1jrEGuQ/Y7XUb7Trv7Pqsttcs&#10;+64lUqs0cKxD5EfKmKIDnAP6leBPgB8HvgzfTal4A/Z/8NeHXuI3WSbwr4XtbPzFbaGG63iHBCgE&#10;dwB1xXzX/wAEy/BnhjUP2WPGn7LHjTUIb3T/AAd8RNb8MzWazOhfThIYWhOcMiy7LhWxtYhpMEEk&#10;18bGVT2fNOV7NH1Eactbn55fsUf8ES/jd+0t4HXxV8WdRm8D6Xr22/iEul5mbTwnmRz+WGj2edIY&#10;ViUkq0ReUKnlxb/0h/4Jzf8ABK34S/sg+D9KuLvw/H4g8cWuoPfXWrQjy2g3EGOHfu2gARoW5ZGK&#10;ttUAnP1DaHw5b6eujaUunw20YVVjtdsKpgbVUdBgDA6YAFS2l7d6VctFpGumJHwWhVkn3Me46DPI&#10;zg/nxXPUxNSpdLQ2jRhHU3I7HVXZ7aJ4ra1mZsWthgklhgtuCAFvfbnpzXD+Pf2q/gP8GJlhXXI5&#10;9S27ZoNDlNxMUywPmTblUbSgBR5Cw+XC4rx/9uaf9om5FnDoehXN/wCFfJH2q30+1nEkkindvnRQ&#10;xK8AjqqkZ4Jr5D1HxzqdqzQW2hru3EbvtTntwMNH0/z7now2W/WIqVSXyX6nNiMc6OkF82fXXiT/&#10;AIKWeKJZVfwv8NtLtmjfcq3lzJcb8YGd0flnr1zu4OK85+J3/BR79pbxPYyaboVtF4fhVWEl1oto&#10;Y3kQ5yA0rSMhweqFSOoORmvBW8b6ldQiSTwYs0YwDM11uUdxkbPUDjrTbrxfLlGGlSMgG0eTP5cR&#10;z0++EGeeeen0r0qeV4Wk7qmvzPOqZjiKm8jmdU8K+PfGrfY7aHVpWmdvLRV3bj7ZjPJ5AHrWp4e/&#10;Zs8KeAdRuPiD4o8f6NJc6bawzT2v2i5tNQimjZ3hBiuIIllVZJF3RgtgbiAeVa2fFi3ly62mmXDh&#10;ASy4iZgvsfMH6ZH5jF23+OeqaVon/CO22s+JhYty2mpqUgt1OP7gmC4yOmOefUV2SjW+yc0akep5&#10;z4uTx54gSfxRYeB9eutNVyzahDo9xJCAOuZFQr+teGfEE6/4h1OOa20yT7MnyLNJIsQ3EnOQxB79&#10;xnn8K+w7X4v6Jf8AhZvD3xB+G1xe2O3bazaT4f0vT5884LXPkyux6dx059tTXv2ivBWteH4fCE3w&#10;11G80e0K+XpviTxVqV6CQchgLe7ihUdx8gHFOVTE7KH4jjGktXI/O/4q/sk/tE6l4d0vxFffD/8A&#10;svR1lW5+1axpsqW92/mK3y5UghmBydx+VyMnNZnw1/Z+8ffD3w9a+H9L8Q6atzNLI8kyxqzySOcE&#10;je2M7cL0zhe2a/QjV/jnqpu4Xi8FeE7HTVCotjZeEdMuGRVXqGYs+/0ZmJ9+tbl58ddRn8PTNY/F&#10;L4jz2KqUWwfdb2mz+5ujuZFiTOflEZHoO1Rev1j/AF9xr7WPLZM+Hta/Zd/aC8Pad/bPjDS9et7I&#10;rk3VzpbQRkdVPmFAvIOQM5rBPwinRibvxQnzD7rXgy35kY4r7Uh8a/CuE2+kWXwv0eaK4kAvLjxR&#10;4u1CSCIAYwo0+2tpEHf/AJadeMHFaui/FvwV4MWTSUbwRFo7xkwx+HfC6as8Lk8iR9Yt4ZiOcg+b&#10;Jg4AwMEVep1h/X4k83ZnxFbfC6zBFvPqyNJuOxTdIBuGfUt29Md6mb4PNCPOuLOSSHeoWUSfe44G&#10;RkH8ulfas37Rek614c/4Vzq9x4q1S38zyrGPV/iRHa6YQGHliWze3ZY06ZVZ1AA4ZeCNu+/sHQXt&#10;fFOky/CXwjqHkNax6e96fFNrd8DLlBLqCxkdmCRtzwTnk5qkfijb+vv/AAHe+zPhqD4K3KqtwdIv&#10;ANu5WayZmIIONuB84/pUcXwnvo22z+GdUHTAjsZdwGcdlOcdOma+xV1yx8KaVeeHdN8beNtU0e6m&#10;eW90DSdBfT7G5c/8tkaSe5XGQuE8hSRj7m0CqfhnxI+otJpPh34M+HbSa3b7RZ614qt71rhQhB2y&#10;b5I7OY5z8ptwpH8JPJ0963w/187Ec3mfJK/CG/8ALlaPQdUXDfK0mlzdM9D8grST4B689o729jIH&#10;2ny4bjbEXPtyfbrgcdq+y4dU154tQl8Q/tGaL4Y0/WNLA1TRfh/osts18UQqsMtvHBDa7mUlTJIf&#10;mzyWHI5LVNG+HPhe4huvBXg7xNrE62K+ZJrmsaJbWzzk8h4LVRKUA6AXKknrkDkUvL+vnYfTc+V7&#10;r4S+LUWOO98LSFMY27oAOep4ccfWo7T4IeIbu4LPpUkCeYCC00RU88/cZv8AIr6s0/4j/GSa9bT/&#10;AARbQ+FWkj8qGbRUsrSaNQFyFvN5nAbaC2Zfm+YcgkV0UfwF8IeK7FfiB8V/2ki19cRrNcaXput6&#10;hLfXTt8s8bs0EcaS8nBZpFOCVLcFh+78S+7UNXs/0Pj+6+AF1BbbZvsomz8qyOQpOc8kpxx7Uaf+&#10;z34numWTyNNmVcB/LumkI9sGLH4Zr7Ks9I+HPhO0Hhv4feBjNPHDMv8AwkPjDx9dalNiUAZWzWOG&#10;BSmCVDGTGRnOOeX8d2nxU1axj8Ma18bLHUNFQRi10jVoZpreLA4C2ys8acDgqo6+5q4qUulv6+ZM&#10;pcvU+edJ/ZhtbiAz3unSNKx3KoixtJz/AHXxjOe36Vfs/groPg2e2n1WbS7V1bzY5po0XYcZBy0i&#10;nI9QOMfjX0Z8L/gH+xd4bsxrXxp/aH0nyppCv2LwjoK2csHyjBlkuztUhsoVRX5xyOa63xB8d/2X&#10;/h+0a/s26xpXhFdzJ/b+pzWV7qEhK7WUSTxSiEMoGUXdgjcrLzScnzcsYt/gvvDXlvKR87eJdRsf&#10;H/hq48E+IfG9tc295YvaSfYFXJSRSp+ZN2Dtzxjr0xjnG8Z+AILm3WDW7m+vLeQqwVdLuPmVhxia&#10;KMgdugPFes6/qvwN8U3lxrHjT4/LqFxcOrSXD6narNKwPdkiUs33eSSxBAPQVu+DtC/YNl1WK88e&#10;/EWWGwjO4waf4ilWSU5b5SWnAj+u1vpxmurmlynP7vNofPNh8G/hU1ks6eHrGP5Sdqeer+uDmNME&#10;++M+vWq9j4D8B2l8r2nwwvpI1bDXTTxsFA5BwZ89fzA/A/dGqfttfssfC/4cP4D+E8fgnRLG5LRS&#10;aklq93eSZDZLM7SsZCoP7x2cgcZBxj581L45fsb6DcvPptpZxX8OQrw6L5Em8cckAMcc8HAyPU1j&#10;S9pUTlKNu13qaVPd+F3PJNcsvh5JdLY6foegzSNhW/tbUILTBwcjcUbHfv8ATFXk0DR/CNoqHwrZ&#10;23mf6qXTdQOox898RJnafb3r0jTP2yf2eLy/nXVvE91eIsn7mGPw7KrIc4DB2ncMOoyAv5Yr1n4b&#10;f8FU/g58PPD0Ok+B9O0Vrxbppbb+0PDkscxlJ+ZjKPMIOwcbV5wBVVI1FH3Y3frYmL973rr5HzBo&#10;3hj4ieKGUeHNEaWPBHlx+HJLdVHXO64cKBz3x14zWpefCj4ka5eQ6Z/wims2e1syStcaVPCjY53K&#10;sbPgg9ME4/OvSvjf+3D8OfiL4vm+IM8XhBtU1Bg0z6haXsqg7dpKH7N8oOPU8iuP1z/gov8AC7QN&#10;Mk0zU4dPfVFmyl1bowtgCgI/dzNG5IIP8YGMGtY02462RMpT5tEVL/8AZ/8AislmlnYQaetssgVW&#10;srqW1bc3JJ8uBfm65wf/AK1+x/Zf8WeXJaN4nuLdiw8+G8juriNyRn5XklUOOvQH6dqw/CH7d8Wr&#10;+IbO/wDCuj6PfalfrldQ0Lwosl3GN5iyPI1J5FYbGwrjO0DjaVJ9Yuv2ov2uZLGO71P4hftJW0Ua&#10;/u2t/DvlIDjon7oHaAuACfXmolCalo18/wDhik5faOXs/wBkTTm01YH020i1BWJe+0yz8gn3YSNK&#10;PTov8sVo6L+yi19YpaazJdylgw8tZ1Kxrn+HEMZ5AHUDHvjJ5P4s/tW2+kFvE/jKy+MGp30NuJNU&#10;uNS1/UrfbGGVQ0jRykICWAyCAMgDGRXI6Z+3p8K/HlxbtH8ANJ1Bo4zFHqPirxFbtOUH959RhkkY&#10;Z4yznjgcDjTlit2Ty1pbfoeqeIPhF8KvhHEzeM9bt7TzSPKh1rVJA0h46IqlscHJCkevHTG/4Sr4&#10;S+FYrXVtD8E2GrtLIkc83hOOS4mjViMs2+3jBAHJAYmuet/iPq2tRLfaZ8Ovhzo6ciGHT/ip4asl&#10;C7jtBRJFycEfNgHGN2MYHNePv2mr7wXaXVzqGh+H1aOMPG2k+MrLUGJ3gbR9nkdclSSd2B8vXkA1&#10;+57k+xq9dfme3Xnjj4dS6fDd6Hpes6lMMBre20d7eSAbRwTc+Srenys349apz6l4a8T3McHhv4C3&#10;ur6szA/Z9YtbdSVUZOGg+0ucD1Qd+Rivnbwt+154w+JOrf8ACOeEfAkckcbKDNdaXePMOOSfsUrH&#10;H0Xt1r1Pw7qup29o114i8TeDVuPspkt7TUPB/jC/gabI2iaKeyeIr/tAMcnHIywJVaCK+r1pdH+J&#10;6dbN4/SxWXWPAtj4JsLVT52oay6yxof4QguWsVUA46O3HG0cVxviTxtoUcsemat8V9S1K7hkZlTw&#10;qLK1HsNsP21pOe+8D271yPiX4y/tTeD7iPVvhP8AC74X31xC7i31bw94ftdMmt1ORmP7XbQyJxnH&#10;yjjjqSB0Hw++M/7Z/it1/wCFo/HgeEpFDFY9H0GzvmPzMSCoeKPCqQobdknPQ81g8Xh47yRUcHiO&#10;35/5BJ/wmvjHXvJ0K/8AHOpXrRBlgsZJ7FkUcBdsYto2bpkqpYkE8cgdJo/7H3xa8Z3dxqPiD4cW&#10;NrJGgJuvF+rB7m5IOB80SXDZx3cqRjp0zsad4v8AE8pZb3/goD4/3dY1t/hDp0gLZJw2dXXgjnoe&#10;pHtXC+NvGn7T8Gsi48EftsaxfWLFv9G1LwVFYuQSTtyl7cKDngMAcDBHdazeZYWOzL+oYmT6L7zv&#10;dB/ZV1q9lbSvEHxa8J2GqGYxxaXZw/bmVRgbdzz27EgnGPLH5jFdfZfsPJcXljo9hH4516+ly1xa&#10;6HJYRLKRksFUqkyKfRXLDru715z8K/iDJ4auo9R8WfE74zTaw0f77UvA/wAVLbSC8gBGQf7ImfBG&#10;OCT0wS2A1dN4n+Or65pMmk6T8ef2qrGZmB8y6/aDt7jYeDkL/Yi8ceq8Hr0rCebRS0iaxyupLeX4&#10;Htmh/sQXxvlTxL+zJ4ugS1jEVjbeJ7e51S2KnB3LHJJNHE+f4sB+eOM1uS/sbQeDrJkvfgZpuhpK&#10;wLLdaDBbGYZx0dB1Oe1fHfhfT/CbTSXnxY+Hf/C1tyhIb74ga3rb3ikFusmn39mj9jny85z3OSeL&#10;/Dnwv8R+JdO8R+Dv2atB8L31jcb4/wCybzV76GWQMDtkttUvbuB1GPuNGVxnjJJOP9q1fL7v+Caf&#10;2VD+Zn054S8e/s1LbLpPh/4zfDmCGFSVt4fGGnxqijJJC+cPc8D35Ncn4z/am/Y7sLmTQfFHj/Sd&#10;Sa3AVWtdHnvo35IwrxwurcjsSBXnsnxJ8Y3fh3+x5/gN8JZkkUL51z8B/C4k6YySNOHJHfGT2rkf&#10;AE/xI+FOs3PiP4R+I7zwhdXjZmj8H3Q0mEYRR8sVtsRF24GFCj5e+Kv+1pfyoP7JpreTNzxz/wAF&#10;C/2Z4NYm0vwDrviTxJfXWI4bHT769tfs23+FbdDb9R0wxIxk44zZ8Wf8FAdZ+Dfg9tf+Iv7OPj7S&#10;LCCMCNtV8I3kEbKMA77l5pGU5B5KOTjHHbnPiFe/E74ra8uufEzxDeeI75UZIdT1zVnvbhQQTsLu&#10;Sx+meh6c4rDtfBUOnQA38tnHtAKtblnznPzEMOD1zz6dBzTWaS/lKjldHqdJov8AwVO8ReLvDDeL&#10;vCXwe8G/2ZCD8uofGLS7a4brt/cXDQybsD7oBx645PGj/gpv4y+KqXGfE/w68E6a129sdM8RW+u3&#10;UjbP+m2n280Mq9PmQknIIAzzoP4e8IxWu19TXy5E+bywmCd3AwM5/I498Cp9L8P2iqF05GhaPkJJ&#10;uQEj7vOwA4x1yc9/aZZhzfZ/r7jSOXUI/wBf8Fnkw/bv+NHjDxH/AMIXqVnYaXosJzHrngj4drqc&#10;0mAcHy76SBiD3LNnDDvkDkfEvxI8fQfEiDV4PBGveItP3iRb5vhrYaBqcL8cpIkV4F74cNkenXP0&#10;6nhZd2zUdTjRdg+WOFyXz/vFR249vxBlFp4Ot0TzIGmdY8FTJ8u88bhhDkcDBzg56dKzeNcvsr+v&#10;kaRwdKOx8q/E34o/HzxXe2v/AAjOg/FSPT42VrnS/EmqT6ol0AvIYx2cDYyWPGOGAznk5fiy38e+&#10;KbO0t9N/ZgXRLmHy2F9ptvrZlk27T8y3F3JG24qcrtxycY4A+u11DRIYFjg0vDbWDL5m1eQOCFHI&#10;6fUjPtUTazJFG0cMMagOfm2E56DA9h2xzzySBgT9cn2Raw9OOx8p6837RPivw4vhvWfhXZSW4h8r&#10;zIfhvp1vOQc8+ctqkmevO4n6YFSjwj+1X4j8KxeB9VvfGFzo42hNHvdal+yoM9PKkk24HpjH06H6&#10;fM73ELNHFJIo5ykZ/A5HY59v5gua11BwGmsGt/l+RWO0c47f59KTxc+yD6vTZ8pwfsy/GaNFMPgZ&#10;F3DB36largA+nmc+vbv3GKsW37Nfxf8AM8mbwzHH0+9qEJzyfRuMc/8A66+pRZW8QZbq7V23YXAb&#10;uffpjj0/EdbtuLHTxi1gf5tw2yTMM8fj6dR+lR9arX6FfV4HzHpn7JPxr1IBoPD0KqzASNJeqAhJ&#10;xycdOOep+tXov2RfiVblhcSaXuVsMq3jHbn/AIB/+sV9KXviTUmEkMs25cjbGcMvT1Izn8xj6VRk&#10;1qedcNF8gwNpwQPXp2/oO3dfWq99LC9hE8NvP2Y/iTd2zQtrWixjGNv2qRj6g/6rnv8A/q5NBP2U&#10;PGB+/wCLNKVSyqTCskhHvgqOxz2zXvlvZSXMiyn/AFY53GT9Py7Ugs2DgRTMzM2dpjzjt7f5NL61&#10;VlroHsYxPDf+GS9bVgR49s03c7v7PbJHT+96VNH+yXq8sW9viBGp6/u9MwCP+/gP+Fe4GzyhdLfc&#10;Sf4jznIBHPtgU6OxmunLSAqGHaPOTnkHbxx/nin9Yrdw9lDseKn9kFYV3XXj/LclSdMwx5PQGTPG&#10;AOvp07a3hb9kjRJbtPtfie8nRG3MyWqoNo+u7nn6V6wukwoWWS5VVY/LI2fmz35HGM59eCK7zwJ4&#10;3Hw6sf7R8P2dis0jRlW1Cxhum6HJBmRmQ5/u4zkegwnisTGLlDVrZbfjZ/kJ0aL0loeZ+G/+CfWp&#10;+P5lm0TQvEEluseFupmighI5OQ7qA2f9nOOmO4K9K8Y/GD4l/ECc/wDCQeJby6BbC28KKiDHYRrh&#10;RjHUUVx/WM+nq5wj5Wcvxur/AHI09jltP3eVv5pfhqfq5e/8hpf+uP8ASvjX/gmV/wAnX/tX/wDZ&#10;YLz/ANLdSoorjj/An8vzO/7TPpyb/kLah/14D/0M1yPif/kOR/8AA/6UUVn2KKQ/4+pvq38xXyF+&#10;3f8A8lTX/PYUUV6GD/jI8vF/w2fPOuffk/3Zf5Co/Fn3Y/8AriP5SUUV9EeGJ4k/11v/ANc2/wDQ&#10;jVtf+Ra/4F/7NRRTQxsn+quP94/0rS07/kFzf9eJoop9AHL/AMgg/wC8v8q2of8AkW4v95v/AEMU&#10;UUfZEc7f/wDtY/zq54f/AOPuf/rj/jRRVDl8Rn6p/rbb/tn/ACNYN39yT/P8b0UVUdkaw+EnvP8A&#10;kVLX/r3f+bV51efeb/sFt/6HRRWkSV+oeLf+QVb/APXT+i15l43/AOPZP9wfyeiis5GvY5Dwr/qL&#10;z/r8b+Qqebpb/VP5tRRQUdf4c/48LP8A7CDf+iLiu/8AAf8Ax93n/Xs3/o0UUVf2UYR+I5/4lf8A&#10;IStf95P/AEZHXBXH+u0n6zf+gx0UVEvhNonU+Evv6l/17yf+i1rgJf8AXzf9esP/AKBRRVBT2HeN&#10;v+Pj/uFxf+kyVmW3+qh/7af+hmiipLfws8c+I/Sb/sJ/+yCvoj9g7/ka7H/r4j/9AeiiqJrbL+ui&#10;P1q+MP8Aqov+wgP/AEUtfkD+3Z/yVeX/ALaf+hiiimvhOZfxn6I8g8Ff8fM3/X4P5Cu90b/jwj/7&#10;Y/8AooUUVUtzu7f12HaJ/wAg+H/gH9KsfwL/ANdpf60UVzdQM+D/AJCtn/20/wDQK/RT9lf/AJIj&#10;q3/YJb/0pgoorza3U6aJl23W+/682/8AQ2rpI/8Aj91D/rha/wAo6KK8mR1dDhR/rz/ur/6EasP/&#10;AKqP/riP5LRRVGpD4O/5Ghv93+jV2Wmf8eeqf8B/9GPRRQZ9Wb1z964/67R/+i1rSsPvSf8AXxb0&#10;UVUSokFp/qH/AN29/mKy/Gv31/69/wD2nLRRUknBN/r1/wCvr+i1017/AK+3/wCv4/zoooEZ2p/8&#10;guP/AK9Zv5NXJ2n/AB9/8CX/ANDNFFbQ+EEa3gz/AJCrf5/hrvV/495v92P/ANGtRRVBLY4vxT/r&#10;j/10X+S07Uf9W3/XRf5UUUC+0RWH/Hw3/XT/ANlFRah/qfw/otFFAfaOq+H3/Hov/X039Kp2v3G/&#10;6+j/ADoooKIof9Y/+61VU/1jfh/JqKKAIrj/AFkP1/8AZVqOD78//Xb+lFFAFy0/1Vr/ALq/zFaU&#10;/wDx82X/AF7/APs5oorOmSjNh6r/ALv+FXJf9e31H/oZoorQPslW7/1n/bOT/wBlrY1r/UTf9dE/&#10;lNRRVx2M5Drb7zf9dP8A2Wiiimc8viP/2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AZlLvJvQAAAKcBAAAZAAAAZHJzL19yZWxzL2Uyb0RvYy54&#10;bWwucmVsc72QywrCMBBF94L/EGZv03YhIqZuRHAr+gFDMk2jzYMkiv69AUEUBHcuZ4Z77mFW65sd&#10;2ZViMt4JaKoaGDnplXFawPGwnS2ApYxO4egdCbhTgnU3naz2NGIuoTSYkFihuCRgyDksOU9yIIup&#10;8oFcufQ+WsxljJoHlGfUxNu6nvP4zoDug8l2SkDcqRbY4R5K82+273sjaePlxZLLXyq4saW7ADFq&#10;ygIsKYPPZVudAmng3yWa/0g0Lwn+8d7uAVBLAwQUAAAACACHTuJA2Tk3hxMBAABIAgAAEwAAAFtD&#10;b250ZW50X1R5cGVzXS54bWyVkk1OwzAQhfdI3MHyFsUOXSCEmnRBChILqFA5gGVPEpf4Rx4T2tvj&#10;pK0EVVqJpT3zvXlv7PliazrSQ0DtbEFvWU4JWOmUtk1BP9ZP2T0lGIVVonMWCroDpIvy+mq+3nlA&#10;kmiLBW1j9A+co2zBCGTOg02V2gUjYjqGhnshP0UDfJbnd1w6G8HGLA4atJxXUIuvLpLlNl3vnWw8&#10;NJQ87huHWQXVZhAYC3ySeVk9TyJs4xs6jQTo8IQR3ndaipgWwnurTsJkhyAskWMPttrjTUp7ZsJQ&#10;+Zvj94AD95ZeIGgFZCVCfBUmpeUqIFfu2wbo2WWRwaXBzNW1lsCqgFXC3qE/ujqnDjNXOflf8eVI&#10;HbX5+A/KH1BLAQIUABQAAAAIAIdO4kDZOTeHEwEAAEgCAAATAAAAAAAAAAEAIAAAAH52AwBbQ29u&#10;dGVudF9UeXBlc10ueG1sUEsBAhQACgAAAAAAh07iQAAAAAAAAAAAAAAAAAYAAAAAAAAAAAAQAAAA&#10;RHQDAF9yZWxzL1BLAQIUABQAAAAIAIdO4kCKFGY80QAAAJQBAAALAAAAAAAAAAEAIAAAAGh0AwBf&#10;cmVscy8ucmVsc1BLAQIUAAoAAAAAAIdO4kAAAAAAAAAAAAAAAAAEAAAAAAAAAAAAEAAAAAAAAABk&#10;cnMvUEsBAhQACgAAAAAAh07iQAAAAAAAAAAAAAAAAAoAAAAAAAAAAAAQAAAAYnUDAGRycy9fcmVs&#10;cy9QSwECFAAUAAAACACHTuJAGZS7yb0AAACnAQAAGQAAAAAAAAABACAAAACKdQMAZHJzL19yZWxz&#10;L2Uyb0RvYy54bWwucmVsc1BLAQIUABQAAAAIAIdO4kAE3PNi1gAAAAUBAAAPAAAAAAAAAAEAIAAA&#10;ACIAAABkcnMvZG93bnJldi54bWxQSwECFAAUAAAACACHTuJA9GidSwcDAABDCQAADgAAAAAAAAAB&#10;ACAAAAAlAQAAZHJzL2Uyb0RvYy54bWxQSwECFAAKAAAAAACHTuJAAAAAAAAAAAAAAAAACgAAAAAA&#10;AAAAABAAAABYBAAAZHJzL21lZGlhL1BLAQIUABQAAAAIAIdO4kBXu32BtOgBAKDoAQAVAAAAAAAA&#10;AAEAIAAAAF2LAQBkcnMvbWVkaWEvaW1hZ2UxLmpwZWdQSwECFAAUAAAACACHTuJA3QUmeqqGAQCW&#10;hgEAFQAAAAAAAAABACAAAACABAAAZHJzL21lZGlhL2ltYWdlMi5qcGVnUEsFBgAAAAALAAsAlgIA&#10;AMJ3AwAAAA==&#10;">
                <o:lock v:ext="edit" aspectratio="f"/>
                <v:shape id="_x0000_s1026" o:spid="_x0000_s1026" o:spt="75" type="#_x0000_t75" style="position:absolute;left:6119;top:4546819;height:3114;width:4152;" filled="f" o:preferrelative="t" stroked="f" coordsize="21600,21600" o:gfxdata="UEsDBAoAAAAAAIdO4kAAAAAAAAAAAAAAAAAEAAAAZHJzL1BLAwQUAAAACACHTuJADpQuf78AAADc&#10;AAAADwAAAGRycy9kb3ducmV2LnhtbEWPQWvDMAyF74P9B6PCbquTHUab1u2hELLDYFtaKL0JW0vC&#10;Yjmzvbb799Nh0JvEe3rv03p79aM6U0xDYAPlvABFbIMbuDNw2NePC1ApIzscA5OBX0qw3dzfrbFy&#10;4cIfdG5zpySEU4UG+pynSutke/KY5mEiFu0zRI9Z1thpF/Ei4X7UT0XxrD0OLA09TrTryX61P97A&#10;q2v3S/v+1nTN9+JgT7E+tk1tzMOsLFagMl3zzfx//eIEvxR8eUYm0J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6ULn+/&#10;AAAA3AAAAA8AAAAAAAAAAQAgAAAAIgAAAGRycy9kb3ducmV2LnhtbFBLAQIUABQAAAAIAIdO4kAz&#10;LwWeOwAAADkAAAAQAAAAAAAAAAEAIAAAAA4BAABkcnMvc2hhcGV4bWwueG1sUEsFBgAAAAAGAAYA&#10;WwEAALgDAAAAAA==&#10;">
                  <v:fill on="f" focussize="0,0"/>
                  <v:stroke on="f"/>
                  <v:imagedata r:id="rId135" o:title=""/>
                  <o:lock v:ext="edit" aspectratio="t"/>
                </v:shape>
                <v:shape id="_x0000_s1026" o:spid="_x0000_s1026" o:spt="75" type="#_x0000_t75" style="position:absolute;left:10463;top:4546820;height:3114;width:4048;" filled="f" o:preferrelative="t" stroked="f" coordsize="21600,21600" o:gfxdata="UEsDBAoAAAAAAIdO4kAAAAAAAAAAAAAAAAAEAAAAZHJzL1BLAwQUAAAACACHTuJABYSkWb0AAADc&#10;AAAADwAAAGRycy9kb3ducmV2LnhtbEVPS2sCMRC+C/0PYQpepCZ6kHZrVqhUEIqKtoi9DZvZB91M&#10;tpu4a/+9EQre5uN7znxxsbXoqPWVYw2TsQJBnDlTcaHh63P19AzCB2SDtWPS8EceFunDYI6JcT3v&#10;qTuEQsQQ9glqKENoEil9VpJFP3YNceRy11oMEbaFNC32MdzWcqrUTFqsODaU2NCypOzncLYavj+2&#10;vdsc89HbJpyW1L3PdjT91Xr4OFGvIAJdwl38716bOF+9wO2ZeIFMr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hKRZvQAA&#10;ANwAAAAPAAAAAAAAAAEAIAAAACIAAABkcnMvZG93bnJldi54bWxQSwECFAAUAAAACACHTuJAMy8F&#10;njsAAAA5AAAAEAAAAAAAAAABACAAAAAMAQAAZHJzL3NoYXBleG1sLnhtbFBLBQYAAAAABgAGAFsB&#10;AAC2AwAAAAA=&#10;">
                  <v:fill on="f" focussize="0,0"/>
                  <v:stroke on="f"/>
                  <v:imagedata r:id="rId136" o:title=""/>
                  <o:lock v:ext="edit" aspectratio="t"/>
                </v:shape>
                <w10:wrap type="none"/>
                <w10:anchorlock/>
              </v:group>
            </w:pict>
          </mc:Fallback>
        </mc:AlternateContent>
      </w:r>
    </w:p>
    <w:p>
      <w:pPr>
        <w:spacing w:line="360" w:lineRule="auto"/>
        <w:jc w:val="center"/>
        <w:rPr>
          <w:b/>
          <w:bCs/>
          <w:sz w:val="21"/>
          <w:szCs w:val="21"/>
        </w:rPr>
      </w:pPr>
      <w:r>
        <w:rPr>
          <w:b/>
          <w:bCs/>
          <w:sz w:val="21"/>
          <w:szCs w:val="21"/>
        </w:rPr>
        <w:t>图7：济南陆港智能化物流大厦项目</w:t>
      </w:r>
      <w:bookmarkEnd w:id="535"/>
    </w:p>
    <w:p>
      <w:pPr>
        <w:ind w:firstLine="482"/>
        <w:rPr>
          <w:bCs/>
        </w:rPr>
      </w:pPr>
      <w:bookmarkStart w:id="536" w:name="_Toc118323518"/>
      <w:r>
        <w:rPr>
          <w:bCs/>
        </w:rPr>
        <w:t>（5）协同育人、教学改革投入：山东网商科技集团子公司青岛网商教育科技园股份有限公司连续5次入选教育部高教司协同育人项目合作企业名录。2021年第一批、第二批协同育人项目，双方就创新创业教育改革、教学内容和课程体系改革、师资培训等项目进行2个横向课题合作。</w:t>
      </w:r>
      <w:bookmarkEnd w:id="536"/>
    </w:p>
    <w:p>
      <w:pPr>
        <w:pStyle w:val="7"/>
        <w:ind w:firstLine="480"/>
      </w:pPr>
      <w:r>
        <w:t>2.合作办学</w:t>
      </w:r>
    </w:p>
    <w:p>
      <w:pPr>
        <w:ind w:firstLine="482"/>
        <w:rPr>
          <w:bCs/>
        </w:rPr>
      </w:pPr>
      <w:r>
        <w:rPr>
          <w:bCs/>
        </w:rPr>
        <w:t>在前期与境外学校合作的基础上，继续选派商务英语专业学生赴台北中国文化大学参加交换生项目，并积极探索与国外大学合作的途径。已与国外学校如英国兰卡斯特大学和美国犹他州立大学达成合作意向。</w:t>
      </w:r>
    </w:p>
    <w:p>
      <w:pPr>
        <w:pStyle w:val="7"/>
        <w:ind w:firstLine="480"/>
      </w:pPr>
      <w:r>
        <w:t>3.教学管理</w:t>
      </w:r>
    </w:p>
    <w:p>
      <w:pPr>
        <w:ind w:firstLine="480"/>
      </w:pPr>
      <w:r>
        <w:t>认真执行学院教学管理规章制度，并不断创新并完善适合商务英语专业发展的教学管理模式。明确系主任、专业主任以及系副主任的工作职责及具体分工，做到分工不分家，协同开展工作。系里定期开展教研活动，以课程小组为单位，定期讨论并交流教学情况。定期开展教学观摩，实施同行相互听课制度，听课覆盖率达100%，讨论并反馈教学意见。加强了对教学日历、学生平时成绩、试卷、毕业论文等教学档案材料的管理和归档工作，教学材料完整。定期开展团队活动，有针对性的提高学生学习和实践能力。继续开展新生导师制以及优秀大学生ESC活动，从生活上、学习上帮助学生，助其尽快适应大学生活。利用网络手段，加强教师与学生的课外互动。建立了班级QQ群，微信群，各年级班级干部工作群等联络方式，提高管理效率。</w:t>
      </w:r>
    </w:p>
    <w:p>
      <w:pPr>
        <w:pStyle w:val="5"/>
        <w:spacing w:before="93" w:after="93"/>
        <w:ind w:firstLine="560"/>
      </w:pPr>
      <w:r>
        <w:t>五、培养质量</w:t>
      </w:r>
    </w:p>
    <w:p>
      <w:pPr>
        <w:ind w:firstLine="480"/>
      </w:pPr>
      <w:r>
        <w:t>在培养学生过程中，商务英语系始终秉持</w:t>
      </w:r>
      <w:r>
        <w:rPr>
          <w:rFonts w:hint="eastAsia"/>
        </w:rPr>
        <w:t>“</w:t>
      </w:r>
      <w:r>
        <w:t>国际型、复合型、应用型、创新型</w:t>
      </w:r>
      <w:r>
        <w:rPr>
          <w:rFonts w:hint="eastAsia"/>
        </w:rPr>
        <w:t>”</w:t>
      </w:r>
      <w:r>
        <w:t>的专业办学思路，为此我们先后两次调整了专业人才培养方案，使课程设置更加合理。学生参加全国英语专业四级统考通过率均远远超出全国平均通过率， 2019级商英方向专四通过率为87.5%，其中良好及以上占35%；2019级跨境电商方向专四通过率为73%，其中良好及以上占35.3%。2018级商英方向专四通过率为93.3%，其中良好及以上占60%；2018级跨境电商方向专四通过率为73.4%，其中良好及以上占47% 。2017级专四通过率为82.3%，2016级专四通过率为83.9%，2014和2015级学生英语专业八级统考通过率分别为64.2%和62.5%。有多名学生考取中央财经大学、外交学院、中国海洋大学、对外经济贸易大学、广东外语外贸大学、天津外国语大学、北京第二外国语学院、湖南大学、中国石油大学等多所国家重点高校的硕士研究生。</w:t>
      </w:r>
    </w:p>
    <w:p>
      <w:pPr>
        <w:spacing w:line="360" w:lineRule="auto"/>
        <w:jc w:val="center"/>
        <w:rPr>
          <w:b/>
          <w:bCs/>
          <w:sz w:val="21"/>
          <w:szCs w:val="21"/>
        </w:rPr>
      </w:pPr>
      <w:r>
        <w:rPr>
          <w:b/>
          <w:bCs/>
          <w:sz w:val="21"/>
          <w:szCs w:val="21"/>
        </w:rPr>
        <w:t>表4.各年级专四通过率与良好率</w:t>
      </w:r>
    </w:p>
    <w:tbl>
      <w:tblPr>
        <w:tblStyle w:val="17"/>
        <w:tblW w:w="4998" w:type="pct"/>
        <w:jc w:val="center"/>
        <w:tblCellSpacing w:w="0" w:type="dxa"/>
        <w:tblLayout w:type="autofit"/>
        <w:tblCellMar>
          <w:top w:w="0" w:type="dxa"/>
          <w:left w:w="0" w:type="dxa"/>
          <w:bottom w:w="0" w:type="dxa"/>
          <w:right w:w="0" w:type="dxa"/>
        </w:tblCellMar>
      </w:tblPr>
      <w:tblGrid>
        <w:gridCol w:w="780"/>
        <w:gridCol w:w="2021"/>
        <w:gridCol w:w="2166"/>
        <w:gridCol w:w="2026"/>
        <w:gridCol w:w="2166"/>
      </w:tblGrid>
      <w:tr>
        <w:tblPrEx>
          <w:tblCellMar>
            <w:top w:w="0" w:type="dxa"/>
            <w:left w:w="0" w:type="dxa"/>
            <w:bottom w:w="0" w:type="dxa"/>
            <w:right w:w="0" w:type="dxa"/>
          </w:tblCellMar>
        </w:tblPrEx>
        <w:trPr>
          <w:trHeight w:val="397" w:hRule="atLeast"/>
          <w:tblCellSpacing w:w="0" w:type="dxa"/>
          <w:jc w:val="center"/>
        </w:trPr>
        <w:tc>
          <w:tcPr>
            <w:tcW w:w="426" w:type="pct"/>
            <w:tcBorders>
              <w:top w:val="single" w:color="FFFFFF" w:sz="6" w:space="0"/>
              <w:left w:val="single" w:color="FFFFFF" w:sz="6" w:space="0"/>
              <w:bottom w:val="single" w:color="FFFFFF" w:sz="18" w:space="0"/>
              <w:right w:val="single" w:color="FFFFFF" w:sz="6" w:space="0"/>
            </w:tcBorders>
            <w:shd w:val="clear" w:color="auto" w:fill="6096E6"/>
            <w:tcMar>
              <w:top w:w="72" w:type="dxa"/>
              <w:left w:w="144" w:type="dxa"/>
              <w:bottom w:w="72" w:type="dxa"/>
              <w:right w:w="144" w:type="dxa"/>
            </w:tcMar>
            <w:vAlign w:val="center"/>
          </w:tcPr>
          <w:p>
            <w:pPr>
              <w:widowControl/>
              <w:spacing w:line="240" w:lineRule="auto"/>
              <w:jc w:val="center"/>
              <w:rPr>
                <w:kern w:val="0"/>
                <w:sz w:val="21"/>
                <w:szCs w:val="21"/>
              </w:rPr>
            </w:pPr>
            <w:r>
              <w:rPr>
                <w:b/>
                <w:bCs/>
                <w:color w:val="FFFFFF"/>
                <w:kern w:val="0"/>
                <w:sz w:val="21"/>
                <w:szCs w:val="21"/>
              </w:rPr>
              <w:t>年级</w:t>
            </w:r>
          </w:p>
        </w:tc>
        <w:tc>
          <w:tcPr>
            <w:tcW w:w="1103" w:type="pct"/>
            <w:tcBorders>
              <w:top w:val="single" w:color="FFFFFF" w:sz="6" w:space="0"/>
              <w:left w:val="single" w:color="FFFFFF" w:sz="6" w:space="0"/>
              <w:bottom w:val="single" w:color="FFFFFF" w:sz="18" w:space="0"/>
              <w:right w:val="single" w:color="FFFFFF" w:sz="6" w:space="0"/>
            </w:tcBorders>
            <w:shd w:val="clear" w:color="auto" w:fill="6096E6"/>
            <w:tcMar>
              <w:top w:w="72" w:type="dxa"/>
              <w:left w:w="144" w:type="dxa"/>
              <w:bottom w:w="72" w:type="dxa"/>
              <w:right w:w="144" w:type="dxa"/>
            </w:tcMar>
            <w:vAlign w:val="center"/>
          </w:tcPr>
          <w:p>
            <w:pPr>
              <w:widowControl/>
              <w:spacing w:line="240" w:lineRule="auto"/>
              <w:jc w:val="center"/>
              <w:rPr>
                <w:kern w:val="0"/>
                <w:sz w:val="21"/>
                <w:szCs w:val="21"/>
              </w:rPr>
            </w:pPr>
            <w:r>
              <w:rPr>
                <w:b/>
                <w:bCs/>
                <w:color w:val="FFFFFF"/>
                <w:kern w:val="0"/>
                <w:sz w:val="21"/>
                <w:szCs w:val="21"/>
              </w:rPr>
              <w:t>商英专四通过率</w:t>
            </w:r>
          </w:p>
        </w:tc>
        <w:tc>
          <w:tcPr>
            <w:tcW w:w="1182" w:type="pct"/>
            <w:tcBorders>
              <w:top w:val="single" w:color="FFFFFF" w:sz="6" w:space="0"/>
              <w:left w:val="single" w:color="FFFFFF" w:sz="6" w:space="0"/>
              <w:bottom w:val="single" w:color="FFFFFF" w:sz="18" w:space="0"/>
              <w:right w:val="single" w:color="FFFFFF" w:sz="6" w:space="0"/>
            </w:tcBorders>
            <w:shd w:val="clear" w:color="auto" w:fill="6096E6"/>
            <w:tcMar>
              <w:top w:w="72" w:type="dxa"/>
              <w:left w:w="144" w:type="dxa"/>
              <w:bottom w:w="72" w:type="dxa"/>
              <w:right w:w="144" w:type="dxa"/>
            </w:tcMar>
            <w:vAlign w:val="center"/>
          </w:tcPr>
          <w:p>
            <w:pPr>
              <w:widowControl/>
              <w:spacing w:line="240" w:lineRule="auto"/>
              <w:jc w:val="center"/>
              <w:rPr>
                <w:b/>
                <w:bCs/>
                <w:color w:val="FFFFFF"/>
                <w:kern w:val="0"/>
                <w:sz w:val="21"/>
                <w:szCs w:val="21"/>
              </w:rPr>
            </w:pPr>
            <w:r>
              <w:rPr>
                <w:b/>
                <w:bCs/>
                <w:color w:val="FFFFFF"/>
                <w:kern w:val="0"/>
                <w:sz w:val="21"/>
                <w:szCs w:val="21"/>
              </w:rPr>
              <w:t>商英电专四通过率</w:t>
            </w:r>
          </w:p>
        </w:tc>
        <w:tc>
          <w:tcPr>
            <w:tcW w:w="1106" w:type="pct"/>
            <w:tcBorders>
              <w:top w:val="single" w:color="FFFFFF" w:sz="6" w:space="0"/>
              <w:left w:val="single" w:color="FFFFFF" w:sz="6" w:space="0"/>
              <w:bottom w:val="single" w:color="FFFFFF" w:sz="18" w:space="0"/>
              <w:right w:val="single" w:color="FFFFFF" w:sz="6" w:space="0"/>
            </w:tcBorders>
            <w:shd w:val="clear" w:color="auto" w:fill="6096E6"/>
            <w:tcMar>
              <w:top w:w="72" w:type="dxa"/>
              <w:left w:w="144" w:type="dxa"/>
              <w:bottom w:w="72" w:type="dxa"/>
              <w:right w:w="144" w:type="dxa"/>
            </w:tcMar>
            <w:vAlign w:val="center"/>
          </w:tcPr>
          <w:p>
            <w:pPr>
              <w:widowControl/>
              <w:spacing w:line="240" w:lineRule="auto"/>
              <w:jc w:val="center"/>
              <w:rPr>
                <w:b/>
                <w:bCs/>
                <w:color w:val="FFFFFF"/>
                <w:kern w:val="0"/>
                <w:sz w:val="21"/>
                <w:szCs w:val="21"/>
              </w:rPr>
            </w:pPr>
            <w:r>
              <w:rPr>
                <w:b/>
                <w:bCs/>
                <w:color w:val="FFFFFF"/>
                <w:kern w:val="0"/>
                <w:sz w:val="21"/>
                <w:szCs w:val="21"/>
              </w:rPr>
              <w:t>商英专四良好率</w:t>
            </w:r>
          </w:p>
        </w:tc>
        <w:tc>
          <w:tcPr>
            <w:tcW w:w="1182" w:type="pct"/>
            <w:tcBorders>
              <w:top w:val="single" w:color="FFFFFF" w:sz="6" w:space="0"/>
              <w:left w:val="single" w:color="FFFFFF" w:sz="6" w:space="0"/>
              <w:bottom w:val="single" w:color="FFFFFF" w:sz="18" w:space="0"/>
              <w:right w:val="single" w:color="FFFFFF" w:sz="6" w:space="0"/>
            </w:tcBorders>
            <w:shd w:val="clear" w:color="auto" w:fill="6096E6"/>
            <w:tcMar>
              <w:top w:w="72" w:type="dxa"/>
              <w:left w:w="144" w:type="dxa"/>
              <w:bottom w:w="72" w:type="dxa"/>
              <w:right w:w="144" w:type="dxa"/>
            </w:tcMar>
            <w:vAlign w:val="center"/>
          </w:tcPr>
          <w:p>
            <w:pPr>
              <w:widowControl/>
              <w:spacing w:line="240" w:lineRule="auto"/>
              <w:jc w:val="center"/>
              <w:rPr>
                <w:b/>
                <w:bCs/>
                <w:color w:val="FFFFFF"/>
                <w:kern w:val="0"/>
                <w:sz w:val="21"/>
                <w:szCs w:val="21"/>
              </w:rPr>
            </w:pPr>
            <w:r>
              <w:rPr>
                <w:b/>
                <w:bCs/>
                <w:color w:val="FFFFFF"/>
                <w:kern w:val="0"/>
                <w:sz w:val="21"/>
                <w:szCs w:val="21"/>
              </w:rPr>
              <w:t>商英电专四良好率</w:t>
            </w:r>
          </w:p>
        </w:tc>
      </w:tr>
      <w:tr>
        <w:tblPrEx>
          <w:tblCellMar>
            <w:top w:w="0" w:type="dxa"/>
            <w:left w:w="0" w:type="dxa"/>
            <w:bottom w:w="0" w:type="dxa"/>
            <w:right w:w="0" w:type="dxa"/>
          </w:tblCellMar>
        </w:tblPrEx>
        <w:trPr>
          <w:trHeight w:val="316" w:hRule="atLeast"/>
          <w:tblCellSpacing w:w="0" w:type="dxa"/>
          <w:jc w:val="center"/>
        </w:trPr>
        <w:tc>
          <w:tcPr>
            <w:tcW w:w="426" w:type="pct"/>
            <w:tcBorders>
              <w:top w:val="single" w:color="FFFFFF" w:sz="6" w:space="0"/>
              <w:left w:val="single" w:color="FFFFFF" w:sz="6" w:space="0"/>
              <w:bottom w:val="single" w:color="FFFFFF" w:sz="18" w:space="0"/>
              <w:right w:val="single" w:color="FFFFFF" w:sz="6" w:space="0"/>
            </w:tcBorders>
            <w:shd w:val="clear" w:color="auto" w:fill="D2DDF5"/>
            <w:tcMar>
              <w:top w:w="72" w:type="dxa"/>
              <w:left w:w="144" w:type="dxa"/>
              <w:bottom w:w="72" w:type="dxa"/>
              <w:right w:w="144" w:type="dxa"/>
            </w:tcMar>
            <w:vAlign w:val="center"/>
          </w:tcPr>
          <w:p>
            <w:pPr>
              <w:widowControl/>
              <w:spacing w:line="240" w:lineRule="auto"/>
              <w:jc w:val="center"/>
              <w:rPr>
                <w:kern w:val="0"/>
                <w:sz w:val="21"/>
                <w:szCs w:val="21"/>
              </w:rPr>
            </w:pPr>
            <w:r>
              <w:rPr>
                <w:color w:val="000000"/>
                <w:kern w:val="0"/>
                <w:sz w:val="21"/>
                <w:szCs w:val="21"/>
              </w:rPr>
              <w:t>2019</w:t>
            </w:r>
          </w:p>
        </w:tc>
        <w:tc>
          <w:tcPr>
            <w:tcW w:w="1103" w:type="pct"/>
            <w:tcBorders>
              <w:top w:val="single" w:color="FFFFFF" w:sz="6" w:space="0"/>
              <w:left w:val="single" w:color="FFFFFF" w:sz="6" w:space="0"/>
              <w:bottom w:val="single" w:color="FFFFFF" w:sz="18" w:space="0"/>
              <w:right w:val="single" w:color="FFFFFF" w:sz="6" w:space="0"/>
            </w:tcBorders>
            <w:shd w:val="clear" w:color="auto" w:fill="D2DDF5"/>
            <w:tcMar>
              <w:top w:w="72" w:type="dxa"/>
              <w:left w:w="144" w:type="dxa"/>
              <w:bottom w:w="72" w:type="dxa"/>
              <w:right w:w="144" w:type="dxa"/>
            </w:tcMar>
            <w:vAlign w:val="center"/>
          </w:tcPr>
          <w:p>
            <w:pPr>
              <w:widowControl/>
              <w:spacing w:line="240" w:lineRule="auto"/>
              <w:jc w:val="center"/>
              <w:rPr>
                <w:kern w:val="0"/>
                <w:sz w:val="21"/>
                <w:szCs w:val="21"/>
              </w:rPr>
            </w:pPr>
            <w:r>
              <w:rPr>
                <w:color w:val="000000"/>
                <w:kern w:val="0"/>
                <w:sz w:val="21"/>
                <w:szCs w:val="21"/>
              </w:rPr>
              <w:t>87.5%</w:t>
            </w:r>
          </w:p>
        </w:tc>
        <w:tc>
          <w:tcPr>
            <w:tcW w:w="1182" w:type="pct"/>
            <w:tcBorders>
              <w:top w:val="single" w:color="FFFFFF" w:sz="6" w:space="0"/>
              <w:left w:val="single" w:color="FFFFFF" w:sz="6" w:space="0"/>
              <w:bottom w:val="single" w:color="FFFFFF" w:sz="18" w:space="0"/>
              <w:right w:val="single" w:color="FFFFFF" w:sz="6" w:space="0"/>
            </w:tcBorders>
            <w:shd w:val="clear" w:color="auto" w:fill="D2DDF5"/>
            <w:tcMar>
              <w:top w:w="72" w:type="dxa"/>
              <w:left w:w="144" w:type="dxa"/>
              <w:bottom w:w="72" w:type="dxa"/>
              <w:right w:w="144" w:type="dxa"/>
            </w:tcMar>
            <w:vAlign w:val="center"/>
          </w:tcPr>
          <w:p>
            <w:pPr>
              <w:widowControl/>
              <w:spacing w:line="240" w:lineRule="auto"/>
              <w:jc w:val="center"/>
              <w:rPr>
                <w:kern w:val="0"/>
                <w:sz w:val="21"/>
                <w:szCs w:val="21"/>
              </w:rPr>
            </w:pPr>
            <w:r>
              <w:rPr>
                <w:color w:val="000000"/>
                <w:kern w:val="0"/>
                <w:sz w:val="21"/>
                <w:szCs w:val="21"/>
              </w:rPr>
              <w:t>73%</w:t>
            </w:r>
          </w:p>
        </w:tc>
        <w:tc>
          <w:tcPr>
            <w:tcW w:w="1106" w:type="pct"/>
            <w:tcBorders>
              <w:top w:val="single" w:color="FFFFFF" w:sz="6" w:space="0"/>
              <w:left w:val="single" w:color="FFFFFF" w:sz="6" w:space="0"/>
              <w:bottom w:val="single" w:color="FFFFFF" w:sz="18" w:space="0"/>
              <w:right w:val="single" w:color="FFFFFF" w:sz="6" w:space="0"/>
            </w:tcBorders>
            <w:shd w:val="clear" w:color="auto" w:fill="D2DDF5"/>
            <w:tcMar>
              <w:top w:w="72" w:type="dxa"/>
              <w:left w:w="144" w:type="dxa"/>
              <w:bottom w:w="72" w:type="dxa"/>
              <w:right w:w="144" w:type="dxa"/>
            </w:tcMar>
            <w:vAlign w:val="center"/>
          </w:tcPr>
          <w:p>
            <w:pPr>
              <w:widowControl/>
              <w:spacing w:line="240" w:lineRule="auto"/>
              <w:jc w:val="center"/>
              <w:rPr>
                <w:kern w:val="0"/>
                <w:sz w:val="21"/>
                <w:szCs w:val="21"/>
              </w:rPr>
            </w:pPr>
            <w:r>
              <w:rPr>
                <w:color w:val="000000"/>
                <w:kern w:val="0"/>
                <w:sz w:val="21"/>
                <w:szCs w:val="21"/>
              </w:rPr>
              <w:t>35%</w:t>
            </w:r>
          </w:p>
        </w:tc>
        <w:tc>
          <w:tcPr>
            <w:tcW w:w="1182" w:type="pct"/>
            <w:tcBorders>
              <w:top w:val="single" w:color="FFFFFF" w:sz="6" w:space="0"/>
              <w:left w:val="single" w:color="FFFFFF" w:sz="6" w:space="0"/>
              <w:bottom w:val="single" w:color="FFFFFF" w:sz="18" w:space="0"/>
              <w:right w:val="single" w:color="FFFFFF" w:sz="6" w:space="0"/>
            </w:tcBorders>
            <w:shd w:val="clear" w:color="auto" w:fill="D2DDF5"/>
            <w:tcMar>
              <w:top w:w="72" w:type="dxa"/>
              <w:left w:w="144" w:type="dxa"/>
              <w:bottom w:w="72" w:type="dxa"/>
              <w:right w:w="144" w:type="dxa"/>
            </w:tcMar>
            <w:vAlign w:val="center"/>
          </w:tcPr>
          <w:p>
            <w:pPr>
              <w:widowControl/>
              <w:spacing w:line="240" w:lineRule="auto"/>
              <w:jc w:val="center"/>
              <w:rPr>
                <w:kern w:val="0"/>
                <w:sz w:val="21"/>
                <w:szCs w:val="21"/>
              </w:rPr>
            </w:pPr>
            <w:r>
              <w:rPr>
                <w:color w:val="000000"/>
                <w:kern w:val="0"/>
                <w:sz w:val="21"/>
                <w:szCs w:val="21"/>
              </w:rPr>
              <w:t>35.3%</w:t>
            </w:r>
          </w:p>
        </w:tc>
      </w:tr>
      <w:tr>
        <w:tblPrEx>
          <w:tblCellMar>
            <w:top w:w="0" w:type="dxa"/>
            <w:left w:w="0" w:type="dxa"/>
            <w:bottom w:w="0" w:type="dxa"/>
            <w:right w:w="0" w:type="dxa"/>
          </w:tblCellMar>
        </w:tblPrEx>
        <w:trPr>
          <w:trHeight w:val="316" w:hRule="atLeast"/>
          <w:tblCellSpacing w:w="0" w:type="dxa"/>
          <w:jc w:val="center"/>
        </w:trPr>
        <w:tc>
          <w:tcPr>
            <w:tcW w:w="426" w:type="pct"/>
            <w:tcBorders>
              <w:top w:val="single" w:color="FFFFFF" w:sz="6" w:space="0"/>
              <w:left w:val="single" w:color="FFFFFF" w:sz="6" w:space="0"/>
              <w:bottom w:val="single" w:color="FFFFFF" w:sz="18" w:space="0"/>
              <w:right w:val="single" w:color="FFFFFF" w:sz="6" w:space="0"/>
            </w:tcBorders>
            <w:shd w:val="clear" w:color="auto" w:fill="EAEFFA"/>
            <w:tcMar>
              <w:top w:w="72" w:type="dxa"/>
              <w:left w:w="144" w:type="dxa"/>
              <w:bottom w:w="72" w:type="dxa"/>
              <w:right w:w="144" w:type="dxa"/>
            </w:tcMar>
            <w:vAlign w:val="center"/>
          </w:tcPr>
          <w:p>
            <w:pPr>
              <w:widowControl/>
              <w:spacing w:line="240" w:lineRule="auto"/>
              <w:jc w:val="center"/>
              <w:rPr>
                <w:kern w:val="0"/>
                <w:sz w:val="21"/>
                <w:szCs w:val="21"/>
              </w:rPr>
            </w:pPr>
            <w:r>
              <w:rPr>
                <w:color w:val="000000"/>
                <w:kern w:val="0"/>
                <w:sz w:val="21"/>
                <w:szCs w:val="21"/>
              </w:rPr>
              <w:t>2018</w:t>
            </w:r>
          </w:p>
        </w:tc>
        <w:tc>
          <w:tcPr>
            <w:tcW w:w="1103" w:type="pct"/>
            <w:tcBorders>
              <w:top w:val="single" w:color="FFFFFF" w:sz="6" w:space="0"/>
              <w:left w:val="single" w:color="FFFFFF" w:sz="6" w:space="0"/>
              <w:bottom w:val="single" w:color="FFFFFF" w:sz="18" w:space="0"/>
              <w:right w:val="single" w:color="FFFFFF" w:sz="6" w:space="0"/>
            </w:tcBorders>
            <w:shd w:val="clear" w:color="auto" w:fill="EAEFFA"/>
            <w:tcMar>
              <w:top w:w="72" w:type="dxa"/>
              <w:left w:w="144" w:type="dxa"/>
              <w:bottom w:w="72" w:type="dxa"/>
              <w:right w:w="144" w:type="dxa"/>
            </w:tcMar>
            <w:vAlign w:val="center"/>
          </w:tcPr>
          <w:p>
            <w:pPr>
              <w:widowControl/>
              <w:spacing w:line="240" w:lineRule="auto"/>
              <w:jc w:val="center"/>
              <w:rPr>
                <w:kern w:val="0"/>
                <w:sz w:val="21"/>
                <w:szCs w:val="21"/>
              </w:rPr>
            </w:pPr>
            <w:r>
              <w:rPr>
                <w:color w:val="000000"/>
                <w:kern w:val="0"/>
                <w:sz w:val="21"/>
                <w:szCs w:val="21"/>
              </w:rPr>
              <w:t>93.3%</w:t>
            </w:r>
          </w:p>
        </w:tc>
        <w:tc>
          <w:tcPr>
            <w:tcW w:w="1182" w:type="pct"/>
            <w:tcBorders>
              <w:top w:val="single" w:color="FFFFFF" w:sz="6" w:space="0"/>
              <w:left w:val="single" w:color="FFFFFF" w:sz="6" w:space="0"/>
              <w:bottom w:val="single" w:color="FFFFFF" w:sz="18" w:space="0"/>
              <w:right w:val="single" w:color="FFFFFF" w:sz="6" w:space="0"/>
            </w:tcBorders>
            <w:shd w:val="clear" w:color="auto" w:fill="EAEFFA"/>
            <w:tcMar>
              <w:top w:w="72" w:type="dxa"/>
              <w:left w:w="144" w:type="dxa"/>
              <w:bottom w:w="72" w:type="dxa"/>
              <w:right w:w="144" w:type="dxa"/>
            </w:tcMar>
            <w:vAlign w:val="center"/>
          </w:tcPr>
          <w:p>
            <w:pPr>
              <w:widowControl/>
              <w:spacing w:line="240" w:lineRule="auto"/>
              <w:jc w:val="center"/>
              <w:rPr>
                <w:kern w:val="0"/>
                <w:sz w:val="21"/>
                <w:szCs w:val="21"/>
              </w:rPr>
            </w:pPr>
            <w:r>
              <w:rPr>
                <w:color w:val="000000"/>
                <w:kern w:val="0"/>
                <w:sz w:val="21"/>
                <w:szCs w:val="21"/>
              </w:rPr>
              <w:t>73.4%</w:t>
            </w:r>
          </w:p>
        </w:tc>
        <w:tc>
          <w:tcPr>
            <w:tcW w:w="1106" w:type="pct"/>
            <w:tcBorders>
              <w:top w:val="single" w:color="FFFFFF" w:sz="6" w:space="0"/>
              <w:left w:val="single" w:color="FFFFFF" w:sz="6" w:space="0"/>
              <w:bottom w:val="single" w:color="FFFFFF" w:sz="18" w:space="0"/>
              <w:right w:val="single" w:color="FFFFFF" w:sz="6" w:space="0"/>
            </w:tcBorders>
            <w:shd w:val="clear" w:color="auto" w:fill="EAEFFA"/>
            <w:tcMar>
              <w:top w:w="72" w:type="dxa"/>
              <w:left w:w="144" w:type="dxa"/>
              <w:bottom w:w="72" w:type="dxa"/>
              <w:right w:w="144" w:type="dxa"/>
            </w:tcMar>
            <w:vAlign w:val="center"/>
          </w:tcPr>
          <w:p>
            <w:pPr>
              <w:widowControl/>
              <w:spacing w:line="240" w:lineRule="auto"/>
              <w:jc w:val="center"/>
              <w:rPr>
                <w:kern w:val="0"/>
                <w:sz w:val="21"/>
                <w:szCs w:val="21"/>
              </w:rPr>
            </w:pPr>
            <w:r>
              <w:rPr>
                <w:color w:val="000000"/>
                <w:kern w:val="0"/>
                <w:sz w:val="21"/>
                <w:szCs w:val="21"/>
              </w:rPr>
              <w:t>60%</w:t>
            </w:r>
          </w:p>
        </w:tc>
        <w:tc>
          <w:tcPr>
            <w:tcW w:w="1182" w:type="pct"/>
            <w:tcBorders>
              <w:top w:val="single" w:color="FFFFFF" w:sz="6" w:space="0"/>
              <w:left w:val="single" w:color="FFFFFF" w:sz="6" w:space="0"/>
              <w:bottom w:val="single" w:color="FFFFFF" w:sz="18" w:space="0"/>
              <w:right w:val="single" w:color="FFFFFF" w:sz="6" w:space="0"/>
            </w:tcBorders>
            <w:shd w:val="clear" w:color="auto" w:fill="EAEFFA"/>
            <w:tcMar>
              <w:top w:w="72" w:type="dxa"/>
              <w:left w:w="144" w:type="dxa"/>
              <w:bottom w:w="72" w:type="dxa"/>
              <w:right w:w="144" w:type="dxa"/>
            </w:tcMar>
            <w:vAlign w:val="center"/>
          </w:tcPr>
          <w:p>
            <w:pPr>
              <w:widowControl/>
              <w:spacing w:line="240" w:lineRule="auto"/>
              <w:jc w:val="center"/>
              <w:rPr>
                <w:kern w:val="0"/>
                <w:sz w:val="21"/>
                <w:szCs w:val="21"/>
              </w:rPr>
            </w:pPr>
            <w:r>
              <w:rPr>
                <w:color w:val="000000"/>
                <w:kern w:val="0"/>
                <w:sz w:val="21"/>
                <w:szCs w:val="21"/>
              </w:rPr>
              <w:t>47%</w:t>
            </w:r>
          </w:p>
        </w:tc>
      </w:tr>
      <w:tr>
        <w:tblPrEx>
          <w:tblCellMar>
            <w:top w:w="0" w:type="dxa"/>
            <w:left w:w="0" w:type="dxa"/>
            <w:bottom w:w="0" w:type="dxa"/>
            <w:right w:w="0" w:type="dxa"/>
          </w:tblCellMar>
        </w:tblPrEx>
        <w:trPr>
          <w:trHeight w:val="331" w:hRule="atLeast"/>
          <w:tblCellSpacing w:w="0" w:type="dxa"/>
          <w:jc w:val="center"/>
        </w:trPr>
        <w:tc>
          <w:tcPr>
            <w:tcW w:w="426" w:type="pct"/>
            <w:tcBorders>
              <w:top w:val="single" w:color="FFFFFF" w:sz="6" w:space="0"/>
              <w:left w:val="single" w:color="FFFFFF" w:sz="6" w:space="0"/>
              <w:bottom w:val="single" w:color="FFFFFF" w:sz="18" w:space="0"/>
              <w:right w:val="single" w:color="FFFFFF" w:sz="6" w:space="0"/>
            </w:tcBorders>
            <w:shd w:val="clear" w:color="auto" w:fill="D2DDF5"/>
            <w:tcMar>
              <w:top w:w="72" w:type="dxa"/>
              <w:left w:w="144" w:type="dxa"/>
              <w:bottom w:w="72" w:type="dxa"/>
              <w:right w:w="144" w:type="dxa"/>
            </w:tcMar>
            <w:vAlign w:val="center"/>
          </w:tcPr>
          <w:p>
            <w:pPr>
              <w:widowControl/>
              <w:spacing w:line="240" w:lineRule="auto"/>
              <w:jc w:val="center"/>
              <w:rPr>
                <w:kern w:val="0"/>
                <w:sz w:val="21"/>
                <w:szCs w:val="21"/>
              </w:rPr>
            </w:pPr>
            <w:r>
              <w:rPr>
                <w:color w:val="000000"/>
                <w:kern w:val="0"/>
                <w:sz w:val="21"/>
                <w:szCs w:val="21"/>
              </w:rPr>
              <w:t>2017</w:t>
            </w:r>
          </w:p>
        </w:tc>
        <w:tc>
          <w:tcPr>
            <w:tcW w:w="1103" w:type="pct"/>
            <w:tcBorders>
              <w:top w:val="single" w:color="FFFFFF" w:sz="6" w:space="0"/>
              <w:left w:val="single" w:color="FFFFFF" w:sz="6" w:space="0"/>
              <w:bottom w:val="single" w:color="FFFFFF" w:sz="18" w:space="0"/>
              <w:right w:val="single" w:color="FFFFFF" w:sz="6" w:space="0"/>
            </w:tcBorders>
            <w:shd w:val="clear" w:color="auto" w:fill="D2DDF5"/>
            <w:tcMar>
              <w:top w:w="72" w:type="dxa"/>
              <w:left w:w="144" w:type="dxa"/>
              <w:bottom w:w="72" w:type="dxa"/>
              <w:right w:w="144" w:type="dxa"/>
            </w:tcMar>
            <w:vAlign w:val="center"/>
          </w:tcPr>
          <w:p>
            <w:pPr>
              <w:widowControl/>
              <w:spacing w:line="240" w:lineRule="auto"/>
              <w:jc w:val="center"/>
              <w:rPr>
                <w:kern w:val="0"/>
                <w:sz w:val="21"/>
                <w:szCs w:val="21"/>
              </w:rPr>
            </w:pPr>
            <w:r>
              <w:rPr>
                <w:color w:val="000000"/>
                <w:kern w:val="0"/>
                <w:sz w:val="21"/>
                <w:szCs w:val="21"/>
              </w:rPr>
              <w:t>82.3%</w:t>
            </w:r>
          </w:p>
        </w:tc>
        <w:tc>
          <w:tcPr>
            <w:tcW w:w="1182" w:type="pct"/>
            <w:tcBorders>
              <w:top w:val="single" w:color="FFFFFF" w:sz="6" w:space="0"/>
              <w:left w:val="single" w:color="FFFFFF" w:sz="6" w:space="0"/>
              <w:bottom w:val="single" w:color="FFFFFF" w:sz="18" w:space="0"/>
              <w:right w:val="single" w:color="FFFFFF" w:sz="6" w:space="0"/>
            </w:tcBorders>
            <w:shd w:val="clear" w:color="auto" w:fill="D2DDF5"/>
            <w:tcMar>
              <w:top w:w="72" w:type="dxa"/>
              <w:left w:w="144" w:type="dxa"/>
              <w:bottom w:w="72" w:type="dxa"/>
              <w:right w:w="144" w:type="dxa"/>
            </w:tcMar>
            <w:vAlign w:val="center"/>
          </w:tcPr>
          <w:p>
            <w:pPr>
              <w:widowControl/>
              <w:spacing w:line="240" w:lineRule="auto"/>
              <w:jc w:val="center"/>
              <w:rPr>
                <w:kern w:val="0"/>
                <w:sz w:val="21"/>
                <w:szCs w:val="21"/>
              </w:rPr>
            </w:pPr>
            <w:r>
              <w:rPr>
                <w:kern w:val="0"/>
                <w:sz w:val="21"/>
                <w:szCs w:val="21"/>
              </w:rPr>
              <w:t>尚未招生</w:t>
            </w:r>
          </w:p>
        </w:tc>
        <w:tc>
          <w:tcPr>
            <w:tcW w:w="1106" w:type="pct"/>
            <w:tcBorders>
              <w:top w:val="single" w:color="FFFFFF" w:sz="6" w:space="0"/>
              <w:left w:val="single" w:color="FFFFFF" w:sz="6" w:space="0"/>
              <w:bottom w:val="single" w:color="FFFFFF" w:sz="18" w:space="0"/>
              <w:right w:val="single" w:color="FFFFFF" w:sz="6" w:space="0"/>
            </w:tcBorders>
            <w:shd w:val="clear" w:color="auto" w:fill="D2DDF5"/>
            <w:tcMar>
              <w:top w:w="72" w:type="dxa"/>
              <w:left w:w="144" w:type="dxa"/>
              <w:bottom w:w="72" w:type="dxa"/>
              <w:right w:w="144" w:type="dxa"/>
            </w:tcMar>
            <w:vAlign w:val="center"/>
          </w:tcPr>
          <w:p>
            <w:pPr>
              <w:widowControl/>
              <w:spacing w:line="240" w:lineRule="auto"/>
              <w:jc w:val="center"/>
              <w:rPr>
                <w:kern w:val="0"/>
                <w:sz w:val="21"/>
                <w:szCs w:val="21"/>
              </w:rPr>
            </w:pPr>
            <w:r>
              <w:rPr>
                <w:kern w:val="0"/>
                <w:sz w:val="21"/>
                <w:szCs w:val="21"/>
              </w:rPr>
              <w:t>47%</w:t>
            </w:r>
          </w:p>
        </w:tc>
        <w:tc>
          <w:tcPr>
            <w:tcW w:w="1182" w:type="pct"/>
            <w:tcBorders>
              <w:top w:val="single" w:color="FFFFFF" w:sz="6" w:space="0"/>
              <w:left w:val="single" w:color="FFFFFF" w:sz="6" w:space="0"/>
              <w:bottom w:val="single" w:color="FFFFFF" w:sz="18" w:space="0"/>
              <w:right w:val="single" w:color="FFFFFF" w:sz="6" w:space="0"/>
            </w:tcBorders>
            <w:shd w:val="clear" w:color="auto" w:fill="D2DDF5"/>
            <w:tcMar>
              <w:top w:w="72" w:type="dxa"/>
              <w:left w:w="144" w:type="dxa"/>
              <w:bottom w:w="72" w:type="dxa"/>
              <w:right w:w="144" w:type="dxa"/>
            </w:tcMar>
            <w:vAlign w:val="center"/>
          </w:tcPr>
          <w:p>
            <w:pPr>
              <w:widowControl/>
              <w:spacing w:line="240" w:lineRule="auto"/>
              <w:jc w:val="center"/>
              <w:rPr>
                <w:kern w:val="0"/>
                <w:sz w:val="21"/>
                <w:szCs w:val="21"/>
              </w:rPr>
            </w:pPr>
            <w:r>
              <w:rPr>
                <w:kern w:val="0"/>
                <w:sz w:val="21"/>
                <w:szCs w:val="21"/>
              </w:rPr>
              <w:t>尚未招生</w:t>
            </w:r>
          </w:p>
        </w:tc>
      </w:tr>
      <w:tr>
        <w:tblPrEx>
          <w:tblCellMar>
            <w:top w:w="0" w:type="dxa"/>
            <w:left w:w="0" w:type="dxa"/>
            <w:bottom w:w="0" w:type="dxa"/>
            <w:right w:w="0" w:type="dxa"/>
          </w:tblCellMar>
        </w:tblPrEx>
        <w:trPr>
          <w:trHeight w:val="226" w:hRule="atLeast"/>
          <w:tblCellSpacing w:w="0" w:type="dxa"/>
          <w:jc w:val="center"/>
        </w:trPr>
        <w:tc>
          <w:tcPr>
            <w:tcW w:w="426" w:type="pct"/>
            <w:tcBorders>
              <w:top w:val="single" w:color="FFFFFF" w:sz="6" w:space="0"/>
              <w:left w:val="single" w:color="FFFFFF" w:sz="6" w:space="0"/>
              <w:bottom w:val="single" w:color="FFFFFF" w:sz="6" w:space="0"/>
              <w:right w:val="single" w:color="FFFFFF" w:sz="6" w:space="0"/>
            </w:tcBorders>
            <w:shd w:val="clear" w:color="auto" w:fill="EAEFFA"/>
            <w:tcMar>
              <w:top w:w="72" w:type="dxa"/>
              <w:left w:w="144" w:type="dxa"/>
              <w:bottom w:w="72" w:type="dxa"/>
              <w:right w:w="144" w:type="dxa"/>
            </w:tcMar>
            <w:vAlign w:val="center"/>
          </w:tcPr>
          <w:p>
            <w:pPr>
              <w:widowControl/>
              <w:spacing w:line="240" w:lineRule="auto"/>
              <w:jc w:val="center"/>
              <w:rPr>
                <w:kern w:val="0"/>
                <w:sz w:val="21"/>
                <w:szCs w:val="21"/>
              </w:rPr>
            </w:pPr>
            <w:r>
              <w:rPr>
                <w:color w:val="000000"/>
                <w:kern w:val="0"/>
                <w:sz w:val="21"/>
                <w:szCs w:val="21"/>
              </w:rPr>
              <w:t>2016</w:t>
            </w:r>
          </w:p>
        </w:tc>
        <w:tc>
          <w:tcPr>
            <w:tcW w:w="1103" w:type="pct"/>
            <w:tcBorders>
              <w:top w:val="single" w:color="FFFFFF" w:sz="6" w:space="0"/>
              <w:left w:val="single" w:color="FFFFFF" w:sz="6" w:space="0"/>
              <w:bottom w:val="single" w:color="FFFFFF" w:sz="6" w:space="0"/>
              <w:right w:val="single" w:color="FFFFFF" w:sz="6" w:space="0"/>
            </w:tcBorders>
            <w:shd w:val="clear" w:color="auto" w:fill="EAEFFA"/>
            <w:tcMar>
              <w:top w:w="72" w:type="dxa"/>
              <w:left w:w="144" w:type="dxa"/>
              <w:bottom w:w="72" w:type="dxa"/>
              <w:right w:w="144" w:type="dxa"/>
            </w:tcMar>
            <w:vAlign w:val="center"/>
          </w:tcPr>
          <w:p>
            <w:pPr>
              <w:widowControl/>
              <w:spacing w:line="240" w:lineRule="auto"/>
              <w:jc w:val="center"/>
              <w:rPr>
                <w:kern w:val="0"/>
                <w:sz w:val="21"/>
                <w:szCs w:val="21"/>
              </w:rPr>
            </w:pPr>
            <w:r>
              <w:rPr>
                <w:color w:val="000000"/>
                <w:kern w:val="0"/>
                <w:sz w:val="21"/>
                <w:szCs w:val="21"/>
              </w:rPr>
              <w:t>83.9%</w:t>
            </w:r>
          </w:p>
        </w:tc>
        <w:tc>
          <w:tcPr>
            <w:tcW w:w="1182" w:type="pct"/>
            <w:tcBorders>
              <w:top w:val="single" w:color="FFFFFF" w:sz="6" w:space="0"/>
              <w:left w:val="single" w:color="FFFFFF" w:sz="6" w:space="0"/>
              <w:bottom w:val="single" w:color="FFFFFF" w:sz="6" w:space="0"/>
              <w:right w:val="single" w:color="FFFFFF" w:sz="6" w:space="0"/>
            </w:tcBorders>
            <w:shd w:val="clear" w:color="auto" w:fill="EAEFFA"/>
            <w:tcMar>
              <w:top w:w="72" w:type="dxa"/>
              <w:left w:w="144" w:type="dxa"/>
              <w:bottom w:w="72" w:type="dxa"/>
              <w:right w:w="144" w:type="dxa"/>
            </w:tcMar>
            <w:vAlign w:val="center"/>
          </w:tcPr>
          <w:p>
            <w:pPr>
              <w:widowControl/>
              <w:spacing w:line="240" w:lineRule="auto"/>
              <w:jc w:val="center"/>
              <w:rPr>
                <w:kern w:val="0"/>
                <w:sz w:val="21"/>
                <w:szCs w:val="21"/>
              </w:rPr>
            </w:pPr>
            <w:r>
              <w:rPr>
                <w:kern w:val="0"/>
                <w:sz w:val="21"/>
                <w:szCs w:val="21"/>
              </w:rPr>
              <w:t>尚未招生</w:t>
            </w:r>
          </w:p>
        </w:tc>
        <w:tc>
          <w:tcPr>
            <w:tcW w:w="1106" w:type="pct"/>
            <w:tcBorders>
              <w:top w:val="single" w:color="FFFFFF" w:sz="6" w:space="0"/>
              <w:left w:val="single" w:color="FFFFFF" w:sz="6" w:space="0"/>
              <w:bottom w:val="single" w:color="FFFFFF" w:sz="6" w:space="0"/>
              <w:right w:val="single" w:color="FFFFFF" w:sz="6" w:space="0"/>
            </w:tcBorders>
            <w:shd w:val="clear" w:color="auto" w:fill="EAEFFA"/>
            <w:tcMar>
              <w:top w:w="72" w:type="dxa"/>
              <w:left w:w="144" w:type="dxa"/>
              <w:bottom w:w="72" w:type="dxa"/>
              <w:right w:w="144" w:type="dxa"/>
            </w:tcMar>
            <w:vAlign w:val="center"/>
          </w:tcPr>
          <w:p>
            <w:pPr>
              <w:widowControl/>
              <w:spacing w:line="240" w:lineRule="auto"/>
              <w:jc w:val="center"/>
              <w:rPr>
                <w:kern w:val="0"/>
                <w:sz w:val="21"/>
                <w:szCs w:val="21"/>
              </w:rPr>
            </w:pPr>
            <w:r>
              <w:rPr>
                <w:kern w:val="0"/>
                <w:sz w:val="21"/>
                <w:szCs w:val="21"/>
              </w:rPr>
              <w:t>40%</w:t>
            </w:r>
          </w:p>
        </w:tc>
        <w:tc>
          <w:tcPr>
            <w:tcW w:w="1182" w:type="pct"/>
            <w:tcBorders>
              <w:top w:val="single" w:color="FFFFFF" w:sz="6" w:space="0"/>
              <w:left w:val="single" w:color="FFFFFF" w:sz="6" w:space="0"/>
              <w:bottom w:val="single" w:color="FFFFFF" w:sz="6" w:space="0"/>
              <w:right w:val="single" w:color="FFFFFF" w:sz="6" w:space="0"/>
            </w:tcBorders>
            <w:shd w:val="clear" w:color="auto" w:fill="EAEFFA"/>
            <w:tcMar>
              <w:top w:w="72" w:type="dxa"/>
              <w:left w:w="144" w:type="dxa"/>
              <w:bottom w:w="72" w:type="dxa"/>
              <w:right w:w="144" w:type="dxa"/>
            </w:tcMar>
            <w:vAlign w:val="center"/>
          </w:tcPr>
          <w:p>
            <w:pPr>
              <w:widowControl/>
              <w:spacing w:line="240" w:lineRule="auto"/>
              <w:jc w:val="center"/>
              <w:rPr>
                <w:kern w:val="0"/>
                <w:sz w:val="21"/>
                <w:szCs w:val="21"/>
              </w:rPr>
            </w:pPr>
            <w:r>
              <w:rPr>
                <w:kern w:val="0"/>
                <w:sz w:val="21"/>
                <w:szCs w:val="21"/>
              </w:rPr>
              <w:t>尚未招生</w:t>
            </w:r>
          </w:p>
        </w:tc>
      </w:tr>
    </w:tbl>
    <w:p>
      <w:pPr>
        <w:ind w:firstLine="480"/>
      </w:pPr>
      <w:r>
        <w:t>加强实践环节，利用好校级实习实训基地的资源。秦工集团、山东网商、鲁普耐特集团等实习基地深入学校，走进课堂，定期举办跨境电商培训课程、网商实操课训练等，增强了学生的实践能力，提高了学生的企业沟通能力，也为企业输送合格的人才做好储备。与此同时，95%的同学顺利考取BEC 中级证书，阿里巴巴跨境电商初级人才认证证书等，另有部分学生顺利拿到了BEC高级证书、商务英语口笔译证书（初中高级）、全国商务英语翻译证书等，为深造及就业打下了良好的基础。</w:t>
      </w:r>
    </w:p>
    <w:p>
      <w:pPr>
        <w:pStyle w:val="5"/>
        <w:spacing w:before="93" w:after="93"/>
        <w:ind w:firstLine="560"/>
      </w:pPr>
      <w:r>
        <w:t>六</w:t>
      </w:r>
      <w:r>
        <w:rPr>
          <w:rFonts w:hint="eastAsia"/>
        </w:rPr>
        <w:t>、</w:t>
      </w:r>
      <w:r>
        <w:t>培养特色</w:t>
      </w:r>
    </w:p>
    <w:p>
      <w:pPr>
        <w:ind w:firstLine="480"/>
      </w:pPr>
      <w:r>
        <w:t>本专业特色鲜明：</w:t>
      </w:r>
    </w:p>
    <w:p>
      <w:pPr>
        <w:ind w:firstLine="480"/>
        <w:rPr>
          <w:bCs/>
        </w:rPr>
      </w:pPr>
      <w:r>
        <w:rPr>
          <w:bCs/>
        </w:rPr>
        <w:t>第一，凸显</w:t>
      </w:r>
      <w:r>
        <w:rPr>
          <w:rFonts w:hint="eastAsia"/>
          <w:bCs/>
        </w:rPr>
        <w:t>“</w:t>
      </w:r>
      <w:r>
        <w:rPr>
          <w:bCs/>
        </w:rPr>
        <w:t>复合型</w:t>
      </w:r>
      <w:r>
        <w:rPr>
          <w:rFonts w:hint="eastAsia"/>
          <w:bCs/>
        </w:rPr>
        <w:t>”</w:t>
      </w:r>
      <w:r>
        <w:rPr>
          <w:bCs/>
        </w:rPr>
        <w:t>专业特色。借助学校农科优势，着眼跨学科人才培养，形成校本特色课程群。</w:t>
      </w:r>
    </w:p>
    <w:p>
      <w:pPr>
        <w:ind w:firstLine="480"/>
        <w:rPr>
          <w:bCs/>
        </w:rPr>
      </w:pPr>
      <w:r>
        <w:rPr>
          <w:bCs/>
        </w:rPr>
        <w:t>第二，着力打造</w:t>
      </w:r>
      <w:r>
        <w:rPr>
          <w:rFonts w:hint="eastAsia"/>
          <w:bCs/>
        </w:rPr>
        <w:t>“</w:t>
      </w:r>
      <w:r>
        <w:rPr>
          <w:bCs/>
        </w:rPr>
        <w:t>双师型</w:t>
      </w:r>
      <w:r>
        <w:rPr>
          <w:rFonts w:hint="eastAsia"/>
          <w:bCs/>
        </w:rPr>
        <w:t>”</w:t>
      </w:r>
      <w:r>
        <w:rPr>
          <w:bCs/>
        </w:rPr>
        <w:t>师资。通过跨专业考博以及校企互派师资，打造高标准师资队伍。</w:t>
      </w:r>
    </w:p>
    <w:p>
      <w:pPr>
        <w:ind w:firstLine="480"/>
        <w:rPr>
          <w:bCs/>
        </w:rPr>
      </w:pPr>
      <w:r>
        <w:rPr>
          <w:bCs/>
        </w:rPr>
        <w:t>第三，</w:t>
      </w:r>
      <w:r>
        <w:rPr>
          <w:rFonts w:hint="eastAsia"/>
          <w:bCs/>
        </w:rPr>
        <w:t>“</w:t>
      </w:r>
      <w:r>
        <w:rPr>
          <w:bCs/>
        </w:rPr>
        <w:t>省一流本科课程</w:t>
      </w:r>
      <w:r>
        <w:rPr>
          <w:rFonts w:hint="eastAsia"/>
          <w:bCs/>
        </w:rPr>
        <w:t>”</w:t>
      </w:r>
      <w:r>
        <w:rPr>
          <w:bCs/>
        </w:rPr>
        <w:t>建设及</w:t>
      </w:r>
      <w:r>
        <w:rPr>
          <w:rFonts w:hint="eastAsia"/>
          <w:bCs/>
        </w:rPr>
        <w:t>“</w:t>
      </w:r>
      <w:r>
        <w:rPr>
          <w:bCs/>
        </w:rPr>
        <w:t>省一流本科专业</w:t>
      </w:r>
      <w:r>
        <w:rPr>
          <w:rFonts w:hint="eastAsia"/>
          <w:bCs/>
        </w:rPr>
        <w:t>”</w:t>
      </w:r>
      <w:r>
        <w:rPr>
          <w:bCs/>
        </w:rPr>
        <w:t>建设及教学成果突出。现有两门省级</w:t>
      </w:r>
      <w:r>
        <w:rPr>
          <w:rFonts w:hint="eastAsia"/>
          <w:bCs/>
        </w:rPr>
        <w:t>“</w:t>
      </w:r>
      <w:r>
        <w:rPr>
          <w:bCs/>
        </w:rPr>
        <w:t>一流本科课程</w:t>
      </w:r>
      <w:r>
        <w:rPr>
          <w:rFonts w:hint="eastAsia"/>
          <w:bCs/>
        </w:rPr>
        <w:t>”</w:t>
      </w:r>
      <w:r>
        <w:rPr>
          <w:bCs/>
        </w:rPr>
        <w:t>，教师屡获国家级和省级教学比赛大奖。</w:t>
      </w:r>
    </w:p>
    <w:p>
      <w:pPr>
        <w:ind w:firstLine="480"/>
      </w:pPr>
      <w:r>
        <w:rPr>
          <w:bCs/>
        </w:rPr>
        <w:t>第四，校企协同育人成效显著。与山东</w:t>
      </w:r>
      <w:r>
        <w:t>网商集团、鲁普耐特集团等多家知名企业建立教师发展、人才培养合作模式，实施产学研3D立体化教学，提升学生创新、实践能力，为区域经济发展培养人才。</w:t>
      </w:r>
    </w:p>
    <w:p>
      <w:pPr>
        <w:pStyle w:val="5"/>
        <w:spacing w:before="93" w:after="93"/>
        <w:ind w:firstLine="560"/>
      </w:pPr>
      <w:r>
        <w:t>七、毕业生就业创业</w:t>
      </w:r>
    </w:p>
    <w:p>
      <w:pPr>
        <w:pStyle w:val="6"/>
        <w:ind w:firstLine="480"/>
      </w:pPr>
      <w:r>
        <w:t>1.毕业生生源结构</w:t>
      </w:r>
    </w:p>
    <w:p>
      <w:pPr>
        <w:ind w:firstLine="480"/>
        <w:rPr>
          <w:lang w:bidi="zh-CN"/>
        </w:rPr>
      </w:pPr>
      <w:r>
        <w:t>本专业2022届毕业生共计123人，其中男生9人，占比7.32%，女生114人，占比92.68%；省内生源118人，占比95.93%，省外生源5人，占比4.07%，省外生源主要集中在黑龙江省、河南省、湖南省等。从民族结构看，2022届毕业生以汉族为主，共121人，占比98.37%；少数民族共2人，占比1.63%，包括回族、白族。</w:t>
      </w:r>
    </w:p>
    <w:p>
      <w:pPr>
        <w:spacing w:line="240" w:lineRule="auto"/>
        <w:ind w:firstLine="480"/>
        <w:jc w:val="center"/>
        <w:rPr>
          <w:b/>
          <w:bCs/>
          <w:sz w:val="21"/>
          <w:szCs w:val="21"/>
          <w:lang w:bidi="zh-CN"/>
        </w:rPr>
      </w:pPr>
      <w:r>
        <w:rPr>
          <w:b/>
          <w:bCs/>
          <w:sz w:val="21"/>
          <w:szCs w:val="21"/>
        </w:rPr>
        <w:t>表6.毕业生生源结构统计表</w:t>
      </w:r>
    </w:p>
    <w:tbl>
      <w:tblPr>
        <w:tblStyle w:val="17"/>
        <w:tblW w:w="4997" w:type="pct"/>
        <w:tblInd w:w="0" w:type="dxa"/>
        <w:tblLayout w:type="autofit"/>
        <w:tblCellMar>
          <w:top w:w="0" w:type="dxa"/>
          <w:left w:w="0" w:type="dxa"/>
          <w:bottom w:w="0" w:type="dxa"/>
          <w:right w:w="0" w:type="dxa"/>
        </w:tblCellMar>
      </w:tblPr>
      <w:tblGrid>
        <w:gridCol w:w="1133"/>
        <w:gridCol w:w="860"/>
        <w:gridCol w:w="1143"/>
        <w:gridCol w:w="1192"/>
        <w:gridCol w:w="1178"/>
        <w:gridCol w:w="1143"/>
        <w:gridCol w:w="1120"/>
        <w:gridCol w:w="1081"/>
      </w:tblGrid>
      <w:tr>
        <w:tblPrEx>
          <w:tblCellMar>
            <w:top w:w="0" w:type="dxa"/>
            <w:left w:w="0" w:type="dxa"/>
            <w:bottom w:w="0" w:type="dxa"/>
            <w:right w:w="0" w:type="dxa"/>
          </w:tblCellMar>
        </w:tblPrEx>
        <w:trPr>
          <w:trHeight w:val="659" w:hRule="atLeast"/>
        </w:trPr>
        <w:tc>
          <w:tcPr>
            <w:tcW w:w="640"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lang w:bidi="zh-CN"/>
              </w:rPr>
            </w:pPr>
            <w:r>
              <w:rPr>
                <w:b/>
                <w:bCs/>
                <w:sz w:val="21"/>
                <w:szCs w:val="21"/>
              </w:rPr>
              <w:t>专业名称</w:t>
            </w:r>
          </w:p>
        </w:tc>
        <w:tc>
          <w:tcPr>
            <w:tcW w:w="48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lang w:bidi="zh-CN"/>
              </w:rPr>
            </w:pPr>
            <w:r>
              <w:rPr>
                <w:b/>
                <w:bCs/>
                <w:sz w:val="21"/>
                <w:szCs w:val="21"/>
              </w:rPr>
              <w:t>生源</w:t>
            </w:r>
          </w:p>
          <w:p>
            <w:pPr>
              <w:spacing w:line="240" w:lineRule="auto"/>
              <w:jc w:val="center"/>
              <w:rPr>
                <w:b/>
                <w:bCs/>
                <w:sz w:val="21"/>
                <w:szCs w:val="21"/>
                <w:lang w:bidi="zh-CN"/>
              </w:rPr>
            </w:pPr>
            <w:r>
              <w:rPr>
                <w:b/>
                <w:bCs/>
                <w:sz w:val="21"/>
                <w:szCs w:val="21"/>
              </w:rPr>
              <w:t>人数</w:t>
            </w:r>
          </w:p>
        </w:tc>
        <w:tc>
          <w:tcPr>
            <w:tcW w:w="64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男生数量</w:t>
            </w:r>
          </w:p>
          <w:p>
            <w:pPr>
              <w:spacing w:line="240" w:lineRule="auto"/>
              <w:jc w:val="center"/>
              <w:rPr>
                <w:b/>
                <w:bCs/>
                <w:sz w:val="21"/>
                <w:szCs w:val="21"/>
                <w:lang w:bidi="zh-CN"/>
              </w:rPr>
            </w:pPr>
            <w:r>
              <w:rPr>
                <w:b/>
                <w:bCs/>
                <w:sz w:val="21"/>
                <w:szCs w:val="21"/>
              </w:rPr>
              <w:t>（比例）</w:t>
            </w:r>
          </w:p>
        </w:tc>
        <w:tc>
          <w:tcPr>
            <w:tcW w:w="673"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女生数量</w:t>
            </w:r>
          </w:p>
          <w:p>
            <w:pPr>
              <w:spacing w:line="240" w:lineRule="auto"/>
              <w:jc w:val="center"/>
              <w:rPr>
                <w:b/>
                <w:bCs/>
                <w:sz w:val="21"/>
                <w:szCs w:val="21"/>
                <w:lang w:bidi="zh-CN"/>
              </w:rPr>
            </w:pPr>
            <w:r>
              <w:rPr>
                <w:b/>
                <w:bCs/>
                <w:sz w:val="21"/>
                <w:szCs w:val="21"/>
              </w:rPr>
              <w:t>（比例）</w:t>
            </w:r>
          </w:p>
        </w:tc>
        <w:tc>
          <w:tcPr>
            <w:tcW w:w="66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省内人数</w:t>
            </w:r>
          </w:p>
          <w:p>
            <w:pPr>
              <w:spacing w:line="240" w:lineRule="auto"/>
              <w:jc w:val="center"/>
              <w:rPr>
                <w:b/>
                <w:bCs/>
                <w:sz w:val="21"/>
                <w:szCs w:val="21"/>
                <w:lang w:bidi="zh-CN"/>
              </w:rPr>
            </w:pPr>
            <w:r>
              <w:rPr>
                <w:b/>
                <w:bCs/>
                <w:sz w:val="21"/>
                <w:szCs w:val="21"/>
              </w:rPr>
              <w:t>（比例）</w:t>
            </w:r>
          </w:p>
        </w:tc>
        <w:tc>
          <w:tcPr>
            <w:tcW w:w="64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省外人数</w:t>
            </w:r>
          </w:p>
          <w:p>
            <w:pPr>
              <w:spacing w:line="240" w:lineRule="auto"/>
              <w:jc w:val="center"/>
              <w:rPr>
                <w:b/>
                <w:bCs/>
                <w:sz w:val="21"/>
                <w:szCs w:val="21"/>
                <w:lang w:bidi="zh-CN"/>
              </w:rPr>
            </w:pPr>
            <w:r>
              <w:rPr>
                <w:b/>
                <w:bCs/>
                <w:sz w:val="21"/>
                <w:szCs w:val="21"/>
              </w:rPr>
              <w:t>（比例）</w:t>
            </w:r>
          </w:p>
        </w:tc>
        <w:tc>
          <w:tcPr>
            <w:tcW w:w="632"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汉族人数</w:t>
            </w:r>
          </w:p>
          <w:p>
            <w:pPr>
              <w:spacing w:line="240" w:lineRule="auto"/>
              <w:jc w:val="center"/>
              <w:rPr>
                <w:b/>
                <w:bCs/>
                <w:sz w:val="21"/>
                <w:szCs w:val="21"/>
                <w:lang w:bidi="zh-CN"/>
              </w:rPr>
            </w:pPr>
            <w:r>
              <w:rPr>
                <w:b/>
                <w:bCs/>
                <w:sz w:val="21"/>
                <w:szCs w:val="21"/>
              </w:rPr>
              <w:t>（比例）</w:t>
            </w:r>
          </w:p>
        </w:tc>
        <w:tc>
          <w:tcPr>
            <w:tcW w:w="610"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少数民族</w:t>
            </w:r>
          </w:p>
          <w:p>
            <w:pPr>
              <w:spacing w:line="240" w:lineRule="auto"/>
              <w:jc w:val="center"/>
              <w:rPr>
                <w:b/>
                <w:bCs/>
                <w:sz w:val="21"/>
                <w:szCs w:val="21"/>
                <w:lang w:bidi="zh-CN"/>
              </w:rPr>
            </w:pPr>
            <w:r>
              <w:rPr>
                <w:b/>
                <w:bCs/>
                <w:sz w:val="21"/>
                <w:szCs w:val="21"/>
              </w:rPr>
              <w:t>（比例）</w:t>
            </w:r>
          </w:p>
        </w:tc>
      </w:tr>
      <w:tr>
        <w:tblPrEx>
          <w:tblCellMar>
            <w:top w:w="0" w:type="dxa"/>
            <w:left w:w="0" w:type="dxa"/>
            <w:bottom w:w="0" w:type="dxa"/>
            <w:right w:w="0" w:type="dxa"/>
          </w:tblCellMar>
        </w:tblPrEx>
        <w:trPr>
          <w:trHeight w:val="507" w:hRule="atLeast"/>
        </w:trPr>
        <w:tc>
          <w:tcPr>
            <w:tcW w:w="640"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lang w:bidi="zh-CN"/>
              </w:rPr>
            </w:pPr>
            <w:r>
              <w:rPr>
                <w:sz w:val="21"/>
                <w:szCs w:val="21"/>
              </w:rPr>
              <w:t>商务英语</w:t>
            </w:r>
          </w:p>
        </w:tc>
        <w:tc>
          <w:tcPr>
            <w:tcW w:w="48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lang w:bidi="zh-CN"/>
              </w:rPr>
            </w:pPr>
            <w:r>
              <w:rPr>
                <w:sz w:val="21"/>
                <w:szCs w:val="21"/>
              </w:rPr>
              <w:t>123</w:t>
            </w:r>
          </w:p>
        </w:tc>
        <w:tc>
          <w:tcPr>
            <w:tcW w:w="64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9</w:t>
            </w:r>
          </w:p>
          <w:p>
            <w:pPr>
              <w:spacing w:line="240" w:lineRule="auto"/>
              <w:jc w:val="center"/>
              <w:rPr>
                <w:sz w:val="21"/>
                <w:szCs w:val="21"/>
                <w:lang w:bidi="zh-CN"/>
              </w:rPr>
            </w:pPr>
            <w:r>
              <w:rPr>
                <w:sz w:val="21"/>
                <w:szCs w:val="21"/>
              </w:rPr>
              <w:t>（7.32%）</w:t>
            </w:r>
          </w:p>
        </w:tc>
        <w:tc>
          <w:tcPr>
            <w:tcW w:w="673"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114</w:t>
            </w:r>
          </w:p>
          <w:p>
            <w:pPr>
              <w:spacing w:line="240" w:lineRule="auto"/>
              <w:jc w:val="center"/>
              <w:rPr>
                <w:sz w:val="21"/>
                <w:szCs w:val="21"/>
                <w:lang w:bidi="zh-CN"/>
              </w:rPr>
            </w:pPr>
            <w:r>
              <w:rPr>
                <w:sz w:val="21"/>
                <w:szCs w:val="21"/>
              </w:rPr>
              <w:t>（92.68%）</w:t>
            </w:r>
          </w:p>
        </w:tc>
        <w:tc>
          <w:tcPr>
            <w:tcW w:w="66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118</w:t>
            </w:r>
          </w:p>
          <w:p>
            <w:pPr>
              <w:spacing w:line="240" w:lineRule="auto"/>
              <w:jc w:val="center"/>
              <w:rPr>
                <w:sz w:val="21"/>
                <w:szCs w:val="21"/>
                <w:lang w:bidi="zh-CN"/>
              </w:rPr>
            </w:pPr>
            <w:r>
              <w:rPr>
                <w:sz w:val="21"/>
                <w:szCs w:val="21"/>
              </w:rPr>
              <w:t>（95.93%）</w:t>
            </w:r>
          </w:p>
        </w:tc>
        <w:tc>
          <w:tcPr>
            <w:tcW w:w="64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5</w:t>
            </w:r>
          </w:p>
          <w:p>
            <w:pPr>
              <w:spacing w:line="240" w:lineRule="auto"/>
              <w:jc w:val="center"/>
              <w:rPr>
                <w:sz w:val="21"/>
                <w:szCs w:val="21"/>
                <w:lang w:bidi="zh-CN"/>
              </w:rPr>
            </w:pPr>
            <w:r>
              <w:rPr>
                <w:sz w:val="21"/>
                <w:szCs w:val="21"/>
              </w:rPr>
              <w:t>（4.07%）</w:t>
            </w:r>
          </w:p>
        </w:tc>
        <w:tc>
          <w:tcPr>
            <w:tcW w:w="632"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lang w:bidi="zh-CN"/>
              </w:rPr>
            </w:pPr>
            <w:r>
              <w:rPr>
                <w:sz w:val="21"/>
                <w:szCs w:val="21"/>
              </w:rPr>
              <w:t>121（98.37%）</w:t>
            </w:r>
          </w:p>
        </w:tc>
        <w:tc>
          <w:tcPr>
            <w:tcW w:w="610"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2</w:t>
            </w:r>
          </w:p>
          <w:p>
            <w:pPr>
              <w:spacing w:line="240" w:lineRule="auto"/>
              <w:jc w:val="center"/>
              <w:rPr>
                <w:sz w:val="21"/>
                <w:szCs w:val="21"/>
                <w:lang w:bidi="zh-CN"/>
              </w:rPr>
            </w:pPr>
            <w:r>
              <w:rPr>
                <w:sz w:val="21"/>
                <w:szCs w:val="21"/>
              </w:rPr>
              <w:t>（1.63%）</w:t>
            </w:r>
          </w:p>
        </w:tc>
      </w:tr>
    </w:tbl>
    <w:p>
      <w:pPr>
        <w:spacing w:line="360" w:lineRule="auto"/>
        <w:ind w:firstLine="480"/>
      </w:pPr>
      <w:r>
        <w:drawing>
          <wp:inline distT="0" distB="0" distL="0" distR="0">
            <wp:extent cx="5146040" cy="1813560"/>
            <wp:effectExtent l="5080" t="4445" r="11430" b="10795"/>
            <wp:docPr id="118" name="图表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pPr>
        <w:pStyle w:val="6"/>
        <w:ind w:firstLine="480"/>
      </w:pPr>
      <w:r>
        <w:t>2.毕业生就业情况</w:t>
      </w:r>
    </w:p>
    <w:p>
      <w:pPr>
        <w:ind w:firstLine="482"/>
        <w:rPr>
          <w:b/>
          <w:bCs/>
          <w:lang w:bidi="zh-CN"/>
        </w:rPr>
      </w:pPr>
      <w:r>
        <w:rPr>
          <w:b/>
          <w:bCs/>
        </w:rPr>
        <w:t>（1）就业概况</w:t>
      </w:r>
    </w:p>
    <w:p>
      <w:pPr>
        <w:ind w:firstLine="480"/>
        <w:rPr>
          <w:lang w:bidi="zh-CN"/>
        </w:rPr>
      </w:pPr>
      <w:r>
        <w:t>截止2022年8月31日，毕业生就业115人，毕业去向落实率为93.50%，其中男生就业9人，毕业去向落实率为7.83%，女生就业106人，毕业去向落实率为92.17%。毕业生留鲁就业的86人，占已就业总人数的74.78%，其中到泰安城市就业人数最多，占6.32%。出省就业共29人，占25.22%，主要流向北京省、江苏省、辽宁省等省份。</w:t>
      </w:r>
    </w:p>
    <w:p>
      <w:pPr>
        <w:spacing w:line="240" w:lineRule="auto"/>
        <w:jc w:val="center"/>
        <w:rPr>
          <w:b/>
          <w:bCs/>
          <w:sz w:val="21"/>
          <w:szCs w:val="21"/>
          <w:lang w:bidi="zh-CN"/>
        </w:rPr>
      </w:pPr>
      <w:r>
        <w:rPr>
          <w:b/>
          <w:bCs/>
          <w:sz w:val="21"/>
          <w:szCs w:val="21"/>
        </w:rPr>
        <w:t>表7.毕业生毕业去向落实情况统计表</w:t>
      </w:r>
    </w:p>
    <w:tbl>
      <w:tblPr>
        <w:tblStyle w:val="17"/>
        <w:tblW w:w="4997" w:type="pct"/>
        <w:tblInd w:w="0" w:type="dxa"/>
        <w:tblLayout w:type="autofit"/>
        <w:tblCellMar>
          <w:top w:w="0" w:type="dxa"/>
          <w:left w:w="0" w:type="dxa"/>
          <w:bottom w:w="0" w:type="dxa"/>
          <w:right w:w="0" w:type="dxa"/>
        </w:tblCellMar>
      </w:tblPr>
      <w:tblGrid>
        <w:gridCol w:w="1144"/>
        <w:gridCol w:w="1171"/>
        <w:gridCol w:w="903"/>
        <w:gridCol w:w="1149"/>
        <w:gridCol w:w="1215"/>
        <w:gridCol w:w="1695"/>
        <w:gridCol w:w="1573"/>
      </w:tblGrid>
      <w:tr>
        <w:tblPrEx>
          <w:tblCellMar>
            <w:top w:w="0" w:type="dxa"/>
            <w:left w:w="0" w:type="dxa"/>
            <w:bottom w:w="0" w:type="dxa"/>
            <w:right w:w="0" w:type="dxa"/>
          </w:tblCellMar>
        </w:tblPrEx>
        <w:trPr>
          <w:trHeight w:val="665" w:hRule="atLeast"/>
        </w:trPr>
        <w:tc>
          <w:tcPr>
            <w:tcW w:w="64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lang w:bidi="zh-CN"/>
              </w:rPr>
            </w:pPr>
            <w:r>
              <w:rPr>
                <w:b/>
                <w:bCs/>
                <w:sz w:val="21"/>
                <w:szCs w:val="21"/>
              </w:rPr>
              <w:t>专业名称</w:t>
            </w:r>
          </w:p>
        </w:tc>
        <w:tc>
          <w:tcPr>
            <w:tcW w:w="661"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lang w:bidi="zh-CN"/>
              </w:rPr>
            </w:pPr>
            <w:r>
              <w:rPr>
                <w:b/>
                <w:bCs/>
                <w:sz w:val="21"/>
                <w:szCs w:val="21"/>
              </w:rPr>
              <w:t>落实就业人数</w:t>
            </w:r>
          </w:p>
        </w:tc>
        <w:tc>
          <w:tcPr>
            <w:tcW w:w="510"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lang w:bidi="zh-CN"/>
              </w:rPr>
            </w:pPr>
            <w:r>
              <w:rPr>
                <w:b/>
                <w:bCs/>
                <w:sz w:val="21"/>
                <w:szCs w:val="21"/>
              </w:rPr>
              <w:t>毕业去向落实率</w:t>
            </w:r>
          </w:p>
        </w:tc>
        <w:tc>
          <w:tcPr>
            <w:tcW w:w="649"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男生</w:t>
            </w:r>
          </w:p>
          <w:p>
            <w:pPr>
              <w:spacing w:line="240" w:lineRule="auto"/>
              <w:jc w:val="center"/>
              <w:rPr>
                <w:b/>
                <w:bCs/>
                <w:sz w:val="21"/>
                <w:szCs w:val="21"/>
                <w:lang w:bidi="zh-CN"/>
              </w:rPr>
            </w:pPr>
            <w:r>
              <w:rPr>
                <w:b/>
                <w:bCs/>
                <w:sz w:val="21"/>
                <w:szCs w:val="21"/>
              </w:rPr>
              <w:t>毕业去向</w:t>
            </w:r>
          </w:p>
          <w:p>
            <w:pPr>
              <w:spacing w:line="240" w:lineRule="auto"/>
              <w:jc w:val="center"/>
              <w:rPr>
                <w:b/>
                <w:bCs/>
                <w:sz w:val="21"/>
                <w:szCs w:val="21"/>
                <w:lang w:bidi="zh-CN"/>
              </w:rPr>
            </w:pPr>
            <w:r>
              <w:rPr>
                <w:b/>
                <w:bCs/>
                <w:sz w:val="21"/>
                <w:szCs w:val="21"/>
              </w:rPr>
              <w:t>落实率</w:t>
            </w:r>
          </w:p>
        </w:tc>
        <w:tc>
          <w:tcPr>
            <w:tcW w:w="68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女生</w:t>
            </w:r>
          </w:p>
          <w:p>
            <w:pPr>
              <w:spacing w:line="240" w:lineRule="auto"/>
              <w:jc w:val="center"/>
              <w:rPr>
                <w:b/>
                <w:bCs/>
                <w:sz w:val="21"/>
                <w:szCs w:val="21"/>
                <w:lang w:bidi="zh-CN"/>
              </w:rPr>
            </w:pPr>
            <w:r>
              <w:rPr>
                <w:b/>
                <w:bCs/>
                <w:sz w:val="21"/>
                <w:szCs w:val="21"/>
              </w:rPr>
              <w:t>毕业去向</w:t>
            </w:r>
          </w:p>
          <w:p>
            <w:pPr>
              <w:spacing w:line="240" w:lineRule="auto"/>
              <w:jc w:val="center"/>
              <w:rPr>
                <w:b/>
                <w:bCs/>
                <w:sz w:val="21"/>
                <w:szCs w:val="21"/>
                <w:lang w:bidi="zh-CN"/>
              </w:rPr>
            </w:pPr>
            <w:r>
              <w:rPr>
                <w:b/>
                <w:bCs/>
                <w:sz w:val="21"/>
                <w:szCs w:val="21"/>
              </w:rPr>
              <w:t>落实率</w:t>
            </w:r>
          </w:p>
        </w:tc>
        <w:tc>
          <w:tcPr>
            <w:tcW w:w="957"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lang w:bidi="zh-CN"/>
              </w:rPr>
            </w:pPr>
            <w:r>
              <w:rPr>
                <w:b/>
                <w:bCs/>
                <w:sz w:val="21"/>
                <w:szCs w:val="21"/>
              </w:rPr>
              <w:t>留鲁就业人数</w:t>
            </w:r>
          </w:p>
          <w:p>
            <w:pPr>
              <w:spacing w:line="240" w:lineRule="auto"/>
              <w:jc w:val="center"/>
              <w:rPr>
                <w:b/>
                <w:bCs/>
                <w:sz w:val="21"/>
                <w:szCs w:val="21"/>
                <w:lang w:bidi="zh-CN"/>
              </w:rPr>
            </w:pPr>
            <w:r>
              <w:rPr>
                <w:b/>
                <w:bCs/>
                <w:sz w:val="21"/>
                <w:szCs w:val="21"/>
              </w:rPr>
              <w:t>（比例）</w:t>
            </w:r>
          </w:p>
        </w:tc>
        <w:tc>
          <w:tcPr>
            <w:tcW w:w="888"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省外就业人数</w:t>
            </w:r>
          </w:p>
          <w:p>
            <w:pPr>
              <w:spacing w:line="240" w:lineRule="auto"/>
              <w:jc w:val="center"/>
              <w:rPr>
                <w:b/>
                <w:bCs/>
                <w:sz w:val="21"/>
                <w:szCs w:val="21"/>
                <w:lang w:bidi="zh-CN"/>
              </w:rPr>
            </w:pPr>
            <w:r>
              <w:rPr>
                <w:b/>
                <w:bCs/>
                <w:sz w:val="21"/>
                <w:szCs w:val="21"/>
              </w:rPr>
              <w:t>（比例）</w:t>
            </w:r>
          </w:p>
        </w:tc>
      </w:tr>
      <w:tr>
        <w:tblPrEx>
          <w:tblCellMar>
            <w:top w:w="0" w:type="dxa"/>
            <w:left w:w="0" w:type="dxa"/>
            <w:bottom w:w="0" w:type="dxa"/>
            <w:right w:w="0" w:type="dxa"/>
          </w:tblCellMar>
        </w:tblPrEx>
        <w:trPr>
          <w:trHeight w:val="600" w:hRule="atLeast"/>
        </w:trPr>
        <w:tc>
          <w:tcPr>
            <w:tcW w:w="64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lang w:bidi="zh-CN"/>
              </w:rPr>
            </w:pPr>
            <w:r>
              <w:rPr>
                <w:sz w:val="21"/>
                <w:szCs w:val="21"/>
              </w:rPr>
              <w:t>商务英语</w:t>
            </w:r>
          </w:p>
        </w:tc>
        <w:tc>
          <w:tcPr>
            <w:tcW w:w="661"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lang w:bidi="zh-CN"/>
              </w:rPr>
            </w:pPr>
            <w:r>
              <w:rPr>
                <w:sz w:val="21"/>
                <w:szCs w:val="21"/>
              </w:rPr>
              <w:t>115</w:t>
            </w:r>
          </w:p>
        </w:tc>
        <w:tc>
          <w:tcPr>
            <w:tcW w:w="510"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lang w:bidi="zh-CN"/>
              </w:rPr>
            </w:pPr>
            <w:r>
              <w:rPr>
                <w:sz w:val="21"/>
                <w:szCs w:val="21"/>
              </w:rPr>
              <w:t>93.50%</w:t>
            </w:r>
          </w:p>
        </w:tc>
        <w:tc>
          <w:tcPr>
            <w:tcW w:w="649"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lang w:bidi="zh-CN"/>
              </w:rPr>
            </w:pPr>
            <w:r>
              <w:rPr>
                <w:sz w:val="21"/>
                <w:szCs w:val="21"/>
              </w:rPr>
              <w:t>7.83%</w:t>
            </w:r>
          </w:p>
        </w:tc>
        <w:tc>
          <w:tcPr>
            <w:tcW w:w="68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lang w:bidi="zh-CN"/>
              </w:rPr>
            </w:pPr>
            <w:r>
              <w:rPr>
                <w:sz w:val="21"/>
                <w:szCs w:val="21"/>
              </w:rPr>
              <w:t>92.17%</w:t>
            </w:r>
          </w:p>
        </w:tc>
        <w:tc>
          <w:tcPr>
            <w:tcW w:w="957"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86</w:t>
            </w:r>
          </w:p>
          <w:p>
            <w:pPr>
              <w:spacing w:line="240" w:lineRule="auto"/>
              <w:jc w:val="center"/>
              <w:rPr>
                <w:sz w:val="21"/>
                <w:szCs w:val="21"/>
                <w:lang w:bidi="zh-CN"/>
              </w:rPr>
            </w:pPr>
            <w:r>
              <w:rPr>
                <w:sz w:val="21"/>
                <w:szCs w:val="21"/>
              </w:rPr>
              <w:t>74.78%</w:t>
            </w:r>
          </w:p>
        </w:tc>
        <w:tc>
          <w:tcPr>
            <w:tcW w:w="888"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29</w:t>
            </w:r>
          </w:p>
          <w:p>
            <w:pPr>
              <w:spacing w:line="240" w:lineRule="auto"/>
              <w:jc w:val="center"/>
              <w:rPr>
                <w:sz w:val="21"/>
                <w:szCs w:val="21"/>
                <w:lang w:bidi="zh-CN"/>
              </w:rPr>
            </w:pPr>
            <w:r>
              <w:rPr>
                <w:sz w:val="21"/>
                <w:szCs w:val="21"/>
              </w:rPr>
              <w:t>25.22%</w:t>
            </w:r>
          </w:p>
        </w:tc>
      </w:tr>
    </w:tbl>
    <w:p>
      <w:pPr>
        <w:spacing w:line="360" w:lineRule="auto"/>
        <w:jc w:val="center"/>
        <w:rPr>
          <w:b/>
          <w:bCs/>
          <w:sz w:val="21"/>
          <w:szCs w:val="21"/>
          <w:lang w:bidi="zh-CN"/>
        </w:rPr>
      </w:pPr>
      <w:r>
        <w:rPr>
          <w:b/>
          <w:bCs/>
          <w:sz w:val="21"/>
          <w:szCs w:val="21"/>
        </w:rPr>
        <w:drawing>
          <wp:inline distT="0" distB="0" distL="114300" distR="114300">
            <wp:extent cx="5106035" cy="1558290"/>
            <wp:effectExtent l="0" t="0" r="18415" b="381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106035" cy="1558290"/>
                    </a:xfrm>
                    <a:prstGeom prst="rect">
                      <a:avLst/>
                    </a:prstGeom>
                  </pic:spPr>
                </pic:pic>
              </a:graphicData>
            </a:graphic>
          </wp:inline>
        </w:drawing>
      </w:r>
    </w:p>
    <w:p>
      <w:pPr>
        <w:spacing w:line="360" w:lineRule="auto"/>
        <w:jc w:val="center"/>
        <w:rPr>
          <w:b/>
          <w:bCs/>
          <w:sz w:val="21"/>
          <w:szCs w:val="21"/>
          <w:lang w:bidi="zh-CN"/>
        </w:rPr>
      </w:pPr>
      <w:r>
        <w:rPr>
          <w:b/>
          <w:bCs/>
          <w:sz w:val="21"/>
          <w:szCs w:val="21"/>
        </w:rPr>
        <w:t>图1.毕业生就业地区流向图</w:t>
      </w:r>
    </w:p>
    <w:p>
      <w:pPr>
        <w:ind w:firstLine="482"/>
        <w:rPr>
          <w:b/>
          <w:bCs/>
          <w:lang w:bidi="zh-CN"/>
        </w:rPr>
      </w:pPr>
      <w:r>
        <w:rPr>
          <w:b/>
          <w:bCs/>
        </w:rPr>
        <w:t>（2）就业方式</w:t>
      </w:r>
    </w:p>
    <w:p>
      <w:pPr>
        <w:ind w:firstLine="480"/>
        <w:rPr>
          <w:lang w:bidi="zh-CN"/>
        </w:rPr>
      </w:pPr>
      <w:r>
        <w:t>毕业生毕业去向主要包括升学、出国（境）、协议就业、劳动合同就业、应征义务兵、科研助理、国家基层项目、自主创业、其他录用形式就业、自由职业、暂不就业（不就业拟升学和其他暂不就业）、待就业等多种方式就业，本专业毕业去向中协议就业方式就业人数最多，其次是自由职业方式。毕业生总体就业方式如下表所示。</w:t>
      </w:r>
    </w:p>
    <w:p>
      <w:pPr>
        <w:ind w:firstLine="482"/>
        <w:rPr>
          <w:b/>
          <w:bCs/>
          <w:lang w:bidi="zh-CN"/>
        </w:rPr>
      </w:pPr>
      <w:r>
        <w:rPr>
          <w:b/>
          <w:bCs/>
        </w:rPr>
        <w:t>（3）就业流向</w:t>
      </w:r>
    </w:p>
    <w:p>
      <w:pPr>
        <w:ind w:firstLine="480"/>
      </w:pPr>
      <w:r>
        <w:t>毕业生就业单位性质显示,其他就业形式人数居多，占已就业人数的97.39%，其次是国有企业就业，占比2.61%。</w:t>
      </w:r>
    </w:p>
    <w:p>
      <w:pPr>
        <w:ind w:firstLine="482"/>
        <w:rPr>
          <w:b/>
          <w:bCs/>
          <w:lang w:bidi="zh-CN"/>
        </w:rPr>
      </w:pPr>
      <w:r>
        <w:rPr>
          <w:b/>
          <w:bCs/>
        </w:rPr>
        <w:t>（4）考研情况</w:t>
      </w:r>
    </w:p>
    <w:p>
      <w:pPr>
        <w:ind w:firstLine="482"/>
        <w:rPr>
          <w:b/>
          <w:bCs/>
          <w:lang w:bidi="zh-CN"/>
        </w:rPr>
      </w:pPr>
      <w:r>
        <w:rPr>
          <w:b/>
          <w:bCs/>
        </w:rPr>
        <w:t>国内升学：</w:t>
      </w:r>
    </w:p>
    <w:p>
      <w:pPr>
        <w:ind w:firstLine="480"/>
      </w:pPr>
      <w:r>
        <w:t>毕业生国内升学21人，升学率17.07%，其中考入</w:t>
      </w:r>
      <w:r>
        <w:rPr>
          <w:rFonts w:hint="eastAsia"/>
        </w:rPr>
        <w:t>“</w:t>
      </w:r>
      <w:r>
        <w:t>双一流</w:t>
      </w:r>
      <w:r>
        <w:rPr>
          <w:rFonts w:hint="eastAsia"/>
        </w:rPr>
        <w:t>”</w:t>
      </w:r>
      <w:r>
        <w:t>大学4人，占国内升学总人数的12.9%。从升学专业来看，跨专业升学的8人，占国内升学总人数的38.10%。升学学校主要是大连海事大学、东北大学、中央财经大学、华中农业大学、辽宁大学、中国政法大学、中央民族大学等。</w:t>
      </w:r>
    </w:p>
    <w:p>
      <w:pPr>
        <w:spacing w:line="360" w:lineRule="auto"/>
        <w:jc w:val="center"/>
        <w:rPr>
          <w:b/>
          <w:bCs/>
          <w:sz w:val="21"/>
          <w:szCs w:val="21"/>
        </w:rPr>
      </w:pPr>
      <w:r>
        <w:rPr>
          <w:b/>
          <w:bCs/>
          <w:sz w:val="21"/>
          <w:szCs w:val="21"/>
        </w:rPr>
        <w:t>表8.国内升学学校统计表</w:t>
      </w:r>
    </w:p>
    <w:tbl>
      <w:tblPr>
        <w:tblStyle w:val="17"/>
        <w:tblW w:w="8987"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87"/>
        <w:gridCol w:w="3270"/>
        <w:gridCol w:w="2175"/>
        <w:gridCol w:w="20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序号</w:t>
            </w:r>
          </w:p>
        </w:tc>
        <w:tc>
          <w:tcPr>
            <w:tcW w:w="3270"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升学学校名称</w:t>
            </w:r>
          </w:p>
        </w:tc>
        <w:tc>
          <w:tcPr>
            <w:tcW w:w="217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升学人数</w:t>
            </w:r>
          </w:p>
        </w:tc>
        <w:tc>
          <w:tcPr>
            <w:tcW w:w="205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比例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1</w:t>
            </w:r>
          </w:p>
        </w:tc>
        <w:tc>
          <w:tcPr>
            <w:tcW w:w="3270"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东北大学</w:t>
            </w:r>
          </w:p>
        </w:tc>
        <w:tc>
          <w:tcPr>
            <w:tcW w:w="217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1</w:t>
            </w:r>
          </w:p>
        </w:tc>
        <w:tc>
          <w:tcPr>
            <w:tcW w:w="205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5.88%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87"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2</w:t>
            </w:r>
          </w:p>
        </w:tc>
        <w:tc>
          <w:tcPr>
            <w:tcW w:w="3270"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中央民族大学</w:t>
            </w:r>
          </w:p>
        </w:tc>
        <w:tc>
          <w:tcPr>
            <w:tcW w:w="217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1</w:t>
            </w:r>
          </w:p>
        </w:tc>
        <w:tc>
          <w:tcPr>
            <w:tcW w:w="2055"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5.88%</w:t>
            </w:r>
          </w:p>
        </w:tc>
      </w:tr>
    </w:tbl>
    <w:p>
      <w:pPr>
        <w:ind w:firstLine="482"/>
        <w:rPr>
          <w:b/>
          <w:bCs/>
          <w:lang w:bidi="zh-CN"/>
        </w:rPr>
      </w:pPr>
      <w:r>
        <w:rPr>
          <w:b/>
          <w:bCs/>
        </w:rPr>
        <w:t>国外升学：</w:t>
      </w:r>
    </w:p>
    <w:p>
      <w:pPr>
        <w:ind w:firstLine="480"/>
        <w:rPr>
          <w:lang w:bidi="zh-CN"/>
        </w:rPr>
      </w:pPr>
      <w:r>
        <w:t>毕业生国外升学15人，升学率7.32%，从升学专业来看，跨专业升学的0人，占国内升学总人数的0%，升学学校主要是伯明翰大学。</w:t>
      </w:r>
    </w:p>
    <w:p>
      <w:pPr>
        <w:spacing w:line="360" w:lineRule="auto"/>
        <w:jc w:val="center"/>
        <w:rPr>
          <w:b/>
          <w:bCs/>
          <w:sz w:val="21"/>
          <w:szCs w:val="21"/>
        </w:rPr>
      </w:pPr>
      <w:r>
        <w:rPr>
          <w:b/>
          <w:bCs/>
          <w:sz w:val="21"/>
          <w:szCs w:val="21"/>
        </w:rPr>
        <w:t>表9.国外升学学校统计表</w:t>
      </w:r>
    </w:p>
    <w:tbl>
      <w:tblPr>
        <w:tblStyle w:val="17"/>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78"/>
        <w:gridCol w:w="2594"/>
        <w:gridCol w:w="1725"/>
        <w:gridCol w:w="1725"/>
        <w:gridCol w:w="162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6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序号</w:t>
            </w:r>
          </w:p>
        </w:tc>
        <w:tc>
          <w:tcPr>
            <w:tcW w:w="146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升学学校名称</w:t>
            </w:r>
          </w:p>
        </w:tc>
        <w:tc>
          <w:tcPr>
            <w:tcW w:w="974"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所在国家</w:t>
            </w:r>
          </w:p>
        </w:tc>
        <w:tc>
          <w:tcPr>
            <w:tcW w:w="974"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升学人数</w:t>
            </w:r>
          </w:p>
        </w:tc>
        <w:tc>
          <w:tcPr>
            <w:tcW w:w="920"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比例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6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1</w:t>
            </w:r>
          </w:p>
        </w:tc>
        <w:tc>
          <w:tcPr>
            <w:tcW w:w="146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曼彻斯特大学</w:t>
            </w:r>
          </w:p>
        </w:tc>
        <w:tc>
          <w:tcPr>
            <w:tcW w:w="974"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英国</w:t>
            </w:r>
          </w:p>
        </w:tc>
        <w:tc>
          <w:tcPr>
            <w:tcW w:w="974"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3</w:t>
            </w:r>
          </w:p>
        </w:tc>
        <w:tc>
          <w:tcPr>
            <w:tcW w:w="920"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33.33%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6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2</w:t>
            </w:r>
          </w:p>
        </w:tc>
        <w:tc>
          <w:tcPr>
            <w:tcW w:w="146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爱丁堡大学</w:t>
            </w:r>
          </w:p>
        </w:tc>
        <w:tc>
          <w:tcPr>
            <w:tcW w:w="974"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英国</w:t>
            </w:r>
          </w:p>
        </w:tc>
        <w:tc>
          <w:tcPr>
            <w:tcW w:w="974"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1</w:t>
            </w:r>
          </w:p>
        </w:tc>
        <w:tc>
          <w:tcPr>
            <w:tcW w:w="920"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22.22%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66"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3</w:t>
            </w:r>
          </w:p>
        </w:tc>
        <w:tc>
          <w:tcPr>
            <w:tcW w:w="1465"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墨尔本大学</w:t>
            </w:r>
          </w:p>
        </w:tc>
        <w:tc>
          <w:tcPr>
            <w:tcW w:w="974"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澳大利亚</w:t>
            </w:r>
          </w:p>
        </w:tc>
        <w:tc>
          <w:tcPr>
            <w:tcW w:w="974"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1</w:t>
            </w:r>
          </w:p>
        </w:tc>
        <w:tc>
          <w:tcPr>
            <w:tcW w:w="920"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11.11%</w:t>
            </w:r>
          </w:p>
        </w:tc>
      </w:tr>
    </w:tbl>
    <w:p>
      <w:pPr>
        <w:spacing w:line="360" w:lineRule="auto"/>
      </w:pPr>
    </w:p>
    <w:p>
      <w:pPr>
        <w:ind w:firstLine="480"/>
      </w:pPr>
      <w:r>
        <w:t>毕业生就业积极性高，签约单位从外贸、银行、物流、国企到私营企业均有分布，体现出较强的就业能力和较广的就业面。</w:t>
      </w:r>
    </w:p>
    <w:p>
      <w:pPr>
        <w:ind w:firstLine="480"/>
      </w:pPr>
      <w:r>
        <w:t>为鼓励毕业生创业，学院开展大学生创新创业项目动员会，并邀请知名企业家开展了</w:t>
      </w:r>
      <w:r>
        <w:rPr>
          <w:rFonts w:hint="eastAsia"/>
        </w:rPr>
        <w:t>“</w:t>
      </w:r>
      <w:r>
        <w:t>创新创业，点亮梦想</w:t>
      </w:r>
      <w:r>
        <w:rPr>
          <w:rFonts w:hint="eastAsia"/>
        </w:rPr>
        <w:t>”</w:t>
      </w:r>
      <w:r>
        <w:t>创新创业指导报告会。</w:t>
      </w:r>
    </w:p>
    <w:p>
      <w:pPr>
        <w:ind w:firstLine="480"/>
      </w:pPr>
      <w:r>
        <w:t>商务英语专业毕业生刘闯同学自主创业，于2015年成立泰安优创网络科技有限公司，注册资金50万，从事新媒体业务。毕业后公司迁址青岛，他的新书《愿你一生努力，一生被爱》于2018年10月由中国工人出版社出版，目前公司市值2000万。</w:t>
      </w:r>
    </w:p>
    <w:p>
      <w:pPr>
        <w:pStyle w:val="5"/>
        <w:spacing w:before="93" w:after="93"/>
        <w:ind w:firstLine="560"/>
      </w:pPr>
      <w:r>
        <w:t>八、专业发展趋势</w:t>
      </w:r>
    </w:p>
    <w:p>
      <w:pPr>
        <w:ind w:firstLine="480"/>
      </w:pPr>
      <w:r>
        <w:t>商务英语的出现既是社会发展的必然结果,也是英语语言学自身发展的必然趋势。在21世纪初知识经济初见端倪的时代,国际商务英语作为英语的重要功能变体之一,正日益显示出其强大的生命力。</w:t>
      </w:r>
    </w:p>
    <w:p>
      <w:pPr>
        <w:ind w:firstLine="480"/>
      </w:pPr>
      <w:r>
        <w:t>商务英语专业商务英语专业知识强,多以经贸、金融、公关、管理、营销等方面的内容,它的实质是商务背景,专业知识和语言三方面的综合运用。商务英语是为国际商务活动服务的专门用途英语,它基于英语的基本语法和词汇,既有独特的语言共同特征,又有独特的语言现象。商务英语多使用在国际贸易中,是企业合作双方不可缺少的交流语言。随着国际经济的迅速发展,商务英语越来越受到人们的重视,特别是专门的商务英语通用的语言。商务英语的特点主要在于专业化、口语化和较强的针对性，归根到底，实用性是商务英语最大的特点。它提高的不仅只是说话和语言的能力而是生活和生存的能力。因此商务英语课程不应该只是简单地对英文水平、能力的提高，更多的是向学生传授一种西方的企业管理理念，工作心理，甚至是如何和外国人打交道，如何和他们合作、工作的方式方法，以及他们的生活习惯等，商务英语在某种程度上是包含在文化概念里的。</w:t>
      </w:r>
    </w:p>
    <w:p>
      <w:pPr>
        <w:ind w:firstLine="480"/>
      </w:pPr>
      <w:r>
        <w:t>顺应了世界经济全球化发展的趋势，具有</w:t>
      </w:r>
      <w:r>
        <w:rPr>
          <w:rFonts w:eastAsia="微软雅黑"/>
        </w:rPr>
        <w:t>⼴</w:t>
      </w:r>
      <w:r>
        <w:t>阔的就业前景。毕业</w:t>
      </w:r>
      <w:r>
        <w:rPr>
          <w:rFonts w:eastAsia="微软雅黑"/>
        </w:rPr>
        <w:t>⽣</w:t>
      </w:r>
      <w:r>
        <w:t>在</w:t>
      </w:r>
      <w:r>
        <w:rPr>
          <w:rFonts w:eastAsia="微软雅黑"/>
        </w:rPr>
        <w:t>⾛</w:t>
      </w:r>
      <w:r>
        <w:t>上</w:t>
      </w:r>
      <w:r>
        <w:rPr>
          <w:rFonts w:eastAsia="微软雅黑"/>
        </w:rPr>
        <w:t>⼯</w:t>
      </w:r>
      <w:r>
        <w:t>作岗位后，</w:t>
      </w:r>
      <w:r>
        <w:rPr>
          <w:rFonts w:eastAsia="微软雅黑"/>
        </w:rPr>
        <w:t>⼤</w:t>
      </w:r>
      <w:r>
        <w:t>都能发挥他们的外语优势，受到学校、外事部门、公司企业等</w:t>
      </w:r>
      <w:r>
        <w:rPr>
          <w:rFonts w:eastAsia="微软雅黑"/>
        </w:rPr>
        <w:t>⽤⼈</w:t>
      </w:r>
      <w:r>
        <w:t>部门的重视和欢迎。随着中国经济发展进</w:t>
      </w:r>
      <w:r>
        <w:rPr>
          <w:rFonts w:eastAsia="微软雅黑"/>
        </w:rPr>
        <w:t>⼀</w:t>
      </w:r>
      <w:r>
        <w:t>步加快，中国和世界的联系也会加强，在</w:t>
      </w:r>
      <w:r>
        <w:rPr>
          <w:rFonts w:eastAsia="微软雅黑"/>
        </w:rPr>
        <w:t>⼀</w:t>
      </w:r>
      <w:r>
        <w:t>个较长的时期内，商务英语专业仍会继续保持</w:t>
      </w:r>
      <w:r>
        <w:rPr>
          <w:rFonts w:eastAsia="微软雅黑"/>
        </w:rPr>
        <w:t>⾃⼰</w:t>
      </w:r>
      <w:r>
        <w:t>良好的就业前景。</w:t>
      </w:r>
    </w:p>
    <w:p>
      <w:pPr>
        <w:ind w:firstLine="480"/>
      </w:pPr>
      <w:r>
        <w:t>特别是沿海地区</w:t>
      </w:r>
      <w:r>
        <w:rPr>
          <w:rFonts w:eastAsia="微软雅黑"/>
        </w:rPr>
        <w:t>⼀</w:t>
      </w:r>
      <w:r>
        <w:t>些</w:t>
      </w:r>
      <w:r>
        <w:rPr>
          <w:rFonts w:eastAsia="微软雅黑"/>
        </w:rPr>
        <w:t>⼤</w:t>
      </w:r>
      <w:r>
        <w:t>的中外合资企业，对商务英语专业</w:t>
      </w:r>
      <w:r>
        <w:rPr>
          <w:rFonts w:eastAsia="微软雅黑"/>
        </w:rPr>
        <w:t>⼈</w:t>
      </w:r>
      <w:r>
        <w:t>才的需求更多，其中包括英</w:t>
      </w:r>
      <w:r>
        <w:rPr>
          <w:rFonts w:eastAsia="微软雅黑"/>
        </w:rPr>
        <w:t>⽂</w:t>
      </w:r>
      <w:r>
        <w:t>秘书、报关员、跟单业务员、英</w:t>
      </w:r>
      <w:r>
        <w:rPr>
          <w:rFonts w:eastAsia="微软雅黑"/>
        </w:rPr>
        <w:t>⽂</w:t>
      </w:r>
      <w:r>
        <w:t>翻译等岗位。</w:t>
      </w:r>
      <w:r>
        <w:rPr>
          <w:rFonts w:eastAsia="微软雅黑"/>
        </w:rPr>
        <w:t>⽽</w:t>
      </w:r>
      <w:r>
        <w:t>在省内的</w:t>
      </w:r>
      <w:r>
        <w:rPr>
          <w:rFonts w:eastAsia="微软雅黑"/>
        </w:rPr>
        <w:t>⼀</w:t>
      </w:r>
      <w:r>
        <w:t>些</w:t>
      </w:r>
      <w:r>
        <w:rPr>
          <w:rFonts w:eastAsia="微软雅黑"/>
        </w:rPr>
        <w:t>⼤</w:t>
      </w:r>
      <w:r>
        <w:t>型企业，如外贸进出</w:t>
      </w:r>
      <w:r>
        <w:rPr>
          <w:rFonts w:eastAsia="微软雅黑"/>
        </w:rPr>
        <w:t>⼝</w:t>
      </w:r>
      <w:r>
        <w:t>公司、有独</w:t>
      </w:r>
      <w:r>
        <w:rPr>
          <w:rFonts w:eastAsia="微软雅黑"/>
        </w:rPr>
        <w:t>⽴</w:t>
      </w:r>
      <w:r>
        <w:t>进出</w:t>
      </w:r>
      <w:r>
        <w:rPr>
          <w:rFonts w:eastAsia="微软雅黑"/>
        </w:rPr>
        <w:t>⼝</w:t>
      </w:r>
      <w:r>
        <w:t>权的国有企业、独资企业以及</w:t>
      </w:r>
      <w:r>
        <w:rPr>
          <w:rFonts w:eastAsia="微软雅黑"/>
        </w:rPr>
        <w:t>⾼</w:t>
      </w:r>
      <w:r>
        <w:t>新开发区等等，都在不定期地招聘商务英语</w:t>
      </w:r>
      <w:r>
        <w:rPr>
          <w:rFonts w:eastAsia="微软雅黑"/>
        </w:rPr>
        <w:t>⼈</w:t>
      </w:r>
      <w:r>
        <w:t>才，</w:t>
      </w:r>
      <w:r>
        <w:rPr>
          <w:rFonts w:eastAsia="微软雅黑"/>
        </w:rPr>
        <w:t>⽽</w:t>
      </w:r>
      <w:r>
        <w:t>且都</w:t>
      </w:r>
      <w:r>
        <w:rPr>
          <w:rFonts w:eastAsia="微软雅黑"/>
        </w:rPr>
        <w:t>⼗</w:t>
      </w:r>
      <w:r>
        <w:t>分重视对商务英语</w:t>
      </w:r>
      <w:r>
        <w:rPr>
          <w:rFonts w:eastAsia="微软雅黑"/>
        </w:rPr>
        <w:t>⼈</w:t>
      </w:r>
      <w:r>
        <w:t>才的上岗培训并提供学习机会。</w:t>
      </w:r>
    </w:p>
    <w:p>
      <w:pPr>
        <w:pStyle w:val="5"/>
        <w:spacing w:before="93" w:after="93"/>
        <w:ind w:firstLine="560"/>
      </w:pPr>
      <w:r>
        <w:t>九、人才需求分析</w:t>
      </w:r>
    </w:p>
    <w:p>
      <w:pPr>
        <w:ind w:firstLine="480"/>
      </w:pPr>
      <w:r>
        <w:t>随着经济的发展，对外贸易规模的不断扩大，商务英语专业毕业生越来越受到企业的青睐。从以往的专业人才社会需求问卷调查结果来看，约有三百多家企业认为商务英语专业现阶段竞争力较强；所调查单位60.9%有引进商务英语人才的计划。这说明市场对商务英语专业毕业生需求是比较大的，培养的前景是乐观的。在选择外语类专业的毕业生类型时，企业更希望外语人才一专多能，即要求复合型人才，由此可知当下的企业单位倾向于</w:t>
      </w:r>
      <w:r>
        <w:rPr>
          <w:rFonts w:hint="eastAsia"/>
        </w:rPr>
        <w:t>“</w:t>
      </w:r>
      <w:r>
        <w:t>外语+人才</w:t>
      </w:r>
      <w:r>
        <w:rPr>
          <w:rFonts w:hint="eastAsia"/>
        </w:rPr>
        <w:t>”</w:t>
      </w:r>
      <w:r>
        <w:t>的选择。为提高学生的就业率，外语学院举办了多场外语专项就业市场，同时参加了600余场招聘。统计企业所需人才，商英专业毕业生的需求明显增加，是整个语言类中需求量最大的专业，就业前景十分乐观。</w:t>
      </w:r>
    </w:p>
    <w:p>
      <w:pPr>
        <w:pStyle w:val="5"/>
        <w:spacing w:before="93" w:after="93"/>
        <w:ind w:firstLine="560"/>
      </w:pPr>
      <w:r>
        <w:t>十、存在的问题及拟采取的对策措施</w:t>
      </w:r>
    </w:p>
    <w:p>
      <w:pPr>
        <w:ind w:firstLine="480"/>
      </w:pPr>
      <w:r>
        <w:t>目前我们已经有六届毕业生，在整个办学过程中，</w:t>
      </w:r>
      <w:r>
        <w:rPr>
          <w:rFonts w:hint="eastAsia"/>
        </w:rPr>
        <w:t>“</w:t>
      </w:r>
      <w:r>
        <w:t>摸着石头过河</w:t>
      </w:r>
      <w:r>
        <w:rPr>
          <w:rFonts w:hint="eastAsia"/>
        </w:rPr>
        <w:t>”</w:t>
      </w:r>
      <w:r>
        <w:t>，既有经验也有问题。商务英语专业主要存在以下几个方面的问题：</w:t>
      </w:r>
    </w:p>
    <w:p>
      <w:pPr>
        <w:pStyle w:val="7"/>
        <w:ind w:firstLine="480"/>
      </w:pPr>
      <w:r>
        <w:t>1.人才培养目标方面</w:t>
      </w:r>
    </w:p>
    <w:p>
      <w:pPr>
        <w:ind w:firstLine="480"/>
      </w:pPr>
      <w:r>
        <w:t>人才培养目标是本科教学开展的根基。商务英语专业具有明显的跨学科特点，是英语与商务两种学科的交叉，不同的院校对于商务英语专业本科教育立足点是商务知识还是英语知识，有不同的理解。国标的出台为我们人才培养目标设立了明确的方向。但是如何与本校优势专业相结合，如何突出学校特点，这是我们要认真考虑的问题。</w:t>
      </w:r>
    </w:p>
    <w:p>
      <w:pPr>
        <w:pStyle w:val="7"/>
        <w:ind w:firstLine="480"/>
      </w:pPr>
      <w:r>
        <w:t>2.课程设置方面</w:t>
      </w:r>
    </w:p>
    <w:p>
      <w:pPr>
        <w:ind w:firstLine="480"/>
      </w:pPr>
      <w:r>
        <w:t>由于商务英语是新兴专业，加之我校的办学经验也有限，不能把区域经济的发展和人才培养目标有效的结合起来，这导致课程设置不太科学，尤其是缺乏实践类课程的问题尤为突出。</w:t>
      </w:r>
    </w:p>
    <w:p>
      <w:pPr>
        <w:pStyle w:val="7"/>
        <w:ind w:firstLine="480"/>
      </w:pPr>
      <w:r>
        <w:t>3.师资配置方面</w:t>
      </w:r>
    </w:p>
    <w:p>
      <w:pPr>
        <w:ind w:firstLine="480"/>
      </w:pPr>
      <w:r>
        <w:t>商务英语专业本科教育师资不足及配置不合理的情况普遍存在，商务类师资相比语言类师资明显不足。由于商务英语专业是新设专业，拥有商务英语专业学士学位的师资较少，获得商务英语专业硕士学位的教师数量也十分有限。此外，大部分师资缺乏实践经验，对于指导部分实践课程存在一定的困难。</w:t>
      </w:r>
    </w:p>
    <w:p>
      <w:pPr>
        <w:pStyle w:val="7"/>
        <w:ind w:firstLine="480"/>
      </w:pPr>
      <w:r>
        <w:t>4.专业教材不成熟</w:t>
      </w:r>
    </w:p>
    <w:p>
      <w:pPr>
        <w:ind w:firstLine="480"/>
      </w:pPr>
      <w:r>
        <w:t>教材是知识的载体，选用适当的教材是教学成功的关键，与其他英语类专业教材相比，目前高校商务英语专业教材不够系统、成熟，存在许多问题。选用的商务英语教材普遍存在教材不成体系，难易程度不一致、版本改动幅度较大等问题；同时书本缺乏配套的教师用书、教学课件、练习册、参考答案、视频音频光盘等，导致教师备课困难。</w:t>
      </w:r>
    </w:p>
    <w:p>
      <w:pPr>
        <w:ind w:firstLine="480"/>
      </w:pPr>
      <w:r>
        <w:t>针对以上问题，我们初步制定了符合实际的工作思路，同时采取必要的可行的措施以解决实际问题。</w:t>
      </w:r>
    </w:p>
    <w:p>
      <w:pPr>
        <w:ind w:firstLine="480"/>
      </w:pPr>
      <w:r>
        <w:t>1. 适时修订培养方案，使其满足社会未来发展的需求，并适应学生自我发展的需要。分型培养人才，采用专业型和创新型的培养方案，着眼学生可持续发展。商务英语本科专业学生需在语言技能方面具备扎实的功底，具备英语应用能力，这是根本。在此基础上再学习相关的商务知识，具备较强的商务实践能力。此外还需考虑如何与本校的优势专业相结合，更加明确培养目。</w:t>
      </w:r>
    </w:p>
    <w:p>
      <w:pPr>
        <w:ind w:firstLine="480"/>
      </w:pPr>
      <w:r>
        <w:t>2. 商务英语本科专业应该根据明确的人才培养目标来制定合理的课程体系，适时调整课程设置或学时分配。专业课程设置必须满足社会相关行业的需求，减少专业、就业关联度低的课程的学时和学分，确保所开设课程是学生之需、社会相关行业之需，使大学生所学为所用，学以致用，从而增强其竞争力。</w:t>
      </w:r>
    </w:p>
    <w:p>
      <w:pPr>
        <w:ind w:firstLine="480"/>
      </w:pPr>
      <w:r>
        <w:t>3. 针对师资配置方面存在的问题，具体措施可以是：有效挖掘现有师资的专业优势，同时鼓励现有任课教师深化商务知识学习；有条件的情况下可派教师到相关公司企业进行挂职实践；考虑与学校其他学院如经济管理学院联合培养学生，或聘用其他高校或学院具备良好商务专业素养及英语能力的优秀师资任教；学院聘请企业商务人才担任兼职教师。</w:t>
      </w:r>
    </w:p>
    <w:p>
      <w:pPr>
        <w:ind w:firstLine="480"/>
      </w:pPr>
      <w:r>
        <w:t>4. 面对专业教材不成熟的情况，仅凭一所学校之力是不够的，教育部应该组织专家编写一系列覆盖商务英语专业本科教育各课程、知识准确清晰、难易程度合理、理论与实践并重、紧跟时代步伐的权威经典教材，让高校在教材选取上能够保证所选数目水平一致，难易程度相当，使教学成体系。同时教材的编写应针对目前商务英语教师商务专业水平不足的情况设计配套的教师用书、视频音频文件、参考答案等，帮助老师减轻困难。而作为教学院系和任课教师，应多下工夫，对比各种教材之间的优缺点，根据学生实际水平选取难易适中的教材，不只拘泥于一套教材上的内容，根据课程安排适当针对教学目标删减或增加资料，注重教学资料的多样性，可以成立备课小组，教师之间相互沟通，在现有教材不适合的情况下可以协力编写校本教材。</w:t>
      </w:r>
    </w:p>
    <w:p>
      <w:r>
        <w:br w:type="page"/>
      </w:r>
    </w:p>
    <w:p>
      <w:pPr>
        <w:pStyle w:val="4"/>
        <w:ind w:firstLine="600"/>
        <w:rPr>
          <w:lang w:val="en-US"/>
        </w:rPr>
      </w:pPr>
      <w:bookmarkStart w:id="537" w:name="_Toc23060"/>
      <w:bookmarkStart w:id="538" w:name="_Toc58568795"/>
      <w:r>
        <w:rPr>
          <w:rFonts w:hint="eastAsia"/>
          <w:lang w:val="en-US"/>
        </w:rPr>
        <w:t>专业五十四：</w:t>
      </w:r>
      <w:r>
        <w:rPr>
          <w:lang w:val="en-US"/>
        </w:rPr>
        <w:t>法学</w:t>
      </w:r>
      <w:bookmarkEnd w:id="537"/>
    </w:p>
    <w:p>
      <w:pPr>
        <w:pStyle w:val="5"/>
        <w:spacing w:before="93" w:after="93"/>
        <w:ind w:firstLine="560"/>
      </w:pPr>
      <w:r>
        <w:t>引  言</w:t>
      </w:r>
      <w:bookmarkEnd w:id="538"/>
    </w:p>
    <w:p>
      <w:pPr>
        <w:widowControl/>
        <w:spacing w:line="420" w:lineRule="exact"/>
        <w:ind w:firstLine="480" w:firstLineChars="200"/>
      </w:pPr>
      <w:r>
        <w:t>山东农业大学文法学院法学专业自1993年招收第一批专科生，1996年招收第一批经济法本科生，1999年经教育部批准正式招收法学专业本科生。至今已有29年的办学历史，共有本、专科毕业生5900多人。</w:t>
      </w:r>
    </w:p>
    <w:p>
      <w:pPr>
        <w:pStyle w:val="5"/>
        <w:spacing w:before="93" w:after="93"/>
        <w:ind w:firstLine="560"/>
      </w:pPr>
      <w:bookmarkStart w:id="539" w:name="_Toc58568796"/>
      <w:r>
        <w:t>一、培养目标与规格</w:t>
      </w:r>
      <w:bookmarkEnd w:id="539"/>
    </w:p>
    <w:p>
      <w:pPr>
        <w:widowControl/>
        <w:spacing w:line="420" w:lineRule="exact"/>
        <w:ind w:firstLine="480" w:firstLineChars="200"/>
      </w:pPr>
      <w:r>
        <w:t>本专业旨在培养培养富有农事法特色、具有坚实法学基础，且系统掌握法学知识和法律规定，了解国内外法学理论发展及国内立法信息，既能在立法机关、行政机关、司法机关等国家机关担任公职，又能在各类企事业单位和法律服务机构从事法学教育、法学研究和法律实务工作的应用型人才。</w:t>
      </w:r>
    </w:p>
    <w:p>
      <w:pPr>
        <w:widowControl/>
        <w:spacing w:line="420" w:lineRule="exact"/>
        <w:ind w:firstLine="480" w:firstLineChars="200"/>
      </w:pPr>
      <w:r>
        <w:t xml:space="preserve">本专业学生主要学习法学的基本理论和基础知识，掌握法学思维和法律实务的基本技能，具备运用法学理论和方法分析问题和运用法律管理各类事务与解决问题的基本能力。学生应获得的知识与能力： </w:t>
      </w:r>
    </w:p>
    <w:p>
      <w:pPr>
        <w:widowControl/>
        <w:spacing w:line="420" w:lineRule="exact"/>
        <w:ind w:firstLine="480" w:firstLineChars="200"/>
      </w:pPr>
      <w:bookmarkStart w:id="540" w:name="_Toc58568797"/>
      <w:r>
        <w:t>1.具有社会主义法治理念和法律工作者的社会责任感；</w:t>
      </w:r>
    </w:p>
    <w:p>
      <w:pPr>
        <w:widowControl/>
        <w:spacing w:line="420" w:lineRule="exact"/>
        <w:ind w:firstLine="480" w:firstLineChars="200"/>
      </w:pPr>
      <w:r>
        <w:t>2.掌握法学的基本理论、基础知识，具有法律思维能力和依法办事能力；</w:t>
      </w:r>
    </w:p>
    <w:p>
      <w:pPr>
        <w:widowControl/>
        <w:spacing w:line="420" w:lineRule="exact"/>
        <w:ind w:firstLine="480" w:firstLineChars="200"/>
      </w:pPr>
      <w:r>
        <w:t>3.熟悉法律工作的方针、政策和法律法规，具有独立从事法律业务的基本能力；</w:t>
      </w:r>
    </w:p>
    <w:p>
      <w:pPr>
        <w:widowControl/>
        <w:spacing w:line="420" w:lineRule="exact"/>
        <w:ind w:firstLine="480" w:firstLineChars="200"/>
      </w:pPr>
      <w:r>
        <w:t>4.能够较灵活地运用所学理论，具有分析、解决较为复杂问题的能力；</w:t>
      </w:r>
    </w:p>
    <w:p>
      <w:pPr>
        <w:widowControl/>
        <w:spacing w:line="420" w:lineRule="exact"/>
        <w:ind w:firstLine="480" w:firstLineChars="200"/>
      </w:pPr>
      <w:r>
        <w:t>5.掌握法学理论研究的基本方法，了解法学前沿理论及其研究动态，具有一定的教学、科学研究和实际工作能力；</w:t>
      </w:r>
    </w:p>
    <w:p>
      <w:pPr>
        <w:widowControl/>
        <w:spacing w:line="420" w:lineRule="exact"/>
        <w:ind w:firstLine="480" w:firstLineChars="200"/>
        <w:rPr>
          <w:rFonts w:eastAsia="仿宋_GB2312"/>
          <w:sz w:val="32"/>
          <w:szCs w:val="32"/>
        </w:rPr>
      </w:pPr>
      <w:r>
        <w:t>6.具有较强的语言与文字表达能力，并能够运用外语查阅本专业的外文资料，能够参与涉外案件的诉讼或调解。</w:t>
      </w:r>
    </w:p>
    <w:p>
      <w:pPr>
        <w:pStyle w:val="5"/>
        <w:spacing w:before="93" w:after="93"/>
        <w:ind w:firstLine="560"/>
      </w:pPr>
      <w:r>
        <w:t>二、培养能力</w:t>
      </w:r>
      <w:bookmarkEnd w:id="540"/>
    </w:p>
    <w:p>
      <w:pPr>
        <w:pStyle w:val="6"/>
        <w:ind w:firstLine="480"/>
      </w:pPr>
      <w:bookmarkStart w:id="541" w:name="_Toc58568798"/>
      <w:r>
        <w:t>（一）专业设置与规模</w:t>
      </w:r>
      <w:bookmarkEnd w:id="541"/>
    </w:p>
    <w:p>
      <w:pPr>
        <w:spacing w:line="420" w:lineRule="exact"/>
        <w:ind w:firstLine="480" w:firstLineChars="200"/>
      </w:pPr>
      <w:r>
        <w:t>本专业设置为统一的法学专业，共有在校本科生690人。</w:t>
      </w:r>
    </w:p>
    <w:p>
      <w:pPr>
        <w:pStyle w:val="6"/>
        <w:ind w:firstLine="480"/>
      </w:pPr>
      <w:bookmarkStart w:id="542" w:name="_Toc58568799"/>
      <w:r>
        <w:t>（二）课程体系</w:t>
      </w:r>
      <w:bookmarkEnd w:id="542"/>
    </w:p>
    <w:p>
      <w:pPr>
        <w:autoSpaceDE w:val="0"/>
        <w:autoSpaceDN w:val="0"/>
        <w:adjustRightInd w:val="0"/>
        <w:spacing w:line="420" w:lineRule="exact"/>
        <w:ind w:firstLine="480" w:firstLineChars="200"/>
      </w:pPr>
      <w:r>
        <w:t>本专业的课程体系共分通识教育、专业教育、拓展教育、实践教学四部分，如表所示：</w:t>
      </w:r>
    </w:p>
    <w:p>
      <w:pPr>
        <w:rPr>
          <w:kern w:val="0"/>
          <w:szCs w:val="21"/>
        </w:rPr>
      </w:pPr>
      <w:r>
        <w:rPr>
          <w:kern w:val="0"/>
          <w:szCs w:val="21"/>
        </w:rPr>
        <w:br w:type="page"/>
      </w:r>
    </w:p>
    <w:p>
      <w:pPr>
        <w:autoSpaceDE w:val="0"/>
        <w:autoSpaceDN w:val="0"/>
        <w:adjustRightInd w:val="0"/>
        <w:spacing w:line="480" w:lineRule="exact"/>
        <w:jc w:val="center"/>
        <w:rPr>
          <w:b/>
          <w:bCs/>
          <w:kern w:val="0"/>
          <w:sz w:val="21"/>
          <w:szCs w:val="21"/>
        </w:rPr>
      </w:pPr>
      <w:r>
        <w:rPr>
          <w:b/>
          <w:bCs/>
          <w:kern w:val="0"/>
          <w:sz w:val="21"/>
          <w:szCs w:val="21"/>
        </w:rPr>
        <w:t>附表1   法学专业创新型、专业型人才培养通识教育课教学进程表</w:t>
      </w:r>
    </w:p>
    <w:tbl>
      <w:tblPr>
        <w:tblStyle w:val="1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67"/>
        <w:gridCol w:w="900"/>
        <w:gridCol w:w="2993"/>
        <w:gridCol w:w="567"/>
        <w:gridCol w:w="709"/>
        <w:gridCol w:w="567"/>
        <w:gridCol w:w="567"/>
        <w:gridCol w:w="709"/>
        <w:gridCol w:w="708"/>
        <w:gridCol w:w="74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restart"/>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课程</w:t>
            </w:r>
          </w:p>
          <w:p>
            <w:pPr>
              <w:spacing w:line="240" w:lineRule="auto"/>
              <w:ind w:left="-120" w:leftChars="-50" w:right="-120" w:rightChars="-50"/>
              <w:jc w:val="center"/>
              <w:rPr>
                <w:b/>
                <w:bCs/>
                <w:spacing w:val="-8"/>
                <w:position w:val="-8"/>
                <w:sz w:val="18"/>
                <w:szCs w:val="18"/>
              </w:rPr>
            </w:pPr>
            <w:r>
              <w:rPr>
                <w:b/>
                <w:bCs/>
                <w:spacing w:val="-8"/>
                <w:position w:val="-8"/>
                <w:sz w:val="18"/>
                <w:szCs w:val="18"/>
              </w:rPr>
              <w:t>类别</w:t>
            </w:r>
          </w:p>
        </w:tc>
        <w:tc>
          <w:tcPr>
            <w:tcW w:w="900" w:type="dxa"/>
            <w:vMerge w:val="restart"/>
            <w:vAlign w:val="center"/>
          </w:tcPr>
          <w:p>
            <w:pPr>
              <w:spacing w:line="240" w:lineRule="auto"/>
              <w:jc w:val="center"/>
              <w:rPr>
                <w:b/>
                <w:bCs/>
                <w:spacing w:val="-8"/>
                <w:position w:val="-8"/>
                <w:sz w:val="18"/>
                <w:szCs w:val="18"/>
              </w:rPr>
            </w:pPr>
            <w:r>
              <w:rPr>
                <w:b/>
                <w:bCs/>
                <w:spacing w:val="-8"/>
                <w:position w:val="-8"/>
                <w:sz w:val="18"/>
                <w:szCs w:val="18"/>
              </w:rPr>
              <w:t>课程号</w:t>
            </w:r>
          </w:p>
        </w:tc>
        <w:tc>
          <w:tcPr>
            <w:tcW w:w="2993" w:type="dxa"/>
            <w:vMerge w:val="restart"/>
            <w:vAlign w:val="center"/>
          </w:tcPr>
          <w:p>
            <w:pPr>
              <w:spacing w:line="240" w:lineRule="auto"/>
              <w:jc w:val="center"/>
              <w:rPr>
                <w:b/>
                <w:bCs/>
                <w:spacing w:val="-8"/>
                <w:position w:val="-8"/>
                <w:sz w:val="18"/>
                <w:szCs w:val="18"/>
              </w:rPr>
            </w:pPr>
            <w:r>
              <w:rPr>
                <w:b/>
                <w:bCs/>
                <w:spacing w:val="-8"/>
                <w:position w:val="-8"/>
                <w:sz w:val="18"/>
                <w:szCs w:val="18"/>
              </w:rPr>
              <w:t>课程名称</w:t>
            </w:r>
          </w:p>
        </w:tc>
        <w:tc>
          <w:tcPr>
            <w:tcW w:w="567" w:type="dxa"/>
            <w:vMerge w:val="restart"/>
            <w:vAlign w:val="center"/>
          </w:tcPr>
          <w:p>
            <w:pPr>
              <w:spacing w:line="240" w:lineRule="auto"/>
              <w:jc w:val="center"/>
              <w:rPr>
                <w:b/>
                <w:bCs/>
                <w:spacing w:val="-8"/>
                <w:position w:val="-8"/>
                <w:sz w:val="18"/>
                <w:szCs w:val="18"/>
              </w:rPr>
            </w:pPr>
            <w:r>
              <w:rPr>
                <w:b/>
                <w:bCs/>
                <w:spacing w:val="-8"/>
                <w:position w:val="-8"/>
                <w:sz w:val="18"/>
                <w:szCs w:val="18"/>
              </w:rPr>
              <w:t>学分</w:t>
            </w:r>
          </w:p>
        </w:tc>
        <w:tc>
          <w:tcPr>
            <w:tcW w:w="1843" w:type="dxa"/>
            <w:gridSpan w:val="3"/>
            <w:tcBorders>
              <w:right w:val="single" w:color="auto" w:sz="4" w:space="0"/>
            </w:tcBorders>
            <w:vAlign w:val="center"/>
          </w:tcPr>
          <w:p>
            <w:pPr>
              <w:spacing w:line="240" w:lineRule="auto"/>
              <w:jc w:val="center"/>
              <w:rPr>
                <w:b/>
                <w:bCs/>
                <w:spacing w:val="-8"/>
                <w:position w:val="-8"/>
                <w:sz w:val="18"/>
                <w:szCs w:val="18"/>
              </w:rPr>
            </w:pPr>
            <w:r>
              <w:rPr>
                <w:b/>
                <w:bCs/>
                <w:spacing w:val="-8"/>
                <w:position w:val="-8"/>
                <w:sz w:val="18"/>
                <w:szCs w:val="18"/>
              </w:rPr>
              <w:t>学时数</w:t>
            </w:r>
          </w:p>
        </w:tc>
        <w:tc>
          <w:tcPr>
            <w:tcW w:w="709" w:type="dxa"/>
            <w:vMerge w:val="restart"/>
            <w:tcBorders>
              <w:right w:val="single" w:color="auto" w:sz="4" w:space="0"/>
            </w:tcBorders>
            <w:vAlign w:val="center"/>
          </w:tcPr>
          <w:p>
            <w:pPr>
              <w:spacing w:line="240" w:lineRule="auto"/>
              <w:jc w:val="center"/>
              <w:rPr>
                <w:b/>
                <w:bCs/>
                <w:spacing w:val="-8"/>
                <w:position w:val="-8"/>
                <w:sz w:val="18"/>
                <w:szCs w:val="18"/>
              </w:rPr>
            </w:pPr>
            <w:r>
              <w:rPr>
                <w:b/>
                <w:bCs/>
                <w:spacing w:val="-8"/>
                <w:position w:val="-8"/>
                <w:sz w:val="18"/>
                <w:szCs w:val="18"/>
              </w:rPr>
              <w:t>开课学期</w:t>
            </w:r>
          </w:p>
        </w:tc>
        <w:tc>
          <w:tcPr>
            <w:tcW w:w="708" w:type="dxa"/>
            <w:vMerge w:val="restart"/>
            <w:tcBorders>
              <w:right w:val="single" w:color="auto" w:sz="4" w:space="0"/>
            </w:tcBorders>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开课</w:t>
            </w:r>
          </w:p>
          <w:p>
            <w:pPr>
              <w:spacing w:line="240" w:lineRule="auto"/>
              <w:ind w:left="-120" w:leftChars="-50" w:right="-120" w:rightChars="-50"/>
              <w:jc w:val="center"/>
              <w:rPr>
                <w:b/>
                <w:bCs/>
                <w:spacing w:val="-8"/>
                <w:position w:val="-8"/>
                <w:sz w:val="18"/>
                <w:szCs w:val="18"/>
              </w:rPr>
            </w:pPr>
            <w:r>
              <w:rPr>
                <w:b/>
                <w:bCs/>
                <w:spacing w:val="-8"/>
                <w:position w:val="-8"/>
                <w:sz w:val="18"/>
                <w:szCs w:val="18"/>
              </w:rPr>
              <w:t>学院</w:t>
            </w:r>
          </w:p>
        </w:tc>
        <w:tc>
          <w:tcPr>
            <w:tcW w:w="747" w:type="dxa"/>
            <w:vMerge w:val="restart"/>
            <w:tcBorders>
              <w:left w:val="single" w:color="auto" w:sz="4" w:space="0"/>
            </w:tcBorders>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continue"/>
            <w:vAlign w:val="center"/>
          </w:tcPr>
          <w:p>
            <w:pPr>
              <w:spacing w:line="240" w:lineRule="auto"/>
              <w:jc w:val="center"/>
              <w:rPr>
                <w:b/>
                <w:bCs/>
                <w:spacing w:val="-8"/>
                <w:position w:val="-8"/>
                <w:sz w:val="18"/>
                <w:szCs w:val="18"/>
              </w:rPr>
            </w:pPr>
          </w:p>
        </w:tc>
        <w:tc>
          <w:tcPr>
            <w:tcW w:w="900" w:type="dxa"/>
            <w:vMerge w:val="continue"/>
            <w:vAlign w:val="center"/>
          </w:tcPr>
          <w:p>
            <w:pPr>
              <w:spacing w:line="240" w:lineRule="auto"/>
              <w:jc w:val="center"/>
              <w:rPr>
                <w:b/>
                <w:bCs/>
                <w:spacing w:val="-8"/>
                <w:position w:val="-8"/>
                <w:sz w:val="18"/>
                <w:szCs w:val="18"/>
              </w:rPr>
            </w:pPr>
          </w:p>
        </w:tc>
        <w:tc>
          <w:tcPr>
            <w:tcW w:w="2993" w:type="dxa"/>
            <w:vMerge w:val="continue"/>
            <w:vAlign w:val="center"/>
          </w:tcPr>
          <w:p>
            <w:pPr>
              <w:spacing w:line="240" w:lineRule="auto"/>
              <w:jc w:val="center"/>
              <w:rPr>
                <w:b/>
                <w:bCs/>
                <w:spacing w:val="-8"/>
                <w:position w:val="-8"/>
                <w:sz w:val="18"/>
                <w:szCs w:val="18"/>
              </w:rPr>
            </w:pPr>
          </w:p>
        </w:tc>
        <w:tc>
          <w:tcPr>
            <w:tcW w:w="567" w:type="dxa"/>
            <w:vMerge w:val="continue"/>
            <w:vAlign w:val="center"/>
          </w:tcPr>
          <w:p>
            <w:pPr>
              <w:spacing w:line="240" w:lineRule="auto"/>
              <w:jc w:val="center"/>
              <w:rPr>
                <w:b/>
                <w:bCs/>
                <w:spacing w:val="-8"/>
                <w:position w:val="-8"/>
                <w:sz w:val="18"/>
                <w:szCs w:val="18"/>
              </w:rPr>
            </w:pPr>
          </w:p>
        </w:tc>
        <w:tc>
          <w:tcPr>
            <w:tcW w:w="709" w:type="dxa"/>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总计</w:t>
            </w:r>
          </w:p>
        </w:tc>
        <w:tc>
          <w:tcPr>
            <w:tcW w:w="567" w:type="dxa"/>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讲授</w:t>
            </w:r>
          </w:p>
        </w:tc>
        <w:tc>
          <w:tcPr>
            <w:tcW w:w="567" w:type="dxa"/>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实验</w:t>
            </w:r>
          </w:p>
        </w:tc>
        <w:tc>
          <w:tcPr>
            <w:tcW w:w="709" w:type="dxa"/>
            <w:vMerge w:val="continue"/>
            <w:tcBorders>
              <w:right w:val="single" w:color="auto" w:sz="4" w:space="0"/>
            </w:tcBorders>
            <w:vAlign w:val="center"/>
          </w:tcPr>
          <w:p>
            <w:pPr>
              <w:spacing w:line="240" w:lineRule="auto"/>
              <w:jc w:val="center"/>
              <w:rPr>
                <w:b/>
                <w:bCs/>
                <w:spacing w:val="-8"/>
                <w:position w:val="-8"/>
                <w:sz w:val="18"/>
                <w:szCs w:val="18"/>
              </w:rPr>
            </w:pPr>
          </w:p>
        </w:tc>
        <w:tc>
          <w:tcPr>
            <w:tcW w:w="708" w:type="dxa"/>
            <w:vMerge w:val="continue"/>
            <w:tcBorders>
              <w:right w:val="single" w:color="auto" w:sz="4" w:space="0"/>
            </w:tcBorders>
          </w:tcPr>
          <w:p>
            <w:pPr>
              <w:spacing w:line="240" w:lineRule="auto"/>
              <w:jc w:val="center"/>
              <w:rPr>
                <w:b/>
                <w:bCs/>
                <w:spacing w:val="-8"/>
                <w:position w:val="-8"/>
                <w:sz w:val="18"/>
                <w:szCs w:val="18"/>
              </w:rPr>
            </w:pPr>
          </w:p>
        </w:tc>
        <w:tc>
          <w:tcPr>
            <w:tcW w:w="747" w:type="dxa"/>
            <w:vMerge w:val="continue"/>
            <w:tcBorders>
              <w:left w:val="single" w:color="auto" w:sz="4" w:space="0"/>
            </w:tcBorders>
            <w:vAlign w:val="center"/>
          </w:tcPr>
          <w:p>
            <w:pPr>
              <w:spacing w:line="240" w:lineRule="auto"/>
              <w:jc w:val="center"/>
              <w:rPr>
                <w:b/>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restart"/>
            <w:tcBorders>
              <w:right w:val="single" w:color="auto" w:sz="4" w:space="0"/>
            </w:tcBorders>
            <w:vAlign w:val="center"/>
          </w:tcPr>
          <w:p>
            <w:pPr>
              <w:adjustRightInd w:val="0"/>
              <w:snapToGrid w:val="0"/>
              <w:spacing w:line="240" w:lineRule="auto"/>
              <w:jc w:val="center"/>
              <w:rPr>
                <w:bCs/>
                <w:snapToGrid w:val="0"/>
                <w:sz w:val="18"/>
                <w:szCs w:val="18"/>
              </w:rPr>
            </w:pPr>
            <w:r>
              <w:rPr>
                <w:bCs/>
                <w:snapToGrid w:val="0"/>
                <w:sz w:val="18"/>
                <w:szCs w:val="18"/>
              </w:rPr>
              <w:t>通识必修课</w:t>
            </w:r>
          </w:p>
        </w:tc>
        <w:tc>
          <w:tcPr>
            <w:tcW w:w="900" w:type="dxa"/>
            <w:tcBorders>
              <w:left w:val="single" w:color="auto" w:sz="4" w:space="0"/>
            </w:tcBorders>
            <w:vAlign w:val="center"/>
          </w:tcPr>
          <w:p>
            <w:pPr>
              <w:spacing w:line="240" w:lineRule="auto"/>
              <w:jc w:val="center"/>
              <w:rPr>
                <w:bCs/>
                <w:sz w:val="18"/>
                <w:szCs w:val="18"/>
              </w:rPr>
            </w:pPr>
          </w:p>
        </w:tc>
        <w:tc>
          <w:tcPr>
            <w:tcW w:w="2993" w:type="dxa"/>
            <w:vAlign w:val="center"/>
          </w:tcPr>
          <w:p>
            <w:pPr>
              <w:spacing w:line="240" w:lineRule="auto"/>
              <w:rPr>
                <w:bCs/>
                <w:snapToGrid w:val="0"/>
                <w:sz w:val="18"/>
                <w:szCs w:val="18"/>
              </w:rPr>
            </w:pPr>
            <w:r>
              <w:rPr>
                <w:bCs/>
                <w:snapToGrid w:val="0"/>
                <w:sz w:val="18"/>
                <w:szCs w:val="18"/>
              </w:rPr>
              <w:t xml:space="preserve">思想道德修养与法律基础 </w:t>
            </w:r>
          </w:p>
        </w:tc>
        <w:tc>
          <w:tcPr>
            <w:tcW w:w="567" w:type="dxa"/>
            <w:vAlign w:val="center"/>
          </w:tcPr>
          <w:p>
            <w:pPr>
              <w:adjustRightInd w:val="0"/>
              <w:snapToGrid w:val="0"/>
              <w:spacing w:line="240" w:lineRule="auto"/>
              <w:jc w:val="center"/>
              <w:rPr>
                <w:bCs/>
                <w:sz w:val="18"/>
                <w:szCs w:val="18"/>
              </w:rPr>
            </w:pPr>
            <w:r>
              <w:rPr>
                <w:bCs/>
                <w:sz w:val="18"/>
                <w:szCs w:val="18"/>
              </w:rPr>
              <w:t>2</w:t>
            </w:r>
          </w:p>
        </w:tc>
        <w:tc>
          <w:tcPr>
            <w:tcW w:w="709" w:type="dxa"/>
            <w:vAlign w:val="center"/>
          </w:tcPr>
          <w:p>
            <w:pPr>
              <w:spacing w:line="240" w:lineRule="auto"/>
              <w:ind w:left="-120" w:leftChars="-50" w:right="-120" w:rightChars="-50"/>
              <w:jc w:val="center"/>
              <w:rPr>
                <w:bCs/>
                <w:snapToGrid w:val="0"/>
                <w:sz w:val="18"/>
                <w:szCs w:val="18"/>
              </w:rPr>
            </w:pPr>
            <w:r>
              <w:rPr>
                <w:bCs/>
                <w:snapToGrid w:val="0"/>
                <w:sz w:val="18"/>
                <w:szCs w:val="18"/>
              </w:rPr>
              <w:t>32</w:t>
            </w:r>
          </w:p>
        </w:tc>
        <w:tc>
          <w:tcPr>
            <w:tcW w:w="567" w:type="dxa"/>
            <w:vAlign w:val="center"/>
          </w:tcPr>
          <w:p>
            <w:pPr>
              <w:spacing w:line="240" w:lineRule="auto"/>
              <w:ind w:left="-120" w:leftChars="-50" w:right="-120" w:rightChars="-50"/>
              <w:jc w:val="center"/>
              <w:rPr>
                <w:bCs/>
                <w:snapToGrid w:val="0"/>
                <w:sz w:val="18"/>
                <w:szCs w:val="18"/>
              </w:rPr>
            </w:pPr>
            <w:r>
              <w:rPr>
                <w:bCs/>
                <w:snapToGrid w:val="0"/>
                <w:sz w:val="18"/>
                <w:szCs w:val="18"/>
              </w:rPr>
              <w:t>32</w:t>
            </w:r>
          </w:p>
        </w:tc>
        <w:tc>
          <w:tcPr>
            <w:tcW w:w="567" w:type="dxa"/>
            <w:vAlign w:val="center"/>
          </w:tcPr>
          <w:p>
            <w:pPr>
              <w:adjustRightInd w:val="0"/>
              <w:snapToGrid w:val="0"/>
              <w:spacing w:line="240" w:lineRule="auto"/>
              <w:ind w:left="-120" w:leftChars="-50" w:right="-120" w:rightChars="-50"/>
              <w:jc w:val="center"/>
              <w:rPr>
                <w:bCs/>
                <w:sz w:val="18"/>
                <w:szCs w:val="18"/>
              </w:rPr>
            </w:pPr>
          </w:p>
        </w:tc>
        <w:tc>
          <w:tcPr>
            <w:tcW w:w="709" w:type="dxa"/>
            <w:vAlign w:val="center"/>
          </w:tcPr>
          <w:p>
            <w:pPr>
              <w:adjustRightInd w:val="0"/>
              <w:snapToGrid w:val="0"/>
              <w:spacing w:line="240" w:lineRule="auto"/>
              <w:ind w:left="-120" w:leftChars="-50" w:right="-120" w:rightChars="-50"/>
              <w:jc w:val="center"/>
              <w:rPr>
                <w:bCs/>
                <w:sz w:val="18"/>
                <w:szCs w:val="18"/>
              </w:rPr>
            </w:pPr>
            <w:r>
              <w:rPr>
                <w:bCs/>
                <w:sz w:val="18"/>
                <w:szCs w:val="18"/>
              </w:rPr>
              <w:t>1</w:t>
            </w:r>
          </w:p>
        </w:tc>
        <w:tc>
          <w:tcPr>
            <w:tcW w:w="708" w:type="dxa"/>
            <w:vAlign w:val="center"/>
          </w:tcPr>
          <w:p>
            <w:pPr>
              <w:adjustRightInd w:val="0"/>
              <w:snapToGrid w:val="0"/>
              <w:spacing w:line="240" w:lineRule="auto"/>
              <w:jc w:val="center"/>
              <w:rPr>
                <w:bCs/>
                <w:sz w:val="18"/>
                <w:szCs w:val="18"/>
              </w:rPr>
            </w:pPr>
            <w:r>
              <w:rPr>
                <w:bCs/>
                <w:sz w:val="18"/>
                <w:szCs w:val="18"/>
              </w:rPr>
              <w:t>马列</w:t>
            </w:r>
          </w:p>
        </w:tc>
        <w:tc>
          <w:tcPr>
            <w:tcW w:w="747" w:type="dxa"/>
            <w:vAlign w:val="center"/>
          </w:tcPr>
          <w:p>
            <w:pPr>
              <w:adjustRightInd w:val="0"/>
              <w:snapToGrid w:val="0"/>
              <w:spacing w:line="240" w:lineRule="auto"/>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continue"/>
            <w:tcBorders>
              <w:right w:val="single" w:color="auto" w:sz="4" w:space="0"/>
            </w:tcBorders>
            <w:vAlign w:val="center"/>
          </w:tcPr>
          <w:p>
            <w:pPr>
              <w:adjustRightInd w:val="0"/>
              <w:snapToGrid w:val="0"/>
              <w:spacing w:line="240" w:lineRule="auto"/>
              <w:jc w:val="center"/>
              <w:rPr>
                <w:bCs/>
                <w:sz w:val="18"/>
                <w:szCs w:val="18"/>
              </w:rPr>
            </w:pPr>
          </w:p>
        </w:tc>
        <w:tc>
          <w:tcPr>
            <w:tcW w:w="900" w:type="dxa"/>
            <w:tcBorders>
              <w:left w:val="single" w:color="auto" w:sz="4" w:space="0"/>
            </w:tcBorders>
            <w:vAlign w:val="center"/>
          </w:tcPr>
          <w:p>
            <w:pPr>
              <w:spacing w:line="240" w:lineRule="auto"/>
              <w:jc w:val="center"/>
              <w:rPr>
                <w:bCs/>
                <w:sz w:val="18"/>
                <w:szCs w:val="18"/>
              </w:rPr>
            </w:pPr>
          </w:p>
        </w:tc>
        <w:tc>
          <w:tcPr>
            <w:tcW w:w="2993" w:type="dxa"/>
            <w:vAlign w:val="center"/>
          </w:tcPr>
          <w:p>
            <w:pPr>
              <w:spacing w:line="240" w:lineRule="auto"/>
              <w:rPr>
                <w:bCs/>
                <w:snapToGrid w:val="0"/>
                <w:sz w:val="18"/>
                <w:szCs w:val="18"/>
              </w:rPr>
            </w:pPr>
            <w:r>
              <w:rPr>
                <w:bCs/>
                <w:snapToGrid w:val="0"/>
                <w:sz w:val="18"/>
                <w:szCs w:val="18"/>
              </w:rPr>
              <w:t>马克思主义基本原理</w:t>
            </w:r>
          </w:p>
          <w:p>
            <w:pPr>
              <w:spacing w:line="240" w:lineRule="auto"/>
              <w:rPr>
                <w:bCs/>
                <w:snapToGrid w:val="0"/>
                <w:sz w:val="18"/>
                <w:szCs w:val="18"/>
              </w:rPr>
            </w:pPr>
            <w:r>
              <w:rPr>
                <w:color w:val="000000"/>
                <w:sz w:val="18"/>
                <w:szCs w:val="18"/>
              </w:rPr>
              <w:t>Basic Tenets of Marxism</w:t>
            </w:r>
          </w:p>
        </w:tc>
        <w:tc>
          <w:tcPr>
            <w:tcW w:w="567" w:type="dxa"/>
            <w:vAlign w:val="center"/>
          </w:tcPr>
          <w:p>
            <w:pPr>
              <w:adjustRightInd w:val="0"/>
              <w:snapToGrid w:val="0"/>
              <w:spacing w:line="240" w:lineRule="auto"/>
              <w:jc w:val="center"/>
              <w:rPr>
                <w:bCs/>
                <w:sz w:val="18"/>
                <w:szCs w:val="18"/>
              </w:rPr>
            </w:pPr>
            <w:r>
              <w:rPr>
                <w:bCs/>
                <w:sz w:val="18"/>
                <w:szCs w:val="18"/>
              </w:rPr>
              <w:t>2.5</w:t>
            </w:r>
          </w:p>
        </w:tc>
        <w:tc>
          <w:tcPr>
            <w:tcW w:w="709" w:type="dxa"/>
            <w:vAlign w:val="center"/>
          </w:tcPr>
          <w:p>
            <w:pPr>
              <w:spacing w:line="240" w:lineRule="auto"/>
              <w:ind w:left="-120" w:leftChars="-50" w:right="-120" w:rightChars="-50"/>
              <w:jc w:val="center"/>
              <w:rPr>
                <w:bCs/>
                <w:snapToGrid w:val="0"/>
                <w:sz w:val="18"/>
                <w:szCs w:val="18"/>
              </w:rPr>
            </w:pPr>
            <w:r>
              <w:rPr>
                <w:bCs/>
                <w:snapToGrid w:val="0"/>
                <w:sz w:val="18"/>
                <w:szCs w:val="18"/>
              </w:rPr>
              <w:t>40</w:t>
            </w:r>
          </w:p>
        </w:tc>
        <w:tc>
          <w:tcPr>
            <w:tcW w:w="567" w:type="dxa"/>
            <w:vAlign w:val="center"/>
          </w:tcPr>
          <w:p>
            <w:pPr>
              <w:spacing w:line="240" w:lineRule="auto"/>
              <w:ind w:left="-120" w:leftChars="-50" w:right="-120" w:rightChars="-50"/>
              <w:jc w:val="center"/>
              <w:rPr>
                <w:bCs/>
                <w:snapToGrid w:val="0"/>
                <w:sz w:val="18"/>
                <w:szCs w:val="18"/>
              </w:rPr>
            </w:pPr>
            <w:r>
              <w:rPr>
                <w:bCs/>
                <w:snapToGrid w:val="0"/>
                <w:sz w:val="18"/>
                <w:szCs w:val="18"/>
              </w:rPr>
              <w:t>40</w:t>
            </w:r>
          </w:p>
        </w:tc>
        <w:tc>
          <w:tcPr>
            <w:tcW w:w="567" w:type="dxa"/>
            <w:vAlign w:val="center"/>
          </w:tcPr>
          <w:p>
            <w:pPr>
              <w:adjustRightInd w:val="0"/>
              <w:snapToGrid w:val="0"/>
              <w:spacing w:line="240" w:lineRule="auto"/>
              <w:ind w:left="-120" w:leftChars="-50" w:right="-120" w:rightChars="-50"/>
              <w:jc w:val="center"/>
              <w:rPr>
                <w:bCs/>
                <w:sz w:val="18"/>
                <w:szCs w:val="18"/>
              </w:rPr>
            </w:pPr>
          </w:p>
        </w:tc>
        <w:tc>
          <w:tcPr>
            <w:tcW w:w="709" w:type="dxa"/>
            <w:vAlign w:val="center"/>
          </w:tcPr>
          <w:p>
            <w:pPr>
              <w:adjustRightInd w:val="0"/>
              <w:snapToGrid w:val="0"/>
              <w:spacing w:line="240" w:lineRule="auto"/>
              <w:ind w:left="-120" w:leftChars="-50" w:right="-120" w:rightChars="-50"/>
              <w:jc w:val="center"/>
              <w:rPr>
                <w:bCs/>
                <w:sz w:val="18"/>
                <w:szCs w:val="18"/>
              </w:rPr>
            </w:pPr>
            <w:r>
              <w:rPr>
                <w:bCs/>
                <w:sz w:val="18"/>
                <w:szCs w:val="18"/>
              </w:rPr>
              <w:t>1</w:t>
            </w:r>
          </w:p>
        </w:tc>
        <w:tc>
          <w:tcPr>
            <w:tcW w:w="708" w:type="dxa"/>
            <w:vAlign w:val="center"/>
          </w:tcPr>
          <w:p>
            <w:pPr>
              <w:adjustRightInd w:val="0"/>
              <w:snapToGrid w:val="0"/>
              <w:spacing w:line="240" w:lineRule="auto"/>
              <w:jc w:val="center"/>
              <w:rPr>
                <w:bCs/>
                <w:sz w:val="18"/>
                <w:szCs w:val="18"/>
              </w:rPr>
            </w:pPr>
            <w:r>
              <w:rPr>
                <w:bCs/>
                <w:sz w:val="18"/>
                <w:szCs w:val="18"/>
              </w:rPr>
              <w:t>马列</w:t>
            </w:r>
          </w:p>
        </w:tc>
        <w:tc>
          <w:tcPr>
            <w:tcW w:w="747" w:type="dxa"/>
            <w:vAlign w:val="center"/>
          </w:tcPr>
          <w:p>
            <w:pPr>
              <w:adjustRightInd w:val="0"/>
              <w:snapToGrid w:val="0"/>
              <w:spacing w:line="240" w:lineRule="auto"/>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continue"/>
            <w:tcBorders>
              <w:right w:val="single" w:color="auto" w:sz="4" w:space="0"/>
            </w:tcBorders>
            <w:vAlign w:val="center"/>
          </w:tcPr>
          <w:p>
            <w:pPr>
              <w:adjustRightInd w:val="0"/>
              <w:snapToGrid w:val="0"/>
              <w:spacing w:line="240" w:lineRule="auto"/>
              <w:jc w:val="center"/>
              <w:rPr>
                <w:bCs/>
                <w:sz w:val="18"/>
                <w:szCs w:val="18"/>
              </w:rPr>
            </w:pPr>
          </w:p>
        </w:tc>
        <w:tc>
          <w:tcPr>
            <w:tcW w:w="900" w:type="dxa"/>
            <w:tcBorders>
              <w:left w:val="single" w:color="auto" w:sz="4" w:space="0"/>
            </w:tcBorders>
            <w:vAlign w:val="center"/>
          </w:tcPr>
          <w:p>
            <w:pPr>
              <w:spacing w:line="240" w:lineRule="auto"/>
              <w:jc w:val="center"/>
              <w:rPr>
                <w:bCs/>
                <w:sz w:val="18"/>
                <w:szCs w:val="18"/>
              </w:rPr>
            </w:pPr>
          </w:p>
        </w:tc>
        <w:tc>
          <w:tcPr>
            <w:tcW w:w="2993" w:type="dxa"/>
            <w:vAlign w:val="center"/>
          </w:tcPr>
          <w:p>
            <w:pPr>
              <w:spacing w:line="240" w:lineRule="auto"/>
              <w:rPr>
                <w:bCs/>
                <w:snapToGrid w:val="0"/>
                <w:sz w:val="18"/>
                <w:szCs w:val="18"/>
              </w:rPr>
            </w:pPr>
            <w:r>
              <w:rPr>
                <w:bCs/>
                <w:snapToGrid w:val="0"/>
                <w:sz w:val="18"/>
                <w:szCs w:val="18"/>
              </w:rPr>
              <w:t>中国近现代史纲要</w:t>
            </w:r>
          </w:p>
        </w:tc>
        <w:tc>
          <w:tcPr>
            <w:tcW w:w="567" w:type="dxa"/>
            <w:vAlign w:val="center"/>
          </w:tcPr>
          <w:p>
            <w:pPr>
              <w:adjustRightInd w:val="0"/>
              <w:snapToGrid w:val="0"/>
              <w:spacing w:line="240" w:lineRule="auto"/>
              <w:jc w:val="center"/>
              <w:rPr>
                <w:bCs/>
                <w:sz w:val="18"/>
                <w:szCs w:val="18"/>
              </w:rPr>
            </w:pPr>
            <w:r>
              <w:rPr>
                <w:bCs/>
                <w:sz w:val="18"/>
                <w:szCs w:val="18"/>
              </w:rPr>
              <w:t>2</w:t>
            </w:r>
          </w:p>
        </w:tc>
        <w:tc>
          <w:tcPr>
            <w:tcW w:w="709" w:type="dxa"/>
            <w:vAlign w:val="center"/>
          </w:tcPr>
          <w:p>
            <w:pPr>
              <w:spacing w:line="240" w:lineRule="auto"/>
              <w:ind w:left="-120" w:leftChars="-50" w:right="-120" w:rightChars="-50"/>
              <w:jc w:val="center"/>
              <w:rPr>
                <w:bCs/>
                <w:snapToGrid w:val="0"/>
                <w:sz w:val="18"/>
                <w:szCs w:val="18"/>
              </w:rPr>
            </w:pPr>
            <w:r>
              <w:rPr>
                <w:bCs/>
                <w:snapToGrid w:val="0"/>
                <w:sz w:val="18"/>
                <w:szCs w:val="18"/>
              </w:rPr>
              <w:t>32</w:t>
            </w:r>
          </w:p>
        </w:tc>
        <w:tc>
          <w:tcPr>
            <w:tcW w:w="567" w:type="dxa"/>
            <w:vAlign w:val="center"/>
          </w:tcPr>
          <w:p>
            <w:pPr>
              <w:spacing w:line="240" w:lineRule="auto"/>
              <w:ind w:left="-120" w:leftChars="-50" w:right="-120" w:rightChars="-50"/>
              <w:jc w:val="center"/>
              <w:rPr>
                <w:bCs/>
                <w:snapToGrid w:val="0"/>
                <w:sz w:val="18"/>
                <w:szCs w:val="18"/>
              </w:rPr>
            </w:pPr>
            <w:r>
              <w:rPr>
                <w:bCs/>
                <w:snapToGrid w:val="0"/>
                <w:sz w:val="18"/>
                <w:szCs w:val="18"/>
              </w:rPr>
              <w:t>32</w:t>
            </w:r>
          </w:p>
        </w:tc>
        <w:tc>
          <w:tcPr>
            <w:tcW w:w="567" w:type="dxa"/>
            <w:vAlign w:val="center"/>
          </w:tcPr>
          <w:p>
            <w:pPr>
              <w:adjustRightInd w:val="0"/>
              <w:snapToGrid w:val="0"/>
              <w:spacing w:line="240" w:lineRule="auto"/>
              <w:ind w:left="-120" w:leftChars="-50" w:right="-120" w:rightChars="-50"/>
              <w:jc w:val="center"/>
              <w:rPr>
                <w:bCs/>
                <w:sz w:val="18"/>
                <w:szCs w:val="18"/>
              </w:rPr>
            </w:pPr>
          </w:p>
        </w:tc>
        <w:tc>
          <w:tcPr>
            <w:tcW w:w="709" w:type="dxa"/>
            <w:vAlign w:val="center"/>
          </w:tcPr>
          <w:p>
            <w:pPr>
              <w:adjustRightInd w:val="0"/>
              <w:snapToGrid w:val="0"/>
              <w:spacing w:line="240" w:lineRule="auto"/>
              <w:ind w:left="-120" w:leftChars="-50" w:right="-120" w:rightChars="-50"/>
              <w:jc w:val="center"/>
              <w:rPr>
                <w:bCs/>
                <w:sz w:val="18"/>
                <w:szCs w:val="18"/>
              </w:rPr>
            </w:pPr>
            <w:r>
              <w:rPr>
                <w:bCs/>
                <w:sz w:val="18"/>
                <w:szCs w:val="18"/>
              </w:rPr>
              <w:t>2</w:t>
            </w:r>
          </w:p>
        </w:tc>
        <w:tc>
          <w:tcPr>
            <w:tcW w:w="708" w:type="dxa"/>
            <w:vAlign w:val="center"/>
          </w:tcPr>
          <w:p>
            <w:pPr>
              <w:adjustRightInd w:val="0"/>
              <w:snapToGrid w:val="0"/>
              <w:spacing w:line="240" w:lineRule="auto"/>
              <w:jc w:val="center"/>
              <w:rPr>
                <w:bCs/>
                <w:sz w:val="18"/>
                <w:szCs w:val="18"/>
              </w:rPr>
            </w:pPr>
            <w:r>
              <w:rPr>
                <w:bCs/>
                <w:sz w:val="18"/>
                <w:szCs w:val="18"/>
              </w:rPr>
              <w:t>马列</w:t>
            </w:r>
          </w:p>
        </w:tc>
        <w:tc>
          <w:tcPr>
            <w:tcW w:w="747" w:type="dxa"/>
            <w:vAlign w:val="center"/>
          </w:tcPr>
          <w:p>
            <w:pPr>
              <w:adjustRightInd w:val="0"/>
              <w:snapToGrid w:val="0"/>
              <w:spacing w:line="240" w:lineRule="auto"/>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continue"/>
            <w:tcBorders>
              <w:right w:val="single" w:color="auto" w:sz="4" w:space="0"/>
            </w:tcBorders>
            <w:vAlign w:val="center"/>
          </w:tcPr>
          <w:p>
            <w:pPr>
              <w:adjustRightInd w:val="0"/>
              <w:snapToGrid w:val="0"/>
              <w:spacing w:line="240" w:lineRule="auto"/>
              <w:jc w:val="center"/>
              <w:rPr>
                <w:bCs/>
                <w:sz w:val="18"/>
                <w:szCs w:val="18"/>
              </w:rPr>
            </w:pPr>
          </w:p>
        </w:tc>
        <w:tc>
          <w:tcPr>
            <w:tcW w:w="900" w:type="dxa"/>
            <w:tcBorders>
              <w:left w:val="single" w:color="auto" w:sz="4" w:space="0"/>
            </w:tcBorders>
            <w:vAlign w:val="center"/>
          </w:tcPr>
          <w:p>
            <w:pPr>
              <w:spacing w:line="240" w:lineRule="auto"/>
              <w:jc w:val="center"/>
              <w:rPr>
                <w:bCs/>
                <w:sz w:val="18"/>
                <w:szCs w:val="18"/>
              </w:rPr>
            </w:pPr>
          </w:p>
        </w:tc>
        <w:tc>
          <w:tcPr>
            <w:tcW w:w="2993" w:type="dxa"/>
            <w:vAlign w:val="center"/>
          </w:tcPr>
          <w:p>
            <w:pPr>
              <w:spacing w:line="240" w:lineRule="auto"/>
              <w:rPr>
                <w:bCs/>
                <w:snapToGrid w:val="0"/>
                <w:sz w:val="18"/>
                <w:szCs w:val="18"/>
              </w:rPr>
            </w:pPr>
            <w:r>
              <w:rPr>
                <w:bCs/>
                <w:snapToGrid w:val="0"/>
                <w:sz w:val="18"/>
                <w:szCs w:val="18"/>
              </w:rPr>
              <w:t>毛泽东思想和中国特色社会主义理论体系概论</w:t>
            </w:r>
          </w:p>
        </w:tc>
        <w:tc>
          <w:tcPr>
            <w:tcW w:w="567" w:type="dxa"/>
            <w:vAlign w:val="center"/>
          </w:tcPr>
          <w:p>
            <w:pPr>
              <w:adjustRightInd w:val="0"/>
              <w:snapToGrid w:val="0"/>
              <w:spacing w:line="240" w:lineRule="auto"/>
              <w:jc w:val="center"/>
              <w:rPr>
                <w:bCs/>
                <w:sz w:val="18"/>
                <w:szCs w:val="18"/>
              </w:rPr>
            </w:pPr>
            <w:r>
              <w:rPr>
                <w:bCs/>
                <w:sz w:val="18"/>
                <w:szCs w:val="18"/>
              </w:rPr>
              <w:t>2.5</w:t>
            </w:r>
          </w:p>
        </w:tc>
        <w:tc>
          <w:tcPr>
            <w:tcW w:w="709" w:type="dxa"/>
            <w:vAlign w:val="center"/>
          </w:tcPr>
          <w:p>
            <w:pPr>
              <w:spacing w:line="240" w:lineRule="auto"/>
              <w:ind w:left="-120" w:leftChars="-50" w:right="-120" w:rightChars="-50"/>
              <w:jc w:val="center"/>
              <w:rPr>
                <w:bCs/>
                <w:snapToGrid w:val="0"/>
                <w:sz w:val="18"/>
                <w:szCs w:val="18"/>
              </w:rPr>
            </w:pPr>
            <w:r>
              <w:rPr>
                <w:bCs/>
                <w:snapToGrid w:val="0"/>
                <w:sz w:val="18"/>
                <w:szCs w:val="18"/>
              </w:rPr>
              <w:t>40</w:t>
            </w:r>
          </w:p>
        </w:tc>
        <w:tc>
          <w:tcPr>
            <w:tcW w:w="567" w:type="dxa"/>
            <w:vAlign w:val="center"/>
          </w:tcPr>
          <w:p>
            <w:pPr>
              <w:spacing w:line="240" w:lineRule="auto"/>
              <w:ind w:left="-120" w:leftChars="-50" w:right="-120" w:rightChars="-50"/>
              <w:jc w:val="center"/>
              <w:rPr>
                <w:bCs/>
                <w:snapToGrid w:val="0"/>
                <w:sz w:val="18"/>
                <w:szCs w:val="18"/>
              </w:rPr>
            </w:pPr>
            <w:r>
              <w:rPr>
                <w:bCs/>
                <w:snapToGrid w:val="0"/>
                <w:sz w:val="18"/>
                <w:szCs w:val="18"/>
              </w:rPr>
              <w:t>40</w:t>
            </w:r>
          </w:p>
        </w:tc>
        <w:tc>
          <w:tcPr>
            <w:tcW w:w="567" w:type="dxa"/>
            <w:vAlign w:val="center"/>
          </w:tcPr>
          <w:p>
            <w:pPr>
              <w:adjustRightInd w:val="0"/>
              <w:snapToGrid w:val="0"/>
              <w:spacing w:line="240" w:lineRule="auto"/>
              <w:ind w:left="-120" w:leftChars="-50" w:right="-120" w:rightChars="-50"/>
              <w:jc w:val="center"/>
              <w:rPr>
                <w:bCs/>
                <w:sz w:val="18"/>
                <w:szCs w:val="18"/>
              </w:rPr>
            </w:pPr>
          </w:p>
        </w:tc>
        <w:tc>
          <w:tcPr>
            <w:tcW w:w="709" w:type="dxa"/>
            <w:vAlign w:val="center"/>
          </w:tcPr>
          <w:p>
            <w:pPr>
              <w:adjustRightInd w:val="0"/>
              <w:snapToGrid w:val="0"/>
              <w:spacing w:line="240" w:lineRule="auto"/>
              <w:ind w:left="-120" w:leftChars="-50" w:right="-120" w:rightChars="-50"/>
              <w:jc w:val="center"/>
              <w:rPr>
                <w:bCs/>
                <w:sz w:val="18"/>
                <w:szCs w:val="18"/>
              </w:rPr>
            </w:pPr>
            <w:r>
              <w:rPr>
                <w:bCs/>
                <w:sz w:val="18"/>
                <w:szCs w:val="18"/>
              </w:rPr>
              <w:t>3</w:t>
            </w:r>
          </w:p>
        </w:tc>
        <w:tc>
          <w:tcPr>
            <w:tcW w:w="708" w:type="dxa"/>
            <w:vAlign w:val="center"/>
          </w:tcPr>
          <w:p>
            <w:pPr>
              <w:adjustRightInd w:val="0"/>
              <w:snapToGrid w:val="0"/>
              <w:spacing w:line="240" w:lineRule="auto"/>
              <w:jc w:val="center"/>
              <w:rPr>
                <w:bCs/>
                <w:sz w:val="18"/>
                <w:szCs w:val="18"/>
              </w:rPr>
            </w:pPr>
            <w:r>
              <w:rPr>
                <w:bCs/>
                <w:sz w:val="18"/>
                <w:szCs w:val="18"/>
              </w:rPr>
              <w:t>马列</w:t>
            </w:r>
          </w:p>
        </w:tc>
        <w:tc>
          <w:tcPr>
            <w:tcW w:w="747" w:type="dxa"/>
            <w:vAlign w:val="center"/>
          </w:tcPr>
          <w:p>
            <w:pPr>
              <w:adjustRightInd w:val="0"/>
              <w:snapToGrid w:val="0"/>
              <w:spacing w:line="240" w:lineRule="auto"/>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continue"/>
            <w:tcBorders>
              <w:right w:val="single" w:color="auto" w:sz="4" w:space="0"/>
            </w:tcBorders>
            <w:vAlign w:val="center"/>
          </w:tcPr>
          <w:p>
            <w:pPr>
              <w:spacing w:line="240" w:lineRule="auto"/>
              <w:jc w:val="center"/>
              <w:rPr>
                <w:bCs/>
                <w:spacing w:val="-8"/>
                <w:position w:val="-8"/>
                <w:sz w:val="18"/>
                <w:szCs w:val="18"/>
              </w:rPr>
            </w:pPr>
          </w:p>
        </w:tc>
        <w:tc>
          <w:tcPr>
            <w:tcW w:w="900" w:type="dxa"/>
            <w:tcBorders>
              <w:left w:val="single" w:color="auto" w:sz="4" w:space="0"/>
            </w:tcBorders>
            <w:vAlign w:val="center"/>
          </w:tcPr>
          <w:p>
            <w:pPr>
              <w:spacing w:line="240" w:lineRule="auto"/>
              <w:jc w:val="center"/>
              <w:rPr>
                <w:bCs/>
                <w:sz w:val="18"/>
                <w:szCs w:val="18"/>
              </w:rPr>
            </w:pPr>
          </w:p>
        </w:tc>
        <w:tc>
          <w:tcPr>
            <w:tcW w:w="2993" w:type="dxa"/>
            <w:vAlign w:val="center"/>
          </w:tcPr>
          <w:p>
            <w:pPr>
              <w:spacing w:line="240" w:lineRule="auto"/>
              <w:rPr>
                <w:bCs/>
                <w:sz w:val="18"/>
                <w:szCs w:val="18"/>
              </w:rPr>
            </w:pPr>
            <w:r>
              <w:rPr>
                <w:bCs/>
                <w:sz w:val="18"/>
                <w:szCs w:val="18"/>
              </w:rPr>
              <w:t>大学英语B1</w:t>
            </w:r>
          </w:p>
        </w:tc>
        <w:tc>
          <w:tcPr>
            <w:tcW w:w="567" w:type="dxa"/>
            <w:vAlign w:val="center"/>
          </w:tcPr>
          <w:p>
            <w:pPr>
              <w:spacing w:line="240" w:lineRule="auto"/>
              <w:jc w:val="center"/>
              <w:rPr>
                <w:bCs/>
                <w:sz w:val="18"/>
                <w:szCs w:val="18"/>
              </w:rPr>
            </w:pPr>
            <w:r>
              <w:rPr>
                <w:bCs/>
                <w:sz w:val="18"/>
                <w:szCs w:val="18"/>
              </w:rPr>
              <w:t>2</w:t>
            </w:r>
          </w:p>
        </w:tc>
        <w:tc>
          <w:tcPr>
            <w:tcW w:w="709" w:type="dxa"/>
            <w:vAlign w:val="center"/>
          </w:tcPr>
          <w:p>
            <w:pPr>
              <w:spacing w:line="240" w:lineRule="auto"/>
              <w:ind w:left="-120" w:leftChars="-50" w:right="-120" w:rightChars="-50"/>
              <w:jc w:val="center"/>
              <w:rPr>
                <w:bCs/>
                <w:sz w:val="18"/>
                <w:szCs w:val="18"/>
              </w:rPr>
            </w:pPr>
            <w:r>
              <w:rPr>
                <w:bCs/>
                <w:sz w:val="18"/>
                <w:szCs w:val="18"/>
              </w:rPr>
              <w:t>32</w:t>
            </w:r>
          </w:p>
        </w:tc>
        <w:tc>
          <w:tcPr>
            <w:tcW w:w="567" w:type="dxa"/>
            <w:vAlign w:val="center"/>
          </w:tcPr>
          <w:p>
            <w:pPr>
              <w:spacing w:line="240" w:lineRule="auto"/>
              <w:ind w:left="-120" w:leftChars="-50" w:right="-120" w:rightChars="-50"/>
              <w:jc w:val="center"/>
              <w:rPr>
                <w:bCs/>
                <w:sz w:val="18"/>
                <w:szCs w:val="18"/>
              </w:rPr>
            </w:pPr>
            <w:r>
              <w:rPr>
                <w:bCs/>
                <w:sz w:val="18"/>
                <w:szCs w:val="18"/>
              </w:rPr>
              <w:t>40</w:t>
            </w:r>
          </w:p>
        </w:tc>
        <w:tc>
          <w:tcPr>
            <w:tcW w:w="567" w:type="dxa"/>
            <w:vAlign w:val="center"/>
          </w:tcPr>
          <w:p>
            <w:pPr>
              <w:spacing w:line="240" w:lineRule="auto"/>
              <w:ind w:left="-120" w:leftChars="-50" w:right="-120" w:rightChars="-50"/>
              <w:jc w:val="center"/>
              <w:rPr>
                <w:bCs/>
                <w:sz w:val="18"/>
                <w:szCs w:val="18"/>
              </w:rPr>
            </w:pPr>
          </w:p>
        </w:tc>
        <w:tc>
          <w:tcPr>
            <w:tcW w:w="709" w:type="dxa"/>
            <w:vAlign w:val="center"/>
          </w:tcPr>
          <w:p>
            <w:pPr>
              <w:spacing w:line="240" w:lineRule="auto"/>
              <w:ind w:left="-120" w:leftChars="-50" w:right="-120" w:rightChars="-50"/>
              <w:jc w:val="center"/>
              <w:rPr>
                <w:bCs/>
                <w:sz w:val="18"/>
                <w:szCs w:val="18"/>
              </w:rPr>
            </w:pPr>
            <w:r>
              <w:rPr>
                <w:bCs/>
                <w:sz w:val="18"/>
                <w:szCs w:val="18"/>
              </w:rPr>
              <w:t>1</w:t>
            </w:r>
          </w:p>
        </w:tc>
        <w:tc>
          <w:tcPr>
            <w:tcW w:w="708" w:type="dxa"/>
            <w:vAlign w:val="center"/>
          </w:tcPr>
          <w:p>
            <w:pPr>
              <w:spacing w:line="240" w:lineRule="auto"/>
              <w:jc w:val="center"/>
              <w:rPr>
                <w:bCs/>
                <w:sz w:val="18"/>
                <w:szCs w:val="18"/>
              </w:rPr>
            </w:pPr>
            <w:r>
              <w:rPr>
                <w:bCs/>
                <w:sz w:val="18"/>
                <w:szCs w:val="18"/>
              </w:rPr>
              <w:t>外语</w:t>
            </w:r>
          </w:p>
        </w:tc>
        <w:tc>
          <w:tcPr>
            <w:tcW w:w="747" w:type="dxa"/>
            <w:vAlign w:val="center"/>
          </w:tcPr>
          <w:p>
            <w:pPr>
              <w:spacing w:line="240" w:lineRule="auto"/>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continue"/>
            <w:tcBorders>
              <w:right w:val="single" w:color="auto" w:sz="4" w:space="0"/>
            </w:tcBorders>
            <w:vAlign w:val="center"/>
          </w:tcPr>
          <w:p>
            <w:pPr>
              <w:spacing w:line="240" w:lineRule="auto"/>
              <w:jc w:val="center"/>
              <w:rPr>
                <w:bCs/>
                <w:spacing w:val="-8"/>
                <w:position w:val="-8"/>
                <w:sz w:val="18"/>
                <w:szCs w:val="18"/>
              </w:rPr>
            </w:pPr>
          </w:p>
        </w:tc>
        <w:tc>
          <w:tcPr>
            <w:tcW w:w="900" w:type="dxa"/>
            <w:tcBorders>
              <w:left w:val="single" w:color="auto" w:sz="4" w:space="0"/>
            </w:tcBorders>
            <w:vAlign w:val="center"/>
          </w:tcPr>
          <w:p>
            <w:pPr>
              <w:spacing w:line="240" w:lineRule="auto"/>
              <w:jc w:val="center"/>
              <w:rPr>
                <w:bCs/>
                <w:sz w:val="18"/>
                <w:szCs w:val="18"/>
              </w:rPr>
            </w:pPr>
          </w:p>
        </w:tc>
        <w:tc>
          <w:tcPr>
            <w:tcW w:w="2993" w:type="dxa"/>
            <w:vAlign w:val="center"/>
          </w:tcPr>
          <w:p>
            <w:pPr>
              <w:spacing w:line="240" w:lineRule="auto"/>
              <w:rPr>
                <w:bCs/>
                <w:sz w:val="18"/>
                <w:szCs w:val="18"/>
              </w:rPr>
            </w:pPr>
            <w:r>
              <w:rPr>
                <w:bCs/>
                <w:sz w:val="18"/>
                <w:szCs w:val="18"/>
              </w:rPr>
              <w:t>大学英语B2</w:t>
            </w:r>
          </w:p>
        </w:tc>
        <w:tc>
          <w:tcPr>
            <w:tcW w:w="567" w:type="dxa"/>
            <w:vAlign w:val="center"/>
          </w:tcPr>
          <w:p>
            <w:pPr>
              <w:spacing w:line="240" w:lineRule="auto"/>
              <w:jc w:val="center"/>
              <w:rPr>
                <w:bCs/>
                <w:sz w:val="18"/>
                <w:szCs w:val="18"/>
              </w:rPr>
            </w:pPr>
            <w:r>
              <w:rPr>
                <w:bCs/>
                <w:sz w:val="18"/>
                <w:szCs w:val="18"/>
              </w:rPr>
              <w:t>3</w:t>
            </w:r>
          </w:p>
        </w:tc>
        <w:tc>
          <w:tcPr>
            <w:tcW w:w="709" w:type="dxa"/>
            <w:vAlign w:val="center"/>
          </w:tcPr>
          <w:p>
            <w:pPr>
              <w:spacing w:line="240" w:lineRule="auto"/>
              <w:ind w:left="-120" w:leftChars="-50" w:right="-120" w:rightChars="-50"/>
              <w:jc w:val="center"/>
              <w:rPr>
                <w:bCs/>
                <w:sz w:val="18"/>
                <w:szCs w:val="18"/>
              </w:rPr>
            </w:pPr>
            <w:r>
              <w:rPr>
                <w:bCs/>
                <w:sz w:val="18"/>
                <w:szCs w:val="18"/>
              </w:rPr>
              <w:t>48</w:t>
            </w:r>
          </w:p>
        </w:tc>
        <w:tc>
          <w:tcPr>
            <w:tcW w:w="567" w:type="dxa"/>
            <w:vAlign w:val="center"/>
          </w:tcPr>
          <w:p>
            <w:pPr>
              <w:spacing w:line="240" w:lineRule="auto"/>
              <w:ind w:left="-120" w:leftChars="-50" w:right="-120" w:rightChars="-50"/>
              <w:jc w:val="center"/>
              <w:rPr>
                <w:bCs/>
                <w:sz w:val="18"/>
                <w:szCs w:val="18"/>
              </w:rPr>
            </w:pPr>
            <w:r>
              <w:rPr>
                <w:bCs/>
                <w:sz w:val="18"/>
                <w:szCs w:val="18"/>
              </w:rPr>
              <w:t>40</w:t>
            </w:r>
          </w:p>
        </w:tc>
        <w:tc>
          <w:tcPr>
            <w:tcW w:w="567" w:type="dxa"/>
            <w:vAlign w:val="center"/>
          </w:tcPr>
          <w:p>
            <w:pPr>
              <w:spacing w:line="240" w:lineRule="auto"/>
              <w:ind w:left="-120" w:leftChars="-50" w:right="-120" w:rightChars="-50"/>
              <w:jc w:val="center"/>
              <w:rPr>
                <w:bCs/>
                <w:sz w:val="18"/>
                <w:szCs w:val="18"/>
              </w:rPr>
            </w:pPr>
          </w:p>
        </w:tc>
        <w:tc>
          <w:tcPr>
            <w:tcW w:w="709" w:type="dxa"/>
            <w:vAlign w:val="center"/>
          </w:tcPr>
          <w:p>
            <w:pPr>
              <w:spacing w:line="240" w:lineRule="auto"/>
              <w:ind w:left="-120" w:leftChars="-50" w:right="-120" w:rightChars="-50"/>
              <w:jc w:val="center"/>
              <w:rPr>
                <w:bCs/>
                <w:sz w:val="18"/>
                <w:szCs w:val="18"/>
              </w:rPr>
            </w:pPr>
            <w:r>
              <w:rPr>
                <w:bCs/>
                <w:sz w:val="18"/>
                <w:szCs w:val="18"/>
              </w:rPr>
              <w:t>2</w:t>
            </w:r>
          </w:p>
        </w:tc>
        <w:tc>
          <w:tcPr>
            <w:tcW w:w="708" w:type="dxa"/>
            <w:vAlign w:val="center"/>
          </w:tcPr>
          <w:p>
            <w:pPr>
              <w:spacing w:line="240" w:lineRule="auto"/>
              <w:jc w:val="center"/>
              <w:rPr>
                <w:bCs/>
                <w:sz w:val="18"/>
                <w:szCs w:val="18"/>
              </w:rPr>
            </w:pPr>
            <w:r>
              <w:rPr>
                <w:bCs/>
                <w:sz w:val="18"/>
                <w:szCs w:val="18"/>
              </w:rPr>
              <w:t>外语</w:t>
            </w:r>
          </w:p>
        </w:tc>
        <w:tc>
          <w:tcPr>
            <w:tcW w:w="747" w:type="dxa"/>
            <w:vAlign w:val="center"/>
          </w:tcPr>
          <w:p>
            <w:pPr>
              <w:spacing w:line="240" w:lineRule="auto"/>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continue"/>
            <w:tcBorders>
              <w:right w:val="single" w:color="auto" w:sz="4" w:space="0"/>
            </w:tcBorders>
            <w:vAlign w:val="center"/>
          </w:tcPr>
          <w:p>
            <w:pPr>
              <w:spacing w:line="240" w:lineRule="auto"/>
              <w:jc w:val="center"/>
              <w:rPr>
                <w:bCs/>
                <w:spacing w:val="-8"/>
                <w:position w:val="-8"/>
                <w:sz w:val="18"/>
                <w:szCs w:val="18"/>
              </w:rPr>
            </w:pPr>
          </w:p>
        </w:tc>
        <w:tc>
          <w:tcPr>
            <w:tcW w:w="900" w:type="dxa"/>
            <w:tcBorders>
              <w:left w:val="single" w:color="auto" w:sz="4" w:space="0"/>
            </w:tcBorders>
            <w:vAlign w:val="center"/>
          </w:tcPr>
          <w:p>
            <w:pPr>
              <w:spacing w:line="240" w:lineRule="auto"/>
              <w:jc w:val="center"/>
              <w:rPr>
                <w:bCs/>
                <w:sz w:val="18"/>
                <w:szCs w:val="18"/>
              </w:rPr>
            </w:pPr>
          </w:p>
        </w:tc>
        <w:tc>
          <w:tcPr>
            <w:tcW w:w="2993" w:type="dxa"/>
            <w:vAlign w:val="center"/>
          </w:tcPr>
          <w:p>
            <w:pPr>
              <w:spacing w:line="240" w:lineRule="auto"/>
              <w:rPr>
                <w:bCs/>
                <w:sz w:val="18"/>
                <w:szCs w:val="18"/>
              </w:rPr>
            </w:pPr>
            <w:r>
              <w:rPr>
                <w:bCs/>
                <w:sz w:val="18"/>
                <w:szCs w:val="18"/>
              </w:rPr>
              <w:t>大学英语B3</w:t>
            </w:r>
          </w:p>
        </w:tc>
        <w:tc>
          <w:tcPr>
            <w:tcW w:w="567" w:type="dxa"/>
            <w:vAlign w:val="center"/>
          </w:tcPr>
          <w:p>
            <w:pPr>
              <w:spacing w:line="240" w:lineRule="auto"/>
              <w:jc w:val="center"/>
              <w:rPr>
                <w:bCs/>
                <w:sz w:val="18"/>
                <w:szCs w:val="18"/>
              </w:rPr>
            </w:pPr>
            <w:r>
              <w:rPr>
                <w:bCs/>
                <w:sz w:val="18"/>
                <w:szCs w:val="18"/>
              </w:rPr>
              <w:t>3</w:t>
            </w:r>
          </w:p>
        </w:tc>
        <w:tc>
          <w:tcPr>
            <w:tcW w:w="709" w:type="dxa"/>
            <w:vAlign w:val="center"/>
          </w:tcPr>
          <w:p>
            <w:pPr>
              <w:spacing w:line="240" w:lineRule="auto"/>
              <w:ind w:left="-120" w:leftChars="-50" w:right="-120" w:rightChars="-50"/>
              <w:jc w:val="center"/>
              <w:rPr>
                <w:bCs/>
                <w:sz w:val="18"/>
                <w:szCs w:val="18"/>
              </w:rPr>
            </w:pPr>
            <w:r>
              <w:rPr>
                <w:bCs/>
                <w:sz w:val="18"/>
                <w:szCs w:val="18"/>
              </w:rPr>
              <w:t>48</w:t>
            </w:r>
          </w:p>
        </w:tc>
        <w:tc>
          <w:tcPr>
            <w:tcW w:w="567" w:type="dxa"/>
            <w:vAlign w:val="center"/>
          </w:tcPr>
          <w:p>
            <w:pPr>
              <w:spacing w:line="240" w:lineRule="auto"/>
              <w:ind w:left="-120" w:leftChars="-50" w:right="-120" w:rightChars="-50"/>
              <w:jc w:val="center"/>
              <w:rPr>
                <w:bCs/>
                <w:sz w:val="18"/>
                <w:szCs w:val="18"/>
              </w:rPr>
            </w:pPr>
            <w:r>
              <w:rPr>
                <w:bCs/>
                <w:sz w:val="18"/>
                <w:szCs w:val="18"/>
              </w:rPr>
              <w:t>40</w:t>
            </w:r>
          </w:p>
        </w:tc>
        <w:tc>
          <w:tcPr>
            <w:tcW w:w="567" w:type="dxa"/>
            <w:vAlign w:val="center"/>
          </w:tcPr>
          <w:p>
            <w:pPr>
              <w:spacing w:line="240" w:lineRule="auto"/>
              <w:ind w:left="-120" w:leftChars="-50" w:right="-120" w:rightChars="-50"/>
              <w:jc w:val="center"/>
              <w:rPr>
                <w:bCs/>
                <w:sz w:val="18"/>
                <w:szCs w:val="18"/>
              </w:rPr>
            </w:pPr>
          </w:p>
        </w:tc>
        <w:tc>
          <w:tcPr>
            <w:tcW w:w="709" w:type="dxa"/>
            <w:vAlign w:val="center"/>
          </w:tcPr>
          <w:p>
            <w:pPr>
              <w:spacing w:line="240" w:lineRule="auto"/>
              <w:ind w:left="-120" w:leftChars="-50" w:right="-120" w:rightChars="-50"/>
              <w:jc w:val="center"/>
              <w:rPr>
                <w:bCs/>
                <w:sz w:val="18"/>
                <w:szCs w:val="18"/>
              </w:rPr>
            </w:pPr>
            <w:r>
              <w:rPr>
                <w:bCs/>
                <w:sz w:val="18"/>
                <w:szCs w:val="18"/>
              </w:rPr>
              <w:t>3</w:t>
            </w:r>
          </w:p>
        </w:tc>
        <w:tc>
          <w:tcPr>
            <w:tcW w:w="708" w:type="dxa"/>
            <w:vAlign w:val="center"/>
          </w:tcPr>
          <w:p>
            <w:pPr>
              <w:spacing w:line="240" w:lineRule="auto"/>
              <w:jc w:val="center"/>
              <w:rPr>
                <w:bCs/>
                <w:sz w:val="18"/>
                <w:szCs w:val="18"/>
              </w:rPr>
            </w:pPr>
            <w:r>
              <w:rPr>
                <w:bCs/>
                <w:sz w:val="18"/>
                <w:szCs w:val="18"/>
              </w:rPr>
              <w:t>外语</w:t>
            </w:r>
          </w:p>
        </w:tc>
        <w:tc>
          <w:tcPr>
            <w:tcW w:w="747" w:type="dxa"/>
            <w:vAlign w:val="center"/>
          </w:tcPr>
          <w:p>
            <w:pPr>
              <w:spacing w:line="240" w:lineRule="auto"/>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continue"/>
            <w:tcBorders>
              <w:right w:val="single" w:color="auto" w:sz="4" w:space="0"/>
            </w:tcBorders>
            <w:vAlign w:val="center"/>
          </w:tcPr>
          <w:p>
            <w:pPr>
              <w:spacing w:line="240" w:lineRule="auto"/>
              <w:jc w:val="center"/>
              <w:rPr>
                <w:bCs/>
                <w:spacing w:val="-8"/>
                <w:position w:val="-8"/>
                <w:sz w:val="18"/>
                <w:szCs w:val="18"/>
              </w:rPr>
            </w:pPr>
          </w:p>
        </w:tc>
        <w:tc>
          <w:tcPr>
            <w:tcW w:w="900" w:type="dxa"/>
            <w:tcBorders>
              <w:left w:val="single" w:color="auto" w:sz="4" w:space="0"/>
            </w:tcBorders>
            <w:vAlign w:val="center"/>
          </w:tcPr>
          <w:p>
            <w:pPr>
              <w:spacing w:line="240" w:lineRule="auto"/>
              <w:jc w:val="center"/>
              <w:rPr>
                <w:bCs/>
                <w:sz w:val="18"/>
                <w:szCs w:val="18"/>
              </w:rPr>
            </w:pPr>
          </w:p>
        </w:tc>
        <w:tc>
          <w:tcPr>
            <w:tcW w:w="2993" w:type="dxa"/>
            <w:vAlign w:val="center"/>
          </w:tcPr>
          <w:p>
            <w:pPr>
              <w:spacing w:line="240" w:lineRule="auto"/>
              <w:rPr>
                <w:bCs/>
                <w:sz w:val="18"/>
                <w:szCs w:val="18"/>
              </w:rPr>
            </w:pPr>
            <w:r>
              <w:rPr>
                <w:bCs/>
                <w:sz w:val="18"/>
                <w:szCs w:val="18"/>
              </w:rPr>
              <w:t>大学英语B4</w:t>
            </w:r>
          </w:p>
        </w:tc>
        <w:tc>
          <w:tcPr>
            <w:tcW w:w="567" w:type="dxa"/>
            <w:vAlign w:val="center"/>
          </w:tcPr>
          <w:p>
            <w:pPr>
              <w:spacing w:line="240" w:lineRule="auto"/>
              <w:jc w:val="center"/>
              <w:rPr>
                <w:bCs/>
                <w:sz w:val="18"/>
                <w:szCs w:val="18"/>
              </w:rPr>
            </w:pPr>
            <w:r>
              <w:rPr>
                <w:bCs/>
                <w:sz w:val="18"/>
                <w:szCs w:val="18"/>
              </w:rPr>
              <w:t>2</w:t>
            </w:r>
          </w:p>
        </w:tc>
        <w:tc>
          <w:tcPr>
            <w:tcW w:w="709" w:type="dxa"/>
            <w:vAlign w:val="center"/>
          </w:tcPr>
          <w:p>
            <w:pPr>
              <w:spacing w:line="240" w:lineRule="auto"/>
              <w:ind w:left="-120" w:leftChars="-50" w:right="-120" w:rightChars="-50"/>
              <w:jc w:val="center"/>
              <w:rPr>
                <w:bCs/>
                <w:sz w:val="18"/>
                <w:szCs w:val="18"/>
              </w:rPr>
            </w:pPr>
            <w:r>
              <w:rPr>
                <w:bCs/>
                <w:sz w:val="18"/>
                <w:szCs w:val="18"/>
              </w:rPr>
              <w:t>32</w:t>
            </w:r>
          </w:p>
        </w:tc>
        <w:tc>
          <w:tcPr>
            <w:tcW w:w="567" w:type="dxa"/>
            <w:vAlign w:val="center"/>
          </w:tcPr>
          <w:p>
            <w:pPr>
              <w:spacing w:line="240" w:lineRule="auto"/>
              <w:ind w:left="-120" w:leftChars="-50" w:right="-120" w:rightChars="-50"/>
              <w:jc w:val="center"/>
              <w:rPr>
                <w:bCs/>
                <w:sz w:val="18"/>
                <w:szCs w:val="18"/>
              </w:rPr>
            </w:pPr>
            <w:r>
              <w:rPr>
                <w:bCs/>
                <w:sz w:val="18"/>
                <w:szCs w:val="18"/>
              </w:rPr>
              <w:t>40</w:t>
            </w:r>
          </w:p>
        </w:tc>
        <w:tc>
          <w:tcPr>
            <w:tcW w:w="567" w:type="dxa"/>
            <w:vAlign w:val="center"/>
          </w:tcPr>
          <w:p>
            <w:pPr>
              <w:spacing w:line="240" w:lineRule="auto"/>
              <w:ind w:left="-120" w:leftChars="-50" w:right="-120" w:rightChars="-50"/>
              <w:jc w:val="center"/>
              <w:rPr>
                <w:bCs/>
                <w:sz w:val="18"/>
                <w:szCs w:val="18"/>
              </w:rPr>
            </w:pPr>
          </w:p>
        </w:tc>
        <w:tc>
          <w:tcPr>
            <w:tcW w:w="709" w:type="dxa"/>
            <w:vAlign w:val="center"/>
          </w:tcPr>
          <w:p>
            <w:pPr>
              <w:spacing w:line="240" w:lineRule="auto"/>
              <w:ind w:left="-120" w:leftChars="-50" w:right="-120" w:rightChars="-50"/>
              <w:jc w:val="center"/>
              <w:rPr>
                <w:bCs/>
                <w:sz w:val="18"/>
                <w:szCs w:val="18"/>
              </w:rPr>
            </w:pPr>
            <w:r>
              <w:rPr>
                <w:bCs/>
                <w:sz w:val="18"/>
                <w:szCs w:val="18"/>
              </w:rPr>
              <w:t>4</w:t>
            </w:r>
          </w:p>
        </w:tc>
        <w:tc>
          <w:tcPr>
            <w:tcW w:w="708" w:type="dxa"/>
            <w:vAlign w:val="center"/>
          </w:tcPr>
          <w:p>
            <w:pPr>
              <w:spacing w:line="240" w:lineRule="auto"/>
              <w:jc w:val="center"/>
              <w:rPr>
                <w:bCs/>
                <w:sz w:val="18"/>
                <w:szCs w:val="18"/>
              </w:rPr>
            </w:pPr>
            <w:r>
              <w:rPr>
                <w:bCs/>
                <w:sz w:val="18"/>
                <w:szCs w:val="18"/>
              </w:rPr>
              <w:t>外语</w:t>
            </w:r>
          </w:p>
        </w:tc>
        <w:tc>
          <w:tcPr>
            <w:tcW w:w="747" w:type="dxa"/>
            <w:vAlign w:val="center"/>
          </w:tcPr>
          <w:p>
            <w:pPr>
              <w:spacing w:line="240" w:lineRule="auto"/>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continue"/>
            <w:tcBorders>
              <w:right w:val="single" w:color="auto" w:sz="4" w:space="0"/>
            </w:tcBorders>
            <w:vAlign w:val="center"/>
          </w:tcPr>
          <w:p>
            <w:pPr>
              <w:spacing w:line="240" w:lineRule="auto"/>
              <w:jc w:val="center"/>
              <w:rPr>
                <w:bCs/>
                <w:spacing w:val="-8"/>
                <w:position w:val="-8"/>
                <w:sz w:val="18"/>
                <w:szCs w:val="18"/>
              </w:rPr>
            </w:pPr>
          </w:p>
        </w:tc>
        <w:tc>
          <w:tcPr>
            <w:tcW w:w="900" w:type="dxa"/>
            <w:tcBorders>
              <w:left w:val="single" w:color="auto" w:sz="4" w:space="0"/>
            </w:tcBorders>
            <w:vAlign w:val="center"/>
          </w:tcPr>
          <w:p>
            <w:pPr>
              <w:spacing w:line="240" w:lineRule="auto"/>
              <w:jc w:val="center"/>
              <w:rPr>
                <w:bCs/>
                <w:sz w:val="18"/>
                <w:szCs w:val="18"/>
              </w:rPr>
            </w:pPr>
          </w:p>
        </w:tc>
        <w:tc>
          <w:tcPr>
            <w:tcW w:w="2993" w:type="dxa"/>
            <w:vAlign w:val="center"/>
          </w:tcPr>
          <w:p>
            <w:pPr>
              <w:spacing w:line="240" w:lineRule="auto"/>
              <w:rPr>
                <w:bCs/>
                <w:snapToGrid w:val="0"/>
                <w:sz w:val="18"/>
                <w:szCs w:val="18"/>
              </w:rPr>
            </w:pPr>
            <w:r>
              <w:rPr>
                <w:bCs/>
                <w:snapToGrid w:val="0"/>
                <w:sz w:val="18"/>
                <w:szCs w:val="18"/>
              </w:rPr>
              <w:t>大学生心理健康教育</w:t>
            </w:r>
          </w:p>
        </w:tc>
        <w:tc>
          <w:tcPr>
            <w:tcW w:w="567" w:type="dxa"/>
            <w:vAlign w:val="center"/>
          </w:tcPr>
          <w:p>
            <w:pPr>
              <w:spacing w:line="240" w:lineRule="auto"/>
              <w:jc w:val="center"/>
              <w:rPr>
                <w:bCs/>
                <w:sz w:val="18"/>
                <w:szCs w:val="18"/>
              </w:rPr>
            </w:pPr>
            <w:r>
              <w:rPr>
                <w:bCs/>
                <w:sz w:val="18"/>
                <w:szCs w:val="18"/>
              </w:rPr>
              <w:t>2</w:t>
            </w:r>
          </w:p>
        </w:tc>
        <w:tc>
          <w:tcPr>
            <w:tcW w:w="709" w:type="dxa"/>
            <w:vAlign w:val="center"/>
          </w:tcPr>
          <w:p>
            <w:pPr>
              <w:spacing w:line="240" w:lineRule="auto"/>
              <w:ind w:left="-120" w:leftChars="-50" w:right="-120" w:rightChars="-50"/>
              <w:jc w:val="center"/>
              <w:rPr>
                <w:bCs/>
                <w:sz w:val="18"/>
                <w:szCs w:val="18"/>
              </w:rPr>
            </w:pPr>
            <w:r>
              <w:rPr>
                <w:bCs/>
                <w:sz w:val="18"/>
                <w:szCs w:val="18"/>
              </w:rPr>
              <w:t>32</w:t>
            </w:r>
          </w:p>
        </w:tc>
        <w:tc>
          <w:tcPr>
            <w:tcW w:w="567" w:type="dxa"/>
            <w:vAlign w:val="center"/>
          </w:tcPr>
          <w:p>
            <w:pPr>
              <w:spacing w:line="240" w:lineRule="auto"/>
              <w:ind w:left="-120" w:leftChars="-50" w:right="-120" w:rightChars="-50"/>
              <w:jc w:val="center"/>
              <w:rPr>
                <w:bCs/>
                <w:sz w:val="18"/>
                <w:szCs w:val="18"/>
              </w:rPr>
            </w:pPr>
            <w:r>
              <w:rPr>
                <w:bCs/>
                <w:sz w:val="18"/>
                <w:szCs w:val="18"/>
              </w:rPr>
              <w:t>24</w:t>
            </w:r>
          </w:p>
        </w:tc>
        <w:tc>
          <w:tcPr>
            <w:tcW w:w="567" w:type="dxa"/>
            <w:vAlign w:val="center"/>
          </w:tcPr>
          <w:p>
            <w:pPr>
              <w:spacing w:line="240" w:lineRule="auto"/>
              <w:ind w:left="-120" w:leftChars="-50" w:right="-120" w:rightChars="-50"/>
              <w:jc w:val="center"/>
              <w:rPr>
                <w:bCs/>
                <w:sz w:val="18"/>
                <w:szCs w:val="18"/>
              </w:rPr>
            </w:pPr>
            <w:r>
              <w:rPr>
                <w:bCs/>
                <w:sz w:val="18"/>
                <w:szCs w:val="18"/>
              </w:rPr>
              <w:t>8</w:t>
            </w:r>
          </w:p>
        </w:tc>
        <w:tc>
          <w:tcPr>
            <w:tcW w:w="709" w:type="dxa"/>
            <w:vAlign w:val="center"/>
          </w:tcPr>
          <w:p>
            <w:pPr>
              <w:spacing w:line="240" w:lineRule="auto"/>
              <w:ind w:left="-120" w:leftChars="-50" w:right="-120" w:rightChars="-50"/>
              <w:jc w:val="center"/>
              <w:rPr>
                <w:bCs/>
                <w:sz w:val="18"/>
                <w:szCs w:val="18"/>
              </w:rPr>
            </w:pPr>
            <w:r>
              <w:rPr>
                <w:bCs/>
                <w:sz w:val="18"/>
                <w:szCs w:val="18"/>
              </w:rPr>
              <w:t>2</w:t>
            </w:r>
          </w:p>
        </w:tc>
        <w:tc>
          <w:tcPr>
            <w:tcW w:w="708" w:type="dxa"/>
            <w:vAlign w:val="center"/>
          </w:tcPr>
          <w:p>
            <w:pPr>
              <w:spacing w:line="240" w:lineRule="auto"/>
              <w:jc w:val="center"/>
              <w:rPr>
                <w:bCs/>
                <w:sz w:val="18"/>
                <w:szCs w:val="18"/>
              </w:rPr>
            </w:pPr>
            <w:r>
              <w:rPr>
                <w:bCs/>
                <w:sz w:val="18"/>
                <w:szCs w:val="18"/>
              </w:rPr>
              <w:t>学工</w:t>
            </w:r>
          </w:p>
        </w:tc>
        <w:tc>
          <w:tcPr>
            <w:tcW w:w="747" w:type="dxa"/>
            <w:vAlign w:val="center"/>
          </w:tcPr>
          <w:p>
            <w:pPr>
              <w:spacing w:line="240" w:lineRule="exact"/>
              <w:jc w:val="center"/>
              <w:rPr>
                <w:bCs/>
                <w:sz w:val="13"/>
                <w:szCs w:val="18"/>
              </w:rPr>
            </w:pPr>
            <w:r>
              <w:rPr>
                <w:bCs/>
                <w:sz w:val="13"/>
                <w:szCs w:val="18"/>
              </w:rPr>
              <w:t>不收费</w:t>
            </w:r>
          </w:p>
          <w:p>
            <w:pPr>
              <w:spacing w:line="240" w:lineRule="exact"/>
              <w:jc w:val="center"/>
              <w:rPr>
                <w:bCs/>
                <w:sz w:val="13"/>
                <w:szCs w:val="18"/>
              </w:rPr>
            </w:pPr>
            <w:r>
              <w:rPr>
                <w:bCs/>
                <w:sz w:val="13"/>
                <w:szCs w:val="18"/>
              </w:rPr>
              <w:t>学分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continue"/>
            <w:tcBorders>
              <w:right w:val="single" w:color="auto" w:sz="4" w:space="0"/>
            </w:tcBorders>
            <w:vAlign w:val="center"/>
          </w:tcPr>
          <w:p>
            <w:pPr>
              <w:spacing w:line="240" w:lineRule="auto"/>
              <w:jc w:val="center"/>
              <w:rPr>
                <w:bCs/>
                <w:spacing w:val="-8"/>
                <w:position w:val="-8"/>
                <w:sz w:val="18"/>
                <w:szCs w:val="18"/>
              </w:rPr>
            </w:pPr>
          </w:p>
        </w:tc>
        <w:tc>
          <w:tcPr>
            <w:tcW w:w="900" w:type="dxa"/>
            <w:tcBorders>
              <w:left w:val="single" w:color="auto" w:sz="4" w:space="0"/>
            </w:tcBorders>
            <w:vAlign w:val="center"/>
          </w:tcPr>
          <w:p>
            <w:pPr>
              <w:spacing w:line="240" w:lineRule="auto"/>
              <w:jc w:val="center"/>
              <w:rPr>
                <w:bCs/>
                <w:sz w:val="18"/>
                <w:szCs w:val="18"/>
              </w:rPr>
            </w:pPr>
          </w:p>
        </w:tc>
        <w:tc>
          <w:tcPr>
            <w:tcW w:w="2993" w:type="dxa"/>
            <w:vAlign w:val="center"/>
          </w:tcPr>
          <w:p>
            <w:pPr>
              <w:spacing w:line="240" w:lineRule="auto"/>
              <w:rPr>
                <w:bCs/>
                <w:snapToGrid w:val="0"/>
                <w:sz w:val="18"/>
                <w:szCs w:val="18"/>
              </w:rPr>
            </w:pPr>
            <w:r>
              <w:rPr>
                <w:bCs/>
                <w:snapToGrid w:val="0"/>
                <w:sz w:val="18"/>
                <w:szCs w:val="18"/>
              </w:rPr>
              <w:t>形势与政策 1</w:t>
            </w:r>
          </w:p>
        </w:tc>
        <w:tc>
          <w:tcPr>
            <w:tcW w:w="567" w:type="dxa"/>
            <w:vAlign w:val="center"/>
          </w:tcPr>
          <w:p>
            <w:pPr>
              <w:spacing w:line="240" w:lineRule="auto"/>
              <w:jc w:val="center"/>
              <w:rPr>
                <w:bCs/>
                <w:sz w:val="18"/>
                <w:szCs w:val="18"/>
              </w:rPr>
            </w:pPr>
            <w:r>
              <w:rPr>
                <w:bCs/>
                <w:sz w:val="18"/>
                <w:szCs w:val="18"/>
              </w:rPr>
              <w:t>1</w:t>
            </w:r>
          </w:p>
        </w:tc>
        <w:tc>
          <w:tcPr>
            <w:tcW w:w="709" w:type="dxa"/>
            <w:vAlign w:val="center"/>
          </w:tcPr>
          <w:p>
            <w:pPr>
              <w:spacing w:line="240" w:lineRule="auto"/>
              <w:ind w:left="-120" w:leftChars="-50" w:right="-120" w:rightChars="-50"/>
              <w:jc w:val="center"/>
              <w:rPr>
                <w:bCs/>
                <w:sz w:val="18"/>
                <w:szCs w:val="18"/>
              </w:rPr>
            </w:pPr>
            <w:r>
              <w:rPr>
                <w:bCs/>
                <w:sz w:val="18"/>
                <w:szCs w:val="18"/>
              </w:rPr>
              <w:t>16</w:t>
            </w:r>
          </w:p>
        </w:tc>
        <w:tc>
          <w:tcPr>
            <w:tcW w:w="567" w:type="dxa"/>
            <w:vAlign w:val="center"/>
          </w:tcPr>
          <w:p>
            <w:pPr>
              <w:spacing w:line="240" w:lineRule="auto"/>
              <w:ind w:left="-120" w:leftChars="-50" w:right="-120" w:rightChars="-50"/>
              <w:jc w:val="center"/>
              <w:rPr>
                <w:bCs/>
                <w:sz w:val="18"/>
                <w:szCs w:val="18"/>
              </w:rPr>
            </w:pPr>
            <w:r>
              <w:rPr>
                <w:bCs/>
                <w:sz w:val="18"/>
                <w:szCs w:val="18"/>
              </w:rPr>
              <w:t>16</w:t>
            </w:r>
          </w:p>
        </w:tc>
        <w:tc>
          <w:tcPr>
            <w:tcW w:w="567" w:type="dxa"/>
            <w:vAlign w:val="center"/>
          </w:tcPr>
          <w:p>
            <w:pPr>
              <w:spacing w:line="240" w:lineRule="auto"/>
              <w:ind w:left="-120" w:leftChars="-50" w:right="-120" w:rightChars="-50"/>
              <w:jc w:val="center"/>
              <w:rPr>
                <w:bCs/>
                <w:sz w:val="18"/>
                <w:szCs w:val="18"/>
              </w:rPr>
            </w:pPr>
          </w:p>
        </w:tc>
        <w:tc>
          <w:tcPr>
            <w:tcW w:w="709" w:type="dxa"/>
            <w:vAlign w:val="center"/>
          </w:tcPr>
          <w:p>
            <w:pPr>
              <w:spacing w:line="240" w:lineRule="auto"/>
              <w:ind w:left="-120" w:leftChars="-50" w:right="-120" w:rightChars="-50"/>
              <w:jc w:val="center"/>
              <w:rPr>
                <w:bCs/>
                <w:sz w:val="18"/>
                <w:szCs w:val="18"/>
              </w:rPr>
            </w:pPr>
            <w:r>
              <w:rPr>
                <w:bCs/>
                <w:sz w:val="18"/>
                <w:szCs w:val="18"/>
              </w:rPr>
              <w:t>1</w:t>
            </w:r>
          </w:p>
        </w:tc>
        <w:tc>
          <w:tcPr>
            <w:tcW w:w="708" w:type="dxa"/>
            <w:vAlign w:val="center"/>
          </w:tcPr>
          <w:p>
            <w:pPr>
              <w:spacing w:line="240" w:lineRule="auto"/>
              <w:jc w:val="center"/>
              <w:rPr>
                <w:bCs/>
                <w:sz w:val="18"/>
                <w:szCs w:val="18"/>
              </w:rPr>
            </w:pPr>
            <w:r>
              <w:rPr>
                <w:bCs/>
                <w:sz w:val="18"/>
                <w:szCs w:val="18"/>
              </w:rPr>
              <w:t>学工</w:t>
            </w:r>
          </w:p>
        </w:tc>
        <w:tc>
          <w:tcPr>
            <w:tcW w:w="747" w:type="dxa"/>
            <w:vAlign w:val="center"/>
          </w:tcPr>
          <w:p>
            <w:pPr>
              <w:spacing w:line="240" w:lineRule="exact"/>
              <w:jc w:val="center"/>
              <w:rPr>
                <w:bCs/>
                <w:sz w:val="13"/>
                <w:szCs w:val="18"/>
              </w:rPr>
            </w:pPr>
            <w:r>
              <w:rPr>
                <w:bCs/>
                <w:sz w:val="13"/>
                <w:szCs w:val="18"/>
              </w:rPr>
              <w:t>不收费</w:t>
            </w:r>
          </w:p>
          <w:p>
            <w:pPr>
              <w:spacing w:line="240" w:lineRule="exact"/>
              <w:jc w:val="center"/>
              <w:rPr>
                <w:bCs/>
                <w:sz w:val="13"/>
                <w:szCs w:val="18"/>
              </w:rPr>
            </w:pPr>
            <w:r>
              <w:rPr>
                <w:bCs/>
                <w:sz w:val="13"/>
                <w:szCs w:val="18"/>
              </w:rPr>
              <w:t>学分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continue"/>
            <w:tcBorders>
              <w:right w:val="single" w:color="auto" w:sz="4" w:space="0"/>
            </w:tcBorders>
            <w:vAlign w:val="center"/>
          </w:tcPr>
          <w:p>
            <w:pPr>
              <w:spacing w:line="240" w:lineRule="auto"/>
              <w:jc w:val="center"/>
              <w:rPr>
                <w:bCs/>
                <w:spacing w:val="-8"/>
                <w:position w:val="-8"/>
                <w:sz w:val="18"/>
                <w:szCs w:val="18"/>
              </w:rPr>
            </w:pPr>
          </w:p>
        </w:tc>
        <w:tc>
          <w:tcPr>
            <w:tcW w:w="900" w:type="dxa"/>
            <w:tcBorders>
              <w:left w:val="single" w:color="auto" w:sz="4" w:space="0"/>
            </w:tcBorders>
            <w:vAlign w:val="center"/>
          </w:tcPr>
          <w:p>
            <w:pPr>
              <w:spacing w:line="240" w:lineRule="auto"/>
              <w:jc w:val="center"/>
              <w:rPr>
                <w:bCs/>
                <w:sz w:val="18"/>
                <w:szCs w:val="18"/>
              </w:rPr>
            </w:pPr>
          </w:p>
        </w:tc>
        <w:tc>
          <w:tcPr>
            <w:tcW w:w="2993" w:type="dxa"/>
            <w:vAlign w:val="center"/>
          </w:tcPr>
          <w:p>
            <w:pPr>
              <w:spacing w:line="240" w:lineRule="auto"/>
              <w:rPr>
                <w:bCs/>
                <w:snapToGrid w:val="0"/>
                <w:sz w:val="18"/>
                <w:szCs w:val="18"/>
              </w:rPr>
            </w:pPr>
            <w:r>
              <w:rPr>
                <w:bCs/>
                <w:snapToGrid w:val="0"/>
                <w:sz w:val="18"/>
                <w:szCs w:val="18"/>
              </w:rPr>
              <w:t>形势与政策 2</w:t>
            </w:r>
          </w:p>
        </w:tc>
        <w:tc>
          <w:tcPr>
            <w:tcW w:w="567" w:type="dxa"/>
            <w:vAlign w:val="center"/>
          </w:tcPr>
          <w:p>
            <w:pPr>
              <w:spacing w:line="240" w:lineRule="auto"/>
              <w:jc w:val="center"/>
              <w:rPr>
                <w:bCs/>
                <w:sz w:val="18"/>
                <w:szCs w:val="18"/>
              </w:rPr>
            </w:pPr>
            <w:r>
              <w:rPr>
                <w:bCs/>
                <w:sz w:val="18"/>
                <w:szCs w:val="18"/>
              </w:rPr>
              <w:t>1</w:t>
            </w:r>
          </w:p>
        </w:tc>
        <w:tc>
          <w:tcPr>
            <w:tcW w:w="709" w:type="dxa"/>
            <w:vAlign w:val="center"/>
          </w:tcPr>
          <w:p>
            <w:pPr>
              <w:spacing w:line="240" w:lineRule="auto"/>
              <w:ind w:left="-120" w:leftChars="-50" w:right="-120" w:rightChars="-50"/>
              <w:jc w:val="center"/>
              <w:rPr>
                <w:bCs/>
                <w:sz w:val="18"/>
                <w:szCs w:val="18"/>
              </w:rPr>
            </w:pPr>
            <w:r>
              <w:rPr>
                <w:bCs/>
                <w:sz w:val="18"/>
                <w:szCs w:val="18"/>
              </w:rPr>
              <w:t>16</w:t>
            </w:r>
          </w:p>
        </w:tc>
        <w:tc>
          <w:tcPr>
            <w:tcW w:w="567" w:type="dxa"/>
            <w:vAlign w:val="center"/>
          </w:tcPr>
          <w:p>
            <w:pPr>
              <w:spacing w:line="240" w:lineRule="auto"/>
              <w:ind w:left="-120" w:leftChars="-50" w:right="-120" w:rightChars="-50"/>
              <w:jc w:val="center"/>
              <w:rPr>
                <w:bCs/>
                <w:sz w:val="18"/>
                <w:szCs w:val="18"/>
              </w:rPr>
            </w:pPr>
            <w:r>
              <w:rPr>
                <w:bCs/>
                <w:sz w:val="18"/>
                <w:szCs w:val="18"/>
              </w:rPr>
              <w:t>8</w:t>
            </w:r>
          </w:p>
        </w:tc>
        <w:tc>
          <w:tcPr>
            <w:tcW w:w="567" w:type="dxa"/>
            <w:vAlign w:val="center"/>
          </w:tcPr>
          <w:p>
            <w:pPr>
              <w:spacing w:line="240" w:lineRule="auto"/>
              <w:ind w:left="-120" w:leftChars="-50" w:right="-120" w:rightChars="-50"/>
              <w:jc w:val="center"/>
              <w:rPr>
                <w:bCs/>
                <w:sz w:val="18"/>
                <w:szCs w:val="18"/>
              </w:rPr>
            </w:pPr>
            <w:r>
              <w:rPr>
                <w:bCs/>
                <w:sz w:val="18"/>
                <w:szCs w:val="18"/>
              </w:rPr>
              <w:t>8</w:t>
            </w:r>
          </w:p>
        </w:tc>
        <w:tc>
          <w:tcPr>
            <w:tcW w:w="709" w:type="dxa"/>
            <w:vAlign w:val="center"/>
          </w:tcPr>
          <w:p>
            <w:pPr>
              <w:spacing w:line="240" w:lineRule="auto"/>
              <w:ind w:left="-120" w:leftChars="-50" w:right="-120" w:rightChars="-50"/>
              <w:jc w:val="center"/>
              <w:rPr>
                <w:bCs/>
                <w:sz w:val="18"/>
                <w:szCs w:val="18"/>
              </w:rPr>
            </w:pPr>
            <w:r>
              <w:rPr>
                <w:bCs/>
                <w:sz w:val="18"/>
                <w:szCs w:val="18"/>
              </w:rPr>
              <w:t>2</w:t>
            </w:r>
          </w:p>
        </w:tc>
        <w:tc>
          <w:tcPr>
            <w:tcW w:w="708" w:type="dxa"/>
            <w:vAlign w:val="center"/>
          </w:tcPr>
          <w:p>
            <w:pPr>
              <w:spacing w:line="240" w:lineRule="auto"/>
              <w:jc w:val="center"/>
              <w:rPr>
                <w:bCs/>
                <w:sz w:val="18"/>
                <w:szCs w:val="18"/>
              </w:rPr>
            </w:pPr>
            <w:r>
              <w:rPr>
                <w:bCs/>
                <w:sz w:val="18"/>
                <w:szCs w:val="18"/>
              </w:rPr>
              <w:t>学工</w:t>
            </w:r>
          </w:p>
        </w:tc>
        <w:tc>
          <w:tcPr>
            <w:tcW w:w="747" w:type="dxa"/>
            <w:vAlign w:val="center"/>
          </w:tcPr>
          <w:p>
            <w:pPr>
              <w:spacing w:line="240" w:lineRule="exact"/>
              <w:jc w:val="center"/>
              <w:rPr>
                <w:bCs/>
                <w:sz w:val="13"/>
                <w:szCs w:val="18"/>
              </w:rPr>
            </w:pPr>
            <w:r>
              <w:rPr>
                <w:bCs/>
                <w:sz w:val="13"/>
                <w:szCs w:val="18"/>
              </w:rPr>
              <w:t>不收费</w:t>
            </w:r>
          </w:p>
          <w:p>
            <w:pPr>
              <w:spacing w:line="240" w:lineRule="exact"/>
              <w:jc w:val="center"/>
              <w:rPr>
                <w:bCs/>
                <w:sz w:val="13"/>
                <w:szCs w:val="18"/>
              </w:rPr>
            </w:pPr>
            <w:r>
              <w:rPr>
                <w:bCs/>
                <w:sz w:val="13"/>
                <w:szCs w:val="18"/>
              </w:rPr>
              <w:t>学分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continue"/>
            <w:tcBorders>
              <w:right w:val="single" w:color="auto" w:sz="4" w:space="0"/>
            </w:tcBorders>
            <w:vAlign w:val="center"/>
          </w:tcPr>
          <w:p>
            <w:pPr>
              <w:spacing w:line="240" w:lineRule="auto"/>
              <w:jc w:val="center"/>
              <w:rPr>
                <w:bCs/>
                <w:spacing w:val="-8"/>
                <w:position w:val="-8"/>
                <w:sz w:val="18"/>
                <w:szCs w:val="18"/>
              </w:rPr>
            </w:pPr>
          </w:p>
        </w:tc>
        <w:tc>
          <w:tcPr>
            <w:tcW w:w="900" w:type="dxa"/>
            <w:tcBorders>
              <w:left w:val="single" w:color="auto" w:sz="4" w:space="0"/>
            </w:tcBorders>
            <w:vAlign w:val="center"/>
          </w:tcPr>
          <w:p>
            <w:pPr>
              <w:spacing w:line="240" w:lineRule="auto"/>
              <w:jc w:val="center"/>
              <w:rPr>
                <w:bCs/>
                <w:sz w:val="18"/>
                <w:szCs w:val="18"/>
              </w:rPr>
            </w:pPr>
          </w:p>
        </w:tc>
        <w:tc>
          <w:tcPr>
            <w:tcW w:w="2993" w:type="dxa"/>
            <w:vAlign w:val="center"/>
          </w:tcPr>
          <w:p>
            <w:pPr>
              <w:spacing w:line="240" w:lineRule="auto"/>
              <w:rPr>
                <w:bCs/>
                <w:sz w:val="18"/>
                <w:szCs w:val="18"/>
              </w:rPr>
            </w:pPr>
            <w:r>
              <w:rPr>
                <w:bCs/>
                <w:sz w:val="18"/>
                <w:szCs w:val="18"/>
              </w:rPr>
              <w:t xml:space="preserve">计算机文化基础 </w:t>
            </w:r>
          </w:p>
        </w:tc>
        <w:tc>
          <w:tcPr>
            <w:tcW w:w="567" w:type="dxa"/>
            <w:vAlign w:val="center"/>
          </w:tcPr>
          <w:p>
            <w:pPr>
              <w:spacing w:line="240" w:lineRule="auto"/>
              <w:jc w:val="center"/>
              <w:rPr>
                <w:bCs/>
                <w:sz w:val="18"/>
                <w:szCs w:val="18"/>
              </w:rPr>
            </w:pPr>
            <w:r>
              <w:rPr>
                <w:bCs/>
                <w:sz w:val="18"/>
                <w:szCs w:val="18"/>
              </w:rPr>
              <w:t>1.5</w:t>
            </w:r>
          </w:p>
        </w:tc>
        <w:tc>
          <w:tcPr>
            <w:tcW w:w="709" w:type="dxa"/>
            <w:vAlign w:val="center"/>
          </w:tcPr>
          <w:p>
            <w:pPr>
              <w:spacing w:line="240" w:lineRule="auto"/>
              <w:ind w:left="-120" w:leftChars="-50" w:right="-120" w:rightChars="-50"/>
              <w:jc w:val="center"/>
              <w:rPr>
                <w:bCs/>
                <w:sz w:val="18"/>
                <w:szCs w:val="18"/>
              </w:rPr>
            </w:pPr>
            <w:r>
              <w:rPr>
                <w:bCs/>
                <w:sz w:val="18"/>
                <w:szCs w:val="18"/>
              </w:rPr>
              <w:t>24</w:t>
            </w:r>
          </w:p>
        </w:tc>
        <w:tc>
          <w:tcPr>
            <w:tcW w:w="567" w:type="dxa"/>
            <w:vAlign w:val="center"/>
          </w:tcPr>
          <w:p>
            <w:pPr>
              <w:spacing w:line="240" w:lineRule="auto"/>
              <w:ind w:left="-120" w:leftChars="-50" w:right="-120" w:rightChars="-50"/>
              <w:jc w:val="center"/>
              <w:rPr>
                <w:bCs/>
                <w:sz w:val="18"/>
                <w:szCs w:val="18"/>
              </w:rPr>
            </w:pPr>
            <w:r>
              <w:rPr>
                <w:bCs/>
                <w:sz w:val="18"/>
                <w:szCs w:val="18"/>
              </w:rPr>
              <w:t>24</w:t>
            </w:r>
          </w:p>
        </w:tc>
        <w:tc>
          <w:tcPr>
            <w:tcW w:w="567" w:type="dxa"/>
            <w:vAlign w:val="center"/>
          </w:tcPr>
          <w:p>
            <w:pPr>
              <w:spacing w:line="240" w:lineRule="auto"/>
              <w:ind w:left="-120" w:leftChars="-50" w:right="-120" w:rightChars="-50"/>
              <w:jc w:val="center"/>
              <w:rPr>
                <w:bCs/>
                <w:sz w:val="18"/>
                <w:szCs w:val="18"/>
              </w:rPr>
            </w:pPr>
          </w:p>
        </w:tc>
        <w:tc>
          <w:tcPr>
            <w:tcW w:w="709" w:type="dxa"/>
            <w:vAlign w:val="center"/>
          </w:tcPr>
          <w:p>
            <w:pPr>
              <w:spacing w:line="240" w:lineRule="auto"/>
              <w:ind w:left="-120" w:leftChars="-50" w:right="-120" w:rightChars="-50"/>
              <w:jc w:val="center"/>
              <w:rPr>
                <w:bCs/>
                <w:sz w:val="18"/>
                <w:szCs w:val="18"/>
              </w:rPr>
            </w:pPr>
            <w:r>
              <w:rPr>
                <w:bCs/>
                <w:sz w:val="18"/>
                <w:szCs w:val="18"/>
              </w:rPr>
              <w:t>1</w:t>
            </w:r>
          </w:p>
        </w:tc>
        <w:tc>
          <w:tcPr>
            <w:tcW w:w="708" w:type="dxa"/>
            <w:vAlign w:val="center"/>
          </w:tcPr>
          <w:p>
            <w:pPr>
              <w:spacing w:line="240" w:lineRule="auto"/>
              <w:jc w:val="center"/>
              <w:rPr>
                <w:bCs/>
                <w:sz w:val="18"/>
                <w:szCs w:val="18"/>
              </w:rPr>
            </w:pPr>
            <w:r>
              <w:rPr>
                <w:bCs/>
                <w:sz w:val="18"/>
                <w:szCs w:val="18"/>
              </w:rPr>
              <w:t>信息</w:t>
            </w:r>
          </w:p>
        </w:tc>
        <w:tc>
          <w:tcPr>
            <w:tcW w:w="747" w:type="dxa"/>
            <w:vAlign w:val="center"/>
          </w:tcPr>
          <w:p>
            <w:pPr>
              <w:spacing w:line="240" w:lineRule="auto"/>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continue"/>
            <w:tcBorders>
              <w:right w:val="single" w:color="auto" w:sz="4" w:space="0"/>
            </w:tcBorders>
            <w:vAlign w:val="center"/>
          </w:tcPr>
          <w:p>
            <w:pPr>
              <w:spacing w:line="240" w:lineRule="auto"/>
              <w:jc w:val="center"/>
              <w:rPr>
                <w:bCs/>
                <w:spacing w:val="-8"/>
                <w:position w:val="-8"/>
                <w:sz w:val="18"/>
                <w:szCs w:val="18"/>
              </w:rPr>
            </w:pPr>
          </w:p>
        </w:tc>
        <w:tc>
          <w:tcPr>
            <w:tcW w:w="900" w:type="dxa"/>
            <w:tcBorders>
              <w:left w:val="single" w:color="auto" w:sz="4" w:space="0"/>
            </w:tcBorders>
            <w:vAlign w:val="center"/>
          </w:tcPr>
          <w:p>
            <w:pPr>
              <w:spacing w:line="240" w:lineRule="auto"/>
              <w:jc w:val="center"/>
              <w:rPr>
                <w:bCs/>
                <w:sz w:val="18"/>
                <w:szCs w:val="18"/>
              </w:rPr>
            </w:pPr>
          </w:p>
        </w:tc>
        <w:tc>
          <w:tcPr>
            <w:tcW w:w="2993" w:type="dxa"/>
            <w:vAlign w:val="center"/>
          </w:tcPr>
          <w:p>
            <w:pPr>
              <w:spacing w:line="240" w:lineRule="auto"/>
              <w:rPr>
                <w:bCs/>
                <w:sz w:val="18"/>
                <w:szCs w:val="18"/>
              </w:rPr>
            </w:pPr>
            <w:r>
              <w:rPr>
                <w:bCs/>
                <w:sz w:val="18"/>
                <w:szCs w:val="18"/>
              </w:rPr>
              <w:t xml:space="preserve">计算机文化基础实验 </w:t>
            </w:r>
          </w:p>
        </w:tc>
        <w:tc>
          <w:tcPr>
            <w:tcW w:w="567" w:type="dxa"/>
            <w:vAlign w:val="center"/>
          </w:tcPr>
          <w:p>
            <w:pPr>
              <w:spacing w:line="240" w:lineRule="auto"/>
              <w:jc w:val="center"/>
              <w:rPr>
                <w:bCs/>
                <w:sz w:val="18"/>
                <w:szCs w:val="18"/>
              </w:rPr>
            </w:pPr>
            <w:r>
              <w:rPr>
                <w:bCs/>
                <w:sz w:val="18"/>
                <w:szCs w:val="18"/>
              </w:rPr>
              <w:t>0.5</w:t>
            </w:r>
          </w:p>
        </w:tc>
        <w:tc>
          <w:tcPr>
            <w:tcW w:w="709" w:type="dxa"/>
            <w:vAlign w:val="center"/>
          </w:tcPr>
          <w:p>
            <w:pPr>
              <w:spacing w:line="240" w:lineRule="auto"/>
              <w:ind w:left="-120" w:leftChars="-50" w:right="-120" w:rightChars="-50"/>
              <w:jc w:val="center"/>
              <w:rPr>
                <w:bCs/>
                <w:sz w:val="18"/>
                <w:szCs w:val="18"/>
              </w:rPr>
            </w:pPr>
            <w:r>
              <w:rPr>
                <w:bCs/>
                <w:sz w:val="18"/>
                <w:szCs w:val="18"/>
              </w:rPr>
              <w:t>16</w:t>
            </w:r>
          </w:p>
        </w:tc>
        <w:tc>
          <w:tcPr>
            <w:tcW w:w="567" w:type="dxa"/>
            <w:vAlign w:val="center"/>
          </w:tcPr>
          <w:p>
            <w:pPr>
              <w:spacing w:line="240" w:lineRule="auto"/>
              <w:ind w:left="-120" w:leftChars="-50" w:right="-120" w:rightChars="-50"/>
              <w:jc w:val="center"/>
              <w:rPr>
                <w:bCs/>
                <w:sz w:val="18"/>
                <w:szCs w:val="18"/>
              </w:rPr>
            </w:pPr>
          </w:p>
        </w:tc>
        <w:tc>
          <w:tcPr>
            <w:tcW w:w="567" w:type="dxa"/>
            <w:vAlign w:val="center"/>
          </w:tcPr>
          <w:p>
            <w:pPr>
              <w:spacing w:line="240" w:lineRule="auto"/>
              <w:ind w:left="-120" w:leftChars="-50" w:right="-120" w:rightChars="-50"/>
              <w:jc w:val="center"/>
              <w:rPr>
                <w:bCs/>
                <w:sz w:val="18"/>
                <w:szCs w:val="18"/>
              </w:rPr>
            </w:pPr>
            <w:r>
              <w:rPr>
                <w:bCs/>
                <w:sz w:val="18"/>
                <w:szCs w:val="18"/>
              </w:rPr>
              <w:t>16</w:t>
            </w:r>
          </w:p>
        </w:tc>
        <w:tc>
          <w:tcPr>
            <w:tcW w:w="709" w:type="dxa"/>
            <w:vAlign w:val="center"/>
          </w:tcPr>
          <w:p>
            <w:pPr>
              <w:spacing w:line="240" w:lineRule="auto"/>
              <w:ind w:left="-120" w:leftChars="-50" w:right="-120" w:rightChars="-50"/>
              <w:jc w:val="center"/>
              <w:rPr>
                <w:bCs/>
                <w:sz w:val="18"/>
                <w:szCs w:val="18"/>
              </w:rPr>
            </w:pPr>
            <w:r>
              <w:rPr>
                <w:bCs/>
                <w:sz w:val="18"/>
                <w:szCs w:val="18"/>
              </w:rPr>
              <w:t>1</w:t>
            </w:r>
          </w:p>
        </w:tc>
        <w:tc>
          <w:tcPr>
            <w:tcW w:w="708" w:type="dxa"/>
            <w:vAlign w:val="center"/>
          </w:tcPr>
          <w:p>
            <w:pPr>
              <w:spacing w:line="240" w:lineRule="auto"/>
              <w:jc w:val="center"/>
              <w:rPr>
                <w:bCs/>
                <w:sz w:val="18"/>
                <w:szCs w:val="18"/>
              </w:rPr>
            </w:pPr>
            <w:r>
              <w:rPr>
                <w:bCs/>
                <w:sz w:val="18"/>
                <w:szCs w:val="18"/>
              </w:rPr>
              <w:t>信息</w:t>
            </w:r>
          </w:p>
        </w:tc>
        <w:tc>
          <w:tcPr>
            <w:tcW w:w="747" w:type="dxa"/>
            <w:vAlign w:val="center"/>
          </w:tcPr>
          <w:p>
            <w:pPr>
              <w:spacing w:line="240" w:lineRule="auto"/>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continue"/>
            <w:tcBorders>
              <w:right w:val="single" w:color="auto" w:sz="4" w:space="0"/>
            </w:tcBorders>
            <w:vAlign w:val="center"/>
          </w:tcPr>
          <w:p>
            <w:pPr>
              <w:spacing w:line="240" w:lineRule="auto"/>
              <w:jc w:val="center"/>
              <w:rPr>
                <w:bCs/>
                <w:spacing w:val="-8"/>
                <w:position w:val="-8"/>
                <w:sz w:val="18"/>
                <w:szCs w:val="18"/>
              </w:rPr>
            </w:pPr>
          </w:p>
        </w:tc>
        <w:tc>
          <w:tcPr>
            <w:tcW w:w="900" w:type="dxa"/>
            <w:tcBorders>
              <w:left w:val="single" w:color="auto" w:sz="4" w:space="0"/>
            </w:tcBorders>
            <w:vAlign w:val="center"/>
          </w:tcPr>
          <w:p>
            <w:pPr>
              <w:spacing w:line="240" w:lineRule="auto"/>
              <w:jc w:val="center"/>
              <w:rPr>
                <w:bCs/>
                <w:sz w:val="18"/>
                <w:szCs w:val="18"/>
              </w:rPr>
            </w:pPr>
          </w:p>
        </w:tc>
        <w:tc>
          <w:tcPr>
            <w:tcW w:w="2993" w:type="dxa"/>
            <w:vAlign w:val="center"/>
          </w:tcPr>
          <w:p>
            <w:pPr>
              <w:spacing w:line="240" w:lineRule="auto"/>
              <w:rPr>
                <w:bCs/>
                <w:sz w:val="18"/>
                <w:szCs w:val="18"/>
              </w:rPr>
            </w:pPr>
            <w:r>
              <w:rPr>
                <w:bCs/>
                <w:sz w:val="18"/>
                <w:szCs w:val="18"/>
              </w:rPr>
              <w:t>普通体育课1</w:t>
            </w:r>
          </w:p>
          <w:p>
            <w:pPr>
              <w:spacing w:line="240" w:lineRule="auto"/>
              <w:rPr>
                <w:bCs/>
                <w:sz w:val="18"/>
                <w:szCs w:val="18"/>
              </w:rPr>
            </w:pPr>
            <w:r>
              <w:rPr>
                <w:color w:val="000000"/>
                <w:sz w:val="18"/>
                <w:szCs w:val="18"/>
              </w:rPr>
              <w:t>General P.E.1</w:t>
            </w:r>
          </w:p>
        </w:tc>
        <w:tc>
          <w:tcPr>
            <w:tcW w:w="567" w:type="dxa"/>
            <w:vAlign w:val="center"/>
          </w:tcPr>
          <w:p>
            <w:pPr>
              <w:spacing w:line="240" w:lineRule="auto"/>
              <w:jc w:val="center"/>
              <w:rPr>
                <w:bCs/>
                <w:sz w:val="18"/>
                <w:szCs w:val="18"/>
              </w:rPr>
            </w:pPr>
            <w:r>
              <w:rPr>
                <w:bCs/>
                <w:sz w:val="18"/>
                <w:szCs w:val="18"/>
              </w:rPr>
              <w:t>1</w:t>
            </w:r>
          </w:p>
        </w:tc>
        <w:tc>
          <w:tcPr>
            <w:tcW w:w="709" w:type="dxa"/>
            <w:vAlign w:val="center"/>
          </w:tcPr>
          <w:p>
            <w:pPr>
              <w:spacing w:line="240" w:lineRule="auto"/>
              <w:ind w:left="-120" w:leftChars="-50" w:right="-120" w:rightChars="-50"/>
              <w:jc w:val="center"/>
              <w:rPr>
                <w:bCs/>
                <w:sz w:val="18"/>
                <w:szCs w:val="18"/>
              </w:rPr>
            </w:pPr>
            <w:r>
              <w:rPr>
                <w:bCs/>
                <w:sz w:val="18"/>
                <w:szCs w:val="18"/>
              </w:rPr>
              <w:t>32</w:t>
            </w:r>
          </w:p>
        </w:tc>
        <w:tc>
          <w:tcPr>
            <w:tcW w:w="567" w:type="dxa"/>
            <w:vAlign w:val="center"/>
          </w:tcPr>
          <w:p>
            <w:pPr>
              <w:spacing w:line="240" w:lineRule="auto"/>
              <w:ind w:left="-120" w:leftChars="-50" w:right="-120" w:rightChars="-50"/>
              <w:jc w:val="center"/>
              <w:rPr>
                <w:bCs/>
                <w:sz w:val="18"/>
                <w:szCs w:val="18"/>
              </w:rPr>
            </w:pPr>
            <w:r>
              <w:rPr>
                <w:bCs/>
                <w:sz w:val="18"/>
                <w:szCs w:val="18"/>
              </w:rPr>
              <w:t>32</w:t>
            </w:r>
          </w:p>
        </w:tc>
        <w:tc>
          <w:tcPr>
            <w:tcW w:w="567" w:type="dxa"/>
            <w:vAlign w:val="center"/>
          </w:tcPr>
          <w:p>
            <w:pPr>
              <w:spacing w:line="240" w:lineRule="auto"/>
              <w:ind w:left="-120" w:leftChars="-50" w:right="-120" w:rightChars="-50"/>
              <w:jc w:val="center"/>
              <w:rPr>
                <w:bCs/>
                <w:sz w:val="18"/>
                <w:szCs w:val="18"/>
              </w:rPr>
            </w:pPr>
          </w:p>
        </w:tc>
        <w:tc>
          <w:tcPr>
            <w:tcW w:w="709" w:type="dxa"/>
            <w:vAlign w:val="center"/>
          </w:tcPr>
          <w:p>
            <w:pPr>
              <w:spacing w:line="240" w:lineRule="auto"/>
              <w:ind w:left="-120" w:leftChars="-50" w:right="-120" w:rightChars="-50"/>
              <w:jc w:val="center"/>
              <w:rPr>
                <w:bCs/>
                <w:sz w:val="18"/>
                <w:szCs w:val="18"/>
              </w:rPr>
            </w:pPr>
            <w:r>
              <w:rPr>
                <w:bCs/>
                <w:sz w:val="18"/>
                <w:szCs w:val="18"/>
              </w:rPr>
              <w:t>1</w:t>
            </w:r>
          </w:p>
        </w:tc>
        <w:tc>
          <w:tcPr>
            <w:tcW w:w="708" w:type="dxa"/>
            <w:vAlign w:val="center"/>
          </w:tcPr>
          <w:p>
            <w:pPr>
              <w:spacing w:line="240" w:lineRule="auto"/>
              <w:jc w:val="center"/>
              <w:rPr>
                <w:bCs/>
                <w:sz w:val="18"/>
                <w:szCs w:val="18"/>
              </w:rPr>
            </w:pPr>
            <w:r>
              <w:rPr>
                <w:bCs/>
                <w:sz w:val="18"/>
                <w:szCs w:val="18"/>
              </w:rPr>
              <w:t>体艺</w:t>
            </w:r>
          </w:p>
        </w:tc>
        <w:tc>
          <w:tcPr>
            <w:tcW w:w="747" w:type="dxa"/>
            <w:vAlign w:val="center"/>
          </w:tcPr>
          <w:p>
            <w:pPr>
              <w:spacing w:line="240" w:lineRule="auto"/>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continue"/>
            <w:tcBorders>
              <w:right w:val="single" w:color="auto" w:sz="4" w:space="0"/>
            </w:tcBorders>
            <w:vAlign w:val="center"/>
          </w:tcPr>
          <w:p>
            <w:pPr>
              <w:spacing w:line="240" w:lineRule="auto"/>
              <w:jc w:val="center"/>
              <w:rPr>
                <w:bCs/>
                <w:spacing w:val="-8"/>
                <w:position w:val="-8"/>
                <w:sz w:val="18"/>
                <w:szCs w:val="18"/>
              </w:rPr>
            </w:pPr>
          </w:p>
        </w:tc>
        <w:tc>
          <w:tcPr>
            <w:tcW w:w="900" w:type="dxa"/>
            <w:tcBorders>
              <w:left w:val="single" w:color="auto" w:sz="4" w:space="0"/>
            </w:tcBorders>
            <w:vAlign w:val="center"/>
          </w:tcPr>
          <w:p>
            <w:pPr>
              <w:spacing w:line="240" w:lineRule="auto"/>
              <w:jc w:val="center"/>
              <w:rPr>
                <w:bCs/>
                <w:sz w:val="18"/>
                <w:szCs w:val="18"/>
              </w:rPr>
            </w:pPr>
          </w:p>
        </w:tc>
        <w:tc>
          <w:tcPr>
            <w:tcW w:w="2993" w:type="dxa"/>
            <w:vAlign w:val="center"/>
          </w:tcPr>
          <w:p>
            <w:pPr>
              <w:spacing w:line="240" w:lineRule="auto"/>
              <w:rPr>
                <w:bCs/>
                <w:sz w:val="18"/>
                <w:szCs w:val="18"/>
              </w:rPr>
            </w:pPr>
            <w:r>
              <w:rPr>
                <w:bCs/>
                <w:sz w:val="18"/>
                <w:szCs w:val="18"/>
              </w:rPr>
              <w:t>普通体育课2</w:t>
            </w:r>
          </w:p>
          <w:p>
            <w:pPr>
              <w:spacing w:line="240" w:lineRule="auto"/>
              <w:rPr>
                <w:bCs/>
                <w:sz w:val="18"/>
                <w:szCs w:val="18"/>
              </w:rPr>
            </w:pPr>
            <w:r>
              <w:rPr>
                <w:color w:val="000000"/>
                <w:sz w:val="18"/>
                <w:szCs w:val="18"/>
              </w:rPr>
              <w:t>General P.E.2</w:t>
            </w:r>
          </w:p>
        </w:tc>
        <w:tc>
          <w:tcPr>
            <w:tcW w:w="567" w:type="dxa"/>
            <w:vAlign w:val="center"/>
          </w:tcPr>
          <w:p>
            <w:pPr>
              <w:spacing w:line="240" w:lineRule="auto"/>
              <w:jc w:val="center"/>
              <w:rPr>
                <w:bCs/>
                <w:sz w:val="18"/>
                <w:szCs w:val="18"/>
              </w:rPr>
            </w:pPr>
            <w:r>
              <w:rPr>
                <w:bCs/>
                <w:sz w:val="18"/>
                <w:szCs w:val="18"/>
              </w:rPr>
              <w:t>1</w:t>
            </w:r>
          </w:p>
        </w:tc>
        <w:tc>
          <w:tcPr>
            <w:tcW w:w="709" w:type="dxa"/>
            <w:vAlign w:val="center"/>
          </w:tcPr>
          <w:p>
            <w:pPr>
              <w:spacing w:line="240" w:lineRule="auto"/>
              <w:ind w:left="-120" w:leftChars="-50" w:right="-120" w:rightChars="-50"/>
              <w:jc w:val="center"/>
              <w:rPr>
                <w:bCs/>
                <w:sz w:val="18"/>
                <w:szCs w:val="18"/>
              </w:rPr>
            </w:pPr>
            <w:r>
              <w:rPr>
                <w:bCs/>
                <w:sz w:val="18"/>
                <w:szCs w:val="18"/>
              </w:rPr>
              <w:t>32</w:t>
            </w:r>
          </w:p>
        </w:tc>
        <w:tc>
          <w:tcPr>
            <w:tcW w:w="567" w:type="dxa"/>
            <w:vAlign w:val="center"/>
          </w:tcPr>
          <w:p>
            <w:pPr>
              <w:spacing w:line="240" w:lineRule="auto"/>
              <w:ind w:left="-120" w:leftChars="-50" w:right="-120" w:rightChars="-50"/>
              <w:jc w:val="center"/>
              <w:rPr>
                <w:bCs/>
                <w:sz w:val="18"/>
                <w:szCs w:val="18"/>
              </w:rPr>
            </w:pPr>
            <w:r>
              <w:rPr>
                <w:bCs/>
                <w:sz w:val="18"/>
                <w:szCs w:val="18"/>
              </w:rPr>
              <w:t>32</w:t>
            </w:r>
          </w:p>
        </w:tc>
        <w:tc>
          <w:tcPr>
            <w:tcW w:w="567" w:type="dxa"/>
            <w:vAlign w:val="center"/>
          </w:tcPr>
          <w:p>
            <w:pPr>
              <w:spacing w:line="240" w:lineRule="auto"/>
              <w:ind w:left="-120" w:leftChars="-50" w:right="-120" w:rightChars="-50"/>
              <w:jc w:val="center"/>
              <w:rPr>
                <w:bCs/>
                <w:sz w:val="18"/>
                <w:szCs w:val="18"/>
              </w:rPr>
            </w:pPr>
          </w:p>
        </w:tc>
        <w:tc>
          <w:tcPr>
            <w:tcW w:w="709" w:type="dxa"/>
            <w:vAlign w:val="center"/>
          </w:tcPr>
          <w:p>
            <w:pPr>
              <w:spacing w:line="240" w:lineRule="auto"/>
              <w:ind w:left="-120" w:leftChars="-50" w:right="-120" w:rightChars="-50"/>
              <w:jc w:val="center"/>
              <w:rPr>
                <w:bCs/>
                <w:sz w:val="18"/>
                <w:szCs w:val="18"/>
              </w:rPr>
            </w:pPr>
            <w:r>
              <w:rPr>
                <w:bCs/>
                <w:sz w:val="18"/>
                <w:szCs w:val="18"/>
              </w:rPr>
              <w:t>2</w:t>
            </w:r>
          </w:p>
        </w:tc>
        <w:tc>
          <w:tcPr>
            <w:tcW w:w="708" w:type="dxa"/>
            <w:vAlign w:val="center"/>
          </w:tcPr>
          <w:p>
            <w:pPr>
              <w:spacing w:line="240" w:lineRule="auto"/>
              <w:jc w:val="center"/>
              <w:rPr>
                <w:bCs/>
                <w:sz w:val="18"/>
                <w:szCs w:val="18"/>
              </w:rPr>
            </w:pPr>
            <w:r>
              <w:rPr>
                <w:bCs/>
                <w:sz w:val="18"/>
                <w:szCs w:val="18"/>
              </w:rPr>
              <w:t>体艺</w:t>
            </w:r>
          </w:p>
        </w:tc>
        <w:tc>
          <w:tcPr>
            <w:tcW w:w="747" w:type="dxa"/>
            <w:vAlign w:val="center"/>
          </w:tcPr>
          <w:p>
            <w:pPr>
              <w:spacing w:line="240" w:lineRule="auto"/>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67" w:type="dxa"/>
            <w:vMerge w:val="continue"/>
            <w:tcBorders>
              <w:right w:val="single" w:color="auto" w:sz="4" w:space="0"/>
            </w:tcBorders>
            <w:vAlign w:val="center"/>
          </w:tcPr>
          <w:p>
            <w:pPr>
              <w:spacing w:line="240" w:lineRule="auto"/>
              <w:jc w:val="center"/>
              <w:rPr>
                <w:bCs/>
                <w:spacing w:val="-8"/>
                <w:position w:val="-8"/>
                <w:sz w:val="18"/>
                <w:szCs w:val="18"/>
              </w:rPr>
            </w:pPr>
          </w:p>
        </w:tc>
        <w:tc>
          <w:tcPr>
            <w:tcW w:w="3893" w:type="dxa"/>
            <w:gridSpan w:val="2"/>
            <w:tcBorders>
              <w:left w:val="single" w:color="auto" w:sz="4" w:space="0"/>
            </w:tcBorders>
            <w:vAlign w:val="center"/>
          </w:tcPr>
          <w:p>
            <w:pPr>
              <w:spacing w:line="240" w:lineRule="auto"/>
              <w:jc w:val="center"/>
              <w:rPr>
                <w:bCs/>
                <w:sz w:val="18"/>
                <w:szCs w:val="18"/>
              </w:rPr>
            </w:pPr>
            <w:r>
              <w:rPr>
                <w:bCs/>
                <w:sz w:val="18"/>
                <w:szCs w:val="18"/>
              </w:rPr>
              <w:t>学分小计</w:t>
            </w:r>
          </w:p>
        </w:tc>
        <w:tc>
          <w:tcPr>
            <w:tcW w:w="4574" w:type="dxa"/>
            <w:gridSpan w:val="7"/>
            <w:vAlign w:val="center"/>
          </w:tcPr>
          <w:p>
            <w:pPr>
              <w:spacing w:line="240" w:lineRule="auto"/>
              <w:jc w:val="center"/>
              <w:rPr>
                <w:bCs/>
                <w:sz w:val="18"/>
                <w:szCs w:val="18"/>
              </w:rPr>
            </w:pPr>
            <w:r>
              <w:rPr>
                <w:bCs/>
                <w:sz w:val="18"/>
                <w:szCs w:val="18"/>
              </w:rPr>
              <w:t>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restart"/>
            <w:tcBorders>
              <w:right w:val="single" w:color="auto" w:sz="4" w:space="0"/>
            </w:tcBorders>
            <w:vAlign w:val="center"/>
          </w:tcPr>
          <w:p>
            <w:pPr>
              <w:spacing w:line="240" w:lineRule="auto"/>
              <w:jc w:val="center"/>
              <w:rPr>
                <w:bCs/>
                <w:sz w:val="18"/>
                <w:szCs w:val="18"/>
              </w:rPr>
            </w:pPr>
            <w:r>
              <w:rPr>
                <w:bCs/>
                <w:sz w:val="18"/>
                <w:szCs w:val="18"/>
              </w:rPr>
              <w:t>通识选修课</w:t>
            </w:r>
          </w:p>
        </w:tc>
        <w:tc>
          <w:tcPr>
            <w:tcW w:w="3893" w:type="dxa"/>
            <w:gridSpan w:val="2"/>
            <w:tcBorders>
              <w:left w:val="single" w:color="auto" w:sz="4" w:space="0"/>
            </w:tcBorders>
            <w:vAlign w:val="center"/>
          </w:tcPr>
          <w:p>
            <w:pPr>
              <w:spacing w:line="240" w:lineRule="auto"/>
              <w:jc w:val="center"/>
              <w:rPr>
                <w:b/>
                <w:bCs/>
                <w:spacing w:val="-8"/>
                <w:position w:val="-8"/>
                <w:sz w:val="18"/>
                <w:szCs w:val="18"/>
              </w:rPr>
            </w:pPr>
            <w:r>
              <w:rPr>
                <w:b/>
                <w:bCs/>
                <w:spacing w:val="-8"/>
                <w:position w:val="-8"/>
                <w:sz w:val="18"/>
                <w:szCs w:val="18"/>
              </w:rPr>
              <w:t>模块名称</w:t>
            </w:r>
          </w:p>
        </w:tc>
        <w:tc>
          <w:tcPr>
            <w:tcW w:w="567" w:type="dxa"/>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学分</w:t>
            </w:r>
          </w:p>
          <w:p>
            <w:pPr>
              <w:spacing w:line="240" w:lineRule="auto"/>
              <w:ind w:left="-120" w:leftChars="-50" w:right="-120" w:rightChars="-50"/>
              <w:jc w:val="center"/>
              <w:rPr>
                <w:bCs/>
                <w:spacing w:val="-8"/>
                <w:position w:val="-8"/>
                <w:sz w:val="18"/>
                <w:szCs w:val="18"/>
              </w:rPr>
            </w:pPr>
            <w:r>
              <w:rPr>
                <w:b/>
                <w:bCs/>
                <w:spacing w:val="-8"/>
                <w:position w:val="-8"/>
                <w:sz w:val="18"/>
                <w:szCs w:val="18"/>
              </w:rPr>
              <w:t>要求</w:t>
            </w:r>
          </w:p>
        </w:tc>
        <w:tc>
          <w:tcPr>
            <w:tcW w:w="1843" w:type="dxa"/>
            <w:gridSpan w:val="3"/>
            <w:tcBorders>
              <w:right w:val="single" w:color="auto" w:sz="4" w:space="0"/>
            </w:tcBorders>
            <w:vAlign w:val="center"/>
          </w:tcPr>
          <w:p>
            <w:pPr>
              <w:spacing w:line="240" w:lineRule="auto"/>
              <w:jc w:val="center"/>
              <w:rPr>
                <w:bCs/>
                <w:spacing w:val="-8"/>
                <w:position w:val="-8"/>
                <w:sz w:val="18"/>
                <w:szCs w:val="18"/>
              </w:rPr>
            </w:pPr>
            <w:r>
              <w:rPr>
                <w:b/>
                <w:spacing w:val="-8"/>
                <w:kern w:val="10"/>
                <w:position w:val="-8"/>
                <w:sz w:val="18"/>
                <w:szCs w:val="18"/>
              </w:rPr>
              <w:t>选修要求</w:t>
            </w:r>
          </w:p>
        </w:tc>
        <w:tc>
          <w:tcPr>
            <w:tcW w:w="709" w:type="dxa"/>
            <w:tcBorders>
              <w:right w:val="single" w:color="auto" w:sz="4" w:space="0"/>
            </w:tcBorders>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建议修</w:t>
            </w:r>
          </w:p>
          <w:p>
            <w:pPr>
              <w:spacing w:line="240" w:lineRule="auto"/>
              <w:ind w:left="-120" w:leftChars="-50" w:right="-120" w:rightChars="-50"/>
              <w:jc w:val="center"/>
              <w:rPr>
                <w:b/>
                <w:bCs/>
                <w:spacing w:val="-8"/>
                <w:position w:val="-8"/>
                <w:sz w:val="18"/>
                <w:szCs w:val="18"/>
              </w:rPr>
            </w:pPr>
            <w:r>
              <w:rPr>
                <w:b/>
                <w:bCs/>
                <w:spacing w:val="-8"/>
                <w:position w:val="-8"/>
                <w:sz w:val="18"/>
                <w:szCs w:val="18"/>
              </w:rPr>
              <w:t>读学期</w:t>
            </w:r>
          </w:p>
        </w:tc>
        <w:tc>
          <w:tcPr>
            <w:tcW w:w="708" w:type="dxa"/>
            <w:tcBorders>
              <w:right w:val="single" w:color="auto" w:sz="4" w:space="0"/>
            </w:tcBorders>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开课</w:t>
            </w:r>
          </w:p>
          <w:p>
            <w:pPr>
              <w:spacing w:line="240" w:lineRule="auto"/>
              <w:ind w:left="-120" w:leftChars="-50" w:right="-120" w:rightChars="-50"/>
              <w:jc w:val="center"/>
              <w:rPr>
                <w:b/>
                <w:bCs/>
                <w:spacing w:val="-8"/>
                <w:position w:val="-8"/>
                <w:sz w:val="18"/>
                <w:szCs w:val="18"/>
              </w:rPr>
            </w:pPr>
            <w:r>
              <w:rPr>
                <w:b/>
                <w:bCs/>
                <w:spacing w:val="-8"/>
                <w:position w:val="-8"/>
                <w:sz w:val="18"/>
                <w:szCs w:val="18"/>
              </w:rPr>
              <w:t>学院</w:t>
            </w:r>
          </w:p>
        </w:tc>
        <w:tc>
          <w:tcPr>
            <w:tcW w:w="747" w:type="dxa"/>
            <w:tcBorders>
              <w:left w:val="single" w:color="auto" w:sz="4" w:space="0"/>
            </w:tcBorders>
            <w:vAlign w:val="center"/>
          </w:tcPr>
          <w:p>
            <w:pPr>
              <w:spacing w:line="240" w:lineRule="auto"/>
              <w:jc w:val="center"/>
              <w:rPr>
                <w:b/>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continue"/>
            <w:tcBorders>
              <w:right w:val="single" w:color="auto" w:sz="4" w:space="0"/>
            </w:tcBorders>
            <w:vAlign w:val="center"/>
          </w:tcPr>
          <w:p>
            <w:pPr>
              <w:spacing w:line="240" w:lineRule="auto"/>
              <w:jc w:val="center"/>
              <w:rPr>
                <w:bCs/>
                <w:sz w:val="18"/>
                <w:szCs w:val="18"/>
              </w:rPr>
            </w:pPr>
          </w:p>
        </w:tc>
        <w:tc>
          <w:tcPr>
            <w:tcW w:w="3893" w:type="dxa"/>
            <w:gridSpan w:val="2"/>
            <w:tcBorders>
              <w:left w:val="single" w:color="auto" w:sz="4" w:space="0"/>
            </w:tcBorders>
            <w:vAlign w:val="center"/>
          </w:tcPr>
          <w:p>
            <w:pPr>
              <w:spacing w:line="240" w:lineRule="auto"/>
              <w:rPr>
                <w:bCs/>
                <w:sz w:val="18"/>
                <w:szCs w:val="18"/>
              </w:rPr>
            </w:pPr>
            <w:r>
              <w:rPr>
                <w:bCs/>
                <w:sz w:val="18"/>
                <w:szCs w:val="18"/>
              </w:rPr>
              <w:t>计算机模块课程</w:t>
            </w:r>
          </w:p>
        </w:tc>
        <w:tc>
          <w:tcPr>
            <w:tcW w:w="567" w:type="dxa"/>
            <w:vAlign w:val="center"/>
          </w:tcPr>
          <w:p>
            <w:pPr>
              <w:spacing w:line="240" w:lineRule="auto"/>
              <w:jc w:val="center"/>
              <w:rPr>
                <w:bCs/>
                <w:sz w:val="18"/>
                <w:szCs w:val="18"/>
              </w:rPr>
            </w:pPr>
            <w:r>
              <w:rPr>
                <w:bCs/>
                <w:sz w:val="18"/>
                <w:szCs w:val="18"/>
              </w:rPr>
              <w:t>4</w:t>
            </w:r>
          </w:p>
        </w:tc>
        <w:tc>
          <w:tcPr>
            <w:tcW w:w="1843" w:type="dxa"/>
            <w:gridSpan w:val="3"/>
            <w:tcBorders>
              <w:right w:val="single" w:color="auto" w:sz="4" w:space="0"/>
            </w:tcBorders>
            <w:vAlign w:val="center"/>
          </w:tcPr>
          <w:p>
            <w:pPr>
              <w:keepNext/>
              <w:spacing w:line="240" w:lineRule="auto"/>
              <w:rPr>
                <w:bCs/>
                <w:sz w:val="18"/>
                <w:szCs w:val="18"/>
              </w:rPr>
            </w:pPr>
            <w:r>
              <w:rPr>
                <w:bCs/>
                <w:sz w:val="18"/>
                <w:szCs w:val="18"/>
              </w:rPr>
              <w:t>每名学生至少获得计算机模块课程4学分</w:t>
            </w:r>
          </w:p>
        </w:tc>
        <w:tc>
          <w:tcPr>
            <w:tcW w:w="709" w:type="dxa"/>
            <w:tcBorders>
              <w:right w:val="single" w:color="auto" w:sz="4" w:space="0"/>
            </w:tcBorders>
            <w:vAlign w:val="center"/>
          </w:tcPr>
          <w:p>
            <w:pPr>
              <w:keepNext/>
              <w:spacing w:line="240" w:lineRule="auto"/>
              <w:jc w:val="center"/>
              <w:rPr>
                <w:bCs/>
                <w:sz w:val="18"/>
                <w:szCs w:val="18"/>
              </w:rPr>
            </w:pPr>
            <w:r>
              <w:rPr>
                <w:bCs/>
                <w:sz w:val="18"/>
                <w:szCs w:val="18"/>
              </w:rPr>
              <w:t>2-6</w:t>
            </w:r>
          </w:p>
        </w:tc>
        <w:tc>
          <w:tcPr>
            <w:tcW w:w="708" w:type="dxa"/>
            <w:tcBorders>
              <w:right w:val="single" w:color="auto" w:sz="4" w:space="0"/>
            </w:tcBorders>
            <w:vAlign w:val="center"/>
          </w:tcPr>
          <w:p>
            <w:pPr>
              <w:keepNext/>
              <w:spacing w:line="240" w:lineRule="auto"/>
              <w:ind w:left="-120" w:leftChars="-50" w:right="-120" w:rightChars="-50"/>
              <w:jc w:val="center"/>
              <w:rPr>
                <w:bCs/>
                <w:sz w:val="18"/>
                <w:szCs w:val="18"/>
              </w:rPr>
            </w:pPr>
            <w:r>
              <w:rPr>
                <w:bCs/>
                <w:sz w:val="18"/>
                <w:szCs w:val="18"/>
              </w:rPr>
              <w:t>信息</w:t>
            </w:r>
          </w:p>
        </w:tc>
        <w:tc>
          <w:tcPr>
            <w:tcW w:w="747" w:type="dxa"/>
            <w:tcBorders>
              <w:left w:val="single" w:color="auto" w:sz="4" w:space="0"/>
            </w:tcBorders>
            <w:vAlign w:val="center"/>
          </w:tcPr>
          <w:p>
            <w:pPr>
              <w:keepNext/>
              <w:spacing w:line="240" w:lineRule="auto"/>
              <w:ind w:left="-120" w:leftChars="-50" w:right="-120" w:rightChars="-50"/>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continue"/>
            <w:tcBorders>
              <w:right w:val="single" w:color="auto" w:sz="4" w:space="0"/>
            </w:tcBorders>
            <w:vAlign w:val="center"/>
          </w:tcPr>
          <w:p>
            <w:pPr>
              <w:spacing w:line="240" w:lineRule="auto"/>
              <w:jc w:val="center"/>
              <w:rPr>
                <w:bCs/>
                <w:sz w:val="18"/>
                <w:szCs w:val="18"/>
              </w:rPr>
            </w:pPr>
          </w:p>
        </w:tc>
        <w:tc>
          <w:tcPr>
            <w:tcW w:w="3893" w:type="dxa"/>
            <w:gridSpan w:val="2"/>
            <w:tcBorders>
              <w:left w:val="single" w:color="auto" w:sz="4" w:space="0"/>
            </w:tcBorders>
            <w:vAlign w:val="center"/>
          </w:tcPr>
          <w:p>
            <w:pPr>
              <w:spacing w:line="240" w:lineRule="auto"/>
              <w:rPr>
                <w:bCs/>
                <w:sz w:val="18"/>
                <w:szCs w:val="18"/>
              </w:rPr>
            </w:pPr>
            <w:r>
              <w:rPr>
                <w:bCs/>
                <w:sz w:val="18"/>
                <w:szCs w:val="18"/>
              </w:rPr>
              <w:t>体育模块课程</w:t>
            </w:r>
          </w:p>
        </w:tc>
        <w:tc>
          <w:tcPr>
            <w:tcW w:w="567" w:type="dxa"/>
            <w:vAlign w:val="center"/>
          </w:tcPr>
          <w:p>
            <w:pPr>
              <w:spacing w:line="240" w:lineRule="auto"/>
              <w:jc w:val="center"/>
              <w:rPr>
                <w:bCs/>
                <w:sz w:val="18"/>
                <w:szCs w:val="18"/>
              </w:rPr>
            </w:pPr>
            <w:r>
              <w:rPr>
                <w:bCs/>
                <w:sz w:val="18"/>
                <w:szCs w:val="18"/>
              </w:rPr>
              <w:t>2</w:t>
            </w:r>
          </w:p>
        </w:tc>
        <w:tc>
          <w:tcPr>
            <w:tcW w:w="1843" w:type="dxa"/>
            <w:gridSpan w:val="3"/>
            <w:tcBorders>
              <w:right w:val="single" w:color="auto" w:sz="4" w:space="0"/>
            </w:tcBorders>
            <w:vAlign w:val="center"/>
          </w:tcPr>
          <w:p>
            <w:pPr>
              <w:spacing w:line="240" w:lineRule="auto"/>
              <w:rPr>
                <w:bCs/>
                <w:sz w:val="18"/>
                <w:szCs w:val="18"/>
              </w:rPr>
            </w:pPr>
            <w:r>
              <w:rPr>
                <w:bCs/>
                <w:sz w:val="18"/>
                <w:szCs w:val="18"/>
              </w:rPr>
              <w:t>每名学生至少获得体育模块课程2学分</w:t>
            </w:r>
          </w:p>
        </w:tc>
        <w:tc>
          <w:tcPr>
            <w:tcW w:w="709" w:type="dxa"/>
            <w:tcBorders>
              <w:right w:val="single" w:color="auto" w:sz="4" w:space="0"/>
            </w:tcBorders>
            <w:vAlign w:val="center"/>
          </w:tcPr>
          <w:p>
            <w:pPr>
              <w:spacing w:line="240" w:lineRule="auto"/>
              <w:jc w:val="center"/>
              <w:rPr>
                <w:bCs/>
                <w:sz w:val="18"/>
                <w:szCs w:val="18"/>
              </w:rPr>
            </w:pPr>
            <w:r>
              <w:rPr>
                <w:bCs/>
                <w:sz w:val="18"/>
                <w:szCs w:val="18"/>
              </w:rPr>
              <w:t>2-6</w:t>
            </w:r>
          </w:p>
        </w:tc>
        <w:tc>
          <w:tcPr>
            <w:tcW w:w="708" w:type="dxa"/>
            <w:tcBorders>
              <w:right w:val="single" w:color="auto" w:sz="4" w:space="0"/>
            </w:tcBorders>
            <w:vAlign w:val="center"/>
          </w:tcPr>
          <w:p>
            <w:pPr>
              <w:spacing w:line="240" w:lineRule="auto"/>
              <w:ind w:left="-120" w:leftChars="-50" w:right="-120" w:rightChars="-50"/>
              <w:jc w:val="center"/>
              <w:rPr>
                <w:bCs/>
                <w:sz w:val="18"/>
                <w:szCs w:val="18"/>
              </w:rPr>
            </w:pPr>
            <w:r>
              <w:rPr>
                <w:bCs/>
                <w:sz w:val="18"/>
                <w:szCs w:val="18"/>
              </w:rPr>
              <w:t>体艺</w:t>
            </w:r>
          </w:p>
        </w:tc>
        <w:tc>
          <w:tcPr>
            <w:tcW w:w="747" w:type="dxa"/>
            <w:tcBorders>
              <w:left w:val="single" w:color="auto" w:sz="4" w:space="0"/>
            </w:tcBorders>
            <w:vAlign w:val="center"/>
          </w:tcPr>
          <w:p>
            <w:pPr>
              <w:spacing w:line="240" w:lineRule="auto"/>
              <w:ind w:left="-120" w:leftChars="-50" w:right="-120" w:rightChars="-50"/>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continue"/>
            <w:tcBorders>
              <w:right w:val="single" w:color="auto" w:sz="4" w:space="0"/>
            </w:tcBorders>
            <w:vAlign w:val="center"/>
          </w:tcPr>
          <w:p>
            <w:pPr>
              <w:spacing w:line="240" w:lineRule="auto"/>
              <w:jc w:val="center"/>
              <w:rPr>
                <w:bCs/>
                <w:sz w:val="18"/>
                <w:szCs w:val="18"/>
              </w:rPr>
            </w:pPr>
          </w:p>
        </w:tc>
        <w:tc>
          <w:tcPr>
            <w:tcW w:w="3893" w:type="dxa"/>
            <w:gridSpan w:val="2"/>
            <w:tcBorders>
              <w:left w:val="single" w:color="auto" w:sz="4" w:space="0"/>
            </w:tcBorders>
            <w:vAlign w:val="center"/>
          </w:tcPr>
          <w:p>
            <w:pPr>
              <w:spacing w:line="240" w:lineRule="auto"/>
              <w:rPr>
                <w:bCs/>
                <w:sz w:val="18"/>
                <w:szCs w:val="18"/>
              </w:rPr>
            </w:pPr>
            <w:r>
              <w:rPr>
                <w:bCs/>
                <w:sz w:val="18"/>
                <w:szCs w:val="18"/>
              </w:rPr>
              <w:t>素质教育模块课程</w:t>
            </w:r>
          </w:p>
        </w:tc>
        <w:tc>
          <w:tcPr>
            <w:tcW w:w="567" w:type="dxa"/>
            <w:vAlign w:val="center"/>
          </w:tcPr>
          <w:p>
            <w:pPr>
              <w:spacing w:line="240" w:lineRule="auto"/>
              <w:jc w:val="center"/>
              <w:rPr>
                <w:bCs/>
                <w:sz w:val="18"/>
                <w:szCs w:val="18"/>
              </w:rPr>
            </w:pPr>
            <w:r>
              <w:rPr>
                <w:bCs/>
                <w:sz w:val="18"/>
                <w:szCs w:val="18"/>
              </w:rPr>
              <w:t>4</w:t>
            </w:r>
          </w:p>
        </w:tc>
        <w:tc>
          <w:tcPr>
            <w:tcW w:w="1843" w:type="dxa"/>
            <w:gridSpan w:val="3"/>
            <w:tcBorders>
              <w:right w:val="single" w:color="auto" w:sz="4" w:space="0"/>
            </w:tcBorders>
            <w:vAlign w:val="center"/>
          </w:tcPr>
          <w:p>
            <w:pPr>
              <w:spacing w:line="240" w:lineRule="auto"/>
              <w:rPr>
                <w:bCs/>
                <w:sz w:val="18"/>
                <w:szCs w:val="18"/>
              </w:rPr>
            </w:pPr>
            <w:r>
              <w:rPr>
                <w:bCs/>
                <w:sz w:val="18"/>
                <w:szCs w:val="18"/>
              </w:rPr>
              <w:t>每名学生至少获得素质教育模块课程4学分</w:t>
            </w:r>
          </w:p>
        </w:tc>
        <w:tc>
          <w:tcPr>
            <w:tcW w:w="709" w:type="dxa"/>
            <w:tcBorders>
              <w:right w:val="single" w:color="auto" w:sz="4" w:space="0"/>
            </w:tcBorders>
            <w:vAlign w:val="center"/>
          </w:tcPr>
          <w:p>
            <w:pPr>
              <w:spacing w:line="240" w:lineRule="auto"/>
              <w:jc w:val="center"/>
              <w:rPr>
                <w:bCs/>
                <w:sz w:val="18"/>
                <w:szCs w:val="18"/>
              </w:rPr>
            </w:pPr>
            <w:r>
              <w:rPr>
                <w:bCs/>
                <w:sz w:val="18"/>
                <w:szCs w:val="18"/>
              </w:rPr>
              <w:t>2-6</w:t>
            </w:r>
          </w:p>
        </w:tc>
        <w:tc>
          <w:tcPr>
            <w:tcW w:w="708" w:type="dxa"/>
            <w:tcBorders>
              <w:right w:val="single" w:color="auto" w:sz="4" w:space="0"/>
            </w:tcBorders>
            <w:vAlign w:val="center"/>
          </w:tcPr>
          <w:p>
            <w:pPr>
              <w:spacing w:line="240" w:lineRule="auto"/>
              <w:ind w:left="-120" w:leftChars="-50" w:right="-120" w:rightChars="-50"/>
              <w:jc w:val="center"/>
              <w:rPr>
                <w:bCs/>
                <w:sz w:val="18"/>
                <w:szCs w:val="18"/>
              </w:rPr>
            </w:pPr>
            <w:r>
              <w:rPr>
                <w:bCs/>
                <w:sz w:val="18"/>
                <w:szCs w:val="18"/>
              </w:rPr>
              <w:t>各学院</w:t>
            </w:r>
          </w:p>
        </w:tc>
        <w:tc>
          <w:tcPr>
            <w:tcW w:w="747" w:type="dxa"/>
            <w:tcBorders>
              <w:left w:val="single" w:color="auto" w:sz="4" w:space="0"/>
            </w:tcBorders>
            <w:vAlign w:val="center"/>
          </w:tcPr>
          <w:p>
            <w:pPr>
              <w:spacing w:line="240" w:lineRule="auto"/>
              <w:ind w:left="-120" w:leftChars="-50" w:right="-120" w:rightChars="-50"/>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67" w:type="dxa"/>
            <w:vMerge w:val="continue"/>
            <w:tcBorders>
              <w:right w:val="single" w:color="auto" w:sz="4" w:space="0"/>
            </w:tcBorders>
            <w:vAlign w:val="center"/>
          </w:tcPr>
          <w:p>
            <w:pPr>
              <w:spacing w:line="240" w:lineRule="auto"/>
              <w:jc w:val="center"/>
              <w:rPr>
                <w:bCs/>
                <w:sz w:val="18"/>
                <w:szCs w:val="18"/>
              </w:rPr>
            </w:pPr>
          </w:p>
        </w:tc>
        <w:tc>
          <w:tcPr>
            <w:tcW w:w="3893" w:type="dxa"/>
            <w:gridSpan w:val="2"/>
            <w:tcBorders>
              <w:left w:val="single" w:color="auto" w:sz="4" w:space="0"/>
            </w:tcBorders>
            <w:vAlign w:val="center"/>
          </w:tcPr>
          <w:p>
            <w:pPr>
              <w:spacing w:line="240" w:lineRule="auto"/>
              <w:rPr>
                <w:bCs/>
                <w:sz w:val="18"/>
                <w:szCs w:val="18"/>
              </w:rPr>
            </w:pPr>
            <w:r>
              <w:rPr>
                <w:bCs/>
                <w:sz w:val="18"/>
                <w:szCs w:val="18"/>
              </w:rPr>
              <w:t>创新创业模块课程</w:t>
            </w:r>
          </w:p>
        </w:tc>
        <w:tc>
          <w:tcPr>
            <w:tcW w:w="567" w:type="dxa"/>
            <w:vAlign w:val="center"/>
          </w:tcPr>
          <w:p>
            <w:pPr>
              <w:spacing w:line="240" w:lineRule="auto"/>
              <w:jc w:val="center"/>
              <w:rPr>
                <w:bCs/>
                <w:sz w:val="18"/>
                <w:szCs w:val="18"/>
              </w:rPr>
            </w:pPr>
            <w:r>
              <w:rPr>
                <w:bCs/>
                <w:sz w:val="18"/>
                <w:szCs w:val="18"/>
              </w:rPr>
              <w:t>2</w:t>
            </w:r>
          </w:p>
        </w:tc>
        <w:tc>
          <w:tcPr>
            <w:tcW w:w="1843" w:type="dxa"/>
            <w:gridSpan w:val="3"/>
            <w:tcBorders>
              <w:right w:val="single" w:color="auto" w:sz="4" w:space="0"/>
            </w:tcBorders>
            <w:vAlign w:val="center"/>
          </w:tcPr>
          <w:p>
            <w:pPr>
              <w:spacing w:line="240" w:lineRule="auto"/>
              <w:rPr>
                <w:bCs/>
                <w:sz w:val="18"/>
                <w:szCs w:val="18"/>
              </w:rPr>
            </w:pPr>
            <w:r>
              <w:rPr>
                <w:bCs/>
                <w:sz w:val="18"/>
                <w:szCs w:val="18"/>
              </w:rPr>
              <w:t>每名学生至少获得创新创业模块课程2学分</w:t>
            </w:r>
          </w:p>
        </w:tc>
        <w:tc>
          <w:tcPr>
            <w:tcW w:w="709" w:type="dxa"/>
            <w:tcBorders>
              <w:right w:val="single" w:color="auto" w:sz="4" w:space="0"/>
            </w:tcBorders>
            <w:vAlign w:val="center"/>
          </w:tcPr>
          <w:p>
            <w:pPr>
              <w:spacing w:line="240" w:lineRule="auto"/>
              <w:jc w:val="center"/>
              <w:rPr>
                <w:bCs/>
                <w:sz w:val="18"/>
                <w:szCs w:val="18"/>
              </w:rPr>
            </w:pPr>
            <w:r>
              <w:rPr>
                <w:bCs/>
                <w:sz w:val="18"/>
                <w:szCs w:val="18"/>
              </w:rPr>
              <w:t>2-6</w:t>
            </w:r>
          </w:p>
        </w:tc>
        <w:tc>
          <w:tcPr>
            <w:tcW w:w="708" w:type="dxa"/>
            <w:tcBorders>
              <w:right w:val="single" w:color="auto" w:sz="4" w:space="0"/>
            </w:tcBorders>
            <w:vAlign w:val="center"/>
          </w:tcPr>
          <w:p>
            <w:pPr>
              <w:spacing w:line="240" w:lineRule="auto"/>
              <w:ind w:left="-120" w:leftChars="-50" w:right="-120" w:rightChars="-50"/>
              <w:jc w:val="center"/>
              <w:rPr>
                <w:bCs/>
                <w:sz w:val="18"/>
                <w:szCs w:val="18"/>
              </w:rPr>
            </w:pPr>
            <w:r>
              <w:rPr>
                <w:bCs/>
                <w:sz w:val="18"/>
                <w:szCs w:val="18"/>
              </w:rPr>
              <w:t>各学院</w:t>
            </w:r>
          </w:p>
        </w:tc>
        <w:tc>
          <w:tcPr>
            <w:tcW w:w="747" w:type="dxa"/>
            <w:tcBorders>
              <w:left w:val="single" w:color="auto" w:sz="4" w:space="0"/>
            </w:tcBorders>
            <w:vAlign w:val="center"/>
          </w:tcPr>
          <w:p>
            <w:pPr>
              <w:spacing w:line="240" w:lineRule="auto"/>
              <w:ind w:left="-120" w:leftChars="-50" w:right="-120" w:rightChars="-50"/>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67" w:type="dxa"/>
            <w:vMerge w:val="continue"/>
            <w:tcBorders>
              <w:right w:val="single" w:color="auto" w:sz="4" w:space="0"/>
            </w:tcBorders>
            <w:vAlign w:val="center"/>
          </w:tcPr>
          <w:p>
            <w:pPr>
              <w:spacing w:line="240" w:lineRule="auto"/>
              <w:jc w:val="center"/>
              <w:rPr>
                <w:bCs/>
                <w:sz w:val="18"/>
                <w:szCs w:val="18"/>
              </w:rPr>
            </w:pPr>
          </w:p>
        </w:tc>
        <w:tc>
          <w:tcPr>
            <w:tcW w:w="3893" w:type="dxa"/>
            <w:gridSpan w:val="2"/>
            <w:tcBorders>
              <w:top w:val="single" w:color="auto" w:sz="4" w:space="0"/>
              <w:left w:val="single" w:color="auto" w:sz="4" w:space="0"/>
              <w:bottom w:val="single" w:color="auto" w:sz="4" w:space="0"/>
            </w:tcBorders>
            <w:vAlign w:val="center"/>
          </w:tcPr>
          <w:p>
            <w:pPr>
              <w:spacing w:line="240" w:lineRule="auto"/>
              <w:jc w:val="center"/>
              <w:rPr>
                <w:bCs/>
                <w:sz w:val="18"/>
                <w:szCs w:val="18"/>
              </w:rPr>
            </w:pPr>
            <w:r>
              <w:rPr>
                <w:bCs/>
                <w:sz w:val="18"/>
                <w:szCs w:val="18"/>
              </w:rPr>
              <w:t>学分小计</w:t>
            </w:r>
          </w:p>
        </w:tc>
        <w:tc>
          <w:tcPr>
            <w:tcW w:w="4574" w:type="dxa"/>
            <w:gridSpan w:val="7"/>
          </w:tcPr>
          <w:p>
            <w:pPr>
              <w:spacing w:line="240" w:lineRule="auto"/>
              <w:jc w:val="center"/>
              <w:rPr>
                <w:bCs/>
                <w:sz w:val="18"/>
                <w:szCs w:val="18"/>
              </w:rPr>
            </w:pPr>
            <w:r>
              <w:rPr>
                <w:bCs/>
                <w:sz w:val="18"/>
                <w:szCs w:val="18"/>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4460" w:type="dxa"/>
            <w:gridSpan w:val="3"/>
            <w:vAlign w:val="center"/>
          </w:tcPr>
          <w:p>
            <w:pPr>
              <w:spacing w:line="240" w:lineRule="auto"/>
              <w:jc w:val="center"/>
              <w:rPr>
                <w:bCs/>
                <w:sz w:val="18"/>
                <w:szCs w:val="18"/>
              </w:rPr>
            </w:pPr>
            <w:r>
              <w:rPr>
                <w:bCs/>
                <w:sz w:val="18"/>
                <w:szCs w:val="18"/>
              </w:rPr>
              <w:t>合计学分</w:t>
            </w:r>
          </w:p>
        </w:tc>
        <w:tc>
          <w:tcPr>
            <w:tcW w:w="4574" w:type="dxa"/>
            <w:gridSpan w:val="7"/>
          </w:tcPr>
          <w:p>
            <w:pPr>
              <w:spacing w:line="240" w:lineRule="auto"/>
              <w:jc w:val="center"/>
              <w:rPr>
                <w:bCs/>
                <w:sz w:val="18"/>
                <w:szCs w:val="18"/>
              </w:rPr>
            </w:pPr>
            <w:r>
              <w:rPr>
                <w:bCs/>
                <w:sz w:val="18"/>
                <w:szCs w:val="18"/>
              </w:rPr>
              <w:t>39</w:t>
            </w:r>
          </w:p>
        </w:tc>
      </w:tr>
    </w:tbl>
    <w:p>
      <w:pPr>
        <w:adjustRightInd w:val="0"/>
        <w:spacing w:line="480" w:lineRule="exact"/>
        <w:jc w:val="center"/>
        <w:rPr>
          <w:kern w:val="0"/>
          <w:szCs w:val="21"/>
        </w:rPr>
      </w:pPr>
    </w:p>
    <w:p>
      <w:pPr>
        <w:rPr>
          <w:kern w:val="0"/>
          <w:szCs w:val="21"/>
        </w:rPr>
      </w:pPr>
      <w:r>
        <w:rPr>
          <w:kern w:val="0"/>
          <w:szCs w:val="21"/>
        </w:rPr>
        <w:br w:type="page"/>
      </w:r>
    </w:p>
    <w:p>
      <w:pPr>
        <w:autoSpaceDE w:val="0"/>
        <w:autoSpaceDN w:val="0"/>
        <w:adjustRightInd w:val="0"/>
        <w:spacing w:line="480" w:lineRule="exact"/>
        <w:jc w:val="center"/>
        <w:rPr>
          <w:b/>
          <w:bCs/>
          <w:kern w:val="0"/>
          <w:sz w:val="21"/>
          <w:szCs w:val="21"/>
        </w:rPr>
      </w:pPr>
      <w:r>
        <w:rPr>
          <w:b/>
          <w:bCs/>
          <w:kern w:val="0"/>
          <w:sz w:val="21"/>
          <w:szCs w:val="21"/>
        </w:rPr>
        <w:t>附表2   法学专业创新型、专业型人才培养专业教育课教学进程表</w:t>
      </w:r>
    </w:p>
    <w:tbl>
      <w:tblPr>
        <w:tblStyle w:val="17"/>
        <w:tblW w:w="879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92"/>
        <w:gridCol w:w="1042"/>
        <w:gridCol w:w="2873"/>
        <w:gridCol w:w="465"/>
        <w:gridCol w:w="615"/>
        <w:gridCol w:w="600"/>
        <w:gridCol w:w="653"/>
        <w:gridCol w:w="660"/>
        <w:gridCol w:w="89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restart"/>
            <w:vAlign w:val="center"/>
          </w:tcPr>
          <w:p>
            <w:pPr>
              <w:spacing w:line="240" w:lineRule="exact"/>
              <w:jc w:val="center"/>
              <w:rPr>
                <w:b/>
                <w:bCs/>
                <w:sz w:val="18"/>
                <w:szCs w:val="18"/>
              </w:rPr>
            </w:pPr>
            <w:r>
              <w:rPr>
                <w:b/>
                <w:bCs/>
                <w:sz w:val="18"/>
                <w:szCs w:val="18"/>
              </w:rPr>
              <w:t>课程</w:t>
            </w:r>
          </w:p>
          <w:p>
            <w:pPr>
              <w:spacing w:line="240" w:lineRule="exact"/>
              <w:jc w:val="center"/>
              <w:rPr>
                <w:b/>
                <w:bCs/>
                <w:sz w:val="18"/>
                <w:szCs w:val="18"/>
              </w:rPr>
            </w:pPr>
            <w:r>
              <w:rPr>
                <w:b/>
                <w:bCs/>
                <w:sz w:val="18"/>
                <w:szCs w:val="18"/>
              </w:rPr>
              <w:t>类别</w:t>
            </w:r>
          </w:p>
        </w:tc>
        <w:tc>
          <w:tcPr>
            <w:tcW w:w="1042" w:type="dxa"/>
            <w:vMerge w:val="restart"/>
            <w:vAlign w:val="center"/>
          </w:tcPr>
          <w:p>
            <w:pPr>
              <w:spacing w:line="240" w:lineRule="exact"/>
              <w:jc w:val="center"/>
              <w:rPr>
                <w:b/>
                <w:bCs/>
                <w:sz w:val="18"/>
                <w:szCs w:val="18"/>
              </w:rPr>
            </w:pPr>
            <w:r>
              <w:rPr>
                <w:b/>
                <w:bCs/>
                <w:sz w:val="18"/>
                <w:szCs w:val="18"/>
              </w:rPr>
              <w:t>课程号</w:t>
            </w:r>
          </w:p>
        </w:tc>
        <w:tc>
          <w:tcPr>
            <w:tcW w:w="2873" w:type="dxa"/>
            <w:vMerge w:val="restart"/>
            <w:vAlign w:val="center"/>
          </w:tcPr>
          <w:p>
            <w:pPr>
              <w:spacing w:line="240" w:lineRule="exact"/>
              <w:jc w:val="center"/>
              <w:rPr>
                <w:b/>
                <w:bCs/>
                <w:sz w:val="18"/>
                <w:szCs w:val="18"/>
              </w:rPr>
            </w:pPr>
            <w:r>
              <w:rPr>
                <w:b/>
                <w:bCs/>
                <w:sz w:val="18"/>
                <w:szCs w:val="18"/>
              </w:rPr>
              <w:t>课程名称</w:t>
            </w:r>
          </w:p>
        </w:tc>
        <w:tc>
          <w:tcPr>
            <w:tcW w:w="465" w:type="dxa"/>
            <w:vMerge w:val="restart"/>
            <w:vAlign w:val="center"/>
          </w:tcPr>
          <w:p>
            <w:pPr>
              <w:spacing w:line="240" w:lineRule="exact"/>
              <w:jc w:val="center"/>
              <w:rPr>
                <w:b/>
                <w:bCs/>
                <w:sz w:val="18"/>
                <w:szCs w:val="18"/>
              </w:rPr>
            </w:pPr>
            <w:r>
              <w:rPr>
                <w:b/>
                <w:bCs/>
                <w:sz w:val="18"/>
                <w:szCs w:val="18"/>
              </w:rPr>
              <w:t>学分</w:t>
            </w:r>
          </w:p>
        </w:tc>
        <w:tc>
          <w:tcPr>
            <w:tcW w:w="1868" w:type="dxa"/>
            <w:gridSpan w:val="3"/>
            <w:vAlign w:val="center"/>
          </w:tcPr>
          <w:p>
            <w:pPr>
              <w:spacing w:line="240" w:lineRule="exact"/>
              <w:jc w:val="center"/>
              <w:rPr>
                <w:b/>
                <w:bCs/>
                <w:sz w:val="18"/>
                <w:szCs w:val="18"/>
              </w:rPr>
            </w:pPr>
            <w:r>
              <w:rPr>
                <w:b/>
                <w:bCs/>
                <w:sz w:val="18"/>
                <w:szCs w:val="18"/>
              </w:rPr>
              <w:t>学时数</w:t>
            </w:r>
          </w:p>
        </w:tc>
        <w:tc>
          <w:tcPr>
            <w:tcW w:w="660" w:type="dxa"/>
            <w:vMerge w:val="restart"/>
            <w:vAlign w:val="center"/>
          </w:tcPr>
          <w:p>
            <w:pPr>
              <w:spacing w:line="240" w:lineRule="exact"/>
              <w:jc w:val="center"/>
              <w:rPr>
                <w:b/>
                <w:bCs/>
                <w:sz w:val="18"/>
                <w:szCs w:val="18"/>
              </w:rPr>
            </w:pPr>
            <w:r>
              <w:rPr>
                <w:b/>
                <w:bCs/>
                <w:sz w:val="18"/>
                <w:szCs w:val="18"/>
              </w:rPr>
              <w:t>开课</w:t>
            </w:r>
          </w:p>
          <w:p>
            <w:pPr>
              <w:spacing w:line="240" w:lineRule="exact"/>
              <w:jc w:val="center"/>
              <w:rPr>
                <w:b/>
                <w:bCs/>
                <w:sz w:val="18"/>
                <w:szCs w:val="18"/>
              </w:rPr>
            </w:pPr>
            <w:r>
              <w:rPr>
                <w:b/>
                <w:bCs/>
                <w:sz w:val="18"/>
                <w:szCs w:val="18"/>
              </w:rPr>
              <w:t>学期</w:t>
            </w:r>
          </w:p>
        </w:tc>
        <w:tc>
          <w:tcPr>
            <w:tcW w:w="894" w:type="dxa"/>
            <w:vMerge w:val="restart"/>
            <w:vAlign w:val="center"/>
          </w:tcPr>
          <w:p>
            <w:pPr>
              <w:spacing w:line="240" w:lineRule="exact"/>
              <w:jc w:val="center"/>
              <w:rPr>
                <w:b/>
                <w:bCs/>
                <w:sz w:val="18"/>
                <w:szCs w:val="18"/>
              </w:rPr>
            </w:pPr>
            <w:r>
              <w:rPr>
                <w:b/>
                <w:bCs/>
                <w:sz w:val="18"/>
                <w:szCs w:val="18"/>
              </w:rPr>
              <w:t>开课</w:t>
            </w:r>
          </w:p>
          <w:p>
            <w:pPr>
              <w:spacing w:line="240" w:lineRule="exact"/>
              <w:jc w:val="center"/>
              <w:rPr>
                <w:b/>
                <w:bCs/>
                <w:sz w:val="18"/>
                <w:szCs w:val="18"/>
              </w:rPr>
            </w:pPr>
            <w:r>
              <w:rPr>
                <w:b/>
                <w:bCs/>
                <w:sz w:val="18"/>
                <w:szCs w:val="18"/>
              </w:rPr>
              <w:t>学院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vAlign w:val="center"/>
          </w:tcPr>
          <w:p>
            <w:pPr>
              <w:spacing w:line="240" w:lineRule="exact"/>
              <w:ind w:left="-120" w:leftChars="-50" w:right="-120" w:rightChars="-50"/>
              <w:jc w:val="center"/>
              <w:rPr>
                <w:b/>
                <w:bCs/>
                <w:spacing w:val="-8"/>
                <w:position w:val="-8"/>
                <w:szCs w:val="21"/>
              </w:rPr>
            </w:pPr>
          </w:p>
        </w:tc>
        <w:tc>
          <w:tcPr>
            <w:tcW w:w="1042" w:type="dxa"/>
            <w:vMerge w:val="continue"/>
            <w:vAlign w:val="center"/>
          </w:tcPr>
          <w:p>
            <w:pPr>
              <w:spacing w:line="240" w:lineRule="exact"/>
              <w:ind w:left="-120" w:leftChars="-50" w:right="-120" w:rightChars="-50"/>
              <w:jc w:val="center"/>
              <w:rPr>
                <w:b/>
                <w:bCs/>
                <w:spacing w:val="-8"/>
                <w:position w:val="-8"/>
                <w:szCs w:val="21"/>
              </w:rPr>
            </w:pPr>
          </w:p>
        </w:tc>
        <w:tc>
          <w:tcPr>
            <w:tcW w:w="2873" w:type="dxa"/>
            <w:vMerge w:val="continue"/>
            <w:vAlign w:val="center"/>
          </w:tcPr>
          <w:p>
            <w:pPr>
              <w:spacing w:line="240" w:lineRule="exact"/>
              <w:ind w:left="-120" w:leftChars="-50" w:right="-120" w:rightChars="-50"/>
              <w:jc w:val="center"/>
              <w:rPr>
                <w:b/>
                <w:bCs/>
                <w:spacing w:val="-8"/>
                <w:position w:val="-8"/>
                <w:szCs w:val="21"/>
              </w:rPr>
            </w:pPr>
          </w:p>
        </w:tc>
        <w:tc>
          <w:tcPr>
            <w:tcW w:w="465" w:type="dxa"/>
            <w:vMerge w:val="continue"/>
            <w:vAlign w:val="center"/>
          </w:tcPr>
          <w:p>
            <w:pPr>
              <w:spacing w:line="240" w:lineRule="exact"/>
              <w:ind w:left="-120" w:leftChars="-50" w:right="-120" w:rightChars="-50"/>
              <w:jc w:val="center"/>
              <w:rPr>
                <w:b/>
                <w:bCs/>
                <w:spacing w:val="-8"/>
                <w:position w:val="-8"/>
                <w:szCs w:val="21"/>
              </w:rPr>
            </w:pPr>
          </w:p>
        </w:tc>
        <w:tc>
          <w:tcPr>
            <w:tcW w:w="615" w:type="dxa"/>
            <w:vAlign w:val="center"/>
          </w:tcPr>
          <w:p>
            <w:pPr>
              <w:spacing w:line="240" w:lineRule="exact"/>
              <w:jc w:val="center"/>
              <w:rPr>
                <w:b/>
                <w:bCs/>
                <w:sz w:val="18"/>
                <w:szCs w:val="18"/>
              </w:rPr>
            </w:pPr>
            <w:r>
              <w:rPr>
                <w:b/>
                <w:bCs/>
                <w:sz w:val="18"/>
                <w:szCs w:val="18"/>
              </w:rPr>
              <w:t>总计</w:t>
            </w:r>
          </w:p>
        </w:tc>
        <w:tc>
          <w:tcPr>
            <w:tcW w:w="600" w:type="dxa"/>
            <w:vAlign w:val="center"/>
          </w:tcPr>
          <w:p>
            <w:pPr>
              <w:spacing w:line="240" w:lineRule="exact"/>
              <w:jc w:val="center"/>
              <w:rPr>
                <w:b/>
                <w:bCs/>
                <w:sz w:val="18"/>
                <w:szCs w:val="18"/>
              </w:rPr>
            </w:pPr>
            <w:r>
              <w:rPr>
                <w:b/>
                <w:bCs/>
                <w:sz w:val="18"/>
                <w:szCs w:val="18"/>
              </w:rPr>
              <w:t>讲授</w:t>
            </w:r>
          </w:p>
        </w:tc>
        <w:tc>
          <w:tcPr>
            <w:tcW w:w="653" w:type="dxa"/>
            <w:vAlign w:val="center"/>
          </w:tcPr>
          <w:p>
            <w:pPr>
              <w:spacing w:line="240" w:lineRule="exact"/>
              <w:jc w:val="center"/>
              <w:rPr>
                <w:b/>
                <w:bCs/>
                <w:sz w:val="18"/>
                <w:szCs w:val="18"/>
              </w:rPr>
            </w:pPr>
            <w:r>
              <w:rPr>
                <w:b/>
                <w:bCs/>
                <w:sz w:val="18"/>
                <w:szCs w:val="18"/>
              </w:rPr>
              <w:t>实验</w:t>
            </w:r>
          </w:p>
        </w:tc>
        <w:tc>
          <w:tcPr>
            <w:tcW w:w="660" w:type="dxa"/>
            <w:vMerge w:val="continue"/>
            <w:vAlign w:val="center"/>
          </w:tcPr>
          <w:p>
            <w:pPr>
              <w:spacing w:line="240" w:lineRule="exact"/>
              <w:jc w:val="center"/>
              <w:rPr>
                <w:b/>
                <w:bCs/>
                <w:sz w:val="18"/>
                <w:szCs w:val="18"/>
              </w:rPr>
            </w:pPr>
          </w:p>
        </w:tc>
        <w:tc>
          <w:tcPr>
            <w:tcW w:w="894" w:type="dxa"/>
            <w:vMerge w:val="continue"/>
            <w:vAlign w:val="center"/>
          </w:tcPr>
          <w:p>
            <w:pPr>
              <w:spacing w:line="240" w:lineRule="exact"/>
              <w:ind w:left="-120" w:leftChars="-50" w:right="-120" w:rightChars="-50"/>
              <w:jc w:val="center"/>
              <w:rPr>
                <w:b/>
                <w:bCs/>
                <w:spacing w:val="-8"/>
                <w:position w:val="-8"/>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restart"/>
            <w:tcBorders>
              <w:right w:val="single" w:color="auto" w:sz="4" w:space="0"/>
            </w:tcBorders>
            <w:vAlign w:val="center"/>
          </w:tcPr>
          <w:p>
            <w:pPr>
              <w:adjustRightInd w:val="0"/>
              <w:snapToGrid w:val="0"/>
              <w:spacing w:line="240" w:lineRule="exact"/>
              <w:ind w:left="-120" w:leftChars="-50" w:right="-120" w:rightChars="-50"/>
              <w:jc w:val="center"/>
              <w:rPr>
                <w:bCs/>
                <w:snapToGrid w:val="0"/>
                <w:szCs w:val="21"/>
              </w:rPr>
            </w:pPr>
            <w:r>
              <w:rPr>
                <w:bCs/>
                <w:snapToGrid w:val="0"/>
                <w:szCs w:val="21"/>
              </w:rPr>
              <w:t>学</w:t>
            </w:r>
          </w:p>
          <w:p>
            <w:pPr>
              <w:adjustRightInd w:val="0"/>
              <w:snapToGrid w:val="0"/>
              <w:spacing w:line="240" w:lineRule="exact"/>
              <w:ind w:left="-120" w:leftChars="-50" w:right="-120" w:rightChars="-50"/>
              <w:jc w:val="center"/>
              <w:rPr>
                <w:bCs/>
                <w:snapToGrid w:val="0"/>
                <w:szCs w:val="21"/>
              </w:rPr>
            </w:pPr>
            <w:r>
              <w:rPr>
                <w:bCs/>
                <w:snapToGrid w:val="0"/>
                <w:szCs w:val="21"/>
              </w:rPr>
              <w:t>科</w:t>
            </w:r>
          </w:p>
          <w:p>
            <w:pPr>
              <w:adjustRightInd w:val="0"/>
              <w:snapToGrid w:val="0"/>
              <w:spacing w:line="240" w:lineRule="exact"/>
              <w:ind w:left="-120" w:leftChars="-50" w:right="-120" w:rightChars="-50"/>
              <w:jc w:val="center"/>
              <w:rPr>
                <w:bCs/>
                <w:snapToGrid w:val="0"/>
                <w:szCs w:val="21"/>
              </w:rPr>
            </w:pPr>
            <w:r>
              <w:rPr>
                <w:bCs/>
                <w:snapToGrid w:val="0"/>
                <w:szCs w:val="21"/>
              </w:rPr>
              <w:t>基</w:t>
            </w:r>
          </w:p>
          <w:p>
            <w:pPr>
              <w:adjustRightInd w:val="0"/>
              <w:snapToGrid w:val="0"/>
              <w:spacing w:line="240" w:lineRule="exact"/>
              <w:ind w:left="-120" w:leftChars="-50" w:right="-120" w:rightChars="-50"/>
              <w:jc w:val="center"/>
              <w:rPr>
                <w:bCs/>
                <w:snapToGrid w:val="0"/>
                <w:szCs w:val="21"/>
              </w:rPr>
            </w:pPr>
            <w:r>
              <w:rPr>
                <w:bCs/>
                <w:snapToGrid w:val="0"/>
                <w:szCs w:val="21"/>
              </w:rPr>
              <w:t>础</w:t>
            </w:r>
          </w:p>
          <w:p>
            <w:pPr>
              <w:adjustRightInd w:val="0"/>
              <w:snapToGrid w:val="0"/>
              <w:spacing w:line="240" w:lineRule="exact"/>
              <w:ind w:left="-120" w:leftChars="-50" w:right="-120" w:rightChars="-50"/>
              <w:jc w:val="center"/>
              <w:rPr>
                <w:bCs/>
                <w:snapToGrid w:val="0"/>
                <w:szCs w:val="21"/>
              </w:rPr>
            </w:pPr>
            <w:r>
              <w:rPr>
                <w:bCs/>
                <w:snapToGrid w:val="0"/>
                <w:szCs w:val="21"/>
              </w:rPr>
              <w:t>课</w:t>
            </w:r>
          </w:p>
        </w:tc>
        <w:tc>
          <w:tcPr>
            <w:tcW w:w="1042" w:type="dxa"/>
            <w:tcBorders>
              <w:left w:val="single" w:color="auto" w:sz="4" w:space="0"/>
            </w:tcBorders>
            <w:vAlign w:val="center"/>
          </w:tcPr>
          <w:p>
            <w:pPr>
              <w:spacing w:line="240" w:lineRule="exact"/>
              <w:jc w:val="center"/>
              <w:rPr>
                <w:bCs/>
                <w:sz w:val="18"/>
                <w:szCs w:val="18"/>
              </w:rPr>
            </w:pPr>
            <w:r>
              <w:rPr>
                <w:sz w:val="18"/>
                <w:szCs w:val="18"/>
              </w:rPr>
              <w:t>BK037001</w:t>
            </w:r>
          </w:p>
        </w:tc>
        <w:tc>
          <w:tcPr>
            <w:tcW w:w="2873" w:type="dxa"/>
            <w:vAlign w:val="center"/>
          </w:tcPr>
          <w:p>
            <w:pPr>
              <w:spacing w:line="240" w:lineRule="exact"/>
              <w:rPr>
                <w:bCs/>
                <w:snapToGrid w:val="0"/>
                <w:sz w:val="18"/>
                <w:szCs w:val="18"/>
              </w:rPr>
            </w:pPr>
            <w:r>
              <w:rPr>
                <w:bCs/>
                <w:snapToGrid w:val="0"/>
                <w:sz w:val="18"/>
                <w:szCs w:val="18"/>
              </w:rPr>
              <w:t>法理学</w:t>
            </w:r>
          </w:p>
          <w:p>
            <w:pPr>
              <w:spacing w:line="240" w:lineRule="exact"/>
              <w:rPr>
                <w:bCs/>
                <w:sz w:val="18"/>
                <w:szCs w:val="18"/>
              </w:rPr>
            </w:pPr>
            <w:r>
              <w:rPr>
                <w:bCs/>
                <w:snapToGrid w:val="0"/>
                <w:sz w:val="18"/>
                <w:szCs w:val="18"/>
              </w:rPr>
              <w:t>Jurisprudence</w:t>
            </w:r>
          </w:p>
        </w:tc>
        <w:tc>
          <w:tcPr>
            <w:tcW w:w="465" w:type="dxa"/>
            <w:vAlign w:val="center"/>
          </w:tcPr>
          <w:p>
            <w:pPr>
              <w:spacing w:line="240" w:lineRule="exact"/>
              <w:jc w:val="center"/>
              <w:rPr>
                <w:bCs/>
                <w:sz w:val="18"/>
                <w:szCs w:val="18"/>
              </w:rPr>
            </w:pPr>
            <w:r>
              <w:rPr>
                <w:bCs/>
                <w:snapToGrid w:val="0"/>
                <w:sz w:val="18"/>
                <w:szCs w:val="18"/>
              </w:rPr>
              <w:t>4</w:t>
            </w:r>
          </w:p>
        </w:tc>
        <w:tc>
          <w:tcPr>
            <w:tcW w:w="615" w:type="dxa"/>
            <w:vAlign w:val="center"/>
          </w:tcPr>
          <w:p>
            <w:pPr>
              <w:spacing w:line="240" w:lineRule="exact"/>
              <w:jc w:val="center"/>
              <w:rPr>
                <w:bCs/>
                <w:sz w:val="18"/>
                <w:szCs w:val="18"/>
              </w:rPr>
            </w:pPr>
            <w:r>
              <w:rPr>
                <w:bCs/>
                <w:snapToGrid w:val="0"/>
                <w:sz w:val="18"/>
                <w:szCs w:val="18"/>
              </w:rPr>
              <w:t>64</w:t>
            </w:r>
          </w:p>
        </w:tc>
        <w:tc>
          <w:tcPr>
            <w:tcW w:w="600" w:type="dxa"/>
            <w:vAlign w:val="center"/>
          </w:tcPr>
          <w:p>
            <w:pPr>
              <w:spacing w:line="240" w:lineRule="exact"/>
              <w:jc w:val="center"/>
              <w:rPr>
                <w:bCs/>
                <w:snapToGrid w:val="0"/>
                <w:sz w:val="18"/>
                <w:szCs w:val="18"/>
              </w:rPr>
            </w:pPr>
            <w:r>
              <w:rPr>
                <w:bCs/>
                <w:snapToGrid w:val="0"/>
                <w:sz w:val="18"/>
                <w:szCs w:val="18"/>
              </w:rPr>
              <w:t>56</w:t>
            </w:r>
          </w:p>
        </w:tc>
        <w:tc>
          <w:tcPr>
            <w:tcW w:w="653" w:type="dxa"/>
            <w:vAlign w:val="center"/>
          </w:tcPr>
          <w:p>
            <w:pPr>
              <w:spacing w:line="240" w:lineRule="exact"/>
              <w:jc w:val="center"/>
              <w:rPr>
                <w:bCs/>
                <w:snapToGrid w:val="0"/>
                <w:sz w:val="18"/>
                <w:szCs w:val="18"/>
              </w:rPr>
            </w:pPr>
            <w:r>
              <w:rPr>
                <w:bCs/>
                <w:snapToGrid w:val="0"/>
                <w:sz w:val="18"/>
                <w:szCs w:val="18"/>
              </w:rPr>
              <w:t>8</w:t>
            </w:r>
          </w:p>
        </w:tc>
        <w:tc>
          <w:tcPr>
            <w:tcW w:w="660" w:type="dxa"/>
            <w:vAlign w:val="center"/>
          </w:tcPr>
          <w:p>
            <w:pPr>
              <w:spacing w:line="240" w:lineRule="exact"/>
              <w:jc w:val="center"/>
              <w:rPr>
                <w:bCs/>
                <w:sz w:val="18"/>
                <w:szCs w:val="18"/>
              </w:rPr>
            </w:pPr>
            <w:r>
              <w:rPr>
                <w:bCs/>
                <w:snapToGrid w:val="0"/>
                <w:sz w:val="18"/>
                <w:szCs w:val="18"/>
              </w:rPr>
              <w:t>1</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BK037002</w:t>
            </w:r>
          </w:p>
        </w:tc>
        <w:tc>
          <w:tcPr>
            <w:tcW w:w="2873" w:type="dxa"/>
            <w:vAlign w:val="center"/>
          </w:tcPr>
          <w:p>
            <w:pPr>
              <w:spacing w:line="240" w:lineRule="exact"/>
              <w:rPr>
                <w:bCs/>
                <w:snapToGrid w:val="0"/>
                <w:sz w:val="18"/>
                <w:szCs w:val="18"/>
              </w:rPr>
            </w:pPr>
            <w:r>
              <w:rPr>
                <w:bCs/>
                <w:snapToGrid w:val="0"/>
                <w:sz w:val="18"/>
                <w:szCs w:val="18"/>
              </w:rPr>
              <w:t>宪法</w:t>
            </w:r>
          </w:p>
          <w:p>
            <w:pPr>
              <w:spacing w:line="240" w:lineRule="exact"/>
              <w:rPr>
                <w:bCs/>
                <w:sz w:val="18"/>
                <w:szCs w:val="18"/>
              </w:rPr>
            </w:pPr>
            <w:r>
              <w:rPr>
                <w:bCs/>
                <w:snapToGrid w:val="0"/>
                <w:sz w:val="18"/>
                <w:szCs w:val="18"/>
              </w:rPr>
              <w:t>Constitutional Law</w:t>
            </w:r>
          </w:p>
        </w:tc>
        <w:tc>
          <w:tcPr>
            <w:tcW w:w="465" w:type="dxa"/>
            <w:vAlign w:val="center"/>
          </w:tcPr>
          <w:p>
            <w:pPr>
              <w:spacing w:line="240" w:lineRule="exact"/>
              <w:jc w:val="center"/>
              <w:rPr>
                <w:bCs/>
                <w:sz w:val="18"/>
                <w:szCs w:val="18"/>
              </w:rPr>
            </w:pPr>
            <w:r>
              <w:rPr>
                <w:bCs/>
                <w:snapToGrid w:val="0"/>
                <w:sz w:val="18"/>
                <w:szCs w:val="18"/>
              </w:rPr>
              <w:t>3</w:t>
            </w:r>
          </w:p>
        </w:tc>
        <w:tc>
          <w:tcPr>
            <w:tcW w:w="615" w:type="dxa"/>
            <w:vAlign w:val="center"/>
          </w:tcPr>
          <w:p>
            <w:pPr>
              <w:spacing w:line="240" w:lineRule="exact"/>
              <w:jc w:val="center"/>
              <w:rPr>
                <w:bCs/>
                <w:sz w:val="18"/>
                <w:szCs w:val="18"/>
              </w:rPr>
            </w:pPr>
            <w:r>
              <w:rPr>
                <w:bCs/>
                <w:snapToGrid w:val="0"/>
                <w:sz w:val="18"/>
                <w:szCs w:val="18"/>
              </w:rPr>
              <w:t>48</w:t>
            </w:r>
          </w:p>
        </w:tc>
        <w:tc>
          <w:tcPr>
            <w:tcW w:w="600" w:type="dxa"/>
            <w:vAlign w:val="center"/>
          </w:tcPr>
          <w:p>
            <w:pPr>
              <w:spacing w:line="240" w:lineRule="exact"/>
              <w:jc w:val="center"/>
              <w:rPr>
                <w:bCs/>
                <w:snapToGrid w:val="0"/>
                <w:sz w:val="18"/>
                <w:szCs w:val="18"/>
              </w:rPr>
            </w:pPr>
            <w:r>
              <w:rPr>
                <w:bCs/>
                <w:snapToGrid w:val="0"/>
                <w:sz w:val="18"/>
                <w:szCs w:val="18"/>
              </w:rPr>
              <w:t>40</w:t>
            </w:r>
          </w:p>
        </w:tc>
        <w:tc>
          <w:tcPr>
            <w:tcW w:w="653" w:type="dxa"/>
            <w:vAlign w:val="center"/>
          </w:tcPr>
          <w:p>
            <w:pPr>
              <w:spacing w:line="240" w:lineRule="exact"/>
              <w:jc w:val="center"/>
              <w:rPr>
                <w:bCs/>
                <w:snapToGrid w:val="0"/>
                <w:sz w:val="18"/>
                <w:szCs w:val="18"/>
              </w:rPr>
            </w:pPr>
            <w:r>
              <w:rPr>
                <w:bCs/>
                <w:snapToGrid w:val="0"/>
                <w:sz w:val="18"/>
                <w:szCs w:val="18"/>
              </w:rPr>
              <w:t>8</w:t>
            </w:r>
          </w:p>
        </w:tc>
        <w:tc>
          <w:tcPr>
            <w:tcW w:w="660" w:type="dxa"/>
            <w:vAlign w:val="center"/>
          </w:tcPr>
          <w:p>
            <w:pPr>
              <w:spacing w:line="240" w:lineRule="exact"/>
              <w:jc w:val="center"/>
              <w:rPr>
                <w:bCs/>
                <w:sz w:val="18"/>
                <w:szCs w:val="18"/>
              </w:rPr>
            </w:pPr>
            <w:r>
              <w:rPr>
                <w:bCs/>
                <w:snapToGrid w:val="0"/>
                <w:sz w:val="18"/>
                <w:szCs w:val="18"/>
              </w:rPr>
              <w:t>1</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BK037003</w:t>
            </w:r>
          </w:p>
        </w:tc>
        <w:tc>
          <w:tcPr>
            <w:tcW w:w="2873" w:type="dxa"/>
            <w:vAlign w:val="center"/>
          </w:tcPr>
          <w:p>
            <w:pPr>
              <w:spacing w:line="240" w:lineRule="exact"/>
              <w:rPr>
                <w:bCs/>
                <w:snapToGrid w:val="0"/>
                <w:sz w:val="18"/>
                <w:szCs w:val="18"/>
              </w:rPr>
            </w:pPr>
            <w:r>
              <w:rPr>
                <w:bCs/>
                <w:snapToGrid w:val="0"/>
                <w:sz w:val="18"/>
                <w:szCs w:val="18"/>
              </w:rPr>
              <w:t>中国法制史</w:t>
            </w:r>
          </w:p>
          <w:p>
            <w:pPr>
              <w:spacing w:line="240" w:lineRule="exact"/>
              <w:rPr>
                <w:bCs/>
                <w:sz w:val="18"/>
                <w:szCs w:val="18"/>
              </w:rPr>
            </w:pPr>
            <w:r>
              <w:rPr>
                <w:bCs/>
                <w:snapToGrid w:val="0"/>
                <w:sz w:val="18"/>
                <w:szCs w:val="18"/>
              </w:rPr>
              <w:t>History of China’s Legal System</w:t>
            </w:r>
          </w:p>
        </w:tc>
        <w:tc>
          <w:tcPr>
            <w:tcW w:w="465" w:type="dxa"/>
            <w:vAlign w:val="center"/>
          </w:tcPr>
          <w:p>
            <w:pPr>
              <w:spacing w:line="240" w:lineRule="exact"/>
              <w:jc w:val="center"/>
              <w:rPr>
                <w:bCs/>
                <w:sz w:val="18"/>
                <w:szCs w:val="18"/>
              </w:rPr>
            </w:pPr>
            <w:r>
              <w:rPr>
                <w:bCs/>
                <w:snapToGrid w:val="0"/>
                <w:sz w:val="18"/>
                <w:szCs w:val="18"/>
              </w:rPr>
              <w:t>3</w:t>
            </w:r>
          </w:p>
        </w:tc>
        <w:tc>
          <w:tcPr>
            <w:tcW w:w="615" w:type="dxa"/>
            <w:vAlign w:val="center"/>
          </w:tcPr>
          <w:p>
            <w:pPr>
              <w:spacing w:line="240" w:lineRule="exact"/>
              <w:jc w:val="center"/>
              <w:rPr>
                <w:bCs/>
                <w:sz w:val="18"/>
                <w:szCs w:val="18"/>
              </w:rPr>
            </w:pPr>
            <w:r>
              <w:rPr>
                <w:bCs/>
                <w:snapToGrid w:val="0"/>
                <w:sz w:val="18"/>
                <w:szCs w:val="18"/>
              </w:rPr>
              <w:t>48</w:t>
            </w:r>
          </w:p>
        </w:tc>
        <w:tc>
          <w:tcPr>
            <w:tcW w:w="600" w:type="dxa"/>
            <w:vAlign w:val="center"/>
          </w:tcPr>
          <w:p>
            <w:pPr>
              <w:spacing w:line="240" w:lineRule="exact"/>
              <w:jc w:val="center"/>
              <w:rPr>
                <w:bCs/>
                <w:snapToGrid w:val="0"/>
                <w:sz w:val="18"/>
                <w:szCs w:val="18"/>
              </w:rPr>
            </w:pPr>
            <w:r>
              <w:rPr>
                <w:bCs/>
                <w:snapToGrid w:val="0"/>
                <w:sz w:val="18"/>
                <w:szCs w:val="18"/>
              </w:rPr>
              <w:t>40</w:t>
            </w:r>
          </w:p>
        </w:tc>
        <w:tc>
          <w:tcPr>
            <w:tcW w:w="653" w:type="dxa"/>
            <w:vAlign w:val="center"/>
          </w:tcPr>
          <w:p>
            <w:pPr>
              <w:spacing w:line="240" w:lineRule="exact"/>
              <w:jc w:val="center"/>
              <w:rPr>
                <w:bCs/>
                <w:snapToGrid w:val="0"/>
                <w:sz w:val="18"/>
                <w:szCs w:val="18"/>
              </w:rPr>
            </w:pPr>
            <w:r>
              <w:rPr>
                <w:bCs/>
                <w:snapToGrid w:val="0"/>
                <w:sz w:val="18"/>
                <w:szCs w:val="18"/>
              </w:rPr>
              <w:t>8</w:t>
            </w:r>
          </w:p>
        </w:tc>
        <w:tc>
          <w:tcPr>
            <w:tcW w:w="660" w:type="dxa"/>
            <w:vAlign w:val="center"/>
          </w:tcPr>
          <w:p>
            <w:pPr>
              <w:spacing w:line="240" w:lineRule="exact"/>
              <w:jc w:val="center"/>
              <w:rPr>
                <w:bCs/>
                <w:sz w:val="18"/>
                <w:szCs w:val="18"/>
              </w:rPr>
            </w:pPr>
            <w:r>
              <w:rPr>
                <w:bCs/>
                <w:snapToGrid w:val="0"/>
                <w:sz w:val="18"/>
                <w:szCs w:val="18"/>
              </w:rPr>
              <w:t>1</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BK037004</w:t>
            </w:r>
          </w:p>
        </w:tc>
        <w:tc>
          <w:tcPr>
            <w:tcW w:w="2873" w:type="dxa"/>
            <w:vAlign w:val="center"/>
          </w:tcPr>
          <w:p>
            <w:pPr>
              <w:spacing w:line="240" w:lineRule="exact"/>
              <w:rPr>
                <w:bCs/>
                <w:snapToGrid w:val="0"/>
                <w:sz w:val="18"/>
                <w:szCs w:val="18"/>
              </w:rPr>
            </w:pPr>
            <w:r>
              <w:rPr>
                <w:bCs/>
                <w:snapToGrid w:val="0"/>
                <w:sz w:val="18"/>
                <w:szCs w:val="18"/>
              </w:rPr>
              <w:t>民法1</w:t>
            </w:r>
          </w:p>
          <w:p>
            <w:pPr>
              <w:spacing w:line="240" w:lineRule="exact"/>
              <w:rPr>
                <w:bCs/>
                <w:sz w:val="18"/>
                <w:szCs w:val="18"/>
              </w:rPr>
            </w:pPr>
            <w:r>
              <w:rPr>
                <w:bCs/>
                <w:snapToGrid w:val="0"/>
                <w:sz w:val="18"/>
                <w:szCs w:val="18"/>
              </w:rPr>
              <w:t>Civil Law 1</w:t>
            </w:r>
          </w:p>
        </w:tc>
        <w:tc>
          <w:tcPr>
            <w:tcW w:w="465" w:type="dxa"/>
            <w:vAlign w:val="center"/>
          </w:tcPr>
          <w:p>
            <w:pPr>
              <w:spacing w:line="240" w:lineRule="exact"/>
              <w:jc w:val="center"/>
              <w:rPr>
                <w:bCs/>
                <w:snapToGrid w:val="0"/>
                <w:sz w:val="18"/>
                <w:szCs w:val="18"/>
              </w:rPr>
            </w:pPr>
            <w:r>
              <w:rPr>
                <w:bCs/>
                <w:snapToGrid w:val="0"/>
                <w:sz w:val="18"/>
                <w:szCs w:val="18"/>
              </w:rPr>
              <w:t>4</w:t>
            </w:r>
          </w:p>
        </w:tc>
        <w:tc>
          <w:tcPr>
            <w:tcW w:w="615" w:type="dxa"/>
            <w:vAlign w:val="center"/>
          </w:tcPr>
          <w:p>
            <w:pPr>
              <w:spacing w:line="240" w:lineRule="exact"/>
              <w:jc w:val="center"/>
              <w:rPr>
                <w:bCs/>
                <w:snapToGrid w:val="0"/>
                <w:sz w:val="18"/>
                <w:szCs w:val="18"/>
              </w:rPr>
            </w:pPr>
            <w:r>
              <w:rPr>
                <w:bCs/>
                <w:snapToGrid w:val="0"/>
                <w:sz w:val="18"/>
                <w:szCs w:val="18"/>
              </w:rPr>
              <w:t>64</w:t>
            </w:r>
          </w:p>
        </w:tc>
        <w:tc>
          <w:tcPr>
            <w:tcW w:w="600" w:type="dxa"/>
            <w:vAlign w:val="center"/>
          </w:tcPr>
          <w:p>
            <w:pPr>
              <w:spacing w:line="240" w:lineRule="exact"/>
              <w:jc w:val="center"/>
              <w:rPr>
                <w:bCs/>
                <w:snapToGrid w:val="0"/>
                <w:sz w:val="18"/>
                <w:szCs w:val="18"/>
              </w:rPr>
            </w:pPr>
            <w:r>
              <w:rPr>
                <w:bCs/>
                <w:snapToGrid w:val="0"/>
                <w:sz w:val="18"/>
                <w:szCs w:val="18"/>
              </w:rPr>
              <w:t>56</w:t>
            </w:r>
          </w:p>
        </w:tc>
        <w:tc>
          <w:tcPr>
            <w:tcW w:w="653" w:type="dxa"/>
            <w:vAlign w:val="center"/>
          </w:tcPr>
          <w:p>
            <w:pPr>
              <w:spacing w:line="240" w:lineRule="exact"/>
              <w:jc w:val="center"/>
              <w:rPr>
                <w:bCs/>
                <w:snapToGrid w:val="0"/>
                <w:sz w:val="18"/>
                <w:szCs w:val="18"/>
              </w:rPr>
            </w:pPr>
            <w:r>
              <w:rPr>
                <w:bCs/>
                <w:snapToGrid w:val="0"/>
                <w:sz w:val="18"/>
                <w:szCs w:val="18"/>
              </w:rPr>
              <w:t>8</w:t>
            </w:r>
          </w:p>
        </w:tc>
        <w:tc>
          <w:tcPr>
            <w:tcW w:w="660" w:type="dxa"/>
            <w:vAlign w:val="center"/>
          </w:tcPr>
          <w:p>
            <w:pPr>
              <w:spacing w:line="240" w:lineRule="exact"/>
              <w:jc w:val="center"/>
              <w:rPr>
                <w:bCs/>
                <w:snapToGrid w:val="0"/>
                <w:sz w:val="18"/>
                <w:szCs w:val="18"/>
              </w:rPr>
            </w:pPr>
            <w:r>
              <w:rPr>
                <w:bCs/>
                <w:snapToGrid w:val="0"/>
                <w:sz w:val="18"/>
                <w:szCs w:val="18"/>
              </w:rPr>
              <w:t>1</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BK037006</w:t>
            </w:r>
          </w:p>
        </w:tc>
        <w:tc>
          <w:tcPr>
            <w:tcW w:w="2873" w:type="dxa"/>
            <w:vAlign w:val="center"/>
          </w:tcPr>
          <w:p>
            <w:pPr>
              <w:spacing w:line="240" w:lineRule="exact"/>
              <w:rPr>
                <w:bCs/>
                <w:snapToGrid w:val="0"/>
                <w:sz w:val="18"/>
                <w:szCs w:val="18"/>
              </w:rPr>
            </w:pPr>
            <w:r>
              <w:rPr>
                <w:bCs/>
                <w:snapToGrid w:val="0"/>
                <w:sz w:val="18"/>
                <w:szCs w:val="18"/>
              </w:rPr>
              <w:t>民法2</w:t>
            </w:r>
          </w:p>
          <w:p>
            <w:pPr>
              <w:spacing w:line="240" w:lineRule="exact"/>
              <w:rPr>
                <w:bCs/>
                <w:sz w:val="18"/>
                <w:szCs w:val="18"/>
              </w:rPr>
            </w:pPr>
            <w:r>
              <w:rPr>
                <w:bCs/>
                <w:snapToGrid w:val="0"/>
                <w:sz w:val="18"/>
                <w:szCs w:val="18"/>
              </w:rPr>
              <w:t>Civil Law 2</w:t>
            </w:r>
          </w:p>
        </w:tc>
        <w:tc>
          <w:tcPr>
            <w:tcW w:w="465" w:type="dxa"/>
            <w:vAlign w:val="center"/>
          </w:tcPr>
          <w:p>
            <w:pPr>
              <w:spacing w:line="240" w:lineRule="exact"/>
              <w:jc w:val="center"/>
              <w:rPr>
                <w:bCs/>
                <w:sz w:val="18"/>
                <w:szCs w:val="18"/>
              </w:rPr>
            </w:pPr>
            <w:r>
              <w:rPr>
                <w:bCs/>
                <w:snapToGrid w:val="0"/>
                <w:sz w:val="18"/>
                <w:szCs w:val="18"/>
              </w:rPr>
              <w:t>4.5</w:t>
            </w:r>
          </w:p>
        </w:tc>
        <w:tc>
          <w:tcPr>
            <w:tcW w:w="615" w:type="dxa"/>
            <w:vAlign w:val="center"/>
          </w:tcPr>
          <w:p>
            <w:pPr>
              <w:spacing w:line="240" w:lineRule="exact"/>
              <w:jc w:val="center"/>
              <w:rPr>
                <w:bCs/>
                <w:sz w:val="18"/>
                <w:szCs w:val="18"/>
              </w:rPr>
            </w:pPr>
            <w:r>
              <w:rPr>
                <w:bCs/>
                <w:snapToGrid w:val="0"/>
                <w:sz w:val="18"/>
                <w:szCs w:val="18"/>
              </w:rPr>
              <w:t>72</w:t>
            </w:r>
          </w:p>
        </w:tc>
        <w:tc>
          <w:tcPr>
            <w:tcW w:w="600" w:type="dxa"/>
            <w:vAlign w:val="center"/>
          </w:tcPr>
          <w:p>
            <w:pPr>
              <w:spacing w:line="240" w:lineRule="exact"/>
              <w:jc w:val="center"/>
              <w:rPr>
                <w:bCs/>
                <w:snapToGrid w:val="0"/>
                <w:sz w:val="18"/>
                <w:szCs w:val="18"/>
              </w:rPr>
            </w:pPr>
            <w:r>
              <w:rPr>
                <w:bCs/>
                <w:snapToGrid w:val="0"/>
                <w:sz w:val="18"/>
                <w:szCs w:val="18"/>
              </w:rPr>
              <w:t>64</w:t>
            </w:r>
          </w:p>
        </w:tc>
        <w:tc>
          <w:tcPr>
            <w:tcW w:w="653" w:type="dxa"/>
            <w:vAlign w:val="center"/>
          </w:tcPr>
          <w:p>
            <w:pPr>
              <w:spacing w:line="240" w:lineRule="exact"/>
              <w:jc w:val="center"/>
              <w:rPr>
                <w:bCs/>
                <w:snapToGrid w:val="0"/>
                <w:sz w:val="18"/>
                <w:szCs w:val="18"/>
              </w:rPr>
            </w:pPr>
            <w:r>
              <w:rPr>
                <w:bCs/>
                <w:snapToGrid w:val="0"/>
                <w:sz w:val="18"/>
                <w:szCs w:val="18"/>
              </w:rPr>
              <w:t>8</w:t>
            </w:r>
          </w:p>
        </w:tc>
        <w:tc>
          <w:tcPr>
            <w:tcW w:w="660" w:type="dxa"/>
            <w:vAlign w:val="center"/>
          </w:tcPr>
          <w:p>
            <w:pPr>
              <w:spacing w:line="240" w:lineRule="exact"/>
              <w:jc w:val="center"/>
              <w:rPr>
                <w:bCs/>
                <w:sz w:val="18"/>
                <w:szCs w:val="18"/>
              </w:rPr>
            </w:pPr>
            <w:r>
              <w:rPr>
                <w:bCs/>
                <w:snapToGrid w:val="0"/>
                <w:sz w:val="18"/>
                <w:szCs w:val="18"/>
              </w:rPr>
              <w:t>2</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BK037033</w:t>
            </w:r>
          </w:p>
        </w:tc>
        <w:tc>
          <w:tcPr>
            <w:tcW w:w="2873" w:type="dxa"/>
            <w:vAlign w:val="center"/>
          </w:tcPr>
          <w:p>
            <w:pPr>
              <w:spacing w:line="240" w:lineRule="exact"/>
              <w:rPr>
                <w:bCs/>
                <w:snapToGrid w:val="0"/>
                <w:sz w:val="18"/>
                <w:szCs w:val="18"/>
              </w:rPr>
            </w:pPr>
            <w:r>
              <w:rPr>
                <w:bCs/>
                <w:snapToGrid w:val="0"/>
                <w:sz w:val="18"/>
                <w:szCs w:val="18"/>
              </w:rPr>
              <w:t>刑法1</w:t>
            </w:r>
          </w:p>
          <w:p>
            <w:pPr>
              <w:spacing w:line="240" w:lineRule="exact"/>
              <w:rPr>
                <w:bCs/>
                <w:sz w:val="18"/>
                <w:szCs w:val="18"/>
              </w:rPr>
            </w:pPr>
            <w:r>
              <w:rPr>
                <w:bCs/>
                <w:snapToGrid w:val="0"/>
                <w:sz w:val="18"/>
                <w:szCs w:val="18"/>
              </w:rPr>
              <w:t>Criminal Law 1</w:t>
            </w:r>
          </w:p>
        </w:tc>
        <w:tc>
          <w:tcPr>
            <w:tcW w:w="465" w:type="dxa"/>
            <w:vAlign w:val="center"/>
          </w:tcPr>
          <w:p>
            <w:pPr>
              <w:spacing w:line="240" w:lineRule="exact"/>
              <w:jc w:val="center"/>
              <w:rPr>
                <w:bCs/>
                <w:sz w:val="18"/>
                <w:szCs w:val="18"/>
              </w:rPr>
            </w:pPr>
            <w:r>
              <w:rPr>
                <w:bCs/>
                <w:snapToGrid w:val="0"/>
                <w:sz w:val="18"/>
                <w:szCs w:val="18"/>
              </w:rPr>
              <w:t>3.5</w:t>
            </w:r>
          </w:p>
        </w:tc>
        <w:tc>
          <w:tcPr>
            <w:tcW w:w="615" w:type="dxa"/>
            <w:vAlign w:val="center"/>
          </w:tcPr>
          <w:p>
            <w:pPr>
              <w:spacing w:line="240" w:lineRule="exact"/>
              <w:jc w:val="center"/>
              <w:rPr>
                <w:bCs/>
                <w:sz w:val="18"/>
                <w:szCs w:val="18"/>
              </w:rPr>
            </w:pPr>
            <w:r>
              <w:rPr>
                <w:bCs/>
                <w:snapToGrid w:val="0"/>
                <w:sz w:val="18"/>
                <w:szCs w:val="18"/>
              </w:rPr>
              <w:t>56</w:t>
            </w:r>
          </w:p>
        </w:tc>
        <w:tc>
          <w:tcPr>
            <w:tcW w:w="600" w:type="dxa"/>
            <w:vAlign w:val="center"/>
          </w:tcPr>
          <w:p>
            <w:pPr>
              <w:spacing w:line="240" w:lineRule="exact"/>
              <w:jc w:val="center"/>
              <w:rPr>
                <w:bCs/>
                <w:snapToGrid w:val="0"/>
                <w:sz w:val="18"/>
                <w:szCs w:val="18"/>
              </w:rPr>
            </w:pPr>
            <w:r>
              <w:rPr>
                <w:bCs/>
                <w:snapToGrid w:val="0"/>
                <w:sz w:val="18"/>
                <w:szCs w:val="18"/>
              </w:rPr>
              <w:t>48</w:t>
            </w:r>
          </w:p>
        </w:tc>
        <w:tc>
          <w:tcPr>
            <w:tcW w:w="653" w:type="dxa"/>
            <w:vAlign w:val="center"/>
          </w:tcPr>
          <w:p>
            <w:pPr>
              <w:spacing w:line="240" w:lineRule="exact"/>
              <w:jc w:val="center"/>
              <w:rPr>
                <w:bCs/>
                <w:snapToGrid w:val="0"/>
                <w:sz w:val="18"/>
                <w:szCs w:val="18"/>
              </w:rPr>
            </w:pPr>
            <w:r>
              <w:rPr>
                <w:bCs/>
                <w:snapToGrid w:val="0"/>
                <w:sz w:val="18"/>
                <w:szCs w:val="18"/>
              </w:rPr>
              <w:t>8</w:t>
            </w:r>
          </w:p>
        </w:tc>
        <w:tc>
          <w:tcPr>
            <w:tcW w:w="660" w:type="dxa"/>
            <w:vAlign w:val="center"/>
          </w:tcPr>
          <w:p>
            <w:pPr>
              <w:spacing w:line="240" w:lineRule="exact"/>
              <w:jc w:val="center"/>
              <w:rPr>
                <w:bCs/>
                <w:sz w:val="18"/>
                <w:szCs w:val="18"/>
              </w:rPr>
            </w:pPr>
            <w:r>
              <w:rPr>
                <w:bCs/>
                <w:snapToGrid w:val="0"/>
                <w:sz w:val="18"/>
                <w:szCs w:val="18"/>
              </w:rPr>
              <w:t>2</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BK037037</w:t>
            </w:r>
          </w:p>
        </w:tc>
        <w:tc>
          <w:tcPr>
            <w:tcW w:w="2873" w:type="dxa"/>
            <w:vAlign w:val="center"/>
          </w:tcPr>
          <w:p>
            <w:pPr>
              <w:spacing w:line="240" w:lineRule="exact"/>
              <w:rPr>
                <w:bCs/>
                <w:snapToGrid w:val="0"/>
                <w:sz w:val="18"/>
                <w:szCs w:val="18"/>
              </w:rPr>
            </w:pPr>
            <w:r>
              <w:rPr>
                <w:bCs/>
                <w:snapToGrid w:val="0"/>
                <w:sz w:val="18"/>
                <w:szCs w:val="18"/>
              </w:rPr>
              <w:t>知识产权法</w:t>
            </w:r>
          </w:p>
          <w:p>
            <w:pPr>
              <w:spacing w:line="240" w:lineRule="exact"/>
              <w:rPr>
                <w:bCs/>
                <w:sz w:val="18"/>
                <w:szCs w:val="18"/>
              </w:rPr>
            </w:pPr>
            <w:r>
              <w:rPr>
                <w:bCs/>
                <w:snapToGrid w:val="0"/>
                <w:sz w:val="18"/>
                <w:szCs w:val="18"/>
              </w:rPr>
              <w:t>Intellectual Property Law</w:t>
            </w:r>
          </w:p>
        </w:tc>
        <w:tc>
          <w:tcPr>
            <w:tcW w:w="465" w:type="dxa"/>
            <w:vAlign w:val="center"/>
          </w:tcPr>
          <w:p>
            <w:pPr>
              <w:spacing w:line="240" w:lineRule="exact"/>
              <w:jc w:val="center"/>
              <w:rPr>
                <w:bCs/>
                <w:sz w:val="18"/>
                <w:szCs w:val="18"/>
              </w:rPr>
            </w:pPr>
            <w:r>
              <w:rPr>
                <w:bCs/>
                <w:snapToGrid w:val="0"/>
                <w:sz w:val="18"/>
                <w:szCs w:val="18"/>
              </w:rPr>
              <w:t>3</w:t>
            </w:r>
          </w:p>
        </w:tc>
        <w:tc>
          <w:tcPr>
            <w:tcW w:w="615" w:type="dxa"/>
            <w:vAlign w:val="center"/>
          </w:tcPr>
          <w:p>
            <w:pPr>
              <w:spacing w:line="240" w:lineRule="exact"/>
              <w:jc w:val="center"/>
              <w:rPr>
                <w:bCs/>
                <w:sz w:val="18"/>
                <w:szCs w:val="18"/>
              </w:rPr>
            </w:pPr>
            <w:r>
              <w:rPr>
                <w:bCs/>
                <w:snapToGrid w:val="0"/>
                <w:sz w:val="18"/>
                <w:szCs w:val="18"/>
              </w:rPr>
              <w:t>48</w:t>
            </w:r>
          </w:p>
        </w:tc>
        <w:tc>
          <w:tcPr>
            <w:tcW w:w="600" w:type="dxa"/>
            <w:vAlign w:val="center"/>
          </w:tcPr>
          <w:p>
            <w:pPr>
              <w:spacing w:line="240" w:lineRule="exact"/>
              <w:jc w:val="center"/>
              <w:rPr>
                <w:bCs/>
                <w:snapToGrid w:val="0"/>
                <w:sz w:val="18"/>
                <w:szCs w:val="18"/>
              </w:rPr>
            </w:pPr>
            <w:r>
              <w:rPr>
                <w:bCs/>
                <w:snapToGrid w:val="0"/>
                <w:sz w:val="18"/>
                <w:szCs w:val="18"/>
              </w:rPr>
              <w:t>40</w:t>
            </w:r>
          </w:p>
        </w:tc>
        <w:tc>
          <w:tcPr>
            <w:tcW w:w="653" w:type="dxa"/>
            <w:vAlign w:val="center"/>
          </w:tcPr>
          <w:p>
            <w:pPr>
              <w:spacing w:line="240" w:lineRule="exact"/>
              <w:jc w:val="center"/>
              <w:rPr>
                <w:bCs/>
                <w:snapToGrid w:val="0"/>
                <w:sz w:val="18"/>
                <w:szCs w:val="18"/>
              </w:rPr>
            </w:pPr>
            <w:r>
              <w:rPr>
                <w:bCs/>
                <w:snapToGrid w:val="0"/>
                <w:sz w:val="18"/>
                <w:szCs w:val="18"/>
              </w:rPr>
              <w:t>8</w:t>
            </w:r>
          </w:p>
        </w:tc>
        <w:tc>
          <w:tcPr>
            <w:tcW w:w="660" w:type="dxa"/>
            <w:vAlign w:val="center"/>
          </w:tcPr>
          <w:p>
            <w:pPr>
              <w:spacing w:line="240" w:lineRule="exact"/>
              <w:jc w:val="center"/>
              <w:rPr>
                <w:bCs/>
                <w:sz w:val="18"/>
                <w:szCs w:val="18"/>
              </w:rPr>
            </w:pPr>
            <w:r>
              <w:rPr>
                <w:bCs/>
                <w:sz w:val="18"/>
                <w:szCs w:val="18"/>
              </w:rPr>
              <w:t>3</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BK037027</w:t>
            </w:r>
          </w:p>
        </w:tc>
        <w:tc>
          <w:tcPr>
            <w:tcW w:w="2873" w:type="dxa"/>
            <w:vAlign w:val="center"/>
          </w:tcPr>
          <w:p>
            <w:pPr>
              <w:spacing w:line="240" w:lineRule="exact"/>
              <w:rPr>
                <w:bCs/>
                <w:snapToGrid w:val="0"/>
                <w:sz w:val="18"/>
                <w:szCs w:val="18"/>
              </w:rPr>
            </w:pPr>
            <w:r>
              <w:rPr>
                <w:bCs/>
                <w:snapToGrid w:val="0"/>
                <w:sz w:val="18"/>
                <w:szCs w:val="18"/>
              </w:rPr>
              <w:t>商法1</w:t>
            </w:r>
          </w:p>
          <w:p>
            <w:pPr>
              <w:spacing w:line="240" w:lineRule="exact"/>
              <w:rPr>
                <w:bCs/>
                <w:sz w:val="18"/>
                <w:szCs w:val="18"/>
              </w:rPr>
            </w:pPr>
            <w:r>
              <w:rPr>
                <w:bCs/>
                <w:snapToGrid w:val="0"/>
                <w:sz w:val="18"/>
                <w:szCs w:val="18"/>
              </w:rPr>
              <w:t>Commercial Law 1</w:t>
            </w:r>
          </w:p>
        </w:tc>
        <w:tc>
          <w:tcPr>
            <w:tcW w:w="465" w:type="dxa"/>
            <w:vAlign w:val="center"/>
          </w:tcPr>
          <w:p>
            <w:pPr>
              <w:spacing w:line="240" w:lineRule="exact"/>
              <w:jc w:val="center"/>
              <w:rPr>
                <w:bCs/>
                <w:sz w:val="18"/>
                <w:szCs w:val="18"/>
              </w:rPr>
            </w:pPr>
            <w:r>
              <w:rPr>
                <w:bCs/>
                <w:snapToGrid w:val="0"/>
                <w:sz w:val="18"/>
                <w:szCs w:val="18"/>
              </w:rPr>
              <w:t>3</w:t>
            </w:r>
          </w:p>
        </w:tc>
        <w:tc>
          <w:tcPr>
            <w:tcW w:w="615" w:type="dxa"/>
            <w:vAlign w:val="center"/>
          </w:tcPr>
          <w:p>
            <w:pPr>
              <w:spacing w:line="240" w:lineRule="exact"/>
              <w:jc w:val="center"/>
              <w:rPr>
                <w:bCs/>
                <w:sz w:val="18"/>
                <w:szCs w:val="18"/>
              </w:rPr>
            </w:pPr>
            <w:r>
              <w:rPr>
                <w:bCs/>
                <w:snapToGrid w:val="0"/>
                <w:sz w:val="18"/>
                <w:szCs w:val="18"/>
              </w:rPr>
              <w:t>48</w:t>
            </w:r>
          </w:p>
        </w:tc>
        <w:tc>
          <w:tcPr>
            <w:tcW w:w="600" w:type="dxa"/>
            <w:vAlign w:val="center"/>
          </w:tcPr>
          <w:p>
            <w:pPr>
              <w:spacing w:line="240" w:lineRule="exact"/>
              <w:jc w:val="center"/>
              <w:rPr>
                <w:bCs/>
                <w:snapToGrid w:val="0"/>
                <w:sz w:val="18"/>
                <w:szCs w:val="18"/>
              </w:rPr>
            </w:pPr>
            <w:r>
              <w:rPr>
                <w:bCs/>
                <w:snapToGrid w:val="0"/>
                <w:sz w:val="18"/>
                <w:szCs w:val="18"/>
              </w:rPr>
              <w:t>42</w:t>
            </w:r>
          </w:p>
        </w:tc>
        <w:tc>
          <w:tcPr>
            <w:tcW w:w="653" w:type="dxa"/>
            <w:vAlign w:val="center"/>
          </w:tcPr>
          <w:p>
            <w:pPr>
              <w:spacing w:line="240" w:lineRule="exact"/>
              <w:jc w:val="center"/>
              <w:rPr>
                <w:bCs/>
                <w:snapToGrid w:val="0"/>
                <w:sz w:val="18"/>
                <w:szCs w:val="18"/>
              </w:rPr>
            </w:pPr>
            <w:r>
              <w:rPr>
                <w:bCs/>
                <w:snapToGrid w:val="0"/>
                <w:sz w:val="18"/>
                <w:szCs w:val="18"/>
              </w:rPr>
              <w:t>6</w:t>
            </w:r>
          </w:p>
        </w:tc>
        <w:tc>
          <w:tcPr>
            <w:tcW w:w="660" w:type="dxa"/>
            <w:vAlign w:val="center"/>
          </w:tcPr>
          <w:p>
            <w:pPr>
              <w:spacing w:line="240" w:lineRule="exact"/>
              <w:jc w:val="center"/>
              <w:rPr>
                <w:bCs/>
                <w:sz w:val="18"/>
                <w:szCs w:val="18"/>
              </w:rPr>
            </w:pPr>
            <w:r>
              <w:rPr>
                <w:bCs/>
                <w:snapToGrid w:val="0"/>
                <w:sz w:val="18"/>
                <w:szCs w:val="18"/>
              </w:rPr>
              <w:t>3</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BK037034</w:t>
            </w:r>
          </w:p>
        </w:tc>
        <w:tc>
          <w:tcPr>
            <w:tcW w:w="2873" w:type="dxa"/>
            <w:vAlign w:val="center"/>
          </w:tcPr>
          <w:p>
            <w:pPr>
              <w:spacing w:line="240" w:lineRule="exact"/>
              <w:rPr>
                <w:bCs/>
                <w:snapToGrid w:val="0"/>
                <w:sz w:val="18"/>
                <w:szCs w:val="18"/>
              </w:rPr>
            </w:pPr>
            <w:r>
              <w:rPr>
                <w:bCs/>
                <w:snapToGrid w:val="0"/>
                <w:sz w:val="18"/>
                <w:szCs w:val="18"/>
              </w:rPr>
              <w:t>刑法2</w:t>
            </w:r>
          </w:p>
          <w:p>
            <w:pPr>
              <w:spacing w:line="240" w:lineRule="exact"/>
              <w:rPr>
                <w:bCs/>
                <w:sz w:val="18"/>
                <w:szCs w:val="18"/>
              </w:rPr>
            </w:pPr>
            <w:r>
              <w:rPr>
                <w:bCs/>
                <w:snapToGrid w:val="0"/>
                <w:sz w:val="18"/>
                <w:szCs w:val="18"/>
              </w:rPr>
              <w:t>Criminal Law2</w:t>
            </w:r>
          </w:p>
        </w:tc>
        <w:tc>
          <w:tcPr>
            <w:tcW w:w="465" w:type="dxa"/>
            <w:vAlign w:val="center"/>
          </w:tcPr>
          <w:p>
            <w:pPr>
              <w:spacing w:line="240" w:lineRule="exact"/>
              <w:jc w:val="center"/>
              <w:rPr>
                <w:bCs/>
                <w:sz w:val="18"/>
                <w:szCs w:val="18"/>
              </w:rPr>
            </w:pPr>
            <w:r>
              <w:rPr>
                <w:bCs/>
                <w:snapToGrid w:val="0"/>
                <w:sz w:val="18"/>
                <w:szCs w:val="18"/>
              </w:rPr>
              <w:t>3</w:t>
            </w:r>
          </w:p>
        </w:tc>
        <w:tc>
          <w:tcPr>
            <w:tcW w:w="615" w:type="dxa"/>
            <w:vAlign w:val="center"/>
          </w:tcPr>
          <w:p>
            <w:pPr>
              <w:spacing w:line="240" w:lineRule="exact"/>
              <w:jc w:val="center"/>
              <w:rPr>
                <w:bCs/>
                <w:sz w:val="18"/>
                <w:szCs w:val="18"/>
              </w:rPr>
            </w:pPr>
            <w:r>
              <w:rPr>
                <w:bCs/>
                <w:snapToGrid w:val="0"/>
                <w:sz w:val="18"/>
                <w:szCs w:val="18"/>
              </w:rPr>
              <w:t>48</w:t>
            </w:r>
          </w:p>
        </w:tc>
        <w:tc>
          <w:tcPr>
            <w:tcW w:w="600" w:type="dxa"/>
            <w:vAlign w:val="center"/>
          </w:tcPr>
          <w:p>
            <w:pPr>
              <w:spacing w:line="240" w:lineRule="exact"/>
              <w:jc w:val="center"/>
              <w:rPr>
                <w:bCs/>
                <w:snapToGrid w:val="0"/>
                <w:sz w:val="18"/>
                <w:szCs w:val="18"/>
              </w:rPr>
            </w:pPr>
            <w:r>
              <w:rPr>
                <w:bCs/>
                <w:snapToGrid w:val="0"/>
                <w:sz w:val="18"/>
                <w:szCs w:val="18"/>
              </w:rPr>
              <w:t>42</w:t>
            </w:r>
          </w:p>
        </w:tc>
        <w:tc>
          <w:tcPr>
            <w:tcW w:w="653" w:type="dxa"/>
            <w:vAlign w:val="center"/>
          </w:tcPr>
          <w:p>
            <w:pPr>
              <w:spacing w:line="240" w:lineRule="exact"/>
              <w:jc w:val="center"/>
              <w:rPr>
                <w:bCs/>
                <w:snapToGrid w:val="0"/>
                <w:sz w:val="18"/>
                <w:szCs w:val="18"/>
              </w:rPr>
            </w:pPr>
            <w:r>
              <w:rPr>
                <w:bCs/>
                <w:snapToGrid w:val="0"/>
                <w:sz w:val="18"/>
                <w:szCs w:val="18"/>
              </w:rPr>
              <w:t>6</w:t>
            </w:r>
          </w:p>
        </w:tc>
        <w:tc>
          <w:tcPr>
            <w:tcW w:w="660" w:type="dxa"/>
            <w:vAlign w:val="center"/>
          </w:tcPr>
          <w:p>
            <w:pPr>
              <w:spacing w:line="240" w:lineRule="exact"/>
              <w:jc w:val="center"/>
              <w:rPr>
                <w:bCs/>
                <w:sz w:val="18"/>
                <w:szCs w:val="18"/>
              </w:rPr>
            </w:pPr>
            <w:r>
              <w:rPr>
                <w:bCs/>
                <w:snapToGrid w:val="0"/>
                <w:sz w:val="18"/>
                <w:szCs w:val="18"/>
              </w:rPr>
              <w:t>3</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BK037025</w:t>
            </w:r>
          </w:p>
        </w:tc>
        <w:tc>
          <w:tcPr>
            <w:tcW w:w="2873" w:type="dxa"/>
            <w:vAlign w:val="center"/>
          </w:tcPr>
          <w:p>
            <w:pPr>
              <w:spacing w:line="240" w:lineRule="exact"/>
              <w:rPr>
                <w:bCs/>
                <w:snapToGrid w:val="0"/>
                <w:sz w:val="18"/>
                <w:szCs w:val="18"/>
              </w:rPr>
            </w:pPr>
            <w:r>
              <w:rPr>
                <w:bCs/>
                <w:snapToGrid w:val="0"/>
                <w:sz w:val="18"/>
                <w:szCs w:val="18"/>
              </w:rPr>
              <w:t>民事诉讼法</w:t>
            </w:r>
          </w:p>
          <w:p>
            <w:pPr>
              <w:spacing w:line="240" w:lineRule="exact"/>
              <w:rPr>
                <w:bCs/>
                <w:sz w:val="18"/>
                <w:szCs w:val="18"/>
              </w:rPr>
            </w:pPr>
            <w:r>
              <w:rPr>
                <w:bCs/>
                <w:snapToGrid w:val="0"/>
                <w:sz w:val="18"/>
                <w:szCs w:val="18"/>
              </w:rPr>
              <w:t>Civil Procedure Law</w:t>
            </w:r>
          </w:p>
        </w:tc>
        <w:tc>
          <w:tcPr>
            <w:tcW w:w="465" w:type="dxa"/>
            <w:vAlign w:val="center"/>
          </w:tcPr>
          <w:p>
            <w:pPr>
              <w:spacing w:line="240" w:lineRule="exact"/>
              <w:jc w:val="center"/>
              <w:rPr>
                <w:bCs/>
                <w:sz w:val="18"/>
                <w:szCs w:val="18"/>
              </w:rPr>
            </w:pPr>
            <w:r>
              <w:rPr>
                <w:bCs/>
                <w:snapToGrid w:val="0"/>
                <w:sz w:val="18"/>
                <w:szCs w:val="18"/>
              </w:rPr>
              <w:t>3.5</w:t>
            </w:r>
          </w:p>
        </w:tc>
        <w:tc>
          <w:tcPr>
            <w:tcW w:w="615" w:type="dxa"/>
            <w:vAlign w:val="center"/>
          </w:tcPr>
          <w:p>
            <w:pPr>
              <w:spacing w:line="240" w:lineRule="exact"/>
              <w:jc w:val="center"/>
              <w:rPr>
                <w:bCs/>
                <w:sz w:val="18"/>
                <w:szCs w:val="18"/>
              </w:rPr>
            </w:pPr>
            <w:r>
              <w:rPr>
                <w:bCs/>
                <w:snapToGrid w:val="0"/>
                <w:sz w:val="18"/>
                <w:szCs w:val="18"/>
              </w:rPr>
              <w:t>56</w:t>
            </w:r>
          </w:p>
        </w:tc>
        <w:tc>
          <w:tcPr>
            <w:tcW w:w="600" w:type="dxa"/>
            <w:vAlign w:val="center"/>
          </w:tcPr>
          <w:p>
            <w:pPr>
              <w:spacing w:line="240" w:lineRule="exact"/>
              <w:jc w:val="center"/>
              <w:rPr>
                <w:bCs/>
                <w:snapToGrid w:val="0"/>
                <w:sz w:val="18"/>
                <w:szCs w:val="18"/>
              </w:rPr>
            </w:pPr>
            <w:r>
              <w:rPr>
                <w:bCs/>
                <w:snapToGrid w:val="0"/>
                <w:sz w:val="18"/>
                <w:szCs w:val="18"/>
              </w:rPr>
              <w:t>48</w:t>
            </w:r>
          </w:p>
        </w:tc>
        <w:tc>
          <w:tcPr>
            <w:tcW w:w="653" w:type="dxa"/>
            <w:vAlign w:val="center"/>
          </w:tcPr>
          <w:p>
            <w:pPr>
              <w:spacing w:line="240" w:lineRule="exact"/>
              <w:jc w:val="center"/>
              <w:rPr>
                <w:bCs/>
                <w:snapToGrid w:val="0"/>
                <w:sz w:val="18"/>
                <w:szCs w:val="18"/>
              </w:rPr>
            </w:pPr>
            <w:r>
              <w:rPr>
                <w:bCs/>
                <w:snapToGrid w:val="0"/>
                <w:sz w:val="18"/>
                <w:szCs w:val="18"/>
              </w:rPr>
              <w:t>8</w:t>
            </w:r>
          </w:p>
        </w:tc>
        <w:tc>
          <w:tcPr>
            <w:tcW w:w="660" w:type="dxa"/>
            <w:vAlign w:val="center"/>
          </w:tcPr>
          <w:p>
            <w:pPr>
              <w:spacing w:line="240" w:lineRule="exact"/>
              <w:jc w:val="center"/>
              <w:rPr>
                <w:bCs/>
                <w:sz w:val="18"/>
                <w:szCs w:val="18"/>
              </w:rPr>
            </w:pPr>
            <w:r>
              <w:rPr>
                <w:bCs/>
                <w:snapToGrid w:val="0"/>
                <w:sz w:val="18"/>
                <w:szCs w:val="18"/>
              </w:rPr>
              <w:t>3</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BK037022</w:t>
            </w:r>
          </w:p>
        </w:tc>
        <w:tc>
          <w:tcPr>
            <w:tcW w:w="2873" w:type="dxa"/>
            <w:vAlign w:val="center"/>
          </w:tcPr>
          <w:p>
            <w:pPr>
              <w:spacing w:line="240" w:lineRule="exact"/>
              <w:rPr>
                <w:bCs/>
                <w:snapToGrid w:val="0"/>
                <w:sz w:val="18"/>
                <w:szCs w:val="18"/>
              </w:rPr>
            </w:pPr>
            <w:r>
              <w:rPr>
                <w:bCs/>
                <w:snapToGrid w:val="0"/>
                <w:sz w:val="18"/>
                <w:szCs w:val="18"/>
              </w:rPr>
              <w:t>经济法</w:t>
            </w:r>
          </w:p>
          <w:p>
            <w:pPr>
              <w:spacing w:line="240" w:lineRule="exact"/>
              <w:rPr>
                <w:bCs/>
                <w:sz w:val="18"/>
                <w:szCs w:val="18"/>
              </w:rPr>
            </w:pPr>
            <w:r>
              <w:rPr>
                <w:bCs/>
                <w:snapToGrid w:val="0"/>
                <w:sz w:val="18"/>
                <w:szCs w:val="18"/>
              </w:rPr>
              <w:t>Economic Law</w:t>
            </w:r>
          </w:p>
        </w:tc>
        <w:tc>
          <w:tcPr>
            <w:tcW w:w="465" w:type="dxa"/>
            <w:vAlign w:val="center"/>
          </w:tcPr>
          <w:p>
            <w:pPr>
              <w:spacing w:line="240" w:lineRule="exact"/>
              <w:jc w:val="center"/>
              <w:rPr>
                <w:bCs/>
                <w:sz w:val="18"/>
                <w:szCs w:val="18"/>
              </w:rPr>
            </w:pPr>
            <w:r>
              <w:rPr>
                <w:bCs/>
                <w:snapToGrid w:val="0"/>
                <w:sz w:val="18"/>
                <w:szCs w:val="18"/>
              </w:rPr>
              <w:t>4</w:t>
            </w:r>
          </w:p>
        </w:tc>
        <w:tc>
          <w:tcPr>
            <w:tcW w:w="615" w:type="dxa"/>
            <w:vAlign w:val="center"/>
          </w:tcPr>
          <w:p>
            <w:pPr>
              <w:spacing w:line="240" w:lineRule="exact"/>
              <w:jc w:val="center"/>
              <w:rPr>
                <w:bCs/>
                <w:sz w:val="18"/>
                <w:szCs w:val="18"/>
              </w:rPr>
            </w:pPr>
            <w:r>
              <w:rPr>
                <w:bCs/>
                <w:snapToGrid w:val="0"/>
                <w:sz w:val="18"/>
                <w:szCs w:val="18"/>
              </w:rPr>
              <w:t>64</w:t>
            </w:r>
          </w:p>
        </w:tc>
        <w:tc>
          <w:tcPr>
            <w:tcW w:w="600" w:type="dxa"/>
            <w:vAlign w:val="center"/>
          </w:tcPr>
          <w:p>
            <w:pPr>
              <w:spacing w:line="240" w:lineRule="exact"/>
              <w:jc w:val="center"/>
              <w:rPr>
                <w:bCs/>
                <w:snapToGrid w:val="0"/>
                <w:sz w:val="18"/>
                <w:szCs w:val="18"/>
              </w:rPr>
            </w:pPr>
            <w:r>
              <w:rPr>
                <w:bCs/>
                <w:snapToGrid w:val="0"/>
                <w:sz w:val="18"/>
                <w:szCs w:val="18"/>
              </w:rPr>
              <w:t>56</w:t>
            </w:r>
          </w:p>
        </w:tc>
        <w:tc>
          <w:tcPr>
            <w:tcW w:w="653" w:type="dxa"/>
            <w:vAlign w:val="center"/>
          </w:tcPr>
          <w:p>
            <w:pPr>
              <w:spacing w:line="240" w:lineRule="exact"/>
              <w:jc w:val="center"/>
              <w:rPr>
                <w:bCs/>
                <w:snapToGrid w:val="0"/>
                <w:sz w:val="18"/>
                <w:szCs w:val="18"/>
              </w:rPr>
            </w:pPr>
            <w:r>
              <w:rPr>
                <w:bCs/>
                <w:snapToGrid w:val="0"/>
                <w:sz w:val="18"/>
                <w:szCs w:val="18"/>
              </w:rPr>
              <w:t>8</w:t>
            </w:r>
          </w:p>
        </w:tc>
        <w:tc>
          <w:tcPr>
            <w:tcW w:w="660" w:type="dxa"/>
            <w:vAlign w:val="center"/>
          </w:tcPr>
          <w:p>
            <w:pPr>
              <w:spacing w:line="240" w:lineRule="exact"/>
              <w:jc w:val="center"/>
              <w:rPr>
                <w:bCs/>
                <w:sz w:val="18"/>
                <w:szCs w:val="18"/>
              </w:rPr>
            </w:pPr>
            <w:r>
              <w:rPr>
                <w:bCs/>
                <w:snapToGrid w:val="0"/>
                <w:sz w:val="18"/>
                <w:szCs w:val="18"/>
              </w:rPr>
              <w:t>4</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BK037010</w:t>
            </w:r>
          </w:p>
        </w:tc>
        <w:tc>
          <w:tcPr>
            <w:tcW w:w="2873" w:type="dxa"/>
            <w:vAlign w:val="center"/>
          </w:tcPr>
          <w:p>
            <w:pPr>
              <w:spacing w:line="240" w:lineRule="exact"/>
              <w:rPr>
                <w:bCs/>
                <w:snapToGrid w:val="0"/>
                <w:sz w:val="18"/>
                <w:szCs w:val="18"/>
              </w:rPr>
            </w:pPr>
            <w:r>
              <w:rPr>
                <w:bCs/>
                <w:snapToGrid w:val="0"/>
                <w:sz w:val="18"/>
                <w:szCs w:val="18"/>
              </w:rPr>
              <w:t>法律英语</w:t>
            </w:r>
          </w:p>
          <w:p>
            <w:pPr>
              <w:spacing w:line="240" w:lineRule="exact"/>
              <w:rPr>
                <w:bCs/>
                <w:sz w:val="18"/>
                <w:szCs w:val="18"/>
              </w:rPr>
            </w:pPr>
            <w:r>
              <w:rPr>
                <w:bCs/>
                <w:snapToGrid w:val="0"/>
                <w:sz w:val="18"/>
                <w:szCs w:val="18"/>
              </w:rPr>
              <w:t>Legal English</w:t>
            </w:r>
          </w:p>
        </w:tc>
        <w:tc>
          <w:tcPr>
            <w:tcW w:w="465" w:type="dxa"/>
            <w:vAlign w:val="center"/>
          </w:tcPr>
          <w:p>
            <w:pPr>
              <w:spacing w:line="240" w:lineRule="exact"/>
              <w:jc w:val="center"/>
              <w:rPr>
                <w:bCs/>
                <w:sz w:val="18"/>
                <w:szCs w:val="18"/>
              </w:rPr>
            </w:pPr>
            <w:r>
              <w:rPr>
                <w:bCs/>
                <w:snapToGrid w:val="0"/>
                <w:sz w:val="18"/>
                <w:szCs w:val="18"/>
              </w:rPr>
              <w:t>2.5</w:t>
            </w:r>
          </w:p>
        </w:tc>
        <w:tc>
          <w:tcPr>
            <w:tcW w:w="615" w:type="dxa"/>
            <w:vAlign w:val="center"/>
          </w:tcPr>
          <w:p>
            <w:pPr>
              <w:spacing w:line="240" w:lineRule="exact"/>
              <w:jc w:val="center"/>
              <w:rPr>
                <w:bCs/>
                <w:sz w:val="18"/>
                <w:szCs w:val="18"/>
              </w:rPr>
            </w:pPr>
            <w:r>
              <w:rPr>
                <w:bCs/>
                <w:snapToGrid w:val="0"/>
                <w:sz w:val="18"/>
                <w:szCs w:val="18"/>
              </w:rPr>
              <w:t>40</w:t>
            </w:r>
          </w:p>
        </w:tc>
        <w:tc>
          <w:tcPr>
            <w:tcW w:w="600" w:type="dxa"/>
            <w:vAlign w:val="center"/>
          </w:tcPr>
          <w:p>
            <w:pPr>
              <w:spacing w:line="240" w:lineRule="exact"/>
              <w:jc w:val="center"/>
              <w:rPr>
                <w:bCs/>
                <w:snapToGrid w:val="0"/>
                <w:sz w:val="18"/>
                <w:szCs w:val="18"/>
              </w:rPr>
            </w:pPr>
            <w:r>
              <w:rPr>
                <w:bCs/>
                <w:snapToGrid w:val="0"/>
                <w:sz w:val="18"/>
                <w:szCs w:val="18"/>
              </w:rPr>
              <w:t>34</w:t>
            </w:r>
          </w:p>
        </w:tc>
        <w:tc>
          <w:tcPr>
            <w:tcW w:w="653" w:type="dxa"/>
            <w:vAlign w:val="center"/>
          </w:tcPr>
          <w:p>
            <w:pPr>
              <w:spacing w:line="240" w:lineRule="exact"/>
              <w:jc w:val="center"/>
              <w:rPr>
                <w:bCs/>
                <w:snapToGrid w:val="0"/>
                <w:sz w:val="18"/>
                <w:szCs w:val="18"/>
              </w:rPr>
            </w:pPr>
            <w:r>
              <w:rPr>
                <w:bCs/>
                <w:snapToGrid w:val="0"/>
                <w:sz w:val="18"/>
                <w:szCs w:val="18"/>
              </w:rPr>
              <w:t>6</w:t>
            </w:r>
          </w:p>
        </w:tc>
        <w:tc>
          <w:tcPr>
            <w:tcW w:w="660" w:type="dxa"/>
            <w:vAlign w:val="center"/>
          </w:tcPr>
          <w:p>
            <w:pPr>
              <w:spacing w:line="240" w:lineRule="exact"/>
              <w:jc w:val="center"/>
              <w:rPr>
                <w:bCs/>
                <w:snapToGrid w:val="0"/>
                <w:sz w:val="18"/>
                <w:szCs w:val="18"/>
              </w:rPr>
            </w:pPr>
            <w:r>
              <w:rPr>
                <w:bCs/>
                <w:snapToGrid w:val="0"/>
                <w:sz w:val="18"/>
                <w:szCs w:val="18"/>
              </w:rPr>
              <w:t>4</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BK037035</w:t>
            </w:r>
          </w:p>
        </w:tc>
        <w:tc>
          <w:tcPr>
            <w:tcW w:w="2873" w:type="dxa"/>
            <w:vAlign w:val="center"/>
          </w:tcPr>
          <w:p>
            <w:pPr>
              <w:spacing w:line="240" w:lineRule="exact"/>
              <w:rPr>
                <w:bCs/>
                <w:snapToGrid w:val="0"/>
                <w:sz w:val="18"/>
                <w:szCs w:val="18"/>
              </w:rPr>
            </w:pPr>
            <w:r>
              <w:rPr>
                <w:bCs/>
                <w:snapToGrid w:val="0"/>
                <w:sz w:val="18"/>
                <w:szCs w:val="18"/>
              </w:rPr>
              <w:t>刑事诉讼法</w:t>
            </w:r>
          </w:p>
          <w:p>
            <w:pPr>
              <w:spacing w:line="240" w:lineRule="exact"/>
              <w:rPr>
                <w:bCs/>
                <w:sz w:val="18"/>
                <w:szCs w:val="18"/>
              </w:rPr>
            </w:pPr>
            <w:r>
              <w:rPr>
                <w:bCs/>
                <w:snapToGrid w:val="0"/>
                <w:sz w:val="18"/>
                <w:szCs w:val="18"/>
              </w:rPr>
              <w:t>Criminal Procedure Law</w:t>
            </w:r>
          </w:p>
        </w:tc>
        <w:tc>
          <w:tcPr>
            <w:tcW w:w="465" w:type="dxa"/>
            <w:vAlign w:val="center"/>
          </w:tcPr>
          <w:p>
            <w:pPr>
              <w:spacing w:line="240" w:lineRule="exact"/>
              <w:jc w:val="center"/>
              <w:rPr>
                <w:bCs/>
                <w:sz w:val="18"/>
                <w:szCs w:val="18"/>
              </w:rPr>
            </w:pPr>
            <w:r>
              <w:rPr>
                <w:bCs/>
                <w:snapToGrid w:val="0"/>
                <w:sz w:val="18"/>
                <w:szCs w:val="18"/>
              </w:rPr>
              <w:t>3.5</w:t>
            </w:r>
          </w:p>
        </w:tc>
        <w:tc>
          <w:tcPr>
            <w:tcW w:w="615" w:type="dxa"/>
            <w:vAlign w:val="center"/>
          </w:tcPr>
          <w:p>
            <w:pPr>
              <w:spacing w:line="240" w:lineRule="exact"/>
              <w:jc w:val="center"/>
              <w:rPr>
                <w:bCs/>
                <w:sz w:val="18"/>
                <w:szCs w:val="18"/>
              </w:rPr>
            </w:pPr>
            <w:r>
              <w:rPr>
                <w:bCs/>
                <w:snapToGrid w:val="0"/>
                <w:sz w:val="18"/>
                <w:szCs w:val="18"/>
              </w:rPr>
              <w:t>56</w:t>
            </w:r>
          </w:p>
        </w:tc>
        <w:tc>
          <w:tcPr>
            <w:tcW w:w="600" w:type="dxa"/>
            <w:vAlign w:val="center"/>
          </w:tcPr>
          <w:p>
            <w:pPr>
              <w:spacing w:line="240" w:lineRule="exact"/>
              <w:jc w:val="center"/>
              <w:rPr>
                <w:bCs/>
                <w:snapToGrid w:val="0"/>
                <w:sz w:val="18"/>
                <w:szCs w:val="18"/>
              </w:rPr>
            </w:pPr>
            <w:r>
              <w:rPr>
                <w:bCs/>
                <w:snapToGrid w:val="0"/>
                <w:sz w:val="18"/>
                <w:szCs w:val="18"/>
              </w:rPr>
              <w:t>48</w:t>
            </w:r>
          </w:p>
        </w:tc>
        <w:tc>
          <w:tcPr>
            <w:tcW w:w="653" w:type="dxa"/>
            <w:vAlign w:val="center"/>
          </w:tcPr>
          <w:p>
            <w:pPr>
              <w:spacing w:line="240" w:lineRule="exact"/>
              <w:jc w:val="center"/>
              <w:rPr>
                <w:bCs/>
                <w:snapToGrid w:val="0"/>
                <w:sz w:val="18"/>
                <w:szCs w:val="18"/>
              </w:rPr>
            </w:pPr>
            <w:r>
              <w:rPr>
                <w:bCs/>
                <w:snapToGrid w:val="0"/>
                <w:sz w:val="18"/>
                <w:szCs w:val="18"/>
              </w:rPr>
              <w:t>8</w:t>
            </w:r>
          </w:p>
        </w:tc>
        <w:tc>
          <w:tcPr>
            <w:tcW w:w="660" w:type="dxa"/>
            <w:vAlign w:val="center"/>
          </w:tcPr>
          <w:p>
            <w:pPr>
              <w:spacing w:line="240" w:lineRule="exact"/>
              <w:jc w:val="center"/>
              <w:rPr>
                <w:bCs/>
                <w:sz w:val="18"/>
                <w:szCs w:val="18"/>
              </w:rPr>
            </w:pPr>
            <w:r>
              <w:rPr>
                <w:bCs/>
                <w:snapToGrid w:val="0"/>
                <w:sz w:val="18"/>
                <w:szCs w:val="18"/>
              </w:rPr>
              <w:t>4</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BK037028</w:t>
            </w:r>
          </w:p>
        </w:tc>
        <w:tc>
          <w:tcPr>
            <w:tcW w:w="2873" w:type="dxa"/>
            <w:vAlign w:val="center"/>
          </w:tcPr>
          <w:p>
            <w:pPr>
              <w:spacing w:line="240" w:lineRule="exact"/>
              <w:rPr>
                <w:bCs/>
                <w:snapToGrid w:val="0"/>
                <w:sz w:val="18"/>
                <w:szCs w:val="18"/>
              </w:rPr>
            </w:pPr>
            <w:r>
              <w:rPr>
                <w:bCs/>
                <w:snapToGrid w:val="0"/>
                <w:sz w:val="18"/>
                <w:szCs w:val="18"/>
              </w:rPr>
              <w:t>商法2</w:t>
            </w:r>
          </w:p>
          <w:p>
            <w:pPr>
              <w:spacing w:line="240" w:lineRule="exact"/>
              <w:rPr>
                <w:bCs/>
                <w:sz w:val="18"/>
                <w:szCs w:val="18"/>
              </w:rPr>
            </w:pPr>
            <w:r>
              <w:rPr>
                <w:bCs/>
                <w:snapToGrid w:val="0"/>
                <w:sz w:val="18"/>
                <w:szCs w:val="18"/>
              </w:rPr>
              <w:t>Commercial Law 1</w:t>
            </w:r>
          </w:p>
        </w:tc>
        <w:tc>
          <w:tcPr>
            <w:tcW w:w="465" w:type="dxa"/>
            <w:vAlign w:val="center"/>
          </w:tcPr>
          <w:p>
            <w:pPr>
              <w:spacing w:line="240" w:lineRule="exact"/>
              <w:jc w:val="center"/>
              <w:rPr>
                <w:bCs/>
                <w:sz w:val="18"/>
                <w:szCs w:val="18"/>
              </w:rPr>
            </w:pPr>
            <w:r>
              <w:rPr>
                <w:bCs/>
                <w:snapToGrid w:val="0"/>
                <w:sz w:val="18"/>
                <w:szCs w:val="18"/>
              </w:rPr>
              <w:t>2.5</w:t>
            </w:r>
          </w:p>
        </w:tc>
        <w:tc>
          <w:tcPr>
            <w:tcW w:w="615" w:type="dxa"/>
            <w:vAlign w:val="center"/>
          </w:tcPr>
          <w:p>
            <w:pPr>
              <w:spacing w:line="240" w:lineRule="exact"/>
              <w:jc w:val="center"/>
              <w:rPr>
                <w:bCs/>
                <w:sz w:val="18"/>
                <w:szCs w:val="18"/>
              </w:rPr>
            </w:pPr>
            <w:r>
              <w:rPr>
                <w:bCs/>
                <w:snapToGrid w:val="0"/>
                <w:sz w:val="18"/>
                <w:szCs w:val="18"/>
              </w:rPr>
              <w:t>40</w:t>
            </w:r>
          </w:p>
        </w:tc>
        <w:tc>
          <w:tcPr>
            <w:tcW w:w="600" w:type="dxa"/>
            <w:vAlign w:val="center"/>
          </w:tcPr>
          <w:p>
            <w:pPr>
              <w:spacing w:line="240" w:lineRule="exact"/>
              <w:jc w:val="center"/>
              <w:rPr>
                <w:bCs/>
                <w:snapToGrid w:val="0"/>
                <w:sz w:val="18"/>
                <w:szCs w:val="18"/>
              </w:rPr>
            </w:pPr>
            <w:r>
              <w:rPr>
                <w:bCs/>
                <w:snapToGrid w:val="0"/>
                <w:sz w:val="18"/>
                <w:szCs w:val="18"/>
              </w:rPr>
              <w:t>34</w:t>
            </w:r>
          </w:p>
        </w:tc>
        <w:tc>
          <w:tcPr>
            <w:tcW w:w="653" w:type="dxa"/>
            <w:vAlign w:val="center"/>
          </w:tcPr>
          <w:p>
            <w:pPr>
              <w:spacing w:line="240" w:lineRule="exact"/>
              <w:jc w:val="center"/>
              <w:rPr>
                <w:bCs/>
                <w:snapToGrid w:val="0"/>
                <w:sz w:val="18"/>
                <w:szCs w:val="18"/>
              </w:rPr>
            </w:pPr>
            <w:r>
              <w:rPr>
                <w:bCs/>
                <w:snapToGrid w:val="0"/>
                <w:sz w:val="18"/>
                <w:szCs w:val="18"/>
              </w:rPr>
              <w:t>6</w:t>
            </w:r>
          </w:p>
        </w:tc>
        <w:tc>
          <w:tcPr>
            <w:tcW w:w="660" w:type="dxa"/>
            <w:vAlign w:val="center"/>
          </w:tcPr>
          <w:p>
            <w:pPr>
              <w:spacing w:line="240" w:lineRule="exact"/>
              <w:jc w:val="center"/>
              <w:rPr>
                <w:bCs/>
                <w:sz w:val="18"/>
                <w:szCs w:val="18"/>
              </w:rPr>
            </w:pPr>
            <w:r>
              <w:rPr>
                <w:bCs/>
                <w:snapToGrid w:val="0"/>
                <w:sz w:val="18"/>
                <w:szCs w:val="18"/>
              </w:rPr>
              <w:t>4</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BK037036</w:t>
            </w:r>
          </w:p>
        </w:tc>
        <w:tc>
          <w:tcPr>
            <w:tcW w:w="2873" w:type="dxa"/>
            <w:vAlign w:val="center"/>
          </w:tcPr>
          <w:p>
            <w:pPr>
              <w:spacing w:line="240" w:lineRule="exact"/>
              <w:rPr>
                <w:bCs/>
                <w:snapToGrid w:val="0"/>
                <w:sz w:val="18"/>
                <w:szCs w:val="18"/>
              </w:rPr>
            </w:pPr>
            <w:r>
              <w:rPr>
                <w:bCs/>
                <w:snapToGrid w:val="0"/>
                <w:sz w:val="18"/>
                <w:szCs w:val="18"/>
              </w:rPr>
              <w:t xml:space="preserve">行政法与行政诉讼法 </w:t>
            </w:r>
          </w:p>
        </w:tc>
        <w:tc>
          <w:tcPr>
            <w:tcW w:w="465" w:type="dxa"/>
            <w:vAlign w:val="center"/>
          </w:tcPr>
          <w:p>
            <w:pPr>
              <w:spacing w:line="240" w:lineRule="exact"/>
              <w:jc w:val="center"/>
              <w:rPr>
                <w:bCs/>
                <w:sz w:val="18"/>
                <w:szCs w:val="18"/>
              </w:rPr>
            </w:pPr>
            <w:r>
              <w:rPr>
                <w:bCs/>
                <w:snapToGrid w:val="0"/>
                <w:sz w:val="18"/>
                <w:szCs w:val="18"/>
              </w:rPr>
              <w:t>4.5</w:t>
            </w:r>
          </w:p>
        </w:tc>
        <w:tc>
          <w:tcPr>
            <w:tcW w:w="615" w:type="dxa"/>
            <w:vAlign w:val="center"/>
          </w:tcPr>
          <w:p>
            <w:pPr>
              <w:spacing w:line="240" w:lineRule="exact"/>
              <w:jc w:val="center"/>
              <w:rPr>
                <w:bCs/>
                <w:sz w:val="18"/>
                <w:szCs w:val="18"/>
              </w:rPr>
            </w:pPr>
            <w:r>
              <w:rPr>
                <w:bCs/>
                <w:snapToGrid w:val="0"/>
                <w:sz w:val="18"/>
                <w:szCs w:val="18"/>
              </w:rPr>
              <w:t>72</w:t>
            </w:r>
          </w:p>
        </w:tc>
        <w:tc>
          <w:tcPr>
            <w:tcW w:w="600" w:type="dxa"/>
            <w:vAlign w:val="center"/>
          </w:tcPr>
          <w:p>
            <w:pPr>
              <w:spacing w:line="240" w:lineRule="exact"/>
              <w:jc w:val="center"/>
              <w:rPr>
                <w:bCs/>
                <w:snapToGrid w:val="0"/>
                <w:sz w:val="18"/>
                <w:szCs w:val="18"/>
              </w:rPr>
            </w:pPr>
            <w:r>
              <w:rPr>
                <w:bCs/>
                <w:snapToGrid w:val="0"/>
                <w:sz w:val="18"/>
                <w:szCs w:val="18"/>
              </w:rPr>
              <w:t>64</w:t>
            </w:r>
          </w:p>
        </w:tc>
        <w:tc>
          <w:tcPr>
            <w:tcW w:w="653" w:type="dxa"/>
            <w:vAlign w:val="center"/>
          </w:tcPr>
          <w:p>
            <w:pPr>
              <w:spacing w:line="240" w:lineRule="exact"/>
              <w:jc w:val="center"/>
              <w:rPr>
                <w:bCs/>
                <w:snapToGrid w:val="0"/>
                <w:sz w:val="18"/>
                <w:szCs w:val="18"/>
              </w:rPr>
            </w:pPr>
            <w:r>
              <w:rPr>
                <w:bCs/>
                <w:snapToGrid w:val="0"/>
                <w:sz w:val="18"/>
                <w:szCs w:val="18"/>
              </w:rPr>
              <w:t>8</w:t>
            </w:r>
          </w:p>
        </w:tc>
        <w:tc>
          <w:tcPr>
            <w:tcW w:w="660" w:type="dxa"/>
            <w:vAlign w:val="center"/>
          </w:tcPr>
          <w:p>
            <w:pPr>
              <w:spacing w:line="240" w:lineRule="exact"/>
              <w:jc w:val="center"/>
              <w:rPr>
                <w:bCs/>
                <w:sz w:val="18"/>
                <w:szCs w:val="18"/>
              </w:rPr>
            </w:pPr>
            <w:r>
              <w:rPr>
                <w:bCs/>
                <w:snapToGrid w:val="0"/>
                <w:sz w:val="18"/>
                <w:szCs w:val="18"/>
              </w:rPr>
              <w:t>5</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BK037019</w:t>
            </w:r>
          </w:p>
        </w:tc>
        <w:tc>
          <w:tcPr>
            <w:tcW w:w="2873" w:type="dxa"/>
            <w:vAlign w:val="center"/>
          </w:tcPr>
          <w:p>
            <w:pPr>
              <w:spacing w:line="240" w:lineRule="exact"/>
              <w:rPr>
                <w:bCs/>
                <w:snapToGrid w:val="0"/>
                <w:sz w:val="18"/>
                <w:szCs w:val="18"/>
              </w:rPr>
            </w:pPr>
            <w:r>
              <w:rPr>
                <w:bCs/>
                <w:snapToGrid w:val="0"/>
                <w:sz w:val="18"/>
                <w:szCs w:val="18"/>
              </w:rPr>
              <w:t>环境资源法</w:t>
            </w:r>
          </w:p>
          <w:p>
            <w:pPr>
              <w:spacing w:line="240" w:lineRule="exact"/>
              <w:rPr>
                <w:bCs/>
                <w:sz w:val="18"/>
                <w:szCs w:val="18"/>
              </w:rPr>
            </w:pPr>
            <w:r>
              <w:rPr>
                <w:bCs/>
                <w:snapToGrid w:val="0"/>
                <w:sz w:val="18"/>
                <w:szCs w:val="18"/>
              </w:rPr>
              <w:t>Environmental Law</w:t>
            </w:r>
          </w:p>
        </w:tc>
        <w:tc>
          <w:tcPr>
            <w:tcW w:w="465" w:type="dxa"/>
            <w:vAlign w:val="center"/>
          </w:tcPr>
          <w:p>
            <w:pPr>
              <w:spacing w:line="240" w:lineRule="exact"/>
              <w:jc w:val="center"/>
              <w:rPr>
                <w:bCs/>
                <w:sz w:val="18"/>
                <w:szCs w:val="18"/>
              </w:rPr>
            </w:pPr>
            <w:r>
              <w:rPr>
                <w:bCs/>
                <w:snapToGrid w:val="0"/>
                <w:sz w:val="18"/>
                <w:szCs w:val="18"/>
              </w:rPr>
              <w:t>3</w:t>
            </w:r>
          </w:p>
        </w:tc>
        <w:tc>
          <w:tcPr>
            <w:tcW w:w="615" w:type="dxa"/>
            <w:vAlign w:val="center"/>
          </w:tcPr>
          <w:p>
            <w:pPr>
              <w:spacing w:line="240" w:lineRule="exact"/>
              <w:jc w:val="center"/>
              <w:rPr>
                <w:bCs/>
                <w:sz w:val="18"/>
                <w:szCs w:val="18"/>
              </w:rPr>
            </w:pPr>
            <w:r>
              <w:rPr>
                <w:bCs/>
                <w:snapToGrid w:val="0"/>
                <w:sz w:val="18"/>
                <w:szCs w:val="18"/>
              </w:rPr>
              <w:t>48</w:t>
            </w:r>
          </w:p>
        </w:tc>
        <w:tc>
          <w:tcPr>
            <w:tcW w:w="600" w:type="dxa"/>
            <w:vAlign w:val="center"/>
          </w:tcPr>
          <w:p>
            <w:pPr>
              <w:spacing w:line="240" w:lineRule="exact"/>
              <w:jc w:val="center"/>
              <w:rPr>
                <w:bCs/>
                <w:snapToGrid w:val="0"/>
                <w:sz w:val="18"/>
                <w:szCs w:val="18"/>
              </w:rPr>
            </w:pPr>
            <w:r>
              <w:rPr>
                <w:bCs/>
                <w:snapToGrid w:val="0"/>
                <w:sz w:val="18"/>
                <w:szCs w:val="18"/>
              </w:rPr>
              <w:t>42</w:t>
            </w:r>
          </w:p>
        </w:tc>
        <w:tc>
          <w:tcPr>
            <w:tcW w:w="653" w:type="dxa"/>
            <w:vAlign w:val="center"/>
          </w:tcPr>
          <w:p>
            <w:pPr>
              <w:spacing w:line="240" w:lineRule="exact"/>
              <w:jc w:val="center"/>
              <w:rPr>
                <w:bCs/>
                <w:snapToGrid w:val="0"/>
                <w:sz w:val="18"/>
                <w:szCs w:val="18"/>
              </w:rPr>
            </w:pPr>
            <w:r>
              <w:rPr>
                <w:bCs/>
                <w:snapToGrid w:val="0"/>
                <w:sz w:val="18"/>
                <w:szCs w:val="18"/>
              </w:rPr>
              <w:t>6</w:t>
            </w:r>
          </w:p>
        </w:tc>
        <w:tc>
          <w:tcPr>
            <w:tcW w:w="660" w:type="dxa"/>
            <w:vAlign w:val="center"/>
          </w:tcPr>
          <w:p>
            <w:pPr>
              <w:spacing w:line="240" w:lineRule="exact"/>
              <w:jc w:val="center"/>
              <w:rPr>
                <w:bCs/>
                <w:sz w:val="18"/>
                <w:szCs w:val="18"/>
              </w:rPr>
            </w:pPr>
            <w:r>
              <w:rPr>
                <w:bCs/>
                <w:snapToGrid w:val="0"/>
                <w:sz w:val="18"/>
                <w:szCs w:val="18"/>
              </w:rPr>
              <w:t>5</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BK037023</w:t>
            </w:r>
          </w:p>
        </w:tc>
        <w:tc>
          <w:tcPr>
            <w:tcW w:w="2873" w:type="dxa"/>
            <w:vAlign w:val="center"/>
          </w:tcPr>
          <w:p>
            <w:pPr>
              <w:spacing w:line="240" w:lineRule="exact"/>
              <w:rPr>
                <w:bCs/>
                <w:snapToGrid w:val="0"/>
                <w:sz w:val="18"/>
                <w:szCs w:val="18"/>
              </w:rPr>
            </w:pPr>
            <w:r>
              <w:rPr>
                <w:bCs/>
                <w:snapToGrid w:val="0"/>
                <w:sz w:val="18"/>
                <w:szCs w:val="18"/>
              </w:rPr>
              <w:t>劳动与社会保障法</w:t>
            </w:r>
          </w:p>
          <w:p>
            <w:pPr>
              <w:spacing w:line="240" w:lineRule="exact"/>
              <w:rPr>
                <w:bCs/>
                <w:sz w:val="18"/>
                <w:szCs w:val="18"/>
              </w:rPr>
            </w:pPr>
            <w:r>
              <w:rPr>
                <w:bCs/>
                <w:snapToGrid w:val="0"/>
                <w:sz w:val="18"/>
                <w:szCs w:val="18"/>
              </w:rPr>
              <w:t>Labor and Social Security Law</w:t>
            </w:r>
          </w:p>
        </w:tc>
        <w:tc>
          <w:tcPr>
            <w:tcW w:w="465" w:type="dxa"/>
            <w:vAlign w:val="center"/>
          </w:tcPr>
          <w:p>
            <w:pPr>
              <w:spacing w:line="240" w:lineRule="exact"/>
              <w:jc w:val="center"/>
              <w:rPr>
                <w:bCs/>
                <w:sz w:val="18"/>
                <w:szCs w:val="18"/>
              </w:rPr>
            </w:pPr>
            <w:r>
              <w:rPr>
                <w:bCs/>
                <w:snapToGrid w:val="0"/>
                <w:sz w:val="18"/>
                <w:szCs w:val="18"/>
              </w:rPr>
              <w:t>2.5</w:t>
            </w:r>
          </w:p>
        </w:tc>
        <w:tc>
          <w:tcPr>
            <w:tcW w:w="615" w:type="dxa"/>
            <w:vAlign w:val="center"/>
          </w:tcPr>
          <w:p>
            <w:pPr>
              <w:spacing w:line="240" w:lineRule="exact"/>
              <w:jc w:val="center"/>
              <w:rPr>
                <w:bCs/>
                <w:sz w:val="18"/>
                <w:szCs w:val="18"/>
              </w:rPr>
            </w:pPr>
            <w:r>
              <w:rPr>
                <w:bCs/>
                <w:snapToGrid w:val="0"/>
                <w:sz w:val="18"/>
                <w:szCs w:val="18"/>
              </w:rPr>
              <w:t>40</w:t>
            </w:r>
          </w:p>
        </w:tc>
        <w:tc>
          <w:tcPr>
            <w:tcW w:w="600" w:type="dxa"/>
            <w:vAlign w:val="center"/>
          </w:tcPr>
          <w:p>
            <w:pPr>
              <w:spacing w:line="240" w:lineRule="exact"/>
              <w:jc w:val="center"/>
              <w:rPr>
                <w:bCs/>
                <w:snapToGrid w:val="0"/>
                <w:sz w:val="18"/>
                <w:szCs w:val="18"/>
              </w:rPr>
            </w:pPr>
            <w:r>
              <w:rPr>
                <w:bCs/>
                <w:snapToGrid w:val="0"/>
                <w:sz w:val="18"/>
                <w:szCs w:val="18"/>
              </w:rPr>
              <w:t>34</w:t>
            </w:r>
          </w:p>
        </w:tc>
        <w:tc>
          <w:tcPr>
            <w:tcW w:w="653" w:type="dxa"/>
            <w:vAlign w:val="center"/>
          </w:tcPr>
          <w:p>
            <w:pPr>
              <w:spacing w:line="240" w:lineRule="exact"/>
              <w:jc w:val="center"/>
              <w:rPr>
                <w:bCs/>
                <w:snapToGrid w:val="0"/>
                <w:sz w:val="18"/>
                <w:szCs w:val="18"/>
              </w:rPr>
            </w:pPr>
            <w:r>
              <w:rPr>
                <w:bCs/>
                <w:snapToGrid w:val="0"/>
                <w:sz w:val="18"/>
                <w:szCs w:val="18"/>
              </w:rPr>
              <w:t>6</w:t>
            </w:r>
          </w:p>
        </w:tc>
        <w:tc>
          <w:tcPr>
            <w:tcW w:w="660" w:type="dxa"/>
            <w:vAlign w:val="center"/>
          </w:tcPr>
          <w:p>
            <w:pPr>
              <w:spacing w:line="240" w:lineRule="exact"/>
              <w:jc w:val="center"/>
              <w:rPr>
                <w:bCs/>
                <w:sz w:val="18"/>
                <w:szCs w:val="18"/>
              </w:rPr>
            </w:pPr>
            <w:r>
              <w:rPr>
                <w:bCs/>
                <w:snapToGrid w:val="0"/>
                <w:sz w:val="18"/>
                <w:szCs w:val="18"/>
              </w:rPr>
              <w:t>5</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10" w:hRule="atLeas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sz w:val="18"/>
                <w:szCs w:val="18"/>
              </w:rPr>
            </w:pPr>
            <w:r>
              <w:rPr>
                <w:sz w:val="18"/>
                <w:szCs w:val="18"/>
              </w:rPr>
              <w:t>BK037043</w:t>
            </w:r>
          </w:p>
        </w:tc>
        <w:tc>
          <w:tcPr>
            <w:tcW w:w="2873" w:type="dxa"/>
            <w:vAlign w:val="center"/>
          </w:tcPr>
          <w:p>
            <w:pPr>
              <w:spacing w:line="240" w:lineRule="exact"/>
              <w:rPr>
                <w:bCs/>
                <w:snapToGrid w:val="0"/>
                <w:sz w:val="18"/>
                <w:szCs w:val="18"/>
              </w:rPr>
            </w:pPr>
            <w:r>
              <w:rPr>
                <w:bCs/>
                <w:snapToGrid w:val="0"/>
                <w:sz w:val="18"/>
                <w:szCs w:val="18"/>
              </w:rPr>
              <w:t>习近平法治思想概论</w:t>
            </w:r>
          </w:p>
        </w:tc>
        <w:tc>
          <w:tcPr>
            <w:tcW w:w="465" w:type="dxa"/>
            <w:vAlign w:val="center"/>
          </w:tcPr>
          <w:p>
            <w:pPr>
              <w:spacing w:line="240" w:lineRule="exact"/>
              <w:jc w:val="center"/>
              <w:rPr>
                <w:bCs/>
                <w:snapToGrid w:val="0"/>
                <w:sz w:val="18"/>
                <w:szCs w:val="18"/>
              </w:rPr>
            </w:pPr>
            <w:r>
              <w:rPr>
                <w:bCs/>
                <w:snapToGrid w:val="0"/>
                <w:sz w:val="18"/>
                <w:szCs w:val="18"/>
              </w:rPr>
              <w:t>1</w:t>
            </w:r>
          </w:p>
        </w:tc>
        <w:tc>
          <w:tcPr>
            <w:tcW w:w="615" w:type="dxa"/>
            <w:vAlign w:val="center"/>
          </w:tcPr>
          <w:p>
            <w:pPr>
              <w:spacing w:line="240" w:lineRule="exact"/>
              <w:jc w:val="center"/>
              <w:rPr>
                <w:bCs/>
                <w:snapToGrid w:val="0"/>
                <w:sz w:val="18"/>
                <w:szCs w:val="18"/>
              </w:rPr>
            </w:pPr>
            <w:r>
              <w:rPr>
                <w:bCs/>
                <w:snapToGrid w:val="0"/>
                <w:sz w:val="18"/>
                <w:szCs w:val="18"/>
              </w:rPr>
              <w:t>16</w:t>
            </w:r>
          </w:p>
        </w:tc>
        <w:tc>
          <w:tcPr>
            <w:tcW w:w="600" w:type="dxa"/>
            <w:vAlign w:val="center"/>
          </w:tcPr>
          <w:p>
            <w:pPr>
              <w:spacing w:line="240" w:lineRule="exact"/>
              <w:jc w:val="center"/>
              <w:rPr>
                <w:bCs/>
                <w:snapToGrid w:val="0"/>
                <w:sz w:val="18"/>
                <w:szCs w:val="18"/>
              </w:rPr>
            </w:pPr>
            <w:r>
              <w:rPr>
                <w:bCs/>
                <w:snapToGrid w:val="0"/>
                <w:sz w:val="18"/>
                <w:szCs w:val="18"/>
              </w:rPr>
              <w:t>16</w:t>
            </w:r>
          </w:p>
        </w:tc>
        <w:tc>
          <w:tcPr>
            <w:tcW w:w="653" w:type="dxa"/>
            <w:vAlign w:val="center"/>
          </w:tcPr>
          <w:p>
            <w:pPr>
              <w:spacing w:line="240" w:lineRule="exact"/>
              <w:jc w:val="center"/>
              <w:rPr>
                <w:bCs/>
                <w:snapToGrid w:val="0"/>
                <w:sz w:val="18"/>
                <w:szCs w:val="18"/>
              </w:rPr>
            </w:pPr>
            <w:r>
              <w:rPr>
                <w:bCs/>
                <w:snapToGrid w:val="0"/>
                <w:sz w:val="18"/>
                <w:szCs w:val="18"/>
              </w:rPr>
              <w:t>0</w:t>
            </w:r>
          </w:p>
        </w:tc>
        <w:tc>
          <w:tcPr>
            <w:tcW w:w="660" w:type="dxa"/>
            <w:vAlign w:val="center"/>
          </w:tcPr>
          <w:p>
            <w:pPr>
              <w:spacing w:line="240" w:lineRule="exact"/>
              <w:jc w:val="center"/>
              <w:rPr>
                <w:bCs/>
                <w:snapToGrid w:val="0"/>
                <w:sz w:val="18"/>
                <w:szCs w:val="18"/>
              </w:rPr>
            </w:pPr>
            <w:r>
              <w:rPr>
                <w:bCs/>
                <w:snapToGrid w:val="0"/>
                <w:sz w:val="18"/>
                <w:szCs w:val="18"/>
              </w:rPr>
              <w:t>5</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75" w:hRule="atLeast"/>
          <w:jc w:val="center"/>
        </w:trPr>
        <w:tc>
          <w:tcPr>
            <w:tcW w:w="992" w:type="dxa"/>
            <w:vMerge w:val="continue"/>
            <w:tcBorders>
              <w:bottom w:val="single" w:color="auto" w:sz="4" w:space="0"/>
              <w:right w:val="single" w:color="auto" w:sz="4" w:space="0"/>
            </w:tcBorders>
            <w:vAlign w:val="center"/>
          </w:tcPr>
          <w:p>
            <w:pPr>
              <w:spacing w:line="240" w:lineRule="exact"/>
              <w:ind w:left="-120" w:leftChars="-50" w:right="-120" w:rightChars="-50"/>
              <w:jc w:val="center"/>
              <w:rPr>
                <w:bCs/>
                <w:spacing w:val="-8"/>
                <w:position w:val="-8"/>
                <w:szCs w:val="21"/>
              </w:rPr>
            </w:pPr>
          </w:p>
        </w:tc>
        <w:tc>
          <w:tcPr>
            <w:tcW w:w="3915" w:type="dxa"/>
            <w:gridSpan w:val="2"/>
            <w:tcBorders>
              <w:left w:val="single" w:color="auto" w:sz="4" w:space="0"/>
              <w:bottom w:val="single" w:color="auto" w:sz="4" w:space="0"/>
            </w:tcBorders>
            <w:vAlign w:val="center"/>
          </w:tcPr>
          <w:p>
            <w:pPr>
              <w:spacing w:line="240" w:lineRule="exact"/>
              <w:ind w:left="-60" w:leftChars="-25" w:right="-60" w:rightChars="-25"/>
              <w:jc w:val="center"/>
              <w:rPr>
                <w:bCs/>
                <w:szCs w:val="21"/>
              </w:rPr>
            </w:pPr>
            <w:r>
              <w:rPr>
                <w:bCs/>
                <w:szCs w:val="21"/>
              </w:rPr>
              <w:t>学分小计</w:t>
            </w:r>
          </w:p>
        </w:tc>
        <w:tc>
          <w:tcPr>
            <w:tcW w:w="3887" w:type="dxa"/>
            <w:gridSpan w:val="6"/>
            <w:vAlign w:val="center"/>
          </w:tcPr>
          <w:p>
            <w:pPr>
              <w:spacing w:line="240" w:lineRule="exact"/>
              <w:jc w:val="center"/>
              <w:rPr>
                <w:sz w:val="18"/>
                <w:szCs w:val="18"/>
              </w:rPr>
            </w:pPr>
            <w:r>
              <w:rPr>
                <w:sz w:val="18"/>
                <w:szCs w:val="18"/>
              </w:rPr>
              <w:t>57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restart"/>
            <w:tcBorders>
              <w:top w:val="single" w:color="auto" w:sz="4" w:space="0"/>
              <w:right w:val="single" w:color="auto" w:sz="4" w:space="0"/>
            </w:tcBorders>
            <w:vAlign w:val="center"/>
          </w:tcPr>
          <w:p>
            <w:pPr>
              <w:adjustRightInd w:val="0"/>
              <w:snapToGrid w:val="0"/>
              <w:spacing w:line="240" w:lineRule="exact"/>
              <w:ind w:left="-120" w:leftChars="-50" w:right="-120" w:rightChars="-50"/>
              <w:jc w:val="center"/>
              <w:rPr>
                <w:bCs/>
                <w:snapToGrid w:val="0"/>
                <w:szCs w:val="21"/>
              </w:rPr>
            </w:pPr>
            <w:r>
              <w:rPr>
                <w:bCs/>
                <w:snapToGrid w:val="0"/>
                <w:szCs w:val="21"/>
              </w:rPr>
              <w:t>专</w:t>
            </w:r>
          </w:p>
          <w:p>
            <w:pPr>
              <w:adjustRightInd w:val="0"/>
              <w:snapToGrid w:val="0"/>
              <w:spacing w:line="240" w:lineRule="exact"/>
              <w:ind w:left="-120" w:leftChars="-50" w:right="-120" w:rightChars="-50"/>
              <w:jc w:val="center"/>
              <w:rPr>
                <w:bCs/>
                <w:snapToGrid w:val="0"/>
                <w:szCs w:val="21"/>
              </w:rPr>
            </w:pPr>
            <w:r>
              <w:rPr>
                <w:bCs/>
                <w:snapToGrid w:val="0"/>
                <w:szCs w:val="21"/>
              </w:rPr>
              <w:t>业</w:t>
            </w:r>
          </w:p>
          <w:p>
            <w:pPr>
              <w:adjustRightInd w:val="0"/>
              <w:snapToGrid w:val="0"/>
              <w:spacing w:line="240" w:lineRule="exact"/>
              <w:ind w:left="-120" w:leftChars="-50" w:right="-120" w:rightChars="-50"/>
              <w:jc w:val="center"/>
              <w:rPr>
                <w:bCs/>
                <w:snapToGrid w:val="0"/>
                <w:szCs w:val="21"/>
              </w:rPr>
            </w:pPr>
            <w:r>
              <w:rPr>
                <w:bCs/>
                <w:snapToGrid w:val="0"/>
                <w:szCs w:val="21"/>
              </w:rPr>
              <w:t>核</w:t>
            </w:r>
          </w:p>
          <w:p>
            <w:pPr>
              <w:adjustRightInd w:val="0"/>
              <w:snapToGrid w:val="0"/>
              <w:spacing w:line="240" w:lineRule="exact"/>
              <w:ind w:left="-120" w:leftChars="-50" w:right="-120" w:rightChars="-50"/>
              <w:jc w:val="center"/>
              <w:rPr>
                <w:bCs/>
                <w:snapToGrid w:val="0"/>
                <w:szCs w:val="21"/>
              </w:rPr>
            </w:pPr>
            <w:r>
              <w:rPr>
                <w:bCs/>
                <w:snapToGrid w:val="0"/>
                <w:szCs w:val="21"/>
              </w:rPr>
              <w:t>心</w:t>
            </w:r>
          </w:p>
          <w:p>
            <w:pPr>
              <w:adjustRightInd w:val="0"/>
              <w:snapToGrid w:val="0"/>
              <w:spacing w:line="240" w:lineRule="exact"/>
              <w:ind w:left="-120" w:leftChars="-50" w:right="-120" w:rightChars="-50"/>
              <w:jc w:val="center"/>
              <w:rPr>
                <w:bCs/>
                <w:spacing w:val="-8"/>
                <w:position w:val="-8"/>
                <w:szCs w:val="21"/>
              </w:rPr>
            </w:pPr>
            <w:r>
              <w:rPr>
                <w:bCs/>
                <w:snapToGrid w:val="0"/>
                <w:szCs w:val="21"/>
              </w:rPr>
              <w:t>课</w:t>
            </w:r>
          </w:p>
        </w:tc>
        <w:tc>
          <w:tcPr>
            <w:tcW w:w="1042" w:type="dxa"/>
            <w:tcBorders>
              <w:top w:val="single" w:color="auto" w:sz="4" w:space="0"/>
              <w:left w:val="single" w:color="auto" w:sz="4" w:space="0"/>
            </w:tcBorders>
            <w:vAlign w:val="center"/>
          </w:tcPr>
          <w:p>
            <w:pPr>
              <w:spacing w:line="240" w:lineRule="exact"/>
              <w:jc w:val="center"/>
              <w:rPr>
                <w:bCs/>
                <w:sz w:val="18"/>
                <w:szCs w:val="18"/>
              </w:rPr>
            </w:pPr>
            <w:r>
              <w:rPr>
                <w:sz w:val="18"/>
                <w:szCs w:val="18"/>
              </w:rPr>
              <w:t>BK037020</w:t>
            </w:r>
          </w:p>
        </w:tc>
        <w:tc>
          <w:tcPr>
            <w:tcW w:w="2873" w:type="dxa"/>
            <w:tcBorders>
              <w:top w:val="single" w:color="auto" w:sz="4" w:space="0"/>
            </w:tcBorders>
            <w:vAlign w:val="center"/>
          </w:tcPr>
          <w:p>
            <w:pPr>
              <w:spacing w:line="240" w:lineRule="exact"/>
              <w:rPr>
                <w:bCs/>
                <w:snapToGrid w:val="0"/>
                <w:sz w:val="18"/>
                <w:szCs w:val="18"/>
              </w:rPr>
            </w:pPr>
            <w:r>
              <w:rPr>
                <w:bCs/>
                <w:snapToGrid w:val="0"/>
                <w:sz w:val="18"/>
                <w:szCs w:val="18"/>
              </w:rPr>
              <w:t>婚姻家庭继承法</w:t>
            </w:r>
          </w:p>
          <w:p>
            <w:pPr>
              <w:spacing w:line="240" w:lineRule="exact"/>
              <w:rPr>
                <w:bCs/>
                <w:sz w:val="18"/>
                <w:szCs w:val="18"/>
              </w:rPr>
            </w:pPr>
            <w:r>
              <w:rPr>
                <w:bCs/>
                <w:snapToGrid w:val="0"/>
                <w:sz w:val="18"/>
                <w:szCs w:val="18"/>
              </w:rPr>
              <w:t>Marital-family and Succession Law</w:t>
            </w:r>
          </w:p>
        </w:tc>
        <w:tc>
          <w:tcPr>
            <w:tcW w:w="465" w:type="dxa"/>
            <w:vAlign w:val="center"/>
          </w:tcPr>
          <w:p>
            <w:pPr>
              <w:spacing w:line="240" w:lineRule="exact"/>
              <w:jc w:val="center"/>
              <w:rPr>
                <w:bCs/>
                <w:sz w:val="18"/>
                <w:szCs w:val="18"/>
              </w:rPr>
            </w:pPr>
            <w:r>
              <w:rPr>
                <w:bCs/>
                <w:snapToGrid w:val="0"/>
                <w:sz w:val="18"/>
                <w:szCs w:val="18"/>
              </w:rPr>
              <w:t>2</w:t>
            </w:r>
          </w:p>
        </w:tc>
        <w:tc>
          <w:tcPr>
            <w:tcW w:w="615" w:type="dxa"/>
            <w:vAlign w:val="center"/>
          </w:tcPr>
          <w:p>
            <w:pPr>
              <w:spacing w:line="240" w:lineRule="exact"/>
              <w:jc w:val="center"/>
              <w:rPr>
                <w:bCs/>
                <w:sz w:val="18"/>
                <w:szCs w:val="18"/>
              </w:rPr>
            </w:pPr>
            <w:r>
              <w:rPr>
                <w:bCs/>
                <w:snapToGrid w:val="0"/>
                <w:sz w:val="18"/>
                <w:szCs w:val="18"/>
              </w:rPr>
              <w:t>32</w:t>
            </w:r>
          </w:p>
        </w:tc>
        <w:tc>
          <w:tcPr>
            <w:tcW w:w="600" w:type="dxa"/>
            <w:vAlign w:val="center"/>
          </w:tcPr>
          <w:p>
            <w:pPr>
              <w:spacing w:line="240" w:lineRule="exact"/>
              <w:jc w:val="center"/>
              <w:rPr>
                <w:bCs/>
                <w:sz w:val="18"/>
                <w:szCs w:val="18"/>
              </w:rPr>
            </w:pPr>
            <w:r>
              <w:rPr>
                <w:bCs/>
                <w:snapToGrid w:val="0"/>
                <w:sz w:val="18"/>
                <w:szCs w:val="18"/>
              </w:rPr>
              <w:t>26</w:t>
            </w:r>
          </w:p>
        </w:tc>
        <w:tc>
          <w:tcPr>
            <w:tcW w:w="653" w:type="dxa"/>
            <w:vAlign w:val="center"/>
          </w:tcPr>
          <w:p>
            <w:pPr>
              <w:spacing w:line="240" w:lineRule="exact"/>
              <w:jc w:val="center"/>
              <w:rPr>
                <w:bCs/>
                <w:sz w:val="18"/>
                <w:szCs w:val="18"/>
              </w:rPr>
            </w:pPr>
            <w:r>
              <w:rPr>
                <w:bCs/>
                <w:snapToGrid w:val="0"/>
                <w:sz w:val="18"/>
                <w:szCs w:val="18"/>
              </w:rPr>
              <w:t>6</w:t>
            </w:r>
          </w:p>
        </w:tc>
        <w:tc>
          <w:tcPr>
            <w:tcW w:w="660" w:type="dxa"/>
            <w:vAlign w:val="center"/>
          </w:tcPr>
          <w:p>
            <w:pPr>
              <w:spacing w:line="240" w:lineRule="exact"/>
              <w:jc w:val="center"/>
              <w:rPr>
                <w:bCs/>
                <w:sz w:val="18"/>
                <w:szCs w:val="18"/>
              </w:rPr>
            </w:pPr>
            <w:r>
              <w:rPr>
                <w:bCs/>
                <w:snapToGrid w:val="0"/>
                <w:sz w:val="18"/>
                <w:szCs w:val="18"/>
              </w:rPr>
              <w:t>2</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BK037009</w:t>
            </w:r>
          </w:p>
        </w:tc>
        <w:tc>
          <w:tcPr>
            <w:tcW w:w="2873" w:type="dxa"/>
            <w:vAlign w:val="center"/>
          </w:tcPr>
          <w:p>
            <w:pPr>
              <w:spacing w:line="240" w:lineRule="exact"/>
              <w:rPr>
                <w:bCs/>
                <w:snapToGrid w:val="0"/>
                <w:sz w:val="18"/>
                <w:szCs w:val="18"/>
              </w:rPr>
            </w:pPr>
            <w:r>
              <w:rPr>
                <w:bCs/>
                <w:snapToGrid w:val="0"/>
                <w:sz w:val="18"/>
                <w:szCs w:val="18"/>
              </w:rPr>
              <w:t>法律文书</w:t>
            </w:r>
          </w:p>
          <w:p>
            <w:pPr>
              <w:spacing w:line="240" w:lineRule="exact"/>
              <w:rPr>
                <w:bCs/>
                <w:sz w:val="18"/>
                <w:szCs w:val="18"/>
              </w:rPr>
            </w:pPr>
            <w:r>
              <w:rPr>
                <w:bCs/>
                <w:snapToGrid w:val="0"/>
                <w:sz w:val="18"/>
                <w:szCs w:val="18"/>
              </w:rPr>
              <w:t>Legal documents Writing</w:t>
            </w:r>
          </w:p>
        </w:tc>
        <w:tc>
          <w:tcPr>
            <w:tcW w:w="465" w:type="dxa"/>
            <w:vAlign w:val="center"/>
          </w:tcPr>
          <w:p>
            <w:pPr>
              <w:spacing w:line="240" w:lineRule="exact"/>
              <w:jc w:val="center"/>
              <w:rPr>
                <w:bCs/>
                <w:sz w:val="18"/>
                <w:szCs w:val="18"/>
              </w:rPr>
            </w:pPr>
            <w:r>
              <w:rPr>
                <w:bCs/>
                <w:snapToGrid w:val="0"/>
                <w:sz w:val="18"/>
                <w:szCs w:val="18"/>
              </w:rPr>
              <w:t>2</w:t>
            </w:r>
          </w:p>
        </w:tc>
        <w:tc>
          <w:tcPr>
            <w:tcW w:w="615" w:type="dxa"/>
            <w:vAlign w:val="center"/>
          </w:tcPr>
          <w:p>
            <w:pPr>
              <w:spacing w:line="240" w:lineRule="exact"/>
              <w:jc w:val="center"/>
              <w:rPr>
                <w:bCs/>
                <w:sz w:val="18"/>
                <w:szCs w:val="18"/>
              </w:rPr>
            </w:pPr>
            <w:r>
              <w:rPr>
                <w:bCs/>
                <w:snapToGrid w:val="0"/>
                <w:sz w:val="18"/>
                <w:szCs w:val="18"/>
              </w:rPr>
              <w:t>32</w:t>
            </w:r>
          </w:p>
        </w:tc>
        <w:tc>
          <w:tcPr>
            <w:tcW w:w="600" w:type="dxa"/>
            <w:vAlign w:val="center"/>
          </w:tcPr>
          <w:p>
            <w:pPr>
              <w:spacing w:line="240" w:lineRule="exact"/>
              <w:jc w:val="center"/>
              <w:rPr>
                <w:bCs/>
                <w:sz w:val="18"/>
                <w:szCs w:val="18"/>
              </w:rPr>
            </w:pPr>
            <w:r>
              <w:rPr>
                <w:bCs/>
                <w:snapToGrid w:val="0"/>
                <w:sz w:val="18"/>
                <w:szCs w:val="18"/>
              </w:rPr>
              <w:t>26</w:t>
            </w:r>
          </w:p>
        </w:tc>
        <w:tc>
          <w:tcPr>
            <w:tcW w:w="653" w:type="dxa"/>
            <w:vAlign w:val="center"/>
          </w:tcPr>
          <w:p>
            <w:pPr>
              <w:spacing w:line="240" w:lineRule="exact"/>
              <w:jc w:val="center"/>
              <w:rPr>
                <w:bCs/>
                <w:sz w:val="18"/>
                <w:szCs w:val="18"/>
              </w:rPr>
            </w:pPr>
            <w:r>
              <w:rPr>
                <w:bCs/>
                <w:snapToGrid w:val="0"/>
                <w:sz w:val="18"/>
                <w:szCs w:val="18"/>
              </w:rPr>
              <w:t>6</w:t>
            </w:r>
          </w:p>
        </w:tc>
        <w:tc>
          <w:tcPr>
            <w:tcW w:w="660" w:type="dxa"/>
            <w:vAlign w:val="center"/>
          </w:tcPr>
          <w:p>
            <w:pPr>
              <w:spacing w:line="240" w:lineRule="exact"/>
              <w:jc w:val="center"/>
              <w:rPr>
                <w:bCs/>
                <w:sz w:val="18"/>
                <w:szCs w:val="18"/>
              </w:rPr>
            </w:pPr>
            <w:r>
              <w:rPr>
                <w:bCs/>
                <w:snapToGrid w:val="0"/>
                <w:sz w:val="18"/>
                <w:szCs w:val="18"/>
              </w:rPr>
              <w:t>3</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BK037014</w:t>
            </w:r>
          </w:p>
        </w:tc>
        <w:tc>
          <w:tcPr>
            <w:tcW w:w="2873" w:type="dxa"/>
            <w:vAlign w:val="center"/>
          </w:tcPr>
          <w:p>
            <w:pPr>
              <w:spacing w:line="240" w:lineRule="exact"/>
              <w:rPr>
                <w:bCs/>
                <w:snapToGrid w:val="0"/>
                <w:sz w:val="18"/>
                <w:szCs w:val="18"/>
              </w:rPr>
            </w:pPr>
            <w:r>
              <w:rPr>
                <w:bCs/>
                <w:snapToGrid w:val="0"/>
                <w:sz w:val="18"/>
                <w:szCs w:val="18"/>
              </w:rPr>
              <w:t>国际法</w:t>
            </w:r>
          </w:p>
          <w:p>
            <w:pPr>
              <w:spacing w:line="240" w:lineRule="exact"/>
              <w:rPr>
                <w:bCs/>
                <w:sz w:val="18"/>
                <w:szCs w:val="18"/>
              </w:rPr>
            </w:pPr>
            <w:r>
              <w:rPr>
                <w:bCs/>
                <w:snapToGrid w:val="0"/>
                <w:sz w:val="18"/>
                <w:szCs w:val="18"/>
              </w:rPr>
              <w:t>International Law</w:t>
            </w:r>
          </w:p>
        </w:tc>
        <w:tc>
          <w:tcPr>
            <w:tcW w:w="465" w:type="dxa"/>
            <w:vAlign w:val="center"/>
          </w:tcPr>
          <w:p>
            <w:pPr>
              <w:spacing w:line="240" w:lineRule="exact"/>
              <w:jc w:val="center"/>
              <w:rPr>
                <w:bCs/>
                <w:sz w:val="18"/>
                <w:szCs w:val="18"/>
              </w:rPr>
            </w:pPr>
            <w:r>
              <w:rPr>
                <w:bCs/>
                <w:snapToGrid w:val="0"/>
                <w:sz w:val="18"/>
                <w:szCs w:val="18"/>
              </w:rPr>
              <w:t>3</w:t>
            </w:r>
          </w:p>
        </w:tc>
        <w:tc>
          <w:tcPr>
            <w:tcW w:w="615" w:type="dxa"/>
            <w:vAlign w:val="center"/>
          </w:tcPr>
          <w:p>
            <w:pPr>
              <w:spacing w:line="240" w:lineRule="exact"/>
              <w:jc w:val="center"/>
              <w:rPr>
                <w:bCs/>
                <w:sz w:val="18"/>
                <w:szCs w:val="18"/>
              </w:rPr>
            </w:pPr>
            <w:r>
              <w:rPr>
                <w:bCs/>
                <w:snapToGrid w:val="0"/>
                <w:sz w:val="18"/>
                <w:szCs w:val="18"/>
              </w:rPr>
              <w:t>48</w:t>
            </w:r>
          </w:p>
        </w:tc>
        <w:tc>
          <w:tcPr>
            <w:tcW w:w="600" w:type="dxa"/>
            <w:vAlign w:val="center"/>
          </w:tcPr>
          <w:p>
            <w:pPr>
              <w:spacing w:line="240" w:lineRule="exact"/>
              <w:jc w:val="center"/>
              <w:rPr>
                <w:bCs/>
                <w:sz w:val="18"/>
                <w:szCs w:val="18"/>
              </w:rPr>
            </w:pPr>
            <w:r>
              <w:rPr>
                <w:bCs/>
                <w:snapToGrid w:val="0"/>
                <w:sz w:val="18"/>
                <w:szCs w:val="18"/>
              </w:rPr>
              <w:t>40</w:t>
            </w:r>
          </w:p>
        </w:tc>
        <w:tc>
          <w:tcPr>
            <w:tcW w:w="653" w:type="dxa"/>
            <w:vAlign w:val="center"/>
          </w:tcPr>
          <w:p>
            <w:pPr>
              <w:spacing w:line="240" w:lineRule="exact"/>
              <w:jc w:val="center"/>
              <w:rPr>
                <w:bCs/>
                <w:sz w:val="18"/>
                <w:szCs w:val="18"/>
              </w:rPr>
            </w:pPr>
            <w:r>
              <w:rPr>
                <w:bCs/>
                <w:sz w:val="18"/>
                <w:szCs w:val="18"/>
              </w:rPr>
              <w:t>8</w:t>
            </w:r>
          </w:p>
        </w:tc>
        <w:tc>
          <w:tcPr>
            <w:tcW w:w="660" w:type="dxa"/>
            <w:vAlign w:val="center"/>
          </w:tcPr>
          <w:p>
            <w:pPr>
              <w:spacing w:line="240" w:lineRule="exact"/>
              <w:jc w:val="center"/>
              <w:rPr>
                <w:bCs/>
                <w:sz w:val="18"/>
                <w:szCs w:val="18"/>
              </w:rPr>
            </w:pPr>
            <w:r>
              <w:rPr>
                <w:bCs/>
                <w:snapToGrid w:val="0"/>
                <w:sz w:val="18"/>
                <w:szCs w:val="18"/>
              </w:rPr>
              <w:t>5</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BK037017</w:t>
            </w:r>
          </w:p>
        </w:tc>
        <w:tc>
          <w:tcPr>
            <w:tcW w:w="2873" w:type="dxa"/>
            <w:vAlign w:val="center"/>
          </w:tcPr>
          <w:p>
            <w:pPr>
              <w:spacing w:line="240" w:lineRule="exact"/>
              <w:rPr>
                <w:bCs/>
                <w:snapToGrid w:val="0"/>
                <w:sz w:val="18"/>
                <w:szCs w:val="18"/>
              </w:rPr>
            </w:pPr>
            <w:r>
              <w:rPr>
                <w:bCs/>
                <w:snapToGrid w:val="0"/>
                <w:sz w:val="18"/>
                <w:szCs w:val="18"/>
              </w:rPr>
              <w:t>国际私法</w:t>
            </w:r>
          </w:p>
          <w:p>
            <w:pPr>
              <w:spacing w:line="240" w:lineRule="exact"/>
              <w:rPr>
                <w:bCs/>
                <w:sz w:val="18"/>
                <w:szCs w:val="18"/>
              </w:rPr>
            </w:pPr>
            <w:r>
              <w:rPr>
                <w:bCs/>
                <w:snapToGrid w:val="0"/>
                <w:sz w:val="18"/>
                <w:szCs w:val="18"/>
              </w:rPr>
              <w:t>Private International  Law</w:t>
            </w:r>
          </w:p>
        </w:tc>
        <w:tc>
          <w:tcPr>
            <w:tcW w:w="465" w:type="dxa"/>
            <w:vAlign w:val="center"/>
          </w:tcPr>
          <w:p>
            <w:pPr>
              <w:spacing w:line="240" w:lineRule="exact"/>
              <w:jc w:val="center"/>
              <w:rPr>
                <w:bCs/>
                <w:sz w:val="18"/>
                <w:szCs w:val="18"/>
              </w:rPr>
            </w:pPr>
            <w:r>
              <w:rPr>
                <w:bCs/>
                <w:snapToGrid w:val="0"/>
                <w:sz w:val="18"/>
                <w:szCs w:val="18"/>
              </w:rPr>
              <w:t>4</w:t>
            </w:r>
          </w:p>
        </w:tc>
        <w:tc>
          <w:tcPr>
            <w:tcW w:w="615" w:type="dxa"/>
            <w:vAlign w:val="center"/>
          </w:tcPr>
          <w:p>
            <w:pPr>
              <w:spacing w:line="240" w:lineRule="exact"/>
              <w:jc w:val="center"/>
              <w:rPr>
                <w:bCs/>
                <w:sz w:val="18"/>
                <w:szCs w:val="18"/>
              </w:rPr>
            </w:pPr>
            <w:r>
              <w:rPr>
                <w:bCs/>
                <w:snapToGrid w:val="0"/>
                <w:sz w:val="18"/>
                <w:szCs w:val="18"/>
              </w:rPr>
              <w:t>64</w:t>
            </w:r>
          </w:p>
        </w:tc>
        <w:tc>
          <w:tcPr>
            <w:tcW w:w="600" w:type="dxa"/>
            <w:vAlign w:val="center"/>
          </w:tcPr>
          <w:p>
            <w:pPr>
              <w:spacing w:line="240" w:lineRule="exact"/>
              <w:jc w:val="center"/>
              <w:rPr>
                <w:bCs/>
                <w:sz w:val="18"/>
                <w:szCs w:val="18"/>
              </w:rPr>
            </w:pPr>
            <w:r>
              <w:rPr>
                <w:bCs/>
                <w:snapToGrid w:val="0"/>
                <w:sz w:val="18"/>
                <w:szCs w:val="18"/>
              </w:rPr>
              <w:t>56</w:t>
            </w:r>
          </w:p>
        </w:tc>
        <w:tc>
          <w:tcPr>
            <w:tcW w:w="653" w:type="dxa"/>
            <w:vAlign w:val="center"/>
          </w:tcPr>
          <w:p>
            <w:pPr>
              <w:spacing w:line="240" w:lineRule="exact"/>
              <w:jc w:val="center"/>
              <w:rPr>
                <w:bCs/>
                <w:sz w:val="18"/>
                <w:szCs w:val="18"/>
              </w:rPr>
            </w:pPr>
            <w:r>
              <w:rPr>
                <w:bCs/>
                <w:sz w:val="18"/>
                <w:szCs w:val="18"/>
              </w:rPr>
              <w:t>8</w:t>
            </w:r>
          </w:p>
        </w:tc>
        <w:tc>
          <w:tcPr>
            <w:tcW w:w="660" w:type="dxa"/>
            <w:vAlign w:val="center"/>
          </w:tcPr>
          <w:p>
            <w:pPr>
              <w:spacing w:line="240" w:lineRule="exact"/>
              <w:jc w:val="center"/>
              <w:rPr>
                <w:bCs/>
                <w:sz w:val="18"/>
                <w:szCs w:val="18"/>
              </w:rPr>
            </w:pPr>
            <w:r>
              <w:rPr>
                <w:bCs/>
                <w:snapToGrid w:val="0"/>
                <w:sz w:val="18"/>
                <w:szCs w:val="18"/>
              </w:rPr>
              <w:t>5</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jc w:val="center"/>
              <w:rPr>
                <w:bCs/>
                <w:sz w:val="18"/>
                <w:szCs w:val="18"/>
              </w:rPr>
            </w:pPr>
            <w:r>
              <w:rPr>
                <w:sz w:val="18"/>
                <w:szCs w:val="18"/>
              </w:rPr>
              <w:t>BK037015</w:t>
            </w:r>
          </w:p>
        </w:tc>
        <w:tc>
          <w:tcPr>
            <w:tcW w:w="2873" w:type="dxa"/>
            <w:vAlign w:val="center"/>
          </w:tcPr>
          <w:p>
            <w:pPr>
              <w:spacing w:line="240" w:lineRule="exact"/>
              <w:rPr>
                <w:bCs/>
                <w:snapToGrid w:val="0"/>
                <w:sz w:val="18"/>
                <w:szCs w:val="18"/>
              </w:rPr>
            </w:pPr>
            <w:r>
              <w:rPr>
                <w:bCs/>
                <w:snapToGrid w:val="0"/>
                <w:sz w:val="18"/>
                <w:szCs w:val="18"/>
              </w:rPr>
              <w:t>国际经济法</w:t>
            </w:r>
          </w:p>
          <w:p>
            <w:pPr>
              <w:spacing w:line="240" w:lineRule="exact"/>
              <w:rPr>
                <w:bCs/>
                <w:sz w:val="18"/>
                <w:szCs w:val="18"/>
              </w:rPr>
            </w:pPr>
            <w:r>
              <w:rPr>
                <w:bCs/>
                <w:snapToGrid w:val="0"/>
                <w:sz w:val="18"/>
                <w:szCs w:val="18"/>
              </w:rPr>
              <w:t>International Economic Law</w:t>
            </w:r>
          </w:p>
        </w:tc>
        <w:tc>
          <w:tcPr>
            <w:tcW w:w="465" w:type="dxa"/>
            <w:vAlign w:val="center"/>
          </w:tcPr>
          <w:p>
            <w:pPr>
              <w:spacing w:line="240" w:lineRule="exact"/>
              <w:jc w:val="center"/>
              <w:rPr>
                <w:bCs/>
                <w:sz w:val="18"/>
                <w:szCs w:val="18"/>
              </w:rPr>
            </w:pPr>
            <w:r>
              <w:rPr>
                <w:bCs/>
                <w:snapToGrid w:val="0"/>
                <w:sz w:val="18"/>
                <w:szCs w:val="18"/>
              </w:rPr>
              <w:t>4</w:t>
            </w:r>
          </w:p>
        </w:tc>
        <w:tc>
          <w:tcPr>
            <w:tcW w:w="615" w:type="dxa"/>
            <w:vAlign w:val="center"/>
          </w:tcPr>
          <w:p>
            <w:pPr>
              <w:spacing w:line="240" w:lineRule="exact"/>
              <w:jc w:val="center"/>
              <w:rPr>
                <w:bCs/>
                <w:sz w:val="18"/>
                <w:szCs w:val="18"/>
              </w:rPr>
            </w:pPr>
            <w:r>
              <w:rPr>
                <w:bCs/>
                <w:snapToGrid w:val="0"/>
                <w:sz w:val="18"/>
                <w:szCs w:val="18"/>
              </w:rPr>
              <w:t>64</w:t>
            </w:r>
          </w:p>
        </w:tc>
        <w:tc>
          <w:tcPr>
            <w:tcW w:w="600" w:type="dxa"/>
            <w:vAlign w:val="center"/>
          </w:tcPr>
          <w:p>
            <w:pPr>
              <w:spacing w:line="240" w:lineRule="exact"/>
              <w:jc w:val="center"/>
              <w:rPr>
                <w:bCs/>
                <w:sz w:val="18"/>
                <w:szCs w:val="18"/>
              </w:rPr>
            </w:pPr>
            <w:r>
              <w:rPr>
                <w:bCs/>
                <w:snapToGrid w:val="0"/>
                <w:sz w:val="18"/>
                <w:szCs w:val="18"/>
              </w:rPr>
              <w:t>56</w:t>
            </w:r>
          </w:p>
        </w:tc>
        <w:tc>
          <w:tcPr>
            <w:tcW w:w="653" w:type="dxa"/>
            <w:vAlign w:val="center"/>
          </w:tcPr>
          <w:p>
            <w:pPr>
              <w:spacing w:line="240" w:lineRule="exact"/>
              <w:jc w:val="center"/>
              <w:rPr>
                <w:bCs/>
                <w:sz w:val="18"/>
                <w:szCs w:val="18"/>
              </w:rPr>
            </w:pPr>
            <w:r>
              <w:rPr>
                <w:bCs/>
                <w:sz w:val="18"/>
                <w:szCs w:val="18"/>
              </w:rPr>
              <w:t>8</w:t>
            </w:r>
          </w:p>
        </w:tc>
        <w:tc>
          <w:tcPr>
            <w:tcW w:w="660" w:type="dxa"/>
            <w:vAlign w:val="center"/>
          </w:tcPr>
          <w:p>
            <w:pPr>
              <w:spacing w:line="240" w:lineRule="exact"/>
              <w:jc w:val="center"/>
              <w:rPr>
                <w:bCs/>
                <w:sz w:val="18"/>
                <w:szCs w:val="18"/>
              </w:rPr>
            </w:pPr>
            <w:r>
              <w:rPr>
                <w:bCs/>
                <w:snapToGrid w:val="0"/>
                <w:sz w:val="18"/>
                <w:szCs w:val="18"/>
              </w:rPr>
              <w:t>6</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rPr>
                <w:bCs/>
                <w:sz w:val="18"/>
                <w:szCs w:val="18"/>
              </w:rPr>
            </w:pPr>
            <w:r>
              <w:rPr>
                <w:sz w:val="18"/>
                <w:szCs w:val="18"/>
              </w:rPr>
              <w:t>BK037038</w:t>
            </w:r>
          </w:p>
        </w:tc>
        <w:tc>
          <w:tcPr>
            <w:tcW w:w="2873" w:type="dxa"/>
            <w:vAlign w:val="center"/>
          </w:tcPr>
          <w:p>
            <w:pPr>
              <w:spacing w:line="240" w:lineRule="exact"/>
              <w:rPr>
                <w:bCs/>
                <w:snapToGrid w:val="0"/>
                <w:sz w:val="18"/>
                <w:szCs w:val="18"/>
              </w:rPr>
            </w:pPr>
            <w:r>
              <w:rPr>
                <w:bCs/>
                <w:snapToGrid w:val="0"/>
                <w:sz w:val="18"/>
                <w:szCs w:val="18"/>
              </w:rPr>
              <w:t>专业综合实验（含创新创业教育1）育）0）育）1-2</w:t>
            </w:r>
          </w:p>
          <w:p>
            <w:pPr>
              <w:spacing w:line="240" w:lineRule="exact"/>
              <w:rPr>
                <w:bCs/>
                <w:sz w:val="18"/>
                <w:szCs w:val="18"/>
              </w:rPr>
            </w:pPr>
            <w:r>
              <w:rPr>
                <w:bCs/>
                <w:snapToGrid w:val="0"/>
                <w:sz w:val="18"/>
                <w:szCs w:val="18"/>
              </w:rPr>
              <w:t>Comprehensive Experiments 1-2</w:t>
            </w:r>
          </w:p>
        </w:tc>
        <w:tc>
          <w:tcPr>
            <w:tcW w:w="465" w:type="dxa"/>
            <w:vAlign w:val="center"/>
          </w:tcPr>
          <w:p>
            <w:pPr>
              <w:spacing w:line="240" w:lineRule="exact"/>
              <w:jc w:val="center"/>
              <w:rPr>
                <w:bCs/>
                <w:sz w:val="18"/>
                <w:szCs w:val="18"/>
              </w:rPr>
            </w:pPr>
            <w:r>
              <w:rPr>
                <w:bCs/>
                <w:sz w:val="18"/>
                <w:szCs w:val="18"/>
              </w:rPr>
              <w:t>2</w:t>
            </w:r>
          </w:p>
        </w:tc>
        <w:tc>
          <w:tcPr>
            <w:tcW w:w="615" w:type="dxa"/>
            <w:vAlign w:val="center"/>
          </w:tcPr>
          <w:p>
            <w:pPr>
              <w:spacing w:line="240" w:lineRule="exact"/>
              <w:jc w:val="center"/>
              <w:rPr>
                <w:bCs/>
                <w:sz w:val="18"/>
                <w:szCs w:val="18"/>
              </w:rPr>
            </w:pPr>
            <w:r>
              <w:rPr>
                <w:bCs/>
                <w:sz w:val="18"/>
                <w:szCs w:val="18"/>
              </w:rPr>
              <w:t>64</w:t>
            </w:r>
          </w:p>
        </w:tc>
        <w:tc>
          <w:tcPr>
            <w:tcW w:w="600" w:type="dxa"/>
            <w:vAlign w:val="center"/>
          </w:tcPr>
          <w:p>
            <w:pPr>
              <w:spacing w:line="240" w:lineRule="exact"/>
              <w:jc w:val="center"/>
              <w:rPr>
                <w:bCs/>
                <w:sz w:val="18"/>
                <w:szCs w:val="18"/>
              </w:rPr>
            </w:pPr>
          </w:p>
        </w:tc>
        <w:tc>
          <w:tcPr>
            <w:tcW w:w="653" w:type="dxa"/>
            <w:vAlign w:val="center"/>
          </w:tcPr>
          <w:p>
            <w:pPr>
              <w:spacing w:line="240" w:lineRule="exact"/>
              <w:jc w:val="center"/>
              <w:rPr>
                <w:bCs/>
                <w:sz w:val="18"/>
                <w:szCs w:val="18"/>
              </w:rPr>
            </w:pPr>
            <w:r>
              <w:rPr>
                <w:bCs/>
                <w:sz w:val="18"/>
                <w:szCs w:val="18"/>
              </w:rPr>
              <w:t>64</w:t>
            </w:r>
          </w:p>
        </w:tc>
        <w:tc>
          <w:tcPr>
            <w:tcW w:w="660" w:type="dxa"/>
            <w:vAlign w:val="center"/>
          </w:tcPr>
          <w:p>
            <w:pPr>
              <w:spacing w:line="240" w:lineRule="exact"/>
              <w:jc w:val="center"/>
              <w:rPr>
                <w:bCs/>
                <w:sz w:val="18"/>
                <w:szCs w:val="18"/>
              </w:rPr>
            </w:pPr>
            <w:r>
              <w:rPr>
                <w:bCs/>
                <w:snapToGrid w:val="0"/>
                <w:sz w:val="18"/>
                <w:szCs w:val="18"/>
              </w:rPr>
              <w:t>5</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90" w:hRule="atLeas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1042" w:type="dxa"/>
            <w:tcBorders>
              <w:left w:val="single" w:color="auto" w:sz="4" w:space="0"/>
            </w:tcBorders>
            <w:vAlign w:val="center"/>
          </w:tcPr>
          <w:p>
            <w:pPr>
              <w:spacing w:line="240" w:lineRule="exact"/>
              <w:rPr>
                <w:sz w:val="18"/>
                <w:szCs w:val="18"/>
              </w:rPr>
            </w:pPr>
            <w:r>
              <w:rPr>
                <w:sz w:val="18"/>
                <w:szCs w:val="18"/>
              </w:rPr>
              <w:t>BK037038</w:t>
            </w:r>
          </w:p>
        </w:tc>
        <w:tc>
          <w:tcPr>
            <w:tcW w:w="2873" w:type="dxa"/>
            <w:vAlign w:val="center"/>
          </w:tcPr>
          <w:p>
            <w:pPr>
              <w:spacing w:line="240" w:lineRule="exact"/>
              <w:rPr>
                <w:bCs/>
                <w:snapToGrid w:val="0"/>
                <w:sz w:val="18"/>
                <w:szCs w:val="18"/>
              </w:rPr>
            </w:pPr>
            <w:r>
              <w:rPr>
                <w:bCs/>
                <w:snapToGrid w:val="0"/>
                <w:sz w:val="18"/>
                <w:szCs w:val="18"/>
              </w:rPr>
              <w:t>专业综合实验（含创新创业教育2）</w:t>
            </w:r>
          </w:p>
        </w:tc>
        <w:tc>
          <w:tcPr>
            <w:tcW w:w="465" w:type="dxa"/>
            <w:vAlign w:val="center"/>
          </w:tcPr>
          <w:p>
            <w:pPr>
              <w:spacing w:line="240" w:lineRule="exact"/>
              <w:jc w:val="center"/>
              <w:rPr>
                <w:bCs/>
                <w:snapToGrid w:val="0"/>
                <w:sz w:val="18"/>
                <w:szCs w:val="18"/>
              </w:rPr>
            </w:pPr>
            <w:r>
              <w:rPr>
                <w:bCs/>
                <w:snapToGrid w:val="0"/>
                <w:sz w:val="18"/>
                <w:szCs w:val="18"/>
              </w:rPr>
              <w:t>2</w:t>
            </w:r>
          </w:p>
        </w:tc>
        <w:tc>
          <w:tcPr>
            <w:tcW w:w="615" w:type="dxa"/>
            <w:vAlign w:val="center"/>
          </w:tcPr>
          <w:p>
            <w:pPr>
              <w:spacing w:line="240" w:lineRule="exact"/>
              <w:jc w:val="center"/>
              <w:rPr>
                <w:bCs/>
                <w:snapToGrid w:val="0"/>
                <w:sz w:val="18"/>
                <w:szCs w:val="18"/>
              </w:rPr>
            </w:pPr>
            <w:r>
              <w:rPr>
                <w:bCs/>
                <w:snapToGrid w:val="0"/>
                <w:sz w:val="18"/>
                <w:szCs w:val="18"/>
              </w:rPr>
              <w:t>64</w:t>
            </w:r>
          </w:p>
        </w:tc>
        <w:tc>
          <w:tcPr>
            <w:tcW w:w="600" w:type="dxa"/>
            <w:vAlign w:val="center"/>
          </w:tcPr>
          <w:p>
            <w:pPr>
              <w:spacing w:line="240" w:lineRule="exact"/>
              <w:jc w:val="center"/>
              <w:rPr>
                <w:bCs/>
                <w:sz w:val="18"/>
                <w:szCs w:val="18"/>
              </w:rPr>
            </w:pPr>
          </w:p>
        </w:tc>
        <w:tc>
          <w:tcPr>
            <w:tcW w:w="653" w:type="dxa"/>
            <w:vAlign w:val="center"/>
          </w:tcPr>
          <w:p>
            <w:pPr>
              <w:spacing w:line="240" w:lineRule="exact"/>
              <w:jc w:val="center"/>
              <w:rPr>
                <w:bCs/>
                <w:snapToGrid w:val="0"/>
                <w:sz w:val="18"/>
                <w:szCs w:val="18"/>
              </w:rPr>
            </w:pPr>
            <w:r>
              <w:rPr>
                <w:bCs/>
                <w:snapToGrid w:val="0"/>
                <w:sz w:val="18"/>
                <w:szCs w:val="18"/>
              </w:rPr>
              <w:t>64</w:t>
            </w:r>
          </w:p>
        </w:tc>
        <w:tc>
          <w:tcPr>
            <w:tcW w:w="660" w:type="dxa"/>
            <w:vAlign w:val="center"/>
          </w:tcPr>
          <w:p>
            <w:pPr>
              <w:spacing w:line="240" w:lineRule="exact"/>
              <w:jc w:val="center"/>
              <w:rPr>
                <w:bCs/>
                <w:snapToGrid w:val="0"/>
                <w:sz w:val="18"/>
                <w:szCs w:val="18"/>
              </w:rPr>
            </w:pPr>
            <w:r>
              <w:rPr>
                <w:bCs/>
                <w:snapToGrid w:val="0"/>
                <w:sz w:val="18"/>
                <w:szCs w:val="18"/>
              </w:rPr>
              <w:t>6</w:t>
            </w:r>
          </w:p>
        </w:tc>
        <w:tc>
          <w:tcPr>
            <w:tcW w:w="894" w:type="dxa"/>
            <w:vAlign w:val="center"/>
          </w:tcPr>
          <w:p>
            <w:pPr>
              <w:spacing w:line="240" w:lineRule="exact"/>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05" w:hRule="atLeast"/>
          <w:jc w:val="center"/>
        </w:trPr>
        <w:tc>
          <w:tcPr>
            <w:tcW w:w="992" w:type="dxa"/>
            <w:vMerge w:val="continue"/>
            <w:tcBorders>
              <w:right w:val="single" w:color="auto" w:sz="4" w:space="0"/>
            </w:tcBorders>
            <w:vAlign w:val="center"/>
          </w:tcPr>
          <w:p>
            <w:pPr>
              <w:spacing w:line="240" w:lineRule="exact"/>
              <w:ind w:left="-120" w:leftChars="-50" w:right="-120" w:rightChars="-50"/>
              <w:jc w:val="center"/>
              <w:rPr>
                <w:bCs/>
                <w:spacing w:val="-8"/>
                <w:position w:val="-8"/>
                <w:szCs w:val="21"/>
              </w:rPr>
            </w:pPr>
          </w:p>
        </w:tc>
        <w:tc>
          <w:tcPr>
            <w:tcW w:w="3915" w:type="dxa"/>
            <w:gridSpan w:val="2"/>
            <w:tcBorders>
              <w:left w:val="single" w:color="auto" w:sz="4" w:space="0"/>
            </w:tcBorders>
            <w:vAlign w:val="center"/>
          </w:tcPr>
          <w:p>
            <w:pPr>
              <w:spacing w:line="240" w:lineRule="exact"/>
              <w:ind w:left="-120" w:leftChars="-50" w:right="-120" w:rightChars="-50"/>
              <w:jc w:val="center"/>
              <w:rPr>
                <w:bCs/>
                <w:sz w:val="21"/>
                <w:szCs w:val="21"/>
              </w:rPr>
            </w:pPr>
            <w:r>
              <w:rPr>
                <w:bCs/>
                <w:sz w:val="21"/>
                <w:szCs w:val="21"/>
              </w:rPr>
              <w:t>学分小计</w:t>
            </w:r>
          </w:p>
        </w:tc>
        <w:tc>
          <w:tcPr>
            <w:tcW w:w="3887" w:type="dxa"/>
            <w:gridSpan w:val="6"/>
            <w:vAlign w:val="center"/>
          </w:tcPr>
          <w:p>
            <w:pPr>
              <w:spacing w:line="240" w:lineRule="exact"/>
              <w:ind w:left="-120" w:leftChars="-50" w:right="-120" w:rightChars="-50"/>
              <w:jc w:val="center"/>
              <w:rPr>
                <w:bCs/>
                <w:sz w:val="21"/>
                <w:szCs w:val="21"/>
              </w:rPr>
            </w:pPr>
            <w:r>
              <w:rPr>
                <w:bCs/>
                <w:sz w:val="21"/>
                <w:szCs w:val="21"/>
              </w:rPr>
              <w:t>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00" w:hRule="atLeast"/>
          <w:jc w:val="center"/>
        </w:trPr>
        <w:tc>
          <w:tcPr>
            <w:tcW w:w="4907" w:type="dxa"/>
            <w:gridSpan w:val="3"/>
            <w:vAlign w:val="center"/>
          </w:tcPr>
          <w:p>
            <w:pPr>
              <w:spacing w:line="240" w:lineRule="exact"/>
              <w:ind w:left="-120" w:leftChars="-50" w:right="-120" w:rightChars="-50"/>
              <w:jc w:val="center"/>
              <w:rPr>
                <w:bCs/>
                <w:sz w:val="21"/>
                <w:szCs w:val="21"/>
              </w:rPr>
            </w:pPr>
            <w:r>
              <w:rPr>
                <w:bCs/>
                <w:sz w:val="21"/>
                <w:szCs w:val="21"/>
              </w:rPr>
              <w:t>合计学分</w:t>
            </w:r>
          </w:p>
        </w:tc>
        <w:tc>
          <w:tcPr>
            <w:tcW w:w="3887" w:type="dxa"/>
            <w:gridSpan w:val="6"/>
            <w:vAlign w:val="center"/>
          </w:tcPr>
          <w:p>
            <w:pPr>
              <w:spacing w:line="240" w:lineRule="exact"/>
              <w:ind w:left="-120" w:leftChars="-50" w:right="-120" w:rightChars="-50"/>
              <w:jc w:val="center"/>
              <w:rPr>
                <w:bCs/>
                <w:sz w:val="21"/>
                <w:szCs w:val="21"/>
              </w:rPr>
            </w:pPr>
            <w:r>
              <w:rPr>
                <w:bCs/>
                <w:sz w:val="21"/>
                <w:szCs w:val="21"/>
              </w:rPr>
              <w:t>76</w:t>
            </w:r>
          </w:p>
        </w:tc>
      </w:tr>
    </w:tbl>
    <w:p>
      <w:pPr>
        <w:autoSpaceDE w:val="0"/>
        <w:autoSpaceDN w:val="0"/>
        <w:adjustRightInd w:val="0"/>
        <w:spacing w:line="480" w:lineRule="exact"/>
        <w:jc w:val="center"/>
        <w:rPr>
          <w:b/>
          <w:bCs/>
          <w:kern w:val="0"/>
          <w:sz w:val="21"/>
          <w:szCs w:val="21"/>
        </w:rPr>
      </w:pPr>
      <w:r>
        <w:rPr>
          <w:b/>
          <w:bCs/>
          <w:kern w:val="0"/>
          <w:sz w:val="21"/>
          <w:szCs w:val="21"/>
        </w:rPr>
        <w:t>附表3 法学专业创新型、专业型人才培养拓展教育课教学进程表</w:t>
      </w:r>
    </w:p>
    <w:tbl>
      <w:tblPr>
        <w:tblStyle w:val="17"/>
        <w:tblW w:w="945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17"/>
        <w:gridCol w:w="1045"/>
        <w:gridCol w:w="2850"/>
        <w:gridCol w:w="705"/>
        <w:gridCol w:w="503"/>
        <w:gridCol w:w="425"/>
        <w:gridCol w:w="426"/>
        <w:gridCol w:w="476"/>
        <w:gridCol w:w="798"/>
        <w:gridCol w:w="658"/>
        <w:gridCol w:w="74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17" w:type="dxa"/>
            <w:vMerge w:val="restart"/>
            <w:vAlign w:val="center"/>
          </w:tcPr>
          <w:p>
            <w:pPr>
              <w:pStyle w:val="11"/>
              <w:keepNext/>
              <w:spacing w:line="240" w:lineRule="exact"/>
              <w:ind w:left="-120" w:leftChars="-50" w:right="-120" w:rightChars="-50" w:firstLine="0"/>
              <w:jc w:val="center"/>
              <w:rPr>
                <w:b/>
                <w:sz w:val="18"/>
                <w:szCs w:val="18"/>
              </w:rPr>
            </w:pPr>
            <w:r>
              <w:rPr>
                <w:b/>
                <w:sz w:val="18"/>
                <w:szCs w:val="18"/>
              </w:rPr>
              <w:t>课程</w:t>
            </w:r>
          </w:p>
          <w:p>
            <w:pPr>
              <w:pStyle w:val="11"/>
              <w:keepNext/>
              <w:spacing w:line="240" w:lineRule="exact"/>
              <w:ind w:left="-120" w:leftChars="-50" w:right="-120" w:rightChars="-50" w:firstLine="0"/>
              <w:jc w:val="center"/>
              <w:rPr>
                <w:b/>
                <w:sz w:val="18"/>
                <w:szCs w:val="18"/>
              </w:rPr>
            </w:pPr>
            <w:r>
              <w:rPr>
                <w:b/>
                <w:sz w:val="18"/>
                <w:szCs w:val="18"/>
              </w:rPr>
              <w:t>类别</w:t>
            </w:r>
          </w:p>
        </w:tc>
        <w:tc>
          <w:tcPr>
            <w:tcW w:w="1045" w:type="dxa"/>
            <w:vMerge w:val="restart"/>
            <w:vAlign w:val="center"/>
          </w:tcPr>
          <w:p>
            <w:pPr>
              <w:pStyle w:val="11"/>
              <w:keepNext/>
              <w:spacing w:line="240" w:lineRule="exact"/>
              <w:ind w:left="-120" w:leftChars="-50" w:right="-120" w:rightChars="-50" w:firstLine="0"/>
              <w:jc w:val="center"/>
              <w:rPr>
                <w:b/>
                <w:sz w:val="18"/>
                <w:szCs w:val="18"/>
              </w:rPr>
            </w:pPr>
            <w:r>
              <w:rPr>
                <w:b/>
                <w:sz w:val="18"/>
                <w:szCs w:val="18"/>
              </w:rPr>
              <w:t>课程号</w:t>
            </w:r>
          </w:p>
        </w:tc>
        <w:tc>
          <w:tcPr>
            <w:tcW w:w="2850" w:type="dxa"/>
            <w:vMerge w:val="restart"/>
            <w:vAlign w:val="center"/>
          </w:tcPr>
          <w:p>
            <w:pPr>
              <w:pStyle w:val="11"/>
              <w:keepNext/>
              <w:spacing w:line="240" w:lineRule="exact"/>
              <w:ind w:left="-120" w:leftChars="-50" w:right="-120" w:rightChars="-50" w:firstLine="0"/>
              <w:jc w:val="center"/>
              <w:rPr>
                <w:b/>
                <w:sz w:val="18"/>
                <w:szCs w:val="18"/>
              </w:rPr>
            </w:pPr>
            <w:r>
              <w:rPr>
                <w:b/>
                <w:sz w:val="18"/>
                <w:szCs w:val="18"/>
              </w:rPr>
              <w:t>课程名称</w:t>
            </w:r>
          </w:p>
        </w:tc>
        <w:tc>
          <w:tcPr>
            <w:tcW w:w="705" w:type="dxa"/>
            <w:vMerge w:val="restart"/>
            <w:vAlign w:val="center"/>
          </w:tcPr>
          <w:p>
            <w:pPr>
              <w:pStyle w:val="11"/>
              <w:keepNext/>
              <w:spacing w:line="240" w:lineRule="exact"/>
              <w:ind w:left="-120" w:leftChars="-50" w:right="-120" w:rightChars="-50" w:firstLine="0"/>
              <w:jc w:val="center"/>
              <w:rPr>
                <w:b/>
                <w:sz w:val="18"/>
                <w:szCs w:val="18"/>
              </w:rPr>
            </w:pPr>
            <w:r>
              <w:rPr>
                <w:b/>
                <w:sz w:val="18"/>
                <w:szCs w:val="18"/>
              </w:rPr>
              <w:t>学分</w:t>
            </w:r>
          </w:p>
        </w:tc>
        <w:tc>
          <w:tcPr>
            <w:tcW w:w="1354" w:type="dxa"/>
            <w:gridSpan w:val="3"/>
            <w:vAlign w:val="center"/>
          </w:tcPr>
          <w:p>
            <w:pPr>
              <w:pStyle w:val="11"/>
              <w:keepNext/>
              <w:spacing w:line="240" w:lineRule="exact"/>
              <w:ind w:left="-120" w:leftChars="-50" w:right="-120" w:rightChars="-50" w:firstLine="0"/>
              <w:jc w:val="center"/>
              <w:rPr>
                <w:b/>
                <w:sz w:val="18"/>
                <w:szCs w:val="18"/>
              </w:rPr>
            </w:pPr>
            <w:r>
              <w:rPr>
                <w:b/>
                <w:sz w:val="18"/>
                <w:szCs w:val="18"/>
              </w:rPr>
              <w:t>学时数</w:t>
            </w:r>
          </w:p>
        </w:tc>
        <w:tc>
          <w:tcPr>
            <w:tcW w:w="476" w:type="dxa"/>
            <w:vMerge w:val="restart"/>
            <w:tcBorders>
              <w:right w:val="single" w:color="auto" w:sz="4" w:space="0"/>
            </w:tcBorders>
            <w:vAlign w:val="center"/>
          </w:tcPr>
          <w:p>
            <w:pPr>
              <w:pStyle w:val="11"/>
              <w:keepNext/>
              <w:spacing w:line="240" w:lineRule="exact"/>
              <w:ind w:left="-120" w:leftChars="-50" w:right="-120" w:rightChars="-50" w:firstLine="0"/>
              <w:jc w:val="center"/>
              <w:rPr>
                <w:b/>
                <w:sz w:val="18"/>
                <w:szCs w:val="18"/>
              </w:rPr>
            </w:pPr>
            <w:r>
              <w:rPr>
                <w:b/>
                <w:sz w:val="18"/>
                <w:szCs w:val="18"/>
              </w:rPr>
              <w:t>开课</w:t>
            </w:r>
          </w:p>
          <w:p>
            <w:pPr>
              <w:pStyle w:val="11"/>
              <w:keepNext/>
              <w:spacing w:line="240" w:lineRule="exact"/>
              <w:ind w:left="-120" w:leftChars="-50" w:right="-120" w:rightChars="-50" w:firstLine="0"/>
              <w:jc w:val="center"/>
              <w:rPr>
                <w:b/>
                <w:sz w:val="18"/>
                <w:szCs w:val="18"/>
              </w:rPr>
            </w:pPr>
            <w:r>
              <w:rPr>
                <w:b/>
                <w:sz w:val="18"/>
                <w:szCs w:val="18"/>
              </w:rPr>
              <w:t>学期</w:t>
            </w:r>
          </w:p>
        </w:tc>
        <w:tc>
          <w:tcPr>
            <w:tcW w:w="798" w:type="dxa"/>
            <w:vMerge w:val="restart"/>
            <w:tcBorders>
              <w:right w:val="single" w:color="auto" w:sz="4" w:space="0"/>
            </w:tcBorders>
            <w:vAlign w:val="center"/>
          </w:tcPr>
          <w:p>
            <w:pPr>
              <w:pStyle w:val="11"/>
              <w:keepNext/>
              <w:spacing w:line="240" w:lineRule="exact"/>
              <w:ind w:left="-120" w:leftChars="-50" w:right="-120" w:rightChars="-50" w:firstLine="0"/>
              <w:jc w:val="center"/>
              <w:rPr>
                <w:b/>
                <w:sz w:val="18"/>
                <w:szCs w:val="18"/>
              </w:rPr>
            </w:pPr>
            <w:r>
              <w:rPr>
                <w:b/>
                <w:sz w:val="18"/>
                <w:szCs w:val="18"/>
              </w:rPr>
              <w:t>培养</w:t>
            </w:r>
          </w:p>
          <w:p>
            <w:pPr>
              <w:pStyle w:val="11"/>
              <w:keepNext/>
              <w:spacing w:line="240" w:lineRule="exact"/>
              <w:ind w:left="-120" w:leftChars="-50" w:right="-120" w:rightChars="-50" w:firstLine="0"/>
              <w:jc w:val="center"/>
              <w:rPr>
                <w:b/>
                <w:sz w:val="18"/>
                <w:szCs w:val="18"/>
              </w:rPr>
            </w:pPr>
            <w:r>
              <w:rPr>
                <w:b/>
                <w:sz w:val="18"/>
                <w:szCs w:val="18"/>
              </w:rPr>
              <w:t>类型</w:t>
            </w:r>
          </w:p>
        </w:tc>
        <w:tc>
          <w:tcPr>
            <w:tcW w:w="658" w:type="dxa"/>
            <w:vMerge w:val="restart"/>
            <w:tcBorders>
              <w:left w:val="single" w:color="auto" w:sz="4" w:space="0"/>
              <w:right w:val="single" w:color="auto" w:sz="4" w:space="0"/>
            </w:tcBorders>
            <w:vAlign w:val="center"/>
          </w:tcPr>
          <w:p>
            <w:pPr>
              <w:pStyle w:val="11"/>
              <w:keepNext/>
              <w:spacing w:line="240" w:lineRule="exact"/>
              <w:ind w:left="-120" w:leftChars="-50" w:right="-120" w:rightChars="-50" w:firstLine="0"/>
              <w:jc w:val="center"/>
              <w:rPr>
                <w:b/>
                <w:sz w:val="18"/>
                <w:szCs w:val="18"/>
              </w:rPr>
            </w:pPr>
            <w:r>
              <w:rPr>
                <w:b/>
                <w:sz w:val="18"/>
                <w:szCs w:val="18"/>
              </w:rPr>
              <w:t>开课</w:t>
            </w:r>
          </w:p>
          <w:p>
            <w:pPr>
              <w:pStyle w:val="11"/>
              <w:keepNext/>
              <w:spacing w:line="240" w:lineRule="exact"/>
              <w:ind w:left="-120" w:leftChars="-50" w:right="-120" w:rightChars="-50" w:firstLine="0"/>
              <w:jc w:val="center"/>
              <w:rPr>
                <w:b/>
                <w:sz w:val="18"/>
                <w:szCs w:val="18"/>
              </w:rPr>
            </w:pPr>
            <w:r>
              <w:rPr>
                <w:b/>
                <w:sz w:val="18"/>
                <w:szCs w:val="18"/>
              </w:rPr>
              <w:t>学院</w:t>
            </w:r>
          </w:p>
        </w:tc>
        <w:tc>
          <w:tcPr>
            <w:tcW w:w="747" w:type="dxa"/>
            <w:vMerge w:val="restart"/>
            <w:tcBorders>
              <w:left w:val="single" w:color="auto" w:sz="4" w:space="0"/>
            </w:tcBorders>
            <w:vAlign w:val="center"/>
          </w:tcPr>
          <w:p>
            <w:pPr>
              <w:pStyle w:val="11"/>
              <w:keepNext/>
              <w:spacing w:line="240" w:lineRule="exact"/>
              <w:ind w:left="-120" w:leftChars="-50" w:right="-120" w:rightChars="-50" w:firstLine="0"/>
              <w:jc w:val="center"/>
              <w:rPr>
                <w:b/>
                <w:sz w:val="18"/>
                <w:szCs w:val="18"/>
              </w:rPr>
            </w:pPr>
            <w:r>
              <w:rPr>
                <w:b/>
                <w:sz w:val="18"/>
                <w:szCs w:val="18"/>
              </w:rPr>
              <w:t>修读</w:t>
            </w:r>
          </w:p>
          <w:p>
            <w:pPr>
              <w:pStyle w:val="11"/>
              <w:keepNext/>
              <w:spacing w:line="240" w:lineRule="exact"/>
              <w:ind w:left="-120" w:leftChars="-50" w:right="-120" w:rightChars="-50" w:firstLine="0"/>
              <w:jc w:val="center"/>
              <w:rPr>
                <w:b/>
                <w:sz w:val="18"/>
                <w:szCs w:val="18"/>
              </w:rPr>
            </w:pPr>
            <w:r>
              <w:rPr>
                <w:b/>
                <w:sz w:val="18"/>
                <w:szCs w:val="18"/>
              </w:rPr>
              <w:t>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17" w:type="dxa"/>
            <w:vMerge w:val="continue"/>
            <w:vAlign w:val="center"/>
          </w:tcPr>
          <w:p>
            <w:pPr>
              <w:pStyle w:val="11"/>
              <w:keepNext/>
              <w:spacing w:line="240" w:lineRule="exact"/>
              <w:ind w:left="-120" w:leftChars="-50" w:right="-120" w:rightChars="-50" w:firstLine="0"/>
              <w:jc w:val="center"/>
              <w:rPr>
                <w:b/>
                <w:sz w:val="18"/>
                <w:szCs w:val="18"/>
              </w:rPr>
            </w:pPr>
          </w:p>
        </w:tc>
        <w:tc>
          <w:tcPr>
            <w:tcW w:w="1045" w:type="dxa"/>
            <w:vMerge w:val="continue"/>
            <w:vAlign w:val="center"/>
          </w:tcPr>
          <w:p>
            <w:pPr>
              <w:pStyle w:val="11"/>
              <w:keepNext/>
              <w:spacing w:line="240" w:lineRule="exact"/>
              <w:ind w:left="-120" w:leftChars="-50" w:right="-120" w:rightChars="-50" w:firstLine="0"/>
              <w:jc w:val="center"/>
              <w:rPr>
                <w:b/>
                <w:sz w:val="18"/>
                <w:szCs w:val="18"/>
              </w:rPr>
            </w:pPr>
          </w:p>
        </w:tc>
        <w:tc>
          <w:tcPr>
            <w:tcW w:w="2850" w:type="dxa"/>
            <w:vMerge w:val="continue"/>
            <w:vAlign w:val="center"/>
          </w:tcPr>
          <w:p>
            <w:pPr>
              <w:pStyle w:val="11"/>
              <w:keepNext/>
              <w:spacing w:line="240" w:lineRule="exact"/>
              <w:ind w:left="-120" w:leftChars="-50" w:right="-120" w:rightChars="-50" w:firstLine="0"/>
              <w:jc w:val="center"/>
              <w:rPr>
                <w:b/>
                <w:sz w:val="18"/>
                <w:szCs w:val="18"/>
              </w:rPr>
            </w:pPr>
          </w:p>
        </w:tc>
        <w:tc>
          <w:tcPr>
            <w:tcW w:w="705" w:type="dxa"/>
            <w:vMerge w:val="continue"/>
            <w:vAlign w:val="center"/>
          </w:tcPr>
          <w:p>
            <w:pPr>
              <w:pStyle w:val="11"/>
              <w:keepNext/>
              <w:spacing w:line="240" w:lineRule="exact"/>
              <w:ind w:left="-120" w:leftChars="-50" w:right="-120" w:rightChars="-50" w:firstLine="0"/>
              <w:jc w:val="center"/>
              <w:rPr>
                <w:b/>
                <w:sz w:val="18"/>
                <w:szCs w:val="18"/>
              </w:rPr>
            </w:pPr>
          </w:p>
        </w:tc>
        <w:tc>
          <w:tcPr>
            <w:tcW w:w="503" w:type="dxa"/>
            <w:vAlign w:val="center"/>
          </w:tcPr>
          <w:p>
            <w:pPr>
              <w:pStyle w:val="11"/>
              <w:keepNext/>
              <w:spacing w:line="240" w:lineRule="exact"/>
              <w:ind w:left="-120" w:leftChars="-50" w:right="-120" w:rightChars="-50" w:firstLine="0"/>
              <w:jc w:val="center"/>
              <w:rPr>
                <w:b/>
                <w:sz w:val="18"/>
                <w:szCs w:val="18"/>
              </w:rPr>
            </w:pPr>
            <w:r>
              <w:rPr>
                <w:b/>
                <w:sz w:val="18"/>
                <w:szCs w:val="18"/>
              </w:rPr>
              <w:t>总计</w:t>
            </w:r>
          </w:p>
        </w:tc>
        <w:tc>
          <w:tcPr>
            <w:tcW w:w="425" w:type="dxa"/>
            <w:vAlign w:val="center"/>
          </w:tcPr>
          <w:p>
            <w:pPr>
              <w:pStyle w:val="11"/>
              <w:keepNext/>
              <w:spacing w:line="240" w:lineRule="exact"/>
              <w:ind w:left="-120" w:leftChars="-50" w:right="-120" w:rightChars="-50" w:firstLine="0"/>
              <w:jc w:val="center"/>
              <w:rPr>
                <w:b/>
                <w:sz w:val="18"/>
                <w:szCs w:val="18"/>
              </w:rPr>
            </w:pPr>
            <w:r>
              <w:rPr>
                <w:b/>
                <w:sz w:val="18"/>
                <w:szCs w:val="18"/>
              </w:rPr>
              <w:t>讲授</w:t>
            </w:r>
          </w:p>
        </w:tc>
        <w:tc>
          <w:tcPr>
            <w:tcW w:w="426" w:type="dxa"/>
            <w:vAlign w:val="center"/>
          </w:tcPr>
          <w:p>
            <w:pPr>
              <w:pStyle w:val="11"/>
              <w:keepNext/>
              <w:spacing w:line="240" w:lineRule="exact"/>
              <w:ind w:left="-120" w:leftChars="-50" w:right="-120" w:rightChars="-50" w:firstLine="0"/>
              <w:jc w:val="center"/>
              <w:rPr>
                <w:b/>
                <w:sz w:val="18"/>
                <w:szCs w:val="18"/>
              </w:rPr>
            </w:pPr>
            <w:r>
              <w:rPr>
                <w:b/>
                <w:sz w:val="18"/>
                <w:szCs w:val="18"/>
              </w:rPr>
              <w:t>实验</w:t>
            </w:r>
          </w:p>
        </w:tc>
        <w:tc>
          <w:tcPr>
            <w:tcW w:w="476" w:type="dxa"/>
            <w:vMerge w:val="continue"/>
            <w:tcBorders>
              <w:right w:val="single" w:color="auto" w:sz="4" w:space="0"/>
            </w:tcBorders>
            <w:vAlign w:val="center"/>
          </w:tcPr>
          <w:p>
            <w:pPr>
              <w:pStyle w:val="11"/>
              <w:keepNext/>
              <w:spacing w:line="240" w:lineRule="exact"/>
              <w:ind w:left="-120" w:leftChars="-50" w:right="-120" w:rightChars="-50" w:firstLine="0"/>
              <w:jc w:val="center"/>
              <w:rPr>
                <w:b/>
                <w:sz w:val="18"/>
                <w:szCs w:val="18"/>
              </w:rPr>
            </w:pPr>
          </w:p>
        </w:tc>
        <w:tc>
          <w:tcPr>
            <w:tcW w:w="798" w:type="dxa"/>
            <w:vMerge w:val="continue"/>
            <w:tcBorders>
              <w:right w:val="single" w:color="auto" w:sz="4" w:space="0"/>
            </w:tcBorders>
            <w:vAlign w:val="center"/>
          </w:tcPr>
          <w:p>
            <w:pPr>
              <w:pStyle w:val="11"/>
              <w:keepNext/>
              <w:spacing w:line="240" w:lineRule="exact"/>
              <w:ind w:left="-120" w:leftChars="-50" w:right="-120" w:rightChars="-50" w:firstLine="0"/>
              <w:jc w:val="center"/>
              <w:rPr>
                <w:b/>
                <w:sz w:val="18"/>
                <w:szCs w:val="18"/>
              </w:rPr>
            </w:pPr>
          </w:p>
        </w:tc>
        <w:tc>
          <w:tcPr>
            <w:tcW w:w="658" w:type="dxa"/>
            <w:vMerge w:val="continue"/>
            <w:tcBorders>
              <w:left w:val="single" w:color="auto" w:sz="4" w:space="0"/>
              <w:right w:val="single" w:color="auto" w:sz="4" w:space="0"/>
            </w:tcBorders>
            <w:vAlign w:val="center"/>
          </w:tcPr>
          <w:p>
            <w:pPr>
              <w:pStyle w:val="11"/>
              <w:keepNext/>
              <w:spacing w:line="240" w:lineRule="exact"/>
              <w:ind w:left="-120" w:leftChars="-50" w:right="-120" w:rightChars="-50" w:firstLine="0"/>
              <w:jc w:val="center"/>
              <w:rPr>
                <w:b/>
                <w:sz w:val="18"/>
                <w:szCs w:val="18"/>
              </w:rPr>
            </w:pPr>
          </w:p>
        </w:tc>
        <w:tc>
          <w:tcPr>
            <w:tcW w:w="747" w:type="dxa"/>
            <w:vMerge w:val="continue"/>
            <w:tcBorders>
              <w:left w:val="single" w:color="auto" w:sz="4" w:space="0"/>
              <w:bottom w:val="single" w:color="auto" w:sz="4" w:space="0"/>
            </w:tcBorders>
            <w:vAlign w:val="center"/>
          </w:tcPr>
          <w:p>
            <w:pPr>
              <w:pStyle w:val="11"/>
              <w:keepNext/>
              <w:spacing w:line="240" w:lineRule="exact"/>
              <w:ind w:left="-120" w:leftChars="-50" w:right="-120" w:rightChars="-50" w:firstLine="0"/>
              <w:jc w:val="center"/>
              <w:rPr>
                <w:b/>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17" w:type="dxa"/>
            <w:vMerge w:val="restart"/>
            <w:tcBorders>
              <w:top w:val="single" w:color="auto" w:sz="4" w:space="0"/>
              <w:right w:val="single" w:color="auto" w:sz="4" w:space="0"/>
            </w:tcBorders>
            <w:vAlign w:val="center"/>
          </w:tcPr>
          <w:p>
            <w:pPr>
              <w:spacing w:line="240" w:lineRule="exact"/>
              <w:ind w:left="-120" w:leftChars="-50" w:right="-120" w:rightChars="-50"/>
              <w:jc w:val="center"/>
              <w:rPr>
                <w:bCs/>
                <w:sz w:val="18"/>
                <w:szCs w:val="18"/>
              </w:rPr>
            </w:pPr>
            <w:r>
              <w:rPr>
                <w:bCs/>
                <w:sz w:val="18"/>
                <w:szCs w:val="18"/>
              </w:rPr>
              <w:t>专</w:t>
            </w:r>
          </w:p>
          <w:p>
            <w:pPr>
              <w:spacing w:line="240" w:lineRule="exact"/>
              <w:ind w:left="-120" w:leftChars="-50" w:right="-120" w:rightChars="-50"/>
              <w:jc w:val="center"/>
              <w:rPr>
                <w:bCs/>
                <w:sz w:val="18"/>
                <w:szCs w:val="18"/>
              </w:rPr>
            </w:pPr>
            <w:r>
              <w:rPr>
                <w:bCs/>
                <w:sz w:val="18"/>
                <w:szCs w:val="18"/>
              </w:rPr>
              <w:t>业</w:t>
            </w:r>
          </w:p>
          <w:p>
            <w:pPr>
              <w:spacing w:line="240" w:lineRule="exact"/>
              <w:ind w:left="-120" w:leftChars="-50" w:right="-120" w:rightChars="-50"/>
              <w:jc w:val="center"/>
              <w:rPr>
                <w:bCs/>
                <w:sz w:val="18"/>
                <w:szCs w:val="18"/>
              </w:rPr>
            </w:pPr>
            <w:r>
              <w:rPr>
                <w:bCs/>
                <w:sz w:val="18"/>
                <w:szCs w:val="18"/>
              </w:rPr>
              <w:t>方</w:t>
            </w:r>
          </w:p>
          <w:p>
            <w:pPr>
              <w:spacing w:line="240" w:lineRule="exact"/>
              <w:ind w:left="-120" w:leftChars="-50" w:right="-120" w:rightChars="-50"/>
              <w:jc w:val="center"/>
              <w:rPr>
                <w:bCs/>
                <w:sz w:val="18"/>
                <w:szCs w:val="18"/>
              </w:rPr>
            </w:pPr>
            <w:r>
              <w:rPr>
                <w:bCs/>
                <w:sz w:val="18"/>
                <w:szCs w:val="18"/>
              </w:rPr>
              <w:t>向</w:t>
            </w:r>
          </w:p>
          <w:p>
            <w:pPr>
              <w:spacing w:line="240" w:lineRule="exact"/>
              <w:ind w:left="-120" w:leftChars="-50" w:right="-120" w:rightChars="-50"/>
              <w:jc w:val="center"/>
              <w:rPr>
                <w:bCs/>
                <w:sz w:val="18"/>
                <w:szCs w:val="18"/>
              </w:rPr>
            </w:pPr>
            <w:r>
              <w:rPr>
                <w:bCs/>
                <w:sz w:val="18"/>
                <w:szCs w:val="18"/>
              </w:rPr>
              <w:t>课</w:t>
            </w:r>
          </w:p>
        </w:tc>
        <w:tc>
          <w:tcPr>
            <w:tcW w:w="1045" w:type="dxa"/>
            <w:tcBorders>
              <w:top w:val="single" w:color="auto" w:sz="4" w:space="0"/>
              <w:left w:val="single" w:color="auto" w:sz="4" w:space="0"/>
            </w:tcBorders>
            <w:vAlign w:val="center"/>
          </w:tcPr>
          <w:p>
            <w:pPr>
              <w:spacing w:line="240" w:lineRule="exact"/>
              <w:jc w:val="center"/>
              <w:rPr>
                <w:bCs/>
                <w:sz w:val="18"/>
                <w:szCs w:val="18"/>
              </w:rPr>
            </w:pPr>
            <w:r>
              <w:rPr>
                <w:sz w:val="18"/>
                <w:szCs w:val="18"/>
              </w:rPr>
              <w:t>XF037032</w:t>
            </w:r>
          </w:p>
        </w:tc>
        <w:tc>
          <w:tcPr>
            <w:tcW w:w="2850" w:type="dxa"/>
            <w:vAlign w:val="center"/>
          </w:tcPr>
          <w:p>
            <w:pPr>
              <w:spacing w:line="240" w:lineRule="exact"/>
              <w:rPr>
                <w:bCs/>
                <w:snapToGrid w:val="0"/>
                <w:sz w:val="18"/>
                <w:szCs w:val="18"/>
              </w:rPr>
            </w:pPr>
            <w:r>
              <w:rPr>
                <w:bCs/>
                <w:snapToGrid w:val="0"/>
                <w:sz w:val="18"/>
                <w:szCs w:val="18"/>
              </w:rPr>
              <w:t>西方法律思想史</w:t>
            </w:r>
          </w:p>
          <w:p>
            <w:pPr>
              <w:spacing w:line="240" w:lineRule="exact"/>
              <w:rPr>
                <w:bCs/>
                <w:spacing w:val="-8"/>
                <w:position w:val="-8"/>
                <w:sz w:val="18"/>
                <w:szCs w:val="18"/>
              </w:rPr>
            </w:pPr>
            <w:r>
              <w:rPr>
                <w:bCs/>
                <w:snapToGrid w:val="0"/>
                <w:sz w:val="18"/>
                <w:szCs w:val="18"/>
              </w:rPr>
              <w:t>History of Western Legal Thoughts</w:t>
            </w:r>
          </w:p>
        </w:tc>
        <w:tc>
          <w:tcPr>
            <w:tcW w:w="705" w:type="dxa"/>
            <w:vAlign w:val="center"/>
          </w:tcPr>
          <w:p>
            <w:pPr>
              <w:spacing w:line="240" w:lineRule="exact"/>
              <w:jc w:val="center"/>
              <w:rPr>
                <w:sz w:val="18"/>
                <w:szCs w:val="18"/>
              </w:rPr>
            </w:pPr>
            <w:r>
              <w:rPr>
                <w:sz w:val="18"/>
                <w:szCs w:val="18"/>
              </w:rPr>
              <w:t>2</w:t>
            </w:r>
          </w:p>
        </w:tc>
        <w:tc>
          <w:tcPr>
            <w:tcW w:w="503" w:type="dxa"/>
            <w:vAlign w:val="center"/>
          </w:tcPr>
          <w:p>
            <w:pPr>
              <w:spacing w:line="240" w:lineRule="exact"/>
              <w:jc w:val="center"/>
              <w:rPr>
                <w:sz w:val="18"/>
                <w:szCs w:val="18"/>
              </w:rPr>
            </w:pPr>
            <w:r>
              <w:rPr>
                <w:sz w:val="18"/>
                <w:szCs w:val="18"/>
              </w:rPr>
              <w:t>32</w:t>
            </w:r>
          </w:p>
        </w:tc>
        <w:tc>
          <w:tcPr>
            <w:tcW w:w="425" w:type="dxa"/>
            <w:vAlign w:val="center"/>
          </w:tcPr>
          <w:p>
            <w:pPr>
              <w:spacing w:line="240" w:lineRule="exact"/>
              <w:jc w:val="center"/>
              <w:rPr>
                <w:sz w:val="18"/>
                <w:szCs w:val="18"/>
              </w:rPr>
            </w:pPr>
            <w:r>
              <w:rPr>
                <w:sz w:val="18"/>
                <w:szCs w:val="18"/>
              </w:rPr>
              <w:t>26</w:t>
            </w:r>
          </w:p>
        </w:tc>
        <w:tc>
          <w:tcPr>
            <w:tcW w:w="426" w:type="dxa"/>
            <w:vAlign w:val="center"/>
          </w:tcPr>
          <w:p>
            <w:pPr>
              <w:spacing w:line="240" w:lineRule="exact"/>
              <w:jc w:val="center"/>
              <w:rPr>
                <w:sz w:val="18"/>
                <w:szCs w:val="18"/>
              </w:rPr>
            </w:pPr>
            <w:r>
              <w:rPr>
                <w:sz w:val="18"/>
                <w:szCs w:val="18"/>
              </w:rPr>
              <w:t>6</w:t>
            </w:r>
          </w:p>
        </w:tc>
        <w:tc>
          <w:tcPr>
            <w:tcW w:w="476" w:type="dxa"/>
            <w:tcBorders>
              <w:right w:val="single" w:color="auto" w:sz="4" w:space="0"/>
            </w:tcBorders>
            <w:vAlign w:val="center"/>
          </w:tcPr>
          <w:p>
            <w:pPr>
              <w:spacing w:line="240" w:lineRule="exact"/>
              <w:jc w:val="center"/>
              <w:rPr>
                <w:sz w:val="18"/>
                <w:szCs w:val="18"/>
              </w:rPr>
            </w:pPr>
            <w:r>
              <w:rPr>
                <w:sz w:val="18"/>
                <w:szCs w:val="18"/>
              </w:rPr>
              <w:t>2</w:t>
            </w:r>
          </w:p>
        </w:tc>
        <w:tc>
          <w:tcPr>
            <w:tcW w:w="798" w:type="dxa"/>
            <w:tcBorders>
              <w:right w:val="single" w:color="auto" w:sz="4" w:space="0"/>
            </w:tcBorders>
            <w:vAlign w:val="center"/>
          </w:tcPr>
          <w:p>
            <w:pPr>
              <w:spacing w:line="240" w:lineRule="exact"/>
              <w:jc w:val="center"/>
              <w:rPr>
                <w:sz w:val="18"/>
                <w:szCs w:val="18"/>
              </w:rPr>
            </w:pPr>
            <w:r>
              <w:rPr>
                <w:sz w:val="18"/>
                <w:szCs w:val="18"/>
              </w:rPr>
              <w:t>专业型</w:t>
            </w:r>
          </w:p>
        </w:tc>
        <w:tc>
          <w:tcPr>
            <w:tcW w:w="658" w:type="dxa"/>
            <w:tcBorders>
              <w:left w:val="single" w:color="auto" w:sz="4" w:space="0"/>
              <w:right w:val="single" w:color="auto" w:sz="4" w:space="0"/>
            </w:tcBorders>
            <w:vAlign w:val="center"/>
          </w:tcPr>
          <w:p>
            <w:pPr>
              <w:spacing w:line="240" w:lineRule="exact"/>
              <w:jc w:val="center"/>
              <w:rPr>
                <w:sz w:val="18"/>
                <w:szCs w:val="18"/>
              </w:rPr>
            </w:pPr>
            <w:r>
              <w:rPr>
                <w:sz w:val="18"/>
                <w:szCs w:val="18"/>
              </w:rPr>
              <w:t>公管</w:t>
            </w:r>
          </w:p>
        </w:tc>
        <w:tc>
          <w:tcPr>
            <w:tcW w:w="747" w:type="dxa"/>
            <w:vMerge w:val="restart"/>
            <w:tcBorders>
              <w:top w:val="single" w:color="auto" w:sz="4" w:space="0"/>
              <w:left w:val="single" w:color="auto" w:sz="4" w:space="0"/>
            </w:tcBorders>
            <w:vAlign w:val="center"/>
          </w:tcPr>
          <w:p>
            <w:pPr>
              <w:pStyle w:val="11"/>
              <w:keepNext/>
              <w:spacing w:line="240" w:lineRule="exact"/>
              <w:ind w:left="-120" w:leftChars="-50" w:right="-120" w:rightChars="-50" w:firstLine="0"/>
              <w:jc w:val="center"/>
              <w:rPr>
                <w:bCs/>
                <w:snapToGrid w:val="0"/>
                <w:sz w:val="18"/>
                <w:szCs w:val="18"/>
              </w:rPr>
            </w:pPr>
            <w:r>
              <w:rPr>
                <w:bCs/>
                <w:snapToGrid w:val="0"/>
                <w:sz w:val="18"/>
                <w:szCs w:val="18"/>
              </w:rPr>
              <w:t>每名学生至少选修15学分。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17" w:type="dxa"/>
            <w:vMerge w:val="continue"/>
            <w:tcBorders>
              <w:right w:val="single" w:color="auto" w:sz="4" w:space="0"/>
            </w:tcBorders>
            <w:vAlign w:val="center"/>
          </w:tcPr>
          <w:p>
            <w:pPr>
              <w:spacing w:line="240" w:lineRule="exact"/>
              <w:ind w:left="-120" w:leftChars="-50" w:right="-120" w:rightChars="-50"/>
              <w:jc w:val="center"/>
              <w:rPr>
                <w:bCs/>
                <w:sz w:val="18"/>
                <w:szCs w:val="18"/>
              </w:rPr>
            </w:pPr>
          </w:p>
        </w:tc>
        <w:tc>
          <w:tcPr>
            <w:tcW w:w="1045" w:type="dxa"/>
            <w:tcBorders>
              <w:left w:val="single" w:color="auto" w:sz="4" w:space="0"/>
            </w:tcBorders>
            <w:vAlign w:val="center"/>
          </w:tcPr>
          <w:p>
            <w:pPr>
              <w:spacing w:line="240" w:lineRule="exact"/>
              <w:jc w:val="center"/>
              <w:rPr>
                <w:bCs/>
                <w:sz w:val="18"/>
                <w:szCs w:val="18"/>
              </w:rPr>
            </w:pPr>
            <w:r>
              <w:rPr>
                <w:sz w:val="18"/>
                <w:szCs w:val="18"/>
              </w:rPr>
              <w:t>XF037029</w:t>
            </w:r>
          </w:p>
        </w:tc>
        <w:tc>
          <w:tcPr>
            <w:tcW w:w="2850" w:type="dxa"/>
            <w:vAlign w:val="center"/>
          </w:tcPr>
          <w:p>
            <w:pPr>
              <w:spacing w:line="240" w:lineRule="exact"/>
              <w:rPr>
                <w:bCs/>
                <w:snapToGrid w:val="0"/>
                <w:sz w:val="18"/>
                <w:szCs w:val="18"/>
              </w:rPr>
            </w:pPr>
            <w:r>
              <w:rPr>
                <w:bCs/>
                <w:snapToGrid w:val="0"/>
                <w:sz w:val="18"/>
                <w:szCs w:val="18"/>
              </w:rPr>
              <w:t>外国法制史</w:t>
            </w:r>
          </w:p>
          <w:p>
            <w:pPr>
              <w:spacing w:line="240" w:lineRule="exact"/>
              <w:rPr>
                <w:bCs/>
                <w:spacing w:val="-8"/>
                <w:position w:val="-8"/>
                <w:sz w:val="18"/>
                <w:szCs w:val="18"/>
              </w:rPr>
            </w:pPr>
            <w:r>
              <w:rPr>
                <w:bCs/>
                <w:snapToGrid w:val="0"/>
                <w:sz w:val="18"/>
                <w:szCs w:val="18"/>
              </w:rPr>
              <w:t>Foreign Legal History</w:t>
            </w:r>
          </w:p>
        </w:tc>
        <w:tc>
          <w:tcPr>
            <w:tcW w:w="705" w:type="dxa"/>
            <w:vAlign w:val="center"/>
          </w:tcPr>
          <w:p>
            <w:pPr>
              <w:spacing w:line="240" w:lineRule="exact"/>
              <w:jc w:val="center"/>
              <w:rPr>
                <w:sz w:val="18"/>
                <w:szCs w:val="18"/>
              </w:rPr>
            </w:pPr>
            <w:r>
              <w:rPr>
                <w:sz w:val="18"/>
                <w:szCs w:val="18"/>
              </w:rPr>
              <w:t>3</w:t>
            </w:r>
          </w:p>
        </w:tc>
        <w:tc>
          <w:tcPr>
            <w:tcW w:w="503" w:type="dxa"/>
            <w:vAlign w:val="center"/>
          </w:tcPr>
          <w:p>
            <w:pPr>
              <w:spacing w:line="240" w:lineRule="exact"/>
              <w:jc w:val="center"/>
              <w:rPr>
                <w:sz w:val="18"/>
                <w:szCs w:val="18"/>
              </w:rPr>
            </w:pPr>
            <w:r>
              <w:rPr>
                <w:sz w:val="18"/>
                <w:szCs w:val="18"/>
              </w:rPr>
              <w:t>48</w:t>
            </w:r>
          </w:p>
        </w:tc>
        <w:tc>
          <w:tcPr>
            <w:tcW w:w="425" w:type="dxa"/>
            <w:vAlign w:val="center"/>
          </w:tcPr>
          <w:p>
            <w:pPr>
              <w:spacing w:line="240" w:lineRule="exact"/>
              <w:jc w:val="center"/>
              <w:rPr>
                <w:sz w:val="18"/>
                <w:szCs w:val="18"/>
              </w:rPr>
            </w:pPr>
            <w:r>
              <w:rPr>
                <w:sz w:val="18"/>
                <w:szCs w:val="18"/>
              </w:rPr>
              <w:t>40</w:t>
            </w:r>
          </w:p>
        </w:tc>
        <w:tc>
          <w:tcPr>
            <w:tcW w:w="426" w:type="dxa"/>
            <w:vAlign w:val="center"/>
          </w:tcPr>
          <w:p>
            <w:pPr>
              <w:spacing w:line="240" w:lineRule="exact"/>
              <w:jc w:val="center"/>
              <w:rPr>
                <w:sz w:val="18"/>
                <w:szCs w:val="18"/>
              </w:rPr>
            </w:pPr>
            <w:r>
              <w:rPr>
                <w:sz w:val="18"/>
                <w:szCs w:val="18"/>
              </w:rPr>
              <w:t>8</w:t>
            </w:r>
          </w:p>
        </w:tc>
        <w:tc>
          <w:tcPr>
            <w:tcW w:w="476" w:type="dxa"/>
            <w:vAlign w:val="center"/>
          </w:tcPr>
          <w:p>
            <w:pPr>
              <w:spacing w:line="240" w:lineRule="exact"/>
              <w:jc w:val="center"/>
              <w:rPr>
                <w:sz w:val="18"/>
                <w:szCs w:val="18"/>
              </w:rPr>
            </w:pPr>
            <w:r>
              <w:rPr>
                <w:sz w:val="18"/>
                <w:szCs w:val="18"/>
              </w:rPr>
              <w:t>2</w:t>
            </w:r>
          </w:p>
        </w:tc>
        <w:tc>
          <w:tcPr>
            <w:tcW w:w="798" w:type="dxa"/>
            <w:vAlign w:val="center"/>
          </w:tcPr>
          <w:p>
            <w:pPr>
              <w:spacing w:line="240" w:lineRule="exact"/>
              <w:jc w:val="center"/>
              <w:rPr>
                <w:sz w:val="18"/>
                <w:szCs w:val="18"/>
              </w:rPr>
            </w:pPr>
            <w:r>
              <w:rPr>
                <w:sz w:val="18"/>
                <w:szCs w:val="18"/>
              </w:rPr>
              <w:t>专业型</w:t>
            </w:r>
          </w:p>
        </w:tc>
        <w:tc>
          <w:tcPr>
            <w:tcW w:w="658" w:type="dxa"/>
            <w:tcBorders>
              <w:right w:val="single" w:color="auto" w:sz="4" w:space="0"/>
            </w:tcBorders>
            <w:vAlign w:val="center"/>
          </w:tcPr>
          <w:p>
            <w:pPr>
              <w:spacing w:line="240" w:lineRule="exact"/>
              <w:jc w:val="center"/>
              <w:rPr>
                <w:sz w:val="18"/>
                <w:szCs w:val="18"/>
              </w:rPr>
            </w:pPr>
            <w:r>
              <w:rPr>
                <w:sz w:val="18"/>
                <w:szCs w:val="18"/>
              </w:rPr>
              <w:t>公管</w:t>
            </w:r>
          </w:p>
        </w:tc>
        <w:tc>
          <w:tcPr>
            <w:tcW w:w="747" w:type="dxa"/>
            <w:vMerge w:val="continue"/>
            <w:tcBorders>
              <w:left w:val="single" w:color="auto" w:sz="4" w:space="0"/>
            </w:tcBorders>
            <w:vAlign w:val="center"/>
          </w:tcPr>
          <w:p>
            <w:pPr>
              <w:spacing w:line="240" w:lineRule="exact"/>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17" w:type="dxa"/>
            <w:vMerge w:val="continue"/>
            <w:tcBorders>
              <w:right w:val="single" w:color="auto" w:sz="4" w:space="0"/>
            </w:tcBorders>
            <w:vAlign w:val="center"/>
          </w:tcPr>
          <w:p>
            <w:pPr>
              <w:spacing w:line="240" w:lineRule="exact"/>
              <w:ind w:left="-120" w:leftChars="-50" w:right="-120" w:rightChars="-50"/>
              <w:jc w:val="center"/>
              <w:rPr>
                <w:bCs/>
                <w:sz w:val="18"/>
                <w:szCs w:val="18"/>
              </w:rPr>
            </w:pPr>
          </w:p>
        </w:tc>
        <w:tc>
          <w:tcPr>
            <w:tcW w:w="1045" w:type="dxa"/>
            <w:tcBorders>
              <w:left w:val="single" w:color="auto" w:sz="4" w:space="0"/>
            </w:tcBorders>
            <w:vAlign w:val="center"/>
          </w:tcPr>
          <w:p>
            <w:pPr>
              <w:spacing w:line="240" w:lineRule="exact"/>
              <w:jc w:val="center"/>
              <w:rPr>
                <w:bCs/>
                <w:sz w:val="18"/>
                <w:szCs w:val="18"/>
              </w:rPr>
            </w:pPr>
            <w:r>
              <w:rPr>
                <w:sz w:val="18"/>
                <w:szCs w:val="18"/>
              </w:rPr>
              <w:t>XF037009</w:t>
            </w:r>
          </w:p>
        </w:tc>
        <w:tc>
          <w:tcPr>
            <w:tcW w:w="2850" w:type="dxa"/>
            <w:vAlign w:val="center"/>
          </w:tcPr>
          <w:p>
            <w:pPr>
              <w:spacing w:line="240" w:lineRule="exact"/>
              <w:rPr>
                <w:bCs/>
                <w:snapToGrid w:val="0"/>
                <w:color w:val="000000"/>
                <w:sz w:val="18"/>
                <w:szCs w:val="18"/>
              </w:rPr>
            </w:pPr>
            <w:r>
              <w:rPr>
                <w:bCs/>
                <w:snapToGrid w:val="0"/>
                <w:color w:val="000000"/>
                <w:sz w:val="18"/>
                <w:szCs w:val="18"/>
              </w:rPr>
              <w:t>法学方法论</w:t>
            </w:r>
          </w:p>
          <w:p>
            <w:pPr>
              <w:spacing w:line="240" w:lineRule="exact"/>
              <w:rPr>
                <w:bCs/>
                <w:color w:val="000000"/>
                <w:spacing w:val="-8"/>
                <w:position w:val="-8"/>
                <w:sz w:val="18"/>
                <w:szCs w:val="18"/>
              </w:rPr>
            </w:pPr>
            <w:r>
              <w:rPr>
                <w:bCs/>
                <w:snapToGrid w:val="0"/>
                <w:color w:val="000000"/>
                <w:sz w:val="18"/>
                <w:szCs w:val="18"/>
              </w:rPr>
              <w:t>Methodology of Jurisprudence</w:t>
            </w:r>
          </w:p>
        </w:tc>
        <w:tc>
          <w:tcPr>
            <w:tcW w:w="705" w:type="dxa"/>
            <w:vAlign w:val="center"/>
          </w:tcPr>
          <w:p>
            <w:pPr>
              <w:spacing w:line="240" w:lineRule="exact"/>
              <w:jc w:val="center"/>
              <w:rPr>
                <w:sz w:val="18"/>
                <w:szCs w:val="18"/>
              </w:rPr>
            </w:pPr>
            <w:r>
              <w:rPr>
                <w:sz w:val="18"/>
                <w:szCs w:val="18"/>
              </w:rPr>
              <w:t>3</w:t>
            </w:r>
          </w:p>
        </w:tc>
        <w:tc>
          <w:tcPr>
            <w:tcW w:w="503" w:type="dxa"/>
            <w:vAlign w:val="center"/>
          </w:tcPr>
          <w:p>
            <w:pPr>
              <w:spacing w:line="240" w:lineRule="exact"/>
              <w:jc w:val="center"/>
              <w:rPr>
                <w:sz w:val="18"/>
                <w:szCs w:val="18"/>
              </w:rPr>
            </w:pPr>
            <w:r>
              <w:rPr>
                <w:sz w:val="18"/>
                <w:szCs w:val="18"/>
              </w:rPr>
              <w:t>48</w:t>
            </w:r>
          </w:p>
        </w:tc>
        <w:tc>
          <w:tcPr>
            <w:tcW w:w="425" w:type="dxa"/>
            <w:vAlign w:val="center"/>
          </w:tcPr>
          <w:p>
            <w:pPr>
              <w:spacing w:line="240" w:lineRule="exact"/>
              <w:jc w:val="center"/>
              <w:rPr>
                <w:sz w:val="18"/>
                <w:szCs w:val="18"/>
              </w:rPr>
            </w:pPr>
            <w:r>
              <w:rPr>
                <w:sz w:val="18"/>
                <w:szCs w:val="18"/>
              </w:rPr>
              <w:t>42</w:t>
            </w:r>
          </w:p>
        </w:tc>
        <w:tc>
          <w:tcPr>
            <w:tcW w:w="426" w:type="dxa"/>
            <w:vAlign w:val="center"/>
          </w:tcPr>
          <w:p>
            <w:pPr>
              <w:spacing w:line="240" w:lineRule="exact"/>
              <w:jc w:val="center"/>
              <w:rPr>
                <w:sz w:val="18"/>
                <w:szCs w:val="18"/>
              </w:rPr>
            </w:pPr>
            <w:r>
              <w:rPr>
                <w:sz w:val="18"/>
                <w:szCs w:val="18"/>
              </w:rPr>
              <w:t>6</w:t>
            </w:r>
          </w:p>
        </w:tc>
        <w:tc>
          <w:tcPr>
            <w:tcW w:w="476" w:type="dxa"/>
            <w:vAlign w:val="center"/>
          </w:tcPr>
          <w:p>
            <w:pPr>
              <w:spacing w:line="240" w:lineRule="exact"/>
              <w:jc w:val="center"/>
              <w:rPr>
                <w:sz w:val="18"/>
                <w:szCs w:val="18"/>
              </w:rPr>
            </w:pPr>
            <w:r>
              <w:rPr>
                <w:sz w:val="18"/>
                <w:szCs w:val="18"/>
              </w:rPr>
              <w:t>3</w:t>
            </w:r>
          </w:p>
        </w:tc>
        <w:tc>
          <w:tcPr>
            <w:tcW w:w="798" w:type="dxa"/>
            <w:vAlign w:val="center"/>
          </w:tcPr>
          <w:p>
            <w:pPr>
              <w:spacing w:line="240" w:lineRule="exact"/>
              <w:jc w:val="center"/>
              <w:rPr>
                <w:sz w:val="18"/>
                <w:szCs w:val="18"/>
              </w:rPr>
            </w:pPr>
            <w:r>
              <w:rPr>
                <w:sz w:val="18"/>
                <w:szCs w:val="18"/>
              </w:rPr>
              <w:t>专业型</w:t>
            </w:r>
          </w:p>
        </w:tc>
        <w:tc>
          <w:tcPr>
            <w:tcW w:w="658" w:type="dxa"/>
            <w:tcBorders>
              <w:right w:val="single" w:color="auto" w:sz="4" w:space="0"/>
            </w:tcBorders>
            <w:vAlign w:val="center"/>
          </w:tcPr>
          <w:p>
            <w:pPr>
              <w:spacing w:line="240" w:lineRule="exact"/>
              <w:jc w:val="center"/>
              <w:rPr>
                <w:sz w:val="18"/>
                <w:szCs w:val="18"/>
              </w:rPr>
            </w:pPr>
            <w:r>
              <w:rPr>
                <w:sz w:val="18"/>
                <w:szCs w:val="18"/>
              </w:rPr>
              <w:t>公管</w:t>
            </w:r>
          </w:p>
        </w:tc>
        <w:tc>
          <w:tcPr>
            <w:tcW w:w="747" w:type="dxa"/>
            <w:vMerge w:val="continue"/>
            <w:tcBorders>
              <w:left w:val="single" w:color="auto" w:sz="4" w:space="0"/>
            </w:tcBorders>
            <w:vAlign w:val="center"/>
          </w:tcPr>
          <w:p>
            <w:pPr>
              <w:spacing w:line="240" w:lineRule="exact"/>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695" w:hRule="atLeast"/>
          <w:jc w:val="center"/>
        </w:trPr>
        <w:tc>
          <w:tcPr>
            <w:tcW w:w="817" w:type="dxa"/>
            <w:vMerge w:val="continue"/>
            <w:tcBorders>
              <w:right w:val="single" w:color="auto" w:sz="4" w:space="0"/>
            </w:tcBorders>
            <w:vAlign w:val="center"/>
          </w:tcPr>
          <w:p>
            <w:pPr>
              <w:spacing w:line="240" w:lineRule="exact"/>
              <w:ind w:left="-120" w:leftChars="-50" w:right="-120" w:rightChars="-50"/>
              <w:jc w:val="center"/>
              <w:rPr>
                <w:bCs/>
                <w:sz w:val="18"/>
                <w:szCs w:val="18"/>
              </w:rPr>
            </w:pPr>
          </w:p>
        </w:tc>
        <w:tc>
          <w:tcPr>
            <w:tcW w:w="1045" w:type="dxa"/>
            <w:tcBorders>
              <w:left w:val="single" w:color="auto" w:sz="4" w:space="0"/>
            </w:tcBorders>
            <w:vAlign w:val="center"/>
          </w:tcPr>
          <w:p>
            <w:pPr>
              <w:spacing w:line="240" w:lineRule="exact"/>
              <w:jc w:val="center"/>
              <w:rPr>
                <w:bCs/>
                <w:color w:val="0000FF"/>
                <w:sz w:val="18"/>
                <w:szCs w:val="18"/>
              </w:rPr>
            </w:pPr>
            <w:r>
              <w:rPr>
                <w:sz w:val="18"/>
                <w:szCs w:val="18"/>
              </w:rPr>
              <w:t>XF037004</w:t>
            </w:r>
          </w:p>
        </w:tc>
        <w:tc>
          <w:tcPr>
            <w:tcW w:w="2850" w:type="dxa"/>
            <w:vAlign w:val="center"/>
          </w:tcPr>
          <w:p>
            <w:pPr>
              <w:spacing w:line="240" w:lineRule="exact"/>
              <w:rPr>
                <w:bCs/>
                <w:snapToGrid w:val="0"/>
                <w:color w:val="000000"/>
                <w:sz w:val="18"/>
                <w:szCs w:val="18"/>
              </w:rPr>
            </w:pPr>
            <w:r>
              <w:rPr>
                <w:bCs/>
                <w:snapToGrid w:val="0"/>
                <w:color w:val="000000"/>
                <w:sz w:val="18"/>
                <w:szCs w:val="18"/>
              </w:rPr>
              <w:t>监察法</w:t>
            </w:r>
          </w:p>
          <w:p>
            <w:pPr>
              <w:spacing w:line="240" w:lineRule="exact"/>
              <w:rPr>
                <w:bCs/>
                <w:snapToGrid w:val="0"/>
                <w:color w:val="000000"/>
                <w:sz w:val="18"/>
                <w:szCs w:val="18"/>
              </w:rPr>
            </w:pPr>
            <w:r>
              <w:rPr>
                <w:bCs/>
                <w:snapToGrid w:val="0"/>
                <w:color w:val="000000"/>
                <w:sz w:val="18"/>
                <w:szCs w:val="18"/>
              </w:rPr>
              <w:t>Supervision Law</w:t>
            </w:r>
          </w:p>
        </w:tc>
        <w:tc>
          <w:tcPr>
            <w:tcW w:w="705" w:type="dxa"/>
            <w:vAlign w:val="center"/>
          </w:tcPr>
          <w:p>
            <w:pPr>
              <w:spacing w:line="240" w:lineRule="exact"/>
              <w:jc w:val="center"/>
              <w:rPr>
                <w:sz w:val="18"/>
                <w:szCs w:val="18"/>
              </w:rPr>
            </w:pPr>
            <w:r>
              <w:rPr>
                <w:sz w:val="18"/>
                <w:szCs w:val="18"/>
              </w:rPr>
              <w:t>2</w:t>
            </w:r>
          </w:p>
        </w:tc>
        <w:tc>
          <w:tcPr>
            <w:tcW w:w="503" w:type="dxa"/>
            <w:vAlign w:val="center"/>
          </w:tcPr>
          <w:p>
            <w:pPr>
              <w:spacing w:line="240" w:lineRule="exact"/>
              <w:jc w:val="center"/>
              <w:rPr>
                <w:sz w:val="18"/>
                <w:szCs w:val="18"/>
              </w:rPr>
            </w:pPr>
            <w:r>
              <w:rPr>
                <w:sz w:val="18"/>
                <w:szCs w:val="18"/>
              </w:rPr>
              <w:t>32</w:t>
            </w:r>
          </w:p>
        </w:tc>
        <w:tc>
          <w:tcPr>
            <w:tcW w:w="425" w:type="dxa"/>
            <w:vAlign w:val="center"/>
          </w:tcPr>
          <w:p>
            <w:pPr>
              <w:spacing w:line="240" w:lineRule="exact"/>
              <w:jc w:val="center"/>
              <w:rPr>
                <w:sz w:val="18"/>
                <w:szCs w:val="18"/>
              </w:rPr>
            </w:pPr>
            <w:r>
              <w:rPr>
                <w:sz w:val="18"/>
                <w:szCs w:val="18"/>
              </w:rPr>
              <w:t>26</w:t>
            </w:r>
          </w:p>
        </w:tc>
        <w:tc>
          <w:tcPr>
            <w:tcW w:w="426" w:type="dxa"/>
            <w:vAlign w:val="center"/>
          </w:tcPr>
          <w:p>
            <w:pPr>
              <w:spacing w:line="240" w:lineRule="exact"/>
              <w:jc w:val="center"/>
              <w:rPr>
                <w:sz w:val="18"/>
                <w:szCs w:val="18"/>
              </w:rPr>
            </w:pPr>
            <w:r>
              <w:rPr>
                <w:sz w:val="18"/>
                <w:szCs w:val="18"/>
              </w:rPr>
              <w:t>6</w:t>
            </w:r>
          </w:p>
        </w:tc>
        <w:tc>
          <w:tcPr>
            <w:tcW w:w="476" w:type="dxa"/>
            <w:vAlign w:val="center"/>
          </w:tcPr>
          <w:p>
            <w:pPr>
              <w:spacing w:line="240" w:lineRule="exact"/>
              <w:jc w:val="center"/>
              <w:rPr>
                <w:sz w:val="18"/>
                <w:szCs w:val="18"/>
              </w:rPr>
            </w:pPr>
            <w:r>
              <w:rPr>
                <w:sz w:val="18"/>
                <w:szCs w:val="18"/>
              </w:rPr>
              <w:t>5</w:t>
            </w:r>
          </w:p>
        </w:tc>
        <w:tc>
          <w:tcPr>
            <w:tcW w:w="798" w:type="dxa"/>
            <w:vAlign w:val="center"/>
          </w:tcPr>
          <w:p>
            <w:pPr>
              <w:spacing w:line="240" w:lineRule="exact"/>
              <w:jc w:val="center"/>
              <w:rPr>
                <w:sz w:val="18"/>
                <w:szCs w:val="18"/>
              </w:rPr>
            </w:pPr>
            <w:r>
              <w:rPr>
                <w:sz w:val="18"/>
                <w:szCs w:val="18"/>
              </w:rPr>
              <w:t>专业型</w:t>
            </w:r>
          </w:p>
        </w:tc>
        <w:tc>
          <w:tcPr>
            <w:tcW w:w="658" w:type="dxa"/>
            <w:tcBorders>
              <w:right w:val="single" w:color="auto" w:sz="4" w:space="0"/>
            </w:tcBorders>
            <w:vAlign w:val="center"/>
          </w:tcPr>
          <w:p>
            <w:pPr>
              <w:spacing w:line="240" w:lineRule="exact"/>
              <w:jc w:val="center"/>
              <w:rPr>
                <w:sz w:val="18"/>
                <w:szCs w:val="18"/>
              </w:rPr>
            </w:pPr>
            <w:r>
              <w:rPr>
                <w:sz w:val="18"/>
                <w:szCs w:val="18"/>
              </w:rPr>
              <w:t>公管</w:t>
            </w:r>
          </w:p>
        </w:tc>
        <w:tc>
          <w:tcPr>
            <w:tcW w:w="747" w:type="dxa"/>
            <w:vMerge w:val="continue"/>
            <w:tcBorders>
              <w:left w:val="single" w:color="auto" w:sz="4" w:space="0"/>
            </w:tcBorders>
            <w:vAlign w:val="center"/>
          </w:tcPr>
          <w:p>
            <w:pPr>
              <w:spacing w:line="240" w:lineRule="exact"/>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17" w:type="dxa"/>
            <w:vMerge w:val="continue"/>
            <w:tcBorders>
              <w:right w:val="single" w:color="auto" w:sz="4" w:space="0"/>
            </w:tcBorders>
            <w:vAlign w:val="center"/>
          </w:tcPr>
          <w:p>
            <w:pPr>
              <w:spacing w:line="240" w:lineRule="exact"/>
              <w:ind w:left="-120" w:leftChars="-50" w:right="-120" w:rightChars="-50"/>
              <w:jc w:val="center"/>
              <w:rPr>
                <w:bCs/>
                <w:sz w:val="18"/>
                <w:szCs w:val="18"/>
              </w:rPr>
            </w:pPr>
          </w:p>
        </w:tc>
        <w:tc>
          <w:tcPr>
            <w:tcW w:w="1045" w:type="dxa"/>
            <w:tcBorders>
              <w:left w:val="single" w:color="auto" w:sz="4" w:space="0"/>
            </w:tcBorders>
            <w:vAlign w:val="center"/>
          </w:tcPr>
          <w:p>
            <w:pPr>
              <w:spacing w:line="240" w:lineRule="exact"/>
              <w:jc w:val="center"/>
              <w:rPr>
                <w:bCs/>
                <w:sz w:val="18"/>
                <w:szCs w:val="18"/>
              </w:rPr>
            </w:pPr>
            <w:r>
              <w:rPr>
                <w:sz w:val="18"/>
                <w:szCs w:val="18"/>
              </w:rPr>
              <w:t>XF037012</w:t>
            </w:r>
          </w:p>
        </w:tc>
        <w:tc>
          <w:tcPr>
            <w:tcW w:w="2850" w:type="dxa"/>
            <w:vAlign w:val="center"/>
          </w:tcPr>
          <w:p>
            <w:pPr>
              <w:spacing w:line="240" w:lineRule="exact"/>
              <w:rPr>
                <w:bCs/>
                <w:snapToGrid w:val="0"/>
                <w:color w:val="000000"/>
                <w:sz w:val="18"/>
                <w:szCs w:val="18"/>
              </w:rPr>
            </w:pPr>
            <w:r>
              <w:rPr>
                <w:bCs/>
                <w:snapToGrid w:val="0"/>
                <w:color w:val="000000"/>
                <w:sz w:val="18"/>
                <w:szCs w:val="18"/>
              </w:rPr>
              <w:t>犯罪学</w:t>
            </w:r>
          </w:p>
          <w:p>
            <w:pPr>
              <w:spacing w:line="240" w:lineRule="exact"/>
              <w:rPr>
                <w:bCs/>
                <w:color w:val="000000"/>
                <w:spacing w:val="-8"/>
                <w:position w:val="-8"/>
                <w:sz w:val="18"/>
                <w:szCs w:val="18"/>
              </w:rPr>
            </w:pPr>
            <w:r>
              <w:rPr>
                <w:bCs/>
                <w:snapToGrid w:val="0"/>
                <w:color w:val="000000"/>
                <w:sz w:val="18"/>
                <w:szCs w:val="18"/>
              </w:rPr>
              <w:t>Criminology</w:t>
            </w:r>
          </w:p>
        </w:tc>
        <w:tc>
          <w:tcPr>
            <w:tcW w:w="705" w:type="dxa"/>
            <w:vAlign w:val="center"/>
          </w:tcPr>
          <w:p>
            <w:pPr>
              <w:spacing w:line="240" w:lineRule="exact"/>
              <w:jc w:val="center"/>
              <w:rPr>
                <w:sz w:val="18"/>
                <w:szCs w:val="18"/>
              </w:rPr>
            </w:pPr>
            <w:r>
              <w:rPr>
                <w:sz w:val="18"/>
                <w:szCs w:val="18"/>
              </w:rPr>
              <w:t>2</w:t>
            </w:r>
          </w:p>
        </w:tc>
        <w:tc>
          <w:tcPr>
            <w:tcW w:w="503" w:type="dxa"/>
            <w:vAlign w:val="center"/>
          </w:tcPr>
          <w:p>
            <w:pPr>
              <w:spacing w:line="240" w:lineRule="exact"/>
              <w:jc w:val="center"/>
              <w:rPr>
                <w:sz w:val="18"/>
                <w:szCs w:val="18"/>
              </w:rPr>
            </w:pPr>
            <w:r>
              <w:rPr>
                <w:sz w:val="18"/>
                <w:szCs w:val="18"/>
              </w:rPr>
              <w:t>32</w:t>
            </w:r>
          </w:p>
        </w:tc>
        <w:tc>
          <w:tcPr>
            <w:tcW w:w="425" w:type="dxa"/>
            <w:vAlign w:val="center"/>
          </w:tcPr>
          <w:p>
            <w:pPr>
              <w:spacing w:line="240" w:lineRule="exact"/>
              <w:jc w:val="center"/>
              <w:rPr>
                <w:sz w:val="18"/>
                <w:szCs w:val="18"/>
              </w:rPr>
            </w:pPr>
            <w:r>
              <w:rPr>
                <w:sz w:val="18"/>
                <w:szCs w:val="18"/>
              </w:rPr>
              <w:t>28</w:t>
            </w:r>
          </w:p>
        </w:tc>
        <w:tc>
          <w:tcPr>
            <w:tcW w:w="426" w:type="dxa"/>
            <w:vAlign w:val="center"/>
          </w:tcPr>
          <w:p>
            <w:pPr>
              <w:spacing w:line="240" w:lineRule="exact"/>
              <w:jc w:val="center"/>
              <w:rPr>
                <w:sz w:val="18"/>
                <w:szCs w:val="18"/>
              </w:rPr>
            </w:pPr>
            <w:r>
              <w:rPr>
                <w:sz w:val="18"/>
                <w:szCs w:val="18"/>
              </w:rPr>
              <w:t>4</w:t>
            </w:r>
          </w:p>
        </w:tc>
        <w:tc>
          <w:tcPr>
            <w:tcW w:w="476" w:type="dxa"/>
            <w:vAlign w:val="center"/>
          </w:tcPr>
          <w:p>
            <w:pPr>
              <w:spacing w:line="240" w:lineRule="exact"/>
              <w:jc w:val="center"/>
              <w:rPr>
                <w:sz w:val="18"/>
                <w:szCs w:val="18"/>
              </w:rPr>
            </w:pPr>
            <w:r>
              <w:rPr>
                <w:sz w:val="18"/>
                <w:szCs w:val="18"/>
              </w:rPr>
              <w:t>5</w:t>
            </w:r>
          </w:p>
        </w:tc>
        <w:tc>
          <w:tcPr>
            <w:tcW w:w="798" w:type="dxa"/>
            <w:vAlign w:val="center"/>
          </w:tcPr>
          <w:p>
            <w:pPr>
              <w:spacing w:line="240" w:lineRule="exact"/>
              <w:jc w:val="center"/>
              <w:rPr>
                <w:sz w:val="18"/>
                <w:szCs w:val="18"/>
              </w:rPr>
            </w:pPr>
            <w:r>
              <w:rPr>
                <w:sz w:val="18"/>
                <w:szCs w:val="18"/>
              </w:rPr>
              <w:t>专业型</w:t>
            </w:r>
          </w:p>
        </w:tc>
        <w:tc>
          <w:tcPr>
            <w:tcW w:w="658" w:type="dxa"/>
            <w:tcBorders>
              <w:right w:val="single" w:color="auto" w:sz="4" w:space="0"/>
            </w:tcBorders>
            <w:vAlign w:val="center"/>
          </w:tcPr>
          <w:p>
            <w:pPr>
              <w:spacing w:line="240" w:lineRule="exact"/>
              <w:jc w:val="center"/>
              <w:rPr>
                <w:sz w:val="18"/>
                <w:szCs w:val="18"/>
              </w:rPr>
            </w:pPr>
            <w:r>
              <w:rPr>
                <w:sz w:val="18"/>
                <w:szCs w:val="18"/>
              </w:rPr>
              <w:t>公管</w:t>
            </w:r>
          </w:p>
        </w:tc>
        <w:tc>
          <w:tcPr>
            <w:tcW w:w="747" w:type="dxa"/>
            <w:vMerge w:val="continue"/>
            <w:tcBorders>
              <w:left w:val="single" w:color="auto" w:sz="4" w:space="0"/>
            </w:tcBorders>
            <w:vAlign w:val="center"/>
          </w:tcPr>
          <w:p>
            <w:pPr>
              <w:spacing w:line="240" w:lineRule="exact"/>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17" w:type="dxa"/>
            <w:vMerge w:val="continue"/>
            <w:tcBorders>
              <w:right w:val="single" w:color="auto" w:sz="4" w:space="0"/>
            </w:tcBorders>
            <w:vAlign w:val="center"/>
          </w:tcPr>
          <w:p>
            <w:pPr>
              <w:spacing w:line="240" w:lineRule="exact"/>
              <w:ind w:left="-120" w:leftChars="-50" w:right="-120" w:rightChars="-50"/>
              <w:jc w:val="center"/>
              <w:rPr>
                <w:bCs/>
                <w:sz w:val="18"/>
                <w:szCs w:val="18"/>
              </w:rPr>
            </w:pPr>
          </w:p>
        </w:tc>
        <w:tc>
          <w:tcPr>
            <w:tcW w:w="1045" w:type="dxa"/>
            <w:tcBorders>
              <w:left w:val="single" w:color="auto" w:sz="4" w:space="0"/>
            </w:tcBorders>
            <w:vAlign w:val="center"/>
          </w:tcPr>
          <w:p>
            <w:pPr>
              <w:spacing w:line="240" w:lineRule="exact"/>
              <w:jc w:val="center"/>
              <w:rPr>
                <w:bCs/>
                <w:sz w:val="18"/>
                <w:szCs w:val="18"/>
              </w:rPr>
            </w:pPr>
            <w:r>
              <w:rPr>
                <w:sz w:val="18"/>
                <w:szCs w:val="18"/>
              </w:rPr>
              <w:t>XF037013</w:t>
            </w:r>
          </w:p>
        </w:tc>
        <w:tc>
          <w:tcPr>
            <w:tcW w:w="2850" w:type="dxa"/>
            <w:vAlign w:val="center"/>
          </w:tcPr>
          <w:p>
            <w:pPr>
              <w:spacing w:line="240" w:lineRule="exact"/>
              <w:rPr>
                <w:bCs/>
                <w:snapToGrid w:val="0"/>
                <w:color w:val="000000"/>
                <w:sz w:val="18"/>
                <w:szCs w:val="18"/>
              </w:rPr>
            </w:pPr>
            <w:r>
              <w:rPr>
                <w:bCs/>
                <w:snapToGrid w:val="0"/>
                <w:color w:val="000000"/>
                <w:sz w:val="18"/>
                <w:szCs w:val="18"/>
              </w:rPr>
              <w:t>公司法</w:t>
            </w:r>
          </w:p>
          <w:p>
            <w:pPr>
              <w:spacing w:line="240" w:lineRule="exact"/>
              <w:rPr>
                <w:bCs/>
                <w:color w:val="000000"/>
                <w:spacing w:val="-8"/>
                <w:position w:val="-8"/>
                <w:sz w:val="18"/>
                <w:szCs w:val="18"/>
              </w:rPr>
            </w:pPr>
            <w:r>
              <w:rPr>
                <w:bCs/>
                <w:snapToGrid w:val="0"/>
                <w:color w:val="000000"/>
                <w:sz w:val="18"/>
                <w:szCs w:val="18"/>
              </w:rPr>
              <w:t>Company Law</w:t>
            </w:r>
          </w:p>
        </w:tc>
        <w:tc>
          <w:tcPr>
            <w:tcW w:w="705" w:type="dxa"/>
            <w:vAlign w:val="center"/>
          </w:tcPr>
          <w:p>
            <w:pPr>
              <w:spacing w:line="240" w:lineRule="exact"/>
              <w:jc w:val="center"/>
              <w:rPr>
                <w:sz w:val="18"/>
                <w:szCs w:val="18"/>
              </w:rPr>
            </w:pPr>
            <w:r>
              <w:rPr>
                <w:sz w:val="18"/>
                <w:szCs w:val="18"/>
              </w:rPr>
              <w:t>2</w:t>
            </w:r>
          </w:p>
        </w:tc>
        <w:tc>
          <w:tcPr>
            <w:tcW w:w="503" w:type="dxa"/>
            <w:vAlign w:val="center"/>
          </w:tcPr>
          <w:p>
            <w:pPr>
              <w:spacing w:line="240" w:lineRule="exact"/>
              <w:jc w:val="center"/>
              <w:rPr>
                <w:sz w:val="18"/>
                <w:szCs w:val="18"/>
              </w:rPr>
            </w:pPr>
            <w:r>
              <w:rPr>
                <w:sz w:val="18"/>
                <w:szCs w:val="18"/>
              </w:rPr>
              <w:t>32</w:t>
            </w:r>
          </w:p>
        </w:tc>
        <w:tc>
          <w:tcPr>
            <w:tcW w:w="425" w:type="dxa"/>
            <w:vAlign w:val="center"/>
          </w:tcPr>
          <w:p>
            <w:pPr>
              <w:spacing w:line="240" w:lineRule="exact"/>
              <w:jc w:val="center"/>
              <w:rPr>
                <w:sz w:val="18"/>
                <w:szCs w:val="18"/>
              </w:rPr>
            </w:pPr>
            <w:r>
              <w:rPr>
                <w:sz w:val="18"/>
                <w:szCs w:val="18"/>
              </w:rPr>
              <w:t>28</w:t>
            </w:r>
          </w:p>
        </w:tc>
        <w:tc>
          <w:tcPr>
            <w:tcW w:w="426" w:type="dxa"/>
            <w:vAlign w:val="center"/>
          </w:tcPr>
          <w:p>
            <w:pPr>
              <w:spacing w:line="240" w:lineRule="exact"/>
              <w:jc w:val="center"/>
              <w:rPr>
                <w:sz w:val="18"/>
                <w:szCs w:val="18"/>
              </w:rPr>
            </w:pPr>
            <w:r>
              <w:rPr>
                <w:sz w:val="18"/>
                <w:szCs w:val="18"/>
              </w:rPr>
              <w:t>4</w:t>
            </w:r>
          </w:p>
        </w:tc>
        <w:tc>
          <w:tcPr>
            <w:tcW w:w="476" w:type="dxa"/>
            <w:vAlign w:val="center"/>
          </w:tcPr>
          <w:p>
            <w:pPr>
              <w:spacing w:line="240" w:lineRule="exact"/>
              <w:jc w:val="center"/>
              <w:rPr>
                <w:sz w:val="18"/>
                <w:szCs w:val="18"/>
              </w:rPr>
            </w:pPr>
            <w:r>
              <w:rPr>
                <w:sz w:val="18"/>
                <w:szCs w:val="18"/>
              </w:rPr>
              <w:t>5</w:t>
            </w:r>
          </w:p>
        </w:tc>
        <w:tc>
          <w:tcPr>
            <w:tcW w:w="798" w:type="dxa"/>
            <w:vAlign w:val="center"/>
          </w:tcPr>
          <w:p>
            <w:pPr>
              <w:spacing w:line="240" w:lineRule="exact"/>
              <w:jc w:val="center"/>
              <w:rPr>
                <w:sz w:val="18"/>
                <w:szCs w:val="18"/>
              </w:rPr>
            </w:pPr>
            <w:r>
              <w:rPr>
                <w:sz w:val="18"/>
                <w:szCs w:val="18"/>
              </w:rPr>
              <w:t>专业型</w:t>
            </w:r>
          </w:p>
        </w:tc>
        <w:tc>
          <w:tcPr>
            <w:tcW w:w="658" w:type="dxa"/>
            <w:tcBorders>
              <w:right w:val="single" w:color="auto" w:sz="4" w:space="0"/>
            </w:tcBorders>
            <w:vAlign w:val="center"/>
          </w:tcPr>
          <w:p>
            <w:pPr>
              <w:spacing w:line="240" w:lineRule="exact"/>
              <w:jc w:val="center"/>
              <w:rPr>
                <w:sz w:val="18"/>
                <w:szCs w:val="18"/>
              </w:rPr>
            </w:pPr>
            <w:r>
              <w:rPr>
                <w:sz w:val="18"/>
                <w:szCs w:val="18"/>
              </w:rPr>
              <w:t>公管</w:t>
            </w:r>
          </w:p>
        </w:tc>
        <w:tc>
          <w:tcPr>
            <w:tcW w:w="747" w:type="dxa"/>
            <w:vMerge w:val="continue"/>
            <w:tcBorders>
              <w:left w:val="single" w:color="auto" w:sz="4" w:space="0"/>
            </w:tcBorders>
            <w:vAlign w:val="center"/>
          </w:tcPr>
          <w:p>
            <w:pPr>
              <w:spacing w:line="240" w:lineRule="exact"/>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17" w:type="dxa"/>
            <w:vMerge w:val="continue"/>
            <w:tcBorders>
              <w:right w:val="single" w:color="auto" w:sz="4" w:space="0"/>
            </w:tcBorders>
            <w:vAlign w:val="center"/>
          </w:tcPr>
          <w:p>
            <w:pPr>
              <w:spacing w:line="240" w:lineRule="exact"/>
              <w:ind w:left="-120" w:leftChars="-50" w:right="-120" w:rightChars="-50"/>
              <w:jc w:val="center"/>
              <w:rPr>
                <w:bCs/>
                <w:sz w:val="18"/>
                <w:szCs w:val="18"/>
              </w:rPr>
            </w:pPr>
          </w:p>
        </w:tc>
        <w:tc>
          <w:tcPr>
            <w:tcW w:w="1045" w:type="dxa"/>
            <w:tcBorders>
              <w:left w:val="single" w:color="auto" w:sz="4" w:space="0"/>
            </w:tcBorders>
            <w:vAlign w:val="center"/>
          </w:tcPr>
          <w:p>
            <w:pPr>
              <w:spacing w:line="240" w:lineRule="exact"/>
              <w:jc w:val="center"/>
              <w:rPr>
                <w:bCs/>
                <w:sz w:val="18"/>
                <w:szCs w:val="18"/>
              </w:rPr>
            </w:pPr>
            <w:r>
              <w:rPr>
                <w:sz w:val="18"/>
                <w:szCs w:val="18"/>
              </w:rPr>
              <w:t>XF037021</w:t>
            </w:r>
          </w:p>
        </w:tc>
        <w:tc>
          <w:tcPr>
            <w:tcW w:w="2850" w:type="dxa"/>
            <w:vAlign w:val="center"/>
          </w:tcPr>
          <w:p>
            <w:pPr>
              <w:spacing w:line="240" w:lineRule="exact"/>
              <w:rPr>
                <w:bCs/>
                <w:snapToGrid w:val="0"/>
                <w:color w:val="000000"/>
                <w:sz w:val="18"/>
                <w:szCs w:val="18"/>
              </w:rPr>
            </w:pPr>
            <w:r>
              <w:rPr>
                <w:bCs/>
                <w:snapToGrid w:val="0"/>
                <w:color w:val="000000"/>
                <w:sz w:val="18"/>
                <w:szCs w:val="18"/>
              </w:rPr>
              <w:t>金融法</w:t>
            </w:r>
          </w:p>
          <w:p>
            <w:pPr>
              <w:spacing w:line="240" w:lineRule="exact"/>
              <w:rPr>
                <w:bCs/>
                <w:color w:val="000000"/>
                <w:spacing w:val="-8"/>
                <w:position w:val="-8"/>
                <w:sz w:val="18"/>
                <w:szCs w:val="18"/>
              </w:rPr>
            </w:pPr>
            <w:r>
              <w:rPr>
                <w:bCs/>
                <w:snapToGrid w:val="0"/>
                <w:color w:val="000000"/>
                <w:sz w:val="18"/>
                <w:szCs w:val="18"/>
              </w:rPr>
              <w:t>Financial Law</w:t>
            </w:r>
          </w:p>
        </w:tc>
        <w:tc>
          <w:tcPr>
            <w:tcW w:w="705" w:type="dxa"/>
            <w:vAlign w:val="center"/>
          </w:tcPr>
          <w:p>
            <w:pPr>
              <w:spacing w:line="240" w:lineRule="exact"/>
              <w:jc w:val="center"/>
              <w:rPr>
                <w:sz w:val="18"/>
                <w:szCs w:val="18"/>
              </w:rPr>
            </w:pPr>
            <w:r>
              <w:rPr>
                <w:sz w:val="18"/>
                <w:szCs w:val="18"/>
              </w:rPr>
              <w:t>2</w:t>
            </w:r>
          </w:p>
        </w:tc>
        <w:tc>
          <w:tcPr>
            <w:tcW w:w="503" w:type="dxa"/>
            <w:vAlign w:val="center"/>
          </w:tcPr>
          <w:p>
            <w:pPr>
              <w:spacing w:line="240" w:lineRule="exact"/>
              <w:jc w:val="center"/>
              <w:rPr>
                <w:sz w:val="18"/>
                <w:szCs w:val="18"/>
              </w:rPr>
            </w:pPr>
            <w:r>
              <w:rPr>
                <w:sz w:val="18"/>
                <w:szCs w:val="18"/>
              </w:rPr>
              <w:t>32</w:t>
            </w:r>
          </w:p>
        </w:tc>
        <w:tc>
          <w:tcPr>
            <w:tcW w:w="425" w:type="dxa"/>
            <w:vAlign w:val="center"/>
          </w:tcPr>
          <w:p>
            <w:pPr>
              <w:spacing w:line="240" w:lineRule="exact"/>
              <w:jc w:val="center"/>
              <w:rPr>
                <w:sz w:val="18"/>
                <w:szCs w:val="18"/>
              </w:rPr>
            </w:pPr>
            <w:r>
              <w:rPr>
                <w:sz w:val="18"/>
                <w:szCs w:val="18"/>
              </w:rPr>
              <w:t>26</w:t>
            </w:r>
          </w:p>
        </w:tc>
        <w:tc>
          <w:tcPr>
            <w:tcW w:w="426" w:type="dxa"/>
            <w:vAlign w:val="center"/>
          </w:tcPr>
          <w:p>
            <w:pPr>
              <w:spacing w:line="240" w:lineRule="exact"/>
              <w:jc w:val="center"/>
              <w:rPr>
                <w:sz w:val="18"/>
                <w:szCs w:val="18"/>
              </w:rPr>
            </w:pPr>
            <w:r>
              <w:rPr>
                <w:sz w:val="18"/>
                <w:szCs w:val="18"/>
              </w:rPr>
              <w:t>6</w:t>
            </w:r>
          </w:p>
        </w:tc>
        <w:tc>
          <w:tcPr>
            <w:tcW w:w="476" w:type="dxa"/>
            <w:vAlign w:val="center"/>
          </w:tcPr>
          <w:p>
            <w:pPr>
              <w:spacing w:line="240" w:lineRule="exact"/>
              <w:jc w:val="center"/>
              <w:rPr>
                <w:sz w:val="18"/>
                <w:szCs w:val="18"/>
              </w:rPr>
            </w:pPr>
            <w:r>
              <w:rPr>
                <w:sz w:val="18"/>
                <w:szCs w:val="18"/>
              </w:rPr>
              <w:t>6</w:t>
            </w:r>
          </w:p>
        </w:tc>
        <w:tc>
          <w:tcPr>
            <w:tcW w:w="798" w:type="dxa"/>
            <w:vAlign w:val="center"/>
          </w:tcPr>
          <w:p>
            <w:pPr>
              <w:spacing w:line="240" w:lineRule="exact"/>
              <w:jc w:val="center"/>
              <w:rPr>
                <w:sz w:val="18"/>
                <w:szCs w:val="18"/>
              </w:rPr>
            </w:pPr>
            <w:r>
              <w:rPr>
                <w:sz w:val="18"/>
                <w:szCs w:val="18"/>
              </w:rPr>
              <w:t>专业型</w:t>
            </w:r>
          </w:p>
        </w:tc>
        <w:tc>
          <w:tcPr>
            <w:tcW w:w="658" w:type="dxa"/>
            <w:tcBorders>
              <w:right w:val="single" w:color="auto" w:sz="4" w:space="0"/>
            </w:tcBorders>
            <w:vAlign w:val="center"/>
          </w:tcPr>
          <w:p>
            <w:pPr>
              <w:spacing w:line="240" w:lineRule="exact"/>
              <w:jc w:val="center"/>
              <w:rPr>
                <w:sz w:val="18"/>
                <w:szCs w:val="18"/>
              </w:rPr>
            </w:pPr>
            <w:r>
              <w:rPr>
                <w:sz w:val="18"/>
                <w:szCs w:val="18"/>
              </w:rPr>
              <w:t>公管</w:t>
            </w:r>
          </w:p>
        </w:tc>
        <w:tc>
          <w:tcPr>
            <w:tcW w:w="747" w:type="dxa"/>
            <w:vMerge w:val="continue"/>
            <w:tcBorders>
              <w:left w:val="single" w:color="auto" w:sz="4" w:space="0"/>
            </w:tcBorders>
            <w:vAlign w:val="center"/>
          </w:tcPr>
          <w:p>
            <w:pPr>
              <w:spacing w:line="240" w:lineRule="exact"/>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17" w:type="dxa"/>
            <w:vMerge w:val="continue"/>
            <w:tcBorders>
              <w:right w:val="single" w:color="auto" w:sz="4" w:space="0"/>
            </w:tcBorders>
            <w:vAlign w:val="center"/>
          </w:tcPr>
          <w:p>
            <w:pPr>
              <w:spacing w:line="240" w:lineRule="exact"/>
              <w:ind w:left="-120" w:leftChars="-50" w:right="-120" w:rightChars="-50"/>
              <w:jc w:val="center"/>
              <w:rPr>
                <w:bCs/>
                <w:sz w:val="18"/>
                <w:szCs w:val="18"/>
              </w:rPr>
            </w:pPr>
          </w:p>
        </w:tc>
        <w:tc>
          <w:tcPr>
            <w:tcW w:w="1045" w:type="dxa"/>
            <w:tcBorders>
              <w:left w:val="single" w:color="auto" w:sz="4" w:space="0"/>
            </w:tcBorders>
            <w:vAlign w:val="center"/>
          </w:tcPr>
          <w:p>
            <w:pPr>
              <w:spacing w:line="240" w:lineRule="exact"/>
              <w:jc w:val="center"/>
              <w:rPr>
                <w:bCs/>
                <w:sz w:val="18"/>
                <w:szCs w:val="18"/>
              </w:rPr>
            </w:pPr>
            <w:r>
              <w:rPr>
                <w:sz w:val="18"/>
                <w:szCs w:val="18"/>
              </w:rPr>
              <w:t>XF037024</w:t>
            </w:r>
          </w:p>
        </w:tc>
        <w:tc>
          <w:tcPr>
            <w:tcW w:w="2850" w:type="dxa"/>
            <w:vAlign w:val="center"/>
          </w:tcPr>
          <w:p>
            <w:pPr>
              <w:spacing w:line="240" w:lineRule="exact"/>
              <w:rPr>
                <w:bCs/>
                <w:snapToGrid w:val="0"/>
                <w:color w:val="000000"/>
                <w:sz w:val="18"/>
                <w:szCs w:val="18"/>
              </w:rPr>
            </w:pPr>
            <w:r>
              <w:rPr>
                <w:bCs/>
                <w:snapToGrid w:val="0"/>
                <w:color w:val="000000"/>
                <w:sz w:val="18"/>
                <w:szCs w:val="18"/>
              </w:rPr>
              <w:t>律师制度与实务</w:t>
            </w:r>
          </w:p>
          <w:p>
            <w:pPr>
              <w:spacing w:line="240" w:lineRule="exact"/>
              <w:rPr>
                <w:bCs/>
                <w:color w:val="000000"/>
                <w:spacing w:val="-8"/>
                <w:position w:val="-8"/>
                <w:sz w:val="18"/>
                <w:szCs w:val="18"/>
              </w:rPr>
            </w:pPr>
            <w:r>
              <w:rPr>
                <w:bCs/>
                <w:snapToGrid w:val="0"/>
                <w:color w:val="000000"/>
                <w:sz w:val="18"/>
                <w:szCs w:val="18"/>
              </w:rPr>
              <w:t>Lawyer System and Practice</w:t>
            </w:r>
          </w:p>
        </w:tc>
        <w:tc>
          <w:tcPr>
            <w:tcW w:w="705" w:type="dxa"/>
            <w:vAlign w:val="center"/>
          </w:tcPr>
          <w:p>
            <w:pPr>
              <w:spacing w:line="240" w:lineRule="exact"/>
              <w:jc w:val="center"/>
              <w:rPr>
                <w:sz w:val="18"/>
                <w:szCs w:val="18"/>
              </w:rPr>
            </w:pPr>
            <w:r>
              <w:rPr>
                <w:sz w:val="18"/>
                <w:szCs w:val="18"/>
              </w:rPr>
              <w:t>3</w:t>
            </w:r>
          </w:p>
        </w:tc>
        <w:tc>
          <w:tcPr>
            <w:tcW w:w="503" w:type="dxa"/>
            <w:vAlign w:val="center"/>
          </w:tcPr>
          <w:p>
            <w:pPr>
              <w:spacing w:line="240" w:lineRule="exact"/>
              <w:jc w:val="center"/>
              <w:rPr>
                <w:sz w:val="18"/>
                <w:szCs w:val="18"/>
              </w:rPr>
            </w:pPr>
            <w:r>
              <w:rPr>
                <w:sz w:val="18"/>
                <w:szCs w:val="18"/>
              </w:rPr>
              <w:t>48</w:t>
            </w:r>
          </w:p>
        </w:tc>
        <w:tc>
          <w:tcPr>
            <w:tcW w:w="425" w:type="dxa"/>
            <w:vAlign w:val="center"/>
          </w:tcPr>
          <w:p>
            <w:pPr>
              <w:spacing w:line="240" w:lineRule="exact"/>
              <w:jc w:val="center"/>
              <w:rPr>
                <w:sz w:val="18"/>
                <w:szCs w:val="18"/>
              </w:rPr>
            </w:pPr>
            <w:r>
              <w:rPr>
                <w:sz w:val="18"/>
                <w:szCs w:val="18"/>
              </w:rPr>
              <w:t>40</w:t>
            </w:r>
          </w:p>
        </w:tc>
        <w:tc>
          <w:tcPr>
            <w:tcW w:w="426" w:type="dxa"/>
            <w:vAlign w:val="center"/>
          </w:tcPr>
          <w:p>
            <w:pPr>
              <w:spacing w:line="240" w:lineRule="exact"/>
              <w:jc w:val="center"/>
              <w:rPr>
                <w:sz w:val="18"/>
                <w:szCs w:val="18"/>
              </w:rPr>
            </w:pPr>
            <w:r>
              <w:rPr>
                <w:sz w:val="18"/>
                <w:szCs w:val="18"/>
              </w:rPr>
              <w:t>8</w:t>
            </w:r>
          </w:p>
        </w:tc>
        <w:tc>
          <w:tcPr>
            <w:tcW w:w="476" w:type="dxa"/>
            <w:vAlign w:val="center"/>
          </w:tcPr>
          <w:p>
            <w:pPr>
              <w:spacing w:line="240" w:lineRule="exact"/>
              <w:jc w:val="center"/>
              <w:rPr>
                <w:sz w:val="18"/>
                <w:szCs w:val="18"/>
              </w:rPr>
            </w:pPr>
            <w:r>
              <w:rPr>
                <w:sz w:val="18"/>
                <w:szCs w:val="18"/>
              </w:rPr>
              <w:t>6</w:t>
            </w:r>
          </w:p>
        </w:tc>
        <w:tc>
          <w:tcPr>
            <w:tcW w:w="798" w:type="dxa"/>
            <w:vAlign w:val="center"/>
          </w:tcPr>
          <w:p>
            <w:pPr>
              <w:spacing w:line="240" w:lineRule="exact"/>
              <w:jc w:val="center"/>
              <w:rPr>
                <w:sz w:val="18"/>
                <w:szCs w:val="18"/>
              </w:rPr>
            </w:pPr>
            <w:r>
              <w:rPr>
                <w:sz w:val="18"/>
                <w:szCs w:val="18"/>
              </w:rPr>
              <w:t>专业型</w:t>
            </w:r>
          </w:p>
        </w:tc>
        <w:tc>
          <w:tcPr>
            <w:tcW w:w="658" w:type="dxa"/>
            <w:tcBorders>
              <w:right w:val="single" w:color="auto" w:sz="4" w:space="0"/>
            </w:tcBorders>
            <w:vAlign w:val="center"/>
          </w:tcPr>
          <w:p>
            <w:pPr>
              <w:spacing w:line="240" w:lineRule="exact"/>
              <w:jc w:val="center"/>
              <w:rPr>
                <w:sz w:val="18"/>
                <w:szCs w:val="18"/>
              </w:rPr>
            </w:pPr>
            <w:r>
              <w:rPr>
                <w:sz w:val="18"/>
                <w:szCs w:val="18"/>
              </w:rPr>
              <w:t>公管</w:t>
            </w:r>
          </w:p>
        </w:tc>
        <w:tc>
          <w:tcPr>
            <w:tcW w:w="747" w:type="dxa"/>
            <w:vMerge w:val="continue"/>
            <w:tcBorders>
              <w:left w:val="single" w:color="auto" w:sz="4" w:space="0"/>
            </w:tcBorders>
            <w:vAlign w:val="center"/>
          </w:tcPr>
          <w:p>
            <w:pPr>
              <w:spacing w:line="240" w:lineRule="exact"/>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17" w:type="dxa"/>
            <w:vMerge w:val="continue"/>
            <w:tcBorders>
              <w:right w:val="single" w:color="auto" w:sz="4" w:space="0"/>
            </w:tcBorders>
            <w:vAlign w:val="center"/>
          </w:tcPr>
          <w:p>
            <w:pPr>
              <w:spacing w:line="240" w:lineRule="exact"/>
              <w:ind w:left="-120" w:leftChars="-50" w:right="-120" w:rightChars="-50"/>
              <w:jc w:val="center"/>
              <w:rPr>
                <w:bCs/>
                <w:sz w:val="18"/>
                <w:szCs w:val="18"/>
              </w:rPr>
            </w:pPr>
          </w:p>
        </w:tc>
        <w:tc>
          <w:tcPr>
            <w:tcW w:w="1045" w:type="dxa"/>
            <w:tcBorders>
              <w:left w:val="single" w:color="auto" w:sz="4" w:space="0"/>
            </w:tcBorders>
            <w:vAlign w:val="center"/>
          </w:tcPr>
          <w:p>
            <w:pPr>
              <w:spacing w:line="240" w:lineRule="exact"/>
              <w:jc w:val="center"/>
              <w:rPr>
                <w:bCs/>
                <w:sz w:val="18"/>
                <w:szCs w:val="18"/>
              </w:rPr>
            </w:pPr>
            <w:r>
              <w:rPr>
                <w:sz w:val="18"/>
                <w:szCs w:val="18"/>
              </w:rPr>
              <w:t>XF037018</w:t>
            </w:r>
          </w:p>
        </w:tc>
        <w:tc>
          <w:tcPr>
            <w:tcW w:w="2850" w:type="dxa"/>
            <w:vAlign w:val="center"/>
          </w:tcPr>
          <w:p>
            <w:pPr>
              <w:spacing w:line="240" w:lineRule="exact"/>
              <w:rPr>
                <w:bCs/>
                <w:snapToGrid w:val="0"/>
                <w:color w:val="000000"/>
                <w:sz w:val="18"/>
                <w:szCs w:val="18"/>
              </w:rPr>
            </w:pPr>
            <w:r>
              <w:rPr>
                <w:bCs/>
                <w:snapToGrid w:val="0"/>
                <w:color w:val="000000"/>
                <w:sz w:val="18"/>
                <w:szCs w:val="18"/>
              </w:rPr>
              <w:t>国际投资法</w:t>
            </w:r>
          </w:p>
          <w:p>
            <w:pPr>
              <w:spacing w:line="240" w:lineRule="exact"/>
              <w:rPr>
                <w:bCs/>
                <w:color w:val="000000"/>
                <w:spacing w:val="-8"/>
                <w:position w:val="-8"/>
                <w:sz w:val="18"/>
                <w:szCs w:val="18"/>
              </w:rPr>
            </w:pPr>
            <w:r>
              <w:rPr>
                <w:bCs/>
                <w:snapToGrid w:val="0"/>
                <w:color w:val="000000"/>
                <w:sz w:val="18"/>
                <w:szCs w:val="18"/>
              </w:rPr>
              <w:t>International Investment Law</w:t>
            </w:r>
          </w:p>
        </w:tc>
        <w:tc>
          <w:tcPr>
            <w:tcW w:w="705" w:type="dxa"/>
            <w:vAlign w:val="center"/>
          </w:tcPr>
          <w:p>
            <w:pPr>
              <w:spacing w:line="240" w:lineRule="exact"/>
              <w:jc w:val="center"/>
              <w:rPr>
                <w:sz w:val="18"/>
                <w:szCs w:val="18"/>
              </w:rPr>
            </w:pPr>
            <w:r>
              <w:rPr>
                <w:sz w:val="18"/>
                <w:szCs w:val="18"/>
              </w:rPr>
              <w:t>2</w:t>
            </w:r>
          </w:p>
        </w:tc>
        <w:tc>
          <w:tcPr>
            <w:tcW w:w="503" w:type="dxa"/>
            <w:vAlign w:val="center"/>
          </w:tcPr>
          <w:p>
            <w:pPr>
              <w:spacing w:line="240" w:lineRule="exact"/>
              <w:jc w:val="center"/>
              <w:rPr>
                <w:sz w:val="18"/>
                <w:szCs w:val="18"/>
              </w:rPr>
            </w:pPr>
            <w:r>
              <w:rPr>
                <w:sz w:val="18"/>
                <w:szCs w:val="18"/>
              </w:rPr>
              <w:t>32</w:t>
            </w:r>
          </w:p>
        </w:tc>
        <w:tc>
          <w:tcPr>
            <w:tcW w:w="425" w:type="dxa"/>
            <w:vAlign w:val="center"/>
          </w:tcPr>
          <w:p>
            <w:pPr>
              <w:spacing w:line="240" w:lineRule="exact"/>
              <w:jc w:val="center"/>
              <w:rPr>
                <w:sz w:val="18"/>
                <w:szCs w:val="18"/>
              </w:rPr>
            </w:pPr>
            <w:r>
              <w:rPr>
                <w:sz w:val="18"/>
                <w:szCs w:val="18"/>
              </w:rPr>
              <w:t>28</w:t>
            </w:r>
          </w:p>
        </w:tc>
        <w:tc>
          <w:tcPr>
            <w:tcW w:w="426" w:type="dxa"/>
            <w:vAlign w:val="center"/>
          </w:tcPr>
          <w:p>
            <w:pPr>
              <w:spacing w:line="240" w:lineRule="exact"/>
              <w:jc w:val="center"/>
              <w:rPr>
                <w:sz w:val="18"/>
                <w:szCs w:val="18"/>
              </w:rPr>
            </w:pPr>
            <w:r>
              <w:rPr>
                <w:sz w:val="18"/>
                <w:szCs w:val="18"/>
              </w:rPr>
              <w:t>4</w:t>
            </w:r>
          </w:p>
        </w:tc>
        <w:tc>
          <w:tcPr>
            <w:tcW w:w="476" w:type="dxa"/>
            <w:vAlign w:val="center"/>
          </w:tcPr>
          <w:p>
            <w:pPr>
              <w:spacing w:line="240" w:lineRule="exact"/>
              <w:jc w:val="center"/>
              <w:rPr>
                <w:sz w:val="18"/>
                <w:szCs w:val="18"/>
              </w:rPr>
            </w:pPr>
            <w:r>
              <w:rPr>
                <w:sz w:val="18"/>
                <w:szCs w:val="18"/>
              </w:rPr>
              <w:t>6</w:t>
            </w:r>
          </w:p>
        </w:tc>
        <w:tc>
          <w:tcPr>
            <w:tcW w:w="798" w:type="dxa"/>
            <w:vAlign w:val="center"/>
          </w:tcPr>
          <w:p>
            <w:pPr>
              <w:spacing w:line="240" w:lineRule="exact"/>
              <w:jc w:val="center"/>
              <w:rPr>
                <w:sz w:val="18"/>
                <w:szCs w:val="18"/>
              </w:rPr>
            </w:pPr>
            <w:r>
              <w:rPr>
                <w:sz w:val="18"/>
                <w:szCs w:val="18"/>
              </w:rPr>
              <w:t>创新型</w:t>
            </w:r>
          </w:p>
        </w:tc>
        <w:tc>
          <w:tcPr>
            <w:tcW w:w="658" w:type="dxa"/>
            <w:tcBorders>
              <w:right w:val="single" w:color="auto" w:sz="4" w:space="0"/>
            </w:tcBorders>
            <w:vAlign w:val="center"/>
          </w:tcPr>
          <w:p>
            <w:pPr>
              <w:spacing w:line="240" w:lineRule="exact"/>
              <w:jc w:val="center"/>
              <w:rPr>
                <w:sz w:val="18"/>
                <w:szCs w:val="18"/>
              </w:rPr>
            </w:pPr>
            <w:r>
              <w:rPr>
                <w:sz w:val="18"/>
                <w:szCs w:val="18"/>
              </w:rPr>
              <w:t>公管</w:t>
            </w:r>
          </w:p>
        </w:tc>
        <w:tc>
          <w:tcPr>
            <w:tcW w:w="747" w:type="dxa"/>
            <w:vMerge w:val="continue"/>
            <w:tcBorders>
              <w:left w:val="single" w:color="auto" w:sz="4" w:space="0"/>
            </w:tcBorders>
            <w:vAlign w:val="center"/>
          </w:tcPr>
          <w:p>
            <w:pPr>
              <w:spacing w:line="240" w:lineRule="exact"/>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17" w:type="dxa"/>
            <w:vMerge w:val="continue"/>
            <w:tcBorders>
              <w:right w:val="single" w:color="auto" w:sz="4" w:space="0"/>
            </w:tcBorders>
            <w:vAlign w:val="center"/>
          </w:tcPr>
          <w:p>
            <w:pPr>
              <w:spacing w:line="240" w:lineRule="exact"/>
              <w:ind w:left="-120" w:leftChars="-50" w:right="-120" w:rightChars="-50"/>
              <w:jc w:val="center"/>
              <w:rPr>
                <w:bCs/>
                <w:sz w:val="18"/>
                <w:szCs w:val="18"/>
              </w:rPr>
            </w:pPr>
          </w:p>
        </w:tc>
        <w:tc>
          <w:tcPr>
            <w:tcW w:w="1045" w:type="dxa"/>
            <w:tcBorders>
              <w:left w:val="single" w:color="auto" w:sz="4" w:space="0"/>
            </w:tcBorders>
            <w:vAlign w:val="center"/>
          </w:tcPr>
          <w:p>
            <w:pPr>
              <w:spacing w:line="240" w:lineRule="exact"/>
              <w:jc w:val="center"/>
              <w:rPr>
                <w:bCs/>
                <w:sz w:val="18"/>
                <w:szCs w:val="18"/>
              </w:rPr>
            </w:pPr>
            <w:r>
              <w:rPr>
                <w:sz w:val="18"/>
                <w:szCs w:val="18"/>
              </w:rPr>
              <w:t>XF037005</w:t>
            </w:r>
          </w:p>
        </w:tc>
        <w:tc>
          <w:tcPr>
            <w:tcW w:w="2850" w:type="dxa"/>
            <w:vAlign w:val="center"/>
          </w:tcPr>
          <w:p>
            <w:pPr>
              <w:spacing w:line="240" w:lineRule="exact"/>
              <w:rPr>
                <w:bCs/>
                <w:snapToGrid w:val="0"/>
                <w:color w:val="000000"/>
                <w:sz w:val="18"/>
                <w:szCs w:val="18"/>
              </w:rPr>
            </w:pPr>
            <w:r>
              <w:rPr>
                <w:bCs/>
                <w:snapToGrid w:val="0"/>
                <w:color w:val="000000"/>
                <w:sz w:val="18"/>
                <w:szCs w:val="18"/>
              </w:rPr>
              <w:t>国际民事诉讼和国际商事仲裁</w:t>
            </w:r>
          </w:p>
          <w:p>
            <w:pPr>
              <w:spacing w:line="240" w:lineRule="exact"/>
              <w:rPr>
                <w:bCs/>
                <w:color w:val="000000"/>
                <w:spacing w:val="-8"/>
                <w:position w:val="-8"/>
                <w:sz w:val="18"/>
                <w:szCs w:val="18"/>
              </w:rPr>
            </w:pPr>
            <w:r>
              <w:rPr>
                <w:bCs/>
                <w:snapToGrid w:val="0"/>
                <w:color w:val="000000"/>
                <w:sz w:val="18"/>
                <w:szCs w:val="18"/>
              </w:rPr>
              <w:t>Foreign Civil Procedure Law and International Commerce Arbitration</w:t>
            </w:r>
          </w:p>
        </w:tc>
        <w:tc>
          <w:tcPr>
            <w:tcW w:w="705" w:type="dxa"/>
            <w:vAlign w:val="center"/>
          </w:tcPr>
          <w:p>
            <w:pPr>
              <w:spacing w:line="240" w:lineRule="exact"/>
              <w:jc w:val="center"/>
              <w:rPr>
                <w:sz w:val="18"/>
                <w:szCs w:val="18"/>
              </w:rPr>
            </w:pPr>
            <w:r>
              <w:rPr>
                <w:sz w:val="18"/>
                <w:szCs w:val="18"/>
              </w:rPr>
              <w:t>3</w:t>
            </w:r>
          </w:p>
        </w:tc>
        <w:tc>
          <w:tcPr>
            <w:tcW w:w="503" w:type="dxa"/>
            <w:vAlign w:val="center"/>
          </w:tcPr>
          <w:p>
            <w:pPr>
              <w:spacing w:line="240" w:lineRule="exact"/>
              <w:jc w:val="center"/>
              <w:rPr>
                <w:sz w:val="18"/>
                <w:szCs w:val="18"/>
              </w:rPr>
            </w:pPr>
            <w:r>
              <w:rPr>
                <w:sz w:val="18"/>
                <w:szCs w:val="18"/>
              </w:rPr>
              <w:t>48</w:t>
            </w:r>
          </w:p>
        </w:tc>
        <w:tc>
          <w:tcPr>
            <w:tcW w:w="425" w:type="dxa"/>
            <w:vAlign w:val="center"/>
          </w:tcPr>
          <w:p>
            <w:pPr>
              <w:spacing w:line="240" w:lineRule="exact"/>
              <w:jc w:val="center"/>
              <w:rPr>
                <w:sz w:val="18"/>
                <w:szCs w:val="18"/>
              </w:rPr>
            </w:pPr>
            <w:r>
              <w:rPr>
                <w:sz w:val="18"/>
                <w:szCs w:val="18"/>
              </w:rPr>
              <w:t>42</w:t>
            </w:r>
          </w:p>
        </w:tc>
        <w:tc>
          <w:tcPr>
            <w:tcW w:w="426" w:type="dxa"/>
            <w:vAlign w:val="center"/>
          </w:tcPr>
          <w:p>
            <w:pPr>
              <w:spacing w:line="240" w:lineRule="exact"/>
              <w:jc w:val="center"/>
              <w:rPr>
                <w:sz w:val="18"/>
                <w:szCs w:val="18"/>
              </w:rPr>
            </w:pPr>
            <w:r>
              <w:rPr>
                <w:sz w:val="18"/>
                <w:szCs w:val="18"/>
              </w:rPr>
              <w:t>6</w:t>
            </w:r>
          </w:p>
        </w:tc>
        <w:tc>
          <w:tcPr>
            <w:tcW w:w="476" w:type="dxa"/>
            <w:vAlign w:val="center"/>
          </w:tcPr>
          <w:p>
            <w:pPr>
              <w:spacing w:line="240" w:lineRule="exact"/>
              <w:jc w:val="center"/>
              <w:rPr>
                <w:sz w:val="18"/>
                <w:szCs w:val="18"/>
              </w:rPr>
            </w:pPr>
            <w:r>
              <w:rPr>
                <w:sz w:val="18"/>
                <w:szCs w:val="18"/>
              </w:rPr>
              <w:t>6</w:t>
            </w:r>
          </w:p>
        </w:tc>
        <w:tc>
          <w:tcPr>
            <w:tcW w:w="798" w:type="dxa"/>
            <w:vAlign w:val="center"/>
          </w:tcPr>
          <w:p>
            <w:pPr>
              <w:spacing w:line="240" w:lineRule="exact"/>
              <w:jc w:val="center"/>
              <w:rPr>
                <w:sz w:val="18"/>
                <w:szCs w:val="18"/>
              </w:rPr>
            </w:pPr>
            <w:r>
              <w:rPr>
                <w:sz w:val="18"/>
                <w:szCs w:val="18"/>
              </w:rPr>
              <w:t>创新型</w:t>
            </w:r>
          </w:p>
        </w:tc>
        <w:tc>
          <w:tcPr>
            <w:tcW w:w="658" w:type="dxa"/>
            <w:tcBorders>
              <w:right w:val="single" w:color="auto" w:sz="4" w:space="0"/>
            </w:tcBorders>
            <w:vAlign w:val="center"/>
          </w:tcPr>
          <w:p>
            <w:pPr>
              <w:spacing w:line="240" w:lineRule="exact"/>
              <w:jc w:val="center"/>
              <w:rPr>
                <w:sz w:val="18"/>
                <w:szCs w:val="18"/>
              </w:rPr>
            </w:pPr>
            <w:r>
              <w:rPr>
                <w:sz w:val="18"/>
                <w:szCs w:val="18"/>
              </w:rPr>
              <w:t>公管</w:t>
            </w:r>
          </w:p>
        </w:tc>
        <w:tc>
          <w:tcPr>
            <w:tcW w:w="747" w:type="dxa"/>
            <w:vMerge w:val="continue"/>
            <w:tcBorders>
              <w:left w:val="single" w:color="auto" w:sz="4" w:space="0"/>
            </w:tcBorders>
            <w:vAlign w:val="center"/>
          </w:tcPr>
          <w:p>
            <w:pPr>
              <w:spacing w:line="240" w:lineRule="exact"/>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17" w:type="dxa"/>
            <w:vMerge w:val="continue"/>
            <w:tcBorders>
              <w:right w:val="single" w:color="auto" w:sz="4" w:space="0"/>
            </w:tcBorders>
            <w:vAlign w:val="center"/>
          </w:tcPr>
          <w:p>
            <w:pPr>
              <w:spacing w:line="240" w:lineRule="exact"/>
              <w:ind w:left="-120" w:leftChars="-50" w:right="-120" w:rightChars="-50"/>
              <w:jc w:val="center"/>
              <w:rPr>
                <w:bCs/>
                <w:sz w:val="18"/>
                <w:szCs w:val="18"/>
              </w:rPr>
            </w:pPr>
          </w:p>
        </w:tc>
        <w:tc>
          <w:tcPr>
            <w:tcW w:w="1045" w:type="dxa"/>
            <w:tcBorders>
              <w:left w:val="single" w:color="auto" w:sz="4" w:space="0"/>
            </w:tcBorders>
            <w:vAlign w:val="center"/>
          </w:tcPr>
          <w:p>
            <w:pPr>
              <w:spacing w:line="240" w:lineRule="exact"/>
              <w:jc w:val="center"/>
              <w:rPr>
                <w:bCs/>
                <w:sz w:val="18"/>
                <w:szCs w:val="18"/>
              </w:rPr>
            </w:pPr>
            <w:r>
              <w:rPr>
                <w:sz w:val="18"/>
                <w:szCs w:val="18"/>
              </w:rPr>
              <w:t>XF037010</w:t>
            </w:r>
          </w:p>
        </w:tc>
        <w:tc>
          <w:tcPr>
            <w:tcW w:w="2850" w:type="dxa"/>
            <w:vAlign w:val="center"/>
          </w:tcPr>
          <w:p>
            <w:pPr>
              <w:spacing w:line="240" w:lineRule="exact"/>
              <w:rPr>
                <w:bCs/>
                <w:snapToGrid w:val="0"/>
                <w:color w:val="000000"/>
                <w:sz w:val="18"/>
                <w:szCs w:val="18"/>
              </w:rPr>
            </w:pPr>
            <w:r>
              <w:rPr>
                <w:bCs/>
                <w:snapToGrid w:val="0"/>
                <w:color w:val="000000"/>
                <w:sz w:val="18"/>
                <w:szCs w:val="18"/>
              </w:rPr>
              <w:t>案例研析与检索</w:t>
            </w:r>
          </w:p>
          <w:p>
            <w:pPr>
              <w:spacing w:line="240" w:lineRule="exact"/>
              <w:rPr>
                <w:bCs/>
                <w:color w:val="000000"/>
                <w:spacing w:val="-8"/>
                <w:position w:val="-8"/>
                <w:sz w:val="18"/>
                <w:szCs w:val="18"/>
              </w:rPr>
            </w:pPr>
            <w:r>
              <w:rPr>
                <w:bCs/>
                <w:snapToGrid w:val="0"/>
                <w:color w:val="000000"/>
                <w:sz w:val="18"/>
                <w:szCs w:val="18"/>
              </w:rPr>
              <w:t>Case Study and Retrieval</w:t>
            </w:r>
          </w:p>
        </w:tc>
        <w:tc>
          <w:tcPr>
            <w:tcW w:w="705" w:type="dxa"/>
            <w:vAlign w:val="center"/>
          </w:tcPr>
          <w:p>
            <w:pPr>
              <w:spacing w:line="240" w:lineRule="exact"/>
              <w:jc w:val="center"/>
              <w:rPr>
                <w:sz w:val="18"/>
                <w:szCs w:val="18"/>
              </w:rPr>
            </w:pPr>
            <w:r>
              <w:rPr>
                <w:sz w:val="18"/>
                <w:szCs w:val="18"/>
              </w:rPr>
              <w:t>2</w:t>
            </w:r>
          </w:p>
        </w:tc>
        <w:tc>
          <w:tcPr>
            <w:tcW w:w="503" w:type="dxa"/>
            <w:vAlign w:val="center"/>
          </w:tcPr>
          <w:p>
            <w:pPr>
              <w:spacing w:line="240" w:lineRule="exact"/>
              <w:jc w:val="center"/>
              <w:rPr>
                <w:sz w:val="18"/>
                <w:szCs w:val="18"/>
              </w:rPr>
            </w:pPr>
            <w:r>
              <w:rPr>
                <w:sz w:val="18"/>
                <w:szCs w:val="18"/>
              </w:rPr>
              <w:t>32</w:t>
            </w:r>
          </w:p>
        </w:tc>
        <w:tc>
          <w:tcPr>
            <w:tcW w:w="425" w:type="dxa"/>
            <w:vAlign w:val="center"/>
          </w:tcPr>
          <w:p>
            <w:pPr>
              <w:spacing w:line="240" w:lineRule="exact"/>
              <w:jc w:val="center"/>
              <w:rPr>
                <w:sz w:val="18"/>
                <w:szCs w:val="18"/>
              </w:rPr>
            </w:pPr>
            <w:r>
              <w:rPr>
                <w:sz w:val="18"/>
                <w:szCs w:val="18"/>
              </w:rPr>
              <w:t>28</w:t>
            </w:r>
          </w:p>
        </w:tc>
        <w:tc>
          <w:tcPr>
            <w:tcW w:w="426" w:type="dxa"/>
            <w:vAlign w:val="center"/>
          </w:tcPr>
          <w:p>
            <w:pPr>
              <w:spacing w:line="240" w:lineRule="exact"/>
              <w:jc w:val="center"/>
              <w:rPr>
                <w:sz w:val="18"/>
                <w:szCs w:val="18"/>
              </w:rPr>
            </w:pPr>
            <w:r>
              <w:rPr>
                <w:sz w:val="18"/>
                <w:szCs w:val="18"/>
              </w:rPr>
              <w:t>4</w:t>
            </w:r>
          </w:p>
        </w:tc>
        <w:tc>
          <w:tcPr>
            <w:tcW w:w="476" w:type="dxa"/>
            <w:vAlign w:val="center"/>
          </w:tcPr>
          <w:p>
            <w:pPr>
              <w:spacing w:line="240" w:lineRule="exact"/>
              <w:jc w:val="center"/>
              <w:rPr>
                <w:sz w:val="18"/>
                <w:szCs w:val="18"/>
              </w:rPr>
            </w:pPr>
            <w:r>
              <w:rPr>
                <w:sz w:val="18"/>
                <w:szCs w:val="18"/>
              </w:rPr>
              <w:t>4</w:t>
            </w:r>
          </w:p>
        </w:tc>
        <w:tc>
          <w:tcPr>
            <w:tcW w:w="798" w:type="dxa"/>
            <w:vAlign w:val="center"/>
          </w:tcPr>
          <w:p>
            <w:pPr>
              <w:spacing w:line="240" w:lineRule="exact"/>
              <w:jc w:val="center"/>
              <w:rPr>
                <w:sz w:val="18"/>
                <w:szCs w:val="18"/>
              </w:rPr>
            </w:pPr>
            <w:r>
              <w:rPr>
                <w:sz w:val="18"/>
                <w:szCs w:val="18"/>
              </w:rPr>
              <w:t>专业型</w:t>
            </w:r>
          </w:p>
        </w:tc>
        <w:tc>
          <w:tcPr>
            <w:tcW w:w="658" w:type="dxa"/>
            <w:tcBorders>
              <w:right w:val="single" w:color="auto" w:sz="4" w:space="0"/>
            </w:tcBorders>
            <w:vAlign w:val="center"/>
          </w:tcPr>
          <w:p>
            <w:pPr>
              <w:spacing w:line="240" w:lineRule="exact"/>
              <w:jc w:val="center"/>
              <w:rPr>
                <w:sz w:val="18"/>
                <w:szCs w:val="18"/>
              </w:rPr>
            </w:pPr>
            <w:r>
              <w:rPr>
                <w:sz w:val="18"/>
                <w:szCs w:val="18"/>
              </w:rPr>
              <w:t>公管</w:t>
            </w:r>
          </w:p>
        </w:tc>
        <w:tc>
          <w:tcPr>
            <w:tcW w:w="747" w:type="dxa"/>
            <w:vMerge w:val="continue"/>
            <w:tcBorders>
              <w:left w:val="single" w:color="auto" w:sz="4" w:space="0"/>
            </w:tcBorders>
            <w:vAlign w:val="center"/>
          </w:tcPr>
          <w:p>
            <w:pPr>
              <w:spacing w:line="240" w:lineRule="exact"/>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17" w:type="dxa"/>
            <w:vMerge w:val="continue"/>
            <w:tcBorders>
              <w:right w:val="single" w:color="auto" w:sz="4" w:space="0"/>
            </w:tcBorders>
            <w:vAlign w:val="center"/>
          </w:tcPr>
          <w:p>
            <w:pPr>
              <w:spacing w:line="240" w:lineRule="exact"/>
              <w:ind w:left="-120" w:leftChars="-50" w:right="-120" w:rightChars="-50"/>
              <w:jc w:val="center"/>
              <w:rPr>
                <w:bCs/>
                <w:sz w:val="18"/>
                <w:szCs w:val="18"/>
              </w:rPr>
            </w:pPr>
          </w:p>
        </w:tc>
        <w:tc>
          <w:tcPr>
            <w:tcW w:w="1045" w:type="dxa"/>
            <w:tcBorders>
              <w:left w:val="single" w:color="auto" w:sz="4" w:space="0"/>
            </w:tcBorders>
            <w:vAlign w:val="center"/>
          </w:tcPr>
          <w:p>
            <w:pPr>
              <w:spacing w:line="240" w:lineRule="exact"/>
              <w:jc w:val="center"/>
              <w:rPr>
                <w:bCs/>
                <w:sz w:val="18"/>
                <w:szCs w:val="18"/>
              </w:rPr>
            </w:pPr>
            <w:r>
              <w:rPr>
                <w:sz w:val="18"/>
                <w:szCs w:val="18"/>
              </w:rPr>
              <w:t>XF037030</w:t>
            </w:r>
          </w:p>
        </w:tc>
        <w:tc>
          <w:tcPr>
            <w:tcW w:w="2850" w:type="dxa"/>
            <w:vAlign w:val="center"/>
          </w:tcPr>
          <w:p>
            <w:pPr>
              <w:spacing w:line="240" w:lineRule="exact"/>
              <w:rPr>
                <w:bCs/>
                <w:snapToGrid w:val="0"/>
                <w:sz w:val="18"/>
                <w:szCs w:val="18"/>
              </w:rPr>
            </w:pPr>
            <w:r>
              <w:rPr>
                <w:bCs/>
                <w:snapToGrid w:val="0"/>
                <w:sz w:val="18"/>
                <w:szCs w:val="18"/>
              </w:rPr>
              <w:t>外国民商法</w:t>
            </w:r>
          </w:p>
          <w:p>
            <w:pPr>
              <w:spacing w:line="240" w:lineRule="exact"/>
              <w:rPr>
                <w:bCs/>
                <w:spacing w:val="-8"/>
                <w:position w:val="-8"/>
                <w:sz w:val="18"/>
                <w:szCs w:val="18"/>
              </w:rPr>
            </w:pPr>
            <w:r>
              <w:rPr>
                <w:bCs/>
                <w:snapToGrid w:val="0"/>
                <w:sz w:val="18"/>
                <w:szCs w:val="18"/>
              </w:rPr>
              <w:t>Foreign Civil and Commercial Law</w:t>
            </w:r>
          </w:p>
        </w:tc>
        <w:tc>
          <w:tcPr>
            <w:tcW w:w="705" w:type="dxa"/>
            <w:vAlign w:val="center"/>
          </w:tcPr>
          <w:p>
            <w:pPr>
              <w:spacing w:line="240" w:lineRule="exact"/>
              <w:jc w:val="center"/>
              <w:rPr>
                <w:sz w:val="18"/>
                <w:szCs w:val="18"/>
              </w:rPr>
            </w:pPr>
            <w:r>
              <w:rPr>
                <w:sz w:val="18"/>
                <w:szCs w:val="18"/>
              </w:rPr>
              <w:t>2</w:t>
            </w:r>
          </w:p>
        </w:tc>
        <w:tc>
          <w:tcPr>
            <w:tcW w:w="503" w:type="dxa"/>
            <w:vAlign w:val="center"/>
          </w:tcPr>
          <w:p>
            <w:pPr>
              <w:spacing w:line="240" w:lineRule="exact"/>
              <w:jc w:val="center"/>
              <w:rPr>
                <w:sz w:val="18"/>
                <w:szCs w:val="18"/>
              </w:rPr>
            </w:pPr>
            <w:r>
              <w:rPr>
                <w:sz w:val="18"/>
                <w:szCs w:val="18"/>
              </w:rPr>
              <w:t>32</w:t>
            </w:r>
          </w:p>
        </w:tc>
        <w:tc>
          <w:tcPr>
            <w:tcW w:w="425" w:type="dxa"/>
            <w:vAlign w:val="center"/>
          </w:tcPr>
          <w:p>
            <w:pPr>
              <w:spacing w:line="240" w:lineRule="exact"/>
              <w:jc w:val="center"/>
              <w:rPr>
                <w:sz w:val="18"/>
                <w:szCs w:val="18"/>
              </w:rPr>
            </w:pPr>
            <w:r>
              <w:rPr>
                <w:sz w:val="18"/>
                <w:szCs w:val="18"/>
              </w:rPr>
              <w:t>28</w:t>
            </w:r>
          </w:p>
        </w:tc>
        <w:tc>
          <w:tcPr>
            <w:tcW w:w="426" w:type="dxa"/>
            <w:vAlign w:val="center"/>
          </w:tcPr>
          <w:p>
            <w:pPr>
              <w:spacing w:line="240" w:lineRule="exact"/>
              <w:jc w:val="center"/>
              <w:rPr>
                <w:sz w:val="18"/>
                <w:szCs w:val="18"/>
              </w:rPr>
            </w:pPr>
            <w:r>
              <w:rPr>
                <w:sz w:val="18"/>
                <w:szCs w:val="18"/>
              </w:rPr>
              <w:t>4</w:t>
            </w:r>
          </w:p>
        </w:tc>
        <w:tc>
          <w:tcPr>
            <w:tcW w:w="476" w:type="dxa"/>
            <w:vAlign w:val="center"/>
          </w:tcPr>
          <w:p>
            <w:pPr>
              <w:spacing w:line="240" w:lineRule="exact"/>
              <w:jc w:val="center"/>
              <w:rPr>
                <w:sz w:val="18"/>
                <w:szCs w:val="18"/>
              </w:rPr>
            </w:pPr>
            <w:r>
              <w:rPr>
                <w:sz w:val="18"/>
                <w:szCs w:val="18"/>
              </w:rPr>
              <w:t>4</w:t>
            </w:r>
          </w:p>
        </w:tc>
        <w:tc>
          <w:tcPr>
            <w:tcW w:w="798" w:type="dxa"/>
            <w:vAlign w:val="center"/>
          </w:tcPr>
          <w:p>
            <w:pPr>
              <w:spacing w:line="240" w:lineRule="exact"/>
              <w:jc w:val="center"/>
              <w:rPr>
                <w:sz w:val="18"/>
                <w:szCs w:val="18"/>
              </w:rPr>
            </w:pPr>
            <w:r>
              <w:rPr>
                <w:sz w:val="18"/>
                <w:szCs w:val="18"/>
              </w:rPr>
              <w:t>创新型</w:t>
            </w:r>
          </w:p>
        </w:tc>
        <w:tc>
          <w:tcPr>
            <w:tcW w:w="658" w:type="dxa"/>
            <w:tcBorders>
              <w:right w:val="single" w:color="auto" w:sz="4" w:space="0"/>
            </w:tcBorders>
            <w:vAlign w:val="center"/>
          </w:tcPr>
          <w:p>
            <w:pPr>
              <w:spacing w:line="240" w:lineRule="exact"/>
              <w:jc w:val="center"/>
              <w:rPr>
                <w:sz w:val="18"/>
                <w:szCs w:val="18"/>
              </w:rPr>
            </w:pPr>
            <w:r>
              <w:rPr>
                <w:sz w:val="18"/>
                <w:szCs w:val="18"/>
              </w:rPr>
              <w:t>公管</w:t>
            </w:r>
          </w:p>
        </w:tc>
        <w:tc>
          <w:tcPr>
            <w:tcW w:w="747" w:type="dxa"/>
            <w:vMerge w:val="continue"/>
            <w:tcBorders>
              <w:left w:val="single" w:color="auto" w:sz="4" w:space="0"/>
            </w:tcBorders>
            <w:vAlign w:val="center"/>
          </w:tcPr>
          <w:p>
            <w:pPr>
              <w:spacing w:line="240" w:lineRule="exact"/>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17" w:type="dxa"/>
            <w:tcBorders>
              <w:bottom w:val="single" w:color="auto" w:sz="4" w:space="0"/>
              <w:right w:val="single" w:color="auto" w:sz="4" w:space="0"/>
            </w:tcBorders>
            <w:vAlign w:val="center"/>
          </w:tcPr>
          <w:p>
            <w:pPr>
              <w:pStyle w:val="11"/>
              <w:keepNext/>
              <w:spacing w:line="240" w:lineRule="exact"/>
              <w:ind w:left="-120" w:leftChars="-50" w:right="-120" w:rightChars="-50" w:firstLine="0"/>
              <w:jc w:val="center"/>
              <w:rPr>
                <w:b/>
                <w:sz w:val="18"/>
                <w:szCs w:val="18"/>
              </w:rPr>
            </w:pPr>
            <w:r>
              <w:rPr>
                <w:b/>
                <w:sz w:val="18"/>
                <w:szCs w:val="18"/>
              </w:rPr>
              <w:t>课程</w:t>
            </w:r>
          </w:p>
          <w:p>
            <w:pPr>
              <w:pStyle w:val="11"/>
              <w:keepNext/>
              <w:spacing w:line="240" w:lineRule="exact"/>
              <w:ind w:left="-120" w:leftChars="-50" w:right="-120" w:rightChars="-50" w:firstLine="0"/>
              <w:jc w:val="center"/>
              <w:rPr>
                <w:b/>
                <w:sz w:val="18"/>
                <w:szCs w:val="18"/>
              </w:rPr>
            </w:pPr>
            <w:r>
              <w:rPr>
                <w:b/>
                <w:sz w:val="18"/>
                <w:szCs w:val="18"/>
              </w:rPr>
              <w:t>类别</w:t>
            </w:r>
          </w:p>
        </w:tc>
        <w:tc>
          <w:tcPr>
            <w:tcW w:w="1045" w:type="dxa"/>
            <w:tcBorders>
              <w:left w:val="single" w:color="auto" w:sz="4" w:space="0"/>
              <w:right w:val="single" w:color="auto" w:sz="4" w:space="0"/>
            </w:tcBorders>
            <w:vAlign w:val="center"/>
          </w:tcPr>
          <w:p>
            <w:pPr>
              <w:pStyle w:val="11"/>
              <w:keepNext/>
              <w:spacing w:line="240" w:lineRule="exact"/>
              <w:ind w:left="-120" w:leftChars="-50" w:right="-120" w:rightChars="-50" w:firstLine="0"/>
              <w:jc w:val="center"/>
              <w:rPr>
                <w:b/>
                <w:sz w:val="18"/>
                <w:szCs w:val="18"/>
              </w:rPr>
            </w:pPr>
            <w:r>
              <w:rPr>
                <w:b/>
                <w:sz w:val="18"/>
                <w:szCs w:val="18"/>
              </w:rPr>
              <w:t>课程号</w:t>
            </w:r>
          </w:p>
        </w:tc>
        <w:tc>
          <w:tcPr>
            <w:tcW w:w="2850" w:type="dxa"/>
            <w:tcBorders>
              <w:left w:val="single" w:color="auto" w:sz="4" w:space="0"/>
            </w:tcBorders>
            <w:vAlign w:val="center"/>
          </w:tcPr>
          <w:p>
            <w:pPr>
              <w:pStyle w:val="11"/>
              <w:keepNext/>
              <w:spacing w:line="240" w:lineRule="exact"/>
              <w:ind w:left="-120" w:leftChars="-50" w:right="-120" w:rightChars="-50" w:firstLine="0"/>
              <w:jc w:val="center"/>
              <w:rPr>
                <w:b/>
                <w:sz w:val="18"/>
                <w:szCs w:val="18"/>
              </w:rPr>
            </w:pPr>
            <w:r>
              <w:rPr>
                <w:b/>
                <w:sz w:val="18"/>
                <w:szCs w:val="18"/>
              </w:rPr>
              <w:t>课程名称</w:t>
            </w:r>
          </w:p>
        </w:tc>
        <w:tc>
          <w:tcPr>
            <w:tcW w:w="705" w:type="dxa"/>
            <w:vAlign w:val="center"/>
          </w:tcPr>
          <w:p>
            <w:pPr>
              <w:pStyle w:val="11"/>
              <w:keepNext/>
              <w:spacing w:line="240" w:lineRule="exact"/>
              <w:ind w:left="-120" w:leftChars="-50" w:right="-120" w:rightChars="-50" w:firstLine="0"/>
              <w:jc w:val="center"/>
              <w:rPr>
                <w:b/>
                <w:sz w:val="18"/>
                <w:szCs w:val="18"/>
              </w:rPr>
            </w:pPr>
            <w:r>
              <w:rPr>
                <w:b/>
                <w:sz w:val="18"/>
                <w:szCs w:val="18"/>
              </w:rPr>
              <w:t>学分</w:t>
            </w:r>
          </w:p>
        </w:tc>
        <w:tc>
          <w:tcPr>
            <w:tcW w:w="503" w:type="dxa"/>
            <w:vAlign w:val="center"/>
          </w:tcPr>
          <w:p>
            <w:pPr>
              <w:pStyle w:val="11"/>
              <w:keepNext/>
              <w:spacing w:line="240" w:lineRule="exact"/>
              <w:ind w:left="-120" w:leftChars="-50" w:right="-120" w:rightChars="-50" w:firstLine="0"/>
              <w:jc w:val="center"/>
              <w:rPr>
                <w:b/>
                <w:sz w:val="18"/>
                <w:szCs w:val="18"/>
              </w:rPr>
            </w:pPr>
            <w:r>
              <w:rPr>
                <w:b/>
                <w:sz w:val="18"/>
                <w:szCs w:val="18"/>
              </w:rPr>
              <w:t>总学时</w:t>
            </w:r>
          </w:p>
        </w:tc>
        <w:tc>
          <w:tcPr>
            <w:tcW w:w="425" w:type="dxa"/>
            <w:vAlign w:val="center"/>
          </w:tcPr>
          <w:p>
            <w:pPr>
              <w:pStyle w:val="11"/>
              <w:keepNext/>
              <w:spacing w:line="240" w:lineRule="exact"/>
              <w:ind w:left="-120" w:leftChars="-50" w:right="-120" w:rightChars="-50" w:firstLine="0"/>
              <w:jc w:val="center"/>
              <w:rPr>
                <w:b/>
                <w:sz w:val="18"/>
                <w:szCs w:val="18"/>
              </w:rPr>
            </w:pPr>
            <w:r>
              <w:rPr>
                <w:b/>
                <w:sz w:val="18"/>
                <w:szCs w:val="18"/>
              </w:rPr>
              <w:t>讲授学时</w:t>
            </w:r>
          </w:p>
        </w:tc>
        <w:tc>
          <w:tcPr>
            <w:tcW w:w="426" w:type="dxa"/>
            <w:vAlign w:val="center"/>
          </w:tcPr>
          <w:p>
            <w:pPr>
              <w:pStyle w:val="11"/>
              <w:keepNext/>
              <w:spacing w:line="240" w:lineRule="exact"/>
              <w:ind w:left="-120" w:leftChars="-50" w:right="-120" w:rightChars="-50" w:firstLine="0"/>
              <w:jc w:val="center"/>
              <w:rPr>
                <w:b/>
                <w:sz w:val="18"/>
                <w:szCs w:val="18"/>
              </w:rPr>
            </w:pPr>
            <w:r>
              <w:rPr>
                <w:b/>
                <w:sz w:val="18"/>
                <w:szCs w:val="18"/>
              </w:rPr>
              <w:t>实验学时</w:t>
            </w:r>
          </w:p>
        </w:tc>
        <w:tc>
          <w:tcPr>
            <w:tcW w:w="476" w:type="dxa"/>
            <w:vAlign w:val="center"/>
          </w:tcPr>
          <w:p>
            <w:pPr>
              <w:pStyle w:val="11"/>
              <w:keepNext/>
              <w:spacing w:line="240" w:lineRule="exact"/>
              <w:ind w:left="-120" w:leftChars="-50" w:right="-120" w:rightChars="-50" w:firstLine="0"/>
              <w:jc w:val="center"/>
              <w:rPr>
                <w:b/>
                <w:sz w:val="18"/>
                <w:szCs w:val="18"/>
              </w:rPr>
            </w:pPr>
            <w:r>
              <w:rPr>
                <w:b/>
                <w:sz w:val="18"/>
                <w:szCs w:val="18"/>
              </w:rPr>
              <w:t>开课</w:t>
            </w:r>
          </w:p>
          <w:p>
            <w:pPr>
              <w:pStyle w:val="11"/>
              <w:keepNext/>
              <w:spacing w:line="240" w:lineRule="exact"/>
              <w:ind w:left="-120" w:leftChars="-50" w:right="-120" w:rightChars="-50" w:firstLine="0"/>
              <w:jc w:val="center"/>
              <w:rPr>
                <w:b/>
                <w:sz w:val="18"/>
                <w:szCs w:val="18"/>
              </w:rPr>
            </w:pPr>
            <w:r>
              <w:rPr>
                <w:b/>
                <w:sz w:val="18"/>
                <w:szCs w:val="18"/>
              </w:rPr>
              <w:t>学期</w:t>
            </w:r>
          </w:p>
        </w:tc>
        <w:tc>
          <w:tcPr>
            <w:tcW w:w="798" w:type="dxa"/>
            <w:vAlign w:val="center"/>
          </w:tcPr>
          <w:p>
            <w:pPr>
              <w:pStyle w:val="11"/>
              <w:keepNext/>
              <w:spacing w:line="240" w:lineRule="exact"/>
              <w:ind w:left="-120" w:leftChars="-50" w:right="-120" w:rightChars="-50" w:firstLine="0"/>
              <w:jc w:val="center"/>
              <w:rPr>
                <w:b/>
                <w:sz w:val="18"/>
                <w:szCs w:val="18"/>
              </w:rPr>
            </w:pPr>
            <w:r>
              <w:rPr>
                <w:b/>
                <w:sz w:val="18"/>
                <w:szCs w:val="18"/>
              </w:rPr>
              <w:t>开课</w:t>
            </w:r>
          </w:p>
          <w:p>
            <w:pPr>
              <w:pStyle w:val="11"/>
              <w:keepNext/>
              <w:spacing w:line="240" w:lineRule="exact"/>
              <w:ind w:left="-120" w:leftChars="-50" w:right="-120" w:rightChars="-50" w:firstLine="0"/>
              <w:jc w:val="center"/>
              <w:rPr>
                <w:b/>
                <w:sz w:val="18"/>
                <w:szCs w:val="18"/>
              </w:rPr>
            </w:pPr>
            <w:r>
              <w:rPr>
                <w:b/>
                <w:sz w:val="18"/>
                <w:szCs w:val="18"/>
              </w:rPr>
              <w:t>学院</w:t>
            </w:r>
          </w:p>
        </w:tc>
        <w:tc>
          <w:tcPr>
            <w:tcW w:w="1405" w:type="dxa"/>
            <w:gridSpan w:val="2"/>
            <w:vAlign w:val="center"/>
          </w:tcPr>
          <w:p>
            <w:pPr>
              <w:pStyle w:val="11"/>
              <w:keepNext/>
              <w:spacing w:line="240" w:lineRule="exact"/>
              <w:ind w:left="-120" w:leftChars="-50" w:right="-120" w:rightChars="-50" w:firstLine="0"/>
              <w:jc w:val="center"/>
              <w:rPr>
                <w:b/>
                <w:sz w:val="18"/>
                <w:szCs w:val="18"/>
              </w:rPr>
            </w:pPr>
            <w:r>
              <w:rPr>
                <w:b/>
                <w:sz w:val="18"/>
                <w:szCs w:val="18"/>
              </w:rPr>
              <w:t>修读</w:t>
            </w:r>
          </w:p>
          <w:p>
            <w:pPr>
              <w:pStyle w:val="11"/>
              <w:keepNext/>
              <w:spacing w:line="240" w:lineRule="exact"/>
              <w:ind w:left="-120" w:leftChars="-50" w:right="-120" w:rightChars="-50" w:firstLine="0"/>
              <w:jc w:val="center"/>
              <w:rPr>
                <w:b/>
                <w:sz w:val="18"/>
                <w:szCs w:val="18"/>
              </w:rPr>
            </w:pPr>
            <w:r>
              <w:rPr>
                <w:b/>
                <w:sz w:val="18"/>
                <w:szCs w:val="18"/>
              </w:rPr>
              <w:t>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567" w:hRule="atLeast"/>
          <w:jc w:val="center"/>
        </w:trPr>
        <w:tc>
          <w:tcPr>
            <w:tcW w:w="817" w:type="dxa"/>
            <w:vMerge w:val="restart"/>
            <w:tcBorders>
              <w:left w:val="single" w:color="auto" w:sz="2" w:space="0"/>
              <w:right w:val="single" w:color="auto" w:sz="4" w:space="0"/>
            </w:tcBorders>
            <w:vAlign w:val="center"/>
          </w:tcPr>
          <w:p>
            <w:pPr>
              <w:pStyle w:val="11"/>
              <w:keepNext/>
              <w:spacing w:line="240" w:lineRule="exact"/>
              <w:ind w:left="-120" w:leftChars="-50" w:right="-120" w:rightChars="-50" w:firstLine="0"/>
              <w:jc w:val="center"/>
              <w:rPr>
                <w:bCs/>
                <w:sz w:val="18"/>
                <w:szCs w:val="18"/>
              </w:rPr>
            </w:pPr>
            <w:r>
              <w:rPr>
                <w:bCs/>
                <w:sz w:val="18"/>
                <w:szCs w:val="18"/>
              </w:rPr>
              <w:t>专业拓展课</w:t>
            </w:r>
          </w:p>
        </w:tc>
        <w:tc>
          <w:tcPr>
            <w:tcW w:w="1045" w:type="dxa"/>
            <w:tcBorders>
              <w:left w:val="single" w:color="auto" w:sz="4" w:space="0"/>
            </w:tcBorders>
            <w:vAlign w:val="center"/>
          </w:tcPr>
          <w:p>
            <w:pPr>
              <w:pStyle w:val="11"/>
              <w:keepNext/>
              <w:spacing w:line="240" w:lineRule="exact"/>
              <w:ind w:left="-120" w:leftChars="-50" w:right="-120" w:rightChars="-50" w:firstLine="0"/>
              <w:jc w:val="center"/>
              <w:rPr>
                <w:bCs/>
                <w:sz w:val="18"/>
                <w:szCs w:val="18"/>
              </w:rPr>
            </w:pPr>
            <w:r>
              <w:rPr>
                <w:bCs/>
                <w:sz w:val="18"/>
                <w:szCs w:val="18"/>
              </w:rPr>
              <w:t>BK037040</w:t>
            </w:r>
          </w:p>
        </w:tc>
        <w:tc>
          <w:tcPr>
            <w:tcW w:w="2850" w:type="dxa"/>
            <w:vAlign w:val="center"/>
          </w:tcPr>
          <w:p>
            <w:pPr>
              <w:spacing w:line="240" w:lineRule="exact"/>
              <w:jc w:val="center"/>
              <w:rPr>
                <w:bCs/>
                <w:snapToGrid w:val="0"/>
                <w:sz w:val="18"/>
                <w:szCs w:val="18"/>
              </w:rPr>
            </w:pPr>
            <w:r>
              <w:rPr>
                <w:bCs/>
                <w:snapToGrid w:val="0"/>
                <w:sz w:val="18"/>
                <w:szCs w:val="18"/>
              </w:rPr>
              <w:t>法学学科前沿专题讲座</w:t>
            </w:r>
          </w:p>
          <w:p>
            <w:pPr>
              <w:spacing w:line="240" w:lineRule="exact"/>
              <w:jc w:val="center"/>
              <w:rPr>
                <w:bCs/>
                <w:sz w:val="18"/>
                <w:szCs w:val="18"/>
              </w:rPr>
            </w:pPr>
            <w:r>
              <w:rPr>
                <w:bCs/>
                <w:snapToGrid w:val="0"/>
                <w:sz w:val="18"/>
                <w:szCs w:val="18"/>
              </w:rPr>
              <w:t>Research Frontier of Law</w:t>
            </w:r>
          </w:p>
        </w:tc>
        <w:tc>
          <w:tcPr>
            <w:tcW w:w="705" w:type="dxa"/>
            <w:vAlign w:val="center"/>
          </w:tcPr>
          <w:p>
            <w:pPr>
              <w:spacing w:line="240" w:lineRule="exact"/>
              <w:jc w:val="center"/>
              <w:rPr>
                <w:sz w:val="18"/>
                <w:szCs w:val="18"/>
              </w:rPr>
            </w:pPr>
            <w:r>
              <w:rPr>
                <w:sz w:val="18"/>
                <w:szCs w:val="18"/>
              </w:rPr>
              <w:t>1.5</w:t>
            </w:r>
          </w:p>
        </w:tc>
        <w:tc>
          <w:tcPr>
            <w:tcW w:w="503" w:type="dxa"/>
            <w:vAlign w:val="center"/>
          </w:tcPr>
          <w:p>
            <w:pPr>
              <w:spacing w:line="240" w:lineRule="exact"/>
              <w:jc w:val="center"/>
              <w:rPr>
                <w:sz w:val="18"/>
                <w:szCs w:val="18"/>
              </w:rPr>
            </w:pPr>
            <w:r>
              <w:rPr>
                <w:sz w:val="18"/>
                <w:szCs w:val="18"/>
              </w:rPr>
              <w:t>24</w:t>
            </w:r>
          </w:p>
        </w:tc>
        <w:tc>
          <w:tcPr>
            <w:tcW w:w="425" w:type="dxa"/>
            <w:vAlign w:val="center"/>
          </w:tcPr>
          <w:p>
            <w:pPr>
              <w:spacing w:line="240" w:lineRule="exact"/>
              <w:jc w:val="center"/>
              <w:rPr>
                <w:sz w:val="18"/>
                <w:szCs w:val="18"/>
              </w:rPr>
            </w:pPr>
            <w:r>
              <w:rPr>
                <w:sz w:val="18"/>
                <w:szCs w:val="18"/>
              </w:rPr>
              <w:t>24</w:t>
            </w:r>
          </w:p>
        </w:tc>
        <w:tc>
          <w:tcPr>
            <w:tcW w:w="426" w:type="dxa"/>
            <w:vAlign w:val="center"/>
          </w:tcPr>
          <w:p>
            <w:pPr>
              <w:spacing w:line="240" w:lineRule="exact"/>
              <w:jc w:val="center"/>
              <w:rPr>
                <w:sz w:val="18"/>
                <w:szCs w:val="18"/>
              </w:rPr>
            </w:pPr>
          </w:p>
        </w:tc>
        <w:tc>
          <w:tcPr>
            <w:tcW w:w="476" w:type="dxa"/>
            <w:tcBorders>
              <w:right w:val="single" w:color="auto" w:sz="4" w:space="0"/>
            </w:tcBorders>
            <w:vAlign w:val="center"/>
          </w:tcPr>
          <w:p>
            <w:pPr>
              <w:spacing w:line="240" w:lineRule="exact"/>
              <w:jc w:val="center"/>
              <w:rPr>
                <w:sz w:val="18"/>
                <w:szCs w:val="18"/>
              </w:rPr>
            </w:pPr>
            <w:r>
              <w:rPr>
                <w:sz w:val="18"/>
                <w:szCs w:val="18"/>
              </w:rPr>
              <w:t>7</w:t>
            </w:r>
          </w:p>
        </w:tc>
        <w:tc>
          <w:tcPr>
            <w:tcW w:w="798" w:type="dxa"/>
            <w:tcBorders>
              <w:right w:val="single" w:color="auto" w:sz="4" w:space="0"/>
            </w:tcBorders>
            <w:vAlign w:val="center"/>
          </w:tcPr>
          <w:p>
            <w:pPr>
              <w:spacing w:line="240" w:lineRule="exact"/>
              <w:jc w:val="center"/>
              <w:rPr>
                <w:sz w:val="18"/>
                <w:szCs w:val="18"/>
              </w:rPr>
            </w:pPr>
            <w:r>
              <w:rPr>
                <w:sz w:val="18"/>
                <w:szCs w:val="18"/>
              </w:rPr>
              <w:t>文法</w:t>
            </w:r>
          </w:p>
        </w:tc>
        <w:tc>
          <w:tcPr>
            <w:tcW w:w="1405" w:type="dxa"/>
            <w:gridSpan w:val="2"/>
            <w:vMerge w:val="restart"/>
            <w:tcBorders>
              <w:left w:val="single" w:color="auto" w:sz="4" w:space="0"/>
              <w:right w:val="single" w:color="auto" w:sz="2" w:space="0"/>
            </w:tcBorders>
            <w:vAlign w:val="center"/>
          </w:tcPr>
          <w:p>
            <w:pPr>
              <w:pStyle w:val="11"/>
              <w:keepNext/>
              <w:spacing w:line="240" w:lineRule="exact"/>
              <w:ind w:left="-120" w:leftChars="-50" w:right="-120" w:rightChars="-50" w:firstLine="0"/>
              <w:jc w:val="center"/>
              <w:rPr>
                <w:bCs/>
                <w:sz w:val="18"/>
                <w:szCs w:val="18"/>
              </w:rPr>
            </w:pPr>
            <w:r>
              <w:rPr>
                <w:bCs/>
                <w:sz w:val="18"/>
                <w:szCs w:val="18"/>
              </w:rPr>
              <w:t>每名学生必修</w:t>
            </w:r>
          </w:p>
          <w:p>
            <w:pPr>
              <w:pStyle w:val="11"/>
              <w:keepNext/>
              <w:spacing w:line="240" w:lineRule="exact"/>
              <w:ind w:left="-120" w:leftChars="-50" w:right="-120" w:rightChars="-50" w:firstLine="0"/>
              <w:jc w:val="center"/>
              <w:rPr>
                <w:bCs/>
                <w:sz w:val="18"/>
                <w:szCs w:val="18"/>
              </w:rPr>
            </w:pPr>
            <w:r>
              <w:rPr>
                <w:bCs/>
                <w:sz w:val="18"/>
                <w:szCs w:val="18"/>
              </w:rPr>
              <w:t>3.5学分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567" w:hRule="atLeast"/>
          <w:jc w:val="center"/>
        </w:trPr>
        <w:tc>
          <w:tcPr>
            <w:tcW w:w="817" w:type="dxa"/>
            <w:vMerge w:val="continue"/>
            <w:tcBorders>
              <w:left w:val="single" w:color="auto" w:sz="2" w:space="0"/>
              <w:bottom w:val="single" w:color="auto" w:sz="4" w:space="0"/>
              <w:right w:val="single" w:color="auto" w:sz="4" w:space="0"/>
            </w:tcBorders>
            <w:vAlign w:val="center"/>
          </w:tcPr>
          <w:p>
            <w:pPr>
              <w:pStyle w:val="11"/>
              <w:keepNext/>
              <w:spacing w:line="240" w:lineRule="exact"/>
              <w:ind w:left="-120" w:leftChars="-50" w:right="-120" w:rightChars="-50" w:firstLine="0"/>
              <w:jc w:val="center"/>
              <w:rPr>
                <w:bCs/>
                <w:sz w:val="18"/>
                <w:szCs w:val="18"/>
              </w:rPr>
            </w:pPr>
          </w:p>
        </w:tc>
        <w:tc>
          <w:tcPr>
            <w:tcW w:w="1045" w:type="dxa"/>
            <w:tcBorders>
              <w:left w:val="single" w:color="auto" w:sz="4" w:space="0"/>
              <w:bottom w:val="single" w:color="auto" w:sz="4" w:space="0"/>
            </w:tcBorders>
            <w:vAlign w:val="center"/>
          </w:tcPr>
          <w:p>
            <w:pPr>
              <w:spacing w:line="240" w:lineRule="exact"/>
              <w:jc w:val="center"/>
              <w:rPr>
                <w:snapToGrid w:val="0"/>
                <w:sz w:val="18"/>
                <w:szCs w:val="20"/>
              </w:rPr>
            </w:pPr>
            <w:r>
              <w:rPr>
                <w:bCs/>
                <w:sz w:val="18"/>
                <w:szCs w:val="18"/>
              </w:rPr>
              <w:t>BK100009</w:t>
            </w:r>
          </w:p>
        </w:tc>
        <w:tc>
          <w:tcPr>
            <w:tcW w:w="2850" w:type="dxa"/>
            <w:tcBorders>
              <w:bottom w:val="single" w:color="auto" w:sz="4" w:space="0"/>
            </w:tcBorders>
            <w:vAlign w:val="center"/>
          </w:tcPr>
          <w:p>
            <w:pPr>
              <w:spacing w:line="240" w:lineRule="exact"/>
              <w:ind w:firstLine="95" w:firstLineChars="53"/>
              <w:jc w:val="center"/>
              <w:rPr>
                <w:sz w:val="18"/>
                <w:szCs w:val="18"/>
              </w:rPr>
            </w:pPr>
            <w:r>
              <w:rPr>
                <w:sz w:val="18"/>
                <w:szCs w:val="18"/>
              </w:rPr>
              <w:t>大学生生涯规划</w:t>
            </w:r>
          </w:p>
          <w:p>
            <w:pPr>
              <w:spacing w:line="240" w:lineRule="exact"/>
              <w:ind w:firstLine="95" w:firstLineChars="53"/>
              <w:jc w:val="center"/>
              <w:rPr>
                <w:sz w:val="18"/>
                <w:szCs w:val="18"/>
              </w:rPr>
            </w:pPr>
            <w:r>
              <w:rPr>
                <w:sz w:val="18"/>
                <w:szCs w:val="18"/>
              </w:rPr>
              <w:t>College Students Career  Planning</w:t>
            </w:r>
          </w:p>
        </w:tc>
        <w:tc>
          <w:tcPr>
            <w:tcW w:w="705" w:type="dxa"/>
            <w:tcBorders>
              <w:bottom w:val="single" w:color="auto" w:sz="4" w:space="0"/>
            </w:tcBorders>
            <w:vAlign w:val="center"/>
          </w:tcPr>
          <w:p>
            <w:pPr>
              <w:spacing w:line="240" w:lineRule="exact"/>
              <w:jc w:val="center"/>
              <w:rPr>
                <w:sz w:val="18"/>
                <w:szCs w:val="18"/>
              </w:rPr>
            </w:pPr>
            <w:r>
              <w:rPr>
                <w:sz w:val="18"/>
                <w:szCs w:val="18"/>
              </w:rPr>
              <w:t>0.5</w:t>
            </w:r>
          </w:p>
        </w:tc>
        <w:tc>
          <w:tcPr>
            <w:tcW w:w="503" w:type="dxa"/>
            <w:tcBorders>
              <w:bottom w:val="single" w:color="auto" w:sz="4" w:space="0"/>
            </w:tcBorders>
            <w:vAlign w:val="center"/>
          </w:tcPr>
          <w:p>
            <w:pPr>
              <w:spacing w:line="240" w:lineRule="exact"/>
              <w:jc w:val="center"/>
              <w:rPr>
                <w:sz w:val="18"/>
                <w:szCs w:val="18"/>
              </w:rPr>
            </w:pPr>
            <w:r>
              <w:rPr>
                <w:sz w:val="18"/>
                <w:szCs w:val="18"/>
              </w:rPr>
              <w:t>8</w:t>
            </w:r>
          </w:p>
        </w:tc>
        <w:tc>
          <w:tcPr>
            <w:tcW w:w="425" w:type="dxa"/>
            <w:tcBorders>
              <w:bottom w:val="single" w:color="auto" w:sz="4" w:space="0"/>
            </w:tcBorders>
            <w:vAlign w:val="center"/>
          </w:tcPr>
          <w:p>
            <w:pPr>
              <w:spacing w:line="240" w:lineRule="exact"/>
              <w:jc w:val="center"/>
              <w:rPr>
                <w:sz w:val="18"/>
                <w:szCs w:val="18"/>
              </w:rPr>
            </w:pPr>
            <w:r>
              <w:rPr>
                <w:sz w:val="18"/>
                <w:szCs w:val="18"/>
              </w:rPr>
              <w:t>8</w:t>
            </w:r>
          </w:p>
        </w:tc>
        <w:tc>
          <w:tcPr>
            <w:tcW w:w="426" w:type="dxa"/>
            <w:tcBorders>
              <w:bottom w:val="single" w:color="auto" w:sz="4" w:space="0"/>
            </w:tcBorders>
            <w:vAlign w:val="center"/>
          </w:tcPr>
          <w:p>
            <w:pPr>
              <w:spacing w:line="240" w:lineRule="exact"/>
              <w:jc w:val="center"/>
              <w:rPr>
                <w:sz w:val="18"/>
                <w:szCs w:val="18"/>
              </w:rPr>
            </w:pPr>
          </w:p>
        </w:tc>
        <w:tc>
          <w:tcPr>
            <w:tcW w:w="476" w:type="dxa"/>
            <w:tcBorders>
              <w:bottom w:val="single" w:color="auto" w:sz="4" w:space="0"/>
              <w:right w:val="single" w:color="auto" w:sz="4" w:space="0"/>
            </w:tcBorders>
            <w:vAlign w:val="center"/>
          </w:tcPr>
          <w:p>
            <w:pPr>
              <w:spacing w:line="240" w:lineRule="exact"/>
              <w:jc w:val="center"/>
              <w:rPr>
                <w:sz w:val="18"/>
                <w:szCs w:val="18"/>
              </w:rPr>
            </w:pPr>
            <w:r>
              <w:rPr>
                <w:sz w:val="18"/>
                <w:szCs w:val="18"/>
              </w:rPr>
              <w:t>1</w:t>
            </w:r>
          </w:p>
        </w:tc>
        <w:tc>
          <w:tcPr>
            <w:tcW w:w="798" w:type="dxa"/>
            <w:tcBorders>
              <w:bottom w:val="single" w:color="auto" w:sz="4" w:space="0"/>
              <w:right w:val="single" w:color="auto" w:sz="4" w:space="0"/>
            </w:tcBorders>
            <w:vAlign w:val="center"/>
          </w:tcPr>
          <w:p>
            <w:pPr>
              <w:spacing w:line="240" w:lineRule="exact"/>
              <w:jc w:val="center"/>
              <w:rPr>
                <w:sz w:val="18"/>
                <w:szCs w:val="18"/>
              </w:rPr>
            </w:pPr>
            <w:r>
              <w:rPr>
                <w:sz w:val="18"/>
                <w:szCs w:val="18"/>
              </w:rPr>
              <w:t>学工</w:t>
            </w:r>
          </w:p>
        </w:tc>
        <w:tc>
          <w:tcPr>
            <w:tcW w:w="1405" w:type="dxa"/>
            <w:gridSpan w:val="2"/>
            <w:vMerge w:val="continue"/>
            <w:tcBorders>
              <w:left w:val="single" w:color="auto" w:sz="4" w:space="0"/>
              <w:right w:val="single" w:color="auto" w:sz="2" w:space="0"/>
            </w:tcBorders>
            <w:vAlign w:val="center"/>
          </w:tcPr>
          <w:p>
            <w:pPr>
              <w:spacing w:line="240" w:lineRule="exact"/>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567" w:hRule="atLeast"/>
          <w:jc w:val="center"/>
        </w:trPr>
        <w:tc>
          <w:tcPr>
            <w:tcW w:w="817" w:type="dxa"/>
            <w:vMerge w:val="continue"/>
            <w:tcBorders>
              <w:left w:val="single" w:color="auto" w:sz="2" w:space="0"/>
              <w:bottom w:val="single" w:color="auto" w:sz="4" w:space="0"/>
              <w:right w:val="single" w:color="auto" w:sz="4" w:space="0"/>
            </w:tcBorders>
            <w:vAlign w:val="center"/>
          </w:tcPr>
          <w:p>
            <w:pPr>
              <w:pStyle w:val="11"/>
              <w:keepNext/>
              <w:spacing w:line="240" w:lineRule="exact"/>
              <w:ind w:left="-120" w:leftChars="-50" w:right="-120" w:rightChars="-50" w:firstLine="0"/>
              <w:jc w:val="center"/>
              <w:rPr>
                <w:bCs/>
                <w:sz w:val="18"/>
                <w:szCs w:val="18"/>
              </w:rPr>
            </w:pPr>
          </w:p>
        </w:tc>
        <w:tc>
          <w:tcPr>
            <w:tcW w:w="1045" w:type="dxa"/>
            <w:tcBorders>
              <w:left w:val="single" w:color="auto" w:sz="4" w:space="0"/>
              <w:bottom w:val="single" w:color="auto" w:sz="4" w:space="0"/>
            </w:tcBorders>
            <w:vAlign w:val="center"/>
          </w:tcPr>
          <w:p>
            <w:pPr>
              <w:spacing w:line="240" w:lineRule="exact"/>
              <w:jc w:val="center"/>
              <w:rPr>
                <w:snapToGrid w:val="0"/>
                <w:sz w:val="18"/>
                <w:szCs w:val="20"/>
              </w:rPr>
            </w:pPr>
            <w:r>
              <w:rPr>
                <w:bCs/>
                <w:sz w:val="18"/>
                <w:szCs w:val="18"/>
              </w:rPr>
              <w:t>BK100010</w:t>
            </w:r>
          </w:p>
        </w:tc>
        <w:tc>
          <w:tcPr>
            <w:tcW w:w="2850" w:type="dxa"/>
            <w:tcBorders>
              <w:bottom w:val="single" w:color="auto" w:sz="4" w:space="0"/>
            </w:tcBorders>
            <w:vAlign w:val="center"/>
          </w:tcPr>
          <w:p>
            <w:pPr>
              <w:spacing w:line="240" w:lineRule="exact"/>
              <w:ind w:firstLine="95" w:firstLineChars="53"/>
              <w:jc w:val="center"/>
              <w:rPr>
                <w:sz w:val="18"/>
                <w:szCs w:val="18"/>
              </w:rPr>
            </w:pPr>
            <w:r>
              <w:rPr>
                <w:sz w:val="18"/>
                <w:szCs w:val="18"/>
              </w:rPr>
              <w:t>大学生创新创业教育</w:t>
            </w:r>
          </w:p>
          <w:p>
            <w:pPr>
              <w:spacing w:line="240" w:lineRule="exact"/>
              <w:ind w:firstLine="95" w:firstLineChars="53"/>
              <w:jc w:val="center"/>
              <w:rPr>
                <w:sz w:val="18"/>
                <w:szCs w:val="18"/>
              </w:rPr>
            </w:pPr>
            <w:r>
              <w:rPr>
                <w:sz w:val="18"/>
                <w:szCs w:val="18"/>
              </w:rPr>
              <w:t>College Students Innovation and Entrepreneurship Education</w:t>
            </w:r>
          </w:p>
        </w:tc>
        <w:tc>
          <w:tcPr>
            <w:tcW w:w="705" w:type="dxa"/>
            <w:tcBorders>
              <w:bottom w:val="single" w:color="auto" w:sz="4" w:space="0"/>
            </w:tcBorders>
            <w:vAlign w:val="center"/>
          </w:tcPr>
          <w:p>
            <w:pPr>
              <w:spacing w:line="240" w:lineRule="exact"/>
              <w:jc w:val="center"/>
              <w:rPr>
                <w:sz w:val="18"/>
                <w:szCs w:val="18"/>
              </w:rPr>
            </w:pPr>
            <w:r>
              <w:rPr>
                <w:sz w:val="18"/>
                <w:szCs w:val="18"/>
              </w:rPr>
              <w:t>0.5</w:t>
            </w:r>
          </w:p>
        </w:tc>
        <w:tc>
          <w:tcPr>
            <w:tcW w:w="503" w:type="dxa"/>
            <w:tcBorders>
              <w:bottom w:val="single" w:color="auto" w:sz="4" w:space="0"/>
            </w:tcBorders>
            <w:vAlign w:val="center"/>
          </w:tcPr>
          <w:p>
            <w:pPr>
              <w:spacing w:line="240" w:lineRule="exact"/>
              <w:jc w:val="center"/>
              <w:rPr>
                <w:sz w:val="18"/>
                <w:szCs w:val="18"/>
              </w:rPr>
            </w:pPr>
            <w:r>
              <w:rPr>
                <w:sz w:val="18"/>
                <w:szCs w:val="18"/>
              </w:rPr>
              <w:t>8</w:t>
            </w:r>
          </w:p>
        </w:tc>
        <w:tc>
          <w:tcPr>
            <w:tcW w:w="425" w:type="dxa"/>
            <w:tcBorders>
              <w:bottom w:val="single" w:color="auto" w:sz="4" w:space="0"/>
            </w:tcBorders>
            <w:vAlign w:val="center"/>
          </w:tcPr>
          <w:p>
            <w:pPr>
              <w:spacing w:line="240" w:lineRule="exact"/>
              <w:jc w:val="center"/>
              <w:rPr>
                <w:sz w:val="18"/>
                <w:szCs w:val="18"/>
              </w:rPr>
            </w:pPr>
            <w:r>
              <w:rPr>
                <w:sz w:val="18"/>
                <w:szCs w:val="18"/>
              </w:rPr>
              <w:t>8</w:t>
            </w:r>
          </w:p>
        </w:tc>
        <w:tc>
          <w:tcPr>
            <w:tcW w:w="426" w:type="dxa"/>
            <w:tcBorders>
              <w:bottom w:val="single" w:color="auto" w:sz="4" w:space="0"/>
            </w:tcBorders>
            <w:vAlign w:val="center"/>
          </w:tcPr>
          <w:p>
            <w:pPr>
              <w:spacing w:line="240" w:lineRule="exact"/>
              <w:jc w:val="center"/>
              <w:rPr>
                <w:sz w:val="18"/>
                <w:szCs w:val="18"/>
              </w:rPr>
            </w:pPr>
          </w:p>
        </w:tc>
        <w:tc>
          <w:tcPr>
            <w:tcW w:w="476" w:type="dxa"/>
            <w:tcBorders>
              <w:bottom w:val="single" w:color="auto" w:sz="4" w:space="0"/>
              <w:right w:val="single" w:color="auto" w:sz="4" w:space="0"/>
            </w:tcBorders>
            <w:vAlign w:val="center"/>
          </w:tcPr>
          <w:p>
            <w:pPr>
              <w:spacing w:line="240" w:lineRule="exact"/>
              <w:jc w:val="center"/>
              <w:rPr>
                <w:sz w:val="18"/>
                <w:szCs w:val="18"/>
              </w:rPr>
            </w:pPr>
            <w:r>
              <w:rPr>
                <w:sz w:val="18"/>
                <w:szCs w:val="18"/>
              </w:rPr>
              <w:t>3</w:t>
            </w:r>
          </w:p>
        </w:tc>
        <w:tc>
          <w:tcPr>
            <w:tcW w:w="798" w:type="dxa"/>
            <w:tcBorders>
              <w:bottom w:val="single" w:color="auto" w:sz="4" w:space="0"/>
              <w:right w:val="single" w:color="auto" w:sz="4" w:space="0"/>
            </w:tcBorders>
            <w:vAlign w:val="center"/>
          </w:tcPr>
          <w:p>
            <w:pPr>
              <w:spacing w:line="240" w:lineRule="exact"/>
              <w:jc w:val="center"/>
              <w:rPr>
                <w:sz w:val="18"/>
                <w:szCs w:val="18"/>
              </w:rPr>
            </w:pPr>
            <w:r>
              <w:rPr>
                <w:sz w:val="18"/>
                <w:szCs w:val="18"/>
              </w:rPr>
              <w:t>学工</w:t>
            </w:r>
          </w:p>
        </w:tc>
        <w:tc>
          <w:tcPr>
            <w:tcW w:w="1405" w:type="dxa"/>
            <w:gridSpan w:val="2"/>
            <w:vMerge w:val="continue"/>
            <w:tcBorders>
              <w:left w:val="single" w:color="auto" w:sz="4" w:space="0"/>
              <w:right w:val="single" w:color="auto" w:sz="2" w:space="0"/>
            </w:tcBorders>
            <w:vAlign w:val="center"/>
          </w:tcPr>
          <w:p>
            <w:pPr>
              <w:spacing w:line="240" w:lineRule="exact"/>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567" w:hRule="atLeast"/>
          <w:jc w:val="center"/>
        </w:trPr>
        <w:tc>
          <w:tcPr>
            <w:tcW w:w="817" w:type="dxa"/>
            <w:vMerge w:val="continue"/>
            <w:tcBorders>
              <w:left w:val="single" w:color="auto" w:sz="2" w:space="0"/>
              <w:bottom w:val="single" w:color="auto" w:sz="4" w:space="0"/>
              <w:right w:val="single" w:color="auto" w:sz="4" w:space="0"/>
            </w:tcBorders>
            <w:vAlign w:val="center"/>
          </w:tcPr>
          <w:p>
            <w:pPr>
              <w:pStyle w:val="11"/>
              <w:keepNext/>
              <w:spacing w:line="240" w:lineRule="exact"/>
              <w:ind w:left="-120" w:leftChars="-50" w:right="-120" w:rightChars="-50" w:firstLine="0"/>
              <w:jc w:val="center"/>
              <w:rPr>
                <w:bCs/>
                <w:sz w:val="18"/>
                <w:szCs w:val="18"/>
              </w:rPr>
            </w:pPr>
          </w:p>
        </w:tc>
        <w:tc>
          <w:tcPr>
            <w:tcW w:w="1045" w:type="dxa"/>
            <w:tcBorders>
              <w:left w:val="single" w:color="auto" w:sz="4" w:space="0"/>
              <w:bottom w:val="single" w:color="auto" w:sz="4" w:space="0"/>
            </w:tcBorders>
            <w:vAlign w:val="center"/>
          </w:tcPr>
          <w:p>
            <w:pPr>
              <w:spacing w:line="240" w:lineRule="exact"/>
              <w:jc w:val="center"/>
              <w:rPr>
                <w:snapToGrid w:val="0"/>
                <w:sz w:val="18"/>
                <w:szCs w:val="20"/>
              </w:rPr>
            </w:pPr>
            <w:r>
              <w:rPr>
                <w:bCs/>
                <w:sz w:val="18"/>
                <w:szCs w:val="18"/>
              </w:rPr>
              <w:t>BK100011</w:t>
            </w:r>
          </w:p>
        </w:tc>
        <w:tc>
          <w:tcPr>
            <w:tcW w:w="2850" w:type="dxa"/>
            <w:tcBorders>
              <w:bottom w:val="single" w:color="auto" w:sz="4" w:space="0"/>
            </w:tcBorders>
            <w:vAlign w:val="center"/>
          </w:tcPr>
          <w:p>
            <w:pPr>
              <w:spacing w:line="240" w:lineRule="exact"/>
              <w:ind w:firstLine="95" w:firstLineChars="53"/>
              <w:jc w:val="center"/>
              <w:rPr>
                <w:sz w:val="18"/>
                <w:szCs w:val="18"/>
              </w:rPr>
            </w:pPr>
            <w:r>
              <w:rPr>
                <w:sz w:val="18"/>
                <w:szCs w:val="18"/>
              </w:rPr>
              <w:t>大学生就业指导</w:t>
            </w:r>
          </w:p>
          <w:p>
            <w:pPr>
              <w:spacing w:line="240" w:lineRule="exact"/>
              <w:ind w:firstLine="95" w:firstLineChars="53"/>
              <w:jc w:val="center"/>
              <w:rPr>
                <w:sz w:val="18"/>
                <w:szCs w:val="18"/>
              </w:rPr>
            </w:pPr>
            <w:r>
              <w:rPr>
                <w:sz w:val="18"/>
                <w:szCs w:val="18"/>
              </w:rPr>
              <w:t>College Students Employment Guidance</w:t>
            </w:r>
          </w:p>
        </w:tc>
        <w:tc>
          <w:tcPr>
            <w:tcW w:w="705" w:type="dxa"/>
            <w:tcBorders>
              <w:bottom w:val="single" w:color="auto" w:sz="4" w:space="0"/>
            </w:tcBorders>
            <w:vAlign w:val="center"/>
          </w:tcPr>
          <w:p>
            <w:pPr>
              <w:spacing w:line="240" w:lineRule="exact"/>
              <w:jc w:val="center"/>
              <w:rPr>
                <w:sz w:val="18"/>
                <w:szCs w:val="18"/>
              </w:rPr>
            </w:pPr>
            <w:r>
              <w:rPr>
                <w:sz w:val="18"/>
                <w:szCs w:val="18"/>
              </w:rPr>
              <w:t>1</w:t>
            </w:r>
          </w:p>
        </w:tc>
        <w:tc>
          <w:tcPr>
            <w:tcW w:w="503" w:type="dxa"/>
            <w:tcBorders>
              <w:bottom w:val="single" w:color="auto" w:sz="4" w:space="0"/>
            </w:tcBorders>
            <w:vAlign w:val="center"/>
          </w:tcPr>
          <w:p>
            <w:pPr>
              <w:spacing w:line="240" w:lineRule="exact"/>
              <w:jc w:val="center"/>
              <w:rPr>
                <w:sz w:val="18"/>
                <w:szCs w:val="18"/>
              </w:rPr>
            </w:pPr>
            <w:r>
              <w:rPr>
                <w:sz w:val="18"/>
                <w:szCs w:val="18"/>
              </w:rPr>
              <w:t>16</w:t>
            </w:r>
          </w:p>
        </w:tc>
        <w:tc>
          <w:tcPr>
            <w:tcW w:w="425" w:type="dxa"/>
            <w:tcBorders>
              <w:bottom w:val="single" w:color="auto" w:sz="4" w:space="0"/>
            </w:tcBorders>
            <w:vAlign w:val="center"/>
          </w:tcPr>
          <w:p>
            <w:pPr>
              <w:spacing w:line="240" w:lineRule="exact"/>
              <w:jc w:val="center"/>
              <w:rPr>
                <w:sz w:val="18"/>
                <w:szCs w:val="18"/>
              </w:rPr>
            </w:pPr>
            <w:r>
              <w:rPr>
                <w:sz w:val="18"/>
                <w:szCs w:val="18"/>
              </w:rPr>
              <w:t>16</w:t>
            </w:r>
          </w:p>
        </w:tc>
        <w:tc>
          <w:tcPr>
            <w:tcW w:w="426" w:type="dxa"/>
            <w:tcBorders>
              <w:bottom w:val="single" w:color="auto" w:sz="4" w:space="0"/>
            </w:tcBorders>
            <w:vAlign w:val="center"/>
          </w:tcPr>
          <w:p>
            <w:pPr>
              <w:spacing w:line="240" w:lineRule="exact"/>
              <w:jc w:val="center"/>
              <w:rPr>
                <w:sz w:val="18"/>
                <w:szCs w:val="18"/>
              </w:rPr>
            </w:pPr>
          </w:p>
        </w:tc>
        <w:tc>
          <w:tcPr>
            <w:tcW w:w="476" w:type="dxa"/>
            <w:tcBorders>
              <w:bottom w:val="single" w:color="auto" w:sz="4" w:space="0"/>
              <w:right w:val="single" w:color="auto" w:sz="4" w:space="0"/>
            </w:tcBorders>
            <w:vAlign w:val="center"/>
          </w:tcPr>
          <w:p>
            <w:pPr>
              <w:spacing w:line="240" w:lineRule="exact"/>
              <w:jc w:val="center"/>
              <w:rPr>
                <w:sz w:val="18"/>
                <w:szCs w:val="18"/>
              </w:rPr>
            </w:pPr>
            <w:r>
              <w:rPr>
                <w:sz w:val="18"/>
                <w:szCs w:val="18"/>
              </w:rPr>
              <w:t>6</w:t>
            </w:r>
          </w:p>
        </w:tc>
        <w:tc>
          <w:tcPr>
            <w:tcW w:w="798" w:type="dxa"/>
            <w:tcBorders>
              <w:bottom w:val="single" w:color="auto" w:sz="4" w:space="0"/>
              <w:right w:val="single" w:color="auto" w:sz="4" w:space="0"/>
            </w:tcBorders>
            <w:vAlign w:val="center"/>
          </w:tcPr>
          <w:p>
            <w:pPr>
              <w:spacing w:line="240" w:lineRule="exact"/>
              <w:jc w:val="center"/>
              <w:rPr>
                <w:sz w:val="18"/>
                <w:szCs w:val="18"/>
              </w:rPr>
            </w:pPr>
            <w:r>
              <w:rPr>
                <w:sz w:val="18"/>
                <w:szCs w:val="18"/>
              </w:rPr>
              <w:t>学工</w:t>
            </w:r>
          </w:p>
        </w:tc>
        <w:tc>
          <w:tcPr>
            <w:tcW w:w="1405" w:type="dxa"/>
            <w:gridSpan w:val="2"/>
            <w:vMerge w:val="continue"/>
            <w:tcBorders>
              <w:left w:val="single" w:color="auto" w:sz="4" w:space="0"/>
              <w:right w:val="single" w:color="auto" w:sz="2" w:space="0"/>
            </w:tcBorders>
            <w:vAlign w:val="center"/>
          </w:tcPr>
          <w:p>
            <w:pPr>
              <w:spacing w:line="240" w:lineRule="exact"/>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567" w:hRule="atLeast"/>
          <w:jc w:val="center"/>
        </w:trPr>
        <w:tc>
          <w:tcPr>
            <w:tcW w:w="817" w:type="dxa"/>
            <w:tcBorders>
              <w:left w:val="single" w:color="auto" w:sz="2" w:space="0"/>
              <w:right w:val="single" w:color="auto" w:sz="4" w:space="0"/>
            </w:tcBorders>
            <w:vAlign w:val="center"/>
          </w:tcPr>
          <w:p>
            <w:pPr>
              <w:pStyle w:val="11"/>
              <w:keepNext/>
              <w:spacing w:line="240" w:lineRule="exact"/>
              <w:ind w:right="-120" w:rightChars="-50" w:firstLine="0"/>
              <w:jc w:val="center"/>
              <w:rPr>
                <w:bCs/>
                <w:sz w:val="18"/>
                <w:szCs w:val="18"/>
              </w:rPr>
            </w:pPr>
            <w:r>
              <w:rPr>
                <w:bCs/>
                <w:sz w:val="18"/>
                <w:szCs w:val="18"/>
              </w:rPr>
              <w:t>学科交</w:t>
            </w:r>
          </w:p>
          <w:p>
            <w:pPr>
              <w:pStyle w:val="11"/>
              <w:keepNext/>
              <w:spacing w:line="240" w:lineRule="exact"/>
              <w:ind w:right="-120" w:rightChars="-50" w:firstLine="0"/>
              <w:jc w:val="center"/>
              <w:rPr>
                <w:bCs/>
                <w:sz w:val="18"/>
                <w:szCs w:val="18"/>
              </w:rPr>
            </w:pPr>
            <w:r>
              <w:rPr>
                <w:bCs/>
                <w:sz w:val="18"/>
                <w:szCs w:val="18"/>
              </w:rPr>
              <w:t>叉课</w:t>
            </w:r>
          </w:p>
        </w:tc>
        <w:tc>
          <w:tcPr>
            <w:tcW w:w="5954" w:type="dxa"/>
            <w:gridSpan w:val="6"/>
            <w:tcBorders>
              <w:left w:val="single" w:color="auto" w:sz="4" w:space="0"/>
            </w:tcBorders>
            <w:vAlign w:val="center"/>
          </w:tcPr>
          <w:p>
            <w:pPr>
              <w:pStyle w:val="11"/>
              <w:keepNext/>
              <w:spacing w:line="240" w:lineRule="exact"/>
              <w:ind w:left="-120" w:leftChars="-50" w:right="-120" w:rightChars="-50" w:firstLine="0"/>
              <w:jc w:val="center"/>
              <w:rPr>
                <w:bCs/>
                <w:sz w:val="18"/>
                <w:szCs w:val="18"/>
              </w:rPr>
            </w:pPr>
            <w:r>
              <w:rPr>
                <w:bCs/>
                <w:sz w:val="18"/>
                <w:szCs w:val="18"/>
              </w:rPr>
              <w:t>由各学院开设的学科概论课程组成</w:t>
            </w:r>
          </w:p>
        </w:tc>
        <w:tc>
          <w:tcPr>
            <w:tcW w:w="476" w:type="dxa"/>
            <w:tcBorders>
              <w:right w:val="single" w:color="auto" w:sz="4" w:space="0"/>
            </w:tcBorders>
            <w:vAlign w:val="center"/>
          </w:tcPr>
          <w:p>
            <w:pPr>
              <w:pStyle w:val="11"/>
              <w:keepNext/>
              <w:spacing w:line="240" w:lineRule="exact"/>
              <w:ind w:left="-120" w:leftChars="-50" w:right="-120" w:rightChars="-50" w:firstLine="0"/>
              <w:jc w:val="center"/>
              <w:rPr>
                <w:bCs/>
                <w:sz w:val="18"/>
                <w:szCs w:val="18"/>
              </w:rPr>
            </w:pPr>
            <w:r>
              <w:rPr>
                <w:bCs/>
                <w:sz w:val="18"/>
                <w:szCs w:val="18"/>
              </w:rPr>
              <w:t>2-7</w:t>
            </w:r>
          </w:p>
        </w:tc>
        <w:tc>
          <w:tcPr>
            <w:tcW w:w="798" w:type="dxa"/>
            <w:tcBorders>
              <w:right w:val="single" w:color="auto" w:sz="4" w:space="0"/>
            </w:tcBorders>
            <w:vAlign w:val="center"/>
          </w:tcPr>
          <w:p>
            <w:pPr>
              <w:pStyle w:val="11"/>
              <w:keepNext/>
              <w:spacing w:line="240" w:lineRule="exact"/>
              <w:ind w:left="-120" w:leftChars="-50" w:right="-120" w:rightChars="-50" w:firstLine="0"/>
              <w:jc w:val="center"/>
              <w:rPr>
                <w:bCs/>
                <w:sz w:val="18"/>
                <w:szCs w:val="18"/>
              </w:rPr>
            </w:pPr>
            <w:r>
              <w:rPr>
                <w:bCs/>
                <w:sz w:val="18"/>
                <w:szCs w:val="18"/>
              </w:rPr>
              <w:t>各学院</w:t>
            </w:r>
          </w:p>
        </w:tc>
        <w:tc>
          <w:tcPr>
            <w:tcW w:w="1405" w:type="dxa"/>
            <w:gridSpan w:val="2"/>
            <w:tcBorders>
              <w:left w:val="single" w:color="auto" w:sz="4" w:space="0"/>
              <w:right w:val="single" w:color="auto" w:sz="2" w:space="0"/>
            </w:tcBorders>
            <w:vAlign w:val="center"/>
          </w:tcPr>
          <w:p>
            <w:pPr>
              <w:pStyle w:val="11"/>
              <w:keepNext/>
              <w:spacing w:line="240" w:lineRule="exact"/>
              <w:ind w:left="-7" w:leftChars="-3" w:right="-38" w:rightChars="-16" w:firstLine="0"/>
              <w:jc w:val="center"/>
              <w:rPr>
                <w:bCs/>
                <w:sz w:val="18"/>
                <w:szCs w:val="18"/>
              </w:rPr>
            </w:pPr>
            <w:r>
              <w:rPr>
                <w:bCs/>
                <w:sz w:val="18"/>
                <w:szCs w:val="18"/>
              </w:rPr>
              <w:t>每名学生至少获得交叉课模块课程2学分</w:t>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3" w:hRule="atLeast"/>
          <w:jc w:val="center"/>
        </w:trPr>
        <w:tc>
          <w:tcPr>
            <w:tcW w:w="4712" w:type="dxa"/>
            <w:gridSpan w:val="3"/>
            <w:tcBorders>
              <w:left w:val="single" w:color="auto" w:sz="2" w:space="0"/>
              <w:bottom w:val="single" w:color="auto" w:sz="2" w:space="0"/>
              <w:right w:val="single" w:color="auto" w:sz="2" w:space="0"/>
            </w:tcBorders>
            <w:vAlign w:val="center"/>
          </w:tcPr>
          <w:p>
            <w:pPr>
              <w:spacing w:line="240" w:lineRule="exact"/>
              <w:jc w:val="center"/>
              <w:rPr>
                <w:bCs/>
                <w:sz w:val="18"/>
                <w:szCs w:val="18"/>
              </w:rPr>
            </w:pPr>
            <w:r>
              <w:rPr>
                <w:bCs/>
                <w:sz w:val="18"/>
                <w:szCs w:val="18"/>
              </w:rPr>
              <w:t>合计学分</w:t>
            </w:r>
          </w:p>
        </w:tc>
        <w:tc>
          <w:tcPr>
            <w:tcW w:w="4738" w:type="dxa"/>
            <w:gridSpan w:val="8"/>
            <w:tcBorders>
              <w:left w:val="single" w:color="auto" w:sz="2" w:space="0"/>
              <w:bottom w:val="single" w:color="auto" w:sz="2" w:space="0"/>
              <w:right w:val="single" w:color="auto" w:sz="2" w:space="0"/>
            </w:tcBorders>
            <w:vAlign w:val="center"/>
          </w:tcPr>
          <w:p>
            <w:pPr>
              <w:spacing w:line="240" w:lineRule="exact"/>
              <w:jc w:val="center"/>
              <w:rPr>
                <w:b/>
                <w:bCs/>
                <w:sz w:val="18"/>
                <w:szCs w:val="18"/>
              </w:rPr>
            </w:pPr>
            <w:r>
              <w:rPr>
                <w:b/>
                <w:bCs/>
                <w:sz w:val="18"/>
                <w:szCs w:val="18"/>
              </w:rPr>
              <w:t>20.5</w:t>
            </w:r>
          </w:p>
        </w:tc>
      </w:tr>
    </w:tbl>
    <w:p>
      <w:pPr>
        <w:autoSpaceDE w:val="0"/>
        <w:autoSpaceDN w:val="0"/>
        <w:adjustRightInd w:val="0"/>
        <w:spacing w:line="480" w:lineRule="exact"/>
        <w:rPr>
          <w:rFonts w:eastAsia="仿宋"/>
          <w:kern w:val="0"/>
          <w:sz w:val="28"/>
          <w:szCs w:val="32"/>
        </w:rPr>
      </w:pPr>
    </w:p>
    <w:p>
      <w:pPr>
        <w:rPr>
          <w:kern w:val="0"/>
          <w:szCs w:val="21"/>
        </w:rPr>
      </w:pPr>
      <w:r>
        <w:rPr>
          <w:kern w:val="0"/>
          <w:szCs w:val="21"/>
        </w:rPr>
        <w:br w:type="page"/>
      </w:r>
    </w:p>
    <w:p>
      <w:pPr>
        <w:autoSpaceDE w:val="0"/>
        <w:autoSpaceDN w:val="0"/>
        <w:adjustRightInd w:val="0"/>
        <w:spacing w:line="480" w:lineRule="exact"/>
        <w:jc w:val="center"/>
        <w:rPr>
          <w:b/>
          <w:bCs/>
          <w:kern w:val="0"/>
          <w:sz w:val="21"/>
          <w:szCs w:val="21"/>
        </w:rPr>
      </w:pPr>
      <w:r>
        <w:rPr>
          <w:b/>
          <w:bCs/>
          <w:kern w:val="0"/>
          <w:sz w:val="21"/>
          <w:szCs w:val="21"/>
        </w:rPr>
        <w:t>附表4    法学专业创新型、专业型人才培养实践教学计划进程表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95"/>
        <w:gridCol w:w="1103"/>
        <w:gridCol w:w="4650"/>
        <w:gridCol w:w="598"/>
        <w:gridCol w:w="598"/>
        <w:gridCol w:w="598"/>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29" w:hRule="atLeast"/>
          <w:tblHeader/>
          <w:jc w:val="center"/>
        </w:trPr>
        <w:tc>
          <w:tcPr>
            <w:tcW w:w="336" w:type="pct"/>
            <w:vAlign w:val="center"/>
          </w:tcPr>
          <w:p>
            <w:pPr>
              <w:pStyle w:val="11"/>
              <w:keepNext/>
              <w:spacing w:line="240" w:lineRule="exact"/>
              <w:ind w:left="-120" w:leftChars="-50" w:right="-120" w:rightChars="-50" w:firstLine="0"/>
              <w:jc w:val="center"/>
              <w:rPr>
                <w:b/>
                <w:sz w:val="18"/>
                <w:szCs w:val="18"/>
              </w:rPr>
            </w:pPr>
            <w:r>
              <w:rPr>
                <w:b/>
                <w:sz w:val="18"/>
                <w:szCs w:val="18"/>
              </w:rPr>
              <w:t>实践</w:t>
            </w:r>
          </w:p>
          <w:p>
            <w:pPr>
              <w:pStyle w:val="11"/>
              <w:keepNext/>
              <w:spacing w:line="240" w:lineRule="exact"/>
              <w:ind w:left="-120" w:leftChars="-50" w:right="-120" w:rightChars="-50" w:firstLine="0"/>
              <w:jc w:val="center"/>
              <w:rPr>
                <w:b/>
                <w:sz w:val="18"/>
                <w:szCs w:val="18"/>
              </w:rPr>
            </w:pPr>
            <w:r>
              <w:rPr>
                <w:b/>
                <w:sz w:val="18"/>
                <w:szCs w:val="18"/>
              </w:rPr>
              <w:t>层次</w:t>
            </w:r>
          </w:p>
        </w:tc>
        <w:tc>
          <w:tcPr>
            <w:tcW w:w="623" w:type="pct"/>
            <w:vAlign w:val="center"/>
          </w:tcPr>
          <w:p>
            <w:pPr>
              <w:pStyle w:val="11"/>
              <w:keepNext/>
              <w:spacing w:line="240" w:lineRule="exact"/>
              <w:ind w:left="-120" w:leftChars="-50" w:right="-120" w:rightChars="-50" w:firstLine="0"/>
              <w:jc w:val="center"/>
              <w:rPr>
                <w:b/>
                <w:sz w:val="18"/>
                <w:szCs w:val="18"/>
              </w:rPr>
            </w:pPr>
            <w:r>
              <w:rPr>
                <w:b/>
                <w:sz w:val="18"/>
                <w:szCs w:val="18"/>
              </w:rPr>
              <w:t>实践环节</w:t>
            </w:r>
          </w:p>
          <w:p>
            <w:pPr>
              <w:pStyle w:val="11"/>
              <w:keepNext/>
              <w:spacing w:line="240" w:lineRule="exact"/>
              <w:ind w:left="-120" w:leftChars="-50" w:right="-120" w:rightChars="-50" w:firstLine="0"/>
              <w:jc w:val="center"/>
              <w:rPr>
                <w:b/>
                <w:sz w:val="18"/>
                <w:szCs w:val="18"/>
              </w:rPr>
            </w:pPr>
            <w:r>
              <w:rPr>
                <w:b/>
                <w:sz w:val="18"/>
                <w:szCs w:val="18"/>
              </w:rPr>
              <w:t>代  码</w:t>
            </w:r>
          </w:p>
        </w:tc>
        <w:tc>
          <w:tcPr>
            <w:tcW w:w="2625" w:type="pct"/>
            <w:vAlign w:val="center"/>
          </w:tcPr>
          <w:p>
            <w:pPr>
              <w:pStyle w:val="11"/>
              <w:keepNext/>
              <w:spacing w:line="240" w:lineRule="exact"/>
              <w:ind w:left="-120" w:leftChars="-50" w:right="-120" w:rightChars="-50" w:firstLine="0"/>
              <w:jc w:val="center"/>
              <w:rPr>
                <w:b/>
                <w:sz w:val="18"/>
                <w:szCs w:val="18"/>
              </w:rPr>
            </w:pPr>
            <w:r>
              <w:rPr>
                <w:b/>
                <w:sz w:val="18"/>
                <w:szCs w:val="18"/>
              </w:rPr>
              <w:t>实践环节名称</w:t>
            </w:r>
          </w:p>
        </w:tc>
        <w:tc>
          <w:tcPr>
            <w:tcW w:w="338" w:type="pct"/>
            <w:vAlign w:val="center"/>
          </w:tcPr>
          <w:p>
            <w:pPr>
              <w:pStyle w:val="11"/>
              <w:keepNext/>
              <w:spacing w:line="240" w:lineRule="exact"/>
              <w:ind w:left="-120" w:leftChars="-50" w:right="-120" w:rightChars="-50" w:firstLine="0"/>
              <w:jc w:val="center"/>
              <w:rPr>
                <w:b/>
                <w:sz w:val="18"/>
                <w:szCs w:val="18"/>
              </w:rPr>
            </w:pPr>
            <w:r>
              <w:rPr>
                <w:b/>
                <w:sz w:val="18"/>
                <w:szCs w:val="18"/>
              </w:rPr>
              <w:t>学分</w:t>
            </w:r>
          </w:p>
        </w:tc>
        <w:tc>
          <w:tcPr>
            <w:tcW w:w="338" w:type="pct"/>
            <w:vAlign w:val="center"/>
          </w:tcPr>
          <w:p>
            <w:pPr>
              <w:pStyle w:val="11"/>
              <w:keepNext/>
              <w:spacing w:line="240" w:lineRule="exact"/>
              <w:ind w:left="-120" w:leftChars="-50" w:right="-120" w:rightChars="-50" w:firstLine="0"/>
              <w:jc w:val="center"/>
              <w:rPr>
                <w:b/>
                <w:sz w:val="18"/>
                <w:szCs w:val="18"/>
              </w:rPr>
            </w:pPr>
            <w:r>
              <w:rPr>
                <w:b/>
                <w:sz w:val="18"/>
                <w:szCs w:val="18"/>
              </w:rPr>
              <w:t>总周数</w:t>
            </w:r>
          </w:p>
        </w:tc>
        <w:tc>
          <w:tcPr>
            <w:tcW w:w="338" w:type="pct"/>
            <w:vAlign w:val="center"/>
          </w:tcPr>
          <w:p>
            <w:pPr>
              <w:pStyle w:val="11"/>
              <w:keepNext/>
              <w:spacing w:line="240" w:lineRule="exact"/>
              <w:ind w:left="-120" w:leftChars="-50" w:right="-120" w:rightChars="-50" w:firstLine="0"/>
              <w:jc w:val="center"/>
              <w:rPr>
                <w:b/>
                <w:sz w:val="18"/>
                <w:szCs w:val="18"/>
              </w:rPr>
            </w:pPr>
            <w:r>
              <w:rPr>
                <w:b/>
                <w:sz w:val="18"/>
                <w:szCs w:val="18"/>
              </w:rPr>
              <w:t>开设</w:t>
            </w:r>
          </w:p>
          <w:p>
            <w:pPr>
              <w:pStyle w:val="11"/>
              <w:keepNext/>
              <w:spacing w:line="240" w:lineRule="exact"/>
              <w:ind w:left="-120" w:leftChars="-50" w:right="-120" w:rightChars="-50" w:firstLine="0"/>
              <w:jc w:val="center"/>
              <w:rPr>
                <w:b/>
                <w:sz w:val="18"/>
                <w:szCs w:val="18"/>
              </w:rPr>
            </w:pPr>
            <w:r>
              <w:rPr>
                <w:b/>
                <w:sz w:val="18"/>
                <w:szCs w:val="18"/>
              </w:rPr>
              <w:t>学期</w:t>
            </w:r>
          </w:p>
        </w:tc>
        <w:tc>
          <w:tcPr>
            <w:tcW w:w="398" w:type="pct"/>
            <w:vAlign w:val="center"/>
          </w:tcPr>
          <w:p>
            <w:pPr>
              <w:pStyle w:val="11"/>
              <w:keepNext/>
              <w:spacing w:line="240" w:lineRule="exact"/>
              <w:ind w:left="-120" w:leftChars="-50" w:right="-120" w:rightChars="-50" w:firstLine="0"/>
              <w:jc w:val="center"/>
              <w:rPr>
                <w:b/>
                <w:sz w:val="18"/>
                <w:szCs w:val="18"/>
              </w:rPr>
            </w:pPr>
            <w:r>
              <w:rPr>
                <w:b/>
                <w:sz w:val="18"/>
                <w:szCs w:val="18"/>
              </w:rPr>
              <w:t>开课</w:t>
            </w:r>
          </w:p>
          <w:p>
            <w:pPr>
              <w:pStyle w:val="11"/>
              <w:keepNext/>
              <w:spacing w:line="240" w:lineRule="exact"/>
              <w:ind w:left="-120" w:leftChars="-50" w:right="-120" w:rightChars="-50" w:firstLine="0"/>
              <w:jc w:val="center"/>
              <w:rPr>
                <w:b/>
                <w:sz w:val="18"/>
                <w:szCs w:val="18"/>
              </w:rPr>
            </w:pPr>
            <w:r>
              <w:rPr>
                <w:b/>
                <w:sz w:val="18"/>
                <w:szCs w:val="18"/>
              </w:rPr>
              <w:t>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336" w:type="pct"/>
            <w:vMerge w:val="restart"/>
            <w:vAlign w:val="center"/>
          </w:tcPr>
          <w:p>
            <w:pPr>
              <w:spacing w:line="240" w:lineRule="exact"/>
              <w:jc w:val="center"/>
              <w:rPr>
                <w:bCs/>
                <w:sz w:val="18"/>
                <w:szCs w:val="18"/>
              </w:rPr>
            </w:pPr>
            <w:r>
              <w:rPr>
                <w:bCs/>
                <w:sz w:val="18"/>
                <w:szCs w:val="18"/>
              </w:rPr>
              <w:t>基</w:t>
            </w:r>
          </w:p>
          <w:p>
            <w:pPr>
              <w:spacing w:line="240" w:lineRule="exact"/>
              <w:jc w:val="center"/>
              <w:rPr>
                <w:bCs/>
                <w:sz w:val="18"/>
                <w:szCs w:val="18"/>
              </w:rPr>
            </w:pPr>
            <w:r>
              <w:rPr>
                <w:bCs/>
                <w:sz w:val="18"/>
                <w:szCs w:val="18"/>
              </w:rPr>
              <w:t>础</w:t>
            </w:r>
          </w:p>
          <w:p>
            <w:pPr>
              <w:spacing w:line="240" w:lineRule="exact"/>
              <w:jc w:val="center"/>
              <w:rPr>
                <w:bCs/>
                <w:sz w:val="18"/>
                <w:szCs w:val="18"/>
              </w:rPr>
            </w:pPr>
            <w:r>
              <w:rPr>
                <w:bCs/>
                <w:sz w:val="18"/>
                <w:szCs w:val="18"/>
              </w:rPr>
              <w:t>实</w:t>
            </w:r>
          </w:p>
          <w:p>
            <w:pPr>
              <w:spacing w:line="240" w:lineRule="exact"/>
              <w:jc w:val="center"/>
              <w:rPr>
                <w:bCs/>
                <w:sz w:val="18"/>
                <w:szCs w:val="18"/>
              </w:rPr>
            </w:pPr>
            <w:r>
              <w:rPr>
                <w:bCs/>
                <w:sz w:val="18"/>
                <w:szCs w:val="18"/>
              </w:rPr>
              <w:t>践</w:t>
            </w:r>
          </w:p>
        </w:tc>
        <w:tc>
          <w:tcPr>
            <w:tcW w:w="623" w:type="pct"/>
            <w:vAlign w:val="center"/>
          </w:tcPr>
          <w:p>
            <w:pPr>
              <w:spacing w:line="240" w:lineRule="exact"/>
              <w:jc w:val="center"/>
              <w:rPr>
                <w:bCs/>
                <w:sz w:val="18"/>
                <w:szCs w:val="18"/>
              </w:rPr>
            </w:pPr>
            <w:r>
              <w:rPr>
                <w:bCs/>
                <w:sz w:val="18"/>
                <w:szCs w:val="18"/>
              </w:rPr>
              <w:t>BS110001</w:t>
            </w:r>
          </w:p>
        </w:tc>
        <w:tc>
          <w:tcPr>
            <w:tcW w:w="2625" w:type="pct"/>
            <w:vAlign w:val="center"/>
          </w:tcPr>
          <w:p>
            <w:pPr>
              <w:spacing w:line="240" w:lineRule="exact"/>
              <w:ind w:firstLine="95" w:firstLineChars="53"/>
              <w:rPr>
                <w:sz w:val="18"/>
                <w:szCs w:val="18"/>
              </w:rPr>
            </w:pPr>
            <w:r>
              <w:rPr>
                <w:sz w:val="18"/>
                <w:szCs w:val="18"/>
              </w:rPr>
              <w:t>军事理论及训练</w:t>
            </w:r>
          </w:p>
          <w:p>
            <w:pPr>
              <w:spacing w:line="240" w:lineRule="exact"/>
              <w:ind w:firstLine="95" w:firstLineChars="53"/>
              <w:rPr>
                <w:bCs/>
                <w:sz w:val="18"/>
                <w:szCs w:val="18"/>
              </w:rPr>
            </w:pPr>
            <w:r>
              <w:rPr>
                <w:color w:val="000000"/>
                <w:sz w:val="18"/>
                <w:szCs w:val="18"/>
              </w:rPr>
              <w:t>Military Theory and Training</w:t>
            </w:r>
          </w:p>
        </w:tc>
        <w:tc>
          <w:tcPr>
            <w:tcW w:w="338" w:type="pct"/>
            <w:vAlign w:val="center"/>
          </w:tcPr>
          <w:p>
            <w:pPr>
              <w:spacing w:line="240" w:lineRule="exact"/>
              <w:jc w:val="center"/>
              <w:rPr>
                <w:bCs/>
                <w:sz w:val="18"/>
                <w:szCs w:val="18"/>
              </w:rPr>
            </w:pPr>
            <w:r>
              <w:rPr>
                <w:bCs/>
                <w:sz w:val="18"/>
                <w:szCs w:val="18"/>
              </w:rPr>
              <w:t>1</w:t>
            </w:r>
          </w:p>
        </w:tc>
        <w:tc>
          <w:tcPr>
            <w:tcW w:w="338" w:type="pct"/>
            <w:vAlign w:val="center"/>
          </w:tcPr>
          <w:p>
            <w:pPr>
              <w:spacing w:line="240" w:lineRule="exact"/>
              <w:jc w:val="center"/>
              <w:rPr>
                <w:bCs/>
                <w:sz w:val="18"/>
                <w:szCs w:val="18"/>
              </w:rPr>
            </w:pPr>
            <w:r>
              <w:rPr>
                <w:bCs/>
                <w:sz w:val="18"/>
                <w:szCs w:val="18"/>
              </w:rPr>
              <w:t>2</w:t>
            </w:r>
          </w:p>
        </w:tc>
        <w:tc>
          <w:tcPr>
            <w:tcW w:w="338" w:type="pct"/>
            <w:vAlign w:val="center"/>
          </w:tcPr>
          <w:p>
            <w:pPr>
              <w:ind w:left="-120" w:leftChars="-50" w:right="-120" w:rightChars="-50"/>
              <w:jc w:val="center"/>
              <w:rPr>
                <w:bCs/>
                <w:sz w:val="18"/>
                <w:szCs w:val="18"/>
              </w:rPr>
            </w:pPr>
            <w:r>
              <w:rPr>
                <w:bCs/>
                <w:sz w:val="18"/>
                <w:szCs w:val="18"/>
              </w:rPr>
              <w:t>1</w:t>
            </w:r>
          </w:p>
        </w:tc>
        <w:tc>
          <w:tcPr>
            <w:tcW w:w="398" w:type="pct"/>
            <w:vAlign w:val="center"/>
          </w:tcPr>
          <w:p>
            <w:pPr>
              <w:ind w:left="-120" w:leftChars="-50" w:right="-120" w:rightChars="-50"/>
              <w:jc w:val="center"/>
              <w:rPr>
                <w:bCs/>
                <w:sz w:val="18"/>
                <w:szCs w:val="18"/>
              </w:rPr>
            </w:pPr>
            <w:r>
              <w:rPr>
                <w:bCs/>
                <w:sz w:val="18"/>
                <w:szCs w:val="18"/>
              </w:rPr>
              <w:t>学工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336" w:type="pct"/>
            <w:vMerge w:val="continue"/>
            <w:vAlign w:val="center"/>
          </w:tcPr>
          <w:p>
            <w:pPr>
              <w:spacing w:line="240" w:lineRule="exact"/>
              <w:jc w:val="center"/>
              <w:rPr>
                <w:bCs/>
                <w:sz w:val="18"/>
                <w:szCs w:val="18"/>
              </w:rPr>
            </w:pPr>
          </w:p>
        </w:tc>
        <w:tc>
          <w:tcPr>
            <w:tcW w:w="623" w:type="pct"/>
            <w:vAlign w:val="center"/>
          </w:tcPr>
          <w:p>
            <w:pPr>
              <w:spacing w:line="240" w:lineRule="exact"/>
              <w:jc w:val="center"/>
              <w:rPr>
                <w:bCs/>
                <w:sz w:val="18"/>
                <w:szCs w:val="18"/>
              </w:rPr>
            </w:pPr>
            <w:r>
              <w:rPr>
                <w:bCs/>
                <w:sz w:val="18"/>
                <w:szCs w:val="18"/>
              </w:rPr>
              <w:t>BS037018</w:t>
            </w:r>
          </w:p>
        </w:tc>
        <w:tc>
          <w:tcPr>
            <w:tcW w:w="2625" w:type="pct"/>
            <w:vAlign w:val="center"/>
          </w:tcPr>
          <w:p>
            <w:pPr>
              <w:spacing w:line="240" w:lineRule="exact"/>
              <w:ind w:firstLine="95" w:firstLineChars="53"/>
              <w:rPr>
                <w:sz w:val="18"/>
                <w:szCs w:val="18"/>
              </w:rPr>
            </w:pPr>
            <w:r>
              <w:rPr>
                <w:sz w:val="18"/>
                <w:szCs w:val="18"/>
              </w:rPr>
              <w:t>劳动</w:t>
            </w:r>
          </w:p>
          <w:p>
            <w:pPr>
              <w:spacing w:line="240" w:lineRule="exact"/>
              <w:ind w:firstLine="95" w:firstLineChars="53"/>
              <w:rPr>
                <w:bCs/>
                <w:sz w:val="18"/>
                <w:szCs w:val="18"/>
              </w:rPr>
            </w:pPr>
            <w:r>
              <w:rPr>
                <w:color w:val="000000"/>
                <w:sz w:val="18"/>
                <w:szCs w:val="18"/>
              </w:rPr>
              <w:t>Field Work</w:t>
            </w:r>
          </w:p>
        </w:tc>
        <w:tc>
          <w:tcPr>
            <w:tcW w:w="338" w:type="pct"/>
            <w:vAlign w:val="center"/>
          </w:tcPr>
          <w:p>
            <w:pPr>
              <w:spacing w:line="240" w:lineRule="exact"/>
              <w:jc w:val="center"/>
              <w:rPr>
                <w:bCs/>
                <w:sz w:val="18"/>
                <w:szCs w:val="18"/>
              </w:rPr>
            </w:pPr>
            <w:r>
              <w:rPr>
                <w:bCs/>
                <w:sz w:val="18"/>
                <w:szCs w:val="18"/>
              </w:rPr>
              <w:t>1</w:t>
            </w:r>
          </w:p>
        </w:tc>
        <w:tc>
          <w:tcPr>
            <w:tcW w:w="338" w:type="pct"/>
            <w:vAlign w:val="center"/>
          </w:tcPr>
          <w:p>
            <w:pPr>
              <w:spacing w:line="240" w:lineRule="exact"/>
              <w:jc w:val="center"/>
              <w:rPr>
                <w:bCs/>
                <w:sz w:val="18"/>
                <w:szCs w:val="18"/>
              </w:rPr>
            </w:pPr>
            <w:r>
              <w:rPr>
                <w:bCs/>
                <w:sz w:val="18"/>
                <w:szCs w:val="18"/>
              </w:rPr>
              <w:t>1</w:t>
            </w:r>
          </w:p>
        </w:tc>
        <w:tc>
          <w:tcPr>
            <w:tcW w:w="338" w:type="pct"/>
            <w:vAlign w:val="center"/>
          </w:tcPr>
          <w:p>
            <w:pPr>
              <w:ind w:left="-120" w:leftChars="-50" w:right="-120" w:rightChars="-50"/>
              <w:jc w:val="center"/>
              <w:rPr>
                <w:bCs/>
                <w:sz w:val="18"/>
                <w:szCs w:val="18"/>
              </w:rPr>
            </w:pPr>
            <w:r>
              <w:rPr>
                <w:bCs/>
                <w:sz w:val="18"/>
                <w:szCs w:val="18"/>
              </w:rPr>
              <w:t>2</w:t>
            </w:r>
          </w:p>
        </w:tc>
        <w:tc>
          <w:tcPr>
            <w:tcW w:w="398" w:type="pct"/>
            <w:vAlign w:val="center"/>
          </w:tcPr>
          <w:p>
            <w:pPr>
              <w:ind w:left="-120" w:leftChars="-50" w:right="-120" w:rightChars="-50"/>
              <w:jc w:val="center"/>
              <w:rPr>
                <w:bCs/>
                <w:sz w:val="18"/>
                <w:szCs w:val="18"/>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336" w:type="pct"/>
            <w:vMerge w:val="continue"/>
            <w:vAlign w:val="center"/>
          </w:tcPr>
          <w:p>
            <w:pPr>
              <w:spacing w:line="240" w:lineRule="exact"/>
              <w:jc w:val="center"/>
              <w:rPr>
                <w:bCs/>
                <w:sz w:val="18"/>
                <w:szCs w:val="18"/>
              </w:rPr>
            </w:pPr>
          </w:p>
        </w:tc>
        <w:tc>
          <w:tcPr>
            <w:tcW w:w="623" w:type="pct"/>
            <w:vAlign w:val="center"/>
          </w:tcPr>
          <w:p>
            <w:pPr>
              <w:spacing w:line="240" w:lineRule="exact"/>
              <w:jc w:val="center"/>
              <w:rPr>
                <w:bCs/>
                <w:sz w:val="18"/>
                <w:szCs w:val="18"/>
              </w:rPr>
            </w:pPr>
            <w:r>
              <w:rPr>
                <w:bCs/>
                <w:sz w:val="18"/>
                <w:szCs w:val="18"/>
              </w:rPr>
              <w:t>BS108002</w:t>
            </w:r>
          </w:p>
        </w:tc>
        <w:tc>
          <w:tcPr>
            <w:tcW w:w="2625" w:type="pct"/>
            <w:vAlign w:val="center"/>
          </w:tcPr>
          <w:p>
            <w:pPr>
              <w:spacing w:line="240" w:lineRule="exact"/>
              <w:ind w:firstLine="95" w:firstLineChars="53"/>
              <w:rPr>
                <w:sz w:val="18"/>
                <w:szCs w:val="18"/>
              </w:rPr>
            </w:pPr>
            <w:r>
              <w:rPr>
                <w:sz w:val="18"/>
                <w:szCs w:val="18"/>
              </w:rPr>
              <w:t>体育健康与标准测试1</w:t>
            </w:r>
          </w:p>
          <w:p>
            <w:pPr>
              <w:spacing w:line="240" w:lineRule="exact"/>
              <w:ind w:firstLine="95" w:firstLineChars="53"/>
              <w:rPr>
                <w:bCs/>
                <w:sz w:val="18"/>
                <w:szCs w:val="18"/>
              </w:rPr>
            </w:pPr>
            <w:r>
              <w:rPr>
                <w:color w:val="000000"/>
                <w:sz w:val="18"/>
                <w:szCs w:val="18"/>
              </w:rPr>
              <w:t>Sports Health and Standard Tests 1</w:t>
            </w:r>
          </w:p>
        </w:tc>
        <w:tc>
          <w:tcPr>
            <w:tcW w:w="338" w:type="pct"/>
            <w:vAlign w:val="center"/>
          </w:tcPr>
          <w:p>
            <w:pPr>
              <w:spacing w:line="240" w:lineRule="exact"/>
              <w:jc w:val="center"/>
              <w:rPr>
                <w:bCs/>
                <w:sz w:val="18"/>
                <w:szCs w:val="18"/>
              </w:rPr>
            </w:pPr>
            <w:r>
              <w:rPr>
                <w:bCs/>
                <w:sz w:val="18"/>
                <w:szCs w:val="18"/>
              </w:rPr>
              <w:t>0.2</w:t>
            </w:r>
          </w:p>
        </w:tc>
        <w:tc>
          <w:tcPr>
            <w:tcW w:w="338" w:type="pct"/>
            <w:vAlign w:val="center"/>
          </w:tcPr>
          <w:p>
            <w:pPr>
              <w:spacing w:line="240" w:lineRule="exact"/>
              <w:jc w:val="center"/>
              <w:rPr>
                <w:bCs/>
                <w:sz w:val="18"/>
                <w:szCs w:val="18"/>
              </w:rPr>
            </w:pPr>
            <w:r>
              <w:rPr>
                <w:bCs/>
                <w:sz w:val="18"/>
                <w:szCs w:val="18"/>
              </w:rPr>
              <w:t>0.2</w:t>
            </w:r>
          </w:p>
        </w:tc>
        <w:tc>
          <w:tcPr>
            <w:tcW w:w="338" w:type="pct"/>
            <w:vAlign w:val="center"/>
          </w:tcPr>
          <w:p>
            <w:pPr>
              <w:ind w:left="-120" w:leftChars="-50" w:right="-120" w:rightChars="-50"/>
              <w:jc w:val="center"/>
              <w:rPr>
                <w:bCs/>
                <w:sz w:val="18"/>
                <w:szCs w:val="18"/>
              </w:rPr>
            </w:pPr>
            <w:r>
              <w:rPr>
                <w:bCs/>
                <w:sz w:val="18"/>
                <w:szCs w:val="18"/>
              </w:rPr>
              <w:t>4</w:t>
            </w:r>
          </w:p>
        </w:tc>
        <w:tc>
          <w:tcPr>
            <w:tcW w:w="398" w:type="pct"/>
            <w:vAlign w:val="center"/>
          </w:tcPr>
          <w:p>
            <w:pPr>
              <w:ind w:left="-120" w:leftChars="-50" w:right="-120" w:rightChars="-50"/>
              <w:jc w:val="center"/>
              <w:rPr>
                <w:bCs/>
                <w:sz w:val="18"/>
                <w:szCs w:val="18"/>
              </w:rPr>
            </w:pPr>
            <w:r>
              <w:rPr>
                <w:bCs/>
                <w:sz w:val="18"/>
                <w:szCs w:val="18"/>
              </w:rPr>
              <w:t>体艺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336" w:type="pct"/>
            <w:vMerge w:val="continue"/>
            <w:vAlign w:val="center"/>
          </w:tcPr>
          <w:p>
            <w:pPr>
              <w:spacing w:line="240" w:lineRule="exact"/>
              <w:jc w:val="center"/>
              <w:rPr>
                <w:bCs/>
                <w:sz w:val="18"/>
                <w:szCs w:val="18"/>
              </w:rPr>
            </w:pPr>
          </w:p>
        </w:tc>
        <w:tc>
          <w:tcPr>
            <w:tcW w:w="623" w:type="pct"/>
            <w:vAlign w:val="center"/>
          </w:tcPr>
          <w:p>
            <w:pPr>
              <w:spacing w:line="240" w:lineRule="exact"/>
              <w:jc w:val="center"/>
              <w:rPr>
                <w:bCs/>
                <w:sz w:val="18"/>
                <w:szCs w:val="18"/>
              </w:rPr>
            </w:pPr>
            <w:r>
              <w:rPr>
                <w:bCs/>
                <w:sz w:val="18"/>
                <w:szCs w:val="18"/>
              </w:rPr>
              <w:t>BS108003</w:t>
            </w:r>
          </w:p>
        </w:tc>
        <w:tc>
          <w:tcPr>
            <w:tcW w:w="2625" w:type="pct"/>
          </w:tcPr>
          <w:p>
            <w:pPr>
              <w:spacing w:line="240" w:lineRule="exact"/>
              <w:rPr>
                <w:sz w:val="18"/>
                <w:szCs w:val="18"/>
              </w:rPr>
            </w:pPr>
            <w:r>
              <w:rPr>
                <w:sz w:val="18"/>
                <w:szCs w:val="18"/>
              </w:rPr>
              <w:t>体育健康与标准测试2</w:t>
            </w:r>
          </w:p>
          <w:p>
            <w:pPr>
              <w:spacing w:line="240" w:lineRule="exact"/>
              <w:ind w:firstLine="95" w:firstLineChars="53"/>
              <w:rPr>
                <w:sz w:val="18"/>
                <w:szCs w:val="18"/>
              </w:rPr>
            </w:pPr>
            <w:r>
              <w:rPr>
                <w:color w:val="000000"/>
                <w:sz w:val="18"/>
                <w:szCs w:val="18"/>
              </w:rPr>
              <w:t>Sports Health and Standard Tests 2</w:t>
            </w:r>
          </w:p>
        </w:tc>
        <w:tc>
          <w:tcPr>
            <w:tcW w:w="338" w:type="pct"/>
            <w:vAlign w:val="center"/>
          </w:tcPr>
          <w:p>
            <w:pPr>
              <w:spacing w:line="240" w:lineRule="exact"/>
              <w:jc w:val="center"/>
              <w:rPr>
                <w:bCs/>
                <w:sz w:val="18"/>
                <w:szCs w:val="18"/>
              </w:rPr>
            </w:pPr>
            <w:r>
              <w:rPr>
                <w:bCs/>
                <w:sz w:val="18"/>
                <w:szCs w:val="18"/>
              </w:rPr>
              <w:t>0.2</w:t>
            </w:r>
          </w:p>
        </w:tc>
        <w:tc>
          <w:tcPr>
            <w:tcW w:w="338" w:type="pct"/>
            <w:vAlign w:val="center"/>
          </w:tcPr>
          <w:p>
            <w:pPr>
              <w:spacing w:line="240" w:lineRule="exact"/>
              <w:jc w:val="center"/>
              <w:rPr>
                <w:bCs/>
                <w:sz w:val="18"/>
                <w:szCs w:val="18"/>
              </w:rPr>
            </w:pPr>
            <w:r>
              <w:rPr>
                <w:bCs/>
                <w:sz w:val="18"/>
                <w:szCs w:val="18"/>
              </w:rPr>
              <w:t>0.2</w:t>
            </w:r>
          </w:p>
        </w:tc>
        <w:tc>
          <w:tcPr>
            <w:tcW w:w="338" w:type="pct"/>
            <w:vAlign w:val="center"/>
          </w:tcPr>
          <w:p>
            <w:pPr>
              <w:ind w:left="-120" w:leftChars="-50" w:right="-120" w:rightChars="-50"/>
              <w:jc w:val="center"/>
              <w:rPr>
                <w:bCs/>
                <w:sz w:val="18"/>
                <w:szCs w:val="18"/>
              </w:rPr>
            </w:pPr>
            <w:r>
              <w:rPr>
                <w:bCs/>
                <w:sz w:val="18"/>
                <w:szCs w:val="18"/>
              </w:rPr>
              <w:t>6</w:t>
            </w:r>
          </w:p>
        </w:tc>
        <w:tc>
          <w:tcPr>
            <w:tcW w:w="398" w:type="pct"/>
            <w:vAlign w:val="center"/>
          </w:tcPr>
          <w:p>
            <w:pPr>
              <w:ind w:left="-120" w:leftChars="-50" w:right="-120" w:rightChars="-50"/>
              <w:jc w:val="center"/>
              <w:rPr>
                <w:bCs/>
                <w:sz w:val="18"/>
                <w:szCs w:val="18"/>
              </w:rPr>
            </w:pPr>
            <w:r>
              <w:rPr>
                <w:bCs/>
                <w:sz w:val="18"/>
                <w:szCs w:val="18"/>
              </w:rPr>
              <w:t>体艺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336" w:type="pct"/>
            <w:vMerge w:val="continue"/>
            <w:vAlign w:val="center"/>
          </w:tcPr>
          <w:p>
            <w:pPr>
              <w:spacing w:line="240" w:lineRule="exact"/>
              <w:jc w:val="center"/>
              <w:rPr>
                <w:bCs/>
                <w:sz w:val="18"/>
                <w:szCs w:val="18"/>
              </w:rPr>
            </w:pPr>
          </w:p>
        </w:tc>
        <w:tc>
          <w:tcPr>
            <w:tcW w:w="623" w:type="pct"/>
            <w:vAlign w:val="center"/>
          </w:tcPr>
          <w:p>
            <w:pPr>
              <w:spacing w:line="240" w:lineRule="exact"/>
              <w:jc w:val="center"/>
              <w:rPr>
                <w:bCs/>
                <w:sz w:val="18"/>
                <w:szCs w:val="18"/>
              </w:rPr>
            </w:pPr>
            <w:r>
              <w:rPr>
                <w:bCs/>
                <w:sz w:val="18"/>
                <w:szCs w:val="18"/>
              </w:rPr>
              <w:t>BS108004</w:t>
            </w:r>
          </w:p>
        </w:tc>
        <w:tc>
          <w:tcPr>
            <w:tcW w:w="2625" w:type="pct"/>
          </w:tcPr>
          <w:p>
            <w:pPr>
              <w:rPr>
                <w:sz w:val="18"/>
                <w:szCs w:val="18"/>
              </w:rPr>
            </w:pPr>
            <w:r>
              <w:rPr>
                <w:sz w:val="18"/>
                <w:szCs w:val="18"/>
              </w:rPr>
              <w:t>体育健康与标准测试3</w:t>
            </w:r>
          </w:p>
          <w:p>
            <w:pPr>
              <w:spacing w:line="240" w:lineRule="exact"/>
              <w:ind w:firstLine="95" w:firstLineChars="53"/>
              <w:rPr>
                <w:sz w:val="18"/>
                <w:szCs w:val="18"/>
              </w:rPr>
            </w:pPr>
            <w:r>
              <w:rPr>
                <w:color w:val="000000"/>
                <w:sz w:val="18"/>
                <w:szCs w:val="18"/>
              </w:rPr>
              <w:t>Sports Health and Standard Tests 3</w:t>
            </w:r>
          </w:p>
        </w:tc>
        <w:tc>
          <w:tcPr>
            <w:tcW w:w="338" w:type="pct"/>
            <w:vAlign w:val="center"/>
          </w:tcPr>
          <w:p>
            <w:pPr>
              <w:spacing w:line="240" w:lineRule="exact"/>
              <w:jc w:val="center"/>
              <w:rPr>
                <w:bCs/>
                <w:sz w:val="18"/>
                <w:szCs w:val="18"/>
              </w:rPr>
            </w:pPr>
            <w:r>
              <w:rPr>
                <w:bCs/>
                <w:sz w:val="18"/>
                <w:szCs w:val="18"/>
              </w:rPr>
              <w:t>0.1</w:t>
            </w:r>
          </w:p>
        </w:tc>
        <w:tc>
          <w:tcPr>
            <w:tcW w:w="338" w:type="pct"/>
            <w:vAlign w:val="center"/>
          </w:tcPr>
          <w:p>
            <w:pPr>
              <w:spacing w:line="240" w:lineRule="exact"/>
              <w:jc w:val="center"/>
              <w:rPr>
                <w:bCs/>
                <w:sz w:val="18"/>
                <w:szCs w:val="18"/>
              </w:rPr>
            </w:pPr>
            <w:r>
              <w:rPr>
                <w:bCs/>
                <w:sz w:val="18"/>
                <w:szCs w:val="18"/>
              </w:rPr>
              <w:t>0.1</w:t>
            </w:r>
          </w:p>
        </w:tc>
        <w:tc>
          <w:tcPr>
            <w:tcW w:w="338" w:type="pct"/>
            <w:vAlign w:val="center"/>
          </w:tcPr>
          <w:p>
            <w:pPr>
              <w:ind w:left="-120" w:leftChars="-50" w:right="-120" w:rightChars="-50"/>
              <w:jc w:val="center"/>
              <w:rPr>
                <w:bCs/>
                <w:sz w:val="18"/>
                <w:szCs w:val="18"/>
              </w:rPr>
            </w:pPr>
            <w:r>
              <w:rPr>
                <w:bCs/>
                <w:sz w:val="18"/>
                <w:szCs w:val="18"/>
              </w:rPr>
              <w:t>7</w:t>
            </w:r>
          </w:p>
        </w:tc>
        <w:tc>
          <w:tcPr>
            <w:tcW w:w="398" w:type="pct"/>
            <w:vAlign w:val="center"/>
          </w:tcPr>
          <w:p>
            <w:pPr>
              <w:ind w:left="-120" w:leftChars="-50" w:right="-120" w:rightChars="-50"/>
              <w:jc w:val="center"/>
              <w:rPr>
                <w:bCs/>
                <w:sz w:val="18"/>
                <w:szCs w:val="18"/>
              </w:rPr>
            </w:pPr>
            <w:r>
              <w:rPr>
                <w:bCs/>
                <w:sz w:val="18"/>
                <w:szCs w:val="18"/>
              </w:rPr>
              <w:t>体艺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336" w:type="pct"/>
            <w:vMerge w:val="continue"/>
            <w:vAlign w:val="center"/>
          </w:tcPr>
          <w:p>
            <w:pPr>
              <w:spacing w:line="240" w:lineRule="exact"/>
              <w:jc w:val="center"/>
              <w:rPr>
                <w:bCs/>
                <w:sz w:val="18"/>
                <w:szCs w:val="18"/>
              </w:rPr>
            </w:pPr>
          </w:p>
        </w:tc>
        <w:tc>
          <w:tcPr>
            <w:tcW w:w="623" w:type="pct"/>
            <w:vAlign w:val="center"/>
          </w:tcPr>
          <w:p>
            <w:pPr>
              <w:spacing w:line="240" w:lineRule="exact"/>
              <w:jc w:val="center"/>
              <w:rPr>
                <w:bCs/>
                <w:sz w:val="18"/>
                <w:szCs w:val="18"/>
              </w:rPr>
            </w:pPr>
            <w:r>
              <w:rPr>
                <w:bCs/>
                <w:sz w:val="18"/>
                <w:szCs w:val="18"/>
              </w:rPr>
              <w:t>BS106003</w:t>
            </w:r>
          </w:p>
        </w:tc>
        <w:tc>
          <w:tcPr>
            <w:tcW w:w="2625" w:type="pct"/>
            <w:vAlign w:val="center"/>
          </w:tcPr>
          <w:p>
            <w:pPr>
              <w:spacing w:line="240" w:lineRule="exact"/>
              <w:ind w:firstLine="95" w:firstLineChars="53"/>
              <w:rPr>
                <w:bCs/>
                <w:sz w:val="18"/>
                <w:szCs w:val="18"/>
              </w:rPr>
            </w:pPr>
            <w:r>
              <w:rPr>
                <w:bCs/>
                <w:sz w:val="18"/>
                <w:szCs w:val="18"/>
              </w:rPr>
              <w:t>思政社会实践</w:t>
            </w:r>
          </w:p>
          <w:p>
            <w:pPr>
              <w:spacing w:line="240" w:lineRule="exact"/>
              <w:ind w:firstLine="95" w:firstLineChars="53"/>
              <w:rPr>
                <w:bCs/>
                <w:sz w:val="18"/>
                <w:szCs w:val="18"/>
              </w:rPr>
            </w:pPr>
            <w:r>
              <w:rPr>
                <w:bCs/>
                <w:sz w:val="18"/>
                <w:szCs w:val="18"/>
              </w:rPr>
              <w:t>Ideological and Political Classic Reading and Discussion</w:t>
            </w:r>
          </w:p>
        </w:tc>
        <w:tc>
          <w:tcPr>
            <w:tcW w:w="338" w:type="pct"/>
            <w:vAlign w:val="center"/>
          </w:tcPr>
          <w:p>
            <w:pPr>
              <w:spacing w:line="240" w:lineRule="exact"/>
              <w:jc w:val="center"/>
              <w:rPr>
                <w:bCs/>
                <w:sz w:val="18"/>
                <w:szCs w:val="18"/>
              </w:rPr>
            </w:pPr>
            <w:r>
              <w:rPr>
                <w:bCs/>
                <w:sz w:val="18"/>
                <w:szCs w:val="18"/>
              </w:rPr>
              <w:t>2</w:t>
            </w:r>
          </w:p>
        </w:tc>
        <w:tc>
          <w:tcPr>
            <w:tcW w:w="338" w:type="pct"/>
            <w:vAlign w:val="center"/>
          </w:tcPr>
          <w:p>
            <w:pPr>
              <w:spacing w:line="240" w:lineRule="exact"/>
              <w:jc w:val="center"/>
              <w:rPr>
                <w:bCs/>
                <w:sz w:val="18"/>
                <w:szCs w:val="18"/>
              </w:rPr>
            </w:pPr>
            <w:r>
              <w:rPr>
                <w:bCs/>
                <w:sz w:val="18"/>
                <w:szCs w:val="18"/>
              </w:rPr>
              <w:t>4</w:t>
            </w:r>
          </w:p>
        </w:tc>
        <w:tc>
          <w:tcPr>
            <w:tcW w:w="338" w:type="pct"/>
            <w:vAlign w:val="center"/>
          </w:tcPr>
          <w:p>
            <w:pPr>
              <w:ind w:left="-120" w:leftChars="-50" w:right="-120" w:rightChars="-50"/>
              <w:jc w:val="center"/>
              <w:rPr>
                <w:bCs/>
                <w:sz w:val="18"/>
                <w:szCs w:val="18"/>
              </w:rPr>
            </w:pPr>
            <w:r>
              <w:rPr>
                <w:bCs/>
                <w:sz w:val="18"/>
                <w:szCs w:val="18"/>
              </w:rPr>
              <w:t>4</w:t>
            </w:r>
          </w:p>
        </w:tc>
        <w:tc>
          <w:tcPr>
            <w:tcW w:w="398" w:type="pct"/>
            <w:vAlign w:val="center"/>
          </w:tcPr>
          <w:p>
            <w:pPr>
              <w:ind w:left="-120" w:leftChars="-50" w:right="-120" w:rightChars="-50"/>
              <w:jc w:val="center"/>
              <w:rPr>
                <w:bCs/>
                <w:sz w:val="18"/>
                <w:szCs w:val="18"/>
              </w:rPr>
            </w:pPr>
            <w:r>
              <w:rPr>
                <w:bCs/>
                <w:sz w:val="18"/>
                <w:szCs w:val="18"/>
              </w:rPr>
              <w:t>马列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336" w:type="pct"/>
            <w:vMerge w:val="continue"/>
            <w:vAlign w:val="center"/>
          </w:tcPr>
          <w:p>
            <w:pPr>
              <w:spacing w:line="240" w:lineRule="exact"/>
              <w:jc w:val="center"/>
              <w:rPr>
                <w:bCs/>
                <w:sz w:val="18"/>
                <w:szCs w:val="18"/>
              </w:rPr>
            </w:pPr>
          </w:p>
        </w:tc>
        <w:tc>
          <w:tcPr>
            <w:tcW w:w="623" w:type="pct"/>
            <w:vAlign w:val="center"/>
          </w:tcPr>
          <w:p>
            <w:pPr>
              <w:spacing w:line="240" w:lineRule="exact"/>
              <w:jc w:val="center"/>
              <w:rPr>
                <w:bCs/>
                <w:sz w:val="18"/>
                <w:szCs w:val="18"/>
                <w:shd w:val="pct10" w:color="auto" w:fill="FFFFFF"/>
              </w:rPr>
            </w:pPr>
            <w:r>
              <w:rPr>
                <w:bCs/>
                <w:sz w:val="18"/>
                <w:szCs w:val="18"/>
              </w:rPr>
              <w:t>BS037002</w:t>
            </w:r>
          </w:p>
        </w:tc>
        <w:tc>
          <w:tcPr>
            <w:tcW w:w="2625" w:type="pct"/>
            <w:vAlign w:val="center"/>
          </w:tcPr>
          <w:p>
            <w:pPr>
              <w:spacing w:line="240" w:lineRule="exact"/>
              <w:ind w:firstLine="95" w:firstLineChars="53"/>
              <w:rPr>
                <w:sz w:val="18"/>
                <w:szCs w:val="18"/>
              </w:rPr>
            </w:pPr>
            <w:r>
              <w:rPr>
                <w:sz w:val="18"/>
                <w:szCs w:val="18"/>
              </w:rPr>
              <w:t>社会实践与调查报告</w:t>
            </w:r>
          </w:p>
          <w:p>
            <w:pPr>
              <w:spacing w:line="240" w:lineRule="exact"/>
              <w:ind w:firstLine="95" w:firstLineChars="53"/>
              <w:rPr>
                <w:sz w:val="18"/>
                <w:szCs w:val="18"/>
              </w:rPr>
            </w:pPr>
            <w:r>
              <w:rPr>
                <w:sz w:val="18"/>
                <w:szCs w:val="18"/>
              </w:rPr>
              <w:t>Social Practice and Survey Report</w:t>
            </w:r>
          </w:p>
        </w:tc>
        <w:tc>
          <w:tcPr>
            <w:tcW w:w="338" w:type="pct"/>
            <w:vAlign w:val="center"/>
          </w:tcPr>
          <w:p>
            <w:pPr>
              <w:spacing w:line="240" w:lineRule="exact"/>
              <w:jc w:val="center"/>
              <w:rPr>
                <w:sz w:val="18"/>
                <w:szCs w:val="18"/>
              </w:rPr>
            </w:pPr>
            <w:r>
              <w:rPr>
                <w:sz w:val="18"/>
                <w:szCs w:val="18"/>
              </w:rPr>
              <w:t>2</w:t>
            </w:r>
          </w:p>
        </w:tc>
        <w:tc>
          <w:tcPr>
            <w:tcW w:w="338" w:type="pct"/>
            <w:vAlign w:val="center"/>
          </w:tcPr>
          <w:p>
            <w:pPr>
              <w:spacing w:line="240" w:lineRule="exact"/>
              <w:jc w:val="center"/>
              <w:rPr>
                <w:sz w:val="18"/>
                <w:szCs w:val="18"/>
              </w:rPr>
            </w:pPr>
            <w:r>
              <w:rPr>
                <w:sz w:val="18"/>
                <w:szCs w:val="18"/>
              </w:rPr>
              <w:t>4</w:t>
            </w:r>
          </w:p>
        </w:tc>
        <w:tc>
          <w:tcPr>
            <w:tcW w:w="338" w:type="pct"/>
            <w:vAlign w:val="center"/>
          </w:tcPr>
          <w:p>
            <w:pPr>
              <w:ind w:left="-120" w:leftChars="-50" w:right="-120" w:rightChars="-50"/>
              <w:jc w:val="center"/>
              <w:rPr>
                <w:bCs/>
                <w:sz w:val="18"/>
                <w:szCs w:val="18"/>
                <w:shd w:val="pct10" w:color="auto" w:fill="FFFFFF"/>
              </w:rPr>
            </w:pPr>
            <w:r>
              <w:rPr>
                <w:bCs/>
                <w:sz w:val="18"/>
                <w:szCs w:val="18"/>
              </w:rPr>
              <w:t>2</w:t>
            </w:r>
          </w:p>
        </w:tc>
        <w:tc>
          <w:tcPr>
            <w:tcW w:w="398" w:type="pct"/>
            <w:vAlign w:val="center"/>
          </w:tcPr>
          <w:p>
            <w:pPr>
              <w:ind w:left="-120" w:leftChars="-50" w:right="-120" w:rightChars="-50"/>
              <w:jc w:val="center"/>
              <w:rPr>
                <w:bCs/>
                <w:sz w:val="18"/>
                <w:szCs w:val="18"/>
                <w:shd w:val="pct10" w:color="auto" w:fill="FFFFFF"/>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49" w:hRule="atLeast"/>
          <w:jc w:val="center"/>
        </w:trPr>
        <w:tc>
          <w:tcPr>
            <w:tcW w:w="336" w:type="pct"/>
            <w:vMerge w:val="restart"/>
            <w:vAlign w:val="center"/>
          </w:tcPr>
          <w:p>
            <w:pPr>
              <w:spacing w:line="240" w:lineRule="exact"/>
              <w:jc w:val="center"/>
              <w:rPr>
                <w:bCs/>
                <w:sz w:val="18"/>
                <w:szCs w:val="18"/>
              </w:rPr>
            </w:pPr>
            <w:r>
              <w:rPr>
                <w:bCs/>
                <w:sz w:val="18"/>
                <w:szCs w:val="18"/>
              </w:rPr>
              <w:t>专</w:t>
            </w:r>
          </w:p>
          <w:p>
            <w:pPr>
              <w:spacing w:line="240" w:lineRule="exact"/>
              <w:jc w:val="center"/>
              <w:rPr>
                <w:bCs/>
                <w:sz w:val="18"/>
                <w:szCs w:val="18"/>
              </w:rPr>
            </w:pPr>
            <w:r>
              <w:rPr>
                <w:bCs/>
                <w:sz w:val="18"/>
                <w:szCs w:val="18"/>
              </w:rPr>
              <w:t>业</w:t>
            </w:r>
          </w:p>
          <w:p>
            <w:pPr>
              <w:spacing w:line="240" w:lineRule="exact"/>
              <w:jc w:val="center"/>
              <w:rPr>
                <w:bCs/>
                <w:sz w:val="18"/>
                <w:szCs w:val="18"/>
              </w:rPr>
            </w:pPr>
            <w:r>
              <w:rPr>
                <w:bCs/>
                <w:sz w:val="18"/>
                <w:szCs w:val="18"/>
              </w:rPr>
              <w:t>实</w:t>
            </w:r>
          </w:p>
          <w:p>
            <w:pPr>
              <w:spacing w:line="240" w:lineRule="exact"/>
              <w:jc w:val="center"/>
              <w:rPr>
                <w:bCs/>
                <w:sz w:val="18"/>
                <w:szCs w:val="18"/>
              </w:rPr>
            </w:pPr>
            <w:r>
              <w:rPr>
                <w:bCs/>
                <w:sz w:val="18"/>
                <w:szCs w:val="18"/>
              </w:rPr>
              <w:t>践</w:t>
            </w:r>
          </w:p>
        </w:tc>
        <w:tc>
          <w:tcPr>
            <w:tcW w:w="623" w:type="pct"/>
            <w:vAlign w:val="center"/>
          </w:tcPr>
          <w:p>
            <w:pPr>
              <w:jc w:val="center"/>
              <w:rPr>
                <w:bCs/>
                <w:sz w:val="18"/>
                <w:szCs w:val="18"/>
              </w:rPr>
            </w:pPr>
            <w:r>
              <w:rPr>
                <w:sz w:val="18"/>
                <w:szCs w:val="18"/>
              </w:rPr>
              <w:t>BS037001</w:t>
            </w:r>
          </w:p>
        </w:tc>
        <w:tc>
          <w:tcPr>
            <w:tcW w:w="2625" w:type="pct"/>
            <w:vAlign w:val="center"/>
          </w:tcPr>
          <w:p>
            <w:pPr>
              <w:spacing w:line="240" w:lineRule="exact"/>
              <w:ind w:left="120" w:leftChars="50" w:right="120" w:rightChars="50"/>
              <w:rPr>
                <w:bCs/>
                <w:sz w:val="18"/>
                <w:szCs w:val="18"/>
              </w:rPr>
            </w:pPr>
            <w:r>
              <w:rPr>
                <w:bCs/>
                <w:sz w:val="18"/>
                <w:szCs w:val="18"/>
              </w:rPr>
              <w:t>法学专业认识实习</w:t>
            </w:r>
          </w:p>
          <w:p>
            <w:pPr>
              <w:spacing w:line="240" w:lineRule="exact"/>
              <w:ind w:left="120" w:leftChars="50" w:right="120" w:rightChars="50"/>
              <w:rPr>
                <w:bCs/>
                <w:sz w:val="18"/>
                <w:szCs w:val="18"/>
              </w:rPr>
            </w:pPr>
            <w:r>
              <w:rPr>
                <w:bCs/>
                <w:sz w:val="18"/>
                <w:szCs w:val="18"/>
              </w:rPr>
              <w:t>Cognition Practice</w:t>
            </w:r>
          </w:p>
        </w:tc>
        <w:tc>
          <w:tcPr>
            <w:tcW w:w="338" w:type="pct"/>
            <w:vAlign w:val="center"/>
          </w:tcPr>
          <w:p>
            <w:pPr>
              <w:spacing w:line="240" w:lineRule="exact"/>
              <w:jc w:val="center"/>
              <w:rPr>
                <w:bCs/>
                <w:sz w:val="18"/>
                <w:szCs w:val="18"/>
              </w:rPr>
            </w:pPr>
            <w:r>
              <w:rPr>
                <w:bCs/>
                <w:sz w:val="18"/>
                <w:szCs w:val="18"/>
              </w:rPr>
              <w:t>1</w:t>
            </w:r>
          </w:p>
        </w:tc>
        <w:tc>
          <w:tcPr>
            <w:tcW w:w="338" w:type="pct"/>
            <w:vAlign w:val="center"/>
          </w:tcPr>
          <w:p>
            <w:pPr>
              <w:spacing w:line="240" w:lineRule="exact"/>
              <w:jc w:val="center"/>
              <w:rPr>
                <w:bCs/>
                <w:sz w:val="18"/>
                <w:szCs w:val="18"/>
              </w:rPr>
            </w:pPr>
            <w:r>
              <w:rPr>
                <w:bCs/>
                <w:sz w:val="18"/>
                <w:szCs w:val="18"/>
              </w:rPr>
              <w:t>1</w:t>
            </w:r>
          </w:p>
        </w:tc>
        <w:tc>
          <w:tcPr>
            <w:tcW w:w="338" w:type="pct"/>
            <w:vAlign w:val="center"/>
          </w:tcPr>
          <w:p>
            <w:pPr>
              <w:ind w:left="-120" w:leftChars="-50" w:right="-120" w:rightChars="-50"/>
              <w:jc w:val="center"/>
              <w:rPr>
                <w:bCs/>
                <w:sz w:val="18"/>
                <w:szCs w:val="18"/>
              </w:rPr>
            </w:pPr>
            <w:r>
              <w:rPr>
                <w:bCs/>
                <w:sz w:val="18"/>
                <w:szCs w:val="18"/>
              </w:rPr>
              <w:t>1</w:t>
            </w:r>
          </w:p>
        </w:tc>
        <w:tc>
          <w:tcPr>
            <w:tcW w:w="398" w:type="pct"/>
            <w:vAlign w:val="center"/>
          </w:tcPr>
          <w:p>
            <w:pPr>
              <w:ind w:left="-120" w:leftChars="-50" w:right="-120" w:rightChars="-50"/>
              <w:jc w:val="center"/>
              <w:rPr>
                <w:bCs/>
                <w:sz w:val="18"/>
                <w:szCs w:val="18"/>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49" w:hRule="atLeast"/>
          <w:jc w:val="center"/>
        </w:trPr>
        <w:tc>
          <w:tcPr>
            <w:tcW w:w="336" w:type="pct"/>
            <w:vMerge w:val="continue"/>
            <w:vAlign w:val="center"/>
          </w:tcPr>
          <w:p>
            <w:pPr>
              <w:spacing w:line="240" w:lineRule="exact"/>
              <w:jc w:val="center"/>
              <w:rPr>
                <w:bCs/>
                <w:sz w:val="18"/>
                <w:szCs w:val="18"/>
              </w:rPr>
            </w:pPr>
          </w:p>
        </w:tc>
        <w:tc>
          <w:tcPr>
            <w:tcW w:w="623" w:type="pct"/>
            <w:vAlign w:val="center"/>
          </w:tcPr>
          <w:p>
            <w:pPr>
              <w:jc w:val="center"/>
              <w:rPr>
                <w:bCs/>
                <w:sz w:val="18"/>
                <w:szCs w:val="18"/>
              </w:rPr>
            </w:pPr>
            <w:r>
              <w:rPr>
                <w:sz w:val="18"/>
                <w:szCs w:val="18"/>
              </w:rPr>
              <w:t>BS037013</w:t>
            </w:r>
          </w:p>
        </w:tc>
        <w:tc>
          <w:tcPr>
            <w:tcW w:w="2625" w:type="pct"/>
            <w:vAlign w:val="center"/>
          </w:tcPr>
          <w:p>
            <w:pPr>
              <w:spacing w:line="240" w:lineRule="exact"/>
              <w:ind w:left="120" w:leftChars="50" w:right="120" w:rightChars="50"/>
              <w:rPr>
                <w:bCs/>
                <w:sz w:val="18"/>
                <w:szCs w:val="18"/>
              </w:rPr>
            </w:pPr>
            <w:r>
              <w:rPr>
                <w:bCs/>
                <w:sz w:val="18"/>
                <w:szCs w:val="18"/>
              </w:rPr>
              <w:t>专业综合教学实习</w:t>
            </w:r>
          </w:p>
          <w:p>
            <w:pPr>
              <w:spacing w:line="240" w:lineRule="exact"/>
              <w:ind w:left="120" w:leftChars="50" w:right="120" w:rightChars="50"/>
              <w:rPr>
                <w:bCs/>
                <w:sz w:val="18"/>
                <w:szCs w:val="18"/>
              </w:rPr>
            </w:pPr>
            <w:r>
              <w:rPr>
                <w:bCs/>
                <w:sz w:val="18"/>
                <w:szCs w:val="18"/>
              </w:rPr>
              <w:t>Comprehensive Teaching Practice</w:t>
            </w:r>
          </w:p>
        </w:tc>
        <w:tc>
          <w:tcPr>
            <w:tcW w:w="338" w:type="pct"/>
            <w:vAlign w:val="center"/>
          </w:tcPr>
          <w:p>
            <w:pPr>
              <w:spacing w:line="240" w:lineRule="exact"/>
              <w:jc w:val="center"/>
              <w:rPr>
                <w:bCs/>
                <w:sz w:val="18"/>
                <w:szCs w:val="18"/>
              </w:rPr>
            </w:pPr>
            <w:r>
              <w:rPr>
                <w:bCs/>
                <w:sz w:val="18"/>
                <w:szCs w:val="18"/>
              </w:rPr>
              <w:t>5.5</w:t>
            </w:r>
          </w:p>
        </w:tc>
        <w:tc>
          <w:tcPr>
            <w:tcW w:w="338" w:type="pct"/>
            <w:vAlign w:val="center"/>
          </w:tcPr>
          <w:p>
            <w:pPr>
              <w:spacing w:line="240" w:lineRule="exact"/>
              <w:jc w:val="center"/>
              <w:rPr>
                <w:bCs/>
                <w:sz w:val="18"/>
                <w:szCs w:val="18"/>
              </w:rPr>
            </w:pPr>
            <w:r>
              <w:rPr>
                <w:bCs/>
                <w:sz w:val="18"/>
                <w:szCs w:val="18"/>
              </w:rPr>
              <w:t>5</w:t>
            </w:r>
          </w:p>
        </w:tc>
        <w:tc>
          <w:tcPr>
            <w:tcW w:w="338" w:type="pct"/>
            <w:vAlign w:val="center"/>
          </w:tcPr>
          <w:p>
            <w:pPr>
              <w:ind w:left="-120" w:leftChars="-50" w:right="-120" w:rightChars="-50"/>
              <w:jc w:val="center"/>
              <w:rPr>
                <w:bCs/>
                <w:sz w:val="18"/>
                <w:szCs w:val="18"/>
              </w:rPr>
            </w:pPr>
            <w:r>
              <w:rPr>
                <w:bCs/>
                <w:sz w:val="18"/>
                <w:szCs w:val="18"/>
              </w:rPr>
              <w:t>5</w:t>
            </w:r>
          </w:p>
        </w:tc>
        <w:tc>
          <w:tcPr>
            <w:tcW w:w="398" w:type="pct"/>
            <w:vAlign w:val="center"/>
          </w:tcPr>
          <w:p>
            <w:pPr>
              <w:ind w:left="-120" w:leftChars="-50" w:right="-120" w:rightChars="-50"/>
              <w:jc w:val="center"/>
              <w:rPr>
                <w:bCs/>
                <w:sz w:val="18"/>
                <w:szCs w:val="18"/>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49" w:hRule="atLeast"/>
          <w:jc w:val="center"/>
        </w:trPr>
        <w:tc>
          <w:tcPr>
            <w:tcW w:w="336" w:type="pct"/>
            <w:vMerge w:val="continue"/>
            <w:vAlign w:val="center"/>
          </w:tcPr>
          <w:p>
            <w:pPr>
              <w:spacing w:line="240" w:lineRule="exact"/>
              <w:jc w:val="center"/>
              <w:rPr>
                <w:bCs/>
                <w:sz w:val="18"/>
                <w:szCs w:val="18"/>
              </w:rPr>
            </w:pPr>
          </w:p>
        </w:tc>
        <w:tc>
          <w:tcPr>
            <w:tcW w:w="623" w:type="pct"/>
            <w:vAlign w:val="center"/>
          </w:tcPr>
          <w:p>
            <w:pPr>
              <w:jc w:val="center"/>
              <w:rPr>
                <w:bCs/>
                <w:sz w:val="18"/>
                <w:szCs w:val="18"/>
              </w:rPr>
            </w:pPr>
            <w:r>
              <w:rPr>
                <w:bCs/>
                <w:sz w:val="18"/>
                <w:szCs w:val="18"/>
              </w:rPr>
              <w:t>BS037019</w:t>
            </w:r>
          </w:p>
        </w:tc>
        <w:tc>
          <w:tcPr>
            <w:tcW w:w="2625" w:type="pct"/>
            <w:vAlign w:val="center"/>
          </w:tcPr>
          <w:p>
            <w:pPr>
              <w:spacing w:line="240" w:lineRule="exact"/>
              <w:ind w:left="120" w:leftChars="50" w:right="120" w:rightChars="50"/>
              <w:jc w:val="left"/>
              <w:rPr>
                <w:bCs/>
                <w:sz w:val="18"/>
                <w:szCs w:val="18"/>
              </w:rPr>
            </w:pPr>
            <w:r>
              <w:rPr>
                <w:bCs/>
                <w:sz w:val="18"/>
                <w:szCs w:val="18"/>
              </w:rPr>
              <w:t>课程论文</w:t>
            </w:r>
          </w:p>
          <w:p>
            <w:pPr>
              <w:spacing w:line="240" w:lineRule="exact"/>
              <w:ind w:left="120" w:leftChars="50" w:right="120" w:rightChars="50"/>
              <w:jc w:val="left"/>
              <w:rPr>
                <w:sz w:val="18"/>
                <w:szCs w:val="18"/>
              </w:rPr>
            </w:pPr>
            <w:r>
              <w:rPr>
                <w:bCs/>
                <w:sz w:val="18"/>
                <w:szCs w:val="18"/>
              </w:rPr>
              <w:t xml:space="preserve">Curriculum Paper </w:t>
            </w:r>
          </w:p>
        </w:tc>
        <w:tc>
          <w:tcPr>
            <w:tcW w:w="338" w:type="pct"/>
            <w:vAlign w:val="center"/>
          </w:tcPr>
          <w:p>
            <w:pPr>
              <w:jc w:val="center"/>
              <w:rPr>
                <w:bCs/>
                <w:sz w:val="18"/>
                <w:szCs w:val="18"/>
              </w:rPr>
            </w:pPr>
            <w:r>
              <w:rPr>
                <w:bCs/>
                <w:sz w:val="18"/>
                <w:szCs w:val="18"/>
              </w:rPr>
              <w:t>1.5</w:t>
            </w:r>
          </w:p>
        </w:tc>
        <w:tc>
          <w:tcPr>
            <w:tcW w:w="338" w:type="pct"/>
            <w:vAlign w:val="center"/>
          </w:tcPr>
          <w:p>
            <w:pPr>
              <w:jc w:val="center"/>
              <w:rPr>
                <w:bCs/>
                <w:sz w:val="18"/>
                <w:szCs w:val="18"/>
              </w:rPr>
            </w:pPr>
            <w:r>
              <w:rPr>
                <w:bCs/>
                <w:sz w:val="18"/>
                <w:szCs w:val="18"/>
              </w:rPr>
              <w:t>4</w:t>
            </w:r>
          </w:p>
        </w:tc>
        <w:tc>
          <w:tcPr>
            <w:tcW w:w="338" w:type="pct"/>
            <w:vAlign w:val="center"/>
          </w:tcPr>
          <w:p>
            <w:pPr>
              <w:ind w:left="-120" w:leftChars="-50" w:right="-120" w:rightChars="-50"/>
              <w:jc w:val="center"/>
              <w:rPr>
                <w:bCs/>
                <w:sz w:val="18"/>
                <w:szCs w:val="18"/>
              </w:rPr>
            </w:pPr>
            <w:r>
              <w:rPr>
                <w:bCs/>
                <w:sz w:val="18"/>
                <w:szCs w:val="18"/>
              </w:rPr>
              <w:t>5</w:t>
            </w:r>
          </w:p>
        </w:tc>
        <w:tc>
          <w:tcPr>
            <w:tcW w:w="398" w:type="pct"/>
            <w:vAlign w:val="center"/>
          </w:tcPr>
          <w:p>
            <w:pPr>
              <w:ind w:left="-120" w:leftChars="-50" w:right="-120" w:rightChars="-50"/>
              <w:jc w:val="center"/>
              <w:rPr>
                <w:bCs/>
                <w:sz w:val="18"/>
                <w:szCs w:val="18"/>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336" w:type="pct"/>
            <w:vMerge w:val="restart"/>
            <w:vAlign w:val="center"/>
          </w:tcPr>
          <w:p>
            <w:pPr>
              <w:spacing w:line="240" w:lineRule="exact"/>
              <w:jc w:val="center"/>
              <w:rPr>
                <w:bCs/>
                <w:sz w:val="18"/>
                <w:szCs w:val="18"/>
              </w:rPr>
            </w:pPr>
            <w:r>
              <w:rPr>
                <w:bCs/>
                <w:sz w:val="18"/>
                <w:szCs w:val="18"/>
              </w:rPr>
              <w:t>综</w:t>
            </w:r>
          </w:p>
          <w:p>
            <w:pPr>
              <w:spacing w:line="240" w:lineRule="exact"/>
              <w:jc w:val="center"/>
              <w:rPr>
                <w:bCs/>
                <w:sz w:val="18"/>
                <w:szCs w:val="18"/>
              </w:rPr>
            </w:pPr>
            <w:r>
              <w:rPr>
                <w:bCs/>
                <w:sz w:val="18"/>
                <w:szCs w:val="18"/>
              </w:rPr>
              <w:t>合</w:t>
            </w:r>
          </w:p>
          <w:p>
            <w:pPr>
              <w:spacing w:line="240" w:lineRule="exact"/>
              <w:jc w:val="center"/>
              <w:rPr>
                <w:bCs/>
                <w:sz w:val="18"/>
                <w:szCs w:val="18"/>
              </w:rPr>
            </w:pPr>
            <w:r>
              <w:rPr>
                <w:bCs/>
                <w:sz w:val="18"/>
                <w:szCs w:val="18"/>
              </w:rPr>
              <w:t>实</w:t>
            </w:r>
          </w:p>
          <w:p>
            <w:pPr>
              <w:spacing w:line="240" w:lineRule="exact"/>
              <w:jc w:val="center"/>
              <w:rPr>
                <w:bCs/>
                <w:sz w:val="18"/>
                <w:szCs w:val="18"/>
              </w:rPr>
            </w:pPr>
            <w:r>
              <w:rPr>
                <w:bCs/>
                <w:sz w:val="18"/>
                <w:szCs w:val="18"/>
              </w:rPr>
              <w:t>践</w:t>
            </w:r>
          </w:p>
        </w:tc>
        <w:tc>
          <w:tcPr>
            <w:tcW w:w="623" w:type="pct"/>
            <w:vAlign w:val="center"/>
          </w:tcPr>
          <w:p>
            <w:pPr>
              <w:spacing w:line="240" w:lineRule="exact"/>
              <w:jc w:val="center"/>
              <w:rPr>
                <w:bCs/>
                <w:sz w:val="18"/>
                <w:szCs w:val="18"/>
              </w:rPr>
            </w:pPr>
            <w:r>
              <w:rPr>
                <w:sz w:val="18"/>
                <w:szCs w:val="18"/>
              </w:rPr>
              <w:t>BS037016</w:t>
            </w:r>
          </w:p>
        </w:tc>
        <w:tc>
          <w:tcPr>
            <w:tcW w:w="2625" w:type="pct"/>
            <w:vAlign w:val="center"/>
          </w:tcPr>
          <w:p>
            <w:pPr>
              <w:spacing w:line="240" w:lineRule="exact"/>
              <w:ind w:firstLine="95" w:firstLineChars="53"/>
              <w:rPr>
                <w:bCs/>
                <w:sz w:val="18"/>
                <w:szCs w:val="18"/>
              </w:rPr>
            </w:pPr>
            <w:r>
              <w:rPr>
                <w:bCs/>
                <w:sz w:val="18"/>
                <w:szCs w:val="18"/>
              </w:rPr>
              <w:t>创新创业实践1</w:t>
            </w:r>
          </w:p>
          <w:p>
            <w:pPr>
              <w:spacing w:line="240" w:lineRule="exact"/>
              <w:ind w:firstLine="95" w:firstLineChars="53"/>
              <w:rPr>
                <w:bCs/>
                <w:sz w:val="18"/>
                <w:szCs w:val="18"/>
              </w:rPr>
            </w:pPr>
            <w:r>
              <w:rPr>
                <w:bCs/>
                <w:sz w:val="18"/>
                <w:szCs w:val="18"/>
              </w:rPr>
              <w:t>Innovative and Entrepreneurial Practice 1</w:t>
            </w:r>
          </w:p>
        </w:tc>
        <w:tc>
          <w:tcPr>
            <w:tcW w:w="338" w:type="pct"/>
            <w:vAlign w:val="center"/>
          </w:tcPr>
          <w:p>
            <w:pPr>
              <w:spacing w:line="240" w:lineRule="exact"/>
              <w:ind w:firstLine="180" w:firstLineChars="100"/>
              <w:jc w:val="center"/>
              <w:rPr>
                <w:bCs/>
                <w:sz w:val="18"/>
                <w:szCs w:val="18"/>
              </w:rPr>
            </w:pPr>
            <w:r>
              <w:rPr>
                <w:bCs/>
                <w:sz w:val="18"/>
                <w:szCs w:val="18"/>
              </w:rPr>
              <w:t>1</w:t>
            </w:r>
          </w:p>
        </w:tc>
        <w:tc>
          <w:tcPr>
            <w:tcW w:w="338" w:type="pct"/>
            <w:vAlign w:val="center"/>
          </w:tcPr>
          <w:p>
            <w:pPr>
              <w:spacing w:line="240" w:lineRule="exact"/>
              <w:ind w:firstLine="95" w:firstLineChars="53"/>
              <w:jc w:val="center"/>
              <w:rPr>
                <w:bCs/>
                <w:sz w:val="18"/>
                <w:szCs w:val="18"/>
              </w:rPr>
            </w:pPr>
            <w:r>
              <w:rPr>
                <w:bCs/>
                <w:sz w:val="18"/>
                <w:szCs w:val="18"/>
              </w:rPr>
              <w:t>1</w:t>
            </w:r>
          </w:p>
        </w:tc>
        <w:tc>
          <w:tcPr>
            <w:tcW w:w="338" w:type="pct"/>
            <w:vAlign w:val="center"/>
          </w:tcPr>
          <w:p>
            <w:pPr>
              <w:spacing w:line="240" w:lineRule="exact"/>
              <w:ind w:firstLine="95" w:firstLineChars="53"/>
              <w:jc w:val="center"/>
              <w:rPr>
                <w:bCs/>
                <w:sz w:val="18"/>
                <w:szCs w:val="18"/>
              </w:rPr>
            </w:pPr>
            <w:r>
              <w:rPr>
                <w:bCs/>
                <w:sz w:val="18"/>
                <w:szCs w:val="18"/>
              </w:rPr>
              <w:t>5</w:t>
            </w:r>
          </w:p>
        </w:tc>
        <w:tc>
          <w:tcPr>
            <w:tcW w:w="398" w:type="pct"/>
            <w:vAlign w:val="center"/>
          </w:tcPr>
          <w:p>
            <w:pPr>
              <w:spacing w:line="240" w:lineRule="exact"/>
              <w:ind w:firstLine="95" w:firstLineChars="53"/>
              <w:jc w:val="center"/>
              <w:rPr>
                <w:bCs/>
                <w:sz w:val="18"/>
                <w:szCs w:val="18"/>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336" w:type="pct"/>
            <w:vMerge w:val="continue"/>
            <w:vAlign w:val="center"/>
          </w:tcPr>
          <w:p>
            <w:pPr>
              <w:spacing w:line="240" w:lineRule="exact"/>
              <w:jc w:val="center"/>
              <w:rPr>
                <w:bCs/>
                <w:sz w:val="18"/>
                <w:szCs w:val="18"/>
              </w:rPr>
            </w:pPr>
          </w:p>
        </w:tc>
        <w:tc>
          <w:tcPr>
            <w:tcW w:w="623" w:type="pct"/>
            <w:vAlign w:val="center"/>
          </w:tcPr>
          <w:p>
            <w:pPr>
              <w:spacing w:line="240" w:lineRule="exact"/>
              <w:jc w:val="center"/>
              <w:rPr>
                <w:bCs/>
                <w:sz w:val="18"/>
                <w:szCs w:val="18"/>
              </w:rPr>
            </w:pPr>
            <w:r>
              <w:rPr>
                <w:sz w:val="18"/>
                <w:szCs w:val="18"/>
              </w:rPr>
              <w:t>BS037017</w:t>
            </w:r>
          </w:p>
        </w:tc>
        <w:tc>
          <w:tcPr>
            <w:tcW w:w="2625" w:type="pct"/>
            <w:vAlign w:val="center"/>
          </w:tcPr>
          <w:p>
            <w:pPr>
              <w:spacing w:line="240" w:lineRule="exact"/>
              <w:ind w:firstLine="95" w:firstLineChars="53"/>
              <w:rPr>
                <w:bCs/>
                <w:sz w:val="18"/>
                <w:szCs w:val="18"/>
              </w:rPr>
            </w:pPr>
            <w:r>
              <w:rPr>
                <w:bCs/>
                <w:sz w:val="18"/>
                <w:szCs w:val="18"/>
              </w:rPr>
              <w:t>创新创业实践2</w:t>
            </w:r>
          </w:p>
          <w:p>
            <w:pPr>
              <w:spacing w:line="240" w:lineRule="exact"/>
              <w:ind w:firstLine="95" w:firstLineChars="53"/>
              <w:rPr>
                <w:bCs/>
                <w:sz w:val="18"/>
                <w:szCs w:val="18"/>
              </w:rPr>
            </w:pPr>
            <w:r>
              <w:rPr>
                <w:bCs/>
                <w:sz w:val="18"/>
                <w:szCs w:val="18"/>
              </w:rPr>
              <w:t>Innovative and Entrepreneurial Practice 2</w:t>
            </w:r>
          </w:p>
        </w:tc>
        <w:tc>
          <w:tcPr>
            <w:tcW w:w="338" w:type="pct"/>
            <w:vAlign w:val="center"/>
          </w:tcPr>
          <w:p>
            <w:pPr>
              <w:spacing w:line="240" w:lineRule="exact"/>
              <w:jc w:val="center"/>
              <w:rPr>
                <w:bCs/>
                <w:sz w:val="18"/>
                <w:szCs w:val="18"/>
              </w:rPr>
            </w:pPr>
            <w:r>
              <w:rPr>
                <w:bCs/>
                <w:sz w:val="18"/>
                <w:szCs w:val="18"/>
              </w:rPr>
              <w:t>1</w:t>
            </w:r>
          </w:p>
        </w:tc>
        <w:tc>
          <w:tcPr>
            <w:tcW w:w="338" w:type="pct"/>
            <w:vAlign w:val="center"/>
          </w:tcPr>
          <w:p>
            <w:pPr>
              <w:spacing w:line="240" w:lineRule="exact"/>
              <w:jc w:val="center"/>
              <w:rPr>
                <w:bCs/>
                <w:sz w:val="18"/>
                <w:szCs w:val="18"/>
              </w:rPr>
            </w:pPr>
            <w:r>
              <w:rPr>
                <w:bCs/>
                <w:sz w:val="18"/>
                <w:szCs w:val="18"/>
              </w:rPr>
              <w:t>1</w:t>
            </w:r>
          </w:p>
        </w:tc>
        <w:tc>
          <w:tcPr>
            <w:tcW w:w="338" w:type="pct"/>
            <w:vAlign w:val="center"/>
          </w:tcPr>
          <w:p>
            <w:pPr>
              <w:spacing w:line="240" w:lineRule="exact"/>
              <w:jc w:val="center"/>
              <w:rPr>
                <w:bCs/>
                <w:sz w:val="18"/>
                <w:szCs w:val="18"/>
              </w:rPr>
            </w:pPr>
            <w:r>
              <w:rPr>
                <w:bCs/>
                <w:sz w:val="18"/>
                <w:szCs w:val="18"/>
              </w:rPr>
              <w:t>6</w:t>
            </w:r>
          </w:p>
        </w:tc>
        <w:tc>
          <w:tcPr>
            <w:tcW w:w="398" w:type="pct"/>
            <w:vAlign w:val="center"/>
          </w:tcPr>
          <w:p>
            <w:pPr>
              <w:ind w:left="-120" w:leftChars="-50" w:right="-120" w:rightChars="-50"/>
              <w:jc w:val="center"/>
              <w:rPr>
                <w:bCs/>
                <w:sz w:val="18"/>
                <w:szCs w:val="18"/>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336" w:type="pct"/>
            <w:vMerge w:val="continue"/>
            <w:vAlign w:val="center"/>
          </w:tcPr>
          <w:p>
            <w:pPr>
              <w:spacing w:line="240" w:lineRule="exact"/>
              <w:jc w:val="center"/>
              <w:rPr>
                <w:bCs/>
                <w:sz w:val="18"/>
                <w:szCs w:val="18"/>
              </w:rPr>
            </w:pPr>
          </w:p>
        </w:tc>
        <w:tc>
          <w:tcPr>
            <w:tcW w:w="623" w:type="pct"/>
            <w:vAlign w:val="center"/>
          </w:tcPr>
          <w:p>
            <w:pPr>
              <w:jc w:val="center"/>
              <w:rPr>
                <w:bCs/>
                <w:sz w:val="18"/>
                <w:szCs w:val="18"/>
              </w:rPr>
            </w:pPr>
            <w:r>
              <w:rPr>
                <w:sz w:val="18"/>
                <w:szCs w:val="18"/>
              </w:rPr>
              <w:t>BS037015</w:t>
            </w:r>
          </w:p>
        </w:tc>
        <w:tc>
          <w:tcPr>
            <w:tcW w:w="2625" w:type="pct"/>
            <w:vAlign w:val="center"/>
          </w:tcPr>
          <w:p>
            <w:pPr>
              <w:spacing w:line="240" w:lineRule="exact"/>
              <w:ind w:firstLine="95" w:firstLineChars="53"/>
              <w:rPr>
                <w:bCs/>
                <w:sz w:val="18"/>
                <w:szCs w:val="18"/>
              </w:rPr>
            </w:pPr>
            <w:r>
              <w:rPr>
                <w:bCs/>
                <w:sz w:val="18"/>
                <w:szCs w:val="18"/>
              </w:rPr>
              <w:t>毕业实习及报告</w:t>
            </w:r>
          </w:p>
          <w:p>
            <w:pPr>
              <w:spacing w:line="240" w:lineRule="exact"/>
              <w:ind w:firstLine="95" w:firstLineChars="53"/>
              <w:rPr>
                <w:bCs/>
                <w:sz w:val="18"/>
                <w:szCs w:val="18"/>
              </w:rPr>
            </w:pPr>
            <w:r>
              <w:rPr>
                <w:bCs/>
                <w:color w:val="000000"/>
                <w:sz w:val="18"/>
                <w:szCs w:val="18"/>
              </w:rPr>
              <w:t>Graduation Practice and Report</w:t>
            </w:r>
          </w:p>
        </w:tc>
        <w:tc>
          <w:tcPr>
            <w:tcW w:w="338" w:type="pct"/>
            <w:vAlign w:val="center"/>
          </w:tcPr>
          <w:p>
            <w:pPr>
              <w:spacing w:line="320" w:lineRule="exact"/>
              <w:ind w:left="72" w:leftChars="30" w:right="72" w:rightChars="30"/>
              <w:jc w:val="center"/>
              <w:rPr>
                <w:bCs/>
                <w:color w:val="000000"/>
                <w:sz w:val="18"/>
                <w:szCs w:val="18"/>
              </w:rPr>
            </w:pPr>
            <w:r>
              <w:rPr>
                <w:bCs/>
                <w:sz w:val="18"/>
                <w:szCs w:val="18"/>
              </w:rPr>
              <w:t>9</w:t>
            </w:r>
          </w:p>
        </w:tc>
        <w:tc>
          <w:tcPr>
            <w:tcW w:w="338" w:type="pct"/>
            <w:vAlign w:val="center"/>
          </w:tcPr>
          <w:p>
            <w:pPr>
              <w:spacing w:line="320" w:lineRule="exact"/>
              <w:ind w:left="72" w:leftChars="30" w:right="72" w:rightChars="30"/>
              <w:jc w:val="center"/>
              <w:rPr>
                <w:bCs/>
                <w:color w:val="000000"/>
                <w:sz w:val="18"/>
                <w:szCs w:val="18"/>
              </w:rPr>
            </w:pPr>
            <w:r>
              <w:rPr>
                <w:bCs/>
                <w:color w:val="000000"/>
                <w:sz w:val="18"/>
                <w:szCs w:val="18"/>
              </w:rPr>
              <w:t>20</w:t>
            </w:r>
          </w:p>
        </w:tc>
        <w:tc>
          <w:tcPr>
            <w:tcW w:w="338" w:type="pct"/>
            <w:vAlign w:val="center"/>
          </w:tcPr>
          <w:p>
            <w:pPr>
              <w:spacing w:line="320" w:lineRule="exact"/>
              <w:ind w:left="72" w:leftChars="30" w:right="72" w:rightChars="30"/>
              <w:jc w:val="center"/>
              <w:rPr>
                <w:bCs/>
                <w:color w:val="000000"/>
                <w:sz w:val="18"/>
                <w:szCs w:val="18"/>
              </w:rPr>
            </w:pPr>
            <w:r>
              <w:rPr>
                <w:bCs/>
                <w:color w:val="000000"/>
                <w:sz w:val="18"/>
                <w:szCs w:val="18"/>
              </w:rPr>
              <w:t>7-8</w:t>
            </w:r>
          </w:p>
        </w:tc>
        <w:tc>
          <w:tcPr>
            <w:tcW w:w="398" w:type="pct"/>
            <w:vAlign w:val="center"/>
          </w:tcPr>
          <w:p>
            <w:pPr>
              <w:ind w:left="-120" w:leftChars="-50" w:right="-120" w:rightChars="-50"/>
              <w:jc w:val="center"/>
              <w:rPr>
                <w:bCs/>
                <w:sz w:val="18"/>
                <w:szCs w:val="18"/>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5" w:hRule="atLeast"/>
          <w:jc w:val="center"/>
        </w:trPr>
        <w:tc>
          <w:tcPr>
            <w:tcW w:w="336" w:type="pct"/>
            <w:vMerge w:val="continue"/>
            <w:vAlign w:val="center"/>
          </w:tcPr>
          <w:p>
            <w:pPr>
              <w:spacing w:line="240" w:lineRule="exact"/>
              <w:jc w:val="center"/>
              <w:rPr>
                <w:bCs/>
                <w:sz w:val="18"/>
                <w:szCs w:val="18"/>
              </w:rPr>
            </w:pPr>
          </w:p>
        </w:tc>
        <w:tc>
          <w:tcPr>
            <w:tcW w:w="623" w:type="pct"/>
            <w:vAlign w:val="center"/>
          </w:tcPr>
          <w:p>
            <w:pPr>
              <w:jc w:val="center"/>
              <w:rPr>
                <w:bCs/>
                <w:sz w:val="18"/>
                <w:szCs w:val="18"/>
              </w:rPr>
            </w:pPr>
            <w:r>
              <w:rPr>
                <w:sz w:val="18"/>
                <w:szCs w:val="18"/>
              </w:rPr>
              <w:t>BS037014</w:t>
            </w:r>
          </w:p>
        </w:tc>
        <w:tc>
          <w:tcPr>
            <w:tcW w:w="2625" w:type="pct"/>
            <w:vAlign w:val="center"/>
          </w:tcPr>
          <w:p>
            <w:pPr>
              <w:spacing w:line="240" w:lineRule="exact"/>
              <w:ind w:firstLine="95" w:firstLineChars="53"/>
              <w:rPr>
                <w:bCs/>
                <w:sz w:val="18"/>
                <w:szCs w:val="18"/>
              </w:rPr>
            </w:pPr>
            <w:r>
              <w:rPr>
                <w:bCs/>
                <w:sz w:val="18"/>
                <w:szCs w:val="18"/>
              </w:rPr>
              <w:t>毕业论文(设计)</w:t>
            </w:r>
          </w:p>
          <w:p>
            <w:pPr>
              <w:spacing w:line="240" w:lineRule="exact"/>
              <w:ind w:firstLine="95" w:firstLineChars="53"/>
              <w:rPr>
                <w:bCs/>
                <w:color w:val="000000"/>
                <w:sz w:val="18"/>
                <w:szCs w:val="18"/>
              </w:rPr>
            </w:pPr>
            <w:r>
              <w:rPr>
                <w:bCs/>
                <w:color w:val="000000"/>
                <w:sz w:val="18"/>
                <w:szCs w:val="18"/>
              </w:rPr>
              <w:t>B.A. Thesis Writing (Design)</w:t>
            </w:r>
          </w:p>
        </w:tc>
        <w:tc>
          <w:tcPr>
            <w:tcW w:w="338" w:type="pct"/>
            <w:vAlign w:val="center"/>
          </w:tcPr>
          <w:p>
            <w:pPr>
              <w:spacing w:line="320" w:lineRule="exact"/>
              <w:ind w:left="72" w:leftChars="30" w:right="72" w:rightChars="30"/>
              <w:jc w:val="center"/>
              <w:rPr>
                <w:bCs/>
                <w:color w:val="000000"/>
                <w:sz w:val="18"/>
                <w:szCs w:val="18"/>
              </w:rPr>
            </w:pPr>
            <w:r>
              <w:rPr>
                <w:bCs/>
                <w:color w:val="000000"/>
                <w:sz w:val="18"/>
                <w:szCs w:val="18"/>
              </w:rPr>
              <w:t>5</w:t>
            </w:r>
          </w:p>
        </w:tc>
        <w:tc>
          <w:tcPr>
            <w:tcW w:w="338" w:type="pct"/>
            <w:vAlign w:val="center"/>
          </w:tcPr>
          <w:p>
            <w:pPr>
              <w:spacing w:line="320" w:lineRule="exact"/>
              <w:ind w:left="72" w:leftChars="30" w:right="72" w:rightChars="30"/>
              <w:jc w:val="center"/>
              <w:rPr>
                <w:bCs/>
                <w:color w:val="000000"/>
                <w:sz w:val="18"/>
                <w:szCs w:val="18"/>
              </w:rPr>
            </w:pPr>
            <w:r>
              <w:rPr>
                <w:bCs/>
                <w:color w:val="000000"/>
                <w:sz w:val="18"/>
                <w:szCs w:val="18"/>
              </w:rPr>
              <w:t>2</w:t>
            </w:r>
          </w:p>
        </w:tc>
        <w:tc>
          <w:tcPr>
            <w:tcW w:w="338" w:type="pct"/>
            <w:vAlign w:val="center"/>
          </w:tcPr>
          <w:p>
            <w:pPr>
              <w:spacing w:line="320" w:lineRule="exact"/>
              <w:ind w:left="72" w:leftChars="30" w:right="72" w:rightChars="30"/>
              <w:jc w:val="center"/>
              <w:rPr>
                <w:bCs/>
                <w:color w:val="000000"/>
                <w:sz w:val="18"/>
                <w:szCs w:val="18"/>
              </w:rPr>
            </w:pPr>
            <w:r>
              <w:rPr>
                <w:bCs/>
                <w:color w:val="000000"/>
                <w:sz w:val="18"/>
                <w:szCs w:val="18"/>
              </w:rPr>
              <w:t>8</w:t>
            </w:r>
          </w:p>
        </w:tc>
        <w:tc>
          <w:tcPr>
            <w:tcW w:w="398" w:type="pct"/>
            <w:vAlign w:val="center"/>
          </w:tcPr>
          <w:p>
            <w:pPr>
              <w:ind w:left="-120" w:leftChars="-50" w:right="-120" w:rightChars="-50"/>
              <w:jc w:val="center"/>
              <w:rPr>
                <w:bCs/>
                <w:sz w:val="18"/>
                <w:szCs w:val="18"/>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3585" w:type="pct"/>
            <w:gridSpan w:val="3"/>
            <w:vAlign w:val="center"/>
          </w:tcPr>
          <w:p>
            <w:pPr>
              <w:spacing w:line="240" w:lineRule="exact"/>
              <w:jc w:val="center"/>
              <w:rPr>
                <w:bCs/>
                <w:sz w:val="18"/>
                <w:szCs w:val="18"/>
              </w:rPr>
            </w:pPr>
            <w:r>
              <w:rPr>
                <w:bCs/>
                <w:sz w:val="18"/>
                <w:szCs w:val="18"/>
              </w:rPr>
              <w:t>合计学分</w:t>
            </w:r>
          </w:p>
        </w:tc>
        <w:tc>
          <w:tcPr>
            <w:tcW w:w="1414" w:type="pct"/>
            <w:gridSpan w:val="4"/>
            <w:vAlign w:val="center"/>
          </w:tcPr>
          <w:p>
            <w:pPr>
              <w:ind w:left="-120" w:leftChars="-50" w:right="-120" w:rightChars="-50"/>
              <w:jc w:val="center"/>
              <w:rPr>
                <w:bCs/>
                <w:sz w:val="18"/>
                <w:szCs w:val="18"/>
              </w:rPr>
            </w:pPr>
            <w:r>
              <w:rPr>
                <w:bCs/>
                <w:sz w:val="18"/>
                <w:szCs w:val="18"/>
              </w:rPr>
              <w:t>31.5</w:t>
            </w:r>
          </w:p>
        </w:tc>
      </w:tr>
    </w:tbl>
    <w:p>
      <w:pPr>
        <w:pStyle w:val="6"/>
        <w:ind w:firstLine="480"/>
      </w:pPr>
      <w:bookmarkStart w:id="543" w:name="_Toc58568800"/>
      <w:r>
        <w:t>（三）创新创业教育</w:t>
      </w:r>
      <w:bookmarkEnd w:id="543"/>
    </w:p>
    <w:p>
      <w:pPr>
        <w:ind w:firstLine="480" w:firstLineChars="200"/>
      </w:pPr>
      <w:r>
        <w:t>法学专业人才培养历来重视创新创业教育。在2012年版的培养方案中，设置有</w:t>
      </w:r>
      <w:r>
        <w:rPr>
          <w:rFonts w:hint="eastAsia"/>
        </w:rPr>
        <w:t>“</w:t>
      </w:r>
      <w:r>
        <w:t>大学生就业创业指导</w:t>
      </w:r>
      <w:r>
        <w:rPr>
          <w:rFonts w:hint="eastAsia"/>
        </w:rPr>
        <w:t>”</w:t>
      </w:r>
      <w:r>
        <w:t>专业选修课程，20课时/1学分。自2016年起，学校设置了</w:t>
      </w:r>
      <w:r>
        <w:rPr>
          <w:rFonts w:hint="eastAsia"/>
        </w:rPr>
        <w:t>“</w:t>
      </w:r>
      <w:r>
        <w:t>创新与创业</w:t>
      </w:r>
      <w:r>
        <w:rPr>
          <w:rFonts w:hint="eastAsia"/>
        </w:rPr>
        <w:t>”</w:t>
      </w:r>
      <w:r>
        <w:t>通识选修课程组，法学专业学生必须从</w:t>
      </w:r>
      <w:r>
        <w:rPr>
          <w:rFonts w:hint="eastAsia"/>
        </w:rPr>
        <w:t>“</w:t>
      </w:r>
      <w:r>
        <w:t>创新与创业</w:t>
      </w:r>
      <w:r>
        <w:rPr>
          <w:rFonts w:hint="eastAsia"/>
        </w:rPr>
        <w:t>”</w:t>
      </w:r>
      <w:r>
        <w:t>课程组至少选修2个学分，才能获得毕业资格。2019年以来，该课程改由学工处单独开设，更具针对性。在</w:t>
      </w:r>
      <w:r>
        <w:rPr>
          <w:rFonts w:hint="eastAsia"/>
        </w:rPr>
        <w:t>“</w:t>
      </w:r>
      <w:r>
        <w:t>创新与创业</w:t>
      </w:r>
      <w:r>
        <w:rPr>
          <w:rFonts w:hint="eastAsia"/>
        </w:rPr>
        <w:t>”</w:t>
      </w:r>
      <w:r>
        <w:t>课程的引导下，法学专业的学生立足专业实际，开展专业调研等活动，数十篇优秀调研报告在学术期刊上得到公开发表，并成功申报国家级、省级SRT计划。</w:t>
      </w:r>
    </w:p>
    <w:p>
      <w:pPr>
        <w:ind w:firstLine="480" w:firstLineChars="200"/>
      </w:pPr>
      <w:r>
        <w:t>法学系重视学生创新能力培养，不断拓展专业教育平台，引入论坛、报告会、读书会等多种形式开阔学生专业视野，提升其专业能力。2022年在防疫常态化的情势下，法学系坚持举办</w:t>
      </w:r>
      <w:r>
        <w:rPr>
          <w:rFonts w:hint="eastAsia"/>
        </w:rPr>
        <w:t>“</w:t>
      </w:r>
      <w:r>
        <w:t>高山仰止</w:t>
      </w:r>
      <w:r>
        <w:rPr>
          <w:rFonts w:hint="eastAsia"/>
        </w:rPr>
        <w:t>”</w:t>
      </w:r>
      <w:r>
        <w:t>读书会，目前已成功举办近30期，吸引学生参与1000余人次，拓宽学生的学术视野。同时，组建阳光法律实践队，积极策划、组织山东农业大学模拟法庭大赛、山东农业大学</w:t>
      </w:r>
      <w:r>
        <w:rPr>
          <w:rFonts w:hint="eastAsia"/>
        </w:rPr>
        <w:t>“</w:t>
      </w:r>
      <w:r>
        <w:t>学宪法讲宪法</w:t>
      </w:r>
      <w:r>
        <w:rPr>
          <w:rFonts w:hint="eastAsia"/>
        </w:rPr>
        <w:t>”</w:t>
      </w:r>
      <w:r>
        <w:t>演讲比赛、山东农业大学法律文书大赛等专业类竞赛，并组织宪法日和消费者权益保护日宣传、民法典普法宣传等法律宣传活动。</w:t>
      </w:r>
    </w:p>
    <w:p>
      <w:pPr>
        <w:pStyle w:val="5"/>
        <w:spacing w:before="93" w:after="93"/>
        <w:ind w:firstLine="560"/>
      </w:pPr>
      <w:bookmarkStart w:id="544" w:name="_Toc58568801"/>
      <w:r>
        <w:t>三、培养条件</w:t>
      </w:r>
      <w:bookmarkEnd w:id="544"/>
    </w:p>
    <w:p>
      <w:pPr>
        <w:pStyle w:val="6"/>
        <w:ind w:firstLine="480"/>
      </w:pPr>
      <w:bookmarkStart w:id="545" w:name="_Toc58568802"/>
      <w:r>
        <w:t>（一）教学经费投入</w:t>
      </w:r>
      <w:bookmarkEnd w:id="545"/>
    </w:p>
    <w:p>
      <w:pPr>
        <w:ind w:firstLine="480" w:firstLineChars="200"/>
      </w:pPr>
      <w:r>
        <w:t>在教学经费方面，教学经费投入保障机制不断完善。学校多渠道筹措办学经费，坚持</w:t>
      </w:r>
      <w:r>
        <w:rPr>
          <w:rFonts w:hint="eastAsia"/>
        </w:rPr>
        <w:t>“</w:t>
      </w:r>
      <w:r>
        <w:t>保人员经费、保教学投入、保重点项目、保日常运行</w:t>
      </w:r>
      <w:r>
        <w:rPr>
          <w:rFonts w:hint="eastAsia"/>
        </w:rPr>
        <w:t>”</w:t>
      </w:r>
      <w:r>
        <w:t>的原则安排使用经费，建立健全</w:t>
      </w:r>
      <w:r>
        <w:rPr>
          <w:rFonts w:hint="eastAsia"/>
        </w:rPr>
        <w:t>“</w:t>
      </w:r>
      <w:r>
        <w:t>年初预算安排和年内专项追加</w:t>
      </w:r>
      <w:r>
        <w:rPr>
          <w:rFonts w:hint="eastAsia"/>
        </w:rPr>
        <w:t>”</w:t>
      </w:r>
      <w:r>
        <w:t>的教学经费投入保障机制，教育教学经费投入逐年稳定增长。根据</w:t>
      </w:r>
      <w:r>
        <w:rPr>
          <w:rFonts w:hint="eastAsia"/>
        </w:rPr>
        <w:t>“</w:t>
      </w:r>
      <w:r>
        <w:t>集中财力办大事，统筹兼顾保运行</w:t>
      </w:r>
      <w:r>
        <w:rPr>
          <w:rFonts w:hint="eastAsia"/>
        </w:rPr>
        <w:t>”</w:t>
      </w:r>
      <w:r>
        <w:t>的指导思想，学校对教学经费采用</w:t>
      </w:r>
      <w:r>
        <w:rPr>
          <w:rFonts w:hint="eastAsia"/>
        </w:rPr>
        <w:t>“</w:t>
      </w:r>
      <w:r>
        <w:t>专项+日常运行</w:t>
      </w:r>
      <w:r>
        <w:rPr>
          <w:rFonts w:hint="eastAsia"/>
        </w:rPr>
        <w:t>”</w:t>
      </w:r>
      <w:r>
        <w:t>的办法进行管理。教学教育经费总额2021年已增至60余万元。</w:t>
      </w:r>
    </w:p>
    <w:p>
      <w:pPr>
        <w:pStyle w:val="6"/>
        <w:ind w:firstLine="480"/>
      </w:pPr>
      <w:bookmarkStart w:id="546" w:name="_Toc58568803"/>
      <w:r>
        <w:t>（二）教学设施与设备</w:t>
      </w:r>
      <w:bookmarkEnd w:id="546"/>
    </w:p>
    <w:p>
      <w:pPr>
        <w:ind w:firstLine="480" w:firstLineChars="200"/>
        <w:outlineLvl w:val="1"/>
      </w:pPr>
      <w:r>
        <w:t>在教学条件方面，学院教学条件能够满足法学实践教学要求，学院在南校设有文科实验室，包括一个模拟法庭，面积120平方米，可同时容纳100名学生使用。2022年，法学系购置仿真模拟法庭软件和刑法云仿真软件，让学生多角色的参与到各类诉讼案件和非诉讼活动之中。</w:t>
      </w:r>
      <w:bookmarkStart w:id="547" w:name="_Toc58568804"/>
    </w:p>
    <w:p>
      <w:pPr>
        <w:pStyle w:val="6"/>
        <w:ind w:firstLine="480"/>
      </w:pPr>
      <w:r>
        <w:t>（三）师资队伍</w:t>
      </w:r>
      <w:bookmarkEnd w:id="547"/>
    </w:p>
    <w:p>
      <w:pPr>
        <w:ind w:firstLine="480" w:firstLineChars="200"/>
      </w:pPr>
      <w:r>
        <w:t>法学系现有教师18人。其中，教授5人：李春华、陈晓军、汪栋、曹培忠、张丽珍；副教授有9人：付中强、周艳波、王敏、武玮厚、王伟、相焕伟、范晓娟、毕凌雪、李谦。博士8人：陈晓军、汪栋、周艳波、张丽珍、相焕伟、毕凌雪、范晓娟、杜生一、李谦；在读博士2人：崔新群、侯圣贺。入选山东农业大学1512第二、三人才层次5人。其中，汪栋为第二层次，陈晓军、周艳波、张丽珍为第三层次。</w:t>
      </w:r>
    </w:p>
    <w:p>
      <w:pPr>
        <w:ind w:firstLine="480" w:firstLineChars="200"/>
      </w:pPr>
      <w:r>
        <w:t>近年来，法学系不断加强对中青年骨干教师的培养力度，有海外访学经历的师资4人次。双师型、兼职型教师队伍建设逐步规范化、常态化，兼职教师20人。师资队伍学缘结构合理，年富力强，平均年龄40岁。教师注重教书育人，先后有4人次获得青年教师讲课技能比赛一等奖、1人获得省十大中青年法学家提名、1人入选</w:t>
      </w:r>
      <w:r>
        <w:rPr>
          <w:rFonts w:hint="eastAsia"/>
        </w:rPr>
        <w:t>“</w:t>
      </w:r>
      <w:r>
        <w:t>首批山东省法学法律研究领军人物</w:t>
      </w:r>
      <w:r>
        <w:rPr>
          <w:rFonts w:hint="eastAsia"/>
        </w:rPr>
        <w:t>”</w:t>
      </w:r>
      <w:r>
        <w:t>、1人入选第三届山东省人民政府法律专家库成员。</w:t>
      </w:r>
    </w:p>
    <w:p>
      <w:pPr>
        <w:spacing w:line="240" w:lineRule="auto"/>
        <w:jc w:val="center"/>
        <w:rPr>
          <w:b/>
          <w:bCs/>
          <w:sz w:val="21"/>
          <w:szCs w:val="21"/>
        </w:rPr>
      </w:pPr>
    </w:p>
    <w:p>
      <w:pPr>
        <w:spacing w:line="240" w:lineRule="auto"/>
        <w:jc w:val="center"/>
        <w:rPr>
          <w:b/>
          <w:bCs/>
          <w:sz w:val="21"/>
          <w:szCs w:val="21"/>
        </w:rPr>
      </w:pPr>
      <w:r>
        <w:rPr>
          <w:b/>
          <w:bCs/>
          <w:sz w:val="21"/>
          <w:szCs w:val="21"/>
        </w:rPr>
        <w:t>附表5  法学专业师资队伍一览表</w:t>
      </w:r>
    </w:p>
    <w:tbl>
      <w:tblPr>
        <w:tblStyle w:val="17"/>
        <w:tblW w:w="496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930"/>
        <w:gridCol w:w="664"/>
        <w:gridCol w:w="752"/>
        <w:gridCol w:w="1052"/>
        <w:gridCol w:w="1137"/>
        <w:gridCol w:w="1416"/>
        <w:gridCol w:w="230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10" w:type="pct"/>
            <w:vAlign w:val="center"/>
          </w:tcPr>
          <w:p>
            <w:pPr>
              <w:spacing w:line="240" w:lineRule="auto"/>
              <w:jc w:val="center"/>
              <w:rPr>
                <w:b/>
                <w:bCs/>
                <w:sz w:val="21"/>
                <w:szCs w:val="21"/>
              </w:rPr>
            </w:pPr>
            <w:r>
              <w:rPr>
                <w:b/>
                <w:bCs/>
                <w:sz w:val="21"/>
                <w:szCs w:val="21"/>
              </w:rPr>
              <w:t>序号</w:t>
            </w:r>
          </w:p>
        </w:tc>
        <w:tc>
          <w:tcPr>
            <w:tcW w:w="517" w:type="pct"/>
            <w:vAlign w:val="center"/>
          </w:tcPr>
          <w:p>
            <w:pPr>
              <w:spacing w:line="240" w:lineRule="auto"/>
              <w:jc w:val="center"/>
              <w:rPr>
                <w:b/>
                <w:bCs/>
                <w:sz w:val="21"/>
                <w:szCs w:val="21"/>
              </w:rPr>
            </w:pPr>
            <w:r>
              <w:rPr>
                <w:b/>
                <w:bCs/>
                <w:sz w:val="21"/>
                <w:szCs w:val="21"/>
              </w:rPr>
              <w:t>姓名</w:t>
            </w:r>
          </w:p>
        </w:tc>
        <w:tc>
          <w:tcPr>
            <w:tcW w:w="369" w:type="pct"/>
            <w:vAlign w:val="center"/>
          </w:tcPr>
          <w:p>
            <w:pPr>
              <w:spacing w:line="240" w:lineRule="auto"/>
              <w:jc w:val="center"/>
              <w:rPr>
                <w:b/>
                <w:bCs/>
                <w:sz w:val="21"/>
                <w:szCs w:val="21"/>
              </w:rPr>
            </w:pPr>
            <w:r>
              <w:rPr>
                <w:b/>
                <w:bCs/>
                <w:sz w:val="21"/>
                <w:szCs w:val="21"/>
              </w:rPr>
              <w:t>性别</w:t>
            </w:r>
          </w:p>
        </w:tc>
        <w:tc>
          <w:tcPr>
            <w:tcW w:w="418" w:type="pct"/>
            <w:vAlign w:val="center"/>
          </w:tcPr>
          <w:p>
            <w:pPr>
              <w:spacing w:line="240" w:lineRule="auto"/>
              <w:jc w:val="center"/>
              <w:rPr>
                <w:b/>
                <w:bCs/>
                <w:sz w:val="21"/>
                <w:szCs w:val="21"/>
              </w:rPr>
            </w:pPr>
            <w:r>
              <w:rPr>
                <w:b/>
                <w:bCs/>
                <w:sz w:val="21"/>
                <w:szCs w:val="21"/>
              </w:rPr>
              <w:t>年龄</w:t>
            </w:r>
          </w:p>
        </w:tc>
        <w:tc>
          <w:tcPr>
            <w:tcW w:w="585" w:type="pct"/>
            <w:vAlign w:val="center"/>
          </w:tcPr>
          <w:p>
            <w:pPr>
              <w:spacing w:line="240" w:lineRule="auto"/>
              <w:jc w:val="center"/>
              <w:rPr>
                <w:b/>
                <w:bCs/>
                <w:sz w:val="21"/>
                <w:szCs w:val="21"/>
              </w:rPr>
            </w:pPr>
            <w:r>
              <w:rPr>
                <w:b/>
                <w:bCs/>
                <w:sz w:val="21"/>
                <w:szCs w:val="21"/>
              </w:rPr>
              <w:t>职称</w:t>
            </w:r>
          </w:p>
        </w:tc>
        <w:tc>
          <w:tcPr>
            <w:tcW w:w="632" w:type="pct"/>
            <w:vAlign w:val="center"/>
          </w:tcPr>
          <w:p>
            <w:pPr>
              <w:spacing w:line="240" w:lineRule="auto"/>
              <w:jc w:val="center"/>
              <w:rPr>
                <w:b/>
                <w:bCs/>
                <w:sz w:val="21"/>
                <w:szCs w:val="21"/>
              </w:rPr>
            </w:pPr>
            <w:r>
              <w:rPr>
                <w:b/>
                <w:bCs/>
                <w:sz w:val="21"/>
                <w:szCs w:val="21"/>
              </w:rPr>
              <w:t>学历学位</w:t>
            </w:r>
          </w:p>
        </w:tc>
        <w:tc>
          <w:tcPr>
            <w:tcW w:w="787" w:type="pct"/>
            <w:vAlign w:val="center"/>
          </w:tcPr>
          <w:p>
            <w:pPr>
              <w:spacing w:line="240" w:lineRule="auto"/>
              <w:jc w:val="center"/>
              <w:rPr>
                <w:b/>
                <w:bCs/>
                <w:sz w:val="21"/>
                <w:szCs w:val="21"/>
              </w:rPr>
            </w:pPr>
            <w:r>
              <w:rPr>
                <w:b/>
                <w:bCs/>
                <w:sz w:val="21"/>
                <w:szCs w:val="21"/>
              </w:rPr>
              <w:t>专业</w:t>
            </w:r>
          </w:p>
        </w:tc>
        <w:tc>
          <w:tcPr>
            <w:tcW w:w="1279" w:type="pct"/>
            <w:vAlign w:val="center"/>
          </w:tcPr>
          <w:p>
            <w:pPr>
              <w:spacing w:line="240" w:lineRule="auto"/>
              <w:ind w:firstLine="422" w:firstLineChars="200"/>
              <w:jc w:val="center"/>
              <w:rPr>
                <w:b/>
                <w:bCs/>
                <w:sz w:val="21"/>
                <w:szCs w:val="21"/>
              </w:rPr>
            </w:pPr>
            <w:r>
              <w:rPr>
                <w:b/>
                <w:bCs/>
                <w:sz w:val="21"/>
                <w:szCs w:val="21"/>
              </w:rPr>
              <w:t>任教课程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0" w:type="pct"/>
            <w:vAlign w:val="center"/>
          </w:tcPr>
          <w:p>
            <w:pPr>
              <w:spacing w:line="240" w:lineRule="auto"/>
              <w:jc w:val="center"/>
              <w:rPr>
                <w:sz w:val="21"/>
                <w:szCs w:val="21"/>
              </w:rPr>
            </w:pPr>
            <w:r>
              <w:rPr>
                <w:sz w:val="21"/>
                <w:szCs w:val="21"/>
              </w:rPr>
              <w:t>1</w:t>
            </w:r>
          </w:p>
        </w:tc>
        <w:tc>
          <w:tcPr>
            <w:tcW w:w="517" w:type="pct"/>
            <w:vAlign w:val="center"/>
          </w:tcPr>
          <w:p>
            <w:pPr>
              <w:spacing w:line="240" w:lineRule="auto"/>
              <w:jc w:val="center"/>
              <w:rPr>
                <w:sz w:val="21"/>
                <w:szCs w:val="21"/>
              </w:rPr>
            </w:pPr>
            <w:r>
              <w:rPr>
                <w:sz w:val="21"/>
                <w:szCs w:val="21"/>
              </w:rPr>
              <w:t>陈晓军</w:t>
            </w:r>
          </w:p>
        </w:tc>
        <w:tc>
          <w:tcPr>
            <w:tcW w:w="369" w:type="pct"/>
            <w:vAlign w:val="center"/>
          </w:tcPr>
          <w:p>
            <w:pPr>
              <w:spacing w:line="240" w:lineRule="auto"/>
              <w:jc w:val="center"/>
              <w:rPr>
                <w:sz w:val="21"/>
                <w:szCs w:val="21"/>
              </w:rPr>
            </w:pPr>
            <w:r>
              <w:rPr>
                <w:sz w:val="21"/>
                <w:szCs w:val="21"/>
              </w:rPr>
              <w:t>男</w:t>
            </w:r>
          </w:p>
        </w:tc>
        <w:tc>
          <w:tcPr>
            <w:tcW w:w="418" w:type="pct"/>
            <w:vAlign w:val="center"/>
          </w:tcPr>
          <w:p>
            <w:pPr>
              <w:spacing w:line="240" w:lineRule="auto"/>
              <w:jc w:val="center"/>
              <w:rPr>
                <w:sz w:val="21"/>
                <w:szCs w:val="21"/>
              </w:rPr>
            </w:pPr>
            <w:r>
              <w:rPr>
                <w:sz w:val="21"/>
                <w:szCs w:val="21"/>
              </w:rPr>
              <w:t>50</w:t>
            </w:r>
          </w:p>
        </w:tc>
        <w:tc>
          <w:tcPr>
            <w:tcW w:w="585" w:type="pct"/>
            <w:vAlign w:val="center"/>
          </w:tcPr>
          <w:p>
            <w:pPr>
              <w:spacing w:line="240" w:lineRule="auto"/>
              <w:jc w:val="center"/>
              <w:rPr>
                <w:sz w:val="21"/>
                <w:szCs w:val="21"/>
              </w:rPr>
            </w:pPr>
            <w:r>
              <w:rPr>
                <w:sz w:val="21"/>
                <w:szCs w:val="21"/>
              </w:rPr>
              <w:t>教授</w:t>
            </w:r>
          </w:p>
        </w:tc>
        <w:tc>
          <w:tcPr>
            <w:tcW w:w="632" w:type="pct"/>
            <w:vAlign w:val="center"/>
          </w:tcPr>
          <w:p>
            <w:pPr>
              <w:spacing w:line="240" w:lineRule="auto"/>
              <w:jc w:val="center"/>
              <w:rPr>
                <w:sz w:val="21"/>
                <w:szCs w:val="21"/>
              </w:rPr>
            </w:pPr>
            <w:r>
              <w:rPr>
                <w:sz w:val="21"/>
                <w:szCs w:val="21"/>
              </w:rPr>
              <w:t>博士</w:t>
            </w:r>
          </w:p>
        </w:tc>
        <w:tc>
          <w:tcPr>
            <w:tcW w:w="787" w:type="pct"/>
            <w:vAlign w:val="center"/>
          </w:tcPr>
          <w:p>
            <w:pPr>
              <w:spacing w:line="240" w:lineRule="auto"/>
              <w:jc w:val="center"/>
              <w:rPr>
                <w:sz w:val="21"/>
                <w:szCs w:val="21"/>
              </w:rPr>
            </w:pPr>
            <w:r>
              <w:rPr>
                <w:sz w:val="21"/>
                <w:szCs w:val="21"/>
              </w:rPr>
              <w:t>民商法</w:t>
            </w:r>
          </w:p>
        </w:tc>
        <w:tc>
          <w:tcPr>
            <w:tcW w:w="1279" w:type="pct"/>
            <w:vAlign w:val="center"/>
          </w:tcPr>
          <w:p>
            <w:pPr>
              <w:spacing w:line="240" w:lineRule="auto"/>
              <w:jc w:val="center"/>
              <w:rPr>
                <w:sz w:val="21"/>
                <w:szCs w:val="21"/>
              </w:rPr>
            </w:pPr>
            <w:r>
              <w:rPr>
                <w:sz w:val="21"/>
                <w:szCs w:val="21"/>
              </w:rPr>
              <w:t>民法学、商法学、农事法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0" w:type="pct"/>
            <w:vAlign w:val="center"/>
          </w:tcPr>
          <w:p>
            <w:pPr>
              <w:spacing w:line="240" w:lineRule="auto"/>
              <w:jc w:val="center"/>
              <w:rPr>
                <w:sz w:val="21"/>
                <w:szCs w:val="21"/>
              </w:rPr>
            </w:pPr>
            <w:r>
              <w:rPr>
                <w:sz w:val="21"/>
                <w:szCs w:val="21"/>
              </w:rPr>
              <w:t>2</w:t>
            </w:r>
          </w:p>
        </w:tc>
        <w:tc>
          <w:tcPr>
            <w:tcW w:w="517" w:type="pct"/>
            <w:vAlign w:val="center"/>
          </w:tcPr>
          <w:p>
            <w:pPr>
              <w:spacing w:line="240" w:lineRule="auto"/>
              <w:jc w:val="center"/>
              <w:rPr>
                <w:sz w:val="21"/>
                <w:szCs w:val="21"/>
              </w:rPr>
            </w:pPr>
            <w:r>
              <w:rPr>
                <w:sz w:val="21"/>
                <w:szCs w:val="21"/>
              </w:rPr>
              <w:t>李春华</w:t>
            </w:r>
          </w:p>
        </w:tc>
        <w:tc>
          <w:tcPr>
            <w:tcW w:w="369" w:type="pct"/>
            <w:vAlign w:val="center"/>
          </w:tcPr>
          <w:p>
            <w:pPr>
              <w:spacing w:line="240" w:lineRule="auto"/>
              <w:jc w:val="center"/>
              <w:rPr>
                <w:sz w:val="21"/>
                <w:szCs w:val="21"/>
              </w:rPr>
            </w:pPr>
            <w:r>
              <w:rPr>
                <w:sz w:val="21"/>
                <w:szCs w:val="21"/>
              </w:rPr>
              <w:t>女</w:t>
            </w:r>
          </w:p>
        </w:tc>
        <w:tc>
          <w:tcPr>
            <w:tcW w:w="418" w:type="pct"/>
            <w:vAlign w:val="center"/>
          </w:tcPr>
          <w:p>
            <w:pPr>
              <w:spacing w:line="240" w:lineRule="auto"/>
              <w:jc w:val="center"/>
              <w:rPr>
                <w:sz w:val="21"/>
                <w:szCs w:val="21"/>
              </w:rPr>
            </w:pPr>
            <w:r>
              <w:rPr>
                <w:sz w:val="21"/>
                <w:szCs w:val="21"/>
              </w:rPr>
              <w:t>59</w:t>
            </w:r>
          </w:p>
        </w:tc>
        <w:tc>
          <w:tcPr>
            <w:tcW w:w="585" w:type="pct"/>
            <w:vAlign w:val="center"/>
          </w:tcPr>
          <w:p>
            <w:pPr>
              <w:spacing w:line="240" w:lineRule="auto"/>
              <w:jc w:val="center"/>
              <w:rPr>
                <w:sz w:val="21"/>
                <w:szCs w:val="21"/>
              </w:rPr>
            </w:pPr>
            <w:r>
              <w:rPr>
                <w:sz w:val="21"/>
                <w:szCs w:val="21"/>
              </w:rPr>
              <w:t>教授</w:t>
            </w:r>
          </w:p>
        </w:tc>
        <w:tc>
          <w:tcPr>
            <w:tcW w:w="632" w:type="pct"/>
            <w:vAlign w:val="center"/>
          </w:tcPr>
          <w:p>
            <w:pPr>
              <w:spacing w:line="240" w:lineRule="auto"/>
              <w:jc w:val="center"/>
              <w:rPr>
                <w:sz w:val="21"/>
                <w:szCs w:val="21"/>
              </w:rPr>
            </w:pPr>
            <w:r>
              <w:rPr>
                <w:sz w:val="21"/>
                <w:szCs w:val="21"/>
              </w:rPr>
              <w:t>硕士</w:t>
            </w:r>
          </w:p>
        </w:tc>
        <w:tc>
          <w:tcPr>
            <w:tcW w:w="787" w:type="pct"/>
            <w:vAlign w:val="center"/>
          </w:tcPr>
          <w:p>
            <w:pPr>
              <w:spacing w:line="240" w:lineRule="auto"/>
              <w:jc w:val="center"/>
              <w:rPr>
                <w:sz w:val="21"/>
                <w:szCs w:val="21"/>
              </w:rPr>
            </w:pPr>
            <w:r>
              <w:rPr>
                <w:sz w:val="21"/>
                <w:szCs w:val="21"/>
              </w:rPr>
              <w:t>民商法</w:t>
            </w:r>
          </w:p>
        </w:tc>
        <w:tc>
          <w:tcPr>
            <w:tcW w:w="1279" w:type="pct"/>
            <w:vAlign w:val="center"/>
          </w:tcPr>
          <w:p>
            <w:pPr>
              <w:spacing w:line="240" w:lineRule="auto"/>
              <w:jc w:val="center"/>
              <w:rPr>
                <w:sz w:val="21"/>
                <w:szCs w:val="21"/>
              </w:rPr>
            </w:pPr>
            <w:r>
              <w:rPr>
                <w:sz w:val="21"/>
                <w:szCs w:val="21"/>
              </w:rPr>
              <w:t>知识产权法、婚姻继承法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0" w:type="pct"/>
            <w:vAlign w:val="center"/>
          </w:tcPr>
          <w:p>
            <w:pPr>
              <w:spacing w:line="240" w:lineRule="auto"/>
              <w:jc w:val="center"/>
              <w:rPr>
                <w:sz w:val="21"/>
                <w:szCs w:val="21"/>
              </w:rPr>
            </w:pPr>
            <w:r>
              <w:rPr>
                <w:sz w:val="21"/>
                <w:szCs w:val="21"/>
              </w:rPr>
              <w:t>3</w:t>
            </w:r>
          </w:p>
        </w:tc>
        <w:tc>
          <w:tcPr>
            <w:tcW w:w="517" w:type="pct"/>
            <w:vAlign w:val="center"/>
          </w:tcPr>
          <w:p>
            <w:pPr>
              <w:spacing w:line="240" w:lineRule="auto"/>
              <w:jc w:val="center"/>
              <w:rPr>
                <w:sz w:val="21"/>
                <w:szCs w:val="21"/>
              </w:rPr>
            </w:pPr>
            <w:r>
              <w:rPr>
                <w:sz w:val="21"/>
                <w:szCs w:val="21"/>
              </w:rPr>
              <w:t>汪</w:t>
            </w:r>
            <w:r>
              <w:rPr>
                <w:rFonts w:hint="eastAsia"/>
                <w:sz w:val="21"/>
                <w:szCs w:val="21"/>
              </w:rPr>
              <w:t xml:space="preserve">  </w:t>
            </w:r>
            <w:r>
              <w:rPr>
                <w:sz w:val="21"/>
                <w:szCs w:val="21"/>
              </w:rPr>
              <w:t>栋</w:t>
            </w:r>
          </w:p>
        </w:tc>
        <w:tc>
          <w:tcPr>
            <w:tcW w:w="369" w:type="pct"/>
            <w:vAlign w:val="center"/>
          </w:tcPr>
          <w:p>
            <w:pPr>
              <w:spacing w:line="240" w:lineRule="auto"/>
              <w:jc w:val="center"/>
              <w:rPr>
                <w:sz w:val="21"/>
                <w:szCs w:val="21"/>
              </w:rPr>
            </w:pPr>
            <w:r>
              <w:rPr>
                <w:sz w:val="21"/>
                <w:szCs w:val="21"/>
              </w:rPr>
              <w:t>男</w:t>
            </w:r>
          </w:p>
        </w:tc>
        <w:tc>
          <w:tcPr>
            <w:tcW w:w="418" w:type="pct"/>
            <w:vAlign w:val="center"/>
          </w:tcPr>
          <w:p>
            <w:pPr>
              <w:spacing w:line="240" w:lineRule="auto"/>
              <w:jc w:val="center"/>
              <w:rPr>
                <w:sz w:val="21"/>
                <w:szCs w:val="21"/>
              </w:rPr>
            </w:pPr>
            <w:r>
              <w:rPr>
                <w:sz w:val="21"/>
                <w:szCs w:val="21"/>
              </w:rPr>
              <w:t>52</w:t>
            </w:r>
          </w:p>
        </w:tc>
        <w:tc>
          <w:tcPr>
            <w:tcW w:w="585" w:type="pct"/>
            <w:vAlign w:val="center"/>
          </w:tcPr>
          <w:p>
            <w:pPr>
              <w:spacing w:line="240" w:lineRule="auto"/>
              <w:jc w:val="center"/>
              <w:rPr>
                <w:sz w:val="21"/>
                <w:szCs w:val="21"/>
              </w:rPr>
            </w:pPr>
            <w:r>
              <w:rPr>
                <w:sz w:val="21"/>
                <w:szCs w:val="21"/>
              </w:rPr>
              <w:t>教授</w:t>
            </w:r>
          </w:p>
        </w:tc>
        <w:tc>
          <w:tcPr>
            <w:tcW w:w="632" w:type="pct"/>
            <w:vAlign w:val="center"/>
          </w:tcPr>
          <w:p>
            <w:pPr>
              <w:spacing w:line="240" w:lineRule="auto"/>
              <w:jc w:val="center"/>
              <w:rPr>
                <w:sz w:val="21"/>
                <w:szCs w:val="21"/>
              </w:rPr>
            </w:pPr>
            <w:r>
              <w:rPr>
                <w:sz w:val="21"/>
                <w:szCs w:val="21"/>
              </w:rPr>
              <w:t>博士</w:t>
            </w:r>
          </w:p>
        </w:tc>
        <w:tc>
          <w:tcPr>
            <w:tcW w:w="787" w:type="pct"/>
            <w:vAlign w:val="center"/>
          </w:tcPr>
          <w:p>
            <w:pPr>
              <w:spacing w:line="240" w:lineRule="auto"/>
              <w:jc w:val="center"/>
              <w:rPr>
                <w:sz w:val="21"/>
                <w:szCs w:val="21"/>
              </w:rPr>
            </w:pPr>
            <w:r>
              <w:rPr>
                <w:sz w:val="21"/>
                <w:szCs w:val="21"/>
              </w:rPr>
              <w:t>宪法与行政法</w:t>
            </w:r>
          </w:p>
        </w:tc>
        <w:tc>
          <w:tcPr>
            <w:tcW w:w="1279" w:type="pct"/>
            <w:vAlign w:val="center"/>
          </w:tcPr>
          <w:p>
            <w:pPr>
              <w:spacing w:line="240" w:lineRule="auto"/>
              <w:jc w:val="center"/>
              <w:rPr>
                <w:sz w:val="21"/>
                <w:szCs w:val="21"/>
              </w:rPr>
            </w:pPr>
            <w:r>
              <w:rPr>
                <w:sz w:val="21"/>
                <w:szCs w:val="21"/>
              </w:rPr>
              <w:t>宪法、行政法与行政诉讼法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0" w:type="pct"/>
            <w:vAlign w:val="center"/>
          </w:tcPr>
          <w:p>
            <w:pPr>
              <w:spacing w:line="240" w:lineRule="auto"/>
              <w:jc w:val="center"/>
              <w:rPr>
                <w:sz w:val="21"/>
                <w:szCs w:val="21"/>
              </w:rPr>
            </w:pPr>
            <w:r>
              <w:rPr>
                <w:sz w:val="21"/>
                <w:szCs w:val="21"/>
              </w:rPr>
              <w:t>4</w:t>
            </w:r>
          </w:p>
        </w:tc>
        <w:tc>
          <w:tcPr>
            <w:tcW w:w="517" w:type="pct"/>
            <w:vAlign w:val="center"/>
          </w:tcPr>
          <w:p>
            <w:pPr>
              <w:spacing w:line="240" w:lineRule="auto"/>
              <w:jc w:val="center"/>
              <w:rPr>
                <w:sz w:val="21"/>
                <w:szCs w:val="21"/>
              </w:rPr>
            </w:pPr>
            <w:r>
              <w:rPr>
                <w:sz w:val="21"/>
                <w:szCs w:val="21"/>
              </w:rPr>
              <w:t>曹培忠</w:t>
            </w:r>
          </w:p>
        </w:tc>
        <w:tc>
          <w:tcPr>
            <w:tcW w:w="369" w:type="pct"/>
            <w:vAlign w:val="center"/>
          </w:tcPr>
          <w:p>
            <w:pPr>
              <w:spacing w:line="240" w:lineRule="auto"/>
              <w:jc w:val="center"/>
              <w:rPr>
                <w:sz w:val="21"/>
                <w:szCs w:val="21"/>
              </w:rPr>
            </w:pPr>
            <w:r>
              <w:rPr>
                <w:sz w:val="21"/>
                <w:szCs w:val="21"/>
              </w:rPr>
              <w:t>男</w:t>
            </w:r>
          </w:p>
        </w:tc>
        <w:tc>
          <w:tcPr>
            <w:tcW w:w="418" w:type="pct"/>
            <w:vAlign w:val="center"/>
          </w:tcPr>
          <w:p>
            <w:pPr>
              <w:spacing w:line="240" w:lineRule="auto"/>
              <w:jc w:val="center"/>
              <w:rPr>
                <w:sz w:val="21"/>
                <w:szCs w:val="21"/>
              </w:rPr>
            </w:pPr>
            <w:r>
              <w:rPr>
                <w:sz w:val="21"/>
                <w:szCs w:val="21"/>
              </w:rPr>
              <w:t>56</w:t>
            </w:r>
          </w:p>
        </w:tc>
        <w:tc>
          <w:tcPr>
            <w:tcW w:w="585" w:type="pct"/>
            <w:vAlign w:val="center"/>
          </w:tcPr>
          <w:p>
            <w:pPr>
              <w:spacing w:line="240" w:lineRule="auto"/>
              <w:jc w:val="center"/>
              <w:rPr>
                <w:sz w:val="21"/>
                <w:szCs w:val="21"/>
              </w:rPr>
            </w:pPr>
            <w:r>
              <w:rPr>
                <w:sz w:val="21"/>
                <w:szCs w:val="21"/>
              </w:rPr>
              <w:t>教授</w:t>
            </w:r>
          </w:p>
        </w:tc>
        <w:tc>
          <w:tcPr>
            <w:tcW w:w="632" w:type="pct"/>
            <w:vAlign w:val="center"/>
          </w:tcPr>
          <w:p>
            <w:pPr>
              <w:spacing w:line="240" w:lineRule="auto"/>
              <w:jc w:val="center"/>
              <w:rPr>
                <w:sz w:val="21"/>
                <w:szCs w:val="21"/>
              </w:rPr>
            </w:pPr>
            <w:r>
              <w:rPr>
                <w:sz w:val="21"/>
                <w:szCs w:val="21"/>
              </w:rPr>
              <w:t>硕士</w:t>
            </w:r>
          </w:p>
        </w:tc>
        <w:tc>
          <w:tcPr>
            <w:tcW w:w="787" w:type="pct"/>
            <w:vAlign w:val="center"/>
          </w:tcPr>
          <w:p>
            <w:pPr>
              <w:spacing w:line="240" w:lineRule="auto"/>
              <w:jc w:val="center"/>
              <w:rPr>
                <w:sz w:val="21"/>
                <w:szCs w:val="21"/>
              </w:rPr>
            </w:pPr>
            <w:r>
              <w:rPr>
                <w:sz w:val="21"/>
                <w:szCs w:val="21"/>
              </w:rPr>
              <w:t>国际经济法</w:t>
            </w:r>
          </w:p>
        </w:tc>
        <w:tc>
          <w:tcPr>
            <w:tcW w:w="1279" w:type="pct"/>
            <w:vAlign w:val="center"/>
          </w:tcPr>
          <w:p>
            <w:pPr>
              <w:spacing w:line="240" w:lineRule="auto"/>
              <w:jc w:val="center"/>
              <w:rPr>
                <w:sz w:val="21"/>
                <w:szCs w:val="21"/>
              </w:rPr>
            </w:pPr>
            <w:r>
              <w:rPr>
                <w:sz w:val="21"/>
                <w:szCs w:val="21"/>
              </w:rPr>
              <w:t>国际经济法、国际投资法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0" w:type="pct"/>
            <w:vAlign w:val="center"/>
          </w:tcPr>
          <w:p>
            <w:pPr>
              <w:spacing w:line="240" w:lineRule="auto"/>
              <w:jc w:val="center"/>
              <w:rPr>
                <w:sz w:val="21"/>
                <w:szCs w:val="21"/>
              </w:rPr>
            </w:pPr>
            <w:r>
              <w:rPr>
                <w:sz w:val="21"/>
                <w:szCs w:val="21"/>
              </w:rPr>
              <w:t>5</w:t>
            </w:r>
          </w:p>
        </w:tc>
        <w:tc>
          <w:tcPr>
            <w:tcW w:w="517" w:type="pct"/>
            <w:vAlign w:val="center"/>
          </w:tcPr>
          <w:p>
            <w:pPr>
              <w:spacing w:line="240" w:lineRule="auto"/>
              <w:jc w:val="center"/>
              <w:rPr>
                <w:sz w:val="21"/>
                <w:szCs w:val="21"/>
              </w:rPr>
            </w:pPr>
            <w:r>
              <w:rPr>
                <w:sz w:val="21"/>
                <w:szCs w:val="21"/>
              </w:rPr>
              <w:t>周艳波</w:t>
            </w:r>
          </w:p>
        </w:tc>
        <w:tc>
          <w:tcPr>
            <w:tcW w:w="369" w:type="pct"/>
            <w:vAlign w:val="center"/>
          </w:tcPr>
          <w:p>
            <w:pPr>
              <w:spacing w:line="240" w:lineRule="auto"/>
              <w:jc w:val="center"/>
              <w:rPr>
                <w:sz w:val="21"/>
                <w:szCs w:val="21"/>
              </w:rPr>
            </w:pPr>
            <w:r>
              <w:rPr>
                <w:sz w:val="21"/>
                <w:szCs w:val="21"/>
              </w:rPr>
              <w:t>女</w:t>
            </w:r>
          </w:p>
        </w:tc>
        <w:tc>
          <w:tcPr>
            <w:tcW w:w="418" w:type="pct"/>
            <w:vAlign w:val="center"/>
          </w:tcPr>
          <w:p>
            <w:pPr>
              <w:spacing w:line="240" w:lineRule="auto"/>
              <w:jc w:val="center"/>
              <w:rPr>
                <w:sz w:val="21"/>
                <w:szCs w:val="21"/>
              </w:rPr>
            </w:pPr>
            <w:r>
              <w:rPr>
                <w:sz w:val="21"/>
                <w:szCs w:val="21"/>
              </w:rPr>
              <w:t>53</w:t>
            </w:r>
          </w:p>
        </w:tc>
        <w:tc>
          <w:tcPr>
            <w:tcW w:w="585" w:type="pct"/>
            <w:vAlign w:val="center"/>
          </w:tcPr>
          <w:p>
            <w:pPr>
              <w:spacing w:line="240" w:lineRule="auto"/>
              <w:jc w:val="center"/>
              <w:rPr>
                <w:sz w:val="21"/>
                <w:szCs w:val="21"/>
              </w:rPr>
            </w:pPr>
            <w:r>
              <w:rPr>
                <w:sz w:val="21"/>
                <w:szCs w:val="21"/>
              </w:rPr>
              <w:t>副教授</w:t>
            </w:r>
          </w:p>
        </w:tc>
        <w:tc>
          <w:tcPr>
            <w:tcW w:w="632" w:type="pct"/>
            <w:vAlign w:val="center"/>
          </w:tcPr>
          <w:p>
            <w:pPr>
              <w:spacing w:line="240" w:lineRule="auto"/>
              <w:jc w:val="center"/>
              <w:rPr>
                <w:sz w:val="21"/>
                <w:szCs w:val="21"/>
              </w:rPr>
            </w:pPr>
            <w:r>
              <w:rPr>
                <w:sz w:val="21"/>
                <w:szCs w:val="21"/>
              </w:rPr>
              <w:t>博士</w:t>
            </w:r>
          </w:p>
        </w:tc>
        <w:tc>
          <w:tcPr>
            <w:tcW w:w="787" w:type="pct"/>
            <w:vAlign w:val="center"/>
          </w:tcPr>
          <w:p>
            <w:pPr>
              <w:spacing w:line="240" w:lineRule="auto"/>
              <w:jc w:val="center"/>
              <w:rPr>
                <w:sz w:val="21"/>
                <w:szCs w:val="21"/>
              </w:rPr>
            </w:pPr>
            <w:r>
              <w:rPr>
                <w:sz w:val="21"/>
                <w:szCs w:val="21"/>
              </w:rPr>
              <w:t>诉讼法学</w:t>
            </w:r>
          </w:p>
        </w:tc>
        <w:tc>
          <w:tcPr>
            <w:tcW w:w="1279" w:type="pct"/>
            <w:vAlign w:val="center"/>
          </w:tcPr>
          <w:p>
            <w:pPr>
              <w:spacing w:line="240" w:lineRule="auto"/>
              <w:jc w:val="center"/>
              <w:rPr>
                <w:sz w:val="21"/>
                <w:szCs w:val="21"/>
              </w:rPr>
            </w:pPr>
            <w:r>
              <w:rPr>
                <w:sz w:val="21"/>
                <w:szCs w:val="21"/>
              </w:rPr>
              <w:t>民事诉讼法、国际法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0" w:type="pct"/>
            <w:vAlign w:val="center"/>
          </w:tcPr>
          <w:p>
            <w:pPr>
              <w:spacing w:line="240" w:lineRule="auto"/>
              <w:jc w:val="center"/>
              <w:rPr>
                <w:sz w:val="21"/>
                <w:szCs w:val="21"/>
              </w:rPr>
            </w:pPr>
            <w:r>
              <w:rPr>
                <w:sz w:val="21"/>
                <w:szCs w:val="21"/>
              </w:rPr>
              <w:t>6</w:t>
            </w:r>
          </w:p>
        </w:tc>
        <w:tc>
          <w:tcPr>
            <w:tcW w:w="517" w:type="pct"/>
            <w:vAlign w:val="center"/>
          </w:tcPr>
          <w:p>
            <w:pPr>
              <w:spacing w:line="240" w:lineRule="auto"/>
              <w:jc w:val="center"/>
              <w:rPr>
                <w:sz w:val="21"/>
                <w:szCs w:val="21"/>
              </w:rPr>
            </w:pPr>
            <w:r>
              <w:rPr>
                <w:sz w:val="21"/>
                <w:szCs w:val="21"/>
              </w:rPr>
              <w:t>付中强</w:t>
            </w:r>
          </w:p>
        </w:tc>
        <w:tc>
          <w:tcPr>
            <w:tcW w:w="369" w:type="pct"/>
            <w:vAlign w:val="center"/>
          </w:tcPr>
          <w:p>
            <w:pPr>
              <w:spacing w:line="240" w:lineRule="auto"/>
              <w:jc w:val="center"/>
              <w:rPr>
                <w:sz w:val="21"/>
                <w:szCs w:val="21"/>
              </w:rPr>
            </w:pPr>
            <w:r>
              <w:rPr>
                <w:sz w:val="21"/>
                <w:szCs w:val="21"/>
              </w:rPr>
              <w:t>男</w:t>
            </w:r>
          </w:p>
        </w:tc>
        <w:tc>
          <w:tcPr>
            <w:tcW w:w="418" w:type="pct"/>
            <w:vAlign w:val="center"/>
          </w:tcPr>
          <w:p>
            <w:pPr>
              <w:spacing w:line="240" w:lineRule="auto"/>
              <w:jc w:val="center"/>
              <w:rPr>
                <w:sz w:val="21"/>
                <w:szCs w:val="21"/>
              </w:rPr>
            </w:pPr>
            <w:r>
              <w:rPr>
                <w:sz w:val="21"/>
                <w:szCs w:val="21"/>
              </w:rPr>
              <w:t>49</w:t>
            </w:r>
          </w:p>
        </w:tc>
        <w:tc>
          <w:tcPr>
            <w:tcW w:w="585" w:type="pct"/>
            <w:vAlign w:val="center"/>
          </w:tcPr>
          <w:p>
            <w:pPr>
              <w:spacing w:line="240" w:lineRule="auto"/>
              <w:jc w:val="center"/>
              <w:rPr>
                <w:sz w:val="21"/>
                <w:szCs w:val="21"/>
              </w:rPr>
            </w:pPr>
            <w:r>
              <w:rPr>
                <w:sz w:val="21"/>
                <w:szCs w:val="21"/>
              </w:rPr>
              <w:t>副教授</w:t>
            </w:r>
          </w:p>
        </w:tc>
        <w:tc>
          <w:tcPr>
            <w:tcW w:w="632" w:type="pct"/>
            <w:vAlign w:val="center"/>
          </w:tcPr>
          <w:p>
            <w:pPr>
              <w:spacing w:line="240" w:lineRule="auto"/>
              <w:jc w:val="center"/>
              <w:rPr>
                <w:sz w:val="21"/>
                <w:szCs w:val="21"/>
              </w:rPr>
            </w:pPr>
            <w:r>
              <w:rPr>
                <w:sz w:val="21"/>
                <w:szCs w:val="21"/>
              </w:rPr>
              <w:t>在读博士</w:t>
            </w:r>
          </w:p>
        </w:tc>
        <w:tc>
          <w:tcPr>
            <w:tcW w:w="787" w:type="pct"/>
            <w:vAlign w:val="center"/>
          </w:tcPr>
          <w:p>
            <w:pPr>
              <w:spacing w:line="240" w:lineRule="auto"/>
              <w:jc w:val="center"/>
              <w:rPr>
                <w:sz w:val="21"/>
                <w:szCs w:val="21"/>
              </w:rPr>
            </w:pPr>
            <w:r>
              <w:rPr>
                <w:sz w:val="21"/>
                <w:szCs w:val="21"/>
              </w:rPr>
              <w:t>民商法</w:t>
            </w:r>
          </w:p>
        </w:tc>
        <w:tc>
          <w:tcPr>
            <w:tcW w:w="1279" w:type="pct"/>
            <w:vAlign w:val="center"/>
          </w:tcPr>
          <w:p>
            <w:pPr>
              <w:spacing w:line="240" w:lineRule="auto"/>
              <w:jc w:val="center"/>
              <w:rPr>
                <w:sz w:val="21"/>
                <w:szCs w:val="21"/>
              </w:rPr>
            </w:pPr>
            <w:r>
              <w:rPr>
                <w:sz w:val="21"/>
                <w:szCs w:val="21"/>
              </w:rPr>
              <w:t>法理学、经济法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0" w:type="pct"/>
            <w:vAlign w:val="center"/>
          </w:tcPr>
          <w:p>
            <w:pPr>
              <w:spacing w:line="240" w:lineRule="auto"/>
              <w:jc w:val="center"/>
              <w:rPr>
                <w:sz w:val="21"/>
                <w:szCs w:val="21"/>
              </w:rPr>
            </w:pPr>
            <w:r>
              <w:rPr>
                <w:sz w:val="21"/>
                <w:szCs w:val="21"/>
              </w:rPr>
              <w:t>7</w:t>
            </w:r>
          </w:p>
        </w:tc>
        <w:tc>
          <w:tcPr>
            <w:tcW w:w="517" w:type="pct"/>
            <w:vAlign w:val="center"/>
          </w:tcPr>
          <w:p>
            <w:pPr>
              <w:spacing w:line="240" w:lineRule="auto"/>
              <w:jc w:val="center"/>
              <w:rPr>
                <w:sz w:val="21"/>
                <w:szCs w:val="21"/>
              </w:rPr>
            </w:pPr>
            <w:r>
              <w:rPr>
                <w:sz w:val="21"/>
                <w:szCs w:val="21"/>
              </w:rPr>
              <w:t>武玮厚</w:t>
            </w:r>
          </w:p>
        </w:tc>
        <w:tc>
          <w:tcPr>
            <w:tcW w:w="369" w:type="pct"/>
            <w:vAlign w:val="center"/>
          </w:tcPr>
          <w:p>
            <w:pPr>
              <w:spacing w:line="240" w:lineRule="auto"/>
              <w:jc w:val="center"/>
              <w:rPr>
                <w:sz w:val="21"/>
                <w:szCs w:val="21"/>
              </w:rPr>
            </w:pPr>
            <w:r>
              <w:rPr>
                <w:sz w:val="21"/>
                <w:szCs w:val="21"/>
              </w:rPr>
              <w:t>男</w:t>
            </w:r>
          </w:p>
        </w:tc>
        <w:tc>
          <w:tcPr>
            <w:tcW w:w="418" w:type="pct"/>
            <w:vAlign w:val="center"/>
          </w:tcPr>
          <w:p>
            <w:pPr>
              <w:spacing w:line="240" w:lineRule="auto"/>
              <w:jc w:val="center"/>
              <w:rPr>
                <w:sz w:val="21"/>
                <w:szCs w:val="21"/>
              </w:rPr>
            </w:pPr>
            <w:r>
              <w:rPr>
                <w:sz w:val="21"/>
                <w:szCs w:val="21"/>
              </w:rPr>
              <w:t>50</w:t>
            </w:r>
          </w:p>
        </w:tc>
        <w:tc>
          <w:tcPr>
            <w:tcW w:w="585" w:type="pct"/>
            <w:vAlign w:val="center"/>
          </w:tcPr>
          <w:p>
            <w:pPr>
              <w:spacing w:line="240" w:lineRule="auto"/>
              <w:jc w:val="center"/>
              <w:rPr>
                <w:sz w:val="21"/>
                <w:szCs w:val="21"/>
              </w:rPr>
            </w:pPr>
            <w:r>
              <w:rPr>
                <w:sz w:val="21"/>
                <w:szCs w:val="21"/>
              </w:rPr>
              <w:t>副教授</w:t>
            </w:r>
          </w:p>
        </w:tc>
        <w:tc>
          <w:tcPr>
            <w:tcW w:w="632" w:type="pct"/>
            <w:vAlign w:val="center"/>
          </w:tcPr>
          <w:p>
            <w:pPr>
              <w:spacing w:line="240" w:lineRule="auto"/>
              <w:jc w:val="center"/>
              <w:rPr>
                <w:sz w:val="21"/>
                <w:szCs w:val="21"/>
              </w:rPr>
            </w:pPr>
            <w:r>
              <w:rPr>
                <w:sz w:val="21"/>
                <w:szCs w:val="21"/>
              </w:rPr>
              <w:t>在读博士</w:t>
            </w:r>
          </w:p>
        </w:tc>
        <w:tc>
          <w:tcPr>
            <w:tcW w:w="787" w:type="pct"/>
            <w:vAlign w:val="center"/>
          </w:tcPr>
          <w:p>
            <w:pPr>
              <w:spacing w:line="240" w:lineRule="auto"/>
              <w:jc w:val="center"/>
              <w:rPr>
                <w:sz w:val="21"/>
                <w:szCs w:val="21"/>
              </w:rPr>
            </w:pPr>
            <w:r>
              <w:rPr>
                <w:sz w:val="21"/>
                <w:szCs w:val="21"/>
              </w:rPr>
              <w:t>刑事诉讼法</w:t>
            </w:r>
          </w:p>
        </w:tc>
        <w:tc>
          <w:tcPr>
            <w:tcW w:w="1279" w:type="pct"/>
            <w:vAlign w:val="center"/>
          </w:tcPr>
          <w:p>
            <w:pPr>
              <w:spacing w:line="240" w:lineRule="auto"/>
              <w:jc w:val="center"/>
              <w:rPr>
                <w:sz w:val="21"/>
                <w:szCs w:val="21"/>
              </w:rPr>
            </w:pPr>
            <w:r>
              <w:rPr>
                <w:sz w:val="21"/>
                <w:szCs w:val="21"/>
              </w:rPr>
              <w:t>刑事诉讼法、证据学、法经济学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0" w:type="pct"/>
            <w:vAlign w:val="center"/>
          </w:tcPr>
          <w:p>
            <w:pPr>
              <w:spacing w:line="240" w:lineRule="auto"/>
              <w:jc w:val="center"/>
              <w:rPr>
                <w:sz w:val="21"/>
                <w:szCs w:val="21"/>
              </w:rPr>
            </w:pPr>
            <w:r>
              <w:rPr>
                <w:sz w:val="21"/>
                <w:szCs w:val="21"/>
              </w:rPr>
              <w:t>8</w:t>
            </w:r>
          </w:p>
        </w:tc>
        <w:tc>
          <w:tcPr>
            <w:tcW w:w="517" w:type="pct"/>
            <w:vAlign w:val="center"/>
          </w:tcPr>
          <w:p>
            <w:pPr>
              <w:spacing w:line="240" w:lineRule="auto"/>
              <w:jc w:val="center"/>
              <w:rPr>
                <w:sz w:val="21"/>
                <w:szCs w:val="21"/>
              </w:rPr>
            </w:pPr>
            <w:r>
              <w:rPr>
                <w:sz w:val="21"/>
                <w:szCs w:val="21"/>
              </w:rPr>
              <w:t>王</w:t>
            </w:r>
            <w:r>
              <w:rPr>
                <w:rFonts w:hint="eastAsia"/>
                <w:sz w:val="21"/>
                <w:szCs w:val="21"/>
              </w:rPr>
              <w:t xml:space="preserve">  </w:t>
            </w:r>
            <w:r>
              <w:rPr>
                <w:sz w:val="21"/>
                <w:szCs w:val="21"/>
              </w:rPr>
              <w:t>敏</w:t>
            </w:r>
          </w:p>
        </w:tc>
        <w:tc>
          <w:tcPr>
            <w:tcW w:w="369" w:type="pct"/>
            <w:vAlign w:val="center"/>
          </w:tcPr>
          <w:p>
            <w:pPr>
              <w:spacing w:line="240" w:lineRule="auto"/>
              <w:jc w:val="center"/>
              <w:rPr>
                <w:sz w:val="21"/>
                <w:szCs w:val="21"/>
              </w:rPr>
            </w:pPr>
            <w:r>
              <w:rPr>
                <w:sz w:val="21"/>
                <w:szCs w:val="21"/>
              </w:rPr>
              <w:t>女</w:t>
            </w:r>
          </w:p>
        </w:tc>
        <w:tc>
          <w:tcPr>
            <w:tcW w:w="418" w:type="pct"/>
            <w:vAlign w:val="center"/>
          </w:tcPr>
          <w:p>
            <w:pPr>
              <w:spacing w:line="240" w:lineRule="auto"/>
              <w:jc w:val="center"/>
              <w:rPr>
                <w:sz w:val="21"/>
                <w:szCs w:val="21"/>
              </w:rPr>
            </w:pPr>
            <w:r>
              <w:rPr>
                <w:sz w:val="21"/>
                <w:szCs w:val="21"/>
              </w:rPr>
              <w:t>46</w:t>
            </w:r>
          </w:p>
        </w:tc>
        <w:tc>
          <w:tcPr>
            <w:tcW w:w="585" w:type="pct"/>
            <w:vAlign w:val="center"/>
          </w:tcPr>
          <w:p>
            <w:pPr>
              <w:spacing w:line="240" w:lineRule="auto"/>
              <w:jc w:val="center"/>
              <w:rPr>
                <w:sz w:val="21"/>
                <w:szCs w:val="21"/>
              </w:rPr>
            </w:pPr>
            <w:r>
              <w:rPr>
                <w:sz w:val="21"/>
                <w:szCs w:val="21"/>
              </w:rPr>
              <w:t>副教授</w:t>
            </w:r>
          </w:p>
        </w:tc>
        <w:tc>
          <w:tcPr>
            <w:tcW w:w="632" w:type="pct"/>
            <w:vAlign w:val="center"/>
          </w:tcPr>
          <w:p>
            <w:pPr>
              <w:spacing w:line="240" w:lineRule="auto"/>
              <w:jc w:val="center"/>
              <w:rPr>
                <w:sz w:val="21"/>
                <w:szCs w:val="21"/>
              </w:rPr>
            </w:pPr>
            <w:r>
              <w:rPr>
                <w:sz w:val="21"/>
                <w:szCs w:val="21"/>
              </w:rPr>
              <w:t>硕士</w:t>
            </w:r>
          </w:p>
        </w:tc>
        <w:tc>
          <w:tcPr>
            <w:tcW w:w="787" w:type="pct"/>
            <w:vAlign w:val="center"/>
          </w:tcPr>
          <w:p>
            <w:pPr>
              <w:spacing w:line="240" w:lineRule="auto"/>
              <w:jc w:val="center"/>
              <w:rPr>
                <w:sz w:val="21"/>
                <w:szCs w:val="21"/>
              </w:rPr>
            </w:pPr>
            <w:r>
              <w:rPr>
                <w:sz w:val="21"/>
                <w:szCs w:val="21"/>
              </w:rPr>
              <w:t>民商法</w:t>
            </w:r>
          </w:p>
        </w:tc>
        <w:tc>
          <w:tcPr>
            <w:tcW w:w="1279" w:type="pct"/>
            <w:vAlign w:val="center"/>
          </w:tcPr>
          <w:p>
            <w:pPr>
              <w:spacing w:line="240" w:lineRule="auto"/>
              <w:jc w:val="center"/>
              <w:rPr>
                <w:sz w:val="21"/>
                <w:szCs w:val="21"/>
              </w:rPr>
            </w:pPr>
            <w:r>
              <w:rPr>
                <w:sz w:val="21"/>
                <w:szCs w:val="21"/>
              </w:rPr>
              <w:t>民法、劳动与社会保障法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0" w:type="pct"/>
            <w:vAlign w:val="center"/>
          </w:tcPr>
          <w:p>
            <w:pPr>
              <w:spacing w:line="240" w:lineRule="auto"/>
              <w:jc w:val="center"/>
              <w:rPr>
                <w:sz w:val="21"/>
                <w:szCs w:val="21"/>
              </w:rPr>
            </w:pPr>
            <w:r>
              <w:rPr>
                <w:sz w:val="21"/>
                <w:szCs w:val="21"/>
              </w:rPr>
              <w:t>9</w:t>
            </w:r>
          </w:p>
        </w:tc>
        <w:tc>
          <w:tcPr>
            <w:tcW w:w="517" w:type="pct"/>
            <w:vAlign w:val="center"/>
          </w:tcPr>
          <w:p>
            <w:pPr>
              <w:spacing w:line="240" w:lineRule="auto"/>
              <w:jc w:val="center"/>
              <w:rPr>
                <w:sz w:val="21"/>
                <w:szCs w:val="21"/>
              </w:rPr>
            </w:pPr>
            <w:r>
              <w:rPr>
                <w:sz w:val="21"/>
                <w:szCs w:val="21"/>
              </w:rPr>
              <w:t>张丽珍</w:t>
            </w:r>
          </w:p>
        </w:tc>
        <w:tc>
          <w:tcPr>
            <w:tcW w:w="369" w:type="pct"/>
            <w:vAlign w:val="center"/>
          </w:tcPr>
          <w:p>
            <w:pPr>
              <w:spacing w:line="240" w:lineRule="auto"/>
              <w:jc w:val="center"/>
              <w:rPr>
                <w:sz w:val="21"/>
                <w:szCs w:val="21"/>
              </w:rPr>
            </w:pPr>
            <w:r>
              <w:rPr>
                <w:sz w:val="21"/>
                <w:szCs w:val="21"/>
              </w:rPr>
              <w:t>女</w:t>
            </w:r>
          </w:p>
        </w:tc>
        <w:tc>
          <w:tcPr>
            <w:tcW w:w="418" w:type="pct"/>
            <w:vAlign w:val="center"/>
          </w:tcPr>
          <w:p>
            <w:pPr>
              <w:spacing w:line="240" w:lineRule="auto"/>
              <w:jc w:val="center"/>
              <w:rPr>
                <w:sz w:val="21"/>
                <w:szCs w:val="21"/>
              </w:rPr>
            </w:pPr>
            <w:r>
              <w:rPr>
                <w:sz w:val="21"/>
                <w:szCs w:val="21"/>
              </w:rPr>
              <w:t>44</w:t>
            </w:r>
          </w:p>
        </w:tc>
        <w:tc>
          <w:tcPr>
            <w:tcW w:w="585" w:type="pct"/>
            <w:vAlign w:val="center"/>
          </w:tcPr>
          <w:p>
            <w:pPr>
              <w:spacing w:line="240" w:lineRule="auto"/>
              <w:jc w:val="center"/>
              <w:rPr>
                <w:sz w:val="21"/>
                <w:szCs w:val="21"/>
              </w:rPr>
            </w:pPr>
            <w:r>
              <w:rPr>
                <w:sz w:val="21"/>
                <w:szCs w:val="21"/>
              </w:rPr>
              <w:t>副教授</w:t>
            </w:r>
          </w:p>
        </w:tc>
        <w:tc>
          <w:tcPr>
            <w:tcW w:w="632" w:type="pct"/>
            <w:vAlign w:val="center"/>
          </w:tcPr>
          <w:p>
            <w:pPr>
              <w:spacing w:line="240" w:lineRule="auto"/>
              <w:jc w:val="center"/>
              <w:rPr>
                <w:sz w:val="21"/>
                <w:szCs w:val="21"/>
              </w:rPr>
            </w:pPr>
            <w:r>
              <w:rPr>
                <w:sz w:val="21"/>
                <w:szCs w:val="21"/>
              </w:rPr>
              <w:t>博士</w:t>
            </w:r>
          </w:p>
        </w:tc>
        <w:tc>
          <w:tcPr>
            <w:tcW w:w="787" w:type="pct"/>
            <w:vAlign w:val="center"/>
          </w:tcPr>
          <w:p>
            <w:pPr>
              <w:spacing w:line="240" w:lineRule="auto"/>
              <w:jc w:val="center"/>
              <w:rPr>
                <w:sz w:val="21"/>
                <w:szCs w:val="21"/>
              </w:rPr>
            </w:pPr>
            <w:r>
              <w:rPr>
                <w:sz w:val="21"/>
                <w:szCs w:val="21"/>
              </w:rPr>
              <w:t>国际私法</w:t>
            </w:r>
          </w:p>
        </w:tc>
        <w:tc>
          <w:tcPr>
            <w:tcW w:w="1279" w:type="pct"/>
            <w:vAlign w:val="center"/>
          </w:tcPr>
          <w:p>
            <w:pPr>
              <w:spacing w:line="240" w:lineRule="auto"/>
              <w:jc w:val="center"/>
              <w:rPr>
                <w:sz w:val="21"/>
                <w:szCs w:val="21"/>
              </w:rPr>
            </w:pPr>
            <w:r>
              <w:rPr>
                <w:sz w:val="21"/>
                <w:szCs w:val="21"/>
              </w:rPr>
              <w:t>国际私法、法律英语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0" w:type="pct"/>
            <w:vAlign w:val="center"/>
          </w:tcPr>
          <w:p>
            <w:pPr>
              <w:spacing w:line="240" w:lineRule="auto"/>
              <w:jc w:val="center"/>
              <w:rPr>
                <w:sz w:val="21"/>
                <w:szCs w:val="21"/>
              </w:rPr>
            </w:pPr>
            <w:r>
              <w:rPr>
                <w:sz w:val="21"/>
                <w:szCs w:val="21"/>
              </w:rPr>
              <w:t>10</w:t>
            </w:r>
          </w:p>
        </w:tc>
        <w:tc>
          <w:tcPr>
            <w:tcW w:w="517" w:type="pct"/>
            <w:vAlign w:val="center"/>
          </w:tcPr>
          <w:p>
            <w:pPr>
              <w:spacing w:line="240" w:lineRule="auto"/>
              <w:jc w:val="center"/>
              <w:rPr>
                <w:sz w:val="21"/>
                <w:szCs w:val="21"/>
              </w:rPr>
            </w:pPr>
            <w:r>
              <w:rPr>
                <w:sz w:val="21"/>
                <w:szCs w:val="21"/>
              </w:rPr>
              <w:t>王</w:t>
            </w:r>
            <w:r>
              <w:rPr>
                <w:rFonts w:hint="eastAsia"/>
                <w:sz w:val="21"/>
                <w:szCs w:val="21"/>
              </w:rPr>
              <w:t xml:space="preserve">  </w:t>
            </w:r>
            <w:r>
              <w:rPr>
                <w:sz w:val="21"/>
                <w:szCs w:val="21"/>
              </w:rPr>
              <w:t>伟</w:t>
            </w:r>
          </w:p>
        </w:tc>
        <w:tc>
          <w:tcPr>
            <w:tcW w:w="369" w:type="pct"/>
            <w:vAlign w:val="center"/>
          </w:tcPr>
          <w:p>
            <w:pPr>
              <w:spacing w:line="240" w:lineRule="auto"/>
              <w:jc w:val="center"/>
              <w:rPr>
                <w:sz w:val="21"/>
                <w:szCs w:val="21"/>
              </w:rPr>
            </w:pPr>
            <w:r>
              <w:rPr>
                <w:sz w:val="21"/>
                <w:szCs w:val="21"/>
              </w:rPr>
              <w:t>女</w:t>
            </w:r>
          </w:p>
        </w:tc>
        <w:tc>
          <w:tcPr>
            <w:tcW w:w="418" w:type="pct"/>
            <w:vAlign w:val="center"/>
          </w:tcPr>
          <w:p>
            <w:pPr>
              <w:spacing w:line="240" w:lineRule="auto"/>
              <w:jc w:val="center"/>
              <w:rPr>
                <w:sz w:val="21"/>
                <w:szCs w:val="21"/>
              </w:rPr>
            </w:pPr>
            <w:r>
              <w:rPr>
                <w:sz w:val="21"/>
                <w:szCs w:val="21"/>
              </w:rPr>
              <w:t>40</w:t>
            </w:r>
          </w:p>
        </w:tc>
        <w:tc>
          <w:tcPr>
            <w:tcW w:w="585" w:type="pct"/>
            <w:vAlign w:val="center"/>
          </w:tcPr>
          <w:p>
            <w:pPr>
              <w:spacing w:line="240" w:lineRule="auto"/>
              <w:jc w:val="center"/>
              <w:rPr>
                <w:sz w:val="21"/>
                <w:szCs w:val="21"/>
              </w:rPr>
            </w:pPr>
            <w:r>
              <w:rPr>
                <w:sz w:val="21"/>
                <w:szCs w:val="21"/>
              </w:rPr>
              <w:t>副教授</w:t>
            </w:r>
          </w:p>
        </w:tc>
        <w:tc>
          <w:tcPr>
            <w:tcW w:w="632" w:type="pct"/>
            <w:vAlign w:val="center"/>
          </w:tcPr>
          <w:p>
            <w:pPr>
              <w:spacing w:line="240" w:lineRule="auto"/>
              <w:jc w:val="center"/>
              <w:rPr>
                <w:sz w:val="21"/>
                <w:szCs w:val="21"/>
              </w:rPr>
            </w:pPr>
            <w:r>
              <w:rPr>
                <w:sz w:val="21"/>
                <w:szCs w:val="21"/>
              </w:rPr>
              <w:t>硕士</w:t>
            </w:r>
          </w:p>
        </w:tc>
        <w:tc>
          <w:tcPr>
            <w:tcW w:w="787" w:type="pct"/>
            <w:vAlign w:val="center"/>
          </w:tcPr>
          <w:p>
            <w:pPr>
              <w:spacing w:line="240" w:lineRule="auto"/>
              <w:jc w:val="center"/>
              <w:rPr>
                <w:sz w:val="21"/>
                <w:szCs w:val="21"/>
              </w:rPr>
            </w:pPr>
            <w:r>
              <w:rPr>
                <w:sz w:val="21"/>
                <w:szCs w:val="21"/>
              </w:rPr>
              <w:t>刑法</w:t>
            </w:r>
          </w:p>
        </w:tc>
        <w:tc>
          <w:tcPr>
            <w:tcW w:w="1279" w:type="pct"/>
            <w:vAlign w:val="center"/>
          </w:tcPr>
          <w:p>
            <w:pPr>
              <w:spacing w:line="240" w:lineRule="auto"/>
              <w:jc w:val="center"/>
              <w:rPr>
                <w:sz w:val="21"/>
                <w:szCs w:val="21"/>
              </w:rPr>
            </w:pPr>
            <w:r>
              <w:rPr>
                <w:sz w:val="21"/>
                <w:szCs w:val="21"/>
              </w:rPr>
              <w:t>刑法、犯罪学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0" w:type="pct"/>
            <w:vAlign w:val="center"/>
          </w:tcPr>
          <w:p>
            <w:pPr>
              <w:spacing w:line="240" w:lineRule="auto"/>
              <w:jc w:val="center"/>
              <w:rPr>
                <w:sz w:val="21"/>
                <w:szCs w:val="21"/>
              </w:rPr>
            </w:pPr>
            <w:r>
              <w:rPr>
                <w:sz w:val="21"/>
                <w:szCs w:val="21"/>
              </w:rPr>
              <w:t>11</w:t>
            </w:r>
          </w:p>
        </w:tc>
        <w:tc>
          <w:tcPr>
            <w:tcW w:w="517" w:type="pct"/>
            <w:vAlign w:val="center"/>
          </w:tcPr>
          <w:p>
            <w:pPr>
              <w:spacing w:line="240" w:lineRule="auto"/>
              <w:jc w:val="center"/>
              <w:rPr>
                <w:sz w:val="21"/>
                <w:szCs w:val="21"/>
              </w:rPr>
            </w:pPr>
            <w:r>
              <w:rPr>
                <w:sz w:val="21"/>
                <w:szCs w:val="21"/>
              </w:rPr>
              <w:t>相焕伟</w:t>
            </w:r>
          </w:p>
        </w:tc>
        <w:tc>
          <w:tcPr>
            <w:tcW w:w="369" w:type="pct"/>
            <w:vAlign w:val="center"/>
          </w:tcPr>
          <w:p>
            <w:pPr>
              <w:spacing w:line="240" w:lineRule="auto"/>
              <w:jc w:val="center"/>
              <w:rPr>
                <w:sz w:val="21"/>
                <w:szCs w:val="21"/>
              </w:rPr>
            </w:pPr>
            <w:r>
              <w:rPr>
                <w:sz w:val="21"/>
                <w:szCs w:val="21"/>
              </w:rPr>
              <w:t>男</w:t>
            </w:r>
          </w:p>
        </w:tc>
        <w:tc>
          <w:tcPr>
            <w:tcW w:w="418" w:type="pct"/>
            <w:vAlign w:val="center"/>
          </w:tcPr>
          <w:p>
            <w:pPr>
              <w:spacing w:line="240" w:lineRule="auto"/>
              <w:jc w:val="center"/>
              <w:rPr>
                <w:sz w:val="21"/>
                <w:szCs w:val="21"/>
              </w:rPr>
            </w:pPr>
            <w:r>
              <w:rPr>
                <w:sz w:val="21"/>
                <w:szCs w:val="21"/>
              </w:rPr>
              <w:t>38</w:t>
            </w:r>
          </w:p>
        </w:tc>
        <w:tc>
          <w:tcPr>
            <w:tcW w:w="585" w:type="pct"/>
            <w:vAlign w:val="center"/>
          </w:tcPr>
          <w:p>
            <w:pPr>
              <w:spacing w:line="240" w:lineRule="auto"/>
              <w:jc w:val="center"/>
              <w:rPr>
                <w:sz w:val="21"/>
                <w:szCs w:val="21"/>
              </w:rPr>
            </w:pPr>
            <w:r>
              <w:rPr>
                <w:sz w:val="21"/>
                <w:szCs w:val="21"/>
              </w:rPr>
              <w:t>副教授</w:t>
            </w:r>
          </w:p>
        </w:tc>
        <w:tc>
          <w:tcPr>
            <w:tcW w:w="632" w:type="pct"/>
            <w:vAlign w:val="center"/>
          </w:tcPr>
          <w:p>
            <w:pPr>
              <w:spacing w:line="240" w:lineRule="auto"/>
              <w:jc w:val="center"/>
              <w:rPr>
                <w:sz w:val="21"/>
                <w:szCs w:val="21"/>
              </w:rPr>
            </w:pPr>
            <w:r>
              <w:rPr>
                <w:sz w:val="21"/>
                <w:szCs w:val="21"/>
              </w:rPr>
              <w:t>博士</w:t>
            </w:r>
          </w:p>
        </w:tc>
        <w:tc>
          <w:tcPr>
            <w:tcW w:w="787" w:type="pct"/>
            <w:vAlign w:val="center"/>
          </w:tcPr>
          <w:p>
            <w:pPr>
              <w:spacing w:line="240" w:lineRule="auto"/>
              <w:jc w:val="center"/>
              <w:rPr>
                <w:sz w:val="21"/>
                <w:szCs w:val="21"/>
              </w:rPr>
            </w:pPr>
            <w:r>
              <w:rPr>
                <w:sz w:val="21"/>
                <w:szCs w:val="21"/>
              </w:rPr>
              <w:t>宪法、行政法</w:t>
            </w:r>
          </w:p>
        </w:tc>
        <w:tc>
          <w:tcPr>
            <w:tcW w:w="1279" w:type="pct"/>
            <w:vAlign w:val="center"/>
          </w:tcPr>
          <w:p>
            <w:pPr>
              <w:spacing w:line="240" w:lineRule="auto"/>
              <w:jc w:val="center"/>
              <w:rPr>
                <w:sz w:val="21"/>
                <w:szCs w:val="21"/>
              </w:rPr>
            </w:pPr>
            <w:r>
              <w:rPr>
                <w:sz w:val="21"/>
                <w:szCs w:val="21"/>
              </w:rPr>
              <w:t>宪法学、行政法学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0" w:type="pct"/>
            <w:vAlign w:val="center"/>
          </w:tcPr>
          <w:p>
            <w:pPr>
              <w:spacing w:line="240" w:lineRule="auto"/>
              <w:jc w:val="center"/>
              <w:rPr>
                <w:sz w:val="21"/>
                <w:szCs w:val="21"/>
              </w:rPr>
            </w:pPr>
            <w:r>
              <w:rPr>
                <w:sz w:val="21"/>
                <w:szCs w:val="21"/>
              </w:rPr>
              <w:t>12</w:t>
            </w:r>
          </w:p>
        </w:tc>
        <w:tc>
          <w:tcPr>
            <w:tcW w:w="517" w:type="pct"/>
            <w:vAlign w:val="center"/>
          </w:tcPr>
          <w:p>
            <w:pPr>
              <w:spacing w:line="240" w:lineRule="auto"/>
              <w:jc w:val="center"/>
              <w:rPr>
                <w:sz w:val="21"/>
                <w:szCs w:val="21"/>
              </w:rPr>
            </w:pPr>
            <w:r>
              <w:rPr>
                <w:sz w:val="21"/>
                <w:szCs w:val="21"/>
              </w:rPr>
              <w:t>毕凌雪</w:t>
            </w:r>
          </w:p>
        </w:tc>
        <w:tc>
          <w:tcPr>
            <w:tcW w:w="369" w:type="pct"/>
            <w:vAlign w:val="center"/>
          </w:tcPr>
          <w:p>
            <w:pPr>
              <w:spacing w:line="240" w:lineRule="auto"/>
              <w:jc w:val="center"/>
              <w:rPr>
                <w:sz w:val="21"/>
                <w:szCs w:val="21"/>
              </w:rPr>
            </w:pPr>
            <w:r>
              <w:rPr>
                <w:sz w:val="21"/>
                <w:szCs w:val="21"/>
              </w:rPr>
              <w:t>女</w:t>
            </w:r>
          </w:p>
        </w:tc>
        <w:tc>
          <w:tcPr>
            <w:tcW w:w="418" w:type="pct"/>
            <w:vAlign w:val="center"/>
          </w:tcPr>
          <w:p>
            <w:pPr>
              <w:spacing w:line="240" w:lineRule="auto"/>
              <w:jc w:val="center"/>
              <w:rPr>
                <w:sz w:val="21"/>
                <w:szCs w:val="21"/>
              </w:rPr>
            </w:pPr>
            <w:r>
              <w:rPr>
                <w:sz w:val="21"/>
                <w:szCs w:val="21"/>
              </w:rPr>
              <w:t>35</w:t>
            </w:r>
          </w:p>
        </w:tc>
        <w:tc>
          <w:tcPr>
            <w:tcW w:w="585" w:type="pct"/>
            <w:vAlign w:val="center"/>
          </w:tcPr>
          <w:p>
            <w:pPr>
              <w:spacing w:line="240" w:lineRule="auto"/>
              <w:jc w:val="center"/>
              <w:rPr>
                <w:sz w:val="21"/>
                <w:szCs w:val="21"/>
              </w:rPr>
            </w:pPr>
            <w:r>
              <w:rPr>
                <w:sz w:val="21"/>
                <w:szCs w:val="21"/>
              </w:rPr>
              <w:t>讲师</w:t>
            </w:r>
          </w:p>
        </w:tc>
        <w:tc>
          <w:tcPr>
            <w:tcW w:w="632" w:type="pct"/>
            <w:vAlign w:val="center"/>
          </w:tcPr>
          <w:p>
            <w:pPr>
              <w:spacing w:line="240" w:lineRule="auto"/>
              <w:jc w:val="center"/>
              <w:rPr>
                <w:sz w:val="21"/>
                <w:szCs w:val="21"/>
              </w:rPr>
            </w:pPr>
            <w:r>
              <w:rPr>
                <w:sz w:val="21"/>
                <w:szCs w:val="21"/>
              </w:rPr>
              <w:t>博士</w:t>
            </w:r>
          </w:p>
        </w:tc>
        <w:tc>
          <w:tcPr>
            <w:tcW w:w="787" w:type="pct"/>
            <w:vAlign w:val="center"/>
          </w:tcPr>
          <w:p>
            <w:pPr>
              <w:spacing w:line="240" w:lineRule="auto"/>
              <w:jc w:val="center"/>
              <w:rPr>
                <w:sz w:val="21"/>
                <w:szCs w:val="21"/>
              </w:rPr>
            </w:pPr>
            <w:r>
              <w:rPr>
                <w:sz w:val="21"/>
                <w:szCs w:val="21"/>
              </w:rPr>
              <w:t>法制史</w:t>
            </w:r>
          </w:p>
        </w:tc>
        <w:tc>
          <w:tcPr>
            <w:tcW w:w="1279" w:type="pct"/>
            <w:vAlign w:val="center"/>
          </w:tcPr>
          <w:p>
            <w:pPr>
              <w:spacing w:line="240" w:lineRule="auto"/>
              <w:jc w:val="center"/>
              <w:rPr>
                <w:sz w:val="21"/>
                <w:szCs w:val="21"/>
              </w:rPr>
            </w:pPr>
            <w:r>
              <w:rPr>
                <w:sz w:val="21"/>
                <w:szCs w:val="21"/>
              </w:rPr>
              <w:t>中国法制史、外国法制史</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0" w:type="pct"/>
            <w:vAlign w:val="center"/>
          </w:tcPr>
          <w:p>
            <w:pPr>
              <w:spacing w:line="240" w:lineRule="auto"/>
              <w:jc w:val="center"/>
              <w:rPr>
                <w:sz w:val="21"/>
                <w:szCs w:val="21"/>
              </w:rPr>
            </w:pPr>
            <w:r>
              <w:rPr>
                <w:sz w:val="21"/>
                <w:szCs w:val="21"/>
              </w:rPr>
              <w:t>13</w:t>
            </w:r>
          </w:p>
        </w:tc>
        <w:tc>
          <w:tcPr>
            <w:tcW w:w="517" w:type="pct"/>
            <w:vAlign w:val="center"/>
          </w:tcPr>
          <w:p>
            <w:pPr>
              <w:spacing w:line="240" w:lineRule="auto"/>
              <w:jc w:val="center"/>
              <w:rPr>
                <w:sz w:val="21"/>
                <w:szCs w:val="21"/>
              </w:rPr>
            </w:pPr>
            <w:r>
              <w:rPr>
                <w:sz w:val="21"/>
                <w:szCs w:val="21"/>
              </w:rPr>
              <w:t>范晓娟</w:t>
            </w:r>
          </w:p>
        </w:tc>
        <w:tc>
          <w:tcPr>
            <w:tcW w:w="369" w:type="pct"/>
            <w:vAlign w:val="center"/>
          </w:tcPr>
          <w:p>
            <w:pPr>
              <w:spacing w:line="240" w:lineRule="auto"/>
              <w:jc w:val="center"/>
              <w:rPr>
                <w:sz w:val="21"/>
                <w:szCs w:val="21"/>
              </w:rPr>
            </w:pPr>
            <w:r>
              <w:rPr>
                <w:sz w:val="21"/>
                <w:szCs w:val="21"/>
              </w:rPr>
              <w:t>女</w:t>
            </w:r>
          </w:p>
        </w:tc>
        <w:tc>
          <w:tcPr>
            <w:tcW w:w="418" w:type="pct"/>
            <w:vAlign w:val="center"/>
          </w:tcPr>
          <w:p>
            <w:pPr>
              <w:spacing w:line="240" w:lineRule="auto"/>
              <w:jc w:val="center"/>
              <w:rPr>
                <w:sz w:val="21"/>
                <w:szCs w:val="21"/>
              </w:rPr>
            </w:pPr>
            <w:r>
              <w:rPr>
                <w:sz w:val="21"/>
                <w:szCs w:val="21"/>
              </w:rPr>
              <w:t>38</w:t>
            </w:r>
          </w:p>
        </w:tc>
        <w:tc>
          <w:tcPr>
            <w:tcW w:w="585" w:type="pct"/>
            <w:vAlign w:val="center"/>
          </w:tcPr>
          <w:p>
            <w:pPr>
              <w:spacing w:line="240" w:lineRule="auto"/>
              <w:jc w:val="center"/>
              <w:rPr>
                <w:sz w:val="21"/>
                <w:szCs w:val="21"/>
              </w:rPr>
            </w:pPr>
            <w:r>
              <w:rPr>
                <w:sz w:val="21"/>
                <w:szCs w:val="21"/>
              </w:rPr>
              <w:t>副教授</w:t>
            </w:r>
          </w:p>
        </w:tc>
        <w:tc>
          <w:tcPr>
            <w:tcW w:w="632" w:type="pct"/>
            <w:vAlign w:val="center"/>
          </w:tcPr>
          <w:p>
            <w:pPr>
              <w:spacing w:line="240" w:lineRule="auto"/>
              <w:jc w:val="center"/>
              <w:rPr>
                <w:sz w:val="21"/>
                <w:szCs w:val="21"/>
              </w:rPr>
            </w:pPr>
            <w:r>
              <w:rPr>
                <w:sz w:val="21"/>
                <w:szCs w:val="21"/>
              </w:rPr>
              <w:t>博士</w:t>
            </w:r>
          </w:p>
        </w:tc>
        <w:tc>
          <w:tcPr>
            <w:tcW w:w="787" w:type="pct"/>
            <w:vAlign w:val="center"/>
          </w:tcPr>
          <w:p>
            <w:pPr>
              <w:spacing w:line="240" w:lineRule="auto"/>
              <w:jc w:val="center"/>
              <w:rPr>
                <w:sz w:val="21"/>
                <w:szCs w:val="21"/>
              </w:rPr>
            </w:pPr>
            <w:r>
              <w:rPr>
                <w:sz w:val="21"/>
                <w:szCs w:val="21"/>
              </w:rPr>
              <w:t>国际经济法</w:t>
            </w:r>
          </w:p>
        </w:tc>
        <w:tc>
          <w:tcPr>
            <w:tcW w:w="1279" w:type="pct"/>
            <w:vAlign w:val="center"/>
          </w:tcPr>
          <w:p>
            <w:pPr>
              <w:spacing w:line="240" w:lineRule="auto"/>
              <w:jc w:val="center"/>
              <w:rPr>
                <w:sz w:val="21"/>
                <w:szCs w:val="21"/>
              </w:rPr>
            </w:pPr>
            <w:r>
              <w:rPr>
                <w:sz w:val="21"/>
                <w:szCs w:val="21"/>
              </w:rPr>
              <w:t>国际经济法、国际私法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0" w:type="pct"/>
            <w:vAlign w:val="center"/>
          </w:tcPr>
          <w:p>
            <w:pPr>
              <w:spacing w:line="240" w:lineRule="auto"/>
              <w:jc w:val="center"/>
              <w:rPr>
                <w:sz w:val="21"/>
                <w:szCs w:val="21"/>
              </w:rPr>
            </w:pPr>
            <w:r>
              <w:rPr>
                <w:sz w:val="21"/>
                <w:szCs w:val="21"/>
              </w:rPr>
              <w:t>14</w:t>
            </w:r>
          </w:p>
        </w:tc>
        <w:tc>
          <w:tcPr>
            <w:tcW w:w="517" w:type="pct"/>
            <w:vAlign w:val="center"/>
          </w:tcPr>
          <w:p>
            <w:pPr>
              <w:spacing w:line="240" w:lineRule="auto"/>
              <w:jc w:val="center"/>
              <w:rPr>
                <w:color w:val="000000"/>
                <w:sz w:val="21"/>
                <w:szCs w:val="21"/>
              </w:rPr>
            </w:pPr>
            <w:r>
              <w:rPr>
                <w:color w:val="000000"/>
                <w:sz w:val="21"/>
                <w:szCs w:val="21"/>
              </w:rPr>
              <w:t>王</w:t>
            </w:r>
            <w:r>
              <w:rPr>
                <w:rFonts w:hint="eastAsia"/>
                <w:color w:val="000000"/>
                <w:sz w:val="21"/>
                <w:szCs w:val="21"/>
              </w:rPr>
              <w:t xml:space="preserve">  </w:t>
            </w:r>
            <w:r>
              <w:rPr>
                <w:color w:val="000000"/>
                <w:sz w:val="21"/>
                <w:szCs w:val="21"/>
              </w:rPr>
              <w:t>斐</w:t>
            </w:r>
          </w:p>
        </w:tc>
        <w:tc>
          <w:tcPr>
            <w:tcW w:w="369" w:type="pct"/>
            <w:vAlign w:val="center"/>
          </w:tcPr>
          <w:p>
            <w:pPr>
              <w:spacing w:line="240" w:lineRule="auto"/>
              <w:jc w:val="center"/>
              <w:rPr>
                <w:color w:val="000000"/>
                <w:sz w:val="21"/>
                <w:szCs w:val="21"/>
              </w:rPr>
            </w:pPr>
            <w:r>
              <w:rPr>
                <w:color w:val="000000"/>
                <w:sz w:val="21"/>
                <w:szCs w:val="21"/>
              </w:rPr>
              <w:t>女</w:t>
            </w:r>
          </w:p>
        </w:tc>
        <w:tc>
          <w:tcPr>
            <w:tcW w:w="418" w:type="pct"/>
            <w:vAlign w:val="center"/>
          </w:tcPr>
          <w:p>
            <w:pPr>
              <w:spacing w:line="240" w:lineRule="auto"/>
              <w:jc w:val="center"/>
              <w:rPr>
                <w:color w:val="000000"/>
                <w:sz w:val="21"/>
                <w:szCs w:val="21"/>
              </w:rPr>
            </w:pPr>
            <w:r>
              <w:rPr>
                <w:color w:val="000000"/>
                <w:sz w:val="21"/>
                <w:szCs w:val="21"/>
              </w:rPr>
              <w:t>37</w:t>
            </w:r>
          </w:p>
        </w:tc>
        <w:tc>
          <w:tcPr>
            <w:tcW w:w="585" w:type="pct"/>
            <w:vAlign w:val="center"/>
          </w:tcPr>
          <w:p>
            <w:pPr>
              <w:spacing w:line="240" w:lineRule="auto"/>
              <w:jc w:val="center"/>
              <w:rPr>
                <w:color w:val="000000"/>
                <w:sz w:val="21"/>
                <w:szCs w:val="21"/>
              </w:rPr>
            </w:pPr>
            <w:r>
              <w:rPr>
                <w:color w:val="000000"/>
                <w:sz w:val="21"/>
                <w:szCs w:val="21"/>
              </w:rPr>
              <w:t>讲师</w:t>
            </w:r>
          </w:p>
        </w:tc>
        <w:tc>
          <w:tcPr>
            <w:tcW w:w="632" w:type="pct"/>
            <w:vAlign w:val="center"/>
          </w:tcPr>
          <w:p>
            <w:pPr>
              <w:spacing w:line="240" w:lineRule="auto"/>
              <w:jc w:val="center"/>
              <w:rPr>
                <w:color w:val="000000"/>
                <w:sz w:val="21"/>
                <w:szCs w:val="21"/>
              </w:rPr>
            </w:pPr>
            <w:r>
              <w:rPr>
                <w:color w:val="000000"/>
                <w:sz w:val="21"/>
                <w:szCs w:val="21"/>
              </w:rPr>
              <w:t>硕士</w:t>
            </w:r>
          </w:p>
        </w:tc>
        <w:tc>
          <w:tcPr>
            <w:tcW w:w="787" w:type="pct"/>
            <w:vAlign w:val="center"/>
          </w:tcPr>
          <w:p>
            <w:pPr>
              <w:spacing w:line="240" w:lineRule="auto"/>
              <w:jc w:val="center"/>
              <w:rPr>
                <w:color w:val="000000"/>
                <w:sz w:val="21"/>
                <w:szCs w:val="21"/>
              </w:rPr>
            </w:pPr>
            <w:r>
              <w:rPr>
                <w:color w:val="000000"/>
                <w:sz w:val="21"/>
                <w:szCs w:val="21"/>
              </w:rPr>
              <w:t>宪法、行政法</w:t>
            </w:r>
          </w:p>
        </w:tc>
        <w:tc>
          <w:tcPr>
            <w:tcW w:w="1279" w:type="pct"/>
            <w:vAlign w:val="center"/>
          </w:tcPr>
          <w:p>
            <w:pPr>
              <w:spacing w:line="240" w:lineRule="auto"/>
              <w:jc w:val="center"/>
              <w:rPr>
                <w:color w:val="000000"/>
                <w:sz w:val="21"/>
                <w:szCs w:val="21"/>
              </w:rPr>
            </w:pPr>
            <w:r>
              <w:rPr>
                <w:color w:val="000000"/>
                <w:sz w:val="21"/>
                <w:szCs w:val="21"/>
              </w:rPr>
              <w:t>外国法制史、宪法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0" w:type="pct"/>
            <w:vAlign w:val="center"/>
          </w:tcPr>
          <w:p>
            <w:pPr>
              <w:spacing w:line="240" w:lineRule="auto"/>
              <w:jc w:val="center"/>
              <w:rPr>
                <w:sz w:val="21"/>
                <w:szCs w:val="21"/>
              </w:rPr>
            </w:pPr>
            <w:r>
              <w:rPr>
                <w:sz w:val="21"/>
                <w:szCs w:val="21"/>
              </w:rPr>
              <w:t>15</w:t>
            </w:r>
          </w:p>
        </w:tc>
        <w:tc>
          <w:tcPr>
            <w:tcW w:w="517" w:type="pct"/>
            <w:vAlign w:val="center"/>
          </w:tcPr>
          <w:p>
            <w:pPr>
              <w:spacing w:line="240" w:lineRule="auto"/>
              <w:jc w:val="center"/>
              <w:rPr>
                <w:color w:val="000000"/>
                <w:sz w:val="21"/>
                <w:szCs w:val="21"/>
              </w:rPr>
            </w:pPr>
            <w:r>
              <w:rPr>
                <w:color w:val="000000"/>
                <w:sz w:val="21"/>
                <w:szCs w:val="21"/>
              </w:rPr>
              <w:t>崔新群</w:t>
            </w:r>
          </w:p>
        </w:tc>
        <w:tc>
          <w:tcPr>
            <w:tcW w:w="369" w:type="pct"/>
            <w:vAlign w:val="center"/>
          </w:tcPr>
          <w:p>
            <w:pPr>
              <w:spacing w:line="240" w:lineRule="auto"/>
              <w:jc w:val="center"/>
              <w:rPr>
                <w:color w:val="000000"/>
                <w:sz w:val="21"/>
                <w:szCs w:val="21"/>
              </w:rPr>
            </w:pPr>
            <w:r>
              <w:rPr>
                <w:color w:val="000000"/>
                <w:sz w:val="21"/>
                <w:szCs w:val="21"/>
              </w:rPr>
              <w:t>女</w:t>
            </w:r>
          </w:p>
        </w:tc>
        <w:tc>
          <w:tcPr>
            <w:tcW w:w="418" w:type="pct"/>
            <w:vAlign w:val="center"/>
          </w:tcPr>
          <w:p>
            <w:pPr>
              <w:spacing w:line="240" w:lineRule="auto"/>
              <w:jc w:val="center"/>
              <w:rPr>
                <w:color w:val="000000"/>
                <w:sz w:val="21"/>
                <w:szCs w:val="21"/>
              </w:rPr>
            </w:pPr>
            <w:r>
              <w:rPr>
                <w:color w:val="000000"/>
                <w:sz w:val="21"/>
                <w:szCs w:val="21"/>
              </w:rPr>
              <w:t>30</w:t>
            </w:r>
          </w:p>
        </w:tc>
        <w:tc>
          <w:tcPr>
            <w:tcW w:w="585" w:type="pct"/>
            <w:vAlign w:val="center"/>
          </w:tcPr>
          <w:p>
            <w:pPr>
              <w:spacing w:line="240" w:lineRule="auto"/>
              <w:jc w:val="center"/>
              <w:rPr>
                <w:color w:val="000000"/>
                <w:sz w:val="21"/>
                <w:szCs w:val="21"/>
              </w:rPr>
            </w:pPr>
            <w:r>
              <w:rPr>
                <w:color w:val="000000"/>
                <w:sz w:val="21"/>
                <w:szCs w:val="21"/>
              </w:rPr>
              <w:t>讲师</w:t>
            </w:r>
          </w:p>
        </w:tc>
        <w:tc>
          <w:tcPr>
            <w:tcW w:w="632" w:type="pct"/>
            <w:vAlign w:val="center"/>
          </w:tcPr>
          <w:p>
            <w:pPr>
              <w:spacing w:line="240" w:lineRule="auto"/>
              <w:jc w:val="center"/>
              <w:rPr>
                <w:color w:val="000000"/>
                <w:sz w:val="21"/>
                <w:szCs w:val="21"/>
              </w:rPr>
            </w:pPr>
            <w:r>
              <w:rPr>
                <w:color w:val="000000"/>
                <w:sz w:val="21"/>
                <w:szCs w:val="21"/>
              </w:rPr>
              <w:t>硕士</w:t>
            </w:r>
          </w:p>
        </w:tc>
        <w:tc>
          <w:tcPr>
            <w:tcW w:w="787" w:type="pct"/>
            <w:vAlign w:val="center"/>
          </w:tcPr>
          <w:p>
            <w:pPr>
              <w:spacing w:line="240" w:lineRule="auto"/>
              <w:jc w:val="center"/>
              <w:rPr>
                <w:color w:val="000000"/>
                <w:sz w:val="21"/>
                <w:szCs w:val="21"/>
              </w:rPr>
            </w:pPr>
            <w:r>
              <w:rPr>
                <w:color w:val="000000"/>
                <w:sz w:val="21"/>
                <w:szCs w:val="21"/>
              </w:rPr>
              <w:t>国际法</w:t>
            </w:r>
          </w:p>
        </w:tc>
        <w:tc>
          <w:tcPr>
            <w:tcW w:w="1279" w:type="pct"/>
            <w:vAlign w:val="center"/>
          </w:tcPr>
          <w:p>
            <w:pPr>
              <w:spacing w:line="240" w:lineRule="auto"/>
              <w:jc w:val="center"/>
              <w:rPr>
                <w:color w:val="000000"/>
                <w:sz w:val="21"/>
                <w:szCs w:val="21"/>
              </w:rPr>
            </w:pPr>
            <w:r>
              <w:rPr>
                <w:color w:val="000000"/>
                <w:sz w:val="21"/>
                <w:szCs w:val="21"/>
              </w:rPr>
              <w:t>国际经济法、国际私法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0" w:type="pct"/>
            <w:vAlign w:val="center"/>
          </w:tcPr>
          <w:p>
            <w:pPr>
              <w:spacing w:line="240" w:lineRule="auto"/>
              <w:jc w:val="center"/>
              <w:rPr>
                <w:sz w:val="21"/>
                <w:szCs w:val="21"/>
              </w:rPr>
            </w:pPr>
            <w:r>
              <w:rPr>
                <w:sz w:val="21"/>
                <w:szCs w:val="21"/>
              </w:rPr>
              <w:t>16</w:t>
            </w:r>
          </w:p>
        </w:tc>
        <w:tc>
          <w:tcPr>
            <w:tcW w:w="517" w:type="pct"/>
            <w:vAlign w:val="center"/>
          </w:tcPr>
          <w:p>
            <w:pPr>
              <w:spacing w:line="240" w:lineRule="auto"/>
              <w:jc w:val="center"/>
              <w:rPr>
                <w:color w:val="000000"/>
                <w:sz w:val="21"/>
                <w:szCs w:val="21"/>
              </w:rPr>
            </w:pPr>
            <w:r>
              <w:rPr>
                <w:color w:val="000000"/>
                <w:sz w:val="21"/>
                <w:szCs w:val="21"/>
              </w:rPr>
              <w:t>侯圣贺</w:t>
            </w:r>
          </w:p>
        </w:tc>
        <w:tc>
          <w:tcPr>
            <w:tcW w:w="369" w:type="pct"/>
            <w:vAlign w:val="center"/>
          </w:tcPr>
          <w:p>
            <w:pPr>
              <w:spacing w:line="240" w:lineRule="auto"/>
              <w:jc w:val="center"/>
              <w:rPr>
                <w:color w:val="000000"/>
                <w:sz w:val="21"/>
                <w:szCs w:val="21"/>
              </w:rPr>
            </w:pPr>
            <w:r>
              <w:rPr>
                <w:color w:val="000000"/>
                <w:sz w:val="21"/>
                <w:szCs w:val="21"/>
              </w:rPr>
              <w:t>男</w:t>
            </w:r>
          </w:p>
        </w:tc>
        <w:tc>
          <w:tcPr>
            <w:tcW w:w="418" w:type="pct"/>
            <w:vAlign w:val="center"/>
          </w:tcPr>
          <w:p>
            <w:pPr>
              <w:spacing w:line="240" w:lineRule="auto"/>
              <w:jc w:val="center"/>
              <w:rPr>
                <w:color w:val="000000"/>
                <w:sz w:val="21"/>
                <w:szCs w:val="21"/>
              </w:rPr>
            </w:pPr>
            <w:r>
              <w:rPr>
                <w:color w:val="000000"/>
                <w:sz w:val="21"/>
                <w:szCs w:val="21"/>
              </w:rPr>
              <w:t>30</w:t>
            </w:r>
          </w:p>
        </w:tc>
        <w:tc>
          <w:tcPr>
            <w:tcW w:w="585" w:type="pct"/>
            <w:vAlign w:val="center"/>
          </w:tcPr>
          <w:p>
            <w:pPr>
              <w:spacing w:line="240" w:lineRule="auto"/>
              <w:jc w:val="center"/>
              <w:rPr>
                <w:color w:val="000000"/>
                <w:sz w:val="21"/>
                <w:szCs w:val="21"/>
              </w:rPr>
            </w:pPr>
            <w:r>
              <w:rPr>
                <w:color w:val="000000"/>
                <w:sz w:val="21"/>
                <w:szCs w:val="21"/>
              </w:rPr>
              <w:t>讲师</w:t>
            </w:r>
          </w:p>
        </w:tc>
        <w:tc>
          <w:tcPr>
            <w:tcW w:w="632" w:type="pct"/>
            <w:vAlign w:val="center"/>
          </w:tcPr>
          <w:p>
            <w:pPr>
              <w:spacing w:line="240" w:lineRule="auto"/>
              <w:jc w:val="center"/>
              <w:rPr>
                <w:color w:val="000000"/>
                <w:sz w:val="21"/>
                <w:szCs w:val="21"/>
              </w:rPr>
            </w:pPr>
            <w:r>
              <w:rPr>
                <w:color w:val="000000"/>
                <w:sz w:val="21"/>
                <w:szCs w:val="21"/>
              </w:rPr>
              <w:t>硕士</w:t>
            </w:r>
          </w:p>
        </w:tc>
        <w:tc>
          <w:tcPr>
            <w:tcW w:w="787" w:type="pct"/>
            <w:vAlign w:val="center"/>
          </w:tcPr>
          <w:p>
            <w:pPr>
              <w:spacing w:line="240" w:lineRule="auto"/>
              <w:jc w:val="center"/>
              <w:rPr>
                <w:color w:val="000000"/>
                <w:sz w:val="21"/>
                <w:szCs w:val="21"/>
              </w:rPr>
            </w:pPr>
            <w:r>
              <w:rPr>
                <w:color w:val="000000"/>
                <w:sz w:val="21"/>
                <w:szCs w:val="21"/>
              </w:rPr>
              <w:t>民法</w:t>
            </w:r>
          </w:p>
        </w:tc>
        <w:tc>
          <w:tcPr>
            <w:tcW w:w="1279" w:type="pct"/>
            <w:vAlign w:val="center"/>
          </w:tcPr>
          <w:p>
            <w:pPr>
              <w:spacing w:line="240" w:lineRule="auto"/>
              <w:jc w:val="center"/>
              <w:rPr>
                <w:color w:val="000000"/>
                <w:sz w:val="21"/>
                <w:szCs w:val="21"/>
              </w:rPr>
            </w:pPr>
            <w:r>
              <w:rPr>
                <w:color w:val="000000"/>
                <w:sz w:val="21"/>
                <w:szCs w:val="21"/>
              </w:rPr>
              <w:t>民法、商法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0" w:type="pct"/>
            <w:vAlign w:val="center"/>
          </w:tcPr>
          <w:p>
            <w:pPr>
              <w:spacing w:line="240" w:lineRule="auto"/>
              <w:jc w:val="center"/>
              <w:rPr>
                <w:sz w:val="21"/>
                <w:szCs w:val="21"/>
              </w:rPr>
            </w:pPr>
            <w:r>
              <w:rPr>
                <w:sz w:val="21"/>
                <w:szCs w:val="21"/>
              </w:rPr>
              <w:t>17</w:t>
            </w:r>
          </w:p>
        </w:tc>
        <w:tc>
          <w:tcPr>
            <w:tcW w:w="517" w:type="pct"/>
            <w:vAlign w:val="center"/>
          </w:tcPr>
          <w:p>
            <w:pPr>
              <w:spacing w:line="240" w:lineRule="auto"/>
              <w:jc w:val="center"/>
              <w:rPr>
                <w:color w:val="000000"/>
                <w:sz w:val="21"/>
                <w:szCs w:val="21"/>
              </w:rPr>
            </w:pPr>
            <w:r>
              <w:rPr>
                <w:color w:val="000000"/>
                <w:sz w:val="21"/>
                <w:szCs w:val="21"/>
              </w:rPr>
              <w:t>杜生一</w:t>
            </w:r>
          </w:p>
        </w:tc>
        <w:tc>
          <w:tcPr>
            <w:tcW w:w="369" w:type="pct"/>
            <w:vAlign w:val="center"/>
          </w:tcPr>
          <w:p>
            <w:pPr>
              <w:spacing w:line="240" w:lineRule="auto"/>
              <w:jc w:val="center"/>
              <w:rPr>
                <w:color w:val="000000"/>
                <w:sz w:val="21"/>
                <w:szCs w:val="21"/>
              </w:rPr>
            </w:pPr>
            <w:r>
              <w:rPr>
                <w:color w:val="000000"/>
                <w:sz w:val="21"/>
                <w:szCs w:val="21"/>
              </w:rPr>
              <w:t>男</w:t>
            </w:r>
          </w:p>
        </w:tc>
        <w:tc>
          <w:tcPr>
            <w:tcW w:w="418" w:type="pct"/>
            <w:vAlign w:val="center"/>
          </w:tcPr>
          <w:p>
            <w:pPr>
              <w:spacing w:line="240" w:lineRule="auto"/>
              <w:jc w:val="center"/>
              <w:rPr>
                <w:color w:val="000000"/>
                <w:sz w:val="21"/>
                <w:szCs w:val="21"/>
              </w:rPr>
            </w:pPr>
            <w:r>
              <w:rPr>
                <w:color w:val="000000"/>
                <w:sz w:val="21"/>
                <w:szCs w:val="21"/>
              </w:rPr>
              <w:t>36</w:t>
            </w:r>
          </w:p>
        </w:tc>
        <w:tc>
          <w:tcPr>
            <w:tcW w:w="585" w:type="pct"/>
            <w:vAlign w:val="center"/>
          </w:tcPr>
          <w:p>
            <w:pPr>
              <w:spacing w:line="240" w:lineRule="auto"/>
              <w:jc w:val="center"/>
              <w:rPr>
                <w:color w:val="000000"/>
                <w:sz w:val="21"/>
                <w:szCs w:val="21"/>
              </w:rPr>
            </w:pPr>
            <w:r>
              <w:rPr>
                <w:color w:val="000000"/>
                <w:sz w:val="21"/>
                <w:szCs w:val="21"/>
              </w:rPr>
              <w:t>讲师</w:t>
            </w:r>
          </w:p>
        </w:tc>
        <w:tc>
          <w:tcPr>
            <w:tcW w:w="632" w:type="pct"/>
            <w:vAlign w:val="center"/>
          </w:tcPr>
          <w:p>
            <w:pPr>
              <w:spacing w:line="240" w:lineRule="auto"/>
              <w:jc w:val="center"/>
              <w:rPr>
                <w:color w:val="000000"/>
                <w:sz w:val="21"/>
                <w:szCs w:val="21"/>
              </w:rPr>
            </w:pPr>
            <w:r>
              <w:rPr>
                <w:color w:val="000000"/>
                <w:sz w:val="21"/>
                <w:szCs w:val="21"/>
              </w:rPr>
              <w:t>博士</w:t>
            </w:r>
          </w:p>
        </w:tc>
        <w:tc>
          <w:tcPr>
            <w:tcW w:w="787" w:type="pct"/>
            <w:vAlign w:val="center"/>
          </w:tcPr>
          <w:p>
            <w:pPr>
              <w:spacing w:line="240" w:lineRule="auto"/>
              <w:jc w:val="center"/>
              <w:rPr>
                <w:color w:val="000000"/>
                <w:sz w:val="21"/>
                <w:szCs w:val="21"/>
              </w:rPr>
            </w:pPr>
            <w:r>
              <w:rPr>
                <w:color w:val="000000"/>
                <w:sz w:val="21"/>
                <w:szCs w:val="21"/>
              </w:rPr>
              <w:t>民法</w:t>
            </w:r>
          </w:p>
        </w:tc>
        <w:tc>
          <w:tcPr>
            <w:tcW w:w="1279" w:type="pct"/>
            <w:vAlign w:val="center"/>
          </w:tcPr>
          <w:p>
            <w:pPr>
              <w:spacing w:line="240" w:lineRule="auto"/>
              <w:jc w:val="center"/>
              <w:rPr>
                <w:color w:val="000000"/>
                <w:sz w:val="21"/>
                <w:szCs w:val="21"/>
              </w:rPr>
            </w:pPr>
            <w:r>
              <w:rPr>
                <w:color w:val="000000"/>
                <w:sz w:val="21"/>
                <w:szCs w:val="21"/>
              </w:rPr>
              <w:t>民法、合同法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0" w:type="pct"/>
            <w:vAlign w:val="center"/>
          </w:tcPr>
          <w:p>
            <w:pPr>
              <w:spacing w:line="240" w:lineRule="auto"/>
              <w:jc w:val="center"/>
              <w:rPr>
                <w:sz w:val="21"/>
                <w:szCs w:val="21"/>
              </w:rPr>
            </w:pPr>
            <w:bookmarkStart w:id="548" w:name="_Toc58568805"/>
            <w:r>
              <w:rPr>
                <w:sz w:val="21"/>
                <w:szCs w:val="21"/>
              </w:rPr>
              <w:t>18</w:t>
            </w:r>
          </w:p>
        </w:tc>
        <w:tc>
          <w:tcPr>
            <w:tcW w:w="517" w:type="pct"/>
            <w:vAlign w:val="center"/>
          </w:tcPr>
          <w:p>
            <w:pPr>
              <w:spacing w:line="240" w:lineRule="auto"/>
              <w:jc w:val="center"/>
              <w:rPr>
                <w:color w:val="000000"/>
                <w:sz w:val="21"/>
                <w:szCs w:val="21"/>
              </w:rPr>
            </w:pPr>
            <w:r>
              <w:rPr>
                <w:color w:val="000000"/>
                <w:sz w:val="21"/>
                <w:szCs w:val="21"/>
              </w:rPr>
              <w:t>李</w:t>
            </w:r>
            <w:r>
              <w:rPr>
                <w:rFonts w:hint="eastAsia"/>
                <w:color w:val="000000"/>
                <w:sz w:val="21"/>
                <w:szCs w:val="21"/>
              </w:rPr>
              <w:t xml:space="preserve">  </w:t>
            </w:r>
            <w:r>
              <w:rPr>
                <w:color w:val="000000"/>
                <w:sz w:val="21"/>
                <w:szCs w:val="21"/>
              </w:rPr>
              <w:t>谦</w:t>
            </w:r>
          </w:p>
        </w:tc>
        <w:tc>
          <w:tcPr>
            <w:tcW w:w="369" w:type="pct"/>
            <w:vAlign w:val="center"/>
          </w:tcPr>
          <w:p>
            <w:pPr>
              <w:spacing w:line="240" w:lineRule="auto"/>
              <w:jc w:val="center"/>
              <w:rPr>
                <w:color w:val="000000"/>
                <w:sz w:val="21"/>
                <w:szCs w:val="21"/>
              </w:rPr>
            </w:pPr>
            <w:r>
              <w:rPr>
                <w:color w:val="000000"/>
                <w:sz w:val="21"/>
                <w:szCs w:val="21"/>
              </w:rPr>
              <w:t>女</w:t>
            </w:r>
          </w:p>
        </w:tc>
        <w:tc>
          <w:tcPr>
            <w:tcW w:w="418" w:type="pct"/>
            <w:vAlign w:val="center"/>
          </w:tcPr>
          <w:p>
            <w:pPr>
              <w:spacing w:line="240" w:lineRule="auto"/>
              <w:jc w:val="center"/>
              <w:rPr>
                <w:color w:val="000000"/>
                <w:sz w:val="21"/>
                <w:szCs w:val="21"/>
              </w:rPr>
            </w:pPr>
            <w:r>
              <w:rPr>
                <w:color w:val="000000"/>
                <w:sz w:val="21"/>
                <w:szCs w:val="21"/>
              </w:rPr>
              <w:t>28</w:t>
            </w:r>
          </w:p>
        </w:tc>
        <w:tc>
          <w:tcPr>
            <w:tcW w:w="585" w:type="pct"/>
            <w:vAlign w:val="center"/>
          </w:tcPr>
          <w:p>
            <w:pPr>
              <w:spacing w:line="240" w:lineRule="auto"/>
              <w:jc w:val="center"/>
              <w:rPr>
                <w:color w:val="000000"/>
                <w:sz w:val="21"/>
                <w:szCs w:val="21"/>
              </w:rPr>
            </w:pPr>
            <w:r>
              <w:rPr>
                <w:color w:val="000000"/>
                <w:sz w:val="21"/>
                <w:szCs w:val="21"/>
              </w:rPr>
              <w:t>副教授</w:t>
            </w:r>
          </w:p>
        </w:tc>
        <w:tc>
          <w:tcPr>
            <w:tcW w:w="632" w:type="pct"/>
            <w:vAlign w:val="center"/>
          </w:tcPr>
          <w:p>
            <w:pPr>
              <w:spacing w:line="240" w:lineRule="auto"/>
              <w:jc w:val="center"/>
              <w:rPr>
                <w:color w:val="000000"/>
                <w:sz w:val="21"/>
                <w:szCs w:val="21"/>
              </w:rPr>
            </w:pPr>
            <w:r>
              <w:rPr>
                <w:color w:val="000000"/>
                <w:sz w:val="21"/>
                <w:szCs w:val="21"/>
              </w:rPr>
              <w:t>博士</w:t>
            </w:r>
          </w:p>
        </w:tc>
        <w:tc>
          <w:tcPr>
            <w:tcW w:w="787" w:type="pct"/>
            <w:vAlign w:val="center"/>
          </w:tcPr>
          <w:p>
            <w:pPr>
              <w:spacing w:line="240" w:lineRule="auto"/>
              <w:jc w:val="center"/>
              <w:rPr>
                <w:color w:val="000000"/>
                <w:sz w:val="21"/>
                <w:szCs w:val="21"/>
              </w:rPr>
            </w:pPr>
            <w:r>
              <w:rPr>
                <w:color w:val="000000"/>
                <w:sz w:val="21"/>
                <w:szCs w:val="21"/>
              </w:rPr>
              <w:t>民法</w:t>
            </w:r>
          </w:p>
        </w:tc>
        <w:tc>
          <w:tcPr>
            <w:tcW w:w="1279" w:type="pct"/>
            <w:vAlign w:val="center"/>
          </w:tcPr>
          <w:p>
            <w:pPr>
              <w:spacing w:line="240" w:lineRule="auto"/>
              <w:jc w:val="center"/>
              <w:rPr>
                <w:color w:val="000000"/>
                <w:sz w:val="21"/>
                <w:szCs w:val="21"/>
              </w:rPr>
            </w:pPr>
            <w:r>
              <w:rPr>
                <w:color w:val="000000"/>
                <w:sz w:val="21"/>
                <w:szCs w:val="21"/>
              </w:rPr>
              <w:t>民法</w:t>
            </w:r>
          </w:p>
        </w:tc>
      </w:tr>
    </w:tbl>
    <w:p>
      <w:pPr>
        <w:pStyle w:val="6"/>
        <w:ind w:firstLine="480"/>
      </w:pPr>
      <w:r>
        <w:t>（四）实习基地</w:t>
      </w:r>
      <w:bookmarkEnd w:id="548"/>
    </w:p>
    <w:p>
      <w:pPr>
        <w:ind w:firstLine="480" w:firstLineChars="200"/>
      </w:pPr>
      <w:r>
        <w:t>在实习实践基地建设方面，自1993年起，相继建立泰安市中级人民法院、泰山区人民法院、岱岳区人民法院、泰山区人民检察院、泰安市人大法工委等校外实践教学基地，为学生司法实践能力的提高奠定了坚实的基础。校外实践教学基地聘请了一批司法实践经验丰富的法官、检察官作为兼职实训指导教师，并根据专业人才培养目标要求和校外实践教学基地设施条件，拟定了详细的实习计划，并按计划认真组织实施。目前共有有效运作的实践基地15个（参见下表）。这些教学实践基地的建设，为培养大学生的法律职业技能提供了有力的保障。</w:t>
      </w:r>
    </w:p>
    <w:p>
      <w:pPr>
        <w:adjustRightInd w:val="0"/>
        <w:spacing w:line="480" w:lineRule="exact"/>
        <w:jc w:val="center"/>
        <w:rPr>
          <w:b/>
          <w:bCs/>
          <w:kern w:val="0"/>
          <w:sz w:val="21"/>
          <w:szCs w:val="21"/>
        </w:rPr>
      </w:pPr>
      <w:r>
        <w:rPr>
          <w:b/>
          <w:bCs/>
          <w:kern w:val="0"/>
          <w:sz w:val="21"/>
          <w:szCs w:val="21"/>
        </w:rPr>
        <w:t>附表6  校外实践教学基地</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6"/>
        <w:gridCol w:w="3576"/>
        <w:gridCol w:w="1176"/>
        <w:gridCol w:w="18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96" w:type="dxa"/>
          </w:tcPr>
          <w:p>
            <w:pPr>
              <w:spacing w:line="240" w:lineRule="auto"/>
              <w:jc w:val="center"/>
              <w:rPr>
                <w:b/>
                <w:bCs/>
                <w:kern w:val="0"/>
                <w:sz w:val="21"/>
                <w:szCs w:val="21"/>
              </w:rPr>
            </w:pPr>
            <w:r>
              <w:rPr>
                <w:b/>
                <w:bCs/>
                <w:kern w:val="0"/>
                <w:sz w:val="21"/>
                <w:szCs w:val="21"/>
              </w:rPr>
              <w:t>序号</w:t>
            </w:r>
          </w:p>
        </w:tc>
        <w:tc>
          <w:tcPr>
            <w:tcW w:w="3576" w:type="dxa"/>
            <w:vAlign w:val="center"/>
          </w:tcPr>
          <w:p>
            <w:pPr>
              <w:spacing w:line="240" w:lineRule="auto"/>
              <w:jc w:val="center"/>
              <w:rPr>
                <w:b/>
                <w:bCs/>
                <w:kern w:val="0"/>
                <w:sz w:val="21"/>
                <w:szCs w:val="21"/>
              </w:rPr>
            </w:pPr>
            <w:r>
              <w:rPr>
                <w:b/>
                <w:bCs/>
                <w:kern w:val="0"/>
                <w:sz w:val="21"/>
                <w:szCs w:val="21"/>
              </w:rPr>
              <w:t>基地名称</w:t>
            </w:r>
          </w:p>
        </w:tc>
        <w:tc>
          <w:tcPr>
            <w:tcW w:w="1176" w:type="dxa"/>
            <w:vAlign w:val="center"/>
          </w:tcPr>
          <w:p>
            <w:pPr>
              <w:spacing w:line="240" w:lineRule="auto"/>
              <w:jc w:val="center"/>
              <w:rPr>
                <w:b/>
                <w:bCs/>
                <w:sz w:val="21"/>
                <w:szCs w:val="21"/>
              </w:rPr>
            </w:pPr>
            <w:r>
              <w:rPr>
                <w:b/>
                <w:bCs/>
                <w:sz w:val="21"/>
                <w:szCs w:val="21"/>
              </w:rPr>
              <w:t>面向专业</w:t>
            </w:r>
          </w:p>
        </w:tc>
        <w:tc>
          <w:tcPr>
            <w:tcW w:w="1896" w:type="dxa"/>
            <w:vAlign w:val="center"/>
          </w:tcPr>
          <w:p>
            <w:pPr>
              <w:widowControl/>
              <w:spacing w:line="240" w:lineRule="auto"/>
              <w:jc w:val="center"/>
              <w:rPr>
                <w:b/>
                <w:bCs/>
                <w:kern w:val="0"/>
                <w:sz w:val="21"/>
                <w:szCs w:val="21"/>
              </w:rPr>
            </w:pPr>
            <w:r>
              <w:rPr>
                <w:b/>
                <w:bCs/>
                <w:kern w:val="0"/>
                <w:sz w:val="21"/>
                <w:szCs w:val="21"/>
              </w:rPr>
              <w:t>每次可接纳人数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6" w:type="dxa"/>
          </w:tcPr>
          <w:p>
            <w:pPr>
              <w:spacing w:line="240" w:lineRule="auto"/>
              <w:jc w:val="center"/>
              <w:rPr>
                <w:kern w:val="0"/>
                <w:sz w:val="21"/>
                <w:szCs w:val="21"/>
              </w:rPr>
            </w:pPr>
            <w:r>
              <w:rPr>
                <w:kern w:val="0"/>
                <w:sz w:val="21"/>
                <w:szCs w:val="21"/>
              </w:rPr>
              <w:t>1</w:t>
            </w:r>
          </w:p>
        </w:tc>
        <w:tc>
          <w:tcPr>
            <w:tcW w:w="3576" w:type="dxa"/>
            <w:vAlign w:val="center"/>
          </w:tcPr>
          <w:p>
            <w:pPr>
              <w:spacing w:line="240" w:lineRule="auto"/>
              <w:jc w:val="center"/>
              <w:rPr>
                <w:kern w:val="0"/>
                <w:sz w:val="21"/>
                <w:szCs w:val="21"/>
              </w:rPr>
            </w:pPr>
            <w:r>
              <w:rPr>
                <w:kern w:val="0"/>
                <w:sz w:val="21"/>
                <w:szCs w:val="21"/>
              </w:rPr>
              <w:t>泰安市人民代表大会法律工作委员会</w:t>
            </w:r>
          </w:p>
        </w:tc>
        <w:tc>
          <w:tcPr>
            <w:tcW w:w="1176" w:type="dxa"/>
            <w:vAlign w:val="center"/>
          </w:tcPr>
          <w:p>
            <w:pPr>
              <w:spacing w:line="240" w:lineRule="auto"/>
              <w:jc w:val="center"/>
              <w:rPr>
                <w:kern w:val="0"/>
                <w:sz w:val="21"/>
                <w:szCs w:val="21"/>
              </w:rPr>
            </w:pPr>
            <w:r>
              <w:rPr>
                <w:kern w:val="0"/>
                <w:sz w:val="21"/>
                <w:szCs w:val="21"/>
              </w:rPr>
              <w:t>法学</w:t>
            </w:r>
          </w:p>
        </w:tc>
        <w:tc>
          <w:tcPr>
            <w:tcW w:w="1896" w:type="dxa"/>
            <w:vAlign w:val="center"/>
          </w:tcPr>
          <w:p>
            <w:pPr>
              <w:widowControl/>
              <w:spacing w:line="240" w:lineRule="auto"/>
              <w:jc w:val="center"/>
              <w:rPr>
                <w:kern w:val="0"/>
                <w:sz w:val="21"/>
                <w:szCs w:val="21"/>
              </w:rPr>
            </w:pPr>
            <w:r>
              <w:rPr>
                <w:kern w:val="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6" w:type="dxa"/>
          </w:tcPr>
          <w:p>
            <w:pPr>
              <w:spacing w:line="240" w:lineRule="auto"/>
              <w:jc w:val="center"/>
              <w:rPr>
                <w:kern w:val="0"/>
                <w:sz w:val="21"/>
                <w:szCs w:val="21"/>
              </w:rPr>
            </w:pPr>
            <w:r>
              <w:rPr>
                <w:kern w:val="0"/>
                <w:sz w:val="21"/>
                <w:szCs w:val="21"/>
              </w:rPr>
              <w:t>2</w:t>
            </w:r>
          </w:p>
        </w:tc>
        <w:tc>
          <w:tcPr>
            <w:tcW w:w="3576" w:type="dxa"/>
            <w:vAlign w:val="center"/>
          </w:tcPr>
          <w:p>
            <w:pPr>
              <w:spacing w:line="240" w:lineRule="auto"/>
              <w:jc w:val="center"/>
              <w:rPr>
                <w:sz w:val="21"/>
                <w:szCs w:val="21"/>
              </w:rPr>
            </w:pPr>
            <w:r>
              <w:rPr>
                <w:kern w:val="0"/>
                <w:sz w:val="21"/>
                <w:szCs w:val="21"/>
              </w:rPr>
              <w:t>泰安市中级人民法院</w:t>
            </w:r>
          </w:p>
        </w:tc>
        <w:tc>
          <w:tcPr>
            <w:tcW w:w="1176" w:type="dxa"/>
            <w:vAlign w:val="center"/>
          </w:tcPr>
          <w:p>
            <w:pPr>
              <w:spacing w:line="240" w:lineRule="auto"/>
              <w:jc w:val="center"/>
              <w:rPr>
                <w:sz w:val="21"/>
                <w:szCs w:val="21"/>
              </w:rPr>
            </w:pPr>
            <w:r>
              <w:rPr>
                <w:sz w:val="21"/>
                <w:szCs w:val="21"/>
              </w:rPr>
              <w:t>法学</w:t>
            </w:r>
          </w:p>
        </w:tc>
        <w:tc>
          <w:tcPr>
            <w:tcW w:w="1896" w:type="dxa"/>
            <w:vAlign w:val="center"/>
          </w:tcPr>
          <w:p>
            <w:pPr>
              <w:spacing w:line="240" w:lineRule="auto"/>
              <w:jc w:val="center"/>
              <w:rPr>
                <w:sz w:val="21"/>
                <w:szCs w:val="21"/>
              </w:rPr>
            </w:pPr>
            <w:r>
              <w:rPr>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6" w:type="dxa"/>
          </w:tcPr>
          <w:p>
            <w:pPr>
              <w:spacing w:line="240" w:lineRule="auto"/>
              <w:jc w:val="center"/>
              <w:rPr>
                <w:kern w:val="0"/>
                <w:sz w:val="21"/>
                <w:szCs w:val="21"/>
              </w:rPr>
            </w:pPr>
            <w:r>
              <w:rPr>
                <w:kern w:val="0"/>
                <w:sz w:val="21"/>
                <w:szCs w:val="21"/>
              </w:rPr>
              <w:t>3</w:t>
            </w:r>
          </w:p>
        </w:tc>
        <w:tc>
          <w:tcPr>
            <w:tcW w:w="3576" w:type="dxa"/>
            <w:vAlign w:val="center"/>
          </w:tcPr>
          <w:p>
            <w:pPr>
              <w:spacing w:line="240" w:lineRule="auto"/>
              <w:jc w:val="center"/>
              <w:rPr>
                <w:sz w:val="21"/>
                <w:szCs w:val="21"/>
              </w:rPr>
            </w:pPr>
            <w:r>
              <w:rPr>
                <w:kern w:val="0"/>
                <w:sz w:val="21"/>
                <w:szCs w:val="21"/>
              </w:rPr>
              <w:t>泰安市人民检察院</w:t>
            </w:r>
          </w:p>
        </w:tc>
        <w:tc>
          <w:tcPr>
            <w:tcW w:w="1176" w:type="dxa"/>
            <w:vAlign w:val="center"/>
          </w:tcPr>
          <w:p>
            <w:pPr>
              <w:spacing w:line="240" w:lineRule="auto"/>
              <w:jc w:val="center"/>
              <w:rPr>
                <w:sz w:val="21"/>
                <w:szCs w:val="21"/>
              </w:rPr>
            </w:pPr>
            <w:r>
              <w:rPr>
                <w:sz w:val="21"/>
                <w:szCs w:val="21"/>
              </w:rPr>
              <w:t>法学</w:t>
            </w:r>
          </w:p>
        </w:tc>
        <w:tc>
          <w:tcPr>
            <w:tcW w:w="1896" w:type="dxa"/>
            <w:vAlign w:val="center"/>
          </w:tcPr>
          <w:p>
            <w:pPr>
              <w:spacing w:line="240" w:lineRule="auto"/>
              <w:jc w:val="center"/>
              <w:rPr>
                <w:sz w:val="21"/>
                <w:szCs w:val="21"/>
              </w:rPr>
            </w:pPr>
            <w:r>
              <w:rPr>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6" w:type="dxa"/>
          </w:tcPr>
          <w:p>
            <w:pPr>
              <w:spacing w:line="240" w:lineRule="auto"/>
              <w:jc w:val="center"/>
              <w:rPr>
                <w:kern w:val="0"/>
                <w:sz w:val="21"/>
                <w:szCs w:val="21"/>
              </w:rPr>
            </w:pPr>
            <w:r>
              <w:rPr>
                <w:kern w:val="0"/>
                <w:sz w:val="21"/>
                <w:szCs w:val="21"/>
              </w:rPr>
              <w:t>4</w:t>
            </w:r>
          </w:p>
        </w:tc>
        <w:tc>
          <w:tcPr>
            <w:tcW w:w="3576" w:type="dxa"/>
            <w:vAlign w:val="center"/>
          </w:tcPr>
          <w:p>
            <w:pPr>
              <w:spacing w:line="240" w:lineRule="auto"/>
              <w:jc w:val="center"/>
              <w:rPr>
                <w:sz w:val="21"/>
                <w:szCs w:val="21"/>
              </w:rPr>
            </w:pPr>
            <w:r>
              <w:rPr>
                <w:kern w:val="0"/>
                <w:sz w:val="21"/>
                <w:szCs w:val="21"/>
              </w:rPr>
              <w:t>泰安市泰山区人民法院</w:t>
            </w:r>
          </w:p>
        </w:tc>
        <w:tc>
          <w:tcPr>
            <w:tcW w:w="1176" w:type="dxa"/>
            <w:vAlign w:val="center"/>
          </w:tcPr>
          <w:p>
            <w:pPr>
              <w:spacing w:line="240" w:lineRule="auto"/>
              <w:jc w:val="center"/>
              <w:rPr>
                <w:sz w:val="21"/>
                <w:szCs w:val="21"/>
              </w:rPr>
            </w:pPr>
            <w:r>
              <w:rPr>
                <w:sz w:val="21"/>
                <w:szCs w:val="21"/>
              </w:rPr>
              <w:t>法学</w:t>
            </w:r>
          </w:p>
        </w:tc>
        <w:tc>
          <w:tcPr>
            <w:tcW w:w="1896" w:type="dxa"/>
            <w:vAlign w:val="center"/>
          </w:tcPr>
          <w:p>
            <w:pPr>
              <w:spacing w:line="240" w:lineRule="auto"/>
              <w:jc w:val="center"/>
              <w:rPr>
                <w:kern w:val="0"/>
                <w:sz w:val="21"/>
                <w:szCs w:val="21"/>
              </w:rPr>
            </w:pPr>
            <w:r>
              <w:rPr>
                <w:kern w:val="0"/>
                <w:sz w:val="21"/>
                <w:szCs w:val="21"/>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6" w:type="dxa"/>
          </w:tcPr>
          <w:p>
            <w:pPr>
              <w:spacing w:line="240" w:lineRule="auto"/>
              <w:jc w:val="center"/>
              <w:rPr>
                <w:kern w:val="0"/>
                <w:sz w:val="21"/>
                <w:szCs w:val="21"/>
              </w:rPr>
            </w:pPr>
            <w:r>
              <w:rPr>
                <w:kern w:val="0"/>
                <w:sz w:val="21"/>
                <w:szCs w:val="21"/>
              </w:rPr>
              <w:t>5</w:t>
            </w:r>
          </w:p>
        </w:tc>
        <w:tc>
          <w:tcPr>
            <w:tcW w:w="3576" w:type="dxa"/>
            <w:vAlign w:val="center"/>
          </w:tcPr>
          <w:p>
            <w:pPr>
              <w:spacing w:line="240" w:lineRule="auto"/>
              <w:jc w:val="center"/>
              <w:rPr>
                <w:kern w:val="0"/>
                <w:sz w:val="21"/>
                <w:szCs w:val="21"/>
              </w:rPr>
            </w:pPr>
            <w:r>
              <w:rPr>
                <w:kern w:val="0"/>
                <w:sz w:val="21"/>
                <w:szCs w:val="21"/>
              </w:rPr>
              <w:t>泰安市泰山区人民检察院</w:t>
            </w:r>
          </w:p>
        </w:tc>
        <w:tc>
          <w:tcPr>
            <w:tcW w:w="1176" w:type="dxa"/>
            <w:vAlign w:val="center"/>
          </w:tcPr>
          <w:p>
            <w:pPr>
              <w:spacing w:line="240" w:lineRule="auto"/>
              <w:jc w:val="center"/>
              <w:rPr>
                <w:kern w:val="0"/>
                <w:sz w:val="21"/>
                <w:szCs w:val="21"/>
              </w:rPr>
            </w:pPr>
            <w:r>
              <w:rPr>
                <w:sz w:val="21"/>
                <w:szCs w:val="21"/>
              </w:rPr>
              <w:t>法学</w:t>
            </w:r>
          </w:p>
        </w:tc>
        <w:tc>
          <w:tcPr>
            <w:tcW w:w="1896" w:type="dxa"/>
            <w:vAlign w:val="center"/>
          </w:tcPr>
          <w:p>
            <w:pPr>
              <w:spacing w:line="240" w:lineRule="auto"/>
              <w:jc w:val="center"/>
              <w:rPr>
                <w:kern w:val="0"/>
                <w:sz w:val="21"/>
                <w:szCs w:val="21"/>
              </w:rPr>
            </w:pPr>
            <w:r>
              <w:rPr>
                <w:kern w:val="0"/>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6" w:type="dxa"/>
          </w:tcPr>
          <w:p>
            <w:pPr>
              <w:spacing w:line="240" w:lineRule="auto"/>
              <w:jc w:val="center"/>
              <w:rPr>
                <w:kern w:val="0"/>
                <w:sz w:val="21"/>
                <w:szCs w:val="21"/>
              </w:rPr>
            </w:pPr>
            <w:r>
              <w:rPr>
                <w:kern w:val="0"/>
                <w:sz w:val="21"/>
                <w:szCs w:val="21"/>
              </w:rPr>
              <w:t>6</w:t>
            </w:r>
          </w:p>
        </w:tc>
        <w:tc>
          <w:tcPr>
            <w:tcW w:w="3576" w:type="dxa"/>
            <w:vAlign w:val="center"/>
          </w:tcPr>
          <w:p>
            <w:pPr>
              <w:spacing w:line="240" w:lineRule="auto"/>
              <w:jc w:val="center"/>
              <w:rPr>
                <w:kern w:val="0"/>
                <w:sz w:val="21"/>
                <w:szCs w:val="21"/>
              </w:rPr>
            </w:pPr>
            <w:r>
              <w:rPr>
                <w:kern w:val="0"/>
                <w:sz w:val="21"/>
                <w:szCs w:val="21"/>
              </w:rPr>
              <w:t>泰安市岱岳区人民法院</w:t>
            </w:r>
          </w:p>
        </w:tc>
        <w:tc>
          <w:tcPr>
            <w:tcW w:w="1176" w:type="dxa"/>
            <w:vAlign w:val="center"/>
          </w:tcPr>
          <w:p>
            <w:pPr>
              <w:spacing w:line="240" w:lineRule="auto"/>
              <w:jc w:val="center"/>
              <w:rPr>
                <w:kern w:val="0"/>
                <w:sz w:val="21"/>
                <w:szCs w:val="21"/>
              </w:rPr>
            </w:pPr>
            <w:r>
              <w:rPr>
                <w:sz w:val="21"/>
                <w:szCs w:val="21"/>
              </w:rPr>
              <w:t>法学</w:t>
            </w:r>
          </w:p>
        </w:tc>
        <w:tc>
          <w:tcPr>
            <w:tcW w:w="1896" w:type="dxa"/>
            <w:vAlign w:val="center"/>
          </w:tcPr>
          <w:p>
            <w:pPr>
              <w:spacing w:line="240" w:lineRule="auto"/>
              <w:jc w:val="center"/>
              <w:rPr>
                <w:kern w:val="0"/>
                <w:sz w:val="21"/>
                <w:szCs w:val="21"/>
              </w:rPr>
            </w:pPr>
            <w:r>
              <w:rPr>
                <w:kern w:val="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6" w:type="dxa"/>
          </w:tcPr>
          <w:p>
            <w:pPr>
              <w:spacing w:line="240" w:lineRule="auto"/>
              <w:jc w:val="center"/>
              <w:rPr>
                <w:kern w:val="0"/>
                <w:sz w:val="21"/>
                <w:szCs w:val="21"/>
              </w:rPr>
            </w:pPr>
            <w:r>
              <w:rPr>
                <w:kern w:val="0"/>
                <w:sz w:val="21"/>
                <w:szCs w:val="21"/>
              </w:rPr>
              <w:t>7</w:t>
            </w:r>
          </w:p>
        </w:tc>
        <w:tc>
          <w:tcPr>
            <w:tcW w:w="3576" w:type="dxa"/>
            <w:vAlign w:val="center"/>
          </w:tcPr>
          <w:p>
            <w:pPr>
              <w:spacing w:line="240" w:lineRule="auto"/>
              <w:jc w:val="center"/>
              <w:rPr>
                <w:kern w:val="0"/>
                <w:sz w:val="21"/>
                <w:szCs w:val="21"/>
              </w:rPr>
            </w:pPr>
            <w:r>
              <w:rPr>
                <w:kern w:val="0"/>
                <w:sz w:val="21"/>
                <w:szCs w:val="21"/>
              </w:rPr>
              <w:t>泰安市岱岳区人民检察院</w:t>
            </w:r>
          </w:p>
        </w:tc>
        <w:tc>
          <w:tcPr>
            <w:tcW w:w="1176" w:type="dxa"/>
            <w:vAlign w:val="center"/>
          </w:tcPr>
          <w:p>
            <w:pPr>
              <w:spacing w:line="240" w:lineRule="auto"/>
              <w:jc w:val="center"/>
              <w:rPr>
                <w:sz w:val="21"/>
                <w:szCs w:val="21"/>
              </w:rPr>
            </w:pPr>
            <w:r>
              <w:rPr>
                <w:sz w:val="21"/>
                <w:szCs w:val="21"/>
              </w:rPr>
              <w:t>法学</w:t>
            </w:r>
          </w:p>
        </w:tc>
        <w:tc>
          <w:tcPr>
            <w:tcW w:w="1896" w:type="dxa"/>
            <w:vAlign w:val="center"/>
          </w:tcPr>
          <w:p>
            <w:pPr>
              <w:spacing w:line="240" w:lineRule="auto"/>
              <w:jc w:val="center"/>
              <w:rPr>
                <w:kern w:val="0"/>
                <w:sz w:val="21"/>
                <w:szCs w:val="21"/>
              </w:rPr>
            </w:pPr>
            <w:r>
              <w:rPr>
                <w:kern w:val="0"/>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6" w:type="dxa"/>
          </w:tcPr>
          <w:p>
            <w:pPr>
              <w:spacing w:line="240" w:lineRule="auto"/>
              <w:jc w:val="center"/>
              <w:rPr>
                <w:kern w:val="0"/>
                <w:sz w:val="21"/>
                <w:szCs w:val="21"/>
              </w:rPr>
            </w:pPr>
            <w:r>
              <w:rPr>
                <w:kern w:val="0"/>
                <w:sz w:val="21"/>
                <w:szCs w:val="21"/>
              </w:rPr>
              <w:t>8</w:t>
            </w:r>
          </w:p>
        </w:tc>
        <w:tc>
          <w:tcPr>
            <w:tcW w:w="3576" w:type="dxa"/>
            <w:vAlign w:val="center"/>
          </w:tcPr>
          <w:p>
            <w:pPr>
              <w:spacing w:line="240" w:lineRule="auto"/>
              <w:jc w:val="center"/>
              <w:rPr>
                <w:kern w:val="0"/>
                <w:sz w:val="21"/>
                <w:szCs w:val="21"/>
              </w:rPr>
            </w:pPr>
            <w:r>
              <w:rPr>
                <w:kern w:val="0"/>
                <w:sz w:val="21"/>
                <w:szCs w:val="21"/>
              </w:rPr>
              <w:t>泰安市司法局法律援助中心</w:t>
            </w:r>
          </w:p>
        </w:tc>
        <w:tc>
          <w:tcPr>
            <w:tcW w:w="1176" w:type="dxa"/>
            <w:vAlign w:val="center"/>
          </w:tcPr>
          <w:p>
            <w:pPr>
              <w:spacing w:line="240" w:lineRule="auto"/>
              <w:jc w:val="center"/>
              <w:rPr>
                <w:sz w:val="21"/>
                <w:szCs w:val="21"/>
              </w:rPr>
            </w:pPr>
            <w:r>
              <w:rPr>
                <w:sz w:val="21"/>
                <w:szCs w:val="21"/>
              </w:rPr>
              <w:t>法学</w:t>
            </w:r>
          </w:p>
        </w:tc>
        <w:tc>
          <w:tcPr>
            <w:tcW w:w="1896" w:type="dxa"/>
            <w:vAlign w:val="center"/>
          </w:tcPr>
          <w:p>
            <w:pPr>
              <w:spacing w:line="240" w:lineRule="auto"/>
              <w:jc w:val="center"/>
              <w:rPr>
                <w:kern w:val="0"/>
                <w:sz w:val="21"/>
                <w:szCs w:val="21"/>
              </w:rPr>
            </w:pPr>
            <w:r>
              <w:rPr>
                <w:kern w:val="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6" w:type="dxa"/>
          </w:tcPr>
          <w:p>
            <w:pPr>
              <w:spacing w:line="240" w:lineRule="auto"/>
              <w:jc w:val="center"/>
              <w:rPr>
                <w:kern w:val="0"/>
                <w:sz w:val="21"/>
                <w:szCs w:val="21"/>
              </w:rPr>
            </w:pPr>
            <w:r>
              <w:rPr>
                <w:kern w:val="0"/>
                <w:sz w:val="21"/>
                <w:szCs w:val="21"/>
              </w:rPr>
              <w:t>9</w:t>
            </w:r>
          </w:p>
        </w:tc>
        <w:tc>
          <w:tcPr>
            <w:tcW w:w="3576" w:type="dxa"/>
            <w:vAlign w:val="center"/>
          </w:tcPr>
          <w:p>
            <w:pPr>
              <w:spacing w:line="240" w:lineRule="auto"/>
              <w:jc w:val="center"/>
              <w:rPr>
                <w:kern w:val="0"/>
                <w:sz w:val="21"/>
                <w:szCs w:val="21"/>
              </w:rPr>
            </w:pPr>
            <w:r>
              <w:rPr>
                <w:kern w:val="0"/>
                <w:sz w:val="21"/>
                <w:szCs w:val="21"/>
              </w:rPr>
              <w:t>山东省泰安市岱宗公证处</w:t>
            </w:r>
          </w:p>
        </w:tc>
        <w:tc>
          <w:tcPr>
            <w:tcW w:w="1176" w:type="dxa"/>
            <w:vAlign w:val="center"/>
          </w:tcPr>
          <w:p>
            <w:pPr>
              <w:spacing w:line="240" w:lineRule="auto"/>
              <w:jc w:val="center"/>
              <w:rPr>
                <w:sz w:val="21"/>
                <w:szCs w:val="21"/>
              </w:rPr>
            </w:pPr>
            <w:r>
              <w:rPr>
                <w:sz w:val="21"/>
                <w:szCs w:val="21"/>
              </w:rPr>
              <w:t>法学</w:t>
            </w:r>
          </w:p>
        </w:tc>
        <w:tc>
          <w:tcPr>
            <w:tcW w:w="1896" w:type="dxa"/>
            <w:vAlign w:val="center"/>
          </w:tcPr>
          <w:p>
            <w:pPr>
              <w:spacing w:line="240" w:lineRule="auto"/>
              <w:jc w:val="center"/>
              <w:rPr>
                <w:kern w:val="0"/>
                <w:sz w:val="21"/>
                <w:szCs w:val="21"/>
              </w:rPr>
            </w:pPr>
            <w:r>
              <w:rPr>
                <w:kern w:val="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6" w:type="dxa"/>
          </w:tcPr>
          <w:p>
            <w:pPr>
              <w:spacing w:line="240" w:lineRule="auto"/>
              <w:jc w:val="center"/>
              <w:rPr>
                <w:kern w:val="0"/>
                <w:sz w:val="21"/>
                <w:szCs w:val="21"/>
              </w:rPr>
            </w:pPr>
            <w:r>
              <w:rPr>
                <w:kern w:val="0"/>
                <w:sz w:val="21"/>
                <w:szCs w:val="21"/>
              </w:rPr>
              <w:t>10</w:t>
            </w:r>
          </w:p>
        </w:tc>
        <w:tc>
          <w:tcPr>
            <w:tcW w:w="3576" w:type="dxa"/>
            <w:vAlign w:val="center"/>
          </w:tcPr>
          <w:p>
            <w:pPr>
              <w:spacing w:line="240" w:lineRule="auto"/>
              <w:jc w:val="center"/>
              <w:rPr>
                <w:kern w:val="0"/>
                <w:sz w:val="21"/>
                <w:szCs w:val="21"/>
              </w:rPr>
            </w:pPr>
            <w:r>
              <w:rPr>
                <w:kern w:val="0"/>
                <w:sz w:val="21"/>
                <w:szCs w:val="21"/>
              </w:rPr>
              <w:t>山东泰山蓝天律师事务所</w:t>
            </w:r>
          </w:p>
        </w:tc>
        <w:tc>
          <w:tcPr>
            <w:tcW w:w="1176" w:type="dxa"/>
            <w:vAlign w:val="center"/>
          </w:tcPr>
          <w:p>
            <w:pPr>
              <w:spacing w:line="240" w:lineRule="auto"/>
              <w:jc w:val="center"/>
              <w:rPr>
                <w:kern w:val="0"/>
                <w:sz w:val="21"/>
                <w:szCs w:val="21"/>
              </w:rPr>
            </w:pPr>
            <w:r>
              <w:rPr>
                <w:sz w:val="21"/>
                <w:szCs w:val="21"/>
              </w:rPr>
              <w:t>法学</w:t>
            </w:r>
          </w:p>
        </w:tc>
        <w:tc>
          <w:tcPr>
            <w:tcW w:w="1896" w:type="dxa"/>
            <w:vAlign w:val="center"/>
          </w:tcPr>
          <w:p>
            <w:pPr>
              <w:spacing w:line="240" w:lineRule="auto"/>
              <w:jc w:val="center"/>
              <w:rPr>
                <w:kern w:val="0"/>
                <w:sz w:val="21"/>
                <w:szCs w:val="21"/>
              </w:rPr>
            </w:pPr>
            <w:r>
              <w:rPr>
                <w:kern w:val="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6" w:type="dxa"/>
          </w:tcPr>
          <w:p>
            <w:pPr>
              <w:spacing w:line="240" w:lineRule="auto"/>
              <w:jc w:val="center"/>
              <w:rPr>
                <w:kern w:val="0"/>
                <w:sz w:val="21"/>
                <w:szCs w:val="21"/>
              </w:rPr>
            </w:pPr>
            <w:r>
              <w:rPr>
                <w:kern w:val="0"/>
                <w:sz w:val="21"/>
                <w:szCs w:val="21"/>
              </w:rPr>
              <w:t>11</w:t>
            </w:r>
          </w:p>
        </w:tc>
        <w:tc>
          <w:tcPr>
            <w:tcW w:w="3576" w:type="dxa"/>
            <w:vAlign w:val="center"/>
          </w:tcPr>
          <w:p>
            <w:pPr>
              <w:spacing w:line="240" w:lineRule="auto"/>
              <w:jc w:val="center"/>
              <w:rPr>
                <w:kern w:val="0"/>
                <w:sz w:val="21"/>
                <w:szCs w:val="21"/>
              </w:rPr>
            </w:pPr>
            <w:r>
              <w:rPr>
                <w:kern w:val="0"/>
                <w:sz w:val="21"/>
                <w:szCs w:val="21"/>
              </w:rPr>
              <w:t>泰安市仲裁委员会</w:t>
            </w:r>
          </w:p>
        </w:tc>
        <w:tc>
          <w:tcPr>
            <w:tcW w:w="1176" w:type="dxa"/>
            <w:vAlign w:val="center"/>
          </w:tcPr>
          <w:p>
            <w:pPr>
              <w:spacing w:line="240" w:lineRule="auto"/>
              <w:jc w:val="center"/>
              <w:rPr>
                <w:kern w:val="0"/>
                <w:sz w:val="21"/>
                <w:szCs w:val="21"/>
              </w:rPr>
            </w:pPr>
            <w:r>
              <w:rPr>
                <w:sz w:val="21"/>
                <w:szCs w:val="21"/>
              </w:rPr>
              <w:t>法学</w:t>
            </w:r>
          </w:p>
        </w:tc>
        <w:tc>
          <w:tcPr>
            <w:tcW w:w="1896" w:type="dxa"/>
            <w:vAlign w:val="center"/>
          </w:tcPr>
          <w:p>
            <w:pPr>
              <w:spacing w:line="240" w:lineRule="auto"/>
              <w:jc w:val="center"/>
              <w:rPr>
                <w:kern w:val="0"/>
                <w:sz w:val="21"/>
                <w:szCs w:val="21"/>
              </w:rPr>
            </w:pPr>
            <w:r>
              <w:rPr>
                <w:kern w:val="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6" w:type="dxa"/>
          </w:tcPr>
          <w:p>
            <w:pPr>
              <w:spacing w:line="240" w:lineRule="auto"/>
              <w:jc w:val="center"/>
              <w:rPr>
                <w:kern w:val="0"/>
                <w:sz w:val="21"/>
                <w:szCs w:val="21"/>
              </w:rPr>
            </w:pPr>
            <w:r>
              <w:rPr>
                <w:kern w:val="0"/>
                <w:sz w:val="21"/>
                <w:szCs w:val="21"/>
              </w:rPr>
              <w:t>12</w:t>
            </w:r>
          </w:p>
        </w:tc>
        <w:tc>
          <w:tcPr>
            <w:tcW w:w="3576" w:type="dxa"/>
            <w:vAlign w:val="center"/>
          </w:tcPr>
          <w:p>
            <w:pPr>
              <w:spacing w:line="240" w:lineRule="auto"/>
              <w:jc w:val="center"/>
              <w:rPr>
                <w:kern w:val="0"/>
                <w:sz w:val="21"/>
                <w:szCs w:val="21"/>
              </w:rPr>
            </w:pPr>
            <w:r>
              <w:rPr>
                <w:kern w:val="0"/>
                <w:sz w:val="21"/>
                <w:szCs w:val="21"/>
              </w:rPr>
              <w:t>山东泰润律师事务所</w:t>
            </w:r>
          </w:p>
        </w:tc>
        <w:tc>
          <w:tcPr>
            <w:tcW w:w="1176" w:type="dxa"/>
            <w:vAlign w:val="center"/>
          </w:tcPr>
          <w:p>
            <w:pPr>
              <w:spacing w:line="240" w:lineRule="auto"/>
              <w:jc w:val="center"/>
              <w:rPr>
                <w:kern w:val="0"/>
                <w:sz w:val="21"/>
                <w:szCs w:val="21"/>
              </w:rPr>
            </w:pPr>
            <w:r>
              <w:rPr>
                <w:sz w:val="21"/>
                <w:szCs w:val="21"/>
              </w:rPr>
              <w:t>法学</w:t>
            </w:r>
          </w:p>
        </w:tc>
        <w:tc>
          <w:tcPr>
            <w:tcW w:w="1896" w:type="dxa"/>
            <w:vAlign w:val="center"/>
          </w:tcPr>
          <w:p>
            <w:pPr>
              <w:spacing w:line="240" w:lineRule="auto"/>
              <w:jc w:val="center"/>
              <w:rPr>
                <w:kern w:val="0"/>
                <w:sz w:val="21"/>
                <w:szCs w:val="21"/>
              </w:rPr>
            </w:pPr>
            <w:r>
              <w:rPr>
                <w:kern w:val="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6" w:type="dxa"/>
          </w:tcPr>
          <w:p>
            <w:pPr>
              <w:spacing w:line="240" w:lineRule="auto"/>
              <w:jc w:val="center"/>
              <w:rPr>
                <w:kern w:val="0"/>
                <w:sz w:val="21"/>
                <w:szCs w:val="21"/>
              </w:rPr>
            </w:pPr>
            <w:r>
              <w:rPr>
                <w:kern w:val="0"/>
                <w:sz w:val="21"/>
                <w:szCs w:val="21"/>
              </w:rPr>
              <w:t>13</w:t>
            </w:r>
          </w:p>
        </w:tc>
        <w:tc>
          <w:tcPr>
            <w:tcW w:w="3576" w:type="dxa"/>
            <w:vAlign w:val="center"/>
          </w:tcPr>
          <w:p>
            <w:pPr>
              <w:spacing w:line="240" w:lineRule="auto"/>
              <w:jc w:val="center"/>
              <w:rPr>
                <w:kern w:val="0"/>
                <w:sz w:val="21"/>
                <w:szCs w:val="21"/>
              </w:rPr>
            </w:pPr>
            <w:r>
              <w:rPr>
                <w:kern w:val="0"/>
                <w:sz w:val="21"/>
                <w:szCs w:val="21"/>
              </w:rPr>
              <w:t>山东公允律师事务所</w:t>
            </w:r>
          </w:p>
        </w:tc>
        <w:tc>
          <w:tcPr>
            <w:tcW w:w="1176" w:type="dxa"/>
            <w:vAlign w:val="center"/>
          </w:tcPr>
          <w:p>
            <w:pPr>
              <w:spacing w:line="240" w:lineRule="auto"/>
              <w:jc w:val="center"/>
              <w:rPr>
                <w:kern w:val="0"/>
                <w:sz w:val="21"/>
                <w:szCs w:val="21"/>
              </w:rPr>
            </w:pPr>
            <w:r>
              <w:rPr>
                <w:sz w:val="21"/>
                <w:szCs w:val="21"/>
              </w:rPr>
              <w:t>法学</w:t>
            </w:r>
          </w:p>
        </w:tc>
        <w:tc>
          <w:tcPr>
            <w:tcW w:w="1896" w:type="dxa"/>
            <w:vAlign w:val="center"/>
          </w:tcPr>
          <w:p>
            <w:pPr>
              <w:spacing w:line="240" w:lineRule="auto"/>
              <w:jc w:val="center"/>
              <w:rPr>
                <w:kern w:val="0"/>
                <w:sz w:val="21"/>
                <w:szCs w:val="21"/>
              </w:rPr>
            </w:pPr>
            <w:r>
              <w:rPr>
                <w:kern w:val="0"/>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6" w:type="dxa"/>
          </w:tcPr>
          <w:p>
            <w:pPr>
              <w:spacing w:line="240" w:lineRule="auto"/>
              <w:jc w:val="center"/>
              <w:rPr>
                <w:kern w:val="0"/>
                <w:sz w:val="21"/>
                <w:szCs w:val="21"/>
              </w:rPr>
            </w:pPr>
            <w:r>
              <w:rPr>
                <w:kern w:val="0"/>
                <w:sz w:val="21"/>
                <w:szCs w:val="21"/>
              </w:rPr>
              <w:t>14</w:t>
            </w:r>
          </w:p>
        </w:tc>
        <w:tc>
          <w:tcPr>
            <w:tcW w:w="3576" w:type="dxa"/>
            <w:vAlign w:val="center"/>
          </w:tcPr>
          <w:p>
            <w:pPr>
              <w:spacing w:line="240" w:lineRule="auto"/>
              <w:jc w:val="center"/>
              <w:rPr>
                <w:kern w:val="0"/>
                <w:sz w:val="21"/>
                <w:szCs w:val="21"/>
              </w:rPr>
            </w:pPr>
            <w:r>
              <w:rPr>
                <w:kern w:val="0"/>
                <w:sz w:val="21"/>
                <w:szCs w:val="21"/>
              </w:rPr>
              <w:t>山东瀛众律师事务所</w:t>
            </w:r>
          </w:p>
        </w:tc>
        <w:tc>
          <w:tcPr>
            <w:tcW w:w="1176" w:type="dxa"/>
            <w:vAlign w:val="center"/>
          </w:tcPr>
          <w:p>
            <w:pPr>
              <w:spacing w:line="240" w:lineRule="auto"/>
              <w:jc w:val="center"/>
              <w:rPr>
                <w:kern w:val="0"/>
                <w:sz w:val="21"/>
                <w:szCs w:val="21"/>
              </w:rPr>
            </w:pPr>
            <w:r>
              <w:rPr>
                <w:sz w:val="21"/>
                <w:szCs w:val="21"/>
              </w:rPr>
              <w:t>法学</w:t>
            </w:r>
          </w:p>
        </w:tc>
        <w:tc>
          <w:tcPr>
            <w:tcW w:w="1896" w:type="dxa"/>
            <w:vAlign w:val="center"/>
          </w:tcPr>
          <w:p>
            <w:pPr>
              <w:spacing w:line="240" w:lineRule="auto"/>
              <w:jc w:val="center"/>
              <w:rPr>
                <w:kern w:val="0"/>
                <w:sz w:val="21"/>
                <w:szCs w:val="21"/>
              </w:rPr>
            </w:pPr>
            <w:r>
              <w:rPr>
                <w:kern w:val="0"/>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6" w:type="dxa"/>
          </w:tcPr>
          <w:p>
            <w:pPr>
              <w:spacing w:line="240" w:lineRule="auto"/>
              <w:jc w:val="center"/>
              <w:rPr>
                <w:kern w:val="0"/>
                <w:sz w:val="21"/>
                <w:szCs w:val="21"/>
              </w:rPr>
            </w:pPr>
            <w:r>
              <w:rPr>
                <w:kern w:val="0"/>
                <w:sz w:val="21"/>
                <w:szCs w:val="21"/>
              </w:rPr>
              <w:t>15</w:t>
            </w:r>
          </w:p>
        </w:tc>
        <w:tc>
          <w:tcPr>
            <w:tcW w:w="3576" w:type="dxa"/>
            <w:vAlign w:val="center"/>
          </w:tcPr>
          <w:p>
            <w:pPr>
              <w:spacing w:line="240" w:lineRule="auto"/>
              <w:jc w:val="center"/>
              <w:rPr>
                <w:kern w:val="0"/>
                <w:sz w:val="21"/>
                <w:szCs w:val="21"/>
              </w:rPr>
            </w:pPr>
            <w:r>
              <w:rPr>
                <w:kern w:val="0"/>
                <w:sz w:val="21"/>
                <w:szCs w:val="21"/>
              </w:rPr>
              <w:t>山东成顺律师事务所</w:t>
            </w:r>
          </w:p>
        </w:tc>
        <w:tc>
          <w:tcPr>
            <w:tcW w:w="1176" w:type="dxa"/>
            <w:vAlign w:val="center"/>
          </w:tcPr>
          <w:p>
            <w:pPr>
              <w:spacing w:line="240" w:lineRule="auto"/>
              <w:jc w:val="center"/>
              <w:rPr>
                <w:kern w:val="0"/>
                <w:sz w:val="21"/>
                <w:szCs w:val="21"/>
              </w:rPr>
            </w:pPr>
            <w:r>
              <w:rPr>
                <w:sz w:val="21"/>
                <w:szCs w:val="21"/>
              </w:rPr>
              <w:t>法学</w:t>
            </w:r>
          </w:p>
        </w:tc>
        <w:tc>
          <w:tcPr>
            <w:tcW w:w="1896" w:type="dxa"/>
            <w:vAlign w:val="center"/>
          </w:tcPr>
          <w:p>
            <w:pPr>
              <w:spacing w:line="240" w:lineRule="auto"/>
              <w:jc w:val="center"/>
              <w:rPr>
                <w:kern w:val="0"/>
                <w:sz w:val="21"/>
                <w:szCs w:val="21"/>
              </w:rPr>
            </w:pPr>
            <w:r>
              <w:rPr>
                <w:kern w:val="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6" w:type="dxa"/>
          </w:tcPr>
          <w:p>
            <w:pPr>
              <w:spacing w:line="240" w:lineRule="auto"/>
              <w:jc w:val="center"/>
              <w:rPr>
                <w:kern w:val="0"/>
                <w:sz w:val="21"/>
                <w:szCs w:val="21"/>
              </w:rPr>
            </w:pPr>
            <w:r>
              <w:rPr>
                <w:kern w:val="0"/>
                <w:sz w:val="21"/>
                <w:szCs w:val="21"/>
              </w:rPr>
              <w:t>16</w:t>
            </w:r>
          </w:p>
        </w:tc>
        <w:tc>
          <w:tcPr>
            <w:tcW w:w="3576" w:type="dxa"/>
            <w:vAlign w:val="center"/>
          </w:tcPr>
          <w:p>
            <w:pPr>
              <w:spacing w:line="240" w:lineRule="auto"/>
              <w:jc w:val="center"/>
              <w:rPr>
                <w:kern w:val="0"/>
                <w:sz w:val="21"/>
                <w:szCs w:val="21"/>
              </w:rPr>
            </w:pPr>
            <w:r>
              <w:rPr>
                <w:kern w:val="0"/>
                <w:sz w:val="21"/>
                <w:szCs w:val="21"/>
              </w:rPr>
              <w:t>山东敢当律师事务所</w:t>
            </w:r>
          </w:p>
        </w:tc>
        <w:tc>
          <w:tcPr>
            <w:tcW w:w="1176" w:type="dxa"/>
            <w:vAlign w:val="center"/>
          </w:tcPr>
          <w:p>
            <w:pPr>
              <w:spacing w:line="240" w:lineRule="auto"/>
              <w:jc w:val="center"/>
              <w:rPr>
                <w:kern w:val="0"/>
                <w:sz w:val="21"/>
                <w:szCs w:val="21"/>
              </w:rPr>
            </w:pPr>
            <w:r>
              <w:rPr>
                <w:sz w:val="21"/>
                <w:szCs w:val="21"/>
              </w:rPr>
              <w:t>法学</w:t>
            </w:r>
          </w:p>
        </w:tc>
        <w:tc>
          <w:tcPr>
            <w:tcW w:w="1896" w:type="dxa"/>
            <w:vAlign w:val="center"/>
          </w:tcPr>
          <w:p>
            <w:pPr>
              <w:spacing w:line="240" w:lineRule="auto"/>
              <w:jc w:val="center"/>
              <w:rPr>
                <w:kern w:val="0"/>
                <w:sz w:val="21"/>
                <w:szCs w:val="21"/>
              </w:rPr>
            </w:pPr>
            <w:r>
              <w:rPr>
                <w:kern w:val="0"/>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96" w:type="dxa"/>
          </w:tcPr>
          <w:p>
            <w:pPr>
              <w:spacing w:line="240" w:lineRule="auto"/>
              <w:jc w:val="center"/>
              <w:rPr>
                <w:kern w:val="0"/>
                <w:sz w:val="21"/>
                <w:szCs w:val="21"/>
              </w:rPr>
            </w:pPr>
            <w:r>
              <w:rPr>
                <w:kern w:val="0"/>
                <w:sz w:val="21"/>
                <w:szCs w:val="21"/>
              </w:rPr>
              <w:t>17</w:t>
            </w:r>
          </w:p>
        </w:tc>
        <w:tc>
          <w:tcPr>
            <w:tcW w:w="3576" w:type="dxa"/>
            <w:vAlign w:val="center"/>
          </w:tcPr>
          <w:p>
            <w:pPr>
              <w:spacing w:line="240" w:lineRule="auto"/>
              <w:jc w:val="center"/>
              <w:rPr>
                <w:kern w:val="0"/>
                <w:sz w:val="21"/>
                <w:szCs w:val="21"/>
              </w:rPr>
            </w:pPr>
            <w:r>
              <w:rPr>
                <w:kern w:val="0"/>
                <w:sz w:val="21"/>
                <w:szCs w:val="21"/>
              </w:rPr>
              <w:t>山东华林律师事务所</w:t>
            </w:r>
          </w:p>
        </w:tc>
        <w:tc>
          <w:tcPr>
            <w:tcW w:w="1176" w:type="dxa"/>
            <w:vAlign w:val="center"/>
          </w:tcPr>
          <w:p>
            <w:pPr>
              <w:spacing w:line="240" w:lineRule="auto"/>
              <w:jc w:val="center"/>
              <w:rPr>
                <w:sz w:val="21"/>
                <w:szCs w:val="21"/>
              </w:rPr>
            </w:pPr>
            <w:r>
              <w:rPr>
                <w:sz w:val="21"/>
                <w:szCs w:val="21"/>
              </w:rPr>
              <w:t>法学</w:t>
            </w:r>
          </w:p>
        </w:tc>
        <w:tc>
          <w:tcPr>
            <w:tcW w:w="1896" w:type="dxa"/>
            <w:vAlign w:val="center"/>
          </w:tcPr>
          <w:p>
            <w:pPr>
              <w:spacing w:line="240" w:lineRule="auto"/>
              <w:jc w:val="center"/>
              <w:rPr>
                <w:kern w:val="0"/>
                <w:sz w:val="21"/>
                <w:szCs w:val="21"/>
              </w:rPr>
            </w:pPr>
            <w:r>
              <w:rPr>
                <w:kern w:val="0"/>
                <w:sz w:val="21"/>
                <w:szCs w:val="21"/>
              </w:rPr>
              <w:t>4</w:t>
            </w:r>
          </w:p>
        </w:tc>
      </w:tr>
    </w:tbl>
    <w:p>
      <w:pPr>
        <w:pStyle w:val="6"/>
        <w:ind w:firstLine="480"/>
      </w:pPr>
      <w:bookmarkStart w:id="549" w:name="_Toc58568806"/>
      <w:r>
        <w:t>（五）现代教学技术应用</w:t>
      </w:r>
      <w:bookmarkEnd w:id="549"/>
    </w:p>
    <w:p>
      <w:pPr>
        <w:ind w:firstLine="480" w:firstLineChars="200"/>
      </w:pPr>
      <w:r>
        <w:t>法学院教师重视现代教学技术的应用，普遍采用网络教学或者多媒体教学等现代教学手段。目前，正适应现代教育技术的发展要求，探索模拟法庭、MOOC等现代网络教学方法。有18位教师使用多媒体课件进行教学，100%的专业课程实现了多媒体教学，2门课程实行了双语教学。同时法学专业的教学文件、教学大纲、教学日历、试卷及其标准答案、试卷分析、教研活动等教学文件管理规范，相关教学文件齐备。王敏副教授主持的核心课程《民法》于2021年被评为山东省一流本科课程。</w:t>
      </w:r>
    </w:p>
    <w:p>
      <w:pPr>
        <w:pStyle w:val="5"/>
        <w:spacing w:before="93" w:after="93"/>
        <w:ind w:firstLine="560"/>
      </w:pPr>
      <w:bookmarkStart w:id="550" w:name="_Toc58568807"/>
      <w:r>
        <w:t>四、培养机制与特色</w:t>
      </w:r>
      <w:bookmarkEnd w:id="550"/>
    </w:p>
    <w:p>
      <w:pPr>
        <w:ind w:firstLine="480" w:firstLineChars="200"/>
      </w:pPr>
      <w:r>
        <w:t>法学系在办学中逐渐凝聚形成自己的特色，实行</w:t>
      </w:r>
      <w:r>
        <w:rPr>
          <w:rFonts w:hint="eastAsia"/>
        </w:rPr>
        <w:t>“</w:t>
      </w:r>
      <w:r>
        <w:t>大类招生、二次选拔、专业培养</w:t>
      </w:r>
      <w:r>
        <w:rPr>
          <w:rFonts w:hint="eastAsia"/>
        </w:rPr>
        <w:t>”</w:t>
      </w:r>
      <w:r>
        <w:t>，即面向高中文理科学生实行按法学专业大类招生，入学学习一年后在全校范围内，允许学生调整专业，每年在大二专业调整时，法学专业都要扩增一个班。同时，注重对学生的专业化培养，在法学基础课程之外，开设了民商法方向、诉讼法方向、经济法等方向的专业选修课，学生可根据个人的兴趣点进行专业素质的提升。</w:t>
      </w:r>
    </w:p>
    <w:p>
      <w:pPr>
        <w:ind w:firstLine="480" w:firstLineChars="200"/>
      </w:pPr>
      <w:r>
        <w:t>法学专业为学校人文社科类里的特色专业，正逐步形成以下特色优势地位：</w:t>
      </w:r>
    </w:p>
    <w:p>
      <w:pPr>
        <w:ind w:firstLine="480" w:firstLineChars="200"/>
      </w:pPr>
      <w:r>
        <w:t>一是注重培养应用型法律人才。法学系较早设立了</w:t>
      </w:r>
      <w:r>
        <w:rPr>
          <w:rFonts w:hint="eastAsia"/>
        </w:rPr>
        <w:t>“</w:t>
      </w:r>
      <w:r>
        <w:t>模拟法庭</w:t>
      </w:r>
      <w:r>
        <w:rPr>
          <w:rFonts w:hint="eastAsia"/>
        </w:rPr>
        <w:t>”</w:t>
      </w:r>
      <w:r>
        <w:t>，不断新设实习基地，实践和教学结合紧密的人才培养模式改革成效显著，教学过程的实践性、开放性更加突出，人才的培养目标正逐步向高素质、应用型法律人才转变。今年以来，学生获山东</w:t>
      </w:r>
      <w:r>
        <w:rPr>
          <w:rFonts w:hint="eastAsia"/>
        </w:rPr>
        <w:t>“</w:t>
      </w:r>
      <w:r>
        <w:t>学宪法、讲宪法</w:t>
      </w:r>
      <w:r>
        <w:rPr>
          <w:rFonts w:hint="eastAsia"/>
        </w:rPr>
        <w:t>”</w:t>
      </w:r>
      <w:r>
        <w:t>演讲比赛三等奖。</w:t>
      </w:r>
    </w:p>
    <w:p>
      <w:pPr>
        <w:autoSpaceDE w:val="0"/>
        <w:autoSpaceDN w:val="0"/>
        <w:adjustRightInd w:val="0"/>
        <w:ind w:firstLine="480" w:firstLineChars="200"/>
        <w:jc w:val="left"/>
      </w:pPr>
      <w:r>
        <w:t>二是着重服务于地方立法司法工作需要。法学系循着错位竞争、服务地方的办学理念，找准自身定位，将服务于地方立法司法工作需要作为办学的重心。近几年法学系骨干教师承担了《山东省乡村振兴促进条例》《土地承包经营权流转管理办法》《泰安市土地批后管理办法》《泰安市停车管理条例》《泰安市养犬管理条例》《济宁市农村人居环境治理条例》《泰安市河湖保护管理办法》的制定与论证工作，形成了与学校特色相宜的农事法优势。</w:t>
      </w:r>
    </w:p>
    <w:p>
      <w:pPr>
        <w:ind w:firstLine="480" w:firstLineChars="200"/>
      </w:pPr>
      <w:r>
        <w:t>三是智库成果助力决策部门。法学系通过各渠道报送的决策咨询和智库报告十余篇，其中，陈晓军教授课题组的《关于乡村振兴问卷调查情况的汇报》获得山东省委副书记杨东奇同志的批示；相焕伟老师参与任城监狱疫情处置工作，提交</w:t>
      </w:r>
      <w:r>
        <w:rPr>
          <w:rFonts w:hint="eastAsia"/>
        </w:rPr>
        <w:t>“</w:t>
      </w:r>
      <w:r>
        <w:t>关于服刑人员染病国家赔偿问题的分析与对策</w:t>
      </w:r>
      <w:r>
        <w:rPr>
          <w:rFonts w:hint="eastAsia"/>
        </w:rPr>
        <w:t>”</w:t>
      </w:r>
      <w:r>
        <w:t>智库成果，受到省政法委书记批示。</w:t>
      </w:r>
    </w:p>
    <w:p>
      <w:pPr>
        <w:ind w:firstLine="480" w:firstLineChars="200"/>
        <w:rPr>
          <w:rFonts w:eastAsia="仿宋_GB2312"/>
          <w:color w:val="333333"/>
          <w:kern w:val="0"/>
          <w:lang w:bidi="ar"/>
        </w:rPr>
      </w:pPr>
      <w:r>
        <w:t>四是依托山东农业大学雄厚的涉农资源，突出</w:t>
      </w:r>
      <w:r>
        <w:rPr>
          <w:rFonts w:hint="eastAsia"/>
        </w:rPr>
        <w:t>“</w:t>
      </w:r>
      <w:r>
        <w:t>涉农</w:t>
      </w:r>
      <w:r>
        <w:rPr>
          <w:rFonts w:hint="eastAsia"/>
        </w:rPr>
        <w:t>”</w:t>
      </w:r>
      <w:r>
        <w:t>特色，强调专业学习与三农问题的紧密联系，在农业经济法、环境资源法的教材建设、课堂教学、社会实践方面投入大量的时间与精力并取得显著的效果。</w:t>
      </w:r>
    </w:p>
    <w:p>
      <w:pPr>
        <w:pStyle w:val="5"/>
        <w:spacing w:before="93" w:after="93"/>
        <w:ind w:firstLine="560"/>
      </w:pPr>
      <w:bookmarkStart w:id="551" w:name="_Toc58568808"/>
      <w:r>
        <w:t>五、培养质量</w:t>
      </w:r>
      <w:bookmarkEnd w:id="551"/>
    </w:p>
    <w:p>
      <w:pPr>
        <w:ind w:firstLine="480" w:firstLineChars="200"/>
      </w:pPr>
      <w:r>
        <w:t>在专业教师的不懈努力下法学专业学生学习风气良好，绝大多数学生在专业教师的引导下对大学校园的学习生活能够有一个正确的认识，</w:t>
      </w:r>
      <w:r>
        <w:rPr>
          <w:rFonts w:hint="eastAsia"/>
        </w:rPr>
        <w:t>“</w:t>
      </w:r>
      <w:r>
        <w:t>争先创优</w:t>
      </w:r>
      <w:r>
        <w:rPr>
          <w:rFonts w:hint="eastAsia"/>
        </w:rPr>
        <w:t>”</w:t>
      </w:r>
      <w:r>
        <w:t>蔚然成风。</w:t>
      </w:r>
    </w:p>
    <w:p>
      <w:pPr>
        <w:ind w:firstLine="480" w:firstLineChars="200"/>
      </w:pPr>
      <w:r>
        <w:t>截止2022年8月31日，2022届毕业生就业122人，毕业去向落实率为79.22%，毕业生留鲁就业的66人，占已就业总人数的42.85%。</w:t>
      </w:r>
    </w:p>
    <w:p>
      <w:pPr>
        <w:ind w:firstLine="480" w:firstLineChars="200"/>
        <w:rPr>
          <w:rFonts w:eastAsia="黑体"/>
          <w:sz w:val="18"/>
          <w:szCs w:val="18"/>
        </w:rPr>
      </w:pPr>
      <w:r>
        <w:t>毕业生毕业去向主要包括升学、出国（境）、协议就业、劳动合同就业、应征义务兵、科研助理、国家基层项目、自主创业、其他录用形式就业、自由职业、暂不就业、待就业等多种方式就业，本专业毕业去向中其他录用形式就业方式就业人数最多，其次是升学方式。毕业生总体就业方式如下表所示。</w:t>
      </w:r>
    </w:p>
    <w:p>
      <w:pPr>
        <w:adjustRightInd w:val="0"/>
        <w:spacing w:line="480" w:lineRule="exact"/>
        <w:jc w:val="center"/>
        <w:rPr>
          <w:b/>
          <w:bCs/>
          <w:kern w:val="0"/>
          <w:sz w:val="21"/>
          <w:szCs w:val="21"/>
        </w:rPr>
      </w:pPr>
      <w:r>
        <w:rPr>
          <w:b/>
          <w:bCs/>
          <w:kern w:val="0"/>
          <w:sz w:val="21"/>
          <w:szCs w:val="21"/>
        </w:rPr>
        <w:t>附表7 毕业生就业方式统计表</w:t>
      </w:r>
    </w:p>
    <w:tbl>
      <w:tblPr>
        <w:tblStyle w:val="17"/>
        <w:tblW w:w="8940" w:type="dxa"/>
        <w:jc w:val="center"/>
        <w:tblLayout w:type="fixed"/>
        <w:tblCellMar>
          <w:top w:w="0" w:type="dxa"/>
          <w:left w:w="0" w:type="dxa"/>
          <w:bottom w:w="0" w:type="dxa"/>
          <w:right w:w="0" w:type="dxa"/>
        </w:tblCellMar>
      </w:tblPr>
      <w:tblGrid>
        <w:gridCol w:w="938"/>
        <w:gridCol w:w="860"/>
        <w:gridCol w:w="861"/>
        <w:gridCol w:w="1144"/>
        <w:gridCol w:w="1188"/>
        <w:gridCol w:w="888"/>
        <w:gridCol w:w="1172"/>
        <w:gridCol w:w="851"/>
        <w:gridCol w:w="1038"/>
      </w:tblGrid>
      <w:tr>
        <w:tblPrEx>
          <w:tblCellMar>
            <w:top w:w="0" w:type="dxa"/>
            <w:left w:w="0" w:type="dxa"/>
            <w:bottom w:w="0" w:type="dxa"/>
            <w:right w:w="0" w:type="dxa"/>
          </w:tblCellMar>
        </w:tblPrEx>
        <w:trPr>
          <w:trHeight w:val="389" w:hRule="atLeast"/>
          <w:jc w:val="center"/>
        </w:trPr>
        <w:tc>
          <w:tcPr>
            <w:tcW w:w="9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18"/>
                <w:szCs w:val="18"/>
                <w:lang w:bidi="ar"/>
              </w:rPr>
            </w:pPr>
            <w:r>
              <w:rPr>
                <w:b/>
                <w:bCs/>
                <w:color w:val="000000"/>
                <w:kern w:val="0"/>
                <w:sz w:val="18"/>
                <w:szCs w:val="18"/>
                <w:lang w:bidi="ar"/>
              </w:rPr>
              <w:t>就业方式</w:t>
            </w:r>
          </w:p>
        </w:tc>
        <w:tc>
          <w:tcPr>
            <w:tcW w:w="8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18"/>
                <w:szCs w:val="18"/>
                <w:lang w:bidi="ar"/>
              </w:rPr>
            </w:pPr>
            <w:r>
              <w:rPr>
                <w:b/>
                <w:bCs/>
                <w:color w:val="000000"/>
                <w:kern w:val="0"/>
                <w:sz w:val="18"/>
                <w:szCs w:val="18"/>
                <w:lang w:bidi="ar"/>
              </w:rPr>
              <w:t>国内</w:t>
            </w:r>
          </w:p>
          <w:p>
            <w:pPr>
              <w:widowControl/>
              <w:spacing w:line="240" w:lineRule="auto"/>
              <w:jc w:val="center"/>
              <w:textAlignment w:val="center"/>
              <w:rPr>
                <w:b/>
                <w:bCs/>
                <w:color w:val="000000"/>
                <w:kern w:val="0"/>
                <w:sz w:val="18"/>
                <w:szCs w:val="18"/>
                <w:lang w:bidi="ar"/>
              </w:rPr>
            </w:pPr>
            <w:r>
              <w:rPr>
                <w:b/>
                <w:bCs/>
                <w:color w:val="000000"/>
                <w:kern w:val="0"/>
                <w:sz w:val="18"/>
                <w:szCs w:val="18"/>
                <w:lang w:bidi="ar"/>
              </w:rPr>
              <w:t>升学</w:t>
            </w:r>
          </w:p>
        </w:tc>
        <w:tc>
          <w:tcPr>
            <w:tcW w:w="86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18"/>
                <w:szCs w:val="18"/>
                <w:lang w:bidi="ar"/>
              </w:rPr>
            </w:pPr>
            <w:r>
              <w:rPr>
                <w:b/>
                <w:bCs/>
                <w:color w:val="000000"/>
                <w:kern w:val="0"/>
                <w:sz w:val="18"/>
                <w:szCs w:val="18"/>
                <w:lang w:bidi="ar"/>
              </w:rPr>
              <w:t>出国</w:t>
            </w:r>
          </w:p>
        </w:tc>
        <w:tc>
          <w:tcPr>
            <w:tcW w:w="114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18"/>
                <w:szCs w:val="18"/>
                <w:lang w:bidi="ar"/>
              </w:rPr>
            </w:pPr>
            <w:r>
              <w:rPr>
                <w:b/>
                <w:bCs/>
                <w:color w:val="000000"/>
                <w:kern w:val="0"/>
                <w:sz w:val="18"/>
                <w:szCs w:val="18"/>
                <w:lang w:bidi="ar"/>
              </w:rPr>
              <w:t>协议就业</w:t>
            </w:r>
          </w:p>
        </w:tc>
        <w:tc>
          <w:tcPr>
            <w:tcW w:w="118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18"/>
                <w:szCs w:val="18"/>
                <w:lang w:bidi="ar"/>
              </w:rPr>
            </w:pPr>
            <w:r>
              <w:rPr>
                <w:b/>
                <w:bCs/>
                <w:color w:val="000000"/>
                <w:kern w:val="0"/>
                <w:sz w:val="18"/>
                <w:szCs w:val="18"/>
                <w:lang w:bidi="ar"/>
              </w:rPr>
              <w:t>劳动合同</w:t>
            </w:r>
          </w:p>
        </w:tc>
        <w:tc>
          <w:tcPr>
            <w:tcW w:w="88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18"/>
                <w:szCs w:val="18"/>
                <w:lang w:bidi="ar"/>
              </w:rPr>
            </w:pPr>
            <w:r>
              <w:rPr>
                <w:b/>
                <w:bCs/>
                <w:color w:val="000000"/>
                <w:kern w:val="0"/>
                <w:sz w:val="18"/>
                <w:szCs w:val="18"/>
                <w:lang w:bidi="ar"/>
              </w:rPr>
              <w:t>自主创业</w:t>
            </w:r>
          </w:p>
        </w:tc>
        <w:tc>
          <w:tcPr>
            <w:tcW w:w="11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18"/>
                <w:szCs w:val="18"/>
                <w:lang w:bidi="ar"/>
              </w:rPr>
            </w:pPr>
            <w:r>
              <w:rPr>
                <w:b/>
                <w:bCs/>
                <w:color w:val="000000"/>
                <w:kern w:val="0"/>
                <w:sz w:val="18"/>
                <w:szCs w:val="18"/>
                <w:lang w:bidi="ar"/>
              </w:rPr>
              <w:t>其他录用形式</w:t>
            </w:r>
          </w:p>
        </w:tc>
        <w:tc>
          <w:tcPr>
            <w:tcW w:w="85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18"/>
                <w:szCs w:val="18"/>
                <w:lang w:bidi="ar"/>
              </w:rPr>
            </w:pPr>
            <w:r>
              <w:rPr>
                <w:b/>
                <w:bCs/>
                <w:color w:val="000000"/>
                <w:kern w:val="0"/>
                <w:sz w:val="18"/>
                <w:szCs w:val="18"/>
                <w:lang w:bidi="ar"/>
              </w:rPr>
              <w:t>暂不就业</w:t>
            </w:r>
          </w:p>
        </w:tc>
        <w:tc>
          <w:tcPr>
            <w:tcW w:w="10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18"/>
                <w:szCs w:val="18"/>
                <w:lang w:bidi="ar"/>
              </w:rPr>
            </w:pPr>
            <w:r>
              <w:rPr>
                <w:b/>
                <w:bCs/>
                <w:color w:val="000000"/>
                <w:kern w:val="0"/>
                <w:sz w:val="18"/>
                <w:szCs w:val="18"/>
                <w:lang w:bidi="ar"/>
              </w:rPr>
              <w:t>待就业</w:t>
            </w:r>
          </w:p>
        </w:tc>
      </w:tr>
      <w:tr>
        <w:tblPrEx>
          <w:tblCellMar>
            <w:top w:w="0" w:type="dxa"/>
            <w:left w:w="0" w:type="dxa"/>
            <w:bottom w:w="0" w:type="dxa"/>
            <w:right w:w="0" w:type="dxa"/>
          </w:tblCellMar>
        </w:tblPrEx>
        <w:trPr>
          <w:trHeight w:val="430" w:hRule="atLeast"/>
          <w:jc w:val="center"/>
        </w:trPr>
        <w:tc>
          <w:tcPr>
            <w:tcW w:w="9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18"/>
                <w:szCs w:val="18"/>
                <w:lang w:bidi="ar"/>
              </w:rPr>
            </w:pPr>
            <w:r>
              <w:rPr>
                <w:color w:val="000000"/>
                <w:kern w:val="0"/>
                <w:sz w:val="18"/>
                <w:szCs w:val="18"/>
                <w:lang w:bidi="ar"/>
              </w:rPr>
              <w:t>人数</w:t>
            </w:r>
          </w:p>
          <w:p>
            <w:pPr>
              <w:widowControl/>
              <w:spacing w:line="240" w:lineRule="auto"/>
              <w:jc w:val="center"/>
              <w:textAlignment w:val="center"/>
              <w:rPr>
                <w:color w:val="000000"/>
                <w:kern w:val="0"/>
                <w:sz w:val="18"/>
                <w:szCs w:val="18"/>
                <w:lang w:bidi="ar"/>
              </w:rPr>
            </w:pPr>
            <w:r>
              <w:rPr>
                <w:color w:val="000000"/>
                <w:kern w:val="0"/>
                <w:sz w:val="18"/>
                <w:szCs w:val="18"/>
                <w:lang w:bidi="ar"/>
              </w:rPr>
              <w:t>（比例）</w:t>
            </w:r>
          </w:p>
        </w:tc>
        <w:tc>
          <w:tcPr>
            <w:tcW w:w="86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kern w:val="0"/>
                <w:sz w:val="18"/>
                <w:szCs w:val="18"/>
                <w:lang w:bidi="ar"/>
              </w:rPr>
            </w:pPr>
            <w:r>
              <w:rPr>
                <w:color w:val="000000"/>
                <w:kern w:val="0"/>
                <w:sz w:val="18"/>
                <w:szCs w:val="18"/>
                <w:lang w:bidi="ar"/>
              </w:rPr>
              <w:t>31</w:t>
            </w:r>
          </w:p>
          <w:p>
            <w:pPr>
              <w:spacing w:line="240" w:lineRule="auto"/>
              <w:rPr>
                <w:color w:val="000000"/>
                <w:kern w:val="0"/>
                <w:sz w:val="18"/>
                <w:szCs w:val="18"/>
                <w:lang w:bidi="ar"/>
              </w:rPr>
            </w:pPr>
            <w:r>
              <w:rPr>
                <w:color w:val="000000"/>
                <w:kern w:val="0"/>
                <w:sz w:val="18"/>
                <w:szCs w:val="18"/>
                <w:lang w:bidi="ar"/>
              </w:rPr>
              <w:t>（20.13%）</w:t>
            </w:r>
          </w:p>
        </w:tc>
        <w:tc>
          <w:tcPr>
            <w:tcW w:w="86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kern w:val="0"/>
                <w:sz w:val="18"/>
                <w:szCs w:val="18"/>
                <w:lang w:bidi="ar"/>
              </w:rPr>
            </w:pPr>
            <w:r>
              <w:rPr>
                <w:color w:val="000000"/>
                <w:kern w:val="0"/>
                <w:sz w:val="18"/>
                <w:szCs w:val="18"/>
                <w:lang w:bidi="ar"/>
              </w:rPr>
              <w:t>3</w:t>
            </w:r>
          </w:p>
          <w:p>
            <w:pPr>
              <w:spacing w:line="240" w:lineRule="auto"/>
              <w:jc w:val="center"/>
              <w:rPr>
                <w:color w:val="000000"/>
                <w:kern w:val="0"/>
                <w:sz w:val="18"/>
                <w:szCs w:val="18"/>
                <w:lang w:bidi="ar"/>
              </w:rPr>
            </w:pPr>
            <w:r>
              <w:rPr>
                <w:color w:val="000000"/>
                <w:kern w:val="0"/>
                <w:sz w:val="18"/>
                <w:szCs w:val="18"/>
                <w:lang w:bidi="ar"/>
              </w:rPr>
              <w:t>（1.95%）</w:t>
            </w:r>
          </w:p>
        </w:tc>
        <w:tc>
          <w:tcPr>
            <w:tcW w:w="114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kern w:val="0"/>
                <w:sz w:val="18"/>
                <w:szCs w:val="18"/>
                <w:lang w:bidi="ar"/>
              </w:rPr>
            </w:pPr>
            <w:r>
              <w:rPr>
                <w:color w:val="000000"/>
                <w:kern w:val="0"/>
                <w:sz w:val="18"/>
                <w:szCs w:val="18"/>
                <w:lang w:bidi="ar"/>
              </w:rPr>
              <w:t>12</w:t>
            </w:r>
          </w:p>
          <w:p>
            <w:pPr>
              <w:spacing w:line="240" w:lineRule="auto"/>
              <w:jc w:val="center"/>
              <w:rPr>
                <w:color w:val="000000"/>
                <w:kern w:val="0"/>
                <w:sz w:val="18"/>
                <w:szCs w:val="18"/>
                <w:lang w:bidi="ar"/>
              </w:rPr>
            </w:pPr>
            <w:r>
              <w:rPr>
                <w:color w:val="000000"/>
                <w:kern w:val="0"/>
                <w:sz w:val="18"/>
                <w:szCs w:val="18"/>
                <w:lang w:bidi="ar"/>
              </w:rPr>
              <w:t>（7.79%）</w:t>
            </w:r>
          </w:p>
        </w:tc>
        <w:tc>
          <w:tcPr>
            <w:tcW w:w="118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kern w:val="0"/>
                <w:sz w:val="18"/>
                <w:szCs w:val="18"/>
                <w:lang w:bidi="ar"/>
              </w:rPr>
            </w:pPr>
            <w:r>
              <w:rPr>
                <w:color w:val="000000"/>
                <w:kern w:val="0"/>
                <w:sz w:val="18"/>
                <w:szCs w:val="18"/>
                <w:lang w:bidi="ar"/>
              </w:rPr>
              <w:t>2</w:t>
            </w:r>
          </w:p>
          <w:p>
            <w:pPr>
              <w:spacing w:line="240" w:lineRule="auto"/>
              <w:jc w:val="center"/>
              <w:rPr>
                <w:color w:val="000000"/>
                <w:kern w:val="0"/>
                <w:sz w:val="18"/>
                <w:szCs w:val="18"/>
                <w:lang w:bidi="ar"/>
              </w:rPr>
            </w:pPr>
            <w:r>
              <w:rPr>
                <w:color w:val="000000"/>
                <w:kern w:val="0"/>
                <w:sz w:val="18"/>
                <w:szCs w:val="18"/>
                <w:lang w:bidi="ar"/>
              </w:rPr>
              <w:t>（1.30%）</w:t>
            </w:r>
          </w:p>
        </w:tc>
        <w:tc>
          <w:tcPr>
            <w:tcW w:w="88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kern w:val="0"/>
                <w:sz w:val="18"/>
                <w:szCs w:val="18"/>
                <w:lang w:bidi="ar"/>
              </w:rPr>
            </w:pPr>
            <w:r>
              <w:rPr>
                <w:color w:val="000000"/>
                <w:kern w:val="0"/>
                <w:sz w:val="18"/>
                <w:szCs w:val="18"/>
                <w:lang w:bidi="ar"/>
              </w:rPr>
              <w:t>1</w:t>
            </w:r>
          </w:p>
          <w:p>
            <w:pPr>
              <w:spacing w:line="240" w:lineRule="auto"/>
              <w:jc w:val="center"/>
              <w:rPr>
                <w:color w:val="000000"/>
                <w:kern w:val="0"/>
                <w:sz w:val="18"/>
                <w:szCs w:val="18"/>
                <w:lang w:bidi="ar"/>
              </w:rPr>
            </w:pPr>
            <w:r>
              <w:rPr>
                <w:color w:val="000000"/>
                <w:kern w:val="0"/>
                <w:sz w:val="18"/>
                <w:szCs w:val="18"/>
                <w:lang w:bidi="ar"/>
              </w:rPr>
              <w:t>（0.65%）</w:t>
            </w:r>
          </w:p>
        </w:tc>
        <w:tc>
          <w:tcPr>
            <w:tcW w:w="117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kern w:val="0"/>
                <w:sz w:val="18"/>
                <w:szCs w:val="18"/>
                <w:lang w:bidi="ar"/>
              </w:rPr>
            </w:pPr>
            <w:r>
              <w:rPr>
                <w:color w:val="000000"/>
                <w:kern w:val="0"/>
                <w:sz w:val="18"/>
                <w:szCs w:val="18"/>
                <w:lang w:bidi="ar"/>
              </w:rPr>
              <w:t>71</w:t>
            </w:r>
          </w:p>
          <w:p>
            <w:pPr>
              <w:spacing w:line="240" w:lineRule="auto"/>
              <w:jc w:val="center"/>
              <w:rPr>
                <w:color w:val="000000"/>
                <w:kern w:val="0"/>
                <w:sz w:val="18"/>
                <w:szCs w:val="18"/>
                <w:lang w:bidi="ar"/>
              </w:rPr>
            </w:pPr>
            <w:r>
              <w:rPr>
                <w:color w:val="000000"/>
                <w:kern w:val="0"/>
                <w:sz w:val="18"/>
                <w:szCs w:val="18"/>
                <w:lang w:bidi="ar"/>
              </w:rPr>
              <w:t>（46.10%）</w:t>
            </w:r>
          </w:p>
        </w:tc>
        <w:tc>
          <w:tcPr>
            <w:tcW w:w="85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kern w:val="0"/>
                <w:sz w:val="18"/>
                <w:szCs w:val="18"/>
                <w:lang w:bidi="ar"/>
              </w:rPr>
            </w:pPr>
            <w:r>
              <w:rPr>
                <w:color w:val="000000"/>
                <w:kern w:val="0"/>
                <w:sz w:val="18"/>
                <w:szCs w:val="18"/>
                <w:lang w:bidi="ar"/>
              </w:rPr>
              <w:t>1</w:t>
            </w:r>
          </w:p>
          <w:p>
            <w:pPr>
              <w:spacing w:line="240" w:lineRule="auto"/>
              <w:jc w:val="center"/>
              <w:rPr>
                <w:color w:val="000000"/>
                <w:kern w:val="0"/>
                <w:sz w:val="18"/>
                <w:szCs w:val="18"/>
                <w:lang w:bidi="ar"/>
              </w:rPr>
            </w:pPr>
            <w:r>
              <w:rPr>
                <w:color w:val="000000"/>
                <w:kern w:val="0"/>
                <w:sz w:val="18"/>
                <w:szCs w:val="18"/>
                <w:lang w:bidi="ar"/>
              </w:rPr>
              <w:t>（0.65%）</w:t>
            </w:r>
          </w:p>
        </w:tc>
        <w:tc>
          <w:tcPr>
            <w:tcW w:w="103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kern w:val="0"/>
                <w:sz w:val="18"/>
                <w:szCs w:val="18"/>
                <w:lang w:bidi="ar"/>
              </w:rPr>
            </w:pPr>
            <w:r>
              <w:rPr>
                <w:color w:val="000000"/>
                <w:kern w:val="0"/>
                <w:sz w:val="18"/>
                <w:szCs w:val="18"/>
                <w:lang w:bidi="ar"/>
              </w:rPr>
              <w:t>32</w:t>
            </w:r>
          </w:p>
          <w:p>
            <w:pPr>
              <w:spacing w:line="240" w:lineRule="auto"/>
              <w:jc w:val="center"/>
              <w:rPr>
                <w:color w:val="000000"/>
                <w:kern w:val="0"/>
                <w:sz w:val="18"/>
                <w:szCs w:val="18"/>
                <w:lang w:bidi="ar"/>
              </w:rPr>
            </w:pPr>
            <w:r>
              <w:rPr>
                <w:color w:val="000000"/>
                <w:kern w:val="0"/>
                <w:sz w:val="18"/>
                <w:szCs w:val="18"/>
                <w:lang w:bidi="ar"/>
              </w:rPr>
              <w:t>（20.788%）</w:t>
            </w:r>
          </w:p>
        </w:tc>
      </w:tr>
    </w:tbl>
    <w:p>
      <w:pPr>
        <w:ind w:firstLine="480" w:firstLineChars="200"/>
      </w:pPr>
      <w:r>
        <w:t>2022届毕业生国内升学31人，升学率20.13%，其中考入</w:t>
      </w:r>
      <w:r>
        <w:rPr>
          <w:rFonts w:hint="eastAsia"/>
        </w:rPr>
        <w:t>“</w:t>
      </w:r>
      <w:r>
        <w:t>双一流</w:t>
      </w:r>
      <w:r>
        <w:rPr>
          <w:rFonts w:hint="eastAsia"/>
        </w:rPr>
        <w:t>”</w:t>
      </w:r>
      <w:r>
        <w:t>大学20人，占国内升学总人数的64.52%。从升学专业来看，无跨专业升学人数。升学学校主要是西北政法大学、山东大学、大连海事大学等。</w:t>
      </w:r>
    </w:p>
    <w:p>
      <w:pPr>
        <w:adjustRightInd w:val="0"/>
        <w:spacing w:line="480" w:lineRule="exact"/>
        <w:jc w:val="center"/>
        <w:rPr>
          <w:b/>
          <w:bCs/>
          <w:kern w:val="0"/>
          <w:sz w:val="21"/>
          <w:szCs w:val="21"/>
        </w:rPr>
      </w:pPr>
      <w:r>
        <w:rPr>
          <w:b/>
          <w:bCs/>
          <w:kern w:val="0"/>
          <w:sz w:val="21"/>
          <w:szCs w:val="21"/>
        </w:rPr>
        <w:t>附表8国内升学学校前5位统计表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7"/>
        <w:gridCol w:w="3270"/>
        <w:gridCol w:w="2175"/>
        <w:gridCol w:w="2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7" w:type="dxa"/>
            <w:vAlign w:val="center"/>
          </w:tcPr>
          <w:p>
            <w:pPr>
              <w:adjustRightInd w:val="0"/>
              <w:spacing w:line="240" w:lineRule="auto"/>
              <w:jc w:val="center"/>
              <w:rPr>
                <w:b/>
                <w:bCs/>
                <w:kern w:val="0"/>
                <w:sz w:val="21"/>
                <w:szCs w:val="21"/>
              </w:rPr>
            </w:pPr>
            <w:r>
              <w:rPr>
                <w:b/>
                <w:bCs/>
                <w:kern w:val="0"/>
                <w:sz w:val="21"/>
                <w:szCs w:val="21"/>
              </w:rPr>
              <w:t>序号</w:t>
            </w:r>
          </w:p>
        </w:tc>
        <w:tc>
          <w:tcPr>
            <w:tcW w:w="3270" w:type="dxa"/>
            <w:vAlign w:val="center"/>
          </w:tcPr>
          <w:p>
            <w:pPr>
              <w:adjustRightInd w:val="0"/>
              <w:spacing w:line="240" w:lineRule="auto"/>
              <w:jc w:val="center"/>
              <w:rPr>
                <w:b/>
                <w:bCs/>
                <w:kern w:val="0"/>
                <w:sz w:val="21"/>
                <w:szCs w:val="21"/>
              </w:rPr>
            </w:pPr>
            <w:r>
              <w:rPr>
                <w:b/>
                <w:bCs/>
                <w:kern w:val="0"/>
                <w:sz w:val="21"/>
                <w:szCs w:val="21"/>
              </w:rPr>
              <w:t>升学学校名称</w:t>
            </w:r>
          </w:p>
        </w:tc>
        <w:tc>
          <w:tcPr>
            <w:tcW w:w="2175" w:type="dxa"/>
            <w:vAlign w:val="center"/>
          </w:tcPr>
          <w:p>
            <w:pPr>
              <w:adjustRightInd w:val="0"/>
              <w:spacing w:line="240" w:lineRule="auto"/>
              <w:jc w:val="center"/>
              <w:rPr>
                <w:b/>
                <w:bCs/>
                <w:kern w:val="0"/>
                <w:sz w:val="21"/>
                <w:szCs w:val="21"/>
              </w:rPr>
            </w:pPr>
            <w:r>
              <w:rPr>
                <w:b/>
                <w:bCs/>
                <w:kern w:val="0"/>
                <w:sz w:val="21"/>
                <w:szCs w:val="21"/>
              </w:rPr>
              <w:t>升学人数</w:t>
            </w:r>
          </w:p>
        </w:tc>
        <w:tc>
          <w:tcPr>
            <w:tcW w:w="2055" w:type="dxa"/>
            <w:vAlign w:val="center"/>
          </w:tcPr>
          <w:p>
            <w:pPr>
              <w:adjustRightInd w:val="0"/>
              <w:spacing w:line="240" w:lineRule="auto"/>
              <w:jc w:val="center"/>
              <w:rPr>
                <w:b/>
                <w:bCs/>
                <w:kern w:val="0"/>
                <w:sz w:val="21"/>
                <w:szCs w:val="21"/>
              </w:rPr>
            </w:pPr>
            <w:r>
              <w:rPr>
                <w:b/>
                <w:bCs/>
                <w:kern w:val="0"/>
                <w:sz w:val="21"/>
                <w:szCs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7" w:type="dxa"/>
            <w:vAlign w:val="center"/>
          </w:tcPr>
          <w:p>
            <w:pPr>
              <w:adjustRightInd w:val="0"/>
              <w:spacing w:line="240" w:lineRule="auto"/>
              <w:jc w:val="center"/>
              <w:rPr>
                <w:kern w:val="0"/>
                <w:sz w:val="21"/>
                <w:szCs w:val="21"/>
              </w:rPr>
            </w:pPr>
            <w:r>
              <w:rPr>
                <w:kern w:val="0"/>
                <w:sz w:val="21"/>
                <w:szCs w:val="21"/>
              </w:rPr>
              <w:t>1</w:t>
            </w:r>
          </w:p>
        </w:tc>
        <w:tc>
          <w:tcPr>
            <w:tcW w:w="3270" w:type="dxa"/>
            <w:vAlign w:val="center"/>
          </w:tcPr>
          <w:p>
            <w:pPr>
              <w:adjustRightInd w:val="0"/>
              <w:spacing w:line="240" w:lineRule="auto"/>
              <w:jc w:val="center"/>
              <w:rPr>
                <w:kern w:val="0"/>
                <w:sz w:val="21"/>
                <w:szCs w:val="21"/>
              </w:rPr>
            </w:pPr>
            <w:r>
              <w:rPr>
                <w:kern w:val="0"/>
                <w:sz w:val="21"/>
                <w:szCs w:val="21"/>
              </w:rPr>
              <w:t>西北政法大学</w:t>
            </w:r>
          </w:p>
        </w:tc>
        <w:tc>
          <w:tcPr>
            <w:tcW w:w="2175" w:type="dxa"/>
            <w:vAlign w:val="center"/>
          </w:tcPr>
          <w:p>
            <w:pPr>
              <w:adjustRightInd w:val="0"/>
              <w:spacing w:line="240" w:lineRule="auto"/>
              <w:jc w:val="center"/>
              <w:rPr>
                <w:kern w:val="0"/>
                <w:sz w:val="21"/>
                <w:szCs w:val="21"/>
              </w:rPr>
            </w:pPr>
            <w:r>
              <w:rPr>
                <w:kern w:val="0"/>
                <w:sz w:val="21"/>
                <w:szCs w:val="21"/>
              </w:rPr>
              <w:t>3</w:t>
            </w:r>
          </w:p>
        </w:tc>
        <w:tc>
          <w:tcPr>
            <w:tcW w:w="2055" w:type="dxa"/>
            <w:vAlign w:val="center"/>
          </w:tcPr>
          <w:p>
            <w:pPr>
              <w:adjustRightInd w:val="0"/>
              <w:spacing w:line="240" w:lineRule="auto"/>
              <w:jc w:val="center"/>
              <w:rPr>
                <w:kern w:val="0"/>
                <w:sz w:val="21"/>
                <w:szCs w:val="21"/>
              </w:rPr>
            </w:pPr>
            <w:r>
              <w:rPr>
                <w:kern w:val="0"/>
                <w:sz w:val="21"/>
                <w:szCs w:val="21"/>
              </w:rPr>
              <w:t>9.68%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7" w:type="dxa"/>
            <w:vAlign w:val="center"/>
          </w:tcPr>
          <w:p>
            <w:pPr>
              <w:adjustRightInd w:val="0"/>
              <w:spacing w:line="240" w:lineRule="auto"/>
              <w:jc w:val="center"/>
              <w:rPr>
                <w:kern w:val="0"/>
                <w:sz w:val="21"/>
                <w:szCs w:val="21"/>
              </w:rPr>
            </w:pPr>
            <w:r>
              <w:rPr>
                <w:kern w:val="0"/>
                <w:sz w:val="21"/>
                <w:szCs w:val="21"/>
              </w:rPr>
              <w:t>2</w:t>
            </w:r>
          </w:p>
        </w:tc>
        <w:tc>
          <w:tcPr>
            <w:tcW w:w="3270" w:type="dxa"/>
            <w:vAlign w:val="center"/>
          </w:tcPr>
          <w:p>
            <w:pPr>
              <w:adjustRightInd w:val="0"/>
              <w:spacing w:line="240" w:lineRule="auto"/>
              <w:jc w:val="center"/>
              <w:rPr>
                <w:kern w:val="0"/>
                <w:sz w:val="21"/>
                <w:szCs w:val="21"/>
              </w:rPr>
            </w:pPr>
            <w:r>
              <w:rPr>
                <w:kern w:val="0"/>
                <w:sz w:val="21"/>
                <w:szCs w:val="21"/>
              </w:rPr>
              <w:t>山东大学</w:t>
            </w:r>
          </w:p>
        </w:tc>
        <w:tc>
          <w:tcPr>
            <w:tcW w:w="2175" w:type="dxa"/>
            <w:vAlign w:val="center"/>
          </w:tcPr>
          <w:p>
            <w:pPr>
              <w:adjustRightInd w:val="0"/>
              <w:spacing w:line="240" w:lineRule="auto"/>
              <w:jc w:val="center"/>
              <w:rPr>
                <w:kern w:val="0"/>
                <w:sz w:val="21"/>
                <w:szCs w:val="21"/>
              </w:rPr>
            </w:pPr>
            <w:r>
              <w:rPr>
                <w:kern w:val="0"/>
                <w:sz w:val="21"/>
                <w:szCs w:val="21"/>
              </w:rPr>
              <w:t>3</w:t>
            </w:r>
          </w:p>
        </w:tc>
        <w:tc>
          <w:tcPr>
            <w:tcW w:w="2055" w:type="dxa"/>
            <w:vAlign w:val="center"/>
          </w:tcPr>
          <w:p>
            <w:pPr>
              <w:adjustRightInd w:val="0"/>
              <w:spacing w:line="240" w:lineRule="auto"/>
              <w:jc w:val="center"/>
              <w:rPr>
                <w:kern w:val="0"/>
                <w:sz w:val="21"/>
                <w:szCs w:val="21"/>
              </w:rPr>
            </w:pPr>
            <w:r>
              <w:rPr>
                <w:kern w:val="0"/>
                <w:sz w:val="21"/>
                <w:szCs w:val="21"/>
              </w:rPr>
              <w:t>9.68%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7" w:type="dxa"/>
            <w:vAlign w:val="center"/>
          </w:tcPr>
          <w:p>
            <w:pPr>
              <w:adjustRightInd w:val="0"/>
              <w:spacing w:line="240" w:lineRule="auto"/>
              <w:jc w:val="center"/>
              <w:rPr>
                <w:kern w:val="0"/>
                <w:sz w:val="21"/>
                <w:szCs w:val="21"/>
              </w:rPr>
            </w:pPr>
            <w:r>
              <w:rPr>
                <w:kern w:val="0"/>
                <w:sz w:val="21"/>
                <w:szCs w:val="21"/>
              </w:rPr>
              <w:t>3</w:t>
            </w:r>
          </w:p>
        </w:tc>
        <w:tc>
          <w:tcPr>
            <w:tcW w:w="3270" w:type="dxa"/>
            <w:vAlign w:val="center"/>
          </w:tcPr>
          <w:p>
            <w:pPr>
              <w:adjustRightInd w:val="0"/>
              <w:spacing w:line="240" w:lineRule="auto"/>
              <w:jc w:val="center"/>
              <w:rPr>
                <w:kern w:val="0"/>
                <w:sz w:val="21"/>
                <w:szCs w:val="21"/>
              </w:rPr>
            </w:pPr>
            <w:r>
              <w:rPr>
                <w:kern w:val="0"/>
                <w:sz w:val="21"/>
                <w:szCs w:val="21"/>
              </w:rPr>
              <w:t>大连海事大学</w:t>
            </w:r>
          </w:p>
        </w:tc>
        <w:tc>
          <w:tcPr>
            <w:tcW w:w="2175" w:type="dxa"/>
            <w:vAlign w:val="center"/>
          </w:tcPr>
          <w:p>
            <w:pPr>
              <w:adjustRightInd w:val="0"/>
              <w:spacing w:line="240" w:lineRule="auto"/>
              <w:jc w:val="center"/>
              <w:rPr>
                <w:kern w:val="0"/>
                <w:sz w:val="21"/>
                <w:szCs w:val="21"/>
              </w:rPr>
            </w:pPr>
            <w:r>
              <w:rPr>
                <w:kern w:val="0"/>
                <w:sz w:val="21"/>
                <w:szCs w:val="21"/>
              </w:rPr>
              <w:t>2</w:t>
            </w:r>
          </w:p>
        </w:tc>
        <w:tc>
          <w:tcPr>
            <w:tcW w:w="2055" w:type="dxa"/>
            <w:vAlign w:val="center"/>
          </w:tcPr>
          <w:p>
            <w:pPr>
              <w:adjustRightInd w:val="0"/>
              <w:spacing w:line="240" w:lineRule="auto"/>
              <w:jc w:val="center"/>
              <w:rPr>
                <w:kern w:val="0"/>
                <w:sz w:val="21"/>
                <w:szCs w:val="21"/>
              </w:rPr>
            </w:pPr>
            <w:r>
              <w:rPr>
                <w:kern w:val="0"/>
                <w:sz w:val="21"/>
                <w:szCs w:val="21"/>
              </w:rPr>
              <w:t>6.45%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7" w:type="dxa"/>
            <w:vAlign w:val="center"/>
          </w:tcPr>
          <w:p>
            <w:pPr>
              <w:adjustRightInd w:val="0"/>
              <w:spacing w:line="240" w:lineRule="auto"/>
              <w:jc w:val="center"/>
              <w:rPr>
                <w:kern w:val="0"/>
                <w:sz w:val="21"/>
                <w:szCs w:val="21"/>
              </w:rPr>
            </w:pPr>
            <w:r>
              <w:rPr>
                <w:kern w:val="0"/>
                <w:sz w:val="21"/>
                <w:szCs w:val="21"/>
              </w:rPr>
              <w:t>4</w:t>
            </w:r>
          </w:p>
        </w:tc>
        <w:tc>
          <w:tcPr>
            <w:tcW w:w="3270" w:type="dxa"/>
            <w:vAlign w:val="center"/>
          </w:tcPr>
          <w:p>
            <w:pPr>
              <w:adjustRightInd w:val="0"/>
              <w:spacing w:line="240" w:lineRule="auto"/>
              <w:jc w:val="center"/>
              <w:rPr>
                <w:kern w:val="0"/>
                <w:sz w:val="21"/>
                <w:szCs w:val="21"/>
              </w:rPr>
            </w:pPr>
            <w:r>
              <w:rPr>
                <w:kern w:val="0"/>
                <w:sz w:val="21"/>
                <w:szCs w:val="21"/>
              </w:rPr>
              <w:t>东北师范大学</w:t>
            </w:r>
          </w:p>
        </w:tc>
        <w:tc>
          <w:tcPr>
            <w:tcW w:w="2175" w:type="dxa"/>
            <w:vAlign w:val="center"/>
          </w:tcPr>
          <w:p>
            <w:pPr>
              <w:adjustRightInd w:val="0"/>
              <w:spacing w:line="240" w:lineRule="auto"/>
              <w:jc w:val="center"/>
              <w:rPr>
                <w:kern w:val="0"/>
                <w:sz w:val="21"/>
                <w:szCs w:val="21"/>
              </w:rPr>
            </w:pPr>
            <w:r>
              <w:rPr>
                <w:kern w:val="0"/>
                <w:sz w:val="21"/>
                <w:szCs w:val="21"/>
              </w:rPr>
              <w:t>2</w:t>
            </w:r>
          </w:p>
        </w:tc>
        <w:tc>
          <w:tcPr>
            <w:tcW w:w="2055" w:type="dxa"/>
            <w:vAlign w:val="center"/>
          </w:tcPr>
          <w:p>
            <w:pPr>
              <w:adjustRightInd w:val="0"/>
              <w:spacing w:line="240" w:lineRule="auto"/>
              <w:jc w:val="center"/>
              <w:rPr>
                <w:kern w:val="0"/>
                <w:sz w:val="21"/>
                <w:szCs w:val="21"/>
              </w:rPr>
            </w:pPr>
            <w:r>
              <w:rPr>
                <w:kern w:val="0"/>
                <w:sz w:val="21"/>
                <w:szCs w:val="21"/>
              </w:rPr>
              <w:t>6.45%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7" w:type="dxa"/>
            <w:vAlign w:val="center"/>
          </w:tcPr>
          <w:p>
            <w:pPr>
              <w:adjustRightInd w:val="0"/>
              <w:spacing w:line="240" w:lineRule="auto"/>
              <w:jc w:val="center"/>
              <w:rPr>
                <w:kern w:val="0"/>
                <w:sz w:val="21"/>
                <w:szCs w:val="21"/>
              </w:rPr>
            </w:pPr>
            <w:r>
              <w:rPr>
                <w:kern w:val="0"/>
                <w:sz w:val="21"/>
                <w:szCs w:val="21"/>
              </w:rPr>
              <w:t>5</w:t>
            </w:r>
          </w:p>
        </w:tc>
        <w:tc>
          <w:tcPr>
            <w:tcW w:w="3270" w:type="dxa"/>
            <w:vAlign w:val="center"/>
          </w:tcPr>
          <w:p>
            <w:pPr>
              <w:adjustRightInd w:val="0"/>
              <w:spacing w:line="240" w:lineRule="auto"/>
              <w:jc w:val="center"/>
              <w:rPr>
                <w:kern w:val="0"/>
                <w:sz w:val="21"/>
                <w:szCs w:val="21"/>
              </w:rPr>
            </w:pPr>
            <w:r>
              <w:rPr>
                <w:kern w:val="0"/>
                <w:sz w:val="21"/>
                <w:szCs w:val="21"/>
              </w:rPr>
              <w:t>华中师范大学</w:t>
            </w:r>
          </w:p>
        </w:tc>
        <w:tc>
          <w:tcPr>
            <w:tcW w:w="2175" w:type="dxa"/>
            <w:vAlign w:val="center"/>
          </w:tcPr>
          <w:p>
            <w:pPr>
              <w:adjustRightInd w:val="0"/>
              <w:spacing w:line="240" w:lineRule="auto"/>
              <w:jc w:val="center"/>
              <w:rPr>
                <w:kern w:val="0"/>
                <w:sz w:val="21"/>
                <w:szCs w:val="21"/>
              </w:rPr>
            </w:pPr>
            <w:r>
              <w:rPr>
                <w:kern w:val="0"/>
                <w:sz w:val="21"/>
                <w:szCs w:val="21"/>
              </w:rPr>
              <w:t>2</w:t>
            </w:r>
          </w:p>
        </w:tc>
        <w:tc>
          <w:tcPr>
            <w:tcW w:w="2055" w:type="dxa"/>
            <w:vAlign w:val="center"/>
          </w:tcPr>
          <w:p>
            <w:pPr>
              <w:adjustRightInd w:val="0"/>
              <w:spacing w:line="240" w:lineRule="auto"/>
              <w:jc w:val="center"/>
              <w:rPr>
                <w:kern w:val="0"/>
                <w:sz w:val="21"/>
                <w:szCs w:val="21"/>
              </w:rPr>
            </w:pPr>
            <w:r>
              <w:rPr>
                <w:kern w:val="0"/>
                <w:sz w:val="21"/>
                <w:szCs w:val="21"/>
              </w:rPr>
              <w:t>6.45%</w:t>
            </w:r>
          </w:p>
        </w:tc>
      </w:tr>
    </w:tbl>
    <w:p>
      <w:pPr>
        <w:pStyle w:val="5"/>
        <w:spacing w:before="93" w:after="93"/>
        <w:ind w:firstLine="560"/>
      </w:pPr>
      <w:bookmarkStart w:id="552" w:name="_Toc58568809"/>
      <w:r>
        <w:t>六、毕业生就业创业</w:t>
      </w:r>
      <w:bookmarkEnd w:id="552"/>
    </w:p>
    <w:p>
      <w:pPr>
        <w:ind w:firstLine="480" w:firstLineChars="200"/>
        <w:rPr>
          <w:color w:val="FF0000"/>
        </w:rPr>
      </w:pPr>
      <w:r>
        <w:t>强化</w:t>
      </w:r>
      <w:r>
        <w:rPr>
          <w:rFonts w:hint="eastAsia"/>
        </w:rPr>
        <w:t>“</w:t>
      </w:r>
      <w:r>
        <w:t>以学生为本，促进学生全面健康成长成才</w:t>
      </w:r>
      <w:r>
        <w:rPr>
          <w:rFonts w:hint="eastAsia"/>
        </w:rPr>
        <w:t>”</w:t>
      </w:r>
      <w:r>
        <w:t>的工作理念，着眼于在校大学生创业能力提升，完善的创业条件，充分发挥了</w:t>
      </w:r>
      <w:r>
        <w:rPr>
          <w:rFonts w:hint="eastAsia"/>
        </w:rPr>
        <w:t>“</w:t>
      </w:r>
      <w:r>
        <w:t>大学生就业创业促进中心</w:t>
      </w:r>
      <w:r>
        <w:rPr>
          <w:rFonts w:hint="eastAsia"/>
        </w:rPr>
        <w:t>”</w:t>
      </w:r>
      <w:r>
        <w:t>在大学生思想引导，推动毕业生创业方面的辐射与带动作用。</w:t>
      </w:r>
    </w:p>
    <w:p>
      <w:pPr>
        <w:pStyle w:val="5"/>
        <w:spacing w:before="93" w:after="93"/>
        <w:ind w:firstLine="560"/>
      </w:pPr>
      <w:bookmarkStart w:id="553" w:name="_Toc58568810"/>
      <w:r>
        <w:t>七、专业人才需求分析及专业发展趋势分析</w:t>
      </w:r>
      <w:bookmarkEnd w:id="553"/>
    </w:p>
    <w:p>
      <w:pPr>
        <w:pStyle w:val="6"/>
        <w:ind w:firstLine="480"/>
      </w:pPr>
      <w:bookmarkStart w:id="554" w:name="_Toc58568811"/>
      <w:r>
        <w:t>（一）专业人才需求分析</w:t>
      </w:r>
      <w:bookmarkEnd w:id="554"/>
    </w:p>
    <w:p>
      <w:pPr>
        <w:ind w:firstLine="480" w:firstLineChars="200"/>
      </w:pPr>
      <w:r>
        <w:t>党的十八大和十八届三中、四中全会提出，今后将着眼于建设高素质法治专门队伍，推进法治队伍的正规化、专业化、职业化，这为广大法学专业大学生展示提供了光明的就业前景，2015年底，中央办公厅、国务院印发了《关于完善国家统一法律职业资格制度的意见》，其中提出，担任法官、检察官、律师、公证员、法律顾问、仲裁员（法律类）及政府部门中从事行政处罚决定审核、行政复议、行政裁决的人员，应当取得国家统一法律职业资格。并将对法律资格职业资格考试进行改革，增加法律职业人员统一职前培训等意见，这从从长远上对法学专业大学生提出了更高的素质要求。</w:t>
      </w:r>
    </w:p>
    <w:p>
      <w:pPr>
        <w:ind w:firstLine="480" w:firstLineChars="200"/>
      </w:pPr>
      <w:r>
        <w:t>目前，法科大学毕业生主要就业去向：一是法官、检察官、行政机关公务员。二是执业律师。2022年1月25日，司法部发布《全国公共法律服务体系建设规划（2021-2025年）》，在该建设规划中提到在2025年全国执业律师达到75万人。根据相关数据的统计，2021年全国执业律师有大约52万多人，这表明我国律师行业还存在很大缺口。三是公司法务人员。主要服务于企业的法律事务部、法律咨询部以及知识产权部等。例如，各大国企、银行、外企、一些大型的私企，公司内部都会设有法务部门。四是其他相关领域。除了以上的主要就业方向，社会其他领域对具有</w:t>
      </w:r>
      <w:r>
        <w:rPr>
          <w:rFonts w:hint="eastAsia"/>
        </w:rPr>
        <w:t>“</w:t>
      </w:r>
      <w:r>
        <w:t>复合型知识结构</w:t>
      </w:r>
      <w:r>
        <w:rPr>
          <w:rFonts w:hint="eastAsia"/>
        </w:rPr>
        <w:t>”</w:t>
      </w:r>
      <w:r>
        <w:t>的法律人才也是需要的。大量法学毕业生从事会计师、审计师、证券业人员、环境评估、司法鉴定、人力资源管理、市场营销、知识产权代理等复合型专业岗位。</w:t>
      </w:r>
    </w:p>
    <w:p>
      <w:pPr>
        <w:pStyle w:val="6"/>
        <w:ind w:firstLine="480"/>
      </w:pPr>
      <w:bookmarkStart w:id="555" w:name="_Toc58568812"/>
      <w:r>
        <w:t>（二）专业发展趋势分析</w:t>
      </w:r>
      <w:bookmarkEnd w:id="555"/>
    </w:p>
    <w:p>
      <w:pPr>
        <w:ind w:firstLine="480" w:firstLineChars="200"/>
      </w:pPr>
      <w:r>
        <w:t>现代法学教育，集培养法律人才、开展法学研究和向社会提供法律服务于一体。一国法律教育之得失，事关国家法治建设之前途，在此种意义上，法学教育已成为衡量一个国家社会文明程度和现代化治理水平的重要标志。在当下中国的法治建设中，法学教育具有一种基础性、全面性、先导性的战略地位。未来法学专业的发展会走向更加专业化、实用化的方向。</w:t>
      </w:r>
    </w:p>
    <w:p>
      <w:pPr>
        <w:pStyle w:val="5"/>
        <w:spacing w:before="93" w:after="93"/>
        <w:ind w:firstLine="560"/>
      </w:pPr>
      <w:bookmarkStart w:id="556" w:name="_Toc58568813"/>
      <w:r>
        <w:t>八、存在的问题及拟采取的对策措施</w:t>
      </w:r>
      <w:bookmarkEnd w:id="556"/>
    </w:p>
    <w:p>
      <w:pPr>
        <w:pStyle w:val="6"/>
        <w:ind w:firstLine="480"/>
      </w:pPr>
      <w:bookmarkStart w:id="557" w:name="_Toc58568814"/>
      <w:r>
        <w:t>（一）师资力量有待进一步</w:t>
      </w:r>
      <w:bookmarkEnd w:id="557"/>
      <w:r>
        <w:t>加强</w:t>
      </w:r>
    </w:p>
    <w:p>
      <w:pPr>
        <w:ind w:firstLine="480" w:firstLineChars="200"/>
      </w:pPr>
      <w:r>
        <w:t>法学专业自1993年招收第一批专科生，1996年招收第一批经济法本科生，1999年经教育部批准正式招收法学专业本科生。至今已有20年的办学历史，2021年获批法律硕士专业学位授权点。</w:t>
      </w:r>
    </w:p>
    <w:p>
      <w:pPr>
        <w:ind w:firstLine="480" w:firstLineChars="200"/>
      </w:pPr>
      <w:r>
        <w:t>目前，教师的数量和学历层次是制约法学系进一步发展的最大阻碍。虽然2022年度法学系引进博士教师一名，但是同年度法学本科生的招生数量也在扩大，加之2023年即将招收第一届法律硕士研究生，这使得法学系教工的教学压力激增。同时，法学师资队伍还存在学科专业结构不均衡，优先发展方向师资力量薄弱。正高级职称中，优秀中青年教师占比小，老中青梯队结构不合理。形成优秀学术团队、教学团队的骨干力量不足，中青年高水平学术团队带头人明显不足，教师学术创新、教学研究的人才动力不足。</w:t>
      </w:r>
    </w:p>
    <w:p>
      <w:pPr>
        <w:ind w:firstLine="480" w:firstLineChars="200"/>
      </w:pPr>
      <w:r>
        <w:t>在当前法学博士资源紧俏的环境下，学院和系部应当改变此前</w:t>
      </w:r>
      <w:r>
        <w:rPr>
          <w:rFonts w:hint="eastAsia"/>
        </w:rPr>
        <w:t>“</w:t>
      </w:r>
      <w:r>
        <w:t>等</w:t>
      </w:r>
      <w:r>
        <w:rPr>
          <w:rFonts w:hint="eastAsia"/>
        </w:rPr>
        <w:t>”</w:t>
      </w:r>
      <w:r>
        <w:t>的态度和策略，主动出击，尤其在疫情常态化下，应采用更多的线上宣讲的方式，走进各个高校，尽可能多的招贤纳士。同时，还要利用各类有利的资源，在全国范围内挖掘几位能够挑大梁的学术带头人。如此才能真正的提高法学系的办学层次，突破发展的瓶颈，重新焕发生机。</w:t>
      </w:r>
    </w:p>
    <w:p>
      <w:pPr>
        <w:pStyle w:val="6"/>
        <w:ind w:firstLine="480"/>
      </w:pPr>
      <w:bookmarkStart w:id="558" w:name="_Toc58568815"/>
      <w:r>
        <w:t>（二）教学基础设施有待进一步完善</w:t>
      </w:r>
      <w:bookmarkEnd w:id="558"/>
    </w:p>
    <w:p>
      <w:pPr>
        <w:ind w:firstLine="480" w:firstLineChars="200"/>
      </w:pPr>
      <w:r>
        <w:t>法学专业是实践性非常强的一门学科，单纯的靠课堂知识体系的讲解已不能满足学生对知识运用的需求。新的法律职业资格考试更加注重对学生实务问题的解决，这就对法学专业的人才培养模式产生巨大冲击。目前学校虽已对法学专业投入了一定的资金改善教学基础设施，但仍不能很好的满足教学的需求。</w:t>
      </w:r>
    </w:p>
    <w:p>
      <w:pPr>
        <w:ind w:firstLine="480" w:firstLineChars="200"/>
      </w:pPr>
      <w:r>
        <w:t>其一，缺少合适的场所开展</w:t>
      </w:r>
      <w:r>
        <w:rPr>
          <w:rFonts w:hint="eastAsia"/>
        </w:rPr>
        <w:t>“</w:t>
      </w:r>
      <w:r>
        <w:t>法律诊所</w:t>
      </w:r>
      <w:r>
        <w:rPr>
          <w:rFonts w:hint="eastAsia"/>
        </w:rPr>
        <w:t>”</w:t>
      </w:r>
      <w:r>
        <w:t>活动。</w:t>
      </w:r>
      <w:r>
        <w:rPr>
          <w:rFonts w:hint="eastAsia"/>
        </w:rPr>
        <w:t>“</w:t>
      </w:r>
      <w:r>
        <w:t>法律诊所</w:t>
      </w:r>
      <w:r>
        <w:rPr>
          <w:rFonts w:hint="eastAsia"/>
        </w:rPr>
        <w:t>”</w:t>
      </w:r>
      <w:r>
        <w:t>起源于20世纪70年代初期的美国，已通过实践被证明是一种法学院学生获得法律经验、培养实务能力的有效方法和途径，其突出的实践性特色具有单纯课堂教育无可比拟的优势，可用于培养大量的法律实务人才，并加强对理论性研究的理解和实践配套经验。目前开设</w:t>
      </w:r>
      <w:r>
        <w:rPr>
          <w:rFonts w:hint="eastAsia"/>
        </w:rPr>
        <w:t>“</w:t>
      </w:r>
      <w:r>
        <w:t>法律诊所</w:t>
      </w:r>
      <w:r>
        <w:rPr>
          <w:rFonts w:hint="eastAsia"/>
        </w:rPr>
        <w:t>”</w:t>
      </w:r>
      <w:r>
        <w:t>的学校已达50余所，几乎覆盖了国内著名大学的法学院和政法院校，并成为法学教育改革的一项措施和内容。目前，法学系却没有合适的场所为学生开展此项活动，乃实践教育上的一大缺憾。</w:t>
      </w:r>
    </w:p>
    <w:p>
      <w:pPr>
        <w:ind w:firstLine="480" w:firstLineChars="200"/>
      </w:pPr>
      <w:r>
        <w:t>其二，校外实习基地的现有数量和功能还不能够满足学生实习的要求。毕业实习是学生进入社会前的一次练兵，是对教与学最好的检验。目前法学系的校外实习基地仅有22家，因各单位接收人数每年都有调整，因此通常有三分之一的学生需要自己联系实习单位。一方面，不利于学校对学生实习期的各项管理，另一方面，实习单位类型的相对单一化也不利于学生根据自己就业方向有选择性的开展实践学习。今后应当不断的扩大与泰安市相关单位的联系，增设新的实习基地，使产学合作深度进一步加强。同时，在毕业生实习教学环节还需要进一步完善各项工作，进一步加强管理，加强对学生实习工作过程监督和管理，强化质量意识。</w:t>
      </w:r>
    </w:p>
    <w:p>
      <w:pPr>
        <w:ind w:firstLine="480" w:firstLineChars="200"/>
      </w:pPr>
      <w:r>
        <w:t>其三，受疫情影响，近几年本科生的综合教学实践都被校内实践的方式所取代，使得学生缺少进入实务岗位锻炼的机会，一定程度上影响了对学生实务技能的培养。</w:t>
      </w:r>
    </w:p>
    <w:p>
      <w:pPr>
        <w:pStyle w:val="6"/>
        <w:ind w:firstLine="480"/>
      </w:pPr>
      <w:bookmarkStart w:id="559" w:name="_Toc58568816"/>
      <w:r>
        <w:t>（三）学生就业创业路径有待进一步</w:t>
      </w:r>
      <w:bookmarkEnd w:id="559"/>
      <w:r>
        <w:t>引导</w:t>
      </w:r>
    </w:p>
    <w:p>
      <w:pPr>
        <w:ind w:firstLine="480" w:firstLineChars="200"/>
      </w:pPr>
      <w:r>
        <w:t>今年法学专业毕业生更倾向于考研、考公，就业率虽然尚可，但就业方向比较单一，也使得没有考上研究生或者公务员的同学选择待业备考。这种问题的出现主要在于学生对就业的思路不清，盲从性比较大，没有针对个人情况作出具体的分析判断，今后法学系应当不断加强对学生就业创业的引导，尽可能为其拓宽就业路径。</w:t>
      </w:r>
    </w:p>
    <w:p>
      <w:pPr>
        <w:ind w:firstLine="480" w:firstLineChars="200"/>
      </w:pPr>
      <w:r>
        <w:t>一是加强就业实践基地建设。就业实习实践基地是大学生在正式参加工作之前，接触实际生产，加深对所学理论知识的理解，掌握一定的生产技能和了解企业的窗口。因此高质量的实践基地是实践教学环节正常实施的重要保障，是培养大学生实践能力、科研素质、创新意识与创新能力的重要平台。加强就业实习实践基地的建设能够为毕业生以后良好的适应和胜任工作打下了充实的基础。同时，通过实习基地的建设，毕业生可以与用人单位有相互了解的过程，有效提高就业成功率。此外，实践基地的建设使我专业与用人单位增强互动，通过毕业生在实践基地的表现，教师可以发现教学中的不足，从而在今后寻求改进，更好的打造更适合社会需求的人才。</w:t>
      </w:r>
    </w:p>
    <w:p>
      <w:pPr>
        <w:ind w:firstLine="480" w:firstLineChars="200"/>
      </w:pPr>
      <w:r>
        <w:t>二是整合各方资源，大力开拓毕业生就业市场。专业应牢牢把握就业市场开拓这一就业市场开拓这一就业工作重点，整合校内外各方资源，不断创新市场开拓模式，搭建高水平招聘平台。在继续做大做强省内就业市场的同时，也要到省外重点地区收集用人单位需求信息，开拓毕业生就业市场。法学专业应不断加大就业实践基地建设力度，通过充分整合校友、业务单位、董事单位等资源，积极寻求在学生实习、毕业生就业方面的合作契机，建设一批稳定的就业创业基地。</w:t>
      </w:r>
    </w:p>
    <w:p>
      <w:pPr>
        <w:ind w:firstLine="480" w:firstLineChars="200"/>
      </w:pPr>
      <w:r>
        <w:t>三是培养创新思维，拓宽就业渠道。专业应当加强创新创业教育的力度，宣传更为良好的创新创业政策，鼓励创业，营造更好的大学生创业氛围，帮助大学生培养创业思维，敢于创业，成功创业。我专业更要积极开展就业动员大会、考公考研动员大会，使毕业生转变就业观念，避免好高骛远、挑肥拣瘦，要准确定位，找适合自身现状的工作，同时指导毕业生不要只局限于本专业对口岗位，要拓宽就业领域，积极就业。</w:t>
      </w:r>
    </w:p>
    <w:p>
      <w:r>
        <w:br w:type="page"/>
      </w:r>
    </w:p>
    <w:p>
      <w:pPr>
        <w:pStyle w:val="4"/>
        <w:ind w:firstLine="600"/>
      </w:pPr>
      <w:bookmarkStart w:id="560" w:name="_Toc12069"/>
      <w:r>
        <w:rPr>
          <w:rFonts w:hint="eastAsia"/>
          <w:lang w:val="en-US"/>
        </w:rPr>
        <w:t>专业五十五：</w:t>
      </w:r>
      <w:r>
        <w:t>秘书学</w:t>
      </w:r>
      <w:bookmarkEnd w:id="560"/>
    </w:p>
    <w:p>
      <w:pPr>
        <w:pStyle w:val="5"/>
        <w:spacing w:before="93" w:after="93"/>
        <w:ind w:firstLine="560"/>
      </w:pPr>
      <w:r>
        <w:t>一、培养目标与规格</w:t>
      </w:r>
    </w:p>
    <w:p>
      <w:pPr>
        <w:ind w:firstLine="480" w:firstLineChars="200"/>
        <w:rPr>
          <w:szCs w:val="24"/>
        </w:rPr>
      </w:pPr>
      <w:r>
        <w:rPr>
          <w:szCs w:val="24"/>
        </w:rPr>
        <w:t>本专业旨在培养基础扎实、知识面宽、能力强、素质高、具有创新精神和实践能力，德、智、体全面发展，既具备坚实的秘书学相关知识和基本技能，又有汉语言文学基础知识和基本理论，能够在党政机关、企事业单位、各类社会组织和机构中从事文秘、行政等工作的复合型高级专门人才。</w:t>
      </w:r>
    </w:p>
    <w:p>
      <w:pPr>
        <w:ind w:firstLine="480" w:firstLineChars="200"/>
        <w:rPr>
          <w:szCs w:val="24"/>
        </w:rPr>
      </w:pPr>
      <w:r>
        <w:rPr>
          <w:szCs w:val="24"/>
        </w:rPr>
        <w:t>本专业强调</w:t>
      </w:r>
      <w:r>
        <w:rPr>
          <w:rFonts w:hint="eastAsia"/>
          <w:szCs w:val="24"/>
        </w:rPr>
        <w:t>“</w:t>
      </w:r>
      <w:r>
        <w:rPr>
          <w:szCs w:val="24"/>
        </w:rPr>
        <w:t>厚基础，宽口径</w:t>
      </w:r>
      <w:r>
        <w:rPr>
          <w:rFonts w:hint="eastAsia"/>
          <w:szCs w:val="24"/>
        </w:rPr>
        <w:t>”</w:t>
      </w:r>
      <w:r>
        <w:rPr>
          <w:szCs w:val="24"/>
        </w:rPr>
        <w:t>，理论与实践并重，注重综合能力的培养，尤其突出秘书学专业所需要的写作、办文、办事、办会、办信息等能力。</w:t>
      </w:r>
    </w:p>
    <w:p>
      <w:pPr>
        <w:autoSpaceDE w:val="0"/>
        <w:autoSpaceDN w:val="0"/>
        <w:adjustRightInd w:val="0"/>
        <w:ind w:firstLine="480" w:firstLineChars="200"/>
        <w:jc w:val="left"/>
        <w:rPr>
          <w:kern w:val="0"/>
          <w:szCs w:val="24"/>
        </w:rPr>
      </w:pPr>
      <w:r>
        <w:rPr>
          <w:kern w:val="0"/>
          <w:szCs w:val="24"/>
        </w:rPr>
        <w:t>具体目标：</w:t>
      </w:r>
    </w:p>
    <w:p>
      <w:pPr>
        <w:autoSpaceDE w:val="0"/>
        <w:autoSpaceDN w:val="0"/>
        <w:adjustRightInd w:val="0"/>
        <w:ind w:firstLine="480" w:firstLineChars="200"/>
        <w:jc w:val="left"/>
        <w:rPr>
          <w:kern w:val="0"/>
          <w:szCs w:val="24"/>
        </w:rPr>
      </w:pPr>
      <w:r>
        <w:rPr>
          <w:kern w:val="0"/>
          <w:szCs w:val="24"/>
        </w:rPr>
        <w:t>1、具有高素质、创新精神和实践能力，德智体全面发展。</w:t>
      </w:r>
    </w:p>
    <w:p>
      <w:pPr>
        <w:autoSpaceDE w:val="0"/>
        <w:autoSpaceDN w:val="0"/>
        <w:adjustRightInd w:val="0"/>
        <w:ind w:firstLine="480" w:firstLineChars="200"/>
        <w:jc w:val="left"/>
        <w:rPr>
          <w:kern w:val="0"/>
          <w:szCs w:val="24"/>
        </w:rPr>
      </w:pPr>
      <w:r>
        <w:rPr>
          <w:kern w:val="0"/>
          <w:szCs w:val="24"/>
        </w:rPr>
        <w:t>2、掌握秘书学与汉语言文学基本理论和基础知识。</w:t>
      </w:r>
    </w:p>
    <w:p>
      <w:pPr>
        <w:autoSpaceDE w:val="0"/>
        <w:autoSpaceDN w:val="0"/>
        <w:adjustRightInd w:val="0"/>
        <w:ind w:firstLine="480" w:firstLineChars="200"/>
        <w:jc w:val="left"/>
        <w:rPr>
          <w:kern w:val="0"/>
          <w:szCs w:val="24"/>
        </w:rPr>
      </w:pPr>
      <w:r>
        <w:rPr>
          <w:kern w:val="0"/>
          <w:szCs w:val="24"/>
        </w:rPr>
        <w:t>3、具备坚实的秘书学基本能力和相关技能。</w:t>
      </w:r>
    </w:p>
    <w:p>
      <w:pPr>
        <w:autoSpaceDE w:val="0"/>
        <w:autoSpaceDN w:val="0"/>
        <w:adjustRightInd w:val="0"/>
        <w:ind w:firstLine="480" w:firstLineChars="200"/>
        <w:jc w:val="left"/>
        <w:rPr>
          <w:szCs w:val="24"/>
        </w:rPr>
      </w:pPr>
      <w:r>
        <w:rPr>
          <w:kern w:val="0"/>
          <w:szCs w:val="24"/>
        </w:rPr>
        <w:t xml:space="preserve">4、能够在党政机关、企事业单位和各类社会组织和机构中从事文秘、档案、行政等工作。 </w:t>
      </w:r>
    </w:p>
    <w:p>
      <w:pPr>
        <w:pStyle w:val="5"/>
        <w:spacing w:before="93" w:after="93"/>
        <w:ind w:firstLine="560"/>
      </w:pPr>
      <w:r>
        <w:t>二、培养能力</w:t>
      </w:r>
    </w:p>
    <w:p>
      <w:pPr>
        <w:pStyle w:val="6"/>
        <w:ind w:firstLine="480"/>
      </w:pPr>
      <w:r>
        <w:t>（一）专业基本情况</w:t>
      </w:r>
    </w:p>
    <w:p>
      <w:pPr>
        <w:ind w:firstLine="480" w:firstLineChars="200"/>
        <w:rPr>
          <w:szCs w:val="24"/>
        </w:rPr>
      </w:pPr>
      <w:r>
        <w:rPr>
          <w:szCs w:val="24"/>
        </w:rPr>
        <w:t>山东农业大学秘书学专业的前身是文秘教育专业，于2004年经上级教育主管部门批准为新上本科专业，学制四年，2005年9月首次招生，当时是全省第一个文秘教育本科专业。后学校依据教育部新修订的《普通高等学校本科专业目录》，自2013－2014学年第1学期起，将文秘教育专业更名为秘书学专业，专业代码是050107T，执行新的培养方案。至今已办学16个年头，共招收1700余人，向各级国家机关、企事业单位和各类社会组织和机构输送了大批优秀秘书人才。</w:t>
      </w:r>
    </w:p>
    <w:p>
      <w:pPr>
        <w:ind w:firstLine="480" w:firstLineChars="200"/>
        <w:rPr>
          <w:szCs w:val="24"/>
        </w:rPr>
      </w:pPr>
      <w:r>
        <w:rPr>
          <w:szCs w:val="24"/>
        </w:rPr>
        <w:t>目前，秘书学专业已经成为社会热门紧缺专业。我校秘书学专业在全国专业排名中稳居前列，就业前景十分看好。大批优秀毕业生被各级国家机关、企事业单位和各类社会组织和机构录取，从事秘书、办公室事务、行政管理等相关工作，赢得了用人单位的广泛好评。</w:t>
      </w:r>
    </w:p>
    <w:p>
      <w:pPr>
        <w:pStyle w:val="6"/>
        <w:ind w:firstLine="480"/>
      </w:pPr>
      <w:r>
        <w:t>（二）在校生规模</w:t>
      </w:r>
    </w:p>
    <w:p>
      <w:pPr>
        <w:ind w:firstLine="480" w:firstLineChars="200"/>
        <w:rPr>
          <w:szCs w:val="24"/>
        </w:rPr>
      </w:pPr>
      <w:r>
        <w:rPr>
          <w:szCs w:val="24"/>
        </w:rPr>
        <w:t>截至2022年9月30日，秘书学专业在校生有2019－2020级两个年级，总人数为64人，其中2019级40人，2020级24人。秘书学专业自2021年停止招生。</w:t>
      </w:r>
    </w:p>
    <w:p>
      <w:pPr>
        <w:pStyle w:val="6"/>
        <w:ind w:firstLine="480"/>
      </w:pPr>
      <w:r>
        <w:t>（三）课程设置情况</w:t>
      </w:r>
    </w:p>
    <w:p>
      <w:pPr>
        <w:ind w:firstLine="480" w:firstLineChars="200"/>
        <w:rPr>
          <w:szCs w:val="24"/>
        </w:rPr>
      </w:pPr>
      <w:r>
        <w:rPr>
          <w:szCs w:val="24"/>
        </w:rPr>
        <w:t>目前，秘书学专业课程体系由课堂教学与实践教学两个环节构成，配置合理，相辅相成。根据2015年学分制改革后配套的培养方案，在学期间学生共须修满170学分方可毕业。</w:t>
      </w:r>
    </w:p>
    <w:p>
      <w:pPr>
        <w:ind w:firstLine="480" w:firstLineChars="200"/>
        <w:rPr>
          <w:szCs w:val="24"/>
        </w:rPr>
      </w:pPr>
      <w:r>
        <w:rPr>
          <w:szCs w:val="24"/>
        </w:rPr>
        <w:t>秘书学主干学科为秘书学和汉语言文学。就课堂教学来说，主要课程有秘书学、基础写作、秘书写作、秘书实务、中国古代文学、中国现当代文学、现代汉语、古代汉语、中国传统文化、心理学、档案管理基础、传播学、行政管理学、公共关系学、专业综合实验，等等。以上课程共135.5学分，其中必修课102.5学分，占课程总学分的75.6%；选修课33学分，占课程总学分的24.4%。</w:t>
      </w:r>
    </w:p>
    <w:p>
      <w:pPr>
        <w:ind w:firstLine="480" w:firstLineChars="200"/>
        <w:rPr>
          <w:szCs w:val="24"/>
        </w:rPr>
      </w:pPr>
      <w:r>
        <w:rPr>
          <w:szCs w:val="24"/>
        </w:rPr>
        <w:t>就实践教学来说，主要的实践环节有课程论文、认识实习、社会实践与调查、创新创业、专业综合实习、毕业实习、毕业论文等。以上实践环节总学分为34.5学分，占毕业总学分的20.3%。</w:t>
      </w:r>
    </w:p>
    <w:p>
      <w:pPr>
        <w:pStyle w:val="6"/>
        <w:ind w:firstLine="480"/>
      </w:pPr>
      <w:r>
        <w:t>（四）创新创业教育</w:t>
      </w:r>
    </w:p>
    <w:p>
      <w:pPr>
        <w:ind w:firstLine="480" w:firstLineChars="200"/>
        <w:rPr>
          <w:szCs w:val="24"/>
        </w:rPr>
      </w:pPr>
      <w:r>
        <w:rPr>
          <w:szCs w:val="24"/>
        </w:rPr>
        <w:t>学分制改革后，秘书学培养方案更加重视课程体系建设，理论教学与实践教学并重，特别强调在校期间的实践能力和创新创业能力。具体举措如下：</w:t>
      </w:r>
    </w:p>
    <w:p>
      <w:pPr>
        <w:ind w:firstLine="480" w:firstLineChars="200"/>
        <w:rPr>
          <w:szCs w:val="24"/>
        </w:rPr>
      </w:pPr>
      <w:r>
        <w:rPr>
          <w:szCs w:val="24"/>
        </w:rPr>
        <w:t>1.在专业核心课模块中设置专业综合实验课，优化实验内容和实验环节，在第7、第8两个学期开设。</w:t>
      </w:r>
    </w:p>
    <w:p>
      <w:pPr>
        <w:ind w:firstLine="480" w:firstLineChars="200"/>
        <w:rPr>
          <w:szCs w:val="24"/>
        </w:rPr>
      </w:pPr>
      <w:r>
        <w:rPr>
          <w:szCs w:val="24"/>
        </w:rPr>
        <w:t>2.在拓展教育模块中设置秘书学前沿专题、职业发展规划课等课程，有意识地培养与引导同学们在创新创业方面有想法并付诸行动；设置必修的创新创业学分认证。在校期间，多数同学都参加了学校及各级机构组织的创新创业项目，通过了创新创业学分的认证。鼓励学生创新创业活动，经常性开展项目申报评选工作，营造创新创业氛围，切实使好的想法落地生根。</w:t>
      </w:r>
    </w:p>
    <w:p>
      <w:pPr>
        <w:ind w:firstLine="480" w:firstLineChars="200"/>
        <w:rPr>
          <w:szCs w:val="24"/>
        </w:rPr>
      </w:pPr>
      <w:r>
        <w:rPr>
          <w:szCs w:val="24"/>
        </w:rPr>
        <w:t>3.</w:t>
      </w:r>
      <w:r>
        <w:rPr>
          <w:kern w:val="0"/>
          <w:szCs w:val="24"/>
        </w:rPr>
        <w:t xml:space="preserve"> 设置秘书学专业大学生研究训练计划（Students Research Training）（简称SRT计划）。充分调动学生学术研究积极性，组织大学生参与教师科研项目。同时，着力强化实践性教学环节，提升专业学生实践综合能力。2017级张峥同学在老师的指导下完成</w:t>
      </w:r>
      <w:r>
        <w:rPr>
          <w:rFonts w:hint="eastAsia"/>
          <w:kern w:val="0"/>
          <w:szCs w:val="24"/>
        </w:rPr>
        <w:t>“</w:t>
      </w:r>
      <w:r>
        <w:rPr>
          <w:kern w:val="0"/>
          <w:szCs w:val="24"/>
        </w:rPr>
        <w:t>济宁玉堂酱菜品牌提升问题及对策研究</w:t>
      </w:r>
      <w:r>
        <w:rPr>
          <w:rFonts w:hint="eastAsia"/>
          <w:kern w:val="0"/>
          <w:szCs w:val="24"/>
        </w:rPr>
        <w:t>”</w:t>
      </w:r>
      <w:r>
        <w:rPr>
          <w:kern w:val="0"/>
          <w:szCs w:val="24"/>
        </w:rPr>
        <w:t>的国创项目，并公开发表论文1篇,2018级张冰洁同学在老师的指导下申请到国创项目《穿越千年的金声－－章丘铁匠传统手工锻打工艺文化的历史、现状与开发调研》，项目正在顺利进行中。</w:t>
      </w:r>
      <w:r>
        <w:rPr>
          <w:szCs w:val="24"/>
        </w:rPr>
        <w:t>　</w:t>
      </w:r>
    </w:p>
    <w:p>
      <w:pPr>
        <w:pStyle w:val="5"/>
        <w:spacing w:before="93" w:after="93"/>
        <w:ind w:firstLine="560"/>
      </w:pPr>
      <w:r>
        <w:t>三、培养条件</w:t>
      </w:r>
    </w:p>
    <w:p>
      <w:pPr>
        <w:pStyle w:val="6"/>
        <w:ind w:firstLine="480"/>
      </w:pPr>
      <w:r>
        <w:t>（一）教师队伍建设</w:t>
      </w:r>
    </w:p>
    <w:p>
      <w:pPr>
        <w:ind w:firstLine="480" w:firstLineChars="200"/>
        <w:rPr>
          <w:szCs w:val="24"/>
        </w:rPr>
      </w:pPr>
      <w:r>
        <w:rPr>
          <w:szCs w:val="24"/>
        </w:rPr>
        <w:t>目前，秘书学专业拥有专业教师8人，教授2人，副教授3人，讲师3人，其中具有博士学位的6人，年龄和职称结构合理，是一支具有战斗力和丰富经验的队伍。教师是办好教育的关键，是培养合格学生的第一责任人，这已经成为全体教师的共识。秘书学专业重视教师队伍建设，根据动态的教学、科研需求，一方面积极引进新教师，增加新鲜血液；另一方面高度重视师资的培养、培训，每周一次的教研活动已经坚持数年，成为常态，经常性地选派教师到国内知名高校参加学术会议、教学培训，或者带队指导学生全国性秘书专业大赛。这些措施都保证了教师队伍的活力及专业知识的新陈代谢。</w:t>
      </w:r>
    </w:p>
    <w:p>
      <w:pPr>
        <w:pStyle w:val="6"/>
        <w:ind w:firstLine="480"/>
      </w:pPr>
      <w:r>
        <w:t>（二）实习基地</w:t>
      </w:r>
    </w:p>
    <w:p>
      <w:pPr>
        <w:ind w:firstLine="480" w:firstLineChars="200"/>
        <w:rPr>
          <w:szCs w:val="24"/>
        </w:rPr>
      </w:pPr>
      <w:r>
        <w:rPr>
          <w:szCs w:val="24"/>
        </w:rPr>
        <w:t>秘书学是一门实践性很强的应用型专业，在搞好理论教学的同时必须大力加强实践教学，依托社会力量加大实习基地建设。目前秘书学专业的校外实习基地有岱岳区大汶口镇政府、东平县人力与社会保障局、东平县戴庙镇政府、泰安市档案局、临邑县兴隆镇政府、泰安市旅游局、泰安市司法局、太阳部落景区、泰安市电视台等十余家。自2012年以来，秘书学专业每年的专业综合实习都实行</w:t>
      </w:r>
      <w:r>
        <w:rPr>
          <w:rFonts w:hint="eastAsia"/>
          <w:szCs w:val="24"/>
        </w:rPr>
        <w:t>“</w:t>
      </w:r>
      <w:r>
        <w:rPr>
          <w:szCs w:val="24"/>
        </w:rPr>
        <w:t>全员实习</w:t>
      </w:r>
      <w:r>
        <w:rPr>
          <w:rFonts w:hint="eastAsia"/>
          <w:szCs w:val="24"/>
        </w:rPr>
        <w:t>”</w:t>
      </w:r>
      <w:r>
        <w:rPr>
          <w:szCs w:val="24"/>
        </w:rPr>
        <w:t>， 给专业每位学生都安排实习岗位，进行订单式选派，每年实习学生都供不应求。除了学校、学院挂牌的校外实习基地以外，校内实习岗位也是有益的补充，如校档案馆、校团委、校宣传部，每年都从秘书学专业中挑选优秀的同学进行实习锻炼。实习过程中，专业指定各个实习小组组长，负责实习工作，与实习单位对接，互动协作，实习效果良好。实习结束后及时组织不同年级的同学进行总结，结合具体的实习工作和所学理论，交流实习感悟。同学们普遍反映实习收获很大，受益匪浅。</w:t>
      </w:r>
    </w:p>
    <w:p>
      <w:pPr>
        <w:pStyle w:val="6"/>
        <w:ind w:firstLine="480"/>
      </w:pPr>
      <w:r>
        <w:t>（三）现代教学技术应用</w:t>
      </w:r>
    </w:p>
    <w:p>
      <w:pPr>
        <w:ind w:firstLine="480" w:firstLineChars="200"/>
        <w:rPr>
          <w:szCs w:val="24"/>
        </w:rPr>
      </w:pPr>
      <w:r>
        <w:rPr>
          <w:szCs w:val="24"/>
        </w:rPr>
        <w:t>近几年来，秘书学专业充分利用多媒体教室、专业教学软件、语音室、校园网等教学资源，充分运用现代教育技术手段，更新教学内容、改进教学方法、尝试新的教学手段，不断提高教学质量。鼓励教师采用多媒体授课，所有课程都用使用现代化教学设备，提高了课程的教学效果和效率。近三年来，专业推动教师制作多媒体课件，在岗教师100%能够熟练地应用现代化教学手段来开展教学工作。另外，专业教师积极参加学校、学院组织的课件比赛，参加省教育厅组织的微课比赛，并多次取得好的名次。</w:t>
      </w:r>
    </w:p>
    <w:p>
      <w:pPr>
        <w:pStyle w:val="5"/>
        <w:spacing w:before="93" w:after="93"/>
        <w:ind w:firstLine="560"/>
      </w:pPr>
      <w:r>
        <w:t>四、培养机制与特色</w:t>
      </w:r>
    </w:p>
    <w:p>
      <w:pPr>
        <w:pStyle w:val="6"/>
        <w:ind w:firstLine="480"/>
      </w:pPr>
      <w:r>
        <w:t>（一）产学研协同育人机制</w:t>
      </w:r>
    </w:p>
    <w:p>
      <w:pPr>
        <w:ind w:firstLine="480" w:firstLineChars="200"/>
        <w:rPr>
          <w:szCs w:val="24"/>
        </w:rPr>
      </w:pPr>
      <w:r>
        <w:rPr>
          <w:szCs w:val="24"/>
        </w:rPr>
        <w:t>《国家中长期教育改革和发展规划纲要(2010—2020年)》明确提出：</w:t>
      </w:r>
      <w:r>
        <w:rPr>
          <w:rFonts w:hint="eastAsia"/>
          <w:szCs w:val="24"/>
        </w:rPr>
        <w:t>“</w:t>
      </w:r>
      <w:r>
        <w:rPr>
          <w:szCs w:val="24"/>
        </w:rPr>
        <w:t>要创立高校与科研院所、行业、企业联合培养人才的新机制。</w:t>
      </w:r>
      <w:r>
        <w:rPr>
          <w:rFonts w:hint="eastAsia"/>
          <w:szCs w:val="24"/>
        </w:rPr>
        <w:t>”</w:t>
      </w:r>
      <w:r>
        <w:rPr>
          <w:szCs w:val="24"/>
        </w:rPr>
        <w:t>在这样的背景下,高校推进产学研合作，增强自主创新能力显得尤为重要和紧迫。</w:t>
      </w:r>
    </w:p>
    <w:p>
      <w:pPr>
        <w:ind w:firstLine="480" w:firstLineChars="200"/>
        <w:rPr>
          <w:szCs w:val="24"/>
        </w:rPr>
      </w:pPr>
      <w:r>
        <w:rPr>
          <w:szCs w:val="24"/>
        </w:rPr>
        <w:t>为全面培养高素质的专业型创新人才，提高学生综合能力和就业竞争力，本专业积极推进产学研协同育人机制，以学生发展为本位，以社会需求为导向，把理论与实践有机结合，把课堂与社会紧密联系，提升人才培养适用性，满足社会对应用型人才的需求。</w:t>
      </w:r>
    </w:p>
    <w:p>
      <w:pPr>
        <w:ind w:firstLine="480" w:firstLineChars="200"/>
        <w:rPr>
          <w:szCs w:val="24"/>
        </w:rPr>
      </w:pPr>
      <w:r>
        <w:rPr>
          <w:szCs w:val="24"/>
        </w:rPr>
        <w:t>首先，我们根据专业特点，专门增设相关课程，将协同育人融入实践性教学环节，从基础课到专业课，直至毕业实习、毕业设计都综合安排实践环节，并对学生在实践过程中的表现、任务完成情况及实习报告进行全面评估考核，设立相应学分，确保学生理论联系实际，能够充分运用理论知识解决实际问题。</w:t>
      </w:r>
    </w:p>
    <w:p>
      <w:pPr>
        <w:ind w:firstLine="480" w:firstLineChars="200"/>
        <w:rPr>
          <w:szCs w:val="24"/>
        </w:rPr>
      </w:pPr>
      <w:r>
        <w:rPr>
          <w:szCs w:val="24"/>
        </w:rPr>
        <w:t>其次，我们与此教学科研育人实践基地加强联系，每年全员分派学生到档案馆、电视台、司法局、校直部门、基层政府的秘书与党政办等对口岗位教学实习，在走出去的同时，我们还注意引进来，经常选聘具备丰富实践经验的专家到学校讲学或兼职，加深和强化学生对秘书工作、管理工作的认知，实现了高校与实务部门专家之间的双向交流，科学高效地培养社会急需的人才。</w:t>
      </w:r>
    </w:p>
    <w:p>
      <w:pPr>
        <w:ind w:firstLine="480" w:firstLineChars="200"/>
        <w:rPr>
          <w:szCs w:val="24"/>
        </w:rPr>
      </w:pPr>
      <w:r>
        <w:rPr>
          <w:szCs w:val="24"/>
        </w:rPr>
        <w:t>再次，本专业每年都组织学生参加国家和山东省举办的创新创业大赛和全国性的秘书技能大赛，在比赛中学生开阔了眼界，实践能力和组织能力得到了锻炼，</w:t>
      </w:r>
      <w:r>
        <w:rPr>
          <w:rFonts w:hint="eastAsia"/>
          <w:szCs w:val="24"/>
        </w:rPr>
        <w:t>“</w:t>
      </w:r>
      <w:r>
        <w:rPr>
          <w:szCs w:val="24"/>
        </w:rPr>
        <w:t>五办一参</w:t>
      </w:r>
      <w:r>
        <w:rPr>
          <w:rFonts w:hint="eastAsia"/>
          <w:szCs w:val="24"/>
        </w:rPr>
        <w:t>”</w:t>
      </w:r>
      <w:r>
        <w:rPr>
          <w:szCs w:val="24"/>
        </w:rPr>
        <w:t>的核心能力得到了提升。</w:t>
      </w:r>
    </w:p>
    <w:p>
      <w:pPr>
        <w:ind w:firstLine="480" w:firstLineChars="200"/>
        <w:rPr>
          <w:szCs w:val="24"/>
        </w:rPr>
      </w:pPr>
      <w:r>
        <w:rPr>
          <w:szCs w:val="24"/>
        </w:rPr>
        <w:t>2016年5月，我校秘书学代表队参加在唐山举行的第六届全国商务秘书技能大赛，首次参赛就荣获团体一等奖1项，个人单项奖6项。2017年5月，秘书学代表队参加在杭州举办的第七届全国商务秘书技能大赛，并蝉联团体一等奖，斩获个人单项奖5项，一名同学获</w:t>
      </w:r>
      <w:r>
        <w:rPr>
          <w:rFonts w:hint="eastAsia"/>
          <w:szCs w:val="24"/>
        </w:rPr>
        <w:t>“</w:t>
      </w:r>
      <w:r>
        <w:rPr>
          <w:szCs w:val="24"/>
        </w:rPr>
        <w:t>十佳秘书</w:t>
      </w:r>
      <w:r>
        <w:rPr>
          <w:rFonts w:hint="eastAsia"/>
          <w:szCs w:val="24"/>
        </w:rPr>
        <w:t>”</w:t>
      </w:r>
      <w:r>
        <w:rPr>
          <w:szCs w:val="24"/>
        </w:rPr>
        <w:t>称号。2017年4月，我校秘书学代表队参加在上海举办的首届全国秘书学专业知识技能大赛，获团体二等奖的好成绩。2018年5月，秘书学代表队参加在丽水举办的第八届全国商务秘书技能大赛，并蝉联团体一等奖，斩获个人单项奖5项，一名同学获</w:t>
      </w:r>
      <w:r>
        <w:rPr>
          <w:rFonts w:hint="eastAsia"/>
          <w:szCs w:val="24"/>
        </w:rPr>
        <w:t>“</w:t>
      </w:r>
      <w:r>
        <w:rPr>
          <w:szCs w:val="24"/>
        </w:rPr>
        <w:t>十佳秘书</w:t>
      </w:r>
      <w:r>
        <w:rPr>
          <w:rFonts w:hint="eastAsia"/>
          <w:szCs w:val="24"/>
        </w:rPr>
        <w:t>”</w:t>
      </w:r>
      <w:r>
        <w:rPr>
          <w:szCs w:val="24"/>
        </w:rPr>
        <w:t>称号。2018年4月，我校秘书学代表队参加在徐州举办的第二届届全国秘书学专业知识技能大赛，获团体特等奖的好成绩，杜翊名同学获全国</w:t>
      </w:r>
      <w:r>
        <w:rPr>
          <w:rFonts w:hint="eastAsia"/>
          <w:szCs w:val="24"/>
        </w:rPr>
        <w:t>“</w:t>
      </w:r>
      <w:r>
        <w:rPr>
          <w:szCs w:val="24"/>
        </w:rPr>
        <w:t>十佳秘书</w:t>
      </w:r>
      <w:r>
        <w:rPr>
          <w:rFonts w:hint="eastAsia"/>
          <w:szCs w:val="24"/>
        </w:rPr>
        <w:t>”</w:t>
      </w:r>
      <w:r>
        <w:rPr>
          <w:szCs w:val="24"/>
        </w:rPr>
        <w:t>称号。2019年我校秘书学代表队参加在石家庄举办的第九届全国商务秘书技能大赛，获团体二等奖及若干个人单项奖。</w:t>
      </w:r>
    </w:p>
    <w:p>
      <w:pPr>
        <w:pStyle w:val="6"/>
        <w:ind w:firstLine="480"/>
      </w:pPr>
      <w:r>
        <w:t>（二）教学管理</w:t>
      </w:r>
    </w:p>
    <w:p>
      <w:pPr>
        <w:ind w:firstLine="480" w:firstLineChars="200"/>
        <w:rPr>
          <w:szCs w:val="24"/>
        </w:rPr>
      </w:pPr>
      <w:r>
        <w:rPr>
          <w:szCs w:val="24"/>
        </w:rPr>
        <w:t>按照国家和教育部的有关规定，将教师从事教学工作的基本要求写进教师管理规定，并严格执行教师教学工作的考核、评价、监督制度，从制度上保证了日常教学秩序的稳定，为提高教学质量、深化教学改革提供了必要的前提条件。</w:t>
      </w:r>
    </w:p>
    <w:p>
      <w:pPr>
        <w:ind w:firstLine="480" w:firstLineChars="200"/>
        <w:rPr>
          <w:szCs w:val="24"/>
        </w:rPr>
      </w:pPr>
      <w:r>
        <w:rPr>
          <w:szCs w:val="24"/>
        </w:rPr>
        <w:t>1.近年来，按照学校的要求，本专业十分注重教师的岗位资格条件和自身素质，实行主讲教师制度，一门专业课应有1－2名主讲教师，形成</w:t>
      </w:r>
      <w:r>
        <w:rPr>
          <w:rFonts w:hint="eastAsia"/>
          <w:szCs w:val="24"/>
        </w:rPr>
        <w:t>“</w:t>
      </w:r>
      <w:r>
        <w:rPr>
          <w:szCs w:val="24"/>
        </w:rPr>
        <w:t>新老搭配</w:t>
      </w:r>
      <w:r>
        <w:rPr>
          <w:rFonts w:hint="eastAsia"/>
          <w:szCs w:val="24"/>
        </w:rPr>
        <w:t>”</w:t>
      </w:r>
      <w:r>
        <w:rPr>
          <w:szCs w:val="24"/>
        </w:rPr>
        <w:t>和</w:t>
      </w:r>
      <w:r>
        <w:rPr>
          <w:rFonts w:hint="eastAsia"/>
          <w:szCs w:val="24"/>
        </w:rPr>
        <w:t>“</w:t>
      </w:r>
      <w:r>
        <w:rPr>
          <w:szCs w:val="24"/>
        </w:rPr>
        <w:t>传、帮、带</w:t>
      </w:r>
      <w:r>
        <w:rPr>
          <w:rFonts w:hint="eastAsia"/>
          <w:szCs w:val="24"/>
        </w:rPr>
        <w:t>”</w:t>
      </w:r>
      <w:r>
        <w:rPr>
          <w:szCs w:val="24"/>
        </w:rPr>
        <w:t>的模式，新进教师先见习、任助教半年，然后才能担任主讲教师。中文系教授、副教授为本科生上课率在100%。所有教师都为本科生开设1－2门课，效果良好，受到学生的好评。</w:t>
      </w:r>
    </w:p>
    <w:p>
      <w:pPr>
        <w:ind w:firstLine="480" w:firstLineChars="200"/>
        <w:rPr>
          <w:szCs w:val="24"/>
        </w:rPr>
      </w:pPr>
      <w:r>
        <w:rPr>
          <w:szCs w:val="24"/>
        </w:rPr>
        <w:t>2.每个学期均安排专业教师为学生开办2-3次前沿讲座，既加深了学生对本专业、本学科发展前沿的了解，拓宽了知识面，同时对教师教学、科研工作也是一种促进和激励。</w:t>
      </w:r>
    </w:p>
    <w:p>
      <w:pPr>
        <w:ind w:firstLine="480" w:firstLineChars="200"/>
        <w:rPr>
          <w:rFonts w:eastAsia="黑体"/>
          <w:sz w:val="30"/>
          <w:szCs w:val="30"/>
        </w:rPr>
      </w:pPr>
      <w:r>
        <w:rPr>
          <w:szCs w:val="24"/>
        </w:rPr>
        <w:t>3.实行导师制，进入大二后，系里安排教师与学生双向选择，每位教师指导6-7名学生，不仅作为学习、实践方面的导师，而且可以在日常生活、个体成长乃至情感方面对学生加以引导，答疑解难，建立起和谐的师生关系。</w:t>
      </w:r>
    </w:p>
    <w:p>
      <w:pPr>
        <w:pStyle w:val="5"/>
        <w:spacing w:before="93" w:after="93"/>
        <w:ind w:firstLine="560"/>
      </w:pPr>
      <w:r>
        <w:t>五、培养质量</w:t>
      </w:r>
    </w:p>
    <w:p>
      <w:pPr>
        <w:ind w:firstLine="480" w:firstLineChars="200"/>
        <w:rPr>
          <w:szCs w:val="24"/>
        </w:rPr>
      </w:pPr>
      <w:r>
        <w:rPr>
          <w:szCs w:val="24"/>
        </w:rPr>
        <w:t>本专业办学十年以来，一直秉承质量至上的理念，把为国家为社会培养合格的人才作为一切工作的出发点和落脚点。</w:t>
      </w:r>
    </w:p>
    <w:p>
      <w:pPr>
        <w:ind w:firstLine="480" w:firstLineChars="200"/>
        <w:rPr>
          <w:szCs w:val="24"/>
        </w:rPr>
      </w:pPr>
      <w:r>
        <w:rPr>
          <w:szCs w:val="24"/>
        </w:rPr>
        <w:t>学生就读的意愿虽然在报高考志愿的时候受社会、家庭等各种因素、成见的影响不太高，但入学后经过扎实的专业教育和教师的引导，逐渐树立了专业思想，对本专业认可度不断提高，考公率、考研率、就业率在学院前列，学生就业后在单位的发展空间巨大。</w:t>
      </w:r>
    </w:p>
    <w:p>
      <w:pPr>
        <w:pStyle w:val="6"/>
        <w:ind w:firstLine="480"/>
      </w:pPr>
      <w:r>
        <w:t>（一）毕业生就业率</w:t>
      </w:r>
    </w:p>
    <w:p>
      <w:pPr>
        <w:ind w:firstLine="480" w:firstLineChars="200"/>
        <w:rPr>
          <w:szCs w:val="24"/>
        </w:rPr>
      </w:pPr>
      <w:r>
        <w:rPr>
          <w:szCs w:val="24"/>
        </w:rPr>
        <w:t>2022届毕业生初次就业率达92.64%，年底就业率达100%。毕业生就业集中在公务员、事业单位的秘书或综合管理岗位。据统计，三年来，秘书学同学考研率稳居学院五个专业之首，2020届考研率达39.2%，2021届毕业生考研率42.94%，2022届考研率36.5%。整体就业情况较好，营造了良好的学风、教风和系风。</w:t>
      </w:r>
    </w:p>
    <w:p>
      <w:pPr>
        <w:pStyle w:val="6"/>
        <w:ind w:firstLine="480"/>
      </w:pPr>
      <w:r>
        <w:t>（二）就业专业对口率</w:t>
      </w:r>
    </w:p>
    <w:p>
      <w:pPr>
        <w:ind w:firstLine="480" w:firstLineChars="200"/>
        <w:rPr>
          <w:szCs w:val="24"/>
        </w:rPr>
      </w:pPr>
      <w:r>
        <w:rPr>
          <w:szCs w:val="24"/>
        </w:rPr>
        <w:t>初次就业率的就业专业对口率达90%以上。就学生分布与发展情况来看，考研、出国，考公、事业编，以及企业就业分别占到了学生整体就业的28.75%、13.4%、50.7%。</w:t>
      </w:r>
    </w:p>
    <w:p>
      <w:pPr>
        <w:pStyle w:val="6"/>
        <w:ind w:firstLine="480"/>
      </w:pPr>
      <w:r>
        <w:t>（三）毕业生发展情况</w:t>
      </w:r>
    </w:p>
    <w:p>
      <w:pPr>
        <w:ind w:firstLine="480" w:firstLineChars="200"/>
        <w:rPr>
          <w:rFonts w:eastAsia="黑体"/>
          <w:sz w:val="28"/>
          <w:szCs w:val="28"/>
        </w:rPr>
      </w:pPr>
      <w:r>
        <w:rPr>
          <w:szCs w:val="24"/>
        </w:rPr>
        <w:t>多数同学专业与岗位匹配性高，适应性好，发展空间大。公务员国考中涉及秘书学、中国语言文学专业及文秘岗位的，秘书学毕业生都可以报考。毕业生上升渠道畅通，发展情况良好，都能很快适应岗位需求，并有较大的发展空间。通过回访、调查，就业单位和社会各界对我校秘书学毕业学生的满意率和评价都很高。</w:t>
      </w:r>
      <w:r>
        <w:rPr>
          <w:rFonts w:eastAsia="黑体"/>
          <w:sz w:val="28"/>
          <w:szCs w:val="28"/>
        </w:rPr>
        <w:t>　</w:t>
      </w:r>
    </w:p>
    <w:p>
      <w:pPr>
        <w:pStyle w:val="6"/>
        <w:ind w:firstLine="480"/>
      </w:pPr>
      <w:r>
        <w:t>（四）社会对专业的评价</w:t>
      </w:r>
    </w:p>
    <w:p>
      <w:pPr>
        <w:ind w:firstLine="480" w:firstLineChars="200"/>
        <w:rPr>
          <w:szCs w:val="24"/>
        </w:rPr>
      </w:pPr>
      <w:r>
        <w:rPr>
          <w:szCs w:val="24"/>
        </w:rPr>
        <w:t>我样校秘书学办学十余年来，培养了上千名优秀毕业生，活跃在各个岗位上，他们突出的工作成绩就是对秘书学专业的最好宣传。社会上对秘书学有一种偏见，认为秘书是伺候人的，不如学管理的高大上，其实不然。秘书岗位本身就是一个管理岗位，在校期间也开设管理类的课程。同时秘书学学科定位及课程设置比较踏实，更注重实践能力的培养。所以很多秘书学的毕业生工作后靠近单位领导层，既学会宏观考虑大局，也能重视微观考虑细节，因而上升通道开阔。</w:t>
      </w:r>
    </w:p>
    <w:p>
      <w:pPr>
        <w:pStyle w:val="5"/>
        <w:spacing w:before="93" w:after="93"/>
        <w:ind w:firstLine="560"/>
      </w:pPr>
      <w:r>
        <w:t>六、毕业生就业创业</w:t>
      </w:r>
    </w:p>
    <w:p>
      <w:pPr>
        <w:ind w:firstLine="480" w:firstLineChars="200"/>
        <w:rPr>
          <w:szCs w:val="24"/>
        </w:rPr>
      </w:pPr>
      <w:r>
        <w:rPr>
          <w:szCs w:val="24"/>
        </w:rPr>
        <w:t>本专业响应国家号召，支持毕业生就业创业，奋进实干。就业关系到每位同学的切身利益和前途，系里要做的工作就是对有创业激情和想法的同学加以正确引导和大力支持。就业的渠道多种多样，考研升学、考公务员、考事业编、加盟企业、自主创业都是就业形式，不应拘于一格。</w:t>
      </w:r>
    </w:p>
    <w:p>
      <w:pPr>
        <w:ind w:firstLine="480" w:firstLineChars="200"/>
        <w:rPr>
          <w:szCs w:val="24"/>
        </w:rPr>
      </w:pPr>
      <w:r>
        <w:rPr>
          <w:rFonts w:hint="eastAsia"/>
          <w:szCs w:val="24"/>
        </w:rPr>
        <w:t>（1）</w:t>
      </w:r>
      <w:r>
        <w:rPr>
          <w:szCs w:val="24"/>
        </w:rPr>
        <w:t>考研。每年秘书学考研深造的同学占毕业生的15-20%，从2005级首次本科招生以来从未中断过，其中不乏211、985名校，如吉林大学、暨南大学、、四川大学、兰州大学等。2009届毕业生王起国读完硕士、博士后进入国家证监会工作，2013届毕业生吴珊珊、李赛硕士毕业后进入泰安一中和济南九中工作， 2021届毕业生考入北京理工大学、山东大学、北京邮电大学等高校，2022届学生考入厦门大学、南京师大等学校对口专业。</w:t>
      </w:r>
    </w:p>
    <w:p>
      <w:pPr>
        <w:ind w:firstLine="480" w:firstLineChars="200"/>
        <w:rPr>
          <w:szCs w:val="24"/>
        </w:rPr>
      </w:pPr>
      <w:r>
        <w:rPr>
          <w:rFonts w:hint="eastAsia"/>
          <w:szCs w:val="24"/>
        </w:rPr>
        <w:t>（2）</w:t>
      </w:r>
      <w:r>
        <w:rPr>
          <w:szCs w:val="24"/>
        </w:rPr>
        <w:t>考公。秘书学考公务员的同学十年来也从未中断过。2013届的蒋文长同学毕业后考取选调生，后又考入市政府办公室；2015届级的张超同学考入上海徐汇区人民法院，做秘书工作，得心应手，成绩斐然； 2018届的李源以优异的成绩考入曲阜市人民政府办公室，2019届毕业生王笑笑同学考入天津市滨海新区法院工作等等。他们在各自的岗位上为我们的秘书学专业代言争光。</w:t>
      </w:r>
    </w:p>
    <w:p>
      <w:pPr>
        <w:ind w:firstLine="480" w:firstLineChars="200"/>
        <w:rPr>
          <w:szCs w:val="24"/>
        </w:rPr>
      </w:pPr>
      <w:r>
        <w:rPr>
          <w:rFonts w:hint="eastAsia"/>
          <w:szCs w:val="24"/>
        </w:rPr>
        <w:t>（3）</w:t>
      </w:r>
      <w:r>
        <w:rPr>
          <w:szCs w:val="24"/>
        </w:rPr>
        <w:t>就业。就业是毕业生去向的大头，毕业生基本上都从事本单位秘书等管理工作，处在单位的核心位置，直接为决策层服务，锻炼机会多，成长空间大。2013级的李允成在泰安市公交公司办公室工作，独挡一面；2015级的王娟娟，在山东昌邑的同泰公司做总经理秘书，工作有声有色；2015级的刘富成，在平安保险北京总部做人力资源工作，发展潜力巨大；2020级庞薇到南京某文化企业就业。　</w:t>
      </w:r>
    </w:p>
    <w:p>
      <w:pPr>
        <w:ind w:firstLine="480" w:firstLineChars="200"/>
        <w:rPr>
          <w:szCs w:val="24"/>
        </w:rPr>
      </w:pPr>
      <w:r>
        <w:rPr>
          <w:rFonts w:hint="eastAsia"/>
          <w:szCs w:val="24"/>
        </w:rPr>
        <w:t>（4）</w:t>
      </w:r>
      <w:r>
        <w:rPr>
          <w:szCs w:val="24"/>
        </w:rPr>
        <w:t>创业。鼓励自主创业创新是国家人才政策，也是我们培养人才的导向。我们的毕业生中有不少进入了这个创业大军。2013级的户瑞双在山东曹县老家办初等教育，为当地孩子提供优质的教育机会。</w:t>
      </w:r>
    </w:p>
    <w:p>
      <w:pPr>
        <w:pStyle w:val="5"/>
        <w:spacing w:before="93" w:after="93"/>
        <w:ind w:firstLine="560"/>
      </w:pPr>
      <w:r>
        <w:t>七、专业人才社会需求分析及专业发展趋势分析</w:t>
      </w:r>
    </w:p>
    <w:p>
      <w:pPr>
        <w:ind w:firstLine="480" w:firstLineChars="200"/>
        <w:rPr>
          <w:szCs w:val="24"/>
        </w:rPr>
      </w:pPr>
      <w:r>
        <w:rPr>
          <w:szCs w:val="24"/>
        </w:rPr>
        <w:t>秘书学专业本科开办院校在全国范围内已达130所左右，而且数量还在稳步增长中。社会对于秘书学专业的应用性专门人才的需求量是很大的，各级国家机关、企事业单位、社会团体对秘书人员都有需求，近年来国家和省级公务员考试都有较多针对秘书学专业的岗位。所以可以预见，专门的秘书人才在社会上有较大缺口，也很受欢迎，合格的秘书学毕业生就业趋势看好。一方面，社会对秘书学人才需求量大，适用性广，发展前景好；另一方面，我们也面临着办学育人的巨大压力，如何让我们的毕业生在社会上同台竞争中有一席之地，进而脱颖而出，这是我们需要思考的问题。</w:t>
      </w:r>
    </w:p>
    <w:p>
      <w:pPr>
        <w:ind w:firstLine="480" w:firstLineChars="200"/>
        <w:rPr>
          <w:szCs w:val="24"/>
        </w:rPr>
      </w:pPr>
      <w:r>
        <w:rPr>
          <w:szCs w:val="24"/>
        </w:rPr>
        <w:t>秘书学专业培养的是应用型的高层次专业人才，专业基础厚实，就业口径宽广，实践技能突出，为领导做好助手和参谋，写作能力是其核心竞争力。今后的竞争是综合素质的竞争，理论修养、知识储备要扎实，也要有较强的动手能力。</w:t>
      </w:r>
    </w:p>
    <w:p>
      <w:pPr>
        <w:ind w:firstLine="480" w:firstLineChars="200"/>
        <w:rPr>
          <w:szCs w:val="24"/>
        </w:rPr>
      </w:pPr>
      <w:r>
        <w:rPr>
          <w:szCs w:val="24"/>
        </w:rPr>
        <w:t>今后培养中要继续加强实践环节，课程教学中重视秘书模块课的教学，把写作能力、办文、办会、办事等实际能力放到突出的位置，理论一定要结合实践，新建实践基地应考虑多布局在企业；多带学生出去参加全国性的秘书技能大赛，以赛促学，以赛促交流。我们专业组织的代表队在2017－2019全国商务秘书技能大赛中蝉联团体一等奖的殊荣，这是我们理论与实践并重教学理念的成果之一。今后每年春夏都有2-3次不同层次的全国性的秘书学大赛，我们都要派人参加，出去学习，锻炼自己的队伍。同时，专业教师也应多出去交流、培训，把我们自己的教学成果和特色宣传出去，把同行们的先进理念和做法引进来，使我们各方面的工作形成良性的上升态势。</w:t>
      </w:r>
    </w:p>
    <w:p>
      <w:pPr>
        <w:pStyle w:val="5"/>
        <w:spacing w:before="93" w:after="93"/>
        <w:ind w:firstLine="560"/>
      </w:pPr>
      <w:r>
        <w:t>八、存在的问题及拟采取的对策措施</w:t>
      </w:r>
    </w:p>
    <w:p>
      <w:pPr>
        <w:ind w:firstLine="480" w:firstLineChars="200"/>
        <w:rPr>
          <w:szCs w:val="24"/>
        </w:rPr>
      </w:pPr>
      <w:r>
        <w:rPr>
          <w:szCs w:val="24"/>
        </w:rPr>
        <w:t>1. 秘书学专业现有8名教师，要上所有的专业基础课、专业核心课，再加上专业拓展课、分流课、实践课等，师资相对匮乏。</w:t>
      </w:r>
    </w:p>
    <w:p>
      <w:pPr>
        <w:ind w:firstLine="480" w:firstLineChars="200"/>
        <w:rPr>
          <w:szCs w:val="24"/>
        </w:rPr>
      </w:pPr>
      <w:r>
        <w:rPr>
          <w:szCs w:val="24"/>
        </w:rPr>
        <w:t>2. 由于学院本科专业数量增加的原因，秘书学专业招生人数近年来逐年减少。招生人数减少反映出社会、学校相关部门对该专业的认识不足，存在某种偏见，导致了2021年秘书学专业停止招生。其实秘书学专业培养的优秀毕业生在社会上是紧缺的，到具体工作上也能够快速适应工作岗位，做到学以致用，毕业后的发展普遍不错。如今面临一个专业替代、盘活现有师资的问题，需要中文系、学院、学校共同努力解决。</w:t>
      </w:r>
    </w:p>
    <w:p>
      <w:pPr>
        <w:ind w:firstLine="480" w:firstLineChars="200"/>
        <w:rPr>
          <w:szCs w:val="24"/>
        </w:rPr>
      </w:pPr>
      <w:r>
        <w:rPr>
          <w:szCs w:val="24"/>
        </w:rPr>
        <w:t>3. 秘书学的核心课教学需要加强，如秘书学、档案学、秘书实务等，需要理论更多地结合实践，从书本中跳出来、走向实践中去，多培养学生实际能力。</w:t>
      </w:r>
    </w:p>
    <w:p>
      <w:pPr>
        <w:ind w:firstLine="480" w:firstLineChars="200"/>
        <w:rPr>
          <w:szCs w:val="24"/>
        </w:rPr>
      </w:pPr>
      <w:r>
        <w:rPr>
          <w:szCs w:val="24"/>
        </w:rPr>
        <w:t>4. 学科建设需要上档次，有突破，需要寻求机会申办专业硕士学位点。</w:t>
      </w:r>
    </w:p>
    <w:p>
      <w:pPr>
        <w:ind w:firstLine="480" w:firstLineChars="200"/>
        <w:rPr>
          <w:szCs w:val="24"/>
        </w:rPr>
      </w:pPr>
      <w:r>
        <w:rPr>
          <w:szCs w:val="24"/>
        </w:rPr>
        <w:t>5. 科研等级还有待提高，高等级立项和论文还偏少。</w:t>
      </w:r>
    </w:p>
    <w:p>
      <w:pPr>
        <w:ind w:firstLine="480" w:firstLineChars="200"/>
        <w:rPr>
          <w:szCs w:val="24"/>
        </w:rPr>
      </w:pPr>
      <w:r>
        <w:rPr>
          <w:szCs w:val="24"/>
        </w:rPr>
        <w:t>6. 课堂教学质量还不够平衡，少数课程的教学质量需进一步提高；多媒体课件制作水平普遍需要再上台阶。师资力量和教学设备还有待增强。教学管理文件还不齐备；过程监控还有待完善、强化、常态化、规范化。</w:t>
      </w:r>
    </w:p>
    <w:p>
      <w:pPr>
        <w:ind w:firstLine="480" w:firstLineChars="200"/>
        <w:rPr>
          <w:szCs w:val="24"/>
        </w:rPr>
      </w:pPr>
    </w:p>
    <w:p>
      <w:r>
        <w:br w:type="page"/>
      </w:r>
    </w:p>
    <w:p>
      <w:pPr>
        <w:pStyle w:val="4"/>
        <w:ind w:firstLine="600"/>
      </w:pPr>
      <w:bookmarkStart w:id="561" w:name="_Toc28180"/>
      <w:r>
        <w:t>专业</w:t>
      </w:r>
      <w:r>
        <w:rPr>
          <w:rFonts w:hint="eastAsia"/>
          <w:lang w:val="en-US"/>
        </w:rPr>
        <w:t>五十六</w:t>
      </w:r>
      <w:r>
        <w:t>：文化产业管理</w:t>
      </w:r>
      <w:bookmarkEnd w:id="561"/>
    </w:p>
    <w:p>
      <w:pPr>
        <w:pStyle w:val="5"/>
        <w:spacing w:before="93" w:after="93" w:line="420" w:lineRule="exact"/>
        <w:ind w:firstLine="560"/>
      </w:pPr>
      <w:r>
        <w:t>一、培养目标</w:t>
      </w:r>
    </w:p>
    <w:p>
      <w:pPr>
        <w:autoSpaceDE w:val="0"/>
        <w:autoSpaceDN w:val="0"/>
        <w:adjustRightInd w:val="0"/>
        <w:spacing w:line="420" w:lineRule="exact"/>
        <w:ind w:firstLine="480" w:firstLineChars="200"/>
        <w:jc w:val="left"/>
        <w:rPr>
          <w:kern w:val="0"/>
          <w:szCs w:val="28"/>
        </w:rPr>
      </w:pPr>
      <w:r>
        <w:rPr>
          <w:szCs w:val="28"/>
        </w:rPr>
        <w:t>本专业旨在培养德、智、体全面发展的、掌握扎实的文化产业及相关学科基础知识和基本理论，熟悉文化产业经营特点、运作规律和文化法律、法规知识；具备文化产业管理、文化产品创新与运营、文化活动策划的能力，能够在文化企业、媒体、政府文化管理部门、事业单位从事文化管理、文化经营、文化市场运作、文化产品及项目策划和国际文化交流与传播工作的复合型、应用型、创新型高级专门人才。</w:t>
      </w:r>
    </w:p>
    <w:p>
      <w:pPr>
        <w:autoSpaceDE w:val="0"/>
        <w:autoSpaceDN w:val="0"/>
        <w:adjustRightInd w:val="0"/>
        <w:spacing w:line="420" w:lineRule="exact"/>
        <w:ind w:firstLine="480" w:firstLineChars="200"/>
        <w:jc w:val="left"/>
        <w:rPr>
          <w:rFonts w:eastAsia="黑体"/>
          <w:kern w:val="0"/>
          <w:szCs w:val="28"/>
        </w:rPr>
      </w:pPr>
      <w:r>
        <w:rPr>
          <w:rFonts w:eastAsia="黑体"/>
          <w:kern w:val="0"/>
          <w:szCs w:val="28"/>
        </w:rPr>
        <w:t>分解为4个子目标：</w:t>
      </w:r>
    </w:p>
    <w:p>
      <w:pPr>
        <w:autoSpaceDE w:val="0"/>
        <w:autoSpaceDN w:val="0"/>
        <w:adjustRightInd w:val="0"/>
        <w:spacing w:line="420" w:lineRule="exact"/>
        <w:ind w:firstLine="480" w:firstLineChars="200"/>
        <w:jc w:val="left"/>
        <w:rPr>
          <w:szCs w:val="28"/>
        </w:rPr>
      </w:pPr>
      <w:r>
        <w:rPr>
          <w:szCs w:val="28"/>
        </w:rPr>
        <w:t>1．掌握中外历史与人类文化发展的基本线索，了解和利用优秀传统文化，服务国家文化战略，了解我国乃至世界各国关于文化事业、文化产业发展状况，明确我国与文化产业相关的政策、法律和法规；</w:t>
      </w:r>
    </w:p>
    <w:p>
      <w:pPr>
        <w:autoSpaceDE w:val="0"/>
        <w:autoSpaceDN w:val="0"/>
        <w:adjustRightInd w:val="0"/>
        <w:spacing w:line="420" w:lineRule="exact"/>
        <w:ind w:firstLine="480" w:firstLineChars="200"/>
        <w:jc w:val="left"/>
        <w:rPr>
          <w:szCs w:val="28"/>
        </w:rPr>
      </w:pPr>
      <w:r>
        <w:rPr>
          <w:szCs w:val="28"/>
        </w:rPr>
        <w:t>2．具备基本经济知识与常识，具有利用现代管理理论和手段从事文化创意与策划、文化产业经营与管理等实际工作的能力；</w:t>
      </w:r>
    </w:p>
    <w:p>
      <w:pPr>
        <w:autoSpaceDE w:val="0"/>
        <w:autoSpaceDN w:val="0"/>
        <w:adjustRightInd w:val="0"/>
        <w:spacing w:line="420" w:lineRule="exact"/>
        <w:ind w:firstLine="480" w:firstLineChars="200"/>
        <w:jc w:val="left"/>
        <w:rPr>
          <w:szCs w:val="28"/>
        </w:rPr>
      </w:pPr>
      <w:r>
        <w:rPr>
          <w:szCs w:val="28"/>
        </w:rPr>
        <w:t>3．具有创新意识和创业能力，以及良好的职业道德；</w:t>
      </w:r>
    </w:p>
    <w:p>
      <w:pPr>
        <w:autoSpaceDE w:val="0"/>
        <w:autoSpaceDN w:val="0"/>
        <w:adjustRightInd w:val="0"/>
        <w:spacing w:line="420" w:lineRule="exact"/>
        <w:ind w:firstLine="480" w:firstLineChars="200"/>
        <w:jc w:val="left"/>
        <w:rPr>
          <w:szCs w:val="28"/>
        </w:rPr>
      </w:pPr>
      <w:r>
        <w:rPr>
          <w:szCs w:val="28"/>
        </w:rPr>
        <w:t>4．具有良好的外语、计算机应用能力，具有获取知识、信息并加以综合处理的能力，掌握文案创作与写作能力和一定的科学研究能力。</w:t>
      </w:r>
    </w:p>
    <w:p>
      <w:pPr>
        <w:autoSpaceDE w:val="0"/>
        <w:autoSpaceDN w:val="0"/>
        <w:adjustRightInd w:val="0"/>
        <w:spacing w:line="420" w:lineRule="exact"/>
        <w:ind w:firstLine="480" w:firstLineChars="200"/>
        <w:jc w:val="left"/>
        <w:rPr>
          <w:rFonts w:eastAsia="黑体"/>
          <w:kern w:val="0"/>
          <w:szCs w:val="28"/>
        </w:rPr>
      </w:pPr>
      <w:r>
        <w:rPr>
          <w:rFonts w:eastAsia="黑体"/>
          <w:kern w:val="0"/>
          <w:szCs w:val="28"/>
        </w:rPr>
        <w:t>学制与学位</w:t>
      </w:r>
    </w:p>
    <w:p>
      <w:pPr>
        <w:autoSpaceDE w:val="0"/>
        <w:autoSpaceDN w:val="0"/>
        <w:adjustRightInd w:val="0"/>
        <w:spacing w:line="420" w:lineRule="exact"/>
        <w:ind w:firstLine="480" w:firstLineChars="200"/>
        <w:jc w:val="left"/>
        <w:rPr>
          <w:kern w:val="0"/>
          <w:szCs w:val="28"/>
        </w:rPr>
      </w:pPr>
      <w:r>
        <w:rPr>
          <w:kern w:val="0"/>
          <w:szCs w:val="28"/>
        </w:rPr>
        <w:t>学制：本科基本学制为4年，学习年限为3-8年。</w:t>
      </w:r>
    </w:p>
    <w:p>
      <w:pPr>
        <w:autoSpaceDE w:val="0"/>
        <w:autoSpaceDN w:val="0"/>
        <w:adjustRightInd w:val="0"/>
        <w:spacing w:line="420" w:lineRule="exact"/>
        <w:ind w:firstLine="480" w:firstLineChars="200"/>
        <w:jc w:val="left"/>
      </w:pPr>
      <w:r>
        <w:rPr>
          <w:kern w:val="0"/>
          <w:szCs w:val="28"/>
        </w:rPr>
        <w:t>学位：按要求完成学业且符合学位授予条件者授予管理学学士学位。</w:t>
      </w:r>
    </w:p>
    <w:p>
      <w:pPr>
        <w:pStyle w:val="5"/>
        <w:spacing w:before="93" w:after="93" w:line="420" w:lineRule="exact"/>
        <w:ind w:firstLine="560"/>
      </w:pPr>
      <w:r>
        <w:t>二、培养能力</w:t>
      </w:r>
    </w:p>
    <w:p>
      <w:pPr>
        <w:pStyle w:val="6"/>
        <w:spacing w:line="420" w:lineRule="exact"/>
        <w:ind w:firstLine="480"/>
      </w:pPr>
      <w:r>
        <w:t>（一）专业设置情况</w:t>
      </w:r>
    </w:p>
    <w:p>
      <w:pPr>
        <w:autoSpaceDE w:val="0"/>
        <w:autoSpaceDN w:val="0"/>
        <w:adjustRightInd w:val="0"/>
        <w:spacing w:line="420" w:lineRule="exact"/>
        <w:ind w:firstLine="480" w:firstLineChars="200"/>
        <w:jc w:val="left"/>
        <w:rPr>
          <w:szCs w:val="21"/>
        </w:rPr>
      </w:pPr>
      <w:r>
        <w:rPr>
          <w:szCs w:val="21"/>
        </w:rPr>
        <w:t>1.在校生规模</w:t>
      </w:r>
    </w:p>
    <w:p>
      <w:pPr>
        <w:autoSpaceDE w:val="0"/>
        <w:autoSpaceDN w:val="0"/>
        <w:adjustRightInd w:val="0"/>
        <w:spacing w:line="420" w:lineRule="exact"/>
        <w:ind w:firstLine="480" w:firstLineChars="200"/>
        <w:jc w:val="left"/>
        <w:rPr>
          <w:szCs w:val="21"/>
        </w:rPr>
      </w:pPr>
      <w:r>
        <w:rPr>
          <w:szCs w:val="21"/>
        </w:rPr>
        <w:t>文化产业管理专业每年招收2—3个班，拟招生人数60—90人。2022届为第四届毕业生，人数61人（含上年休学复学1人）。目前实际</w:t>
      </w:r>
      <w:r>
        <w:rPr>
          <w:sz w:val="21"/>
          <w:szCs w:val="21"/>
        </w:rPr>
        <w:t>在校生情况为：2019级81人（参军1人），2020级78人，2021级75人，2022级89人，合计323人。</w:t>
      </w:r>
    </w:p>
    <w:p>
      <w:pPr>
        <w:autoSpaceDE w:val="0"/>
        <w:autoSpaceDN w:val="0"/>
        <w:adjustRightInd w:val="0"/>
        <w:spacing w:line="420" w:lineRule="exact"/>
        <w:ind w:firstLine="480" w:firstLineChars="200"/>
        <w:jc w:val="left"/>
        <w:rPr>
          <w:szCs w:val="21"/>
        </w:rPr>
      </w:pPr>
      <w:r>
        <w:rPr>
          <w:szCs w:val="21"/>
        </w:rPr>
        <w:t>2.课程设置情况</w:t>
      </w:r>
    </w:p>
    <w:p>
      <w:pPr>
        <w:autoSpaceDE w:val="0"/>
        <w:autoSpaceDN w:val="0"/>
        <w:adjustRightInd w:val="0"/>
        <w:spacing w:line="420" w:lineRule="exact"/>
        <w:ind w:firstLine="480" w:firstLineChars="200"/>
        <w:jc w:val="left"/>
        <w:rPr>
          <w:kern w:val="0"/>
          <w:szCs w:val="28"/>
        </w:rPr>
      </w:pPr>
      <w:r>
        <w:rPr>
          <w:kern w:val="0"/>
          <w:szCs w:val="28"/>
        </w:rPr>
        <w:t>主干学科：</w:t>
      </w:r>
      <w:r>
        <w:rPr>
          <w:szCs w:val="28"/>
        </w:rPr>
        <w:t>文化学、管理学、经济学</w:t>
      </w:r>
    </w:p>
    <w:p>
      <w:pPr>
        <w:autoSpaceDE w:val="0"/>
        <w:autoSpaceDN w:val="0"/>
        <w:adjustRightInd w:val="0"/>
        <w:spacing w:line="420" w:lineRule="exact"/>
        <w:ind w:firstLine="480" w:firstLineChars="200"/>
        <w:jc w:val="left"/>
        <w:rPr>
          <w:kern w:val="0"/>
          <w:szCs w:val="28"/>
        </w:rPr>
      </w:pPr>
      <w:r>
        <w:rPr>
          <w:kern w:val="0"/>
          <w:szCs w:val="28"/>
        </w:rPr>
        <w:t>主要课程：</w:t>
      </w:r>
      <w:r>
        <w:rPr>
          <w:szCs w:val="28"/>
        </w:rPr>
        <w:t>中外文化概论、文化资源学、文化学、民俗学、美学、艺术鉴赏、传播学、平面设计基础、视听语言、交互设计、影视制作、消费心理学、农业文明与文化、文化产业概论、文化产业创意与策划、市场调查理论与方法、文化产业政策与法规、管理学原理、文化产业管理、文化产业项目管理与案例解析、西方经济学、文化市场营销学、文化投资学等。</w:t>
      </w:r>
    </w:p>
    <w:p>
      <w:pPr>
        <w:autoSpaceDE w:val="0"/>
        <w:autoSpaceDN w:val="0"/>
        <w:adjustRightInd w:val="0"/>
        <w:spacing w:line="420" w:lineRule="exact"/>
        <w:ind w:firstLine="480" w:firstLineChars="200"/>
        <w:jc w:val="left"/>
        <w:rPr>
          <w:rFonts w:eastAsia="黑体"/>
          <w:kern w:val="0"/>
          <w:szCs w:val="28"/>
        </w:rPr>
      </w:pPr>
      <w:r>
        <w:rPr>
          <w:rFonts w:eastAsia="黑体"/>
          <w:kern w:val="0"/>
          <w:szCs w:val="28"/>
        </w:rPr>
        <w:t>主要实践性教学环节（含实验）</w:t>
      </w:r>
    </w:p>
    <w:p>
      <w:pPr>
        <w:autoSpaceDE w:val="0"/>
        <w:autoSpaceDN w:val="0"/>
        <w:adjustRightInd w:val="0"/>
        <w:spacing w:line="420" w:lineRule="exact"/>
        <w:ind w:firstLine="480" w:firstLineChars="200"/>
        <w:jc w:val="left"/>
        <w:rPr>
          <w:kern w:val="0"/>
          <w:szCs w:val="28"/>
        </w:rPr>
      </w:pPr>
      <w:r>
        <w:rPr>
          <w:szCs w:val="28"/>
        </w:rPr>
        <w:t>综合教学实习、课程论文、创新创业实践、毕业（生产）实习及报告、毕业论文（设计）等环节。</w:t>
      </w:r>
    </w:p>
    <w:p>
      <w:pPr>
        <w:autoSpaceDE w:val="0"/>
        <w:autoSpaceDN w:val="0"/>
        <w:adjustRightInd w:val="0"/>
        <w:spacing w:line="420" w:lineRule="exact"/>
        <w:ind w:firstLine="480" w:firstLineChars="200"/>
        <w:jc w:val="left"/>
        <w:rPr>
          <w:rFonts w:eastAsia="黑体"/>
          <w:kern w:val="0"/>
          <w:szCs w:val="28"/>
        </w:rPr>
      </w:pPr>
      <w:r>
        <w:rPr>
          <w:rFonts w:eastAsia="黑体"/>
          <w:kern w:val="0"/>
          <w:szCs w:val="28"/>
        </w:rPr>
        <w:t>学分分配</w:t>
      </w:r>
    </w:p>
    <w:p>
      <w:pPr>
        <w:autoSpaceDE w:val="0"/>
        <w:autoSpaceDN w:val="0"/>
        <w:adjustRightInd w:val="0"/>
        <w:spacing w:line="420" w:lineRule="exact"/>
        <w:ind w:firstLine="480" w:firstLineChars="200"/>
        <w:jc w:val="left"/>
        <w:rPr>
          <w:szCs w:val="28"/>
        </w:rPr>
      </w:pPr>
      <w:r>
        <w:rPr>
          <w:szCs w:val="28"/>
        </w:rPr>
        <w:t>文化产业管理专业总学分为174个，包括理论和实践两个环节。理论环节总学分为140.5学分。其中，必修课104.5学分，占74.38%；选修课36学分，占25.62%。实践教学环节总学分为33.5学分，占毕业总学分的19.25%，如果加上理论环节中的实验学时，占毕业总学分的22.41%。</w:t>
      </w:r>
    </w:p>
    <w:p>
      <w:pPr>
        <w:pStyle w:val="6"/>
        <w:spacing w:line="420" w:lineRule="exact"/>
        <w:ind w:firstLine="480"/>
      </w:pPr>
      <w:r>
        <w:t>（二）创新创业教育</w:t>
      </w:r>
    </w:p>
    <w:p>
      <w:pPr>
        <w:autoSpaceDE w:val="0"/>
        <w:autoSpaceDN w:val="0"/>
        <w:adjustRightInd w:val="0"/>
        <w:spacing w:line="420" w:lineRule="exact"/>
        <w:ind w:firstLine="480" w:firstLineChars="200"/>
        <w:jc w:val="left"/>
        <w:rPr>
          <w:szCs w:val="28"/>
        </w:rPr>
      </w:pPr>
      <w:r>
        <w:rPr>
          <w:szCs w:val="28"/>
        </w:rPr>
        <w:t>文化产业管理专业长期坚持理论与实践相结合，在原有培养方案的基础上，创新形成了</w:t>
      </w:r>
      <w:r>
        <w:rPr>
          <w:rFonts w:hint="eastAsia"/>
          <w:szCs w:val="28"/>
        </w:rPr>
        <w:t>“</w:t>
      </w:r>
      <w:r>
        <w:rPr>
          <w:szCs w:val="28"/>
        </w:rPr>
        <w:t>课堂模拟+综合实验</w:t>
      </w:r>
      <w:r>
        <w:rPr>
          <w:rFonts w:hint="eastAsia"/>
          <w:szCs w:val="28"/>
        </w:rPr>
        <w:t>”</w:t>
      </w:r>
      <w:r>
        <w:rPr>
          <w:szCs w:val="28"/>
        </w:rPr>
        <w:t>学生创新创业培养模式。在二、三年级引入专业综合实验课，将校内、校外教学实习实践与课堂模拟实操结合，通过专业综合实践、课程论文、毕业设计等方式系统专业基本训练，使学生逐步具有产业、管理方面的知识和分析、解决问题的基本能力。鼓励和支持学生积极参加各级创新创业项目、比赛，并及时调配专业老师进行指导。近年来，在系列创新创业活动取得了较为丰富的成果，具有代表性的有：</w:t>
      </w:r>
    </w:p>
    <w:p>
      <w:pPr>
        <w:autoSpaceDE w:val="0"/>
        <w:autoSpaceDN w:val="0"/>
        <w:adjustRightInd w:val="0"/>
        <w:jc w:val="center"/>
        <w:rPr>
          <w:b/>
          <w:bCs/>
          <w:sz w:val="21"/>
          <w:szCs w:val="21"/>
        </w:rPr>
      </w:pPr>
      <w:r>
        <w:rPr>
          <w:b/>
          <w:bCs/>
          <w:sz w:val="21"/>
          <w:szCs w:val="21"/>
        </w:rPr>
        <w:t>1.2018—2021年度大学生研究训练（SRT）结题项目</w:t>
      </w:r>
    </w:p>
    <w:tbl>
      <w:tblPr>
        <w:tblStyle w:val="1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03"/>
        <w:gridCol w:w="975"/>
        <w:gridCol w:w="1533"/>
        <w:gridCol w:w="1392"/>
        <w:gridCol w:w="12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2154" w:type="pct"/>
            <w:vAlign w:val="center"/>
          </w:tcPr>
          <w:p>
            <w:pPr>
              <w:autoSpaceDE w:val="0"/>
              <w:autoSpaceDN w:val="0"/>
              <w:adjustRightInd w:val="0"/>
              <w:spacing w:line="240" w:lineRule="auto"/>
              <w:jc w:val="center"/>
              <w:rPr>
                <w:b/>
                <w:sz w:val="21"/>
                <w:szCs w:val="21"/>
              </w:rPr>
            </w:pPr>
            <w:r>
              <w:rPr>
                <w:b/>
                <w:sz w:val="21"/>
                <w:szCs w:val="21"/>
              </w:rPr>
              <w:t>项目名称</w:t>
            </w:r>
          </w:p>
        </w:tc>
        <w:tc>
          <w:tcPr>
            <w:tcW w:w="538" w:type="pct"/>
            <w:vAlign w:val="center"/>
          </w:tcPr>
          <w:p>
            <w:pPr>
              <w:autoSpaceDE w:val="0"/>
              <w:autoSpaceDN w:val="0"/>
              <w:adjustRightInd w:val="0"/>
              <w:spacing w:line="240" w:lineRule="auto"/>
              <w:jc w:val="center"/>
              <w:rPr>
                <w:b/>
                <w:sz w:val="21"/>
                <w:szCs w:val="21"/>
              </w:rPr>
            </w:pPr>
            <w:r>
              <w:rPr>
                <w:b/>
                <w:sz w:val="21"/>
                <w:szCs w:val="21"/>
              </w:rPr>
              <w:t>主持人</w:t>
            </w:r>
          </w:p>
        </w:tc>
        <w:tc>
          <w:tcPr>
            <w:tcW w:w="846" w:type="pct"/>
            <w:vAlign w:val="center"/>
          </w:tcPr>
          <w:p>
            <w:pPr>
              <w:autoSpaceDE w:val="0"/>
              <w:autoSpaceDN w:val="0"/>
              <w:adjustRightInd w:val="0"/>
              <w:spacing w:line="240" w:lineRule="auto"/>
              <w:jc w:val="center"/>
              <w:rPr>
                <w:b/>
                <w:sz w:val="21"/>
                <w:szCs w:val="21"/>
              </w:rPr>
            </w:pPr>
            <w:r>
              <w:rPr>
                <w:b/>
                <w:sz w:val="21"/>
                <w:szCs w:val="21"/>
              </w:rPr>
              <w:t>专业</w:t>
            </w:r>
          </w:p>
        </w:tc>
        <w:tc>
          <w:tcPr>
            <w:tcW w:w="768" w:type="pct"/>
            <w:vAlign w:val="center"/>
          </w:tcPr>
          <w:p>
            <w:pPr>
              <w:autoSpaceDE w:val="0"/>
              <w:autoSpaceDN w:val="0"/>
              <w:adjustRightInd w:val="0"/>
              <w:spacing w:line="240" w:lineRule="auto"/>
              <w:jc w:val="center"/>
              <w:rPr>
                <w:b/>
                <w:sz w:val="21"/>
                <w:szCs w:val="21"/>
              </w:rPr>
            </w:pPr>
            <w:r>
              <w:rPr>
                <w:b/>
                <w:sz w:val="21"/>
                <w:szCs w:val="21"/>
              </w:rPr>
              <w:t>班级</w:t>
            </w:r>
          </w:p>
        </w:tc>
        <w:tc>
          <w:tcPr>
            <w:tcW w:w="692" w:type="pct"/>
            <w:vAlign w:val="center"/>
          </w:tcPr>
          <w:p>
            <w:pPr>
              <w:autoSpaceDE w:val="0"/>
              <w:autoSpaceDN w:val="0"/>
              <w:adjustRightInd w:val="0"/>
              <w:spacing w:line="240" w:lineRule="auto"/>
              <w:jc w:val="center"/>
              <w:rPr>
                <w:b/>
                <w:sz w:val="21"/>
                <w:szCs w:val="21"/>
              </w:rPr>
            </w:pPr>
            <w:r>
              <w:rPr>
                <w:b/>
                <w:sz w:val="21"/>
                <w:szCs w:val="21"/>
              </w:rPr>
              <w:t>指导教师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2154" w:type="pct"/>
            <w:vAlign w:val="center"/>
          </w:tcPr>
          <w:p>
            <w:pPr>
              <w:autoSpaceDE w:val="0"/>
              <w:autoSpaceDN w:val="0"/>
              <w:adjustRightInd w:val="0"/>
              <w:spacing w:line="240" w:lineRule="auto"/>
              <w:rPr>
                <w:sz w:val="21"/>
                <w:szCs w:val="21"/>
              </w:rPr>
            </w:pPr>
            <w:r>
              <w:rPr>
                <w:sz w:val="21"/>
                <w:szCs w:val="21"/>
              </w:rPr>
              <w:t>岱下岳光——泰安文旅改造计划</w:t>
            </w:r>
          </w:p>
        </w:tc>
        <w:tc>
          <w:tcPr>
            <w:tcW w:w="538" w:type="pct"/>
            <w:vAlign w:val="center"/>
          </w:tcPr>
          <w:p>
            <w:pPr>
              <w:autoSpaceDE w:val="0"/>
              <w:autoSpaceDN w:val="0"/>
              <w:adjustRightInd w:val="0"/>
              <w:spacing w:line="240" w:lineRule="auto"/>
              <w:jc w:val="center"/>
              <w:rPr>
                <w:sz w:val="21"/>
                <w:szCs w:val="21"/>
              </w:rPr>
            </w:pPr>
            <w:r>
              <w:rPr>
                <w:sz w:val="21"/>
                <w:szCs w:val="21"/>
              </w:rPr>
              <w:t>宋宁东</w:t>
            </w:r>
          </w:p>
        </w:tc>
        <w:tc>
          <w:tcPr>
            <w:tcW w:w="846" w:type="pct"/>
            <w:vAlign w:val="center"/>
          </w:tcPr>
          <w:p>
            <w:pPr>
              <w:autoSpaceDE w:val="0"/>
              <w:autoSpaceDN w:val="0"/>
              <w:adjustRightInd w:val="0"/>
              <w:spacing w:line="240" w:lineRule="auto"/>
              <w:jc w:val="center"/>
              <w:rPr>
                <w:sz w:val="21"/>
                <w:szCs w:val="21"/>
              </w:rPr>
            </w:pPr>
            <w:r>
              <w:rPr>
                <w:sz w:val="21"/>
                <w:szCs w:val="21"/>
              </w:rPr>
              <w:t>文化产业管理</w:t>
            </w:r>
          </w:p>
        </w:tc>
        <w:tc>
          <w:tcPr>
            <w:tcW w:w="768" w:type="pct"/>
            <w:vAlign w:val="center"/>
          </w:tcPr>
          <w:p>
            <w:pPr>
              <w:autoSpaceDE w:val="0"/>
              <w:autoSpaceDN w:val="0"/>
              <w:adjustRightInd w:val="0"/>
              <w:spacing w:line="240" w:lineRule="auto"/>
              <w:jc w:val="center"/>
              <w:rPr>
                <w:sz w:val="21"/>
                <w:szCs w:val="21"/>
              </w:rPr>
            </w:pPr>
            <w:r>
              <w:rPr>
                <w:sz w:val="21"/>
                <w:szCs w:val="21"/>
              </w:rPr>
              <w:t>2018级一班</w:t>
            </w:r>
          </w:p>
        </w:tc>
        <w:tc>
          <w:tcPr>
            <w:tcW w:w="692" w:type="pct"/>
            <w:vAlign w:val="center"/>
          </w:tcPr>
          <w:p>
            <w:pPr>
              <w:autoSpaceDE w:val="0"/>
              <w:autoSpaceDN w:val="0"/>
              <w:adjustRightInd w:val="0"/>
              <w:spacing w:line="240" w:lineRule="auto"/>
              <w:jc w:val="center"/>
              <w:rPr>
                <w:sz w:val="21"/>
                <w:szCs w:val="21"/>
              </w:rPr>
            </w:pPr>
            <w:r>
              <w:rPr>
                <w:sz w:val="21"/>
                <w:szCs w:val="21"/>
              </w:rPr>
              <w:t>张荣波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2154" w:type="pct"/>
            <w:vAlign w:val="center"/>
          </w:tcPr>
          <w:p>
            <w:pPr>
              <w:autoSpaceDE w:val="0"/>
              <w:autoSpaceDN w:val="0"/>
              <w:adjustRightInd w:val="0"/>
              <w:spacing w:line="240" w:lineRule="auto"/>
              <w:rPr>
                <w:sz w:val="21"/>
                <w:szCs w:val="21"/>
              </w:rPr>
            </w:pPr>
            <w:r>
              <w:rPr>
                <w:sz w:val="21"/>
                <w:szCs w:val="21"/>
              </w:rPr>
              <w:t>露净智能洗衣机和中草药洗衣液</w:t>
            </w:r>
          </w:p>
        </w:tc>
        <w:tc>
          <w:tcPr>
            <w:tcW w:w="538" w:type="pct"/>
            <w:vAlign w:val="center"/>
          </w:tcPr>
          <w:p>
            <w:pPr>
              <w:autoSpaceDE w:val="0"/>
              <w:autoSpaceDN w:val="0"/>
              <w:adjustRightInd w:val="0"/>
              <w:spacing w:line="240" w:lineRule="auto"/>
              <w:jc w:val="center"/>
              <w:rPr>
                <w:sz w:val="21"/>
                <w:szCs w:val="21"/>
              </w:rPr>
            </w:pPr>
            <w:r>
              <w:rPr>
                <w:sz w:val="21"/>
                <w:szCs w:val="21"/>
              </w:rPr>
              <w:t>宋宁东</w:t>
            </w:r>
          </w:p>
        </w:tc>
        <w:tc>
          <w:tcPr>
            <w:tcW w:w="846" w:type="pct"/>
            <w:vAlign w:val="center"/>
          </w:tcPr>
          <w:p>
            <w:pPr>
              <w:autoSpaceDE w:val="0"/>
              <w:autoSpaceDN w:val="0"/>
              <w:adjustRightInd w:val="0"/>
              <w:spacing w:line="240" w:lineRule="auto"/>
              <w:jc w:val="center"/>
              <w:rPr>
                <w:sz w:val="21"/>
                <w:szCs w:val="21"/>
              </w:rPr>
            </w:pPr>
            <w:r>
              <w:rPr>
                <w:sz w:val="21"/>
                <w:szCs w:val="21"/>
              </w:rPr>
              <w:t>文化产业管理</w:t>
            </w:r>
          </w:p>
        </w:tc>
        <w:tc>
          <w:tcPr>
            <w:tcW w:w="768" w:type="pct"/>
            <w:vAlign w:val="center"/>
          </w:tcPr>
          <w:p>
            <w:pPr>
              <w:autoSpaceDE w:val="0"/>
              <w:autoSpaceDN w:val="0"/>
              <w:adjustRightInd w:val="0"/>
              <w:spacing w:line="240" w:lineRule="auto"/>
              <w:jc w:val="center"/>
              <w:rPr>
                <w:sz w:val="21"/>
                <w:szCs w:val="21"/>
              </w:rPr>
            </w:pPr>
            <w:r>
              <w:rPr>
                <w:sz w:val="21"/>
                <w:szCs w:val="21"/>
              </w:rPr>
              <w:t>2018级一班</w:t>
            </w:r>
          </w:p>
        </w:tc>
        <w:tc>
          <w:tcPr>
            <w:tcW w:w="692" w:type="pct"/>
            <w:vAlign w:val="center"/>
          </w:tcPr>
          <w:p>
            <w:pPr>
              <w:autoSpaceDE w:val="0"/>
              <w:autoSpaceDN w:val="0"/>
              <w:adjustRightInd w:val="0"/>
              <w:spacing w:line="240" w:lineRule="auto"/>
              <w:jc w:val="center"/>
              <w:rPr>
                <w:sz w:val="21"/>
                <w:szCs w:val="21"/>
              </w:rPr>
            </w:pPr>
            <w:r>
              <w:rPr>
                <w:sz w:val="21"/>
                <w:szCs w:val="21"/>
              </w:rPr>
              <w:t>王</w:t>
            </w:r>
            <w:r>
              <w:rPr>
                <w:rFonts w:hint="eastAsia"/>
                <w:sz w:val="21"/>
                <w:szCs w:val="21"/>
              </w:rPr>
              <w:t xml:space="preserve">  </w:t>
            </w:r>
            <w:r>
              <w:rPr>
                <w:sz w:val="21"/>
                <w:szCs w:val="21"/>
              </w:rPr>
              <w:t>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2154" w:type="pct"/>
            <w:vAlign w:val="center"/>
          </w:tcPr>
          <w:p>
            <w:pPr>
              <w:autoSpaceDE w:val="0"/>
              <w:autoSpaceDN w:val="0"/>
              <w:adjustRightInd w:val="0"/>
              <w:spacing w:line="240" w:lineRule="auto"/>
              <w:rPr>
                <w:sz w:val="21"/>
                <w:szCs w:val="21"/>
              </w:rPr>
            </w:pPr>
            <w:r>
              <w:rPr>
                <w:sz w:val="21"/>
                <w:szCs w:val="21"/>
              </w:rPr>
              <w:t>争做新时代泰山</w:t>
            </w:r>
            <w:r>
              <w:rPr>
                <w:rFonts w:hint="eastAsia"/>
                <w:sz w:val="21"/>
                <w:szCs w:val="21"/>
              </w:rPr>
              <w:t>“</w:t>
            </w:r>
            <w:r>
              <w:rPr>
                <w:sz w:val="21"/>
                <w:szCs w:val="21"/>
              </w:rPr>
              <w:t>挑山工</w:t>
            </w:r>
            <w:r>
              <w:rPr>
                <w:rFonts w:hint="eastAsia"/>
                <w:sz w:val="21"/>
                <w:szCs w:val="21"/>
              </w:rPr>
              <w:t>”</w:t>
            </w:r>
            <w:r>
              <w:rPr>
                <w:sz w:val="21"/>
                <w:szCs w:val="21"/>
              </w:rPr>
              <w:t>的社会学研究</w:t>
            </w:r>
          </w:p>
        </w:tc>
        <w:tc>
          <w:tcPr>
            <w:tcW w:w="538" w:type="pct"/>
            <w:vAlign w:val="center"/>
          </w:tcPr>
          <w:p>
            <w:pPr>
              <w:autoSpaceDE w:val="0"/>
              <w:autoSpaceDN w:val="0"/>
              <w:adjustRightInd w:val="0"/>
              <w:spacing w:line="240" w:lineRule="auto"/>
              <w:jc w:val="center"/>
              <w:rPr>
                <w:sz w:val="21"/>
                <w:szCs w:val="21"/>
              </w:rPr>
            </w:pPr>
            <w:r>
              <w:rPr>
                <w:sz w:val="21"/>
                <w:szCs w:val="21"/>
              </w:rPr>
              <w:t>周</w:t>
            </w:r>
            <w:r>
              <w:rPr>
                <w:rFonts w:hint="eastAsia"/>
                <w:sz w:val="21"/>
                <w:szCs w:val="21"/>
              </w:rPr>
              <w:t xml:space="preserve">  </w:t>
            </w:r>
            <w:r>
              <w:rPr>
                <w:sz w:val="21"/>
                <w:szCs w:val="21"/>
              </w:rPr>
              <w:t>倩</w:t>
            </w:r>
          </w:p>
        </w:tc>
        <w:tc>
          <w:tcPr>
            <w:tcW w:w="846" w:type="pct"/>
            <w:vAlign w:val="center"/>
          </w:tcPr>
          <w:p>
            <w:pPr>
              <w:autoSpaceDE w:val="0"/>
              <w:autoSpaceDN w:val="0"/>
              <w:adjustRightInd w:val="0"/>
              <w:spacing w:line="240" w:lineRule="auto"/>
              <w:jc w:val="center"/>
              <w:rPr>
                <w:sz w:val="21"/>
                <w:szCs w:val="21"/>
              </w:rPr>
            </w:pPr>
            <w:r>
              <w:rPr>
                <w:sz w:val="21"/>
                <w:szCs w:val="21"/>
              </w:rPr>
              <w:t>文化产业管理</w:t>
            </w:r>
          </w:p>
        </w:tc>
        <w:tc>
          <w:tcPr>
            <w:tcW w:w="768" w:type="pct"/>
            <w:vAlign w:val="center"/>
          </w:tcPr>
          <w:p>
            <w:pPr>
              <w:autoSpaceDE w:val="0"/>
              <w:autoSpaceDN w:val="0"/>
              <w:adjustRightInd w:val="0"/>
              <w:spacing w:line="240" w:lineRule="auto"/>
              <w:jc w:val="center"/>
              <w:rPr>
                <w:sz w:val="21"/>
                <w:szCs w:val="21"/>
              </w:rPr>
            </w:pPr>
            <w:r>
              <w:rPr>
                <w:sz w:val="21"/>
                <w:szCs w:val="21"/>
              </w:rPr>
              <w:t>2018级二班</w:t>
            </w:r>
          </w:p>
        </w:tc>
        <w:tc>
          <w:tcPr>
            <w:tcW w:w="692" w:type="pct"/>
            <w:vAlign w:val="center"/>
          </w:tcPr>
          <w:p>
            <w:pPr>
              <w:autoSpaceDE w:val="0"/>
              <w:autoSpaceDN w:val="0"/>
              <w:adjustRightInd w:val="0"/>
              <w:spacing w:line="240" w:lineRule="auto"/>
              <w:jc w:val="center"/>
              <w:rPr>
                <w:sz w:val="21"/>
                <w:szCs w:val="21"/>
              </w:rPr>
            </w:pPr>
            <w:r>
              <w:rPr>
                <w:sz w:val="21"/>
                <w:szCs w:val="21"/>
              </w:rPr>
              <w:t>高国金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4" w:hRule="atLeast"/>
        </w:trPr>
        <w:tc>
          <w:tcPr>
            <w:tcW w:w="2154" w:type="pct"/>
            <w:vAlign w:val="center"/>
          </w:tcPr>
          <w:p>
            <w:pPr>
              <w:autoSpaceDE w:val="0"/>
              <w:autoSpaceDN w:val="0"/>
              <w:adjustRightInd w:val="0"/>
              <w:spacing w:line="240" w:lineRule="auto"/>
              <w:rPr>
                <w:sz w:val="21"/>
                <w:szCs w:val="21"/>
              </w:rPr>
            </w:pPr>
            <w:r>
              <w:rPr>
                <w:rFonts w:hint="eastAsia"/>
                <w:sz w:val="21"/>
                <w:szCs w:val="21"/>
              </w:rPr>
              <w:t>“</w:t>
            </w:r>
            <w:r>
              <w:rPr>
                <w:sz w:val="21"/>
                <w:szCs w:val="21"/>
              </w:rPr>
              <w:t>岱下霞蔚，情定泰山</w:t>
            </w:r>
            <w:r>
              <w:rPr>
                <w:rFonts w:hint="eastAsia"/>
                <w:sz w:val="21"/>
                <w:szCs w:val="21"/>
              </w:rPr>
              <w:t>”</w:t>
            </w:r>
            <w:r>
              <w:rPr>
                <w:sz w:val="21"/>
                <w:szCs w:val="21"/>
              </w:rPr>
              <w:t>：泰安市文化产业的改造复兴——以泰山大剧院为例</w:t>
            </w:r>
          </w:p>
        </w:tc>
        <w:tc>
          <w:tcPr>
            <w:tcW w:w="538" w:type="pct"/>
            <w:vAlign w:val="center"/>
          </w:tcPr>
          <w:p>
            <w:pPr>
              <w:autoSpaceDE w:val="0"/>
              <w:autoSpaceDN w:val="0"/>
              <w:adjustRightInd w:val="0"/>
              <w:spacing w:line="240" w:lineRule="auto"/>
              <w:jc w:val="center"/>
              <w:rPr>
                <w:sz w:val="21"/>
                <w:szCs w:val="21"/>
              </w:rPr>
            </w:pPr>
            <w:r>
              <w:rPr>
                <w:sz w:val="21"/>
                <w:szCs w:val="21"/>
              </w:rPr>
              <w:t>陈玉琨</w:t>
            </w:r>
          </w:p>
        </w:tc>
        <w:tc>
          <w:tcPr>
            <w:tcW w:w="846" w:type="pct"/>
            <w:vAlign w:val="center"/>
          </w:tcPr>
          <w:p>
            <w:pPr>
              <w:autoSpaceDE w:val="0"/>
              <w:autoSpaceDN w:val="0"/>
              <w:adjustRightInd w:val="0"/>
              <w:spacing w:line="240" w:lineRule="auto"/>
              <w:jc w:val="center"/>
              <w:rPr>
                <w:sz w:val="21"/>
                <w:szCs w:val="21"/>
              </w:rPr>
            </w:pPr>
            <w:r>
              <w:rPr>
                <w:sz w:val="21"/>
                <w:szCs w:val="21"/>
              </w:rPr>
              <w:t>文化产业管理</w:t>
            </w:r>
          </w:p>
        </w:tc>
        <w:tc>
          <w:tcPr>
            <w:tcW w:w="768" w:type="pct"/>
            <w:vAlign w:val="center"/>
          </w:tcPr>
          <w:p>
            <w:pPr>
              <w:autoSpaceDE w:val="0"/>
              <w:autoSpaceDN w:val="0"/>
              <w:adjustRightInd w:val="0"/>
              <w:spacing w:line="240" w:lineRule="auto"/>
              <w:jc w:val="center"/>
              <w:rPr>
                <w:sz w:val="21"/>
                <w:szCs w:val="21"/>
              </w:rPr>
            </w:pPr>
            <w:r>
              <w:rPr>
                <w:sz w:val="21"/>
                <w:szCs w:val="21"/>
              </w:rPr>
              <w:t>2018级二班</w:t>
            </w:r>
          </w:p>
        </w:tc>
        <w:tc>
          <w:tcPr>
            <w:tcW w:w="692" w:type="pct"/>
            <w:vAlign w:val="center"/>
          </w:tcPr>
          <w:p>
            <w:pPr>
              <w:autoSpaceDE w:val="0"/>
              <w:autoSpaceDN w:val="0"/>
              <w:adjustRightInd w:val="0"/>
              <w:spacing w:line="240" w:lineRule="auto"/>
              <w:jc w:val="center"/>
              <w:rPr>
                <w:sz w:val="21"/>
                <w:szCs w:val="21"/>
              </w:rPr>
            </w:pPr>
            <w:r>
              <w:rPr>
                <w:sz w:val="21"/>
                <w:szCs w:val="21"/>
              </w:rPr>
              <w:t>丁燕燕</w:t>
            </w:r>
          </w:p>
        </w:tc>
      </w:tr>
    </w:tbl>
    <w:p>
      <w:pPr>
        <w:autoSpaceDE w:val="0"/>
        <w:autoSpaceDN w:val="0"/>
        <w:adjustRightInd w:val="0"/>
        <w:spacing w:line="420" w:lineRule="exact"/>
        <w:ind w:firstLine="480" w:firstLineChars="200"/>
        <w:jc w:val="left"/>
        <w:rPr>
          <w:szCs w:val="28"/>
        </w:rPr>
      </w:pPr>
      <w:r>
        <w:rPr>
          <w:szCs w:val="28"/>
        </w:rPr>
        <w:t>2.相关赛事</w:t>
      </w:r>
    </w:p>
    <w:p>
      <w:pPr>
        <w:autoSpaceDE w:val="0"/>
        <w:autoSpaceDN w:val="0"/>
        <w:adjustRightInd w:val="0"/>
        <w:spacing w:line="420" w:lineRule="exact"/>
        <w:ind w:firstLine="480" w:firstLineChars="200"/>
        <w:jc w:val="left"/>
        <w:rPr>
          <w:szCs w:val="28"/>
        </w:rPr>
      </w:pPr>
      <w:r>
        <w:rPr>
          <w:szCs w:val="28"/>
        </w:rPr>
        <w:t>2018级牛晓菁等，获中国商务广告协会2019年时报世界华文创意大赛</w:t>
      </w:r>
      <w:r>
        <w:rPr>
          <w:rFonts w:hint="eastAsia"/>
          <w:szCs w:val="28"/>
        </w:rPr>
        <w:t>“</w:t>
      </w:r>
      <w:r>
        <w:rPr>
          <w:szCs w:val="28"/>
        </w:rPr>
        <w:t>时报金犊奖</w:t>
      </w:r>
      <w:r>
        <w:rPr>
          <w:rFonts w:hint="eastAsia"/>
          <w:szCs w:val="28"/>
        </w:rPr>
        <w:t>”</w:t>
      </w:r>
      <w:r>
        <w:rPr>
          <w:szCs w:val="28"/>
        </w:rPr>
        <w:t>。</w:t>
      </w:r>
    </w:p>
    <w:p>
      <w:pPr>
        <w:autoSpaceDE w:val="0"/>
        <w:autoSpaceDN w:val="0"/>
        <w:adjustRightInd w:val="0"/>
        <w:spacing w:line="420" w:lineRule="exact"/>
        <w:ind w:firstLine="480" w:firstLineChars="200"/>
        <w:jc w:val="left"/>
        <w:rPr>
          <w:szCs w:val="28"/>
        </w:rPr>
      </w:pPr>
      <w:r>
        <w:rPr>
          <w:szCs w:val="28"/>
        </w:rPr>
        <w:t>2018级宋宁东等，获2019年第六届山东省科技创新大赛二等奖。</w:t>
      </w:r>
    </w:p>
    <w:p>
      <w:pPr>
        <w:autoSpaceDE w:val="0"/>
        <w:autoSpaceDN w:val="0"/>
        <w:adjustRightInd w:val="0"/>
        <w:spacing w:line="420" w:lineRule="exact"/>
        <w:ind w:firstLine="480" w:firstLineChars="200"/>
        <w:jc w:val="left"/>
        <w:rPr>
          <w:szCs w:val="28"/>
        </w:rPr>
      </w:pPr>
      <w:r>
        <w:rPr>
          <w:szCs w:val="28"/>
        </w:rPr>
        <w:t>2018级宋宁东等，获2019第三届</w:t>
      </w:r>
      <w:r>
        <w:rPr>
          <w:rFonts w:hint="eastAsia"/>
          <w:szCs w:val="28"/>
        </w:rPr>
        <w:t>“</w:t>
      </w:r>
      <w:r>
        <w:rPr>
          <w:szCs w:val="28"/>
        </w:rPr>
        <w:t>我心中的思政课</w:t>
      </w:r>
      <w:r>
        <w:rPr>
          <w:rFonts w:hint="eastAsia"/>
          <w:szCs w:val="28"/>
        </w:rPr>
        <w:t>”</w:t>
      </w:r>
      <w:r>
        <w:rPr>
          <w:szCs w:val="28"/>
        </w:rPr>
        <w:t>全国大学生微电影展示大赛优秀奖。</w:t>
      </w:r>
    </w:p>
    <w:p>
      <w:pPr>
        <w:pStyle w:val="5"/>
        <w:spacing w:before="93" w:after="93" w:line="420" w:lineRule="exact"/>
        <w:ind w:firstLine="560"/>
      </w:pPr>
      <w:r>
        <w:t>三、培养条件</w:t>
      </w:r>
    </w:p>
    <w:p>
      <w:pPr>
        <w:autoSpaceDE w:val="0"/>
        <w:autoSpaceDN w:val="0"/>
        <w:adjustRightInd w:val="0"/>
        <w:spacing w:line="420" w:lineRule="exact"/>
        <w:ind w:firstLine="480" w:firstLineChars="200"/>
        <w:rPr>
          <w:sz w:val="21"/>
          <w:szCs w:val="21"/>
        </w:rPr>
      </w:pPr>
      <w:r>
        <w:rPr>
          <w:szCs w:val="28"/>
        </w:rPr>
        <w:t>近年来，文化产业管理专业累计获得省级以上各类教学、科研项目经费五项，经费超过20万元。逐步建设了7个专业教学实验室，添置电脑、相机等设备20余台</w:t>
      </w:r>
      <w:r>
        <w:rPr>
          <w:sz w:val="21"/>
          <w:szCs w:val="21"/>
        </w:rPr>
        <w:t>（部），初步满足了教学需求。</w:t>
      </w:r>
    </w:p>
    <w:p>
      <w:pPr>
        <w:autoSpaceDE w:val="0"/>
        <w:autoSpaceDN w:val="0"/>
        <w:adjustRightInd w:val="0"/>
        <w:spacing w:line="420" w:lineRule="exact"/>
        <w:ind w:firstLine="420" w:firstLineChars="200"/>
        <w:rPr>
          <w:szCs w:val="28"/>
        </w:rPr>
      </w:pPr>
      <w:r>
        <w:rPr>
          <w:sz w:val="21"/>
          <w:szCs w:val="21"/>
        </w:rPr>
        <w:t>截至2022年9月，专业教师队伍构成为：专职教师9人，其中教授1人，副教授5人，讲师4人，博士5人，在读博士1人。学科背景涵盖管理系</w:t>
      </w:r>
      <w:r>
        <w:rPr>
          <w:szCs w:val="28"/>
        </w:rPr>
        <w:t>、文学、历史学、新闻传播学、艺术学，符合文化产业管理专业多学科交叉融合的热点。</w:t>
      </w:r>
    </w:p>
    <w:p>
      <w:pPr>
        <w:autoSpaceDE w:val="0"/>
        <w:autoSpaceDN w:val="0"/>
        <w:adjustRightInd w:val="0"/>
        <w:spacing w:line="420" w:lineRule="exact"/>
        <w:ind w:firstLine="480" w:firstLineChars="200"/>
        <w:rPr>
          <w:szCs w:val="28"/>
        </w:rPr>
      </w:pPr>
      <w:r>
        <w:rPr>
          <w:szCs w:val="28"/>
        </w:rPr>
        <w:t>相关科研平台有：</w:t>
      </w:r>
      <w:r>
        <w:rPr>
          <w:rFonts w:hint="eastAsia"/>
          <w:szCs w:val="28"/>
        </w:rPr>
        <w:t>“</w:t>
      </w:r>
      <w:r>
        <w:rPr>
          <w:szCs w:val="28"/>
        </w:rPr>
        <w:t>山东省农业历史学会</w:t>
      </w:r>
      <w:r>
        <w:rPr>
          <w:rFonts w:hint="eastAsia"/>
          <w:szCs w:val="28"/>
        </w:rPr>
        <w:t>”“</w:t>
      </w:r>
      <w:r>
        <w:rPr>
          <w:szCs w:val="28"/>
        </w:rPr>
        <w:t>山东农业大学农业历史与文化研究中心</w:t>
      </w:r>
      <w:r>
        <w:rPr>
          <w:rFonts w:hint="eastAsia"/>
          <w:szCs w:val="28"/>
        </w:rPr>
        <w:t>”“</w:t>
      </w:r>
      <w:r>
        <w:rPr>
          <w:szCs w:val="28"/>
        </w:rPr>
        <w:t>山东农业大学创意乡村研究中心</w:t>
      </w:r>
      <w:r>
        <w:rPr>
          <w:rFonts w:hint="eastAsia"/>
          <w:szCs w:val="28"/>
        </w:rPr>
        <w:t>”“</w:t>
      </w:r>
      <w:r>
        <w:rPr>
          <w:szCs w:val="28"/>
        </w:rPr>
        <w:t>泰安市社会科学研究基地</w:t>
      </w:r>
      <w:r>
        <w:rPr>
          <w:rFonts w:hint="eastAsia"/>
          <w:szCs w:val="28"/>
        </w:rPr>
        <w:t>”</w:t>
      </w:r>
      <w:r>
        <w:rPr>
          <w:szCs w:val="28"/>
        </w:rPr>
        <w:t>等。</w:t>
      </w:r>
    </w:p>
    <w:p>
      <w:pPr>
        <w:autoSpaceDE w:val="0"/>
        <w:autoSpaceDN w:val="0"/>
        <w:adjustRightInd w:val="0"/>
        <w:spacing w:line="420" w:lineRule="exact"/>
        <w:ind w:firstLine="480" w:firstLineChars="200"/>
        <w:jc w:val="left"/>
        <w:rPr>
          <w:szCs w:val="28"/>
        </w:rPr>
      </w:pPr>
      <w:r>
        <w:rPr>
          <w:szCs w:val="28"/>
        </w:rPr>
        <w:t>实习实践基地建设方面，经过学院和文化产业发展与管理系师生的共同努力，截至目前，文化产业管理专业已建立多个教学科研实践育人基地：泰安市电视台、泰安日报社、泰安市泰山花样年华景区、泰安市太阳部落旅游景区、泰安广闻研学旅游服务有限公司、山东复圣文化产业股份有限公司、淄博博山市农业农村局、山东世博动漫集团、山东一滕集团、蓝光数字（山东）产业有限公司、山东泛华文化产业发展有限公司等，涉及新闻服务，广播、电视、电影服务，文化艺术服务，文化休闲娱乐服务以及其他文化服务等文化产业5大门类，为本专业学生的社会实践、教学实习构建了良好的教育平台。</w:t>
      </w:r>
    </w:p>
    <w:p>
      <w:pPr>
        <w:pStyle w:val="5"/>
        <w:spacing w:before="93" w:after="93"/>
        <w:ind w:firstLine="560"/>
      </w:pPr>
      <w:r>
        <w:t>四、培养机制与特色</w:t>
      </w:r>
    </w:p>
    <w:p>
      <w:pPr>
        <w:pStyle w:val="6"/>
        <w:spacing w:line="420" w:lineRule="exact"/>
        <w:ind w:firstLine="480"/>
      </w:pPr>
      <w:r>
        <w:t>（一）教学管理</w:t>
      </w:r>
    </w:p>
    <w:p>
      <w:pPr>
        <w:autoSpaceDE w:val="0"/>
        <w:autoSpaceDN w:val="0"/>
        <w:adjustRightInd w:val="0"/>
        <w:spacing w:line="420" w:lineRule="exact"/>
        <w:ind w:firstLine="480" w:firstLineChars="200"/>
        <w:jc w:val="left"/>
        <w:rPr>
          <w:kern w:val="0"/>
          <w:szCs w:val="28"/>
        </w:rPr>
      </w:pPr>
      <w:r>
        <w:rPr>
          <w:kern w:val="0"/>
          <w:szCs w:val="28"/>
        </w:rPr>
        <w:t>本专业课程体系由理论环节和实践环节构成。理论环节包括通识教育、专业教育、拓展教育三大部分。每部分又由必修课和选修课组成，围绕复合型、应用型人才培养目标和培养要求，课程体系的设置有明确的针对性，通识教育课主要为学生综合素质提供支撑，专业教育课主要为学生的专业素养和能力打下坚实的理论基础，而其中的方向课和拓展课是为了满足学生的个性发展和社会不同需求。实践环节由基础实践、专业实践、综合实践三大板块构成，目的是为了提高学生的理论应用能力和技能发展。整个课程体系遵循由低到高，由理论到应用，由通识到专业的逻辑原则，科学布局学期、课时、理论与实践的分配关系，并紧紧围绕培养目标和培养要求来设定。</w:t>
      </w:r>
    </w:p>
    <w:p>
      <w:pPr>
        <w:rPr>
          <w:b/>
          <w:bCs/>
          <w:sz w:val="21"/>
          <w:szCs w:val="21"/>
        </w:rPr>
      </w:pPr>
      <w:r>
        <w:rPr>
          <w:b/>
          <w:bCs/>
          <w:sz w:val="21"/>
          <w:szCs w:val="21"/>
        </w:rPr>
        <w:br w:type="page"/>
      </w:r>
    </w:p>
    <w:p>
      <w:pPr>
        <w:autoSpaceDE w:val="0"/>
        <w:autoSpaceDN w:val="0"/>
        <w:adjustRightInd w:val="0"/>
        <w:jc w:val="center"/>
        <w:rPr>
          <w:b/>
          <w:bCs/>
          <w:sz w:val="21"/>
          <w:szCs w:val="21"/>
        </w:rPr>
      </w:pPr>
      <w:r>
        <w:rPr>
          <w:b/>
          <w:bCs/>
          <w:sz w:val="21"/>
          <w:szCs w:val="21"/>
        </w:rPr>
        <w:t>附表1  文化产业管理专业创新型、专业型人才培养通识教育课教学进程表</w:t>
      </w:r>
    </w:p>
    <w:tbl>
      <w:tblPr>
        <w:tblStyle w:val="17"/>
        <w:tblW w:w="5073"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35"/>
        <w:gridCol w:w="1111"/>
        <w:gridCol w:w="3418"/>
        <w:gridCol w:w="441"/>
        <w:gridCol w:w="712"/>
        <w:gridCol w:w="559"/>
        <w:gridCol w:w="614"/>
        <w:gridCol w:w="614"/>
        <w:gridCol w:w="620"/>
        <w:gridCol w:w="6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restart"/>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课程</w:t>
            </w:r>
          </w:p>
          <w:p>
            <w:pPr>
              <w:spacing w:line="240" w:lineRule="auto"/>
              <w:ind w:left="-120" w:leftChars="-50" w:right="-120" w:rightChars="-50"/>
              <w:jc w:val="center"/>
              <w:rPr>
                <w:b/>
                <w:bCs/>
                <w:spacing w:val="-8"/>
                <w:position w:val="-8"/>
                <w:sz w:val="18"/>
                <w:szCs w:val="18"/>
              </w:rPr>
            </w:pPr>
            <w:r>
              <w:rPr>
                <w:b/>
                <w:bCs/>
                <w:spacing w:val="-8"/>
                <w:position w:val="-8"/>
                <w:sz w:val="18"/>
                <w:szCs w:val="18"/>
              </w:rPr>
              <w:t>类别</w:t>
            </w:r>
          </w:p>
        </w:tc>
        <w:tc>
          <w:tcPr>
            <w:tcW w:w="605" w:type="pct"/>
            <w:vMerge w:val="restart"/>
            <w:vAlign w:val="center"/>
          </w:tcPr>
          <w:p>
            <w:pPr>
              <w:spacing w:line="240" w:lineRule="auto"/>
              <w:jc w:val="center"/>
              <w:rPr>
                <w:b/>
                <w:bCs/>
                <w:spacing w:val="-8"/>
                <w:position w:val="-8"/>
                <w:sz w:val="18"/>
                <w:szCs w:val="18"/>
              </w:rPr>
            </w:pPr>
            <w:r>
              <w:rPr>
                <w:b/>
                <w:bCs/>
                <w:spacing w:val="-8"/>
                <w:position w:val="-8"/>
                <w:sz w:val="18"/>
                <w:szCs w:val="18"/>
              </w:rPr>
              <w:t>课程号</w:t>
            </w:r>
          </w:p>
        </w:tc>
        <w:tc>
          <w:tcPr>
            <w:tcW w:w="1858" w:type="pct"/>
            <w:vMerge w:val="restart"/>
            <w:vAlign w:val="center"/>
          </w:tcPr>
          <w:p>
            <w:pPr>
              <w:spacing w:line="240" w:lineRule="auto"/>
              <w:jc w:val="center"/>
              <w:rPr>
                <w:b/>
                <w:bCs/>
                <w:spacing w:val="-8"/>
                <w:position w:val="-8"/>
                <w:sz w:val="18"/>
                <w:szCs w:val="18"/>
              </w:rPr>
            </w:pPr>
            <w:r>
              <w:rPr>
                <w:b/>
                <w:bCs/>
                <w:spacing w:val="-8"/>
                <w:position w:val="-8"/>
                <w:sz w:val="18"/>
                <w:szCs w:val="18"/>
              </w:rPr>
              <w:t>课程名称</w:t>
            </w:r>
          </w:p>
        </w:tc>
        <w:tc>
          <w:tcPr>
            <w:tcW w:w="239" w:type="pct"/>
            <w:vMerge w:val="restart"/>
            <w:vAlign w:val="center"/>
          </w:tcPr>
          <w:p>
            <w:pPr>
              <w:spacing w:line="240" w:lineRule="auto"/>
              <w:jc w:val="center"/>
              <w:rPr>
                <w:b/>
                <w:bCs/>
                <w:spacing w:val="-8"/>
                <w:position w:val="-8"/>
                <w:sz w:val="18"/>
                <w:szCs w:val="18"/>
              </w:rPr>
            </w:pPr>
            <w:r>
              <w:rPr>
                <w:b/>
                <w:bCs/>
                <w:spacing w:val="-8"/>
                <w:position w:val="-8"/>
                <w:sz w:val="18"/>
                <w:szCs w:val="18"/>
              </w:rPr>
              <w:t>学分</w:t>
            </w:r>
          </w:p>
        </w:tc>
        <w:tc>
          <w:tcPr>
            <w:tcW w:w="1025" w:type="pct"/>
            <w:gridSpan w:val="3"/>
            <w:tcBorders>
              <w:right w:val="single" w:color="auto" w:sz="4" w:space="0"/>
            </w:tcBorders>
            <w:vAlign w:val="center"/>
          </w:tcPr>
          <w:p>
            <w:pPr>
              <w:spacing w:line="240" w:lineRule="auto"/>
              <w:jc w:val="center"/>
              <w:rPr>
                <w:b/>
                <w:bCs/>
                <w:spacing w:val="-8"/>
                <w:position w:val="-8"/>
                <w:sz w:val="18"/>
                <w:szCs w:val="18"/>
              </w:rPr>
            </w:pPr>
            <w:r>
              <w:rPr>
                <w:b/>
                <w:bCs/>
                <w:spacing w:val="-8"/>
                <w:position w:val="-8"/>
                <w:sz w:val="18"/>
                <w:szCs w:val="18"/>
              </w:rPr>
              <w:t>学时数</w:t>
            </w:r>
          </w:p>
        </w:tc>
        <w:tc>
          <w:tcPr>
            <w:tcW w:w="334" w:type="pct"/>
            <w:vMerge w:val="restart"/>
            <w:tcBorders>
              <w:right w:val="single" w:color="auto" w:sz="4" w:space="0"/>
            </w:tcBorders>
            <w:vAlign w:val="center"/>
          </w:tcPr>
          <w:p>
            <w:pPr>
              <w:spacing w:line="240" w:lineRule="auto"/>
              <w:jc w:val="center"/>
              <w:rPr>
                <w:b/>
                <w:bCs/>
                <w:spacing w:val="-8"/>
                <w:position w:val="-8"/>
                <w:sz w:val="18"/>
                <w:szCs w:val="18"/>
              </w:rPr>
            </w:pPr>
            <w:r>
              <w:rPr>
                <w:b/>
                <w:bCs/>
                <w:spacing w:val="-8"/>
                <w:position w:val="-8"/>
                <w:sz w:val="18"/>
                <w:szCs w:val="18"/>
              </w:rPr>
              <w:t>开课学期</w:t>
            </w:r>
          </w:p>
        </w:tc>
        <w:tc>
          <w:tcPr>
            <w:tcW w:w="337" w:type="pct"/>
            <w:vMerge w:val="restart"/>
            <w:tcBorders>
              <w:right w:val="single" w:color="auto" w:sz="4" w:space="0"/>
            </w:tcBorders>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开课</w:t>
            </w:r>
          </w:p>
          <w:p>
            <w:pPr>
              <w:spacing w:line="240" w:lineRule="auto"/>
              <w:ind w:left="-120" w:leftChars="-50" w:right="-120" w:rightChars="-50"/>
              <w:jc w:val="center"/>
              <w:rPr>
                <w:b/>
                <w:bCs/>
                <w:spacing w:val="-8"/>
                <w:position w:val="-8"/>
                <w:sz w:val="18"/>
                <w:szCs w:val="18"/>
              </w:rPr>
            </w:pPr>
            <w:r>
              <w:rPr>
                <w:b/>
                <w:bCs/>
                <w:spacing w:val="-8"/>
                <w:position w:val="-8"/>
                <w:sz w:val="18"/>
                <w:szCs w:val="18"/>
              </w:rPr>
              <w:t>学院</w:t>
            </w:r>
          </w:p>
        </w:tc>
        <w:tc>
          <w:tcPr>
            <w:tcW w:w="361" w:type="pct"/>
            <w:vMerge w:val="restart"/>
            <w:tcBorders>
              <w:left w:val="single" w:color="auto" w:sz="4" w:space="0"/>
            </w:tcBorders>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continue"/>
            <w:vAlign w:val="center"/>
          </w:tcPr>
          <w:p>
            <w:pPr>
              <w:spacing w:line="240" w:lineRule="exact"/>
              <w:jc w:val="center"/>
              <w:rPr>
                <w:b/>
                <w:bCs/>
                <w:spacing w:val="-8"/>
                <w:position w:val="-8"/>
                <w:sz w:val="18"/>
                <w:szCs w:val="18"/>
              </w:rPr>
            </w:pPr>
          </w:p>
        </w:tc>
        <w:tc>
          <w:tcPr>
            <w:tcW w:w="605" w:type="pct"/>
            <w:vMerge w:val="continue"/>
            <w:vAlign w:val="center"/>
          </w:tcPr>
          <w:p>
            <w:pPr>
              <w:spacing w:line="240" w:lineRule="exact"/>
              <w:jc w:val="center"/>
              <w:rPr>
                <w:b/>
                <w:bCs/>
                <w:spacing w:val="-8"/>
                <w:position w:val="-8"/>
                <w:sz w:val="18"/>
                <w:szCs w:val="18"/>
              </w:rPr>
            </w:pPr>
          </w:p>
        </w:tc>
        <w:tc>
          <w:tcPr>
            <w:tcW w:w="1858" w:type="pct"/>
            <w:vMerge w:val="continue"/>
            <w:vAlign w:val="center"/>
          </w:tcPr>
          <w:p>
            <w:pPr>
              <w:spacing w:line="240" w:lineRule="exact"/>
              <w:jc w:val="center"/>
              <w:rPr>
                <w:b/>
                <w:bCs/>
                <w:spacing w:val="-8"/>
                <w:position w:val="-8"/>
                <w:sz w:val="18"/>
                <w:szCs w:val="18"/>
              </w:rPr>
            </w:pPr>
          </w:p>
        </w:tc>
        <w:tc>
          <w:tcPr>
            <w:tcW w:w="239" w:type="pct"/>
            <w:vMerge w:val="continue"/>
            <w:vAlign w:val="center"/>
          </w:tcPr>
          <w:p>
            <w:pPr>
              <w:spacing w:line="240" w:lineRule="auto"/>
              <w:jc w:val="center"/>
              <w:rPr>
                <w:b/>
                <w:bCs/>
                <w:spacing w:val="-8"/>
                <w:position w:val="-8"/>
                <w:sz w:val="18"/>
                <w:szCs w:val="18"/>
              </w:rPr>
            </w:pPr>
          </w:p>
        </w:tc>
        <w:tc>
          <w:tcPr>
            <w:tcW w:w="387" w:type="pct"/>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总计</w:t>
            </w:r>
          </w:p>
        </w:tc>
        <w:tc>
          <w:tcPr>
            <w:tcW w:w="304" w:type="pct"/>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讲授</w:t>
            </w:r>
          </w:p>
        </w:tc>
        <w:tc>
          <w:tcPr>
            <w:tcW w:w="333" w:type="pct"/>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实验</w:t>
            </w:r>
          </w:p>
        </w:tc>
        <w:tc>
          <w:tcPr>
            <w:tcW w:w="334" w:type="pct"/>
            <w:vMerge w:val="continue"/>
            <w:tcBorders>
              <w:right w:val="single" w:color="auto" w:sz="4" w:space="0"/>
            </w:tcBorders>
            <w:vAlign w:val="center"/>
          </w:tcPr>
          <w:p>
            <w:pPr>
              <w:spacing w:line="240" w:lineRule="exact"/>
              <w:jc w:val="center"/>
              <w:rPr>
                <w:b/>
                <w:bCs/>
                <w:spacing w:val="-8"/>
                <w:position w:val="-8"/>
                <w:sz w:val="18"/>
                <w:szCs w:val="18"/>
              </w:rPr>
            </w:pPr>
          </w:p>
        </w:tc>
        <w:tc>
          <w:tcPr>
            <w:tcW w:w="337" w:type="pct"/>
            <w:vMerge w:val="continue"/>
            <w:tcBorders>
              <w:right w:val="single" w:color="auto" w:sz="4" w:space="0"/>
            </w:tcBorders>
          </w:tcPr>
          <w:p>
            <w:pPr>
              <w:spacing w:line="240" w:lineRule="exact"/>
              <w:jc w:val="center"/>
              <w:rPr>
                <w:b/>
                <w:bCs/>
                <w:spacing w:val="-8"/>
                <w:position w:val="-8"/>
                <w:sz w:val="18"/>
                <w:szCs w:val="18"/>
              </w:rPr>
            </w:pPr>
          </w:p>
        </w:tc>
        <w:tc>
          <w:tcPr>
            <w:tcW w:w="361" w:type="pct"/>
            <w:vMerge w:val="continue"/>
            <w:tcBorders>
              <w:left w:val="single" w:color="auto" w:sz="4" w:space="0"/>
            </w:tcBorders>
            <w:vAlign w:val="center"/>
          </w:tcPr>
          <w:p>
            <w:pPr>
              <w:spacing w:line="240" w:lineRule="exact"/>
              <w:jc w:val="center"/>
              <w:rPr>
                <w:b/>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restart"/>
            <w:tcBorders>
              <w:right w:val="single" w:color="auto" w:sz="4" w:space="0"/>
            </w:tcBorders>
            <w:vAlign w:val="center"/>
          </w:tcPr>
          <w:p>
            <w:pPr>
              <w:adjustRightInd w:val="0"/>
              <w:snapToGrid w:val="0"/>
              <w:spacing w:line="240" w:lineRule="exact"/>
              <w:jc w:val="center"/>
              <w:rPr>
                <w:bCs/>
                <w:snapToGrid w:val="0"/>
                <w:sz w:val="18"/>
                <w:szCs w:val="18"/>
              </w:rPr>
            </w:pPr>
            <w:r>
              <w:rPr>
                <w:bCs/>
                <w:snapToGrid w:val="0"/>
                <w:sz w:val="18"/>
                <w:szCs w:val="18"/>
              </w:rPr>
              <w:t>通识必修课</w:t>
            </w:r>
          </w:p>
        </w:tc>
        <w:tc>
          <w:tcPr>
            <w:tcW w:w="605" w:type="pct"/>
            <w:tcBorders>
              <w:left w:val="single" w:color="auto" w:sz="4" w:space="0"/>
            </w:tcBorders>
            <w:vAlign w:val="center"/>
          </w:tcPr>
          <w:p>
            <w:pPr>
              <w:spacing w:line="240" w:lineRule="exact"/>
              <w:jc w:val="center"/>
              <w:rPr>
                <w:bCs/>
                <w:sz w:val="18"/>
                <w:szCs w:val="18"/>
              </w:rPr>
            </w:pPr>
          </w:p>
        </w:tc>
        <w:tc>
          <w:tcPr>
            <w:tcW w:w="1858" w:type="pct"/>
            <w:vAlign w:val="center"/>
          </w:tcPr>
          <w:p>
            <w:pPr>
              <w:spacing w:line="240" w:lineRule="exact"/>
              <w:rPr>
                <w:bCs/>
                <w:snapToGrid w:val="0"/>
                <w:sz w:val="18"/>
                <w:szCs w:val="18"/>
              </w:rPr>
            </w:pPr>
            <w:r>
              <w:rPr>
                <w:bCs/>
                <w:snapToGrid w:val="0"/>
                <w:sz w:val="18"/>
                <w:szCs w:val="18"/>
              </w:rPr>
              <w:t xml:space="preserve">思想道德修养与法律基础 </w:t>
            </w:r>
          </w:p>
          <w:p>
            <w:pPr>
              <w:spacing w:line="240" w:lineRule="exact"/>
              <w:rPr>
                <w:bCs/>
                <w:snapToGrid w:val="0"/>
                <w:sz w:val="18"/>
                <w:szCs w:val="18"/>
              </w:rPr>
            </w:pPr>
            <w:r>
              <w:rPr>
                <w:color w:val="000000"/>
                <w:sz w:val="18"/>
                <w:szCs w:val="18"/>
              </w:rPr>
              <w:t>Moral Cultivation and Basics of Law</w:t>
            </w:r>
          </w:p>
        </w:tc>
        <w:tc>
          <w:tcPr>
            <w:tcW w:w="239" w:type="pct"/>
            <w:vAlign w:val="center"/>
          </w:tcPr>
          <w:p>
            <w:pPr>
              <w:adjustRightInd w:val="0"/>
              <w:snapToGrid w:val="0"/>
              <w:spacing w:line="240" w:lineRule="exact"/>
              <w:jc w:val="center"/>
              <w:rPr>
                <w:bCs/>
                <w:sz w:val="18"/>
                <w:szCs w:val="18"/>
              </w:rPr>
            </w:pPr>
            <w:r>
              <w:rPr>
                <w:bCs/>
                <w:sz w:val="18"/>
                <w:szCs w:val="18"/>
              </w:rPr>
              <w:t>2</w:t>
            </w:r>
          </w:p>
        </w:tc>
        <w:tc>
          <w:tcPr>
            <w:tcW w:w="387" w:type="pct"/>
            <w:vAlign w:val="center"/>
          </w:tcPr>
          <w:p>
            <w:pPr>
              <w:spacing w:line="240" w:lineRule="exact"/>
              <w:ind w:left="-120" w:leftChars="-50" w:right="-120" w:rightChars="-50"/>
              <w:jc w:val="center"/>
              <w:rPr>
                <w:bCs/>
                <w:snapToGrid w:val="0"/>
                <w:sz w:val="18"/>
                <w:szCs w:val="18"/>
              </w:rPr>
            </w:pPr>
            <w:r>
              <w:rPr>
                <w:bCs/>
                <w:snapToGrid w:val="0"/>
                <w:sz w:val="18"/>
                <w:szCs w:val="18"/>
              </w:rPr>
              <w:t>32</w:t>
            </w:r>
          </w:p>
        </w:tc>
        <w:tc>
          <w:tcPr>
            <w:tcW w:w="304" w:type="pct"/>
            <w:vAlign w:val="center"/>
          </w:tcPr>
          <w:p>
            <w:pPr>
              <w:spacing w:line="240" w:lineRule="exact"/>
              <w:ind w:left="-120" w:leftChars="-50" w:right="-120" w:rightChars="-50"/>
              <w:jc w:val="center"/>
              <w:rPr>
                <w:bCs/>
                <w:snapToGrid w:val="0"/>
                <w:sz w:val="18"/>
                <w:szCs w:val="18"/>
              </w:rPr>
            </w:pPr>
            <w:r>
              <w:rPr>
                <w:bCs/>
                <w:snapToGrid w:val="0"/>
                <w:sz w:val="18"/>
                <w:szCs w:val="18"/>
              </w:rPr>
              <w:t>32</w:t>
            </w:r>
          </w:p>
        </w:tc>
        <w:tc>
          <w:tcPr>
            <w:tcW w:w="333" w:type="pct"/>
            <w:vAlign w:val="center"/>
          </w:tcPr>
          <w:p>
            <w:pPr>
              <w:adjustRightInd w:val="0"/>
              <w:snapToGrid w:val="0"/>
              <w:spacing w:line="240" w:lineRule="exact"/>
              <w:ind w:left="-120" w:leftChars="-50" w:right="-120" w:rightChars="-50"/>
              <w:jc w:val="center"/>
              <w:rPr>
                <w:bCs/>
                <w:sz w:val="18"/>
                <w:szCs w:val="18"/>
              </w:rPr>
            </w:pPr>
          </w:p>
        </w:tc>
        <w:tc>
          <w:tcPr>
            <w:tcW w:w="334" w:type="pct"/>
            <w:vAlign w:val="center"/>
          </w:tcPr>
          <w:p>
            <w:pPr>
              <w:adjustRightInd w:val="0"/>
              <w:snapToGrid w:val="0"/>
              <w:spacing w:line="240" w:lineRule="exact"/>
              <w:ind w:left="-120" w:leftChars="-50" w:right="-120" w:rightChars="-50"/>
              <w:jc w:val="center"/>
              <w:rPr>
                <w:bCs/>
                <w:sz w:val="18"/>
                <w:szCs w:val="18"/>
              </w:rPr>
            </w:pPr>
            <w:r>
              <w:rPr>
                <w:bCs/>
                <w:sz w:val="18"/>
                <w:szCs w:val="18"/>
              </w:rPr>
              <w:t>1</w:t>
            </w:r>
          </w:p>
        </w:tc>
        <w:tc>
          <w:tcPr>
            <w:tcW w:w="337" w:type="pct"/>
            <w:vAlign w:val="center"/>
          </w:tcPr>
          <w:p>
            <w:pPr>
              <w:adjustRightInd w:val="0"/>
              <w:snapToGrid w:val="0"/>
              <w:spacing w:line="240" w:lineRule="exact"/>
              <w:jc w:val="center"/>
              <w:rPr>
                <w:bCs/>
                <w:sz w:val="18"/>
                <w:szCs w:val="18"/>
              </w:rPr>
            </w:pPr>
            <w:r>
              <w:rPr>
                <w:bCs/>
                <w:sz w:val="18"/>
                <w:szCs w:val="18"/>
              </w:rPr>
              <w:t>马列</w:t>
            </w:r>
          </w:p>
        </w:tc>
        <w:tc>
          <w:tcPr>
            <w:tcW w:w="361" w:type="pct"/>
            <w:vAlign w:val="center"/>
          </w:tcPr>
          <w:p>
            <w:pPr>
              <w:adjustRightInd w:val="0"/>
              <w:snapToGrid w:val="0"/>
              <w:spacing w:line="240" w:lineRule="exact"/>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continue"/>
            <w:tcBorders>
              <w:right w:val="single" w:color="auto" w:sz="4" w:space="0"/>
            </w:tcBorders>
            <w:vAlign w:val="center"/>
          </w:tcPr>
          <w:p>
            <w:pPr>
              <w:adjustRightInd w:val="0"/>
              <w:snapToGrid w:val="0"/>
              <w:spacing w:line="240" w:lineRule="exact"/>
              <w:jc w:val="center"/>
              <w:rPr>
                <w:bCs/>
                <w:sz w:val="18"/>
                <w:szCs w:val="18"/>
              </w:rPr>
            </w:pPr>
          </w:p>
        </w:tc>
        <w:tc>
          <w:tcPr>
            <w:tcW w:w="605" w:type="pct"/>
            <w:tcBorders>
              <w:left w:val="single" w:color="auto" w:sz="4" w:space="0"/>
            </w:tcBorders>
            <w:vAlign w:val="center"/>
          </w:tcPr>
          <w:p>
            <w:pPr>
              <w:spacing w:line="240" w:lineRule="exact"/>
              <w:jc w:val="center"/>
              <w:rPr>
                <w:bCs/>
                <w:sz w:val="18"/>
                <w:szCs w:val="18"/>
              </w:rPr>
            </w:pPr>
          </w:p>
        </w:tc>
        <w:tc>
          <w:tcPr>
            <w:tcW w:w="1858" w:type="pct"/>
            <w:vAlign w:val="center"/>
          </w:tcPr>
          <w:p>
            <w:pPr>
              <w:spacing w:line="240" w:lineRule="exact"/>
              <w:rPr>
                <w:bCs/>
                <w:snapToGrid w:val="0"/>
                <w:sz w:val="18"/>
                <w:szCs w:val="18"/>
              </w:rPr>
            </w:pPr>
            <w:r>
              <w:rPr>
                <w:bCs/>
                <w:snapToGrid w:val="0"/>
                <w:sz w:val="18"/>
                <w:szCs w:val="18"/>
              </w:rPr>
              <w:t>马克思主义基本原理</w:t>
            </w:r>
          </w:p>
          <w:p>
            <w:pPr>
              <w:spacing w:line="240" w:lineRule="exact"/>
              <w:rPr>
                <w:bCs/>
                <w:snapToGrid w:val="0"/>
                <w:sz w:val="18"/>
                <w:szCs w:val="18"/>
              </w:rPr>
            </w:pPr>
            <w:r>
              <w:rPr>
                <w:color w:val="000000"/>
                <w:sz w:val="18"/>
                <w:szCs w:val="18"/>
              </w:rPr>
              <w:t>Basic Tenets of Marxism</w:t>
            </w:r>
          </w:p>
        </w:tc>
        <w:tc>
          <w:tcPr>
            <w:tcW w:w="239" w:type="pct"/>
            <w:vAlign w:val="center"/>
          </w:tcPr>
          <w:p>
            <w:pPr>
              <w:adjustRightInd w:val="0"/>
              <w:snapToGrid w:val="0"/>
              <w:spacing w:line="240" w:lineRule="exact"/>
              <w:jc w:val="center"/>
              <w:rPr>
                <w:bCs/>
                <w:sz w:val="18"/>
                <w:szCs w:val="18"/>
              </w:rPr>
            </w:pPr>
            <w:r>
              <w:rPr>
                <w:bCs/>
                <w:sz w:val="18"/>
                <w:szCs w:val="18"/>
              </w:rPr>
              <w:t>2.5</w:t>
            </w:r>
          </w:p>
        </w:tc>
        <w:tc>
          <w:tcPr>
            <w:tcW w:w="387" w:type="pct"/>
            <w:vAlign w:val="center"/>
          </w:tcPr>
          <w:p>
            <w:pPr>
              <w:spacing w:line="240" w:lineRule="exact"/>
              <w:ind w:left="-120" w:leftChars="-50" w:right="-120" w:rightChars="-50"/>
              <w:jc w:val="center"/>
              <w:rPr>
                <w:bCs/>
                <w:snapToGrid w:val="0"/>
                <w:sz w:val="18"/>
                <w:szCs w:val="18"/>
              </w:rPr>
            </w:pPr>
            <w:r>
              <w:rPr>
                <w:bCs/>
                <w:snapToGrid w:val="0"/>
                <w:sz w:val="18"/>
                <w:szCs w:val="18"/>
              </w:rPr>
              <w:t>40</w:t>
            </w:r>
          </w:p>
        </w:tc>
        <w:tc>
          <w:tcPr>
            <w:tcW w:w="304" w:type="pct"/>
            <w:vAlign w:val="center"/>
          </w:tcPr>
          <w:p>
            <w:pPr>
              <w:spacing w:line="240" w:lineRule="exact"/>
              <w:ind w:left="-120" w:leftChars="-50" w:right="-120" w:rightChars="-50"/>
              <w:jc w:val="center"/>
              <w:rPr>
                <w:bCs/>
                <w:snapToGrid w:val="0"/>
                <w:sz w:val="18"/>
                <w:szCs w:val="18"/>
              </w:rPr>
            </w:pPr>
            <w:r>
              <w:rPr>
                <w:bCs/>
                <w:snapToGrid w:val="0"/>
                <w:sz w:val="18"/>
                <w:szCs w:val="18"/>
              </w:rPr>
              <w:t>40</w:t>
            </w:r>
          </w:p>
        </w:tc>
        <w:tc>
          <w:tcPr>
            <w:tcW w:w="333" w:type="pct"/>
            <w:vAlign w:val="center"/>
          </w:tcPr>
          <w:p>
            <w:pPr>
              <w:adjustRightInd w:val="0"/>
              <w:snapToGrid w:val="0"/>
              <w:spacing w:line="240" w:lineRule="exact"/>
              <w:ind w:left="-120" w:leftChars="-50" w:right="-120" w:rightChars="-50"/>
              <w:jc w:val="center"/>
              <w:rPr>
                <w:bCs/>
                <w:sz w:val="18"/>
                <w:szCs w:val="18"/>
              </w:rPr>
            </w:pPr>
          </w:p>
        </w:tc>
        <w:tc>
          <w:tcPr>
            <w:tcW w:w="334" w:type="pct"/>
            <w:vAlign w:val="center"/>
          </w:tcPr>
          <w:p>
            <w:pPr>
              <w:adjustRightInd w:val="0"/>
              <w:snapToGrid w:val="0"/>
              <w:spacing w:line="240" w:lineRule="exact"/>
              <w:ind w:left="-120" w:leftChars="-50" w:right="-120" w:rightChars="-50"/>
              <w:jc w:val="center"/>
              <w:rPr>
                <w:bCs/>
                <w:sz w:val="18"/>
                <w:szCs w:val="18"/>
              </w:rPr>
            </w:pPr>
            <w:r>
              <w:rPr>
                <w:bCs/>
                <w:sz w:val="18"/>
                <w:szCs w:val="18"/>
              </w:rPr>
              <w:t>1</w:t>
            </w:r>
          </w:p>
        </w:tc>
        <w:tc>
          <w:tcPr>
            <w:tcW w:w="337" w:type="pct"/>
            <w:vAlign w:val="center"/>
          </w:tcPr>
          <w:p>
            <w:pPr>
              <w:adjustRightInd w:val="0"/>
              <w:snapToGrid w:val="0"/>
              <w:spacing w:line="240" w:lineRule="exact"/>
              <w:jc w:val="center"/>
              <w:rPr>
                <w:bCs/>
                <w:sz w:val="18"/>
                <w:szCs w:val="18"/>
              </w:rPr>
            </w:pPr>
            <w:r>
              <w:rPr>
                <w:bCs/>
                <w:sz w:val="18"/>
                <w:szCs w:val="18"/>
              </w:rPr>
              <w:t>马列</w:t>
            </w:r>
          </w:p>
        </w:tc>
        <w:tc>
          <w:tcPr>
            <w:tcW w:w="361" w:type="pct"/>
            <w:vAlign w:val="center"/>
          </w:tcPr>
          <w:p>
            <w:pPr>
              <w:adjustRightInd w:val="0"/>
              <w:snapToGrid w:val="0"/>
              <w:spacing w:line="240" w:lineRule="exact"/>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continue"/>
            <w:tcBorders>
              <w:right w:val="single" w:color="auto" w:sz="4" w:space="0"/>
            </w:tcBorders>
            <w:vAlign w:val="center"/>
          </w:tcPr>
          <w:p>
            <w:pPr>
              <w:adjustRightInd w:val="0"/>
              <w:snapToGrid w:val="0"/>
              <w:spacing w:line="240" w:lineRule="exact"/>
              <w:jc w:val="center"/>
              <w:rPr>
                <w:bCs/>
                <w:sz w:val="18"/>
                <w:szCs w:val="18"/>
              </w:rPr>
            </w:pPr>
          </w:p>
        </w:tc>
        <w:tc>
          <w:tcPr>
            <w:tcW w:w="605" w:type="pct"/>
            <w:tcBorders>
              <w:left w:val="single" w:color="auto" w:sz="4" w:space="0"/>
            </w:tcBorders>
            <w:vAlign w:val="center"/>
          </w:tcPr>
          <w:p>
            <w:pPr>
              <w:spacing w:line="240" w:lineRule="exact"/>
              <w:jc w:val="center"/>
              <w:rPr>
                <w:bCs/>
                <w:sz w:val="18"/>
                <w:szCs w:val="18"/>
              </w:rPr>
            </w:pPr>
          </w:p>
        </w:tc>
        <w:tc>
          <w:tcPr>
            <w:tcW w:w="1858" w:type="pct"/>
            <w:vAlign w:val="center"/>
          </w:tcPr>
          <w:p>
            <w:pPr>
              <w:spacing w:line="240" w:lineRule="exact"/>
              <w:rPr>
                <w:bCs/>
                <w:snapToGrid w:val="0"/>
                <w:sz w:val="18"/>
                <w:szCs w:val="18"/>
              </w:rPr>
            </w:pPr>
            <w:r>
              <w:rPr>
                <w:bCs/>
                <w:snapToGrid w:val="0"/>
                <w:sz w:val="18"/>
                <w:szCs w:val="18"/>
              </w:rPr>
              <w:t>中国近现代史纲要</w:t>
            </w:r>
          </w:p>
          <w:p>
            <w:pPr>
              <w:spacing w:line="240" w:lineRule="exact"/>
              <w:rPr>
                <w:bCs/>
                <w:snapToGrid w:val="0"/>
                <w:sz w:val="18"/>
                <w:szCs w:val="18"/>
              </w:rPr>
            </w:pPr>
            <w:r>
              <w:rPr>
                <w:color w:val="000000"/>
                <w:sz w:val="18"/>
                <w:szCs w:val="18"/>
              </w:rPr>
              <w:t>Compendium of China’s Recent and Modern History</w:t>
            </w:r>
          </w:p>
        </w:tc>
        <w:tc>
          <w:tcPr>
            <w:tcW w:w="239" w:type="pct"/>
            <w:vAlign w:val="center"/>
          </w:tcPr>
          <w:p>
            <w:pPr>
              <w:adjustRightInd w:val="0"/>
              <w:snapToGrid w:val="0"/>
              <w:spacing w:line="240" w:lineRule="exact"/>
              <w:jc w:val="center"/>
              <w:rPr>
                <w:bCs/>
                <w:sz w:val="18"/>
                <w:szCs w:val="18"/>
              </w:rPr>
            </w:pPr>
            <w:r>
              <w:rPr>
                <w:bCs/>
                <w:sz w:val="18"/>
                <w:szCs w:val="18"/>
              </w:rPr>
              <w:t>2</w:t>
            </w:r>
          </w:p>
        </w:tc>
        <w:tc>
          <w:tcPr>
            <w:tcW w:w="387" w:type="pct"/>
            <w:vAlign w:val="center"/>
          </w:tcPr>
          <w:p>
            <w:pPr>
              <w:spacing w:line="240" w:lineRule="exact"/>
              <w:ind w:left="-120" w:leftChars="-50" w:right="-120" w:rightChars="-50"/>
              <w:jc w:val="center"/>
              <w:rPr>
                <w:bCs/>
                <w:snapToGrid w:val="0"/>
                <w:sz w:val="18"/>
                <w:szCs w:val="18"/>
              </w:rPr>
            </w:pPr>
            <w:r>
              <w:rPr>
                <w:bCs/>
                <w:snapToGrid w:val="0"/>
                <w:sz w:val="18"/>
                <w:szCs w:val="18"/>
              </w:rPr>
              <w:t>32</w:t>
            </w:r>
          </w:p>
        </w:tc>
        <w:tc>
          <w:tcPr>
            <w:tcW w:w="304" w:type="pct"/>
            <w:vAlign w:val="center"/>
          </w:tcPr>
          <w:p>
            <w:pPr>
              <w:spacing w:line="240" w:lineRule="exact"/>
              <w:ind w:left="-120" w:leftChars="-50" w:right="-120" w:rightChars="-50"/>
              <w:jc w:val="center"/>
              <w:rPr>
                <w:bCs/>
                <w:snapToGrid w:val="0"/>
                <w:sz w:val="18"/>
                <w:szCs w:val="18"/>
              </w:rPr>
            </w:pPr>
            <w:r>
              <w:rPr>
                <w:bCs/>
                <w:snapToGrid w:val="0"/>
                <w:sz w:val="18"/>
                <w:szCs w:val="18"/>
              </w:rPr>
              <w:t>32</w:t>
            </w:r>
          </w:p>
        </w:tc>
        <w:tc>
          <w:tcPr>
            <w:tcW w:w="333" w:type="pct"/>
            <w:vAlign w:val="center"/>
          </w:tcPr>
          <w:p>
            <w:pPr>
              <w:adjustRightInd w:val="0"/>
              <w:snapToGrid w:val="0"/>
              <w:spacing w:line="240" w:lineRule="exact"/>
              <w:ind w:left="-120" w:leftChars="-50" w:right="-120" w:rightChars="-50"/>
              <w:jc w:val="center"/>
              <w:rPr>
                <w:bCs/>
                <w:sz w:val="18"/>
                <w:szCs w:val="18"/>
              </w:rPr>
            </w:pPr>
          </w:p>
        </w:tc>
        <w:tc>
          <w:tcPr>
            <w:tcW w:w="334" w:type="pct"/>
            <w:vAlign w:val="center"/>
          </w:tcPr>
          <w:p>
            <w:pPr>
              <w:adjustRightInd w:val="0"/>
              <w:snapToGrid w:val="0"/>
              <w:spacing w:line="240" w:lineRule="exact"/>
              <w:ind w:left="-120" w:leftChars="-50" w:right="-120" w:rightChars="-50"/>
              <w:jc w:val="center"/>
              <w:rPr>
                <w:bCs/>
                <w:sz w:val="18"/>
                <w:szCs w:val="18"/>
              </w:rPr>
            </w:pPr>
            <w:r>
              <w:rPr>
                <w:bCs/>
                <w:sz w:val="18"/>
                <w:szCs w:val="18"/>
              </w:rPr>
              <w:t>2</w:t>
            </w:r>
          </w:p>
        </w:tc>
        <w:tc>
          <w:tcPr>
            <w:tcW w:w="337" w:type="pct"/>
            <w:vAlign w:val="center"/>
          </w:tcPr>
          <w:p>
            <w:pPr>
              <w:adjustRightInd w:val="0"/>
              <w:snapToGrid w:val="0"/>
              <w:spacing w:line="240" w:lineRule="exact"/>
              <w:jc w:val="center"/>
              <w:rPr>
                <w:bCs/>
                <w:sz w:val="18"/>
                <w:szCs w:val="18"/>
              </w:rPr>
            </w:pPr>
            <w:r>
              <w:rPr>
                <w:bCs/>
                <w:sz w:val="18"/>
                <w:szCs w:val="18"/>
              </w:rPr>
              <w:t>马列</w:t>
            </w:r>
          </w:p>
        </w:tc>
        <w:tc>
          <w:tcPr>
            <w:tcW w:w="361" w:type="pct"/>
            <w:vAlign w:val="center"/>
          </w:tcPr>
          <w:p>
            <w:pPr>
              <w:adjustRightInd w:val="0"/>
              <w:snapToGrid w:val="0"/>
              <w:spacing w:line="240" w:lineRule="exact"/>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continue"/>
            <w:tcBorders>
              <w:right w:val="single" w:color="auto" w:sz="4" w:space="0"/>
            </w:tcBorders>
            <w:vAlign w:val="center"/>
          </w:tcPr>
          <w:p>
            <w:pPr>
              <w:adjustRightInd w:val="0"/>
              <w:snapToGrid w:val="0"/>
              <w:spacing w:line="240" w:lineRule="exact"/>
              <w:jc w:val="center"/>
              <w:rPr>
                <w:bCs/>
                <w:sz w:val="18"/>
                <w:szCs w:val="18"/>
              </w:rPr>
            </w:pPr>
          </w:p>
        </w:tc>
        <w:tc>
          <w:tcPr>
            <w:tcW w:w="605" w:type="pct"/>
            <w:tcBorders>
              <w:left w:val="single" w:color="auto" w:sz="4" w:space="0"/>
            </w:tcBorders>
            <w:vAlign w:val="center"/>
          </w:tcPr>
          <w:p>
            <w:pPr>
              <w:spacing w:line="240" w:lineRule="exact"/>
              <w:jc w:val="center"/>
              <w:rPr>
                <w:bCs/>
                <w:sz w:val="18"/>
                <w:szCs w:val="18"/>
              </w:rPr>
            </w:pPr>
          </w:p>
        </w:tc>
        <w:tc>
          <w:tcPr>
            <w:tcW w:w="1858" w:type="pct"/>
            <w:vAlign w:val="center"/>
          </w:tcPr>
          <w:p>
            <w:pPr>
              <w:spacing w:line="220" w:lineRule="exact"/>
              <w:rPr>
                <w:bCs/>
                <w:snapToGrid w:val="0"/>
                <w:sz w:val="18"/>
                <w:szCs w:val="18"/>
              </w:rPr>
            </w:pPr>
            <w:r>
              <w:rPr>
                <w:bCs/>
                <w:snapToGrid w:val="0"/>
                <w:sz w:val="18"/>
                <w:szCs w:val="18"/>
              </w:rPr>
              <w:t>毛泽东思想和中国特色社会主义理论体系概论</w:t>
            </w:r>
          </w:p>
          <w:p>
            <w:pPr>
              <w:spacing w:line="220" w:lineRule="exact"/>
              <w:rPr>
                <w:bCs/>
                <w:snapToGrid w:val="0"/>
                <w:sz w:val="18"/>
                <w:szCs w:val="18"/>
              </w:rPr>
            </w:pPr>
            <w:r>
              <w:rPr>
                <w:color w:val="000000"/>
                <w:sz w:val="18"/>
                <w:szCs w:val="18"/>
              </w:rPr>
              <w:t>Introduction to MAO Zedong Thought and Theoretical System of Socialism with Chinese Characteristics</w:t>
            </w:r>
          </w:p>
        </w:tc>
        <w:tc>
          <w:tcPr>
            <w:tcW w:w="239" w:type="pct"/>
            <w:vAlign w:val="center"/>
          </w:tcPr>
          <w:p>
            <w:pPr>
              <w:adjustRightInd w:val="0"/>
              <w:snapToGrid w:val="0"/>
              <w:spacing w:line="240" w:lineRule="exact"/>
              <w:jc w:val="center"/>
              <w:rPr>
                <w:bCs/>
                <w:sz w:val="18"/>
                <w:szCs w:val="18"/>
              </w:rPr>
            </w:pPr>
            <w:r>
              <w:rPr>
                <w:bCs/>
                <w:sz w:val="18"/>
                <w:szCs w:val="18"/>
              </w:rPr>
              <w:t>2.5</w:t>
            </w:r>
          </w:p>
        </w:tc>
        <w:tc>
          <w:tcPr>
            <w:tcW w:w="387" w:type="pct"/>
            <w:vAlign w:val="center"/>
          </w:tcPr>
          <w:p>
            <w:pPr>
              <w:spacing w:line="240" w:lineRule="exact"/>
              <w:ind w:left="-120" w:leftChars="-50" w:right="-120" w:rightChars="-50"/>
              <w:jc w:val="center"/>
              <w:rPr>
                <w:bCs/>
                <w:snapToGrid w:val="0"/>
                <w:sz w:val="18"/>
                <w:szCs w:val="18"/>
              </w:rPr>
            </w:pPr>
            <w:r>
              <w:rPr>
                <w:bCs/>
                <w:snapToGrid w:val="0"/>
                <w:sz w:val="18"/>
                <w:szCs w:val="18"/>
              </w:rPr>
              <w:t>40</w:t>
            </w:r>
          </w:p>
        </w:tc>
        <w:tc>
          <w:tcPr>
            <w:tcW w:w="304" w:type="pct"/>
            <w:vAlign w:val="center"/>
          </w:tcPr>
          <w:p>
            <w:pPr>
              <w:spacing w:line="240" w:lineRule="exact"/>
              <w:ind w:left="-120" w:leftChars="-50" w:right="-120" w:rightChars="-50"/>
              <w:jc w:val="center"/>
              <w:rPr>
                <w:bCs/>
                <w:snapToGrid w:val="0"/>
                <w:sz w:val="18"/>
                <w:szCs w:val="18"/>
              </w:rPr>
            </w:pPr>
            <w:r>
              <w:rPr>
                <w:bCs/>
                <w:snapToGrid w:val="0"/>
                <w:sz w:val="18"/>
                <w:szCs w:val="18"/>
              </w:rPr>
              <w:t>40</w:t>
            </w:r>
          </w:p>
        </w:tc>
        <w:tc>
          <w:tcPr>
            <w:tcW w:w="333" w:type="pct"/>
            <w:vAlign w:val="center"/>
          </w:tcPr>
          <w:p>
            <w:pPr>
              <w:adjustRightInd w:val="0"/>
              <w:snapToGrid w:val="0"/>
              <w:spacing w:line="240" w:lineRule="exact"/>
              <w:ind w:left="-120" w:leftChars="-50" w:right="-120" w:rightChars="-50"/>
              <w:jc w:val="center"/>
              <w:rPr>
                <w:bCs/>
                <w:sz w:val="18"/>
                <w:szCs w:val="18"/>
              </w:rPr>
            </w:pPr>
          </w:p>
        </w:tc>
        <w:tc>
          <w:tcPr>
            <w:tcW w:w="334" w:type="pct"/>
            <w:vAlign w:val="center"/>
          </w:tcPr>
          <w:p>
            <w:pPr>
              <w:adjustRightInd w:val="0"/>
              <w:snapToGrid w:val="0"/>
              <w:spacing w:line="240" w:lineRule="exact"/>
              <w:ind w:left="-120" w:leftChars="-50" w:right="-120" w:rightChars="-50"/>
              <w:jc w:val="center"/>
              <w:rPr>
                <w:bCs/>
                <w:sz w:val="18"/>
                <w:szCs w:val="18"/>
              </w:rPr>
            </w:pPr>
            <w:r>
              <w:rPr>
                <w:bCs/>
                <w:sz w:val="18"/>
                <w:szCs w:val="18"/>
              </w:rPr>
              <w:t>3</w:t>
            </w:r>
          </w:p>
        </w:tc>
        <w:tc>
          <w:tcPr>
            <w:tcW w:w="337" w:type="pct"/>
            <w:vAlign w:val="center"/>
          </w:tcPr>
          <w:p>
            <w:pPr>
              <w:adjustRightInd w:val="0"/>
              <w:snapToGrid w:val="0"/>
              <w:spacing w:line="240" w:lineRule="exact"/>
              <w:jc w:val="center"/>
              <w:rPr>
                <w:bCs/>
                <w:sz w:val="18"/>
                <w:szCs w:val="18"/>
              </w:rPr>
            </w:pPr>
            <w:r>
              <w:rPr>
                <w:bCs/>
                <w:sz w:val="18"/>
                <w:szCs w:val="18"/>
              </w:rPr>
              <w:t>马列</w:t>
            </w:r>
          </w:p>
        </w:tc>
        <w:tc>
          <w:tcPr>
            <w:tcW w:w="361" w:type="pct"/>
            <w:vAlign w:val="center"/>
          </w:tcPr>
          <w:p>
            <w:pPr>
              <w:adjustRightInd w:val="0"/>
              <w:snapToGrid w:val="0"/>
              <w:spacing w:line="240" w:lineRule="exact"/>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continue"/>
            <w:tcBorders>
              <w:right w:val="single" w:color="auto" w:sz="4" w:space="0"/>
            </w:tcBorders>
            <w:vAlign w:val="center"/>
          </w:tcPr>
          <w:p>
            <w:pPr>
              <w:spacing w:line="240" w:lineRule="exact"/>
              <w:jc w:val="center"/>
              <w:rPr>
                <w:bCs/>
                <w:spacing w:val="-8"/>
                <w:position w:val="-8"/>
                <w:sz w:val="18"/>
                <w:szCs w:val="18"/>
              </w:rPr>
            </w:pPr>
          </w:p>
        </w:tc>
        <w:tc>
          <w:tcPr>
            <w:tcW w:w="605" w:type="pct"/>
            <w:tcBorders>
              <w:left w:val="single" w:color="auto" w:sz="4" w:space="0"/>
            </w:tcBorders>
            <w:vAlign w:val="center"/>
          </w:tcPr>
          <w:p>
            <w:pPr>
              <w:spacing w:line="240" w:lineRule="exact"/>
              <w:jc w:val="center"/>
              <w:rPr>
                <w:bCs/>
                <w:sz w:val="18"/>
                <w:szCs w:val="18"/>
              </w:rPr>
            </w:pPr>
          </w:p>
        </w:tc>
        <w:tc>
          <w:tcPr>
            <w:tcW w:w="1858" w:type="pct"/>
            <w:vAlign w:val="center"/>
          </w:tcPr>
          <w:p>
            <w:pPr>
              <w:spacing w:line="240" w:lineRule="exact"/>
              <w:rPr>
                <w:bCs/>
                <w:sz w:val="18"/>
                <w:szCs w:val="18"/>
              </w:rPr>
            </w:pPr>
            <w:r>
              <w:rPr>
                <w:bCs/>
                <w:sz w:val="18"/>
                <w:szCs w:val="18"/>
              </w:rPr>
              <w:t>大学英语B1</w:t>
            </w:r>
          </w:p>
          <w:p>
            <w:pPr>
              <w:spacing w:line="240" w:lineRule="exact"/>
              <w:rPr>
                <w:bCs/>
                <w:sz w:val="18"/>
                <w:szCs w:val="18"/>
              </w:rPr>
            </w:pPr>
            <w:r>
              <w:rPr>
                <w:color w:val="000000"/>
                <w:sz w:val="18"/>
                <w:szCs w:val="18"/>
              </w:rPr>
              <w:t>College English</w:t>
            </w:r>
            <w:r>
              <w:rPr>
                <w:bCs/>
                <w:sz w:val="18"/>
                <w:szCs w:val="18"/>
              </w:rPr>
              <w:t>B1</w:t>
            </w:r>
          </w:p>
        </w:tc>
        <w:tc>
          <w:tcPr>
            <w:tcW w:w="239" w:type="pct"/>
            <w:vAlign w:val="center"/>
          </w:tcPr>
          <w:p>
            <w:pPr>
              <w:spacing w:line="240" w:lineRule="exact"/>
              <w:jc w:val="center"/>
              <w:rPr>
                <w:bCs/>
                <w:sz w:val="18"/>
                <w:szCs w:val="18"/>
              </w:rPr>
            </w:pPr>
            <w:r>
              <w:rPr>
                <w:bCs/>
                <w:sz w:val="18"/>
                <w:szCs w:val="18"/>
              </w:rPr>
              <w:t>2</w:t>
            </w:r>
          </w:p>
        </w:tc>
        <w:tc>
          <w:tcPr>
            <w:tcW w:w="387" w:type="pct"/>
            <w:vAlign w:val="center"/>
          </w:tcPr>
          <w:p>
            <w:pPr>
              <w:spacing w:line="240" w:lineRule="exact"/>
              <w:ind w:left="-120" w:leftChars="-50" w:right="-120" w:rightChars="-50"/>
              <w:jc w:val="center"/>
              <w:rPr>
                <w:bCs/>
                <w:sz w:val="18"/>
                <w:szCs w:val="18"/>
              </w:rPr>
            </w:pPr>
            <w:r>
              <w:rPr>
                <w:bCs/>
                <w:sz w:val="18"/>
                <w:szCs w:val="18"/>
              </w:rPr>
              <w:t>32</w:t>
            </w:r>
          </w:p>
        </w:tc>
        <w:tc>
          <w:tcPr>
            <w:tcW w:w="304" w:type="pct"/>
            <w:vAlign w:val="center"/>
          </w:tcPr>
          <w:p>
            <w:pPr>
              <w:spacing w:line="240" w:lineRule="exact"/>
              <w:ind w:left="-120" w:leftChars="-50" w:right="-120" w:rightChars="-50"/>
              <w:jc w:val="center"/>
              <w:rPr>
                <w:bCs/>
                <w:sz w:val="18"/>
                <w:szCs w:val="18"/>
              </w:rPr>
            </w:pPr>
            <w:r>
              <w:rPr>
                <w:bCs/>
                <w:sz w:val="18"/>
                <w:szCs w:val="18"/>
              </w:rPr>
              <w:t>40</w:t>
            </w:r>
          </w:p>
        </w:tc>
        <w:tc>
          <w:tcPr>
            <w:tcW w:w="333" w:type="pct"/>
            <w:vAlign w:val="center"/>
          </w:tcPr>
          <w:p>
            <w:pPr>
              <w:spacing w:line="240" w:lineRule="exact"/>
              <w:ind w:left="-120" w:leftChars="-50" w:right="-120" w:rightChars="-50"/>
              <w:jc w:val="center"/>
              <w:rPr>
                <w:bCs/>
                <w:sz w:val="18"/>
                <w:szCs w:val="18"/>
              </w:rPr>
            </w:pPr>
          </w:p>
        </w:tc>
        <w:tc>
          <w:tcPr>
            <w:tcW w:w="334" w:type="pct"/>
            <w:vAlign w:val="center"/>
          </w:tcPr>
          <w:p>
            <w:pPr>
              <w:spacing w:line="240" w:lineRule="exact"/>
              <w:ind w:left="-120" w:leftChars="-50" w:right="-120" w:rightChars="-50"/>
              <w:jc w:val="center"/>
              <w:rPr>
                <w:bCs/>
                <w:sz w:val="18"/>
                <w:szCs w:val="18"/>
              </w:rPr>
            </w:pPr>
            <w:r>
              <w:rPr>
                <w:bCs/>
                <w:sz w:val="18"/>
                <w:szCs w:val="18"/>
              </w:rPr>
              <w:t>1</w:t>
            </w:r>
          </w:p>
        </w:tc>
        <w:tc>
          <w:tcPr>
            <w:tcW w:w="337" w:type="pct"/>
            <w:vAlign w:val="center"/>
          </w:tcPr>
          <w:p>
            <w:pPr>
              <w:spacing w:line="240" w:lineRule="exact"/>
              <w:jc w:val="center"/>
              <w:rPr>
                <w:bCs/>
                <w:sz w:val="18"/>
                <w:szCs w:val="18"/>
              </w:rPr>
            </w:pPr>
            <w:r>
              <w:rPr>
                <w:bCs/>
                <w:sz w:val="18"/>
                <w:szCs w:val="18"/>
              </w:rPr>
              <w:t>外语</w:t>
            </w:r>
          </w:p>
        </w:tc>
        <w:tc>
          <w:tcPr>
            <w:tcW w:w="361" w:type="pct"/>
            <w:vAlign w:val="center"/>
          </w:tcPr>
          <w:p>
            <w:pPr>
              <w:spacing w:line="240" w:lineRule="exact"/>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continue"/>
            <w:tcBorders>
              <w:right w:val="single" w:color="auto" w:sz="4" w:space="0"/>
            </w:tcBorders>
            <w:vAlign w:val="center"/>
          </w:tcPr>
          <w:p>
            <w:pPr>
              <w:spacing w:line="240" w:lineRule="exact"/>
              <w:jc w:val="center"/>
              <w:rPr>
                <w:bCs/>
                <w:spacing w:val="-8"/>
                <w:position w:val="-8"/>
                <w:sz w:val="18"/>
                <w:szCs w:val="18"/>
              </w:rPr>
            </w:pPr>
          </w:p>
        </w:tc>
        <w:tc>
          <w:tcPr>
            <w:tcW w:w="605" w:type="pct"/>
            <w:tcBorders>
              <w:left w:val="single" w:color="auto" w:sz="4" w:space="0"/>
            </w:tcBorders>
            <w:vAlign w:val="center"/>
          </w:tcPr>
          <w:p>
            <w:pPr>
              <w:spacing w:line="240" w:lineRule="exact"/>
              <w:jc w:val="center"/>
              <w:rPr>
                <w:bCs/>
                <w:sz w:val="18"/>
                <w:szCs w:val="18"/>
              </w:rPr>
            </w:pPr>
          </w:p>
        </w:tc>
        <w:tc>
          <w:tcPr>
            <w:tcW w:w="1858" w:type="pct"/>
            <w:vAlign w:val="center"/>
          </w:tcPr>
          <w:p>
            <w:pPr>
              <w:spacing w:line="240" w:lineRule="exact"/>
              <w:rPr>
                <w:bCs/>
                <w:sz w:val="18"/>
                <w:szCs w:val="18"/>
              </w:rPr>
            </w:pPr>
            <w:r>
              <w:rPr>
                <w:bCs/>
                <w:sz w:val="18"/>
                <w:szCs w:val="18"/>
              </w:rPr>
              <w:t>大学英语B2</w:t>
            </w:r>
          </w:p>
          <w:p>
            <w:pPr>
              <w:spacing w:line="240" w:lineRule="exact"/>
              <w:rPr>
                <w:bCs/>
                <w:sz w:val="18"/>
                <w:szCs w:val="18"/>
              </w:rPr>
            </w:pPr>
            <w:r>
              <w:rPr>
                <w:color w:val="000000"/>
                <w:sz w:val="18"/>
                <w:szCs w:val="18"/>
              </w:rPr>
              <w:t>College English</w:t>
            </w:r>
            <w:r>
              <w:rPr>
                <w:bCs/>
                <w:sz w:val="18"/>
                <w:szCs w:val="18"/>
              </w:rPr>
              <w:t>B2</w:t>
            </w:r>
          </w:p>
        </w:tc>
        <w:tc>
          <w:tcPr>
            <w:tcW w:w="239" w:type="pct"/>
            <w:vAlign w:val="center"/>
          </w:tcPr>
          <w:p>
            <w:pPr>
              <w:spacing w:line="240" w:lineRule="exact"/>
              <w:jc w:val="center"/>
              <w:rPr>
                <w:bCs/>
                <w:sz w:val="18"/>
                <w:szCs w:val="18"/>
              </w:rPr>
            </w:pPr>
            <w:r>
              <w:rPr>
                <w:bCs/>
                <w:sz w:val="18"/>
                <w:szCs w:val="18"/>
              </w:rPr>
              <w:t>3</w:t>
            </w:r>
          </w:p>
        </w:tc>
        <w:tc>
          <w:tcPr>
            <w:tcW w:w="387" w:type="pct"/>
            <w:vAlign w:val="center"/>
          </w:tcPr>
          <w:p>
            <w:pPr>
              <w:spacing w:line="240" w:lineRule="exact"/>
              <w:ind w:left="-120" w:leftChars="-50" w:right="-120" w:rightChars="-50"/>
              <w:jc w:val="center"/>
              <w:rPr>
                <w:bCs/>
                <w:sz w:val="18"/>
                <w:szCs w:val="18"/>
              </w:rPr>
            </w:pPr>
            <w:r>
              <w:rPr>
                <w:bCs/>
                <w:sz w:val="18"/>
                <w:szCs w:val="18"/>
              </w:rPr>
              <w:t>48</w:t>
            </w:r>
          </w:p>
        </w:tc>
        <w:tc>
          <w:tcPr>
            <w:tcW w:w="304" w:type="pct"/>
            <w:vAlign w:val="center"/>
          </w:tcPr>
          <w:p>
            <w:pPr>
              <w:spacing w:line="240" w:lineRule="exact"/>
              <w:ind w:left="-120" w:leftChars="-50" w:right="-120" w:rightChars="-50"/>
              <w:jc w:val="center"/>
              <w:rPr>
                <w:bCs/>
                <w:sz w:val="18"/>
                <w:szCs w:val="18"/>
              </w:rPr>
            </w:pPr>
            <w:r>
              <w:rPr>
                <w:bCs/>
                <w:sz w:val="18"/>
                <w:szCs w:val="18"/>
              </w:rPr>
              <w:t>40</w:t>
            </w:r>
          </w:p>
        </w:tc>
        <w:tc>
          <w:tcPr>
            <w:tcW w:w="333" w:type="pct"/>
            <w:vAlign w:val="center"/>
          </w:tcPr>
          <w:p>
            <w:pPr>
              <w:spacing w:line="240" w:lineRule="exact"/>
              <w:ind w:left="-120" w:leftChars="-50" w:right="-120" w:rightChars="-50"/>
              <w:jc w:val="center"/>
              <w:rPr>
                <w:bCs/>
                <w:sz w:val="18"/>
                <w:szCs w:val="18"/>
              </w:rPr>
            </w:pPr>
          </w:p>
        </w:tc>
        <w:tc>
          <w:tcPr>
            <w:tcW w:w="334" w:type="pct"/>
            <w:vAlign w:val="center"/>
          </w:tcPr>
          <w:p>
            <w:pPr>
              <w:spacing w:line="240" w:lineRule="exact"/>
              <w:ind w:left="-120" w:leftChars="-50" w:right="-120" w:rightChars="-50"/>
              <w:jc w:val="center"/>
              <w:rPr>
                <w:bCs/>
                <w:sz w:val="18"/>
                <w:szCs w:val="18"/>
              </w:rPr>
            </w:pPr>
            <w:r>
              <w:rPr>
                <w:bCs/>
                <w:sz w:val="18"/>
                <w:szCs w:val="18"/>
              </w:rPr>
              <w:t>2</w:t>
            </w:r>
          </w:p>
        </w:tc>
        <w:tc>
          <w:tcPr>
            <w:tcW w:w="337" w:type="pct"/>
            <w:vAlign w:val="center"/>
          </w:tcPr>
          <w:p>
            <w:pPr>
              <w:spacing w:line="240" w:lineRule="exact"/>
              <w:jc w:val="center"/>
              <w:rPr>
                <w:bCs/>
                <w:sz w:val="18"/>
                <w:szCs w:val="18"/>
              </w:rPr>
            </w:pPr>
            <w:r>
              <w:rPr>
                <w:bCs/>
                <w:sz w:val="18"/>
                <w:szCs w:val="18"/>
              </w:rPr>
              <w:t>外语</w:t>
            </w:r>
          </w:p>
        </w:tc>
        <w:tc>
          <w:tcPr>
            <w:tcW w:w="361" w:type="pct"/>
            <w:vAlign w:val="center"/>
          </w:tcPr>
          <w:p>
            <w:pPr>
              <w:spacing w:line="240" w:lineRule="exact"/>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continue"/>
            <w:tcBorders>
              <w:right w:val="single" w:color="auto" w:sz="4" w:space="0"/>
            </w:tcBorders>
            <w:vAlign w:val="center"/>
          </w:tcPr>
          <w:p>
            <w:pPr>
              <w:spacing w:line="240" w:lineRule="exact"/>
              <w:jc w:val="center"/>
              <w:rPr>
                <w:bCs/>
                <w:spacing w:val="-8"/>
                <w:position w:val="-8"/>
                <w:sz w:val="18"/>
                <w:szCs w:val="18"/>
              </w:rPr>
            </w:pPr>
          </w:p>
        </w:tc>
        <w:tc>
          <w:tcPr>
            <w:tcW w:w="605" w:type="pct"/>
            <w:tcBorders>
              <w:left w:val="single" w:color="auto" w:sz="4" w:space="0"/>
            </w:tcBorders>
            <w:vAlign w:val="center"/>
          </w:tcPr>
          <w:p>
            <w:pPr>
              <w:spacing w:line="240" w:lineRule="exact"/>
              <w:jc w:val="center"/>
              <w:rPr>
                <w:bCs/>
                <w:sz w:val="18"/>
                <w:szCs w:val="18"/>
              </w:rPr>
            </w:pPr>
          </w:p>
        </w:tc>
        <w:tc>
          <w:tcPr>
            <w:tcW w:w="1858" w:type="pct"/>
            <w:vAlign w:val="center"/>
          </w:tcPr>
          <w:p>
            <w:pPr>
              <w:spacing w:line="240" w:lineRule="exact"/>
              <w:rPr>
                <w:bCs/>
                <w:sz w:val="18"/>
                <w:szCs w:val="18"/>
              </w:rPr>
            </w:pPr>
            <w:r>
              <w:rPr>
                <w:bCs/>
                <w:sz w:val="18"/>
                <w:szCs w:val="18"/>
              </w:rPr>
              <w:t>大学英语B3</w:t>
            </w:r>
          </w:p>
          <w:p>
            <w:pPr>
              <w:spacing w:line="240" w:lineRule="exact"/>
              <w:rPr>
                <w:bCs/>
                <w:sz w:val="18"/>
                <w:szCs w:val="18"/>
              </w:rPr>
            </w:pPr>
            <w:r>
              <w:rPr>
                <w:color w:val="000000"/>
                <w:sz w:val="18"/>
                <w:szCs w:val="18"/>
              </w:rPr>
              <w:t>College English</w:t>
            </w:r>
            <w:r>
              <w:rPr>
                <w:bCs/>
                <w:sz w:val="18"/>
                <w:szCs w:val="18"/>
              </w:rPr>
              <w:t>B3</w:t>
            </w:r>
          </w:p>
        </w:tc>
        <w:tc>
          <w:tcPr>
            <w:tcW w:w="239" w:type="pct"/>
            <w:vAlign w:val="center"/>
          </w:tcPr>
          <w:p>
            <w:pPr>
              <w:spacing w:line="240" w:lineRule="exact"/>
              <w:jc w:val="center"/>
              <w:rPr>
                <w:bCs/>
                <w:sz w:val="18"/>
                <w:szCs w:val="18"/>
              </w:rPr>
            </w:pPr>
            <w:r>
              <w:rPr>
                <w:bCs/>
                <w:sz w:val="18"/>
                <w:szCs w:val="18"/>
              </w:rPr>
              <w:t>3</w:t>
            </w:r>
          </w:p>
        </w:tc>
        <w:tc>
          <w:tcPr>
            <w:tcW w:w="387" w:type="pct"/>
            <w:vAlign w:val="center"/>
          </w:tcPr>
          <w:p>
            <w:pPr>
              <w:spacing w:line="240" w:lineRule="exact"/>
              <w:ind w:left="-120" w:leftChars="-50" w:right="-120" w:rightChars="-50"/>
              <w:jc w:val="center"/>
              <w:rPr>
                <w:bCs/>
                <w:sz w:val="18"/>
                <w:szCs w:val="18"/>
              </w:rPr>
            </w:pPr>
            <w:r>
              <w:rPr>
                <w:bCs/>
                <w:sz w:val="18"/>
                <w:szCs w:val="18"/>
              </w:rPr>
              <w:t>48</w:t>
            </w:r>
          </w:p>
        </w:tc>
        <w:tc>
          <w:tcPr>
            <w:tcW w:w="304" w:type="pct"/>
            <w:vAlign w:val="center"/>
          </w:tcPr>
          <w:p>
            <w:pPr>
              <w:spacing w:line="240" w:lineRule="exact"/>
              <w:ind w:left="-120" w:leftChars="-50" w:right="-120" w:rightChars="-50"/>
              <w:jc w:val="center"/>
              <w:rPr>
                <w:bCs/>
                <w:sz w:val="18"/>
                <w:szCs w:val="18"/>
              </w:rPr>
            </w:pPr>
            <w:r>
              <w:rPr>
                <w:bCs/>
                <w:sz w:val="18"/>
                <w:szCs w:val="18"/>
              </w:rPr>
              <w:t>40</w:t>
            </w:r>
          </w:p>
        </w:tc>
        <w:tc>
          <w:tcPr>
            <w:tcW w:w="333" w:type="pct"/>
            <w:vAlign w:val="center"/>
          </w:tcPr>
          <w:p>
            <w:pPr>
              <w:spacing w:line="240" w:lineRule="exact"/>
              <w:ind w:left="-120" w:leftChars="-50" w:right="-120" w:rightChars="-50"/>
              <w:jc w:val="center"/>
              <w:rPr>
                <w:bCs/>
                <w:sz w:val="18"/>
                <w:szCs w:val="18"/>
              </w:rPr>
            </w:pPr>
          </w:p>
        </w:tc>
        <w:tc>
          <w:tcPr>
            <w:tcW w:w="334" w:type="pct"/>
            <w:vAlign w:val="center"/>
          </w:tcPr>
          <w:p>
            <w:pPr>
              <w:spacing w:line="240" w:lineRule="exact"/>
              <w:ind w:left="-120" w:leftChars="-50" w:right="-120" w:rightChars="-50"/>
              <w:jc w:val="center"/>
              <w:rPr>
                <w:bCs/>
                <w:sz w:val="18"/>
                <w:szCs w:val="18"/>
              </w:rPr>
            </w:pPr>
            <w:r>
              <w:rPr>
                <w:bCs/>
                <w:sz w:val="18"/>
                <w:szCs w:val="18"/>
              </w:rPr>
              <w:t>3</w:t>
            </w:r>
          </w:p>
        </w:tc>
        <w:tc>
          <w:tcPr>
            <w:tcW w:w="337" w:type="pct"/>
            <w:vAlign w:val="center"/>
          </w:tcPr>
          <w:p>
            <w:pPr>
              <w:spacing w:line="240" w:lineRule="exact"/>
              <w:jc w:val="center"/>
              <w:rPr>
                <w:bCs/>
                <w:sz w:val="18"/>
                <w:szCs w:val="18"/>
              </w:rPr>
            </w:pPr>
            <w:r>
              <w:rPr>
                <w:bCs/>
                <w:sz w:val="18"/>
                <w:szCs w:val="18"/>
              </w:rPr>
              <w:t>外语</w:t>
            </w:r>
          </w:p>
        </w:tc>
        <w:tc>
          <w:tcPr>
            <w:tcW w:w="361" w:type="pct"/>
            <w:vAlign w:val="center"/>
          </w:tcPr>
          <w:p>
            <w:pPr>
              <w:spacing w:line="240" w:lineRule="exact"/>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continue"/>
            <w:tcBorders>
              <w:right w:val="single" w:color="auto" w:sz="4" w:space="0"/>
            </w:tcBorders>
            <w:vAlign w:val="center"/>
          </w:tcPr>
          <w:p>
            <w:pPr>
              <w:spacing w:line="240" w:lineRule="exact"/>
              <w:jc w:val="center"/>
              <w:rPr>
                <w:bCs/>
                <w:spacing w:val="-8"/>
                <w:position w:val="-8"/>
                <w:sz w:val="18"/>
                <w:szCs w:val="18"/>
              </w:rPr>
            </w:pPr>
          </w:p>
        </w:tc>
        <w:tc>
          <w:tcPr>
            <w:tcW w:w="605" w:type="pct"/>
            <w:tcBorders>
              <w:left w:val="single" w:color="auto" w:sz="4" w:space="0"/>
            </w:tcBorders>
            <w:vAlign w:val="center"/>
          </w:tcPr>
          <w:p>
            <w:pPr>
              <w:spacing w:line="240" w:lineRule="exact"/>
              <w:jc w:val="center"/>
              <w:rPr>
                <w:bCs/>
                <w:sz w:val="18"/>
                <w:szCs w:val="18"/>
              </w:rPr>
            </w:pPr>
          </w:p>
        </w:tc>
        <w:tc>
          <w:tcPr>
            <w:tcW w:w="1858" w:type="pct"/>
            <w:vAlign w:val="center"/>
          </w:tcPr>
          <w:p>
            <w:pPr>
              <w:spacing w:line="240" w:lineRule="exact"/>
              <w:rPr>
                <w:bCs/>
                <w:sz w:val="18"/>
                <w:szCs w:val="18"/>
              </w:rPr>
            </w:pPr>
            <w:r>
              <w:rPr>
                <w:bCs/>
                <w:sz w:val="18"/>
                <w:szCs w:val="18"/>
              </w:rPr>
              <w:t>大学英语B4</w:t>
            </w:r>
          </w:p>
          <w:p>
            <w:pPr>
              <w:spacing w:line="240" w:lineRule="exact"/>
              <w:rPr>
                <w:bCs/>
                <w:sz w:val="18"/>
                <w:szCs w:val="18"/>
              </w:rPr>
            </w:pPr>
            <w:r>
              <w:rPr>
                <w:color w:val="000000"/>
                <w:sz w:val="18"/>
                <w:szCs w:val="18"/>
              </w:rPr>
              <w:t>College English B</w:t>
            </w:r>
            <w:r>
              <w:rPr>
                <w:bCs/>
                <w:sz w:val="18"/>
                <w:szCs w:val="18"/>
              </w:rPr>
              <w:t>4</w:t>
            </w:r>
          </w:p>
        </w:tc>
        <w:tc>
          <w:tcPr>
            <w:tcW w:w="239" w:type="pct"/>
            <w:vAlign w:val="center"/>
          </w:tcPr>
          <w:p>
            <w:pPr>
              <w:spacing w:line="240" w:lineRule="exact"/>
              <w:jc w:val="center"/>
              <w:rPr>
                <w:bCs/>
                <w:sz w:val="18"/>
                <w:szCs w:val="18"/>
              </w:rPr>
            </w:pPr>
            <w:r>
              <w:rPr>
                <w:bCs/>
                <w:sz w:val="18"/>
                <w:szCs w:val="18"/>
              </w:rPr>
              <w:t>2</w:t>
            </w:r>
          </w:p>
        </w:tc>
        <w:tc>
          <w:tcPr>
            <w:tcW w:w="387" w:type="pct"/>
            <w:vAlign w:val="center"/>
          </w:tcPr>
          <w:p>
            <w:pPr>
              <w:spacing w:line="240" w:lineRule="exact"/>
              <w:ind w:left="-120" w:leftChars="-50" w:right="-120" w:rightChars="-50"/>
              <w:jc w:val="center"/>
              <w:rPr>
                <w:bCs/>
                <w:sz w:val="18"/>
                <w:szCs w:val="18"/>
              </w:rPr>
            </w:pPr>
            <w:r>
              <w:rPr>
                <w:bCs/>
                <w:sz w:val="18"/>
                <w:szCs w:val="18"/>
              </w:rPr>
              <w:t>32</w:t>
            </w:r>
          </w:p>
        </w:tc>
        <w:tc>
          <w:tcPr>
            <w:tcW w:w="304" w:type="pct"/>
            <w:vAlign w:val="center"/>
          </w:tcPr>
          <w:p>
            <w:pPr>
              <w:spacing w:line="240" w:lineRule="exact"/>
              <w:ind w:left="-120" w:leftChars="-50" w:right="-120" w:rightChars="-50"/>
              <w:jc w:val="center"/>
              <w:rPr>
                <w:bCs/>
                <w:sz w:val="18"/>
                <w:szCs w:val="18"/>
              </w:rPr>
            </w:pPr>
            <w:r>
              <w:rPr>
                <w:bCs/>
                <w:sz w:val="18"/>
                <w:szCs w:val="18"/>
              </w:rPr>
              <w:t>40</w:t>
            </w:r>
          </w:p>
        </w:tc>
        <w:tc>
          <w:tcPr>
            <w:tcW w:w="333" w:type="pct"/>
            <w:vAlign w:val="center"/>
          </w:tcPr>
          <w:p>
            <w:pPr>
              <w:spacing w:line="240" w:lineRule="exact"/>
              <w:ind w:left="-120" w:leftChars="-50" w:right="-120" w:rightChars="-50"/>
              <w:jc w:val="center"/>
              <w:rPr>
                <w:bCs/>
                <w:sz w:val="18"/>
                <w:szCs w:val="18"/>
              </w:rPr>
            </w:pPr>
          </w:p>
        </w:tc>
        <w:tc>
          <w:tcPr>
            <w:tcW w:w="334" w:type="pct"/>
            <w:vAlign w:val="center"/>
          </w:tcPr>
          <w:p>
            <w:pPr>
              <w:spacing w:line="240" w:lineRule="exact"/>
              <w:ind w:left="-120" w:leftChars="-50" w:right="-120" w:rightChars="-50"/>
              <w:jc w:val="center"/>
              <w:rPr>
                <w:bCs/>
                <w:sz w:val="18"/>
                <w:szCs w:val="18"/>
              </w:rPr>
            </w:pPr>
            <w:r>
              <w:rPr>
                <w:bCs/>
                <w:sz w:val="18"/>
                <w:szCs w:val="18"/>
              </w:rPr>
              <w:t>4</w:t>
            </w:r>
          </w:p>
        </w:tc>
        <w:tc>
          <w:tcPr>
            <w:tcW w:w="337" w:type="pct"/>
            <w:vAlign w:val="center"/>
          </w:tcPr>
          <w:p>
            <w:pPr>
              <w:spacing w:line="240" w:lineRule="exact"/>
              <w:jc w:val="center"/>
              <w:rPr>
                <w:bCs/>
                <w:sz w:val="18"/>
                <w:szCs w:val="18"/>
              </w:rPr>
            </w:pPr>
            <w:r>
              <w:rPr>
                <w:bCs/>
                <w:sz w:val="18"/>
                <w:szCs w:val="18"/>
              </w:rPr>
              <w:t>外语</w:t>
            </w:r>
          </w:p>
        </w:tc>
        <w:tc>
          <w:tcPr>
            <w:tcW w:w="361" w:type="pct"/>
            <w:vAlign w:val="center"/>
          </w:tcPr>
          <w:p>
            <w:pPr>
              <w:spacing w:line="240" w:lineRule="exact"/>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continue"/>
            <w:tcBorders>
              <w:right w:val="single" w:color="auto" w:sz="4" w:space="0"/>
            </w:tcBorders>
            <w:vAlign w:val="center"/>
          </w:tcPr>
          <w:p>
            <w:pPr>
              <w:spacing w:line="240" w:lineRule="exact"/>
              <w:jc w:val="center"/>
              <w:rPr>
                <w:bCs/>
                <w:spacing w:val="-8"/>
                <w:position w:val="-8"/>
                <w:sz w:val="18"/>
                <w:szCs w:val="18"/>
              </w:rPr>
            </w:pPr>
          </w:p>
        </w:tc>
        <w:tc>
          <w:tcPr>
            <w:tcW w:w="605" w:type="pct"/>
            <w:tcBorders>
              <w:left w:val="single" w:color="auto" w:sz="4" w:space="0"/>
            </w:tcBorders>
            <w:vAlign w:val="center"/>
          </w:tcPr>
          <w:p>
            <w:pPr>
              <w:spacing w:line="240" w:lineRule="exact"/>
              <w:jc w:val="center"/>
              <w:rPr>
                <w:bCs/>
                <w:sz w:val="18"/>
                <w:szCs w:val="18"/>
              </w:rPr>
            </w:pPr>
          </w:p>
        </w:tc>
        <w:tc>
          <w:tcPr>
            <w:tcW w:w="1858" w:type="pct"/>
            <w:vAlign w:val="center"/>
          </w:tcPr>
          <w:p>
            <w:pPr>
              <w:spacing w:line="240" w:lineRule="exact"/>
              <w:rPr>
                <w:bCs/>
                <w:snapToGrid w:val="0"/>
                <w:sz w:val="18"/>
                <w:szCs w:val="18"/>
              </w:rPr>
            </w:pPr>
            <w:r>
              <w:rPr>
                <w:bCs/>
                <w:snapToGrid w:val="0"/>
                <w:sz w:val="18"/>
                <w:szCs w:val="18"/>
              </w:rPr>
              <w:t>大学生心理健康教育</w:t>
            </w:r>
          </w:p>
          <w:p>
            <w:pPr>
              <w:spacing w:line="240" w:lineRule="exact"/>
              <w:rPr>
                <w:bCs/>
                <w:sz w:val="18"/>
                <w:szCs w:val="18"/>
              </w:rPr>
            </w:pPr>
            <w:r>
              <w:rPr>
                <w:bCs/>
                <w:snapToGrid w:val="0"/>
                <w:sz w:val="18"/>
                <w:szCs w:val="18"/>
              </w:rPr>
              <w:t>Psychological Health Education for Undergraduates</w:t>
            </w:r>
          </w:p>
        </w:tc>
        <w:tc>
          <w:tcPr>
            <w:tcW w:w="239" w:type="pct"/>
            <w:vAlign w:val="center"/>
          </w:tcPr>
          <w:p>
            <w:pPr>
              <w:spacing w:line="240" w:lineRule="exact"/>
              <w:jc w:val="center"/>
              <w:rPr>
                <w:bCs/>
                <w:sz w:val="18"/>
                <w:szCs w:val="18"/>
              </w:rPr>
            </w:pPr>
            <w:r>
              <w:rPr>
                <w:bCs/>
                <w:sz w:val="18"/>
                <w:szCs w:val="18"/>
              </w:rPr>
              <w:t>2</w:t>
            </w:r>
          </w:p>
        </w:tc>
        <w:tc>
          <w:tcPr>
            <w:tcW w:w="387" w:type="pct"/>
            <w:vAlign w:val="center"/>
          </w:tcPr>
          <w:p>
            <w:pPr>
              <w:spacing w:line="240" w:lineRule="exact"/>
              <w:ind w:left="-120" w:leftChars="-50" w:right="-120" w:rightChars="-50"/>
              <w:jc w:val="center"/>
              <w:rPr>
                <w:bCs/>
                <w:sz w:val="18"/>
                <w:szCs w:val="18"/>
              </w:rPr>
            </w:pPr>
            <w:r>
              <w:rPr>
                <w:bCs/>
                <w:sz w:val="18"/>
                <w:szCs w:val="18"/>
              </w:rPr>
              <w:t>32</w:t>
            </w:r>
          </w:p>
        </w:tc>
        <w:tc>
          <w:tcPr>
            <w:tcW w:w="304" w:type="pct"/>
            <w:vAlign w:val="center"/>
          </w:tcPr>
          <w:p>
            <w:pPr>
              <w:spacing w:line="240" w:lineRule="exact"/>
              <w:ind w:left="-120" w:leftChars="-50" w:right="-120" w:rightChars="-50"/>
              <w:jc w:val="center"/>
              <w:rPr>
                <w:bCs/>
                <w:sz w:val="18"/>
                <w:szCs w:val="18"/>
              </w:rPr>
            </w:pPr>
            <w:r>
              <w:rPr>
                <w:bCs/>
                <w:sz w:val="18"/>
                <w:szCs w:val="18"/>
              </w:rPr>
              <w:t>24</w:t>
            </w:r>
          </w:p>
        </w:tc>
        <w:tc>
          <w:tcPr>
            <w:tcW w:w="333" w:type="pct"/>
            <w:vAlign w:val="center"/>
          </w:tcPr>
          <w:p>
            <w:pPr>
              <w:spacing w:line="240" w:lineRule="exact"/>
              <w:ind w:left="-120" w:leftChars="-50" w:right="-120" w:rightChars="-50"/>
              <w:jc w:val="center"/>
              <w:rPr>
                <w:bCs/>
                <w:sz w:val="18"/>
                <w:szCs w:val="18"/>
              </w:rPr>
            </w:pPr>
            <w:r>
              <w:rPr>
                <w:bCs/>
                <w:sz w:val="18"/>
                <w:szCs w:val="18"/>
              </w:rPr>
              <w:t>8</w:t>
            </w:r>
          </w:p>
        </w:tc>
        <w:tc>
          <w:tcPr>
            <w:tcW w:w="334" w:type="pct"/>
            <w:vAlign w:val="center"/>
          </w:tcPr>
          <w:p>
            <w:pPr>
              <w:spacing w:line="240" w:lineRule="exact"/>
              <w:ind w:left="-120" w:leftChars="-50" w:right="-120" w:rightChars="-50"/>
              <w:jc w:val="center"/>
              <w:rPr>
                <w:bCs/>
                <w:sz w:val="18"/>
                <w:szCs w:val="18"/>
              </w:rPr>
            </w:pPr>
            <w:r>
              <w:rPr>
                <w:bCs/>
                <w:sz w:val="18"/>
                <w:szCs w:val="18"/>
              </w:rPr>
              <w:t>2</w:t>
            </w:r>
          </w:p>
        </w:tc>
        <w:tc>
          <w:tcPr>
            <w:tcW w:w="337" w:type="pct"/>
            <w:vAlign w:val="center"/>
          </w:tcPr>
          <w:p>
            <w:pPr>
              <w:spacing w:line="240" w:lineRule="exact"/>
              <w:jc w:val="center"/>
              <w:rPr>
                <w:bCs/>
                <w:sz w:val="18"/>
                <w:szCs w:val="18"/>
              </w:rPr>
            </w:pPr>
            <w:r>
              <w:rPr>
                <w:bCs/>
                <w:sz w:val="18"/>
                <w:szCs w:val="18"/>
              </w:rPr>
              <w:t>学工</w:t>
            </w:r>
          </w:p>
        </w:tc>
        <w:tc>
          <w:tcPr>
            <w:tcW w:w="361" w:type="pct"/>
            <w:vAlign w:val="center"/>
          </w:tcPr>
          <w:p>
            <w:pPr>
              <w:spacing w:line="240" w:lineRule="exact"/>
              <w:jc w:val="center"/>
              <w:rPr>
                <w:bCs/>
                <w:sz w:val="15"/>
                <w:szCs w:val="15"/>
              </w:rPr>
            </w:pPr>
            <w:r>
              <w:rPr>
                <w:bCs/>
                <w:sz w:val="15"/>
                <w:szCs w:val="15"/>
              </w:rPr>
              <w:t>不收费学分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continue"/>
            <w:tcBorders>
              <w:right w:val="single" w:color="auto" w:sz="4" w:space="0"/>
            </w:tcBorders>
            <w:vAlign w:val="center"/>
          </w:tcPr>
          <w:p>
            <w:pPr>
              <w:spacing w:line="240" w:lineRule="exact"/>
              <w:jc w:val="center"/>
              <w:rPr>
                <w:bCs/>
                <w:spacing w:val="-8"/>
                <w:position w:val="-8"/>
                <w:sz w:val="18"/>
                <w:szCs w:val="18"/>
              </w:rPr>
            </w:pPr>
          </w:p>
        </w:tc>
        <w:tc>
          <w:tcPr>
            <w:tcW w:w="605" w:type="pct"/>
            <w:tcBorders>
              <w:left w:val="single" w:color="auto" w:sz="4" w:space="0"/>
            </w:tcBorders>
            <w:vAlign w:val="center"/>
          </w:tcPr>
          <w:p>
            <w:pPr>
              <w:spacing w:line="240" w:lineRule="exact"/>
              <w:jc w:val="center"/>
              <w:rPr>
                <w:bCs/>
                <w:sz w:val="18"/>
                <w:szCs w:val="18"/>
              </w:rPr>
            </w:pPr>
          </w:p>
        </w:tc>
        <w:tc>
          <w:tcPr>
            <w:tcW w:w="1858" w:type="pct"/>
            <w:vAlign w:val="center"/>
          </w:tcPr>
          <w:p>
            <w:pPr>
              <w:spacing w:line="240" w:lineRule="exact"/>
              <w:rPr>
                <w:bCs/>
                <w:snapToGrid w:val="0"/>
                <w:sz w:val="18"/>
                <w:szCs w:val="18"/>
              </w:rPr>
            </w:pPr>
            <w:r>
              <w:rPr>
                <w:bCs/>
                <w:snapToGrid w:val="0"/>
                <w:sz w:val="18"/>
                <w:szCs w:val="18"/>
              </w:rPr>
              <w:t>形势与政策 1</w:t>
            </w:r>
          </w:p>
          <w:p>
            <w:pPr>
              <w:spacing w:line="240" w:lineRule="exact"/>
              <w:rPr>
                <w:bCs/>
                <w:snapToGrid w:val="0"/>
                <w:sz w:val="18"/>
                <w:szCs w:val="18"/>
              </w:rPr>
            </w:pPr>
            <w:r>
              <w:rPr>
                <w:bCs/>
                <w:snapToGrid w:val="0"/>
                <w:sz w:val="18"/>
                <w:szCs w:val="18"/>
              </w:rPr>
              <w:t>Situation and Policy 1</w:t>
            </w:r>
          </w:p>
        </w:tc>
        <w:tc>
          <w:tcPr>
            <w:tcW w:w="239" w:type="pct"/>
            <w:vAlign w:val="center"/>
          </w:tcPr>
          <w:p>
            <w:pPr>
              <w:spacing w:line="240" w:lineRule="exact"/>
              <w:jc w:val="center"/>
              <w:rPr>
                <w:bCs/>
                <w:sz w:val="18"/>
                <w:szCs w:val="18"/>
              </w:rPr>
            </w:pPr>
            <w:r>
              <w:rPr>
                <w:bCs/>
                <w:sz w:val="18"/>
                <w:szCs w:val="18"/>
              </w:rPr>
              <w:t>1</w:t>
            </w:r>
          </w:p>
        </w:tc>
        <w:tc>
          <w:tcPr>
            <w:tcW w:w="387" w:type="pct"/>
            <w:vAlign w:val="center"/>
          </w:tcPr>
          <w:p>
            <w:pPr>
              <w:spacing w:line="240" w:lineRule="exact"/>
              <w:ind w:left="-120" w:leftChars="-50" w:right="-120" w:rightChars="-50"/>
              <w:jc w:val="center"/>
              <w:rPr>
                <w:bCs/>
                <w:sz w:val="18"/>
                <w:szCs w:val="18"/>
              </w:rPr>
            </w:pPr>
            <w:r>
              <w:rPr>
                <w:bCs/>
                <w:sz w:val="18"/>
                <w:szCs w:val="18"/>
              </w:rPr>
              <w:t>16</w:t>
            </w:r>
          </w:p>
        </w:tc>
        <w:tc>
          <w:tcPr>
            <w:tcW w:w="304" w:type="pct"/>
            <w:vAlign w:val="center"/>
          </w:tcPr>
          <w:p>
            <w:pPr>
              <w:spacing w:line="240" w:lineRule="exact"/>
              <w:ind w:left="-120" w:leftChars="-50" w:right="-120" w:rightChars="-50"/>
              <w:jc w:val="center"/>
              <w:rPr>
                <w:bCs/>
                <w:sz w:val="18"/>
                <w:szCs w:val="18"/>
              </w:rPr>
            </w:pPr>
            <w:r>
              <w:rPr>
                <w:bCs/>
                <w:sz w:val="18"/>
                <w:szCs w:val="18"/>
              </w:rPr>
              <w:t>16</w:t>
            </w:r>
          </w:p>
        </w:tc>
        <w:tc>
          <w:tcPr>
            <w:tcW w:w="333" w:type="pct"/>
            <w:vAlign w:val="center"/>
          </w:tcPr>
          <w:p>
            <w:pPr>
              <w:spacing w:line="240" w:lineRule="exact"/>
              <w:ind w:left="-120" w:leftChars="-50" w:right="-120" w:rightChars="-50"/>
              <w:jc w:val="center"/>
              <w:rPr>
                <w:bCs/>
                <w:sz w:val="18"/>
                <w:szCs w:val="18"/>
              </w:rPr>
            </w:pPr>
          </w:p>
        </w:tc>
        <w:tc>
          <w:tcPr>
            <w:tcW w:w="334" w:type="pct"/>
            <w:vAlign w:val="center"/>
          </w:tcPr>
          <w:p>
            <w:pPr>
              <w:spacing w:line="240" w:lineRule="exact"/>
              <w:ind w:left="-120" w:leftChars="-50" w:right="-120" w:rightChars="-50"/>
              <w:jc w:val="center"/>
              <w:rPr>
                <w:bCs/>
                <w:sz w:val="18"/>
                <w:szCs w:val="18"/>
              </w:rPr>
            </w:pPr>
            <w:r>
              <w:rPr>
                <w:bCs/>
                <w:sz w:val="18"/>
                <w:szCs w:val="18"/>
              </w:rPr>
              <w:t>1</w:t>
            </w:r>
          </w:p>
        </w:tc>
        <w:tc>
          <w:tcPr>
            <w:tcW w:w="337" w:type="pct"/>
            <w:vAlign w:val="center"/>
          </w:tcPr>
          <w:p>
            <w:pPr>
              <w:spacing w:line="240" w:lineRule="exact"/>
              <w:jc w:val="center"/>
              <w:rPr>
                <w:bCs/>
                <w:sz w:val="18"/>
                <w:szCs w:val="18"/>
              </w:rPr>
            </w:pPr>
            <w:r>
              <w:rPr>
                <w:bCs/>
                <w:sz w:val="18"/>
                <w:szCs w:val="18"/>
              </w:rPr>
              <w:t>学工</w:t>
            </w:r>
          </w:p>
        </w:tc>
        <w:tc>
          <w:tcPr>
            <w:tcW w:w="361" w:type="pct"/>
            <w:vAlign w:val="center"/>
          </w:tcPr>
          <w:p>
            <w:pPr>
              <w:spacing w:line="240" w:lineRule="exact"/>
              <w:jc w:val="center"/>
              <w:rPr>
                <w:bCs/>
                <w:sz w:val="15"/>
                <w:szCs w:val="15"/>
              </w:rPr>
            </w:pPr>
            <w:r>
              <w:rPr>
                <w:bCs/>
                <w:sz w:val="15"/>
                <w:szCs w:val="15"/>
              </w:rPr>
              <w:t>不收费学分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continue"/>
            <w:tcBorders>
              <w:right w:val="single" w:color="auto" w:sz="4" w:space="0"/>
            </w:tcBorders>
            <w:vAlign w:val="center"/>
          </w:tcPr>
          <w:p>
            <w:pPr>
              <w:spacing w:line="240" w:lineRule="exact"/>
              <w:jc w:val="center"/>
              <w:rPr>
                <w:bCs/>
                <w:spacing w:val="-8"/>
                <w:position w:val="-8"/>
                <w:sz w:val="18"/>
                <w:szCs w:val="18"/>
              </w:rPr>
            </w:pPr>
          </w:p>
        </w:tc>
        <w:tc>
          <w:tcPr>
            <w:tcW w:w="605" w:type="pct"/>
            <w:tcBorders>
              <w:left w:val="single" w:color="auto" w:sz="4" w:space="0"/>
            </w:tcBorders>
            <w:vAlign w:val="center"/>
          </w:tcPr>
          <w:p>
            <w:pPr>
              <w:spacing w:line="240" w:lineRule="exact"/>
              <w:jc w:val="center"/>
              <w:rPr>
                <w:bCs/>
                <w:sz w:val="18"/>
                <w:szCs w:val="18"/>
              </w:rPr>
            </w:pPr>
          </w:p>
        </w:tc>
        <w:tc>
          <w:tcPr>
            <w:tcW w:w="1858" w:type="pct"/>
            <w:vAlign w:val="center"/>
          </w:tcPr>
          <w:p>
            <w:pPr>
              <w:spacing w:line="240" w:lineRule="exact"/>
              <w:rPr>
                <w:bCs/>
                <w:snapToGrid w:val="0"/>
                <w:sz w:val="18"/>
                <w:szCs w:val="18"/>
              </w:rPr>
            </w:pPr>
            <w:r>
              <w:rPr>
                <w:bCs/>
                <w:snapToGrid w:val="0"/>
                <w:sz w:val="18"/>
                <w:szCs w:val="18"/>
              </w:rPr>
              <w:t>形势与政策 2</w:t>
            </w:r>
          </w:p>
          <w:p>
            <w:pPr>
              <w:spacing w:line="240" w:lineRule="exact"/>
              <w:rPr>
                <w:bCs/>
                <w:snapToGrid w:val="0"/>
                <w:sz w:val="18"/>
                <w:szCs w:val="18"/>
              </w:rPr>
            </w:pPr>
            <w:r>
              <w:rPr>
                <w:bCs/>
                <w:snapToGrid w:val="0"/>
                <w:sz w:val="18"/>
                <w:szCs w:val="18"/>
              </w:rPr>
              <w:t>Situation and Policy 2</w:t>
            </w:r>
          </w:p>
        </w:tc>
        <w:tc>
          <w:tcPr>
            <w:tcW w:w="239" w:type="pct"/>
            <w:vAlign w:val="center"/>
          </w:tcPr>
          <w:p>
            <w:pPr>
              <w:spacing w:line="240" w:lineRule="exact"/>
              <w:jc w:val="center"/>
              <w:rPr>
                <w:bCs/>
                <w:sz w:val="18"/>
                <w:szCs w:val="18"/>
              </w:rPr>
            </w:pPr>
            <w:r>
              <w:rPr>
                <w:bCs/>
                <w:sz w:val="18"/>
                <w:szCs w:val="18"/>
              </w:rPr>
              <w:t>1</w:t>
            </w:r>
          </w:p>
        </w:tc>
        <w:tc>
          <w:tcPr>
            <w:tcW w:w="387" w:type="pct"/>
            <w:vAlign w:val="center"/>
          </w:tcPr>
          <w:p>
            <w:pPr>
              <w:spacing w:line="240" w:lineRule="exact"/>
              <w:ind w:left="-120" w:leftChars="-50" w:right="-120" w:rightChars="-50"/>
              <w:jc w:val="center"/>
              <w:rPr>
                <w:bCs/>
                <w:sz w:val="18"/>
                <w:szCs w:val="18"/>
              </w:rPr>
            </w:pPr>
            <w:r>
              <w:rPr>
                <w:bCs/>
                <w:sz w:val="18"/>
                <w:szCs w:val="18"/>
              </w:rPr>
              <w:t>16</w:t>
            </w:r>
          </w:p>
        </w:tc>
        <w:tc>
          <w:tcPr>
            <w:tcW w:w="304" w:type="pct"/>
            <w:vAlign w:val="center"/>
          </w:tcPr>
          <w:p>
            <w:pPr>
              <w:spacing w:line="240" w:lineRule="exact"/>
              <w:ind w:left="-120" w:leftChars="-50" w:right="-120" w:rightChars="-50"/>
              <w:jc w:val="center"/>
              <w:rPr>
                <w:bCs/>
                <w:sz w:val="18"/>
                <w:szCs w:val="18"/>
              </w:rPr>
            </w:pPr>
            <w:r>
              <w:rPr>
                <w:bCs/>
                <w:sz w:val="18"/>
                <w:szCs w:val="18"/>
              </w:rPr>
              <w:t>8</w:t>
            </w:r>
          </w:p>
        </w:tc>
        <w:tc>
          <w:tcPr>
            <w:tcW w:w="333" w:type="pct"/>
            <w:vAlign w:val="center"/>
          </w:tcPr>
          <w:p>
            <w:pPr>
              <w:spacing w:line="240" w:lineRule="exact"/>
              <w:ind w:left="-120" w:leftChars="-50" w:right="-120" w:rightChars="-50"/>
              <w:jc w:val="center"/>
              <w:rPr>
                <w:bCs/>
                <w:sz w:val="18"/>
                <w:szCs w:val="18"/>
              </w:rPr>
            </w:pPr>
            <w:r>
              <w:rPr>
                <w:bCs/>
                <w:sz w:val="18"/>
                <w:szCs w:val="18"/>
              </w:rPr>
              <w:t>8</w:t>
            </w:r>
          </w:p>
        </w:tc>
        <w:tc>
          <w:tcPr>
            <w:tcW w:w="334" w:type="pct"/>
            <w:vAlign w:val="center"/>
          </w:tcPr>
          <w:p>
            <w:pPr>
              <w:spacing w:line="240" w:lineRule="exact"/>
              <w:ind w:left="-120" w:leftChars="-50" w:right="-120" w:rightChars="-50"/>
              <w:jc w:val="center"/>
              <w:rPr>
                <w:bCs/>
                <w:sz w:val="18"/>
                <w:szCs w:val="18"/>
              </w:rPr>
            </w:pPr>
            <w:r>
              <w:rPr>
                <w:bCs/>
                <w:sz w:val="18"/>
                <w:szCs w:val="18"/>
              </w:rPr>
              <w:t>2</w:t>
            </w:r>
          </w:p>
        </w:tc>
        <w:tc>
          <w:tcPr>
            <w:tcW w:w="337" w:type="pct"/>
            <w:vAlign w:val="center"/>
          </w:tcPr>
          <w:p>
            <w:pPr>
              <w:spacing w:line="240" w:lineRule="exact"/>
              <w:jc w:val="center"/>
              <w:rPr>
                <w:bCs/>
                <w:sz w:val="18"/>
                <w:szCs w:val="18"/>
              </w:rPr>
            </w:pPr>
            <w:r>
              <w:rPr>
                <w:bCs/>
                <w:sz w:val="18"/>
                <w:szCs w:val="18"/>
              </w:rPr>
              <w:t>学工</w:t>
            </w:r>
          </w:p>
        </w:tc>
        <w:tc>
          <w:tcPr>
            <w:tcW w:w="361" w:type="pct"/>
            <w:vAlign w:val="center"/>
          </w:tcPr>
          <w:p>
            <w:pPr>
              <w:spacing w:line="240" w:lineRule="exact"/>
              <w:jc w:val="center"/>
              <w:rPr>
                <w:bCs/>
                <w:sz w:val="15"/>
                <w:szCs w:val="15"/>
              </w:rPr>
            </w:pPr>
            <w:r>
              <w:rPr>
                <w:bCs/>
                <w:sz w:val="15"/>
                <w:szCs w:val="15"/>
              </w:rPr>
              <w:t>不收费学分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continue"/>
            <w:tcBorders>
              <w:right w:val="single" w:color="auto" w:sz="4" w:space="0"/>
            </w:tcBorders>
            <w:vAlign w:val="center"/>
          </w:tcPr>
          <w:p>
            <w:pPr>
              <w:spacing w:line="240" w:lineRule="exact"/>
              <w:jc w:val="center"/>
              <w:rPr>
                <w:bCs/>
                <w:spacing w:val="-8"/>
                <w:position w:val="-8"/>
                <w:sz w:val="18"/>
                <w:szCs w:val="18"/>
              </w:rPr>
            </w:pPr>
          </w:p>
        </w:tc>
        <w:tc>
          <w:tcPr>
            <w:tcW w:w="605" w:type="pct"/>
            <w:tcBorders>
              <w:left w:val="single" w:color="auto" w:sz="4" w:space="0"/>
            </w:tcBorders>
            <w:vAlign w:val="center"/>
          </w:tcPr>
          <w:p>
            <w:pPr>
              <w:spacing w:line="240" w:lineRule="exact"/>
              <w:jc w:val="center"/>
              <w:rPr>
                <w:bCs/>
                <w:sz w:val="18"/>
                <w:szCs w:val="18"/>
              </w:rPr>
            </w:pPr>
          </w:p>
        </w:tc>
        <w:tc>
          <w:tcPr>
            <w:tcW w:w="1858" w:type="pct"/>
            <w:vAlign w:val="center"/>
          </w:tcPr>
          <w:p>
            <w:pPr>
              <w:spacing w:line="240" w:lineRule="exact"/>
              <w:rPr>
                <w:bCs/>
                <w:sz w:val="18"/>
                <w:szCs w:val="18"/>
              </w:rPr>
            </w:pPr>
            <w:r>
              <w:rPr>
                <w:bCs/>
                <w:sz w:val="18"/>
                <w:szCs w:val="18"/>
              </w:rPr>
              <w:t xml:space="preserve">计算机文化基础 </w:t>
            </w:r>
          </w:p>
          <w:p>
            <w:pPr>
              <w:spacing w:line="240" w:lineRule="exact"/>
              <w:rPr>
                <w:bCs/>
                <w:sz w:val="18"/>
                <w:szCs w:val="18"/>
              </w:rPr>
            </w:pPr>
            <w:r>
              <w:rPr>
                <w:color w:val="000000"/>
                <w:sz w:val="18"/>
                <w:szCs w:val="18"/>
              </w:rPr>
              <w:t>Introduction to Computer Culture</w:t>
            </w:r>
          </w:p>
        </w:tc>
        <w:tc>
          <w:tcPr>
            <w:tcW w:w="239" w:type="pct"/>
            <w:vAlign w:val="center"/>
          </w:tcPr>
          <w:p>
            <w:pPr>
              <w:spacing w:line="240" w:lineRule="exact"/>
              <w:jc w:val="center"/>
              <w:rPr>
                <w:bCs/>
                <w:sz w:val="18"/>
                <w:szCs w:val="18"/>
              </w:rPr>
            </w:pPr>
            <w:r>
              <w:rPr>
                <w:bCs/>
                <w:sz w:val="18"/>
                <w:szCs w:val="18"/>
              </w:rPr>
              <w:t>1.5</w:t>
            </w:r>
          </w:p>
        </w:tc>
        <w:tc>
          <w:tcPr>
            <w:tcW w:w="387" w:type="pct"/>
            <w:vAlign w:val="center"/>
          </w:tcPr>
          <w:p>
            <w:pPr>
              <w:spacing w:line="240" w:lineRule="exact"/>
              <w:ind w:left="-120" w:leftChars="-50" w:right="-120" w:rightChars="-50"/>
              <w:jc w:val="center"/>
              <w:rPr>
                <w:bCs/>
                <w:sz w:val="18"/>
                <w:szCs w:val="18"/>
              </w:rPr>
            </w:pPr>
            <w:r>
              <w:rPr>
                <w:bCs/>
                <w:sz w:val="18"/>
                <w:szCs w:val="18"/>
              </w:rPr>
              <w:t>24</w:t>
            </w:r>
          </w:p>
        </w:tc>
        <w:tc>
          <w:tcPr>
            <w:tcW w:w="304" w:type="pct"/>
            <w:vAlign w:val="center"/>
          </w:tcPr>
          <w:p>
            <w:pPr>
              <w:spacing w:line="240" w:lineRule="exact"/>
              <w:ind w:left="-120" w:leftChars="-50" w:right="-120" w:rightChars="-50"/>
              <w:jc w:val="center"/>
              <w:rPr>
                <w:bCs/>
                <w:sz w:val="18"/>
                <w:szCs w:val="18"/>
              </w:rPr>
            </w:pPr>
            <w:r>
              <w:rPr>
                <w:bCs/>
                <w:sz w:val="18"/>
                <w:szCs w:val="18"/>
              </w:rPr>
              <w:t>24</w:t>
            </w:r>
          </w:p>
        </w:tc>
        <w:tc>
          <w:tcPr>
            <w:tcW w:w="333" w:type="pct"/>
            <w:vAlign w:val="center"/>
          </w:tcPr>
          <w:p>
            <w:pPr>
              <w:spacing w:line="240" w:lineRule="exact"/>
              <w:ind w:left="-120" w:leftChars="-50" w:right="-120" w:rightChars="-50"/>
              <w:jc w:val="center"/>
              <w:rPr>
                <w:bCs/>
                <w:sz w:val="18"/>
                <w:szCs w:val="18"/>
              </w:rPr>
            </w:pPr>
          </w:p>
        </w:tc>
        <w:tc>
          <w:tcPr>
            <w:tcW w:w="334" w:type="pct"/>
            <w:vAlign w:val="center"/>
          </w:tcPr>
          <w:p>
            <w:pPr>
              <w:spacing w:line="240" w:lineRule="exact"/>
              <w:ind w:left="-120" w:leftChars="-50" w:right="-120" w:rightChars="-50"/>
              <w:jc w:val="center"/>
              <w:rPr>
                <w:bCs/>
                <w:sz w:val="18"/>
                <w:szCs w:val="18"/>
              </w:rPr>
            </w:pPr>
            <w:r>
              <w:rPr>
                <w:bCs/>
                <w:sz w:val="18"/>
                <w:szCs w:val="18"/>
              </w:rPr>
              <w:t>1</w:t>
            </w:r>
          </w:p>
        </w:tc>
        <w:tc>
          <w:tcPr>
            <w:tcW w:w="337" w:type="pct"/>
            <w:vAlign w:val="center"/>
          </w:tcPr>
          <w:p>
            <w:pPr>
              <w:spacing w:line="240" w:lineRule="exact"/>
              <w:jc w:val="center"/>
              <w:rPr>
                <w:bCs/>
                <w:sz w:val="18"/>
                <w:szCs w:val="18"/>
              </w:rPr>
            </w:pPr>
            <w:r>
              <w:rPr>
                <w:bCs/>
                <w:sz w:val="18"/>
                <w:szCs w:val="18"/>
              </w:rPr>
              <w:t>信息</w:t>
            </w:r>
          </w:p>
        </w:tc>
        <w:tc>
          <w:tcPr>
            <w:tcW w:w="361" w:type="pct"/>
            <w:vAlign w:val="center"/>
          </w:tcPr>
          <w:p>
            <w:pPr>
              <w:spacing w:line="240" w:lineRule="exact"/>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continue"/>
            <w:tcBorders>
              <w:right w:val="single" w:color="auto" w:sz="4" w:space="0"/>
            </w:tcBorders>
            <w:vAlign w:val="center"/>
          </w:tcPr>
          <w:p>
            <w:pPr>
              <w:spacing w:line="240" w:lineRule="exact"/>
              <w:jc w:val="center"/>
              <w:rPr>
                <w:bCs/>
                <w:spacing w:val="-8"/>
                <w:position w:val="-8"/>
                <w:sz w:val="18"/>
                <w:szCs w:val="18"/>
              </w:rPr>
            </w:pPr>
          </w:p>
        </w:tc>
        <w:tc>
          <w:tcPr>
            <w:tcW w:w="605" w:type="pct"/>
            <w:tcBorders>
              <w:left w:val="single" w:color="auto" w:sz="4" w:space="0"/>
            </w:tcBorders>
            <w:vAlign w:val="center"/>
          </w:tcPr>
          <w:p>
            <w:pPr>
              <w:spacing w:line="240" w:lineRule="exact"/>
              <w:jc w:val="center"/>
              <w:rPr>
                <w:bCs/>
                <w:sz w:val="18"/>
                <w:szCs w:val="18"/>
              </w:rPr>
            </w:pPr>
          </w:p>
        </w:tc>
        <w:tc>
          <w:tcPr>
            <w:tcW w:w="1858" w:type="pct"/>
            <w:vAlign w:val="center"/>
          </w:tcPr>
          <w:p>
            <w:pPr>
              <w:spacing w:line="240" w:lineRule="exact"/>
              <w:rPr>
                <w:bCs/>
                <w:sz w:val="18"/>
                <w:szCs w:val="18"/>
              </w:rPr>
            </w:pPr>
            <w:r>
              <w:rPr>
                <w:bCs/>
                <w:sz w:val="18"/>
                <w:szCs w:val="18"/>
              </w:rPr>
              <w:t xml:space="preserve">计算机文化基础实验 </w:t>
            </w:r>
          </w:p>
          <w:p>
            <w:pPr>
              <w:spacing w:line="240" w:lineRule="exact"/>
              <w:rPr>
                <w:bCs/>
                <w:sz w:val="18"/>
                <w:szCs w:val="18"/>
              </w:rPr>
            </w:pPr>
            <w:r>
              <w:rPr>
                <w:color w:val="000000"/>
                <w:sz w:val="18"/>
                <w:szCs w:val="18"/>
              </w:rPr>
              <w:t>Introduction Experiment to Computer Culture</w:t>
            </w:r>
          </w:p>
        </w:tc>
        <w:tc>
          <w:tcPr>
            <w:tcW w:w="239" w:type="pct"/>
            <w:vAlign w:val="center"/>
          </w:tcPr>
          <w:p>
            <w:pPr>
              <w:spacing w:line="240" w:lineRule="exact"/>
              <w:jc w:val="center"/>
              <w:rPr>
                <w:bCs/>
                <w:sz w:val="18"/>
                <w:szCs w:val="18"/>
              </w:rPr>
            </w:pPr>
            <w:r>
              <w:rPr>
                <w:bCs/>
                <w:sz w:val="18"/>
                <w:szCs w:val="18"/>
              </w:rPr>
              <w:t>0.5</w:t>
            </w:r>
          </w:p>
        </w:tc>
        <w:tc>
          <w:tcPr>
            <w:tcW w:w="387" w:type="pct"/>
            <w:vAlign w:val="center"/>
          </w:tcPr>
          <w:p>
            <w:pPr>
              <w:spacing w:line="240" w:lineRule="exact"/>
              <w:ind w:left="-120" w:leftChars="-50" w:right="-120" w:rightChars="-50"/>
              <w:jc w:val="center"/>
              <w:rPr>
                <w:bCs/>
                <w:sz w:val="18"/>
                <w:szCs w:val="18"/>
              </w:rPr>
            </w:pPr>
            <w:r>
              <w:rPr>
                <w:bCs/>
                <w:sz w:val="18"/>
                <w:szCs w:val="18"/>
              </w:rPr>
              <w:t>16</w:t>
            </w:r>
          </w:p>
        </w:tc>
        <w:tc>
          <w:tcPr>
            <w:tcW w:w="304" w:type="pct"/>
            <w:vAlign w:val="center"/>
          </w:tcPr>
          <w:p>
            <w:pPr>
              <w:spacing w:line="240" w:lineRule="exact"/>
              <w:ind w:left="-120" w:leftChars="-50" w:right="-120" w:rightChars="-50"/>
              <w:jc w:val="center"/>
              <w:rPr>
                <w:bCs/>
                <w:sz w:val="18"/>
                <w:szCs w:val="18"/>
              </w:rPr>
            </w:pPr>
          </w:p>
        </w:tc>
        <w:tc>
          <w:tcPr>
            <w:tcW w:w="333" w:type="pct"/>
            <w:vAlign w:val="center"/>
          </w:tcPr>
          <w:p>
            <w:pPr>
              <w:spacing w:line="240" w:lineRule="exact"/>
              <w:ind w:left="-120" w:leftChars="-50" w:right="-120" w:rightChars="-50"/>
              <w:jc w:val="center"/>
              <w:rPr>
                <w:bCs/>
                <w:sz w:val="18"/>
                <w:szCs w:val="18"/>
              </w:rPr>
            </w:pPr>
            <w:r>
              <w:rPr>
                <w:bCs/>
                <w:sz w:val="18"/>
                <w:szCs w:val="18"/>
              </w:rPr>
              <w:t>16</w:t>
            </w:r>
          </w:p>
        </w:tc>
        <w:tc>
          <w:tcPr>
            <w:tcW w:w="334" w:type="pct"/>
            <w:vAlign w:val="center"/>
          </w:tcPr>
          <w:p>
            <w:pPr>
              <w:spacing w:line="240" w:lineRule="exact"/>
              <w:ind w:left="-120" w:leftChars="-50" w:right="-120" w:rightChars="-50"/>
              <w:jc w:val="center"/>
              <w:rPr>
                <w:bCs/>
                <w:sz w:val="18"/>
                <w:szCs w:val="18"/>
              </w:rPr>
            </w:pPr>
            <w:r>
              <w:rPr>
                <w:bCs/>
                <w:sz w:val="18"/>
                <w:szCs w:val="18"/>
              </w:rPr>
              <w:t>1</w:t>
            </w:r>
          </w:p>
        </w:tc>
        <w:tc>
          <w:tcPr>
            <w:tcW w:w="337" w:type="pct"/>
            <w:vAlign w:val="center"/>
          </w:tcPr>
          <w:p>
            <w:pPr>
              <w:spacing w:line="240" w:lineRule="exact"/>
              <w:jc w:val="center"/>
              <w:rPr>
                <w:bCs/>
                <w:sz w:val="18"/>
                <w:szCs w:val="18"/>
              </w:rPr>
            </w:pPr>
            <w:r>
              <w:rPr>
                <w:bCs/>
                <w:sz w:val="18"/>
                <w:szCs w:val="18"/>
              </w:rPr>
              <w:t>信息</w:t>
            </w:r>
          </w:p>
        </w:tc>
        <w:tc>
          <w:tcPr>
            <w:tcW w:w="361" w:type="pct"/>
            <w:vAlign w:val="center"/>
          </w:tcPr>
          <w:p>
            <w:pPr>
              <w:spacing w:line="240" w:lineRule="exact"/>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continue"/>
            <w:tcBorders>
              <w:right w:val="single" w:color="auto" w:sz="4" w:space="0"/>
            </w:tcBorders>
            <w:vAlign w:val="center"/>
          </w:tcPr>
          <w:p>
            <w:pPr>
              <w:spacing w:line="240" w:lineRule="exact"/>
              <w:jc w:val="center"/>
              <w:rPr>
                <w:bCs/>
                <w:spacing w:val="-8"/>
                <w:position w:val="-8"/>
                <w:sz w:val="18"/>
                <w:szCs w:val="18"/>
              </w:rPr>
            </w:pPr>
          </w:p>
        </w:tc>
        <w:tc>
          <w:tcPr>
            <w:tcW w:w="605" w:type="pct"/>
            <w:tcBorders>
              <w:left w:val="single" w:color="auto" w:sz="4" w:space="0"/>
            </w:tcBorders>
            <w:vAlign w:val="center"/>
          </w:tcPr>
          <w:p>
            <w:pPr>
              <w:spacing w:line="240" w:lineRule="exact"/>
              <w:jc w:val="center"/>
              <w:rPr>
                <w:bCs/>
                <w:sz w:val="18"/>
                <w:szCs w:val="18"/>
              </w:rPr>
            </w:pPr>
          </w:p>
        </w:tc>
        <w:tc>
          <w:tcPr>
            <w:tcW w:w="1858" w:type="pct"/>
            <w:vAlign w:val="center"/>
          </w:tcPr>
          <w:p>
            <w:pPr>
              <w:spacing w:line="240" w:lineRule="exact"/>
              <w:rPr>
                <w:bCs/>
                <w:sz w:val="18"/>
                <w:szCs w:val="18"/>
              </w:rPr>
            </w:pPr>
            <w:r>
              <w:rPr>
                <w:bCs/>
                <w:sz w:val="18"/>
                <w:szCs w:val="18"/>
              </w:rPr>
              <w:t>普通体育课1</w:t>
            </w:r>
          </w:p>
          <w:p>
            <w:pPr>
              <w:spacing w:line="240" w:lineRule="exact"/>
              <w:rPr>
                <w:bCs/>
                <w:sz w:val="18"/>
                <w:szCs w:val="18"/>
              </w:rPr>
            </w:pPr>
            <w:r>
              <w:rPr>
                <w:color w:val="000000"/>
                <w:sz w:val="18"/>
                <w:szCs w:val="18"/>
              </w:rPr>
              <w:t>General P.E.1</w:t>
            </w:r>
          </w:p>
        </w:tc>
        <w:tc>
          <w:tcPr>
            <w:tcW w:w="239" w:type="pct"/>
            <w:vAlign w:val="center"/>
          </w:tcPr>
          <w:p>
            <w:pPr>
              <w:spacing w:line="240" w:lineRule="exact"/>
              <w:jc w:val="center"/>
              <w:rPr>
                <w:bCs/>
                <w:sz w:val="18"/>
                <w:szCs w:val="18"/>
              </w:rPr>
            </w:pPr>
            <w:r>
              <w:rPr>
                <w:bCs/>
                <w:sz w:val="18"/>
                <w:szCs w:val="18"/>
              </w:rPr>
              <w:t>1</w:t>
            </w:r>
          </w:p>
        </w:tc>
        <w:tc>
          <w:tcPr>
            <w:tcW w:w="387" w:type="pct"/>
            <w:vAlign w:val="center"/>
          </w:tcPr>
          <w:p>
            <w:pPr>
              <w:spacing w:line="240" w:lineRule="exact"/>
              <w:ind w:left="-120" w:leftChars="-50" w:right="-120" w:rightChars="-50"/>
              <w:jc w:val="center"/>
              <w:rPr>
                <w:bCs/>
                <w:sz w:val="18"/>
                <w:szCs w:val="18"/>
              </w:rPr>
            </w:pPr>
            <w:r>
              <w:rPr>
                <w:bCs/>
                <w:sz w:val="18"/>
                <w:szCs w:val="18"/>
              </w:rPr>
              <w:t>32</w:t>
            </w:r>
          </w:p>
        </w:tc>
        <w:tc>
          <w:tcPr>
            <w:tcW w:w="304" w:type="pct"/>
            <w:vAlign w:val="center"/>
          </w:tcPr>
          <w:p>
            <w:pPr>
              <w:spacing w:line="240" w:lineRule="exact"/>
              <w:ind w:left="-120" w:leftChars="-50" w:right="-120" w:rightChars="-50"/>
              <w:jc w:val="center"/>
              <w:rPr>
                <w:bCs/>
                <w:sz w:val="18"/>
                <w:szCs w:val="18"/>
              </w:rPr>
            </w:pPr>
            <w:r>
              <w:rPr>
                <w:bCs/>
                <w:sz w:val="18"/>
                <w:szCs w:val="18"/>
              </w:rPr>
              <w:t>32</w:t>
            </w:r>
          </w:p>
        </w:tc>
        <w:tc>
          <w:tcPr>
            <w:tcW w:w="333" w:type="pct"/>
            <w:vAlign w:val="center"/>
          </w:tcPr>
          <w:p>
            <w:pPr>
              <w:spacing w:line="240" w:lineRule="exact"/>
              <w:ind w:left="-120" w:leftChars="-50" w:right="-120" w:rightChars="-50"/>
              <w:jc w:val="center"/>
              <w:rPr>
                <w:bCs/>
                <w:sz w:val="18"/>
                <w:szCs w:val="18"/>
              </w:rPr>
            </w:pPr>
          </w:p>
        </w:tc>
        <w:tc>
          <w:tcPr>
            <w:tcW w:w="334" w:type="pct"/>
            <w:vAlign w:val="center"/>
          </w:tcPr>
          <w:p>
            <w:pPr>
              <w:spacing w:line="240" w:lineRule="exact"/>
              <w:ind w:left="-120" w:leftChars="-50" w:right="-120" w:rightChars="-50"/>
              <w:jc w:val="center"/>
              <w:rPr>
                <w:bCs/>
                <w:sz w:val="18"/>
                <w:szCs w:val="18"/>
              </w:rPr>
            </w:pPr>
            <w:r>
              <w:rPr>
                <w:bCs/>
                <w:sz w:val="18"/>
                <w:szCs w:val="18"/>
              </w:rPr>
              <w:t>1</w:t>
            </w:r>
          </w:p>
        </w:tc>
        <w:tc>
          <w:tcPr>
            <w:tcW w:w="337" w:type="pct"/>
            <w:vAlign w:val="center"/>
          </w:tcPr>
          <w:p>
            <w:pPr>
              <w:spacing w:line="240" w:lineRule="exact"/>
              <w:jc w:val="center"/>
              <w:rPr>
                <w:bCs/>
                <w:sz w:val="18"/>
                <w:szCs w:val="18"/>
              </w:rPr>
            </w:pPr>
            <w:r>
              <w:rPr>
                <w:bCs/>
                <w:sz w:val="18"/>
                <w:szCs w:val="18"/>
              </w:rPr>
              <w:t>体育</w:t>
            </w:r>
          </w:p>
        </w:tc>
        <w:tc>
          <w:tcPr>
            <w:tcW w:w="361" w:type="pct"/>
            <w:vAlign w:val="center"/>
          </w:tcPr>
          <w:p>
            <w:pPr>
              <w:spacing w:line="240" w:lineRule="exact"/>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continue"/>
            <w:tcBorders>
              <w:right w:val="single" w:color="auto" w:sz="4" w:space="0"/>
            </w:tcBorders>
            <w:vAlign w:val="center"/>
          </w:tcPr>
          <w:p>
            <w:pPr>
              <w:spacing w:line="240" w:lineRule="exact"/>
              <w:jc w:val="center"/>
              <w:rPr>
                <w:bCs/>
                <w:spacing w:val="-8"/>
                <w:position w:val="-8"/>
                <w:sz w:val="18"/>
                <w:szCs w:val="18"/>
              </w:rPr>
            </w:pPr>
          </w:p>
        </w:tc>
        <w:tc>
          <w:tcPr>
            <w:tcW w:w="605" w:type="pct"/>
            <w:tcBorders>
              <w:left w:val="single" w:color="auto" w:sz="4" w:space="0"/>
            </w:tcBorders>
            <w:vAlign w:val="center"/>
          </w:tcPr>
          <w:p>
            <w:pPr>
              <w:spacing w:line="240" w:lineRule="exact"/>
              <w:jc w:val="center"/>
              <w:rPr>
                <w:bCs/>
                <w:sz w:val="18"/>
                <w:szCs w:val="18"/>
              </w:rPr>
            </w:pPr>
          </w:p>
        </w:tc>
        <w:tc>
          <w:tcPr>
            <w:tcW w:w="1858" w:type="pct"/>
            <w:vAlign w:val="center"/>
          </w:tcPr>
          <w:p>
            <w:pPr>
              <w:spacing w:line="240" w:lineRule="exact"/>
              <w:rPr>
                <w:bCs/>
                <w:sz w:val="18"/>
                <w:szCs w:val="18"/>
              </w:rPr>
            </w:pPr>
            <w:r>
              <w:rPr>
                <w:bCs/>
                <w:sz w:val="18"/>
                <w:szCs w:val="18"/>
              </w:rPr>
              <w:t>普通体育课2</w:t>
            </w:r>
          </w:p>
          <w:p>
            <w:pPr>
              <w:spacing w:line="240" w:lineRule="exact"/>
              <w:rPr>
                <w:bCs/>
                <w:sz w:val="18"/>
                <w:szCs w:val="18"/>
              </w:rPr>
            </w:pPr>
            <w:r>
              <w:rPr>
                <w:color w:val="000000"/>
                <w:sz w:val="18"/>
                <w:szCs w:val="18"/>
              </w:rPr>
              <w:t>General P.E.2</w:t>
            </w:r>
          </w:p>
        </w:tc>
        <w:tc>
          <w:tcPr>
            <w:tcW w:w="239" w:type="pct"/>
            <w:vAlign w:val="center"/>
          </w:tcPr>
          <w:p>
            <w:pPr>
              <w:spacing w:line="240" w:lineRule="exact"/>
              <w:jc w:val="center"/>
              <w:rPr>
                <w:bCs/>
                <w:sz w:val="18"/>
                <w:szCs w:val="18"/>
              </w:rPr>
            </w:pPr>
            <w:r>
              <w:rPr>
                <w:bCs/>
                <w:sz w:val="18"/>
                <w:szCs w:val="18"/>
              </w:rPr>
              <w:t>1</w:t>
            </w:r>
          </w:p>
        </w:tc>
        <w:tc>
          <w:tcPr>
            <w:tcW w:w="387" w:type="pct"/>
            <w:vAlign w:val="center"/>
          </w:tcPr>
          <w:p>
            <w:pPr>
              <w:spacing w:line="240" w:lineRule="exact"/>
              <w:ind w:left="-120" w:leftChars="-50" w:right="-120" w:rightChars="-50"/>
              <w:jc w:val="center"/>
              <w:rPr>
                <w:bCs/>
                <w:sz w:val="18"/>
                <w:szCs w:val="18"/>
              </w:rPr>
            </w:pPr>
            <w:r>
              <w:rPr>
                <w:bCs/>
                <w:sz w:val="18"/>
                <w:szCs w:val="18"/>
              </w:rPr>
              <w:t>32</w:t>
            </w:r>
          </w:p>
        </w:tc>
        <w:tc>
          <w:tcPr>
            <w:tcW w:w="304" w:type="pct"/>
            <w:vAlign w:val="center"/>
          </w:tcPr>
          <w:p>
            <w:pPr>
              <w:spacing w:line="240" w:lineRule="exact"/>
              <w:ind w:left="-120" w:leftChars="-50" w:right="-120" w:rightChars="-50"/>
              <w:jc w:val="center"/>
              <w:rPr>
                <w:bCs/>
                <w:sz w:val="18"/>
                <w:szCs w:val="18"/>
              </w:rPr>
            </w:pPr>
            <w:r>
              <w:rPr>
                <w:bCs/>
                <w:sz w:val="18"/>
                <w:szCs w:val="18"/>
              </w:rPr>
              <w:t>32</w:t>
            </w:r>
          </w:p>
        </w:tc>
        <w:tc>
          <w:tcPr>
            <w:tcW w:w="333" w:type="pct"/>
            <w:vAlign w:val="center"/>
          </w:tcPr>
          <w:p>
            <w:pPr>
              <w:spacing w:line="240" w:lineRule="exact"/>
              <w:ind w:left="-120" w:leftChars="-50" w:right="-120" w:rightChars="-50"/>
              <w:jc w:val="center"/>
              <w:rPr>
                <w:bCs/>
                <w:sz w:val="18"/>
                <w:szCs w:val="18"/>
              </w:rPr>
            </w:pPr>
          </w:p>
        </w:tc>
        <w:tc>
          <w:tcPr>
            <w:tcW w:w="334" w:type="pct"/>
            <w:vAlign w:val="center"/>
          </w:tcPr>
          <w:p>
            <w:pPr>
              <w:spacing w:line="240" w:lineRule="exact"/>
              <w:ind w:left="-120" w:leftChars="-50" w:right="-120" w:rightChars="-50"/>
              <w:jc w:val="center"/>
              <w:rPr>
                <w:bCs/>
                <w:sz w:val="18"/>
                <w:szCs w:val="18"/>
              </w:rPr>
            </w:pPr>
            <w:r>
              <w:rPr>
                <w:bCs/>
                <w:sz w:val="18"/>
                <w:szCs w:val="18"/>
              </w:rPr>
              <w:t>2</w:t>
            </w:r>
          </w:p>
        </w:tc>
        <w:tc>
          <w:tcPr>
            <w:tcW w:w="337" w:type="pct"/>
            <w:vAlign w:val="center"/>
          </w:tcPr>
          <w:p>
            <w:pPr>
              <w:spacing w:line="240" w:lineRule="exact"/>
              <w:jc w:val="center"/>
              <w:rPr>
                <w:bCs/>
                <w:sz w:val="18"/>
                <w:szCs w:val="18"/>
              </w:rPr>
            </w:pPr>
            <w:r>
              <w:rPr>
                <w:bCs/>
                <w:sz w:val="18"/>
                <w:szCs w:val="18"/>
              </w:rPr>
              <w:t>体育</w:t>
            </w:r>
          </w:p>
        </w:tc>
        <w:tc>
          <w:tcPr>
            <w:tcW w:w="361" w:type="pct"/>
            <w:vAlign w:val="center"/>
          </w:tcPr>
          <w:p>
            <w:pPr>
              <w:spacing w:line="240" w:lineRule="exact"/>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69" w:hRule="atLeast"/>
          <w:jc w:val="center"/>
        </w:trPr>
        <w:tc>
          <w:tcPr>
            <w:tcW w:w="237" w:type="pct"/>
            <w:vMerge w:val="continue"/>
            <w:tcBorders>
              <w:right w:val="single" w:color="auto" w:sz="4" w:space="0"/>
            </w:tcBorders>
            <w:vAlign w:val="center"/>
          </w:tcPr>
          <w:p>
            <w:pPr>
              <w:spacing w:line="240" w:lineRule="exact"/>
              <w:jc w:val="center"/>
              <w:rPr>
                <w:bCs/>
                <w:spacing w:val="-8"/>
                <w:position w:val="-8"/>
                <w:sz w:val="18"/>
                <w:szCs w:val="18"/>
              </w:rPr>
            </w:pPr>
          </w:p>
        </w:tc>
        <w:tc>
          <w:tcPr>
            <w:tcW w:w="2463" w:type="pct"/>
            <w:gridSpan w:val="2"/>
            <w:tcBorders>
              <w:left w:val="single" w:color="auto" w:sz="4" w:space="0"/>
            </w:tcBorders>
            <w:vAlign w:val="center"/>
          </w:tcPr>
          <w:p>
            <w:pPr>
              <w:spacing w:line="240" w:lineRule="exact"/>
              <w:jc w:val="center"/>
              <w:rPr>
                <w:bCs/>
                <w:sz w:val="18"/>
                <w:szCs w:val="18"/>
              </w:rPr>
            </w:pPr>
            <w:r>
              <w:rPr>
                <w:bCs/>
                <w:sz w:val="18"/>
                <w:szCs w:val="18"/>
              </w:rPr>
              <w:t>学分小计</w:t>
            </w:r>
          </w:p>
        </w:tc>
        <w:tc>
          <w:tcPr>
            <w:tcW w:w="2298" w:type="pct"/>
            <w:gridSpan w:val="7"/>
            <w:vAlign w:val="center"/>
          </w:tcPr>
          <w:p>
            <w:pPr>
              <w:spacing w:line="240" w:lineRule="exact"/>
              <w:jc w:val="center"/>
              <w:rPr>
                <w:bCs/>
                <w:sz w:val="18"/>
                <w:szCs w:val="18"/>
              </w:rPr>
            </w:pPr>
            <w:r>
              <w:rPr>
                <w:bCs/>
                <w:sz w:val="18"/>
                <w:szCs w:val="18"/>
              </w:rPr>
              <w:t>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90" w:hRule="atLeast"/>
          <w:jc w:val="center"/>
        </w:trPr>
        <w:tc>
          <w:tcPr>
            <w:tcW w:w="237" w:type="pct"/>
            <w:vMerge w:val="restart"/>
            <w:tcBorders>
              <w:right w:val="single" w:color="auto" w:sz="4" w:space="0"/>
            </w:tcBorders>
            <w:vAlign w:val="center"/>
          </w:tcPr>
          <w:p>
            <w:pPr>
              <w:spacing w:line="240" w:lineRule="exact"/>
              <w:jc w:val="center"/>
              <w:rPr>
                <w:bCs/>
                <w:sz w:val="18"/>
                <w:szCs w:val="18"/>
              </w:rPr>
            </w:pPr>
            <w:r>
              <w:rPr>
                <w:bCs/>
                <w:sz w:val="18"/>
                <w:szCs w:val="18"/>
              </w:rPr>
              <w:t>通识选修课</w:t>
            </w:r>
          </w:p>
        </w:tc>
        <w:tc>
          <w:tcPr>
            <w:tcW w:w="2463" w:type="pct"/>
            <w:gridSpan w:val="2"/>
            <w:tcBorders>
              <w:left w:val="single" w:color="auto" w:sz="4" w:space="0"/>
            </w:tcBorders>
            <w:vAlign w:val="center"/>
          </w:tcPr>
          <w:p>
            <w:pPr>
              <w:spacing w:line="240" w:lineRule="auto"/>
              <w:jc w:val="center"/>
              <w:rPr>
                <w:b/>
                <w:bCs/>
                <w:spacing w:val="-8"/>
                <w:position w:val="-8"/>
                <w:sz w:val="18"/>
                <w:szCs w:val="18"/>
              </w:rPr>
            </w:pPr>
            <w:r>
              <w:rPr>
                <w:b/>
                <w:bCs/>
                <w:spacing w:val="-8"/>
                <w:position w:val="-8"/>
                <w:sz w:val="18"/>
                <w:szCs w:val="18"/>
              </w:rPr>
              <w:t>模块名称</w:t>
            </w:r>
          </w:p>
        </w:tc>
        <w:tc>
          <w:tcPr>
            <w:tcW w:w="239" w:type="pct"/>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学分</w:t>
            </w:r>
          </w:p>
          <w:p>
            <w:pPr>
              <w:spacing w:line="240" w:lineRule="auto"/>
              <w:ind w:left="-120" w:leftChars="-50" w:right="-120" w:rightChars="-50"/>
              <w:jc w:val="center"/>
              <w:rPr>
                <w:bCs/>
                <w:spacing w:val="-8"/>
                <w:position w:val="-8"/>
                <w:sz w:val="18"/>
                <w:szCs w:val="18"/>
              </w:rPr>
            </w:pPr>
            <w:r>
              <w:rPr>
                <w:b/>
                <w:bCs/>
                <w:spacing w:val="-8"/>
                <w:position w:val="-8"/>
                <w:sz w:val="18"/>
                <w:szCs w:val="18"/>
              </w:rPr>
              <w:t>要求</w:t>
            </w:r>
          </w:p>
        </w:tc>
        <w:tc>
          <w:tcPr>
            <w:tcW w:w="1025" w:type="pct"/>
            <w:gridSpan w:val="3"/>
            <w:tcBorders>
              <w:right w:val="single" w:color="auto" w:sz="4" w:space="0"/>
            </w:tcBorders>
            <w:vAlign w:val="center"/>
          </w:tcPr>
          <w:p>
            <w:pPr>
              <w:spacing w:line="240" w:lineRule="auto"/>
              <w:jc w:val="center"/>
              <w:rPr>
                <w:bCs/>
                <w:spacing w:val="-8"/>
                <w:position w:val="-8"/>
                <w:sz w:val="18"/>
                <w:szCs w:val="18"/>
              </w:rPr>
            </w:pPr>
            <w:r>
              <w:rPr>
                <w:b/>
                <w:spacing w:val="-8"/>
                <w:kern w:val="10"/>
                <w:position w:val="-8"/>
                <w:sz w:val="18"/>
                <w:szCs w:val="18"/>
              </w:rPr>
              <w:t>选修要求</w:t>
            </w:r>
          </w:p>
        </w:tc>
        <w:tc>
          <w:tcPr>
            <w:tcW w:w="334" w:type="pct"/>
            <w:tcBorders>
              <w:right w:val="single" w:color="auto" w:sz="4" w:space="0"/>
            </w:tcBorders>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建议修</w:t>
            </w:r>
          </w:p>
          <w:p>
            <w:pPr>
              <w:spacing w:line="240" w:lineRule="auto"/>
              <w:ind w:left="-120" w:leftChars="-50" w:right="-120" w:rightChars="-50"/>
              <w:jc w:val="center"/>
              <w:rPr>
                <w:b/>
                <w:bCs/>
                <w:spacing w:val="-8"/>
                <w:position w:val="-8"/>
                <w:sz w:val="18"/>
                <w:szCs w:val="18"/>
              </w:rPr>
            </w:pPr>
            <w:r>
              <w:rPr>
                <w:b/>
                <w:bCs/>
                <w:spacing w:val="-8"/>
                <w:position w:val="-8"/>
                <w:sz w:val="18"/>
                <w:szCs w:val="18"/>
              </w:rPr>
              <w:t>读学期</w:t>
            </w:r>
          </w:p>
        </w:tc>
        <w:tc>
          <w:tcPr>
            <w:tcW w:w="337" w:type="pct"/>
            <w:tcBorders>
              <w:right w:val="single" w:color="auto" w:sz="4" w:space="0"/>
            </w:tcBorders>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开课</w:t>
            </w:r>
          </w:p>
          <w:p>
            <w:pPr>
              <w:spacing w:line="240" w:lineRule="auto"/>
              <w:ind w:left="-120" w:leftChars="-50" w:right="-120" w:rightChars="-50"/>
              <w:jc w:val="center"/>
              <w:rPr>
                <w:b/>
                <w:bCs/>
                <w:spacing w:val="-8"/>
                <w:position w:val="-8"/>
                <w:sz w:val="18"/>
                <w:szCs w:val="18"/>
              </w:rPr>
            </w:pPr>
            <w:r>
              <w:rPr>
                <w:b/>
                <w:bCs/>
                <w:spacing w:val="-8"/>
                <w:position w:val="-8"/>
                <w:sz w:val="18"/>
                <w:szCs w:val="18"/>
              </w:rPr>
              <w:t>学院</w:t>
            </w:r>
          </w:p>
        </w:tc>
        <w:tc>
          <w:tcPr>
            <w:tcW w:w="361" w:type="pct"/>
            <w:tcBorders>
              <w:left w:val="single" w:color="auto" w:sz="4" w:space="0"/>
            </w:tcBorders>
            <w:vAlign w:val="center"/>
          </w:tcPr>
          <w:p>
            <w:pPr>
              <w:jc w:val="center"/>
              <w:rPr>
                <w:b/>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continue"/>
            <w:tcBorders>
              <w:right w:val="single" w:color="auto" w:sz="4" w:space="0"/>
            </w:tcBorders>
            <w:vAlign w:val="center"/>
          </w:tcPr>
          <w:p>
            <w:pPr>
              <w:spacing w:line="240" w:lineRule="exact"/>
              <w:jc w:val="center"/>
              <w:rPr>
                <w:bCs/>
                <w:sz w:val="18"/>
                <w:szCs w:val="18"/>
              </w:rPr>
            </w:pPr>
          </w:p>
        </w:tc>
        <w:tc>
          <w:tcPr>
            <w:tcW w:w="2463" w:type="pct"/>
            <w:gridSpan w:val="2"/>
            <w:tcBorders>
              <w:left w:val="single" w:color="auto" w:sz="4" w:space="0"/>
            </w:tcBorders>
            <w:shd w:val="clear" w:color="auto" w:fill="auto"/>
            <w:vAlign w:val="center"/>
          </w:tcPr>
          <w:p>
            <w:pPr>
              <w:spacing w:line="240" w:lineRule="exact"/>
              <w:rPr>
                <w:bCs/>
                <w:sz w:val="18"/>
                <w:szCs w:val="18"/>
              </w:rPr>
            </w:pPr>
            <w:r>
              <w:rPr>
                <w:bCs/>
                <w:sz w:val="18"/>
                <w:szCs w:val="18"/>
              </w:rPr>
              <w:t>计算机模块课程</w:t>
            </w:r>
          </w:p>
        </w:tc>
        <w:tc>
          <w:tcPr>
            <w:tcW w:w="239" w:type="pct"/>
            <w:vAlign w:val="center"/>
          </w:tcPr>
          <w:p>
            <w:pPr>
              <w:spacing w:line="240" w:lineRule="exact"/>
              <w:jc w:val="center"/>
              <w:rPr>
                <w:bCs/>
                <w:sz w:val="18"/>
                <w:szCs w:val="18"/>
              </w:rPr>
            </w:pPr>
            <w:r>
              <w:rPr>
                <w:bCs/>
                <w:sz w:val="18"/>
                <w:szCs w:val="18"/>
              </w:rPr>
              <w:t>4</w:t>
            </w:r>
          </w:p>
        </w:tc>
        <w:tc>
          <w:tcPr>
            <w:tcW w:w="1025" w:type="pct"/>
            <w:gridSpan w:val="3"/>
            <w:tcBorders>
              <w:right w:val="single" w:color="auto" w:sz="4" w:space="0"/>
            </w:tcBorders>
            <w:vAlign w:val="center"/>
          </w:tcPr>
          <w:p>
            <w:pPr>
              <w:pStyle w:val="11"/>
              <w:keepNext/>
              <w:spacing w:line="240" w:lineRule="exact"/>
              <w:ind w:firstLine="0"/>
              <w:rPr>
                <w:bCs/>
                <w:sz w:val="18"/>
                <w:szCs w:val="18"/>
              </w:rPr>
            </w:pPr>
            <w:r>
              <w:rPr>
                <w:bCs/>
                <w:sz w:val="18"/>
                <w:szCs w:val="18"/>
              </w:rPr>
              <w:t>每名学生至少获得计算机模块课程4学分</w:t>
            </w:r>
          </w:p>
        </w:tc>
        <w:tc>
          <w:tcPr>
            <w:tcW w:w="334" w:type="pct"/>
            <w:tcBorders>
              <w:right w:val="single" w:color="auto" w:sz="4" w:space="0"/>
            </w:tcBorders>
            <w:vAlign w:val="center"/>
          </w:tcPr>
          <w:p>
            <w:pPr>
              <w:pStyle w:val="11"/>
              <w:keepNext/>
              <w:spacing w:line="240" w:lineRule="exact"/>
              <w:ind w:firstLine="0"/>
              <w:jc w:val="center"/>
              <w:rPr>
                <w:bCs/>
                <w:sz w:val="18"/>
                <w:szCs w:val="18"/>
              </w:rPr>
            </w:pPr>
            <w:r>
              <w:rPr>
                <w:bCs/>
                <w:sz w:val="18"/>
                <w:szCs w:val="18"/>
              </w:rPr>
              <w:t>2-6</w:t>
            </w:r>
          </w:p>
        </w:tc>
        <w:tc>
          <w:tcPr>
            <w:tcW w:w="337" w:type="pct"/>
            <w:tcBorders>
              <w:right w:val="single" w:color="auto" w:sz="4" w:space="0"/>
            </w:tcBorders>
            <w:vAlign w:val="center"/>
          </w:tcPr>
          <w:p>
            <w:pPr>
              <w:pStyle w:val="11"/>
              <w:keepNext/>
              <w:spacing w:line="240" w:lineRule="exact"/>
              <w:ind w:left="-120" w:leftChars="-50" w:right="-120" w:rightChars="-50" w:firstLine="0"/>
              <w:jc w:val="center"/>
              <w:rPr>
                <w:bCs/>
                <w:sz w:val="18"/>
                <w:szCs w:val="18"/>
              </w:rPr>
            </w:pPr>
            <w:r>
              <w:rPr>
                <w:bCs/>
                <w:sz w:val="18"/>
                <w:szCs w:val="18"/>
              </w:rPr>
              <w:t>信息</w:t>
            </w:r>
          </w:p>
        </w:tc>
        <w:tc>
          <w:tcPr>
            <w:tcW w:w="361" w:type="pct"/>
            <w:tcBorders>
              <w:left w:val="single" w:color="auto" w:sz="4" w:space="0"/>
            </w:tcBorders>
            <w:shd w:val="clear" w:color="auto" w:fill="auto"/>
            <w:vAlign w:val="center"/>
          </w:tcPr>
          <w:p>
            <w:pPr>
              <w:pStyle w:val="11"/>
              <w:keepNext/>
              <w:spacing w:line="240" w:lineRule="exact"/>
              <w:ind w:left="-120" w:leftChars="-50" w:right="-120" w:rightChars="-50" w:firstLine="0"/>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continue"/>
            <w:tcBorders>
              <w:right w:val="single" w:color="auto" w:sz="4" w:space="0"/>
            </w:tcBorders>
            <w:vAlign w:val="center"/>
          </w:tcPr>
          <w:p>
            <w:pPr>
              <w:spacing w:line="240" w:lineRule="exact"/>
              <w:jc w:val="center"/>
              <w:rPr>
                <w:bCs/>
                <w:sz w:val="18"/>
                <w:szCs w:val="18"/>
              </w:rPr>
            </w:pPr>
          </w:p>
        </w:tc>
        <w:tc>
          <w:tcPr>
            <w:tcW w:w="2463" w:type="pct"/>
            <w:gridSpan w:val="2"/>
            <w:tcBorders>
              <w:left w:val="single" w:color="auto" w:sz="4" w:space="0"/>
            </w:tcBorders>
            <w:shd w:val="clear" w:color="auto" w:fill="auto"/>
            <w:vAlign w:val="center"/>
          </w:tcPr>
          <w:p>
            <w:pPr>
              <w:spacing w:line="240" w:lineRule="exact"/>
              <w:rPr>
                <w:bCs/>
                <w:sz w:val="18"/>
                <w:szCs w:val="18"/>
              </w:rPr>
            </w:pPr>
            <w:r>
              <w:rPr>
                <w:bCs/>
                <w:sz w:val="18"/>
                <w:szCs w:val="18"/>
              </w:rPr>
              <w:t>体育模块课程</w:t>
            </w:r>
          </w:p>
        </w:tc>
        <w:tc>
          <w:tcPr>
            <w:tcW w:w="239" w:type="pct"/>
            <w:vAlign w:val="center"/>
          </w:tcPr>
          <w:p>
            <w:pPr>
              <w:spacing w:line="240" w:lineRule="exact"/>
              <w:jc w:val="center"/>
              <w:rPr>
                <w:bCs/>
                <w:sz w:val="18"/>
                <w:szCs w:val="18"/>
              </w:rPr>
            </w:pPr>
            <w:r>
              <w:rPr>
                <w:bCs/>
                <w:sz w:val="18"/>
                <w:szCs w:val="18"/>
              </w:rPr>
              <w:t>2</w:t>
            </w:r>
          </w:p>
        </w:tc>
        <w:tc>
          <w:tcPr>
            <w:tcW w:w="1025" w:type="pct"/>
            <w:gridSpan w:val="3"/>
            <w:tcBorders>
              <w:right w:val="single" w:color="auto" w:sz="4" w:space="0"/>
            </w:tcBorders>
            <w:vAlign w:val="center"/>
          </w:tcPr>
          <w:p>
            <w:pPr>
              <w:spacing w:line="240" w:lineRule="exact"/>
              <w:rPr>
                <w:bCs/>
                <w:sz w:val="18"/>
                <w:szCs w:val="18"/>
              </w:rPr>
            </w:pPr>
            <w:r>
              <w:rPr>
                <w:bCs/>
                <w:sz w:val="18"/>
                <w:szCs w:val="18"/>
              </w:rPr>
              <w:t>每名学生至少获得体育模块课程2学分</w:t>
            </w:r>
          </w:p>
        </w:tc>
        <w:tc>
          <w:tcPr>
            <w:tcW w:w="334" w:type="pct"/>
            <w:tcBorders>
              <w:right w:val="single" w:color="auto" w:sz="4" w:space="0"/>
            </w:tcBorders>
            <w:vAlign w:val="center"/>
          </w:tcPr>
          <w:p>
            <w:pPr>
              <w:spacing w:line="240" w:lineRule="exact"/>
              <w:jc w:val="center"/>
              <w:rPr>
                <w:bCs/>
                <w:sz w:val="18"/>
                <w:szCs w:val="18"/>
              </w:rPr>
            </w:pPr>
            <w:r>
              <w:rPr>
                <w:bCs/>
                <w:sz w:val="18"/>
                <w:szCs w:val="18"/>
              </w:rPr>
              <w:t>2-6</w:t>
            </w:r>
          </w:p>
        </w:tc>
        <w:tc>
          <w:tcPr>
            <w:tcW w:w="337" w:type="pct"/>
            <w:tcBorders>
              <w:right w:val="single" w:color="auto" w:sz="4" w:space="0"/>
            </w:tcBorders>
            <w:vAlign w:val="center"/>
          </w:tcPr>
          <w:p>
            <w:pPr>
              <w:spacing w:line="240" w:lineRule="exact"/>
              <w:ind w:left="-120" w:leftChars="-50" w:right="-120" w:rightChars="-50"/>
              <w:jc w:val="center"/>
              <w:rPr>
                <w:bCs/>
                <w:sz w:val="18"/>
                <w:szCs w:val="18"/>
              </w:rPr>
            </w:pPr>
            <w:r>
              <w:rPr>
                <w:bCs/>
                <w:sz w:val="18"/>
                <w:szCs w:val="18"/>
              </w:rPr>
              <w:t>体艺</w:t>
            </w:r>
          </w:p>
        </w:tc>
        <w:tc>
          <w:tcPr>
            <w:tcW w:w="361" w:type="pct"/>
            <w:tcBorders>
              <w:left w:val="single" w:color="auto" w:sz="4" w:space="0"/>
            </w:tcBorders>
            <w:shd w:val="clear" w:color="auto" w:fill="auto"/>
            <w:vAlign w:val="center"/>
          </w:tcPr>
          <w:p>
            <w:pPr>
              <w:spacing w:line="240" w:lineRule="exact"/>
              <w:ind w:left="-120" w:leftChars="-50" w:right="-120" w:rightChars="-50"/>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continue"/>
            <w:tcBorders>
              <w:right w:val="single" w:color="auto" w:sz="4" w:space="0"/>
            </w:tcBorders>
            <w:vAlign w:val="center"/>
          </w:tcPr>
          <w:p>
            <w:pPr>
              <w:spacing w:line="240" w:lineRule="exact"/>
              <w:jc w:val="center"/>
              <w:rPr>
                <w:bCs/>
                <w:sz w:val="18"/>
                <w:szCs w:val="18"/>
              </w:rPr>
            </w:pPr>
          </w:p>
        </w:tc>
        <w:tc>
          <w:tcPr>
            <w:tcW w:w="2463" w:type="pct"/>
            <w:gridSpan w:val="2"/>
            <w:tcBorders>
              <w:left w:val="single" w:color="auto" w:sz="4" w:space="0"/>
            </w:tcBorders>
            <w:shd w:val="clear" w:color="auto" w:fill="auto"/>
            <w:vAlign w:val="center"/>
          </w:tcPr>
          <w:p>
            <w:pPr>
              <w:spacing w:line="240" w:lineRule="exact"/>
              <w:rPr>
                <w:bCs/>
                <w:sz w:val="18"/>
                <w:szCs w:val="18"/>
              </w:rPr>
            </w:pPr>
            <w:r>
              <w:rPr>
                <w:bCs/>
                <w:sz w:val="18"/>
                <w:szCs w:val="18"/>
              </w:rPr>
              <w:t>素质教育模块课程</w:t>
            </w:r>
          </w:p>
        </w:tc>
        <w:tc>
          <w:tcPr>
            <w:tcW w:w="239" w:type="pct"/>
            <w:vAlign w:val="center"/>
          </w:tcPr>
          <w:p>
            <w:pPr>
              <w:spacing w:line="240" w:lineRule="exact"/>
              <w:jc w:val="center"/>
              <w:rPr>
                <w:bCs/>
                <w:sz w:val="18"/>
                <w:szCs w:val="18"/>
              </w:rPr>
            </w:pPr>
            <w:r>
              <w:rPr>
                <w:bCs/>
                <w:sz w:val="18"/>
                <w:szCs w:val="18"/>
              </w:rPr>
              <w:t>4</w:t>
            </w:r>
          </w:p>
        </w:tc>
        <w:tc>
          <w:tcPr>
            <w:tcW w:w="1025" w:type="pct"/>
            <w:gridSpan w:val="3"/>
            <w:tcBorders>
              <w:right w:val="single" w:color="auto" w:sz="4" w:space="0"/>
            </w:tcBorders>
            <w:vAlign w:val="center"/>
          </w:tcPr>
          <w:p>
            <w:pPr>
              <w:spacing w:line="240" w:lineRule="exact"/>
              <w:rPr>
                <w:bCs/>
                <w:sz w:val="18"/>
                <w:szCs w:val="18"/>
              </w:rPr>
            </w:pPr>
            <w:r>
              <w:rPr>
                <w:bCs/>
                <w:sz w:val="18"/>
                <w:szCs w:val="18"/>
              </w:rPr>
              <w:t>每名学生至少获得素</w:t>
            </w:r>
            <w:r>
              <w:rPr>
                <w:bCs/>
                <w:spacing w:val="-6"/>
                <w:sz w:val="18"/>
                <w:szCs w:val="18"/>
              </w:rPr>
              <w:t>质教育模块课程4学分</w:t>
            </w:r>
          </w:p>
        </w:tc>
        <w:tc>
          <w:tcPr>
            <w:tcW w:w="334" w:type="pct"/>
            <w:tcBorders>
              <w:right w:val="single" w:color="auto" w:sz="4" w:space="0"/>
            </w:tcBorders>
            <w:vAlign w:val="center"/>
          </w:tcPr>
          <w:p>
            <w:pPr>
              <w:spacing w:line="240" w:lineRule="exact"/>
              <w:jc w:val="center"/>
              <w:rPr>
                <w:bCs/>
                <w:sz w:val="18"/>
                <w:szCs w:val="18"/>
              </w:rPr>
            </w:pPr>
            <w:r>
              <w:rPr>
                <w:bCs/>
                <w:sz w:val="18"/>
                <w:szCs w:val="18"/>
              </w:rPr>
              <w:t>2-6</w:t>
            </w:r>
          </w:p>
        </w:tc>
        <w:tc>
          <w:tcPr>
            <w:tcW w:w="337" w:type="pct"/>
            <w:tcBorders>
              <w:right w:val="single" w:color="auto" w:sz="4" w:space="0"/>
            </w:tcBorders>
            <w:vAlign w:val="center"/>
          </w:tcPr>
          <w:p>
            <w:pPr>
              <w:spacing w:line="240" w:lineRule="exact"/>
              <w:ind w:left="-120" w:leftChars="-50" w:right="-120" w:rightChars="-50"/>
              <w:jc w:val="center"/>
              <w:rPr>
                <w:bCs/>
                <w:sz w:val="18"/>
                <w:szCs w:val="18"/>
              </w:rPr>
            </w:pPr>
            <w:r>
              <w:rPr>
                <w:bCs/>
                <w:sz w:val="18"/>
                <w:szCs w:val="18"/>
              </w:rPr>
              <w:t>各学院</w:t>
            </w:r>
          </w:p>
        </w:tc>
        <w:tc>
          <w:tcPr>
            <w:tcW w:w="361" w:type="pct"/>
            <w:tcBorders>
              <w:left w:val="single" w:color="auto" w:sz="4" w:space="0"/>
            </w:tcBorders>
            <w:shd w:val="clear" w:color="auto" w:fill="auto"/>
            <w:vAlign w:val="center"/>
          </w:tcPr>
          <w:p>
            <w:pPr>
              <w:spacing w:line="240" w:lineRule="exact"/>
              <w:ind w:left="-120" w:leftChars="-50" w:right="-120" w:rightChars="-50"/>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237" w:type="pct"/>
            <w:vMerge w:val="continue"/>
            <w:tcBorders>
              <w:right w:val="single" w:color="auto" w:sz="4" w:space="0"/>
            </w:tcBorders>
            <w:vAlign w:val="center"/>
          </w:tcPr>
          <w:p>
            <w:pPr>
              <w:spacing w:line="240" w:lineRule="exact"/>
              <w:jc w:val="center"/>
              <w:rPr>
                <w:bCs/>
                <w:sz w:val="18"/>
                <w:szCs w:val="18"/>
              </w:rPr>
            </w:pPr>
          </w:p>
        </w:tc>
        <w:tc>
          <w:tcPr>
            <w:tcW w:w="2463" w:type="pct"/>
            <w:gridSpan w:val="2"/>
            <w:tcBorders>
              <w:left w:val="single" w:color="auto" w:sz="4" w:space="0"/>
            </w:tcBorders>
            <w:shd w:val="clear" w:color="auto" w:fill="auto"/>
            <w:vAlign w:val="center"/>
          </w:tcPr>
          <w:p>
            <w:pPr>
              <w:spacing w:line="240" w:lineRule="exact"/>
              <w:rPr>
                <w:bCs/>
                <w:sz w:val="18"/>
                <w:szCs w:val="18"/>
              </w:rPr>
            </w:pPr>
            <w:r>
              <w:rPr>
                <w:bCs/>
                <w:sz w:val="18"/>
                <w:szCs w:val="18"/>
              </w:rPr>
              <w:t>创新创业模块课程</w:t>
            </w:r>
          </w:p>
        </w:tc>
        <w:tc>
          <w:tcPr>
            <w:tcW w:w="239" w:type="pct"/>
            <w:vAlign w:val="center"/>
          </w:tcPr>
          <w:p>
            <w:pPr>
              <w:spacing w:line="240" w:lineRule="exact"/>
              <w:jc w:val="center"/>
              <w:rPr>
                <w:bCs/>
                <w:sz w:val="18"/>
                <w:szCs w:val="18"/>
              </w:rPr>
            </w:pPr>
            <w:r>
              <w:rPr>
                <w:bCs/>
                <w:sz w:val="18"/>
                <w:szCs w:val="18"/>
              </w:rPr>
              <w:t>2</w:t>
            </w:r>
          </w:p>
        </w:tc>
        <w:tc>
          <w:tcPr>
            <w:tcW w:w="1025" w:type="pct"/>
            <w:gridSpan w:val="3"/>
            <w:tcBorders>
              <w:right w:val="single" w:color="auto" w:sz="4" w:space="0"/>
            </w:tcBorders>
            <w:vAlign w:val="center"/>
          </w:tcPr>
          <w:p>
            <w:pPr>
              <w:spacing w:line="240" w:lineRule="exact"/>
              <w:rPr>
                <w:bCs/>
                <w:sz w:val="18"/>
                <w:szCs w:val="18"/>
              </w:rPr>
            </w:pPr>
            <w:r>
              <w:rPr>
                <w:bCs/>
                <w:sz w:val="18"/>
                <w:szCs w:val="18"/>
              </w:rPr>
              <w:t>每名学生至少获得创新创业模块课程2学分</w:t>
            </w:r>
          </w:p>
        </w:tc>
        <w:tc>
          <w:tcPr>
            <w:tcW w:w="334" w:type="pct"/>
            <w:tcBorders>
              <w:right w:val="single" w:color="auto" w:sz="4" w:space="0"/>
            </w:tcBorders>
            <w:vAlign w:val="center"/>
          </w:tcPr>
          <w:p>
            <w:pPr>
              <w:spacing w:line="240" w:lineRule="exact"/>
              <w:jc w:val="center"/>
              <w:rPr>
                <w:bCs/>
                <w:sz w:val="18"/>
                <w:szCs w:val="18"/>
              </w:rPr>
            </w:pPr>
            <w:r>
              <w:rPr>
                <w:bCs/>
                <w:sz w:val="18"/>
                <w:szCs w:val="18"/>
              </w:rPr>
              <w:t>2-6</w:t>
            </w:r>
          </w:p>
        </w:tc>
        <w:tc>
          <w:tcPr>
            <w:tcW w:w="337" w:type="pct"/>
            <w:tcBorders>
              <w:right w:val="single" w:color="auto" w:sz="4" w:space="0"/>
            </w:tcBorders>
            <w:vAlign w:val="center"/>
          </w:tcPr>
          <w:p>
            <w:pPr>
              <w:spacing w:line="240" w:lineRule="exact"/>
              <w:ind w:left="-120" w:leftChars="-50" w:right="-120" w:rightChars="-50"/>
              <w:jc w:val="center"/>
              <w:rPr>
                <w:bCs/>
                <w:sz w:val="18"/>
                <w:szCs w:val="18"/>
              </w:rPr>
            </w:pPr>
            <w:r>
              <w:rPr>
                <w:bCs/>
                <w:sz w:val="18"/>
                <w:szCs w:val="18"/>
              </w:rPr>
              <w:t>各学院</w:t>
            </w:r>
          </w:p>
        </w:tc>
        <w:tc>
          <w:tcPr>
            <w:tcW w:w="361" w:type="pct"/>
            <w:tcBorders>
              <w:left w:val="single" w:color="auto" w:sz="4" w:space="0"/>
            </w:tcBorders>
            <w:shd w:val="clear" w:color="auto" w:fill="auto"/>
            <w:vAlign w:val="center"/>
          </w:tcPr>
          <w:p>
            <w:pPr>
              <w:spacing w:line="240" w:lineRule="exact"/>
              <w:ind w:left="-120" w:leftChars="-50" w:right="-120" w:rightChars="-50"/>
              <w:jc w:val="center"/>
              <w:rPr>
                <w:bCs/>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69" w:hRule="atLeast"/>
          <w:jc w:val="center"/>
        </w:trPr>
        <w:tc>
          <w:tcPr>
            <w:tcW w:w="237" w:type="pct"/>
            <w:vMerge w:val="continue"/>
            <w:tcBorders>
              <w:right w:val="single" w:color="auto" w:sz="4" w:space="0"/>
            </w:tcBorders>
            <w:vAlign w:val="center"/>
          </w:tcPr>
          <w:p>
            <w:pPr>
              <w:spacing w:line="240" w:lineRule="exact"/>
              <w:jc w:val="center"/>
              <w:rPr>
                <w:bCs/>
                <w:sz w:val="18"/>
                <w:szCs w:val="18"/>
              </w:rPr>
            </w:pPr>
          </w:p>
        </w:tc>
        <w:tc>
          <w:tcPr>
            <w:tcW w:w="2463" w:type="pct"/>
            <w:gridSpan w:val="2"/>
            <w:tcBorders>
              <w:top w:val="single" w:color="auto" w:sz="4" w:space="0"/>
              <w:left w:val="single" w:color="auto" w:sz="4" w:space="0"/>
              <w:bottom w:val="single" w:color="auto" w:sz="4" w:space="0"/>
            </w:tcBorders>
            <w:vAlign w:val="center"/>
          </w:tcPr>
          <w:p>
            <w:pPr>
              <w:spacing w:line="240" w:lineRule="exact"/>
              <w:jc w:val="center"/>
              <w:rPr>
                <w:bCs/>
                <w:sz w:val="18"/>
                <w:szCs w:val="18"/>
              </w:rPr>
            </w:pPr>
            <w:r>
              <w:rPr>
                <w:bCs/>
                <w:sz w:val="18"/>
                <w:szCs w:val="18"/>
              </w:rPr>
              <w:t>学分小计</w:t>
            </w:r>
          </w:p>
        </w:tc>
        <w:tc>
          <w:tcPr>
            <w:tcW w:w="2298" w:type="pct"/>
            <w:gridSpan w:val="7"/>
            <w:vAlign w:val="center"/>
          </w:tcPr>
          <w:p>
            <w:pPr>
              <w:spacing w:line="240" w:lineRule="exact"/>
              <w:jc w:val="center"/>
              <w:rPr>
                <w:bCs/>
                <w:sz w:val="18"/>
                <w:szCs w:val="18"/>
              </w:rPr>
            </w:pPr>
            <w:r>
              <w:rPr>
                <w:bCs/>
                <w:sz w:val="18"/>
                <w:szCs w:val="18"/>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4" w:hRule="atLeast"/>
          <w:jc w:val="center"/>
        </w:trPr>
        <w:tc>
          <w:tcPr>
            <w:tcW w:w="2701" w:type="pct"/>
            <w:gridSpan w:val="3"/>
            <w:vAlign w:val="center"/>
          </w:tcPr>
          <w:p>
            <w:pPr>
              <w:spacing w:line="240" w:lineRule="exact"/>
              <w:jc w:val="center"/>
              <w:rPr>
                <w:bCs/>
                <w:sz w:val="18"/>
                <w:szCs w:val="18"/>
              </w:rPr>
            </w:pPr>
            <w:r>
              <w:rPr>
                <w:bCs/>
                <w:sz w:val="18"/>
                <w:szCs w:val="18"/>
              </w:rPr>
              <w:t>合计学分</w:t>
            </w:r>
          </w:p>
        </w:tc>
        <w:tc>
          <w:tcPr>
            <w:tcW w:w="2298" w:type="pct"/>
            <w:gridSpan w:val="7"/>
          </w:tcPr>
          <w:p>
            <w:pPr>
              <w:spacing w:line="240" w:lineRule="exact"/>
              <w:jc w:val="center"/>
              <w:rPr>
                <w:bCs/>
                <w:sz w:val="18"/>
                <w:szCs w:val="18"/>
              </w:rPr>
            </w:pPr>
            <w:r>
              <w:rPr>
                <w:bCs/>
                <w:sz w:val="18"/>
                <w:szCs w:val="18"/>
              </w:rPr>
              <w:t>39</w:t>
            </w:r>
          </w:p>
        </w:tc>
      </w:tr>
    </w:tbl>
    <w:p>
      <w:pPr>
        <w:widowControl/>
        <w:jc w:val="left"/>
        <w:rPr>
          <w:szCs w:val="21"/>
        </w:rPr>
      </w:pPr>
      <w:r>
        <w:rPr>
          <w:szCs w:val="21"/>
        </w:rPr>
        <w:br w:type="page"/>
      </w:r>
    </w:p>
    <w:p>
      <w:pPr>
        <w:autoSpaceDE w:val="0"/>
        <w:autoSpaceDN w:val="0"/>
        <w:adjustRightInd w:val="0"/>
        <w:jc w:val="center"/>
        <w:rPr>
          <w:b/>
          <w:bCs/>
          <w:sz w:val="21"/>
          <w:szCs w:val="21"/>
        </w:rPr>
      </w:pPr>
      <w:r>
        <w:rPr>
          <w:b/>
          <w:bCs/>
          <w:sz w:val="21"/>
          <w:szCs w:val="21"/>
        </w:rPr>
        <w:t>附表2  文化产业管理专业创新型、专业型人才培养专业教育课教学进程表</w:t>
      </w:r>
    </w:p>
    <w:tbl>
      <w:tblPr>
        <w:tblStyle w:val="17"/>
        <w:tblW w:w="919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9"/>
        <w:gridCol w:w="1135"/>
        <w:gridCol w:w="3634"/>
        <w:gridCol w:w="554"/>
        <w:gridCol w:w="599"/>
        <w:gridCol w:w="599"/>
        <w:gridCol w:w="599"/>
        <w:gridCol w:w="575"/>
        <w:gridCol w:w="87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tblHeader/>
          <w:jc w:val="center"/>
        </w:trPr>
        <w:tc>
          <w:tcPr>
            <w:tcW w:w="629" w:type="dxa"/>
            <w:vMerge w:val="restart"/>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
                <w:bCs/>
                <w:spacing w:val="-8"/>
                <w:position w:val="-8"/>
                <w:sz w:val="18"/>
                <w:szCs w:val="18"/>
              </w:rPr>
            </w:pPr>
            <w:r>
              <w:rPr>
                <w:b/>
                <w:bCs/>
                <w:spacing w:val="-8"/>
                <w:position w:val="-8"/>
                <w:sz w:val="18"/>
                <w:szCs w:val="18"/>
              </w:rPr>
              <w:t>课程</w:t>
            </w:r>
          </w:p>
          <w:p>
            <w:pPr>
              <w:spacing w:line="240" w:lineRule="auto"/>
              <w:ind w:right="-120" w:rightChars="-50"/>
              <w:jc w:val="center"/>
              <w:rPr>
                <w:b/>
                <w:bCs/>
                <w:spacing w:val="-8"/>
                <w:position w:val="-8"/>
                <w:sz w:val="18"/>
                <w:szCs w:val="18"/>
              </w:rPr>
            </w:pPr>
            <w:r>
              <w:rPr>
                <w:b/>
                <w:bCs/>
                <w:spacing w:val="-8"/>
                <w:position w:val="-8"/>
                <w:sz w:val="18"/>
                <w:szCs w:val="18"/>
              </w:rPr>
              <w:t>类别</w:t>
            </w:r>
          </w:p>
        </w:tc>
        <w:tc>
          <w:tcPr>
            <w:tcW w:w="1135" w:type="dxa"/>
            <w:vMerge w:val="restart"/>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
                <w:bCs/>
                <w:spacing w:val="-8"/>
                <w:position w:val="-8"/>
                <w:sz w:val="18"/>
                <w:szCs w:val="18"/>
              </w:rPr>
            </w:pPr>
            <w:r>
              <w:rPr>
                <w:b/>
                <w:bCs/>
                <w:spacing w:val="-8"/>
                <w:position w:val="-8"/>
                <w:sz w:val="18"/>
                <w:szCs w:val="18"/>
              </w:rPr>
              <w:t>课程号</w:t>
            </w:r>
          </w:p>
        </w:tc>
        <w:tc>
          <w:tcPr>
            <w:tcW w:w="3634" w:type="dxa"/>
            <w:vMerge w:val="restart"/>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
                <w:bCs/>
                <w:spacing w:val="-8"/>
                <w:position w:val="-8"/>
                <w:sz w:val="18"/>
                <w:szCs w:val="18"/>
              </w:rPr>
            </w:pPr>
            <w:r>
              <w:rPr>
                <w:b/>
                <w:bCs/>
                <w:spacing w:val="-8"/>
                <w:position w:val="-8"/>
                <w:sz w:val="18"/>
                <w:szCs w:val="18"/>
              </w:rPr>
              <w:t>课程名称</w:t>
            </w:r>
          </w:p>
        </w:tc>
        <w:tc>
          <w:tcPr>
            <w:tcW w:w="554" w:type="dxa"/>
            <w:vMerge w:val="restart"/>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
                <w:bCs/>
                <w:spacing w:val="-8"/>
                <w:position w:val="-8"/>
                <w:sz w:val="18"/>
                <w:szCs w:val="18"/>
              </w:rPr>
            </w:pPr>
            <w:r>
              <w:rPr>
                <w:b/>
                <w:bCs/>
                <w:spacing w:val="-8"/>
                <w:position w:val="-8"/>
                <w:sz w:val="18"/>
                <w:szCs w:val="18"/>
              </w:rPr>
              <w:t>学分</w:t>
            </w:r>
          </w:p>
        </w:tc>
        <w:tc>
          <w:tcPr>
            <w:tcW w:w="1797"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
                <w:bCs/>
                <w:spacing w:val="-8"/>
                <w:position w:val="-8"/>
                <w:sz w:val="18"/>
                <w:szCs w:val="18"/>
              </w:rPr>
            </w:pPr>
            <w:r>
              <w:rPr>
                <w:b/>
                <w:bCs/>
                <w:spacing w:val="-8"/>
                <w:position w:val="-8"/>
                <w:sz w:val="18"/>
                <w:szCs w:val="18"/>
              </w:rPr>
              <w:t>学时数</w:t>
            </w:r>
          </w:p>
        </w:tc>
        <w:tc>
          <w:tcPr>
            <w:tcW w:w="575" w:type="dxa"/>
            <w:vMerge w:val="restart"/>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
                <w:bCs/>
                <w:spacing w:val="-8"/>
                <w:position w:val="-8"/>
                <w:sz w:val="18"/>
                <w:szCs w:val="18"/>
              </w:rPr>
            </w:pPr>
            <w:r>
              <w:rPr>
                <w:b/>
                <w:bCs/>
                <w:spacing w:val="-8"/>
                <w:position w:val="-8"/>
                <w:sz w:val="18"/>
                <w:szCs w:val="18"/>
              </w:rPr>
              <w:t>开课</w:t>
            </w:r>
          </w:p>
          <w:p>
            <w:pPr>
              <w:spacing w:line="240" w:lineRule="auto"/>
              <w:ind w:right="-120" w:rightChars="-50"/>
              <w:jc w:val="center"/>
              <w:rPr>
                <w:b/>
                <w:bCs/>
                <w:spacing w:val="-8"/>
                <w:position w:val="-8"/>
                <w:sz w:val="18"/>
                <w:szCs w:val="18"/>
              </w:rPr>
            </w:pPr>
            <w:r>
              <w:rPr>
                <w:b/>
                <w:bCs/>
                <w:spacing w:val="-8"/>
                <w:position w:val="-8"/>
                <w:sz w:val="18"/>
                <w:szCs w:val="18"/>
              </w:rPr>
              <w:t>学期</w:t>
            </w:r>
          </w:p>
        </w:tc>
        <w:tc>
          <w:tcPr>
            <w:tcW w:w="871" w:type="dxa"/>
            <w:vMerge w:val="restart"/>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
                <w:bCs/>
                <w:spacing w:val="-8"/>
                <w:position w:val="-8"/>
                <w:sz w:val="18"/>
                <w:szCs w:val="18"/>
              </w:rPr>
            </w:pPr>
            <w:r>
              <w:rPr>
                <w:b/>
                <w:bCs/>
                <w:spacing w:val="-8"/>
                <w:position w:val="-8"/>
                <w:sz w:val="18"/>
                <w:szCs w:val="18"/>
              </w:rPr>
              <w:t>开课</w:t>
            </w:r>
          </w:p>
          <w:p>
            <w:pPr>
              <w:spacing w:line="240" w:lineRule="auto"/>
              <w:ind w:right="-120" w:rightChars="-50"/>
              <w:jc w:val="center"/>
              <w:rPr>
                <w:b/>
                <w:bCs/>
                <w:spacing w:val="-8"/>
                <w:position w:val="-8"/>
                <w:sz w:val="18"/>
                <w:szCs w:val="18"/>
              </w:rPr>
            </w:pPr>
            <w:r>
              <w:rPr>
                <w:b/>
                <w:bCs/>
                <w:spacing w:val="-8"/>
                <w:position w:val="-8"/>
                <w:sz w:val="18"/>
                <w:szCs w:val="18"/>
              </w:rPr>
              <w:t>学院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tblHeader/>
          <w:jc w:val="center"/>
        </w:trPr>
        <w:tc>
          <w:tcPr>
            <w:tcW w:w="629"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b/>
                <w:bCs/>
                <w:spacing w:val="-8"/>
                <w:position w:val="-8"/>
                <w:sz w:val="18"/>
                <w:szCs w:val="18"/>
              </w:rPr>
            </w:pPr>
          </w:p>
        </w:tc>
        <w:tc>
          <w:tcPr>
            <w:tcW w:w="1135"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b/>
                <w:bCs/>
                <w:spacing w:val="-8"/>
                <w:position w:val="-8"/>
                <w:sz w:val="18"/>
                <w:szCs w:val="18"/>
              </w:rPr>
            </w:pPr>
          </w:p>
        </w:tc>
        <w:tc>
          <w:tcPr>
            <w:tcW w:w="3634"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b/>
                <w:bCs/>
                <w:spacing w:val="-8"/>
                <w:position w:val="-8"/>
                <w:sz w:val="18"/>
                <w:szCs w:val="18"/>
              </w:rPr>
            </w:pPr>
          </w:p>
        </w:tc>
        <w:tc>
          <w:tcPr>
            <w:tcW w:w="554"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b/>
                <w:bCs/>
                <w:spacing w:val="-8"/>
                <w:position w:val="-8"/>
                <w:sz w:val="18"/>
                <w:szCs w:val="18"/>
              </w:rPr>
            </w:pP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
                <w:bCs/>
                <w:spacing w:val="-8"/>
                <w:position w:val="-8"/>
                <w:sz w:val="18"/>
                <w:szCs w:val="18"/>
              </w:rPr>
            </w:pPr>
            <w:r>
              <w:rPr>
                <w:b/>
                <w:bCs/>
                <w:spacing w:val="-8"/>
                <w:position w:val="-8"/>
                <w:sz w:val="18"/>
                <w:szCs w:val="18"/>
              </w:rPr>
              <w:t>总计</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
                <w:bCs/>
                <w:spacing w:val="-8"/>
                <w:position w:val="-8"/>
                <w:sz w:val="18"/>
                <w:szCs w:val="18"/>
              </w:rPr>
            </w:pPr>
            <w:r>
              <w:rPr>
                <w:b/>
                <w:bCs/>
                <w:spacing w:val="-8"/>
                <w:position w:val="-8"/>
                <w:sz w:val="18"/>
                <w:szCs w:val="18"/>
              </w:rPr>
              <w:t>讲授</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
                <w:bCs/>
                <w:spacing w:val="-8"/>
                <w:position w:val="-8"/>
                <w:sz w:val="18"/>
                <w:szCs w:val="18"/>
              </w:rPr>
            </w:pPr>
            <w:r>
              <w:rPr>
                <w:b/>
                <w:bCs/>
                <w:spacing w:val="-8"/>
                <w:position w:val="-8"/>
                <w:sz w:val="18"/>
                <w:szCs w:val="18"/>
              </w:rPr>
              <w:t>实验</w:t>
            </w:r>
          </w:p>
        </w:tc>
        <w:tc>
          <w:tcPr>
            <w:tcW w:w="575"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b/>
                <w:bCs/>
                <w:spacing w:val="-8"/>
                <w:position w:val="-8"/>
                <w:sz w:val="18"/>
                <w:szCs w:val="18"/>
              </w:rPr>
            </w:pPr>
          </w:p>
        </w:tc>
        <w:tc>
          <w:tcPr>
            <w:tcW w:w="871" w:type="dxa"/>
            <w:vMerge w:val="continue"/>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left"/>
              <w:rPr>
                <w:b/>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restart"/>
            <w:tcBorders>
              <w:top w:val="single" w:color="000000" w:sz="4" w:space="0"/>
              <w:left w:val="single" w:color="000000" w:sz="4" w:space="0"/>
              <w:bottom w:val="single" w:color="auto" w:sz="4" w:space="0"/>
              <w:right w:val="single" w:color="auto" w:sz="4" w:space="0"/>
            </w:tcBorders>
            <w:vAlign w:val="center"/>
          </w:tcPr>
          <w:p>
            <w:pPr>
              <w:adjustRightInd w:val="0"/>
              <w:snapToGrid w:val="0"/>
              <w:spacing w:line="240" w:lineRule="auto"/>
              <w:ind w:right="-120" w:rightChars="-50"/>
              <w:jc w:val="center"/>
              <w:rPr>
                <w:bCs/>
                <w:snapToGrid w:val="0"/>
                <w:sz w:val="18"/>
                <w:szCs w:val="18"/>
              </w:rPr>
            </w:pPr>
            <w:r>
              <w:rPr>
                <w:bCs/>
                <w:snapToGrid w:val="0"/>
                <w:sz w:val="18"/>
                <w:szCs w:val="18"/>
              </w:rPr>
              <w:t>学</w:t>
            </w:r>
          </w:p>
          <w:p>
            <w:pPr>
              <w:adjustRightInd w:val="0"/>
              <w:snapToGrid w:val="0"/>
              <w:spacing w:line="240" w:lineRule="auto"/>
              <w:ind w:right="-120" w:rightChars="-50"/>
              <w:jc w:val="center"/>
              <w:rPr>
                <w:bCs/>
                <w:snapToGrid w:val="0"/>
                <w:sz w:val="18"/>
                <w:szCs w:val="18"/>
              </w:rPr>
            </w:pPr>
            <w:r>
              <w:rPr>
                <w:bCs/>
                <w:snapToGrid w:val="0"/>
                <w:sz w:val="18"/>
                <w:szCs w:val="18"/>
              </w:rPr>
              <w:t>科</w:t>
            </w:r>
          </w:p>
          <w:p>
            <w:pPr>
              <w:adjustRightInd w:val="0"/>
              <w:snapToGrid w:val="0"/>
              <w:spacing w:line="240" w:lineRule="auto"/>
              <w:ind w:right="-120" w:rightChars="-50"/>
              <w:jc w:val="center"/>
              <w:rPr>
                <w:bCs/>
                <w:snapToGrid w:val="0"/>
                <w:sz w:val="18"/>
                <w:szCs w:val="18"/>
              </w:rPr>
            </w:pPr>
            <w:r>
              <w:rPr>
                <w:bCs/>
                <w:snapToGrid w:val="0"/>
                <w:sz w:val="18"/>
                <w:szCs w:val="18"/>
              </w:rPr>
              <w:t>基</w:t>
            </w:r>
          </w:p>
          <w:p>
            <w:pPr>
              <w:adjustRightInd w:val="0"/>
              <w:snapToGrid w:val="0"/>
              <w:spacing w:line="240" w:lineRule="auto"/>
              <w:ind w:right="-120" w:rightChars="-50"/>
              <w:jc w:val="center"/>
              <w:rPr>
                <w:bCs/>
                <w:snapToGrid w:val="0"/>
                <w:sz w:val="18"/>
                <w:szCs w:val="18"/>
              </w:rPr>
            </w:pPr>
            <w:r>
              <w:rPr>
                <w:bCs/>
                <w:snapToGrid w:val="0"/>
                <w:sz w:val="18"/>
                <w:szCs w:val="18"/>
              </w:rPr>
              <w:t>础</w:t>
            </w:r>
          </w:p>
          <w:p>
            <w:pPr>
              <w:adjustRightInd w:val="0"/>
              <w:snapToGrid w:val="0"/>
              <w:spacing w:line="240" w:lineRule="auto"/>
              <w:ind w:right="-120" w:rightChars="-50"/>
              <w:jc w:val="center"/>
              <w:rPr>
                <w:bCs/>
                <w:snapToGrid w:val="0"/>
                <w:sz w:val="18"/>
                <w:szCs w:val="18"/>
              </w:rPr>
            </w:pPr>
            <w:r>
              <w:rPr>
                <w:bCs/>
                <w:snapToGrid w:val="0"/>
                <w:sz w:val="18"/>
                <w:szCs w:val="18"/>
              </w:rPr>
              <w:t>课</w:t>
            </w:r>
          </w:p>
        </w:tc>
        <w:tc>
          <w:tcPr>
            <w:tcW w:w="1135" w:type="dxa"/>
            <w:tcBorders>
              <w:top w:val="single" w:color="000000" w:sz="4" w:space="0"/>
              <w:left w:val="single" w:color="auto" w:sz="4" w:space="0"/>
              <w:bottom w:val="single" w:color="000000" w:sz="4" w:space="0"/>
              <w:right w:val="single" w:color="000000" w:sz="4" w:space="0"/>
            </w:tcBorders>
            <w:vAlign w:val="center"/>
          </w:tcPr>
          <w:p>
            <w:pPr>
              <w:spacing w:line="240" w:lineRule="auto"/>
              <w:rPr>
                <w:sz w:val="18"/>
                <w:szCs w:val="18"/>
              </w:rPr>
            </w:pPr>
          </w:p>
        </w:tc>
        <w:tc>
          <w:tcPr>
            <w:tcW w:w="3634" w:type="dxa"/>
            <w:tcBorders>
              <w:top w:val="single" w:color="000000" w:sz="4" w:space="0"/>
              <w:left w:val="single" w:color="000000" w:sz="4" w:space="0"/>
              <w:bottom w:val="single" w:color="000000" w:sz="4" w:space="0"/>
              <w:right w:val="single" w:color="000000" w:sz="4" w:space="0"/>
            </w:tcBorders>
            <w:vAlign w:val="center"/>
          </w:tcPr>
          <w:p>
            <w:pPr>
              <w:spacing w:line="240" w:lineRule="exact"/>
              <w:rPr>
                <w:sz w:val="18"/>
                <w:szCs w:val="18"/>
              </w:rPr>
            </w:pPr>
            <w:r>
              <w:rPr>
                <w:sz w:val="18"/>
                <w:szCs w:val="18"/>
              </w:rPr>
              <w:t>中外文化史</w:t>
            </w:r>
          </w:p>
          <w:p>
            <w:pPr>
              <w:spacing w:line="240" w:lineRule="exact"/>
              <w:rPr>
                <w:sz w:val="18"/>
                <w:szCs w:val="18"/>
              </w:rPr>
            </w:pPr>
            <w:r>
              <w:rPr>
                <w:sz w:val="18"/>
                <w:szCs w:val="18"/>
              </w:rPr>
              <w:t>Chinese and foreign cultural history</w:t>
            </w:r>
          </w:p>
        </w:tc>
        <w:tc>
          <w:tcPr>
            <w:tcW w:w="55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3</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48</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48</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p>
        </w:tc>
        <w:tc>
          <w:tcPr>
            <w:tcW w:w="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pacing w:val="-8"/>
                <w:position w:val="-8"/>
                <w:sz w:val="18"/>
                <w:szCs w:val="18"/>
              </w:rPr>
            </w:pPr>
            <w:r>
              <w:rPr>
                <w:bCs/>
                <w:spacing w:val="-8"/>
                <w:position w:val="-8"/>
                <w:sz w:val="18"/>
                <w:szCs w:val="18"/>
              </w:rPr>
              <w:t>1</w:t>
            </w:r>
          </w:p>
        </w:tc>
        <w:tc>
          <w:tcPr>
            <w:tcW w:w="87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000000" w:sz="4" w:space="0"/>
              <w:left w:val="single" w:color="auto" w:sz="4" w:space="0"/>
              <w:bottom w:val="single" w:color="000000" w:sz="4" w:space="0"/>
              <w:right w:val="single" w:color="000000" w:sz="4" w:space="0"/>
            </w:tcBorders>
            <w:vAlign w:val="center"/>
          </w:tcPr>
          <w:p>
            <w:pPr>
              <w:spacing w:line="240" w:lineRule="auto"/>
              <w:rPr>
                <w:sz w:val="18"/>
                <w:szCs w:val="18"/>
              </w:rPr>
            </w:pPr>
            <w:r>
              <w:rPr>
                <w:sz w:val="18"/>
                <w:szCs w:val="18"/>
              </w:rPr>
              <w:t>BK160009</w:t>
            </w:r>
          </w:p>
        </w:tc>
        <w:tc>
          <w:tcPr>
            <w:tcW w:w="3634" w:type="dxa"/>
            <w:tcBorders>
              <w:top w:val="single" w:color="000000" w:sz="4" w:space="0"/>
              <w:left w:val="single" w:color="000000" w:sz="4" w:space="0"/>
              <w:bottom w:val="single" w:color="000000" w:sz="4" w:space="0"/>
              <w:right w:val="single" w:color="000000" w:sz="4" w:space="0"/>
            </w:tcBorders>
            <w:vAlign w:val="center"/>
          </w:tcPr>
          <w:p>
            <w:pPr>
              <w:spacing w:line="240" w:lineRule="exact"/>
              <w:rPr>
                <w:sz w:val="18"/>
                <w:szCs w:val="18"/>
              </w:rPr>
            </w:pPr>
            <w:r>
              <w:rPr>
                <w:sz w:val="18"/>
                <w:szCs w:val="18"/>
              </w:rPr>
              <w:t>文化产业概论</w:t>
            </w:r>
          </w:p>
          <w:p>
            <w:pPr>
              <w:spacing w:line="240" w:lineRule="exact"/>
              <w:rPr>
                <w:sz w:val="18"/>
                <w:szCs w:val="18"/>
              </w:rPr>
            </w:pPr>
            <w:r>
              <w:rPr>
                <w:sz w:val="18"/>
                <w:szCs w:val="18"/>
              </w:rPr>
              <w:t>Introduction to The Cultural Industry</w:t>
            </w:r>
          </w:p>
        </w:tc>
        <w:tc>
          <w:tcPr>
            <w:tcW w:w="55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3</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48</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48</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p>
        </w:tc>
        <w:tc>
          <w:tcPr>
            <w:tcW w:w="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pacing w:val="-8"/>
                <w:position w:val="-8"/>
                <w:sz w:val="18"/>
                <w:szCs w:val="18"/>
              </w:rPr>
            </w:pPr>
            <w:r>
              <w:rPr>
                <w:bCs/>
                <w:spacing w:val="-8"/>
                <w:position w:val="-8"/>
                <w:sz w:val="18"/>
                <w:szCs w:val="18"/>
              </w:rPr>
              <w:t>1</w:t>
            </w:r>
          </w:p>
        </w:tc>
        <w:tc>
          <w:tcPr>
            <w:tcW w:w="87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524"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000000" w:sz="4" w:space="0"/>
              <w:left w:val="single" w:color="auto" w:sz="4" w:space="0"/>
              <w:bottom w:val="single" w:color="000000" w:sz="4" w:space="0"/>
              <w:right w:val="single" w:color="000000" w:sz="4" w:space="0"/>
            </w:tcBorders>
            <w:vAlign w:val="center"/>
          </w:tcPr>
          <w:p>
            <w:pPr>
              <w:spacing w:line="240" w:lineRule="auto"/>
              <w:rPr>
                <w:sz w:val="18"/>
                <w:szCs w:val="18"/>
              </w:rPr>
            </w:pPr>
            <w:r>
              <w:rPr>
                <w:sz w:val="18"/>
                <w:szCs w:val="18"/>
              </w:rPr>
              <w:t>BK038001</w:t>
            </w:r>
          </w:p>
        </w:tc>
        <w:tc>
          <w:tcPr>
            <w:tcW w:w="3634" w:type="dxa"/>
            <w:tcBorders>
              <w:top w:val="single" w:color="000000" w:sz="4" w:space="0"/>
              <w:left w:val="single" w:color="000000" w:sz="4" w:space="0"/>
              <w:bottom w:val="single" w:color="000000" w:sz="4" w:space="0"/>
              <w:right w:val="single" w:color="000000" w:sz="4" w:space="0"/>
            </w:tcBorders>
            <w:vAlign w:val="center"/>
          </w:tcPr>
          <w:p>
            <w:pPr>
              <w:spacing w:line="240" w:lineRule="exact"/>
              <w:rPr>
                <w:sz w:val="18"/>
                <w:szCs w:val="18"/>
              </w:rPr>
            </w:pPr>
            <w:r>
              <w:rPr>
                <w:sz w:val="18"/>
                <w:szCs w:val="18"/>
              </w:rPr>
              <w:t>管理学原理</w:t>
            </w:r>
          </w:p>
          <w:p>
            <w:pPr>
              <w:spacing w:line="240" w:lineRule="exact"/>
              <w:rPr>
                <w:sz w:val="18"/>
                <w:szCs w:val="18"/>
              </w:rPr>
            </w:pPr>
            <w:r>
              <w:rPr>
                <w:sz w:val="18"/>
                <w:szCs w:val="18"/>
              </w:rPr>
              <w:t>Principles of Management</w:t>
            </w:r>
          </w:p>
        </w:tc>
        <w:tc>
          <w:tcPr>
            <w:tcW w:w="55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2</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24</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8</w:t>
            </w:r>
          </w:p>
        </w:tc>
        <w:tc>
          <w:tcPr>
            <w:tcW w:w="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pacing w:val="-8"/>
                <w:position w:val="-8"/>
                <w:sz w:val="18"/>
                <w:szCs w:val="18"/>
              </w:rPr>
            </w:pPr>
            <w:r>
              <w:rPr>
                <w:bCs/>
                <w:spacing w:val="-8"/>
                <w:position w:val="-8"/>
                <w:sz w:val="18"/>
                <w:szCs w:val="18"/>
              </w:rPr>
              <w:t>1</w:t>
            </w:r>
          </w:p>
        </w:tc>
        <w:tc>
          <w:tcPr>
            <w:tcW w:w="87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000000" w:sz="4" w:space="0"/>
              <w:left w:val="single" w:color="auto" w:sz="4" w:space="0"/>
              <w:bottom w:val="single" w:color="000000" w:sz="4" w:space="0"/>
              <w:right w:val="single" w:color="000000" w:sz="4" w:space="0"/>
            </w:tcBorders>
            <w:vAlign w:val="center"/>
          </w:tcPr>
          <w:p>
            <w:pPr>
              <w:spacing w:line="240" w:lineRule="auto"/>
              <w:rPr>
                <w:sz w:val="18"/>
                <w:szCs w:val="18"/>
              </w:rPr>
            </w:pPr>
            <w:r>
              <w:rPr>
                <w:sz w:val="18"/>
                <w:szCs w:val="18"/>
              </w:rPr>
              <w:t>BK103003</w:t>
            </w:r>
          </w:p>
        </w:tc>
        <w:tc>
          <w:tcPr>
            <w:tcW w:w="3634" w:type="dxa"/>
            <w:tcBorders>
              <w:top w:val="single" w:color="000000" w:sz="4" w:space="0"/>
              <w:left w:val="single" w:color="000000" w:sz="4" w:space="0"/>
              <w:bottom w:val="single" w:color="000000" w:sz="4" w:space="0"/>
              <w:right w:val="single" w:color="000000" w:sz="4" w:space="0"/>
            </w:tcBorders>
            <w:vAlign w:val="center"/>
          </w:tcPr>
          <w:p>
            <w:pPr>
              <w:spacing w:line="240" w:lineRule="exact"/>
              <w:rPr>
                <w:sz w:val="18"/>
                <w:szCs w:val="18"/>
              </w:rPr>
            </w:pPr>
            <w:r>
              <w:rPr>
                <w:sz w:val="18"/>
                <w:szCs w:val="18"/>
              </w:rPr>
              <w:t>高等数学B</w:t>
            </w:r>
          </w:p>
          <w:p>
            <w:pPr>
              <w:spacing w:line="240" w:lineRule="exact"/>
              <w:rPr>
                <w:sz w:val="18"/>
                <w:szCs w:val="18"/>
              </w:rPr>
            </w:pPr>
            <w:r>
              <w:rPr>
                <w:sz w:val="18"/>
                <w:szCs w:val="18"/>
              </w:rPr>
              <w:t>Advanced Mathematics B</w:t>
            </w:r>
          </w:p>
        </w:tc>
        <w:tc>
          <w:tcPr>
            <w:tcW w:w="55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5</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80</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80</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p>
        </w:tc>
        <w:tc>
          <w:tcPr>
            <w:tcW w:w="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pacing w:val="-8"/>
                <w:position w:val="-8"/>
                <w:sz w:val="18"/>
                <w:szCs w:val="18"/>
              </w:rPr>
            </w:pPr>
            <w:r>
              <w:rPr>
                <w:bCs/>
                <w:spacing w:val="-8"/>
                <w:position w:val="-8"/>
                <w:sz w:val="18"/>
                <w:szCs w:val="18"/>
              </w:rPr>
              <w:t>1</w:t>
            </w:r>
          </w:p>
        </w:tc>
        <w:tc>
          <w:tcPr>
            <w:tcW w:w="87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信息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000000" w:sz="4" w:space="0"/>
              <w:left w:val="single" w:color="auto" w:sz="4" w:space="0"/>
              <w:bottom w:val="single" w:color="000000" w:sz="4" w:space="0"/>
              <w:right w:val="single" w:color="000000" w:sz="4" w:space="0"/>
            </w:tcBorders>
            <w:vAlign w:val="center"/>
          </w:tcPr>
          <w:p>
            <w:pPr>
              <w:spacing w:line="240" w:lineRule="auto"/>
              <w:rPr>
                <w:sz w:val="18"/>
                <w:szCs w:val="18"/>
              </w:rPr>
            </w:pPr>
            <w:r>
              <w:rPr>
                <w:sz w:val="18"/>
                <w:szCs w:val="18"/>
              </w:rPr>
              <w:t>BK103005</w:t>
            </w:r>
          </w:p>
        </w:tc>
        <w:tc>
          <w:tcPr>
            <w:tcW w:w="3634" w:type="dxa"/>
            <w:tcBorders>
              <w:top w:val="single" w:color="000000" w:sz="4" w:space="0"/>
              <w:left w:val="single" w:color="000000" w:sz="4" w:space="0"/>
              <w:bottom w:val="single" w:color="000000" w:sz="4" w:space="0"/>
              <w:right w:val="single" w:color="000000" w:sz="4" w:space="0"/>
            </w:tcBorders>
            <w:vAlign w:val="center"/>
          </w:tcPr>
          <w:p>
            <w:pPr>
              <w:spacing w:line="240" w:lineRule="exact"/>
              <w:rPr>
                <w:sz w:val="18"/>
                <w:szCs w:val="18"/>
              </w:rPr>
            </w:pPr>
            <w:r>
              <w:rPr>
                <w:sz w:val="18"/>
                <w:szCs w:val="18"/>
              </w:rPr>
              <w:t>线性代数</w:t>
            </w:r>
          </w:p>
          <w:p>
            <w:pPr>
              <w:spacing w:line="240" w:lineRule="exact"/>
              <w:rPr>
                <w:sz w:val="18"/>
                <w:szCs w:val="18"/>
              </w:rPr>
            </w:pPr>
            <w:r>
              <w:rPr>
                <w:sz w:val="18"/>
                <w:szCs w:val="18"/>
              </w:rPr>
              <w:t>Linear Algebra</w:t>
            </w:r>
          </w:p>
        </w:tc>
        <w:tc>
          <w:tcPr>
            <w:tcW w:w="55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2</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p>
        </w:tc>
        <w:tc>
          <w:tcPr>
            <w:tcW w:w="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pacing w:val="-8"/>
                <w:position w:val="-8"/>
                <w:sz w:val="18"/>
                <w:szCs w:val="18"/>
              </w:rPr>
            </w:pPr>
            <w:r>
              <w:rPr>
                <w:bCs/>
                <w:spacing w:val="-8"/>
                <w:position w:val="-8"/>
                <w:sz w:val="18"/>
                <w:szCs w:val="18"/>
              </w:rPr>
              <w:t>2</w:t>
            </w:r>
          </w:p>
        </w:tc>
        <w:tc>
          <w:tcPr>
            <w:tcW w:w="87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信息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000000" w:sz="4" w:space="0"/>
              <w:left w:val="single" w:color="auto" w:sz="4" w:space="0"/>
              <w:bottom w:val="single" w:color="000000" w:sz="4" w:space="0"/>
              <w:right w:val="single" w:color="000000" w:sz="4" w:space="0"/>
            </w:tcBorders>
            <w:vAlign w:val="center"/>
          </w:tcPr>
          <w:p>
            <w:pPr>
              <w:spacing w:line="240" w:lineRule="auto"/>
              <w:rPr>
                <w:sz w:val="18"/>
                <w:szCs w:val="18"/>
              </w:rPr>
            </w:pPr>
            <w:r>
              <w:rPr>
                <w:sz w:val="18"/>
                <w:szCs w:val="18"/>
              </w:rPr>
              <w:t>BK103006</w:t>
            </w:r>
          </w:p>
        </w:tc>
        <w:tc>
          <w:tcPr>
            <w:tcW w:w="3634" w:type="dxa"/>
            <w:tcBorders>
              <w:top w:val="single" w:color="000000" w:sz="4" w:space="0"/>
              <w:left w:val="single" w:color="000000" w:sz="4" w:space="0"/>
              <w:bottom w:val="single" w:color="000000" w:sz="4" w:space="0"/>
              <w:right w:val="single" w:color="000000" w:sz="4" w:space="0"/>
            </w:tcBorders>
            <w:vAlign w:val="center"/>
          </w:tcPr>
          <w:p>
            <w:pPr>
              <w:spacing w:line="240" w:lineRule="exact"/>
              <w:rPr>
                <w:sz w:val="18"/>
                <w:szCs w:val="18"/>
              </w:rPr>
            </w:pPr>
            <w:r>
              <w:rPr>
                <w:sz w:val="18"/>
                <w:szCs w:val="18"/>
              </w:rPr>
              <w:t>概率统计</w:t>
            </w:r>
          </w:p>
          <w:p>
            <w:pPr>
              <w:spacing w:line="240" w:lineRule="exact"/>
              <w:rPr>
                <w:sz w:val="18"/>
                <w:szCs w:val="18"/>
              </w:rPr>
            </w:pPr>
            <w:r>
              <w:rPr>
                <w:sz w:val="18"/>
                <w:szCs w:val="18"/>
              </w:rPr>
              <w:t>Probability Theory and Mathematical Statistics</w:t>
            </w:r>
          </w:p>
        </w:tc>
        <w:tc>
          <w:tcPr>
            <w:tcW w:w="55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3</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48</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48</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p>
        </w:tc>
        <w:tc>
          <w:tcPr>
            <w:tcW w:w="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pacing w:val="-8"/>
                <w:position w:val="-8"/>
                <w:sz w:val="18"/>
                <w:szCs w:val="18"/>
              </w:rPr>
            </w:pPr>
            <w:r>
              <w:rPr>
                <w:bCs/>
                <w:spacing w:val="-8"/>
                <w:position w:val="-8"/>
                <w:sz w:val="18"/>
                <w:szCs w:val="18"/>
              </w:rPr>
              <w:t>2</w:t>
            </w:r>
          </w:p>
        </w:tc>
        <w:tc>
          <w:tcPr>
            <w:tcW w:w="87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信息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000000" w:sz="4" w:space="0"/>
              <w:left w:val="single" w:color="auto" w:sz="4" w:space="0"/>
              <w:bottom w:val="single" w:color="000000" w:sz="4" w:space="0"/>
              <w:right w:val="single" w:color="000000" w:sz="4" w:space="0"/>
            </w:tcBorders>
            <w:vAlign w:val="center"/>
          </w:tcPr>
          <w:p>
            <w:pPr>
              <w:spacing w:line="240" w:lineRule="auto"/>
              <w:jc w:val="center"/>
              <w:rPr>
                <w:sz w:val="18"/>
                <w:szCs w:val="18"/>
              </w:rPr>
            </w:pPr>
            <w:r>
              <w:rPr>
                <w:sz w:val="18"/>
                <w:szCs w:val="18"/>
              </w:rPr>
              <w:t>BK160021</w:t>
            </w:r>
          </w:p>
        </w:tc>
        <w:tc>
          <w:tcPr>
            <w:tcW w:w="3634" w:type="dxa"/>
            <w:tcBorders>
              <w:top w:val="single" w:color="000000" w:sz="4" w:space="0"/>
              <w:left w:val="single" w:color="000000" w:sz="4" w:space="0"/>
              <w:bottom w:val="single" w:color="000000" w:sz="4" w:space="0"/>
              <w:right w:val="single" w:color="000000" w:sz="4" w:space="0"/>
            </w:tcBorders>
            <w:vAlign w:val="center"/>
          </w:tcPr>
          <w:p>
            <w:pPr>
              <w:spacing w:line="240" w:lineRule="exact"/>
              <w:rPr>
                <w:sz w:val="18"/>
                <w:szCs w:val="18"/>
              </w:rPr>
            </w:pPr>
            <w:r>
              <w:rPr>
                <w:sz w:val="18"/>
                <w:szCs w:val="18"/>
              </w:rPr>
              <w:t>文化资源学</w:t>
            </w:r>
          </w:p>
          <w:p>
            <w:pPr>
              <w:spacing w:line="240" w:lineRule="exact"/>
              <w:rPr>
                <w:sz w:val="18"/>
                <w:szCs w:val="18"/>
              </w:rPr>
            </w:pPr>
            <w:r>
              <w:rPr>
                <w:sz w:val="18"/>
                <w:szCs w:val="18"/>
              </w:rPr>
              <w:t>Theory of Cultural Resources</w:t>
            </w:r>
          </w:p>
        </w:tc>
        <w:tc>
          <w:tcPr>
            <w:tcW w:w="55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2</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p>
        </w:tc>
        <w:tc>
          <w:tcPr>
            <w:tcW w:w="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pacing w:val="-8"/>
                <w:position w:val="-8"/>
                <w:sz w:val="18"/>
                <w:szCs w:val="18"/>
              </w:rPr>
            </w:pPr>
            <w:r>
              <w:rPr>
                <w:bCs/>
                <w:sz w:val="18"/>
                <w:szCs w:val="18"/>
              </w:rPr>
              <w:t>2</w:t>
            </w:r>
          </w:p>
        </w:tc>
        <w:tc>
          <w:tcPr>
            <w:tcW w:w="87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000000" w:sz="4" w:space="0"/>
              <w:left w:val="single" w:color="auto" w:sz="4" w:space="0"/>
              <w:bottom w:val="single" w:color="000000" w:sz="4" w:space="0"/>
              <w:right w:val="single" w:color="000000" w:sz="4" w:space="0"/>
            </w:tcBorders>
            <w:vAlign w:val="center"/>
          </w:tcPr>
          <w:p>
            <w:pPr>
              <w:spacing w:line="240" w:lineRule="auto"/>
              <w:rPr>
                <w:sz w:val="18"/>
                <w:szCs w:val="18"/>
              </w:rPr>
            </w:pPr>
          </w:p>
        </w:tc>
        <w:tc>
          <w:tcPr>
            <w:tcW w:w="3634" w:type="dxa"/>
            <w:tcBorders>
              <w:top w:val="single" w:color="000000" w:sz="4" w:space="0"/>
              <w:left w:val="single" w:color="000000" w:sz="4" w:space="0"/>
              <w:bottom w:val="single" w:color="000000" w:sz="4" w:space="0"/>
              <w:right w:val="single" w:color="000000" w:sz="4" w:space="0"/>
            </w:tcBorders>
            <w:vAlign w:val="center"/>
          </w:tcPr>
          <w:p>
            <w:pPr>
              <w:spacing w:line="240" w:lineRule="exact"/>
              <w:rPr>
                <w:sz w:val="18"/>
                <w:szCs w:val="18"/>
              </w:rPr>
            </w:pPr>
            <w:r>
              <w:rPr>
                <w:sz w:val="18"/>
                <w:szCs w:val="18"/>
              </w:rPr>
              <w:t>平面设计基础</w:t>
            </w:r>
          </w:p>
          <w:p>
            <w:pPr>
              <w:spacing w:line="240" w:lineRule="exact"/>
              <w:rPr>
                <w:sz w:val="18"/>
                <w:szCs w:val="18"/>
              </w:rPr>
            </w:pPr>
            <w:r>
              <w:rPr>
                <w:sz w:val="18"/>
                <w:szCs w:val="18"/>
              </w:rPr>
              <w:t>Graphic design basis</w:t>
            </w:r>
          </w:p>
        </w:tc>
        <w:tc>
          <w:tcPr>
            <w:tcW w:w="55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2</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24</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8</w:t>
            </w:r>
          </w:p>
        </w:tc>
        <w:tc>
          <w:tcPr>
            <w:tcW w:w="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pacing w:val="-8"/>
                <w:position w:val="-8"/>
                <w:sz w:val="18"/>
                <w:szCs w:val="18"/>
              </w:rPr>
            </w:pPr>
            <w:r>
              <w:rPr>
                <w:bCs/>
                <w:sz w:val="18"/>
                <w:szCs w:val="18"/>
              </w:rPr>
              <w:t>2</w:t>
            </w:r>
          </w:p>
        </w:tc>
        <w:tc>
          <w:tcPr>
            <w:tcW w:w="87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000000" w:sz="4" w:space="0"/>
              <w:left w:val="single" w:color="auto" w:sz="4" w:space="0"/>
              <w:bottom w:val="single" w:color="000000" w:sz="4" w:space="0"/>
              <w:right w:val="single" w:color="000000" w:sz="4" w:space="0"/>
            </w:tcBorders>
            <w:vAlign w:val="center"/>
          </w:tcPr>
          <w:p>
            <w:pPr>
              <w:spacing w:line="240" w:lineRule="auto"/>
              <w:rPr>
                <w:sz w:val="18"/>
                <w:szCs w:val="18"/>
              </w:rPr>
            </w:pPr>
          </w:p>
        </w:tc>
        <w:tc>
          <w:tcPr>
            <w:tcW w:w="3634" w:type="dxa"/>
            <w:tcBorders>
              <w:top w:val="single" w:color="000000" w:sz="4" w:space="0"/>
              <w:left w:val="single" w:color="000000" w:sz="4" w:space="0"/>
              <w:bottom w:val="single" w:color="000000" w:sz="4" w:space="0"/>
              <w:right w:val="single" w:color="000000" w:sz="4" w:space="0"/>
            </w:tcBorders>
            <w:vAlign w:val="center"/>
          </w:tcPr>
          <w:p>
            <w:pPr>
              <w:spacing w:line="240" w:lineRule="exact"/>
              <w:rPr>
                <w:sz w:val="18"/>
                <w:szCs w:val="18"/>
              </w:rPr>
            </w:pPr>
            <w:r>
              <w:rPr>
                <w:sz w:val="18"/>
                <w:szCs w:val="18"/>
              </w:rPr>
              <w:t>文化学</w:t>
            </w:r>
          </w:p>
          <w:p>
            <w:pPr>
              <w:spacing w:line="240" w:lineRule="exact"/>
              <w:rPr>
                <w:sz w:val="18"/>
                <w:szCs w:val="18"/>
              </w:rPr>
            </w:pPr>
            <w:r>
              <w:rPr>
                <w:sz w:val="18"/>
                <w:szCs w:val="18"/>
              </w:rPr>
              <w:t>Cultural science</w:t>
            </w:r>
          </w:p>
        </w:tc>
        <w:tc>
          <w:tcPr>
            <w:tcW w:w="55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2</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p>
        </w:tc>
        <w:tc>
          <w:tcPr>
            <w:tcW w:w="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z w:val="18"/>
                <w:szCs w:val="18"/>
              </w:rPr>
            </w:pPr>
            <w:r>
              <w:rPr>
                <w:bCs/>
                <w:sz w:val="18"/>
                <w:szCs w:val="18"/>
              </w:rPr>
              <w:t>2</w:t>
            </w:r>
          </w:p>
        </w:tc>
        <w:tc>
          <w:tcPr>
            <w:tcW w:w="87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000000" w:sz="4" w:space="0"/>
              <w:left w:val="single" w:color="auto" w:sz="4" w:space="0"/>
              <w:bottom w:val="single" w:color="000000" w:sz="4" w:space="0"/>
              <w:right w:val="single" w:color="000000" w:sz="4" w:space="0"/>
            </w:tcBorders>
            <w:vAlign w:val="center"/>
          </w:tcPr>
          <w:p>
            <w:pPr>
              <w:spacing w:line="240" w:lineRule="auto"/>
              <w:jc w:val="center"/>
              <w:rPr>
                <w:sz w:val="18"/>
                <w:szCs w:val="18"/>
              </w:rPr>
            </w:pPr>
            <w:r>
              <w:rPr>
                <w:sz w:val="18"/>
                <w:szCs w:val="18"/>
              </w:rPr>
              <w:t>BK038015</w:t>
            </w:r>
          </w:p>
        </w:tc>
        <w:tc>
          <w:tcPr>
            <w:tcW w:w="3634" w:type="dxa"/>
            <w:tcBorders>
              <w:top w:val="single" w:color="000000" w:sz="4" w:space="0"/>
              <w:left w:val="single" w:color="000000" w:sz="4" w:space="0"/>
              <w:bottom w:val="single" w:color="000000" w:sz="4" w:space="0"/>
              <w:right w:val="single" w:color="000000" w:sz="4" w:space="0"/>
            </w:tcBorders>
            <w:vAlign w:val="center"/>
          </w:tcPr>
          <w:p>
            <w:pPr>
              <w:spacing w:line="240" w:lineRule="exact"/>
              <w:rPr>
                <w:sz w:val="18"/>
                <w:szCs w:val="18"/>
              </w:rPr>
            </w:pPr>
            <w:r>
              <w:rPr>
                <w:sz w:val="18"/>
                <w:szCs w:val="18"/>
              </w:rPr>
              <w:t>西方经济学</w:t>
            </w:r>
          </w:p>
          <w:p>
            <w:pPr>
              <w:spacing w:line="240" w:lineRule="exact"/>
              <w:rPr>
                <w:sz w:val="18"/>
                <w:szCs w:val="18"/>
              </w:rPr>
            </w:pPr>
            <w:r>
              <w:rPr>
                <w:sz w:val="18"/>
                <w:szCs w:val="18"/>
              </w:rPr>
              <w:t>Western Economics</w:t>
            </w:r>
          </w:p>
        </w:tc>
        <w:tc>
          <w:tcPr>
            <w:tcW w:w="55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3</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48</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40</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8</w:t>
            </w:r>
          </w:p>
        </w:tc>
        <w:tc>
          <w:tcPr>
            <w:tcW w:w="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pacing w:val="-8"/>
                <w:position w:val="-8"/>
                <w:sz w:val="18"/>
                <w:szCs w:val="18"/>
              </w:rPr>
            </w:pPr>
            <w:r>
              <w:rPr>
                <w:bCs/>
                <w:spacing w:val="-8"/>
                <w:position w:val="-8"/>
                <w:sz w:val="18"/>
                <w:szCs w:val="18"/>
              </w:rPr>
              <w:t>3</w:t>
            </w:r>
          </w:p>
        </w:tc>
        <w:tc>
          <w:tcPr>
            <w:tcW w:w="87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000000" w:sz="4" w:space="0"/>
              <w:left w:val="single" w:color="auto" w:sz="4" w:space="0"/>
              <w:bottom w:val="single" w:color="auto" w:sz="4" w:space="0"/>
              <w:right w:val="single" w:color="000000" w:sz="4" w:space="0"/>
            </w:tcBorders>
            <w:vAlign w:val="center"/>
          </w:tcPr>
          <w:p>
            <w:pPr>
              <w:spacing w:line="240" w:lineRule="auto"/>
              <w:jc w:val="center"/>
              <w:rPr>
                <w:sz w:val="18"/>
                <w:szCs w:val="18"/>
              </w:rPr>
            </w:pPr>
            <w:r>
              <w:rPr>
                <w:sz w:val="18"/>
                <w:szCs w:val="18"/>
              </w:rPr>
              <w:t>BK160007</w:t>
            </w:r>
          </w:p>
        </w:tc>
        <w:tc>
          <w:tcPr>
            <w:tcW w:w="3634" w:type="dxa"/>
            <w:tcBorders>
              <w:top w:val="single" w:color="000000" w:sz="4" w:space="0"/>
              <w:left w:val="single" w:color="000000" w:sz="4" w:space="0"/>
              <w:bottom w:val="single" w:color="auto" w:sz="4" w:space="0"/>
              <w:right w:val="single" w:color="000000" w:sz="4" w:space="0"/>
            </w:tcBorders>
            <w:vAlign w:val="center"/>
          </w:tcPr>
          <w:p>
            <w:pPr>
              <w:spacing w:line="240" w:lineRule="exact"/>
              <w:rPr>
                <w:sz w:val="18"/>
                <w:szCs w:val="18"/>
              </w:rPr>
            </w:pPr>
            <w:r>
              <w:rPr>
                <w:sz w:val="18"/>
                <w:szCs w:val="18"/>
              </w:rPr>
              <w:t>市场调查理论与方法</w:t>
            </w:r>
          </w:p>
          <w:p>
            <w:pPr>
              <w:spacing w:line="240" w:lineRule="exact"/>
              <w:rPr>
                <w:sz w:val="18"/>
                <w:szCs w:val="18"/>
              </w:rPr>
            </w:pPr>
            <w:r>
              <w:rPr>
                <w:sz w:val="18"/>
                <w:szCs w:val="18"/>
              </w:rPr>
              <w:t>Market Research Theory and Method</w:t>
            </w:r>
          </w:p>
        </w:tc>
        <w:tc>
          <w:tcPr>
            <w:tcW w:w="554" w:type="dxa"/>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2</w:t>
            </w:r>
          </w:p>
        </w:tc>
        <w:tc>
          <w:tcPr>
            <w:tcW w:w="599" w:type="dxa"/>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sz w:val="18"/>
                <w:szCs w:val="18"/>
              </w:rPr>
            </w:pPr>
          </w:p>
        </w:tc>
        <w:tc>
          <w:tcPr>
            <w:tcW w:w="575" w:type="dxa"/>
            <w:tcBorders>
              <w:top w:val="single" w:color="000000" w:sz="4" w:space="0"/>
              <w:left w:val="single" w:color="000000" w:sz="4" w:space="0"/>
              <w:bottom w:val="single" w:color="auto" w:sz="4" w:space="0"/>
              <w:right w:val="single" w:color="000000" w:sz="4" w:space="0"/>
            </w:tcBorders>
            <w:vAlign w:val="center"/>
          </w:tcPr>
          <w:p>
            <w:pPr>
              <w:spacing w:line="240" w:lineRule="auto"/>
              <w:ind w:right="-120" w:rightChars="-50"/>
              <w:jc w:val="center"/>
              <w:rPr>
                <w:bCs/>
                <w:sz w:val="18"/>
                <w:szCs w:val="18"/>
              </w:rPr>
            </w:pPr>
            <w:r>
              <w:rPr>
                <w:bCs/>
                <w:sz w:val="18"/>
                <w:szCs w:val="18"/>
              </w:rPr>
              <w:t>3</w:t>
            </w:r>
          </w:p>
        </w:tc>
        <w:tc>
          <w:tcPr>
            <w:tcW w:w="871" w:type="dxa"/>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628"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auto" w:sz="4" w:space="0"/>
              <w:left w:val="single" w:color="auto" w:sz="4" w:space="0"/>
              <w:bottom w:val="single" w:color="auto" w:sz="4" w:space="0"/>
              <w:right w:val="single" w:color="000000" w:sz="4" w:space="0"/>
            </w:tcBorders>
            <w:vAlign w:val="center"/>
          </w:tcPr>
          <w:p>
            <w:pPr>
              <w:spacing w:line="240" w:lineRule="auto"/>
              <w:jc w:val="center"/>
              <w:rPr>
                <w:sz w:val="18"/>
                <w:szCs w:val="18"/>
              </w:rPr>
            </w:pPr>
          </w:p>
        </w:tc>
        <w:tc>
          <w:tcPr>
            <w:tcW w:w="3634" w:type="dxa"/>
            <w:tcBorders>
              <w:top w:val="single" w:color="auto" w:sz="4" w:space="0"/>
              <w:left w:val="single" w:color="000000" w:sz="4" w:space="0"/>
              <w:bottom w:val="single" w:color="auto" w:sz="4" w:space="0"/>
              <w:right w:val="single" w:color="000000" w:sz="4" w:space="0"/>
            </w:tcBorders>
            <w:vAlign w:val="center"/>
          </w:tcPr>
          <w:p>
            <w:pPr>
              <w:spacing w:line="240" w:lineRule="exact"/>
              <w:rPr>
                <w:sz w:val="18"/>
                <w:szCs w:val="18"/>
              </w:rPr>
            </w:pPr>
            <w:r>
              <w:rPr>
                <w:sz w:val="18"/>
                <w:szCs w:val="18"/>
              </w:rPr>
              <w:t>新闻业务基础</w:t>
            </w:r>
          </w:p>
          <w:p>
            <w:pPr>
              <w:spacing w:line="240" w:lineRule="exact"/>
              <w:rPr>
                <w:sz w:val="18"/>
                <w:szCs w:val="18"/>
              </w:rPr>
            </w:pPr>
            <w:r>
              <w:rPr>
                <w:sz w:val="18"/>
                <w:szCs w:val="18"/>
              </w:rPr>
              <w:t>News business basics</w:t>
            </w:r>
          </w:p>
        </w:tc>
        <w:tc>
          <w:tcPr>
            <w:tcW w:w="554"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48</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40</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8</w:t>
            </w:r>
          </w:p>
        </w:tc>
        <w:tc>
          <w:tcPr>
            <w:tcW w:w="575" w:type="dxa"/>
            <w:tcBorders>
              <w:top w:val="single" w:color="auto" w:sz="4" w:space="0"/>
              <w:left w:val="single" w:color="000000" w:sz="4" w:space="0"/>
              <w:bottom w:val="single" w:color="auto" w:sz="4" w:space="0"/>
              <w:right w:val="single" w:color="000000" w:sz="4" w:space="0"/>
            </w:tcBorders>
            <w:vAlign w:val="center"/>
          </w:tcPr>
          <w:p>
            <w:pPr>
              <w:spacing w:line="240" w:lineRule="auto"/>
              <w:ind w:right="-120" w:rightChars="-50" w:firstLine="180" w:firstLineChars="100"/>
              <w:rPr>
                <w:bCs/>
                <w:sz w:val="18"/>
                <w:szCs w:val="18"/>
              </w:rPr>
            </w:pPr>
            <w:r>
              <w:rPr>
                <w:bCs/>
                <w:sz w:val="18"/>
                <w:szCs w:val="18"/>
              </w:rPr>
              <w:t>3</w:t>
            </w:r>
          </w:p>
        </w:tc>
        <w:tc>
          <w:tcPr>
            <w:tcW w:w="871"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auto" w:sz="4" w:space="0"/>
              <w:left w:val="single" w:color="auto" w:sz="4" w:space="0"/>
              <w:bottom w:val="single" w:color="000000" w:sz="4" w:space="0"/>
              <w:right w:val="single" w:color="000000" w:sz="4" w:space="0"/>
            </w:tcBorders>
            <w:vAlign w:val="center"/>
          </w:tcPr>
          <w:p>
            <w:pPr>
              <w:spacing w:line="240" w:lineRule="auto"/>
              <w:jc w:val="center"/>
              <w:rPr>
                <w:sz w:val="18"/>
                <w:szCs w:val="18"/>
              </w:rPr>
            </w:pPr>
          </w:p>
        </w:tc>
        <w:tc>
          <w:tcPr>
            <w:tcW w:w="3634" w:type="dxa"/>
            <w:tcBorders>
              <w:top w:val="single" w:color="auto" w:sz="4" w:space="0"/>
              <w:left w:val="single" w:color="000000" w:sz="4" w:space="0"/>
              <w:bottom w:val="single" w:color="auto" w:sz="4" w:space="0"/>
              <w:right w:val="single" w:color="000000" w:sz="4" w:space="0"/>
            </w:tcBorders>
            <w:vAlign w:val="center"/>
          </w:tcPr>
          <w:p>
            <w:pPr>
              <w:spacing w:line="240" w:lineRule="exact"/>
              <w:rPr>
                <w:sz w:val="18"/>
                <w:szCs w:val="18"/>
              </w:rPr>
            </w:pPr>
            <w:r>
              <w:rPr>
                <w:sz w:val="18"/>
                <w:szCs w:val="18"/>
              </w:rPr>
              <w:t>视听语言</w:t>
            </w:r>
          </w:p>
          <w:p>
            <w:pPr>
              <w:spacing w:line="240" w:lineRule="exact"/>
              <w:rPr>
                <w:sz w:val="18"/>
                <w:szCs w:val="18"/>
              </w:rPr>
            </w:pPr>
            <w:r>
              <w:rPr>
                <w:sz w:val="18"/>
                <w:szCs w:val="18"/>
              </w:rPr>
              <w:t>Audio-visual Language</w:t>
            </w:r>
          </w:p>
        </w:tc>
        <w:tc>
          <w:tcPr>
            <w:tcW w:w="554"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p>
        </w:tc>
        <w:tc>
          <w:tcPr>
            <w:tcW w:w="575" w:type="dxa"/>
            <w:tcBorders>
              <w:top w:val="single" w:color="auto" w:sz="4" w:space="0"/>
              <w:left w:val="single" w:color="000000" w:sz="4" w:space="0"/>
              <w:bottom w:val="single" w:color="auto" w:sz="4" w:space="0"/>
              <w:right w:val="single" w:color="000000" w:sz="4" w:space="0"/>
            </w:tcBorders>
            <w:vAlign w:val="center"/>
          </w:tcPr>
          <w:p>
            <w:pPr>
              <w:spacing w:line="240" w:lineRule="auto"/>
              <w:ind w:right="-120" w:rightChars="-50"/>
              <w:jc w:val="center"/>
              <w:rPr>
                <w:bCs/>
                <w:sz w:val="18"/>
                <w:szCs w:val="18"/>
              </w:rPr>
            </w:pPr>
            <w:r>
              <w:rPr>
                <w:bCs/>
                <w:sz w:val="18"/>
                <w:szCs w:val="18"/>
              </w:rPr>
              <w:t>3</w:t>
            </w:r>
          </w:p>
        </w:tc>
        <w:tc>
          <w:tcPr>
            <w:tcW w:w="871"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000000" w:sz="4" w:space="0"/>
              <w:left w:val="single" w:color="auto" w:sz="4" w:space="0"/>
              <w:bottom w:val="single" w:color="auto" w:sz="4" w:space="0"/>
              <w:right w:val="single" w:color="000000" w:sz="4" w:space="0"/>
            </w:tcBorders>
            <w:vAlign w:val="center"/>
          </w:tcPr>
          <w:p>
            <w:pPr>
              <w:spacing w:line="240" w:lineRule="auto"/>
              <w:jc w:val="center"/>
              <w:rPr>
                <w:sz w:val="18"/>
                <w:szCs w:val="18"/>
              </w:rPr>
            </w:pPr>
          </w:p>
        </w:tc>
        <w:tc>
          <w:tcPr>
            <w:tcW w:w="3634" w:type="dxa"/>
            <w:tcBorders>
              <w:top w:val="single" w:color="auto" w:sz="4" w:space="0"/>
              <w:left w:val="single" w:color="000000" w:sz="4" w:space="0"/>
              <w:bottom w:val="single" w:color="auto" w:sz="4" w:space="0"/>
              <w:right w:val="single" w:color="000000" w:sz="4" w:space="0"/>
            </w:tcBorders>
            <w:vAlign w:val="center"/>
          </w:tcPr>
          <w:p>
            <w:pPr>
              <w:spacing w:line="240" w:lineRule="exact"/>
              <w:rPr>
                <w:sz w:val="18"/>
                <w:szCs w:val="18"/>
              </w:rPr>
            </w:pPr>
            <w:r>
              <w:rPr>
                <w:sz w:val="18"/>
                <w:szCs w:val="18"/>
              </w:rPr>
              <w:t>艺术鉴赏</w:t>
            </w:r>
          </w:p>
          <w:p>
            <w:pPr>
              <w:spacing w:line="240" w:lineRule="exact"/>
              <w:rPr>
                <w:sz w:val="18"/>
                <w:szCs w:val="18"/>
              </w:rPr>
            </w:pPr>
            <w:r>
              <w:rPr>
                <w:sz w:val="18"/>
                <w:szCs w:val="18"/>
              </w:rPr>
              <w:t>Art appreciation</w:t>
            </w:r>
          </w:p>
        </w:tc>
        <w:tc>
          <w:tcPr>
            <w:tcW w:w="554"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48</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40</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8</w:t>
            </w:r>
          </w:p>
        </w:tc>
        <w:tc>
          <w:tcPr>
            <w:tcW w:w="575" w:type="dxa"/>
            <w:tcBorders>
              <w:top w:val="single" w:color="auto" w:sz="4" w:space="0"/>
              <w:left w:val="single" w:color="000000" w:sz="4" w:space="0"/>
              <w:bottom w:val="single" w:color="auto" w:sz="4" w:space="0"/>
              <w:right w:val="single" w:color="000000" w:sz="4" w:space="0"/>
            </w:tcBorders>
            <w:vAlign w:val="center"/>
          </w:tcPr>
          <w:p>
            <w:pPr>
              <w:spacing w:line="240" w:lineRule="auto"/>
              <w:ind w:right="-120" w:rightChars="-50"/>
              <w:jc w:val="center"/>
              <w:rPr>
                <w:bCs/>
                <w:sz w:val="18"/>
                <w:szCs w:val="18"/>
              </w:rPr>
            </w:pPr>
            <w:r>
              <w:rPr>
                <w:bCs/>
                <w:sz w:val="18"/>
                <w:szCs w:val="18"/>
              </w:rPr>
              <w:t>3</w:t>
            </w:r>
          </w:p>
        </w:tc>
        <w:tc>
          <w:tcPr>
            <w:tcW w:w="871"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000000" w:sz="4" w:space="0"/>
              <w:left w:val="single" w:color="auto" w:sz="4" w:space="0"/>
              <w:bottom w:val="single" w:color="auto" w:sz="4" w:space="0"/>
              <w:right w:val="single" w:color="000000" w:sz="4" w:space="0"/>
            </w:tcBorders>
            <w:vAlign w:val="center"/>
          </w:tcPr>
          <w:p>
            <w:pPr>
              <w:spacing w:line="240" w:lineRule="auto"/>
              <w:rPr>
                <w:sz w:val="18"/>
                <w:szCs w:val="18"/>
              </w:rPr>
            </w:pPr>
            <w:r>
              <w:rPr>
                <w:sz w:val="18"/>
                <w:szCs w:val="18"/>
              </w:rPr>
              <w:t>BK153008</w:t>
            </w:r>
          </w:p>
        </w:tc>
        <w:tc>
          <w:tcPr>
            <w:tcW w:w="3634" w:type="dxa"/>
            <w:tcBorders>
              <w:top w:val="single" w:color="auto" w:sz="4" w:space="0"/>
              <w:left w:val="single" w:color="000000" w:sz="4" w:space="0"/>
              <w:bottom w:val="single" w:color="auto" w:sz="4" w:space="0"/>
              <w:right w:val="single" w:color="000000" w:sz="4" w:space="0"/>
            </w:tcBorders>
            <w:vAlign w:val="center"/>
          </w:tcPr>
          <w:p>
            <w:pPr>
              <w:spacing w:line="240" w:lineRule="exact"/>
              <w:rPr>
                <w:sz w:val="18"/>
                <w:szCs w:val="18"/>
              </w:rPr>
            </w:pPr>
            <w:r>
              <w:rPr>
                <w:sz w:val="18"/>
                <w:szCs w:val="18"/>
              </w:rPr>
              <w:t>美学</w:t>
            </w:r>
          </w:p>
          <w:p>
            <w:pPr>
              <w:spacing w:line="240" w:lineRule="exact"/>
              <w:rPr>
                <w:sz w:val="18"/>
                <w:szCs w:val="18"/>
              </w:rPr>
            </w:pPr>
            <w:r>
              <w:rPr>
                <w:sz w:val="18"/>
                <w:szCs w:val="18"/>
              </w:rPr>
              <w:t>Aesthetic Lesson</w:t>
            </w:r>
          </w:p>
        </w:tc>
        <w:tc>
          <w:tcPr>
            <w:tcW w:w="554"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48</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40</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8</w:t>
            </w:r>
          </w:p>
        </w:tc>
        <w:tc>
          <w:tcPr>
            <w:tcW w:w="575" w:type="dxa"/>
            <w:tcBorders>
              <w:top w:val="single" w:color="auto" w:sz="4" w:space="0"/>
              <w:left w:val="single" w:color="000000" w:sz="4" w:space="0"/>
              <w:bottom w:val="single" w:color="auto" w:sz="4" w:space="0"/>
              <w:right w:val="single" w:color="000000" w:sz="4" w:space="0"/>
            </w:tcBorders>
            <w:vAlign w:val="center"/>
          </w:tcPr>
          <w:p>
            <w:pPr>
              <w:spacing w:line="240" w:lineRule="auto"/>
              <w:ind w:right="-120" w:rightChars="-50"/>
              <w:jc w:val="center"/>
              <w:rPr>
                <w:bCs/>
                <w:sz w:val="18"/>
                <w:szCs w:val="18"/>
              </w:rPr>
            </w:pPr>
            <w:r>
              <w:rPr>
                <w:bCs/>
                <w:spacing w:val="-8"/>
                <w:position w:val="-8"/>
                <w:sz w:val="18"/>
                <w:szCs w:val="18"/>
              </w:rPr>
              <w:t>4</w:t>
            </w:r>
          </w:p>
        </w:tc>
        <w:tc>
          <w:tcPr>
            <w:tcW w:w="871"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000000" w:sz="4" w:space="0"/>
              <w:left w:val="single" w:color="auto" w:sz="4" w:space="0"/>
              <w:bottom w:val="single" w:color="auto" w:sz="4" w:space="0"/>
              <w:right w:val="single" w:color="000000" w:sz="4" w:space="0"/>
            </w:tcBorders>
            <w:vAlign w:val="center"/>
          </w:tcPr>
          <w:p>
            <w:pPr>
              <w:spacing w:line="240" w:lineRule="auto"/>
              <w:jc w:val="center"/>
              <w:rPr>
                <w:sz w:val="18"/>
                <w:szCs w:val="18"/>
              </w:rPr>
            </w:pPr>
          </w:p>
        </w:tc>
        <w:tc>
          <w:tcPr>
            <w:tcW w:w="3634" w:type="dxa"/>
            <w:tcBorders>
              <w:top w:val="single" w:color="auto" w:sz="4" w:space="0"/>
              <w:left w:val="single" w:color="000000" w:sz="4" w:space="0"/>
              <w:bottom w:val="single" w:color="auto" w:sz="4" w:space="0"/>
              <w:right w:val="single" w:color="000000" w:sz="4" w:space="0"/>
            </w:tcBorders>
            <w:vAlign w:val="center"/>
          </w:tcPr>
          <w:p>
            <w:pPr>
              <w:spacing w:line="240" w:lineRule="exact"/>
              <w:rPr>
                <w:sz w:val="18"/>
                <w:szCs w:val="18"/>
              </w:rPr>
            </w:pPr>
            <w:r>
              <w:rPr>
                <w:sz w:val="18"/>
                <w:szCs w:val="18"/>
              </w:rPr>
              <w:t>交互设计</w:t>
            </w:r>
          </w:p>
          <w:p>
            <w:pPr>
              <w:spacing w:line="240" w:lineRule="exact"/>
              <w:rPr>
                <w:sz w:val="18"/>
                <w:szCs w:val="18"/>
              </w:rPr>
            </w:pPr>
            <w:r>
              <w:rPr>
                <w:sz w:val="18"/>
                <w:szCs w:val="18"/>
                <w:shd w:val="clear" w:color="auto" w:fill="FFFFFF"/>
              </w:rPr>
              <w:t>Interaction Design</w:t>
            </w:r>
          </w:p>
        </w:tc>
        <w:tc>
          <w:tcPr>
            <w:tcW w:w="554"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24</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8</w:t>
            </w:r>
          </w:p>
        </w:tc>
        <w:tc>
          <w:tcPr>
            <w:tcW w:w="575" w:type="dxa"/>
            <w:tcBorders>
              <w:top w:val="single" w:color="auto" w:sz="4" w:space="0"/>
              <w:left w:val="single" w:color="000000" w:sz="4" w:space="0"/>
              <w:bottom w:val="single" w:color="auto" w:sz="4" w:space="0"/>
              <w:right w:val="single" w:color="000000" w:sz="4" w:space="0"/>
            </w:tcBorders>
            <w:vAlign w:val="center"/>
          </w:tcPr>
          <w:p>
            <w:pPr>
              <w:spacing w:line="240" w:lineRule="auto"/>
              <w:ind w:right="-120" w:rightChars="-50"/>
              <w:jc w:val="center"/>
              <w:rPr>
                <w:bCs/>
                <w:sz w:val="18"/>
                <w:szCs w:val="18"/>
              </w:rPr>
            </w:pPr>
            <w:r>
              <w:rPr>
                <w:bCs/>
                <w:sz w:val="18"/>
                <w:szCs w:val="18"/>
              </w:rPr>
              <w:t>4</w:t>
            </w:r>
          </w:p>
        </w:tc>
        <w:tc>
          <w:tcPr>
            <w:tcW w:w="871"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auto" w:sz="4" w:space="0"/>
              <w:left w:val="single" w:color="auto" w:sz="4" w:space="0"/>
              <w:bottom w:val="single" w:color="auto" w:sz="4" w:space="0"/>
              <w:right w:val="single" w:color="000000" w:sz="4" w:space="0"/>
            </w:tcBorders>
            <w:vAlign w:val="center"/>
          </w:tcPr>
          <w:p>
            <w:pPr>
              <w:spacing w:line="240" w:lineRule="auto"/>
              <w:jc w:val="center"/>
              <w:rPr>
                <w:sz w:val="18"/>
                <w:szCs w:val="18"/>
              </w:rPr>
            </w:pPr>
            <w:r>
              <w:rPr>
                <w:sz w:val="18"/>
                <w:szCs w:val="18"/>
              </w:rPr>
              <w:t>BK160015</w:t>
            </w:r>
          </w:p>
        </w:tc>
        <w:tc>
          <w:tcPr>
            <w:tcW w:w="3634" w:type="dxa"/>
            <w:tcBorders>
              <w:top w:val="single" w:color="auto" w:sz="4" w:space="0"/>
              <w:left w:val="single" w:color="000000" w:sz="4" w:space="0"/>
              <w:bottom w:val="single" w:color="auto" w:sz="4" w:space="0"/>
              <w:right w:val="single" w:color="000000" w:sz="4" w:space="0"/>
            </w:tcBorders>
            <w:vAlign w:val="center"/>
          </w:tcPr>
          <w:p>
            <w:pPr>
              <w:spacing w:line="240" w:lineRule="exact"/>
              <w:rPr>
                <w:sz w:val="18"/>
                <w:szCs w:val="18"/>
              </w:rPr>
            </w:pPr>
            <w:r>
              <w:rPr>
                <w:sz w:val="18"/>
                <w:szCs w:val="18"/>
              </w:rPr>
              <w:t>文化产业政策与法规</w:t>
            </w:r>
          </w:p>
          <w:p>
            <w:pPr>
              <w:spacing w:line="240" w:lineRule="exact"/>
              <w:rPr>
                <w:sz w:val="18"/>
                <w:szCs w:val="18"/>
              </w:rPr>
            </w:pPr>
            <w:r>
              <w:rPr>
                <w:sz w:val="18"/>
                <w:szCs w:val="18"/>
              </w:rPr>
              <w:t>Cultural Industry Policies and Regulations</w:t>
            </w:r>
          </w:p>
        </w:tc>
        <w:tc>
          <w:tcPr>
            <w:tcW w:w="554"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p>
        </w:tc>
        <w:tc>
          <w:tcPr>
            <w:tcW w:w="575" w:type="dxa"/>
            <w:tcBorders>
              <w:top w:val="single" w:color="auto" w:sz="4" w:space="0"/>
              <w:left w:val="single" w:color="000000" w:sz="4" w:space="0"/>
              <w:bottom w:val="single" w:color="auto" w:sz="4" w:space="0"/>
              <w:right w:val="single" w:color="000000" w:sz="4" w:space="0"/>
            </w:tcBorders>
            <w:vAlign w:val="center"/>
          </w:tcPr>
          <w:p>
            <w:pPr>
              <w:spacing w:line="240" w:lineRule="auto"/>
              <w:ind w:right="-120" w:rightChars="-50"/>
              <w:jc w:val="center"/>
              <w:rPr>
                <w:bCs/>
                <w:sz w:val="18"/>
                <w:szCs w:val="18"/>
              </w:rPr>
            </w:pPr>
            <w:r>
              <w:rPr>
                <w:bCs/>
                <w:sz w:val="18"/>
                <w:szCs w:val="18"/>
              </w:rPr>
              <w:t>4</w:t>
            </w:r>
          </w:p>
        </w:tc>
        <w:tc>
          <w:tcPr>
            <w:tcW w:w="871"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auto" w:sz="4" w:space="0"/>
              <w:left w:val="single" w:color="auto" w:sz="4" w:space="0"/>
              <w:bottom w:val="single" w:color="auto" w:sz="4" w:space="0"/>
              <w:right w:val="single" w:color="000000" w:sz="4" w:space="0"/>
            </w:tcBorders>
            <w:vAlign w:val="center"/>
          </w:tcPr>
          <w:p>
            <w:pPr>
              <w:spacing w:line="240" w:lineRule="auto"/>
              <w:jc w:val="center"/>
              <w:rPr>
                <w:sz w:val="18"/>
                <w:szCs w:val="18"/>
              </w:rPr>
            </w:pPr>
          </w:p>
        </w:tc>
        <w:tc>
          <w:tcPr>
            <w:tcW w:w="3634" w:type="dxa"/>
            <w:tcBorders>
              <w:top w:val="single" w:color="auto" w:sz="4" w:space="0"/>
              <w:left w:val="single" w:color="000000" w:sz="4" w:space="0"/>
              <w:bottom w:val="single" w:color="auto" w:sz="4" w:space="0"/>
              <w:right w:val="single" w:color="000000" w:sz="4" w:space="0"/>
            </w:tcBorders>
            <w:vAlign w:val="center"/>
          </w:tcPr>
          <w:p>
            <w:pPr>
              <w:spacing w:line="240" w:lineRule="exact"/>
              <w:rPr>
                <w:sz w:val="18"/>
                <w:szCs w:val="18"/>
              </w:rPr>
            </w:pPr>
            <w:r>
              <w:rPr>
                <w:sz w:val="18"/>
                <w:szCs w:val="18"/>
              </w:rPr>
              <w:t>消费心理学</w:t>
            </w:r>
          </w:p>
          <w:p>
            <w:pPr>
              <w:spacing w:line="240" w:lineRule="exact"/>
              <w:rPr>
                <w:sz w:val="18"/>
                <w:szCs w:val="18"/>
              </w:rPr>
            </w:pPr>
            <w:r>
              <w:rPr>
                <w:sz w:val="18"/>
                <w:szCs w:val="18"/>
              </w:rPr>
              <w:t>Psychology of  Consumer</w:t>
            </w:r>
          </w:p>
        </w:tc>
        <w:tc>
          <w:tcPr>
            <w:tcW w:w="554"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p>
        </w:tc>
        <w:tc>
          <w:tcPr>
            <w:tcW w:w="575" w:type="dxa"/>
            <w:tcBorders>
              <w:top w:val="single" w:color="auto" w:sz="4" w:space="0"/>
              <w:left w:val="single" w:color="000000" w:sz="4" w:space="0"/>
              <w:bottom w:val="single" w:color="auto" w:sz="4" w:space="0"/>
              <w:right w:val="single" w:color="000000" w:sz="4" w:space="0"/>
            </w:tcBorders>
            <w:vAlign w:val="center"/>
          </w:tcPr>
          <w:p>
            <w:pPr>
              <w:spacing w:line="240" w:lineRule="auto"/>
              <w:ind w:right="-120" w:rightChars="-50"/>
              <w:jc w:val="center"/>
              <w:rPr>
                <w:bCs/>
                <w:sz w:val="18"/>
                <w:szCs w:val="18"/>
              </w:rPr>
            </w:pPr>
            <w:r>
              <w:rPr>
                <w:bCs/>
                <w:sz w:val="18"/>
                <w:szCs w:val="18"/>
              </w:rPr>
              <w:t>4</w:t>
            </w:r>
          </w:p>
        </w:tc>
        <w:tc>
          <w:tcPr>
            <w:tcW w:w="871"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9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auto" w:sz="4" w:space="0"/>
              <w:left w:val="single" w:color="auto" w:sz="4" w:space="0"/>
              <w:bottom w:val="single" w:color="auto" w:sz="4" w:space="0"/>
              <w:right w:val="single" w:color="000000" w:sz="4" w:space="0"/>
            </w:tcBorders>
            <w:vAlign w:val="center"/>
          </w:tcPr>
          <w:p>
            <w:pPr>
              <w:spacing w:line="240" w:lineRule="auto"/>
              <w:jc w:val="center"/>
              <w:rPr>
                <w:sz w:val="18"/>
                <w:szCs w:val="18"/>
              </w:rPr>
            </w:pPr>
            <w:r>
              <w:rPr>
                <w:sz w:val="18"/>
                <w:szCs w:val="18"/>
              </w:rPr>
              <w:t>BK160019</w:t>
            </w:r>
          </w:p>
        </w:tc>
        <w:tc>
          <w:tcPr>
            <w:tcW w:w="3634" w:type="dxa"/>
            <w:tcBorders>
              <w:top w:val="single" w:color="auto" w:sz="4" w:space="0"/>
              <w:left w:val="single" w:color="000000" w:sz="4" w:space="0"/>
              <w:bottom w:val="single" w:color="auto" w:sz="4" w:space="0"/>
              <w:right w:val="single" w:color="000000" w:sz="4" w:space="0"/>
            </w:tcBorders>
            <w:vAlign w:val="center"/>
          </w:tcPr>
          <w:p>
            <w:pPr>
              <w:spacing w:line="240" w:lineRule="exact"/>
              <w:rPr>
                <w:sz w:val="18"/>
                <w:szCs w:val="18"/>
              </w:rPr>
            </w:pPr>
            <w:r>
              <w:rPr>
                <w:sz w:val="18"/>
                <w:szCs w:val="18"/>
              </w:rPr>
              <w:t>文化投资学</w:t>
            </w:r>
          </w:p>
          <w:p>
            <w:pPr>
              <w:spacing w:line="240" w:lineRule="exact"/>
              <w:rPr>
                <w:sz w:val="18"/>
                <w:szCs w:val="18"/>
              </w:rPr>
            </w:pPr>
            <w:r>
              <w:rPr>
                <w:sz w:val="18"/>
                <w:szCs w:val="18"/>
              </w:rPr>
              <w:t>Cultural Investment</w:t>
            </w:r>
          </w:p>
        </w:tc>
        <w:tc>
          <w:tcPr>
            <w:tcW w:w="554"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p>
        </w:tc>
        <w:tc>
          <w:tcPr>
            <w:tcW w:w="575" w:type="dxa"/>
            <w:tcBorders>
              <w:top w:val="single" w:color="auto" w:sz="4" w:space="0"/>
              <w:left w:val="single" w:color="000000" w:sz="4" w:space="0"/>
              <w:bottom w:val="single" w:color="auto" w:sz="4" w:space="0"/>
              <w:right w:val="single" w:color="000000" w:sz="4" w:space="0"/>
            </w:tcBorders>
            <w:vAlign w:val="center"/>
          </w:tcPr>
          <w:p>
            <w:pPr>
              <w:spacing w:line="240" w:lineRule="auto"/>
              <w:ind w:right="-120" w:rightChars="-50"/>
              <w:jc w:val="center"/>
              <w:rPr>
                <w:bCs/>
                <w:sz w:val="18"/>
                <w:szCs w:val="18"/>
              </w:rPr>
            </w:pPr>
            <w:r>
              <w:rPr>
                <w:bCs/>
                <w:sz w:val="18"/>
                <w:szCs w:val="18"/>
              </w:rPr>
              <w:t>4</w:t>
            </w:r>
          </w:p>
        </w:tc>
        <w:tc>
          <w:tcPr>
            <w:tcW w:w="871"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auto" w:sz="4" w:space="0"/>
              <w:left w:val="single" w:color="auto" w:sz="4" w:space="0"/>
              <w:bottom w:val="single" w:color="auto" w:sz="4" w:space="0"/>
              <w:right w:val="single" w:color="000000" w:sz="4" w:space="0"/>
            </w:tcBorders>
            <w:vAlign w:val="center"/>
          </w:tcPr>
          <w:p>
            <w:pPr>
              <w:spacing w:line="240" w:lineRule="auto"/>
              <w:jc w:val="center"/>
              <w:rPr>
                <w:sz w:val="18"/>
                <w:szCs w:val="18"/>
              </w:rPr>
            </w:pPr>
          </w:p>
        </w:tc>
        <w:tc>
          <w:tcPr>
            <w:tcW w:w="3634" w:type="dxa"/>
            <w:tcBorders>
              <w:top w:val="single" w:color="auto" w:sz="4" w:space="0"/>
              <w:left w:val="single" w:color="000000" w:sz="4" w:space="0"/>
              <w:bottom w:val="single" w:color="auto" w:sz="4" w:space="0"/>
              <w:right w:val="single" w:color="000000" w:sz="4" w:space="0"/>
            </w:tcBorders>
            <w:vAlign w:val="center"/>
          </w:tcPr>
          <w:p>
            <w:pPr>
              <w:spacing w:line="240" w:lineRule="exact"/>
              <w:rPr>
                <w:sz w:val="18"/>
                <w:szCs w:val="18"/>
              </w:rPr>
            </w:pPr>
            <w:r>
              <w:rPr>
                <w:sz w:val="18"/>
                <w:szCs w:val="18"/>
              </w:rPr>
              <w:t>影视制作</w:t>
            </w:r>
          </w:p>
          <w:p>
            <w:pPr>
              <w:spacing w:line="240" w:lineRule="exact"/>
              <w:rPr>
                <w:sz w:val="18"/>
                <w:szCs w:val="18"/>
              </w:rPr>
            </w:pPr>
            <w:r>
              <w:rPr>
                <w:sz w:val="18"/>
                <w:szCs w:val="18"/>
              </w:rPr>
              <w:t>Film and Video Production</w:t>
            </w:r>
          </w:p>
        </w:tc>
        <w:tc>
          <w:tcPr>
            <w:tcW w:w="554"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24</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8</w:t>
            </w:r>
          </w:p>
        </w:tc>
        <w:tc>
          <w:tcPr>
            <w:tcW w:w="575" w:type="dxa"/>
            <w:tcBorders>
              <w:top w:val="single" w:color="auto" w:sz="4" w:space="0"/>
              <w:left w:val="single" w:color="000000" w:sz="4" w:space="0"/>
              <w:bottom w:val="single" w:color="auto" w:sz="4" w:space="0"/>
              <w:right w:val="single" w:color="000000" w:sz="4" w:space="0"/>
            </w:tcBorders>
            <w:vAlign w:val="center"/>
          </w:tcPr>
          <w:p>
            <w:pPr>
              <w:spacing w:line="240" w:lineRule="auto"/>
              <w:ind w:right="-120" w:rightChars="-50"/>
              <w:jc w:val="center"/>
              <w:rPr>
                <w:bCs/>
                <w:sz w:val="18"/>
                <w:szCs w:val="18"/>
              </w:rPr>
            </w:pPr>
            <w:r>
              <w:rPr>
                <w:bCs/>
                <w:sz w:val="18"/>
                <w:szCs w:val="18"/>
              </w:rPr>
              <w:t>4</w:t>
            </w:r>
          </w:p>
        </w:tc>
        <w:tc>
          <w:tcPr>
            <w:tcW w:w="871"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auto" w:sz="4" w:space="0"/>
              <w:left w:val="single" w:color="auto" w:sz="4" w:space="0"/>
              <w:bottom w:val="single" w:color="auto" w:sz="4" w:space="0"/>
              <w:right w:val="single" w:color="000000" w:sz="4" w:space="0"/>
            </w:tcBorders>
            <w:vAlign w:val="center"/>
          </w:tcPr>
          <w:p>
            <w:pPr>
              <w:spacing w:line="240" w:lineRule="auto"/>
              <w:jc w:val="center"/>
              <w:rPr>
                <w:sz w:val="18"/>
                <w:szCs w:val="18"/>
              </w:rPr>
            </w:pPr>
          </w:p>
        </w:tc>
        <w:tc>
          <w:tcPr>
            <w:tcW w:w="3634" w:type="dxa"/>
            <w:tcBorders>
              <w:top w:val="single" w:color="auto" w:sz="4" w:space="0"/>
              <w:left w:val="single" w:color="000000" w:sz="4" w:space="0"/>
              <w:bottom w:val="single" w:color="auto" w:sz="4" w:space="0"/>
              <w:right w:val="single" w:color="000000" w:sz="4" w:space="0"/>
            </w:tcBorders>
            <w:vAlign w:val="center"/>
          </w:tcPr>
          <w:p>
            <w:pPr>
              <w:spacing w:line="240" w:lineRule="exact"/>
              <w:rPr>
                <w:sz w:val="18"/>
                <w:szCs w:val="18"/>
              </w:rPr>
            </w:pPr>
            <w:r>
              <w:rPr>
                <w:sz w:val="18"/>
                <w:szCs w:val="18"/>
              </w:rPr>
              <w:t>民俗学</w:t>
            </w:r>
          </w:p>
          <w:p>
            <w:pPr>
              <w:spacing w:line="240" w:lineRule="exact"/>
              <w:rPr>
                <w:sz w:val="18"/>
                <w:szCs w:val="18"/>
              </w:rPr>
            </w:pPr>
            <w:r>
              <w:rPr>
                <w:sz w:val="18"/>
                <w:szCs w:val="18"/>
              </w:rPr>
              <w:t>Folklore Study</w:t>
            </w:r>
          </w:p>
        </w:tc>
        <w:tc>
          <w:tcPr>
            <w:tcW w:w="554"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p>
        </w:tc>
        <w:tc>
          <w:tcPr>
            <w:tcW w:w="575" w:type="dxa"/>
            <w:tcBorders>
              <w:top w:val="single" w:color="auto" w:sz="4" w:space="0"/>
              <w:left w:val="single" w:color="000000" w:sz="4" w:space="0"/>
              <w:bottom w:val="single" w:color="auto" w:sz="4" w:space="0"/>
              <w:right w:val="single" w:color="000000" w:sz="4" w:space="0"/>
            </w:tcBorders>
            <w:vAlign w:val="center"/>
          </w:tcPr>
          <w:p>
            <w:pPr>
              <w:spacing w:line="240" w:lineRule="auto"/>
              <w:ind w:right="-120" w:rightChars="-50"/>
              <w:jc w:val="center"/>
              <w:rPr>
                <w:bCs/>
                <w:sz w:val="18"/>
                <w:szCs w:val="18"/>
              </w:rPr>
            </w:pPr>
            <w:r>
              <w:rPr>
                <w:bCs/>
                <w:sz w:val="18"/>
                <w:szCs w:val="18"/>
              </w:rPr>
              <w:t>5</w:t>
            </w:r>
          </w:p>
        </w:tc>
        <w:tc>
          <w:tcPr>
            <w:tcW w:w="871"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auto" w:sz="4" w:space="0"/>
              <w:left w:val="single" w:color="auto" w:sz="4" w:space="0"/>
              <w:bottom w:val="single" w:color="auto" w:sz="4" w:space="0"/>
              <w:right w:val="single" w:color="000000" w:sz="4" w:space="0"/>
            </w:tcBorders>
            <w:vAlign w:val="center"/>
          </w:tcPr>
          <w:p>
            <w:pPr>
              <w:spacing w:line="240" w:lineRule="auto"/>
              <w:jc w:val="center"/>
              <w:rPr>
                <w:sz w:val="18"/>
                <w:szCs w:val="18"/>
              </w:rPr>
            </w:pPr>
            <w:r>
              <w:rPr>
                <w:sz w:val="18"/>
                <w:szCs w:val="18"/>
              </w:rPr>
              <w:t>BK160011</w:t>
            </w:r>
          </w:p>
        </w:tc>
        <w:tc>
          <w:tcPr>
            <w:tcW w:w="3634" w:type="dxa"/>
            <w:tcBorders>
              <w:top w:val="single" w:color="auto" w:sz="4" w:space="0"/>
              <w:left w:val="single" w:color="000000" w:sz="4" w:space="0"/>
              <w:bottom w:val="single" w:color="auto" w:sz="4" w:space="0"/>
              <w:right w:val="single" w:color="000000" w:sz="4" w:space="0"/>
            </w:tcBorders>
            <w:vAlign w:val="center"/>
          </w:tcPr>
          <w:p>
            <w:pPr>
              <w:spacing w:line="240" w:lineRule="exact"/>
              <w:rPr>
                <w:sz w:val="18"/>
                <w:szCs w:val="18"/>
              </w:rPr>
            </w:pPr>
            <w:r>
              <w:rPr>
                <w:sz w:val="18"/>
                <w:szCs w:val="18"/>
              </w:rPr>
              <w:t>文化产业经济学</w:t>
            </w:r>
          </w:p>
          <w:p>
            <w:pPr>
              <w:spacing w:line="240" w:lineRule="exact"/>
              <w:rPr>
                <w:sz w:val="18"/>
                <w:szCs w:val="18"/>
              </w:rPr>
            </w:pPr>
            <w:r>
              <w:rPr>
                <w:sz w:val="18"/>
                <w:szCs w:val="18"/>
              </w:rPr>
              <w:t>Cultural Industry Economics</w:t>
            </w:r>
          </w:p>
        </w:tc>
        <w:tc>
          <w:tcPr>
            <w:tcW w:w="554"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p>
        </w:tc>
        <w:tc>
          <w:tcPr>
            <w:tcW w:w="575" w:type="dxa"/>
            <w:tcBorders>
              <w:top w:val="single" w:color="auto" w:sz="4" w:space="0"/>
              <w:left w:val="single" w:color="000000" w:sz="4" w:space="0"/>
              <w:bottom w:val="single" w:color="auto" w:sz="4" w:space="0"/>
              <w:right w:val="single" w:color="000000" w:sz="4" w:space="0"/>
            </w:tcBorders>
            <w:vAlign w:val="center"/>
          </w:tcPr>
          <w:p>
            <w:pPr>
              <w:spacing w:line="240" w:lineRule="auto"/>
              <w:ind w:right="-120" w:rightChars="-50"/>
              <w:jc w:val="center"/>
              <w:rPr>
                <w:bCs/>
                <w:sz w:val="18"/>
                <w:szCs w:val="18"/>
              </w:rPr>
            </w:pPr>
            <w:r>
              <w:rPr>
                <w:bCs/>
                <w:sz w:val="18"/>
                <w:szCs w:val="18"/>
              </w:rPr>
              <w:t>5</w:t>
            </w:r>
          </w:p>
        </w:tc>
        <w:tc>
          <w:tcPr>
            <w:tcW w:w="871"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auto" w:sz="4" w:space="0"/>
              <w:left w:val="single" w:color="auto" w:sz="4" w:space="0"/>
              <w:bottom w:val="single" w:color="auto" w:sz="4" w:space="0"/>
              <w:right w:val="single" w:color="000000" w:sz="4" w:space="0"/>
            </w:tcBorders>
            <w:vAlign w:val="center"/>
          </w:tcPr>
          <w:p>
            <w:pPr>
              <w:spacing w:line="240" w:lineRule="auto"/>
              <w:jc w:val="center"/>
              <w:rPr>
                <w:sz w:val="18"/>
                <w:szCs w:val="18"/>
              </w:rPr>
            </w:pPr>
            <w:r>
              <w:rPr>
                <w:sz w:val="18"/>
                <w:szCs w:val="18"/>
              </w:rPr>
              <w:t>BK160004</w:t>
            </w:r>
          </w:p>
        </w:tc>
        <w:tc>
          <w:tcPr>
            <w:tcW w:w="3634" w:type="dxa"/>
            <w:tcBorders>
              <w:top w:val="single" w:color="auto" w:sz="4" w:space="0"/>
              <w:left w:val="single" w:color="000000" w:sz="4" w:space="0"/>
              <w:bottom w:val="single" w:color="auto" w:sz="4" w:space="0"/>
              <w:right w:val="single" w:color="000000" w:sz="4" w:space="0"/>
            </w:tcBorders>
            <w:vAlign w:val="center"/>
          </w:tcPr>
          <w:p>
            <w:pPr>
              <w:spacing w:line="240" w:lineRule="exact"/>
              <w:rPr>
                <w:sz w:val="18"/>
                <w:szCs w:val="18"/>
              </w:rPr>
            </w:pPr>
            <w:r>
              <w:rPr>
                <w:sz w:val="18"/>
                <w:szCs w:val="18"/>
              </w:rPr>
              <w:t>人力资源管理</w:t>
            </w:r>
          </w:p>
          <w:p>
            <w:pPr>
              <w:spacing w:line="240" w:lineRule="exact"/>
              <w:rPr>
                <w:sz w:val="18"/>
                <w:szCs w:val="18"/>
              </w:rPr>
            </w:pPr>
            <w:r>
              <w:rPr>
                <w:sz w:val="18"/>
                <w:szCs w:val="18"/>
              </w:rPr>
              <w:t>Human Resource Management</w:t>
            </w:r>
          </w:p>
        </w:tc>
        <w:tc>
          <w:tcPr>
            <w:tcW w:w="554"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48</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48</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p>
        </w:tc>
        <w:tc>
          <w:tcPr>
            <w:tcW w:w="575" w:type="dxa"/>
            <w:tcBorders>
              <w:top w:val="single" w:color="auto" w:sz="4" w:space="0"/>
              <w:left w:val="single" w:color="000000" w:sz="4" w:space="0"/>
              <w:bottom w:val="single" w:color="auto" w:sz="4" w:space="0"/>
              <w:right w:val="single" w:color="000000" w:sz="4" w:space="0"/>
            </w:tcBorders>
            <w:vAlign w:val="center"/>
          </w:tcPr>
          <w:p>
            <w:pPr>
              <w:spacing w:line="240" w:lineRule="auto"/>
              <w:ind w:right="-120" w:rightChars="-50"/>
              <w:jc w:val="center"/>
              <w:rPr>
                <w:bCs/>
                <w:sz w:val="18"/>
                <w:szCs w:val="18"/>
              </w:rPr>
            </w:pPr>
            <w:r>
              <w:rPr>
                <w:bCs/>
                <w:sz w:val="18"/>
                <w:szCs w:val="18"/>
              </w:rPr>
              <w:t>5</w:t>
            </w:r>
          </w:p>
        </w:tc>
        <w:tc>
          <w:tcPr>
            <w:tcW w:w="871"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auto" w:sz="4" w:space="0"/>
              <w:left w:val="single" w:color="auto" w:sz="4" w:space="0"/>
              <w:right w:val="single" w:color="000000" w:sz="4" w:space="0"/>
            </w:tcBorders>
            <w:vAlign w:val="center"/>
          </w:tcPr>
          <w:p>
            <w:pPr>
              <w:spacing w:line="240" w:lineRule="auto"/>
              <w:jc w:val="center"/>
              <w:rPr>
                <w:sz w:val="18"/>
                <w:szCs w:val="18"/>
              </w:rPr>
            </w:pPr>
            <w:r>
              <w:rPr>
                <w:sz w:val="18"/>
                <w:szCs w:val="18"/>
              </w:rPr>
              <w:t>BK153006</w:t>
            </w:r>
          </w:p>
        </w:tc>
        <w:tc>
          <w:tcPr>
            <w:tcW w:w="3634" w:type="dxa"/>
            <w:tcBorders>
              <w:top w:val="single" w:color="auto" w:sz="4" w:space="0"/>
              <w:left w:val="single" w:color="000000" w:sz="4" w:space="0"/>
              <w:bottom w:val="single" w:color="auto" w:sz="4" w:space="0"/>
              <w:right w:val="single" w:color="000000" w:sz="4" w:space="0"/>
            </w:tcBorders>
            <w:vAlign w:val="center"/>
          </w:tcPr>
          <w:p>
            <w:pPr>
              <w:spacing w:line="240" w:lineRule="exact"/>
              <w:rPr>
                <w:sz w:val="18"/>
                <w:szCs w:val="18"/>
              </w:rPr>
            </w:pPr>
            <w:r>
              <w:rPr>
                <w:sz w:val="18"/>
                <w:szCs w:val="18"/>
              </w:rPr>
              <w:t>传播学</w:t>
            </w:r>
          </w:p>
          <w:p>
            <w:pPr>
              <w:spacing w:line="240" w:lineRule="exact"/>
              <w:rPr>
                <w:sz w:val="18"/>
                <w:szCs w:val="18"/>
              </w:rPr>
            </w:pPr>
            <w:r>
              <w:rPr>
                <w:sz w:val="18"/>
                <w:szCs w:val="18"/>
              </w:rPr>
              <w:t>Communication Study</w:t>
            </w:r>
          </w:p>
        </w:tc>
        <w:tc>
          <w:tcPr>
            <w:tcW w:w="554"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24</w:t>
            </w:r>
          </w:p>
        </w:tc>
        <w:tc>
          <w:tcPr>
            <w:tcW w:w="599"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8</w:t>
            </w:r>
          </w:p>
        </w:tc>
        <w:tc>
          <w:tcPr>
            <w:tcW w:w="575" w:type="dxa"/>
            <w:tcBorders>
              <w:top w:val="single" w:color="auto" w:sz="4" w:space="0"/>
              <w:left w:val="single" w:color="000000" w:sz="4" w:space="0"/>
              <w:bottom w:val="single" w:color="auto" w:sz="4" w:space="0"/>
              <w:right w:val="single" w:color="000000" w:sz="4" w:space="0"/>
            </w:tcBorders>
            <w:vAlign w:val="center"/>
          </w:tcPr>
          <w:p>
            <w:pPr>
              <w:spacing w:line="240" w:lineRule="auto"/>
              <w:ind w:right="-120" w:rightChars="-50"/>
              <w:jc w:val="center"/>
              <w:rPr>
                <w:bCs/>
                <w:sz w:val="18"/>
                <w:szCs w:val="18"/>
              </w:rPr>
            </w:pPr>
            <w:r>
              <w:rPr>
                <w:bCs/>
                <w:sz w:val="18"/>
                <w:szCs w:val="18"/>
              </w:rPr>
              <w:t>5</w:t>
            </w:r>
          </w:p>
        </w:tc>
        <w:tc>
          <w:tcPr>
            <w:tcW w:w="871" w:type="dxa"/>
            <w:tcBorders>
              <w:top w:val="single" w:color="auto"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1135" w:type="dxa"/>
            <w:tcBorders>
              <w:top w:val="single" w:color="auto" w:sz="4" w:space="0"/>
              <w:left w:val="single" w:color="auto" w:sz="4" w:space="0"/>
              <w:bottom w:val="single" w:color="000000" w:sz="4" w:space="0"/>
              <w:right w:val="single" w:color="000000" w:sz="4" w:space="0"/>
            </w:tcBorders>
            <w:vAlign w:val="center"/>
          </w:tcPr>
          <w:p>
            <w:pPr>
              <w:spacing w:line="240" w:lineRule="auto"/>
              <w:jc w:val="center"/>
              <w:rPr>
                <w:sz w:val="18"/>
                <w:szCs w:val="18"/>
              </w:rPr>
            </w:pPr>
            <w:r>
              <w:rPr>
                <w:sz w:val="18"/>
                <w:szCs w:val="18"/>
              </w:rPr>
              <w:t>BK160018</w:t>
            </w:r>
          </w:p>
        </w:tc>
        <w:tc>
          <w:tcPr>
            <w:tcW w:w="3634" w:type="dxa"/>
            <w:tcBorders>
              <w:top w:val="single" w:color="000000" w:sz="4" w:space="0"/>
              <w:left w:val="single" w:color="000000" w:sz="4" w:space="0"/>
              <w:bottom w:val="single" w:color="000000" w:sz="4" w:space="0"/>
              <w:right w:val="single" w:color="000000" w:sz="4" w:space="0"/>
            </w:tcBorders>
            <w:vAlign w:val="center"/>
          </w:tcPr>
          <w:p>
            <w:pPr>
              <w:spacing w:line="240" w:lineRule="exact"/>
              <w:rPr>
                <w:sz w:val="18"/>
                <w:szCs w:val="18"/>
              </w:rPr>
            </w:pPr>
            <w:r>
              <w:rPr>
                <w:sz w:val="18"/>
                <w:szCs w:val="18"/>
              </w:rPr>
              <w:t>文化市场营销学</w:t>
            </w:r>
          </w:p>
          <w:p>
            <w:pPr>
              <w:spacing w:line="240" w:lineRule="exact"/>
              <w:rPr>
                <w:sz w:val="18"/>
                <w:szCs w:val="18"/>
              </w:rPr>
            </w:pPr>
            <w:r>
              <w:rPr>
                <w:sz w:val="18"/>
                <w:szCs w:val="18"/>
              </w:rPr>
              <w:t>Cultural Marketing</w:t>
            </w:r>
          </w:p>
        </w:tc>
        <w:tc>
          <w:tcPr>
            <w:tcW w:w="55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3</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48</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48</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p>
        </w:tc>
        <w:tc>
          <w:tcPr>
            <w:tcW w:w="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pacing w:val="-8"/>
                <w:position w:val="-8"/>
                <w:sz w:val="18"/>
                <w:szCs w:val="18"/>
              </w:rPr>
            </w:pPr>
            <w:r>
              <w:rPr>
                <w:bCs/>
                <w:spacing w:val="-8"/>
                <w:position w:val="-8"/>
                <w:sz w:val="18"/>
                <w:szCs w:val="18"/>
              </w:rPr>
              <w:t>6</w:t>
            </w:r>
          </w:p>
        </w:tc>
        <w:tc>
          <w:tcPr>
            <w:tcW w:w="87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34" w:hRule="atLeast"/>
          <w:jc w:val="center"/>
        </w:trPr>
        <w:tc>
          <w:tcPr>
            <w:tcW w:w="629" w:type="dxa"/>
            <w:vMerge w:val="continue"/>
            <w:tcBorders>
              <w:top w:val="single" w:color="000000" w:sz="4" w:space="0"/>
              <w:left w:val="single" w:color="000000" w:sz="4" w:space="0"/>
              <w:bottom w:val="single" w:color="auto" w:sz="4" w:space="0"/>
              <w:right w:val="single" w:color="auto" w:sz="4" w:space="0"/>
            </w:tcBorders>
            <w:vAlign w:val="center"/>
          </w:tcPr>
          <w:p>
            <w:pPr>
              <w:widowControl/>
              <w:spacing w:line="240" w:lineRule="auto"/>
              <w:jc w:val="left"/>
              <w:rPr>
                <w:bCs/>
                <w:snapToGrid w:val="0"/>
                <w:sz w:val="18"/>
                <w:szCs w:val="18"/>
              </w:rPr>
            </w:pPr>
          </w:p>
        </w:tc>
        <w:tc>
          <w:tcPr>
            <w:tcW w:w="4769" w:type="dxa"/>
            <w:gridSpan w:val="2"/>
            <w:tcBorders>
              <w:top w:val="single" w:color="000000" w:sz="4" w:space="0"/>
              <w:left w:val="single" w:color="auto" w:sz="4" w:space="0"/>
              <w:bottom w:val="single" w:color="auto" w:sz="4" w:space="0"/>
              <w:right w:val="single" w:color="000000" w:sz="4" w:space="0"/>
            </w:tcBorders>
          </w:tcPr>
          <w:p>
            <w:pPr>
              <w:spacing w:line="240" w:lineRule="auto"/>
              <w:ind w:right="-60" w:rightChars="-25"/>
              <w:jc w:val="center"/>
              <w:rPr>
                <w:bCs/>
                <w:sz w:val="18"/>
                <w:szCs w:val="18"/>
              </w:rPr>
            </w:pPr>
            <w:r>
              <w:rPr>
                <w:bCs/>
                <w:sz w:val="18"/>
                <w:szCs w:val="18"/>
              </w:rPr>
              <w:t>学分小计</w:t>
            </w:r>
          </w:p>
        </w:tc>
        <w:tc>
          <w:tcPr>
            <w:tcW w:w="554" w:type="dxa"/>
            <w:tcBorders>
              <w:top w:val="single" w:color="000000" w:sz="4" w:space="0"/>
              <w:left w:val="single" w:color="000000" w:sz="4" w:space="0"/>
              <w:bottom w:val="single" w:color="000000" w:sz="4" w:space="0"/>
              <w:right w:val="single" w:color="000000" w:sz="4" w:space="0"/>
            </w:tcBorders>
          </w:tcPr>
          <w:p>
            <w:pPr>
              <w:spacing w:line="240" w:lineRule="auto"/>
              <w:jc w:val="center"/>
              <w:rPr>
                <w:sz w:val="18"/>
                <w:szCs w:val="18"/>
              </w:rPr>
            </w:pPr>
            <w:r>
              <w:rPr>
                <w:sz w:val="18"/>
                <w:szCs w:val="18"/>
              </w:rPr>
              <w:t>62</w:t>
            </w:r>
          </w:p>
        </w:tc>
        <w:tc>
          <w:tcPr>
            <w:tcW w:w="599" w:type="dxa"/>
            <w:tcBorders>
              <w:top w:val="single" w:color="000000" w:sz="4" w:space="0"/>
              <w:left w:val="single" w:color="000000" w:sz="4" w:space="0"/>
              <w:bottom w:val="single" w:color="000000" w:sz="4" w:space="0"/>
              <w:right w:val="single" w:color="000000" w:sz="4" w:space="0"/>
            </w:tcBorders>
          </w:tcPr>
          <w:p>
            <w:pPr>
              <w:spacing w:line="240" w:lineRule="auto"/>
              <w:jc w:val="center"/>
              <w:rPr>
                <w:sz w:val="18"/>
                <w:szCs w:val="18"/>
              </w:rPr>
            </w:pPr>
          </w:p>
        </w:tc>
        <w:tc>
          <w:tcPr>
            <w:tcW w:w="599" w:type="dxa"/>
            <w:tcBorders>
              <w:top w:val="single" w:color="000000" w:sz="4" w:space="0"/>
              <w:left w:val="single" w:color="000000" w:sz="4" w:space="0"/>
              <w:bottom w:val="single" w:color="000000" w:sz="4" w:space="0"/>
              <w:right w:val="single" w:color="000000" w:sz="4" w:space="0"/>
            </w:tcBorders>
          </w:tcPr>
          <w:p>
            <w:pPr>
              <w:spacing w:line="240" w:lineRule="auto"/>
              <w:ind w:right="-120" w:rightChars="-50"/>
              <w:jc w:val="center"/>
              <w:rPr>
                <w:bCs/>
                <w:sz w:val="18"/>
                <w:szCs w:val="18"/>
              </w:rPr>
            </w:pPr>
          </w:p>
        </w:tc>
        <w:tc>
          <w:tcPr>
            <w:tcW w:w="599" w:type="dxa"/>
            <w:tcBorders>
              <w:top w:val="single" w:color="000000" w:sz="4" w:space="0"/>
              <w:left w:val="single" w:color="000000" w:sz="4" w:space="0"/>
              <w:bottom w:val="single" w:color="000000" w:sz="4" w:space="0"/>
              <w:right w:val="single" w:color="000000" w:sz="4" w:space="0"/>
            </w:tcBorders>
          </w:tcPr>
          <w:p>
            <w:pPr>
              <w:spacing w:line="240" w:lineRule="auto"/>
              <w:ind w:right="-120" w:rightChars="-50"/>
              <w:jc w:val="center"/>
              <w:rPr>
                <w:bCs/>
                <w:sz w:val="18"/>
                <w:szCs w:val="18"/>
              </w:rPr>
            </w:pPr>
          </w:p>
        </w:tc>
        <w:tc>
          <w:tcPr>
            <w:tcW w:w="575" w:type="dxa"/>
            <w:tcBorders>
              <w:top w:val="single" w:color="000000" w:sz="4" w:space="0"/>
              <w:left w:val="single" w:color="000000" w:sz="4" w:space="0"/>
              <w:bottom w:val="single" w:color="000000" w:sz="4" w:space="0"/>
              <w:right w:val="single" w:color="000000" w:sz="4" w:space="0"/>
            </w:tcBorders>
          </w:tcPr>
          <w:p>
            <w:pPr>
              <w:spacing w:line="240" w:lineRule="auto"/>
              <w:ind w:right="-120" w:rightChars="-50"/>
              <w:jc w:val="center"/>
              <w:rPr>
                <w:bCs/>
                <w:sz w:val="18"/>
                <w:szCs w:val="18"/>
              </w:rPr>
            </w:pPr>
          </w:p>
        </w:tc>
        <w:tc>
          <w:tcPr>
            <w:tcW w:w="871" w:type="dxa"/>
            <w:tcBorders>
              <w:top w:val="single" w:color="000000" w:sz="4" w:space="0"/>
              <w:left w:val="single" w:color="000000" w:sz="4" w:space="0"/>
              <w:bottom w:val="single" w:color="000000" w:sz="4" w:space="0"/>
              <w:right w:val="single" w:color="000000" w:sz="4" w:space="0"/>
            </w:tcBorders>
          </w:tcPr>
          <w:p>
            <w:pPr>
              <w:spacing w:line="240" w:lineRule="auto"/>
              <w:jc w:val="center"/>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restart"/>
            <w:tcBorders>
              <w:top w:val="single" w:color="auto" w:sz="4" w:space="0"/>
              <w:left w:val="single" w:color="000000" w:sz="4" w:space="0"/>
              <w:bottom w:val="single" w:color="000000" w:sz="4" w:space="0"/>
              <w:right w:val="single" w:color="auto" w:sz="4" w:space="0"/>
            </w:tcBorders>
            <w:vAlign w:val="center"/>
          </w:tcPr>
          <w:p>
            <w:pPr>
              <w:adjustRightInd w:val="0"/>
              <w:snapToGrid w:val="0"/>
              <w:spacing w:line="240" w:lineRule="auto"/>
              <w:ind w:right="-120" w:rightChars="-50"/>
              <w:jc w:val="center"/>
              <w:rPr>
                <w:bCs/>
                <w:snapToGrid w:val="0"/>
                <w:sz w:val="18"/>
                <w:szCs w:val="18"/>
              </w:rPr>
            </w:pPr>
            <w:r>
              <w:rPr>
                <w:bCs/>
                <w:snapToGrid w:val="0"/>
                <w:sz w:val="18"/>
                <w:szCs w:val="18"/>
              </w:rPr>
              <w:t>专</w:t>
            </w:r>
          </w:p>
          <w:p>
            <w:pPr>
              <w:adjustRightInd w:val="0"/>
              <w:snapToGrid w:val="0"/>
              <w:spacing w:line="240" w:lineRule="auto"/>
              <w:ind w:right="-120" w:rightChars="-50"/>
              <w:jc w:val="center"/>
              <w:rPr>
                <w:bCs/>
                <w:snapToGrid w:val="0"/>
                <w:sz w:val="18"/>
                <w:szCs w:val="18"/>
              </w:rPr>
            </w:pPr>
            <w:r>
              <w:rPr>
                <w:bCs/>
                <w:snapToGrid w:val="0"/>
                <w:sz w:val="18"/>
                <w:szCs w:val="18"/>
              </w:rPr>
              <w:t>业</w:t>
            </w:r>
          </w:p>
          <w:p>
            <w:pPr>
              <w:adjustRightInd w:val="0"/>
              <w:snapToGrid w:val="0"/>
              <w:spacing w:line="240" w:lineRule="auto"/>
              <w:ind w:right="-120" w:rightChars="-50"/>
              <w:jc w:val="center"/>
              <w:rPr>
                <w:bCs/>
                <w:snapToGrid w:val="0"/>
                <w:sz w:val="18"/>
                <w:szCs w:val="18"/>
              </w:rPr>
            </w:pPr>
            <w:r>
              <w:rPr>
                <w:bCs/>
                <w:snapToGrid w:val="0"/>
                <w:sz w:val="18"/>
                <w:szCs w:val="18"/>
              </w:rPr>
              <w:t>核</w:t>
            </w:r>
          </w:p>
          <w:p>
            <w:pPr>
              <w:adjustRightInd w:val="0"/>
              <w:snapToGrid w:val="0"/>
              <w:spacing w:line="240" w:lineRule="auto"/>
              <w:ind w:right="-120" w:rightChars="-50"/>
              <w:jc w:val="center"/>
              <w:rPr>
                <w:bCs/>
                <w:snapToGrid w:val="0"/>
                <w:sz w:val="18"/>
                <w:szCs w:val="18"/>
              </w:rPr>
            </w:pPr>
            <w:r>
              <w:rPr>
                <w:bCs/>
                <w:snapToGrid w:val="0"/>
                <w:sz w:val="18"/>
                <w:szCs w:val="18"/>
              </w:rPr>
              <w:t>心</w:t>
            </w:r>
          </w:p>
          <w:p>
            <w:pPr>
              <w:adjustRightInd w:val="0"/>
              <w:snapToGrid w:val="0"/>
              <w:spacing w:line="240" w:lineRule="auto"/>
              <w:ind w:right="-120" w:rightChars="-50"/>
              <w:jc w:val="center"/>
              <w:rPr>
                <w:bCs/>
                <w:spacing w:val="-8"/>
                <w:position w:val="-8"/>
                <w:sz w:val="18"/>
                <w:szCs w:val="18"/>
              </w:rPr>
            </w:pPr>
            <w:r>
              <w:rPr>
                <w:bCs/>
                <w:snapToGrid w:val="0"/>
                <w:sz w:val="18"/>
                <w:szCs w:val="18"/>
              </w:rPr>
              <w:t>课</w:t>
            </w:r>
          </w:p>
        </w:tc>
        <w:tc>
          <w:tcPr>
            <w:tcW w:w="1135" w:type="dxa"/>
            <w:tcBorders>
              <w:top w:val="single" w:color="auto" w:sz="4" w:space="0"/>
              <w:left w:val="single" w:color="auto" w:sz="4" w:space="0"/>
              <w:bottom w:val="single" w:color="auto" w:sz="4" w:space="0"/>
              <w:right w:val="single" w:color="000000" w:sz="4" w:space="0"/>
            </w:tcBorders>
            <w:vAlign w:val="center"/>
          </w:tcPr>
          <w:p>
            <w:pPr>
              <w:spacing w:line="240" w:lineRule="auto"/>
              <w:jc w:val="center"/>
              <w:rPr>
                <w:sz w:val="18"/>
                <w:szCs w:val="18"/>
              </w:rPr>
            </w:pPr>
            <w:r>
              <w:rPr>
                <w:sz w:val="18"/>
                <w:szCs w:val="18"/>
              </w:rPr>
              <w:t>BK160010</w:t>
            </w:r>
          </w:p>
        </w:tc>
        <w:tc>
          <w:tcPr>
            <w:tcW w:w="3634" w:type="dxa"/>
            <w:tcBorders>
              <w:top w:val="single" w:color="auto" w:sz="4" w:space="0"/>
              <w:left w:val="single" w:color="000000" w:sz="4" w:space="0"/>
              <w:bottom w:val="single" w:color="auto" w:sz="4" w:space="0"/>
              <w:right w:val="single" w:color="000000" w:sz="4" w:space="0"/>
            </w:tcBorders>
            <w:vAlign w:val="center"/>
          </w:tcPr>
          <w:p>
            <w:pPr>
              <w:spacing w:line="240" w:lineRule="exact"/>
              <w:rPr>
                <w:sz w:val="18"/>
                <w:szCs w:val="18"/>
              </w:rPr>
            </w:pPr>
            <w:r>
              <w:rPr>
                <w:sz w:val="18"/>
                <w:szCs w:val="18"/>
              </w:rPr>
              <w:t>文化产业管理学</w:t>
            </w:r>
          </w:p>
          <w:p>
            <w:pPr>
              <w:spacing w:line="240" w:lineRule="exact"/>
              <w:rPr>
                <w:sz w:val="18"/>
                <w:szCs w:val="18"/>
              </w:rPr>
            </w:pPr>
            <w:r>
              <w:rPr>
                <w:sz w:val="18"/>
                <w:szCs w:val="18"/>
              </w:rPr>
              <w:t>Culture Industry Management</w:t>
            </w:r>
          </w:p>
        </w:tc>
        <w:tc>
          <w:tcPr>
            <w:tcW w:w="554" w:type="dxa"/>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2</w:t>
            </w:r>
          </w:p>
        </w:tc>
        <w:tc>
          <w:tcPr>
            <w:tcW w:w="599" w:type="dxa"/>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sz w:val="18"/>
                <w:szCs w:val="18"/>
              </w:rPr>
            </w:pPr>
          </w:p>
        </w:tc>
        <w:tc>
          <w:tcPr>
            <w:tcW w:w="575" w:type="dxa"/>
            <w:tcBorders>
              <w:top w:val="single" w:color="000000" w:sz="4" w:space="0"/>
              <w:left w:val="single" w:color="000000" w:sz="4" w:space="0"/>
              <w:bottom w:val="single" w:color="auto" w:sz="4" w:space="0"/>
              <w:right w:val="single" w:color="000000" w:sz="4" w:space="0"/>
            </w:tcBorders>
            <w:vAlign w:val="center"/>
          </w:tcPr>
          <w:p>
            <w:pPr>
              <w:spacing w:line="240" w:lineRule="auto"/>
              <w:ind w:right="-120" w:rightChars="-50"/>
              <w:jc w:val="center"/>
              <w:rPr>
                <w:bCs/>
                <w:sz w:val="18"/>
                <w:szCs w:val="18"/>
              </w:rPr>
            </w:pPr>
            <w:r>
              <w:rPr>
                <w:bCs/>
                <w:sz w:val="18"/>
                <w:szCs w:val="18"/>
              </w:rPr>
              <w:t>2</w:t>
            </w:r>
          </w:p>
        </w:tc>
        <w:tc>
          <w:tcPr>
            <w:tcW w:w="871" w:type="dxa"/>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auto" w:sz="4" w:space="0"/>
              <w:left w:val="single" w:color="000000" w:sz="4" w:space="0"/>
              <w:bottom w:val="single" w:color="000000" w:sz="4" w:space="0"/>
              <w:right w:val="single" w:color="auto" w:sz="4" w:space="0"/>
            </w:tcBorders>
            <w:vAlign w:val="center"/>
          </w:tcPr>
          <w:p>
            <w:pPr>
              <w:widowControl/>
              <w:spacing w:line="240" w:lineRule="auto"/>
              <w:jc w:val="left"/>
              <w:rPr>
                <w:bCs/>
                <w:spacing w:val="-8"/>
                <w:position w:val="-8"/>
                <w:sz w:val="18"/>
                <w:szCs w:val="18"/>
              </w:rPr>
            </w:pPr>
          </w:p>
        </w:tc>
        <w:tc>
          <w:tcPr>
            <w:tcW w:w="1135" w:type="dxa"/>
            <w:tcBorders>
              <w:top w:val="single" w:color="000000" w:sz="4" w:space="0"/>
              <w:left w:val="single" w:color="auto" w:sz="4" w:space="0"/>
              <w:bottom w:val="single" w:color="auto" w:sz="4" w:space="0"/>
              <w:right w:val="single" w:color="000000" w:sz="4" w:space="0"/>
            </w:tcBorders>
            <w:vAlign w:val="center"/>
          </w:tcPr>
          <w:p>
            <w:pPr>
              <w:spacing w:line="240" w:lineRule="auto"/>
              <w:jc w:val="center"/>
              <w:rPr>
                <w:sz w:val="18"/>
                <w:szCs w:val="18"/>
              </w:rPr>
            </w:pPr>
            <w:r>
              <w:rPr>
                <w:sz w:val="18"/>
                <w:szCs w:val="18"/>
              </w:rPr>
              <w:t>BK160014</w:t>
            </w:r>
          </w:p>
        </w:tc>
        <w:tc>
          <w:tcPr>
            <w:tcW w:w="3634" w:type="dxa"/>
            <w:tcBorders>
              <w:top w:val="single" w:color="000000" w:sz="4" w:space="0"/>
              <w:left w:val="single" w:color="000000" w:sz="4" w:space="0"/>
              <w:bottom w:val="single" w:color="auto" w:sz="4" w:space="0"/>
              <w:right w:val="single" w:color="000000" w:sz="4" w:space="0"/>
            </w:tcBorders>
            <w:vAlign w:val="center"/>
          </w:tcPr>
          <w:p>
            <w:pPr>
              <w:spacing w:line="240" w:lineRule="exact"/>
              <w:rPr>
                <w:sz w:val="18"/>
                <w:szCs w:val="18"/>
              </w:rPr>
            </w:pPr>
            <w:r>
              <w:rPr>
                <w:sz w:val="18"/>
                <w:szCs w:val="18"/>
              </w:rPr>
              <w:t>文化产业项目管理与案例解析</w:t>
            </w:r>
          </w:p>
          <w:p>
            <w:pPr>
              <w:spacing w:line="240" w:lineRule="exact"/>
              <w:rPr>
                <w:sz w:val="18"/>
                <w:szCs w:val="18"/>
              </w:rPr>
            </w:pPr>
            <w:r>
              <w:rPr>
                <w:sz w:val="18"/>
                <w:szCs w:val="18"/>
              </w:rPr>
              <w:t>Cultural Industry Project Management and Case Analysis</w:t>
            </w:r>
          </w:p>
        </w:tc>
        <w:tc>
          <w:tcPr>
            <w:tcW w:w="554" w:type="dxa"/>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3</w:t>
            </w:r>
          </w:p>
        </w:tc>
        <w:tc>
          <w:tcPr>
            <w:tcW w:w="599" w:type="dxa"/>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48</w:t>
            </w:r>
          </w:p>
        </w:tc>
        <w:tc>
          <w:tcPr>
            <w:tcW w:w="599" w:type="dxa"/>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48</w:t>
            </w:r>
          </w:p>
        </w:tc>
        <w:tc>
          <w:tcPr>
            <w:tcW w:w="599" w:type="dxa"/>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sz w:val="18"/>
                <w:szCs w:val="18"/>
              </w:rPr>
            </w:pPr>
          </w:p>
        </w:tc>
        <w:tc>
          <w:tcPr>
            <w:tcW w:w="575" w:type="dxa"/>
            <w:tcBorders>
              <w:top w:val="single" w:color="000000" w:sz="4" w:space="0"/>
              <w:left w:val="single" w:color="000000" w:sz="4" w:space="0"/>
              <w:bottom w:val="single" w:color="auto" w:sz="4" w:space="0"/>
              <w:right w:val="single" w:color="000000" w:sz="4" w:space="0"/>
            </w:tcBorders>
            <w:vAlign w:val="center"/>
          </w:tcPr>
          <w:p>
            <w:pPr>
              <w:spacing w:line="240" w:lineRule="auto"/>
              <w:ind w:right="-120" w:rightChars="-50"/>
              <w:jc w:val="center"/>
              <w:rPr>
                <w:bCs/>
                <w:sz w:val="18"/>
                <w:szCs w:val="18"/>
              </w:rPr>
            </w:pPr>
            <w:r>
              <w:rPr>
                <w:bCs/>
                <w:sz w:val="18"/>
                <w:szCs w:val="18"/>
              </w:rPr>
              <w:t>4</w:t>
            </w:r>
          </w:p>
        </w:tc>
        <w:tc>
          <w:tcPr>
            <w:tcW w:w="871" w:type="dxa"/>
            <w:tcBorders>
              <w:top w:val="single" w:color="000000" w:sz="4" w:space="0"/>
              <w:left w:val="single" w:color="000000" w:sz="4" w:space="0"/>
              <w:bottom w:val="single" w:color="auto"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auto" w:sz="4" w:space="0"/>
              <w:left w:val="single" w:color="000000" w:sz="4" w:space="0"/>
              <w:bottom w:val="single" w:color="000000" w:sz="4" w:space="0"/>
              <w:right w:val="single" w:color="auto" w:sz="4" w:space="0"/>
            </w:tcBorders>
            <w:vAlign w:val="center"/>
          </w:tcPr>
          <w:p>
            <w:pPr>
              <w:widowControl/>
              <w:spacing w:line="240" w:lineRule="auto"/>
              <w:jc w:val="left"/>
              <w:rPr>
                <w:bCs/>
                <w:spacing w:val="-8"/>
                <w:position w:val="-8"/>
                <w:sz w:val="18"/>
                <w:szCs w:val="18"/>
              </w:rPr>
            </w:pPr>
          </w:p>
        </w:tc>
        <w:tc>
          <w:tcPr>
            <w:tcW w:w="1135" w:type="dxa"/>
            <w:tcBorders>
              <w:top w:val="single" w:color="auto" w:sz="4" w:space="0"/>
              <w:left w:val="single" w:color="auto" w:sz="4" w:space="0"/>
              <w:bottom w:val="single" w:color="000000" w:sz="4" w:space="0"/>
              <w:right w:val="single" w:color="000000" w:sz="4" w:space="0"/>
            </w:tcBorders>
            <w:vAlign w:val="center"/>
          </w:tcPr>
          <w:p>
            <w:pPr>
              <w:spacing w:line="240" w:lineRule="auto"/>
              <w:jc w:val="center"/>
              <w:rPr>
                <w:sz w:val="18"/>
                <w:szCs w:val="18"/>
              </w:rPr>
            </w:pPr>
            <w:r>
              <w:rPr>
                <w:sz w:val="18"/>
                <w:szCs w:val="18"/>
              </w:rPr>
              <w:t>BK160008</w:t>
            </w:r>
          </w:p>
        </w:tc>
        <w:tc>
          <w:tcPr>
            <w:tcW w:w="3634" w:type="dxa"/>
            <w:tcBorders>
              <w:top w:val="single" w:color="auto" w:sz="4" w:space="0"/>
              <w:left w:val="single" w:color="000000" w:sz="4" w:space="0"/>
              <w:bottom w:val="single" w:color="000000" w:sz="4" w:space="0"/>
              <w:right w:val="single" w:color="000000" w:sz="4" w:space="0"/>
            </w:tcBorders>
            <w:vAlign w:val="center"/>
          </w:tcPr>
          <w:p>
            <w:pPr>
              <w:spacing w:line="240" w:lineRule="exact"/>
              <w:rPr>
                <w:sz w:val="18"/>
                <w:szCs w:val="18"/>
              </w:rPr>
            </w:pPr>
            <w:r>
              <w:rPr>
                <w:sz w:val="18"/>
                <w:szCs w:val="18"/>
              </w:rPr>
              <w:t>文化产业创意与策划</w:t>
            </w:r>
          </w:p>
          <w:p>
            <w:pPr>
              <w:spacing w:line="240" w:lineRule="exact"/>
              <w:rPr>
                <w:sz w:val="18"/>
                <w:szCs w:val="18"/>
                <w:highlight w:val="yellow"/>
              </w:rPr>
            </w:pPr>
            <w:r>
              <w:rPr>
                <w:sz w:val="18"/>
                <w:szCs w:val="18"/>
              </w:rPr>
              <w:t>Cultural Industry Creativity and Planning</w:t>
            </w:r>
          </w:p>
        </w:tc>
        <w:tc>
          <w:tcPr>
            <w:tcW w:w="554" w:type="dxa"/>
            <w:tcBorders>
              <w:top w:val="single" w:color="auto"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3</w:t>
            </w:r>
          </w:p>
        </w:tc>
        <w:tc>
          <w:tcPr>
            <w:tcW w:w="599" w:type="dxa"/>
            <w:tcBorders>
              <w:top w:val="single" w:color="auto"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48</w:t>
            </w:r>
          </w:p>
        </w:tc>
        <w:tc>
          <w:tcPr>
            <w:tcW w:w="599" w:type="dxa"/>
            <w:tcBorders>
              <w:top w:val="single" w:color="auto"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48</w:t>
            </w:r>
          </w:p>
        </w:tc>
        <w:tc>
          <w:tcPr>
            <w:tcW w:w="599" w:type="dxa"/>
            <w:tcBorders>
              <w:top w:val="single" w:color="auto" w:sz="4" w:space="0"/>
              <w:left w:val="single" w:color="000000" w:sz="4" w:space="0"/>
              <w:bottom w:val="single" w:color="000000" w:sz="4" w:space="0"/>
              <w:right w:val="single" w:color="000000" w:sz="4" w:space="0"/>
            </w:tcBorders>
            <w:vAlign w:val="center"/>
          </w:tcPr>
          <w:p>
            <w:pPr>
              <w:spacing w:line="240" w:lineRule="auto"/>
              <w:jc w:val="center"/>
              <w:rPr>
                <w:sz w:val="18"/>
                <w:szCs w:val="18"/>
              </w:rPr>
            </w:pPr>
          </w:p>
        </w:tc>
        <w:tc>
          <w:tcPr>
            <w:tcW w:w="575" w:type="dxa"/>
            <w:tcBorders>
              <w:top w:val="single" w:color="auto" w:sz="4" w:space="0"/>
              <w:left w:val="single" w:color="000000" w:sz="4" w:space="0"/>
              <w:bottom w:val="single" w:color="000000" w:sz="4" w:space="0"/>
              <w:right w:val="single" w:color="000000" w:sz="4" w:space="0"/>
            </w:tcBorders>
            <w:vAlign w:val="center"/>
          </w:tcPr>
          <w:p>
            <w:pPr>
              <w:spacing w:line="240" w:lineRule="auto"/>
              <w:ind w:right="-120" w:rightChars="-50"/>
              <w:jc w:val="center"/>
              <w:rPr>
                <w:bCs/>
                <w:sz w:val="18"/>
                <w:szCs w:val="18"/>
              </w:rPr>
            </w:pPr>
            <w:r>
              <w:rPr>
                <w:bCs/>
                <w:sz w:val="18"/>
                <w:szCs w:val="18"/>
              </w:rPr>
              <w:t>5</w:t>
            </w:r>
          </w:p>
        </w:tc>
        <w:tc>
          <w:tcPr>
            <w:tcW w:w="871" w:type="dxa"/>
            <w:tcBorders>
              <w:top w:val="single" w:color="auto"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auto" w:sz="4" w:space="0"/>
              <w:left w:val="single" w:color="000000" w:sz="4" w:space="0"/>
              <w:bottom w:val="single" w:color="000000" w:sz="4" w:space="0"/>
              <w:right w:val="single" w:color="auto" w:sz="4" w:space="0"/>
            </w:tcBorders>
            <w:vAlign w:val="center"/>
          </w:tcPr>
          <w:p>
            <w:pPr>
              <w:widowControl/>
              <w:spacing w:line="240" w:lineRule="auto"/>
              <w:jc w:val="left"/>
              <w:rPr>
                <w:bCs/>
                <w:spacing w:val="-8"/>
                <w:position w:val="-8"/>
                <w:sz w:val="18"/>
                <w:szCs w:val="18"/>
              </w:rPr>
            </w:pPr>
          </w:p>
        </w:tc>
        <w:tc>
          <w:tcPr>
            <w:tcW w:w="1135" w:type="dxa"/>
            <w:tcBorders>
              <w:top w:val="single" w:color="000000" w:sz="4" w:space="0"/>
              <w:left w:val="single" w:color="auto" w:sz="4" w:space="0"/>
              <w:bottom w:val="single" w:color="000000" w:sz="4" w:space="0"/>
              <w:right w:val="single" w:color="000000" w:sz="4" w:space="0"/>
            </w:tcBorders>
            <w:vAlign w:val="center"/>
          </w:tcPr>
          <w:p>
            <w:pPr>
              <w:spacing w:line="240" w:lineRule="auto"/>
              <w:ind w:left="-24" w:leftChars="-10" w:right="-24" w:rightChars="-10"/>
              <w:jc w:val="center"/>
              <w:rPr>
                <w:sz w:val="18"/>
                <w:szCs w:val="18"/>
              </w:rPr>
            </w:pPr>
            <w:r>
              <w:rPr>
                <w:sz w:val="18"/>
                <w:szCs w:val="18"/>
              </w:rPr>
              <w:t>BK160023-4</w:t>
            </w:r>
          </w:p>
        </w:tc>
        <w:tc>
          <w:tcPr>
            <w:tcW w:w="3634" w:type="dxa"/>
            <w:tcBorders>
              <w:top w:val="single" w:color="000000" w:sz="4" w:space="0"/>
              <w:left w:val="single" w:color="000000" w:sz="4" w:space="0"/>
              <w:bottom w:val="single" w:color="000000" w:sz="4" w:space="0"/>
              <w:right w:val="single" w:color="000000" w:sz="4" w:space="0"/>
            </w:tcBorders>
            <w:vAlign w:val="center"/>
          </w:tcPr>
          <w:p>
            <w:pPr>
              <w:spacing w:line="240" w:lineRule="exact"/>
              <w:rPr>
                <w:sz w:val="18"/>
                <w:szCs w:val="18"/>
              </w:rPr>
            </w:pPr>
            <w:r>
              <w:rPr>
                <w:sz w:val="18"/>
                <w:szCs w:val="18"/>
              </w:rPr>
              <w:t>专业综合实验1-2</w:t>
            </w:r>
          </w:p>
          <w:p>
            <w:pPr>
              <w:spacing w:line="240" w:lineRule="exact"/>
              <w:rPr>
                <w:sz w:val="18"/>
                <w:szCs w:val="18"/>
              </w:rPr>
            </w:pPr>
            <w:r>
              <w:rPr>
                <w:sz w:val="18"/>
                <w:szCs w:val="18"/>
              </w:rPr>
              <w:t>Specialty Experiments 1-2</w:t>
            </w:r>
          </w:p>
        </w:tc>
        <w:tc>
          <w:tcPr>
            <w:tcW w:w="554"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4</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128</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32</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96</w:t>
            </w:r>
          </w:p>
        </w:tc>
        <w:tc>
          <w:tcPr>
            <w:tcW w:w="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z w:val="18"/>
                <w:szCs w:val="18"/>
              </w:rPr>
            </w:pPr>
            <w:r>
              <w:rPr>
                <w:bCs/>
                <w:sz w:val="18"/>
                <w:szCs w:val="18"/>
              </w:rPr>
              <w:t>5-6</w:t>
            </w:r>
          </w:p>
        </w:tc>
        <w:tc>
          <w:tcPr>
            <w:tcW w:w="87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r>
              <w:rPr>
                <w:sz w:val="18"/>
                <w:szCs w:val="18"/>
              </w:rPr>
              <w:t>公管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629" w:type="dxa"/>
            <w:vMerge w:val="continue"/>
            <w:tcBorders>
              <w:top w:val="single" w:color="auto" w:sz="4" w:space="0"/>
              <w:left w:val="single" w:color="000000" w:sz="4" w:space="0"/>
              <w:bottom w:val="single" w:color="000000" w:sz="4" w:space="0"/>
              <w:right w:val="single" w:color="auto" w:sz="4" w:space="0"/>
            </w:tcBorders>
            <w:vAlign w:val="center"/>
          </w:tcPr>
          <w:p>
            <w:pPr>
              <w:widowControl/>
              <w:spacing w:line="240" w:lineRule="auto"/>
              <w:jc w:val="left"/>
              <w:rPr>
                <w:bCs/>
                <w:spacing w:val="-8"/>
                <w:position w:val="-8"/>
                <w:sz w:val="18"/>
                <w:szCs w:val="18"/>
              </w:rPr>
            </w:pPr>
          </w:p>
        </w:tc>
        <w:tc>
          <w:tcPr>
            <w:tcW w:w="4769" w:type="dxa"/>
            <w:gridSpan w:val="2"/>
            <w:tcBorders>
              <w:top w:val="single" w:color="000000" w:sz="4" w:space="0"/>
              <w:left w:val="single" w:color="auto" w:sz="4" w:space="0"/>
              <w:bottom w:val="single" w:color="000000" w:sz="4" w:space="0"/>
              <w:right w:val="single" w:color="000000" w:sz="4" w:space="0"/>
            </w:tcBorders>
            <w:vAlign w:val="center"/>
          </w:tcPr>
          <w:p>
            <w:pPr>
              <w:spacing w:line="240" w:lineRule="auto"/>
              <w:ind w:right="-120" w:rightChars="-50"/>
              <w:jc w:val="center"/>
              <w:rPr>
                <w:bCs/>
                <w:sz w:val="18"/>
                <w:szCs w:val="18"/>
              </w:rPr>
            </w:pPr>
            <w:r>
              <w:rPr>
                <w:bCs/>
                <w:sz w:val="18"/>
                <w:szCs w:val="18"/>
              </w:rPr>
              <w:t>小计</w:t>
            </w:r>
          </w:p>
        </w:tc>
        <w:tc>
          <w:tcPr>
            <w:tcW w:w="554"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rPr>
                <w:bCs/>
                <w:sz w:val="18"/>
                <w:szCs w:val="18"/>
              </w:rPr>
            </w:pPr>
            <w:r>
              <w:rPr>
                <w:bCs/>
                <w:sz w:val="18"/>
                <w:szCs w:val="18"/>
              </w:rPr>
              <w:t>12</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z w:val="18"/>
                <w:szCs w:val="18"/>
              </w:rPr>
            </w:pP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z w:val="18"/>
                <w:szCs w:val="18"/>
              </w:rPr>
            </w:pP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z w:val="18"/>
                <w:szCs w:val="18"/>
              </w:rPr>
            </w:pPr>
          </w:p>
        </w:tc>
        <w:tc>
          <w:tcPr>
            <w:tcW w:w="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z w:val="18"/>
                <w:szCs w:val="18"/>
              </w:rPr>
            </w:pPr>
          </w:p>
        </w:tc>
        <w:tc>
          <w:tcPr>
            <w:tcW w:w="871"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 w:hRule="atLeast"/>
          <w:jc w:val="center"/>
        </w:trPr>
        <w:tc>
          <w:tcPr>
            <w:tcW w:w="5398"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z w:val="18"/>
                <w:szCs w:val="18"/>
              </w:rPr>
            </w:pPr>
            <w:r>
              <w:rPr>
                <w:bCs/>
                <w:sz w:val="18"/>
                <w:szCs w:val="18"/>
              </w:rPr>
              <w:t>合计</w:t>
            </w:r>
          </w:p>
        </w:tc>
        <w:tc>
          <w:tcPr>
            <w:tcW w:w="554"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rPr>
                <w:bCs/>
                <w:sz w:val="18"/>
                <w:szCs w:val="18"/>
              </w:rPr>
            </w:pPr>
            <w:r>
              <w:rPr>
                <w:bCs/>
                <w:sz w:val="18"/>
                <w:szCs w:val="18"/>
              </w:rPr>
              <w:t>74</w:t>
            </w: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z w:val="18"/>
                <w:szCs w:val="18"/>
              </w:rPr>
            </w:pP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z w:val="18"/>
                <w:szCs w:val="18"/>
              </w:rPr>
            </w:pPr>
          </w:p>
        </w:tc>
        <w:tc>
          <w:tcPr>
            <w:tcW w:w="599"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rPr>
                <w:bCs/>
                <w:sz w:val="18"/>
                <w:szCs w:val="18"/>
              </w:rPr>
            </w:pPr>
          </w:p>
        </w:tc>
        <w:tc>
          <w:tcPr>
            <w:tcW w:w="575"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z w:val="18"/>
                <w:szCs w:val="18"/>
              </w:rPr>
            </w:pPr>
          </w:p>
        </w:tc>
        <w:tc>
          <w:tcPr>
            <w:tcW w:w="871" w:type="dxa"/>
            <w:tcBorders>
              <w:top w:val="single" w:color="000000" w:sz="4" w:space="0"/>
              <w:left w:val="single" w:color="000000" w:sz="4" w:space="0"/>
              <w:bottom w:val="single" w:color="000000" w:sz="4" w:space="0"/>
              <w:right w:val="single" w:color="000000" w:sz="4" w:space="0"/>
            </w:tcBorders>
            <w:vAlign w:val="center"/>
          </w:tcPr>
          <w:p>
            <w:pPr>
              <w:spacing w:line="240" w:lineRule="auto"/>
              <w:ind w:right="-120" w:rightChars="-50"/>
              <w:jc w:val="center"/>
              <w:rPr>
                <w:bCs/>
                <w:sz w:val="18"/>
                <w:szCs w:val="18"/>
              </w:rPr>
            </w:pPr>
          </w:p>
        </w:tc>
      </w:tr>
    </w:tbl>
    <w:p>
      <w:pPr>
        <w:pStyle w:val="6"/>
        <w:ind w:firstLine="480"/>
      </w:pPr>
      <w:r>
        <w:t>（二）实践课程</w:t>
      </w:r>
    </w:p>
    <w:p>
      <w:pPr>
        <w:autoSpaceDE w:val="0"/>
        <w:autoSpaceDN w:val="0"/>
        <w:adjustRightInd w:val="0"/>
        <w:jc w:val="center"/>
        <w:rPr>
          <w:b/>
          <w:bCs/>
          <w:sz w:val="21"/>
          <w:szCs w:val="21"/>
        </w:rPr>
      </w:pPr>
      <w:r>
        <w:rPr>
          <w:b/>
          <w:bCs/>
          <w:sz w:val="21"/>
          <w:szCs w:val="21"/>
        </w:rPr>
        <w:t>附表3文化产业管理专业创新型、专业型人才培养拓展教育课教学进程表</w:t>
      </w:r>
    </w:p>
    <w:tbl>
      <w:tblPr>
        <w:tblStyle w:val="17"/>
        <w:tblW w:w="945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92"/>
        <w:gridCol w:w="425"/>
        <w:gridCol w:w="963"/>
        <w:gridCol w:w="125"/>
        <w:gridCol w:w="3165"/>
        <w:gridCol w:w="425"/>
        <w:gridCol w:w="70"/>
        <w:gridCol w:w="355"/>
        <w:gridCol w:w="78"/>
        <w:gridCol w:w="347"/>
        <w:gridCol w:w="89"/>
        <w:gridCol w:w="337"/>
        <w:gridCol w:w="145"/>
        <w:gridCol w:w="485"/>
        <w:gridCol w:w="737"/>
        <w:gridCol w:w="532"/>
        <w:gridCol w:w="143"/>
        <w:gridCol w:w="63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37" w:hRule="atLeast"/>
          <w:jc w:val="center"/>
        </w:trPr>
        <w:tc>
          <w:tcPr>
            <w:tcW w:w="817" w:type="dxa"/>
            <w:gridSpan w:val="2"/>
            <w:vMerge w:val="restart"/>
            <w:shd w:val="clear" w:color="auto" w:fill="auto"/>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课程</w:t>
            </w:r>
          </w:p>
          <w:p>
            <w:pPr>
              <w:spacing w:line="240" w:lineRule="auto"/>
              <w:ind w:left="-120" w:leftChars="-50" w:right="-120" w:rightChars="-50"/>
              <w:jc w:val="center"/>
              <w:rPr>
                <w:b/>
                <w:bCs/>
                <w:spacing w:val="-8"/>
                <w:position w:val="-8"/>
                <w:sz w:val="18"/>
                <w:szCs w:val="18"/>
              </w:rPr>
            </w:pPr>
            <w:r>
              <w:rPr>
                <w:b/>
                <w:bCs/>
                <w:spacing w:val="-8"/>
                <w:position w:val="-8"/>
                <w:sz w:val="18"/>
                <w:szCs w:val="18"/>
              </w:rPr>
              <w:t>类别</w:t>
            </w:r>
          </w:p>
        </w:tc>
        <w:tc>
          <w:tcPr>
            <w:tcW w:w="963" w:type="dxa"/>
            <w:vMerge w:val="restart"/>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课程号</w:t>
            </w:r>
          </w:p>
        </w:tc>
        <w:tc>
          <w:tcPr>
            <w:tcW w:w="3290" w:type="dxa"/>
            <w:gridSpan w:val="2"/>
            <w:vMerge w:val="restart"/>
            <w:vAlign w:val="center"/>
          </w:tcPr>
          <w:p>
            <w:pPr>
              <w:spacing w:line="240" w:lineRule="auto"/>
              <w:ind w:left="-120" w:leftChars="-50"/>
              <w:jc w:val="center"/>
              <w:rPr>
                <w:b/>
                <w:bCs/>
                <w:spacing w:val="-8"/>
                <w:position w:val="-8"/>
                <w:sz w:val="18"/>
                <w:szCs w:val="18"/>
              </w:rPr>
            </w:pPr>
            <w:r>
              <w:rPr>
                <w:b/>
                <w:bCs/>
                <w:spacing w:val="-8"/>
                <w:position w:val="-8"/>
                <w:sz w:val="18"/>
                <w:szCs w:val="18"/>
              </w:rPr>
              <w:t>课程名称</w:t>
            </w:r>
          </w:p>
        </w:tc>
        <w:tc>
          <w:tcPr>
            <w:tcW w:w="425" w:type="dxa"/>
            <w:vMerge w:val="restart"/>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学分</w:t>
            </w:r>
          </w:p>
        </w:tc>
        <w:tc>
          <w:tcPr>
            <w:tcW w:w="1276" w:type="dxa"/>
            <w:gridSpan w:val="6"/>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学时数</w:t>
            </w:r>
          </w:p>
        </w:tc>
        <w:tc>
          <w:tcPr>
            <w:tcW w:w="630" w:type="dxa"/>
            <w:gridSpan w:val="2"/>
            <w:vMerge w:val="restart"/>
            <w:tcBorders>
              <w:right w:val="single" w:color="auto" w:sz="4" w:space="0"/>
            </w:tcBorders>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开课</w:t>
            </w:r>
          </w:p>
          <w:p>
            <w:pPr>
              <w:spacing w:line="240" w:lineRule="auto"/>
              <w:ind w:left="-120" w:leftChars="-50" w:right="-120" w:rightChars="-50"/>
              <w:jc w:val="center"/>
              <w:rPr>
                <w:b/>
                <w:bCs/>
                <w:spacing w:val="-8"/>
                <w:position w:val="-8"/>
                <w:sz w:val="18"/>
                <w:szCs w:val="18"/>
              </w:rPr>
            </w:pPr>
            <w:r>
              <w:rPr>
                <w:b/>
                <w:bCs/>
                <w:spacing w:val="-8"/>
                <w:position w:val="-8"/>
                <w:sz w:val="18"/>
                <w:szCs w:val="18"/>
              </w:rPr>
              <w:t>学期</w:t>
            </w:r>
          </w:p>
        </w:tc>
        <w:tc>
          <w:tcPr>
            <w:tcW w:w="737" w:type="dxa"/>
            <w:vMerge w:val="restart"/>
            <w:tcBorders>
              <w:right w:val="single" w:color="auto" w:sz="4" w:space="0"/>
            </w:tcBorders>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培养</w:t>
            </w:r>
          </w:p>
          <w:p>
            <w:pPr>
              <w:spacing w:line="240" w:lineRule="auto"/>
              <w:ind w:left="-120" w:leftChars="-50" w:right="-120" w:rightChars="-50"/>
              <w:jc w:val="center"/>
              <w:rPr>
                <w:b/>
                <w:bCs/>
                <w:spacing w:val="-8"/>
                <w:position w:val="-8"/>
                <w:sz w:val="18"/>
                <w:szCs w:val="18"/>
              </w:rPr>
            </w:pPr>
            <w:r>
              <w:rPr>
                <w:b/>
                <w:bCs/>
                <w:spacing w:val="-8"/>
                <w:position w:val="-8"/>
                <w:sz w:val="18"/>
                <w:szCs w:val="18"/>
              </w:rPr>
              <w:t>类型</w:t>
            </w:r>
          </w:p>
        </w:tc>
        <w:tc>
          <w:tcPr>
            <w:tcW w:w="675" w:type="dxa"/>
            <w:gridSpan w:val="2"/>
            <w:vMerge w:val="restart"/>
            <w:tcBorders>
              <w:left w:val="single" w:color="auto" w:sz="4" w:space="0"/>
              <w:right w:val="single" w:color="auto" w:sz="4" w:space="0"/>
            </w:tcBorders>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开课</w:t>
            </w:r>
          </w:p>
          <w:p>
            <w:pPr>
              <w:spacing w:line="240" w:lineRule="auto"/>
              <w:ind w:left="-120" w:leftChars="-50" w:right="-120" w:rightChars="-50"/>
              <w:jc w:val="center"/>
              <w:rPr>
                <w:b/>
                <w:bCs/>
                <w:spacing w:val="-8"/>
                <w:position w:val="-8"/>
                <w:sz w:val="18"/>
                <w:szCs w:val="18"/>
              </w:rPr>
            </w:pPr>
            <w:r>
              <w:rPr>
                <w:b/>
                <w:bCs/>
                <w:spacing w:val="-8"/>
                <w:position w:val="-8"/>
                <w:sz w:val="18"/>
                <w:szCs w:val="18"/>
              </w:rPr>
              <w:t>学院</w:t>
            </w:r>
          </w:p>
        </w:tc>
        <w:tc>
          <w:tcPr>
            <w:tcW w:w="637" w:type="dxa"/>
            <w:vMerge w:val="restart"/>
            <w:tcBorders>
              <w:left w:val="single" w:color="auto" w:sz="4" w:space="0"/>
            </w:tcBorders>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修读</w:t>
            </w:r>
          </w:p>
          <w:p>
            <w:pPr>
              <w:spacing w:line="240" w:lineRule="auto"/>
              <w:ind w:left="-120" w:leftChars="-50" w:right="-120" w:rightChars="-50"/>
              <w:jc w:val="center"/>
              <w:rPr>
                <w:b/>
                <w:bCs/>
                <w:spacing w:val="-8"/>
                <w:position w:val="-8"/>
                <w:sz w:val="18"/>
                <w:szCs w:val="18"/>
              </w:rPr>
            </w:pPr>
            <w:r>
              <w:rPr>
                <w:b/>
                <w:bCs/>
                <w:spacing w:val="-8"/>
                <w:position w:val="-8"/>
                <w:sz w:val="18"/>
                <w:szCs w:val="18"/>
              </w:rPr>
              <w:t>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17" w:type="dxa"/>
            <w:gridSpan w:val="2"/>
            <w:vMerge w:val="continue"/>
            <w:shd w:val="clear" w:color="auto" w:fill="auto"/>
            <w:vAlign w:val="center"/>
          </w:tcPr>
          <w:p>
            <w:pPr>
              <w:spacing w:line="240" w:lineRule="auto"/>
              <w:ind w:left="-120" w:leftChars="-50" w:right="-120" w:rightChars="-50"/>
              <w:jc w:val="center"/>
              <w:rPr>
                <w:b/>
                <w:bCs/>
                <w:spacing w:val="-8"/>
                <w:position w:val="-8"/>
                <w:sz w:val="18"/>
                <w:szCs w:val="18"/>
              </w:rPr>
            </w:pPr>
          </w:p>
        </w:tc>
        <w:tc>
          <w:tcPr>
            <w:tcW w:w="963" w:type="dxa"/>
            <w:vMerge w:val="continue"/>
            <w:vAlign w:val="center"/>
          </w:tcPr>
          <w:p>
            <w:pPr>
              <w:spacing w:line="240" w:lineRule="auto"/>
              <w:ind w:left="-120" w:leftChars="-50" w:right="-120" w:rightChars="-50"/>
              <w:jc w:val="center"/>
              <w:rPr>
                <w:b/>
                <w:bCs/>
                <w:spacing w:val="-8"/>
                <w:position w:val="-8"/>
                <w:sz w:val="18"/>
                <w:szCs w:val="18"/>
              </w:rPr>
            </w:pPr>
          </w:p>
        </w:tc>
        <w:tc>
          <w:tcPr>
            <w:tcW w:w="3290" w:type="dxa"/>
            <w:gridSpan w:val="2"/>
            <w:vMerge w:val="continue"/>
            <w:vAlign w:val="center"/>
          </w:tcPr>
          <w:p>
            <w:pPr>
              <w:spacing w:line="240" w:lineRule="auto"/>
              <w:ind w:left="-120" w:leftChars="-50"/>
              <w:jc w:val="center"/>
              <w:rPr>
                <w:b/>
                <w:bCs/>
                <w:spacing w:val="-8"/>
                <w:position w:val="-8"/>
                <w:sz w:val="18"/>
                <w:szCs w:val="18"/>
              </w:rPr>
            </w:pPr>
          </w:p>
        </w:tc>
        <w:tc>
          <w:tcPr>
            <w:tcW w:w="425" w:type="dxa"/>
            <w:vMerge w:val="continue"/>
            <w:vAlign w:val="center"/>
          </w:tcPr>
          <w:p>
            <w:pPr>
              <w:spacing w:line="240" w:lineRule="auto"/>
              <w:ind w:left="-120" w:leftChars="-50" w:right="-120" w:rightChars="-50"/>
              <w:jc w:val="center"/>
              <w:rPr>
                <w:b/>
                <w:bCs/>
                <w:spacing w:val="-8"/>
                <w:position w:val="-8"/>
                <w:sz w:val="18"/>
                <w:szCs w:val="18"/>
              </w:rPr>
            </w:pPr>
          </w:p>
        </w:tc>
        <w:tc>
          <w:tcPr>
            <w:tcW w:w="425" w:type="dxa"/>
            <w:gridSpan w:val="2"/>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总计</w:t>
            </w:r>
          </w:p>
        </w:tc>
        <w:tc>
          <w:tcPr>
            <w:tcW w:w="425" w:type="dxa"/>
            <w:gridSpan w:val="2"/>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讲授</w:t>
            </w:r>
          </w:p>
        </w:tc>
        <w:tc>
          <w:tcPr>
            <w:tcW w:w="426" w:type="dxa"/>
            <w:gridSpan w:val="2"/>
            <w:vAlign w:val="center"/>
          </w:tcPr>
          <w:p>
            <w:pPr>
              <w:spacing w:line="240" w:lineRule="auto"/>
              <w:ind w:left="-120" w:leftChars="-50" w:right="-120" w:rightChars="-50"/>
              <w:jc w:val="center"/>
              <w:rPr>
                <w:b/>
                <w:bCs/>
                <w:spacing w:val="-8"/>
                <w:position w:val="-8"/>
                <w:sz w:val="18"/>
                <w:szCs w:val="18"/>
              </w:rPr>
            </w:pPr>
            <w:r>
              <w:rPr>
                <w:b/>
                <w:bCs/>
                <w:spacing w:val="-8"/>
                <w:position w:val="-8"/>
                <w:sz w:val="18"/>
                <w:szCs w:val="18"/>
              </w:rPr>
              <w:t>实验</w:t>
            </w:r>
          </w:p>
        </w:tc>
        <w:tc>
          <w:tcPr>
            <w:tcW w:w="630" w:type="dxa"/>
            <w:gridSpan w:val="2"/>
            <w:vMerge w:val="continue"/>
            <w:tcBorders>
              <w:right w:val="single" w:color="auto" w:sz="4" w:space="0"/>
            </w:tcBorders>
            <w:vAlign w:val="center"/>
          </w:tcPr>
          <w:p>
            <w:pPr>
              <w:spacing w:line="240" w:lineRule="auto"/>
              <w:ind w:left="-120" w:leftChars="-50" w:right="-120" w:rightChars="-50"/>
              <w:jc w:val="center"/>
              <w:rPr>
                <w:b/>
                <w:bCs/>
                <w:spacing w:val="-8"/>
                <w:position w:val="-8"/>
                <w:sz w:val="18"/>
                <w:szCs w:val="18"/>
              </w:rPr>
            </w:pPr>
          </w:p>
        </w:tc>
        <w:tc>
          <w:tcPr>
            <w:tcW w:w="737" w:type="dxa"/>
            <w:vMerge w:val="continue"/>
            <w:tcBorders>
              <w:right w:val="single" w:color="auto" w:sz="4" w:space="0"/>
            </w:tcBorders>
            <w:vAlign w:val="center"/>
          </w:tcPr>
          <w:p>
            <w:pPr>
              <w:spacing w:line="240" w:lineRule="auto"/>
              <w:ind w:left="-120" w:leftChars="-50" w:right="-120" w:rightChars="-50"/>
              <w:jc w:val="center"/>
              <w:rPr>
                <w:b/>
                <w:bCs/>
                <w:spacing w:val="-8"/>
                <w:position w:val="-8"/>
                <w:sz w:val="18"/>
                <w:szCs w:val="18"/>
              </w:rPr>
            </w:pPr>
          </w:p>
        </w:tc>
        <w:tc>
          <w:tcPr>
            <w:tcW w:w="675" w:type="dxa"/>
            <w:gridSpan w:val="2"/>
            <w:vMerge w:val="continue"/>
            <w:tcBorders>
              <w:left w:val="single" w:color="auto" w:sz="4" w:space="0"/>
              <w:right w:val="single" w:color="auto" w:sz="4" w:space="0"/>
            </w:tcBorders>
            <w:vAlign w:val="center"/>
          </w:tcPr>
          <w:p>
            <w:pPr>
              <w:spacing w:line="240" w:lineRule="auto"/>
              <w:ind w:left="-120" w:leftChars="-50" w:right="-120" w:rightChars="-50"/>
              <w:jc w:val="center"/>
              <w:rPr>
                <w:b/>
                <w:bCs/>
                <w:spacing w:val="-8"/>
                <w:position w:val="-8"/>
                <w:sz w:val="18"/>
                <w:szCs w:val="18"/>
              </w:rPr>
            </w:pPr>
          </w:p>
        </w:tc>
        <w:tc>
          <w:tcPr>
            <w:tcW w:w="637" w:type="dxa"/>
            <w:vMerge w:val="continue"/>
            <w:tcBorders>
              <w:left w:val="single" w:color="auto" w:sz="4" w:space="0"/>
              <w:bottom w:val="single" w:color="auto" w:sz="4" w:space="0"/>
            </w:tcBorders>
            <w:vAlign w:val="center"/>
          </w:tcPr>
          <w:p>
            <w:pPr>
              <w:spacing w:line="240" w:lineRule="auto"/>
              <w:ind w:left="-120" w:leftChars="-50" w:right="-120" w:rightChars="-50"/>
              <w:jc w:val="center"/>
              <w:rPr>
                <w:b/>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392" w:type="dxa"/>
            <w:vMerge w:val="restart"/>
            <w:tcBorders>
              <w:top w:val="single" w:color="auto" w:sz="4" w:space="0"/>
              <w:right w:val="single" w:color="auto" w:sz="4" w:space="0"/>
            </w:tcBorders>
            <w:shd w:val="clear" w:color="auto" w:fill="auto"/>
            <w:vAlign w:val="center"/>
          </w:tcPr>
          <w:p>
            <w:pPr>
              <w:spacing w:line="240" w:lineRule="auto"/>
              <w:ind w:left="-120" w:leftChars="-50" w:right="-120" w:rightChars="-50"/>
              <w:jc w:val="center"/>
              <w:rPr>
                <w:bCs/>
                <w:sz w:val="18"/>
                <w:szCs w:val="18"/>
              </w:rPr>
            </w:pPr>
            <w:r>
              <w:rPr>
                <w:bCs/>
                <w:sz w:val="18"/>
                <w:szCs w:val="18"/>
              </w:rPr>
              <w:t>专</w:t>
            </w:r>
          </w:p>
          <w:p>
            <w:pPr>
              <w:spacing w:line="240" w:lineRule="auto"/>
              <w:ind w:left="-120" w:leftChars="-50" w:right="-120" w:rightChars="-50"/>
              <w:jc w:val="center"/>
              <w:rPr>
                <w:bCs/>
                <w:sz w:val="18"/>
                <w:szCs w:val="18"/>
              </w:rPr>
            </w:pPr>
            <w:r>
              <w:rPr>
                <w:bCs/>
                <w:sz w:val="18"/>
                <w:szCs w:val="18"/>
              </w:rPr>
              <w:t>业</w:t>
            </w:r>
          </w:p>
          <w:p>
            <w:pPr>
              <w:spacing w:line="240" w:lineRule="auto"/>
              <w:ind w:left="-120" w:leftChars="-50" w:right="-120" w:rightChars="-50"/>
              <w:jc w:val="center"/>
              <w:rPr>
                <w:bCs/>
                <w:sz w:val="18"/>
                <w:szCs w:val="18"/>
              </w:rPr>
            </w:pPr>
            <w:r>
              <w:rPr>
                <w:bCs/>
                <w:sz w:val="18"/>
                <w:szCs w:val="18"/>
              </w:rPr>
              <w:t>方</w:t>
            </w:r>
          </w:p>
          <w:p>
            <w:pPr>
              <w:spacing w:line="240" w:lineRule="auto"/>
              <w:ind w:left="-120" w:leftChars="-50" w:right="-120" w:rightChars="-50"/>
              <w:jc w:val="center"/>
              <w:rPr>
                <w:bCs/>
                <w:sz w:val="18"/>
                <w:szCs w:val="18"/>
              </w:rPr>
            </w:pPr>
            <w:r>
              <w:rPr>
                <w:bCs/>
                <w:sz w:val="18"/>
                <w:szCs w:val="18"/>
              </w:rPr>
              <w:t>向</w:t>
            </w:r>
          </w:p>
          <w:p>
            <w:pPr>
              <w:spacing w:line="240" w:lineRule="auto"/>
              <w:ind w:left="-120" w:leftChars="-50" w:right="-120" w:rightChars="-50"/>
              <w:jc w:val="center"/>
              <w:rPr>
                <w:bCs/>
                <w:sz w:val="18"/>
                <w:szCs w:val="18"/>
              </w:rPr>
            </w:pPr>
            <w:r>
              <w:rPr>
                <w:bCs/>
                <w:sz w:val="18"/>
                <w:szCs w:val="18"/>
              </w:rPr>
              <w:t>课</w:t>
            </w:r>
          </w:p>
        </w:tc>
        <w:tc>
          <w:tcPr>
            <w:tcW w:w="425" w:type="dxa"/>
            <w:vMerge w:val="restart"/>
            <w:tcBorders>
              <w:top w:val="single" w:color="auto" w:sz="4" w:space="0"/>
              <w:right w:val="single" w:color="auto" w:sz="4" w:space="0"/>
            </w:tcBorders>
            <w:shd w:val="clear" w:color="auto" w:fill="auto"/>
            <w:vAlign w:val="center"/>
          </w:tcPr>
          <w:p>
            <w:pPr>
              <w:spacing w:line="240" w:lineRule="auto"/>
              <w:ind w:left="-120" w:leftChars="-50" w:right="-120" w:rightChars="-50"/>
              <w:jc w:val="center"/>
              <w:rPr>
                <w:bCs/>
                <w:sz w:val="18"/>
                <w:szCs w:val="18"/>
              </w:rPr>
            </w:pPr>
            <w:r>
              <w:rPr>
                <w:bCs/>
                <w:sz w:val="18"/>
                <w:szCs w:val="18"/>
              </w:rPr>
              <w:t>专</w:t>
            </w:r>
          </w:p>
          <w:p>
            <w:pPr>
              <w:spacing w:line="240" w:lineRule="auto"/>
              <w:ind w:left="-120" w:leftChars="-50" w:right="-120" w:rightChars="-50"/>
              <w:jc w:val="center"/>
              <w:rPr>
                <w:bCs/>
                <w:sz w:val="18"/>
                <w:szCs w:val="18"/>
              </w:rPr>
            </w:pPr>
            <w:r>
              <w:rPr>
                <w:bCs/>
                <w:sz w:val="18"/>
                <w:szCs w:val="18"/>
              </w:rPr>
              <w:t>业</w:t>
            </w:r>
          </w:p>
          <w:p>
            <w:pPr>
              <w:spacing w:line="240" w:lineRule="auto"/>
              <w:ind w:left="-120" w:leftChars="-50" w:right="-120" w:rightChars="-50"/>
              <w:jc w:val="center"/>
              <w:rPr>
                <w:bCs/>
                <w:sz w:val="18"/>
                <w:szCs w:val="18"/>
              </w:rPr>
            </w:pPr>
            <w:r>
              <w:rPr>
                <w:bCs/>
                <w:sz w:val="18"/>
                <w:szCs w:val="18"/>
              </w:rPr>
              <w:t>分</w:t>
            </w:r>
          </w:p>
          <w:p>
            <w:pPr>
              <w:spacing w:line="240" w:lineRule="auto"/>
              <w:ind w:left="-120" w:leftChars="-50" w:right="-120" w:rightChars="-50"/>
              <w:jc w:val="center"/>
              <w:rPr>
                <w:bCs/>
                <w:sz w:val="18"/>
                <w:szCs w:val="18"/>
              </w:rPr>
            </w:pPr>
            <w:r>
              <w:rPr>
                <w:bCs/>
                <w:sz w:val="18"/>
                <w:szCs w:val="18"/>
              </w:rPr>
              <w:t>流</w:t>
            </w:r>
          </w:p>
          <w:p>
            <w:pPr>
              <w:spacing w:line="240" w:lineRule="auto"/>
              <w:ind w:left="-120" w:leftChars="-50" w:right="-120" w:rightChars="-50"/>
              <w:jc w:val="center"/>
              <w:rPr>
                <w:bCs/>
                <w:sz w:val="18"/>
                <w:szCs w:val="18"/>
              </w:rPr>
            </w:pPr>
            <w:r>
              <w:rPr>
                <w:bCs/>
                <w:sz w:val="18"/>
                <w:szCs w:val="18"/>
              </w:rPr>
              <w:t>课</w:t>
            </w:r>
          </w:p>
        </w:tc>
        <w:tc>
          <w:tcPr>
            <w:tcW w:w="963" w:type="dxa"/>
            <w:tcBorders>
              <w:top w:val="single" w:color="auto" w:sz="4" w:space="0"/>
              <w:left w:val="single" w:color="auto" w:sz="4" w:space="0"/>
            </w:tcBorders>
            <w:vAlign w:val="center"/>
          </w:tcPr>
          <w:p>
            <w:pPr>
              <w:spacing w:line="240" w:lineRule="auto"/>
              <w:ind w:left="-120" w:leftChars="-50" w:right="-120" w:rightChars="-50" w:firstLine="138" w:firstLineChars="77"/>
              <w:jc w:val="left"/>
              <w:rPr>
                <w:bCs/>
                <w:sz w:val="18"/>
                <w:szCs w:val="18"/>
              </w:rPr>
            </w:pPr>
            <w:r>
              <w:rPr>
                <w:bCs/>
                <w:sz w:val="18"/>
                <w:szCs w:val="18"/>
              </w:rPr>
              <w:t>XF038009</w:t>
            </w:r>
          </w:p>
        </w:tc>
        <w:tc>
          <w:tcPr>
            <w:tcW w:w="3290" w:type="dxa"/>
            <w:gridSpan w:val="2"/>
            <w:vAlign w:val="center"/>
          </w:tcPr>
          <w:p>
            <w:pPr>
              <w:spacing w:line="240" w:lineRule="exact"/>
              <w:rPr>
                <w:sz w:val="18"/>
                <w:szCs w:val="18"/>
              </w:rPr>
            </w:pPr>
            <w:r>
              <w:rPr>
                <w:sz w:val="18"/>
                <w:szCs w:val="18"/>
              </w:rPr>
              <w:t>申论</w:t>
            </w:r>
          </w:p>
          <w:p>
            <w:pPr>
              <w:spacing w:line="240" w:lineRule="exact"/>
              <w:rPr>
                <w:bCs/>
                <w:spacing w:val="-8"/>
                <w:position w:val="-8"/>
                <w:sz w:val="18"/>
                <w:szCs w:val="18"/>
              </w:rPr>
            </w:pPr>
            <w:r>
              <w:rPr>
                <w:sz w:val="18"/>
                <w:szCs w:val="18"/>
              </w:rPr>
              <w:t>Argumentative Essay</w:t>
            </w:r>
          </w:p>
        </w:tc>
        <w:tc>
          <w:tcPr>
            <w:tcW w:w="425" w:type="dxa"/>
            <w:vAlign w:val="center"/>
          </w:tcPr>
          <w:p>
            <w:pPr>
              <w:spacing w:line="240" w:lineRule="auto"/>
              <w:jc w:val="center"/>
              <w:rPr>
                <w:bCs/>
                <w:spacing w:val="-8"/>
                <w:position w:val="-8"/>
                <w:sz w:val="18"/>
                <w:szCs w:val="18"/>
              </w:rPr>
            </w:pPr>
            <w:r>
              <w:rPr>
                <w:sz w:val="18"/>
                <w:szCs w:val="18"/>
              </w:rPr>
              <w:t>3</w:t>
            </w:r>
          </w:p>
        </w:tc>
        <w:tc>
          <w:tcPr>
            <w:tcW w:w="425" w:type="dxa"/>
            <w:gridSpan w:val="2"/>
            <w:vAlign w:val="center"/>
          </w:tcPr>
          <w:p>
            <w:pPr>
              <w:spacing w:line="240" w:lineRule="auto"/>
              <w:jc w:val="center"/>
              <w:rPr>
                <w:bCs/>
                <w:spacing w:val="-8"/>
                <w:position w:val="-8"/>
                <w:sz w:val="18"/>
                <w:szCs w:val="18"/>
              </w:rPr>
            </w:pPr>
            <w:r>
              <w:rPr>
                <w:sz w:val="18"/>
                <w:szCs w:val="18"/>
              </w:rPr>
              <w:t>48</w:t>
            </w:r>
          </w:p>
        </w:tc>
        <w:tc>
          <w:tcPr>
            <w:tcW w:w="425" w:type="dxa"/>
            <w:gridSpan w:val="2"/>
            <w:vAlign w:val="center"/>
          </w:tcPr>
          <w:p>
            <w:pPr>
              <w:spacing w:line="240" w:lineRule="auto"/>
              <w:jc w:val="center"/>
              <w:rPr>
                <w:bCs/>
                <w:spacing w:val="-8"/>
                <w:position w:val="-8"/>
                <w:sz w:val="18"/>
                <w:szCs w:val="18"/>
              </w:rPr>
            </w:pPr>
            <w:r>
              <w:rPr>
                <w:sz w:val="18"/>
                <w:szCs w:val="18"/>
              </w:rPr>
              <w:t>40</w:t>
            </w:r>
          </w:p>
        </w:tc>
        <w:tc>
          <w:tcPr>
            <w:tcW w:w="426" w:type="dxa"/>
            <w:gridSpan w:val="2"/>
            <w:vAlign w:val="center"/>
          </w:tcPr>
          <w:p>
            <w:pPr>
              <w:spacing w:line="240" w:lineRule="auto"/>
              <w:jc w:val="center"/>
              <w:rPr>
                <w:bCs/>
                <w:spacing w:val="-8"/>
                <w:position w:val="-8"/>
                <w:sz w:val="18"/>
                <w:szCs w:val="18"/>
              </w:rPr>
            </w:pPr>
            <w:r>
              <w:rPr>
                <w:sz w:val="18"/>
                <w:szCs w:val="18"/>
              </w:rPr>
              <w:t>8</w:t>
            </w:r>
          </w:p>
        </w:tc>
        <w:tc>
          <w:tcPr>
            <w:tcW w:w="630" w:type="dxa"/>
            <w:gridSpan w:val="2"/>
            <w:tcBorders>
              <w:right w:val="single" w:color="auto" w:sz="4" w:space="0"/>
            </w:tcBorders>
            <w:vAlign w:val="center"/>
          </w:tcPr>
          <w:p>
            <w:pPr>
              <w:spacing w:line="240" w:lineRule="auto"/>
              <w:jc w:val="center"/>
              <w:rPr>
                <w:bCs/>
                <w:spacing w:val="-8"/>
                <w:position w:val="-8"/>
                <w:sz w:val="18"/>
                <w:szCs w:val="18"/>
              </w:rPr>
            </w:pPr>
            <w:r>
              <w:rPr>
                <w:sz w:val="18"/>
                <w:szCs w:val="18"/>
              </w:rPr>
              <w:t>4</w:t>
            </w:r>
          </w:p>
        </w:tc>
        <w:tc>
          <w:tcPr>
            <w:tcW w:w="737" w:type="dxa"/>
            <w:tcBorders>
              <w:right w:val="single" w:color="auto" w:sz="4" w:space="0"/>
            </w:tcBorders>
            <w:vAlign w:val="center"/>
          </w:tcPr>
          <w:p>
            <w:pPr>
              <w:spacing w:line="240" w:lineRule="auto"/>
              <w:ind w:right="-120" w:rightChars="-50"/>
              <w:jc w:val="center"/>
              <w:rPr>
                <w:bCs/>
                <w:spacing w:val="-8"/>
                <w:position w:val="-8"/>
                <w:sz w:val="18"/>
                <w:szCs w:val="18"/>
              </w:rPr>
            </w:pPr>
            <w:r>
              <w:rPr>
                <w:bCs/>
                <w:spacing w:val="-8"/>
                <w:position w:val="-8"/>
                <w:sz w:val="18"/>
                <w:szCs w:val="18"/>
              </w:rPr>
              <w:t>创新型</w:t>
            </w:r>
          </w:p>
        </w:tc>
        <w:tc>
          <w:tcPr>
            <w:tcW w:w="675" w:type="dxa"/>
            <w:gridSpan w:val="2"/>
            <w:tcBorders>
              <w:left w:val="single" w:color="auto" w:sz="4" w:space="0"/>
              <w:right w:val="single" w:color="auto" w:sz="4" w:space="0"/>
            </w:tcBorders>
            <w:vAlign w:val="center"/>
          </w:tcPr>
          <w:p>
            <w:pPr>
              <w:spacing w:line="240" w:lineRule="auto"/>
              <w:jc w:val="center"/>
              <w:rPr>
                <w:bCs/>
                <w:spacing w:val="-8"/>
                <w:position w:val="-8"/>
                <w:sz w:val="18"/>
                <w:szCs w:val="18"/>
              </w:rPr>
            </w:pPr>
            <w:r>
              <w:rPr>
                <w:bCs/>
                <w:spacing w:val="-8"/>
                <w:position w:val="-8"/>
                <w:sz w:val="18"/>
                <w:szCs w:val="18"/>
              </w:rPr>
              <w:t>公管</w:t>
            </w:r>
          </w:p>
        </w:tc>
        <w:tc>
          <w:tcPr>
            <w:tcW w:w="637" w:type="dxa"/>
            <w:vMerge w:val="restart"/>
            <w:tcBorders>
              <w:top w:val="single" w:color="auto" w:sz="4" w:space="0"/>
              <w:left w:val="single" w:color="auto" w:sz="4" w:space="0"/>
            </w:tcBorders>
            <w:vAlign w:val="center"/>
          </w:tcPr>
          <w:p>
            <w:pPr>
              <w:pStyle w:val="11"/>
              <w:keepNext/>
              <w:spacing w:line="240" w:lineRule="auto"/>
              <w:ind w:left="-120" w:leftChars="-50" w:right="-120" w:rightChars="-50" w:firstLine="0"/>
              <w:jc w:val="center"/>
              <w:rPr>
                <w:bCs/>
                <w:snapToGrid w:val="0"/>
                <w:sz w:val="18"/>
                <w:szCs w:val="18"/>
              </w:rPr>
            </w:pPr>
            <w:r>
              <w:rPr>
                <w:bCs/>
                <w:snapToGrid w:val="0"/>
                <w:sz w:val="18"/>
                <w:szCs w:val="18"/>
              </w:rPr>
              <w:t>每名学生至少选修18学分。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392"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425"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963" w:type="dxa"/>
            <w:tcBorders>
              <w:left w:val="single" w:color="auto" w:sz="4" w:space="0"/>
            </w:tcBorders>
            <w:vAlign w:val="center"/>
          </w:tcPr>
          <w:p>
            <w:pPr>
              <w:spacing w:line="240" w:lineRule="auto"/>
              <w:ind w:left="-120" w:leftChars="-50" w:right="-120" w:rightChars="-50" w:firstLine="138" w:firstLineChars="77"/>
              <w:jc w:val="left"/>
              <w:rPr>
                <w:bCs/>
                <w:sz w:val="18"/>
                <w:szCs w:val="18"/>
              </w:rPr>
            </w:pPr>
          </w:p>
        </w:tc>
        <w:tc>
          <w:tcPr>
            <w:tcW w:w="3290" w:type="dxa"/>
            <w:gridSpan w:val="2"/>
          </w:tcPr>
          <w:p>
            <w:pPr>
              <w:widowControl/>
              <w:spacing w:line="240" w:lineRule="exact"/>
              <w:jc w:val="left"/>
              <w:rPr>
                <w:sz w:val="18"/>
                <w:szCs w:val="18"/>
              </w:rPr>
            </w:pPr>
            <w:r>
              <w:rPr>
                <w:sz w:val="18"/>
                <w:szCs w:val="18"/>
              </w:rPr>
              <w:t>Adobe Photoshop图像制作</w:t>
            </w:r>
          </w:p>
          <w:p>
            <w:pPr>
              <w:widowControl/>
              <w:spacing w:line="240" w:lineRule="exact"/>
              <w:jc w:val="left"/>
              <w:rPr>
                <w:sz w:val="18"/>
                <w:szCs w:val="18"/>
              </w:rPr>
            </w:pPr>
            <w:r>
              <w:rPr>
                <w:sz w:val="18"/>
                <w:szCs w:val="18"/>
              </w:rPr>
              <w:t>Adobe Photoshop Image production</w:t>
            </w:r>
          </w:p>
        </w:tc>
        <w:tc>
          <w:tcPr>
            <w:tcW w:w="425" w:type="dxa"/>
            <w:vAlign w:val="center"/>
          </w:tcPr>
          <w:p>
            <w:pPr>
              <w:widowControl/>
              <w:spacing w:line="240" w:lineRule="auto"/>
              <w:jc w:val="center"/>
              <w:rPr>
                <w:sz w:val="18"/>
                <w:szCs w:val="18"/>
              </w:rPr>
            </w:pPr>
            <w:r>
              <w:rPr>
                <w:sz w:val="18"/>
                <w:szCs w:val="18"/>
              </w:rPr>
              <w:t>2</w:t>
            </w:r>
          </w:p>
        </w:tc>
        <w:tc>
          <w:tcPr>
            <w:tcW w:w="425" w:type="dxa"/>
            <w:gridSpan w:val="2"/>
            <w:vAlign w:val="center"/>
          </w:tcPr>
          <w:p>
            <w:pPr>
              <w:widowControl/>
              <w:spacing w:line="240" w:lineRule="auto"/>
              <w:jc w:val="center"/>
              <w:rPr>
                <w:sz w:val="18"/>
                <w:szCs w:val="18"/>
              </w:rPr>
            </w:pPr>
            <w:r>
              <w:rPr>
                <w:sz w:val="18"/>
                <w:szCs w:val="18"/>
              </w:rPr>
              <w:t>32</w:t>
            </w:r>
          </w:p>
        </w:tc>
        <w:tc>
          <w:tcPr>
            <w:tcW w:w="425" w:type="dxa"/>
            <w:gridSpan w:val="2"/>
            <w:vAlign w:val="center"/>
          </w:tcPr>
          <w:p>
            <w:pPr>
              <w:widowControl/>
              <w:spacing w:line="240" w:lineRule="auto"/>
              <w:jc w:val="center"/>
              <w:rPr>
                <w:sz w:val="18"/>
                <w:szCs w:val="18"/>
              </w:rPr>
            </w:pPr>
            <w:r>
              <w:rPr>
                <w:sz w:val="18"/>
                <w:szCs w:val="18"/>
              </w:rPr>
              <w:t>24</w:t>
            </w:r>
          </w:p>
        </w:tc>
        <w:tc>
          <w:tcPr>
            <w:tcW w:w="426" w:type="dxa"/>
            <w:gridSpan w:val="2"/>
            <w:vAlign w:val="center"/>
          </w:tcPr>
          <w:p>
            <w:pPr>
              <w:widowControl/>
              <w:spacing w:line="240" w:lineRule="auto"/>
              <w:jc w:val="center"/>
              <w:rPr>
                <w:sz w:val="18"/>
                <w:szCs w:val="18"/>
              </w:rPr>
            </w:pPr>
            <w:r>
              <w:rPr>
                <w:sz w:val="18"/>
                <w:szCs w:val="18"/>
              </w:rPr>
              <w:t>8</w:t>
            </w:r>
          </w:p>
        </w:tc>
        <w:tc>
          <w:tcPr>
            <w:tcW w:w="630" w:type="dxa"/>
            <w:gridSpan w:val="2"/>
            <w:vAlign w:val="center"/>
          </w:tcPr>
          <w:p>
            <w:pPr>
              <w:spacing w:line="240" w:lineRule="auto"/>
              <w:ind w:right="-120" w:rightChars="-50"/>
              <w:jc w:val="center"/>
              <w:rPr>
                <w:sz w:val="18"/>
                <w:szCs w:val="18"/>
              </w:rPr>
            </w:pPr>
            <w:r>
              <w:rPr>
                <w:bCs/>
                <w:sz w:val="18"/>
                <w:szCs w:val="18"/>
              </w:rPr>
              <w:t>2-6</w:t>
            </w:r>
          </w:p>
        </w:tc>
        <w:tc>
          <w:tcPr>
            <w:tcW w:w="737" w:type="dxa"/>
            <w:vAlign w:val="center"/>
          </w:tcPr>
          <w:p>
            <w:pPr>
              <w:spacing w:line="240" w:lineRule="auto"/>
              <w:ind w:right="-120" w:rightChars="-50"/>
              <w:jc w:val="center"/>
              <w:rPr>
                <w:sz w:val="18"/>
                <w:szCs w:val="18"/>
              </w:rPr>
            </w:pPr>
            <w:r>
              <w:rPr>
                <w:bCs/>
                <w:spacing w:val="-8"/>
                <w:position w:val="-8"/>
                <w:sz w:val="18"/>
                <w:szCs w:val="18"/>
              </w:rPr>
              <w:t>专业型</w:t>
            </w:r>
          </w:p>
        </w:tc>
        <w:tc>
          <w:tcPr>
            <w:tcW w:w="675" w:type="dxa"/>
            <w:gridSpan w:val="2"/>
            <w:tcBorders>
              <w:right w:val="single" w:color="auto" w:sz="4" w:space="0"/>
            </w:tcBorders>
            <w:vAlign w:val="center"/>
          </w:tcPr>
          <w:p>
            <w:pPr>
              <w:spacing w:line="240" w:lineRule="auto"/>
              <w:jc w:val="center"/>
              <w:rPr>
                <w:bCs/>
                <w:spacing w:val="-8"/>
                <w:position w:val="-8"/>
                <w:sz w:val="18"/>
                <w:szCs w:val="18"/>
              </w:rPr>
            </w:pPr>
            <w:r>
              <w:rPr>
                <w:bCs/>
                <w:spacing w:val="-8"/>
                <w:position w:val="-8"/>
                <w:sz w:val="18"/>
                <w:szCs w:val="18"/>
              </w:rPr>
              <w:t>公管</w:t>
            </w:r>
          </w:p>
        </w:tc>
        <w:tc>
          <w:tcPr>
            <w:tcW w:w="637" w:type="dxa"/>
            <w:vMerge w:val="continue"/>
            <w:tcBorders>
              <w:left w:val="single" w:color="auto" w:sz="4" w:space="0"/>
            </w:tcBorders>
            <w:vAlign w:val="center"/>
          </w:tcPr>
          <w:p>
            <w:pPr>
              <w:spacing w:line="240" w:lineRule="auto"/>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392"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425"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963" w:type="dxa"/>
            <w:tcBorders>
              <w:left w:val="single" w:color="auto" w:sz="4" w:space="0"/>
            </w:tcBorders>
            <w:vAlign w:val="center"/>
          </w:tcPr>
          <w:p>
            <w:pPr>
              <w:spacing w:line="240" w:lineRule="auto"/>
              <w:ind w:left="-120" w:leftChars="-50" w:right="-120" w:rightChars="-50" w:firstLine="138" w:firstLineChars="77"/>
              <w:jc w:val="left"/>
              <w:rPr>
                <w:bCs/>
                <w:sz w:val="18"/>
                <w:szCs w:val="18"/>
              </w:rPr>
            </w:pPr>
            <w:r>
              <w:rPr>
                <w:bCs/>
                <w:sz w:val="18"/>
                <w:szCs w:val="18"/>
              </w:rPr>
              <w:t>XF038012</w:t>
            </w:r>
          </w:p>
        </w:tc>
        <w:tc>
          <w:tcPr>
            <w:tcW w:w="3290" w:type="dxa"/>
            <w:gridSpan w:val="2"/>
            <w:vAlign w:val="center"/>
          </w:tcPr>
          <w:p>
            <w:pPr>
              <w:spacing w:line="240" w:lineRule="exact"/>
              <w:rPr>
                <w:sz w:val="18"/>
                <w:szCs w:val="18"/>
              </w:rPr>
            </w:pPr>
            <w:r>
              <w:rPr>
                <w:sz w:val="18"/>
                <w:szCs w:val="18"/>
              </w:rPr>
              <w:t>行政</w:t>
            </w:r>
            <w:r>
              <w:rPr>
                <w:snapToGrid w:val="0"/>
                <w:sz w:val="18"/>
                <w:szCs w:val="18"/>
              </w:rPr>
              <w:t>职业</w:t>
            </w:r>
            <w:r>
              <w:rPr>
                <w:sz w:val="18"/>
                <w:szCs w:val="18"/>
              </w:rPr>
              <w:t>能力测试</w:t>
            </w:r>
          </w:p>
          <w:p>
            <w:pPr>
              <w:spacing w:line="240" w:lineRule="exact"/>
              <w:rPr>
                <w:bCs/>
                <w:spacing w:val="-8"/>
                <w:position w:val="-8"/>
                <w:sz w:val="18"/>
                <w:szCs w:val="18"/>
              </w:rPr>
            </w:pPr>
            <w:r>
              <w:rPr>
                <w:sz w:val="18"/>
                <w:szCs w:val="18"/>
              </w:rPr>
              <w:t>Administrative Aptitude Test</w:t>
            </w:r>
          </w:p>
        </w:tc>
        <w:tc>
          <w:tcPr>
            <w:tcW w:w="425" w:type="dxa"/>
            <w:vAlign w:val="center"/>
          </w:tcPr>
          <w:p>
            <w:pPr>
              <w:spacing w:line="240" w:lineRule="auto"/>
              <w:jc w:val="center"/>
              <w:rPr>
                <w:bCs/>
                <w:spacing w:val="-8"/>
                <w:position w:val="-8"/>
                <w:sz w:val="18"/>
                <w:szCs w:val="18"/>
              </w:rPr>
            </w:pPr>
            <w:r>
              <w:rPr>
                <w:sz w:val="18"/>
                <w:szCs w:val="18"/>
              </w:rPr>
              <w:t>3</w:t>
            </w:r>
          </w:p>
        </w:tc>
        <w:tc>
          <w:tcPr>
            <w:tcW w:w="425" w:type="dxa"/>
            <w:gridSpan w:val="2"/>
            <w:vAlign w:val="center"/>
          </w:tcPr>
          <w:p>
            <w:pPr>
              <w:spacing w:line="240" w:lineRule="auto"/>
              <w:jc w:val="center"/>
              <w:rPr>
                <w:bCs/>
                <w:spacing w:val="-8"/>
                <w:position w:val="-8"/>
                <w:sz w:val="18"/>
                <w:szCs w:val="18"/>
              </w:rPr>
            </w:pPr>
            <w:r>
              <w:rPr>
                <w:sz w:val="18"/>
                <w:szCs w:val="18"/>
              </w:rPr>
              <w:t>48</w:t>
            </w:r>
          </w:p>
        </w:tc>
        <w:tc>
          <w:tcPr>
            <w:tcW w:w="425" w:type="dxa"/>
            <w:gridSpan w:val="2"/>
            <w:vAlign w:val="center"/>
          </w:tcPr>
          <w:p>
            <w:pPr>
              <w:spacing w:line="240" w:lineRule="auto"/>
              <w:jc w:val="center"/>
              <w:rPr>
                <w:bCs/>
                <w:spacing w:val="-8"/>
                <w:position w:val="-8"/>
                <w:sz w:val="18"/>
                <w:szCs w:val="18"/>
              </w:rPr>
            </w:pPr>
            <w:r>
              <w:rPr>
                <w:sz w:val="18"/>
                <w:szCs w:val="18"/>
              </w:rPr>
              <w:t>40</w:t>
            </w:r>
          </w:p>
        </w:tc>
        <w:tc>
          <w:tcPr>
            <w:tcW w:w="426" w:type="dxa"/>
            <w:gridSpan w:val="2"/>
            <w:vAlign w:val="center"/>
          </w:tcPr>
          <w:p>
            <w:pPr>
              <w:spacing w:line="240" w:lineRule="auto"/>
              <w:jc w:val="center"/>
              <w:rPr>
                <w:bCs/>
                <w:spacing w:val="-8"/>
                <w:position w:val="-8"/>
                <w:sz w:val="18"/>
                <w:szCs w:val="18"/>
              </w:rPr>
            </w:pPr>
            <w:r>
              <w:rPr>
                <w:sz w:val="18"/>
                <w:szCs w:val="18"/>
              </w:rPr>
              <w:t>8</w:t>
            </w:r>
          </w:p>
        </w:tc>
        <w:tc>
          <w:tcPr>
            <w:tcW w:w="630" w:type="dxa"/>
            <w:gridSpan w:val="2"/>
            <w:vAlign w:val="center"/>
          </w:tcPr>
          <w:p>
            <w:pPr>
              <w:spacing w:line="240" w:lineRule="auto"/>
              <w:jc w:val="center"/>
              <w:rPr>
                <w:bCs/>
                <w:spacing w:val="-8"/>
                <w:position w:val="-8"/>
                <w:sz w:val="18"/>
                <w:szCs w:val="18"/>
              </w:rPr>
            </w:pPr>
            <w:r>
              <w:rPr>
                <w:sz w:val="18"/>
                <w:szCs w:val="18"/>
              </w:rPr>
              <w:t>5</w:t>
            </w:r>
          </w:p>
        </w:tc>
        <w:tc>
          <w:tcPr>
            <w:tcW w:w="737" w:type="dxa"/>
            <w:vAlign w:val="center"/>
          </w:tcPr>
          <w:p>
            <w:pPr>
              <w:spacing w:line="240" w:lineRule="auto"/>
              <w:ind w:right="-120" w:rightChars="-50"/>
              <w:jc w:val="center"/>
              <w:rPr>
                <w:bCs/>
                <w:spacing w:val="-8"/>
                <w:position w:val="-8"/>
                <w:sz w:val="18"/>
                <w:szCs w:val="18"/>
              </w:rPr>
            </w:pPr>
            <w:r>
              <w:rPr>
                <w:sz w:val="18"/>
                <w:szCs w:val="18"/>
              </w:rPr>
              <w:t>创新型</w:t>
            </w:r>
          </w:p>
        </w:tc>
        <w:tc>
          <w:tcPr>
            <w:tcW w:w="675" w:type="dxa"/>
            <w:gridSpan w:val="2"/>
            <w:tcBorders>
              <w:right w:val="single" w:color="auto" w:sz="4" w:space="0"/>
            </w:tcBorders>
            <w:vAlign w:val="center"/>
          </w:tcPr>
          <w:p>
            <w:pPr>
              <w:spacing w:line="240" w:lineRule="auto"/>
              <w:jc w:val="center"/>
              <w:rPr>
                <w:bCs/>
                <w:spacing w:val="-8"/>
                <w:position w:val="-8"/>
                <w:sz w:val="18"/>
                <w:szCs w:val="18"/>
              </w:rPr>
            </w:pPr>
            <w:r>
              <w:rPr>
                <w:bCs/>
                <w:spacing w:val="-8"/>
                <w:position w:val="-8"/>
                <w:sz w:val="18"/>
                <w:szCs w:val="18"/>
              </w:rPr>
              <w:t>公管</w:t>
            </w:r>
          </w:p>
        </w:tc>
        <w:tc>
          <w:tcPr>
            <w:tcW w:w="637" w:type="dxa"/>
            <w:vMerge w:val="continue"/>
            <w:tcBorders>
              <w:left w:val="single" w:color="auto" w:sz="4" w:space="0"/>
            </w:tcBorders>
            <w:vAlign w:val="center"/>
          </w:tcPr>
          <w:p>
            <w:pPr>
              <w:spacing w:line="240" w:lineRule="auto"/>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392"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425"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963" w:type="dxa"/>
            <w:tcBorders>
              <w:left w:val="single" w:color="auto" w:sz="4" w:space="0"/>
            </w:tcBorders>
            <w:vAlign w:val="center"/>
          </w:tcPr>
          <w:p>
            <w:pPr>
              <w:spacing w:line="240" w:lineRule="auto"/>
              <w:ind w:left="-120" w:leftChars="-50" w:right="-120" w:rightChars="-50" w:firstLine="138" w:firstLineChars="77"/>
              <w:jc w:val="left"/>
              <w:rPr>
                <w:bCs/>
                <w:sz w:val="18"/>
                <w:szCs w:val="18"/>
              </w:rPr>
            </w:pPr>
            <w:r>
              <w:rPr>
                <w:bCs/>
                <w:sz w:val="18"/>
                <w:szCs w:val="18"/>
              </w:rPr>
              <w:t>XF153012</w:t>
            </w:r>
          </w:p>
        </w:tc>
        <w:tc>
          <w:tcPr>
            <w:tcW w:w="3290" w:type="dxa"/>
            <w:gridSpan w:val="2"/>
            <w:vAlign w:val="center"/>
          </w:tcPr>
          <w:p>
            <w:pPr>
              <w:spacing w:line="240" w:lineRule="exact"/>
              <w:rPr>
                <w:sz w:val="18"/>
                <w:szCs w:val="18"/>
              </w:rPr>
            </w:pPr>
            <w:r>
              <w:rPr>
                <w:sz w:val="18"/>
                <w:szCs w:val="18"/>
              </w:rPr>
              <w:t>应用写作</w:t>
            </w:r>
          </w:p>
          <w:p>
            <w:pPr>
              <w:spacing w:line="240" w:lineRule="exact"/>
              <w:rPr>
                <w:bCs/>
                <w:spacing w:val="-8"/>
                <w:position w:val="-8"/>
                <w:sz w:val="18"/>
                <w:szCs w:val="18"/>
              </w:rPr>
            </w:pPr>
            <w:r>
              <w:rPr>
                <w:sz w:val="18"/>
                <w:szCs w:val="18"/>
              </w:rPr>
              <w:t>Applied Writing</w:t>
            </w:r>
          </w:p>
        </w:tc>
        <w:tc>
          <w:tcPr>
            <w:tcW w:w="425" w:type="dxa"/>
            <w:vAlign w:val="center"/>
          </w:tcPr>
          <w:p>
            <w:pPr>
              <w:spacing w:line="240" w:lineRule="auto"/>
              <w:jc w:val="center"/>
              <w:rPr>
                <w:bCs/>
                <w:spacing w:val="-8"/>
                <w:position w:val="-8"/>
                <w:sz w:val="18"/>
                <w:szCs w:val="18"/>
              </w:rPr>
            </w:pPr>
            <w:r>
              <w:rPr>
                <w:sz w:val="18"/>
                <w:szCs w:val="18"/>
              </w:rPr>
              <w:t>2</w:t>
            </w:r>
          </w:p>
        </w:tc>
        <w:tc>
          <w:tcPr>
            <w:tcW w:w="425" w:type="dxa"/>
            <w:gridSpan w:val="2"/>
            <w:vAlign w:val="center"/>
          </w:tcPr>
          <w:p>
            <w:pPr>
              <w:spacing w:line="240" w:lineRule="auto"/>
              <w:jc w:val="center"/>
              <w:rPr>
                <w:bCs/>
                <w:spacing w:val="-8"/>
                <w:position w:val="-8"/>
                <w:sz w:val="18"/>
                <w:szCs w:val="18"/>
              </w:rPr>
            </w:pPr>
            <w:r>
              <w:rPr>
                <w:sz w:val="18"/>
                <w:szCs w:val="18"/>
              </w:rPr>
              <w:t>32</w:t>
            </w:r>
          </w:p>
        </w:tc>
        <w:tc>
          <w:tcPr>
            <w:tcW w:w="425" w:type="dxa"/>
            <w:gridSpan w:val="2"/>
            <w:vAlign w:val="center"/>
          </w:tcPr>
          <w:p>
            <w:pPr>
              <w:spacing w:line="240" w:lineRule="auto"/>
              <w:jc w:val="center"/>
              <w:rPr>
                <w:bCs/>
                <w:spacing w:val="-8"/>
                <w:position w:val="-8"/>
                <w:sz w:val="18"/>
                <w:szCs w:val="18"/>
              </w:rPr>
            </w:pPr>
            <w:r>
              <w:rPr>
                <w:sz w:val="18"/>
                <w:szCs w:val="18"/>
              </w:rPr>
              <w:t>24</w:t>
            </w:r>
          </w:p>
        </w:tc>
        <w:tc>
          <w:tcPr>
            <w:tcW w:w="426" w:type="dxa"/>
            <w:gridSpan w:val="2"/>
            <w:vAlign w:val="center"/>
          </w:tcPr>
          <w:p>
            <w:pPr>
              <w:spacing w:line="240" w:lineRule="auto"/>
              <w:jc w:val="center"/>
              <w:rPr>
                <w:bCs/>
                <w:spacing w:val="-8"/>
                <w:position w:val="-8"/>
                <w:sz w:val="18"/>
                <w:szCs w:val="18"/>
              </w:rPr>
            </w:pPr>
            <w:r>
              <w:rPr>
                <w:sz w:val="18"/>
                <w:szCs w:val="18"/>
              </w:rPr>
              <w:t>8</w:t>
            </w:r>
          </w:p>
        </w:tc>
        <w:tc>
          <w:tcPr>
            <w:tcW w:w="630" w:type="dxa"/>
            <w:gridSpan w:val="2"/>
            <w:vAlign w:val="center"/>
          </w:tcPr>
          <w:p>
            <w:pPr>
              <w:spacing w:line="240" w:lineRule="auto"/>
              <w:jc w:val="center"/>
              <w:rPr>
                <w:bCs/>
                <w:spacing w:val="-8"/>
                <w:position w:val="-8"/>
                <w:sz w:val="18"/>
                <w:szCs w:val="18"/>
              </w:rPr>
            </w:pPr>
            <w:r>
              <w:rPr>
                <w:sz w:val="18"/>
                <w:szCs w:val="18"/>
              </w:rPr>
              <w:t>2-6</w:t>
            </w:r>
          </w:p>
        </w:tc>
        <w:tc>
          <w:tcPr>
            <w:tcW w:w="737" w:type="dxa"/>
            <w:vAlign w:val="center"/>
          </w:tcPr>
          <w:p>
            <w:pPr>
              <w:spacing w:line="240" w:lineRule="auto"/>
              <w:ind w:right="-120" w:rightChars="-50"/>
              <w:jc w:val="center"/>
              <w:rPr>
                <w:bCs/>
                <w:spacing w:val="-8"/>
                <w:position w:val="-8"/>
                <w:sz w:val="18"/>
                <w:szCs w:val="18"/>
              </w:rPr>
            </w:pPr>
            <w:r>
              <w:rPr>
                <w:bCs/>
                <w:spacing w:val="-8"/>
                <w:position w:val="-8"/>
                <w:sz w:val="18"/>
                <w:szCs w:val="18"/>
              </w:rPr>
              <w:t>专业型</w:t>
            </w:r>
          </w:p>
          <w:p>
            <w:pPr>
              <w:spacing w:line="240" w:lineRule="auto"/>
              <w:ind w:right="-120" w:rightChars="-50"/>
              <w:jc w:val="center"/>
              <w:rPr>
                <w:bCs/>
                <w:spacing w:val="-8"/>
                <w:position w:val="-8"/>
                <w:sz w:val="18"/>
                <w:szCs w:val="18"/>
              </w:rPr>
            </w:pPr>
            <w:r>
              <w:rPr>
                <w:bCs/>
                <w:spacing w:val="-8"/>
                <w:position w:val="-8"/>
                <w:sz w:val="18"/>
                <w:szCs w:val="18"/>
              </w:rPr>
              <w:t>复合型</w:t>
            </w:r>
          </w:p>
        </w:tc>
        <w:tc>
          <w:tcPr>
            <w:tcW w:w="675" w:type="dxa"/>
            <w:gridSpan w:val="2"/>
            <w:tcBorders>
              <w:right w:val="single" w:color="auto" w:sz="4" w:space="0"/>
            </w:tcBorders>
            <w:vAlign w:val="center"/>
          </w:tcPr>
          <w:p>
            <w:pPr>
              <w:spacing w:line="240" w:lineRule="auto"/>
              <w:jc w:val="center"/>
              <w:rPr>
                <w:bCs/>
                <w:spacing w:val="-8"/>
                <w:position w:val="-8"/>
                <w:sz w:val="18"/>
                <w:szCs w:val="18"/>
              </w:rPr>
            </w:pPr>
            <w:r>
              <w:rPr>
                <w:bCs/>
                <w:spacing w:val="-8"/>
                <w:position w:val="-8"/>
                <w:sz w:val="18"/>
                <w:szCs w:val="18"/>
              </w:rPr>
              <w:t>公管</w:t>
            </w:r>
          </w:p>
        </w:tc>
        <w:tc>
          <w:tcPr>
            <w:tcW w:w="637" w:type="dxa"/>
            <w:vMerge w:val="continue"/>
            <w:tcBorders>
              <w:left w:val="single" w:color="auto" w:sz="4" w:space="0"/>
            </w:tcBorders>
            <w:vAlign w:val="center"/>
          </w:tcPr>
          <w:p>
            <w:pPr>
              <w:spacing w:line="240" w:lineRule="auto"/>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392"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425"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963" w:type="dxa"/>
            <w:tcBorders>
              <w:left w:val="single" w:color="auto" w:sz="4" w:space="0"/>
            </w:tcBorders>
            <w:vAlign w:val="center"/>
          </w:tcPr>
          <w:p>
            <w:pPr>
              <w:spacing w:line="240" w:lineRule="auto"/>
              <w:ind w:left="-24" w:leftChars="-10" w:right="-24" w:rightChars="-10"/>
              <w:rPr>
                <w:bCs/>
                <w:sz w:val="18"/>
                <w:szCs w:val="18"/>
              </w:rPr>
            </w:pPr>
            <w:r>
              <w:rPr>
                <w:bCs/>
                <w:sz w:val="18"/>
                <w:szCs w:val="18"/>
              </w:rPr>
              <w:t>XF160007</w:t>
            </w:r>
          </w:p>
        </w:tc>
        <w:tc>
          <w:tcPr>
            <w:tcW w:w="3290" w:type="dxa"/>
            <w:gridSpan w:val="2"/>
            <w:vAlign w:val="center"/>
          </w:tcPr>
          <w:p>
            <w:pPr>
              <w:spacing w:line="240" w:lineRule="exact"/>
              <w:rPr>
                <w:sz w:val="18"/>
                <w:szCs w:val="18"/>
              </w:rPr>
            </w:pPr>
            <w:r>
              <w:rPr>
                <w:sz w:val="18"/>
                <w:szCs w:val="18"/>
              </w:rPr>
              <w:t>区域文化产业研究</w:t>
            </w:r>
          </w:p>
          <w:p>
            <w:pPr>
              <w:spacing w:line="240" w:lineRule="exact"/>
              <w:rPr>
                <w:bCs/>
                <w:spacing w:val="-8"/>
                <w:position w:val="-8"/>
                <w:sz w:val="18"/>
                <w:szCs w:val="18"/>
              </w:rPr>
            </w:pPr>
            <w:r>
              <w:rPr>
                <w:sz w:val="18"/>
                <w:szCs w:val="18"/>
              </w:rPr>
              <w:t>Regional Cultural Industry Research</w:t>
            </w:r>
          </w:p>
        </w:tc>
        <w:tc>
          <w:tcPr>
            <w:tcW w:w="425" w:type="dxa"/>
            <w:vAlign w:val="center"/>
          </w:tcPr>
          <w:p>
            <w:pPr>
              <w:spacing w:line="240" w:lineRule="auto"/>
              <w:jc w:val="center"/>
              <w:rPr>
                <w:bCs/>
                <w:spacing w:val="-8"/>
                <w:position w:val="-8"/>
                <w:sz w:val="18"/>
                <w:szCs w:val="18"/>
              </w:rPr>
            </w:pPr>
            <w:r>
              <w:rPr>
                <w:sz w:val="18"/>
                <w:szCs w:val="18"/>
              </w:rPr>
              <w:t>2</w:t>
            </w:r>
          </w:p>
        </w:tc>
        <w:tc>
          <w:tcPr>
            <w:tcW w:w="425" w:type="dxa"/>
            <w:gridSpan w:val="2"/>
            <w:vAlign w:val="center"/>
          </w:tcPr>
          <w:p>
            <w:pPr>
              <w:spacing w:line="240" w:lineRule="auto"/>
              <w:jc w:val="center"/>
              <w:rPr>
                <w:bCs/>
                <w:spacing w:val="-8"/>
                <w:position w:val="-8"/>
                <w:sz w:val="18"/>
                <w:szCs w:val="18"/>
              </w:rPr>
            </w:pPr>
            <w:r>
              <w:rPr>
                <w:sz w:val="18"/>
                <w:szCs w:val="18"/>
              </w:rPr>
              <w:t>32</w:t>
            </w:r>
          </w:p>
        </w:tc>
        <w:tc>
          <w:tcPr>
            <w:tcW w:w="425" w:type="dxa"/>
            <w:gridSpan w:val="2"/>
            <w:vAlign w:val="center"/>
          </w:tcPr>
          <w:p>
            <w:pPr>
              <w:spacing w:line="240" w:lineRule="auto"/>
              <w:jc w:val="center"/>
              <w:rPr>
                <w:bCs/>
                <w:spacing w:val="-8"/>
                <w:position w:val="-8"/>
                <w:sz w:val="18"/>
                <w:szCs w:val="18"/>
              </w:rPr>
            </w:pPr>
            <w:r>
              <w:rPr>
                <w:sz w:val="18"/>
                <w:szCs w:val="18"/>
              </w:rPr>
              <w:t>32</w:t>
            </w:r>
          </w:p>
        </w:tc>
        <w:tc>
          <w:tcPr>
            <w:tcW w:w="426" w:type="dxa"/>
            <w:gridSpan w:val="2"/>
            <w:vAlign w:val="center"/>
          </w:tcPr>
          <w:p>
            <w:pPr>
              <w:spacing w:line="240" w:lineRule="auto"/>
              <w:jc w:val="center"/>
              <w:rPr>
                <w:bCs/>
                <w:spacing w:val="-8"/>
                <w:position w:val="-8"/>
                <w:sz w:val="18"/>
                <w:szCs w:val="18"/>
              </w:rPr>
            </w:pPr>
          </w:p>
        </w:tc>
        <w:tc>
          <w:tcPr>
            <w:tcW w:w="630" w:type="dxa"/>
            <w:gridSpan w:val="2"/>
            <w:vAlign w:val="center"/>
          </w:tcPr>
          <w:p>
            <w:pPr>
              <w:spacing w:line="240" w:lineRule="auto"/>
              <w:jc w:val="center"/>
              <w:rPr>
                <w:bCs/>
                <w:spacing w:val="-8"/>
                <w:position w:val="-8"/>
                <w:sz w:val="18"/>
                <w:szCs w:val="18"/>
              </w:rPr>
            </w:pPr>
            <w:r>
              <w:rPr>
                <w:sz w:val="18"/>
                <w:szCs w:val="18"/>
              </w:rPr>
              <w:t>2-6</w:t>
            </w:r>
          </w:p>
        </w:tc>
        <w:tc>
          <w:tcPr>
            <w:tcW w:w="737" w:type="dxa"/>
            <w:vAlign w:val="center"/>
          </w:tcPr>
          <w:p>
            <w:pPr>
              <w:spacing w:line="240" w:lineRule="auto"/>
              <w:ind w:right="-120" w:rightChars="-50"/>
              <w:jc w:val="center"/>
              <w:rPr>
                <w:bCs/>
                <w:spacing w:val="-8"/>
                <w:position w:val="-8"/>
                <w:sz w:val="18"/>
                <w:szCs w:val="18"/>
              </w:rPr>
            </w:pPr>
            <w:r>
              <w:rPr>
                <w:bCs/>
                <w:spacing w:val="-8"/>
                <w:position w:val="-8"/>
                <w:sz w:val="18"/>
                <w:szCs w:val="18"/>
              </w:rPr>
              <w:t>专业型</w:t>
            </w:r>
          </w:p>
        </w:tc>
        <w:tc>
          <w:tcPr>
            <w:tcW w:w="675" w:type="dxa"/>
            <w:gridSpan w:val="2"/>
            <w:tcBorders>
              <w:right w:val="single" w:color="auto" w:sz="4" w:space="0"/>
            </w:tcBorders>
            <w:vAlign w:val="center"/>
          </w:tcPr>
          <w:p>
            <w:pPr>
              <w:spacing w:line="240" w:lineRule="auto"/>
              <w:jc w:val="center"/>
              <w:rPr>
                <w:bCs/>
                <w:spacing w:val="-8"/>
                <w:position w:val="-8"/>
                <w:sz w:val="18"/>
                <w:szCs w:val="18"/>
              </w:rPr>
            </w:pPr>
            <w:r>
              <w:rPr>
                <w:bCs/>
                <w:spacing w:val="-8"/>
                <w:position w:val="-8"/>
                <w:sz w:val="18"/>
                <w:szCs w:val="18"/>
              </w:rPr>
              <w:t>公管</w:t>
            </w:r>
          </w:p>
        </w:tc>
        <w:tc>
          <w:tcPr>
            <w:tcW w:w="637" w:type="dxa"/>
            <w:vMerge w:val="continue"/>
            <w:tcBorders>
              <w:left w:val="single" w:color="auto" w:sz="4" w:space="0"/>
            </w:tcBorders>
            <w:vAlign w:val="center"/>
          </w:tcPr>
          <w:p>
            <w:pPr>
              <w:spacing w:line="240" w:lineRule="auto"/>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392"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425"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963" w:type="dxa"/>
            <w:tcBorders>
              <w:left w:val="single" w:color="auto" w:sz="4" w:space="0"/>
            </w:tcBorders>
            <w:vAlign w:val="center"/>
          </w:tcPr>
          <w:p>
            <w:pPr>
              <w:spacing w:line="240" w:lineRule="auto"/>
              <w:ind w:left="-120" w:leftChars="-50" w:right="-120" w:rightChars="-50" w:firstLine="138" w:firstLineChars="77"/>
              <w:jc w:val="left"/>
              <w:rPr>
                <w:bCs/>
                <w:sz w:val="18"/>
                <w:szCs w:val="18"/>
              </w:rPr>
            </w:pPr>
            <w:r>
              <w:rPr>
                <w:bCs/>
                <w:sz w:val="18"/>
                <w:szCs w:val="18"/>
              </w:rPr>
              <w:t>XF160002</w:t>
            </w:r>
          </w:p>
        </w:tc>
        <w:tc>
          <w:tcPr>
            <w:tcW w:w="3290" w:type="dxa"/>
            <w:gridSpan w:val="2"/>
            <w:vAlign w:val="center"/>
          </w:tcPr>
          <w:p>
            <w:pPr>
              <w:spacing w:line="240" w:lineRule="exact"/>
              <w:rPr>
                <w:sz w:val="18"/>
                <w:szCs w:val="18"/>
              </w:rPr>
            </w:pPr>
            <w:r>
              <w:rPr>
                <w:sz w:val="18"/>
                <w:szCs w:val="18"/>
              </w:rPr>
              <w:t>出版编辑理论与实务</w:t>
            </w:r>
          </w:p>
          <w:p>
            <w:pPr>
              <w:spacing w:line="240" w:lineRule="exact"/>
              <w:rPr>
                <w:bCs/>
                <w:spacing w:val="-8"/>
                <w:position w:val="-8"/>
                <w:sz w:val="18"/>
                <w:szCs w:val="18"/>
              </w:rPr>
            </w:pPr>
            <w:r>
              <w:rPr>
                <w:sz w:val="18"/>
                <w:szCs w:val="18"/>
              </w:rPr>
              <w:t>Theory and Practice of Publishing and Editing</w:t>
            </w:r>
          </w:p>
        </w:tc>
        <w:tc>
          <w:tcPr>
            <w:tcW w:w="425" w:type="dxa"/>
            <w:vAlign w:val="center"/>
          </w:tcPr>
          <w:p>
            <w:pPr>
              <w:spacing w:line="240" w:lineRule="auto"/>
              <w:jc w:val="center"/>
              <w:rPr>
                <w:bCs/>
                <w:spacing w:val="-8"/>
                <w:position w:val="-8"/>
                <w:sz w:val="18"/>
                <w:szCs w:val="18"/>
              </w:rPr>
            </w:pPr>
            <w:r>
              <w:rPr>
                <w:sz w:val="18"/>
                <w:szCs w:val="18"/>
              </w:rPr>
              <w:t>2</w:t>
            </w:r>
          </w:p>
        </w:tc>
        <w:tc>
          <w:tcPr>
            <w:tcW w:w="425" w:type="dxa"/>
            <w:gridSpan w:val="2"/>
            <w:vAlign w:val="center"/>
          </w:tcPr>
          <w:p>
            <w:pPr>
              <w:spacing w:line="240" w:lineRule="auto"/>
              <w:jc w:val="center"/>
              <w:rPr>
                <w:bCs/>
                <w:spacing w:val="-8"/>
                <w:position w:val="-8"/>
                <w:sz w:val="18"/>
                <w:szCs w:val="18"/>
              </w:rPr>
            </w:pPr>
            <w:r>
              <w:rPr>
                <w:sz w:val="18"/>
                <w:szCs w:val="18"/>
              </w:rPr>
              <w:t>32</w:t>
            </w:r>
          </w:p>
        </w:tc>
        <w:tc>
          <w:tcPr>
            <w:tcW w:w="425" w:type="dxa"/>
            <w:gridSpan w:val="2"/>
            <w:vAlign w:val="center"/>
          </w:tcPr>
          <w:p>
            <w:pPr>
              <w:spacing w:line="240" w:lineRule="auto"/>
              <w:jc w:val="center"/>
              <w:rPr>
                <w:bCs/>
                <w:spacing w:val="-8"/>
                <w:position w:val="-8"/>
                <w:sz w:val="18"/>
                <w:szCs w:val="18"/>
              </w:rPr>
            </w:pPr>
            <w:r>
              <w:rPr>
                <w:sz w:val="18"/>
                <w:szCs w:val="18"/>
              </w:rPr>
              <w:t>24</w:t>
            </w:r>
          </w:p>
        </w:tc>
        <w:tc>
          <w:tcPr>
            <w:tcW w:w="426" w:type="dxa"/>
            <w:gridSpan w:val="2"/>
            <w:vAlign w:val="center"/>
          </w:tcPr>
          <w:p>
            <w:pPr>
              <w:spacing w:line="240" w:lineRule="auto"/>
              <w:jc w:val="center"/>
              <w:rPr>
                <w:bCs/>
                <w:spacing w:val="-8"/>
                <w:position w:val="-8"/>
                <w:sz w:val="18"/>
                <w:szCs w:val="18"/>
              </w:rPr>
            </w:pPr>
            <w:r>
              <w:rPr>
                <w:sz w:val="18"/>
                <w:szCs w:val="18"/>
              </w:rPr>
              <w:t>8</w:t>
            </w:r>
          </w:p>
        </w:tc>
        <w:tc>
          <w:tcPr>
            <w:tcW w:w="630" w:type="dxa"/>
            <w:gridSpan w:val="2"/>
            <w:vAlign w:val="center"/>
          </w:tcPr>
          <w:p>
            <w:pPr>
              <w:spacing w:line="240" w:lineRule="auto"/>
              <w:jc w:val="center"/>
              <w:rPr>
                <w:bCs/>
                <w:spacing w:val="-8"/>
                <w:position w:val="-8"/>
                <w:sz w:val="18"/>
                <w:szCs w:val="18"/>
              </w:rPr>
            </w:pPr>
            <w:r>
              <w:rPr>
                <w:sz w:val="18"/>
                <w:szCs w:val="18"/>
              </w:rPr>
              <w:t>2-6</w:t>
            </w:r>
          </w:p>
        </w:tc>
        <w:tc>
          <w:tcPr>
            <w:tcW w:w="737" w:type="dxa"/>
            <w:vAlign w:val="center"/>
          </w:tcPr>
          <w:p>
            <w:pPr>
              <w:spacing w:line="240" w:lineRule="auto"/>
              <w:ind w:right="-120" w:rightChars="-50"/>
              <w:jc w:val="center"/>
              <w:rPr>
                <w:bCs/>
                <w:spacing w:val="-8"/>
                <w:position w:val="-8"/>
                <w:sz w:val="18"/>
                <w:szCs w:val="18"/>
              </w:rPr>
            </w:pPr>
            <w:r>
              <w:rPr>
                <w:bCs/>
                <w:spacing w:val="-8"/>
                <w:position w:val="-8"/>
                <w:sz w:val="18"/>
                <w:szCs w:val="18"/>
              </w:rPr>
              <w:t>专业型</w:t>
            </w:r>
          </w:p>
        </w:tc>
        <w:tc>
          <w:tcPr>
            <w:tcW w:w="675" w:type="dxa"/>
            <w:gridSpan w:val="2"/>
            <w:tcBorders>
              <w:right w:val="single" w:color="auto" w:sz="4" w:space="0"/>
            </w:tcBorders>
            <w:vAlign w:val="center"/>
          </w:tcPr>
          <w:p>
            <w:pPr>
              <w:spacing w:line="240" w:lineRule="auto"/>
              <w:jc w:val="center"/>
              <w:rPr>
                <w:bCs/>
                <w:spacing w:val="-8"/>
                <w:position w:val="-8"/>
                <w:sz w:val="18"/>
                <w:szCs w:val="18"/>
              </w:rPr>
            </w:pPr>
            <w:r>
              <w:rPr>
                <w:bCs/>
                <w:spacing w:val="-8"/>
                <w:position w:val="-8"/>
                <w:sz w:val="18"/>
                <w:szCs w:val="18"/>
              </w:rPr>
              <w:t>公管</w:t>
            </w:r>
          </w:p>
        </w:tc>
        <w:tc>
          <w:tcPr>
            <w:tcW w:w="637" w:type="dxa"/>
            <w:vMerge w:val="continue"/>
            <w:tcBorders>
              <w:left w:val="single" w:color="auto" w:sz="4" w:space="0"/>
            </w:tcBorders>
            <w:vAlign w:val="center"/>
          </w:tcPr>
          <w:p>
            <w:pPr>
              <w:spacing w:line="240" w:lineRule="auto"/>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392"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425"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963" w:type="dxa"/>
            <w:tcBorders>
              <w:left w:val="single" w:color="auto" w:sz="4" w:space="0"/>
            </w:tcBorders>
            <w:vAlign w:val="center"/>
          </w:tcPr>
          <w:p>
            <w:pPr>
              <w:spacing w:line="240" w:lineRule="auto"/>
              <w:ind w:left="-120" w:leftChars="-50" w:right="-120" w:rightChars="-50" w:firstLine="138" w:firstLineChars="77"/>
              <w:jc w:val="left"/>
              <w:rPr>
                <w:bCs/>
                <w:sz w:val="18"/>
                <w:szCs w:val="18"/>
              </w:rPr>
            </w:pPr>
          </w:p>
        </w:tc>
        <w:tc>
          <w:tcPr>
            <w:tcW w:w="3290" w:type="dxa"/>
            <w:gridSpan w:val="2"/>
            <w:vAlign w:val="center"/>
          </w:tcPr>
          <w:p>
            <w:pPr>
              <w:spacing w:line="240" w:lineRule="exact"/>
              <w:rPr>
                <w:sz w:val="18"/>
                <w:szCs w:val="18"/>
              </w:rPr>
            </w:pPr>
            <w:r>
              <w:rPr>
                <w:sz w:val="18"/>
                <w:szCs w:val="18"/>
              </w:rPr>
              <w:t>创意乡村专题</w:t>
            </w:r>
          </w:p>
          <w:p>
            <w:pPr>
              <w:spacing w:line="240" w:lineRule="exact"/>
              <w:rPr>
                <w:bCs/>
                <w:spacing w:val="-8"/>
                <w:position w:val="-8"/>
                <w:sz w:val="18"/>
                <w:szCs w:val="18"/>
              </w:rPr>
            </w:pPr>
            <w:r>
              <w:rPr>
                <w:sz w:val="18"/>
                <w:szCs w:val="18"/>
              </w:rPr>
              <w:t>Topics in Creative Country</w:t>
            </w:r>
          </w:p>
        </w:tc>
        <w:tc>
          <w:tcPr>
            <w:tcW w:w="425" w:type="dxa"/>
            <w:vAlign w:val="center"/>
          </w:tcPr>
          <w:p>
            <w:pPr>
              <w:spacing w:line="240" w:lineRule="auto"/>
              <w:jc w:val="center"/>
              <w:rPr>
                <w:bCs/>
                <w:spacing w:val="-8"/>
                <w:position w:val="-8"/>
                <w:sz w:val="18"/>
                <w:szCs w:val="18"/>
              </w:rPr>
            </w:pPr>
            <w:r>
              <w:rPr>
                <w:sz w:val="18"/>
                <w:szCs w:val="18"/>
              </w:rPr>
              <w:t>2</w:t>
            </w:r>
          </w:p>
        </w:tc>
        <w:tc>
          <w:tcPr>
            <w:tcW w:w="425" w:type="dxa"/>
            <w:gridSpan w:val="2"/>
            <w:vAlign w:val="center"/>
          </w:tcPr>
          <w:p>
            <w:pPr>
              <w:spacing w:line="240" w:lineRule="auto"/>
              <w:jc w:val="center"/>
              <w:rPr>
                <w:bCs/>
                <w:spacing w:val="-8"/>
                <w:position w:val="-8"/>
                <w:sz w:val="18"/>
                <w:szCs w:val="18"/>
              </w:rPr>
            </w:pPr>
            <w:r>
              <w:rPr>
                <w:sz w:val="18"/>
                <w:szCs w:val="18"/>
              </w:rPr>
              <w:t>32</w:t>
            </w:r>
          </w:p>
        </w:tc>
        <w:tc>
          <w:tcPr>
            <w:tcW w:w="425" w:type="dxa"/>
            <w:gridSpan w:val="2"/>
            <w:vAlign w:val="center"/>
          </w:tcPr>
          <w:p>
            <w:pPr>
              <w:spacing w:line="240" w:lineRule="auto"/>
              <w:jc w:val="center"/>
              <w:rPr>
                <w:bCs/>
                <w:spacing w:val="-8"/>
                <w:position w:val="-8"/>
                <w:sz w:val="18"/>
                <w:szCs w:val="18"/>
              </w:rPr>
            </w:pPr>
            <w:r>
              <w:rPr>
                <w:sz w:val="18"/>
                <w:szCs w:val="18"/>
              </w:rPr>
              <w:t>24</w:t>
            </w:r>
          </w:p>
        </w:tc>
        <w:tc>
          <w:tcPr>
            <w:tcW w:w="426" w:type="dxa"/>
            <w:gridSpan w:val="2"/>
            <w:vAlign w:val="center"/>
          </w:tcPr>
          <w:p>
            <w:pPr>
              <w:spacing w:line="240" w:lineRule="auto"/>
              <w:jc w:val="center"/>
              <w:rPr>
                <w:bCs/>
                <w:spacing w:val="-8"/>
                <w:position w:val="-8"/>
                <w:sz w:val="18"/>
                <w:szCs w:val="18"/>
              </w:rPr>
            </w:pPr>
            <w:r>
              <w:rPr>
                <w:sz w:val="18"/>
                <w:szCs w:val="18"/>
              </w:rPr>
              <w:t>8</w:t>
            </w:r>
          </w:p>
        </w:tc>
        <w:tc>
          <w:tcPr>
            <w:tcW w:w="630" w:type="dxa"/>
            <w:gridSpan w:val="2"/>
            <w:vAlign w:val="center"/>
          </w:tcPr>
          <w:p>
            <w:pPr>
              <w:spacing w:line="240" w:lineRule="auto"/>
              <w:jc w:val="center"/>
              <w:rPr>
                <w:bCs/>
                <w:spacing w:val="-8"/>
                <w:position w:val="-8"/>
                <w:sz w:val="18"/>
                <w:szCs w:val="18"/>
              </w:rPr>
            </w:pPr>
            <w:r>
              <w:rPr>
                <w:sz w:val="18"/>
                <w:szCs w:val="18"/>
              </w:rPr>
              <w:t>2-6</w:t>
            </w:r>
          </w:p>
        </w:tc>
        <w:tc>
          <w:tcPr>
            <w:tcW w:w="737" w:type="dxa"/>
            <w:vAlign w:val="center"/>
          </w:tcPr>
          <w:p>
            <w:pPr>
              <w:spacing w:line="240" w:lineRule="auto"/>
              <w:ind w:right="-120" w:rightChars="-50"/>
              <w:jc w:val="center"/>
              <w:rPr>
                <w:bCs/>
                <w:spacing w:val="-8"/>
                <w:position w:val="-8"/>
                <w:sz w:val="18"/>
                <w:szCs w:val="18"/>
              </w:rPr>
            </w:pPr>
            <w:r>
              <w:rPr>
                <w:sz w:val="18"/>
                <w:szCs w:val="18"/>
              </w:rPr>
              <w:t>创新型</w:t>
            </w:r>
          </w:p>
        </w:tc>
        <w:tc>
          <w:tcPr>
            <w:tcW w:w="675" w:type="dxa"/>
            <w:gridSpan w:val="2"/>
            <w:tcBorders>
              <w:right w:val="single" w:color="auto" w:sz="4" w:space="0"/>
            </w:tcBorders>
            <w:vAlign w:val="center"/>
          </w:tcPr>
          <w:p>
            <w:pPr>
              <w:spacing w:line="240" w:lineRule="auto"/>
              <w:jc w:val="center"/>
              <w:rPr>
                <w:bCs/>
                <w:spacing w:val="-8"/>
                <w:position w:val="-8"/>
                <w:sz w:val="18"/>
                <w:szCs w:val="18"/>
              </w:rPr>
            </w:pPr>
            <w:r>
              <w:rPr>
                <w:bCs/>
                <w:spacing w:val="-8"/>
                <w:position w:val="-8"/>
                <w:sz w:val="18"/>
                <w:szCs w:val="18"/>
              </w:rPr>
              <w:t>公管</w:t>
            </w:r>
          </w:p>
        </w:tc>
        <w:tc>
          <w:tcPr>
            <w:tcW w:w="637" w:type="dxa"/>
            <w:vMerge w:val="continue"/>
            <w:tcBorders>
              <w:left w:val="single" w:color="auto" w:sz="4" w:space="0"/>
            </w:tcBorders>
            <w:vAlign w:val="center"/>
          </w:tcPr>
          <w:p>
            <w:pPr>
              <w:spacing w:line="240" w:lineRule="auto"/>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392"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425"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963" w:type="dxa"/>
            <w:tcBorders>
              <w:left w:val="single" w:color="auto" w:sz="4" w:space="0"/>
            </w:tcBorders>
            <w:vAlign w:val="center"/>
          </w:tcPr>
          <w:p>
            <w:pPr>
              <w:spacing w:line="240" w:lineRule="auto"/>
              <w:ind w:left="-120" w:leftChars="-50" w:right="-120" w:rightChars="-50" w:firstLine="138" w:firstLineChars="77"/>
              <w:jc w:val="left"/>
              <w:rPr>
                <w:bCs/>
                <w:sz w:val="18"/>
                <w:szCs w:val="18"/>
              </w:rPr>
            </w:pPr>
          </w:p>
        </w:tc>
        <w:tc>
          <w:tcPr>
            <w:tcW w:w="3290" w:type="dxa"/>
            <w:gridSpan w:val="2"/>
            <w:vAlign w:val="center"/>
          </w:tcPr>
          <w:p>
            <w:pPr>
              <w:spacing w:line="240" w:lineRule="exact"/>
              <w:rPr>
                <w:sz w:val="18"/>
                <w:szCs w:val="18"/>
              </w:rPr>
            </w:pPr>
            <w:r>
              <w:rPr>
                <w:sz w:val="18"/>
                <w:szCs w:val="18"/>
              </w:rPr>
              <w:t>会展策划与管理</w:t>
            </w:r>
          </w:p>
          <w:p>
            <w:pPr>
              <w:spacing w:line="240" w:lineRule="exact"/>
              <w:rPr>
                <w:sz w:val="18"/>
                <w:szCs w:val="18"/>
              </w:rPr>
            </w:pPr>
            <w:r>
              <w:rPr>
                <w:sz w:val="18"/>
                <w:szCs w:val="18"/>
              </w:rPr>
              <w:t>Theory And Practice Of Exhibition Planning</w:t>
            </w:r>
          </w:p>
        </w:tc>
        <w:tc>
          <w:tcPr>
            <w:tcW w:w="425" w:type="dxa"/>
            <w:vAlign w:val="center"/>
          </w:tcPr>
          <w:p>
            <w:pPr>
              <w:spacing w:line="240" w:lineRule="auto"/>
              <w:jc w:val="center"/>
              <w:rPr>
                <w:bCs/>
                <w:spacing w:val="-8"/>
                <w:position w:val="-8"/>
                <w:sz w:val="18"/>
                <w:szCs w:val="18"/>
              </w:rPr>
            </w:pPr>
            <w:r>
              <w:rPr>
                <w:sz w:val="18"/>
                <w:szCs w:val="18"/>
              </w:rPr>
              <w:t>2</w:t>
            </w:r>
          </w:p>
        </w:tc>
        <w:tc>
          <w:tcPr>
            <w:tcW w:w="425" w:type="dxa"/>
            <w:gridSpan w:val="2"/>
            <w:vAlign w:val="center"/>
          </w:tcPr>
          <w:p>
            <w:pPr>
              <w:spacing w:line="240" w:lineRule="auto"/>
              <w:jc w:val="center"/>
              <w:rPr>
                <w:bCs/>
                <w:spacing w:val="-8"/>
                <w:position w:val="-8"/>
                <w:sz w:val="18"/>
                <w:szCs w:val="18"/>
              </w:rPr>
            </w:pPr>
            <w:r>
              <w:rPr>
                <w:sz w:val="18"/>
                <w:szCs w:val="18"/>
              </w:rPr>
              <w:t>32</w:t>
            </w:r>
          </w:p>
        </w:tc>
        <w:tc>
          <w:tcPr>
            <w:tcW w:w="425" w:type="dxa"/>
            <w:gridSpan w:val="2"/>
            <w:vAlign w:val="center"/>
          </w:tcPr>
          <w:p>
            <w:pPr>
              <w:spacing w:line="240" w:lineRule="auto"/>
              <w:jc w:val="center"/>
              <w:rPr>
                <w:bCs/>
                <w:spacing w:val="-8"/>
                <w:position w:val="-8"/>
                <w:sz w:val="18"/>
                <w:szCs w:val="18"/>
              </w:rPr>
            </w:pPr>
            <w:r>
              <w:rPr>
                <w:sz w:val="18"/>
                <w:szCs w:val="18"/>
              </w:rPr>
              <w:t>24</w:t>
            </w:r>
          </w:p>
        </w:tc>
        <w:tc>
          <w:tcPr>
            <w:tcW w:w="426" w:type="dxa"/>
            <w:gridSpan w:val="2"/>
            <w:vAlign w:val="center"/>
          </w:tcPr>
          <w:p>
            <w:pPr>
              <w:spacing w:line="240" w:lineRule="auto"/>
              <w:jc w:val="center"/>
              <w:rPr>
                <w:bCs/>
                <w:spacing w:val="-8"/>
                <w:position w:val="-8"/>
                <w:sz w:val="18"/>
                <w:szCs w:val="18"/>
              </w:rPr>
            </w:pPr>
            <w:r>
              <w:rPr>
                <w:sz w:val="18"/>
                <w:szCs w:val="18"/>
              </w:rPr>
              <w:t>8</w:t>
            </w:r>
          </w:p>
        </w:tc>
        <w:tc>
          <w:tcPr>
            <w:tcW w:w="630" w:type="dxa"/>
            <w:gridSpan w:val="2"/>
            <w:vAlign w:val="center"/>
          </w:tcPr>
          <w:p>
            <w:pPr>
              <w:spacing w:line="240" w:lineRule="auto"/>
              <w:jc w:val="center"/>
              <w:rPr>
                <w:bCs/>
                <w:spacing w:val="-8"/>
                <w:position w:val="-8"/>
                <w:sz w:val="18"/>
                <w:szCs w:val="18"/>
              </w:rPr>
            </w:pPr>
            <w:r>
              <w:rPr>
                <w:sz w:val="18"/>
                <w:szCs w:val="18"/>
              </w:rPr>
              <w:t>2-6</w:t>
            </w:r>
          </w:p>
        </w:tc>
        <w:tc>
          <w:tcPr>
            <w:tcW w:w="737" w:type="dxa"/>
            <w:vAlign w:val="center"/>
          </w:tcPr>
          <w:p>
            <w:pPr>
              <w:spacing w:line="240" w:lineRule="auto"/>
              <w:ind w:right="-120" w:rightChars="-50"/>
              <w:jc w:val="center"/>
              <w:rPr>
                <w:bCs/>
                <w:spacing w:val="-8"/>
                <w:position w:val="-8"/>
                <w:sz w:val="18"/>
                <w:szCs w:val="18"/>
              </w:rPr>
            </w:pPr>
            <w:r>
              <w:rPr>
                <w:bCs/>
                <w:spacing w:val="-8"/>
                <w:position w:val="-8"/>
                <w:sz w:val="18"/>
                <w:szCs w:val="18"/>
              </w:rPr>
              <w:t>专业型</w:t>
            </w:r>
          </w:p>
        </w:tc>
        <w:tc>
          <w:tcPr>
            <w:tcW w:w="675" w:type="dxa"/>
            <w:gridSpan w:val="2"/>
            <w:tcBorders>
              <w:right w:val="single" w:color="auto" w:sz="4" w:space="0"/>
            </w:tcBorders>
            <w:vAlign w:val="center"/>
          </w:tcPr>
          <w:p>
            <w:pPr>
              <w:spacing w:line="240" w:lineRule="auto"/>
              <w:jc w:val="center"/>
              <w:rPr>
                <w:bCs/>
                <w:spacing w:val="-8"/>
                <w:position w:val="-8"/>
                <w:sz w:val="18"/>
                <w:szCs w:val="18"/>
              </w:rPr>
            </w:pPr>
            <w:r>
              <w:rPr>
                <w:bCs/>
                <w:spacing w:val="-8"/>
                <w:position w:val="-8"/>
                <w:sz w:val="18"/>
                <w:szCs w:val="18"/>
              </w:rPr>
              <w:t>公管</w:t>
            </w:r>
          </w:p>
        </w:tc>
        <w:tc>
          <w:tcPr>
            <w:tcW w:w="637" w:type="dxa"/>
            <w:vMerge w:val="continue"/>
            <w:tcBorders>
              <w:left w:val="single" w:color="auto" w:sz="4" w:space="0"/>
            </w:tcBorders>
            <w:vAlign w:val="center"/>
          </w:tcPr>
          <w:p>
            <w:pPr>
              <w:spacing w:line="240" w:lineRule="auto"/>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392"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425"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963" w:type="dxa"/>
            <w:tcBorders>
              <w:left w:val="single" w:color="auto" w:sz="4" w:space="0"/>
            </w:tcBorders>
            <w:vAlign w:val="center"/>
          </w:tcPr>
          <w:p>
            <w:pPr>
              <w:spacing w:line="240" w:lineRule="auto"/>
              <w:ind w:left="-120" w:leftChars="-50" w:right="-120" w:rightChars="-50" w:firstLine="138" w:firstLineChars="77"/>
              <w:jc w:val="center"/>
              <w:rPr>
                <w:bCs/>
                <w:sz w:val="18"/>
                <w:szCs w:val="18"/>
              </w:rPr>
            </w:pPr>
          </w:p>
        </w:tc>
        <w:tc>
          <w:tcPr>
            <w:tcW w:w="3290" w:type="dxa"/>
            <w:gridSpan w:val="2"/>
            <w:vAlign w:val="center"/>
          </w:tcPr>
          <w:p>
            <w:pPr>
              <w:spacing w:line="240" w:lineRule="exact"/>
              <w:rPr>
                <w:sz w:val="18"/>
                <w:szCs w:val="18"/>
              </w:rPr>
            </w:pPr>
            <w:r>
              <w:rPr>
                <w:sz w:val="18"/>
                <w:szCs w:val="18"/>
              </w:rPr>
              <w:t>齐鲁历史与文化资源</w:t>
            </w:r>
          </w:p>
          <w:p>
            <w:pPr>
              <w:spacing w:line="240" w:lineRule="exact"/>
              <w:rPr>
                <w:sz w:val="18"/>
                <w:szCs w:val="18"/>
              </w:rPr>
            </w:pPr>
            <w:r>
              <w:rPr>
                <w:sz w:val="18"/>
                <w:szCs w:val="18"/>
              </w:rPr>
              <w:t>Qilu history and cultural resources</w:t>
            </w:r>
          </w:p>
        </w:tc>
        <w:tc>
          <w:tcPr>
            <w:tcW w:w="425" w:type="dxa"/>
            <w:vAlign w:val="center"/>
          </w:tcPr>
          <w:p>
            <w:pPr>
              <w:spacing w:line="240" w:lineRule="auto"/>
              <w:jc w:val="center"/>
              <w:rPr>
                <w:sz w:val="18"/>
                <w:szCs w:val="18"/>
              </w:rPr>
            </w:pPr>
            <w:r>
              <w:rPr>
                <w:sz w:val="18"/>
                <w:szCs w:val="18"/>
              </w:rPr>
              <w:t>2</w:t>
            </w:r>
          </w:p>
        </w:tc>
        <w:tc>
          <w:tcPr>
            <w:tcW w:w="425" w:type="dxa"/>
            <w:gridSpan w:val="2"/>
            <w:vAlign w:val="center"/>
          </w:tcPr>
          <w:p>
            <w:pPr>
              <w:spacing w:line="240" w:lineRule="auto"/>
              <w:jc w:val="center"/>
              <w:rPr>
                <w:sz w:val="18"/>
                <w:szCs w:val="18"/>
              </w:rPr>
            </w:pPr>
            <w:r>
              <w:rPr>
                <w:sz w:val="18"/>
                <w:szCs w:val="18"/>
              </w:rPr>
              <w:t>32</w:t>
            </w:r>
          </w:p>
        </w:tc>
        <w:tc>
          <w:tcPr>
            <w:tcW w:w="425" w:type="dxa"/>
            <w:gridSpan w:val="2"/>
            <w:vAlign w:val="center"/>
          </w:tcPr>
          <w:p>
            <w:pPr>
              <w:spacing w:line="240" w:lineRule="auto"/>
              <w:jc w:val="center"/>
              <w:rPr>
                <w:sz w:val="18"/>
                <w:szCs w:val="18"/>
              </w:rPr>
            </w:pPr>
            <w:r>
              <w:rPr>
                <w:sz w:val="18"/>
                <w:szCs w:val="18"/>
              </w:rPr>
              <w:t>32</w:t>
            </w:r>
          </w:p>
        </w:tc>
        <w:tc>
          <w:tcPr>
            <w:tcW w:w="426" w:type="dxa"/>
            <w:gridSpan w:val="2"/>
            <w:vAlign w:val="center"/>
          </w:tcPr>
          <w:p>
            <w:pPr>
              <w:spacing w:line="240" w:lineRule="auto"/>
              <w:jc w:val="center"/>
              <w:rPr>
                <w:sz w:val="18"/>
                <w:szCs w:val="18"/>
              </w:rPr>
            </w:pPr>
          </w:p>
        </w:tc>
        <w:tc>
          <w:tcPr>
            <w:tcW w:w="630" w:type="dxa"/>
            <w:gridSpan w:val="2"/>
            <w:vAlign w:val="center"/>
          </w:tcPr>
          <w:p>
            <w:pPr>
              <w:spacing w:line="240" w:lineRule="auto"/>
              <w:jc w:val="center"/>
              <w:rPr>
                <w:sz w:val="18"/>
                <w:szCs w:val="18"/>
              </w:rPr>
            </w:pPr>
            <w:r>
              <w:rPr>
                <w:sz w:val="18"/>
                <w:szCs w:val="18"/>
              </w:rPr>
              <w:t>2-6</w:t>
            </w:r>
          </w:p>
        </w:tc>
        <w:tc>
          <w:tcPr>
            <w:tcW w:w="737" w:type="dxa"/>
            <w:vAlign w:val="center"/>
          </w:tcPr>
          <w:p>
            <w:pPr>
              <w:spacing w:line="240" w:lineRule="auto"/>
              <w:ind w:right="-120" w:rightChars="-50"/>
              <w:jc w:val="center"/>
              <w:rPr>
                <w:bCs/>
                <w:spacing w:val="-8"/>
                <w:position w:val="-8"/>
                <w:sz w:val="18"/>
                <w:szCs w:val="18"/>
              </w:rPr>
            </w:pPr>
            <w:r>
              <w:rPr>
                <w:bCs/>
                <w:spacing w:val="-8"/>
                <w:position w:val="-8"/>
                <w:sz w:val="18"/>
                <w:szCs w:val="18"/>
              </w:rPr>
              <w:t>专业型</w:t>
            </w:r>
          </w:p>
          <w:p>
            <w:pPr>
              <w:spacing w:line="240" w:lineRule="auto"/>
              <w:ind w:right="-120" w:rightChars="-50"/>
              <w:jc w:val="center"/>
              <w:rPr>
                <w:bCs/>
                <w:spacing w:val="-8"/>
                <w:position w:val="-8"/>
                <w:sz w:val="18"/>
                <w:szCs w:val="18"/>
              </w:rPr>
            </w:pPr>
            <w:r>
              <w:rPr>
                <w:bCs/>
                <w:spacing w:val="-8"/>
                <w:position w:val="-8"/>
                <w:sz w:val="18"/>
                <w:szCs w:val="18"/>
              </w:rPr>
              <w:t>复合型</w:t>
            </w:r>
          </w:p>
        </w:tc>
        <w:tc>
          <w:tcPr>
            <w:tcW w:w="675" w:type="dxa"/>
            <w:gridSpan w:val="2"/>
            <w:tcBorders>
              <w:right w:val="single" w:color="auto" w:sz="4" w:space="0"/>
            </w:tcBorders>
            <w:vAlign w:val="center"/>
          </w:tcPr>
          <w:p>
            <w:pPr>
              <w:spacing w:line="240" w:lineRule="auto"/>
              <w:jc w:val="center"/>
              <w:rPr>
                <w:bCs/>
                <w:spacing w:val="-8"/>
                <w:position w:val="-8"/>
                <w:sz w:val="18"/>
                <w:szCs w:val="18"/>
              </w:rPr>
            </w:pPr>
            <w:r>
              <w:rPr>
                <w:bCs/>
                <w:spacing w:val="-8"/>
                <w:position w:val="-8"/>
                <w:sz w:val="18"/>
                <w:szCs w:val="18"/>
              </w:rPr>
              <w:t>公管</w:t>
            </w:r>
          </w:p>
        </w:tc>
        <w:tc>
          <w:tcPr>
            <w:tcW w:w="637" w:type="dxa"/>
            <w:vMerge w:val="continue"/>
            <w:tcBorders>
              <w:left w:val="single" w:color="auto" w:sz="4" w:space="0"/>
            </w:tcBorders>
            <w:vAlign w:val="center"/>
          </w:tcPr>
          <w:p>
            <w:pPr>
              <w:spacing w:line="240" w:lineRule="auto"/>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392"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425"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963" w:type="dxa"/>
            <w:tcBorders>
              <w:left w:val="single" w:color="auto" w:sz="4" w:space="0"/>
            </w:tcBorders>
            <w:vAlign w:val="center"/>
          </w:tcPr>
          <w:p>
            <w:pPr>
              <w:spacing w:line="240" w:lineRule="auto"/>
              <w:ind w:left="-120" w:leftChars="-50" w:right="-120" w:rightChars="-50" w:firstLine="138" w:firstLineChars="77"/>
              <w:jc w:val="center"/>
              <w:rPr>
                <w:bCs/>
                <w:sz w:val="18"/>
                <w:szCs w:val="18"/>
              </w:rPr>
            </w:pPr>
          </w:p>
        </w:tc>
        <w:tc>
          <w:tcPr>
            <w:tcW w:w="3290" w:type="dxa"/>
            <w:gridSpan w:val="2"/>
            <w:vAlign w:val="center"/>
          </w:tcPr>
          <w:p>
            <w:pPr>
              <w:spacing w:line="240" w:lineRule="exact"/>
              <w:rPr>
                <w:sz w:val="18"/>
                <w:szCs w:val="18"/>
              </w:rPr>
            </w:pPr>
            <w:r>
              <w:rPr>
                <w:sz w:val="18"/>
                <w:szCs w:val="18"/>
              </w:rPr>
              <w:t>广告创意与策划</w:t>
            </w:r>
          </w:p>
          <w:p>
            <w:pPr>
              <w:spacing w:line="240" w:lineRule="exact"/>
              <w:rPr>
                <w:sz w:val="18"/>
                <w:szCs w:val="18"/>
              </w:rPr>
            </w:pPr>
            <w:r>
              <w:rPr>
                <w:sz w:val="18"/>
                <w:szCs w:val="18"/>
              </w:rPr>
              <w:t>Advertising creativity and planning</w:t>
            </w:r>
          </w:p>
        </w:tc>
        <w:tc>
          <w:tcPr>
            <w:tcW w:w="425" w:type="dxa"/>
            <w:vAlign w:val="center"/>
          </w:tcPr>
          <w:p>
            <w:pPr>
              <w:spacing w:line="240" w:lineRule="auto"/>
              <w:jc w:val="center"/>
              <w:rPr>
                <w:sz w:val="18"/>
                <w:szCs w:val="18"/>
              </w:rPr>
            </w:pPr>
            <w:r>
              <w:rPr>
                <w:sz w:val="18"/>
                <w:szCs w:val="18"/>
              </w:rPr>
              <w:t>2</w:t>
            </w:r>
          </w:p>
        </w:tc>
        <w:tc>
          <w:tcPr>
            <w:tcW w:w="425" w:type="dxa"/>
            <w:gridSpan w:val="2"/>
            <w:vAlign w:val="center"/>
          </w:tcPr>
          <w:p>
            <w:pPr>
              <w:spacing w:line="240" w:lineRule="auto"/>
              <w:jc w:val="center"/>
              <w:rPr>
                <w:sz w:val="18"/>
                <w:szCs w:val="18"/>
              </w:rPr>
            </w:pPr>
            <w:r>
              <w:rPr>
                <w:sz w:val="18"/>
                <w:szCs w:val="18"/>
              </w:rPr>
              <w:t>32</w:t>
            </w:r>
          </w:p>
        </w:tc>
        <w:tc>
          <w:tcPr>
            <w:tcW w:w="425" w:type="dxa"/>
            <w:gridSpan w:val="2"/>
            <w:vAlign w:val="center"/>
          </w:tcPr>
          <w:p>
            <w:pPr>
              <w:spacing w:line="240" w:lineRule="auto"/>
              <w:jc w:val="center"/>
              <w:rPr>
                <w:sz w:val="18"/>
                <w:szCs w:val="18"/>
              </w:rPr>
            </w:pPr>
            <w:r>
              <w:rPr>
                <w:sz w:val="18"/>
                <w:szCs w:val="18"/>
              </w:rPr>
              <w:t>24</w:t>
            </w:r>
          </w:p>
        </w:tc>
        <w:tc>
          <w:tcPr>
            <w:tcW w:w="426" w:type="dxa"/>
            <w:gridSpan w:val="2"/>
            <w:vAlign w:val="center"/>
          </w:tcPr>
          <w:p>
            <w:pPr>
              <w:spacing w:line="240" w:lineRule="auto"/>
              <w:jc w:val="center"/>
              <w:rPr>
                <w:sz w:val="18"/>
                <w:szCs w:val="18"/>
              </w:rPr>
            </w:pPr>
            <w:r>
              <w:rPr>
                <w:sz w:val="18"/>
                <w:szCs w:val="18"/>
              </w:rPr>
              <w:t>8</w:t>
            </w:r>
          </w:p>
        </w:tc>
        <w:tc>
          <w:tcPr>
            <w:tcW w:w="630" w:type="dxa"/>
            <w:gridSpan w:val="2"/>
            <w:vAlign w:val="center"/>
          </w:tcPr>
          <w:p>
            <w:pPr>
              <w:spacing w:line="240" w:lineRule="auto"/>
              <w:jc w:val="center"/>
              <w:rPr>
                <w:sz w:val="18"/>
                <w:szCs w:val="18"/>
              </w:rPr>
            </w:pPr>
            <w:r>
              <w:rPr>
                <w:sz w:val="18"/>
                <w:szCs w:val="18"/>
              </w:rPr>
              <w:t>2-6</w:t>
            </w:r>
          </w:p>
        </w:tc>
        <w:tc>
          <w:tcPr>
            <w:tcW w:w="737" w:type="dxa"/>
            <w:vAlign w:val="center"/>
          </w:tcPr>
          <w:p>
            <w:pPr>
              <w:spacing w:line="240" w:lineRule="auto"/>
              <w:ind w:right="-120" w:rightChars="-50"/>
              <w:jc w:val="center"/>
              <w:rPr>
                <w:bCs/>
                <w:spacing w:val="-8"/>
                <w:position w:val="-8"/>
                <w:sz w:val="18"/>
                <w:szCs w:val="18"/>
              </w:rPr>
            </w:pPr>
            <w:r>
              <w:rPr>
                <w:sz w:val="18"/>
                <w:szCs w:val="18"/>
              </w:rPr>
              <w:t>创新型</w:t>
            </w:r>
          </w:p>
        </w:tc>
        <w:tc>
          <w:tcPr>
            <w:tcW w:w="675" w:type="dxa"/>
            <w:gridSpan w:val="2"/>
            <w:tcBorders>
              <w:right w:val="single" w:color="auto" w:sz="4" w:space="0"/>
            </w:tcBorders>
            <w:vAlign w:val="center"/>
          </w:tcPr>
          <w:p>
            <w:pPr>
              <w:spacing w:line="240" w:lineRule="auto"/>
              <w:jc w:val="center"/>
              <w:rPr>
                <w:bCs/>
                <w:spacing w:val="-8"/>
                <w:position w:val="-8"/>
                <w:sz w:val="18"/>
                <w:szCs w:val="18"/>
              </w:rPr>
            </w:pPr>
            <w:r>
              <w:rPr>
                <w:bCs/>
                <w:spacing w:val="-8"/>
                <w:position w:val="-8"/>
                <w:sz w:val="18"/>
                <w:szCs w:val="18"/>
              </w:rPr>
              <w:t>公管</w:t>
            </w:r>
          </w:p>
        </w:tc>
        <w:tc>
          <w:tcPr>
            <w:tcW w:w="637" w:type="dxa"/>
            <w:vMerge w:val="continue"/>
            <w:tcBorders>
              <w:left w:val="single" w:color="auto" w:sz="4" w:space="0"/>
            </w:tcBorders>
            <w:vAlign w:val="center"/>
          </w:tcPr>
          <w:p>
            <w:pPr>
              <w:spacing w:line="240" w:lineRule="auto"/>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392"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425"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963" w:type="dxa"/>
            <w:tcBorders>
              <w:left w:val="single" w:color="auto" w:sz="4" w:space="0"/>
            </w:tcBorders>
            <w:vAlign w:val="center"/>
          </w:tcPr>
          <w:p>
            <w:pPr>
              <w:spacing w:line="240" w:lineRule="auto"/>
              <w:ind w:left="-120" w:leftChars="-50" w:right="-120" w:rightChars="-50" w:firstLine="138" w:firstLineChars="77"/>
              <w:jc w:val="center"/>
              <w:rPr>
                <w:bCs/>
                <w:sz w:val="18"/>
                <w:szCs w:val="18"/>
              </w:rPr>
            </w:pPr>
          </w:p>
        </w:tc>
        <w:tc>
          <w:tcPr>
            <w:tcW w:w="3290" w:type="dxa"/>
            <w:gridSpan w:val="2"/>
            <w:vAlign w:val="center"/>
          </w:tcPr>
          <w:p>
            <w:pPr>
              <w:spacing w:line="240" w:lineRule="exact"/>
              <w:rPr>
                <w:sz w:val="18"/>
                <w:szCs w:val="18"/>
              </w:rPr>
            </w:pPr>
            <w:r>
              <w:rPr>
                <w:sz w:val="18"/>
                <w:szCs w:val="18"/>
              </w:rPr>
              <w:t>旅游文化</w:t>
            </w:r>
          </w:p>
          <w:p>
            <w:pPr>
              <w:spacing w:line="240" w:lineRule="exact"/>
              <w:rPr>
                <w:sz w:val="18"/>
                <w:szCs w:val="18"/>
              </w:rPr>
            </w:pPr>
            <w:r>
              <w:rPr>
                <w:sz w:val="18"/>
                <w:szCs w:val="18"/>
              </w:rPr>
              <w:t>tourism Culture</w:t>
            </w:r>
          </w:p>
        </w:tc>
        <w:tc>
          <w:tcPr>
            <w:tcW w:w="425" w:type="dxa"/>
            <w:vAlign w:val="center"/>
          </w:tcPr>
          <w:p>
            <w:pPr>
              <w:spacing w:line="240" w:lineRule="auto"/>
              <w:jc w:val="center"/>
              <w:rPr>
                <w:sz w:val="18"/>
                <w:szCs w:val="18"/>
              </w:rPr>
            </w:pPr>
            <w:r>
              <w:rPr>
                <w:sz w:val="18"/>
                <w:szCs w:val="18"/>
              </w:rPr>
              <w:t>2</w:t>
            </w:r>
          </w:p>
        </w:tc>
        <w:tc>
          <w:tcPr>
            <w:tcW w:w="425" w:type="dxa"/>
            <w:gridSpan w:val="2"/>
            <w:vAlign w:val="center"/>
          </w:tcPr>
          <w:p>
            <w:pPr>
              <w:spacing w:line="240" w:lineRule="auto"/>
              <w:jc w:val="center"/>
              <w:rPr>
                <w:sz w:val="18"/>
                <w:szCs w:val="18"/>
              </w:rPr>
            </w:pPr>
            <w:r>
              <w:rPr>
                <w:sz w:val="18"/>
                <w:szCs w:val="18"/>
              </w:rPr>
              <w:t>32</w:t>
            </w:r>
          </w:p>
        </w:tc>
        <w:tc>
          <w:tcPr>
            <w:tcW w:w="425" w:type="dxa"/>
            <w:gridSpan w:val="2"/>
            <w:vAlign w:val="center"/>
          </w:tcPr>
          <w:p>
            <w:pPr>
              <w:spacing w:line="240" w:lineRule="auto"/>
              <w:jc w:val="center"/>
              <w:rPr>
                <w:sz w:val="18"/>
                <w:szCs w:val="18"/>
              </w:rPr>
            </w:pPr>
            <w:r>
              <w:rPr>
                <w:sz w:val="18"/>
                <w:szCs w:val="18"/>
              </w:rPr>
              <w:t>32</w:t>
            </w:r>
          </w:p>
        </w:tc>
        <w:tc>
          <w:tcPr>
            <w:tcW w:w="426" w:type="dxa"/>
            <w:gridSpan w:val="2"/>
            <w:vAlign w:val="center"/>
          </w:tcPr>
          <w:p>
            <w:pPr>
              <w:spacing w:line="240" w:lineRule="auto"/>
              <w:jc w:val="center"/>
              <w:rPr>
                <w:sz w:val="18"/>
                <w:szCs w:val="18"/>
              </w:rPr>
            </w:pPr>
          </w:p>
        </w:tc>
        <w:tc>
          <w:tcPr>
            <w:tcW w:w="630" w:type="dxa"/>
            <w:gridSpan w:val="2"/>
            <w:vAlign w:val="center"/>
          </w:tcPr>
          <w:p>
            <w:pPr>
              <w:spacing w:line="240" w:lineRule="auto"/>
              <w:jc w:val="center"/>
              <w:rPr>
                <w:sz w:val="18"/>
                <w:szCs w:val="18"/>
              </w:rPr>
            </w:pPr>
            <w:r>
              <w:rPr>
                <w:sz w:val="18"/>
                <w:szCs w:val="18"/>
              </w:rPr>
              <w:t>2-6</w:t>
            </w:r>
          </w:p>
        </w:tc>
        <w:tc>
          <w:tcPr>
            <w:tcW w:w="737" w:type="dxa"/>
            <w:vAlign w:val="center"/>
          </w:tcPr>
          <w:p>
            <w:pPr>
              <w:spacing w:line="240" w:lineRule="auto"/>
              <w:ind w:right="-120" w:rightChars="-50"/>
              <w:jc w:val="center"/>
              <w:rPr>
                <w:bCs/>
                <w:spacing w:val="-8"/>
                <w:position w:val="-8"/>
                <w:sz w:val="18"/>
                <w:szCs w:val="18"/>
              </w:rPr>
            </w:pPr>
            <w:r>
              <w:rPr>
                <w:sz w:val="18"/>
                <w:szCs w:val="18"/>
              </w:rPr>
              <w:t>创新型</w:t>
            </w:r>
          </w:p>
        </w:tc>
        <w:tc>
          <w:tcPr>
            <w:tcW w:w="675" w:type="dxa"/>
            <w:gridSpan w:val="2"/>
            <w:tcBorders>
              <w:right w:val="single" w:color="auto" w:sz="4" w:space="0"/>
            </w:tcBorders>
            <w:vAlign w:val="center"/>
          </w:tcPr>
          <w:p>
            <w:pPr>
              <w:spacing w:line="240" w:lineRule="auto"/>
              <w:jc w:val="center"/>
              <w:rPr>
                <w:bCs/>
                <w:spacing w:val="-8"/>
                <w:position w:val="-8"/>
                <w:sz w:val="18"/>
                <w:szCs w:val="18"/>
              </w:rPr>
            </w:pPr>
          </w:p>
        </w:tc>
        <w:tc>
          <w:tcPr>
            <w:tcW w:w="637" w:type="dxa"/>
            <w:vMerge w:val="continue"/>
            <w:tcBorders>
              <w:left w:val="single" w:color="auto" w:sz="4" w:space="0"/>
            </w:tcBorders>
            <w:vAlign w:val="center"/>
          </w:tcPr>
          <w:p>
            <w:pPr>
              <w:spacing w:line="240" w:lineRule="auto"/>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392"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425"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963" w:type="dxa"/>
            <w:tcBorders>
              <w:left w:val="single" w:color="auto" w:sz="4" w:space="0"/>
            </w:tcBorders>
            <w:vAlign w:val="center"/>
          </w:tcPr>
          <w:p>
            <w:pPr>
              <w:spacing w:line="240" w:lineRule="auto"/>
              <w:ind w:left="-120" w:leftChars="-50" w:right="-120" w:rightChars="-50" w:firstLine="138" w:firstLineChars="77"/>
              <w:jc w:val="center"/>
              <w:rPr>
                <w:bCs/>
                <w:sz w:val="18"/>
                <w:szCs w:val="18"/>
              </w:rPr>
            </w:pPr>
          </w:p>
        </w:tc>
        <w:tc>
          <w:tcPr>
            <w:tcW w:w="3290" w:type="dxa"/>
            <w:gridSpan w:val="2"/>
            <w:vAlign w:val="center"/>
          </w:tcPr>
          <w:p>
            <w:pPr>
              <w:spacing w:line="240" w:lineRule="exact"/>
              <w:rPr>
                <w:sz w:val="18"/>
                <w:szCs w:val="18"/>
              </w:rPr>
            </w:pPr>
            <w:r>
              <w:rPr>
                <w:sz w:val="18"/>
                <w:szCs w:val="18"/>
              </w:rPr>
              <w:t>动漫文化与动漫产业</w:t>
            </w:r>
          </w:p>
          <w:p>
            <w:pPr>
              <w:spacing w:line="240" w:lineRule="exact"/>
              <w:rPr>
                <w:sz w:val="18"/>
                <w:szCs w:val="18"/>
              </w:rPr>
            </w:pPr>
            <w:r>
              <w:rPr>
                <w:sz w:val="18"/>
                <w:szCs w:val="18"/>
              </w:rPr>
              <w:t>Animation Culture and Animation Industry</w:t>
            </w:r>
          </w:p>
        </w:tc>
        <w:tc>
          <w:tcPr>
            <w:tcW w:w="425" w:type="dxa"/>
            <w:vAlign w:val="center"/>
          </w:tcPr>
          <w:p>
            <w:pPr>
              <w:spacing w:line="240" w:lineRule="auto"/>
              <w:jc w:val="center"/>
              <w:rPr>
                <w:sz w:val="18"/>
                <w:szCs w:val="18"/>
              </w:rPr>
            </w:pPr>
            <w:r>
              <w:rPr>
                <w:sz w:val="18"/>
                <w:szCs w:val="18"/>
              </w:rPr>
              <w:t>2</w:t>
            </w:r>
          </w:p>
        </w:tc>
        <w:tc>
          <w:tcPr>
            <w:tcW w:w="425" w:type="dxa"/>
            <w:gridSpan w:val="2"/>
            <w:vAlign w:val="center"/>
          </w:tcPr>
          <w:p>
            <w:pPr>
              <w:spacing w:line="240" w:lineRule="auto"/>
              <w:jc w:val="center"/>
              <w:rPr>
                <w:sz w:val="18"/>
                <w:szCs w:val="18"/>
              </w:rPr>
            </w:pPr>
            <w:r>
              <w:rPr>
                <w:sz w:val="18"/>
                <w:szCs w:val="18"/>
              </w:rPr>
              <w:t>32</w:t>
            </w:r>
          </w:p>
        </w:tc>
        <w:tc>
          <w:tcPr>
            <w:tcW w:w="425" w:type="dxa"/>
            <w:gridSpan w:val="2"/>
            <w:vAlign w:val="center"/>
          </w:tcPr>
          <w:p>
            <w:pPr>
              <w:spacing w:line="240" w:lineRule="auto"/>
              <w:jc w:val="center"/>
              <w:rPr>
                <w:sz w:val="18"/>
                <w:szCs w:val="18"/>
              </w:rPr>
            </w:pPr>
            <w:r>
              <w:rPr>
                <w:sz w:val="18"/>
                <w:szCs w:val="18"/>
              </w:rPr>
              <w:t>32</w:t>
            </w:r>
          </w:p>
        </w:tc>
        <w:tc>
          <w:tcPr>
            <w:tcW w:w="426" w:type="dxa"/>
            <w:gridSpan w:val="2"/>
            <w:vAlign w:val="center"/>
          </w:tcPr>
          <w:p>
            <w:pPr>
              <w:spacing w:line="240" w:lineRule="auto"/>
              <w:jc w:val="center"/>
              <w:rPr>
                <w:sz w:val="18"/>
                <w:szCs w:val="18"/>
              </w:rPr>
            </w:pPr>
          </w:p>
        </w:tc>
        <w:tc>
          <w:tcPr>
            <w:tcW w:w="630" w:type="dxa"/>
            <w:gridSpan w:val="2"/>
            <w:vAlign w:val="center"/>
          </w:tcPr>
          <w:p>
            <w:pPr>
              <w:spacing w:line="240" w:lineRule="auto"/>
              <w:jc w:val="center"/>
              <w:rPr>
                <w:sz w:val="18"/>
                <w:szCs w:val="18"/>
              </w:rPr>
            </w:pPr>
            <w:r>
              <w:rPr>
                <w:sz w:val="18"/>
                <w:szCs w:val="18"/>
              </w:rPr>
              <w:t>2-6</w:t>
            </w:r>
          </w:p>
        </w:tc>
        <w:tc>
          <w:tcPr>
            <w:tcW w:w="737" w:type="dxa"/>
            <w:vAlign w:val="center"/>
          </w:tcPr>
          <w:p>
            <w:pPr>
              <w:spacing w:line="240" w:lineRule="auto"/>
              <w:ind w:right="-120" w:rightChars="-50"/>
              <w:jc w:val="center"/>
              <w:rPr>
                <w:bCs/>
                <w:spacing w:val="-8"/>
                <w:position w:val="-8"/>
                <w:sz w:val="18"/>
                <w:szCs w:val="18"/>
              </w:rPr>
            </w:pPr>
            <w:r>
              <w:rPr>
                <w:sz w:val="18"/>
                <w:szCs w:val="18"/>
              </w:rPr>
              <w:t>创新型</w:t>
            </w:r>
          </w:p>
        </w:tc>
        <w:tc>
          <w:tcPr>
            <w:tcW w:w="675" w:type="dxa"/>
            <w:gridSpan w:val="2"/>
            <w:tcBorders>
              <w:right w:val="single" w:color="auto" w:sz="4" w:space="0"/>
            </w:tcBorders>
            <w:vAlign w:val="center"/>
          </w:tcPr>
          <w:p>
            <w:pPr>
              <w:spacing w:line="240" w:lineRule="auto"/>
              <w:jc w:val="center"/>
              <w:rPr>
                <w:bCs/>
                <w:spacing w:val="-8"/>
                <w:position w:val="-8"/>
                <w:sz w:val="18"/>
                <w:szCs w:val="18"/>
              </w:rPr>
            </w:pPr>
            <w:r>
              <w:rPr>
                <w:bCs/>
                <w:spacing w:val="-8"/>
                <w:position w:val="-8"/>
                <w:sz w:val="18"/>
                <w:szCs w:val="18"/>
              </w:rPr>
              <w:t>公管</w:t>
            </w:r>
          </w:p>
        </w:tc>
        <w:tc>
          <w:tcPr>
            <w:tcW w:w="637" w:type="dxa"/>
            <w:vMerge w:val="continue"/>
            <w:tcBorders>
              <w:left w:val="single" w:color="auto" w:sz="4" w:space="0"/>
            </w:tcBorders>
            <w:vAlign w:val="center"/>
          </w:tcPr>
          <w:p>
            <w:pPr>
              <w:spacing w:line="240" w:lineRule="auto"/>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19" w:hRule="atLeast"/>
          <w:jc w:val="center"/>
        </w:trPr>
        <w:tc>
          <w:tcPr>
            <w:tcW w:w="392"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425"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963" w:type="dxa"/>
            <w:tcBorders>
              <w:left w:val="single" w:color="auto" w:sz="4" w:space="0"/>
            </w:tcBorders>
            <w:vAlign w:val="center"/>
          </w:tcPr>
          <w:p>
            <w:pPr>
              <w:spacing w:line="240" w:lineRule="auto"/>
              <w:ind w:left="-120" w:leftChars="-50" w:right="-120" w:rightChars="-50" w:firstLine="138" w:firstLineChars="77"/>
              <w:jc w:val="center"/>
              <w:rPr>
                <w:bCs/>
                <w:sz w:val="18"/>
                <w:szCs w:val="18"/>
              </w:rPr>
            </w:pPr>
          </w:p>
        </w:tc>
        <w:tc>
          <w:tcPr>
            <w:tcW w:w="3290" w:type="dxa"/>
            <w:gridSpan w:val="2"/>
            <w:vAlign w:val="center"/>
          </w:tcPr>
          <w:p>
            <w:pPr>
              <w:spacing w:line="240" w:lineRule="exact"/>
              <w:rPr>
                <w:sz w:val="18"/>
                <w:szCs w:val="18"/>
              </w:rPr>
            </w:pPr>
            <w:r>
              <w:rPr>
                <w:sz w:val="18"/>
                <w:szCs w:val="18"/>
              </w:rPr>
              <w:t>农业文明与文化</w:t>
            </w:r>
          </w:p>
          <w:p>
            <w:pPr>
              <w:spacing w:line="240" w:lineRule="exact"/>
              <w:rPr>
                <w:sz w:val="18"/>
                <w:szCs w:val="18"/>
              </w:rPr>
            </w:pPr>
            <w:r>
              <w:rPr>
                <w:sz w:val="18"/>
                <w:szCs w:val="18"/>
              </w:rPr>
              <w:t>Agricultural civilization and culture</w:t>
            </w:r>
          </w:p>
        </w:tc>
        <w:tc>
          <w:tcPr>
            <w:tcW w:w="425" w:type="dxa"/>
            <w:vAlign w:val="center"/>
          </w:tcPr>
          <w:p>
            <w:pPr>
              <w:spacing w:line="240" w:lineRule="auto"/>
              <w:jc w:val="center"/>
              <w:rPr>
                <w:sz w:val="18"/>
                <w:szCs w:val="18"/>
              </w:rPr>
            </w:pPr>
            <w:r>
              <w:rPr>
                <w:sz w:val="18"/>
                <w:szCs w:val="18"/>
              </w:rPr>
              <w:t>2</w:t>
            </w:r>
          </w:p>
        </w:tc>
        <w:tc>
          <w:tcPr>
            <w:tcW w:w="425" w:type="dxa"/>
            <w:gridSpan w:val="2"/>
            <w:vAlign w:val="center"/>
          </w:tcPr>
          <w:p>
            <w:pPr>
              <w:spacing w:line="240" w:lineRule="auto"/>
              <w:jc w:val="center"/>
              <w:rPr>
                <w:sz w:val="18"/>
                <w:szCs w:val="18"/>
              </w:rPr>
            </w:pPr>
            <w:r>
              <w:rPr>
                <w:sz w:val="18"/>
                <w:szCs w:val="18"/>
              </w:rPr>
              <w:t>32</w:t>
            </w:r>
          </w:p>
        </w:tc>
        <w:tc>
          <w:tcPr>
            <w:tcW w:w="425" w:type="dxa"/>
            <w:gridSpan w:val="2"/>
            <w:vAlign w:val="center"/>
          </w:tcPr>
          <w:p>
            <w:pPr>
              <w:spacing w:line="240" w:lineRule="auto"/>
              <w:jc w:val="center"/>
              <w:rPr>
                <w:sz w:val="18"/>
                <w:szCs w:val="18"/>
              </w:rPr>
            </w:pPr>
            <w:r>
              <w:rPr>
                <w:sz w:val="18"/>
                <w:szCs w:val="18"/>
              </w:rPr>
              <w:t>32</w:t>
            </w:r>
          </w:p>
        </w:tc>
        <w:tc>
          <w:tcPr>
            <w:tcW w:w="426" w:type="dxa"/>
            <w:gridSpan w:val="2"/>
            <w:vAlign w:val="center"/>
          </w:tcPr>
          <w:p>
            <w:pPr>
              <w:spacing w:line="240" w:lineRule="auto"/>
              <w:jc w:val="center"/>
              <w:rPr>
                <w:sz w:val="18"/>
                <w:szCs w:val="18"/>
              </w:rPr>
            </w:pPr>
          </w:p>
        </w:tc>
        <w:tc>
          <w:tcPr>
            <w:tcW w:w="630" w:type="dxa"/>
            <w:gridSpan w:val="2"/>
            <w:vAlign w:val="center"/>
          </w:tcPr>
          <w:p>
            <w:pPr>
              <w:spacing w:line="240" w:lineRule="auto"/>
              <w:jc w:val="center"/>
              <w:rPr>
                <w:sz w:val="18"/>
                <w:szCs w:val="18"/>
              </w:rPr>
            </w:pPr>
            <w:r>
              <w:rPr>
                <w:sz w:val="18"/>
                <w:szCs w:val="18"/>
              </w:rPr>
              <w:t>2-6</w:t>
            </w:r>
          </w:p>
        </w:tc>
        <w:tc>
          <w:tcPr>
            <w:tcW w:w="737" w:type="dxa"/>
            <w:vAlign w:val="center"/>
          </w:tcPr>
          <w:p>
            <w:pPr>
              <w:spacing w:line="240" w:lineRule="auto"/>
              <w:ind w:right="-120" w:rightChars="-50"/>
              <w:jc w:val="center"/>
              <w:rPr>
                <w:bCs/>
                <w:spacing w:val="-8"/>
                <w:position w:val="-8"/>
                <w:sz w:val="18"/>
                <w:szCs w:val="18"/>
              </w:rPr>
            </w:pPr>
            <w:r>
              <w:rPr>
                <w:bCs/>
                <w:spacing w:val="-8"/>
                <w:position w:val="-8"/>
                <w:sz w:val="18"/>
                <w:szCs w:val="18"/>
              </w:rPr>
              <w:t>专业型</w:t>
            </w:r>
          </w:p>
          <w:p>
            <w:pPr>
              <w:spacing w:line="240" w:lineRule="auto"/>
              <w:ind w:right="-120" w:rightChars="-50"/>
              <w:jc w:val="center"/>
              <w:rPr>
                <w:bCs/>
                <w:spacing w:val="-8"/>
                <w:position w:val="-8"/>
                <w:sz w:val="18"/>
                <w:szCs w:val="18"/>
              </w:rPr>
            </w:pPr>
            <w:r>
              <w:rPr>
                <w:bCs/>
                <w:spacing w:val="-8"/>
                <w:position w:val="-8"/>
                <w:sz w:val="18"/>
                <w:szCs w:val="18"/>
              </w:rPr>
              <w:t>复合型</w:t>
            </w:r>
          </w:p>
        </w:tc>
        <w:tc>
          <w:tcPr>
            <w:tcW w:w="675" w:type="dxa"/>
            <w:gridSpan w:val="2"/>
            <w:tcBorders>
              <w:right w:val="single" w:color="auto" w:sz="4" w:space="0"/>
            </w:tcBorders>
            <w:vAlign w:val="center"/>
          </w:tcPr>
          <w:p>
            <w:pPr>
              <w:spacing w:line="240" w:lineRule="auto"/>
              <w:jc w:val="center"/>
              <w:rPr>
                <w:bCs/>
                <w:spacing w:val="-8"/>
                <w:position w:val="-8"/>
                <w:sz w:val="18"/>
                <w:szCs w:val="18"/>
              </w:rPr>
            </w:pPr>
            <w:r>
              <w:rPr>
                <w:bCs/>
                <w:spacing w:val="-8"/>
                <w:position w:val="-8"/>
                <w:sz w:val="18"/>
                <w:szCs w:val="18"/>
              </w:rPr>
              <w:t>公管</w:t>
            </w:r>
          </w:p>
        </w:tc>
        <w:tc>
          <w:tcPr>
            <w:tcW w:w="637" w:type="dxa"/>
            <w:vMerge w:val="continue"/>
            <w:tcBorders>
              <w:left w:val="single" w:color="auto" w:sz="4" w:space="0"/>
            </w:tcBorders>
            <w:vAlign w:val="center"/>
          </w:tcPr>
          <w:p>
            <w:pPr>
              <w:spacing w:line="240" w:lineRule="auto"/>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392"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425"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963" w:type="dxa"/>
            <w:tcBorders>
              <w:left w:val="single" w:color="auto" w:sz="4" w:space="0"/>
            </w:tcBorders>
            <w:vAlign w:val="center"/>
          </w:tcPr>
          <w:p>
            <w:pPr>
              <w:spacing w:line="240" w:lineRule="auto"/>
              <w:ind w:left="-120" w:leftChars="-50" w:right="-120" w:rightChars="-50" w:firstLine="138" w:firstLineChars="77"/>
              <w:jc w:val="center"/>
              <w:rPr>
                <w:bCs/>
                <w:sz w:val="18"/>
                <w:szCs w:val="18"/>
              </w:rPr>
            </w:pPr>
          </w:p>
        </w:tc>
        <w:tc>
          <w:tcPr>
            <w:tcW w:w="3290" w:type="dxa"/>
            <w:gridSpan w:val="2"/>
            <w:vAlign w:val="center"/>
          </w:tcPr>
          <w:p>
            <w:pPr>
              <w:spacing w:line="240" w:lineRule="exact"/>
              <w:rPr>
                <w:sz w:val="18"/>
                <w:szCs w:val="18"/>
              </w:rPr>
            </w:pPr>
            <w:r>
              <w:rPr>
                <w:sz w:val="18"/>
                <w:szCs w:val="18"/>
              </w:rPr>
              <w:t>古诗词鉴赏</w:t>
            </w:r>
          </w:p>
          <w:p>
            <w:pPr>
              <w:spacing w:line="240" w:lineRule="exact"/>
              <w:rPr>
                <w:sz w:val="18"/>
                <w:szCs w:val="18"/>
              </w:rPr>
            </w:pPr>
            <w:r>
              <w:rPr>
                <w:sz w:val="18"/>
                <w:szCs w:val="18"/>
              </w:rPr>
              <w:t>Ancient poetry appreciation</w:t>
            </w:r>
          </w:p>
        </w:tc>
        <w:tc>
          <w:tcPr>
            <w:tcW w:w="425" w:type="dxa"/>
            <w:vAlign w:val="center"/>
          </w:tcPr>
          <w:p>
            <w:pPr>
              <w:spacing w:line="240" w:lineRule="auto"/>
              <w:jc w:val="center"/>
              <w:rPr>
                <w:sz w:val="18"/>
                <w:szCs w:val="18"/>
              </w:rPr>
            </w:pPr>
            <w:r>
              <w:rPr>
                <w:sz w:val="18"/>
                <w:szCs w:val="18"/>
              </w:rPr>
              <w:t>2</w:t>
            </w:r>
          </w:p>
        </w:tc>
        <w:tc>
          <w:tcPr>
            <w:tcW w:w="425" w:type="dxa"/>
            <w:gridSpan w:val="2"/>
            <w:vAlign w:val="center"/>
          </w:tcPr>
          <w:p>
            <w:pPr>
              <w:spacing w:line="240" w:lineRule="auto"/>
              <w:jc w:val="center"/>
              <w:rPr>
                <w:sz w:val="18"/>
                <w:szCs w:val="18"/>
              </w:rPr>
            </w:pPr>
            <w:r>
              <w:rPr>
                <w:sz w:val="18"/>
                <w:szCs w:val="18"/>
              </w:rPr>
              <w:t>32</w:t>
            </w:r>
          </w:p>
        </w:tc>
        <w:tc>
          <w:tcPr>
            <w:tcW w:w="425" w:type="dxa"/>
            <w:gridSpan w:val="2"/>
            <w:vAlign w:val="center"/>
          </w:tcPr>
          <w:p>
            <w:pPr>
              <w:spacing w:line="240" w:lineRule="auto"/>
              <w:jc w:val="center"/>
              <w:rPr>
                <w:sz w:val="18"/>
                <w:szCs w:val="18"/>
              </w:rPr>
            </w:pPr>
            <w:r>
              <w:rPr>
                <w:sz w:val="18"/>
                <w:szCs w:val="18"/>
              </w:rPr>
              <w:t>32</w:t>
            </w:r>
          </w:p>
        </w:tc>
        <w:tc>
          <w:tcPr>
            <w:tcW w:w="426" w:type="dxa"/>
            <w:gridSpan w:val="2"/>
            <w:vAlign w:val="center"/>
          </w:tcPr>
          <w:p>
            <w:pPr>
              <w:spacing w:line="240" w:lineRule="auto"/>
              <w:jc w:val="center"/>
              <w:rPr>
                <w:sz w:val="18"/>
                <w:szCs w:val="18"/>
              </w:rPr>
            </w:pPr>
          </w:p>
        </w:tc>
        <w:tc>
          <w:tcPr>
            <w:tcW w:w="630" w:type="dxa"/>
            <w:gridSpan w:val="2"/>
            <w:vAlign w:val="center"/>
          </w:tcPr>
          <w:p>
            <w:pPr>
              <w:spacing w:line="240" w:lineRule="auto"/>
              <w:jc w:val="center"/>
              <w:rPr>
                <w:sz w:val="18"/>
                <w:szCs w:val="18"/>
              </w:rPr>
            </w:pPr>
            <w:r>
              <w:rPr>
                <w:sz w:val="18"/>
                <w:szCs w:val="18"/>
              </w:rPr>
              <w:t>2-6</w:t>
            </w:r>
          </w:p>
        </w:tc>
        <w:tc>
          <w:tcPr>
            <w:tcW w:w="737" w:type="dxa"/>
            <w:vAlign w:val="center"/>
          </w:tcPr>
          <w:p>
            <w:pPr>
              <w:spacing w:line="240" w:lineRule="auto"/>
              <w:ind w:right="-120" w:rightChars="-50"/>
              <w:jc w:val="center"/>
              <w:rPr>
                <w:bCs/>
                <w:spacing w:val="-8"/>
                <w:position w:val="-8"/>
                <w:sz w:val="18"/>
                <w:szCs w:val="18"/>
              </w:rPr>
            </w:pPr>
            <w:r>
              <w:rPr>
                <w:bCs/>
                <w:spacing w:val="-8"/>
                <w:position w:val="-8"/>
                <w:sz w:val="18"/>
                <w:szCs w:val="18"/>
              </w:rPr>
              <w:t>专业型</w:t>
            </w:r>
          </w:p>
          <w:p>
            <w:pPr>
              <w:spacing w:line="240" w:lineRule="auto"/>
              <w:ind w:right="-120" w:rightChars="-50"/>
              <w:jc w:val="center"/>
              <w:rPr>
                <w:bCs/>
                <w:spacing w:val="-8"/>
                <w:position w:val="-8"/>
                <w:sz w:val="18"/>
                <w:szCs w:val="18"/>
              </w:rPr>
            </w:pPr>
            <w:r>
              <w:rPr>
                <w:bCs/>
                <w:spacing w:val="-8"/>
                <w:position w:val="-8"/>
                <w:sz w:val="18"/>
                <w:szCs w:val="18"/>
              </w:rPr>
              <w:t>复合型</w:t>
            </w:r>
          </w:p>
        </w:tc>
        <w:tc>
          <w:tcPr>
            <w:tcW w:w="675" w:type="dxa"/>
            <w:gridSpan w:val="2"/>
            <w:tcBorders>
              <w:right w:val="single" w:color="auto" w:sz="4" w:space="0"/>
            </w:tcBorders>
            <w:vAlign w:val="center"/>
          </w:tcPr>
          <w:p>
            <w:pPr>
              <w:spacing w:line="240" w:lineRule="auto"/>
              <w:jc w:val="center"/>
              <w:rPr>
                <w:bCs/>
                <w:spacing w:val="-8"/>
                <w:position w:val="-8"/>
                <w:sz w:val="18"/>
                <w:szCs w:val="18"/>
              </w:rPr>
            </w:pPr>
            <w:r>
              <w:rPr>
                <w:bCs/>
                <w:spacing w:val="-8"/>
                <w:position w:val="-8"/>
                <w:sz w:val="18"/>
                <w:szCs w:val="18"/>
              </w:rPr>
              <w:t>公管</w:t>
            </w:r>
          </w:p>
        </w:tc>
        <w:tc>
          <w:tcPr>
            <w:tcW w:w="637" w:type="dxa"/>
            <w:vMerge w:val="continue"/>
            <w:tcBorders>
              <w:left w:val="single" w:color="auto" w:sz="4" w:space="0"/>
            </w:tcBorders>
            <w:vAlign w:val="center"/>
          </w:tcPr>
          <w:p>
            <w:pPr>
              <w:spacing w:line="240" w:lineRule="auto"/>
              <w:ind w:left="-120" w:leftChars="-50" w:right="-120" w:rightChars="-50"/>
              <w:jc w:val="center"/>
              <w:rPr>
                <w:bCs/>
                <w:spacing w:val="-8"/>
                <w:position w:val="-8"/>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392"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425"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963" w:type="dxa"/>
            <w:tcBorders>
              <w:left w:val="single" w:color="auto" w:sz="4" w:space="0"/>
            </w:tcBorders>
            <w:vAlign w:val="center"/>
          </w:tcPr>
          <w:p>
            <w:pPr>
              <w:spacing w:line="240" w:lineRule="auto"/>
              <w:ind w:left="-120" w:leftChars="-50" w:right="-120" w:rightChars="-50" w:firstLine="138" w:firstLineChars="77"/>
              <w:jc w:val="left"/>
              <w:rPr>
                <w:bCs/>
                <w:sz w:val="18"/>
                <w:szCs w:val="18"/>
              </w:rPr>
            </w:pPr>
          </w:p>
        </w:tc>
        <w:tc>
          <w:tcPr>
            <w:tcW w:w="3290" w:type="dxa"/>
            <w:gridSpan w:val="2"/>
            <w:vAlign w:val="center"/>
          </w:tcPr>
          <w:p>
            <w:pPr>
              <w:spacing w:line="240" w:lineRule="auto"/>
              <w:ind w:right="-120" w:rightChars="-50"/>
              <w:jc w:val="center"/>
              <w:rPr>
                <w:bCs/>
                <w:spacing w:val="-8"/>
                <w:position w:val="-8"/>
                <w:sz w:val="18"/>
                <w:szCs w:val="18"/>
              </w:rPr>
            </w:pPr>
            <w:r>
              <w:rPr>
                <w:bCs/>
                <w:spacing w:val="-8"/>
                <w:position w:val="-8"/>
                <w:sz w:val="18"/>
                <w:szCs w:val="18"/>
              </w:rPr>
              <w:t>小  计</w:t>
            </w:r>
          </w:p>
        </w:tc>
        <w:tc>
          <w:tcPr>
            <w:tcW w:w="425" w:type="dxa"/>
            <w:vAlign w:val="center"/>
          </w:tcPr>
          <w:p>
            <w:pPr>
              <w:spacing w:line="240" w:lineRule="auto"/>
              <w:ind w:right="-120" w:rightChars="-50"/>
              <w:jc w:val="center"/>
              <w:rPr>
                <w:bCs/>
                <w:spacing w:val="-8"/>
                <w:position w:val="-8"/>
                <w:sz w:val="18"/>
                <w:szCs w:val="18"/>
              </w:rPr>
            </w:pPr>
            <w:r>
              <w:rPr>
                <w:bCs/>
                <w:spacing w:val="-8"/>
                <w:position w:val="-8"/>
                <w:sz w:val="18"/>
                <w:szCs w:val="18"/>
              </w:rPr>
              <w:t>30</w:t>
            </w:r>
          </w:p>
        </w:tc>
        <w:tc>
          <w:tcPr>
            <w:tcW w:w="425" w:type="dxa"/>
            <w:gridSpan w:val="2"/>
            <w:vAlign w:val="center"/>
          </w:tcPr>
          <w:p>
            <w:pPr>
              <w:spacing w:line="240" w:lineRule="auto"/>
              <w:ind w:right="-120" w:rightChars="-50"/>
              <w:jc w:val="center"/>
              <w:rPr>
                <w:bCs/>
                <w:spacing w:val="-8"/>
                <w:position w:val="-8"/>
                <w:sz w:val="18"/>
                <w:szCs w:val="18"/>
              </w:rPr>
            </w:pPr>
          </w:p>
        </w:tc>
        <w:tc>
          <w:tcPr>
            <w:tcW w:w="425" w:type="dxa"/>
            <w:gridSpan w:val="2"/>
            <w:vAlign w:val="center"/>
          </w:tcPr>
          <w:p>
            <w:pPr>
              <w:spacing w:line="240" w:lineRule="auto"/>
              <w:ind w:right="-120" w:rightChars="-50"/>
              <w:jc w:val="center"/>
              <w:rPr>
                <w:bCs/>
                <w:spacing w:val="-8"/>
                <w:position w:val="-8"/>
                <w:sz w:val="18"/>
                <w:szCs w:val="18"/>
              </w:rPr>
            </w:pPr>
          </w:p>
        </w:tc>
        <w:tc>
          <w:tcPr>
            <w:tcW w:w="426" w:type="dxa"/>
            <w:gridSpan w:val="2"/>
            <w:vAlign w:val="center"/>
          </w:tcPr>
          <w:p>
            <w:pPr>
              <w:spacing w:line="240" w:lineRule="auto"/>
              <w:ind w:right="-120" w:rightChars="-50"/>
              <w:rPr>
                <w:bCs/>
                <w:spacing w:val="-8"/>
                <w:position w:val="-8"/>
                <w:sz w:val="18"/>
                <w:szCs w:val="18"/>
              </w:rPr>
            </w:pPr>
          </w:p>
        </w:tc>
        <w:tc>
          <w:tcPr>
            <w:tcW w:w="630" w:type="dxa"/>
            <w:gridSpan w:val="2"/>
            <w:vAlign w:val="center"/>
          </w:tcPr>
          <w:p>
            <w:pPr>
              <w:spacing w:line="240" w:lineRule="auto"/>
              <w:ind w:right="-120" w:rightChars="-50"/>
              <w:jc w:val="center"/>
              <w:rPr>
                <w:bCs/>
                <w:spacing w:val="-8"/>
                <w:position w:val="-8"/>
                <w:sz w:val="18"/>
                <w:szCs w:val="18"/>
              </w:rPr>
            </w:pPr>
          </w:p>
        </w:tc>
        <w:tc>
          <w:tcPr>
            <w:tcW w:w="1412" w:type="dxa"/>
            <w:gridSpan w:val="3"/>
            <w:tcBorders>
              <w:left w:val="single" w:color="auto" w:sz="4" w:space="0"/>
            </w:tcBorders>
            <w:vAlign w:val="center"/>
          </w:tcPr>
          <w:p>
            <w:pPr>
              <w:spacing w:line="240" w:lineRule="auto"/>
              <w:ind w:right="-120" w:rightChars="-50"/>
              <w:jc w:val="center"/>
              <w:rPr>
                <w:bCs/>
                <w:spacing w:val="-8"/>
                <w:position w:val="-8"/>
                <w:sz w:val="18"/>
                <w:szCs w:val="18"/>
              </w:rPr>
            </w:pPr>
          </w:p>
        </w:tc>
        <w:tc>
          <w:tcPr>
            <w:tcW w:w="637" w:type="dxa"/>
            <w:tcBorders>
              <w:left w:val="single" w:color="auto" w:sz="4" w:space="0"/>
            </w:tcBorders>
            <w:vAlign w:val="center"/>
          </w:tcPr>
          <w:p>
            <w:pPr>
              <w:spacing w:line="240" w:lineRule="auto"/>
              <w:ind w:left="-120" w:leftChars="-50" w:right="-120" w:rightChars="-50"/>
              <w:jc w:val="center"/>
              <w:rPr>
                <w:sz w:val="18"/>
                <w:szCs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057" w:hRule="atLeast"/>
          <w:jc w:val="center"/>
        </w:trPr>
        <w:tc>
          <w:tcPr>
            <w:tcW w:w="392" w:type="dxa"/>
            <w:vMerge w:val="continue"/>
            <w:tcBorders>
              <w:right w:val="single" w:color="auto" w:sz="4" w:space="0"/>
            </w:tcBorders>
            <w:shd w:val="clear" w:color="auto" w:fill="auto"/>
            <w:vAlign w:val="center"/>
          </w:tcPr>
          <w:p>
            <w:pPr>
              <w:spacing w:line="240" w:lineRule="auto"/>
              <w:ind w:left="-120" w:leftChars="-50" w:right="-120" w:rightChars="-50"/>
              <w:jc w:val="center"/>
              <w:rPr>
                <w:bCs/>
                <w:sz w:val="18"/>
                <w:szCs w:val="18"/>
              </w:rPr>
            </w:pPr>
          </w:p>
        </w:tc>
        <w:tc>
          <w:tcPr>
            <w:tcW w:w="425" w:type="dxa"/>
            <w:tcBorders>
              <w:right w:val="single" w:color="auto" w:sz="4" w:space="0"/>
            </w:tcBorders>
            <w:shd w:val="clear" w:color="auto" w:fill="auto"/>
            <w:vAlign w:val="center"/>
          </w:tcPr>
          <w:p>
            <w:pPr>
              <w:spacing w:line="240" w:lineRule="auto"/>
              <w:ind w:left="-120" w:leftChars="-50" w:right="-120" w:rightChars="-50"/>
              <w:jc w:val="center"/>
              <w:rPr>
                <w:bCs/>
                <w:sz w:val="18"/>
                <w:szCs w:val="18"/>
              </w:rPr>
            </w:pPr>
            <w:r>
              <w:rPr>
                <w:bCs/>
                <w:sz w:val="18"/>
                <w:szCs w:val="18"/>
              </w:rPr>
              <w:t>专</w:t>
            </w:r>
          </w:p>
          <w:p>
            <w:pPr>
              <w:spacing w:line="240" w:lineRule="auto"/>
              <w:ind w:left="-120" w:leftChars="-50" w:right="-120" w:rightChars="-50"/>
              <w:jc w:val="center"/>
              <w:rPr>
                <w:bCs/>
                <w:sz w:val="18"/>
                <w:szCs w:val="18"/>
              </w:rPr>
            </w:pPr>
            <w:r>
              <w:rPr>
                <w:bCs/>
                <w:sz w:val="18"/>
                <w:szCs w:val="18"/>
              </w:rPr>
              <w:t>业</w:t>
            </w:r>
          </w:p>
          <w:p>
            <w:pPr>
              <w:spacing w:line="240" w:lineRule="auto"/>
              <w:ind w:left="-120" w:leftChars="-50" w:right="-120" w:rightChars="-50"/>
              <w:jc w:val="center"/>
              <w:rPr>
                <w:bCs/>
                <w:sz w:val="18"/>
                <w:szCs w:val="18"/>
              </w:rPr>
            </w:pPr>
            <w:r>
              <w:rPr>
                <w:bCs/>
                <w:sz w:val="18"/>
                <w:szCs w:val="18"/>
              </w:rPr>
              <w:t>交</w:t>
            </w:r>
          </w:p>
          <w:p>
            <w:pPr>
              <w:spacing w:line="240" w:lineRule="auto"/>
              <w:ind w:left="-120" w:leftChars="-50" w:right="-120" w:rightChars="-50"/>
              <w:jc w:val="center"/>
              <w:rPr>
                <w:bCs/>
                <w:sz w:val="18"/>
                <w:szCs w:val="18"/>
              </w:rPr>
            </w:pPr>
            <w:r>
              <w:rPr>
                <w:bCs/>
                <w:sz w:val="18"/>
                <w:szCs w:val="18"/>
              </w:rPr>
              <w:t>叉</w:t>
            </w:r>
          </w:p>
          <w:p>
            <w:pPr>
              <w:spacing w:line="240" w:lineRule="auto"/>
              <w:ind w:left="-120" w:leftChars="-50" w:right="-120" w:rightChars="-50"/>
              <w:jc w:val="center"/>
              <w:rPr>
                <w:bCs/>
                <w:sz w:val="18"/>
                <w:szCs w:val="18"/>
              </w:rPr>
            </w:pPr>
            <w:r>
              <w:rPr>
                <w:bCs/>
                <w:sz w:val="18"/>
                <w:szCs w:val="18"/>
              </w:rPr>
              <w:t>课</w:t>
            </w:r>
          </w:p>
        </w:tc>
        <w:tc>
          <w:tcPr>
            <w:tcW w:w="6584" w:type="dxa"/>
            <w:gridSpan w:val="12"/>
            <w:tcBorders>
              <w:left w:val="single" w:color="auto" w:sz="4" w:space="0"/>
            </w:tcBorders>
            <w:vAlign w:val="center"/>
          </w:tcPr>
          <w:p>
            <w:pPr>
              <w:spacing w:line="240" w:lineRule="auto"/>
              <w:jc w:val="center"/>
              <w:rPr>
                <w:sz w:val="18"/>
                <w:szCs w:val="18"/>
              </w:rPr>
            </w:pPr>
            <w:r>
              <w:rPr>
                <w:sz w:val="18"/>
                <w:szCs w:val="18"/>
              </w:rPr>
              <w:t>文化产业概论</w:t>
            </w:r>
          </w:p>
          <w:p>
            <w:pPr>
              <w:spacing w:line="240" w:lineRule="auto"/>
              <w:jc w:val="center"/>
              <w:rPr>
                <w:sz w:val="18"/>
                <w:szCs w:val="18"/>
              </w:rPr>
            </w:pPr>
            <w:r>
              <w:rPr>
                <w:sz w:val="18"/>
                <w:szCs w:val="18"/>
              </w:rPr>
              <w:t>Introduction to The Cultural Industry</w:t>
            </w:r>
          </w:p>
          <w:p>
            <w:pPr>
              <w:spacing w:line="240" w:lineRule="auto"/>
              <w:jc w:val="center"/>
              <w:rPr>
                <w:sz w:val="18"/>
                <w:szCs w:val="18"/>
              </w:rPr>
            </w:pPr>
            <w:r>
              <w:rPr>
                <w:sz w:val="18"/>
                <w:szCs w:val="18"/>
              </w:rPr>
              <w:t>文化产业创意与策划</w:t>
            </w:r>
          </w:p>
          <w:p>
            <w:pPr>
              <w:spacing w:line="240" w:lineRule="auto"/>
              <w:jc w:val="center"/>
              <w:rPr>
                <w:sz w:val="18"/>
                <w:szCs w:val="18"/>
              </w:rPr>
            </w:pPr>
            <w:r>
              <w:rPr>
                <w:sz w:val="18"/>
                <w:szCs w:val="18"/>
              </w:rPr>
              <w:t>Cultural Industry Creativity and Planning</w:t>
            </w:r>
          </w:p>
          <w:p>
            <w:pPr>
              <w:spacing w:line="240" w:lineRule="auto"/>
              <w:jc w:val="center"/>
              <w:rPr>
                <w:sz w:val="18"/>
                <w:szCs w:val="18"/>
              </w:rPr>
            </w:pPr>
            <w:r>
              <w:rPr>
                <w:sz w:val="18"/>
                <w:szCs w:val="18"/>
              </w:rPr>
              <w:t>文化产业园区规划设计</w:t>
            </w:r>
          </w:p>
          <w:p>
            <w:pPr>
              <w:spacing w:line="240" w:lineRule="auto"/>
              <w:jc w:val="center"/>
              <w:rPr>
                <w:bCs/>
                <w:spacing w:val="-8"/>
                <w:position w:val="-8"/>
                <w:sz w:val="18"/>
                <w:szCs w:val="18"/>
              </w:rPr>
            </w:pPr>
            <w:r>
              <w:rPr>
                <w:sz w:val="18"/>
                <w:szCs w:val="18"/>
              </w:rPr>
              <w:t>Cultural Industry Park Planning and Design</w:t>
            </w:r>
          </w:p>
        </w:tc>
        <w:tc>
          <w:tcPr>
            <w:tcW w:w="737" w:type="dxa"/>
            <w:vAlign w:val="center"/>
          </w:tcPr>
          <w:p>
            <w:pPr>
              <w:spacing w:line="240" w:lineRule="auto"/>
              <w:ind w:left="-120" w:leftChars="-50" w:right="-120" w:rightChars="-50"/>
              <w:jc w:val="center"/>
              <w:rPr>
                <w:bCs/>
                <w:spacing w:val="-8"/>
                <w:position w:val="-8"/>
                <w:sz w:val="18"/>
                <w:szCs w:val="18"/>
              </w:rPr>
            </w:pPr>
            <w:r>
              <w:rPr>
                <w:bCs/>
                <w:spacing w:val="-8"/>
                <w:position w:val="-8"/>
                <w:sz w:val="18"/>
                <w:szCs w:val="18"/>
              </w:rPr>
              <w:t>创新型</w:t>
            </w:r>
          </w:p>
          <w:p>
            <w:pPr>
              <w:spacing w:line="240" w:lineRule="auto"/>
              <w:ind w:left="-120" w:leftChars="-50" w:right="-120" w:rightChars="-50"/>
              <w:jc w:val="center"/>
              <w:rPr>
                <w:bCs/>
                <w:spacing w:val="-8"/>
                <w:position w:val="-8"/>
                <w:sz w:val="18"/>
                <w:szCs w:val="18"/>
              </w:rPr>
            </w:pPr>
            <w:r>
              <w:rPr>
                <w:bCs/>
                <w:spacing w:val="-8"/>
                <w:position w:val="-8"/>
                <w:sz w:val="18"/>
                <w:szCs w:val="18"/>
              </w:rPr>
              <w:t>专业型</w:t>
            </w:r>
          </w:p>
        </w:tc>
        <w:tc>
          <w:tcPr>
            <w:tcW w:w="675" w:type="dxa"/>
            <w:gridSpan w:val="2"/>
            <w:vAlign w:val="center"/>
          </w:tcPr>
          <w:p>
            <w:pPr>
              <w:spacing w:line="240" w:lineRule="auto"/>
              <w:ind w:left="-120" w:leftChars="-50" w:right="-120" w:rightChars="-50"/>
              <w:jc w:val="center"/>
              <w:rPr>
                <w:bCs/>
                <w:spacing w:val="-8"/>
                <w:position w:val="-8"/>
                <w:sz w:val="18"/>
                <w:szCs w:val="18"/>
              </w:rPr>
            </w:pPr>
            <w:r>
              <w:rPr>
                <w:bCs/>
                <w:spacing w:val="-8"/>
                <w:position w:val="-8"/>
                <w:sz w:val="18"/>
                <w:szCs w:val="18"/>
              </w:rPr>
              <w:t>公管</w:t>
            </w:r>
          </w:p>
        </w:tc>
        <w:tc>
          <w:tcPr>
            <w:tcW w:w="637" w:type="dxa"/>
            <w:vAlign w:val="center"/>
          </w:tcPr>
          <w:p>
            <w:pPr>
              <w:pStyle w:val="11"/>
              <w:keepNext/>
              <w:spacing w:line="240" w:lineRule="auto"/>
              <w:ind w:left="-120" w:leftChars="-50" w:right="-120" w:rightChars="-50" w:firstLine="0"/>
              <w:jc w:val="center"/>
              <w:rPr>
                <w:bCs/>
                <w:spacing w:val="-8"/>
                <w:position w:val="-8"/>
                <w:sz w:val="18"/>
                <w:szCs w:val="18"/>
              </w:rPr>
            </w:pPr>
            <w:r>
              <w:rPr>
                <w:bCs/>
                <w:snapToGrid w:val="0"/>
                <w:sz w:val="18"/>
                <w:szCs w:val="18"/>
              </w:rPr>
              <w:t>每名学生至少选修6学分。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17" w:type="dxa"/>
            <w:gridSpan w:val="2"/>
            <w:vMerge w:val="restart"/>
            <w:tcBorders>
              <w:left w:val="single" w:color="auto" w:sz="2" w:space="0"/>
              <w:bottom w:val="single" w:color="auto" w:sz="4" w:space="0"/>
              <w:right w:val="single" w:color="auto" w:sz="4" w:space="0"/>
            </w:tcBorders>
            <w:shd w:val="clear" w:color="auto" w:fill="auto"/>
            <w:vAlign w:val="center"/>
          </w:tcPr>
          <w:p>
            <w:pPr>
              <w:spacing w:line="240" w:lineRule="auto"/>
              <w:ind w:left="-120" w:leftChars="-50" w:right="-120" w:rightChars="-50"/>
              <w:jc w:val="center"/>
              <w:rPr>
                <w:bCs/>
                <w:sz w:val="18"/>
                <w:szCs w:val="18"/>
              </w:rPr>
            </w:pPr>
            <w:r>
              <w:rPr>
                <w:bCs/>
                <w:sz w:val="18"/>
                <w:szCs w:val="18"/>
              </w:rPr>
              <w:t>专业拓展教育课</w:t>
            </w:r>
          </w:p>
        </w:tc>
        <w:tc>
          <w:tcPr>
            <w:tcW w:w="1088" w:type="dxa"/>
            <w:gridSpan w:val="2"/>
            <w:tcBorders>
              <w:left w:val="single" w:color="auto" w:sz="4" w:space="0"/>
              <w:bottom w:val="single" w:color="auto" w:sz="4" w:space="0"/>
            </w:tcBorders>
            <w:vAlign w:val="center"/>
          </w:tcPr>
          <w:p>
            <w:pPr>
              <w:spacing w:line="240" w:lineRule="auto"/>
              <w:ind w:left="-120" w:leftChars="-50" w:right="-120" w:rightChars="-50"/>
              <w:jc w:val="center"/>
              <w:rPr>
                <w:bCs/>
                <w:sz w:val="18"/>
                <w:szCs w:val="18"/>
              </w:rPr>
            </w:pPr>
            <w:r>
              <w:rPr>
                <w:bCs/>
                <w:sz w:val="18"/>
                <w:szCs w:val="18"/>
              </w:rPr>
              <w:t>BK160013</w:t>
            </w:r>
          </w:p>
        </w:tc>
        <w:tc>
          <w:tcPr>
            <w:tcW w:w="3165" w:type="dxa"/>
            <w:tcBorders>
              <w:bottom w:val="single" w:color="auto" w:sz="4" w:space="0"/>
            </w:tcBorders>
            <w:vAlign w:val="center"/>
          </w:tcPr>
          <w:p>
            <w:pPr>
              <w:spacing w:line="240" w:lineRule="auto"/>
              <w:rPr>
                <w:sz w:val="18"/>
                <w:szCs w:val="18"/>
              </w:rPr>
            </w:pPr>
            <w:r>
              <w:rPr>
                <w:sz w:val="18"/>
                <w:szCs w:val="18"/>
              </w:rPr>
              <w:t>文化产业管理学科前沿专题讲座</w:t>
            </w:r>
          </w:p>
          <w:p>
            <w:pPr>
              <w:spacing w:line="240" w:lineRule="auto"/>
              <w:rPr>
                <w:sz w:val="18"/>
                <w:szCs w:val="18"/>
              </w:rPr>
            </w:pPr>
            <w:r>
              <w:rPr>
                <w:sz w:val="18"/>
                <w:szCs w:val="18"/>
              </w:rPr>
              <w:t>Cultural industry management Professional LectureonResearchFrontier</w:t>
            </w:r>
          </w:p>
        </w:tc>
        <w:tc>
          <w:tcPr>
            <w:tcW w:w="495" w:type="dxa"/>
            <w:gridSpan w:val="2"/>
            <w:tcBorders>
              <w:bottom w:val="single" w:color="auto" w:sz="4" w:space="0"/>
            </w:tcBorders>
            <w:vAlign w:val="center"/>
          </w:tcPr>
          <w:p>
            <w:pPr>
              <w:spacing w:line="240" w:lineRule="auto"/>
              <w:jc w:val="center"/>
              <w:rPr>
                <w:sz w:val="18"/>
                <w:szCs w:val="18"/>
              </w:rPr>
            </w:pPr>
            <w:r>
              <w:rPr>
                <w:sz w:val="18"/>
                <w:szCs w:val="18"/>
              </w:rPr>
              <w:t>1.5</w:t>
            </w:r>
          </w:p>
        </w:tc>
        <w:tc>
          <w:tcPr>
            <w:tcW w:w="433" w:type="dxa"/>
            <w:gridSpan w:val="2"/>
            <w:tcBorders>
              <w:bottom w:val="single" w:color="auto" w:sz="4" w:space="0"/>
            </w:tcBorders>
            <w:vAlign w:val="center"/>
          </w:tcPr>
          <w:p>
            <w:pPr>
              <w:spacing w:line="240" w:lineRule="auto"/>
              <w:jc w:val="center"/>
              <w:rPr>
                <w:sz w:val="18"/>
                <w:szCs w:val="18"/>
              </w:rPr>
            </w:pPr>
            <w:r>
              <w:rPr>
                <w:sz w:val="18"/>
                <w:szCs w:val="18"/>
              </w:rPr>
              <w:t>24</w:t>
            </w:r>
          </w:p>
        </w:tc>
        <w:tc>
          <w:tcPr>
            <w:tcW w:w="436" w:type="dxa"/>
            <w:gridSpan w:val="2"/>
            <w:tcBorders>
              <w:bottom w:val="single" w:color="auto" w:sz="4" w:space="0"/>
            </w:tcBorders>
            <w:vAlign w:val="center"/>
          </w:tcPr>
          <w:p>
            <w:pPr>
              <w:spacing w:line="240" w:lineRule="auto"/>
              <w:jc w:val="center"/>
              <w:rPr>
                <w:sz w:val="18"/>
                <w:szCs w:val="18"/>
              </w:rPr>
            </w:pPr>
            <w:r>
              <w:rPr>
                <w:sz w:val="18"/>
                <w:szCs w:val="18"/>
              </w:rPr>
              <w:t>24</w:t>
            </w:r>
          </w:p>
        </w:tc>
        <w:tc>
          <w:tcPr>
            <w:tcW w:w="482" w:type="dxa"/>
            <w:gridSpan w:val="2"/>
            <w:tcBorders>
              <w:bottom w:val="single" w:color="auto" w:sz="4" w:space="0"/>
            </w:tcBorders>
            <w:vAlign w:val="center"/>
          </w:tcPr>
          <w:p>
            <w:pPr>
              <w:spacing w:line="240" w:lineRule="auto"/>
              <w:jc w:val="center"/>
              <w:rPr>
                <w:sz w:val="18"/>
                <w:szCs w:val="18"/>
              </w:rPr>
            </w:pPr>
          </w:p>
        </w:tc>
        <w:tc>
          <w:tcPr>
            <w:tcW w:w="485" w:type="dxa"/>
            <w:tcBorders>
              <w:bottom w:val="single" w:color="auto" w:sz="4" w:space="0"/>
              <w:right w:val="single" w:color="auto" w:sz="4" w:space="0"/>
            </w:tcBorders>
            <w:vAlign w:val="center"/>
          </w:tcPr>
          <w:p>
            <w:pPr>
              <w:spacing w:line="240" w:lineRule="auto"/>
              <w:jc w:val="center"/>
              <w:rPr>
                <w:sz w:val="18"/>
                <w:szCs w:val="18"/>
              </w:rPr>
            </w:pPr>
            <w:r>
              <w:rPr>
                <w:sz w:val="18"/>
                <w:szCs w:val="18"/>
              </w:rPr>
              <w:t>6</w:t>
            </w:r>
          </w:p>
        </w:tc>
        <w:tc>
          <w:tcPr>
            <w:tcW w:w="737" w:type="dxa"/>
            <w:tcBorders>
              <w:bottom w:val="single" w:color="auto" w:sz="4" w:space="0"/>
              <w:right w:val="single" w:color="auto" w:sz="4" w:space="0"/>
            </w:tcBorders>
            <w:vAlign w:val="center"/>
          </w:tcPr>
          <w:p>
            <w:pPr>
              <w:spacing w:line="240" w:lineRule="auto"/>
              <w:ind w:left="-120" w:leftChars="-50" w:right="-120" w:rightChars="-50"/>
              <w:jc w:val="center"/>
              <w:rPr>
                <w:sz w:val="18"/>
                <w:szCs w:val="18"/>
              </w:rPr>
            </w:pPr>
            <w:r>
              <w:rPr>
                <w:sz w:val="18"/>
                <w:szCs w:val="18"/>
              </w:rPr>
              <w:t>创新型</w:t>
            </w:r>
          </w:p>
          <w:p>
            <w:pPr>
              <w:spacing w:line="240" w:lineRule="auto"/>
              <w:ind w:left="-120" w:leftChars="-50" w:right="-120" w:rightChars="-50"/>
              <w:jc w:val="center"/>
              <w:rPr>
                <w:sz w:val="18"/>
                <w:szCs w:val="18"/>
              </w:rPr>
            </w:pPr>
            <w:r>
              <w:rPr>
                <w:sz w:val="18"/>
                <w:szCs w:val="18"/>
              </w:rPr>
              <w:t>专业型</w:t>
            </w:r>
          </w:p>
        </w:tc>
        <w:tc>
          <w:tcPr>
            <w:tcW w:w="532" w:type="dxa"/>
            <w:tcBorders>
              <w:left w:val="single" w:color="auto" w:sz="4" w:space="0"/>
              <w:bottom w:val="single" w:color="auto" w:sz="4" w:space="0"/>
              <w:right w:val="single" w:color="auto" w:sz="4" w:space="0"/>
            </w:tcBorders>
            <w:vAlign w:val="center"/>
          </w:tcPr>
          <w:p>
            <w:pPr>
              <w:spacing w:line="240" w:lineRule="auto"/>
              <w:ind w:left="-120" w:leftChars="-50" w:right="-120" w:rightChars="-50"/>
              <w:jc w:val="center"/>
              <w:rPr>
                <w:sz w:val="18"/>
                <w:szCs w:val="18"/>
              </w:rPr>
            </w:pPr>
            <w:r>
              <w:rPr>
                <w:sz w:val="18"/>
                <w:szCs w:val="18"/>
              </w:rPr>
              <w:t>公管</w:t>
            </w:r>
          </w:p>
        </w:tc>
        <w:tc>
          <w:tcPr>
            <w:tcW w:w="780" w:type="dxa"/>
            <w:gridSpan w:val="2"/>
            <w:vMerge w:val="restart"/>
            <w:tcBorders>
              <w:top w:val="single" w:color="auto" w:sz="4" w:space="0"/>
              <w:left w:val="single" w:color="auto" w:sz="4" w:space="0"/>
              <w:bottom w:val="single" w:color="auto" w:sz="4" w:space="0"/>
              <w:right w:val="single" w:color="auto" w:sz="2" w:space="0"/>
            </w:tcBorders>
            <w:vAlign w:val="center"/>
          </w:tcPr>
          <w:p>
            <w:pPr>
              <w:pStyle w:val="11"/>
              <w:keepNext/>
              <w:spacing w:line="240" w:lineRule="auto"/>
              <w:ind w:left="-120" w:leftChars="-50" w:right="-120" w:rightChars="-50" w:firstLine="0"/>
              <w:jc w:val="center"/>
              <w:rPr>
                <w:sz w:val="18"/>
                <w:szCs w:val="18"/>
              </w:rPr>
            </w:pPr>
            <w:r>
              <w:rPr>
                <w:sz w:val="18"/>
                <w:szCs w:val="18"/>
              </w:rPr>
              <w:t>必修</w:t>
            </w:r>
          </w:p>
          <w:p>
            <w:pPr>
              <w:pStyle w:val="11"/>
              <w:keepNext/>
              <w:spacing w:line="240" w:lineRule="auto"/>
              <w:ind w:left="-120" w:leftChars="-50" w:right="-120" w:rightChars="-50" w:firstLine="0"/>
              <w:jc w:val="center"/>
              <w:rPr>
                <w:sz w:val="18"/>
                <w:szCs w:val="18"/>
              </w:rPr>
            </w:pPr>
            <w:r>
              <w:rPr>
                <w:sz w:val="18"/>
                <w:szCs w:val="18"/>
              </w:rPr>
              <w:t>3.5学分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817" w:type="dxa"/>
            <w:gridSpan w:val="2"/>
            <w:vMerge w:val="continue"/>
            <w:tcBorders>
              <w:top w:val="single" w:color="auto" w:sz="4" w:space="0"/>
              <w:left w:val="single" w:color="auto" w:sz="2" w:space="0"/>
              <w:bottom w:val="single" w:color="auto" w:sz="4" w:space="0"/>
              <w:right w:val="single" w:color="auto" w:sz="4" w:space="0"/>
            </w:tcBorders>
            <w:shd w:val="clear" w:color="auto" w:fill="auto"/>
            <w:vAlign w:val="center"/>
          </w:tcPr>
          <w:p>
            <w:pPr>
              <w:spacing w:line="240" w:lineRule="auto"/>
              <w:rPr>
                <w:bCs/>
                <w:sz w:val="18"/>
                <w:szCs w:val="18"/>
              </w:rPr>
            </w:pPr>
          </w:p>
        </w:tc>
        <w:tc>
          <w:tcPr>
            <w:tcW w:w="1088" w:type="dxa"/>
            <w:gridSpan w:val="2"/>
            <w:tcBorders>
              <w:top w:val="single" w:color="auto" w:sz="4" w:space="0"/>
              <w:left w:val="single" w:color="auto" w:sz="4" w:space="0"/>
              <w:bottom w:val="single" w:color="auto" w:sz="4" w:space="0"/>
              <w:right w:val="single" w:color="auto" w:sz="4" w:space="0"/>
            </w:tcBorders>
            <w:vAlign w:val="center"/>
          </w:tcPr>
          <w:p>
            <w:pPr>
              <w:spacing w:line="240" w:lineRule="auto"/>
              <w:rPr>
                <w:bCs/>
                <w:sz w:val="18"/>
                <w:szCs w:val="18"/>
              </w:rPr>
            </w:pPr>
            <w:r>
              <w:rPr>
                <w:bCs/>
                <w:sz w:val="18"/>
                <w:szCs w:val="18"/>
              </w:rPr>
              <w:t>BK100001-4</w:t>
            </w:r>
          </w:p>
        </w:tc>
        <w:tc>
          <w:tcPr>
            <w:tcW w:w="3165" w:type="dxa"/>
            <w:tcBorders>
              <w:top w:val="single" w:color="auto" w:sz="4" w:space="0"/>
              <w:left w:val="single" w:color="auto" w:sz="4" w:space="0"/>
              <w:bottom w:val="single" w:color="auto" w:sz="4" w:space="0"/>
              <w:right w:val="single" w:color="auto" w:sz="2" w:space="0"/>
            </w:tcBorders>
            <w:vAlign w:val="center"/>
          </w:tcPr>
          <w:p>
            <w:pPr>
              <w:spacing w:line="240" w:lineRule="auto"/>
              <w:rPr>
                <w:sz w:val="18"/>
                <w:szCs w:val="18"/>
              </w:rPr>
            </w:pPr>
            <w:r>
              <w:rPr>
                <w:sz w:val="18"/>
                <w:szCs w:val="18"/>
              </w:rPr>
              <w:t>职业发展与就业创业指导课</w:t>
            </w:r>
          </w:p>
          <w:p>
            <w:pPr>
              <w:spacing w:line="240" w:lineRule="auto"/>
              <w:rPr>
                <w:sz w:val="18"/>
                <w:szCs w:val="18"/>
              </w:rPr>
            </w:pPr>
            <w:r>
              <w:rPr>
                <w:sz w:val="18"/>
                <w:szCs w:val="18"/>
              </w:rPr>
              <w:t xml:space="preserve">CareerDevelopment and Employment and Career Guidance Section </w:t>
            </w:r>
          </w:p>
        </w:tc>
        <w:tc>
          <w:tcPr>
            <w:tcW w:w="495" w:type="dxa"/>
            <w:gridSpan w:val="2"/>
            <w:tcBorders>
              <w:top w:val="single" w:color="auto" w:sz="4" w:space="0"/>
              <w:left w:val="single" w:color="auto" w:sz="2" w:space="0"/>
              <w:bottom w:val="single" w:color="auto" w:sz="4" w:space="0"/>
              <w:right w:val="single" w:color="auto" w:sz="4" w:space="0"/>
            </w:tcBorders>
            <w:vAlign w:val="center"/>
          </w:tcPr>
          <w:p>
            <w:pPr>
              <w:spacing w:line="240" w:lineRule="auto"/>
              <w:jc w:val="center"/>
              <w:rPr>
                <w:sz w:val="18"/>
                <w:szCs w:val="18"/>
              </w:rPr>
            </w:pPr>
            <w:r>
              <w:rPr>
                <w:sz w:val="18"/>
                <w:szCs w:val="18"/>
              </w:rPr>
              <w:t>2</w:t>
            </w:r>
          </w:p>
        </w:tc>
        <w:tc>
          <w:tcPr>
            <w:tcW w:w="433" w:type="dxa"/>
            <w:gridSpan w:val="2"/>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18"/>
                <w:szCs w:val="18"/>
              </w:rPr>
            </w:pPr>
            <w:r>
              <w:rPr>
                <w:sz w:val="18"/>
                <w:szCs w:val="18"/>
              </w:rPr>
              <w:t>32</w:t>
            </w:r>
          </w:p>
        </w:tc>
        <w:tc>
          <w:tcPr>
            <w:tcW w:w="436" w:type="dxa"/>
            <w:gridSpan w:val="2"/>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18"/>
                <w:szCs w:val="18"/>
              </w:rPr>
            </w:pPr>
            <w:r>
              <w:rPr>
                <w:sz w:val="18"/>
                <w:szCs w:val="18"/>
              </w:rPr>
              <w:t>16</w:t>
            </w:r>
          </w:p>
        </w:tc>
        <w:tc>
          <w:tcPr>
            <w:tcW w:w="482" w:type="dxa"/>
            <w:gridSpan w:val="2"/>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18"/>
                <w:szCs w:val="18"/>
              </w:rPr>
            </w:pPr>
            <w:r>
              <w:rPr>
                <w:sz w:val="18"/>
                <w:szCs w:val="18"/>
              </w:rPr>
              <w:t>16</w:t>
            </w:r>
          </w:p>
        </w:tc>
        <w:tc>
          <w:tcPr>
            <w:tcW w:w="485"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18"/>
                <w:szCs w:val="18"/>
              </w:rPr>
            </w:pPr>
            <w:r>
              <w:rPr>
                <w:sz w:val="18"/>
                <w:szCs w:val="18"/>
              </w:rPr>
              <w:t>1-8</w:t>
            </w:r>
          </w:p>
        </w:tc>
        <w:tc>
          <w:tcPr>
            <w:tcW w:w="737" w:type="dxa"/>
            <w:tcBorders>
              <w:top w:val="single" w:color="auto" w:sz="4" w:space="0"/>
              <w:left w:val="single" w:color="auto" w:sz="4" w:space="0"/>
              <w:bottom w:val="single" w:color="auto" w:sz="4" w:space="0"/>
              <w:right w:val="single" w:color="auto" w:sz="4" w:space="0"/>
            </w:tcBorders>
            <w:vAlign w:val="center"/>
          </w:tcPr>
          <w:p>
            <w:pPr>
              <w:spacing w:line="240" w:lineRule="auto"/>
              <w:ind w:left="-120" w:leftChars="-50" w:right="-120" w:rightChars="-50"/>
              <w:jc w:val="center"/>
              <w:rPr>
                <w:sz w:val="18"/>
                <w:szCs w:val="18"/>
              </w:rPr>
            </w:pPr>
            <w:r>
              <w:rPr>
                <w:sz w:val="18"/>
                <w:szCs w:val="18"/>
              </w:rPr>
              <w:t>创新型</w:t>
            </w:r>
          </w:p>
          <w:p>
            <w:pPr>
              <w:spacing w:line="240" w:lineRule="auto"/>
              <w:ind w:left="-120" w:leftChars="-50" w:right="-120" w:rightChars="-50"/>
              <w:jc w:val="center"/>
              <w:rPr>
                <w:sz w:val="18"/>
                <w:szCs w:val="18"/>
              </w:rPr>
            </w:pPr>
            <w:r>
              <w:rPr>
                <w:sz w:val="18"/>
                <w:szCs w:val="18"/>
              </w:rPr>
              <w:t>专业型</w:t>
            </w:r>
          </w:p>
        </w:tc>
        <w:tc>
          <w:tcPr>
            <w:tcW w:w="532" w:type="dxa"/>
            <w:tcBorders>
              <w:top w:val="single" w:color="auto" w:sz="4" w:space="0"/>
              <w:left w:val="single" w:color="auto" w:sz="4" w:space="0"/>
              <w:bottom w:val="single" w:color="auto" w:sz="4" w:space="0"/>
              <w:right w:val="single" w:color="auto" w:sz="4" w:space="0"/>
            </w:tcBorders>
            <w:vAlign w:val="center"/>
          </w:tcPr>
          <w:p>
            <w:pPr>
              <w:spacing w:line="240" w:lineRule="auto"/>
              <w:rPr>
                <w:sz w:val="18"/>
                <w:szCs w:val="18"/>
              </w:rPr>
            </w:pPr>
            <w:r>
              <w:rPr>
                <w:sz w:val="18"/>
                <w:szCs w:val="18"/>
              </w:rPr>
              <w:t>学工</w:t>
            </w:r>
          </w:p>
        </w:tc>
        <w:tc>
          <w:tcPr>
            <w:tcW w:w="780" w:type="dxa"/>
            <w:gridSpan w:val="2"/>
            <w:vMerge w:val="continue"/>
            <w:tcBorders>
              <w:top w:val="single" w:color="auto" w:sz="4" w:space="0"/>
              <w:left w:val="single" w:color="auto" w:sz="4" w:space="0"/>
              <w:bottom w:val="single" w:color="auto" w:sz="4" w:space="0"/>
              <w:right w:val="single" w:color="auto" w:sz="2" w:space="0"/>
            </w:tcBorders>
            <w:vAlign w:val="center"/>
          </w:tcPr>
          <w:p>
            <w:pPr>
              <w:spacing w:line="240" w:lineRule="auto"/>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3" w:hRule="atLeast"/>
          <w:jc w:val="center"/>
        </w:trPr>
        <w:tc>
          <w:tcPr>
            <w:tcW w:w="5070" w:type="dxa"/>
            <w:gridSpan w:val="5"/>
            <w:tcBorders>
              <w:left w:val="single" w:color="auto" w:sz="2" w:space="0"/>
              <w:bottom w:val="single" w:color="auto" w:sz="2" w:space="0"/>
              <w:right w:val="single" w:color="auto" w:sz="2" w:space="0"/>
            </w:tcBorders>
            <w:vAlign w:val="center"/>
          </w:tcPr>
          <w:p>
            <w:pPr>
              <w:spacing w:line="240" w:lineRule="auto"/>
              <w:jc w:val="center"/>
              <w:rPr>
                <w:sz w:val="18"/>
                <w:szCs w:val="18"/>
              </w:rPr>
            </w:pPr>
            <w:r>
              <w:rPr>
                <w:sz w:val="18"/>
                <w:szCs w:val="18"/>
              </w:rPr>
              <w:t>合计学分</w:t>
            </w:r>
          </w:p>
        </w:tc>
        <w:tc>
          <w:tcPr>
            <w:tcW w:w="4380" w:type="dxa"/>
            <w:gridSpan w:val="13"/>
            <w:tcBorders>
              <w:left w:val="single" w:color="auto" w:sz="2" w:space="0"/>
              <w:bottom w:val="single" w:color="auto" w:sz="2" w:space="0"/>
              <w:right w:val="single" w:color="auto" w:sz="2" w:space="0"/>
            </w:tcBorders>
            <w:vAlign w:val="center"/>
          </w:tcPr>
          <w:p>
            <w:pPr>
              <w:spacing w:line="240" w:lineRule="auto"/>
              <w:jc w:val="center"/>
              <w:rPr>
                <w:sz w:val="18"/>
                <w:szCs w:val="18"/>
              </w:rPr>
            </w:pPr>
            <w:r>
              <w:rPr>
                <w:sz w:val="18"/>
                <w:szCs w:val="18"/>
              </w:rPr>
              <w:t>27.5</w:t>
            </w:r>
          </w:p>
        </w:tc>
      </w:tr>
    </w:tbl>
    <w:p>
      <w:pPr>
        <w:widowControl/>
        <w:jc w:val="left"/>
        <w:rPr>
          <w:szCs w:val="21"/>
        </w:rPr>
      </w:pPr>
    </w:p>
    <w:p>
      <w:pPr>
        <w:autoSpaceDE w:val="0"/>
        <w:autoSpaceDN w:val="0"/>
        <w:adjustRightInd w:val="0"/>
        <w:jc w:val="center"/>
        <w:rPr>
          <w:b/>
          <w:bCs/>
          <w:sz w:val="21"/>
          <w:szCs w:val="21"/>
        </w:rPr>
      </w:pPr>
      <w:r>
        <w:rPr>
          <w:b/>
          <w:bCs/>
          <w:sz w:val="21"/>
          <w:szCs w:val="21"/>
        </w:rPr>
        <w:t>附表4　文化产业管理专业创新型、专业型人才培养实践教学计划进程表</w:t>
      </w:r>
    </w:p>
    <w:tbl>
      <w:tblPr>
        <w:tblStyle w:val="17"/>
        <w:tblW w:w="90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31"/>
        <w:gridCol w:w="1253"/>
        <w:gridCol w:w="4080"/>
        <w:gridCol w:w="615"/>
        <w:gridCol w:w="735"/>
        <w:gridCol w:w="975"/>
        <w:gridCol w:w="8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tblHeader/>
        </w:trPr>
        <w:tc>
          <w:tcPr>
            <w:tcW w:w="531" w:type="dxa"/>
            <w:vAlign w:val="center"/>
          </w:tcPr>
          <w:p>
            <w:pPr>
              <w:spacing w:line="240" w:lineRule="auto"/>
              <w:ind w:right="-120" w:rightChars="-50"/>
              <w:jc w:val="center"/>
              <w:rPr>
                <w:b/>
                <w:bCs/>
                <w:spacing w:val="-8"/>
                <w:position w:val="-8"/>
                <w:sz w:val="18"/>
                <w:szCs w:val="18"/>
              </w:rPr>
            </w:pPr>
            <w:r>
              <w:rPr>
                <w:b/>
                <w:bCs/>
                <w:spacing w:val="-8"/>
                <w:position w:val="-8"/>
                <w:sz w:val="18"/>
                <w:szCs w:val="18"/>
              </w:rPr>
              <w:t>实践</w:t>
            </w:r>
          </w:p>
          <w:p>
            <w:pPr>
              <w:spacing w:line="240" w:lineRule="auto"/>
              <w:ind w:right="-120" w:rightChars="-50"/>
              <w:jc w:val="center"/>
              <w:rPr>
                <w:b/>
                <w:bCs/>
                <w:spacing w:val="-8"/>
                <w:position w:val="-8"/>
                <w:sz w:val="18"/>
                <w:szCs w:val="18"/>
              </w:rPr>
            </w:pPr>
            <w:r>
              <w:rPr>
                <w:b/>
                <w:bCs/>
                <w:spacing w:val="-8"/>
                <w:position w:val="-8"/>
                <w:sz w:val="18"/>
                <w:szCs w:val="18"/>
              </w:rPr>
              <w:t>层次</w:t>
            </w:r>
          </w:p>
        </w:tc>
        <w:tc>
          <w:tcPr>
            <w:tcW w:w="1253" w:type="dxa"/>
            <w:vAlign w:val="center"/>
          </w:tcPr>
          <w:p>
            <w:pPr>
              <w:spacing w:line="240" w:lineRule="auto"/>
              <w:ind w:right="-120" w:rightChars="-50"/>
              <w:jc w:val="center"/>
              <w:rPr>
                <w:b/>
                <w:bCs/>
                <w:spacing w:val="-8"/>
                <w:position w:val="-8"/>
                <w:sz w:val="18"/>
                <w:szCs w:val="18"/>
              </w:rPr>
            </w:pPr>
            <w:r>
              <w:rPr>
                <w:b/>
                <w:bCs/>
                <w:spacing w:val="-8"/>
                <w:position w:val="-8"/>
                <w:sz w:val="18"/>
                <w:szCs w:val="18"/>
              </w:rPr>
              <w:t>实践环节</w:t>
            </w:r>
          </w:p>
          <w:p>
            <w:pPr>
              <w:spacing w:line="240" w:lineRule="auto"/>
              <w:ind w:right="-120" w:rightChars="-50"/>
              <w:jc w:val="center"/>
              <w:rPr>
                <w:b/>
                <w:bCs/>
                <w:spacing w:val="-8"/>
                <w:position w:val="-8"/>
                <w:sz w:val="18"/>
                <w:szCs w:val="18"/>
              </w:rPr>
            </w:pPr>
            <w:r>
              <w:rPr>
                <w:b/>
                <w:bCs/>
                <w:spacing w:val="-8"/>
                <w:position w:val="-8"/>
                <w:sz w:val="18"/>
                <w:szCs w:val="18"/>
              </w:rPr>
              <w:t>代　  码</w:t>
            </w:r>
          </w:p>
        </w:tc>
        <w:tc>
          <w:tcPr>
            <w:tcW w:w="4080" w:type="dxa"/>
            <w:vAlign w:val="center"/>
          </w:tcPr>
          <w:p>
            <w:pPr>
              <w:spacing w:line="240" w:lineRule="auto"/>
              <w:ind w:right="-120" w:rightChars="-50"/>
              <w:jc w:val="center"/>
              <w:rPr>
                <w:b/>
                <w:bCs/>
                <w:spacing w:val="-8"/>
                <w:position w:val="-8"/>
                <w:sz w:val="18"/>
                <w:szCs w:val="18"/>
              </w:rPr>
            </w:pPr>
            <w:r>
              <w:rPr>
                <w:b/>
                <w:bCs/>
                <w:spacing w:val="-8"/>
                <w:position w:val="-8"/>
                <w:sz w:val="18"/>
                <w:szCs w:val="18"/>
              </w:rPr>
              <w:t>实践环节名称</w:t>
            </w:r>
          </w:p>
        </w:tc>
        <w:tc>
          <w:tcPr>
            <w:tcW w:w="615" w:type="dxa"/>
            <w:vAlign w:val="center"/>
          </w:tcPr>
          <w:p>
            <w:pPr>
              <w:spacing w:line="240" w:lineRule="auto"/>
              <w:jc w:val="center"/>
              <w:rPr>
                <w:b/>
                <w:bCs/>
                <w:spacing w:val="-8"/>
                <w:position w:val="-8"/>
                <w:sz w:val="18"/>
                <w:szCs w:val="18"/>
              </w:rPr>
            </w:pPr>
            <w:r>
              <w:rPr>
                <w:b/>
                <w:bCs/>
                <w:spacing w:val="-8"/>
                <w:position w:val="-8"/>
                <w:sz w:val="18"/>
                <w:szCs w:val="18"/>
              </w:rPr>
              <w:t>学分</w:t>
            </w:r>
          </w:p>
        </w:tc>
        <w:tc>
          <w:tcPr>
            <w:tcW w:w="735" w:type="dxa"/>
            <w:vAlign w:val="center"/>
          </w:tcPr>
          <w:p>
            <w:pPr>
              <w:spacing w:line="240" w:lineRule="auto"/>
              <w:jc w:val="center"/>
              <w:rPr>
                <w:b/>
                <w:bCs/>
                <w:spacing w:val="-8"/>
                <w:position w:val="-8"/>
                <w:sz w:val="18"/>
                <w:szCs w:val="18"/>
              </w:rPr>
            </w:pPr>
            <w:r>
              <w:rPr>
                <w:b/>
                <w:bCs/>
                <w:spacing w:val="-8"/>
                <w:position w:val="-8"/>
                <w:sz w:val="18"/>
                <w:szCs w:val="18"/>
              </w:rPr>
              <w:t>总周数</w:t>
            </w:r>
          </w:p>
        </w:tc>
        <w:tc>
          <w:tcPr>
            <w:tcW w:w="975" w:type="dxa"/>
            <w:vAlign w:val="center"/>
          </w:tcPr>
          <w:p>
            <w:pPr>
              <w:spacing w:line="240" w:lineRule="auto"/>
              <w:jc w:val="center"/>
              <w:rPr>
                <w:b/>
                <w:bCs/>
                <w:spacing w:val="-8"/>
                <w:position w:val="-8"/>
                <w:sz w:val="18"/>
                <w:szCs w:val="18"/>
              </w:rPr>
            </w:pPr>
            <w:r>
              <w:rPr>
                <w:b/>
                <w:bCs/>
                <w:spacing w:val="-8"/>
                <w:position w:val="-8"/>
                <w:sz w:val="18"/>
                <w:szCs w:val="18"/>
              </w:rPr>
              <w:t>开设学期</w:t>
            </w:r>
          </w:p>
        </w:tc>
        <w:tc>
          <w:tcPr>
            <w:tcW w:w="870" w:type="dxa"/>
            <w:vAlign w:val="center"/>
          </w:tcPr>
          <w:p>
            <w:pPr>
              <w:spacing w:line="240" w:lineRule="auto"/>
              <w:jc w:val="center"/>
              <w:rPr>
                <w:b/>
                <w:bCs/>
                <w:spacing w:val="-8"/>
                <w:position w:val="-8"/>
                <w:sz w:val="18"/>
                <w:szCs w:val="18"/>
              </w:rPr>
            </w:pPr>
            <w:r>
              <w:rPr>
                <w:b/>
                <w:bCs/>
                <w:spacing w:val="-8"/>
                <w:position w:val="-8"/>
                <w:sz w:val="18"/>
                <w:szCs w:val="18"/>
              </w:rPr>
              <w:t>开课学院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trPr>
        <w:tc>
          <w:tcPr>
            <w:tcW w:w="531" w:type="dxa"/>
            <w:vMerge w:val="restart"/>
            <w:vAlign w:val="center"/>
          </w:tcPr>
          <w:p>
            <w:pPr>
              <w:spacing w:line="240" w:lineRule="auto"/>
              <w:jc w:val="center"/>
              <w:rPr>
                <w:bCs/>
                <w:sz w:val="18"/>
                <w:szCs w:val="18"/>
              </w:rPr>
            </w:pPr>
            <w:r>
              <w:rPr>
                <w:bCs/>
                <w:sz w:val="18"/>
                <w:szCs w:val="18"/>
              </w:rPr>
              <w:t>基</w:t>
            </w:r>
          </w:p>
          <w:p>
            <w:pPr>
              <w:spacing w:line="240" w:lineRule="auto"/>
              <w:jc w:val="center"/>
              <w:rPr>
                <w:bCs/>
                <w:sz w:val="18"/>
                <w:szCs w:val="18"/>
              </w:rPr>
            </w:pPr>
            <w:r>
              <w:rPr>
                <w:bCs/>
                <w:sz w:val="18"/>
                <w:szCs w:val="18"/>
              </w:rPr>
              <w:t>础</w:t>
            </w:r>
          </w:p>
          <w:p>
            <w:pPr>
              <w:spacing w:line="240" w:lineRule="auto"/>
              <w:jc w:val="center"/>
              <w:rPr>
                <w:bCs/>
                <w:sz w:val="18"/>
                <w:szCs w:val="18"/>
              </w:rPr>
            </w:pPr>
            <w:r>
              <w:rPr>
                <w:bCs/>
                <w:sz w:val="18"/>
                <w:szCs w:val="18"/>
              </w:rPr>
              <w:t>实</w:t>
            </w:r>
          </w:p>
          <w:p>
            <w:pPr>
              <w:spacing w:line="240" w:lineRule="auto"/>
              <w:jc w:val="center"/>
              <w:rPr>
                <w:bCs/>
                <w:sz w:val="18"/>
                <w:szCs w:val="18"/>
              </w:rPr>
            </w:pPr>
            <w:r>
              <w:rPr>
                <w:bCs/>
                <w:sz w:val="18"/>
                <w:szCs w:val="18"/>
              </w:rPr>
              <w:t>践</w:t>
            </w:r>
          </w:p>
        </w:tc>
        <w:tc>
          <w:tcPr>
            <w:tcW w:w="1253" w:type="dxa"/>
            <w:vAlign w:val="center"/>
          </w:tcPr>
          <w:p>
            <w:pPr>
              <w:spacing w:line="240" w:lineRule="auto"/>
              <w:jc w:val="center"/>
              <w:rPr>
                <w:sz w:val="18"/>
                <w:szCs w:val="18"/>
              </w:rPr>
            </w:pPr>
            <w:r>
              <w:rPr>
                <w:sz w:val="18"/>
                <w:szCs w:val="18"/>
              </w:rPr>
              <w:t>BS110001</w:t>
            </w:r>
          </w:p>
        </w:tc>
        <w:tc>
          <w:tcPr>
            <w:tcW w:w="4080" w:type="dxa"/>
            <w:vAlign w:val="center"/>
          </w:tcPr>
          <w:p>
            <w:pPr>
              <w:spacing w:line="240" w:lineRule="auto"/>
              <w:ind w:left="72" w:leftChars="30" w:right="72" w:rightChars="30"/>
              <w:rPr>
                <w:sz w:val="18"/>
                <w:szCs w:val="18"/>
              </w:rPr>
            </w:pPr>
            <w:r>
              <w:rPr>
                <w:sz w:val="18"/>
                <w:szCs w:val="18"/>
              </w:rPr>
              <w:t>军事理论及训练</w:t>
            </w:r>
          </w:p>
          <w:p>
            <w:pPr>
              <w:spacing w:line="240" w:lineRule="auto"/>
              <w:ind w:left="72" w:leftChars="30" w:right="72" w:rightChars="30"/>
              <w:rPr>
                <w:bCs/>
                <w:sz w:val="18"/>
                <w:szCs w:val="18"/>
              </w:rPr>
            </w:pPr>
            <w:r>
              <w:rPr>
                <w:color w:val="000000"/>
                <w:sz w:val="18"/>
                <w:szCs w:val="18"/>
              </w:rPr>
              <w:t>Military Theory and Training</w:t>
            </w:r>
          </w:p>
        </w:tc>
        <w:tc>
          <w:tcPr>
            <w:tcW w:w="615" w:type="dxa"/>
            <w:vAlign w:val="center"/>
          </w:tcPr>
          <w:p>
            <w:pPr>
              <w:spacing w:line="240" w:lineRule="auto"/>
              <w:jc w:val="center"/>
              <w:rPr>
                <w:bCs/>
                <w:sz w:val="18"/>
                <w:szCs w:val="18"/>
              </w:rPr>
            </w:pPr>
            <w:r>
              <w:rPr>
                <w:bCs/>
                <w:sz w:val="18"/>
                <w:szCs w:val="18"/>
              </w:rPr>
              <w:t>1</w:t>
            </w:r>
          </w:p>
        </w:tc>
        <w:tc>
          <w:tcPr>
            <w:tcW w:w="735" w:type="dxa"/>
            <w:vAlign w:val="center"/>
          </w:tcPr>
          <w:p>
            <w:pPr>
              <w:spacing w:line="240" w:lineRule="auto"/>
              <w:jc w:val="center"/>
              <w:rPr>
                <w:bCs/>
                <w:sz w:val="18"/>
                <w:szCs w:val="18"/>
              </w:rPr>
            </w:pPr>
            <w:r>
              <w:rPr>
                <w:bCs/>
                <w:sz w:val="18"/>
                <w:szCs w:val="18"/>
              </w:rPr>
              <w:t>2</w:t>
            </w:r>
          </w:p>
        </w:tc>
        <w:tc>
          <w:tcPr>
            <w:tcW w:w="975" w:type="dxa"/>
            <w:vAlign w:val="center"/>
          </w:tcPr>
          <w:p>
            <w:pPr>
              <w:spacing w:line="240" w:lineRule="auto"/>
              <w:jc w:val="center"/>
              <w:rPr>
                <w:bCs/>
                <w:sz w:val="18"/>
                <w:szCs w:val="18"/>
              </w:rPr>
            </w:pPr>
            <w:r>
              <w:rPr>
                <w:bCs/>
                <w:sz w:val="18"/>
                <w:szCs w:val="18"/>
              </w:rPr>
              <w:t>1</w:t>
            </w:r>
          </w:p>
        </w:tc>
        <w:tc>
          <w:tcPr>
            <w:tcW w:w="870" w:type="dxa"/>
            <w:vAlign w:val="center"/>
          </w:tcPr>
          <w:p>
            <w:pPr>
              <w:spacing w:line="240" w:lineRule="auto"/>
              <w:jc w:val="center"/>
              <w:rPr>
                <w:bCs/>
                <w:sz w:val="18"/>
                <w:szCs w:val="18"/>
              </w:rPr>
            </w:pPr>
            <w:r>
              <w:rPr>
                <w:bCs/>
                <w:sz w:val="18"/>
                <w:szCs w:val="18"/>
              </w:rPr>
              <w:t>学工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trPr>
        <w:tc>
          <w:tcPr>
            <w:tcW w:w="531" w:type="dxa"/>
            <w:vMerge w:val="continue"/>
            <w:vAlign w:val="center"/>
          </w:tcPr>
          <w:p>
            <w:pPr>
              <w:spacing w:line="240" w:lineRule="auto"/>
              <w:jc w:val="center"/>
              <w:rPr>
                <w:bCs/>
                <w:sz w:val="18"/>
                <w:szCs w:val="18"/>
              </w:rPr>
            </w:pPr>
          </w:p>
        </w:tc>
        <w:tc>
          <w:tcPr>
            <w:tcW w:w="1253" w:type="dxa"/>
            <w:vAlign w:val="center"/>
          </w:tcPr>
          <w:p>
            <w:pPr>
              <w:spacing w:line="240" w:lineRule="auto"/>
              <w:jc w:val="center"/>
              <w:rPr>
                <w:sz w:val="18"/>
                <w:szCs w:val="18"/>
              </w:rPr>
            </w:pPr>
            <w:r>
              <w:rPr>
                <w:sz w:val="18"/>
                <w:szCs w:val="18"/>
              </w:rPr>
              <w:t>BS160009</w:t>
            </w:r>
          </w:p>
        </w:tc>
        <w:tc>
          <w:tcPr>
            <w:tcW w:w="4080" w:type="dxa"/>
            <w:vAlign w:val="center"/>
          </w:tcPr>
          <w:p>
            <w:pPr>
              <w:spacing w:line="240" w:lineRule="auto"/>
              <w:ind w:left="72" w:leftChars="30" w:right="72" w:rightChars="30"/>
              <w:rPr>
                <w:sz w:val="18"/>
                <w:szCs w:val="18"/>
              </w:rPr>
            </w:pPr>
            <w:r>
              <w:rPr>
                <w:sz w:val="18"/>
                <w:szCs w:val="18"/>
              </w:rPr>
              <w:t>劳动</w:t>
            </w:r>
          </w:p>
          <w:p>
            <w:pPr>
              <w:spacing w:line="240" w:lineRule="auto"/>
              <w:ind w:left="72" w:leftChars="30" w:right="72" w:rightChars="30"/>
              <w:rPr>
                <w:bCs/>
                <w:sz w:val="18"/>
                <w:szCs w:val="18"/>
              </w:rPr>
            </w:pPr>
            <w:r>
              <w:rPr>
                <w:color w:val="000000"/>
                <w:sz w:val="18"/>
                <w:szCs w:val="18"/>
              </w:rPr>
              <w:t>Field Work</w:t>
            </w:r>
          </w:p>
        </w:tc>
        <w:tc>
          <w:tcPr>
            <w:tcW w:w="615" w:type="dxa"/>
            <w:vAlign w:val="center"/>
          </w:tcPr>
          <w:p>
            <w:pPr>
              <w:spacing w:line="240" w:lineRule="auto"/>
              <w:jc w:val="center"/>
              <w:rPr>
                <w:bCs/>
                <w:sz w:val="18"/>
                <w:szCs w:val="18"/>
              </w:rPr>
            </w:pPr>
            <w:r>
              <w:rPr>
                <w:bCs/>
                <w:sz w:val="18"/>
                <w:szCs w:val="18"/>
              </w:rPr>
              <w:t>1</w:t>
            </w:r>
          </w:p>
        </w:tc>
        <w:tc>
          <w:tcPr>
            <w:tcW w:w="735" w:type="dxa"/>
            <w:vAlign w:val="center"/>
          </w:tcPr>
          <w:p>
            <w:pPr>
              <w:spacing w:line="240" w:lineRule="auto"/>
              <w:jc w:val="center"/>
              <w:rPr>
                <w:bCs/>
                <w:sz w:val="18"/>
                <w:szCs w:val="18"/>
              </w:rPr>
            </w:pPr>
            <w:r>
              <w:rPr>
                <w:bCs/>
                <w:sz w:val="18"/>
                <w:szCs w:val="18"/>
              </w:rPr>
              <w:t>1</w:t>
            </w:r>
          </w:p>
        </w:tc>
        <w:tc>
          <w:tcPr>
            <w:tcW w:w="975" w:type="dxa"/>
            <w:vAlign w:val="center"/>
          </w:tcPr>
          <w:p>
            <w:pPr>
              <w:spacing w:line="240" w:lineRule="auto"/>
              <w:jc w:val="center"/>
              <w:rPr>
                <w:bCs/>
                <w:sz w:val="18"/>
                <w:szCs w:val="18"/>
              </w:rPr>
            </w:pPr>
          </w:p>
        </w:tc>
        <w:tc>
          <w:tcPr>
            <w:tcW w:w="870" w:type="dxa"/>
            <w:vAlign w:val="center"/>
          </w:tcPr>
          <w:p>
            <w:pPr>
              <w:spacing w:line="240" w:lineRule="auto"/>
              <w:jc w:val="center"/>
              <w:rPr>
                <w:bCs/>
                <w:sz w:val="18"/>
                <w:szCs w:val="18"/>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6" w:hRule="atLeast"/>
        </w:trPr>
        <w:tc>
          <w:tcPr>
            <w:tcW w:w="531" w:type="dxa"/>
            <w:vMerge w:val="continue"/>
            <w:vAlign w:val="center"/>
          </w:tcPr>
          <w:p>
            <w:pPr>
              <w:spacing w:line="240" w:lineRule="auto"/>
              <w:jc w:val="center"/>
              <w:rPr>
                <w:bCs/>
                <w:sz w:val="18"/>
                <w:szCs w:val="18"/>
              </w:rPr>
            </w:pPr>
          </w:p>
        </w:tc>
        <w:tc>
          <w:tcPr>
            <w:tcW w:w="1253" w:type="dxa"/>
            <w:vMerge w:val="restart"/>
            <w:vAlign w:val="center"/>
          </w:tcPr>
          <w:p>
            <w:pPr>
              <w:spacing w:line="240" w:lineRule="auto"/>
              <w:jc w:val="center"/>
              <w:rPr>
                <w:sz w:val="18"/>
                <w:szCs w:val="18"/>
              </w:rPr>
            </w:pPr>
            <w:r>
              <w:rPr>
                <w:sz w:val="18"/>
                <w:szCs w:val="18"/>
              </w:rPr>
              <w:t>BS108001</w:t>
            </w:r>
          </w:p>
        </w:tc>
        <w:tc>
          <w:tcPr>
            <w:tcW w:w="4080" w:type="dxa"/>
            <w:vAlign w:val="center"/>
          </w:tcPr>
          <w:p>
            <w:pPr>
              <w:spacing w:line="240" w:lineRule="auto"/>
              <w:ind w:left="72" w:leftChars="30" w:right="72" w:rightChars="30"/>
              <w:rPr>
                <w:sz w:val="18"/>
                <w:szCs w:val="18"/>
              </w:rPr>
            </w:pPr>
            <w:r>
              <w:rPr>
                <w:sz w:val="18"/>
                <w:szCs w:val="18"/>
              </w:rPr>
              <w:t>体育健康与标准测试1</w:t>
            </w:r>
          </w:p>
          <w:p>
            <w:pPr>
              <w:spacing w:line="240" w:lineRule="auto"/>
              <w:ind w:left="72" w:leftChars="30" w:right="72" w:rightChars="30"/>
              <w:rPr>
                <w:bCs/>
                <w:sz w:val="18"/>
                <w:szCs w:val="18"/>
              </w:rPr>
            </w:pPr>
            <w:r>
              <w:rPr>
                <w:color w:val="000000"/>
                <w:sz w:val="18"/>
                <w:szCs w:val="18"/>
              </w:rPr>
              <w:t>Sports Health and Standard Tests1</w:t>
            </w:r>
          </w:p>
        </w:tc>
        <w:tc>
          <w:tcPr>
            <w:tcW w:w="615" w:type="dxa"/>
            <w:vAlign w:val="center"/>
          </w:tcPr>
          <w:p>
            <w:pPr>
              <w:spacing w:line="240" w:lineRule="auto"/>
              <w:jc w:val="center"/>
              <w:rPr>
                <w:bCs/>
                <w:sz w:val="18"/>
                <w:szCs w:val="18"/>
              </w:rPr>
            </w:pPr>
            <w:r>
              <w:rPr>
                <w:bCs/>
                <w:sz w:val="18"/>
                <w:szCs w:val="18"/>
              </w:rPr>
              <w:t>0.1</w:t>
            </w:r>
          </w:p>
        </w:tc>
        <w:tc>
          <w:tcPr>
            <w:tcW w:w="735" w:type="dxa"/>
            <w:vAlign w:val="center"/>
          </w:tcPr>
          <w:p>
            <w:pPr>
              <w:spacing w:line="240" w:lineRule="auto"/>
              <w:jc w:val="center"/>
              <w:rPr>
                <w:bCs/>
                <w:sz w:val="18"/>
                <w:szCs w:val="18"/>
              </w:rPr>
            </w:pPr>
            <w:r>
              <w:rPr>
                <w:bCs/>
                <w:sz w:val="18"/>
                <w:szCs w:val="18"/>
              </w:rPr>
              <w:t>0.1</w:t>
            </w:r>
          </w:p>
        </w:tc>
        <w:tc>
          <w:tcPr>
            <w:tcW w:w="975" w:type="dxa"/>
            <w:vAlign w:val="center"/>
          </w:tcPr>
          <w:p>
            <w:pPr>
              <w:spacing w:line="240" w:lineRule="auto"/>
              <w:jc w:val="center"/>
              <w:rPr>
                <w:bCs/>
                <w:sz w:val="18"/>
                <w:szCs w:val="18"/>
              </w:rPr>
            </w:pPr>
            <w:r>
              <w:rPr>
                <w:bCs/>
                <w:sz w:val="18"/>
                <w:szCs w:val="18"/>
              </w:rPr>
              <w:t>4</w:t>
            </w:r>
          </w:p>
        </w:tc>
        <w:tc>
          <w:tcPr>
            <w:tcW w:w="870" w:type="dxa"/>
            <w:vAlign w:val="center"/>
          </w:tcPr>
          <w:p>
            <w:pPr>
              <w:spacing w:line="240" w:lineRule="auto"/>
              <w:jc w:val="center"/>
              <w:rPr>
                <w:bCs/>
                <w:sz w:val="18"/>
                <w:szCs w:val="18"/>
              </w:rPr>
            </w:pPr>
            <w:r>
              <w:rPr>
                <w:bCs/>
                <w:sz w:val="18"/>
                <w:szCs w:val="18"/>
              </w:rPr>
              <w:t>体育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20" w:hRule="atLeast"/>
        </w:trPr>
        <w:tc>
          <w:tcPr>
            <w:tcW w:w="531" w:type="dxa"/>
            <w:vMerge w:val="continue"/>
            <w:vAlign w:val="center"/>
          </w:tcPr>
          <w:p>
            <w:pPr>
              <w:spacing w:line="240" w:lineRule="auto"/>
              <w:jc w:val="center"/>
              <w:rPr>
                <w:bCs/>
                <w:sz w:val="18"/>
                <w:szCs w:val="18"/>
              </w:rPr>
            </w:pPr>
          </w:p>
        </w:tc>
        <w:tc>
          <w:tcPr>
            <w:tcW w:w="1253" w:type="dxa"/>
            <w:vMerge w:val="continue"/>
            <w:vAlign w:val="center"/>
          </w:tcPr>
          <w:p>
            <w:pPr>
              <w:spacing w:line="240" w:lineRule="auto"/>
              <w:jc w:val="center"/>
              <w:rPr>
                <w:sz w:val="18"/>
                <w:szCs w:val="18"/>
              </w:rPr>
            </w:pPr>
          </w:p>
        </w:tc>
        <w:tc>
          <w:tcPr>
            <w:tcW w:w="4080" w:type="dxa"/>
            <w:vAlign w:val="center"/>
          </w:tcPr>
          <w:p>
            <w:pPr>
              <w:spacing w:line="240" w:lineRule="auto"/>
              <w:ind w:left="72" w:leftChars="30" w:right="72" w:rightChars="30"/>
              <w:rPr>
                <w:sz w:val="18"/>
                <w:szCs w:val="18"/>
              </w:rPr>
            </w:pPr>
            <w:r>
              <w:rPr>
                <w:sz w:val="18"/>
                <w:szCs w:val="18"/>
              </w:rPr>
              <w:t>体育健康与标准测试2</w:t>
            </w:r>
          </w:p>
          <w:p>
            <w:pPr>
              <w:spacing w:line="240" w:lineRule="auto"/>
              <w:ind w:left="72" w:leftChars="30" w:right="72" w:rightChars="30"/>
              <w:rPr>
                <w:sz w:val="18"/>
                <w:szCs w:val="18"/>
              </w:rPr>
            </w:pPr>
            <w:r>
              <w:rPr>
                <w:sz w:val="18"/>
                <w:szCs w:val="18"/>
              </w:rPr>
              <w:t>Sports Health and Standard Tests2</w:t>
            </w:r>
          </w:p>
        </w:tc>
        <w:tc>
          <w:tcPr>
            <w:tcW w:w="615" w:type="dxa"/>
            <w:vAlign w:val="center"/>
          </w:tcPr>
          <w:p>
            <w:pPr>
              <w:spacing w:line="240" w:lineRule="auto"/>
              <w:jc w:val="center"/>
              <w:rPr>
                <w:bCs/>
                <w:sz w:val="18"/>
                <w:szCs w:val="18"/>
              </w:rPr>
            </w:pPr>
            <w:r>
              <w:rPr>
                <w:bCs/>
                <w:sz w:val="18"/>
                <w:szCs w:val="18"/>
              </w:rPr>
              <w:t>0.2</w:t>
            </w:r>
          </w:p>
        </w:tc>
        <w:tc>
          <w:tcPr>
            <w:tcW w:w="735" w:type="dxa"/>
            <w:vAlign w:val="center"/>
          </w:tcPr>
          <w:p>
            <w:pPr>
              <w:spacing w:line="240" w:lineRule="auto"/>
              <w:jc w:val="center"/>
              <w:rPr>
                <w:bCs/>
                <w:sz w:val="18"/>
                <w:szCs w:val="18"/>
              </w:rPr>
            </w:pPr>
            <w:r>
              <w:rPr>
                <w:bCs/>
                <w:sz w:val="18"/>
                <w:szCs w:val="18"/>
              </w:rPr>
              <w:t>0.2</w:t>
            </w:r>
          </w:p>
        </w:tc>
        <w:tc>
          <w:tcPr>
            <w:tcW w:w="975" w:type="dxa"/>
            <w:vAlign w:val="center"/>
          </w:tcPr>
          <w:p>
            <w:pPr>
              <w:spacing w:line="240" w:lineRule="auto"/>
              <w:jc w:val="center"/>
              <w:rPr>
                <w:bCs/>
                <w:sz w:val="18"/>
                <w:szCs w:val="18"/>
              </w:rPr>
            </w:pPr>
            <w:r>
              <w:rPr>
                <w:bCs/>
                <w:sz w:val="18"/>
                <w:szCs w:val="18"/>
              </w:rPr>
              <w:t>6</w:t>
            </w:r>
          </w:p>
        </w:tc>
        <w:tc>
          <w:tcPr>
            <w:tcW w:w="870" w:type="dxa"/>
            <w:vAlign w:val="center"/>
          </w:tcPr>
          <w:p>
            <w:pPr>
              <w:spacing w:line="240" w:lineRule="auto"/>
              <w:jc w:val="center"/>
              <w:rPr>
                <w:bCs/>
                <w:sz w:val="18"/>
                <w:szCs w:val="18"/>
              </w:rPr>
            </w:pPr>
            <w:r>
              <w:rPr>
                <w:bCs/>
                <w:sz w:val="18"/>
                <w:szCs w:val="18"/>
              </w:rPr>
              <w:t>体育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05" w:hRule="atLeast"/>
        </w:trPr>
        <w:tc>
          <w:tcPr>
            <w:tcW w:w="531" w:type="dxa"/>
            <w:vMerge w:val="continue"/>
            <w:vAlign w:val="center"/>
          </w:tcPr>
          <w:p>
            <w:pPr>
              <w:spacing w:line="240" w:lineRule="auto"/>
              <w:jc w:val="center"/>
              <w:rPr>
                <w:bCs/>
                <w:sz w:val="18"/>
                <w:szCs w:val="18"/>
              </w:rPr>
            </w:pPr>
          </w:p>
        </w:tc>
        <w:tc>
          <w:tcPr>
            <w:tcW w:w="1253" w:type="dxa"/>
            <w:vMerge w:val="continue"/>
            <w:vAlign w:val="center"/>
          </w:tcPr>
          <w:p>
            <w:pPr>
              <w:spacing w:line="240" w:lineRule="auto"/>
              <w:jc w:val="center"/>
              <w:rPr>
                <w:sz w:val="18"/>
                <w:szCs w:val="18"/>
              </w:rPr>
            </w:pPr>
          </w:p>
        </w:tc>
        <w:tc>
          <w:tcPr>
            <w:tcW w:w="4080" w:type="dxa"/>
            <w:vAlign w:val="center"/>
          </w:tcPr>
          <w:p>
            <w:pPr>
              <w:spacing w:line="240" w:lineRule="auto"/>
              <w:ind w:left="72" w:leftChars="30" w:right="72" w:rightChars="30"/>
              <w:rPr>
                <w:sz w:val="18"/>
                <w:szCs w:val="18"/>
              </w:rPr>
            </w:pPr>
            <w:r>
              <w:rPr>
                <w:sz w:val="18"/>
                <w:szCs w:val="18"/>
              </w:rPr>
              <w:t>体育健康与标准测试3</w:t>
            </w:r>
          </w:p>
          <w:p>
            <w:pPr>
              <w:spacing w:line="240" w:lineRule="auto"/>
              <w:ind w:left="72" w:leftChars="30" w:right="72" w:rightChars="30"/>
              <w:rPr>
                <w:sz w:val="18"/>
                <w:szCs w:val="18"/>
              </w:rPr>
            </w:pPr>
            <w:r>
              <w:rPr>
                <w:sz w:val="18"/>
                <w:szCs w:val="18"/>
              </w:rPr>
              <w:t>Sports Health and Standard Tests3</w:t>
            </w:r>
          </w:p>
        </w:tc>
        <w:tc>
          <w:tcPr>
            <w:tcW w:w="615" w:type="dxa"/>
            <w:vAlign w:val="center"/>
          </w:tcPr>
          <w:p>
            <w:pPr>
              <w:spacing w:line="240" w:lineRule="auto"/>
              <w:jc w:val="center"/>
              <w:rPr>
                <w:bCs/>
                <w:sz w:val="18"/>
                <w:szCs w:val="18"/>
              </w:rPr>
            </w:pPr>
            <w:r>
              <w:rPr>
                <w:bCs/>
                <w:sz w:val="18"/>
                <w:szCs w:val="18"/>
              </w:rPr>
              <w:t>0.2</w:t>
            </w:r>
          </w:p>
        </w:tc>
        <w:tc>
          <w:tcPr>
            <w:tcW w:w="735" w:type="dxa"/>
            <w:vAlign w:val="center"/>
          </w:tcPr>
          <w:p>
            <w:pPr>
              <w:spacing w:line="240" w:lineRule="auto"/>
              <w:jc w:val="center"/>
              <w:rPr>
                <w:bCs/>
                <w:sz w:val="18"/>
                <w:szCs w:val="18"/>
              </w:rPr>
            </w:pPr>
            <w:r>
              <w:rPr>
                <w:bCs/>
                <w:sz w:val="18"/>
                <w:szCs w:val="18"/>
              </w:rPr>
              <w:t>0.2</w:t>
            </w:r>
          </w:p>
        </w:tc>
        <w:tc>
          <w:tcPr>
            <w:tcW w:w="975" w:type="dxa"/>
            <w:vAlign w:val="center"/>
          </w:tcPr>
          <w:p>
            <w:pPr>
              <w:spacing w:line="240" w:lineRule="auto"/>
              <w:jc w:val="center"/>
              <w:rPr>
                <w:bCs/>
                <w:sz w:val="18"/>
                <w:szCs w:val="18"/>
              </w:rPr>
            </w:pPr>
            <w:r>
              <w:rPr>
                <w:bCs/>
                <w:sz w:val="18"/>
                <w:szCs w:val="18"/>
              </w:rPr>
              <w:t>7</w:t>
            </w:r>
          </w:p>
        </w:tc>
        <w:tc>
          <w:tcPr>
            <w:tcW w:w="870" w:type="dxa"/>
            <w:vAlign w:val="center"/>
          </w:tcPr>
          <w:p>
            <w:pPr>
              <w:spacing w:line="240" w:lineRule="auto"/>
              <w:jc w:val="center"/>
              <w:rPr>
                <w:bCs/>
                <w:sz w:val="18"/>
                <w:szCs w:val="18"/>
              </w:rPr>
            </w:pPr>
            <w:r>
              <w:rPr>
                <w:bCs/>
                <w:sz w:val="18"/>
                <w:szCs w:val="18"/>
              </w:rPr>
              <w:t>体育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trPr>
        <w:tc>
          <w:tcPr>
            <w:tcW w:w="531" w:type="dxa"/>
            <w:vMerge w:val="continue"/>
            <w:vAlign w:val="center"/>
          </w:tcPr>
          <w:p>
            <w:pPr>
              <w:spacing w:line="240" w:lineRule="auto"/>
              <w:jc w:val="center"/>
              <w:rPr>
                <w:bCs/>
                <w:sz w:val="18"/>
                <w:szCs w:val="18"/>
              </w:rPr>
            </w:pPr>
          </w:p>
        </w:tc>
        <w:tc>
          <w:tcPr>
            <w:tcW w:w="1253" w:type="dxa"/>
            <w:vAlign w:val="center"/>
          </w:tcPr>
          <w:p>
            <w:pPr>
              <w:spacing w:line="240" w:lineRule="auto"/>
              <w:jc w:val="center"/>
              <w:rPr>
                <w:sz w:val="18"/>
                <w:szCs w:val="18"/>
              </w:rPr>
            </w:pPr>
          </w:p>
        </w:tc>
        <w:tc>
          <w:tcPr>
            <w:tcW w:w="4080" w:type="dxa"/>
            <w:vAlign w:val="center"/>
          </w:tcPr>
          <w:p>
            <w:pPr>
              <w:spacing w:line="240" w:lineRule="auto"/>
              <w:ind w:left="72" w:leftChars="30" w:right="72" w:rightChars="30"/>
              <w:rPr>
                <w:sz w:val="18"/>
                <w:szCs w:val="18"/>
              </w:rPr>
            </w:pPr>
            <w:r>
              <w:rPr>
                <w:sz w:val="18"/>
                <w:szCs w:val="18"/>
              </w:rPr>
              <w:t>思政经典阅读与讨论</w:t>
            </w:r>
          </w:p>
          <w:p>
            <w:pPr>
              <w:spacing w:line="240" w:lineRule="auto"/>
              <w:ind w:left="72" w:leftChars="30" w:right="72" w:rightChars="30"/>
              <w:rPr>
                <w:bCs/>
                <w:sz w:val="18"/>
                <w:szCs w:val="18"/>
              </w:rPr>
            </w:pPr>
            <w:r>
              <w:rPr>
                <w:color w:val="000000"/>
                <w:sz w:val="18"/>
                <w:szCs w:val="18"/>
              </w:rPr>
              <w:t>Ideological and Political Classical Reading and Discussion</w:t>
            </w:r>
          </w:p>
        </w:tc>
        <w:tc>
          <w:tcPr>
            <w:tcW w:w="615" w:type="dxa"/>
            <w:vAlign w:val="center"/>
          </w:tcPr>
          <w:p>
            <w:pPr>
              <w:spacing w:line="240" w:lineRule="auto"/>
              <w:jc w:val="center"/>
              <w:rPr>
                <w:bCs/>
                <w:sz w:val="18"/>
                <w:szCs w:val="18"/>
              </w:rPr>
            </w:pPr>
            <w:r>
              <w:rPr>
                <w:bCs/>
                <w:sz w:val="18"/>
                <w:szCs w:val="18"/>
              </w:rPr>
              <w:t>5</w:t>
            </w:r>
          </w:p>
        </w:tc>
        <w:tc>
          <w:tcPr>
            <w:tcW w:w="735" w:type="dxa"/>
            <w:vAlign w:val="center"/>
          </w:tcPr>
          <w:p>
            <w:pPr>
              <w:spacing w:line="240" w:lineRule="auto"/>
              <w:jc w:val="center"/>
              <w:rPr>
                <w:bCs/>
                <w:sz w:val="18"/>
                <w:szCs w:val="18"/>
              </w:rPr>
            </w:pPr>
            <w:r>
              <w:rPr>
                <w:bCs/>
                <w:sz w:val="18"/>
                <w:szCs w:val="18"/>
              </w:rPr>
              <w:t>5</w:t>
            </w:r>
          </w:p>
        </w:tc>
        <w:tc>
          <w:tcPr>
            <w:tcW w:w="975" w:type="dxa"/>
            <w:vAlign w:val="center"/>
          </w:tcPr>
          <w:p>
            <w:pPr>
              <w:spacing w:line="240" w:lineRule="auto"/>
              <w:jc w:val="center"/>
              <w:rPr>
                <w:bCs/>
                <w:sz w:val="18"/>
                <w:szCs w:val="18"/>
              </w:rPr>
            </w:pPr>
            <w:r>
              <w:rPr>
                <w:bCs/>
                <w:sz w:val="18"/>
                <w:szCs w:val="18"/>
              </w:rPr>
              <w:t>4</w:t>
            </w:r>
          </w:p>
        </w:tc>
        <w:tc>
          <w:tcPr>
            <w:tcW w:w="870" w:type="dxa"/>
            <w:vAlign w:val="center"/>
          </w:tcPr>
          <w:p>
            <w:pPr>
              <w:spacing w:line="240" w:lineRule="auto"/>
              <w:jc w:val="center"/>
              <w:rPr>
                <w:bCs/>
                <w:sz w:val="18"/>
                <w:szCs w:val="18"/>
              </w:rPr>
            </w:pPr>
            <w:r>
              <w:rPr>
                <w:bCs/>
                <w:sz w:val="18"/>
                <w:szCs w:val="18"/>
              </w:rPr>
              <w:t>马列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trPr>
        <w:tc>
          <w:tcPr>
            <w:tcW w:w="531" w:type="dxa"/>
            <w:vMerge w:val="continue"/>
            <w:vAlign w:val="center"/>
          </w:tcPr>
          <w:p>
            <w:pPr>
              <w:spacing w:line="240" w:lineRule="auto"/>
              <w:jc w:val="center"/>
              <w:rPr>
                <w:bCs/>
                <w:sz w:val="18"/>
                <w:szCs w:val="18"/>
              </w:rPr>
            </w:pPr>
          </w:p>
        </w:tc>
        <w:tc>
          <w:tcPr>
            <w:tcW w:w="1253" w:type="dxa"/>
            <w:vAlign w:val="center"/>
          </w:tcPr>
          <w:p>
            <w:pPr>
              <w:spacing w:line="240" w:lineRule="auto"/>
              <w:jc w:val="center"/>
              <w:rPr>
                <w:sz w:val="18"/>
                <w:szCs w:val="18"/>
              </w:rPr>
            </w:pPr>
            <w:r>
              <w:rPr>
                <w:sz w:val="18"/>
                <w:szCs w:val="18"/>
              </w:rPr>
              <w:t>BS160010-11</w:t>
            </w:r>
          </w:p>
        </w:tc>
        <w:tc>
          <w:tcPr>
            <w:tcW w:w="4080" w:type="dxa"/>
            <w:vAlign w:val="center"/>
          </w:tcPr>
          <w:p>
            <w:pPr>
              <w:spacing w:line="240" w:lineRule="auto"/>
              <w:ind w:left="72" w:leftChars="30" w:right="72" w:rightChars="30"/>
              <w:rPr>
                <w:sz w:val="18"/>
                <w:szCs w:val="18"/>
              </w:rPr>
            </w:pPr>
            <w:r>
              <w:rPr>
                <w:sz w:val="18"/>
                <w:szCs w:val="18"/>
              </w:rPr>
              <w:t>社会实践与调查报告</w:t>
            </w:r>
          </w:p>
          <w:p>
            <w:pPr>
              <w:spacing w:line="240" w:lineRule="auto"/>
              <w:ind w:left="72" w:leftChars="30" w:right="72" w:rightChars="30"/>
              <w:rPr>
                <w:bCs/>
                <w:sz w:val="18"/>
                <w:szCs w:val="18"/>
              </w:rPr>
            </w:pPr>
            <w:r>
              <w:rPr>
                <w:color w:val="000000"/>
                <w:sz w:val="18"/>
                <w:szCs w:val="18"/>
              </w:rPr>
              <w:t>Social Practice and Survey Report</w:t>
            </w:r>
          </w:p>
        </w:tc>
        <w:tc>
          <w:tcPr>
            <w:tcW w:w="615" w:type="dxa"/>
            <w:vAlign w:val="center"/>
          </w:tcPr>
          <w:p>
            <w:pPr>
              <w:spacing w:line="240" w:lineRule="auto"/>
              <w:jc w:val="center"/>
              <w:rPr>
                <w:bCs/>
                <w:sz w:val="18"/>
                <w:szCs w:val="18"/>
              </w:rPr>
            </w:pPr>
            <w:r>
              <w:rPr>
                <w:bCs/>
                <w:sz w:val="18"/>
                <w:szCs w:val="18"/>
              </w:rPr>
              <w:t>2</w:t>
            </w:r>
          </w:p>
        </w:tc>
        <w:tc>
          <w:tcPr>
            <w:tcW w:w="735" w:type="dxa"/>
            <w:vAlign w:val="center"/>
          </w:tcPr>
          <w:p>
            <w:pPr>
              <w:spacing w:line="240" w:lineRule="auto"/>
              <w:jc w:val="center"/>
              <w:rPr>
                <w:bCs/>
                <w:sz w:val="18"/>
                <w:szCs w:val="18"/>
              </w:rPr>
            </w:pPr>
            <w:r>
              <w:rPr>
                <w:bCs/>
                <w:sz w:val="18"/>
                <w:szCs w:val="18"/>
              </w:rPr>
              <w:t>2</w:t>
            </w:r>
          </w:p>
        </w:tc>
        <w:tc>
          <w:tcPr>
            <w:tcW w:w="975" w:type="dxa"/>
            <w:vAlign w:val="center"/>
          </w:tcPr>
          <w:p>
            <w:pPr>
              <w:spacing w:line="240" w:lineRule="auto"/>
              <w:jc w:val="center"/>
              <w:rPr>
                <w:bCs/>
                <w:sz w:val="18"/>
                <w:szCs w:val="18"/>
              </w:rPr>
            </w:pPr>
            <w:r>
              <w:rPr>
                <w:bCs/>
                <w:sz w:val="18"/>
                <w:szCs w:val="18"/>
              </w:rPr>
              <w:t>2,4</w:t>
            </w:r>
          </w:p>
        </w:tc>
        <w:tc>
          <w:tcPr>
            <w:tcW w:w="870" w:type="dxa"/>
            <w:vAlign w:val="center"/>
          </w:tcPr>
          <w:p>
            <w:pPr>
              <w:spacing w:line="240" w:lineRule="auto"/>
              <w:jc w:val="center"/>
              <w:rPr>
                <w:bCs/>
                <w:sz w:val="18"/>
                <w:szCs w:val="18"/>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trPr>
        <w:tc>
          <w:tcPr>
            <w:tcW w:w="531" w:type="dxa"/>
            <w:vMerge w:val="restart"/>
            <w:vAlign w:val="center"/>
          </w:tcPr>
          <w:p>
            <w:pPr>
              <w:spacing w:line="240" w:lineRule="auto"/>
              <w:jc w:val="center"/>
              <w:rPr>
                <w:bCs/>
                <w:sz w:val="18"/>
                <w:szCs w:val="18"/>
              </w:rPr>
            </w:pPr>
            <w:r>
              <w:rPr>
                <w:bCs/>
                <w:sz w:val="18"/>
                <w:szCs w:val="18"/>
              </w:rPr>
              <w:t>专</w:t>
            </w:r>
          </w:p>
          <w:p>
            <w:pPr>
              <w:spacing w:line="240" w:lineRule="auto"/>
              <w:jc w:val="center"/>
              <w:rPr>
                <w:bCs/>
                <w:sz w:val="18"/>
                <w:szCs w:val="18"/>
              </w:rPr>
            </w:pPr>
            <w:r>
              <w:rPr>
                <w:bCs/>
                <w:sz w:val="18"/>
                <w:szCs w:val="18"/>
              </w:rPr>
              <w:t>业</w:t>
            </w:r>
          </w:p>
          <w:p>
            <w:pPr>
              <w:spacing w:line="240" w:lineRule="auto"/>
              <w:jc w:val="center"/>
              <w:rPr>
                <w:bCs/>
                <w:sz w:val="18"/>
                <w:szCs w:val="18"/>
              </w:rPr>
            </w:pPr>
            <w:r>
              <w:rPr>
                <w:bCs/>
                <w:sz w:val="18"/>
                <w:szCs w:val="18"/>
              </w:rPr>
              <w:t>实</w:t>
            </w:r>
          </w:p>
          <w:p>
            <w:pPr>
              <w:spacing w:line="240" w:lineRule="auto"/>
              <w:jc w:val="center"/>
              <w:rPr>
                <w:bCs/>
                <w:sz w:val="18"/>
                <w:szCs w:val="18"/>
              </w:rPr>
            </w:pPr>
            <w:r>
              <w:rPr>
                <w:bCs/>
                <w:sz w:val="18"/>
                <w:szCs w:val="18"/>
              </w:rPr>
              <w:t>践</w:t>
            </w:r>
          </w:p>
        </w:tc>
        <w:tc>
          <w:tcPr>
            <w:tcW w:w="1253" w:type="dxa"/>
            <w:vAlign w:val="center"/>
          </w:tcPr>
          <w:p>
            <w:pPr>
              <w:spacing w:line="240" w:lineRule="auto"/>
              <w:jc w:val="center"/>
              <w:rPr>
                <w:sz w:val="18"/>
                <w:szCs w:val="18"/>
              </w:rPr>
            </w:pPr>
            <w:r>
              <w:rPr>
                <w:sz w:val="18"/>
                <w:szCs w:val="18"/>
              </w:rPr>
              <w:t>BS160001</w:t>
            </w:r>
          </w:p>
        </w:tc>
        <w:tc>
          <w:tcPr>
            <w:tcW w:w="4080" w:type="dxa"/>
            <w:vAlign w:val="center"/>
          </w:tcPr>
          <w:p>
            <w:pPr>
              <w:spacing w:line="240" w:lineRule="auto"/>
              <w:ind w:left="72" w:leftChars="30" w:right="72" w:rightChars="30"/>
              <w:rPr>
                <w:sz w:val="18"/>
                <w:szCs w:val="18"/>
              </w:rPr>
            </w:pPr>
            <w:r>
              <w:rPr>
                <w:sz w:val="18"/>
                <w:szCs w:val="18"/>
              </w:rPr>
              <w:t>文化产业管理专业认识实习</w:t>
            </w:r>
          </w:p>
          <w:p>
            <w:pPr>
              <w:spacing w:line="240" w:lineRule="auto"/>
              <w:ind w:left="72" w:leftChars="30" w:right="72" w:rightChars="30"/>
              <w:rPr>
                <w:sz w:val="18"/>
                <w:szCs w:val="18"/>
              </w:rPr>
            </w:pPr>
            <w:r>
              <w:rPr>
                <w:sz w:val="18"/>
                <w:szCs w:val="18"/>
              </w:rPr>
              <w:t xml:space="preserve">Professional Cognition Practice on Culture Industry Management </w:t>
            </w:r>
          </w:p>
        </w:tc>
        <w:tc>
          <w:tcPr>
            <w:tcW w:w="615" w:type="dxa"/>
            <w:vAlign w:val="center"/>
          </w:tcPr>
          <w:p>
            <w:pPr>
              <w:spacing w:line="240" w:lineRule="auto"/>
              <w:jc w:val="center"/>
              <w:rPr>
                <w:sz w:val="18"/>
                <w:szCs w:val="18"/>
              </w:rPr>
            </w:pPr>
            <w:r>
              <w:rPr>
                <w:sz w:val="18"/>
                <w:szCs w:val="18"/>
              </w:rPr>
              <w:t>1</w:t>
            </w:r>
          </w:p>
        </w:tc>
        <w:tc>
          <w:tcPr>
            <w:tcW w:w="735" w:type="dxa"/>
            <w:vAlign w:val="center"/>
          </w:tcPr>
          <w:p>
            <w:pPr>
              <w:spacing w:line="240" w:lineRule="auto"/>
              <w:jc w:val="center"/>
              <w:rPr>
                <w:sz w:val="18"/>
                <w:szCs w:val="18"/>
              </w:rPr>
            </w:pPr>
            <w:r>
              <w:rPr>
                <w:sz w:val="18"/>
                <w:szCs w:val="18"/>
              </w:rPr>
              <w:t>1</w:t>
            </w:r>
          </w:p>
        </w:tc>
        <w:tc>
          <w:tcPr>
            <w:tcW w:w="975" w:type="dxa"/>
            <w:vAlign w:val="center"/>
          </w:tcPr>
          <w:p>
            <w:pPr>
              <w:spacing w:line="240" w:lineRule="auto"/>
              <w:jc w:val="center"/>
              <w:rPr>
                <w:sz w:val="18"/>
                <w:szCs w:val="18"/>
              </w:rPr>
            </w:pPr>
            <w:r>
              <w:rPr>
                <w:sz w:val="18"/>
                <w:szCs w:val="18"/>
              </w:rPr>
              <w:t>1</w:t>
            </w:r>
          </w:p>
        </w:tc>
        <w:tc>
          <w:tcPr>
            <w:tcW w:w="870" w:type="dxa"/>
            <w:vAlign w:val="center"/>
          </w:tcPr>
          <w:p>
            <w:pPr>
              <w:spacing w:line="240" w:lineRule="auto"/>
              <w:jc w:val="center"/>
              <w:rPr>
                <w:sz w:val="18"/>
                <w:szCs w:val="18"/>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trPr>
        <w:tc>
          <w:tcPr>
            <w:tcW w:w="531" w:type="dxa"/>
            <w:vMerge w:val="continue"/>
            <w:vAlign w:val="center"/>
          </w:tcPr>
          <w:p>
            <w:pPr>
              <w:spacing w:line="240" w:lineRule="auto"/>
              <w:jc w:val="center"/>
              <w:rPr>
                <w:bCs/>
                <w:sz w:val="18"/>
                <w:szCs w:val="18"/>
              </w:rPr>
            </w:pPr>
          </w:p>
        </w:tc>
        <w:tc>
          <w:tcPr>
            <w:tcW w:w="1253" w:type="dxa"/>
            <w:vAlign w:val="center"/>
          </w:tcPr>
          <w:p>
            <w:pPr>
              <w:spacing w:line="240" w:lineRule="auto"/>
              <w:jc w:val="center"/>
              <w:rPr>
                <w:sz w:val="18"/>
                <w:szCs w:val="18"/>
              </w:rPr>
            </w:pPr>
            <w:r>
              <w:rPr>
                <w:sz w:val="18"/>
                <w:szCs w:val="18"/>
              </w:rPr>
              <w:t>BS160002</w:t>
            </w:r>
          </w:p>
        </w:tc>
        <w:tc>
          <w:tcPr>
            <w:tcW w:w="4080" w:type="dxa"/>
            <w:vAlign w:val="center"/>
          </w:tcPr>
          <w:p>
            <w:pPr>
              <w:spacing w:line="240" w:lineRule="auto"/>
              <w:ind w:left="72" w:leftChars="30" w:right="72" w:rightChars="30"/>
              <w:rPr>
                <w:sz w:val="18"/>
                <w:szCs w:val="18"/>
              </w:rPr>
            </w:pPr>
            <w:r>
              <w:rPr>
                <w:sz w:val="18"/>
                <w:szCs w:val="18"/>
              </w:rPr>
              <w:t>文化产业管理综合教学实习（文化产业概论、文化产业管理、文化产业项目管理、文化创意与策划）</w:t>
            </w:r>
          </w:p>
          <w:p>
            <w:pPr>
              <w:spacing w:line="240" w:lineRule="auto"/>
              <w:ind w:left="72" w:leftChars="30" w:right="72" w:rightChars="30"/>
              <w:rPr>
                <w:sz w:val="18"/>
                <w:szCs w:val="18"/>
              </w:rPr>
            </w:pPr>
            <w:r>
              <w:rPr>
                <w:sz w:val="18"/>
                <w:szCs w:val="18"/>
              </w:rPr>
              <w:t xml:space="preserve">Comprehensive Teaching Practice on Culture Industry Management </w:t>
            </w:r>
          </w:p>
        </w:tc>
        <w:tc>
          <w:tcPr>
            <w:tcW w:w="615" w:type="dxa"/>
            <w:vAlign w:val="center"/>
          </w:tcPr>
          <w:p>
            <w:pPr>
              <w:spacing w:line="240" w:lineRule="auto"/>
              <w:jc w:val="center"/>
              <w:rPr>
                <w:sz w:val="18"/>
                <w:szCs w:val="18"/>
              </w:rPr>
            </w:pPr>
            <w:r>
              <w:rPr>
                <w:sz w:val="18"/>
                <w:szCs w:val="18"/>
              </w:rPr>
              <w:t>4</w:t>
            </w:r>
          </w:p>
        </w:tc>
        <w:tc>
          <w:tcPr>
            <w:tcW w:w="735" w:type="dxa"/>
            <w:vAlign w:val="center"/>
          </w:tcPr>
          <w:p>
            <w:pPr>
              <w:spacing w:line="240" w:lineRule="auto"/>
              <w:jc w:val="center"/>
              <w:rPr>
                <w:sz w:val="18"/>
                <w:szCs w:val="18"/>
              </w:rPr>
            </w:pPr>
            <w:r>
              <w:rPr>
                <w:sz w:val="18"/>
                <w:szCs w:val="18"/>
              </w:rPr>
              <w:t>4</w:t>
            </w:r>
          </w:p>
        </w:tc>
        <w:tc>
          <w:tcPr>
            <w:tcW w:w="975" w:type="dxa"/>
            <w:vAlign w:val="center"/>
          </w:tcPr>
          <w:p>
            <w:pPr>
              <w:spacing w:line="240" w:lineRule="auto"/>
              <w:jc w:val="center"/>
              <w:rPr>
                <w:sz w:val="18"/>
                <w:szCs w:val="18"/>
              </w:rPr>
            </w:pPr>
            <w:r>
              <w:rPr>
                <w:sz w:val="18"/>
                <w:szCs w:val="18"/>
              </w:rPr>
              <w:t>5</w:t>
            </w:r>
          </w:p>
        </w:tc>
        <w:tc>
          <w:tcPr>
            <w:tcW w:w="870" w:type="dxa"/>
            <w:vAlign w:val="center"/>
          </w:tcPr>
          <w:p>
            <w:pPr>
              <w:spacing w:line="240" w:lineRule="auto"/>
              <w:jc w:val="center"/>
              <w:rPr>
                <w:sz w:val="18"/>
                <w:szCs w:val="18"/>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trPr>
        <w:tc>
          <w:tcPr>
            <w:tcW w:w="531" w:type="dxa"/>
            <w:vMerge w:val="continue"/>
            <w:vAlign w:val="center"/>
          </w:tcPr>
          <w:p>
            <w:pPr>
              <w:spacing w:line="240" w:lineRule="auto"/>
              <w:jc w:val="center"/>
              <w:rPr>
                <w:bCs/>
                <w:sz w:val="18"/>
                <w:szCs w:val="18"/>
              </w:rPr>
            </w:pPr>
          </w:p>
        </w:tc>
        <w:tc>
          <w:tcPr>
            <w:tcW w:w="1253" w:type="dxa"/>
            <w:vAlign w:val="center"/>
          </w:tcPr>
          <w:p>
            <w:pPr>
              <w:spacing w:line="240" w:lineRule="auto"/>
              <w:jc w:val="center"/>
              <w:rPr>
                <w:sz w:val="18"/>
                <w:szCs w:val="18"/>
              </w:rPr>
            </w:pPr>
            <w:r>
              <w:rPr>
                <w:sz w:val="18"/>
                <w:szCs w:val="18"/>
              </w:rPr>
              <w:t>BS160012</w:t>
            </w:r>
          </w:p>
        </w:tc>
        <w:tc>
          <w:tcPr>
            <w:tcW w:w="4080" w:type="dxa"/>
            <w:vAlign w:val="center"/>
          </w:tcPr>
          <w:p>
            <w:pPr>
              <w:spacing w:line="240" w:lineRule="auto"/>
              <w:ind w:left="72" w:leftChars="30" w:right="72" w:rightChars="30"/>
              <w:rPr>
                <w:sz w:val="18"/>
                <w:szCs w:val="18"/>
              </w:rPr>
            </w:pPr>
            <w:r>
              <w:rPr>
                <w:sz w:val="18"/>
                <w:szCs w:val="18"/>
              </w:rPr>
              <w:t>文化产业概论课程论文</w:t>
            </w:r>
          </w:p>
          <w:p>
            <w:pPr>
              <w:spacing w:line="240" w:lineRule="auto"/>
              <w:ind w:left="72" w:leftChars="30" w:right="72" w:rightChars="30"/>
              <w:rPr>
                <w:sz w:val="18"/>
                <w:szCs w:val="18"/>
              </w:rPr>
            </w:pPr>
            <w:r>
              <w:rPr>
                <w:sz w:val="18"/>
                <w:szCs w:val="18"/>
              </w:rPr>
              <w:t xml:space="preserve">Course Essay for Introduction of Cultural Industry </w:t>
            </w:r>
          </w:p>
        </w:tc>
        <w:tc>
          <w:tcPr>
            <w:tcW w:w="615" w:type="dxa"/>
            <w:vAlign w:val="center"/>
          </w:tcPr>
          <w:p>
            <w:pPr>
              <w:spacing w:line="240" w:lineRule="auto"/>
              <w:jc w:val="center"/>
              <w:rPr>
                <w:sz w:val="18"/>
                <w:szCs w:val="18"/>
              </w:rPr>
            </w:pPr>
            <w:r>
              <w:rPr>
                <w:sz w:val="18"/>
                <w:szCs w:val="18"/>
              </w:rPr>
              <w:t>0.5</w:t>
            </w:r>
          </w:p>
        </w:tc>
        <w:tc>
          <w:tcPr>
            <w:tcW w:w="735" w:type="dxa"/>
            <w:vAlign w:val="center"/>
          </w:tcPr>
          <w:p>
            <w:pPr>
              <w:spacing w:line="240" w:lineRule="auto"/>
              <w:jc w:val="center"/>
              <w:rPr>
                <w:sz w:val="18"/>
                <w:szCs w:val="18"/>
              </w:rPr>
            </w:pPr>
            <w:r>
              <w:rPr>
                <w:sz w:val="18"/>
                <w:szCs w:val="18"/>
              </w:rPr>
              <w:t>1</w:t>
            </w:r>
          </w:p>
        </w:tc>
        <w:tc>
          <w:tcPr>
            <w:tcW w:w="975" w:type="dxa"/>
            <w:vAlign w:val="center"/>
          </w:tcPr>
          <w:p>
            <w:pPr>
              <w:spacing w:line="240" w:lineRule="auto"/>
              <w:jc w:val="center"/>
              <w:rPr>
                <w:sz w:val="18"/>
                <w:szCs w:val="18"/>
              </w:rPr>
            </w:pPr>
            <w:r>
              <w:rPr>
                <w:sz w:val="18"/>
                <w:szCs w:val="18"/>
              </w:rPr>
              <w:t>1</w:t>
            </w:r>
          </w:p>
        </w:tc>
        <w:tc>
          <w:tcPr>
            <w:tcW w:w="870" w:type="dxa"/>
            <w:vAlign w:val="center"/>
          </w:tcPr>
          <w:p>
            <w:pPr>
              <w:spacing w:line="240" w:lineRule="auto"/>
              <w:jc w:val="center"/>
              <w:rPr>
                <w:sz w:val="18"/>
                <w:szCs w:val="18"/>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trPr>
        <w:tc>
          <w:tcPr>
            <w:tcW w:w="531" w:type="dxa"/>
            <w:vMerge w:val="continue"/>
            <w:vAlign w:val="center"/>
          </w:tcPr>
          <w:p>
            <w:pPr>
              <w:spacing w:line="240" w:lineRule="auto"/>
              <w:jc w:val="center"/>
              <w:rPr>
                <w:bCs/>
                <w:sz w:val="18"/>
                <w:szCs w:val="18"/>
              </w:rPr>
            </w:pPr>
          </w:p>
        </w:tc>
        <w:tc>
          <w:tcPr>
            <w:tcW w:w="1253" w:type="dxa"/>
            <w:vAlign w:val="center"/>
          </w:tcPr>
          <w:p>
            <w:pPr>
              <w:spacing w:line="240" w:lineRule="auto"/>
              <w:jc w:val="center"/>
              <w:rPr>
                <w:sz w:val="18"/>
                <w:szCs w:val="18"/>
              </w:rPr>
            </w:pPr>
            <w:r>
              <w:rPr>
                <w:sz w:val="18"/>
                <w:szCs w:val="18"/>
              </w:rPr>
              <w:t>BS160013</w:t>
            </w:r>
          </w:p>
        </w:tc>
        <w:tc>
          <w:tcPr>
            <w:tcW w:w="4080" w:type="dxa"/>
            <w:vAlign w:val="center"/>
          </w:tcPr>
          <w:p>
            <w:pPr>
              <w:spacing w:line="240" w:lineRule="auto"/>
              <w:ind w:left="72" w:leftChars="30" w:right="72" w:rightChars="30"/>
              <w:rPr>
                <w:sz w:val="18"/>
                <w:szCs w:val="18"/>
              </w:rPr>
            </w:pPr>
            <w:r>
              <w:rPr>
                <w:sz w:val="18"/>
                <w:szCs w:val="18"/>
              </w:rPr>
              <w:t>文化产业管理课程论文</w:t>
            </w:r>
          </w:p>
          <w:p>
            <w:pPr>
              <w:spacing w:line="240" w:lineRule="auto"/>
              <w:ind w:left="72" w:leftChars="30" w:right="72" w:rightChars="30"/>
              <w:rPr>
                <w:sz w:val="18"/>
                <w:szCs w:val="18"/>
              </w:rPr>
            </w:pPr>
            <w:r>
              <w:rPr>
                <w:sz w:val="18"/>
                <w:szCs w:val="18"/>
              </w:rPr>
              <w:t xml:space="preserve">Course Essay for Culture Industry Management </w:t>
            </w:r>
          </w:p>
        </w:tc>
        <w:tc>
          <w:tcPr>
            <w:tcW w:w="615" w:type="dxa"/>
            <w:vAlign w:val="center"/>
          </w:tcPr>
          <w:p>
            <w:pPr>
              <w:spacing w:line="240" w:lineRule="auto"/>
              <w:jc w:val="center"/>
              <w:rPr>
                <w:sz w:val="18"/>
                <w:szCs w:val="18"/>
              </w:rPr>
            </w:pPr>
            <w:r>
              <w:rPr>
                <w:sz w:val="18"/>
                <w:szCs w:val="18"/>
              </w:rPr>
              <w:t>0.5</w:t>
            </w:r>
          </w:p>
        </w:tc>
        <w:tc>
          <w:tcPr>
            <w:tcW w:w="735" w:type="dxa"/>
            <w:vAlign w:val="center"/>
          </w:tcPr>
          <w:p>
            <w:pPr>
              <w:spacing w:line="240" w:lineRule="auto"/>
              <w:jc w:val="center"/>
              <w:rPr>
                <w:sz w:val="18"/>
                <w:szCs w:val="18"/>
              </w:rPr>
            </w:pPr>
            <w:r>
              <w:rPr>
                <w:sz w:val="18"/>
                <w:szCs w:val="18"/>
              </w:rPr>
              <w:t>1</w:t>
            </w:r>
          </w:p>
        </w:tc>
        <w:tc>
          <w:tcPr>
            <w:tcW w:w="975" w:type="dxa"/>
            <w:vAlign w:val="center"/>
          </w:tcPr>
          <w:p>
            <w:pPr>
              <w:spacing w:line="240" w:lineRule="auto"/>
              <w:jc w:val="center"/>
              <w:rPr>
                <w:sz w:val="18"/>
                <w:szCs w:val="18"/>
              </w:rPr>
            </w:pPr>
            <w:r>
              <w:rPr>
                <w:sz w:val="18"/>
                <w:szCs w:val="18"/>
              </w:rPr>
              <w:t>2</w:t>
            </w:r>
          </w:p>
        </w:tc>
        <w:tc>
          <w:tcPr>
            <w:tcW w:w="870" w:type="dxa"/>
            <w:vAlign w:val="center"/>
          </w:tcPr>
          <w:p>
            <w:pPr>
              <w:spacing w:line="240" w:lineRule="auto"/>
              <w:jc w:val="center"/>
              <w:rPr>
                <w:sz w:val="18"/>
                <w:szCs w:val="18"/>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trPr>
        <w:tc>
          <w:tcPr>
            <w:tcW w:w="531" w:type="dxa"/>
            <w:vMerge w:val="continue"/>
            <w:vAlign w:val="center"/>
          </w:tcPr>
          <w:p>
            <w:pPr>
              <w:spacing w:line="240" w:lineRule="auto"/>
              <w:jc w:val="center"/>
              <w:rPr>
                <w:bCs/>
                <w:sz w:val="18"/>
                <w:szCs w:val="18"/>
              </w:rPr>
            </w:pPr>
          </w:p>
        </w:tc>
        <w:tc>
          <w:tcPr>
            <w:tcW w:w="1253" w:type="dxa"/>
            <w:vAlign w:val="center"/>
          </w:tcPr>
          <w:p>
            <w:pPr>
              <w:spacing w:line="240" w:lineRule="auto"/>
              <w:jc w:val="center"/>
              <w:rPr>
                <w:sz w:val="18"/>
                <w:szCs w:val="18"/>
              </w:rPr>
            </w:pPr>
            <w:r>
              <w:rPr>
                <w:sz w:val="18"/>
                <w:szCs w:val="18"/>
              </w:rPr>
              <w:t>BS160004</w:t>
            </w:r>
          </w:p>
        </w:tc>
        <w:tc>
          <w:tcPr>
            <w:tcW w:w="4080" w:type="dxa"/>
            <w:vAlign w:val="center"/>
          </w:tcPr>
          <w:p>
            <w:pPr>
              <w:spacing w:line="240" w:lineRule="auto"/>
              <w:ind w:left="72" w:leftChars="30" w:right="72" w:rightChars="30"/>
              <w:rPr>
                <w:sz w:val="18"/>
                <w:szCs w:val="18"/>
              </w:rPr>
            </w:pPr>
            <w:r>
              <w:rPr>
                <w:sz w:val="18"/>
                <w:szCs w:val="18"/>
              </w:rPr>
              <w:t>文化创意与策划课程论文</w:t>
            </w:r>
          </w:p>
          <w:p>
            <w:pPr>
              <w:spacing w:line="240" w:lineRule="auto"/>
              <w:ind w:left="72" w:leftChars="30" w:right="72" w:rightChars="30"/>
              <w:rPr>
                <w:sz w:val="18"/>
                <w:szCs w:val="18"/>
              </w:rPr>
            </w:pPr>
            <w:r>
              <w:rPr>
                <w:sz w:val="18"/>
                <w:szCs w:val="18"/>
              </w:rPr>
              <w:t xml:space="preserve">Course Essay for Cultural Creativity and Planning </w:t>
            </w:r>
          </w:p>
        </w:tc>
        <w:tc>
          <w:tcPr>
            <w:tcW w:w="615" w:type="dxa"/>
            <w:vAlign w:val="center"/>
          </w:tcPr>
          <w:p>
            <w:pPr>
              <w:spacing w:line="240" w:lineRule="auto"/>
              <w:jc w:val="center"/>
              <w:rPr>
                <w:sz w:val="18"/>
                <w:szCs w:val="18"/>
              </w:rPr>
            </w:pPr>
            <w:r>
              <w:rPr>
                <w:sz w:val="18"/>
                <w:szCs w:val="18"/>
              </w:rPr>
              <w:t>0.5</w:t>
            </w:r>
          </w:p>
        </w:tc>
        <w:tc>
          <w:tcPr>
            <w:tcW w:w="735" w:type="dxa"/>
            <w:vAlign w:val="center"/>
          </w:tcPr>
          <w:p>
            <w:pPr>
              <w:spacing w:line="240" w:lineRule="auto"/>
              <w:jc w:val="center"/>
              <w:rPr>
                <w:sz w:val="18"/>
                <w:szCs w:val="18"/>
              </w:rPr>
            </w:pPr>
            <w:r>
              <w:rPr>
                <w:sz w:val="18"/>
                <w:szCs w:val="18"/>
              </w:rPr>
              <w:t>1</w:t>
            </w:r>
          </w:p>
        </w:tc>
        <w:tc>
          <w:tcPr>
            <w:tcW w:w="975" w:type="dxa"/>
            <w:vAlign w:val="center"/>
          </w:tcPr>
          <w:p>
            <w:pPr>
              <w:spacing w:line="240" w:lineRule="auto"/>
              <w:jc w:val="center"/>
              <w:rPr>
                <w:sz w:val="18"/>
                <w:szCs w:val="18"/>
              </w:rPr>
            </w:pPr>
            <w:r>
              <w:rPr>
                <w:sz w:val="18"/>
                <w:szCs w:val="18"/>
              </w:rPr>
              <w:t>5</w:t>
            </w:r>
          </w:p>
        </w:tc>
        <w:tc>
          <w:tcPr>
            <w:tcW w:w="870" w:type="dxa"/>
            <w:vAlign w:val="center"/>
          </w:tcPr>
          <w:p>
            <w:pPr>
              <w:spacing w:line="240" w:lineRule="auto"/>
              <w:jc w:val="center"/>
              <w:rPr>
                <w:sz w:val="18"/>
                <w:szCs w:val="18"/>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trPr>
        <w:tc>
          <w:tcPr>
            <w:tcW w:w="531" w:type="dxa"/>
            <w:vMerge w:val="continue"/>
            <w:vAlign w:val="center"/>
          </w:tcPr>
          <w:p>
            <w:pPr>
              <w:spacing w:line="240" w:lineRule="auto"/>
              <w:jc w:val="center"/>
              <w:rPr>
                <w:bCs/>
                <w:sz w:val="18"/>
                <w:szCs w:val="18"/>
              </w:rPr>
            </w:pPr>
          </w:p>
        </w:tc>
        <w:tc>
          <w:tcPr>
            <w:tcW w:w="1253" w:type="dxa"/>
            <w:vAlign w:val="center"/>
          </w:tcPr>
          <w:p>
            <w:pPr>
              <w:spacing w:line="240" w:lineRule="auto"/>
              <w:jc w:val="center"/>
              <w:rPr>
                <w:sz w:val="18"/>
                <w:szCs w:val="18"/>
              </w:rPr>
            </w:pPr>
            <w:r>
              <w:rPr>
                <w:sz w:val="18"/>
                <w:szCs w:val="18"/>
              </w:rPr>
              <w:t>BS160003</w:t>
            </w:r>
          </w:p>
        </w:tc>
        <w:tc>
          <w:tcPr>
            <w:tcW w:w="4080" w:type="dxa"/>
            <w:vAlign w:val="center"/>
          </w:tcPr>
          <w:p>
            <w:pPr>
              <w:spacing w:line="240" w:lineRule="auto"/>
              <w:ind w:left="72" w:leftChars="30" w:right="72" w:rightChars="30"/>
              <w:rPr>
                <w:sz w:val="18"/>
                <w:szCs w:val="18"/>
              </w:rPr>
            </w:pPr>
            <w:r>
              <w:rPr>
                <w:sz w:val="18"/>
                <w:szCs w:val="18"/>
              </w:rPr>
              <w:t>文化产业项目管理课程论文</w:t>
            </w:r>
          </w:p>
          <w:p>
            <w:pPr>
              <w:spacing w:line="240" w:lineRule="auto"/>
              <w:ind w:left="72" w:leftChars="30" w:right="72" w:rightChars="30"/>
              <w:rPr>
                <w:sz w:val="18"/>
                <w:szCs w:val="18"/>
              </w:rPr>
            </w:pPr>
            <w:r>
              <w:rPr>
                <w:sz w:val="18"/>
                <w:szCs w:val="18"/>
              </w:rPr>
              <w:t xml:space="preserve">Course Essay for Cultural Industry Project Management </w:t>
            </w:r>
          </w:p>
        </w:tc>
        <w:tc>
          <w:tcPr>
            <w:tcW w:w="615" w:type="dxa"/>
            <w:vAlign w:val="center"/>
          </w:tcPr>
          <w:p>
            <w:pPr>
              <w:spacing w:line="240" w:lineRule="auto"/>
              <w:jc w:val="center"/>
              <w:rPr>
                <w:sz w:val="18"/>
                <w:szCs w:val="18"/>
              </w:rPr>
            </w:pPr>
            <w:r>
              <w:rPr>
                <w:sz w:val="18"/>
                <w:szCs w:val="18"/>
              </w:rPr>
              <w:t>0.5</w:t>
            </w:r>
          </w:p>
        </w:tc>
        <w:tc>
          <w:tcPr>
            <w:tcW w:w="735" w:type="dxa"/>
            <w:vAlign w:val="center"/>
          </w:tcPr>
          <w:p>
            <w:pPr>
              <w:spacing w:line="240" w:lineRule="auto"/>
              <w:jc w:val="center"/>
              <w:rPr>
                <w:sz w:val="18"/>
                <w:szCs w:val="18"/>
              </w:rPr>
            </w:pPr>
            <w:r>
              <w:rPr>
                <w:sz w:val="18"/>
                <w:szCs w:val="18"/>
              </w:rPr>
              <w:t>1</w:t>
            </w:r>
          </w:p>
        </w:tc>
        <w:tc>
          <w:tcPr>
            <w:tcW w:w="975" w:type="dxa"/>
            <w:vAlign w:val="center"/>
          </w:tcPr>
          <w:p>
            <w:pPr>
              <w:spacing w:line="240" w:lineRule="auto"/>
              <w:jc w:val="center"/>
              <w:rPr>
                <w:sz w:val="18"/>
                <w:szCs w:val="18"/>
              </w:rPr>
            </w:pPr>
            <w:r>
              <w:rPr>
                <w:sz w:val="18"/>
                <w:szCs w:val="18"/>
              </w:rPr>
              <w:t>4</w:t>
            </w:r>
          </w:p>
        </w:tc>
        <w:tc>
          <w:tcPr>
            <w:tcW w:w="870" w:type="dxa"/>
            <w:vAlign w:val="center"/>
          </w:tcPr>
          <w:p>
            <w:pPr>
              <w:spacing w:line="240" w:lineRule="auto"/>
              <w:jc w:val="center"/>
              <w:rPr>
                <w:bCs/>
                <w:sz w:val="18"/>
                <w:szCs w:val="18"/>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48" w:hRule="atLeast"/>
        </w:trPr>
        <w:tc>
          <w:tcPr>
            <w:tcW w:w="531" w:type="dxa"/>
            <w:vMerge w:val="restart"/>
            <w:vAlign w:val="center"/>
          </w:tcPr>
          <w:p>
            <w:pPr>
              <w:spacing w:line="240" w:lineRule="auto"/>
              <w:jc w:val="center"/>
              <w:rPr>
                <w:bCs/>
                <w:sz w:val="18"/>
                <w:szCs w:val="18"/>
              </w:rPr>
            </w:pPr>
            <w:r>
              <w:rPr>
                <w:bCs/>
                <w:sz w:val="18"/>
                <w:szCs w:val="18"/>
              </w:rPr>
              <w:t>综</w:t>
            </w:r>
          </w:p>
          <w:p>
            <w:pPr>
              <w:spacing w:line="240" w:lineRule="auto"/>
              <w:jc w:val="center"/>
              <w:rPr>
                <w:bCs/>
                <w:sz w:val="18"/>
                <w:szCs w:val="18"/>
              </w:rPr>
            </w:pPr>
            <w:r>
              <w:rPr>
                <w:bCs/>
                <w:sz w:val="18"/>
                <w:szCs w:val="18"/>
              </w:rPr>
              <w:t>合</w:t>
            </w:r>
          </w:p>
          <w:p>
            <w:pPr>
              <w:spacing w:line="240" w:lineRule="auto"/>
              <w:jc w:val="center"/>
              <w:rPr>
                <w:bCs/>
                <w:sz w:val="18"/>
                <w:szCs w:val="18"/>
              </w:rPr>
            </w:pPr>
            <w:r>
              <w:rPr>
                <w:bCs/>
                <w:sz w:val="18"/>
                <w:szCs w:val="18"/>
              </w:rPr>
              <w:t>实</w:t>
            </w:r>
          </w:p>
          <w:p>
            <w:pPr>
              <w:spacing w:line="240" w:lineRule="auto"/>
              <w:jc w:val="center"/>
              <w:rPr>
                <w:bCs/>
                <w:sz w:val="18"/>
                <w:szCs w:val="18"/>
              </w:rPr>
            </w:pPr>
            <w:r>
              <w:rPr>
                <w:bCs/>
                <w:sz w:val="18"/>
                <w:szCs w:val="18"/>
              </w:rPr>
              <w:t>践</w:t>
            </w:r>
          </w:p>
        </w:tc>
        <w:tc>
          <w:tcPr>
            <w:tcW w:w="1253" w:type="dxa"/>
            <w:vAlign w:val="center"/>
          </w:tcPr>
          <w:p>
            <w:pPr>
              <w:spacing w:line="240" w:lineRule="auto"/>
              <w:jc w:val="center"/>
              <w:rPr>
                <w:sz w:val="18"/>
                <w:szCs w:val="18"/>
              </w:rPr>
            </w:pPr>
            <w:r>
              <w:rPr>
                <w:sz w:val="18"/>
                <w:szCs w:val="18"/>
              </w:rPr>
              <w:t>BS160007-8</w:t>
            </w:r>
          </w:p>
        </w:tc>
        <w:tc>
          <w:tcPr>
            <w:tcW w:w="4080" w:type="dxa"/>
            <w:vAlign w:val="center"/>
          </w:tcPr>
          <w:p>
            <w:pPr>
              <w:spacing w:line="240" w:lineRule="auto"/>
              <w:ind w:left="72" w:leftChars="30" w:right="72" w:rightChars="30"/>
              <w:rPr>
                <w:sz w:val="18"/>
                <w:szCs w:val="18"/>
              </w:rPr>
            </w:pPr>
            <w:r>
              <w:rPr>
                <w:sz w:val="18"/>
                <w:szCs w:val="18"/>
              </w:rPr>
              <w:t>创新创业实践</w:t>
            </w:r>
          </w:p>
          <w:p>
            <w:pPr>
              <w:spacing w:line="240" w:lineRule="auto"/>
              <w:ind w:left="72" w:leftChars="30" w:right="72" w:rightChars="30"/>
              <w:rPr>
                <w:sz w:val="18"/>
                <w:szCs w:val="18"/>
              </w:rPr>
            </w:pPr>
            <w:r>
              <w:rPr>
                <w:sz w:val="18"/>
                <w:szCs w:val="18"/>
              </w:rPr>
              <w:t xml:space="preserve">Innovative Business Practice </w:t>
            </w:r>
          </w:p>
        </w:tc>
        <w:tc>
          <w:tcPr>
            <w:tcW w:w="615" w:type="dxa"/>
            <w:vAlign w:val="center"/>
          </w:tcPr>
          <w:p>
            <w:pPr>
              <w:spacing w:line="240" w:lineRule="auto"/>
              <w:jc w:val="center"/>
              <w:rPr>
                <w:sz w:val="18"/>
                <w:szCs w:val="18"/>
              </w:rPr>
            </w:pPr>
            <w:r>
              <w:rPr>
                <w:sz w:val="18"/>
                <w:szCs w:val="18"/>
              </w:rPr>
              <w:t>2</w:t>
            </w:r>
          </w:p>
        </w:tc>
        <w:tc>
          <w:tcPr>
            <w:tcW w:w="735" w:type="dxa"/>
            <w:vAlign w:val="center"/>
          </w:tcPr>
          <w:p>
            <w:pPr>
              <w:spacing w:line="240" w:lineRule="auto"/>
              <w:jc w:val="center"/>
              <w:rPr>
                <w:sz w:val="18"/>
                <w:szCs w:val="18"/>
              </w:rPr>
            </w:pPr>
            <w:r>
              <w:rPr>
                <w:sz w:val="18"/>
                <w:szCs w:val="18"/>
              </w:rPr>
              <w:t>2</w:t>
            </w:r>
          </w:p>
        </w:tc>
        <w:tc>
          <w:tcPr>
            <w:tcW w:w="975" w:type="dxa"/>
            <w:vAlign w:val="center"/>
          </w:tcPr>
          <w:p>
            <w:pPr>
              <w:spacing w:line="240" w:lineRule="auto"/>
              <w:jc w:val="center"/>
              <w:rPr>
                <w:sz w:val="18"/>
                <w:szCs w:val="18"/>
              </w:rPr>
            </w:pPr>
            <w:r>
              <w:rPr>
                <w:sz w:val="18"/>
                <w:szCs w:val="18"/>
              </w:rPr>
              <w:t>5-6</w:t>
            </w:r>
          </w:p>
        </w:tc>
        <w:tc>
          <w:tcPr>
            <w:tcW w:w="870" w:type="dxa"/>
            <w:vAlign w:val="center"/>
          </w:tcPr>
          <w:p>
            <w:pPr>
              <w:spacing w:line="240" w:lineRule="auto"/>
              <w:jc w:val="center"/>
              <w:rPr>
                <w:sz w:val="18"/>
                <w:szCs w:val="18"/>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19" w:hRule="atLeast"/>
        </w:trPr>
        <w:tc>
          <w:tcPr>
            <w:tcW w:w="531" w:type="dxa"/>
            <w:vMerge w:val="continue"/>
            <w:vAlign w:val="center"/>
          </w:tcPr>
          <w:p>
            <w:pPr>
              <w:spacing w:line="240" w:lineRule="auto"/>
              <w:jc w:val="center"/>
              <w:rPr>
                <w:bCs/>
                <w:sz w:val="18"/>
                <w:szCs w:val="18"/>
              </w:rPr>
            </w:pPr>
          </w:p>
        </w:tc>
        <w:tc>
          <w:tcPr>
            <w:tcW w:w="1253" w:type="dxa"/>
            <w:vAlign w:val="center"/>
          </w:tcPr>
          <w:p>
            <w:pPr>
              <w:spacing w:line="240" w:lineRule="auto"/>
              <w:jc w:val="center"/>
              <w:rPr>
                <w:sz w:val="18"/>
                <w:szCs w:val="18"/>
              </w:rPr>
            </w:pPr>
            <w:r>
              <w:rPr>
                <w:sz w:val="18"/>
                <w:szCs w:val="18"/>
              </w:rPr>
              <w:t>BS160005</w:t>
            </w:r>
          </w:p>
        </w:tc>
        <w:tc>
          <w:tcPr>
            <w:tcW w:w="4080" w:type="dxa"/>
            <w:vAlign w:val="center"/>
          </w:tcPr>
          <w:p>
            <w:pPr>
              <w:spacing w:line="240" w:lineRule="auto"/>
              <w:ind w:left="72" w:leftChars="30" w:right="72" w:rightChars="30"/>
              <w:rPr>
                <w:sz w:val="18"/>
                <w:szCs w:val="18"/>
              </w:rPr>
            </w:pPr>
            <w:r>
              <w:rPr>
                <w:sz w:val="18"/>
                <w:szCs w:val="18"/>
              </w:rPr>
              <w:t>毕业（生产）实习及报告</w:t>
            </w:r>
          </w:p>
          <w:p>
            <w:pPr>
              <w:spacing w:line="240" w:lineRule="auto"/>
              <w:ind w:left="72" w:leftChars="30" w:right="72" w:rightChars="30"/>
              <w:rPr>
                <w:sz w:val="18"/>
                <w:szCs w:val="18"/>
              </w:rPr>
            </w:pPr>
            <w:r>
              <w:rPr>
                <w:sz w:val="18"/>
                <w:szCs w:val="18"/>
              </w:rPr>
              <w:t>Graduation Practice and Report</w:t>
            </w:r>
          </w:p>
        </w:tc>
        <w:tc>
          <w:tcPr>
            <w:tcW w:w="615" w:type="dxa"/>
            <w:vAlign w:val="center"/>
          </w:tcPr>
          <w:p>
            <w:pPr>
              <w:spacing w:line="240" w:lineRule="auto"/>
              <w:jc w:val="center"/>
              <w:rPr>
                <w:sz w:val="18"/>
                <w:szCs w:val="18"/>
              </w:rPr>
            </w:pPr>
            <w:r>
              <w:rPr>
                <w:sz w:val="18"/>
                <w:szCs w:val="18"/>
              </w:rPr>
              <w:t>10</w:t>
            </w:r>
          </w:p>
        </w:tc>
        <w:tc>
          <w:tcPr>
            <w:tcW w:w="735" w:type="dxa"/>
            <w:vAlign w:val="center"/>
          </w:tcPr>
          <w:p>
            <w:pPr>
              <w:spacing w:line="240" w:lineRule="auto"/>
              <w:jc w:val="center"/>
              <w:rPr>
                <w:sz w:val="18"/>
                <w:szCs w:val="18"/>
              </w:rPr>
            </w:pPr>
            <w:r>
              <w:rPr>
                <w:sz w:val="18"/>
                <w:szCs w:val="18"/>
              </w:rPr>
              <w:t>20</w:t>
            </w:r>
          </w:p>
        </w:tc>
        <w:tc>
          <w:tcPr>
            <w:tcW w:w="975" w:type="dxa"/>
            <w:vAlign w:val="center"/>
          </w:tcPr>
          <w:p>
            <w:pPr>
              <w:spacing w:line="240" w:lineRule="auto"/>
              <w:jc w:val="center"/>
              <w:rPr>
                <w:sz w:val="18"/>
                <w:szCs w:val="18"/>
              </w:rPr>
            </w:pPr>
            <w:r>
              <w:rPr>
                <w:sz w:val="18"/>
                <w:szCs w:val="18"/>
              </w:rPr>
              <w:t>8</w:t>
            </w:r>
          </w:p>
        </w:tc>
        <w:tc>
          <w:tcPr>
            <w:tcW w:w="870" w:type="dxa"/>
            <w:vAlign w:val="center"/>
          </w:tcPr>
          <w:p>
            <w:pPr>
              <w:spacing w:line="240" w:lineRule="auto"/>
              <w:jc w:val="center"/>
              <w:rPr>
                <w:sz w:val="18"/>
                <w:szCs w:val="18"/>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trPr>
        <w:tc>
          <w:tcPr>
            <w:tcW w:w="531" w:type="dxa"/>
            <w:vMerge w:val="continue"/>
            <w:vAlign w:val="center"/>
          </w:tcPr>
          <w:p>
            <w:pPr>
              <w:spacing w:line="240" w:lineRule="auto"/>
              <w:jc w:val="center"/>
              <w:rPr>
                <w:bCs/>
                <w:sz w:val="18"/>
                <w:szCs w:val="18"/>
              </w:rPr>
            </w:pPr>
          </w:p>
        </w:tc>
        <w:tc>
          <w:tcPr>
            <w:tcW w:w="1253" w:type="dxa"/>
            <w:vAlign w:val="center"/>
          </w:tcPr>
          <w:p>
            <w:pPr>
              <w:spacing w:line="240" w:lineRule="auto"/>
              <w:jc w:val="center"/>
              <w:rPr>
                <w:sz w:val="18"/>
                <w:szCs w:val="18"/>
              </w:rPr>
            </w:pPr>
            <w:r>
              <w:rPr>
                <w:sz w:val="18"/>
                <w:szCs w:val="18"/>
              </w:rPr>
              <w:t>BS160006</w:t>
            </w:r>
          </w:p>
        </w:tc>
        <w:tc>
          <w:tcPr>
            <w:tcW w:w="4080" w:type="dxa"/>
            <w:vAlign w:val="center"/>
          </w:tcPr>
          <w:p>
            <w:pPr>
              <w:spacing w:line="240" w:lineRule="auto"/>
              <w:ind w:left="72" w:leftChars="30" w:right="72" w:rightChars="30"/>
              <w:rPr>
                <w:sz w:val="18"/>
                <w:szCs w:val="18"/>
              </w:rPr>
            </w:pPr>
            <w:r>
              <w:rPr>
                <w:sz w:val="18"/>
                <w:szCs w:val="18"/>
              </w:rPr>
              <w:t>毕业论文（设计）</w:t>
            </w:r>
          </w:p>
          <w:p>
            <w:pPr>
              <w:spacing w:line="240" w:lineRule="auto"/>
              <w:ind w:left="72" w:leftChars="30" w:right="72" w:rightChars="30"/>
              <w:rPr>
                <w:sz w:val="18"/>
                <w:szCs w:val="18"/>
              </w:rPr>
            </w:pPr>
            <w:r>
              <w:rPr>
                <w:sz w:val="18"/>
                <w:szCs w:val="18"/>
              </w:rPr>
              <w:t>B.A. Thesis Writing (Design)</w:t>
            </w:r>
          </w:p>
        </w:tc>
        <w:tc>
          <w:tcPr>
            <w:tcW w:w="615" w:type="dxa"/>
            <w:vAlign w:val="center"/>
          </w:tcPr>
          <w:p>
            <w:pPr>
              <w:spacing w:line="240" w:lineRule="auto"/>
              <w:jc w:val="center"/>
              <w:rPr>
                <w:sz w:val="18"/>
                <w:szCs w:val="18"/>
              </w:rPr>
            </w:pPr>
            <w:r>
              <w:rPr>
                <w:sz w:val="18"/>
                <w:szCs w:val="18"/>
              </w:rPr>
              <w:t>5</w:t>
            </w:r>
          </w:p>
        </w:tc>
        <w:tc>
          <w:tcPr>
            <w:tcW w:w="735" w:type="dxa"/>
            <w:vAlign w:val="center"/>
          </w:tcPr>
          <w:p>
            <w:pPr>
              <w:spacing w:line="240" w:lineRule="auto"/>
              <w:jc w:val="center"/>
              <w:rPr>
                <w:sz w:val="18"/>
                <w:szCs w:val="18"/>
              </w:rPr>
            </w:pPr>
            <w:r>
              <w:rPr>
                <w:sz w:val="18"/>
                <w:szCs w:val="18"/>
              </w:rPr>
              <w:t>2</w:t>
            </w:r>
          </w:p>
        </w:tc>
        <w:tc>
          <w:tcPr>
            <w:tcW w:w="975" w:type="dxa"/>
            <w:vAlign w:val="center"/>
          </w:tcPr>
          <w:p>
            <w:pPr>
              <w:spacing w:line="240" w:lineRule="auto"/>
              <w:jc w:val="center"/>
              <w:rPr>
                <w:sz w:val="18"/>
                <w:szCs w:val="18"/>
              </w:rPr>
            </w:pPr>
            <w:r>
              <w:rPr>
                <w:sz w:val="18"/>
                <w:szCs w:val="18"/>
              </w:rPr>
              <w:t>8</w:t>
            </w:r>
          </w:p>
        </w:tc>
        <w:tc>
          <w:tcPr>
            <w:tcW w:w="870" w:type="dxa"/>
            <w:vAlign w:val="center"/>
          </w:tcPr>
          <w:p>
            <w:pPr>
              <w:spacing w:line="240" w:lineRule="auto"/>
              <w:jc w:val="center"/>
              <w:rPr>
                <w:sz w:val="18"/>
                <w:szCs w:val="18"/>
              </w:rPr>
            </w:pPr>
            <w:r>
              <w:rPr>
                <w:bCs/>
                <w:sz w:val="18"/>
                <w:szCs w:val="18"/>
              </w:rPr>
              <w:t>公管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trPr>
        <w:tc>
          <w:tcPr>
            <w:tcW w:w="531" w:type="dxa"/>
            <w:vMerge w:val="continue"/>
            <w:vAlign w:val="center"/>
          </w:tcPr>
          <w:p>
            <w:pPr>
              <w:spacing w:line="240" w:lineRule="auto"/>
              <w:jc w:val="center"/>
              <w:rPr>
                <w:bCs/>
                <w:sz w:val="18"/>
                <w:szCs w:val="18"/>
              </w:rPr>
            </w:pPr>
          </w:p>
        </w:tc>
        <w:tc>
          <w:tcPr>
            <w:tcW w:w="5333" w:type="dxa"/>
            <w:gridSpan w:val="2"/>
            <w:vAlign w:val="center"/>
          </w:tcPr>
          <w:p>
            <w:pPr>
              <w:spacing w:line="240" w:lineRule="auto"/>
              <w:jc w:val="center"/>
              <w:rPr>
                <w:bCs/>
                <w:sz w:val="18"/>
                <w:szCs w:val="18"/>
              </w:rPr>
            </w:pPr>
            <w:r>
              <w:rPr>
                <w:bCs/>
                <w:sz w:val="18"/>
                <w:szCs w:val="18"/>
              </w:rPr>
              <w:t>合   计</w:t>
            </w:r>
          </w:p>
        </w:tc>
        <w:tc>
          <w:tcPr>
            <w:tcW w:w="615" w:type="dxa"/>
            <w:vAlign w:val="center"/>
          </w:tcPr>
          <w:p>
            <w:pPr>
              <w:spacing w:line="240" w:lineRule="auto"/>
              <w:jc w:val="center"/>
              <w:rPr>
                <w:bCs/>
                <w:sz w:val="18"/>
                <w:szCs w:val="18"/>
              </w:rPr>
            </w:pPr>
            <w:r>
              <w:rPr>
                <w:bCs/>
                <w:sz w:val="18"/>
                <w:szCs w:val="18"/>
              </w:rPr>
              <w:t>33.5</w:t>
            </w:r>
          </w:p>
        </w:tc>
        <w:tc>
          <w:tcPr>
            <w:tcW w:w="735" w:type="dxa"/>
            <w:vAlign w:val="center"/>
          </w:tcPr>
          <w:p>
            <w:pPr>
              <w:spacing w:line="240" w:lineRule="auto"/>
              <w:jc w:val="center"/>
              <w:rPr>
                <w:bCs/>
                <w:sz w:val="18"/>
                <w:szCs w:val="18"/>
              </w:rPr>
            </w:pPr>
          </w:p>
        </w:tc>
        <w:tc>
          <w:tcPr>
            <w:tcW w:w="975" w:type="dxa"/>
            <w:vAlign w:val="center"/>
          </w:tcPr>
          <w:p>
            <w:pPr>
              <w:spacing w:line="240" w:lineRule="auto"/>
              <w:jc w:val="center"/>
              <w:rPr>
                <w:bCs/>
                <w:sz w:val="18"/>
                <w:szCs w:val="18"/>
              </w:rPr>
            </w:pPr>
          </w:p>
        </w:tc>
        <w:tc>
          <w:tcPr>
            <w:tcW w:w="870" w:type="dxa"/>
            <w:vAlign w:val="center"/>
          </w:tcPr>
          <w:p>
            <w:pPr>
              <w:spacing w:line="240" w:lineRule="auto"/>
              <w:jc w:val="center"/>
              <w:rPr>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0" w:hRule="atLeast"/>
        </w:trPr>
        <w:tc>
          <w:tcPr>
            <w:tcW w:w="531" w:type="dxa"/>
            <w:vAlign w:val="center"/>
          </w:tcPr>
          <w:p>
            <w:pPr>
              <w:spacing w:line="240" w:lineRule="auto"/>
              <w:rPr>
                <w:bCs/>
                <w:sz w:val="18"/>
                <w:szCs w:val="18"/>
              </w:rPr>
            </w:pPr>
          </w:p>
        </w:tc>
        <w:tc>
          <w:tcPr>
            <w:tcW w:w="5333" w:type="dxa"/>
            <w:gridSpan w:val="2"/>
            <w:vAlign w:val="center"/>
          </w:tcPr>
          <w:p>
            <w:pPr>
              <w:spacing w:line="240" w:lineRule="auto"/>
              <w:jc w:val="center"/>
              <w:rPr>
                <w:bCs/>
                <w:sz w:val="18"/>
                <w:szCs w:val="18"/>
              </w:rPr>
            </w:pPr>
          </w:p>
        </w:tc>
        <w:tc>
          <w:tcPr>
            <w:tcW w:w="615" w:type="dxa"/>
            <w:vAlign w:val="center"/>
          </w:tcPr>
          <w:p>
            <w:pPr>
              <w:spacing w:line="240" w:lineRule="auto"/>
              <w:rPr>
                <w:bCs/>
                <w:sz w:val="18"/>
                <w:szCs w:val="18"/>
              </w:rPr>
            </w:pPr>
          </w:p>
        </w:tc>
        <w:tc>
          <w:tcPr>
            <w:tcW w:w="735" w:type="dxa"/>
            <w:vAlign w:val="center"/>
          </w:tcPr>
          <w:p>
            <w:pPr>
              <w:spacing w:line="240" w:lineRule="auto"/>
              <w:jc w:val="center"/>
              <w:rPr>
                <w:bCs/>
                <w:sz w:val="18"/>
                <w:szCs w:val="18"/>
              </w:rPr>
            </w:pPr>
          </w:p>
        </w:tc>
        <w:tc>
          <w:tcPr>
            <w:tcW w:w="975" w:type="dxa"/>
            <w:vAlign w:val="center"/>
          </w:tcPr>
          <w:p>
            <w:pPr>
              <w:spacing w:line="240" w:lineRule="auto"/>
              <w:jc w:val="center"/>
              <w:rPr>
                <w:bCs/>
                <w:sz w:val="18"/>
                <w:szCs w:val="18"/>
              </w:rPr>
            </w:pPr>
          </w:p>
        </w:tc>
        <w:tc>
          <w:tcPr>
            <w:tcW w:w="870" w:type="dxa"/>
            <w:vAlign w:val="center"/>
          </w:tcPr>
          <w:p>
            <w:pPr>
              <w:spacing w:line="240" w:lineRule="auto"/>
              <w:jc w:val="center"/>
              <w:rPr>
                <w:bCs/>
                <w:sz w:val="18"/>
                <w:szCs w:val="18"/>
              </w:rPr>
            </w:pPr>
          </w:p>
        </w:tc>
      </w:tr>
    </w:tbl>
    <w:p>
      <w:pPr>
        <w:pStyle w:val="5"/>
        <w:spacing w:before="93" w:after="93"/>
        <w:ind w:firstLine="560"/>
      </w:pPr>
      <w:r>
        <w:t>五、培养质量</w:t>
      </w:r>
    </w:p>
    <w:p>
      <w:pPr>
        <w:autoSpaceDE w:val="0"/>
        <w:autoSpaceDN w:val="0"/>
        <w:adjustRightInd w:val="0"/>
        <w:ind w:firstLine="480" w:firstLineChars="200"/>
        <w:jc w:val="left"/>
        <w:rPr>
          <w:szCs w:val="24"/>
        </w:rPr>
      </w:pPr>
      <w:r>
        <w:rPr>
          <w:szCs w:val="24"/>
        </w:rPr>
        <w:t>（一）</w:t>
      </w:r>
      <w:r>
        <w:rPr>
          <w:b/>
          <w:bCs/>
          <w:szCs w:val="24"/>
        </w:rPr>
        <w:t>素质要求：</w:t>
      </w:r>
      <w:r>
        <w:rPr>
          <w:szCs w:val="24"/>
        </w:rPr>
        <w:t>树立正确的世界观、人生观和价值观，具有正确的政治方向和优良的道德品质；具备健康的体魄和良好的心理素质，具有较强的适应性和自我调节能力；具有良好的职业素养和敬业精神。</w:t>
      </w:r>
    </w:p>
    <w:p>
      <w:pPr>
        <w:autoSpaceDE w:val="0"/>
        <w:autoSpaceDN w:val="0"/>
        <w:adjustRightInd w:val="0"/>
        <w:ind w:firstLine="482" w:firstLineChars="200"/>
        <w:rPr>
          <w:szCs w:val="24"/>
        </w:rPr>
      </w:pPr>
      <w:r>
        <w:rPr>
          <w:b/>
          <w:bCs/>
          <w:szCs w:val="24"/>
        </w:rPr>
        <w:t>（二）知识要求：</w:t>
      </w:r>
      <w:r>
        <w:rPr>
          <w:szCs w:val="24"/>
        </w:rPr>
        <w:t>掌握文化产业管理学基本理论、文化产业创意与策划相关的基本知识，具有较强的职业素养和写作能力；掌握文化产业中各个行业以及综合经营管理中企业的盈利方法及其模式；了解国内外本学科的理论前沿和发展动态。</w:t>
      </w:r>
    </w:p>
    <w:p>
      <w:pPr>
        <w:autoSpaceDE w:val="0"/>
        <w:autoSpaceDN w:val="0"/>
        <w:adjustRightInd w:val="0"/>
        <w:ind w:firstLine="482" w:firstLineChars="200"/>
        <w:rPr>
          <w:szCs w:val="24"/>
        </w:rPr>
      </w:pPr>
      <w:r>
        <w:rPr>
          <w:b/>
          <w:bCs/>
          <w:szCs w:val="24"/>
        </w:rPr>
        <w:t>（三）能力要求：</w:t>
      </w:r>
      <w:r>
        <w:rPr>
          <w:szCs w:val="24"/>
        </w:rPr>
        <w:t>对文化资源的融合、创新、转化能力；文化创意及策划能力；文化市场调查与预测能力；从事综合管理、问题协调和人际沟通的能力；文化产业运营、管理的信息化辅助能力；运用管理信息系统和定量分析技术辅助决策的能力；文化产业的项目策划、开发、推介及运营的能力。</w:t>
      </w:r>
    </w:p>
    <w:p>
      <w:pPr>
        <w:autoSpaceDE w:val="0"/>
        <w:autoSpaceDN w:val="0"/>
        <w:adjustRightInd w:val="0"/>
        <w:ind w:firstLine="482" w:firstLineChars="200"/>
        <w:rPr>
          <w:szCs w:val="24"/>
        </w:rPr>
      </w:pPr>
      <w:r>
        <w:rPr>
          <w:b/>
          <w:bCs/>
          <w:szCs w:val="24"/>
        </w:rPr>
        <w:t>（四）技能要求：</w:t>
      </w:r>
      <w:r>
        <w:rPr>
          <w:szCs w:val="24"/>
        </w:rPr>
        <w:t>具备计算机基本操作技能；掌握平面设计、数字媒体、新媒体等基本技能；具有文案策划与写作技能。</w:t>
      </w:r>
    </w:p>
    <w:p>
      <w:pPr>
        <w:pStyle w:val="5"/>
        <w:spacing w:before="93" w:after="93"/>
        <w:ind w:firstLine="560"/>
      </w:pPr>
      <w:r>
        <w:t>六、毕业生就业创业</w:t>
      </w:r>
    </w:p>
    <w:p>
      <w:pPr>
        <w:autoSpaceDE w:val="0"/>
        <w:autoSpaceDN w:val="0"/>
        <w:adjustRightInd w:val="0"/>
        <w:ind w:firstLine="480" w:firstLineChars="200"/>
        <w:rPr>
          <w:szCs w:val="24"/>
        </w:rPr>
      </w:pPr>
      <w:r>
        <w:rPr>
          <w:szCs w:val="24"/>
        </w:rPr>
        <w:t>2022届毕业生情况：2018级总人数61人，其中休学复学1人，正常毕业61人。考取硕士研究生18人（含出国留学），其中12人入读</w:t>
      </w:r>
      <w:r>
        <w:rPr>
          <w:rFonts w:hint="eastAsia"/>
          <w:szCs w:val="24"/>
        </w:rPr>
        <w:t>“</w:t>
      </w:r>
      <w:r>
        <w:rPr>
          <w:szCs w:val="24"/>
        </w:rPr>
        <w:t>双一流</w:t>
      </w:r>
      <w:r>
        <w:rPr>
          <w:rFonts w:hint="eastAsia"/>
          <w:szCs w:val="24"/>
        </w:rPr>
        <w:t>”</w:t>
      </w:r>
      <w:r>
        <w:rPr>
          <w:szCs w:val="24"/>
        </w:rPr>
        <w:t>高校，占比67％，考研成功率达34.62%；毕业前一次性就业率超过85%，结业落实率88.68%，截至2022年8月底，最终就业率为96.08%，居全学院第一位。</w:t>
      </w:r>
    </w:p>
    <w:p>
      <w:pPr>
        <w:autoSpaceDE w:val="0"/>
        <w:autoSpaceDN w:val="0"/>
        <w:adjustRightInd w:val="0"/>
        <w:ind w:firstLine="480" w:firstLineChars="200"/>
        <w:jc w:val="left"/>
        <w:rPr>
          <w:szCs w:val="24"/>
        </w:rPr>
      </w:pPr>
      <w:r>
        <w:rPr>
          <w:szCs w:val="24"/>
        </w:rPr>
        <w:t>根据后续追踪了解观察，本专业毕业生发展情况良好，就业单位满意率达90%以上。</w:t>
      </w:r>
    </w:p>
    <w:p>
      <w:pPr>
        <w:pStyle w:val="5"/>
        <w:spacing w:before="93" w:after="93"/>
        <w:ind w:firstLine="560"/>
      </w:pPr>
      <w:r>
        <w:t>七、专业发展趋势</w:t>
      </w:r>
    </w:p>
    <w:p>
      <w:pPr>
        <w:tabs>
          <w:tab w:val="left" w:pos="720"/>
        </w:tabs>
        <w:autoSpaceDE w:val="0"/>
        <w:autoSpaceDN w:val="0"/>
        <w:adjustRightInd w:val="0"/>
        <w:ind w:firstLine="480" w:firstLineChars="200"/>
      </w:pPr>
      <w:r>
        <w:t>连续四届毕业生培养成效明显，进一步扩大了专业知名度，社会对专业的评价呈良性化、上升化态势。正因如此，本专业历年就读学生人数保持稳定增长。2019级公共管理类新生专业分流时，第一志愿选择文化产业管理专业者超过23%，最终有81人入读文化产业管理专业，就读人数比2018级增长35%，比2015级增长92.9%；2022年恢复按照专业单独招生后，一次性招录满额89人。五年时间，招生增长率接近翻倍。目前本专业在读人数共323人。</w:t>
      </w:r>
    </w:p>
    <w:p>
      <w:pPr>
        <w:tabs>
          <w:tab w:val="left" w:pos="720"/>
        </w:tabs>
        <w:autoSpaceDE w:val="0"/>
        <w:autoSpaceDN w:val="0"/>
        <w:adjustRightInd w:val="0"/>
        <w:ind w:firstLine="480" w:firstLineChars="200"/>
      </w:pPr>
      <w:r>
        <w:t>2019年一季度全国规模以上文化及相关产业企业实现营业收入19799亿元，比上年同期增长8.3%，比2018年全年加快0.1个百分点；2020年以来，受新冠肺炎疫情影响，多个行业呈现下滑状态，而文化产业总体继续保持较快增长的态势。</w:t>
      </w:r>
    </w:p>
    <w:p>
      <w:pPr>
        <w:autoSpaceDE w:val="0"/>
        <w:autoSpaceDN w:val="0"/>
        <w:adjustRightInd w:val="0"/>
        <w:ind w:firstLine="480" w:firstLineChars="200"/>
      </w:pPr>
      <w:r>
        <w:t>习近平总书记指出，谋划</w:t>
      </w:r>
      <w:r>
        <w:rPr>
          <w:rFonts w:hint="eastAsia"/>
        </w:rPr>
        <w:t>“</w:t>
      </w:r>
      <w:r>
        <w:t>十四五</w:t>
      </w:r>
      <w:r>
        <w:rPr>
          <w:rFonts w:hint="eastAsia"/>
        </w:rPr>
        <w:t>”</w:t>
      </w:r>
      <w:r>
        <w:t>时期发展，要高度重视发展文化产业。发展文化产业是满足人民多样化、高品位文化需求的重要基础，也是激发文化创造活力、推进文化强国建设的必然要求。</w:t>
      </w:r>
      <w:r>
        <w:rPr>
          <w:rFonts w:hint="eastAsia"/>
        </w:rPr>
        <w:t>“</w:t>
      </w:r>
      <w:r>
        <w:t>十三五</w:t>
      </w:r>
      <w:r>
        <w:rPr>
          <w:rFonts w:hint="eastAsia"/>
        </w:rPr>
        <w:t>”</w:t>
      </w:r>
      <w:r>
        <w:t>期间，在以习近平同志为核心的党中央坚强领导下，在各级党委政府大力推动和社会各界共同努力下，我国文化产业繁荣发展，2015年至2019年，全国文化及相关产业增加值从2.7万亿元增长到超过4.4万亿元，年均增速接近13%，占同期国内生产总值比重从3.95%上升到4.5%，文化产业在促进国民经济转型升级和提质增效、满足人民精神文化生活新期待、提高中华文化影响力和国家文化软实力等方面发挥了重要作用。</w:t>
      </w:r>
    </w:p>
    <w:p>
      <w:pPr>
        <w:autoSpaceDE w:val="0"/>
        <w:autoSpaceDN w:val="0"/>
        <w:adjustRightInd w:val="0"/>
        <w:ind w:firstLine="480" w:firstLineChars="200"/>
      </w:pPr>
      <w:r>
        <w:rPr>
          <w:rFonts w:hint="eastAsia"/>
        </w:rPr>
        <w:t>“</w:t>
      </w:r>
      <w:r>
        <w:t>十三五</w:t>
      </w:r>
      <w:r>
        <w:rPr>
          <w:rFonts w:hint="eastAsia"/>
        </w:rPr>
        <w:t>”</w:t>
      </w:r>
      <w:r>
        <w:t>规划纲要提出</w:t>
      </w:r>
      <w:r>
        <w:rPr>
          <w:rFonts w:hint="eastAsia"/>
        </w:rPr>
        <w:t>“</w:t>
      </w:r>
      <w:r>
        <w:t>文化产业成为国民经济支柱性产业</w:t>
      </w:r>
      <w:r>
        <w:rPr>
          <w:rFonts w:hint="eastAsia"/>
        </w:rPr>
        <w:t>”</w:t>
      </w:r>
      <w:r>
        <w:t>的目标，是继党的十七届六中全会《决定》后，中央全会文件再次提出推动文化产业成为国民经济支柱性产业。《中华人民共和国国民经济和社会发展第十四个五年规划和2035年远景目标纲要》提出，要大力发展文化事业和文化产业，国家有关部委相继出台了</w:t>
      </w:r>
      <w:r>
        <w:rPr>
          <w:rFonts w:hint="eastAsia"/>
        </w:rPr>
        <w:t>“</w:t>
      </w:r>
      <w:r>
        <w:t>十四五</w:t>
      </w:r>
      <w:r>
        <w:rPr>
          <w:rFonts w:hint="eastAsia"/>
        </w:rPr>
        <w:t>”</w:t>
      </w:r>
      <w:r>
        <w:t>文化改革发展规划、《</w:t>
      </w:r>
      <w:r>
        <w:rPr>
          <w:rFonts w:hint="eastAsia"/>
        </w:rPr>
        <w:t>“</w:t>
      </w:r>
      <w:r>
        <w:t>十四五</w:t>
      </w:r>
      <w:r>
        <w:rPr>
          <w:rFonts w:hint="eastAsia"/>
        </w:rPr>
        <w:t>”</w:t>
      </w:r>
      <w:r>
        <w:t>文化和旅游发展规划》、《</w:t>
      </w:r>
      <w:r>
        <w:rPr>
          <w:rFonts w:hint="eastAsia"/>
        </w:rPr>
        <w:t>“</w:t>
      </w:r>
      <w:r>
        <w:t>十四五</w:t>
      </w:r>
      <w:r>
        <w:rPr>
          <w:rFonts w:hint="eastAsia"/>
        </w:rPr>
        <w:t>“</w:t>
      </w:r>
      <w:r>
        <w:t>文化产业发展规划》。综合判断，</w:t>
      </w:r>
      <w:r>
        <w:rPr>
          <w:rFonts w:hint="eastAsia"/>
        </w:rPr>
        <w:t>“</w:t>
      </w:r>
      <w:r>
        <w:t>十四五</w:t>
      </w:r>
      <w:r>
        <w:rPr>
          <w:rFonts w:hint="eastAsia"/>
        </w:rPr>
        <w:t>”</w:t>
      </w:r>
      <w:r>
        <w:t>时期我国文化产业仍处于大有可为的重要战略机遇期。</w:t>
      </w:r>
    </w:p>
    <w:p>
      <w:pPr>
        <w:pStyle w:val="5"/>
        <w:spacing w:before="93" w:after="93"/>
        <w:ind w:firstLine="560"/>
      </w:pPr>
      <w:r>
        <w:t>八、专业人才需求分析</w:t>
      </w:r>
    </w:p>
    <w:p>
      <w:pPr>
        <w:autoSpaceDE w:val="0"/>
        <w:autoSpaceDN w:val="0"/>
        <w:adjustRightInd w:val="0"/>
        <w:ind w:firstLine="480" w:firstLineChars="200"/>
      </w:pPr>
      <w:r>
        <w:t>文化产业管理专业关注国家文化工程建设和国家文化软实力建设，包括中华优秀文化</w:t>
      </w:r>
      <w:r>
        <w:rPr>
          <w:rFonts w:hint="eastAsia"/>
        </w:rPr>
        <w:t>“</w:t>
      </w:r>
      <w:r>
        <w:t>走出去</w:t>
      </w:r>
      <w:r>
        <w:rPr>
          <w:rFonts w:hint="eastAsia"/>
        </w:rPr>
        <w:t>”</w:t>
      </w:r>
      <w:r>
        <w:t>、中华文化的全球化表达以及社会主义核心价值体系的建设等，充分发挥优秀传统文化在弘扬文化发展、提升文化自信的重要作用。</w:t>
      </w:r>
    </w:p>
    <w:p>
      <w:pPr>
        <w:tabs>
          <w:tab w:val="left" w:pos="720"/>
        </w:tabs>
        <w:autoSpaceDE w:val="0"/>
        <w:autoSpaceDN w:val="0"/>
        <w:adjustRightInd w:val="0"/>
        <w:ind w:firstLine="480" w:firstLineChars="200"/>
      </w:pPr>
      <w:r>
        <w:t>这就决定了新时代的文化产业管理专业发展趋势有四大特征：一，文化产业管理是一个与国家战略性产业紧密相关的专业；二，文化产业管理人才培养的核心是</w:t>
      </w:r>
      <w:r>
        <w:rPr>
          <w:rFonts w:hint="eastAsia"/>
        </w:rPr>
        <w:t>“</w:t>
      </w:r>
      <w:r>
        <w:t>立德树人</w:t>
      </w:r>
      <w:r>
        <w:rPr>
          <w:rFonts w:hint="eastAsia"/>
        </w:rPr>
        <w:t>”</w:t>
      </w:r>
      <w:r>
        <w:t>，坚定中国特色社会主义文化的引导；三，文化产业管理专业与其他专业交叉融合；四，文化产业管理专业挖掘和培养创意人才。</w:t>
      </w:r>
    </w:p>
    <w:p>
      <w:pPr>
        <w:tabs>
          <w:tab w:val="left" w:pos="720"/>
        </w:tabs>
        <w:autoSpaceDE w:val="0"/>
        <w:autoSpaceDN w:val="0"/>
        <w:adjustRightInd w:val="0"/>
        <w:ind w:firstLine="480" w:firstLineChars="200"/>
      </w:pPr>
      <w:r>
        <w:t>统计数据表明，人才资本对经济资本增长的贡献率超过33.5%，而我国尚有超过5000万的文化产业人才缺口。</w:t>
      </w:r>
    </w:p>
    <w:p>
      <w:pPr>
        <w:tabs>
          <w:tab w:val="left" w:pos="720"/>
        </w:tabs>
        <w:autoSpaceDE w:val="0"/>
        <w:autoSpaceDN w:val="0"/>
        <w:adjustRightInd w:val="0"/>
        <w:ind w:firstLine="480" w:firstLineChars="200"/>
      </w:pPr>
      <w:r>
        <w:t>新形势下，文化企业需要理论知识与实践操作技能相统一、专业知识与综合素质相结合的实操技术性人才以及核心创意型人才和市场推广型人才。因此，专业培养方面，应着重培养文化产业从业人员的综合职业能力，构建以能力培训为导向的课程体系、改革教学方式和评价体系、打造有特色的实践教学体系、强化校企合作以及多学科融合力度。</w:t>
      </w:r>
    </w:p>
    <w:p>
      <w:pPr>
        <w:pStyle w:val="5"/>
        <w:spacing w:before="93" w:after="93"/>
        <w:ind w:firstLine="560"/>
      </w:pPr>
      <w:r>
        <w:t>九、存在的问题及拟采取的对策措施</w:t>
      </w:r>
    </w:p>
    <w:p>
      <w:pPr>
        <w:pStyle w:val="6"/>
        <w:ind w:firstLine="480"/>
      </w:pPr>
      <w:r>
        <w:t>（一）相关问题</w:t>
      </w:r>
    </w:p>
    <w:p>
      <w:pPr>
        <w:tabs>
          <w:tab w:val="left" w:pos="720"/>
        </w:tabs>
        <w:autoSpaceDE w:val="0"/>
        <w:autoSpaceDN w:val="0"/>
        <w:adjustRightInd w:val="0"/>
        <w:ind w:firstLine="480" w:firstLineChars="200"/>
      </w:pPr>
      <w:r>
        <w:t>1.作为交叉学科存在的文化产业管理专业尚未能形成统一的专业标准、专业规范和专业共同体。由于是交叉学科，文化产业管理专业在人才培养目标上边界模糊、目标不清晰的情况依然存在。部分院校偏重管理目标，部分院校偏重文化创意目标，与其他专业的边界容易交叉。</w:t>
      </w:r>
    </w:p>
    <w:p>
      <w:pPr>
        <w:tabs>
          <w:tab w:val="left" w:pos="720"/>
        </w:tabs>
        <w:autoSpaceDE w:val="0"/>
        <w:autoSpaceDN w:val="0"/>
        <w:adjustRightInd w:val="0"/>
        <w:ind w:firstLine="480" w:firstLineChars="200"/>
      </w:pPr>
      <w:r>
        <w:t>2.缺少相对统一的课程体系。由于全国各高校文化产业管理专业分设在不同学院内，专业中的核心课程和基础课程在符合管理学培养要求的基础上，多依据本身优势突显特色，也造成了各高校课程设置差异大，没有统一的课程体系标准。</w:t>
      </w:r>
    </w:p>
    <w:p>
      <w:pPr>
        <w:tabs>
          <w:tab w:val="left" w:pos="720"/>
        </w:tabs>
        <w:autoSpaceDE w:val="0"/>
        <w:autoSpaceDN w:val="0"/>
        <w:adjustRightInd w:val="0"/>
        <w:ind w:firstLine="480" w:firstLineChars="200"/>
      </w:pPr>
      <w:r>
        <w:t>3.培养方案面临未来发展的挑战。目前，从全国各高校文化产业管理专业的课程看，基础性、传统性课程偏多，面向新科技变化、文理交叉融合产生的创新性课程较少。</w:t>
      </w:r>
    </w:p>
    <w:p>
      <w:pPr>
        <w:tabs>
          <w:tab w:val="left" w:pos="720"/>
        </w:tabs>
        <w:autoSpaceDE w:val="0"/>
        <w:autoSpaceDN w:val="0"/>
        <w:adjustRightInd w:val="0"/>
        <w:ind w:firstLine="480" w:firstLineChars="200"/>
      </w:pPr>
      <w:r>
        <w:t>4.专职教师总数少且来源单一。虽有高水平学科带头人，但整体上教师数量和学生数量增长不成正比；缺少多元化的招聘机制，唯学历、唯职称论加重教师队伍来源结构的单一化。转型来的多，科班出身的少。文化产业的综合性、交叉性、实践性对授课教师的学科背景有极高的要求，且要求老师们具备一定的从业实践经验。目前，师资力量和专业性质之间存在矛盾，导致</w:t>
      </w:r>
      <w:r>
        <w:rPr>
          <w:rFonts w:hint="eastAsia"/>
        </w:rPr>
        <w:t>“</w:t>
      </w:r>
      <w:r>
        <w:t>老师不能深教、学生只能略懂</w:t>
      </w:r>
      <w:r>
        <w:rPr>
          <w:rFonts w:hint="eastAsia"/>
        </w:rPr>
        <w:t>”</w:t>
      </w:r>
      <w:r>
        <w:t>的局面。</w:t>
      </w:r>
    </w:p>
    <w:p>
      <w:pPr>
        <w:tabs>
          <w:tab w:val="left" w:pos="720"/>
        </w:tabs>
        <w:autoSpaceDE w:val="0"/>
        <w:autoSpaceDN w:val="0"/>
        <w:adjustRightInd w:val="0"/>
        <w:ind w:firstLine="480" w:firstLineChars="200"/>
      </w:pPr>
      <w:r>
        <w:t>5.高校没有形成适合自己院校的师资储备。分科教育使得现有专业壁垒森严，优势教学力量、设施等难以自由交流；部分院校由于学科归属，优势课程和专业核心基础不匹配，外聘教师占比过重，影响学科建设的专业性和稳定性。</w:t>
      </w:r>
    </w:p>
    <w:p>
      <w:pPr>
        <w:pStyle w:val="6"/>
        <w:ind w:firstLine="480"/>
      </w:pPr>
      <w:r>
        <w:t>（二）对策措施</w:t>
      </w:r>
    </w:p>
    <w:p>
      <w:pPr>
        <w:tabs>
          <w:tab w:val="left" w:pos="720"/>
        </w:tabs>
        <w:autoSpaceDE w:val="0"/>
        <w:autoSpaceDN w:val="0"/>
        <w:adjustRightInd w:val="0"/>
        <w:ind w:firstLine="480" w:firstLineChars="200"/>
      </w:pPr>
      <w:r>
        <w:t>2019年2月，中办、国办印发《加快推进教育现代化实施方案（2018-2022）》，提出推进高等教育内涵发展。</w:t>
      </w:r>
      <w:r>
        <w:rPr>
          <w:rFonts w:hint="eastAsia"/>
        </w:rPr>
        <w:t>……</w:t>
      </w:r>
      <w:r>
        <w:t>建设一流本科教育，深入实施</w:t>
      </w:r>
      <w:r>
        <w:rPr>
          <w:rFonts w:hint="eastAsia"/>
        </w:rPr>
        <w:t>“</w:t>
      </w:r>
      <w:r>
        <w:t>六卓越一拔尖</w:t>
      </w:r>
      <w:r>
        <w:rPr>
          <w:rFonts w:hint="eastAsia"/>
        </w:rPr>
        <w:t>”</w:t>
      </w:r>
      <w:r>
        <w:t>计划2.0，实施一流专业建设</w:t>
      </w:r>
      <w:r>
        <w:rPr>
          <w:rFonts w:hint="eastAsia"/>
        </w:rPr>
        <w:t>“</w:t>
      </w:r>
      <w:r>
        <w:t>双万计划</w:t>
      </w:r>
      <w:r>
        <w:rPr>
          <w:rFonts w:hint="eastAsia"/>
        </w:rPr>
        <w:t>”</w:t>
      </w:r>
      <w:r>
        <w:t>，实施创新创业教育改革燎原计划。</w:t>
      </w:r>
    </w:p>
    <w:p>
      <w:pPr>
        <w:tabs>
          <w:tab w:val="left" w:pos="720"/>
        </w:tabs>
        <w:autoSpaceDE w:val="0"/>
        <w:autoSpaceDN w:val="0"/>
        <w:adjustRightInd w:val="0"/>
        <w:ind w:firstLine="480" w:firstLineChars="200"/>
      </w:pPr>
      <w:r>
        <w:t>新文科是不同学科内容融合的创新，注重基础内容与学科发展前沿的要求，文化产业管理专业在建设中也必须走学科深度融合之路。目前，文化产业出现的新发展包括影视、出版、数字设计、动画、舞台艺术、网络文学、沉浸式文化旅游等，都要求文化产业管理专业在管理学、经济学、传播学、艺术学、哲学、文学等学科交叉的基础上建设，还要与数字技术、区域经济地理、金融学、城市规划设计等相关专业融合。</w:t>
      </w:r>
    </w:p>
    <w:p>
      <w:pPr>
        <w:tabs>
          <w:tab w:val="left" w:pos="720"/>
        </w:tabs>
        <w:autoSpaceDE w:val="0"/>
        <w:autoSpaceDN w:val="0"/>
        <w:adjustRightInd w:val="0"/>
        <w:ind w:firstLine="480" w:firstLineChars="200"/>
      </w:pPr>
      <w:r>
        <w:t>有鉴于此，我们提出了方向性的对策：</w:t>
      </w:r>
    </w:p>
    <w:p>
      <w:pPr>
        <w:tabs>
          <w:tab w:val="left" w:pos="720"/>
        </w:tabs>
        <w:autoSpaceDE w:val="0"/>
        <w:autoSpaceDN w:val="0"/>
        <w:adjustRightInd w:val="0"/>
        <w:ind w:firstLine="480" w:firstLineChars="200"/>
      </w:pPr>
      <w:r>
        <w:t>1.强化优化师资力量。</w:t>
      </w:r>
    </w:p>
    <w:p>
      <w:pPr>
        <w:tabs>
          <w:tab w:val="left" w:pos="720"/>
        </w:tabs>
        <w:autoSpaceDE w:val="0"/>
        <w:autoSpaceDN w:val="0"/>
        <w:adjustRightInd w:val="0"/>
        <w:ind w:firstLine="480" w:firstLineChars="200"/>
      </w:pPr>
      <w:r>
        <w:t>加强师资合作与师资培训。打通专业藩篱，通过多方努力，在高校与高校间，高校各院系间达成资源共享的育人共识，以联合课程教学、科研攻关等形式，开展师资培训或者轮训，为教学提供多元化学科视角。加强</w:t>
      </w:r>
      <w:r>
        <w:rPr>
          <w:rFonts w:hint="eastAsia"/>
        </w:rPr>
        <w:t>“</w:t>
      </w:r>
      <w:r>
        <w:t>双师型</w:t>
      </w:r>
      <w:r>
        <w:rPr>
          <w:rFonts w:hint="eastAsia"/>
        </w:rPr>
        <w:t>”</w:t>
      </w:r>
      <w:r>
        <w:t>教师队伍建设。文化产业的学科属性要求教师同时具备丰富的理论知识和市场实践经验。实行</w:t>
      </w:r>
      <w:r>
        <w:rPr>
          <w:rFonts w:hint="eastAsia"/>
        </w:rPr>
        <w:t>“</w:t>
      </w:r>
      <w:r>
        <w:t>双导师制</w:t>
      </w:r>
      <w:r>
        <w:rPr>
          <w:rFonts w:hint="eastAsia"/>
        </w:rPr>
        <w:t>”</w:t>
      </w:r>
      <w:r>
        <w:t>，打通理论教学与实践操作的大动脉，实现理论讲授和业界实践的结合，促进案例分享与实际操作的结合。培育优质的师资团队。培养和引进 国家级高精尖文化产业专业师资，汇聚国际一流学者，聘请外籍专家入驻。健全杰出青年人才培养规划，建立优秀青年人才国际名校名师培养、学术英才重点支持等机制。培养政治过硬、业务精湛、育人高超、方法技术娴熟的师资力量。</w:t>
      </w:r>
    </w:p>
    <w:p>
      <w:pPr>
        <w:tabs>
          <w:tab w:val="left" w:pos="720"/>
        </w:tabs>
        <w:autoSpaceDE w:val="0"/>
        <w:autoSpaceDN w:val="0"/>
        <w:adjustRightInd w:val="0"/>
        <w:ind w:firstLine="480" w:firstLineChars="200"/>
      </w:pPr>
      <w:r>
        <w:t>2.培养方案、课程体系改革。</w:t>
      </w:r>
    </w:p>
    <w:p>
      <w:pPr>
        <w:tabs>
          <w:tab w:val="left" w:pos="720"/>
        </w:tabs>
        <w:autoSpaceDE w:val="0"/>
        <w:autoSpaceDN w:val="0"/>
        <w:adjustRightInd w:val="0"/>
        <w:ind w:firstLine="480" w:firstLineChars="200"/>
      </w:pPr>
      <w:r>
        <w:t>首先，在</w:t>
      </w:r>
      <w:r>
        <w:rPr>
          <w:rFonts w:hint="eastAsia"/>
        </w:rPr>
        <w:t>“</w:t>
      </w:r>
      <w:r>
        <w:t>新文科</w:t>
      </w:r>
      <w:r>
        <w:rPr>
          <w:rFonts w:hint="eastAsia"/>
        </w:rPr>
        <w:t>”</w:t>
      </w:r>
      <w:r>
        <w:t>建设背景下，根据学科、专业发展趋势，和学校、学院教学改革布局，建立紧跟时代的培养方案动态调整机制。其次，努力构建科学合理的课程体系。紧紧扣住人才培养目标，以需求为主导、以应用为原则，调整学科培养方案，形成学科发展史、方法论和学科经典案例相统一的课程体系，培养兼具基础知识储备、组织策划能力以及经营管理能力的多方面应用型人才。第三，着力打造本专业的特色课程。</w:t>
      </w:r>
    </w:p>
    <w:p>
      <w:pPr>
        <w:tabs>
          <w:tab w:val="left" w:pos="720"/>
        </w:tabs>
        <w:autoSpaceDE w:val="0"/>
        <w:autoSpaceDN w:val="0"/>
        <w:adjustRightInd w:val="0"/>
        <w:ind w:firstLine="480" w:firstLineChars="200"/>
      </w:pPr>
      <w:r>
        <w:t>3.加强同行业间交流。</w:t>
      </w:r>
    </w:p>
    <w:p>
      <w:pPr>
        <w:tabs>
          <w:tab w:val="left" w:pos="720"/>
        </w:tabs>
        <w:autoSpaceDE w:val="0"/>
        <w:autoSpaceDN w:val="0"/>
        <w:adjustRightInd w:val="0"/>
        <w:ind w:firstLine="480" w:firstLineChars="200"/>
      </w:pPr>
      <w:r>
        <w:t>4.加大实践课比重。</w:t>
      </w:r>
    </w:p>
    <w:p>
      <w:pPr>
        <w:tabs>
          <w:tab w:val="left" w:pos="720"/>
        </w:tabs>
        <w:autoSpaceDE w:val="0"/>
        <w:autoSpaceDN w:val="0"/>
        <w:adjustRightInd w:val="0"/>
        <w:ind w:firstLine="480" w:firstLineChars="200"/>
      </w:pPr>
      <w:r>
        <w:t>增加实践课程的比例。把实践课程的目标、过程、要求和考核标准纳入到完整的教学计划中。建立文化产业管理实验室。依照文化科技、文化金融、文化旅游融合发展的产业需求，融合移动互联网、人工智能、大数据、区块链等科学技术的成熟应用，积极整合国家各部委资源和社会资源，建设文化产业管理专业实验室。</w:t>
      </w:r>
    </w:p>
    <w:p>
      <w:pPr>
        <w:tabs>
          <w:tab w:val="left" w:pos="720"/>
        </w:tabs>
        <w:autoSpaceDE w:val="0"/>
        <w:autoSpaceDN w:val="0"/>
        <w:adjustRightInd w:val="0"/>
        <w:ind w:firstLine="480" w:firstLineChars="200"/>
      </w:pPr>
      <w:r>
        <w:rPr>
          <w:rFonts w:hint="eastAsia"/>
        </w:rPr>
        <w:t>5.</w:t>
      </w:r>
      <w:r>
        <w:t>积极探索校企、校地合作，将教学科研与社会服务有机统筹结合。</w:t>
      </w:r>
    </w:p>
    <w:p>
      <w:pPr>
        <w:tabs>
          <w:tab w:val="left" w:pos="720"/>
        </w:tabs>
        <w:autoSpaceDE w:val="0"/>
        <w:autoSpaceDN w:val="0"/>
        <w:adjustRightInd w:val="0"/>
        <w:ind w:firstLine="480" w:firstLineChars="200"/>
      </w:pPr>
      <w:r>
        <w:rPr>
          <w:rFonts w:hint="eastAsia"/>
        </w:rPr>
        <w:t>6.</w:t>
      </w:r>
      <w:r>
        <w:t>大力提升就业质量</w:t>
      </w:r>
    </w:p>
    <w:p>
      <w:pPr>
        <w:tabs>
          <w:tab w:val="left" w:pos="720"/>
        </w:tabs>
        <w:autoSpaceDE w:val="0"/>
        <w:autoSpaceDN w:val="0"/>
        <w:adjustRightInd w:val="0"/>
        <w:ind w:firstLine="480" w:firstLineChars="200"/>
      </w:pPr>
      <w:r>
        <w:t>一是专业与行业相结合，加强与实践基地、用人单位的互动，结合教学与实习提升改进。二是线上与线下相结合，充分发挥互联网、新媒体作用。三是学生发展与</w:t>
      </w:r>
      <w:r>
        <w:rPr>
          <w:rFonts w:hint="eastAsia"/>
        </w:rPr>
        <w:t>“</w:t>
      </w:r>
      <w:r>
        <w:t>双创</w:t>
      </w:r>
      <w:r>
        <w:rPr>
          <w:rFonts w:hint="eastAsia"/>
        </w:rPr>
        <w:t>”</w:t>
      </w:r>
      <w:r>
        <w:t>相结合，高度重视大学生创新创业项目的训练、培育和指导，提高双创转化率。</w:t>
      </w:r>
    </w:p>
    <w:p>
      <w:pPr>
        <w:ind w:firstLine="480" w:firstLineChars="200"/>
        <w:rPr>
          <w:rFonts w:eastAsiaTheme="minorEastAsia"/>
        </w:rPr>
      </w:pPr>
      <w:r>
        <w:rPr>
          <w:rFonts w:eastAsiaTheme="minorEastAsia"/>
        </w:rPr>
        <w:br w:type="page"/>
      </w:r>
    </w:p>
    <w:p>
      <w:pPr>
        <w:pStyle w:val="4"/>
        <w:ind w:firstLine="600"/>
      </w:pPr>
      <w:bookmarkStart w:id="562" w:name="_Toc3728"/>
      <w:r>
        <w:rPr>
          <w:rFonts w:hint="eastAsia"/>
          <w:lang w:val="en-US"/>
        </w:rPr>
        <w:t>专业五十七：</w:t>
      </w:r>
      <w:r>
        <w:t>行政管理</w:t>
      </w:r>
      <w:bookmarkEnd w:id="562"/>
    </w:p>
    <w:p>
      <w:pPr>
        <w:pStyle w:val="5"/>
        <w:spacing w:before="93" w:after="93"/>
        <w:ind w:firstLine="560"/>
      </w:pPr>
      <w:r>
        <w:t>一、培养目标与规格</w:t>
      </w:r>
    </w:p>
    <w:p>
      <w:pPr>
        <w:pStyle w:val="6"/>
        <w:spacing w:line="380" w:lineRule="exact"/>
        <w:ind w:firstLine="480"/>
      </w:pPr>
      <w:r>
        <w:t>培养目标</w:t>
      </w:r>
    </w:p>
    <w:p>
      <w:pPr>
        <w:spacing w:line="380" w:lineRule="exact"/>
        <w:ind w:firstLine="480" w:firstLineChars="200"/>
        <w:rPr>
          <w:rFonts w:eastAsiaTheme="minorEastAsia"/>
          <w:szCs w:val="24"/>
        </w:rPr>
      </w:pPr>
      <w:r>
        <w:rPr>
          <w:rFonts w:eastAsiaTheme="minorEastAsia"/>
          <w:szCs w:val="24"/>
        </w:rPr>
        <w:t>本专业培养具有较高的道德素质修养，具有人文科学、自然科学基础、外语、计算机应用能力，具有强烈的社会责任感以及各种学习能力、创新能力等，熟悉国内外相关领域发展现状、趋势和社会调查方法，扎实的行政管理领域的基本知识和技能，具有创新精神和较强的实践能力，掌握行政管理规律，能够解决复杂多变的社会问题，毕业后能在党政机关、企事业单位、大专院校和社会团体从事行政管理工作与教学、科研工作的应用型、复合型高级专门人才。</w:t>
      </w:r>
    </w:p>
    <w:p>
      <w:pPr>
        <w:pStyle w:val="6"/>
        <w:spacing w:line="380" w:lineRule="exact"/>
        <w:ind w:firstLine="480"/>
      </w:pPr>
      <w:r>
        <w:t>培养规格</w:t>
      </w:r>
    </w:p>
    <w:p>
      <w:pPr>
        <w:spacing w:line="380" w:lineRule="exact"/>
        <w:ind w:firstLine="480" w:firstLineChars="200"/>
        <w:rPr>
          <w:rFonts w:eastAsiaTheme="minorEastAsia"/>
          <w:szCs w:val="24"/>
        </w:rPr>
      </w:pPr>
      <w:r>
        <w:rPr>
          <w:rFonts w:eastAsiaTheme="minorEastAsia"/>
          <w:szCs w:val="24"/>
        </w:rPr>
        <w:t>本专业学生主要学习行政管理学方面的基本理论和基本知识，受到行政学理论研究、公共政策分析、社会调查理论与方法、外语、公文写作和电子政务等方面的基本训练，具备从事行政管理的基本能力及科研的初步能力。</w:t>
      </w:r>
    </w:p>
    <w:p>
      <w:pPr>
        <w:pStyle w:val="5"/>
        <w:spacing w:before="93" w:after="93" w:line="380" w:lineRule="exact"/>
        <w:ind w:firstLine="560"/>
      </w:pPr>
      <w:r>
        <w:t>二、培养能力</w:t>
      </w:r>
    </w:p>
    <w:p>
      <w:pPr>
        <w:pStyle w:val="6"/>
        <w:spacing w:line="380" w:lineRule="exact"/>
        <w:ind w:firstLine="480"/>
      </w:pPr>
      <w:r>
        <w:t>（一）专业设置情况、在校规模、课程设置情况</w:t>
      </w:r>
    </w:p>
    <w:p>
      <w:pPr>
        <w:spacing w:line="380" w:lineRule="exact"/>
        <w:ind w:firstLine="480" w:firstLineChars="200"/>
        <w:rPr>
          <w:rFonts w:eastAsiaTheme="minorEastAsia"/>
          <w:szCs w:val="24"/>
        </w:rPr>
      </w:pPr>
      <w:r>
        <w:rPr>
          <w:rFonts w:eastAsiaTheme="minorEastAsia"/>
          <w:szCs w:val="24"/>
        </w:rPr>
        <w:t>山东农业大学行政管理专业2002年通过教育部门审批，于2003年开始招收行政管理专业本科生，2011年获得行政管理一级硕士点（学术型）授权。2012年，依托公共管理一级学科硕士点，获批行政管理二级硕士点。截至目前，已培养硕士生（包括学术型和专业型硕士）300人左右，本科生1600余人，目前在校本科生500余人，学术型研究生52人，专业硕士研究生191人，其中2022级学硕16人，MPA学员65人。本科毕业生和研究生毕业生因扎实的专业知识和良好的综合素质，成为就业市场上富有竞争力的毕业生群体，深受用人单位青睐。</w:t>
      </w:r>
    </w:p>
    <w:p>
      <w:pPr>
        <w:spacing w:line="380" w:lineRule="exact"/>
        <w:ind w:firstLine="480" w:firstLineChars="200"/>
        <w:rPr>
          <w:rFonts w:eastAsiaTheme="minorEastAsia"/>
          <w:szCs w:val="24"/>
        </w:rPr>
      </w:pPr>
      <w:r>
        <w:rPr>
          <w:rFonts w:eastAsiaTheme="minorEastAsia"/>
          <w:szCs w:val="24"/>
        </w:rPr>
        <w:t>课程设置上，设置了有关政治学、管理学、经济学、社会学、法学及行政学等相关学科的理论课程，同时注重学生的动手能力和动脑能力的培养，设置社会实践、创业实践、教学实习、毕业实习、专业综合实践等相关课程。2022年新修订的本科培养方案中，根据当前信息化、大数据等发展的趋势，增加了相关课程和相关内容。</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8"/>
        <w:gridCol w:w="1800"/>
        <w:gridCol w:w="6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8" w:type="dxa"/>
            <w:vAlign w:val="center"/>
          </w:tcPr>
          <w:p>
            <w:pPr>
              <w:spacing w:line="240" w:lineRule="auto"/>
              <w:jc w:val="center"/>
              <w:rPr>
                <w:kern w:val="0"/>
                <w:sz w:val="21"/>
                <w:szCs w:val="21"/>
              </w:rPr>
            </w:pPr>
            <w:r>
              <w:rPr>
                <w:kern w:val="0"/>
                <w:sz w:val="21"/>
                <w:szCs w:val="21"/>
              </w:rPr>
              <w:t>序号</w:t>
            </w:r>
          </w:p>
        </w:tc>
        <w:tc>
          <w:tcPr>
            <w:tcW w:w="1800" w:type="dxa"/>
            <w:vAlign w:val="center"/>
          </w:tcPr>
          <w:p>
            <w:pPr>
              <w:spacing w:line="240" w:lineRule="auto"/>
              <w:jc w:val="center"/>
              <w:rPr>
                <w:kern w:val="0"/>
                <w:sz w:val="21"/>
                <w:szCs w:val="21"/>
              </w:rPr>
            </w:pPr>
            <w:r>
              <w:rPr>
                <w:kern w:val="0"/>
                <w:sz w:val="21"/>
                <w:szCs w:val="21"/>
              </w:rPr>
              <w:t>课程模块</w:t>
            </w:r>
          </w:p>
        </w:tc>
        <w:tc>
          <w:tcPr>
            <w:tcW w:w="6473" w:type="dxa"/>
            <w:vAlign w:val="center"/>
          </w:tcPr>
          <w:p>
            <w:pPr>
              <w:spacing w:line="240" w:lineRule="auto"/>
              <w:jc w:val="center"/>
              <w:rPr>
                <w:kern w:val="0"/>
                <w:sz w:val="21"/>
                <w:szCs w:val="21"/>
              </w:rPr>
            </w:pPr>
            <w:r>
              <w:rPr>
                <w:kern w:val="0"/>
                <w:sz w:val="21"/>
                <w:szCs w:val="21"/>
              </w:rPr>
              <w:t>课程名称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8" w:type="dxa"/>
            <w:vAlign w:val="center"/>
          </w:tcPr>
          <w:p>
            <w:pPr>
              <w:spacing w:line="240" w:lineRule="auto"/>
              <w:jc w:val="center"/>
              <w:rPr>
                <w:kern w:val="0"/>
                <w:sz w:val="21"/>
                <w:szCs w:val="21"/>
              </w:rPr>
            </w:pPr>
            <w:r>
              <w:rPr>
                <w:kern w:val="0"/>
                <w:sz w:val="21"/>
                <w:szCs w:val="21"/>
              </w:rPr>
              <w:t>1</w:t>
            </w:r>
          </w:p>
        </w:tc>
        <w:tc>
          <w:tcPr>
            <w:tcW w:w="1800" w:type="dxa"/>
            <w:vAlign w:val="center"/>
          </w:tcPr>
          <w:p>
            <w:pPr>
              <w:spacing w:line="240" w:lineRule="auto"/>
              <w:jc w:val="center"/>
              <w:rPr>
                <w:kern w:val="0"/>
                <w:sz w:val="21"/>
                <w:szCs w:val="21"/>
              </w:rPr>
            </w:pPr>
            <w:r>
              <w:rPr>
                <w:kern w:val="0"/>
                <w:sz w:val="21"/>
                <w:szCs w:val="21"/>
              </w:rPr>
              <w:t>学科基础课程</w:t>
            </w:r>
          </w:p>
        </w:tc>
        <w:tc>
          <w:tcPr>
            <w:tcW w:w="6473" w:type="dxa"/>
            <w:vAlign w:val="center"/>
          </w:tcPr>
          <w:p>
            <w:pPr>
              <w:spacing w:line="240" w:lineRule="auto"/>
              <w:rPr>
                <w:kern w:val="0"/>
                <w:sz w:val="21"/>
                <w:szCs w:val="21"/>
              </w:rPr>
            </w:pPr>
            <w:r>
              <w:rPr>
                <w:kern w:val="0"/>
                <w:sz w:val="21"/>
                <w:szCs w:val="21"/>
              </w:rPr>
              <w:t>政治学导论、社会学、社会调查理论与方法、公共管理学、电子政务、组织行为学、公共关系与危机管理、大数据理论与方法等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8" w:type="dxa"/>
            <w:vAlign w:val="center"/>
          </w:tcPr>
          <w:p>
            <w:pPr>
              <w:spacing w:line="240" w:lineRule="auto"/>
              <w:jc w:val="center"/>
              <w:rPr>
                <w:kern w:val="0"/>
                <w:sz w:val="21"/>
                <w:szCs w:val="21"/>
              </w:rPr>
            </w:pPr>
            <w:r>
              <w:rPr>
                <w:kern w:val="0"/>
                <w:sz w:val="21"/>
                <w:szCs w:val="21"/>
              </w:rPr>
              <w:t>2</w:t>
            </w:r>
          </w:p>
        </w:tc>
        <w:tc>
          <w:tcPr>
            <w:tcW w:w="1800" w:type="dxa"/>
            <w:vAlign w:val="center"/>
          </w:tcPr>
          <w:p>
            <w:pPr>
              <w:spacing w:line="240" w:lineRule="auto"/>
              <w:jc w:val="center"/>
              <w:rPr>
                <w:kern w:val="0"/>
                <w:sz w:val="21"/>
                <w:szCs w:val="21"/>
              </w:rPr>
            </w:pPr>
            <w:r>
              <w:rPr>
                <w:kern w:val="0"/>
                <w:sz w:val="21"/>
                <w:szCs w:val="21"/>
              </w:rPr>
              <w:t>专业核心课程</w:t>
            </w:r>
          </w:p>
        </w:tc>
        <w:tc>
          <w:tcPr>
            <w:tcW w:w="6473" w:type="dxa"/>
            <w:vAlign w:val="center"/>
          </w:tcPr>
          <w:p>
            <w:pPr>
              <w:spacing w:line="240" w:lineRule="auto"/>
              <w:rPr>
                <w:kern w:val="0"/>
                <w:sz w:val="21"/>
                <w:szCs w:val="21"/>
              </w:rPr>
            </w:pPr>
            <w:r>
              <w:rPr>
                <w:kern w:val="0"/>
                <w:sz w:val="21"/>
                <w:szCs w:val="21"/>
              </w:rPr>
              <w:t>公务员制度、公共经济学、地方政府学、行政法学、公共人力资源管理、社区管理等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8" w:type="dxa"/>
            <w:vAlign w:val="center"/>
          </w:tcPr>
          <w:p>
            <w:pPr>
              <w:spacing w:line="240" w:lineRule="auto"/>
              <w:jc w:val="center"/>
              <w:rPr>
                <w:kern w:val="0"/>
                <w:sz w:val="21"/>
                <w:szCs w:val="21"/>
              </w:rPr>
            </w:pPr>
            <w:r>
              <w:rPr>
                <w:kern w:val="0"/>
                <w:sz w:val="21"/>
                <w:szCs w:val="21"/>
              </w:rPr>
              <w:t>3</w:t>
            </w:r>
          </w:p>
        </w:tc>
        <w:tc>
          <w:tcPr>
            <w:tcW w:w="1800" w:type="dxa"/>
            <w:vAlign w:val="center"/>
          </w:tcPr>
          <w:p>
            <w:pPr>
              <w:spacing w:line="240" w:lineRule="auto"/>
              <w:jc w:val="center"/>
              <w:rPr>
                <w:kern w:val="0"/>
                <w:sz w:val="21"/>
                <w:szCs w:val="21"/>
              </w:rPr>
            </w:pPr>
            <w:r>
              <w:rPr>
                <w:kern w:val="0"/>
                <w:sz w:val="21"/>
                <w:szCs w:val="21"/>
              </w:rPr>
              <w:t>专业分流课程</w:t>
            </w:r>
          </w:p>
        </w:tc>
        <w:tc>
          <w:tcPr>
            <w:tcW w:w="6473" w:type="dxa"/>
            <w:vAlign w:val="center"/>
          </w:tcPr>
          <w:p>
            <w:pPr>
              <w:spacing w:line="240" w:lineRule="auto"/>
              <w:rPr>
                <w:kern w:val="0"/>
                <w:sz w:val="21"/>
                <w:szCs w:val="21"/>
              </w:rPr>
            </w:pPr>
            <w:r>
              <w:rPr>
                <w:kern w:val="0"/>
                <w:sz w:val="21"/>
                <w:szCs w:val="21"/>
              </w:rPr>
              <w:t>公共管理名著选读、当代西方政治思潮、政治心理学、数字城市建设与管理、行政职业能力测试、申论、社交礼仪等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8" w:type="dxa"/>
            <w:vAlign w:val="center"/>
          </w:tcPr>
          <w:p>
            <w:pPr>
              <w:spacing w:line="240" w:lineRule="auto"/>
              <w:jc w:val="center"/>
              <w:rPr>
                <w:kern w:val="0"/>
                <w:sz w:val="21"/>
                <w:szCs w:val="21"/>
              </w:rPr>
            </w:pPr>
            <w:r>
              <w:rPr>
                <w:kern w:val="0"/>
                <w:sz w:val="21"/>
                <w:szCs w:val="21"/>
              </w:rPr>
              <w:t>4</w:t>
            </w:r>
          </w:p>
        </w:tc>
        <w:tc>
          <w:tcPr>
            <w:tcW w:w="1800" w:type="dxa"/>
            <w:vAlign w:val="center"/>
          </w:tcPr>
          <w:p>
            <w:pPr>
              <w:spacing w:line="240" w:lineRule="auto"/>
              <w:jc w:val="center"/>
              <w:rPr>
                <w:kern w:val="0"/>
                <w:sz w:val="21"/>
                <w:szCs w:val="21"/>
              </w:rPr>
            </w:pPr>
            <w:r>
              <w:rPr>
                <w:kern w:val="0"/>
                <w:sz w:val="21"/>
                <w:szCs w:val="21"/>
              </w:rPr>
              <w:t>专业拓展课程</w:t>
            </w:r>
          </w:p>
        </w:tc>
        <w:tc>
          <w:tcPr>
            <w:tcW w:w="6473" w:type="dxa"/>
            <w:vAlign w:val="center"/>
          </w:tcPr>
          <w:p>
            <w:pPr>
              <w:spacing w:line="240" w:lineRule="auto"/>
              <w:rPr>
                <w:kern w:val="0"/>
                <w:sz w:val="21"/>
                <w:szCs w:val="21"/>
              </w:rPr>
            </w:pPr>
            <w:r>
              <w:rPr>
                <w:kern w:val="0"/>
                <w:sz w:val="21"/>
                <w:szCs w:val="21"/>
              </w:rPr>
              <w:t>行政管理学科前沿、大学生创新创业教育、大学生就业指导等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8" w:type="dxa"/>
            <w:vAlign w:val="center"/>
          </w:tcPr>
          <w:p>
            <w:pPr>
              <w:spacing w:line="240" w:lineRule="auto"/>
              <w:jc w:val="center"/>
              <w:rPr>
                <w:kern w:val="0"/>
                <w:sz w:val="21"/>
                <w:szCs w:val="21"/>
              </w:rPr>
            </w:pPr>
            <w:r>
              <w:rPr>
                <w:kern w:val="0"/>
                <w:sz w:val="21"/>
                <w:szCs w:val="21"/>
              </w:rPr>
              <w:t>5</w:t>
            </w:r>
          </w:p>
        </w:tc>
        <w:tc>
          <w:tcPr>
            <w:tcW w:w="1800" w:type="dxa"/>
            <w:vAlign w:val="center"/>
          </w:tcPr>
          <w:p>
            <w:pPr>
              <w:spacing w:line="240" w:lineRule="auto"/>
              <w:jc w:val="center"/>
              <w:rPr>
                <w:kern w:val="0"/>
                <w:sz w:val="21"/>
                <w:szCs w:val="21"/>
              </w:rPr>
            </w:pPr>
            <w:r>
              <w:rPr>
                <w:kern w:val="0"/>
                <w:sz w:val="21"/>
                <w:szCs w:val="21"/>
              </w:rPr>
              <w:t>实践课程</w:t>
            </w:r>
          </w:p>
        </w:tc>
        <w:tc>
          <w:tcPr>
            <w:tcW w:w="6473" w:type="dxa"/>
            <w:vAlign w:val="center"/>
          </w:tcPr>
          <w:p>
            <w:pPr>
              <w:spacing w:line="240" w:lineRule="auto"/>
              <w:rPr>
                <w:kern w:val="0"/>
                <w:sz w:val="21"/>
                <w:szCs w:val="21"/>
              </w:rPr>
            </w:pPr>
            <w:r>
              <w:rPr>
                <w:kern w:val="0"/>
                <w:sz w:val="21"/>
                <w:szCs w:val="21"/>
              </w:rPr>
              <w:t>创业实践、毕业论文设计、教学实习、专业调查、社会实践等</w:t>
            </w:r>
          </w:p>
        </w:tc>
      </w:tr>
    </w:tbl>
    <w:p>
      <w:pPr>
        <w:pStyle w:val="6"/>
        <w:ind w:firstLine="480"/>
      </w:pPr>
      <w:r>
        <w:t>（二）创新创业教育</w:t>
      </w:r>
    </w:p>
    <w:p>
      <w:pPr>
        <w:autoSpaceDE w:val="0"/>
        <w:autoSpaceDN w:val="0"/>
        <w:adjustRightInd w:val="0"/>
        <w:jc w:val="left"/>
        <w:rPr>
          <w:rFonts w:eastAsiaTheme="minorEastAsia"/>
          <w:kern w:val="0"/>
          <w:szCs w:val="24"/>
        </w:rPr>
      </w:pPr>
      <w:r>
        <w:rPr>
          <w:rFonts w:eastAsiaTheme="minorEastAsia"/>
          <w:kern w:val="0"/>
          <w:szCs w:val="24"/>
        </w:rPr>
        <w:t xml:space="preserve">  </w:t>
      </w:r>
      <w:r>
        <w:rPr>
          <w:kern w:val="0"/>
          <w:szCs w:val="24"/>
        </w:rPr>
        <w:t xml:space="preserve">  </w:t>
      </w:r>
      <w:r>
        <w:rPr>
          <w:rFonts w:eastAsiaTheme="minorEastAsia"/>
          <w:kern w:val="0"/>
          <w:szCs w:val="24"/>
        </w:rPr>
        <w:t>行政管理专业的理论学习主要指校内课堂教学。我校的行政管理专业人才培养，在高度重视理论教学，引导学生掌握扎实的行政管理理论的同时，创新创业教育环节现已形成鲜明特色：</w:t>
      </w:r>
    </w:p>
    <w:p>
      <w:pPr>
        <w:autoSpaceDE w:val="0"/>
        <w:autoSpaceDN w:val="0"/>
        <w:adjustRightInd w:val="0"/>
        <w:ind w:firstLine="480" w:firstLineChars="200"/>
        <w:jc w:val="left"/>
        <w:rPr>
          <w:rFonts w:eastAsiaTheme="minorEastAsia"/>
          <w:kern w:val="0"/>
          <w:szCs w:val="24"/>
        </w:rPr>
      </w:pPr>
      <w:r>
        <w:rPr>
          <w:rFonts w:eastAsiaTheme="minorEastAsia"/>
          <w:kern w:val="0"/>
          <w:szCs w:val="24"/>
        </w:rPr>
        <w:t>一是举办行政管理专场报告会。</w:t>
      </w:r>
      <w:r>
        <w:rPr>
          <w:kern w:val="0"/>
          <w:szCs w:val="24"/>
        </w:rPr>
        <w:t>结合乡村振兴战略，围绕基层治理能力和治理水平现代化，聘</w:t>
      </w:r>
      <w:r>
        <w:rPr>
          <w:rFonts w:eastAsiaTheme="minorEastAsia"/>
          <w:kern w:val="0"/>
          <w:szCs w:val="24"/>
        </w:rPr>
        <w:t>请行政管理一线领导或专家学者做报告，聘请市政部门、乡镇领导、行政执法部门等部门的领导进课堂，请</w:t>
      </w:r>
      <w:r>
        <w:rPr>
          <w:kern w:val="0"/>
          <w:szCs w:val="24"/>
        </w:rPr>
        <w:t>相关领域</w:t>
      </w:r>
      <w:r>
        <w:rPr>
          <w:rFonts w:eastAsiaTheme="minorEastAsia"/>
          <w:kern w:val="0"/>
          <w:szCs w:val="24"/>
        </w:rPr>
        <w:t>专家做社会治理、社区建设、公务员面试、行政领导等专场讲座，提升学生综合分析能力；</w:t>
      </w:r>
    </w:p>
    <w:p>
      <w:pPr>
        <w:autoSpaceDE w:val="0"/>
        <w:autoSpaceDN w:val="0"/>
        <w:adjustRightInd w:val="0"/>
        <w:ind w:firstLine="480"/>
        <w:jc w:val="left"/>
        <w:rPr>
          <w:rFonts w:eastAsiaTheme="minorEastAsia"/>
          <w:kern w:val="0"/>
          <w:szCs w:val="24"/>
        </w:rPr>
      </w:pPr>
      <w:r>
        <w:rPr>
          <w:rFonts w:eastAsiaTheme="minorEastAsia"/>
          <w:kern w:val="0"/>
          <w:szCs w:val="24"/>
        </w:rPr>
        <w:t>二是开办行政管理</w:t>
      </w:r>
      <w:r>
        <w:rPr>
          <w:rFonts w:hint="eastAsia" w:eastAsiaTheme="minorEastAsia"/>
          <w:kern w:val="0"/>
          <w:szCs w:val="24"/>
        </w:rPr>
        <w:t>“</w:t>
      </w:r>
      <w:r>
        <w:rPr>
          <w:rFonts w:eastAsiaTheme="minorEastAsia"/>
          <w:kern w:val="0"/>
          <w:szCs w:val="24"/>
        </w:rPr>
        <w:t>基层干部论坛</w:t>
      </w:r>
      <w:r>
        <w:rPr>
          <w:rFonts w:hint="eastAsia" w:eastAsiaTheme="minorEastAsia"/>
          <w:kern w:val="0"/>
          <w:szCs w:val="24"/>
        </w:rPr>
        <w:t>”</w:t>
      </w:r>
      <w:r>
        <w:rPr>
          <w:rFonts w:eastAsiaTheme="minorEastAsia"/>
          <w:kern w:val="0"/>
          <w:szCs w:val="24"/>
        </w:rPr>
        <w:t>。通过举办基层干部论坛，聘请乡镇长或党委书记做相关</w:t>
      </w:r>
      <w:r>
        <w:rPr>
          <w:kern w:val="0"/>
          <w:szCs w:val="24"/>
        </w:rPr>
        <w:t>新型城镇化、</w:t>
      </w:r>
      <w:r>
        <w:rPr>
          <w:rFonts w:eastAsiaTheme="minorEastAsia"/>
          <w:kern w:val="0"/>
          <w:szCs w:val="24"/>
        </w:rPr>
        <w:t>行政管理、领导力提升等方面的报告，学生现场进行提问互动，注重理论与实践的结合。</w:t>
      </w:r>
    </w:p>
    <w:p>
      <w:pPr>
        <w:autoSpaceDE w:val="0"/>
        <w:autoSpaceDN w:val="0"/>
        <w:adjustRightInd w:val="0"/>
        <w:ind w:firstLine="480"/>
        <w:jc w:val="left"/>
        <w:rPr>
          <w:rFonts w:eastAsiaTheme="minorEastAsia"/>
          <w:kern w:val="0"/>
          <w:szCs w:val="24"/>
        </w:rPr>
      </w:pPr>
      <w:r>
        <w:rPr>
          <w:rFonts w:eastAsiaTheme="minorEastAsia"/>
          <w:kern w:val="0"/>
          <w:szCs w:val="24"/>
        </w:rPr>
        <w:t>三是组织参加高层次的案例分析大赛</w:t>
      </w:r>
      <w:r>
        <w:rPr>
          <w:kern w:val="0"/>
          <w:szCs w:val="24"/>
        </w:rPr>
        <w:t>。</w:t>
      </w:r>
      <w:r>
        <w:rPr>
          <w:rFonts w:eastAsiaTheme="minorEastAsia"/>
          <w:kern w:val="0"/>
          <w:szCs w:val="24"/>
        </w:rPr>
        <w:t>20</w:t>
      </w:r>
      <w:r>
        <w:rPr>
          <w:kern w:val="0"/>
          <w:szCs w:val="24"/>
        </w:rPr>
        <w:t>22年</w:t>
      </w:r>
      <w:r>
        <w:rPr>
          <w:rFonts w:eastAsiaTheme="minorEastAsia"/>
          <w:kern w:val="0"/>
          <w:szCs w:val="24"/>
        </w:rPr>
        <w:t>组织本科学生参加清华大学主办的全国最高层次的公共政策案例分析大赛</w:t>
      </w:r>
      <w:r>
        <w:rPr>
          <w:kern w:val="0"/>
          <w:szCs w:val="24"/>
        </w:rPr>
        <w:t>、研究生参加山东省MPA案例大赛</w:t>
      </w:r>
      <w:r>
        <w:rPr>
          <w:rFonts w:eastAsiaTheme="minorEastAsia"/>
          <w:kern w:val="0"/>
          <w:szCs w:val="24"/>
        </w:rPr>
        <w:t>。</w:t>
      </w:r>
      <w:r>
        <w:rPr>
          <w:kern w:val="0"/>
          <w:szCs w:val="24"/>
        </w:rPr>
        <w:t>指导学生参与省创和国创项目，</w:t>
      </w:r>
      <w:r>
        <w:rPr>
          <w:rFonts w:eastAsiaTheme="minorEastAsia"/>
          <w:kern w:val="0"/>
          <w:szCs w:val="24"/>
        </w:rPr>
        <w:t>将现实生活中行政管理的重大问题，通过社会调研、多次召开论辩会和教师指导会，认真写作调研报告，提升学生组织归纳能力、材料搜集能力、分析问题能力、激辩能力、管理组织能力和决策能力。</w:t>
      </w:r>
    </w:p>
    <w:p>
      <w:pPr>
        <w:autoSpaceDE w:val="0"/>
        <w:autoSpaceDN w:val="0"/>
        <w:adjustRightInd w:val="0"/>
        <w:ind w:firstLine="480"/>
        <w:jc w:val="left"/>
        <w:rPr>
          <w:rFonts w:eastAsiaTheme="minorEastAsia"/>
          <w:kern w:val="0"/>
          <w:szCs w:val="24"/>
        </w:rPr>
      </w:pPr>
      <w:r>
        <w:rPr>
          <w:rFonts w:eastAsiaTheme="minorEastAsia"/>
          <w:kern w:val="0"/>
          <w:szCs w:val="24"/>
        </w:rPr>
        <w:t>四是组织</w:t>
      </w:r>
      <w:r>
        <w:rPr>
          <w:rFonts w:hint="eastAsia" w:eastAsiaTheme="minorEastAsia"/>
          <w:kern w:val="0"/>
          <w:szCs w:val="24"/>
        </w:rPr>
        <w:t>“</w:t>
      </w:r>
      <w:r>
        <w:rPr>
          <w:rFonts w:eastAsiaTheme="minorEastAsia"/>
          <w:kern w:val="0"/>
          <w:szCs w:val="24"/>
        </w:rPr>
        <w:t>读书沙龙</w:t>
      </w:r>
      <w:r>
        <w:rPr>
          <w:rFonts w:hint="eastAsia" w:eastAsiaTheme="minorEastAsia"/>
          <w:kern w:val="0"/>
          <w:szCs w:val="24"/>
        </w:rPr>
        <w:t>”</w:t>
      </w:r>
      <w:r>
        <w:rPr>
          <w:rFonts w:eastAsiaTheme="minorEastAsia"/>
          <w:kern w:val="0"/>
          <w:szCs w:val="24"/>
        </w:rPr>
        <w:t>活动。通过多读书、读好书，举办读书交流报告会等形式，提高学生理性思考和理论归纳能力。激发学生的学习兴趣和提高读书积极性，在论辩中学习，在学习中论辩。</w:t>
      </w:r>
    </w:p>
    <w:p>
      <w:pPr>
        <w:autoSpaceDE w:val="0"/>
        <w:autoSpaceDN w:val="0"/>
        <w:adjustRightInd w:val="0"/>
        <w:jc w:val="left"/>
        <w:rPr>
          <w:rFonts w:eastAsiaTheme="minorEastAsia"/>
          <w:kern w:val="0"/>
          <w:szCs w:val="24"/>
        </w:rPr>
      </w:pPr>
      <w:r>
        <w:rPr>
          <w:rFonts w:eastAsiaTheme="minorEastAsia"/>
          <w:kern w:val="0"/>
          <w:szCs w:val="24"/>
        </w:rPr>
        <w:t xml:space="preserve">    五是设置行政管理大学生研究训练计划（Students Research Training）（简称SRT计划）。充分调动学生学术研究积极性，组织大学生参与教师科研项目。同时，着力强化实践性教学环节，提升专业学生实践综合能力。</w:t>
      </w:r>
      <w:r>
        <w:rPr>
          <w:kern w:val="0"/>
          <w:szCs w:val="24"/>
        </w:rPr>
        <w:t>2021年共有8名本科生和4名研究生</w:t>
      </w:r>
      <w:r>
        <w:rPr>
          <w:rFonts w:eastAsiaTheme="minorEastAsia"/>
          <w:kern w:val="0"/>
          <w:szCs w:val="24"/>
        </w:rPr>
        <w:t>参加</w:t>
      </w:r>
      <w:r>
        <w:rPr>
          <w:rFonts w:hint="eastAsia" w:eastAsiaTheme="minorEastAsia"/>
          <w:kern w:val="0"/>
          <w:szCs w:val="24"/>
        </w:rPr>
        <w:t>“</w:t>
      </w:r>
      <w:r>
        <w:rPr>
          <w:rFonts w:eastAsiaTheme="minorEastAsia"/>
          <w:kern w:val="0"/>
          <w:szCs w:val="24"/>
        </w:rPr>
        <w:t>山东省经济社会综合调查（泰安）</w:t>
      </w:r>
      <w:r>
        <w:rPr>
          <w:rFonts w:hint="eastAsia" w:eastAsiaTheme="minorEastAsia"/>
          <w:kern w:val="0"/>
          <w:szCs w:val="24"/>
        </w:rPr>
        <w:t>”</w:t>
      </w:r>
      <w:r>
        <w:rPr>
          <w:rFonts w:eastAsiaTheme="minorEastAsia"/>
          <w:kern w:val="0"/>
          <w:szCs w:val="24"/>
        </w:rPr>
        <w:t>；一部分同学通过了国创项目</w:t>
      </w:r>
      <w:r>
        <w:rPr>
          <w:kern w:val="0"/>
          <w:szCs w:val="24"/>
        </w:rPr>
        <w:t>和省级项目</w:t>
      </w:r>
      <w:r>
        <w:rPr>
          <w:rFonts w:eastAsiaTheme="minorEastAsia"/>
          <w:kern w:val="0"/>
          <w:szCs w:val="24"/>
        </w:rPr>
        <w:t>立项。</w:t>
      </w:r>
    </w:p>
    <w:p>
      <w:pPr>
        <w:autoSpaceDE w:val="0"/>
        <w:autoSpaceDN w:val="0"/>
        <w:adjustRightInd w:val="0"/>
        <w:jc w:val="left"/>
        <w:rPr>
          <w:rFonts w:eastAsiaTheme="minorEastAsia"/>
          <w:kern w:val="0"/>
          <w:szCs w:val="24"/>
        </w:rPr>
      </w:pPr>
      <w:r>
        <w:rPr>
          <w:rFonts w:eastAsiaTheme="minorEastAsia"/>
          <w:kern w:val="0"/>
          <w:szCs w:val="24"/>
        </w:rPr>
        <w:t xml:space="preserve">    六是大学生创业实践活动。利用学科优势，激发学生思想碰撞和创业激情，引导学生学以致用，广泛开展创业项目，目前组建了</w:t>
      </w:r>
      <w:r>
        <w:rPr>
          <w:rFonts w:hint="eastAsia" w:eastAsiaTheme="minorEastAsia"/>
          <w:kern w:val="0"/>
          <w:szCs w:val="24"/>
        </w:rPr>
        <w:t>“</w:t>
      </w:r>
      <w:r>
        <w:rPr>
          <w:rFonts w:eastAsiaTheme="minorEastAsia"/>
          <w:kern w:val="0"/>
          <w:szCs w:val="24"/>
        </w:rPr>
        <w:t>校园‘HR’服务</w:t>
      </w:r>
      <w:r>
        <w:rPr>
          <w:rFonts w:hint="eastAsia" w:eastAsiaTheme="minorEastAsia"/>
          <w:kern w:val="0"/>
          <w:szCs w:val="24"/>
        </w:rPr>
        <w:t>”“</w:t>
      </w:r>
      <w:r>
        <w:rPr>
          <w:rFonts w:eastAsiaTheme="minorEastAsia"/>
          <w:kern w:val="0"/>
          <w:szCs w:val="24"/>
        </w:rPr>
        <w:t>创客舞台设备租赁中心</w:t>
      </w:r>
      <w:r>
        <w:rPr>
          <w:rFonts w:hint="eastAsia" w:eastAsiaTheme="minorEastAsia"/>
          <w:kern w:val="0"/>
          <w:szCs w:val="24"/>
        </w:rPr>
        <w:t>”</w:t>
      </w:r>
      <w:r>
        <w:rPr>
          <w:rFonts w:eastAsiaTheme="minorEastAsia"/>
          <w:kern w:val="0"/>
          <w:szCs w:val="24"/>
        </w:rPr>
        <w:t>等两支创业团队。这些创业活动，有效提升了学生指挥运作、组织协调、科学沟通等综合能力，增强了学生的社会适应能力，为将来的就业做好了充分的准备。</w:t>
      </w:r>
    </w:p>
    <w:p>
      <w:pPr>
        <w:pStyle w:val="5"/>
        <w:spacing w:before="93" w:after="93"/>
        <w:ind w:firstLine="560"/>
        <w:rPr>
          <w:kern w:val="0"/>
          <w:sz w:val="24"/>
          <w:szCs w:val="24"/>
        </w:rPr>
      </w:pPr>
      <w:r>
        <w:t>三、培养条件</w:t>
      </w:r>
    </w:p>
    <w:p>
      <w:pPr>
        <w:autoSpaceDE w:val="0"/>
        <w:autoSpaceDN w:val="0"/>
        <w:adjustRightInd w:val="0"/>
        <w:ind w:firstLine="480" w:firstLineChars="200"/>
        <w:rPr>
          <w:kern w:val="0"/>
          <w:szCs w:val="24"/>
        </w:rPr>
      </w:pPr>
      <w:r>
        <w:rPr>
          <w:kern w:val="0"/>
          <w:szCs w:val="24"/>
        </w:rPr>
        <w:t>在学校学院大力支持下，教学经费投入稳定。2020年行政管理专业获得省一流本科专业建设点，2022年获得国家级一流本科专业建设点，《公共政策分析》分别获得校级和省级一流课程，并获省教育厅研究生教学改革项目和校级案例建设项目各一项，获山东省教学改革成果二等奖（2021）一项。</w:t>
      </w:r>
    </w:p>
    <w:p>
      <w:pPr>
        <w:autoSpaceDE w:val="0"/>
        <w:autoSpaceDN w:val="0"/>
        <w:adjustRightInd w:val="0"/>
        <w:ind w:firstLine="480" w:firstLineChars="200"/>
        <w:rPr>
          <w:kern w:val="0"/>
          <w:szCs w:val="24"/>
        </w:rPr>
      </w:pPr>
      <w:r>
        <w:rPr>
          <w:kern w:val="0"/>
          <w:szCs w:val="24"/>
        </w:rPr>
        <w:t>行政管理系目前拥有专业教师15名，其中教授6人（占专任教师总数的43%）、副教授2人（占专任教师总数的14%）、讲师7人（占专任教师总数的43%）；50岁以下的年轻教师有11人（占专任教师总数的79%）；获得博士学位共12人（占专任教师总数的79%），海外留学2人，双一流名校毕业12人（86%），形成了一支知识结构合理、素质过硬、充满活力的教师队伍。</w:t>
      </w:r>
    </w:p>
    <w:p>
      <w:pPr>
        <w:autoSpaceDE w:val="0"/>
        <w:autoSpaceDN w:val="0"/>
        <w:adjustRightInd w:val="0"/>
        <w:ind w:firstLine="480" w:firstLineChars="200"/>
        <w:rPr>
          <w:kern w:val="0"/>
          <w:szCs w:val="24"/>
        </w:rPr>
      </w:pPr>
      <w:r>
        <w:rPr>
          <w:rFonts w:hint="eastAsia"/>
          <w:kern w:val="0"/>
          <w:szCs w:val="24"/>
        </w:rPr>
        <w:t>“</w:t>
      </w:r>
      <w:r>
        <w:rPr>
          <w:kern w:val="0"/>
          <w:szCs w:val="24"/>
        </w:rPr>
        <w:t>1512</w:t>
      </w:r>
      <w:r>
        <w:rPr>
          <w:rFonts w:hint="eastAsia"/>
          <w:kern w:val="0"/>
          <w:szCs w:val="24"/>
        </w:rPr>
        <w:t>”</w:t>
      </w:r>
      <w:r>
        <w:rPr>
          <w:kern w:val="0"/>
          <w:szCs w:val="24"/>
        </w:rPr>
        <w:t>工程第四层次2人，第三层次人才3人，第二层次人才1人。老、中、青结合，在职称结构、学历结构、年龄结构日趋合理。</w:t>
      </w:r>
    </w:p>
    <w:p>
      <w:pPr>
        <w:autoSpaceDE w:val="0"/>
        <w:autoSpaceDN w:val="0"/>
        <w:adjustRightInd w:val="0"/>
        <w:ind w:firstLine="480" w:firstLineChars="200"/>
        <w:rPr>
          <w:kern w:val="0"/>
          <w:szCs w:val="24"/>
        </w:rPr>
      </w:pPr>
      <w:r>
        <w:rPr>
          <w:kern w:val="0"/>
          <w:szCs w:val="24"/>
        </w:rPr>
        <w:t>两年来，教学与科研成果丰硕。在公共政策、公共危机管理、地方与基层治理等研究领域取得一批研究成果：目前承担国家社科基金项目1项，教育部基金3项，省级社科项目3项，省教育规划1项，校、厅级人文社科项目3项；在国家级核心期刊发表学术论文5篇；主编教材2部；获省级领导人批示2项、省级科研成果奖1项；获省级教学成果1项，校级教学成果二等奖1人次，校级课程思政设计一等奖1项。向地方政府提供的改革方案及政策建议亦被采纳和应用，产生了较好的社会影响。</w:t>
      </w:r>
    </w:p>
    <w:p>
      <w:pPr>
        <w:autoSpaceDE w:val="0"/>
        <w:autoSpaceDN w:val="0"/>
        <w:adjustRightInd w:val="0"/>
        <w:ind w:firstLine="480" w:firstLineChars="200"/>
        <w:rPr>
          <w:rFonts w:eastAsiaTheme="minorEastAsia"/>
          <w:kern w:val="0"/>
          <w:szCs w:val="24"/>
        </w:rPr>
      </w:pPr>
      <w:r>
        <w:rPr>
          <w:kern w:val="0"/>
          <w:szCs w:val="24"/>
        </w:rPr>
        <w:t>行政管理</w:t>
      </w:r>
      <w:r>
        <w:rPr>
          <w:rFonts w:eastAsiaTheme="minorEastAsia"/>
          <w:kern w:val="0"/>
          <w:szCs w:val="24"/>
        </w:rPr>
        <w:t>系非常注重实践教学，目前有</w:t>
      </w:r>
      <w:r>
        <w:rPr>
          <w:kern w:val="0"/>
          <w:szCs w:val="24"/>
        </w:rPr>
        <w:t>8</w:t>
      </w:r>
      <w:r>
        <w:rPr>
          <w:rFonts w:eastAsiaTheme="minorEastAsia"/>
          <w:kern w:val="0"/>
          <w:szCs w:val="24"/>
        </w:rPr>
        <w:t>个教学实习基地，包括泰安市大汶口镇政府、泰安市规划局、城市管理局、旅游局、泰安市中兴地产公司、临邑县兴隆镇政府、泰安市规划局、泰安市高新区北集坡街道办事处、泰安市行政审批局。</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4"/>
        <w:gridCol w:w="4454"/>
        <w:gridCol w:w="1464"/>
        <w:gridCol w:w="22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pct"/>
            <w:vAlign w:val="center"/>
          </w:tcPr>
          <w:p>
            <w:pPr>
              <w:spacing w:line="240" w:lineRule="auto"/>
              <w:jc w:val="center"/>
              <w:rPr>
                <w:b/>
                <w:bCs/>
                <w:kern w:val="0"/>
                <w:sz w:val="21"/>
                <w:szCs w:val="21"/>
              </w:rPr>
            </w:pPr>
            <w:r>
              <w:rPr>
                <w:b/>
                <w:bCs/>
                <w:kern w:val="0"/>
                <w:sz w:val="21"/>
                <w:szCs w:val="21"/>
              </w:rPr>
              <w:t>序号</w:t>
            </w:r>
          </w:p>
        </w:tc>
        <w:tc>
          <w:tcPr>
            <w:tcW w:w="2458" w:type="pct"/>
            <w:vAlign w:val="center"/>
          </w:tcPr>
          <w:p>
            <w:pPr>
              <w:spacing w:line="240" w:lineRule="auto"/>
              <w:jc w:val="center"/>
              <w:rPr>
                <w:b/>
                <w:bCs/>
                <w:kern w:val="0"/>
                <w:sz w:val="21"/>
                <w:szCs w:val="21"/>
              </w:rPr>
            </w:pPr>
            <w:r>
              <w:rPr>
                <w:b/>
                <w:bCs/>
                <w:kern w:val="0"/>
                <w:sz w:val="21"/>
                <w:szCs w:val="21"/>
              </w:rPr>
              <w:t>基地名称</w:t>
            </w:r>
          </w:p>
        </w:tc>
        <w:tc>
          <w:tcPr>
            <w:tcW w:w="808" w:type="pct"/>
            <w:vAlign w:val="center"/>
          </w:tcPr>
          <w:p>
            <w:pPr>
              <w:spacing w:line="240" w:lineRule="auto"/>
              <w:jc w:val="center"/>
              <w:rPr>
                <w:b/>
                <w:bCs/>
                <w:sz w:val="21"/>
                <w:szCs w:val="21"/>
              </w:rPr>
            </w:pPr>
            <w:r>
              <w:rPr>
                <w:b/>
                <w:bCs/>
                <w:sz w:val="21"/>
                <w:szCs w:val="21"/>
              </w:rPr>
              <w:t>面向专业</w:t>
            </w:r>
          </w:p>
        </w:tc>
        <w:tc>
          <w:tcPr>
            <w:tcW w:w="1255" w:type="pct"/>
            <w:vAlign w:val="center"/>
          </w:tcPr>
          <w:p>
            <w:pPr>
              <w:widowControl/>
              <w:spacing w:line="240" w:lineRule="auto"/>
              <w:jc w:val="center"/>
              <w:rPr>
                <w:b/>
                <w:bCs/>
                <w:kern w:val="0"/>
                <w:sz w:val="21"/>
                <w:szCs w:val="21"/>
              </w:rPr>
            </w:pPr>
            <w:r>
              <w:rPr>
                <w:b/>
                <w:bCs/>
                <w:kern w:val="0"/>
                <w:sz w:val="21"/>
                <w:szCs w:val="21"/>
              </w:rPr>
              <w:t>每次可接纳人数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pct"/>
            <w:vAlign w:val="center"/>
          </w:tcPr>
          <w:p>
            <w:pPr>
              <w:spacing w:line="240" w:lineRule="auto"/>
              <w:jc w:val="center"/>
              <w:rPr>
                <w:kern w:val="0"/>
                <w:sz w:val="21"/>
                <w:szCs w:val="21"/>
              </w:rPr>
            </w:pPr>
            <w:r>
              <w:rPr>
                <w:kern w:val="0"/>
                <w:sz w:val="21"/>
                <w:szCs w:val="21"/>
              </w:rPr>
              <w:t>1</w:t>
            </w:r>
          </w:p>
        </w:tc>
        <w:tc>
          <w:tcPr>
            <w:tcW w:w="2458" w:type="pct"/>
            <w:vAlign w:val="center"/>
          </w:tcPr>
          <w:p>
            <w:pPr>
              <w:spacing w:line="240" w:lineRule="auto"/>
              <w:jc w:val="center"/>
              <w:rPr>
                <w:kern w:val="0"/>
                <w:sz w:val="21"/>
                <w:szCs w:val="21"/>
              </w:rPr>
            </w:pPr>
            <w:r>
              <w:rPr>
                <w:kern w:val="0"/>
                <w:sz w:val="21"/>
                <w:szCs w:val="21"/>
              </w:rPr>
              <w:t>泰安市大汶口镇政府</w:t>
            </w:r>
          </w:p>
        </w:tc>
        <w:tc>
          <w:tcPr>
            <w:tcW w:w="808" w:type="pct"/>
            <w:vAlign w:val="center"/>
          </w:tcPr>
          <w:p>
            <w:pPr>
              <w:spacing w:line="240" w:lineRule="auto"/>
              <w:jc w:val="center"/>
              <w:rPr>
                <w:kern w:val="0"/>
                <w:sz w:val="21"/>
                <w:szCs w:val="21"/>
              </w:rPr>
            </w:pPr>
            <w:r>
              <w:rPr>
                <w:kern w:val="0"/>
                <w:sz w:val="21"/>
                <w:szCs w:val="21"/>
              </w:rPr>
              <w:t>行政管理</w:t>
            </w:r>
          </w:p>
        </w:tc>
        <w:tc>
          <w:tcPr>
            <w:tcW w:w="1255" w:type="pct"/>
            <w:vAlign w:val="center"/>
          </w:tcPr>
          <w:p>
            <w:pPr>
              <w:widowControl/>
              <w:spacing w:line="240" w:lineRule="auto"/>
              <w:jc w:val="center"/>
              <w:rPr>
                <w:rFonts w:eastAsiaTheme="minorEastAsia"/>
                <w:kern w:val="0"/>
                <w:sz w:val="21"/>
                <w:szCs w:val="21"/>
              </w:rPr>
            </w:pPr>
            <w:r>
              <w:rPr>
                <w:kern w:val="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pct"/>
            <w:vAlign w:val="center"/>
          </w:tcPr>
          <w:p>
            <w:pPr>
              <w:spacing w:line="240" w:lineRule="auto"/>
              <w:jc w:val="center"/>
              <w:rPr>
                <w:kern w:val="0"/>
                <w:sz w:val="21"/>
                <w:szCs w:val="21"/>
              </w:rPr>
            </w:pPr>
            <w:r>
              <w:rPr>
                <w:kern w:val="0"/>
                <w:sz w:val="21"/>
                <w:szCs w:val="21"/>
              </w:rPr>
              <w:t>2</w:t>
            </w:r>
          </w:p>
        </w:tc>
        <w:tc>
          <w:tcPr>
            <w:tcW w:w="2458" w:type="pct"/>
            <w:vAlign w:val="center"/>
          </w:tcPr>
          <w:p>
            <w:pPr>
              <w:spacing w:line="240" w:lineRule="auto"/>
              <w:jc w:val="center"/>
              <w:rPr>
                <w:sz w:val="21"/>
                <w:szCs w:val="21"/>
              </w:rPr>
            </w:pPr>
            <w:r>
              <w:rPr>
                <w:sz w:val="21"/>
                <w:szCs w:val="21"/>
              </w:rPr>
              <w:t>德州市兴隆镇政府</w:t>
            </w:r>
          </w:p>
        </w:tc>
        <w:tc>
          <w:tcPr>
            <w:tcW w:w="808" w:type="pct"/>
            <w:vAlign w:val="center"/>
          </w:tcPr>
          <w:p>
            <w:pPr>
              <w:spacing w:line="240" w:lineRule="auto"/>
              <w:jc w:val="center"/>
              <w:rPr>
                <w:sz w:val="21"/>
                <w:szCs w:val="21"/>
              </w:rPr>
            </w:pPr>
            <w:r>
              <w:rPr>
                <w:kern w:val="0"/>
                <w:sz w:val="21"/>
                <w:szCs w:val="21"/>
              </w:rPr>
              <w:t>行政管理</w:t>
            </w:r>
          </w:p>
        </w:tc>
        <w:tc>
          <w:tcPr>
            <w:tcW w:w="1255" w:type="pct"/>
            <w:vAlign w:val="center"/>
          </w:tcPr>
          <w:p>
            <w:pPr>
              <w:spacing w:line="240" w:lineRule="auto"/>
              <w:jc w:val="center"/>
              <w:rPr>
                <w:rFonts w:eastAsiaTheme="minorEastAsia"/>
                <w:sz w:val="21"/>
                <w:szCs w:val="21"/>
              </w:rPr>
            </w:pPr>
            <w:r>
              <w:rPr>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pct"/>
            <w:vAlign w:val="center"/>
          </w:tcPr>
          <w:p>
            <w:pPr>
              <w:spacing w:line="240" w:lineRule="auto"/>
              <w:jc w:val="center"/>
              <w:rPr>
                <w:kern w:val="0"/>
                <w:sz w:val="21"/>
                <w:szCs w:val="21"/>
              </w:rPr>
            </w:pPr>
            <w:r>
              <w:rPr>
                <w:kern w:val="0"/>
                <w:sz w:val="21"/>
                <w:szCs w:val="21"/>
              </w:rPr>
              <w:t>3</w:t>
            </w:r>
          </w:p>
        </w:tc>
        <w:tc>
          <w:tcPr>
            <w:tcW w:w="2458" w:type="pct"/>
            <w:vAlign w:val="center"/>
          </w:tcPr>
          <w:p>
            <w:pPr>
              <w:spacing w:line="240" w:lineRule="auto"/>
              <w:jc w:val="center"/>
              <w:rPr>
                <w:sz w:val="21"/>
                <w:szCs w:val="21"/>
              </w:rPr>
            </w:pPr>
            <w:r>
              <w:rPr>
                <w:kern w:val="0"/>
                <w:sz w:val="21"/>
                <w:szCs w:val="21"/>
              </w:rPr>
              <w:t>泰安市城市管理执法局</w:t>
            </w:r>
          </w:p>
        </w:tc>
        <w:tc>
          <w:tcPr>
            <w:tcW w:w="808" w:type="pct"/>
            <w:vAlign w:val="center"/>
          </w:tcPr>
          <w:p>
            <w:pPr>
              <w:spacing w:line="240" w:lineRule="auto"/>
              <w:jc w:val="center"/>
              <w:rPr>
                <w:sz w:val="21"/>
                <w:szCs w:val="21"/>
              </w:rPr>
            </w:pPr>
            <w:r>
              <w:rPr>
                <w:kern w:val="0"/>
                <w:sz w:val="21"/>
                <w:szCs w:val="21"/>
              </w:rPr>
              <w:t>行政管理</w:t>
            </w:r>
          </w:p>
        </w:tc>
        <w:tc>
          <w:tcPr>
            <w:tcW w:w="1255" w:type="pct"/>
            <w:vAlign w:val="center"/>
          </w:tcPr>
          <w:p>
            <w:pPr>
              <w:spacing w:line="240" w:lineRule="auto"/>
              <w:jc w:val="center"/>
              <w:rPr>
                <w:rFonts w:eastAsiaTheme="minorEastAsia"/>
                <w:sz w:val="21"/>
                <w:szCs w:val="21"/>
              </w:rPr>
            </w:pPr>
            <w:r>
              <w:rPr>
                <w:sz w:val="21"/>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pct"/>
            <w:vAlign w:val="center"/>
          </w:tcPr>
          <w:p>
            <w:pPr>
              <w:spacing w:line="240" w:lineRule="auto"/>
              <w:jc w:val="center"/>
              <w:rPr>
                <w:kern w:val="0"/>
                <w:sz w:val="21"/>
                <w:szCs w:val="21"/>
              </w:rPr>
            </w:pPr>
            <w:r>
              <w:rPr>
                <w:kern w:val="0"/>
                <w:sz w:val="21"/>
                <w:szCs w:val="21"/>
              </w:rPr>
              <w:t>4</w:t>
            </w:r>
          </w:p>
        </w:tc>
        <w:tc>
          <w:tcPr>
            <w:tcW w:w="2458" w:type="pct"/>
            <w:vAlign w:val="center"/>
          </w:tcPr>
          <w:p>
            <w:pPr>
              <w:spacing w:line="240" w:lineRule="auto"/>
              <w:jc w:val="center"/>
              <w:rPr>
                <w:sz w:val="21"/>
                <w:szCs w:val="21"/>
              </w:rPr>
            </w:pPr>
            <w:r>
              <w:rPr>
                <w:kern w:val="0"/>
                <w:sz w:val="21"/>
                <w:szCs w:val="21"/>
              </w:rPr>
              <w:t>泰安市旅游局</w:t>
            </w:r>
          </w:p>
        </w:tc>
        <w:tc>
          <w:tcPr>
            <w:tcW w:w="808" w:type="pct"/>
            <w:vAlign w:val="center"/>
          </w:tcPr>
          <w:p>
            <w:pPr>
              <w:spacing w:line="240" w:lineRule="auto"/>
              <w:jc w:val="center"/>
              <w:rPr>
                <w:sz w:val="21"/>
                <w:szCs w:val="21"/>
              </w:rPr>
            </w:pPr>
            <w:r>
              <w:rPr>
                <w:kern w:val="0"/>
                <w:sz w:val="21"/>
                <w:szCs w:val="21"/>
              </w:rPr>
              <w:t>行政管理</w:t>
            </w:r>
          </w:p>
        </w:tc>
        <w:tc>
          <w:tcPr>
            <w:tcW w:w="1255" w:type="pct"/>
            <w:vAlign w:val="center"/>
          </w:tcPr>
          <w:p>
            <w:pPr>
              <w:spacing w:line="240" w:lineRule="auto"/>
              <w:jc w:val="center"/>
              <w:rPr>
                <w:kern w:val="0"/>
                <w:sz w:val="21"/>
                <w:szCs w:val="21"/>
              </w:rPr>
            </w:pPr>
            <w:r>
              <w:rPr>
                <w:kern w:val="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pct"/>
            <w:vAlign w:val="center"/>
          </w:tcPr>
          <w:p>
            <w:pPr>
              <w:spacing w:line="240" w:lineRule="auto"/>
              <w:jc w:val="center"/>
              <w:rPr>
                <w:kern w:val="0"/>
                <w:sz w:val="21"/>
                <w:szCs w:val="21"/>
              </w:rPr>
            </w:pPr>
            <w:r>
              <w:rPr>
                <w:kern w:val="0"/>
                <w:sz w:val="21"/>
                <w:szCs w:val="21"/>
              </w:rPr>
              <w:t>5</w:t>
            </w:r>
          </w:p>
        </w:tc>
        <w:tc>
          <w:tcPr>
            <w:tcW w:w="2458" w:type="pct"/>
            <w:vAlign w:val="center"/>
          </w:tcPr>
          <w:p>
            <w:pPr>
              <w:spacing w:line="240" w:lineRule="auto"/>
              <w:jc w:val="center"/>
              <w:rPr>
                <w:kern w:val="0"/>
                <w:sz w:val="21"/>
                <w:szCs w:val="21"/>
              </w:rPr>
            </w:pPr>
            <w:r>
              <w:rPr>
                <w:kern w:val="0"/>
                <w:sz w:val="21"/>
                <w:szCs w:val="21"/>
              </w:rPr>
              <w:t>泰安市中兴地产公司</w:t>
            </w:r>
          </w:p>
        </w:tc>
        <w:tc>
          <w:tcPr>
            <w:tcW w:w="808" w:type="pct"/>
            <w:vAlign w:val="center"/>
          </w:tcPr>
          <w:p>
            <w:pPr>
              <w:spacing w:line="240" w:lineRule="auto"/>
              <w:jc w:val="center"/>
              <w:rPr>
                <w:sz w:val="21"/>
                <w:szCs w:val="21"/>
              </w:rPr>
            </w:pPr>
            <w:r>
              <w:rPr>
                <w:sz w:val="21"/>
                <w:szCs w:val="21"/>
              </w:rPr>
              <w:t>行政管理</w:t>
            </w:r>
          </w:p>
        </w:tc>
        <w:tc>
          <w:tcPr>
            <w:tcW w:w="1255" w:type="pct"/>
            <w:vAlign w:val="center"/>
          </w:tcPr>
          <w:p>
            <w:pPr>
              <w:spacing w:line="240" w:lineRule="auto"/>
              <w:jc w:val="center"/>
              <w:rPr>
                <w:kern w:val="0"/>
                <w:sz w:val="21"/>
                <w:szCs w:val="21"/>
              </w:rPr>
            </w:pPr>
            <w:r>
              <w:rPr>
                <w:kern w:val="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pct"/>
            <w:vAlign w:val="center"/>
          </w:tcPr>
          <w:p>
            <w:pPr>
              <w:spacing w:line="240" w:lineRule="auto"/>
              <w:jc w:val="center"/>
              <w:rPr>
                <w:kern w:val="0"/>
                <w:sz w:val="21"/>
                <w:szCs w:val="21"/>
              </w:rPr>
            </w:pPr>
            <w:r>
              <w:rPr>
                <w:kern w:val="0"/>
                <w:sz w:val="21"/>
                <w:szCs w:val="21"/>
              </w:rPr>
              <w:t>6</w:t>
            </w:r>
          </w:p>
        </w:tc>
        <w:tc>
          <w:tcPr>
            <w:tcW w:w="2458" w:type="pct"/>
            <w:vAlign w:val="center"/>
          </w:tcPr>
          <w:p>
            <w:pPr>
              <w:spacing w:line="240" w:lineRule="auto"/>
              <w:jc w:val="center"/>
              <w:rPr>
                <w:kern w:val="0"/>
                <w:sz w:val="21"/>
                <w:szCs w:val="21"/>
              </w:rPr>
            </w:pPr>
            <w:r>
              <w:rPr>
                <w:kern w:val="0"/>
                <w:sz w:val="21"/>
                <w:szCs w:val="21"/>
              </w:rPr>
              <w:t>泰安市规划局</w:t>
            </w:r>
          </w:p>
        </w:tc>
        <w:tc>
          <w:tcPr>
            <w:tcW w:w="808" w:type="pct"/>
            <w:vAlign w:val="center"/>
          </w:tcPr>
          <w:p>
            <w:pPr>
              <w:spacing w:line="240" w:lineRule="auto"/>
              <w:jc w:val="center"/>
              <w:rPr>
                <w:sz w:val="21"/>
                <w:szCs w:val="21"/>
              </w:rPr>
            </w:pPr>
            <w:r>
              <w:rPr>
                <w:sz w:val="21"/>
                <w:szCs w:val="21"/>
              </w:rPr>
              <w:t>行政管理</w:t>
            </w:r>
          </w:p>
        </w:tc>
        <w:tc>
          <w:tcPr>
            <w:tcW w:w="1255" w:type="pct"/>
            <w:vAlign w:val="center"/>
          </w:tcPr>
          <w:p>
            <w:pPr>
              <w:spacing w:line="240" w:lineRule="auto"/>
              <w:jc w:val="center"/>
              <w:rPr>
                <w:kern w:val="0"/>
                <w:sz w:val="21"/>
                <w:szCs w:val="21"/>
              </w:rPr>
            </w:pPr>
            <w:r>
              <w:rPr>
                <w:kern w:val="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kern w:val="0"/>
                <w:sz w:val="21"/>
                <w:szCs w:val="21"/>
              </w:rPr>
            </w:pPr>
            <w:r>
              <w:rPr>
                <w:kern w:val="0"/>
                <w:sz w:val="21"/>
                <w:szCs w:val="21"/>
              </w:rPr>
              <w:t>7</w:t>
            </w:r>
          </w:p>
        </w:tc>
        <w:tc>
          <w:tcPr>
            <w:tcW w:w="2458"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kern w:val="0"/>
                <w:sz w:val="21"/>
                <w:szCs w:val="21"/>
              </w:rPr>
            </w:pPr>
            <w:r>
              <w:rPr>
                <w:kern w:val="0"/>
                <w:sz w:val="21"/>
                <w:szCs w:val="21"/>
              </w:rPr>
              <w:t>泰安市高新区北集坡街道办事处</w:t>
            </w:r>
          </w:p>
        </w:tc>
        <w:tc>
          <w:tcPr>
            <w:tcW w:w="808"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行政管理</w:t>
            </w:r>
          </w:p>
        </w:tc>
        <w:tc>
          <w:tcPr>
            <w:tcW w:w="125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kern w:val="0"/>
                <w:sz w:val="21"/>
                <w:szCs w:val="21"/>
              </w:rPr>
            </w:pPr>
            <w:r>
              <w:rPr>
                <w:kern w:val="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kern w:val="0"/>
                <w:sz w:val="21"/>
                <w:szCs w:val="21"/>
              </w:rPr>
            </w:pPr>
            <w:r>
              <w:rPr>
                <w:kern w:val="0"/>
                <w:sz w:val="21"/>
                <w:szCs w:val="21"/>
              </w:rPr>
              <w:t>8</w:t>
            </w:r>
          </w:p>
        </w:tc>
        <w:tc>
          <w:tcPr>
            <w:tcW w:w="2458"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kern w:val="0"/>
                <w:sz w:val="21"/>
                <w:szCs w:val="21"/>
              </w:rPr>
            </w:pPr>
            <w:r>
              <w:rPr>
                <w:kern w:val="0"/>
                <w:sz w:val="21"/>
                <w:szCs w:val="21"/>
              </w:rPr>
              <w:t>泰安市行政审批局</w:t>
            </w:r>
          </w:p>
        </w:tc>
        <w:tc>
          <w:tcPr>
            <w:tcW w:w="808"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行政管理</w:t>
            </w:r>
          </w:p>
        </w:tc>
        <w:tc>
          <w:tcPr>
            <w:tcW w:w="1255"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kern w:val="0"/>
                <w:sz w:val="21"/>
                <w:szCs w:val="21"/>
              </w:rPr>
            </w:pPr>
            <w:r>
              <w:rPr>
                <w:kern w:val="0"/>
                <w:sz w:val="21"/>
                <w:szCs w:val="21"/>
              </w:rPr>
              <w:t>20</w:t>
            </w:r>
          </w:p>
        </w:tc>
      </w:tr>
    </w:tbl>
    <w:p>
      <w:pPr>
        <w:pStyle w:val="5"/>
        <w:spacing w:before="93" w:after="93"/>
        <w:ind w:firstLine="560"/>
      </w:pPr>
      <w:r>
        <w:t>四、培养机制与特色</w:t>
      </w:r>
    </w:p>
    <w:p>
      <w:pPr>
        <w:pStyle w:val="6"/>
        <w:ind w:firstLine="480"/>
      </w:pPr>
      <w:r>
        <w:t>（一）模块培养不断优化，与时俱进</w:t>
      </w:r>
    </w:p>
    <w:p>
      <w:pPr>
        <w:autoSpaceDE w:val="0"/>
        <w:autoSpaceDN w:val="0"/>
        <w:adjustRightInd w:val="0"/>
        <w:ind w:firstLine="480" w:firstLineChars="200"/>
        <w:rPr>
          <w:kern w:val="0"/>
          <w:szCs w:val="24"/>
        </w:rPr>
      </w:pPr>
      <w:r>
        <w:rPr>
          <w:kern w:val="0"/>
          <w:szCs w:val="24"/>
        </w:rPr>
        <w:t>改进和优化培养方案。坚持方案优化与行政管理组织体制相对应、与相关硬件设施管理体系相配套、与学校自身教学资源优化相结合、与社会需求同步跟进；合理设计专业课程体系模块、组织管理体系模块、技术管理体系模块、毕业生就业应考模块、公共危机管理模块。同时，科学设置学时比例，合理安排课程顺序，确保理论课程体系与实践体系紧密衔接，紧扣人才培养目标，使课程设置有理有据，使学生学习目的明确，为专业学生全方位就业提供有效的智力支撑，形成学生高端就业、中端发展及基层成长的立体化格局，保证方案管用、实用、可行、科学、特色鲜明，满足了学生成长需要。近年来，我系加大与国家一流高校同专业的交流，近1年因疫情原因通过线上与教育部重点高校同类专业会议交流学习多人次。</w:t>
      </w:r>
    </w:p>
    <w:p>
      <w:pPr>
        <w:pStyle w:val="6"/>
        <w:ind w:firstLine="480"/>
      </w:pPr>
      <w:r>
        <w:t>（二）打造品牌师资团队，形成师生良性互动</w:t>
      </w:r>
    </w:p>
    <w:p>
      <w:pPr>
        <w:autoSpaceDE w:val="0"/>
        <w:autoSpaceDN w:val="0"/>
        <w:adjustRightInd w:val="0"/>
        <w:ind w:firstLine="480" w:firstLineChars="200"/>
        <w:rPr>
          <w:kern w:val="0"/>
          <w:szCs w:val="24"/>
        </w:rPr>
      </w:pPr>
      <w:r>
        <w:rPr>
          <w:kern w:val="0"/>
          <w:szCs w:val="24"/>
        </w:rPr>
        <w:t>首先，通过引进高层次人才，充实壮大教学队伍。2021年引进2名博士，2022年引进1名博士，人才引进持续发酵。营造良好的学术氛围，全面激发教师的教学积极性。引导教师投身教学和科研工作，科学搭建教学与研究的平台，全力做好人才培养工作。同时，把最优秀的院外师资吸引到行政管理专业的教学中来，使校内丰厚的教学资源得到最大程度的利用，通过教师培训、座谈和交流，就专业建设问题进行广泛深入探讨，及时征求收集意见，群策群力办专业，确保课堂教学质量不断提升。</w:t>
      </w:r>
    </w:p>
    <w:p>
      <w:pPr>
        <w:autoSpaceDE w:val="0"/>
        <w:autoSpaceDN w:val="0"/>
        <w:adjustRightInd w:val="0"/>
        <w:ind w:firstLine="480" w:firstLineChars="200"/>
        <w:rPr>
          <w:kern w:val="0"/>
          <w:szCs w:val="24"/>
        </w:rPr>
      </w:pPr>
      <w:r>
        <w:rPr>
          <w:kern w:val="0"/>
          <w:szCs w:val="24"/>
        </w:rPr>
        <w:t>其次，采用</w:t>
      </w:r>
      <w:r>
        <w:rPr>
          <w:rFonts w:hint="eastAsia"/>
          <w:kern w:val="0"/>
          <w:szCs w:val="24"/>
        </w:rPr>
        <w:t>“</w:t>
      </w:r>
      <w:r>
        <w:rPr>
          <w:kern w:val="0"/>
          <w:szCs w:val="24"/>
        </w:rPr>
        <w:t>校内、校外</w:t>
      </w:r>
      <w:r>
        <w:rPr>
          <w:rFonts w:hint="eastAsia"/>
          <w:kern w:val="0"/>
          <w:szCs w:val="24"/>
        </w:rPr>
        <w:t>”</w:t>
      </w:r>
      <w:r>
        <w:rPr>
          <w:kern w:val="0"/>
          <w:szCs w:val="24"/>
        </w:rPr>
        <w:t>专家</w:t>
      </w:r>
      <w:r>
        <w:rPr>
          <w:rFonts w:hint="eastAsia"/>
          <w:kern w:val="0"/>
          <w:szCs w:val="24"/>
        </w:rPr>
        <w:t>“</w:t>
      </w:r>
      <w:r>
        <w:rPr>
          <w:kern w:val="0"/>
          <w:szCs w:val="24"/>
        </w:rPr>
        <w:t>双导师制</w:t>
      </w:r>
      <w:r>
        <w:rPr>
          <w:rFonts w:hint="eastAsia"/>
          <w:kern w:val="0"/>
          <w:szCs w:val="24"/>
        </w:rPr>
        <w:t>”</w:t>
      </w:r>
      <w:r>
        <w:rPr>
          <w:kern w:val="0"/>
          <w:szCs w:val="24"/>
        </w:rPr>
        <w:t>，作为推动专业发展的助推器。围绕专业人才培养目标，充分运用社会资源，聘请具有丰富城市管理经验的政府官员、管理专家及校友授课、开讲座，坚持做到</w:t>
      </w:r>
      <w:r>
        <w:rPr>
          <w:rFonts w:hint="eastAsia"/>
          <w:kern w:val="0"/>
          <w:szCs w:val="24"/>
        </w:rPr>
        <w:t>“</w:t>
      </w:r>
      <w:r>
        <w:rPr>
          <w:kern w:val="0"/>
          <w:szCs w:val="24"/>
        </w:rPr>
        <w:t>制度化、常态化</w:t>
      </w:r>
      <w:r>
        <w:rPr>
          <w:rFonts w:hint="eastAsia"/>
          <w:kern w:val="0"/>
          <w:szCs w:val="24"/>
        </w:rPr>
        <w:t>”</w:t>
      </w:r>
      <w:r>
        <w:rPr>
          <w:kern w:val="0"/>
          <w:szCs w:val="24"/>
        </w:rPr>
        <w:t>。通过与社会各层面的广泛联系，为城市管理专业正常的业务探讨铺路搭桥，将当下最先进的行政管理经验及时传播到课堂中来，以推动专业教学的顺利开展。如，教学过程中，聘请国内一流的专家学者及相关的政府中的建设部门、行政执法部门及交通、园林、环保等部门的一线管理者进课堂、做讲座……以多种方式将最前沿的行政管理理念传播给学生，搭建起校内教学与校外教学的桥梁，实现教学主体的</w:t>
      </w:r>
      <w:r>
        <w:rPr>
          <w:rFonts w:hint="eastAsia"/>
          <w:kern w:val="0"/>
          <w:szCs w:val="24"/>
        </w:rPr>
        <w:t>“</w:t>
      </w:r>
      <w:r>
        <w:rPr>
          <w:kern w:val="0"/>
          <w:szCs w:val="24"/>
        </w:rPr>
        <w:t>多元化</w:t>
      </w:r>
      <w:r>
        <w:rPr>
          <w:rFonts w:hint="eastAsia"/>
          <w:kern w:val="0"/>
          <w:szCs w:val="24"/>
        </w:rPr>
        <w:t>”</w:t>
      </w:r>
      <w:r>
        <w:rPr>
          <w:kern w:val="0"/>
          <w:szCs w:val="24"/>
        </w:rPr>
        <w:t>，形成专业教师教学与校外专家教学的良性联动。</w:t>
      </w:r>
    </w:p>
    <w:p>
      <w:pPr>
        <w:pStyle w:val="6"/>
        <w:ind w:firstLine="480"/>
      </w:pPr>
      <w:r>
        <w:t>（三）学生能力培养突出，管理贯穿全过程</w:t>
      </w:r>
    </w:p>
    <w:p>
      <w:pPr>
        <w:ind w:firstLine="480"/>
        <w:jc w:val="left"/>
        <w:rPr>
          <w:rFonts w:eastAsiaTheme="minorEastAsia"/>
          <w:kern w:val="0"/>
          <w:szCs w:val="24"/>
        </w:rPr>
      </w:pPr>
      <w:r>
        <w:rPr>
          <w:rFonts w:eastAsiaTheme="minorEastAsia"/>
          <w:kern w:val="0"/>
          <w:szCs w:val="24"/>
        </w:rPr>
        <w:t>在认真抓好专业学生课堂教学的同时，结合学生综合能力培养，始终注意做好以下工作：</w:t>
      </w:r>
    </w:p>
    <w:p>
      <w:pPr>
        <w:ind w:firstLine="480"/>
        <w:jc w:val="left"/>
        <w:rPr>
          <w:rFonts w:eastAsiaTheme="minorEastAsia"/>
          <w:kern w:val="0"/>
          <w:szCs w:val="24"/>
        </w:rPr>
      </w:pPr>
      <w:r>
        <w:rPr>
          <w:rFonts w:eastAsiaTheme="minorEastAsia"/>
          <w:kern w:val="0"/>
          <w:szCs w:val="24"/>
        </w:rPr>
        <w:t>一是</w:t>
      </w:r>
      <w:r>
        <w:rPr>
          <w:kern w:val="0"/>
          <w:szCs w:val="24"/>
        </w:rPr>
        <w:t>线上线下教学方式相结合。因疫情最近两年多次出现一定时间内线下教学终止的情况，教师积极及时地调整教学方式，且做好学生的情绪安抚工作，采用线上授课方式与学生互动更为频繁，师生在互动中交流交融，激发学生线上学习兴趣，提升线上教学质量。</w:t>
      </w:r>
    </w:p>
    <w:p>
      <w:pPr>
        <w:ind w:firstLine="480"/>
        <w:jc w:val="left"/>
        <w:rPr>
          <w:rFonts w:eastAsiaTheme="minorEastAsia"/>
          <w:kern w:val="0"/>
          <w:szCs w:val="24"/>
        </w:rPr>
      </w:pPr>
      <w:r>
        <w:rPr>
          <w:kern w:val="0"/>
          <w:szCs w:val="24"/>
        </w:rPr>
        <w:t>二是教学模式创新与学生课堂管理互融</w:t>
      </w:r>
      <w:r>
        <w:rPr>
          <w:rFonts w:eastAsiaTheme="minorEastAsia"/>
          <w:kern w:val="0"/>
          <w:szCs w:val="24"/>
        </w:rPr>
        <w:t>。将教学活动与学生课外活动巧妙对接，形成</w:t>
      </w:r>
      <w:r>
        <w:rPr>
          <w:rFonts w:hint="eastAsia" w:eastAsiaTheme="minorEastAsia"/>
          <w:kern w:val="0"/>
          <w:szCs w:val="24"/>
        </w:rPr>
        <w:t>“</w:t>
      </w:r>
      <w:r>
        <w:rPr>
          <w:rFonts w:eastAsiaTheme="minorEastAsia"/>
          <w:kern w:val="0"/>
          <w:szCs w:val="24"/>
        </w:rPr>
        <w:t>开放式</w:t>
      </w:r>
      <w:r>
        <w:rPr>
          <w:rFonts w:hint="eastAsia" w:eastAsiaTheme="minorEastAsia"/>
          <w:kern w:val="0"/>
          <w:szCs w:val="24"/>
        </w:rPr>
        <w:t>”</w:t>
      </w:r>
      <w:r>
        <w:rPr>
          <w:rFonts w:eastAsiaTheme="minorEastAsia"/>
          <w:kern w:val="0"/>
          <w:szCs w:val="24"/>
        </w:rPr>
        <w:t>学习模式，使课堂教学与课下锻炼同步推进。对于学生第二课堂活动，始终坚持专业教师与院团委联合组织，共同指导，如组织学生调研泰安市城市垃圾分类、城市环境改善等，都实现了教师课堂教授与课后学生管理的</w:t>
      </w:r>
      <w:r>
        <w:rPr>
          <w:rFonts w:hint="eastAsia" w:eastAsiaTheme="minorEastAsia"/>
          <w:kern w:val="0"/>
          <w:szCs w:val="24"/>
        </w:rPr>
        <w:t>“</w:t>
      </w:r>
      <w:r>
        <w:rPr>
          <w:rFonts w:eastAsiaTheme="minorEastAsia"/>
          <w:kern w:val="0"/>
          <w:szCs w:val="24"/>
        </w:rPr>
        <w:t>一体化</w:t>
      </w:r>
      <w:r>
        <w:rPr>
          <w:rFonts w:hint="eastAsia" w:eastAsiaTheme="minorEastAsia"/>
          <w:kern w:val="0"/>
          <w:szCs w:val="24"/>
        </w:rPr>
        <w:t>”</w:t>
      </w:r>
      <w:r>
        <w:rPr>
          <w:rFonts w:eastAsiaTheme="minorEastAsia"/>
          <w:kern w:val="0"/>
          <w:szCs w:val="24"/>
        </w:rPr>
        <w:t>联动，形成人才培养目标的一致性。而聘请学校职能部门领导直接担任班主任，也从新的角度有效地推动了专业学生的全面成长。</w:t>
      </w:r>
    </w:p>
    <w:p>
      <w:pPr>
        <w:ind w:firstLine="480"/>
        <w:jc w:val="left"/>
        <w:rPr>
          <w:rFonts w:eastAsiaTheme="minorEastAsia"/>
          <w:kern w:val="0"/>
          <w:szCs w:val="24"/>
        </w:rPr>
      </w:pPr>
      <w:r>
        <w:rPr>
          <w:kern w:val="0"/>
          <w:szCs w:val="24"/>
        </w:rPr>
        <w:t>三</w:t>
      </w:r>
      <w:r>
        <w:rPr>
          <w:rFonts w:eastAsiaTheme="minorEastAsia"/>
          <w:kern w:val="0"/>
          <w:szCs w:val="24"/>
        </w:rPr>
        <w:t>是</w:t>
      </w:r>
      <w:r>
        <w:rPr>
          <w:kern w:val="0"/>
          <w:szCs w:val="24"/>
        </w:rPr>
        <w:t>拓展学术活动与延伸学习兴趣互补</w:t>
      </w:r>
      <w:r>
        <w:rPr>
          <w:rFonts w:eastAsiaTheme="minorEastAsia"/>
          <w:kern w:val="0"/>
          <w:szCs w:val="24"/>
        </w:rPr>
        <w:t>。精心组织课外学术活动，举办专题</w:t>
      </w:r>
      <w:r>
        <w:rPr>
          <w:rFonts w:hint="eastAsia" w:eastAsiaTheme="minorEastAsia"/>
          <w:kern w:val="0"/>
          <w:szCs w:val="24"/>
        </w:rPr>
        <w:t>“</w:t>
      </w:r>
      <w:r>
        <w:rPr>
          <w:rFonts w:eastAsiaTheme="minorEastAsia"/>
          <w:kern w:val="0"/>
          <w:szCs w:val="24"/>
        </w:rPr>
        <w:t>基层干部论坛</w:t>
      </w:r>
      <w:r>
        <w:rPr>
          <w:rFonts w:hint="eastAsia" w:eastAsiaTheme="minorEastAsia"/>
          <w:kern w:val="0"/>
          <w:szCs w:val="24"/>
        </w:rPr>
        <w:t>”</w:t>
      </w:r>
      <w:r>
        <w:rPr>
          <w:rFonts w:eastAsiaTheme="minorEastAsia"/>
          <w:kern w:val="0"/>
          <w:szCs w:val="24"/>
        </w:rPr>
        <w:t>，专门聘请基层乡镇政府领导人员做兼职教授，引导学生举办行政管理专业学生</w:t>
      </w:r>
      <w:r>
        <w:rPr>
          <w:rFonts w:hint="eastAsia" w:eastAsiaTheme="minorEastAsia"/>
          <w:kern w:val="0"/>
          <w:szCs w:val="24"/>
        </w:rPr>
        <w:t>“</w:t>
      </w:r>
      <w:r>
        <w:rPr>
          <w:rFonts w:eastAsiaTheme="minorEastAsia"/>
          <w:kern w:val="0"/>
          <w:szCs w:val="24"/>
        </w:rPr>
        <w:t>读书沙龙</w:t>
      </w:r>
      <w:r>
        <w:rPr>
          <w:rFonts w:hint="eastAsia" w:eastAsiaTheme="minorEastAsia"/>
          <w:kern w:val="0"/>
          <w:szCs w:val="24"/>
        </w:rPr>
        <w:t>”</w:t>
      </w:r>
      <w:r>
        <w:rPr>
          <w:rFonts w:eastAsiaTheme="minorEastAsia"/>
          <w:kern w:val="0"/>
          <w:szCs w:val="24"/>
        </w:rPr>
        <w:t>，举办各种类型的公共案例分析大赛，提高学生课外活动的</w:t>
      </w:r>
      <w:r>
        <w:rPr>
          <w:rFonts w:hint="eastAsia" w:eastAsiaTheme="minorEastAsia"/>
          <w:kern w:val="0"/>
          <w:szCs w:val="24"/>
        </w:rPr>
        <w:t>“</w:t>
      </w:r>
      <w:r>
        <w:rPr>
          <w:rFonts w:eastAsiaTheme="minorEastAsia"/>
          <w:kern w:val="0"/>
          <w:szCs w:val="24"/>
        </w:rPr>
        <w:t>含金量</w:t>
      </w:r>
      <w:r>
        <w:rPr>
          <w:rFonts w:hint="eastAsia" w:eastAsiaTheme="minorEastAsia"/>
          <w:kern w:val="0"/>
          <w:szCs w:val="24"/>
        </w:rPr>
        <w:t>”</w:t>
      </w:r>
      <w:r>
        <w:rPr>
          <w:rFonts w:eastAsiaTheme="minorEastAsia"/>
          <w:kern w:val="0"/>
          <w:szCs w:val="24"/>
        </w:rPr>
        <w:t>。目前，部分行政管理专业的学生在国家一流的案例分析大赛中已经崭露头角，部分学生尚有巨大潜力可挖。</w:t>
      </w:r>
    </w:p>
    <w:p>
      <w:pPr>
        <w:ind w:firstLine="480"/>
        <w:jc w:val="left"/>
        <w:rPr>
          <w:rFonts w:eastAsiaTheme="minorEastAsia"/>
          <w:kern w:val="0"/>
          <w:szCs w:val="24"/>
        </w:rPr>
      </w:pPr>
      <w:r>
        <w:rPr>
          <w:kern w:val="0"/>
          <w:szCs w:val="24"/>
        </w:rPr>
        <w:t>四</w:t>
      </w:r>
      <w:r>
        <w:rPr>
          <w:rFonts w:eastAsiaTheme="minorEastAsia"/>
          <w:kern w:val="0"/>
          <w:szCs w:val="24"/>
        </w:rPr>
        <w:t>是</w:t>
      </w:r>
      <w:r>
        <w:rPr>
          <w:kern w:val="0"/>
          <w:szCs w:val="24"/>
        </w:rPr>
        <w:t>理论与实践互嵌</w:t>
      </w:r>
      <w:r>
        <w:rPr>
          <w:rFonts w:eastAsiaTheme="minorEastAsia"/>
          <w:kern w:val="0"/>
          <w:szCs w:val="24"/>
        </w:rPr>
        <w:t>。强化学生参与行政管理的</w:t>
      </w:r>
      <w:r>
        <w:rPr>
          <w:rFonts w:hint="eastAsia" w:eastAsiaTheme="minorEastAsia"/>
          <w:kern w:val="0"/>
          <w:szCs w:val="24"/>
        </w:rPr>
        <w:t>“</w:t>
      </w:r>
      <w:r>
        <w:rPr>
          <w:rFonts w:eastAsiaTheme="minorEastAsia"/>
          <w:kern w:val="0"/>
          <w:szCs w:val="24"/>
        </w:rPr>
        <w:t>真实性</w:t>
      </w:r>
      <w:r>
        <w:rPr>
          <w:rFonts w:hint="eastAsia" w:eastAsiaTheme="minorEastAsia"/>
          <w:kern w:val="0"/>
          <w:szCs w:val="24"/>
        </w:rPr>
        <w:t>”</w:t>
      </w:r>
      <w:r>
        <w:rPr>
          <w:rFonts w:eastAsiaTheme="minorEastAsia"/>
          <w:kern w:val="0"/>
          <w:szCs w:val="24"/>
        </w:rPr>
        <w:t>，利用各种有效渠道，切实增强学生的实际动手能力，把认识实习、业务实习、毕业实习延展到课下，充分利用周末和休息日，积极开展城市社区服务，组织深入农村社区进行相关专题，组织专业学生到城市公共管理单位参观，如组织行政管理专业的学生参观当地城市规划展览馆，参观当地城市管理数字化指挥中心成为</w:t>
      </w:r>
      <w:r>
        <w:rPr>
          <w:rFonts w:hint="eastAsia" w:eastAsiaTheme="minorEastAsia"/>
          <w:kern w:val="0"/>
          <w:szCs w:val="24"/>
        </w:rPr>
        <w:t>“</w:t>
      </w:r>
      <w:r>
        <w:rPr>
          <w:rFonts w:eastAsiaTheme="minorEastAsia"/>
          <w:kern w:val="0"/>
          <w:szCs w:val="24"/>
        </w:rPr>
        <w:t>必选动作</w:t>
      </w:r>
      <w:r>
        <w:rPr>
          <w:rFonts w:hint="eastAsia" w:eastAsiaTheme="minorEastAsia"/>
          <w:kern w:val="0"/>
          <w:szCs w:val="24"/>
        </w:rPr>
        <w:t>”</w:t>
      </w:r>
      <w:r>
        <w:rPr>
          <w:rFonts w:eastAsiaTheme="minorEastAsia"/>
          <w:kern w:val="0"/>
          <w:szCs w:val="24"/>
        </w:rPr>
        <w:t>。</w:t>
      </w:r>
    </w:p>
    <w:p>
      <w:pPr>
        <w:pStyle w:val="6"/>
        <w:ind w:firstLine="480"/>
      </w:pPr>
      <w:r>
        <w:t>（四）强化实践环节，突出专业办学特色</w:t>
      </w:r>
    </w:p>
    <w:p>
      <w:pPr>
        <w:widowControl/>
        <w:ind w:firstLine="480"/>
        <w:jc w:val="left"/>
        <w:rPr>
          <w:rFonts w:eastAsiaTheme="minorEastAsia"/>
          <w:kern w:val="0"/>
          <w:szCs w:val="24"/>
        </w:rPr>
      </w:pPr>
      <w:r>
        <w:rPr>
          <w:kern w:val="0"/>
          <w:szCs w:val="24"/>
        </w:rPr>
        <w:t>与国家治理体系和治理能力现代化相适应，及时抓住乡村振兴契机，以乡村治理为主要研究内容和方向，</w:t>
      </w:r>
      <w:r>
        <w:rPr>
          <w:rFonts w:eastAsiaTheme="minorEastAsia"/>
          <w:kern w:val="0"/>
          <w:szCs w:val="24"/>
        </w:rPr>
        <w:t>课内实践与暑假与寒假社会调查相结合，撰写</w:t>
      </w:r>
      <w:r>
        <w:rPr>
          <w:kern w:val="0"/>
          <w:szCs w:val="24"/>
        </w:rPr>
        <w:t>有关乡村发展、乡村治理、乡村实践</w:t>
      </w:r>
      <w:r>
        <w:rPr>
          <w:rFonts w:eastAsiaTheme="minorEastAsia"/>
          <w:kern w:val="0"/>
          <w:szCs w:val="24"/>
        </w:rPr>
        <w:t>调查</w:t>
      </w:r>
      <w:r>
        <w:rPr>
          <w:kern w:val="0"/>
          <w:szCs w:val="24"/>
        </w:rPr>
        <w:t>报告</w:t>
      </w:r>
      <w:r>
        <w:rPr>
          <w:rFonts w:eastAsiaTheme="minorEastAsia"/>
          <w:kern w:val="0"/>
          <w:szCs w:val="24"/>
        </w:rPr>
        <w:t>，实践基地专业实习与专业教学实习相结合，重视专业实践，多方面下手，狠抓专业实习、学年论文、毕业论文和大学生科研立项。</w:t>
      </w:r>
    </w:p>
    <w:p>
      <w:pPr>
        <w:pStyle w:val="5"/>
        <w:spacing w:before="93" w:after="93"/>
        <w:ind w:firstLine="560"/>
      </w:pPr>
      <w:r>
        <w:t>五、培养质量</w:t>
      </w:r>
    </w:p>
    <w:p>
      <w:pPr>
        <w:rPr>
          <w:rFonts w:eastAsiaTheme="minorEastAsia"/>
          <w:szCs w:val="24"/>
        </w:rPr>
      </w:pPr>
      <w:r>
        <w:rPr>
          <w:rFonts w:eastAsiaTheme="minorEastAsia"/>
          <w:szCs w:val="24"/>
        </w:rPr>
        <w:t xml:space="preserve">    目前行政管理专业本科毕业生已</w:t>
      </w:r>
      <w:r>
        <w:rPr>
          <w:szCs w:val="24"/>
        </w:rPr>
        <w:t>超1600</w:t>
      </w:r>
      <w:r>
        <w:rPr>
          <w:rFonts w:eastAsiaTheme="minorEastAsia"/>
          <w:szCs w:val="24"/>
        </w:rPr>
        <w:t>人。从就业方向来看，相当一部分同学以考研究生、考公务员作为自己的就业目标。</w:t>
      </w:r>
      <w:r>
        <w:rPr>
          <w:szCs w:val="24"/>
        </w:rPr>
        <w:t>2018、2019、2020、2021、2022年</w:t>
      </w:r>
      <w:r>
        <w:rPr>
          <w:rFonts w:eastAsiaTheme="minorEastAsia"/>
          <w:szCs w:val="24"/>
        </w:rPr>
        <w:t>毕业生就业率</w:t>
      </w:r>
      <w:r>
        <w:rPr>
          <w:szCs w:val="24"/>
        </w:rPr>
        <w:t>分别为99.2</w:t>
      </w:r>
      <w:r>
        <w:rPr>
          <w:rFonts w:eastAsiaTheme="minorEastAsia"/>
          <w:szCs w:val="24"/>
        </w:rPr>
        <w:t>%</w:t>
      </w:r>
      <w:r>
        <w:rPr>
          <w:szCs w:val="24"/>
        </w:rPr>
        <w:t>、91.09</w:t>
      </w:r>
      <w:r>
        <w:rPr>
          <w:rFonts w:eastAsia="仿宋_GB2312"/>
          <w:szCs w:val="24"/>
        </w:rPr>
        <w:t>%、97.30%、85.45</w:t>
      </w:r>
      <w:r>
        <w:rPr>
          <w:szCs w:val="24"/>
        </w:rPr>
        <w:t>%、86.6%。</w:t>
      </w:r>
    </w:p>
    <w:p>
      <w:pPr>
        <w:pStyle w:val="5"/>
        <w:spacing w:before="93" w:after="93"/>
        <w:ind w:firstLine="560"/>
      </w:pPr>
      <w:r>
        <w:t>六、毕业生就业创业</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6"/>
        <w:gridCol w:w="1402"/>
        <w:gridCol w:w="1683"/>
        <w:gridCol w:w="1683"/>
        <w:gridCol w:w="1402"/>
        <w:gridCol w:w="1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43" w:type="pct"/>
            <w:shd w:val="clear" w:color="auto" w:fill="auto"/>
            <w:vAlign w:val="center"/>
          </w:tcPr>
          <w:p>
            <w:pPr>
              <w:spacing w:line="240" w:lineRule="auto"/>
              <w:jc w:val="center"/>
              <w:rPr>
                <w:b/>
                <w:bCs/>
                <w:kern w:val="0"/>
                <w:sz w:val="21"/>
                <w:szCs w:val="21"/>
              </w:rPr>
            </w:pPr>
            <w:r>
              <w:rPr>
                <w:b/>
                <w:bCs/>
                <w:kern w:val="0"/>
                <w:sz w:val="21"/>
                <w:szCs w:val="21"/>
              </w:rPr>
              <w:t>年份</w:t>
            </w:r>
          </w:p>
        </w:tc>
        <w:tc>
          <w:tcPr>
            <w:tcW w:w="773" w:type="pct"/>
            <w:shd w:val="clear" w:color="auto" w:fill="auto"/>
            <w:vAlign w:val="center"/>
          </w:tcPr>
          <w:p>
            <w:pPr>
              <w:spacing w:line="240" w:lineRule="auto"/>
              <w:jc w:val="center"/>
              <w:rPr>
                <w:b/>
                <w:bCs/>
                <w:kern w:val="0"/>
                <w:sz w:val="21"/>
                <w:szCs w:val="21"/>
              </w:rPr>
            </w:pPr>
            <w:r>
              <w:rPr>
                <w:b/>
                <w:bCs/>
                <w:kern w:val="0"/>
                <w:sz w:val="21"/>
                <w:szCs w:val="21"/>
              </w:rPr>
              <w:t>毕业生</w:t>
            </w:r>
          </w:p>
          <w:p>
            <w:pPr>
              <w:spacing w:line="240" w:lineRule="auto"/>
              <w:jc w:val="center"/>
              <w:rPr>
                <w:b/>
                <w:bCs/>
                <w:kern w:val="0"/>
                <w:sz w:val="21"/>
                <w:szCs w:val="21"/>
              </w:rPr>
            </w:pPr>
            <w:r>
              <w:rPr>
                <w:b/>
                <w:bCs/>
                <w:kern w:val="0"/>
                <w:sz w:val="21"/>
                <w:szCs w:val="21"/>
              </w:rPr>
              <w:t>人数</w:t>
            </w:r>
          </w:p>
        </w:tc>
        <w:tc>
          <w:tcPr>
            <w:tcW w:w="928" w:type="pct"/>
            <w:shd w:val="clear" w:color="auto" w:fill="auto"/>
            <w:vAlign w:val="center"/>
          </w:tcPr>
          <w:p>
            <w:pPr>
              <w:spacing w:line="240" w:lineRule="auto"/>
              <w:jc w:val="center"/>
              <w:rPr>
                <w:b/>
                <w:bCs/>
                <w:kern w:val="0"/>
                <w:sz w:val="21"/>
                <w:szCs w:val="21"/>
              </w:rPr>
            </w:pPr>
            <w:r>
              <w:rPr>
                <w:b/>
                <w:bCs/>
                <w:kern w:val="0"/>
                <w:sz w:val="21"/>
                <w:szCs w:val="21"/>
              </w:rPr>
              <w:t>境内升学</w:t>
            </w:r>
          </w:p>
          <w:p>
            <w:pPr>
              <w:spacing w:line="240" w:lineRule="auto"/>
              <w:jc w:val="center"/>
              <w:rPr>
                <w:b/>
                <w:bCs/>
                <w:kern w:val="0"/>
                <w:sz w:val="21"/>
                <w:szCs w:val="21"/>
              </w:rPr>
            </w:pPr>
            <w:r>
              <w:rPr>
                <w:b/>
                <w:bCs/>
                <w:kern w:val="0"/>
                <w:sz w:val="21"/>
                <w:szCs w:val="21"/>
              </w:rPr>
              <w:t>人数</w:t>
            </w:r>
          </w:p>
        </w:tc>
        <w:tc>
          <w:tcPr>
            <w:tcW w:w="928" w:type="pct"/>
            <w:shd w:val="clear" w:color="auto" w:fill="auto"/>
            <w:vAlign w:val="center"/>
          </w:tcPr>
          <w:p>
            <w:pPr>
              <w:spacing w:line="240" w:lineRule="auto"/>
              <w:jc w:val="center"/>
              <w:rPr>
                <w:b/>
                <w:bCs/>
                <w:kern w:val="0"/>
                <w:sz w:val="21"/>
                <w:szCs w:val="21"/>
              </w:rPr>
            </w:pPr>
            <w:r>
              <w:rPr>
                <w:b/>
                <w:bCs/>
                <w:kern w:val="0"/>
                <w:sz w:val="21"/>
                <w:szCs w:val="21"/>
              </w:rPr>
              <w:t>境外升学</w:t>
            </w:r>
          </w:p>
          <w:p>
            <w:pPr>
              <w:spacing w:line="240" w:lineRule="auto"/>
              <w:jc w:val="center"/>
              <w:rPr>
                <w:b/>
                <w:bCs/>
                <w:kern w:val="0"/>
                <w:sz w:val="21"/>
                <w:szCs w:val="21"/>
              </w:rPr>
            </w:pPr>
            <w:r>
              <w:rPr>
                <w:b/>
                <w:bCs/>
                <w:kern w:val="0"/>
                <w:sz w:val="21"/>
                <w:szCs w:val="21"/>
              </w:rPr>
              <w:t>人数</w:t>
            </w:r>
          </w:p>
        </w:tc>
        <w:tc>
          <w:tcPr>
            <w:tcW w:w="773" w:type="pct"/>
            <w:shd w:val="clear" w:color="auto" w:fill="auto"/>
            <w:vAlign w:val="center"/>
          </w:tcPr>
          <w:p>
            <w:pPr>
              <w:spacing w:line="240" w:lineRule="auto"/>
              <w:jc w:val="center"/>
              <w:rPr>
                <w:b/>
                <w:bCs/>
                <w:kern w:val="0"/>
                <w:sz w:val="21"/>
                <w:szCs w:val="21"/>
              </w:rPr>
            </w:pPr>
            <w:r>
              <w:rPr>
                <w:b/>
                <w:bCs/>
                <w:kern w:val="0"/>
                <w:sz w:val="21"/>
                <w:szCs w:val="21"/>
              </w:rPr>
              <w:t>就业人数</w:t>
            </w:r>
          </w:p>
        </w:tc>
        <w:tc>
          <w:tcPr>
            <w:tcW w:w="951" w:type="pct"/>
            <w:vAlign w:val="center"/>
          </w:tcPr>
          <w:p>
            <w:pPr>
              <w:spacing w:line="240" w:lineRule="auto"/>
              <w:jc w:val="center"/>
              <w:rPr>
                <w:b/>
                <w:bCs/>
                <w:kern w:val="0"/>
                <w:sz w:val="21"/>
                <w:szCs w:val="21"/>
              </w:rPr>
            </w:pPr>
            <w:r>
              <w:rPr>
                <w:b/>
                <w:bCs/>
                <w:kern w:val="0"/>
                <w:sz w:val="21"/>
                <w:szCs w:val="21"/>
              </w:rPr>
              <w:t>自主创业</w:t>
            </w:r>
          </w:p>
          <w:p>
            <w:pPr>
              <w:spacing w:line="240" w:lineRule="auto"/>
              <w:jc w:val="center"/>
              <w:rPr>
                <w:b/>
                <w:bCs/>
                <w:kern w:val="0"/>
                <w:sz w:val="21"/>
                <w:szCs w:val="21"/>
              </w:rPr>
            </w:pPr>
            <w:r>
              <w:rPr>
                <w:b/>
                <w:bCs/>
                <w:kern w:val="0"/>
                <w:sz w:val="21"/>
                <w:szCs w:val="21"/>
              </w:rPr>
              <w:t>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3" w:type="pct"/>
            <w:shd w:val="clear" w:color="auto" w:fill="auto"/>
            <w:noWrap/>
            <w:vAlign w:val="center"/>
          </w:tcPr>
          <w:p>
            <w:pPr>
              <w:spacing w:line="240" w:lineRule="auto"/>
              <w:jc w:val="center"/>
              <w:rPr>
                <w:kern w:val="0"/>
                <w:sz w:val="21"/>
                <w:szCs w:val="21"/>
              </w:rPr>
            </w:pPr>
            <w:r>
              <w:rPr>
                <w:kern w:val="0"/>
                <w:sz w:val="21"/>
                <w:szCs w:val="21"/>
              </w:rPr>
              <w:t>2022</w:t>
            </w:r>
          </w:p>
        </w:tc>
        <w:tc>
          <w:tcPr>
            <w:tcW w:w="773" w:type="pct"/>
            <w:shd w:val="clear" w:color="auto" w:fill="auto"/>
            <w:vAlign w:val="center"/>
          </w:tcPr>
          <w:p>
            <w:pPr>
              <w:spacing w:line="240" w:lineRule="auto"/>
              <w:jc w:val="center"/>
              <w:rPr>
                <w:kern w:val="0"/>
                <w:sz w:val="21"/>
                <w:szCs w:val="21"/>
              </w:rPr>
            </w:pPr>
            <w:r>
              <w:rPr>
                <w:kern w:val="0"/>
                <w:sz w:val="21"/>
                <w:szCs w:val="21"/>
              </w:rPr>
              <w:t>112</w:t>
            </w:r>
          </w:p>
        </w:tc>
        <w:tc>
          <w:tcPr>
            <w:tcW w:w="928" w:type="pct"/>
            <w:shd w:val="clear" w:color="auto" w:fill="auto"/>
            <w:noWrap/>
            <w:vAlign w:val="center"/>
          </w:tcPr>
          <w:p>
            <w:pPr>
              <w:spacing w:line="240" w:lineRule="auto"/>
              <w:jc w:val="center"/>
              <w:rPr>
                <w:kern w:val="0"/>
                <w:sz w:val="21"/>
                <w:szCs w:val="21"/>
              </w:rPr>
            </w:pPr>
            <w:r>
              <w:rPr>
                <w:kern w:val="0"/>
                <w:sz w:val="21"/>
                <w:szCs w:val="21"/>
              </w:rPr>
              <w:t>33</w:t>
            </w:r>
          </w:p>
        </w:tc>
        <w:tc>
          <w:tcPr>
            <w:tcW w:w="928" w:type="pct"/>
            <w:shd w:val="clear" w:color="auto" w:fill="auto"/>
            <w:noWrap/>
            <w:vAlign w:val="center"/>
          </w:tcPr>
          <w:p>
            <w:pPr>
              <w:spacing w:line="240" w:lineRule="auto"/>
              <w:jc w:val="center"/>
              <w:rPr>
                <w:kern w:val="0"/>
                <w:sz w:val="21"/>
                <w:szCs w:val="21"/>
              </w:rPr>
            </w:pPr>
            <w:r>
              <w:rPr>
                <w:kern w:val="0"/>
                <w:sz w:val="21"/>
                <w:szCs w:val="21"/>
              </w:rPr>
              <w:t>0</w:t>
            </w:r>
          </w:p>
        </w:tc>
        <w:tc>
          <w:tcPr>
            <w:tcW w:w="773" w:type="pct"/>
            <w:shd w:val="clear" w:color="auto" w:fill="auto"/>
            <w:noWrap/>
            <w:vAlign w:val="center"/>
          </w:tcPr>
          <w:p>
            <w:pPr>
              <w:spacing w:line="240" w:lineRule="auto"/>
              <w:jc w:val="center"/>
              <w:rPr>
                <w:kern w:val="0"/>
                <w:sz w:val="21"/>
                <w:szCs w:val="21"/>
              </w:rPr>
            </w:pPr>
            <w:r>
              <w:rPr>
                <w:kern w:val="0"/>
                <w:sz w:val="21"/>
                <w:szCs w:val="21"/>
              </w:rPr>
              <w:t>64</w:t>
            </w:r>
          </w:p>
        </w:tc>
        <w:tc>
          <w:tcPr>
            <w:tcW w:w="951" w:type="pct"/>
            <w:vAlign w:val="center"/>
          </w:tcPr>
          <w:p>
            <w:pPr>
              <w:spacing w:line="240" w:lineRule="auto"/>
              <w:jc w:val="center"/>
              <w:rPr>
                <w:kern w:val="0"/>
                <w:sz w:val="21"/>
                <w:szCs w:val="21"/>
              </w:rPr>
            </w:pPr>
            <w:r>
              <w:rPr>
                <w:kern w:val="0"/>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3" w:type="pct"/>
            <w:shd w:val="clear" w:color="auto" w:fill="auto"/>
            <w:noWrap/>
            <w:vAlign w:val="center"/>
          </w:tcPr>
          <w:p>
            <w:pPr>
              <w:spacing w:line="240" w:lineRule="auto"/>
              <w:jc w:val="center"/>
              <w:rPr>
                <w:kern w:val="0"/>
                <w:sz w:val="21"/>
                <w:szCs w:val="21"/>
              </w:rPr>
            </w:pPr>
            <w:r>
              <w:rPr>
                <w:kern w:val="0"/>
                <w:sz w:val="21"/>
                <w:szCs w:val="21"/>
              </w:rPr>
              <w:t>2021</w:t>
            </w:r>
          </w:p>
        </w:tc>
        <w:tc>
          <w:tcPr>
            <w:tcW w:w="773" w:type="pct"/>
            <w:shd w:val="clear" w:color="auto" w:fill="auto"/>
            <w:vAlign w:val="center"/>
          </w:tcPr>
          <w:p>
            <w:pPr>
              <w:spacing w:line="240" w:lineRule="auto"/>
              <w:jc w:val="center"/>
              <w:rPr>
                <w:kern w:val="0"/>
                <w:sz w:val="21"/>
                <w:szCs w:val="21"/>
              </w:rPr>
            </w:pPr>
            <w:r>
              <w:rPr>
                <w:kern w:val="0"/>
                <w:sz w:val="21"/>
                <w:szCs w:val="21"/>
              </w:rPr>
              <w:t>110</w:t>
            </w:r>
          </w:p>
        </w:tc>
        <w:tc>
          <w:tcPr>
            <w:tcW w:w="928" w:type="pct"/>
            <w:shd w:val="clear" w:color="auto" w:fill="auto"/>
            <w:noWrap/>
            <w:vAlign w:val="center"/>
          </w:tcPr>
          <w:p>
            <w:pPr>
              <w:spacing w:line="240" w:lineRule="auto"/>
              <w:jc w:val="center"/>
              <w:rPr>
                <w:kern w:val="0"/>
                <w:sz w:val="21"/>
                <w:szCs w:val="21"/>
              </w:rPr>
            </w:pPr>
            <w:r>
              <w:rPr>
                <w:kern w:val="0"/>
                <w:sz w:val="21"/>
                <w:szCs w:val="21"/>
              </w:rPr>
              <w:t>30</w:t>
            </w:r>
          </w:p>
        </w:tc>
        <w:tc>
          <w:tcPr>
            <w:tcW w:w="928" w:type="pct"/>
            <w:shd w:val="clear" w:color="auto" w:fill="auto"/>
            <w:noWrap/>
            <w:vAlign w:val="center"/>
          </w:tcPr>
          <w:p>
            <w:pPr>
              <w:spacing w:line="240" w:lineRule="auto"/>
              <w:jc w:val="center"/>
              <w:rPr>
                <w:kern w:val="0"/>
                <w:sz w:val="21"/>
                <w:szCs w:val="21"/>
              </w:rPr>
            </w:pPr>
            <w:r>
              <w:rPr>
                <w:kern w:val="0"/>
                <w:sz w:val="21"/>
                <w:szCs w:val="21"/>
              </w:rPr>
              <w:t>0</w:t>
            </w:r>
          </w:p>
        </w:tc>
        <w:tc>
          <w:tcPr>
            <w:tcW w:w="773" w:type="pct"/>
            <w:shd w:val="clear" w:color="auto" w:fill="auto"/>
            <w:noWrap/>
            <w:vAlign w:val="center"/>
          </w:tcPr>
          <w:p>
            <w:pPr>
              <w:spacing w:line="240" w:lineRule="auto"/>
              <w:jc w:val="center"/>
              <w:rPr>
                <w:kern w:val="0"/>
                <w:sz w:val="21"/>
                <w:szCs w:val="21"/>
              </w:rPr>
            </w:pPr>
            <w:r>
              <w:rPr>
                <w:kern w:val="0"/>
                <w:sz w:val="21"/>
                <w:szCs w:val="21"/>
              </w:rPr>
              <w:t>94</w:t>
            </w:r>
          </w:p>
        </w:tc>
        <w:tc>
          <w:tcPr>
            <w:tcW w:w="951" w:type="pct"/>
            <w:vAlign w:val="center"/>
          </w:tcPr>
          <w:p>
            <w:pPr>
              <w:spacing w:line="240" w:lineRule="auto"/>
              <w:jc w:val="center"/>
              <w:rPr>
                <w:kern w:val="0"/>
                <w:sz w:val="21"/>
                <w:szCs w:val="21"/>
              </w:rPr>
            </w:pPr>
            <w:r>
              <w:rPr>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3" w:type="pct"/>
            <w:shd w:val="clear" w:color="auto" w:fill="auto"/>
            <w:noWrap/>
            <w:vAlign w:val="center"/>
          </w:tcPr>
          <w:p>
            <w:pPr>
              <w:spacing w:line="240" w:lineRule="auto"/>
              <w:jc w:val="center"/>
              <w:rPr>
                <w:kern w:val="0"/>
                <w:sz w:val="21"/>
                <w:szCs w:val="21"/>
              </w:rPr>
            </w:pPr>
            <w:r>
              <w:rPr>
                <w:kern w:val="0"/>
                <w:sz w:val="21"/>
                <w:szCs w:val="21"/>
              </w:rPr>
              <w:t>2020</w:t>
            </w:r>
          </w:p>
        </w:tc>
        <w:tc>
          <w:tcPr>
            <w:tcW w:w="773" w:type="pct"/>
            <w:shd w:val="clear" w:color="auto" w:fill="auto"/>
            <w:vAlign w:val="center"/>
          </w:tcPr>
          <w:p>
            <w:pPr>
              <w:spacing w:line="240" w:lineRule="auto"/>
              <w:jc w:val="center"/>
              <w:rPr>
                <w:kern w:val="0"/>
                <w:sz w:val="21"/>
                <w:szCs w:val="21"/>
              </w:rPr>
            </w:pPr>
            <w:r>
              <w:rPr>
                <w:kern w:val="0"/>
                <w:sz w:val="21"/>
                <w:szCs w:val="21"/>
              </w:rPr>
              <w:t>114</w:t>
            </w:r>
          </w:p>
        </w:tc>
        <w:tc>
          <w:tcPr>
            <w:tcW w:w="928" w:type="pct"/>
            <w:shd w:val="clear" w:color="auto" w:fill="auto"/>
            <w:noWrap/>
            <w:vAlign w:val="center"/>
          </w:tcPr>
          <w:p>
            <w:pPr>
              <w:spacing w:line="240" w:lineRule="auto"/>
              <w:jc w:val="center"/>
              <w:rPr>
                <w:kern w:val="0"/>
                <w:sz w:val="21"/>
                <w:szCs w:val="21"/>
              </w:rPr>
            </w:pPr>
            <w:r>
              <w:rPr>
                <w:kern w:val="0"/>
                <w:sz w:val="21"/>
                <w:szCs w:val="21"/>
              </w:rPr>
              <w:t>28</w:t>
            </w:r>
          </w:p>
        </w:tc>
        <w:tc>
          <w:tcPr>
            <w:tcW w:w="928" w:type="pct"/>
            <w:shd w:val="clear" w:color="auto" w:fill="auto"/>
            <w:noWrap/>
            <w:vAlign w:val="center"/>
          </w:tcPr>
          <w:p>
            <w:pPr>
              <w:spacing w:line="240" w:lineRule="auto"/>
              <w:jc w:val="center"/>
              <w:rPr>
                <w:kern w:val="0"/>
                <w:sz w:val="21"/>
                <w:szCs w:val="21"/>
              </w:rPr>
            </w:pPr>
            <w:r>
              <w:rPr>
                <w:kern w:val="0"/>
                <w:sz w:val="21"/>
                <w:szCs w:val="21"/>
              </w:rPr>
              <w:t>2</w:t>
            </w:r>
          </w:p>
        </w:tc>
        <w:tc>
          <w:tcPr>
            <w:tcW w:w="773" w:type="pct"/>
            <w:shd w:val="clear" w:color="auto" w:fill="auto"/>
            <w:noWrap/>
            <w:vAlign w:val="center"/>
          </w:tcPr>
          <w:p>
            <w:pPr>
              <w:spacing w:line="240" w:lineRule="auto"/>
              <w:jc w:val="center"/>
              <w:rPr>
                <w:kern w:val="0"/>
                <w:sz w:val="21"/>
                <w:szCs w:val="21"/>
              </w:rPr>
            </w:pPr>
            <w:r>
              <w:rPr>
                <w:kern w:val="0"/>
                <w:sz w:val="21"/>
                <w:szCs w:val="21"/>
              </w:rPr>
              <w:t>112</w:t>
            </w:r>
          </w:p>
        </w:tc>
        <w:tc>
          <w:tcPr>
            <w:tcW w:w="951" w:type="pct"/>
            <w:vAlign w:val="center"/>
          </w:tcPr>
          <w:p>
            <w:pPr>
              <w:spacing w:line="240" w:lineRule="auto"/>
              <w:jc w:val="center"/>
              <w:rPr>
                <w:kern w:val="0"/>
                <w:sz w:val="21"/>
                <w:szCs w:val="21"/>
              </w:rPr>
            </w:pPr>
            <w:r>
              <w:rPr>
                <w:kern w:val="0"/>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3" w:type="pct"/>
            <w:shd w:val="clear" w:color="auto" w:fill="auto"/>
            <w:noWrap/>
            <w:vAlign w:val="center"/>
          </w:tcPr>
          <w:p>
            <w:pPr>
              <w:spacing w:line="240" w:lineRule="auto"/>
              <w:jc w:val="center"/>
              <w:rPr>
                <w:kern w:val="0"/>
                <w:sz w:val="21"/>
                <w:szCs w:val="21"/>
              </w:rPr>
            </w:pPr>
            <w:r>
              <w:rPr>
                <w:kern w:val="0"/>
                <w:sz w:val="21"/>
                <w:szCs w:val="21"/>
              </w:rPr>
              <w:t>2019</w:t>
            </w:r>
          </w:p>
        </w:tc>
        <w:tc>
          <w:tcPr>
            <w:tcW w:w="773" w:type="pct"/>
            <w:shd w:val="clear" w:color="auto" w:fill="auto"/>
            <w:vAlign w:val="center"/>
          </w:tcPr>
          <w:p>
            <w:pPr>
              <w:spacing w:line="240" w:lineRule="auto"/>
              <w:jc w:val="center"/>
              <w:rPr>
                <w:kern w:val="0"/>
                <w:sz w:val="21"/>
                <w:szCs w:val="21"/>
              </w:rPr>
            </w:pPr>
            <w:r>
              <w:rPr>
                <w:kern w:val="0"/>
                <w:sz w:val="21"/>
                <w:szCs w:val="21"/>
              </w:rPr>
              <w:t>101</w:t>
            </w:r>
          </w:p>
        </w:tc>
        <w:tc>
          <w:tcPr>
            <w:tcW w:w="928" w:type="pct"/>
            <w:shd w:val="clear" w:color="auto" w:fill="auto"/>
            <w:noWrap/>
            <w:vAlign w:val="center"/>
          </w:tcPr>
          <w:p>
            <w:pPr>
              <w:spacing w:line="240" w:lineRule="auto"/>
              <w:jc w:val="center"/>
              <w:rPr>
                <w:kern w:val="0"/>
                <w:sz w:val="21"/>
                <w:szCs w:val="21"/>
              </w:rPr>
            </w:pPr>
            <w:r>
              <w:rPr>
                <w:kern w:val="0"/>
                <w:sz w:val="21"/>
                <w:szCs w:val="21"/>
              </w:rPr>
              <w:t>28</w:t>
            </w:r>
          </w:p>
        </w:tc>
        <w:tc>
          <w:tcPr>
            <w:tcW w:w="928" w:type="pct"/>
            <w:shd w:val="clear" w:color="auto" w:fill="auto"/>
            <w:noWrap/>
            <w:vAlign w:val="center"/>
          </w:tcPr>
          <w:p>
            <w:pPr>
              <w:spacing w:line="240" w:lineRule="auto"/>
              <w:jc w:val="center"/>
              <w:rPr>
                <w:kern w:val="0"/>
                <w:sz w:val="21"/>
                <w:szCs w:val="21"/>
              </w:rPr>
            </w:pPr>
            <w:r>
              <w:rPr>
                <w:kern w:val="0"/>
                <w:sz w:val="21"/>
                <w:szCs w:val="21"/>
              </w:rPr>
              <w:t>0</w:t>
            </w:r>
          </w:p>
        </w:tc>
        <w:tc>
          <w:tcPr>
            <w:tcW w:w="773" w:type="pct"/>
            <w:shd w:val="clear" w:color="auto" w:fill="auto"/>
            <w:noWrap/>
            <w:vAlign w:val="center"/>
          </w:tcPr>
          <w:p>
            <w:pPr>
              <w:spacing w:line="240" w:lineRule="auto"/>
              <w:jc w:val="center"/>
              <w:rPr>
                <w:kern w:val="0"/>
                <w:sz w:val="21"/>
                <w:szCs w:val="21"/>
              </w:rPr>
            </w:pPr>
            <w:r>
              <w:rPr>
                <w:kern w:val="0"/>
                <w:sz w:val="21"/>
                <w:szCs w:val="21"/>
              </w:rPr>
              <w:t>92</w:t>
            </w:r>
          </w:p>
        </w:tc>
        <w:tc>
          <w:tcPr>
            <w:tcW w:w="951" w:type="pct"/>
            <w:vAlign w:val="center"/>
          </w:tcPr>
          <w:p>
            <w:pPr>
              <w:spacing w:line="240" w:lineRule="auto"/>
              <w:jc w:val="center"/>
              <w:rPr>
                <w:kern w:val="0"/>
                <w:sz w:val="21"/>
                <w:szCs w:val="21"/>
              </w:rPr>
            </w:pPr>
            <w:r>
              <w:rPr>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3" w:type="pct"/>
            <w:shd w:val="clear" w:color="auto" w:fill="auto"/>
            <w:noWrap/>
            <w:vAlign w:val="center"/>
          </w:tcPr>
          <w:p>
            <w:pPr>
              <w:spacing w:line="240" w:lineRule="auto"/>
              <w:jc w:val="center"/>
              <w:rPr>
                <w:kern w:val="0"/>
                <w:sz w:val="21"/>
                <w:szCs w:val="21"/>
              </w:rPr>
            </w:pPr>
            <w:r>
              <w:rPr>
                <w:kern w:val="0"/>
                <w:sz w:val="21"/>
                <w:szCs w:val="21"/>
              </w:rPr>
              <w:t>2018</w:t>
            </w:r>
          </w:p>
        </w:tc>
        <w:tc>
          <w:tcPr>
            <w:tcW w:w="773" w:type="pct"/>
            <w:shd w:val="clear" w:color="auto" w:fill="auto"/>
            <w:vAlign w:val="center"/>
          </w:tcPr>
          <w:p>
            <w:pPr>
              <w:spacing w:line="240" w:lineRule="auto"/>
              <w:jc w:val="center"/>
              <w:rPr>
                <w:kern w:val="0"/>
                <w:sz w:val="21"/>
                <w:szCs w:val="21"/>
              </w:rPr>
            </w:pPr>
            <w:r>
              <w:rPr>
                <w:kern w:val="0"/>
                <w:sz w:val="21"/>
                <w:szCs w:val="21"/>
              </w:rPr>
              <w:t>125</w:t>
            </w:r>
          </w:p>
        </w:tc>
        <w:tc>
          <w:tcPr>
            <w:tcW w:w="928" w:type="pct"/>
            <w:shd w:val="clear" w:color="auto" w:fill="auto"/>
            <w:noWrap/>
            <w:vAlign w:val="center"/>
          </w:tcPr>
          <w:p>
            <w:pPr>
              <w:spacing w:line="240" w:lineRule="auto"/>
              <w:jc w:val="center"/>
              <w:rPr>
                <w:kern w:val="0"/>
                <w:sz w:val="21"/>
                <w:szCs w:val="21"/>
              </w:rPr>
            </w:pPr>
            <w:r>
              <w:rPr>
                <w:kern w:val="0"/>
                <w:sz w:val="21"/>
                <w:szCs w:val="21"/>
              </w:rPr>
              <w:t>30</w:t>
            </w:r>
          </w:p>
        </w:tc>
        <w:tc>
          <w:tcPr>
            <w:tcW w:w="928" w:type="pct"/>
            <w:shd w:val="clear" w:color="auto" w:fill="auto"/>
            <w:noWrap/>
            <w:vAlign w:val="center"/>
          </w:tcPr>
          <w:p>
            <w:pPr>
              <w:spacing w:line="240" w:lineRule="auto"/>
              <w:jc w:val="center"/>
              <w:rPr>
                <w:kern w:val="0"/>
                <w:sz w:val="21"/>
                <w:szCs w:val="21"/>
              </w:rPr>
            </w:pPr>
            <w:r>
              <w:rPr>
                <w:kern w:val="0"/>
                <w:sz w:val="21"/>
                <w:szCs w:val="21"/>
              </w:rPr>
              <w:t>1</w:t>
            </w:r>
          </w:p>
        </w:tc>
        <w:tc>
          <w:tcPr>
            <w:tcW w:w="773" w:type="pct"/>
            <w:shd w:val="clear" w:color="auto" w:fill="auto"/>
            <w:noWrap/>
            <w:vAlign w:val="center"/>
          </w:tcPr>
          <w:p>
            <w:pPr>
              <w:spacing w:line="240" w:lineRule="auto"/>
              <w:jc w:val="center"/>
              <w:rPr>
                <w:kern w:val="0"/>
                <w:sz w:val="21"/>
                <w:szCs w:val="21"/>
              </w:rPr>
            </w:pPr>
            <w:r>
              <w:rPr>
                <w:kern w:val="0"/>
                <w:sz w:val="21"/>
                <w:szCs w:val="21"/>
              </w:rPr>
              <w:t>124</w:t>
            </w:r>
          </w:p>
        </w:tc>
        <w:tc>
          <w:tcPr>
            <w:tcW w:w="951" w:type="pct"/>
            <w:vAlign w:val="center"/>
          </w:tcPr>
          <w:p>
            <w:pPr>
              <w:spacing w:line="240" w:lineRule="auto"/>
              <w:jc w:val="center"/>
              <w:rPr>
                <w:kern w:val="0"/>
                <w:sz w:val="21"/>
                <w:szCs w:val="21"/>
              </w:rPr>
            </w:pPr>
            <w:r>
              <w:rPr>
                <w:kern w:val="0"/>
                <w:sz w:val="21"/>
                <w:szCs w:val="21"/>
              </w:rPr>
              <w:t>1</w:t>
            </w:r>
          </w:p>
        </w:tc>
      </w:tr>
    </w:tbl>
    <w:p>
      <w:pPr>
        <w:pStyle w:val="5"/>
        <w:spacing w:before="93" w:after="93"/>
        <w:ind w:firstLine="560"/>
      </w:pPr>
      <w:r>
        <w:t>七、专业人才社会需求分析及专业发展趋势分析</w:t>
      </w:r>
    </w:p>
    <w:p>
      <w:pPr>
        <w:ind w:firstLine="480"/>
        <w:jc w:val="left"/>
        <w:rPr>
          <w:kern w:val="0"/>
          <w:szCs w:val="24"/>
        </w:rPr>
      </w:pPr>
      <w:r>
        <w:rPr>
          <w:kern w:val="0"/>
          <w:szCs w:val="24"/>
        </w:rPr>
        <w:t>党的二十大报告指出，中国特色社会主义进入新时代，</w:t>
      </w:r>
      <w:r>
        <w:rPr>
          <w:rFonts w:hint="eastAsia"/>
          <w:kern w:val="0"/>
          <w:szCs w:val="24"/>
        </w:rPr>
        <w:t>“</w:t>
      </w:r>
      <w:r>
        <w:rPr>
          <w:kern w:val="0"/>
          <w:szCs w:val="24"/>
        </w:rPr>
        <w:t>中国特色社会主义制度更加成熟更加定型，国家治理体系和治理能力现代化水平明显提高</w:t>
      </w:r>
      <w:r>
        <w:rPr>
          <w:rFonts w:hint="eastAsia"/>
          <w:kern w:val="0"/>
          <w:szCs w:val="24"/>
        </w:rPr>
        <w:t>”</w:t>
      </w:r>
      <w:r>
        <w:rPr>
          <w:kern w:val="0"/>
          <w:szCs w:val="24"/>
        </w:rPr>
        <w:t>。作为城乡现代化管理的重要组成部分，行政管理技能已成为现代化人才发展的必备技能。各政府部门、相关企事业单位等对行政管理专业人才有强烈的需求，尤其是对复合型的行政管理专业人才的需求。</w:t>
      </w:r>
    </w:p>
    <w:p>
      <w:pPr>
        <w:pStyle w:val="5"/>
        <w:spacing w:before="93" w:after="93"/>
        <w:ind w:firstLine="560"/>
      </w:pPr>
      <w:r>
        <w:t>八、存在的问题及拟采取的对策措施</w:t>
      </w:r>
    </w:p>
    <w:p>
      <w:pPr>
        <w:pStyle w:val="6"/>
        <w:ind w:firstLine="480"/>
      </w:pPr>
      <w:r>
        <w:t>（一）打造优质师资团队</w:t>
      </w:r>
    </w:p>
    <w:p>
      <w:pPr>
        <w:ind w:firstLine="480"/>
        <w:jc w:val="left"/>
        <w:rPr>
          <w:kern w:val="0"/>
          <w:szCs w:val="24"/>
        </w:rPr>
      </w:pPr>
      <w:r>
        <w:rPr>
          <w:kern w:val="0"/>
          <w:szCs w:val="24"/>
        </w:rPr>
        <w:t>行政管理专业人才的培养离不开师资力量的增强，目前虽然师资力量有了一定的基础，但是与高水平专业师资力量尚有差距。未来我们将不断引进高水平专业博士，并积极培养现有师资力量，力争达到20人的师资规模。</w:t>
      </w:r>
    </w:p>
    <w:p>
      <w:pPr>
        <w:pStyle w:val="6"/>
        <w:ind w:firstLine="480"/>
      </w:pPr>
      <w:r>
        <w:t>（二）加大同行间交往交流</w:t>
      </w:r>
    </w:p>
    <w:p>
      <w:pPr>
        <w:ind w:firstLine="480"/>
        <w:jc w:val="left"/>
        <w:rPr>
          <w:kern w:val="0"/>
          <w:szCs w:val="24"/>
        </w:rPr>
      </w:pPr>
      <w:r>
        <w:rPr>
          <w:kern w:val="0"/>
          <w:szCs w:val="24"/>
        </w:rPr>
        <w:t>行政管理专业人才培养离不开与同行业间的交流。目前我们积极参与行政管理专业相关学科建设与学术发展等相关的会议，主动向同行业专家学习，不断改进自己的培养方案，但是在师生交流访学方面还有待于提升，尤其是国际交流薄弱。未来，我们将进一步主动向同行业的佼佼者继续学习，让同行专家来校作学术讲座和论坛成为常态；另一方面我们将不断开拓国际间的交流与学习，在条件成熟时努力实现国内师生交流访学、国际师生交流访学的机制。</w:t>
      </w:r>
    </w:p>
    <w:p>
      <w:pPr>
        <w:pStyle w:val="6"/>
        <w:ind w:firstLine="480"/>
      </w:pPr>
      <w:r>
        <w:t>（三）培养机制灵活</w:t>
      </w:r>
    </w:p>
    <w:p>
      <w:pPr>
        <w:ind w:firstLine="480"/>
        <w:rPr>
          <w:kern w:val="0"/>
          <w:szCs w:val="24"/>
        </w:rPr>
      </w:pPr>
      <w:r>
        <w:rPr>
          <w:kern w:val="0"/>
          <w:szCs w:val="24"/>
        </w:rPr>
        <w:t>行政管理专业人才培养离不开实践教学的开展。目前的实践教学主要集中在大三的教学实习与大四的毕业实习方面。行政管理专业师生到实践教学基地（主要是政府相关部门）实习，获益匪浅。但是因为疫情存在着实习难以到校外，难以达到理想效果等特点。未来，我们继续优化培养方案，适当增加实习机会和时间。并积极主动到政府相关部门交流学习，特别要调查政府相关实践基地需要具备什么素质的专业人才。并沟通实习期间的具体工作问题，期望让学生在实习中有机会参与更多的政府事务性工作。</w:t>
      </w:r>
    </w:p>
    <w:p>
      <w:r>
        <w:br w:type="page"/>
      </w:r>
    </w:p>
    <w:p>
      <w:pPr>
        <w:pStyle w:val="4"/>
        <w:ind w:firstLine="600"/>
        <w:rPr>
          <w:lang w:val="en-US"/>
        </w:rPr>
      </w:pPr>
      <w:bookmarkStart w:id="563" w:name="_Toc16705"/>
      <w:r>
        <w:rPr>
          <w:rFonts w:hint="eastAsia"/>
          <w:lang w:val="en-US"/>
        </w:rPr>
        <w:t>专业五十八：</w:t>
      </w:r>
      <w:r>
        <w:t>城市管理</w:t>
      </w:r>
      <w:bookmarkEnd w:id="563"/>
    </w:p>
    <w:p>
      <w:pPr>
        <w:pStyle w:val="5"/>
        <w:spacing w:before="93" w:after="93"/>
        <w:ind w:firstLine="560"/>
      </w:pPr>
      <w:r>
        <w:t>一、人才培养目标</w:t>
      </w:r>
    </w:p>
    <w:p>
      <w:pPr>
        <w:ind w:firstLine="480"/>
        <w:rPr>
          <w:kern w:val="0"/>
          <w:szCs w:val="24"/>
        </w:rPr>
      </w:pPr>
      <w:r>
        <w:rPr>
          <w:kern w:val="0"/>
          <w:szCs w:val="24"/>
        </w:rPr>
        <w:t xml:space="preserve">城市管理专业旨在培养德、智、体全面发展，具有扎实的城市管理理论、掌握科学的城市管理技能，精通政治学、管理学、经济学、地理学、社会学、法学及城乡规划学等相关理论，具备城市发展、规划、管理综合能力，能够从事相关工作的复合型高级管理人才，以满足我国城市化飞速发展的需要。 </w:t>
      </w:r>
    </w:p>
    <w:p>
      <w:pPr>
        <w:pStyle w:val="5"/>
        <w:spacing w:before="93" w:after="93"/>
        <w:ind w:firstLine="560"/>
      </w:pPr>
      <w:r>
        <w:t>二、培养能力</w:t>
      </w:r>
    </w:p>
    <w:p>
      <w:pPr>
        <w:pStyle w:val="6"/>
        <w:ind w:firstLine="480"/>
      </w:pPr>
      <w:r>
        <w:t>（一）专业基本情况</w:t>
      </w:r>
    </w:p>
    <w:p>
      <w:pPr>
        <w:ind w:firstLine="480"/>
        <w:rPr>
          <w:kern w:val="0"/>
          <w:szCs w:val="24"/>
        </w:rPr>
      </w:pPr>
      <w:r>
        <w:rPr>
          <w:kern w:val="0"/>
          <w:szCs w:val="24"/>
        </w:rPr>
        <w:t>山东农业大学城市管理专业2011年通过教育部门审批，于2012年开始招收城市管理专业本科生，是全国较早的城市管理招生单位，当时只有23所高校招收城市管理专业。2016年习近平同志在中央城市工作会议上强调要办好城市管理专业之后，城市管理获得了迅猛发展，目前全国共有60所高校招收城市管理本科专业。我校城市管理专业目前在公共管理一级硕士点下招收城市管理方向的硕士研究生。</w:t>
      </w:r>
    </w:p>
    <w:p>
      <w:pPr>
        <w:pStyle w:val="6"/>
        <w:ind w:firstLine="480"/>
      </w:pPr>
      <w:r>
        <w:t>（二）在校生规模</w:t>
      </w:r>
    </w:p>
    <w:p>
      <w:pPr>
        <w:ind w:firstLine="480"/>
        <w:rPr>
          <w:kern w:val="0"/>
          <w:szCs w:val="24"/>
        </w:rPr>
      </w:pPr>
      <w:r>
        <w:rPr>
          <w:kern w:val="0"/>
          <w:szCs w:val="24"/>
        </w:rPr>
        <w:t>从2012年起，届连续招收学生106人、107人、221人、117人、114人、79人、105人、26人、50人、40人。计划通过10年的努力，紧扣时代发展脉搏，着力突出专业特色，科学进行学科定位，坚持高标准、高质量、高起点，以培养复合型高级城市管理人才为目标，抢抓发展机遇，做好、做足、做活专业发展文章，根据社会需求，通过提高专业办学影响力、辐射力，提升整体办学水平。在确保城市管理专业人才培养规格高层次化和立体化的基础上，科学规划，利用学院现有的公共管理硕士点，努力在城市化与公共政策研究、中小城市管理与农村小城镇发展管理创新、城市社区管理创新、城市公共危机管理等方向，形成鲜明的特色，尽早招收上述方向的研究生，使研究生培养年均数达到6-10人。</w:t>
      </w:r>
    </w:p>
    <w:p>
      <w:pPr>
        <w:pStyle w:val="6"/>
        <w:ind w:firstLine="480"/>
      </w:pPr>
      <w:r>
        <w:t>（三）课程体系</w:t>
      </w:r>
    </w:p>
    <w:p>
      <w:pPr>
        <w:ind w:firstLine="480"/>
        <w:rPr>
          <w:kern w:val="0"/>
          <w:szCs w:val="24"/>
        </w:rPr>
      </w:pPr>
      <w:r>
        <w:rPr>
          <w:kern w:val="0"/>
          <w:szCs w:val="24"/>
        </w:rPr>
        <w:t>除学校统一安排的通识必修课和通识选修课外，设有学科基础课、专业核心课、拓展教育课和专业分流课。主要学习课程：以城市管理学、城乡规划学、城市经济学、城市社会学为四大主线，以空间分析方法和数量分析方法两类分析方法为支撑。学习城市管理学、城市经济学、城乡规划原理、公共政策学、城市社区管理、城市地理学、城市管理法律实务、城市生态学、数字城市建设与管理、社会调查理论与方法、空间分析方法等。</w:t>
      </w:r>
    </w:p>
    <w:p>
      <w:pPr>
        <w:pStyle w:val="6"/>
        <w:ind w:firstLine="480"/>
      </w:pPr>
      <w:r>
        <w:t>（四）创新创业教育</w:t>
      </w:r>
    </w:p>
    <w:p>
      <w:pPr>
        <w:ind w:firstLine="480"/>
        <w:rPr>
          <w:kern w:val="0"/>
          <w:szCs w:val="24"/>
        </w:rPr>
      </w:pPr>
      <w:r>
        <w:rPr>
          <w:kern w:val="0"/>
          <w:szCs w:val="24"/>
        </w:rPr>
        <w:t>（1）将创新创业教育纳入新生入学教育当中，检查常抓不懈，引导专业学生按照</w:t>
      </w:r>
      <w:r>
        <w:rPr>
          <w:rFonts w:hint="eastAsia"/>
          <w:kern w:val="0"/>
          <w:szCs w:val="24"/>
        </w:rPr>
        <w:t>“</w:t>
      </w:r>
      <w:r>
        <w:rPr>
          <w:kern w:val="0"/>
          <w:szCs w:val="24"/>
        </w:rPr>
        <w:t>学习者----劳动者----管理者----城市管理者----城市领导者</w:t>
      </w:r>
      <w:r>
        <w:rPr>
          <w:rFonts w:hint="eastAsia"/>
          <w:kern w:val="0"/>
          <w:szCs w:val="24"/>
        </w:rPr>
        <w:t>”</w:t>
      </w:r>
      <w:r>
        <w:rPr>
          <w:kern w:val="0"/>
          <w:szCs w:val="24"/>
        </w:rPr>
        <w:t>的思路，设计自己的人生之路。城市管理专业的《创新创业指导课》，学院领导、团委老师、系里主任、全体老师齐上阵，形成创业教育多层面化。同时，引导学生参加大学生自主创业项目，如惠恩文化传媒、美嘉广告设计公司、晨博文化传媒公司等。在学院大力支持下，定期邀请知名学者和各级政府领导来校讲座、交流。城市管理专业每届学生每年都确保组织城市管理研究专家进校做报告至少2次。</w:t>
      </w:r>
    </w:p>
    <w:p>
      <w:pPr>
        <w:ind w:firstLine="480"/>
        <w:rPr>
          <w:kern w:val="0"/>
          <w:szCs w:val="24"/>
        </w:rPr>
      </w:pPr>
      <w:r>
        <w:rPr>
          <w:kern w:val="0"/>
          <w:szCs w:val="24"/>
        </w:rPr>
        <w:t>（2）坚持系、委联合，举办各种创新创业教育。一是举办</w:t>
      </w:r>
      <w:r>
        <w:rPr>
          <w:rFonts w:hint="eastAsia"/>
          <w:kern w:val="0"/>
          <w:szCs w:val="24"/>
        </w:rPr>
        <w:t>“</w:t>
      </w:r>
      <w:r>
        <w:rPr>
          <w:kern w:val="0"/>
          <w:szCs w:val="24"/>
        </w:rPr>
        <w:t>怎样走好大学路</w:t>
      </w:r>
      <w:r>
        <w:rPr>
          <w:rFonts w:hint="eastAsia"/>
          <w:kern w:val="0"/>
          <w:szCs w:val="24"/>
        </w:rPr>
        <w:t>”</w:t>
      </w:r>
      <w:r>
        <w:rPr>
          <w:kern w:val="0"/>
          <w:szCs w:val="24"/>
        </w:rPr>
        <w:t>经验交流会，请选调生为学生作报告，引导学生端正学习态度，树立远大志向，科学安排大学生活，不断提升自我，选择最适合自己的发展道路；二是举办召开</w:t>
      </w:r>
      <w:r>
        <w:rPr>
          <w:rFonts w:hint="eastAsia"/>
          <w:kern w:val="0"/>
          <w:szCs w:val="24"/>
        </w:rPr>
        <w:t>“</w:t>
      </w:r>
      <w:r>
        <w:rPr>
          <w:kern w:val="0"/>
          <w:szCs w:val="24"/>
        </w:rPr>
        <w:t>考研 考风 考试</w:t>
      </w:r>
      <w:r>
        <w:rPr>
          <w:rFonts w:hint="eastAsia"/>
          <w:kern w:val="0"/>
          <w:szCs w:val="24"/>
        </w:rPr>
        <w:t>”</w:t>
      </w:r>
      <w:r>
        <w:rPr>
          <w:kern w:val="0"/>
          <w:szCs w:val="24"/>
        </w:rPr>
        <w:t>学习交流会、考研动员大会，针对学生面临着</w:t>
      </w:r>
      <w:r>
        <w:rPr>
          <w:rFonts w:hint="eastAsia"/>
          <w:kern w:val="0"/>
          <w:szCs w:val="24"/>
        </w:rPr>
        <w:t>“</w:t>
      </w:r>
      <w:r>
        <w:rPr>
          <w:kern w:val="0"/>
          <w:szCs w:val="24"/>
        </w:rPr>
        <w:t>是否考研</w:t>
      </w:r>
      <w:r>
        <w:rPr>
          <w:rFonts w:hint="eastAsia"/>
          <w:kern w:val="0"/>
          <w:szCs w:val="24"/>
        </w:rPr>
        <w:t>”</w:t>
      </w:r>
      <w:r>
        <w:rPr>
          <w:kern w:val="0"/>
          <w:szCs w:val="24"/>
        </w:rPr>
        <w:t>、</w:t>
      </w:r>
      <w:r>
        <w:rPr>
          <w:rFonts w:hint="eastAsia"/>
          <w:kern w:val="0"/>
          <w:szCs w:val="24"/>
        </w:rPr>
        <w:t>“</w:t>
      </w:r>
      <w:r>
        <w:rPr>
          <w:kern w:val="0"/>
          <w:szCs w:val="24"/>
        </w:rPr>
        <w:t>如何考研</w:t>
      </w:r>
      <w:r>
        <w:rPr>
          <w:rFonts w:hint="eastAsia"/>
          <w:kern w:val="0"/>
          <w:szCs w:val="24"/>
        </w:rPr>
        <w:t>”</w:t>
      </w:r>
      <w:r>
        <w:rPr>
          <w:kern w:val="0"/>
          <w:szCs w:val="24"/>
        </w:rPr>
        <w:t>问题，从</w:t>
      </w:r>
      <w:r>
        <w:rPr>
          <w:rFonts w:hint="eastAsia"/>
          <w:kern w:val="0"/>
          <w:szCs w:val="24"/>
        </w:rPr>
        <w:t>“</w:t>
      </w:r>
      <w:r>
        <w:rPr>
          <w:kern w:val="0"/>
          <w:szCs w:val="24"/>
        </w:rPr>
        <w:t>为什么考研</w:t>
      </w:r>
      <w:r>
        <w:rPr>
          <w:rFonts w:hint="eastAsia"/>
          <w:kern w:val="0"/>
          <w:szCs w:val="24"/>
        </w:rPr>
        <w:t>”</w:t>
      </w:r>
      <w:r>
        <w:rPr>
          <w:kern w:val="0"/>
          <w:szCs w:val="24"/>
        </w:rPr>
        <w:t>、</w:t>
      </w:r>
      <w:r>
        <w:rPr>
          <w:rFonts w:hint="eastAsia"/>
          <w:kern w:val="0"/>
          <w:szCs w:val="24"/>
        </w:rPr>
        <w:t>“</w:t>
      </w:r>
      <w:r>
        <w:rPr>
          <w:kern w:val="0"/>
          <w:szCs w:val="24"/>
        </w:rPr>
        <w:t>如何让选择学校</w:t>
      </w:r>
      <w:r>
        <w:rPr>
          <w:rFonts w:hint="eastAsia"/>
          <w:kern w:val="0"/>
          <w:szCs w:val="24"/>
        </w:rPr>
        <w:t>”</w:t>
      </w:r>
      <w:r>
        <w:rPr>
          <w:kern w:val="0"/>
          <w:szCs w:val="24"/>
        </w:rPr>
        <w:t>、</w:t>
      </w:r>
      <w:r>
        <w:rPr>
          <w:rFonts w:hint="eastAsia"/>
          <w:kern w:val="0"/>
          <w:szCs w:val="24"/>
        </w:rPr>
        <w:t>“</w:t>
      </w:r>
      <w:r>
        <w:rPr>
          <w:kern w:val="0"/>
          <w:szCs w:val="24"/>
        </w:rPr>
        <w:t>选择专业</w:t>
      </w:r>
      <w:r>
        <w:rPr>
          <w:rFonts w:hint="eastAsia"/>
          <w:kern w:val="0"/>
          <w:szCs w:val="24"/>
        </w:rPr>
        <w:t>”</w:t>
      </w:r>
      <w:r>
        <w:rPr>
          <w:kern w:val="0"/>
          <w:szCs w:val="24"/>
        </w:rPr>
        <w:t>、</w:t>
      </w:r>
      <w:r>
        <w:rPr>
          <w:rFonts w:hint="eastAsia"/>
          <w:kern w:val="0"/>
          <w:szCs w:val="24"/>
        </w:rPr>
        <w:t>“</w:t>
      </w:r>
      <w:r>
        <w:rPr>
          <w:kern w:val="0"/>
          <w:szCs w:val="24"/>
        </w:rPr>
        <w:t>如何备考</w:t>
      </w:r>
      <w:r>
        <w:rPr>
          <w:rFonts w:hint="eastAsia"/>
          <w:kern w:val="0"/>
          <w:szCs w:val="24"/>
        </w:rPr>
        <w:t>”</w:t>
      </w:r>
      <w:r>
        <w:rPr>
          <w:kern w:val="0"/>
          <w:szCs w:val="24"/>
        </w:rPr>
        <w:t>等层面，解答学生疑惑，激发学生考研积极性，引导同学明确考验目标，了解备考信息，鼓舞考研士气，指明方向，坚定信念，找准方向，设计多元化的就业选择；三是安排考取和推免研究生，详细传授考研宝贵经验，提前做好考验指引；四是活跃校园学术氛围，促进学术交流，诚邀城市管理专家举行专题报告会，启发同学，紧盯城市发展问题，开展专业学习和研究，提升综合能力，拓宽专业视野，加强优良学风建设；五是组织</w:t>
      </w:r>
      <w:r>
        <w:rPr>
          <w:rFonts w:hint="eastAsia"/>
          <w:kern w:val="0"/>
          <w:szCs w:val="24"/>
        </w:rPr>
        <w:t>“</w:t>
      </w:r>
      <w:r>
        <w:rPr>
          <w:kern w:val="0"/>
          <w:szCs w:val="24"/>
        </w:rPr>
        <w:t>城市安全应对</w:t>
      </w:r>
      <w:r>
        <w:rPr>
          <w:rFonts w:hint="eastAsia"/>
          <w:kern w:val="0"/>
          <w:szCs w:val="24"/>
        </w:rPr>
        <w:t>”</w:t>
      </w:r>
      <w:r>
        <w:rPr>
          <w:kern w:val="0"/>
          <w:szCs w:val="24"/>
        </w:rPr>
        <w:t>学术讨论，结合专业性质，模拟实训，提高同学的问题分析能力，拓展城市管理知识，提升专业技能，树立城市管理专业意识，培养良好的专业学术氛围，更好的将理论与实践相结合；六是开展创新教育大赛，调动专业学生学习积极性，提升学习能力及科研能力，引导同学围绕城市管理问题进行深入研究，提升科研能力。</w:t>
      </w:r>
    </w:p>
    <w:p>
      <w:pPr>
        <w:pStyle w:val="5"/>
        <w:spacing w:before="93" w:after="93"/>
        <w:ind w:firstLine="560"/>
      </w:pPr>
      <w:r>
        <w:t>三、培养条件</w:t>
      </w:r>
    </w:p>
    <w:p>
      <w:pPr>
        <w:pStyle w:val="6"/>
        <w:ind w:firstLine="480"/>
      </w:pPr>
      <w:r>
        <w:t>（一）教学经费投入</w:t>
      </w:r>
    </w:p>
    <w:p>
      <w:pPr>
        <w:ind w:firstLine="480"/>
        <w:rPr>
          <w:kern w:val="0"/>
          <w:szCs w:val="24"/>
        </w:rPr>
      </w:pPr>
      <w:r>
        <w:rPr>
          <w:kern w:val="0"/>
          <w:szCs w:val="24"/>
        </w:rPr>
        <w:t>学院对专业图书采购的支持力度逐年上升，优先满足新上专业图书购置需求，图书采购已成常态化。为全面创设专业发展所需的办学环境，学校图书馆给予了大力的支持，数次组织专业教师专门进行图书采购。学院也多次组织人员，加大对图书采购的支持力度，优先满足新上专业图书购置需求，为推动城市管理专业建设提供了保障，也为教师开展教学和科研提供硬件支撑。</w:t>
      </w:r>
    </w:p>
    <w:p>
      <w:pPr>
        <w:pStyle w:val="6"/>
        <w:ind w:firstLine="480"/>
      </w:pPr>
      <w:r>
        <w:t>（二）教学设备</w:t>
      </w:r>
    </w:p>
    <w:p>
      <w:pPr>
        <w:ind w:firstLine="480"/>
        <w:rPr>
          <w:kern w:val="0"/>
          <w:szCs w:val="24"/>
        </w:rPr>
      </w:pPr>
      <w:r>
        <w:rPr>
          <w:kern w:val="0"/>
          <w:szCs w:val="24"/>
        </w:rPr>
        <w:t>完善的电子政务实验平台、公务员考试试验平台、公共部门人力资源管理试验平台和行政管理案例分析试验平台、稳固的社会实践基地，为专业建设和学科发展提供了有力的支持。下一步，将在充分利用学院已经建成的文科实验室的基础上，争取购置城市管理软件如MapGIS、CAD、3Dmax、ArcGIS、Photoshop等，早日建设数字城市实验室、城市危机管理实验室，强化城市管理专业学生校内实习。</w:t>
      </w:r>
    </w:p>
    <w:p>
      <w:pPr>
        <w:pStyle w:val="6"/>
        <w:ind w:firstLine="480"/>
      </w:pPr>
      <w:r>
        <w:t>（三）教师队伍建设</w:t>
      </w:r>
    </w:p>
    <w:p>
      <w:pPr>
        <w:ind w:firstLine="480"/>
        <w:rPr>
          <w:kern w:val="0"/>
          <w:szCs w:val="24"/>
        </w:rPr>
      </w:pPr>
      <w:r>
        <w:rPr>
          <w:kern w:val="0"/>
          <w:szCs w:val="24"/>
        </w:rPr>
        <w:t xml:space="preserve">高水平的师资队伍是办好城市管理专业的基础，也是城市管理专业人才培养质量的保证。学院抓住师资队伍建设这个 </w:t>
      </w:r>
      <w:r>
        <w:rPr>
          <w:rFonts w:hint="eastAsia"/>
          <w:kern w:val="0"/>
          <w:szCs w:val="24"/>
        </w:rPr>
        <w:t>“</w:t>
      </w:r>
      <w:r>
        <w:rPr>
          <w:kern w:val="0"/>
          <w:szCs w:val="24"/>
        </w:rPr>
        <w:t>关键点</w:t>
      </w:r>
      <w:r>
        <w:rPr>
          <w:rFonts w:hint="eastAsia"/>
          <w:kern w:val="0"/>
          <w:szCs w:val="24"/>
        </w:rPr>
        <w:t>”</w:t>
      </w:r>
      <w:r>
        <w:rPr>
          <w:kern w:val="0"/>
          <w:szCs w:val="24"/>
        </w:rPr>
        <w:t xml:space="preserve">，确保城市管理专业教学充满生机和活力。专业教师现有12人，博士10人，硕士2人，在年龄、职称、专业方向上分布基本合理。其中教授2人，副教授6人，讲师4人。   </w:t>
      </w:r>
    </w:p>
    <w:p>
      <w:pPr>
        <w:ind w:firstLine="480"/>
        <w:rPr>
          <w:kern w:val="0"/>
          <w:szCs w:val="24"/>
        </w:rPr>
      </w:pPr>
      <w:r>
        <w:rPr>
          <w:kern w:val="0"/>
          <w:szCs w:val="24"/>
        </w:rPr>
        <w:t>通过引进高起点的城市管理师资人才，充实壮大教学队伍；营造良好的学术氛围，全面激发教师的教学积极性，引导教师投身教学和科研工作，科学搭建教学与研究的平台，全力做好人才培养工作。学院采取切实有效措施，不断加强现有师资队伍培养，加大专业教师社会实践力度，深入城市管理各个环节进行调研，增强教学的真实性。同时，把最优秀的院外师资吸引到城市管理专业的教学中来，使校内丰厚的教学资源得到最大程度的利用，通过教师座谈和交流，就专业建设问题进行广泛深入探讨，及时征求收集意见，群策群力办专业，确保课堂教学质量不断提升。目前，有关老师已经顺利完成了《城市管理学》等专业教材编写及出版工作。</w:t>
      </w:r>
    </w:p>
    <w:p>
      <w:pPr>
        <w:ind w:firstLine="480"/>
        <w:rPr>
          <w:kern w:val="0"/>
          <w:szCs w:val="24"/>
        </w:rPr>
      </w:pPr>
      <w:r>
        <w:rPr>
          <w:kern w:val="0"/>
          <w:szCs w:val="24"/>
        </w:rPr>
        <w:t>采用</w:t>
      </w:r>
      <w:r>
        <w:rPr>
          <w:rFonts w:hint="eastAsia"/>
          <w:kern w:val="0"/>
          <w:szCs w:val="24"/>
        </w:rPr>
        <w:t>“</w:t>
      </w:r>
      <w:r>
        <w:rPr>
          <w:kern w:val="0"/>
          <w:szCs w:val="24"/>
        </w:rPr>
        <w:t>校内、校外</w:t>
      </w:r>
      <w:r>
        <w:rPr>
          <w:rFonts w:hint="eastAsia"/>
          <w:kern w:val="0"/>
          <w:szCs w:val="24"/>
        </w:rPr>
        <w:t>”</w:t>
      </w:r>
      <w:r>
        <w:rPr>
          <w:kern w:val="0"/>
          <w:szCs w:val="24"/>
        </w:rPr>
        <w:t>专家</w:t>
      </w:r>
      <w:r>
        <w:rPr>
          <w:rFonts w:hint="eastAsia"/>
          <w:kern w:val="0"/>
          <w:szCs w:val="24"/>
        </w:rPr>
        <w:t>“</w:t>
      </w:r>
      <w:r>
        <w:rPr>
          <w:kern w:val="0"/>
          <w:szCs w:val="24"/>
        </w:rPr>
        <w:t>双导师制</w:t>
      </w:r>
      <w:r>
        <w:rPr>
          <w:rFonts w:hint="eastAsia"/>
          <w:kern w:val="0"/>
          <w:szCs w:val="24"/>
        </w:rPr>
        <w:t>”</w:t>
      </w:r>
      <w:r>
        <w:rPr>
          <w:kern w:val="0"/>
          <w:szCs w:val="24"/>
        </w:rPr>
        <w:t>，作为推动专业发展的助推器。围绕专业人才培养目标，充分运用社会资源，聘请具有丰富城市管理经验的政府官员、管理专家及校友授课、开讲座，坚持做到</w:t>
      </w:r>
      <w:r>
        <w:rPr>
          <w:rFonts w:hint="eastAsia"/>
          <w:kern w:val="0"/>
          <w:szCs w:val="24"/>
        </w:rPr>
        <w:t>“</w:t>
      </w:r>
      <w:r>
        <w:rPr>
          <w:kern w:val="0"/>
          <w:szCs w:val="24"/>
        </w:rPr>
        <w:t>制度化、常态化</w:t>
      </w:r>
      <w:r>
        <w:rPr>
          <w:rFonts w:hint="eastAsia"/>
          <w:kern w:val="0"/>
          <w:szCs w:val="24"/>
        </w:rPr>
        <w:t>”</w:t>
      </w:r>
      <w:r>
        <w:rPr>
          <w:kern w:val="0"/>
          <w:szCs w:val="24"/>
        </w:rPr>
        <w:t>。通过与社会各层面的广泛联系，为城市管理专业正常的业务探讨铺路搭桥，将当下最先进的城市管理经验及时传播到课堂中来，以推动专业教学的顺利开展。如，新生入学教育聘请城市管理各部门领导上讲台；教学过程中，聘请城市管理规划部门、建设部门、行政执法部门及交通、园林、环保等部门的一线管理者进课堂、做讲座……以多种方式将最前沿的城市管理理念传播给学生，搭建起校内教学与校外教学的桥梁，实现教学主体的</w:t>
      </w:r>
      <w:r>
        <w:rPr>
          <w:rFonts w:hint="eastAsia"/>
          <w:kern w:val="0"/>
          <w:szCs w:val="24"/>
        </w:rPr>
        <w:t>“</w:t>
      </w:r>
      <w:r>
        <w:rPr>
          <w:kern w:val="0"/>
          <w:szCs w:val="24"/>
        </w:rPr>
        <w:t>多元化</w:t>
      </w:r>
      <w:r>
        <w:rPr>
          <w:rFonts w:hint="eastAsia"/>
          <w:kern w:val="0"/>
          <w:szCs w:val="24"/>
        </w:rPr>
        <w:t>”</w:t>
      </w:r>
      <w:r>
        <w:rPr>
          <w:kern w:val="0"/>
          <w:szCs w:val="24"/>
        </w:rPr>
        <w:t>，形成专业教师教学与校外专家教学的良性联动。</w:t>
      </w:r>
    </w:p>
    <w:p>
      <w:pPr>
        <w:ind w:firstLine="480"/>
        <w:rPr>
          <w:kern w:val="0"/>
          <w:szCs w:val="24"/>
        </w:rPr>
      </w:pPr>
      <w:r>
        <w:rPr>
          <w:kern w:val="0"/>
          <w:szCs w:val="24"/>
        </w:rPr>
        <w:t>按照教育部门对城市管理本科专业的培养和建设要求，采取引进与培养相结合的方式，将继续引进具有博士学位和已经具有一定成就的学术带头人，形成一支职称和学历结构合理、教学及科研水平高的师资队伍，争取使本专业拥有专业教师总数达10人以上，其中专业核心课程的人数为8人以上。通过提高教师队伍学历、学位等有效手段提升科研水平，形成科学合理的教学科研梯队，确立富有社会影响力的城市管理研究方向，争取培养出2-3名校内教学名师，以带动专业水平的发展和提升。</w:t>
      </w:r>
    </w:p>
    <w:p>
      <w:pPr>
        <w:ind w:firstLine="480"/>
        <w:rPr>
          <w:kern w:val="0"/>
          <w:szCs w:val="24"/>
        </w:rPr>
      </w:pPr>
      <w:r>
        <w:rPr>
          <w:kern w:val="0"/>
          <w:szCs w:val="24"/>
        </w:rPr>
        <w:t>目前，本专业教师已在公共管理等研究领域取得一批优秀科研成果，现主持国家自然基金1项、学校现代农业研究院课题3项。</w:t>
      </w:r>
    </w:p>
    <w:p>
      <w:pPr>
        <w:ind w:firstLine="480"/>
        <w:rPr>
          <w:kern w:val="0"/>
          <w:szCs w:val="24"/>
        </w:rPr>
      </w:pPr>
      <w:r>
        <w:rPr>
          <w:kern w:val="0"/>
          <w:szCs w:val="24"/>
        </w:rPr>
        <w:t>2021年承担国家级课题1项、省级三项，到位经费50万元。泰安哲学社会科学课题2项，山东农业大学农业现代研究院课题3项，发表论文15篇。</w:t>
      </w:r>
    </w:p>
    <w:p>
      <w:pPr>
        <w:pStyle w:val="6"/>
        <w:ind w:firstLine="480"/>
      </w:pPr>
      <w:r>
        <w:t>（四）实习基地</w:t>
      </w:r>
    </w:p>
    <w:p>
      <w:pPr>
        <w:ind w:firstLine="480"/>
        <w:rPr>
          <w:kern w:val="0"/>
          <w:szCs w:val="24"/>
        </w:rPr>
      </w:pPr>
      <w:r>
        <w:rPr>
          <w:kern w:val="0"/>
          <w:szCs w:val="24"/>
        </w:rPr>
        <w:t>高度重视学生综合素质和创新能力培养，着力强化实践性教学环节，积极在党政机关、城市政府管理部门、公用事业部门等单位建立实践教学基地，通过与泰安市相关城市管理部门签订校外实习基地协议，不断拓展校外实习空间。目前，已经在泰安市城市管理执法局、泰安市旅游局、泰安市公用事业管理局、泰安市大汶口镇、德州兴隆镇等建立实习基地。同时，积极探索和开创学生培养新模式，开展第二课堂活动，充分挖掘、整合和使用校内外各种教学及管理资源，定期组织学生参观城市基础设施，全面体验城市规划、建设、运行管理，积极参加城市管理执法活动，满足专业学生成长成材需要。</w:t>
      </w:r>
    </w:p>
    <w:p>
      <w:pPr>
        <w:pStyle w:val="5"/>
        <w:spacing w:before="93" w:after="93"/>
        <w:ind w:firstLine="560"/>
      </w:pPr>
      <w:r>
        <w:t>四、培养机制与特色</w:t>
      </w:r>
    </w:p>
    <w:p>
      <w:pPr>
        <w:pStyle w:val="6"/>
        <w:ind w:firstLine="480"/>
      </w:pPr>
      <w:r>
        <w:t>（一）不断优化体系，确保培养方向</w:t>
      </w:r>
    </w:p>
    <w:p>
      <w:pPr>
        <w:ind w:firstLine="480"/>
        <w:rPr>
          <w:kern w:val="0"/>
          <w:szCs w:val="24"/>
        </w:rPr>
      </w:pPr>
      <w:r>
        <w:rPr>
          <w:kern w:val="0"/>
          <w:szCs w:val="24"/>
        </w:rPr>
        <w:t>对人才培养方案进行了不懈的探讨和优化，坚持方案优化与城市管理组织体制相对应、与城市硬件设施管理体系相配套、与学校自身教学资源优化相结合、与社会需求同步跟进；合理设计专业课程体系模块、组织管理体系模块、技术管理体系模块、毕业生就业应考模块、城市危机管理模块。同时，科学设置学时比例，合理安排课程顺序，确保理论课程体系与实践体系紧密衔接，紧扣人才培养目标，使课程设置有理有据，使学生学习目的明确，为专业学生全方位就业提供有效的智力支撑，形成学生高端就业、中端发展及基层成长的立体化格局，保证方案管用、实用、可行、科学、特色鲜明，满足了学生成长需要。我校的城市管理人才方案，先后被省内外多所高校借鉴和参考，有的高校还专程组织人员前来交流学习。围绕专业人才培养目标，城市发展与管理系在优化教学方案方面，着力强化教学方案与社会需求的结合程度，加大实践力度，使专业特色更加突出，使城市管理本科专业人才培养方向更加鲜明、清晰。</w:t>
      </w:r>
    </w:p>
    <w:p>
      <w:pPr>
        <w:pStyle w:val="6"/>
        <w:ind w:firstLine="480"/>
      </w:pPr>
      <w:r>
        <w:t>（二）紧扣人才目标，优化师资结构</w:t>
      </w:r>
    </w:p>
    <w:p>
      <w:pPr>
        <w:ind w:firstLine="480"/>
        <w:rPr>
          <w:kern w:val="0"/>
          <w:szCs w:val="24"/>
        </w:rPr>
      </w:pPr>
      <w:r>
        <w:rPr>
          <w:kern w:val="0"/>
          <w:szCs w:val="24"/>
        </w:rPr>
        <w:t>首先，通过引进高起点的城市管理师资人才，充实壮大教学队伍；营造良好的学术氛围，全面激发教师的教学积极性，引导教师投身教学和科研工作，科学搭建教学与研究的平台，全力做好人才培养工作。同时，把最优秀的院外师资吸引到城市管理专业的教学中来，使校内丰厚的教学资源得到最大程度的利用，通过教师座谈和交流，就专业建设问题进行广泛深入探讨，及时征求收集意见，群策群力办专业，确保课堂教学质量不断提升。其次，采用</w:t>
      </w:r>
      <w:r>
        <w:rPr>
          <w:rFonts w:hint="eastAsia"/>
          <w:kern w:val="0"/>
          <w:szCs w:val="24"/>
        </w:rPr>
        <w:t>“</w:t>
      </w:r>
      <w:r>
        <w:rPr>
          <w:kern w:val="0"/>
          <w:szCs w:val="24"/>
        </w:rPr>
        <w:t>校内、校外</w:t>
      </w:r>
      <w:r>
        <w:rPr>
          <w:rFonts w:hint="eastAsia"/>
          <w:kern w:val="0"/>
          <w:szCs w:val="24"/>
        </w:rPr>
        <w:t>”</w:t>
      </w:r>
      <w:r>
        <w:rPr>
          <w:kern w:val="0"/>
          <w:szCs w:val="24"/>
        </w:rPr>
        <w:t>专家</w:t>
      </w:r>
      <w:r>
        <w:rPr>
          <w:rFonts w:hint="eastAsia"/>
          <w:kern w:val="0"/>
          <w:szCs w:val="24"/>
        </w:rPr>
        <w:t>“</w:t>
      </w:r>
      <w:r>
        <w:rPr>
          <w:kern w:val="0"/>
          <w:szCs w:val="24"/>
        </w:rPr>
        <w:t>双导师制</w:t>
      </w:r>
      <w:r>
        <w:rPr>
          <w:rFonts w:hint="eastAsia"/>
          <w:kern w:val="0"/>
          <w:szCs w:val="24"/>
        </w:rPr>
        <w:t>”</w:t>
      </w:r>
      <w:r>
        <w:rPr>
          <w:kern w:val="0"/>
          <w:szCs w:val="24"/>
        </w:rPr>
        <w:t>，作为推动专业发展的助推器。围绕专业人才培养目标，充分运用社会资源，聘请具有丰富城市管理经验的政府官员、管理专家及校友授课、开讲座，坚持做到</w:t>
      </w:r>
      <w:r>
        <w:rPr>
          <w:rFonts w:hint="eastAsia"/>
          <w:kern w:val="0"/>
          <w:szCs w:val="24"/>
        </w:rPr>
        <w:t>“</w:t>
      </w:r>
      <w:r>
        <w:rPr>
          <w:kern w:val="0"/>
          <w:szCs w:val="24"/>
        </w:rPr>
        <w:t>制度化、常态化</w:t>
      </w:r>
      <w:r>
        <w:rPr>
          <w:rFonts w:hint="eastAsia"/>
          <w:kern w:val="0"/>
          <w:szCs w:val="24"/>
        </w:rPr>
        <w:t>”</w:t>
      </w:r>
      <w:r>
        <w:rPr>
          <w:kern w:val="0"/>
          <w:szCs w:val="24"/>
        </w:rPr>
        <w:t>。通过与社会各层面的广泛联系，为城市管理专业正常的业务探讨铺路搭桥，将当下最先进的城市管理经验及时传播到课堂中来，以推动专业教学的顺利开展。如，新生入学教育聘请城市管理各部门领导上讲台；教学过程中，聘请城市管理规划部门、建设部门、行政执法部门及交通、园林、环保等部门的一线管理者进课堂、做讲座......以多种方式将最前沿的城市管理理念传播给学生，搭建起校内教学与校外教学的桥梁，实现教学主体的</w:t>
      </w:r>
      <w:r>
        <w:rPr>
          <w:rFonts w:hint="eastAsia"/>
          <w:kern w:val="0"/>
          <w:szCs w:val="24"/>
        </w:rPr>
        <w:t>“</w:t>
      </w:r>
      <w:r>
        <w:rPr>
          <w:kern w:val="0"/>
          <w:szCs w:val="24"/>
        </w:rPr>
        <w:t>多元化</w:t>
      </w:r>
      <w:r>
        <w:rPr>
          <w:rFonts w:hint="eastAsia"/>
          <w:kern w:val="0"/>
          <w:szCs w:val="24"/>
        </w:rPr>
        <w:t>”</w:t>
      </w:r>
      <w:r>
        <w:rPr>
          <w:kern w:val="0"/>
          <w:szCs w:val="24"/>
        </w:rPr>
        <w:t>，形成专业教师教学与校外专家教学的良性联动。</w:t>
      </w:r>
    </w:p>
    <w:p>
      <w:pPr>
        <w:pStyle w:val="6"/>
        <w:ind w:firstLine="480"/>
      </w:pPr>
      <w:r>
        <w:rPr>
          <w:rFonts w:hint="eastAsia"/>
        </w:rPr>
        <w:t>（三）</w:t>
      </w:r>
      <w:r>
        <w:t>注重综合能力，紧扣人才培养着力点</w:t>
      </w:r>
    </w:p>
    <w:p>
      <w:pPr>
        <w:ind w:firstLine="480"/>
        <w:rPr>
          <w:kern w:val="0"/>
          <w:szCs w:val="24"/>
        </w:rPr>
      </w:pPr>
      <w:r>
        <w:rPr>
          <w:kern w:val="0"/>
          <w:szCs w:val="24"/>
        </w:rPr>
        <w:t>一是实现专业教学与学生管理部门的联动。将教学活动与学生课外活动巧妙对接，形成</w:t>
      </w:r>
      <w:r>
        <w:rPr>
          <w:rFonts w:hint="eastAsia"/>
          <w:kern w:val="0"/>
          <w:szCs w:val="24"/>
        </w:rPr>
        <w:t>“</w:t>
      </w:r>
      <w:r>
        <w:rPr>
          <w:kern w:val="0"/>
          <w:szCs w:val="24"/>
        </w:rPr>
        <w:t>开放式</w:t>
      </w:r>
      <w:r>
        <w:rPr>
          <w:rFonts w:hint="eastAsia"/>
          <w:kern w:val="0"/>
          <w:szCs w:val="24"/>
        </w:rPr>
        <w:t>”</w:t>
      </w:r>
      <w:r>
        <w:rPr>
          <w:kern w:val="0"/>
          <w:szCs w:val="24"/>
        </w:rPr>
        <w:t>学习模式，使课堂教学与课下锻炼同步推进。对于学生第二课堂活动，始终坚持专业教师与院团委联合组织，共同指导，如组织学生调研泰安市住房博览会等，都实现了教师课堂教授与课后学生管理的</w:t>
      </w:r>
      <w:r>
        <w:rPr>
          <w:rFonts w:hint="eastAsia"/>
          <w:kern w:val="0"/>
          <w:szCs w:val="24"/>
        </w:rPr>
        <w:t>“</w:t>
      </w:r>
      <w:r>
        <w:rPr>
          <w:kern w:val="0"/>
          <w:szCs w:val="24"/>
        </w:rPr>
        <w:t>一体化</w:t>
      </w:r>
      <w:r>
        <w:rPr>
          <w:rFonts w:hint="eastAsia"/>
          <w:kern w:val="0"/>
          <w:szCs w:val="24"/>
        </w:rPr>
        <w:t>”</w:t>
      </w:r>
      <w:r>
        <w:rPr>
          <w:kern w:val="0"/>
          <w:szCs w:val="24"/>
        </w:rPr>
        <w:t>联动，形成人才培养目标的一致性。而聘请学校职能部门领导直接担任班主任，也从新的角度有效地推动了专业学生的全面成长。二是实现专业教学与学生课外学术活动的联动。精心组织课外学术活动，举办专题</w:t>
      </w:r>
      <w:r>
        <w:rPr>
          <w:rFonts w:hint="eastAsia"/>
          <w:kern w:val="0"/>
          <w:szCs w:val="24"/>
        </w:rPr>
        <w:t>“</w:t>
      </w:r>
      <w:r>
        <w:rPr>
          <w:kern w:val="0"/>
          <w:szCs w:val="24"/>
        </w:rPr>
        <w:t>城市发展局长论坛</w:t>
      </w:r>
      <w:r>
        <w:rPr>
          <w:rFonts w:hint="eastAsia"/>
          <w:kern w:val="0"/>
          <w:szCs w:val="24"/>
        </w:rPr>
        <w:t>”</w:t>
      </w:r>
      <w:r>
        <w:rPr>
          <w:kern w:val="0"/>
          <w:szCs w:val="24"/>
        </w:rPr>
        <w:t>，专门聘请城市管理行政执法局局长做兼职教授，聘请城市规划局领导做专场报告；再就是引导学生举办城市管理专业学生</w:t>
      </w:r>
      <w:r>
        <w:rPr>
          <w:rFonts w:hint="eastAsia"/>
          <w:kern w:val="0"/>
          <w:szCs w:val="24"/>
        </w:rPr>
        <w:t>“</w:t>
      </w:r>
      <w:r>
        <w:rPr>
          <w:kern w:val="0"/>
          <w:szCs w:val="24"/>
        </w:rPr>
        <w:t>学术大讲堂</w:t>
      </w:r>
      <w:r>
        <w:rPr>
          <w:rFonts w:hint="eastAsia"/>
          <w:kern w:val="0"/>
          <w:szCs w:val="24"/>
        </w:rPr>
        <w:t>”</w:t>
      </w:r>
      <w:r>
        <w:rPr>
          <w:kern w:val="0"/>
          <w:szCs w:val="24"/>
        </w:rPr>
        <w:t>，举办各种类型的城市管理方案设计大赛，开展城市管理主题演讲比赛等，提高学生课外活动的</w:t>
      </w:r>
      <w:r>
        <w:rPr>
          <w:rFonts w:hint="eastAsia"/>
          <w:kern w:val="0"/>
          <w:szCs w:val="24"/>
        </w:rPr>
        <w:t>“</w:t>
      </w:r>
      <w:r>
        <w:rPr>
          <w:kern w:val="0"/>
          <w:szCs w:val="24"/>
        </w:rPr>
        <w:t>含金量</w:t>
      </w:r>
      <w:r>
        <w:rPr>
          <w:rFonts w:hint="eastAsia"/>
          <w:kern w:val="0"/>
          <w:szCs w:val="24"/>
        </w:rPr>
        <w:t>”</w:t>
      </w:r>
      <w:r>
        <w:rPr>
          <w:kern w:val="0"/>
          <w:szCs w:val="24"/>
        </w:rPr>
        <w:t>。目前，城市管理专业的学生</w:t>
      </w:r>
      <w:r>
        <w:rPr>
          <w:rFonts w:hint="eastAsia"/>
          <w:kern w:val="0"/>
          <w:szCs w:val="24"/>
        </w:rPr>
        <w:t>“</w:t>
      </w:r>
      <w:r>
        <w:rPr>
          <w:kern w:val="0"/>
          <w:szCs w:val="24"/>
        </w:rPr>
        <w:t>我的学术我做主</w:t>
      </w:r>
      <w:r>
        <w:rPr>
          <w:rFonts w:hint="eastAsia"/>
          <w:kern w:val="0"/>
          <w:szCs w:val="24"/>
        </w:rPr>
        <w:t>”</w:t>
      </w:r>
      <w:r>
        <w:rPr>
          <w:kern w:val="0"/>
          <w:szCs w:val="24"/>
        </w:rPr>
        <w:t>学术大讲堂，搞得风生水起。三是实现专业教学与城市管理实际的联动。强化学生参与城市管理的</w:t>
      </w:r>
      <w:r>
        <w:rPr>
          <w:rFonts w:hint="eastAsia"/>
          <w:kern w:val="0"/>
          <w:szCs w:val="24"/>
        </w:rPr>
        <w:t>“</w:t>
      </w:r>
      <w:r>
        <w:rPr>
          <w:kern w:val="0"/>
          <w:szCs w:val="24"/>
        </w:rPr>
        <w:t>真实性</w:t>
      </w:r>
      <w:r>
        <w:rPr>
          <w:rFonts w:hint="eastAsia"/>
          <w:kern w:val="0"/>
          <w:szCs w:val="24"/>
        </w:rPr>
        <w:t>”</w:t>
      </w:r>
      <w:r>
        <w:rPr>
          <w:kern w:val="0"/>
          <w:szCs w:val="24"/>
        </w:rPr>
        <w:t>，利用各种有效渠道，切实增强学生的实际动手能力，把认识实习、业务实习、毕业实习延展到课下，充分利用周末和休息日，积极开展城市社区服务，组织城市管理社团行，深入城市各个角落深入调研，组织专业学生到城市公共管理单位参观，如组织城市管理专业的学生参观当地城市规划展览馆，参观当地城市管理数字化指挥中心成为</w:t>
      </w:r>
      <w:r>
        <w:rPr>
          <w:rFonts w:hint="eastAsia"/>
          <w:kern w:val="0"/>
          <w:szCs w:val="24"/>
        </w:rPr>
        <w:t>“</w:t>
      </w:r>
      <w:r>
        <w:rPr>
          <w:kern w:val="0"/>
          <w:szCs w:val="24"/>
        </w:rPr>
        <w:t>必选动作</w:t>
      </w:r>
      <w:r>
        <w:rPr>
          <w:rFonts w:hint="eastAsia"/>
          <w:kern w:val="0"/>
          <w:szCs w:val="24"/>
        </w:rPr>
        <w:t>”</w:t>
      </w:r>
      <w:r>
        <w:rPr>
          <w:kern w:val="0"/>
          <w:szCs w:val="24"/>
        </w:rPr>
        <w:t>。</w:t>
      </w:r>
    </w:p>
    <w:p>
      <w:pPr>
        <w:pStyle w:val="5"/>
        <w:spacing w:before="93" w:after="93"/>
        <w:ind w:firstLine="560"/>
      </w:pPr>
      <w:r>
        <w:rPr>
          <w:rFonts w:hint="eastAsia"/>
        </w:rPr>
        <w:t>五、</w:t>
      </w:r>
      <w:r>
        <w:t>培养质量</w:t>
      </w:r>
    </w:p>
    <w:p>
      <w:pPr>
        <w:ind w:firstLine="480"/>
        <w:rPr>
          <w:kern w:val="0"/>
          <w:szCs w:val="24"/>
        </w:rPr>
      </w:pPr>
      <w:r>
        <w:rPr>
          <w:kern w:val="0"/>
          <w:szCs w:val="24"/>
        </w:rPr>
        <w:t>专业学生能力素养，直接牵扯到他们受社会欢迎的程度。为此，紧密围绕城市管理人才能力培养这条主线，在学生实习上下足功夫，在注重学生综合能力培养，着力在学生城市管理总览全局的能力提升，指挥运作、组织协调、科学沟通能力提升，实际管理能力以及城市管理危机应对能力提升方面做文章。</w:t>
      </w:r>
    </w:p>
    <w:p>
      <w:pPr>
        <w:ind w:firstLine="480"/>
        <w:rPr>
          <w:kern w:val="0"/>
          <w:szCs w:val="24"/>
        </w:rPr>
      </w:pPr>
      <w:r>
        <w:rPr>
          <w:kern w:val="0"/>
          <w:szCs w:val="24"/>
        </w:rPr>
        <w:t>一是城市规划中的管理实习。一方面，引导学生认真研究城市发展规划，加深对城市规划的理解；另一方面，邀请当地城市规划局的同志现身说法，引导学生，抓住城市规划编制这一现代城市管理的龙头，认真学好领导科学、城市规划等学问，进而立足实际，敢于想象，善于思考，着力提升学生城市管理总览全局的能力。</w:t>
      </w:r>
    </w:p>
    <w:p>
      <w:pPr>
        <w:ind w:firstLine="480"/>
        <w:rPr>
          <w:kern w:val="0"/>
          <w:szCs w:val="24"/>
        </w:rPr>
      </w:pPr>
      <w:r>
        <w:rPr>
          <w:kern w:val="0"/>
          <w:szCs w:val="24"/>
        </w:rPr>
        <w:t>二是城市建设中的管理学习。突破校内教学的</w:t>
      </w:r>
      <w:r>
        <w:rPr>
          <w:rFonts w:hint="eastAsia"/>
          <w:kern w:val="0"/>
          <w:szCs w:val="24"/>
        </w:rPr>
        <w:t>“</w:t>
      </w:r>
      <w:r>
        <w:rPr>
          <w:kern w:val="0"/>
          <w:szCs w:val="24"/>
        </w:rPr>
        <w:t>虚拟性</w:t>
      </w:r>
      <w:r>
        <w:rPr>
          <w:rFonts w:hint="eastAsia"/>
          <w:kern w:val="0"/>
          <w:szCs w:val="24"/>
        </w:rPr>
        <w:t>”</w:t>
      </w:r>
      <w:r>
        <w:rPr>
          <w:kern w:val="0"/>
          <w:szCs w:val="24"/>
        </w:rPr>
        <w:t>，改变</w:t>
      </w:r>
      <w:r>
        <w:rPr>
          <w:rFonts w:hint="eastAsia"/>
          <w:kern w:val="0"/>
          <w:szCs w:val="24"/>
        </w:rPr>
        <w:t>“</w:t>
      </w:r>
      <w:r>
        <w:rPr>
          <w:kern w:val="0"/>
          <w:szCs w:val="24"/>
        </w:rPr>
        <w:t>学、用两张皮</w:t>
      </w:r>
      <w:r>
        <w:rPr>
          <w:rFonts w:hint="eastAsia"/>
          <w:kern w:val="0"/>
          <w:szCs w:val="24"/>
        </w:rPr>
        <w:t>”</w:t>
      </w:r>
      <w:r>
        <w:rPr>
          <w:kern w:val="0"/>
          <w:szCs w:val="24"/>
        </w:rPr>
        <w:t>现象，实现城市管理的真实体验。就地选址，样板教学，拟定参观实习活动方案，组织学生对城市建设中的管理进行实地考察。</w:t>
      </w:r>
    </w:p>
    <w:p>
      <w:pPr>
        <w:ind w:firstLine="480"/>
        <w:rPr>
          <w:kern w:val="0"/>
          <w:szCs w:val="24"/>
        </w:rPr>
      </w:pPr>
      <w:r>
        <w:rPr>
          <w:kern w:val="0"/>
          <w:szCs w:val="24"/>
        </w:rPr>
        <w:t>三是城市行政执法中的管理。引导学生加深对智慧城市管理的理解，通过了解城市管理数字化指挥中心现代化、全方位、多层次、严谨有效的城市管理模式，把握城区管理精细化、动态化、标准化以及高效、快捷等特点，学会明晰责任归属，及时发现问题，快速解决现实难题，不断创新城市管理办法，着力提升学生运用现代科学技术管理城市的能力；再就是与泰安市城市管理执法局协作，组织开展</w:t>
      </w:r>
      <w:r>
        <w:rPr>
          <w:rFonts w:hint="eastAsia"/>
          <w:kern w:val="0"/>
          <w:szCs w:val="24"/>
        </w:rPr>
        <w:t>“</w:t>
      </w:r>
      <w:r>
        <w:rPr>
          <w:kern w:val="0"/>
          <w:szCs w:val="24"/>
        </w:rPr>
        <w:t>城管与文明携手、和谐与泰安相伴</w:t>
      </w:r>
      <w:r>
        <w:rPr>
          <w:rFonts w:hint="eastAsia"/>
          <w:kern w:val="0"/>
          <w:szCs w:val="24"/>
        </w:rPr>
        <w:t>”</w:t>
      </w:r>
      <w:r>
        <w:rPr>
          <w:kern w:val="0"/>
          <w:szCs w:val="24"/>
        </w:rPr>
        <w:t>志愿者活动，研究怎样科学执法、文明执法，学习新型执法方式，改变学生对</w:t>
      </w:r>
      <w:r>
        <w:rPr>
          <w:rFonts w:hint="eastAsia"/>
          <w:kern w:val="0"/>
          <w:szCs w:val="24"/>
        </w:rPr>
        <w:t>“</w:t>
      </w:r>
      <w:r>
        <w:rPr>
          <w:kern w:val="0"/>
          <w:szCs w:val="24"/>
        </w:rPr>
        <w:t>城管队伍</w:t>
      </w:r>
      <w:r>
        <w:rPr>
          <w:rFonts w:hint="eastAsia"/>
          <w:kern w:val="0"/>
          <w:szCs w:val="24"/>
        </w:rPr>
        <w:t>”</w:t>
      </w:r>
      <w:r>
        <w:rPr>
          <w:kern w:val="0"/>
          <w:szCs w:val="24"/>
        </w:rPr>
        <w:t>的偏见，提升实际管理能力以及城市管理危机应对能力。</w:t>
      </w:r>
    </w:p>
    <w:p>
      <w:pPr>
        <w:ind w:firstLine="480"/>
        <w:rPr>
          <w:kern w:val="0"/>
          <w:szCs w:val="24"/>
        </w:rPr>
      </w:pPr>
      <w:r>
        <w:rPr>
          <w:kern w:val="0"/>
          <w:szCs w:val="24"/>
        </w:rPr>
        <w:t>四是将实习活动多层面化，适时组织学生参观泰安市公安局交警支队数字化指挥中心，泰安市城市管理数字化指挥中心，让城市管理专业学生亲自体验360度实景展示所带来得管理实效……通过多种方式，全面提升学生的综合管理素质。</w:t>
      </w:r>
    </w:p>
    <w:p>
      <w:pPr>
        <w:pStyle w:val="5"/>
        <w:spacing w:before="93" w:after="93"/>
        <w:ind w:firstLine="560"/>
      </w:pPr>
      <w:r>
        <w:t>六、毕业生就业创业</w:t>
      </w:r>
    </w:p>
    <w:p>
      <w:pPr>
        <w:pStyle w:val="6"/>
        <w:ind w:firstLine="480"/>
      </w:pPr>
      <w:r>
        <w:t>（一）毕业生生源结构</w:t>
      </w:r>
    </w:p>
    <w:p>
      <w:pPr>
        <w:ind w:firstLine="480"/>
        <w:rPr>
          <w:kern w:val="0"/>
          <w:szCs w:val="24"/>
        </w:rPr>
      </w:pPr>
      <w:r>
        <w:rPr>
          <w:kern w:val="0"/>
          <w:szCs w:val="24"/>
        </w:rPr>
        <w:t>本专业2022届毕业生共计105人，其中男生35人，占比33.3%，女生70人，占比66.7%；省内生源87人，占比83%，省外生源18人，占比17%，省外生源主要集中在河北省、天津市、海南省等。从民族结构看，2022届毕业生以汉族为主，共102人，占比97.2%；少数民族共3人，占比2.8%，包括回族、土家族2个民族。</w:t>
      </w:r>
    </w:p>
    <w:p>
      <w:pPr>
        <w:pStyle w:val="6"/>
        <w:ind w:firstLine="480"/>
      </w:pPr>
      <w:r>
        <w:t>（二）毕业生就业情况</w:t>
      </w:r>
    </w:p>
    <w:p>
      <w:pPr>
        <w:ind w:firstLine="480"/>
        <w:rPr>
          <w:kern w:val="0"/>
          <w:szCs w:val="24"/>
        </w:rPr>
      </w:pPr>
      <w:r>
        <w:rPr>
          <w:kern w:val="0"/>
          <w:szCs w:val="24"/>
        </w:rPr>
        <w:t>（1）就业概况</w:t>
      </w:r>
    </w:p>
    <w:p>
      <w:pPr>
        <w:ind w:firstLine="480"/>
        <w:rPr>
          <w:kern w:val="0"/>
          <w:szCs w:val="24"/>
        </w:rPr>
      </w:pPr>
      <w:r>
        <w:rPr>
          <w:kern w:val="0"/>
          <w:szCs w:val="24"/>
        </w:rPr>
        <w:t>截止2022年8月31日，毕业生就业89人，毕业去向落实率为84.76%，其中男生就业28人，毕业去向落实率为80%，女生就业66人，毕业去向落实率为94.3%。毕业生留鲁就业的47人，占已就业总人数的53，其中到胶州城市就业人数最多，占9%。出省就业共42人，占47%，主要流向湖北省、北京市、山西省等省份。</w:t>
      </w:r>
    </w:p>
    <w:p>
      <w:pPr>
        <w:ind w:firstLine="480"/>
        <w:rPr>
          <w:kern w:val="0"/>
          <w:szCs w:val="24"/>
        </w:rPr>
      </w:pPr>
      <w:r>
        <w:rPr>
          <w:kern w:val="0"/>
          <w:szCs w:val="24"/>
        </w:rPr>
        <w:t>毕业生毕业去向主要包括升学、出国（境）、协议就业、劳动合同就业、应征义务兵、科研助理、国家基层项目、自主创业、其他录用形式就业、自由职业、暂不就业（不就业拟升学和其他暂不就业）、待就业等多种方式就业，本专业毕业去向国内升学方式就业人数最多，其次是劳动合同方式。毕业生总体就业方式如下表所示。</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表1.毕业生就业方式统计表</w:t>
      </w:r>
    </w:p>
    <w:tbl>
      <w:tblPr>
        <w:tblStyle w:val="17"/>
        <w:tblW w:w="9209" w:type="dxa"/>
        <w:jc w:val="center"/>
        <w:tblLayout w:type="fixed"/>
        <w:tblCellMar>
          <w:top w:w="0" w:type="dxa"/>
          <w:left w:w="0" w:type="dxa"/>
          <w:bottom w:w="0" w:type="dxa"/>
          <w:right w:w="0" w:type="dxa"/>
        </w:tblCellMar>
      </w:tblPr>
      <w:tblGrid>
        <w:gridCol w:w="1545"/>
        <w:gridCol w:w="869"/>
        <w:gridCol w:w="870"/>
        <w:gridCol w:w="1155"/>
        <w:gridCol w:w="1200"/>
        <w:gridCol w:w="1366"/>
        <w:gridCol w:w="1070"/>
        <w:gridCol w:w="1134"/>
      </w:tblGrid>
      <w:tr>
        <w:tblPrEx>
          <w:tblCellMar>
            <w:top w:w="0" w:type="dxa"/>
            <w:left w:w="0" w:type="dxa"/>
            <w:bottom w:w="0" w:type="dxa"/>
            <w:right w:w="0" w:type="dxa"/>
          </w:tblCellMar>
        </w:tblPrEx>
        <w:trPr>
          <w:trHeight w:val="617" w:hRule="atLeast"/>
          <w:jc w:val="center"/>
        </w:trPr>
        <w:tc>
          <w:tcPr>
            <w:tcW w:w="154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就业方式</w:t>
            </w:r>
          </w:p>
        </w:tc>
        <w:tc>
          <w:tcPr>
            <w:tcW w:w="86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国内</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升学</w:t>
            </w:r>
          </w:p>
        </w:tc>
        <w:tc>
          <w:tcPr>
            <w:tcW w:w="87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出国</w:t>
            </w:r>
          </w:p>
        </w:tc>
        <w:tc>
          <w:tcPr>
            <w:tcW w:w="11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协议就业</w:t>
            </w:r>
          </w:p>
        </w:tc>
        <w:tc>
          <w:tcPr>
            <w:tcW w:w="120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劳动合同</w:t>
            </w:r>
          </w:p>
        </w:tc>
        <w:tc>
          <w:tcPr>
            <w:tcW w:w="136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自主创业</w:t>
            </w:r>
          </w:p>
        </w:tc>
        <w:tc>
          <w:tcPr>
            <w:tcW w:w="107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自由职业.</w:t>
            </w:r>
          </w:p>
        </w:tc>
        <w:tc>
          <w:tcPr>
            <w:tcW w:w="113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待就业</w:t>
            </w:r>
          </w:p>
        </w:tc>
      </w:tr>
      <w:tr>
        <w:tblPrEx>
          <w:tblCellMar>
            <w:top w:w="0" w:type="dxa"/>
            <w:left w:w="0" w:type="dxa"/>
            <w:bottom w:w="0" w:type="dxa"/>
            <w:right w:w="0" w:type="dxa"/>
          </w:tblCellMar>
        </w:tblPrEx>
        <w:trPr>
          <w:trHeight w:val="657" w:hRule="atLeast"/>
          <w:jc w:val="center"/>
        </w:trPr>
        <w:tc>
          <w:tcPr>
            <w:tcW w:w="154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89人</w:t>
            </w:r>
          </w:p>
        </w:tc>
        <w:tc>
          <w:tcPr>
            <w:tcW w:w="86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25</w:t>
            </w:r>
          </w:p>
          <w:p>
            <w:pPr>
              <w:widowControl/>
              <w:spacing w:line="240" w:lineRule="auto"/>
              <w:jc w:val="center"/>
              <w:textAlignment w:val="center"/>
              <w:rPr>
                <w:color w:val="000000"/>
                <w:kern w:val="0"/>
                <w:sz w:val="21"/>
                <w:szCs w:val="21"/>
                <w:lang w:bidi="ar"/>
              </w:rPr>
            </w:pPr>
            <w:r>
              <w:rPr>
                <w:color w:val="000000"/>
                <w:kern w:val="0"/>
                <w:sz w:val="21"/>
                <w:szCs w:val="21"/>
                <w:lang w:bidi="ar"/>
              </w:rPr>
              <w:t>(28.08%)</w:t>
            </w:r>
          </w:p>
        </w:tc>
        <w:tc>
          <w:tcPr>
            <w:tcW w:w="87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2</w:t>
            </w:r>
          </w:p>
          <w:p>
            <w:pPr>
              <w:widowControl/>
              <w:spacing w:line="240" w:lineRule="auto"/>
              <w:jc w:val="center"/>
              <w:textAlignment w:val="center"/>
              <w:rPr>
                <w:color w:val="000000"/>
                <w:kern w:val="0"/>
                <w:sz w:val="21"/>
                <w:szCs w:val="21"/>
                <w:lang w:bidi="ar"/>
              </w:rPr>
            </w:pPr>
            <w:r>
              <w:rPr>
                <w:color w:val="000000"/>
                <w:kern w:val="0"/>
                <w:sz w:val="21"/>
                <w:szCs w:val="21"/>
                <w:lang w:bidi="ar"/>
              </w:rPr>
              <w:t>(2.24%)</w:t>
            </w:r>
          </w:p>
        </w:tc>
        <w:tc>
          <w:tcPr>
            <w:tcW w:w="11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14</w:t>
            </w:r>
          </w:p>
          <w:p>
            <w:pPr>
              <w:widowControl/>
              <w:spacing w:line="240" w:lineRule="auto"/>
              <w:jc w:val="center"/>
              <w:textAlignment w:val="center"/>
              <w:rPr>
                <w:color w:val="000000"/>
                <w:kern w:val="0"/>
                <w:sz w:val="21"/>
                <w:szCs w:val="21"/>
                <w:lang w:bidi="ar"/>
              </w:rPr>
            </w:pPr>
            <w:r>
              <w:rPr>
                <w:color w:val="000000"/>
                <w:kern w:val="0"/>
                <w:sz w:val="21"/>
                <w:szCs w:val="21"/>
                <w:lang w:bidi="ar"/>
              </w:rPr>
              <w:t>(15.73%)</w:t>
            </w:r>
          </w:p>
        </w:tc>
        <w:tc>
          <w:tcPr>
            <w:tcW w:w="120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3</w:t>
            </w:r>
          </w:p>
          <w:p>
            <w:pPr>
              <w:widowControl/>
              <w:spacing w:line="240" w:lineRule="auto"/>
              <w:jc w:val="center"/>
              <w:textAlignment w:val="center"/>
              <w:rPr>
                <w:color w:val="000000"/>
                <w:kern w:val="0"/>
                <w:sz w:val="21"/>
                <w:szCs w:val="21"/>
                <w:lang w:bidi="ar"/>
              </w:rPr>
            </w:pPr>
            <w:r>
              <w:rPr>
                <w:color w:val="000000"/>
                <w:kern w:val="0"/>
                <w:sz w:val="21"/>
                <w:szCs w:val="21"/>
                <w:lang w:bidi="ar"/>
              </w:rPr>
              <w:t>(3.37%)</w:t>
            </w:r>
          </w:p>
        </w:tc>
        <w:tc>
          <w:tcPr>
            <w:tcW w:w="136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w:t>
            </w:r>
          </w:p>
          <w:p>
            <w:pPr>
              <w:widowControl/>
              <w:spacing w:line="240" w:lineRule="auto"/>
              <w:jc w:val="center"/>
              <w:textAlignment w:val="center"/>
              <w:rPr>
                <w:color w:val="000000"/>
                <w:kern w:val="0"/>
                <w:sz w:val="21"/>
                <w:szCs w:val="21"/>
                <w:lang w:bidi="ar"/>
              </w:rPr>
            </w:pPr>
            <w:r>
              <w:rPr>
                <w:color w:val="000000"/>
                <w:kern w:val="0"/>
                <w:sz w:val="21"/>
                <w:szCs w:val="21"/>
                <w:lang w:bidi="ar"/>
              </w:rPr>
              <w:t>(0.9%)</w:t>
            </w:r>
          </w:p>
        </w:tc>
        <w:tc>
          <w:tcPr>
            <w:tcW w:w="107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2</w:t>
            </w:r>
          </w:p>
          <w:p>
            <w:pPr>
              <w:widowControl/>
              <w:spacing w:line="240" w:lineRule="auto"/>
              <w:jc w:val="center"/>
              <w:textAlignment w:val="center"/>
              <w:rPr>
                <w:color w:val="000000"/>
                <w:kern w:val="0"/>
                <w:sz w:val="21"/>
                <w:szCs w:val="21"/>
                <w:lang w:bidi="ar"/>
              </w:rPr>
            </w:pPr>
            <w:r>
              <w:rPr>
                <w:color w:val="000000"/>
                <w:kern w:val="0"/>
                <w:sz w:val="21"/>
                <w:szCs w:val="21"/>
                <w:lang w:bidi="ar"/>
              </w:rPr>
              <w:t>(2.28%)</w:t>
            </w:r>
          </w:p>
        </w:tc>
        <w:tc>
          <w:tcPr>
            <w:tcW w:w="113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16</w:t>
            </w:r>
          </w:p>
          <w:p>
            <w:pPr>
              <w:widowControl/>
              <w:spacing w:line="240" w:lineRule="auto"/>
              <w:jc w:val="center"/>
              <w:textAlignment w:val="center"/>
              <w:rPr>
                <w:color w:val="000000"/>
                <w:kern w:val="0"/>
                <w:sz w:val="21"/>
                <w:szCs w:val="21"/>
                <w:lang w:bidi="ar"/>
              </w:rPr>
            </w:pPr>
            <w:r>
              <w:rPr>
                <w:color w:val="000000"/>
                <w:kern w:val="0"/>
                <w:sz w:val="21"/>
                <w:szCs w:val="21"/>
                <w:lang w:bidi="ar"/>
              </w:rPr>
              <w:t>(17.98%)</w:t>
            </w:r>
          </w:p>
        </w:tc>
      </w:tr>
    </w:tbl>
    <w:p>
      <w:pPr>
        <w:ind w:firstLine="480"/>
        <w:rPr>
          <w:kern w:val="0"/>
          <w:szCs w:val="24"/>
        </w:rPr>
      </w:pPr>
      <w:r>
        <w:rPr>
          <w:kern w:val="0"/>
          <w:szCs w:val="24"/>
        </w:rPr>
        <w:t>（3）就业流向</w:t>
      </w:r>
    </w:p>
    <w:p>
      <w:pPr>
        <w:ind w:firstLine="480"/>
        <w:rPr>
          <w:kern w:val="0"/>
          <w:szCs w:val="24"/>
        </w:rPr>
      </w:pPr>
      <w:r>
        <w:rPr>
          <w:kern w:val="0"/>
          <w:szCs w:val="24"/>
        </w:rPr>
        <w:t>说明：本部分已就业总人数，不包含升学、出国（境）和应征入伍。</w:t>
      </w:r>
    </w:p>
    <w:p>
      <w:pPr>
        <w:ind w:firstLine="480"/>
        <w:rPr>
          <w:kern w:val="0"/>
          <w:szCs w:val="24"/>
        </w:rPr>
      </w:pPr>
      <w:r>
        <w:rPr>
          <w:kern w:val="0"/>
          <w:szCs w:val="24"/>
        </w:rPr>
        <w:t>毕业生就业单位性质显示，企业就业人数最多，占已就业人数的91%；其次是事业单位就业，占比6%；国有企业，占比3%。</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表2.毕业生就业单位性质统计表</w:t>
      </w:r>
    </w:p>
    <w:tbl>
      <w:tblPr>
        <w:tblStyle w:val="17"/>
        <w:tblW w:w="9172" w:type="dxa"/>
        <w:jc w:val="center"/>
        <w:tblLayout w:type="fixed"/>
        <w:tblCellMar>
          <w:top w:w="0" w:type="dxa"/>
          <w:left w:w="0" w:type="dxa"/>
          <w:bottom w:w="0" w:type="dxa"/>
          <w:right w:w="0" w:type="dxa"/>
        </w:tblCellMar>
      </w:tblPr>
      <w:tblGrid>
        <w:gridCol w:w="883"/>
        <w:gridCol w:w="753"/>
        <w:gridCol w:w="681"/>
        <w:gridCol w:w="782"/>
        <w:gridCol w:w="869"/>
        <w:gridCol w:w="724"/>
        <w:gridCol w:w="826"/>
        <w:gridCol w:w="713"/>
        <w:gridCol w:w="713"/>
        <w:gridCol w:w="706"/>
        <w:gridCol w:w="709"/>
        <w:gridCol w:w="813"/>
      </w:tblGrid>
      <w:tr>
        <w:tblPrEx>
          <w:tblCellMar>
            <w:top w:w="0" w:type="dxa"/>
            <w:left w:w="0" w:type="dxa"/>
            <w:bottom w:w="0" w:type="dxa"/>
            <w:right w:w="0" w:type="dxa"/>
          </w:tblCellMar>
        </w:tblPrEx>
        <w:trPr>
          <w:trHeight w:val="765" w:hRule="atLeast"/>
          <w:jc w:val="center"/>
        </w:trPr>
        <w:tc>
          <w:tcPr>
            <w:tcW w:w="8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单位</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性质</w:t>
            </w:r>
          </w:p>
        </w:tc>
        <w:tc>
          <w:tcPr>
            <w:tcW w:w="75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国有</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企业</w:t>
            </w:r>
          </w:p>
        </w:tc>
        <w:tc>
          <w:tcPr>
            <w:tcW w:w="68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外资</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企业</w:t>
            </w:r>
          </w:p>
        </w:tc>
        <w:tc>
          <w:tcPr>
            <w:tcW w:w="78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国家</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公务员</w:t>
            </w:r>
          </w:p>
        </w:tc>
        <w:tc>
          <w:tcPr>
            <w:tcW w:w="86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地方</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公务员</w:t>
            </w:r>
          </w:p>
        </w:tc>
        <w:tc>
          <w:tcPr>
            <w:tcW w:w="72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事业</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单位</w:t>
            </w:r>
          </w:p>
        </w:tc>
        <w:tc>
          <w:tcPr>
            <w:tcW w:w="82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选调生</w:t>
            </w:r>
          </w:p>
        </w:tc>
        <w:tc>
          <w:tcPr>
            <w:tcW w:w="71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三支</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一扶</w:t>
            </w:r>
          </w:p>
        </w:tc>
        <w:tc>
          <w:tcPr>
            <w:tcW w:w="71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西部</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志愿者</w:t>
            </w:r>
          </w:p>
        </w:tc>
        <w:tc>
          <w:tcPr>
            <w:tcW w:w="70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世界500强企业</w:t>
            </w:r>
          </w:p>
        </w:tc>
        <w:tc>
          <w:tcPr>
            <w:tcW w:w="70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中国500强企业</w:t>
            </w:r>
          </w:p>
        </w:tc>
        <w:tc>
          <w:tcPr>
            <w:tcW w:w="81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其他</w:t>
            </w:r>
          </w:p>
        </w:tc>
      </w:tr>
      <w:tr>
        <w:tblPrEx>
          <w:tblCellMar>
            <w:top w:w="0" w:type="dxa"/>
            <w:left w:w="0" w:type="dxa"/>
            <w:bottom w:w="0" w:type="dxa"/>
            <w:right w:w="0" w:type="dxa"/>
          </w:tblCellMar>
        </w:tblPrEx>
        <w:trPr>
          <w:trHeight w:val="776" w:hRule="atLeast"/>
          <w:jc w:val="center"/>
        </w:trPr>
        <w:tc>
          <w:tcPr>
            <w:tcW w:w="88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人数</w:t>
            </w:r>
          </w:p>
          <w:p>
            <w:pPr>
              <w:widowControl/>
              <w:spacing w:line="240" w:lineRule="auto"/>
              <w:jc w:val="center"/>
              <w:textAlignment w:val="center"/>
              <w:rPr>
                <w:color w:val="000000"/>
                <w:kern w:val="0"/>
                <w:sz w:val="21"/>
                <w:szCs w:val="21"/>
                <w:lang w:bidi="ar"/>
              </w:rPr>
            </w:pPr>
            <w:r>
              <w:rPr>
                <w:color w:val="000000"/>
                <w:kern w:val="0"/>
                <w:sz w:val="21"/>
                <w:szCs w:val="21"/>
                <w:lang w:bidi="ar"/>
              </w:rPr>
              <w:t>（比例）</w:t>
            </w:r>
          </w:p>
        </w:tc>
        <w:tc>
          <w:tcPr>
            <w:tcW w:w="75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w:t>
            </w:r>
          </w:p>
          <w:p>
            <w:pPr>
              <w:widowControl/>
              <w:spacing w:line="240" w:lineRule="auto"/>
              <w:jc w:val="center"/>
              <w:textAlignment w:val="center"/>
              <w:rPr>
                <w:color w:val="000000"/>
                <w:kern w:val="0"/>
                <w:sz w:val="21"/>
                <w:szCs w:val="21"/>
                <w:lang w:bidi="ar"/>
              </w:rPr>
            </w:pPr>
            <w:r>
              <w:rPr>
                <w:color w:val="000000"/>
                <w:kern w:val="0"/>
                <w:sz w:val="21"/>
                <w:szCs w:val="21"/>
                <w:lang w:bidi="ar"/>
              </w:rPr>
              <w:t>(1.12%)</w:t>
            </w:r>
          </w:p>
        </w:tc>
        <w:tc>
          <w:tcPr>
            <w:tcW w:w="681"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0</w:t>
            </w:r>
          </w:p>
        </w:tc>
        <w:tc>
          <w:tcPr>
            <w:tcW w:w="78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0</w:t>
            </w:r>
          </w:p>
        </w:tc>
        <w:tc>
          <w:tcPr>
            <w:tcW w:w="86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spacing w:val="-6"/>
                <w:kern w:val="0"/>
                <w:sz w:val="21"/>
                <w:szCs w:val="21"/>
                <w:lang w:bidi="ar"/>
              </w:rPr>
            </w:pPr>
            <w:r>
              <w:rPr>
                <w:color w:val="000000"/>
                <w:spacing w:val="-6"/>
                <w:kern w:val="0"/>
                <w:sz w:val="21"/>
                <w:szCs w:val="21"/>
                <w:lang w:bidi="ar"/>
              </w:rPr>
              <w:t>4</w:t>
            </w:r>
          </w:p>
          <w:p>
            <w:pPr>
              <w:widowControl/>
              <w:spacing w:line="240" w:lineRule="auto"/>
              <w:jc w:val="center"/>
              <w:textAlignment w:val="center"/>
              <w:rPr>
                <w:color w:val="000000"/>
                <w:kern w:val="0"/>
                <w:sz w:val="21"/>
                <w:szCs w:val="21"/>
                <w:lang w:bidi="ar"/>
              </w:rPr>
            </w:pPr>
            <w:r>
              <w:rPr>
                <w:color w:val="000000"/>
                <w:spacing w:val="-6"/>
                <w:kern w:val="0"/>
                <w:sz w:val="21"/>
                <w:szCs w:val="21"/>
                <w:lang w:bidi="ar"/>
              </w:rPr>
              <w:t>（4.45%）</w:t>
            </w:r>
          </w:p>
        </w:tc>
        <w:tc>
          <w:tcPr>
            <w:tcW w:w="72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2</w:t>
            </w:r>
          </w:p>
          <w:p>
            <w:pPr>
              <w:widowControl/>
              <w:spacing w:line="240" w:lineRule="auto"/>
              <w:jc w:val="center"/>
              <w:textAlignment w:val="center"/>
              <w:rPr>
                <w:color w:val="000000"/>
                <w:kern w:val="0"/>
                <w:sz w:val="21"/>
                <w:szCs w:val="21"/>
                <w:lang w:bidi="ar"/>
              </w:rPr>
            </w:pPr>
            <w:r>
              <w:rPr>
                <w:color w:val="000000"/>
                <w:kern w:val="0"/>
                <w:sz w:val="21"/>
                <w:szCs w:val="21"/>
                <w:lang w:bidi="ar"/>
              </w:rPr>
              <w:t>(2.23%)</w:t>
            </w:r>
          </w:p>
        </w:tc>
        <w:tc>
          <w:tcPr>
            <w:tcW w:w="82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0</w:t>
            </w:r>
          </w:p>
        </w:tc>
        <w:tc>
          <w:tcPr>
            <w:tcW w:w="71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0</w:t>
            </w:r>
          </w:p>
        </w:tc>
        <w:tc>
          <w:tcPr>
            <w:tcW w:w="71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0</w:t>
            </w:r>
          </w:p>
        </w:tc>
        <w:tc>
          <w:tcPr>
            <w:tcW w:w="70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spacing w:val="-6"/>
                <w:kern w:val="0"/>
                <w:sz w:val="21"/>
                <w:szCs w:val="21"/>
                <w:lang w:bidi="ar"/>
              </w:rPr>
            </w:pPr>
            <w:r>
              <w:rPr>
                <w:color w:val="000000"/>
                <w:spacing w:val="-6"/>
                <w:kern w:val="0"/>
                <w:sz w:val="21"/>
                <w:szCs w:val="21"/>
                <w:lang w:bidi="ar"/>
              </w:rPr>
              <w:t>1</w:t>
            </w:r>
          </w:p>
          <w:p>
            <w:pPr>
              <w:widowControl/>
              <w:spacing w:line="240" w:lineRule="auto"/>
              <w:jc w:val="center"/>
              <w:textAlignment w:val="center"/>
              <w:rPr>
                <w:color w:val="000000"/>
                <w:spacing w:val="-6"/>
                <w:kern w:val="0"/>
                <w:sz w:val="21"/>
                <w:szCs w:val="21"/>
                <w:lang w:bidi="ar"/>
              </w:rPr>
            </w:pPr>
            <w:r>
              <w:rPr>
                <w:color w:val="000000"/>
                <w:spacing w:val="-6"/>
                <w:kern w:val="0"/>
                <w:sz w:val="21"/>
                <w:szCs w:val="21"/>
                <w:lang w:bidi="ar"/>
              </w:rPr>
              <w:t>(1.12%)</w:t>
            </w:r>
          </w:p>
        </w:tc>
        <w:tc>
          <w:tcPr>
            <w:tcW w:w="70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spacing w:val="-6"/>
                <w:kern w:val="0"/>
                <w:sz w:val="21"/>
                <w:szCs w:val="21"/>
                <w:lang w:bidi="ar"/>
              </w:rPr>
            </w:pPr>
            <w:r>
              <w:rPr>
                <w:color w:val="000000"/>
                <w:spacing w:val="-6"/>
                <w:kern w:val="0"/>
                <w:sz w:val="21"/>
                <w:szCs w:val="21"/>
                <w:lang w:bidi="ar"/>
              </w:rPr>
              <w:t>1</w:t>
            </w:r>
          </w:p>
          <w:p>
            <w:pPr>
              <w:widowControl/>
              <w:spacing w:line="240" w:lineRule="auto"/>
              <w:jc w:val="center"/>
              <w:textAlignment w:val="center"/>
              <w:rPr>
                <w:color w:val="000000"/>
                <w:spacing w:val="-6"/>
                <w:kern w:val="0"/>
                <w:sz w:val="21"/>
                <w:szCs w:val="21"/>
                <w:lang w:bidi="ar"/>
              </w:rPr>
            </w:pPr>
            <w:r>
              <w:rPr>
                <w:color w:val="000000"/>
                <w:spacing w:val="-6"/>
                <w:kern w:val="0"/>
                <w:sz w:val="21"/>
                <w:szCs w:val="21"/>
                <w:lang w:bidi="ar"/>
              </w:rPr>
              <w:t>(1.12%)</w:t>
            </w:r>
          </w:p>
        </w:tc>
        <w:tc>
          <w:tcPr>
            <w:tcW w:w="81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40" w:lineRule="auto"/>
              <w:jc w:val="center"/>
              <w:textAlignment w:val="center"/>
              <w:rPr>
                <w:color w:val="000000"/>
                <w:spacing w:val="-6"/>
                <w:kern w:val="0"/>
                <w:sz w:val="21"/>
                <w:szCs w:val="21"/>
                <w:lang w:bidi="ar"/>
              </w:rPr>
            </w:pPr>
            <w:r>
              <w:rPr>
                <w:color w:val="000000"/>
                <w:spacing w:val="-6"/>
                <w:kern w:val="0"/>
                <w:sz w:val="21"/>
                <w:szCs w:val="21"/>
                <w:lang w:bidi="ar"/>
              </w:rPr>
              <w:t>39</w:t>
            </w:r>
          </w:p>
          <w:p>
            <w:pPr>
              <w:widowControl/>
              <w:spacing w:line="240" w:lineRule="auto"/>
              <w:jc w:val="center"/>
              <w:textAlignment w:val="center"/>
              <w:rPr>
                <w:color w:val="000000"/>
                <w:spacing w:val="-6"/>
                <w:kern w:val="0"/>
                <w:sz w:val="21"/>
                <w:szCs w:val="21"/>
                <w:lang w:bidi="ar"/>
              </w:rPr>
            </w:pPr>
            <w:r>
              <w:rPr>
                <w:color w:val="000000"/>
                <w:spacing w:val="-6"/>
                <w:kern w:val="0"/>
                <w:sz w:val="21"/>
                <w:szCs w:val="21"/>
                <w:lang w:bidi="ar"/>
              </w:rPr>
              <w:t>(43.82%)</w:t>
            </w:r>
          </w:p>
        </w:tc>
      </w:tr>
    </w:tbl>
    <w:p>
      <w:pPr>
        <w:ind w:firstLine="480"/>
        <w:rPr>
          <w:kern w:val="0"/>
          <w:szCs w:val="24"/>
        </w:rPr>
      </w:pPr>
      <w:r>
        <w:rPr>
          <w:kern w:val="0"/>
          <w:szCs w:val="24"/>
        </w:rPr>
        <w:t>（4）考研情况</w:t>
      </w:r>
    </w:p>
    <w:p>
      <w:pPr>
        <w:ind w:firstLine="480"/>
        <w:rPr>
          <w:kern w:val="0"/>
          <w:szCs w:val="24"/>
        </w:rPr>
      </w:pPr>
      <w:r>
        <w:rPr>
          <w:kern w:val="0"/>
          <w:szCs w:val="24"/>
        </w:rPr>
        <w:t>国内升学：</w:t>
      </w:r>
    </w:p>
    <w:p>
      <w:pPr>
        <w:ind w:firstLine="480"/>
        <w:rPr>
          <w:kern w:val="0"/>
          <w:szCs w:val="24"/>
        </w:rPr>
      </w:pPr>
      <w:r>
        <w:rPr>
          <w:kern w:val="0"/>
          <w:szCs w:val="24"/>
        </w:rPr>
        <w:t>毕业生国内升学25人，升学率28%，其中考入</w:t>
      </w:r>
      <w:r>
        <w:rPr>
          <w:rFonts w:hint="eastAsia"/>
          <w:kern w:val="0"/>
          <w:szCs w:val="24"/>
        </w:rPr>
        <w:t>“</w:t>
      </w:r>
      <w:r>
        <w:rPr>
          <w:kern w:val="0"/>
          <w:szCs w:val="24"/>
        </w:rPr>
        <w:t>双一流</w:t>
      </w:r>
      <w:r>
        <w:rPr>
          <w:rFonts w:hint="eastAsia"/>
          <w:kern w:val="0"/>
          <w:szCs w:val="24"/>
        </w:rPr>
        <w:t>”</w:t>
      </w:r>
      <w:r>
        <w:rPr>
          <w:kern w:val="0"/>
          <w:szCs w:val="24"/>
        </w:rPr>
        <w:t>大学20人，占国内升学总人数的80%。从升学专业来看，跨专业升学的23人，占国内升学总人数的92%。升学学校主要是华中师范大学高校、山东大学高校、中国石油大学高校等。</w:t>
      </w:r>
    </w:p>
    <w:p>
      <w:pPr>
        <w:widowControl/>
        <w:spacing w:before="156" w:beforeLines="50" w:line="240" w:lineRule="auto"/>
        <w:jc w:val="center"/>
        <w:textAlignment w:val="center"/>
        <w:rPr>
          <w:b/>
          <w:bCs/>
          <w:color w:val="000000"/>
          <w:kern w:val="0"/>
          <w:sz w:val="21"/>
          <w:szCs w:val="21"/>
          <w:lang w:bidi="ar"/>
        </w:rPr>
      </w:pPr>
      <w:r>
        <w:rPr>
          <w:b/>
          <w:bCs/>
          <w:color w:val="000000"/>
          <w:kern w:val="0"/>
          <w:sz w:val="21"/>
          <w:szCs w:val="21"/>
          <w:lang w:bidi="ar"/>
        </w:rPr>
        <w:t>表3.国内升学学校前5位统计表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5"/>
        <w:gridCol w:w="3245"/>
        <w:gridCol w:w="2158"/>
        <w:gridCol w:w="20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exact"/>
          <w:jc w:val="center"/>
        </w:trPr>
        <w:tc>
          <w:tcPr>
            <w:tcW w:w="1475" w:type="dxa"/>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序号</w:t>
            </w:r>
          </w:p>
        </w:tc>
        <w:tc>
          <w:tcPr>
            <w:tcW w:w="3245" w:type="dxa"/>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升学学校名称</w:t>
            </w:r>
          </w:p>
        </w:tc>
        <w:tc>
          <w:tcPr>
            <w:tcW w:w="2158" w:type="dxa"/>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升学人数</w:t>
            </w:r>
          </w:p>
        </w:tc>
        <w:tc>
          <w:tcPr>
            <w:tcW w:w="2039" w:type="dxa"/>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exact"/>
          <w:jc w:val="center"/>
        </w:trPr>
        <w:tc>
          <w:tcPr>
            <w:tcW w:w="1475"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w:t>
            </w:r>
          </w:p>
        </w:tc>
        <w:tc>
          <w:tcPr>
            <w:tcW w:w="3245"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华中师范大学</w:t>
            </w:r>
          </w:p>
        </w:tc>
        <w:tc>
          <w:tcPr>
            <w:tcW w:w="2158"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7</w:t>
            </w:r>
          </w:p>
        </w:tc>
        <w:tc>
          <w:tcPr>
            <w:tcW w:w="2039"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exact"/>
          <w:jc w:val="center"/>
        </w:trPr>
        <w:tc>
          <w:tcPr>
            <w:tcW w:w="1475"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2</w:t>
            </w:r>
          </w:p>
        </w:tc>
        <w:tc>
          <w:tcPr>
            <w:tcW w:w="3245"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山东大学</w:t>
            </w:r>
          </w:p>
        </w:tc>
        <w:tc>
          <w:tcPr>
            <w:tcW w:w="2158"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3</w:t>
            </w:r>
          </w:p>
        </w:tc>
        <w:tc>
          <w:tcPr>
            <w:tcW w:w="2039"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exact"/>
          <w:jc w:val="center"/>
        </w:trPr>
        <w:tc>
          <w:tcPr>
            <w:tcW w:w="1475"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3</w:t>
            </w:r>
          </w:p>
        </w:tc>
        <w:tc>
          <w:tcPr>
            <w:tcW w:w="3245"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中国石油大学</w:t>
            </w:r>
          </w:p>
        </w:tc>
        <w:tc>
          <w:tcPr>
            <w:tcW w:w="2158"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w:t>
            </w:r>
          </w:p>
        </w:tc>
        <w:tc>
          <w:tcPr>
            <w:tcW w:w="2039"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exact"/>
          <w:jc w:val="center"/>
        </w:trPr>
        <w:tc>
          <w:tcPr>
            <w:tcW w:w="1475"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4</w:t>
            </w:r>
          </w:p>
        </w:tc>
        <w:tc>
          <w:tcPr>
            <w:tcW w:w="3245"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东北大学</w:t>
            </w:r>
          </w:p>
        </w:tc>
        <w:tc>
          <w:tcPr>
            <w:tcW w:w="2158"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w:t>
            </w:r>
          </w:p>
        </w:tc>
        <w:tc>
          <w:tcPr>
            <w:tcW w:w="2039"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exact"/>
          <w:jc w:val="center"/>
        </w:trPr>
        <w:tc>
          <w:tcPr>
            <w:tcW w:w="1475"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5</w:t>
            </w:r>
          </w:p>
        </w:tc>
        <w:tc>
          <w:tcPr>
            <w:tcW w:w="3245"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山东农业大学</w:t>
            </w:r>
          </w:p>
        </w:tc>
        <w:tc>
          <w:tcPr>
            <w:tcW w:w="2158"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w:t>
            </w:r>
          </w:p>
        </w:tc>
        <w:tc>
          <w:tcPr>
            <w:tcW w:w="2039"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4%</w:t>
            </w:r>
          </w:p>
        </w:tc>
      </w:tr>
    </w:tbl>
    <w:p>
      <w:pPr>
        <w:ind w:firstLine="480"/>
        <w:rPr>
          <w:kern w:val="0"/>
          <w:szCs w:val="24"/>
        </w:rPr>
      </w:pPr>
      <w:r>
        <w:rPr>
          <w:kern w:val="0"/>
          <w:szCs w:val="24"/>
        </w:rPr>
        <w:t>国外升学：</w:t>
      </w:r>
    </w:p>
    <w:p>
      <w:pPr>
        <w:ind w:firstLine="480"/>
        <w:rPr>
          <w:kern w:val="0"/>
          <w:szCs w:val="24"/>
        </w:rPr>
      </w:pPr>
      <w:r>
        <w:rPr>
          <w:kern w:val="0"/>
          <w:szCs w:val="24"/>
        </w:rPr>
        <w:t>毕业生国外升学2人，升学率2.24%，从升学专业来看，跨专业升学的2人，占国内升学总人数的2.24%%。升学学校主要是伦敦大学国王学院、澳门城市大学。</w:t>
      </w:r>
    </w:p>
    <w:p>
      <w:pPr>
        <w:spacing w:line="560" w:lineRule="exact"/>
        <w:jc w:val="center"/>
        <w:rPr>
          <w:b/>
          <w:bCs/>
          <w:sz w:val="21"/>
          <w:szCs w:val="21"/>
        </w:rPr>
      </w:pPr>
      <w:r>
        <w:rPr>
          <w:b/>
          <w:bCs/>
          <w:sz w:val="21"/>
          <w:szCs w:val="21"/>
        </w:rPr>
        <w:t>表4.国外升学学校前5位统计表</w:t>
      </w:r>
    </w:p>
    <w:tbl>
      <w:tblPr>
        <w:tblStyle w:val="4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9"/>
        <w:gridCol w:w="2584"/>
        <w:gridCol w:w="1726"/>
        <w:gridCol w:w="1726"/>
        <w:gridCol w:w="1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189" w:type="dxa"/>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序号</w:t>
            </w:r>
          </w:p>
        </w:tc>
        <w:tc>
          <w:tcPr>
            <w:tcW w:w="2584" w:type="dxa"/>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升学学校名称</w:t>
            </w:r>
          </w:p>
        </w:tc>
        <w:tc>
          <w:tcPr>
            <w:tcW w:w="1726" w:type="dxa"/>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所在国家</w:t>
            </w:r>
          </w:p>
        </w:tc>
        <w:tc>
          <w:tcPr>
            <w:tcW w:w="1726" w:type="dxa"/>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升学人数</w:t>
            </w:r>
          </w:p>
        </w:tc>
        <w:tc>
          <w:tcPr>
            <w:tcW w:w="1632" w:type="dxa"/>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189"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w:t>
            </w:r>
          </w:p>
        </w:tc>
        <w:tc>
          <w:tcPr>
            <w:tcW w:w="2584"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伦敦大学国王学院</w:t>
            </w:r>
          </w:p>
        </w:tc>
        <w:tc>
          <w:tcPr>
            <w:tcW w:w="1726"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伦敦</w:t>
            </w:r>
          </w:p>
        </w:tc>
        <w:tc>
          <w:tcPr>
            <w:tcW w:w="1726"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w:t>
            </w:r>
          </w:p>
        </w:tc>
        <w:tc>
          <w:tcPr>
            <w:tcW w:w="1632"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189"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2</w:t>
            </w:r>
          </w:p>
        </w:tc>
        <w:tc>
          <w:tcPr>
            <w:tcW w:w="2584"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澳门城市大学</w:t>
            </w:r>
          </w:p>
        </w:tc>
        <w:tc>
          <w:tcPr>
            <w:tcW w:w="1726"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中国</w:t>
            </w:r>
          </w:p>
        </w:tc>
        <w:tc>
          <w:tcPr>
            <w:tcW w:w="1726"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w:t>
            </w:r>
          </w:p>
        </w:tc>
        <w:tc>
          <w:tcPr>
            <w:tcW w:w="1632" w:type="dxa"/>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3%</w:t>
            </w:r>
          </w:p>
        </w:tc>
      </w:tr>
    </w:tbl>
    <w:p>
      <w:pPr>
        <w:ind w:firstLine="480"/>
        <w:rPr>
          <w:kern w:val="0"/>
          <w:szCs w:val="24"/>
        </w:rPr>
      </w:pPr>
      <w:r>
        <w:rPr>
          <w:kern w:val="0"/>
          <w:szCs w:val="24"/>
        </w:rPr>
        <w:t>（5）就业工作的专业对口情况</w:t>
      </w:r>
    </w:p>
    <w:p>
      <w:pPr>
        <w:ind w:firstLine="480"/>
        <w:rPr>
          <w:rFonts w:eastAsia="仿宋"/>
          <w:color w:val="000000"/>
          <w:kern w:val="0"/>
          <w:sz w:val="18"/>
          <w:szCs w:val="18"/>
          <w:lang w:bidi="ar"/>
        </w:rPr>
      </w:pPr>
      <w:r>
        <w:rPr>
          <w:kern w:val="0"/>
          <w:szCs w:val="24"/>
        </w:rPr>
        <w:t>毕业生当前所在工作单位或者所从事工作岗位与所学专业对口率较高的共25人，占已就业总人数的28%。主要集中在中国共产党胶州市委员会组织部机关单位、西安文卓教育科技有限公司事业单位、中信证券（山东）有限责任公司其他单位等。</w:t>
      </w:r>
    </w:p>
    <w:p>
      <w:pPr>
        <w:spacing w:line="560" w:lineRule="exact"/>
        <w:ind w:firstLine="422" w:firstLineChars="200"/>
        <w:jc w:val="center"/>
        <w:rPr>
          <w:b/>
          <w:bCs/>
          <w:sz w:val="21"/>
          <w:szCs w:val="21"/>
        </w:rPr>
      </w:pPr>
      <w:r>
        <w:rPr>
          <w:b/>
          <w:bCs/>
          <w:color w:val="000000"/>
          <w:kern w:val="0"/>
          <w:sz w:val="21"/>
          <w:szCs w:val="21"/>
          <w:lang w:bidi="ar"/>
        </w:rPr>
        <w:t>表5.毕业生专业对口情况统计表</w:t>
      </w:r>
    </w:p>
    <w:tbl>
      <w:tblPr>
        <w:tblStyle w:val="17"/>
        <w:tblW w:w="4998" w:type="pct"/>
        <w:jc w:val="center"/>
        <w:tblLayout w:type="autofit"/>
        <w:tblCellMar>
          <w:top w:w="0" w:type="dxa"/>
          <w:left w:w="0" w:type="dxa"/>
          <w:bottom w:w="0" w:type="dxa"/>
          <w:right w:w="0" w:type="dxa"/>
        </w:tblCellMar>
      </w:tblPr>
      <w:tblGrid>
        <w:gridCol w:w="1884"/>
        <w:gridCol w:w="1367"/>
        <w:gridCol w:w="1422"/>
        <w:gridCol w:w="1728"/>
        <w:gridCol w:w="1303"/>
        <w:gridCol w:w="1167"/>
      </w:tblGrid>
      <w:tr>
        <w:tblPrEx>
          <w:tblCellMar>
            <w:top w:w="0" w:type="dxa"/>
            <w:left w:w="0" w:type="dxa"/>
            <w:bottom w:w="0" w:type="dxa"/>
            <w:right w:w="0" w:type="dxa"/>
          </w:tblCellMar>
        </w:tblPrEx>
        <w:trPr>
          <w:trHeight w:val="397" w:hRule="atLeast"/>
          <w:jc w:val="center"/>
        </w:trPr>
        <w:tc>
          <w:tcPr>
            <w:tcW w:w="106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20" w:lineRule="exact"/>
              <w:jc w:val="center"/>
              <w:textAlignment w:val="center"/>
              <w:rPr>
                <w:b/>
                <w:bCs/>
                <w:color w:val="000000"/>
                <w:kern w:val="0"/>
                <w:sz w:val="21"/>
                <w:szCs w:val="21"/>
                <w:lang w:bidi="ar"/>
              </w:rPr>
            </w:pPr>
            <w:r>
              <w:rPr>
                <w:b/>
                <w:bCs/>
                <w:color w:val="000000"/>
                <w:kern w:val="0"/>
                <w:sz w:val="21"/>
                <w:szCs w:val="21"/>
                <w:lang w:bidi="ar"/>
              </w:rPr>
              <w:t>就业方式</w:t>
            </w:r>
          </w:p>
        </w:tc>
        <w:tc>
          <w:tcPr>
            <w:tcW w:w="7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20" w:lineRule="exact"/>
              <w:jc w:val="center"/>
              <w:textAlignment w:val="center"/>
              <w:rPr>
                <w:b/>
                <w:bCs/>
                <w:color w:val="000000"/>
                <w:kern w:val="0"/>
                <w:sz w:val="21"/>
                <w:szCs w:val="21"/>
                <w:lang w:bidi="ar"/>
              </w:rPr>
            </w:pPr>
            <w:r>
              <w:rPr>
                <w:b/>
                <w:bCs/>
                <w:color w:val="000000"/>
                <w:kern w:val="0"/>
                <w:sz w:val="21"/>
                <w:szCs w:val="21"/>
                <w:lang w:bidi="ar"/>
              </w:rPr>
              <w:t>企业就业</w:t>
            </w:r>
          </w:p>
        </w:tc>
        <w:tc>
          <w:tcPr>
            <w:tcW w:w="80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20" w:lineRule="exact"/>
              <w:jc w:val="center"/>
              <w:textAlignment w:val="center"/>
              <w:rPr>
                <w:b/>
                <w:bCs/>
                <w:color w:val="000000"/>
                <w:kern w:val="0"/>
                <w:sz w:val="21"/>
                <w:szCs w:val="21"/>
                <w:lang w:bidi="ar"/>
              </w:rPr>
            </w:pPr>
            <w:r>
              <w:rPr>
                <w:b/>
                <w:bCs/>
                <w:color w:val="000000"/>
                <w:kern w:val="0"/>
                <w:sz w:val="21"/>
                <w:szCs w:val="21"/>
                <w:lang w:bidi="ar"/>
              </w:rPr>
              <w:t>公务员</w:t>
            </w:r>
          </w:p>
        </w:tc>
        <w:tc>
          <w:tcPr>
            <w:tcW w:w="97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20" w:lineRule="exact"/>
              <w:jc w:val="center"/>
              <w:textAlignment w:val="center"/>
              <w:rPr>
                <w:b/>
                <w:bCs/>
                <w:color w:val="000000"/>
                <w:kern w:val="0"/>
                <w:sz w:val="21"/>
                <w:szCs w:val="21"/>
                <w:lang w:bidi="ar"/>
              </w:rPr>
            </w:pPr>
            <w:r>
              <w:rPr>
                <w:b/>
                <w:bCs/>
                <w:color w:val="000000"/>
                <w:kern w:val="0"/>
                <w:sz w:val="21"/>
                <w:szCs w:val="21"/>
                <w:lang w:bidi="ar"/>
              </w:rPr>
              <w:t>事业单位</w:t>
            </w:r>
          </w:p>
        </w:tc>
        <w:tc>
          <w:tcPr>
            <w:tcW w:w="73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20" w:lineRule="exact"/>
              <w:jc w:val="center"/>
              <w:textAlignment w:val="center"/>
              <w:rPr>
                <w:b/>
                <w:bCs/>
                <w:color w:val="000000"/>
                <w:kern w:val="0"/>
                <w:sz w:val="21"/>
                <w:szCs w:val="21"/>
                <w:lang w:bidi="ar"/>
              </w:rPr>
            </w:pPr>
            <w:r>
              <w:rPr>
                <w:b/>
                <w:bCs/>
                <w:color w:val="000000"/>
                <w:kern w:val="0"/>
                <w:sz w:val="21"/>
                <w:szCs w:val="21"/>
                <w:lang w:bidi="ar"/>
              </w:rPr>
              <w:t>其他</w:t>
            </w:r>
          </w:p>
          <w:p>
            <w:pPr>
              <w:widowControl/>
              <w:spacing w:line="220" w:lineRule="exact"/>
              <w:jc w:val="center"/>
              <w:textAlignment w:val="center"/>
              <w:rPr>
                <w:b/>
                <w:bCs/>
                <w:color w:val="000000"/>
                <w:kern w:val="0"/>
                <w:sz w:val="21"/>
                <w:szCs w:val="21"/>
                <w:lang w:bidi="ar"/>
              </w:rPr>
            </w:pPr>
            <w:r>
              <w:rPr>
                <w:b/>
                <w:bCs/>
                <w:color w:val="000000"/>
                <w:kern w:val="0"/>
                <w:sz w:val="21"/>
                <w:szCs w:val="21"/>
                <w:lang w:bidi="ar"/>
              </w:rPr>
              <w:t>就业形式</w:t>
            </w:r>
          </w:p>
        </w:tc>
        <w:tc>
          <w:tcPr>
            <w:tcW w:w="65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spacing w:line="220" w:lineRule="exact"/>
              <w:jc w:val="center"/>
              <w:textAlignment w:val="center"/>
              <w:rPr>
                <w:b/>
                <w:bCs/>
                <w:color w:val="000000"/>
                <w:kern w:val="0"/>
                <w:sz w:val="21"/>
                <w:szCs w:val="21"/>
                <w:lang w:bidi="ar"/>
              </w:rPr>
            </w:pPr>
            <w:r>
              <w:rPr>
                <w:b/>
                <w:bCs/>
                <w:color w:val="000000"/>
                <w:kern w:val="0"/>
                <w:sz w:val="21"/>
                <w:szCs w:val="21"/>
                <w:lang w:bidi="ar"/>
              </w:rPr>
              <w:t>合计</w:t>
            </w:r>
          </w:p>
        </w:tc>
      </w:tr>
      <w:tr>
        <w:tblPrEx>
          <w:tblCellMar>
            <w:top w:w="0" w:type="dxa"/>
            <w:left w:w="0" w:type="dxa"/>
            <w:bottom w:w="0" w:type="dxa"/>
            <w:right w:w="0" w:type="dxa"/>
          </w:tblCellMar>
        </w:tblPrEx>
        <w:trPr>
          <w:trHeight w:val="397" w:hRule="atLeast"/>
          <w:jc w:val="center"/>
        </w:trPr>
        <w:tc>
          <w:tcPr>
            <w:tcW w:w="106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20" w:lineRule="exact"/>
              <w:jc w:val="center"/>
              <w:textAlignment w:val="center"/>
              <w:rPr>
                <w:color w:val="000000"/>
                <w:kern w:val="0"/>
                <w:sz w:val="21"/>
                <w:szCs w:val="21"/>
                <w:lang w:bidi="ar"/>
              </w:rPr>
            </w:pPr>
            <w:r>
              <w:rPr>
                <w:color w:val="000000"/>
                <w:kern w:val="0"/>
                <w:sz w:val="21"/>
                <w:szCs w:val="21"/>
                <w:lang w:bidi="ar"/>
              </w:rPr>
              <w:t xml:space="preserve">对口就业人数 </w:t>
            </w:r>
          </w:p>
        </w:tc>
        <w:tc>
          <w:tcPr>
            <w:tcW w:w="7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20" w:lineRule="exact"/>
              <w:jc w:val="center"/>
              <w:rPr>
                <w:color w:val="000000"/>
                <w:kern w:val="0"/>
                <w:sz w:val="21"/>
                <w:szCs w:val="21"/>
                <w:lang w:bidi="ar"/>
              </w:rPr>
            </w:pPr>
            <w:r>
              <w:rPr>
                <w:color w:val="000000"/>
                <w:kern w:val="0"/>
                <w:sz w:val="21"/>
                <w:szCs w:val="21"/>
                <w:lang w:bidi="ar"/>
              </w:rPr>
              <w:t>31</w:t>
            </w:r>
          </w:p>
        </w:tc>
        <w:tc>
          <w:tcPr>
            <w:tcW w:w="80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20" w:lineRule="exact"/>
              <w:jc w:val="center"/>
              <w:rPr>
                <w:color w:val="000000"/>
                <w:kern w:val="0"/>
                <w:sz w:val="21"/>
                <w:szCs w:val="21"/>
                <w:lang w:bidi="ar"/>
              </w:rPr>
            </w:pPr>
            <w:r>
              <w:rPr>
                <w:color w:val="000000"/>
                <w:kern w:val="0"/>
                <w:sz w:val="21"/>
                <w:szCs w:val="21"/>
                <w:lang w:bidi="ar"/>
              </w:rPr>
              <w:t>2</w:t>
            </w:r>
          </w:p>
        </w:tc>
        <w:tc>
          <w:tcPr>
            <w:tcW w:w="97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20" w:lineRule="exact"/>
              <w:jc w:val="center"/>
              <w:rPr>
                <w:color w:val="000000"/>
                <w:kern w:val="0"/>
                <w:sz w:val="21"/>
                <w:szCs w:val="21"/>
                <w:lang w:bidi="ar"/>
              </w:rPr>
            </w:pPr>
            <w:r>
              <w:rPr>
                <w:color w:val="000000"/>
                <w:kern w:val="0"/>
                <w:sz w:val="21"/>
                <w:szCs w:val="21"/>
                <w:lang w:bidi="ar"/>
              </w:rPr>
              <w:t>3</w:t>
            </w:r>
          </w:p>
        </w:tc>
        <w:tc>
          <w:tcPr>
            <w:tcW w:w="73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20" w:lineRule="exact"/>
              <w:jc w:val="center"/>
              <w:rPr>
                <w:color w:val="000000"/>
                <w:kern w:val="0"/>
                <w:sz w:val="21"/>
                <w:szCs w:val="21"/>
                <w:lang w:bidi="ar"/>
              </w:rPr>
            </w:pPr>
            <w:r>
              <w:rPr>
                <w:color w:val="000000"/>
                <w:kern w:val="0"/>
                <w:sz w:val="21"/>
                <w:szCs w:val="21"/>
                <w:lang w:bidi="ar"/>
              </w:rPr>
              <w:t>25</w:t>
            </w:r>
          </w:p>
        </w:tc>
        <w:tc>
          <w:tcPr>
            <w:tcW w:w="65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20" w:lineRule="exact"/>
              <w:jc w:val="center"/>
              <w:rPr>
                <w:color w:val="000000"/>
                <w:kern w:val="0"/>
                <w:sz w:val="21"/>
                <w:szCs w:val="21"/>
                <w:lang w:bidi="ar"/>
              </w:rPr>
            </w:pPr>
            <w:r>
              <w:rPr>
                <w:color w:val="000000"/>
                <w:kern w:val="0"/>
                <w:sz w:val="21"/>
                <w:szCs w:val="21"/>
                <w:lang w:bidi="ar"/>
              </w:rPr>
              <w:t>61</w:t>
            </w:r>
          </w:p>
        </w:tc>
      </w:tr>
      <w:tr>
        <w:tblPrEx>
          <w:tblCellMar>
            <w:top w:w="0" w:type="dxa"/>
            <w:left w:w="0" w:type="dxa"/>
            <w:bottom w:w="0" w:type="dxa"/>
            <w:right w:w="0" w:type="dxa"/>
          </w:tblCellMar>
        </w:tblPrEx>
        <w:trPr>
          <w:trHeight w:val="397" w:hRule="atLeast"/>
          <w:jc w:val="center"/>
        </w:trPr>
        <w:tc>
          <w:tcPr>
            <w:tcW w:w="106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20" w:lineRule="exact"/>
              <w:jc w:val="center"/>
              <w:textAlignment w:val="center"/>
              <w:rPr>
                <w:color w:val="000000"/>
                <w:kern w:val="0"/>
                <w:sz w:val="21"/>
                <w:szCs w:val="21"/>
                <w:lang w:bidi="ar"/>
              </w:rPr>
            </w:pPr>
            <w:r>
              <w:rPr>
                <w:color w:val="000000"/>
                <w:kern w:val="0"/>
                <w:sz w:val="21"/>
                <w:szCs w:val="21"/>
                <w:lang w:bidi="ar"/>
              </w:rPr>
              <w:t>占比</w:t>
            </w:r>
          </w:p>
        </w:tc>
        <w:tc>
          <w:tcPr>
            <w:tcW w:w="77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20" w:lineRule="exact"/>
              <w:jc w:val="center"/>
              <w:rPr>
                <w:color w:val="000000"/>
                <w:kern w:val="0"/>
                <w:sz w:val="21"/>
                <w:szCs w:val="21"/>
                <w:lang w:bidi="ar"/>
              </w:rPr>
            </w:pPr>
            <w:r>
              <w:rPr>
                <w:color w:val="000000"/>
                <w:kern w:val="0"/>
                <w:sz w:val="21"/>
                <w:szCs w:val="21"/>
                <w:lang w:bidi="ar"/>
              </w:rPr>
              <w:t>50%</w:t>
            </w:r>
          </w:p>
        </w:tc>
        <w:tc>
          <w:tcPr>
            <w:tcW w:w="80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20" w:lineRule="exact"/>
              <w:jc w:val="center"/>
              <w:rPr>
                <w:color w:val="000000"/>
                <w:kern w:val="0"/>
                <w:sz w:val="21"/>
                <w:szCs w:val="21"/>
                <w:lang w:bidi="ar"/>
              </w:rPr>
            </w:pPr>
            <w:r>
              <w:rPr>
                <w:color w:val="000000"/>
                <w:kern w:val="0"/>
                <w:sz w:val="21"/>
                <w:szCs w:val="21"/>
                <w:lang w:bidi="ar"/>
              </w:rPr>
              <w:t>3.2%</w:t>
            </w:r>
          </w:p>
        </w:tc>
        <w:tc>
          <w:tcPr>
            <w:tcW w:w="97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20" w:lineRule="exact"/>
              <w:jc w:val="center"/>
              <w:rPr>
                <w:color w:val="000000"/>
                <w:kern w:val="0"/>
                <w:sz w:val="21"/>
                <w:szCs w:val="21"/>
                <w:lang w:bidi="ar"/>
              </w:rPr>
            </w:pPr>
            <w:r>
              <w:rPr>
                <w:color w:val="000000"/>
                <w:kern w:val="0"/>
                <w:sz w:val="21"/>
                <w:szCs w:val="21"/>
                <w:lang w:bidi="ar"/>
              </w:rPr>
              <w:t>5%</w:t>
            </w:r>
          </w:p>
        </w:tc>
        <w:tc>
          <w:tcPr>
            <w:tcW w:w="73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20" w:lineRule="exact"/>
              <w:jc w:val="center"/>
              <w:rPr>
                <w:color w:val="000000"/>
                <w:kern w:val="0"/>
                <w:sz w:val="21"/>
                <w:szCs w:val="21"/>
                <w:lang w:bidi="ar"/>
              </w:rPr>
            </w:pPr>
            <w:r>
              <w:rPr>
                <w:color w:val="000000"/>
                <w:kern w:val="0"/>
                <w:sz w:val="21"/>
                <w:szCs w:val="21"/>
                <w:lang w:bidi="ar"/>
              </w:rPr>
              <w:t>40.2%</w:t>
            </w:r>
          </w:p>
        </w:tc>
        <w:tc>
          <w:tcPr>
            <w:tcW w:w="65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20" w:lineRule="exact"/>
              <w:jc w:val="center"/>
              <w:rPr>
                <w:color w:val="000000"/>
                <w:kern w:val="0"/>
                <w:sz w:val="21"/>
                <w:szCs w:val="21"/>
                <w:lang w:bidi="ar"/>
              </w:rPr>
            </w:pPr>
            <w:r>
              <w:rPr>
                <w:color w:val="000000"/>
                <w:kern w:val="0"/>
                <w:sz w:val="21"/>
                <w:szCs w:val="21"/>
                <w:lang w:bidi="ar"/>
              </w:rPr>
              <w:t>100%</w:t>
            </w:r>
          </w:p>
        </w:tc>
      </w:tr>
    </w:tbl>
    <w:p>
      <w:pPr>
        <w:pStyle w:val="5"/>
        <w:spacing w:before="93" w:after="93"/>
        <w:ind w:firstLine="560"/>
      </w:pPr>
      <w:r>
        <w:t>七、专业人才社会需求分析及专业发展趋势分析</w:t>
      </w:r>
    </w:p>
    <w:p>
      <w:pPr>
        <w:ind w:firstLine="480"/>
        <w:rPr>
          <w:kern w:val="0"/>
          <w:szCs w:val="24"/>
        </w:rPr>
      </w:pPr>
      <w:r>
        <w:rPr>
          <w:kern w:val="0"/>
          <w:szCs w:val="24"/>
        </w:rPr>
        <w:t>城镇是经济、文化最活跃的地方，这里充满机遇。当前我国城镇化迅速发展，城镇化率超过57%。因此在城镇快速发展的时期，各政府部门、相关企业等对城市管理专业人才有强烈的需求，尤其是对复合型的城市管理专业人才的需求。城市管理专业的培养目标便是具备城市规划、城市管理等多方面才能的复合型人才，因此与社会的需求十分吻合。</w:t>
      </w:r>
    </w:p>
    <w:p>
      <w:pPr>
        <w:pStyle w:val="5"/>
        <w:spacing w:before="93" w:after="93"/>
        <w:ind w:firstLine="560"/>
      </w:pPr>
      <w:r>
        <w:rPr>
          <w:rFonts w:hint="eastAsia"/>
        </w:rPr>
        <w:t>八、</w:t>
      </w:r>
      <w:r>
        <w:t>存在的问题及拟采取的对策措施</w:t>
      </w:r>
    </w:p>
    <w:p>
      <w:pPr>
        <w:pStyle w:val="6"/>
        <w:ind w:firstLine="480"/>
      </w:pPr>
      <w:r>
        <w:t>（一）优化师资力量</w:t>
      </w:r>
    </w:p>
    <w:p>
      <w:pPr>
        <w:ind w:firstLine="480"/>
        <w:rPr>
          <w:kern w:val="0"/>
          <w:szCs w:val="24"/>
        </w:rPr>
      </w:pPr>
      <w:r>
        <w:rPr>
          <w:kern w:val="0"/>
          <w:szCs w:val="24"/>
        </w:rPr>
        <w:t>城市管理专业人才培养离不开师资力量的增强，目前虽然师资力量有了一定的基础，但是与高水平专业师资力量尚有差距。未来我们将不断引进高水平专业博士，并积极培养现有师资力量，力争达到20人的师资规模。</w:t>
      </w:r>
    </w:p>
    <w:p>
      <w:pPr>
        <w:pStyle w:val="6"/>
        <w:ind w:firstLine="480"/>
      </w:pPr>
      <w:r>
        <w:t>（二）加强同行业间交流</w:t>
      </w:r>
    </w:p>
    <w:p>
      <w:pPr>
        <w:ind w:firstLine="480"/>
        <w:rPr>
          <w:kern w:val="0"/>
          <w:szCs w:val="24"/>
        </w:rPr>
      </w:pPr>
      <w:r>
        <w:rPr>
          <w:kern w:val="0"/>
          <w:szCs w:val="24"/>
        </w:rPr>
        <w:t>城市管理专业人才培养离不开与同行业间的交流。目前我们积极参与城市管理专业相关学科建设与学术发展等相关的会议，主动向同行业专家学习，不断改进自己的培养方案，但是在师生交流访学方便尚需扭力。未来，我们将进一步主动向同行业的佼佼者继续学习，并将同行专家讲座建成长效机制；另一方面我们将不断开拓国际间的交流与学习，在条件成熟时努力实现国内师生交流访学、国际师生交流访学的机制。</w:t>
      </w:r>
    </w:p>
    <w:p>
      <w:pPr>
        <w:pStyle w:val="6"/>
        <w:ind w:firstLine="480"/>
      </w:pPr>
      <w:r>
        <w:t>（三）开拓政校培养机制</w:t>
      </w:r>
    </w:p>
    <w:p>
      <w:pPr>
        <w:ind w:firstLine="480"/>
        <w:rPr>
          <w:kern w:val="0"/>
          <w:szCs w:val="24"/>
        </w:rPr>
      </w:pPr>
      <w:r>
        <w:rPr>
          <w:kern w:val="0"/>
          <w:szCs w:val="24"/>
        </w:rPr>
        <w:t>城市管理专业人才培养离不开实践教学的开展。目前的实践教学主要集中在大三的教学实习与大四的毕业实习方面。城市管理专业师生到实践教学基地（主要是政府相关部门）实习，获益匪浅。但是存在着实习时间短，实习内容专业性不强的特点。未来，我们继续优化培养方案，适当增加实习机会和时间。并积极主动到政府相关部门交流学习，特别要调查政府相关实践基地需要具备什么素质的专业人才。并沟通实习期间的具体工作问题，期望让学生在实习中有机会参与更多的政府事务性工作。最后，还要多多聘请政府相关领导走进学生课题，与学生交流提高。</w:t>
      </w:r>
    </w:p>
    <w:p>
      <w:pPr>
        <w:pStyle w:val="6"/>
        <w:ind w:firstLine="480"/>
      </w:pPr>
      <w:bookmarkStart w:id="564" w:name="_Toc503627870"/>
      <w:r>
        <w:t>（四）专业与行业相结合</w:t>
      </w:r>
      <w:bookmarkEnd w:id="564"/>
    </w:p>
    <w:p>
      <w:pPr>
        <w:ind w:firstLine="480"/>
        <w:rPr>
          <w:kern w:val="0"/>
          <w:szCs w:val="24"/>
        </w:rPr>
      </w:pPr>
      <w:r>
        <w:rPr>
          <w:kern w:val="0"/>
          <w:szCs w:val="24"/>
        </w:rPr>
        <w:t>加强就业实习基地建设是毕业生增强自身就业力的必然要求，也是拓展毕业生就业渠道的有效途径。本专业积极联系，建设专业实践基地，为毕业生在正式进入工作岗位之前提供了实践机会。同时，通过实习基地的建设，毕业生可以与用人单位有相互了解的过程，有效提高就业成功率。此外，实践基地的建设使我专业与用人单位增强互动，通过毕业生在实践基地的表现，我专业可以发现教学中的不足，从而在今后寻求改进，更好的打造更适合社会需求的人才。</w:t>
      </w:r>
    </w:p>
    <w:p>
      <w:pPr>
        <w:ind w:firstLine="480"/>
        <w:rPr>
          <w:kern w:val="0"/>
          <w:szCs w:val="24"/>
        </w:rPr>
      </w:pPr>
      <w:r>
        <w:rPr>
          <w:kern w:val="0"/>
          <w:szCs w:val="24"/>
        </w:rPr>
        <w:t>积极</w:t>
      </w:r>
      <w:r>
        <w:rPr>
          <w:rFonts w:hint="eastAsia"/>
          <w:kern w:val="0"/>
          <w:szCs w:val="24"/>
        </w:rPr>
        <w:t>“</w:t>
      </w:r>
      <w:r>
        <w:rPr>
          <w:kern w:val="0"/>
          <w:szCs w:val="24"/>
        </w:rPr>
        <w:t>走出去</w:t>
      </w:r>
      <w:r>
        <w:rPr>
          <w:rFonts w:hint="eastAsia"/>
          <w:kern w:val="0"/>
          <w:szCs w:val="24"/>
        </w:rPr>
        <w:t>”</w:t>
      </w:r>
      <w:r>
        <w:rPr>
          <w:kern w:val="0"/>
          <w:szCs w:val="24"/>
        </w:rPr>
        <w:t>与多家单位建立友好合作关系，为我专业毕业生实习提供充足的需求，我专业建立的就业实践基地有：东平县政府（人力资源保障局）、德州临颍县兴隆镇政府、山东绿灯行只会电子科技有限公司、史丹利化肥股份有限公司、泰安市城市管理行政执法局、岱岳区大汶口镇政府、泰安市档案局、泰安市旅游局等涉及多个领域，以最大程度实现专业与行业的结合。</w:t>
      </w:r>
    </w:p>
    <w:p>
      <w:pPr>
        <w:pStyle w:val="6"/>
        <w:ind w:firstLine="480"/>
      </w:pPr>
      <w:r>
        <w:t>（五）进一步完善就业指导服务, 大力开展职业生涯教育</w:t>
      </w:r>
    </w:p>
    <w:p>
      <w:pPr>
        <w:ind w:firstLine="480"/>
        <w:rPr>
          <w:kern w:val="0"/>
          <w:szCs w:val="24"/>
        </w:rPr>
      </w:pPr>
      <w:r>
        <w:rPr>
          <w:kern w:val="0"/>
          <w:szCs w:val="24"/>
        </w:rPr>
        <w:t>将专业教育和职业生涯规划教育相结合，将就业指导引入教学具体内容和过程中去，使就业工作开展真正贴近学生需求, 使就业指导工作走上科学化的道路。</w:t>
      </w:r>
    </w:p>
    <w:p>
      <w:pPr>
        <w:ind w:firstLine="480"/>
        <w:rPr>
          <w:kern w:val="0"/>
          <w:szCs w:val="24"/>
        </w:rPr>
      </w:pPr>
      <w:r>
        <w:rPr>
          <w:kern w:val="0"/>
          <w:szCs w:val="24"/>
        </w:rPr>
        <w:br w:type="page"/>
      </w:r>
    </w:p>
    <w:p>
      <w:pPr>
        <w:pStyle w:val="4"/>
        <w:ind w:firstLine="600"/>
      </w:pPr>
      <w:bookmarkStart w:id="565" w:name="_Toc7552"/>
      <w:r>
        <w:rPr>
          <w:rFonts w:hint="eastAsia"/>
          <w:lang w:val="en-US"/>
        </w:rPr>
        <w:t>专业五十九：</w:t>
      </w:r>
      <w:r>
        <w:rPr>
          <w:lang w:val="en-US"/>
        </w:rPr>
        <w:t>土木工程</w:t>
      </w:r>
      <w:r>
        <w:t>专业</w:t>
      </w:r>
      <w:bookmarkEnd w:id="565"/>
    </w:p>
    <w:p>
      <w:pPr>
        <w:pStyle w:val="5"/>
        <w:spacing w:before="93" w:after="93"/>
        <w:ind w:firstLine="560"/>
      </w:pPr>
      <w:r>
        <w:t>一、培养目标</w:t>
      </w:r>
    </w:p>
    <w:p>
      <w:pPr>
        <w:pStyle w:val="31"/>
        <w:spacing w:line="400" w:lineRule="exact"/>
        <w:ind w:firstLine="560"/>
        <w:rPr>
          <w:color w:val="000000"/>
          <w:szCs w:val="24"/>
        </w:rPr>
      </w:pPr>
      <w:r>
        <w:rPr>
          <w:color w:val="000000"/>
          <w:szCs w:val="24"/>
        </w:rPr>
        <w:t>本专业培养具有社会主义核心价值观，适应未来社会经济和基础设施建设领域发展需要，具备健全人格和健康身心，具有社会责任感和职业道德素养，良好的科学文化素养和创新意识，自主的学习能力和团队合作精神，扎实的土木工程基础理论和宽广的专业知识，熟悉现代土木工程技术工具，能从事</w:t>
      </w:r>
      <w:r>
        <w:rPr>
          <w:color w:val="000000"/>
          <w:kern w:val="0"/>
          <w:szCs w:val="24"/>
        </w:rPr>
        <w:t>土木工程项目的规划、设计、咨询、施工管理</w:t>
      </w:r>
      <w:r>
        <w:rPr>
          <w:color w:val="000000"/>
          <w:szCs w:val="24"/>
        </w:rPr>
        <w:t>及科学研究等方面工作的应用型创新型高级技术人才。毕业生毕业后经过5年左右的工作实践，具备解决土木工程项目复杂工程问题的能力，达到工程师执业要求。</w:t>
      </w:r>
    </w:p>
    <w:p>
      <w:pPr>
        <w:pStyle w:val="6"/>
        <w:ind w:firstLine="480"/>
      </w:pPr>
      <w:r>
        <w:t>培养目标可分解为如下四个子目标：</w:t>
      </w:r>
    </w:p>
    <w:p>
      <w:pPr>
        <w:autoSpaceDE w:val="0"/>
        <w:autoSpaceDN w:val="0"/>
        <w:adjustRightInd w:val="0"/>
        <w:ind w:firstLine="480" w:firstLineChars="200"/>
        <w:rPr>
          <w:kern w:val="0"/>
          <w:szCs w:val="24"/>
        </w:rPr>
      </w:pPr>
      <w:r>
        <w:rPr>
          <w:kern w:val="0"/>
          <w:szCs w:val="24"/>
        </w:rPr>
        <w:t xml:space="preserve">（1）具备人文科学和自然科学基础、外语、计算机应用能力； </w:t>
      </w:r>
    </w:p>
    <w:p>
      <w:pPr>
        <w:autoSpaceDE w:val="0"/>
        <w:autoSpaceDN w:val="0"/>
        <w:adjustRightInd w:val="0"/>
        <w:ind w:firstLine="480" w:firstLineChars="200"/>
        <w:rPr>
          <w:kern w:val="0"/>
          <w:szCs w:val="24"/>
        </w:rPr>
      </w:pPr>
      <w:r>
        <w:rPr>
          <w:kern w:val="0"/>
          <w:szCs w:val="24"/>
        </w:rPr>
        <w:t>（2）具备自主学习能力、创新能力、团队协作能力、组织领导能力和社会责任感；</w:t>
      </w:r>
    </w:p>
    <w:p>
      <w:pPr>
        <w:autoSpaceDE w:val="0"/>
        <w:autoSpaceDN w:val="0"/>
        <w:adjustRightInd w:val="0"/>
        <w:ind w:firstLine="480" w:firstLineChars="200"/>
        <w:rPr>
          <w:kern w:val="0"/>
          <w:szCs w:val="24"/>
        </w:rPr>
      </w:pPr>
      <w:r>
        <w:rPr>
          <w:kern w:val="0"/>
          <w:szCs w:val="24"/>
        </w:rPr>
        <w:t xml:space="preserve">（3）熟悉国内外土木工程发展现状、趋势，能够运用专业知识和技术规范（规程），分析并解决土木工程较复杂工程问题； </w:t>
      </w:r>
    </w:p>
    <w:p>
      <w:pPr>
        <w:autoSpaceDE w:val="0"/>
        <w:autoSpaceDN w:val="0"/>
        <w:adjustRightInd w:val="0"/>
        <w:ind w:firstLine="480" w:firstLineChars="200"/>
        <w:rPr>
          <w:kern w:val="0"/>
          <w:szCs w:val="24"/>
        </w:rPr>
      </w:pPr>
      <w:r>
        <w:rPr>
          <w:kern w:val="0"/>
          <w:szCs w:val="24"/>
        </w:rPr>
        <w:t>（4）能在建设、市政、交通、水利等部门从事建筑、道路桥梁、市政工程、水工建筑物等项目的工程勘测、规划、设计、咨询、施工管理及科学研究等方面工作。</w:t>
      </w:r>
    </w:p>
    <w:p>
      <w:pPr>
        <w:pStyle w:val="5"/>
        <w:spacing w:before="93" w:after="93"/>
        <w:ind w:firstLine="560"/>
      </w:pPr>
      <w:r>
        <w:t>二、培养能力（培养要求、学位与学制、课程设置、主要实践性教学环节、学分分配等）</w:t>
      </w:r>
    </w:p>
    <w:p>
      <w:pPr>
        <w:pStyle w:val="6"/>
        <w:ind w:firstLine="480"/>
      </w:pPr>
      <w:r>
        <w:t>培养要求：</w:t>
      </w:r>
    </w:p>
    <w:p>
      <w:pPr>
        <w:autoSpaceDE w:val="0"/>
        <w:autoSpaceDN w:val="0"/>
        <w:adjustRightInd w:val="0"/>
        <w:ind w:firstLine="480" w:firstLineChars="200"/>
        <w:rPr>
          <w:kern w:val="0"/>
          <w:szCs w:val="24"/>
        </w:rPr>
      </w:pPr>
      <w:r>
        <w:rPr>
          <w:kern w:val="0"/>
          <w:szCs w:val="24"/>
        </w:rPr>
        <w:t>1</w:t>
      </w:r>
      <w:r>
        <w:rPr>
          <w:rFonts w:hint="eastAsia"/>
          <w:kern w:val="0"/>
          <w:szCs w:val="24"/>
          <w:lang w:eastAsia="zh-CN"/>
        </w:rPr>
        <w:t>.</w:t>
      </w:r>
      <w:r>
        <w:rPr>
          <w:kern w:val="0"/>
          <w:szCs w:val="24"/>
        </w:rPr>
        <w:t>工程知识：能够将数学、自然科学、工程基础和专业知识用于解决土木工程专业的复杂工程问题。</w:t>
      </w:r>
    </w:p>
    <w:p>
      <w:pPr>
        <w:autoSpaceDE w:val="0"/>
        <w:autoSpaceDN w:val="0"/>
        <w:adjustRightInd w:val="0"/>
        <w:ind w:firstLine="480" w:firstLineChars="200"/>
        <w:rPr>
          <w:kern w:val="0"/>
          <w:szCs w:val="24"/>
        </w:rPr>
      </w:pPr>
      <w:r>
        <w:rPr>
          <w:kern w:val="0"/>
          <w:szCs w:val="24"/>
        </w:rPr>
        <w:t>2</w:t>
      </w:r>
      <w:r>
        <w:rPr>
          <w:rFonts w:hint="eastAsia"/>
          <w:kern w:val="0"/>
          <w:szCs w:val="24"/>
          <w:lang w:eastAsia="zh-CN"/>
        </w:rPr>
        <w:t>.</w:t>
      </w:r>
      <w:r>
        <w:rPr>
          <w:kern w:val="0"/>
          <w:szCs w:val="24"/>
        </w:rPr>
        <w:t>问题分析：能够应用数学、自然科学和工程科学的基本原理，识别、表达并通过文献研究分析土木工程专业的具体工程问题，以获得有效结论。</w:t>
      </w:r>
    </w:p>
    <w:p>
      <w:pPr>
        <w:autoSpaceDE w:val="0"/>
        <w:autoSpaceDN w:val="0"/>
        <w:adjustRightInd w:val="0"/>
        <w:ind w:firstLine="480" w:firstLineChars="200"/>
        <w:rPr>
          <w:kern w:val="0"/>
          <w:szCs w:val="24"/>
        </w:rPr>
      </w:pPr>
      <w:r>
        <w:rPr>
          <w:kern w:val="0"/>
          <w:szCs w:val="24"/>
        </w:rPr>
        <w:t>3</w:t>
      </w:r>
      <w:r>
        <w:rPr>
          <w:rFonts w:hint="eastAsia"/>
          <w:kern w:val="0"/>
          <w:szCs w:val="24"/>
          <w:lang w:eastAsia="zh-CN"/>
        </w:rPr>
        <w:t>.</w:t>
      </w:r>
      <w:r>
        <w:rPr>
          <w:kern w:val="0"/>
          <w:szCs w:val="24"/>
        </w:rPr>
        <w:t>设计（开发）解决方案：能够设计（开发）满足土木工程特定需求的体系、结构、构件或者施工方案，并在设计环节中考虑社会、健康、安全、法律、文化以及环境因素，并具有创新意识。</w:t>
      </w:r>
    </w:p>
    <w:p>
      <w:pPr>
        <w:autoSpaceDE w:val="0"/>
        <w:autoSpaceDN w:val="0"/>
        <w:adjustRightInd w:val="0"/>
        <w:ind w:firstLine="480" w:firstLineChars="200"/>
        <w:rPr>
          <w:kern w:val="0"/>
          <w:szCs w:val="24"/>
        </w:rPr>
      </w:pPr>
      <w:r>
        <w:rPr>
          <w:kern w:val="0"/>
          <w:szCs w:val="24"/>
        </w:rPr>
        <w:t>4</w:t>
      </w:r>
      <w:r>
        <w:rPr>
          <w:rFonts w:hint="eastAsia"/>
          <w:kern w:val="0"/>
          <w:szCs w:val="24"/>
          <w:lang w:eastAsia="zh-CN"/>
        </w:rPr>
        <w:t>.</w:t>
      </w:r>
      <w:r>
        <w:rPr>
          <w:kern w:val="0"/>
          <w:szCs w:val="24"/>
        </w:rPr>
        <w:t>研究：能够基于科学原理、采用科学方法对具体工程问题进行研究，包括设计实验、收集、处理、分析与解释数据，通过信息综合得到合理有效结论。</w:t>
      </w:r>
    </w:p>
    <w:p>
      <w:pPr>
        <w:autoSpaceDE w:val="0"/>
        <w:autoSpaceDN w:val="0"/>
        <w:adjustRightInd w:val="0"/>
        <w:ind w:firstLine="480" w:firstLineChars="200"/>
        <w:rPr>
          <w:kern w:val="0"/>
          <w:szCs w:val="24"/>
        </w:rPr>
      </w:pPr>
      <w:r>
        <w:rPr>
          <w:kern w:val="0"/>
          <w:szCs w:val="24"/>
        </w:rPr>
        <w:t>5</w:t>
      </w:r>
      <w:r>
        <w:rPr>
          <w:rFonts w:hint="eastAsia"/>
          <w:kern w:val="0"/>
          <w:szCs w:val="24"/>
          <w:lang w:eastAsia="zh-CN"/>
        </w:rPr>
        <w:t>.</w:t>
      </w:r>
      <w:r>
        <w:rPr>
          <w:kern w:val="0"/>
          <w:szCs w:val="24"/>
        </w:rPr>
        <w:t>使用现代工具：报告针对具体工程问题，开发、选择与使用恰当的技术、资源、现代工程工具和信息技术工具，包括对具体工程问题的预测与模拟，并能够理解其局限性。</w:t>
      </w:r>
    </w:p>
    <w:p>
      <w:pPr>
        <w:autoSpaceDE w:val="0"/>
        <w:autoSpaceDN w:val="0"/>
        <w:adjustRightInd w:val="0"/>
        <w:ind w:firstLine="480" w:firstLineChars="200"/>
        <w:rPr>
          <w:kern w:val="0"/>
          <w:szCs w:val="24"/>
        </w:rPr>
      </w:pPr>
      <w:r>
        <w:rPr>
          <w:kern w:val="0"/>
          <w:szCs w:val="24"/>
        </w:rPr>
        <w:t>6</w:t>
      </w:r>
      <w:r>
        <w:rPr>
          <w:rFonts w:hint="eastAsia"/>
          <w:kern w:val="0"/>
          <w:szCs w:val="24"/>
          <w:lang w:eastAsia="zh-CN"/>
        </w:rPr>
        <w:t>.</w:t>
      </w:r>
      <w:r>
        <w:rPr>
          <w:kern w:val="0"/>
          <w:szCs w:val="24"/>
        </w:rPr>
        <w:t>工程与社会：能够基于土木工程相关背景知识和标准，评价土木工程项目的设计、施工和运行的方案，包括其对社会、健康、安全、法律及文化的影响，并理解土木工程师应承担的责任。</w:t>
      </w:r>
    </w:p>
    <w:p>
      <w:pPr>
        <w:autoSpaceDE w:val="0"/>
        <w:autoSpaceDN w:val="0"/>
        <w:adjustRightInd w:val="0"/>
        <w:ind w:firstLine="480" w:firstLineChars="200"/>
        <w:rPr>
          <w:kern w:val="0"/>
          <w:szCs w:val="24"/>
        </w:rPr>
      </w:pPr>
      <w:r>
        <w:rPr>
          <w:kern w:val="0"/>
          <w:szCs w:val="24"/>
        </w:rPr>
        <w:t>7</w:t>
      </w:r>
      <w:r>
        <w:rPr>
          <w:rFonts w:hint="eastAsia"/>
          <w:kern w:val="0"/>
          <w:szCs w:val="24"/>
          <w:lang w:eastAsia="zh-CN"/>
        </w:rPr>
        <w:t>.</w:t>
      </w:r>
      <w:r>
        <w:rPr>
          <w:kern w:val="0"/>
          <w:szCs w:val="24"/>
        </w:rPr>
        <w:t>环境和可持续发展：能够理解和评价土木工程实践对环境和社会可持续发展的影响。</w:t>
      </w:r>
    </w:p>
    <w:p>
      <w:pPr>
        <w:autoSpaceDE w:val="0"/>
        <w:autoSpaceDN w:val="0"/>
        <w:adjustRightInd w:val="0"/>
        <w:ind w:firstLine="480" w:firstLineChars="200"/>
        <w:rPr>
          <w:kern w:val="0"/>
          <w:szCs w:val="24"/>
        </w:rPr>
      </w:pPr>
      <w:r>
        <w:rPr>
          <w:kern w:val="0"/>
          <w:szCs w:val="24"/>
        </w:rPr>
        <w:t>8</w:t>
      </w:r>
      <w:r>
        <w:rPr>
          <w:rFonts w:hint="eastAsia"/>
          <w:kern w:val="0"/>
          <w:szCs w:val="24"/>
          <w:lang w:eastAsia="zh-CN"/>
        </w:rPr>
        <w:t>.</w:t>
      </w:r>
      <w:r>
        <w:rPr>
          <w:kern w:val="0"/>
          <w:szCs w:val="24"/>
        </w:rPr>
        <w:t>职业规范：了解中国国情、具有人文社会科学素养、社会责任感，能够在工程实践中理解并遵守工程职业道德和行为规范，做到责任担当、贡献国家、服务社会。</w:t>
      </w:r>
    </w:p>
    <w:p>
      <w:pPr>
        <w:autoSpaceDE w:val="0"/>
        <w:autoSpaceDN w:val="0"/>
        <w:adjustRightInd w:val="0"/>
        <w:ind w:firstLine="480" w:firstLineChars="200"/>
        <w:rPr>
          <w:kern w:val="0"/>
          <w:szCs w:val="24"/>
        </w:rPr>
      </w:pPr>
      <w:r>
        <w:rPr>
          <w:kern w:val="0"/>
          <w:szCs w:val="24"/>
        </w:rPr>
        <w:t>9</w:t>
      </w:r>
      <w:r>
        <w:rPr>
          <w:rFonts w:hint="eastAsia"/>
          <w:kern w:val="0"/>
          <w:szCs w:val="24"/>
          <w:lang w:eastAsia="zh-CN"/>
        </w:rPr>
        <w:t>.</w:t>
      </w:r>
      <w:r>
        <w:rPr>
          <w:kern w:val="0"/>
          <w:szCs w:val="24"/>
        </w:rPr>
        <w:t>个人和团队：在解决土木工程专业的具体工程问题时，能够在多学科组成的团队中明晰自己的角色担当，具有良好的团队合作意识和协作精神。</w:t>
      </w:r>
    </w:p>
    <w:p>
      <w:pPr>
        <w:autoSpaceDE w:val="0"/>
        <w:autoSpaceDN w:val="0"/>
        <w:adjustRightInd w:val="0"/>
        <w:ind w:firstLine="480" w:firstLineChars="200"/>
        <w:rPr>
          <w:kern w:val="0"/>
          <w:szCs w:val="24"/>
        </w:rPr>
      </w:pPr>
      <w:r>
        <w:rPr>
          <w:kern w:val="0"/>
          <w:szCs w:val="24"/>
        </w:rPr>
        <w:t>10</w:t>
      </w:r>
      <w:r>
        <w:rPr>
          <w:rFonts w:hint="eastAsia"/>
          <w:kern w:val="0"/>
          <w:szCs w:val="24"/>
          <w:lang w:eastAsia="zh-CN"/>
        </w:rPr>
        <w:t>.</w:t>
      </w:r>
      <w:r>
        <w:rPr>
          <w:kern w:val="0"/>
          <w:szCs w:val="24"/>
        </w:rPr>
        <w:t>沟通表达：能够就具体工程问题与业界同行及社会公众进行有效沟通交流，包括撰写报告和设计文稿、陈述发言、表达或回应指令。具备一定的国际视野，能够在跨文化背景下进行沟通和交流。</w:t>
      </w:r>
    </w:p>
    <w:p>
      <w:pPr>
        <w:autoSpaceDE w:val="0"/>
        <w:autoSpaceDN w:val="0"/>
        <w:adjustRightInd w:val="0"/>
        <w:ind w:firstLine="480" w:firstLineChars="200"/>
        <w:rPr>
          <w:kern w:val="0"/>
          <w:szCs w:val="24"/>
        </w:rPr>
      </w:pPr>
      <w:r>
        <w:rPr>
          <w:kern w:val="0"/>
          <w:szCs w:val="24"/>
        </w:rPr>
        <w:t>11</w:t>
      </w:r>
      <w:r>
        <w:rPr>
          <w:rFonts w:hint="eastAsia"/>
          <w:kern w:val="0"/>
          <w:szCs w:val="24"/>
          <w:lang w:eastAsia="zh-CN"/>
        </w:rPr>
        <w:t>.</w:t>
      </w:r>
      <w:r>
        <w:rPr>
          <w:kern w:val="0"/>
          <w:szCs w:val="24"/>
        </w:rPr>
        <w:t>项目管理：面对具体工程项目，能理解应用工程管理原理与经济决策方法，并具有一定的组织、管理和领导能力。</w:t>
      </w:r>
    </w:p>
    <w:p>
      <w:pPr>
        <w:autoSpaceDE w:val="0"/>
        <w:autoSpaceDN w:val="0"/>
        <w:adjustRightInd w:val="0"/>
        <w:ind w:firstLine="480" w:firstLineChars="200"/>
        <w:rPr>
          <w:kern w:val="0"/>
          <w:szCs w:val="24"/>
        </w:rPr>
      </w:pPr>
      <w:r>
        <w:rPr>
          <w:kern w:val="0"/>
          <w:szCs w:val="24"/>
        </w:rPr>
        <w:t>12</w:t>
      </w:r>
      <w:r>
        <w:rPr>
          <w:rFonts w:hint="eastAsia"/>
          <w:kern w:val="0"/>
          <w:szCs w:val="24"/>
          <w:lang w:eastAsia="zh-CN"/>
        </w:rPr>
        <w:t>.</w:t>
      </w:r>
      <w:r>
        <w:rPr>
          <w:kern w:val="0"/>
          <w:szCs w:val="24"/>
        </w:rPr>
        <w:t>终身学习：具有自主学习和终身学习的意识，具有提高自主学习和适应土木工程新发展的能力。</w:t>
      </w:r>
    </w:p>
    <w:p>
      <w:pPr>
        <w:autoSpaceDE w:val="0"/>
        <w:autoSpaceDN w:val="0"/>
        <w:adjustRightInd w:val="0"/>
        <w:ind w:firstLine="480" w:firstLineChars="200"/>
        <w:rPr>
          <w:b/>
          <w:bCs/>
          <w:kern w:val="0"/>
          <w:szCs w:val="24"/>
        </w:rPr>
      </w:pPr>
      <w:r>
        <w:rPr>
          <w:rFonts w:eastAsia="黑体"/>
          <w:kern w:val="0"/>
          <w:szCs w:val="20"/>
        </w:rPr>
        <w:t>授予学位</w:t>
      </w:r>
      <w:r>
        <w:rPr>
          <w:b/>
          <w:bCs/>
          <w:kern w:val="0"/>
          <w:szCs w:val="24"/>
        </w:rPr>
        <w:t>：</w:t>
      </w:r>
      <w:r>
        <w:rPr>
          <w:kern w:val="0"/>
          <w:szCs w:val="24"/>
        </w:rPr>
        <w:t>工学学士</w:t>
      </w:r>
    </w:p>
    <w:p>
      <w:pPr>
        <w:autoSpaceDE w:val="0"/>
        <w:autoSpaceDN w:val="0"/>
        <w:adjustRightInd w:val="0"/>
        <w:ind w:firstLine="480" w:firstLineChars="200"/>
        <w:rPr>
          <w:b/>
          <w:bCs/>
          <w:kern w:val="0"/>
          <w:szCs w:val="24"/>
        </w:rPr>
      </w:pPr>
      <w:r>
        <w:rPr>
          <w:rFonts w:eastAsia="黑体"/>
          <w:kern w:val="0"/>
          <w:szCs w:val="20"/>
        </w:rPr>
        <w:t>学制：</w:t>
      </w:r>
      <w:r>
        <w:rPr>
          <w:kern w:val="0"/>
          <w:szCs w:val="24"/>
        </w:rPr>
        <w:t>4年</w:t>
      </w:r>
    </w:p>
    <w:p>
      <w:pPr>
        <w:pStyle w:val="6"/>
        <w:ind w:firstLine="480"/>
      </w:pPr>
      <w:r>
        <w:t>课程设置：</w:t>
      </w:r>
    </w:p>
    <w:p>
      <w:pPr>
        <w:autoSpaceDE w:val="0"/>
        <w:autoSpaceDN w:val="0"/>
        <w:adjustRightInd w:val="0"/>
        <w:ind w:firstLine="480" w:firstLineChars="200"/>
        <w:rPr>
          <w:kern w:val="0"/>
          <w:szCs w:val="24"/>
        </w:rPr>
      </w:pPr>
      <w:r>
        <w:rPr>
          <w:kern w:val="0"/>
          <w:szCs w:val="24"/>
        </w:rPr>
        <w:t>主干学科：</w:t>
      </w:r>
      <w:r>
        <w:rPr>
          <w:color w:val="000000"/>
          <w:szCs w:val="24"/>
        </w:rPr>
        <w:t>土木工程</w:t>
      </w:r>
    </w:p>
    <w:p>
      <w:pPr>
        <w:autoSpaceDE w:val="0"/>
        <w:autoSpaceDN w:val="0"/>
        <w:adjustRightInd w:val="0"/>
        <w:ind w:firstLine="480" w:firstLineChars="200"/>
        <w:rPr>
          <w:color w:val="000000"/>
          <w:szCs w:val="24"/>
        </w:rPr>
      </w:pPr>
      <w:r>
        <w:rPr>
          <w:kern w:val="0"/>
          <w:szCs w:val="24"/>
        </w:rPr>
        <w:t>核心课程：</w:t>
      </w:r>
      <w:r>
        <w:rPr>
          <w:color w:val="000000"/>
          <w:szCs w:val="24"/>
        </w:rPr>
        <w:t>理论力学、材料力学、结构力学、土力学、流体力学、建筑制图、工程测量、工程地质、工程项目管理、房屋建筑学、建筑材料、混凝土结构、砌体结构、钢结构、基础工程、建筑施工、工程造价。</w:t>
      </w:r>
    </w:p>
    <w:p>
      <w:pPr>
        <w:pStyle w:val="6"/>
        <w:ind w:firstLine="480"/>
      </w:pPr>
      <w:r>
        <w:t>主要实践性教学环节：</w:t>
      </w:r>
    </w:p>
    <w:p>
      <w:pPr>
        <w:autoSpaceDE w:val="0"/>
        <w:autoSpaceDN w:val="0"/>
        <w:adjustRightInd w:val="0"/>
        <w:ind w:firstLine="480" w:firstLineChars="200"/>
        <w:rPr>
          <w:color w:val="000000"/>
          <w:szCs w:val="24"/>
        </w:rPr>
      </w:pPr>
      <w:r>
        <w:rPr>
          <w:color w:val="000000"/>
          <w:szCs w:val="24"/>
        </w:rPr>
        <w:t>土木工程专业认识实习、测绘教学实习、地质实习、建筑材料试验、房屋建筑学课程设计、钢筋混凝土结构课程设计、钢结构课程设计、土木工程施工组织课程设计、土力学试验、结构试验、创新创业实践、生产实习、毕业实习、毕业设计（论文）等。</w:t>
      </w:r>
    </w:p>
    <w:p>
      <w:pPr>
        <w:pStyle w:val="6"/>
        <w:ind w:firstLine="480"/>
      </w:pPr>
      <w:r>
        <w:t>学分分配：</w:t>
      </w:r>
    </w:p>
    <w:p>
      <w:pPr>
        <w:autoSpaceDE w:val="0"/>
        <w:autoSpaceDN w:val="0"/>
        <w:adjustRightInd w:val="0"/>
        <w:ind w:firstLine="480" w:firstLineChars="200"/>
        <w:rPr>
          <w:color w:val="000000"/>
          <w:szCs w:val="24"/>
        </w:rPr>
      </w:pPr>
      <w:r>
        <w:rPr>
          <w:color w:val="000000"/>
          <w:szCs w:val="24"/>
        </w:rPr>
        <w:t>毕业总学分不少于170学分。必修课总学分118.5学分，选修课学分32.5学分，实验学分和实践环节学分（理论课所含的实验实训学分按所占理论课学时进行换算）为50学分，实验学分和实践环节学分占总学分比例29.41%。</w:t>
      </w:r>
    </w:p>
    <w:p>
      <w:pPr>
        <w:pStyle w:val="5"/>
        <w:spacing w:before="93" w:after="93"/>
        <w:ind w:firstLine="560"/>
      </w:pPr>
      <w:r>
        <w:t>三、培养条件（教学经费投入、教学设备、实习基地、现代教学技术应用等）</w:t>
      </w:r>
    </w:p>
    <w:p>
      <w:pPr>
        <w:ind w:firstLine="480" w:firstLineChars="200"/>
      </w:pPr>
      <w:r>
        <w:rPr>
          <w:rFonts w:eastAsia="黑体"/>
          <w:kern w:val="0"/>
          <w:szCs w:val="20"/>
        </w:rPr>
        <w:t>教学经费投入：</w:t>
      </w:r>
      <w:r>
        <w:t>每年学校都投入一定的教学经费，用于购置绘图桌椅、多媒体教学设备以及相应的实验器材。目前教学经费的投入能基本满足专业发展的要求。</w:t>
      </w:r>
    </w:p>
    <w:p>
      <w:pPr>
        <w:ind w:firstLine="480" w:firstLineChars="200"/>
      </w:pPr>
      <w:r>
        <w:rPr>
          <w:rFonts w:eastAsia="黑体"/>
          <w:kern w:val="0"/>
          <w:szCs w:val="20"/>
        </w:rPr>
        <w:t>教学设备：</w:t>
      </w:r>
      <w:r>
        <w:t>先后建立了水利土木工程结构试验大厅、BIM实训室等实验室。为学生从理论到实践在回归到理论搭建了平台。</w:t>
      </w:r>
    </w:p>
    <w:p>
      <w:pPr>
        <w:ind w:firstLine="480" w:firstLineChars="200"/>
      </w:pPr>
      <w:r>
        <w:rPr>
          <w:rFonts w:eastAsia="黑体"/>
          <w:kern w:val="0"/>
          <w:szCs w:val="20"/>
        </w:rPr>
        <w:t>实习基地：</w:t>
      </w:r>
      <w:r>
        <w:t>土木工程专业专业各年级都有不同的实习任务，主要有房屋建筑学认识实习、施工生产实习以及毕业实习。根据以上实习任务，我们建立了相应的实习基地。土木工程专业学生通过各个阶段的实习锻炼，加深了对专业的认识，提高了专业综合素养。</w:t>
      </w:r>
    </w:p>
    <w:p>
      <w:pPr>
        <w:ind w:firstLine="480" w:firstLineChars="200"/>
      </w:pPr>
      <w:r>
        <w:rPr>
          <w:rFonts w:eastAsia="黑体"/>
          <w:kern w:val="0"/>
          <w:szCs w:val="20"/>
        </w:rPr>
        <w:t>现代教学技术应用</w:t>
      </w:r>
      <w:r>
        <w:rPr>
          <w:b/>
          <w:bCs/>
        </w:rPr>
        <w:t>：</w:t>
      </w:r>
      <w:r>
        <w:t>随着教育技术的发展，以多媒体技术和网络技术为核心的信息技术已深入我们的工作。利用多媒体技术来揭示知识的形成及来龙去脉，让学生感到生动、形象、真实（实况录像），便于学生接受。我们积极探索依靠智能网络技术支撑的慕课开发，以满足学生不同时间、不同地点、不同习惯的个性化学习需求，使学生得到一对一的教育服务。</w:t>
      </w:r>
    </w:p>
    <w:p>
      <w:pPr>
        <w:pStyle w:val="5"/>
        <w:spacing w:before="93" w:after="93"/>
        <w:ind w:firstLine="560"/>
      </w:pPr>
      <w:r>
        <w:t>四、培养机制与特色（课程特色、产学研协同育人机制、合作办学、教学管理等）</w:t>
      </w:r>
    </w:p>
    <w:p>
      <w:pPr>
        <w:ind w:firstLine="480" w:firstLineChars="200"/>
        <w:rPr>
          <w:szCs w:val="24"/>
        </w:rPr>
      </w:pPr>
      <w:r>
        <w:rPr>
          <w:rFonts w:eastAsia="黑体"/>
          <w:kern w:val="0"/>
          <w:szCs w:val="20"/>
        </w:rPr>
        <w:t>课程特色：</w:t>
      </w:r>
      <w:r>
        <w:rPr>
          <w:szCs w:val="24"/>
        </w:rPr>
        <w:t>本专业课程体系包括理论课程体系与实践体系。按照</w:t>
      </w:r>
      <w:r>
        <w:rPr>
          <w:rFonts w:hint="eastAsia"/>
          <w:szCs w:val="24"/>
        </w:rPr>
        <w:t>“</w:t>
      </w:r>
      <w:r>
        <w:rPr>
          <w:szCs w:val="24"/>
        </w:rPr>
        <w:t>通识教育</w:t>
      </w:r>
      <w:r>
        <w:rPr>
          <w:rFonts w:hint="eastAsia"/>
          <w:szCs w:val="24"/>
        </w:rPr>
        <w:t>”</w:t>
      </w:r>
      <w:r>
        <w:rPr>
          <w:szCs w:val="24"/>
        </w:rPr>
        <w:t>、</w:t>
      </w:r>
      <w:r>
        <w:rPr>
          <w:rFonts w:hint="eastAsia"/>
          <w:szCs w:val="24"/>
        </w:rPr>
        <w:t>“</w:t>
      </w:r>
      <w:r>
        <w:rPr>
          <w:szCs w:val="24"/>
        </w:rPr>
        <w:t>专业教育</w:t>
      </w:r>
      <w:r>
        <w:rPr>
          <w:rFonts w:hint="eastAsia"/>
          <w:szCs w:val="24"/>
        </w:rPr>
        <w:t>”</w:t>
      </w:r>
      <w:r>
        <w:rPr>
          <w:szCs w:val="24"/>
        </w:rPr>
        <w:t>、</w:t>
      </w:r>
      <w:r>
        <w:rPr>
          <w:rFonts w:hint="eastAsia"/>
          <w:szCs w:val="24"/>
        </w:rPr>
        <w:t>“</w:t>
      </w:r>
      <w:r>
        <w:rPr>
          <w:szCs w:val="24"/>
        </w:rPr>
        <w:t>拓展教育</w:t>
      </w:r>
      <w:r>
        <w:rPr>
          <w:rFonts w:hint="eastAsia"/>
          <w:szCs w:val="24"/>
        </w:rPr>
        <w:t>”</w:t>
      </w:r>
      <w:r>
        <w:rPr>
          <w:szCs w:val="24"/>
        </w:rPr>
        <w:t>、</w:t>
      </w:r>
      <w:r>
        <w:rPr>
          <w:rFonts w:hint="eastAsia"/>
          <w:szCs w:val="24"/>
        </w:rPr>
        <w:t>“</w:t>
      </w:r>
      <w:r>
        <w:rPr>
          <w:szCs w:val="24"/>
        </w:rPr>
        <w:t>实践教学</w:t>
      </w:r>
      <w:r>
        <w:rPr>
          <w:rFonts w:hint="eastAsia"/>
          <w:szCs w:val="24"/>
        </w:rPr>
        <w:t>”</w:t>
      </w:r>
      <w:r>
        <w:rPr>
          <w:szCs w:val="24"/>
        </w:rPr>
        <w:t>4个培养平台（模块）设置课程。其中，实践教学体系包括基础实践、专业实践和综合实践。课程设置主要考虑以下要素：一是山东农业大学教务处通知《关于做好本科人才培养方案修订工作的通知》（山农大校字[2018]31号）中规定的课程及课程比例；二是课程设置能够支撑专业培养目标与培养要求；三是体现我校专业特色。另外，课程设置分必修课程与选修课程。其中在专业方向与拓展教育课中，选修课程又分为</w:t>
      </w:r>
      <w:r>
        <w:rPr>
          <w:rFonts w:hint="eastAsia"/>
          <w:szCs w:val="24"/>
        </w:rPr>
        <w:t>“</w:t>
      </w:r>
      <w:r>
        <w:rPr>
          <w:szCs w:val="24"/>
        </w:rPr>
        <w:t>专业型</w:t>
      </w:r>
      <w:r>
        <w:rPr>
          <w:rFonts w:hint="eastAsia"/>
          <w:szCs w:val="24"/>
        </w:rPr>
        <w:t>”</w:t>
      </w:r>
      <w:r>
        <w:rPr>
          <w:szCs w:val="24"/>
        </w:rPr>
        <w:t>、</w:t>
      </w:r>
      <w:r>
        <w:rPr>
          <w:rFonts w:hint="eastAsia"/>
          <w:szCs w:val="24"/>
        </w:rPr>
        <w:t>“</w:t>
      </w:r>
      <w:r>
        <w:rPr>
          <w:szCs w:val="24"/>
        </w:rPr>
        <w:t>创新型</w:t>
      </w:r>
      <w:r>
        <w:rPr>
          <w:rFonts w:hint="eastAsia"/>
          <w:szCs w:val="24"/>
        </w:rPr>
        <w:t>”</w:t>
      </w:r>
      <w:r>
        <w:rPr>
          <w:szCs w:val="24"/>
        </w:rPr>
        <w:t>两种类型。</w:t>
      </w:r>
      <w:r>
        <w:rPr>
          <w:rFonts w:hint="eastAsia"/>
          <w:szCs w:val="24"/>
        </w:rPr>
        <w:t>“</w:t>
      </w:r>
      <w:r>
        <w:rPr>
          <w:szCs w:val="24"/>
        </w:rPr>
        <w:t>专业型</w:t>
      </w:r>
      <w:r>
        <w:rPr>
          <w:rFonts w:hint="eastAsia"/>
          <w:szCs w:val="24"/>
        </w:rPr>
        <w:t>”</w:t>
      </w:r>
      <w:r>
        <w:rPr>
          <w:szCs w:val="24"/>
        </w:rPr>
        <w:t>选修课程是为专业内容、方向拓展而设置的选修课程；</w:t>
      </w:r>
      <w:r>
        <w:rPr>
          <w:rFonts w:hint="eastAsia"/>
          <w:szCs w:val="24"/>
        </w:rPr>
        <w:t>“</w:t>
      </w:r>
      <w:r>
        <w:rPr>
          <w:szCs w:val="24"/>
        </w:rPr>
        <w:t>创新型</w:t>
      </w:r>
      <w:r>
        <w:rPr>
          <w:rFonts w:hint="eastAsia"/>
          <w:szCs w:val="24"/>
        </w:rPr>
        <w:t>”</w:t>
      </w:r>
      <w:r>
        <w:rPr>
          <w:szCs w:val="24"/>
        </w:rPr>
        <w:t>选修课程是为深入专业研究而设置的拓展课程。为了使课程能够支撑培养要求与培养目标，对某些选修课程做了限制，若某课程为二者兼有的选修课程（同时标注为</w:t>
      </w:r>
      <w:r>
        <w:rPr>
          <w:rFonts w:hint="eastAsia"/>
          <w:szCs w:val="24"/>
        </w:rPr>
        <w:t>“</w:t>
      </w:r>
      <w:r>
        <w:rPr>
          <w:szCs w:val="24"/>
        </w:rPr>
        <w:t>专业型</w:t>
      </w:r>
      <w:r>
        <w:rPr>
          <w:rFonts w:hint="eastAsia"/>
          <w:szCs w:val="24"/>
        </w:rPr>
        <w:t>”</w:t>
      </w:r>
      <w:r>
        <w:rPr>
          <w:szCs w:val="24"/>
        </w:rPr>
        <w:t>与</w:t>
      </w:r>
      <w:r>
        <w:rPr>
          <w:rFonts w:hint="eastAsia"/>
          <w:szCs w:val="24"/>
        </w:rPr>
        <w:t>“</w:t>
      </w:r>
      <w:r>
        <w:rPr>
          <w:szCs w:val="24"/>
        </w:rPr>
        <w:t>创新型</w:t>
      </w:r>
      <w:r>
        <w:rPr>
          <w:rFonts w:hint="eastAsia"/>
          <w:szCs w:val="24"/>
        </w:rPr>
        <w:t>”</w:t>
      </w:r>
      <w:r>
        <w:rPr>
          <w:szCs w:val="24"/>
        </w:rPr>
        <w:t>课程），这类课程为限选课程，也即必须选修的课程。</w:t>
      </w:r>
    </w:p>
    <w:p>
      <w:pPr>
        <w:ind w:firstLine="480" w:firstLineChars="200"/>
      </w:pPr>
      <w:r>
        <w:rPr>
          <w:rFonts w:eastAsia="黑体"/>
          <w:kern w:val="0"/>
          <w:szCs w:val="20"/>
        </w:rPr>
        <w:t>产学研协同育人机制：</w:t>
      </w:r>
      <w:r>
        <w:t>土木工程专业是实践性很强的学科，担负着为国家输送建设人才的重任。为了培养学生的业务实践能力，土木工程专业坚持以生产实践带动学生专业学习兴趣，以科学研究促进专业创新能力。目前，土木工程专业的本科生以工作室为实践的平台，在生产中提高自身专业素养和业务水平。同时，由专业教师指导学生积极投身到课题申请以及科学研究中，使得学生在本科期间就能参与科学研究工作，指导本科生撰写并发表专业学术论文数篇，为培养土木工程高级人才奠定了良好的基础。</w:t>
      </w:r>
    </w:p>
    <w:p>
      <w:pPr>
        <w:ind w:firstLine="480" w:firstLineChars="200"/>
      </w:pPr>
      <w:r>
        <w:rPr>
          <w:rFonts w:eastAsia="黑体"/>
          <w:kern w:val="0"/>
          <w:szCs w:val="20"/>
        </w:rPr>
        <w:t>合作办学：</w:t>
      </w:r>
      <w:r>
        <w:t xml:space="preserve">土木工程专业自成立以来，先后和多家用人单位建立了合作伙伴关系。相关单位会定期和土木工程专业学生进行学术交流，实现信息的共享，土木工程专业根据社会对于人才发展的要求及时调整人才培养方案。同时，多家用人单位为我专业学生提供了业务实习的岗位，是提高学生综合素质的有力保障。  </w:t>
      </w:r>
    </w:p>
    <w:p>
      <w:pPr>
        <w:ind w:firstLine="480" w:firstLineChars="200"/>
      </w:pPr>
      <w:r>
        <w:rPr>
          <w:rFonts w:eastAsia="黑体"/>
          <w:kern w:val="0"/>
          <w:szCs w:val="20"/>
        </w:rPr>
        <w:t>教学管理：</w:t>
      </w:r>
      <w:r>
        <w:t>土木工程专业经过多年的建设，摸索出一条以班主任为管理核心，专业课教师为辅助的管理模式。同时，我们还实行了</w:t>
      </w:r>
      <w:r>
        <w:rPr>
          <w:rFonts w:hint="eastAsia"/>
        </w:rPr>
        <w:t>“</w:t>
      </w:r>
      <w:r>
        <w:t>学业导师制</w:t>
      </w:r>
      <w:r>
        <w:rPr>
          <w:rFonts w:hint="eastAsia"/>
        </w:rPr>
        <w:t>”</w:t>
      </w:r>
      <w:r>
        <w:t>，每个导师组有一位专业课教师和多名不同年级的学生组成。这样可以实现上下年级</w:t>
      </w:r>
      <w:r>
        <w:rPr>
          <w:rFonts w:hint="eastAsia"/>
        </w:rPr>
        <w:t>“</w:t>
      </w:r>
      <w:r>
        <w:t>传帮带</w:t>
      </w:r>
      <w:r>
        <w:rPr>
          <w:rFonts w:hint="eastAsia"/>
        </w:rPr>
        <w:t>”</w:t>
      </w:r>
      <w:r>
        <w:t>的教学管理模式，保证了对每一位同学都能给予足够的关注，保障了教学质量，促使学生在学习、生活、心理都能全方面健康发展。另外，土木工程专业积极进行教学改革与实践，努力探索复合应用型专业人才培养新模式。开展水土学院土木类</w:t>
      </w:r>
      <w:r>
        <w:rPr>
          <w:rFonts w:hint="eastAsia"/>
        </w:rPr>
        <w:t>“</w:t>
      </w:r>
      <w:r>
        <w:t>多专业联合毕业设计</w:t>
      </w:r>
      <w:r>
        <w:rPr>
          <w:rFonts w:hint="eastAsia"/>
        </w:rPr>
        <w:t>”</w:t>
      </w:r>
      <w:r>
        <w:t>，对毕业设计教学环节进行了较大力度的改革与创新。</w:t>
      </w:r>
      <w:r>
        <w:rPr>
          <w:rFonts w:hint="eastAsia"/>
        </w:rPr>
        <w:t>“</w:t>
      </w:r>
      <w:r>
        <w:t>多专业联合毕业设计</w:t>
      </w:r>
      <w:r>
        <w:rPr>
          <w:rFonts w:hint="eastAsia"/>
        </w:rPr>
        <w:t>”</w:t>
      </w:r>
      <w:r>
        <w:t>由学院、系、指导教师、毕业生四级单位构成了如同设计院项目运作模式的教学实践平台，让学生认识到了工程项目的综合性与复杂性，意识到团队协作的重要，锻炼了相近专业学生的专业协同能力。培养了毕业生的工程素质，有效提高了工程教育人才培养的质量。通过联合毕业设计，加强了相近专业的交流与合作，实现了毕业设计教学模式的创新与整体优化，取得了良好的教学效果。</w:t>
      </w:r>
    </w:p>
    <w:p>
      <w:pPr>
        <w:pStyle w:val="5"/>
        <w:spacing w:before="93" w:after="93"/>
        <w:ind w:firstLine="560"/>
      </w:pPr>
      <w:r>
        <w:t>五、培养质量（毕业生就业率、就业专业对口率、毕业生发展情况、就业单位满意率、社会对专业的评价等）</w:t>
      </w:r>
    </w:p>
    <w:p>
      <w:pPr>
        <w:ind w:firstLine="480" w:firstLineChars="200"/>
        <w:rPr>
          <w:color w:val="FF0000"/>
        </w:rPr>
      </w:pPr>
      <w:r>
        <w:t>土木工程专业良好的学习条件和环境、严格的教学组织和管理有效地保证了专业人才培养的质量。学生基础知识扎实，整体素质高，创新能力强，在国内各类竞赛中屡创佳绩。重要基础课程的优良率占大部分比重，全国大学英语四、六级考试通过率稳步提</w:t>
      </w:r>
      <w:r>
        <w:rPr>
          <w:color w:val="000000"/>
        </w:rPr>
        <w:t>高。学生毕业与学位授予情况处于比较合理的状态，深造率不断提高。毕业生一次性就业率接近100%，就业平台较高，就业地域分布合理。</w:t>
      </w:r>
    </w:p>
    <w:p>
      <w:pPr>
        <w:ind w:firstLine="480" w:firstLineChars="200"/>
      </w:pPr>
      <w:r>
        <w:t>根据毕业生调查表的反馈信息，用人单位对我校毕业生的总体评价为：综合素质高，专业知识扎实，学习能力强，反应敏捷，动手能力强，有较强的分析和解决问题的能力；勤奋、踏实、谦虚、努力、好学、敬业；团队精神与纪律观念强；毕业生总体质量高，用人单位评价良好。</w:t>
      </w:r>
    </w:p>
    <w:p>
      <w:pPr>
        <w:pStyle w:val="5"/>
        <w:spacing w:before="93" w:after="93"/>
        <w:ind w:firstLine="560"/>
      </w:pPr>
      <w:r>
        <w:t>六、毕业生就业创业（创业情况、就业采取的措施等）</w:t>
      </w:r>
    </w:p>
    <w:p>
      <w:pPr>
        <w:ind w:firstLine="480" w:firstLineChars="200"/>
      </w:pPr>
      <w:r>
        <w:t>为了更好的培养学生的实践活动能力，积极开展</w:t>
      </w:r>
      <w:r>
        <w:rPr>
          <w:rFonts w:hint="eastAsia"/>
        </w:rPr>
        <w:t>“</w:t>
      </w:r>
      <w:r>
        <w:t>暑期大学生社会实践活动</w:t>
      </w:r>
      <w:r>
        <w:rPr>
          <w:rFonts w:hint="eastAsia"/>
        </w:rPr>
        <w:t>”</w:t>
      </w:r>
      <w:r>
        <w:t>、</w:t>
      </w:r>
      <w:r>
        <w:rPr>
          <w:rFonts w:hint="eastAsia"/>
        </w:rPr>
        <w:t>“</w:t>
      </w:r>
      <w:r>
        <w:t>SRT计划</w:t>
      </w:r>
      <w:r>
        <w:rPr>
          <w:rFonts w:hint="eastAsia"/>
        </w:rPr>
        <w:t>”</w:t>
      </w:r>
      <w:r>
        <w:t>等丰富多彩的第二课堂活动，使学生的语言和文字表达能力、计算机应用能力、调研和分析能力、人际交往能力、谈判与公关能力、生产操作技能、创新能力、组织管理能力、与人合作能力、自学能力和创新能力、创业精神都有了明显的增强，为创新创业打下坚实的基础，个别同学在高效完成学业的基础上，在自己创新创业方面已经小有成就。</w:t>
      </w:r>
    </w:p>
    <w:p>
      <w:pPr>
        <w:ind w:firstLine="480" w:firstLineChars="200"/>
      </w:pPr>
      <w:r>
        <w:t>在学生就业方面 ，学院由团委组织力量专门抓就业工作，我们配合学院团委，在学生毕业前定期召开用人单位招聘会，举办人才市场，吸引用人单位来校与学生座谈，为学生就业广开门路。专业负责人、毕业设计指导教师、班主任在最后一个学年加强学生的就业指导，了解学生的就业意向和思想动态，鼓励学生考研，并介绍用人单位帮助学生就业，成效显著，就业率接近100%。</w:t>
      </w:r>
    </w:p>
    <w:p>
      <w:pPr>
        <w:ind w:firstLine="480" w:firstLineChars="200"/>
      </w:pPr>
      <w:r>
        <w:t>此外，进入山东大学、东南大学、北京工业大学、大连理工大学、西安建筑科技大学、河海大学等知名院校继续深造的学生则以厚实的理论知识、严谨的工作作风，同样得到了广泛的认可和好评。目前土木工程专业在读学生对本专业的学习兴趣浓厚，对土木工程专业就业以及进一步深造充满信心。</w:t>
      </w:r>
    </w:p>
    <w:p>
      <w:pPr>
        <w:pStyle w:val="5"/>
        <w:spacing w:before="93" w:after="93"/>
        <w:ind w:firstLine="560"/>
      </w:pPr>
      <w:r>
        <w:t>七、专业发展趋势及建议</w:t>
      </w:r>
    </w:p>
    <w:p>
      <w:pPr>
        <w:ind w:firstLine="480" w:firstLineChars="200"/>
      </w:pPr>
      <w:r>
        <w:t>专业发展趋势：在学校总体规划框架下，遵循土木工程专业教育发展规律，坚持面向社会行业需求，坚持以高素质应用型人才培养为中心，主动适应国家及区域经济社会发展和科技进步的需要，全面提高办学水平和教育质量，为地方经济建设和社会发展做出更大贡献。</w:t>
      </w:r>
    </w:p>
    <w:p>
      <w:pPr>
        <w:ind w:firstLine="480" w:firstLineChars="200"/>
      </w:pPr>
      <w:r>
        <w:t>建议如下：</w:t>
      </w:r>
    </w:p>
    <w:p>
      <w:pPr>
        <w:pStyle w:val="6"/>
        <w:ind w:firstLine="480"/>
      </w:pPr>
      <w:r>
        <w:t>1</w:t>
      </w:r>
      <w:r>
        <w:rPr>
          <w:rFonts w:hint="eastAsia"/>
          <w:lang w:eastAsia="zh-CN"/>
        </w:rPr>
        <w:t>.</w:t>
      </w:r>
      <w:r>
        <w:t>加强课程体系建设，促进专业内涵发展。</w:t>
      </w:r>
    </w:p>
    <w:p>
      <w:pPr>
        <w:ind w:firstLine="480" w:firstLineChars="200"/>
      </w:pPr>
      <w:r>
        <w:t>专业建设以课程体系建设为核心，它直接关系教学质量和学生培养目标的实现。只有通过课程体系建设、教学改革等手段才能推动专业的内涵建设。根据我校土木工程专业培养目标，体现土木工程专业应用型人才培养模式，土木工程专业以制定和修订教学计划为突破口，对土木工程专业本科课程体系进行全面、系统规划。</w:t>
      </w:r>
    </w:p>
    <w:p>
      <w:pPr>
        <w:pStyle w:val="6"/>
        <w:ind w:firstLine="480"/>
      </w:pPr>
      <w:r>
        <w:t>2</w:t>
      </w:r>
      <w:r>
        <w:rPr>
          <w:rFonts w:hint="eastAsia"/>
          <w:lang w:eastAsia="zh-CN"/>
        </w:rPr>
        <w:t>.</w:t>
      </w:r>
      <w:r>
        <w:t>推动师资队伍建设，优化专业教学团队。</w:t>
      </w:r>
    </w:p>
    <w:p>
      <w:pPr>
        <w:ind w:firstLine="480" w:firstLineChars="200"/>
      </w:pPr>
      <w:r>
        <w:t>教学质量的提高，关键在教师，没有高素质的教师，一切无从谈起。师资队伍建设和师资结构优化是专业发展的基础，提高教师素质、优化师资结构是今后土木工程专业建设工作的一个重点。根据土木工程专业建设目标的要求，土木工程专业计划采取引进与培养相结合的办法，尽快建立一支满足专业教学需要的专职教师队伍。同时从泰安市和外省等高校、建筑单位聘请，建立一支相对稳定的外聘兼职教师队伍。</w:t>
      </w:r>
    </w:p>
    <w:p>
      <w:pPr>
        <w:pStyle w:val="6"/>
        <w:ind w:firstLine="480"/>
      </w:pPr>
      <w:r>
        <w:t>3</w:t>
      </w:r>
      <w:r>
        <w:rPr>
          <w:rFonts w:hint="eastAsia"/>
          <w:lang w:eastAsia="zh-CN"/>
        </w:rPr>
        <w:t>.</w:t>
      </w:r>
      <w:r>
        <w:t>重视教学研究与科学研究，提高办学水平。</w:t>
      </w:r>
    </w:p>
    <w:p>
      <w:pPr>
        <w:ind w:firstLine="480" w:firstLineChars="200"/>
      </w:pPr>
      <w:r>
        <w:t>积极鼓励教师争取科研项目，支持教师参加培训、进修学习，提高科研水平。加强团队意识，提高核心竞争力，力争今后在现有的基础上有所突破。创造条件有计划地派遣和鼓励在职教师，特别是中青年教师参加各类学术活动，争取科研项目，提高办学水平。</w:t>
      </w:r>
    </w:p>
    <w:p>
      <w:pPr>
        <w:pStyle w:val="5"/>
        <w:spacing w:before="93" w:after="93"/>
        <w:ind w:firstLine="560"/>
      </w:pPr>
      <w:r>
        <w:t>八、人才需求分析</w:t>
      </w:r>
    </w:p>
    <w:p>
      <w:pPr>
        <w:pStyle w:val="6"/>
        <w:ind w:firstLine="480"/>
        <w:rPr>
          <w:rFonts w:eastAsia="宋体"/>
        </w:rPr>
      </w:pPr>
      <w:r>
        <w:rPr>
          <w:rFonts w:eastAsia="宋体"/>
        </w:rPr>
        <w:t>随着社会经济的快速发展，我国工程建设任务量较大，对土木工程专业人才的需求较大。另外，建筑科学技术不断进步，如建筑BIM技术、建筑工业化、智慧城市、海绵城市等新技术和新理念要求土木工程专业人才要适应并掌握。由此可见，未来社会对土木工程专业人才的需求较大，而且要求更高。掌握新技术的应用复合型土木工程专业人才将面临更广阔的就业前景。因此，我们会紧跟时代步伐，积极改进教学方法以及人才培养模式，培养高层次的应用复合型土木工程专业人才。</w:t>
      </w:r>
    </w:p>
    <w:p>
      <w:pPr>
        <w:pStyle w:val="5"/>
        <w:spacing w:before="93" w:after="93"/>
        <w:ind w:firstLine="560"/>
      </w:pPr>
      <w:r>
        <w:t>九、存在的问题及整改措施</w:t>
      </w:r>
    </w:p>
    <w:p>
      <w:pPr>
        <w:ind w:firstLine="480" w:firstLineChars="200"/>
      </w:pPr>
      <w:r>
        <w:t>1</w:t>
      </w:r>
      <w:r>
        <w:rPr>
          <w:rFonts w:hint="eastAsia"/>
          <w:lang w:eastAsia="zh-CN"/>
        </w:rPr>
        <w:t>.</w:t>
      </w:r>
      <w:r>
        <w:t>人才培养方案需要进一步优化。现代技术的快速发展和土木工程专业毕业生就业去向的多元化，对专业人才培养方案和课程内容提出了新的要求。需要进一步优化人才培养方案，强化专业特色，并注重个性化培养。更加突出毕业生创新创能力的培养。</w:t>
      </w:r>
    </w:p>
    <w:p>
      <w:pPr>
        <w:ind w:firstLine="480" w:firstLineChars="200"/>
      </w:pPr>
      <w:r>
        <w:t>2</w:t>
      </w:r>
      <w:r>
        <w:rPr>
          <w:rFonts w:hint="eastAsia"/>
          <w:lang w:eastAsia="zh-CN"/>
        </w:rPr>
        <w:t>.</w:t>
      </w:r>
      <w:r>
        <w:t xml:space="preserve">教学条件需要进一步改善。经济社会的快速发展对建筑学专业人才培养提出了更高要求，为适应人才培养模式、课程内容、教学方式方法的改革，教学条件需要进一步改善，实验教学中心和教学基地等管理运行机制需要进一步完善。  </w:t>
      </w:r>
    </w:p>
    <w:p>
      <w:pPr>
        <w:ind w:firstLine="480" w:firstLineChars="200"/>
      </w:pPr>
      <w:r>
        <w:t>3</w:t>
      </w:r>
      <w:r>
        <w:rPr>
          <w:rFonts w:hint="eastAsia"/>
          <w:lang w:eastAsia="zh-CN"/>
        </w:rPr>
        <w:t>.</w:t>
      </w:r>
      <w:r>
        <w:t>师资队伍结构需要优化及实践经验需要扩展。目前还存在现有教师国际交流能力弱、生产经验不足的突出问题。今后，加大引进高素质、高学历、高职称的中青年教育人才力度，同时更应重视现有师资队伍的培养，充分利用双一流重点建设的有利时机选拔一批有培养前途的青年教师到国内外名校访问交流。积极探索与国内外高校合作的有效途径，争取建立长期稳定的教师培养渠道，支持教师进修学习，不断更新知识，优化师队伍结构。鼓励专业教师参与工程实践，成立工作室，并带领学生进行创新创业活动。</w:t>
      </w:r>
    </w:p>
    <w:p>
      <w:pPr>
        <w:ind w:firstLine="480" w:firstLineChars="200"/>
      </w:pPr>
      <w:r>
        <w:t>4</w:t>
      </w:r>
      <w:r>
        <w:rPr>
          <w:rFonts w:hint="eastAsia"/>
          <w:lang w:eastAsia="zh-CN"/>
        </w:rPr>
        <w:t>.</w:t>
      </w:r>
      <w:r>
        <w:t>教学改革实践需要进一步加强。通过加强教学方式方法研究和培训，推行小班授课，增加案例教学、讨论课和辅导课，强化课程网站建设，强化网络教学功能，充分利用QQ、微信、微博等多种交流方式增强师生课下互动、答疑，改进课程考评方式方法等方面，切实提高教学水平和教学效果。</w:t>
      </w:r>
    </w:p>
    <w:p>
      <w:pPr>
        <w:rPr>
          <w:rFonts w:eastAsia="仿宋_GB2312"/>
        </w:rPr>
      </w:pPr>
    </w:p>
    <w:p>
      <w:r>
        <w:br w:type="page"/>
      </w:r>
    </w:p>
    <w:p>
      <w:pPr>
        <w:pStyle w:val="4"/>
        <w:ind w:firstLine="600"/>
      </w:pPr>
      <w:bookmarkStart w:id="566" w:name="_Toc982"/>
      <w:r>
        <w:rPr>
          <w:lang w:val="en-US"/>
        </w:rPr>
        <w:t>专业六十：</w:t>
      </w:r>
      <w:r>
        <w:t>建筑环境与能源应用工程</w:t>
      </w:r>
      <w:bookmarkEnd w:id="566"/>
    </w:p>
    <w:p>
      <w:pPr>
        <w:autoSpaceDE w:val="0"/>
        <w:autoSpaceDN w:val="0"/>
        <w:adjustRightInd w:val="0"/>
        <w:ind w:firstLine="480"/>
        <w:rPr>
          <w:kern w:val="0"/>
        </w:rPr>
      </w:pPr>
      <w:r>
        <w:rPr>
          <w:kern w:val="0"/>
        </w:rPr>
        <w:t>根据专业群建设的思想，在二十余年专科办学和工业与民用建筑工程（土木工程）、给水排水工程、建筑电气工程等专业建设的基础上，山东农业大学水利土木工程学院于2000年申报设立本科建筑环境与能源应用工程专业，并于2001年开始招生，已有十六届毕业生，目前在校生126余人。建筑环境与能源应用工程专业含设供热、通风与空气调节工程、燃气工程、建筑给水排水工程和建筑设备自动化等。目前本专业的培养方向是供热、通风与空气调节工程和燃气供应工程。</w:t>
      </w:r>
    </w:p>
    <w:p>
      <w:pPr>
        <w:autoSpaceDE w:val="0"/>
        <w:autoSpaceDN w:val="0"/>
        <w:adjustRightInd w:val="0"/>
        <w:ind w:firstLine="480"/>
      </w:pPr>
      <w:r>
        <w:rPr>
          <w:kern w:val="0"/>
        </w:rPr>
        <w:t>建筑环境与能源应用工程专业拥有一个建环专业综合实验室和流体、建材实验室及电工、电子实验室（附设于机电学院）。建环专业综合实验室下设制冷空调实验室、建筑热工与节能实验室、建筑环境检测实验室、能源应用技术实验室、通风燃气实验室。实验设备总值226.7万元，实验室面积800余m</w:t>
      </w:r>
      <w:r>
        <w:rPr>
          <w:kern w:val="0"/>
          <w:vertAlign w:val="superscript"/>
        </w:rPr>
        <w:t>2</w:t>
      </w:r>
      <w:r>
        <w:rPr>
          <w:kern w:val="0"/>
        </w:rPr>
        <w:t>。专业实验开出率可达到100%，同时可满足科研、生产服务要求。</w:t>
      </w:r>
      <w:r>
        <w:t>根据学校的统一要求和安排，建筑环境与能源应用工程专业在总结原实习基地建设经验的基础上，重新调整建立了校内外实习基地，构建了建筑环境与能源应用工程专业全新的校内外实习训练基地，可满足本专业学生校外实习的要求。</w:t>
      </w:r>
    </w:p>
    <w:p>
      <w:pPr>
        <w:autoSpaceDE w:val="0"/>
        <w:autoSpaceDN w:val="0"/>
        <w:adjustRightInd w:val="0"/>
        <w:ind w:firstLine="480"/>
        <w:rPr>
          <w:kern w:val="0"/>
        </w:rPr>
      </w:pPr>
      <w:r>
        <w:rPr>
          <w:kern w:val="0"/>
        </w:rPr>
        <w:t>本专业设有较为完备的教学、科研资料室。目前已拥有专业图书、标准图集、设计规范等20000余册；专业杂志、多媒体课件、工程图纸等技术资料一宗，基本满足了本科教学的需要。现有教师8名，高级职称教师6名，中级教师职称2名，有4名教师已获得国家注册公用设备师资格。近年来，发表SCI、EI论文及中文核心论文60余篇，出版著作7余部，申请专利8余项。</w:t>
      </w:r>
    </w:p>
    <w:p>
      <w:pPr>
        <w:autoSpaceDE w:val="0"/>
        <w:autoSpaceDN w:val="0"/>
        <w:adjustRightInd w:val="0"/>
        <w:ind w:firstLine="480"/>
        <w:rPr>
          <w:kern w:val="0"/>
        </w:rPr>
      </w:pPr>
      <w:r>
        <w:rPr>
          <w:kern w:val="0"/>
        </w:rPr>
        <w:t>2000年，结合新上本科专业的申报，制订了建筑环境与设备工程专业培养方案，并于2001年投入使用，连续使用两届，教学计划执行良好。2003年，根据学校安排，结合全国建筑环境与设备工程专业指导委员会的规划，对原有的教学方案进行了修订，即2003版的建筑环境与设备工程专业培养方案，已应用于03级～06级，运行良好。2007年，按照学校</w:t>
      </w:r>
      <w:r>
        <w:rPr>
          <w:rFonts w:hint="eastAsia"/>
          <w:kern w:val="0"/>
        </w:rPr>
        <w:t>“</w:t>
      </w:r>
      <w:r>
        <w:rPr>
          <w:kern w:val="0"/>
        </w:rPr>
        <w:t>稳定必修课</w:t>
      </w:r>
      <w:r>
        <w:rPr>
          <w:rFonts w:hint="eastAsia"/>
          <w:kern w:val="0"/>
        </w:rPr>
        <w:t>”</w:t>
      </w:r>
      <w:r>
        <w:rPr>
          <w:kern w:val="0"/>
        </w:rPr>
        <w:t>、</w:t>
      </w:r>
      <w:r>
        <w:rPr>
          <w:rFonts w:hint="eastAsia"/>
          <w:kern w:val="0"/>
        </w:rPr>
        <w:t>“</w:t>
      </w:r>
      <w:r>
        <w:rPr>
          <w:kern w:val="0"/>
        </w:rPr>
        <w:t>精减方向课</w:t>
      </w:r>
      <w:r>
        <w:rPr>
          <w:rFonts w:hint="eastAsia"/>
          <w:kern w:val="0"/>
        </w:rPr>
        <w:t>”</w:t>
      </w:r>
      <w:r>
        <w:rPr>
          <w:kern w:val="0"/>
        </w:rPr>
        <w:t>、</w:t>
      </w:r>
      <w:r>
        <w:rPr>
          <w:rFonts w:hint="eastAsia"/>
          <w:kern w:val="0"/>
        </w:rPr>
        <w:t>“</w:t>
      </w:r>
      <w:r>
        <w:rPr>
          <w:kern w:val="0"/>
        </w:rPr>
        <w:t>强化专业课</w:t>
      </w:r>
      <w:r>
        <w:rPr>
          <w:rFonts w:hint="eastAsia"/>
          <w:kern w:val="0"/>
        </w:rPr>
        <w:t>”</w:t>
      </w:r>
      <w:r>
        <w:rPr>
          <w:kern w:val="0"/>
        </w:rPr>
        <w:t>、</w:t>
      </w:r>
      <w:r>
        <w:rPr>
          <w:rFonts w:hint="eastAsia"/>
          <w:kern w:val="0"/>
        </w:rPr>
        <w:t>“</w:t>
      </w:r>
      <w:r>
        <w:rPr>
          <w:kern w:val="0"/>
        </w:rPr>
        <w:t>规范实践课</w:t>
      </w:r>
      <w:r>
        <w:rPr>
          <w:rFonts w:hint="eastAsia"/>
          <w:kern w:val="0"/>
        </w:rPr>
        <w:t>”</w:t>
      </w:r>
      <w:r>
        <w:rPr>
          <w:kern w:val="0"/>
        </w:rPr>
        <w:t>的总体设想和要求，对2003版的培养方案作了进一步的修订，即2007版的建筑环境与设备工程专业培养方案，并于2007年开始使用。2009年，本着适应经济社会发展的需要、适应学校新的发展目标定位、适应高等教育从精英教育向大众化教育转变的思想，按照</w:t>
      </w:r>
      <w:r>
        <w:rPr>
          <w:rFonts w:hint="eastAsia"/>
          <w:kern w:val="0"/>
        </w:rPr>
        <w:t>“</w:t>
      </w:r>
      <w:r>
        <w:rPr>
          <w:kern w:val="0"/>
        </w:rPr>
        <w:t>巩固、稳定、深化、提高</w:t>
      </w:r>
      <w:r>
        <w:rPr>
          <w:rFonts w:hint="eastAsia"/>
          <w:kern w:val="0"/>
        </w:rPr>
        <w:t>”</w:t>
      </w:r>
      <w:r>
        <w:rPr>
          <w:kern w:val="0"/>
        </w:rPr>
        <w:t>的要求，严格按照</w:t>
      </w:r>
      <w:r>
        <w:rPr>
          <w:rFonts w:hint="eastAsia"/>
          <w:kern w:val="0"/>
        </w:rPr>
        <w:t>“</w:t>
      </w:r>
      <w:r>
        <w:rPr>
          <w:kern w:val="0"/>
        </w:rPr>
        <w:t>相对稳定、调整结构、优化进程、增强实用、强化专业、突出实践</w:t>
      </w:r>
      <w:r>
        <w:rPr>
          <w:rFonts w:hint="eastAsia"/>
          <w:kern w:val="0"/>
        </w:rPr>
        <w:t>”</w:t>
      </w:r>
      <w:r>
        <w:rPr>
          <w:kern w:val="0"/>
        </w:rPr>
        <w:t>的基本原则，展开了新一轮的专业人才培养方案的修订，即2010版的建筑环境与设备工程专业培养方案。目前已应用于2010级和2011级。2012年，新的专业名称颁布后，在2010版培养方案的基础上，重新修订了建筑环境与能源应用工程专业培养方案。2012级、2013级及2014级将使用本方案。2015年，按照山东省学分制收费的有关规定，在2012版培养方案的基础上，再次修订了专业培养方案，即2015版建筑环境与能源应用工程专业培养方案。2015级开始使用本方案。2017年，按照工程专业国际认证有关要求，在2015版培养方案的基础上，再次修订了专业培养方案，即2017版建筑环境与能源应用工程专业培养方案，2017级开始使用本方案。后续又进行2018版和2019版培养方案编写，目前2019级一使用2019版培养方案。</w:t>
      </w:r>
    </w:p>
    <w:p>
      <w:pPr>
        <w:autoSpaceDE w:val="0"/>
        <w:autoSpaceDN w:val="0"/>
        <w:adjustRightInd w:val="0"/>
        <w:ind w:firstLine="480"/>
        <w:rPr>
          <w:kern w:val="0"/>
        </w:rPr>
      </w:pPr>
      <w:r>
        <w:rPr>
          <w:kern w:val="0"/>
        </w:rPr>
        <w:t>根据最新修订的人才培养方案中课程体系、课程内容优化组合的情况，从满足教学需要出发，在尽量使用国家统编教材和全国建筑环境与能源应用工程专业指导委员会的推荐教材的基础上，编印了部分辅助性教材，如主要课程的习题集、设计指导书、任务书和社会实践指南等。另外，有8名教师主编或参编了全国十五规划教材。1门课程已使用双语教学，8名教师参加了精品课程建设。教学方法与手段的改革初见成效。多媒体教学、现代化教学设备使用以及CAI课件的研发也初具规模。90%实验课程开出了综合性和设计性实验。近几年，建筑环境与能源应用工程专业一直在进行局部的改革与调整，特别是近几年在全国高等学校建筑环境与能源应用工程学科专业指导委员会的倡导和组织下，开展了大量的改革探索工作，其中包括对新的本科教学课程体系的改革，并对专业的内涵作了新的界定，确立了建筑环境与能源应用工程专业新的学科体系。</w:t>
      </w:r>
    </w:p>
    <w:p>
      <w:pPr>
        <w:autoSpaceDE w:val="0"/>
        <w:autoSpaceDN w:val="0"/>
        <w:adjustRightInd w:val="0"/>
        <w:ind w:firstLine="480"/>
        <w:rPr>
          <w:kern w:val="0"/>
        </w:rPr>
      </w:pPr>
      <w:r>
        <w:rPr>
          <w:kern w:val="0"/>
        </w:rPr>
        <w:t>良好的学习条件和环境、严格的教学组织和管理有效地保证了专业人才培养的质量，学生考试成绩、四六级通过率均保持在较高水平。已毕业学生的考研率和就业率均保持在较高水平。同时注意引导和培养学生的创新能力，并取得显著成绩，参与和完成学校的科技创新计划（SRT）二十余项，国家大学生创新性实验计划项目两项。多次参加全国</w:t>
      </w:r>
      <w:r>
        <w:rPr>
          <w:rFonts w:hint="eastAsia"/>
          <w:kern w:val="0"/>
        </w:rPr>
        <w:t>“</w:t>
      </w:r>
      <w:r>
        <w:rPr>
          <w:kern w:val="0"/>
        </w:rPr>
        <w:t>人环奖</w:t>
      </w:r>
      <w:r>
        <w:rPr>
          <w:rFonts w:hint="eastAsia"/>
          <w:kern w:val="0"/>
        </w:rPr>
        <w:t>”</w:t>
      </w:r>
      <w:r>
        <w:rPr>
          <w:kern w:val="0"/>
        </w:rPr>
        <w:t>、</w:t>
      </w:r>
      <w:r>
        <w:rPr>
          <w:rFonts w:hint="eastAsia"/>
          <w:kern w:val="0"/>
        </w:rPr>
        <w:t>“</w:t>
      </w:r>
      <w:r>
        <w:rPr>
          <w:kern w:val="0"/>
        </w:rPr>
        <w:t>全国农建大赛</w:t>
      </w:r>
      <w:r>
        <w:rPr>
          <w:rFonts w:hint="eastAsia"/>
          <w:kern w:val="0"/>
        </w:rPr>
        <w:t>”</w:t>
      </w:r>
      <w:r>
        <w:rPr>
          <w:kern w:val="0"/>
        </w:rPr>
        <w:t>、</w:t>
      </w:r>
      <w:r>
        <w:rPr>
          <w:rFonts w:hint="eastAsia"/>
          <w:kern w:val="0"/>
        </w:rPr>
        <w:t>“</w:t>
      </w:r>
      <w:r>
        <w:rPr>
          <w:kern w:val="0"/>
        </w:rPr>
        <w:t>山东省科技创新大赛</w:t>
      </w:r>
      <w:r>
        <w:rPr>
          <w:rFonts w:hint="eastAsia"/>
          <w:kern w:val="0"/>
        </w:rPr>
        <w:t>”</w:t>
      </w:r>
      <w:r>
        <w:rPr>
          <w:kern w:val="0"/>
        </w:rPr>
        <w:t xml:space="preserve">、 </w:t>
      </w:r>
      <w:r>
        <w:rPr>
          <w:rFonts w:hint="eastAsia"/>
          <w:kern w:val="0"/>
        </w:rPr>
        <w:t>“</w:t>
      </w:r>
      <w:r>
        <w:rPr>
          <w:kern w:val="0"/>
        </w:rPr>
        <w:t>山东省大学生制冷空调大赛</w:t>
      </w:r>
      <w:r>
        <w:rPr>
          <w:rFonts w:hint="eastAsia"/>
          <w:kern w:val="0"/>
        </w:rPr>
        <w:t>”</w:t>
      </w:r>
      <w:r>
        <w:rPr>
          <w:kern w:val="0"/>
        </w:rPr>
        <w:t xml:space="preserve">，并获奖。 </w:t>
      </w:r>
    </w:p>
    <w:p>
      <w:pPr>
        <w:autoSpaceDE w:val="0"/>
        <w:autoSpaceDN w:val="0"/>
        <w:adjustRightInd w:val="0"/>
        <w:ind w:firstLine="480"/>
        <w:rPr>
          <w:kern w:val="0"/>
        </w:rPr>
      </w:pPr>
      <w:r>
        <w:rPr>
          <w:kern w:val="0"/>
        </w:rPr>
        <w:t>本专业培养德智体全面发展，具有人文科学、自然科学基础，外语、计算机应用能力，熟悉国内外发展现状、趋势和专业技术规范，具备扎实的工程知识、良好的工程实践能力、自主学习能力、团队协作和组织协调能力，以及较强的创新意识和社会责任感，能从事建筑环境与能源应用工程规划、设计、施工、管理、产品开发及科学研究等方面工作的应用型创新型高级技术人才。毕业后经过5年左右的工作实践，具备解决建筑环境与能源应用工程问题的能力，达到工程师职业要求。</w:t>
      </w:r>
    </w:p>
    <w:p>
      <w:pPr>
        <w:autoSpaceDE w:val="0"/>
        <w:autoSpaceDN w:val="0"/>
        <w:adjustRightInd w:val="0"/>
        <w:ind w:firstLine="482"/>
        <w:rPr>
          <w:kern w:val="0"/>
        </w:rPr>
      </w:pPr>
      <w:r>
        <w:rPr>
          <w:b/>
          <w:bCs/>
          <w:kern w:val="0"/>
        </w:rPr>
        <w:t>主要学习课程：</w:t>
      </w:r>
      <w:r>
        <w:rPr>
          <w:kern w:val="0"/>
        </w:rPr>
        <w:t>工程热力学、传热学、流体力学、建筑环境学、建筑环境测试技术、电工电子学、自动控制原理、流体输配管网、热质交换原理与设备、暖通空调、空调用制冷技术、供热工程、锅炉及锅炉房设备、建筑给排水、燃气输配、工程施工、建筑设备自动化等。</w:t>
      </w:r>
    </w:p>
    <w:p>
      <w:pPr>
        <w:pStyle w:val="5"/>
        <w:spacing w:before="93" w:after="93"/>
        <w:ind w:firstLine="560"/>
      </w:pPr>
      <w:bookmarkStart w:id="567" w:name="_Toc28030588"/>
      <w:bookmarkStart w:id="568" w:name="_Toc29330"/>
      <w:bookmarkStart w:id="569" w:name="_Toc503784659"/>
      <w:r>
        <w:t>一、毕业生基本情况</w:t>
      </w:r>
      <w:bookmarkEnd w:id="567"/>
      <w:bookmarkEnd w:id="568"/>
      <w:bookmarkEnd w:id="569"/>
    </w:p>
    <w:p>
      <w:pPr>
        <w:pStyle w:val="6"/>
        <w:ind w:firstLine="480"/>
      </w:pPr>
      <w:bookmarkStart w:id="570" w:name="_Toc28030589"/>
      <w:bookmarkStart w:id="571" w:name="_Toc24374"/>
      <w:bookmarkStart w:id="572" w:name="_Toc503784660"/>
      <w:r>
        <w:t>（一）毕业生规模</w:t>
      </w:r>
      <w:bookmarkEnd w:id="570"/>
      <w:bookmarkEnd w:id="571"/>
      <w:bookmarkEnd w:id="572"/>
    </w:p>
    <w:p>
      <w:pPr>
        <w:autoSpaceDE w:val="0"/>
        <w:autoSpaceDN w:val="0"/>
        <w:adjustRightInd w:val="0"/>
        <w:ind w:firstLine="480"/>
        <w:rPr>
          <w:kern w:val="0"/>
        </w:rPr>
      </w:pPr>
      <w:r>
        <w:rPr>
          <w:kern w:val="0"/>
        </w:rPr>
        <w:t>建筑环境与能源应用工程2022届毕业生共57人，来自全国5个省市自治区。</w:t>
      </w:r>
    </w:p>
    <w:p>
      <w:pPr>
        <w:pStyle w:val="6"/>
        <w:ind w:firstLine="480"/>
      </w:pPr>
      <w:bookmarkStart w:id="573" w:name="_Toc503784661"/>
      <w:bookmarkStart w:id="574" w:name="_Toc13154"/>
      <w:bookmarkStart w:id="575" w:name="_Toc28030590"/>
      <w:r>
        <w:t>（二）毕业生结构</w:t>
      </w:r>
      <w:bookmarkEnd w:id="573"/>
      <w:bookmarkEnd w:id="574"/>
      <w:bookmarkEnd w:id="575"/>
    </w:p>
    <w:p>
      <w:pPr>
        <w:pStyle w:val="36"/>
        <w:adjustRightInd w:val="0"/>
        <w:snapToGrid w:val="0"/>
        <w:ind w:firstLine="482"/>
        <w:outlineLvl w:val="2"/>
        <w:rPr>
          <w:b/>
          <w:bCs/>
          <w:szCs w:val="24"/>
        </w:rPr>
      </w:pPr>
      <w:bookmarkStart w:id="576" w:name="_Toc503784662"/>
      <w:bookmarkStart w:id="577" w:name="_Toc28030591"/>
      <w:bookmarkStart w:id="578" w:name="_Toc30657"/>
      <w:r>
        <w:rPr>
          <w:b/>
          <w:bCs/>
          <w:szCs w:val="24"/>
        </w:rPr>
        <w:t>1</w:t>
      </w:r>
      <w:r>
        <w:rPr>
          <w:rFonts w:hint="eastAsia"/>
          <w:b/>
          <w:bCs/>
          <w:szCs w:val="24"/>
          <w:lang w:eastAsia="zh-CN"/>
        </w:rPr>
        <w:t>.</w:t>
      </w:r>
      <w:r>
        <w:rPr>
          <w:b/>
          <w:bCs/>
          <w:szCs w:val="24"/>
        </w:rPr>
        <w:t>生源地结构</w:t>
      </w:r>
      <w:bookmarkEnd w:id="576"/>
      <w:bookmarkEnd w:id="577"/>
      <w:bookmarkEnd w:id="578"/>
    </w:p>
    <w:p>
      <w:pPr>
        <w:autoSpaceDE w:val="0"/>
        <w:autoSpaceDN w:val="0"/>
        <w:adjustRightInd w:val="0"/>
        <w:ind w:firstLine="480"/>
        <w:rPr>
          <w:kern w:val="0"/>
          <w:lang w:val="ru-RU"/>
        </w:rPr>
      </w:pPr>
      <w:r>
        <w:rPr>
          <w:kern w:val="0"/>
          <w:lang w:val="ru-RU"/>
        </w:rPr>
        <w:t>建环专业2022届毕业生以山东省生源为主，有</w:t>
      </w:r>
      <w:r>
        <w:rPr>
          <w:kern w:val="0"/>
        </w:rPr>
        <w:t>44</w:t>
      </w:r>
      <w:r>
        <w:rPr>
          <w:kern w:val="0"/>
          <w:lang w:val="ru-RU"/>
        </w:rPr>
        <w:t>名，占毕业生总数的</w:t>
      </w:r>
      <w:r>
        <w:rPr>
          <w:kern w:val="0"/>
        </w:rPr>
        <w:t>85%</w:t>
      </w:r>
      <w:r>
        <w:rPr>
          <w:kern w:val="0"/>
          <w:lang w:val="ru-RU"/>
        </w:rPr>
        <w:t>，其中外省生源</w:t>
      </w:r>
      <w:r>
        <w:rPr>
          <w:kern w:val="0"/>
        </w:rPr>
        <w:t>13</w:t>
      </w:r>
      <w:r>
        <w:rPr>
          <w:kern w:val="0"/>
          <w:lang w:val="ru-RU"/>
        </w:rPr>
        <w:t>名，占</w:t>
      </w:r>
      <w:r>
        <w:rPr>
          <w:kern w:val="0"/>
        </w:rPr>
        <w:t>15%。</w:t>
      </w:r>
    </w:p>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spacing w:line="240" w:lineRule="auto"/>
        <w:jc w:val="center"/>
        <w:rPr>
          <w:szCs w:val="24"/>
        </w:rPr>
      </w:pPr>
      <w:r>
        <w:drawing>
          <wp:inline distT="0" distB="0" distL="114300" distR="114300">
            <wp:extent cx="3455670" cy="1702435"/>
            <wp:effectExtent l="0" t="0" r="11430" b="12065"/>
            <wp:docPr id="1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3"/>
                    <pic:cNvPicPr>
                      <a:picLocks noChangeAspect="1"/>
                    </pic:cNvPicPr>
                  </pic:nvPicPr>
                  <pic:blipFill>
                    <a:blip r:embed="rId139"/>
                    <a:stretch>
                      <a:fillRect/>
                    </a:stretch>
                  </pic:blipFill>
                  <pic:spPr>
                    <a:xfrm>
                      <a:off x="0" y="0"/>
                      <a:ext cx="3455670" cy="1702435"/>
                    </a:xfrm>
                    <a:prstGeom prst="rect">
                      <a:avLst/>
                    </a:prstGeom>
                    <a:noFill/>
                    <a:ln>
                      <a:noFill/>
                    </a:ln>
                  </pic:spPr>
                </pic:pic>
              </a:graphicData>
            </a:graphic>
          </wp:inline>
        </w:drawing>
      </w:r>
    </w:p>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b/>
          <w:bCs/>
          <w:sz w:val="21"/>
          <w:szCs w:val="21"/>
          <w:lang w:val="ru-RU"/>
        </w:rPr>
      </w:pPr>
      <w:r>
        <w:rPr>
          <w:b/>
          <w:bCs/>
          <w:sz w:val="21"/>
          <w:szCs w:val="21"/>
          <w:lang w:val="ru-RU"/>
        </w:rPr>
        <w:t>图 1 毕业生生源结构图</w:t>
      </w:r>
    </w:p>
    <w:p>
      <w:pPr>
        <w:autoSpaceDE w:val="0"/>
        <w:autoSpaceDN w:val="0"/>
        <w:adjustRightInd w:val="0"/>
        <w:ind w:firstLine="480"/>
        <w:rPr>
          <w:kern w:val="0"/>
          <w:lang w:val="ru-RU"/>
        </w:rPr>
      </w:pPr>
      <w:r>
        <w:rPr>
          <w:kern w:val="0"/>
          <w:lang w:val="ru-RU"/>
        </w:rPr>
        <w:t>山东省生源的学生主要来源于济南、青岛、临沂、潍坊等14个市，其分布如下表所示。</w:t>
      </w:r>
    </w:p>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spacing w:line="240" w:lineRule="auto"/>
        <w:jc w:val="center"/>
      </w:pPr>
      <w:r>
        <w:drawing>
          <wp:inline distT="0" distB="0" distL="114300" distR="114300">
            <wp:extent cx="4867910" cy="2093595"/>
            <wp:effectExtent l="0" t="0" r="8890" b="1905"/>
            <wp:docPr id="1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
                    <pic:cNvPicPr>
                      <a:picLocks noChangeAspect="1"/>
                    </pic:cNvPicPr>
                  </pic:nvPicPr>
                  <pic:blipFill>
                    <a:blip r:embed="rId140"/>
                    <a:srcRect r="9109"/>
                    <a:stretch>
                      <a:fillRect/>
                    </a:stretch>
                  </pic:blipFill>
                  <pic:spPr>
                    <a:xfrm>
                      <a:off x="0" y="0"/>
                      <a:ext cx="4867910" cy="2093595"/>
                    </a:xfrm>
                    <a:prstGeom prst="rect">
                      <a:avLst/>
                    </a:prstGeom>
                    <a:noFill/>
                    <a:ln>
                      <a:noFill/>
                    </a:ln>
                  </pic:spPr>
                </pic:pic>
              </a:graphicData>
            </a:graphic>
          </wp:inline>
        </w:drawing>
      </w:r>
    </w:p>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b/>
          <w:bCs/>
          <w:sz w:val="21"/>
          <w:szCs w:val="21"/>
          <w:lang w:val="ru-RU"/>
        </w:rPr>
      </w:pPr>
      <w:r>
        <w:rPr>
          <w:b/>
          <w:bCs/>
          <w:sz w:val="21"/>
          <w:szCs w:val="21"/>
          <w:lang w:val="ru-RU"/>
        </w:rPr>
        <w:t>图 2 毕业生省内生源地结构图</w:t>
      </w:r>
    </w:p>
    <w:p>
      <w:pPr>
        <w:autoSpaceDE w:val="0"/>
        <w:autoSpaceDN w:val="0"/>
        <w:adjustRightInd w:val="0"/>
        <w:ind w:firstLine="480"/>
        <w:rPr>
          <w:kern w:val="0"/>
          <w:lang w:val="ru-RU"/>
        </w:rPr>
      </w:pPr>
      <w:r>
        <w:rPr>
          <w:kern w:val="0"/>
          <w:lang w:val="ru-RU"/>
        </w:rPr>
        <w:t>省外生源的毕业生主要来自浙江省、重庆市、湖北省、福建省4个省（直辖市、自治区）。</w:t>
      </w:r>
    </w:p>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b/>
          <w:bCs/>
          <w:sz w:val="21"/>
          <w:szCs w:val="21"/>
          <w:lang w:val="ru-RU"/>
        </w:rPr>
      </w:pPr>
      <w:r>
        <w:rPr>
          <w:b/>
          <w:bCs/>
          <w:sz w:val="21"/>
          <w:szCs w:val="21"/>
          <w:lang w:val="ru-RU"/>
        </w:rPr>
        <w:t>表1 省外毕业生生源分布表</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35"/>
        <w:gridCol w:w="1934"/>
        <w:gridCol w:w="1936"/>
        <w:gridCol w:w="19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935"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b/>
                <w:bCs/>
                <w:sz w:val="21"/>
                <w:szCs w:val="21"/>
                <w:lang w:val="ru-RU"/>
              </w:rPr>
            </w:pPr>
            <w:r>
              <w:rPr>
                <w:b/>
                <w:bCs/>
                <w:sz w:val="21"/>
                <w:szCs w:val="21"/>
                <w:lang w:val="ru-RU"/>
              </w:rPr>
              <w:t>序号</w:t>
            </w:r>
          </w:p>
        </w:tc>
        <w:tc>
          <w:tcPr>
            <w:tcW w:w="1934"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b/>
                <w:bCs/>
                <w:sz w:val="21"/>
                <w:szCs w:val="21"/>
                <w:lang w:val="ru-RU"/>
              </w:rPr>
            </w:pPr>
            <w:r>
              <w:rPr>
                <w:b/>
                <w:bCs/>
                <w:sz w:val="21"/>
                <w:szCs w:val="21"/>
                <w:lang w:val="ru-RU"/>
              </w:rPr>
              <w:t>生源地</w:t>
            </w:r>
          </w:p>
        </w:tc>
        <w:tc>
          <w:tcPr>
            <w:tcW w:w="1936"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b/>
                <w:bCs/>
                <w:sz w:val="21"/>
                <w:szCs w:val="21"/>
                <w:lang w:val="ru-RU"/>
              </w:rPr>
            </w:pPr>
            <w:r>
              <w:rPr>
                <w:b/>
                <w:bCs/>
                <w:sz w:val="21"/>
                <w:szCs w:val="21"/>
                <w:lang w:val="ru-RU"/>
              </w:rPr>
              <w:t>生源人数</w:t>
            </w:r>
          </w:p>
        </w:tc>
        <w:tc>
          <w:tcPr>
            <w:tcW w:w="1935"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b/>
                <w:bCs/>
                <w:sz w:val="21"/>
                <w:szCs w:val="21"/>
                <w:lang w:val="ru-RU"/>
              </w:rPr>
            </w:pPr>
            <w:r>
              <w:rPr>
                <w:b/>
                <w:bCs/>
                <w:sz w:val="21"/>
                <w:szCs w:val="21"/>
                <w:lang w:val="ru-RU"/>
              </w:rPr>
              <w:t>生源比例（%）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935"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sz w:val="21"/>
                <w:szCs w:val="21"/>
                <w:lang w:val="ru-RU"/>
              </w:rPr>
            </w:pPr>
            <w:r>
              <w:rPr>
                <w:sz w:val="21"/>
                <w:szCs w:val="21"/>
                <w:lang w:val="ru-RU"/>
              </w:rPr>
              <w:t>1</w:t>
            </w:r>
          </w:p>
        </w:tc>
        <w:tc>
          <w:tcPr>
            <w:tcW w:w="1934"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sz w:val="21"/>
                <w:szCs w:val="21"/>
                <w:lang w:val="ru-RU"/>
              </w:rPr>
            </w:pPr>
            <w:r>
              <w:rPr>
                <w:sz w:val="21"/>
                <w:szCs w:val="21"/>
                <w:lang w:val="ru-RU"/>
              </w:rPr>
              <w:t>福建</w:t>
            </w:r>
          </w:p>
        </w:tc>
        <w:tc>
          <w:tcPr>
            <w:tcW w:w="1936"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sz w:val="21"/>
                <w:szCs w:val="21"/>
                <w:lang w:val="ru-RU"/>
              </w:rPr>
            </w:pPr>
            <w:r>
              <w:rPr>
                <w:sz w:val="21"/>
                <w:szCs w:val="21"/>
                <w:lang w:val="ru-RU"/>
              </w:rPr>
              <w:t>4</w:t>
            </w:r>
          </w:p>
        </w:tc>
        <w:tc>
          <w:tcPr>
            <w:tcW w:w="1935"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sz w:val="21"/>
                <w:szCs w:val="21"/>
              </w:rPr>
            </w:pPr>
            <w:r>
              <w:rPr>
                <w:sz w:val="21"/>
                <w:szCs w:val="21"/>
              </w:rPr>
              <w:t xml:space="preserve">3.84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935"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sz w:val="21"/>
                <w:szCs w:val="21"/>
                <w:lang w:val="ru-RU"/>
              </w:rPr>
            </w:pPr>
            <w:r>
              <w:rPr>
                <w:sz w:val="21"/>
                <w:szCs w:val="21"/>
                <w:lang w:val="ru-RU"/>
              </w:rPr>
              <w:t>2</w:t>
            </w:r>
          </w:p>
        </w:tc>
        <w:tc>
          <w:tcPr>
            <w:tcW w:w="1934"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sz w:val="21"/>
                <w:szCs w:val="21"/>
                <w:lang w:val="ru-RU"/>
              </w:rPr>
            </w:pPr>
            <w:r>
              <w:rPr>
                <w:sz w:val="21"/>
                <w:szCs w:val="21"/>
                <w:lang w:val="ru-RU"/>
              </w:rPr>
              <w:t>重庆</w:t>
            </w:r>
          </w:p>
        </w:tc>
        <w:tc>
          <w:tcPr>
            <w:tcW w:w="1936"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sz w:val="21"/>
                <w:szCs w:val="21"/>
              </w:rPr>
            </w:pPr>
            <w:r>
              <w:rPr>
                <w:sz w:val="21"/>
                <w:szCs w:val="21"/>
              </w:rPr>
              <w:t>2</w:t>
            </w:r>
          </w:p>
        </w:tc>
        <w:tc>
          <w:tcPr>
            <w:tcW w:w="1935"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sz w:val="21"/>
                <w:szCs w:val="21"/>
              </w:rPr>
            </w:pPr>
            <w:r>
              <w:rPr>
                <w:sz w:val="21"/>
                <w:szCs w:val="21"/>
              </w:rPr>
              <w:t>3.84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935"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sz w:val="21"/>
                <w:szCs w:val="21"/>
                <w:lang w:val="ru-RU"/>
              </w:rPr>
            </w:pPr>
            <w:r>
              <w:rPr>
                <w:sz w:val="21"/>
                <w:szCs w:val="21"/>
                <w:lang w:val="ru-RU"/>
              </w:rPr>
              <w:t>3</w:t>
            </w:r>
          </w:p>
        </w:tc>
        <w:tc>
          <w:tcPr>
            <w:tcW w:w="1934"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sz w:val="21"/>
                <w:szCs w:val="21"/>
                <w:lang w:val="ru-RU"/>
              </w:rPr>
            </w:pPr>
            <w:r>
              <w:rPr>
                <w:sz w:val="21"/>
                <w:szCs w:val="21"/>
                <w:lang w:val="ru-RU"/>
              </w:rPr>
              <w:t>湖北</w:t>
            </w:r>
          </w:p>
        </w:tc>
        <w:tc>
          <w:tcPr>
            <w:tcW w:w="1936"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sz w:val="21"/>
                <w:szCs w:val="21"/>
                <w:lang w:val="ru-RU"/>
              </w:rPr>
            </w:pPr>
            <w:r>
              <w:rPr>
                <w:sz w:val="21"/>
                <w:szCs w:val="21"/>
                <w:lang w:val="ru-RU"/>
              </w:rPr>
              <w:t>3</w:t>
            </w:r>
          </w:p>
        </w:tc>
        <w:tc>
          <w:tcPr>
            <w:tcW w:w="1935"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sz w:val="21"/>
                <w:szCs w:val="21"/>
              </w:rPr>
            </w:pPr>
            <w:r>
              <w:rPr>
                <w:sz w:val="21"/>
                <w:szCs w:val="21"/>
              </w:rPr>
              <w:t xml:space="preserve">3.84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935"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sz w:val="21"/>
                <w:szCs w:val="21"/>
                <w:lang w:val="ru-RU"/>
              </w:rPr>
            </w:pPr>
            <w:r>
              <w:rPr>
                <w:sz w:val="21"/>
                <w:szCs w:val="21"/>
                <w:lang w:val="ru-RU"/>
              </w:rPr>
              <w:t>4</w:t>
            </w:r>
          </w:p>
        </w:tc>
        <w:tc>
          <w:tcPr>
            <w:tcW w:w="1934"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sz w:val="21"/>
                <w:szCs w:val="21"/>
                <w:lang w:val="ru-RU"/>
              </w:rPr>
            </w:pPr>
            <w:r>
              <w:rPr>
                <w:sz w:val="21"/>
                <w:szCs w:val="21"/>
                <w:lang w:val="ru-RU"/>
              </w:rPr>
              <w:t>浙江</w:t>
            </w:r>
          </w:p>
        </w:tc>
        <w:tc>
          <w:tcPr>
            <w:tcW w:w="1936"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sz w:val="21"/>
                <w:szCs w:val="21"/>
                <w:lang w:val="ru-RU"/>
              </w:rPr>
            </w:pPr>
            <w:r>
              <w:rPr>
                <w:sz w:val="21"/>
                <w:szCs w:val="21"/>
                <w:lang w:val="ru-RU"/>
              </w:rPr>
              <w:t>4</w:t>
            </w:r>
          </w:p>
        </w:tc>
        <w:tc>
          <w:tcPr>
            <w:tcW w:w="1935" w:type="dxa"/>
            <w:vAlign w:val="center"/>
          </w:tcPr>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sz w:val="21"/>
                <w:szCs w:val="21"/>
              </w:rPr>
            </w:pPr>
            <w:r>
              <w:rPr>
                <w:sz w:val="21"/>
                <w:szCs w:val="21"/>
              </w:rPr>
              <w:t>1.92</w:t>
            </w:r>
          </w:p>
        </w:tc>
      </w:tr>
    </w:tbl>
    <w:p>
      <w:pPr>
        <w:pStyle w:val="36"/>
        <w:adjustRightInd w:val="0"/>
        <w:snapToGrid w:val="0"/>
        <w:ind w:firstLine="482"/>
        <w:outlineLvl w:val="2"/>
        <w:rPr>
          <w:b/>
          <w:bCs/>
          <w:szCs w:val="24"/>
        </w:rPr>
      </w:pPr>
      <w:bookmarkStart w:id="579" w:name="_Toc503784663"/>
      <w:bookmarkStart w:id="580" w:name="_Toc28030592"/>
      <w:bookmarkStart w:id="581" w:name="_Toc31343"/>
    </w:p>
    <w:p>
      <w:pPr>
        <w:pStyle w:val="36"/>
        <w:adjustRightInd w:val="0"/>
        <w:snapToGrid w:val="0"/>
        <w:ind w:firstLine="482"/>
        <w:outlineLvl w:val="2"/>
        <w:rPr>
          <w:b/>
          <w:bCs/>
          <w:szCs w:val="24"/>
        </w:rPr>
      </w:pPr>
      <w:r>
        <w:rPr>
          <w:b/>
          <w:bCs/>
          <w:szCs w:val="24"/>
        </w:rPr>
        <w:t>2</w:t>
      </w:r>
      <w:r>
        <w:rPr>
          <w:rFonts w:hint="eastAsia"/>
          <w:b/>
          <w:bCs/>
          <w:szCs w:val="24"/>
          <w:lang w:eastAsia="zh-CN"/>
        </w:rPr>
        <w:t>.</w:t>
      </w:r>
      <w:r>
        <w:rPr>
          <w:b/>
          <w:bCs/>
          <w:szCs w:val="24"/>
        </w:rPr>
        <w:t>性别结构</w:t>
      </w:r>
      <w:bookmarkEnd w:id="579"/>
      <w:bookmarkEnd w:id="580"/>
      <w:bookmarkEnd w:id="581"/>
    </w:p>
    <w:p>
      <w:pPr>
        <w:autoSpaceDE w:val="0"/>
        <w:autoSpaceDN w:val="0"/>
        <w:adjustRightInd w:val="0"/>
        <w:ind w:firstLine="480"/>
        <w:rPr>
          <w:kern w:val="0"/>
          <w:lang w:val="ru-RU"/>
        </w:rPr>
      </w:pPr>
      <w:r>
        <w:rPr>
          <w:kern w:val="0"/>
          <w:lang w:val="ru-RU"/>
        </w:rPr>
        <w:t>建环专业2022届毕业生，男生43人，占比75.44%，女生14人，占比24.56%，男女所占比例差距较大，男生高于女生</w:t>
      </w:r>
      <w:r>
        <w:rPr>
          <w:kern w:val="0"/>
        </w:rPr>
        <w:t>51</w:t>
      </w:r>
      <w:r>
        <w:rPr>
          <w:kern w:val="0"/>
          <w:lang w:val="ru-RU"/>
        </w:rPr>
        <w:t>个百分点。</w:t>
      </w:r>
    </w:p>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spacing w:line="240" w:lineRule="auto"/>
        <w:jc w:val="center"/>
      </w:pPr>
      <w:r>
        <w:drawing>
          <wp:inline distT="0" distB="0" distL="114300" distR="114300">
            <wp:extent cx="3560445" cy="1577975"/>
            <wp:effectExtent l="0" t="0" r="1905" b="3175"/>
            <wp:docPr id="1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
                    <pic:cNvPicPr>
                      <a:picLocks noChangeAspect="1"/>
                    </pic:cNvPicPr>
                  </pic:nvPicPr>
                  <pic:blipFill>
                    <a:blip r:embed="rId141"/>
                    <a:srcRect b="15292"/>
                    <a:stretch>
                      <a:fillRect/>
                    </a:stretch>
                  </pic:blipFill>
                  <pic:spPr>
                    <a:xfrm>
                      <a:off x="0" y="0"/>
                      <a:ext cx="3560445" cy="1577975"/>
                    </a:xfrm>
                    <a:prstGeom prst="rect">
                      <a:avLst/>
                    </a:prstGeom>
                    <a:noFill/>
                    <a:ln>
                      <a:noFill/>
                    </a:ln>
                  </pic:spPr>
                </pic:pic>
              </a:graphicData>
            </a:graphic>
          </wp:inline>
        </w:drawing>
      </w:r>
    </w:p>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b/>
          <w:bCs/>
          <w:sz w:val="21"/>
          <w:szCs w:val="21"/>
          <w:lang w:val="ru-RU"/>
        </w:rPr>
      </w:pPr>
      <w:r>
        <w:rPr>
          <w:b/>
          <w:bCs/>
          <w:sz w:val="21"/>
          <w:szCs w:val="21"/>
          <w:lang w:val="ru-RU"/>
        </w:rPr>
        <w:t>图 3 毕业生性别构图</w:t>
      </w:r>
    </w:p>
    <w:p>
      <w:pPr>
        <w:pStyle w:val="36"/>
        <w:adjustRightInd w:val="0"/>
        <w:snapToGrid w:val="0"/>
        <w:ind w:firstLine="482"/>
        <w:outlineLvl w:val="2"/>
        <w:rPr>
          <w:b/>
          <w:bCs/>
          <w:szCs w:val="24"/>
        </w:rPr>
      </w:pPr>
      <w:bookmarkStart w:id="582" w:name="_Toc503784664"/>
      <w:bookmarkStart w:id="583" w:name="_Toc28030593"/>
      <w:bookmarkStart w:id="584" w:name="_Toc2997"/>
      <w:r>
        <w:rPr>
          <w:b/>
          <w:bCs/>
          <w:szCs w:val="24"/>
        </w:rPr>
        <w:t>3</w:t>
      </w:r>
      <w:r>
        <w:rPr>
          <w:rFonts w:hint="eastAsia"/>
          <w:b/>
          <w:bCs/>
          <w:szCs w:val="24"/>
          <w:lang w:eastAsia="zh-CN"/>
        </w:rPr>
        <w:t>.</w:t>
      </w:r>
      <w:r>
        <w:rPr>
          <w:b/>
          <w:bCs/>
          <w:szCs w:val="24"/>
        </w:rPr>
        <w:t>民族结构</w:t>
      </w:r>
      <w:bookmarkEnd w:id="582"/>
      <w:bookmarkEnd w:id="583"/>
      <w:bookmarkEnd w:id="584"/>
    </w:p>
    <w:p>
      <w:pPr>
        <w:autoSpaceDE w:val="0"/>
        <w:autoSpaceDN w:val="0"/>
        <w:adjustRightInd w:val="0"/>
        <w:ind w:firstLine="480"/>
        <w:rPr>
          <w:kern w:val="0"/>
          <w:lang w:val="ru-RU"/>
        </w:rPr>
      </w:pPr>
      <w:r>
        <w:rPr>
          <w:kern w:val="0"/>
          <w:lang w:val="ru-RU"/>
        </w:rPr>
        <w:t>2022届毕业生以汉族为主，共56人，占比98%；少数民族共1人，占比2%。</w:t>
      </w:r>
    </w:p>
    <w:p>
      <w:pPr>
        <w:pStyle w:val="6"/>
        <w:ind w:firstLine="480"/>
      </w:pPr>
      <w:bookmarkStart w:id="585" w:name="_Toc503784665"/>
      <w:bookmarkStart w:id="586" w:name="_Toc12769"/>
      <w:bookmarkStart w:id="587" w:name="_Toc28030594"/>
      <w:r>
        <w:t>（三）毕业生就业情况</w:t>
      </w:r>
      <w:bookmarkEnd w:id="585"/>
      <w:bookmarkEnd w:id="586"/>
      <w:bookmarkEnd w:id="587"/>
    </w:p>
    <w:p>
      <w:pPr>
        <w:autoSpaceDE w:val="0"/>
        <w:ind w:firstLine="480"/>
        <w:rPr>
          <w:kern w:val="0"/>
        </w:rPr>
      </w:pPr>
      <w:r>
        <w:rPr>
          <w:kern w:val="0"/>
        </w:rPr>
        <w:t>截止2022年8月31日，毕业生就业53人，毕业去向落实率为92.98%，其中男生就业40人，毕业去向落实率为93.02%，女生就业13人，毕业去向落实率为92.86%。毕业生留鲁就业的39人，占已就业总人数的73.58%，其中到泰安城市就业人数最多，占32.08%。出省就业共14人，占26.42%，主要流向上海市、陕西省等省份。</w:t>
      </w:r>
    </w:p>
    <w:p>
      <w:pPr>
        <w:pStyle w:val="6"/>
        <w:ind w:firstLine="480"/>
      </w:pPr>
      <w:bookmarkStart w:id="588" w:name="_Toc28030595"/>
      <w:bookmarkStart w:id="589" w:name="_Toc11080"/>
      <w:bookmarkStart w:id="590" w:name="_Toc503784666"/>
      <w:r>
        <w:t>（四）毕业生就业方式</w:t>
      </w:r>
      <w:bookmarkEnd w:id="588"/>
      <w:bookmarkEnd w:id="589"/>
      <w:bookmarkEnd w:id="590"/>
    </w:p>
    <w:p>
      <w:pPr>
        <w:pStyle w:val="36"/>
        <w:adjustRightInd w:val="0"/>
        <w:snapToGrid w:val="0"/>
        <w:ind w:firstLine="482"/>
        <w:outlineLvl w:val="2"/>
        <w:rPr>
          <w:b/>
          <w:bCs/>
          <w:szCs w:val="24"/>
        </w:rPr>
      </w:pPr>
      <w:bookmarkStart w:id="591" w:name="_Toc10614"/>
      <w:bookmarkStart w:id="592" w:name="_Toc503784667"/>
      <w:bookmarkStart w:id="593" w:name="_Toc28030596"/>
      <w:r>
        <w:rPr>
          <w:b/>
          <w:bCs/>
          <w:szCs w:val="24"/>
        </w:rPr>
        <w:t>1</w:t>
      </w:r>
      <w:r>
        <w:rPr>
          <w:rFonts w:hint="eastAsia"/>
          <w:b/>
          <w:bCs/>
          <w:szCs w:val="24"/>
          <w:lang w:eastAsia="zh-CN"/>
        </w:rPr>
        <w:t>.</w:t>
      </w:r>
      <w:r>
        <w:rPr>
          <w:b/>
          <w:bCs/>
          <w:szCs w:val="24"/>
        </w:rPr>
        <w:t>就业去向</w:t>
      </w:r>
      <w:bookmarkEnd w:id="591"/>
      <w:bookmarkEnd w:id="592"/>
      <w:bookmarkEnd w:id="593"/>
    </w:p>
    <w:p>
      <w:pPr>
        <w:autoSpaceDE w:val="0"/>
        <w:ind w:firstLine="480"/>
        <w:rPr>
          <w:kern w:val="0"/>
          <w:lang w:val="ru-RU"/>
        </w:rPr>
      </w:pPr>
      <w:r>
        <w:rPr>
          <w:szCs w:val="24"/>
        </w:rPr>
        <w:t>建环专业2022届毕业生的就业</w:t>
      </w:r>
      <w:r>
        <w:rPr>
          <w:kern w:val="0"/>
          <w:lang w:val="ru-RU"/>
        </w:rPr>
        <w:t>流向更趋多样性，就业更加理性化，就业流向更加科学合理。就业去向分别有考取研究生、进入企事业单位、考取国家公务员、出国留学。</w:t>
      </w:r>
      <w:bookmarkStart w:id="594" w:name="_Toc503784679"/>
      <w:bookmarkStart w:id="595" w:name="_Toc28030605"/>
    </w:p>
    <w:p>
      <w:pPr>
        <w:pStyle w:val="36"/>
        <w:adjustRightInd w:val="0"/>
        <w:snapToGrid w:val="0"/>
        <w:ind w:firstLine="482"/>
        <w:outlineLvl w:val="2"/>
        <w:rPr>
          <w:b/>
          <w:bCs/>
          <w:szCs w:val="24"/>
        </w:rPr>
      </w:pPr>
      <w:r>
        <w:rPr>
          <w:b/>
          <w:bCs/>
          <w:szCs w:val="24"/>
        </w:rPr>
        <w:t>2</w:t>
      </w:r>
      <w:r>
        <w:rPr>
          <w:rFonts w:hint="eastAsia"/>
          <w:b/>
          <w:bCs/>
          <w:szCs w:val="24"/>
          <w:lang w:eastAsia="zh-CN"/>
        </w:rPr>
        <w:t>.</w:t>
      </w:r>
      <w:r>
        <w:rPr>
          <w:b/>
          <w:bCs/>
          <w:szCs w:val="24"/>
        </w:rPr>
        <w:t>就业方式</w:t>
      </w:r>
    </w:p>
    <w:p>
      <w:pPr>
        <w:autoSpaceDE w:val="0"/>
        <w:ind w:firstLine="480"/>
        <w:rPr>
          <w:szCs w:val="24"/>
        </w:rPr>
      </w:pPr>
      <w:r>
        <w:rPr>
          <w:szCs w:val="24"/>
        </w:rPr>
        <w:t>毕业生毕业去向主要包括升学、出国（境）、协议就业、劳动合同就业、应征义务兵、科研助理、国家基层项目、自主创业、其他录用形式就业、自由职业、暂不就业（不就业拟升学和其他暂不就业）、待就业等，建筑环境与能源应用工程专业毕业去向中升学方式就业人数最多，其次是协议就业方式。毕业生总体就业方式如下表所示。</w:t>
      </w:r>
    </w:p>
    <w:p>
      <w:pPr>
        <w:spacing w:line="240" w:lineRule="auto"/>
        <w:jc w:val="center"/>
        <w:textAlignment w:val="baseline"/>
        <w:rPr>
          <w:b/>
          <w:bCs/>
          <w:sz w:val="21"/>
          <w:szCs w:val="21"/>
        </w:rPr>
      </w:pPr>
      <w:r>
        <w:rPr>
          <w:b/>
          <w:bCs/>
          <w:sz w:val="21"/>
          <w:szCs w:val="21"/>
        </w:rPr>
        <w:t>表1.毕业生就业方式统计表</w:t>
      </w:r>
    </w:p>
    <w:tbl>
      <w:tblPr>
        <w:tblStyle w:val="17"/>
        <w:tblW w:w="7432" w:type="dxa"/>
        <w:jc w:val="center"/>
        <w:tblLayout w:type="fixed"/>
        <w:tblCellMar>
          <w:top w:w="0" w:type="dxa"/>
          <w:left w:w="0" w:type="dxa"/>
          <w:bottom w:w="0" w:type="dxa"/>
          <w:right w:w="0" w:type="dxa"/>
        </w:tblCellMar>
      </w:tblPr>
      <w:tblGrid>
        <w:gridCol w:w="1545"/>
        <w:gridCol w:w="1507"/>
        <w:gridCol w:w="1425"/>
        <w:gridCol w:w="1470"/>
        <w:gridCol w:w="1485"/>
      </w:tblGrid>
      <w:tr>
        <w:tblPrEx>
          <w:tblCellMar>
            <w:top w:w="0" w:type="dxa"/>
            <w:left w:w="0" w:type="dxa"/>
            <w:bottom w:w="0" w:type="dxa"/>
            <w:right w:w="0" w:type="dxa"/>
          </w:tblCellMar>
        </w:tblPrEx>
        <w:trPr>
          <w:trHeight w:val="532" w:hRule="atLeast"/>
          <w:jc w:val="center"/>
        </w:trPr>
        <w:tc>
          <w:tcPr>
            <w:tcW w:w="1545"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b/>
                <w:bCs/>
                <w:sz w:val="21"/>
                <w:szCs w:val="21"/>
              </w:rPr>
            </w:pPr>
            <w:r>
              <w:rPr>
                <w:b/>
                <w:bCs/>
                <w:sz w:val="21"/>
                <w:szCs w:val="21"/>
              </w:rPr>
              <w:t>就业方式</w:t>
            </w:r>
          </w:p>
        </w:tc>
        <w:tc>
          <w:tcPr>
            <w:tcW w:w="1507"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b/>
                <w:bCs/>
                <w:sz w:val="21"/>
                <w:szCs w:val="21"/>
              </w:rPr>
            </w:pPr>
            <w:r>
              <w:rPr>
                <w:b/>
                <w:bCs/>
                <w:sz w:val="21"/>
                <w:szCs w:val="21"/>
              </w:rPr>
              <w:t>国内升学</w:t>
            </w:r>
          </w:p>
        </w:tc>
        <w:tc>
          <w:tcPr>
            <w:tcW w:w="1425"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b/>
                <w:bCs/>
                <w:sz w:val="21"/>
                <w:szCs w:val="21"/>
              </w:rPr>
            </w:pPr>
            <w:r>
              <w:rPr>
                <w:b/>
                <w:bCs/>
                <w:sz w:val="21"/>
                <w:szCs w:val="21"/>
              </w:rPr>
              <w:t>协议就业</w:t>
            </w:r>
          </w:p>
        </w:tc>
        <w:tc>
          <w:tcPr>
            <w:tcW w:w="1470"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b/>
                <w:bCs/>
                <w:sz w:val="21"/>
                <w:szCs w:val="21"/>
              </w:rPr>
            </w:pPr>
            <w:r>
              <w:rPr>
                <w:b/>
                <w:bCs/>
                <w:sz w:val="21"/>
                <w:szCs w:val="21"/>
              </w:rPr>
              <w:t>其他</w:t>
            </w:r>
          </w:p>
        </w:tc>
        <w:tc>
          <w:tcPr>
            <w:tcW w:w="1485"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b/>
                <w:bCs/>
                <w:sz w:val="21"/>
                <w:szCs w:val="21"/>
              </w:rPr>
            </w:pPr>
            <w:r>
              <w:rPr>
                <w:b/>
                <w:bCs/>
                <w:sz w:val="21"/>
                <w:szCs w:val="21"/>
              </w:rPr>
              <w:t>待就业</w:t>
            </w:r>
          </w:p>
        </w:tc>
      </w:tr>
      <w:tr>
        <w:tblPrEx>
          <w:tblCellMar>
            <w:top w:w="0" w:type="dxa"/>
            <w:left w:w="0" w:type="dxa"/>
            <w:bottom w:w="0" w:type="dxa"/>
            <w:right w:w="0" w:type="dxa"/>
          </w:tblCellMar>
        </w:tblPrEx>
        <w:trPr>
          <w:trHeight w:val="657" w:hRule="atLeast"/>
          <w:jc w:val="center"/>
        </w:trPr>
        <w:tc>
          <w:tcPr>
            <w:tcW w:w="1545"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sz w:val="21"/>
                <w:szCs w:val="21"/>
              </w:rPr>
            </w:pPr>
            <w:r>
              <w:rPr>
                <w:sz w:val="21"/>
                <w:szCs w:val="21"/>
              </w:rPr>
              <w:t>人数</w:t>
            </w:r>
          </w:p>
          <w:p>
            <w:pPr>
              <w:widowControl/>
              <w:spacing w:line="240" w:lineRule="auto"/>
              <w:jc w:val="center"/>
              <w:textAlignment w:val="center"/>
              <w:rPr>
                <w:sz w:val="21"/>
                <w:szCs w:val="21"/>
              </w:rPr>
            </w:pPr>
            <w:r>
              <w:rPr>
                <w:sz w:val="21"/>
                <w:szCs w:val="21"/>
              </w:rPr>
              <w:t>（比例）</w:t>
            </w:r>
          </w:p>
        </w:tc>
        <w:tc>
          <w:tcPr>
            <w:tcW w:w="1507"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spacing w:line="240" w:lineRule="auto"/>
              <w:jc w:val="center"/>
              <w:textAlignment w:val="baseline"/>
              <w:rPr>
                <w:sz w:val="21"/>
                <w:szCs w:val="21"/>
              </w:rPr>
            </w:pPr>
            <w:r>
              <w:rPr>
                <w:sz w:val="21"/>
                <w:szCs w:val="21"/>
              </w:rPr>
              <w:t>38.60%</w:t>
            </w:r>
          </w:p>
        </w:tc>
        <w:tc>
          <w:tcPr>
            <w:tcW w:w="1425"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spacing w:line="240" w:lineRule="auto"/>
              <w:jc w:val="center"/>
              <w:textAlignment w:val="baseline"/>
              <w:rPr>
                <w:sz w:val="21"/>
                <w:szCs w:val="21"/>
              </w:rPr>
            </w:pPr>
            <w:r>
              <w:rPr>
                <w:sz w:val="21"/>
                <w:szCs w:val="21"/>
              </w:rPr>
              <w:t>24.56%</w:t>
            </w:r>
          </w:p>
        </w:tc>
        <w:tc>
          <w:tcPr>
            <w:tcW w:w="1470"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spacing w:line="240" w:lineRule="auto"/>
              <w:jc w:val="center"/>
              <w:textAlignment w:val="baseline"/>
              <w:rPr>
                <w:sz w:val="21"/>
                <w:szCs w:val="21"/>
              </w:rPr>
            </w:pPr>
            <w:r>
              <w:rPr>
                <w:sz w:val="21"/>
                <w:szCs w:val="21"/>
              </w:rPr>
              <w:t>29.82%</w:t>
            </w:r>
          </w:p>
        </w:tc>
        <w:tc>
          <w:tcPr>
            <w:tcW w:w="1485"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spacing w:line="240" w:lineRule="auto"/>
              <w:jc w:val="center"/>
              <w:textAlignment w:val="baseline"/>
              <w:rPr>
                <w:sz w:val="21"/>
                <w:szCs w:val="21"/>
              </w:rPr>
            </w:pPr>
            <w:r>
              <w:rPr>
                <w:sz w:val="21"/>
                <w:szCs w:val="21"/>
              </w:rPr>
              <w:t>7.02%</w:t>
            </w:r>
          </w:p>
        </w:tc>
      </w:tr>
    </w:tbl>
    <w:p>
      <w:pPr>
        <w:autoSpaceDE w:val="0"/>
        <w:ind w:firstLine="482"/>
        <w:rPr>
          <w:b/>
          <w:bCs/>
          <w:szCs w:val="24"/>
        </w:rPr>
      </w:pPr>
      <w:r>
        <w:rPr>
          <w:b/>
          <w:bCs/>
          <w:szCs w:val="24"/>
        </w:rPr>
        <w:t>3</w:t>
      </w:r>
      <w:r>
        <w:rPr>
          <w:rFonts w:hint="eastAsia"/>
          <w:b/>
          <w:bCs/>
          <w:szCs w:val="24"/>
          <w:lang w:eastAsia="zh-CN"/>
        </w:rPr>
        <w:t>.</w:t>
      </w:r>
      <w:r>
        <w:rPr>
          <w:b/>
          <w:bCs/>
          <w:szCs w:val="24"/>
        </w:rPr>
        <w:t>就业流向</w:t>
      </w:r>
    </w:p>
    <w:p>
      <w:pPr>
        <w:autoSpaceDE w:val="0"/>
        <w:ind w:firstLine="480"/>
        <w:rPr>
          <w:szCs w:val="24"/>
        </w:rPr>
      </w:pPr>
      <w:r>
        <w:rPr>
          <w:szCs w:val="24"/>
        </w:rPr>
        <w:t>说明：本部分已就业总人数，不包含升学、出国（境）和应征入伍。</w:t>
      </w:r>
    </w:p>
    <w:p>
      <w:pPr>
        <w:autoSpaceDE w:val="0"/>
        <w:ind w:firstLine="480"/>
        <w:rPr>
          <w:szCs w:val="24"/>
        </w:rPr>
      </w:pPr>
      <w:r>
        <w:rPr>
          <w:szCs w:val="24"/>
        </w:rPr>
        <w:t>毕业生就业单位性质显示，其他企业就业人数最多，占已就业人数的54.83%，其次是国有企业就业，占比41.94%；中国500强企业就业，占比38.71%；事业单位就业，占比3.23%。</w:t>
      </w:r>
    </w:p>
    <w:p>
      <w:pPr>
        <w:widowControl/>
        <w:spacing w:line="240" w:lineRule="auto"/>
        <w:jc w:val="center"/>
        <w:textAlignment w:val="center"/>
        <w:rPr>
          <w:b/>
          <w:bCs/>
          <w:sz w:val="21"/>
          <w:szCs w:val="21"/>
        </w:rPr>
      </w:pPr>
      <w:r>
        <w:rPr>
          <w:b/>
          <w:bCs/>
          <w:sz w:val="21"/>
          <w:szCs w:val="21"/>
        </w:rPr>
        <w:t>表2.毕业生就业单位性质统计表</w:t>
      </w:r>
    </w:p>
    <w:tbl>
      <w:tblPr>
        <w:tblStyle w:val="17"/>
        <w:tblW w:w="7728" w:type="dxa"/>
        <w:jc w:val="center"/>
        <w:tblLayout w:type="fixed"/>
        <w:tblCellMar>
          <w:top w:w="0" w:type="dxa"/>
          <w:left w:w="0" w:type="dxa"/>
          <w:bottom w:w="0" w:type="dxa"/>
          <w:right w:w="0" w:type="dxa"/>
        </w:tblCellMar>
      </w:tblPr>
      <w:tblGrid>
        <w:gridCol w:w="1367"/>
        <w:gridCol w:w="1276"/>
        <w:gridCol w:w="1500"/>
        <w:gridCol w:w="1529"/>
        <w:gridCol w:w="1243"/>
        <w:gridCol w:w="813"/>
      </w:tblGrid>
      <w:tr>
        <w:tblPrEx>
          <w:tblCellMar>
            <w:top w:w="0" w:type="dxa"/>
            <w:left w:w="0" w:type="dxa"/>
            <w:bottom w:w="0" w:type="dxa"/>
            <w:right w:w="0" w:type="dxa"/>
          </w:tblCellMar>
        </w:tblPrEx>
        <w:trPr>
          <w:trHeight w:val="490" w:hRule="atLeast"/>
          <w:jc w:val="center"/>
        </w:trPr>
        <w:tc>
          <w:tcPr>
            <w:tcW w:w="1367"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b/>
                <w:bCs/>
                <w:sz w:val="21"/>
                <w:szCs w:val="21"/>
              </w:rPr>
            </w:pPr>
            <w:r>
              <w:rPr>
                <w:b/>
                <w:bCs/>
                <w:sz w:val="21"/>
                <w:szCs w:val="21"/>
              </w:rPr>
              <w:t>单位性质</w:t>
            </w:r>
          </w:p>
        </w:tc>
        <w:tc>
          <w:tcPr>
            <w:tcW w:w="1276"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b/>
                <w:bCs/>
                <w:sz w:val="21"/>
                <w:szCs w:val="21"/>
              </w:rPr>
            </w:pPr>
            <w:r>
              <w:rPr>
                <w:b/>
                <w:bCs/>
                <w:sz w:val="21"/>
                <w:szCs w:val="21"/>
              </w:rPr>
              <w:t>国有企业</w:t>
            </w:r>
          </w:p>
        </w:tc>
        <w:tc>
          <w:tcPr>
            <w:tcW w:w="1500"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b/>
                <w:bCs/>
                <w:sz w:val="21"/>
                <w:szCs w:val="21"/>
              </w:rPr>
            </w:pPr>
            <w:r>
              <w:rPr>
                <w:b/>
                <w:bCs/>
                <w:sz w:val="21"/>
                <w:szCs w:val="21"/>
              </w:rPr>
              <w:t>事业单位</w:t>
            </w:r>
          </w:p>
        </w:tc>
        <w:tc>
          <w:tcPr>
            <w:tcW w:w="1529"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b/>
                <w:bCs/>
                <w:sz w:val="21"/>
                <w:szCs w:val="21"/>
              </w:rPr>
            </w:pPr>
            <w:r>
              <w:rPr>
                <w:b/>
                <w:bCs/>
                <w:sz w:val="21"/>
                <w:szCs w:val="21"/>
              </w:rPr>
              <w:t>世界500强</w:t>
            </w:r>
          </w:p>
          <w:p>
            <w:pPr>
              <w:widowControl/>
              <w:spacing w:line="240" w:lineRule="auto"/>
              <w:jc w:val="center"/>
              <w:textAlignment w:val="center"/>
              <w:rPr>
                <w:b/>
                <w:bCs/>
                <w:sz w:val="21"/>
                <w:szCs w:val="21"/>
              </w:rPr>
            </w:pPr>
            <w:r>
              <w:rPr>
                <w:b/>
                <w:bCs/>
                <w:sz w:val="21"/>
                <w:szCs w:val="21"/>
              </w:rPr>
              <w:t>企业</w:t>
            </w:r>
          </w:p>
        </w:tc>
        <w:tc>
          <w:tcPr>
            <w:tcW w:w="1243"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b/>
                <w:bCs/>
                <w:sz w:val="21"/>
                <w:szCs w:val="21"/>
              </w:rPr>
            </w:pPr>
            <w:r>
              <w:rPr>
                <w:b/>
                <w:bCs/>
                <w:sz w:val="21"/>
                <w:szCs w:val="21"/>
              </w:rPr>
              <w:t>中国500强</w:t>
            </w:r>
          </w:p>
          <w:p>
            <w:pPr>
              <w:widowControl/>
              <w:spacing w:line="240" w:lineRule="auto"/>
              <w:jc w:val="center"/>
              <w:textAlignment w:val="center"/>
              <w:rPr>
                <w:b/>
                <w:bCs/>
                <w:sz w:val="21"/>
                <w:szCs w:val="21"/>
              </w:rPr>
            </w:pPr>
            <w:r>
              <w:rPr>
                <w:b/>
                <w:bCs/>
                <w:sz w:val="21"/>
                <w:szCs w:val="21"/>
              </w:rPr>
              <w:t>企业</w:t>
            </w:r>
          </w:p>
        </w:tc>
        <w:tc>
          <w:tcPr>
            <w:tcW w:w="813"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b/>
                <w:bCs/>
                <w:sz w:val="21"/>
                <w:szCs w:val="21"/>
              </w:rPr>
            </w:pPr>
            <w:r>
              <w:rPr>
                <w:b/>
                <w:bCs/>
                <w:sz w:val="21"/>
                <w:szCs w:val="21"/>
              </w:rPr>
              <w:t>其他</w:t>
            </w:r>
          </w:p>
        </w:tc>
      </w:tr>
      <w:tr>
        <w:tblPrEx>
          <w:tblCellMar>
            <w:top w:w="0" w:type="dxa"/>
            <w:left w:w="0" w:type="dxa"/>
            <w:bottom w:w="0" w:type="dxa"/>
            <w:right w:w="0" w:type="dxa"/>
          </w:tblCellMar>
        </w:tblPrEx>
        <w:trPr>
          <w:trHeight w:val="386" w:hRule="atLeast"/>
          <w:jc w:val="center"/>
        </w:trPr>
        <w:tc>
          <w:tcPr>
            <w:tcW w:w="1367"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sz w:val="21"/>
                <w:szCs w:val="21"/>
              </w:rPr>
            </w:pPr>
            <w:r>
              <w:rPr>
                <w:sz w:val="21"/>
                <w:szCs w:val="21"/>
              </w:rPr>
              <w:t>人数</w:t>
            </w:r>
          </w:p>
          <w:p>
            <w:pPr>
              <w:widowControl/>
              <w:spacing w:line="240" w:lineRule="auto"/>
              <w:jc w:val="center"/>
              <w:textAlignment w:val="center"/>
              <w:rPr>
                <w:sz w:val="21"/>
                <w:szCs w:val="21"/>
              </w:rPr>
            </w:pPr>
            <w:r>
              <w:rPr>
                <w:sz w:val="21"/>
                <w:szCs w:val="21"/>
              </w:rPr>
              <w:t>（比例）</w:t>
            </w:r>
          </w:p>
        </w:tc>
        <w:tc>
          <w:tcPr>
            <w:tcW w:w="1276"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sz w:val="21"/>
                <w:szCs w:val="21"/>
              </w:rPr>
            </w:pPr>
            <w:r>
              <w:rPr>
                <w:sz w:val="21"/>
                <w:szCs w:val="21"/>
              </w:rPr>
              <w:t>41.94%</w:t>
            </w:r>
          </w:p>
        </w:tc>
        <w:tc>
          <w:tcPr>
            <w:tcW w:w="1500"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sz w:val="21"/>
                <w:szCs w:val="21"/>
              </w:rPr>
            </w:pPr>
            <w:r>
              <w:rPr>
                <w:sz w:val="21"/>
                <w:szCs w:val="21"/>
              </w:rPr>
              <w:t>3.23%</w:t>
            </w:r>
          </w:p>
        </w:tc>
        <w:tc>
          <w:tcPr>
            <w:tcW w:w="1529"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sz w:val="21"/>
                <w:szCs w:val="21"/>
              </w:rPr>
            </w:pPr>
            <w:r>
              <w:rPr>
                <w:sz w:val="21"/>
                <w:szCs w:val="21"/>
              </w:rPr>
              <w:t>32.26%</w:t>
            </w:r>
          </w:p>
        </w:tc>
        <w:tc>
          <w:tcPr>
            <w:tcW w:w="1243"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sz w:val="21"/>
                <w:szCs w:val="21"/>
              </w:rPr>
            </w:pPr>
            <w:r>
              <w:rPr>
                <w:sz w:val="21"/>
                <w:szCs w:val="21"/>
              </w:rPr>
              <w:t>38.71%</w:t>
            </w:r>
          </w:p>
        </w:tc>
        <w:tc>
          <w:tcPr>
            <w:tcW w:w="813"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sz w:val="21"/>
                <w:szCs w:val="21"/>
              </w:rPr>
            </w:pPr>
            <w:r>
              <w:rPr>
                <w:sz w:val="21"/>
                <w:szCs w:val="21"/>
              </w:rPr>
              <w:t>54.83%</w:t>
            </w:r>
          </w:p>
        </w:tc>
      </w:tr>
    </w:tbl>
    <w:p>
      <w:pPr>
        <w:autoSpaceDE w:val="0"/>
        <w:ind w:firstLine="482"/>
        <w:rPr>
          <w:b/>
          <w:bCs/>
          <w:szCs w:val="24"/>
        </w:rPr>
      </w:pPr>
      <w:r>
        <w:rPr>
          <w:b/>
          <w:bCs/>
          <w:szCs w:val="24"/>
        </w:rPr>
        <w:t>4</w:t>
      </w:r>
      <w:r>
        <w:rPr>
          <w:rFonts w:hint="eastAsia"/>
          <w:b/>
          <w:bCs/>
          <w:szCs w:val="24"/>
          <w:lang w:eastAsia="zh-CN"/>
        </w:rPr>
        <w:t>.</w:t>
      </w:r>
      <w:r>
        <w:rPr>
          <w:b/>
          <w:bCs/>
          <w:szCs w:val="24"/>
        </w:rPr>
        <w:t>考研情况</w:t>
      </w:r>
    </w:p>
    <w:p>
      <w:pPr>
        <w:autoSpaceDE w:val="0"/>
        <w:ind w:firstLine="480"/>
        <w:rPr>
          <w:szCs w:val="24"/>
        </w:rPr>
      </w:pPr>
      <w:r>
        <w:rPr>
          <w:szCs w:val="24"/>
        </w:rPr>
        <w:t>国内升学：</w:t>
      </w:r>
    </w:p>
    <w:p>
      <w:pPr>
        <w:autoSpaceDE w:val="0"/>
        <w:ind w:firstLine="480"/>
        <w:rPr>
          <w:szCs w:val="24"/>
        </w:rPr>
      </w:pPr>
      <w:r>
        <w:rPr>
          <w:szCs w:val="24"/>
        </w:rPr>
        <w:t>毕业生国内升学22人，升学率38.60%，其中考入</w:t>
      </w:r>
      <w:r>
        <w:rPr>
          <w:rFonts w:hint="eastAsia"/>
          <w:szCs w:val="24"/>
        </w:rPr>
        <w:t>“</w:t>
      </w:r>
      <w:r>
        <w:rPr>
          <w:szCs w:val="24"/>
        </w:rPr>
        <w:t>双一流</w:t>
      </w:r>
      <w:r>
        <w:rPr>
          <w:rFonts w:hint="eastAsia"/>
          <w:szCs w:val="24"/>
        </w:rPr>
        <w:t>”</w:t>
      </w:r>
      <w:r>
        <w:rPr>
          <w:szCs w:val="24"/>
        </w:rPr>
        <w:t>大学5人，占国内升学总人数的22.73%。从升学专业来看，跨专业升学的2人，占国内升学总人数的9.1%。升学学校主要是山东农业大学、山东建筑大学、上海海事大学等。</w:t>
      </w:r>
    </w:p>
    <w:p>
      <w:pPr>
        <w:widowControl/>
        <w:spacing w:line="240" w:lineRule="auto"/>
        <w:jc w:val="center"/>
        <w:textAlignment w:val="center"/>
        <w:rPr>
          <w:sz w:val="21"/>
          <w:szCs w:val="21"/>
        </w:rPr>
      </w:pPr>
    </w:p>
    <w:p>
      <w:pPr>
        <w:widowControl/>
        <w:spacing w:line="240" w:lineRule="auto"/>
        <w:jc w:val="center"/>
        <w:textAlignment w:val="center"/>
        <w:rPr>
          <w:b/>
          <w:bCs/>
          <w:sz w:val="21"/>
          <w:szCs w:val="21"/>
        </w:rPr>
      </w:pPr>
      <w:r>
        <w:rPr>
          <w:b/>
          <w:bCs/>
          <w:sz w:val="21"/>
          <w:szCs w:val="21"/>
        </w:rPr>
        <w:t>表3.国内升学学校前5位统计表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3087"/>
        <w:gridCol w:w="2062"/>
        <w:gridCol w:w="19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exact"/>
          <w:jc w:val="center"/>
        </w:trPr>
        <w:tc>
          <w:tcPr>
            <w:tcW w:w="1418" w:type="dxa"/>
            <w:vAlign w:val="center"/>
          </w:tcPr>
          <w:p>
            <w:pPr>
              <w:widowControl/>
              <w:spacing w:line="240" w:lineRule="auto"/>
              <w:jc w:val="center"/>
              <w:textAlignment w:val="center"/>
              <w:rPr>
                <w:b/>
                <w:bCs/>
                <w:sz w:val="21"/>
                <w:szCs w:val="21"/>
              </w:rPr>
            </w:pPr>
            <w:r>
              <w:rPr>
                <w:b/>
                <w:bCs/>
                <w:sz w:val="21"/>
                <w:szCs w:val="21"/>
              </w:rPr>
              <w:t>序号</w:t>
            </w:r>
          </w:p>
        </w:tc>
        <w:tc>
          <w:tcPr>
            <w:tcW w:w="3087" w:type="dxa"/>
            <w:vAlign w:val="center"/>
          </w:tcPr>
          <w:p>
            <w:pPr>
              <w:widowControl/>
              <w:spacing w:line="240" w:lineRule="auto"/>
              <w:jc w:val="center"/>
              <w:textAlignment w:val="center"/>
              <w:rPr>
                <w:b/>
                <w:bCs/>
                <w:sz w:val="21"/>
                <w:szCs w:val="21"/>
              </w:rPr>
            </w:pPr>
            <w:r>
              <w:rPr>
                <w:b/>
                <w:bCs/>
                <w:sz w:val="21"/>
                <w:szCs w:val="21"/>
              </w:rPr>
              <w:t>升学学校名称</w:t>
            </w:r>
          </w:p>
        </w:tc>
        <w:tc>
          <w:tcPr>
            <w:tcW w:w="2062" w:type="dxa"/>
            <w:vAlign w:val="center"/>
          </w:tcPr>
          <w:p>
            <w:pPr>
              <w:widowControl/>
              <w:spacing w:line="240" w:lineRule="auto"/>
              <w:jc w:val="center"/>
              <w:textAlignment w:val="center"/>
              <w:rPr>
                <w:b/>
                <w:bCs/>
                <w:sz w:val="21"/>
                <w:szCs w:val="21"/>
              </w:rPr>
            </w:pPr>
            <w:r>
              <w:rPr>
                <w:b/>
                <w:bCs/>
                <w:sz w:val="21"/>
                <w:szCs w:val="21"/>
              </w:rPr>
              <w:t>升学人数</w:t>
            </w:r>
          </w:p>
        </w:tc>
        <w:tc>
          <w:tcPr>
            <w:tcW w:w="1955" w:type="dxa"/>
            <w:vAlign w:val="center"/>
          </w:tcPr>
          <w:p>
            <w:pPr>
              <w:widowControl/>
              <w:spacing w:line="240" w:lineRule="auto"/>
              <w:jc w:val="center"/>
              <w:textAlignment w:val="center"/>
              <w:rPr>
                <w:b/>
                <w:bCs/>
                <w:sz w:val="21"/>
                <w:szCs w:val="21"/>
              </w:rPr>
            </w:pPr>
            <w:r>
              <w:rPr>
                <w:b/>
                <w:bCs/>
                <w:sz w:val="21"/>
                <w:szCs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18" w:type="dxa"/>
            <w:vAlign w:val="center"/>
          </w:tcPr>
          <w:p>
            <w:pPr>
              <w:widowControl/>
              <w:spacing w:line="240" w:lineRule="auto"/>
              <w:jc w:val="center"/>
              <w:textAlignment w:val="center"/>
              <w:rPr>
                <w:sz w:val="21"/>
                <w:szCs w:val="21"/>
              </w:rPr>
            </w:pPr>
            <w:r>
              <w:rPr>
                <w:sz w:val="21"/>
                <w:szCs w:val="21"/>
              </w:rPr>
              <w:t>1</w:t>
            </w:r>
          </w:p>
        </w:tc>
        <w:tc>
          <w:tcPr>
            <w:tcW w:w="3087" w:type="dxa"/>
            <w:vAlign w:val="center"/>
          </w:tcPr>
          <w:p>
            <w:pPr>
              <w:widowControl/>
              <w:spacing w:line="240" w:lineRule="auto"/>
              <w:jc w:val="center"/>
              <w:textAlignment w:val="center"/>
              <w:rPr>
                <w:sz w:val="21"/>
                <w:szCs w:val="21"/>
              </w:rPr>
            </w:pPr>
            <w:r>
              <w:rPr>
                <w:sz w:val="21"/>
                <w:szCs w:val="21"/>
              </w:rPr>
              <w:t>山东农业大学</w:t>
            </w:r>
          </w:p>
        </w:tc>
        <w:tc>
          <w:tcPr>
            <w:tcW w:w="2062" w:type="dxa"/>
            <w:vAlign w:val="center"/>
          </w:tcPr>
          <w:p>
            <w:pPr>
              <w:widowControl/>
              <w:spacing w:line="240" w:lineRule="auto"/>
              <w:jc w:val="center"/>
              <w:textAlignment w:val="center"/>
              <w:rPr>
                <w:sz w:val="21"/>
                <w:szCs w:val="21"/>
              </w:rPr>
            </w:pPr>
            <w:r>
              <w:rPr>
                <w:sz w:val="21"/>
                <w:szCs w:val="21"/>
              </w:rPr>
              <w:t>4</w:t>
            </w:r>
          </w:p>
        </w:tc>
        <w:tc>
          <w:tcPr>
            <w:tcW w:w="1955" w:type="dxa"/>
            <w:vAlign w:val="center"/>
          </w:tcPr>
          <w:p>
            <w:pPr>
              <w:widowControl/>
              <w:spacing w:line="240" w:lineRule="auto"/>
              <w:jc w:val="center"/>
              <w:textAlignment w:val="center"/>
              <w:rPr>
                <w:sz w:val="21"/>
                <w:szCs w:val="21"/>
              </w:rPr>
            </w:pPr>
            <w:r>
              <w:rPr>
                <w:sz w:val="21"/>
                <w:szCs w:val="21"/>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18" w:type="dxa"/>
            <w:vAlign w:val="center"/>
          </w:tcPr>
          <w:p>
            <w:pPr>
              <w:widowControl/>
              <w:spacing w:line="240" w:lineRule="auto"/>
              <w:jc w:val="center"/>
              <w:textAlignment w:val="center"/>
              <w:rPr>
                <w:sz w:val="21"/>
                <w:szCs w:val="21"/>
              </w:rPr>
            </w:pPr>
            <w:r>
              <w:rPr>
                <w:sz w:val="21"/>
                <w:szCs w:val="21"/>
              </w:rPr>
              <w:t>2</w:t>
            </w:r>
          </w:p>
        </w:tc>
        <w:tc>
          <w:tcPr>
            <w:tcW w:w="3087" w:type="dxa"/>
            <w:vAlign w:val="center"/>
          </w:tcPr>
          <w:p>
            <w:pPr>
              <w:widowControl/>
              <w:spacing w:line="240" w:lineRule="auto"/>
              <w:jc w:val="center"/>
              <w:textAlignment w:val="center"/>
              <w:rPr>
                <w:sz w:val="21"/>
                <w:szCs w:val="21"/>
              </w:rPr>
            </w:pPr>
            <w:r>
              <w:rPr>
                <w:sz w:val="21"/>
                <w:szCs w:val="21"/>
              </w:rPr>
              <w:t>上海海事大学</w:t>
            </w:r>
          </w:p>
        </w:tc>
        <w:tc>
          <w:tcPr>
            <w:tcW w:w="2062" w:type="dxa"/>
            <w:vAlign w:val="center"/>
          </w:tcPr>
          <w:p>
            <w:pPr>
              <w:widowControl/>
              <w:spacing w:line="240" w:lineRule="auto"/>
              <w:jc w:val="center"/>
              <w:textAlignment w:val="center"/>
              <w:rPr>
                <w:sz w:val="21"/>
                <w:szCs w:val="21"/>
              </w:rPr>
            </w:pPr>
            <w:r>
              <w:rPr>
                <w:sz w:val="21"/>
                <w:szCs w:val="21"/>
              </w:rPr>
              <w:t>2</w:t>
            </w:r>
          </w:p>
        </w:tc>
        <w:tc>
          <w:tcPr>
            <w:tcW w:w="1955" w:type="dxa"/>
            <w:vAlign w:val="center"/>
          </w:tcPr>
          <w:p>
            <w:pPr>
              <w:widowControl/>
              <w:spacing w:line="240" w:lineRule="auto"/>
              <w:jc w:val="center"/>
              <w:textAlignment w:val="center"/>
              <w:rPr>
                <w:sz w:val="21"/>
                <w:szCs w:val="21"/>
              </w:rPr>
            </w:pPr>
            <w:r>
              <w:rPr>
                <w:sz w:val="21"/>
                <w:szCs w:val="21"/>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18" w:type="dxa"/>
            <w:vAlign w:val="center"/>
          </w:tcPr>
          <w:p>
            <w:pPr>
              <w:widowControl/>
              <w:spacing w:line="240" w:lineRule="auto"/>
              <w:jc w:val="center"/>
              <w:textAlignment w:val="center"/>
              <w:rPr>
                <w:sz w:val="21"/>
                <w:szCs w:val="21"/>
              </w:rPr>
            </w:pPr>
            <w:r>
              <w:rPr>
                <w:sz w:val="21"/>
                <w:szCs w:val="21"/>
              </w:rPr>
              <w:t>3</w:t>
            </w:r>
          </w:p>
        </w:tc>
        <w:tc>
          <w:tcPr>
            <w:tcW w:w="3087" w:type="dxa"/>
            <w:vAlign w:val="center"/>
          </w:tcPr>
          <w:p>
            <w:pPr>
              <w:widowControl/>
              <w:spacing w:line="240" w:lineRule="auto"/>
              <w:jc w:val="center"/>
              <w:textAlignment w:val="center"/>
              <w:rPr>
                <w:sz w:val="21"/>
                <w:szCs w:val="21"/>
              </w:rPr>
            </w:pPr>
            <w:r>
              <w:rPr>
                <w:sz w:val="21"/>
                <w:szCs w:val="21"/>
              </w:rPr>
              <w:t>山东建筑大学</w:t>
            </w:r>
          </w:p>
        </w:tc>
        <w:tc>
          <w:tcPr>
            <w:tcW w:w="2062" w:type="dxa"/>
            <w:vAlign w:val="center"/>
          </w:tcPr>
          <w:p>
            <w:pPr>
              <w:widowControl/>
              <w:spacing w:line="240" w:lineRule="auto"/>
              <w:jc w:val="center"/>
              <w:textAlignment w:val="center"/>
              <w:rPr>
                <w:sz w:val="21"/>
                <w:szCs w:val="21"/>
              </w:rPr>
            </w:pPr>
            <w:r>
              <w:rPr>
                <w:sz w:val="21"/>
                <w:szCs w:val="21"/>
              </w:rPr>
              <w:t>5</w:t>
            </w:r>
          </w:p>
        </w:tc>
        <w:tc>
          <w:tcPr>
            <w:tcW w:w="1955" w:type="dxa"/>
            <w:vAlign w:val="center"/>
          </w:tcPr>
          <w:p>
            <w:pPr>
              <w:widowControl/>
              <w:spacing w:line="240" w:lineRule="auto"/>
              <w:jc w:val="center"/>
              <w:textAlignment w:val="center"/>
              <w:rPr>
                <w:sz w:val="21"/>
                <w:szCs w:val="21"/>
              </w:rPr>
            </w:pPr>
            <w:r>
              <w:rPr>
                <w:sz w:val="21"/>
                <w:szCs w:val="21"/>
              </w:rPr>
              <w:t>23%</w:t>
            </w:r>
          </w:p>
          <w:p>
            <w:pPr>
              <w:widowControl/>
              <w:spacing w:line="240" w:lineRule="auto"/>
              <w:jc w:val="center"/>
              <w:textAlignment w:val="center"/>
              <w:rPr>
                <w:sz w:val="21"/>
                <w:szCs w:val="21"/>
              </w:rPr>
            </w:pPr>
            <w:r>
              <w:rPr>
                <w:sz w:val="21"/>
                <w:szCs w:val="21"/>
              </w:rPr>
              <w:t>3.2</w:t>
            </w:r>
          </w:p>
          <w:p>
            <w:pPr>
              <w:widowControl/>
              <w:spacing w:line="240" w:lineRule="auto"/>
              <w:jc w:val="center"/>
              <w:textAlignment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18" w:type="dxa"/>
            <w:vAlign w:val="center"/>
          </w:tcPr>
          <w:p>
            <w:pPr>
              <w:widowControl/>
              <w:spacing w:line="240" w:lineRule="auto"/>
              <w:jc w:val="center"/>
              <w:textAlignment w:val="center"/>
              <w:rPr>
                <w:sz w:val="21"/>
                <w:szCs w:val="21"/>
              </w:rPr>
            </w:pPr>
            <w:r>
              <w:rPr>
                <w:sz w:val="21"/>
                <w:szCs w:val="21"/>
              </w:rPr>
              <w:t>4</w:t>
            </w:r>
          </w:p>
        </w:tc>
        <w:tc>
          <w:tcPr>
            <w:tcW w:w="3087" w:type="dxa"/>
            <w:vAlign w:val="center"/>
          </w:tcPr>
          <w:p>
            <w:pPr>
              <w:widowControl/>
              <w:spacing w:line="240" w:lineRule="auto"/>
              <w:jc w:val="center"/>
              <w:textAlignment w:val="center"/>
              <w:rPr>
                <w:sz w:val="21"/>
                <w:szCs w:val="21"/>
              </w:rPr>
            </w:pPr>
            <w:r>
              <w:rPr>
                <w:sz w:val="21"/>
                <w:szCs w:val="21"/>
              </w:rPr>
              <w:t>山东大学</w:t>
            </w:r>
          </w:p>
        </w:tc>
        <w:tc>
          <w:tcPr>
            <w:tcW w:w="2062" w:type="dxa"/>
            <w:vAlign w:val="center"/>
          </w:tcPr>
          <w:p>
            <w:pPr>
              <w:widowControl/>
              <w:spacing w:line="240" w:lineRule="auto"/>
              <w:jc w:val="center"/>
              <w:textAlignment w:val="center"/>
              <w:rPr>
                <w:sz w:val="21"/>
                <w:szCs w:val="21"/>
              </w:rPr>
            </w:pPr>
            <w:r>
              <w:rPr>
                <w:sz w:val="21"/>
                <w:szCs w:val="21"/>
              </w:rPr>
              <w:t>1</w:t>
            </w:r>
          </w:p>
        </w:tc>
        <w:tc>
          <w:tcPr>
            <w:tcW w:w="1955" w:type="dxa"/>
            <w:vAlign w:val="center"/>
          </w:tcPr>
          <w:p>
            <w:pPr>
              <w:widowControl/>
              <w:spacing w:line="240" w:lineRule="auto"/>
              <w:jc w:val="center"/>
              <w:textAlignment w:val="center"/>
              <w:rPr>
                <w:sz w:val="21"/>
                <w:szCs w:val="21"/>
              </w:rPr>
            </w:pPr>
            <w:r>
              <w:rPr>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18" w:type="dxa"/>
            <w:vAlign w:val="center"/>
          </w:tcPr>
          <w:p>
            <w:pPr>
              <w:widowControl/>
              <w:spacing w:line="240" w:lineRule="auto"/>
              <w:jc w:val="center"/>
              <w:textAlignment w:val="center"/>
              <w:rPr>
                <w:sz w:val="21"/>
                <w:szCs w:val="21"/>
              </w:rPr>
            </w:pPr>
            <w:r>
              <w:rPr>
                <w:sz w:val="21"/>
                <w:szCs w:val="21"/>
              </w:rPr>
              <w:t>5</w:t>
            </w:r>
          </w:p>
        </w:tc>
        <w:tc>
          <w:tcPr>
            <w:tcW w:w="3087" w:type="dxa"/>
            <w:vAlign w:val="center"/>
          </w:tcPr>
          <w:p>
            <w:pPr>
              <w:widowControl/>
              <w:spacing w:line="240" w:lineRule="auto"/>
              <w:jc w:val="center"/>
              <w:textAlignment w:val="center"/>
              <w:rPr>
                <w:sz w:val="21"/>
                <w:szCs w:val="21"/>
              </w:rPr>
            </w:pPr>
            <w:r>
              <w:rPr>
                <w:sz w:val="21"/>
                <w:szCs w:val="21"/>
              </w:rPr>
              <w:t>南京理工大学</w:t>
            </w:r>
          </w:p>
        </w:tc>
        <w:tc>
          <w:tcPr>
            <w:tcW w:w="2062" w:type="dxa"/>
            <w:vAlign w:val="center"/>
          </w:tcPr>
          <w:p>
            <w:pPr>
              <w:widowControl/>
              <w:spacing w:line="240" w:lineRule="auto"/>
              <w:jc w:val="center"/>
              <w:textAlignment w:val="center"/>
              <w:rPr>
                <w:sz w:val="21"/>
                <w:szCs w:val="21"/>
              </w:rPr>
            </w:pPr>
            <w:r>
              <w:rPr>
                <w:sz w:val="21"/>
                <w:szCs w:val="21"/>
              </w:rPr>
              <w:t>1</w:t>
            </w:r>
          </w:p>
        </w:tc>
        <w:tc>
          <w:tcPr>
            <w:tcW w:w="1955" w:type="dxa"/>
            <w:vAlign w:val="center"/>
          </w:tcPr>
          <w:p>
            <w:pPr>
              <w:widowControl/>
              <w:spacing w:line="240" w:lineRule="auto"/>
              <w:jc w:val="center"/>
              <w:textAlignment w:val="center"/>
              <w:rPr>
                <w:sz w:val="21"/>
                <w:szCs w:val="21"/>
              </w:rPr>
            </w:pPr>
            <w:r>
              <w:rPr>
                <w:sz w:val="21"/>
                <w:szCs w:val="21"/>
              </w:rPr>
              <w:t>5%</w:t>
            </w:r>
          </w:p>
        </w:tc>
      </w:tr>
    </w:tbl>
    <w:p>
      <w:pPr>
        <w:autoSpaceDE w:val="0"/>
        <w:ind w:firstLine="482"/>
        <w:rPr>
          <w:b/>
          <w:bCs/>
          <w:szCs w:val="24"/>
        </w:rPr>
      </w:pPr>
      <w:r>
        <w:rPr>
          <w:b/>
          <w:bCs/>
          <w:szCs w:val="24"/>
        </w:rPr>
        <w:t>5</w:t>
      </w:r>
      <w:r>
        <w:rPr>
          <w:rFonts w:hint="eastAsia"/>
          <w:b/>
          <w:bCs/>
          <w:szCs w:val="24"/>
          <w:lang w:eastAsia="zh-CN"/>
        </w:rPr>
        <w:t>.</w:t>
      </w:r>
      <w:r>
        <w:rPr>
          <w:b/>
          <w:bCs/>
          <w:szCs w:val="24"/>
        </w:rPr>
        <w:t>就业工作的专业对口情况</w:t>
      </w:r>
    </w:p>
    <w:p>
      <w:pPr>
        <w:autoSpaceDE w:val="0"/>
        <w:ind w:firstLine="480"/>
        <w:rPr>
          <w:szCs w:val="24"/>
        </w:rPr>
      </w:pPr>
      <w:r>
        <w:rPr>
          <w:szCs w:val="24"/>
        </w:rPr>
        <w:t>毕业生当前所在工作单位或者所从事工作岗位与所学专业对口率较高的共31人，占已就业总人数的79.5%。主要集中在中铁建工集团山东有限公司，山东同辉建筑设计有限公司，潍坊华建公路规划设计有限公司等。</w:t>
      </w:r>
    </w:p>
    <w:p>
      <w:pPr>
        <w:widowControl/>
        <w:spacing w:line="240" w:lineRule="auto"/>
        <w:jc w:val="center"/>
        <w:textAlignment w:val="center"/>
        <w:rPr>
          <w:sz w:val="21"/>
          <w:szCs w:val="21"/>
        </w:rPr>
      </w:pPr>
    </w:p>
    <w:p>
      <w:pPr>
        <w:widowControl/>
        <w:spacing w:line="240" w:lineRule="auto"/>
        <w:jc w:val="center"/>
        <w:textAlignment w:val="center"/>
        <w:rPr>
          <w:b/>
          <w:bCs/>
          <w:sz w:val="21"/>
          <w:szCs w:val="21"/>
        </w:rPr>
      </w:pPr>
      <w:r>
        <w:rPr>
          <w:b/>
          <w:bCs/>
          <w:sz w:val="21"/>
          <w:szCs w:val="21"/>
        </w:rPr>
        <w:t>表4. 毕业生专业对口情况统计表</w:t>
      </w:r>
    </w:p>
    <w:tbl>
      <w:tblPr>
        <w:tblStyle w:val="17"/>
        <w:tblW w:w="6883" w:type="dxa"/>
        <w:jc w:val="center"/>
        <w:tblLayout w:type="fixed"/>
        <w:tblCellMar>
          <w:top w:w="0" w:type="dxa"/>
          <w:left w:w="0" w:type="dxa"/>
          <w:bottom w:w="0" w:type="dxa"/>
          <w:right w:w="0" w:type="dxa"/>
        </w:tblCellMar>
      </w:tblPr>
      <w:tblGrid>
        <w:gridCol w:w="1668"/>
        <w:gridCol w:w="1211"/>
        <w:gridCol w:w="1529"/>
        <w:gridCol w:w="1335"/>
        <w:gridCol w:w="1140"/>
      </w:tblGrid>
      <w:tr>
        <w:tblPrEx>
          <w:tblCellMar>
            <w:top w:w="0" w:type="dxa"/>
            <w:left w:w="0" w:type="dxa"/>
            <w:bottom w:w="0" w:type="dxa"/>
            <w:right w:w="0" w:type="dxa"/>
          </w:tblCellMar>
        </w:tblPrEx>
        <w:trPr>
          <w:trHeight w:val="638" w:hRule="atLeast"/>
          <w:jc w:val="center"/>
        </w:trPr>
        <w:tc>
          <w:tcPr>
            <w:tcW w:w="166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sz w:val="21"/>
                <w:szCs w:val="21"/>
              </w:rPr>
            </w:pPr>
            <w:r>
              <w:rPr>
                <w:b/>
                <w:bCs/>
                <w:sz w:val="21"/>
                <w:szCs w:val="21"/>
              </w:rPr>
              <w:t>就业方式</w:t>
            </w:r>
          </w:p>
        </w:tc>
        <w:tc>
          <w:tcPr>
            <w:tcW w:w="121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sz w:val="21"/>
                <w:szCs w:val="21"/>
              </w:rPr>
            </w:pPr>
            <w:r>
              <w:rPr>
                <w:b/>
                <w:bCs/>
                <w:sz w:val="21"/>
                <w:szCs w:val="21"/>
              </w:rPr>
              <w:t>企业就业</w:t>
            </w:r>
          </w:p>
        </w:tc>
        <w:tc>
          <w:tcPr>
            <w:tcW w:w="152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sz w:val="21"/>
                <w:szCs w:val="21"/>
              </w:rPr>
            </w:pPr>
            <w:r>
              <w:rPr>
                <w:b/>
                <w:bCs/>
                <w:sz w:val="21"/>
                <w:szCs w:val="21"/>
              </w:rPr>
              <w:t>机关单位</w:t>
            </w:r>
          </w:p>
        </w:tc>
        <w:tc>
          <w:tcPr>
            <w:tcW w:w="13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sz w:val="21"/>
                <w:szCs w:val="21"/>
              </w:rPr>
            </w:pPr>
            <w:r>
              <w:rPr>
                <w:b/>
                <w:bCs/>
                <w:sz w:val="21"/>
                <w:szCs w:val="21"/>
              </w:rPr>
              <w:t>国有企业</w:t>
            </w:r>
          </w:p>
        </w:tc>
        <w:tc>
          <w:tcPr>
            <w:tcW w:w="114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b/>
                <w:bCs/>
                <w:sz w:val="21"/>
                <w:szCs w:val="21"/>
              </w:rPr>
            </w:pPr>
            <w:r>
              <w:rPr>
                <w:b/>
                <w:bCs/>
                <w:sz w:val="21"/>
                <w:szCs w:val="21"/>
              </w:rPr>
              <w:t>其他</w:t>
            </w:r>
          </w:p>
          <w:p>
            <w:pPr>
              <w:widowControl/>
              <w:spacing w:line="240" w:lineRule="auto"/>
              <w:jc w:val="center"/>
              <w:textAlignment w:val="center"/>
              <w:rPr>
                <w:b/>
                <w:bCs/>
                <w:sz w:val="21"/>
                <w:szCs w:val="21"/>
              </w:rPr>
            </w:pPr>
            <w:r>
              <w:rPr>
                <w:b/>
                <w:bCs/>
                <w:sz w:val="21"/>
                <w:szCs w:val="21"/>
              </w:rPr>
              <w:t>就业形式</w:t>
            </w:r>
          </w:p>
        </w:tc>
      </w:tr>
      <w:tr>
        <w:tblPrEx>
          <w:tblCellMar>
            <w:top w:w="0" w:type="dxa"/>
            <w:left w:w="0" w:type="dxa"/>
            <w:bottom w:w="0" w:type="dxa"/>
            <w:right w:w="0" w:type="dxa"/>
          </w:tblCellMar>
        </w:tblPrEx>
        <w:trPr>
          <w:trHeight w:val="414" w:hRule="atLeast"/>
          <w:jc w:val="center"/>
        </w:trPr>
        <w:tc>
          <w:tcPr>
            <w:tcW w:w="166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sz w:val="21"/>
                <w:szCs w:val="21"/>
              </w:rPr>
            </w:pPr>
            <w:r>
              <w:rPr>
                <w:sz w:val="21"/>
                <w:szCs w:val="21"/>
              </w:rPr>
              <w:t>对口就业人数</w:t>
            </w:r>
          </w:p>
        </w:tc>
        <w:tc>
          <w:tcPr>
            <w:tcW w:w="121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sz w:val="21"/>
                <w:szCs w:val="21"/>
              </w:rPr>
            </w:pPr>
            <w:r>
              <w:rPr>
                <w:sz w:val="21"/>
                <w:szCs w:val="21"/>
              </w:rPr>
              <w:t>12</w:t>
            </w:r>
          </w:p>
        </w:tc>
        <w:tc>
          <w:tcPr>
            <w:tcW w:w="152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sz w:val="21"/>
                <w:szCs w:val="21"/>
              </w:rPr>
            </w:pPr>
            <w:r>
              <w:rPr>
                <w:sz w:val="21"/>
                <w:szCs w:val="21"/>
              </w:rPr>
              <w:t>1</w:t>
            </w:r>
          </w:p>
        </w:tc>
        <w:tc>
          <w:tcPr>
            <w:tcW w:w="13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sz w:val="21"/>
                <w:szCs w:val="21"/>
              </w:rPr>
            </w:pPr>
            <w:r>
              <w:rPr>
                <w:sz w:val="21"/>
                <w:szCs w:val="21"/>
              </w:rPr>
              <w:t>13</w:t>
            </w:r>
          </w:p>
        </w:tc>
        <w:tc>
          <w:tcPr>
            <w:tcW w:w="114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sz w:val="21"/>
                <w:szCs w:val="21"/>
              </w:rPr>
            </w:pPr>
            <w:r>
              <w:rPr>
                <w:sz w:val="21"/>
                <w:szCs w:val="21"/>
              </w:rPr>
              <w:t>5</w:t>
            </w:r>
          </w:p>
        </w:tc>
      </w:tr>
      <w:tr>
        <w:tblPrEx>
          <w:tblCellMar>
            <w:top w:w="0" w:type="dxa"/>
            <w:left w:w="0" w:type="dxa"/>
            <w:bottom w:w="0" w:type="dxa"/>
            <w:right w:w="0" w:type="dxa"/>
          </w:tblCellMar>
        </w:tblPrEx>
        <w:trPr>
          <w:trHeight w:val="509" w:hRule="atLeast"/>
          <w:jc w:val="center"/>
        </w:trPr>
        <w:tc>
          <w:tcPr>
            <w:tcW w:w="166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sz w:val="21"/>
                <w:szCs w:val="21"/>
              </w:rPr>
            </w:pPr>
            <w:r>
              <w:rPr>
                <w:sz w:val="21"/>
                <w:szCs w:val="21"/>
              </w:rPr>
              <w:t>占比</w:t>
            </w:r>
          </w:p>
        </w:tc>
        <w:tc>
          <w:tcPr>
            <w:tcW w:w="121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sz w:val="21"/>
                <w:szCs w:val="21"/>
              </w:rPr>
            </w:pPr>
            <w:r>
              <w:rPr>
                <w:sz w:val="21"/>
                <w:szCs w:val="21"/>
              </w:rPr>
              <w:t>38.71%</w:t>
            </w:r>
          </w:p>
        </w:tc>
        <w:tc>
          <w:tcPr>
            <w:tcW w:w="152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sz w:val="21"/>
                <w:szCs w:val="21"/>
              </w:rPr>
            </w:pPr>
            <w:r>
              <w:rPr>
                <w:sz w:val="21"/>
                <w:szCs w:val="21"/>
              </w:rPr>
              <w:t>3.23%</w:t>
            </w:r>
          </w:p>
        </w:tc>
        <w:tc>
          <w:tcPr>
            <w:tcW w:w="133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sz w:val="21"/>
                <w:szCs w:val="21"/>
              </w:rPr>
            </w:pPr>
            <w:r>
              <w:rPr>
                <w:sz w:val="21"/>
                <w:szCs w:val="21"/>
              </w:rPr>
              <w:t>41.94%</w:t>
            </w:r>
          </w:p>
        </w:tc>
        <w:tc>
          <w:tcPr>
            <w:tcW w:w="114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widowControl/>
              <w:spacing w:line="240" w:lineRule="auto"/>
              <w:jc w:val="center"/>
              <w:textAlignment w:val="center"/>
              <w:rPr>
                <w:sz w:val="21"/>
                <w:szCs w:val="21"/>
              </w:rPr>
            </w:pPr>
            <w:r>
              <w:rPr>
                <w:sz w:val="21"/>
                <w:szCs w:val="21"/>
              </w:rPr>
              <w:t>16.1%</w:t>
            </w:r>
          </w:p>
        </w:tc>
      </w:tr>
    </w:tbl>
    <w:p>
      <w:pPr>
        <w:autoSpaceDE w:val="0"/>
        <w:ind w:firstLine="482" w:firstLineChars="200"/>
        <w:rPr>
          <w:b/>
          <w:bCs/>
          <w:szCs w:val="24"/>
        </w:rPr>
      </w:pPr>
      <w:r>
        <w:rPr>
          <w:b/>
          <w:bCs/>
          <w:szCs w:val="24"/>
        </w:rPr>
        <w:t>6</w:t>
      </w:r>
      <w:r>
        <w:rPr>
          <w:rFonts w:hint="eastAsia"/>
          <w:b/>
          <w:bCs/>
          <w:szCs w:val="24"/>
          <w:lang w:eastAsia="zh-CN"/>
        </w:rPr>
        <w:t>.</w:t>
      </w:r>
      <w:r>
        <w:rPr>
          <w:b/>
          <w:bCs/>
          <w:szCs w:val="24"/>
        </w:rPr>
        <w:t>未就业毕业生情况</w:t>
      </w:r>
    </w:p>
    <w:p>
      <w:pPr>
        <w:autoSpaceDE w:val="0"/>
        <w:ind w:firstLine="480" w:firstLineChars="200"/>
        <w:rPr>
          <w:szCs w:val="24"/>
        </w:rPr>
      </w:pPr>
      <w:r>
        <w:rPr>
          <w:szCs w:val="24"/>
        </w:rPr>
        <w:t>未就业原因：</w:t>
      </w:r>
    </w:p>
    <w:p>
      <w:pPr>
        <w:pStyle w:val="10"/>
        <w:ind w:left="0" w:firstLineChars="200"/>
        <w:jc w:val="both"/>
        <w:rPr>
          <w:rFonts w:cs="Times New Roman"/>
          <w:kern w:val="2"/>
          <w:szCs w:val="24"/>
          <w:lang w:val="en-US" w:bidi="ar-SA"/>
        </w:rPr>
      </w:pPr>
      <w:r>
        <w:rPr>
          <w:rFonts w:cs="Times New Roman"/>
          <w:kern w:val="2"/>
          <w:szCs w:val="24"/>
          <w:lang w:val="en-US" w:bidi="ar-SA"/>
        </w:rPr>
        <w:t xml:space="preserve">未就业毕业生4人，通过调研发现，未就业原因主要是二战考研，占未就业毕业生的50.00 </w:t>
      </w:r>
      <w:r>
        <w:rPr>
          <w:rFonts w:cs="Times New Roman"/>
          <w:kern w:val="2"/>
          <w:szCs w:val="24"/>
          <w:lang w:val="en-US" w:bidi="ar-SA"/>
        </w:rPr>
        <w:drawing>
          <wp:inline distT="0" distB="0" distL="0" distR="0">
            <wp:extent cx="66040" cy="116840"/>
            <wp:effectExtent l="0" t="0" r="10160" b="16510"/>
            <wp:docPr id="209715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52" name="image1.png"/>
                    <pic:cNvPicPr>
                      <a:picLocks noChangeAspect="1"/>
                    </pic:cNvPicPr>
                  </pic:nvPicPr>
                  <pic:blipFill>
                    <a:blip r:embed="rId142" cstate="print"/>
                    <a:stretch>
                      <a:fillRect/>
                    </a:stretch>
                  </pic:blipFill>
                  <pic:spPr>
                    <a:xfrm>
                      <a:off x="0" y="0"/>
                      <a:ext cx="66674" cy="117474"/>
                    </a:xfrm>
                    <a:prstGeom prst="rect">
                      <a:avLst/>
                    </a:prstGeom>
                  </pic:spPr>
                </pic:pic>
              </a:graphicData>
            </a:graphic>
          </wp:inline>
        </w:drawing>
      </w:r>
      <w:r>
        <w:rPr>
          <w:rFonts w:cs="Times New Roman"/>
          <w:kern w:val="2"/>
          <w:szCs w:val="24"/>
          <w:lang w:val="en-US" w:bidi="ar-SA"/>
        </w:rPr>
        <w:t>， 其次是准备公务员事业编考试，占未就业毕业生的25.00</w:t>
      </w:r>
      <w:r>
        <w:rPr>
          <w:rFonts w:cs="Times New Roman"/>
          <w:kern w:val="2"/>
          <w:szCs w:val="24"/>
          <w:lang w:val="en-US" w:bidi="ar-SA"/>
        </w:rPr>
        <w:drawing>
          <wp:inline distT="0" distB="0" distL="0" distR="0">
            <wp:extent cx="66040" cy="116840"/>
            <wp:effectExtent l="0" t="0" r="10160" b="16510"/>
            <wp:docPr id="209715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53" name="image1.png"/>
                    <pic:cNvPicPr>
                      <a:picLocks noChangeAspect="1"/>
                    </pic:cNvPicPr>
                  </pic:nvPicPr>
                  <pic:blipFill>
                    <a:blip r:embed="rId142" cstate="print"/>
                    <a:stretch>
                      <a:fillRect/>
                    </a:stretch>
                  </pic:blipFill>
                  <pic:spPr>
                    <a:xfrm>
                      <a:off x="0" y="0"/>
                      <a:ext cx="66674" cy="117474"/>
                    </a:xfrm>
                    <a:prstGeom prst="rect">
                      <a:avLst/>
                    </a:prstGeom>
                  </pic:spPr>
                </pic:pic>
              </a:graphicData>
            </a:graphic>
          </wp:inline>
        </w:drawing>
      </w:r>
      <w:r>
        <w:rPr>
          <w:rFonts w:cs="Times New Roman"/>
          <w:kern w:val="2"/>
          <w:szCs w:val="24"/>
          <w:lang w:val="en-US" w:bidi="ar-SA"/>
        </w:rPr>
        <w:t xml:space="preserve">，其次是就业期望值过高，占未就业毕业生的25.00 </w:t>
      </w:r>
      <w:r>
        <w:rPr>
          <w:rFonts w:cs="Times New Roman"/>
          <w:kern w:val="2"/>
          <w:szCs w:val="24"/>
          <w:lang w:val="en-US" w:bidi="ar-SA"/>
        </w:rPr>
        <w:drawing>
          <wp:inline distT="0" distB="0" distL="0" distR="0">
            <wp:extent cx="66040" cy="116840"/>
            <wp:effectExtent l="0" t="0" r="10160" b="16510"/>
            <wp:docPr id="209715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54" name="image1.png"/>
                    <pic:cNvPicPr>
                      <a:picLocks noChangeAspect="1"/>
                    </pic:cNvPicPr>
                  </pic:nvPicPr>
                  <pic:blipFill>
                    <a:blip r:embed="rId142" cstate="print"/>
                    <a:stretch>
                      <a:fillRect/>
                    </a:stretch>
                  </pic:blipFill>
                  <pic:spPr>
                    <a:xfrm>
                      <a:off x="0" y="0"/>
                      <a:ext cx="66674" cy="117474"/>
                    </a:xfrm>
                    <a:prstGeom prst="rect">
                      <a:avLst/>
                    </a:prstGeom>
                  </pic:spPr>
                </pic:pic>
              </a:graphicData>
            </a:graphic>
          </wp:inline>
        </w:drawing>
      </w:r>
      <w:r>
        <w:rPr>
          <w:rFonts w:cs="Times New Roman"/>
          <w:kern w:val="2"/>
          <w:szCs w:val="24"/>
          <w:lang w:val="en-US" w:bidi="ar-SA"/>
        </w:rPr>
        <w:t>。</w:t>
      </w:r>
    </w:p>
    <w:p>
      <w:pPr>
        <w:widowControl/>
        <w:spacing w:line="240" w:lineRule="auto"/>
        <w:jc w:val="center"/>
        <w:textAlignment w:val="center"/>
        <w:rPr>
          <w:b/>
          <w:bCs/>
          <w:sz w:val="21"/>
          <w:szCs w:val="21"/>
        </w:rPr>
      </w:pPr>
      <w:r>
        <w:rPr>
          <w:b/>
          <w:bCs/>
          <w:sz w:val="21"/>
          <w:szCs w:val="21"/>
        </w:rPr>
        <w:t>表 5.毕业生未就业原因统计表</w:t>
      </w:r>
    </w:p>
    <w:tbl>
      <w:tblPr>
        <w:tblStyle w:val="17"/>
        <w:tblW w:w="8699" w:type="dxa"/>
        <w:tblInd w:w="20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12"/>
        <w:gridCol w:w="3177"/>
        <w:gridCol w:w="2055"/>
        <w:gridCol w:w="23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5" w:hRule="atLeast"/>
        </w:trPr>
        <w:tc>
          <w:tcPr>
            <w:tcW w:w="1112" w:type="dxa"/>
            <w:vAlign w:val="center"/>
          </w:tcPr>
          <w:p>
            <w:pPr>
              <w:widowControl/>
              <w:spacing w:line="240" w:lineRule="auto"/>
              <w:jc w:val="center"/>
              <w:textAlignment w:val="center"/>
              <w:rPr>
                <w:b/>
                <w:bCs/>
                <w:sz w:val="21"/>
                <w:szCs w:val="21"/>
              </w:rPr>
            </w:pPr>
            <w:r>
              <w:rPr>
                <w:b/>
                <w:bCs/>
                <w:sz w:val="21"/>
                <w:szCs w:val="21"/>
              </w:rPr>
              <w:t>序号</w:t>
            </w:r>
          </w:p>
        </w:tc>
        <w:tc>
          <w:tcPr>
            <w:tcW w:w="3177" w:type="dxa"/>
            <w:vAlign w:val="center"/>
          </w:tcPr>
          <w:p>
            <w:pPr>
              <w:widowControl/>
              <w:spacing w:line="240" w:lineRule="auto"/>
              <w:jc w:val="center"/>
              <w:textAlignment w:val="center"/>
              <w:rPr>
                <w:b/>
                <w:bCs/>
                <w:sz w:val="21"/>
                <w:szCs w:val="21"/>
              </w:rPr>
            </w:pPr>
            <w:r>
              <w:rPr>
                <w:b/>
                <w:bCs/>
                <w:sz w:val="21"/>
                <w:szCs w:val="21"/>
              </w:rPr>
              <w:t>未就业原因</w:t>
            </w:r>
          </w:p>
        </w:tc>
        <w:tc>
          <w:tcPr>
            <w:tcW w:w="2055" w:type="dxa"/>
            <w:vAlign w:val="center"/>
          </w:tcPr>
          <w:p>
            <w:pPr>
              <w:widowControl/>
              <w:spacing w:line="240" w:lineRule="auto"/>
              <w:jc w:val="center"/>
              <w:textAlignment w:val="center"/>
              <w:rPr>
                <w:b/>
                <w:bCs/>
                <w:sz w:val="21"/>
                <w:szCs w:val="21"/>
              </w:rPr>
            </w:pPr>
            <w:r>
              <w:rPr>
                <w:b/>
                <w:bCs/>
                <w:sz w:val="21"/>
                <w:szCs w:val="21"/>
              </w:rPr>
              <w:t>人数</w:t>
            </w:r>
          </w:p>
        </w:tc>
        <w:tc>
          <w:tcPr>
            <w:tcW w:w="2355" w:type="dxa"/>
            <w:vAlign w:val="center"/>
          </w:tcPr>
          <w:p>
            <w:pPr>
              <w:widowControl/>
              <w:spacing w:line="240" w:lineRule="auto"/>
              <w:jc w:val="center"/>
              <w:textAlignment w:val="center"/>
              <w:rPr>
                <w:b/>
                <w:bCs/>
                <w:sz w:val="21"/>
                <w:szCs w:val="21"/>
              </w:rPr>
            </w:pPr>
            <w:r>
              <w:rPr>
                <w:b/>
                <w:bCs/>
                <w:sz w:val="21"/>
                <w:szCs w:val="21"/>
              </w:rPr>
              <w:t>占未就业毕业生比例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5" w:hRule="atLeast"/>
        </w:trPr>
        <w:tc>
          <w:tcPr>
            <w:tcW w:w="1112" w:type="dxa"/>
            <w:vAlign w:val="center"/>
          </w:tcPr>
          <w:p>
            <w:pPr>
              <w:widowControl/>
              <w:spacing w:line="240" w:lineRule="auto"/>
              <w:jc w:val="center"/>
              <w:textAlignment w:val="center"/>
              <w:rPr>
                <w:sz w:val="21"/>
                <w:szCs w:val="21"/>
              </w:rPr>
            </w:pPr>
            <w:r>
              <w:rPr>
                <w:sz w:val="21"/>
                <w:szCs w:val="21"/>
              </w:rPr>
              <w:t>1</w:t>
            </w:r>
          </w:p>
        </w:tc>
        <w:tc>
          <w:tcPr>
            <w:tcW w:w="3177" w:type="dxa"/>
            <w:vAlign w:val="center"/>
          </w:tcPr>
          <w:p>
            <w:pPr>
              <w:widowControl/>
              <w:spacing w:line="240" w:lineRule="auto"/>
              <w:jc w:val="center"/>
              <w:textAlignment w:val="center"/>
              <w:rPr>
                <w:sz w:val="21"/>
                <w:szCs w:val="21"/>
              </w:rPr>
            </w:pPr>
            <w:r>
              <w:rPr>
                <w:sz w:val="21"/>
                <w:szCs w:val="21"/>
              </w:rPr>
              <w:t>二战考研</w:t>
            </w:r>
          </w:p>
        </w:tc>
        <w:tc>
          <w:tcPr>
            <w:tcW w:w="2055" w:type="dxa"/>
            <w:vAlign w:val="center"/>
          </w:tcPr>
          <w:p>
            <w:pPr>
              <w:widowControl/>
              <w:spacing w:line="240" w:lineRule="auto"/>
              <w:jc w:val="center"/>
              <w:textAlignment w:val="center"/>
              <w:rPr>
                <w:sz w:val="21"/>
                <w:szCs w:val="21"/>
              </w:rPr>
            </w:pPr>
            <w:r>
              <w:rPr>
                <w:sz w:val="21"/>
                <w:szCs w:val="21"/>
              </w:rPr>
              <w:t>2</w:t>
            </w:r>
          </w:p>
        </w:tc>
        <w:tc>
          <w:tcPr>
            <w:tcW w:w="2355" w:type="dxa"/>
            <w:vAlign w:val="center"/>
          </w:tcPr>
          <w:p>
            <w:pPr>
              <w:widowControl/>
              <w:spacing w:line="240" w:lineRule="auto"/>
              <w:jc w:val="center"/>
              <w:textAlignment w:val="center"/>
              <w:rPr>
                <w:sz w:val="21"/>
                <w:szCs w:val="21"/>
              </w:rPr>
            </w:pPr>
            <w:r>
              <w:rPr>
                <w:sz w:val="21"/>
                <w:szCs w:val="21"/>
              </w:rPr>
              <w:t>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5" w:hRule="atLeast"/>
        </w:trPr>
        <w:tc>
          <w:tcPr>
            <w:tcW w:w="1112" w:type="dxa"/>
            <w:vAlign w:val="center"/>
          </w:tcPr>
          <w:p>
            <w:pPr>
              <w:widowControl/>
              <w:spacing w:line="240" w:lineRule="auto"/>
              <w:jc w:val="center"/>
              <w:textAlignment w:val="center"/>
              <w:rPr>
                <w:sz w:val="21"/>
                <w:szCs w:val="21"/>
              </w:rPr>
            </w:pPr>
            <w:r>
              <w:rPr>
                <w:sz w:val="21"/>
                <w:szCs w:val="21"/>
              </w:rPr>
              <w:t>2</w:t>
            </w:r>
          </w:p>
        </w:tc>
        <w:tc>
          <w:tcPr>
            <w:tcW w:w="3177" w:type="dxa"/>
            <w:vAlign w:val="center"/>
          </w:tcPr>
          <w:p>
            <w:pPr>
              <w:widowControl/>
              <w:spacing w:line="240" w:lineRule="auto"/>
              <w:jc w:val="center"/>
              <w:textAlignment w:val="center"/>
              <w:rPr>
                <w:sz w:val="21"/>
                <w:szCs w:val="21"/>
              </w:rPr>
            </w:pPr>
            <w:r>
              <w:rPr>
                <w:sz w:val="21"/>
                <w:szCs w:val="21"/>
              </w:rPr>
              <w:t>准备公务员事业编考试</w:t>
            </w:r>
          </w:p>
        </w:tc>
        <w:tc>
          <w:tcPr>
            <w:tcW w:w="2055" w:type="dxa"/>
            <w:vAlign w:val="center"/>
          </w:tcPr>
          <w:p>
            <w:pPr>
              <w:widowControl/>
              <w:spacing w:line="240" w:lineRule="auto"/>
              <w:jc w:val="center"/>
              <w:textAlignment w:val="center"/>
              <w:rPr>
                <w:sz w:val="21"/>
                <w:szCs w:val="21"/>
              </w:rPr>
            </w:pPr>
            <w:r>
              <w:rPr>
                <w:sz w:val="21"/>
                <w:szCs w:val="21"/>
              </w:rPr>
              <w:t>1</w:t>
            </w:r>
          </w:p>
        </w:tc>
        <w:tc>
          <w:tcPr>
            <w:tcW w:w="2355" w:type="dxa"/>
            <w:vAlign w:val="center"/>
          </w:tcPr>
          <w:p>
            <w:pPr>
              <w:widowControl/>
              <w:spacing w:line="240" w:lineRule="auto"/>
              <w:jc w:val="center"/>
              <w:textAlignment w:val="center"/>
              <w:rPr>
                <w:sz w:val="21"/>
                <w:szCs w:val="21"/>
              </w:rPr>
            </w:pPr>
            <w:r>
              <w:rPr>
                <w:sz w:val="21"/>
                <w:szCs w:val="21"/>
              </w:rPr>
              <w:t>25.00%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5" w:hRule="atLeast"/>
        </w:trPr>
        <w:tc>
          <w:tcPr>
            <w:tcW w:w="1112" w:type="dxa"/>
            <w:vAlign w:val="center"/>
          </w:tcPr>
          <w:p>
            <w:pPr>
              <w:widowControl/>
              <w:spacing w:line="240" w:lineRule="auto"/>
              <w:jc w:val="center"/>
              <w:textAlignment w:val="center"/>
              <w:rPr>
                <w:sz w:val="21"/>
                <w:szCs w:val="21"/>
              </w:rPr>
            </w:pPr>
            <w:r>
              <w:rPr>
                <w:sz w:val="21"/>
                <w:szCs w:val="21"/>
              </w:rPr>
              <w:t>3</w:t>
            </w:r>
          </w:p>
        </w:tc>
        <w:tc>
          <w:tcPr>
            <w:tcW w:w="3177" w:type="dxa"/>
            <w:vAlign w:val="center"/>
          </w:tcPr>
          <w:p>
            <w:pPr>
              <w:widowControl/>
              <w:spacing w:line="240" w:lineRule="auto"/>
              <w:jc w:val="center"/>
              <w:textAlignment w:val="center"/>
              <w:rPr>
                <w:sz w:val="21"/>
                <w:szCs w:val="21"/>
              </w:rPr>
            </w:pPr>
            <w:r>
              <w:rPr>
                <w:sz w:val="21"/>
                <w:szCs w:val="21"/>
              </w:rPr>
              <w:t>就业期望值过高</w:t>
            </w:r>
          </w:p>
        </w:tc>
        <w:tc>
          <w:tcPr>
            <w:tcW w:w="2055" w:type="dxa"/>
            <w:vAlign w:val="center"/>
          </w:tcPr>
          <w:p>
            <w:pPr>
              <w:widowControl/>
              <w:spacing w:line="240" w:lineRule="auto"/>
              <w:jc w:val="center"/>
              <w:textAlignment w:val="center"/>
              <w:rPr>
                <w:sz w:val="21"/>
                <w:szCs w:val="21"/>
              </w:rPr>
            </w:pPr>
            <w:r>
              <w:rPr>
                <w:sz w:val="21"/>
                <w:szCs w:val="21"/>
              </w:rPr>
              <w:t>1</w:t>
            </w:r>
          </w:p>
        </w:tc>
        <w:tc>
          <w:tcPr>
            <w:tcW w:w="2355" w:type="dxa"/>
            <w:vAlign w:val="center"/>
          </w:tcPr>
          <w:p>
            <w:pPr>
              <w:widowControl/>
              <w:spacing w:line="240" w:lineRule="auto"/>
              <w:jc w:val="center"/>
              <w:textAlignment w:val="center"/>
              <w:rPr>
                <w:sz w:val="21"/>
                <w:szCs w:val="21"/>
              </w:rPr>
            </w:pPr>
            <w:r>
              <w:rPr>
                <w:sz w:val="21"/>
                <w:szCs w:val="21"/>
              </w:rPr>
              <w:t>25.00%</w:t>
            </w:r>
          </w:p>
        </w:tc>
      </w:tr>
    </w:tbl>
    <w:p>
      <w:pPr>
        <w:autoSpaceDE w:val="0"/>
        <w:ind w:firstLine="480"/>
        <w:rPr>
          <w:szCs w:val="24"/>
        </w:rPr>
      </w:pPr>
      <w:r>
        <w:rPr>
          <w:szCs w:val="24"/>
        </w:rPr>
        <w:t>针对性举措：</w:t>
      </w:r>
    </w:p>
    <w:p>
      <w:pPr>
        <w:autoSpaceDE w:val="0"/>
        <w:ind w:firstLine="480"/>
        <w:rPr>
          <w:szCs w:val="24"/>
        </w:rPr>
      </w:pPr>
      <w:r>
        <w:rPr>
          <w:szCs w:val="24"/>
        </w:rPr>
        <w:t>针对以上未就业原因，在指导下一届毕业生就业时拟采取的有效工作举措，</w:t>
      </w:r>
    </w:p>
    <w:p>
      <w:pPr>
        <w:autoSpaceDE w:val="0"/>
        <w:ind w:firstLine="480"/>
        <w:rPr>
          <w:szCs w:val="24"/>
        </w:rPr>
      </w:pPr>
      <w:r>
        <w:rPr>
          <w:szCs w:val="24"/>
        </w:rPr>
        <w:t>（1）开展就业相关教育，紧扣学生就业需求。开展就业能力提升系列培训班，包括就业心态指导、企业招聘、打造就业核心竞争力、面试形象设计、面试通关等内容。紧扣学生就业需求，助力就业最后一站。</w:t>
      </w:r>
    </w:p>
    <w:p>
      <w:pPr>
        <w:autoSpaceDE w:val="0"/>
        <w:ind w:firstLine="480"/>
        <w:rPr>
          <w:szCs w:val="24"/>
        </w:rPr>
      </w:pPr>
      <w:r>
        <w:rPr>
          <w:szCs w:val="24"/>
        </w:rPr>
        <w:t>（2）一对一实践指导，鼓励积极创业。对于有创业意愿的未就业毕业生,从实践指导、政策扶持等方面，鼓励未就业毕业生开展创业实践。</w:t>
      </w:r>
    </w:p>
    <w:p>
      <w:pPr>
        <w:autoSpaceDE w:val="0"/>
        <w:ind w:firstLine="480"/>
        <w:rPr>
          <w:szCs w:val="24"/>
        </w:rPr>
      </w:pPr>
      <w:r>
        <w:rPr>
          <w:szCs w:val="24"/>
        </w:rPr>
        <w:t>（3）提高警惕性保护意识，远离招聘就业陷阱。求职择业过程中，提醒毕业生摆正心态、从容应对，加强就业安全教育。指引识别就业信息的真伪，避免误入就业</w:t>
      </w:r>
      <w:r>
        <w:rPr>
          <w:rFonts w:hint="eastAsia"/>
          <w:szCs w:val="24"/>
        </w:rPr>
        <w:t>“</w:t>
      </w:r>
      <w:r>
        <w:rPr>
          <w:szCs w:val="24"/>
        </w:rPr>
        <w:t>传销</w:t>
      </w:r>
      <w:r>
        <w:rPr>
          <w:rFonts w:hint="eastAsia"/>
          <w:szCs w:val="24"/>
        </w:rPr>
        <w:t>”</w:t>
      </w:r>
      <w:r>
        <w:rPr>
          <w:szCs w:val="24"/>
        </w:rPr>
        <w:t>、就业</w:t>
      </w:r>
      <w:r>
        <w:rPr>
          <w:rFonts w:hint="eastAsia"/>
          <w:szCs w:val="24"/>
        </w:rPr>
        <w:t>“</w:t>
      </w:r>
      <w:r>
        <w:rPr>
          <w:szCs w:val="24"/>
        </w:rPr>
        <w:t>黑中介</w:t>
      </w:r>
      <w:r>
        <w:rPr>
          <w:rFonts w:hint="eastAsia"/>
          <w:szCs w:val="24"/>
        </w:rPr>
        <w:t>”</w:t>
      </w:r>
      <w:r>
        <w:rPr>
          <w:szCs w:val="24"/>
        </w:rPr>
        <w:t>等歧途，学会识别</w:t>
      </w:r>
      <w:r>
        <w:rPr>
          <w:rFonts w:hint="eastAsia"/>
          <w:szCs w:val="24"/>
        </w:rPr>
        <w:t>“</w:t>
      </w:r>
      <w:r>
        <w:rPr>
          <w:szCs w:val="24"/>
        </w:rPr>
        <w:t>就业陷阱</w:t>
      </w:r>
      <w:r>
        <w:rPr>
          <w:rFonts w:hint="eastAsia"/>
          <w:szCs w:val="24"/>
        </w:rPr>
        <w:t>”</w:t>
      </w:r>
      <w:r>
        <w:rPr>
          <w:szCs w:val="24"/>
        </w:rPr>
        <w:t>，严防以招聘为名进行的</w:t>
      </w:r>
      <w:r>
        <w:rPr>
          <w:rFonts w:hint="eastAsia"/>
          <w:szCs w:val="24"/>
        </w:rPr>
        <w:t>“</w:t>
      </w:r>
      <w:r>
        <w:rPr>
          <w:szCs w:val="24"/>
        </w:rPr>
        <w:t>求职保证金、押金</w:t>
      </w:r>
      <w:r>
        <w:rPr>
          <w:rFonts w:hint="eastAsia"/>
          <w:szCs w:val="24"/>
        </w:rPr>
        <w:t>”</w:t>
      </w:r>
      <w:r>
        <w:rPr>
          <w:szCs w:val="24"/>
        </w:rPr>
        <w:t>等欺诈行为；对于接到外地陌生单位的面试邀请，要核实其真实性、准确性，不要轻信，更不要轻易将个人或家庭的联系方式等信息告诉他人或在网上发布；提醒毕业生在由学生转变为职业人的过程中，更要学会独立生活，自我防范。</w:t>
      </w:r>
    </w:p>
    <w:p>
      <w:pPr>
        <w:pStyle w:val="5"/>
        <w:spacing w:before="93" w:after="93"/>
        <w:ind w:firstLine="560"/>
      </w:pPr>
      <w:r>
        <w:t>二、市场建设情况</w:t>
      </w:r>
      <w:bookmarkEnd w:id="594"/>
      <w:bookmarkEnd w:id="595"/>
    </w:p>
    <w:p>
      <w:pPr>
        <w:autoSpaceDE w:val="0"/>
        <w:autoSpaceDN w:val="0"/>
        <w:adjustRightInd w:val="0"/>
        <w:ind w:firstLine="480"/>
        <w:jc w:val="left"/>
        <w:rPr>
          <w:kern w:val="0"/>
          <w:lang w:val="ru-RU"/>
        </w:rPr>
      </w:pPr>
      <w:r>
        <w:rPr>
          <w:kern w:val="0"/>
          <w:lang w:val="ru-RU"/>
        </w:rPr>
        <w:t>建环专业认真贯彻落实国家和省关于高校毕业生就业工作方针政策，坚持以学生为本的教育理念，以服务为宗旨，以市场为导向，以稳定毕业生就业率、提升毕业生就业质量为目标，扎实开展大学生就业指导和服务工作，稳步推进创业教育，取得了较好的成绩。</w:t>
      </w:r>
    </w:p>
    <w:p>
      <w:pPr>
        <w:pStyle w:val="36"/>
        <w:adjustRightInd w:val="0"/>
        <w:snapToGrid w:val="0"/>
        <w:ind w:firstLine="482"/>
        <w:outlineLvl w:val="2"/>
        <w:rPr>
          <w:b/>
          <w:bCs/>
          <w:szCs w:val="24"/>
        </w:rPr>
      </w:pPr>
      <w:bookmarkStart w:id="596" w:name="_Toc28030606"/>
      <w:bookmarkStart w:id="597" w:name="_Toc503784680"/>
      <w:r>
        <w:rPr>
          <w:b/>
          <w:bCs/>
          <w:szCs w:val="24"/>
        </w:rPr>
        <w:t>1</w:t>
      </w:r>
      <w:r>
        <w:rPr>
          <w:rFonts w:hint="eastAsia"/>
          <w:b/>
          <w:bCs/>
          <w:szCs w:val="24"/>
          <w:lang w:eastAsia="zh-CN"/>
        </w:rPr>
        <w:t>.</w:t>
      </w:r>
      <w:r>
        <w:rPr>
          <w:b/>
          <w:bCs/>
          <w:szCs w:val="24"/>
        </w:rPr>
        <w:t>广开就业渠道，加强就业服务</w:t>
      </w:r>
      <w:bookmarkEnd w:id="596"/>
      <w:bookmarkEnd w:id="597"/>
    </w:p>
    <w:p>
      <w:pPr>
        <w:autoSpaceDE w:val="0"/>
        <w:autoSpaceDN w:val="0"/>
        <w:adjustRightInd w:val="0"/>
        <w:ind w:firstLine="480"/>
        <w:jc w:val="left"/>
        <w:rPr>
          <w:kern w:val="0"/>
          <w:lang w:val="ru-RU"/>
        </w:rPr>
      </w:pPr>
      <w:r>
        <w:rPr>
          <w:kern w:val="0"/>
          <w:lang w:val="ru-RU"/>
        </w:rPr>
        <w:t>建环专业各位老师积极鼓励学生参加招聘会，了解招聘信息。学院每年举办校园大型招聘会 2 场，小型专场招聘会 50 多场。建环专业结合专业社会实践，借助大学生送科技</w:t>
      </w:r>
      <w:r>
        <w:rPr>
          <w:rFonts w:hint="eastAsia"/>
          <w:kern w:val="0"/>
          <w:lang w:val="ru-RU"/>
        </w:rPr>
        <w:t>“</w:t>
      </w:r>
      <w:r>
        <w:rPr>
          <w:kern w:val="0"/>
          <w:lang w:val="ru-RU"/>
        </w:rPr>
        <w:t>三下乡</w:t>
      </w:r>
      <w:r>
        <w:rPr>
          <w:rFonts w:hint="eastAsia"/>
          <w:kern w:val="0"/>
          <w:lang w:val="ru-RU"/>
        </w:rPr>
        <w:t>”</w:t>
      </w:r>
      <w:r>
        <w:rPr>
          <w:kern w:val="0"/>
          <w:lang w:val="ru-RU"/>
        </w:rPr>
        <w:t>等大学生社会实践活动，深入建筑工地实地了解建环专业以后的工作特点和工作流程。积极组织发动专业教师参与就业工作，落实教师与就业困难学生结成对，帮助他们顺利就业。</w:t>
      </w:r>
    </w:p>
    <w:p>
      <w:pPr>
        <w:pStyle w:val="36"/>
        <w:adjustRightInd w:val="0"/>
        <w:snapToGrid w:val="0"/>
        <w:ind w:firstLine="482"/>
        <w:outlineLvl w:val="2"/>
        <w:rPr>
          <w:b/>
          <w:bCs/>
          <w:szCs w:val="24"/>
        </w:rPr>
      </w:pPr>
      <w:bookmarkStart w:id="598" w:name="_Toc503784681"/>
      <w:bookmarkStart w:id="599" w:name="_Toc28030607"/>
      <w:bookmarkStart w:id="600" w:name="_Toc17358"/>
      <w:r>
        <w:rPr>
          <w:b/>
          <w:bCs/>
          <w:szCs w:val="24"/>
        </w:rPr>
        <w:t>2</w:t>
      </w:r>
      <w:r>
        <w:rPr>
          <w:rFonts w:hint="eastAsia"/>
          <w:b/>
          <w:bCs/>
          <w:szCs w:val="24"/>
          <w:lang w:eastAsia="zh-CN"/>
        </w:rPr>
        <w:t>.</w:t>
      </w:r>
      <w:r>
        <w:rPr>
          <w:b/>
          <w:bCs/>
          <w:szCs w:val="24"/>
        </w:rPr>
        <w:t>注重职业规划，加强就业指导</w:t>
      </w:r>
      <w:bookmarkEnd w:id="598"/>
      <w:bookmarkEnd w:id="599"/>
      <w:bookmarkEnd w:id="600"/>
    </w:p>
    <w:p>
      <w:pPr>
        <w:autoSpaceDE w:val="0"/>
        <w:autoSpaceDN w:val="0"/>
        <w:adjustRightInd w:val="0"/>
        <w:ind w:firstLine="480"/>
        <w:jc w:val="left"/>
        <w:rPr>
          <w:szCs w:val="24"/>
        </w:rPr>
      </w:pPr>
      <w:r>
        <w:rPr>
          <w:kern w:val="0"/>
          <w:lang w:val="ru-RU"/>
        </w:rPr>
        <w:t>就业质量关系学生的发展、家庭的幸福。建环专业积极参与学院的就业指导规划，积极开拓就业市场。针对部分单位对农业院校举办的工科专业不够了解的情况，加强与实习基地、对口行业联系，通过致用人单位一封信等多种形式，向用人单位介绍学校办学优势，专业特色，学生业务能力、科技创新及社会实践等综合素质。通过沟通交流，许多单位了解了学校、了解了学校工科专业及毕业生的综合素质。在提高毕业生签约率的同时，实现了毕业生就业的高质量。</w:t>
      </w:r>
    </w:p>
    <w:p>
      <w:pPr>
        <w:pStyle w:val="36"/>
        <w:adjustRightInd w:val="0"/>
        <w:snapToGrid w:val="0"/>
        <w:ind w:firstLine="482"/>
        <w:outlineLvl w:val="2"/>
        <w:rPr>
          <w:b/>
          <w:bCs/>
          <w:szCs w:val="24"/>
        </w:rPr>
      </w:pPr>
      <w:bookmarkStart w:id="601" w:name="_Toc503784682"/>
      <w:bookmarkStart w:id="602" w:name="_Toc26982"/>
      <w:bookmarkStart w:id="603" w:name="_Toc28030608"/>
      <w:r>
        <w:rPr>
          <w:b/>
          <w:bCs/>
          <w:szCs w:val="24"/>
        </w:rPr>
        <w:t>3</w:t>
      </w:r>
      <w:r>
        <w:rPr>
          <w:rFonts w:hint="eastAsia"/>
          <w:b/>
          <w:bCs/>
          <w:szCs w:val="24"/>
          <w:lang w:eastAsia="zh-CN"/>
        </w:rPr>
        <w:t>.</w:t>
      </w:r>
      <w:r>
        <w:rPr>
          <w:b/>
          <w:bCs/>
          <w:szCs w:val="24"/>
        </w:rPr>
        <w:t>细致排摸，关注个体，增强人文关怀</w:t>
      </w:r>
      <w:bookmarkEnd w:id="601"/>
      <w:bookmarkEnd w:id="602"/>
      <w:bookmarkEnd w:id="603"/>
    </w:p>
    <w:p>
      <w:pPr>
        <w:autoSpaceDE w:val="0"/>
        <w:autoSpaceDN w:val="0"/>
        <w:adjustRightInd w:val="0"/>
        <w:ind w:firstLine="480"/>
        <w:jc w:val="left"/>
        <w:rPr>
          <w:rFonts w:eastAsia="黑体"/>
          <w:szCs w:val="24"/>
        </w:rPr>
      </w:pPr>
      <w:r>
        <w:rPr>
          <w:kern w:val="0"/>
          <w:lang w:val="ru-RU"/>
        </w:rPr>
        <w:t>根据专业就业实际情况，针对就业困难学生进行分类指导：1、重点培养女生同学的求职技能，以社会发展、形势变化、政策导向、学生需求为依据，帮助其获得有关就业知识、技能及经验，促进学生选择、获得并能够从事一项适合自己的职业。学会求职信、个人简历等求职材料的撰写，加强求职笔试、面试的能力和技巧训练；2、制定了家庭经济困难学生就业服务援助计划，对家庭经济困难学生提供就业支持，定期了解他们的就业困难、状况和需求，并专门为困难学生联系就业单位，优先推荐优秀贫困学生就业；3、详细记录少数民族毕业生的求职地域、意愿、薪水等就业意向。开展</w:t>
      </w:r>
      <w:r>
        <w:rPr>
          <w:rFonts w:hint="eastAsia"/>
          <w:kern w:val="0"/>
          <w:lang w:val="ru-RU"/>
        </w:rPr>
        <w:t>“</w:t>
      </w:r>
      <w:r>
        <w:rPr>
          <w:kern w:val="0"/>
          <w:lang w:val="ru-RU"/>
        </w:rPr>
        <w:t>简历会诊</w:t>
      </w:r>
      <w:r>
        <w:rPr>
          <w:rFonts w:hint="eastAsia"/>
          <w:kern w:val="0"/>
          <w:lang w:val="ru-RU"/>
        </w:rPr>
        <w:t>”</w:t>
      </w:r>
      <w:r>
        <w:rPr>
          <w:kern w:val="0"/>
          <w:lang w:val="ru-RU"/>
        </w:rPr>
        <w:t>工作坊、</w:t>
      </w:r>
      <w:r>
        <w:rPr>
          <w:rFonts w:hint="eastAsia"/>
          <w:kern w:val="0"/>
          <w:lang w:val="ru-RU"/>
        </w:rPr>
        <w:t>“</w:t>
      </w:r>
      <w:r>
        <w:rPr>
          <w:kern w:val="0"/>
          <w:lang w:val="ru-RU"/>
        </w:rPr>
        <w:t>模拟面试</w:t>
      </w:r>
      <w:r>
        <w:rPr>
          <w:rFonts w:hint="eastAsia"/>
          <w:kern w:val="0"/>
          <w:lang w:val="ru-RU"/>
        </w:rPr>
        <w:t>”</w:t>
      </w:r>
      <w:r>
        <w:rPr>
          <w:kern w:val="0"/>
          <w:lang w:val="ru-RU"/>
        </w:rPr>
        <w:t xml:space="preserve">工作坊等，帮助他们学习、生活、就业全面发展，将就业援助工作真正落到实处。 </w:t>
      </w:r>
      <w:r>
        <w:rPr>
          <w:rFonts w:eastAsia="黑体"/>
          <w:szCs w:val="24"/>
        </w:rPr>
        <w:t xml:space="preserve">   </w:t>
      </w:r>
    </w:p>
    <w:p>
      <w:pPr>
        <w:pStyle w:val="36"/>
        <w:adjustRightInd w:val="0"/>
        <w:snapToGrid w:val="0"/>
        <w:ind w:firstLine="482"/>
        <w:outlineLvl w:val="2"/>
        <w:rPr>
          <w:b/>
          <w:bCs/>
          <w:szCs w:val="24"/>
        </w:rPr>
      </w:pPr>
      <w:bookmarkStart w:id="604" w:name="_Toc503784683"/>
      <w:bookmarkStart w:id="605" w:name="_Toc28030609"/>
      <w:bookmarkStart w:id="606" w:name="_Toc10402"/>
      <w:r>
        <w:rPr>
          <w:b/>
          <w:bCs/>
          <w:szCs w:val="24"/>
        </w:rPr>
        <w:t>4</w:t>
      </w:r>
      <w:r>
        <w:rPr>
          <w:rFonts w:hint="eastAsia"/>
          <w:b/>
          <w:bCs/>
          <w:szCs w:val="24"/>
          <w:lang w:eastAsia="zh-CN"/>
        </w:rPr>
        <w:t>.</w:t>
      </w:r>
      <w:r>
        <w:rPr>
          <w:b/>
          <w:bCs/>
          <w:szCs w:val="24"/>
        </w:rPr>
        <w:t>提高警惕性，增强自我保护意识，远离招聘陷阱</w:t>
      </w:r>
      <w:bookmarkEnd w:id="604"/>
      <w:bookmarkEnd w:id="605"/>
      <w:bookmarkEnd w:id="606"/>
    </w:p>
    <w:p>
      <w:pPr>
        <w:autoSpaceDE w:val="0"/>
        <w:autoSpaceDN w:val="0"/>
        <w:adjustRightInd w:val="0"/>
        <w:ind w:firstLine="480"/>
        <w:jc w:val="left"/>
        <w:rPr>
          <w:szCs w:val="24"/>
        </w:rPr>
      </w:pPr>
      <w:r>
        <w:rPr>
          <w:kern w:val="0"/>
          <w:lang w:val="ru-RU"/>
        </w:rPr>
        <w:t>在求职择业过程中，引导毕业生摆正心态、从容应对，加强毕业生的就业安全教育。指引毕业生学会识别就业信息的真伪，避免误入就业</w:t>
      </w:r>
      <w:r>
        <w:rPr>
          <w:rFonts w:hint="eastAsia"/>
          <w:kern w:val="0"/>
          <w:lang w:val="ru-RU"/>
        </w:rPr>
        <w:t>“</w:t>
      </w:r>
      <w:r>
        <w:rPr>
          <w:kern w:val="0"/>
          <w:lang w:val="ru-RU"/>
        </w:rPr>
        <w:t>传销</w:t>
      </w:r>
      <w:r>
        <w:rPr>
          <w:rFonts w:hint="eastAsia"/>
          <w:kern w:val="0"/>
          <w:lang w:val="ru-RU"/>
        </w:rPr>
        <w:t>”</w:t>
      </w:r>
      <w:r>
        <w:rPr>
          <w:kern w:val="0"/>
          <w:lang w:val="ru-RU"/>
        </w:rPr>
        <w:t>、就业</w:t>
      </w:r>
      <w:r>
        <w:rPr>
          <w:rFonts w:hint="eastAsia"/>
          <w:kern w:val="0"/>
          <w:lang w:val="ru-RU"/>
        </w:rPr>
        <w:t>“</w:t>
      </w:r>
      <w:r>
        <w:rPr>
          <w:kern w:val="0"/>
          <w:lang w:val="ru-RU"/>
        </w:rPr>
        <w:t>黑中介</w:t>
      </w:r>
      <w:r>
        <w:rPr>
          <w:rFonts w:hint="eastAsia"/>
          <w:kern w:val="0"/>
          <w:lang w:val="ru-RU"/>
        </w:rPr>
        <w:t>”</w:t>
      </w:r>
      <w:r>
        <w:rPr>
          <w:kern w:val="0"/>
          <w:lang w:val="ru-RU"/>
        </w:rPr>
        <w:t>等歧途，学会识别</w:t>
      </w:r>
      <w:r>
        <w:rPr>
          <w:rFonts w:hint="eastAsia"/>
          <w:kern w:val="0"/>
          <w:lang w:val="ru-RU"/>
        </w:rPr>
        <w:t>“</w:t>
      </w:r>
      <w:r>
        <w:rPr>
          <w:kern w:val="0"/>
          <w:lang w:val="ru-RU"/>
        </w:rPr>
        <w:t>就业陷阱</w:t>
      </w:r>
      <w:r>
        <w:rPr>
          <w:rFonts w:hint="eastAsia"/>
          <w:kern w:val="0"/>
          <w:lang w:val="ru-RU"/>
        </w:rPr>
        <w:t>”</w:t>
      </w:r>
      <w:r>
        <w:rPr>
          <w:kern w:val="0"/>
          <w:lang w:val="ru-RU"/>
        </w:rPr>
        <w:t>，严防以招聘为名进行的</w:t>
      </w:r>
      <w:r>
        <w:rPr>
          <w:rFonts w:hint="eastAsia"/>
          <w:kern w:val="0"/>
          <w:lang w:val="ru-RU"/>
        </w:rPr>
        <w:t>“</w:t>
      </w:r>
      <w:r>
        <w:rPr>
          <w:kern w:val="0"/>
          <w:lang w:val="ru-RU"/>
        </w:rPr>
        <w:t>求职保证金、押金</w:t>
      </w:r>
      <w:r>
        <w:rPr>
          <w:rFonts w:hint="eastAsia"/>
          <w:kern w:val="0"/>
          <w:lang w:val="ru-RU"/>
        </w:rPr>
        <w:t>”</w:t>
      </w:r>
      <w:r>
        <w:rPr>
          <w:kern w:val="0"/>
          <w:lang w:val="ru-RU"/>
        </w:rPr>
        <w:t>等欺诈行为；遇到把握不准的信息要及时向学院及学校就业指导中心反映；对于接到外地陌生单位的面试邀请，要核实其真实性、准确性，不要轻信，更不要轻易将个人或家庭的联系方式等信息告诉他人或在网上发布；提醒毕业生在由学生转变为职业人的过程中，更要学会独立生活，自我防范，确保人财物的安全，</w:t>
      </w:r>
      <w:r>
        <w:rPr>
          <w:szCs w:val="24"/>
        </w:rPr>
        <w:t>实现平安就业。</w:t>
      </w:r>
    </w:p>
    <w:p>
      <w:pPr>
        <w:pStyle w:val="36"/>
        <w:adjustRightInd w:val="0"/>
        <w:snapToGrid w:val="0"/>
        <w:ind w:firstLine="482"/>
        <w:outlineLvl w:val="2"/>
        <w:rPr>
          <w:b/>
          <w:bCs/>
          <w:szCs w:val="24"/>
        </w:rPr>
      </w:pPr>
      <w:bookmarkStart w:id="607" w:name="_Toc28030610"/>
      <w:bookmarkStart w:id="608" w:name="_Toc503784684"/>
      <w:bookmarkStart w:id="609" w:name="_Toc13329"/>
      <w:r>
        <w:rPr>
          <w:b/>
          <w:bCs/>
          <w:szCs w:val="24"/>
        </w:rPr>
        <w:t>5</w:t>
      </w:r>
      <w:r>
        <w:rPr>
          <w:rFonts w:hint="eastAsia"/>
          <w:b/>
          <w:bCs/>
          <w:szCs w:val="24"/>
          <w:lang w:eastAsia="zh-CN"/>
        </w:rPr>
        <w:t>.</w:t>
      </w:r>
      <w:r>
        <w:rPr>
          <w:b/>
          <w:bCs/>
          <w:szCs w:val="24"/>
        </w:rPr>
        <w:t>扩宽毕业生就业渠道</w:t>
      </w:r>
      <w:bookmarkEnd w:id="607"/>
      <w:bookmarkEnd w:id="608"/>
      <w:bookmarkEnd w:id="609"/>
    </w:p>
    <w:p>
      <w:pPr>
        <w:autoSpaceDE w:val="0"/>
        <w:autoSpaceDN w:val="0"/>
        <w:adjustRightInd w:val="0"/>
        <w:ind w:firstLine="480"/>
        <w:jc w:val="left"/>
        <w:rPr>
          <w:kern w:val="0"/>
          <w:lang w:val="ru-RU"/>
        </w:rPr>
      </w:pPr>
      <w:r>
        <w:rPr>
          <w:kern w:val="0"/>
          <w:lang w:val="ru-RU"/>
        </w:rPr>
        <w:t>毕业生的就业渠道主要有学校学院提供的就业信息、校园招聘会、教师推荐、专业求职网站、校外就业市场和家庭和社会关系等。</w:t>
      </w:r>
    </w:p>
    <w:p>
      <w:pPr>
        <w:autoSpaceDE w:val="0"/>
        <w:autoSpaceDN w:val="0"/>
        <w:adjustRightInd w:val="0"/>
        <w:ind w:firstLine="480"/>
        <w:jc w:val="left"/>
        <w:rPr>
          <w:kern w:val="0"/>
          <w:lang w:val="ru-RU"/>
        </w:rPr>
      </w:pPr>
      <w:r>
        <w:rPr>
          <w:kern w:val="0"/>
          <w:lang w:val="ru-RU"/>
        </w:rPr>
        <w:t>大部分学生的就业岗位来自校园招聘会，这也是学生乐于参与的一种就业形式，许多同学通过参加校园招聘会找到了理想的工作，值得注意的是：有些学生不光参加本校校园招聘会，还积极参加其他学校比如济南各大高校举办的校园招聘会。此外，家长、学长以及同学的意见在毕业生就业选择上也是一个很大的影响因素，部分毕业生通过家长与社会关系介绍在当地企业就业。离家较近、工作相对稳定是这部分毕业生考虑的重要因素。</w:t>
      </w:r>
    </w:p>
    <w:p>
      <w:pPr>
        <w:pStyle w:val="36"/>
        <w:adjustRightInd w:val="0"/>
        <w:snapToGrid w:val="0"/>
        <w:ind w:firstLine="482"/>
        <w:outlineLvl w:val="2"/>
        <w:rPr>
          <w:b/>
          <w:bCs/>
          <w:szCs w:val="24"/>
        </w:rPr>
      </w:pPr>
      <w:bookmarkStart w:id="610" w:name="_Toc27341"/>
      <w:bookmarkStart w:id="611" w:name="_Toc503784685"/>
      <w:bookmarkStart w:id="612" w:name="_Toc28030611"/>
      <w:r>
        <w:rPr>
          <w:b/>
          <w:bCs/>
          <w:szCs w:val="24"/>
        </w:rPr>
        <w:t>6</w:t>
      </w:r>
      <w:r>
        <w:rPr>
          <w:rFonts w:hint="eastAsia"/>
          <w:b/>
          <w:bCs/>
          <w:szCs w:val="24"/>
          <w:lang w:eastAsia="zh-CN"/>
        </w:rPr>
        <w:t>.</w:t>
      </w:r>
      <w:r>
        <w:rPr>
          <w:b/>
          <w:bCs/>
          <w:szCs w:val="24"/>
        </w:rPr>
        <w:t>就业指导与实习基地建设</w:t>
      </w:r>
      <w:bookmarkEnd w:id="610"/>
      <w:bookmarkEnd w:id="611"/>
      <w:bookmarkEnd w:id="612"/>
    </w:p>
    <w:p>
      <w:pPr>
        <w:autoSpaceDE w:val="0"/>
        <w:autoSpaceDN w:val="0"/>
        <w:adjustRightInd w:val="0"/>
        <w:ind w:firstLine="480"/>
        <w:jc w:val="left"/>
        <w:rPr>
          <w:rFonts w:eastAsia="黑体"/>
          <w:szCs w:val="24"/>
          <w:highlight w:val="yellow"/>
        </w:rPr>
      </w:pPr>
      <w:r>
        <w:rPr>
          <w:kern w:val="0"/>
          <w:lang w:val="ru-RU"/>
        </w:rPr>
        <w:t>近年来，随着高校毕业生数量的逐年增多，毕业生人才供需矛盾日益突出，就业压力不断加大。就业见习是新形势下毕业生就业工作的创新。专业积极开展毕业生就业见习工作，有利于用人单位和毕业生相互熟悉，加深了解，使用人单位能够更加有选择、有目的培养和储备所需的人才；有利于提高毕业生的实践能力和工作经验，增强毕业生就业能力。专业积极与相关企业联系，并建立长期教学科研就业实习合作。主要合作的公司有以下9家。如表所示：</w:t>
      </w:r>
      <w:bookmarkStart w:id="613" w:name="_Toc24110"/>
    </w:p>
    <w:p>
      <w:pPr>
        <w:tabs>
          <w:tab w:val="left" w:pos="1845"/>
          <w:tab w:val="left" w:pos="2100"/>
          <w:tab w:val="left" w:pos="2520"/>
          <w:tab w:val="left" w:pos="2940"/>
          <w:tab w:val="left" w:pos="3360"/>
          <w:tab w:val="left" w:pos="3780"/>
          <w:tab w:val="left" w:pos="4200"/>
          <w:tab w:val="left" w:pos="4350"/>
          <w:tab w:val="left" w:pos="6930"/>
        </w:tabs>
        <w:autoSpaceDE w:val="0"/>
        <w:autoSpaceDN w:val="0"/>
        <w:adjustRightInd w:val="0"/>
        <w:jc w:val="center"/>
        <w:rPr>
          <w:b/>
          <w:bCs/>
          <w:sz w:val="21"/>
          <w:szCs w:val="21"/>
          <w:lang w:val="ru-RU"/>
        </w:rPr>
      </w:pPr>
      <w:r>
        <w:rPr>
          <w:b/>
          <w:bCs/>
          <w:sz w:val="21"/>
          <w:szCs w:val="21"/>
          <w:lang w:val="ru-RU"/>
        </w:rPr>
        <w:t>表3 建环专业教学科研实习基地一览表</w:t>
      </w:r>
      <w:bookmarkEnd w:id="613"/>
    </w:p>
    <w:tbl>
      <w:tblPr>
        <w:tblStyle w:val="17"/>
        <w:tblW w:w="4999" w:type="pct"/>
        <w:tblInd w:w="0" w:type="dxa"/>
        <w:tblLayout w:type="autofit"/>
        <w:tblCellMar>
          <w:top w:w="0" w:type="dxa"/>
          <w:left w:w="108" w:type="dxa"/>
          <w:bottom w:w="0" w:type="dxa"/>
          <w:right w:w="108" w:type="dxa"/>
        </w:tblCellMar>
      </w:tblPr>
      <w:tblGrid>
        <w:gridCol w:w="2990"/>
        <w:gridCol w:w="6069"/>
      </w:tblGrid>
      <w:tr>
        <w:tblPrEx>
          <w:tblCellMar>
            <w:top w:w="0" w:type="dxa"/>
            <w:left w:w="108" w:type="dxa"/>
            <w:bottom w:w="0" w:type="dxa"/>
            <w:right w:w="108" w:type="dxa"/>
          </w:tblCellMar>
        </w:tblPrEx>
        <w:trPr>
          <w:trHeight w:val="397" w:hRule="atLeast"/>
        </w:trPr>
        <w:tc>
          <w:tcPr>
            <w:tcW w:w="1650" w:type="pct"/>
            <w:vMerge w:val="restart"/>
            <w:tcBorders>
              <w:top w:val="single" w:color="auto" w:sz="4" w:space="0"/>
              <w:left w:val="single" w:color="auto" w:sz="4" w:space="0"/>
              <w:bottom w:val="single" w:color="000000" w:sz="4" w:space="0"/>
              <w:right w:val="single" w:color="auto" w:sz="4" w:space="0"/>
            </w:tcBorders>
            <w:vAlign w:val="center"/>
          </w:tcPr>
          <w:p>
            <w:pPr>
              <w:widowControl/>
              <w:spacing w:line="240" w:lineRule="auto"/>
              <w:jc w:val="center"/>
              <w:textAlignment w:val="center"/>
              <w:rPr>
                <w:sz w:val="21"/>
                <w:szCs w:val="21"/>
              </w:rPr>
            </w:pPr>
            <w:r>
              <w:rPr>
                <w:sz w:val="21"/>
                <w:szCs w:val="21"/>
              </w:rPr>
              <w:t>校内实习基地</w:t>
            </w:r>
          </w:p>
        </w:tc>
        <w:tc>
          <w:tcPr>
            <w:tcW w:w="3349" w:type="pct"/>
            <w:tcBorders>
              <w:top w:val="single" w:color="auto" w:sz="4" w:space="0"/>
              <w:left w:val="nil"/>
              <w:bottom w:val="single" w:color="auto" w:sz="4" w:space="0"/>
              <w:right w:val="single" w:color="auto" w:sz="4" w:space="0"/>
            </w:tcBorders>
            <w:vAlign w:val="center"/>
          </w:tcPr>
          <w:p>
            <w:pPr>
              <w:widowControl/>
              <w:spacing w:line="240" w:lineRule="auto"/>
              <w:jc w:val="center"/>
              <w:textAlignment w:val="center"/>
              <w:rPr>
                <w:sz w:val="21"/>
                <w:szCs w:val="21"/>
              </w:rPr>
            </w:pPr>
            <w:r>
              <w:rPr>
                <w:sz w:val="21"/>
                <w:szCs w:val="21"/>
              </w:rPr>
              <w:t>校后勤管理中心</w:t>
            </w:r>
          </w:p>
        </w:tc>
      </w:tr>
      <w:tr>
        <w:tblPrEx>
          <w:tblCellMar>
            <w:top w:w="0" w:type="dxa"/>
            <w:left w:w="108" w:type="dxa"/>
            <w:bottom w:w="0" w:type="dxa"/>
            <w:right w:w="108" w:type="dxa"/>
          </w:tblCellMar>
        </w:tblPrEx>
        <w:trPr>
          <w:trHeight w:val="397" w:hRule="atLeast"/>
        </w:trPr>
        <w:tc>
          <w:tcPr>
            <w:tcW w:w="1650" w:type="pct"/>
            <w:vMerge w:val="continue"/>
            <w:tcBorders>
              <w:top w:val="single" w:color="auto" w:sz="4" w:space="0"/>
              <w:left w:val="single" w:color="auto" w:sz="4" w:space="0"/>
              <w:bottom w:val="single" w:color="000000" w:sz="4" w:space="0"/>
              <w:right w:val="single" w:color="auto" w:sz="4" w:space="0"/>
            </w:tcBorders>
            <w:vAlign w:val="center"/>
          </w:tcPr>
          <w:p>
            <w:pPr>
              <w:widowControl/>
              <w:spacing w:line="240" w:lineRule="auto"/>
              <w:jc w:val="center"/>
              <w:textAlignment w:val="center"/>
              <w:rPr>
                <w:sz w:val="21"/>
                <w:szCs w:val="21"/>
              </w:rPr>
            </w:pPr>
          </w:p>
        </w:tc>
        <w:tc>
          <w:tcPr>
            <w:tcW w:w="3349" w:type="pct"/>
            <w:tcBorders>
              <w:top w:val="nil"/>
              <w:left w:val="nil"/>
              <w:bottom w:val="single" w:color="auto" w:sz="4" w:space="0"/>
              <w:right w:val="single" w:color="auto" w:sz="4" w:space="0"/>
            </w:tcBorders>
            <w:vAlign w:val="center"/>
          </w:tcPr>
          <w:p>
            <w:pPr>
              <w:widowControl/>
              <w:spacing w:line="240" w:lineRule="auto"/>
              <w:jc w:val="center"/>
              <w:textAlignment w:val="center"/>
              <w:rPr>
                <w:sz w:val="21"/>
                <w:szCs w:val="21"/>
              </w:rPr>
            </w:pPr>
            <w:r>
              <w:rPr>
                <w:sz w:val="21"/>
                <w:szCs w:val="21"/>
              </w:rPr>
              <w:t>农大勘察设计研究院</w:t>
            </w:r>
          </w:p>
        </w:tc>
      </w:tr>
      <w:tr>
        <w:tblPrEx>
          <w:tblCellMar>
            <w:top w:w="0" w:type="dxa"/>
            <w:left w:w="108" w:type="dxa"/>
            <w:bottom w:w="0" w:type="dxa"/>
            <w:right w:w="108" w:type="dxa"/>
          </w:tblCellMar>
        </w:tblPrEx>
        <w:trPr>
          <w:trHeight w:val="397" w:hRule="atLeast"/>
        </w:trPr>
        <w:tc>
          <w:tcPr>
            <w:tcW w:w="1650" w:type="pct"/>
            <w:vMerge w:val="restart"/>
            <w:tcBorders>
              <w:top w:val="nil"/>
              <w:left w:val="single" w:color="auto" w:sz="4" w:space="0"/>
              <w:bottom w:val="single" w:color="000000" w:sz="4" w:space="0"/>
              <w:right w:val="single" w:color="auto" w:sz="4" w:space="0"/>
            </w:tcBorders>
            <w:vAlign w:val="center"/>
          </w:tcPr>
          <w:p>
            <w:pPr>
              <w:widowControl/>
              <w:spacing w:line="240" w:lineRule="auto"/>
              <w:jc w:val="center"/>
              <w:textAlignment w:val="center"/>
              <w:rPr>
                <w:sz w:val="21"/>
                <w:szCs w:val="21"/>
              </w:rPr>
            </w:pPr>
            <w:r>
              <w:rPr>
                <w:sz w:val="21"/>
                <w:szCs w:val="21"/>
              </w:rPr>
              <w:t>校外实习基地</w:t>
            </w:r>
          </w:p>
        </w:tc>
        <w:tc>
          <w:tcPr>
            <w:tcW w:w="3349" w:type="pct"/>
            <w:tcBorders>
              <w:top w:val="nil"/>
              <w:left w:val="nil"/>
              <w:bottom w:val="single" w:color="auto" w:sz="4" w:space="0"/>
              <w:right w:val="single" w:color="auto" w:sz="4" w:space="0"/>
            </w:tcBorders>
            <w:vAlign w:val="center"/>
          </w:tcPr>
          <w:p>
            <w:pPr>
              <w:widowControl/>
              <w:spacing w:line="240" w:lineRule="auto"/>
              <w:jc w:val="center"/>
              <w:textAlignment w:val="center"/>
              <w:rPr>
                <w:sz w:val="21"/>
                <w:szCs w:val="21"/>
              </w:rPr>
            </w:pPr>
            <w:r>
              <w:rPr>
                <w:sz w:val="21"/>
                <w:szCs w:val="21"/>
              </w:rPr>
              <w:t>泰安热电厂（挂牌）</w:t>
            </w:r>
          </w:p>
        </w:tc>
      </w:tr>
      <w:tr>
        <w:tblPrEx>
          <w:tblCellMar>
            <w:top w:w="0" w:type="dxa"/>
            <w:left w:w="108" w:type="dxa"/>
            <w:bottom w:w="0" w:type="dxa"/>
            <w:right w:w="108" w:type="dxa"/>
          </w:tblCellMar>
        </w:tblPrEx>
        <w:trPr>
          <w:trHeight w:val="397" w:hRule="atLeast"/>
        </w:trPr>
        <w:tc>
          <w:tcPr>
            <w:tcW w:w="1650" w:type="pct"/>
            <w:vMerge w:val="continue"/>
            <w:tcBorders>
              <w:top w:val="nil"/>
              <w:left w:val="single" w:color="auto" w:sz="4" w:space="0"/>
              <w:bottom w:val="single" w:color="000000" w:sz="4" w:space="0"/>
              <w:right w:val="single" w:color="auto" w:sz="4" w:space="0"/>
            </w:tcBorders>
            <w:vAlign w:val="center"/>
          </w:tcPr>
          <w:p>
            <w:pPr>
              <w:widowControl/>
              <w:spacing w:line="240" w:lineRule="auto"/>
              <w:jc w:val="center"/>
              <w:textAlignment w:val="center"/>
              <w:rPr>
                <w:sz w:val="21"/>
                <w:szCs w:val="21"/>
              </w:rPr>
            </w:pPr>
          </w:p>
        </w:tc>
        <w:tc>
          <w:tcPr>
            <w:tcW w:w="3349" w:type="pct"/>
            <w:tcBorders>
              <w:top w:val="nil"/>
              <w:left w:val="nil"/>
              <w:bottom w:val="single" w:color="auto" w:sz="4" w:space="0"/>
              <w:right w:val="single" w:color="auto" w:sz="4" w:space="0"/>
            </w:tcBorders>
            <w:vAlign w:val="center"/>
          </w:tcPr>
          <w:p>
            <w:pPr>
              <w:widowControl/>
              <w:spacing w:line="240" w:lineRule="auto"/>
              <w:jc w:val="center"/>
              <w:textAlignment w:val="center"/>
              <w:rPr>
                <w:sz w:val="21"/>
                <w:szCs w:val="21"/>
              </w:rPr>
            </w:pPr>
            <w:r>
              <w:rPr>
                <w:sz w:val="21"/>
                <w:szCs w:val="21"/>
              </w:rPr>
              <w:t>青岛同和空调设备有限公司</w:t>
            </w:r>
          </w:p>
        </w:tc>
      </w:tr>
      <w:tr>
        <w:tblPrEx>
          <w:tblCellMar>
            <w:top w:w="0" w:type="dxa"/>
            <w:left w:w="108" w:type="dxa"/>
            <w:bottom w:w="0" w:type="dxa"/>
            <w:right w:w="108" w:type="dxa"/>
          </w:tblCellMar>
        </w:tblPrEx>
        <w:trPr>
          <w:trHeight w:val="397" w:hRule="atLeast"/>
        </w:trPr>
        <w:tc>
          <w:tcPr>
            <w:tcW w:w="1650" w:type="pct"/>
            <w:vMerge w:val="continue"/>
            <w:tcBorders>
              <w:top w:val="nil"/>
              <w:left w:val="single" w:color="auto" w:sz="4" w:space="0"/>
              <w:bottom w:val="single" w:color="000000" w:sz="4" w:space="0"/>
              <w:right w:val="single" w:color="auto" w:sz="4" w:space="0"/>
            </w:tcBorders>
            <w:vAlign w:val="center"/>
          </w:tcPr>
          <w:p>
            <w:pPr>
              <w:widowControl/>
              <w:spacing w:line="240" w:lineRule="auto"/>
              <w:jc w:val="center"/>
              <w:textAlignment w:val="center"/>
              <w:rPr>
                <w:sz w:val="21"/>
                <w:szCs w:val="21"/>
              </w:rPr>
            </w:pPr>
          </w:p>
        </w:tc>
        <w:tc>
          <w:tcPr>
            <w:tcW w:w="3349" w:type="pct"/>
            <w:tcBorders>
              <w:top w:val="nil"/>
              <w:left w:val="nil"/>
              <w:bottom w:val="single" w:color="auto" w:sz="4" w:space="0"/>
              <w:right w:val="single" w:color="auto" w:sz="4" w:space="0"/>
            </w:tcBorders>
            <w:vAlign w:val="center"/>
          </w:tcPr>
          <w:p>
            <w:pPr>
              <w:widowControl/>
              <w:spacing w:line="240" w:lineRule="auto"/>
              <w:jc w:val="center"/>
              <w:textAlignment w:val="center"/>
              <w:rPr>
                <w:sz w:val="21"/>
                <w:szCs w:val="21"/>
              </w:rPr>
            </w:pPr>
            <w:r>
              <w:rPr>
                <w:sz w:val="21"/>
                <w:szCs w:val="21"/>
              </w:rPr>
              <w:t>泰安劳动大厦</w:t>
            </w:r>
          </w:p>
        </w:tc>
      </w:tr>
      <w:tr>
        <w:tblPrEx>
          <w:tblCellMar>
            <w:top w:w="0" w:type="dxa"/>
            <w:left w:w="108" w:type="dxa"/>
            <w:bottom w:w="0" w:type="dxa"/>
            <w:right w:w="108" w:type="dxa"/>
          </w:tblCellMar>
        </w:tblPrEx>
        <w:trPr>
          <w:trHeight w:val="397" w:hRule="atLeast"/>
        </w:trPr>
        <w:tc>
          <w:tcPr>
            <w:tcW w:w="1650" w:type="pct"/>
            <w:vMerge w:val="continue"/>
            <w:tcBorders>
              <w:top w:val="nil"/>
              <w:left w:val="single" w:color="auto" w:sz="4" w:space="0"/>
              <w:bottom w:val="single" w:color="000000" w:sz="4" w:space="0"/>
              <w:right w:val="single" w:color="auto" w:sz="4" w:space="0"/>
            </w:tcBorders>
            <w:vAlign w:val="center"/>
          </w:tcPr>
          <w:p>
            <w:pPr>
              <w:widowControl/>
              <w:spacing w:line="240" w:lineRule="auto"/>
              <w:jc w:val="center"/>
              <w:textAlignment w:val="center"/>
              <w:rPr>
                <w:sz w:val="21"/>
                <w:szCs w:val="21"/>
              </w:rPr>
            </w:pPr>
          </w:p>
        </w:tc>
        <w:tc>
          <w:tcPr>
            <w:tcW w:w="3349" w:type="pct"/>
            <w:tcBorders>
              <w:top w:val="nil"/>
              <w:left w:val="nil"/>
              <w:bottom w:val="single" w:color="auto" w:sz="4" w:space="0"/>
              <w:right w:val="single" w:color="auto" w:sz="4" w:space="0"/>
            </w:tcBorders>
            <w:vAlign w:val="center"/>
          </w:tcPr>
          <w:p>
            <w:pPr>
              <w:widowControl/>
              <w:spacing w:line="240" w:lineRule="auto"/>
              <w:jc w:val="center"/>
              <w:textAlignment w:val="center"/>
              <w:rPr>
                <w:sz w:val="21"/>
                <w:szCs w:val="21"/>
              </w:rPr>
            </w:pPr>
            <w:r>
              <w:rPr>
                <w:sz w:val="21"/>
                <w:szCs w:val="21"/>
              </w:rPr>
              <w:t>泰安市中心医院</w:t>
            </w:r>
          </w:p>
        </w:tc>
      </w:tr>
      <w:tr>
        <w:tblPrEx>
          <w:tblCellMar>
            <w:top w:w="0" w:type="dxa"/>
            <w:left w:w="108" w:type="dxa"/>
            <w:bottom w:w="0" w:type="dxa"/>
            <w:right w:w="108" w:type="dxa"/>
          </w:tblCellMar>
        </w:tblPrEx>
        <w:trPr>
          <w:trHeight w:val="397" w:hRule="atLeast"/>
        </w:trPr>
        <w:tc>
          <w:tcPr>
            <w:tcW w:w="1650" w:type="pct"/>
            <w:vMerge w:val="continue"/>
            <w:tcBorders>
              <w:top w:val="nil"/>
              <w:left w:val="single" w:color="auto" w:sz="4" w:space="0"/>
              <w:bottom w:val="single" w:color="000000" w:sz="4" w:space="0"/>
              <w:right w:val="single" w:color="auto" w:sz="4" w:space="0"/>
            </w:tcBorders>
            <w:vAlign w:val="center"/>
          </w:tcPr>
          <w:p>
            <w:pPr>
              <w:widowControl/>
              <w:spacing w:line="240" w:lineRule="auto"/>
              <w:jc w:val="center"/>
              <w:textAlignment w:val="center"/>
              <w:rPr>
                <w:sz w:val="21"/>
                <w:szCs w:val="21"/>
              </w:rPr>
            </w:pPr>
          </w:p>
        </w:tc>
        <w:tc>
          <w:tcPr>
            <w:tcW w:w="3349" w:type="pct"/>
            <w:tcBorders>
              <w:top w:val="nil"/>
              <w:left w:val="nil"/>
              <w:bottom w:val="single" w:color="auto" w:sz="4" w:space="0"/>
              <w:right w:val="single" w:color="auto" w:sz="4" w:space="0"/>
            </w:tcBorders>
            <w:vAlign w:val="center"/>
          </w:tcPr>
          <w:p>
            <w:pPr>
              <w:widowControl/>
              <w:spacing w:line="240" w:lineRule="auto"/>
              <w:jc w:val="center"/>
              <w:textAlignment w:val="center"/>
              <w:rPr>
                <w:sz w:val="21"/>
                <w:szCs w:val="21"/>
              </w:rPr>
            </w:pPr>
            <w:r>
              <w:rPr>
                <w:sz w:val="21"/>
                <w:szCs w:val="21"/>
              </w:rPr>
              <w:t>泰安东城热电有限公司</w:t>
            </w:r>
          </w:p>
        </w:tc>
      </w:tr>
      <w:tr>
        <w:tblPrEx>
          <w:tblCellMar>
            <w:top w:w="0" w:type="dxa"/>
            <w:left w:w="108" w:type="dxa"/>
            <w:bottom w:w="0" w:type="dxa"/>
            <w:right w:w="108" w:type="dxa"/>
          </w:tblCellMar>
        </w:tblPrEx>
        <w:trPr>
          <w:trHeight w:val="397" w:hRule="atLeast"/>
        </w:trPr>
        <w:tc>
          <w:tcPr>
            <w:tcW w:w="1650" w:type="pct"/>
            <w:vMerge w:val="continue"/>
            <w:tcBorders>
              <w:top w:val="nil"/>
              <w:left w:val="single" w:color="auto" w:sz="4" w:space="0"/>
              <w:bottom w:val="single" w:color="000000" w:sz="4" w:space="0"/>
              <w:right w:val="single" w:color="auto" w:sz="4" w:space="0"/>
            </w:tcBorders>
            <w:vAlign w:val="center"/>
          </w:tcPr>
          <w:p>
            <w:pPr>
              <w:widowControl/>
              <w:spacing w:line="240" w:lineRule="auto"/>
              <w:jc w:val="center"/>
              <w:textAlignment w:val="center"/>
              <w:rPr>
                <w:sz w:val="21"/>
                <w:szCs w:val="21"/>
              </w:rPr>
            </w:pPr>
          </w:p>
        </w:tc>
        <w:tc>
          <w:tcPr>
            <w:tcW w:w="3349" w:type="pct"/>
            <w:tcBorders>
              <w:top w:val="nil"/>
              <w:left w:val="nil"/>
              <w:bottom w:val="single" w:color="auto" w:sz="4" w:space="0"/>
              <w:right w:val="single" w:color="auto" w:sz="4" w:space="0"/>
            </w:tcBorders>
            <w:vAlign w:val="center"/>
          </w:tcPr>
          <w:p>
            <w:pPr>
              <w:widowControl/>
              <w:spacing w:line="240" w:lineRule="auto"/>
              <w:jc w:val="center"/>
              <w:textAlignment w:val="center"/>
              <w:rPr>
                <w:sz w:val="21"/>
                <w:szCs w:val="21"/>
              </w:rPr>
            </w:pPr>
            <w:r>
              <w:rPr>
                <w:sz w:val="21"/>
                <w:szCs w:val="21"/>
              </w:rPr>
              <w:t>泰安东方集团</w:t>
            </w:r>
          </w:p>
        </w:tc>
      </w:tr>
      <w:tr>
        <w:tblPrEx>
          <w:tblCellMar>
            <w:top w:w="0" w:type="dxa"/>
            <w:left w:w="108" w:type="dxa"/>
            <w:bottom w:w="0" w:type="dxa"/>
            <w:right w:w="108" w:type="dxa"/>
          </w:tblCellMar>
        </w:tblPrEx>
        <w:trPr>
          <w:trHeight w:val="397" w:hRule="atLeast"/>
        </w:trPr>
        <w:tc>
          <w:tcPr>
            <w:tcW w:w="1650" w:type="pct"/>
            <w:vMerge w:val="continue"/>
            <w:tcBorders>
              <w:top w:val="nil"/>
              <w:left w:val="single" w:color="auto" w:sz="4" w:space="0"/>
              <w:bottom w:val="single" w:color="000000" w:sz="4" w:space="0"/>
              <w:right w:val="single" w:color="auto" w:sz="4" w:space="0"/>
            </w:tcBorders>
            <w:vAlign w:val="center"/>
          </w:tcPr>
          <w:p>
            <w:pPr>
              <w:widowControl/>
              <w:spacing w:line="240" w:lineRule="auto"/>
              <w:jc w:val="center"/>
              <w:textAlignment w:val="center"/>
              <w:rPr>
                <w:sz w:val="21"/>
                <w:szCs w:val="21"/>
              </w:rPr>
            </w:pPr>
          </w:p>
        </w:tc>
        <w:tc>
          <w:tcPr>
            <w:tcW w:w="3349" w:type="pct"/>
            <w:tcBorders>
              <w:top w:val="nil"/>
              <w:left w:val="nil"/>
              <w:bottom w:val="single" w:color="auto" w:sz="4" w:space="0"/>
              <w:right w:val="single" w:color="auto" w:sz="4" w:space="0"/>
            </w:tcBorders>
            <w:vAlign w:val="center"/>
          </w:tcPr>
          <w:p>
            <w:pPr>
              <w:widowControl/>
              <w:spacing w:line="240" w:lineRule="auto"/>
              <w:jc w:val="center"/>
              <w:textAlignment w:val="center"/>
              <w:rPr>
                <w:sz w:val="21"/>
                <w:szCs w:val="21"/>
              </w:rPr>
            </w:pPr>
            <w:r>
              <w:rPr>
                <w:sz w:val="21"/>
                <w:szCs w:val="21"/>
              </w:rPr>
              <w:t>青岛荣华建设集团</w:t>
            </w:r>
          </w:p>
        </w:tc>
      </w:tr>
    </w:tbl>
    <w:p>
      <w:pPr>
        <w:pStyle w:val="5"/>
        <w:spacing w:before="93" w:after="93"/>
        <w:ind w:firstLine="560"/>
      </w:pPr>
      <w:bookmarkStart w:id="614" w:name="_Toc503784686"/>
      <w:bookmarkStart w:id="615" w:name="_Toc5435"/>
      <w:bookmarkStart w:id="616" w:name="_Toc28030612"/>
      <w:r>
        <w:t>三、就业指导情况及取得的成效</w:t>
      </w:r>
      <w:bookmarkEnd w:id="614"/>
      <w:bookmarkEnd w:id="615"/>
      <w:bookmarkEnd w:id="616"/>
    </w:p>
    <w:p>
      <w:pPr>
        <w:autoSpaceDE w:val="0"/>
        <w:autoSpaceDN w:val="0"/>
        <w:adjustRightInd w:val="0"/>
        <w:ind w:firstLine="480"/>
        <w:jc w:val="left"/>
        <w:rPr>
          <w:kern w:val="0"/>
          <w:lang w:val="ru-RU"/>
        </w:rPr>
      </w:pPr>
      <w:r>
        <w:rPr>
          <w:kern w:val="0"/>
          <w:lang w:val="ru-RU"/>
        </w:rPr>
        <w:t>通过2017年毕业生就业调查回访反映出95%以上的毕业生对学校教师教学水平、道德水平持满意度，90%学生对学校校风学风持满意度，90%学生对专业设置和专业方向、专业课程结构设置和教学内容的持满意度，说明大多数毕业生对学院及专业的教育教学持肯定态度，但我们还应该进一步提升毕业生质量与学校人才培养目标的符合度与对称性，适当调整招生结构，扩大部分招生规模。</w:t>
      </w:r>
    </w:p>
    <w:p>
      <w:pPr>
        <w:autoSpaceDE w:val="0"/>
        <w:autoSpaceDN w:val="0"/>
        <w:adjustRightInd w:val="0"/>
        <w:ind w:firstLine="480"/>
        <w:jc w:val="left"/>
        <w:rPr>
          <w:kern w:val="0"/>
          <w:lang w:val="ru-RU"/>
        </w:rPr>
      </w:pPr>
      <w:r>
        <w:rPr>
          <w:kern w:val="0"/>
          <w:lang w:val="ru-RU"/>
        </w:rPr>
        <w:t>为进一步提升毕业生质量与学校人才培养目标的符合度与对称性,建环专业针对近三年各专业毕业生的就业情况，及时对人才培养方案作出了调整，以便进一步改革人才培养模式、提高人才培养质量。</w:t>
      </w:r>
    </w:p>
    <w:p>
      <w:pPr>
        <w:ind w:firstLine="480"/>
      </w:pPr>
      <w:r>
        <w:br w:type="page"/>
      </w:r>
    </w:p>
    <w:p>
      <w:pPr>
        <w:pStyle w:val="4"/>
        <w:ind w:firstLine="600"/>
      </w:pPr>
      <w:bookmarkStart w:id="617" w:name="_Toc28724"/>
      <w:r>
        <w:rPr>
          <w:rFonts w:hint="eastAsia"/>
          <w:lang w:val="en-US"/>
        </w:rPr>
        <w:t>专业六十一：</w:t>
      </w:r>
      <w:r>
        <w:t>给排水科学与工程</w:t>
      </w:r>
      <w:bookmarkEnd w:id="617"/>
    </w:p>
    <w:p>
      <w:pPr>
        <w:pStyle w:val="5"/>
        <w:spacing w:before="93" w:after="93"/>
        <w:ind w:firstLine="560"/>
      </w:pPr>
      <w:r>
        <w:t>一、培养目标与规格</w:t>
      </w:r>
    </w:p>
    <w:p>
      <w:pPr>
        <w:ind w:firstLine="480" w:firstLineChars="200"/>
      </w:pPr>
      <w:r>
        <w:t>本专业培养能够在水资源开发利用、城镇输配水、水质净化、废（雨）水收集、污水处理与再生回用、建筑给排水、给排水工程施工与管理等领域中从事城镇、工业和建筑给排水工程的规划、设计、施工、管理、咨询、运营、教育及科学研究与开发工作的应用型高级工程技术人才。毕业生可从事政府规划设计、城市公用事业、城市市政建设与管理、环保等部门以及大中型工业企业、房地产公司、设计公司、科研机构及学校等企事业单位工作。</w:t>
      </w:r>
    </w:p>
    <w:p>
      <w:pPr>
        <w:pStyle w:val="5"/>
        <w:spacing w:before="93" w:after="93"/>
        <w:ind w:firstLine="560"/>
      </w:pPr>
      <w:r>
        <w:t>二、培养能力（专业基本情况、在校生规模、课程体系、创新创业教育等）</w:t>
      </w:r>
    </w:p>
    <w:p>
      <w:pPr>
        <w:pStyle w:val="6"/>
        <w:ind w:firstLine="480"/>
      </w:pPr>
      <w:r>
        <w:t>1.专业基本情况</w:t>
      </w:r>
    </w:p>
    <w:p>
      <w:pPr>
        <w:ind w:firstLine="480" w:firstLineChars="200"/>
        <w:rPr>
          <w:color w:val="000000"/>
        </w:rPr>
      </w:pPr>
      <w:r>
        <w:rPr>
          <w:color w:val="000000"/>
        </w:rPr>
        <w:t>本专业基本学制为4年，学习年限为3-8年。按要求完成学业且符合学位授予条件者授予工学学士学位。</w:t>
      </w:r>
    </w:p>
    <w:p>
      <w:pPr>
        <w:pStyle w:val="6"/>
        <w:ind w:firstLine="480"/>
      </w:pPr>
      <w:r>
        <w:t>2.在校生规模</w:t>
      </w:r>
    </w:p>
    <w:p>
      <w:pPr>
        <w:ind w:firstLine="480" w:firstLineChars="200"/>
        <w:rPr>
          <w:color w:val="000000"/>
        </w:rPr>
      </w:pPr>
      <w:r>
        <w:t>给排水科学与工程专业</w:t>
      </w:r>
      <w:r>
        <w:rPr>
          <w:color w:val="000000"/>
        </w:rPr>
        <w:t>面向全国招生，每年招生2个班，招生数量约为60人/年。截止2022年9月30日，在校生人数205人。</w:t>
      </w:r>
    </w:p>
    <w:p>
      <w:pPr>
        <w:pStyle w:val="6"/>
        <w:ind w:firstLine="480"/>
      </w:pPr>
      <w:r>
        <w:t>3.课程体系</w:t>
      </w:r>
    </w:p>
    <w:p>
      <w:pPr>
        <w:ind w:firstLine="480" w:firstLineChars="200"/>
      </w:pPr>
      <w:r>
        <w:rPr>
          <w:color w:val="000000"/>
        </w:rPr>
        <w:t>本专业</w:t>
      </w:r>
      <w:r>
        <w:t>学生主要学习给排水科学与工程的基础理论、基础知识和基本技能，接受工程设计、工程施工、经营管理和科学研究的基本训练，具备一定的计算机应用、工程结构、电子电工和建筑方面的知识与技能，具有从事城镇、工业和建筑给排水工程的设计、施工和运行管理能力。</w:t>
      </w:r>
    </w:p>
    <w:p>
      <w:pPr>
        <w:ind w:firstLine="480" w:firstLineChars="200"/>
      </w:pPr>
      <w:r>
        <w:t>课程类型包括了通识教育课程、专业教育课程、专业方向与拓展教育课程和实践教学等。主要课程包括高等数学、大学物理学、水力学、普通化学、水分析化学、水处理生物学、水泵与泵站、给水排水管网系统、水质工程学、建筑给排水工程、取水工程与水资源利用、画法几何、工程制图与计算机绘图、工程力学、给排水工程结构、水工程经济、水工艺设备基础、给排水工程施工与组织、测绘学、给排水工程概预算、电工电子学、水文学与水文地质学、城市水工程仪表与控制、建筑材料、房屋建筑学、水分析化学实验、水质工程学实验、大学物理学实验、测绘学实验等。</w:t>
      </w:r>
    </w:p>
    <w:p>
      <w:pPr>
        <w:pStyle w:val="6"/>
        <w:ind w:firstLine="480"/>
      </w:pPr>
      <w:r>
        <w:t>3.1.通识教育课程</w:t>
      </w:r>
    </w:p>
    <w:p>
      <w:pPr>
        <w:ind w:firstLine="539"/>
      </w:pPr>
      <w:r>
        <w:t>通识教育课程由学校统一设置，分为必修课和选修课，共42学分。其中，通识教育必修课14门，共28学分。通识教育选修课由计算机类、体育类、创新创业类、心理健康教育类、艺术审美类和人文社科类组成，共14学分。</w:t>
      </w:r>
    </w:p>
    <w:p>
      <w:pPr>
        <w:pStyle w:val="6"/>
        <w:ind w:firstLine="480"/>
      </w:pPr>
      <w:r>
        <w:t>3.2.专业教育课程</w:t>
      </w:r>
    </w:p>
    <w:p>
      <w:pPr>
        <w:spacing w:line="390" w:lineRule="exact"/>
        <w:ind w:firstLine="480" w:firstLineChars="200"/>
      </w:pPr>
      <w:r>
        <w:t>专业教育课程由23门学科基础课和7门专业核心课组成，其中学科基础课76学分，共计1216学时，包括高等数学、线性代数、概率统计，大学物理学、大学物理学实验、测绘学、测绘学实验、画法几何、工程制图与计算机绘图、计算机绘图实验、普通化学、工程力学、给排水工程结构、水力学、电工电子学、水处理生物学、水文学与水文地质学、建筑材料、水工艺设备基础、水泵与泵站等；专业核心课20学分，320学时，包括给水排水管网系统、建筑给排水工程、水质工程学1、水质工程学2、水质工程学综合实验、给排水工程施工与组织、水工程经济。</w:t>
      </w:r>
    </w:p>
    <w:p>
      <w:pPr>
        <w:pStyle w:val="6"/>
        <w:spacing w:line="390" w:lineRule="exact"/>
        <w:ind w:firstLine="480"/>
      </w:pPr>
      <w:r>
        <w:t>3.3.拓展教育课程</w:t>
      </w:r>
    </w:p>
    <w:p>
      <w:pPr>
        <w:spacing w:line="390" w:lineRule="exact"/>
        <w:ind w:firstLine="480" w:firstLineChars="200"/>
      </w:pPr>
      <w:r>
        <w:t>拓展教育课程包括专业方向课、专业拓展课和学科交叉课。专业方向课是根据学生深造和就业的去向差异，按照创新型人才和专业型人才职业发展的需求而设置的，包括创新型和专业型，要求每名学生可根据个人发展方向，至少选修15学分。在专业教师的指导下，通过修读不同模块的课程实现分流，为其职业发展奠定基础。专业拓展课包括给排水科学前沿讲座、大学生生涯规划、大学生创新创业教育和大学生就业指导，要求每名学生必修3.5学分。学科交叉课在于促进学科交叉，实现文理交融，由每个专业面向非本专业学生设置2门课程组成学科交叉课，每名学生至少获得2学分。</w:t>
      </w:r>
    </w:p>
    <w:p>
      <w:pPr>
        <w:pStyle w:val="6"/>
        <w:spacing w:line="390" w:lineRule="exact"/>
        <w:ind w:firstLine="480"/>
      </w:pPr>
      <w:r>
        <w:t>3.4.实践教学</w:t>
      </w:r>
    </w:p>
    <w:p>
      <w:pPr>
        <w:spacing w:line="390" w:lineRule="exact"/>
        <w:ind w:firstLine="539"/>
      </w:pPr>
      <w:r>
        <w:t>本专业主要实践课程包括测绘学实习、泵站课程设计、建筑给排水工程课程设计、给水管网课程设计、排水管网课程设计、城市给水处理厂课程设计、城市污水处理厂课程设计、给排水工程结构课程设计、水工程经济课程设计、给排水工程概预算课程设计、创业实践、认识实习、生产实习、毕业实习、毕业设计等。</w:t>
      </w:r>
    </w:p>
    <w:p>
      <w:pPr>
        <w:spacing w:line="390" w:lineRule="exact"/>
        <w:ind w:firstLine="539"/>
        <w:rPr>
          <w:color w:val="000000"/>
        </w:rPr>
      </w:pPr>
      <w:r>
        <w:t>课程共170学分，其中必修课139学分，占课程总学分的81.76%；选修课31学分，占课程总学分的18.24%。实验学分和实践环节学分占总学分比例26.54%，更加</w:t>
      </w:r>
      <w:r>
        <w:rPr>
          <w:color w:val="000000"/>
        </w:rPr>
        <w:t>强化了实践教学。</w:t>
      </w:r>
    </w:p>
    <w:p>
      <w:pPr>
        <w:pStyle w:val="6"/>
        <w:spacing w:line="390" w:lineRule="exact"/>
        <w:ind w:firstLine="480"/>
      </w:pPr>
      <w:r>
        <w:t>4.创新创业教育</w:t>
      </w:r>
    </w:p>
    <w:p>
      <w:pPr>
        <w:spacing w:line="390" w:lineRule="exact"/>
        <w:ind w:firstLine="480" w:firstLineChars="200"/>
      </w:pPr>
      <w:r>
        <w:t>本专业学生在一、二年级通过校内、校外教学实践基地，专业认知教育等了解当前给排水科学与工程发展水平和趋势。在学习专业基础课后，通过生产实习、课程设计、毕业设计等方式系统学习水资源开发利用、城镇输配水、水质净化、城市防洪与雨水利用、高层建筑给排水、给排水工程施工与管理等专业知识。</w:t>
      </w:r>
    </w:p>
    <w:p>
      <w:pPr>
        <w:spacing w:line="390" w:lineRule="exact"/>
        <w:ind w:firstLine="480" w:firstLineChars="200"/>
      </w:pPr>
      <w:r>
        <w:rPr>
          <w:color w:val="000000"/>
        </w:rPr>
        <w:t>本专业学生应具有扎实的数学、物理、化学等基本理论知识；</w:t>
      </w:r>
      <w:r>
        <w:t>掌握普通化学、水分析化学的基本原理和分析方法；掌握水处理生物学、水力学、工程力学、给排水工程结构的基本原理；掌握工程方案的技术经济分析及工程项目管理方面的基本原理和方法；掌握城镇、工业和建筑给排水工程基本理论和专业知识；了解研究水的社会循环及本专业学科的理论前沿和发展动态。</w:t>
      </w:r>
    </w:p>
    <w:p>
      <w:pPr>
        <w:spacing w:line="390" w:lineRule="exact"/>
        <w:ind w:firstLine="480" w:firstLineChars="200"/>
        <w:rPr>
          <w:color w:val="000000"/>
        </w:rPr>
      </w:pPr>
      <w:r>
        <w:t>为了培养学生的创新创业能力，增设了提高学生层次的专业课程，如给排水工程专业研究进展、工业水处理、给排水工程计算机应用等，倡导布置课程论文和大作业；</w:t>
      </w:r>
      <w:r>
        <w:rPr>
          <w:color w:val="000000"/>
        </w:rPr>
        <w:t>在专业实验和实习课程中也融合了创新创业教育内容，</w:t>
      </w:r>
      <w:r>
        <w:t>引导学生参加国家级、省级及专业指导委员会的各级各类创新创业大赛，</w:t>
      </w:r>
      <w:r>
        <w:rPr>
          <w:color w:val="000000"/>
        </w:rPr>
        <w:t>大大提高了学生创新创业的参与度，本专业各级创新创业项目30余项</w:t>
      </w:r>
      <w:r>
        <w:t>。</w:t>
      </w:r>
    </w:p>
    <w:p>
      <w:pPr>
        <w:pStyle w:val="5"/>
        <w:spacing w:before="93" w:after="93" w:line="390" w:lineRule="exact"/>
        <w:ind w:firstLine="560"/>
      </w:pPr>
      <w:r>
        <w:t>三、培养条件（教学经费投入、教学设备、教师队伍建设、实习基地、现代教学技术应用等）</w:t>
      </w:r>
    </w:p>
    <w:p>
      <w:pPr>
        <w:spacing w:line="390" w:lineRule="exact"/>
        <w:ind w:firstLine="480" w:firstLineChars="200"/>
        <w:rPr>
          <w:color w:val="000000"/>
        </w:rPr>
      </w:pPr>
      <w:r>
        <w:rPr>
          <w:color w:val="000000"/>
        </w:rPr>
        <w:t>2021-2022学年，给排水科学与工程专业的教学经费约32万元，生均经费每年约1561元。</w:t>
      </w:r>
    </w:p>
    <w:p>
      <w:pPr>
        <w:spacing w:line="390" w:lineRule="exact"/>
        <w:ind w:firstLine="480" w:firstLineChars="200"/>
        <w:rPr>
          <w:highlight w:val="yellow"/>
        </w:rPr>
      </w:pPr>
      <w:r>
        <w:t>给排水科学与工程专业投入仪器设备费400余万元，目前拥有污水处理实验室、净水处理实验室、水处理微生物实验室、纯水实验室、精密实验室等，实验仪器设备共计150余台套。有气相色谱、液相色谱、离子色谱、原子吸收、总有机碳分析仪等大型仪器设备。实验设备完全满足本科教学需求，也为学生的创新创业提供保障，同时可进行相关科研工作。</w:t>
      </w:r>
    </w:p>
    <w:p>
      <w:pPr>
        <w:spacing w:line="390" w:lineRule="exact"/>
        <w:ind w:firstLine="480" w:firstLineChars="200"/>
        <w:rPr>
          <w:color w:val="000000"/>
        </w:rPr>
      </w:pPr>
      <w:r>
        <w:rPr>
          <w:color w:val="000000"/>
        </w:rPr>
        <w:t>师资队伍建设是专业建设的重要支撑，</w:t>
      </w:r>
      <w:r>
        <w:t>本专业现有专业教师8名，其中博士5名，硕士3名，分别占教师总数的62.5%和37.5%；</w:t>
      </w:r>
      <w:r>
        <w:rPr>
          <w:color w:val="000000"/>
        </w:rPr>
        <w:t>从职称结构分析，</w:t>
      </w:r>
      <w:r>
        <w:t>其中教授1名，副教授4名，讲师3名，分别占教师总数的12.5%、50.0%和37.5%，其中高级职称比例达到62.5%；从年龄结构分析，其中老年1，中5年，青年2名，分别占教师总数的12.5%、62.5%和25.0%。</w:t>
      </w:r>
    </w:p>
    <w:p>
      <w:pPr>
        <w:spacing w:line="390" w:lineRule="exact"/>
        <w:ind w:firstLine="480" w:firstLineChars="200"/>
      </w:pPr>
      <w:r>
        <w:t>给排水科学与工程专业与省内建筑企业、水利施工企业、水务运营企业、环境保护公司保持着良好的关系，就业渠道畅通。与泰安三合净水厂、泰安第一污水处理厂、泰安第二污水处理厂、新泰污水处理厂、莱芜第一、二、三污水处理厂、临沂污水处理厂、光大水务(济南)有限公司一厂、光大水务(济南)有限公司二厂、济南市玉清水厂、淄博自然水公司、青岛海晟环保设备有限公司等单位广泛发展协作关系，建立了给排水科学与工程专业省内教学实践基地3个。</w:t>
      </w:r>
    </w:p>
    <w:p>
      <w:pPr>
        <w:spacing w:line="390" w:lineRule="exact"/>
        <w:ind w:firstLine="480" w:firstLineChars="200"/>
      </w:pPr>
      <w:r>
        <w:rPr>
          <w:color w:val="000000"/>
        </w:rPr>
        <w:t>给排水科学与工程所有核心课程均采用多媒体教学</w:t>
      </w:r>
      <w:r>
        <w:t>。《画法几何》为省级一流课程，《给水排水工程结构》、《工程力学》为省级精品课程，《排水工程》、《水工艺设备》和《水分析化学》为校级精品课程，教学资源全部上网。</w:t>
      </w:r>
    </w:p>
    <w:p>
      <w:pPr>
        <w:pStyle w:val="5"/>
        <w:spacing w:before="93" w:after="93" w:line="390" w:lineRule="exact"/>
        <w:ind w:firstLine="560"/>
      </w:pPr>
      <w:r>
        <w:t>四、培养机制与特色（产学研协同育人机制、合作办学、教学管理等）</w:t>
      </w:r>
    </w:p>
    <w:p>
      <w:pPr>
        <w:spacing w:line="390" w:lineRule="exact"/>
        <w:ind w:firstLine="480" w:firstLineChars="200"/>
      </w:pPr>
      <w:r>
        <w:t>山东农业大学是较早设置给排水科学与工程专业的院校之一，一直受到学校和水利土木工程学院的重视，在经费投入、队伍建设、学科发展、教学改革以及课程建设等方面给予了重点支持。近30年的办学历史，积累了丰富的专业办学经验，逐步形成了自己的办学特色：</w:t>
      </w:r>
    </w:p>
    <w:p>
      <w:pPr>
        <w:pStyle w:val="6"/>
        <w:spacing w:line="390" w:lineRule="exact"/>
        <w:ind w:firstLine="480"/>
      </w:pPr>
      <w:r>
        <w:t>1.注重工程特色，构建合理教学体系</w:t>
      </w:r>
    </w:p>
    <w:p>
      <w:pPr>
        <w:spacing w:line="390" w:lineRule="exact"/>
        <w:ind w:firstLine="480" w:firstLineChars="200"/>
      </w:pPr>
      <w:r>
        <w:t>给排水科学与工程专业坚持</w:t>
      </w:r>
      <w:r>
        <w:rPr>
          <w:rFonts w:hint="eastAsia"/>
        </w:rPr>
        <w:t>“</w:t>
      </w:r>
      <w:r>
        <w:t>厚基础、宽口径、高素质、强实践、重创新</w:t>
      </w:r>
      <w:r>
        <w:rPr>
          <w:rFonts w:hint="eastAsia"/>
        </w:rPr>
        <w:t>”</w:t>
      </w:r>
      <w:r>
        <w:t>的人才培养思路，建立了</w:t>
      </w:r>
      <w:r>
        <w:rPr>
          <w:rFonts w:hint="eastAsia"/>
        </w:rPr>
        <w:t>“</w:t>
      </w:r>
      <w:r>
        <w:t>横向拓宽、纵向理顺、加强基础、拓宽专业面向、融入学科前沿</w:t>
      </w:r>
      <w:r>
        <w:rPr>
          <w:rFonts w:hint="eastAsia"/>
        </w:rPr>
        <w:t>”</w:t>
      </w:r>
      <w:r>
        <w:t>的教学内容和课程体系；树立</w:t>
      </w:r>
      <w:r>
        <w:rPr>
          <w:rFonts w:hint="eastAsia"/>
        </w:rPr>
        <w:t>“</w:t>
      </w:r>
      <w:r>
        <w:t>教学质量是生命线</w:t>
      </w:r>
      <w:r>
        <w:rPr>
          <w:rFonts w:hint="eastAsia"/>
        </w:rPr>
        <w:t>”</w:t>
      </w:r>
      <w:r>
        <w:t>的理念，强化实践教学环节，坚持工程特色，培养高级应用型人才。本专业毕业生参加工作进入社会适应速度快，工作能力强，脚踏实地，得到了用人单位的好评。考入同济大学、哈尔滨工业大学、重庆大学、北京工业大学、湖南大学、中国地质大学、华中科技大学、西安建筑科技大学等院校继续深造的学生则以厚实的理论基础、广阔的专业知识面严谨的工作作风，得到了认可和好评。</w:t>
      </w:r>
    </w:p>
    <w:p>
      <w:pPr>
        <w:pStyle w:val="6"/>
        <w:spacing w:line="390" w:lineRule="exact"/>
        <w:ind w:firstLine="480"/>
      </w:pPr>
      <w:r>
        <w:t>2.加强学生实践能力和创新能力培养</w:t>
      </w:r>
    </w:p>
    <w:p>
      <w:pPr>
        <w:spacing w:line="390" w:lineRule="exact"/>
        <w:ind w:firstLine="480" w:firstLineChars="200"/>
      </w:pPr>
      <w:r>
        <w:t>给排水科学与工程专业具有良好的注重学生创新实践能力培养的传统，构建大学生创新体系，制定了创新人才培养方案，创建了大学生课外创新实践基地，在专业培养方案中设立了创新创业学分，学生积极参加大学生研究训练（SRT）计划、大学生创业实践项目、结构大赛和各种科技竞赛，给学生提供教师科研项目和工程设计的参与机会。每年组织学生参加省里组织的</w:t>
      </w:r>
      <w:r>
        <w:rPr>
          <w:rFonts w:hint="eastAsia"/>
        </w:rPr>
        <w:t>“</w:t>
      </w:r>
      <w:r>
        <w:t>世界水日</w:t>
      </w:r>
      <w:r>
        <w:rPr>
          <w:rFonts w:hint="eastAsia"/>
        </w:rPr>
        <w:t>”</w:t>
      </w:r>
      <w:r>
        <w:t>、</w:t>
      </w:r>
      <w:r>
        <w:rPr>
          <w:rFonts w:hint="eastAsia"/>
        </w:rPr>
        <w:t>“</w:t>
      </w:r>
      <w:r>
        <w:t>世界环境日</w:t>
      </w:r>
      <w:r>
        <w:rPr>
          <w:rFonts w:hint="eastAsia"/>
        </w:rPr>
        <w:t>”</w:t>
      </w:r>
      <w:r>
        <w:t>大型公益宣传活动，在暑期</w:t>
      </w:r>
      <w:r>
        <w:rPr>
          <w:rFonts w:hint="eastAsia"/>
        </w:rPr>
        <w:t>“</w:t>
      </w:r>
      <w:r>
        <w:t>三下乡</w:t>
      </w:r>
      <w:r>
        <w:rPr>
          <w:rFonts w:hint="eastAsia"/>
        </w:rPr>
        <w:t>”</w:t>
      </w:r>
      <w:r>
        <w:t>社会实践中每年都派出专业团队，帮助地方进行水资源监测、水源调查、水库污染调查等方面研究，并多次获省水利厅、省团委、校团委表彰。创新实践活动锻炼出一批创新能力强的人才，深受用人单位好评，大大提高了毕业生的就业竞争力。</w:t>
      </w:r>
    </w:p>
    <w:p>
      <w:pPr>
        <w:pStyle w:val="6"/>
        <w:spacing w:line="390" w:lineRule="exact"/>
        <w:ind w:firstLine="480"/>
      </w:pPr>
      <w:r>
        <w:t>3.加强校企联合，依靠社会开放办学</w:t>
      </w:r>
    </w:p>
    <w:p>
      <w:pPr>
        <w:spacing w:line="390" w:lineRule="exact"/>
        <w:ind w:firstLine="539"/>
      </w:pPr>
      <w:r>
        <w:t xml:space="preserve">给排水科学与工程专业与省内建筑企业、水利施工企业、水务运营企业、环境保护公司保持着良好的关系，建立校企合作班6个。通过鼓励老师积极申报各类课题和积极参加学校及校办公司实体等项目合作，促进了科研工作的开展，丰富了教学内容。邀请国内外著名学者来校讲学，促进学术交流，提高办学水平。 </w:t>
      </w:r>
    </w:p>
    <w:p>
      <w:pPr>
        <w:spacing w:line="390" w:lineRule="exact"/>
        <w:ind w:firstLine="480" w:firstLineChars="200"/>
        <w:rPr>
          <w:rFonts w:eastAsia="黑体"/>
        </w:rPr>
      </w:pPr>
      <w:r>
        <w:rPr>
          <w:rFonts w:eastAsia="黑体"/>
        </w:rPr>
        <w:t>4.产学研结合，服务地域经济</w:t>
      </w:r>
    </w:p>
    <w:p>
      <w:pPr>
        <w:spacing w:line="390" w:lineRule="exact"/>
        <w:ind w:firstLine="480" w:firstLineChars="200"/>
      </w:pPr>
      <w:r>
        <w:t>多年来密切结合区域经济发展，服务于山东省生态建设，积极推进</w:t>
      </w:r>
      <w:r>
        <w:rPr>
          <w:rFonts w:hint="eastAsia"/>
        </w:rPr>
        <w:t>“</w:t>
      </w:r>
      <w:r>
        <w:t>产、学、研</w:t>
      </w:r>
      <w:r>
        <w:rPr>
          <w:rFonts w:hint="eastAsia"/>
        </w:rPr>
        <w:t>”</w:t>
      </w:r>
      <w:r>
        <w:t>发展。先后完成了高密市、昌邑市、莱芜市等给水排水规划和工程设计研究，徐州市鼓楼区水污染控制规划，泰安市环境保护</w:t>
      </w:r>
      <w:r>
        <w:rPr>
          <w:rFonts w:hint="eastAsia"/>
        </w:rPr>
        <w:t>“</w:t>
      </w:r>
      <w:r>
        <w:t>十三年</w:t>
      </w:r>
      <w:r>
        <w:rPr>
          <w:rFonts w:hint="eastAsia"/>
        </w:rPr>
        <w:t>”</w:t>
      </w:r>
      <w:r>
        <w:t>规划，泰安市水污染防治行动计划实施方案，泰安市水功能区划分方案，基于河湖水系污染物转移规律的水质改善技术研究，青岛市城阳区给水管现状分析研究，泰安市市级河湖健康评估，新泰市第三次污染源普查，典型区域面源污染估算等数十项工程项目，为地方经济发展服务的同时，促进了专业的改革与发展，为科研提供了更广阔的舞台。</w:t>
      </w:r>
    </w:p>
    <w:p>
      <w:pPr>
        <w:pStyle w:val="6"/>
        <w:spacing w:line="390" w:lineRule="exact"/>
        <w:ind w:firstLine="480"/>
      </w:pPr>
      <w:r>
        <w:t>5.注重学生思想道德素养与文化，开展三创教育模式</w:t>
      </w:r>
    </w:p>
    <w:p>
      <w:pPr>
        <w:spacing w:line="390" w:lineRule="exact"/>
        <w:ind w:firstLine="480" w:firstLineChars="200"/>
      </w:pPr>
      <w:r>
        <w:t>以大学生全面发展为目标，深入进行素质教育，促进大学生思想道德素质、科学文化素质和健康素质协调发展，引导大学生勤于学习、善于创造、甘于奉献，成为有理想、有道德、有文化、有纪律的社会主义新人；以科技文化活动为主，有力促进了系风、学风和社会公德建设，丰富学生的校园文化生活。</w:t>
      </w:r>
    </w:p>
    <w:p>
      <w:pPr>
        <w:spacing w:line="390" w:lineRule="exact"/>
        <w:ind w:firstLine="480" w:firstLineChars="200"/>
      </w:pPr>
      <w:r>
        <w:t>积极开展创新思想、创新精神、创新能力（即三创教育）人才培养模式，给排水科学与工程专业根据确定的实践教学服务目标和实践教学体系构建的指导思想、原则，以技能和能力培养为主线，以</w:t>
      </w:r>
      <w:r>
        <w:rPr>
          <w:rFonts w:hint="eastAsia"/>
        </w:rPr>
        <w:t>“</w:t>
      </w:r>
      <w:r>
        <w:t>基本技能培养、工程实践能力培养、综合能力培养和创新能力培养</w:t>
      </w:r>
      <w:r>
        <w:rPr>
          <w:rFonts w:hint="eastAsia"/>
        </w:rPr>
        <w:t>”</w:t>
      </w:r>
      <w:r>
        <w:t>为总目标，构建了</w:t>
      </w:r>
      <w:r>
        <w:rPr>
          <w:rFonts w:hint="eastAsia"/>
        </w:rPr>
        <w:t>“</w:t>
      </w:r>
      <w:r>
        <w:t>基础实践、专业实践、综合实践</w:t>
      </w:r>
      <w:r>
        <w:rPr>
          <w:rFonts w:hint="eastAsia"/>
        </w:rPr>
        <w:t>”</w:t>
      </w:r>
      <w:r>
        <w:t>三个大体系，由</w:t>
      </w:r>
      <w:r>
        <w:rPr>
          <w:rFonts w:hint="eastAsia"/>
        </w:rPr>
        <w:t>“</w:t>
      </w:r>
      <w:r>
        <w:t>基础实践活动、计算机操作技能、基本实验教学、专业认识实习、课程实习、课程设计、科技活动、毕业实习、毕业设计、校内工程实践</w:t>
      </w:r>
      <w:r>
        <w:rPr>
          <w:rFonts w:hint="eastAsia"/>
        </w:rPr>
        <w:t>”</w:t>
      </w:r>
      <w:r>
        <w:t>10个实践教学模块组成的实践教学体系。该体系以实践教学管理体系改革和实践教学条件体系的完善作保证，形成一个相对独立、整体优化并与理论教学有机统一的给排水科学与工程专业实践教学体系。</w:t>
      </w:r>
    </w:p>
    <w:p>
      <w:pPr>
        <w:pStyle w:val="5"/>
        <w:spacing w:before="93" w:after="93" w:line="390" w:lineRule="exact"/>
        <w:ind w:firstLine="560"/>
      </w:pPr>
      <w:r>
        <w:t>五、培养质量（毕业生就业率、就业专业对口率、毕业生发展情况、就业单位满意率、社会对专业的评价、学生就读该专业的意愿等）</w:t>
      </w:r>
    </w:p>
    <w:p>
      <w:pPr>
        <w:spacing w:line="390" w:lineRule="exact"/>
        <w:ind w:firstLine="480" w:firstLineChars="200"/>
      </w:pPr>
      <w:r>
        <w:t>截止2022年9月30日，2022届给排水科学与工程专业毕业55人，就业率80.23 %。 55名毕业生中，20人考取不同专业研究生，升学率为36.36%，其中考入</w:t>
      </w:r>
      <w:r>
        <w:rPr>
          <w:rFonts w:hint="eastAsia"/>
        </w:rPr>
        <w:t>“</w:t>
      </w:r>
      <w:r>
        <w:t>双一流</w:t>
      </w:r>
      <w:r>
        <w:rPr>
          <w:rFonts w:hint="eastAsia"/>
        </w:rPr>
        <w:t>”</w:t>
      </w:r>
      <w:r>
        <w:t>大学7人，占国内升学总人数的35%。35位参加工作的同学，国有企业就业占比32.26%，中国500强企业就业，占比19.35%，世界500强企业就业，占比12.90%。毕业生当前所在工作单位或者所从事工作岗位与所学专业对口率较高的共23人，占已就业总人数的74.19%，主要集中在中铁大桥局集团、济南城建集团有限公司、泰安市建筑设计院有限责任公司、中铁十七局等。给排水科学与工程专业得到了社会的高度评价，发展情况良好。</w:t>
      </w:r>
    </w:p>
    <w:p>
      <w:pPr>
        <w:pStyle w:val="5"/>
        <w:spacing w:before="93" w:after="93" w:line="390" w:lineRule="exact"/>
        <w:ind w:firstLine="560"/>
      </w:pPr>
      <w:r>
        <w:t>六、毕业生就业创业（创业情况、采取的措施、典型案例等）</w:t>
      </w:r>
    </w:p>
    <w:p>
      <w:pPr>
        <w:spacing w:line="390" w:lineRule="exact"/>
        <w:ind w:firstLine="480" w:firstLineChars="200"/>
      </w:pPr>
      <w:r>
        <w:t>给排水科学与工程专业培养掌握给水排水工程的基本理论、基本知识和基本技能，获得给水排水工程学科理论知识和实践能力的基本训练，并具有一定的科研能力和创新精神，在水资源开发利用、水的输配、处理、收集与再生利用等领域，胜任规划、设计、施工、咨询、教育和研究开发等方面的技术与管理工作，能在政府部门（规划建设、市政工程、经济管理等）、设计单位、工矿企业、科研单位、学校等从事规划、设计、管理、教育和研究开发方面的工作，具有持续学习能力、开拓创新能力及研究开发创新性市政工程学科高级工程技术人才。</w:t>
      </w:r>
    </w:p>
    <w:p>
      <w:pPr>
        <w:spacing w:line="390" w:lineRule="exact"/>
        <w:ind w:firstLine="480" w:firstLineChars="200"/>
      </w:pPr>
      <w:r>
        <w:t>培养的毕业生可在政府部门、规划部门、城市公用事业部门、城市市政建设与管理部门、环保部门、设计单位、施工单位、物业管理部门、大中型工业企业、房地产公司、科研部门及学校等企事业单位从事给排水科学与工程的规划、设计、运行、管理、施工、科学研究和教学等工作，长期以来就业形势较好。</w:t>
      </w:r>
    </w:p>
    <w:p>
      <w:pPr>
        <w:pStyle w:val="5"/>
        <w:spacing w:before="93" w:after="93" w:line="390" w:lineRule="exact"/>
        <w:ind w:firstLine="560"/>
      </w:pPr>
      <w:r>
        <w:t>七、专业人才社会需求分析及专业发展趋势分析</w:t>
      </w:r>
    </w:p>
    <w:p>
      <w:pPr>
        <w:spacing w:line="390" w:lineRule="exact"/>
        <w:ind w:firstLine="539"/>
      </w:pPr>
      <w:r>
        <w:t>给排水科学与工程专业以水的社会循环为研究对象，覆盖水资源可持续利用和保护、水的社会循环、水的生态功能、节水工作、水质及其相关的高新技术等专业领域，在水量和水质两个方面以水质为中心，保持工程传统，向市政水工程、管网输送、水资源尤其是建筑水工程等方向全面拓宽，是一门与城市、城镇建设事业、工业生产、环保和人民生活密切相关的重要学科。</w:t>
      </w:r>
    </w:p>
    <w:p>
      <w:pPr>
        <w:spacing w:line="390" w:lineRule="exact"/>
        <w:ind w:firstLine="539"/>
      </w:pPr>
      <w:r>
        <w:t>水是一种不可替代的有限资源。我们面临着水的三大问题，即洪涝灾害、水资源紧缺、水污染严重。随着我国城市化进程的加快，水的良性循环与可持续发展成为人们普遍关注的主题。这为相关的给排水科学与工程专业的发展提供了良好的机遇，也提出了更大的挑战。随着新农村的建设，给排水科学与工程专业的服务领域已由城市向农村迁移，专业人才需求量迅速发展。尤其是最近几年我国水污染事件频繁发生，饮用水源水质严重下降，而国家对饮用水标准提出了严格要求，几乎全国所有自来水厂的工艺都需要改造，也将对营运管理人员的素质提出更高的管理水平，仅饮用水处理这一块就会增大人才需求量。因此，给排水科学与工程专业的发展前景非常广阔。</w:t>
      </w:r>
    </w:p>
    <w:p>
      <w:pPr>
        <w:pStyle w:val="5"/>
        <w:spacing w:before="93" w:after="93" w:line="390" w:lineRule="exact"/>
        <w:ind w:firstLine="560"/>
      </w:pPr>
      <w:r>
        <w:t>八、存在的问题及拟采取的对策措施</w:t>
      </w:r>
    </w:p>
    <w:p>
      <w:pPr>
        <w:pStyle w:val="6"/>
        <w:spacing w:line="390" w:lineRule="exact"/>
        <w:ind w:firstLine="480"/>
      </w:pPr>
      <w:bookmarkStart w:id="618" w:name="_Hlk27581010"/>
      <w:r>
        <w:t xml:space="preserve">1. </w:t>
      </w:r>
      <w:bookmarkEnd w:id="618"/>
      <w:r>
        <w:t>存在的问题</w:t>
      </w:r>
    </w:p>
    <w:p>
      <w:pPr>
        <w:spacing w:line="390" w:lineRule="exact"/>
        <w:ind w:firstLine="480" w:firstLineChars="200"/>
      </w:pPr>
      <w:r>
        <w:t>（1）大师级人才、杰出人才等高层次学术带头人缺乏。</w:t>
      </w:r>
    </w:p>
    <w:p>
      <w:pPr>
        <w:spacing w:line="390" w:lineRule="exact"/>
        <w:ind w:firstLine="480" w:firstLineChars="200"/>
      </w:pPr>
      <w:r>
        <w:t>（2）教师的科研能力和水平有待进一步提高。</w:t>
      </w:r>
    </w:p>
    <w:p>
      <w:pPr>
        <w:spacing w:line="390" w:lineRule="exact"/>
        <w:ind w:firstLine="480" w:firstLineChars="200"/>
      </w:pPr>
      <w:r>
        <w:t>（3）教师教学研究的积极性有待提高，缺乏高水平的教学研究项目和教学成果。</w:t>
      </w:r>
    </w:p>
    <w:p>
      <w:pPr>
        <w:spacing w:line="390" w:lineRule="exact"/>
        <w:ind w:firstLine="480" w:firstLineChars="200"/>
      </w:pPr>
      <w:r>
        <w:t>（4）由于本专业实践性强，实践教学及实习场所仍存在明显不足。</w:t>
      </w:r>
    </w:p>
    <w:p>
      <w:pPr>
        <w:spacing w:line="390" w:lineRule="exact"/>
        <w:ind w:firstLine="480" w:firstLineChars="200"/>
      </w:pPr>
      <w:r>
        <w:t>（5）教育资源紧缺，平台建设经费不持续不稳定。</w:t>
      </w:r>
    </w:p>
    <w:p>
      <w:pPr>
        <w:pStyle w:val="6"/>
        <w:spacing w:line="390" w:lineRule="exact"/>
        <w:ind w:firstLine="480"/>
      </w:pPr>
      <w:r>
        <w:t>2. 拟采取的对策措施</w:t>
      </w:r>
    </w:p>
    <w:p>
      <w:pPr>
        <w:spacing w:line="390" w:lineRule="exact"/>
        <w:ind w:firstLine="480" w:firstLineChars="200"/>
      </w:pPr>
      <w:r>
        <w:t>（1）为了达到高水平师资队伍建设目标，以</w:t>
      </w:r>
      <w:r>
        <w:rPr>
          <w:rFonts w:hint="eastAsia"/>
        </w:rPr>
        <w:t>“</w:t>
      </w:r>
      <w:r>
        <w:t>优化结构、完善梯队、提升实力</w:t>
      </w:r>
      <w:r>
        <w:rPr>
          <w:rFonts w:hint="eastAsia"/>
        </w:rPr>
        <w:t>”</w:t>
      </w:r>
      <w:r>
        <w:t>为方向，以学科专业建设为龙头，培养和引进并重为方针，努力打造高层次、高水平师资队伍；完善聘用制，完善竞争机制、激励机制和考核机制，倡导和开展良好用人环境建设；推进现代大学教师管理制度建设。</w:t>
      </w:r>
    </w:p>
    <w:p>
      <w:pPr>
        <w:spacing w:line="390" w:lineRule="exact"/>
        <w:ind w:firstLine="480" w:firstLineChars="200"/>
      </w:pPr>
      <w:r>
        <w:t>（2）实施定向培养，扩大就业渠道和机会。根据市场和学生需求，设置多个定向培养模式，重点培养学生基础理论和实践能力，提高学生的专业技能，使学生学有所用、学有所能、学有所长，扩大就业渠道和机会，提高学生的专业就业对口率和就业的可持续性。</w:t>
      </w:r>
    </w:p>
    <w:p>
      <w:pPr>
        <w:spacing w:line="390" w:lineRule="exact"/>
        <w:ind w:firstLine="480" w:firstLineChars="200"/>
      </w:pPr>
      <w:r>
        <w:t>（3）加强师资引进。充实教师队伍，优化师资结构，建设一支高水平、高学历、数量足、治学严谨、教育观念新、创新意识强的师资队伍。同时采用积极有效的措施，提高教师从事教学工作的积极性和主动性。</w:t>
      </w:r>
    </w:p>
    <w:p>
      <w:pPr>
        <w:spacing w:line="390" w:lineRule="exact"/>
        <w:ind w:firstLine="480" w:firstLineChars="200"/>
      </w:pPr>
      <w:r>
        <w:t>（4）积极开展与企业、高校、科研院所、地方政府、行业部门的合作，为学生提供良好的实习机会，让学生理论与实际相结合。</w:t>
      </w:r>
    </w:p>
    <w:p>
      <w:pPr>
        <w:spacing w:line="390" w:lineRule="exact"/>
        <w:ind w:firstLine="480" w:firstLineChars="200"/>
      </w:pPr>
      <w:r>
        <w:t>（5）加大对本专业平台建设力度，稳定经费，添置仪器设备，为学生创造更为先进的实习、实验平台。</w:t>
      </w:r>
    </w:p>
    <w:p>
      <w:pPr>
        <w:ind w:firstLine="480" w:firstLineChars="200"/>
      </w:pPr>
    </w:p>
    <w:p>
      <w:r>
        <w:br w:type="page"/>
      </w:r>
    </w:p>
    <w:p>
      <w:pPr>
        <w:pStyle w:val="4"/>
        <w:ind w:firstLine="600"/>
      </w:pPr>
      <w:bookmarkStart w:id="619" w:name="_Toc3238"/>
      <w:bookmarkStart w:id="620" w:name="_Toc6542"/>
      <w:bookmarkStart w:id="621" w:name="_Toc28435"/>
      <w:bookmarkStart w:id="622" w:name="_Toc439256248"/>
      <w:bookmarkStart w:id="623" w:name="_Toc12389"/>
      <w:r>
        <w:t>专业</w:t>
      </w:r>
      <w:r>
        <w:rPr>
          <w:lang w:val="en-US"/>
        </w:rPr>
        <w:t>六十</w:t>
      </w:r>
      <w:r>
        <w:rPr>
          <w:rFonts w:hint="eastAsia"/>
          <w:lang w:val="en-US"/>
        </w:rPr>
        <w:t>二</w:t>
      </w:r>
      <w:r>
        <w:t>：道路桥梁与渡河工程</w:t>
      </w:r>
      <w:bookmarkEnd w:id="619"/>
      <w:bookmarkEnd w:id="620"/>
      <w:bookmarkEnd w:id="621"/>
      <w:bookmarkEnd w:id="622"/>
      <w:bookmarkEnd w:id="623"/>
    </w:p>
    <w:p>
      <w:pPr>
        <w:pStyle w:val="5"/>
        <w:spacing w:before="93" w:after="93"/>
        <w:ind w:firstLine="560"/>
      </w:pPr>
      <w:bookmarkStart w:id="624" w:name="_Toc6530"/>
      <w:r>
        <w:t>一、人才培养目标</w:t>
      </w:r>
      <w:bookmarkEnd w:id="624"/>
    </w:p>
    <w:p>
      <w:pPr>
        <w:ind w:firstLine="480"/>
      </w:pPr>
      <w:r>
        <w:t>本专业培养具备扎实的道路工程、桥梁工程、隧道与地下工程和渡河工程的基本理论、知识和技能，能在道路桥梁与渡河工程及相关方面从事设计、施工、项目管理、科研、规划工作的应用型及复合型高级专门人才。</w:t>
      </w:r>
    </w:p>
    <w:p>
      <w:pPr>
        <w:pStyle w:val="5"/>
        <w:spacing w:before="93" w:after="93"/>
        <w:ind w:firstLine="560"/>
      </w:pPr>
      <w:bookmarkStart w:id="625" w:name="_Toc18181"/>
      <w:r>
        <w:t>二、培养能力</w:t>
      </w:r>
      <w:bookmarkEnd w:id="625"/>
    </w:p>
    <w:p>
      <w:pPr>
        <w:spacing w:line="390" w:lineRule="exact"/>
        <w:ind w:firstLine="480"/>
      </w:pPr>
      <w:r>
        <w:t>道路桥梁与渡河工程本科专业是结合相关专业，在十余年专科办学的基础上，于2006年申报设立，并于2007年开始招生。目前在校学生137人（不含2022级大类招生，未分专业）2019级60人；2020级45人；2021级34人。</w:t>
      </w:r>
    </w:p>
    <w:p>
      <w:pPr>
        <w:spacing w:line="390" w:lineRule="exact"/>
        <w:ind w:firstLine="480"/>
      </w:pPr>
      <w:r>
        <w:t>1.具备较扎实的自然科学基础知识，掌握高等数学、理论力学、材料力学、结构力学、水力学、岩土力学等专业基础理论；掌握道路、桥梁与隧道工程结构分析、规划设计、力学计算、地基处理等方面的基本知识。</w:t>
      </w:r>
    </w:p>
    <w:p>
      <w:pPr>
        <w:spacing w:line="390" w:lineRule="exact"/>
        <w:ind w:firstLine="480"/>
      </w:pPr>
      <w:r>
        <w:t>2.具备道路桥梁与渡河工程方面的测量、施工及组织管理能力，掌握工程制图、计算机应用、工程检测与试验、工程预算等基本技能。</w:t>
      </w:r>
    </w:p>
    <w:p>
      <w:pPr>
        <w:spacing w:line="390" w:lineRule="exact"/>
        <w:ind w:firstLine="480"/>
      </w:pPr>
      <w:r>
        <w:t>3.了解并掌握部分与路桥专业相关，如土木工程、高等建筑结构方面的基本设计原理与分析方法，掌握一般建筑工程的施工技术、施工组织、工程概预算、招投标等基本知识。</w:t>
      </w:r>
    </w:p>
    <w:p>
      <w:pPr>
        <w:spacing w:line="390" w:lineRule="exact"/>
        <w:ind w:firstLine="480"/>
      </w:pPr>
      <w:r>
        <w:t>4.学会通过自学增长知识，具备一定的独立提出问题、分析问题和解决问题的能力。富有创新精神，具备一定的科研开发和公关能力，密切关注本专业发展动态，了解与工程建设相关的法律法规及其他知识。</w:t>
      </w:r>
    </w:p>
    <w:p>
      <w:pPr>
        <w:spacing w:line="390" w:lineRule="exact"/>
        <w:ind w:firstLine="480"/>
      </w:pPr>
      <w:r>
        <w:t>5.具备一定的人文社会科学知识，具有工程应用文写作能力。掌握基本专业外语知识，能阅读本专业外文书刊，具有初步的外文听、说、读、写能力。</w:t>
      </w:r>
    </w:p>
    <w:p>
      <w:pPr>
        <w:pStyle w:val="5"/>
        <w:spacing w:before="93" w:after="93"/>
        <w:ind w:firstLine="560"/>
      </w:pPr>
      <w:bookmarkStart w:id="626" w:name="_Toc24805"/>
      <w:r>
        <w:t>三、培养条件</w:t>
      </w:r>
      <w:bookmarkEnd w:id="626"/>
    </w:p>
    <w:p>
      <w:pPr>
        <w:ind w:firstLine="480"/>
      </w:pPr>
      <w:r>
        <w:t>经过十多年的建设，专业在教学经费投入、师资队伍建设、实验室及学科平台建设、实习基地建设、科学研究、教研教改方面取得了长足的发展，取得了一定成绩，毕业生的初次就业率98%以上。</w:t>
      </w:r>
    </w:p>
    <w:p>
      <w:pPr>
        <w:pStyle w:val="6"/>
        <w:ind w:firstLine="480"/>
      </w:pPr>
      <w:r>
        <w:t>1.师资队伍</w:t>
      </w:r>
    </w:p>
    <w:p>
      <w:pPr>
        <w:ind w:firstLine="480"/>
      </w:pPr>
      <w:r>
        <w:t>师资队伍现状：道路桥梁与渡河工程专任教师队伍的基本状况如下表：</w:t>
      </w:r>
    </w:p>
    <w:p>
      <w:pPr>
        <w:jc w:val="center"/>
        <w:rPr>
          <w:b/>
          <w:bCs/>
          <w:sz w:val="21"/>
          <w:szCs w:val="21"/>
        </w:rPr>
      </w:pPr>
      <w:r>
        <w:rPr>
          <w:b/>
          <w:bCs/>
          <w:sz w:val="21"/>
          <w:szCs w:val="21"/>
        </w:rPr>
        <w:t>年龄结构分布表　　　　　　　　　　　　　　      　表-1</w:t>
      </w:r>
    </w:p>
    <w:tbl>
      <w:tblPr>
        <w:tblStyle w:val="17"/>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5"/>
        <w:gridCol w:w="1286"/>
        <w:gridCol w:w="1286"/>
        <w:gridCol w:w="1285"/>
        <w:gridCol w:w="1286"/>
        <w:gridCol w:w="1286"/>
        <w:gridCol w:w="1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1285" w:type="dxa"/>
          </w:tcPr>
          <w:p>
            <w:pPr>
              <w:widowControl/>
              <w:spacing w:line="240" w:lineRule="auto"/>
              <w:jc w:val="center"/>
              <w:rPr>
                <w:b/>
                <w:bCs/>
                <w:kern w:val="0"/>
                <w:sz w:val="21"/>
                <w:szCs w:val="21"/>
              </w:rPr>
            </w:pPr>
          </w:p>
        </w:tc>
        <w:tc>
          <w:tcPr>
            <w:tcW w:w="1286" w:type="dxa"/>
            <w:vAlign w:val="center"/>
          </w:tcPr>
          <w:p>
            <w:pPr>
              <w:widowControl/>
              <w:spacing w:line="240" w:lineRule="auto"/>
              <w:jc w:val="center"/>
              <w:rPr>
                <w:b/>
                <w:bCs/>
                <w:kern w:val="0"/>
                <w:sz w:val="21"/>
                <w:szCs w:val="21"/>
              </w:rPr>
            </w:pPr>
            <w:r>
              <w:rPr>
                <w:b/>
                <w:bCs/>
                <w:kern w:val="0"/>
                <w:sz w:val="21"/>
                <w:szCs w:val="21"/>
              </w:rPr>
              <w:t>35岁以下</w:t>
            </w:r>
          </w:p>
        </w:tc>
        <w:tc>
          <w:tcPr>
            <w:tcW w:w="1286" w:type="dxa"/>
            <w:vAlign w:val="center"/>
          </w:tcPr>
          <w:p>
            <w:pPr>
              <w:widowControl/>
              <w:spacing w:line="240" w:lineRule="auto"/>
              <w:jc w:val="center"/>
              <w:rPr>
                <w:b/>
                <w:bCs/>
                <w:kern w:val="0"/>
                <w:sz w:val="21"/>
                <w:szCs w:val="21"/>
              </w:rPr>
            </w:pPr>
            <w:r>
              <w:rPr>
                <w:b/>
                <w:bCs/>
                <w:kern w:val="0"/>
                <w:sz w:val="21"/>
                <w:szCs w:val="21"/>
              </w:rPr>
              <w:t>35-40岁</w:t>
            </w:r>
          </w:p>
        </w:tc>
        <w:tc>
          <w:tcPr>
            <w:tcW w:w="1285" w:type="dxa"/>
            <w:vAlign w:val="center"/>
          </w:tcPr>
          <w:p>
            <w:pPr>
              <w:widowControl/>
              <w:spacing w:line="240" w:lineRule="auto"/>
              <w:jc w:val="center"/>
              <w:rPr>
                <w:b/>
                <w:bCs/>
                <w:kern w:val="0"/>
                <w:sz w:val="21"/>
                <w:szCs w:val="21"/>
              </w:rPr>
            </w:pPr>
            <w:r>
              <w:rPr>
                <w:b/>
                <w:bCs/>
                <w:kern w:val="0"/>
                <w:sz w:val="21"/>
                <w:szCs w:val="21"/>
              </w:rPr>
              <w:t>40-45岁</w:t>
            </w:r>
          </w:p>
        </w:tc>
        <w:tc>
          <w:tcPr>
            <w:tcW w:w="1286" w:type="dxa"/>
            <w:vAlign w:val="center"/>
          </w:tcPr>
          <w:p>
            <w:pPr>
              <w:widowControl/>
              <w:spacing w:line="240" w:lineRule="auto"/>
              <w:jc w:val="center"/>
              <w:rPr>
                <w:b/>
                <w:bCs/>
                <w:kern w:val="0"/>
                <w:sz w:val="21"/>
                <w:szCs w:val="21"/>
              </w:rPr>
            </w:pPr>
            <w:r>
              <w:rPr>
                <w:b/>
                <w:bCs/>
                <w:kern w:val="0"/>
                <w:sz w:val="21"/>
                <w:szCs w:val="21"/>
              </w:rPr>
              <w:t>45-50岁</w:t>
            </w:r>
          </w:p>
        </w:tc>
        <w:tc>
          <w:tcPr>
            <w:tcW w:w="1286" w:type="dxa"/>
            <w:vAlign w:val="center"/>
          </w:tcPr>
          <w:p>
            <w:pPr>
              <w:widowControl/>
              <w:spacing w:line="240" w:lineRule="auto"/>
              <w:jc w:val="center"/>
              <w:rPr>
                <w:b/>
                <w:bCs/>
                <w:kern w:val="0"/>
                <w:sz w:val="21"/>
                <w:szCs w:val="21"/>
              </w:rPr>
            </w:pPr>
            <w:r>
              <w:rPr>
                <w:b/>
                <w:bCs/>
                <w:kern w:val="0"/>
                <w:sz w:val="21"/>
                <w:szCs w:val="21"/>
              </w:rPr>
              <w:t>50-55岁</w:t>
            </w:r>
          </w:p>
        </w:tc>
        <w:tc>
          <w:tcPr>
            <w:tcW w:w="1286" w:type="dxa"/>
            <w:vAlign w:val="center"/>
          </w:tcPr>
          <w:p>
            <w:pPr>
              <w:widowControl/>
              <w:spacing w:line="240" w:lineRule="auto"/>
              <w:jc w:val="center"/>
              <w:rPr>
                <w:b/>
                <w:bCs/>
                <w:kern w:val="0"/>
                <w:sz w:val="21"/>
                <w:szCs w:val="21"/>
              </w:rPr>
            </w:pPr>
            <w:r>
              <w:rPr>
                <w:b/>
                <w:bCs/>
                <w:kern w:val="0"/>
                <w:sz w:val="21"/>
                <w:szCs w:val="21"/>
              </w:rPr>
              <w:t>55-60岁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1285" w:type="dxa"/>
            <w:vAlign w:val="center"/>
          </w:tcPr>
          <w:p>
            <w:pPr>
              <w:widowControl/>
              <w:spacing w:line="240" w:lineRule="auto"/>
              <w:jc w:val="center"/>
              <w:rPr>
                <w:kern w:val="0"/>
                <w:sz w:val="21"/>
                <w:szCs w:val="21"/>
              </w:rPr>
            </w:pPr>
            <w:r>
              <w:rPr>
                <w:kern w:val="0"/>
                <w:sz w:val="21"/>
                <w:szCs w:val="21"/>
              </w:rPr>
              <w:t>人数</w:t>
            </w:r>
          </w:p>
        </w:tc>
        <w:tc>
          <w:tcPr>
            <w:tcW w:w="1286" w:type="dxa"/>
            <w:vAlign w:val="center"/>
          </w:tcPr>
          <w:p>
            <w:pPr>
              <w:widowControl/>
              <w:spacing w:line="240" w:lineRule="auto"/>
              <w:jc w:val="center"/>
              <w:rPr>
                <w:kern w:val="0"/>
                <w:sz w:val="21"/>
                <w:szCs w:val="21"/>
              </w:rPr>
            </w:pPr>
            <w:r>
              <w:rPr>
                <w:kern w:val="0"/>
                <w:sz w:val="21"/>
                <w:szCs w:val="21"/>
              </w:rPr>
              <w:t>2</w:t>
            </w:r>
          </w:p>
        </w:tc>
        <w:tc>
          <w:tcPr>
            <w:tcW w:w="1286" w:type="dxa"/>
            <w:vAlign w:val="center"/>
          </w:tcPr>
          <w:p>
            <w:pPr>
              <w:widowControl/>
              <w:spacing w:line="240" w:lineRule="auto"/>
              <w:jc w:val="center"/>
              <w:rPr>
                <w:kern w:val="0"/>
                <w:sz w:val="21"/>
                <w:szCs w:val="21"/>
              </w:rPr>
            </w:pPr>
            <w:r>
              <w:rPr>
                <w:kern w:val="0"/>
                <w:sz w:val="21"/>
                <w:szCs w:val="21"/>
              </w:rPr>
              <w:t>5</w:t>
            </w:r>
          </w:p>
        </w:tc>
        <w:tc>
          <w:tcPr>
            <w:tcW w:w="1285" w:type="dxa"/>
            <w:vAlign w:val="center"/>
          </w:tcPr>
          <w:p>
            <w:pPr>
              <w:widowControl/>
              <w:spacing w:line="240" w:lineRule="auto"/>
              <w:jc w:val="center"/>
              <w:rPr>
                <w:kern w:val="0"/>
                <w:sz w:val="21"/>
                <w:szCs w:val="21"/>
              </w:rPr>
            </w:pPr>
            <w:r>
              <w:rPr>
                <w:kern w:val="0"/>
                <w:sz w:val="21"/>
                <w:szCs w:val="21"/>
              </w:rPr>
              <w:t>2</w:t>
            </w:r>
          </w:p>
        </w:tc>
        <w:tc>
          <w:tcPr>
            <w:tcW w:w="1286" w:type="dxa"/>
            <w:vAlign w:val="center"/>
          </w:tcPr>
          <w:p>
            <w:pPr>
              <w:widowControl/>
              <w:spacing w:line="240" w:lineRule="auto"/>
              <w:jc w:val="center"/>
              <w:rPr>
                <w:kern w:val="0"/>
                <w:sz w:val="21"/>
                <w:szCs w:val="21"/>
              </w:rPr>
            </w:pPr>
            <w:r>
              <w:rPr>
                <w:kern w:val="0"/>
                <w:sz w:val="21"/>
                <w:szCs w:val="21"/>
              </w:rPr>
              <w:t>3</w:t>
            </w:r>
          </w:p>
        </w:tc>
        <w:tc>
          <w:tcPr>
            <w:tcW w:w="1286" w:type="dxa"/>
            <w:vAlign w:val="center"/>
          </w:tcPr>
          <w:p>
            <w:pPr>
              <w:widowControl/>
              <w:spacing w:line="240" w:lineRule="auto"/>
              <w:jc w:val="center"/>
              <w:rPr>
                <w:kern w:val="0"/>
                <w:sz w:val="21"/>
                <w:szCs w:val="21"/>
              </w:rPr>
            </w:pPr>
            <w:r>
              <w:rPr>
                <w:kern w:val="0"/>
                <w:sz w:val="21"/>
                <w:szCs w:val="21"/>
              </w:rPr>
              <w:t>3</w:t>
            </w:r>
          </w:p>
        </w:tc>
        <w:tc>
          <w:tcPr>
            <w:tcW w:w="1286" w:type="dxa"/>
            <w:vAlign w:val="center"/>
          </w:tcPr>
          <w:p>
            <w:pPr>
              <w:widowControl/>
              <w:spacing w:line="240" w:lineRule="auto"/>
              <w:jc w:val="center"/>
              <w:rPr>
                <w:kern w:val="0"/>
                <w:sz w:val="21"/>
                <w:szCs w:val="21"/>
              </w:rPr>
            </w:pPr>
            <w:r>
              <w:rPr>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1285" w:type="dxa"/>
            <w:vAlign w:val="center"/>
          </w:tcPr>
          <w:p>
            <w:pPr>
              <w:widowControl/>
              <w:spacing w:line="240" w:lineRule="auto"/>
              <w:jc w:val="center"/>
              <w:rPr>
                <w:kern w:val="0"/>
                <w:sz w:val="21"/>
                <w:szCs w:val="21"/>
              </w:rPr>
            </w:pPr>
            <w:r>
              <w:rPr>
                <w:kern w:val="0"/>
                <w:sz w:val="21"/>
                <w:szCs w:val="21"/>
              </w:rPr>
              <w:t>百分比</w:t>
            </w:r>
          </w:p>
        </w:tc>
        <w:tc>
          <w:tcPr>
            <w:tcW w:w="1286" w:type="dxa"/>
            <w:vAlign w:val="center"/>
          </w:tcPr>
          <w:p>
            <w:pPr>
              <w:widowControl/>
              <w:spacing w:line="240" w:lineRule="auto"/>
              <w:jc w:val="center"/>
              <w:rPr>
                <w:kern w:val="0"/>
                <w:sz w:val="21"/>
                <w:szCs w:val="21"/>
              </w:rPr>
            </w:pPr>
            <w:r>
              <w:rPr>
                <w:kern w:val="0"/>
                <w:sz w:val="21"/>
                <w:szCs w:val="21"/>
              </w:rPr>
              <w:t>12.5%</w:t>
            </w:r>
          </w:p>
        </w:tc>
        <w:tc>
          <w:tcPr>
            <w:tcW w:w="1286" w:type="dxa"/>
            <w:vAlign w:val="center"/>
          </w:tcPr>
          <w:p>
            <w:pPr>
              <w:widowControl/>
              <w:spacing w:line="240" w:lineRule="auto"/>
              <w:jc w:val="center"/>
              <w:rPr>
                <w:kern w:val="0"/>
                <w:sz w:val="21"/>
                <w:szCs w:val="21"/>
              </w:rPr>
            </w:pPr>
            <w:r>
              <w:rPr>
                <w:kern w:val="0"/>
                <w:sz w:val="21"/>
                <w:szCs w:val="21"/>
              </w:rPr>
              <w:t>31.25%</w:t>
            </w:r>
          </w:p>
        </w:tc>
        <w:tc>
          <w:tcPr>
            <w:tcW w:w="1285" w:type="dxa"/>
            <w:vAlign w:val="center"/>
          </w:tcPr>
          <w:p>
            <w:pPr>
              <w:widowControl/>
              <w:spacing w:line="240" w:lineRule="auto"/>
              <w:jc w:val="center"/>
              <w:rPr>
                <w:kern w:val="0"/>
                <w:sz w:val="21"/>
                <w:szCs w:val="21"/>
              </w:rPr>
            </w:pPr>
            <w:r>
              <w:rPr>
                <w:kern w:val="0"/>
                <w:sz w:val="21"/>
                <w:szCs w:val="21"/>
              </w:rPr>
              <w:t>12.5%</w:t>
            </w:r>
          </w:p>
        </w:tc>
        <w:tc>
          <w:tcPr>
            <w:tcW w:w="1286" w:type="dxa"/>
            <w:vAlign w:val="center"/>
          </w:tcPr>
          <w:p>
            <w:pPr>
              <w:widowControl/>
              <w:spacing w:line="240" w:lineRule="auto"/>
              <w:jc w:val="center"/>
              <w:rPr>
                <w:kern w:val="0"/>
                <w:sz w:val="21"/>
                <w:szCs w:val="21"/>
              </w:rPr>
            </w:pPr>
            <w:r>
              <w:rPr>
                <w:kern w:val="0"/>
                <w:sz w:val="21"/>
                <w:szCs w:val="21"/>
              </w:rPr>
              <w:t>18.75%</w:t>
            </w:r>
          </w:p>
        </w:tc>
        <w:tc>
          <w:tcPr>
            <w:tcW w:w="1286" w:type="dxa"/>
            <w:vAlign w:val="center"/>
          </w:tcPr>
          <w:p>
            <w:pPr>
              <w:widowControl/>
              <w:spacing w:line="240" w:lineRule="auto"/>
              <w:jc w:val="center"/>
              <w:rPr>
                <w:kern w:val="0"/>
                <w:sz w:val="21"/>
                <w:szCs w:val="21"/>
              </w:rPr>
            </w:pPr>
            <w:r>
              <w:rPr>
                <w:kern w:val="0"/>
                <w:sz w:val="21"/>
                <w:szCs w:val="21"/>
              </w:rPr>
              <w:t>18.75%</w:t>
            </w:r>
          </w:p>
        </w:tc>
        <w:tc>
          <w:tcPr>
            <w:tcW w:w="1286" w:type="dxa"/>
            <w:vAlign w:val="center"/>
          </w:tcPr>
          <w:p>
            <w:pPr>
              <w:widowControl/>
              <w:spacing w:line="240" w:lineRule="auto"/>
              <w:jc w:val="center"/>
              <w:rPr>
                <w:kern w:val="0"/>
                <w:sz w:val="21"/>
                <w:szCs w:val="21"/>
              </w:rPr>
            </w:pPr>
            <w:r>
              <w:rPr>
                <w:kern w:val="0"/>
                <w:sz w:val="21"/>
                <w:szCs w:val="21"/>
              </w:rPr>
              <w:t>6.25%</w:t>
            </w:r>
          </w:p>
        </w:tc>
      </w:tr>
    </w:tbl>
    <w:p>
      <w:pPr>
        <w:widowControl/>
        <w:spacing w:line="240" w:lineRule="auto"/>
        <w:jc w:val="center"/>
        <w:rPr>
          <w:b/>
          <w:bCs/>
          <w:kern w:val="0"/>
          <w:sz w:val="21"/>
          <w:szCs w:val="21"/>
        </w:rPr>
      </w:pPr>
      <w:r>
        <w:rPr>
          <w:b/>
          <w:bCs/>
          <w:kern w:val="0"/>
          <w:sz w:val="21"/>
          <w:szCs w:val="21"/>
        </w:rPr>
        <w:t xml:space="preserve">          职称结构分布表　　　　　　　　　　　　　　　　表-2</w:t>
      </w:r>
    </w:p>
    <w:tbl>
      <w:tblPr>
        <w:tblStyle w:val="17"/>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3"/>
        <w:gridCol w:w="1113"/>
        <w:gridCol w:w="1113"/>
        <w:gridCol w:w="1132"/>
        <w:gridCol w:w="1132"/>
        <w:gridCol w:w="1132"/>
        <w:gridCol w:w="1132"/>
        <w:gridCol w:w="1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1113" w:type="dxa"/>
            <w:vAlign w:val="center"/>
          </w:tcPr>
          <w:p>
            <w:pPr>
              <w:widowControl/>
              <w:spacing w:line="240" w:lineRule="auto"/>
              <w:jc w:val="center"/>
              <w:rPr>
                <w:b/>
                <w:bCs/>
                <w:kern w:val="0"/>
                <w:sz w:val="21"/>
                <w:szCs w:val="21"/>
              </w:rPr>
            </w:pPr>
            <w:r>
              <w:rPr>
                <w:b/>
                <w:bCs/>
                <w:kern w:val="0"/>
                <w:sz w:val="21"/>
                <w:szCs w:val="21"/>
              </w:rPr>
              <w:t>职称</w:t>
            </w:r>
          </w:p>
        </w:tc>
        <w:tc>
          <w:tcPr>
            <w:tcW w:w="1113" w:type="dxa"/>
            <w:vAlign w:val="center"/>
          </w:tcPr>
          <w:p>
            <w:pPr>
              <w:widowControl/>
              <w:spacing w:line="240" w:lineRule="auto"/>
              <w:jc w:val="center"/>
              <w:rPr>
                <w:b/>
                <w:bCs/>
                <w:kern w:val="0"/>
                <w:sz w:val="21"/>
                <w:szCs w:val="21"/>
              </w:rPr>
            </w:pPr>
            <w:r>
              <w:rPr>
                <w:b/>
                <w:bCs/>
                <w:kern w:val="0"/>
                <w:sz w:val="21"/>
                <w:szCs w:val="21"/>
              </w:rPr>
              <w:t>人数</w:t>
            </w:r>
          </w:p>
        </w:tc>
        <w:tc>
          <w:tcPr>
            <w:tcW w:w="1113" w:type="dxa"/>
            <w:vAlign w:val="center"/>
          </w:tcPr>
          <w:p>
            <w:pPr>
              <w:widowControl/>
              <w:spacing w:line="240" w:lineRule="auto"/>
              <w:jc w:val="center"/>
              <w:rPr>
                <w:b/>
                <w:bCs/>
                <w:kern w:val="0"/>
                <w:sz w:val="21"/>
                <w:szCs w:val="21"/>
              </w:rPr>
            </w:pPr>
            <w:r>
              <w:rPr>
                <w:b/>
                <w:bCs/>
                <w:kern w:val="0"/>
                <w:sz w:val="21"/>
                <w:szCs w:val="21"/>
              </w:rPr>
              <w:t>百分比</w:t>
            </w:r>
          </w:p>
        </w:tc>
        <w:tc>
          <w:tcPr>
            <w:tcW w:w="5661" w:type="dxa"/>
            <w:gridSpan w:val="5"/>
            <w:vAlign w:val="center"/>
          </w:tcPr>
          <w:p>
            <w:pPr>
              <w:widowControl/>
              <w:spacing w:line="240" w:lineRule="auto"/>
              <w:jc w:val="center"/>
              <w:rPr>
                <w:b/>
                <w:bCs/>
                <w:kern w:val="0"/>
                <w:sz w:val="21"/>
                <w:szCs w:val="21"/>
              </w:rPr>
            </w:pPr>
            <w:r>
              <w:rPr>
                <w:b/>
                <w:bCs/>
                <w:kern w:val="0"/>
                <w:sz w:val="21"/>
                <w:szCs w:val="21"/>
              </w:rPr>
              <w:t>年龄分布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1113" w:type="dxa"/>
          </w:tcPr>
          <w:p>
            <w:pPr>
              <w:widowControl/>
              <w:spacing w:line="240" w:lineRule="auto"/>
              <w:jc w:val="center"/>
              <w:rPr>
                <w:kern w:val="0"/>
                <w:sz w:val="21"/>
                <w:szCs w:val="21"/>
              </w:rPr>
            </w:pPr>
          </w:p>
        </w:tc>
        <w:tc>
          <w:tcPr>
            <w:tcW w:w="1113" w:type="dxa"/>
          </w:tcPr>
          <w:p>
            <w:pPr>
              <w:widowControl/>
              <w:spacing w:line="240" w:lineRule="auto"/>
              <w:jc w:val="center"/>
              <w:rPr>
                <w:kern w:val="0"/>
                <w:sz w:val="21"/>
                <w:szCs w:val="21"/>
              </w:rPr>
            </w:pPr>
          </w:p>
        </w:tc>
        <w:tc>
          <w:tcPr>
            <w:tcW w:w="1113" w:type="dxa"/>
          </w:tcPr>
          <w:p>
            <w:pPr>
              <w:widowControl/>
              <w:spacing w:line="240" w:lineRule="auto"/>
              <w:jc w:val="center"/>
              <w:rPr>
                <w:kern w:val="0"/>
                <w:sz w:val="21"/>
                <w:szCs w:val="21"/>
              </w:rPr>
            </w:pPr>
          </w:p>
        </w:tc>
        <w:tc>
          <w:tcPr>
            <w:tcW w:w="1132" w:type="dxa"/>
          </w:tcPr>
          <w:p>
            <w:pPr>
              <w:widowControl/>
              <w:spacing w:line="240" w:lineRule="auto"/>
              <w:jc w:val="center"/>
              <w:rPr>
                <w:b/>
                <w:bCs/>
                <w:kern w:val="0"/>
                <w:sz w:val="21"/>
                <w:szCs w:val="21"/>
              </w:rPr>
            </w:pPr>
            <w:r>
              <w:rPr>
                <w:b/>
                <w:bCs/>
                <w:kern w:val="0"/>
                <w:sz w:val="21"/>
                <w:szCs w:val="21"/>
              </w:rPr>
              <w:t>40岁以下</w:t>
            </w:r>
          </w:p>
        </w:tc>
        <w:tc>
          <w:tcPr>
            <w:tcW w:w="1132" w:type="dxa"/>
          </w:tcPr>
          <w:p>
            <w:pPr>
              <w:widowControl/>
              <w:spacing w:line="240" w:lineRule="auto"/>
              <w:jc w:val="center"/>
              <w:rPr>
                <w:b/>
                <w:bCs/>
                <w:kern w:val="0"/>
                <w:sz w:val="21"/>
                <w:szCs w:val="21"/>
              </w:rPr>
            </w:pPr>
            <w:r>
              <w:rPr>
                <w:b/>
                <w:bCs/>
                <w:kern w:val="0"/>
                <w:sz w:val="21"/>
                <w:szCs w:val="21"/>
              </w:rPr>
              <w:t>40-45岁</w:t>
            </w:r>
          </w:p>
        </w:tc>
        <w:tc>
          <w:tcPr>
            <w:tcW w:w="1132" w:type="dxa"/>
          </w:tcPr>
          <w:p>
            <w:pPr>
              <w:widowControl/>
              <w:spacing w:line="240" w:lineRule="auto"/>
              <w:jc w:val="center"/>
              <w:rPr>
                <w:b/>
                <w:bCs/>
                <w:kern w:val="0"/>
                <w:sz w:val="21"/>
                <w:szCs w:val="21"/>
              </w:rPr>
            </w:pPr>
            <w:r>
              <w:rPr>
                <w:b/>
                <w:bCs/>
                <w:kern w:val="0"/>
                <w:sz w:val="21"/>
                <w:szCs w:val="21"/>
              </w:rPr>
              <w:t>45-50岁</w:t>
            </w:r>
          </w:p>
        </w:tc>
        <w:tc>
          <w:tcPr>
            <w:tcW w:w="1132" w:type="dxa"/>
          </w:tcPr>
          <w:p>
            <w:pPr>
              <w:widowControl/>
              <w:spacing w:line="240" w:lineRule="auto"/>
              <w:jc w:val="center"/>
              <w:rPr>
                <w:b/>
                <w:bCs/>
                <w:kern w:val="0"/>
                <w:sz w:val="21"/>
                <w:szCs w:val="21"/>
              </w:rPr>
            </w:pPr>
            <w:r>
              <w:rPr>
                <w:b/>
                <w:bCs/>
                <w:kern w:val="0"/>
                <w:sz w:val="21"/>
                <w:szCs w:val="21"/>
              </w:rPr>
              <w:t>50-55岁</w:t>
            </w:r>
          </w:p>
        </w:tc>
        <w:tc>
          <w:tcPr>
            <w:tcW w:w="1133" w:type="dxa"/>
          </w:tcPr>
          <w:p>
            <w:pPr>
              <w:widowControl/>
              <w:spacing w:line="240" w:lineRule="auto"/>
              <w:jc w:val="center"/>
              <w:rPr>
                <w:b/>
                <w:bCs/>
                <w:kern w:val="0"/>
                <w:sz w:val="21"/>
                <w:szCs w:val="21"/>
              </w:rPr>
            </w:pPr>
            <w:r>
              <w:rPr>
                <w:b/>
                <w:bCs/>
                <w:kern w:val="0"/>
                <w:sz w:val="21"/>
                <w:szCs w:val="21"/>
              </w:rPr>
              <w:t>55-60岁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1113" w:type="dxa"/>
            <w:vAlign w:val="center"/>
          </w:tcPr>
          <w:p>
            <w:pPr>
              <w:widowControl/>
              <w:spacing w:line="240" w:lineRule="auto"/>
              <w:jc w:val="center"/>
              <w:rPr>
                <w:kern w:val="0"/>
                <w:sz w:val="21"/>
                <w:szCs w:val="21"/>
              </w:rPr>
            </w:pPr>
            <w:r>
              <w:rPr>
                <w:kern w:val="0"/>
                <w:sz w:val="21"/>
                <w:szCs w:val="21"/>
              </w:rPr>
              <w:t>教授</w:t>
            </w:r>
          </w:p>
        </w:tc>
        <w:tc>
          <w:tcPr>
            <w:tcW w:w="1113" w:type="dxa"/>
            <w:vAlign w:val="center"/>
          </w:tcPr>
          <w:p>
            <w:pPr>
              <w:widowControl/>
              <w:spacing w:line="240" w:lineRule="auto"/>
              <w:jc w:val="center"/>
              <w:rPr>
                <w:kern w:val="0"/>
                <w:sz w:val="21"/>
                <w:szCs w:val="21"/>
              </w:rPr>
            </w:pPr>
            <w:r>
              <w:rPr>
                <w:kern w:val="0"/>
                <w:sz w:val="21"/>
                <w:szCs w:val="21"/>
              </w:rPr>
              <w:t>3</w:t>
            </w:r>
          </w:p>
        </w:tc>
        <w:tc>
          <w:tcPr>
            <w:tcW w:w="1113" w:type="dxa"/>
            <w:vAlign w:val="center"/>
          </w:tcPr>
          <w:p>
            <w:pPr>
              <w:widowControl/>
              <w:spacing w:line="240" w:lineRule="auto"/>
              <w:jc w:val="center"/>
              <w:rPr>
                <w:kern w:val="0"/>
                <w:sz w:val="21"/>
                <w:szCs w:val="21"/>
              </w:rPr>
            </w:pPr>
            <w:r>
              <w:rPr>
                <w:kern w:val="0"/>
                <w:sz w:val="21"/>
                <w:szCs w:val="21"/>
              </w:rPr>
              <w:t>18.75%</w:t>
            </w:r>
          </w:p>
        </w:tc>
        <w:tc>
          <w:tcPr>
            <w:tcW w:w="1132" w:type="dxa"/>
            <w:vAlign w:val="center"/>
          </w:tcPr>
          <w:p>
            <w:pPr>
              <w:widowControl/>
              <w:spacing w:line="240" w:lineRule="auto"/>
              <w:jc w:val="center"/>
              <w:rPr>
                <w:kern w:val="0"/>
                <w:sz w:val="21"/>
                <w:szCs w:val="21"/>
              </w:rPr>
            </w:pPr>
          </w:p>
        </w:tc>
        <w:tc>
          <w:tcPr>
            <w:tcW w:w="1132" w:type="dxa"/>
            <w:vAlign w:val="center"/>
          </w:tcPr>
          <w:p>
            <w:pPr>
              <w:widowControl/>
              <w:spacing w:line="240" w:lineRule="auto"/>
              <w:jc w:val="center"/>
              <w:rPr>
                <w:kern w:val="0"/>
                <w:sz w:val="21"/>
                <w:szCs w:val="21"/>
              </w:rPr>
            </w:pPr>
          </w:p>
        </w:tc>
        <w:tc>
          <w:tcPr>
            <w:tcW w:w="1132" w:type="dxa"/>
            <w:vAlign w:val="center"/>
          </w:tcPr>
          <w:p>
            <w:pPr>
              <w:widowControl/>
              <w:spacing w:line="240" w:lineRule="auto"/>
              <w:jc w:val="center"/>
              <w:rPr>
                <w:kern w:val="0"/>
                <w:sz w:val="21"/>
                <w:szCs w:val="21"/>
              </w:rPr>
            </w:pPr>
          </w:p>
        </w:tc>
        <w:tc>
          <w:tcPr>
            <w:tcW w:w="1132" w:type="dxa"/>
            <w:vAlign w:val="center"/>
          </w:tcPr>
          <w:p>
            <w:pPr>
              <w:widowControl/>
              <w:spacing w:line="240" w:lineRule="auto"/>
              <w:jc w:val="center"/>
              <w:rPr>
                <w:kern w:val="0"/>
                <w:sz w:val="21"/>
                <w:szCs w:val="21"/>
              </w:rPr>
            </w:pPr>
            <w:r>
              <w:rPr>
                <w:kern w:val="0"/>
                <w:sz w:val="21"/>
                <w:szCs w:val="21"/>
              </w:rPr>
              <w:t>2</w:t>
            </w:r>
          </w:p>
        </w:tc>
        <w:tc>
          <w:tcPr>
            <w:tcW w:w="1133" w:type="dxa"/>
            <w:vAlign w:val="center"/>
          </w:tcPr>
          <w:p>
            <w:pPr>
              <w:widowControl/>
              <w:spacing w:line="240" w:lineRule="auto"/>
              <w:jc w:val="center"/>
              <w:rPr>
                <w:kern w:val="0"/>
                <w:sz w:val="21"/>
                <w:szCs w:val="21"/>
              </w:rPr>
            </w:pPr>
            <w:r>
              <w:rPr>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1113" w:type="dxa"/>
            <w:vAlign w:val="center"/>
          </w:tcPr>
          <w:p>
            <w:pPr>
              <w:widowControl/>
              <w:spacing w:line="240" w:lineRule="auto"/>
              <w:jc w:val="center"/>
              <w:rPr>
                <w:kern w:val="0"/>
                <w:sz w:val="21"/>
                <w:szCs w:val="21"/>
              </w:rPr>
            </w:pPr>
            <w:r>
              <w:rPr>
                <w:kern w:val="0"/>
                <w:sz w:val="21"/>
                <w:szCs w:val="21"/>
              </w:rPr>
              <w:t>副教授</w:t>
            </w:r>
          </w:p>
        </w:tc>
        <w:tc>
          <w:tcPr>
            <w:tcW w:w="1113" w:type="dxa"/>
            <w:vAlign w:val="center"/>
          </w:tcPr>
          <w:p>
            <w:pPr>
              <w:widowControl/>
              <w:spacing w:line="240" w:lineRule="auto"/>
              <w:jc w:val="center"/>
              <w:rPr>
                <w:kern w:val="0"/>
                <w:sz w:val="21"/>
                <w:szCs w:val="21"/>
              </w:rPr>
            </w:pPr>
            <w:r>
              <w:rPr>
                <w:kern w:val="0"/>
                <w:sz w:val="21"/>
                <w:szCs w:val="21"/>
              </w:rPr>
              <w:t>7</w:t>
            </w:r>
          </w:p>
        </w:tc>
        <w:tc>
          <w:tcPr>
            <w:tcW w:w="1113" w:type="dxa"/>
            <w:vAlign w:val="center"/>
          </w:tcPr>
          <w:p>
            <w:pPr>
              <w:widowControl/>
              <w:spacing w:line="240" w:lineRule="auto"/>
              <w:jc w:val="center"/>
              <w:rPr>
                <w:kern w:val="0"/>
                <w:sz w:val="21"/>
                <w:szCs w:val="21"/>
              </w:rPr>
            </w:pPr>
            <w:r>
              <w:rPr>
                <w:kern w:val="0"/>
                <w:sz w:val="21"/>
                <w:szCs w:val="21"/>
              </w:rPr>
              <w:t>43.75%</w:t>
            </w:r>
          </w:p>
        </w:tc>
        <w:tc>
          <w:tcPr>
            <w:tcW w:w="1132" w:type="dxa"/>
            <w:vAlign w:val="center"/>
          </w:tcPr>
          <w:p>
            <w:pPr>
              <w:widowControl/>
              <w:spacing w:line="240" w:lineRule="auto"/>
              <w:jc w:val="center"/>
              <w:rPr>
                <w:kern w:val="0"/>
                <w:sz w:val="21"/>
                <w:szCs w:val="21"/>
              </w:rPr>
            </w:pPr>
            <w:r>
              <w:rPr>
                <w:kern w:val="0"/>
                <w:sz w:val="21"/>
                <w:szCs w:val="21"/>
              </w:rPr>
              <w:t>2</w:t>
            </w:r>
          </w:p>
        </w:tc>
        <w:tc>
          <w:tcPr>
            <w:tcW w:w="1132" w:type="dxa"/>
            <w:vAlign w:val="center"/>
          </w:tcPr>
          <w:p>
            <w:pPr>
              <w:widowControl/>
              <w:spacing w:line="240" w:lineRule="auto"/>
              <w:jc w:val="center"/>
              <w:rPr>
                <w:kern w:val="0"/>
                <w:sz w:val="21"/>
                <w:szCs w:val="21"/>
              </w:rPr>
            </w:pPr>
            <w:r>
              <w:rPr>
                <w:kern w:val="0"/>
                <w:sz w:val="21"/>
                <w:szCs w:val="21"/>
              </w:rPr>
              <w:t>1</w:t>
            </w:r>
          </w:p>
        </w:tc>
        <w:tc>
          <w:tcPr>
            <w:tcW w:w="1132" w:type="dxa"/>
            <w:vAlign w:val="center"/>
          </w:tcPr>
          <w:p>
            <w:pPr>
              <w:widowControl/>
              <w:spacing w:line="240" w:lineRule="auto"/>
              <w:jc w:val="center"/>
              <w:rPr>
                <w:kern w:val="0"/>
                <w:sz w:val="21"/>
                <w:szCs w:val="21"/>
              </w:rPr>
            </w:pPr>
            <w:r>
              <w:rPr>
                <w:kern w:val="0"/>
                <w:sz w:val="21"/>
                <w:szCs w:val="21"/>
              </w:rPr>
              <w:t>3</w:t>
            </w:r>
          </w:p>
        </w:tc>
        <w:tc>
          <w:tcPr>
            <w:tcW w:w="1132" w:type="dxa"/>
            <w:vAlign w:val="center"/>
          </w:tcPr>
          <w:p>
            <w:pPr>
              <w:widowControl/>
              <w:spacing w:line="240" w:lineRule="auto"/>
              <w:jc w:val="center"/>
              <w:rPr>
                <w:kern w:val="0"/>
                <w:sz w:val="21"/>
                <w:szCs w:val="21"/>
              </w:rPr>
            </w:pPr>
            <w:r>
              <w:rPr>
                <w:kern w:val="0"/>
                <w:sz w:val="21"/>
                <w:szCs w:val="21"/>
              </w:rPr>
              <w:t>1</w:t>
            </w:r>
          </w:p>
        </w:tc>
        <w:tc>
          <w:tcPr>
            <w:tcW w:w="1133" w:type="dxa"/>
            <w:vAlign w:val="center"/>
          </w:tcPr>
          <w:p>
            <w:pPr>
              <w:widowControl/>
              <w:spacing w:line="240" w:lineRule="auto"/>
              <w:jc w:val="center"/>
              <w:rPr>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1113" w:type="dxa"/>
            <w:vAlign w:val="center"/>
          </w:tcPr>
          <w:p>
            <w:pPr>
              <w:widowControl/>
              <w:spacing w:line="240" w:lineRule="auto"/>
              <w:jc w:val="center"/>
              <w:rPr>
                <w:kern w:val="0"/>
                <w:sz w:val="21"/>
                <w:szCs w:val="21"/>
              </w:rPr>
            </w:pPr>
            <w:r>
              <w:rPr>
                <w:kern w:val="0"/>
                <w:sz w:val="21"/>
                <w:szCs w:val="21"/>
              </w:rPr>
              <w:t>讲师</w:t>
            </w:r>
          </w:p>
        </w:tc>
        <w:tc>
          <w:tcPr>
            <w:tcW w:w="1113" w:type="dxa"/>
            <w:vAlign w:val="center"/>
          </w:tcPr>
          <w:p>
            <w:pPr>
              <w:widowControl/>
              <w:spacing w:line="240" w:lineRule="auto"/>
              <w:jc w:val="center"/>
              <w:rPr>
                <w:kern w:val="0"/>
                <w:sz w:val="21"/>
                <w:szCs w:val="21"/>
              </w:rPr>
            </w:pPr>
            <w:r>
              <w:rPr>
                <w:kern w:val="0"/>
                <w:sz w:val="21"/>
                <w:szCs w:val="21"/>
              </w:rPr>
              <w:t>6</w:t>
            </w:r>
          </w:p>
        </w:tc>
        <w:tc>
          <w:tcPr>
            <w:tcW w:w="1113" w:type="dxa"/>
            <w:vAlign w:val="center"/>
          </w:tcPr>
          <w:p>
            <w:pPr>
              <w:widowControl/>
              <w:spacing w:line="240" w:lineRule="auto"/>
              <w:jc w:val="center"/>
              <w:rPr>
                <w:kern w:val="0"/>
                <w:sz w:val="21"/>
                <w:szCs w:val="21"/>
              </w:rPr>
            </w:pPr>
            <w:r>
              <w:rPr>
                <w:kern w:val="0"/>
                <w:sz w:val="21"/>
                <w:szCs w:val="21"/>
              </w:rPr>
              <w:t>37.50%</w:t>
            </w:r>
          </w:p>
        </w:tc>
        <w:tc>
          <w:tcPr>
            <w:tcW w:w="1132" w:type="dxa"/>
            <w:vAlign w:val="center"/>
          </w:tcPr>
          <w:p>
            <w:pPr>
              <w:widowControl/>
              <w:spacing w:line="240" w:lineRule="auto"/>
              <w:jc w:val="center"/>
              <w:rPr>
                <w:kern w:val="0"/>
                <w:sz w:val="21"/>
                <w:szCs w:val="21"/>
              </w:rPr>
            </w:pPr>
            <w:r>
              <w:rPr>
                <w:kern w:val="0"/>
                <w:sz w:val="21"/>
                <w:szCs w:val="21"/>
              </w:rPr>
              <w:t>5</w:t>
            </w:r>
          </w:p>
        </w:tc>
        <w:tc>
          <w:tcPr>
            <w:tcW w:w="1132" w:type="dxa"/>
            <w:vAlign w:val="center"/>
          </w:tcPr>
          <w:p>
            <w:pPr>
              <w:widowControl/>
              <w:spacing w:line="240" w:lineRule="auto"/>
              <w:jc w:val="center"/>
              <w:rPr>
                <w:kern w:val="0"/>
                <w:sz w:val="21"/>
                <w:szCs w:val="21"/>
              </w:rPr>
            </w:pPr>
            <w:r>
              <w:rPr>
                <w:kern w:val="0"/>
                <w:sz w:val="21"/>
                <w:szCs w:val="21"/>
              </w:rPr>
              <w:t>1</w:t>
            </w:r>
          </w:p>
        </w:tc>
        <w:tc>
          <w:tcPr>
            <w:tcW w:w="1132" w:type="dxa"/>
            <w:vAlign w:val="center"/>
          </w:tcPr>
          <w:p>
            <w:pPr>
              <w:widowControl/>
              <w:spacing w:line="240" w:lineRule="auto"/>
              <w:jc w:val="center"/>
              <w:rPr>
                <w:kern w:val="0"/>
                <w:sz w:val="21"/>
                <w:szCs w:val="21"/>
              </w:rPr>
            </w:pPr>
          </w:p>
        </w:tc>
        <w:tc>
          <w:tcPr>
            <w:tcW w:w="1132" w:type="dxa"/>
            <w:vAlign w:val="center"/>
          </w:tcPr>
          <w:p>
            <w:pPr>
              <w:widowControl/>
              <w:spacing w:line="240" w:lineRule="auto"/>
              <w:jc w:val="center"/>
              <w:rPr>
                <w:kern w:val="0"/>
                <w:sz w:val="21"/>
                <w:szCs w:val="21"/>
              </w:rPr>
            </w:pPr>
          </w:p>
        </w:tc>
        <w:tc>
          <w:tcPr>
            <w:tcW w:w="1133" w:type="dxa"/>
            <w:vAlign w:val="center"/>
          </w:tcPr>
          <w:p>
            <w:pPr>
              <w:widowControl/>
              <w:spacing w:line="240" w:lineRule="auto"/>
              <w:jc w:val="center"/>
              <w:rPr>
                <w:kern w:val="0"/>
                <w:sz w:val="21"/>
                <w:szCs w:val="21"/>
              </w:rPr>
            </w:pPr>
          </w:p>
        </w:tc>
      </w:tr>
    </w:tbl>
    <w:p>
      <w:pPr>
        <w:widowControl/>
        <w:spacing w:line="240" w:lineRule="auto"/>
        <w:jc w:val="center"/>
        <w:rPr>
          <w:kern w:val="0"/>
          <w:sz w:val="21"/>
          <w:szCs w:val="21"/>
        </w:rPr>
      </w:pPr>
    </w:p>
    <w:p>
      <w:pPr>
        <w:widowControl/>
        <w:spacing w:line="240" w:lineRule="auto"/>
        <w:jc w:val="center"/>
        <w:rPr>
          <w:b/>
          <w:bCs/>
          <w:kern w:val="0"/>
          <w:sz w:val="21"/>
          <w:szCs w:val="21"/>
        </w:rPr>
      </w:pPr>
      <w:r>
        <w:rPr>
          <w:b/>
          <w:bCs/>
          <w:kern w:val="0"/>
          <w:sz w:val="21"/>
          <w:szCs w:val="21"/>
        </w:rPr>
        <w:t>学历结构分布表　　　　　　　　　　　　　　　　　表-3</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8"/>
        <w:gridCol w:w="990"/>
        <w:gridCol w:w="990"/>
        <w:gridCol w:w="1224"/>
        <w:gridCol w:w="1224"/>
        <w:gridCol w:w="1224"/>
        <w:gridCol w:w="1224"/>
        <w:gridCol w:w="12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8" w:type="dxa"/>
            <w:vMerge w:val="restart"/>
            <w:vAlign w:val="center"/>
          </w:tcPr>
          <w:p>
            <w:pPr>
              <w:widowControl/>
              <w:spacing w:line="240" w:lineRule="auto"/>
              <w:jc w:val="center"/>
              <w:rPr>
                <w:b/>
                <w:bCs/>
                <w:kern w:val="0"/>
                <w:sz w:val="21"/>
                <w:szCs w:val="21"/>
              </w:rPr>
            </w:pPr>
            <w:r>
              <w:rPr>
                <w:b/>
                <w:bCs/>
                <w:kern w:val="0"/>
                <w:sz w:val="21"/>
                <w:szCs w:val="21"/>
              </w:rPr>
              <w:t>职称</w:t>
            </w:r>
          </w:p>
        </w:tc>
        <w:tc>
          <w:tcPr>
            <w:tcW w:w="990" w:type="dxa"/>
            <w:vMerge w:val="restart"/>
            <w:vAlign w:val="center"/>
          </w:tcPr>
          <w:p>
            <w:pPr>
              <w:widowControl/>
              <w:spacing w:line="240" w:lineRule="auto"/>
              <w:jc w:val="center"/>
              <w:rPr>
                <w:b/>
                <w:bCs/>
                <w:kern w:val="0"/>
                <w:sz w:val="21"/>
                <w:szCs w:val="21"/>
              </w:rPr>
            </w:pPr>
            <w:r>
              <w:rPr>
                <w:b/>
                <w:bCs/>
                <w:kern w:val="0"/>
                <w:sz w:val="21"/>
                <w:szCs w:val="21"/>
              </w:rPr>
              <w:t>人数</w:t>
            </w:r>
          </w:p>
        </w:tc>
        <w:tc>
          <w:tcPr>
            <w:tcW w:w="990" w:type="dxa"/>
            <w:vMerge w:val="restart"/>
            <w:vAlign w:val="center"/>
          </w:tcPr>
          <w:p>
            <w:pPr>
              <w:widowControl/>
              <w:spacing w:line="240" w:lineRule="auto"/>
              <w:jc w:val="center"/>
              <w:rPr>
                <w:b/>
                <w:bCs/>
                <w:kern w:val="0"/>
                <w:sz w:val="21"/>
                <w:szCs w:val="21"/>
              </w:rPr>
            </w:pPr>
            <w:r>
              <w:rPr>
                <w:b/>
                <w:bCs/>
                <w:kern w:val="0"/>
                <w:sz w:val="21"/>
                <w:szCs w:val="21"/>
              </w:rPr>
              <w:t>百分比</w:t>
            </w:r>
          </w:p>
        </w:tc>
        <w:tc>
          <w:tcPr>
            <w:tcW w:w="6120" w:type="dxa"/>
            <w:gridSpan w:val="5"/>
            <w:vAlign w:val="center"/>
          </w:tcPr>
          <w:p>
            <w:pPr>
              <w:widowControl/>
              <w:spacing w:line="240" w:lineRule="auto"/>
              <w:jc w:val="center"/>
              <w:rPr>
                <w:b/>
                <w:bCs/>
                <w:kern w:val="0"/>
                <w:sz w:val="21"/>
                <w:szCs w:val="21"/>
              </w:rPr>
            </w:pPr>
            <w:r>
              <w:rPr>
                <w:b/>
                <w:bCs/>
                <w:kern w:val="0"/>
                <w:sz w:val="21"/>
                <w:szCs w:val="21"/>
              </w:rPr>
              <w:t>年龄分布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8" w:type="dxa"/>
            <w:vMerge w:val="continue"/>
          </w:tcPr>
          <w:p>
            <w:pPr>
              <w:widowControl/>
              <w:spacing w:line="240" w:lineRule="auto"/>
              <w:jc w:val="center"/>
              <w:rPr>
                <w:b/>
                <w:bCs/>
                <w:kern w:val="0"/>
                <w:sz w:val="21"/>
                <w:szCs w:val="21"/>
              </w:rPr>
            </w:pPr>
          </w:p>
        </w:tc>
        <w:tc>
          <w:tcPr>
            <w:tcW w:w="990" w:type="dxa"/>
            <w:vMerge w:val="continue"/>
          </w:tcPr>
          <w:p>
            <w:pPr>
              <w:widowControl/>
              <w:spacing w:line="240" w:lineRule="auto"/>
              <w:jc w:val="center"/>
              <w:rPr>
                <w:b/>
                <w:bCs/>
                <w:kern w:val="0"/>
                <w:sz w:val="21"/>
                <w:szCs w:val="21"/>
              </w:rPr>
            </w:pPr>
          </w:p>
        </w:tc>
        <w:tc>
          <w:tcPr>
            <w:tcW w:w="990" w:type="dxa"/>
            <w:vMerge w:val="continue"/>
          </w:tcPr>
          <w:p>
            <w:pPr>
              <w:widowControl/>
              <w:spacing w:line="240" w:lineRule="auto"/>
              <w:jc w:val="center"/>
              <w:rPr>
                <w:b/>
                <w:bCs/>
                <w:kern w:val="0"/>
                <w:sz w:val="21"/>
                <w:szCs w:val="21"/>
              </w:rPr>
            </w:pPr>
          </w:p>
        </w:tc>
        <w:tc>
          <w:tcPr>
            <w:tcW w:w="1224" w:type="dxa"/>
          </w:tcPr>
          <w:p>
            <w:pPr>
              <w:widowControl/>
              <w:spacing w:line="240" w:lineRule="auto"/>
              <w:jc w:val="center"/>
              <w:rPr>
                <w:b/>
                <w:bCs/>
                <w:kern w:val="0"/>
                <w:sz w:val="21"/>
                <w:szCs w:val="21"/>
              </w:rPr>
            </w:pPr>
            <w:r>
              <w:rPr>
                <w:b/>
                <w:bCs/>
                <w:kern w:val="0"/>
                <w:sz w:val="21"/>
                <w:szCs w:val="21"/>
              </w:rPr>
              <w:t>40岁以下</w:t>
            </w:r>
          </w:p>
        </w:tc>
        <w:tc>
          <w:tcPr>
            <w:tcW w:w="1224" w:type="dxa"/>
          </w:tcPr>
          <w:p>
            <w:pPr>
              <w:widowControl/>
              <w:spacing w:line="240" w:lineRule="auto"/>
              <w:jc w:val="center"/>
              <w:rPr>
                <w:b/>
                <w:bCs/>
                <w:kern w:val="0"/>
                <w:sz w:val="21"/>
                <w:szCs w:val="21"/>
              </w:rPr>
            </w:pPr>
            <w:r>
              <w:rPr>
                <w:b/>
                <w:bCs/>
                <w:kern w:val="0"/>
                <w:sz w:val="21"/>
                <w:szCs w:val="21"/>
              </w:rPr>
              <w:t>40-45岁</w:t>
            </w:r>
          </w:p>
        </w:tc>
        <w:tc>
          <w:tcPr>
            <w:tcW w:w="1224" w:type="dxa"/>
          </w:tcPr>
          <w:p>
            <w:pPr>
              <w:widowControl/>
              <w:spacing w:line="240" w:lineRule="auto"/>
              <w:jc w:val="center"/>
              <w:rPr>
                <w:b/>
                <w:bCs/>
                <w:kern w:val="0"/>
                <w:sz w:val="21"/>
                <w:szCs w:val="21"/>
              </w:rPr>
            </w:pPr>
            <w:r>
              <w:rPr>
                <w:b/>
                <w:bCs/>
                <w:kern w:val="0"/>
                <w:sz w:val="21"/>
                <w:szCs w:val="21"/>
              </w:rPr>
              <w:t>45-50岁</w:t>
            </w:r>
          </w:p>
        </w:tc>
        <w:tc>
          <w:tcPr>
            <w:tcW w:w="1224" w:type="dxa"/>
          </w:tcPr>
          <w:p>
            <w:pPr>
              <w:widowControl/>
              <w:spacing w:line="240" w:lineRule="auto"/>
              <w:jc w:val="center"/>
              <w:rPr>
                <w:b/>
                <w:bCs/>
                <w:kern w:val="0"/>
                <w:sz w:val="21"/>
                <w:szCs w:val="21"/>
              </w:rPr>
            </w:pPr>
            <w:r>
              <w:rPr>
                <w:b/>
                <w:bCs/>
                <w:kern w:val="0"/>
                <w:sz w:val="21"/>
                <w:szCs w:val="21"/>
              </w:rPr>
              <w:t>50-55岁</w:t>
            </w:r>
          </w:p>
        </w:tc>
        <w:tc>
          <w:tcPr>
            <w:tcW w:w="1224" w:type="dxa"/>
          </w:tcPr>
          <w:p>
            <w:pPr>
              <w:widowControl/>
              <w:spacing w:line="240" w:lineRule="auto"/>
              <w:jc w:val="center"/>
              <w:rPr>
                <w:b/>
                <w:bCs/>
                <w:kern w:val="0"/>
                <w:sz w:val="21"/>
                <w:szCs w:val="21"/>
              </w:rPr>
            </w:pPr>
            <w:r>
              <w:rPr>
                <w:b/>
                <w:bCs/>
                <w:kern w:val="0"/>
                <w:sz w:val="21"/>
                <w:szCs w:val="21"/>
              </w:rPr>
              <w:t>55-60岁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8" w:type="dxa"/>
            <w:vAlign w:val="center"/>
          </w:tcPr>
          <w:p>
            <w:pPr>
              <w:widowControl/>
              <w:spacing w:line="240" w:lineRule="auto"/>
              <w:jc w:val="center"/>
              <w:rPr>
                <w:kern w:val="0"/>
                <w:sz w:val="21"/>
                <w:szCs w:val="21"/>
              </w:rPr>
            </w:pPr>
            <w:r>
              <w:rPr>
                <w:kern w:val="0"/>
                <w:sz w:val="21"/>
                <w:szCs w:val="21"/>
              </w:rPr>
              <w:t>博士</w:t>
            </w:r>
          </w:p>
        </w:tc>
        <w:tc>
          <w:tcPr>
            <w:tcW w:w="990" w:type="dxa"/>
            <w:vAlign w:val="center"/>
          </w:tcPr>
          <w:p>
            <w:pPr>
              <w:widowControl/>
              <w:spacing w:line="240" w:lineRule="auto"/>
              <w:jc w:val="center"/>
              <w:rPr>
                <w:kern w:val="0"/>
                <w:sz w:val="21"/>
                <w:szCs w:val="21"/>
              </w:rPr>
            </w:pPr>
            <w:r>
              <w:rPr>
                <w:kern w:val="0"/>
                <w:sz w:val="21"/>
                <w:szCs w:val="21"/>
              </w:rPr>
              <w:t>12</w:t>
            </w:r>
          </w:p>
        </w:tc>
        <w:tc>
          <w:tcPr>
            <w:tcW w:w="990" w:type="dxa"/>
            <w:vAlign w:val="center"/>
          </w:tcPr>
          <w:p>
            <w:pPr>
              <w:widowControl/>
              <w:spacing w:line="240" w:lineRule="auto"/>
              <w:jc w:val="center"/>
              <w:rPr>
                <w:kern w:val="0"/>
                <w:sz w:val="21"/>
                <w:szCs w:val="21"/>
              </w:rPr>
            </w:pPr>
            <w:r>
              <w:rPr>
                <w:kern w:val="0"/>
                <w:sz w:val="21"/>
                <w:szCs w:val="21"/>
              </w:rPr>
              <w:t>75.0%</w:t>
            </w:r>
          </w:p>
        </w:tc>
        <w:tc>
          <w:tcPr>
            <w:tcW w:w="1224" w:type="dxa"/>
            <w:vAlign w:val="center"/>
          </w:tcPr>
          <w:p>
            <w:pPr>
              <w:widowControl/>
              <w:spacing w:line="240" w:lineRule="auto"/>
              <w:jc w:val="center"/>
              <w:rPr>
                <w:kern w:val="0"/>
                <w:sz w:val="21"/>
                <w:szCs w:val="21"/>
              </w:rPr>
            </w:pPr>
            <w:r>
              <w:rPr>
                <w:kern w:val="0"/>
                <w:sz w:val="21"/>
                <w:szCs w:val="21"/>
              </w:rPr>
              <w:t>6</w:t>
            </w:r>
          </w:p>
        </w:tc>
        <w:tc>
          <w:tcPr>
            <w:tcW w:w="1224" w:type="dxa"/>
            <w:vAlign w:val="center"/>
          </w:tcPr>
          <w:p>
            <w:pPr>
              <w:widowControl/>
              <w:spacing w:line="240" w:lineRule="auto"/>
              <w:jc w:val="center"/>
              <w:rPr>
                <w:kern w:val="0"/>
                <w:sz w:val="21"/>
                <w:szCs w:val="21"/>
              </w:rPr>
            </w:pPr>
            <w:r>
              <w:rPr>
                <w:kern w:val="0"/>
                <w:sz w:val="21"/>
                <w:szCs w:val="21"/>
              </w:rPr>
              <w:t>0</w:t>
            </w:r>
          </w:p>
        </w:tc>
        <w:tc>
          <w:tcPr>
            <w:tcW w:w="1224" w:type="dxa"/>
            <w:vAlign w:val="center"/>
          </w:tcPr>
          <w:p>
            <w:pPr>
              <w:widowControl/>
              <w:spacing w:line="240" w:lineRule="auto"/>
              <w:jc w:val="center"/>
              <w:rPr>
                <w:kern w:val="0"/>
                <w:sz w:val="21"/>
                <w:szCs w:val="21"/>
              </w:rPr>
            </w:pPr>
            <w:r>
              <w:rPr>
                <w:kern w:val="0"/>
                <w:sz w:val="21"/>
                <w:szCs w:val="21"/>
              </w:rPr>
              <w:t>2</w:t>
            </w:r>
          </w:p>
        </w:tc>
        <w:tc>
          <w:tcPr>
            <w:tcW w:w="1224" w:type="dxa"/>
            <w:vAlign w:val="center"/>
          </w:tcPr>
          <w:p>
            <w:pPr>
              <w:widowControl/>
              <w:spacing w:line="240" w:lineRule="auto"/>
              <w:jc w:val="center"/>
              <w:rPr>
                <w:kern w:val="0"/>
                <w:sz w:val="21"/>
                <w:szCs w:val="21"/>
              </w:rPr>
            </w:pPr>
            <w:r>
              <w:rPr>
                <w:kern w:val="0"/>
                <w:sz w:val="21"/>
                <w:szCs w:val="21"/>
              </w:rPr>
              <w:t>3</w:t>
            </w:r>
          </w:p>
        </w:tc>
        <w:tc>
          <w:tcPr>
            <w:tcW w:w="1224" w:type="dxa"/>
            <w:vAlign w:val="center"/>
          </w:tcPr>
          <w:p>
            <w:pPr>
              <w:widowControl/>
              <w:spacing w:line="240" w:lineRule="auto"/>
              <w:jc w:val="center"/>
              <w:rPr>
                <w:kern w:val="0"/>
                <w:sz w:val="21"/>
                <w:szCs w:val="21"/>
              </w:rPr>
            </w:pPr>
            <w:r>
              <w:rPr>
                <w:kern w:val="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8" w:type="dxa"/>
            <w:vAlign w:val="center"/>
          </w:tcPr>
          <w:p>
            <w:pPr>
              <w:widowControl/>
              <w:spacing w:line="240" w:lineRule="auto"/>
              <w:jc w:val="center"/>
              <w:rPr>
                <w:kern w:val="0"/>
                <w:sz w:val="21"/>
                <w:szCs w:val="21"/>
              </w:rPr>
            </w:pPr>
            <w:r>
              <w:rPr>
                <w:kern w:val="0"/>
                <w:sz w:val="21"/>
                <w:szCs w:val="21"/>
              </w:rPr>
              <w:t>硕士</w:t>
            </w:r>
          </w:p>
        </w:tc>
        <w:tc>
          <w:tcPr>
            <w:tcW w:w="990" w:type="dxa"/>
            <w:vAlign w:val="center"/>
          </w:tcPr>
          <w:p>
            <w:pPr>
              <w:widowControl/>
              <w:spacing w:line="240" w:lineRule="auto"/>
              <w:jc w:val="center"/>
              <w:rPr>
                <w:kern w:val="0"/>
                <w:sz w:val="21"/>
                <w:szCs w:val="21"/>
              </w:rPr>
            </w:pPr>
            <w:r>
              <w:rPr>
                <w:kern w:val="0"/>
                <w:sz w:val="21"/>
                <w:szCs w:val="21"/>
              </w:rPr>
              <w:t>4</w:t>
            </w:r>
          </w:p>
        </w:tc>
        <w:tc>
          <w:tcPr>
            <w:tcW w:w="990" w:type="dxa"/>
            <w:vAlign w:val="center"/>
          </w:tcPr>
          <w:p>
            <w:pPr>
              <w:widowControl/>
              <w:spacing w:line="240" w:lineRule="auto"/>
              <w:jc w:val="center"/>
              <w:rPr>
                <w:kern w:val="0"/>
                <w:sz w:val="21"/>
                <w:szCs w:val="21"/>
              </w:rPr>
            </w:pPr>
            <w:r>
              <w:rPr>
                <w:kern w:val="0"/>
                <w:sz w:val="21"/>
                <w:szCs w:val="21"/>
              </w:rPr>
              <w:t>25.0%</w:t>
            </w:r>
          </w:p>
        </w:tc>
        <w:tc>
          <w:tcPr>
            <w:tcW w:w="1224" w:type="dxa"/>
            <w:vAlign w:val="center"/>
          </w:tcPr>
          <w:p>
            <w:pPr>
              <w:widowControl/>
              <w:spacing w:line="240" w:lineRule="auto"/>
              <w:jc w:val="center"/>
              <w:rPr>
                <w:kern w:val="0"/>
                <w:sz w:val="21"/>
                <w:szCs w:val="21"/>
              </w:rPr>
            </w:pPr>
          </w:p>
        </w:tc>
        <w:tc>
          <w:tcPr>
            <w:tcW w:w="1224" w:type="dxa"/>
            <w:vAlign w:val="center"/>
          </w:tcPr>
          <w:p>
            <w:pPr>
              <w:widowControl/>
              <w:spacing w:line="240" w:lineRule="auto"/>
              <w:jc w:val="center"/>
              <w:rPr>
                <w:kern w:val="0"/>
                <w:sz w:val="21"/>
                <w:szCs w:val="21"/>
              </w:rPr>
            </w:pPr>
            <w:r>
              <w:rPr>
                <w:kern w:val="0"/>
                <w:sz w:val="21"/>
                <w:szCs w:val="21"/>
              </w:rPr>
              <w:t>3</w:t>
            </w:r>
          </w:p>
        </w:tc>
        <w:tc>
          <w:tcPr>
            <w:tcW w:w="1224" w:type="dxa"/>
            <w:vAlign w:val="center"/>
          </w:tcPr>
          <w:p>
            <w:pPr>
              <w:widowControl/>
              <w:spacing w:line="240" w:lineRule="auto"/>
              <w:jc w:val="center"/>
              <w:rPr>
                <w:kern w:val="0"/>
                <w:sz w:val="21"/>
                <w:szCs w:val="21"/>
              </w:rPr>
            </w:pPr>
            <w:r>
              <w:rPr>
                <w:kern w:val="0"/>
                <w:sz w:val="21"/>
                <w:szCs w:val="21"/>
              </w:rPr>
              <w:t>1</w:t>
            </w:r>
          </w:p>
        </w:tc>
        <w:tc>
          <w:tcPr>
            <w:tcW w:w="1224" w:type="dxa"/>
            <w:vAlign w:val="center"/>
          </w:tcPr>
          <w:p>
            <w:pPr>
              <w:widowControl/>
              <w:spacing w:line="240" w:lineRule="auto"/>
              <w:jc w:val="center"/>
              <w:rPr>
                <w:kern w:val="0"/>
                <w:sz w:val="21"/>
                <w:szCs w:val="21"/>
              </w:rPr>
            </w:pPr>
          </w:p>
        </w:tc>
        <w:tc>
          <w:tcPr>
            <w:tcW w:w="1224" w:type="dxa"/>
            <w:vAlign w:val="center"/>
          </w:tcPr>
          <w:p>
            <w:pPr>
              <w:widowControl/>
              <w:spacing w:line="240" w:lineRule="auto"/>
              <w:jc w:val="center"/>
              <w:rPr>
                <w:kern w:val="0"/>
                <w:sz w:val="21"/>
                <w:szCs w:val="21"/>
              </w:rPr>
            </w:pPr>
          </w:p>
        </w:tc>
      </w:tr>
    </w:tbl>
    <w:p>
      <w:pPr>
        <w:ind w:firstLine="480"/>
      </w:pPr>
      <w:r>
        <w:t>从三个表来看，现有教师的年龄、职称、学历结构相对较合理，青年教师比例有所提高，但仍需要继续加强。</w:t>
      </w:r>
    </w:p>
    <w:p>
      <w:pPr>
        <w:pStyle w:val="6"/>
        <w:ind w:firstLine="480"/>
      </w:pPr>
      <w:r>
        <w:t>2.实验室、实习基地、图书资料</w:t>
      </w:r>
    </w:p>
    <w:p>
      <w:pPr>
        <w:ind w:firstLine="480"/>
      </w:pPr>
      <w:r>
        <w:t>道路桥梁与渡河工程专业力学、结构、建材等多个基础实验室和桥梁、道路和沥青实验室。实验设备总值近1000万元，实验室面积3000余平方米。专业实验开出率可达到100%，同时可满足科研、生产服务要求。</w:t>
      </w:r>
    </w:p>
    <w:p>
      <w:pPr>
        <w:ind w:firstLine="480"/>
      </w:pPr>
      <w:r>
        <w:t>根据学校的统一要求和安排，道路桥梁与渡河工程专业在总结原实习基地建设经验的基础上，重新调整建立了校内外实习基地，构建了道路桥梁与渡河工程专业全新的校内外实习训练基地，可满足本专业学生校外实习的要求。</w:t>
      </w:r>
    </w:p>
    <w:p>
      <w:pPr>
        <w:ind w:firstLine="480"/>
      </w:pPr>
      <w:r>
        <w:t>本专业设有较为完备的教学、科研资料室。目前已拥有专业图书、标准图集、设计规范等20000余册；专业杂志、多媒体课件、工程图纸等技术资料一宗，基本满足了本科教学的需要。（图书馆、学院资料室、系资料室）。</w:t>
      </w:r>
    </w:p>
    <w:p>
      <w:pPr>
        <w:ind w:firstLine="480"/>
      </w:pPr>
      <w:r>
        <w:t>但本专业教学条件依然存在许多问题。比如专业建设时间短，各方面缺乏积累；硬件建设不系统、不完备；科研条件薄弱；社会影响力和认同感有待进一步提高等。</w:t>
      </w:r>
    </w:p>
    <w:p>
      <w:pPr>
        <w:pStyle w:val="6"/>
        <w:ind w:firstLine="480"/>
      </w:pPr>
      <w:r>
        <w:t>3.教学建设与改革</w:t>
      </w:r>
    </w:p>
    <w:p>
      <w:pPr>
        <w:ind w:firstLine="480"/>
      </w:pPr>
      <w:r>
        <w:t>2009年，在原来人才培养方案修订的基础上，本着适应经济社会发展的需要、适应学校新的发展目标定位、适应高等教育从精英教育向大众化教育转变的思想，按照</w:t>
      </w:r>
      <w:r>
        <w:rPr>
          <w:rFonts w:hint="eastAsia"/>
        </w:rPr>
        <w:t>“</w:t>
      </w:r>
      <w:r>
        <w:t>巩固、稳定、深化、提高</w:t>
      </w:r>
      <w:r>
        <w:rPr>
          <w:rFonts w:hint="eastAsia"/>
        </w:rPr>
        <w:t>”</w:t>
      </w:r>
      <w:r>
        <w:t>的要求，严格按照</w:t>
      </w:r>
      <w:r>
        <w:rPr>
          <w:rFonts w:hint="eastAsia"/>
        </w:rPr>
        <w:t>“</w:t>
      </w:r>
      <w:r>
        <w:t>相对稳定、调整结构、优化进程、增强实用、强化专业、突出实践</w:t>
      </w:r>
      <w:r>
        <w:rPr>
          <w:rFonts w:hint="eastAsia"/>
        </w:rPr>
        <w:t>”</w:t>
      </w:r>
      <w:r>
        <w:t>的基本原则，展开了新一轮的专业人才培养方案的修订，即2010版的道路桥梁与渡河工程专业培养方案。目前已应用于2010级和2011级。</w:t>
      </w:r>
    </w:p>
    <w:p>
      <w:pPr>
        <w:ind w:firstLine="480"/>
      </w:pPr>
      <w:r>
        <w:t>2012年，新的专业名称颁布后，在2010版培养方案的基础上，重新修订了道路桥梁与渡河工程工程专业培养方案，2018再次修订了培养方案，2018级开始采用此培养方案。2022年对培养方案重新进行了修订，将在2022级、2023级逐步开始实施新的培养方案。</w:t>
      </w:r>
    </w:p>
    <w:p>
      <w:pPr>
        <w:ind w:firstLine="480"/>
      </w:pPr>
      <w:r>
        <w:t>根据最新修订的人才培养方案中课程体系、课程内容优化组合的情况，从满足教学需要出发，在尽量使用国家统编教材和全国道路桥梁与渡河工程专业指导委员会的推荐教材的基础上，编印了部分辅助性教材，如主要课程的习题集、设计指导书、任务书和社会实践指南等。另外，有10名教师主编或参编了全国十三五规划教材。1门课程已使用双语教学，13名教师参加了精品课程建设。</w:t>
      </w:r>
    </w:p>
    <w:p>
      <w:pPr>
        <w:ind w:firstLine="480"/>
      </w:pPr>
      <w:r>
        <w:t>教学方法与手段的改革初见成效。多媒体教学、现代化教学设备使用以及慕课的研发也初具规模。90%实验课程开出了综合性和设计性实验。近几年，道路桥梁与渡河工程专业一直在进行局部的改革与调整，特别是近几年在全国高等学校道路桥梁与渡河工程学科专业指导委员会的倡导和组织下，开展了大量的改革探索工作，其中包括对新的本科教学课程体系的改革，并对专业的内涵作了新的界定，确立了道路桥梁与渡河工程专业新的学科体系。</w:t>
      </w:r>
    </w:p>
    <w:p>
      <w:pPr>
        <w:ind w:firstLine="480"/>
      </w:pPr>
      <w:r>
        <w:t>近年来，尽管我们在道路桥梁与渡河工程专业建设与改革方面做了一些工作，但仍存在人才培养滞后于工程科学发展的问题，要反应工程科学最新研究动态和社会需求，必需不断充实完善人才培养方案，更新、调整教学内容，适时调整人才培养的目标，提高人才培养的适应性和针对性。创造有利于学生个性发展的环境和平台，以适应道路桥梁与渡河工程科学技术高速发展的需求。</w:t>
      </w:r>
    </w:p>
    <w:p>
      <w:pPr>
        <w:pStyle w:val="5"/>
        <w:spacing w:before="93" w:after="93"/>
        <w:ind w:firstLine="560"/>
      </w:pPr>
      <w:bookmarkStart w:id="627" w:name="_Toc4092"/>
      <w:r>
        <w:t>四、培养机制与特色</w:t>
      </w:r>
      <w:bookmarkEnd w:id="627"/>
    </w:p>
    <w:p>
      <w:pPr>
        <w:ind w:firstLine="480"/>
      </w:pPr>
      <w:r>
        <w:t>根据专业群建设的指导思想，道路桥梁与渡河工程专业与其他相近的本科专业协同发展，教学资源共享优势显著，促进了本专业的建设和发展。通过多年的教学实践，本专业逐步形成了如下办学特色：</w:t>
      </w:r>
    </w:p>
    <w:p>
      <w:pPr>
        <w:pStyle w:val="6"/>
        <w:ind w:firstLine="480"/>
      </w:pPr>
      <w:r>
        <w:t>1.注重工程应用能力培养，教学体系合理</w:t>
      </w:r>
    </w:p>
    <w:p>
      <w:pPr>
        <w:ind w:firstLine="480"/>
      </w:pPr>
      <w:r>
        <w:t>专业建设坚持</w:t>
      </w:r>
      <w:r>
        <w:rPr>
          <w:rFonts w:hint="eastAsia"/>
        </w:rPr>
        <w:t>“</w:t>
      </w:r>
      <w:r>
        <w:t>厚基础、宽口径、高素质、强实践、重创新</w:t>
      </w:r>
      <w:r>
        <w:rPr>
          <w:rFonts w:hint="eastAsia"/>
        </w:rPr>
        <w:t>”</w:t>
      </w:r>
      <w:r>
        <w:t>的人才培养思路，建立了</w:t>
      </w:r>
      <w:r>
        <w:rPr>
          <w:rFonts w:hint="eastAsia"/>
        </w:rPr>
        <w:t>“</w:t>
      </w:r>
      <w:r>
        <w:t>横向拓宽、纵向理顺、加强基础、拓宽专业面、融入学科前沿</w:t>
      </w:r>
      <w:r>
        <w:rPr>
          <w:rFonts w:hint="eastAsia"/>
        </w:rPr>
        <w:t>”</w:t>
      </w:r>
      <w:r>
        <w:t>的教学内容和课程体系；强化实践教学环节，坚持工程特色，培养高级应用型人才；本专业毕业生，参加工作进入社会适应速度快，工作能力强，脚踏实地，得到用人单位和深造高校的好评。</w:t>
      </w:r>
    </w:p>
    <w:p>
      <w:pPr>
        <w:pStyle w:val="6"/>
        <w:ind w:firstLine="480"/>
      </w:pPr>
      <w:r>
        <w:t>2.加强学生实践能力和创新能力培养</w:t>
      </w:r>
    </w:p>
    <w:p>
      <w:pPr>
        <w:ind w:firstLine="480"/>
      </w:pPr>
      <w:r>
        <w:t>多年的办学过程中，本专业形成了注重学生创新实践能力的培养传统，学生积极参加教师科研项目、大学生研究性学习和创新性实验项及各种科技竞赛；近3年来，学生参与大学生创新性实验项目3项，学校SRT项目20余项等，创新实践活动锻炼出一批创新能力强的人才，大大提高了毕业生的就业竞争力。</w:t>
      </w:r>
    </w:p>
    <w:p>
      <w:pPr>
        <w:pStyle w:val="6"/>
        <w:ind w:firstLine="480"/>
      </w:pPr>
      <w:r>
        <w:t>3.产学研结合，加强校企联合，服务地域经济</w:t>
      </w:r>
    </w:p>
    <w:p>
      <w:pPr>
        <w:ind w:firstLine="480"/>
      </w:pPr>
      <w:r>
        <w:t>多年来本专业密切结合区域经济发展，服务于山东及周边地区的经济建设，积极推进</w:t>
      </w:r>
      <w:r>
        <w:rPr>
          <w:rFonts w:hint="eastAsia"/>
        </w:rPr>
        <w:t>“</w:t>
      </w:r>
      <w:r>
        <w:t>产、学、研</w:t>
      </w:r>
      <w:r>
        <w:rPr>
          <w:rFonts w:hint="eastAsia"/>
        </w:rPr>
        <w:t>”</w:t>
      </w:r>
      <w:r>
        <w:t>的发展。先后完成了工程项目20余项。此外，本专业积极与省内的建筑企业、设计院等保持良好的关系，就业渠道通畅。鼓励老师积极申报各类校企合作项目，促进了科研工作的开展，丰富了教学内容。</w:t>
      </w:r>
    </w:p>
    <w:p>
      <w:pPr>
        <w:spacing w:line="390" w:lineRule="exact"/>
        <w:ind w:firstLine="482"/>
      </w:pPr>
      <w:r>
        <w:t>教学管理主要围绕着研究教学及其管理规律，改进教学管理工作，提高教学管理水平；严格执行教学工作规程；组织专业培养方案的制定；保证培养计划的实施；制定各项有关教学的管理规定；建立稳定的教学秩序，保证教学工作正常运行；对各门课程和实践性教学环节的教学质量进行监督和评价；研究并组织实施教学改革，推进课程建设、教材建设以及教学方法的改革；加强教风和学风建设；进行教学质量评优的评审、推荐和奖励；强化学籍管理；注重现代管理方法在教学管理中的应用，努力推进教学管理的现代化。</w:t>
      </w:r>
    </w:p>
    <w:p>
      <w:pPr>
        <w:spacing w:line="390" w:lineRule="exact"/>
        <w:ind w:firstLine="482"/>
      </w:pPr>
      <w:r>
        <w:t>专业除认真执行学校、学院有关教学质量控制的规章制度外，根据实际情况制定了一系列控制各教学环节质量的制度，如教学工作例会制度、部门领导听课制度、以老带新制度、学生信息员反馈制度、教学质量评估制度等并严格执行。尤其是对毕业设计教学环节，专业高度重视，每年都成立专门的领导小组，从毕业设计小组的划分、指导教师的选择、各小组的选题、毕业设计的内容和质量、设计各阶段的质量检查、毕业设计中期检查、毕业答辩小组划分、毕业设计评分规则的制定等都认真把关。</w:t>
      </w:r>
    </w:p>
    <w:p>
      <w:pPr>
        <w:spacing w:line="390" w:lineRule="exact"/>
        <w:ind w:firstLine="482"/>
      </w:pPr>
      <w:r>
        <w:t>在学校、学院的教学管理体系中，实施了多层面、多样化的质量控制措施，以质量监控体系的不断完善与落实为主要着眼点，建立了教学督导员的教学督导制度，学生建议与意见的沟通渠道，有关领导管理与检查方式等，逐步形成了较为完整的质量监控体系。按学期，有学期前教学准备情况及备课情况检查；学期中同行听课、领导听课，教师座谈会、学生座谈会；学期末有团总支组织各位辅导员对学生进行考试动员、任课教师撰写授课总结、试卷分析等。学院针对课程教学质量的控制主要是通过加强信息收集和反馈的方式来完成，包括教学督导员听课信息、学生座谈信息，同行听课信息、教务处反馈信息、院、系领导抽查听课信息等，并及时与教师本人沟通。长年开展教学督导和学生的教学评估，敦促教师不断改进教学方式、提高教学质量。同时，严格考核标准，课程考核要求与教学大纲和教学内容要求相一致，坚持评分标准，用正确、科学的考核引导学生的学习。</w:t>
      </w:r>
    </w:p>
    <w:p>
      <w:pPr>
        <w:spacing w:line="390" w:lineRule="exact"/>
        <w:ind w:firstLine="482"/>
      </w:pPr>
      <w:r>
        <w:t>在教学管理工作中，重点加强了教师的师德要求，要求教师以学生为本，做好本职工作为本，自我加压，增强</w:t>
      </w:r>
      <w:r>
        <w:rPr>
          <w:rFonts w:hint="eastAsia"/>
        </w:rPr>
        <w:t>“</w:t>
      </w:r>
      <w:r>
        <w:t>岗位</w:t>
      </w:r>
      <w:r>
        <w:rPr>
          <w:rFonts w:hint="eastAsia"/>
        </w:rPr>
        <w:t>”</w:t>
      </w:r>
      <w:r>
        <w:t>观念，变压力为动力，改进教学工作，从制度上保障教学工作的有序进行。</w:t>
      </w:r>
    </w:p>
    <w:p>
      <w:pPr>
        <w:spacing w:line="390" w:lineRule="exact"/>
        <w:ind w:firstLine="482"/>
      </w:pPr>
      <w:r>
        <w:t>大多数教师能做到爱岗敬业，勤奋育人，在教学中能够严谨科学态度，认真准备教案，精心组织教学，不断进行教学手段和方法的改革，教书育人，为人师表，对学生学习上严格要求，成长中予以关心。</w:t>
      </w:r>
    </w:p>
    <w:p>
      <w:pPr>
        <w:ind w:firstLine="480"/>
      </w:pPr>
      <w:r>
        <w:t>但在教学管理方面依然存在着制度建设不完善，规章制度落实不到位，管理方式不科学，重形式、轻内容，奖惩落实不到位等问题。</w:t>
      </w:r>
    </w:p>
    <w:p>
      <w:pPr>
        <w:pStyle w:val="5"/>
        <w:spacing w:before="93" w:after="93"/>
        <w:ind w:firstLine="560"/>
      </w:pPr>
      <w:bookmarkStart w:id="628" w:name="_Toc8387"/>
      <w:r>
        <w:t>五、培养质量</w:t>
      </w:r>
      <w:bookmarkEnd w:id="628"/>
    </w:p>
    <w:p>
      <w:pPr>
        <w:ind w:firstLine="480"/>
      </w:pPr>
      <w:r>
        <w:t>良好的学习条件和环境、严格的教学组织和管理有效地保证了专业人才培养的质量。学生基础知识扎实，整体素质高，创新能力强，在国内各类竞赛中屡创佳绩。重要基础课程的优良率稳定在50%以上，全国大学英语四六级考试通过率稳步提高。学生毕业与学位授予情况处于比较合理的状态，深造率不断提高。2022届毕业生就业率约92%，考研录取率23%，就业专业对口率98%。</w:t>
      </w:r>
    </w:p>
    <w:p>
      <w:pPr>
        <w:ind w:firstLine="480"/>
      </w:pPr>
      <w:r>
        <w:t>就业平台较高，多为国家或省级施工、设计和管理单位，就业地域分布合理。就业单位满意率95%。</w:t>
      </w:r>
    </w:p>
    <w:p>
      <w:pPr>
        <w:ind w:firstLine="480"/>
      </w:pPr>
      <w:r>
        <w:t>根据毕业生调查表的反馈信息，用人单位对我校毕业生的总体评价为：综合素质高，专业知识扎实，学习能力强，反应敏捷，动手能力强，有较强的分析和解决问题的能力；勤奋、踏实、谦虚、努力、好学、敬业；团队精神与纪律观念强；毕业生总体质量高，用人单位评价良好。</w:t>
      </w:r>
    </w:p>
    <w:p>
      <w:pPr>
        <w:ind w:firstLine="480"/>
      </w:pPr>
      <w:r>
        <w:t>此外，进入重庆交通大学、长江科学院、北京工业大学、山东大学、石家庄铁道大学、北京交通大学、长安大学等级等名牌重点大学继续深造的学生则以厚实的理论知识、严谨的工作作风，同样得到了广泛的认可和好评。</w:t>
      </w:r>
    </w:p>
    <w:p>
      <w:pPr>
        <w:pStyle w:val="5"/>
        <w:spacing w:before="93" w:after="93"/>
        <w:ind w:firstLine="560"/>
      </w:pPr>
      <w:bookmarkStart w:id="629" w:name="_Toc6079"/>
      <w:r>
        <w:t>六、毕业生就业创业（创业情况、采取的措施、典型案例等）</w:t>
      </w:r>
      <w:bookmarkEnd w:id="629"/>
    </w:p>
    <w:p>
      <w:pPr>
        <w:ind w:firstLine="480"/>
      </w:pPr>
      <w:r>
        <w:t>根据《国家中长期教育改革和发展规划纲要》、《关于大力推进高等学校创新创业教育和大学生自主创业工作的意见》、《教育部关于全面提高高等教育质量的若干意见》以及《国务院办公厅关于做好全国普通高等学校毕业生 就业创业工作的通知》等相关文件精神，结合学校提高学生的综合素质和创新、创业能力，促进学生个性发展，本专业特设置创业实践学分。该教学环节旨在提升学生的社会责任感、创新创业精神、创新创业意识和创新创业能力，让学生不断增强自身就业竞争能力和社会适应能力，成为适应创新型国家建设需要的高水平创新人才。</w:t>
      </w:r>
    </w:p>
    <w:p>
      <w:pPr>
        <w:ind w:firstLine="480"/>
      </w:pPr>
      <w:r>
        <w:t>创业实践主要通过以下几种方式进行：</w:t>
      </w:r>
    </w:p>
    <w:p>
      <w:pPr>
        <w:ind w:firstLine="480"/>
      </w:pPr>
      <w:r>
        <w:t>1.在完成专业人才培养方案中的课程和实践环节之外，结合所学知识，在教师指导下利用业余时间所进行的有意义的科研和实践活动。</w:t>
      </w:r>
    </w:p>
    <w:p>
      <w:pPr>
        <w:ind w:firstLine="480"/>
      </w:pPr>
      <w:r>
        <w:t>2.参加全国、省级创新创业竞赛活动，知识技能竞赛并获奖者，根据获奖等级获得创新学分。</w:t>
      </w:r>
    </w:p>
    <w:p>
      <w:pPr>
        <w:ind w:firstLine="480"/>
      </w:pPr>
      <w:r>
        <w:t>3.正式发表学术论文或较高质量作品。</w:t>
      </w:r>
    </w:p>
    <w:p>
      <w:pPr>
        <w:ind w:firstLine="480"/>
      </w:pPr>
      <w:r>
        <w:t>4.取得各种小发明、小创造成果。</w:t>
      </w:r>
    </w:p>
    <w:p>
      <w:pPr>
        <w:ind w:firstLine="480"/>
      </w:pPr>
      <w:r>
        <w:t>5.独立完成各种实验设计。</w:t>
      </w:r>
    </w:p>
    <w:p>
      <w:pPr>
        <w:ind w:firstLine="480"/>
      </w:pPr>
      <w:r>
        <w:t>6.参加科研项目，取得一定科研成果。</w:t>
      </w:r>
    </w:p>
    <w:p>
      <w:pPr>
        <w:ind w:firstLine="480"/>
      </w:pPr>
      <w:r>
        <w:t>7.参加工程项目的设计、咨询、施工及监理等工作，取得一定的成果。</w:t>
      </w:r>
    </w:p>
    <w:p>
      <w:pPr>
        <w:pStyle w:val="5"/>
        <w:spacing w:before="93" w:after="93"/>
        <w:ind w:firstLine="560"/>
      </w:pPr>
      <w:bookmarkStart w:id="630" w:name="_Toc27780"/>
      <w:r>
        <w:t>七、专业发展趋势及建议</w:t>
      </w:r>
      <w:bookmarkEnd w:id="630"/>
    </w:p>
    <w:p>
      <w:pPr>
        <w:ind w:firstLine="480"/>
      </w:pPr>
      <w:r>
        <w:t>我国经济社会发展将进入一个新的历史阶段，交通建设也将进入新的发展时期。</w:t>
      </w:r>
    </w:p>
    <w:p>
      <w:pPr>
        <w:ind w:firstLine="480"/>
      </w:pPr>
      <w:r>
        <w:t>目前和一个时期，国家在公路方面的规划与目标是：</w:t>
      </w:r>
    </w:p>
    <w:p>
      <w:pPr>
        <w:pStyle w:val="6"/>
        <w:ind w:firstLine="480"/>
      </w:pPr>
      <w:r>
        <w:t>1.加快推进综合交通基础设施网络建设</w:t>
      </w:r>
    </w:p>
    <w:p>
      <w:pPr>
        <w:ind w:firstLine="480"/>
      </w:pPr>
      <w:r>
        <w:t>服务</w:t>
      </w:r>
      <w:r>
        <w:rPr>
          <w:rFonts w:hint="eastAsia"/>
        </w:rPr>
        <w:t>“</w:t>
      </w:r>
      <w:r>
        <w:t>一带一路</w:t>
      </w:r>
      <w:r>
        <w:rPr>
          <w:rFonts w:hint="eastAsia"/>
        </w:rPr>
        <w:t>”</w:t>
      </w:r>
      <w:r>
        <w:t>战略，加快建设6大走廊交通基础设施主通道，完善境内段交通基础设施建设，依托沿海港口，拓展国际运输网络。推进京津冀交通一体化取得新突破，加强体制机制创新和政策法规标准对接，加快建设多节点、网格状、全覆盖的综合交通运输网络，加快北京新机场集疏运通道建设。加快推进长江经济带综合立体交通走廊建设，制定《长江经济带发展规划纲要交通运输实施方案》，组织实施好《推进长江航运科学发展的若干意见》，加快实施长江南京以下12.5米深水航道二期工程等一批重大项目，组织做好三峡枢纽水运新通道航道关键技术研究，推进沿江港口转型升级。</w:t>
      </w:r>
    </w:p>
    <w:p>
      <w:pPr>
        <w:ind w:firstLine="480"/>
      </w:pPr>
      <w:r>
        <w:t>加快推进国家高速公路待贯通路段建设和繁忙路段扩容改造，全年新增高速公路4500公里左右。以</w:t>
      </w:r>
      <w:r>
        <w:rPr>
          <w:rFonts w:hint="eastAsia"/>
        </w:rPr>
        <w:t>“</w:t>
      </w:r>
      <w:r>
        <w:t>老少边穷</w:t>
      </w:r>
      <w:r>
        <w:rPr>
          <w:rFonts w:hint="eastAsia"/>
        </w:rPr>
        <w:t>”</w:t>
      </w:r>
      <w:r>
        <w:t>等地区通县国道为重点，加强国省干线升级改造，全年新改建1.6万公里左右。深入开展</w:t>
      </w:r>
      <w:r>
        <w:rPr>
          <w:rFonts w:hint="eastAsia"/>
        </w:rPr>
        <w:t>“</w:t>
      </w:r>
      <w:r>
        <w:t>四好农村路</w:t>
      </w:r>
      <w:r>
        <w:rPr>
          <w:rFonts w:hint="eastAsia"/>
        </w:rPr>
        <w:t>”</w:t>
      </w:r>
      <w:r>
        <w:t>建设，力争新建改建农村公路18万公里，加快剩余乡镇、建制村和较大撤并建制村通硬化路建设，加大农村公路安全生命防护工程、危桥改造和窄路加宽改造实施力度。</w:t>
      </w:r>
    </w:p>
    <w:p>
      <w:pPr>
        <w:ind w:firstLine="480"/>
      </w:pPr>
      <w:r>
        <w:t>推动《国家水上交通安全监管和救助系统布局规划》实施，推进《全国沿海港口布局规划》修编。全面加快</w:t>
      </w:r>
      <w:r>
        <w:rPr>
          <w:rFonts w:hint="eastAsia"/>
        </w:rPr>
        <w:t>“</w:t>
      </w:r>
      <w:r>
        <w:t>两横一纵两网十八线</w:t>
      </w:r>
      <w:r>
        <w:rPr>
          <w:rFonts w:hint="eastAsia"/>
        </w:rPr>
        <w:t>”</w:t>
      </w:r>
      <w:r>
        <w:t>内河高等级航道和内河主要港口建设。有序推进沿海大型规模化港区和专业化码头建设，实施上海国际航运中心洋山港区四期等一批重点工程。</w:t>
      </w:r>
    </w:p>
    <w:p>
      <w:pPr>
        <w:ind w:firstLine="480"/>
      </w:pPr>
      <w:r>
        <w:t>新建一批综合客运枢纽，继续支持具有多式联运功能、干支衔接功能和口岸服务功能的货运枢纽（物流园区）建设，完善综合运输节点设施网络。着力提升主要港口集疏运通道建设和服务水平，完善铁路进港</w:t>
      </w:r>
      <w:r>
        <w:rPr>
          <w:rFonts w:hint="eastAsia"/>
        </w:rPr>
        <w:t>“</w:t>
      </w:r>
      <w:r>
        <w:t>最后一公里</w:t>
      </w:r>
      <w:r>
        <w:rPr>
          <w:rFonts w:hint="eastAsia"/>
        </w:rPr>
        <w:t>”</w:t>
      </w:r>
      <w:r>
        <w:t>。</w:t>
      </w:r>
    </w:p>
    <w:p>
      <w:pPr>
        <w:ind w:firstLine="480"/>
      </w:pPr>
      <w:r>
        <w:t>强化国家干线公路网养护监测，推进国家公路网里程桩号传递和交通标志调整，提高公路网整体服务水平。</w:t>
      </w:r>
    </w:p>
    <w:p>
      <w:pPr>
        <w:pStyle w:val="6"/>
        <w:ind w:firstLine="480"/>
      </w:pPr>
      <w:r>
        <w:t>2.推动运输服务提质增效升级</w:t>
      </w:r>
    </w:p>
    <w:p>
      <w:pPr>
        <w:ind w:firstLine="480"/>
      </w:pPr>
      <w:r>
        <w:t>联合发展改革委组织实施首批多式联运示范工程，重点推进集装箱铁水、公铁联运发展。研究建立综合客运枢纽服务能力评价制度，深化综合运输服务能力监测分析。统筹抓好春运等重点时段运输组织保障。选择部分县级行政区开展首批</w:t>
      </w:r>
      <w:r>
        <w:rPr>
          <w:rFonts w:hint="eastAsia"/>
        </w:rPr>
        <w:t>“</w:t>
      </w:r>
      <w:r>
        <w:t>城乡交通一体化</w:t>
      </w:r>
      <w:r>
        <w:rPr>
          <w:rFonts w:hint="eastAsia"/>
        </w:rPr>
        <w:t>”</w:t>
      </w:r>
      <w:r>
        <w:t>工程。</w:t>
      </w:r>
    </w:p>
    <w:p>
      <w:pPr>
        <w:ind w:firstLine="480"/>
      </w:pPr>
      <w:r>
        <w:t>稳步扩大道路客运企业经营自主权，优化线路资源配置。全面落实公交优先发展战略，开展公交都市创建活动，推进实施城市公交智能化应用示范工程。研究制定缓解城市交通拥堵和城市公交用地综合开发的指导意见。</w:t>
      </w:r>
    </w:p>
    <w:p>
      <w:pPr>
        <w:ind w:firstLine="480"/>
      </w:pPr>
      <w:r>
        <w:t>加快发展现代物流业，推进物流大通道建设，继续深化铁水集装箱联运试点工程，启动实施货运车型和设施装备标准化工作，推广甩挂运输试点经验和依托互联网平台的</w:t>
      </w:r>
      <w:r>
        <w:rPr>
          <w:rFonts w:hint="eastAsia"/>
        </w:rPr>
        <w:t>“</w:t>
      </w:r>
      <w:r>
        <w:t>无车承运人</w:t>
      </w:r>
      <w:r>
        <w:rPr>
          <w:rFonts w:hint="eastAsia"/>
        </w:rPr>
        <w:t>”</w:t>
      </w:r>
      <w:r>
        <w:t>发展模式。促进交邮融合，推动完善农村物流体系，推进农村物流与电子商务融合发展。大力推进国家交通运输物流公共信息平台建设，着手研究物流信息大数据中心建设。</w:t>
      </w:r>
    </w:p>
    <w:p>
      <w:pPr>
        <w:pStyle w:val="6"/>
        <w:ind w:firstLine="480"/>
      </w:pPr>
      <w:r>
        <w:t>3.大力发展绿色交通</w:t>
      </w:r>
    </w:p>
    <w:p>
      <w:pPr>
        <w:ind w:firstLine="480"/>
      </w:pPr>
      <w:r>
        <w:t>建立健全交通运输绿色发展制度和标准体系，加强行业节能环保监管和监测能力建设，推动行业重大规划环境影响评价和项目节能评估。加快推进LNG等清洁能源应用，鼓励船舶靠港使用岸电。鼓励各省实施交通行业重大基础设施生态修复工程，加强高速公路服务区节能环保改造，推进交通运输环境监测网络建设。推进实施《船舶与港口污染防治专项行动实施方案》，率先试行珠三角、长三角、环渤海（京津冀）水域船舶排放控制区。统筹利用综合运输线位、运输枢纽、跨江跨海通道线位等资源，提高建设用地和港口岸线的利用效率。积极倡导废旧路面等资源再生循环利用。</w:t>
      </w:r>
    </w:p>
    <w:p>
      <w:pPr>
        <w:pStyle w:val="6"/>
        <w:ind w:firstLine="480"/>
      </w:pPr>
      <w:r>
        <w:t>4.实施创新驱动战略</w:t>
      </w:r>
    </w:p>
    <w:p>
      <w:pPr>
        <w:ind w:firstLine="480"/>
      </w:pPr>
      <w:r>
        <w:t>鼓励群众性创新创业，积极营造</w:t>
      </w:r>
      <w:r>
        <w:rPr>
          <w:rFonts w:hint="eastAsia"/>
        </w:rPr>
        <w:t>“</w:t>
      </w:r>
      <w:r>
        <w:t>双创</w:t>
      </w:r>
      <w:r>
        <w:rPr>
          <w:rFonts w:hint="eastAsia"/>
        </w:rPr>
        <w:t>”</w:t>
      </w:r>
      <w:r>
        <w:t>良好环境。争取国家科技资源支持，加强关键领域和薄弱环节核心技术攻关。落实国务院深化标准化改革部署，开展强制性标准整合精简工作，健全安全应急标准体系，开展水运工程施工标准化示范创建活动，强化标准实施监督。深入实施</w:t>
      </w:r>
      <w:r>
        <w:rPr>
          <w:rFonts w:hint="eastAsia"/>
        </w:rPr>
        <w:t>“</w:t>
      </w:r>
      <w:r>
        <w:t>互联网+交通运输</w:t>
      </w:r>
      <w:r>
        <w:rPr>
          <w:rFonts w:hint="eastAsia"/>
        </w:rPr>
        <w:t>”</w:t>
      </w:r>
      <w:r>
        <w:t>系列行动，推进交通运输行业信息资源开放共享，加快推进全国交通运输行政执法综合管理信息系统、安全生产监管工程等一批信息工程，加快构建面向社会的统一信用信息平台，建成交通运输部综合应急指挥中心。</w:t>
      </w:r>
    </w:p>
    <w:p>
      <w:pPr>
        <w:ind w:firstLine="480"/>
      </w:pPr>
      <w:r>
        <w:t>道路桥梁与渡河工程专业的人才教养应适应国家当前和今后一个时期对该专业人才的需求状况，新的培养方案（2018版）的修订突出了社会对人才的要求，在课程体系完善上，很好地体现了专业发展需求，同时建议学校、学院今后重视道路桥梁与渡河工程专业建设。</w:t>
      </w:r>
    </w:p>
    <w:p>
      <w:pPr>
        <w:pStyle w:val="5"/>
        <w:spacing w:before="93" w:after="93"/>
        <w:ind w:firstLine="560"/>
      </w:pPr>
      <w:bookmarkStart w:id="631" w:name="_Toc24566"/>
      <w:r>
        <w:t>八、存在的问题及整改措施</w:t>
      </w:r>
      <w:bookmarkEnd w:id="631"/>
    </w:p>
    <w:p>
      <w:pPr>
        <w:ind w:firstLine="480"/>
      </w:pPr>
      <w:r>
        <w:t>1.师资的水平还不能较好地适应专业建设的需要，缺乏高职称教师，教师后备力量扔不足。师资力量仍然是制约专业发展的</w:t>
      </w:r>
      <w:r>
        <w:rPr>
          <w:rFonts w:hint="eastAsia"/>
        </w:rPr>
        <w:t>“</w:t>
      </w:r>
      <w:r>
        <w:t>瓶颈</w:t>
      </w:r>
      <w:r>
        <w:rPr>
          <w:rFonts w:hint="eastAsia"/>
        </w:rPr>
        <w:t>”</w:t>
      </w:r>
      <w:r>
        <w:t>，具有领军作用的学科带头人及国内外知名学者紧缺，教师科研水平很不平均，科研为教学服务的能力还比较弱，专业建设服务地方社会经济发展的能力还不够强。</w:t>
      </w:r>
    </w:p>
    <w:p>
      <w:pPr>
        <w:ind w:firstLine="480"/>
      </w:pPr>
      <w:r>
        <w:t>2.实践教学水平尚需进一步提升，实践基地相对较少，实验实习教学的公共平台尚未健全，实践教学系列教材或教学资料建设的基础还相当薄弱；实验教师和技术人员较少，且总体素质尚不能适应培养高素质人才的要求，结构不尽合理，水平有待提高。</w:t>
      </w:r>
    </w:p>
    <w:p>
      <w:r>
        <w:br w:type="page"/>
      </w:r>
    </w:p>
    <w:p>
      <w:pPr>
        <w:pStyle w:val="4"/>
        <w:ind w:firstLine="600"/>
      </w:pPr>
      <w:bookmarkStart w:id="632" w:name="_Toc15819"/>
      <w:bookmarkStart w:id="633" w:name="_Toc20003"/>
      <w:bookmarkStart w:id="634" w:name="_Toc26118"/>
      <w:bookmarkStart w:id="635" w:name="_Toc30117"/>
      <w:r>
        <w:t>专业</w:t>
      </w:r>
      <w:r>
        <w:rPr>
          <w:rFonts w:hint="eastAsia"/>
          <w:lang w:val="en-US"/>
        </w:rPr>
        <w:t>六十三</w:t>
      </w:r>
      <w:r>
        <w:t>：水利水电工程</w:t>
      </w:r>
      <w:bookmarkEnd w:id="632"/>
      <w:bookmarkEnd w:id="633"/>
      <w:bookmarkEnd w:id="634"/>
      <w:bookmarkEnd w:id="635"/>
    </w:p>
    <w:p>
      <w:pPr>
        <w:pStyle w:val="5"/>
        <w:spacing w:before="93" w:after="93"/>
        <w:ind w:firstLine="560"/>
      </w:pPr>
      <w:bookmarkStart w:id="636" w:name="_Toc15713"/>
      <w:r>
        <w:rPr>
          <w:rFonts w:hint="eastAsia"/>
        </w:rPr>
        <w:t>一、</w:t>
      </w:r>
      <w:r>
        <w:t>人才培养目标</w:t>
      </w:r>
      <w:bookmarkEnd w:id="636"/>
    </w:p>
    <w:p>
      <w:pPr>
        <w:ind w:firstLine="480" w:firstLineChars="200"/>
      </w:pPr>
      <w:r>
        <w:t>本专业以立德树人为根本任务，以国家一流专业建设为导向，培养适应国家经济社会发展需要，德、智、体、美、劳全面发展，具有高尚的职业道德、强烈社会责任感和使命感，具有国际视野和较强的创新创业能力，具有良好的自然科学知识和人文社会科学知识，系统掌握水利水电工程专业基本理论、基础知识与专业技能，毕业后能在水利及相关行业从事勘测、规划、设计、施工、科研和管理等工作的高级复合型专业人才。能够通过继续教育或其他终身学习途径拓展自身知识和能力，毕业后经过5年左右的工作锻炼，预期取得工程师资格或具备相当水平的工作能力，能够在工作团队中作为领导者或骨干成员发挥有效的发挥作用。</w:t>
      </w:r>
    </w:p>
    <w:p>
      <w:pPr>
        <w:ind w:firstLine="480" w:firstLineChars="200"/>
      </w:pPr>
      <w:r>
        <w:t>本专业毕业生经过5年左右的职业历练，将达成以下培养目标：</w:t>
      </w:r>
    </w:p>
    <w:p>
      <w:pPr>
        <w:ind w:firstLine="480" w:firstLineChars="200"/>
      </w:pPr>
      <w:r>
        <w:t>培养目标1：能够在熟悉水利水电工程领域现有技术和工程应用的基础上，不断追踪和掌握本领域的新理论与新方法，具有自主创新能力和持续学习能力；</w:t>
      </w:r>
    </w:p>
    <w:p>
      <w:pPr>
        <w:ind w:firstLine="480" w:firstLineChars="200"/>
      </w:pPr>
      <w:r>
        <w:t>培养目标2：能综合运用水利水电工程领域的知识和技术规范，遵守职业道德，并考虑社会、法律、经济、环境及可持续发展等因素，借助现代工具，分析和解决与专业职位相关的复杂工程问题；</w:t>
      </w:r>
    </w:p>
    <w:p>
      <w:pPr>
        <w:ind w:firstLine="480" w:firstLineChars="200"/>
      </w:pPr>
      <w:r>
        <w:t>培养目标3：熟悉多学科背景下的工程管理知识，适应独立和团队的工作环境，在专业领域中具有良好的组织和领导能力；</w:t>
      </w:r>
    </w:p>
    <w:p>
      <w:pPr>
        <w:ind w:firstLine="480" w:firstLineChars="200"/>
      </w:pPr>
      <w:r>
        <w:t>培养目标4：具有一定的国际化视野，能在跨文化背景下与同行和社会公众进行有效的沟通与交流。</w:t>
      </w:r>
    </w:p>
    <w:p>
      <w:pPr>
        <w:pStyle w:val="5"/>
        <w:spacing w:before="93" w:after="93"/>
        <w:ind w:firstLine="560"/>
      </w:pPr>
      <w:bookmarkStart w:id="637" w:name="_Toc32047"/>
      <w:r>
        <w:rPr>
          <w:rFonts w:hint="eastAsia"/>
        </w:rPr>
        <w:t>二、</w:t>
      </w:r>
      <w:r>
        <w:t>培养能力（专业设置情况、在校生规模、课程设置情况、创新创业教育等）</w:t>
      </w:r>
      <w:bookmarkEnd w:id="637"/>
    </w:p>
    <w:p>
      <w:pPr>
        <w:pStyle w:val="6"/>
        <w:ind w:firstLine="480"/>
      </w:pPr>
      <w:r>
        <w:t>（1）专业设置</w:t>
      </w:r>
    </w:p>
    <w:p>
      <w:pPr>
        <w:ind w:firstLine="480" w:firstLineChars="200"/>
      </w:pPr>
      <w:r>
        <w:t>水利水电工程专业具有65年办学历史，历经农田水利工程专业（中专，1955-1983年）、水利工程专业（专科，1984-2005年），1999年山东省教育厅批准设置</w:t>
      </w:r>
      <w:r>
        <w:rPr>
          <w:rFonts w:hint="eastAsia"/>
        </w:rPr>
        <w:t>“</w:t>
      </w:r>
      <w:r>
        <w:t>水利水电工程</w:t>
      </w:r>
      <w:r>
        <w:rPr>
          <w:rFonts w:hint="eastAsia"/>
        </w:rPr>
        <w:t>”</w:t>
      </w:r>
      <w:r>
        <w:t>本科专业。该专业1978年招生一届本科生，1998年开始</w:t>
      </w:r>
      <w:r>
        <w:rPr>
          <w:rFonts w:hint="eastAsia"/>
        </w:rPr>
        <w:t>“</w:t>
      </w:r>
      <w:r>
        <w:t>专升本</w:t>
      </w:r>
      <w:r>
        <w:rPr>
          <w:rFonts w:hint="eastAsia"/>
        </w:rPr>
        <w:t>”</w:t>
      </w:r>
      <w:r>
        <w:t>招生。水利水电工程学科为山东省</w:t>
      </w:r>
      <w:r>
        <w:rPr>
          <w:rFonts w:hint="eastAsia"/>
        </w:rPr>
        <w:t>“</w:t>
      </w:r>
      <w:r>
        <w:t>十一五</w:t>
      </w:r>
      <w:r>
        <w:rPr>
          <w:rFonts w:hint="eastAsia"/>
        </w:rPr>
        <w:t>”</w:t>
      </w:r>
      <w:r>
        <w:t>重点建设学科。该专业建设历程为：</w:t>
      </w:r>
    </w:p>
    <w:p>
      <w:pPr>
        <w:ind w:firstLine="480" w:firstLineChars="200"/>
      </w:pPr>
      <w:r>
        <w:t>2000年被学校批准为学校重点建设专业。</w:t>
      </w:r>
    </w:p>
    <w:p>
      <w:pPr>
        <w:ind w:firstLine="480" w:firstLineChars="200"/>
      </w:pPr>
      <w:r>
        <w:t>2012年被学校批准为学校品牌建设专业。</w:t>
      </w:r>
    </w:p>
    <w:p>
      <w:pPr>
        <w:ind w:firstLine="480" w:firstLineChars="200"/>
      </w:pPr>
      <w:r>
        <w:t>2005被山东省教育厅批准为山东省教学改革试点专业。</w:t>
      </w:r>
    </w:p>
    <w:p>
      <w:pPr>
        <w:ind w:firstLine="480" w:firstLineChars="200"/>
      </w:pPr>
      <w:r>
        <w:t>2006年被山东省教育厅批准为山东省特色专业。</w:t>
      </w:r>
    </w:p>
    <w:p>
      <w:pPr>
        <w:ind w:firstLine="480" w:firstLineChars="200"/>
      </w:pPr>
      <w:r>
        <w:t>2012年被山东省教育厅批准为山东省成人高等教育品牌专业。</w:t>
      </w:r>
    </w:p>
    <w:p>
      <w:pPr>
        <w:ind w:firstLine="480" w:firstLineChars="200"/>
      </w:pPr>
      <w:r>
        <w:t>2013年被山东省教育厅批准为山东省</w:t>
      </w:r>
      <w:r>
        <w:rPr>
          <w:rFonts w:hint="eastAsia"/>
        </w:rPr>
        <w:t>“</w:t>
      </w:r>
      <w:r>
        <w:t>名校工程</w:t>
      </w:r>
      <w:r>
        <w:rPr>
          <w:rFonts w:hint="eastAsia"/>
        </w:rPr>
        <w:t>”</w:t>
      </w:r>
      <w:r>
        <w:t>重点建设专业。</w:t>
      </w:r>
    </w:p>
    <w:p>
      <w:pPr>
        <w:ind w:firstLine="480" w:firstLineChars="200"/>
      </w:pPr>
      <w:r>
        <w:t>2015年被山东省教育厅批准为山东省</w:t>
      </w:r>
      <w:r>
        <w:rPr>
          <w:rFonts w:hint="eastAsia"/>
        </w:rPr>
        <w:t>“</w:t>
      </w:r>
      <w:r>
        <w:t>普通本科高校应用型人才培养专业发展支持计划</w:t>
      </w:r>
      <w:r>
        <w:rPr>
          <w:rFonts w:hint="eastAsia"/>
        </w:rPr>
        <w:t>”</w:t>
      </w:r>
      <w:r>
        <w:t>建设专业，及山东农业大学与山东水利职业学院水利水电工程专业</w:t>
      </w:r>
      <w:r>
        <w:rPr>
          <w:rFonts w:hint="eastAsia"/>
        </w:rPr>
        <w:t>“</w:t>
      </w:r>
      <w:r>
        <w:t>3+2</w:t>
      </w:r>
      <w:r>
        <w:rPr>
          <w:rFonts w:hint="eastAsia"/>
        </w:rPr>
        <w:t>”</w:t>
      </w:r>
      <w:r>
        <w:t>对口贯通分段人才培养专业。</w:t>
      </w:r>
    </w:p>
    <w:p>
      <w:pPr>
        <w:ind w:firstLine="480" w:firstLineChars="200"/>
      </w:pPr>
      <w:r>
        <w:t>2015年申报中国工程教育专业认证，通过申请报告。</w:t>
      </w:r>
    </w:p>
    <w:p>
      <w:pPr>
        <w:ind w:firstLine="480" w:firstLineChars="200"/>
      </w:pPr>
      <w:r>
        <w:t>2016年申报中国工程教育专业认证，通过自评报告。</w:t>
      </w:r>
    </w:p>
    <w:p>
      <w:pPr>
        <w:ind w:firstLine="480" w:firstLineChars="200"/>
      </w:pPr>
      <w:r>
        <w:t>2016年11月23日至25日，中国工程教育认证协会认证专家组进校对本专业进行了现场考察。</w:t>
      </w:r>
    </w:p>
    <w:p>
      <w:pPr>
        <w:ind w:firstLine="480" w:firstLineChars="200"/>
      </w:pPr>
      <w:r>
        <w:t>2017年6月2日，教育部高等教育教学评估中心、中国工程教育专业认证协会联合公布了2016年参加全国工程教育专业认证的认证结论，本专业顺利通过认证。</w:t>
      </w:r>
    </w:p>
    <w:p>
      <w:pPr>
        <w:ind w:firstLine="480" w:firstLineChars="200"/>
      </w:pPr>
      <w:r>
        <w:t>2017年12月31日，提交了2017年度专业持续改进报告。</w:t>
      </w:r>
    </w:p>
    <w:p>
      <w:pPr>
        <w:ind w:firstLine="480" w:firstLineChars="200"/>
      </w:pPr>
      <w:r>
        <w:t>2017年4月10日，参加由教育部高等教育教学评估中心和中国工程教育专业认证协会主办的工程教育认证专业自评辅导工作会议。</w:t>
      </w:r>
    </w:p>
    <w:p>
      <w:pPr>
        <w:ind w:firstLine="480" w:firstLineChars="200"/>
      </w:pPr>
      <w:r>
        <w:t>2018年9月30日，提交了第二轮专业认证申请报告。</w:t>
      </w:r>
    </w:p>
    <w:p>
      <w:pPr>
        <w:ind w:firstLine="480" w:firstLineChars="200"/>
      </w:pPr>
      <w:r>
        <w:t>2019年5月27至5月29日，中国工程教育认证协会认证专家组进校对本专业进行了现场考察。</w:t>
      </w:r>
    </w:p>
    <w:p>
      <w:pPr>
        <w:ind w:firstLine="480" w:firstLineChars="200"/>
      </w:pPr>
      <w:r>
        <w:t>2003年水利水电工程学科被批准为硕士学位授权点。</w:t>
      </w:r>
    </w:p>
    <w:p>
      <w:pPr>
        <w:ind w:firstLine="480" w:firstLineChars="200"/>
      </w:pPr>
      <w:r>
        <w:t>2005年依托该专业申报的农业水土工程硕士学位授权点获得批准。</w:t>
      </w:r>
    </w:p>
    <w:p>
      <w:pPr>
        <w:ind w:firstLine="480" w:firstLineChars="200"/>
      </w:pPr>
      <w:r>
        <w:t>2010年依托该专业申报的农业水土工程博士学位授权点获得批准、申报的水利工程领域专业硕士学位授权点获得批准。</w:t>
      </w:r>
    </w:p>
    <w:p>
      <w:pPr>
        <w:ind w:firstLine="480" w:firstLineChars="200"/>
      </w:pPr>
      <w:r>
        <w:t>2020年6月水利水电工程国家一流本科专业建设点正式获得批准。</w:t>
      </w:r>
    </w:p>
    <w:p>
      <w:pPr>
        <w:ind w:firstLine="480" w:firstLineChars="200"/>
      </w:pPr>
      <w:r>
        <w:t>Mu前水利水电工程专业拥省级教学团队1个，国家级一流课程1门，省级一流课程2门，省级教学团队1个，慕课课程4门。</w:t>
      </w:r>
    </w:p>
    <w:p>
      <w:pPr>
        <w:pStyle w:val="6"/>
        <w:ind w:firstLine="480"/>
      </w:pPr>
      <w:r>
        <w:t>（2）在校生规模</w:t>
      </w:r>
    </w:p>
    <w:p>
      <w:pPr>
        <w:ind w:firstLine="480" w:firstLineChars="200"/>
      </w:pPr>
      <w:r>
        <w:t>目前，本专业</w:t>
      </w:r>
      <w:r>
        <w:fldChar w:fldCharType="begin"/>
      </w:r>
      <w:r>
        <w:instrText xml:space="preserve"> HYPERLINK "javascript:enjoy();" \o "在校生总计628人，  其中，2012级 178 ；2013级 192 ；2014级 148 ；2015级 110 。" </w:instrText>
      </w:r>
      <w:r>
        <w:fldChar w:fldCharType="separate"/>
      </w:r>
      <w:r>
        <w:t>在校生总计525人，其中</w:t>
      </w:r>
      <w:r>
        <w:fldChar w:fldCharType="end"/>
      </w:r>
      <w:r>
        <w:t>2019级120人，2020级共90人，2021级96人，2022级水利类148人（其中公费生5人），2021级水电转36人，2022级水电转35人。</w:t>
      </w:r>
    </w:p>
    <w:p>
      <w:pPr>
        <w:pStyle w:val="6"/>
        <w:ind w:firstLine="480"/>
      </w:pPr>
      <w:r>
        <w:t>（3）课程设置情况</w:t>
      </w:r>
    </w:p>
    <w:p>
      <w:pPr>
        <w:ind w:firstLine="480" w:firstLineChars="200"/>
      </w:pPr>
      <w:r>
        <w:t xml:space="preserve">理论体系按照 </w:t>
      </w:r>
      <w:r>
        <w:rPr>
          <w:rFonts w:hint="eastAsia"/>
        </w:rPr>
        <w:t>“</w:t>
      </w:r>
      <w:r>
        <w:t>通识教育</w:t>
      </w:r>
      <w:r>
        <w:rPr>
          <w:rFonts w:hint="eastAsia"/>
        </w:rPr>
        <w:t>”</w:t>
      </w:r>
      <w:r>
        <w:t>、</w:t>
      </w:r>
      <w:r>
        <w:rPr>
          <w:rFonts w:hint="eastAsia"/>
        </w:rPr>
        <w:t>“</w:t>
      </w:r>
      <w:r>
        <w:t>专业教育（包括学科基础、专业核心课程）、</w:t>
      </w:r>
      <w:r>
        <w:rPr>
          <w:rFonts w:hint="eastAsia"/>
        </w:rPr>
        <w:t>“</w:t>
      </w:r>
      <w:r>
        <w:t>专业方向</w:t>
      </w:r>
      <w:r>
        <w:rPr>
          <w:rFonts w:hint="eastAsia"/>
        </w:rPr>
        <w:t>”</w:t>
      </w:r>
      <w:r>
        <w:t>、</w:t>
      </w:r>
      <w:r>
        <w:rPr>
          <w:rFonts w:hint="eastAsia"/>
        </w:rPr>
        <w:t>“</w:t>
      </w:r>
      <w:r>
        <w:t>拓展教育</w:t>
      </w:r>
      <w:r>
        <w:rPr>
          <w:rFonts w:hint="eastAsia"/>
        </w:rPr>
        <w:t>”</w:t>
      </w:r>
      <w:r>
        <w:t>四大类别设置课程。实践体系包括基础实践、专业实践和综合实践。课程设置主要考虑以下要素：一是工程教育专业认证标准（2018版）及水利补充标准中规定的课程及课程学分比例；二是课程设置能够支撑专业培养目标与毕业要求；三是体现本校本专业特色。</w:t>
      </w:r>
    </w:p>
    <w:p>
      <w:pPr>
        <w:ind w:firstLine="480" w:firstLineChars="200"/>
      </w:pPr>
      <w:r>
        <w:t>主干学科: 水利工程、土木工程</w:t>
      </w:r>
    </w:p>
    <w:p>
      <w:pPr>
        <w:ind w:firstLine="480" w:firstLineChars="200"/>
      </w:pPr>
      <w:r>
        <w:t>核心课程: 画法几何、水利工程制图与计算机辅助设计、测绘学、水力学、工程地质、土力学、建筑材料、理论力学、材料力学、结构力学、工程水文与水利计算、水利工程经济、环境水利学、工程造价与招投标、钢筋混凝土结构、水工建筑物、水泵与水泵站、农田水利学、水利工程施工、水电站、水利工程概论、工程项目管理、电工及电气设备、水利水能规划、水利法规、水化学。</w:t>
      </w:r>
    </w:p>
    <w:p>
      <w:pPr>
        <w:ind w:firstLine="480" w:firstLineChars="200"/>
      </w:pPr>
      <w:r>
        <w:t>主要实践性教学环节包括通识必修课中的课程实验（大学计算机基础实验、普通体育课1、普通体育课2）；学科基础课和专业核心课中的课程实验（测绘学实验、大学物理学实验、水利工程制图与计算机辅助设计、材料力学、建筑材料、水力学、土力学、环境水利学、水工建筑物、水泵与水泵站、农田水利学）；基础实践包括军事理论及训练、劳动、体育健康与标准测试、思政社会实践、社会实践与调查报告；专业实践包括地质实习、测绘学教学实习、课程设计（钢筋混凝土结构课程设计、工程造价与招投标课程设计、水利工程经济课程设计、水工建筑物课程设计、水泵与水泵站课程设计、农田水利学课程设计），水利水电工程专业生产实习，毕业实习及报告，毕业论文（设计），创新创业实践等。</w:t>
      </w:r>
    </w:p>
    <w:p>
      <w:pPr>
        <w:ind w:firstLine="480" w:firstLineChars="200"/>
      </w:pPr>
      <w:r>
        <w:t>（4）创新创业教育</w:t>
      </w:r>
    </w:p>
    <w:p>
      <w:pPr>
        <w:ind w:firstLine="480" w:firstLineChars="200"/>
      </w:pPr>
      <w:r>
        <w:t>学院成立大学生创新创业教育指导委员会和大学生创新创业教育工作委员会，实行以专业为基础的创新创业</w:t>
      </w:r>
      <w:r>
        <w:rPr>
          <w:rFonts w:hint="eastAsia"/>
        </w:rPr>
        <w:t>“</w:t>
      </w:r>
      <w:r>
        <w:t>十个一</w:t>
      </w:r>
      <w:r>
        <w:rPr>
          <w:rFonts w:hint="eastAsia"/>
        </w:rPr>
        <w:t>”</w:t>
      </w:r>
      <w:r>
        <w:t>工程，让所有学生都有参与机会。水利水电工程专业大学生创新创业教育以教育实践方式体现和发展，通过多种多样的形式，如全国大学生水利创新设计大赛、大学生农业水利工程及相关专业创新设计大赛、挑战杯大学生创业计划竞赛、山东省大学生科技创新大赛、全国大学生结构设计竞赛山东省省赛、国家级/省级大学生创新创业训练计划项目、泰安市大学生科技创新行动计划项目、山东省青少年教育科学规划课题、山东农业大学大学生创新创业训练计划项目（SRT）项目、大学生就业指导课等形式，激发学生创新创业动力，培养学生创新创业意识，培养学生创新创业实际运用能力，同时将创新创业教育纳入创新创业学分考核环节，通过创新创业教育，学生取得了优良的成绩。</w:t>
      </w:r>
    </w:p>
    <w:p>
      <w:pPr>
        <w:pStyle w:val="5"/>
        <w:spacing w:before="93" w:after="93"/>
        <w:ind w:firstLine="560"/>
      </w:pPr>
      <w:bookmarkStart w:id="638" w:name="_Toc16902"/>
      <w:r>
        <w:t>三</w:t>
      </w:r>
      <w:r>
        <w:rPr>
          <w:rFonts w:hint="eastAsia"/>
        </w:rPr>
        <w:t>、</w:t>
      </w:r>
      <w:r>
        <w:t>培养条件（教学经费投入、教学设备、教师队伍建设、实习基地、现代教学技术应用等）</w:t>
      </w:r>
      <w:bookmarkEnd w:id="638"/>
    </w:p>
    <w:p>
      <w:pPr>
        <w:pStyle w:val="6"/>
        <w:ind w:firstLine="480"/>
      </w:pPr>
      <w:r>
        <w:t>（1）教学经费投入</w:t>
      </w:r>
    </w:p>
    <w:p>
      <w:pPr>
        <w:ind w:firstLine="480" w:firstLineChars="200"/>
        <w:rPr>
          <w:lang w:val="zh-CN"/>
        </w:rPr>
      </w:pPr>
      <w:r>
        <w:t>学院教学经费占教学总经费88%，教学经费主要用于教学实验费、学生实习费、仪器设备维修费、仪器设备购置费、师资培训费、学术活动及教改活动费等，</w:t>
      </w:r>
      <w:r>
        <w:rPr>
          <w:lang w:val="zh-CN"/>
        </w:rPr>
        <w:t>实习经费能够满足各实习环节的需要</w:t>
      </w:r>
      <w:r>
        <w:t>。</w:t>
      </w:r>
    </w:p>
    <w:p>
      <w:pPr>
        <w:pStyle w:val="6"/>
        <w:ind w:firstLine="480"/>
      </w:pPr>
      <w:r>
        <w:rPr>
          <w:lang w:val="zh-CN"/>
        </w:rPr>
        <w:t>（2）教学设备</w:t>
      </w:r>
    </w:p>
    <w:p>
      <w:pPr>
        <w:ind w:firstLine="480" w:firstLineChars="200"/>
      </w:pPr>
      <w:r>
        <w:rPr>
          <w:lang w:val="zh-CN"/>
        </w:rPr>
        <w:t>本专业涉及实验室面积达4160m2，通过省骨干学科实验室建设、中央与地方共建实验室建设等经费和学校教育事业经费等多种渠道先后投入1100余万元用于购置教学仪器设备。近三年新建土壤实验室、环境水利学实验室、低温恒温实验室、BIM工程技术中心（含BIM软件及35台工作站）。采购MTS试验系统、水土流失侵蚀槽、水泥等温量热仪、分光光度计、声发射检测仪、长江三峡水利枢纽动态仿真模型等试验设备及BIM软件、PKPM结构计算软件等，通过持续建设，实验室无论是从设备还是环境都有了很大提高，达到了省内同类院校的先进水平</w:t>
      </w:r>
      <w:r>
        <w:t>。</w:t>
      </w:r>
    </w:p>
    <w:p>
      <w:pPr>
        <w:pStyle w:val="6"/>
        <w:ind w:firstLine="480"/>
      </w:pPr>
      <w:r>
        <w:t>（3）教师队伍建设</w:t>
      </w:r>
    </w:p>
    <w:p>
      <w:pPr>
        <w:ind w:firstLine="480" w:firstLineChars="200"/>
      </w:pPr>
      <w:r>
        <w:t>本专业现有全职专任教师46人，负责专业教学。根据课程设置，其中40名教师承担必修专业课的教学工作。从在校学生数量和每年毕业设计实践教学环节来看，师生比在逐渐增大，每位教师约承担1门课程，小班教学课程数量持续增加，专任教师数量能够满足教学需求。从专业结构分析，从事本专业必修专业课教学工作的教师，其本科、硕士和博士学历中至少有一个学历属于其所教授课程相应专业类的学科专业。本专业80%以上教师来自山东省外单位，有效避免了学术近亲繁殖，利于学科发展。</w:t>
      </w:r>
    </w:p>
    <w:p>
      <w:pPr>
        <w:ind w:firstLine="480" w:firstLineChars="200"/>
      </w:pPr>
      <w:r>
        <w:t>为本专业开设实验课的实验室主要有水利土木工程实验中心下设的水利实验室、力学结构实验室、岩土工程实验室、建材实验室和水文实验室，以及信息科学与工程学院测绘实验室和物理实验室。实验室共有专职实验教师14人。</w:t>
      </w:r>
    </w:p>
    <w:p>
      <w:pPr>
        <w:ind w:firstLine="480" w:firstLineChars="200"/>
      </w:pPr>
      <w:r>
        <w:t>为加强师资队伍建设和培养学生工程实践能力，水利水电工程专业充分利用国际国内企业和行业专家优质资源，根据《山东农业大学讲座教授、兼职教授、客座教授聘任管理办法》聘请了18位兼职教师，结合他们在实际工程中的典型案例进行相关课程的实践教学，以利于提高学生对专业工程的认识。</w:t>
      </w:r>
    </w:p>
    <w:p>
      <w:pPr>
        <w:ind w:firstLine="480" w:firstLineChars="200"/>
      </w:pPr>
      <w:r>
        <w:t>对于新进教师，学校提出</w:t>
      </w:r>
      <w:r>
        <w:rPr>
          <w:rFonts w:hint="eastAsia"/>
        </w:rPr>
        <w:t>“</w:t>
      </w:r>
      <w:r>
        <w:t>传帮带</w:t>
      </w:r>
      <w:r>
        <w:rPr>
          <w:rFonts w:hint="eastAsia"/>
        </w:rPr>
        <w:t>”</w:t>
      </w:r>
      <w:r>
        <w:t>培养模式，即由学院指定一名学术水平高、教学经验丰富、受聘副教授以上专业技术职务的教师担任其指导教师。新进教师入职后的第一学年，原则上不安排课堂教学任务。历经一年培养后通过试讲方可正式为学生授课。为了提高青年教师教学水平，学院还积极组织35岁以下青年教师参加各种类型各种层次讲课或教学比赛。对于获得聘用的新进教师，必须进行岗前培训并通过考核。培训内容包括师德、心理学和教育学等。培训后，考试合格者颁发《高等学校教师岗前培训合格证书》；考试不合格者需在下年度参加补考。从事专业课教学工作的教师中，85%的专任教师有工程经验，10.3%的专任教师有在相关企事业单位连续工作半年以上的经历。</w:t>
      </w:r>
    </w:p>
    <w:p>
      <w:pPr>
        <w:pStyle w:val="6"/>
        <w:ind w:firstLine="480"/>
      </w:pPr>
      <w:r>
        <w:t>（4）实习基地</w:t>
      </w:r>
    </w:p>
    <w:p>
      <w:pPr>
        <w:ind w:firstLine="480" w:firstLineChars="200"/>
      </w:pPr>
      <w:r>
        <w:t>学院及本专业非常重视实习基地的建设，充分发挥校友资源优势，立足山东省，面向全国，学院近三年在原有教学科研实践基地的基础上与博兴县水利局、山东省水利科学研究院、山东农业大学勘察设计研究院等6家企事业单位签订了教学科研实践基地协议。目前，已建成12个教学科研实践基地，包括11个校外教学科研与就业实践基地和1个校内教学科研实践基地。</w:t>
      </w:r>
    </w:p>
    <w:p>
      <w:pPr>
        <w:tabs>
          <w:tab w:val="left" w:pos="5103"/>
        </w:tabs>
        <w:autoSpaceDE w:val="0"/>
        <w:autoSpaceDN w:val="0"/>
        <w:adjustRightInd w:val="0"/>
        <w:spacing w:line="360" w:lineRule="auto"/>
        <w:jc w:val="center"/>
        <w:rPr>
          <w:b/>
          <w:kern w:val="0"/>
          <w:szCs w:val="21"/>
        </w:rPr>
      </w:pPr>
    </w:p>
    <w:p>
      <w:pPr>
        <w:tabs>
          <w:tab w:val="left" w:pos="5103"/>
        </w:tabs>
        <w:autoSpaceDE w:val="0"/>
        <w:autoSpaceDN w:val="0"/>
        <w:adjustRightInd w:val="0"/>
        <w:spacing w:line="360" w:lineRule="auto"/>
        <w:jc w:val="center"/>
        <w:rPr>
          <w:b/>
          <w:kern w:val="0"/>
          <w:sz w:val="21"/>
          <w:szCs w:val="21"/>
          <w:lang w:val="zh-CN"/>
        </w:rPr>
      </w:pPr>
      <w:r>
        <w:rPr>
          <w:b/>
          <w:kern w:val="0"/>
          <w:sz w:val="21"/>
          <w:szCs w:val="21"/>
        </w:rPr>
        <w:t xml:space="preserve">表1  </w:t>
      </w:r>
      <w:r>
        <w:rPr>
          <w:b/>
          <w:kern w:val="0"/>
          <w:sz w:val="21"/>
          <w:szCs w:val="21"/>
          <w:lang w:val="zh-CN"/>
        </w:rPr>
        <w:t>与企业合作建立实践基地的情况</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5"/>
        <w:gridCol w:w="2099"/>
        <w:gridCol w:w="2280"/>
        <w:gridCol w:w="2021"/>
        <w:gridCol w:w="18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439" w:type="pct"/>
            <w:vMerge w:val="restart"/>
            <w:tcBorders>
              <w:top w:val="single" w:color="auto" w:sz="4" w:space="0"/>
              <w:left w:val="single" w:color="auto" w:sz="4" w:space="0"/>
              <w:bottom w:val="single" w:color="auto" w:sz="4" w:space="0"/>
              <w:right w:val="single" w:color="auto" w:sz="4" w:space="0"/>
            </w:tcBorders>
            <w:vAlign w:val="center"/>
          </w:tcPr>
          <w:p>
            <w:pPr>
              <w:snapToGrid w:val="0"/>
              <w:spacing w:line="240" w:lineRule="auto"/>
              <w:jc w:val="center"/>
              <w:rPr>
                <w:b/>
                <w:bCs/>
                <w:sz w:val="21"/>
                <w:szCs w:val="21"/>
              </w:rPr>
            </w:pPr>
            <w:r>
              <w:rPr>
                <w:b/>
                <w:bCs/>
                <w:kern w:val="0"/>
                <w:sz w:val="21"/>
                <w:szCs w:val="21"/>
              </w:rPr>
              <w:t>序号</w:t>
            </w:r>
          </w:p>
        </w:tc>
        <w:tc>
          <w:tcPr>
            <w:tcW w:w="1158" w:type="pct"/>
            <w:vMerge w:val="restart"/>
            <w:tcBorders>
              <w:top w:val="single" w:color="auto" w:sz="4" w:space="0"/>
              <w:left w:val="nil"/>
              <w:bottom w:val="single" w:color="auto" w:sz="4" w:space="0"/>
              <w:right w:val="single" w:color="auto" w:sz="4" w:space="0"/>
            </w:tcBorders>
            <w:vAlign w:val="center"/>
          </w:tcPr>
          <w:p>
            <w:pPr>
              <w:snapToGrid w:val="0"/>
              <w:spacing w:line="240" w:lineRule="auto"/>
              <w:jc w:val="center"/>
              <w:rPr>
                <w:b/>
                <w:bCs/>
                <w:sz w:val="21"/>
                <w:szCs w:val="21"/>
              </w:rPr>
            </w:pPr>
            <w:r>
              <w:rPr>
                <w:b/>
                <w:bCs/>
                <w:sz w:val="21"/>
                <w:szCs w:val="21"/>
              </w:rPr>
              <w:t>校外实习</w:t>
            </w:r>
          </w:p>
          <w:p>
            <w:pPr>
              <w:snapToGrid w:val="0"/>
              <w:spacing w:line="240" w:lineRule="auto"/>
              <w:jc w:val="center"/>
              <w:rPr>
                <w:b/>
                <w:bCs/>
                <w:sz w:val="21"/>
                <w:szCs w:val="21"/>
              </w:rPr>
            </w:pPr>
            <w:r>
              <w:rPr>
                <w:b/>
                <w:bCs/>
                <w:sz w:val="21"/>
                <w:szCs w:val="21"/>
              </w:rPr>
              <w:t>基地名称</w:t>
            </w:r>
          </w:p>
        </w:tc>
        <w:tc>
          <w:tcPr>
            <w:tcW w:w="1258" w:type="pct"/>
            <w:vMerge w:val="restart"/>
            <w:tcBorders>
              <w:top w:val="single" w:color="auto" w:sz="4" w:space="0"/>
              <w:left w:val="nil"/>
              <w:bottom w:val="single" w:color="auto" w:sz="4" w:space="0"/>
              <w:right w:val="single" w:color="auto" w:sz="4" w:space="0"/>
            </w:tcBorders>
            <w:vAlign w:val="center"/>
          </w:tcPr>
          <w:p>
            <w:pPr>
              <w:snapToGrid w:val="0"/>
              <w:spacing w:line="240" w:lineRule="auto"/>
              <w:jc w:val="center"/>
              <w:rPr>
                <w:b/>
                <w:bCs/>
                <w:sz w:val="21"/>
                <w:szCs w:val="21"/>
              </w:rPr>
            </w:pPr>
            <w:r>
              <w:rPr>
                <w:b/>
                <w:bCs/>
                <w:sz w:val="21"/>
                <w:szCs w:val="21"/>
              </w:rPr>
              <w:t>校外基地合作方式</w:t>
            </w:r>
          </w:p>
        </w:tc>
        <w:tc>
          <w:tcPr>
            <w:tcW w:w="1115" w:type="pct"/>
            <w:vMerge w:val="restart"/>
            <w:tcBorders>
              <w:top w:val="single" w:color="auto" w:sz="4" w:space="0"/>
              <w:left w:val="nil"/>
              <w:bottom w:val="single" w:color="auto" w:sz="4" w:space="0"/>
              <w:right w:val="single" w:color="auto" w:sz="4" w:space="0"/>
            </w:tcBorders>
            <w:vAlign w:val="center"/>
          </w:tcPr>
          <w:p>
            <w:pPr>
              <w:snapToGrid w:val="0"/>
              <w:spacing w:line="240" w:lineRule="auto"/>
              <w:jc w:val="center"/>
              <w:rPr>
                <w:b/>
                <w:bCs/>
                <w:sz w:val="21"/>
                <w:szCs w:val="21"/>
              </w:rPr>
            </w:pPr>
            <w:r>
              <w:rPr>
                <w:b/>
                <w:bCs/>
                <w:sz w:val="21"/>
                <w:szCs w:val="21"/>
              </w:rPr>
              <w:t>承担的教学任务</w:t>
            </w:r>
          </w:p>
        </w:tc>
        <w:tc>
          <w:tcPr>
            <w:tcW w:w="1027" w:type="pct"/>
            <w:vMerge w:val="restart"/>
            <w:tcBorders>
              <w:top w:val="single" w:color="auto" w:sz="4" w:space="0"/>
              <w:left w:val="nil"/>
              <w:bottom w:val="single" w:color="auto" w:sz="4" w:space="0"/>
              <w:right w:val="single" w:color="auto" w:sz="4" w:space="0"/>
            </w:tcBorders>
            <w:vAlign w:val="center"/>
          </w:tcPr>
          <w:p>
            <w:pPr>
              <w:snapToGrid w:val="0"/>
              <w:spacing w:line="240" w:lineRule="auto"/>
              <w:jc w:val="center"/>
              <w:rPr>
                <w:b/>
                <w:bCs/>
                <w:sz w:val="21"/>
                <w:szCs w:val="21"/>
              </w:rPr>
            </w:pPr>
            <w:r>
              <w:rPr>
                <w:b/>
                <w:bCs/>
                <w:sz w:val="21"/>
                <w:szCs w:val="21"/>
              </w:rPr>
              <w:t>学生考核方式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2" w:hRule="atLeast"/>
          <w:jc w:val="center"/>
        </w:trPr>
        <w:tc>
          <w:tcPr>
            <w:tcW w:w="439"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jc w:val="center"/>
              <w:rPr>
                <w:b/>
                <w:bCs/>
                <w:sz w:val="21"/>
                <w:szCs w:val="21"/>
              </w:rPr>
            </w:pPr>
          </w:p>
        </w:tc>
        <w:tc>
          <w:tcPr>
            <w:tcW w:w="1158" w:type="pct"/>
            <w:vMerge w:val="continue"/>
            <w:tcBorders>
              <w:top w:val="single" w:color="auto" w:sz="4" w:space="0"/>
              <w:left w:val="nil"/>
              <w:bottom w:val="single" w:color="auto" w:sz="4" w:space="0"/>
              <w:right w:val="single" w:color="auto" w:sz="4" w:space="0"/>
            </w:tcBorders>
            <w:vAlign w:val="center"/>
          </w:tcPr>
          <w:p>
            <w:pPr>
              <w:widowControl/>
              <w:spacing w:line="240" w:lineRule="auto"/>
              <w:jc w:val="center"/>
              <w:rPr>
                <w:b/>
                <w:bCs/>
                <w:sz w:val="21"/>
                <w:szCs w:val="21"/>
              </w:rPr>
            </w:pPr>
          </w:p>
        </w:tc>
        <w:tc>
          <w:tcPr>
            <w:tcW w:w="1258" w:type="pct"/>
            <w:vMerge w:val="continue"/>
            <w:tcBorders>
              <w:top w:val="single" w:color="auto" w:sz="4" w:space="0"/>
              <w:left w:val="nil"/>
              <w:bottom w:val="single" w:color="auto" w:sz="4" w:space="0"/>
              <w:right w:val="single" w:color="auto" w:sz="4" w:space="0"/>
            </w:tcBorders>
            <w:vAlign w:val="center"/>
          </w:tcPr>
          <w:p>
            <w:pPr>
              <w:widowControl/>
              <w:spacing w:line="240" w:lineRule="auto"/>
              <w:jc w:val="center"/>
              <w:rPr>
                <w:b/>
                <w:bCs/>
                <w:sz w:val="21"/>
                <w:szCs w:val="21"/>
              </w:rPr>
            </w:pPr>
          </w:p>
        </w:tc>
        <w:tc>
          <w:tcPr>
            <w:tcW w:w="1115" w:type="pct"/>
            <w:vMerge w:val="continue"/>
            <w:tcBorders>
              <w:top w:val="single" w:color="auto" w:sz="4" w:space="0"/>
              <w:left w:val="nil"/>
              <w:bottom w:val="single" w:color="auto" w:sz="4" w:space="0"/>
              <w:right w:val="single" w:color="auto" w:sz="4" w:space="0"/>
            </w:tcBorders>
            <w:vAlign w:val="center"/>
          </w:tcPr>
          <w:p>
            <w:pPr>
              <w:widowControl/>
              <w:spacing w:line="240" w:lineRule="auto"/>
              <w:jc w:val="center"/>
              <w:rPr>
                <w:b/>
                <w:bCs/>
                <w:sz w:val="21"/>
                <w:szCs w:val="21"/>
              </w:rPr>
            </w:pPr>
          </w:p>
        </w:tc>
        <w:tc>
          <w:tcPr>
            <w:tcW w:w="1027" w:type="pct"/>
            <w:vMerge w:val="continue"/>
            <w:tcBorders>
              <w:top w:val="single" w:color="auto" w:sz="4" w:space="0"/>
              <w:left w:val="nil"/>
              <w:bottom w:val="single" w:color="auto" w:sz="4" w:space="0"/>
              <w:right w:val="single" w:color="auto" w:sz="4" w:space="0"/>
            </w:tcBorders>
            <w:vAlign w:val="center"/>
          </w:tcPr>
          <w:p>
            <w:pPr>
              <w:widowControl/>
              <w:spacing w:line="240" w:lineRule="auto"/>
              <w:jc w:val="center"/>
              <w:rPr>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39"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1</w:t>
            </w:r>
          </w:p>
        </w:tc>
        <w:tc>
          <w:tcPr>
            <w:tcW w:w="11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山东农业大学校外教学实习基地</w:t>
            </w:r>
          </w:p>
        </w:tc>
        <w:tc>
          <w:tcPr>
            <w:tcW w:w="12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济南市平阴田山</w:t>
            </w:r>
          </w:p>
          <w:p>
            <w:pPr>
              <w:autoSpaceDE w:val="0"/>
              <w:autoSpaceDN w:val="0"/>
              <w:adjustRightInd w:val="0"/>
              <w:snapToGrid w:val="0"/>
              <w:spacing w:line="240" w:lineRule="auto"/>
              <w:jc w:val="center"/>
              <w:rPr>
                <w:kern w:val="0"/>
                <w:sz w:val="21"/>
                <w:szCs w:val="21"/>
              </w:rPr>
            </w:pPr>
            <w:r>
              <w:rPr>
                <w:kern w:val="0"/>
                <w:sz w:val="21"/>
                <w:szCs w:val="21"/>
              </w:rPr>
              <w:t>电灌站管理处</w:t>
            </w:r>
          </w:p>
        </w:tc>
        <w:tc>
          <w:tcPr>
            <w:tcW w:w="1115"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认识实习</w:t>
            </w:r>
          </w:p>
        </w:tc>
        <w:tc>
          <w:tcPr>
            <w:tcW w:w="1027"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实习报告</w:t>
            </w:r>
          </w:p>
          <w:p>
            <w:pPr>
              <w:autoSpaceDE w:val="0"/>
              <w:autoSpaceDN w:val="0"/>
              <w:adjustRightInd w:val="0"/>
              <w:snapToGrid w:val="0"/>
              <w:spacing w:line="240" w:lineRule="auto"/>
              <w:jc w:val="center"/>
              <w:rPr>
                <w:kern w:val="0"/>
                <w:sz w:val="21"/>
                <w:szCs w:val="21"/>
              </w:rPr>
            </w:pPr>
            <w:r>
              <w:rPr>
                <w:kern w:val="0"/>
                <w:sz w:val="21"/>
                <w:szCs w:val="21"/>
              </w:rPr>
              <w:t>现场表现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39"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2</w:t>
            </w:r>
          </w:p>
        </w:tc>
        <w:tc>
          <w:tcPr>
            <w:tcW w:w="11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山东农业大学校外教学实习基地</w:t>
            </w:r>
          </w:p>
        </w:tc>
        <w:tc>
          <w:tcPr>
            <w:tcW w:w="12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邹平县水务局</w:t>
            </w:r>
          </w:p>
        </w:tc>
        <w:tc>
          <w:tcPr>
            <w:tcW w:w="1115"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认识实习</w:t>
            </w:r>
          </w:p>
          <w:p>
            <w:pPr>
              <w:autoSpaceDE w:val="0"/>
              <w:autoSpaceDN w:val="0"/>
              <w:adjustRightInd w:val="0"/>
              <w:snapToGrid w:val="0"/>
              <w:spacing w:line="240" w:lineRule="auto"/>
              <w:jc w:val="center"/>
              <w:rPr>
                <w:kern w:val="0"/>
                <w:sz w:val="21"/>
                <w:szCs w:val="21"/>
              </w:rPr>
            </w:pPr>
            <w:r>
              <w:rPr>
                <w:kern w:val="0"/>
                <w:sz w:val="21"/>
                <w:szCs w:val="21"/>
              </w:rPr>
              <w:t>专业实习</w:t>
            </w:r>
          </w:p>
          <w:p>
            <w:pPr>
              <w:autoSpaceDE w:val="0"/>
              <w:autoSpaceDN w:val="0"/>
              <w:adjustRightInd w:val="0"/>
              <w:snapToGrid w:val="0"/>
              <w:spacing w:line="240" w:lineRule="auto"/>
              <w:jc w:val="center"/>
              <w:rPr>
                <w:kern w:val="0"/>
                <w:sz w:val="21"/>
                <w:szCs w:val="21"/>
              </w:rPr>
            </w:pPr>
            <w:r>
              <w:rPr>
                <w:kern w:val="0"/>
                <w:sz w:val="21"/>
                <w:szCs w:val="21"/>
              </w:rPr>
              <w:t>毕业实习</w:t>
            </w:r>
          </w:p>
        </w:tc>
        <w:tc>
          <w:tcPr>
            <w:tcW w:w="1027"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实习报告</w:t>
            </w:r>
          </w:p>
          <w:p>
            <w:pPr>
              <w:autoSpaceDE w:val="0"/>
              <w:autoSpaceDN w:val="0"/>
              <w:adjustRightInd w:val="0"/>
              <w:snapToGrid w:val="0"/>
              <w:spacing w:line="240" w:lineRule="auto"/>
              <w:jc w:val="center"/>
              <w:rPr>
                <w:kern w:val="0"/>
                <w:sz w:val="21"/>
                <w:szCs w:val="21"/>
              </w:rPr>
            </w:pPr>
            <w:r>
              <w:rPr>
                <w:kern w:val="0"/>
                <w:sz w:val="21"/>
                <w:szCs w:val="21"/>
              </w:rPr>
              <w:t>现场表现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39"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jc w:val="center"/>
              <w:rPr>
                <w:sz w:val="21"/>
                <w:szCs w:val="21"/>
              </w:rPr>
            </w:pPr>
            <w:r>
              <w:rPr>
                <w:sz w:val="21"/>
                <w:szCs w:val="21"/>
              </w:rPr>
              <w:t>3</w:t>
            </w:r>
          </w:p>
        </w:tc>
        <w:tc>
          <w:tcPr>
            <w:tcW w:w="11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山东农业大学校外教学科研实践基地</w:t>
            </w:r>
          </w:p>
        </w:tc>
        <w:tc>
          <w:tcPr>
            <w:tcW w:w="12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山东新汇建设集团</w:t>
            </w:r>
          </w:p>
          <w:p>
            <w:pPr>
              <w:autoSpaceDE w:val="0"/>
              <w:autoSpaceDN w:val="0"/>
              <w:adjustRightInd w:val="0"/>
              <w:snapToGrid w:val="0"/>
              <w:spacing w:line="240" w:lineRule="auto"/>
              <w:jc w:val="center"/>
              <w:rPr>
                <w:kern w:val="0"/>
                <w:sz w:val="21"/>
                <w:szCs w:val="21"/>
              </w:rPr>
            </w:pPr>
            <w:r>
              <w:rPr>
                <w:kern w:val="0"/>
                <w:sz w:val="21"/>
                <w:szCs w:val="21"/>
              </w:rPr>
              <w:t>有限公司</w:t>
            </w:r>
          </w:p>
        </w:tc>
        <w:tc>
          <w:tcPr>
            <w:tcW w:w="1115"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认识实习</w:t>
            </w:r>
          </w:p>
          <w:p>
            <w:pPr>
              <w:autoSpaceDE w:val="0"/>
              <w:autoSpaceDN w:val="0"/>
              <w:adjustRightInd w:val="0"/>
              <w:snapToGrid w:val="0"/>
              <w:spacing w:line="240" w:lineRule="auto"/>
              <w:jc w:val="center"/>
              <w:rPr>
                <w:kern w:val="0"/>
                <w:sz w:val="21"/>
                <w:szCs w:val="21"/>
              </w:rPr>
            </w:pPr>
            <w:r>
              <w:rPr>
                <w:kern w:val="0"/>
                <w:sz w:val="21"/>
                <w:szCs w:val="21"/>
              </w:rPr>
              <w:t>专业实习</w:t>
            </w:r>
          </w:p>
          <w:p>
            <w:pPr>
              <w:autoSpaceDE w:val="0"/>
              <w:autoSpaceDN w:val="0"/>
              <w:adjustRightInd w:val="0"/>
              <w:snapToGrid w:val="0"/>
              <w:spacing w:line="240" w:lineRule="auto"/>
              <w:jc w:val="center"/>
              <w:rPr>
                <w:kern w:val="0"/>
                <w:sz w:val="21"/>
                <w:szCs w:val="21"/>
              </w:rPr>
            </w:pPr>
            <w:r>
              <w:rPr>
                <w:kern w:val="0"/>
                <w:sz w:val="21"/>
                <w:szCs w:val="21"/>
              </w:rPr>
              <w:t>毕业实习</w:t>
            </w:r>
          </w:p>
          <w:p>
            <w:pPr>
              <w:autoSpaceDE w:val="0"/>
              <w:autoSpaceDN w:val="0"/>
              <w:adjustRightInd w:val="0"/>
              <w:snapToGrid w:val="0"/>
              <w:spacing w:line="240" w:lineRule="auto"/>
              <w:jc w:val="center"/>
              <w:rPr>
                <w:kern w:val="0"/>
                <w:sz w:val="21"/>
                <w:szCs w:val="21"/>
              </w:rPr>
            </w:pPr>
            <w:r>
              <w:rPr>
                <w:kern w:val="0"/>
                <w:sz w:val="21"/>
                <w:szCs w:val="21"/>
              </w:rPr>
              <w:t>毕业设计</w:t>
            </w:r>
          </w:p>
        </w:tc>
        <w:tc>
          <w:tcPr>
            <w:tcW w:w="1027"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实习报告</w:t>
            </w:r>
          </w:p>
          <w:p>
            <w:pPr>
              <w:autoSpaceDE w:val="0"/>
              <w:autoSpaceDN w:val="0"/>
              <w:adjustRightInd w:val="0"/>
              <w:snapToGrid w:val="0"/>
              <w:spacing w:line="240" w:lineRule="auto"/>
              <w:jc w:val="center"/>
              <w:rPr>
                <w:kern w:val="0"/>
                <w:sz w:val="21"/>
                <w:szCs w:val="21"/>
              </w:rPr>
            </w:pPr>
            <w:r>
              <w:rPr>
                <w:kern w:val="0"/>
                <w:sz w:val="21"/>
                <w:szCs w:val="21"/>
              </w:rPr>
              <w:t>现场表现</w:t>
            </w:r>
          </w:p>
          <w:p>
            <w:pPr>
              <w:autoSpaceDE w:val="0"/>
              <w:autoSpaceDN w:val="0"/>
              <w:adjustRightInd w:val="0"/>
              <w:snapToGrid w:val="0"/>
              <w:spacing w:line="240" w:lineRule="auto"/>
              <w:jc w:val="center"/>
              <w:rPr>
                <w:kern w:val="0"/>
                <w:sz w:val="21"/>
                <w:szCs w:val="21"/>
              </w:rPr>
            </w:pPr>
            <w:r>
              <w:rPr>
                <w:kern w:val="0"/>
                <w:sz w:val="21"/>
                <w:szCs w:val="21"/>
              </w:rPr>
              <w:t>设计报告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39"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4</w:t>
            </w:r>
          </w:p>
        </w:tc>
        <w:tc>
          <w:tcPr>
            <w:tcW w:w="11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山东农业大学教学科研实践基地</w:t>
            </w:r>
          </w:p>
        </w:tc>
        <w:tc>
          <w:tcPr>
            <w:tcW w:w="12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东平县水利局</w:t>
            </w:r>
          </w:p>
        </w:tc>
        <w:tc>
          <w:tcPr>
            <w:tcW w:w="1115"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认识实习</w:t>
            </w:r>
          </w:p>
        </w:tc>
        <w:tc>
          <w:tcPr>
            <w:tcW w:w="1027"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实习报告</w:t>
            </w:r>
          </w:p>
          <w:p>
            <w:pPr>
              <w:autoSpaceDE w:val="0"/>
              <w:autoSpaceDN w:val="0"/>
              <w:adjustRightInd w:val="0"/>
              <w:snapToGrid w:val="0"/>
              <w:spacing w:line="240" w:lineRule="auto"/>
              <w:jc w:val="center"/>
              <w:rPr>
                <w:kern w:val="0"/>
                <w:sz w:val="21"/>
                <w:szCs w:val="21"/>
              </w:rPr>
            </w:pPr>
            <w:r>
              <w:rPr>
                <w:kern w:val="0"/>
                <w:sz w:val="21"/>
                <w:szCs w:val="21"/>
              </w:rPr>
              <w:t>现场表现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39"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5</w:t>
            </w:r>
          </w:p>
        </w:tc>
        <w:tc>
          <w:tcPr>
            <w:tcW w:w="11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山东农业大学校外教学科研实践基地</w:t>
            </w:r>
          </w:p>
        </w:tc>
        <w:tc>
          <w:tcPr>
            <w:tcW w:w="12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泰安市水利勘测</w:t>
            </w:r>
          </w:p>
          <w:p>
            <w:pPr>
              <w:autoSpaceDE w:val="0"/>
              <w:autoSpaceDN w:val="0"/>
              <w:adjustRightInd w:val="0"/>
              <w:snapToGrid w:val="0"/>
              <w:spacing w:line="240" w:lineRule="auto"/>
              <w:jc w:val="center"/>
              <w:rPr>
                <w:kern w:val="0"/>
                <w:sz w:val="21"/>
                <w:szCs w:val="21"/>
              </w:rPr>
            </w:pPr>
            <w:r>
              <w:rPr>
                <w:kern w:val="0"/>
                <w:sz w:val="21"/>
                <w:szCs w:val="21"/>
              </w:rPr>
              <w:t>设计院</w:t>
            </w:r>
          </w:p>
        </w:tc>
        <w:tc>
          <w:tcPr>
            <w:tcW w:w="1115"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认识实习</w:t>
            </w:r>
          </w:p>
          <w:p>
            <w:pPr>
              <w:autoSpaceDE w:val="0"/>
              <w:autoSpaceDN w:val="0"/>
              <w:adjustRightInd w:val="0"/>
              <w:snapToGrid w:val="0"/>
              <w:spacing w:line="240" w:lineRule="auto"/>
              <w:jc w:val="center"/>
              <w:rPr>
                <w:kern w:val="0"/>
                <w:sz w:val="21"/>
                <w:szCs w:val="21"/>
              </w:rPr>
            </w:pPr>
            <w:r>
              <w:rPr>
                <w:kern w:val="0"/>
                <w:sz w:val="21"/>
                <w:szCs w:val="21"/>
              </w:rPr>
              <w:t>毕业实习</w:t>
            </w:r>
          </w:p>
        </w:tc>
        <w:tc>
          <w:tcPr>
            <w:tcW w:w="1027"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实习报告</w:t>
            </w:r>
          </w:p>
          <w:p>
            <w:pPr>
              <w:autoSpaceDE w:val="0"/>
              <w:autoSpaceDN w:val="0"/>
              <w:adjustRightInd w:val="0"/>
              <w:snapToGrid w:val="0"/>
              <w:spacing w:line="240" w:lineRule="auto"/>
              <w:jc w:val="center"/>
              <w:rPr>
                <w:kern w:val="0"/>
                <w:sz w:val="21"/>
                <w:szCs w:val="21"/>
              </w:rPr>
            </w:pPr>
            <w:r>
              <w:rPr>
                <w:kern w:val="0"/>
                <w:sz w:val="21"/>
                <w:szCs w:val="21"/>
              </w:rPr>
              <w:t>现场表现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39"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6</w:t>
            </w:r>
          </w:p>
        </w:tc>
        <w:tc>
          <w:tcPr>
            <w:tcW w:w="11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山东农业大学校外教学科研实践基地</w:t>
            </w:r>
          </w:p>
        </w:tc>
        <w:tc>
          <w:tcPr>
            <w:tcW w:w="12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临沂市水利工程</w:t>
            </w:r>
          </w:p>
          <w:p>
            <w:pPr>
              <w:autoSpaceDE w:val="0"/>
              <w:autoSpaceDN w:val="0"/>
              <w:adjustRightInd w:val="0"/>
              <w:snapToGrid w:val="0"/>
              <w:spacing w:line="240" w:lineRule="auto"/>
              <w:jc w:val="center"/>
              <w:rPr>
                <w:kern w:val="0"/>
                <w:sz w:val="21"/>
                <w:szCs w:val="21"/>
              </w:rPr>
            </w:pPr>
            <w:r>
              <w:rPr>
                <w:kern w:val="0"/>
                <w:sz w:val="21"/>
                <w:szCs w:val="21"/>
              </w:rPr>
              <w:t>总公司</w:t>
            </w:r>
          </w:p>
        </w:tc>
        <w:tc>
          <w:tcPr>
            <w:tcW w:w="1115"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认识实习</w:t>
            </w:r>
          </w:p>
          <w:p>
            <w:pPr>
              <w:autoSpaceDE w:val="0"/>
              <w:autoSpaceDN w:val="0"/>
              <w:adjustRightInd w:val="0"/>
              <w:snapToGrid w:val="0"/>
              <w:spacing w:line="240" w:lineRule="auto"/>
              <w:jc w:val="center"/>
              <w:rPr>
                <w:kern w:val="0"/>
                <w:sz w:val="21"/>
                <w:szCs w:val="21"/>
              </w:rPr>
            </w:pPr>
            <w:r>
              <w:rPr>
                <w:kern w:val="0"/>
                <w:sz w:val="21"/>
                <w:szCs w:val="21"/>
              </w:rPr>
              <w:t>生产实习</w:t>
            </w:r>
          </w:p>
          <w:p>
            <w:pPr>
              <w:autoSpaceDE w:val="0"/>
              <w:autoSpaceDN w:val="0"/>
              <w:adjustRightInd w:val="0"/>
              <w:snapToGrid w:val="0"/>
              <w:spacing w:line="240" w:lineRule="auto"/>
              <w:jc w:val="center"/>
              <w:rPr>
                <w:kern w:val="0"/>
                <w:sz w:val="21"/>
                <w:szCs w:val="21"/>
              </w:rPr>
            </w:pPr>
            <w:r>
              <w:rPr>
                <w:kern w:val="0"/>
                <w:sz w:val="21"/>
                <w:szCs w:val="21"/>
              </w:rPr>
              <w:t>毕业实习</w:t>
            </w:r>
          </w:p>
        </w:tc>
        <w:tc>
          <w:tcPr>
            <w:tcW w:w="1027"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实习报告</w:t>
            </w:r>
          </w:p>
          <w:p>
            <w:pPr>
              <w:autoSpaceDE w:val="0"/>
              <w:autoSpaceDN w:val="0"/>
              <w:adjustRightInd w:val="0"/>
              <w:snapToGrid w:val="0"/>
              <w:spacing w:line="240" w:lineRule="auto"/>
              <w:jc w:val="center"/>
              <w:rPr>
                <w:kern w:val="0"/>
                <w:sz w:val="21"/>
                <w:szCs w:val="21"/>
              </w:rPr>
            </w:pPr>
            <w:r>
              <w:rPr>
                <w:kern w:val="0"/>
                <w:sz w:val="21"/>
                <w:szCs w:val="21"/>
              </w:rPr>
              <w:t>现场表现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39"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7</w:t>
            </w:r>
          </w:p>
        </w:tc>
        <w:tc>
          <w:tcPr>
            <w:tcW w:w="11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山东农业大学校外教学科研实践基地</w:t>
            </w:r>
          </w:p>
        </w:tc>
        <w:tc>
          <w:tcPr>
            <w:tcW w:w="12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临沂市水利勘测</w:t>
            </w:r>
          </w:p>
          <w:p>
            <w:pPr>
              <w:autoSpaceDE w:val="0"/>
              <w:autoSpaceDN w:val="0"/>
              <w:adjustRightInd w:val="0"/>
              <w:snapToGrid w:val="0"/>
              <w:spacing w:line="240" w:lineRule="auto"/>
              <w:jc w:val="center"/>
              <w:rPr>
                <w:kern w:val="0"/>
                <w:sz w:val="21"/>
                <w:szCs w:val="21"/>
              </w:rPr>
            </w:pPr>
            <w:r>
              <w:rPr>
                <w:kern w:val="0"/>
                <w:sz w:val="21"/>
                <w:szCs w:val="21"/>
              </w:rPr>
              <w:t>设计院</w:t>
            </w:r>
          </w:p>
        </w:tc>
        <w:tc>
          <w:tcPr>
            <w:tcW w:w="1115"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毕业实习</w:t>
            </w:r>
          </w:p>
          <w:p>
            <w:pPr>
              <w:autoSpaceDE w:val="0"/>
              <w:autoSpaceDN w:val="0"/>
              <w:adjustRightInd w:val="0"/>
              <w:snapToGrid w:val="0"/>
              <w:spacing w:line="240" w:lineRule="auto"/>
              <w:jc w:val="center"/>
              <w:rPr>
                <w:kern w:val="0"/>
                <w:sz w:val="21"/>
                <w:szCs w:val="21"/>
              </w:rPr>
            </w:pPr>
            <w:r>
              <w:rPr>
                <w:kern w:val="0"/>
                <w:sz w:val="21"/>
                <w:szCs w:val="21"/>
              </w:rPr>
              <w:t>毕业设计</w:t>
            </w:r>
          </w:p>
        </w:tc>
        <w:tc>
          <w:tcPr>
            <w:tcW w:w="1027"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实习报告</w:t>
            </w:r>
          </w:p>
          <w:p>
            <w:pPr>
              <w:autoSpaceDE w:val="0"/>
              <w:autoSpaceDN w:val="0"/>
              <w:adjustRightInd w:val="0"/>
              <w:snapToGrid w:val="0"/>
              <w:spacing w:line="240" w:lineRule="auto"/>
              <w:jc w:val="center"/>
              <w:rPr>
                <w:kern w:val="0"/>
                <w:sz w:val="21"/>
                <w:szCs w:val="21"/>
              </w:rPr>
            </w:pPr>
            <w:r>
              <w:rPr>
                <w:kern w:val="0"/>
                <w:sz w:val="21"/>
                <w:szCs w:val="21"/>
              </w:rPr>
              <w:t>现场表现</w:t>
            </w:r>
          </w:p>
          <w:p>
            <w:pPr>
              <w:autoSpaceDE w:val="0"/>
              <w:autoSpaceDN w:val="0"/>
              <w:adjustRightInd w:val="0"/>
              <w:snapToGrid w:val="0"/>
              <w:spacing w:line="240" w:lineRule="auto"/>
              <w:jc w:val="center"/>
              <w:rPr>
                <w:kern w:val="0"/>
                <w:sz w:val="21"/>
                <w:szCs w:val="21"/>
              </w:rPr>
            </w:pPr>
            <w:r>
              <w:rPr>
                <w:kern w:val="0"/>
                <w:sz w:val="21"/>
                <w:szCs w:val="21"/>
              </w:rPr>
              <w:t>设计报告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39"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8</w:t>
            </w:r>
          </w:p>
        </w:tc>
        <w:tc>
          <w:tcPr>
            <w:tcW w:w="11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山东农业大学校外教学科研实践基地</w:t>
            </w:r>
          </w:p>
        </w:tc>
        <w:tc>
          <w:tcPr>
            <w:tcW w:w="12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山东水利建设工程有限公司</w:t>
            </w:r>
          </w:p>
        </w:tc>
        <w:tc>
          <w:tcPr>
            <w:tcW w:w="1115"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认识实习</w:t>
            </w:r>
          </w:p>
          <w:p>
            <w:pPr>
              <w:autoSpaceDE w:val="0"/>
              <w:autoSpaceDN w:val="0"/>
              <w:adjustRightInd w:val="0"/>
              <w:snapToGrid w:val="0"/>
              <w:spacing w:line="240" w:lineRule="auto"/>
              <w:jc w:val="center"/>
              <w:rPr>
                <w:kern w:val="0"/>
                <w:sz w:val="21"/>
                <w:szCs w:val="21"/>
              </w:rPr>
            </w:pPr>
            <w:r>
              <w:rPr>
                <w:kern w:val="0"/>
                <w:sz w:val="21"/>
                <w:szCs w:val="21"/>
              </w:rPr>
              <w:t>毕业实习</w:t>
            </w:r>
          </w:p>
        </w:tc>
        <w:tc>
          <w:tcPr>
            <w:tcW w:w="1027"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实习报告</w:t>
            </w:r>
          </w:p>
          <w:p>
            <w:pPr>
              <w:autoSpaceDE w:val="0"/>
              <w:autoSpaceDN w:val="0"/>
              <w:adjustRightInd w:val="0"/>
              <w:snapToGrid w:val="0"/>
              <w:spacing w:line="240" w:lineRule="auto"/>
              <w:jc w:val="center"/>
              <w:rPr>
                <w:kern w:val="0"/>
                <w:sz w:val="21"/>
                <w:szCs w:val="21"/>
              </w:rPr>
            </w:pPr>
            <w:r>
              <w:rPr>
                <w:kern w:val="0"/>
                <w:sz w:val="21"/>
                <w:szCs w:val="21"/>
              </w:rPr>
              <w:t>现场表现</w:t>
            </w:r>
          </w:p>
          <w:p>
            <w:pPr>
              <w:autoSpaceDE w:val="0"/>
              <w:autoSpaceDN w:val="0"/>
              <w:adjustRightInd w:val="0"/>
              <w:snapToGrid w:val="0"/>
              <w:spacing w:line="240" w:lineRule="auto"/>
              <w:jc w:val="center"/>
              <w:rPr>
                <w:kern w:val="0"/>
                <w:sz w:val="21"/>
                <w:szCs w:val="21"/>
              </w:rPr>
            </w:pPr>
            <w:r>
              <w:rPr>
                <w:kern w:val="0"/>
                <w:sz w:val="21"/>
                <w:szCs w:val="21"/>
              </w:rPr>
              <w:t>设计报告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39"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9</w:t>
            </w:r>
          </w:p>
        </w:tc>
        <w:tc>
          <w:tcPr>
            <w:tcW w:w="11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山东农业大学校外教学科研实践基地</w:t>
            </w:r>
          </w:p>
        </w:tc>
        <w:tc>
          <w:tcPr>
            <w:tcW w:w="12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沂水县水利局</w:t>
            </w:r>
          </w:p>
        </w:tc>
        <w:tc>
          <w:tcPr>
            <w:tcW w:w="1115"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认识实习</w:t>
            </w:r>
          </w:p>
          <w:p>
            <w:pPr>
              <w:autoSpaceDE w:val="0"/>
              <w:autoSpaceDN w:val="0"/>
              <w:adjustRightInd w:val="0"/>
              <w:snapToGrid w:val="0"/>
              <w:spacing w:line="240" w:lineRule="auto"/>
              <w:jc w:val="center"/>
              <w:rPr>
                <w:kern w:val="0"/>
                <w:sz w:val="21"/>
                <w:szCs w:val="21"/>
              </w:rPr>
            </w:pPr>
            <w:r>
              <w:rPr>
                <w:kern w:val="0"/>
                <w:sz w:val="21"/>
                <w:szCs w:val="21"/>
              </w:rPr>
              <w:t>毕业实习</w:t>
            </w:r>
          </w:p>
        </w:tc>
        <w:tc>
          <w:tcPr>
            <w:tcW w:w="1027"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实习报告</w:t>
            </w:r>
          </w:p>
          <w:p>
            <w:pPr>
              <w:autoSpaceDE w:val="0"/>
              <w:autoSpaceDN w:val="0"/>
              <w:adjustRightInd w:val="0"/>
              <w:snapToGrid w:val="0"/>
              <w:spacing w:line="240" w:lineRule="auto"/>
              <w:jc w:val="center"/>
              <w:rPr>
                <w:kern w:val="0"/>
                <w:sz w:val="21"/>
                <w:szCs w:val="21"/>
              </w:rPr>
            </w:pPr>
            <w:r>
              <w:rPr>
                <w:kern w:val="0"/>
                <w:sz w:val="21"/>
                <w:szCs w:val="21"/>
              </w:rPr>
              <w:t>现场表现</w:t>
            </w:r>
          </w:p>
          <w:p>
            <w:pPr>
              <w:autoSpaceDE w:val="0"/>
              <w:autoSpaceDN w:val="0"/>
              <w:adjustRightInd w:val="0"/>
              <w:snapToGrid w:val="0"/>
              <w:spacing w:line="240" w:lineRule="auto"/>
              <w:jc w:val="center"/>
              <w:rPr>
                <w:kern w:val="0"/>
                <w:sz w:val="21"/>
                <w:szCs w:val="21"/>
              </w:rPr>
            </w:pPr>
            <w:r>
              <w:rPr>
                <w:kern w:val="0"/>
                <w:sz w:val="21"/>
                <w:szCs w:val="21"/>
              </w:rPr>
              <w:t>设计报告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39"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10</w:t>
            </w:r>
          </w:p>
        </w:tc>
        <w:tc>
          <w:tcPr>
            <w:tcW w:w="11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山东农业大学校外教学科研实践基地</w:t>
            </w:r>
          </w:p>
        </w:tc>
        <w:tc>
          <w:tcPr>
            <w:tcW w:w="12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泰安市岱岳区</w:t>
            </w:r>
          </w:p>
          <w:p>
            <w:pPr>
              <w:autoSpaceDE w:val="0"/>
              <w:autoSpaceDN w:val="0"/>
              <w:adjustRightInd w:val="0"/>
              <w:snapToGrid w:val="0"/>
              <w:spacing w:line="240" w:lineRule="auto"/>
              <w:jc w:val="center"/>
              <w:rPr>
                <w:kern w:val="0"/>
                <w:sz w:val="21"/>
                <w:szCs w:val="21"/>
              </w:rPr>
            </w:pPr>
            <w:r>
              <w:rPr>
                <w:kern w:val="0"/>
                <w:sz w:val="21"/>
                <w:szCs w:val="21"/>
              </w:rPr>
              <w:t>黄前水库管理处</w:t>
            </w:r>
          </w:p>
        </w:tc>
        <w:tc>
          <w:tcPr>
            <w:tcW w:w="1115"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认识实习</w:t>
            </w:r>
          </w:p>
          <w:p>
            <w:pPr>
              <w:autoSpaceDE w:val="0"/>
              <w:autoSpaceDN w:val="0"/>
              <w:adjustRightInd w:val="0"/>
              <w:snapToGrid w:val="0"/>
              <w:spacing w:line="240" w:lineRule="auto"/>
              <w:jc w:val="center"/>
              <w:rPr>
                <w:kern w:val="0"/>
                <w:sz w:val="21"/>
                <w:szCs w:val="21"/>
              </w:rPr>
            </w:pPr>
            <w:r>
              <w:rPr>
                <w:kern w:val="0"/>
                <w:sz w:val="21"/>
                <w:szCs w:val="21"/>
              </w:rPr>
              <w:t>毕业实习</w:t>
            </w:r>
          </w:p>
        </w:tc>
        <w:tc>
          <w:tcPr>
            <w:tcW w:w="1027"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实习报告</w:t>
            </w:r>
          </w:p>
          <w:p>
            <w:pPr>
              <w:autoSpaceDE w:val="0"/>
              <w:autoSpaceDN w:val="0"/>
              <w:adjustRightInd w:val="0"/>
              <w:snapToGrid w:val="0"/>
              <w:spacing w:line="240" w:lineRule="auto"/>
              <w:jc w:val="center"/>
              <w:rPr>
                <w:kern w:val="0"/>
                <w:sz w:val="21"/>
                <w:szCs w:val="21"/>
              </w:rPr>
            </w:pPr>
            <w:r>
              <w:rPr>
                <w:kern w:val="0"/>
                <w:sz w:val="21"/>
                <w:szCs w:val="21"/>
              </w:rPr>
              <w:t>现场表现</w:t>
            </w:r>
          </w:p>
          <w:p>
            <w:pPr>
              <w:autoSpaceDE w:val="0"/>
              <w:autoSpaceDN w:val="0"/>
              <w:adjustRightInd w:val="0"/>
              <w:snapToGrid w:val="0"/>
              <w:spacing w:line="240" w:lineRule="auto"/>
              <w:jc w:val="center"/>
              <w:rPr>
                <w:kern w:val="0"/>
                <w:sz w:val="21"/>
                <w:szCs w:val="21"/>
              </w:rPr>
            </w:pPr>
            <w:r>
              <w:rPr>
                <w:kern w:val="0"/>
                <w:sz w:val="21"/>
                <w:szCs w:val="21"/>
              </w:rPr>
              <w:t>设计报告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39"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11</w:t>
            </w:r>
          </w:p>
        </w:tc>
        <w:tc>
          <w:tcPr>
            <w:tcW w:w="11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山东农业大学校外教学科研实践基地</w:t>
            </w:r>
          </w:p>
        </w:tc>
        <w:tc>
          <w:tcPr>
            <w:tcW w:w="12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山东省水利科学</w:t>
            </w:r>
          </w:p>
          <w:p>
            <w:pPr>
              <w:autoSpaceDE w:val="0"/>
              <w:autoSpaceDN w:val="0"/>
              <w:adjustRightInd w:val="0"/>
              <w:snapToGrid w:val="0"/>
              <w:spacing w:line="240" w:lineRule="auto"/>
              <w:jc w:val="center"/>
              <w:rPr>
                <w:kern w:val="0"/>
                <w:sz w:val="21"/>
                <w:szCs w:val="21"/>
              </w:rPr>
            </w:pPr>
            <w:r>
              <w:rPr>
                <w:kern w:val="0"/>
                <w:sz w:val="21"/>
                <w:szCs w:val="21"/>
              </w:rPr>
              <w:t>研究院</w:t>
            </w:r>
          </w:p>
        </w:tc>
        <w:tc>
          <w:tcPr>
            <w:tcW w:w="1115"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认识实习</w:t>
            </w:r>
          </w:p>
          <w:p>
            <w:pPr>
              <w:autoSpaceDE w:val="0"/>
              <w:autoSpaceDN w:val="0"/>
              <w:adjustRightInd w:val="0"/>
              <w:snapToGrid w:val="0"/>
              <w:spacing w:line="240" w:lineRule="auto"/>
              <w:jc w:val="center"/>
              <w:rPr>
                <w:kern w:val="0"/>
                <w:sz w:val="21"/>
                <w:szCs w:val="21"/>
              </w:rPr>
            </w:pPr>
            <w:r>
              <w:rPr>
                <w:kern w:val="0"/>
                <w:sz w:val="21"/>
                <w:szCs w:val="21"/>
              </w:rPr>
              <w:t>毕业实习</w:t>
            </w:r>
          </w:p>
        </w:tc>
        <w:tc>
          <w:tcPr>
            <w:tcW w:w="1027"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实习报告</w:t>
            </w:r>
          </w:p>
          <w:p>
            <w:pPr>
              <w:autoSpaceDE w:val="0"/>
              <w:autoSpaceDN w:val="0"/>
              <w:adjustRightInd w:val="0"/>
              <w:snapToGrid w:val="0"/>
              <w:spacing w:line="240" w:lineRule="auto"/>
              <w:jc w:val="center"/>
              <w:rPr>
                <w:kern w:val="0"/>
                <w:sz w:val="21"/>
                <w:szCs w:val="21"/>
              </w:rPr>
            </w:pPr>
            <w:r>
              <w:rPr>
                <w:kern w:val="0"/>
                <w:sz w:val="21"/>
                <w:szCs w:val="21"/>
              </w:rPr>
              <w:t>现场表现</w:t>
            </w:r>
          </w:p>
          <w:p>
            <w:pPr>
              <w:autoSpaceDE w:val="0"/>
              <w:autoSpaceDN w:val="0"/>
              <w:adjustRightInd w:val="0"/>
              <w:snapToGrid w:val="0"/>
              <w:spacing w:line="240" w:lineRule="auto"/>
              <w:jc w:val="center"/>
              <w:rPr>
                <w:kern w:val="0"/>
                <w:sz w:val="21"/>
                <w:szCs w:val="21"/>
              </w:rPr>
            </w:pPr>
            <w:r>
              <w:rPr>
                <w:kern w:val="0"/>
                <w:sz w:val="21"/>
                <w:szCs w:val="21"/>
              </w:rPr>
              <w:t>设计报告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39"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12</w:t>
            </w:r>
          </w:p>
        </w:tc>
        <w:tc>
          <w:tcPr>
            <w:tcW w:w="11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山东农业大学校外教学科研实践基地</w:t>
            </w:r>
          </w:p>
        </w:tc>
        <w:tc>
          <w:tcPr>
            <w:tcW w:w="12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博兴县水利局</w:t>
            </w:r>
          </w:p>
        </w:tc>
        <w:tc>
          <w:tcPr>
            <w:tcW w:w="1115"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认识实习</w:t>
            </w:r>
          </w:p>
          <w:p>
            <w:pPr>
              <w:autoSpaceDE w:val="0"/>
              <w:autoSpaceDN w:val="0"/>
              <w:adjustRightInd w:val="0"/>
              <w:snapToGrid w:val="0"/>
              <w:spacing w:line="240" w:lineRule="auto"/>
              <w:jc w:val="center"/>
              <w:rPr>
                <w:kern w:val="0"/>
                <w:sz w:val="21"/>
                <w:szCs w:val="21"/>
              </w:rPr>
            </w:pPr>
            <w:r>
              <w:rPr>
                <w:kern w:val="0"/>
                <w:sz w:val="21"/>
                <w:szCs w:val="21"/>
              </w:rPr>
              <w:t>毕业实习</w:t>
            </w:r>
          </w:p>
        </w:tc>
        <w:tc>
          <w:tcPr>
            <w:tcW w:w="1027"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实习报告</w:t>
            </w:r>
          </w:p>
          <w:p>
            <w:pPr>
              <w:autoSpaceDE w:val="0"/>
              <w:autoSpaceDN w:val="0"/>
              <w:adjustRightInd w:val="0"/>
              <w:snapToGrid w:val="0"/>
              <w:spacing w:line="240" w:lineRule="auto"/>
              <w:jc w:val="center"/>
              <w:rPr>
                <w:kern w:val="0"/>
                <w:sz w:val="21"/>
                <w:szCs w:val="21"/>
              </w:rPr>
            </w:pPr>
            <w:r>
              <w:rPr>
                <w:kern w:val="0"/>
                <w:sz w:val="21"/>
                <w:szCs w:val="21"/>
              </w:rPr>
              <w:t>现场表现</w:t>
            </w:r>
          </w:p>
          <w:p>
            <w:pPr>
              <w:autoSpaceDE w:val="0"/>
              <w:autoSpaceDN w:val="0"/>
              <w:adjustRightInd w:val="0"/>
              <w:snapToGrid w:val="0"/>
              <w:spacing w:line="240" w:lineRule="auto"/>
              <w:jc w:val="center"/>
              <w:rPr>
                <w:kern w:val="0"/>
                <w:sz w:val="21"/>
                <w:szCs w:val="21"/>
              </w:rPr>
            </w:pPr>
            <w:r>
              <w:rPr>
                <w:kern w:val="0"/>
                <w:sz w:val="21"/>
                <w:szCs w:val="21"/>
              </w:rPr>
              <w:t>设计报告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39"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13</w:t>
            </w:r>
          </w:p>
        </w:tc>
        <w:tc>
          <w:tcPr>
            <w:tcW w:w="11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山东农业大学校外教学科研实践基地</w:t>
            </w:r>
          </w:p>
        </w:tc>
        <w:tc>
          <w:tcPr>
            <w:tcW w:w="12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华夏天农（北京）</w:t>
            </w:r>
          </w:p>
          <w:p>
            <w:pPr>
              <w:autoSpaceDE w:val="0"/>
              <w:autoSpaceDN w:val="0"/>
              <w:adjustRightInd w:val="0"/>
              <w:snapToGrid w:val="0"/>
              <w:spacing w:line="240" w:lineRule="auto"/>
              <w:jc w:val="center"/>
              <w:rPr>
                <w:kern w:val="0"/>
                <w:sz w:val="21"/>
                <w:szCs w:val="21"/>
              </w:rPr>
            </w:pPr>
            <w:r>
              <w:rPr>
                <w:kern w:val="0"/>
                <w:sz w:val="21"/>
                <w:szCs w:val="21"/>
              </w:rPr>
              <w:t>农业科技有限公司</w:t>
            </w:r>
          </w:p>
        </w:tc>
        <w:tc>
          <w:tcPr>
            <w:tcW w:w="1115"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认识实习</w:t>
            </w:r>
          </w:p>
          <w:p>
            <w:pPr>
              <w:autoSpaceDE w:val="0"/>
              <w:autoSpaceDN w:val="0"/>
              <w:adjustRightInd w:val="0"/>
              <w:snapToGrid w:val="0"/>
              <w:spacing w:line="240" w:lineRule="auto"/>
              <w:jc w:val="center"/>
              <w:rPr>
                <w:kern w:val="0"/>
                <w:sz w:val="21"/>
                <w:szCs w:val="21"/>
              </w:rPr>
            </w:pPr>
            <w:r>
              <w:rPr>
                <w:kern w:val="0"/>
                <w:sz w:val="21"/>
                <w:szCs w:val="21"/>
              </w:rPr>
              <w:t>毕业实习</w:t>
            </w:r>
          </w:p>
        </w:tc>
        <w:tc>
          <w:tcPr>
            <w:tcW w:w="1027"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实习报告</w:t>
            </w:r>
          </w:p>
          <w:p>
            <w:pPr>
              <w:autoSpaceDE w:val="0"/>
              <w:autoSpaceDN w:val="0"/>
              <w:adjustRightInd w:val="0"/>
              <w:snapToGrid w:val="0"/>
              <w:spacing w:line="240" w:lineRule="auto"/>
              <w:jc w:val="center"/>
              <w:rPr>
                <w:kern w:val="0"/>
                <w:sz w:val="21"/>
                <w:szCs w:val="21"/>
              </w:rPr>
            </w:pPr>
            <w:r>
              <w:rPr>
                <w:kern w:val="0"/>
                <w:sz w:val="21"/>
                <w:szCs w:val="21"/>
              </w:rPr>
              <w:t>现场表现</w:t>
            </w:r>
          </w:p>
          <w:p>
            <w:pPr>
              <w:autoSpaceDE w:val="0"/>
              <w:autoSpaceDN w:val="0"/>
              <w:adjustRightInd w:val="0"/>
              <w:snapToGrid w:val="0"/>
              <w:spacing w:line="240" w:lineRule="auto"/>
              <w:jc w:val="center"/>
              <w:rPr>
                <w:kern w:val="0"/>
                <w:sz w:val="21"/>
                <w:szCs w:val="21"/>
              </w:rPr>
            </w:pPr>
            <w:r>
              <w:rPr>
                <w:kern w:val="0"/>
                <w:sz w:val="21"/>
                <w:szCs w:val="21"/>
              </w:rPr>
              <w:t>设计报告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39" w:type="pct"/>
            <w:tcBorders>
              <w:top w:val="single" w:color="auto" w:sz="4" w:space="0"/>
              <w:left w:val="single" w:color="auto" w:sz="4" w:space="0"/>
              <w:bottom w:val="single" w:color="auto" w:sz="4" w:space="0"/>
              <w:right w:val="single" w:color="auto" w:sz="4" w:space="0"/>
            </w:tcBorders>
            <w:vAlign w:val="center"/>
          </w:tcPr>
          <w:p>
            <w:pPr>
              <w:spacing w:line="240" w:lineRule="auto"/>
              <w:jc w:val="center"/>
              <w:rPr>
                <w:sz w:val="21"/>
                <w:szCs w:val="21"/>
              </w:rPr>
            </w:pPr>
            <w:r>
              <w:rPr>
                <w:sz w:val="21"/>
                <w:szCs w:val="21"/>
              </w:rPr>
              <w:t>14</w:t>
            </w:r>
          </w:p>
        </w:tc>
        <w:tc>
          <w:tcPr>
            <w:tcW w:w="11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山东农业大学校内教学科研实践基地</w:t>
            </w:r>
          </w:p>
        </w:tc>
        <w:tc>
          <w:tcPr>
            <w:tcW w:w="1258"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山东农业大学</w:t>
            </w:r>
          </w:p>
          <w:p>
            <w:pPr>
              <w:autoSpaceDE w:val="0"/>
              <w:autoSpaceDN w:val="0"/>
              <w:adjustRightInd w:val="0"/>
              <w:snapToGrid w:val="0"/>
              <w:spacing w:line="240" w:lineRule="auto"/>
              <w:jc w:val="center"/>
              <w:rPr>
                <w:kern w:val="0"/>
                <w:sz w:val="21"/>
                <w:szCs w:val="21"/>
              </w:rPr>
            </w:pPr>
            <w:r>
              <w:rPr>
                <w:kern w:val="0"/>
                <w:sz w:val="21"/>
                <w:szCs w:val="21"/>
              </w:rPr>
              <w:t>勘察设计研究院</w:t>
            </w:r>
          </w:p>
        </w:tc>
        <w:tc>
          <w:tcPr>
            <w:tcW w:w="1115"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毕业实习</w:t>
            </w:r>
          </w:p>
          <w:p>
            <w:pPr>
              <w:autoSpaceDE w:val="0"/>
              <w:autoSpaceDN w:val="0"/>
              <w:adjustRightInd w:val="0"/>
              <w:snapToGrid w:val="0"/>
              <w:spacing w:line="240" w:lineRule="auto"/>
              <w:jc w:val="center"/>
              <w:rPr>
                <w:kern w:val="0"/>
                <w:sz w:val="21"/>
                <w:szCs w:val="21"/>
              </w:rPr>
            </w:pPr>
            <w:r>
              <w:rPr>
                <w:kern w:val="0"/>
                <w:sz w:val="21"/>
                <w:szCs w:val="21"/>
              </w:rPr>
              <w:t>毕业设计</w:t>
            </w:r>
          </w:p>
        </w:tc>
        <w:tc>
          <w:tcPr>
            <w:tcW w:w="1027" w:type="pct"/>
            <w:tcBorders>
              <w:top w:val="single" w:color="auto" w:sz="4" w:space="0"/>
              <w:left w:val="nil"/>
              <w:bottom w:val="single" w:color="auto" w:sz="4" w:space="0"/>
              <w:right w:val="single" w:color="auto" w:sz="4" w:space="0"/>
            </w:tcBorders>
            <w:vAlign w:val="center"/>
          </w:tcPr>
          <w:p>
            <w:pPr>
              <w:autoSpaceDE w:val="0"/>
              <w:autoSpaceDN w:val="0"/>
              <w:adjustRightInd w:val="0"/>
              <w:snapToGrid w:val="0"/>
              <w:spacing w:line="240" w:lineRule="auto"/>
              <w:jc w:val="center"/>
              <w:rPr>
                <w:kern w:val="0"/>
                <w:sz w:val="21"/>
                <w:szCs w:val="21"/>
              </w:rPr>
            </w:pPr>
            <w:r>
              <w:rPr>
                <w:kern w:val="0"/>
                <w:sz w:val="21"/>
                <w:szCs w:val="21"/>
              </w:rPr>
              <w:t>实习报告</w:t>
            </w:r>
          </w:p>
          <w:p>
            <w:pPr>
              <w:autoSpaceDE w:val="0"/>
              <w:autoSpaceDN w:val="0"/>
              <w:adjustRightInd w:val="0"/>
              <w:snapToGrid w:val="0"/>
              <w:spacing w:line="240" w:lineRule="auto"/>
              <w:jc w:val="center"/>
              <w:rPr>
                <w:kern w:val="0"/>
                <w:sz w:val="21"/>
                <w:szCs w:val="21"/>
              </w:rPr>
            </w:pPr>
            <w:r>
              <w:rPr>
                <w:kern w:val="0"/>
                <w:sz w:val="21"/>
                <w:szCs w:val="21"/>
              </w:rPr>
              <w:t>现场表现</w:t>
            </w:r>
          </w:p>
          <w:p>
            <w:pPr>
              <w:autoSpaceDE w:val="0"/>
              <w:autoSpaceDN w:val="0"/>
              <w:adjustRightInd w:val="0"/>
              <w:snapToGrid w:val="0"/>
              <w:spacing w:line="240" w:lineRule="auto"/>
              <w:jc w:val="center"/>
              <w:rPr>
                <w:kern w:val="0"/>
                <w:sz w:val="21"/>
                <w:szCs w:val="21"/>
              </w:rPr>
            </w:pPr>
            <w:r>
              <w:rPr>
                <w:kern w:val="0"/>
                <w:sz w:val="21"/>
                <w:szCs w:val="21"/>
              </w:rPr>
              <w:t>设计报告</w:t>
            </w:r>
          </w:p>
        </w:tc>
      </w:tr>
    </w:tbl>
    <w:p>
      <w:pPr>
        <w:pStyle w:val="6"/>
        <w:ind w:firstLine="480"/>
      </w:pPr>
      <w:r>
        <w:t>（5）现代教学技术应用</w:t>
      </w:r>
    </w:p>
    <w:p>
      <w:pPr>
        <w:ind w:firstLine="480" w:firstLineChars="200"/>
      </w:pPr>
      <w:r>
        <w:t>学院通过第三方机构在学院网站主页醒目位置增加了</w:t>
      </w:r>
      <w:r>
        <w:rPr>
          <w:rFonts w:hint="eastAsia"/>
        </w:rPr>
        <w:t>“</w:t>
      </w:r>
      <w:r>
        <w:t>无形教育认证系统</w:t>
      </w:r>
      <w:r>
        <w:rPr>
          <w:rFonts w:hint="eastAsia"/>
        </w:rPr>
        <w:t>”</w:t>
      </w:r>
      <w:r>
        <w:t xml:space="preserve">，及时跟踪课程教学情况，听取师生意见，基于持续改进理念逐步修正课程教学目标、课程大纲等。系统能够对师资队伍和支持条件进行系统管理、查询，对实验室、实习基地、计算机、网络、图书等各类资源的利用率、利用效果进行分析，促进教学管理与持续改进。学校自2017级开始启用校友邦实践实习管理平台，该平台是人才培养中本科实践教学的重要内容，是理论联系实际、培养学生实践动手能力、创新和创业能力，使学生了解社会、接触生产实际、增强劳动观念，实现人才培养目标的重要途径。培养方案中规定的课程设计、课程论文、教学实习、认识实习、生产实习、毕业实习、劳动及社会调查等实践性教学环节均需要在校友邦实践实习管理平台完成，课程负责人可通过平台发布实习计划，并对学生提交的实习日志、周志、月志、报告等进行网上评阅。水利水电工程专业本科生正在使用的慕课课程包括《水利工程制图及计算机辅助设计》、《画法几何》、《水工建筑物》和《水利工程经济》。 </w:t>
      </w:r>
    </w:p>
    <w:p>
      <w:pPr>
        <w:ind w:firstLine="480" w:firstLineChars="200"/>
      </w:pPr>
      <w:r>
        <w:t>2022年上半年，新冠肺炎疫情影响不大，学生正常报道入校，基本进行封闭化管理，开展了正常的课堂教学；下半年学生的《工程地质实习》和《水利水电工程专业认识实习》顺利在省内实习，并按照学校的要求，全部实行了手机入袋和课堂笔记活动，学生的学习关注力和对知识的掌握程度均得到了提高。</w:t>
      </w:r>
    </w:p>
    <w:p>
      <w:pPr>
        <w:pStyle w:val="5"/>
        <w:spacing w:before="93" w:after="93"/>
        <w:ind w:firstLine="560"/>
      </w:pPr>
      <w:bookmarkStart w:id="639" w:name="_Toc26348"/>
      <w:r>
        <w:t>四</w:t>
      </w:r>
      <w:r>
        <w:rPr>
          <w:rFonts w:hint="eastAsia"/>
        </w:rPr>
        <w:t>、</w:t>
      </w:r>
      <w:r>
        <w:t>培养机制与特色（产学研协同育人机制、合作办学、教学管理等）</w:t>
      </w:r>
      <w:bookmarkEnd w:id="639"/>
    </w:p>
    <w:p>
      <w:pPr>
        <w:pStyle w:val="6"/>
        <w:ind w:firstLine="480"/>
      </w:pPr>
      <w:r>
        <w:t>（1）产学研协同育人机制</w:t>
      </w:r>
    </w:p>
    <w:p>
      <w:pPr>
        <w:ind w:firstLine="480" w:firstLineChars="200"/>
      </w:pPr>
      <w:r>
        <w:t>从产、学、研相结合的角度出发，学生每年的实习环节均在14个教学科研实践基地进行；2020年4月10日，水土学院2019级校企合作班签约仪式于北校区文理大楼学术报告厅隆重举行，19级水利水电工程四个班的冠名企业分别为山东龙跃兴设计集团有限公司、山东金田勘察设计有限公司、山东新汇建设集团有限公司和山东农业大学勘察设计研究院，促进学生在学校、企业两个育人环境中提高专业能力，成为社会、企业发展所需的专业人才。2021年，山东龙跃兴设计集团有限公司邀请19级水电2班同学去济南学习交流，山东新汇建设集团有限公司来学校慰问19级水电3班同学并与学生座谈，山东农业大学勘察设计研究院在学校慰问19级水电4班同学并进行座谈交流，部分企业还召开了企业招聘宣讲会。2022年由于疫情，原定的20级水电三个班的企业冠名活动暂停，但企业已经对接完毕，2022年的毕业设计均与各科研教学基地和冠名班企业有合作。</w:t>
      </w:r>
    </w:p>
    <w:p>
      <w:pPr>
        <w:pStyle w:val="6"/>
        <w:ind w:firstLine="480"/>
      </w:pPr>
      <w:r>
        <w:t>（2）合作办学</w:t>
      </w:r>
    </w:p>
    <w:p>
      <w:pPr>
        <w:ind w:firstLine="480" w:firstLineChars="200"/>
      </w:pPr>
      <w:r>
        <w:t>为了提高学生动手能力、科技创新能力、工程实践能力，在10门必修课（建筑材料、工程水文与水力计算、土力学、钢筋混凝土结构、工程造价与招投标、水工建筑物、水泵与水泵站、农田水利学、水利工程施工、水利水电工程研究进展）中增加了企业人员进课堂的教学环节，并补充在2018版大纲中。由一线工作人员对相关课程的某些部分，以专题或案例的形式进行讲解。这种丰富的教学方式具有更贴近工程类专业的实践性特点，有助于学生了解知识点在工程实际中的使用方法和作用以及工程中的常见问题。</w:t>
      </w:r>
    </w:p>
    <w:p>
      <w:pPr>
        <w:ind w:firstLine="480" w:firstLineChars="200"/>
      </w:pPr>
      <w:r>
        <w:t>与山东水利职业技术学院联合培养水利水电工程专业</w:t>
      </w:r>
      <w:r>
        <w:rPr>
          <w:rFonts w:hint="eastAsia"/>
        </w:rPr>
        <w:t>“</w:t>
      </w:r>
      <w:r>
        <w:t>3+2</w:t>
      </w:r>
      <w:r>
        <w:rPr>
          <w:rFonts w:hint="eastAsia"/>
        </w:rPr>
        <w:t>”</w:t>
      </w:r>
      <w:r>
        <w:t>对口贯通分段人才培养试点专业，2022年迎来第四批35名学生。新招收5名水利水电工程定向（济宁）公费农科生。</w:t>
      </w:r>
    </w:p>
    <w:p>
      <w:pPr>
        <w:pStyle w:val="6"/>
        <w:ind w:firstLine="480"/>
      </w:pPr>
      <w:r>
        <w:t>（3）教学管理</w:t>
      </w:r>
    </w:p>
    <w:p>
      <w:pPr>
        <w:ind w:firstLine="480" w:firstLineChars="200"/>
      </w:pPr>
      <w:r>
        <w:t>本专业建立了校、院两级教学过程质量监控机制，从教学管理与教学组织、培养目标、毕业要求与课程体系、教学质量监控与评价反馈等诸多方面实施</w:t>
      </w:r>
      <w:r>
        <w:rPr>
          <w:rFonts w:hint="eastAsia"/>
        </w:rPr>
        <w:t>“</w:t>
      </w:r>
      <w:r>
        <w:t>监测控制-评价分析-持续改进</w:t>
      </w:r>
      <w:r>
        <w:rPr>
          <w:rFonts w:hint="eastAsia"/>
        </w:rPr>
        <w:t>”</w:t>
      </w:r>
      <w:r>
        <w:t>的动态机制，以确保本专业的毕业要求达成和培养目标实现。在培养方案的制定与修订、课程教学大纲编制和审查、课程教学日历、教学准备、课堂教学和实践教学、试卷命题和审核、考试考核和试卷分析、成绩评定和档案管理、毕业设计等各主要教学环节均建立了与毕业要求相关联的质量标准，规定了明确的质量要求。定期开展面向产出的课程体系合理性评价和课程质量评价，建立了以教学质量监控和课程质量评价为核心的毕业要求达成度评价机制。对毕业要求达成情况进行综合评价，对评价结果进行深入分析，并将分析结果用于各教学环节的持续改进。</w:t>
      </w:r>
    </w:p>
    <w:p>
      <w:pPr>
        <w:pStyle w:val="5"/>
        <w:spacing w:before="93" w:after="93"/>
        <w:ind w:firstLine="560"/>
      </w:pPr>
      <w:bookmarkStart w:id="640" w:name="_Toc19452"/>
      <w:r>
        <w:t>五</w:t>
      </w:r>
      <w:r>
        <w:rPr>
          <w:rFonts w:hint="eastAsia"/>
        </w:rPr>
        <w:t>、</w:t>
      </w:r>
      <w:r>
        <w:t>培养质量（毕业生就业率、就业专业对口率、毕业生发展情况、就业单位满意率、社会对专业的评价、学生就读该专业的意愿等）</w:t>
      </w:r>
      <w:bookmarkEnd w:id="640"/>
    </w:p>
    <w:p>
      <w:pPr>
        <w:ind w:firstLine="480" w:firstLineChars="200"/>
      </w:pPr>
      <w:r>
        <w:t>本专业毕业生就业率和就业质量在全校名列前茅，本专业2022届毕业生共计154人，其中男生112人，占比72.8%，女生42人，占比27.2%；省内生源145人，占比94.2%，省外生源9人，占比5.8%，省外生源主要集中在湖北省、青海省、湖南省等。从民族结构看，2022届毕业生以汉族为主，共153人，占比99.4%；少数民族共1人，占比0.6%，包括回族1个民族。截止2022年8月31日，毕业生就业136人，毕业去向落实率为88.31%，其中男生就业101人，毕业去向落实率为90.17%，女生就业35人，毕业去向落实率为83.33%。毕业留鲁就业人数为87人，占比64.00%，泰安市就业人数占比最多，高达22.6%，省外就业人数为49人，占比36.02%，主要流向陕西省、江苏省、新疆省等省份。其中1名学生保送至清华大学深造。</w:t>
      </w:r>
    </w:p>
    <w:p>
      <w:pPr>
        <w:ind w:firstLine="480" w:firstLineChars="200"/>
      </w:pPr>
      <w:r>
        <w:t>水利土木工程学院成立了培养方案修订工作小组，对水利水电工程往届毕业生进行跟踪调查，建立了毕业生跟踪反馈机制和有关社会各方参与的社会评价机制，采用调查问卷间接定量和座谈会直接定性的手段，每3年收集一次培养目标达成情况数据，以便对培养目标的达成情况进行分析。其中参与调查的毕业生用人单位不少于20家，参与调查的毕业生人数不少于本年级总人数的50%，参与调查的校外专家人数不少于10人。调查内容包括毕业生的工作状况、对专业教学、专业课程、实践教学环节设置以及培养目标的认同程度等，调查结果主要用于培养目标及其培养方案的修订。</w:t>
      </w:r>
    </w:p>
    <w:p>
      <w:pPr>
        <w:ind w:firstLine="480" w:firstLineChars="200"/>
      </w:pPr>
      <w:r>
        <w:t>水利水电工程专业作为学校工科类专业中的优势专业，生源质量高，招生情况良好，2022年2020级计划人数96人，转入2人，转出2人。</w:t>
      </w:r>
    </w:p>
    <w:p>
      <w:pPr>
        <w:pStyle w:val="5"/>
        <w:spacing w:before="93" w:after="93"/>
        <w:ind w:firstLine="560"/>
      </w:pPr>
      <w:bookmarkStart w:id="641" w:name="_Toc17673"/>
      <w:r>
        <w:t>六</w:t>
      </w:r>
      <w:r>
        <w:rPr>
          <w:rFonts w:hint="eastAsia"/>
        </w:rPr>
        <w:t>、</w:t>
      </w:r>
      <w:r>
        <w:t>毕业生就业创业（创业情况、采取的措施、典型案例等）</w:t>
      </w:r>
      <w:bookmarkEnd w:id="641"/>
    </w:p>
    <w:p>
      <w:pPr>
        <w:ind w:firstLine="480" w:firstLineChars="200"/>
      </w:pPr>
      <w:r>
        <w:t>学校历来高度重视学生工程实践能力和创新能力的培养，并制定了一系列的政策和规章制度，创造条件为学生提供多样化、多层次的实践平台，如大学生创新创业孵化基地、大学生创业服务中心等。本专业为支持学生创新创业活动，目前拥有山东省农田水利工程技术研究中心、水利土木工程教学实验中心和山东农业大学勘察设计研究院等实践创新平台。水利土木工程教学实验中心制定实验中心开发管理办法，全方位开放服务专业学生的创新创业实践活动。</w:t>
      </w:r>
    </w:p>
    <w:p>
      <w:pPr>
        <w:pStyle w:val="5"/>
        <w:spacing w:before="93" w:after="93"/>
        <w:ind w:firstLine="560"/>
      </w:pPr>
      <w:bookmarkStart w:id="642" w:name="_Toc6883"/>
      <w:r>
        <w:t>七</w:t>
      </w:r>
      <w:r>
        <w:rPr>
          <w:rFonts w:hint="eastAsia"/>
        </w:rPr>
        <w:t>、</w:t>
      </w:r>
      <w:r>
        <w:t>专业发展趋势及建议</w:t>
      </w:r>
      <w:bookmarkEnd w:id="642"/>
    </w:p>
    <w:p>
      <w:pPr>
        <w:ind w:firstLine="480" w:firstLineChars="200"/>
      </w:pPr>
      <w:r>
        <w:t>当前和今后一个时期，我国水利改革发展的总基调已经将工作重心转到水利工程补短板、水利行业强监管上来，以缓解人民群众对水资源、水生态、水环境的需求与水利行业监管能力不足的矛盾。未来我国在水能资源的开发利用、防洪工程的建设与完善、节水供水工程建设、生态修复工程建设与水利信息化建设等领域仍然需要大量的水利水电工程技术人才。因此该专业具有良好的发展前景，很高的社会效益和广阔的就业前景。</w:t>
      </w:r>
    </w:p>
    <w:p>
      <w:pPr>
        <w:ind w:firstLine="480" w:firstLineChars="200"/>
      </w:pPr>
      <w:r>
        <w:t>随着国家十四五规划的实施，以及山东水利发展的需求，水利工程类工程技术人员又有了更大的发展平台新时期对本专业人才培养也提出了一些新的要求，包括：服务领域拓展到与水利行业监管相关，对学生要求为具有国际视野、懂专业、懂管理、懂经济、善于合作与创新的综合素质人才，尤其需要掌握智慧化、信息化等方面的知识，需要具备一定的学科交叉知识，因此本专业需要修订培养方案，并增设相关的新型课程，并加大实践环节的比例，为山东乃至全国的水利事业发展作用应有的贡献。</w:t>
      </w:r>
    </w:p>
    <w:p>
      <w:pPr>
        <w:pStyle w:val="5"/>
        <w:spacing w:before="93" w:after="93"/>
        <w:ind w:firstLine="560"/>
      </w:pPr>
      <w:bookmarkStart w:id="643" w:name="_Toc26815"/>
      <w:r>
        <w:t>八</w:t>
      </w:r>
      <w:r>
        <w:rPr>
          <w:rFonts w:hint="eastAsia"/>
        </w:rPr>
        <w:t>、</w:t>
      </w:r>
      <w:r>
        <w:t>存在的问题及整改措施</w:t>
      </w:r>
      <w:bookmarkEnd w:id="643"/>
    </w:p>
    <w:p>
      <w:pPr>
        <w:ind w:firstLine="480" w:firstLineChars="200"/>
      </w:pPr>
      <w:r>
        <w:t>1.目前仍需引进高水平学科带头人，进一步增加本专业教师出国进修、实践锻炼的比例和资助经费。</w:t>
      </w:r>
    </w:p>
    <w:p>
      <w:pPr>
        <w:ind w:firstLine="480" w:firstLineChars="200"/>
      </w:pPr>
      <w:r>
        <w:t>2.国家也对高校科研和教学设备进行了投入，但仍需进一步加大实践教学环节的经费投入。</w:t>
      </w:r>
    </w:p>
    <w:p>
      <w:pPr>
        <w:ind w:firstLine="480" w:firstLineChars="200"/>
      </w:pPr>
      <w:r>
        <w:t>3.针对国家级一流专业建设的目标和任务，仍需进一步对培养方案、毕业要求和课程体系进行修订，4.3+2转专业学生、公费农科生的培养方案也需要进一步修订。</w:t>
      </w:r>
    </w:p>
    <w:p>
      <w:r>
        <w:br w:type="page"/>
      </w:r>
    </w:p>
    <w:p>
      <w:pPr>
        <w:pStyle w:val="4"/>
        <w:ind w:firstLine="600"/>
      </w:pPr>
      <w:bookmarkStart w:id="644" w:name="_Toc4956"/>
      <w:r>
        <w:t>专业</w:t>
      </w:r>
      <w:r>
        <w:rPr>
          <w:lang w:val="en-US"/>
        </w:rPr>
        <w:t>六十</w:t>
      </w:r>
      <w:r>
        <w:rPr>
          <w:rFonts w:hint="eastAsia"/>
          <w:lang w:val="en-US"/>
        </w:rPr>
        <w:t>四</w:t>
      </w:r>
      <w:r>
        <w:t>：水文与水资源工程</w:t>
      </w:r>
      <w:bookmarkEnd w:id="644"/>
    </w:p>
    <w:p>
      <w:pPr>
        <w:pStyle w:val="5"/>
        <w:spacing w:before="93" w:after="93"/>
        <w:ind w:firstLine="560"/>
      </w:pPr>
      <w:r>
        <w:t>一、人才培养目标</w:t>
      </w:r>
    </w:p>
    <w:p>
      <w:pPr>
        <w:ind w:firstLine="480"/>
        <w:rPr>
          <w:bCs/>
          <w:kern w:val="0"/>
          <w:szCs w:val="24"/>
        </w:rPr>
      </w:pPr>
      <w:r>
        <w:rPr>
          <w:bCs/>
          <w:kern w:val="0"/>
          <w:szCs w:val="24"/>
        </w:rPr>
        <w:t>面向国家水文现代化建设和水资源安全战略，紧密结合黄河流域生态保护和高质量发展对水资源节约集约利用与刚性约束需求，依托学校优势学科和平台，以</w:t>
      </w:r>
      <w:r>
        <w:rPr>
          <w:rFonts w:hint="eastAsia"/>
          <w:bCs/>
          <w:kern w:val="0"/>
          <w:szCs w:val="24"/>
        </w:rPr>
        <w:t>“</w:t>
      </w:r>
      <w:r>
        <w:rPr>
          <w:bCs/>
          <w:kern w:val="0"/>
          <w:szCs w:val="24"/>
        </w:rPr>
        <w:t>立德树人</w:t>
      </w:r>
      <w:r>
        <w:rPr>
          <w:rFonts w:hint="eastAsia"/>
          <w:bCs/>
          <w:kern w:val="0"/>
          <w:szCs w:val="24"/>
        </w:rPr>
        <w:t>”</w:t>
      </w:r>
      <w:r>
        <w:rPr>
          <w:bCs/>
          <w:kern w:val="0"/>
          <w:szCs w:val="24"/>
        </w:rPr>
        <w:t>为根本任务，秉承</w:t>
      </w:r>
      <w:r>
        <w:rPr>
          <w:rFonts w:hint="eastAsia"/>
          <w:bCs/>
          <w:kern w:val="0"/>
          <w:szCs w:val="24"/>
        </w:rPr>
        <w:t>“</w:t>
      </w:r>
      <w:r>
        <w:rPr>
          <w:bCs/>
          <w:kern w:val="0"/>
          <w:szCs w:val="24"/>
        </w:rPr>
        <w:t>科学发展、内涵发展、特色发展</w:t>
      </w:r>
      <w:r>
        <w:rPr>
          <w:rFonts w:hint="eastAsia"/>
          <w:bCs/>
          <w:kern w:val="0"/>
          <w:szCs w:val="24"/>
        </w:rPr>
        <w:t>”</w:t>
      </w:r>
      <w:r>
        <w:rPr>
          <w:bCs/>
          <w:kern w:val="0"/>
          <w:szCs w:val="24"/>
        </w:rPr>
        <w:t>的专业培养理念，本专业培养从事现代水文信息技术、水资源调查评价与优化配置、地下水勘探、水工程规划与管理等方面的创新型、专业型高级水科学技术人才，在行业发展中发挥引领作用，并具有较强国内外影响力。</w:t>
      </w:r>
    </w:p>
    <w:p>
      <w:pPr>
        <w:ind w:firstLine="480"/>
        <w:rPr>
          <w:bCs/>
          <w:kern w:val="0"/>
          <w:szCs w:val="24"/>
        </w:rPr>
      </w:pPr>
      <w:r>
        <w:rPr>
          <w:bCs/>
          <w:kern w:val="0"/>
          <w:szCs w:val="24"/>
        </w:rPr>
        <w:t>学生毕业后具有深厚的人文底蕴、扎实的自然科学知识，较强的外语、计算机应用等方面的能力。系统掌握水文学、水资源学、水资源规划与管理、地下水科学及水环境等方面的专业基础知识和理论，能够从事流域、区域水文信息处理与应用、水资源勘测、评价、规划与管理、地下水勘探等方面的研究和开发。毕业后可在水利、水务、环境、国土、地勘等部门从事专业技术应用与研究。</w:t>
      </w:r>
    </w:p>
    <w:p>
      <w:pPr>
        <w:ind w:firstLine="480"/>
        <w:rPr>
          <w:bCs/>
          <w:kern w:val="0"/>
          <w:szCs w:val="24"/>
        </w:rPr>
      </w:pPr>
      <w:r>
        <w:rPr>
          <w:bCs/>
          <w:kern w:val="0"/>
          <w:szCs w:val="24"/>
        </w:rPr>
        <w:t xml:space="preserve">本专业毕业生经过5年左右的职业历练，将达成以下培养目标： </w:t>
      </w:r>
    </w:p>
    <w:p>
      <w:pPr>
        <w:ind w:firstLine="480"/>
        <w:rPr>
          <w:bCs/>
          <w:kern w:val="0"/>
          <w:szCs w:val="24"/>
        </w:rPr>
      </w:pPr>
      <w:r>
        <w:rPr>
          <w:bCs/>
          <w:kern w:val="0"/>
          <w:szCs w:val="24"/>
        </w:rPr>
        <w:t>培养目标1：熟悉现代水信息应用、水资源优化配置与工程规划、地下水勘勘探、水环境保护与治理等领域现有技术和工程应用的基础上，不断追踪和掌握本领域的新理论与新方法，具有自主创新能力和持续学习能力；</w:t>
      </w:r>
    </w:p>
    <w:p>
      <w:pPr>
        <w:ind w:firstLine="480"/>
        <w:rPr>
          <w:bCs/>
          <w:kern w:val="0"/>
          <w:szCs w:val="24"/>
        </w:rPr>
      </w:pPr>
      <w:r>
        <w:rPr>
          <w:bCs/>
          <w:kern w:val="0"/>
          <w:szCs w:val="24"/>
        </w:rPr>
        <w:t>培养目标2：综合运用水文模型、数值模拟、系统分析知识和技术规范，遵守职业道德，并考虑社会、法律、经济、环境及可持续发展等因素，借助现代工具，分析和解决流域产汇流与水资源演变、洪水预报与灾害防治、水源地勘察与供水安全等与专业职位相关的复杂工程问题；</w:t>
      </w:r>
    </w:p>
    <w:p>
      <w:pPr>
        <w:ind w:firstLine="480"/>
        <w:rPr>
          <w:bCs/>
          <w:kern w:val="0"/>
          <w:szCs w:val="24"/>
        </w:rPr>
      </w:pPr>
      <w:r>
        <w:rPr>
          <w:bCs/>
          <w:kern w:val="0"/>
          <w:szCs w:val="24"/>
        </w:rPr>
        <w:t>培养目标3：熟悉多学科背景下的水安全与管理知识，适应独立和团队的工作环境，在专业领域中具有良好的组织和领导能力；</w:t>
      </w:r>
    </w:p>
    <w:p>
      <w:pPr>
        <w:keepLines w:val="0"/>
        <w:pageBreakBefore w:val="0"/>
        <w:widowControl w:val="0"/>
        <w:kinsoku/>
        <w:wordWrap/>
        <w:overflowPunct/>
        <w:topLinePunct w:val="0"/>
        <w:autoSpaceDE/>
        <w:autoSpaceDN/>
        <w:bidi w:val="0"/>
        <w:adjustRightInd/>
        <w:snapToGrid/>
        <w:spacing w:line="390" w:lineRule="exact"/>
        <w:ind w:firstLine="480"/>
        <w:textAlignment w:val="auto"/>
        <w:rPr>
          <w:bCs/>
          <w:kern w:val="0"/>
          <w:szCs w:val="24"/>
        </w:rPr>
      </w:pPr>
      <w:r>
        <w:rPr>
          <w:bCs/>
          <w:kern w:val="0"/>
          <w:szCs w:val="24"/>
        </w:rPr>
        <w:t>培养目标4：具有一定的国际化视野，能在跨文化背景下与同行和社会公众进行水问题与水科学知识进行有效的沟通与交。</w:t>
      </w:r>
    </w:p>
    <w:p>
      <w:pPr>
        <w:pStyle w:val="5"/>
        <w:keepLines w:val="0"/>
        <w:pageBreakBefore w:val="0"/>
        <w:widowControl w:val="0"/>
        <w:kinsoku/>
        <w:wordWrap/>
        <w:overflowPunct/>
        <w:topLinePunct w:val="0"/>
        <w:autoSpaceDE/>
        <w:autoSpaceDN/>
        <w:bidi w:val="0"/>
        <w:adjustRightInd/>
        <w:snapToGrid/>
        <w:spacing w:before="93" w:after="93" w:line="390" w:lineRule="exact"/>
        <w:ind w:firstLine="560"/>
        <w:textAlignment w:val="auto"/>
      </w:pPr>
      <w:r>
        <w:t>二、培养能力（专业设置情况、在校生规模、课程设置情况、创新创业教育等）</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（一）专业设置情况</w:t>
      </w:r>
    </w:p>
    <w:p>
      <w:pPr>
        <w:keepLines w:val="0"/>
        <w:pageBreakBefore w:val="0"/>
        <w:widowControl w:val="0"/>
        <w:kinsoku/>
        <w:wordWrap/>
        <w:overflowPunct/>
        <w:topLinePunct w:val="0"/>
        <w:autoSpaceDE/>
        <w:autoSpaceDN/>
        <w:bidi w:val="0"/>
        <w:adjustRightInd/>
        <w:snapToGrid/>
        <w:spacing w:line="390" w:lineRule="exact"/>
        <w:ind w:firstLine="480"/>
        <w:textAlignment w:val="auto"/>
        <w:rPr>
          <w:bCs/>
          <w:kern w:val="0"/>
          <w:szCs w:val="24"/>
        </w:rPr>
      </w:pPr>
      <w:r>
        <w:rPr>
          <w:bCs/>
          <w:kern w:val="0"/>
          <w:szCs w:val="24"/>
        </w:rPr>
        <w:t>山东省最早设立的水文与水资源工程专业，至今已有66余年的发展历史。本专业可追溯到1955年山东省济南水利学校设立的陆地水文专业，1977年更名为水资源与水文，1994年为高教委高工专教学改革试点专业，1999年为山东省教学改革试点专业，2000年更名为水文与水资源工程，2005年为山东农业大学特色专业，2022年为山东省一流专业。依托本专业2006年设立了水文学及水资源硕士点，2010年设立水利工程领域专业学位点，2017年设立水利工程硕士点。</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（二）在校生规模</w:t>
      </w:r>
    </w:p>
    <w:p>
      <w:pPr>
        <w:keepLines w:val="0"/>
        <w:pageBreakBefore w:val="0"/>
        <w:widowControl w:val="0"/>
        <w:kinsoku/>
        <w:wordWrap/>
        <w:overflowPunct/>
        <w:topLinePunct w:val="0"/>
        <w:autoSpaceDE/>
        <w:autoSpaceDN/>
        <w:bidi w:val="0"/>
        <w:adjustRightInd/>
        <w:snapToGrid/>
        <w:spacing w:line="390" w:lineRule="exact"/>
        <w:ind w:firstLine="480"/>
        <w:textAlignment w:val="auto"/>
        <w:rPr>
          <w:bCs/>
          <w:kern w:val="0"/>
          <w:szCs w:val="24"/>
        </w:rPr>
      </w:pPr>
      <w:r>
        <w:rPr>
          <w:bCs/>
          <w:kern w:val="0"/>
          <w:szCs w:val="24"/>
        </w:rPr>
        <w:t>目前，本专业在校有2019级-2022级4个年级6+4（2022级水利类）个教学班。其中，2019级57人、2020级52人、2021级55人，2022级为大类招生，人数需待专业分流后确定。</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（三）课程设置情况</w:t>
      </w:r>
    </w:p>
    <w:p>
      <w:pPr>
        <w:keepLines w:val="0"/>
        <w:pageBreakBefore w:val="0"/>
        <w:widowControl w:val="0"/>
        <w:kinsoku/>
        <w:wordWrap/>
        <w:overflowPunct/>
        <w:topLinePunct w:val="0"/>
        <w:autoSpaceDE/>
        <w:autoSpaceDN/>
        <w:bidi w:val="0"/>
        <w:adjustRightInd/>
        <w:snapToGrid/>
        <w:spacing w:line="390" w:lineRule="exact"/>
        <w:ind w:firstLine="480"/>
        <w:textAlignment w:val="auto"/>
        <w:rPr>
          <w:bCs/>
          <w:kern w:val="0"/>
          <w:szCs w:val="24"/>
        </w:rPr>
      </w:pPr>
      <w:r>
        <w:rPr>
          <w:bCs/>
          <w:kern w:val="0"/>
          <w:szCs w:val="24"/>
        </w:rPr>
        <w:t>本专业在现代水科学理论指导以解决水下，围绕水灾害防治、水资源开发利用与保护、水环境与水生态三大核心，按照通识课程、专业基础课程和专业核心课程三个培养课程模块进行课程设置。其基础和专业课程主要开设水力学、水利工程制图、水文学原理、地貌与第四纪地质学、水文水利计算、水信息技术、水文预报、水文地质学基础、地下水动力学、水环境保护、建设项目涉水论证等课程。在系统学习上述理论课程同时，还要接受必要的规划、设计、管理和科学研究方法的基础训练，从而具备分析解决水文、水资源和水环境领域的实际水问题的基本能力。</w:t>
      </w:r>
    </w:p>
    <w:p>
      <w:pPr>
        <w:keepLines w:val="0"/>
        <w:pageBreakBefore w:val="0"/>
        <w:widowControl w:val="0"/>
        <w:kinsoku/>
        <w:wordWrap/>
        <w:overflowPunct/>
        <w:topLinePunct w:val="0"/>
        <w:autoSpaceDE/>
        <w:autoSpaceDN/>
        <w:bidi w:val="0"/>
        <w:adjustRightInd/>
        <w:snapToGrid/>
        <w:spacing w:line="390" w:lineRule="exact"/>
        <w:ind w:firstLine="480"/>
        <w:textAlignment w:val="auto"/>
        <w:rPr>
          <w:bCs/>
          <w:kern w:val="0"/>
          <w:szCs w:val="24"/>
        </w:rPr>
      </w:pPr>
      <w:r>
        <w:rPr>
          <w:bCs/>
          <w:kern w:val="0"/>
          <w:szCs w:val="24"/>
        </w:rPr>
        <w:t>学生应获得的知识和能力：</w:t>
      </w:r>
    </w:p>
    <w:p>
      <w:pPr>
        <w:pStyle w:val="6"/>
        <w:keepLines w:val="0"/>
        <w:pageBreakBefore w:val="0"/>
        <w:widowControl w:val="0"/>
        <w:kinsoku/>
        <w:wordWrap/>
        <w:overflowPunct/>
        <w:topLinePunct w:val="0"/>
        <w:autoSpaceDE/>
        <w:autoSpaceDN/>
        <w:bidi w:val="0"/>
        <w:adjustRightInd/>
        <w:snapToGrid/>
        <w:spacing w:line="390" w:lineRule="exact"/>
        <w:ind w:firstLine="482"/>
        <w:textAlignment w:val="auto"/>
        <w:rPr>
          <w:rFonts w:eastAsia="宋体"/>
          <w:b/>
          <w:bCs/>
          <w:szCs w:val="24"/>
        </w:rPr>
      </w:pPr>
      <w:r>
        <w:rPr>
          <w:rFonts w:eastAsia="宋体"/>
          <w:b/>
          <w:bCs/>
          <w:szCs w:val="24"/>
        </w:rPr>
        <w:t>工程知识：</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rPr>
          <w:rFonts w:eastAsia="宋体"/>
          <w:bCs/>
          <w:szCs w:val="24"/>
        </w:rPr>
      </w:pPr>
      <w:r>
        <w:rPr>
          <w:rFonts w:eastAsia="宋体"/>
          <w:bCs/>
          <w:szCs w:val="24"/>
        </w:rPr>
        <w:t>能够熟练掌握流域产汇流计算、水文水利计算、水资源优化、渗流计算所需的数学、自然科学、工程基础和专业知识，用于解决本领域复杂工程问题。</w:t>
      </w:r>
    </w:p>
    <w:p>
      <w:pPr>
        <w:pStyle w:val="6"/>
        <w:keepLines w:val="0"/>
        <w:pageBreakBefore w:val="0"/>
        <w:widowControl w:val="0"/>
        <w:kinsoku/>
        <w:wordWrap/>
        <w:overflowPunct/>
        <w:topLinePunct w:val="0"/>
        <w:autoSpaceDE/>
        <w:autoSpaceDN/>
        <w:bidi w:val="0"/>
        <w:adjustRightInd/>
        <w:snapToGrid/>
        <w:spacing w:line="390" w:lineRule="exact"/>
        <w:ind w:firstLine="482"/>
        <w:textAlignment w:val="auto"/>
        <w:rPr>
          <w:rFonts w:eastAsia="宋体"/>
          <w:b/>
          <w:bCs/>
          <w:szCs w:val="24"/>
        </w:rPr>
      </w:pPr>
      <w:r>
        <w:rPr>
          <w:rFonts w:eastAsia="宋体"/>
          <w:b/>
          <w:bCs/>
          <w:szCs w:val="24"/>
        </w:rPr>
        <w:t>问题分析：</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rPr>
          <w:rFonts w:eastAsia="宋体"/>
          <w:bCs/>
          <w:szCs w:val="24"/>
        </w:rPr>
      </w:pPr>
      <w:r>
        <w:rPr>
          <w:rFonts w:eastAsia="宋体"/>
          <w:bCs/>
          <w:szCs w:val="24"/>
        </w:rPr>
        <w:t>能够应用数学、自然科学和工程科学的基本原理，识别、表达、并通过文献研究分析流域产汇流与水资源演变、洪水预报与灾害防治、水源地勘察与供水安全等复杂工程问题，以获得准确有效的结论。</w:t>
      </w:r>
    </w:p>
    <w:p>
      <w:pPr>
        <w:pStyle w:val="6"/>
        <w:keepLines w:val="0"/>
        <w:pageBreakBefore w:val="0"/>
        <w:widowControl w:val="0"/>
        <w:kinsoku/>
        <w:wordWrap/>
        <w:overflowPunct/>
        <w:topLinePunct w:val="0"/>
        <w:autoSpaceDE/>
        <w:autoSpaceDN/>
        <w:bidi w:val="0"/>
        <w:adjustRightInd/>
        <w:snapToGrid/>
        <w:spacing w:line="390" w:lineRule="exact"/>
        <w:ind w:firstLine="482"/>
        <w:textAlignment w:val="auto"/>
        <w:rPr>
          <w:rFonts w:eastAsia="宋体"/>
          <w:b/>
          <w:bCs/>
          <w:szCs w:val="24"/>
        </w:rPr>
      </w:pPr>
      <w:r>
        <w:rPr>
          <w:rFonts w:eastAsia="宋体"/>
          <w:b/>
          <w:bCs/>
          <w:szCs w:val="24"/>
        </w:rPr>
        <w:t>设计/开发解决方案：</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rPr>
          <w:rFonts w:eastAsia="宋体"/>
          <w:bCs/>
          <w:szCs w:val="24"/>
        </w:rPr>
      </w:pPr>
      <w:r>
        <w:rPr>
          <w:rFonts w:eastAsia="宋体"/>
          <w:bCs/>
          <w:szCs w:val="24"/>
        </w:rPr>
        <w:t>能够综合应用专业理论与技术手段，设计针对水利工程设计中的水文分析与计算、洪水预报、水资源优化与配置等各个环节中复杂工程问题的解决方案，并能够在设计环节中体现创新意识，综合考虑社会、健康、安全、法律、文化以及环境等因素对项目进行评价。</w:t>
      </w:r>
    </w:p>
    <w:p>
      <w:pPr>
        <w:pStyle w:val="6"/>
        <w:keepLines w:val="0"/>
        <w:pageBreakBefore w:val="0"/>
        <w:widowControl w:val="0"/>
        <w:kinsoku/>
        <w:wordWrap/>
        <w:overflowPunct/>
        <w:topLinePunct w:val="0"/>
        <w:autoSpaceDE/>
        <w:autoSpaceDN/>
        <w:bidi w:val="0"/>
        <w:adjustRightInd/>
        <w:snapToGrid/>
        <w:spacing w:line="390" w:lineRule="exact"/>
        <w:ind w:firstLine="482"/>
        <w:textAlignment w:val="auto"/>
        <w:rPr>
          <w:rFonts w:eastAsia="宋体"/>
          <w:b/>
          <w:bCs/>
          <w:szCs w:val="24"/>
        </w:rPr>
      </w:pPr>
      <w:r>
        <w:rPr>
          <w:rFonts w:eastAsia="宋体"/>
          <w:b/>
          <w:bCs/>
          <w:szCs w:val="24"/>
        </w:rPr>
        <w:t>研究：</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rPr>
          <w:rFonts w:eastAsia="宋体"/>
          <w:bCs/>
          <w:szCs w:val="24"/>
        </w:rPr>
      </w:pPr>
      <w:r>
        <w:rPr>
          <w:rFonts w:eastAsia="宋体"/>
          <w:bCs/>
          <w:szCs w:val="24"/>
        </w:rPr>
        <w:t>能够基于科学原理并采用科学方法对流域产汇流机制、地下水渗流理论、水资源优化配置等复杂工程问题进行研究，包括设计实验与实施、分析与解释实验数据，并通过信息综合得到合理有效的结论。</w:t>
      </w:r>
    </w:p>
    <w:p>
      <w:pPr>
        <w:pStyle w:val="6"/>
        <w:keepLines w:val="0"/>
        <w:pageBreakBefore w:val="0"/>
        <w:widowControl w:val="0"/>
        <w:kinsoku/>
        <w:wordWrap/>
        <w:overflowPunct/>
        <w:topLinePunct w:val="0"/>
        <w:autoSpaceDE/>
        <w:autoSpaceDN/>
        <w:bidi w:val="0"/>
        <w:adjustRightInd/>
        <w:snapToGrid/>
        <w:spacing w:line="390" w:lineRule="exact"/>
        <w:ind w:firstLine="482"/>
        <w:textAlignment w:val="auto"/>
        <w:rPr>
          <w:rFonts w:eastAsia="宋体"/>
          <w:b/>
          <w:bCs/>
          <w:szCs w:val="24"/>
        </w:rPr>
      </w:pPr>
      <w:r>
        <w:rPr>
          <w:rFonts w:eastAsia="宋体"/>
          <w:b/>
          <w:bCs/>
          <w:szCs w:val="24"/>
        </w:rPr>
        <w:t>使用现代工具：</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rPr>
          <w:rFonts w:eastAsia="宋体"/>
          <w:bCs/>
          <w:szCs w:val="24"/>
        </w:rPr>
      </w:pPr>
      <w:r>
        <w:rPr>
          <w:rFonts w:eastAsia="宋体"/>
          <w:bCs/>
          <w:szCs w:val="24"/>
        </w:rPr>
        <w:t>能够合理的开发、选择与使用恰当的技术、资源、现代工程工具和信息技术工具，用于解决水文物理规律认识、水资源形成运动与分布、地下水补给-径流-排泄过程等复杂工程问题，能对复杂工程问题进行预测与模拟，且能够理解其局限性。</w:t>
      </w:r>
    </w:p>
    <w:p>
      <w:pPr>
        <w:pStyle w:val="6"/>
        <w:keepLines w:val="0"/>
        <w:pageBreakBefore w:val="0"/>
        <w:widowControl w:val="0"/>
        <w:kinsoku/>
        <w:wordWrap/>
        <w:overflowPunct/>
        <w:topLinePunct w:val="0"/>
        <w:autoSpaceDE/>
        <w:autoSpaceDN/>
        <w:bidi w:val="0"/>
        <w:adjustRightInd/>
        <w:snapToGrid/>
        <w:spacing w:line="390" w:lineRule="exact"/>
        <w:ind w:firstLine="482"/>
        <w:textAlignment w:val="auto"/>
        <w:rPr>
          <w:rFonts w:eastAsia="宋体"/>
          <w:b/>
          <w:bCs/>
          <w:szCs w:val="24"/>
        </w:rPr>
      </w:pPr>
      <w:r>
        <w:rPr>
          <w:rFonts w:eastAsia="宋体"/>
          <w:b/>
          <w:bCs/>
          <w:szCs w:val="24"/>
        </w:rPr>
        <w:t>工程与社会：</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rPr>
          <w:rFonts w:eastAsia="宋体"/>
          <w:bCs/>
          <w:szCs w:val="24"/>
        </w:rPr>
      </w:pPr>
      <w:r>
        <w:rPr>
          <w:rFonts w:eastAsia="宋体"/>
          <w:bCs/>
          <w:szCs w:val="24"/>
        </w:rPr>
        <w:t>能够基于工程经济学、生态学、水文学等相关背景知识进行合理分析，评价专业工程实践和复杂工程问题解决方案对社会、健康、安全、法律、文化以及经济的影响，并理解应承担的责任。</w:t>
      </w:r>
    </w:p>
    <w:p>
      <w:pPr>
        <w:pStyle w:val="6"/>
        <w:keepLines w:val="0"/>
        <w:pageBreakBefore w:val="0"/>
        <w:widowControl w:val="0"/>
        <w:kinsoku/>
        <w:wordWrap/>
        <w:overflowPunct/>
        <w:topLinePunct w:val="0"/>
        <w:autoSpaceDE/>
        <w:autoSpaceDN/>
        <w:bidi w:val="0"/>
        <w:adjustRightInd/>
        <w:snapToGrid/>
        <w:spacing w:line="390" w:lineRule="exact"/>
        <w:ind w:firstLine="482"/>
        <w:textAlignment w:val="auto"/>
        <w:rPr>
          <w:rFonts w:eastAsia="宋体"/>
          <w:b/>
          <w:bCs/>
          <w:szCs w:val="24"/>
        </w:rPr>
      </w:pPr>
      <w:r>
        <w:rPr>
          <w:rFonts w:eastAsia="宋体"/>
          <w:b/>
          <w:bCs/>
          <w:szCs w:val="24"/>
        </w:rPr>
        <w:t>环境和可持续发展：</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rPr>
          <w:rFonts w:eastAsia="宋体"/>
          <w:bCs/>
          <w:szCs w:val="24"/>
        </w:rPr>
      </w:pPr>
      <w:r>
        <w:rPr>
          <w:rFonts w:eastAsia="宋体"/>
          <w:bCs/>
          <w:szCs w:val="24"/>
        </w:rPr>
        <w:t>能够正确理解和评价跨流域、区域水资源调度与配置复杂工程问题的工程实践对环境、生态和社会可持续发展的影响。</w:t>
      </w:r>
    </w:p>
    <w:p>
      <w:pPr>
        <w:pStyle w:val="6"/>
        <w:keepLines w:val="0"/>
        <w:pageBreakBefore w:val="0"/>
        <w:widowControl w:val="0"/>
        <w:kinsoku/>
        <w:wordWrap/>
        <w:overflowPunct/>
        <w:topLinePunct w:val="0"/>
        <w:autoSpaceDE/>
        <w:autoSpaceDN/>
        <w:bidi w:val="0"/>
        <w:adjustRightInd/>
        <w:snapToGrid/>
        <w:spacing w:line="390" w:lineRule="exact"/>
        <w:ind w:firstLine="482"/>
        <w:textAlignment w:val="auto"/>
        <w:rPr>
          <w:rFonts w:eastAsia="宋体"/>
          <w:b/>
          <w:bCs/>
          <w:szCs w:val="24"/>
        </w:rPr>
      </w:pPr>
      <w:r>
        <w:rPr>
          <w:rFonts w:eastAsia="宋体"/>
          <w:b/>
          <w:bCs/>
          <w:szCs w:val="24"/>
        </w:rPr>
        <w:t>职业规范：</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rPr>
          <w:rFonts w:eastAsia="宋体"/>
          <w:bCs/>
          <w:szCs w:val="24"/>
        </w:rPr>
      </w:pPr>
      <w:r>
        <w:rPr>
          <w:rFonts w:eastAsia="宋体"/>
          <w:bCs/>
          <w:szCs w:val="24"/>
        </w:rPr>
        <w:t>具有较好的人文社会科学素养、社会责任感，能够在水文行业与水管理实践中理解并遵守职业道德和行业规范，履行责任。</w:t>
      </w:r>
    </w:p>
    <w:p>
      <w:pPr>
        <w:pStyle w:val="6"/>
        <w:keepLines w:val="0"/>
        <w:pageBreakBefore w:val="0"/>
        <w:widowControl w:val="0"/>
        <w:kinsoku/>
        <w:wordWrap/>
        <w:overflowPunct/>
        <w:topLinePunct w:val="0"/>
        <w:autoSpaceDE/>
        <w:autoSpaceDN/>
        <w:bidi w:val="0"/>
        <w:adjustRightInd/>
        <w:snapToGrid/>
        <w:spacing w:line="390" w:lineRule="exact"/>
        <w:ind w:firstLine="482"/>
        <w:textAlignment w:val="auto"/>
        <w:rPr>
          <w:rFonts w:eastAsia="宋体"/>
          <w:b/>
          <w:bCs/>
          <w:szCs w:val="24"/>
        </w:rPr>
      </w:pPr>
      <w:r>
        <w:rPr>
          <w:rFonts w:eastAsia="宋体"/>
          <w:b/>
          <w:bCs/>
          <w:szCs w:val="24"/>
        </w:rPr>
        <w:t>个人和团队：</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rPr>
          <w:rFonts w:eastAsia="宋体"/>
          <w:bCs/>
          <w:szCs w:val="24"/>
        </w:rPr>
      </w:pPr>
      <w:r>
        <w:rPr>
          <w:rFonts w:eastAsia="宋体"/>
          <w:bCs/>
          <w:szCs w:val="24"/>
        </w:rPr>
        <w:t>具有良好的人际交往能力、团队协作精神和领导能力，能够在水利、环境、地质等多学科背景下的团队中开展工作，并承担个体、团队成员以及负责人的角色。</w:t>
      </w:r>
    </w:p>
    <w:p>
      <w:pPr>
        <w:pStyle w:val="6"/>
        <w:keepLines w:val="0"/>
        <w:pageBreakBefore w:val="0"/>
        <w:widowControl w:val="0"/>
        <w:kinsoku/>
        <w:wordWrap/>
        <w:overflowPunct/>
        <w:topLinePunct w:val="0"/>
        <w:autoSpaceDE/>
        <w:autoSpaceDN/>
        <w:bidi w:val="0"/>
        <w:adjustRightInd/>
        <w:snapToGrid/>
        <w:spacing w:line="390" w:lineRule="exact"/>
        <w:ind w:firstLine="482"/>
        <w:textAlignment w:val="auto"/>
        <w:rPr>
          <w:rFonts w:eastAsia="宋体"/>
          <w:b/>
          <w:bCs/>
          <w:szCs w:val="24"/>
        </w:rPr>
      </w:pPr>
      <w:r>
        <w:rPr>
          <w:rFonts w:eastAsia="宋体"/>
          <w:b/>
          <w:bCs/>
          <w:szCs w:val="24"/>
        </w:rPr>
        <w:t>沟通：</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rPr>
          <w:rFonts w:eastAsia="宋体"/>
          <w:bCs/>
          <w:szCs w:val="24"/>
        </w:rPr>
      </w:pPr>
      <w:r>
        <w:rPr>
          <w:rFonts w:eastAsia="宋体"/>
          <w:bCs/>
          <w:szCs w:val="24"/>
        </w:rPr>
        <w:t>具备良好的写作和语言表达能力，包括撰写报告和设计文稿、陈述发言、清晰表达或回应指令，能够就复杂水科学问题与业界同行及社会公众进行有效沟通和交流，并具备一定的国际视野，能够在跨文化背景下进行沟通和交流。</w:t>
      </w:r>
    </w:p>
    <w:p>
      <w:pPr>
        <w:pStyle w:val="6"/>
        <w:keepLines w:val="0"/>
        <w:pageBreakBefore w:val="0"/>
        <w:widowControl w:val="0"/>
        <w:kinsoku/>
        <w:wordWrap/>
        <w:overflowPunct/>
        <w:topLinePunct w:val="0"/>
        <w:autoSpaceDE/>
        <w:autoSpaceDN/>
        <w:bidi w:val="0"/>
        <w:adjustRightInd/>
        <w:snapToGrid/>
        <w:spacing w:line="390" w:lineRule="exact"/>
        <w:ind w:firstLine="482"/>
        <w:textAlignment w:val="auto"/>
        <w:rPr>
          <w:rFonts w:eastAsia="宋体"/>
          <w:b/>
          <w:bCs/>
          <w:szCs w:val="24"/>
        </w:rPr>
      </w:pPr>
      <w:r>
        <w:rPr>
          <w:rFonts w:eastAsia="宋体"/>
          <w:b/>
          <w:bCs/>
          <w:szCs w:val="24"/>
        </w:rPr>
        <w:t>项目管理：</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rPr>
          <w:rFonts w:eastAsia="宋体"/>
          <w:bCs/>
          <w:szCs w:val="24"/>
        </w:rPr>
      </w:pPr>
      <w:r>
        <w:rPr>
          <w:rFonts w:eastAsia="宋体"/>
          <w:bCs/>
          <w:szCs w:val="24"/>
        </w:rPr>
        <w:t>理解并掌握水安全与水管理相关的项目管理原理与经济决策方法，并能在多学科环境中应用。</w:t>
      </w:r>
    </w:p>
    <w:p>
      <w:pPr>
        <w:pStyle w:val="6"/>
        <w:keepLines w:val="0"/>
        <w:pageBreakBefore w:val="0"/>
        <w:widowControl w:val="0"/>
        <w:kinsoku/>
        <w:wordWrap/>
        <w:overflowPunct/>
        <w:topLinePunct w:val="0"/>
        <w:autoSpaceDE/>
        <w:autoSpaceDN/>
        <w:bidi w:val="0"/>
        <w:adjustRightInd/>
        <w:snapToGrid/>
        <w:spacing w:line="390" w:lineRule="exact"/>
        <w:ind w:firstLine="482"/>
        <w:textAlignment w:val="auto"/>
        <w:rPr>
          <w:rFonts w:eastAsia="宋体"/>
          <w:b/>
          <w:bCs/>
          <w:szCs w:val="24"/>
        </w:rPr>
      </w:pPr>
      <w:r>
        <w:rPr>
          <w:rFonts w:eastAsia="宋体"/>
          <w:b/>
          <w:bCs/>
          <w:szCs w:val="24"/>
        </w:rPr>
        <w:t>终身学习：</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rPr>
          <w:rFonts w:eastAsia="宋体"/>
          <w:bCs/>
          <w:szCs w:val="24"/>
        </w:rPr>
      </w:pPr>
      <w:r>
        <w:rPr>
          <w:rFonts w:eastAsia="宋体"/>
          <w:bCs/>
          <w:szCs w:val="24"/>
        </w:rPr>
        <w:t>具有自主学习和终身学习的意识，能够采用合适的自主学习方法不断学习，适应未来职业发展。</w:t>
      </w:r>
    </w:p>
    <w:p>
      <w:pPr>
        <w:pStyle w:val="6"/>
        <w:keepLines w:val="0"/>
        <w:pageBreakBefore w:val="0"/>
        <w:widowControl w:val="0"/>
        <w:kinsoku/>
        <w:wordWrap/>
        <w:overflowPunct/>
        <w:topLinePunct w:val="0"/>
        <w:autoSpaceDE/>
        <w:autoSpaceDN/>
        <w:bidi w:val="0"/>
        <w:adjustRightInd/>
        <w:snapToGrid/>
        <w:spacing w:line="390" w:lineRule="exact"/>
        <w:ind w:firstLine="480"/>
        <w:textAlignment w:val="auto"/>
      </w:pPr>
      <w:r>
        <w:t>（四）创新创业教育</w:t>
      </w:r>
    </w:p>
    <w:p>
      <w:pPr>
        <w:keepLines w:val="0"/>
        <w:pageBreakBefore w:val="0"/>
        <w:widowControl w:val="0"/>
        <w:kinsoku/>
        <w:wordWrap/>
        <w:overflowPunct/>
        <w:topLinePunct w:val="0"/>
        <w:autoSpaceDE/>
        <w:autoSpaceDN/>
        <w:bidi w:val="0"/>
        <w:adjustRightInd/>
        <w:snapToGrid/>
        <w:spacing w:line="390" w:lineRule="exact"/>
        <w:ind w:firstLine="480"/>
        <w:textAlignment w:val="auto"/>
        <w:rPr>
          <w:bCs/>
          <w:kern w:val="0"/>
          <w:szCs w:val="24"/>
        </w:rPr>
      </w:pPr>
      <w:r>
        <w:rPr>
          <w:bCs/>
          <w:kern w:val="0"/>
          <w:szCs w:val="24"/>
        </w:rPr>
        <w:t>水文与水资源工程专业学生创新创业教育通过任课教师积极鼓励带动作为推动方式，以实践方式作为体现，例如全国大学生创新设计大赛、挑战杯大学生创业计划竞赛、国家级大学生创新创业训练计划、山东省大学生创新创业大赛、泰安市大学生科技创新行动计划、大学生创新创业训练计划（SRT）项目、大学生就业指导课等形式，激发学生创新创业动力，培养学生创新创业意识和能力以及团队协作能力。通过创新创业教育，显著增强了学生对本专业的学习兴趣。如2020级水文与水资源工程专业的杨继祥、马秀雯等同学获得了第十七届届</w:t>
      </w:r>
      <w:r>
        <w:rPr>
          <w:rFonts w:hint="eastAsia"/>
          <w:bCs/>
          <w:kern w:val="0"/>
          <w:szCs w:val="24"/>
        </w:rPr>
        <w:t>“</w:t>
      </w:r>
      <w:r>
        <w:rPr>
          <w:bCs/>
          <w:kern w:val="0"/>
          <w:szCs w:val="24"/>
        </w:rPr>
        <w:t>挑战杯</w:t>
      </w:r>
      <w:r>
        <w:rPr>
          <w:rFonts w:hint="eastAsia"/>
          <w:bCs/>
          <w:kern w:val="0"/>
          <w:szCs w:val="24"/>
        </w:rPr>
        <w:t>”</w:t>
      </w:r>
      <w:r>
        <w:rPr>
          <w:bCs/>
          <w:kern w:val="0"/>
          <w:szCs w:val="24"/>
        </w:rPr>
        <w:t>·建设银行山东省大学生课外学术科技作品竞赛三等奖、2020级水文与水资源工程专业马秀雯等同学获得了第七届山东省大学生科技创新大赛三等奖。</w:t>
      </w:r>
    </w:p>
    <w:p>
      <w:pPr>
        <w:pStyle w:val="5"/>
        <w:spacing w:before="93" w:after="93"/>
        <w:ind w:firstLine="560"/>
      </w:pPr>
      <w:r>
        <w:t>三、培养条件（教学经费投入、教学设备、教师队伍建设、实习基地、现代教学技术应用等）</w:t>
      </w:r>
    </w:p>
    <w:p>
      <w:pPr>
        <w:pStyle w:val="6"/>
        <w:ind w:firstLine="480"/>
      </w:pPr>
      <w:r>
        <w:t>（一）教学设备</w:t>
      </w:r>
    </w:p>
    <w:p>
      <w:pPr>
        <w:ind w:firstLine="480"/>
        <w:rPr>
          <w:bCs/>
          <w:kern w:val="0"/>
          <w:szCs w:val="24"/>
        </w:rPr>
      </w:pPr>
      <w:r>
        <w:rPr>
          <w:bCs/>
          <w:kern w:val="0"/>
          <w:szCs w:val="24"/>
        </w:rPr>
        <w:t>水文与水资源工程专业目前拥有一个专业的水文与水资源研究所和水文地质实验室、水量测实验室、水文实验室、水质分析实验室6个实验室。其研究所下设地下水科学研究室、水文地球物理研究室、水资源规划论证研究室、水资源防洪减灾研究室、水资源研究室、水利工程经济研究室总计6个研究室。同时与其他专业共同利用的还有水利实验室（包括水力学、水工模型、水泵、节水实验室）、给排水实验室（包括微生物、净水、水处理）等多个实验室。实验室总面积近4000平方米，设备总价值1900余万元，总台数1500件，负责全院8个本科专业、3000名学生，40门课程的实验教学任务。水文与水资源专业的实验室每学年度承担的实验教学人时数26054人，本科生实验、实习、实训项目数52个，水利实验室每学年度承担的实验教学人时数34300人，本科生实验、实习、实训项目数42个，给排水实验室每学年度承担的实验教学人时数20013人，本科生实验、实习、实训项目数38个。</w:t>
      </w:r>
    </w:p>
    <w:p>
      <w:pPr>
        <w:pStyle w:val="6"/>
        <w:ind w:firstLine="480"/>
      </w:pPr>
      <w:r>
        <w:t>（二）教师队伍建设</w:t>
      </w:r>
    </w:p>
    <w:p>
      <w:pPr>
        <w:ind w:firstLine="480"/>
        <w:rPr>
          <w:bCs/>
          <w:kern w:val="0"/>
          <w:szCs w:val="24"/>
        </w:rPr>
      </w:pPr>
      <w:r>
        <w:rPr>
          <w:bCs/>
          <w:kern w:val="0"/>
          <w:szCs w:val="24"/>
        </w:rPr>
        <w:t>目前本专业共有专业教师13人，其中教授1人，副教授7人，讲师5人。所有教师中拥有博士学位的9人，硕士3，大学本科1人；作为教学中坚力量和主力军的40岁以下教师6人，占46.2%；本专业整体教师结构合理，学历层次教高，科研教学能力强，具有良好的发展趋势。近3年专业教师主持或参与国家级级省部级及以上科研课题和横向课题10余项，发表论文40余篇，其中SCI、EI检索8余篇，出版专著2部、教材4部；获省部级奖励多项。</w:t>
      </w:r>
    </w:p>
    <w:p>
      <w:pPr>
        <w:pStyle w:val="6"/>
        <w:ind w:firstLine="480"/>
      </w:pPr>
      <w:r>
        <w:t>（三）实习基地</w:t>
      </w:r>
    </w:p>
    <w:p>
      <w:pPr>
        <w:ind w:firstLine="480"/>
        <w:rPr>
          <w:bCs/>
          <w:kern w:val="0"/>
          <w:szCs w:val="24"/>
        </w:rPr>
      </w:pPr>
      <w:r>
        <w:rPr>
          <w:bCs/>
          <w:kern w:val="0"/>
          <w:szCs w:val="24"/>
        </w:rPr>
        <w:t>校外实习基地是工程类专业必备的工程环境实践条件之一，我们从实际出发，本着高起点、高要求、重实用、长期稳固的原则，对实习基地进行了认真的筛选、考察，目前已签订正式合作协议的校外实习基地10余处，包括南京水利科学研究院的滁州水文实验基地、山东省水文局、泰安市水文局、潍坊市水文局、山东省水利科学研究院、泰安市水利和渔业局、沂源县水利局、东平县水利局、黄前水库管理局、雪野水库管理局、肥城市水资源管理办公室等。可以达到接纳学生专业实习、教师开展科研和技术服务等多种教学科研活动。目前，这些实习基地大都成为长期、稳定的教学科研基地。</w:t>
      </w:r>
    </w:p>
    <w:p>
      <w:pPr>
        <w:pStyle w:val="5"/>
        <w:spacing w:before="93" w:after="93"/>
        <w:ind w:firstLine="560"/>
      </w:pPr>
      <w:r>
        <w:t>四、培养机制与特色（产学研协同育人机制、合作办学、教学管理等）</w:t>
      </w:r>
    </w:p>
    <w:p>
      <w:pPr>
        <w:pStyle w:val="6"/>
        <w:ind w:firstLine="480"/>
      </w:pPr>
      <w:r>
        <w:t>（一）产学研协同育人机制</w:t>
      </w:r>
    </w:p>
    <w:p>
      <w:pPr>
        <w:ind w:firstLine="480"/>
        <w:rPr>
          <w:bCs/>
          <w:kern w:val="0"/>
          <w:szCs w:val="24"/>
        </w:rPr>
      </w:pPr>
      <w:r>
        <w:rPr>
          <w:bCs/>
          <w:kern w:val="0"/>
          <w:szCs w:val="24"/>
        </w:rPr>
        <w:t>从产、学、研相结合的角度出发，成立了水资源研究室、水文地球物理研究室、地下水科学与工程研究室、水资源规划论证研究室和水资源防洪减灾研究室、水利工程经济研究室和具有水利勘察设计乙级和水文与水资源勘测与评价乙级资质的</w:t>
      </w:r>
      <w:r>
        <w:rPr>
          <w:rFonts w:hint="eastAsia"/>
          <w:bCs/>
          <w:kern w:val="0"/>
          <w:szCs w:val="24"/>
        </w:rPr>
        <w:t>“</w:t>
      </w:r>
      <w:r>
        <w:rPr>
          <w:bCs/>
          <w:kern w:val="0"/>
          <w:szCs w:val="24"/>
        </w:rPr>
        <w:t>山东农业大学勘测设计研究院</w:t>
      </w:r>
      <w:r>
        <w:rPr>
          <w:rFonts w:hint="eastAsia"/>
          <w:bCs/>
          <w:kern w:val="0"/>
          <w:szCs w:val="24"/>
        </w:rPr>
        <w:t>”</w:t>
      </w:r>
      <w:r>
        <w:rPr>
          <w:bCs/>
          <w:kern w:val="0"/>
          <w:szCs w:val="24"/>
        </w:rPr>
        <w:t>，为强化教学、科研与社会服务的结合和本学科教师开展科研工作提供了条件。另外，图书馆现有本专业和相关专业图书资料4万余册，报刊杂志50余种，拥有知网、万方、ScienceDirect、Wiley等电子资源库42个，并且学院资料室收集有山东省1985年前的全部水文资料及近10年的水利年鉴能基本满足本专业的教学、科研和生产的需要。</w:t>
      </w:r>
    </w:p>
    <w:p>
      <w:pPr>
        <w:pStyle w:val="6"/>
        <w:ind w:firstLine="480"/>
      </w:pPr>
      <w:r>
        <w:t>（二）教学管理</w:t>
      </w:r>
    </w:p>
    <w:p>
      <w:pPr>
        <w:spacing w:line="390" w:lineRule="exact"/>
        <w:ind w:firstLine="482"/>
        <w:rPr>
          <w:bCs/>
          <w:kern w:val="0"/>
          <w:szCs w:val="24"/>
        </w:rPr>
      </w:pPr>
      <w:r>
        <w:rPr>
          <w:bCs/>
          <w:kern w:val="0"/>
          <w:szCs w:val="24"/>
        </w:rPr>
        <w:t>在教学管理方面，以专业培养目标为依据，制定专业教学计划、教学大纲以及师资队伍建设、教材建设、教研室建设和教学质量评估等计划，编写授课、实验、实习、课程设计和毕业设计等计划。在开课前一周，任课教师按照教学大纲的要求和教学进程制定授课计划，报学校处备案后执行。</w:t>
      </w:r>
    </w:p>
    <w:p>
      <w:pPr>
        <w:spacing w:line="390" w:lineRule="exact"/>
        <w:ind w:firstLine="482"/>
        <w:rPr>
          <w:bCs/>
          <w:kern w:val="0"/>
          <w:szCs w:val="24"/>
        </w:rPr>
      </w:pPr>
      <w:r>
        <w:rPr>
          <w:bCs/>
          <w:kern w:val="0"/>
          <w:szCs w:val="24"/>
        </w:rPr>
        <w:t>整个教学过程分解为若干个教学环节，如备课、课堂讲授、辅导答疑、批改作业、指导实验、实习和设计、成绩考核等，对各教学环节进行经常性的督促和检查。学校教务处设教学质量督导组，对全校每个教学环节质量进行考评、检查。水利土木工程学院设二级教学质量督导组，建立教师听课制度，学院领导及系主任每学期要听3次课，对教学技术实施情况进行经常性检查，并要填写听课记录，并写出听课评价。此外，学院设置青年教师传、帮、带措施，通过教学经验丰富的老教师和新进青年教师相互听课，使青年教师从老教师授课过程中学到教学的技巧，老教师也能有针对性的提出青年教师授课的问题和改进措施。</w:t>
      </w:r>
    </w:p>
    <w:p>
      <w:pPr>
        <w:spacing w:line="390" w:lineRule="exact"/>
        <w:ind w:firstLine="482"/>
        <w:rPr>
          <w:bCs/>
          <w:kern w:val="0"/>
          <w:szCs w:val="24"/>
        </w:rPr>
      </w:pPr>
      <w:r>
        <w:rPr>
          <w:bCs/>
          <w:kern w:val="0"/>
          <w:szCs w:val="24"/>
        </w:rPr>
        <w:t>学校对主要教学环节的质量评价主要采取了督导组评教、学生评教、同行评教、领导干部听课评教及学生教学信息员报告、日常教学检查、阶段性教学检查等多种方式，掌握全校各教学环节执行情况和目标完成情况。实行教考分离，严格把好命题、考试、阅卷、分</w:t>
      </w:r>
      <w:r>
        <w:rPr>
          <w:bCs/>
          <w:spacing w:val="-6"/>
          <w:kern w:val="0"/>
          <w:szCs w:val="24"/>
        </w:rPr>
        <w:t>数统计等环节，考题分为A、B卷，考后针对学生</w:t>
      </w:r>
      <w:r>
        <w:rPr>
          <w:bCs/>
          <w:kern w:val="0"/>
          <w:szCs w:val="24"/>
        </w:rPr>
        <w:t>成绩提交分析报告等。</w:t>
      </w:r>
    </w:p>
    <w:p>
      <w:pPr>
        <w:ind w:firstLine="480"/>
        <w:rPr>
          <w:bCs/>
          <w:kern w:val="0"/>
          <w:szCs w:val="24"/>
        </w:rPr>
      </w:pPr>
      <w:r>
        <w:rPr>
          <w:bCs/>
          <w:kern w:val="0"/>
          <w:szCs w:val="24"/>
        </w:rPr>
        <w:t>毕业设计采取指导教师负责制，严抓毕业实习和毕业设计。毕业答辩采用分组PPT汇报方式，指导教师不能参与本组学生的答辩。答辩成绩在专业排名后5%的学生需进行第二次答辩且合格后方有资格获得毕业生与学位证。</w:t>
      </w:r>
    </w:p>
    <w:p>
      <w:pPr>
        <w:pStyle w:val="5"/>
        <w:spacing w:before="93" w:after="93"/>
        <w:ind w:firstLine="560"/>
      </w:pPr>
      <w:r>
        <w:t>五、培养质量（毕业生就业率、就业专业对口率、毕业生发展情况、就业单位满意率、社会对专业的评价、学生就读该专业的意愿等）</w:t>
      </w:r>
    </w:p>
    <w:p>
      <w:pPr>
        <w:ind w:firstLine="480"/>
        <w:rPr>
          <w:bCs/>
          <w:kern w:val="0"/>
          <w:szCs w:val="24"/>
        </w:rPr>
      </w:pPr>
      <w:r>
        <w:rPr>
          <w:bCs/>
          <w:kern w:val="0"/>
          <w:szCs w:val="24"/>
        </w:rPr>
        <w:t>截至到2020年8月31日该专业就业率87.5%，考研率45.8%以上，就业专业对口率100%。我校水文与水资源工程专业是山东省非常有影响的专业之一，排名全省前列，毕业质量好，综合素质高，毕业生遍布全省水利及其相关部门，某些已成为行业的骨干，社会评价和知名度均很高。</w:t>
      </w:r>
    </w:p>
    <w:p>
      <w:pPr>
        <w:pStyle w:val="5"/>
        <w:spacing w:before="93" w:after="93"/>
        <w:ind w:firstLine="560"/>
      </w:pPr>
      <w:r>
        <w:t>六、毕业生就业创业（创业情况、采取的措施、典型案例等）</w:t>
      </w:r>
    </w:p>
    <w:p>
      <w:pPr>
        <w:ind w:firstLine="480"/>
        <w:rPr>
          <w:bCs/>
          <w:kern w:val="0"/>
          <w:szCs w:val="24"/>
        </w:rPr>
      </w:pPr>
      <w:r>
        <w:rPr>
          <w:bCs/>
          <w:kern w:val="0"/>
          <w:szCs w:val="24"/>
        </w:rPr>
        <w:t>为了更好的培养学生的实践活动能力，积极开展</w:t>
      </w:r>
      <w:r>
        <w:rPr>
          <w:rFonts w:hint="eastAsia"/>
          <w:bCs/>
          <w:kern w:val="0"/>
          <w:szCs w:val="24"/>
        </w:rPr>
        <w:t>“</w:t>
      </w:r>
      <w:r>
        <w:rPr>
          <w:bCs/>
          <w:kern w:val="0"/>
          <w:szCs w:val="24"/>
        </w:rPr>
        <w:t>暑期大学生社会实践活动</w:t>
      </w:r>
      <w:r>
        <w:rPr>
          <w:rFonts w:hint="eastAsia"/>
          <w:bCs/>
          <w:kern w:val="0"/>
          <w:szCs w:val="24"/>
        </w:rPr>
        <w:t>”</w:t>
      </w:r>
      <w:r>
        <w:rPr>
          <w:bCs/>
          <w:kern w:val="0"/>
          <w:szCs w:val="24"/>
        </w:rPr>
        <w:t>、</w:t>
      </w:r>
      <w:r>
        <w:rPr>
          <w:rFonts w:hint="eastAsia"/>
          <w:bCs/>
          <w:kern w:val="0"/>
          <w:szCs w:val="24"/>
        </w:rPr>
        <w:t>“</w:t>
      </w:r>
      <w:r>
        <w:rPr>
          <w:bCs/>
          <w:kern w:val="0"/>
          <w:szCs w:val="24"/>
        </w:rPr>
        <w:t>科技活动小组</w:t>
      </w:r>
      <w:r>
        <w:rPr>
          <w:rFonts w:hint="eastAsia"/>
          <w:bCs/>
          <w:kern w:val="0"/>
          <w:szCs w:val="24"/>
        </w:rPr>
        <w:t>”</w:t>
      </w:r>
      <w:r>
        <w:rPr>
          <w:bCs/>
          <w:kern w:val="0"/>
          <w:szCs w:val="24"/>
        </w:rPr>
        <w:t>、</w:t>
      </w:r>
      <w:r>
        <w:rPr>
          <w:rFonts w:hint="eastAsia"/>
          <w:bCs/>
          <w:kern w:val="0"/>
          <w:szCs w:val="24"/>
        </w:rPr>
        <w:t>“</w:t>
      </w:r>
      <w:r>
        <w:rPr>
          <w:bCs/>
          <w:kern w:val="0"/>
          <w:szCs w:val="24"/>
        </w:rPr>
        <w:t>SRT计划</w:t>
      </w:r>
      <w:r>
        <w:rPr>
          <w:rFonts w:hint="eastAsia"/>
          <w:bCs/>
          <w:kern w:val="0"/>
          <w:szCs w:val="24"/>
        </w:rPr>
        <w:t>”</w:t>
      </w:r>
      <w:r>
        <w:rPr>
          <w:bCs/>
          <w:kern w:val="0"/>
          <w:szCs w:val="24"/>
        </w:rPr>
        <w:t>等丰富多彩的第二课堂活动，使学生的语言和文字表达能力、计算机应用能力、调研和分析能力、人际交往能力、谈判与公关能力、生产操作技能、创新能力、组织管理能力、与人合作能力、自学能力和创新能力、创业精神都有了明显的增强。</w:t>
      </w:r>
    </w:p>
    <w:p>
      <w:pPr>
        <w:ind w:firstLine="480"/>
        <w:rPr>
          <w:bCs/>
          <w:kern w:val="0"/>
          <w:szCs w:val="24"/>
        </w:rPr>
      </w:pPr>
      <w:r>
        <w:rPr>
          <w:bCs/>
          <w:kern w:val="0"/>
          <w:szCs w:val="24"/>
        </w:rPr>
        <w:t>例如：</w:t>
      </w:r>
      <w:r>
        <w:rPr>
          <w:rFonts w:hint="eastAsia"/>
          <w:bCs/>
          <w:kern w:val="0"/>
          <w:szCs w:val="24"/>
        </w:rPr>
        <w:t>“</w:t>
      </w:r>
      <w:r>
        <w:rPr>
          <w:bCs/>
          <w:kern w:val="0"/>
          <w:szCs w:val="24"/>
        </w:rPr>
        <w:t>找水勘测定井</w:t>
      </w:r>
      <w:r>
        <w:rPr>
          <w:rFonts w:hint="eastAsia"/>
          <w:bCs/>
          <w:kern w:val="0"/>
          <w:szCs w:val="24"/>
        </w:rPr>
        <w:t>”</w:t>
      </w:r>
      <w:r>
        <w:rPr>
          <w:bCs/>
          <w:kern w:val="0"/>
          <w:szCs w:val="24"/>
        </w:rPr>
        <w:t>科技服务队，先后参加了5届暑期大学生找水定井科技活动，为临沂、泰安、宁阳、济宁等贫水地区定井50余眼，解决了当地生活和生产用水问题，取得了巨大的经济效益和社会效益，受到了当地政府和群众的欢迎。</w:t>
      </w:r>
      <w:r>
        <w:rPr>
          <w:rFonts w:hint="eastAsia"/>
          <w:bCs/>
          <w:kern w:val="0"/>
          <w:szCs w:val="24"/>
        </w:rPr>
        <w:t>“</w:t>
      </w:r>
      <w:r>
        <w:rPr>
          <w:bCs/>
          <w:kern w:val="0"/>
          <w:szCs w:val="24"/>
        </w:rPr>
        <w:t>找水勘测定井</w:t>
      </w:r>
      <w:r>
        <w:rPr>
          <w:rFonts w:hint="eastAsia"/>
          <w:bCs/>
          <w:kern w:val="0"/>
          <w:szCs w:val="24"/>
        </w:rPr>
        <w:t>”</w:t>
      </w:r>
      <w:r>
        <w:rPr>
          <w:bCs/>
          <w:kern w:val="0"/>
          <w:szCs w:val="24"/>
        </w:rPr>
        <w:t>科技服务队已成为我校社会实践活动特色项目之一。</w:t>
      </w:r>
    </w:p>
    <w:p>
      <w:pPr>
        <w:ind w:firstLine="480"/>
        <w:rPr>
          <w:bCs/>
          <w:kern w:val="0"/>
          <w:szCs w:val="24"/>
        </w:rPr>
      </w:pPr>
      <w:r>
        <w:rPr>
          <w:bCs/>
          <w:kern w:val="0"/>
          <w:szCs w:val="24"/>
        </w:rPr>
        <w:t>在创新创业方面，近三年来在教师的指导下很多同学获得了国家级省级大学生创新性项目和荣誉称号。本专业的学生毕业后，很多同学已经成立了自己的水利相关的设计咨询公司等企业。</w:t>
      </w:r>
    </w:p>
    <w:p>
      <w:pPr>
        <w:pStyle w:val="5"/>
        <w:spacing w:before="93" w:after="93"/>
        <w:ind w:firstLine="560"/>
      </w:pPr>
      <w:r>
        <w:t>七、专业发展趋势及建议</w:t>
      </w:r>
    </w:p>
    <w:p>
      <w:pPr>
        <w:ind w:firstLine="480"/>
        <w:rPr>
          <w:bCs/>
          <w:kern w:val="0"/>
          <w:szCs w:val="24"/>
        </w:rPr>
      </w:pPr>
      <w:r>
        <w:rPr>
          <w:bCs/>
          <w:kern w:val="0"/>
          <w:szCs w:val="24"/>
        </w:rPr>
        <w:t>当前，由于社会经济的逐步发展和人类活动的频繁和加剧，对水资源的需求和要求也愈来愈高，水资源的禀赋条件和规律也变的错综复杂。由此引起生产和生活中出现与本专业相关的水问题也越来越多，伴随着科学技术的迅猛发展，水问题的解决需求对该专业人才的需求呈现专业化和综合化的趋势。所以本专业的发展趋势和前景较好，在专业人才的培养上需要拓宽专业口径，有力提高学生的适应能力和竞争能力，促进学科发展和交叉学科的形成，对于学生综合素质的培养和就业广度、宽度的提高具有重要的意义。</w:t>
      </w:r>
    </w:p>
    <w:p>
      <w:pPr>
        <w:ind w:firstLine="480"/>
        <w:rPr>
          <w:bCs/>
          <w:kern w:val="0"/>
          <w:szCs w:val="24"/>
        </w:rPr>
      </w:pPr>
      <w:r>
        <w:rPr>
          <w:bCs/>
          <w:kern w:val="0"/>
          <w:szCs w:val="24"/>
        </w:rPr>
        <w:t>2016年我国已加入《华盛顿协议》，为使本专业教育与国际教育接轨，将OBE教育理念和人才培养机制推进到专业教育中，促进专业建设和改革，构建基于OBE的专业教育体系，即以学生为中心、以学生学习效果为目标，本着</w:t>
      </w:r>
      <w:r>
        <w:rPr>
          <w:rFonts w:hint="eastAsia"/>
          <w:bCs/>
          <w:kern w:val="0"/>
          <w:szCs w:val="24"/>
        </w:rPr>
        <w:t>“</w:t>
      </w:r>
      <w:r>
        <w:rPr>
          <w:bCs/>
          <w:kern w:val="0"/>
          <w:szCs w:val="24"/>
        </w:rPr>
        <w:t>反向设计、正向施工</w:t>
      </w:r>
      <w:r>
        <w:rPr>
          <w:rFonts w:hint="eastAsia"/>
          <w:bCs/>
          <w:kern w:val="0"/>
          <w:szCs w:val="24"/>
        </w:rPr>
        <w:t>”</w:t>
      </w:r>
      <w:r>
        <w:rPr>
          <w:bCs/>
          <w:kern w:val="0"/>
          <w:szCs w:val="24"/>
        </w:rPr>
        <w:t>的方针，进行各教学环节设计，推动专业质量提升，达到国际工程教育水准，为下一步专业认证奠定基础。</w:t>
      </w:r>
    </w:p>
    <w:p>
      <w:pPr>
        <w:pStyle w:val="5"/>
        <w:spacing w:before="93" w:after="93"/>
        <w:ind w:firstLine="560"/>
      </w:pPr>
      <w:r>
        <w:t>八、存在的问题及整改措施</w:t>
      </w:r>
    </w:p>
    <w:p>
      <w:pPr>
        <w:ind w:firstLine="480"/>
        <w:rPr>
          <w:bCs/>
          <w:kern w:val="0"/>
          <w:szCs w:val="24"/>
        </w:rPr>
      </w:pPr>
      <w:r>
        <w:rPr>
          <w:bCs/>
          <w:kern w:val="0"/>
          <w:szCs w:val="24"/>
        </w:rPr>
        <w:t>1、专业科学实验和研究平台薄弱。依据专业发展规划逐步建立和更新。</w:t>
      </w:r>
    </w:p>
    <w:p>
      <w:pPr>
        <w:ind w:firstLine="480"/>
        <w:rPr>
          <w:bCs/>
          <w:kern w:val="0"/>
          <w:szCs w:val="24"/>
        </w:rPr>
      </w:pPr>
      <w:r>
        <w:rPr>
          <w:bCs/>
          <w:kern w:val="0"/>
          <w:szCs w:val="24"/>
        </w:rPr>
        <w:t>2、师资力量有待提高。加大专业人才引进力度，尤其是高水平科研型教师的引进，并做好专业教师的培训、进修工作。</w:t>
      </w:r>
    </w:p>
    <w:p>
      <w:pPr>
        <w:ind w:firstLine="480"/>
        <w:rPr>
          <w:bCs/>
          <w:kern w:val="0"/>
          <w:szCs w:val="24"/>
        </w:rPr>
      </w:pPr>
      <w:r>
        <w:rPr>
          <w:bCs/>
          <w:kern w:val="0"/>
          <w:szCs w:val="24"/>
        </w:rPr>
        <w:t>3、教学经费不足，学科发展较为缓慢。学校、学院给予适当支持，鼓励教师申请教学方面的项目，积极推进教学改革，促进与其他高校的交流，并增加教学质量与职称评定的关联度。</w:t>
      </w:r>
    </w:p>
    <w:p>
      <w:pPr>
        <w:ind w:firstLine="480"/>
        <w:rPr>
          <w:bCs/>
          <w:kern w:val="0"/>
          <w:szCs w:val="24"/>
        </w:rPr>
      </w:pPr>
      <w:r>
        <w:rPr>
          <w:bCs/>
          <w:kern w:val="0"/>
          <w:szCs w:val="24"/>
        </w:rPr>
        <w:t>4、学生创新创业意识较往届有所提高，但普及范围及高级别的获奖项目有待扩大。通过学院营造氛围、任课教师积极宣传、高年级学生一对一帮扶等方式，尽量让每一位学生都融入进来，培养创新思维，扩宽创业途径。</w:t>
      </w:r>
    </w:p>
    <w:p>
      <w:r>
        <w:br w:type="page"/>
      </w:r>
    </w:p>
    <w:p>
      <w:pPr>
        <w:pStyle w:val="4"/>
        <w:ind w:firstLine="600"/>
      </w:pPr>
      <w:bookmarkStart w:id="645" w:name="_Toc13570"/>
      <w:r>
        <w:t>专业六十</w:t>
      </w:r>
      <w:r>
        <w:rPr>
          <w:rFonts w:hint="eastAsia"/>
          <w:lang w:val="en-US"/>
        </w:rPr>
        <w:t>五</w:t>
      </w:r>
      <w:r>
        <w:t>：建筑学</w:t>
      </w:r>
      <w:bookmarkEnd w:id="645"/>
    </w:p>
    <w:p>
      <w:pPr>
        <w:pStyle w:val="5"/>
        <w:spacing w:before="93" w:after="93"/>
        <w:ind w:firstLine="560"/>
      </w:pPr>
      <w:r>
        <w:t>一、培养目标</w:t>
      </w:r>
    </w:p>
    <w:p>
      <w:pPr>
        <w:ind w:firstLine="480" w:firstLineChars="200"/>
      </w:pPr>
      <w:r>
        <w:t>本专业培养适应国家经济发展和城乡建设需要，德、智、体全面发展，掌握建筑学学科的基本理论和知识，获得注册建筑师基本训练，具有创新思维和开放视野以及可持续发展和文化传承理念，具备较好的设计实践能力，能在城乡规划和建筑设计单位、教育和科研机构以及管理部门，从事建筑设计、教学与研究、开发与管理等工作的高级工程技术人才。</w:t>
      </w:r>
    </w:p>
    <w:p>
      <w:pPr>
        <w:pStyle w:val="5"/>
        <w:spacing w:before="93" w:after="93"/>
        <w:ind w:firstLine="560"/>
      </w:pPr>
      <w:r>
        <w:t>二、培养能力（专业设置情况、在校生规模、课程设置情况、创新创业教育等）</w:t>
      </w:r>
    </w:p>
    <w:p>
      <w:pPr>
        <w:ind w:firstLine="480" w:firstLineChars="200"/>
      </w:pPr>
      <w:r>
        <w:t>专业设置情况：本专业结合建筑学专业特点，采用</w:t>
      </w:r>
      <w:r>
        <w:rPr>
          <w:rFonts w:hint="eastAsia"/>
        </w:rPr>
        <w:t>“</w:t>
      </w:r>
      <w:r>
        <w:t>小班教学模式</w:t>
      </w:r>
      <w:r>
        <w:rPr>
          <w:rFonts w:hint="eastAsia"/>
        </w:rPr>
        <w:t>”</w:t>
      </w:r>
      <w:r>
        <w:t>，以</w:t>
      </w:r>
      <w:r>
        <w:rPr>
          <w:rFonts w:hint="eastAsia"/>
        </w:rPr>
        <w:t>“</w:t>
      </w:r>
      <w:r>
        <w:t>建筑设计实践技能培养</w:t>
      </w:r>
      <w:r>
        <w:rPr>
          <w:rFonts w:hint="eastAsia"/>
        </w:rPr>
        <w:t>”</w:t>
      </w:r>
      <w:r>
        <w:t>为一条主线，构建</w:t>
      </w:r>
      <w:r>
        <w:rPr>
          <w:rFonts w:hint="eastAsia"/>
        </w:rPr>
        <w:t>“</w:t>
      </w:r>
      <w:r>
        <w:t>基础实践+执业实践+综合实践</w:t>
      </w:r>
      <w:r>
        <w:rPr>
          <w:rFonts w:hint="eastAsia"/>
        </w:rPr>
        <w:t>”</w:t>
      </w:r>
      <w:r>
        <w:t>三大实践教学体系，组成</w:t>
      </w:r>
      <w:r>
        <w:rPr>
          <w:rFonts w:hint="eastAsia"/>
        </w:rPr>
        <w:t>“</w:t>
      </w:r>
      <w:r>
        <w:t>设计基础、课程设计、建筑师执业实习</w:t>
      </w:r>
      <w:r>
        <w:rPr>
          <w:rFonts w:hint="eastAsia"/>
        </w:rPr>
        <w:t>”</w:t>
      </w:r>
      <w:r>
        <w:t xml:space="preserve"> 等九个教学单元。建筑学专业教育以学科建设为依托，重视建筑设计实践技能培养，重视师资队伍建设，注重教学与科研相结合，遵循科学、创新精神，把握专业发展趋势，不断丰富和更新教学内容及教学手段，优化办学模式，保证教学质量的提高。建筑学本科基本学制为5年。</w:t>
      </w:r>
    </w:p>
    <w:p>
      <w:pPr>
        <w:ind w:firstLine="480" w:firstLineChars="200"/>
      </w:pPr>
      <w:r>
        <w:t>在校生规模：2011年成立以来，坚持小班化精细教学模式，每个班级人数控制在15人左右，有固定的专业教室与绘图桌椅。目前，建筑学已经拥有五个年级的在校学生，2018级48人，2019级44人，2020级44人，</w:t>
      </w:r>
      <w:r>
        <w:rPr>
          <w:color w:val="000000"/>
        </w:rPr>
        <w:t>2021级</w:t>
      </w:r>
      <w:r>
        <w:rPr>
          <w:color w:val="000000" w:themeColor="text1"/>
          <w14:textFill>
            <w14:solidFill>
              <w14:schemeClr w14:val="tx1"/>
            </w14:solidFill>
          </w14:textFill>
        </w:rPr>
        <w:t>46</w:t>
      </w:r>
      <w:r>
        <w:t>人，2022级</w:t>
      </w:r>
      <w:r>
        <w:rPr>
          <w:color w:val="000000" w:themeColor="text1"/>
          <w14:textFill>
            <w14:solidFill>
              <w14:schemeClr w14:val="tx1"/>
            </w14:solidFill>
          </w14:textFill>
        </w:rPr>
        <w:t>44</w:t>
      </w:r>
      <w:r>
        <w:t>人，共计学生</w:t>
      </w:r>
      <w:r>
        <w:rPr>
          <w:color w:val="000000" w:themeColor="text1"/>
          <w14:textFill>
            <w14:solidFill>
              <w14:schemeClr w14:val="tx1"/>
            </w14:solidFill>
          </w14:textFill>
        </w:rPr>
        <w:t>226</w:t>
      </w:r>
      <w:r>
        <w:t>人，全部为全日制本科生。2022年招生总人数为44人，全部为一志愿省内本科生。</w:t>
      </w:r>
    </w:p>
    <w:p>
      <w:pPr>
        <w:spacing w:line="240" w:lineRule="auto"/>
        <w:jc w:val="center"/>
        <w:rPr>
          <w:b/>
          <w:bCs/>
          <w:sz w:val="21"/>
          <w:szCs w:val="21"/>
        </w:rPr>
      </w:pPr>
      <w:r>
        <w:rPr>
          <w:b/>
          <w:bCs/>
          <w:szCs w:val="21"/>
        </w:rPr>
        <mc:AlternateContent>
          <mc:Choice Requires="wpg">
            <w:drawing>
              <wp:inline distT="0" distB="0" distL="114300" distR="114300">
                <wp:extent cx="5266690" cy="1532255"/>
                <wp:effectExtent l="0" t="0" r="10160" b="10795"/>
                <wp:docPr id="229" name="组合 229"/>
                <wp:cNvGraphicFramePr/>
                <a:graphic xmlns:a="http://schemas.openxmlformats.org/drawingml/2006/main">
                  <a:graphicData uri="http://schemas.microsoft.com/office/word/2010/wordprocessingGroup">
                    <wpg:wgp>
                      <wpg:cNvGrpSpPr/>
                      <wpg:grpSpPr>
                        <a:xfrm>
                          <a:off x="0" y="0"/>
                          <a:ext cx="5266690" cy="1532255"/>
                          <a:chOff x="3256" y="10898"/>
                          <a:chExt cx="9327" cy="3492"/>
                        </a:xfrm>
                      </wpg:grpSpPr>
                      <pic:pic xmlns:pic="http://schemas.openxmlformats.org/drawingml/2006/picture">
                        <pic:nvPicPr>
                          <pic:cNvPr id="121" name="图片 3" descr="2016-05-09 160130"/>
                          <pic:cNvPicPr>
                            <a:picLocks noChangeAspect="1"/>
                          </pic:cNvPicPr>
                        </pic:nvPicPr>
                        <pic:blipFill>
                          <a:blip r:embed="rId143"/>
                          <a:stretch>
                            <a:fillRect/>
                          </a:stretch>
                        </pic:blipFill>
                        <pic:spPr>
                          <a:xfrm rot="10800000">
                            <a:off x="7961" y="10898"/>
                            <a:ext cx="4623" cy="3467"/>
                          </a:xfrm>
                          <a:prstGeom prst="rect">
                            <a:avLst/>
                          </a:prstGeom>
                          <a:noFill/>
                          <a:ln>
                            <a:noFill/>
                          </a:ln>
                        </pic:spPr>
                      </pic:pic>
                      <pic:pic xmlns:pic="http://schemas.openxmlformats.org/drawingml/2006/picture">
                        <pic:nvPicPr>
                          <pic:cNvPr id="196" name="图片 4" descr="微信图片_20181107143738"/>
                          <pic:cNvPicPr>
                            <a:picLocks noChangeAspect="1"/>
                          </pic:cNvPicPr>
                        </pic:nvPicPr>
                        <pic:blipFill>
                          <a:blip r:embed="rId144"/>
                          <a:stretch>
                            <a:fillRect/>
                          </a:stretch>
                        </pic:blipFill>
                        <pic:spPr>
                          <a:xfrm>
                            <a:off x="3256" y="10918"/>
                            <a:ext cx="4629" cy="3472"/>
                          </a:xfrm>
                          <a:prstGeom prst="rect">
                            <a:avLst/>
                          </a:prstGeom>
                          <a:noFill/>
                          <a:ln>
                            <a:noFill/>
                          </a:ln>
                        </pic:spPr>
                      </pic:pic>
                    </wpg:wgp>
                  </a:graphicData>
                </a:graphic>
              </wp:inline>
            </w:drawing>
          </mc:Choice>
          <mc:Fallback>
            <w:pict>
              <v:group id="_x0000_s1026" o:spid="_x0000_s1026" o:spt="203" style="height:120.65pt;width:414.7pt;" coordorigin="3256,10898" coordsize="9327,3492" o:gfxdata="UEsDBAoAAAAAAIdO4kAAAAAAAAAAAAAAAAAEAAAAZHJzL1BLAwQUAAAACACHTuJAtNn4XNcAAAAF&#10;AQAADwAAAGRycy9kb3ducmV2LnhtbE2PQUvDQBCF74L/YRnBm91sWqWN2RQp6qkIbQXpbZqdJqHZ&#10;2ZDdJu2/d/Wil4HHe7z3Tb682FYM1PvGsQY1SUAQl840XGn43L09zEH4gGywdUwaruRhWdze5JgZ&#10;N/KGhm2oRCxhn6GGOoQuk9KXNVn0E9cRR+/oeoshyr6SpscxlttWpknyJC02HBdq7GhVU3nanq2G&#10;9xHHl6l6Hdan4+q63z1+fK0VaX1/p5JnEIEu4S8MP/gRHYrIdHBnNl60GuIj4fdGb54uZiAOGtKZ&#10;moIscvmfvvgGUEsDBBQAAAAIAIdO4kBziYhKygIAALcHAAAOAAAAZHJzL2Uyb0RvYy54bWzVVc1q&#10;GzEQvhf6DkL3ZP/stXeJHUrThEJoTX/ORdFqf+iuJCT5J/dC01vvPfUF+gKF9GUa8hodSWvHTg4N&#10;JQRqsD2aWY2++ebT7MHhqmvRgindCD7B0X6IEeNUFA2vJvj9u+O9MUbaEF6QVnA2wedM48Pp0ycH&#10;S5mzWNSiLZhCkITrfCknuDZG5kGgac06oveFZByCpVAdMbBUVVAosoTsXRvEYZgGS6EKqQRlWoP3&#10;yAdxn1HdJ6Eoy4ayI0HnHePGZ1WsJQZK0nUjNZ46tGXJqHldlpoZ1E4wVGrcLxwC9pn9DaYHJK8U&#10;kXVDewjkPhBu1dSRhsOhm1RHxBA0V82dVF1DldCiNPtUdIEvxDECVUThLW5OlJhLV0uVLyu5IR0a&#10;dYv1f05LXy1mCjXFBMdxhhEnHbT8+uenq68XyHqAn6WscnjsRMm3cqZ6R+VXtuRVqTr7D8WglWP2&#10;fMMsWxlEwTmM0zTNgHQKsWiYxPFw6LmnNTTI7kviYYqRDYfjbLwOvugTZEk88ruTQRbbaLA+ObAA&#10;N3hkQ3P49lyBdYervysUdpm5YsC8zcYXs4bOlF/c8BXF0Zqvq2+X118+owSjgmkK6oJepnvhcC/M&#10;UJSGUeJ0ZnPZ7T4ZsShPBf2oERfPa8Ir9kxL0CsQ4MrbfTywyx0kZ20jj5u2tdRb+2EvEFI5684Y&#10;6EK9LBwgkmujmKG1PbCEg98AWN+HTcChvAFmMWvQzFolSAlbXjgO7Qfo3YhmlKXA5m7z19oZpDEw&#10;a4WTDNLRTuuBRKXNCRMdsgaABUwuL1mc6h7d+hF7HBeWMkBN8pbvOEBO1uMq8JidCSX4xoPxCJrK&#10;4Ar4O9hrarDR1NXlj9+/vnv3BxDYOIrCUTRIRom7LJbr/1Nd7jY/gLq25LQ1S7KonyVbcoJB5+U0&#10;2p0kjyQnN7BgnrsZ1r977Atjew329vt2+gdQSwMECgAAAAAAh07iQAAAAAAAAAAAAAAAAAoAAABk&#10;cnMvbWVkaWEvUEsDBBQAAAAIAIdO4kDwCVxR7YQAAOOEAAAVAAAAZHJzL21lZGlhL2ltYWdlMS5q&#10;cGVnAACA/3//2P/gABBKRklGAAEBAQDcANwAAP/bAEMACAYGBwYFCAcHBwkJCAoMFA0MCwsMGRIT&#10;DxQdGh8eHRocHCAkLicgIiwjHBwoNyksMDE0NDQfJzk9ODI8LjM0Mv/bAEMBCQkJDAsMGA0NGDIh&#10;HCEyMjIyMjIyMjIyMjIyMjIyMjIyMjIyMjIyMjIyMjIyMjIyMjIyMjIyMjIyMjIyMjIyMv/AABEI&#10;AW4Cd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L4767jkY7txY5OeRV2DVpmcK0St/uisXIBp6SshBRip9jWV0PlOvBDoCVKZ9aUKM4Az71y&#10;6ajdp924b86sJrV4vVlb6ipuOx0QWl2DOcVhJr8o+9ErfQ4qddfjIG+Fh9DQFjXxjtzRjjnist9Y&#10;t5YmWOVonIwGK5xViLUbYqoNyhOOT0zTAt4BpRzTUuIn+7Kh+hFPB44oEJiqupZGmz4/u1bX34pr&#10;xrIpVgGU8EULQDgTxz60da7GTQrFznyQufQ4qs/hu2Odkki/jkVopIlo5fuOafvbqT71uSeGJBkx&#10;3C/iKqv4ev1+6sb+ytTuhWKAlOCSOTUsV7PFjZNIqg5K54pZNNvYhlrWT8Fz/KonjdB86Ecdxino&#10;BcXXbtG+WQPx0ZatReI5hw8KE8dDisGRFDblP5U9Yty5JPQdveiyC5vPqtjeKpu7RtwHBHOKuWuo&#10;6Tb8RMIj6lSDXM7GRWAYgDnNDRSODmInpkjmlyoLnbxXdrL/AKueJvYMM1N157V560ZU8qQRx0ro&#10;fDG9pJ8sSAB1qXAE7ieIFH2yPHdOfzNY20buBWz4h/4/UHcJ/jWSg+YCs2bIHHPFJ2pJpxHMykHH&#10;rQs0bcZxWi2M3uU73iKX2K/1rKJLH2rVvyqxPlsl8BR+JNZWaoCRTyBXRW/+oT6VzidRXVxWN1Hb&#10;xs9vIFK8HaaQDKAKcQVOGBB9+KSgQYoIp1FADAKWlxSYoAKgmjdgqr3PWp6MmgCFYyny8HHegjFT&#10;ZBFNYUwIj0pDUh6Uw0AR9qjYVMRUbCgCAjFbeiDzIGGOVasdhW94YUOt0p6jBpoGX/L2io2wOxq9&#10;LHjIqm0kaMQclh2PeqJImDHgCgQt17+1MGoRl2QcYqSO4y3AzmgZIN8Y5Qke1BvUUYKEf71WY7hl&#10;H3RQ91GchoFP4U7CKpu0bpg1H57ZyuBT5VtHOfKK/SmLbQuMxyfgTQMeLp1GGIZe4NQyxRT/ADxn&#10;ZIPSphDEuNxoEUBxhwD9aNQKfmlT5c689jSCPkqOR2q5La+YhGQwqgyyW7jnKikAjQ57VRvIiIiT&#10;0rWVllXI6+lNkgWaJkbGCMUhnL+YqjrmjzHPTgU2aF7edoSpyO/tUscDuBzj6VDshjAvOXOfrUyh&#10;mHyqSPyFW4bLp8hJ9TVn7Pj/AOtUc/YpIopbFj8x/BRVuGzA+6oU+verEULsdscbMfQCtGDSLuXB&#10;kZIl9+TUu7HoUUt41I3HJrRtYDIwSCEue4Vc1q2ulWMGHl3St/tHitmG5toU2xbR/soKXJfcOaxQ&#10;s9AupSGmZYh+ZretdDs4iC4MzDux4/KoUuZWPyJgepNOTU4FfZLdrkdhz/KmoIXNc3IxHEu1QqAd&#10;hxUgl5+UE1jDVrcZW2hed89QKjn1S9VhG0LxA9FVc5/EVaRNzoFMrdFC/WpRCx5Ln8Kw7OfU5Iz5&#10;Krj1lPI/CrO2/mQLPcrD64HWnYdzUFuinOOfepAoA6ViSWN9tIgvHJP97IFTw2l/DFulvzlRnGMi&#10;iwXNgdKK5k6tftg70U9xiilYLnkL6fKg+aGVfqpqL7P6H9K3TLeQu5W4cqeetSfbvMOdiNgc7kB5&#10;rFSua2Od8huxpDG47V0jSWcmA1que+FxUTR2I5ktZEU9GRzxRzBY50hxng0bj3FdD/Z9k6l1knxj&#10;OAm6qajTGzs1SEH0lVlpqV9hGUCKODyRWz/Ziyj91c2sp9EmFIdCusc27Ef7JB/lRcDHyB3qVJpF&#10;5SVh9Gq3JpToMtG6/UGoPsRA4PPpmhMLEi6jep0nfHuc1OmuXifeKN9Vql9lkABz+YNL9nlI4wfx&#10;p3FY1Y/EMnRoF/A4qzHr9ufvwuPUg5rn/KlXqhpuTnkGi4WOrTWrF/8AlqV/3hVmO9tZPu3EZz/t&#10;Vxe7oKXK5p3FY7pSrfdII9jSFVbIIBHuK4hXKn5XKn24qdLy6ThJ3H/Aqdw5TqZNPtJR89vG2f8A&#10;Zqs2gWLfdiKH/YJFY6azfJ/y03fUZqwniG5H340b8MUXYuUsSeHYy+VmcezDIqrPoN3kFJYmx7Yq&#10;0niNTxJbn/gJqdNetCfmEi/UVSkJxMV9Gv1O7ygwznCMK0tAtprfzzNEyEkY3d60Y9WsJP8Aluo/&#10;3gRU6XNtIfknRvowochWOb8QH/iYD/cFZUY/eD61qa/g6icHI2rzms6IAyL9azNEaB0G+niWeKJZ&#10;EcZGDzVGbSrmEnzbSRf+A12OnanZpaRRN5oZVAJ8skVfivLXqLlQrf38r/MVotiHueYXNgjKWYMC&#10;oOKxO4r0PxPrEEiNa2yw88PLtBP0H+NcDJGQ+FU4P61dxCRgswVQSxOAB6122lltE043mo3UhYjC&#10;xF849setZGm29tp1t9uumBcD5U9KydR1KbUrnzJDhR9xeyigRrS+LLyWZm8uExk8IyA4H1pV8SQP&#10;xPp6fWNiK5zPpQPenYDqk1TR5upuIPqAwFTo1hL/AKnUoD6CT5f51yFKOtOwHafYLgrujVZF9Y2B&#10;qGSCWP78Tr9VNcrDM8EgdGKkehxWnHrd0pyLuVfY8iod+hLdjS69KhuI5ZAojbAzzUB8S3HAaKGY&#10;dy6dalTxBaPjzbEqfWJ/8aaQ0xLQyFDvzwcDPGasUi6jpEv/AC2niP8AtpkVOq2ko/cahbv7Mdp/&#10;WnYZARTCtXDZz4yqBx6owNQPFIn3o3H1U0gK5prCpSM0wigCBhWn4dm8vUTFnHmjA9zWey1BI7QE&#10;SI21lOQR2NNAz0CZSR0rndYZY185SQwPP09K2tLvDqWnJcOMMSVce4rG8RQMqkgYDjBx61RKOemu&#10;mD7sjrkVqafeiRF55rm5H4APbpU1jOYZhzxmpRR3EL5AzyPersZXH3Bisq0mDIrdc1f3uy4UYFWi&#10;S0ZbVeHQE96pTwafKcqzRMfSo3Ru5JNQmHPXNO4EclpIv+puQ49DVNxKrfvEIPrV/Zs6U7CSjDn8&#10;6kZSjnljwVfPtU/2mO4XZIArnoaSWxYcxNn2qowZDiWMj3xQFiw0TQncv3fapQ4IBqqk2zjcWT+V&#10;OLhTkHg0hkGoQJOVlxyvXHemwAKMIn6U+STOc1aF9HEihcbiPSokkxpirDJjL4Qepp4e1j5fL/Xp&#10;VSWeSXnNV2BIJZufWp5UO5r/ANtRxDEahcdlFMOuyn7oC/Xk1guSOA5J9hTYkmfOWwP1qrCubh1s&#10;5y2WPpmhtdvjxBbhQR171lxhYuMfN6nvV2GXdjGPqaaQFi21DVhOJJpDtHZmJzW/YXMt9IsSxeU5&#10;PUEBTWJHkjHT14rQtQ4Ybcgg5B9KBHeWGmzWihnlBT+6o6fjVwT26kfvA56YX5iPyqpZ5vLKB5hv&#10;OO/StOJVRQFjRP8AdFQyrEMglcZgGH7E5Aqa3juVO+ecM2PuqMAVMGBpQQBknAoGKZSqElGJ9B3q&#10;lKLy8Pl+X5MPfdyTVxJopCdkitj0NSCmBTTTLVVAMeT60VbJOetFK4rHA6h4dghtZJI52BHqM1gJ&#10;o85fMRVgvcHFRSePru6tzFPaQbW/iQkH8jU9r4o08IPNWWL1+XIqeSPYv3geG7hYb4QT24BqJ3LH&#10;EkH/AI6RVmHWbCS6jL3aLGXwSeMD8a621/sW4C+Tc20px/z0BNCp3Fzs8/HmW8okiztByVzWvP4a&#10;0vxDbi6jzb3DD5inTPuK37/QoXwyJkY6r/8AWrn0eTTblo4yevQ9KxnGUdUxp3MC78Dazakm38q5&#10;QDja2D+RrnJEvrCZo3E9vIOqklTXr9rqkcyFWJR1+8G61WubSHXGeOaGN1AwCw6fQ1MMQ1pJFxhz&#10;HmUeuaxCB5eoTEAdGbP86nTxZqqf6zyZf9+IGtfV/BVzZq89mDJGOqE/MPpXLNEyNtkVlIOCCMEV&#10;0RcJESi1sbMfi4HAn0y2b1K5X+VWR4g0twfM0+ZB6xyg/wA6qaB4bXWxNI12sIiI+XbuJ/CrmpeA&#10;9QtwWtXjuAOdqthvyNPlhcE9CZb/AEW4xturiAntJED/ACqTZp7EhNVtSf8AporJ/MVyLW80MjQ3&#10;EbRyDj5hg0+NlEbJgbvQ96XIi4pSR16abJNzCbWdf+mcyH+tMl0e5T5nsJQPUKcfnXKMQHUqCBjp&#10;npVmG+u4f9VczJ/uuRTVJtaMiT5XY1zYgHlCv44pPsQ/vkVWXxDqqAKbx3Udnw386nTxLdkYkgtp&#10;R7xAfypOlNC50ONk2eHH45FNNpKo7H8a3dBktdela3ks1jlUZ/duRkVuv4Ut5CBHLKuegPNS4SQ+&#10;ZHBGGUDJjJppUjqhH4V3D+Eptv7qdT/vLVN/DWpRngROP97FLULpnI5APf8AGl+XsefYV0U2j30Z&#10;w9mSfbBqrJYBB+8tmT6rilcZjkZ5JzTfukFRyKtTWLlsxkdemaje3kiYBiPwpppgd7p8R+wQEYHy&#10;A1W1iV41gGzeNxzitWyhc2EAC/8ALMfyrM1iC4SeJkKFcHIat0lYz6mZLqukQKI5iI3I5V4yaxdb&#10;1TRUtQ1tDDcTt0/dkBfrUeoaE0t+rwMqrLy244Cmup0DwNprJvvc3UhH3Two/Kq5rEtHlM07zNlu&#10;BngelQmvaLv4c6FKSyQSxf7j8VzGq+DNG0xXlluZ1iQc5I/wqVJMDz8dKdsNW7jyZJyYI9kQ4XPU&#10;/WmbfatUhXK+xvSgK1WAKXAo5RXK+x+uKXD+lWO+B+lKQRwwwT60WQXK21/SkKsKs4FIRTsFyvta&#10;lx6ipyKYyZosMVJJI+Udl+hIrb8O313Pqgt5J3dChIDHNYRUhfetnwkAdeUnGRG2M1ElYDrbqxVo&#10;+AAcc8CsqPS2ubtIEZAz55PAFdQltJcfLEu8nsvNVo9KurXU4HuoJIYi3zOVyMe9SNGTd+GZrS3k&#10;mklBWNdzFR0Fc1diEABJxJkjgDB616p4guorLwhfJFiRZFCBSeRnvXj0pAYZPNAz2O70lLbSrO7t&#10;oSkUsSF/clRzXM6zbNNbEBcnB2/Wu1sdSjuPAti17JBCGgATLgHjgcfhXMTxieMr2PcVcXoKSPLb&#10;hcTMMY56VF0IrZ8Q2DWt2XxgMc1i1IzpdGvN8YQn5l6V0sBaRRzxXndtcNbyBlPeu50m6E0asOci&#10;rTIZoMgH8JNQM8QOGJH4VpK0ZGHIFNkNkeHXd+FMkySLZicSKM+9QtaxnlZ1H41elj0/OTat9Qar&#10;mHSyf9W4pWKK3l3KfcmjYe5pjTzqNssSv9KnazsWOQ0i/jUbWEB6TSYpDKUhhY5AMbehqu8u3gHN&#10;X5NPHab/AL6qlLYMAcOv50hlZpSe9WInRo/mxxUC2shxkE1PHZy9kbFIBy8nCAmo5YLw/diOParI&#10;gnUYEZFPQXadM07BcoeRMPuhlYDoe9CRvIPkJSQVprJcZ/eQ7l7+tOezIImiBweoPUUWC5TQB1QF&#10;MschgPUVahtECZPKt3PUVbW2MM0ZYYD/AM6khtHeWaFe43LjsaLCuS6fHvcwScnGVPtW7a6e2SUQ&#10;sRwKj0jTZJbmNyh+QHOK7G2tfJXhQDQ7IaTG2sYsbCNZGwEHzHFJb6na3EpSJ247lSBVsjAORVaS&#10;4s4Dy6A+i8n8hWRZcB/Gkmt4rmMLKpIHTmqI1HeSIIGP+052j+p/SpU+2TrlJ44vQKmc/n1oBjZ5&#10;rPStpYFd3Tahx+J6D86cL+4lx5cKqp/iJ3fyqRrsRJ5epQAIf+WqDcn4+lc9qesaTpshGn3rGdul&#10;vGpdT/QVQG0bm4ydzy59gKK5f+3LmUb3WOFj1QKTRRYm55HHJ5eamFyCQAfzqea0hP3CUPvyKqva&#10;yKccUJpjTaLDANgjDfSmfZXfmINu9QOBVfZLH0BH0p8dzcRHKsRTt2KbXUtpeXtuu1bm4Q4/hc4r&#10;Qs/EswZUvP3wA4YnBP1qjFqccpC3kJI/vIOfyqCfyDKxhJaP+HcKhx7hzI6Y65bzkrIjRHs4OcfW&#10;ug0jVYljWMurZ6MOjfX0rzhX2jAAAqeC5eDkMfwrOdBNaDU+h6dLe/aZMRZbHBQ8VT1DR7PVY/KZ&#10;MMo4cAbgf6iuY03xEiSBLrIX+GQdR9a7iyMU0SzIVbd0ZT1rmlCVN3NuePLZHCS6HrXh24N1aAyR&#10;r/y0j7j3FWF8SWd9tGpRT2s4I/fQk449RXoABOS361y/ibQdNurWS7ZltZEGd4HDexFa06t3ZmMk&#10;tx19ceHNX05hNeQvgECbGHU444615s4UucNnaflbHWnI5ifI5Hoe9Okj3r5kfI9AK6YqwJaXQ6GU&#10;yuFZQSFI6dKblgB2z0JHWouo759akDlo0iJwwPGapaMHaS0DcSamVQOM81GBsJzgkHFPj5bJrRGL&#10;NvwxePY+JbKRTgNII2HseK9wUIZI2CjcD1FeDaPb3FzrdpHbIGkWQOAc44559uK9VAu7gA3txK4/&#10;55oPLT9OTSkx2OmkS28wgPGD6FgKpzvFHGxwnA7tXPNqGkWd0IprRFfsSoOfxNWLvWdMaFl8qByo&#10;wMqDgVIDLuVd5aPg9iDmmw3drOvkXqKc8bj0P19KyTPESHh+VejfNirVtB9qVyJR7BsUrILtF2Tw&#10;xpdwdyl4weyNx+tTL4Y0cRqGTzCP4mPJrLzqGn5wiMh7bjjNSRXV/cgES20bD+FkYkfrzU8qHdnR&#10;rBDGqouAFGAPaqd/b2ZZBcEdOOazc6vIfkurYkdvKYf+zUs8OoWebu/iikU9Njc4HsfpVCuSXejW&#10;dvFFOV3mUn5WOKvafHbIoCAxj0DcVhnW7TUo41aWJghIAckEfhjirkd7DawebE4cH/lnnGPzrN3u&#10;P2nQ3LkRiMuXO1eeGryjxhqz3bPBGD5Weo+tbmpa5cT7kklSKM/wowrhL2ZBdXylyVOPLFVFWZLM&#10;0DpilxQBilrpJEoALEAdScUopenTikNHo9lo9l4d0db24tjI4QO8mFJPsvJx+VW0isPEGnvMli6W&#10;/Q+aFDD/AGuoNc9Y+PZYLQQXVp5p2bCyvjcPcEGqer+NrzUbdraBBbQEY4bLbfTPQCseV3uU2rHN&#10;uoSRlDbgCQD6j1ptFIa2IA0AZbFHanLxk+lAxPLMsixpyScD61bltL7Qm87dGrONvynPWorS2+1S&#10;MpbACljVOQMegPJqJajSPR/Bnj/TtI0/7NqdvMZdxP2iMBsj0xmtPWPilp1wjWtraXDRMMNK+Afw&#10;H/168rht3cAdT6dTWvb6HL5fmSKIk7vMcfpUWGdDq3iPTtQ0GS0tEm81yvDDgYOeTXJiwa4cFgWP&#10;91RVx7jT7M4CvdyDsvyoKausXbriNY4E7BFxQO5ci0yfbGZnMaR4Kh2yRj0FdlblZIUZSCpHWuJs&#10;rHWNSmJgjuJgfbCj6k8V1mjwTW1m0Mzxs0T7TsbIB64zVRJkQa7pX9o2LBAPMUZFeaSxvDK0bgqy&#10;nBBr2Bn+XGQK4jxZpv74Xca/MR+8AHXHeqkiYs5THNbGh3xhmELN8p6VkUIxRwy9QcipTLaPS41J&#10;QEfMCM5oYN3Ws3w7qgu4fKZvnA6V0QjBXPFWnch6GZ8uDnIqFkBPYmtJoA2eBUDQYNAJma8foDmo&#10;zFKR94KKvSRt2FVXhds8EVIyE28f8UpJppW2UcnNONpI38Jpp06XqVNGoxvnRL93pU6Xy8Z6UxbG&#10;UHGwYpJGELbZrfj1FGoFxbhGp2+Nv4SKqRx2s/3JCp9KtxWDE/Lcce4piHrEjfdkI+tWI7eZDu4Z&#10;O+Kmt9Ku3PDRsPyrZtrDyl2bWllIxtQZAoApvp7XMMIRSzFhgAVs6f4baJ3muGVN/PXtVq3tb+3i&#10;UBYLRAPvysA39ahmlsI/mudQkuGH8MK5FJtDRorPp9hHsEqcdQvJNRPq/m5W0tpJGPAP/wBasG98&#10;RWVio+z6Zuc/dMzZJ/AVEmq67eRKftltZhukaRkYH1AqXEeprRxajEry6hGJYRz80oRgPpnB/SrV&#10;pNp92hEBjJ7qeCK5dra6kmAudUgbD4bKyFvwytXV0VyQyXauw5G6N1H6ClqM3nsJdrBGAGM89Kz3&#10;uDYbmmnWIjnlsZpJLK+mhRZdV8uMDBVVPT6n+tQnwtBeOpcyypjPmOx5+g4z9TQFhF8Ui7R47dWf&#10;HBkI+WssWHnzNLDbN5jn5nC11kOm21pEkYhRQo4GKlMiqn7nyvMH94nj8gaPQaRzUfh/UGQEIAD6&#10;mitiSxublzKXTJ9Hcf0opXZVkeNXUkG7MbZz1GOKrNMCuNpI7UojzTlhz2qLofKQLMw4Iyv8qs7V&#10;lhKqx2nk/WpUs2ftR9lkt5Awz7+9TcfKZcqSRHp8p7jmqxZg5ANdU9ixiEgXKN0YdK528t/IumXp&#10;3xVxlfciSIllcd6kW5YDlQRUWMUuRWlyCytxG3Xg/StrRtdudKcGFhJCTzGx/wA4rnKBkHIJ/Opk&#10;lLcD1oeJLJ9LN55m1F+8p6g+lcRqHi24v5XQ28XkZyiuuSPesIXMoQo2GQ9QahBLNgDk/jWcKUYu&#10;5XMdV4duIr7WltL2GCRJkIUbAMN+H41pa34LmijafTRwPvQ56/SuQ095bLUra4UEtG4bA68V7HqW&#10;pQ2tilwFd96ghEUkniqldPQpHjJhkTcsqMsi9QwwajX94yg8HtXQ6zJq2tXfnf2fIgHCqqdB7nvW&#10;a2g6tChnawlCryeKpPTUTaT0KmAqbifnzgjFSqQMD1q7Hpd7dpNdJZu1vGu53UcL+NbXh3wk+qob&#10;iV2hhzjkct9KqM7DqJN6MTwjrMXh++k1GW1+0FlEMY3Yxk89vYV2958Q18iQw6YgKsFUytuz+Ax6&#10;VmN4Ls0cfZrwoynI3qDiq0vhnUUztmglBzntSbuzB36CJfyeLRHLcItrLGTsMa4RhWZcaXNbzSeY&#10;z7mbPKH5vx6VcbTdRtUCC2KhRgeWM/yqhM2pJ8v2q5j9j0pFIW4/dpbgNsZs7lzyfStC6t3s4bfy&#10;LkSSSclN3QfhXKXFnduSwuFdz3fOat6BH9kuZJ76Vd6L+6DZKk+pxTGdtaQXH2VZHzk9Msf5VMY5&#10;SN6qQBzyOlZn/CUW7KqRyh5Bx8w2L+tHnvdMxknwpGSA2QB9KAN621F7chZYSR/z0xwPrVLxBJdX&#10;jqkRWUZ6KSQPqaNIsRqNwqBmWLPVmJJ/AV2sel2MeEfcMevSpYWPKv8AhHdTum8wbVYdMDg+x9av&#10;WugTXsZilVzKn3lYkMP8RXqLWkUER+zQq57Z71xuu3erWkguzA8Usf3RbW5csPQkcYqUBy2veHot&#10;C0xr6bbtztVGOSWrzuSRp5i7AAk5wOgrrPF3iW514Q27JcRxwsW2TdcmuUC/MK2gu4mOxxQadigr&#10;WpIylp22kxQMbRTsUnFAhKKQn0o2se+KADNTQReeSMnYoyxGelQhBnHU+9bmmmGWyezEjRBmDSuq&#10;gsfQDPaokxorpexxFFt7cICNpzyWHrS29nFMmHzhctkcE+1ajWNtHGVtsqTwZJPmbHtjAFXLHRLO&#10;dQk+pLFyMfLzj+X61ncozYNSgtoVENqI375wT+dU3s7/AFWYvmSQE9+FH4mtzXvDdxZyLcaWWntg&#10;nzOCGYN64rmJlnYkSXUj+o3EAUIDo9N8GrLg3d7Ei/3YvnP59v1rYvtP0jQbEtbQia5PCNL8xJ9q&#10;4i0u7izbMMzqfc5Bro9D1GCbUFuNSOZgf3QI+Qe/1piudN4T0jUUhlvNQnkzcLhYc4AHrjtWbbxP&#10;pepXFrjMEjZJbseea7yCXzLdHHRhkVzusxwtO4J2ORwe2acRNFUruYe5rM1a2yu5huHpjsetasCl&#10;4VPVvWlmG9CCBkdvWtLEnlGo2bWd2yFcKTlfpVTFdv4isBcWO8D95GcqQOo9K4lsg4rJ6GiZZ0+8&#10;ksrlJYzgg/nXoumalHeRDs2ORXmHTpW5o2pG1lGTyOOe4ppiauehsA3SomQE1DbXSTxh05BGeDVr&#10;qM4zVkbFZl9ulMMir/APyq1t/wD11GY15yM+1AFVrzaeEqJtRK8eWKttbjvg/Sojaqe3FA0ym2pN&#10;nPl4/CpYjd3Az9nLKe5FSPEsOSsYaTtnoKiWeZm3mRwx4oHcmbQ/M+ZoxE3qpqe20+4icKy71/vA&#10;1Cl5LHHummbA6KEzWtZeffxKIvIVW4Y3DlcfgOtDaSGTRavb6f8AKtuskmOWc/KKjk8S3k2I45RE&#10;rf8APKPj8xWlaeFv3gab7MARhsZP4jP+Na1po+j6btOFd15zkn8hWLkrlpHH3CXUipKZZJQzbc4b&#10;I+oPP6Gtey8NXEgLTZAHTP8AF9B/9f8ACumbUYRxFAW9O1AmvZh8kQQepH+NTzlpGMvhZHuVkMao&#10;F7vyfwq7Jolgn37lgMY27hTrmaGAE32qQQ+xkyax7nxT4atM5uJ7tx2iXA/M0czCy6mosGm24wis&#10;7euP61IFllOIYXI+ma4m8+J8UO4adpCqRxvnfP6Af1rBvPiV4hulIF2tunpDGFx+PWizFdHqI0W4&#10;M5muJY1jHIWVuB+VM1HW9PtE23XiG2TAxsjGePoDXiN1rd/ftm4vLiXP99z/ACqkSTmqFzHrFz4/&#10;8O2kRSIXd7J/eChFP4nn9KyB8TZGuAltpcEUZOBuYk152c9Kktz/AKQn1oFc9HPxAvyeLaEfnRXJ&#10;AH1op3EVo7cseRVpLfB561VtdZtGx56sh9uRWpFfWLrlZ4z9TXM7o6U0Cx7V9KhkUs2DRPqEG7y4&#10;2DE9SO1IsgYZB/OpVxto09DkCTm2dQY3GQCMirGq+GrW6bMK/MRnaf6Gs/SZF+3qc444z611EZZX&#10;yxzkZwapGUjzi+8PzW7sELAjqrDpWU9tPGcPE31Ar2KWG21BBHcKBJjgjrXN3+hNGDJCwljB5K9v&#10;qKtVLE2PPDlT8wK/UUZrtYJlhxHd2sdxF6OoyPoa0E0Dw/qab4oNh7hGKkfhVqaYuU873Ypysobk&#10;kD1Fd3L4FsGz5dzcJ9SDUaeAbfcN1/Lt9AgBqroVmZHhA3EmugQDczIRk9hXp8Es4IEyg+h6VnaZ&#10;p1hosGLaMKcfPIfvH6mopNT8+TIPyjgUmOxsyxiOUSbMo/GPQ1HJGAF3F+TkAYIrPFzIybd7YPap&#10;Y3nmQZbKg56ZpbkNXLdxYQ3do9sL4woy5KRR7c8/UVFDaSbEjgYtGFwqJJjcB7UuoODtMir865BC&#10;kf1qovlyKF82NcdCMg/zrNpnJOE29CRVjSdVuIFAPG7nNaQVI1IiGB9apeWJCGkuRKQRir8NsW+Z&#10;shfSrirGtGLS1EDMFLdBVYB7iRvOUbB0Aq7IOMAVBKtzGiyCJCjZx8+CcVZsVJtLspfvW6/hxVP/&#10;AIRnSpHPnLMAem1+laQlf+OJ1+gyP0pDMucfMPwNAGU3ge0dg8F6zKD9yT/GmzeH5oFNqhQPIu1S&#10;p/Stje5+5G7H2Uj9aV5Y7NGubqVA4GFyeEH9TTQGbaS6ppESBYcBF2txnn1yK7TQtQn1mxaW4iWN&#10;1faMA8jFeY6p40MWY9PQNjrJIOD+FLpfxQ1ePETWlkyD+6hU/oaNAPYUt3jl3JIQp6r2+tTbT36e&#10;9eeWnxQDMBd2BUf3onz+hrVi+ImgMN088kBPaRD/AEo5Uxamrqel213N9qggia5AwwkQFJR6N/jX&#10;lXjfSYP7egGn6W9qzQ5liVSfmz2xxjGORXpdv418OXBAGrW/4nFTT6x4b1BQsmoWkmOh8wAj6elU&#10;lYNTw06Tcj71vMD/ANczTDp8inBjkB91Ne5K1ngfZdcXYOiyMkgH58/rT0jWU5/tazz/ALMKZ/Um&#10;rcibHhBsmxk5H1FRvbAfxDPpXv0nh+wvY8XUhuxn7rMAp/BcCqkvgnw9JGYX00ohbd+7Yqc/XNHO&#10;Ox4QbR2+6PxPFNNk/UnNez3fw10qSDy7NprU7t29n3/hXI6v4LttFZF1LXo4S7fu1ihLsw9evFHO&#10;iuXS9zh/szr/AA0hgcdq7KCXwvpW7Fre6nOO9y4jj/IViXM0NzcySpAkKOciOM8L7Ue0RPKzIWFs&#10;5CkkdMVpaZbC2Vnl/wBY/alRgp+U1L9pIPGKylO5SReDZ5A4qRGA64+mKoLPmn+bUFGlHcNEwMcr&#10;Kf8AZOKgu7e3vTukAWT++vGfr61VEwzgnIpwlHoMe9MVin/Y8pl2rJGEz94mui0vwfDcgCbV4Mdf&#10;LRDkfmRWYJVA61NHcgZOR+dO4WPVLC0WzsYbdXLrGu0Me9YWu6Re3V208MYdAuFAPNcWniC9snzb&#10;3brjsTkflWvZfEO8iwLqCGdfVcq3+FFwNG3ieBAkkZR+4NTPEHHvTB4i0/W54/JV4rjGNj9/oe9W&#10;zGcZFbJ3Rk1ZmFc25RzvG6I+3SuD13S/s1w00J3RMew6GvVWX1GfasLWdHju0LRHy3P3h2NKSuNM&#10;8txilArUvdKkgkbAIOeRWftKnBGD71FrGiNbR9VktH2MxMfcGu7sLhbmEMrZFeWs3Oa2tD142D+V&#10;NkxHoR2qkyZI9DZR3OPaoW27gAc0WV1bahEGhkVvoc4qd/Lh+9bs+P4s1ZmQGIhMqMilCoOGJ9uK&#10;X7YkZ+W3yfTdTJdUkKEi0jAXks3SgCyqWzsARk+tSmxtQpc4UDueleb3/i3Umu5fs86xxg4UKorJ&#10;udW1C7GLi7lkHoW4qWy0jvdY8S6XpkbR2wW6uegUfdX6muNXxHqSXDzJcMpc8gdPyrIzSg1L1KWh&#10;0+n+N9VtJ908zTxd0Y4/L0rtIPiJprwKYdOkkmxyJJAAD/WvJBUsTtFIGQ8io5UUpM9OuPiBqj5F&#10;rFb2w9VTJ/M1jXniDV73/X6hMQewYgVkW8oniDjr3FSsOn1oewXYMzMcsxJ9TRjIp2ynBaxKZlTL&#10;80o9DVdVVvvdParlwv7yYenNVVwM+laIQhRA2VBHHrTefQ05nQfxChJxG4ZduR61ZI0qV/1jKn45&#10;NEUqC4Tlm+Ydqc9wjuWYKSe2KIYxcTAxqowc89KAN3pRQsN46gpCzL6rGSKKAOSHFPGcZpu4VKCe&#10;+D9KGCJrU/NxxWzDJ8oDVkRqYzuwetWFvkA4ByKykrmsbI2ozGBnoeo9q3tM1JLn5Sw81VxgmuFe&#10;7mkxtOwe1LBdPBKGLFT6g1PIwbPQpVnlcJLFgA8SIeRWtawMFG9suOrgYLD3rl9L1/eqxzZzjh8f&#10;zrbXU5ITiVAyn7rIeDUWURWbJtR0K2uVaWIiNsZIx8p+tcrNY3FlL5kbFSOQV6H8a6s6yjQsI4yW&#10;IwA3SqMU6lSkiAA/eU9DUyqJPQuFNtamQut3ijEmwn1xSrr14sy5jiePvjOf51fuNIjmRpLXBHXY&#10;Tz+HrWHLavGxVlIP5YrSFRMTi0aV5q/2mIRopRerc9aqJMQc5qqE2jJYD6mnmOQf3cfWtNyGaUd8&#10;469K0INWlWLyg21PQgGsFEkxwATUyW94/SNSP96mkI2pbqSfbvkL4GBk9KjLGq9tp95LIq/KoPUl&#10;q1ILCeFlaSElTwrE4B/xp2JC0g53McEc4q/57qBhzUbGRPlaIg+xFMcuB8yEfUU7AyY3bjrzUv2w&#10;PZhG/gf9DWcXOeaIz8jM3AduAfQUCLQlB6EinfaHUcSEDvzWDqWu2elJ+9k3y44jQ5Jrjb3xdqF6&#10;7bNkUPZAP607MDutQ8SR27GKImaUAnOflFcNfapd6jJvuJi3oo4A/Cq9nqPnPI87Bdq4AUcnNQZo&#10;sMWRvlP0plgcbm9KJOn4UtiP3TE+tJgTXF6YV9SegrKlneVizsSatXyt8rY49qpYFUkIkgbDE5AB&#10;q0ksCdST7AVRAxS0wNddXVAFSM4HvR/bbg5EeP8AgVZOKBjvQBtJ4juUPy7x9JDU3/CT3Dn95Jcf&#10;9/DWCo/KpNoxQI301pZfvXlwufWRv8asrE97hkuTIexL5I/OuWxgcGpoZZIx8rsAeoBosHU176J7&#10;VhvkUseysDVPze4PNVTu3EHJpTG4GRG5/CoKLKy88nin+YM8VSjDO3Kt1p8rrHKVzgCgDQSTin78&#10;1Rimyo75qQTYPOKm4y6GOKN+ODmqonBpwlUjkgYpiJ9/vTkfAJ7VUEy9/wA6RpgI260DGuxdyT60&#10;3OD1qq1yT0Bx601JPMmRTnBPNMRfjuWt5VeNyrqcgjiux0nxok+yC+QLJ080dD9fSuRSBBxjJ9TU&#10;qrg8cVUXYVj1EKbmISQMjA9xzUU1lIqjzlYg968+tb26s23W88kZ/wBlsCtuHxnqsabJzDcL6SJz&#10;+mKpSJ5TRvNPWQMskYZfXvXO3nh+GTOzIPet5fFdpOoWSzeOUjko4K/karTavp8jBJHaIH1TNN2Y&#10;WaOKudFuYgSnzr+RrLkieM4KMK9TisVu4M2ssUqn+I84/DrUUnhqzCkzbjjqzcf/AKqTj2HzWPNL&#10;a7ntZA8ErxsP7pxXSWXjnUYImS4jjufRm4I/Kn6nZaFbErB5k8ns3A/GubuU8twFAAPYdqV7Dtc2&#10;H8Y6oZGI8kKei7OKo3/iHUdQTy5Ztsf91BgGqLPGYgixKCDkvkkn29Kixmi7FZCYoxS4paQxvNKK&#10;WkoAAKUE9qTpTgM9BQBsaW6vEwHBB5FX2+VS3XHNZ2mRkB3wcdOnFaLnEbEcelIZELw5+aMj8ad9&#10;sj7hx+FUItUlR18xEZe5Irs7IaIbRZLhYpGYZwF5/SpcB3ucfJIrzyEE4YVWIzGV74rr7z+wCCYr&#10;GUn1VyBXNXDQtMfJiMaDsW3GgZjYIpQD3BqwRsdjweeO9RHLsFPAHpVkjdyg/dq7Zajc6fcLcWrm&#10;OQdCAKqYXnjmlxQB3Fv8WPFNvCsSz2zBeha2Qn+VFcNRTEQMDmpI1Kru7Vbe03oGHWojEUULt4Bz&#10;mpUkNxaLa5aJSRjPOKpnhs+9WJZ2lZcDaBxSLGNpJGc1LZcdrD41DJmoi2WxgdcZNSMGjHTg1EfL&#10;VvnJAPIxUoo39JSIZSRyrDBR1P6V1cF0uBGw3bR1rzyJpDbBY/MB3ZDYxW3Z6o1ttVp8nHPy9/xq&#10;GlcW52iRW8+DgA+q8UsmntglcS46A8Gs/QrmCUktePJK3ZwB+WK27mWSKIeUAWJxkjpUyhFq7CM5&#10;LQyvKlib90zAj+B+tSpEmoxstxHh0/jHB/8Ar1G2rZcx3Me7BxkYH5U5L6CVyCzIy926j8a57Jao&#10;3UuZWZlahpctsC4Akj7sB0+o7Gsv7Q5B8oqcfwtwa7lZYpYtrHkg4kHeuGg00T3ksKybHGTyec1v&#10;Tlcyki7Z3Pmxlnj2leoJq9DdQBhiYKfR+lYFystnL5N2rxv2dTgGtTSI1upGjnndpMYijVfvZ9Wr&#10;eLuZNHV6Xbx4+1qVbjESseGb1/CtKbUmmh+yX9qxPZxxj6Gub8UJq2lx2rWEMMlui+WdybirHqfz&#10;qKz8Qax9m2XcNqFxzk7asRsz2ywxB2uYkUnAWc9fxBFQSXbWcH7jy5n9IZcj8mrlNZ8UWcpIbTEl&#10;kBwjNI2PqBWdF4geNlY2duoAOVRSP1JoEde3iaEgiezt4pfV4+fw5wfyrjdY8YXNzI8drmNckGQg&#10;bj9PSs7UNVbUtTjuXjEccYHyr6VS8jzXLKVGTnBNCdmBA8zuTuYndyxbk5qPaDkjP1q1PE1tt3KC&#10;G78H+VQJzyta7oknhCiLPO6pAaqKxTnt6VOHzWbKQ9zx+FWbBB5BJqmxzV+z4t/rUsZKYlYEFeDV&#10;aTTY2yVJU1bDGnhqLiMaTTZU5GGHtULQSRgb0I+orfJqC4O50zzVXAyEgkkICRuxP91c1bTRNRkP&#10;yWcpP+7XQ6Pcm2keNE6/dz0FdJDcxxAGaQFj2XpRcDjLfwhq0ihmt9vsxAq8vgfVJAM/Z0+sldgl&#10;603+qhL47kYFXLaON5MzB5H/AOecS4A+pouFjik+HuoHrdWg+rn/AAqaP4d3TOF/tOxU+m5j/SvS&#10;YNPgfBnhES+hkOasCXT7RsQSRI3uAeKq4zxjWdGu9CvUtJpoHLRhwyc5FZZkmGcywj2IruviU1tP&#10;d2c8RXeUIYr0OOled/eOPU1LEWoXkeTaXiI6/KKq3pP2h8MaltBiZl9BTLxR9qZeeRUjRq6ZZ/aI&#10;gu7GFznFXG00hd3npjOPmBqxoMY2twOABWtJaRygb1BwcistLjuznm0efk+XGfpiq0umzRjmA/hn&#10;/GumFkyElZXGeeadJGQmCcn1oC5xz27oDlHWogHVhj5s8YNdRd4S0mb0QisGNB5wB/vflVICn5YD&#10;MhHINIkYEyHb/EKv6lEsN0rqysrDBK8VUGPNTnuKtCZeGSeKeooApwFAgApaciqXAZtoPfGcVt6Z&#10;oWmXjKJ9cWL/AGVj5/Wk3YaVzEhH79fxqO/yGTblvpXpVt4I8NhA8mpTyj/rsFH6CkubPwVpK/Oq&#10;TP2Uys5P4Zo5n0GeYRNcxPvhZ429QcVZkuNUvE2S3crr3Bcmu9S5a5fbpPhuCKLtLPGF/nSzaRqE&#10;i77m/ihB/hhiBx+JrKVa3Uahc87GmSfxGT8ENRXWlsYyyqxx3biui1pNLs1YHVJ5Zx/CXB5/CueS&#10;7tShZmcAf7ZpxlKWoNJGNJEyHkVEa2S9pcbxFBIdo5IP9KoyRwZI3EH0YYNbJvqSVKDUhi4O0g/S&#10;mbT70wGminhDT1gLEAd/WgREBmrtnZz3M6wwxl2fgAD9aVbeKJSZJB9F5re0XxJFpR2wpHzxmWPP&#10;6g0bDR0jWlpoGhxQTBSzjL8Z3GuXmlhbf5fyg9AetdKlvd6uHuTPbyKw/v8AA/Cs+90Bw6q/2c7u&#10;d8Uw+X61PNqOxxZRv7uea0dIaTzmQ5CY4HpV9rG3XzFM0AKk4+YHP5UmnKAHBYMR1ApyloJLUsMM&#10;qayJEImet4pkVkXq+XcZA61ity7GTOo8xyetIgX5SPpVmVAXJP8AEKbDGDFn0rW5JWbG40mcU6VM&#10;OaZiqTJEJ+tFLRTA35IVAwvbiqkkINW3mQ9wKgaQE9q5Vc6WVfKwakRBwPepCy4zUZYIquTnnpVX&#10;FYsmIFSCuRUZtlyGWJWI9asKf3e7PGKdFKj9OvtU3HYz2aQHdJuxnA54FJujY/N1+taRBk3RG2Qu&#10;xwpU4z9a0V8O615ar/ZLlccEoDmmop6mbbRgxym3w8LZIP3c9a6zRtfmktf9J+ePuCQGU/1rOl8P&#10;38YPmaUuQOQBzUP9izgLnS5hu6bVJquVWI5jcu0lkPmwTF4CcgEfdNVZIbm5IdoQSvUr1IqC1h1C&#10;1IEVleAD1Tj9a1YnfKswe2kH94HZ+I7Vm4FqRLZ3iQkohdFzypXPHcVDrdpm1+3wBdyMGyg7dxU2&#10;oCIxRFoysuApZfutUaSCKOa3QuyEFXZR04rBxaldGy1WpJqFvZ6rpaSRtseNd6KxyCfrUdpZvHaS&#10;T2qgTPxweQPaqi28ttaxRM0rKV4zE2CO3StTTrh7SJYyd23leMBcn866lFqJi3dlGTWNRisWs2ly&#10;h6b1zj8aw7kzztmVsntgYFd1DpcmrK73EAjHaU9W/DvWDqehzWEmMgg9OeDUxqNbicUcPdQ3KuZG&#10;C7VHfgVUe8JjKbB7kV0ep2z3Fo8BUrIPmXA647VyrRsshRhtbPINbxaexFrFmznhRn89W2sMDb2r&#10;ftb7Sgiq7jAH8QzXMOhUjkHPpUYU7iOuKU6KkS1c1ddls57xBZKu0DkgY5qGzs1ky0obbirv9jTW&#10;FlFdXI2yTtsgi3fMSe5HtXZWfg+NLWNZIG80L87iUrk07qEbDSOJGn24Ur5jgn1FRW1qHjYNJtKM&#10;Vxiuy1XR7HTLV5p/PjwPlAnPzH2zVTSfDUs2npcSvcRNLlwFxgj15oUtB2Obax5A81DnpSfY5egK&#10;/ga6+bwnKVA8yc98smf5VVfwncL0kYfVDU86CzOZNtcqOA34Gm4ulHV66B/Dd8pwso/EEVA2h6lH&#10;yHU/8Co50PlZi+dcqO/4gVahS4m2hhluwC5qWSzvlk2OCQOu054rWjuriNNmm2qwJj5rmcZJ+lO9&#10;9g2Mm6+26cUe4hKI3RsV02iOqW6TzOGdh8qnoBXP3Bt53Iubu5v7j0TJANW7Ga5tkiLRbATja55F&#10;UJnaRO0vJcqvrjFW0uYrVCEcqx5LFq54yQMu57qTnsp6Ve0vTbbULlQyyGMclpG5NAEkmqz3chjt&#10;t7dsrzVuPSbnyvMuPlB7Z5rpLa2trKBVhjVPUgDNV7h/OukT+EGgDyXxbcFtRkhH+rhGwe57/rXO&#10;wDc+a9I8R2Fgl/eRSxXERLB1mxlCSMkH0rnjp+nAZ+2DH1H+NA2c5bn/AEpqddrnUAOxAroUsNNP&#10;/L6vPpjj9aybyKD+2Yo4HMij+I9zSewup0WjW6eS7EDPTpWskSLnaMZ96ztPmMMtvbBQRIjSFs9K&#10;0YpN0jxsNrr+o9ayGMeJhgoW6+tVpXnCjMbk59jVsxT73YScEYUHt71Evn7Nv2mJm9eKaEZ97HLL&#10;bOqqPLwCSeOhHFYSlF3AsNw5xXU3nmrZy7wpyMDbXFXAilncyOAoJGM4zVR3H0JZneRSrAYxmq6n&#10;50JPGRUgYKoMeCFOPvU0qBKCDxnI5pgaain4pqDIzT6ZIlFKRQaAH2822ZRIzEHtuPFdRpWr6Np5&#10;B/s1VkPWXh2P5iuKumKKmM5LY4q8Y9kYLBgp71Limik7Ho8fifSZuDdeX7OpFPuLfTdatHgF0ro4&#10;6xSYNeXPcRRkABiT0GOtRtqEaPs4U+5FYuir3TLVR9UT6z4Um0/VJYWkYW45SRhndU1r4dtwoLSG&#10;YMMFTxUQv52UYcyL/dbJBq7EblrdpbdGwBkqRkD8a66dkrM553vdDF0RtM3eXHujY5JPJrMu7eyu&#10;JSJGkif3HFacmpai0P8ArFiQdWfj+dZjXrSZSW5hmz6gZ/OtNGTeRnT6a8fzRvuUdx1xUE6tE4RZ&#10;PMGM5IxV5ngX7559F6CmR20MzmVVEiHgjoRU8pSkykHdR94fgKQyEjlia1jHEI/KjgRF9WFU2sVO&#10;W3RqB1AoasVzFLcKaXHpSEc/0qeC2WVvmfYP1NLcCxZz3QhkEMzKo5IBNKN0sTO9w5Y4xnmtbQdM&#10;Ek78llK4NTahoaqwFrHnA+ZV71E2ouxcIuS0MFA4cvvO/tgmtXSrgzM6sFDIOcDBNZkllLArDZt5&#10;+6elS6SVW/jPCt0IHek9UFrPU6L8az9QQblY1q+VzVPUEAjBxnBrBM0epiyKMg+1RwkqrD3IqW4J&#10;RCyjJzTFKqJSTx1H5Ct46mb0GeWZOlOS2X+IZp9vKFXaync547VetraWacRmPArKTkmaJKxRGno4&#10;yBRXcWumqkCjy8/lRReQvdPOZZyc81ELhl6GojnPNFa2Iuyyt2x+9yKfHdgNhxlPSqVL0HWiwKTN&#10;OS8jEREcrHI4Ur0qtFcyRSBg1VfxopKKDmdzcXVI9vzqCR6it2x+JOuIEgYwSDIVGeMcDoBxXEfj&#10;UkQKnOe/ehRSBu567FqPjCTDCGxwMHlR0+uK6CbWrklLeSKKCVUAYZGQfXNchba5e32n2wVEjEcY&#10;Bz3NR/2tdLP5kkzF14+Ve3407COin1OS5fy3nLBTtBA5P41ELffkNuZGOG3ViJdXF6x2bSD2K1rW&#10;dq0EYLBSxP3jkkfSiwht5YLZxK0JLI5/1LjIb39qNPNlJMQYkjlxja47+oqefdLJliSBwPpUEtsk&#10;owy9Oh9Kh0lui1No6K2SGKPY0MZb2QL+gqre6VbXvJCwnbgFAF59TWRBe3ljgN+/iHr94VUvtWmu&#10;ztGUQdgefxqXLlEk2a97rn2dWt7cq7qMBx0rBlne4k8yZix9SarbuCBmrEdtI43N8o96wcr6miIp&#10;YIplw4z6HvWHf6Ir7t8ZJxlZAOldfFBFGARgketJcMsrgBFx0Ld6ceZvQHbqeWXlhJZtliCh6MO9&#10;VVGJAD6jp6d69c1Hw1YanbCNgY2HIkQcg1xWp+C9Qs1ZrcfaIxxlB82PpXZCWlmZNa3NHTJR4j8Y&#10;QSA/6FYRqE3d8Dj8zXQeIfFUNijW0ZWa5z/q1PA+pFcPZ3c+nW8unA/YpZmzLO4Ibb6Cu08J6Rob&#10;Ez28ovbmPlmcHCfQGm1bURm6V4cvtcnGoayziLrHDnBI9gegrrre0EDAyM8CqOAZeDWoIFXlDjPX&#10;J61TvYkmlwbIzf7fWspO4Ctf2y/IsjSNjooJxUVtO13cLHCrKByxPapobBEgd1Z7ROrKWzWVcanH&#10;Yxm3tgzyOei/eb/AVDaRSTZqX1zBbxHo7AZLHoKxrDTbnX5jIpMNoD803dvZapWWmS6vfqs9ywYH&#10;cYyp2gehPeu4iS7iVYkuIljUYVFiwAPzqfiKehlSeD9MUAJFJ65Lk5NcCmmJd6lJb3xm/dZUR7iB&#10;gHjIr1lZ1U+VJKGmPQKME/hVC60oXU/mFVSVjhmI5x7mtIprYm66nJW9la22I7e3SNR/cGKjuLWK&#10;e5YPEHQD8qvvF5c0iseh2nFDMNhVEAHQe9akmObY2sqKVDwE8ccrXVQoIXTCheBwKyY1ZGyOQvJz&#10;XQpA08UbeoBzTGWjFJjOcgiqbbluF45yOK05G2w4HXGKpxKHu42I6UwMXXtNgiv7i+m8+QCDMkYf&#10;5WA9q831S6huI2e3tlgToFDE/wA69Q8YO1roV/PIMNKgiUH34ryZkLWLe1KwXKsI5BNW7RN+qp/s&#10;qarQj5lFaulwF9Tc46KAPzqZaII7mg08NrqR8yMnZbjaD6k1b0QtMbyZiRnC/TAz/WqepJAdVuCX&#10;AIAU/gKt6Ndw2lrKsy/I74DDucdKdvdQupqRzhgAvOc5J9abcQRGNm8iEueOVFPjtoLyNZbZ8KD0&#10;96biRHT7SoChuKzsO5k39qqRxyqqIQCGUDv1FcRM26LPq5PH1rv9f/c2sjgHBVnyT14rhIbWa5iV&#10;IkLHJ4AJqoLVjewxSTYMe+6lt7pgY4mRGXcBk5zj862rfwrrEtoVWwuCCc58s1SutC1DT7u3Se1l&#10;jZ2+XchGcdapoRqgY6UuDVyPSdTlA22E3P8AeG3+dSf2LfrjzVjhHcu44pCM7FBrZtvDhvJBHDrF&#10;gXPRQ2SfyrXj+HV2Yiz6nbbgM7Q2M07AcRcYAjLEY3da3PIjktIjKxQBeDnFRzaH9lYLdsFfPCKd&#10;7Z+grTtNDupgHhsNq4/1tycD8qlySKSfQx5LQXJXy3mk29NoAH501dJgSQ/aZEDnnYo3N+ldfF4f&#10;AC/bLqafPAjgQqn59K6C28PfZ4x9jtobdsfe2hm/OsnUSL5G9zirPQ55ED2+n4Qf8tbk4A/Cte10&#10;Bbl9lzfPNjrHbjan4muztNJDRf6SS7/3pMH8qvw2VrDgEo7+pqVJyKskc5b6Dp9tAFt9PjLdCXXd&#10;+tVtS8D6PqMLI1hBHKR/rYU2EfgOtdt5KnhUB9jTDaz5LEIF/uik+aOtykk9LHh2s/DDVbLdLYEX&#10;cI7A4YfhXOJputWGVOn3QGeQ0DH+lfSkcDO23YcegOa0YNGkkAJVEX/aIFaQqz7ESpxPlrGqA4Ni&#10;/JxzAa39L8AeIdbiWV41toXPRlwx/CvpeLQbdOZ2L45xgkVlav4x8J+G0YT6jGJl48qLDt+QrZOb&#10;M7RR43cfC3+zLVp3WScxjLbztAA9q4q4u4xlLaFIsd9gP869Q8X/ABRt9d0u507TbedEfG+aVgMj&#10;PQCvKJIzLuwp+UE8DNS207XKsmhn2q4iV5UllLgcZGMVp2PiKQBUuVVlK8snB/KsKRm3c4yOvNNj&#10;RpZFXYFLt1I7U5JPclXWx3Cxw30YaPDgjtVC80lLc/alARoiG9MmnaVDJbOoiYgfWrXiTUt8UdiC&#10;DyGkI4yewzWCTb0N3bluKpDorDkEZBFU9RX9wSBnBqzYwXE9tHHDC7sFG4KNxHHfFWzoOp3KbVtp&#10;QDxyuP50+XUhMyPD0EV1rMUMlrFco67fKlfaD+NaOv8Ah2VbxzbaLFDEcYRJi5/nWjpHg7VYNSt7&#10;lwIkjOSWOCfpiuvuLWC0tpJ5jhVGSxrVaK4uW54xNYSxTmOa0aEjnBOMVq6ddJaY3xOx9QRW8mhS&#10;6jcG4eVwHbp6CtQeC4kZXWTeQMlZBkfpUNtsrlsZK+Io1UBLAkerPzRXVxaAUiUExJ/sqnFFOwro&#10;8HZzJjceQMUw8VLBC9xMkUYJdiBxVnUbJbK58kSCTjkjsa2sZFADigjNP2UBaQDQMHFO204I1OEZ&#10;HJ/lSCwwCtnQdLbUb1Qw/cqcuar2Gl3N9OkcMTYY/eI4r1PStKttMs0hjUZx8zHuaAKgtLSFVVVB&#10;X09KU28Z5ROfWtgxwkYaPIpphhHIQCgCnax7D0/Sr+QaDgKAABTc0wBgKYQDTiaTNAiJlqpPZRy5&#10;IG1/UVeYZpp6UrJ7jTaMmOP7PJiWPOejjmrQ3MOBgepqxtpCvFZewje5XOyARgHJ5PrQVwalK0m3&#10;vWySSsRcgLzFWLvMmP4ghxVnTr2OSQxfaZJT3JU8Vfi8U2cRENzHNbhRgu65U/jWnDqdpNGZYZ4W&#10;T1DDiueUrMq2hnz2uk3aj7TDFMwHDSR5qW1NhaJsthDEvcRptzWBrvjCY3q2Gjsu7P7yc8qPYZ4p&#10;ja6WVY7m7R3TlyMD+VDm7DUbnU/aLZ8HzEI9zT5tSsbSDeZ0JHRVNecalqL38kkNjLNDCxyx8w5Y&#10;+3oKtaFpzCR2nuZbhXXGJWJCn1zWUq8YrVlqk3sbFzqdzq02yBgkWfvnj8h3rW03RrW0XzZGV5D1&#10;+YEn6ms230821sfPYXUuSQ0Yxx2Aqq1pqksh8mOCBO298n8cVpGN9RN20OouJp2BjtgkfuT0ptvH&#10;dKgDzB2PU4zisCHTtW3/APH9bof93P8AWtFYtdKhf7Qs2A9YxV2Zm0mb0CNG/mLtDkc8CnmVgxGR&#10;zXJm71tLzyFWCXH3pNpCj2z3rRkeZIGeRlLAZKqvU1V2gsN1TTyWe5i5zyyjtWbFH7cmsHU/Ed1c&#10;ReSkiKjD5tg5/wB3NZUerXlmVEdwxXurHIpcxXIzuo4d2Bj5e/vWi94lvCoLBQo7muNtvFyqv7+3&#10;O4D+FsfzrA8TeI2vUEUAZEbqc1aYrHXat43tbBSEImf+6prMsfiWiTlp7TAxwVOa87UBhnv706OP&#10;zDTuI73xd40TxBbx2tnGUtxhmZ+pauXTm3K45JxVaLZH+7ZsN3JFalrCG9x600Iz4lyEbGK6TRYl&#10;N6WbgfLk+gqlZae91MqLgKSST6DP+FaUd1ZWs7Km8rnBJxzione1kVDfUdd+HLa6u55jKm5mJzuI&#10;71SfwnIEYxzwk4yAJq12vkdfMigWVScfKeRUmnLc6rdGGKwdFH3pGbhaj2k10K5Yt7nNR+HtYt5F&#10;eJsMvIKTD/Guj+2a8saiTSklI4yGH+NdCfCF4QMPD/30RUMfhW+mkZI1jIHV93H54pe0b3Q+Rdzk&#10;tZ+13dk6y2rRTNx5ecnk1z1vHrViMWxvIsf3NwxXqUXg2ZrgpqKgxEZASTDZp8ngCxBxGtyp9npx&#10;lZA49jzMeIPElshDahejnqzH+tUdU1zVNViRL+6edYzld4HFenyeB4DhU1C8SQ9I88/zrMvPASNu&#10;jGsSbjwFMZPP4Voppk8jPMFkkT7rsPoange6mk2RySsSfuhjzUl3p72l7La3BEMkbbSGHH+e9Oht&#10;HVgyXEOR0Ky4NU2RodPo3g7xBM6TQRtbZ6SNxxXdx6JNbWEcF2XnZev2e3CsT7uRmvLYJNVUnbqb&#10;Re/2rGf1r2b4W6Lq13pbz6kXuUkYmK4a43LgcYxmsdX1LTRSsYYbbP8AxL3tR2Ywl2P4mrtrNp0d&#10;x5tzcSs69PMVuK7LVLOx0sfvJYQ/dTJg1zM2prfTCLR4zM2SHcE+Wv6ZJqZxS3NIu+xZj1XSD8xu&#10;Yt2eN3/16tx6hZXAH+mwj28wcUyHTttsBdMksmOTtGM00aVFL0ghC/3miH6etRBKTsimmty/BJaS&#10;M3lyI5HUg5qVjGwOxAT64rMMEtimIJLYD/rnis261a7jJXFu30JFaOn0uRzGtJdyWitsjZm9TWDd&#10;+ItSgYkpGy+mDVC5165RsSJCPcSc1Sea4vWxtdUPoMk1HJbYrnuakXji5z5UlmuzqSjHP5VLcfEb&#10;WoLd49K06EN2eXJI/Cs630+6Q/u7XK+rHk1uxpb6fp0095FDkRnCb+Tx0raN+pEjx/XfH3iXXWdL&#10;7VZzHn/VRtsT8hXNeYS2WJJznmrN/bSxXMjNCyKzEgY4AqqqqzAE4ycZx2ra5kadmdti8hJ+d/Xr&#10;irMF4luotxErtMMMSegqKWIxQosYzH0UjpUKlUmjkJJKnkVitXdmrTSI7uyS3naMgbhnjNQRwMsg&#10;L4yBlRnqKu3tyL26aQKqlgFwcD9aj2swO8KpI4YnjAPQGrvqZ6oLd5HH+ueNR15OSa0LCwlv7yCK&#10;MF5ppBGvB5PX+VVY08yJV8rag6D1Gema9o+FngeUS/27e2/lDbtt1K4Jz1bFCWpSbZsaZ4ei0+0W&#10;3t4gqgDcRyWPqTWkmnbcDbXWNpvy/KMfSiLS+5GDVaF3SOZGnEn7uBjJPTFcHrF0da1LyLf/AI8r&#10;dsA9pHHU/QV1vjXWtrHQ9PfMjf8AHzIv8I/uj3rn7Kw2RbUAVR3x+lZy1diugQ2ZiiwoGTVm0geM&#10;8HLN1qZbNzkbvqTWlDAkMYXqx707InUrrEcfcVvUmirwjGOS/wCVFKwz5hsLiGyVrg7mmHCKPcHn&#10;NUTvuLglVJd2PA9TRICvBBB9DV+xSFFLFgXI/KtZySMYq50mleCRNZiS/n8qV/uqhHA96sN8P0zm&#10;O9yM91rEt4jIweSRmUdAW4rsNI1Uq0cU8xYSDCE8YrJSLcGlcz7fwMUb95KpA6cda0E8Kqg+TyiP&#10;cVvi4iHWQUhu4QeJB+dUZmVHolxFzGUGPRsU/wDs+/XpuP0etZbmP/nov50v2lM/6xMfWmBiNa34&#10;6pL+BrUihkOmiNgRLt6nrmrPnxH/AJaJ+dBlj7SL+dMCjYi9Ky/alRVP3BkEirYc84UZ2d170odP&#10;76/nS70/vr+dIASVjJyi7cDOUHB5/wDrU/CHqo/Cmb0/vL+dG9f7w/OgCTbH/cH41CUEs5RFCqh5&#10;J70/cP7wpcj1FTJNrQadjXistKSBRJsZ8csc002elDOAp/OsrPof1o/H9alRl3Bl2Sx01hxIEP1q&#10;ld2UMcTPFNCQozz1paKOWQaGGZoCSsrybO4Ebf4Vh6pCpu0XTVf51O8iMjA+tdpJnHSiONGXJANL&#10;2YXPNJLMxThGj2BjjHvT2sTgou1WB6HrW/4k0bfM80LBN2GI3Hr61TKhreMzczbfmYd65atVRdkd&#10;EVdXMQ/aLRwWXdg8cVv6d4jgiCMbWTdnDLn5T+NYupSFbVirEbcEH+lPsJReWSSNEEOcDHRqyqRj&#10;OHNJFKbUuVM9OEsdyFli2+WQMBTS7c1j+GoHjRsD5SOea6Hy+elduHmpU1bYwqRtLUrBDmniOp9u&#10;OKULW5mQiOsrxFLcWmiXMttGzSqu4Efw4PWt3bSSQpNE0TrlXBBB7imB4JHeOLh5ZZMsSScjqTUM&#10;l5K7t8xwT610HiXwhfaXeSSwW7zWjMSrICdo98dK5xbeVn2rE5bOMBSTU8qHdiGaRiMscfWniGaR&#10;FJzt9TXS+H/A+p6pMklzA1ta5+ZpBgn6DrW9r3g2S1iVrCIvCq/NzyDSloroZx8WkNE1v5zxssy7&#10;1COGOPfHStiKGKEBUVFH0qC2tDbu5YfOT1rRtrVnO4khfY4rCUm2WkOWC1mwJ41kHutaFro2nk5N&#10;qF4ztyf8ahBit+IU82X0HQfU1PBFd3fyMcIf4Y+Aaht9y1FE17JDaWQgsYUgWThpUHOPTIrA3MCV&#10;ieR2PGFGTntXRrYahdXf2W3jQQoMNIw4Wtyy0mDTjut1SW5xy7D+Qq1JWJ5ZN+RheGfCd55RfVbh&#10;Yldt2xmAbHp7V20EUdrbeRbRW0g6KinJNPsbfWLpledhFCOxjyT+lb1rYw2+THGd7febHJpvXcGr&#10;bGXBpQkKyXESRkc+Wnb6mtZU2qFVMAdAKn8tANzNtUdSaitp4b2d4Y7gRRp951UszfTjAp3J1e4y&#10;RlhQvKwUDv3qqv2i+P7oGKD++3U/QVbh0aEXz3EkksgJ+VHbcF961ooY2OAD+VFmyloYsOmpE25S&#10;c9zjk1a+zZB4I+oqW71bTrGTy5Z8v0IjBbH1xT11SwNm90ZGWFBksyEZ9h61asirSPEfizpHk6zb&#10;36qALiPa2Uxyvf8AWvONuD2r0z4j+M7XxNHFbWVqyRW0hYTPwW4x07V5ucs3Ayx6AU0xuNtxUT1O&#10;Pwr1Hw34s1Kz8O2mm2VzLs2nbFEAWyTn61zfhjwLf6zIJJkMMBOckckV7FoXhbT9DiURQhnx8zHr&#10;+dRz20QpJWMOx0DUNUHnarM6Qsd3kq3Lf7x711VtbxWsSwWsSqqjAAGABWgZOMBSMVExFZuF3dsF&#10;NJaIj2KnMnzHsOwqvcXO0HBp0yswLByAPesiUXN05is1aVu79hVfDohO7Ir++WJC0jhQPWuR1LVp&#10;JFcxfJF/fNdgPAt3dHzbi6DSddpHArjoPCuuanrBt3t5Y4Q5XzpUKIBntng1LUn0BJHPobmRZJ2c&#10;788A9QK1/Cmu/ZdUW21CX/RJDgyP1Q+ufSvTr7wnp9h4TuYIYgmyPe0pGWcjua8ZvIQu5uD36VtG&#10;NkZy0Z3Or+OdMt90GkQNdS9PNYbUH+NcNdare6hO8lxOWOcALwo+lZ9uzzsMDCZq7FDtXGO3eqsD&#10;lckSRWj2XERPvjINUNRs9Gto98zKkpGVRCcn+lbdrDJuyEcqBnAUn+VcDqk7XepTTkY3McD0qiC4&#10;t3EsRjiXEPUbjUlunnYwv51jRtsYHnHcetacGrtGNhiDR4wM9R9KzlF9DRS7l5rGMjd0Irv/AAD8&#10;OV8RhrrUHMVipwoBG5z7e1cJpiPqt3b2Nvl5ZZAqqRyxNfUWleG7HSdMtLVLQuyxqGcgk7sck/jU&#10;pSvoaXhbUj0nwL4b0kxNb6fC8kf3XlO8g+2eK6YKAevGOlUYLO2hVitu+c55HepPIDyqxtz9Sela&#10;q/UyduhfAGK5nxd4kGh2PlQENfXGVhX0/wBo+wqzq+qDRbG6u51CRRj5Pm+8egA9zXlzTXOpXsup&#10;XuTM5+VD/AvYCiXkEV1ZLYWDAtLKS8rtud26kmrqxStcqAQqLyAKyxqGoo5CQjb2BGatW91q6sko&#10;05pA3Q7DikkPnN9dyx5cZPQD+tLCJTJlo8L/AAgkHNT6SLm+tzLe2iw5OFQg5x+PStJtNhZ/NfIV&#10;e2eKCihJp97I+YpljUDGMUVJcXN08pNsFEQ4GeKKVx8p89ePLONYra6UYfJQ46EVxMbmM5FekX+v&#10;aXf2j29xbXhRu/kfyrgryxEUzG3Erw9i6bSPrTRiObUXMCog2kHJNaMOsxPEGmMplQjao6H6VipC&#10;c/MCPwrd0e0083cY3tLN3BXCjFHKh8ztY6S0e4uLZZS7oGGcEjipMy9BLn/gQrO14lLFADgGTt9K&#10;5ocn0pok7b/SN2RIf++hRuvM/wCtz+VcS7AEAZzTdxNFgO333xPVj+ApA+oZI+b/AL5FcTvYdGNO&#10;8044J9+aLAdwft/HDn/gNIft45G7/viuGErg43tj60/zT/fP50WYHbK19yTuHH9ylMt4ANokLd/3&#10;fFcOJnB+8w+hp32iQfxv/wB9UWYHbCW+25II/wCAUguLw9j/AN8GuJNzNjiV/wDvo0v2qbHEj5/3&#10;jRZgd2kl44J37fqhpwku1H3xn/dNcELq47TyD/gRoF5cqeLiT/vs0WYHfCe+/vj/AL5NPWe9Lf6x&#10;R9Qf8a4D7ddY4uJf++zQL+8B/wCPmX/vs0WYHoElxeBgvmK30BoFzeAYyB+dcD/aV6Tn7TKD7Oac&#10;up3ecfa5s46bzTs0B3chnu12T429iM1kXm2OUJwMVgJf3z7dt5Kcf7Zpbu8uGmSV0BHAY+tcNejz&#10;SujeErLUtXtv9oTykJ+c81p2UCqsUUK/KowBiq+nBpyFbjPzI3sa6e1sYrC1a8vCiQrySe/sPWuK&#10;pN29mjaMVfmZahuLi3tligiQY+8TwT+lKNQvx/Ah/wCBH/CuG1LxJfXN/JLbzSQw5wiKcYFVv7d1&#10;P/n9m/76r1cPTcKaRy1GnJs9D+334/5Zp/32f8KeNRvu8af99/8A1q88Gualwftcv/fVOXXtTGR9&#10;qkOfU1tZkHof9o33/PAH/gYo/tW9VsG3/wDHxXny+INSB5upPzpW1/Uyci6f8cUAehjV7s8fZSf+&#10;BilS+uVbIsAD6gqK87HiDUweblz+VOHiLU8/8fT/AJCgZ6T/AGlff8+ZP/A1/wAaX+0LsjBsm9/n&#10;Xn9a82HiLVN2ftb/AKVJF4m1VSf9JYj3AoBNHUzaGbm9ab7O8Qc/dYrgfkamuvDcscYS3SJpD3lJ&#10;xU/g66m1HTZ5rp9xD4yR0FdCI1WMNHu2qSwzySaz5UVfscBL4b1OLbJM4kBONkUm3/Cr9vBHZRr9&#10;teO33nCqGJJ+p711N0GMaHbwSSfUVR1LR7e/iia4UP5fzKaOSI7shk1aS0hxb+XgLkDaa3PC0N7r&#10;MAlugAD8wKDGB261hraJd3CwxnO44PHRe5/l+den6PYCzs0QLsOBx6egrJxTlZItSsiAaIMgfapw&#10;T2B6VDqOnLpumXV5JeS7LeJ5Tk8cDNdAu1AcD6mub+I4dfhrrDxAljGobH93cM/pWvs0TfQ8f/4W&#10;lcXUgS6tx5Q427jj8amh+ME1qWjj02MqDgYbHFeYOCD0pFTNNUo7k+0Z67F8a5APm0ofhJ/9avRv&#10;A+t3HjrS7q5SL7HDG4jyTndkZPTHrXzJFFlgvr1r6T+C7Gw8AzTTFVhE7Mp7/jTcIi5mb0vh61sZ&#10;Y49nmyM2doJ49yCam1vw7DPpDyTyuphQyAL6gGrekwy317NfTgBmPy4zwvatLW7c3Oh3kKsQzQOA&#10;3/ATU2RftJX3PlC/hSZ7kQIzLvO04xnmsiymu9IvRMLRWdRkCVMj8q9I0nQ7jVNT+xQBBKASofgE&#10;j1rA1i5itLq6S4jBvlHk+WBhYwOvXqaiDb6HQ/fEs/iRrS4ULAF6YCYrqPCnjO/1nxJZ6dd7Ejnl&#10;8sunUEj/ABrzG3i+bdt/CvSvhVocjeJoNTvLS5+yxEmJxHwX6ZP0pqCbui5RUYXZ6h4l0ttH0wXU&#10;V3K53BcNXJDW7tWCs7EY7V6H43Afw4xA4Dqf1ryt8b/eqlFHFzsuSapJK+ZNzqOi7qtReJJIVVUh&#10;ChegU4/pWO2B7GomzU8kR+0kdF/wl04OSH/A0j+OigKSxOy9+BXODlqxPEUdw2my/ZSfMUhiB3AP&#10;Ip+zQ1UfU2dZ8cajqs6WaTNFZHhlB5cH1Nc1d2hO9VBya5NdZm3sXHsAOK1tO8T3hlCNaxzL0+br&#10;+dOCktwqO+xftbIxAKBu+ldHo/hu61CYYibb9K0dI1DTmhSb+zt0mOjPkA109p4kuvs0wgjgt9oG&#10;0onIrTQzRoaR4Vt9OjWe78uML/fIFeN/FTw7FZ+I3v8AT4x9iuTkbRgB++BXWS6leXuq7rm5kl5B&#10;wzEgc+lb81nBqMardqjJnADDPNT7TWxpy6Hzq0EijLRsM+opFQk4Ar6Dbw1aXlxbQTWW5FfG1VAB&#10;HpT7P4eaGt489vppfniOUkqpp3Isch8GNC/4ncmuXcZMFmvyDHV24z+Ar6DGpRMibPnBXJI7VzNt&#10;ptvpMbRvb7Y1GVSPhT+Araggkjs4PKgL7vvDPTnNJPULFufUTHjbAWGRkg9AatLPuUHbis4fa/3o&#10;+xDAHyksOalBvCsebfGW5G7pVWA4jxTBquu63LE1pOtla8RBVzvbu5/DpVCRJbCGMXEDQr91TJHj&#10;NehzQ3LzzKIBsZThg2O31rk/HMM40a3klj2sJMfezxiolC+ppGdtClbSPKgZIFkTHURZrRhTUZA0&#10;uxILeNeOM7vqB/L3q/4I886LERGuzLfMTWokF+I5f9HQMWB+9weDn+lLkdtw512MOLUHJA8vqcDi&#10;rN6bp7dk2BVGC5HPH0qxPHdRSJmLZxyQeAaLLTJ7mZnn3CE9cnlqXKxuasY0UVyI8KjlexxRXY+b&#10;BaAQrHwvtRVWM+Y+ODAi4/0yLJ/2qZJDH1+2IfbnFdF/ZtpNdIREqcuMvkgDIx0qSTTLUPtEKPH3&#10;bpUpknJGFFwfOLH0ANWvD53a6BztIY811Uem22WPlRFeMbpMf0rF02BE8XXKRqAqqcAHIHSrTEW/&#10;ERC20Gem8/yrmHYk8V03ifCw26+5rmOKaAY2TScinnrQRTAbjNLjFLjFBoAbRinYpDxQAlBBNOIw&#10;RQRQAzBpRxS0vbNACUUuaBzQAmKKcelIBQAnP6VQZ2EhbPOa0sVVntyfmXn2oARL+RCOgXPatWLV&#10;oWiaIoZN3bGAtY6WrMASMVajjWNcAVLgmUptHT6Zrtpp2mJF9nM9wrsU3cKq9s+vPaqGoapdapcN&#10;LcSE85VAflX2ArNUU9RURoQjLmtqEqjkrMU89TSAZp2MmnBQK2IEAp/lnGe1AqUBtvtQBBtAOeak&#10;WJiM1MOeNtOGaAK5jbpjmm7CD0q3tJOe9RuuKBlcCnoKXFKo7UAek/Dxf+JHdN6SE1qagNRuGhfT&#10;5kjhjfMgYHLdOnHPeqXw7AXw7eFjgCTr+FdEQGtywf8A4Fnp71n1KexBMoa2yCFx0b2qMofsqBmA&#10;YDJJPSoYbu3vFJt7rzAjkMM4xUuxjE5bIx0OeopsY7TbuysJft13LGuWAVXOMAev411A8WWYxlkw&#10;e26uCkjed5GMivAD8iNH3+veqk0bvmRkAcDjHQVl7N3umXz6bHpY8XadzueMAer4/pXF+OPiZHPa&#10;S6Po4jkEqlJ5GGR9BXJ3cL3MFxbjILr8rfWuEe1vLK4aKSGTcp4OCc1SjJdRcyfQjn0+YOdqbgf7&#10;vaoFiK8FSG9CMGuz8Padcmdbq7VEUDIU8n8q7DxPpli9rFObSHzDGMsF9qtStuTyp7Hmeh6Peavf&#10;x29pC8sjHGFHT6+lfUWieHY9L8O2WlpuSOEBpdo/1jdTn2zWP8NtPtItPR4IEido+WRQCea9BCYA&#10;GTxRL3tg2ILJNkRGABngUXxY2c4H/PJiPyqcRgAAE1FdEJZzMTgCNsk/Sn0Fc+fdZjigtprttRWC&#10;SSZo1iVtsh6HIx2rip1s1YyNukz/AMtHOSa7bWPAl34o0q71PTMyXdpOUaAH76YB49682Oi6vJd/&#10;ZBZXTzIceUIzkVkoNmvtLHqPwhg0bVPEMqyQpJLDHvRHTIPYmvdTp8QKeUBEFBAVFAHJya8c+DXg&#10;TVNN1KbWtSiltV8sxRxOMM+cZP04r2t5ViwCTWqSWxnKbkzD8Yr/AMU3P7Ff515LcTRwQvM5wqDJ&#10;NeveLMN4buj7A14vq8TXGlzxoPm25A9cc/0pMUVd6mQdQ1G9bfaRpHH1UNyxHqansdTeS4NpeIEn&#10;x8pHRqfo0qyWpA68EfTGP51U15dk1rMgxIHAyKRtZN8ljb6VTuSMn1q4DlBn0qhdYyaaMUY1x4e0&#10;66l814irHrsOM0xtKstLtjMik4OMnmtdD8oz0qvqShtOl46DNUhMs6CytbNjoHOK6WyOIZx/s1yn&#10;htg1mxH96upsWA80HulJ7gtzE3FdSbn/ADmu2tt+FVEVmcbTnrzj/CuKmGL0sD613Nll7ZT9mMoB&#10;ALqeVBFZdTa+hry3bLHBGuVMchOWAz09fTrU2l38iRyt5O4udqlm/XFRyac0kkSCMNuXqp6ite10&#10;d4IgwhQcY2qf61e5DZHDIq/vLxA8gG1V7Zrcjl2wo6xY3HkZ6VTjglgmby7UYI+9nNWE+0C25iAf&#10;d92qSsTctZfJ4XHan84qn+/Mp/dnBHXNMVrnyhiI7s9zTAnluTHIEC5yQPzrkvH8sraGAYwEEi85&#10;rqZPtHnJiJShAyfQ1zfjVJpPDMpePGxlND2BbieALstonlYztkIrobrUzbxTOItxj7Z684rlvhyW&#10;/sqddvAl6/hXSyQyu06NBwehB60ojdrkKatPJcxobT92/OT6VpwzeZI6bQNtUjHKnlyLC24fLjPa&#10;prdpvtTbodqkfeqgduhRvZ2F04FrI2O4NFa8k8KPtZsGigVz5v0d479XfyIlGAQqg5B9Dmre5RI6&#10;LbD5evHWq8fiDTI2OAEJH99f8alHiG0OCIzg99wNSiboY1yw4WxBx1B649ayigbXlfaOYmOdu09R&#10;VybxWqzMItHnlx0cHGf0rOsNV/tjXJ3+zGExxlSC2c/N9PahiTKHiogC2XHPzVzQWum8WKTPbgf3&#10;TXOhTQhkQQ96UrzUuOBSbaYEW00balxjikCmmAwik21KRRtJoAixRjNS7DSYoERbRS07HrQRzQA8&#10;Rhl96h24NSA46Uh4oAZj1paD0zRSGFOH3aSlHSgBGHyr9KTbinOMBfpSg0AAHSnjpSdDTx9KEIFB&#10;p2KcBjtSgfN0pgIqHOKnVDjBpgFOUHcO9ADgp3HmpPLPrUTE7z6Uoc9jQImVQO9QyY3Yp4yM881G&#10;ck9aBke2nYxQBzT1BJoGj0nwESnhi8IXcd5+X1rodiGEgIUXptI68ZrB+H+f+EeuhnnzD1rau7+C&#10;ziWS6lSPLbQT0zj/AArNblPYgnt4IEKxIqKz9QMZqpq0l3FZg2KrJJuwQeABVi6Cvaocll67s/rT&#10;jKr2+5cHtz3oAqYY26BlCybQSM8A4rJgkvJIJDdqiNuIXDdvetCe5hSRbd5o/NY/Kp64qrMGCg7x&#10;sx360xFNlIkBLAgjoOgqHUP+PQHvuFSEKDvzzioL1s2hCkZ4PNDAmt22xg1u+I2zpcJ9Y/6Vz1ux&#10;MC5xnHOK2vELn+yrf/rn/SpZUT0L4cP/AMSyLAyTF/Wu+Ytjgc4rzz4ZMX0yE5/gb+dejCqjsKW5&#10;FCzMnzdaWUbonHqCKk4prcrVCOE+Hm7GqoDjbcDP/fIrs3t8EvGsYk/vbeTXG/D4bbzWF/6ar/Ku&#10;7pR2G9ypGLkLh8EknkdvSpFiEqqZM7hxU+BRimIxfFCf8U3eD0SvICK9k8SLu8P3gH/PM1425AyS&#10;cAdc9qTDc5+WM6VqfBxBLlkPYHutVdUvop7qDy1aURtuZV9fSrN7K+syeVGNlsjfeP8AGfX6Vn2V&#10;4bbJeLMaMQJAvBqTsily8z3NS312GWURzQSQFuhbkVNcEOTjkVnahf2l1ZlI0BlP3dnrV1FaO1jD&#10;/eCjNBjUglqRE/uhjrVa4v7cwSwvKofaRirJ5h/Gs+TSo7iYy5YE+hqo+Zix2gX8FrbyLNIsfzcZ&#10;rrtOnSdiyEMrIcEVxkGki4aVJPMCcY5wK6nQ4vs2yIdAppuwLcguRtvAPXNd1ok7x2zLG2DIgzxX&#10;D3ZzeAkdDXceHIvPiRVHzeXkfWsnuanVaPE32pPmJCrg8V0ZYqvTpWLpMcq3GGX7vDHNbTBiMYFX&#10;FGbAPmQrjp3px+lRhWDA8e/NOBbByozVCIpLgoWGzO3360tpcG5hDsmw+lI0O6USYOcYxu4pI0eL&#10;dtQ+wJpgTkgVzXi65EmhX8CryiA5/GuhkaQYxHuz15rC8RRNLoeo5h2ny+ueuKOg0Y3w1n3Wl5D3&#10;Vwf0ruXYqhIGSO1eefDViJ75ccbV5/OvQXLNuTaQMcEVKB7lf7eodFKH5m259KuA5qm0OFQlWYqc&#10;1ZViTjaaYGbfLEbk7mIOOworTaFHOWUE0UCPmUaRZXloJLOzijfP8aj/AOvUNwt9ZjyxbkAD70YH&#10;6VYj8S2g4S0vTjnCQH+tTr4mRvu6TqL+3lAf1pp2JaMQNrE80cMd00bSnA6YX61LpNpLb+Ib+OZw&#10;8ioMsDnPJ/pWo2rbpFkXw7eF1OQxCj+tQ6U813rWoXU9s8DOqAK2M96JSugSMLxTk6hGnZUrB2+9&#10;b3icf8TcjPRRWOVBqUMg20oHFS7Ae1RybVHcn0FMBgALVIE5qPbNG/z28gPYEdau+UUO2RdjgdCe&#10;lHMPlZWMfNKI6tCLodw+mKayc54/AUyStszxTSgqx5ZPSjyz6UAVttIVHIqwyYHSoyv0oAh4FNYE&#10;9BUxQ+lAG0YIoAgK4HNJipCDmkxnigBlLinbDnpS4AHNIAdfu/SkAzjGKc/RfTFKoPpQABctkkZq&#10;ZV6cCo8e1TICRwKAHGlVT16U+KN848sn8KspbTuflt5D9ENAiv5felWP5SeKvx6XqE+dtlNhVLcx&#10;npUqaFqbqSLC5IHU+UaLoDJ2DrmnBRitNdE1SQ4j025b32YFWIPDWrzxuyWEmEBLHHQUXQGGVHWk&#10;wB2raj8OanMAY7ckHuWGP50+TwnrCxki3Tgf89BRdDs2YRG7oMClHyVqJ4funJUywB1/hD8AfWnf&#10;8Izfn+OLHsT/AIUudD5WjsfAJI0G4GM5kNbFxpsd5Fi6RJiPuDH3P84FZvg2CXTtPns5153Flfsf&#10;zrbkIjyVwCeTjNShlJ43e2C7SG9COlNP7uEKCCe/FUtZ1o6XZvOIWlx/Ctc5Z+LJtRuUh8pomc4w&#10;w4FDdgWpty2MLXn2mRQ0gGFb0FQPCUBy5JPr2psk8wPzSD8BSGQsvJpRlcpopygIxIJ9CKr3TZib&#10;6VPcnJqpOcxMKpkk9q37pa09auQ+mRDPITFZFswEaitbVdOaSxt9rMBKgJ29RSY0ej/Cxt2lRH/Z&#10;YfrXpPavANEs/FmkjZpktyqgZ2hMjn8a3h4p8cWg/fJvA/v2+P6U09BvVnsFBryWP4j+IoTiewtn&#10;/Ar/AIVZT4qXsY/f6Mp/3JMf407isbPgnCa9rcX/AE0B/U13FeReHPF9tYa3fXt1DIkV3yAoyVOS&#10;cH1612kPj/QZRzPJH/voaEwZ1VBrCi8XaHN92/jH14q7Hremy/cvYD/wMUxBrK7tGux6xmvCdbYi&#10;3Eatt8yQISPSvdNRurebTLkJPG2Yz0YeleK6hbLdQvGSVOcqw7GkyoNJ6mFcTrZ6QDGB5svyqPQd&#10;v6VoadaC306OFgCcZfPqaig0TbOs11N5xT7igYA960yPpUl1JJ6JlT7HbRnckKA+oWq9yMDrWg4+&#10;Q1nTnigi5WHEWfekiPNIT+7P1pU4NMkuR/eq9YnZdJ75FUIzg1ctmAnQn1oGiC8OLofUV3fg6UJL&#10;CW+6Uw30rgb5v9JH+9Xb+EcM8KnuMVHUs9MtYURN69X+arIpqDagX0GKdWpmFFFFABRRRQAVn6wm&#10;/R7xfWJv5VoVWvl32VwvrG38qAPPvhs22+vI8/wg16VXmPw//d6/dJ6xn+denUDYUUUUCCiiigD5&#10;4Q85FTLxVZGqVZE6bhUiLAbiqOnL5l/eHHdR/Oraunr+lJYWzQS3D7g4lYEdiOKAOD8RuDrM/P3c&#10;CskeY4yiHHrivYY7KxIbzLZSWGC2Bn86uadZaVp6BVszLjp5jA/0o1BeZ4zHp15OAfInYHuEOK0L&#10;bSbmNtyafdyMBwfKOM/lXukerRqoVLOJR2AqT+137QRinZhzW2PFk0rVJijPo91MB2ZWFSDwxrl2&#10;xMmj3PJ4ITkD8etezjVZscJGPwpRqVwemwf8Bo5AdSR443gbW0UuunTbepJ4Iqr/AMI7qKXUVtJb&#10;gSSHCqWGfxr206hcf31/BRVZmzN5+yMTf3wgz+dOwua+55H/AMI1d+e0C/ZzIvVRJkj8qlHg2/fr&#10;Jbp+J/wr0x7K3eVpPJUOf4gMH9KY9tGRjacf71GoaHmcngu4jBL3lqPxP+FZd5oiWsojN2juc8Rq&#10;TzXqkul2b53W6EnuRmspvCulC487yWLE5YFsg+2KTuVHlW55zDpHnJu85xg9AgP9acdEDEAea3/A&#10;a9PSytbVNkEEca+irUcm1RwAPwosxXj0PNR4dZj/AKmc49B/9arNv4YV1zLDOnsWFdw71AzAfSiz&#10;HdHJ/wDCMop+W2Y+7SUHQ4ox89h8oGchi1dQ0g9aaZB60mgucY+nmKKNo9PaQvwdykbP8RW/YaTB&#10;5Aa502LzPRQMfzrUDjjFShwcUWByKkUVojlU0JG29ztFatpOIiAugWwGerOv+FRI/PFWopM4yadi&#10;WzXt9TkXGzSLGPB6sd2fyArWg1qYL/x52an/AGUP+Nc9G1XI3AA5osZtlvVbrVdRiRIJrWAKc4WI&#10;88YxnPvVKw0/U1uZJL/UPPjfBKrxzV2NwRjNWFYY60ciDmZPGFQALGntlc1KJCIzGAoUjBAUc/pU&#10;CuPWnbx607IV2Ma0gx/qlH+7xVK40eyuAfMjP4MRV8yrjrUTTL6ihpFKTM2LQdPtn3R26dO4yame&#10;KNeiLx7VLJcqO4qnJcA55pWSHeT3EcgHgACqc5yDk0slyPWqc9xkHFA0Z96zRszLG0gx0ArGvf3s&#10;9q/2UwFHJJ45471o3speCSMMQzDAI7Vm2sMixsrvvGc5JqJK5cdCUbn+7yueKeflGM02FwI8DsTU&#10;TyHkmlFco27kNwwqpM3yE1JO/FU5pR5ZHtViLFu/7tfpXW3Eg/s7TiTzsri7Z/kH0rpbi4zYWPsp&#10;FJlRPXPDMoOpYx1jH8hXYlAeoBrz7whcB9ViGesQ/wDQa9CzVLYUtyF7S3kBDwRtn1UGqU3h/SZx&#10;+90+3b32DNalIaLCPM/DHhrS9RvtSiuICfJcBAHIxyRXQS/DzR3+4Z4/o4I/UVU8HNt8Q6yn+3/7&#10;Ma7ikkNnDS/DW1P+qvHH+9GDVGb4azD/AFV1E31BX+Vej0U7CPKp/AmqWqtIr7lQZO2U9Poa52TK&#10;5B4Ir3G6GbWUf7B/lXiN4QJ5AP7xosDI88D6VGaeDlB9KjakIRvuGsyc8GtIng1mTmgaKv8AA1Oj&#10;PNR5+VqdGeRQBcTrVlc7lYetVE5q3FgugPTNAFO8mBmU8ffAruvBE8TX1uruowxGCa4rVbALeFWU&#10;tGPm4OCKuWuk3LFGt47pWIypUE0upep9AAg9DS5rw1V120+7c3seP7ympk8ReI7c8ak59mz/AI1R&#10;B7ZmlzXjkfjnxJERmaKQe6j/AAq5F8SNaTHmWdu/rgY/kadwserZpcivNIvihMB+/wBK+pViKuRf&#10;FHTzjzrKdPoQaAsd/mopV3ROPUEVyUXxK0J8B3lj/wB5f8KvJ438PzLxfKuf7wIoA5PwW3l+Lp4+&#10;mVYfrXqFeNaLrVlp/jMXM9wqWzs48w9OelepQ+IdInGY9QtyP98CgbNOiq8d9ay/6u4ib/dcGpt6&#10;noaBDqKTNFAHzipqxGapLIKnSUVIi9GcVYjNUEmFTrcAd6dgNJKsL0rMS5AHWpku19aYjVQjAqZS&#10;PWsoXqjvSi/GetUI2Qwp4cAdaxf7QHrTf7R96AN3zAKQzKKwjqB9ajN85oCxutcKD1qF7leeaxWu&#10;nbkZphknY8AnPtSCxqPcrjrVWS6X1qNLG6kAZgVB7YyfyqePQLuf7trdNnvtxQBSluhjrVKS8A71&#10;vS+CNZZd0cDMD2PBFcdqsE+nX0lpcKUlj+8pqWNFmS9GODVdrzPesppvc0wS55BzQM0zdZ70C596&#10;zPN96PPIoA1VnyalW4561jC4I70faT/eoA31uQO9WI7texrmvtX+1TvtpXuaLhY61L0DvVlb8Ada&#10;4sagR3NO/tJ/U07k8p3Cako71Muqj+9XAjUpPU1YTUT5QIDecJFbJPyle6mi4cp3q37N0p4uZWHA&#10;P5VXsvHVnDCqrolmhA9zVpviMR/qrG0X0+Si4cogN0/CRSH6LTvseoseLWbP+6aoSfE3VySI4LZB&#10;nghBVeT4j+IH+7PGv0Uf4UXCxsf2Lq8p4tJfxFPHhXWJB/x7kfU1zcnjzX3OGvyv+6MVXfxfrMn3&#10;tTl/A0XA68eCdVf7yov1alPgS8x+8ubdPq9cOvibUd7GS9lf6sajl8Q3Ug/1zfnSuUjV8T6MuhQr&#10;I93bzFm27I3yw98VzcMhIODkZqOe9aZtznJ9aLO48q4SUHBRgRkAjP0qGUPSKUBvkOMntVK5N3v/&#10;AHQXA/vCvSbTx7YzjytR0i0mwOWRQpqyt14D1b78Ulo564JxVCPIZTdAHdGPqDVKRpGBDDAr2uTw&#10;HoOpKTp+sx89FYisi9+FGpKc27QzJ6q1OwHl8Mm0hc1rXN+BY26jJKelaWoeB9VsMmWwl2jvs/wr&#10;BmsjA21w6H0pNDvY9G8D+JLKLWbc3FwsQ2BcucDOMV7JBqNncqDBdQyg/wBxwa+TjuGPmDAf3hVi&#10;C+ngOY2kU+schGKFsPc+sg3tQTXzNZ+M9cssCDVrxAOzncK3bP4seIoSA9xa3AH/AD0TBP5Yp3FY&#10;7/wrJt8ba1F/tE/+PV31eAaD44n07xRc6vcWgkFxkNHG/Qk54r0S0+KuhT4E63Fuf9pM/wAqENo7&#10;yisKz8YaDe48rUoMnsx2/wA614rqGdd0MySD1RgaZI6cZgkHqp/lXhWoMFupR/tGvdZDmNx7Gvn7&#10;VZcahOvo7D9aAJkkyg+lNL5NVI5z5YFHnZpCLZbisu4brVlZuaoztyaQyAHg0sbcg1FuwTSo4zTA&#10;vq2BVmB/nX6iqCycVPFL0Oe9AI2dWIN2uB1Suw8N3DRXWnlCPmjRTkD6VxOqSfvYSO6V03h6b59M&#10;OeiqPyNT1LWx6wY0YcqD9RUT2NpL/rLaJvqgNTjpS1ZBly+HNHm+/p8H4IB/KqM3gfQpf+XVk/3H&#10;IroqKLAcdP8ADnSpCTFNcxn/AHgf6VnzfDNesOon6PH/APXr0GjFKwXPLp/htfgny7i3ce4xWTe/&#10;D7V4Imk+zQyBRk7WFezYqKZd0Eg9VIosFz50TS2vZxapZyyS9Qq57fSp28O31uB/ot9Fj2P+FdX4&#10;SPk+NkXoCXXH5166UUjkClYp6Hzkba9g+7c3Kf7y1Il7q8P+r1FwR65H9a+hHs7aT78EbfVAapze&#10;HtInB8zTrdv+2YH8qdgueIjxF4kQYGovj/faivYW8F6AzZ/s5B9GI/rRRZhdHzuLrFPF5jvWN5je&#10;ppd59aRBtfb8d6X+0Cf4qxAxPepVNMDaS/JOAauW8k0rfKpP0rKsmhEkRkRmAfLYPUelemWHjbRb&#10;KFVttCt4iB1OCfzxTjruFjnYNNv58bIJG+imtODwvq8/3bOT8Ritp/iWwGIbaFB9KpTfEjUGJ2SI&#10;n0UVWgEkPgXVpMFo1T6tWhH8PrkDM1zEg9zXKTeO9ZuXYC8kAz2OP5VRl13U5jmS6kOfViaV0I9B&#10;XwZp0HNxqkY+mP8AGnf2P4Wtv9dqG/HYGvMJNRuGPzTOaqSXznqzH6mi6A9YN54NtP8AlmZCPUmo&#10;m8Y+HLXm30xCR0JUV5M122O1RG7fu1LmHZnrLfEiHBMFlEvpurPufiXe8iIxJ/uqK8vN0xHWo2uD&#10;6mi4WO11Hx9q1ypUXsqKf7jbf5Vxt1ctcTtNIxeQnlmOSartLxURfNK4x8jE557VGshCjNNL5pM0&#10;gJC9Jv8Aeo80ZoAk3H1ozUee9JuHdsfjQIl3Uu6od6/3hSeag/ioAnDU7dVfz0Hejz17GgC0Gp4k&#10;x3qkZwO1OE5P8NAF4TEd6cJz2NUPNb0NL5kn0oGXlmY5570plPrWcruO/f1pdznOWoAv+b/tUnnD&#10;1qjz6j8qUE/3jQBbE3ztg+lBl9jVME72+Y9u9BGe5/OgCyZgOlNFwVzzVfYPSk8v/Z/SgCwLk+bn&#10;Pal+1YkbIH1qv5DY+UU3yWLsMUBYvLqckR/dyuMe9adl411exP7i/mXHbdxXOtbvUZtpBzigLHpl&#10;l8W9ZiUCcwzj0dOv5VR8R+MNN8R/Y7i7s2ingky8UAG2VO+T1rgESUDoacPMxgjrQFi/qd1aXN/J&#10;LZWv2W3Y/LHuLY/E1T3eppmSOKM560ATB80bgewP4VFketLmgCYbeoyp9jipkmmX7s7D2PNVA2DV&#10;iIbyBnrQMtrdy8ApG36VZh1ae3O5DPER0MchqKOwuHGRE5H+7Un9n3Q/5ZP+VFgubNt481q1TEer&#10;3BGPuzDd/PNc7Nrk9xcO7R5dyWz6mpzp84+9H+dV5bLacmNfwoDUuWt4zwhpAFc9VqcTZ6GsCbfF&#10;gIsn55qNbyVTy2D7jFAjphKfWoJWyDWOl/OT8qg/jUrX8mz54XHuBmgCYucnmhJOaofbAzcEfQ0J&#10;OwzwD+NMZriTgVLHL2rLS5HGQRU63CZHzUAb+pT5Fsc/wiui0C4Ai09ieQSP/Hq4u8ug1tAdw4xW&#10;1oV2ogtQW+7IR+tT1KR9CJyoPrTqjhOYIz6qP5U+rIFopMUtABRRRQAUxhlSKfSGgDx7ST5Hj6Jf&#10;S4Yfzr2KvHJD9n+IS+15/WvYh0pIqQtFFFMkKKKKAPjzIp2ah8xT/EKXzVFQBMDT1biq4lWjzx2p&#10;gXUmK9DU63TetZYnHpTxP6CgDUFwx6mlEp9T+dZonboBUqTP3FFwO38HaXZ61emxuHMUj8xSdeR2&#10;r2b/AIRjTZLG0t5beNvs2NrKuCcetfPujX8tndxTxsVZGDA596+jtE1FNV0q3vEP+sX5h6N3prUD&#10;gvH/AITj8yPU7WILGzBZlUYA96821mySynYRSxumeitkr7E4619I3UEd1bvDIAyOCCDXhHjDQJ9I&#10;1O7WQfuZF8yN+x5qXoBxjyDPLCoWkA70yTHvmoCB6U0BL5wx3ppmFRKBjpRxQA8y+lM80n+E0Uma&#10;AAu/pTS8h6YFKSaQg0AJuk7yflSfNjO8n8aXYxpQhxQBGUI7E/jSoFPVCKmEee9IQidTigAWNT02&#10;/jTvKB6bc0RhSemQaiuI9rAIpAPekBZNswQMNp9qZ5bA8rj8akjj2RqDk/jT9opgQ7GH/wCugEjj&#10;BqwF46U4A0AV/m7K35Uuxzztb8qsDI70h3Ho2KAIkgJXJOPanCD3NOjVl6nP4VMFJ7UAQ+WvpS7I&#10;wR2+tTeWx7UeSfagCFPLMpAxk1N5a96VbfBzkfhUqwju2aQEHlLkHHSl2DNT+Wg6kfnS/uh3FMCH&#10;aKaqrvf1qcyRj/8AVQJ0B4FAxnlk9qBAxPAp/wBoHZaQ3LdlFK4hi2rYxgDmnfYi3XApftD9jSef&#10;If4jRcYf2aD1f8hR/ZEB+9I34cUnmv6mkLnvRdgSrpdkv3mY/VqkW005P+WYP1JNVt9LuoAuIlin&#10;3YUz/u06zka01C3u4/KlaFsqJIx/+o/lVIPT1kIoA9e0/wAd6PexLHqWmJGxGGZUDA/1Faa2nhHV&#10;x+5liic9t20/ka8UW4ZejGpheyiMqrnJHBp3EeuXfw8imXfZ3ikHoGX+orm7/wAAatDkrAso9UxX&#10;H2XiXWdPb9xeTDb/AHXOPyrp9P8Ainq1vtW52TAf31wfzo0C7MK90G7tXxNbSR+zJisi4sG2nKfp&#10;Xrdn8T9LvFCXtqVB68Bh+taKt4M1wZH2dHb0+Q07AfPslk6NkCti306I6RPcXNz5bqFEUe3cZCee&#10;T2r168+GmmXgL2d0RnpnDD86xr/4bX8dk8UBSbBXbhsHgH/Giwzx+aMFuQDVQxL6Y+ldtqPhDU7J&#10;iZrOZR67ePzrnp9NljJyjflSEZWwj7rsKcGlH8SkVI8TKcYqOgZI88skYRk4H901Jb3ptzwzpjnk&#10;Gq6sacHPeiw0zutN+KGvWkaRi+SZFGAsig/rXS2fxhuwALmwik942x/jXkWVPVR+VAVO25foaLge&#10;92nxb0iXAuLeeE9zw1blr498O3eNuopGT2kBFfNYZx92U49G5p4llX0P0OKdwsj6rttW0+7A+z31&#10;vIT2WQGrgIxXyYl7NHz+8X3U1p2fi3VbEj7Pqd1F7CQgflRdBY+oaK+f7L4o+IoAAbuOcekiD+lb&#10;dr8Yr5CBdafE47lCVouKwzxC/wBm8fuemLlG/UV7Mhyg+lfN/iDxTHqviBtRiheMMynbnOMV7Npn&#10;j/w5ewRD+0UicqMrKCOfrQhs6yiqltqdjeDNteQTA/3JAatZB70yRaKSigD40CLzwKdx6Cl2t3NL&#10;sPrUDE/AUv404R0vlCmIZmgHHNSCMU4Rj0FADQ/NS5O3pQAB2p7OgXGRn0oAsW8hABr074d+M7bS&#10;nfT7+XZBKQyOein39q8tjkBUAU7zCJuP7tAHtvirxxFb6lpzafqyG0L/AL9YQGIA9a57x94607Xt&#10;LjsrCN3bOWkcYx9K8zWU7T25NDOTyTTAidCT14pvl08tTd24cGkAxYxz9aXYPSkC4bOak59DQAzY&#10;KAop+1j/AAmjy2PagBpAowKf5Teopwh9WoAiABo2jtUvkgdzThGo7UAV254/lUYhG7Lc1d2r6LS7&#10;lHpSArouMBRgU543YqFB4INSllHel3jFACbGI6ClEZ9RR5n0pPMPtQA4xbhgk04RqvHP4mo959aT&#10;ec9aYE+xKcCg6Yqtvo389aALO9QaPNAqr5nNBegCz530o881V8yjfmkBOZW/vGkMjepqHdSbqAJd&#10;1KGqDdS7qAJwQKM81Bvpd9AybdRuqENRu5oETbqXdUIzThmgZJupN1NAYnoaeENIBN1KGo8vNOEd&#10;MBu6l3mnCL2p2wAc4oAaGNPVzRuQdxR5yDvQA1HYSPnPapN3HP61XM6edJgA8D+tKLoKAAozQBMA&#10;M8A/hUiyTJyrH8aqG5kJ4FMMkzdzimBv2fiLVdPIMF1KmP7rmuo074patCVSfZOB13jn8682Jk9a&#10;bvfeRu6ii4rHutl8UdPmAW8tmQnqUO4Vpfb/AAZr42ymzLt/z0ARvzr553txycipFuZR/EadwPTf&#10;H/g/RdL0xNQsBOwZ8HyyHRR3NcJrHhO60zSrbVBMr2twgdMgqwB9RVSLVb63iljguZUSZdkiq5AY&#10;ehqlcXd5PAkMs0jxRjCIW4Wk2Mp5NG6kOR1FNzQA/dTg1R4pO9AE27mnBuagzil3UDJ95Hel8zjn&#10;n61BupQaBE+UPVQD7U4YH3ZGH41CDTgaBk3z/wB5W+opwaRRwmf901EKcGIoAsx3skRyGkQj0Na9&#10;n4v1e0AFvq1ygH8JlOPyNYSsfWnZB6qp+opAdtF8S/EiRhReo4HdkUmiuHMcZP3f1oo1AqUuKeI2&#10;9qXy/egQwc0YqQRj1NOEa57mgCHIpan2ID0pQEHZfzoArd+9O8sEglM/hVjeg7ijzlHf9KAGBCBw&#10;MAHjBBz7KTyn3huw4p5m9BSGc9gKBCBNsBYn7nLYqjZqJbiVmllLBsgZ4I+lWndnHXbxjiq2PKk3&#10;L1HNAyYTqzEMNoJxU5jRNpXHFVpVDqJlHXqKVHEgwTjFAF3MY7ik81exqvRmmInMwHYmmmf0X86h&#10;zRQBN5p9qaZGPeo80ZoAk3n1pN3vTM0ZpASbqN1R8UbhQA/OaM0zdSZoAk3UbqizS5oAfuo3UzNG&#10;aAHbqQtzTefSjaewoAdmjNG0+lKVoATNGaUJ707aB60AMzS81Js/2aXGPQUDIgGPanBG9KdvQfxi&#10;gzxjuTQAgQmnCP1NRG5UdF/M0n2tscKKALAQCnBP9k1T8+Un/CjdK3c0AXuB1Kj6mk8xB/GPwql5&#10;bHrThFxywpAWjcxr3J+lIbteyn8TVfyh7ml2ADpRcCb7WeygUfaHNRLz/CB9alBHfikAeax9aX5m&#10;HpTgB2OfpS07jIzGR1bP40qxD1JqQUtAEEaDz5OOy1MFA6DFNT/Xv9BU1MBvOMUmKkAFGBQAzywa&#10;Z5Q8wfSrGKRhgr+VAEfl0hj9qm4ooAr+X7Uxo6tEU3FAFMxe1RtAp7Yq+UqNk5phYoGA9jUbQuD0&#10;rRMftTClILGcQR1FJWgy5GCM1E0CntincdioDTxj1qQ24HQ0zymHagVh6qTwOasJbuex/Kq6EAYI&#10;ce45r0fwXJ4NuNPFvrJdLvPEjEgEUAcJ5DD+E/lR5TAcg17iPAHhvUED2F/kH+64aqsnwpQvkXga&#10;PHQLg0WaFc8Z8oipFt5X+7G5+imvUrrwVqOnA/YtIjbH/LViJW/+t+Vc7e2GvxMRObyMD+EAoPyH&#10;FJ3A5D7PKOsT/wDfJordZdTU4+03I+sh/wAaKWoHJ+b7UnnN6Coc4oBzTAmMr/Sk3n1NMoB4oAky&#10;fWkpuaXNADgRmlJpmaM0AOzzS5pmaQtQBJmoZBjml3GlzkYoEJA+yTB+4f50SIYXyPunvUTcEirM&#10;BNxEyN1XvSGKGDDcPxqMOxfoNuOtRodjlevanumzO0kd6LgSZo3VGrZGaWmIdupM0lLtoAWijFLt&#10;oATNHNLx6UZoAQZ96UAntS5J70ucCgBNtLtHrUZlA7Gm+fzgL+dAE4Aoxz0quZ37YH4Unmuw+9QB&#10;b/Km5/2hVXccZyaOfWgCzvT1JpPOXPCk1Aqk9TT9gHWgB/2jttxSG4btSADOMVJsAHai4yIySH1p&#10;MOe9T7RSZ9qVwIRF6mn+T9TUuaD0oAaIR/8ArpRGvfFKKWmAoCjp+lHHoaBS4pAGR6ClzxSYpego&#10;GLSYpjuUXdjNRi4bdgqMe1ICfbSBWFORtyg4p2KAI8AcgEH2qQMf7wPseKKTaDQA4SKDg8VJuAGc&#10;iq5jGcZ4oEIPc0ASRupmcg8kAVNmq0cIQklianByOlNgPzR0puaKEA/dTWblT6GkBzSP0H1H86Bk&#10;gNLmmUZoAfRTAaU0XAU0mBQDRmi4BjmmleaUtRnNK47kZTJppQelTUnagCAx57U0rip8UhFNBYiA&#10;9s1KhC+1NxRjimKxqWepTWpBhmdD/snFdNY+PNYtcAXjOB2f5v51wo4qQORTuxWPW7L4o3IwLmCN&#10;wO4+Wt+1+Iej3YxcxtHnrkbhXhSTsOKmW5cCjmCx78uq+FLgeYWtMn+8mDRXz22ozKxAd/zoo5ib&#10;H//ZUEsDBBQAAAAIAIdO4kDe6vpzzacAAMOnAAAVAAAAZHJzL21lZGlhL2ltYWdlMi5qcGVnAACA&#10;/3//2P/gABBKRklGAAEBAQDcANwAAP/bAEMACAYGBwYFCAcHBwkJCAoMFA0MCwsMGRITDxQdGh8e&#10;HRocHCAkLicgIiwjHBwoNyksMDE0NDQfJzk9ODI8LjM0Mv/bAEMBCQkJDAsMGA0NGDIhHCEyMjIy&#10;MjIyMjIyMjIyMjIyMjIyMjIyMjIyMjIyMjIyMjIyMjIyMjIyMjIyMjIyMjIyMv/AABEIAW8Cd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ml&#10;TnIqhdQlrdx3A3D6itd0zVcx5PI4rEopxgSwq/qM0hjHpTrNT9lCnqhKfkan2jHSmBTMINMaGrTR&#10;kGkIwKAKezsetJ5dWGGetMJAoArGMg0oJFTEZ7UhUU0IjWQineZSFBTdtVcRIJiO9TpeSJ0Y1SIp&#10;CSKYGxFrdxCQQ5/Ota08Y3EeFdsj3rjWY45qISMGxk9aYHp1t43tXbZOuD3xV8z6BqybZUhOfUYr&#10;xqad1nOGNTwX8qHh2z9aLBc9MvPA+n3iH7HdGMnoM7hXmvijw7rXh9mklto57fGRLGwGPqKvxa/e&#10;RfcmcfjWfrN/catEY7maVkxgqHIBFS7gc3DeefgFSj4ztI4qQsTUvkCNFRBhVGBTdlIZHk5606nb&#10;aNh9KAEUA08CkCnPSpQpoATbS4qZEycVJ5WeKAKcSbWlH+1/QVJtqZYfnc4POKd5YFAEG3ijbVjY&#10;KBHQ0BX2VIq1OIx6U9U9BSGQiM+lOERq2kDt0B/KrKWbn+En8KYGd5B9KcIDWoLQgcqfypfs+O1S&#10;wM4W1Srb4PWrnlY9BRtHrSArC3APJqQRD0zUpKr1Ipnnxj+NfzoAVYlHbmnBPaozeQDkyLTDqEH9&#10;/P0FAFgIadsqodRhHqfwph1SP+FSf0oA0BHShOazDqvoh/E0h1Z8fcH5mgDYCClwKxP7Vl7baa2q&#10;Tdmx+FAG7tpQn0rnvttzI2FmbP1pGuXkeT97JhTycmgDpAB60u6MdWA/GucW5R8KzfMOhz1pTOq9&#10;6BnRiaAdZF/Oj7Vbj+MGub+1AU77YmOCKAOi+3QDp1+lJ9vQcgGud+2L/epPt3pkj6UgOi/tEZ4X&#10;8zTTqTdlFc/9sY9A35Un2qQ9j+NAG/8A2jJ6qPwpDfSH+P8AKsH7RL7D8aT7Q/8AfX86B3Nw3rn/&#10;AJaN+dRtdHHLn8TWKZ2PWQUhnHeU/lTC5qNcZNM833rMM6+rUfaB0BagTNLzM04OAKzFmHf+dSiV&#10;c5wKANOOUFgM969I8GaeLfTHumX553OPoOP6V5jZurTIGwqluuOlenaVrsKQFDFIiqg8mIIclQP6&#10;1cUJnQyTLGTk8KCzH0FeV+IdWbUdSklAbywdqew9avav4z8/TZ4I8rPK+D22r6VxE145/ipsSReM&#10;zg9DQZJOvH5iso3D/wB4momuHz1NRYZtea+OWX86aZDj74rNhcuM5qY9OtNIC004HRxmq8k5CnL1&#10;A3INV3U4yeadguSG4BP3jRVNiAeQaKLBc9UKD0qHYPSr7RGoGjwTUAZdtFtuLmPHRw35jNTmAHJp&#10;+0jUsf34sn6g/wD16mMeDQwKLxEj6VA8bYNaZTNRvDQBltHnqOaiaLPQVptDio2jHYUAZvlkGmmr&#10;7w+gqBoeaAKveg4qVoeaYUNO4iIrSbQRTyD6UmD6U7gQtGMVTkQh+K0ahZDu6U+YRlXQPnA+1LGu&#10;avTwI5ByQahW1c/ckU/UU+YBqqBQVBzTX3o2CMn2pgdz/CaLgI8Y9KZ5Y9KezNj7tRvI4H3RUMaE&#10;MY+lHl8daiaWTHQUzzZW4B5+lK47Im2+9LHE0sipkAE4yaqtLIrY3GmQPITIXkPD4H0ouFkXTpuq&#10;x+IIdPMUpgmAMU8UO5Mn1P8A9euxk8Ba3HCGUQyMR0ztH9a5Owvr6wkElpdshHZXK12Vh8QtSgUL&#10;dL5gHBLD+tUmJo4+/wBG8VadO0kullogMZiG8fXisSbV7yJissJjboQykfzr2y1+IOn3GFuItreo&#10;q81x4X1pNtxHbOT2kQZq9BWZ4LFq0sjffVfrxV0XswdUYqSwJH4V6vffDLwzqQL2v7knvE/H5VzN&#10;/wDBu7iJfTr9TjkK64P6UWDU5Nb3A+apE1Lb2p+reF9e0hS09m7qvVo/mFcwdSIkKNGysPUVNh3O&#10;sTWXT7o/WrA1+fHAX8ea5FLxn+lWoDLcNtjVifagDfk1+5Zwo8tSeT8tRtq9ww/1mPoKzZtNv7Qs&#10;89vKoP8AERxiqp3Y6GkwL9zf3DRMfPcEc8HFNN40igtKxBH941lSPjIIBzUEExEYXj5eKkZsi728&#10;FiR7mlN7H3YD61kGZs4wKG6DOOaANb7Up6c/Sg3I7A1mJJtGAaUzdtxoA0DcnsDSfaW9P1rOMhI5&#10;Jpodfr9aANP7U3t+dBuWx1FZ4l44AH4UecfWgZf89vWl81/fH0rP81+xP50b39zQB02mIQpYxs7N&#10;39BV/UNKmSzZocHJzg8E1yUVzeICEaQAjpipGl1CUDmY49zQBeOmXoGfKbn/AGhSra3aqfMhbP1H&#10;SqCR6ix4aYfVjVlBeqgzM478uaAJdkqjmE0n74DIhIH+7UYa7zzcEf8AA6fumxh7r9aAIzOwOOAf&#10;pSfaH7saUxxA5aUsT7U0iEDPmN9NtAC+ac5LH86XzffP40iG2PJ8z+VP8yBekbH6mgBPNOODTd59&#10;6d50R/5YZ+ppfPx923T8eaAI97+n50u58dqmFzJ2hi/75p32q5PQKv0UUCIArtxyfoKlWGQ9Ff8A&#10;75NOM90f+Whpv+lN1kf86AJEt5i3+qb8RipVt5s8rge5FVhFOTks5/GnpayE9xk96AO+8CaLHc3z&#10;zXMausQ3KM5Ga9CmtLSCd75xh1TBOeAormvAEMVrpZ3svmyHPYcCneLNcibR54baZWeVzDweg71a&#10;dkI801m7W81W5uFQIryEgD0rMY5NaD2zN1pn2UUrlFHFIQR0FX/swAoFsD1pCK9srFT9asFPWrEN&#10;vgHAqQwjBqgKBSoXHFXzGfSonX5egoAzGU5oqyyc0UAdatz4ljXcPsdwB/d4pTrerxDNxozMP70b&#10;ZqiL3c257G1Zv7yLtb9KdoWpQ6teXFusM9tLEOf3xYH8KyuBYHimCO+ja6sbuE+WVwY8981oReKN&#10;FnODdCM+kilf51zs9/JHepGdWbdGxGJoAcfl1qcztP1k0i5/3vkNUB08V/p8/wDqry3f2Eg/xqXY&#10;H+6Qw9ua497GOQZfQ43B/it5warPZ2sByo1ezP8AsqWA/KlcDt2i7VC0XNcgl5NGcQ+JCv8As3Kb&#10;cfnV2HUdcC/u59Pu1HdWxmgRutFz0qJojnpWaNd1OMZuNGcj1ibIpR4qsAQtzBcQMf7yUwLjQ80w&#10;wEnAFTWd/Z6hn7NLuI5IKkfzq0Y++KdgMtrcqeRUTRe1bAjDcN+dRNAKAMnYM9MU0wk9K02tgR0p&#10;n2YigDJlt+hNRfZyORWtJbEjpUQjIGMUAY0tuxfOaasJHatVogSciozDzxQBQMPFRNAp7VpmHiom&#10;g9qQGW8GB0qLyc9ua03gqExEnpQMwbi5tYJyJZkUg4O5gBU1sYp/NaJ0kTOQUOabFodrqN9erdwG&#10;RQ4I5NXrPR7TTN8VmhRW5ZfXmgCs6txgYxTkkkU4DH6dqvNAWzxzUBiwaAITKxPzAZ9qkFxImCsh&#10;UjtUbRkkkUhDA807iL0Wu31sQY5mGPRq0IviPq9kMGUuB/fGa5WYtk1mzyMHIycVaYHeXnxjvDam&#10;F7G2m3Aj51yPyrzKS+a51OeYhYxId2xBhR9BVe7diw5702MMbgnJz60CNRGPXa35V1nhTxBFpTPF&#10;daelxBKRuJX5l+hrloomaIne2frTljfA6/jRcZ7/AGeqeG9chX5hBKwxhzg1S1L4eWN8pktShJ6M&#10;hwf8K8XhaaIgo5HuDXR6X4k1XT2DRXUm0fw5yKLgXdW+HWo2rMYgWUf3hj9a5K60eaxuSlwfLz6g&#10;4/OvVdP+JMu0JfW6yjuaq+IvEehalYOIrORLgjgrjH40nYZ5c0EajmYfQAmhLeNznzzx221Yltg0&#10;hboD2pI7YKagY3yIV6vIT9MU4QwHqrn8amEJzjtThanGf60CKzLApwIWP40KIxyIB+Jq2sa7vmWn&#10;NaqeV6UDKgdMfLAtAduohQf8Bq4luoHNOEXpSAqrPLjARD/wGnGecjGMfQVcSLa2ad5ILZoAzla7&#10;LZLHFPH2hjy7H8a0lgGB2pfKUDgc0wM3y5trfORx61ZkjlxGueNi/wAv/r1ZaJRGx4zirMsQ3KMd&#10;FH8qQGWIHHel+zO3WtJUGafsHpTAzRZHHOaBZc5HNae30pwQ9MUgM1bIjtUi2Oe1aHlnFORDQBTF&#10;kFHK0C0H92tHbxSiPPagCgLQf3acLZe4rREJA6Uq2zE/dNMCgtuo7CpPLH92tFbI1ItmBSGZgiHp&#10;TxHjtWkbYY6VGbb0FAEEU0sa7UdlHscU0qxxnmrSW5zyKmFufSqEZ5iPpTTCfStYW59KPs/qKAMg&#10;wk9qQwH0rY+zj0ppthSEZsUWM0pWtNLUYPFI1soqkBjsnNVpUxmtiS3AFU5oR3FMDHbhu1FWJIDv&#10;4FFMCT7YgHKNioNAuY9N8QS3Mx2W8ikZx3rTkYxs2+XCqASTgjmqtw6zWztE0TjpkIK89VpnS4RM&#10;7UJ4bjVZ54JN8RY4I4quWz2rXt7OMwqvkofpkfWnPZ2y8NFg+0g/rV+3aF7KJieYyHKkqfbiphql&#10;5CPkupR/wM1otYQN90SAe2D/AFqheWqREBDuz/eGKaxHkL2F9mB8QX4GHdJf+uiA1Xk1uJjmbTbR&#10;yP4gu0/pWfdX2n20vl3U4Rj7GqwudOlJ8u7i/FwK0VS/Qh0mjdtNQhv7j7Pbi6tX2kgrMdv5Gren&#10;S3L3FxHdXDz7VBUvjI5NYVg8dteJcJKsmBjAYVp214sd405B2spGBz3pqaJ9nI6DQZP+JqBjAZSK&#10;63Ga4TS9UtoNSjklbagJydprsI9a0uUZS9h/E4/nV86YuSRZKkUgT2oS5t5fuTxN/uuDUoAI4Oaa&#10;1FYi2e1NMftU+2ggU7AVWizUf2cCrbCkK8UWEUWtwe1M+zcdKuleelKU4pWGZ5tRjpUbWgx0rU2c&#10;Uxo80WAx3tfQVE1pgdK2jFTPKz1osBhmxHLAYJ7jioUtm85s5Jwev1roDDjtxVdIB57cev8An9aV&#10;gMZrdgeRUMluw5xXRG0ByQKgktlK4AoA5t4vaonQ1vS2ftVR7Q88dKYGHNDlc45rKuYcODiukltm&#10;weKy7u3IbpQhHJXkQDjj+KnW0Ye7GB2q1fQkSjP96n2Vsft+B/dqxGlHAAvSpRb5q9FaMQMircVi&#10;TzUsaMpbY54FWEt34wDW1DYoBljircdogHAzQMw0s3PY1KbA9ya3RAOwpWtuOlAHNyWfYDNRi1wc&#10;YroXth6VF9kweRSaAx0tSe1SfYGxkVtR2y46VMtrgZpAc29lIOi00WzL1zXSmAdCKYbVSPuigLnP&#10;GIgdKaE9q3ZLEEVC1jjkCgZmRpk89KeyYOB0q4bYg9KTyMg9KAKo3DoaXbmrCxc4YcUphweo/OgR&#10;TkQ+Wfyq7Mn70+3FI0PyDPqB+tW5YszNxSGVFiB7VKIx6VOseBxT1iNMRX8rnNPEfFWlgJ7VOtuM&#10;dKQFERe1SJAT0FaKW421MkCrzQBnranqRxU0VsGGRzT9UDJp07qduEOCPWuJgluQrK9xcHB/ibFR&#10;KfKXGHMd4tuij5iB+NOAgXq6D6muHy5feZG+YZwWpQm0qwJPPGSTUOsX7I7ZpLYHBnj/AO+qiNza&#10;q2DKv4HNcnulGw44PUY6VetWc7kbBIVj09jS9sw9kbB1KyB+aYY9ADUbavZA8Fj+FYLqcqOoPbFB&#10;tcd8EHPQ0nWZapRNw6zaA8I5PpR/bcIJxESfcisXyJIgrFSxPPQ1NHH5sh3HDHqMVPtZB7OJptrg&#10;IykX61qWchurYSlcZrnVtFGQGNdVp0O3ToR/s1pSm5PUicUloNKYzxTNntV3y6Z5fNdFjErpHwaY&#10;6VdCDFRSKKpAZsy4qhPxmtWYDBrMuMc0wM58FqKGA3UUCJ7i0RQyvLhcDLE9hVQaTDGxnilPqQD1&#10;q20hmt0aWOQSbQrqMA5GaqsCYise4HOei9PfmvKVztsRi1KyM6ysjE5zyRWjb71U+a4Ykcmq2LMR&#10;K0qjoDyx4p4EEhXCtsPYnnNDCwtqIt8gL7gzcZ6Vn6tCBKO3FS3cca3CBIuSMgBiKjuMS2yHGOvB&#10;OTRsEdzzXxOhW+Vm6EdqzLO1e9lEMSck8Y6mt3xbCVlVgK0PANqBqiuyhnCMyA+1elhveiceJfK7&#10;ha/DzU5LdZVUJnkBpADWJf2l9pczh5JEkTqu7r+VdRqcuvXl/wDboJJPKR/ur0GD6VZXVtN1i3ms&#10;byFI9SPCO64WT6Guhwjs0csZyve5xdt4lu7eAxMFkz0LDkVEviXUVJImBGehWqt9YTWl3LBIm1lY&#10;giqwhcttCkn0FR7JPodKqO25u2/iq6EgMioV7hQQTXtXgu9F94fSYbupPPJGa+dwpVyCCMcGvXPA&#10;moXMHhaTyXKyRygfgaynFQ1LUnJWPTeopCK5Vdb1IHaHjLdcFeacviK9HBjif2xis1WiN02dOBSY&#10;5rnY/FUgGTaIR7Ej+YrQs9dS98wCAoVQvkHOcVSqRYnBmgVyaCOayY/E9lIOUlB75XFPHiLTuMyM&#10;oPTIp88RcrNTFIV61VTVrKRcrLwenymnm/tSFxOnzdATinzLuLlZIUJo24pPtVu3SaP/AL6FO8yN&#10;l4dT9DRzILMbtGKgVQJyMev9KsAhwfaosfvT/ntTEPWIyHavU8VkS+B/E1uzPbt5ik5AWUdPocVt&#10;xEq6n3r0CE7oI2HdRTUbjvY8WubDxVYLmawnZR3Cbv5A1jy6/dW77Li12n/aGK+hCOK4Tx/Gj6Fc&#10;7lBAGRmolHlBO5wcF4btRuiVM9MHNQ3drk8in6Wu6GJsAc9qv3SZY8U0DOF1O3CXIHYOKfYQ/wDE&#10;0K99tXNbjAnyB/EKWzXGsj3SqEdFbwDbyKkuJoLKAzXDbIweTg1Pbx/KKo+KIwdAm9iD+tKTshxV&#10;2ZuoeJLI20kVuDKzoVzyuCfqKh0/xcYLONJrYM4GM7//AK1cukeckmpFiBNczqs6fYo7D/hMh1Fm&#10;B/wLNDeLpWwBbRj6g/41yyxjqam2Bu9L20g9hE6aLXL66OUgjCZwX2nH86ka9vy3DwgdvkP+Na0d&#10;rAvhmyeOMBsKTg9TXHapFqP9olYWcKfuADiuyCvG7OKbszZ+16iOfPjH0jp32jUDgm7/ACjAoihk&#10;FsPMB37ecCqZhnZgfOmGARgR46/Wr5UTzF17m6P/AC8yfoKiNxcZwbqb8Gqr9inwN0lw2E2HJUZ9&#10;+tQtp7FyQs3zYz+8x0o5UFzQjvp4QQJWfJ/jwaG1K5P8Y/IVnjTykjMok+ZtxzJTVsWC7drHLFuZ&#10;M8mjkQ+YtPfznrKPwxUEl5clCyzE/TFVRo8SoAIAcZ6yHv8AhVmCz8iAxqiqgHABJp8qDmZlX+p3&#10;8RiCzuoYHOKptqF8eftUn/fVXdci2LaDvhvx6VniMgDjNcVZtSOykk4o1fD09zcaxAks8jqSOC2R&#10;1rv5IAZCfeuF8LRE67Bx/FXo7R/OeO9OntqRVVmURB7VMsPTirAj5p4TFaGZCsfapBH61KqVIEyQ&#10;KAI1TFSBal8vFOVfWgDM1pW/sibAz0/nXGiJt2PJ6+1dr4gGNMIDYJYVym1iCRjIrmrfEdFLa5EC&#10;c/dC8dPzpwDMQpUEYqK6XYQokx8vNR7QHT94VJUAnmsTQ0zGDGoCHAPUirFtBhpmUcMDyenSkiJA&#10;8veM8EcVYjDru3OGX2pXHYrmA/L8q8Njr6U1xtRiwjHuTVhwCBjJG4tkIelUr5MxDb03dcUbgWHc&#10;JGn+kxIPUnrUawxSyO7y7z6g4qpLJhBGoPGe2a0LBUa27qc9+tD0BCW8DLIxQ4XHNdlapttIh6KK&#10;5qOILnaxOfWutjUCBB6KK3oasyrbERWmkVMwxUZ6V1nONx8tV5RxVk8LVSV6pAUpzgGsi5YDNadx&#10;J1rJuHyT0oEUmb5qKY5+aigDYH7sB3JPJBz6VSd4IhJcEbh/dK4qWCParKqtjdk7nB/rT750hsJd&#10;wHHHWvJW52mUL6NuDEx4PA7Y/Cpree2nYII2Azna56VlpqtiLnyriNoHZSCzDjkVPZxruWVH3qWx&#10;kGraFc1Hk01JQjoA56HJpl3bwpFmMYGegOaleNSFUpznrikulC2x+XacAknvUMpbnn3iy3LJuAOM&#10;ZrVg06fSzYXltNEgESspJ+9nqKs301oLeRbpc7lOCRWtocVrrvhi1EgIaFdoYdiOK9HBy0sceOje&#10;zLFpeW9xA76Y0bTOS0sLcEnviuX8SaGl4rajZRNuziaMD5kIrbtvDi2mqrepeqAp+bjBP1qvcXtz&#10;Y6reX0O4REhQjDiT3r0ErnnXsc9qOmRatpC3sZC3cJCSBn5YfTFY1rp5t5C8ing4HHT616Ha+INL&#10;uiX+yxLcdwwyufrUI0+C61SWd2V43XO1B/FUxi0XKaezOUuPDVveQST2NxHLKgLNEVKkjvjPXtXR&#10;eDEaPSr2Fh/CrDj0NbqeHLaCdJI2Yk/pWhbaRbafZSLDku6NuY9z1rPERThobUJPmsY4jHn79sgH&#10;0pkhO84zxk/dPpUrRS+YrM6A9qr3L3cc2YwMdGORg/SvIPSEURGQF5CGxjGK0tFYC9ZAW+aNl5B9&#10;KyDayPKHdtrN24rW0cOuqxhwwUnGT06VUdxMybmbUEvP3UG6CrUpcsgTYOM4cHNKxneeZcDAPFMl&#10;knWHKJ5jdyDSe4LYuopCZBOfT0pt5EptYZD821m5P4VCkkpKqV28dCDj86nkZv7NLEKcSYxn1H/1&#10;qSBlNgqwbypA28+1QC8SC380bihIAPJqednUN+6Jj254PWqsMhkhUeUQpPCmncdjrPDs32i0dg2f&#10;mrUIIl4/z1rE8KM3k3CkBcEcCt18+aK66fwnNPccpOQa7K01fT/s8aG8gDhQCpcAiuQZNqisafR2&#10;nuGkWXGeelXKfKJK56mL60kU7LmJvo4rjfGZR9FugHUjaehzXIy6DIH8wyLx3JI/rVS50Se4iZFc&#10;OpGCBJjP61k6tylCxFpYxbxY6cGtG6HBNU7KwlsVWJlbAPGecfjWnNbySfKqEmri0S0cdrgxIfwp&#10;LIZ1VT32CtfVvD2q3TboLQsDjq6j+ZqlZ+HPEVtqSXE9kTEeMoVYj8ASapyQrM6O3zsHWqXiUf8A&#10;Ehnz6CrsG7ABBDDjBHeqfiQMuh3AYFSVyM0pPQcVqeej5RSqTnio81Kg9a42dqJlJ3YxUy89KhXr&#10;xUikjr6VDKPR7dW/4RG0ZgMALVSeLawfjIq1aRsvgq2fJOQD9Oaaw8y3DDuK9Wj8J5lX4ilNPDFs&#10;WRwrP90etMiuYZ4zJG52KSCSpXGPrVTVoLi6tzFbkq6jcGxnPtSpasukPbGHewTYFJwG/HrWtjMl&#10;tr23vUZoZNwXqPy/xqJ7q3V8FiR6qpIqpoNk1jZoixFRjBMmdx9h7ZqR7GY6ubzcxQAKF4x70WEW&#10;JZIkBLNgAZyarxXUE9stwCURgGG8YOCcCn3Gnyy/adtwyCTGAo6cYqt/Z9wkARRuUShhGW6KoGBn&#10;8M/jQA77Upn8pQG+YKSD0Jq28eIGPfFZtlpkttd52gIzmRsHocdK1LgkRqvcsOKAOe8RKRdWkY6L&#10;Hn8//wBVZpVx34q94jYtrIUZwkaj+ZqjtkP0rzazvNnpUVaCN/wepPiCAYr0VlBYntmvPfBjIuvI&#10;rMN4ViB9BWv4i8R67pupGLT9EkubdVG6YxuRnr1FaUloY1tzqwoFO2ivMrz4g+ILCMTXWgrDETjf&#10;IjqP1qkPi5fk4XT7Yj1y1a8rZlc9bVeafivJV+LWoZP/ABLrU4/2mrZ0Lx9rGsykrplukC/fkLNx&#10;7UcrC56Kqk1IE5plvI0kasygZUHirAxSsUY3iNG/szKgnDjNcuhOMEcketdZ4hbGnAA4BcZ965SN&#10;pEH3lAFclf4jel8JG8e7LNGzlR0Bx2qZoVcD90AQO4z0p8hdt7ZBGDg8+lPY71VSOvODnFY3NRYy&#10;29QEJI4OFxVtQ7x4K9D9KiEmXIOBz6HNTMxgsZJeyEbs8Z60hkPlybUO085Oc9qR4JHOQq56jPSp&#10;YrtLiFCBlcYBGakz0xnHA70rj0I2V4mAPkqT14pd7ouQ6ZbsFyalaSQTEpEgGPvMRzUbSTYUhU3e&#10;oGcUbgSW4kmkUBxjcAcriux8rCADsK5PT/Ma4iWUjcXHArs2IA68etdOH2MKzKUikdarSOF6mpL2&#10;+giXHnR59S1YM0t1cAmBg6+qHIrquYWfQi1jxVYaTKkVzNGjMM/M1YFx4801l/c31oCeu/JrN1j4&#10;bXPiXU5bhtV8jkZ8+I4+g5qBPgrZBP32v/P7Qms3KP8AMWovsST+M4OSNSszn0rFuvGbbiEuIGHq&#10;DW7H8GNIIy+tOf8AtmRUcnwW08FtuvAR9cGI5pKce4+V9jkn8YXe84nhx9aK7OD4P6EkQEuqtK39&#10;4ACin7WPcXK+xtWdtNbrMJGUjOV5PFJJFOVddiSB+xNTiK2WTDXGX65GKRU3OQJsD881wHSZjaYk&#10;k/mS2SNhduGbI/lTobAwBVt7WOKHdltjHn9K0NuSQJGJ9eKcsO5DvlwB2J60+YmyKyz2qNscyHn7&#10;2SR/9appvJaFikhcY6ZzilKQKMSXKg+mM1HiAgxxO2MHHy4FIZhahp39oR+Wg+73qXQIbvRbFrCW&#10;FZELlw2/GAfpmtGKJDAjrGzFmIbHYgmp5RsUsVYkcDFawqOGxMoqXxDmuIpoSn2cgY+bDdf0qui6&#10;e6R+daNIA2f9Zj8OlT26B+efmB64yKiSzhIYfOCueTjmtfrVTuZ+wp9ht2miyygrpzwuvUq3X9Kk&#10;t57G2uQ0UEocD+IiogIJnyfvAetNkjia8CFmEhHAprF1e5P1an2NKTWYtpYWshbPGDUttq8V6RD9&#10;nljcgjLY9Kx5CRN5BztU8Edadp7kahCSpwXxzQ8ROSsxqjCLuhkgZdzMCV6GqOpeUEVnyMISASec&#10;Vo3OI5DGFySxGeoFVLu3EturHKtsJwO1YXszZq6M+xukluITgjze2eV471vWjhdShJLg8fTGa5Kz&#10;kkS9jJKglhuOetdUuxbtHHOCOcVT3RKH3BMeoTxtjCsePxrOmbLrtJA5GOma1taii/tSZHbG8ggZ&#10;x15rNlSKcoUkyI25qeo0JBKykgKX5xyauhRNZSoycBxwCD61BAIVJMbkZOMkjrV+BT5FyQQ5UBiO&#10;OxH+NNPUZmTyOLaTETxbF4ORWfDcsz5O4gKTgc1qTustu6sWZSCMYFZQjRJMxKy8YB7iiIHTeFbg&#10;SXMoCMuU6MMdP/110zMBID9P51x3hHK6p5RkZ8qxJbqK63UJFtLczPyqDPFdVN2jc5572LzFSM4p&#10;IwpycVl6ZrEOoKVIEco6oTkj0qe/nltdPnlhIDoMgkZ70qzThdBD4rMsXKBoWXHas1o4/s6HaNwH&#10;NZmv32r6VpP21bqKUEgbBEBwap3x1Kz0oXwvFfKbygj9RXMmbNGlFIWuCASQrYrTaMC9Rx0IyPrX&#10;mQ8U6oZNqyAEYP3RUA8c6tNcW9rJIRtkAVgq+vFaKL3JbR7PCN56U/yWi1qBgQAY8Ee+a8ePxK1e&#10;xvZIDh2Rtv3Fq4/xQ1P7SrOsfnKMBSoos73Gjs7y5tLDxDcLNLGrLKzD5uQcccfjVHxVeWmsaStp&#10;bXlsk2ed74GK5rW/G0CS29zf2Uc1xcxBy6pjnOKx4/HdpPcfZn0xY8EguQMCtU20RytMnXwvqDcp&#10;PaOP9mYU/wD4RvU40LmFcd8HNV9chS8uoVS1jhXaMdTuJ79Ku350DTPDyI8U/wBsxhgisean2aZX&#10;tJJ6mbs+yybJpbVWHaST+lRs6f8AP1afhKMVl2lnJruqxadaxvDvYZlkXgCuhufhreW1tcSLqcMp&#10;iGdqrgn16mpdKzK9qdnDrNsPBdtbht0oUAbOQSD61X0rUROxgbg4yAa4nw7evJbT2j5/csAD69f8&#10;Kna/nstWikijLgD7oNdFKbUuUwqRTVzt5R5bnIwO1Cndg9zWBNqt9dkSxQkRntjJFQ2+o6tBu32x&#10;kUkbeOlddmctzpMb5eO1JgKzADJ7dqp2+ofK7+RNknBQryKr3V5dpM7RQMYyuVJHOfSgC+XlHWFf&#10;++6pyz3yzgJbLsIOPmzk1mnVdUS3bNo7S7uBt4xikfV75bNF+xytcMDu+XG2mBqRSXRjRpIVDHO7&#10;5ulQwNM5X7QQGVjyP0rGfUdWkt9gtmE2ec46VXR71GR7yVI41O45cVLaXUERaveBtbuMcgMB+QpI&#10;by2ikikvQy22759vUj/GsW5uRNfzyr91nYj8a0pLbztDjc9C7GvMn8Vz0YN8tjtNH8WeELScy2Om&#10;30syg/MVVjj/AL6q5J8WfDNvI0TWtyrrwylF6/nXF+C7GOW7n3A8L2rmtZ0qRNcvXu7WSJXmJjLq&#10;Vyvr0rppLmMa0uTc9SuviZ4V1W1NvcadLPCRnayKRj1615ve2+jS380+n3McVoWykcytlQe3Aqzp&#10;3gW91TT3vrR4RAjeWTJJg/hV4fD3WhEpSNH/AIuJlGFB68/41uoWe5zOomr2Max0K3u7oMt6jRKQ&#10;XEatnBOPSvRINS0+10+K1toXijYBUGwjJ9a5PQrExPfgEs8IAYE55XJPT6VtwRvNFpBeQku6jb2X&#10;H0rKXMm9TanZpaHdHX47WFDJaTquAoJHU1OuuswGzT7hs+gqrrShY7ePGdzjit+CLIUsMYHA9KzT&#10;bZpZJFS/sn1KxVcmFiQ2CMkVRj8KsUwbkH6rXSIgqVVxTlTT1ZKm1ojAXw04Ug3Qx/uVMPDKHgz8&#10;f7tbh4FODA81PsYD9pIwv+EVgLbjM2fXAqZPDsCxOhkZg5BOcdq2SygVGZlpqjFB7SRlReHLVAV3&#10;MBnOMCphodqOrMRVprjJwBUc14qLycU/ZQ7C55dyE6RZjru/OozYWKDlTn3bFUL3WHUERDPue1eV&#10;alL4mn8QXF3JemBIywiVTuGO3HT0odOC6DUm92erym0tZBJGg3jpg5qhealdTAgkhfQVxHhbVtdm&#10;lYalPvC7jyRzgVr2UGuan+8+2fZ4DzuPPFYOrGDtsW4XV7mN4it7qeUiKOeRGGcKCcVyqWesC9jj&#10;FrqMUO7lzuVQK9KcaVHI9tNq9xcXKLuZRIVx+VY2lTpLr/kw3M0sJBZo3cnp0rNYjmdrFKK7nJXd&#10;hrEExBivtrcr/pSDj8arG31PI+W6x73sdb/iwCbVSMYCoorl3h61sldXBuzsWGtdTWIylLrZnG77&#10;amM1HIt1OiqYpl2Lg/6agz7mtaeDyvB+nRkczTu/9Kxb6ERSsg6ACtKUOeDl2JqS5XYqSJcK2MTf&#10;+Bimiqkirvop8pHMe6tc20bbMxiRTtI702WSEoMOj4z2pDaWjSmVpow7ckhB19aGjs1GPtQH0jFe&#10;ddHXZkCXC5CIvB/6Z/1xTjdsZFAUbQfmJQdPan4skI23MgI7rD/9am7rMnmWYn18n/61F0LlYrxR&#10;B95Jyefu09DCThHOfQ0jNa8EzTn6x4o8y1HO+TP0FK6DlZnW51CN5UgW3MYc/fdgc9ew96sBtRIy&#10;VswT1/eP/hUqx/vt0TsQGVypP1H9Kmmhidj5qnYBng56fSqvoJoqodSBB2WYI6Yd/wDCqk1zqkf7&#10;xktcNkD53/wq6nk7GGHQE9wRVO+SFIYhmUyrnZ34pqwmVRdagByloFIz/HUvmXqSxu8tkCw+Utvz&#10;VeS2mlRZEt3kfHPzYwKtpafaVj82AMyLhd5xzVMlDjFfs4l32uc/MQr1Nbi6S8jed4NocEbFYHr7&#10;1JIiqjIVZSMABeTmiVHBV8AAYpIqxLqcsFpcTO8RZi5wBVYzRXNurwRhWzghjVnWoGlvGA4DYb7p&#10;Pb2rONrK1u0SKwJIIO3gfn+NNrUEOeLY6B0tgW+7xSASLMBiMLnpnmom0yaQKpWU7RjqP8anSxue&#10;AEl49SD/AFpgaviHykvYrgoSfLRgBjuMVnqRGmY4wdxyQFHWtvV4WMVnI2V/cKpyvpWKWjI84zKE&#10;Jxu6DPpSkncSIpE86PZEm1gwbPA5q/p4ZPtxC8yws3UdRg/0pjJ5SpvkCK3QnHNS2U1uJ2ja7hAa&#10;NkwXUfeGB39xSje42Y6SeWxb7OseSeQ2f0qNpHlfKAbcHPFdN/wit4VwIcfVxTP+ERvFU4CL/wAD&#10;q1CXYXMjK8LEx63Eok3BwxyPpXYatbvcWEqIMsy8CsvSvDc2nXkdzJNF8mcgZz0xWvdX0MEZdnGF&#10;5OK6acfcszCcle6MrRdJe3lE06hW/ujtVvUizWF4PRG4qtH4p01137phjuYG5/SsnU9csbgN5NxK&#10;HdCCrIwApTjFRsEW3Iva3tutC8p8NkIcZz0NV9SBk0BIxx+6x+lZj6nb+WRHHGWIxkuemeoq3Jda&#10;fcWgxcFZGGCo6D8c1io62RtdnGQQ7btkxnpzXKyu8WtqM8LMOv1r1qz0PSrgPcSanFDJwApYcj1r&#10;Cl8H6JdapKz6i8JBD7yy7ScnP8h+dbR0iZS+I4jXY9uvThRj5wevsKm1GMr4itd+CW8sjj2rs9V8&#10;H6bdwHUV1Im8YAmAFeMCsDV9KvJtcspYo9yqse5s8AjrSWpTasZ/jBSh0wA4AjYZ+jmpdP8AEA0e&#10;3Fi2mxTlnz5z4zzW34h8OX+qi3e0hikjhDBiZQOd2ePWorLw39o1GT+0baaFEVfLbacE8elSm1HU&#10;uVpML74gS6VeC2OlxSNEBhmf2qufilLIoVtDtm5ySxJNW9Z8MRTXcl3KyMjBQoOQQcVYtfC+iWWl&#10;RzTwRyS3DAIZHOBWkXoZyauZ0XxN8u4Ev9hwEAY29vrVxfis7Z2+H7bdn+8ao3nw31OfUsW1sFhb&#10;GGDAAj1x1qFPAFwdWGmfbIjcYJYDdhR78CmwXKJa6onlalqUdm0ZZ1JjLZyTngcVUub03VxbOV8t&#10;mByuT0zWxqPhKTRNCdXkZzO6sRjkAA/41QsdFS7lgQSyqUG3/V7u/wD9esrNs0UopD4ZnQbVmkXP&#10;YOa6W00PUZEtybtQswyN0jYX6ntVRvCiiURi8k3noDbsKbdeC55bAzx6gWXbuGAQacYz6icodDp4&#10;/CheNHfUo9xyD+9xyD79qgvtKW2fZb3Xn8ZYk4H4c15nPpE8LN/pkh289TVWxtZjfwsbiQjzBxuP&#10;rVSi+5Kep3r70++rg+zZ/rVSZzwWWX8//r1VuNB1XUrsraRvtkcgNvwP51YPw81S2QC6nVMn5dxJ&#10;OetZqM31Lco9jUTRLOWyWZtRgSVxlVMoOP8AeHUfrRc+C7eWzVodVsDck8g3A249a5678NkWy/vh&#10;+74J55rnp9M2H5b0En+ENWsdSG0mdPe+DLu20+a8N9YMsXVI5tzN9Biq1nfabFbadFqV0YrYFnlC&#10;DLMM9s/Ss3SbF43vGMzNi1kwPwqe50uEppX2gBkKqp7dST2pNJysNP3bo7b/AITDwXZW0kmjzXUd&#10;yqFYyYF2bvesmy8WeHr+Hd4ou/tV0GbGxDtCk8ADiqUPh6JbO/iQRDbIHXbzgEf/AFq5O88MSRX3&#10;lGTezjMYx989dvX0rZJLYxfvbnS6hrWknVYRpWota6QhBeFWYFj3OMGuutviTodqzW8Um+3AAQy5&#10;LH6//rry2HSBOqndsjHBOOh9KgvtFe1mKkkoR8rEYIPoaNwPXNNv9Pv76e507yXikOZCo6Z7frUr&#10;wQprenQQptTzC20dB3rmvhviLQ7gyKUzNjPr7fpXUWji48W2gByEQtWPc2fQ3tUBbULME/8ALQcV&#10;0aYrmrljL4htY/7vNdGCc9KcdyJbFhRUqmoEYipAckGtUZkjHimlsChmzUEkyrVAOkkIU1WE3y5J&#10;qKa5GODVFpyO1AF2S6HQCqVw+/q1V5rkAZqjLeMwwB+NAE00ka8HH51y2puN0u1WJPcA1PqWp3Vg&#10;UkgZQzZHK59KxpvFOr5ws6A/9chWcua+hUeW2pa8Phlu7hyjHELHGOvFZWp6xeLFEhup7dUm2lFB&#10;xs+gFamk69rE8OoSyTrmGHKFUUYOazJPE2vP968B/wCAL/hXG43ndo6LLlL0mp6L/YOosHL3jxBI&#10;sQsSTkd8emao/DuyuhrDXEsUgjMTYdwQM+2ahbxNrwGFv3X6KBXQeDNU1LU9Zc6hdPPHDCzAP0XP&#10;HFXOfu7ExiuYj/s231bxVNFdztbWu4gzMuACB0H+RWT4g8PSafeyx6ck1/bY+S4jTAPHPHPT1zXp&#10;f2PwJNIZJ5LYzk/MWlxzVfWIPCcuj3MNlJYtKYz5Ya5ZcN0ByM9PpTjLoLl1ucLqNmP7K0eGRthj&#10;hJZT1DE5wa5e9DyXEmApyxx8w5Fc59puDqDxmWSQK5UYcnvjgmtq38L6jFcxXbJtgdgQ7Nkge9dU&#10;Pcp8lzKXvSuMNpGAPMJDemR/jRT/ABRYgaihtHYZQb/mwCfailfzHp2PWQVIyEpACf4RScAdRQrj&#10;1rxz0iXaSlVlkSQnGRg1L5oxwRUDbA2cgZ9KaAkZlx15pm5ehHH0prFQcqeKiY5oET+Yy3OUXKlO&#10;n41YMvyAtlMgjgZqlFIkUmZDlcHHtTpL6HaxAyO1aLYxknceA8K4aYyZIIyvFRm4mmghbyhv34bI&#10;xhfWol1CDzJN5Oz+DAzTDqMZUhfMI/65gfzp3Jsy+qFxvDyAgAYBAzTXCvhNpJBJB3YOaqf2qqur&#10;JbyHAxyVGajGquGLCHHOfv0D5WX13eYuV6AZ+bNRzzMB87sTnO3qMVmzatK8pfyEBOB981D9sllb&#10;JTtj5QapK4uVnrdla2lxp9vPJFGSYwSxHtWDqPjHwTpcrw3N/aCRThkQbiD+Ga4f4ieLLvTfC+la&#10;TZSPFJdR5lYHDbemPxrxuaGaFleWM5bkMe9ehGEbanJJu59XaJrPh3XUJ0ue2nI6qoww+oPNbYii&#10;AwqKB7AV8g6Rqt7pGoR3tnO0MyHIKnGfaveNL+L2iTaXC90Lj7dtxJBFEW59j0q+Vdibs2fiPHK/&#10;hY+RcTQOsgIeFcseDgY9zXk+n+GtcmiOnzWdw1xOfN+Z8AgHqOcDvmu21X4o2l5YywxWNxasw/dS&#10;z7Rzx2BODjNP0TV7iOLUFlvmeSNd6NKOOT29/apkiotoxptP1U2U1ubTzJLUqnz/AMJ78/xD6VnD&#10;SNattSVE0yO4ZnUo2w/n19qvrqeo32m3EczPJKJCfmGCOM024mkur22uJ2ukSOEHfGpOCODnmoVO&#10;KNOeUtD2WNm8pd+A+0Zx6012+U81DFIGgiYNkFAQT34ps0mFOK1sYlSckq9cn4ruk0rRLq+KlhGm&#10;QvvXRz3aorbvSvMPiH4rsxpE2ljbLNOu3aD9znOTRowOBPjrxADiPUHiToFTgAVq6B8Qr21n8vVp&#10;DdWz5BYjLp7j1riRE5P3cirlpFDFLvuSGUA4QevbNDUWrME3e567o2taZrGjXFtaOHlCuNrgK2D3&#10;5rQ0W3K+Ho0KIzAMNzHmvDE86E70yvupruPAeuy3GsxaXqF7ts5QQC4yVbHHNYSodjVVejOjtHSE&#10;Isrru2kc/WuV12eePU3MUrhCwK7TxivQP+EStvPE4v8AacEFSAf5Uk/h+0WCJSkcgB2khTnjj1qY&#10;qyehUujRwuuzXdtdo0F3JGskStgH1HPFdJpujXt7p1vcG+k+dcnmqXiXSt8sDRwuQFx8o5wCeMZr&#10;r9EuYIdEtUcsjAEYYc4rGo7LQ0jq9TgtQvtYstQuLWG9kWONyABVN7/WD8xv5D2613aeDF8Sandz&#10;R3UCJuJyWYHjHofetG1+EMN3GGj1huuMoDgH8c1vGMWtjKTae55fLc6p5ZY3jkdSCTzVpH1JbIv9&#10;rkyhUqM9K9Hv/h5DoGkstxK2oSSPlJFhOVHpxXM6lBYW9pOIN5XYDgqRhvTkfWm0kGrMOHXvEWCV&#10;1a4GOnzUw61rYlM/29/Nxy4AyfxptgpmRiBxT5LciNuKYi1BqWp6lZTLc3jSOrAKWGeMHNO0sXkk&#10;rsZQNp/hXFc2/iA6e00FtGrs3Vj2PNULHXtRtr5JPPfaz/MCM5FSqTbbYOSserWUzQ6lbsdxJyCS&#10;2f51v2pEmkqvZkNY1jY3OppbXtjbyTwkE741JGcdK17VJYrCOGSN0kRQrKVOVPoa0REjhdTg2mXc&#10;MFcisexiAlhY4GHGT7ZrpfEnkWZlSeVYpXG5UkO0keuDWdYabLdxRS2cT3KqQzeUpbAH0pPqUmdN&#10;oWq29gsqS3QPzlo8wOCvPr0Paty+1qyvNNETXu+Tq0gU569skdq8Y1u8gjkeHzXWQP8AMrKVIrJS&#10;7jZwouSg6bmYgCnGLsKTVztvGeoxWtpHb2tzJiV8GQL/AA/SuEQb7rZbiSXJwpxya6u3HhvUrJIb&#10;3UVjuIRhZGY4YVe8GvplprqrZRtqF8x8uEKMqpPBfPpimnyLYLKT3EstN1Kx06Se+tZIkntmEbsP&#10;vZ7H0NT3FpcO8MttMu0Rqu0EZBx71614n1PS4tDfRZEjnYKnnMTxH2GD1LZH6155feDZG1K21a0u&#10;A2nAjzYmbBjwPryM1lODfvGkZLYy47fUBtabdIoPKqy5P4ZovNOudTsxHFCYZ4sFDKQoyOmDmuth&#10;ttPlfIEJ+hFWBY6ZKwHlpnp1rBTktjVxicK2g6ut4ZFFnJE4BYNLhsnqOOtNvtC1IqFjjEsY+6N4&#10;JX2r0pvBwaxa9jij8hV3H5+g+lZh0e1xzbn65NW6s+xPs49zE8PRXVh4bEa2qvcecSYpDjjmr/h5&#10;ryPxFJeahaiCMR7U2HcK1vDfhfWLgjbCpijK8l1zjJPrXVS2vlStE8Y3LwQO1VBTtYmXLe5zkV5E&#10;PEH2l2ZYgvDFTXQ22qWdxLsjn3Njpg0fYImGZFGO4qWCCCIhgiqe2BVxhJO5MpRehYkuILaPzJ5V&#10;RScAscDNTJcQsPkkRvoa5rxlNNFoT/ZZlil3DEjJv2/h3ryq3vvEtrdNf3L3McLfdaOMKJMdAQem&#10;a2SM7XPcJtQto7pbdriMTP8AdjLDcfwqvPITnn9a8ot4tctdUm1a6FxHCW3l5BkLz2Y9sGpNS1XU&#10;JrOK8ZbsPNjCxnC7cnBz7jFQ27lqCsekZ/2vzqFmXPBzXkl5qmpxXWJTeqgywKSZ610fgi+mvru6&#10;aSS7dQqrmc5Uf/XqkyXGx10qbjkniq8iALxWtZWiX8zxpKqsntmrUvhm4fcI5ouO7ZAq7GZwGtrk&#10;xjiudmh+bPFdV4v0+50e4iW6dDuXIZCSB+lcpJKCuVIIz2qXoho1tBi26XqTnHzlVGKovahjmtHS&#10;2MOhyiQ7d8o69qgeGWTJjw3O0HPU1wO7mzsfwozZLL0NdD4NtjGdTfOMQbc+nNYs6XET7ZfLX2LV&#10;s+GLxbC21OeaRZIhgMgP/jo96couwotXOd1bRI9PLTSzoVaPzyTwcE1xFxqxkmIhTZGDwe5r1Hxl&#10;pa694Yl1mO5i/cpsiij6gZ+6fevIrSwnuWPlrkA4JNdFGUWrsyqJ3si9ZXLefuYDcTyeBVq6uLuH&#10;Gy7uDE3ON5xW/oHw7udSZHmvIoQeeDk13l18LNN/sWZl1GSaeOIkImOTVSqwTBUZ2ueRQySXi5KT&#10;OU4yFJorvvDxm0GG4spJII5Vf5hImT045Bope1QeyZwVl4m1WycMl3I6/wByQ5Br0Lw94hg1qHhN&#10;twv34xz+VeTMQRVzQ9duvD+rxXtqR5sZ+633XHoadShGa7ChWlF6ntIhmYnbA5B6YU1Imn3svCWc&#10;p/4Aaf4c+Lmj6q0cF/btp87cBj80ZP17V38N/bTKrRTxuGGQVYGsFhV3NvrEnsjhU0HVH6WbD64F&#10;Sr4X1Vv+WCr9XFegKwbpzTjVrCQIeImcAfCWpEfN5I+rVCnhK6IIaaFR7ZNd9MeDVDdycUSoQjsS&#10;q82cpF4JySZLw89lT/69XI/BViPv3E7fkP6VumQLyaVZc/4UuWKH7WXcy08IaYg+47H3epV8MaWp&#10;ybZT9TWkJuxyPrSh807R7E80u5Vt9H02J9os4ce65q+lraRgbLeJT7IKhVwJgPWpXlSNC7sFUDJJ&#10;PAreMVbYzbd9zyP44abJt07VIl+RCYmwOncV5yzW15owKXB85F3FD2Nd98VPHVlf250Kx2TgMGlm&#10;ByAR2FeP72jc7CRn3qmrhF2HTIyMpyPmGcDtSrI0bAqxBHcHFRZLsNxyacxB9qZJZS6k8wMXLMCC&#10;NxzXrOieJLLVrZPNRIpVI4kcAbh39/8A61ePpgnA+atnSdRutP3m3ba+QRlA36Ghq407O57Tb276&#10;jHMbcRbx95w/bHfinLBazRou9j5fDAHg+/TBzXk9nrviCfUSkF/MJnOfLAIz+ArorXUNXs76zj1S&#10;C5mWc7FAhEYJ/wB4nnr6VHJ2LU0rs9jhuQYYgmcbB/KpC2R1rmRriWsKQrbyPMiAEZBxx7HmmyeK&#10;vJgA+wzyTehXaKd0id2ct8QPHJ0WdtNsVD3ZGZHYcRg9vc143NLJdTvPMzO7nLMe5r0TxzpM2v6k&#10;moWloY53UKyb927H0HBqvb+F530xIJ7YQsAGycZJFDmojULnFRxSED5HCj2qKSYlsICMfrXbRvCy&#10;tE4KOvBXFZN1pMUpL24b67TipjV11LdF7oxYN+DuPGOlRIxWTeoIKtkEdqdOs0MxQgjHFWLaxnnl&#10;+zjaHkG5NxwG+laXRlZo67SdYupWhBu5WQ9cnBrYubi7jhDxXUgzgcMf7xB/lWf4S8KaoAHmhjQC&#10;YBlmfawHcgdxXajw7pFzcAXE8qxhwGw20Dk81z8lma811Y5K71S8tYIZIpj5hTPrk5o03UfE2o+X&#10;9naMhiRmQYFHia1sLRQllcoXhdkjLseU/CsGPVLw26wpGoRT/rEZv1FJQvuNyO40268STRo0EkSM&#10;2QQsirkjg9/arra34p0mSFbi58qJ3AxG6t/LNcIlyoMa/aCpGAWETYFdHY2lndR/unuriZF34EIU&#10;LjuSW6fhV8t1oTzE+qePNVYyq87KEJwTmqFpr02smeGSXevksWAHU7Titd/AE2s3UbweRbRzLk+d&#10;cbt59cBePoTRd+DLHwrpk1+mpRz3JjdXt0UjjackHJ/yaicUolQk2zldKnUSTJ1x+lWLmdVgcfdJ&#10;UgFuKyYfGdvb2/lwaVDHgdT3PrXNX+rXN/cmaZ8jqFH3R+FaRg7EOWpONIvZJ8IA+48HrmrU2iX9&#10;kEeSCQ7uhCmpND1SB7pI7qVoB03LyK9D0vxLaWFsYbyUTyKp5ODgVMqk4uxpCnCSuyj4V8Z3vgpL&#10;fSdQJiguGEpKvhogT3GOhr01PGAg8Lz6rZSwXci3Qj8zAPysepr5x8RaqdY1+6vh9xjhPoOKTT9T&#10;ktYWEM7puILICcE9uPwrWMbq5k2lLQ9017xBbapfzfb9Ohcou3cyAlQD/e/Lt3rQ064t00CORcW9&#10;tHuZ1U8Y/CvM9O1e51q7lDqvmMDuUEDf90cZ75U130umpdeHIrS0W6bcxaUzDYq98Z7j6VDi0O8S&#10;jZfCW08b6hda3qF1dWsNzj7OkQG7AH3myOntXC+Nfg9rnhOKe+jeO90yP5jOhwyj/aX/AAzXUw6u&#10;/hfVIon8RzjMe5l3kgY9uR+FYnjDxT4y8T2U2lXEscmnmTcpVAruoPyhiPwrZPQzPKq9G+Gutw6b&#10;Z30BASaeSMCfAyiZ+YA9ea5I+FtVAz9nb8BXU+CvD8sNxcNfaV55+Xyt9wYgrepx1obVgW5o6pPd&#10;Xd3+5DsDLucngHv3610XhS+ubiZoru18yFE2CLeN2PXB61uWmg6V5bTah+8kYf6uK4IRfpnkn61N&#10;DY+HY3ElvLdQMvT95/iDUtpFLU4i80e30jWblY48MSRnnGDz0qCPRbOyMNy0jxNv+UNIfrx61313&#10;oWna7fGWK7uDOQAfnXt/wGud1PR9NaT7KJ5rqa0bcCJlwh98DnkVyuLctDfmSWp28ss0vhGG3gnK&#10;GYKNwNQXBmZIYySVAw+D6Dmsi28RW169rpFsryC32iWcY2hgOg9a0L2cB1DeZ8zZyp7joPoapx7m&#10;amzo/h/JMI2jnUrJ5WSPfP8A9erGt7o9VlKcdDxVTwpeoJbucE/JHwWPBLEHH9K3Lu4jl1EwPDvJ&#10;A3EEDtW3TQlXbOakkZz1+uKA2epNWL23Ns7HhUJ+UZzWc0uKSYzM8WajJp+jGaL7zSKoIGSMntXN&#10;6fqE8eqATzTtbsNxaUZReO+a3devNtkqiNn3OAdoziuMnv5QWVreds/KR5I7/wDAqdxa7Im8Q+Jt&#10;SMoW2lzajADImVbn3rP1vWbl3by9yojjaEzgYOD0qU3DvIkDwyYIyY/LGSMY9eOaZf6fJEBNLKip&#10;novuO345qVLuNp9DM1XXrq5Nukbug2ZJA/wrd0u9e30T7dqN5MVjIkXYozs6dMdyf0rNis4b2aON&#10;GKAfeAOMAd+lRzahdXFtq0mmwmRkMcUahdw2AnnH4frUTk3saRivtG5a+OfDkD+YsupJLnJkX5Sf&#10;rg4rWHjTQp7Z9SN5qnlxMFbMjDk+1YOleBvG+raat6r6TEjDIEyKD+imrtx8MvFN3ocltJJpbTtK&#10;GHlShRgfhTfOrakKNN9A1Hxf4V1ZQLnUNVP1YkfqKcfFHgbyRG8WQQF3GJtx984rFX4M+LjyLe2Y&#10;eouVq3N8HtXlsYGjvNOE0YO9POOXOT3xj/8AVVyT6smKiugmp32h3Glr9hvpLaFpPl3q7gkDp0q3&#10;F4g0ldOFub1DIsYXcIWGPfpWSvha5i0mOK7TyY4ZmDyMCVBzzyPpWJr9zp9pO9tZTiZyVzJHyu3H&#10;IzXOqXMzodTlR2EV9pc+m3UC3vmSOGYF4mO3IwOSBWdpVx4Y0iGHTdQuJZbuZ9zyxyHah7ZrlIop&#10;H4Zz84wee1V72BI1IAGSccit4Ya27MZ4i+yO+1bX/DdnZTadbzKVl5YxZY59c9KzPDtpYS4STaIw&#10;28ljjPevPmj2HbXQ2b3Fl5ImjVInQFCxznj60VKSS0HSnd6nrlhYrd63Z26RyGxVcs8QznPuK6+5&#10;05NP0C/EGPMCkAk5Jzxn2rivDV1BbRQOnlwSnAYjCnHvgivTYI7O8iYSBW3oULK3UGuLZ6nZJ6aH&#10;zbr9hfw6i0TyOqKTtkRQfMz1Oc0V6nrnhDU7G6Eaxpf2pJMLMi5X1HJHtRXYuSxxOU7nzksvykHq&#10;OlN5cj9KkitJriZYokZnY9BXVWPhtbSMSXbKZCOEHatmOlSc9jY8MaVE06MrBoigMkciBhnHb0rY&#10;Os311qn9h+HUjtki/wBfc4zs9gKz2vYtE0aSUH5yMAju3at7wvYw6doglVw80/7yWXuxPNZdT2KV&#10;GOkI/Nm7plnqFoVYeIb+SYdd5VkP/ASOlddpupzygxXixrKvR04Vx9O1cXHd7JEPXBxitM3Bkypx&#10;7HPNUpMurgac1orM7Bm3c5GKok7XbmvO9UlubaRpobucLtKtEGOA3rVrwbqTyzut3dyPuIA3HJFZ&#10;Tqpu1jyKuHdKVmztJX9qyjeXmnarJKrLLFKqlI3ONpHB/nVzVnS0g3w3MLSA8rOwQY/OubudesHj&#10;Qy3kC3APIV9wxWNZPl0MG0dPbahJeGRpkRHVipCninyy3KtuhEbqByrEg5+v/wBauFfxjp1jNIFN&#10;xMHO4mFAR+pFMHjqzmfGdQQdOIAcfka2pxfKiVJdy/ceN79riT7NpcaRw5y082dx9to4ryzxZ4/1&#10;zXZ5IJpfs1uPl8iEkD8T3ruXt7S4ikey1PUN1w3zKlkcjPfLcCqSfDbRiwklmvJCeTv7n3wBWsbr&#10;cuXK/hPK7azu7xv3EEkn+6uaWbTryKUpLA6uDggjvXqem6he+FtWaA+Gor7TVOF2phwPXOOT9a9V&#10;0nWPC9/arcCzS2lblo57fDg/lT5mS0rHyk9rNCR5iMhPTcCKjKHOOK+stVbwxqlobe705LmM9jCB&#10;j6E4xXkuufDbS7i9MmkXFxbRMcmOYB8fTH+NPmJPKowUPXmtHTrieOdvJfDle4zXbx/CskYfUnP0&#10;hA/9mpZfhp9hja7XVVAiXdgpTbQHOWmu3MLfaH2RyK2AwTB/Orkni2aZkaaVXYcruB496iubeGWI&#10;vC6yRt0YDrWYbQSW0TYGQcGoYHSQ+NbmLADRYA4G7/61aEPinUJ8YtTMSu75QDkVwM8OGyRxmvSv&#10;Ct1o/hzw0upXl0FlnyCCctgdFApctyr2Kx8UXSMPMtZkx0ABAFPHi4v8jrLnGcEmsPX/ABl/bk22&#10;ytmggjYHzXPzNz0wOB+tZcMsk0RlY4JwcVEvdKjqdFpmoWcGsCa7ttynOQoBPP1rbsLaxk1MyxQq&#10;YS+cHp+IzxXB282+8khO0tIcox9R2roG119FcwT2Cqw4aXzCQfrxUSi2tDqp1IrRnXax4S0u+lhv&#10;HRYxCpZkXgNWDong29v9QGq6mI4YXX9zADyq544q9oGoXOuXSS3TiOwHIGcCT/61avinxVb6OHay&#10;VZbggRRYPyoPWqpxcVdmdacZO0STxhcWd1bR2kUyxSwj53UckgdM1xNvcrJG1u8yRuozulkYE+n4&#10;Vk3upyynzZpCzAEs/qT1rQ0C4ttQZpbi0hDABF3gkOPp60ud7sn2d9iyospnMTGDGf8AWO/A9QB3&#10;qhmG2uJlWMSwADAjwGb6dq1tb8G5EM+lWkwAbLQjJ/EDqK9c8FeHdFtfDdlNeabB9uK5kMkeWB98&#10;1UPe2JknF6s8GJneIuYGjyx2+YpGR+dbmjWWrXVvA9tcW0apuQHnfg9Rz2r0zx7o9tqk1vMsqQRQ&#10;IRsUAbsn1ryW9ttTimdLV7IxhjtKOxOM8E+9DhJ7C9pFK7PQFtdQSyRWuFTauAQM/wBa8l1XWNTm&#10;murea7dtpKEZCjr6V0sOqa/Z6csQkj+RerNu3fTIrkb6O4vLhnktWEjsS0igjn6UqdJp+8E6ya90&#10;xngcgFnT6bhxVm0tbUfahczoGEX7oqcgtSHSL57hIEgkZnOF4puo2awSrBbq8jRDbJIBwzd8e1dJ&#10;lcphGB6Aj61caZ/JMRwR2ZTzVLyZf+eb/wDfJrQFlv0gXCK6TJJsdSpwQRkH9KLXBMoEvtIKn8ql&#10;ljijt4Xil3yMDvUfwntSIz52sCDUx2RfMuNxHQjg0xG94UvHuNRjt9mWJ3M/c+w9K+gNM1GK58IO&#10;ksPlTR5DZ4yB3rxj4bWkEetG6uracoYyEZGwAfrXrhntItCupUDRuikDc2ev1qJAmrnnereDtY1n&#10;U49QsoIntygVWEoOcVefwA21hHdTo4XO1rcEZ/MVoeGta1C+S6jkv408qbYm9eSMZ9RWw17dyzPb&#10;HUYzJGoZl2EED65rKo6lrNpFxcV0OSsvh3ql7IypfpFtOCZLdhz+D1u2vwqdYj9s1dmkB48mMqMf&#10;ixNdl4EdLxZbjzfMLE/Nng1mPqmrTXEz212pi8xguWx390q4LTUTfYzLP4TrNc5k1W5ECkbsDBb2&#10;HP61pXHwu0cMfKu9SBxkIJ8n+VPj1fxBEeLhSPYqf/ZRViPXdbEg3KGJ74SrtFCMjVvh/d6JYXMm&#10;hXEkjXEBQm8uMmI+o49M144Lq90y2ewjmVZ5NyzSId3y5x19T/LHrX0brdzI2g3k1w2Sts5wP92v&#10;mzS7p7u4s7OfBjluQQMc4PalYD0TQdIWx0qFPPO9gHZlGMnH+FajW8jMCbmU46ZxSKQoAHGBgU8S&#10;c9aQ0SWpurTd5F5Im4AHAHP6VbOo6opMn9oyF/UgVUVxih3G3FAbGn4t1a606x0/ZLvkdCzswyTX&#10;HDxPqk9wkSrFsJ+dyOg78Vu+PZlEtgjMoxFwDXGbxksp6ckg9q55SfNY6IpcpueINcuLa2jFsYsS&#10;nDebkZGO2OlcS8hkb5YG92ErnJ+uau+IJbu8+z/ZlcquSdorIK6gBtaKXb/umtTI6DTvLs5fOjLt&#10;K6ANubdj6Zq1cXLXKBXQnadw9a4w21wMsIrj8AafAt156KgmQnu2cCh2BXOguLlLSwldEAmm/dpk&#10;nO3v2r0j4feHItH0JmeWJ7i6Ikk6ZUY4GfSvGL3UDcaskW7EUY8tTjv3NesWVvoqwRsdTAdkGdse&#10;MceuaVrDbb3Z6B5Q8vy1l+QdFDACiOwabKKxBKnBJwP5VwclpogOf7Vf6gGul0EW1qouGu2nij5G&#10;5Tn8KS1eqFbsVJvFutaBJLZzafDLEuVBRifxzk1yt34+tdOkLz6ZIjZ37RcHn8K6/wAU+Kb+5024&#10;tvD2mzSXbr8ly8ShVHcgHJJ/CvIJ/A3iS+Zr24Sd7h+WLgk/lW6pKS94zkQ+I/iDf+IfMtbZFsLE&#10;c+TGPv8AqSa4yY7GTGDk+ua1ZbO6s7zy2ixKCVG0ZGfakXw3qhuiLmynhwu9QUPNaxp9kQ5pL3ma&#10;Cyh3AT5UjABPqap3MXnSeYXII6CrNpDOlqwnt3TB+YlSMVHMFKbw+CO1U7rRhvqjGnZ1BYqpwa2b&#10;IrqdhCkkiRm3HXb94deT3qKLTTfJIiSRq+3Kq2cufQY71p3tubTTLWMReUduxlJUnIOSeOefeuep&#10;2R3YS0G5yWhJ/wAJLM/h9tJa1QjeGFxuO8D0HtUkfivVrdUWzuZ7YDsr5B/OsdUHpUojzRypqzRz&#10;yqNttG/eeM9U1PyjfzXEzRLtQrMYwB9BRWVBZSTqSi5x1opezj2DmkZW+48OeIAuo25SRBlkHUAj&#10;imTXcN/dNNcX5WM5KgA5Htiu51LwVp96ft91f3M92wUNDHbMo/P2+lZ40DQ47UwNGNwYhiSdw96f&#10;NY6qUZ1Vypqxwov1jmCEmWHdyH6H3xXa+HfFkLW32FiI3XiPPCmmT+EtBnGIrmSF+xDAqfz6U1fh&#10;9AXjaDUGI67sA/ypOSkbUKdelO8dTuoQCVIOSa1sq6Kc8isWykhjiSBmCzKAuW4zVu5uksbSa4lO&#10;EjQsfoKg9hSajdlPU5Yypic/M+4gDrwB/jXG319PZWjm1UMwkHJqTSfED6/rFxM6CNYYSI0Bz1YZ&#10;P16UXCiZJwQCPMrG37yx42KqKp7yOffX7iRiZoImPfLGnpqyOQDbqCe4lNOt4LWLVcXFuZoj1QPs&#10;z+ODXdaNq/hi2tdw8HK8kRwWDeafqSRXRotzzuVM2tJ8CKtlDd3UsTK6htqJv4PPU13en6ZoFlao&#10;8tmiHHTysk/0rlU+IGlvEiPZXkCAYChQAP1qw3jbQpI1RppI8d2Slzj5fI65bDQ75GdE8hBwWLbf&#10;0rPfw4lwxTTr5JpM9GTgD61l2/inQntPKF8M5yMqR/StDQ9ZtUuM2VzDI5PIHOB+VF0wsSJ4Ou4W&#10;82/eAx/3Ys5P51cXRtPVfLMEinP3g5zW1ea7ZC3aJ7hVZlxkHkVkrdwkhohPKRgBiOD+Jo5khqLZ&#10;Df8Ag4RWks8Fw25V3BGXOa4u8juILWZ3MiYQ87cAH613Gs6tq32B2gmitEQZaR034H0FeQ+Lmm8T&#10;y+QtwSvljy7gOUDv6baN3oJqxwR8c67FIwF+xKkj5lB/pT28fa9LC8T3MbI4IIMK/wBK5SeN4Lh4&#10;pBh0Yqw9xQjVpyok04tVuILYQqEKA5wVpBqsyR7NkZAOe9U443lYKiMzeijNWDpd+E3m0nC/7hos&#10;gGy30kgAZF4PaoRMDIGlDSIOi7uKYRjg5/GmmiyAvvqQliWBYRGueinArUs5N1sF4yvynPcVza8M&#10;K2IJ08/yzkbyCCfWs6kdNDSMtS2ioNWtw2QpYA4rrNUt5W1CSK4zJBnJCgZ5HeuRKt9pik6FGBzX&#10;VatqCya880T4jZUB9+BSWwm9TS1eGGLUJFV2SNQqrEOABgdq5PWLkTXaxp91B3rqvFTLDrd3tG77&#10;pGB6qK4aX7SszT7GUbupFaRjztRTFqtWdfoXw01vxRBDd2ht0s3PBll6kewrvdN+B1zFNHLca1HF&#10;5eCiwxE4PrkkV5bpXjrxFo1uttYalJDCpJCKBgZ61dn+Jni65TZLrE20HI2gD+ldiy2WzZn9Z7Hs&#10;t54R1XSYZZrCRbtwnCkhSx+n/wBeuI/4WDq9tK1tNYgSIdrKFBIP4GucPxa8W+SYmvY2XG3mFckf&#10;WsnS/GN5pmqnUktLKac8nzYtwz+dJZdUWkWgeIjL4j0C88SX8tgLzUPD8v2Xp5kkJxz071iTeING&#10;lcyf2UqSdMbDj8qmf4l6v4ySLQLy0s44Z3HzxAqQRyOpxjipl+HP26aO3h1U20pBbO4spx65P8qy&#10;qYWrCN2wU4SK8ev+GpV/f6WIm74Yj8uKcbrwjMD+5dfpIf8A61VfFXhv/hF7eBl1RbzzDtIEe0DH&#10;vk5rinu5nUGOVEZSQcjrXHGo5bGjgjuY4vDatL5M7x+YpXd5hJUH05qtH4a8NFMJfzEnn55M/wAs&#10;VxU2pXscTMXt3KjP3BWePEdzn54bdv8Atn/9etFzMXKj0R/CGhOhKam8Z9VkPH55qS18Lae1rcW0&#10;GrSyCbb87YAUg+tecr4jfdl7SFh2GSB/OrMfipFxmw4/2Z2FF59g5Uel2vgixgYGO7ieQ8Zc5zVr&#10;VfALpYSfu7CN5E+WR4wSPfgV5bd+IjcCD7N59thslxOTXc6P4xu9Yv8A7NMgmVlzGo6cfjSbkCSO&#10;o0sxaXpNvZzhZ5I48vNGu0H8PxqHUbxL7SLqwhgCzOpMbZ6YpwmlQ4+xY7cY/wAaq3kbXabXtpFH&#10;+ycGmvMTRk2Hw6vI2t7gX67htd0eJsZ7jjORXXWtj4lgP7q80zOMcwH8vu1n/wBr6tGoSNo1ULtG&#10;62z/AFqv/amrqSS1o3+9asP5NUu5dkdXY/8ACYWakWx0YDviJl/kKsIfEok/fWWivnk7Q4J/Subt&#10;/Fmp28YQxWvH90uo/ma0rPx0YZka7iwAc/JIWB/AgUXYaG9qUV0biAGxgtrVo8h0yXd+O3Ydari1&#10;IYHLcf7NV7LV7fxJrMck9zJNcR5MUaqUjjHrjJ5x3rpZLYJC3dsHFUIwfEN2D4V1R8HAtZO3+ya+&#10;edHXGq6U4GPMlDKM54XqfxP8q988XuU8I6uQMf6O4x6cV4H4VtLgazbSTowVEZk3cZHTj86qLurs&#10;l6HqCzc4Bp/me9URIRS+b70hl4TEd6Uzbtg9WH86z/O5pVmJuIR6uP50Aanj+CKRLa4LHzEGwL2x&#10;Xnl/ObfS7p0Yq+zAP4ius8ZSXU2pr5MauirjBfGDXLzWtzc27wywCMMRzuzWLXvXN4tcpyieINUQ&#10;cXTY9wDUo8TarjBuAfrGK1n0Vk6Ipqs+mletvn6VpdGdyqnirVI+jxn6xirv/CTX7afNcT+Xz8kY&#10;24yapvZp0MWPwpl/ZvLshjXEcQx9W70XQPYzZdTmlbJVMk9hXrWkwwtpNqZIkLmMEkj2ryhtPdcE&#10;rjNep2MmyyiX0QCr9DNs6jw/p+kG8jnvjFDFG4+8MA8+teoWy6LqUObae1njX5cxnOPavHB4l/sr&#10;SZt1vHMiAyFW78VlWHxkmtiILXQdu8ZKwyjJ/DbUOKe40z39NL09Wyiwqfrip0tYkI8oxjBzw3Wv&#10;Do/jPOjF5dDuVbpnKn+gqeD442rsUbTroOOo2If60kl0Kueh+KfC2n3MAuEtLaOUyqXkWMZPI79R&#10;WrdeDdMv8NP524DqHrzgfG6xaPZJa3Cr6NCP6GrUXxv0hQAS6D0MJ/xreFSUNUzOpGNRWkhPiP4F&#10;eWwtBpE7l0Lbo5myGVRwFwOuT3rxHVo5dNmSHYiTqvzBcn8Dn/CvbLn4veG9RVPNu2TZ02qy1y+q&#10;Xfw816/N3d6hMJ2GGKy46fVaJTlJ3kwjGMVZI5Lwc1n5k73dr5sgT90ckYNZ17K8125diSPl59q9&#10;H0yD4eWbHytWk56hp15/8drRGlfC+6Ys1wgZjkkXpHP51D3uXzNKx5IpFPDivYYvCHw1mPyXjDP/&#10;AE/f/Xqyvw++H0o+S+l/C8U07kW7Hjkd1JCCI5GUH0or2cfDDwMwyL+6x7XC/wCFFMq8jopNKS2Z&#10;rm1laW52lVEhKqfqBx+lUhb3sij7Rpum7+53E/8Astefw2uqasiSvqGqRu3OJEkbH45Ara0nQrnT&#10;i7z6hcXXmHP71Pu+wya5/axRqoyNy8s4nAV49IhI674d39RWfHpumR8y3enuoYjCW6Lg/mattHB3&#10;tgxPdmA/kKiaGy8wMUVMdg3GaX1lbWGoyWzGPYeHJMlxC5/2cgfpVDUtP0G6srmFpLrydmCqg4I/&#10;KtI3FtEPkQcd8dKytT8T2FhBIZJ7ZWCkhZJM5PpgVPtW9kVeS3keeaTFoMN1cpp0z/aRGQ6spHGf&#10;fvnFT20fmi44/jrkdHu5bjxNNdogUSl3ZV6KDXYaS2/7T676bVpolP3TEuUEWqxg9TXU299LEhW2&#10;yu4c7VHIFc3rke3UIiehyK3LCWeGCOWOBpIgCowDUYhyVrG+DhTk3zlldSuNwMhVvZ0FOkuYbnie&#10;ztX+sf8A9eoZ725mYgLhD/Ds6fjUcbQ7Csg+fPUiub280d/1GjLb8ywLHR3ORYRA9/LmZf8ACuk8&#10;MS6RaTSWk8FyIpsABbk5z25DZxXMxLbvKuXIjzhvmps22CRPJkJ5zkHNX7aXLzWM/qUHLlT/AAPX&#10;UstMsGM0NrKrkcCac4/mafJ4hht15+zhv9j5j+Zz/KuPs7iO4tFkuppB8oIAPWoHuYWY7IGBzxk5&#10;rkljp/ZSOmOWQ+2zoNR8Sm6iaJkEiMOVJ4P1HT9K5fWLqQ6c6m3jWFRuRQgAUjoR75rQhtL+7AWG&#10;zYAjGcYqrq+kah5arO6hRgbSaKVWvUd3exVSjhKUWla54Rq+Tq10WxkyEnAxVNTzWz4stvsniS8i&#10;xgbs/mKxu9e6ndI+cnbmZ6X4Hni03To7pLeJ5nLgs4r1XwKNOuNPuJ720SaWMqWdznOW/wADXiOh&#10;xax/ZcD2QheJywCv1B7mux0KfxpBpGoi1is/KWIPKz9QAR0rPW5bSOF8d/Zv+EsvGtIVhhZztRRw&#10;Oa56GCS4mSKNGd2OAoHJq/rj3Ut8ZLwoZmyWKjFXvD8+lRQsb2K98wN8sluyj+YNa9CGK3g3VzZP&#10;cLpl4uzk7k4x+VTWnhHVNRjheJFj3LvDPxx7+lXjrz3F0ZmvNTaRGXyy02cAdMgYBrpNN8T6AECy&#10;CWxwPnWRmm8x/wC97D2qJX6FQtfUoWfgHV2H7ye0DnBxvyf0FbH9hnT5FW9toWzjbJjOQBzVn+3v&#10;D16rx/255QI5c5TPtwKuaVc+CDpUD6jq7ST4O7M7jv2FZck5GjlBPQz7rzXjWe3i8xgdrqy53DpX&#10;M6zGX05tlrJGQw3YGB1r0mHX/CVpbO1tM5jdvlw2d3/fVc5r2qaTJp8n2fTWhjJBW5eYnd+FVRg4&#10;zTYp1E1Y82jtpXK/I4yCenvTNpErR4OQM81vG5tiykSgdh81ZN4V/tJ2jIORgYNe9CpJs4XCJWBI&#10;XO3uakMT+SrgDnp7UhUgAY6k1OY5ltl6be1ac8l1IsjS0WGSz8QWRcgHzcYB5713Wl3rp4hE0jsY&#10;w5Q5PQGuIso7iTWbWeWPaBIFLD33H+h/Kt6a4ZHnyfuOcduc0VI+0ptME3GWhpfFaTMNhCh/iZsD&#10;0rzK2jDrIVO7acsR2z/+qvQb2SHxLpS+YJRNbEKXDcEHtisvSbAaQtyNkVwzlU2OpwFySR354H51&#10;88qLpaHdG9SVkc5qei6jH4e/tUW5+xltvm5rlMV9L3HhQ+IPB0ujRvFaq5DI2MhCDmvK/GPwsufB&#10;+jpqcup21xE0gQRrw3P41ty2RzUqyqN26HnZHNJip0geZ9sYyQOa2Lfw7+5E1xNjOMIv+NK5sY9u&#10;4Vtjj5G4PtXfeB4tvieyUcqI25/Kuam8NTOrPaEsB/C1dT4atGtZjLNJHFtiKg7uc9/0FZVJcquV&#10;FJuzPT/LOelLs9qz4otMaJWj1hM4x/rB1puoy6fpOnG9n1v5R/CnzEn8DXOsTd25S+RdzS8selBi&#10;B/hrG0DUD4ihkk06+LiNgrCRSDWsbXU0k2b0LHkZq1W1s0Hs9L3EMCHqv6UhsoT1jU/UUrw6rH96&#10;BG+lVmvbuGRUntgufwq/aW1aEqd9mbvg62jh1u7ZYwP3fBwPauwl61zHhTA1a9I7Lj9RXSzEDNar&#10;VENanF+NnA8KasGON0ZAx7mvHyxt7exuh1hIDf7p4P8An2r1fxxG9z4Z1CFG2s4AB/EV5LA5vNPW&#10;JgWcqUZVHfpQwOjE+Rkc8UnnHPXiqFlFcNZpuiZSPlw3B4qUw3Gf9X+tK4WZZMwz1pYp83dvj++K&#10;qGC66+STTobe5+1QnyWGH5OOlK47Emq6mHvZGKFvmPOazzqKnrn6VbutGud7NkHJ9aoNpFxgnbmo&#10;0KEkvgw4xVf7cVNMlsbhGwY2/Kq7QS94249qegi0dQBPzKCD6itjTFtJLMzzQrIWY43Vz0NuzSAs&#10;p2jnkdfaulmvo4LdfNt4kjVOQBTSNIK5g6pIGvRHZ2m+RjhIYwSWP0qJtV8QRHyxpEqsvGDExIqz&#10;oEs7eLrLWBayR2kUgdXYFVYZ7HFe+nX7OTDPpzcnPEgJ/UU3KMdyPZyn8KPnGbU9cnUwz6fKIpFK&#10;sBCwPNP0a4h8P6muo3VldsoBQIV5H4mvo1dcsph5T2TFT/C+0gfyqGVtMuFZJbRtrdgqcUnOL0H7&#10;Ka6Hk6+NtFlUF7C5TPTKqaz7jxB4OuLpZpknSRO6px+OOtetTaF4WmiYT6fKVI+YbV6fhXk/xN8M&#10;6RaW0F9ocZQRnbKgi2gKeh/D+tRGML7jan2Jz4j8HTcNIn/AoDR9r8Ezj/W2YP8AtR4ry0WV0/K2&#10;8rD1CGlaxugB/osw+qGtPYroyPaeR6qlr4Ol4jnsfwfbSHwz4TuDkTW+f9m5x/WvJGjkjOGRlPuM&#10;UnzD1peyfcOfyPXf+EF8Oy/6ucj/AHbgH+Zpw+GmmOfkurn/AL+Kf6V5EJJF+6zj6GpVu7yMZWed&#10;R6hyKPZy7hzLser/APCrbU/cvZvxQH+WKD8LFA+TUJV+iY/rXl6azqkR+S/ul+kpq1H4t8QRfc1i&#10;8H/bU0vZz6MfNHqj0P8A4VhdDhdVkx7g/wCNFcKnjzxOgwNYufxbNFLkqdwvDsfRF5rNpZITPcQw&#10;j/po4FcrqHxE0KAsv29ZG9IVJ/WvGX0fWL6Z3ME5XcTvnOBj6mkOhxW5H2zVLWI91Q+Y36VKoR6s&#10;r2kux3uofFWGJitrp8rns0z4H6Vp+HfE9zrlpeyTIkPlqCgiHTOfWvOI7aw1CNrS3meScDKu67Qf&#10;brXSeBne3kuLWUbGMbKwPqD/APXolCKWiEpNnHahr+q3k0izahcSLuIALnFZhZnblixPcmrOpReT&#10;qVzFjG2VgPpmr2iaZJJdx3E0J8lDu+bgGuhWSM3e50fhLQb2KwuLp4ceeoEYPBxmug0axuLY3Ini&#10;ZMtkZ705Nc2xgCPPGODgCkOsSvDLIGUJGMsQc4rB25rmibtaxk+JIGV4ZCDgN1xXVeH5pE8O7IQD&#10;M27ywRnnbn/GsDXpJBpgbcHDEEnHat3w9aPdeF18pysqPvRh2Zatu6IWhbtrmSXa91aldzYy0eGI&#10;7EjtWlJpdnOQzQISOnFSWs32rPmIFlXG5QeKtYxUWLUn3Odl0mySYLscbs8r0ApiaDaSyYjuG3Y3&#10;YxWw8KSSjeORnGGxipI7dVbIZs+hNR7OL3RpGtUW0jotI8Naa2l28jo8hK/xNxWpFp1pbjEVvGuP&#10;Raj0SU/2NEp7ZH61SvtURbmSKO7XMSb5IkTc5AP/ANcVUaUI6pFSr1JaSkauQnGQK5LxTM0VrNKm&#10;CyKSATgVZkurqSW3NrAWjlUsZJWwUPYFa57xRNdJoMiXjI9wYm3sgwM4q1sYM8b14X2p6rLcywxO&#10;zH/lmcistbCfcA1uwqzBfXUcmFKk9gRmtKTVb202ieCIbhkZGMj86tOy0IOm8JxmHSrdSuMTMMH3&#10;r0Tw6p/s7V4scPaSf0NefeG7ttQtVkKqmJsYX6V6N4YUhb5Cc7rWUf8AjtZdTToeFeILcyai23gD&#10;PX61JodnEI5WmV5ACMKhxWzdXy2Or3IKqfnYcqDxmtLSLyO7vi0cQAIwwVCoP5YrZMyZz7CG1v57&#10;dHUgNkOecj04FZWpRNDOqoNxYZ4FddeW9tca1cK6AMoOAQcjA9+afpbWUV/OLhYiNihfM7VT2A4S&#10;C2knfEjLCvqwq7p2kX2oXxg0+0lutpwXH3f/AK1dPf2kTzs9n9kRG7KOa6PwfPHp9pLFczIju+QF&#10;HGMVlUqcsboCh/wjN5pmlebexwwKi7h1P5UeIj5nw406YqgYXDqdv0rqfGWpW9x4WQROGKqyFvTo&#10;QK4u6mEnw2gUnhbw/wAq0oyu1JhLY46ANKyqv5VK6lLzZnLZ61o3NlaWs1mtvPKPOQFy0eCufQd6&#10;ptGBfxiNwxYgbmGMZ6/lXtXOUjJYZB5wcVaZpvsasQCmM1A/yyuAA2G6itE2kn9hi586DYWKeXn5&#10;xjqcUN/oFixa38kUsH2mNVjEyOWzz/GOn4mu08Jado/ie0uriZrvzPPZdsZVQB65Oa8+aRpHEMiD&#10;OYzkHoDk4/Wu8+FDRLJqMQO1o7hs88YrDF1JRp+6aU4py1Ot/wCFVWy284027uYlkG5vOkVgSOn8&#10;Nc/a+B7+zubcSCKVTJvLK5OT+P0r1uLVLQaTcNHKrPHGSQBXLTamqxxb2wv94ITXj87b1OhSsnyl&#10;nTHlW0aPysqUIY56GuA1nQV8VaUltaw3QWOTJG4E5HUj2r0OwuIXjl8kMy7T0GDyK8/WVrLSZJrW&#10;a4iLzFWDNn8jXXUbcU0efRXJzXOLl8BHSrkiWaWN2H3WA9auRaFJO4iiO4nG0bev4V1mmeH9R1iR&#10;Zpt0MJ58yQHc30Bru9J0C1sIwIIsE/ekblmrF+ZtH2knpscFY+BtQS0jOIw5/hLc1iQeH4rKW9i1&#10;NtlxFLg7DkEEZFe0aigtNJuZ1JBjjLbhjdnFeF6vrdpK8jk3LzSHLE7Tk/lXLXu1aJ1wj1ZR1RtP&#10;tY5WmkZ0K/IqfKd2K4m9vnuWG47UXgIOwqbWLw3Nyeqqo4ANZRKZ5DH8a0oU5Rj725M7X0O28A2c&#10;9/qDi3mjzuUSQM5XKHqwI7ivoC202LRrRbbzpJVT5hJOwZuT0z3rxb4b6PaQytq/21mPllViiTlS&#10;cZ3E8V69LBLqFuk8VwJI1izjHTjvz1rbEctOg6nU5oOUq3LHYwb3VbpvG9rZxzMLYplkHQ9am1jD&#10;XkAGOn9aylim/wCEvspgP3ZiYZPPNX9RO7UoR6Y/nXHCt7bDc7O2nBxq2Zv+FDjUb4+wrop24Nc1&#10;4TbN5fH/AHa3Lp8A810Q2Je5yXiqKW40meCAHzJHAwOuM81w+h6JNaX12HgYREh43b1P3h+ddJf6&#10;0TcyhgDg4HPSsqXWTu9B9alyGXWst+QTyfSoZbExfMRx9aoPrbgnBA981Xk1x+jMDS1Hc0FQYzg/&#10;nSltp5yPpWUdbJ4JGPTFRS6yrdj+dFgubLOpBLPUeUA4IxWE+pk9D+dQtqUg5osK50LtERzj8Ki8&#10;uBjyPzrAOpvn7oNNbVHH8FFgubctrbjMgZlI54PFYeq2N5rFxb2Fly9xMsZHcgmq91q0zxsgGMjq&#10;DU3hqbVLnXrYWdyY5kbeHP8ADirWm5V/dPUB4YW40a18Py3Bie3BA2cgkfWuoh0+5gto4mEUuxQu&#10;5lIJrnbXXr23cO+npNJGeHZuSfyq+3ju4H+s0j/vls1nJRk9wUmkaLWz877WA/Qkf0qJ7VO1kh/3&#10;WFZ7ePFb72mzD8M1H/wnen5/fWM+O/yf/WpKmu5SqM0HtwFwLJvwcVieIY9ukyxxaDLfzSKVEEZB&#10;bGPvfhVweOPD7fegnH/AKE8daSmpRW+nQXMtwWwfLHMee59qqFJ3B1dDlPh/rvibw9ILPVtIlmtG&#10;wSbmE7oxnHynGK96hgs54UkW3hKuMg+WK871Px1qWmPsmSB0PRmQ1iXvxOuZYnRZTExXCmJiMGt7&#10;vZmFn0PWp9C0m6P7/TbST/fhU/0qH/hF9Axj+xrH/vwv+FfPk/ifx/HdSG1u7i7t85VjK3Q9uCKT&#10;/hMfHEYzLbXbH2uJB/Wp50WqUmfQQ8KeHgc/2LYf9+F/wqK98H+HtQsms7nSLN7dv4BEBg+oI5Br&#10;5/bx54nU5lsdTz/sXctVH8ZaxJMrSWetA/8AX/Kf5ijnQ3RmdL47+AxhV73woWeMAl7OV8sP9w/0&#10;NeIXOmXtnM8NxazRyIdrKyEEGvpnQNYu7XwreXw1CWSWJC4ikkZypA6HNeXX3jjVL7UGk1nS7a6n&#10;ZMIgTyifQkjrVc2mhDg1ueXmNwfumivSrbXN7yJP4Zj3rjhZGGM/gaKnmfYWhyPitLy18RX1vcyz&#10;ECVim5iQVJ4/SsHNdd46tp5vFc7DJV0Vl3HoMY/nVnwt8OLrxFCbmS7SC3VtpKjex+naiLVkNp3O&#10;OtZZYblJIc7wcjAruNIv7mXV457iJYpJBghR146mvR9F+G/hfSwPtDXM8n8RfgH8ua7Ow0zwzYlT&#10;bWtsjDoxTn8zzWc5JlJNHhx8J3t5r5ltrCeZZm3OTFwv0Jrs7T4bak4XzPJgXH/LRskfgK9V+0WO&#10;zC3CKPZqpT2dvc8RXXPtIKm7KSXU4CP4U3qwyRtqUMgZgeMjGOlPtvhnLbxy2+5VjlH7wgk5ruod&#10;ClBGL2QAdlAOf0rZhs3hjC7jjvuapsuppz8uxwa/DzTHtfs9/JcypjGFIX/69atj4R0+ytfs+nzy&#10;wIDnDHdXQXNxaWi7ru9jjUdsgfzrEufG+iWpMcAkuJP+maFhVKRDTepWm8HzPKJYbxRMOjCMjP15&#10;rC8Q3o8LzwQ6ihJmUkPCMjg4rQm8aa3eMUsNMFun9+fp+XFYd74f1DxJfCbVNWLbRtCwpjj6U0Ky&#10;RVGvaRdybluwh/2xtq3byLL80Fwkq+qNmtXTvAGiWxGbdrhxyWnfI/IcV0jabp1paPHb2KAlcDyl&#10;AP4U3oKOrsLoNvcHTgrRMDuOMjGasT6K4DzLAoc9dmMn/wCvUWiWt5Z2CF5ZVk3cLnzAR7g/0rQu&#10;Jr5mVXvEijPUwR/MPxbOPypKbsauklKyZx1zPrMEjrDo8oOf9ZKcfyrmdZ0zUNSBF3eGNT1iiQKP&#10;z616Tc2ypdArcSTAjvI+8n25xUZmk2iOUQTHoIrpAHP0YVPOV7BtXR4lL4GtxyhORWfP4RWIHcrN&#10;nq2DmveWsdCmcR3No9hOTwC2AfoelSP4Kt5BuhuflPTeM0+ZmUocu6PB9Mu7TQCLaSOXDMGBCk12&#10;ej+MtNsJJZZILxkeN1+WBu4xWx4j0d9EuUcmHyiMFgB1rOEbGEyuyhOgzzn8Kh1LOzGqd1c8vlkX&#10;U9bndEdIyScuuMVctxNYy4i2OMg4Zcg16jH4btJIFdol3MMk7cGqV74M8+QSW10YGH+wDWylfUhx&#10;OAu2v7rUmuY4gHcHO0cYxzWRf2uoSyBbW3aWTGW+XPFeo2/ga5W8WZ79WYA9U/CtO08Lw2MrSbmk&#10;lIxk8AD6VXMieU8LeLWIT8+nSj6RmoZLy9QEPbzR8Y5yK+hRpqZ5Wg6bCB80Y/Kp5l2Hys8E0Nv7&#10;RuHt76+lRNuUVm4z9K7T+y45tGXSU1KNYfM80Oy859Otd8+k2BkCm2jZj0/dg/0q9D4JS6+Z7WGG&#10;L++yYJH0qlJt6EuOh5X/AMIldmaOSHU4GePGxu4x0pkngvWEkSctDIVOVJJA65r22w8K+H7SZTFY&#10;C4lU58wrkA/Sum+yROmDEuPQrXWq9TuZciPmCfwnrDMXMCk5z8klSNpmqppi2Z0nLKxbzRgtz2r6&#10;UbRNPnzutYWPfCiq7+EtKkGPIZT/ALLkVX1iQuRHzKNPvopS32CZTuBHyE4wK3PAN3Louu3DXsbx&#10;wTnJZlOM+9e4TeArdz+4vJ4/QMqv/hWJq3g7UrCPzIbm0ucnGxkKn+ZrOrXco8rBU3fQk1TXdJj8&#10;L3o02eJr6VAqBRnuK5Q+IzcWcK8xyDAYMOppdQs9RskLXGnwlcfwuD/SsvdE4y2mfXAFcfLF7MqU&#10;JI6jQNau5vMgtLQz7shpD8qj8a2tM8NRW0afaHNzIDuCt91PoK5jR9fvFu4bC1jaPcQNvkgY/GvU&#10;IINqAtwa2TurERpKMnIit7UHGQDj8hV1UC9RSrgDA6UE0jUyvEhZvDeobPveQ+M+uK+Z7sFYxvwz&#10;96+mPEWB4d1D/r3f+VfM80Lu3Wsau5tTOb1CMiUN6jrmqscRkkVFHJOBXSy6W1wu08e9dDpU8Ona&#10;D9gi062+1Mx33rLukx6D0q4VIqOpEou+hR0qwj0y1TybqYySp++XJVQc9PevWfh9KTol9GTwrggf&#10;UGvMAQBivS/h2wOm324Zyy/yNceJnzJs3pQ5S5bQg3avjJQHFZt7IW1oHtxW3a4Mz44yprAumA1d&#10;/wDZ/wAK5sErYa/dl2/efI6Dwg2bnUCP9mtu7b5GrA8FEltQY9Nyj+dbV8SInI9DXrLY5Dx3UGP2&#10;qYh+rn+dUWLkZyD7A1o3EatO5x1YmqskLduB7VBSKJDt1/nVcuQxDZq5JEATk5qrJBzlTmmIjL7j&#10;jBpVXcelPRWHJ6VPHsOQQDQIi2HrxSMvPQVYMeTlc4HamGLdyFIoAqkEHpTT71ZeMepFQsuKAKcq&#10;5NR6drY0PU4rpo2cKSGQHaSPY4qzICRXTW+keGtUsIGuLZmmVAHdNw+bHPSrVnuGpDF8S9N/itNQ&#10;Q+olVh+tWl+I2kP96e+j/wB6FWqpL4I8LvnZPcRf8D/xFVG8AaO/+o1aRfqVNLkgHMzdTx1or4/4&#10;mI/7aWxH8qn/AOEs0aX7uo2Jz6hlrkpPhyP+WOqKfqn/ANeqkvw8v1+5ewN9QRR7OIc7O0n1/TUQ&#10;vDc2TvjjbL/iK4+HVmtPErXkuoNEbg5aW35KfgPwqjJ4F1VRkNbvj/apll4b1HT7+Ke5sjNCrZdI&#10;3HIpqKjqhcze56nBpmq65p6y2+vtLC/3fOhHP51k3Hw/1stvF/bOQc8x7f5CsKLV7SzdvJs7uNFO&#10;Akzk7fpg1ej8TvtyhuVx2WSQf1qlZ7jSfQ7KHT72OKNZbGJ3VQGaOYruIHWrK20qjnTpv+Ay5/rX&#10;EjxdIGwb67X1zJn+ampF8Yyg5TU2B/2kH+AqeSPcpSkjtDkKR9huePbP9aquHckrYXTf8A6Vzsfj&#10;nUlb93fW7f73H9atDx1q2B80RH+yaPZruP2rN03N4llJZwaIzfaPkllLlWVT3weK8r8Xwalomri0&#10;u/KkygaOZQDvXt9DXqnhzx5ctceVLHG0jgqPNPy/jVjTPDPhDx1LdXGoWZhv45Csixzkf1ppJEuT&#10;e55J4W1O7jS6CEclScjPrRXt0fwo8P6cSNPluEV+Wywfp060UuU1ThY4268DfadR+2ag0wYR+X5c&#10;S8depJqa10P+zVKWepXdsm7JXylINepNHxyahe2RxyoP4VahFKzRztyvdM83vb3WrKHzINQhuI1B&#10;3JIrI34dqwR8SbyI7bmwVsHGVCn+gNevyafaEZlhjI9WUVEmj2U/+qsICB/G0Ix/KhUk9g5pHmUH&#10;xM01wBPZMp9SGX/GtrTfGnhq4uUaed7fGDnPH8q6bUvCVlMRLsiaQcbSigAflVBvD2i28ZE1rDK3&#10;oEGKl0kilJkl98TrXmLRo4ZGBwJJmwD+A5qHTLzWvEUM1xf6xFZ28bDIt228fXr+tcZrngizvr15&#10;7UPbhv4FPyj6Cqdr4CdR5JuZXUnldxAqHGJabOxvda8I6UzIbtb24B7EysfxqiuuXV5n+zNNiiU/&#10;xyMF/QVkXHhTRNGiSTUIym7hQqncfypscVtjbpGk6oSf+WnnFB/48f6VFrbIu7ZvWllfXM5k1PUX&#10;MY6QwfID9SOf1rfiaGGMJFhF9B/jXL2OkasY/NnupIHz8sZYSDHvwKkubfWFBEPlE9iHxn8CD/Oi&#10;/clo62ORFAdJMt35qxvZ1yG615r9r8UWr5ewhlUf3HIP61Ovi6+g4udLu09ShzTFY78ahNbOCScf&#10;Wr/9pv8AZVlADr/GD6V5p/wnlpjbN9oiHcSwnH5gVatPGdgHwl5CUb+EnH86QHpUZt7uPzIJMEj7&#10;pJxWbewXkO0RyQ7O8snyrGPqT1rl7bXrVp8wXKqD1CuK8h8Z65rV/rt3bXl3dvbiQ+VDuIXb2wBS&#10;UOZmirSij6OvbqDSvD1xfXTNcWttGW2oRJvz+deZwfFrTrTTJ57e1vY7xsiOKVx5Y9DgcfpXLfCz&#10;RtT1PX5EXU7vTYFiLbo3HLDpkHgj1yK7B/hppmr6h9svZTuQ4nWzACTnP3gD93PfHfOMVVoIl1Jy&#10;Rb0Txa/jDRIpby3VbtGKyMowjemKWe7msvt7pGHSKFZQhUdjg4/Or/i9dN0LwvEdNszZRWq7VC/X&#10;qfU/WvONE8Yanfag0CSRfNFIG86MEFccg1yVYOUroqLsrM9ctLr7TbRyFQCR0q0qrjJrO0K5GqaP&#10;b3CqBwFwnA4rUWHaOM10pWRLFRRupkifN0qUAjrxSGVN2CwJ9KYilKSp4BqNXRbgC5z5eM4jPJ/G&#10;tMFT2FJhG67SPTFNAx9trug2Q+75J6FmHNaEPiTRbnhNQh+hYCslrS2k+9Ch/Cq0mi6a5y1pGT7i&#10;rU7bEuJ1sN1Zy4MVxER7MKtKyMMBlYe1eft4d0ktkW+w/wCwSP5UqaNDAwMN/fRA9ALhiP1qlUFy&#10;HoEcQViyIoJ6kDrSvKkX32yf7q1zllfPZW/lm7llHYMcmoL3VhHE0s8qwxDqxOKzniIxRcaLka93&#10;qm0FfM2f7KDJ/Oub1nxHBYW5a5k8tT0Qcu1clrHj6CHdFpUfnP8A89pOg+g71xdxeXWqXZuLqZpH&#10;bqT2+lY8lSr8WiLc6cNI6s6TUPEc+sOURPKtwenVj9abBJj6Vl2yhRxV6KuiNOMVZIwlJyd2amjM&#10;P+EptiOpK/zr1omvHtFOPFFr9V/nXr+aokeDTSaTNMZqYzP8Q/N4fvx6wN/KvnjauK+iNa+bRb0f&#10;9MH/APQTXzmHrnqmtMmxSjjkUzdxS5rA3FYgV6R8OGzpt+c9Nv8AWvNTzXo3w7kH9k6guec9PwrK&#10;t8DHHc2bSUG+EZP/ACzJ/WsK4kQaxPk5yWA/I1ctbyGDV5fPkVAIlUZ9zmssyxPe3cgKsfmKn9P6&#10;0sMlHDxRH22zp/Ax3W1+f9sD+dX9au/IhaNCDKw4B7D1rE8F3qWul6jK3aQYA7nmpbp/PdpnbLtz&#10;/wDWFd7dkYJHOS6egYkKOeSKpTWKAEFcHtW/OmRnFZ0oVXy68jpU3Gc5LZfMetRmxJHBNbskeScL&#10;wfWoDbOXzuIHoBTuFjHFiwG3aTQbHBypJrcSEA8kVILaPGcc+tFwsc8bWXkAED2pnkTAEAsPxrpT&#10;BGB8u/PpiqzQnklMU7isYRjLdRg1G1sT0reNmrrkrzUD2GDkUXFY5+W3kQEjJxXZeC0C6axYdZT1&#10;HsKw5YpIx/qyRXSaAQtmny7eTwapMUkbskULfeRT+FVJdPsnzut4zn/ZqVpQDwagkmx3qiSnLo2n&#10;sciEA+xxVZtGtwTskmT/AHZDV55jULS8YzTAoPpMgz5d9cD6tn+dU5tOv9pAvSw90H9K2GfjrmoX&#10;ftQByl1oNxJwzxt+BFUToNyh+Un8JCK7JyKgYikF7HItpV4nXzvwcGozaXKjDGcD3QGutYjvUEki&#10;gUBc5NrU/wAUjD/eiqwbhRaiExWrYBG4xYbnvmtaZ99VREr5JAphcxfL5GJVjx3VyD/Otfwn4kl0&#10;TXd6XAZWPPmHIb61l64qx2L7VAJYCsJR0+lA7s+k7X4mFYQFW0A/2HHNFfOpjaSNB5hXb2opAfWh&#10;vQzYRGapYluJTwgX681rw6bHGBheRVkRwwjLMBUOox2MuLTmY7pG3H0q/wDYd6FSxHHBx0pXvo04&#10;iXJ9TVeS7mk/i2j0FL2ku4WMLU7O5hmaM7pAehWseS1deWDr9VNdhmhmGexpc76lJ2OKe0EgAS4K&#10;H1GM1bjgjVQDuf8AHGfyxXRSW9vKf3kEZPutZGotodidtwwWU9I4mJc/gKnmKV3sU3tYCBmBMDp8&#10;oNHkoOAOlVG0l5pRJYm6skJ3M89wzlh/uEkCrcix20YXznmlzyxx/IcUe0jeyK5XuIIlzzSm1Vuw&#10;qI3QQfMVFQNqLZ+QZ+tDmluCi2TtYE9KqzWsKEhyp9hzTJLueTgyYHoKgzg1jKv2NY0r7kE1hazc&#10;GBCPdaij0ezibdHBGh74UZ/OrhekLVi6kn1NlTSK76Tp8o/eWVu/u0YJpYtK06EgrYxZAxnHIqXe&#10;OoNXbTTb695ihbZ/fbhR+NClLoxSjG2pSgsrO1kMsEXkueCyAcj8qvCS4nWOG2uCMdFWPr9cVpx6&#10;LawYNxI1xJ/zzg6fma3rOAxwhYII7YH+5yx/4Ea6Iwm9znlKK2POvFui63qHh26s9ommKgqqnk/n&#10;XlWi+H9b0zVVa+0y6hQI6lmjOOVPccV9MvJZQOys/mzjllX5iP8AePasvVoLzW9PeK3uRZRBgTch&#10;QRtH8Iz94n2wPrXRy2RjzNs4f4easkfhT54jtikbIB6Y5NY178YBJM8emaahC8eZPJj9AK17/Qb3&#10;ToRZ6Awkt9pEshQKXY9SAK8im8G6v/bhsFgDTO/5fWkkupbjJrQ7uH4palLeW8d3ZWzQu4BMErAj&#10;nrXpq/ZJSGEpzj+9XmOjfC66jkifULpFVSG2Rck/jXo13qFpZSQQTQs8khwgEeR+J7UTS6ChFvQL&#10;mymnkHl3m2IHhEJB/E85p62Epj+edty8r5chH51DNqWl2zxpcRqkkjhFVDuOffB4rWFjEVypkX6O&#10;ajXoayvHRo564fW5nAAntY1/55kPv+pxVS+1PU7edLaEXUk7D5SHAXPvuFdX9iKgkTuB/tAGsDxN&#10;PLaaa9yLpljhYM+EALD0FRKTjuXGSfQs6f8A2lGm7UruF3I/1cScD8RU7XDoHaRkSIdyf5k1xE3x&#10;BgVcWdsXHTLnH510fgAv4mtbm91RUllhnAiXGFQbR0HTr3PNQ/az8kDnTjqldm9pTJqDsgHDJzzY&#10;xo/lqA25hjIPQj2rI+JcIi8MKBx++Xp9DXYW6KuqzgDA8pSPzNcn8UyV8K5ABxOuc9utaUqcYyMK&#10;lSTWp5BEu5gMVpxRhcAVl6XcJclwoIKNg5rbjWutmBPGuAKtR8YxUKD2qxGDxSAtaRx4mtD7r/Ov&#10;XN1eR6Xx4jsz7j+desbuKAJC1Rs1NLVGW5oGJeKJbGeNuQ0bA/iK8rPg/TmfeyHkfwMV/ka9SuGH&#10;2eTJ42muPVFQkZzmsqhpA5p/BFowOyeZPTJzVOTwS6cpe/TcldxE4kByp4okZSAAuGB71lZGl2ee&#10;P4P1PGUaJvwIzXUeDLW60Uzi6hVg4wAG/wA+lby/KBhiW9M0cNywAI7iplBSTTBSaZmanplnfXUk&#10;zqVZscKxwMVTg0i0t5mKs5XaVIZshs1vyQ/JkMBn261XaL5fmVQB3ojTjFJLoHMylb2sFtEUhBjU&#10;nOF4odpAThgVHqKsCIB9wYjjoKVkVvvDIrQko+YhTDfmKqSrHIMbqvyQ/vSIkGAO/emJHg4KIG9a&#10;LiKAtSSOeKekfzY/pV7Hlthk4Pp2qM4Q9xRcCI2ok6AZqNrXaCVHI7E1af5hlWIphBGMnrQBXCKe&#10;xzj1qF7djkjNaKhT/CPypzqvGT+AoAydgXgnmnlN46A1aMCBj82fqaFgx0zTuBTEKnqoBqS1xFJt&#10;B6Z4rR06xiur1UmyFwTwOvtXp8Xh/QdQsYZTYxYaMEMPlPTvjvWkNSJHBWfhjU9TtVurZUaM9iwz&#10;RN4M11QcWufowrutMlg0ae6sYklaGNsqFBbGRUs/iu0hcIYZtxOBlCKpySEkzyu50LVbXIlspAR6&#10;Ck0zSJL7UY7a4326vxvKng17GtrZ30Qmkjzv5wT3pn9g6bkEW+CDkYc/40lzPYDhX+G+6byU1NN+&#10;MgGM801/hdekfLqEH4qa9HayheVJCDvj6HNSXEjxwO6DcwGQKq3ck8lvPhjq0MLyx3MEu1Sdozk/&#10;TNcDLuR2RhhlOCD2NfS9tOLiBXHU9RXj/wATfDf9m3/9q2yYt7knzABwr0AefSSelVnJJ5qV+vpU&#10;R5pARMM8U3GKfikKu+RGuXxwPWmBg66A0CpnGWzwKw1DeYPauhZ7K/IS4O11P3WOKVtKs1+ZSw+h&#10;osBi+Xnk0VsmyiP3XoosM+s5L2aTgEKvoKrliTknP1rmk8a6WU3SmSMDqSMj9KmtPF2h3x2wajET&#10;6Nlf51zXNLG/kdRRuJ61jT+IbBHMVvIbucceXb/Ng+56Cql3d6tdxARPHp4/iOBI+P5A1DmkNQbN&#10;+e7gtozJPNHEg/idgBWBe+LBgLpVlLfE/wDLUHbGP+BGsc2Np5/mzmbULgf8tbl9+PoOg/Kpnd24&#10;MgReyrS529i/ZpblqPVL+eJhfzxx7v8AllbkgAe56mo4Ht7YEWlsiZ5Lnr+fU1VMqx/dRWPqeTUT&#10;XDN2o5HLVl86ivdNiMXF45RCZCOoXgCqmp2+pWuAsOEI6Lg1kXVzqEagWs/lqByCAc1nx+NNUt8q&#10;r20u3jBYqf1zW0acLGMpyvoXWuJYzmSJh/vAinLexHqCD7c/yqSy8eCUAX2ljPcphv5VprrXhrUh&#10;tkjjic9fMUD+YqXh4vqUq8kZwlQ/xD8eKUuD6Vsx6JosyboZhj1Tp+hqNdGsjNsjluD9c/1qPqvZ&#10;lrEGbDbT3ThIY2kY9lGavpoflkfbblYif+WafO/5CtuaWLTrREmneGEcYBClv6mqdxrOl6bbGe5K&#10;WkPUPcDYW/3R1P5U1h0txOu3sS2dtawuDb2QZu0tx8x/LoK1xtaMyXUylE6ljhF/pXFt4p1HU0L6&#10;PYbLb/n+v/3UX/AV6tUkPh+bUFWfWbuW/Gcr9qJit1P+zEOW/GtVGKMm29zbfxLYszppcDag6fee&#10;PAiT6ueMUNNqN7EJbidIbduNsDFEI93+83/AcfWnxQQqqRxR+eU+4XQLFH/uRjgfU5qUaU0jb7id&#10;nYdm7UpSl9lBGKe5ivezJcpBaWLPApz5owEH0Tufc5ou2uLm7Es0V4UUYCuwbP4DgV0Q0x+iEAVI&#10;NOdByA1c7qVVujblh3OdNyinLRyqf9qM0i3dqZOZYg47E4NdAYZV48tse1QvbpLlJIVcHqrIDmp+&#10;sSW6K9mujKUTowBXBHqOaYmn2amTZH5ZlOX2Oy5PrwetUdfTwxoMBn1KCGOYj5IbcbZW/wC+cYHu&#10;a4zRbHxPr2ozX1nqF5pWjM+U86UuAvou7OTXRCXMuZqxlrF2ieiW+lafBN5sdpGZu8jDc3/fR5/W&#10;ppLmJDtHzN6CqAZltwnnu0aDDSyYDN7njArjfE3jCCG1ks9LkZpjw06dF+h7msnWlJ2po15Fa9Rm&#10;9rfii00sDz33zAHbAh/nXmeveIr/AFtsTPsgH3Yl6fj61ns7TMXdyztyWbqTS+UWNXCiovmlqzOd&#10;VvSOxWsod0TEjo5r2L4TfLpV+v8A03U/+O//AFq8qsoj5UgBx85r1T4VcWWpqT1lXH5H/CtW2zKx&#10;2y/8hd8d4R/OuO+LBjHg2WSTdtSVH+XrXYk41oY7wH/0IVxXxeYjwNcMG2lZE5/GiPxBLY8o0QBr&#10;YukRIJ3F1OQa6CBNwyKp+DY3udJmmeOFkVihcLhi2AefXg1pWQBQ/Wq57yaDkskyUR4FSIKftAoH&#10;FO5Nh1hxr9ofcfzFeplq8rs+NctD/tD+Yr1DdzVJiHk8daiLYpGeoWfNMB87n7O+PSuZKMCcZ+or&#10;fmYiBuaxE3eYSxB56YxWdQuBCI5WYu0jbcYAxSx7w3yDd7mppZQq4IAz0pqSFB9wHj+E1maC7iBu&#10;c7fcVSa4UsQh3D696sPK+z5gSp6jOTUSx25XcI2VwehFSIkidygbO32NPkY7C2NxPUCqkty0SnOQ&#10;P73aqcl8Y2BEhyevpTAuLIzttPyinkMB94Vmfaw3IYfSmvfkfLxxTC5q7OMlyTVO4eM5WRCcdMjP&#10;NUDqDhumMVG988ysOc0guasQwcuxYf3c8VMTDIyqE57c1gQXkiHbIflHWri36IQUx9aYrmkyAE4y&#10;MHmo32jgCqj6nyMZIo+2gAllGKdgLaKSfSnOhX/aqkLv5coOKlS+Vl54NFgNyx0q0urJZpDIrk9j&#10;xT30GE/cunX2Kg1JYTqLCLHpmpGuVA61pymfMyiukPbyrJHdrlDuGRjpXR2+ptHppVTkIcgegPP+&#10;NcTr+obYZFSR1JQ8j6Vt+GUk1PTWjgDPiMH5upHTNWlbYVzU0LVJ5NQvp4mUDZuww71DceILuWZf&#10;PtISWO0lW6j86p6faahZ3d5bLZtI0keCucYHtWXc6ZPZzrIbGdQjBgK5ql0zaCVjqLTXLmz+z2kK&#10;oY2kxubryTW7Pd67AW2pYyDdxhmBx/jXFQXc815p7LJAkbuN0TRjcvPriug1GztlaQnw9OMzbiY5&#10;Mbj/AHuCKKcnqOSSZJqni2/0wR/6AJt3XaTxVWz8fTXUhSSwMYAySTVDxPYzXyxeTeSWuzk7W+99&#10;a561tLqwZ5Jr17lduArGlKUgUYnpnh3VIb6SdIkZQvzHJrWvdPs9Rh8i9top4s52yLkZry/w1qMs&#10;dzcNErwHHPOc1tnxHqkbkbyVycErn1q6dW0dSZ0ry0PPfiB4c/sLXZGtYHWykVWDBCEVicEA9K40&#10;tX0JtHiSzW01FQ8cuVbAwRzxiuU1r4OJ5LSaResWHSOcDkfUVrGXMjJxs7HkRasuTVL22uy6CPyw&#10;Sqqw/Cu8uPh3r8LcQxPj+7JXGeJLAabdlAAQWZS3+2oAYfgT+tWgOVuC0srMRgmmxTXCcCVwPTNE&#10;krAnPIp0Mg3DiqJOm0u71L7IPKtklX+81qr/AKkUVPpeq3FvaBIp5EX0U4FFAHpZ0VcEKzA1F/Yb&#10;sMKVP1FLaeKNMlUKJwfctmtWHU7ObG2dfxNcHKdd0aumk2emxQRxxowHzEcA0SnzGzJIZD6Z4quk&#10;kbjCyqR7NTxGSeDUqCTDndrCtnGAoA9qrNCeeoq2EYU4K5FaaIkzWix1qrL5g+4pA9a3fLyOVFJ9&#10;njxyAKaA46/jvpRtt5kR8fxjOfpXH6npniGXcskkzoeyJx+letT6bbXAAdFYA9CKrNokA/1ZdB/s&#10;ORiqTJaPEYvDuqBjsuZIf95iv8zViWy8Q2ijbqO9emTIGFezDTJ1GFu3Yf7ag1UuNDSf/X2tnKfU&#10;x4NaKUSHFnjh1LxFp843ffHI2Hk/kc1fHjzVioh1AXLR91Mjf1r0afwpZywmNtPATriOUgfl0rnt&#10;R8OaXpsZeea7tUHTcwxRzIXKyTw742nvPLtbC3SG5wQ1yxDvj2Zj8v4V0lo+n3eploNNa/vkGJL+&#10;+Xein/ZB4P45rJ8OeNfDmmWYtWZ5pEJAaRQoP+NdBB4z0i6cHd8vXahUj8gahlI6CKVWkSSK33XI&#10;HEsx3lP9wHhB9BV+OzlmfzbmRpHPYkms228S6NsBWUoT/eStSHXdLYDbeRj3JIH60aDNCKIKAqgD&#10;8KsBVT8e5qlHq1hJxHeQOfaQGrfmFvu4IxTJ1Ji3P+FIHwevU4AFRltiGSV1SNRl2Y4CiuC1z4lq&#10;Lk6X4VtW1G/Y7RKFJRT7Y60c19gOz1bW9P0G1a61K7SCLHygn5nPoB1Nefy+Ndf8XTvbeFrI2lmv&#10;D303GB656D+dVLfwY11ff2n4yv5L69OD9kR8hPYnoo9hXU/NLEltbwpb2sf3IYl2qP8AGsZ1orRK&#10;7NYUpPV6IxLDw5pmmyG6u2bWNRJy01zkxg+yn7341uCae8bbkyuv/LMYAQfTsKtW1mqY3c7u5/pV&#10;fTIli8V6tEMgNFBIPryCazUJVNZv5GjmoaROe8d2NxB4XlleUjMijahwuPT3ryxPlTpzXt3xDj3+&#10;D7g4+6ymvE1DFQBjNdEUoqyMG23dkqJuI44qcRj2BpIl6DPOKsKFLY79s0xFazUqZh1AevTvhe48&#10;rUlHI3J/7NXmdqG8y46D5/6V6T8LeBqYxjPln/0KkM7Zj/xPE/692/8AQhWT4y0yy1fQJrXUGdLU&#10;kO7IcEAc1rScazF7wMP1FQ61GsunSI6hlIwQehFTJ21HFXdjyjT47PToBb6OHbS2RiryfeZwRk/T&#10;nH4VDYsNhPqTW9PpsYV0gysXTthR1wB261zb4hvzGihVB7d6mnK7ZrUjojTz60maiD8UbzW5z2JI&#10;DjWLQ/7Q/mK9NL15ZBJ/xNbUn++P5ivTC3vVRJY5nzmot1NZuaaTVAFzIFtZG7AZrmpb6Yn9zt2k&#10;9TW1qUu3T5un3fzrjzLKuA5KDHbtWM2aRRZN9MZ8OAVHpT4r7dJkNtHrWRLcMWzkuOnpUMkkkCEp&#10;kbvU1JR1P29EjCsQQRVKXU4484THOOO9cqbycMY2DE4yXLcGnLNIF3EgqeuTQK5sHUXl3h2+XstQ&#10;G5G3DAbaymncL8oBFMW4kVecmmI0mli525zTTKD0fGO9Zq3J3Ebjk9umKkLoqcgc+9AF8XAClC6g&#10;nrk9aja4TlQ5A9u9Zc1yBgBQSPWol8yUB2bC+gpiuaEt9jAB4HUCmtqTKuPLZf8AeqmZTHyoz9RV&#10;d7xpCfu5oQrl8ahN1VVqT+03I+cfkaxzMxfnk+1RtMc1QXNwapt6H8M0LqmWABrBZ/xpYJGNwicn&#10;LACixNz2WzwLGAf7Ap7AYqVbV44o1A6KBTGjYDkVohHNa6v7lm9OPzrX8JaheW2mWN1ZDLfPHJxu&#10;GA3tVTVYN8bDnkgfrXA6PLqUfi+KytLq5RZLkqVjnO0896pNID6Fi11t4e5ht95H384OPrVn+1LS&#10;YYKvg90lyK5eDw1dT27Lez3SyI3WK4YD9DSSeGbmD/U6jfIR/fIf/wBCFHPTe5fL2OneKzlxtuZ4&#10;8cgMitj9DTJRdnOzXIh6CSFf/rVycmnatGwK30MhHQyQ4J/FSKT7XrkAw6xSL/sysv8APNFqYNM2&#10;7m11RwSLjT5h3zb4/kaxbnTLyVGSS3scH+4WWon1K4fie3nj+gR/6ZpPN837t2VPo6FT+lHs4PqF&#10;2gsdHurB2aCCM7uo87P861rf+0IwB9gdh7EEfzrEk+1x4Zbkgeu4n+eaat9qsbAx3IY++Kn6tHuN&#10;VGj0DS7OYvHcSRCJeu3PSt4EEcHNea2Os620yxzbfL7sc4q7deJUsjuDAP8A3Vas5S9noCi56kmr&#10;y3EGq3bXCFLRSPLI6uSP5Zr538W6tFqWpbIHLCJpNx27QzFgMgdf4a9E8b+NReTWRdpEVX5K99py&#10;D+BrxyS6e8vp55NoZ3YnaMDJP/160g76ky00Kk0eB0qJFbdVyYcVCi/vBWjINqz3i3HFFTWoHkCi&#10;pA58M6n5XI+hq1FqN7CRsuHH41QLbSAOeOaeHrGyNLs34PFOqw4xcMR71r2nxC1KAjcNw9jXGhga&#10;VSCcZpcqDmZ6dafFBgQJ42/Hmty0+JWnSff2g+4rxfj1FLilyofOz6AtvGekz4xMgP8AvVqw6vp1&#10;wPluEr5qBZDwxH0NTR311CR5c8gx6NS5R8x9ORfZpBlJoz+OKnWyEnKnI/2TXzbb+J9Xt/u3bn6m&#10;ta1+IesW+A0m4UcrHc98NljufypPsjDsDXkdl8Xb2DCyK2PY1vWnxft5MCZBz1yoosFzupLRmBGC&#10;v0Nc/qXhC31Ny04SQ9vMTP6061+JOjXON3lqfY4rXh8UaRcD5LhQT70gOFu/hjbSZKRKvpscj+dY&#10;dz8LplJ8tph6cBv617HFqFjKeJ0P41cR7ZuQVIp3a2Cx4GfB2r2XEc7gD3dKia08T2xzC8r/APAw&#10;/wDPmvoJo4XHRTVaTS7SU/Pbxn3IouFjwP8AtvxJaj/SLMvjuUNbWgfEu/sLtQ+nmYdPLTAyfyr1&#10;G90bSIE3THys9ACck+w71jW1tFaakt3YxbWUEKzoCxz6VnOpCO5Uac5bGVd2PibxcEuPEd4dK0tj&#10;lLNBhmH+73+prc062s9FtHg0m2W0i2/vJ2P7xx/tN2FZPiHxVp+hEy39wZ7xukKnc5+vpXlPiLxr&#10;qniAmJpDb2eeLeLgH/e9ahKdRaaIv3Kfmz2rT9Ssb258q1mFxzgup4z9e9dNbxgHB6ivKfhm2LeP&#10;6162Ey28feq404w0REpuWrJAu4gDrnmsmBfL8cTjtJYKfyc/41tJjArHl+TxpZsf+WlnIv5Mpq0R&#10;Yb43j8zwjfD0XP614bCMpmve/FMfm+Gb9exhNeDRfd9xTTAmUMMkdqspzjIqsh4GTg1ZQjOaAKcL&#10;ETXIz/HXpXwpLSW98xbLKUQ/hn/GvMoyWnuMDncCK9L+Fh8p76HHVVc/XJoA7e43DV4CP+eTj+VM&#10;1RQ9kVbvjNOuXxrFr7o/8qh1Z/8ARHwfSonsVHdHN6mqQM0anIA7VwF0/wDxMzXTCCS0szFLcPM+&#10;WcyOeeTn+tck0iS3bunKhsZxisaXxG1V6GmjcCgvzVZZOKUtXWczJEb/AImVp/vj+dems/Bry1W/&#10;0+15/wCWgr03PvVxJFJ71HJKsaM7HCjkmnhGcgKMnNYWstcC4NvIhjVTnaf4qTYJEN7qyzScj92O&#10;gz196xLu5aSTzYFOe+4YFPubhApTOD3GM1nfaSZgkrt5ZPpWe5oiSO5XYQ7hWz2pj3HmFiSznsdt&#10;NcPJL88G6NRwR/8AWqJkgJOxfw3GkBLtjliJA+ZecYxVN2HVWGR1qyzFRhdy4HODVR2ByeQe5oEQ&#10;MxVuOajkklxgcU+Xllwee9JwQN2QRxxTAgUzAngZpyu3RhUxKbiQSMetRuxBAHf3oAikBJyDTlO0&#10;dCTTjtHJIz9aVVzhUySOaYrDWkIHGPxquw/2Rn2FWGjZH5XGPXvTWYgfMCfahCsV8AHvUTKSewq0&#10;WUjITpUTyL2Iz6VSEVSjA5zxVvS4fN1W1QnrKo/UVFuU/e6+1aPh5FfxDYADP75T+RzVIVj6E8Nx&#10;pez3S3EauqAAAjpzW3JoOnSDmDH0NZHgxcrev6so/nXVVYjlr/wTZ3K/uZ5Im6jIyKy3+HtmLyK8&#10;SzgjuozuE9s5jYn1I6V3tFMDkP7F1heUvpT3xMAwzUEsfiKAOCkUobqQME121IQD1AqORFKbPP5d&#10;Y1SN3M+nZyMcA8fT3qkfEFsG/wBI09lAGMAYJPrXpD20L/ejWqsuj2k33ohS9mPmPOG1fSX2hvMj&#10;5+Y4I/SqzS6dIpMV+A27gN6fiK9AufC1nKP9Uh+qisS78EWpzi2T6qMUezfRhzI5VrXczmK6ikVe&#10;e3P0qKG+MWtW2kZDXdwm+NMcED3rRu/BATJRJFI7hjWcvh64tJklWSTfGcqTyRTSmh3TOt07S5jZ&#10;yRXabZBI2ATkgd65/XPDMxDNGHxz0NbEGsXryFpovmPXB6+9aKaurjDqcUnAaZ8xeJZbqK+aG4hZ&#10;HicqSWLfzrMhtmgOG5LAMPxGa9h+I+hRXVwuoW0W4Pw6qvNeX3YH2uQDouFA+nFaxWhk9yhIM1CB&#10;hxVpl5qFlwelUxGvbsohXmisozsMAHFFTYBiWW+UKDjcepqw2jzKfkKt9DUyALIp9DW4kahcjFYX&#10;NLHMSWNxHw0TfgKrvEysMqR9a7AjaOKiKxMTvQH8KVwscn9KUBvWujlsrRuSgH0qhLZQKTsY/ShM&#10;RmbmFG/1qz9lDuFRsk06SwmQZIGPXIpjKoYUuQe9BjPpTSnFADqKYB70c0xD8+5FSJdTJykrjHvU&#10;AY9xRu9qVh3NOHX9Tg+5dP8ATNalt451i3x++LAe9cxvU07Io5UHMzv7X4pajEQJQWH51fuviYdU&#10;shYu4hErqrOf4RnmvMcCk6dKTproNTaZ7BqfjbRNHijhs2W4mxnMY4Bx3NcRqPj3VrnetrO8Ct3X&#10;g49vSuWIHoKMVMKEY6lzrOQSO80jSSOzuxyzMxJP40lLRWpkz1f4aP8AuEHo1ewocLXinw6kKwHB&#10;6HrXtFucxITydoNYvctbE6nHJrH1I7PFGjP/AHhMn/joP9K1uKxNeBXV9ElDdLkr+aGgZf11y2g3&#10;4HXyH/lXzD/wkUltMyvCrDPUHBr6jvUD6dcJ13RMP0r5N12JYr6QY/jNXC17Es2U8VWrr+8idT7c&#10;1oWmv6fICPPCZA4YYrgacP8APFaOCJTO7s7uOS9cRSBxnkg16l8NXH9pXgBzmEH9a8X8MBfLuGxz&#10;xXrHw0lB1i4j9IP/AGYVlJWZaPR7wgarZ49HH6VBqv8Ax6uKddkHVbI+z/yqrrcpj06Z0xvAyufW&#10;s5bFR3OJ112SOSMjaAeR61x8LjdJjpvJrUvbuVrYLdTK9wQN7Z71zxkaBnIRmUnO6opKzNar0NRZ&#10;akWTJrNW6Xyy7fKAcYPWnpexN0YV0nOzQVz9utjk/wCsFenl8Lk8cda8mWYNdW/zZ/eDpXe3uqNv&#10;FvbhSf4ie/sKL2JSJn15klkjtsYHG8jP5VmzyO0xndC7nqWY05tzrvfarYwFUYqtKs6qYyGbPIJq&#10;C0ihcoJZN21VGOwqvHbSNwUynOfWrnkzSN8seFHWq1xhZNiytGw7E/yoAaLdGiRlcoR1BJ5qZV3r&#10;tLozVF55T5ZG3DHJI60LLEwwqAE+lICKZmEg3Rrj270yQxl1xCdx/lU74VV3kHHTnNRnMq71Xgdz&#10;QBWnty7K8cLbV6j1qOWJVhGBtI6jHNSXE77FaNzx1zUUk8rSBguUxyaYFVYg7EZbb1psisGwqn0z&#10;VqO4Rhkg59BRNKJJQIlYr0xigCIQEKGkBP14pzKEYMpA4xio5WKK3XOemKiZHCqxGSecUCHlm3H+&#10;Ie9Mw544HvipEG4LuBBA5GaMZcgflmmA0iJGADsTjnA61XMS5LYPJ71ZZFGM445pjNmi4WIPLXtW&#10;t4WjDeJrQDsWb8gayicZJGPetnwau7xBvHO2Nz+mP61SJZ774LX/AIl9w/8Aelx+Qrpq57wapXQ8&#10;nq0jGuhrUkKKKKYBRRRQAUUm4Zpc0AFJS0UANZFYcqD+FVptOtZgQ8Y/CrdMdioyKLgYc3hqBm3R&#10;vt/CqFx4buUyYmDj0rorpPtFtkMwZTkYOOaqWUkiThW8xlYY5IOPyp3A4nUbG7t0cNA4JBxxxmvn&#10;28ilhv5op0aOUMdysMGvs0qHGCAR7iuf1rwR4f14H7dp0TPjAkQbWH4ihMD5KKHPStfw54Xl8T6s&#10;mnxXCwMRnewP9K9qvfgZo8rFrTULmDPQMA2Pxqpb/A77PNvTWmX3WPBp3A861P4ZXWm6tNY29zFf&#10;+Wiu7RcbCc8H34or6A8OeC7Dw7aSRRs88krBnkc8nH/66KVwPlJl5rXgbMSfSs1xzU0TOYwi5zXM&#10;al13A9KjL7ugFZ9xdGFsEAkehqGPVx5vl7eTxxRYLlqWJslsmsh7qRWZChzn0rYaUOOTUDGMtgAZ&#10;9TTRLRnwfaWjbaCpY8tjnFXUhygDsG/DqaMZPdvpTiJAucbR7mmMeMAYAGPSl+zRuMlFqJXwMn9a&#10;eLkjgAUgsIdPhbkZFVpLEA/I+frVkzEnqacHBGDgGncLGcbSQHpULxMOCK2doIHeoJVUnbkUBYyS&#10;lJjir0tvsXd2qoSHyUOce1UiSMk0biKY7uDyuR7U3z0zg5H4UNXAl8ynbxUasr/dYGnbDg8dPSls&#10;A7cDTgRUYUjg5owRyKLgek/DxvldM9SK9rtmIt0H+yK8K+Hj4nYHrwa9ztnBtkI9KyluWtiVgX6n&#10;j2rH8RjCaZKDjZexnI9zj+tbMfesPxZvGlIw5CXETcdsMKSA3ZBvt3Hqpr5R8UAjVbhcYxK1fV0X&#10;MA/3a+T/ABOkv/CS6ijEnbcOB+daQWopPQxKcKf5Tf3TSmNgM7a2uQb3hpsRXX0Fep/DZ8a7PjnN&#10;ux/8eFeVeHcgXQzjKivTfhu3la8yliSbd+T9QawnuWj027fGpWRPo/8A6DWb4i82XR7hIDiQr8pP&#10;bmrF5J/xMrPn+/8A+g1V1KYCHaQW3HAUd6zexSOSs9CgtId00fnTSdWYZyfasPVrKNLj7NA53q+X&#10;UHhfxrpNT1AwE29u4a6PVu0ef61iIgh37gd+dzMecn1oiht3Kq6WsiANjd7Cmy6XbqoAADd8jNXD&#10;csCMcg808z/3l69zVk2KUekRb1ZVBI5HtWwZJFCncpx/Djk1UTGRliufQ1I8iDAXcfrQBZhuFBzK&#10;GViejVK7SuhxhgR3qk5T0c96YkkkXzLuPOeR0pDJ0DRfcbDf3W6VVut7Nu3KrZ6U64IlRpGkZHPX&#10;aKqO7H5SxYdBuoEPhkbcwljYp3IFQmXa7C3zz6jpUDSSxOd8ny9gDxTpbwOoWCNd54OBwKYAY5Wd&#10;i0ise2OKYnmGXEp+Uf7QpSJHIDtgf3Up0jIFEYhPB+8/WgBzPCHG3BPc5BodtpG3kdxUMzMABvAO&#10;Oi1C8LuAS5x3FAEmFydpZmPUAVLEphjdjuXjrmq0ZSNSCMk+jVC7E85IPpmgBxbe4DbuuTmptoPU&#10;8CqfzHHzMfWpFkA6FsfWgRKFZmOEyPXNDIFcMjE+ozUBmYnqcUBwQRnBFMCYPg5ZAcUF45GLYA9q&#10;YrZAyaQ7ewzQBDNJuXG0AdqXTtUuNJnNxbhS5G35hnrUcuc4YYAqvJtI9uOlUiWfUHgG5a78F6dc&#10;OV3yoWO3p1NdNmvlXQPH174asjbRLPNhyyj7QwVR6YBrqLX48apBgS6VDIv/AF1bNbdCT6Corxuy&#10;+P8ApkhAvdJuYT3MbBx+VdNp/wAYvB98QraiLZj2uFK/rRYDvqO9Zthr+laooax1G1uQf+eUyt/I&#10;1obx6jFABt5zS4ozmlzQAUUUUAFNcZUjGeKdSYoApW5VZHTpu6jFNNjscNGOM9jjApzIFuvkXGDu&#10;Y885q6OeaABelLRRQAUUUUAFFFFAHxtLHtPNV5JWQE7tq+lPlut77Yh+Jqv5W4lixJ965zUhy0pw&#10;i4XuSKckUcbFj8z+pqbymAHPFRsp60yR+/PJOBTPNj3fNk1EeDULvimFy99rCjCKFHrUL3RJznJq&#10;gXYnmgNQK5b80t1NIsg5APNVc5609WA6UBcuKwHU1IJQB0qgHz0NPVjn1oHcvLMT34qIzrv2xKZJ&#10;PQVEV3Lhifwp8eyPhRigdyVbUzENcPu/2R0p8kC4wq49hTUlO7FWA2BQFjNksyMnbiqj2gkBGdr9&#10;veuhA3LxjJ6ZpjWaOAGPPehMVjlCjxPtcYIre8PPC+pwLMAYyeQelS3Wno0DhhuIHynOCKq6ZbS2&#10;2pWokICyNwRTnqhLcn1eW1/tB0g24BxhRVKOJ5XCrE2T0GKvPZp/ahGMlJjv/OrsVsIL7zvM8xFY&#10;lN2ev+TULQo1vA7iHUCh4OMYNe6aac2MZPUCvANJtZZ9YCxzbGYg7vSve9LP/EviycnbjNQ2NF9T&#10;zWT4pGdBujnoAfyNagbDdKzPE6hvD97x0iJpjNOCQvbqwGPlr5n8Z2xi8W6njp57GvpKzk3WUJ7F&#10;Af0rwzxvaA+LNQyBy+aqL1JZwGSDyaXeDwTWjNYdcYFZ01u0TcmtESaWhECaf3UV6L4D3DxNG2cA&#10;wOCPwFecaNbTs7sm3DDufSu98HNNp+v2zXC4WWN9mDntWcxo9Iv5Cuo2eOR8/wDKsXV9UcObe2OZ&#10;SMM+eE/+vTda1lluDaw8TFfmb+4D6VhxxqnHJPXJOcms0ixyQxx5y7sx5OacTChzgKx/iqGUb2wT&#10;imsDGBkBh71QD38rYUVxuJ6jtWRcXN6sjRFSydAT/OtB1XBbHIqDJ3jJxzQBWt7idFO5s4qXz3zv&#10;y3PanyFQS3r6CoiwXOQcY7UAWkvXbC55pWmUEs5Ix05qlg/fUYFPIdVJZgfwpiJzc7+A2aZJKBGS&#10;WzjtVMSsh+XHvTpJAyZxmgBr4ncdh6CpGt8AASEDHQ1XDqDk5xVtZo9oCnBPqKAK7oYyGRQPoeaa&#10;ZJ/487fVqkmba2MDPrUJlY8EAgdqAFE2eQBkd6fmNud31yarSyRqeRgkdqiWQZAJyD3xQBdllj6I&#10;Rx6VXZwDk4NRAqTTi3XaKAHFicAd6UOyD7lIAzY5oZCCQW4oERFmDksy804jjORzSGIKfm5B6Uxm&#10;GPpTATDj+LNHmsnU4NIwbGR0qM5bNAhhkZ3Jzzmlfb0A5NM3fNg9fWhW3MvuRTEMe2JOce9QyQHP&#10;Surjs0I5A6VDJp8Tc9K1JOTeE+lQPD+FdTJpano1UptNZehBpgc8A8TbkdlYdCpwa2bHxt4p0sBb&#10;TW7xVHRWfePyOarzWpjOGFVJIADTuB3Nh8bvFlmAJza3I/249pP5V0Vp+0RcpgXmjZx1MUv9CK8d&#10;aLHeoGiFFwPo2x/aE8OTYF1b3luT3MYYfoa6fTvi94KvwB/blvCx7TKyfqRivkSSOoGGKYH3LaeK&#10;NDvwDaavYzj/AKZXCN/WtFbmJhkSLj618EBiDkEg+1X7XXdXscfZdUvIMdBHOy/yNID7qEisMqwI&#10;9jmng18X2fxL8Y2gCx65cuB2lw+fzFbdr8bfF0ACyy20oHrHtP8A46RTA+tc0tfMln+0BrEeFn06&#10;J/8AcmYfzzWzbftEoMC40q4X3WVT/MUWA+gqK8Vt/wBoXQ3AEtteof8ArkrfyIrVtfjr4YmI8yeV&#10;PY2zj+WaLAeq0VwEfxh8IyIG+2uP+2En/wATRRyyA//Z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BmUu8m9AAAApwEAABkAAABkcnMvX3JlbHMv&#10;ZTJvRG9jLnhtbC5yZWxzvZDLCsIwEEX3gv8QZm/TdiEipm5EcCv6AUMyTaPNgySK/r0BQRQEdy5n&#10;hnvuYVbrmx3ZlWIy3gloqhoYOemVcVrA8bCdLYCljE7h6B0JuFOCdTedrPY0Yi6hNJiQWKG4JGDI&#10;OSw5T3Igi6nygVy59D5azGWMmgeUZ9TE27qe8/jOgO6DyXZKQNypFtjhHkrzb7bveyNp4+XFkstf&#10;KrixpbsAMWrKAiwpg89lW50CaeDfJZr/SDQvCf7x3u4BUEsDBBQAAAAIAIdO4kDZOTeHEwEAAEgC&#10;AAATAAAAW0NvbnRlbnRfVHlwZXNdLnhtbJWSTU7DMBCF90jcwfIWxQ5dIISadEEKEguoUDmAZU8S&#10;l/hHHhPa2+OkrQRVWomlPfO9eW/s+WJrOtJDQO1sQW9ZTglY6ZS2TUE/1k/ZPSUYhVWicxYKugOk&#10;i/L6ar7eeUCSaIsFbWP0D5yjbMEIZM6DTZXaBSNiOoaGeyE/RQN8lud3XDobwcYsDhq0nFdQi68u&#10;kuU2Xe+dbDw0lDzuG4dZBdVmEBgLfJJ5WT1PImzjGzqNBOjwhBHed1qKmBbCe6tOwmSHICyRYw+2&#10;2uNNSntmwlD5m+P3gAP3ll4gaAVkJUJ8FSal5SogV+7bBujZZZHBpcHM1bWWwKqAVcLeoT+6OqcO&#10;M1c5+V/x5Ugdtfn4D8ofUEsBAhQAFAAAAAgAh07iQNk5N4cTAQAASAIAABMAAAAAAAAAAQAgAAAA&#10;njMBAFtDb250ZW50X1R5cGVzXS54bWxQSwECFAAKAAAAAACHTuJAAAAAAAAAAAAAAAAABgAAAAAA&#10;AAAAABAAAABkMQEAX3JlbHMvUEsBAhQAFAAAAAgAh07iQIoUZjzRAAAAlAEAAAsAAAAAAAAAAQAg&#10;AAAAiDEBAF9yZWxzLy5yZWxzUEsBAhQACgAAAAAAh07iQAAAAAAAAAAAAAAAAAQAAAAAAAAAAAAQ&#10;AAAAAAAAAGRycy9QSwECFAAKAAAAAACHTuJAAAAAAAAAAAAAAAAACgAAAAAAAAAAABAAAACCMgEA&#10;ZHJzL19yZWxzL1BLAQIUABQAAAAIAIdO4kAZlLvJvQAAAKcBAAAZAAAAAAAAAAEAIAAAAKoyAQBk&#10;cnMvX3JlbHMvZTJvRG9jLnhtbC5yZWxzUEsBAhQAFAAAAAgAh07iQLTZ+FzXAAAABQEAAA8AAAAA&#10;AAAAAQAgAAAAIgAAAGRycy9kb3ducmV2LnhtbFBLAQIUABQAAAAIAIdO4kBziYhKygIAALcHAAAO&#10;AAAAAAAAAAEAIAAAACYBAABkcnMvZTJvRG9jLnhtbFBLAQIUAAoAAAAAAIdO4kAAAAAAAAAAAAAA&#10;AAAKAAAAAAAAAAAAEAAAABwEAABkcnMvbWVkaWEvUEsBAhQAFAAAAAgAh07iQPAJXFHthAAA44QA&#10;ABUAAAAAAAAAAQAgAAAARAQAAGRycy9tZWRpYS9pbWFnZTEuanBlZ1BLAQIUABQAAAAIAIdO4kDe&#10;6vpzzacAAMOnAAAVAAAAAAAAAAEAIAAAAGSJAABkcnMvbWVkaWEvaW1hZ2UyLmpwZWdQSwUGAAAA&#10;AAsACwCWAgAA4jQBAAAA&#10;">
                <o:lock v:ext="edit" aspectratio="f"/>
                <v:shape id="图片 3" o:spid="_x0000_s1026" o:spt="75" alt="2016-05-09 160130" type="#_x0000_t75" style="position:absolute;left:7961;top:10898;height:3467;width:4623;rotation:11796480f;" filled="f" o:preferrelative="t" stroked="f" coordsize="21600,21600" o:gfxdata="UEsDBAoAAAAAAIdO4kAAAAAAAAAAAAAAAAAEAAAAZHJzL1BLAwQUAAAACACHTuJAcVKbZb4AAADc&#10;AAAADwAAAGRycy9kb3ducmV2LnhtbEVPTWvCQBC9C/0PyxR6q5tYlDbNRsRWEPFgTRV6G7LTJDU7&#10;G7Krxn/vCgVv83ifk05704gTda62rCAeRiCIC6trLhV854vnVxDOI2tsLJOCCzmYZg+DFBNtz/xF&#10;p60vRQhhl6CCyvs2kdIVFRl0Q9sSB+7XdgZ9gF0pdYfnEG4aOYqiiTRYc2iosKV5RcVhezQKXvhv&#10;/zb7jDeXVT1f/4zzj363yJV6eoyjdxCeen8X/7uXOswfxXB7Jlwgs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VKbZb4A&#10;AADcAAAADwAAAAAAAAABACAAAAAiAAAAZHJzL2Rvd25yZXYueG1sUEsBAhQAFAAAAAgAh07iQDMv&#10;BZ47AAAAOQAAABAAAAAAAAAAAQAgAAAADQEAAGRycy9zaGFwZXhtbC54bWxQSwUGAAAAAAYABgBb&#10;AQAAtwMAAAAA&#10;">
                  <v:fill on="f" focussize="0,0"/>
                  <v:stroke on="f"/>
                  <v:imagedata r:id="rId143" o:title=""/>
                  <o:lock v:ext="edit" aspectratio="t"/>
                </v:shape>
                <v:shape id="图片 4" o:spid="_x0000_s1026" o:spt="75" alt="微信图片_20181107143738" type="#_x0000_t75" style="position:absolute;left:3256;top:10918;height:3472;width:4629;" filled="f" o:preferrelative="t" stroked="f" coordsize="21600,21600" o:gfxdata="UEsDBAoAAAAAAIdO4kAAAAAAAAAAAAAAAAAEAAAAZHJzL1BLAwQUAAAACACHTuJAVroqUL4AAADc&#10;AAAADwAAAGRycy9kb3ducmV2LnhtbEVPS2sCMRC+F/wPYYReiib24GPdrAehIIW21CrobdiMm8XN&#10;ZLtJV/33TUHobT6+5+Srq2tET12oPWuYjBUI4tKbmisNu6+X0RxEiMgGG8+k4UYBVsXgIcfM+At/&#10;Ur+NlUghHDLUYGNsMylDaclhGPuWOHEn3zmMCXaVNB1eUrhr5LNSU+mw5tRgsaW1pfK8/XEamqdZ&#10;/H792C3C/s3277f55qj6g9aPw4lagoh0jf/iu3tj0vzFFP6eSRfI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roqUL4A&#10;AADcAAAADwAAAAAAAAABACAAAAAiAAAAZHJzL2Rvd25yZXYueG1sUEsBAhQAFAAAAAgAh07iQDMv&#10;BZ47AAAAOQAAABAAAAAAAAAAAQAgAAAADQEAAGRycy9zaGFwZXhtbC54bWxQSwUGAAAAAAYABgBb&#10;AQAAtwMAAAAA&#10;">
                  <v:fill on="f" focussize="0,0"/>
                  <v:stroke on="f"/>
                  <v:imagedata r:id="rId144" o:title=""/>
                  <o:lock v:ext="edit" aspectratio="t"/>
                </v:shape>
                <w10:wrap type="none"/>
                <w10:anchorlock/>
              </v:group>
            </w:pict>
          </mc:Fallback>
        </mc:AlternateContent>
      </w:r>
    </w:p>
    <w:p>
      <w:pPr>
        <w:ind w:firstLine="422" w:firstLineChars="200"/>
        <w:jc w:val="center"/>
        <w:rPr>
          <w:b/>
          <w:bCs/>
          <w:sz w:val="21"/>
          <w:szCs w:val="21"/>
        </w:rPr>
      </w:pPr>
      <w:r>
        <w:rPr>
          <w:b/>
          <w:bCs/>
          <w:sz w:val="21"/>
          <w:szCs w:val="21"/>
        </w:rPr>
        <w:t>专业固定教室与绘图桌椅</w:t>
      </w:r>
    </w:p>
    <w:p>
      <w:pPr>
        <w:ind w:firstLine="480" w:firstLineChars="200"/>
      </w:pPr>
      <w:r>
        <w:t>课程设置情况：课程学分共150学分。其中，必修课115.5学分，占课程总学分的77%；选修课34.5学分，占课程总学分的23%。实践教学环节总学分为50学分，占毕业总学分的25%。</w:t>
      </w:r>
    </w:p>
    <w:p>
      <w:pPr>
        <w:ind w:firstLine="480" w:firstLineChars="200"/>
      </w:pPr>
      <w:r>
        <w:t>建筑学专业主要课程有建筑设计基础1-2、素描、色彩、公共建筑设计原理1-2、建筑设计1-4、住宅设计与居住小区规划、城市设计、中国建筑史、外国建筑史、建筑构造1-2、建筑物理、建筑材料、建筑结构、建筑力学、画法几何与建筑阴影透视等。建筑学专业分流课主要有建筑节能概论、当代建筑思潮、建筑经济管理、园林与景观设计、建筑防灾、建筑法规、绿色建筑、建筑施工、计算机辅助设计、建筑设备、BIM三维建筑设计、场地设计、专业英语等。同时还开设思想道德修养与法律基础、中国近现代史纲要、毛泽东思想和中国特色社会主义理论体系概论、大学英语、计算机文化基础、计算机文化基础实验、普通体育课等本科通识课程和职业发展与就业创业指导课。通过这样的课程设置体系，保障了学生在校期间能够掌握社会对于建筑学人才提出的基本职业需求，满足学生德智体美全方位发展的需要。</w:t>
      </w:r>
    </w:p>
    <w:p>
      <w:pPr>
        <w:ind w:firstLine="480" w:firstLineChars="200"/>
      </w:pPr>
      <w:r>
        <w:t>创新创业教育：建筑学专业对本科生创新创业教育坚持从思想到实践的全方位指导，通过开设创新创业工作室以及职业发展与就业创业指导课，培养学生自主创新创业的意识。目前，建筑学专业已有三个创新创业工作室，成员涵盖了建筑学专业各个年级的学生，完成多项设计实践项目。所指导的</w:t>
      </w:r>
      <w:r>
        <w:rPr>
          <w:rFonts w:hint="eastAsia"/>
        </w:rPr>
        <w:t>“</w:t>
      </w:r>
      <w:r>
        <w:t>第五立面</w:t>
      </w:r>
      <w:r>
        <w:rPr>
          <w:rFonts w:hint="eastAsia"/>
        </w:rPr>
        <w:t>”</w:t>
      </w:r>
      <w:r>
        <w:t>工作室已于2016年9月注册成立公司，带领学生先后完成多项实际工程项目设计。团队获学校</w:t>
      </w:r>
      <w:r>
        <w:rPr>
          <w:rFonts w:hint="eastAsia"/>
        </w:rPr>
        <w:t>“</w:t>
      </w:r>
      <w:r>
        <w:t>五四优秀青年团队</w:t>
      </w:r>
      <w:r>
        <w:rPr>
          <w:rFonts w:hint="eastAsia"/>
        </w:rPr>
        <w:t>”</w:t>
      </w:r>
      <w:r>
        <w:t>称号，成员中1人获学校</w:t>
      </w:r>
      <w:r>
        <w:rPr>
          <w:rFonts w:hint="eastAsia"/>
        </w:rPr>
        <w:t>“</w:t>
      </w:r>
      <w:r>
        <w:t>十佳大学生</w:t>
      </w:r>
      <w:r>
        <w:rPr>
          <w:rFonts w:hint="eastAsia"/>
        </w:rPr>
        <w:t>”</w:t>
      </w:r>
      <w:r>
        <w:t>称号，4人获学校</w:t>
      </w:r>
      <w:r>
        <w:rPr>
          <w:rFonts w:hint="eastAsia"/>
        </w:rPr>
        <w:t>“</w:t>
      </w:r>
      <w:r>
        <w:t>百优大学生</w:t>
      </w:r>
      <w:r>
        <w:rPr>
          <w:rFonts w:hint="eastAsia"/>
        </w:rPr>
        <w:t>”</w:t>
      </w:r>
      <w:r>
        <w:t>称号。其中，团队负责人徐达同学被评为</w:t>
      </w:r>
      <w:r>
        <w:rPr>
          <w:rFonts w:hint="eastAsia"/>
        </w:rPr>
        <w:t>“</w:t>
      </w:r>
      <w:r>
        <w:t>全国大学生创业英雄百强</w:t>
      </w:r>
      <w:r>
        <w:rPr>
          <w:rFonts w:hint="eastAsia"/>
        </w:rPr>
        <w:t>”</w:t>
      </w:r>
      <w:r>
        <w:t xml:space="preserve">。同时，引导学生积极参加各种计竞赛，在 </w:t>
      </w:r>
      <w:r>
        <w:rPr>
          <w:rFonts w:hint="eastAsia"/>
        </w:rPr>
        <w:t>“</w:t>
      </w:r>
      <w:r>
        <w:t>威海杯</w:t>
      </w:r>
      <w:r>
        <w:rPr>
          <w:rFonts w:hint="eastAsia"/>
        </w:rPr>
        <w:t>”</w:t>
      </w:r>
      <w:r>
        <w:t>全国大学生建筑设计方案竞赛、全国中、高等院校学生</w:t>
      </w:r>
      <w:r>
        <w:rPr>
          <w:rFonts w:hint="eastAsia"/>
        </w:rPr>
        <w:t>“</w:t>
      </w:r>
      <w:r>
        <w:t>斯维尔杯</w:t>
      </w:r>
      <w:r>
        <w:rPr>
          <w:rFonts w:hint="eastAsia"/>
        </w:rPr>
        <w:t>”</w:t>
      </w:r>
      <w:r>
        <w:t>建筑信息模型（BIM）应用技能大赛、山东省大学生建筑设计大赛、山东省建筑信息模型大赛等竞赛、山东省</w:t>
      </w:r>
      <w:r>
        <w:rPr>
          <w:rFonts w:hint="eastAsia"/>
        </w:rPr>
        <w:t>“</w:t>
      </w:r>
      <w:r>
        <w:t>建科杯</w:t>
      </w:r>
      <w:r>
        <w:rPr>
          <w:rFonts w:hint="eastAsia"/>
        </w:rPr>
        <w:t>”</w:t>
      </w:r>
      <w:r>
        <w:t>新农居建筑设计方案竞赛等中获得多项荣誉。</w:t>
      </w:r>
    </w:p>
    <w:p>
      <w:pPr>
        <w:spacing w:line="240" w:lineRule="auto"/>
        <w:ind w:firstLine="482" w:firstLineChars="200"/>
        <w:jc w:val="center"/>
        <w:rPr>
          <w:b/>
          <w:bCs/>
          <w:sz w:val="21"/>
          <w:szCs w:val="21"/>
        </w:rPr>
      </w:pPr>
      <w:r>
        <w:rPr>
          <w:b/>
          <w:bCs/>
          <w:szCs w:val="21"/>
        </w:rPr>
        <w:drawing>
          <wp:inline distT="0" distB="0" distL="114300" distR="114300">
            <wp:extent cx="4608195" cy="2872105"/>
            <wp:effectExtent l="0" t="0" r="1905" b="4445"/>
            <wp:docPr id="176" name="图片 5" descr="学生竞赛证书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5" descr="学生竞赛证书1111"/>
                    <pic:cNvPicPr>
                      <a:picLocks noChangeAspect="1"/>
                    </pic:cNvPicPr>
                  </pic:nvPicPr>
                  <pic:blipFill>
                    <a:blip r:embed="rId145"/>
                    <a:stretch>
                      <a:fillRect/>
                    </a:stretch>
                  </pic:blipFill>
                  <pic:spPr>
                    <a:xfrm>
                      <a:off x="0" y="0"/>
                      <a:ext cx="4608195" cy="2872105"/>
                    </a:xfrm>
                    <a:prstGeom prst="rect">
                      <a:avLst/>
                    </a:prstGeom>
                    <a:noFill/>
                    <a:ln>
                      <a:noFill/>
                    </a:ln>
                  </pic:spPr>
                </pic:pic>
              </a:graphicData>
            </a:graphic>
          </wp:inline>
        </w:drawing>
      </w:r>
    </w:p>
    <w:p>
      <w:pPr>
        <w:jc w:val="center"/>
        <w:rPr>
          <w:b/>
          <w:bCs/>
          <w:sz w:val="21"/>
          <w:szCs w:val="21"/>
        </w:rPr>
      </w:pPr>
      <w:r>
        <w:rPr>
          <w:b/>
          <w:bCs/>
          <w:sz w:val="21"/>
          <w:szCs w:val="21"/>
        </w:rPr>
        <w:t>建筑学专业学生参加学科竞赛获奖证书</w:t>
      </w:r>
    </w:p>
    <w:p>
      <w:pPr>
        <w:pStyle w:val="5"/>
        <w:spacing w:before="93" w:after="93"/>
        <w:ind w:firstLine="560"/>
      </w:pPr>
      <w:r>
        <w:t>三、培养条件（教学经费投入、教学设备、教师队伍建设、实习基地、现代教学技术应用等）</w:t>
      </w:r>
    </w:p>
    <w:p>
      <w:pPr>
        <w:ind w:firstLine="480" w:firstLineChars="200"/>
      </w:pPr>
      <w:r>
        <w:t>教学经费投入：自2011年专业成立，每年学校都投入一定的教学经费，用于购置绘图桌椅、多媒体教学设备以及相应的实验器材。目前教学经费的投入能基本满足专业发展的要求。</w:t>
      </w:r>
    </w:p>
    <w:p>
      <w:pPr>
        <w:ind w:firstLine="480" w:firstLineChars="200"/>
      </w:pPr>
      <w:r>
        <w:t>教学设备：先后建立了建筑构造实验室、建筑模型实验室、数字建构和建筑摄影实验室、BIM实训室等实验室。为学生动手实践、认识建筑搭建了平台。另有三套多媒体教学设备。</w:t>
      </w:r>
    </w:p>
    <w:p>
      <w:pPr>
        <w:spacing w:line="240" w:lineRule="auto"/>
        <w:jc w:val="center"/>
        <w:rPr>
          <w:b/>
          <w:bCs/>
          <w:sz w:val="21"/>
          <w:szCs w:val="21"/>
        </w:rPr>
      </w:pPr>
      <w:r>
        <w:rPr>
          <w:b/>
          <w:bCs/>
          <w:szCs w:val="21"/>
        </w:rPr>
        <mc:AlternateContent>
          <mc:Choice Requires="wpg">
            <w:drawing>
              <wp:inline distT="0" distB="0" distL="114300" distR="114300">
                <wp:extent cx="5407025" cy="3363595"/>
                <wp:effectExtent l="0" t="0" r="3175" b="8255"/>
                <wp:docPr id="230" name="组合 230"/>
                <wp:cNvGraphicFramePr/>
                <a:graphic xmlns:a="http://schemas.openxmlformats.org/drawingml/2006/main">
                  <a:graphicData uri="http://schemas.microsoft.com/office/word/2010/wordprocessingGroup">
                    <wpg:wgp>
                      <wpg:cNvGrpSpPr/>
                      <wpg:grpSpPr>
                        <a:xfrm>
                          <a:off x="0" y="0"/>
                          <a:ext cx="5407025" cy="3363595"/>
                          <a:chOff x="3702" y="22189"/>
                          <a:chExt cx="8515" cy="5297"/>
                        </a:xfrm>
                      </wpg:grpSpPr>
                      <pic:pic xmlns:pic="http://schemas.openxmlformats.org/drawingml/2006/picture">
                        <pic:nvPicPr>
                          <pic:cNvPr id="198" name="图片 7" descr="IMG_0008"/>
                          <pic:cNvPicPr>
                            <a:picLocks noChangeAspect="1"/>
                          </pic:cNvPicPr>
                        </pic:nvPicPr>
                        <pic:blipFill>
                          <a:blip r:embed="rId146"/>
                          <a:stretch>
                            <a:fillRect/>
                          </a:stretch>
                        </pic:blipFill>
                        <pic:spPr>
                          <a:xfrm>
                            <a:off x="3738" y="22189"/>
                            <a:ext cx="4201" cy="2801"/>
                          </a:xfrm>
                          <a:prstGeom prst="rect">
                            <a:avLst/>
                          </a:prstGeom>
                          <a:noFill/>
                          <a:ln>
                            <a:noFill/>
                          </a:ln>
                        </pic:spPr>
                      </pic:pic>
                      <pic:pic xmlns:pic="http://schemas.openxmlformats.org/drawingml/2006/picture">
                        <pic:nvPicPr>
                          <pic:cNvPr id="199" name="图片 8" descr="IMG_0283"/>
                          <pic:cNvPicPr>
                            <a:picLocks noChangeAspect="1"/>
                          </pic:cNvPicPr>
                        </pic:nvPicPr>
                        <pic:blipFill>
                          <a:blip r:embed="rId147"/>
                          <a:stretch>
                            <a:fillRect/>
                          </a:stretch>
                        </pic:blipFill>
                        <pic:spPr>
                          <a:xfrm>
                            <a:off x="8067" y="22203"/>
                            <a:ext cx="4150" cy="2768"/>
                          </a:xfrm>
                          <a:prstGeom prst="rect">
                            <a:avLst/>
                          </a:prstGeom>
                          <a:noFill/>
                          <a:ln>
                            <a:noFill/>
                          </a:ln>
                        </pic:spPr>
                      </pic:pic>
                      <pic:pic xmlns:pic="http://schemas.openxmlformats.org/drawingml/2006/picture">
                        <pic:nvPicPr>
                          <pic:cNvPr id="200" name="图片 9" descr="IMG_0302"/>
                          <pic:cNvPicPr>
                            <a:picLocks noChangeAspect="1"/>
                          </pic:cNvPicPr>
                        </pic:nvPicPr>
                        <pic:blipFill>
                          <a:blip r:embed="rId148"/>
                          <a:stretch>
                            <a:fillRect/>
                          </a:stretch>
                        </pic:blipFill>
                        <pic:spPr>
                          <a:xfrm>
                            <a:off x="3702" y="25130"/>
                            <a:ext cx="4212" cy="2357"/>
                          </a:xfrm>
                          <a:prstGeom prst="rect">
                            <a:avLst/>
                          </a:prstGeom>
                          <a:noFill/>
                          <a:ln>
                            <a:noFill/>
                          </a:ln>
                        </pic:spPr>
                      </pic:pic>
                      <pic:pic xmlns:pic="http://schemas.openxmlformats.org/drawingml/2006/picture">
                        <pic:nvPicPr>
                          <pic:cNvPr id="201" name="图片 10" descr="IMG_0284"/>
                          <pic:cNvPicPr>
                            <a:picLocks noChangeAspect="1"/>
                          </pic:cNvPicPr>
                        </pic:nvPicPr>
                        <pic:blipFill>
                          <a:blip r:embed="rId149"/>
                          <a:stretch>
                            <a:fillRect/>
                          </a:stretch>
                        </pic:blipFill>
                        <pic:spPr>
                          <a:xfrm>
                            <a:off x="8067" y="25118"/>
                            <a:ext cx="4151" cy="2348"/>
                          </a:xfrm>
                          <a:prstGeom prst="rect">
                            <a:avLst/>
                          </a:prstGeom>
                          <a:noFill/>
                          <a:ln>
                            <a:noFill/>
                          </a:ln>
                        </pic:spPr>
                      </pic:pic>
                    </wpg:wgp>
                  </a:graphicData>
                </a:graphic>
              </wp:inline>
            </w:drawing>
          </mc:Choice>
          <mc:Fallback>
            <w:pict>
              <v:group id="_x0000_s1026" o:spid="_x0000_s1026" o:spt="203" style="height:264.85pt;width:425.75pt;" coordorigin="3702,22189" coordsize="8515,5297" o:gfxdata="UEsDBAoAAAAAAIdO4kAAAAAAAAAAAAAAAAAEAAAAZHJzL1BLAwQUAAAACACHTuJA5ajkodcAAAAF&#10;AQAADwAAAGRycy9kb3ducmV2LnhtbE2PQUvDQBCF74L/YRnBm91sJbbGbEop1VMRbAvibZqdJqHZ&#10;2ZDdJu2/d/Wil4HHe7z3Tb642FYM1PvGsQY1SUAQl840XGnY714f5iB8QDbYOiYNV/KwKG5vcsyM&#10;G/mDhm2oRCxhn6GGOoQuk9KXNVn0E9cRR+/oeoshyr6SpscxlttWTpPkSVpsOC7U2NGqpvK0PVsN&#10;byOOy0e1Hjan4+r6tUvfPzeKtL6/U8kLiECX8BeGH/yIDkVkOrgzGy9aDfGR8HujN09VCuKgIZ0+&#10;z0AWufxPX3wDUEsDBBQAAAAIAIdO4kDdCpOu/QIAAAUMAAAOAAAAZHJzL2Uyb0RvYy54bWzdVstu&#10;EzEU3SPxD9bs6bwyyWTUpEKURpUKRDzWyPV4HmLGtmzn0T0SsGPPpyDxN1V/g2vPZDpJkahQAKWL&#10;TK5f1+eee3zt45N1XaEllarkbOL4R56DKCM8LVk+cd69PXsSO0hpzFJccUYnzhVVzsn08aPjlUho&#10;wAtepVQicMJUshITp9BaJK6rSEFrrI64oAwGMy5rrKEpczeVeAXe68oNPG/orrhMheSEKgW9p82g&#10;03qU93HIs6wk9JSTRU2ZbrxKWmENIamiFMqZWrRZRol+lWWKalRNHIhU2y9sAval+brTY5zkEoui&#10;JC0EfB8IOzHVuGSwaefqFGuMFrK846ouieSKZ/qI8NptArGMQBS+t8PNTPKFsLHkySoXHemQqB3W&#10;/9gtebmcS1SmEycIgROGa0j5zfeP118/I9MD/KxEnsC0mRRvxFy2HXnTMiGvM1mbfwgGrS2zVx2z&#10;dK0Rgc5o4I28IHIQgbEwHIbROGq4JwUkyKwLYYKDYDgI/Hi8GXzeOogjv10dBeORGXU3O7sGYIdH&#10;lCSBX8sVWHe4+r1CYZVeSArMG29sOS/JXDaNW778MRyUhq/rbz9uvnxCIwelVBFQ1/mL2XvP82KD&#10;07gwqxof2IC74OSDQow/KzDL6VMlQKZwFG1U29Nd09wCcFmV4qysKsO4sfd7bpBMaH1JQQ7yPLWA&#10;cKK0pJoUZsMMNn4NYBv6uwGL8haYwaxAKr8QRzgKgbXtJG80MoAT0AgkiMHqpxhYk0rPKK+RMQAd&#10;gID04AQvL1QLZzPFdDNuOAIXOKnYVgfIxvRYyA1IawLmJlVg/AvtjHe0A6z0tRPE4WFrJzDw96ud&#10;2BvCCbPaCTxLD0467fgRVC9TXILR0B67rjw8NO3AHbqjHdBSXzsh1FEg35zCw6w7bW678rKXurO5&#10;XCK/udV62gl8uHisdsJo+2p5eNqBCrt1Z/kgpr54gnhw2OKx8P9W4Yl83xaXnnj8aHNphYP/Unjs&#10;8wdeh/ZF1L5kzfOz3wa7/3qf/gRQSwMECgAAAAAAh07iQAAAAAAAAAAAAAAAAAoAAABkcnMvbWVk&#10;aWEvUEsDBBQAAAAIAIdO4kAT/xd2lZcAAIuXAAAVAAAAZHJzL21lZGlhL2ltYWdlMS5qcGVnAACA&#10;/3//2P/gABBKRklGAAEBAQDcANwAAP/bAEMACAYGBwYFCAcHBwkJCAoMFA0MCwsMGRITDxQdGh8e&#10;HRocHCAkLicgIiwjHBwoNyksMDE0NDQfJzk9ODI8LjM0Mv/bAEMBCQkJDAsMGA0NGDIhHCEyMjIy&#10;MjIyMjIyMjIyMjIyMjIyMjIyMjIyMjIyMjIyMjIyMjIyMjIyMjIyMjIyMjIyMv/AABEIAawCg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o&#10;PE+kz4xdBD6OCK0I721uF/d3ETg+jg142HIqRZmXkMR9Km7Kseo6poekX9vI13YwyYUnIXDfgRzX&#10;kzWMdlPJHEnljPKbiQD7Zq8t/dp9y5lX6OaryM8rl3Ysx5JPehtsERY9qcAKXHtS4oGJikxT8UuK&#10;AGYoxT8Uu32oAZtpdtOxS4oAZijFSYoxQAzFLinbaMUANppyTgU7qcCnhNo96AGBMfWlCVIFp232&#10;oAj20uKk2805Y880ARqmTUgTFShMUoWmIjC08LTgtOApiGhacBTgtOC0ANApwWnBaCQq5JwB3NMQ&#10;AU2WaO3XdI2B6dzVK51RUysI3N/e7VlSSvKxZ2LH3oAt3WpyT5WPKJ7dTVGjFGKBhRS4pMUDEIop&#10;elJgngClcBCaTDN0FSrEOp/KpMYFLVjIBD60/aBUmKQigCMg0lSYpMe1AEZFJipNtG32oERYNJip&#10;SBTTgUAMxSbabJMidT+FRB5pTiNdg/vNQA6RggyTiqcl7EvfJq6luA3zSF2Pc9KoTWkUl0GKgyeu&#10;KAY3zJpfuDA9aVbQNzIxb27VobB2FGygCssSoMKoA9qdg1MUpCtAEWKTFSFaTFADKTpT8UmKAG5o&#10;zS4oxQAmaTFOpMUAIRSYp2KMUAMxSU/FG2gBmM0Yp+2jbQAzFJtqTbRigCPbSYqTApQjHotAEe2j&#10;AFTCE92/KniNR2/OgCsAT0BpfJY9TirOKaSMUAReSo65NGAOgp5ao2JNABgUU3afeigDfApwopwF&#10;IBKWnYpcUANxS4pcUuKBjcUuKdiigBMUuKXFLigBuBS4pcUuKAG4pcUtBNAhKZyTgU7rTlX0oGIq&#10;gU/bShcU4DmgBuKdinKCTxUyx4+tAiNY+5qTb7U8LTgtMRHtpdtSbaNtMRGFpwWn4oxQA0CnAUju&#10;salnYADuay7rUmkykOVX+93NAF25vYrYYJ3P/dFY9xeS3J+Y4XsoqI5PJOTRigYylp2KNtAxtFPV&#10;SegqRYvxNFwIgpo2k9BVoRetO2AdqQFURetP2gDpU+wUhSiwEOKTFS7KQrQBHijHtT9tJigBuKMC&#10;lPFQyXCRjlufTvQBJio3kVFyxApVgvLhdyoIIv8AnpKcfkO9NNlbqwLu9w3q3C/lQOxB9pMjbYI2&#10;kPsOKTyZX5lkCD+6nJ/OrnO3aMKv91RgU3FAFdYI4+VTn1PJp2KlIpMUhEe2qUpxcMQegxWgRxzW&#10;UzbmJ9TTAljkc4y2cmreKqwr86irZoAQ004pTSUgEIppFONJQBGRSYqSjFAEZFJipCKTbQBHiipM&#10;UbaYEeKMVJto20AR7aNtTCNj0FOEB7nH0oAg20m0noM1aESDtn607oOlAFYRMeoApwhXuSakLAU3&#10;d7UAARV6AUfjTSxNJQAFhSEmnBCe1OELHrxQIh5NJj2q0IR35qRYgOgpgUhEx6CnC3Peruyl8ugC&#10;l9mHqaKveXRQBZFOFVFuB61IJgaQyyKXNQiQGnBxQBLRTQ2aXdQA+ikBHrS5oAXFLikyKXNAABS4&#10;5pM0ZoACcU0nNGcmlALdKQCAZOBUyrilRQKfigBuKUIc1IFzTwtADVXFTKtIq1KopiG7acF4qQLS&#10;7aBEW2jFS7ahnuIrdcyNj27mmAu2qdzqEUGVX539ugqjdahLOSqfInoOpqnQOxJNcSXDZkOfQdhU&#10;WKWloGJRShSxwBk1MsHdvyouBCFLHgVIsI78mrKx47YFPCgdqQFUqFGTgCo/tcS8BgfpWvBokupb&#10;SpCocgcdTjIFWZPhxdbi0UsToeV3ZVvxoQGCLuM96kWZG6EVbuPBOqW44gcj1U7qyptIvrc4eN1I&#10;9VxVWEXcg0tZm26j6q1AvJU+8D+IosFzTxmkIFZ51RY13SYA+tNTUZLofuI9q/35DgUguaDbVHJA&#10;qqbpHfZCrSt6IM0iWscnzTzmU/3RwtXUVUXbGAq+ijFAyAWkjjdcTLEv9yP5m/wFSoIbfm2gVW/5&#10;6P8AM3/1qfimlc0hkTl5GLOxY+pOajxVgrTCtAEWKTFS7aaVpCIttIRUuKTYTnCsfopNAFWclYXI&#10;64rMRHJzit+4tlWJPmVtwy3X5eelUBBbqclsHOeDx/OmtRMigXLZ9KsYolkgR2eMYU9utAmhbo4H&#10;14oGhMUmKlwCMhlP0YU07R1IpDIyKTbU2AehFJtoAi20bal20ojY9AaBEO2jbVgQMepApwhQdRmg&#10;Crt54GaeImPbH1qzgD2ppYD3oAiEI7nNOCKvQCgv7U3JPWmA4kCmFhS7c0oiYjpQBEWJppyasCH1&#10;NKIwO1AittJ6CnCJj7VZ2UoSmBXEI708RAdqnCUoSgCEJThHUwSnBKAIQlOCVMEp4SgRCI6Xy6nC&#10;U7ZQBX2UVY2UUAcsGcetSCZx3NP8ulEdKwwW5f1qVbthUWyl8v2osBYW8qRbsetU/Lp3l+9AF4XQ&#10;9akFwD3rO2H1pcMKBmmJx608S1lAsPWl8119aBGr5vvRvyayVuXZsVo26lwCelAFhAXPtVhVAGKa&#10;uAMVIOaBigVIq5pqjmp0WgQKtO208LTttADVWpFFAWpAKBABQcKMk4A9ahubyK1HzHLdlHWsa5vp&#10;Lk8nC9lFAWLl1qYXKQcn+9WU5eRizsWJ7ml4peKCrWIttGKlwDT1hz14oArhCTgc1Mtvz835VZWM&#10;AcDFSBQKQyFYgowBgU8LipMUbaYhmKMVJijbQBas9TvLLAt52Rf7vUflW1b+LbxcCVI5PfGK5vGK&#10;digLHaQ+LYG/1sDL7qc1cTXNLuVw7gZ7OtcAM04MfWmKx3rafot9/wAsrdif7pwapXHgrS58lN6f&#10;Q5Fcisrr0JFWodUu4fuTuP8AgVF2BZvvhrFOQY5wcdAwxWTP4A1C3B8pAwH9xq3YfE99Hjc6uP8A&#10;aFaEPi08Ca3B91NO4Hns/h/UrUnfDIMeqmqpjvITyrV61F4k0+UYk3J/vLmpT/Yt8ORbPn1ABoEe&#10;QC8lT76mpobozEBUYn2Ga9NufCejXKEhfL91auM1PQYdI1BZLG+EwOQyjgr+I4pMaKsdldSDIgcD&#10;1IxTXtmjHzvGD6bgTUjhmPzMzfU5phQDtUlEI2A8kn6ClLKPuxc+pqTaKTbQIgZpz0faP9kAVGY2&#10;P3nY/U1a20m2gCuVJjCMquo6A9qq/YxnJ55zzWltpCooAzzZoRjaB9KYdPQ+v51pbPSjyj9KAMk6&#10;aOzGmnT5B91yfwrZ8od+aXaAOlAGH9kukORj8RSFbkclP++TW21Rn6UBoZkLXLNjZt9yKvDhRuOT&#10;3xT9tL5RPQUARFvQUwlj3qx5PqaXygOtAFTGfWlEZParewDtRtFMCqID3NOESjtU+2jbQIjC46Cj&#10;bmpdtG2mBFtpdlTbKNtAiLZShamC0oWgCIJShKm20oWgCIJTglShKeFpgQhKcEqYLShRQIjCUuyp&#10;QtQS3dtAMyzxr9WpDHbaKpnXNOB/4+R+RoouIzfLo8urXl0eXQMq+XQI6tbKNlAFbZRsqz5dHl0D&#10;K+yjZVjZRsoAr7KQx1Z2UbKAKKx7XB7VpQyggAVA0dMClW4NIDUVqnTmq0I4GauRrQBIi1YReKbG&#10;tWFWgBoFO208LVa5vY7cEAhn9BQImJVF3OwA9TWZdaoTlIOB/eNVZ7iW4bLnjsOwqHFBSQxiWJLE&#10;knuaTFSYqGaeOEcnJ9BSGOxSBhnlqpNNNMemxaApXvQI1YygFTK61jiRx0NOFw470wNgPmnAisgX&#10;binrenuDQBrZFLxWYt8O9Sreqe9AF+lqot0p71IJwe9AE+KMVGJR604SUAPxRTd9LuoELRikzS5o&#10;GFGTRRQAu4+tOEh9aZijFAEvnyAYDsB9agYljzTsUmKAGEUhAp9NpAN20m2n80oAoAixRsPpUwFB&#10;FAEQjz1NGxR2qSjaTQBERSbasCIntThD6mgCpijYT2q55QHQUbKYip5JPtR5I+tW9lNK0AVtgHQU&#10;hWrBWk20AVytNK1ZKU0rQBBto2VNto20wINlLsqbbRtoEQ7aXZUu2l20ARbaXbUu2mPJFGMvIq/U&#10;4oATbShKqyatYxHmYN7KM1Ul8RRLxFAze7HFAGuEpwSuZl8QXb/cEafQZqq93qFz1lmYe3A/Si4H&#10;WyTQwDMkqJ/vMBVKXXdPi4Epc/7C1zX2O4ZgGGCe7GpV0w/xP+QpXCxpS+KFHENsT7u1UZfEV/Jn&#10;aUjH+yv+NKunQjrk/U1ILSJOiL+VA7GbJeXtznfNK+e2TiohaTuclcfU1s+WB2o24oAyfsEn95aK&#10;1cUUAbO2k2UwahaE/wCtA+opwu7VukyfnTuhC7KTZUglhbpIp/GnfKehFAEO2k21Pto2UAQbaMVN&#10;spNlAEW2jbUu2l20AQlOKj2cj61a20wJ84oAsRLV2NeKhhSriLxSGPRakd0iTc7ACqst2qDbH8ze&#10;vaqTu0jFnYk0BYnuL95AVi+VfXvVHbzmpcU1iqDLHFAyPbTXZIxljihpHfhRtHqetMEIzk5J9TSC&#10;5A7yS8J8q+p60xbdRz1PqaubKXyxTsK5TMdJ5ftVzy6Ty6YFMx+1IY/arvl0nl0AUvKpPLq75VIY&#10;qAuUthpNpq75VIYqQFPkdKcHcdCasGKkMVAEa3Eg7mpVu2703yqTyqALAvD3qRbsGqfl0bDQBoLd&#10;Ke9SCdT3rMAIpfmFAGqJV9acHB71k+Yy0q3L9s0Aa28etLuFZ8cjtVlVY0AT7qQtQsR7mpBGooAi&#10;yT2pQp71NtpdtAEQSlCVMFp4SgCAIaXy/Wp9tG2gCHYKUL6VLspQtADAKXZUgWnbaBEOyk2VPtpN&#10;tAEG2mlaslaYVpgQFKbtqwVqCSaGP78qL9TQA0rTStV5dWtE4Dlz/siqcmuj/lnCT7saVx2NPbSb&#10;axRqV/cyCOFPmY4ARcmta28JeIL+PfIrRKf+ej7f0ovfYLA80MY+eVF+pqrJqtnH0csf9kVXuvDN&#10;5b3bwTSRgr/Ep3A0qeH4x9+Vm+gxRcLDJNdUf6uEn/eOKqvrN3JwgVfoua1U0m1j/wCWeT/tc1Ot&#10;tGn3UUfQUrgc80upXA+9KR7cCmDTLpzl8D3JzXSmMUwoKAMFdGPV5T+AqT+yol6Asfc1rkCmEe1A&#10;GakUcRwYVX3AqcKpHGDU7DIwQKbFHEGYyK2Np27TjntQBnyyMt0F3BQOx71OcEZqlLFKJiBCW56k&#10;5q3JG0yjd+7Yf3aAEJUd6jZwPSl+yD+J3P40n2aMfwk/U0AMaVe7LUZmT1J+gqwIF7J+lL5LdlxQ&#10;BV8xf7r0Va8lvaimM120K8Gf3du3/AiP6VTuNIuolLvYqyjklXFegvppVsCZT9RVO/02Y2sgDKV2&#10;nJH0qbsbUTgXsV3Ksdq8hYZwgyRSGxdf+Xa7T/gDV0+iWrzajtQAkRnr+FbslhPEMsv603p0FFJo&#10;87MTRnmS4T6g0vnOvS9I/wB7Fd2V5IOKabeNhyqN9aV/Irk8ziVuJ/4bmNvwp4uLsd4mrrzp9q45&#10;t4j9VFRPoti/W0i/BcUuYXIcv9ruB1hQ/Q04Xsg+9bn8DW+3h+xHKwbfoxH9aqSaJb5IUyg+0ho5&#10;x8jM5LwO4XymGTirip84qrBb+TMYyS22UgFuuM1ZlkeItsA3A8Zq0Zl3ckK5Y/hUEl0X4HC+lYk0&#10;t2XLMSajWe4zjk/hQM2twoLgckgCqEDTyH5uBUepZREOxpDnG0GgdzQMufuY+ppmzJyTk+prOt7W&#10;6mQOlpcAf7w/xqcWl4h5hu1/4DmlcLMubacBVXbIg+aW4U46Nbml3sF3fbI/o8ZFPmFYtBc0uyq6&#10;yynG2e1b/geKlDXI/wCWcLf7sgouKxJso2VGZ51GTaOfoRQLw/xW8o/Ci4Enl0eXTftkX8SyL9Vp&#10;wu7c/wDLTH1Bp3APLo8unC5tz/y2T8TTxJE3SRD+NAEPl0hjqyAp6EH8aCntQBV8ummOrez2pNnt&#10;QBU8sUhiq3s9qaUoAqGOkMdWilIUoAq7KTZVkpSFaBlYpTNgU5xVspTGSkAkT4I4q4rZqtDHk1cR&#10;KAJEzUgBoRKlCcUAMC08JT1SnhaAGBaeFp4SnbaBEe2jbUmKaSq9WA/GgBm2l20x7qFf4s/QVC1+&#10;B92Mn60XHZloLTsVlSajL2Kr9Kpy3csnBlY/jSuFjeeWKMfPIq/U1Uk1S0T+Msf9kVi+XuOSakWG&#10;EcsC340XAtS66oP7uEn/AHjiqr6nfTZEaYz/AHUzVmJrdPuxqPwqwtynYijUNDJNvqdz94yYP95s&#10;U9NClY5llUfTmtUXC+op3nZ6UWC5RTQrdfvs7n8qsJplpGciBM+p5qbzCaXcTQA5VVMbFC/Tipjd&#10;TbdplfHpuNV8E0bWoAVjk0w/Sn7aNtAERBphBqxsPpTTGaBlcr600qKseVnvR5IoAqMvpUZjz1ya&#10;0PKX+7R5ftQBm+Uey0hgatEx0wpQIzzb+ppPs49zV8p7U0x0wKPkKO1BiA6AVbKU0pQFyoUppSrW&#10;ykKUAVdlFWdntRQAv2bxBEeLduP7l4f6mla48SohVra+KY5xMrcV6E+ljIx602TS8RsQegNRzs0c&#10;EeZWWqalaXO+CC9EuCMeWrcVfk8Wa1tKyxT4P9+0P9KuaJbzS+IGRi2NrYzXVvpkmDhjVOViYwur&#10;nn48W3ScPGn/AAKFxUi+M9v34YD2++V/mK7k6ZLjqT9ahfSSfvRIfqgNLnK5H3OOTxlATg26/wDA&#10;Zh/hVqPxdZsOYZB9GU/1refQoX+9Z27f9slqE+GLJh82m2//AH7Ao50HI+5nL4qsCOVnH/AQf5Gp&#10;W8RaOyKQ0obHOYjUz+EdMbrpsQ+hI/rUx8DaKbNZDbSI567ZW/xpNqQWkupzb6jZteM6yHaZNwJQ&#10;jjinSXlk8hIuE5PfiquoaFZ2l+0MclwFDAf6zPXH+NU7jR5YpnVJZ9oOBnmtEZM1hNZ9p4if94Uu&#10;IH6On4MKwDYXC/8ALRj9UBqF7eeP5vkbHrGKYrHTLCA3ysM02a3ZyoIJ5rlbOW4llbKRqeijFbum&#10;adql+7rbtCrIu45kZePwpMaWp3el6aBp0ByAzDOD1q0lqXfaoya45bLxPDgJMTjptuW4/OnpJ4pt&#10;33KJiR3EqH+YrLlga8010Oy/s6b+6PzqJ7CUfejBrmRrHimPl4rk/wDAI2/kBTv+Em1xB+9tZ/xt&#10;c/yajkiHPLsbraX5xKLZo56klAcVR1Hw9Cmn3LmwAcRsQ3l4wcVBZeMr6GQlrItxgj7O4/kTVu48&#10;d77aSKSzVd6lckuMZ+q0+QTqPsZ+l6XBfWivNCXKAAEEjH5VaOhWw+75yfSVqj8O+LbLTLNoZBGx&#10;LZ3LJj+YreTxtpUn3kP/AH2h/rTcW+olNLoYZ0VAOLi4H1YH+lQvoRYYF05/3kBrqV8S6NL1Q/8A&#10;fAP8s1INX0J+pUfWIj+lHKw5o9jjG8Pv2njJ/wBqP/69Qt4euM/8uzD15H9K7oXugSHHnwg+hYrT&#10;1TRZfuXEP4Sii0gvA89OgXKdIYj/ALshH9KY2lXydLeb/gMo/wAa9GOnWD/6u5H4ODSf2NGx+Sb+&#10;tFpCvA83NpfJ/Bdj/gO6mk3adWmX/fhI/pXpB0Nz0mH5VE2iTgEhkP40ajtHuec/a5l6yxfiMUv2&#10;2UdRCfo2K73+x7lzjCn2FY/iDwpBc6TdST2EbPFG7q4GCpA65FPXqKy6M5z7ZJ3g/JqPtg/ihkH4&#10;Zrd0fRY7ywEjWvmYONwHPSrMnh2Af8usgPszD+tHMCicz9shI53j6qaUXNuf+WgH14rZm0SFBg+a&#10;n4/41Rk0hDny5XP+8oP+FLnsPkZWEsTdJEP40uAw4IP0qve6bLbWzzAxvtGcFMf1qe0hWMSYA4xm&#10;mpX2E01uTQpx0q3HGarxzQRrl5FHtmpV1O0XgPn8KZJbVKlCVDFceeMxIWHsCaDMRkNuXH95SKLo&#10;dmTgAdSBSGRF7/lWbJflWwIsj13Uz7dnqjj6AGlcdjTa5A+6p/GoWu39VFUftcZ+8XH1U05Z4D0k&#10;A+vFAiZp3bqzGoSWPQfmakDRt0dT+NOCg+lAXK5Dnvj6UwxE9STVzZSbKLCKRgA5xULvDH951HtV&#10;25gMsDIpwT3rn54WgmKMQSD1FUkBae9iX7qs36VVlvZGB24X6VCaI1DSop5BYA07IVytLezrJxMe&#10;nTNC6rcpjO1vqK1JfC9o5JBIz7Cqr+FVH+rnI/MUroBI9fdPvQKfocVdi8SW3/LSCRfpg1mP4au1&#10;+5Pn8f8AEVWk0TUowcYb8BRdBqdNF4h05ursn+8h/pV6LU7GX7t3D9CwFcC9nqEf37f8gRURMyfe&#10;hcUaBqenRtHIMo6sPY5qUJXlYudhziRT64qeLWbqIjy72ZfbeaLDuz08R+1L5deexeKdVjPF2HHo&#10;yqf6Vfh8aXy/6yGB/cAj+tHKFzs9lNMdc1F42U/62yI91f8A+tV2Pxfpz/fSaP6qD/I0rMLmv5ft&#10;R5dFnd2+oQedbvuTOM4xzU5AHUikO5Ds9qQp7VKXjH8QpvmL2Vj9BQBEU5ppjqUux6RN+JAph80/&#10;woPxzTERFKjZPapikp6uB9FqMwE9ZHP04oAiKe1MYBR8xA+pqVraM9dx+rGk+zxDpGv5UAVjJD03&#10;gn25ppkX+FHP0U1b2gdAKQrQBU3N/wA8X/T/ABoq1tooA6UeLgfvQsP+Af8A16k/4Sy3ZGDRvkj+&#10;4a4o3UK9ZpF/3oyP5iliuYpnKRXIZsZxxmnyoXMzX0/UIrPVY7pwfL5B4PGa6YeKNPcfeA+uR/Su&#10;NtYZrnCpGXfGSBVr+zbwHBtpM/hT5LgpNHVDxJpuOZV/Onf8JDphH+tX8CK5E6fdjrbSflTTZXA6&#10;28n/AHzS9mh87Ox/tzTCM+aBn3FSpqlhIPllBrhjaTd7eT/vg037M/8Azwf/AL4NL2aHzs9AF5ZH&#10;/loPypZnikgzG6la89MDDrEw/wCAmgRMBnawH0NLksHOy1qsUbak5Iyd6/0onX98/wBazS2xjjrn&#10;JrR3FxuPfmrRJEUB4qvNb4UnGRV3FIVyMdqYjntMtC97cyGMbfuqf512Xhm2QaiwwBujI/lWXFbx&#10;xbtigbjk4qVbma0lVoH2ORjIGalq5Sdjuv7NjPpTP7MXnp1rkhrGpgA/aCfqopf7d1NTnzl/75qP&#10;Zl+0OqOnr6VE9iMGudXxFqQPLxsPdT/jTv8AhIr/APuxfrS5GHtUdTpdusKsMDJq3eRI1nNlFP7t&#10;uo9q5W38VzRYD2aN7hyP6VNL4uMkLoLHllI/1v8A9aqS0JlJPUb4LtYJtMm863ibEnG5Aewrfk0P&#10;Spfv6dat9YhXK+H9ZTSrZ4poXYsQfkI4rbHiyy7wzj8B/jTSC5O/hXQn66Zb/gmKrv4K0Fulls/3&#10;HYf1qRfFWnseRMv1T/A1KviTTD/y2YfVDQK5QbwLo5+79qT/AHZ2qJ/Alj/Be3q/WQH+YrYHiDTD&#10;/wAvQH1Vv8KkXWtNbpeRficUBc5qTwCuf3erXC/7yKag/wCEG1BGPla1j6x4/ka63+1rAnAvLf8A&#10;7+Cn/wBoWh6XMB+kgpiOP/4RTxJEcw62h+pcf1pDo/jSIfLqMTj/AK6n+ortVuIm+66H6MKVp416&#10;mmGhwsaeOIHwDHJ/wNT/AEpLm98Z/YbiO40+NomRgzDHAxz3ru1kjbpn8qjvQG0+5GcAxNz+FFwR&#10;wGh61r9nYFLbSftEQbO4D2Hoa0f+Ew1mMjzvD03/AAEN/hWl4KQpo7gtnLg/+OiukxSHocFeeNTJ&#10;Dsn0O5U+pB4/SshvFVnn5rSZPqK9QmRSnIFY13aRMTmJCP8AdFRJGkDgLvxBp9zaSxgSBmUgZA61&#10;FBf2xEvzkFgMcV0usafbDT7hzbwqwjJDbBXNxaVFO1yGgQYQFTjoc0QtYU1rqRstvKck/wDjpoji&#10;to2G11/Gq0milThHx9Cazbq1vIfKjhunViWLHceemAPzqzM9S8OwW1zpasLqMMWPGRWq2lFh8kyE&#10;VzfhnwtHe6LHJc3VyJgxBKuOfzFc38RZYfCVhHBaalcPfXOQqNt+RO7cDP0qHFGinJFbVfGDt4wO&#10;k6altPDFlXaQcSMOoB/Ss7V9W1eW6WODR4I4wCJA3H4giszwHo5w+sXAJL5WDPp3b8al8UySDV0I&#10;dgPKGAG6cmnyEubZZn8Q3MFvbxwaVJJIpAkLHGR9c1oX3inTILZHisbtpTjdF3H09a5ATy4/1zj/&#10;AIEaUXU4/wCW7/iaOULs7aDWtEvPs6RyTJNMyr5ciAFc+tdAdAyMxzLjtx/9evK/tc558zP1Aror&#10;L4g61p9nHar9mkjjUKvmQgnH4Uco79zrjot0p+WT/wAeNMOn369CT+INUbL4jXElsjXOmWsjHOSu&#10;V71aX4hWRXMmjsP92f8AxFRfzHZPoDQ36dYy3/Ac/wAqwr8s1029drdwRiuiXx5orMBJY3iE/wB0&#10;q1YGq3ttqN/Jc2gkETYx5gAP6VcHqTJWRQLU6A/v4/8AeH86hapYT+9Q/wC0K0IOq200ipO1NIrM&#10;ZGRTCtSkU0igCFlqNoUbgoD9RVgimkUAUZLC2f70CflVV9Esn/5ZY+hrWI4puKAMF/DNo3QsKrt4&#10;WX/lncMPwrpsUbaAOUbwzdD7lyD9aW28OahLdxxPMixscFsZxXVhamtgFuIyegYU7sC3pOkJpdn5&#10;HmGTLbiTx+lXvKUfwinGZOxppk54Vj9AaBhtA7CjFNLuekbU0mU/wAfU0AOK0wikImPdB+tMMch6&#10;yfktACkVG2KUwk9ZHP6VGbdM5JY/VjTAQso7io2mjHVh+dSeRGP4B+VHlqOigfQUCIDOnbJ+gphm&#10;J6ROfwqzgUEUAVfMf/ni1FWcUUAdjjPUCsDxEgElswUA5YZxXQhTWH4jXC25/wBo/wAq1kYrcp+H&#10;uL8D/ZNdLLkSD6VzWg8aig9Qa6vy90q5A6etVHYtkGaRD++qWaPYwwOtRL/rRTBMsVXPEj1Pmqzk&#10;+Y1KwJj+MdKlhXNpjHc1CDViDm2P1NTUXumkNzhdXXGpTcfxVPtxxSa0uNSmz61I4+b8BWSExuKM&#10;UuKKoQgFQXAzJHVgVFMuXQ+9JjR1EWjwtAhNryVB6e1NOi2xGWtyuPTIrcikbyo8EgBB/KppTutG&#10;J9KakNqxzcei2bO67G4xj5jVPUdKgtow0e4Z963If9ZJ9BVTVxmBfrVtKxPULLQLKeKNnEmWXJw1&#10;Jqvh6ztNLubiFpPMjjLLlsjIrW0wf6PCc/wCn60N2i3g/wCmLfyrE0kee6TZXusWqvDHG7gZYM+3&#10;v+NXz4b1df8AlyU/7s4q34B4gkH+z/U12ufei7Jsjz7+wNWHWwk/CZT/AFpjaNqq/wDMOuT9HQ/+&#10;zV6JkUbqeorI83OmamvXT70f8BB/kagmiubeIST293FHuC7nhIAJOB2r0/NY3ifnw/cfVf8A0IUa&#10;hY8/vLbW0glntYg8YUsgMLHPHqKcs8ggR3gkkZh83lITg16JpeDoEQ/6ZEfzrD8NDD3QA7j+Zp3C&#10;yOV+2IPvW9wv1hNNOo2v8W9frG1emBc9hQYkI5AP4UrsLI82TVrePlblk+m4VI2uxuhQ6i+0jBBl&#10;bBFehG1gI5hQ/VRVa602yktZQ1pAfkPWMelAWOS0ee5uHFvpd03T7qSYFbv2bxMnSdz/AMCU1yvw&#10;3jEOszoBwJG/lXq9A0ck3/CTr1ZiP91DVeSXxCM74yf+2QP8q7Q1C4pMqJ5/qdxqDafOl5GI4ShD&#10;uYyMD65qCzfKTv1BjHI+tdN4ujDeF9Tz/wA+7fyrJs7dWiuRjH7hTSiOSOb1DUUtYzMjISpAIbP9&#10;KfFDFd3iyZDCM546EkCpJ9FgnuZ/NAdd5G0jPQ1atrOO3z5aqo9qog2rXxNZ+H9HlN0jnaSw245P&#10;YV4lfHUvG3ilru5P7uaT5yGyI4x/CP5V03xE122XToNIjBNwshldgeFBGAPrTfC9i+n6QpnOHl+c&#10;qf4B6UuodC/qV/Fo2k4iAUIoSJR2rzOeQyyNLI7M7HJJNa/iLVv7QviEb9xHwvv71z7EyPtHSmxJ&#10;EM0kigMruoJ6ZqMXVwvSeQf8CqxfJ5cKcdTVIP3qHuaxtYsC+uh0nf8AOlOpXY/5bE/UCqpkpu/P&#10;OaWo7I14PE15BEE2RMF6ZBqVfFc5XD28ePYmufZ8tims3ak0NHT2viUzynNtjaueH6/pXW6RdC70&#10;1ZQu3LEYrzWxwplJ7Rmu88Ky+ZomfSVgKqC1InsbDetOiP7xP94UwmiJv3q+gIrUyOy7U004dAaQ&#10;1mMYaaaeaickdOvvQAU00iyBiV4yPQ0p6UAIaaRSmkPSgBMU4Ckpy0AFS23/AB8R/wC8KjNSW/8A&#10;x8R/7woA3yKQ089KjNMYhphpxphNACGmGnE02gBhph4p5pjUxDTTTTjSUANIpppxppoASiiigD0g&#10;28WPuCuf8VW8a6fE4UBhIOfwNdKRxWB4qUf2Sp9JFpNsGkc/4dVW1aIMMjn+Vdx9liznbz9TXD+H&#10;zjWIP94/yrvsVcmNbEJtYmPK5/Gk+wwZzs5+tTgc0uKm7HYhNpF/d/WmfYYCT8v61ZIpMc0XYFf7&#10;DDj7p/Oq1xalF2RSGNOpwMn8zWlioLkcUNtjW555rcQj1CRQSeAeTmnv94fQfyp/iEY1J/8AdFNf&#10;+H/dH8qEQxlFGKWqEFNcZK/Wn0Yzj61Mtio7noFooe0hYj+AfyqV0DxlOxGKisubGD/cH8qnNIbK&#10;a6cqsxEh5GOlRXOkrcptaUj6CtE00nIp3YIqxxizjjjB3BeM9KZqrk6VdAY/1Tfyp83Mi8nrUWor&#10;nTbkf9Mm/lUltaanMeBWwj9vlP8AOu0PJ7muJ8Cnhwf7p/8AQq7emZhz6UgJJxmnZFJn5zTAXbWV&#10;4kUHw/dcdAD+orWzWZ4gGdBvOP4M0Cew7SOdDi/3D/M1ieHP9ddD3/qa2tF50WL6N/M1i+Hx/pV2&#10;M9/6mgDoRSZ4oxSYHpQAbhjrTJjmF+v3T2qTHFRyf6tvoaAOA8BAr4huR/01b+Rr1HmvL/A5/wCK&#10;muR/01P8jXqNAIYzBBlmAHqage4jzwS3+6pNWTTGpMuJzvil2bw1qarDIc20nPAA+U+prO08ZSfj&#10;rag/yrb8SJu8OamP+nWX/wBBNY+n8xufWzB/QUIcmZh/4+J/+urfzrP1rVYdG0qa8lI+UYRf7zdh&#10;V93UXNxlgP3h71xPjnSNQ1gwvaXETRQ8iDdglj396bMzlNDtJ/EGvyX16C0aP5jlv4m7D6V0XifV&#10;hZ2f2dGAllHPPRa0rKH7NaxxEguFG9gMbjjrTLrS9Pu5TLcWySyEYy2TQths8tluMZ5qzZIzEHHW&#10;vRF0jTEI22FuMdP3YNTrbW0f3LeJfogp2Eeba7EYoYMjk5rEw7dEP5V7RtjOMxoce1LhR0VR+FS4&#10;lKVjxgWtw3SCU/RTTv7O1B+Esbk/SJv8K9jJwaaWPrRyD9oeSxeHtZfpp1wP95CP51MvhfWycfYX&#10;/wC+l/xr1IsT1pmaORC9ozzqDwxq6pKGtPvIQMyL1/Our8OWFxpujiC5ULIXLYBzxWwTTGPGKpRS&#10;E5NjTRGAHBpATSE4pknZq6+Up3DoO9MMsY6yJ/31XHByR1NMZj60uUDsGuYB1mjH/AhVdru2JBae&#10;P2Ga5UkmnJEZCAPXvRyoZ0ZvbRZi7TIABgUHUrXtKprDurNrQL5pAZu2apgjPWjlQjpv7Qtz/wAt&#10;wPwNJ9vt1/5eEPseK58njjpUEho5UFzqlvrVh/x8R/i1RXGoxRwkxTRl+3zA1ypNRsaOULnQLrc+&#10;7DbGFa+nXf2hlbAGGHeuGLGlEjAcMR+NHKFz2MsMVGTXkQu516TSD6MalTULxT8t1MP+2hpco7nq&#10;pNNJrjfDGo3dxqZimuZJE8snazZ54rsCaLAmBNNJoJ5ppNAxCaYadTDQIKQ0UmKAENNIp1NNACUU&#10;UUAemHNYfihSdGPs6n9a3M1keI+dEm+o/nUsb2OU0Q41e3/369Dwa850ltuqW5/6aCvRsirkC2E5&#10;zS80mRmlBFSMOaTnNKSKbuGeooAdzUM/Spdy+oqKUgjg5oGjhfEoxqLe6CoX6R/7i/yqz4mH+nD3&#10;Sqz/AHYv+ua1SJY2lFJS0yQpyjP502np1qZbFR3O708n+z4P9wfyqwxOKo2FzCunwBpEBCDqRUj3&#10;9ovDXMQPu4qblW1LJyaac4qqdTsv+fqH/vsUxtWsQObyD/vsUXHYfLuMg6dfWkvQTYzj/pm38qg/&#10;tC1mYeVOjnr8pzUd7q1lHaur3C5dGAAyc8UFPY53wQwWR1J6hh+tdwBXC+CyBcSHGQAx/WuwW+Vg&#10;dqNx68VRk3YuYo7/AICqL3zhwqxjn3q2xO3PfbQK5JVDWhu0W8H/AEyNIbiVlbD4IHpUF/5jaTcF&#10;nJzGadhNkWiXapokhZhiHOfYdazfD0qvd3LA8NyPzrV8PRo+jEFQdxIbI61haUipfTKOAM8fjQDO&#10;o3qO4/OmNcwjq4qoFBYmmRopmfPaiwuY0Q2RwDVa4uViRwwPAqyp+UfSs6+UMzAjII54oQ2cP4Xu&#10;fsmvXU6oXxJnaOM8V6RDe3kjEvZbExkHfkk15lojrbazduQcK4OK7+08RwXspgSJwyqW5HHFIcdj&#10;UtLqS4wXj2A5qy1Y+l3Qa48kBf4um319j/Stk0ijL11d2g6iPW2k/wDQTXmM00xkAEjgbFGN3bAr&#10;1LV13aPer628g/8AHTXk8snKkf3F/wDQRTQ5DWznk03vmo2uE7uo/GmfaYc/61P++hTIJWPFA5FM&#10;Vll4jYMf9nmq7XtuGeMudw4IwRigC4Rx2phZR/EPzrGkkQk4cmoXmjRSzuoUdSTQBu70HV1H40hn&#10;iH/LRP8AvqudivrSY/up43/3WBqyvzDOOKANZriHP+tT86jNxAP+Wq/nWeFFO2/SgC4bmD/noKZ9&#10;pg/v/pVcD2pwHtQBKbqH+8fyNOVklXKk4qHAo8wx8BC30ouBNgVFJxmm+dIekLH6VWvr82LoktrO&#10;Wddy7VzkUcyvYLO1yyo+UE9aa1Zv9tj/AJ8bvH/XOk/tnPP2C7x/1zp3A0xU32qKO0eExbpC4ZWz&#10;0xWMmseYdqWN0W7AJk0qXsu8F7G5Xkj5lxyOvX6ijQC7dS3dxhpZC3ORx0psPQA9aik1BkjJa1kx&#10;9RVI6mQcrayD/gQpcyCzNljtFQOwqgdYz1tZfwxTDqmeltJ+OKOZCsXCaYxqhLq3loXNrJgDJ5FL&#10;JqDImfs7n8RTugsy33oPSqEWpNM2FtnB92FbUGm3NxCJE2YPYt/9ai4FMU9OtaFpoc15AJY5UAPZ&#10;gf8ACrP/AAjN2Ok0R/E/4UgJvChxrB/65t/SuwvL+3sYfNuZRGmcZPrXN6NpU2mXpuJ5YtgQjg/4&#10;1l+NPEujvYLaLqVu06yAlUbdjr6UmCOhk8XaWGCxytIxOBheKgk8VxqPlgye3zf/AFq82t50aSOS&#10;KYSDcOhBFa4dhyzfpUt2KsdK3i+4NwsYtolDDg5JqdfEV3tDPDEee2a5FSXvIwx6elamSsaqSce9&#10;FwZrL4vJYr9kzj0b/wCtUw8U4ZQ9oQG6Yf8A+tXH3DNbTEIe2eakSZ5mQuePWncR1v8AwlcI62sm&#10;B1IYUN4stCcCCUn8K5lrdSB85HH51XePYSynPpmldjOibxvaqxU2dxkHHUUVwUlzIZX6feNFO4rH&#10;0N5kg/5av/30ap6o7tp7gux5H8R9anmco+AB0qnfOWspBgdKtolszIyQ2c4561NEZzJJuuJSM8fO&#10;ahBwDT0d3QMeCfSi1y4uw+484W77ZpAccHea7Xw8rLpEO9izEZJY5rjVhDwMzFiR712+jAjToh/s&#10;iotY0vdFHxfvHh6Zo3ZGBHKnB615yL2dwFAlz0zuNeneIwTo03sR/OuFVTzyeKaVyL2IBfzKuPJc&#10;kcck12PhklrSYsMEkHH4Vyc7TI5xIcV1PhcsbaXcSTxRZIqLuZ/igYu0P+x/Wqb58mD3jFaHikfv&#10;4j/sGs1j+4tz/wBMxTRmxM1Be31vp1pJdXUqxwxjLMalzXlvxU1tJ4bfTrabcquWm29MjjFMQmrf&#10;F50uGTS7JGiU8STE5YfQVt+FPiXBreorZXdsLeWQgRsrbgx9K8OJyat6ZdyWOp21zESHjkDD86l7&#10;FR0Z9VLfXwXy0nkCKcAA4wKpSm5nctOzO3QEmptLlW7sorjH+sQNzVW5yt3IueKlJGghgJhAI+bN&#10;QpCqn95jGfWr1uN1ic9d1QImfzp2QNs6Pw/axpaNIvcNg1makoNsh9HYfyrf0VANPP4isPUR/ow/&#10;66GnBbin0G+Cj/pMg9n/AJ108eMOP9quW8EkfbpB/v8A9K6kEK0uP71NGUhzEebHWg33P+A1jTuV&#10;CH2NbAOYVPqlDFEoc7H+lR3LltNnUn/lmak/hfjtUU3/AB5Tf7h/lVMQvhg50n/gZrE0/jVLge5/&#10;nWz4VOdLP++f5VjWRxrNwPc/zqUUzYzhj9abGczSfSlJG40yMj7Q/wBKZBoITsHHaqF8T5h4HSr6&#10;H5B9KoXx/eH6UIpnnlgT/at79RXQ6GxGrsOfuP0+ntXPWH/IZvFHJ4/nXS6OhXVslSPkfqPY0Diz&#10;nPF/xQh8FaittDam8vSNxRnZVQHpnPepvAPxoj8U60uk6nZJaXE3+oeNiVY/3Tnoa4/4jeHrRvEc&#10;l7cRPI1yV2MuONowRgGub0Oy2+JNLu7S3MUlvdIcdCwBGay50nY3VNtXPqPURu065HrE38jXMaDG&#10;jW9sSinNj3HsK6a8nhNnMDKnMZH3h6Vzfhw5trH3sv6VaM2YksUYvpgEX7qHp/silEaD+FfypJiR&#10;fy/7ifyoBoJOm8KBQ1wAB0FRyeFtH1PxLqMt5ZrI2yIj5iOSDk8H2pfCjfv7hc9VFbVuuNbvTjrF&#10;F/7NQNHLeJ9I8J+FfD13q91pcbJAnypvbLseFXr3NfLuueILnWL6ScokETHKwRZCIPQZr6i+LWg3&#10;niHwDdW9iN08LrcCPON4XOR+RJ/Cvkt7ecTmBonWQHBUjBFK47DFnmjcOjsrDoQa7fwt4neUiwvm&#10;3M/EUh659DXCE4+orR8Po0+vWSL180H8BzVEnrQFLinlahupRbWsszdI1LflQBl6z4httGARlMk5&#10;GQgOMfWuNv8AxjqN2wVHECekff6msi8unu7mSWRyWdiTVM8d6QHa6N40Mb+VfglezjrXa2d3BfQC&#10;aBw6H0rxbIYYrqfBN9LDrKWu4mKVSCPcDIpgeyeE0VtfhDKCpVsg/StLxFDF/wAJhpaoqqvl4wBj&#10;jdWd4XG3W4m9m/lV/wARyY8VaW+QMIeT/vUnuPoyzrMUVvNGkUYUFGPAqrwbJfdas6zOks0YWWJj&#10;tPCNmqqHNmv0oE9ypoKhNZgPuf5VD4oGbyNSFGbmY8fRKsaV8upwn3/pVTxI+7UYh6TyfyWhjRh6&#10;jCosnYDnisHHFdJqI/0CT6VzmKQxMUbacBVi2h3yAkcUgFksk/suZ3UFitGq28UKL5a44q/fLt02&#10;YeiVV1jov0oYjGtlxLXdaOFNkM9c1xEI+euz0ZsWYHvT6CZt2AAs0/H+dWs4FVLD/jzT6n+dSXEh&#10;jtpX/uqT+lUSeLePvEk+q65NaJKws7diiop4LDqa5EJnnPFPuZDLcSOfvMxJ/Oog+BikWa2j3X2e&#10;+iTzCkbsAx9K9Egtl25adiCPWvKFfbgg85r1HR7i1vtIguGB3FcNz3FTJAiWSNYblNhPuc5rO8Ra&#10;+dKtkWNd88mShY8KB3xWg0aC4QjgHoM1xnjaSOS6t2jZeEKlQeVOaEBnSeItRkOWuGz3OBWrovii&#10;QXKQ37+ZGxwHxgr9fUVySnNTLE/npGB8zEYpsD1Z52zgN8uePpQWBdgzEDb1Jqqh8q1gRsO4UBmA&#10;708FGiwVPPtUgZcqR+a/X7xopHC+Y3B6mimB9DT/AOs/CqV6P9Dk/wB2tKRUZ+pqtdpH9kmyW+6a&#10;16GTMFfu1YiGY1wPWqqH93+VaCNCkQwrfnQi0TIoFswrr9HI/s+L/dFcYLpShVVwPrXY6Kc6dF/u&#10;1LNFsJr3Ojz/AE/rXDgcH6V3urY/syfp92uKaXj/AFaUoklW4Ulj06Cuh8NypFFIHYDIHWsWSfDf&#10;6tD+FbHh+9jBl8544hgYBIFUyolbxNJHK8JRg2AQcVj3d1BZ6bDc3MgjiSPJYn3rY8TXNvN5PlTI&#10;5BOQpzXhvjbxFLqUws43/wBGt2MahT9455P504RuQ1rY63RvGy614oWztoitlGrM0jDlsdPpXK+I&#10;bYzTz6edg2uzZIGSp5yK1/CukHQ9JFxKc3DuJHUD7o9Kq+LBFqTLdWqSJNEOpGN/tUVY32NabUWe&#10;b3GjTR7iCvHatXwt4L1HXrtHETR2qt80rDj8PWrGtxTaXBatOytNOu5o/wC5Xp/w4uWuPCMUjqqk&#10;SOMD61KUrajfJujstMthaWkcCD5I1Cj8Kr3UMjXjsEJBHUUCUDcS556AVCz5kLCRselUiLot28bJ&#10;asrDBz0pqRMOo71GtxGsW3axbP3s1CrhXzljz0p2DmR2ujqfsLem41iaih+yuQM7ZDxTbfxHLbxG&#10;NLdSCc85qnJqksqsuzGTnjtTjpuKUkxfBRI1Fx3y9dYVPmSH3rhbVpLOVnt2eNmJJbNWjf3Z63Mv&#10;/fRoRm9TqbhW2oQuevFbEefs6Z/uV54bu4PW4k/76NIbqc9Z5T/wM0PUFodtg7X+lQSMBaTb3UDY&#10;ep9q40zOesjfi1MMgPBOaLisdh4VmjXTH3SKvz9z7Csi1kiGszs8qKmT8xYYrIU7hgAn6VHFauiC&#10;NQ7geq5NJFM6t72yDHN3CB/10FQHULHzSftkIB7hq5/7LNnAhf8ACM04WN2WCi3nye3lmmTY6tdb&#10;05EVftkRwO2TVO71qwd8rcZ47K3+FZMej6iw/wCPSf8AEYpsuj6hEcNazc+4oG0YenmRdcupxGyq&#10;2CrFcA811uk3zTXyq38St/6CaxLa3nuGby4n3xsQwYgYIOD+tW47bUtwWBQj4O07gMcUXY0c/wDE&#10;bU9OjthE94EvYXGFAJIDdM8V5hZ69eaPqUV1DIqSwtkSSDIH4GrHhOyn1fx99i1dTMY2lknSQZy4&#10;yOfxrovF3hbTrdraCBR5Ydncd8dhWU4faN6c3blOq0j45eHryP7LqqvBOxKeckX7s+h9RXWeFpo5&#10;bXTHjcMrWnBB68V883Wj6YDuSEA/XitKHxPe+GPBsEGmzvFdSyuobOSq+o9KcJp7CnBx3PVtSu4L&#10;K4nnuJAkaQqWY/jWXpfivRtXnMFnextKP4G+Un6A9a8Hk1nVDIZZLqZmJyWZiaptdMLhbmNnScNu&#10;LA9/WrMj688LtGl3M7uFwnGTiuf13xRcDXbqOGWaBxhAqNwQOhz360z4Z3K+J9EguLotvMeH2nGW&#10;BwTXQ+KfC2mroF7dRxEXUMReKQt0YdPwpdRrY4K61vVpQwOoXWCOnmGuG1GOMvIXA3twTjmuzuPD&#10;GsReJLfSZNQtdspwZUhY44z0LVzFxYG4skllcCQH5mUYqZx5ti6c+V2ZyF74ba7cPb7VJ6g9K2/B&#10;/h5dPuJ7id0ecLtUf3R3NWVnght/P3ARRg5J9q5iLxHcnXDqCkLBECCnYqe31NRTcupVVR6HpmKz&#10;tcfZo9wMZLrsx9ah0TxDa60riNTFKnJjY849RWndWTXdlMMHai7zj2razexlFpPU8cuLS5tzuaJl&#10;X1IqofmXIr0LxLFFIjxgfIcHg9K4ptNkJkaE5A6KetZxldamk6dtigMium8EWzT+I4WA+WJS7flj&#10;+tYyWFxJIkeFDscYzXq3hnws3h+3YyMJJpcF3XoPatFrqjJ6aM6/Qf3epxN7H+VL4hY3HiTT41HL&#10;RsoH1NN0z5b1D9f5Ul+4/wCEw0jPP/7QoDoXdS06XSYfOniijjAJLgjgAd68v1v4nTKTb6VEojXj&#10;zX5LfQeld98c9YNjoFpp8f37pyWOeirj+pr53LZNStR2sdnafEjWbW4il2QuEOSCvWum03xnb+Jt&#10;QjSSPyLkyM3lk5ByB0P4V5OGqW0uHtb2G4jJDxuGB+lMD3PUYv8AiXy/SuY2109xKJ9JMqnh4ww/&#10;HmucxmkAxV3HFalpGF5qrFGARkj8aurLDEvzSxr9WApAxNR/5B0/+4ap6v8AdX6U7UdRshYTr9rg&#10;3FDgeYKz9X1awYKFvImOP4WzQCK8R+aus0hv9G/GuNsZVlG+Nty+tdBb6nFp9sDOsrA85SMkD6nt&#10;T6CZ1NnqNnDaBZrhI2UnIJ6c1yfi3xQJlFrp07CMcySJ/F7fSud1LW2vGaOJdsZbOe5rPHzRkg5b&#10;tViRJbQWmC0UUZJ5ziq11YW92cSRLBJ/0z5P49qlVEcb4zsb2pouWEmyRPn9fUUwKMnhh5Ii9pcB&#10;yP4XGD+ddLokZ07R44J4CZcksD2NU47lFjJiKlvQnFLbXUguN1xNvH+w3C+3vUuNwTH63e3CaZNJ&#10;ECjcAY6gZ5rhUzNLlgWz1Jrs9dnkSJfK+eKT7zDsPSubXB6EKKzbsdNOlzLmZWFrggg/hWr4ftDL&#10;rKPIpKxDOO+e1V0UqQQMk8ZarkQaCdLiGYRzIeD2Psanm7m86CcfdOwOfNBaNl9KbNcLs4LAfSqt&#10;tqzX9uG8oLLGcSID1qQqJOD8v1qk0cTTTszLe4k3thhjPHFFK/lq7KVkyDj7tFWI9isdTTUrVLiC&#10;ZmRv9o5FWCSwwSfxNeR+Gtdl06RSJG8ktiRM9RXuOnaJbalZRXcFzM0Uqhgdw/wqVUTR14rBujK8&#10;fhZkkkIQBQJZguMgCr2p6OunsNryEMP4mzWjaeErSS3jkczMWUE5laq57K5yKDehgebL/eAp4vLp&#10;FAFy6j0DGukPhWwUf6kn6sTV/SdB02IPus4WbPVlz/Okp3G4NLc4h7qZvv3JI92qIzL3nH516dPp&#10;libaRVtIBkHpGKyItGth0hQf8BFDnYIwv1OH8xT/AMtc0+NGlOI1lc/7KE13y6VCOka/lVyztUgk&#10;JVQMjFJTuxuml1PMby3nWMq8c6FlIBZCB0rwO9Z4mZSx3pIwJ9819aeLBjTi/wDcDH9K+RLyQ3E8&#10;755aQsfxNbw2ZC3sdj4Y8WTT28ljeyb5APkcnkj0NbuqnydJuXzghMivMtI+TUoiTjJxmut8balK&#10;sdnbwSbVZAz4POR0pW1KOa1bUZtZ1BZWBycKi+gr3HwjpD6P4asrByDMRucjpuY5/rXhujTx2+sW&#10;1xOm9UfcVz1r3mx1NbPR49S1R0jRR5jbTkBc/KAe/GBSm+g7aGvf239l4N7cW8KM4jVmbG5j0FWl&#10;0S4bnzE/AE14V478ZXnizWDclZYbGM/6PEe3ufc17h8Nby+v/B1jLqPmeftKhpBgsoPB9+KwuyuR&#10;dSwugXB6yr+C08eHpf4p/wAlrqhGMUpjGOlF5D5Y9jmbXw4skpEs77R2AAqU+G4QTiSc/MMcjp+V&#10;b8UeJWq1gY61UX3Jkl0OLsNKt31p7WTe8QZsZbnjpWqdDsFmlXySVHTLGvN/FXxWtPDPjOW3tLZb&#10;xonIlbfgDIGQPevV9B1e08R6Ha6pbL+5uE3AMOR2IP41SepFtDJuNMsookKxYyT3JrZtNMsDbQt9&#10;liJK5yVq79niOP3anFZHijxBbeF9Ea+nO1VO1QF3ZP0FNiF+xWm5/wDRouh/gFNtYLcKcQpnH90V&#10;5l4j+NlhZ2MaaTa+desB5hlBCJ68d6d4R+NGlalOtnrNsLB3+UTo2Y8+4PI+tF0OzPXbJI8thFHT&#10;tUUjbL1sKOgqzarGEEkUgdHAKsDwRQ9qrzeZu+YjFCEVXk2uTiq0l0IrssVOBxwfar72bMSciq02&#10;mSyuzB1GSKasI0YH82FHHAIzg1U1DIde/HvVq3QxQJGTkqMVXvopJWXYpOPakhs5a0XZc3WOpeT/&#10;ANDq7aj9+nTv/Kq1vE5vp0VSW3ScD/eFaEFnNDIrPGQAetMR4xZNDpvxk1gYCht20D1JBP8AOtbx&#10;glu0aXLvtcgx4B696ytRfT7bx3qN/wCb5kk0xCODwvGPx6VD4jeS/wBESaPJNtJv47jvUz1jYum+&#10;WSZxk/2TcE3vySStYms3HmSpGjEog4+tat4TKd6LxjPSqsuhST2aXPmKpY/KMdR61lTNq2mxgq56&#10;cnNSw2bTROT8pHQ5qcaZKj5Z14/u1fMTGMLHHwOp9TVylYzjG5p+D/Eep+HpytleSQ8chW+U/UV6&#10;wnxjg1jR7vTbywZZ5IjGJo3G0kjAJB6V4RKzWtwR/FjFTafKyuRnk81rZNGT0dj6T1N1bx9psqsC&#10;rOpBB4IKivM9XST7B5aMQN5Dc9Rk10HhPV21WfQXlP7yCRIGJ77cAH8sVz3iWJjbTt5vlw27SyMR&#10;1YgkKBUDW55dfX9zM8kPmEQhzhRUFrMIXO8b43GHX1H+NRgcbj1Neg/Dnwot5ONav41a2iJEMbDP&#10;mP649B/OqjHmdhSlZXY7wr4Ku/Og1Sa7NtbkhogF+eRTz+ANejWksLGWEKApGMVW1O7VXXfIIxnC&#10;gnFURexxXCTrIvB/eKD29a64RjE5ZzcjkPEEAsNTmieM/O2d+e3asS4EZKorKyn2wRXeeIksdagj&#10;kt3bz8cNt4x6GuZj8OyRwyysQ0ygkJjhvoa5Z0JJ6LQ7qdeDj7zsyfw5oqLdRXskfmxoc4H6H3r0&#10;ePbnI5VhnHrWTodsIdNhEifvNgzkdMirkgkto2MfK4OM9q6acFFWOGrNzlct2/7u4Uj8KwPFupXG&#10;n6lZXdqQJo1JXIz3rWt5j5SM5+Yda5zxXcxrc2ssqkovUgZA571zzjyysdNN8yOd8Yapr3iu2t7j&#10;UsOkO7yyEC4zjPT8K4P7HL5m0CuovdYn1ORY7WNhEg2mbb14HH0+WqcU453xguO/TNZPTY3ilLcy&#10;zprrC0h7CmQ2xdlUfeP6Vr/amkJBiRVHXk8Uxo1hfzWXGR0HpU8zL9nHodLp+pMljFBc3OI/9Wp6&#10;ZA6AjNKF0y8l+YOf+ucrc+/WubZPtthhsqvmkjGeuMenb+tQx6TIoXy7koxPPr1x0HNaJGb302O3&#10;i0nSkkRJIVJf7u6Qtu/WtJNE0xPu2MH4oDXH6RDPZoJZbhpFIzGpBwp6k47nmuz065+0WoJOWU4P&#10;Of1pNEEV9YWcenXBjtYVIjOCIwO1V9UijUJtRVGOwxWhqP8AyDbj/rm38qpaoOE+lIDJiGG/Cqms&#10;6g+xLJGwgG5/c1pQQmSQKPQVW13Q5njFzbKXYDDqOv1poGc08vG1epq3a5ZFG/A/ugVWTS79oXnF&#10;u4jUEmRhgD86tRAxQlmPzHgCqRJHM/kSFlGUPUVTmvPM4MO70zxV9gCuGqNY0/uimBm+bN2GBVm3&#10;uZhtTyUYD6irLqgP3RkUzcCuRxg0ASx7ryOWCVhuIIXHQEdKxFT52BydvBzWvESZsrwoPJ9TVTUI&#10;/LvpQBjJ3D8eaznsdOHetiqXYMAOfrVqDBPzHcaosfmBb1q0pORtPPtWTO2L1Ok0eKNIJNijLHJP&#10;qKvMDWFpV06ajHE75V1IwB3roH9qza1OWskpGVImZXO4/eNFW2gyxPqaK150YcpzVpN5cm0/dbg1&#10;698MviBBparomqfLAX/dXBPC57H2rxbzAjZNWvteSNufepTsz3nyVIckj6s8TbHt4pEIKkAgjvW5&#10;p/NhAf8AYH8q8I8O/Ei51IW2kXyxeWqCOOQcEY6Z9a9y0ySH+y7fdMoOwdSK1VnHQ8WrSlSk0y1J&#10;jFLadWqNp7IfeuE/76p1rPaSOwt5A5HXBzRaxne5akPyH6VUXbVmRwsbEg4AyaxR4i04g7Fc4OPu&#10;0WuJOxqjpTlPzVkp4it5PuQv+OKtWupC6nEYj25Gc5o5R8xm+McjQLhlXcwjfA9flNfLnhqbSLbV&#10;J5NWRZI2RlRGGQCe9fSnxKvxp3g27lDASN8ignqSMV8m3GRMSuOua3gvdIS1bO8trHwLFcCZtQmz&#10;uyI8nA/IVx+rNv1a6WCRp4hKfKfk5XtWjpiWy26TqQWI+YH1q+2pRQjnYv1rndZqVkjdUbq9zM0z&#10;RZtRgubt5UgeMjarrjf9K6ezvri00r7DPdGWE/8ALM8ge3NXdL8OahqsUdxK4ht3AK9yR9K6mHw5&#10;p1hanEIlYkAtJyetKXPPXYHKENNzkdE0yTxFrltaRqnllwZCV6KOevavftLhigsYVMu0Rrsw5GeO&#10;K5Kz05NMuZIYbdY23kpiPkrkc1qeS0ked4I3YBPXrUQ3Od1+d7HUm6tkHM6AD3FRtqdiOtyn4GsZ&#10;dOX7OSz8H0GcVz9/qFraRSMrElWC8rjrV88OdQvqzZRm4udtEauu+N7TS5vJtk82TIBY5xz6CvNP&#10;F/xU1mTRitqy2pm4Ro8h/f8ACsTV9UaeZysaMA4f95MACOT0zXEakWmQzqpEcb4UEfzreSSRim2z&#10;IeRmlZ3JeRjks3JJrrPBXjnWfCusWzQXMrWZkAltmYlGUnnjsfeuTm/dHAxz3pttIVuYyD/EO9Z7&#10;lLRn3XG4kjVx0YA1xHxaJHgliNv/AB8RZBGcjdVHwv47t38KQXFwbuSSCPEzJGXVcerfSvP/AImf&#10;F2y13Sv7I0qB2QuHeeTjp2ApoT8jyjXVddWudw4EhxgcVVigncApGcetdIt5aXljHI6BpGHzk85P&#10;c1X328fzoCVTkpnis+boa+zW9z6k+HUM1v4B0iK4lEsqw8sGz3OBmtjXr99K0K7vo1DPCm4A96+d&#10;/hd8SrjRp7zTZkmmgnbzII0+bY3cDJ4GP5V3mreP9T1OzltI9FcRSLtYu4/lzVoze5p/Df4hX3jL&#10;WtRtLqCKOO2iDqUGCSTjmvSeMdf1r568K3Gu+G9Tu76Cxt2a5QKV+6BznsK6T/hLfF8k5kWOzjQr&#10;jy9rEfXrQlYVz18sg/jA/GmmaNQcyqK8fk1rxXMObq2jz/diz/MmqxfxNNnfrLKD2SNR/SqsK56R&#10;a3UNvrszvIArGQg+uSKxvH/jWDTdGktLKcfbJxtyD91e9cLPYapBFJO+sXjMqlvllIzj6VxlzDd6&#10;yks0k5eU85Y5JobS1YJN6IwtQvXaYsrnOc9a7bwdcC60No5H3sHIYNzwawvD15pWkPdwa7YSSvIu&#10;0OAGwD6Vf0n7Np1xM9m0gt5cMgkGDj3FD2uNIr694fe2jnuLaTbbjkoe3Ncx/a0kGyA4aIDGB2rv&#10;tRvorjT54+HLjhR35rhr3ThHE80rtGzN8qD0oi0DuLbeSupQyz5aDcNwGeRXYx6DpUF5KWuSQkfn&#10;fZ2ONi+p9RXn9teGOeJG6A5Br0C6uG1RLiBbQoWt9ouRj94MZx+dPlTEpNbHnOrS/atRmlyhBbjZ&#10;0wPSksly24Nz3GOlUSGQkdCOorUslPkBwRzV9BHd+B7iRbkKjfdlVgfQ/wCRTfF96YvDs6E/PLIy&#10;n6lzn+tV/BVxHHqPkswDuykD1x1/nVXxvIv9mFBjIu3/APQmrNjjucCPndVHGTivd/PtdA8OI7nb&#10;b2sIAA7n/EmvB422yKT2INehfEjUJPsmn2cZIieMSHHf0rSEuVNmc48zSOU17xHea5ftNI5VM/JG&#10;p4UVmG5usg+a+QMfePSlhiJ5xx61e+zmSMKowO5rNyfU1USTR/FGoaTKAXMtvn5o35/L0r1TTZrP&#10;U9KS9hkysg+7jofQ15Emlyzv5cWSTXovw+0bXbV5LaWykazkG9ZD0Vv/AK9a0qtnZmNWndXR2kcS&#10;QwRFM7CoHJqBpBNHIA7LsO3OMVoy6VfR2wDRE7f7pzWXdTeTaTGTI2qSc9q6bp6o57NbhCQ4KZ4r&#10;mPFM21VjLYYqRj1qaHxFAlxFBGrkyHG7sKz/ABZJKfKkAyMHd6Vz1ZRb0Z1Uoyjujn2aOMLHwpU8&#10;DB6dcc+xPaqyyJAcuquG4GO1StIp3EYGMnCtx92oY1Xe8eflGQMjGf8AOBWLVzoTsOWbkk5Ydeaq&#10;XTvN04Ud6nNuyKRlunqDUCKJbiSHj92MEH16fzqFBlyqaF63kUacY2UrlSqg9j+fqKsmaXyIyRtw&#10;p6KcZGD3IH8JqsscbrgN1bOVHTOCOn1qRpENuW+UMCfmPJ7n09/WtDMltJY9wZuV5UAnA555x24P&#10;/wBeuh0K6Jk8t2UblGADXN22NwfJLMckA4H8Wea2NJLvqUKRpkebljj73qQfp9aQmdFqP/INuf8A&#10;rm38qr6hGzBMA9K1tSRRpl1x/wAsm/lUd4ownHapITMqyTYTnrgVq2ybw3pVCPHmvWhZuqq5ZgB7&#10;mjoBz+uyiPS4rYH78jFvoD/jXNbdx3MPlHStDUpnnvGDfdQlRz2zWfLJg7AatARu2TnFRhqcxxUI&#10;bnFMRLN97PqKrA4YirL8xA1SZvnoAmhklHO1Cme9GrDeIblejLtOPUVBFKkn3WAPcGrM8itp3lnG&#10;d3GKmS0NKTamjHc7hUkc+IsfxUFcZ9KQRFSckc81id2qZftLr7M6SKoLjua37XVIbohc7XPaufg0&#10;ySeyNxA+9wSCnf8ACpLOOW2mE00LqFPGV71LSJm4yWu50+aKoDVo8dF/Kip1MOU5eWGTziuxsqSC&#10;MdDTQx6KPrXsHhV7bSPF1wt60aWOoIWzJgKrjqOfxo8ReD/BN3NLc2OsxWchU4iiYMhb17kfhWzg&#10;0jp+spNX6nlNtKYHVlOGBzmvefBusRazosTK2JYAEkBbp714elj5Vw6TNkKSAwHDe9df4V1r+xL9&#10;SFzA3DoDjIqYys9S8RUjUp8qPYim4E7h+db/AIaiCLI2ep6156fG6f8ALDRrhx6sVAP5k0z/AITb&#10;UsYg0aNf96b/AAWtnZnmK6PYpnj8pgzqMg9TXBm2YOwRDjJ6VyreK/Ekv+rs7SP6l2/wqJtV8Vz/&#10;APLe3j/3YP8AE0ITOzhieMfdYfUVoWF0La6SSX7oznBFecsfEkv39WZf9yNF/pUTadqk2fN1i8P0&#10;mI/lTBGj8aNVju9KsLeAtzKzEfhXgVwB5zAdK9U8QaEYrATPPLMQ3zGSQsQPxNedXVkjuzxY69K1&#10;i1y2DmWxlbnjB2OVz6Gmo/79GkJYBgTn61PJEy8FSKg2FzhRznpSaW5Vz6H0N1fRbUr93yxinape&#10;GztdyW7zkkfIhGf1qp4YYt4bsAVKsIgGB6gitchT1AP1qHqRLVlM+N9QkuVlTRWO1No8yf8AwFNb&#10;xPrr23lR6bbLltxbe2ev0q78g6AUbhUciJ5Uc8934jln80JDGx6/M5H9Kg8Sam6WDWczK8xj25Ck&#10;5b2FdTnGTjPtXnfiy6Ml40EKjcybTtbBJHc/SqpUacG5pams61SS5G9Dl7l5CkrEKF4+8gUZ5K+/&#10;PP6VRX5gR8oLDLcbjtz1x2x6VpvaXyxSSrb4tskgqnHOP04rPMkxYAqGweO9UyUQNpjX0yAqyqTt&#10;QovX3xVy98KSaPbR3hk8xgQCuPuk9K3tEeO32yvCz3mTjcMhfoO9Lq+q/JtulKxk5ww2gmsXNLzN&#10;PZt+Rh3lxO+jS+VNKFGC+W/Pj865Fm3Guq1fxFZ3WktbRwg3LfKZFUD5e2TXJjkjPTvV810Q1Z2J&#10;ormSFSqkYPY0Is87YVWYsccdzUkaRFlEas7kgDI4rsPDumSz67aYjk8uE7nBiJUsOn60rILs57Qp&#10;5dF8T2kkytG0UwWRWGCAeDXvqkOARgg9xXles+A9Tv8AxBPPa2lx5Mp8wkRH7x616Bpmk+IrXTbS&#10;3EBdo1CO0hCnjvRdXE07XNfbQMZqtPoniK4wsfkRLnkmXn9KIfCGsFlM+owgfxBSxp3XcVn2LO4Z&#10;qRTV6Hw3IFxJdrx02p/9en2nhmC0eV5L2eXzGzgnhR6DOaXOilBmbKAykHBB4Irmrjw9HGzPayFC&#10;TnaelehvaabEuTBu/wB6Qmsu5W3aUlYY9uOFUYqZOLVmVBSi7o8skvbT7c8FwkTTwkgbh3HpWXca&#10;i8MzvDCZGYcJv+XP0rvdU8G6JqEzzyW08crnLNHJ1P41nJ4VazG2wu5VGMATxLJ+vBrNRinozZzb&#10;jZo4e11OYzM12qRp2RP61Nr0kckUSqRgru966G88NasivOf7PeNQWYtCUOPwNcjqJM9wIISrFiFU&#10;LxmtYpXujKTduVmRJbsIUlXu5ArtNDvHTTLZbSSFXBDOsp/hz82Kybbw0+0m+uSB2SM5x+NPu47T&#10;T2SO1YH5PmJ+99M1UZpuyJcGldlTUNNthrFxIjh7cuWTb79qhkCIuEAVR2FI8jtG7oJGUckgcVlv&#10;dGSVfM3eXkZAPUVRB0ml211aXUOpSLKkcTAphc+Z36emKqeJL/7asr+SyAzBgCD3BJ/U1qPrqIqz&#10;RIWiAyoWUjb7Y6Ug8Volq7XcPmrMhESvyOuCefbNY80r3sbuEUtGcMuS4wMn0r0L4gWDGy0q6AOw&#10;xBWz2JAOKxD4pt4W/wBF06GM+oQA12lz4jstb0mKzvLCX94i4KkHB9q0hJNNS0MZwd046nHeH9PT&#10;Ui9qImeTAI29fwr0/RPhvE1uv9qDYB0RD8xHue1b3hDwdYeG7YTJHvvJVG+RjnaPQeldScBfahU9&#10;blOppZGRp/hfQ9M/49dOgVv77Lub8zWthVwOAB0ApmSTxwKcPYVdjMD7VSvdMtL6J47iEMrjDds1&#10;dNNbigVji7v4b6ZIQ9tPcW7A5XBDAfnXP+LvDeoW9qJIl8+JF+cqBke5B7V6nu4qORVcEEVPKi+d&#10;9T5zkG2AkEZyVHzL347H3FVbrlw6lQvX7y56f/Xr1Txl4bWK3fUbFNpRg8sa5wRkEsAD14rzG7AM&#10;JWQEYx0B57evtQUtULHKJoWy2GKnueevvWfF8mszepXePww3v6VJayeXKUzlTxjJ/oRUJI/teMYB&#10;DxgcjPJXHcmgZfm8+HMMcSyMx7sc8HHAP09KqTNO4WN8Ku4cKxbd/TH0q5CdzsQAVcHKj8D0HHeq&#10;0rBpwUYlAeT6n3pAzStkDbCQ+B3CN/tcfpWpp0gtr2OaBVchvlQMMkHkDJz6+tZthIiyqFCiQZ5P&#10;J9R0BPr+datrPNbzqpZyucHKnsTjq3pimDN7ULnV5dOuf9AghTy2yXn3HGPQD+tMuYdXkVPMvbeM&#10;ekUJP6k1qaid2l3J9Ym/lUd191Kggy7OKSHeskzStnO5gB/KprmO0+yS3FzCsvlLlQ3rQv8ArHql&#10;rcjpo8pUZG9d3sKa2A5yWThnOB3xVSL5yzmmTTCQCNTyetSM6LGEBHvViG9Sagzh8U4t1x1qP+Kg&#10;CypzHiqT5E2Ktxnse9V5hiWgCmsoYnAUH6VKW/dhSe+aqx/f6VKzZNZzfQ6KEfe5hWI71GTzmnHF&#10;ISKzOt6l3SfNOoxqjkL1Iz1FdS2MVy+mnbeREdc4rpWNRLc56i1IjFGT9xfyop+aKRkdFdQpe20a&#10;Tgfu3DBv5/pXT21nb6cgeFEO4d1Fcy/KlEXeo+/9K347uC4txDA6sI1AJDgkH0IrpraBT1VuxX8Q&#10;X1jdWos7qyjcuCQw+UqfUV5xNE9lcbTyhPytXTeJllBjkB6cAg4NctcfaJoGTcc+rHOK5Vc32Ox8&#10;N63AjrBdyKFxhS3rXbbU7AV4jYWYFzHLcSmTawO3oK9jsJ2u7CO4VfkIxwa3ptWszGrFv3i1xVPU&#10;9Rj0zT5bmTkIOB6n0qZpMCvP/HGvShzpiRjaQGd2H8q0k7IxWrM688W6m955qXDJkcKvQVXm8T6q&#10;SuLuUblyccc1zkszhhljyKa0khVNpYk5HFZWZrodC2r395GIpbuUhgQdzHBqJYghGOQO9ZAS5jWN&#10;2jkX5v4gelabboupyT61tT2sY1NyaWzhnTkfNXP2hKXqbsna/wDWvVfDHhbRtbtkkGrN54ALwhQC&#10;prdg+EnhyKQyPLdSMTnmQAfoKTqJFKDHeHpWbSY1b+HgH1FahatO00OwsYRFErbB2JzVj7Nbr92J&#10;fxFT7RByMwiaVAzchSfwrc2xL0VR+FRPg0vaD5DLKvtPykcV5XqGia6l07mP92XJG9xnGa9geINn&#10;NV2tgx+7mn7VpWQ/Zq9zzWWXUzpsUAszlW5VDkEVHFZ3cvzHTXD9jtFekvp0UrKXRioPKgkZH4Vq&#10;W+nadFCoRPlHTdkn9aya5tbminy6JHmej6LqLalFPPE8cSuCQSMke1dVq3hXRtcijjvIbmQIcjDB&#10;K6hfskRwsDN9FH9ailAlk3JG8Y98f0NO3KtGJvmeqOOj+HPhiNQE03n+9JKX/Sr8PgnRYFzBp9mG&#10;9XhDV0iwj1zUojA6ClzMOVFG00qytEXFpbhh3SILV5So+6ij6CnYA64pBJHuwGUn0HNS5FctyRWO&#10;RltozycdKkuT9iG64kVEIyHZsAj61nX07RqNqA4PzAnFZcPiCR7G4s9Vitnt8kRpJIOB/SrSvuQ3&#10;bY6RJVdQysGU8gg9afk1xOi+LLPTZJVvpYJIhxFHE5YitG4+I2nlSLbR7lz2bBQfmRik0O50pZgK&#10;gcua41vHF/d7vsOkSuR0G12/UDFQSax4vMRmudOhsLcnAeRs8npmhRb2Qc6OxxIr71IyPUZoY+Z/&#10;rIID7hdp/SuRNr4onRXm1i1hibo0Kgj880q+FtSvELyavf3CDqYsKP0qlFt2JcrK5tXSCORnWW3W&#10;P+6z4x+Nc/rV5H5IWGa2jmx8rmfGPp2/OnDwzb27gSW9xM5OB50jPk/SrE2hJNFtuLCNo1H3XUfy&#10;qlT7i9p2PPtT169toXtJryOZTwx80HI+gNc9Y6hYWd4bm6YucELGvbPfNdzqfgzR2kdhYNCcZPkn&#10;p+HNczqPg62Yhre8dWVcBGiz+vFUoWQnUu7mbfeITIrfZ/lD9M/wiqNlLFNI3nLvnc4Uk8dO9TXH&#10;hu8gt/MDxyYP3FJz/KsiW2lEu2SNk7ZIOKtRSWgpSctztIJLe1sYYZJIMMcSZmC7B+HWuV1OK1jv&#10;pFs5llhzlWGfy5qhDGWc57VIRtNUiR0SvIyxr1YgAZ7mtjxNbraSW9oowIV2fXGMn881jeZ5RR1A&#10;yrBga6XxtktYSlApliMhAPTODioY0cmw5GK9K8MWwnvNKRh1ePINea7T616d4SmB1TSm7F0rKpuj&#10;Wlsz28cCo2ySMk4xnFS44qF2wq+xwa6Uc4/qPalFMDc0/PYdf5UDFz2phBpwFIfegBlIaU0lICC4&#10;iWWNkdQVIwQa8S8Q6I+la09sF/dHDI3qvTryfQV7i44NcJ8Q9O8/TYrtR80LbW/3W49R3xUsqD1P&#10;I3iXzMFsEMQG6+lVLmLyr63ORjfjPTv/APXrReIJKEOcnBAAz3HoKztTXYYjyMMeox2B9KRZoblQ&#10;BQQx9hnsR6+1RKoYEDr607rJ8uTz1P4801c52qMnipGXLfDFQzYPAALY5yPf6VoK2zcqpGAegyDz&#10;gH09qo2+IJdp8wqeQy565HP6VpXLbSQBMcAckn0P+1VAjs7rP9jSg9fIP/oNNuTlEPtUHnCXQXb/&#10;AKYMOvtT7hv3Uf0qGZlRG/eP9ah1RlGhX5boI809SRI9UNfl2eHL/wB1A/WhbD6nn4v492SjD6Gp&#10;BdQv0mI/3hWTmkzVXFY2VnjB+WVT+NPLucEfoawqekjx/dcj8aLgbYujtx3qaF2uZ0iA++cVjRXc&#10;zSKgCsScAY611+n6d9lJkk2mQjjHalKaSGlcx9dsxZPFJb5VWGCO2RWQLl/4gDXSeJBmzjPo9cqa&#10;UNY6lczi9C0JgRypH40vnJ2yPwqCNdw/rXSaf4f0qYK1zrkA9Ujxn8z/AIU2oopVplTRyr3incCQ&#10;CcCukVXc4RWJ9hWnpejaDaENAySv/eaTd/8AWrejFuBhNgHtgVhLV6FNt6s5P7Ddf88X/Kiux2p6&#10;iipEUbS4uFwHtoD2wpp9haCwuryQbR57B9oH3faqK31rbABnLHsqVpQXwu7c5iZAOhJya7K8bxuZ&#10;0pNSMrxDLuaNfasFkUgitLWpA11jJwKzMr71wo6TLDmJid38W0DFdFpPjOfRYDbC3FwX+b5mI2/h&#10;VA2qSxkKAGZuD6VPFo8EZ3tknvV8yQntY7a01VdRt0nUxqWUFkQ/dPpWF4ku7DOy502W5cDhlXAH&#10;41StDCrGS23IA3TNaNxqUawAyh2Yjoqk1tGaloYSjbU4C4aCS7xHp7ouOjOflHvSCU+YBar5YHTb&#10;1/OtG7njur6UsrorKOCMZqza2TY3JEkaf3nOK0jEhsqwWt1Ku52bA5LMSTUd3LHOEeJ9wAwTjHNb&#10;hlgQKjXkR55VSBWJcWwgtk29xuOPU1e2hL7jbK4nt7uKa3cpKpyCpwTXa6D8VpLe4NprSbkDYEyj&#10;kfUV57HM0cwPTB4I7VS1Ft99K/8AeO7is5RTKUmj6cstUtdRt1ntZ0ljYZBU5qcsSOteIfDq7mil&#10;uNkjrtA4/hNeoR66yx4ljyfbvWMoNbGqmnubZJJ6il6e9YR19v4IB+dQvrt4fuRqPwpckh80Tovl&#10;J5FGF7CuWbVNQf8Aix9Ko39xqL2U5juGWTYSpB6HFNU5MTqRO2aRFHzMo+pqvJqVrCPnuIl+rV4f&#10;Fq+o3luxmvpyyuQcNiqF+ksvh6K6M0jOlw6NlieD0qvZO9ri9oj3KXxRo8R2vfQ7vQNVWfxppcAP&#10;zO+P7orwK3ZVdT3z1rvo2h+zK4UH5c5/Cn7K24vaHR3XxV06FmSO2kdgcVo6R42ttZAUXcFm5/hm&#10;B/n0rzObS7R7aOYx/vGYEnPXmn6lBHa26tDgMT6UvZoHNnf6j4juhI8O9mQE/Mi8Nj3FQ23ibUGk&#10;higdlB6lkzivO7LxHcWLEZYD1U5H5V2Oi+NYoZUM0cLsMHO3af8ACuP6l7/PzM7ljl7Pk5EdrY2k&#10;2qQudSE8yF8KzZVc1oz+ENLs7Rp44ondRkrHH5hFRWHjDTNR2Jf3bpFjhWGF/MVvr/ZrIrWkaTIw&#10;6xyZ/rXfZNWPOu07nJ6WlxPqKpb6KBbfxyTpsA+ldfDpOm27F47JN5/ib5j+tPUJEuYy8Y9CxqlP&#10;fi4cLbavHG65DICjE/gaUIWWruOc77KxJqk15bW6tYQqSOPLXjNYzNruoRslzHbRwnqtwxcH8Kt3&#10;usXFpCrgiU9CCg/PishvE93MAEtRJk8jy6bSbMHiIw0Zg6vfJoiC0S3jDBst5K4ViepA7V1Pw81i&#10;SR7uNsNCyhyAOQegrntfsf7RZLmS1kjZk+4mQOvQ1a8KWOnWTypcXyxkqHfbIAY/QEnisVTlz8x6&#10;X1yjOj7KK1Oy1JoLmfLK2Qeg4xVKWNMZ3Kg7ljms++1PwrZO2NWcSkZZ0mzz6YXNche+LNHXcPOu&#10;bjnjOf64rb327nFoi34omltJzIlrdXUTJ/yxx5efzzXFS+IbRmw8ckWPvDbirV34xt2JENpIw6YZ&#10;sCsa58U7hg2lrEPVhk1snG2qJadzXgMN9bCWBmKnoSMGmG1mRjhVIPqM1zL+KJB8qT7R6Rpiqk+v&#10;Tk/M0x74ZsVmN6nUy2tsVbz4LY+5ABrHu9O0h84Lxt/0zbI/WsqTVJpEzhV/Wo7G4lutQijd8qTg&#10;gCnqCRctdJgk1a0t/MMkMsoRsjBxXbapbWjGANEkhRfLG8ZwBxUGl6ZDPqEBUBfJIk6fex/+ul1M&#10;bL6ZfRqEMZceGtKuLcP9mCMRnMZxTdCt1s9bsbcbtqToBnrjIq7b3O6xGTgjiqH2kQ6vBc787WBJ&#10;z0waiotLmlJ627ntFzrem2jmOS4DSjqickVny+IbGRgiM6sSMBlxmuNsbb99JIz5DMWBBzkHmpdQ&#10;hAhJVuR0pe1dy1RjY72CYSAMDxiriDCj1PWuT8Ial9usCj/6yHhs9/eutQ4XJre90c70dhWwB71G&#10;c4qQDuetMamBGaQcn2owTSE5+VelAgPNZes2Iv8ATLi2P/LRCB9e1ao4FRuAwxUtDPnXUraRX3MP&#10;mRirbs9c+/0NY1+CYxkYwf6f/Wr0jx1pH2XWHcnEM43qmON3f6//AK68+v1UW7uOBnHPP+e5rM1e&#10;pNHl1Xy+SQCOw/zzVm3UYKjr13etVrRkeBfL4HQjPf8Az/nitNY/JAcLgnnnsff/AD60AiJkQToX&#10;IAIxyAT+v+fyq8rRqkbSLvQr2QcHGf7v1qlOo8yORmYM+7ABwc96sLFAQfMEpUZwCT/eNAzqkmiT&#10;QpMuqKUcDcQOxFQXWs2nkxrE7TOAOIlLVz9vpUkwEwj2xqmf3hz254/OukkKpawhQFG0dB7VJD3K&#10;dndSytI5Ro/m4VxyayPFV1KNK8stgSOBgdwBmtH7TG0snlurYODg9K5bxRM7vCmfk2kge+afQDmz&#10;SohkYKO9NrW0YQxpPPKcYGFz0pN2EZbjDkYxTanusG4chgwJyCKhxTGavh6AT6tGWGQgLV2pWub8&#10;JQrm4nP3hhAP1rpWOOawqblxMfxAgOm57hxXIkV0/iO4xbpAOrHcfpXMZNbU/hIluLHnk44FOPNb&#10;A00xaEzsP3jEP07elY/4VcWncTVjR0b/AI+8jjCmug86RTxIw+hrB0cZuWI7LWyTz0rCr8RcNif7&#10;VP8A89n/AO+qKr80VmWdXZ2ccK5OC/ck5NajwRiAzqoD4wSKxE1UDlYW/FhUqa358csJiZflJzuB&#10;FdVSpBxaTIjCSlexkX8vmXBNVQaWZt8hNNFcaR0FmI/KG3AbXByTWqZIyOWHNYUhxaSe2DUiThUD&#10;McD1NFmxNl+2RbYOC27LE9KlluI3gZdzj2VCf5VW05H1a9W0s8SSt2HQD1Jrt4vh+TZlZNSKSsOd&#10;iZA/WtaMZXuZVGrHlGo6nHazhUgbeBwW7msiXUr69fG5z7DtXqU/wmR5fMfWJnPbdCP8aZL8NbNo&#10;ZIodVc3CjPKgL+VbzlyK7MUeXJARJuuZOBztB5rUjvTPDMXfuAvNXdW8FatpjktH5sXaSMZFY4i8&#10;iEqSxJPPaiE03oNrQXOTlzhfaqM7b7g/3RwKuwAPJtzk44FUnik8sXGQVLEHHY1TEjt/AQRftWc5&#10;yO/Fd9Gy46V5/wCDSqxTlTkkg/SusW4Ze9NgbHmAdKjaSqAucjJb9ailvoI+XmQD3akBpbx6ikeR&#10;dhGa56bxFp0J+a5Un25rNufGFkoIjLP+FFwsYkMYjku4wfuzGs7zXNtdwnJQyZA9CK0bW4W7a6mU&#10;YDyBsfnWWHBu7iI9mOKHuC2RnK5U8Gui0y9kaCZGfcdmABXNsPmI9DVmKRoFSSM4kBPIolsCOtmu&#10;UjgjjbKnjGR1x1qjql6k6qI23betZ1v513H5tyDtAwhHHFOazuRFuiSRoj3Y5rH2nRiU9bMrAjks&#10;QPrV42b3O14/usmMj1q/Y21pYt5lwiXJZf8AVuuQPrUk0ynOyNY0POyMYAqkWyrBFdWuPLvWAAwV&#10;PIrWs/EF5ZMuHZWH8cTEH8qp2qrc7gTtI7Gpmt4IvvyfkKdguddpvxJvoXVJZ4p1/uyjDfnW3P8A&#10;EG0IzJo6yN/tEY/lXnFvbW0l3Hm3LAnG5xXWx20Cxp+6ThR/DTWjJaTINU8dRyDC6ZY23oxY5/TF&#10;YT+MJ2H7q8iiGcfus0lxpVlcSyPLao7Fjyawbnw5KbmQRKUhLZUAcYpt9hKEU7suXOvySn/SL66m&#10;X0aQ4/nVRdQnnfy7e2U54G5jU0HhWWQjcGx+Vbdr4dEBDF9hHoeaS5i3ydEZwstRNuWNpIW7lNu3&#10;+dcvqj3tvORJI6Kei56flXqFvObIjEwkx2cZ/WuL8cpLdXcd8FxFtCMAeAalc19QsraGFoqz3Go7&#10;Y5wsmwkFz19uasa3ZzwxLLKVZSdpYDv6VHotg8t3BJuKo0gDY67c84966nx5Y21hplmsMjtubAVh&#10;7dcinfWwWujhrK3e7vYLeMZeWQIB9Tiur8c+HH0Z7S4CkRyrsP8AvL/9b+Vc5ot4+n6vbXUcZeSN&#10;sqAM89q7/wARanf6voktpdJaucB1PRlI54ovZha6POWbEeBWj4ejV77eeqjj61lfw1f0KTy9TjXs&#10;3FWyUej6LLHFqBMrqilCMscc8VFru0akzKch0BBFZN+P3B/CqVqzBiCSeOMmktx20Ne0l/cuh7HN&#10;Q3aB9rHtx+FNgYAtmpX2nKnGSOM05K6aFF2aZr6BceXb+SCSEPGa2bo74Sc9q5nSGaOVt/BOOK6J&#10;m3QnntXEtHY9Dcu+DNscyheDKrhvfDV36HNedeB0vDqF6zoDbIdsTHqCeoFeiR/KK9COqTPOkmpN&#10;MlPFROaczVE3PSmIYxJ4zQMKKUYzS7QW60CY3NNJ4PNSNjcQOwquTnIzQMwPFGirrWnmAvtkBzE/&#10;ofQ+xrxe60J55zHNOY1jJBGMnPeveLyRRExOcrzkDkV4/qMWoSXj3kELLIrktGw4kGeoNYVHY3pa&#10;rUxINDubW4KwyrKrc4PBHv71r2mi3BwZZ1QHkgHJFK1jeXMAEcTRkfPHnqh9PpWgtleMilmCvgZx&#10;0rJ1LLc1dNdCndeHbRla5muG3Rp8uGCqoA/z1rBW7iZ4/IgkkKsCxRM966C+029uLOWAEMHGMZqp&#10;ZQPZqLd4WjfoGK8GpUr9RqPRHRWzxXth5kIZRIpA3jBHbkVh6vpXiC92pBLAsKKAFSQgn65FMGpS&#10;Wl00EqPGQfvoMqa3LS9LqAWJJ6N2I9aHKSF7JHJ2eh63pcrs9k0wkX5mjYMQfzrL1Oz1KRszWd0o&#10;UYBeI/4V6ekpOOD9asJPgdf1o9qyfZo8PeNlOGBB9xVmDyPscgcsHzxg9a9oZYbjiaCNx/toDUEn&#10;h7Rbnl9NtwfVU2/yqva+RPIeLOAuADk0zvXr8/gLQbjlYpYj/sSH+uaz5vhhZNzBqE6ezqG/wpqo&#10;mKUddDlPCsmJLiPOcqDXTEgioF+HWpWUhey1GInGOVZSf51ch0DXIwUuIY5MdHjcc/hUTs9UEbrR&#10;nFa5KX1J1zwoAFUrOD7ReRR9i3P0rX1vQtVTUJZTp9wUOPmCEjp7VBo9tLFel5o3TapxuUitk1yE&#10;Pc2r51isJPTbtArljg1taxNutlAzjdWETTpK0Qm9TX0hURJG/iJxV9jI33FA92qrpJ22pOOrVob8&#10;1Eopu4J6Ffy5/wDnt/47RVjd70U+VDuy8D+7pls2BO5OAF605vljNZ73UiBoVYeW/wB4Y61zLU65&#10;PQlPLGlzimK5YClJpko0NK8p7xFmg89CeY/71ei6e+gX0fkS2sCEf8spIgCD9K8shuntZPNiOHXk&#10;Vo/2ze3ShpzGcdML0pptaoicUz1aGHTrclbaKKLjrGgWqdwltuJbU2T28wV5m9/cOuGkbA4xuNV5&#10;LmQ/xYpqc0jP2fmegXEttEf3mvFVH8KkGqz+J9GsVJiZ5ZO7Y61588hPUk1CxzUNOXxMpU0dpeeP&#10;HdSttAFB4ywBridbvDe7pWiRWJ5KqB/KnEYFVb3AtXP0q6cVGWgSirGfAf3igfezxTPKP9nupyCr&#10;HP50wOQcggEdDU00v+gu7EZY9u9dU9jGAadq9zp6ukLlQ/UgVYbW9Qk63L/gaxll29Bk1etXEoGN&#10;ob0xRcCwb69l4M8p/E1q23h2+vtPFyJPmbojnqKoIHBHzVpx6nfKoVZ2AHAAApXAo/8ACPaiWO6A&#10;qo6selUDYv610qalqBBHnEgjHIqFYGbqvNAFTR7eRI5kwSTjH61LH4fuHvJZ5CI1bkDGTVwRNbo0&#10;ijBxSWuuA3BtZQQ3QE9DRdha5lvodsrs0s7jnsMUQ2NkXQLIHGSvzcE57keldC9vJJ02laW10LDG&#10;cuWJzx6VK5r6stuNrJHN+TLbzhVO6NeCFOQauR3kjr5axyKnqzACtG4tFjJGDmqbwgdBSsr3sZqK&#10;3M6+Z1JCMD6EGuis9JuZ7GCUgHegaqlnbW89xHHLH944PvXd21viKGFAB8oUCqKOUXSLmFyyooPT&#10;NEtrDEQsr7X6nK5rpbsTQOUkhK+571BJbWFzAGlTE4PUnqKLoVzBtzbi8XblsDgngV00ZzEn0rC1&#10;BrazhcwRqZBxgDmtLTZjNpkEjE5IPX60N6jtpcpymFJZAXUfMcgtUa+ItKiiClpHdcg7U/xrltZu&#10;nTWLlAAAHP1NZTShuXDMfrS5h2udhc+K4M4ihfHqzAV0Nvpd1e2sdzbkyJIoYYry8AScBAo9c1sa&#10;N4g1DSPMW3vGWEj7m7IH0FUpCdtkaXiEyaVr+lpcSPFE24yA8Aiq2u3EGpLDDbIZVB6CQKCfxrC8&#10;QarqGs6gl1cSNKsQ2oR/CKpLqdyRg3EgJ9OP5UX7ArdTs9CgSzQpdR29uCSAjMN2ar+IRby3USRI&#10;z+VknLcZPoK5KXUblomhd2IPV8nJFXYL6IWkfmtNvHBOARSXmNtdBy2UkN9HeQtFFsYMFL4IIruo&#10;r4XVqkl1DM6Ov3zCJUP49RTPD8elRlFlkgkmfGA5BP5V6FZiMIFVFVR2xxSlFSBNo+fNctorTVpo&#10;4HVoidy7QQAD2wfSodMbbqdsf+mgrsfiraCLxBDPHHhHgAZlXjIJrirA4vrc/wDTRf51a2Je52+o&#10;I7wlUUs3HAFZcLlJlDZHY5rfWcQTrIU3ADpVmW4066gcSxYfacEjODWcptPYpK6Mm3ALkA8EetS+&#10;V5pKE4xVKCbEwyenetXyDIVZdy/7QGRW5mR286xyYDZGfWtcXwEJ5HA5rm76xmWXfA6H/ZztP61m&#10;S38ys8LuwKnayntXK4anZGpZHsXgMXE1jcztj7O8v7rjnpgmuyDYOBzWH4TaIeFNOEQAHkKcDuSM&#10;1sgkcmuqKskjjm+Z3JCxJ6U1iQKVTximuGJ6VZIzcAQMU8ctUbArySKbLd2tqM3F1FEP9tgP50AE&#10;r7Wf1I4qJeAKzpPE2gtNsj1W0d+mBKK0IGSZA6OpB9OaAsVZxu39OvXFcVN8txImfusRXczocn3r&#10;kL9Y0vpVPXOelctfa5vRZS2k9gRRtUdV/KpgkZ9Kd5Kdv51y3OhESqvY/mKfgd1U0GF+3ApDDIDS&#10;0DUeIoW+/EhH0py2tn2gQf8AARUeGU8qfwp6gMeCPxo0DUn8iI8Y/IUn2WH0FIqmnnK+uPpRyiuH&#10;2NccGgW7gcNke9P256k5o5UcMfpTswuNG9OqflUqSr+NIof+JqUoXHOPxFGoaE4fPAIp/Xg8VUCE&#10;D5SR9KkVpFHTNO4rFsKMdP0pHhhkGHiVv95c1El0Bwyke5FSiZG6MDTuKxRudA0m7XbPYQuP9zH8&#10;qyLjwB4fn+7BLCf9hz/WukZlPIGab5+MZU1Sb6Csmct/wgFrFHstryVQOm9QaqTeB75M+TdQyexy&#10;prsvtIckR4JH4UvnN3K/nT5mLkRwX/CHaxn/AFcX/fwUV3nnj++KKfMxch5rcN8mO9YzPvnPoDit&#10;icbgTjpWLEd7bgOpzUR2N5bl5TxSk4qNScdKczcYzQIYT97PpVm3OYB9ap5qheSSKUAdgCOxppXI&#10;k7G88igcsB9TVGW5gUndOPoDWSHDQnzCfvChCu4eXAWwPSq5COYutfwA/IGY+wpn2+RsbIepwM1C&#10;kNx8pWEKR608Wk+BvlVQDninaI7sZLd3O3cSqjOOKqyTySRuHckbelXzZJtzJKzDr1pJ7WFLOQov&#10;O080JoTTMWKZVP3QfrUstwZ4xFtwq9KSGWGO0kiaAtI/R89KbFtx84b61tcysRrbyt91SatQ6fe8&#10;MsL/AFq5b38kACwKj84CsnNd9p+nGS0ieVCsjKCwxwDQM5HSNHufPLXOQMcDOa6KPTI1/gzWz9iR&#10;G6jio5GSOmIqLYoP4QKVo4ox/hTZrk9qqvPkc8UwK9/OvlsGIVe2a5uW1mubkTQzKEBHQ+lbF9Et&#10;2hV2wvtVSK3jtl2o7Yz3pXBXRcgurmGXer7s9UPQ10VlqCyJhgUPcGuW3svKlTTXu7g5+c/hSGdL&#10;eqGJbbxWese+TZkDPTNZ0Otz2uBJ+9j9D1H41sWVzYamw8uXZIP4T1/KpAmtLBo7qORmUBWya6xl&#10;KBWGRgcGsu0jjgwJMSL2z2rQlvEfaq9B3xTuBZGrWrRmHUQNn/PQ9qhvNF/d+dat50JGRg5piaRb&#10;arBNFMx+YfLg4FQaaT4emlthcNJEozsPI/8ArUnZhYpTWInRkZMnGA2ORUlrbGzs44CSdueSMV0s&#10;09s4V1XaWGSAKx9RZfM3KMDp6UJWFqcNqeh3lzq1xNChKueMCpLXwhqMi5+zlT2yK6t7+6tLMPBa&#10;GdiSERASSffA4/Oiyu/FNy2ZdOtreM9nlwf60+Ul37mJb+BLp+bhkT23Vow+B7OJSJJYwD1wM10i&#10;20zpiaTBI5CE/oagGh2mxlfzZM9S8jGq5UTYw10bw1ppJkuowcYPzisrUfB9pq9x52jPbxwug+Yk&#10;8nPXFaOoeBkYtJYyqD1Ecg4/OqVhZ6vpKzG8iZEUjZsO5ce2KVug7IrwfC/P/HzqX1Eaf41rW/w7&#10;0iJQJXuJsdi+B+lXtO8RrKg3MsidM5rRk1u1Tj5ifQCmNtjLbQdNtIvLis49vfcMk/iavhNoAHAH&#10;GKxpfESD7kf5tVOTxBcN9xVH0UmnZgdBPbQ3EZjnjSRD1VhkVy2oeAtKmmWe1Y2kisGwDlT+FMl1&#10;i6Y7TMQT23AVVlvZSCXck+2TTsA3UrJ7Q/M6OuMZRs1nMAVIzzVq+Mm1SZCQRnGMVml27ipY0SBB&#10;MBvdgParpjjROWfB525NUYZABgjPPerglRjtzjA6AVe4hqSGNw/LIOznJrI1Sza4umuIGAdvvqeh&#10;Naz5yFIGTzVaQhImdgDjnmspxuzSE7KzPa/DcMkWgafHIgRxboGX0O0VbvtS0/TUMt9eQwKP+ejA&#10;V4DceMtelUQHVLgxAY2o23j04rEnke4kLvKzk/32yf1rbUzsj2nVfitploDHpdu95J/fPyp/ia5K&#10;7+JniG7YiOSG2B6COPkfic1wCl0PBxVoXrgYbH4iqXmJ+Rr3vifW7nPnapdMT6SED9Kx3uJricPN&#10;K8jHu7E/zprXAYZKD8KjWceYMRj86GCuMIxI3HGa0ba/vbdR9mup4yOmyQiqRfMjEIoyac0zeWee&#10;PahAzobPxn4gs5kX+0GlDEDbL89ds9xNdkTXCp5uMEqMA15focJutatlIzh9xB9BzXpe/PWuau+i&#10;N6S6koHQ1OjAVWUbj0qzHCO5IrnsbE6yLxxUgZT2pixf3RmplhI6g/lS5RXHCNT6fhQ1tGw+6Keg&#10;UVJt9KXIFyobVl+7n8aZhlPzA/hVqTzSRtfGO2M03bk8g0rNDuQKVJ681JtJ6ZxTmjjPJHNRblU8&#10;SD6E0xEwQ4z/ADFLtPXdWXN4hsbWUxz3Ue4HkDJx+VN/4SnSD0ulB+h/wqiuSXY1ScHHJ/CnDPYm&#10;sweINKkHy3sYPucfzqaO+tZWAiuYXJ7K4JoJcWtzRGe+aNq98GqYkdmIxtA75oVxu2mRiR6rRYC3&#10;hD0BHuKRlBPB/MVWaYKDwTUTXqoMk0WFqXDF6DH0qLyArFh196rLqkI5c496tx3UMi5SUH2osAzH&#10;+xRUvnr/AH1ooGeW30siwSMOMKaz7CQ+QM9a1LhgySA8jaaybI5h/GrXwhN++W8k96OtNzS54FSM&#10;b0NSRW8M8e6SMMQeM1E5weKsWxwGHvTJkBhhUYWJR+FNbgYGBRJKoJyw/OoTMp+6Gb6CizJugO/P&#10;UGkZQ6/N19qP3rdEx9TSiCZjjd+QquVi5kN8tB2z9afsExEQIG/irVvpLSsPMdgPeta1sLe3I8uI&#10;M/8AePJpqAnIpWvhKIf6xyT6dK0k8OWEQBaEN9a0oEuHH+rYe5FWUtZWHzmtOZInlbKUFpa2y7or&#10;SIMOnGKvLeHyRuGH/iCnipRaKB8xqT7LARgj8qj2kSvZsy5bktniqjnd1rXk09EUtHukPZc4/Ws+&#10;dWBw1v5X/Aic1akmQ01uUmj43ZH0qB4CRVtuKryykCmIoTQ4qo6AVdlfOapyDNMCuxIPFMfeAC2Q&#10;G6cdakbAzTJJC5G5idowM9hSAqSIWOcmofJYONmQ3bbVxsY460iyuiFQFwfVQaANCy8QX9i6pcKZ&#10;I8fxfex9e9dTYa1Z36gRyAP3U9fyrz2QOzFmOTUYLKwZSVYdxSaGeuwSvEwaNhj07Vr2i21xbPDs&#10;UmU/OT1ryfTvFN3ZkLP++j9c4Yf412ekeIrO7AMMg391PDD8KWwG1qaPa3gWLGzaAFPcc1napepb&#10;wG5KkKnJBrV+1QTjfJgsB161xvj7Uo4bCK2h+9MefoKAOntdXYxIzj5WAIB/xrSivYJcfNtPoa82&#10;1i8ubTRbS4tpmjfZHkjoeKrWXjOSJUF3DnI5ePj9Kq4rHrf05owT2rj9M8T21zj7PdAn+4Tg/ka2&#10;JfEPkRA+WhY9ycfpTQrGx5bGmvGqrl2Cj3NcpdeJrp84lEa/7Ix+tYs2sGcn98ZGHodxp2EdRfwa&#10;CXaRggmPVoOCfrjr+Nc1qrgIx05TJJxgTf8A1qgjkNwRhjycYq/aovnCMjIp+Y7HPEauX/fyiJP+&#10;mEYJH5802403UYbQ38s8stoMZbJ5yeuM16HaRRoOUUD6VT1G5ttODBE8yCYES26jOD/eA/nUXKsc&#10;rJeJa28cvlg7+nHTis86lPczKvmEAnooxUurOq2cRUELu4B7CoNDhF1ekYzgE03uI3Jk8ySFPUYq&#10;pPb7M1dU/wCnWg68jinao8drueQAZ6L3NNiRkyQ+Ww3cAjORUsCoiNIW3sOiiqLXkVyyxsRknp0x&#10;9alinit/vSq/spppgWlD43y/fboPQVmarMqlY2YouMnHc1fiuVubguAwUDAyOKwtScyXTZ5weKdt&#10;RFRMFuhNRtnJPNSIeppuQO9UAgdwPagycfdB/CmkqOQeabnJpAStMxjEfGKYhw4PvTScnNM3Enii&#10;4EjyEsccDNMG7b1NKOeaU8AcUAT2N6+n3HnRMokxj5q6S18YOABcWm5R/FG39DXEz/60gnpW1pF2&#10;0Wh31uixMZGXllBK/T0rKb8i436Hdaf4p0iXiSZ4WPaRePzFdHaXlpOAYpo5Ae6sDXi4LgGLF3To&#10;DyMmp4p9hH3kb1U1naDLvJHt4ZccdaeK8jtNe1C3IEV+zAfwuc/zrdtfGt9FgT20co/vKdv/ANaj&#10;2b6Bzrqd/u9qcMY9K5a18b6fIcTpNC3uNw/Sti31mwuv9VdxMT2LYP5GocWilJGmMelJg57YpiyA&#10;jPb1FOzk8GpKGEANmoJrK1mJMkEbE9SV5q2FJ6ipAqntQBz114V0y9kLyQNuPcOf8aoSeAtOb7kk&#10;6H2bP867HyRng07yjigpVJrZnAyeAGXmDUHHsy1DH4F1M3kLteFwjBgBntXoKqWJAU8d6cfPQfuX&#10;2P64zTQSqykrNliy0tUhBugryEdOwqwdIszyFKk9waggv7qJcS26Sn+8j7SfwNXIL5bgiMwyIxH8&#10;QBH5iuiKhaxzPnuZctjb5xFIxAzkscYq3BpMaIryRxzjqev8quBEBKDBA7elVNQvDp6J5Q+dzgZP&#10;FCpq9wcpPRGZqnh6xeJ57eVrZv7mNyk+wrFbw3qCZIjc/wC6n/161otQWfUlW4clQcluoz6V00cm&#10;7BzxQ6aY1UaPP/7Dvv8An2ufyNFeibqKXsfMPas+e57vKPtGRg81Rs3xCKhub0KPKjwS3FbdparH&#10;CnyjOBmo5dDSU9SntkYfKh+tTrA5UZwKviPPGKmjsZpjiOJj+FHKluTzN7GaLVSfmJNOFqihgAcH&#10;k810EHh+5kPzsqD860oPDNuP9dI7n0HFLmih8kmcaLZF6IPyqzBp1xcHEULn6Cu5g0myt/u26Z9T&#10;zWjGEQfKoA9qXteyH7J9Ti7Xwpey4LosY/2jWzb+FYIgDLNk+iitaS4ZJAoHymlMoP3jg1HtGy/Z&#10;JFVNJsIuke8juxqbyrcLtWJB9BQ3J4oIXHJ5oux2XQqycOQpI9KjZZB0arDxiQcZB9aj8thywJx3&#10;FQykRZcDoTTkbceWGfep08p+CcfWla2DdsehqbjGodvv705sSDaygj6U1F2kg9RU4AYYAq0SzLud&#10;KjkyYztb07Vh3dhcwOS65T1HSuw8l+wzTWgLDDAfjWim0ZuCZ5/IDk1WK5J4rubvQ4LjJ27H9VrC&#10;utAuICWUeYvqOtaKaZk4NHPPF1xUBibP3TW0INpwVwfpUjWgdM4qyTnzC+emKXyPU1oSw7TjvUPl&#10;4oAriBR1/WmyWqsuehq1gDrTD+lAGVJAyE8cVEpZHDKxVh0I4NazJntVWW3yeBQBo6f4qu7TCXP7&#10;+Md84Yfj3rM8R6i2pal5x/1YQCMegqpOjIjfSs3eeuaVhnc6x8/hG1b/AKZxmuSk27Y8f3efzrrL&#10;75vBFsev7lf51yDfcT6f1psBpbHQkEV3XhiZ7rw9I0zs7JKVUsckDArgjXb+DjnQroek39KFuByM&#10;txNK582V357mtfQX+eUewrFdT5rADua2NCRkll3DAK96a3EXdHuzJqqR54yf610CziC6LnoK5jRr&#10;Zk1yN8kjc3b2Nbt6rMHC4yemapdQN5NSVlG0c+1YWs3zOSFBBPXJqCJpY1+eVVqGV7ItumlLn0B/&#10;wqOUpyK2qDdpsGfX+lSeGw0VyzKpJ2kfpVxY7K/thG5aNc/IRWvoOmx25f5klG04YfSmyUczr1xN&#10;BPZyRMy7fm49RiqVxcXGoEs0oZjzkmti8hSe7tEkGVLYP0qx4n0GLTJbeSwjYxuCWJbI+lEhxscu&#10;IXhOS4yO4FWY7qELmSEM474qXytwHmRt+Df/AFqXYgwVhQEeuWpcz6IrkXVjEnnuJFZI2KJyfTFZ&#10;U7l5C3rW7PcXAtHG8KoU8KuM1zrnJqoN63FUUFbldxy8qcHn0pjdOetKo7inkZAzzWhmVyB0NABX&#10;mp9gHIUH8aimJC4pMLkTOM4Xmnqit32molHNWEAPfFCAB8uehpHIRS55IqTK5wOT71Bdcx/eGQen&#10;rQ9FcEU2JZiT1Naelxn7LdSdsqv65rLrQ066aOOS26q5DD2IrB7Frc19Jto7gTCRN2MYzUOrQf2e&#10;UkVN0TcHPY1HFO9u26NmQt6d6lvJbm6jCSnKdcbcZqFa2po+a+hnpLFOflyDSwxyCVVjlKljgc09&#10;Y2Vgvl7VA5ao3BZWVTz25oWjsgeq1NV7fUIRnEcwH51AL1Ym/fwSRmrPh+6kffazhiy/Mpb09K07&#10;qa0iUiZ0/wB08n8q0MitY600LD7Pfuh9CxFdDb+KdQjwZBHMvqRz+lcFBbpcXpVSVByRxWnaWs1t&#10;cpl8p3waN9xvTY9BtvF8JwJoJE/3Tn+da0HiHT5sBbhQfSQba8880qc4BHvT1mTOWQj3FLkQ+dnq&#10;CXcTjKkEHupyKlWVG6SCvMYZwnKXDRn6kVfi1W+iGBOHH+1g1Psyuc9FVsjjFOz7Vw8HiW4QASRd&#10;O6mtS38T27YDuUP+2v8AhU8rHdHSgBqinhaQfu5nQjpt9ap2+sQTcLIjH/ZYVdW5jYdcfUYpDMR9&#10;J1ZL77ZBqUiSHqpOVP1FQatHrOpTRJJtjCjG5O57n2rplYHoQaCQetVzMRk6ZYtYYZnMknqw6Vr/&#10;AGqfHAQ/UUmxT2pRgdBSU5dxcqG/arr/AJ5x/wDfRop2Pb9aKr2ku4cqPmuAA3EYP94V6lBoyCFC&#10;cnIBrzjR7X7ZqlvAucs4r2aIoiCPHQYorSaSsOlFPVmZFp6xkbYxn6VcWDc4VBtx96pJcMMZI+lQ&#10;qPLkyG4zXI1c6lZGhDJztbHHerJKY61kNcYb7y59qGvCu3HemriaTNF3xwKjMpAOTiqy3O4e1I0m&#10;RxVkiykydOD61GHdR8wz70Bm9qeGGOaVh3ES57Bs1N5oPQ81DiE/eA+tPXy4+nSjYGLvPanB/WkL&#10;qwwCMU0legp3EPJVuoFCts6E1E0qjgHPvTTJkZ6e9ILFrchcEL9asBlVc9KyRK2/Ckk1YjmYnDYN&#10;GqBovCZT0cUF0OBjOagPTAApp345ANO4rEry7CSeVqu17CTimzRmZNvb0NUnsXbgMBRcLE00Vnd5&#10;DBS3qDzVOTSgOI3yPQ1LHZNC2eBVoF+nAqlNolwTMOaw8v5SmKzJ7XYTiuuZGcEPgiqNxpiTDKMV&#10;b9K0jUXUzlTfQ5NkXpUZQY7VrXWmTwtyhYeq801tFvvJ837M+zrWqaexlsZDLUDoW6VbePBIzioj&#10;8pxTAxb66WPdFsJbGMmsftit/VbVZYjKvDp19xWB3pDO43GTwNFntER+TVyLf6tPqa7HT4GuvByQ&#10;x8sQyj86oR+G4lRTd3YUKOQg/qaNwbOZNdt4Lz/ZF4CD/rR/KqBfQbDhVWVx6/Of8K3NA1KO/s7s&#10;RRbFjZcDAFOwjj5mMc8gCYIY9frV/R5T577sH5a2GudK1SR4blFSZSVDHg8e9QxaK1rOzwP5kZHG&#10;etAFyy8l7iJ4ZFVgx3Ke/wBKXUsiCVlJBA7ViWHnQa7GjKyAycg963b50SOQuMqOoqkBzoBkP8TH&#10;86sR2FxIPljIH+1xUg1aOPiKD86G1G7mGEIT6CloBdNiTZpEzhWU5JFWLZltjhZyX9mrDPmbt00j&#10;MT71Yh8gMCGJNFxGiwV7q3YcjJIrtpsXFjFkD7o6iuKUlZI9oBOD1roor0/YlVsqR60pbjRmalbQ&#10;KrcAH2FYTMi9BWzfylwfSsF1+Y0AyG6k3W0i+1YR4at2VcxsMdRWA/3vpVxEyVRS5x9KSPmnFWJH&#10;FWSNOMdKS5TZBGe7ZNKFLyBB1PFP1XCvFGOirUyGiko5zUyj3qupwasB0C5oQMccKCx/CqU53NU7&#10;OZGAHT0q7fxxrawxFPnUZLd6mQ0YtaNhabrd7otgq20L68VUeILj5s5rQtpMWHlerZrN7FLc2NGd&#10;XMhdQSuAuR0rXdYpVKuqkGuTiDnLIxBHoasre3MRw2WHvST01G463RUd3h1Ca23h41JwSKhdsHpU&#10;5xJMZCmG7mq5jaYFVXJqWlfQpN8uoC6YNhZNueMg1MbeRGDzRu0bchlOQfxog0yTb+8A57VoR2xj&#10;iEeW2joM1ViblWzBiuvMIOMEAd62ElBlRsYAHOaqLGF7CpoYZJyfLKkAZweMVcYtrQmUlcsvJG4I&#10;J61Qkllt3wshI9M8GpZra4iG+SPAAzwaoi7xJ86AoexFILGtDMJkyvXuPSng4OQSD7VTREjdJIyQ&#10;reh4qwZwH2MAO+c0AW0uZV/iz9alF0CfnjH4VSjlhkJCODjrUpX0NFwLSyxE5DlT78Vdg1G8t8eR&#10;dNj0zkVilTTQSDkEigd2dXD4mvY2xJHFJjvjaf0rSt/Fdu2PMSWI/wDfQriVncdWz9al+1DHzIPw&#10;NS4ofMei2+vWs/CTxt9Tg/rWgl3GwH868sEsTd8H3q1Dc3MBBguHA9m4qeQrmPTPtEX/AD0X86K8&#10;9/tzVBx5v/joopcoXOK0QSW96LiFTuQ4zivQbLUo7wcHbKOqmua8EeXNfT20yAxyJnn1FaOp6bLp&#10;t1uiyF6o1OcVflZftNbpHRZJGfzqKVN4wM57EVm6ZqqzMIp/lk6ZPQ1uLEQeOh6GsXGxopJmUYWj&#10;bLAj3qdFEmCDkitMxbxtZc0qWUSfMARSHcppCcjOakxjqKvDy8YxUMuEy5GR9OlAXKr/ACqWchFH&#10;JJOK5DW/GCws0GnbWI4Mx6fh61R8V+JTeStZ2kh8hfvkfxn/AArj3kJNawh1ZlOp0Roy63fyuTJe&#10;StznG7irdt4o1G2QIJ2Yf7RzisAdeacGzkVpZGV2djpfjOaBttzmYE9T1Fdhp2rW2qQ74GO7up6i&#10;vHwcVtaDqbWF6jhyBuGR6iolBM0hUezPUTFI3bAprWszcAgA1ow7ZIEdejDNL901hc2MdrSVNuCd&#10;x6+lXbGBomO588dKtjBOcfpTsAHtRcQ7YOKOmeMUgzkgUxmIzzzSYIVmGOBzTdykdMUwt3pVJb+G&#10;i4xTimttAzkCh9y9uKiPzUXCwhdex60wsvoT9KdtH1NIVJ6UXCw0sOM4PpUF1/pcPlGV9v8Astin&#10;sh96Zs54BqlJrYTimc9daTJGcxkOPQdazJI2Q4ZcH0IrtfLB7c1HLaQzDEsYP1rSNV9TJ0l0OBms&#10;onJYpyepBrIudKcPmHoexr0C70AHLW74/wBlqxp7Ka2OJIiPftW0ZxlsZuLRP4fuZNM8O5ki37XY&#10;lfUVYkh0fxNAAGaKbH3SdrD/ABqpHcRRadIkkiqck4J9qxQ6qwbP0Ip2JuF94RurJiRmWPsVHNbH&#10;hWEwWl8pXbynH50tn4jmhAjlHnx+jdR+NbkFzZ3VtNJbDa5A3rjBprcDhrmBTeTHd/y0b+dammJq&#10;aY8hX8v/AKacL+tXnms7SRm8tTISSTtyc1FJqckvCEAep5p2A1NyYV7gRmRefl5wfrVK+w8UnoRW&#10;ajyPeRB5SwLgYqXV55IZVjRsKc5460JgVYkiXqm761PwB1VRVLzHI5NN5JyTSFYtFo8/3qAisCV4&#10;PtVdTirlvIqrzQMdYvL9ozJIzDGBk9K6u0ZWtSDz9a5CF/3hOcVs2lwQu0tnikwQX2ACF4+lZDqd&#10;3WtS4fdmqToC1MGVSAFOegrAucec205BOa6O5jxbybgVG081zMhVnzkirihMEcKehNSGQucBse1Q&#10;+YF4UU0yY52jNVcVi/YANMx/uiodVObkdchaLG4EMmXHyt39KfqgVjG4PUVne7LcXFambn3pePWl&#10;AoK8d6okTzNmCpww71Zku/tEQMh+cdCBUdtaPeTiFGRWIyC5wKv/APCNX+PlaEj1ElS0NMy2w5+9&#10;xWxptms1tLKyljHgBAcZ60yPw+6sfPnX5RkpF8zYrU0ryfMdJN0UTY27uKulFOaUjOq2o3RXW0CQ&#10;C4hDbM4ZWHKn3qWNWlGBGCPfpWzcraWtoyRyKd3J561nT8R5A+UDoKWKh7FXWpWFft3Z6EK2NpHI&#10;GnYkE8rHW1bWWlSqqQSeWWHAYAVzkjMxG0HHvSh5EkBVyB7V5qrzvfQ9V4Wny2uzZltYo5WTIypx&#10;momhGODmorXzpS8koIUDOWFK8oBIJ5FdcHzR5jz5x5JWI/LVHBcfLnkVasooAXZWLBs7lPaqbS5+&#10;QDLYzUJu5beSMKAVf7ysODWiVtSEat7KzWe08hVwPpXLG2vJf4FA7ZrS1LVnimW3WJeVU5z0yB/j&#10;Uw6CiWoyhamWAiG4YMrnAA7GrbWpuVMUisu37j05gD9alE0jwbEI3r69xSERrHHbpsZsY4pBdbfl&#10;jy34U8ok+R1kX9faoHDhSI8BvcVNirlpJ2K/MOfaniROpIH1rAuJbyM/OxA9V6VVaRmPLE/jTFY6&#10;Z7q3T70qD8alRg43IwYe1cnmpIp5YTmNyv0NAWOqGRS9OQSKxbXVQhxMD/vD/Cpn1yIT7FTcn97O&#10;KAsa3myf32/Oisz+2bf+49FOzES2Zm08o9uxDI2f/rV6Hp08Ov6Z+8A3Yww7qa4eNFMx464NaOlT&#10;yWepxiFiA5ww7GonHmLUrFu90prSco3BHKt61e0/UmjAguD7Bq3b+JLnTXaQZZBlT3Fcq4DLg1Mf&#10;eVmO/K9DqEk3Jx+Bp2X67uKwtJuZS/lFsqDxmt3rGc+tZSVnY2i7q47cAM5BrlvHOuNYaUttAxWW&#10;4ypYdl711Cdx7V5j8RJnbXIYjjYkQIH1NOKu7Cm7I5ItxTSO/ag9aQ10HOG09aXAz1pM0h65oAd3&#10;p8TfvFGccimZJAzREAbiMHuwpge92ChNPgXIOIxz+FPZgTyK5q11K5tZLaBXDxuMYcZx9DXQt61y&#10;Thys6YSUkPyR7ikATr3pqHc2DUuwbSe9QWxgJAymaTqeacTjFI1MQoC47UZwOBmmv8iZFMUkgMSS&#10;TRYRMMn60jRrIMkY96E6mpDwaA2KhhZT6j1pPLPY1cAFG0ZIx2qdik7lLac880bVNWGAqIgZp3Cx&#10;E0YI9PpTCh7dKnKjNS7QAOKLgUgpzjH50j26SL8+D7VdYA8YFVW4ai4WMy68PW1wuUUI3bFYlxoM&#10;lueY96+orstxCZHWq0xJ5JrWNSSM5UkzhZrRV+6Np9K0NFDKLlWH8H9a3pbSC4U+ZGCfXoayLZBB&#10;eXMaE7Qnet4T5jGUOUzrrY0zqRzmqrQY+4PzqxOB9qc991PzxWhmUFR45UkPJUggetOu53u595i2&#10;AdMnNPaRmbBPHtTxGueeaQylg9hRtNXCi88UwqPSgCtilUkdKsLErdc1MII16CgCvCjE5ANXYQ4I&#10;7GlQAVKh2upHUMKANTTtFm1EMd2zaejA81vJ4fhhMcsagTRsGI6g+1dBa/vLKJ2+8VBNSlQGHHWu&#10;aVRspR7nIeNrS3Php7vAVlwBgdc8YryMqSfavSviJcSR2MVsrYiaUkj6CvNz0zW+H1hdiqKzsMKE&#10;cCoipJx1J9KsCNT2p1qfKvYHXqsgIz9a2ZBXcPjnpQHZothOQOntXp9pZ2OrxeZd2Fsz92WPBP5V&#10;y/jDTLLTntxZ26wh87tpPP5ms0W23uc3EhY+oqZoRt60kHFWWOVrVLQzZRhQ+dgAk1rQWNw4Bb5F&#10;96h0f/kJN/uGt7OTWUnqWiTTbNoyHt93mL1cf1ouLG/1CZQsDsqnrt211ulabb29usihizgZLGtM&#10;qBwAAKaE3c49PDO7Y07YIHKrVz+yokTaEGPeuiKLjpULovpSA5O60NW5jYof0rJl0ye3fcQ5x/EO&#10;a7t0XHSq8ka+lTyR3sX7SdrXOKe5uViaJpiVbnB61AsZOSOcV1dzptrPktHhsfeXg1z12gt2KITg&#10;etV5EleCFmmJJAO04+tVboN9sQMSSCBzV1BuUkk5AzxWfK5a7Un+8Ktz/d8pKj71ypqpzqqD2T+Q&#10;rXzxWNqX/IYX6J/IVtwDc3NZMtjTwMnpTNwDBgwyPepJSUuVUfdKnIpjqu8jaKY7Fu1WElpRgMfv&#10;DPeku0jY74yuT1UGqIAGeKypb2ZL9VVgFDYwB1pBY2sZGGX8DVOfTkk5j+RvTtXSWenW8tmkjqSz&#10;jJOen0qKWOPTo0MUSOzdWkG7/wCtSTuBx8tvLAcOpx6jpUWa7K2dNQdo54IunVFway5dNtmuHj2E&#10;D1B5pgYJNV2YhqtSxhJigJwDinvax7A3JJ96LiuVPMNFT+RH/dopiP/ZUEsDBBQAAAAIAIdO4kCm&#10;d++a5GkAAN9pAAAVAAAAZHJzL21lZGlhL2ltYWdlMi5qcGVnAd9pIJb/2P/gABBKRklGAAEBAQDc&#10;ANwAAP/bAEMACAYGBwYFCAcHBwkJCAoMFA0MCwsMGRITDxQdGh8eHRocHCAkLicgIiwjHBwoNyks&#10;MDE0NDQfJzk9ODI8LjM0Mv/bAEMBCQkJDAsMGA0NGDIhHCEyMjIyMjIyMjIyMjIyMjIyMjIyMjIy&#10;MjIyMjIyMjIyMjIyMjIyMjIyMjIyMjIyMjIyMv/AABEIAacCe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bxd3A+/AfyqQXp/iiYVcpMD0o0&#10;AgF5H3BFD3ETxsN3UVMUQ9VH5UxoImHKCjQCG3mjG4bgPrVkOp6MPzqslrGWIIpxso+xYfjTYFnN&#10;FVDZ4+7Kwo+zzD7sxpAW6KqeXdL0kB+tNJvV7KaALnWqOoJkofTIpDc3i9YVP4GoJ7yV1AeEDB9a&#10;VgGRD/RW9not5GWbyx909ajScrE6GP7xzkGmJOqTKxB4p2GbSjilqKOUOMjpT91ADqaTil60Y9qA&#10;Iyc9BUZDGpyKaRxQMg2HvRsAqQ0hpARkcU2nmmHrQMYajNPNMNADDTTSmkNADD1php5phpiEqN5E&#10;QEs4H1NZtzLL5zL5jbQegOKrtllbknjmgC/LqtnHEZBKsijr5ZDYqJNasJDjztp/2gRXDaDKZodS&#10;B/hK/wAzVplPpQhNnarf2j8LcxE+m8VIGVhwwP0NefMMuacryIfkkZfoaAuzvjTa4pNRvoj8ty/4&#10;nNWU12+XqyP9VoC51RNNrnk8SSg/vIFP+6cVYTxFbn78Tr9OaB3NikrPTWrF/wDlrt/3hVhL22k+&#10;5PGf+BUATmkJpAwIyCD9KQnNAATUZNOJ5qNjSA0/+WEP+4KoTiVkbdtV/QDPy1oEYgg/65isrbKj&#10;b2zwM/MxP6UxlcOUOdxG3nDMFB/AVGXbPmALnP8ACpY9akZDISynb6lUA/HmkN0Yk2KU+rNn+VAD&#10;cOwkdI5OflCNhRjHWozay7NgEYXOTuy3NI1xO6rtkPP9yP8AxpGSeWMIVlb5iSxYLxQA9bfYGDzD&#10;BGBgAY+lSwoEjwrlxnqTmoUsywYSRqP7pyTU0EMkWQzhgegAxigRDq4xBaf73+NaVx1j/wCua/yr&#10;P1n/AFVmPX/69X7tsSqPRF/lQBUk2R4KmNefmJqu7qd0huiU3bcIPXoKkaCENnygxJ5yaiczoxCL&#10;BHHngmgZEEhU52XEpP8Ae/z71OsEYTctquS3Ib09aY8w8pVe6UODlio6jmkcxToAWlcKMfKcZ6UC&#10;LBMgnHzRqnp3NQTMqynzLsqB/Av5/wAqazrI4f7JIzDAy3HQ09GmeTc9vGo4yScmgCF4bdUSQiaX&#10;cMjkn3/rUqloeILTBI7nFLI8quT58SIM4FQtJGoO+7Ynn7tAFlGuGkHmKipz0PPtVi5O3Q7xvY/y&#10;NULd4XuAU8xmweW6dauX7Y8OXp9j/KmBwSj/AEOL6VBCP3XTqSf1qwG/0SPt8tVI7qJYVy4zjoKz&#10;egImxRgVXfVrdHIWMHHqCT/Oqz+IACdkIH4AVPMirM0ME9iaUQyt0jb8qwZ/EF3u+WaJFPvzUJ1y&#10;YrzcBj7LmjmCx0ZgfvtH1YU0xL/FLGPpk1zL6tMT96Y5/upioXvblwNtvK3+82KLvsFkdM5tox88&#10;xx7AD+ZqkdTsftCQqrvuOMgjj9K5+U3sij/R0UZ/iY1p6bYtujkdQGCFzjpRqDsWvPjYnHQHiq0b&#10;bpZm9Wx+lMS3cE9etLaqdjtycuaog29MQ+WTxya09pqlp6kW4q/g4poZ9BCRD0YfnShge4rMCuOq&#10;mngsOxq7EmjRVHeR60hmK/xGlYCyh/ekfWpqzRIT8yk/Wni5kHegC/RVH7U/t+VKLxvQUAXaKp/b&#10;P9kUv2wf3P1oAt1BcqDHyB1FR/blH8B/Oo5rxXjwEbOQaAK8KIyzrtHQEVAkCPchWIA/nU9u486Q&#10;Z+8tIQBMh96BmisSgcLxTggFOByKKBCYpDS4oxQMYaYakIphFADDTTTiOaaRSGMPSozUh6VGaBkZ&#10;php5ppoEMpppxFNNMBpqM1IajNIDGuf+Ph/rUI6HHep7kf6TJ9ai9aYHEeGGVn1VVcMQyhgOxya2&#10;WSsvwzGEutZjGBiX5vzNbRAzimhM5271WxtbuSCacRup5DA4/OiPUrGUfJeQt/wMV1S6Dp17CJZ7&#10;cNI3Vsnmqk/gnR5T/qSPyP8ASlcRkq6uPkdT9GzTvmqaTwBp+cxSsh9gR/I1XbwTcx/8e+pSr/20&#10;b+uaLjFJpMjuKgbw5r8P+rv94/2grf4VEbHxHCPmihl/4AR/I0AWzjFNwPWqpk1OIfvdOU/7khH8&#10;xUX9pOATJY3IA/ugN/KgC1Pqc+lxGeF/m6YPIqtF8RLprxLN7ZQ7PtVwOtQRS2/iK3McDyoAxyWT&#10;GCKxR4JubTWItS+2I8ccm9lYEEj+VMR3SeKLkffhjb8xU6eKYj/rLdh/unNc4cetRke9ID0BfFul&#10;ywwrvkRlQKdyd6rx6vZ3AZvtvK9AzBc1w2KQigd2d/DNBuJ3o6spHysWJp3noo/d2xA9SAK8/BdT&#10;kMQfY1Mt5coflnk59TQFztTdyMflEQwCSC2Tj8KiW6mfI8zkf3UrAtdRu2j5l6ccADipTrDxsFaL&#10;eVJ5LGgLm0JZmV0CyscDkkCp7WPy0O4EMeuWzWBBrCLnkQ564XNadlqUMsS7rhS3Od3yn8qYyzrZ&#10;I+wj2/pV/UVKzxk/xRg1mazIrvYFSCNp6fQVoahOZbrHQIoA/n/WkLqYwEcpfMs77QT6Dv0oaQsA&#10;FtJHC8DccccU947jODdKuemFqMyxq5Vp5Cw4IA96BkwVvKBSCNZD1B7Um27P/LSNR6AULMEt12JI&#10;w6YI5pRNI0bHySrAcBj1NACmGVsbrhuv8PFLHbrGrqXdgwwdxqOV59g8sxq2OQx6GkaRt5fz0ESr&#10;83sfWgCb7PDggxg59acFRTwqj8Kz45445Nz3hk4xjHHWmI1sTgPM5HPP1/xoA1N6ngEZ9BS6pkeE&#10;75v9lv5VTtIIUQPEjLxj5uvWrOsPt8JXYz1yP5UAcQyE2Y9k/pUVvaRhIfkXnFW2UNbEHgbP6VXs&#10;ZTK8Q4K5AB9qhq4XsZ94sK/aShGVBJA7cVyenTQCzQyWzyyHqx7k9K9FbT4JWlV0BV8qQOMipbfT&#10;LO3jWOK3jVFAAGPSqjZboHdnAJKrSoUsMYJGBWpYQtKG8y0ZPmIX5c5x3rshaxDkRqD0zihvKi27&#10;iqgnaM9zQ7dgSfc5FLO7F6/+isYQOGxyTT5tNvjNH5EWI+S+cZrr9gxigoKQHKXei3lxbAR7YpDj&#10;JJ6VdSxMEBd2JKQ7OvU1uOFC8sKpXjp9kZAykkjjNFxmEyBUJx2qvaofsye/NXZwFhc+imm2sf7u&#10;JcdhSYjXsosQLVzy6W2ixGo6cVa2D2qkI9ypMD0paKYhNo9BTTEh6qKfRQBSniVXAAwD6VMbSM+o&#10;/Gm3XRTVhTkCncCubJT0dhTDYntKfxFXKKQFE2T9pF/FaabObsYz+daFFAGWbS5HRIz/AMCP+FRP&#10;BMgzJGFHqGzWzVe8GYD9aAMWBj5yHuRVqT7wPvVSHieMe5FW5RjH1pDNGM5UVJUcYwoqUUxCYop1&#10;IaAGkUwipDTDQMjNNI4qQio2pARNURqRqiNAxpphpxphNACGmmlPWmmmAhphpxppoAxbo4un+tQ9&#10;QanulP2xz2zUYXrigDivC8ZXVdZG5iCVwCenLV0DIc9KyPC0ROvawvuP5mule3IPSqRDLFkMWqCp&#10;j1pkC7IQvpTmPNSwGnrTCcUpPNRlqBiE00mkY00nigAbB96qTwoYpflH3TVo9qZIP3Mn+6aAOK8H&#10;RL/ZEjYGRcOP1rde2S5VoZBlG4IrL8Gru0OU4/5enrfVNr5xT6CMh/DFnj920ifRjVV/DTKcx3kg&#10;+pz/ADrpTTSOakZjN4M1UW0c8d1C6uMgEc/0rPl0TVoRu8lHXplTXqECg6RbEnoprEvLtWnWEEcH&#10;oDQM4GS2vYULSWrgD05qtLcmEAywSqCQPu9zXfEDYeKxNdhAsojgc3Ef/oQppiM/TyJbUOFYAnjI&#10;xUdwwFwy7hkHpmtkwiOONccYFVpdLspyzy4VyfvA0wMvNGRU0ukWsedmomP/AIFVdLPdMsUWqQyO&#10;xwoIBJoC6H+YykEOwx056VaTV71G3G4LE/3uarTabqMAJ2RSAehIqg8l1GVElnKu5goOQRk0rgdP&#10;b6rPPFlljyD1xTzfED57mBCT2rN0/clrmRGUsc4I7Vytz4x06CZkWyZirEEnFVYXMlud2LgOuft5&#10;IHB2L7UXVzbuVR5ZiQB9zv3riV8bqIcw2AHHrUJ8bam/ENiPyJ/pRysXtEd0slq+cQTMQcfNnn/O&#10;akEnlqVishtfAbJ7VwH/AAkniSYfu7Rh9IjSi58X3HRJVB9gKOUPaeR3xluVyEt4F+pq4J1VBuKA&#10;9+a8zOneLZ+XmZfrIBViDwtrs65m1GNP96VjT5V3DnfY9CN/bp96aMf8CpdZlWXwizxsGV2OCP8A&#10;eArzw+Cro/6/Vo/1P9a6FJF0/wAMR6SblZvLb5GAxnLZNJpApSb1RTu5WS1bAJ4xiktENusRIyVF&#10;Vr2VjvRR9Ki+13mMBIh9WJ/pWZdzZS6IJ+QZJz1pTeuDwqisTzb0/wAcK/8AASaM3ZPN0o+kf/16&#10;Bm2t1M7gZABOOBWiulTyxW0k0tuDJllyxOzAPPT6frXIlZ/4r1+PQAU95pGUI9/MRjGPMA/lQmI1&#10;r1mjuXjWU4XjKtwaqNKf4nP4tWd9lhwAWkb6uacLKBukOceuTQBZeaED5pFH1aojeWo/5bp+BqM2&#10;8MQz9nUf8AqaGJ3x5Vuef9kCgCrPdxSwtHGSzMMDCmr9rHmRVHPapBY3R/5Zfmas2VhOk4ZgoHsa&#10;LAzXiQKo47VJtNOVOOadiqEe1UUUUAFFFFAFe6H7sfWpYzmNfpTLkfuTSwHMK/SjoBLRRRQAUhIU&#10;ZJwKjuLhLaEyyZ2j0Fcfruqy3LqoUpCOgz19zQBu33iXTLBtrzeY3pH82Kxrrx7p3lsq29y3vtX/&#10;ABri9SbEnHcVkPJkmlcbR2a+NtNW4TdDcgbifuDp+dXn8caS+AFuR6Zi/wDr15x8rSgjqKmjBA9S&#10;aEwPUovHegFFDXMiHvuhb/CrUfjPQHJA1BRj+8jD+leOTsfOORjA6UwPxmi4rHuCeJtEfAGqWgPo&#10;0oH86lGuaSRkanZn/tuv+NfPV5KySMV+tUfOkY53HP1phqfS66lYOcJe2zE9MSqf61MJEflXUj2N&#10;fMrTSFcbssamimnSIBWdT7Gi4an0mSPUVGxr5ySW8bgTSD33GrcU15H/AMv06H0WRv8AGldDsz3x&#10;qhY814XcXV5A8brfXfPUec3+NEXiDVo5Ao1G7wTxmdj/AFoug1PcGNMJryJfEmsbRjUp/wAWpv8A&#10;wl2uJKFGoufUFVP9Kd0K7PXc0hNeUHxnri/ML/cD2MSf4U8eONf4KyQMucHMQzS5kOzPUjTa80X4&#10;g6rDN5csdtKO52EH9DVpPiLOetnD/wB9EUcy7hZnW3R/0l6jXFUbHUW1ayjvGjEZkzlQcgYOKuA4&#10;pjOc8KL/AMVRqyn2/wDQjXYSQDd+Ncf4ZOPFmpr6j/2au0kyDTRLKb/IxX3qJmqC6vkjunjbORUf&#10;2pG6GgROWphNRmYUwyikA9jTS1RmXNNMnNAFnHSkcfuZP900gfpTi37qT/dNAzmfA0LNok+R/wAv&#10;b10LwlVdiOgrN8BlP7HmVj/y9Of5V0N4IxbzbeuP61QjFLYzTC/vS7GJ6VGylagZrX2sSadpVmqQ&#10;GQupPHauXtddvL3V1ifTnijYnMhU4HB9q121S+SJY4TGFUYGQT/WoYbi9muB50qFOchUxmqTFYs5&#10;yKy9eH+gQf8AXzH/AOhCtUCs/XU3WVsM/wDLyn86Qy2YQRHn0FctqXhWW9v5rg6qYY2biMA8Cu3w&#10;g8oHrWJcWsL3UrlASWNO9iWk9zkz4QsgT5urM30xV7SPDul2mpQSxXM0kqtlR2z+VbP2eJTwij8K&#10;sWqKLhMAUczDkXYuFFIOVNZ2qQr5MGF5+0J/OtNqo6nzFbAd51qSiaS3UIuUz8g/lXBT+GEmnLrb&#10;wJ8xPI616XKnyemE/pXP96pgU7S3lgtVgWK3VQMcJT/skv8AfRfolXVAp+OKAKIspD1nf8MCnfYA&#10;eWlkP/AqugUuM0gKY06LuWP1Y1KtjCP4T+Zqz0pwoArfYYB/yyWkNnFn7gH0FWuaaaAMq40SCVy+&#10;9wT71WbQ4geGkP8AwKt49KYRQBijRYf4t/4saY2j24/gz9TW4RUTjjFAzEOl24B/dr+VLBptuJk/&#10;dL1HatORODTYE/fpx3pDNS2sLYoT5Eef90Vfgto0RiI1H0UUy1H7urQG2FjQBzerxqSi7R19KSKJ&#10;Vxx0p+ondcotPRec1RIm0U5VA6CnbfenBaQCik/ClxRj2oA9opM0pqnJaTS8Nduq+iACgAvbz7KF&#10;IUNn3qiddx1iH/fVU9UsorF0kV5DvByXcnJrHknH94fnTA3ptfDRlfJ5P+1UcPiMRR7Wgz9GrnJJ&#10;x/eH51CZ1/vCiwHW/wDCURd7dv8Avqk/4SuAdYH/ADFce04/vCo2mB7igDsJfEdpdRNC0brkZz1r&#10;m9TufOMeIpEUcAsMbqj02ZP7RiDMACcEk+1at08LoFSRHYZOAc4qZFxOM1ZiChwwOO/GaxJFl+8p&#10;Xj1NdLr6/uUYfwkj9K5v76sCDjHNSDIU80TBwAR6g1P5rjjb3z1pipsACjApZFBQHJyKBEc0pZyS&#10;MZ6U3zCR0JzTbggbSeOcUsbhicHntRcRRuEkeU7V/OqzxyRKWZRgdSDWoreZKSVzjgmq06B4JCSM&#10;YOKYMoC4hU4IOfpUv2uJWBZiBn0rPJweRk0pTcgPFAjWGq26jJLflUhu4t27JAPIzWASckY4HarU&#10;YZogcHBx1pWHc0bi7EjDDHHaoeHYFe1Qgbl2sMe4pyDysE5IHtTQi9HKzxAgBgCcc1FHu+0KShAB&#10;qWDaoIKkDJI/OrEce45HPNIZWlR1DEA7fYVGsrKh27T9a0n24YEcY6VGmwRgqB70rFXMw7n+YfK1&#10;ADbATGfqK0JG28ALk98UwlCnTrik43C53nhP5vD1v1OC38zW1ty3Ssvwoq/2DCFGAGb+dbWzmtFs&#10;JnL+G1x411Aex/8AQxXdyxDdXD+Hlx47vR/sH/0MV3sv3jVIlnCa43l61KB6Cq6yccGpPExxr0n+&#10;6KpxtikIuCZh3pwn9RVYNS5oAs+aD3pd+ehqrmlBIoA18fdPtQ3MT/7ppyj5E+lOYfuZP900AYHg&#10;JWOmTjH/AC8v/Sukuo2EMpI6D+tY/wAP0zp83tcP/Sul1BcWc5/2f60wMBelQzVMgqGakBDT4uHF&#10;M7U+L74pAWATWfrLkwWg/wCnhP51eFUtVGVsx/08LTEbEUe9YyTzzWVNxM49zW7CoVYs8df51hTn&#10;9/Jj+8abGRE1JbnEy1Caktz++FIC6W4qlqHzNZj/AKbD+Rqzmq14CZ7If9NCf/HTQBqXDnY2Om3+&#10;lc+TXQzri1c/7BrnO9MZYQ0/NRJUlIBRS5po9KWgBw60+o+9PAoAQ0hPNL3pvegBabSnpTeaAAmo&#10;3PFPPAqN6BkTnK0W4/frTXOBT7UZl/CkBuW4xEKsSHEDVBBxGtTXBxBTA5+6G6+HtU0a1HIN18as&#10;oOKYhuKUDinYoAoATFJipCOKTbQB7JRRRSA5zxip/stGHBD4/MV5Y8+ULMz8HnHavWPFy7tBkP8A&#10;dZTXjM0wCXUZJA5Ip9AQqXkZvkUOzDdjk9a6B7O1P/LJa4OCR0uUZhgZBrvBJlAfUUFMhaws/wDn&#10;iPzNRtp9of8AliPzNTlqYzcUCEsbK0j1CBliAIcY5NdfqZWz01JIowSHAIHoa4+I7p4xnGWAz+Nd&#10;XqmlQQ6eZPn81WX5y5P8zUspbHOavMZbPBj2nPBz7GuXE8gyNqHHvXT6qD9iXnJ3VybyYc+x5qRN&#10;krTSbSSqn6GhHldMADPeoHkxEfTinBtrcHqKaExsscrn5tvljjHvTF3LnCjjvUoYgcjgntTHkjKk&#10;ZI9/eiwXIy7SZ2txTWhkIKmQflTYjgEZ4pwGOuetICo2msSTuXioTZyg/LtI571pAsGxzilbBRjg&#10;jjPShjMxLCV1yWjH1NaEduVt1Qqr44yDVUuGQDIGD3qQcDhvypXYC/Z2VucFc9M80x1k3Y25X2NT&#10;gfLknnj8akiI6n8qa1ExrKzqCcKfSntdSRBAQMDpikZt3I6CobolowynuMdsUATNdblxjr3pDdIF&#10;2r1A6VTZhG2Mn65qN1LfMMGkmDLonaRjGqMfrilEu8BRGQQR1HvVO2ZhOuw/MTgVaL4BBJ3Z70XY&#10;z0zweN3h+M+jt/Ot8KC2KwPA/wDyLqZOT5jZro8fNVoDk9BGPiDfjHHlt/6EK7iU8muJ0I4+Iuoj&#10;/pi//oS12cp5polnA+Kf+Q65/wBkVRQ8Ve8VH/ieH/cWs5DxQSWFNPBqENTw3FAyTNOBqIGng80A&#10;b6L8qfQVIyfuJf8AdNEY+RP90VKf9RL/ALp/lSGYvw8T/iVzsen2lh+grpNT/wCPKf8A3f61z3w8&#10;50Oc/wDT2/8AIVv6mf8AQpz/ALP9apCOfQ9arztx+NTIetVpjwM0gGbuKlt+ZB9DVcVZsl3XGPY0&#10;AWVTiqOqjB08etwK1lTjpWdreBLpI9bkUAbQXaUB7CuemOZnP+0a6SYgT/hXMynMjfWgCMmpLb/X&#10;fgaiPWrFkAZz/umgCxg46VBcj/TLEf7TfyNXgg2iq10o/tTTV9d/8qLgXrw7bOX/AHK5oV0mpcWs&#10;3+7iubHXtQNE0dSUyPpUh6UAAp1IO1KBQAYp46UgHNOxQA080mM04ikA4oAaeRTO9SGm0ANPSonN&#10;SnpUL0AQyHipbP8A1hPtUMnSrFgMufwFIZuRDgCpbpcQr9aSH74FSah8sSUAc+ozduatKOKrwcyO&#10;atAcVQhuKUUuKKAEApaO1LigD2CijI9aQso6kUgMvxHH5mgXg9I935V4Lek/bpwDxnpX0BqBWXTr&#10;uMkcxsBz7V89ai5XUpR0yAaA6lOZirhs85rs4H3WsTZ6oP5Vwl1JwSK7HTpd+m25/wBimhlwmmE0&#10;hamFqAHBisin0Oa6vWvtQ0tpWuy6AoTGUABGR3rjS/NdXetfXGgSARQMrW+QfMIIwM56VLGtjEvk&#10;kNvJ8i5PPLVy0kTGRhuUcntXW3OWMLIeHTJGe9c1dD96xA5B7UkDKvknafnyPpTeCckHAp5k52tk&#10;E9qVlUAhTj1xRqIhkUbCVZhz1zVUx5Ofm6fWrrqNjDdnArLaRgPvcZwKluw1YmixHuyxPPHapzNx&#10;ksc1SYb+pPH60KDuGAW70XYaGjH83VucdKkZA6kEnpioY38vDYB4wcipRcRSMQBtOO9VoIrLZrna&#10;CcH1qICSO5ZFO3HTgdMVbEgJ5BI9qrtMonJPQrgZpAOZXJ2lz69BSFPL5Y7vSo5bsZDFQABjk9aJ&#10;blH2srDIHINMCxEgbcd2MdhStD5ikAHb61CkihS4YZPUCpUvlOSTx9RSGM+xwdcsW+vSqwjAR8ux&#10;wTirnnp0XHvlhWbK0iyOFG5dxwRQAse1W3B2DDoc0pd2Y5lbn6VASQcFSCfSnqHxjacetAj1nwLx&#10;4eHJP71v6V0/8Vcn4CYnQHBGMTH+QrqwapAcpo7Y+JV+M/8ALBv5rXYSPXFaZlfibeDPWBv/AGWu&#10;wkPXmqRLOK8UHOtf8AFZynAFaHiUZ1cH/YH9azlpAS5FODZpq+WV5JBpyAEEhgD70AKGz2p6tyOo&#10;piDGcuKB1HOeaAOqjPyJ/uinsf3Ev+6f5VDGT5af7op8h/0ab/cP8qAMf4cvnQZ/+vt/5Cuh1Jv9&#10;Cn+g/nXLfDcv/YE/p9qfH6V0mobvsk2fQfzqhGEp61Xm5Aqwveq8vQVIEWOKt6f/AMfH/ATVWrdh&#10;/rz/ALpoGaiD5ayNeP8ApmjL63FawPyisTX+dU0Mf9Nz/KhAzcuJB9oP0rnW+8T71uTYErZ6hawm&#10;pgNJq3p/MzH/AGDVM1b08/vX/wB2kBojoKrXBB13Tl9Ec1Y9KoTv/wAVJZj+7Ax/UUIHsXdUb/R5&#10;v89658da1tTZjE3oTWSp5pgizGOKfTY+RTz1oABS9qBSikMAKeBikHWnYpgNNIRTjTTQA002nGkN&#10;IBrVXerBqtJQBBJVzTx834iqT9av6cM4/wB6kBtwf63NLqbjAHotMg5eo9SOC3+7TAzbfox9TVrt&#10;Ve2GI/qasnpVMQ2jvRQKQC0Zo70UDO+8xvU/nT42O8A55961xZQD+AUv2SHsgzSAzJhuiZeuVrwP&#10;xIDFqvscr+INfRxgjB+7Xz78RIltPEMyqCAJ3wO2OtA+pzFw+ciuu0KXfo8PPQkVxdwcjdntXT+G&#10;Jd+j/wC7IaaBm4WppamE0meaAEY12tjcsdEt1a1mcGEqWTaQR09a4Z2rtdG1C1Gh26SuysoZSdhI&#10;6+uKTGjCYeVaRsX524XK9a5i7kb7S2AMdc1092XlhgWEAopyXI6DFcvqMZS8ZAeSMGpsDKbTPvJD&#10;CkieSRQ3m4yeeBTJIyrDGSO9RpvMfy9MkUnpsJFptxBHmHH4VWEfzHHHoTTixAHBpA+PvCpuytCe&#10;xTMjhxnFXSkSkfIM+mKpWD5ZwGBOOlWd+JMtmqRLH7YduFiH0qCeCPy3bywvy+lOkuApwZFXvg9a&#10;ikm8yJsS5GMUMDO2gAcDGe9PUL5mGA2Ujq5VflO0daRUeQFVXGOtQrmmg9rWFyQy/L2BpsQ3K4ZQ&#10;SOlOInQ4Kg++cU2NJSzEYX1yetNolMfGhPAAApSoUDcoqNPPaQoFxjuaebW5I+Z0x6GiwiORVkPp&#10;9KaYnLYVgB6VIbCXr5gqJ45Yj1DCmBLEPnAYfN61Y2jd+PFVY3d4xkKMfnTGuZwv8GB7GmmKx6j4&#10;EkU6RMP+mx/kK6vIBri/h+WbSrgvt3LN29wK7AtyKpAcnYnHxQuR6wN/Ja6uR65C3bb8UZcd4T/6&#10;CK6aSTrVIlnMeIjnVAf9gf1rNWp/Et2IdUQEZzGP51lx36FjkEChiNEUuPaqq30JH3qeLuE/x0hl&#10;gCnqBnpVcXMP/PQVIk8Z6OPzoA6tD+7T/dFLIR9lnP8AsH+VRoQY0P8AsiiZsWk/+4f5UAYvw2YH&#10;w7L73T/0rpNRP+hzfQfzrk/hy2zw6/vcyV0d7Lm2kH0/nVCMkdKhk6VKCKik5AqQI8cVasf9cf8A&#10;dNVatWR/eN/u0DNIH5aw9ecf23oSn/nqx/StpTxXOa8x/wCEi0Pnozn9KEI3ZpP3jn/ZrGPetB2y&#10;W+lZ5psBpq3p/wB6T/dqmat2HWQ+1IZonoKy5WB8UxD+7an+YrRLcCsZ3J8VPj+G1H86FuD2LmpP&#10;+4I/2hWYnJqzfOTGB71VjPNMEXIulOPWkiHy049aAFApRTeeKcKAHCn9qYKf2oAaaafWnNTT0oGJ&#10;TaU02kAjVWc8mrJ6VWfrQBXf71X9P4A/GqDcmrtmdqDPpQBr2r/PzUWovkuajhY781HdtkN9aYBb&#10;j90tTt0FRQjCKPapOdxJ6UxCUUUCkAEUuRRS0DPXqKKKQDSAa8I+Ltv5etSSdMsjdPVcV7vtGMDi&#10;vGPjNaEXMc25seWrD88UCZ5UshdCp7Cuj8Jyf6Lcx+jg1zUS4Bbv0rW8MXghvp7dlYtIm4fhQijr&#10;iTTTVWW+WNypQ59yBUbalFnAK59N1MRaaux8MXlqmjGOadVkEhwpIzjiuCe9XH8Iz711/g+GDUtL&#10;uhLBFIUkGNy89KTKiPnt2iSedpdyb2b/AIDniuP1Y7rjzMYZuortLtookmtBtXaCAvYcVxusj95E&#10;SeozUsTKcMe8bWweM81PHaqAAI+D3WoPMVCOxA9KnWdGQiMPuPU9OaQCOkYQ5VTnjFSw2kTEs0a4&#10;HI4qq5lK5JyFOelWY2dY8nkECmgFZAnMSKOeTjk0iruGTyaZJdpEpLcD6HFV1v4sjBY8f3TTERX6&#10;g3CnHO2miIIA2QB64pLu4VyCqk5GCDVTzTJ/CeOAKQFuRy6EDBx3qKJWeVh/sjpTxb5XqFz2pVix&#10;3AzwMd6BiuhjXAU7j71W2PknBOOasMkoALP+FVUnuDwjgEf7NArFy1JJUkeuciriGN3IPygetZkZ&#10;uW+9KQfYCmNJOp2eY314oGa0qorn5sgCs66Ypt2jhhVcXDMR50j/AJ0gCSH72cdM80mAI6Nkbhmm&#10;yYU4LAj61VlVBIpAw3P41JEgbsoP0pDPTvh+ynS7nawP7wH9K6/PIriPh6/+g3q/3ZF/Hg12meRV&#10;x2EzkUbHxRPvCf8A0Cuid+tcy7bfifEfWJv/AEA10Lt1rREM5DxVzqcZ/wCmf9axR1ro9fhWW8jJ&#10;/uf1rKNotSwRTFOHSrJtPQ0z7Mw70gIwRmnqSDR5D9acIn7imB3sR/cxf7g/lSXDf6HP/wBc2/lT&#10;Yj+6i/3B/Km3RxZXH/XNv5UAc/8AD5seGyfW4f8AnW/ePm2kz04rm/ATf8U2B/03c/rW9dsPs75P&#10;cdaoCjlcf/XqNghxnP503cMdRTT2pCHYXsW/OrliPnb5ifl71Q71csfvv/u0AaY+71rm9bOfE2jj&#10;0Eh/SugB4rm9Yb/irNKHpHIf0pAaznhiP7tUCZAOin8atu2A3sKpF8ntRIaGl5B/B+tXLByVkLKR&#10;0qkze1WbM4V/qKSGaJcViBy3im6x/DAg/U1qFqxbVt3ia/PosY/nTQrlm/cJsDHGTxnvUMTrxlhT&#10;ddcDUdJXjBmYn/vmr8rr5a8D8qLBcInTb94VJuGetZM7DfwBUBkI6ZH40h3N4YIp2PyrnxcSDo7f&#10;nVyzmeSTDSPj607Bc1lFPIqFkCjIkcfWqs11JEhIcH6ikMuEU3NZv9pS+iGgam5OPLX86ANE03im&#10;wmW4TcqqPqf/AK1DebGfmjz9GoAG6VXcinPPjOUaq7Sk9Ef/AL5oAYxwauQfcXPpWe7kcsjgepU1&#10;fh+6KEDL8JqC4OfzqSM4U1FJy6/WqEWouMfSnmkQc049aAG5ope9JQMKXBopfzpAeu0VhHxNb/w2&#10;9030hx/MimnxIT9zT7o/72wf1pAbpODXl/xhh36ZBKBk+W4/LBruI9QluE3lTHn+EkHFcd8RlafR&#10;lz82Cy/TI/8ArU7Azw0bcptyBjJ961NAjD6s8gI+VM4x1rMtl3w8da0NGlFtqkYfP7xSnHrSGbVy&#10;/kakriIOxAIBH61Els95djzJdjOSXkxV2RT/AGnERnOwnj2q6LdI0VnyjAcDOOtK1gInsdKtURje&#10;+ee6knP5Y4rS8MmJ7qdC5C7QRsYr/KqJtkhhhuBklmIIJyBjFUdZul0+0+16c8tvc5AfGCpFMFod&#10;le2kSTOw+YN82WOSfxrm74RTlHKAr29qXSNZmubZzeS73RxtyMZGBUNwwCoAwKnkYOe9SNkHkIcZ&#10;FOXEStxgAhuaTz+Pu5PrUTytkhVGCvegRohI+GxyeRxTZnjiQu3A9BVJb6VE2uFIHTAqF7pbl9rk&#10;8Y4xigBtxIJrKUBTnrk1lI5wF3fMf0rUaVHka2EbDI+92qq2nSKM7xzx0pJhYglCqpIbI/lS2yxy&#10;puGfY05rdlO1nxzzxTIrc5KAvgU7hYvK4Chsjd0FJlQq9yKrNiNAqnLe9WLWMSTBGAwVzQAxpMyH&#10;ByorNWUq5+TpnmumMcSJ9wZ+lQnAUkKB+FAjnhdvEcnIGfQ0nn+ZIm1W456Vp37fKCVwe/vVeMqy&#10;Z549qlysUlcqYY8bDn6U1mkibmMirhcBxtP4VBcHdIAepHWkndjasiq+5v4QMdyaerMcAbVp7YCY&#10;aoQQuGz1q7EnpPgOIwwXoL7izIf0NdkDzXI+Cl8uG6BIOQh4/GurB5qlsJ7nH3Bx8Tbb3jP/AKAa&#10;6Fjya5u+bb8S7E+sZ/8AQWroGPJq0SzG1b/j4T/dqlirurH9/H/u1SFS9wF20m2nY4opAM2jtTlT&#10;1FLinrQB0aH92n+6KjvD/oFz/wBc2/lTk/1af7oqK9ONPuf+uTfypgc74DP/ABTa/wDXZ/51vXY3&#10;W7Ke5rnvAh/4pxP+ur/zroZjmM/WmBmNAKrS2/Tk1okdaryDkUCKXksvR2/Or+nCRWky7EY70zHF&#10;WLXgtSGXgzY61zWquT4w08E/dgc10QPFcxqRz4xtPa2c/rTEbErkI56/LWb9pYdYvyNaL8q30qqY&#10;xSkNFc3S943q7ZSK8TFc9e9VjEPSrVqoSM47mkgLJasSwOde1Js9HQfpW1kVgaef+JlqTf8ATfH/&#10;AI6KaES618+s6UAeAzn9BWpKhMa8VjaknmzIT1A4PpTYY5MY82THpuNMdizOMPjFV2zVoWrMMl2P&#10;40x7R88OfxpDKnNW7AfvOuKjNtKO4/KprfzbdsmNW/HFAjVkLBfvVm3bMI+vU1Z+27xg25H0NVLn&#10;50AWJgaGCKBZqRXO+nFMdQw/CmqAG5bH1oHY6HT5AtuMj9adcTDnGahsghhXE6Z9CaWZDz8wIoQF&#10;R5fm6mponBxzVZ0JPQVLGrY+7QxomvpRHYSkEHjGKSJuKgvM+SikHmRRzUqdqEDLkbYWk+9KopiN&#10;x1p0fM60yS+lKetEfTmigYlFFFAC0maKXH0pAdoFFPAFV/PX1pwuE7kUFFuL+7WB42j36G5/usp/&#10;p/Wtm3mR3JVgeO1UPEqCXRLof7Gfy5oEz58tSscksZyCrkfrUivtv7dx2cVHcI0ep3SDgeYT+dTQ&#10;hPt1vuAK7xkGkUtTrsZvoT1JVh+ldBqwSfw3Z7VKzecyiQjG4YGOfbpXPKU8+BnlWIK2dzKWHQ8Y&#10;FaMF02qiHT1jRWeddr4JC9jj09aaJKt1Y3tpHEtwFCP8ykEHI+orP1u1eTSp5FYBNo4+hrpdfstO&#10;0i8jt7a6haNVLuwPIz6nPXrXL3moxT2s8KRnyyp2N6n1+lGwXuV9Ku0ibyZUdhLGGDKucY45q/I1&#10;u5d4WG4J269az/Dbn7fbAjl4WX8iK6C9hRQ37sbyhwcdakpmUpB7Z49aeWXZg1GVbI+XoKhmuEtg&#10;C4PJ60mSh7qRwBn3qvszc7eMEClS985sRxkD1Y4FBjeWTekiAgYwtK6Ks0SEKknmHDYGOOlILoTP&#10;gMo9BnvSPbyGIATEeuBWawWMlSWJ74NLYGXbgrFtLP8AMT68VIrhcltoz0Oay1VHbBTcM5wecVIT&#10;5Zxgce1FwsTuwcjGPqKm08yLfqzI+wA8lalQ4t4wnCkZYikMrFtpzjuKlyaGolx5VBI6ZPU1Wlug&#10;rtGVJIOOKhllCybQxJ9vWq7szSOSQPrTjJsJRsLdM9xjkAD3qJEAXG/8KRZOmTgU/wA1GHJGR0qm&#10;kTctx2MLRq247jz1ofT7d2DEMSBgc09GH2dAMdOoqJ5inR8/WhJD1I57S3jiO2PLD3q3DZwmJSYo&#10;wSP7tVHd8biBn0oN+6cBKdhHXeC4ltri+jUkjapyfxrr81xPgqZ5bm7dsDKDj8a7INVLYTOQ1Vtv&#10;xF04+sf9GroHPJrnNaOPH+mN/sj/ANmroGPJqiWZWqn99H/umqinirWqnEkf0NUQ1JgTA0uaZupd&#10;wpDHU5etR5p6nmgDokPyJ9BUN+f+Jfc/9cm/lUin5V+gqDUD/wAS65/65N/KqJOb8Cn/AIpyP/ro&#10;/wDOuikbKke9c74F48ORD/bf/wBCroJD8p+tMCFqiftUrdahc1IxPSpoON1QZqaE9aALINcxfHd4&#10;yhx2tT/OukBrl7k58af7tr/7NTQjdI+U1GRTyc000mNDCKli4X8aYafH90UkBITwawNMybi+b1uW&#10;/kK3GPBrC0o5Fw3rcSH9cUxFi4GZRToVweabL/rT9KlioKRdUAKKCoJpy/dFJ+FACbB6Uuz2padi&#10;gBEjHpStEPSpEFKwoAptCPSozbj0FW2HNNxQBRa1T+6Kb9mGMjP51dIpAuRQBmyQsnIdh+NV2mu4&#10;wSkp/EZrUlHFUpU4oGV4ru6uJ445nUoDnha1FNZ8CgTZq4rc0ITLiNxU0HMo+lVozkVbtR85PtTE&#10;XV4WilX7tBoGNIoFLSd6AFooooA1do+wQyNIxKMu9s4zhsGp5RbxaiihgGljOFJ64P8A9esBdFlb&#10;w/qllNeyO3nOwYdR0OKuS6bCbzSLovIzwLsU56/L1NOw7mtoE8DfaIopFYxyMrAHOOc1oalEJdOn&#10;U85Rh+lYWiWdvYaxqCwoVaV1kbJznI//AF10cuHgdfakHQ+eNSQxa1Op7hW/SqM4J5HAHOa1/Eie&#10;TrQyOzD8jWVKSI+eMVLGtjqopM2ds/f5DUct5ICyqrKrEc55+opXbNgHXA+QMPbvV+SAXsa3D8YQ&#10;AEDr9KLhYoadbRXGpwi8jklt92XRPvN7Vf1OI2EGw2yRecGCqGDMo960dKhWTTZTbXAS47HHOKyZ&#10;dGvHlaRm8xjzuLcn86LgYGlXBtLmwZ+AkjK5PYV2l0VljBUhlZTgg1yOmRA3rwzqGHmMMVuGxELI&#10;bdygHO0Hg80DEVY/LDMOSKpaksX2Zdy4QOMt7U55Jd+0OuBUE6SXEeySQEA5OFpMRFbxGT7nA9+u&#10;KsxRnqrdPamKQgKrgDpkDFN81sFVbAFSkO4/zdkpRjgkfmazbobZC54qcoGfcQSfUmhhHnG1eO9M&#10;CrHKoA2jLGgxXDk4XOatk52Djr2FTblHAXmlYGPttyW4jcfNjHWmOgyTkMO/NRyTYGdo+pNNSf5W&#10;3MCRzxRyphdk625dtzHA9ageGESktI7DqRnikuriOXCRsT9KpOXD43KOx+amkkJtsuvHasmUXgdy&#10;c0qRRDGEX1yRVASFD98sDxgCpI53ydiMe3SgEaLBUj4YfQVSdyx2kYzyKa80+DwAPTNRKrt8xbn0&#10;pXGWPP2KeM465OaZ5kbYIPXtVacEJkHnvxUCHcR82SKLiO38EP8A8TC7Xt5ef1ruA3ArgPBHyarc&#10;Lnkw/wBRXdg1cdhM5LXjjxxpTewH866Fjya5vxEceMdIb3A/WuhZuTzVEsydYbDxfQ1nh6uayfmh&#10;/Gs0GkwLIfilElQBuvNAJpDLIkqRXqoGNPVqAOrj5RfoKg1M40y6/wCuTfyqeM4jT6CqerMf7Muv&#10;+uTfyNUSc/4HbHh2H/ec/wDjxroZD8mfeuc8EceHYP8Aef8A9CNb8hyv40AMLc1C780pPaon5NK4&#10;xxYVPCwINVgAetTw4AOKQMsZrmJDnxpN7Wy/zrpa5cHPjG8PpCg/WqQjdZsLn3qMzLnrQ7AD5jxm&#10;q7yxnIXJx7UmMs+YvrUiH5Qayczlj91RWjaOvkoGcZ96SBkzH5TWFo//AB6s396WQ/8AjxrelKCJ&#10;ju7GsDR2U6ZFjqdx/NjTBFuQ/vDUsZ5qszfvSPep42HoaBmgDhaSmhiV6UD3NAEg6U4dKZ0pwoAm&#10;TpSuaanSlY0ARmm0E80dqAGHrS0lL2oAhlqlLVyU81TkpDI4+G/Cp1PNQKeTUiHmmhFyI1etR941&#10;Qi9q0bUfIT70xFwfcFJ1p38NJQMbRilooABR+FLjpRQBqIM3V/F2ba35rj+lV43zpdi5PKOgP/oJ&#10;qclY9VbHHmQD/wAdP/16oLJnR7lR1hlc/k2aYGkqMusSlCAzQqRn1BP+NXlvGT5LlfLZuh6qfxqh&#10;52NUtW/vxuufyNbjRJLHhgCCOh6Gkxo8Q8cqsGsEDOTKwB7c81zU2SnJrtfG+hy3WveVaIu8EONz&#10;YAGOaxv+ESvZFw88KZ9yaljWxLp8y3OlJgdE2HPtVx55zZpb+ZIoC43KuCR/Siz0q40+2S2WaJ13&#10;Es2DmrX2N943zbl74GKLAZ9lEdPcvbtKrN1Jc8/nVlr25YYaYgemat/ZIB1Ln8aaba2H/LLP1NFg&#10;uYVsdupMc4IlHP1FdJ6N2Arl9T/c30wXKKQpGO3WthILiBA0UxkUrjZIecfWkMZKo+1SYyRuNO2h&#10;EJDY9RVW8ndbkozKhwCeM44qk90V3/vWI7YApCNB1jwfmxmqkzCEA8AE8c1TLM5QM8jD/epJFO7h&#10;cr2JoGWTcxBVw6k9wKjGZSxTOAPTFN3fKNx5HanwsjQspYLQAyMO0yqCGIOSM9KndXQ5Z1A9PSqU&#10;ZWJmdS3pnGM0038YGcs7Z7ClcQ+WQlgofj1pjkA8k8981AZSxLdFJ6GmvP8AKB0x600BJgZwT+FW&#10;bPYu8Fccg1QVZm+bB59RVm38xCXbaAexPNS2gSZpb0xjgg9jVIlo2JAxntSvK6xb9yfexgelRoXl&#10;+9IMe1O4x6XIAO9Rnd3pr3mCfm/AUzy4+e5+lRy7WHyg/Q0WHcWS6LqV2Eg+1RK6xEkKSR6Cljcb&#10;hk0j5ZzjpQiTqfA07Sa1NkAAwn69RXoQNea+CP3fiB1J/wCWTD+VejZq47CZyXiY48VaOf8AbH8x&#10;W+zcmud8VHHiPRj/ANNB/wChCt4nmqJZm6wcmH8azVrduLaO5C+YxG3oBUQtrSEZ2Z92NJgZIB9K&#10;kWKRuFRj+FaDXtrEcAxg+g5qCXUwq5VWI9hikF0MSynPVQPqaf8AZRHzJKqj2qq2o3DvhIgoPc5N&#10;Zr3199sjSVsxlsfKBigLnYrq9osY2yFtoxkcVnX+s2s+m3QV/mMTDB7cGuUlyXIzxmqt2xW1l5/g&#10;P8qLiOi8ES50KFe4LH/x410bnI/GuM8BSE2ZXPAU/wA66u4ZhFwSOfWq6AKe56fU1C7xg8uPoOaq&#10;M2MksB9arvdwp1lH4VNguWJruVWAii3DOMmr+nu8yMXG0g4wawX1aFT8uWNMbWruOM+VGFXuW/8A&#10;r0DOwCgda5SMqfF2pdBiOMCqSazeSOSbkNjtFlv5VFpguX1ue5kRlSXaAW4PHtTQjo53VE3McDPW&#10;qLXkQJ2hmPsKl1Dc9thWCkt1K5rJNsH/ANZPK/tu2j9MUMdi1LqJjGT5cY/22AqE6lLIMI0rj/pm&#10;mB+Z4pEtreLlIUB9cc/nT8+9AWIvOuyGCgIG673yfyFWdKjMEAiLZ2DGaryzRxKWkdVA6kmpNPuI&#10;pldom3AY5HShAWQwMrc85q0jED1rNRsysfer8TZAoGaEcgKCnA5qsv15qVWoAnBp2ahV6eGFAFhO&#10;lKxpitxmkZqAGk0mabmjPFAC5OaU9KZmgnigCGU1TkOTVmU1Vc5pDGZxmlRuaidsE0iMfWmhGpAc&#10;4+tatt/qh7mse1YnAPoa2rcYjT6UxFk0lDGkoGGKKKKAF5paSl/GgC1K+byykByHDJn6jP8ASoIo&#10;/wB9qUB/iO4fiuP6VhY1ebRdJZryOGaGVfOKjIYZxj8jWgtns8SXVw97KUuLcL5PZccZH+e9Ngy+&#10;1wPJ024YgbWUMSfVSP511kLBox9K86Wys4NAW1d3kSGfcCzc53139owNvGe2MUhl270+2l0i5ZIE&#10;EskRy+3k/jXmEletWgD2hX1yDXlN6hiupo+6uR+tNiW5SfrTM4pX96jNQUKTTWoyaa1AFpEiuLYR&#10;yosg6EEZrEszc29xPDcRusCykQswONv1rbtFV4jkcg9R1FTYRozkhh90g80mNHKaupkutyMCpAzV&#10;SKJSNxI4POa0dRgjFzhcgLkBRVIqgP3am4FJn252HPPaomebd80bbTxmtEKsfQDmopm3J8x/Ki4J&#10;FbBAAYgH60uz5MgD600xyqcq4K5/KkaQ55Y5HFTcqyGyOWGCufaq/nsvy7F49anz1yRiq0iO7fKh&#10;xjrTQmSSSME6Bag3khmJ9qkAc/uyM5GMGg2kn3V/WmSTxyEKNp4I6VagchCWII9KpfZXRQrPgj2q&#10;vInlyhTIzZ96lJ3LcjQuGjZchqjhguJsfZ4JZCf7iE/yFVCcMNoB/nXsWkBTo9mQMZhT+VUkTe55&#10;3B4b1m55Fk6Z7yELWnbeCr7OZ54Uz1AJY1323ikKH61VhHJReCbRQBLcSMB/dUD/ABq/F4W0mPGb&#10;cyY/vsTW0zKn3jge9UL/AFa2sIfNdgwz64pWGS21haWj7oLaKI4wWVQD+dWs1yFj43TUvEUOmQQL&#10;scMWkznoM4FdTvqoks57xKIzrGlGQciTg+mCD/StfPNYPiqRE1HSWckDzOMDPORW5mqEylqrSrFH&#10;5Uoj5OeayljDANNO7E/3f/r1qampdI8diaz2MYwO/pWcpakixC3j5WFmPqxzU/2rKlUjA+gqIShY&#10;+XA9hVdruJCeS1JSYDLk3LJjzSoHQCszbM2/zn3H+E9MVaudTiVSCUUf7TVm/bVlOIt8p/2EJpps&#10;B7SAHB4Peql64+yye6mrS2V9Kf3dnsB7yMBUv/CPXU8ZWe5SMHqI1z/OnYdiXwEQIHHov9a6TWJv&#10;Jsg3mLHlwNzHFZ2g6ZDpUrxxO7BlyS31rTvSDEMgHnvV9AZzDSPKfl8+X3SPA/M0Cznc58lE95JC&#10;x/If41rMwqFn4pDKYtH6NcMB6RKF/wATTls7YNuMQdh/FIdx/Wia7ji5eRV/Gqf9r27LmMs4zjIG&#10;KANMkAY7DsKktz/pCeuawZNVkOdiKvueai0W8uLnWP3srFVcgL26UAdXeMPKG44G71rJur+C2UO2&#10;T6YFXNTfEKDr81YN3GZwBwuDnmhiGT6/JyIolHuxzUhu55IwWcjIyccVkSQqJCMk81qKo2ge1AMr&#10;Xrf6LITn7p61s6CNtieO4/lWNqAAspT7Vs6Udljx6/0oQFmI5c/WtCI8CsqBskmtGFuKBl5G45qU&#10;HjFVVbPepVagCcGng1CG5p4egZMGoLVEGo3UASFqTNMzSE+9Ah+6kJ4pm6mM9IYyRqrseafIwJqF&#10;mpAQyHr9aRTyKZI2enrSoeRmqEa1sePwrcg6KPasO16fkK3Iv5UwJTgmlpueaWgAFKKQGlFAC0v4&#10;U0mlz70AeWHxBrs9sbeJtqFsgJF05z1PvTkPiO8l8y4u7knGBhtvHpxXocHhaUnhCK0YfCr8ZGPw&#10;osxnnFv4eklbdcSSFs7s+YSc+tevaBO0mmQhzkrlSagg8KqDliTWva6YtjFsA4PNO1guaunt8rr7&#10;5rzvxHD5GuXS9AW3D8a9As/kmI9RXHeNYdmrJJ2kjH6UPYnqcnIajzT5KhJqCxcimk0hNITQBasY&#10;/NZwCQQMgg0RW0sE1yXYupk3DA6cCjT8mVwCQccEVYa6RbiWGZlDlA+emR0pPYa3MDVCPNLr36j8&#10;KzcseAvP51samS0zk4Oxgq/lWTLK/wCXpxUgVJZCHKkMWH4Cq0sxzhVUZHUnNF1KWc54OcHNVM5b&#10;qTRYLlnzDj55SD6IKTgEEEnd6mocFiAMZ+tSYIAUc/TmkMkbHqaczMRkfrTQkhAYofrTVEjE/NgZ&#10;qiRrKwlViexqU3CLjjdjsO1I8J+UHJyaDAEPAFS2UkwkucgZBA+tVJZI5GGMn8KnIRn2sMZ5yKfG&#10;kaDbjOeeaLisUMMrFlVh7dK9g8OSGTw9YMevkqP6V5TMY13fMNxFeoeFW3eGrI+ikfqapO4WNsUt&#10;NFOqhHL+K7oxPFCJpIt0bNlDgkjGB+teValqbtKY5PO64JdjyK9H8dpJJNZRxSJG8iyKHc4AOBXC&#10;X+iapqG0XEcatHwJR0YCk0CNHwrpL2+qQ6ms3mRBT8pGCCRj8a9FgvElYrkbgORXFaGs1hpjW0mP&#10;P6K5+7+NbWl+ZHcskrh5BEu5h9WojcTIPGTDz9Lb0m/qK6HdXL+MnOLA44EvWujV9yZ9aoTM7Xrk&#10;28ERAYksRhVJNYifbp+YrKXn+KQ7a6mQglR9aYaGhHPDStTm+/PDAD/dBY1MnhyI83F3cTe27aP0&#10;rbNMdgoySAPc0WGUItF023OUtIy3qw3H9atqqqMKoUDsBiqs+q2UPD3CE+inP8qz5vEUIyIYnc+/&#10;FAGyaaawZNauXHyKkYPoM1lajdXEtrIXmc/KeM0Bc7O1lRrtgrKSE5wc45purXS21srsCfmxgVz/&#10;AIMG2OUnqVHWtbW42nto0QEnf2p9BGNLq8jA7EVfrzWTd31xLwZmAz24FbEfh+dzmRto9KvReH7W&#10;PHmfPU6lXRyHmL0JLH2GaswRbIQApUHnBrsk02zhOVt0z6kZrI1NB9tbAAHHH4UCMcpzT/Di/wDE&#10;zkI7O38qnZQDUPhv/j8lP+21CA6K/IMYz25rGlYVq3zfuqxZm602IznOZz9a1QO1ZAO64H1rdCDH&#10;FAGbqfFi+e5A/WtezOyy/OsvV0xaqPWRR+tX0bba49qBk1uwrSibgVj27ZxWnE3FIZdVqlDc1UDY&#10;NSK+TQBaD+lPD1VVqeGoAshqduquH5607dQBKWpCeKj3c0FuKAH7qY7Dmm7qYxzQBG55qJj1NPao&#10;ZTiNj7UhlUvg1LGckVV3fNU8P3hVEm1aH7vu1bcTcGuetGw6D3zW1E/y0wLYal3VAGp26gCYGjNQ&#10;h80oagCbIoyKi3UbvekB6YLeNOQop+xeyigkd6TeBxWohdoHaq16cRqffFTNIB3qndzh4tq/XNDA&#10;IDiZD61geOYcwWs/oxU1qwTncFPBBqDxbF5ugu3eNg1T0BnmsuKrsanlqs3WsywJxTSeKCaYTxQB&#10;PbAvLhXZGxkFamMJubr/AEmNDIqYSVeuM9DVW3b/AEhMMRnjIqybwWt5EbjYA2UDk4BPp9aGNFHW&#10;Ivs9qzE5+YdK597pPlwpz3zXVa4RLp8hAHvXG7QGIIyPepEyOU+ZL8xHJ6Yp8luvltg9u3FDOitk&#10;tULT5BJJA7UgLUUEICsFzlQamjRd4CriqX2mOOBcE7gMZAzUIvd+FBkyT16UwNMyL90Nz3qvnG7P&#10;HtUKRu4yXwPapBCC2NxP1oAN4xy3TrTHlBHRifYU2Xgso6fzqJ2Jwof9anlHzDizM4IG3juaZtZp&#10;P9YfwpoIGad5i42jO/2qrCuSeXEOg3Hvk16X4RYHw7AFHAZhj/gRry3cwPC9D3r0rwRL5nh8disr&#10;D+VNAdOKWmg0uaYHF+PY0ZbQsM43fyrhE1G6sQRBM23OdrfMPyNd549yIbY44z/WvN5w/lsxBC0n&#10;uBr6frlzqeowWsiIiOdp8sc5/Guys9PFtJJIjsGfg7jnNec6AQNatG54kFerLjvRERzfi0Omn2Ik&#10;YNIsgDMBjJwa6FW/dj6Vg+M/+Qfbn0mH8jWvG37pfoKoTHXNwsAV3zjpxVR9UBHyR5+po1HDwKOf&#10;vVmnA4FMTZafUJ36MFH+yKpXTvLCwYls+9P5IxinCPPXGKQHOtCyyEKCB049KcsLMcBWJrovKjA+&#10;4KcFVeigfhSGYe0jiqt+CLOU4/hNabqNxqjqQ/0CY4/hNMRo+E+IGOc/IK6UHJFcv4VOLM/QV0cb&#10;Zb8KAJD3pueaC1MzzQAufWsS/BN0xraJrKugDO/1pDMxxwaqeGj88rf7TVoXCgIT7Vm+GziOQnuz&#10;fzpoDdvGzCaxZzyea1LqT9wfciseZuTSYirHzdqP9oV0K1ztv814mP71dFHimBR1jGy3X1mWpXbE&#10;OPaoNWbM9kv/AE2B/SnTN8lAye3OAK1IDkcVj2x4FattyKQyznFPVhUJbjpSgnFAE6tTw2R1quDT&#10;gTQBZBp27iq+7FO3UATZoJqEMaXdQBJmmlqYWNG6gBGNV7hsQt9KmY96q3b4h+ppDKgOSasxdqpq&#10;3NWoz8tUI0LV/wB8vsK2on/diudtZP3zewrbjf5VoCxcD0u+oA9LuGKAJ99LvqvvoD+9AFjzPel3&#10;1X3Clz70AeptL6io2mwKieT0NQk59a0uSSPKTVeVzg80pbAqvI3HWlcdhPNVTk1fvgt7oc6Kc7oj&#10;+eKxZCSaW5e/ksRHbXJjAXBAA5H1ouDRwcveqM0yRcu2BWldadd7mC3G3/gIrOk0eaTiS6lb6cVF&#10;hlV7+BWwSR7kYH5moZNTt1HyuGPtzVoeHLfdubcx9SakGiW6fwn8aBmTHqsjXMapHgFgCSKv6zbP&#10;ewQwyYZROjbvYHvVpdMhUg7Rkc1X1CeS2tnfyzLsIIC9Tg9KTBEl47JZTfLlAvQ1xrzu5x0HtXa3&#10;eJLCQMCu5Put1riJFCEgjoe1QN7kZ2lm5Y+mDTABuH9acFJOQCaPs8rHjAHuadxDpFwob1qLpIjA&#10;5FSrbZOHkLY7CpVhRW6DHpQBJHKACOcZ6UjTsDgDBqVTHt2/KuffFMZEdlCtn3zQIjwZF47nuaaY&#10;1UlSOnWrQjVRgUMkRUs7AEeppNjSK8sSJGhUAkmnxxqedvPc1D5gUkBi69R9aQzsQMcfjQDHybQc&#10;/pXfeBGzo0wB6TE/oK40WkYGWy2Rxk123g3atncIoAAcHj6U+oHTinU0UuasDkfHYP2SAjoCa87u&#10;5WnQxbV+UenIr17XrEX+ntGcA54PpXK/2DHtbe0UZIwTHHyfxOcUrXFe2hxOiwsuq2zDtKv869TT&#10;iuOh0uytb6IqpO2UHLMT3rsn2hjt6UJWEc94zP8AxKoj6Sj+Rq8kn7pP90fyqj4w50dfaQf1qQS/&#10;uouf+Wa/ypgN1S9W2tg7AEFgOaopqEMoHIWq/iMmTTMD++P61yazSw/dYihgd6rgjIOafmuKg1eW&#10;MjJ6Vr22vowxJUgb+cij8aqQ3sE/KOM+hqxnNMZUcZas7VONPn/3TWk9Z2rf8g6f/doEWPDb7bAH&#10;/ZFdBbPuY/SuZ8PHbp6/SugsmyzfSmItk0mRSE8mkzQA4n0rNnP71vrWgTis2Y/vG+tAypdnEL/Q&#10;1k+HuLUn3P8AOtO9YC2c5/hNZWhHFiPfP86ANW6OYB/vVkzHk81pXB/0Zc9dxrKmNIBlp/x+p9a3&#10;0rn7Hm9U/Wt5DTEUNTOdQsl/2mP6USt8ppl8c6ta+yuaJTwPc0hotW/3RWtbfcNZEHQVrWw+TrQM&#10;mc84oHFNbrSjpQBJSimA04HigB6mnZ5qPNLnmkBJnApM/lTfxo79aAH5pKbn3opgDdKpXpwijPer&#10;TmqF6eUHtSGQLVoH5app1FWuiVQiWz5kY++K3UPArC0/k59WrcU0gJ1PFOzxTBxS0wFNLTaM0AOz&#10;S596bS5oA9J3E0hzSBvQU7Yx4AFO4DCCahk4HNTshHU1BIODjmgZTkIqSOTbGaglzycVGHIBzkUC&#10;M27C+axrPcgdKtXz/OcVms/XikA5mGKgfrSM5xUbOaLjFPFZ9xuVm4yueo7VZeXHSqlwzYYkZUjn&#10;HakCLV4RPGCgBQKetclJFC0rkgAhj27V0UBJsIzG2UK8rXMXjGO8kG3g9qgbDMQHyvkConccnIxU&#10;D5xuAphOepFAFhGUsduM9aa8hZiTjPoKqttPUE05z8vbFMRNwTwBT4/MByuM1GgBQc4FK0qhGVRk&#10;0ASM7YwWwarDDZ4yakCOw3AEfWk8hsnLAc9aAGc55J+lDEAelDxkY2MT/WoiHUjd07iiwjUF2oCk&#10;ngV1/gm7Fx9tAGACpH6153k55Xj0rtPh7J/pV7HjHyqcfjQNM9BBpRTBTqoRDe/8ezfUVizEbSK2&#10;r3m1bFYT96pCZz0yj7WD/tj+ddETzXPzgC6Of71bxPpSAw/Fxzop/wCugqMNmCA+sS/yqTxWc6FJ&#10;7Mv86pBj9mtiP+eK/wAqfUCl4gfGnH0DiuX8xWU9Oe9dLq6+ZYMpP8QNcw8BHSkwI2UjkdKaH29R&#10;SnctKDwSaAJIrp4z8rkVqWutzRYDEkViAKfalUEEd6AudyJ1dQehNU9WI/s2c/7NNUnaMHtUGouf&#10;7OmB5+WkBa0PjT0+lb1g2WfHpWBpRC2MfuorSt75LZsN1bpzT6CNfPNA69arR3cUo4bB96mB+lAx&#10;5PasyRv3jfWtAnmsxz87fWgClqJxZyn/AGTWdox26eh9R/WruqP/AKDN/umqGlHFhH/u0gNKcg2s&#10;f+8aypjwa0rg/wCjQ/jWXMeDQAun83f0BraQ1iad/wAfLH2rZQ8dKBMz7o51lPaIn9aJDkio5Wzq&#10;8h9IgP1pXbkUDReg6Cta2/1Q9ayIDwK1oeIl96BkhPNKDUZPzU4GkBIKcDx1qMfXinUwHg5p2eaj&#10;zgUuelIB+eaXNMBooGOpM0nFJnmgAY8Vm3jZlx6CtBzWVdNmdvypgEZ5FWGJEeaqxnmp3OI/wpiL&#10;2mjhPzrYXrWXpq4C47CtRetICUcU6mA0oNMB2aKTPNGaAHUvHqKaDzTs0AemgDHagts9/pULLNv+&#10;UqF75pDbF7hJS7DYCNoOAfqKBkrt6c59ahdjg54qfy9xyTTJVXBBoAyJ2xmqxc4P6VcuU2nIqg4+&#10;bk0AZ16fmNZ0nStC771lSt6dKAI3aoGbB60rtnIxzUWeeRSAQt3qCRmBzwV7irJC9yKp3ZkQh0Tc&#10;g+8B1pDEtLgJaoh2/e4P41z+rEtfu+3k4zVzTrhZGvoSd2yXco9j/wDXqrq8eydWDH5lqRszDKcM&#10;CBmoWJ+tT+Wg5ck56UxkXO4kYppEkPzMcCpkiD8FsU1hyCCCMUiMQ3uKQFopGoC5PFIIlHzA9fSo&#10;ZblMZYgH261F9vCkbFJA9eKALr59+KYz8A96pNeytnO0D2quzFjkkmnYDQku0BB3ZPotVpLlnOQu&#10;38ag5+lJjJ5pgP8AOYjG4113w7f/AInNyvPzQd/YiuQCZrqfAJ2eIWGfvQsP1FAHqQp2ajU5p4NM&#10;BlzzbPWDIDzW9Mf3L/SsKUjcapEs568ys7j3rczlR9Kwr4n7SwrbQ5RfoKQGR4oGdCm9iv8AMVnK&#10;2LO0PrCtafiX/kBXP0H8xWTEc2Fkf+mQpgV9S5s3HXkVhFeK3L//AI9XH0rFIpMCJkByCM1GYBg4&#10;4qxjmkx60AUniI7UxQQwrQKimGEMR0oA2weBx2qtqJ/4l030q0uRjHNVNT/48Jj7UAW9OP8AoMX+&#10;7VHWZMGHHHBq1YnFlDn+4Ko6ww3QgjIwaBEMWoTwn5JCR6NzWha+Idj4l3J7jkVhcfwt+BqJiQeR&#10;QM7631ZLgDY6SfQ4P5U1nBYkdzXCRuytlSQR3BrrElOxcnJxRYBmsNiwl/3TVPTztsoh/sinatNm&#10;wlGe2Kjtji2iH+yKANC4OYIP90n9ay5jwa0bpv3UH/XOsuZuDSAm03/Wv9K11PFY+m/ec1qKwxTA&#10;zic6lcn0VRSlvmFRI2by7b/aA/SnA5kGKTGjSgPTNa0R/dj6VkQdq14/uDPpSAD96njrzUXenigB&#10;+acDUYNKOOtAEgNLmmZ4pc0AODUuaZxRTAfnFGeKaeKM+tIY1jWRO2ZmPvWo5xk1iu2ZPrTQE8Z9&#10;BUsp+XHfpUEJ5qZuXQf7QpiNuwXCmr6mqdmMRn61cUUgJQaKQUdaYDu9FAoxQAopNv1pRS/jQM9T&#10;+UjnANRMwzio45QG8o84+6T6VMDgA8Y9KQxPlxkcVFIysMHr2qR5EDdOahkYAcrmgChdSKnB5PtW&#10;XJIH3EAgA45rUu2VUyorKm+YZHU0CM66PBxWVMetalxnHNZsoHNMRTYkVA7EGrD9cVXdaQyIyHNA&#10;lycGhlqI4BwBSAgnhRGmlgjUSuuOnWszVHZooTINrYwRWtITVG9to7tP3g6dMdqVuo2c28wDfe6V&#10;E1wNvy5q9Npoj+50qq1uV6imSQiZux+uaYWZjyTUpiIo20AJ5JNt53o20j8OKjC1ciZUhmjcH5wM&#10;fUH/APXUOM8UARbTjpShcdalANLtOOKYEOPSlCnrjBqYL60u0YoAiVM966LwZ+78SQ/7SMP0rDAr&#10;Y8LNs8R2nPViP0NIZ6qpp+ajHFP7UwEk5hf6GsGTqRW+/KEe1Yci/Mc1SJZzd/xdt9K2YzmFD/si&#10;sfUh/pZ+lakJzbR/7opAUfEPOhXX+7/WsWFj/Zllz/yz/rW1rmW0W76/6s1hQHOkWTf7B/nTAive&#10;bZxWTWrdn9w9Zf0pMBKTFLSUgEpQMkUcYoBBOM80wNYEiqepn/iXSfT+tWsnvVPVD/xLpKALNpxa&#10;RD/YFUNVBZoyM8Crtr/x6xf7gqtecsv0oAp2L20U5a6iaRNpAA9aL2a2C+VaxfL13nrQ0asKhaHB&#10;9qQEMYBbB4rpx90VzQUiRcjvXRZ4HNMRR1dv9DehWxCg/wBkVHqzf6Lj1IpWOMD2oGWryYr5Q9Ix&#10;WZLcDFW9QOJVHoi/yrImI5pAjX0yQEOelaqsCvBFc7prFUbB71rJKdvNAFWM/Nct6y4pUbMuPaod&#10;4W2Zs/elY1FFeRrOVc496AN+3OcVrKwCgZ5rFtJo3I2sD9DWoQOv6UiiQHJNPBqFWxUgOTzQBIDS&#10;g1HmlBoESZNLntTAeM5ozTGSA00yfNjBpN3OKXPNAh4OeaD9abnignFAEUzYRz6CsUn5+tal22IX&#10;PtWTn5zQgZah6ipk+a4QfjVeE/yqxBzcD2FMDobYYgFWV6VWg4iUe1WFPFICWlHJpmcCgGmBIKWm&#10;g0uaAHU6mA07B9aBnpDxFuh+Ycg4pyS7k5B3Dgj0qY4yOcVVuJVt2WQA4zh/pSGSqRzkZ4ppVpM5&#10;49MVLlShI7jioWkwM4yRQBTmhUAjqfesu4TGQBWrchZACe3PWsuZ8bqBGXccZyKyrggZrWuCPXms&#10;m4GSaYii7c4FQOT2NTOcE1WYk0ARMTmmEntT9vOTTGPpSGRvnFQHJ4qw5z1NQSYA60AQuBjBqpLA&#10;DnirnJHAqNh60CMx4CO1QtBj2rVMY+tROgxQMzDDTSmDxV1hx0qMxk84pAVvwowScmp9g9KaVGel&#10;AiPoKMCnlfQU08UwE4+grQ0JimvWTDp5oFZxB9Kt6Y2zVLVvSZP50gPYBT6iWpAaYxTyDWJMfmNb&#10;VYVxw5+tNCZz2qf8fX4Vo25/0SI/7IrP1T/j4B9quWrf6HH9KBEOsc6Pdj/pkf5Vzts2dGs+f7w/&#10;Wui1TnS7of8ATJv5VzVoc6Ja+xb+dACXJzA/0rMzxWhOf3LfSs7HcUMBaOlJS4GeaQCZzmkCjdkA&#10;A07vQDzTA0gapaqf+JfIOnSreapaof8AQH/CgRZtzi1i/wBwVXueXX6VJCf9GjP+yKinOWH0oGQE&#10;ZpMU/GKbQAKMuvfmtPtxWan+sX61o56UCZnaqT5Kj1YUrn5sUmpDPlD1cUjk+Zz60Ahupyn7Uwz0&#10;AH6VneXJKflUketa80KSTNK3fnntUBmUHZEu9vboKQwtYPIjO5venNMWz5ALY6noo/GoHYZzM289&#10;kX7oqKWZ3AGQqjoo4FADpHCwrEG3EEkkdKynY+cxHrVppOMDrVfymJLZzmgZbstQa2OGTcv61v22&#10;txsoAkIPo9cpgr1pQaAO7i1KIkBuPccir0ciyLlGB47V52k0kZ+VyKuQarNCckn6ilYDu8mgHNc5&#10;ba/kAM4b2bitWHVbeQDdlTQM0QcUZ5qNJUkXKMGHsadQA7vTs80zOKTcc0AS54pCabmkY4oAq3zY&#10;gPuayg3J5q/ft8ij1OazVPNNCZdhOQfpVq05mb8BVOD7hNXtPG6T/gVMEb6dBUynioUqYUgH8Up4&#10;popc5oAcDSg03NLQA/NLk02jB9aAPT96k7cncBn2oID/ACgZ9c1GrHkimrKd3PH1plCLmKTy2IIP&#10;K/4VI0iYwV5qtdDfGRn5uox2NQQXJnQh/wDWocMuf1pALckbCEOD2yM1jSyyAkSR49CvIP8AhWxI&#10;cg54rLnjwxK/U0CMuc+vSs6Y9cVevHjjDPNIsca8l2OABWHb6tZ37OLVzIqnG7BAP0pgEuOtV2x6&#10;1PMMmqz46GkIa3AJqIkd6exGKhZgM0DBlz9KgdMHpUnmFhxTdjuwCgsx7CgCHcAOc00k/wB3NOcb&#10;HKupUjqCKjdhg80CGs3pTCA3UcetIST0/OkIPqaBjWVe1RMtTbMmmmLNAisVUE004qwY8e9QsoA5&#10;oAiP0puCeaeR6UYoAiIqa3bZcxN3Dg/rTCD0FC8OD3FID2JDwKlFVrdt0Ebeqg/pVgUxj6wLriZh&#10;71vVgX3Ez/71NCZgar/rl+lWrNs2cftVXVP9YlWLP/jzjOfX+dHUQl981hcD/pm38q5eyP8AxJLc&#10;ejtXU3YzZzD1Q/yrk7HnRI/aVhQwCY5iYe1UcnNXJP8AVt9KpGgBc+lJSUZpALRSjpR3FMC9VPVD&#10;/oL/AFFWc81U1L/jybPqKQE0f/HvHn+6Kim++PpUi8RJ/u1DKfnFMBuTSE80ZqRLeSX7q8eppAMj&#10;/wBYox3rRVcmmxWaRfM5yR+VNlvIy3lwoZX9F7UXAq34/fW47b6jlJ8w7eTnillhLTCS4cZXkIh6&#10;fU1G5znHegAkVm5uJP8Atmh/majaTC7UARfQVFLMkfU5b0qm8zynjgUAWGdRnGCRVdmkY9M0KhqZ&#10;QRjtQMixj7wBNDMT04qfbkHvUbRZHFAEJJz60mFK5zg+lSGNl7UzFADSp69aTJp2KM0ANyKljuJI&#10;j8rnHpTMKfakKY96ANGDVpIzzkY7qa2LXXixAZ1b2bg1yuMdaM0Bc9Ah1O3k+8dpq0rqy5Ugg+hr&#10;zuO6li+65x6GtC21hoyNwI91NIdztweKYx461lWGpJcqAk8Zb+65wavSSsg/eRunv1H50AU9Qf5l&#10;HtVJDU17IHkO05GKrKaaEy9GcRitPSlyVP41lA4jH0rY0tThfZaANlealHFQqakUmgB+fSnZpm6j&#10;OaAHg0uaaKUUDH5p2BUYNSZpiPRWJLZAwDQqgvnFPCGRASNp96cUVRnJJpFCsVAztzj1rNvE2P8A&#10;a0GCowyj+IVoFvlxnFZl3dLDHueN3GcYAzQBMRFLEJEbKsM1l3RKZAIxT0kNtIAxIhk5C/3Se1Pu&#10;YQwz0WgRhXcKXEbRzKrowwQRwayF0y2tJMQoqHHAB7fSuimgx82cfWsu5AyT196YGbIMEiqUmKuT&#10;5yeeapyZzlqBFdixJxgCo23BsnBqZsVGR60gG7vVVqW11GWxkMluqK+MbiM4+lQMQDUbEdKALNxq&#10;t1exvHciM7jneqAHFUGRc4D8e4pzHHPamOcigBNhAJxx65qMt24p4z0yeaY3HORQAwvigsMd+aTH&#10;rS8L2JoAYy5PFRNGQOelSluT2pM560AQbMCmnJGP5VMw46io8E8cUAMzjtSYzyKfSYxxQB6rpz79&#10;Otm9Yl/lV0GszRW3aPaH/pkK0hQMeDWBqB/0hx/tVvdq57UjtvnH4/pTQmYeq9U+tT2R/wBCj/H+&#10;dQapyFPvTrFybUKezGjqInn5gceqmuRsT/xJAPSY/wAq62Q5jYexrkLI/wDEncelwf5U2AOflP0q&#10;rirDfdP0qDgjrSASkxS96TtQAUZ54opO9AFoNVXUT/oh/wB4VOCSelQakpFpzxlhQBOOFUdMAUJb&#10;PO2R931NMJwF7/KKliu2QeTDE0spOcAfzoAsx2cMIy3zH1PSmPepny4FMsn91RUbxM5zezf9sYj/&#10;ADNNefYnlxIsUf8AdQdfqaQCSI7HN3Nx/wA8Yj/M1G021fLjURp/dT+tQyzLGMs2PaqMl47nEY2+&#10;5oAtySLGCWOPYVnyTyyk7PlXNIqnqzFieuaftzQMgCEnk5qVU9qkEdPC0CGBadingUtADMUYFO25&#10;OKMFSQR0oAZimtGG7VLikxQMrNAexzUZXHWrpFNKgjkZoApY5oyRVl4QTxULRsvb8aBDCQRzzRtB&#10;6GjHtQqkngZNADSrCipAWX5tvBNGUbqMUARgkcjg1ftNav7PiOdiv9xuRVMoD0IphBHagDozdNdo&#10;szIqF+SFGBTkI3CoIRiGNfRanjHzUATyyhMA+ldDpeDHkdMVxupXJhlBXnA6GtCx8QWm1RIklu/9&#10;+M5H5UDO1WpAaxrTVPNXMUsVwP8AZOG/Krsd/CSAxMbHswoGXc04GohyMg5p4NAh4PWlBNMp2aYD&#10;xUuR6iol61Jn3FAHoryXWfkijYem/mpk3mMFwAx6gHOKQOueOtV5LnY20ZPPYUFDiwWXDevFDLEn&#10;3wCT2xVeSQ5zg8+/NNWaV1+aPGO+aQDb6NLm1ZAuOO3asaG5cg20zYlj6f7Q9a2D0IJ/CsTUYWaR&#10;ZYiBIh4PqPSgQyaQjjt61mTluSelXTKskYYHOeoqjcSDBwOKYGfL1zmqjnjGetWpcZwBVZ170CK5&#10;zUZPtzUrnAx2qBjzQBG3WomPr1qQmmsMgcUgIyckg9Kjb6cVINocbske1NYckjpnvQBHnjrTG5HF&#10;PI6mmluKAGFsmkHHB/SkPJ4pvOeaAFOKQHOMnHNBximgUABGT7UhBxT9uaUKcUAQ89KBmpNp60FQ&#10;BQB6H4dfdodr7KR+tbArB8MNnRIx/dZh+tbg6UDHiue1c7b8/QV0ANc/rQ/07P8AsimhMwdSb92v&#10;1o09swMe26makcx/jRpp/cOPRqBF9GGea46zONOuF9LiutP3T61yNtxa3o9J6bAQnIqA1KTgVATn&#10;HNIBc0ZoVWc4UEn2q5Dp7EgyttHoOtICmFLNgAmrcVhI3L/KP1rQVILVM/Kg9T1qqb+S4YrZQmQ9&#10;5G4UfjQA8wxwoSSB7msm9c3g8q2VnAOS3YVea2Utvu5jO/8AcU4Qf40PKSu1QFUdFUYAoAq4KgKS&#10;CQoBqWOZkh2qcAnnHU1AxG5vrVaW5cMYoxgj+KmBaklSMZdtvtVGa9ZjiMYHr3qHa0jEsc+9PEYA&#10;4pAQ7SxyxJPvUix4qQIO4pwXigYzaKcFwPSn7aUjigBgFKBTsUYpiExikxT6THFIBtAFOxSY4oAT&#10;HFGPWnDNGKAGkUmKfSEcUAMIzSbakApCMUAQtECOmKiaA9RzVsgHNJtoAokEDaQcU0ir5TI55+tM&#10;8hWP92gCngjvTkOWAY8VOysqFdqkeuOlMZYxGuC2/uCOKBmjHKrYweMdquxHGCDmsFDsOQatRXsk&#10;fUZFICPVXLTn61UHQVZmZJjubnnNR7UPQ4+tNMQ1HZCGVip7EGtS2168hwsjCZP7snP61mFD25pO&#10;lMDqrTxFASOZLdu+OVrct9Y8xdx8uZf7yHB/KvOD14qVZ5YyCrlSO4osO56jFf28vAfafRuKtAgj&#10;g15lBrVymBJiQD+91/Otez8RKpA8xovY8ikB3KnBp+RWFba8jgeYoYf3kNXhqtpj/W/pRcZ6aZsZ&#10;A+X+tMZmJHTHoaqlXkzuYdeCT0qwrJGuNwJ9aYxzAHnFIXyOCc4pkkpONtVmuCOCMmkA9mJHXmqE&#10;5JJ70styqsckAd+azJtYt93loS3OMgcUCIpYzBLvB+Rz83sfWo5VUe9SyTeYpBHFUjIUyjduh9qA&#10;I5MAntVSQ88/hUznJOetV5Bxn0piK8nNV2qy3vUDDOaAI8dfWmHj61KemfaonOR6GgZGRkdeajPo&#10;adnrSDk46UCGNkimYqRhg8c+9Nbg0gIjjsOaTtzUhwaOPQUDI8UYApS3bFNINAhSQOlJyelC8GnH&#10;HQGgBUVD99iB7CpleFVISAEkY3Ocn8hUKgd+aXPFAHY+F226Yy56SH+ldAprjfD2oJAGgcgFjkZ7&#10;11Ky7gCnekVYuisHXRi6Q+q1q73UgkcVk6780kLA8FTVCZzeoN+6PpTdMb5JMeop18P3LVDpL5Eq&#10;/Q/zoEaR6HNcuIfKivBuVsy9u1dQ3C1zG0Bb0b1ZjJkgHpzQIq5zxUkVn3c/gKhzg5NTJJdXf/Hv&#10;FsT/AJ6PwKALW6K3TOQgFRC6nudy2kRK/wDPRuFH40qWdvGd0zG5k9W4UfhUrzMwA6AdAOAKVgIh&#10;aRKd91Iblx/D0Qf40+SdmUKMBR0VRgCoZZ0j5dgKzLjUnJKxLgf3jTAvzTJEMu2Pasm61KRxsthj&#10;1aosNIxZmJJ9aeseBikMs27fuQXbJNMYAyuWGRjgZoQbV6U7GTTERBcAU4LzT9vFLigBAO5o4HQU&#10;vajtQAn1oxQBRSAKO1KDR3oAbS/hS4oPFMBKB70UvXmkMSilxSjFMQ2gU7FFAxpAx05pKdijFADc&#10;DFG33p1HTigBuOaMU7BoxzQIZimmNT1FSgUUgK5g/unNNYmMMuMq3XIq1jmkbldvb6UwKCqWbA7+&#10;tKY3VdxUhT0OOK04fsq20sctvudvuuDgrVOWAjhGLL+VAFYORTgwbrSFccYq7p89lBHOt3bmUuuE&#10;YHlT60AU9gPKmkIbOTzTTkMdpOO1OWVhweaADocminhlfrxQU7g5oAWOeSI5Ryp9jVr+1rrH3l/K&#10;qWCKbj2oA+mmKjqMZqJ2XZnIBFUjM2Cc5z2NNZ2IJZsUiyd7oBQMEn2qrLLvbgc1CXVD1LVMpGN2&#10;OvtQIqXVs1wpDSFV9BWeNJjiuFfcWVein1rXc+vQ1WkHzAHNFgIHbqBiqkyMRndyOlXJMDhcVVlY&#10;Ecc0AU2bfnsR1HpULdKkljIPm9B3FNcjbxyKAK7gD61Ax9MipmGehqM96YiuSaY4BHFSleepqM9c&#10;UhkJ700qTg1IRTWbORQIYRjvzUZHNOzg9aafrQA0+lJSnkcdaaaAGhsk0ucijHNJ0ORQADC9eaUH&#10;nIpB1PpR+lADt4DY74zTkZc7l5xUeAW96ecIc9B3oAk3733cDPp2rodK1b7NFtuHZhxhvSubB545&#10;qRXI+lA0ejQ3KTxhlIYEcEVm62qhYce4rn7TUZbLYyHKHgqTxV/UL/7fbwyQsCUJ3p3GaB7mFq9y&#10;IYCOMnoKq6BKHMzyPtZyFANSXNmZ23yEHnGPSlg09GUCKVWKtnApX1EbQP7snPSuSUEXOpr/ALY/&#10;nXRWDH7Pg9QzAg/U1hMubzUCOhNUIp960vMJVR2x0rLmkjh+83PpUE+sMfkgXHGNx5NAjVnuIoBm&#10;RgvtWTPqpckQrtHqetUWEkj7pGJJ7mnpCM80hibnkbLEk1KqA9qcECinAe1AAAKULinBacck5Jya&#10;AGgUtLS7cUxB1pcCk5FLjvQMaevFAXJwKdjJpdtAEftRj1p5Xnmg0CGGkp5FIRQAgx3oxxSkUDry&#10;cCkMT2o6UvBHfNFAgxQOKUYzzRgGmAh+lB4paMUDCkwadjPQ0Y4oEM60Yp5HFN60AJQMGnk7sdOm&#10;OBSEYOMg/SgYnak70uKMUCDHpTcU8CkxQA3FFOPHUUu3gHsaAIigbqKie3z92rOKCOOlAFBo2XqK&#10;ZitArUbQoe3PtSApEc0AsvQ1O8BHTkVEVxTABL/eFLvj96jIzSYFAHvxlIHTAprSlhtABPvRRUlC&#10;KrhgC3HYCpjKoHOeKKKYyvJcE8AVCZCTzRRQLqQytn5QKrHAzRRQJkUhwOaqfcbZ2PIoooKQ2QZH&#10;vVYnkiiigkQYxzULqM55oooAibjgVGRtGDRRQAwn2ppGfwoooAaTgYpuMciiimAvUUgXrRRSBiEZ&#10;o9vSiimAYH5UFlK4POaKKQDh0pfMFFFAw3/lThI6MGVip9RRRSAspeOzncAS/UY4NSJAZZWP3Ubs&#10;pwc+5oooGSKVhXaoAA5xXNXF05upxF91j8350UUuomZk6q7fMSTTY4QBgcUUVQiVYjzz1pwjwaKK&#10;YMniwAQyhkPUd/wpZIVj2lH3I3TI5H1oopdR9Bu3ik24oooEwxSgUUUwDvilI9KKKQhCKOaKKADF&#10;LyRjtRRTAMUmKKKSAAKXbzRRTAbtHrRj86KKAFwKMUUUDDb3pMUUUgDuaM88UUUxBRjmiikMcxyo&#10;UE46/jTe1FFMQuKKKKAEwaT3oopDQuMj2pAPSiigA70ooopiEOMUmOM0UUgG4pjKCMEZoopgRPAP&#10;4Tiovs59qKKQH//ZUEsDBBQAAAAIAIdO4kBpRJ+LEIMAAAaDAAAVAAAAZHJzL21lZGlhL2ltYWdl&#10;My5qcGVnAACA/3//2P/gABBKRklGAAEBAQDcANwAAP/bAEMACAYGBwYFCAcHBwkJCAoMFA0MCwsM&#10;GRITDxQdGh8eHRocHCAkLicgIiwjHBwoNyksMDE0NDQfJzk9ODI8LjM0Mv/bAEMBCQkJDAsMGA0N&#10;GDIhHCEyMjIyMjIyMjIyMjIyMjIyMjIyMjIyMjIyMjIyMjIyMjIyMjIyMjIyMjIyMjIyMjIyMv/A&#10;ABEIAWgCh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Nks2HamfYn2E7TWuLuJu1DXMWKYjAFm7OcDp1qOS0cnaAcmt83EX90/lQJos5xz7ig&#10;DCls2S3fIONpzWSfuj612c7xPbyjjlD/ACrjf4R9aALlokjAbRnFSzJKXUYyTWhoZQWRDYzvP8hW&#10;oFtw27C59aAObkjkSM5GDilSN1TJXH1ro2S3Y5IU/hQY4H6hSKQaHMxh2BYqSPWkG53I2k4NdMY7&#10;fbtwoHpimrHaouAFA70Ac2zMZAm0+uKR8oANvJrpVjtVJIVcn2o8q03btq5oA5hi0aZ2EfWmuW2b&#10;yp/GuoaC1YgsqHHrSPBaORuVTjtQGhxl8XezLEHAYGmR84/3RXR+IYYBo8rRhQVK4x9RXPQ9F/3B&#10;TA0YrfcQyDHy84705Y2zgAg10lhDatYQZCglBmrC2doFIAXJ6mkByRQ5xzmk2ENjnIrrVsLVQdqr&#10;k96aum2wJYJlj3NAaHKMpHBppyDjFdb/AGVbMxYrlqYNItlYsQWJ9aLgcmVOaM44Irq/7ItixZgS&#10;f0FMOh2wcuSST27UDORYfPJ9KfEOBVnU4BbahNGvTaD+lXtM0tLq0ErMRyRgUxGWeB0/Ok3evNdA&#10;NAjLEmQn0HakHh5QSWkyT0FIDBycYFAHPT8q3RoG0ZMuT6CoxoEoXPmKW9KAMlUJ+6tSrbZ5JxWm&#10;NGuVjPzqW7AVG+j32BgqW9M8UAVPLRccCsaUf8TS4A/u/wBBXQyaRf8AAADH68CsG4t5LbV5YpR8&#10;/l5/SgC7HbCbr+VTJpe9woYEnsBn9BU1jazTqxiQsBjJqyLW7LECJ8DjOOKAJo/DjOoMiIg7l2Ax&#10;+HWob3StNgj2rehnx/yzjz/WkMF0Y8tHJtz3FNa1nUDMTjPTikGpnLYoFy24++cVFLaRYJBYe1aZ&#10;tpQ20xvnr0qGWGTYwCngdhTAztT0pLWyW4WRjkjgj1rS8MHOnsPSQ/0pdcGdDX/gFM8LkfYpB6Sn&#10;+QpDOphHArtdMOdNgP8As1xcXSuz0n/kGw/Q/wA6ALbdKq2AO+6z2l/oKtNVew+9d/8AXQfyoGW6&#10;wPFoLeHrwBmX7nKHB+8K6DFYnihd3h+9A9E/9DFAI8wSa8jH7vUblR6E5/rUq6prCfc1At/voKUQ&#10;sT2FOFv61RGg5Nc1sZ+e3k+qgf0qSy8V300kkbWkLunGAxH9ai8pQOhrK04AandA9Nx/nQM6pPEt&#10;wPvaaxP+zJmpB4oUf6zT7hfpz/SsjapHCg0pjHHOD7GgRtJ4osv4knT6pVhfEemMP+PoL7MpFc6Y&#10;26iRs/Wm7CeDhv8AeANAHVR6xYSsAl5CSegLY/nVlbmNvuyRt9GFebagirqdptRVywztGO4rZijY&#10;wIcAjaMEmgZ2gdj0H5U9ZXU8OwrjArp03j/dNTpd3UX3Z5x9STQB2a30y9JWqdNSnz98H6iuLXVL&#10;tes+f95RT/7cu1X5FhkIODkYoA7ldTfHKqalXUgesf5GuIj8R3QwGsoz7q9WE8R8jfYzD/dINOwr&#10;naLqEJ6hh+FPF1bt/F+Yrjx4ktAPniuEPvHmli8TabLKIhc7XPRWUilYdzslkhboy/nUgWM9CPzr&#10;l11O2P8Ay3j/ADqwl9G33ZVP0ajlC50IiHYmgwns1Yy3bDo5/A1Kl9JkASGiw7mp5Tj0NBRx2qot&#10;9L9frUq3kh6qv4UrCuJcB/If5T09KIsrEoIxxUy3gxylPF1EfvKfyosO5AWpM5FWvNt39PypQlse&#10;jAfjRYLlInAqGZ1VSSQB71pGyhc5Eh/A1WvdAS+tnh89lDdx2pWGYTXkLHKuCD3Bop3/AAgV2QAd&#10;SLY4BwRxRT5QPKlhmDDMcv8A3yakaCcjIjl/75Nel2igy9B0q/5SgdB+VMk8ckWaNsNvRuuDkVsa&#10;JpA1RJmkuJEMZGAvfNaHjWDGrREdDCP5mpPCK83IHXCn+dAIcfCsYBxdTHjpXDsuAR6GvXghPFeT&#10;TrtllXGMOf50CRt6Fo41O1d/tDxbGxhe9ap8LH/n+l/KjwUN1pcr6Mp/nXUGM0DOW/4RZ+1/J+VI&#10;fCsn/P8Ayf8AfP8A9euqEZpRHQI5Q+F7gDC6i/4r/wDXrC1WC70u9+zG5eQFA2elekiPnpXFeMYy&#10;urQkdDAP5mgDnPtdwD/rX/OnC9uB/wAtnruPDVvE+jqzRoW3nJIFa/2WL/nkn/fIouGh5j/aFyP+&#10;WxpDfXJGROa9O+yQdPJj/wC+RSCytyQDBFj/AHBQGh5XdXc89lMjy7lwCR+IqGAZCf7leieJrOBP&#10;Dt8Y4Y1Ij6hR6ivO7flY/wDcoGi/DfXEcaosgAAwBir+nT3+oXHkRyIrYJ3MPStGW2hbwXHMIkEg&#10;x82OfvYqr4YX/icf8Bb+VAjUj0XWG6XEJqb+w9aA4lh/Ount4/kBq0FJpXGcf/Y2uf34fzpDo2uZ&#10;+9D/AN9V2giJHPApSEX3NAaHE/2Pr38IhP8AwKmf2V4hHWGI/wDA67cykcKtREljzmgNDyS/Mzaj&#10;OtwoWVMowB9K1dHh1KSwBs7cSRhiCS2Oag8Qw+V4jux/eJauo8Fj/iTOPSU/yFNgUPK1sf8ALhk/&#10;74pu3Wu+nP8AgwrtNtG2kI4ktq4HOmy/gage+1CJwj2Eqse1d6V46Viaiv8AxMYvwoCyOYfWJ4XV&#10;ZoJItxxlhW5YbpTukOQRms7xWmIoT6Sf0rV0wZiT/doGWvKj9K4HxJGE8UuFHBgB/Q16LsrgfFK4&#10;8Vp/tW4/9moA2/CyK0E+T3H8qvPq9lFO8TOcoSp4ql4S5hn+i1rSeDVupWuPthXzDv2+XnGfxoCx&#10;CNWsSf8AWqPqKf8A2nZEf65KU+CCOBfD8Yv/AK9H/CDyn7t0p/7Zn/Gi6C3mIL+yP/LWM5oaezZS&#10;N0WD245pD4Euv+fmL8VNc3r+lS6Pci2ldGJUOCtGgWY3xKFOmTFcbdwIx9ao+Fj/AKPMP+mn9Ku6&#10;2oGgMF6BEP8AKqPhX/Uz/wC+P5UhnWQ9K7LRudMi/H+dcbF0rstE50uP6n+dAF5hxUFgMten0kT+&#10;VWGHFN09cjUT6NGf0NAyTFZus2xutLuog23cq8/8CFadZ+stImk3jQjLiMEcZ/iFAHEnw/NztlU+&#10;mRTToF0MYZD68006rexg71AA7lSK0tHuNR1aOR4I4f3ZwdzEVRBltol6ATsB+hrnNPspm168ttmZ&#10;AT8tel/ZdXX/AJd4G+klcVpqXSePLxfIBuNxzGG9vWhDLA0i6QAeQ34UxrG4TrC45x0rry1+uc6a&#10;5+jCqX9sxh3SSB1dDtIPagk5o28i5zGwx7U0xsOqkfhXVLq9qRzG4/4DTvt9jIMOvX1SnYLo861N&#10;cajZcfx/1FdLYTiGziHkRM20fM65NU/FxtXvtNa3C53ndge4rotCsrSfTEM4G/oMntikN2M6SeSd&#10;drbAvoqAVFs7Yrqf7GsCMhgMejUo0O0JG2T9c0C0OSZPaqsKYabj/lp/Su4/4RmKQ/JJIf8AdXNY&#10;Q0Vl1e5sZA8R35BdcH7vWmPoZO0k9aNmDya6T/hFGP3bgf8AfNOj8IyNIQ0oI7UCObLYGMn86xp/&#10;n8RQE/3SPrwa9v8AD/gPSpLPzLy3MsgbvIcfpXAfETSbXSvHtjBZwLDE1tu2r6/NQUiBkVOMZb0x&#10;SpEH4CZPoBXovhLwvb3azXF7ZCUEKYi54xjmu2tdHtoB+4tYYwPRRQJM8XtdCv7jmG0nI9lIpYdM&#10;1AeIbfTCJY5GJDIXwfugjmvdBaY6sB9BXASWgPxUhBJ+8Tn/ALZimtRvYzn8J62hygmx/vq1Q/2J&#10;4giJ3RSY9THn+VeuCFB2pQignildBY8bWLVgWCqr7Tg/KeDUyw6yY2cWDOFGSVr15Yo0ztRVycnA&#10;pXUbGGBgg0cwWPFtN1GfUop5raynljgbbIygYUili1qKVtqwz7uvEZNdN8PbOO60zXoGACyXrjp0&#10;rodK0hNCWdYreW4kPRwABj05NXKMU2iUeYyeKtNicpJP5bDghgRTT4ws0WN45WdXbarKeM1T8URI&#10;8N87xKGwx5GcGua8MxhtLDMm/Y5IFTNJPQcV3PQF8RTY434+tFY0Tbow3TNFQOyCHVLGJ932y3P/&#10;AG0FWhrtiODdW/8A39FcD4isbDT3jjthMsmSGDjjA9Kwd6+9MR2Xi6+trq6tpIZo3xGVbY4Peo/C&#10;l7bwXNwZ5441ZBjewHeuS3ikDAnvQC0PV11XTQwzf23/AH8FeYX21r66KMGUyMQR0IzUWQfWkJ64&#10;Bpgkdp4DjLx3mOg2/wBa67yizAZ61554Z8RpoLXAltXnWUD7rYwRW+PiBaKQRpUmfeYf4UgOq+yY&#10;4zTxZZ71yh+I8Wf+QSf+/wB/9agfElecaVj/ALbf/WosFzq0tASeelcz4q0aO6v7Yk8+UR196rH4&#10;ir1Gl/8Akc/4Vh694rn1eWB4YmtvKUghZM7s0xanZ6DpgtdK2AkgOf6Vqf2dIwyvNcBo3jSbTLNo&#10;JrQ3RLFtzSkY9q1YviZPGCV0qHA7NMf8KmwzqDYzA42n8qU6fNj7p/KuYPxRuj00i2/7+NSf8LQv&#10;M/8AIJtT/wADaizDQveIrZm8N6keoWFieK8stv8AVRH2Ndnf+O7i9069s/7Nt0W6jaMsHYlc965C&#10;CJlijB6rmmNHWR3dq/g77N58Yn/55k4P38/yqloUsVrq8ck00aR85Yt7VjBjn7ppc/7DUB1PT4td&#10;05UAF5Bx3LirEeu6cSM31uP+2grynJx9xqs6bcw27Sm9sWuQcbNr7dvrRYR6k2s6eePt9v8A9/BS&#10;f2pp5/5frf8A7+iuXsE0e9sXm/s9ImCblVp/mauZxzxE1FgPTTqumg4+3W+f+ugo/tXTz/y+2/8A&#10;38FeZ4/6ZtTTn+41OwWNDxG8M3iCSWCRZEZR8ynI710vgdCdKnGM4m/oK4sY/wCebZrpfC/jJvDd&#10;nNbrplvdeZIH3StgjjGKGh9DuPIb+7SiBz0WskfFu4AwNDswvpvP+FOHxbnX7uiWg+kh/wAKXKK5&#10;rC0mbgRk/QVm6jo9893Gy2spHHIQ1C3xg1Afd0m0H/bQ1SuPizrkkgaO2to1HVRzn86OXzFfyKPi&#10;zSrxrdMQMCHB5UiptGiklhQoucLzirTfFrVHiKyaZaOcdSxrN8P+PrnQY5kGnQzeYQfmfGCKLMd/&#10;I3WhkThlIrz/AMWKV8VW+eCbcf8As1dbqHxJm1EJ5ukxKyZwUkxn9K43Wr19Y1u3vfIESqnlkbs+&#10;vP60WY0bnhJ1RJQzAZVcZOK9GtBCbeM7wTtHGa8bjBWNVI5AA6VKrsOhYfSiwj2fMf8ACq5p2fpX&#10;isk9yi5hd9/1Irb0ue3vGjhebU459o3ESjbk8flmjlDU9O4rzr4gBRqsZ29YB/M1lXt7e2d7NDFf&#10;3W1HIBMh6fnWddX1xcHfNcySNjALkniiwalrWhnQW/65If5Vm+FT8twP9pf61m3d3M8bRtPIyYxg&#10;scVf8Lcm5+q/1pMaOuiauy0A50tP94/zriowa7Pw6c6Uv++1IZqN0p2mj93qvHTyv60hp+ljKasP&#10;9iI/qaBiUsYzI4/2KMU1pordJpZ22RLGSzegosBneI4lPh68PGdlYXgMoILzccfOP5Guu1i+8ITe&#10;G7yODUY5LhoTsBJzu/Ksn4Y3miWUN+NTntkdnUp5p6jnpTS3JetjYGwn5VJrzzT7eRvixdokbMxb&#10;O0Lk/dHavdotb8NqP3V9p6j2dRXl9vqFivx3uLtbmH7KUH73cNn+rA60JahpZnVjSL51ytrPjGeV&#10;C1w+naTJea7fRSW3mFpPlB9c17Oda0tomK6hbEY7SiuC8OS2LeIrp5LmLbncp3gd6EtRO1iu3gVg&#10;qM9qiKepDnj9a1rT4ZWDEG5kkA9ENdXNc2bRqq3MJGP74rQjniZRtkQ8dmFNpgmjw34reEtO0CHR&#10;57MSbpJyrb2z6V23wy0yyuPCgkntYpZPNI3OoJxgVkfHAr/ZWjHI/wCPs/yqfwB4p07R/DwtbtpA&#10;/mFgVXIxx/hQtUOW6PQH0DSW66fb/ggFMXw3pCyB1sIQw9qoL460I/euin+8hqyvivRmVW+2AK3I&#10;YqcfnRZhdGktjbxjCRqo/wBkYrx/xujQeMrgxEg4j5/CvUh4m0Y9NRh/OvLPGd1BdeKJ57eRZYyI&#10;8MpyDxTS1C+jO403wbZz6bbTNc3Id41Y4fjJFSXHhaC1ZTHd3GWz97B/pUuneJbaDTLWLy5GdYlB&#10;x9Kj1DxMpUEWr4HTJxmjW5KasSaKXjiniL7tkmASK8p+KWT8QtNJ72v9Wrqz4rfTluLkWwdTzt3Y&#10;71wPjPWP7b8V6Vd+T5R+zkYzn1pjXU9k8KMwhdNxwIIyBnpxXUw/crz/AErWBYwl1VWJt0XBPoK1&#10;rXVtX1CPdaQxhc4zSZMdDrq8/uJEi+J8LOwVdx5Jx/yzrcFn4gmXL3UcfsD/APWriDp1xdeNlsrm&#10;4LS+c6mQ5P8AAKIlPY9PfVbCP793EP8AgQqpbeILO7upooCXEWAz9Bk+lYtz4PdFQQ3ILlsHeMAD&#10;8KoWlrLot/eQh0kYspY44+6KuEOZ2JlJx1OsvNdtrOISOrsCccVh3/jZIrSZ4bUl1QkbzxUmm7NY&#10;uTDdRIUTLYHc1svomnJBJi0iPynqoNE4ckrMcJc2qPLfAPiW6tNLvHSJGaa5ZzkHg1uXXjTUW3Rh&#10;1Q4/hSl+FltC2n6sWiU4vHAyOgzW3pthbNpGpS/ZomlDyBWKAkYFTO19RxVzyzXWLabdMxyShJJr&#10;I8JJnR/+BmtfXxjTLof7BrM8Ij/iTL/vGlIEbKxgL3oqUdBRSKOMufB/iW6Km5uYZCvA3SE4/Sqy&#10;eBtZeQp51sCPc/4V1bePrHqLOc/XFQf8JzbCbeljKcjGC4FBNzC1zwDqmhaJb6pcXdu0c0vlbUBy&#10;DjP9KXwh4GvvFV40EV/DDtUnLKT0ra8S+Ootf8MR6Sti8MkdwJhIZARgKRjH41d+EMzxeLVLOEi8&#10;l925sCmNasvj4EahjnWoP+/R/wAawPGHwq1DwroUmqnUobiKNlV0CFTycV9F/b7QD/j6h/7+CuJ+&#10;Kt5Z3Hw81ONLqFnGwhQ4JOHFIHseL+C/BU3jLUJbaO9W2EUXmMxXdnkDGPxrul+A838WvD8IP/r1&#10;m/Be8gtNfuDPKkSvbEAucAnIP9K9tl17SYELyahbKo6kyCgp6I8oX4DjHza82faH/wCvUo+A8HfW&#10;5f8Av0P8a9Ibxf4eHXV7T8JBUZ8aeHF66vbfg1Goro88/wCFDWuedbn/AO/Q/wAa5zxj8KrPw7Fa&#10;SR6xKRMxVi6AYwK9iPjvw0P+YtD+R/wrzz4p+INL1+wsINMuhcSxzEsFUjA2+4oS1JlLTQxvB3wn&#10;07xBZzzy6xcZjcLiNR6VvSfA7SEvYYv7Wvdjg5GF7VxvhnxbrvhiCaDT4VKSsGbfEW56VqyfErxX&#10;NeQttRZEB2qLfrRa47tdDqR8CtC/6CN9+a/4Uv8AwovQf+ghf/8AfS/4VgR/EPxrKcLGPqbcCrSe&#10;L/HEo+a4giHqY1pWHzPsM8S/BXSdP0W8vbXUb3zIYHkUMQQSoJ9K8z8F+Hk8Tahb6fLcSQodzF05&#10;PANegv4u8RanpmqQ3V95iqkkWFiUA8HPavOfClxfW0qS6e7rdAMEKDJ96LBds9A1D4Q2FpZyzJqd&#10;6WRS2CFrmLTwJDc61bWH2+4CzNgvxxwTV641fxpJAySzXpRgQRtHT8qzbLUtW0zVrfULsTlYXDfM&#10;OtKw7vqjodQ+FFvpwRpNRuXVjgYI/wAKvaR8J7K8e3Mk96YZDywlXgfTFNvPiRDfwokllJhTkHcB&#10;V7SvihbWKRRnTpGCHOfMHr9KqxCkzaT4LaEL0xm61AxhAQfMHXPTpVwfBjw6BzPfH/tr/wDWpdM+&#10;KdpqerQ26adKhl+QMZBwfyrbj8VX9xbRT2+iPJHIu5T9oUcUcpXMzF/4U14c/wCe17/39/8ArVGf&#10;gt4dJ4ub4f8AbUf4VvP4n1ZRx4dkP0uUpn/CS66wBTw8o/37tR/IUrDTZ5f8Qfhnpnhvw/d6jZXd&#10;6ZIdhCu4KnLAHt7074ZeBtG8WaXc3GpCZpIWRV8uTbwRmqHxB1PXdeXU7uS1mgsIQIZI1kLRh1YA&#10;nPHet34N39xbaZfRwLGcmNvnz6H0qmlsJSd7s6eX4ReEopoUZLvMjED98eeKsD4P+FR/yxuf+/5r&#10;VlvtSmmhkb7KvlPuACsc8Y9ag1fxPqOl20c3lW8gaVY8AEYyevWlyhzsyrv4SeD4gpkS6QE4GJz1&#10;rDvfAHgLT5VSZ7zc3Qeef8K9LluTMqiSNTg5H1qnPbW87BpIEJHsKSiDkzxrxD4f8G6RbiWK11Cb&#10;OMhbnHP4is3T9A8P3Z8w2t2FcAqv2o/Lx645r1/VfCmlawqLdwuUUY2q23PPtWBpGh6dB4i1K0W2&#10;HkW+wRKxJ25HNVbyF8zh5/BmkSH92LmIe0xP865bXNIi0bXrKK3llaORdxEjZ5zivoSextYrSUpb&#10;xjCHovtXiHjgY8QaUf8Apmf51I7l6LwXZSRo/wBruwWUE4cf4V6Dovwj0C80e2uZbq+8x1yxEo65&#10;+lYdpzbQn/YH8qp3lhrk1072kV40BxtMYbb+GKdhXZ2//CnPD2MfbL7/AL+j/Cm/8Kb8Pg5F7eg/&#10;9dB/hXI6T4c8RajcPGWuYAq53S7wDzWyPAmv99RI/wCBPRZFXl2L158HdCS3eQajfKQM53Kf6V5/&#10;8SfBWneEoLQWd/dyzTAkiQKRgfSuj1fwfr1jaeabiS4DOE2oW79/pXJ654d1g6S9/d21wII22l3B&#10;O3/63vRoJuRzUnhrfbxyfa3+eMPgr6iofCIzLcqT/d/rXS2zNLp0O7sm0fQVznhIYursfT+ZpMDs&#10;UjArrfDwxpuP9s1y6dK6rw//AMeDf9dD/IUgNMjin6WPn1Uf9Moj/wCPGkPSn6WP3+qD/p3Q/wDj&#10;9AxlQ3NkdRtprMSeWZoym/GdvvVmq955os7nyd3m+S+3b1zjtQBT1P4Uix0e5vE1iRmhhaTBiHOB&#10;n1rnPBvg6TxILsvqiQeRt6xdc596vNH4nu7UxyLqDxOuCCGIIpnh06jpt1eRQWMkz8CRNpyn1q0k&#10;S297GzJ8LzH/AMx+3/GL/wCvXDnSGi8dv4fa+hZQBi5WI9SAeld+t/rPU6NJ/wB8PXBma6X4pNcS&#10;2DibCnyMEE8D8aLa7iu2tjobjwJcoh8nVoXPoYCP61g2fhnVrzVLixgktWkgGWJyBXoLavcKuT4b&#10;nY/7Tyf4Vi6XPeSX91c28TxTSN8yIDkD8qEgb8jJuPBHiK1VCxtWyM8M3H6Vas/BfiyRFaIQBT38&#10;8j+ld7qU16ukTNuk3iI4yO+K1tMmuk0u2yzlvLBOR3xTs+4X8jxTxhpWtaBb2b6zDFNFNLsjIlLb&#10;W61pad4U8Q38Re1sf3Ib5SZQODz3rR+M891JpukCUtsFyT0xzivQ9BvhbaVbrs3ZjU9f9kUJOwOS&#10;TR563w88RyxYeCLnsZhUtr4J8TWlk9qLcMpOQfOHAznpmvSb3xBHZWrTtCWC44Depo03xBHqLTBY&#10;CnlNtOWzmlaQ7o8xPhPxMrMP7OZsdw68/rXOXlxPa6tLpd3bSxXUQDsmATg4x0+tfQAvVyflP514&#10;V4lm+2/FjUtgC7YkXk+gWhXvYNLNmvp6eI4Ht7iCyvGDjMe6NSCKvahqfikqn2qxnKg8AWqn+VdX&#10;p/ia0gs7OF45d0KbTheDVi78T2MxRFSUEHuop9RKx5XNdXFwXjmtLhtxO5fsx/pWLfQ2dxrNmJXm&#10;guFUrHEYCuRz616vaSpLqUrrnkEj864bxwf+Lh6B7J/U0JDfUctwwXiCY8dTE3+FPsNR1CG9AaOQ&#10;2x67Qy4r2K2A+ypx/AKtwquzoKGJNM8tTWr1c+XPcKmeBuaqdpr0cXie0ut3nTxljIpbn7uOa9j2&#10;Lj7o/KvCdQQD4qasAMZnH/oNEXcGtD0Z/GoJUmzwAf7/AP8AWqE+I7B7mWWbTtzueTv9OKytd0q4&#10;0eygupTHIksyR7VJBGTVnTdCuNWia4geMR7iBuJyaa02DTqaFt4k021kLxWDIx6kODVt/GNpJE6+&#10;RKCVIHIqifB19nPmw/mf8KiuPC99b28kzNAVjUucMegGfSjRsdrbGf4HvYfD1jfRXpbdNcNIuwZ4&#10;NXbLxHYWen3ccskgaQuVGz1HFW/CNlZanprz3FrHISRt3rnAIqGHQNOfTr6c2ETsrSYJHTHSn1dy&#10;Ty3X9RtmsbiIP87KQBiq/hX5dGTP94/zqfxFpVnFp9zKsCh1UkHJqPwqP+JJHn1P86mQ0bKtlRii&#10;nKoCiipA4seD9aIx9j/Nx/jUi+DNaP8Ay6qPrIK9R5NHIouM89sfhz4g1CRkht4iyjJzIBVnwjpF&#10;0PE02lMqpcqGjIJ4yDzXrnhMML+QlsgxcD8RXE6Wn2X4x3g/vXLn8zn+tMa+JHRjwRqfHzwf99n/&#10;AArC8b+Dr+08G6lcSSwlYow5Ck54Ye1exVznj2PzfAmtJ/06ufyGalBJ6HhXw20yTVdcW2jkWNjE&#10;Wy3sDXqt78Orm8tXha/iXd32k15z8H32eMbYf3onH/jpr6JFNjvoeexfDSOONUM8BwAM+VyamX4c&#10;W/eeL8IRXeUUhHED4d2oI/0kfhEK5rx14WTQ9Dju4Z95FwgI2AYr1yuK+KC7vBznH3Z4z+tCE9g0&#10;rwnbXunQ3MlzKDIuSFA4qC/8C2CarYzfaLgksU6jv+FdJ4Xbd4dtD/sn+ZqxqSZls2H8MwpWKb1M&#10;ceBtO7zXB/4EP8KePBOljq9wf+BD/CukFLRYRw174B0ew0u9aD7QWdXc7nzzj6V4Z8PIY5PElrDJ&#10;nYZGBx9K+odSUvYTqO8bfyr5h8A/L4xtk9Lkin0BfEe2/wBjWBByrnj1Ncf4k0mzGt29oqHyJHj3&#10;hj6tzXovkriuM8YWatrVnhmBcJ34+/UpFXZHquheGmh8m10uJWDD94uRS6VpejRy21sdGtHBkAZ3&#10;XJIJrSv9K+yW3m+aWOcYxV+x0aENBMZX3ZVscfWrZmma8PhzRrPXIRBpdrHiMuGWMZBB9a3YrK2h&#10;jWOOCNUUYChcAUxola/jl53BCoq3SKuRfZ4f+eaflR5EX/PNPyqWigDzn4nWkMHg7WFgiSMPD5jB&#10;BjLbhk/XisH4FqrWeohlB+WI8j/erqvicm/wnqo/6dSfyNcl8CW+W/X1iQ/qap7Erdnrs8aBosIv&#10;3x2ovII3tJAY1PGeRTrnpH/vinXAzA49qkY7aNgwoP4VSvARIMIPyrQX7oqpeDlaaBlKfO3lcVyV&#10;gMeK9X99h/Suwu/uD8a5C0K/8JZqeD1RM/kKpiNe6/49Zf8AcP8AKvC/Hq41nSD7MP1WvdZxm3k/&#10;3TXh/wAQl26ho7f7TD9VqWM6ywH+h2//AFzH8q9X8K8+Hbb23f8AoRryrThmxtj6xr/KvVPCn/Iv&#10;wj/ab+dAG1gUUtFIZWvVDWcox2rD8Vp5ngHVBj/lzb+Vb92P9Fl/3TWPr6iTwVqK+tnJ/wCgmgR4&#10;Daj/AIl0GOm2uZ8K8aleL/nrXU2a/wDEthPqv9a5Xw18ut3a+x/9CoYI7ZeldT4d/wCPKT/rp/QV&#10;y6dBXUeHP+PWYf7f9KSGa56U/Sv+PrUh/wBOoP8A4/TSOKfpQ/07UB62f/s4oGNqS2YLdx5IGTjm&#10;mYqS3RWu49wBwcimI76zwbKE/wCwP5VynhsbfG3iIYxuZTXVaf8A8g+D/cFc9oyBPGernuwB/lTs&#10;LodRivH9XAT492hx1ji/lXsNeP8AiDCfHXTj6xxf1pLdA9mev44rzvSvNTxLqRjUFj6/hXovauF0&#10;3A8TXwHXH9RTjuKWxt6k0otBuIGV6CtaxA+yp9Ky9VB+zL9K09P/AOPYU3sC3PNvjmP+KZ0046Xo&#10;/wDQWrq/Dtkt3pNu5cjEajgewrl/jmP+KUsD6Xo/9Bauw8If8gSH/cX+VKLsmE1eSIbnTE1BnsWk&#10;2jd97Hoau6d4fjsDMVlLea24/LjFJAf+J0wz/Ea2qbbBFP7COcP+leFeKrQWvxS1FA27dEjfntr3&#10;5SC7j0rwrxtx8Vrz1+zx/wBKSeqKfws9f0mNP7L07KLnZ6e1WdQijCx/IvX0qvpOf7M03PXbVrUv&#10;9XH/AL1N7kxehysSKNRnwAOvb3rz/wAc/wDJQtA/3P6mvQk/5CM/0Nee+Nxn4heHx6qB/wCPU77A&#10;9mezWp/0f6Cr0H3Kz7PPkyZOcdP0q/b/AHKGJEx6V4l9il1H4t6xFCV3LLuO444C17bXiNvqDad8&#10;W9amVAxMxTBPqKUSpfCzu/HvGg2A/wCnuKtDwZ/yBv8AgZrN8fHOhacfW7irS8GjGjf8DNP7JL3R&#10;0dU9V/5BF5/1wf8A9BNXKo6wcaNfH/pg/wD6CalblmN4Htng8PQuxUiVFZcHttFOs5d+jaqm0gI0&#10;nPrnNJ4IuGn8OQqwAEaKox/uipbcBfD9+QOS0pNX1fqQuh5D4n/5BN1/uGqHhYf8SOL8f51f8Uf8&#10;ga6/3Kp+Fx/xI4fx/nSkNGuBkDiipAvAoqRm2aXHymkNH8JpAdF4WbF8o9UYVyFwPs/xlkP96ZT+&#10;ag10vhl9usxDPBDD9K5XxVKbP4rLMoHLwnn3UCqQdUez9qyPFMXneFNXjxndZy/+gmtcdKpasnm6&#10;Pex/3oHX81NSD2Pnn4UyeX4z0/nruX9DX0mOlfMPw3k8rxlphP8Az2C/rX08OlNj6IKKKKQBXJfE&#10;hN/gu7/2WQ/+PCutrmPiAu7wVqPsqn/x4U1uKWxb8IuH8NWpHoR+tXtSOFgP/TVaw/h85bwpADnK&#10;sRz+f9a3NTXMCNz8simkNl0dKWkHSloAhuBugkH+ya+W/B+YvHUangrfEH86+p3XKMPavlvRl8j4&#10;jTKeNupMP/HzR0EviR9C81yfjEbNQsZCOgB/Jq62uV8bDBtH/wBk/wAxSKW5q6yM6eT/ALQq1Zn/&#10;AEaA/wCyv8qp6q4bTmHPY1NZTL9kh56IKsyOqYgTxEd81YqqxAlg/wBr/CrNSWhaKKKBnG/EVd3h&#10;fUh62cn8q4P4Ev8A6Rep3MAP5N/9evQ/HihvD18D3tJR/wCOmvNfgUw/tK5HrbH/ANCFU9kSt2e2&#10;3X3EP+2KklGYmHqCKivCFhB/2hU5I21IwjGI1HoKr3fVasJ9wfSq14eVpoGVLrlB+NcnFCsPiu72&#10;DHmQq5575rp7yZUT5jXMSTxjxMXByGtgOP8AeqrCNeQZiYexrxP4kLibRm/6auP/AEGvZvtKEY5F&#10;ePfE1cJpTf3bhx/KpYzptLH/ABLbT/rmteoeEznQkHo7CvL9J50mzP8A0zFeneETnRfpK39KQG9R&#10;RRQMhuv+PWX/AHTWVqXz+Dr0etpJ/wCgmta45tpP90/yrMuF3eF7lfW3kH6GgDwO2GdJtT/sH+Zr&#10;kdA48RXY/wB7/wBCrrbL/kEW/wBCP1rkdE48T3Y/3/8A0KhiR3CdBXTeG/8AUT/7w/lXMp0FdL4b&#10;5jnHuP60kM2z0p2l/wDISvB62Tf+hCjFGnEJqlxngfY3/mKAFI5p9uP9JT8abweRT4P+PlKYHdaf&#10;/wAg+DH9wVg6YMeNdSHrGP6Vu6ac6fD9K56wJHxB1BexgU/yp9Seh1deQeKPl+OGkn1ji/ma9fNe&#10;Q+LSF+NOinuY4/8A0JqS3Q3sz16uD07/AJGu+HqD/Su77Vwdj8vi+9GP4TzTjuEtjoNU/wCPRfpW&#10;npxzbD/PasvVG/0Vcdwa09Ox9mH4fypvYS3PPPjl/wAihZn/AKfV/wDQWrr/AAgP+JHbtnO6JP5V&#10;yPxy/wCRMtT6Xi/+gtXV+DWzoNuMYxEh/SktmOW6J4k/4nhf/aPH4VtisVD/AMTof75/lW1SBCAA&#10;Mx7mvCvG3HxXu8dfs0Z/lXu3c14R44OPivdf9esf9KcfiQ38LPXtJYtpumk9Spq3qZAjjz/eqjop&#10;zpWm/wC6at6scRxf71N/ETHY5uPH9oTk9815941GPiJ4d98f+hV38fOoy/jXA+NuPiH4dz7f+hUd&#10;UN/DI9fsj8s49G/oK0bf/V1lWTfPdj0YfyFadsR5dDEiweleB3f/ACVLWf8Ar4/pXvfavA7tv+Lp&#10;a1/18f0pR3Kl8LPRvHv/ACA9L/6+ov5Vq+Dv+QMP981lePf+QJpXP/L3F/KtTwcf+JP/AMDNV9kl&#10;7o6OqGtHGh35/wCnd/8A0E1frN1zK+H9Ryf+XeT/ANBNTHdFGN4C/wCReU/7v/oIq1B/yLd6feX+&#10;tVvAnHhxfw/9BFTRNjwteHB/5afzq+r9SF0PJPFJxo91/u1V8MD/AIkcH0P86s+KjjRbk/7P9ag8&#10;MjGh2/0P86TGjZHQUU4CipKNfqBR2NIOVFKp2nPHFAjT0AlNatweDuxz9K5j4jL5fj+GQfxRxN+v&#10;/wBauj0mXOsW8h6mUfzrA+KilPFVpKM/NAv6Mapbib2PY4zmNT6gVHcrutZV9UI/Sm2T+ZYW7/3o&#10;lP6VK4yjD1FQUz5b8FP5PjCwP927A/8AHq+ph0r5S0Um28YqDx5d6R+TV9WjpTYL4ULRRSUgFrn/&#10;ABsu/wAG6oP+mOf1Fb9Y/ipBJ4W1NfW3f+VNbky2MX4ay+Z4ZI/uykfoK6fUuLNj6Efzrj/hbID4&#10;dlHHEn9K63VJYxYTEspwBxn3pFMuqflBpSagS6gESkyoMgHrSG/tB1nT86BMmznI9q+Xf9R8TdQG&#10;Pu6kf/QzX0s+rWSnb5w3eyk180au4T4maq69Ptm4ce+afRgviR9Cg9K5rxumbW1P+y4/lW+jsUBx&#10;2rn/ABmZWsrTCAjLDrj0pIrqXLr95pCv6xqf0FFkf9Dj+lZcU07abEhYlPLHGPanQzXCxhUJ2j0F&#10;UjJrU7/nNqSepH8qvVx41TUJEg4A8vBGE68d62Yry8kLZT0xhfaluWtDXoNZnmXpP3WH4UuLw/3q&#10;LAZXjVN2i3I7G3lH/jteVfAxsa7Kv/Ts/wD6Etd1441SXSrPF3HKyXKvHHgjg7a81+DYnfXiIMFv&#10;Kk6nHpTewluz6DvP+Pc/UVIzoq/Myj6msa4h1CKFpG8vC9eSaH0m8uVHmTRgdcAVN0GpspKgjBLA&#10;cetZ+o3ioEK/Mc9jQNMlWLDT7iBzx1rI1mzeK3RlR5iWxgE+lNNXB3C8uFeIs21RySWNc091btrM&#10;brNEV8kglWGM7qNX0u7vtMeKK3CMQcZYD+Gua0Tw1f2gjgn8tZGBf7+eAR6fWqbEdt9qgxjzU/Ov&#10;Lvifg21gwIIF0efwr0MaLORnzIsDrzXn/wAT4DBpdoCQSt11H+6aTY0dDoxB0Wz/AN0/zrvfDmpp&#10;Z6c8ZjLHzCeD7CuB0FWbQbZ8cAEZ/E16N4Qhil0+YvGrESdSPakM0odbWWUJ5WM991WDqKjsv51Z&#10;FtCvSKMf8BFOEaDoij8KQGVeao32VxGqliMVlz6jdDRriJIsgxsFOwngiupZAVIwORVdYwummPHS&#10;MigLHznp4J0pM9mYVyek8eLLoD1f+ddpbjFhtHRZpB+ori9N48YXI/2pKGCO4j+6K6Pw4cLcfh/W&#10;ubi+6K6Pw3yZx7D+tJDNC6u5I7mFFICu2DxV1dqEzr5gLKY247E81DNZLNIjlyChyKnCyj/lu2D7&#10;CgYR2uxi6ABRwT0/Sp4f+PmOqzKVdMsSS3OauWqhryBT0LgUxHR6drMCWSoySZQkdPesG11WFfiB&#10;ey4ba1uvHftXTWOmW7WaF0LMRycmuVt7C3HxRuoCn7s2isBnvTvqR0OrOu23Pyv+VeTeMdTjk+Le&#10;jzop2xxR5z3+Zq9f/seyP/LL/wAeNeR+OdPgh+K+hxohVJY0Dc/7RoW6G72Z6ifEUAXIhkP4iuRs&#10;7yP/AITC5zlS0e/8K7gaPZBceVn6sa4uHT428aXDbyqhCoGKa3E07Gzql/bm2jCyEnngLU1prsEE&#10;IDJI/Si80OH7Mr7ycc/WtWLR7EIv7gdPU0XCzueXfGLWUv8AwlBEkLLi7U5Y+zV0vhDX4o9GijET&#10;EpGik59qyfjPp9rB4IWSOFVcXSAEfQ1v+BrDT5dAgcRB5GiQuSSecULZjktUQp4lVtZIFsQRIere&#10;1bq+Ikx80Jz7Gq0WjaamtM4iG8sTtzxW0NMsx0t0/KlpYLO5mN4jUE7bc/i1eL+Kr17z4m3UzKFP&#10;2ZBgenFe+f2daf8APBPyrwvxzbxwfFSdIlCqbRDgU4/Eh2dmemaVrCwafaIyE+UOAB1qzf65HcIo&#10;MTLtOfWrnh+xtpNDtXeFCxXkke9LrOn2xgjAiC/P/CMdqbauRFaHF32sy2gnuYo1bAJAbNcLr2qS&#10;al4y8PXMsaowIGF/3q9HutNtZBLFIhMZyCMmvPvE1lb2njTw7DApVCw4Jz/FRdXQ2nys9U/tYWdz&#10;fAxbxgN1x2FTWvi23WEb7eQH/ZINVWsIbi5vvMLALgcHtV/T/Dmny2wZvMJz/epMY4+MLQD/AI95&#10;v0/xrxqO8W++I2r3SKVV5yQD1r24+F9Ox9x/++q8V+yRWfxJ1e3iyI1uCBk5ojuN/Czt/GGtJqFj&#10;pcEcbJsukLFu/Bqzo2vz6ZZiGOFHXOctmpfFuiWdrotpcRq3mLcR4JPrVzw1otnfab5twhZt2OGx&#10;T6EvoPTxnJ/Haqf90mqOv+MC3h+/X7Ly0Drnd6jFdMPDWlj/AJYn/vo1m+JPD+mx+GtScQcrbuQd&#10;x9KS3KSZg+G9ffTtDSFYQ5ZQwJPTgU3+3b1bCSzCxiF85OOea1PBek2d3oEcs8W9+FzntgVsahoO&#10;nRadcSJbgOsZIOTwcU762JS0PHPFnGiXP0/rUfhsf8SO2/3ak8Xjbolx9B/OmeHBjRbb/coYI2AD&#10;RSqOKKko1V+6KMZo5HB7cUo60CJrKTybqOTsjhuPY1ifE6+ivtTsJoldcRlTu7810WlW6XOoRwyZ&#10;2scHFZvxS0iGzi0ySANlmdTk9eBTW4pdDrtN8TLHo9kPs7MRAmTu9qsnxJIw+W1GD6vSeHdKspvD&#10;unu8IZjAucn2rYGl2agYt0/KlctrU+V3maLxdeSBQrLfOcenzGvoxfEFw6KRsGR2WvBfFFtHZ/EX&#10;VokUKgvCwH1Of619K2C272Fs6ImGiUg4HIxQwXwnPTa3qIGUJIJwMJSrfapKAcz/AILj+ldSAmOF&#10;GPpTvwpCOXMmqSDAS4+tUdYttSOi3zPHKVEDkgv2ANdv26VV1FPM0y6Qj70Lj9DRcTSseY/DVJ7y&#10;xuY4l+WMrk7vXNdpc6RKIXdlUgDJG6uf+GECW39oRpnnYeT6ZFegTLvgdT0INDK0MaHR3eJW3RqC&#10;MjjNKuhSZ5uFH0Wti2wLaMDptFSCgDF/4R9S+5rhs4xwor568YWgsPifqcQYkeYjAn3Ar6fNfN3x&#10;NXyvinekfxRxt/46KOjF1R7HZXjTWsWQN2wfyrnfiNe3Nrodi8AyxnKnjPGDWzo94JLK24APlKR7&#10;8VL4leN9JhY4OJPT2oTBmdZSLJ4ftywOWtwfxxVjS2UW6jb83PNVoriEaei5JJTGMUWV+ttCUMW4&#10;565p9BPc7XgWdsQB1Wr4FZKXAfRbabbjJXj05rWBpFC0U0sBTTKo/iX86BXOY8c6Ra6rYW63JYCJ&#10;2ZSDjnFeRfBY7PFwXttlX9K9l8ViG50xVJVsP0B9jXiPwkmW28corMAvmSrn/gJ/wp9AW59GXG37&#10;O+4ZGKenKD6VTuNQtRC6+auSPWkTU7fyA+47RwTSGXX+4fpWHrc5gsUbOPnA/SrEmvWiqcEn8KxN&#10;Y1KO+sxFGrZDA8/lRcGtDOu7mWS0O2QZx6e1YNpJcG5jLyndtYZ9uK2SpFtgjtWPAQt3Fkjo39Kq&#10;5NjZXzACBI2DXAfFcf8AEltz6XK/+gmvQdy92H51wPxV2t4eiZSDi4Tp9DSBGz4a58Mw/Q/zNeie&#10;DjiyuB/00H8q828KSqfDcIJ55H610VpezW4ZYZWUHGcd6luyuykruyPStwHUikMqKMl1A+tcLbXD&#10;yfvJJHYhv7xqaeZZBtwQO+TQndXB6OzOue+tVBzcRj/gQqgmsWIs2WS5TftIIzXJykIdqQ7jjOeM&#10;VXM0pDKLcAgf3hTbSErs83spQ9rKAek7/wA64+z48Zzj/beup0v/AFM4PaVv5muWg48aTf77fyoY&#10;I7mL7oro/DR/eT/QVzcP3BXR+Gv9fP8A7opIZ0dFFFMCKXqv+8KtWpxewH0cVWl4Cn3FSoxSVHHU&#10;MCKAO6szi0TB9a5FW2/Fl/8AashV628QyKFj+xSn6MK52XUZF+JKXAjwxtMBGOexoW5L2PSlbIrx&#10;/wCIeR8VfDrYxmNf/QzXf/23cqSWgj/76Iryn4gambj4jaHMwQeXEPuvn+I9aaTug5rpnvGcCuHQ&#10;hfF05J45rQl8YWEI+ea3/CTP8q5L/hJrA+J5Jcu0TITvVcge1NLUTeh6HdMpto8H1/ka0k/1Y+lc&#10;FP41sXhjjjjmYqc5EfGKtDx7HgCPTbp+OuMUNMEzN+NmP+EC56/ao8frWt8Ojnw5FzzsXj2xXC/F&#10;TxRLqvg42506SBDOh3u3pmun8CatFY+H7fz42VTCmGAznrQloxytdHQrdCPXJ96jCk4A4Jq6NZyM&#10;iAj6uo/rXMx67Yza/OsilULEBiM+nataC90qNMee312Af0pWKUol5tZf+GKP8Xz/ACFeJeMLp7r4&#10;oTO4Ab7MgwAR/OvWb3xP4Y090S91SOFiMqJX25FeMeLtZ0i5+JEt3YXkD2ptlAkVwV3d+aI/Ehyk&#10;nFpHv3h4hdBtMkfcpNcZDbx/OAd/r7V5LP4/0vS9NtHcfbGkLLsguFGwDHXJ75qqPjB4e80B9Gvi&#10;QezK39aprUzXwndXsnlxyMjjd2rzvxLK7+NfDxc5YMP/AEIVqr8afCLDEmk3+P8AcQ/+zVyWseM9&#10;F1/xno11p8VxDFDIqssiAEkt7GhPVDfws9vRCbvUfXZ/hW9pIxZLWTC6rc35wv3c5P0FbGnyL9lB&#10;JUfjSYkXa8DuefijrX/Xya92e7t4xl541+rgV4O8iyfEvWZUIaN7glWHII9RSjuVL4WeoeNjjw7a&#10;/wDXxFUvhm5jstIjWUsWcCQBVJ4PSq3j5tvhq15x/pEfP4GmeD1e50VHhkupVKKp89toBx/Dx0ob&#10;shq11c349cjm3eXbXRx3MW3P51leJtSkbwxqamDbm3cZZx6elXLTRZIi5dYvmOfmdnP61V8U2gtv&#10;CeqSMUwLduFQDtSi9VuaNxvsSeBhjw5H9f6CtnVP+QXc/wDXJv5VxHhfU7trBbOyliBUBjuXJHAr&#10;YntdXu4njl1HajDBCriq+1cxWx5X41G3RZvw/nTPDwxo9t/uCuu1fwJFexMLm/mYdcDpWJHpqacv&#10;2eN2ZUGFzQ2OxMo+WilTO0UVIG1eRhJyAMckfrUI61f1cIt0+0j77VhXer2ti4SZiGIyABTJRuaS&#10;dmpwNn+MVL8U4i+n6awGSLgj81rl4PF1lFcoVSRiGq34x8XR6tYWaJatH5dwr5LZzwaaWo3seh+E&#10;y3/CL2AYYIjwfwJra7V5fpXja8ttFhSCxVwpYZJJ71bfxrrTopS2iRmPA20rFN6nlnxFXyfiXqnb&#10;Lo3/AI6K9/0OYHRdNCjhraPH/fIr5s8aX13e+Nr2a8AEzKh4GONoxXsHhTWbpdJ053kMirEFCn24&#10;FF7CWsT0pOnNPrkZfE10s6okSBT3zWdc+KtUEzJH5SqOM4zRYVzvqjnAMEg9VI/SuDj8Q6lKhL3A&#10;Uj0AqodZ1KaVVN0wU8EDvRYC14AvIJdQu4412Hy8nPHeu8kkTymywHHrXgHgfUrttZnjedtqo4OO&#10;OQwrrtUmZrdSXYkZHJpPQta2PSLW9t47WNXnjVgMEFhmnNqlkmc3Mf4GvHVkbfvDfP61rw6t8gDL&#10;lu59ay9oaezPQrjxFp1uoLTEgnHCk18//FG7iuviTJLCDta2j6jHau/nv1uIwm3GDnNeVeN5Gfxl&#10;HI3V7df61UZ3diZQtZnq2h6krQWaBHz5S5PGOlberuJtBVgMYmx+lcVpL79KtWB/5ZitHXtYn0/w&#10;LNPGqyPHcKvzehqYScpWKnBKNy5F/wAeqfSkU8VnaBqEmoaJDcSgB2yDt9jV8cVsjBk0muX0UQtU&#10;dREn3QVzXQpqGoPpqTef1j3cLzXGTM32hsDsKX7TdEbBI+0DAGa53UcZO50qmnFWLVxr19OATdTK&#10;4JztbAI7Vnz398QC13cEZ5BkNDQyEHB/SmSwOYWBODis+aTZpyxRMmsRafbO17KwR2AUnJ55rzvw&#10;PcrD4uaXkr9of8iGre8TBv7HQkdJ0rkvCTbPEh9rg/1reF+TU55/Ge2vqsYUkITj3oXXfMikRUrE&#10;/euMA8Y9KrQ+ZHcMX6GoV5I0dkzZbUXUbdvTpVS5v7j7y9AOQKVsbQSyr9WqtcSwLGd1zFn03CnF&#10;S5hTcbDZdSuWjVASBsJY5/CuZ0K8uJxIZZSxVjitdtRsUhk33MYPAHPXr/jWBoLqWm29C5xXQcyO&#10;7ViVHzHpXJ/EYZ8LZz0uEP8AOupjOUX6CuZ+IOD4Tl9pUP60hl/whz4fh+pro7aCWdysKM5HXHau&#10;X8HPnw9H7H+grYnm1GNB/Zzorn7xYflSkrqw4uzubkDm3kMU0cnDZOFOPzxinSXJ8xwts2O2fT86&#10;5fzfEzjnVBH/ALqioZbTWp+J9buCD1wcfypxVlYG7u51Buix3Mqr0GAc8Uq3VuCxaWMZ65YVx50B&#10;3GJdQuGB/wBs0sfhqyz8xdj7mk43BM57TCD9s2nI89sfma5aPjxtJ/vn/wBBr0W806209FFtGEDZ&#10;zivOm48bt/v/APstDBHcQ/cFdF4b/wCPmYf7H9a5yE/IK3/Dr7buT/c/rSQzqKK4vVviNZaRq09h&#10;LayyGEgFkI9M1DH8VdEb78N0n/AQf60wO2m6D6j+dPdiq5HUcivNfEHxKglht/7FuNkm8mTzocjH&#10;b9axR8UtdQtmK0mjXq2wjP60AenmLUpJN66i6L2C1A+htPdG5nvp3mK7d27nFedRfFq+jAD6ZbsP&#10;9lyKtxfF8EgS6Pj3Wf8A+tTRLud8mhwbsvNO/wBXrhvF1nDZ+MdKSMHayZOTnua7NPFmjiFHku1V&#10;mUEoAWKn04FcP4q1O31XxNp11ZiV4oVwzFCOc5703oxI9LGmWaqP3CH6jNSpaW6H5YUH/Aa5lvGu&#10;4ARaVcv9TimnxXq03+o0Uj3Zyf6U20FmdaI0B4RR+FOAA7CuNbV/FMw/d2EMefUZx+tcXqnjzxOm&#10;pz2MM6rIjlAI4lJyPwpXQ7M7X4mn/ikT/wBd0roPDZU+E9OZmA/cr1rwy81fX76MPfz3E8LjzNsn&#10;3CAcZwOBg1v6LrUepXNjpxjnUySLER5vyqPUCmmDR6L5qR6xI5dFXzDyWwK0H1ewiUFruA+wcE1U&#10;tvA1vIcgFvqRWvbeC7ZMB40/Fs0XFynjnxP1CC+1u0Nu4dEgwSB33GuEJr0L4v2Uem+JLS1iChRa&#10;h8Adyx/wrzvNRc0asLVmw4vYj6HNVc1PZti5B9FY/oaZJS3c1YsZDFqNq6nGJFOfTmqmakjbbJG3&#10;oQaOoPY+potMv7hPMk1F/wB6o3bSeRirEehkDD3czD0zVzS3Eml2j/3olP6VcApsUdjNXQ7X+Mu/&#10;1amXOiafFbySrbr5iKSrdxWuBUF+dun3B/6Zn+VCHc4nxJqV1Ommwyzbo/tAO3H+yauWOr6jZ2yL&#10;bzKI1AUBgSf51h68/wC800/9N/8A2U1bhJ+zpir6EG8vijVwP9bET9D/AI1k+KvEep3Hhm8gmkTY&#10;6Ybbkd6aCcCsjxQ5/sC446gfzqUNHT+ATuuLk/7IrvD0rgPh4cm4Pt/Wu9ZsCgEUr4/um+lcJd83&#10;EhrtdQfELfSuHuW/euaTKQiDK0VFHcKFxmikM05wQ7MWZju7nNZF8EMys0SsdvVlzVtp0PWQE/Wo&#10;LmRHgYLgngigkpxqPPDiBc9OEqPxHK66WjyDaiyqScYrYS4XjCNn2WsrxeTJ4cm+Q8Mp5+opq4no&#10;ibQ5xcaTm3bcqyEfyrR2Tn/9dc34Jlb+yp0UA4lz19RXRGWfcMBcdzQ0Uzy/xrG0PjCXdjLwI3H5&#10;f0ruPChkm0qBjMQseQFH1NcZ4/Df8JVA7EZe1XoPQtXVeECX0VQGIwe1JiWx1E10sY5fn61WN4Dk&#10;8tVOaJxKACxJz15pVhl8rLMV4Pt2FOwrlk3hAICMc8UQzyeap2ADI6/jVOWa1ibM15Egyesg9c01&#10;Na0O3UiS/iY+xz6/407BcwPDUoi8VzwoeA8qn35zXYXzZt15ySc157p+p2dl4hkvt58kzO2QOxB/&#10;xrdl8a2LfKscrDpwtTJXuXB2saOXzwvSrEe8DoKwR4tXH7qwnbjuMUi+Jb6XiLTPxZqw9mzb2iOl&#10;UP2P6V5545DL4lsnY53Qf1NdSL/XZEHl29uoIri/Fxvjq1jJfbdxQhdoxgZq4QadyJzT0PRPDzh9&#10;BtSSPukfrU3ija3w/wBRG4fLLG3/AI8K5jSLW9udHiaK9kiTBwqnGKWbw9NOhS4v53Ruqlzg04wt&#10;LmCU7xsbXhC9tofDkYlnjQq7DDMB3rVfXdJQ4bULfJ6AOD/KuQXwvaA5LsfxqeLw7p8TA+WWI9a0&#10;MjXuPEWmLcFluQwx/CpNVpfFlhHyFmc+ipU0emWMXSBfyFWZIrRoVjECZBznbUezTdzRVGlYy18X&#10;GXmOxnI7ZFQz+KNQJKxaZnj+I1p6hOtvpErQ2tujxruD7OeOtc3ZeL7OY7bpfJf1xlTT5Ehc7Y2+&#10;uta1qBbWS0jjj3hsjOeK5zS4pY9euoB8s3n4HscmvRbC5ivYEuYH3ROMqcYzXCIfL8dXgH/P0p/U&#10;U0rE3uzqhaayUCm+ZQOODSLpN3I26a8dj/vGttyRxg00ZHY/lTFcy10FGb57iQ/U1Kvh+043MzVo&#10;oc9qezqgyzKPqaAuZn9iWa87CcVWks4rZ/3S7fpV+bVLCPIe8gHsZBWTd67pYf8A4+0b/dyf5UAj&#10;rYOYUP8Asiud8ejPhK59nQ/+PCkXxnpcUKoouJGAAwsR/rWN4k8SDWdGnsbexnUuV+eTAAwQf6Ug&#10;NzwW2fDq8/xf0FdNE3X6V5xoeuXel6WlvFp7T7sMG3Y7Y/pV/wD4SfxAc+VpcS57sGP+FMLHcNTW&#10;PT6V5fqfjjWrS5+zzskThQzbIxnn61RHi/WLyVIlvZEDg8g4P6YoCx65mmefFGcvKij3YCvK5V1F&#10;r+G0vNUvFlmfaqlmPp3zyOa04/CiyH97cXEp9yefzpXCzOn1vVNPRE3XsGRnI8wV5sJo5/GXmxOG&#10;Rn4YdD8tdOfBFq56MD/tNVe58P22kSeam0yKM5DZxUtlJGtFMi4UsAfQmt3RHxdN7p/WuGtriSRf&#10;MMYO71roPD9xcC7cK42iMn5hnFCA4DxDP9p8R6lNnObhgD9DispqnmkMs8sjHJeRmP4moWpgRkCn&#10;8LYyH+86j+dNNE522aD+85P5D/69AFU0wsVcelKTTJOxoA+i9B0CzuNEsbhraMtJCrEsepxWxHot&#10;rH0hhX6Cs/wleI3hLTCWJPkAcAnpWs12OyMf0rRqJCbFFjAvZR9FFDRxRjvUL3b/AMMf5moHeZ+u&#10;BU6Fai3E+Cip3PP5V5PpMhl1ppgBuOqyNuxzgITXqEqERs7N90E15D4emVVSV2P+uuZTg+kY/wAa&#10;Wlx9CxIzf2TyemmMf++p6l0uOOPxfpzIArPfyhj/ALK4x/Ws64uUFkYQDn7DDH+Jfcal02/jXxZp&#10;8nG1ZppOfdm/woT1E1oe822q29oMs5P0BNLJ4qtRICqyEDqSMVxv9rRTcefGufwqOSCG7QoZ8huu&#10;yQCk5jscd8T2u/EPiQX9lZXMltHbrGZFjJGQSTyPrXAi0uS+wW8u7GcbDnFe03GnIImjFzMox03V&#10;gtbalCQYbcllUqJNylsfXipuU9Ty8ghiCOR1FT2YzMwHXy3/APQTXQaf4X1JL15ADHls5dQe9XZf&#10;B80txLPIyRg/3Ttyad0TYzdG8C32taT/AGjHcQxKZfKjjfJZz7ACtxvg14kHzCWxbA6CUj+lbGiW&#10;k2iAPHdXGwDlFnXb/Kt3SfHdrd6m2nCK5adc85B3Y607roFtNT0HRraW00aytp8ebFCqvg8ZA5q+&#10;K5yDWFIy0Vyo9dmf5VpwataEfvJHX/fiYf0p8wkrKxo9qramcaXcn/pmf5VYF/p7Qh1nRgRwV5rM&#10;ur6CdJIWYmJxtOODii6GkcBr7/Npv/Xb/wBlNXrQ5tkq7rGn6TNHDI73EawvlTkHkgj096pQGNYF&#10;WJiygnBIwSKpST2IaZZDfLWH4pbOgz49v51rlsLjNYfilsaFKP8AaX+dCBHWfDk/uZyf8813Mj8V&#10;wnw7P+hzN/nqa7SV8A00CM7Upf3TVxs7ZLmum1SX923NcrOflepZY6KFDH90flRToT+7FFSIJLvT&#10;4Cd9zAn1cCqdxr2jpG6m+iJx/Dk/yrll8NRZy0pJqwnh20HUk1dybGy3i3Ro1H72SQj+7Gf61l65&#10;4ss9Q0uWzt7aXdJgBmwAOacmiWKf8sgfrVhdPtU+7EoouFjF0DXp9HgniWzM3mEMDkjGPwrRbxVq&#10;kp/daei+mcmtBYIl6Rr+VShQBwMfSlcZwHi26u7rVrKW7jVHMRUBR7n/ABrS0M6w9iBZXBjgBwcd&#10;c4FRePB/pWmSezr/ACrU8Gvu0edc9Jf6UAthW0zV5zmXUZfpu/8Ar0n/AAj0jH95dufXLZre5PY0&#10;uxvQ0AYA8LWu7LyuxPvUV9pmlaTbCeaN2BcLxz1ro/Lb8aw/FkZ/sNyf4XU/rQIwpdb02BykGl+Y&#10;B0YyYB/Soz4lkAxDpsCfUk1kdaULxUlmkfEupn7i20X0jB/nUT69rMnW+Zf91QP5VT20baAJX1DU&#10;Zc77+4P/AAMiqNyzmSNnkdzkcsc1b21WvEJ2BQSScACgD0jwtKW0GL2YitbdnivOdO1/VtNshaW1&#10;mrru3AupJ/SrQ13xRP8AciSMH0jAx+dO6E0zvR1pcZNcAW8V3B5vGUH+6VH8hUkeg63c/wDHxfzH&#10;PX52NF0Fmd6zoi5Z1H1OKqSatp8AxLfQLj1kFczH4IaXma4Y+u4j+prRtfAtrkZy59jn+QouHKGr&#10;eJ9L/s6eO3uUnmdCqoAcHPHXGK85uXWFDK/T0r1Z/AkP2SXyrZt+w7fkPXHHevJdWTNvnGCrcii4&#10;7WOq8OeKRY6SluLKS4ZWOCGAGDzVWNb691261CO2KNIfMRQd2CMYrS+E9tHqU97ZuqFlRZF3Z9cH&#10;p9RXrMXhmM8ExgeyZ/maVwseYHVPFU542RD2hH9aaYvFNycG8cD/AGSq/wAq9ej8O2yfx/kFH8hU&#10;h0e0Uc7m+rH/ABouwsjx5fDOt3A/fXc5HfMjf4VPF4Jkdv3s+4+7A/8As1ejz29rC5Cwp/3yKuaS&#10;Y2mxtGPyphoee2/gDJHyE/RT/QGtGHwCqjmJyPoB/UV6gDGB0WoZZ1XOCPwFIDziTwnaW7hHiCvt&#10;z97t+RrSg8LW7xBxHEAe5Ukn9RWjratPcDY5T93jd+Jptrc/ZoQkk+8gdKAK48PwRqFyqgdlUf1z&#10;S/2Tap2JP1x/LFWpNQi7An6Cqz3jN91D+OKeganjXiq1iuvE+vPuYC0RNoHc5VefzNU5rW1huJY1&#10;iARLiQLyc4WPOM9etT6hM02seJ5P78oQ/wDf0f4VX1HKzXJPTzrjp7KBQI0I72G41vSvL8wMv31d&#10;i2Dwflz24FdzZy7jnNebaMnmeL7eMnhWI/JTXp0MSICAi57ZNK9hjp5Mc7gPxrm9VkDBgG3euK6W&#10;48sR9hXPXbIxYUmwSMizkEcSqcg45rUtLxbeC9mDYK2zkflVRFGBx2qaI2oEkd2jmCRCjheuD71P&#10;NYqzZ58sny9aN3Faeoafp/2x1szJHEOgZgxrNnga3tvMZWDK2OehHqKI1Iy0Rc6MoK7G5pl4TtgU&#10;f3Sf1q1aWE97A0sZj4x8rOAx+gp17ft/ZkVh8hVH3ZA5B7/0/KrMjHYkNig8kCu30XRrC40dUNtD&#10;c3ksgJZ5MCJPU4P14reHgPQZ32I8gfAOY5c/XrmlewHX+BHEngvTSTkhCPyY10JrC0K0/sXS4tPg&#10;y8UWdpfryc1om8IIDR/kabaYlsWCajZ8VE9ymcc59AMmq0twNhYHgdR3oGM1S7EWnXLZxtiY/pXj&#10;WkS7bO5I/wCWcD/m5Ar0vXJpG0e+ARg/ksAvc5HFed6dp00Vi/mBV86aNeTjgEk0uoyG4O27KHGA&#10;0aH6KMmk04H+2rLK7sxbj+OT/Wi/gkV55jgqWkYMpyOeBVqzhx4nCD/llCqj8EFJgdBcYhhMmzOO&#10;wOKyG8RW0bESRzpj0INa96rNaEA/WuVuLCwkcmRrlCfo1Zxt1KZsJ4ksWPFzIn+8hq3F4gtz9zUE&#10;H1yK5I6RYv8A6u+ZT6PGRSHw+zf6q9hb6virsiTu4NVlkyYriOQDrhganGq3PRlVh+Fcz4XspLOS&#10;8imYM3ynIOR371s+Wxv2OW2BQAD90moejsNamtp0ovr+KA2cfznk47V1tvo1jbvvjtE3/wB4gZrm&#10;fDkYGtxEDHyt/Ku77U0wGRhkXagVFHYCvMfE/izXYNau7KC88uCN9qhEUHH1xmvUhXi/igZ8T6gf&#10;+mpoux9DtPh1NcXmm3bXU0kxWUBd7ZxxXbhFA6YrifhoMaTdH/pt/Su3zVEIoayqnTJQwBGMjP0r&#10;nrSTFtH9K3tcJ/suXn+E/wAjXml5cTpORHK6/Q1pDZin0O1Z8rWF4pb/AIkrj1dR+tYZ1W+ReLhy&#10;fzqG+1O5u7B45nyAynp71SJPWvA0SwWcqqeMA8/jXTTyfLXIfD92OlMWJJIHJ+prprmTCkk4+tAR&#10;MfVJcg81zlw+EarmtatZ24bzLqMY6/NmuVl8R6dK5ijuQXPQYpMs6OFv3YorLtdZsJIAy3cePc0V&#10;IgGT2pVzzxXGt4x1OTiC0iX8CajOs+Jbn/Vqyg/3Yaq4WZ3G1j2pxQgcsB9TXBFfEk+fMuZVz23h&#10;acnh7VrkjzLmRs/7TNSuFmdw09tH/rLuFPq4qtNrekw/f1GH8Gz/ACrm4vA9w/33lY+0f+Jq5F4C&#10;JPzLJj3YCjmDlMfxdq9lqctillI0nlFtx24Azj/CpNE18aBFPDcWssgkIZdox/Oult/A0EZBZEyD&#10;n5mJ/lWlJ4XgmIMzRtjp8nSlcdrHKy+PpMfudNx7u/8AhVF/HOrP/q7SEf8AASf6127eHLCCPcUz&#10;j0UD+lMg0a0nj3hQmc4B54zRdhY4CXxN4jmOVGz/AHYsfzqlc3uu3URF5NI0HVlJAH5V6Lc6ZbW6&#10;EgqT2worjNWmuPLkj4CHrgCi7CxnKMj8KeFoiGY1PtUoXNAyPbS7Km2UoSgCLZUltGG1KzBxgzqO&#10;fenBaa58qSGUfwSo360Aek/2Co6hPyJoOliL7u0f8BArVkmXbnPbPNUbi8jUfeXPpuzUjRmXoe3i&#10;ysjfgazkuXducn6tV67l8+MquT9BWY1lM0sUXK+YTkg8gAc/0H400KRr2EjCQcKPwruNNkJjTPPF&#10;eVSaha6Rri2Ml6lvC8Qd2JyVOeg68kV2PhvXJL/Tmkilify5Wi3rzuweD+IxV3Ed2HG3Hy189eNd&#10;En0rUL2KSErHK7vC3ZlznivYze3BHM+PoAK8s+JWpS3uqWumwP5koAAJOSGYjj9BUgzK+FOoix8a&#10;wIzbUnRozz6jI/UCvoA31vGfmlX86+XrDztD1+Bp0KSQTKzD2B5r3canbFQQDg+1Azpm1q2Toxb6&#10;Kap3GuAjCRyH8hWG2p2vqR+FPW4im+4SfwoESS3ks7ZEYX6mpbae4ibKlR+FV+KnjxRcC99sumHM&#10;xH+6AKYzSP8Aekc/VqaDgUFuKAGFFPXmosBG6daez1BI+QeaAHZC/L+VMaULVd5hjk81SubrEbHP&#10;QGgDymOUTX2pA8m5vkX8PMJ/pUWoT7zKQfvyzMP+BMB/Sq+msW1JXz8ql5z+AJFNLbpIVb+EKT+r&#10;GgC3o0rjxMZkxuDOefoa7KPWskhiwI4OK4bRG/4mZfPO010TsIoZJcE4ySAMk1Eho3f7QhlHMh/4&#10;FUbeW/3WU1ix5kQMFx7Hg1D9uhHWRk5xyKgZtu0KcNIoPpmomeCRCuWIIwcCs+K8jf7k8b/jVhZy&#10;pyYUb8KLIadtjLu9NhefdDchPZlNXtN0Sa4liDmOWEOGZwScAH0Iq8l7B/FboPoMVcgv7QHgMnrg&#10;0RtEcpOW7L+p6DDNqQu7RLdFKJkLlW3Y54HFVJvBL3gkuFtA6oCzEKMYq3Hc288ipFMxZuAMnJNb&#10;cNvqX2cwguIz2Z6rmuScdDoNpbxSGG0USsuM7sfSn+E9Cu7SW4a+mGGAKsnOPWuvt9Flj3F5U+bH&#10;X5sfSri6UG/1k0jewGBS5mOyY+zgWOEKsjOPUmq919pWUhE8xPyIqxfSDStIubpIS/kRNJtJ64Ga&#10;80ufiZqs2fs1tbwD3BY/rVc19ibWO/W5uuUFrJGD/dUHP4002E8pUsjkL03uOP0rjPD3jHWdV8QW&#10;VrcTIIXbDKiAZ49a9QCKDzz9aTbQ1Ywf7LaM7gE9+5xVpNIt2Ub1WQdfuDr61qhAO1MUhCyenI+l&#10;TcLHnfi9tGsI7rTY9Nb7W1tvEgwAoz1/rXL6em/xJc7XZcZGc5PGBW38Q2X+1LhwpEj2yKCf7u7/&#10;APVWFo5L6zdOD1Lf+hVS2uDN6ZZBHzJuH0rFuoxuNbkpzHWVcgZNZlGYsI3VMIRjpTlGWqbAC5PF&#10;O4mTaf5sMUphwDkZyPrV/wC2SxqDIi/hWVNdSWemXE0RG4EYNYUmvXUkK5ly3cFatK4r2PUvCz+d&#10;qscnT5W4/Cu8rx/4Z6jPd+IWjlYkLETivXqTVhJ3HV4z4jGfEd+f+mxr2T1rxnXznxDf/wDXZv50&#10;iuh3Hw5BGjXB/wCm39K7PNcd8OxjQ5T6zH+VdhmrIjsYvipyukDBIzIBx+NYtvo0N1axzMBlhnNb&#10;viJC9ggA5Eg/rWKmlX80aokr+WOAqg8VrTegpq9irdaNYxg7pI0+rVh6hZ2v2doorjOWDcJ6e9dV&#10;H4UuZGy5IXvuPNWpPCtsyDzgxx2BxVsmxzPh7xLfWVtcW8DBVXAHHNSX+sajdqQxnkJ9ziuitNAt&#10;LMv5FuF3dSec1bGlx90pIdjya907ULpzmIj3qpBod5FcCQo+Bnt7V7L/AGbGOkY/Kj+zk/uD8qlo&#10;Z47Bpt1ChUo4Oc8UV7B/ZUJ/5ZiijlYaFOPRLKPpGT/wI1OunWi9LdPx5qyDS1I7kaQRR/diRfoK&#10;lxSUtABijFApaACkIp1IRQBVulzAwqlarusQM4ILYPpzWjcD9y30qrpqeZauPSQj+VIDMuFaVCCA&#10;COvvXIanDvEgC8816Be2KtAN2OGzWRLa26ghio49aBnncEiLCu51GB3NP+1wL/Hn6DNdDcafo9uc&#10;iOM/jmsOS7stPvWlClopOPLCj5SO4oAiS+gaZY9yoT3kYIPzNThnmDG0MNwqD52SThPYkgfpXN61&#10;cJqF/wCdEvloFCgHrU+jalJpSsIYY5HZshnUnH0FMR1Vvour3QBCQQjAPzsSQDVk+FbjZuutTiRB&#10;yQI+PzJqnp+taneu+55I2POQgA/WqviC2vruFElv8rnOxzjP5UrjO7DweUp8xXGPvZzmoHurdD94&#10;Vw+kwLb2MsFzdkqxyvlk5H41fe8QTIFmk2KOVKjn8aTGdG+pRKMLkn2FZ13qjiRGRGwFZSQeRkD/&#10;AAoVVeMOvIIyKabct0Qn8Km4GFLb2lxfu09qpRl+QA5IGea6jRk0vSbZjZ7kkdcsAWOT75NZzabu&#10;cOUwR36YpXuF0yJpXkjYKMlTjOKOYC/LqkgtTNHqQkfbu2bQVH4dfXvXnU1zcahezXLybJVy+4EA&#10;59q7NHsNUZ5FlVN64ITvWFr2n2unRmVYlYnoR71SYmc+k8S/LJD5hPRs4IP1ro7bxbdpsjMuEAAw&#10;yg/4Vynm89KPMyeuKoR6dpHiPSWDHVzdsv8AehIxj6AZ/Wuqg8Y+D4bYm3kndtwVY3V9zntjNeJW&#10;054TJwanaFW6zEexoGek6j46ubOR5ZfDssNsDgP54/DPGK3PDniCLXrR7iOF4QjbSHIOTXiskI2b&#10;DIXUHAAbOB9K63wKl8t4otY5fsjMTIcfKRjg/XNJsLHrobimF/eqSLOBwCKmCzfx7QPrS50PlYrv&#10;iqsk2KfOdncH6GqEsnvTvcVhJpTnINZOoXBS1nfP3Y2P6Valc1j63Js0i8bP/LJv5UgOAsciO7Yd&#10;fJCD6sQKRvvTv/dVgPxIWltDhJx/txfzoB5YHu6D/wAeqhE2mLs1KYD+EMPyOK35IzLbsgYjOORX&#10;P6cd19O/qGP610SuyqPkJBAORWcxofEMZyMelYt3BNL5kcATIY/ebB6npW0JUJAOV+oqkUEkb5H8&#10;bfzNTe2ozmLjT76MkyRuPcCq6XF7bH93NIv410TGWI/u5GX6Gmtcs/E0MUo/2l5q1IVito2q3txq&#10;EVvNJuR85JUZ6V07w4wflOfwrEs47U6hA8UJjkDdmyMYNdHUysNCaajJqtr8rL+9XkN716ssSjtn&#10;615hZn/iYWx/6ar/ADr1MGp6DECgdABTgBSUoNAzL8SDPhnUx/06yf8AoJrwJete/eITnw5qf/Xr&#10;J/6Ca8CXrTgKWx0Hg7jxXp//AF0/pXuArw/wh/yNWn/9dK9vBokJCHOeKY0e47mPT09Kl71FI2FN&#10;IZ5H8RZ5n8RtGIt6NCgGOoG7P9KytDhcXUhlRo2ZS23kEZOa6Hx3HdDxEggkZALZCcNjua5zRZTL&#10;cyMWJODyTz1rRW5SZbm8wKr99iPQ1QuO9X3OVqhcDk1kWVk+8anK7kIYZB61Ag+ap+1AmU9Q40e5&#10;UfdBAFcpgV1eoKV0e5z0LDFcpWsdiWd18KB/xUkx/wCmBr2jNeM/Cf8A5GG4P/TD+tey5pS3FEXs&#10;a8Y1051++/67v/OvZs8V4xrJzrd8f+m7/wA6krod/wDD3jQH/wCuzV1tcn4A48Pn/rq1dWKslbCN&#10;GJAARnBzWjaxDYAQKpxDLGtW2TKjAramtCZbiGEY4qncwYHWtfaQvSqN2OOlaEozEjwTk04riplA&#10;prCpKRXYH1phB9asMBio8etIZHtoqbA9aKYjJopM0hesih9JmozIBUTzgDrQBZ3YpjTqnVgKz5rw&#10;joazLm5Zu5pXGbEmr26MFySajbVvRP1rlbhzzU1pdGUbD97p9aTYWNq41SRo2ACioLG8mit5AjkZ&#10;fP6VB5ErjAjPNSQWkqoysAMn1qbjG3t5NLbMDIxOfWsGVmbOWNb7WO8ENKBn0GaYNHgY/MZG+gxS&#10;bHY5eRAevNVZbOCbho1Ye4rt00W0HP2bd/vNVmPTokHywRL/AMBzSuFjz2PSI8/urUE+yZrQt9Gu&#10;8DbasPqMV2byW9sP31zFEPdgKoT+INDt8+bqUZx2Uk/yo1DQzIdFvBgtsT6tT5/Dcd2VM9x93slM&#10;n8d6FBxH5kx/2Ux/Osu4+JUCjFvp7H0Lv/gKdmGhtxeG9PhUfJK/41MNIso/u2MZPq/NcZN8QdRm&#10;bEKQxD/dyf1rf8P31zq1uXvJmcjPCnaO3pSd1uBrOPKUKiQxqOgA6VSluOcfaBn0WrrW0A6Rg/Xm&#10;sxC6388ZkQphSkYGCo5FSNEErF8/65/zrjddH+mggnayA4Nd6yk1w+vLi5i/3P6mqjuKRl2skkcp&#10;EbspxnINbF3eNc25tbpd6dQw6g+tZNou+4Kd2GB+daNwAXU46iqe4kQRaJHcnbDdqG7K4wa1Z/h3&#10;q0Me8yW7DGcBjVG2Ukk+9aDzzzDEk0jD0LGhthoYUuianav/AMe7sB3T5h+lEcV6vytZuSe7Rkmv&#10;Y/DlrDJoNozICdpyT9TW0kEaYAQD8KFMLHjWjaNr892DBZSLG/yuzIFG09cZr2KytBaWkUEaJEiK&#10;FCIOBVlVxUgFTJ3GtCMRZHLN+dMnjCRlqsDpUV1/x7P9KS3BsypWqjK/NWJX61nzvzWrJGSN1rE8&#10;RybdCvD/ALGPzIFajvzWB4pcf2HOM9So/wDHhSA5O26zD/ai/nSTHaGb0ZT/AOPGltmDSPgj5pog&#10;Pwyajnb9xKfXbj8yasRY0r/WOT/c/rXSIw8tD/siub03gyH/AGa3kkVYogSBlR1rOY0WQyv6GmyA&#10;A8CmqQDkU6Tr+FZlGfMnWqpWrsneqzDmhAFuP9Kj6j5hU017d2jYDhh6NzTYP+PmM/7QrP1W4c3x&#10;hDBVxnJq0riZ0ekam1zf2yvGATIvIPvXsgr540O+kXXbKM4IMyj9a+hQeKJKwJ3HZoJphNRyTBBk&#10;1BSKWvt/xT+o/wDXtJ/6Ca8FUivWvE2qsdMu4lb70TA/lXkCN8wPvTgwkjqPDlrNb6va3mOInDbe&#10;5r0SPxJcozCS3XrwOlec2WoqjSPKu4qBtA9aSLxDcnUQfMIT+6eRUtybNVBJHoy+JbkSPvtwy9gO&#10;1TW3iWCR9s8bhy3Cqua4fXtde1u4IbZtoKAu23O4mnWupfabESSHMgcqdoxxipu0rlcibsSeOZLp&#10;dai1GG1aW3lgEeCeQVOTx+IrlNGQOzuflyW+XuvNdDrt84061KBjl3Xk9OBXLQSS25kaFgW3nduG&#10;ee9bU9VcwqK0rHSxgow+diPQmkkwTWZa6q5fE8YUAfeWpv7UjD5EbN9eKTTFcg1eRrMQFchnBPFQ&#10;waurlVdD15x1p2pX32loyUUbQQO9QwakYDlUQ/VatJEst6lJHJoszRb8bhncMVyn1rsLq6/tbSyj&#10;skRB2g44rEOkXH8AjmH+w4zTQM6n4Tf8h66P/TH+texivJfhbZXFprd158ZQmHjP1r1nNTLcSF7G&#10;vCtXnuf7cv8AEYcee/T/AHjXuvavnrV7u4i1u+KOyj7RJ0/3jRFaldD174fFj4YRnQoxkbg9q6wV&#10;yXgW8EnhSGeYqm5jnJxXQrqVuxwjF/8AdHH502THY0rYZc8dq2bZcKKwtPuBI7naQMcc1v20ybRk&#10;VtDREy3LBQAdTVG+A2YrR8xG6EGqd4EI6VYjJUdaVulSBcVG/AoBEL8UzP4USHHNMzupDH4HrRSZ&#10;xRQBilqiZ6RjULmsigaU1WlkJpzHNQSUhkMjHmqshqd+9V5KQFOYZzUFvI8Mu9DhgcirEveqq/fa&#10;kwR0unSGa18yd2ZiT90H+lW/k/hgdvyH8zVXQzmzI9GNaeOKzKKZuds6QBYVlYEqrPyR9MVLsuG6&#10;yxr/ALqZ/rWe6yjxHCRaxmIxNmf+JfatgH0FAXOU8aajfaNpEU1tcvveUKTgDjB9q84n8Q6vc5El&#10;3MwPX5jXqnizTRqunQ27kqnnqWYDJA55rnV8P6JaybJPtDsBkFsKDVqSSFZnnzfaZmyzMxNOSwuJ&#10;DwhP4V6haabp4j3x6bHg9DLlsj1q4I2jGIooox/sIBR7RLYOU8xg8N6hORstpSD3CGtCLwXfHBkV&#10;Ix6u4FdnctcnAM0mPQNis2aEscsSfrU+0Y+UxD4TtozifUrZT6Rnca6DwvbraPNAkhliBOxyMZGB&#10;WZNCFlH0p19dT6boUtzayGOVZFG4ehpczloOyR2LgDtxWTdS2VvOZpJ4Y327SWcA4zXm0+uahc5M&#10;t3M31c1UaffgnqBzVezJ5j0ObxDpqcC43n/YBNcxr8yObeYZ2uhxn/eNZEDqWFX9aYCysT/ssP1p&#10;qNmDd0Q6Uwe//wCAmtC4HzBux6ViabL5d8pJwCME1uXZZtmAVXGB60SWoLYLUcVcHTmqtsNoxVwd&#10;KkD0nwod3h629tw/8eNbi8Cuf8HtnQIx6Ow/WugFIY4UopopwNACjpVTU7iO1024nlOERck/jVoH&#10;isfxYhk8Kaoo6m3amtwOffWFlXdCFZT33Z/lVKa8mfpgfQV5vBLqVgiTJ50cbfdbB2n+la9t4rmV&#10;QLmBX/2l4NbEnSu80mSZG/OsbW4C+nzN12gN+tDa5JIh+zwR9Mks3Ssu51K6ukZHcBG4IUYBosBB&#10;d2saXmYjsUqjDacYz/8AXqs6yGPYrCQcZwMkVMsTythULt9N1TSW91DG3mJIigZOeBQIltYxE0wD&#10;A4wB71sQ4NvFn+7WJCfJhaWTiNhgNjjPpWtbyB7OFl6FetZzKROI1B+Ulf8AdNSkEDlsnHXFV0JB&#10;+9kVOx/lWY0VpD1quetTyVAaAJIgPPj/AN4Via2P+JgfpW1ER58f+8Kx9d/4/wDP+zWkNxMh0Q41&#10;+wP/AE2X+dfSAPFfNukHGt2R/wCmy/zr6OzwKJiiI74BxVK6YlDz2qw/eqlz/qz9KyZaOJ1xv9Hu&#10;v9xv5V5yp5H1r0LXP9VcD/Yb+VeeL94fWqp7BM14z8kv0FVY/wDj8WrKH5JfwqtD/wAfa0dTboaW&#10;vHOoRf8AXMVe0of8S4/9df6CqOvcakg9IxV3Sj/xLj/11P8AIVm/hNV8RY1Jd2n24/6aN/IVz1sn&#10;+k3Efo+f0FdHeDdZwj/bb+QrDhi/4mtwv0P6VvS+E5a3xDvJwaY0RzWiIM0jWw9aqxmZMsJbFQmB&#10;q3Vsww96kXTs9vzp2EYscrQ2rRbM5bOTVKRpS2QMfSur/stNuGH6VJHpNuOqA/WjlAsfDCV/7Wu/&#10;NdiBF/EeBzXpcmp2qZAfzD6RjdXE6NaQwysVjRcjriugXAGOMUnG7BF2TVZmH7mAKPWRufyH+NcR&#10;NosEt1LI8KMzuWOR3JrruNtZrJ854700rDZPpNlDb2iosSrg8ADpWunoBiqdqNsYq9EMmqEa+mAD&#10;g+ldBbqqrnJNc/YEpKDit6Fi6dSD6ZrRbEMsHaRkfyqldEjvVgbtpPlNVK5IB5FFwIQxGRTHPy0v&#10;/AajkbaOlAyB8k1Dkhqe7k0zPINAEgPFFNDe1FAGE1QuKnaoX6VkWQHrUMgqYjmopKQFV6rvVh6g&#10;akMpzCqnSQ/Srko5qm3+t/CkxHQ6E37lx/tVsFcjHrWFoUgXzAT6VteaOysfoKzLYqwovbJxjJOa&#10;eAAMDjFRb5D0jx9WpcSn+JV+gzQIZdqGiwfWqYhQ9VFW5UYR5Llv0qED3pMaIyo7CopFqyQM1G4G&#10;KQzLuV6cVQkXFadz0/Gs+U80gMydf3in2qpra58M3o9CjfrWhcDLKaqamN3h7UQf+eYP5MKqO6FL&#10;Y4CPDNz0xVkSwJCV8nL/AN4moAF8wbehFOZQK6DMRD+8B6Vrat82l2Rx0LD+VZA4YfWtfUm/4kls&#10;fSQj9BUvcaM3TgDfICOCDn8q6C4OY0B+8pKmudsDtvoT6nFdHef61cd15qZbjWwkODVtc4qlEauI&#10;eKkD0LwY2dEI9Jm/kK6MHrXL+CW/4lkw9Jf6CunB5pDHA0o60zvTh1oAdWb4gGfD2oj/AKdn/lWj&#10;VLWFL6LfIOpt5AP++TQtwOI8OiKfwzbiVUKncCGGR941z/iLRNPWNp7RkhkXJKDo3+FYdtqup6fC&#10;bdXJhPYdRUc9410rNJO5bH3TxW1iRZvJaYlX2IAMce1STXlmtu6Q243lcBmOSD61UuM4UqBQsg2/&#10;NHmmISK4vLGPKSZRx2qKa7Nwvzu4bvk5BqzMQ9vHtX3xVf7NnkqaLAOu2lS1iUkhHAcLng+9btir&#10;NpNuQxBArBcM8KIw+ZRjmt2zmSLR4g7BcVE9holEjr94Z9xVxHEiZGeOOapRypJyrBh7VahPyfjW&#10;bKI5BVWQ7FLegqzIDzVaRMo2fQ0ICraarFNPGpDKxYDmq+ujF4PpVKzTF7D/ANdB/Or2vf8AH0v0&#10;rRKzJ6FTSjjWLI/9Nl/nX0cp+UfSvnDTTjVbP/rsv86+jk+4PpSmCGP0qncn93+FXH6VSuf9X+FZ&#10;MtHEauhkMyDqwIGa4G6tZLK4EUuMnB4r0DUji4bFcXrx36ihP90fzq6ewSHIfkk/CoYOb1frUqH5&#10;JPwqK3/4/F+tJbm3Q0df/wCQqvslXNLONP8A+2h/kKpa9/yFf+Airmm8af8A9tD/ACFZv4TVfEX5&#10;ovOtYh0wzf0qtHYrHK8gHznAzmr6Am1TH94/0p6IMHjn3rop/Cclb42VhDwMilEQyOKtcDIA/OnI&#10;yt1AzVmZAihfapACTxzUm3ceMUqk5wBz9KYCrFu4IqRY0GeMmgA44GTUiZHIxn0oAuafw3QVqqfW&#10;s2zyDknmr4NDAlZsL2qiW+erJPFVSPmOepoQGlbElBV+I+1ZlucKKvQsc9MUAbVowEg5rchK7Rg5&#10;9a5q3fDCta3uG4yQB71dyLamuZW27VIAqjdJg5zzStcfLt5OO+KryuzdWNJDGEt7n8ailzg5zUin&#10;bUMxPvTAqscU0HNI55NMBNMCwCMdaKiXGOTRQBkMaiepGqJulZFkLHmon6VI3WopOlICs9QNU71X&#10;ekBWmqi5/eCrs1UZeHB96Bm3oR/fuPYV0Fc1obf6Uf8Ad/rXR8msnuMfijIPQ1EsSgk5Y5OeTTlU&#10;LnAxQAk+PKNVR0q1L/qzVTNJjQpzUbjilY0xjkUhlK5xtrOlb0rQuBwazpe9IClcHO2oLsb9H1Bf&#10;W3b9KnuMYHsaiPz2l0v96Bx+lVHcHsecxH5hUzVXT7w+tTtXQZDe4+tbF2PM0GLjJEvH5VjGtibn&#10;w8SP4ZVP6Gpe40Zdtlb2DjneODXS3Ee2IFjlyeTXMwnFzA3+0P511N2MwD60pbjWxXhq2lU4uOKt&#10;p0qAO58ENmzul9JAf0rrB1rjvA7fu7xfdT/OuwB5pDFp2eaZmnA80AKOtQ3q7rG4HrEw/Q1MOtRz&#10;fNDIvqpFAHg0w/eMM9+wqtNbp5ZOGDYzWo0ZBb6moJkAhf8A3TW5BBIktyA6qTgDOBUIUKSF3Nz3&#10;qe1y25dxAAHGcVZEQHSgCgjMRhTgA9BRsOc5NSRpi7kT3zVgxUAZ6ElmB6gmpiNyYNRhcXTr7/0q&#10;wUOKTAqhHjbdGxU+xrUtNRMVvtlUvJnr0qntIpAKTVwuWpdSlYnaqqPzqpJcTMDmRvw4oIpjChJD&#10;uQ23F3D/AL4/nWjrcMjzBwjFR3xVGJcXEZ9HH861Lu68iUlJcf7PUflQ9wMmxAGo2hzz5y8fjX0Z&#10;HzGv0FeA29/DLfQeZaoX8wYdeO9e+xE+Sn+6M1MwQ1+lU7r/AFZ+lW5DxVK6bERyayZaOH1d9rys&#10;OoBrz+9uJLi5VnIJ4HFdrrt9AjyIXBYggYrh3TLgn1rSmtBTNNPuSfhUduf9MX6inIflk/CmWuTe&#10;r9RSNuhpa7xqx/3RVvTv+QeP+ujfyFVNf/5C5/3at6cf+JevvI38hWT+E1+0bNtk2o/3j/SnjAHI&#10;5ptmAbP/AIEf6VJjIrop/Cjlq/GxpOTkrTWQdV4qTFKV4qzMWMBR824VIACQwPFRYP4Uu/HTpTAk&#10;w3O0kU9QykDGfemht656VIpIQHH40wLdox7nrV8HjrVG22nlatj60mA9jxUOfmp5HrTP4ulCAuQd&#10;KvREcVRg4Aq/Bg4piL9upJGBWvbxPgEjj61nWy8g5rWgXIHJpsRMYyV++B9TVd0Yfxr+VXTFgZJG&#10;Peqcxdesa49qaAYEGDnFVpwRnBpxlTP9KjmkOMBaAKbnnmmZOeKJWqMOaoCyOnNFMVuO1FIDJY1G&#10;xp7VG1ZFEDHmo36YqR+tRN0pDKz1Xep5OtVnNICCXmqM3UfWrsp4qjP0oA0dHcJeAk4G01v/AG6A&#10;/cZpP91Ca5jTG/01B6gj9K65T8ox6VmyuhF58zfctn+rMBQPtTHkxR/m3+FTde9AIJ60hkRifaS8&#10;7N7AACq+autyp+lUF680mA6mMajnvLa2BM08Uf8AvOBWRdeLdHt8j7WJCO0Y3UJNgXbnODWbJmsW&#10;98c2zZFvbSP7ucCsO58WXsuRGscY9hmnyNhzI6i4A2En1psDBiyf3o2H6GuTtNTu7uVvPlYj06Cu&#10;g0xy15ECevH6UcthXODXh/xqZqSaIxXDgg4DEZ/GrDooAPHStyCqc4rbQb9AmHoyn9aoxWslwmyO&#10;3dmJ+8BxitSW0lttDuVlXacKf1qW0NGEqhZkycYYYr0GCzhnQpIuQe9eb4+YH3r0m1uoYo0aSVFG&#10;0HlqUxoq3egT2qmWHMsXXA6iqK8V048R6fEow7SN6ItYup6hb3km+G0MbZ5Yt1/CoA6PwO3728X/&#10;AGVP867NTXDeB3BvrlfWMH9a7jOOgzSGP70DqKQUo60AOHWkIypFA60GgDxYjGQeu4/zqvcD9zJx&#10;/Cf5VcnTbczL6SMP1NVpx+5k/wB01uQULIctnngVaOPUioLL5vMOOuKtkZoAqrGBcmTdU+KREyzU&#10;8xDFAGey41Ej1AP6VcCZHNM8j/SN4zkCpwDQBDsx2o8vPap8Z70mOaQFdouelRmGrhAz0pNoNAFH&#10;yeaZJbsc4FaPlc5oeE9qAMqCF0u4WIOA4P617i/iGxggQCQyuFHyxjPb16V5LFDh1zzzXVQKfLX0&#10;xSkrjWhsXfie5d8W9uqqR1duaxLy6vLwfv7l2H90HA/SpXX0qJ0GOalRSHcwbi0DuWbknvVGWxXN&#10;bsyA5qt5Xz4ZfxqkIyFtpFDAHOaLa3ljvEdlO3cCcfWt1bXceBgVYisxu5xRyj5nYzNWhe91DzYQ&#10;cAY54q7p9k/2NUlbYwYnjnrirjRIGwACfapEUqKSgrWL9o73Hwr5UWwMWGc5NTIBjrUY44NSDHGB&#10;VpWM5O7FOM8UBSTyDTtpxxwaQrJnAfGaYg2seO1KAoOGwcUqo6jrn3pVQ9So/A0APBBGAuB64pQ3&#10;mAAjbRvCjHNM3KSMpz6ZpgXoFCEBTxVoHNUoWGfarQakBI3TrSJknjmlB46VNGATQgJoE45q9CQO&#10;i1DGmFFWYgc00I0LV3yMda2YHIUbjWJCWBA21oJubq+BVCLr3B7MKhect1HFN8lFGScn61C5HY8U&#10;gFcpjIXmqc8hPAqw8gA7GqMsoz0qgInPGc1GCfWhmJNCnmmBOvSiovtCLwc0VNxmcxA61G1EjEjI&#10;Hy+p4qhdaxp9oD517bpjtuyfyFZlFh+tRt0rnrvxnpsZPlNLMf8AYTA/Wse48cMwIhs8ehkkz+lI&#10;DrZWAPWofLkk5CHHqeBXAXHijVZidsyxD0jUCs241C7uc+dcyuPQucUWA9Av7yztEbzb23DD+EPu&#10;J/AVy1/4iBZVt2yvc7a5wmmGiwj0TSb1Xv7fC4yQK7pMeWv0rzDRpMXNo3+0temI6iMcjismWthx&#10;jVm3Et0xgHinBUU5CgHGM0zzfRSaQM56KB9eaQEpNeR+JNW1JdZvLf7bMsSSEKqtgAfhXqdwJvs8&#10;hWQqwBxivJPFUZ/4SO6OfvEN+YFVDcTMaSR5Gy7O59Sc1Gc/3alEXuaXy89STWpJAR6/kKT5ugGK&#10;seVSiKgBbA7JiGPXpmun0tsXsB/2xXMrHzWvpVzsuYlkOCHGDUSQ0SXs+g21xMkn2i4kDnKqoUA5&#10;6ZNUG1u3i/489MgT/al+c1W1SH/ib3eBx5rfzqsIadguWn1m/k4MxRfSMbf5VbgYy6bd7mLbo88n&#10;PcVliPFWIneNHVTgOuCPUUNBcprEPer8Z4GagAAqVelMReicDvVoPx1rNVyKmE+B3pAdl4Fc/wBs&#10;TDPWE/zFegg15l4EuM+IGTnJhb+lelis5blLYkzzS02lzzSYx2eaMnPTj1pM81HNdQ267pZUQf7T&#10;YoA8nvoyupXa+kz/AMzVKaNzE6gjkGtPUSH1S7dDuRpWKkdxmqrj5TWyIM60gZEJY8mrJSlRTjmn&#10;EUwIUXkmpAp6UqCnbTQBAR8x707bkdKftAb+tLtP1FAEfl+gpRGfSpACB1NGG7c0gIjGaFjyeamx&#10;9M0cdhTAaseelDjsOtSqvPOefWpBHnoKAIYY2LLkdDXQwn5Rx2rHRdsgXbz61tQ42CkA4gmo3Xip&#10;jTW6UDKTovPFRiNO9WZTkZ71GhLDBFMQgXb2P5U4Ejt+tDN1GTSqoHbigYqgg57+tSqNw759ajLb&#10;Tkj9acshK4BNAARInRQR60+IsSC2aQD1yfxqaJeOgFMRJuzgAHHvSle+KlRBTiABTEVSzj6Um/HG&#10;TmnOhznGQPehAV/hoGN3nHIP0p8Y9AfxoMo7rSiQD7o5oAtIQCOlWVIxVOP5hnJq0insaALC9OKs&#10;wJk81Xj69Ktx8CgRZTAGM1YicA9qrKfY1ZiAOOOaYF6GVR61cWcAfdGaz4kJOO1X4ohj5VJPvQIG&#10;kkdTtH5VDtkPXNWihC8j8KhkYngCgCIoQPmqpMQD1zVlyx7c1UlXHU1QEDMCaFJprMAaVD7UwIHb&#10;5jRVd3+Y0VkUeOT31zcnM9zLJn+85NVi3oKUlewpC3oKQDGz6U2nlJCM0n2d8ZIoAibHrTCRVoWx&#10;704W49KAKX0FGwn+Grvk4PAoMeO1AGppj4WBgfukfpXqsKjylPrXkNhJ5coQ9D0+teqLqNnbWkb3&#10;N1DFlQcO4FYyWpcdi8BSgCueuvGui22Qs7TN6RKT+tY9z8ROSLPTyfQyt/hRysGdxIMow9RivK/F&#10;kWNbZv70an9KkufGGvXZwkscAPaNf6mq19cSX7wySj94sSoxJzuI71UU0xMx/LNO8urwgz2pfIxV&#10;klHyyaXyjir3lACmmMUAVBGRUgXmptoHakwBSAqSriQnFM2VacAtzTCvpVAV/Lp4Tin7Sacq5FAF&#10;fZjtTwpxUuw56U8LjrSAgwRS9qsBR3qRYQaANXwM+zxTEP70bj9K9Rlu4IFzLMiD/aYCvJrGP7Pd&#10;JLGxRwCNynBrWBDHc2WPqxzUSjdlJ6HZT+JbCLIRnmP+wvH51nzeKLh8/Z7ZIx6yNk/kKwgQegp2&#10;TRyoLlyfVNQuMh7pgD2j+UVTKgtubLMepY5NGaD3p2EUZQPMb61Cy5BqabG8kmoWaqEQKhBpzAY5&#10;NKTxnGKY25hkDimA3AB6ZpwXnng0KOM4p4wOTQAwoCetKF+TrzSjDVIkZzQBCA2elLhsdMVOVOe1&#10;IUG35jn6dqAI/L3EEU/aB3FKiK3Iz+dPC8/KuPpQA3aGC8dD1qVV2tyRTCMHvUoxjkDNAEihd2R1&#10;q/GflGaorjIq9GRxxQBIcnoabyOtOJ9KaSQOlIZDIAehqAgBsrgGpnb1HFQ7lJxtxTEICcnOPzp4&#10;LHkUzaAd1ODDHHWgCQIzKeeMU9BtFRAn3qQfU5pgSAZ71PFjHPWqy1OjYPSmItqT2oK5NQq3enFi&#10;elABISBUO8nODQQzZ5pgjPoAfWgCTeuPmH5U5drdsVAY8cmpFGOcUAXY2AGBVhXqnGuR1xVlAR15&#10;oAuRNnFX4AD1rPhA6itGLIHbFMCUtjjNSRE5qLjPFSo2KaAuxZHOQRVuOdQQAcVQjOeDVpPL4yM4&#10;oEWWdmHByKiI9c0PNtGFqMymgBHwBxVGY5q1I2e1VJRxknimBWPWlyfWqOo6lHZjaMNIe3pWQuoX&#10;Ny3+swPQVE6qgaQpOWpsEnPSiqAScjO5jRXN7ddjb6v5nly249KkFuuOlXUhLyKijLMcD60vl7WK&#10;kcg4NbnOU/Kpwiz2q1tx2pMCgCt5XGaPLAqcimEUARFB2FRmMVORTdvFICv5ZBBU8iruoqdTuI5i&#10;m3ESoec5x3qIIM1ciHyCkMpppqjtVhbJAelWQaDQBGLdFHCiomQZqxk4qPGe2KAIwtBXipQKQigC&#10;BhTCpqcimMKAIGWmlKnxTSnFAFZ1pAPWpyCDimn73NUIjx7cetAUAcU8jGeMik4J9qAI+h6GpFTJ&#10;5qU7QMZFNA+lAAIgDntUwC44H40i47ipAAO1ICWDmRR6d61FxisuIkODjitBXyKQE/404H2qDzMU&#10;u4k0DJ8jrTGYc80gB70hPFAFWTlj0qFn5xU0w+bg1XIHXNMQMO/emqPU0EgHPJoLnstMCRQpGe1I&#10;V3nrx6UxQzNjinsSMgUANBAPvUgcGokQk1YWLJzmgAX7vzDIpQqHpzmnbegPAp20L05oAjAKHhae&#10;rE8HIpDIc4BxT+vWgBAoxwSajL7X2ngetSY9c0pAI5oAcgJbPUetXozxWeqHdkN+lXo8gdaAJ801&#10;u/NG6mluuaBjXwO1QFhnmpWOeahYgdaBC8AZxgU5XUfdFMMnAFICM5zQBNjd04p6qMfeqNMHvxUo&#10;x260wHhTT0HGTTFbPBqUYxjtQIeD7UhyehowDRgnocUwG5bdihn496adxzim8jrQA4PnqKkVgaiy&#10;SOacpoAnDEcVYiJqsreo/GrEZpgX4nwOatpMMYyQaz4zVlT7UAXUfjvUyNVOOTnFWV9etMRbjI9a&#10;tKOOtUUJ9DVhGOOgpiLByOtNJHrimiQgcHAqOSZcc4yfSgYsj7ff6VRvbjyLWWYj7iFsfQUs93HA&#10;CXkC/wA6yLrUluEeILhHBUk9SDSuNHNPcPcO0rnLMcmtDS7XzX8xydgOAB3rGXMTtGeqnBrprE+X&#10;ax49Bn8a5EuaWp0ylaOhrNf2lufK+zFto6gUVRuJCspDtzj0orWy7Gdzz/5lYMDgjoabgZo/lSE9&#10;eaozAnHFNIzSFvrSE+1AAaaelLk+lAFADcCk4pWpoFIBRU8Z+Wq/ep0PGKGBKDRnmgUZAFIYHp0p&#10;oPrT85prYoAOKaTxTcnPtQemaYCGmnBoJpCeKBCdKYcmlyTTcnOTQBGwOfSmZ+bFTMO9RFTmmAex&#10;60oAAJPNL5ZxmnLhRQAwjBzg4pwGOaGz2Jo/lQBKrcdKeHAPApi8VICAcc0gJoz8wq4iCqaDBBq7&#10;GNw4oAk2DFKG29qTpRj3oGP3j1prMD0pCOOlN5AoAjk5NQFTmpyO9RFfc0xDNuRwaQoAOuTTxGeg&#10;zThFzyaAIQ23qKeCGOc8+lKVA54oQZPYUAPAHQ4qRTgcYxUJwO2TT15oAccUu4mm4yeuKBwOtAAe&#10;Tg0oHAEGA/n8HmlyMU07Mfe5oAcG4xinL1wetRBgMcUrEkA8igCwhHarEdVIgW5zVlMj3oAmpCaa&#10;GzSFqBg5OOlVnRnPOMVMxNJyKBEQhHY4NSIiqM9TSAEninZx2oAXpjjFPUnFNBz36U7vxxTAcOGy&#10;anVhxVcVJHgCmIsryM5p2O9RA8UoY/hQAjEg5ppOe9KzZOMUzDD0oAXnIwaeoJPNIi5OSakCigBy&#10;deasIO9QA44qWM8daALkeccip0NVYmPrU6sRTAtLjrUqPtPXFVRIaeG5BNMC+Lh6sK64+Y4NZokz&#10;/FT/ADOeWoEaBJYcHioj64H1NQCQk5BIFSCXPBx+NMDzG51K6h1CciQuPMOQxz3q3b6+h4mjIPqK&#10;zNSikjv7khdy+Y2CPrVLcG47+lZvco3rq4hlmEsTAhxyB2NdFZSk2KlRngVwKsUYEGur0e5aXTXR&#10;Cdw4qLWdyk7qxuzRGYq+eq0U+zdZLVO+35c0VQHnh470lFFBIY4pDRRQAmKSiigBp5pDRRQAlSx0&#10;UUATdcYpaKKQBwKYSKKKAGMRTCT3oooAaTTc0UUANLc9KAc0UUABOeBSbeOKKKYBk0AAnNFFADjt&#10;6AZNNxtOcUUUASBiR6D6U9WwemTRRQBPGx9MVbjJHeiikBISaad3TOKKKAFQsOCM+9ONFFAEZ60x&#10;uKKKYCAd6XOcetFFADDhRzg0hf0UYoooAUEH6U4r6c0UUAHQUmR60UUAKFz3pwQA9KKKAHjb6CnZ&#10;GMYoooAVcCpATRRQA4ZooooAazU3dkUUUAAYrinAkmiigAww6Uhdx35oopgCbmPJNToMd6KKYicE&#10;YpeOtFFAxpIz1pN/0oooEOEgpfM9KKKAJVfPBqdegIoooGSpkd8VOrEf/WoooAeGz0OacJcHGDRR&#10;QIlTDYyamyxGOCKKKpCAZHT8qcZNg55oooA8/vDm6lPq5/nWRqQ4QjrRRWL3LNzSNAh1HRYpzM8c&#10;xLc9QcGtDTNIutMnl8x1aFhwynv9KKKu2gkacLSxqQoOM55oooqSj//ZUEsDBBQAAAAIAIdO4kCf&#10;v8EqFYsAAAuLAAAVAAAAZHJzL21lZGlhL2ltYWdlNC5qcGVnAACA/3//2P/gABBKRklGAAEBAQDc&#10;ANwAAP/bAEMACAYGBwYFCAcHBwkJCAoMFA0MCwsMGRITDxQdGh8eHRocHCAkLicgIiwjHBwoNyks&#10;MDE0NDQfJzk9ODI8LjM0Mv/bAEMBCQkJDAsMGA0NGDIhHCEyMjIyMjIyMjIyMjIyMjIyMjIyMjIy&#10;MjIyMjIyMjIyMjIyMjIyMjIyMjIyMjIyMjIyMv/AABEIAWcCe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I/7Gjj+Yyn/AIEvFS2UMbXYRgGX&#10;OOK254gYTxWTbjZdA+hoTGW7i2jhu4wqgKTitSzgUCMgY+Zl/kf61V1VMGKT3rUtNphPI4lU/gQf&#10;8KOgLcsLH7VZji56UeZCnLyIv1IpBqVjGeZ1P+7zWRrcuww+1N1eDbZRvgYD4/MGqw8RWMfRZXx6&#10;DFV9Q8TJd2vkJbbV3A7mb0rRJkSkrHUeF2zp6j0UfoSP6VvZrzLTvEtzp8flxeURz94Z75/rU8ni&#10;vUpelwF/3FFaNNsyuejZFRSXMEX+smjT/eYCvMZdWvZ/9Zczt9WNVjJI3UEn1JpqDDmPSpdd0yL7&#10;13Gf93J/lVOXxZp0f3PMkPsuP51wapM5+VfyFTx6dezfcgmb6Iafs0K7Ool8Zrz5VofqzVSm8X3z&#10;fcSGP8Cf61Si8ManLjMDKD/fYCr0Xg27ON8kS/iTT5YoNShL4j1GTObtgP8AZAH8qoy6hcTf6yaW&#10;T/eYmuqi8FoMebdE/wC6n/16tx+EtPT75lf6tijmig5WcC0jnop/GoWMhPIGK9Pj8O6XH0tFb/eJ&#10;NPudMsksZxHaQqfLbkIPSlzodjymMSz3AghheSQnACjrWvF4W1yb/lyWMeryAVP4eG3U4zj+Nefx&#10;r0kdKTlYaR55F4F1ST/W3NvF9MsauR/D1T/r9SkPskYFdvRU8zGcnH8PtHX/AFrXM3+9Jj+Qq9F4&#10;M8PxdNNib/fJb+ZreopXYXOC8faLpll4WkmtbG3hkWRPmjjAOPrXlgGYVP8AsivZPiMM+Dbo+jof&#10;/HhXja820f8Au0horsOaTHNO70YqRjdtKBTsUUAbXhof6Xcj/pg38xWI4/0ub61t+Gf+QhMPWBv6&#10;VjyD/TZvrQM7bwEB9rl/691/9DavR4VxXm/gWQxXEhEUkmbcZ2AEj52r0KC/t87XZoz6SIV/nUSW&#10;prF+6aKDmrC1Whlik+46N/ukGrQqomUmRz/dFQw96fdyLDFvfO0dcDNZ6atZLnb5jf8AAamW5Ufh&#10;NUdKXtWZ/bMX8MMp/CmNq7fw2rn6mnzIXJLsahxivnLV+fF2u/8AX9J/6Ea92Oq3J+7aD8TXgt87&#10;S+JtYdxtZrxyR6cmhNNhKLS1PVfAwxrV1/17L/6FXZairSW4EYLNuHArkvBC41i6OP8Al3X+ddle&#10;q7QHy2KN2IqnuZxMf7HdSoMxEEHvViKzuFgKFeT71VT7Y+QZn4PrUgt52+9Ix/GjnHyj/sVw2Q7I&#10;B/vUJpwjYM08fHvUbWbnHzHrTvsB9TS5x8pM8MZIZrlBj0p4a1Xrc5+gqv8AYB3oWwXJ4pcwWJxP&#10;ZKT+9Y/QUG7sx08w00WCjtTvsSegouOxwPxMuYZodOWFCMNITn8K1fAE0cHhwbod5Zif1NYvxLjE&#10;T6ao7iQ/+g10ngCFP+EXhZiASx6/WnrYWl0eWeJ5RJreqSBdoMshA/OvZNL1CRNJs1WBQBCg/wDH&#10;RXi/iLB1XVMHjzZcfma9vshbx2NupkQYjUdR6Ua2E7cw86lc/wAKIPwqWxu7i4udsuNoGeBTTJbd&#10;nU/SpbIo0zFD0HpSVwujRrH1iS4iZDDIy54IFa/PrWZqhCBWfJAPYU2NGYst645mf86Xy7lusjfn&#10;VmOdNoxDIfwH+NSfah2gb8xRySfQXPEotbTEcu1OFlIerGrZuiRxb/m1Ib2QEDyVyenzf/Wo9nPs&#10;HtIlb7C3qaUWB96s/aZuyRj8TSG4uPWP/vk/40/ZSF7WJXXTwSeO9edfEOMRavbR+kOf1NemCacf&#10;8tE/74ryzx7K83iQh23FYlHTFUqclqw9opaI84vPn1Zh6ED9K63wHbC68bWaEZCozH8q5J/m1aQ/&#10;7Zrt/h7Gx8SzyoxVo7f7w68mpkrqw07ans4sEHan/YkHaqsURaNS8sxJHPzmnm3j7lz9XNL2L7mv&#10;tif7LGPSmGGAMSzoPqRVSO2iMjbl3D3NS/Zrcf8ALGP/AL5FNUfMXth7PZqOZov++hUTXFkB/rkP&#10;05p2yFeioPwFNLxr/Eo/Gn7Fdxe2ZVmurbYdu5voh/wpUsxJGrgHDAGkubmIxMqupY8ACt6KJVhR&#10;fRQKzqQUbWKVRs8uklUIQayP+XjIq68Tv1JqmylJAD61qjIsXl08sSqQMCmJOAvzyYz6mpJ4P9GE&#10;uaLWCOaNyyAsIyQfoQaaQmN8+Mnglj7DNSxxzzHEVtM//Aa6W1iUwRsqgZUdBWjCnTilzFKJy0Oj&#10;6nN921Cj/bcCpbvQry0s2nuGi25xtQknmuyiXnpUOtx79En/ANnDfqKFMHFJHKeHvDL6ldybpBGg&#10;AbOMnmuwh8FWaAb55W+gAql4Rfbfbf78H8jiu0rSU2iEYsXhbS48ZhZz/tOauR6Pp8X3LOH8Vz/O&#10;r1FRzPuMjSCKMYSNFHsuKfilopAGKKKKACiiigAqOYboJB6qR+lSU1uQRQB5xoh26gfZ1/ma9JFe&#10;a6YdmqTr6Mf0Nekr0FVISFoooqRhRRRQBy/xCXd4Lv8A22n/AMeFeLRf8eiZ9K9t8eLu8F6l7ID/&#10;AOPCvEYebNPxoBER60tHegVJQtFFGKANnwx/yE3HrC9ZUw/06f61reF/+Qsf+uT/AMqy5hjUJx70&#10;Adz8O0JuZT/0wx/4+a9HRBjnmvPPh1/rpP8Arj/7Oa9FUdKh7mifujTZ28ud8KH/AIDT1sUQYikl&#10;j+jkj8jmpl61IKtIhsrSRkQbHcye5A/pWZGlpCzLJLEjE5wzAGtmTpXM6ofLv8qSGKjoO3NS43ZU&#10;ZNR0NVXs8fK6t/ujNKZoAD8sh+kbf4VWtLlhAqlZT74qw8j7D+6f8TVqkiXUYi3ULjMcUrD1Cf41&#10;4FqOD4n1cgEZvHOD25r3e0ml8jEduWGT8xYDvXhF8S3iPVCRgm7fI/GjkUROTe5654LU/wBq3Z/6&#10;YIP1rsZwSnWuS8Gg/wBoXh/6ZJ/WuulztpMiOxiyXEkEpRY1bnqTVjzZ8f8ALMfgf8arXG/7U+MA&#10;DHUZqUpKBkyg/Ra0jCNrkSk76EnmTn+NB9F/+vUby3AbHmceoUVJ5Lf89D+VMCk3CxbiQearlj2J&#10;5mM3zHrO34Af4UKJGOPOk/Orv2MYyd1Y0pf7c6CR9oOMZp+72F73ctSJIFP7yQn/AHzUCxO3V5D9&#10;WNCowc4ZvunOTWglrFtGUz9abSuF3Y8x+Ia7L2yTniNjz9a7DwVFF/wi9sXVSeTyK5L4lKiaxaIg&#10;A/cZ4/3jWnpOvjTdC0eGFYZBcP5Tsx+4QVH8iahbs0eyPPNZIa+vj2Mr/wAzXucUkKwINy8KK8Jv&#10;yJbqZlIIebjHfLV78qKEGAOlKIp7kPmpjrVyxdWLYz09KqIPlFX7PgNVS2JjuWSay9WI8ofUVq5r&#10;N1TlUHq4rFbo2exRVm2gCJ/ypQzk4MbD61dAwAKik/1g+hrpuznsiDD/AN0/nTGDbh8vPYZqzUR/&#10;4+F+tF2CsJsmP/LMf99UmyUMAwUZ9DVyopPvrRcNCHy39RXkvjJy3ii6BOdu0foK9frxjxPJ5niP&#10;UG9JSPyqZPQunucTDltRdv8AaavSPhjamW91OfONgRelecWPNy5r1n4Ww7dM1GbH35wufpWa3NXs&#10;d+Imx/rDilaIhSfMan802U4jNbEleKDzdxMjgZ6A4p5sosclz9XNOtvuH3NTdqAuVUtYhMQF4x3N&#10;Sm1h/wCea06P77mpDSAoy28ZlhRUUFpB0FdDtHpWOg36jAvPGWrZx7GsKurNInl4gHpWVfx7Jq6H&#10;ZWNqqYbNMkNu/TW9jUWlnLhfXcv5g1YtPnspV9s1U05tlyM/wyA/rTW4HU6dIpsoshs4xnaa0YpI&#10;/wC8B+lU9IH+iFf7rsK1Y1HFQ9zRbEkckZwBIv50uoBZdJulDAkxnofapURccgflT5YI3gkUovKk&#10;dPakD2Od8MybdTtf9oOv9a72vONEfy72yP8Adn2n8QBXo9ay6GSCiiipGFFFFABRRRQAUUUUAFIa&#10;WkNAHmludmv3S+jP/MV6VGcxIfUCvNH+Txbdp6yN+pBr0i1bdawn1QfypsSJaKKKQwooooAwPGq7&#10;vBuqD/piT+orwy15sk/H+de8eLl3eEdUH/Tu38q8HtD/AKGPqf50Ahh4aikPWipGLS0lGaBm14W/&#10;5DQHrE4/Ssy4H/EznHua0/C3/IdiHqj/APoJrOuxjVbge9AHd/DkfvpP+uR/9Cr0ZRz6V518Of8A&#10;Xv8A9cm/9CFejqO9S9y+g9akFRjpUgqkQxsgyOa5/UEH9pj/AHP6mt+XOBjPWsi7s7iW9EqRkrtx&#10;196Oo1sSwgCGP/eqeQZjb6Go44JgiqYyMHPUVYKOyEbOox1rVNWIa1K+nr/oP4n+dfP12c+ItU/6&#10;/H/nX0NbQyw2/l7VJyTndXzvMD/b+p56/bH/APQqiTCx6/4VnFvqM24EiVY0BBHB5rspSMCuP8Iw&#10;rJqN0ZASY0jK8ng8/nXYsC3FSxR2Mef/AI+JT9P5VKx4xVmTThJIzmTrjjFPNlkcv+laKatYiUW2&#10;Q1An/H8PpV77L/tn8qRbJRJv3HdT50LkY8ykqRgVz8vF65/2q6HyP9o1AdMt2cuQxJOTzS5l0KUX&#10;1M0HMkg9E/rWiv3R9KkFhAGJwcnrzUnkJ/k0+dXFyHkfxLbPiGAeluP/AEJqxLDw/wCIL/SBfWbQ&#10;LaWkrSBXPzE8bj+QFbPxKAHilVB4Fun8zXovh+zgg8JQIIlAaEswx1JHNZ3vqaW2R4Qq7poF9Zox&#10;/wCPivoM/drwa3QPq1omOGu4hj/toK+hxDF/cFUnZEyjeRlp0FX7TlTUphix9xfypVCqcKAPoKHK&#10;6sJQs7jz9azdQ5eMf7VaWRTcKRyAfwqOpb2M/I9RUT/6z8K1gAP4R+VGB6fpWnOZ8hkc0wK3ng4O&#10;PpW0PpSd+lHOP2aM7n0P5VGyuXGFPT0rWx7UhHI4o9oHs0ZQjf8Aun8q8N12QtqmoSH/AJ6Of1Nf&#10;QzcIxx2r5x1iTe99J/eLn86TlcpRsc7pq5ZmxXtHwztZP+EUDqhPmTs2cV49pq7YnNfQPw5g8nwR&#10;YcfeUsfxNK9mM1xbzH+A02S0mZMBK1iD6UD6VXtGFkZUVlMiAFf1qQWkx7D860TnjigZ9KXOwsjO&#10;SxmXP3eT60pspj/d/OtHmk59qOdhYz4LGSK7812U/LgAVf5pOd1LzUPV3ZR59trJ1hP3ea2/LrO1&#10;eL/RyaokoaSdysnqpqhFlbuZe45FW9GbFwFPqRVeYeXq7L60IDr9GcO1wB037vzraRcH2rnvD7Zl&#10;cZ+9Gp/TFdGgwame5cdiZBjFTAEio1AxmphjioQziLMbNRMWcFLkH8ia9JU5Arza4RIPEN1NJuKQ&#10;yF9q98//AK69Ft2DW8bA5BUGt3sjJEtFFFSMKKKKACiiigAooooAKKKKAPMtQ/d+OrhfWQH/AMdr&#10;0SwObC3P/TMfyrzvXx5fjyQ+oVv/AB2vQdMYHToPZcUAti5RRRQAUUUUAZXidd/hfVF9bZ/5GvAb&#10;Pmz/AOBGvoLX13eHtRX1tpP/AEE18+WJ/wBEYf7RoAY33qXPFIfvUVIxaKKKANnwsca/bj1V/wD0&#10;E1Svf+QvP9TVvwxxr9t/wL/0E1Tvz/xOJ/qf50DO6+HX/Hw//XNv/QhXpCivN/hxzcP/ANc3/mte&#10;kge9J7ldB4p9MFPpoljXzkUvNI2crThmjqIMGkwfWnc0nPNMAI46181zf8h/U/8Ar9f/ANCr6UOa&#10;+a5Odf1E+t4//oVLqHQ9o8Iri9vz/sxj9DXVY5rmfCY/0q/+kf8AI10+Du60PciOwuKMUc+tGPeg&#10;oQDIpcUgHHWl/E0AJilwKMe9LimAmKCOadik70AeM/EY7vF8g9IkH6f/AF69Psh5XhZP9m2P8jXl&#10;nj07/Gl0PTyx/wCOivU3/d+FpD6WjH/x00lsP7R4hpCeZ4i01fW8i/8AQxX0LXgHhxd/ivSV9btP&#10;0yf6V7/in0E/iYU0dTTsCkCjJpAFA6UpFIBxQAtFGBRgUAIOhoFHGKQCgB1IetLgUnGaAIbx/Lsp&#10;3/uxsf0r5t1M/wCiXB9f8a+i9bcR6HfP6QP/ACNfOmq8Wjj1cCqQ+hRtIyllIT1INfR/hSAW/hXT&#10;Ihxi3U/mM18726ZtAv8AeYD8zX0rpkXk6ZaRY+5Cg/SkxFugEUmBRgelIYvGRzS5FNwM9KXj0p3A&#10;Nw9aMigAelGBQA0EZPNLuFAFLj2pBc4gLVLUo82rfStLbVa9TNs30qhHJaa+y9+jCl1YeVrKH1NR&#10;QHZqDD3qz4jG25t5fXBpDNnw+4W+RT/ErL+RNdcgwSK4rRGA1C3P+2R+YFduoxUz3KjsSqBipF7V&#10;GvWpVFSM4vWV267eL/fjDfp/9au50mTzNJtH9Yl/lXG+Ik269Gf+eluR+PI/rXUeGZPM8P2p9FK/&#10;kSK2XwmXU16KKKQwooooAKKKTmgBaM5pOaTbQA6ik5paAPNPFw2eNY2/vRp/PFdzprf8SyIj1YY/&#10;4Ea4bxwSni+zY9DEv/oVdnochaz254V2/wAf60LcXQ0kmGcE1NUZXPX+VALbsZoGSUU3n1pMn1oA&#10;rasu7R71fWBx/wCOmvnbT/8Aj3cf7VfRd6N+nXI65iYfpXznYf6uUej0ADfepBRIcMaQGpGO70Um&#10;aM0DNfw4ca/a/U/+gmqmo/8AIZn+p/nVjw6f+J/Z/wC//SotUG3W5x7mkB23w3P+ksP9h/5rXpYr&#10;zT4b/wDH0w/2X/mtelih7jvoOp9MFPFNEshuJhBH5hVmA7L1rN/4SS083yxDOWxn7o/xrTuADGQe&#10;9cVq1v8A8TBQARxmj7VirJq51Q1dCqMLabDnA+7/AI1L9vP/AD7S/mv+Nc5Asy28f3MBuBzmrm24&#10;IzmP8jV2INU6gwH/AB6yfiy/4186RyebrF6+Mbrtj+te93IvY7VWfytmOozmvn2xOb+4J73TfzpN&#10;Ae8eFQRPfn3jH6VvXNybZA5QsPY1h+FuJL//AHk/9BrcuxviIIqZCjsUBryM+0QPnOOtPOskMF8g&#10;5P8At1jlGFwwUDhu9SGGTcCcZ7VaSZLbuaZ1orx9nP8A33/9akOtnP8Ax7/+P/8A1qzXiYHBxTCj&#10;A9KdkLmZq/22cgeQOf8Ab/8ArVcs7xrsvlAm3/azXPBG3jjB+lbOkBgJSeckUmhpu5dup2t4TIE3&#10;Y7ZxWM3iMq5X7N7fe/8ArVsXY3QkYrkpYv3znHepW5T2PPvElyb7xhcSldu+VBjOccAV6XqmqvH4&#10;auoxCuBbMu7d/s/SvLb8bvF0i/8ATyB+orvtfk8vw/dD1gIo6D6nnvhuUxeK9JfGcXGcf8BavaW1&#10;iRf+WKf99V4n4eP/ABVGm57SMf8Axxq9UMilsU0tCW9Waw1qUjPkp/30a07SZp4BIwALdhXLKxyA&#10;BXTaf8tlGD6UNAmWGJCk8dKxTrsizGL7OuR33VtOflP0rkrrKXkpUDrUrcp7GmddkUZNuv8A33/9&#10;aj+3ZNoP2def9v8A+tWK0jEYI60glBIUZqrEXNr+3Xx/qF/77/8ArUg12TP+oT/vv/61YzyBDgg0&#10;gmjz0NHKPmNptelXH+jryf7/AP8AWp8Osyyvj7Ooz/t//WrIkCAJgds1PYczDgCnyicjQ8Ryt/wi&#10;187YBMRGPrxXgGrf6ge717v4vk8vwhc5/iCj/wAeFeD6kfliGepJpFrYfZrue0GM7pkyPxr2ZfGj&#10;JtjGn/7I/ef/AFq8i0iEPqWnR/8ATXP5A13qwojBmbpzRa4HUjxVMelkn/f3/wCtT/8AhJ5+9nH/&#10;AN/f/rVzqSoxAVsk08uA20sB9aOUq6N7/hJ588Wcf/fz/wCtTJPFc8aFvscZx/00P+FYe9c/eFNc&#10;q4Kg5J7CjlC6N1fFdyVB+xR8+sh/wobxXdAf8ekX/fZ/wrFxIAB5dOt1eW7hjZMBnHf3pcoaHfxF&#10;2jVmwCRk0/n1pqkAAU7cPUUkI5HFRXCZgYe1WcUyRcoR7VQjz+YeXquPU1d8RLu0y2l9AKrasPL1&#10;RT71e1NRN4dU91JFT0H0DSpdkkEvYMh/nXeJPuH+rl/75rzCyuWW3iKxs2Bzgj2rrk8XoiKDYTZA&#10;/vrRLUa0OmSbj/VSf981KJeR+7k/75rlv+E2jH/MPm/77Wj/AITuMf8AMNm/7+LUWHdEviY/8TLT&#10;pNjKCSp3D3FbPg6Tdomzukjr+uf61xmr+Jk1Y2yi0eExOW3MwOePapPDvjW306a/shA0wW4J3K2M&#10;dOK1Wxn1PUaK4w/ECHtYSf8Afwf4Uw/EGMf8w9/+/v8A9agZ21FcMfiIo/5hzf8Af3/61Rt8Rj20&#10;3/yL/wDWoA70UZrz0/EiTtpq/wDf0/4U3/hZE/bTU/7+H/CgD0SgnHWvOT8Sbntp0X/fw/4U0/Ei&#10;87afD/32aAPR8jOO9LXmZ+JGodrG3H4t/jTW+JWor/y52o/76/xoET/ENfL1zTpvWNh+RzXVaEcW&#10;crdw3/soryvxH4putdkt3mgiRogwXy8859ams/iBrFnA8Qhs2DdSVbPTHr7Uuo+h6zFfSvcCMooG&#10;cZq9jL14wnj/AFZJC6w2mT6q3+NTf8LL14HIWzHGP9Wf/iqbt0Er9j2TFJivGG+JfiQjh7JfpCf/&#10;AIqmH4j+JT/y3tB9IP8A69Gganssyj7HKv8AsEfpXzfYEf6QPRzXVH4ieJGVkNzbYbj/AFH/ANeu&#10;P0xyxn3dS2aTGrksv36bT5fv00Uhi0UUUhmn4e/5GCy/66ina0u3xBMPem+HjjxBY/8AXZak18j/&#10;AISCY9iaYHV/D6FZ7kqxYDEn3WK/3fSvRV06EfxTf9/m/wAa8X8PeK28PTM62qzH5sZfHXH+Fblx&#10;8Z4rMZuLGCP03T8/ypWDmseoCwiA+/N/3+b/ABp4skA4km/7+t/jXkafHvT2JAtIuP8Apq3/AMTV&#10;O5/aHt48iDRTIfUzYH8qpIVz2ryxFHt3MeerMTXNaso/tND/ALH9a8guv2iNYfIg0exQf7bO39RW&#10;NN8cNeubkTSWVgSBjARh/wCzUcutxqWlj6AiQeVGcfxVfCsfSvDNL+OSOVjvtKKHP34p+PyIrq4/&#10;ihbyxh0sJWU9CLj/AOxqvmQ2eo3SbrIKfT+lfNWnc3059bk/zr0qT4nQvHtFhcDjH/HwP/ia81tl&#10;+zTO+cgyGTp+lJge+eFv9Zf5/wCei/8AoNb0uCteHWfj7V7RpGtpIVEhDMGjB7Yq3/wsvXz1ktz/&#10;ANshUtXCN0ej4/0mT/fNSu4DLyK8t/4T7Vyxb/R8k5Pyf/XpR4/1XPMdsf8AgB/xq00Q07npzHPJ&#10;bFJkf3681/4WDqneC1P/AAE/40o+IGoj/l2tP++W/wAaLoXKz0jIEo5PStbTMeW5B7968kX4g6hu&#10;ybW1z9G/xq3b/E3UbdSBZWpBOed3+NDaGk0z1uf7lcyygyycfxGuQb4qX7DDafa/gWqn/wALCusk&#10;/YYMnn7xqVuW9TIlIfxe+P8An9P/AKFXd+J/l8O3P/XPFecW17nWRfSgL+9MzAdBySa3NX8aDVdO&#10;e1WzSMSqBu3kkcg01sHUy/DCB/FNiCem8/8AjtepbVDKcV5Lo9+ul6vFevF5yorLsDYzn3rrf+E9&#10;tjjOmyD/ALaj/CmtiZLU65Rkg109oMWsY/2a8tXx7aDH+gTD/gYrVi+KNikaodOuOBjO5aGEdD0F&#10;z8hrlrz/AI+ZT/tVln4paaykGwuh+K/41ly+OtNlkdvs90oY56L/AI1K3G3ob/4VCo/fDisQeM9K&#10;xyl0P+AD/GhfF+kbgSbke3lj/GrIszdmGT0qMLgnisk+L9Hb+OcH/rl/9el/4SnR93NxL/36NCGz&#10;fZg3OKsWJVZgWJrnB4r0Y8faJPxiardn4t0NGJa6I+sTf4UE2NXx/KI/CeP78iD+Z/pXh+oHMkQP&#10;oa9Q8c+J9M1fRobewuDIyy7mGxlwMEdx715ZdnN/CgHOAKk26I3dAi3a1af7EbN+ldo6/un57Cue&#10;8O2h/td2b5QkGMn3P/1q6x7NnhIVlwSDnmqiBTs0/e59BUlwv701PbWnlMSZUP0NPkttz58xPzot&#10;qBTEfHUU+KEh2ORmrAtSMfOh/GnrFtByV5PZqdgIWVgep/OrmiRGTV4c9iWqEqOckfnWn4cj3aiz&#10;jB2pUy2A63FGKTmj5vaoGc/9ll/uj86je0mIPA/Oov8AhIIu0Mx/4D/9emtroP3beT8cVQjlfEGg&#10;3zubhPK2pyQW5/lWdBcG80dkUHhuRXRaz4kWC2dXsXbcCOXx/SsnwlaLOlwpHDfOB6ZpWGjEsEkA&#10;VQpIaQR/Qk4rroPCN7cQrIssQB7Ems20tBENRTHMMgcfgc16ZZgG2GOmTSe1xqzZxR8D3x/5bRU0&#10;+A78/wDLaGvQgM04CkgPMrzwPqFtaS3HmxMI0LEDvisbRdCutYu54LcJE8WC7PwDnp/KvYbtBJZz&#10;Rn+JGH6V5paag9pcSy2MgAljRGcDnIz0/P8AShtRV2CTbsif/hX+qn/l6h/M0x/h9q2P+PmL867P&#10;wxM0ukbpHZmEjZLHJrmfFPj/AOzyvY6SytIpw8/UA+i+v1ourcwWd+VGd/wrzV2GftEX/fVNPw61&#10;j/nvGf8AgVdV4D1Ce/0N2uJmlkWZgWc5PODXVDPehJNXQPR2PKv+Fd6uf+W0f/fVIfh3rGP9dH/3&#10;1Xqp5BpMc5x2p8ouY8pPw71f/ntGP+Bf/XpG+HerKpZp4go5JLj/ABr1G6KC2Z3wFUZJJxivmr4o&#10;fFO41q8l0nRZ3g02I7HdGwZyPf8Au+1UoK1yXN3siXXdc0jQ7prY6gLuZDhhbfMAf97pXH6j41e4&#10;bbBCFjH945JrkGYsck0lKyHdnTW3i26gIO1SM8qe4qWTxlcmbciR7P7pFcpmlp2A9F0LxNY6jeR2&#10;t462jSHCyt9zPue1enr8NtUkRXR4mRwCrKwII/Ovm1WIPHWvoX4JeNZbyF9Bv7je8ahrfzD82B1A&#10;PelYdy+fhhq/rF+Y/wAaT/hWOsesX/fQ/wAa9WlRfOU5YZ7DpSWTrI8g+bI9aOTS4ufWx5V/wrPW&#10;BziI/wDAh/jXF2FhNFHeSsPkhn8lj/tc/wCBr6MuVVeSWH+7XgkXEeuxhj8t+Dg/V6fLpcXNqZ0p&#10;+amA0so+amioKHUZpM1zfiPX/sX+jW5/ffxH0poZ0cOu2Okahb3F1OFWNwxA5P5Vhav4/trm/ea3&#10;tnZSTy7YzXAyzPM5aRyzHuTUeadiTr28ab0cC0CuR8p3ZANc9g3tw0lxcFnY9SKpDmrmn+ULyIz/&#10;AOrDDd9KGNbk1xpj26b1yR61SJyPcV3N0ltcWUjREbducelcJJ8rn61FOTlua1YKNrCZOKbmnHBW&#10;md60MR6sQR9a3tH1hrKVFkOYGOHB7e9c+KlR+MetAHsq+H9QeJJEg3I6hlYHgg9xVafTri2kSOWI&#10;hn6DPWrnwZ+Ips54fDerzZtZTttZXP8Aq2/uE+h7ehr0H4gwrJr2iR4+9v8A5io1TKVmjzOHTZ5t&#10;wijVthw2GHB9DUp0i8H/ACwB/wCBD/GvXvh9apBaauoUc6g+f++VrodTRR5Y2jv2osxKx8/HSbz/&#10;AJ9ifpik/su8H/Lq/wD3zXuqwxkcop/CpPsluynMEZ+qClqOyPBf7Muh1tJP++DSHT7kdbWUf8AN&#10;fQH9mWbAZtYD9YxTho9gRzZwf9+xS5mPlR8+fY5h1gkH/ATSfZ5B1jk/I19BNomnkf8AHnD/AN8C&#10;nRaHppT5rKI8/wB2mm2DSPnoxN/df9aTZj+9Xv8AeeH9MMfy2aKfYkVWHhnTGHNsP++j/jQ5WBRu&#10;eElQUZTnDKVPPY8ULGq4CjGOnNe6N4T0lutt/wCPGom8G6Sf+WH60ucOQ8Rwc/eNGD/fNeyP4N0k&#10;k/uT19v8Krv4K0k/wOPwX/Cq5hcp5Jg/3zR83979K9WPgjSiQMPyfRf8Kun4baSejuP+AincVjxz&#10;5v736Uvzf3h+Ver3nw502CLeszZzjlD/AI1n/wDCBWjDibH/AAA//FUXCx5vh/UflR8/qK9HPw9h&#10;PS4X/vkj+tMPw7BOBMv5n/Ci4crPPPn9qX5/b869BPw3k/hmT/vs/wDxNRt8OLkdJF/7+f8A2NLm&#10;Q+VnBZf0H50o3eg/Ou2f4eXq9GU/8DH+FRf8IDfs4Vc5PA+Zf8afMg5WciIpSGbGVx65piREtuVM&#10;sOhxyK7M/DrV1PCMfxX/AOKrG1XRL7Q323AdDgHnHf6E+lO4rMoJc3sJLJNKhPBwxGamOq6sgx9t&#10;uQPTzDTbW0u76QJDHNK5UtiOMucDjJx9atHQdSJ+a2u8+9tJ/hRdCsVv7a1Nf+X2f/vs0f27qmf+&#10;P2X/AL6qc6Bf/wDPvP8AjBJ/8TUTaLeDrG4+sbj+lF0OzAeINUH/AC+SfpR/wkOqD/l7b8h/hUba&#10;XcKcHA+uR/SmnTp84zH/AN9UxE3/AAkWpj/l6/8AHV/wqza+MNas2ZoLwIW6/u1/wrONhMO8f/fY&#10;pBp85HCKR7MKAN0fELxGP+X8f9+k/wAKX/hYfiP/AJ/l/wC/Sf4Vg/2dcf8APIfmKb/Ztx/zx/lR&#10;YD2HyF9BQYV9KmpVGTQBy/iW0zalsUeB8fa9h/ijI/KtjXoA2nvx2rA8HSiPVIQTjLFfzFLqNGnJ&#10;AI9e1KDHEsWa6/R383Tom7lVP5gVzWpgQ+Locn/WxFa3tEkSGyWORgpAxhjjoSKHsJGuOKcKi86E&#10;niRP++hStPHGjOzqFUZJz0FJDbPOfil45bQoI9IsJALy4XdKw5Maf4muBfxSdH0YXN8qvKwxFBGN&#10;pP1Pb8qw9av/AO3fGN/q0oxA8xKZ/ujhc+nAFUL+1trq6+1X+pxxxqRsjVSxwOwo9jKb2EqsYLfV&#10;naWfjrW30o2qmK3imUlwi/MM9ge3FZivlsmsePxDo0C8xTy46bmC5/Af41HL49WHiy0y2j9GcFj+&#10;tH1Wb3aQ/rMF8KbPYfA2vWOi6RfS6jcJBFvUqXON3HYd6q6/8btP0/cmnWn2luis74B/Adq8M1Dx&#10;VqGoZNxNuHZcDArF8wyNyevWt1ThTjrqYOdSpK+x3mtfGfxjqFwfsl6LSP8AuwIMfmcms+P4meMc&#10;hm1C5dh1/ecH8K5XcqDAFBunRTtPNZ+1knobOjC2p1ep/FLxJd6RNYy3UsZmGx8SE5U9fpXAMcnm&#10;nuXkYsckmo+c03Jy3JjBR2EopabnmpKFFKD6U2loAeOvvW14Z1eXRfEFlqMblTBKrEjuO/6ViKal&#10;jPOaAR9yW9xFfWsF3FuaORFdGXGCCMinW0It5HYbzu7Y6VyPwt1pbz4daQ87HfHGYSev3SQP0xXa&#10;LdRMxUN8w7YNCvYTSuMmKy4UllNeEtCq3/idAT8l2pHH+01e7PJFv3HbuHc9a8TuCg1/xbHxkzKw&#10;/wC+/wD69F9A0uc7Nw1RiprjlqhFQWBPHWvMdcZ21a439Q5FenHmuD8W2LQXouABsk/nTQmc5RRS&#10;d6oQ4VYgYBwGGRnkVWFaGmwb7hJHx5SnLZpPYa3O8je0uNGd0txEjIQTjnpXm0h+fiur1DXUXSpI&#10;UOHkG1VHYetctDC07bV5as6atdmtaV7Ijxxil6UdCc0ma1MRyjIb6UJzmnLwhpY4XLAcAH1oAmtE&#10;mmuIordHeZmARUGST2xX0Pbrqix+EbbWphLfxq4kOckDjaCe5A6mvIPC6wWF1HMpBnBzvPUfSvZn&#10;vk1HWvDtwuMtu3ezcZqFJN2LlBxSZ3Xg1QsOq++oSfyWtq/WFgvnSGP0OKyPB4xa6iT3v5f6Vsag&#10;gkhwRmnLYmJRU2JGFv1/GpFNp0F9Ef8AgQrnBGfmwvGcUnlAckkfhT5UJyZ1qyQdrmI/8CFSiSM/&#10;dmQ/8Criyin+M/8AfNIYk/56D8qORC5mdsRu6OpqSMELg1wvlYPDj8K6/SRjTYvxo5baj5myzKhc&#10;YFNEbD0rO1xX8nfG7KQv8JxXMw3N8uT9pl9v3hqbJsq7SO42H0prK3Za5OK9vgSWuZSP941P/aN4&#10;Ok7/AJ0+RC5mbjRScnYetQPHNn/Uv+VZq6neY/1zUv8Aa94CB5p6+go5R3LqpJ5qgxOOR/Ca2xWB&#10;aaldTXaRvMNpOCNo5rfx700iblLVP+Pdf96sxWGK09TupbS382JVYjqGrOTWpTGGeBMmk9WVsPVg&#10;asQgF/wqk2vbXANmp46g/wD1qf8A27EoybM/gaXKw5jUCigqKzf7ft+9u4/KnDX7PvDKPwH+NLkH&#10;zF1kGKZFGPtC1WGu6e4yRIP+A1Ys76zu5sQFi4GTkEUuTUHPQ0MV5j8SmzIo/wB0fzNem546V5T8&#10;RJlmu0CNkeYR+IA/xrTqSi78P7UC4lkx923VfzJP9K77y19K5HwVJa20FyZp0jY7FAZgOAM/1rrh&#10;c2hGRdx/99iolFtjjKyEMYqCdAEqzvgbpcR/99CmSQCUfLMn51KiXzIoMq1EyrV1tPlP3ZEP41Ed&#10;LuuzRn8TV2JuZ8iIc5UH8K2dMtovsK7oYzkk8qKz5NJvT0EZ/wCB/wD1q27SNobWONsZVecetMTY&#10;hs7Y9baE/wDABTfsNp/z6Qf9+xVrNRljnoaYjmyakTA614jffFnXnmItbG3t0PQSZY/zFFl8YtWg&#10;k26hY280fcxNsb+opiPVPEupRW1gynG5hgVwNhK7Ss0dxLC6tuVo2xg1m6h40tfEUoNu7LtHzRvw&#10;RWVc60+nxM8IDTOQkanoWPSk9wR2c99qPmrK2pzNIvRnVWI/Snpr2uL9zUVb/ehU/wAq8z1KDxbY&#10;x/2g9w09uw3M9u29U9mGOPyqKy8Y3ccRaUBmHA9zRZvYLpbnpOoeO9V0eAzXd3aFeymE7m+gDV59&#10;4g+IWseI3KzTGGzHS3jJCn3b1+lcrqWp3OqXjTzuXPYdhVNmbPPJreMVExk3I0J9TuJQFEjBR0HT&#10;/wDVVMyMSSWJJ6kmowT3pM5rRtk2SHlqQtTc4pjHPepY7Cu9LG9Qk5oBwazlqjSOjLJOaQ01WyKX&#10;NYm+4MwjA44+lQSpzuAwKs8MNp6UsgymAKEDVykajNT+U3akaFvSquZ2IKWniFj0pCjL1BoAAakT&#10;GKiwc1c0+ymv7pLaBcu54oA+kPgrMkfgBVklA/0lyAwzgcV6UlzAs5bzowD7ivBND8aap4d0uHTb&#10;fStNMcIxyHDE9yTu61qp8UtSH+t0K0b/AHLl1/oandbikne50XjPxJLpniGWK3VJQFSUfOfYc4rl&#10;Bcef4g8QScfvYUk49dyH+taFv8V3in8yTwtG/GM/asn8ytcjfeJBca9qGoixaM3i4EKuDsOV749q&#10;La7ms5RcFFRs+rLVwfmqEVH55lUMRgntShqRKH1R1TT49Ss3gbr1U+hq5upN1AzzC/02506XZNGQ&#10;D0bsapV6TrkcN1pVzEzR+YqF1BYA5HNeb1SIaAVaiujAuAuWH3TnoaghQSzJGWCBmA3HoPerWp6V&#10;f6Pdm21C2kgl7b1wGHqD3HvTBOxUd3kkLuxLHqauaXNHFeASD5XG3PoapUlAGjqlv5c3mqPlfr9a&#10;pAADJrRk1IT6YIGXMuQGY+grMJ55oAcMk/WvSvhr4VtfGOna9YTYSaNYnt5sco/zfoe9eaoe9egf&#10;CDxDFoXi7F3II7S7QxyFjwCOVP58fjQJ+RzJM+m6jLay/LLBIY3HoQcGvVPBF017qGmMx/1cpH5r&#10;/wDWry2+lfUdcvLzY37+4eTp6sTXpvw7Qx6lZBgRmUfyNZPSSOhawdz2vwfxaaiP+n+X+lbs4BWs&#10;bwqmyzvM8Fr2U/rW1LjbVy2MUcwi5VvqailXBq00TxoTg+uKgbccZizVEMrFM8ZphiHc1e2BV3NC&#10;R+NQARkk7HH40WYiNEwwGO1dbp64sY/pXLh4ww+9k9OK6myz9ji/3aGNFfVlzaSH/ZNcuC0aqB3r&#10;qdVB+xyc9q5souR8wBx3qY7st7EIdjImcc57UTuUUY71MIP3qHcuB70s9sXAwQefWrJRR+0Seo/K&#10;p45WYZIyM0hspAQdn5GpI4XUYKkc0xFvTSrahCAOd3rXV81y+kxH+0Y2I6ZP6V1GaTGjN1oZsHHt&#10;XMlHXgOcfWum1o/6Cw9SB+tczIp3H61MRvYQsygcbsnHWiZmjUEjIz61G4PmRr/tUXW7aAM9apiG&#10;/aSD/q2/OlF0CcFGH4VWO8etEO9pVBB607BcteYNp+XGK1/DILTzP2C4rGYnb0roPDUeI529SBUs&#10;DfPQmvHPGTb9Xij9ZHP/AI9j+lewyYCE+1eL6+3m+I7dc57/AJsTS6ldDVsLcusrDp5mPyArReM7&#10;VAI/OqumL/o24k/NI56+5pyDzHALECqsRctFT0yKMN61Hc/Knyk9arrLID1yPelYq5dBcsAHI/Gl&#10;eeVT8sz8ejGq0czOxGwcCnGQEcxiiwXJYrq7eZEW5mG5gOHPrXoCLhAOeBXC6UizapbgJjDZNd2M&#10;+lJgBFc1PrMyXEiq/AYgcD1ro5G2xs2OgJrzSaZmnkbnlif1q4JPcdz54eZj15xVGeYdAOa98tfh&#10;ToFqFF151w4HzEsQP0xVibwlo+msBZ+HYZ+M7yyg/wDj1SI+c7aS6juVlt1cuD/CCc1u6p9tu7SF&#10;47eXcrBsBTkV7oujW8luGbSViJ7B1OKxr/QEU/uoAoboWfv9BSGcFpetXmnNHKjsoddxRu394fzr&#10;lde1RdS1Ke5jgihRjhUiQKPrgdzXQeKVfTXkjkKF34UL29xXGY3cnoK1prS5nN3ZGCxGPTvTgcd6&#10;U80nFaEBk0ucU3OKXqKADdkUhpCMHPY9aU/LQBGetJmnN94U3pUlChtp9qnDAjioMcYNADL0Jx7V&#10;lKPY0UicEg08HNJbwzTsCRsjHc96e0Zjcqe1JwklccZxvYQfSlI4pVHPSrCrEkReUZ9F7moNUrlU&#10;ADopP0FTRrCRukDBfpSxgyOMJsVvSor52NyUVgY0G1cdPeqiuZ2Jk+VXLLw27JmOMAY4z1NTSSKb&#10;RVQLHLEQQy8cVj+a6dHNNMzyMNzZrshKEFZI45xlN3bOtg8VXjSwLmPK8MwQEyfUmtyCaG6QtEck&#10;csuOleeRTlBhevrjmt3R7vynMksh39FU+lXyxqqz3IvKk7rY6nArOkwNQ9v/AK1WjL8gcco3Q1mT&#10;XCm/GDz/APWrgcXF2Z2KSkro2FfgVIrVnrcAqOalSYHvUlF3dTSag833o80etAhlzBHcKQ6AkjGc&#10;c155fWb2d5JAyn5W4PqO1eil65zxFb/NHcL3+Vv6U0wtc5uC1lmYBV/E8Vp68ZmS0eaaSQbCo3uW&#10;x9M9Kgt32uK7HRYbKSE3F3ZRXW1sIJOQvHp0ovqPlXLc8+jjeWQRxozu3RVGSaJYpIZDHLGyOOqs&#10;MEfhXrCPbbwywouPuhYlAX6Yq/avpwlkuJLWN7tyP3rRKTj61RB5PYaFq9+wNnYXEn+0EIH5niuk&#10;sPhxqU6fab6eGGAfM4Vt7EDrjHGfxr0CMXkqTiOcK0jAhjk7B6AVxeo6lrkmtRWltNObBWXPlHj3&#10;yR+NK+oHQ/2Vo+nB0hsrdUSJWDOgZs89Sa52+10RTBIQEXHAQ45zVrUor+8lcEGKAIEJfv8ASsG6&#10;0mCIrLLcyMe3lpmlcLmx/apERmkLqMZwWp+neII7m6SJLiZGPIwSDWLFbWd1EV+1TEdcOMZqew0u&#10;G2vY7lJ920cL1yOlK+tgueoaLqdzZ4lhZnJ53T3G7/x3p+ddLF4pvyQMWjH/AHOf0NeZwHdGK3tD&#10;OJAKrUNDv4devWwXghH0LD+tSHxPCspieWyWUdY3vQjD6gmsDTWJtpOekrj9a47xLYwT65O8kEbs&#10;QvJUH+EUnKyKjG565FrXmj5fJcf7Fyrf0qwLzdybOU/QIf8ACvAjo9oelugPsMUo00R8xSTxn/Ym&#10;Zf60udDdNrqe9/aIc5a2kU+8YP8AJqux63HGgXBAUY5ib/69fPStqUP+p1fUo8el0/8AjUyav4ih&#10;/wBX4h1Af7zhv5iq5kTys99m1WC5jKM6jPruH9KrI1mDkyxE/wDXQf1xXiS+KfFcfTWy/wD10t0b&#10;+lWI/G/iuPrc2Mv+/a4/kRRoKzPaQsDH5Wz9GT/GhraOQjIf67c/yrx0fEHxGoG+z0qX1+R1/qam&#10;i+I+qJzLoVkx9Y5yv81NMWp60bCP+8R/wAj+lMNooIHmgD/exXmsXxSmP/Hz4flU5621zjj6GrkX&#10;xVsuBJp2rxn2KsP/AEKgD0rT0jiugTOhwD1YVtB1bowP0NeSr8U9DJxK+pRf79rn+Wasx/Erww/X&#10;VUQ/9NbVh/7LQB6BrALWwAGcsKwxEw5PP/Aaxo/HXh2b7mu6b/wJyn9RV2DxFpUw/danYP6bL3/6&#10;9CVguXVhLtkxgke1NmQg4MYPGeuKkj1COT7kyEeqTK39K1Uht5kytzvOO4Un+VPUVzniqHkwn8Gp&#10;ESMMCEcH61t3FssS58yN/by+f51ULRr1VM/9cmH9TRcZSMKlQcsPY4roNCjMdo/TlqyTJEe0Q/4G&#10;w/8AZau2mqxWsXl4jPOeJh/XFJgbFyxS3kb0U14tdnzPFSKf4EX/ANBr07UtfibT50SJzIyELh0I&#10;z+deW8y+JbyVASAG245zxiklqNvQ6zTrVm06BgVO5M9fWpRYSowIAP41LYXFutlBHsnQogB320g7&#10;f7tSyvbO4JuIgf8Aayv86u5KK1zbylRtjJ9aqmGYf8sm/KtPbFL9yeFh/szCgWsxPyu2PZ80hmfB&#10;E/zkqRxjpT2QqORWoltKoAJY/Xmop4XzjcR/wGgCbw7HnUgSPuqTXXiuf8Ow4lmdscADpXQYHpUs&#10;aK2oyeVp8756Ia85IBJNd7rhC6a44+YgVyPkp/dT8zVx2BjVa8M4BmyD6iqqHUr+G4IjMTRMyAMc&#10;bsHqKsx6jbrbxM7bGI6mpJJleMNFJuXrgVCG9ylc3M9tAu9CvGM15Pr/AMSbwalJb20EaRQybSzj&#10;JOK9VvoLrUNMP2KUMQctD0J+leM+NfCOpWty2oGymjibmbKHC++aYjB8Qa3JrhgmkjRXUkZXuKxy&#10;cLtH4mpOqA9u1Qs2K3irKxi3djSaQUZo9KYCHmnZIAYfiKFGTSx8hlppAOADLkVHIcRj1zincx/O&#10;Pu9xSuoeSML060NAtxu35wKbtqdRul46UJHuZhT5Rcw2OIyDirMdoVIJWn2ybHOehFXQ24c9B3rW&#10;FNWuzGdR30I9wjj3EYC8KKrxReaCW+8xp0zGWQKOlSoQgwPvDpWjSej2JTa1W46206W6vY7W3JZ5&#10;DgcdPetfW/CUulhJIDNdJtzIdnCe/wBK6DwfpyQ2z3rf6xiVLMMBBWrdeIdNihZoJ47glsMityQe&#10;Dgd/pXlYicFK0EelQhNxvNnm0Tjbjt6VXubS3cnYmw+oNaGoixXUpltNxhDcdsfnVWdQE8xCcZwQ&#10;azjJrY2lFNamdPpUsITdLGS6b1APOP8AGqRXBwR+FXpZmkdMknaAKkXbLGysAWPQ+lbxqdJHPKn1&#10;RRXjGKvWgLSAbsc9aqSI0bhSMVYjbaRWk6jj8JFOCk/eO58MPcaf4n04tKHsZ22yMw4Ud813Ws+F&#10;fCM0pvE1CzikkJwQ2F/mK800i886FrcuVLD5W9DVbU5phCIXJyh5XPSsHWctJbm7oqGsNjpNR0my&#10;sQZIxHd2/wDz0tp84+o5xWBLfWEny2QlDg8mSTI/DArlZ5Xkd1DldvQdmqRrUyqojDKwwCWP3jSU&#10;eot9EdM1yqJw8m8ddwAGPbmo/wC0AuCx4PQjkViIVtImje4zJnkbulRx3MWGUuBuOevFDT6CVk7M&#10;6ZbosMg5pt4ourKSPuRkfWsmGW4VliWMOOgZXFbK2xA+ZyT/ALNAPQ5AZR/pXYaFJv0pj/01I/QV&#10;Eum2ZlLmJixOfmU4/wAKu5MUCxwwcAknHFPqK+li2jVdtjlxWOlwQfmjdT9M1etrpQwzkfgaq5J1&#10;NqcCuVv7+z0yd0t5mGTjH3iD681vW13G42ByWI6KpJ/Kql94T+32IRIz5obLXFz8ox34HPp1qGm2&#10;rCadzNN5G0ZZ5zLvUENniqP2SO+m8yCG5IGSSmdo+pxWtbweHNBGLm5jvJ16RwguFP0yR+dQaj40&#10;mkjKWNmkSAcNKckfgOP1qeR31YJO+pgHQb2adpd5jGeFVTn8zV+20lrKMrhizcktVOO7uTGsvnOH&#10;ZQzFTjk1PDqV4G+a5kI9C2aqw0kblpxEFPB71uaS4jkLE4A5JriIru/imkmSMNuUrh/m/Ee9VTc6&#10;hHbsJZZQMdC9O4z0pfEkVmJIo4jIWkZgw5HJp1zeGeCORJ9zvhpAY8YHp61w8V3IEGGI4qcapcL0&#10;k49wKLgdRLr+ntIAsaEAdOmP8augwPaxzfZ4D5gyF6nHrXJLdyyqCzKc+qA/0rTtG1Py8xxIUHTd&#10;Ht/lilYdy1PeaeJ1gazUOWwTnaBViTT9PLEJA5Xsyv1/OqTXOoJy9kG/3c//AF6BrNwhCmxkz6Z/&#10;xFILk7aXaHokw/4EDUZ0eE/deYfVAf61oW88k0e6RFi/2WwT+hqfdgcCM/Q0DMj+wVbpcEfWP/69&#10;NPh9/wCGeM/UEVs7v+mZ/BqfH+9bakblvpQriOfbQLkdGib6NVa40ya1QPKg2k4yDnmu1MNtZQGe&#10;8lREHXccD/69c1rmtJqCpBbQOsKNkOwwW/DsPrVNNAY3lKR0ppt1PYU4ScdeQcGnq1Aiu1lC33ok&#10;P1UVE2lWjdbaL/vgVoZpRQBl/wBi2g5WEKf9kkfyqRLFouYrm7i/3Lhx/WtHFLgU7iKiS6tD/qtc&#10;1RPb7ST/ADqymr+JYv8AV+Ibz/gaq38xTtoo207gWE8T+LI8f8ThJP8Arpap/TFSr4z8VJ946ZN/&#10;vQsP5GqW2jaKLgW5PGWtyLibSNNkPqjsp/XNV4vFFxDKZG8Ox7vWO4H9RUZQUmwUAbUPxCWMAS6L&#10;qSf9cpQf6irifEvThw0GtRe7Rlv6muY2UmygLHTSfEuw8zAvJdmek8DKcf8AfBpP+FiafcKAl5p6&#10;v6yqAMf98iua8sUxoI3+8in6igDuLDxhp0zBZbjSVJ/iSZBj/wAeBrcj1Wzm/wBTeWsn/XO6I/k1&#10;eSPpto33raE/VBULaLp7dbSL8FxTuKx7ZFeTx5MLsoP9y6Y/zFTDWNQXpLdfgUb+YrwoaFZKcxxv&#10;Gf8AYkYf1qZbGaL/AFOo6hF/uXTf40gse2XGq3dxGEna4Kg5+aJD/Kqv2r/bP/fj/wCyryNG1eLH&#10;l6/qY+s+7+dS/bPEX/QxXn/fK/4UAXtU8RyNqZjt1STHykMMhas2viE2JV5bmFf7ybgP0rzieHXr&#10;mcMsdwgBzlzs/HnFaNtfXGmxn7cttMp6hGUyD3yP61zPmvdM6lZK1j1WzuLbXXjv9K1Fre4U4dSS&#10;Uf2I7VzvxR8Spb6M2jC63XU23zQvZev64rkpfE8llbxLZysrL8wWXAJHrxxXFX93PfXst1cuXlkb&#10;czGuqkr6nNVfRETy7gFUYUcVFS0YrcxAdKXGelKBkE+lOVDwaaQrjo1+TdUQO2arca/IR61Vddkp&#10;LcAVUlZIUXdsS4faBGO/Jqe0XLc9dvH0qnuy5Yjk1PDJtOQeamL967Ka92yJ4h8xNSIu0Z7k1Du9&#10;8Cnh2kYBflUdzWqaMmmWE4amSXgWQx4O0enNSqFijOOp6saqMFMhKj6k1U3JLQmKi3qSNMF/1eSz&#10;d/St3QLCCSWSa5YFLZPMKZ5c/wCFYCFYh5jc+g9TT4byRHZw5BYFTjuD2rnrVGlZPU3pU03d7Gqu&#10;t3ziQCd/Lcn92fugHtiqbqyyoIYXO5QSEUnBqqrYPBrWbULx9HEdvKyNEeQnBZf51wNHbGVivdWl&#10;604kS1mIdQThDwaikEiR7JopI8kfeUirVrf6nBZTKWuIRIP9YwI5+prNhW/llzJBPIc8kqTmkl3G&#10;5FlxbIhjjyVf72etUGzDLtzx1BrQeyvNjBrOdd3TK1U+x3DN88TD3aiNl1Ccr2JEKyABlDfWpZoF&#10;K5QHcPTvSR2csbBjjA5NW40m82OSNCdrBs/TmrUnsmRZblWxmMUoOcVv3sK3lg1wEDSovze61zOS&#10;J26Zzniul0q5BiAzk9xUTVndG9N3VmcvdKu7YCSpGeeoqiiF5GjaQjsPSu1k8JNqNy81tdxRRnnY&#10;wJI+lEfw+m80t9vHPXEXH55rWG1zGatKz0OUWwtzcmP7bHgLncwIGfSppPI22sdsRLKy/vEUZGc8&#10;AfhXZWnw3tVn33d3JKn9xF2/rzXU2mlaXo0JMEMFuoHMh6/ixqra3Icly2SPP9N8P6k80cvkGGME&#10;E+dgEfTvV68cWnmHPmCMHJXvWr4m16ztIFitpSbiVgo2jIxnnmsSdDPC8YOCwxmqIJILuVv+XOfA&#10;6lQCP51ONQhAy6zIPVom/wAKWPUbuJSGtIXz/dkK9vTFRy3s7wbPsEmeeVdT/UUgHG+06Q/NNDk/&#10;3sD+dTwy23HlSRH2VhWVcussUYe3uFZVAOYSR+maqSx2GAWaNTn+NNv8xQB3Nvrt1briJYF46rEA&#10;f0rMvjPqTE3d3cyA/wABf5R+GMViJYWbMnkXCHJ58uXHb2NTNYyRMu27nUEE/wCsJ/nQBMNJjVQq&#10;SsAPUA1FJpLspCzL+K4qvFPdtMI4bySVsZICK2PxxVkTagk3lNyeMFrdsc/Q0m0hNkiWEkcARWQk&#10;JtqOOxnjmViisuecMK0ha6ssbvJbW4C9jIVJ/DBquLi7/i0+Q4ODsdT/ADxRYY1XkhBDW8h9CBms&#10;68uXkfy/s8i+7CtP7ftXL2t0o9fLz/LNA1S1HLO6f78bL/MUWARVXaB7VbtdMlujkkRp/eaoU1K0&#10;c/Ldwk/74q6mozEDbcBh+BosM2bTS7SBV/e73HdhirwjcfcnB/4FXOrqNwO6n8KeNTk7xqfpkVPK&#10;wudEDdr0+b8c0G4lHD25NYSasR1Q/g1TLq6dxIPoaXKx3NT7TGCSbZgfpSi5jJwI2BPsapW179su&#10;Y4IppA7nA3DIrpkit9Nh3ynzJQCchRk/QdqaiwuQW2nvKN0h8tf1qpqXiW004NbWCLPMOCc/Ip9z&#10;3+grG1nWry9fyXzbQMAfKDcsD03Hv16dPrT9H8KXF0qPdg28A6KPvsP6CrS7EtlWN73WbkFi91cd&#10;gOFj/oo/WjWrb+w7nT1nuAZbgvkDhRjHHv1rrri5stAsvLt7cnHSOJc8/wC0f8a8v8RXVx4h1qNr&#10;s4SGMlEXIC5P/wBanezC10TzM1uxctlXYnP1p8d4DjmsWfT2+0W0KTSKp3FvnJ4A96kubaaCOIQy&#10;Es7hRuGaiwzeW5zUqzA1gTNPa27Sbt5UdMdauWNyZolZhgkdKANgNkU7NVkbipgaYiTdRuqPNGaA&#10;JN1Lmos0bjQBJmimbqUGmA6ikzRmgBaSiigBMUuKKKADFGKXFLQA3FLgUuKTFAHmb3Er/ekZvqaa&#10;sm05PTvUGSe9BlCc4yf5VCjd2NJOyHMpMhkdue2e1QMQWJoaQMOp5pnBrqiklZHM227sUkUhNGw9&#10;qTp1FMROBtQHHWpFXcAAKcq+bbxgDJqvcy+WfKQ8/wARrV+6rkK8nYlnuljG1Blh+Qqizs5y5zQv&#10;vS4rGUnI0jFIaenBpFyTgGnFaen7s52g59ai2pVx6pITU6xOf46ak6dGGKnR1KnHQ1vGK7mUmxuW&#10;OFySPekJAJZugqTgZY8CobzicLt2gIvH1GaVSXLG4QV2RvIZXyeAOAPSlGCMEVGKf2rjvfVnUtFY&#10;EKE/MWUZ7c1p6dc6fbTrJPPeYzn90qgj8zWSvRvrTj/qx7Umrqw07HounTeB7iUS3Mkxm/vXmT/L&#10;iu2sV0WdQLK5smGOAsi5/KvBScoKUEiLIJzmuSeEUn8TC59BSaVE4OEDe4GRWXdaJZMSJFQkdRjG&#10;K8estTv7dcQ3txGP9iUj+tWovE+sQ3Sy/b5pNvaRtwP1zURwVnrILnbappVj9mlWDAlA4GaoLbRJ&#10;pNyxwJFibaPwq1pGv2fiKMwzoLe6HH+y30NU9atbmyWSMBiGGMgZ612U6aprRhdnEB9sla9jMY0M&#10;y8hetUbrTnijRwGOPvEjGKkgPl2bEHlmAokjaDs7HV2eqpGI5FOM5ODXXC8hECylvvDIx/hXlc1w&#10;IIX5wqgAfWpZvGU0cSRW8J+UAbnb+gopqwVpJpdzvL/VL0qRaCKNO7uCSPoK5HU72K+uYvtmo7lt&#10;zuaMqfmP5YrEn1i+u0y87AMPuqcCqB5yScmtLmFjqIdM0jW9QEz+IY7dkI2pLEVH5niuxTwzpwjD&#10;nXbUg/xBlx/OvKY4XmVljQsc9qsLpZUZnlCew5NQ2+4nKMdzujZWQR2k1ixh2yFFEj43AdxjPBqr&#10;cTW1mVC3cNyGOM25LgfXiuemigDxsYvMYIoBb6UokdvlXOewQUczTMpVeiRv/brcAZlAz68VItxE&#10;44kQ/jWCIJHC7m8sgc5PNI8cYOC+4+pqrsacuxvvbW0v37eJvqgNQtpVi4x9nUD/AGcj+VY127JM&#10;6rNswegNR215cidF+0MVJ5+bNUWbqabFEcwzXERAx8shP881NGt7BJvivmJ4/wBZGrdPpiqslxLG&#10;w2vngHkU3+0JVIyFNAGsdS1bLFntJdxycxsv9TSR6leRgh7GB8kn5JiOv1WqBvipAZM5GeDTlv0y&#10;AVYZoAuDUyINj6ZPnbjKMjD+dNfU7Q2pRre6RtmOYSece2aiF1Ge5H4U8TxH+MUWC5T1G60ueEr5&#10;m0gHGYypz+IrNk0/TZQzw3sQbGcYWuhDKw4INRvbwSffhjb6qDSsBmWlhHAknmXDPxlGjkYY/I1a&#10;kttkbNHdTrgZH7zd/PNPbS7ButrGP90Y/lTTpNtjCmZB6LK3+NADJI7iJCUvZCQM4dFP9BS2lxO1&#10;7LbyujhEVgwTaec+/tSPpjEELezj67T/AEp9nYtb3Es0k/ms6hfu4wBQBr6fO9vdidMbkBIz9K6+&#10;yMjqImUyyzIXck9PQE9hXMaJYrqF8bd3ZFKEkr17V3DzWWi2QLsI4lGBzkt/iapC1uOj0u1WZbq4&#10;jjeZB8rEcJ9P8ary6vHczm2tplQd5Scfl/jXO65r01xJ5MeUjxkqD1+tV9Hglvp5Ah+Yrjf6c9qT&#10;l2Ic7aI9A8NzwW8l986JmRQAGznCjPPeulM+kzqPP+zMfSRQT+teZXOkrZxxqLx49oLFu3+eK5TV&#10;dclmL21vdNOvQysP5VlKo4vYiVRw1kj2MTeBrvU3sZIdMe5Recwr+QOOvtTbnwv4HuSpa1t9ynK+&#10;W7DB/A14XBbsG3s5B65710lhrt7bQiBpEkhB4V0yR9D1H51Hte5lHFpOzR3c3gLwneExxvPGDz8s&#10;p/8AZgarD4W6NHkwapcJ/vMrf0FYkXiaUJ86o2PqKu23iS3mX95G6H2OatVYs1WJpvqXW+GGVzBq&#10;gb03Rf4Gqj/DjVVUlbi1bHbcR/SrY8VQ2EZlSSYKOoVCc/hXVWHiKG8t4mmQws6gjPTn19KuMlLY&#10;0U4y2Z57L4H1uPpDHJ/uyD+tZt/oOp6bD5t3atHHnG4kEZ/A17RgFdwI2+ua8r8Za3/amoNbwuDb&#10;W52jB+83c1TLWpzNHNJRSAM04UgpQKAClzRilxQAlKKMUYpgFLSUtABmlpKVQWYKOp4oATNHNWDZ&#10;Tr/Bn6Gm/Zbj/nk1R7SHcnnj3PI3OOBUW7nmtxtCIGSSarSaX5f8JqrGjdzKK45NNAOepq3PauWG&#10;MCmiLy+GH41o5ozUWxsUUjEbTWhDpc0w+Z0A+nNQRvtPFadtc9iaiVaa2NYUYvcz7yKbT18th8jD&#10;5GXvWSQScnmuxuIY761aJ+/Q+hrlZrdoJWjfh1OMVcKjqKz6E1KXs3oQg47H8qfkEdRThGxTdznP&#10;QVLFG319K1UWYuSIsH0zQEJPGfyqzl1bBGKd5jjtV8iIciAQt1K8VKu2NeO9K0hPRT+dM5PtVWS2&#10;FdvckQ+ZKqngE4xVnW7d45IJzgxyRgDHYjt+WKrwny5Ff0Oat3P7/SXJPzRMG/A8GlNXg0EXaaZk&#10;CndqYDTs8VwnWNU8mpAfkIqNT8xpy9DQA5T8hp68xEVEh+9T4jwwoGOhPWkXl6bEfnNOjP7ygRPY&#10;Okd2plZhGOTt710w8d3ESrbpFvVTgNJjNcknEtNl4m/GhMDbv9evNTDRTGNYic7UQCsme5kh2xoR&#10;tBzyKVThxUV599T7Uuo9loQyzSSN87E55phRncBVLE9gKu6fBbTT/wClTJHGB3JyfoB1/MVdW7SB&#10;ykKbU6BlXqP50722M5N9EV7bTrtgDKBEmOrnFX47G3jByr3DHpjgVENQtwfnEjMPUcVr6qCmj2Ey&#10;3CRh1+YAdM8iod2YuVRlByY02l47dP7o60sEQnf/AEeMyH+/KQoqmqRqcg+af726nSYfA4wPxNJI&#10;lLXU3obJJWzO4JQBSijipHSKEYjCr9K5vc0XMU7J6jJ5pVvLgH/XKfr/APXq1Y1UomtMCW3o+G75&#10;6GodxZ1UjBz61UN7dEdIzUf2p96s6Hg54NO6K50WrsF7mQhVPzetQRK0cwfaOPeoJbhJJmZiyljn&#10;FN3qTgSL+JplXNuW9jdxuIQ7QMdqQsDyCCPWsYru6Nn6U0eZFyjlfpTA6KZvnX/dFMDfvB9Kz7q+&#10;limUBQw2Ln8qjXVBvy0ZH0NAGzupS3FZq6pAeu4fUVIL+3YcSj8aBGjEf3Tn0xTGkYDhiPoaZFMh&#10;s3cMpBYDINRNICRz3oA0FmkwPnP41Is7+uapLIPWpFfNAy2LhieQKlaXY2CtUlb5qu3Q+dCO8an9&#10;KANbSb06XciUx73lg3RjPGC2Oagv7ue9n824kZyegxwv0q5dWsNvplhdHJmaJEAzxjJNUVG4IpyG&#10;JAx+ND3EalrpMuq6hMNm2FJCGY/X9fpXWxw2WjWROVijUfM7dTTb+/tND09pnAAH3UXq5rzjVfEV&#10;3q8haRNsX8MeTgVE5qOi3MZyUFfqX/EGtPrFxsgLpbLxju31rLjigiTJAz71SZwq5YAeymo/tkjN&#10;jyNy+ua5ndu5xTcpu7NMPuwTjFOEqryX4rJFzGfvCRPqDUh2y4EcqsPQGpsZ8pfa+XO0cirdsxmX&#10;92Rn0zzWbEFjHMY/LmtvRbOS9uiFP7teT7UWvogjDmdkX7MG2eN7o7FZsKCetdtb2d1cIGjiBGOz&#10;r/jUdnZwRxxq6B9g4LDNaoCF94llV++1zj8uldlOlZHqUqapx5UYer6u2gWz297cPbrLGeF+Ygeo&#10;xnFcBCLGWOee1vnmWSTjfEVxgdK9N13RoNf02S0mlCs+B5xhVnX6HHFcvD8O5bK1ENtfpLhicyIV&#10;zn6ZquVmpzOaCa3J/COrwj5YUlHrG4/kcVmXGmX9t/rrOdAO5Q4osIrg04GowccGng0gHZFFNzS5&#10;pgOzS03NGaAHUdaTNLmgApVYIwZug5PNJmmuR5bZOBg0nsJ7FxNXiI4zin/2nD/dNcyZwAAjgj1A&#10;x/SmfaDXl+ySPP5C59jm6FVqtNp7Pncyit9lz9KhkhUiu72jPY9mjkpba2gmKMwaT02ZqneW+IcM&#10;gCnkcAGuqmt15rPewSVwzrwOlOLbYpRSRxTfKxHpT0lI6Vf8RWi2lxHMnSQYI9xWQr5rVxurmalq&#10;bFveFcDNPvrZL+MSJgTKP++vaslXI71bt7gowyazs4u6N7qStIogNGxByCOoIqQSd8En6VqTRR3q&#10;7lIWUfrWa6tGxV0KkdjXdSqKa03OGrScH5AZc9VNNMv+zTutIQfStm2Y2RGZCe1CsSQDTiMckAfW&#10;omnAOF596zlK27LSvsTSMF4B4FPjlMkbRjoykVT3BuSCT71Ytv8AWp6ZrKVRs0UEtyqFNLgg1O0e&#10;1iPQ4pu2sDS5EOHNCH5jUnlEnOKQRkHPegYxfvGnxn56ZtbfntSqCGzg4pAKvEtOBxLTTxID60rf&#10;6wEetAx2f3v40lx98fStLT9Fu9WdksY3muF58lVOSvqDXoWk/BDWLpUudcuo9Mt8AlceZIfwHA/E&#10;0WYX0PLh1GK39N8F69r4SSz02Q2/8U8n7uMf8CPFe3aR4H8L6I6paae11OB/x9XQ3sD6gH5R+VS+&#10;IXjGnSLFaTXEyrhN7EDP1zVKGuouY8vHw/0DSo/P1fWPOZBloLc5AP8Avd/yFQv4m0C0ha10qzt4&#10;kPB3x8t9SetUddtbhmAe3dW/iIOFH1JrC/sdp1MkEkb46gGqbtsTa+5Y1CGGWNrhUiZyfux4x+lQ&#10;XVwZdNMUn3Yypj9uKpvbmINnIYcHYc/yqvJM4G0hm+tQ0MRWIPyyYNTebOB94N9ataL5M1/FDc26&#10;eVI20ueCD2x+Nao02Br6S3ezkSRG25BJDfSiwWT3MDzZc8xHH+zTS4zyrD6iusk8LlTjY6kde9U5&#10;dAuFztlH0YUrC5InPhlJ64/Snbi3Abj2NbD6HcKvKxv+lVX0W5Y4W0kY/wCzzSE6aKO0Y5xj1ph9&#10;F4FWZtMnt22yRTxt7rSNY3SRmQq4T1ZCP6UC5GVdo64x705S46FsfWl2yeiN9DSFmUcwke+aA5ZI&#10;kklZiCpYnuHwf1puZNhcxgr6g1GGjP3iwP0p6orttEqD3bincPeE81c8qRUiRtJyqN+Iq/BZxxqD&#10;w59asBcdqLlpMqkMNM+zhTvMu4/TFVhHMuMBhjpithfpUoyP4RRcDISW7X7rv+PNWI7m93AHbgnG&#10;WHStAoHHKrTTabvuyMh9uf50XCwwTXschV4FyOuHrYupn3QYjJDQjkEe9ZP2S8AzHLE/s64/lTnv&#10;r+BY1uLMMEG0MjdRnP8AWncHZHTatdHULaxjhdohbxqOnJIqmJ5bZ45JZQ5UhgpXk4rLi1oTRErC&#10;yMOMsRVdrmSRiZCWb1JrOU3fQyqVUlaJu32sTalcNPcsGJ6DPCj0Aqg84H3apK3GSPpTvMyd2Rx2&#10;rGxxNNu7HnzJHyelWAmBk9qqpLluAfzqZiMEDJ9eaBNDnmCjC0xIElbcyjP0qMB4wSsayD0LYNEV&#10;5LLcJCtuwJPTrRZ9AUX0Og0nTDcyDaGKDou7g16BpunRW0YWKMDPJIrL0e1FlBHGdpOMscd66aGU&#10;BcjGK6KcOXV7nbSoqCu9yxDCw7frVxI+MnFUVuFXnIzSi8cngqB9a3ubGkF49P1pSxH3R+dZ4v1T&#10;qhJ9qzdWvtWltj/Zvlow6jGWP0J4o6XA6B5UiQvNIiKOpY4ArnNT8b2VoGjsx9plHGRwg/HvXn91&#10;eXVzKxuppHcHB3k5FVS1Q5dhmpqGr3eqTGS4ZME8KqgAVUBqFWp4akIkzRuqPNLmgB+6l3VHmjdQ&#10;BMGpQ1QbqUNQBNupk7Yt5D/smm76bLl4mQHqMUMDmxKSOTj8ad53+2f1pZLC6SeOFUDySfdVMkn9&#10;Km/sDXf+gfN/37Ncvs32Ob2cux0IjYdZZW/4H/hSGJW67z9XP+NG5s9wPWpAAeck102R1XZAYYgf&#10;uLn35odBjpU4AbtTdvbOaYrnOeItON5prFBmSL51HqO9cGHKmvVL+GSWymjiOJGQhT715bNC8Ezx&#10;SDDoSCPQ00Ies3qamV84wapU9CV6UmrlRdjSinZO9XlliuUCTD6N3FZCSAj3qTceoNZ2ad0bKV1Z&#10;lqe0eH5k/eJ6r2+tVjIcccVZtrxomGTWolpb6pCxGEmHQjv9a19vJaMzdCL1icvJKTn196iBqzqN&#10;rJaXGyRMeh7GqoobuZ2toSKcnFXIcZBqmo5qzGeKYHt+j+CfDOs+H7K+lsgryQq0jrIy5bHJ6+te&#10;YeJ9It9N1+6trA77VGHlkNu7dM16h8Orlb/wcbWU7lQtGQfQ/wD66gfw/opkIj069nxx8vf8qV1b&#10;Urlbeh5ENPunAZbeUg9CENOGlXp6Wsv/AHzXusOk3U0CpbaDOEUBVD/Lx+NMfwTrN1j/AEGGD/el&#10;H9KXoFu54eNGvj/y7sPripF0K+Y4EPPpkV7xp3wr8x9+q6oUT/nnbdT+J6V3mj+HdA0KMfYrHMg/&#10;5ayDe5/E/wBKLMWh866F8I/FOuFXW0S3hb/lrcEqMewxk/lXqfh74CaFYlJdauJdQlHPlqfLj/Tk&#10;/mK9NS9G44jdvoKoXuvRAtFDOkUy8ncN3H0p2EmXLLQdL0y1FtYWUNpEBjEChfzx1/GuV8ZeErvV&#10;rFYEuLp7JWy0Nu4Vh7hTw2PTj2qaXxUY22tqkQb0EYqpP4ouZY2WHUyGIwCsKnB/Kmrg0cnZ/DnX&#10;0iL+G/GRZV6293GVKH0I5x+VNuNJ+IOnKw1DQ7bVIx/y0srja3/fJ6/lVzyPFF9qCXS6tKZFGA4i&#10;VMj0OBzWtLpXiZrVpLrxDcbsZWOIkE/U0lLW1hvbc8yvdUEbPHqFleWEh6Ld25Cj/gQ4rJijiu3k&#10;i+SaNv4rdcrz68/0r0nQb2Qa21pqsktxHJlR55yVYfWr+t6bpsEvntEkUI6LEADIfQf1NEZRne3Q&#10;LNbnm+neEwspvHuGh06MgFFQZkP91f8AHtU2oaHYXdyzR2ccatyFQHCj6nmuhur2S5kXKBI1GERf&#10;uqPQVTQSXF4kES5Rvvtnp7U9AOYt/BqXE/mxQMyKfvkkgn2H9a6W200280ZukHmqMBvUV6Hp2niK&#10;1jjhiVgB8xxgUuo6DHe25VVRZRyrg9KdkK5wV0sayndznnFUpFjJPl2sknp8h/rW5P5tlK8U8J81&#10;Tgj/AAqPzlkH7raG7hxg0WGYUMto03lS24t5/wC44HP0PSr3k8cAAUt1bzMCWtUkHoKypZdSspAb&#10;eF5Yh1idT+hqQL724YYIB+oqu+nxt/DioJPER+zhotPl83oyyMAFNH9t74iPLPmnoVjYgUhlC88J&#10;2F0S3lbGPdOK5+80L+z3ASJsNxndmugMWoXEhZri+wf4I4ii1PHps5k8z7PKT33KozWVTnekUaQ5&#10;d5M4WfSwhJE65/usuf1qlLaSIeURvdWxXpLaMXk3mz59S44qJ9CTzPMa3jz6E/8A1qI+06oHydGe&#10;dx2l0kBuF8yOMMEz7mpo7m/QfdWZR7c13rWZS3MPkRGPdv2kE84xmsSK0lgup5/spdwTtUL8oz3x&#10;7V0UqXP8RjOXLsY0eqAAebBIg9QMircV3BLwkqk+h4Nbyv8AZrPNwq7erBlyKrtLazoTb21qrAdW&#10;QY/PtSdOzsgUigGxUisewJqv9p1xpvJhhjz2KqAPz6Vcjg1sRkzXYVj/AAoM4qGmtyrjkEh6I35V&#10;aRJiP9U+D/sms1l1IfevJf0qIrdn713Mf+BVIFi60idWD28BweoNQ3O+B0W5hWHfwoFQyRTFGHnz&#10;E4/vmsSOO+vHIVZJCp5JJOKXKmYzpxOm1CO0siI/tBnl/iEanav496oHULUNg+Yo9SK0rPT7+TSn&#10;mU291LERutz9/b6j1rIm1G2jlMdxpZV1OGUsRijlI9ml0L8OyeF5IJg4QZYdCKjGQGyAwOO+CKfF&#10;rlsLJ7S3s4rVJMeY6jLMB2yaS2j+1y+XZsZHPRApzUNWehlNJPQcsyCGSPyMu5GHZ87QOuOO/FdN&#10;4V0xQwu5DknhVP8AOqUPhXUUUSXKxQr1Cu4yfwHNbNhpV9axeat2dgPIDqwH4HmnHfU0pQu7s7CB&#10;VRcgZqYTbRwK5ubVrvT7RpjF9p24yoGGx7Ult400+RQZy9u3pKuP1roTTOk6TzweSgqnqOsW2mWp&#10;nnO1eiqOrH0FVbnxHptrYPePIrxAcbCDuPYCvL9Q1241/WVllGyJc+XEOiD/ABobsOxp3+uX+oX5&#10;m+0SxbjtVI3ICj0qtPrFyl7KI7+4QhiOJWFRwL/pMeem4E1gvLvnd8/eYmoA6e3vpbjMk0rSOeSz&#10;HJNWBJnvWNZyLsG1gfxq8rmgRoo1SBqpJJUokpgWN1LmoA9LvoAl3Uu6oQ1LuoAlzRuqLdShqAJg&#10;1SQRSXEyRRKWdjgAVW3V2/hfSPs8AvZhiWQfIP7q/wD16aVxMvaJ4fg0z9/IvmXbLgv/AHR6Ctnb&#10;/wBM6jyw/wDr0u81okgPMlwDyQacXQcDNMyMULgnpWQwaZB2NNE27gAinNgZ44NMDKvb9KAFYnGc&#10;15/4qthFqpkUY81dx+tegbs+tYPiLSP7RthJGQJogSAe49KAPP6UGgjBx6UlMRKGxzVhTlc1TzU0&#10;T4yDSZUXZkxNXtOu/sswbJzWeeTml5IyDzUNXNVJp3R0WpNFdWwdoi8TdSvVT/SsFtJmJBtysoPb&#10;cAw/A1Na3zxNsz8h4ZT3qS4aW3ZZbeQvCecMA2386mN1oXJRnqyxp3hDVbzDOiW8f96Vv6Ct6Dw7&#10;4Y035tW1oyuOsUH/ANbJrDTUbvVpYoJ5CYl6hSVGPcA4rW0nwxpT3Dy3k9xJAg3GOPAJH1rZM55R&#10;sej+AdY0Ge4l03QrFkKrvzNkl+3TNemW+m6tNj99Fax+0YB/I5rj/BWt+FbYpYaJBFbTuvQxEO2P&#10;Vj1/Ou6S6y3JJPqTVWuQ3YvWmkJAd013PcN/tvhfyGBWgsUS9EUfhWMlwzMGZs46DnFF1f20Kb7l&#10;wMDOc8ijlDmNz5R2FZup61ZabGTLIC3ZFPNYUd7fak7fYHkitm4M0jEj8O5/zzVtLOw0uMXErq8x&#10;OPPmIzk9h2H4UKINlNf7b19jgnTbE9yP3sg9lPT6n8qw/Ft3eeGtHnh0nQU8hwFu9QvrmNNwPXBL&#10;ZLfp6CujfW1tnjaORSitmQMnUexyMfka5TxFdaV4rdo20w6i4GFRGllCn6KdoptagnZXKWmS+THF&#10;Nc6YsKvgh5ZRvPuBg5rq7fyp1DiOPB6EJk/jxXhWpeJtR0e7k067t3860xFiY4IAHAwOO1VY/H+o&#10;KCEYxjH8DYqea2hco31PotXS2HLhQf72B/KqF/r1pBE26ePfjgLya8QsfFAuf3t5d3YzwwLlh+Az&#10;XV2Kaa1iup3cczRHiFGO0zke3931P5UJ32FayNLUIkuMX770iL/IScM59vb3qpd3Ut4++VyxHAye&#10;gqnd6u95IWMYyAFVFGAo7ADsKoXOoGJgiwuzkc7R0rNQ5W2h30LiSNLMbaI7pB1x2Fb2mWKWpDP1&#10;6gVyX/CRanAAlnp0Ma+rgkn8aqT6rr90SZLlox/di+UfpzVJg9T1SbXLezg3XE8UEQ6mRwo/WsG+&#10;+KGgWMTGKWS7ZephXKj8a89aKR8vcEyN6tya5vVNQaxuVa2jTJOGyoIPt70+bsKx3d548l8Qzqyp&#10;DFCp6opZwPUsev0wKvadq8c87Wd2o85eVLDG4exHWuP0WOzvreW5sYzBMR+9t+oz6r/hWlZyGfaM&#10;ss8J+QnvQmwO0MRPzQSFD6ZytRSXcsQxOhQf31G5f/rVz3najK2I5yh9QBxUV297ZD/SNRmLN/Cp&#10;waGwOl84Ou5Qrqf4kGRUcl7FAC0sioo/vECuLh1SS3naSOZ93fLk5+tTzX9tqsgE8G2QnAkhODn3&#10;HQ0uYNDan8S6bEeJXc/7Ck1VPiuxHJcoPV1Yf0rGvdAv0jY2jxSn+HccfnU2k2M8dsyanZRrJu68&#10;MGFJysrjSu7GoviS3nYrC5kPqkbFfz6U5b+6cZESBfU8j9K52bxKLWZofsIXYdpG7HT8KZJ4rEch&#10;8u04Pcvz/Kp5yuQ6wtfPDuiNtuPTIJH86pDVZ7e4WC9Furt02ZBI/HrXEXV9eXNw1xFLIkTnO3zf&#10;u+opj6lGw+aKVj7ztTU2JwR0viSeOW1RVAB3bmx6e9YliI5LiKGUDyRy204yKotf25UHyJd3fMzV&#10;q6R9n1G2lihh2XKcxgsTuHcZrWNbSzRDp63TLhv44ZiYP3e334x2qaLXWVd08KtAWKhgc7T71gyM&#10;HyNu3BwQfWrtpYp/Z8s0rqEDZEQJ3HHfHSqtfQm9tToP9BvFDWkm75cspIOD6VVlssdFrnnf7BFN&#10;IGdJ3T9y0R5B9x9KlsPFk6ER38Pmj++o2t+XQ/pWMo22NE7l24iMMTuwwFBNc5Y301r5iK2wSnLe&#10;ldXdX1lf2u2GUKG+9vBGBVCbRUWESF4/LJwGByCalaAyta3ghukklyd3GQcCr2r2EN95FwtwWdvv&#10;JgnjnnP4VkyafPuxDuIz2XrW/a207aei+Uyyg45U4xSd90ZtNGeNJt41GIN5I6ZOf51p2N6lkfJg&#10;SNVbAdOmf61kvfPDOVaUjbwvFQjVEdwMKXHVqm8iLPc6O6neNPOhkyhOCwGWSrGm61crbr5ykk8b&#10;+zCsCHUykxK+Wd3GCev1rWe5t1lSK1vYY2JBMbc7W+tRyvexSvLcs3uqajay7omje3yCrFeo/un0&#10;NZY8blmMV7pkMqjg4/wOa3tFe21S4k0x4mdlBM0qnKcdDk8+wxWLqXhSS818WFvdWizvD50W4Mu9&#10;ASOvPPGfpW621NFfqKt94V1IYltvszH2KjP/AAHisG3iji1eaOFg8abtrA5BGeK0bjwB4ggyVto5&#10;R6xyg/zxVe10m/0uWQ31rJBkYXeMZ+lFhk7N5au/91GP6VzRfarN6Cugu5ALKc/7GPzIrmpD+6I9&#10;eKYiKO7nj+7IRVuPWbtBjcrD3WqGz3o2GmBtQ+IpE4eEN9GIq7H4lgI+aKVT+BrmNpHajpQB10fi&#10;C1Y8vj6gircep28oysqf99iuHBozQB6AtyhGRnHqOaXz0z94D61wCyOv3WZfoalF7cr0mf8AE5pW&#10;A70SBuhH4GnBq4VdTuV/5aZqxHrl0mOT+dAHpPh+wXUdTVH/ANUg3uPX2r0VcKAAMAdq4L4d3v2r&#10;S57l1zIZdmcdgB/jXYzanZWpUXF3DEzdA7gE1pERf4o3e5rPTWNOk4W+tyf+uoq4JFZQVZSCMgg1&#10;VwPMFkAxk/lUgbPfFRbQBk8Uu4Y4rIZNwepzQdoFQbznrik3c4oAl3YphO7qMj0popeaAPONbsfs&#10;GpSxAYQncn0NZ1dZ4zt3Jt5wMxgFSfQ1ydMQCnqaZUqQu3QYFAEkZLMFAyT0q6bJ0g81ztHb1J9B&#10;TLCKOO6jaQM+D06V0MultcESly3HA7Ae1Fkx8zRgWtvJK4ZkA+vNbEekGTBjkKueoxwalS2EBwy9&#10;D3rUsZ1VxlBj3qlCJHtJdDS0jTLe1twptoix+8FXOfrmtq00axuJcS2e1W6gZUfpUVgpHIT5W6EV&#10;0lpkMpQ/L3yK1SSWxm5Nu4+w8G6PFdQ3lss0E0bBlMchx+ua7Lz0RcswUd+a51NTXBitozNKODtP&#10;C/U9BVmPTpbpfNvpt47wx5Cj6nqanToX6lqXWpJ3MGmwmZhwXzhV+rf4Zp1vpG+QT6jL9ol6hP8A&#10;lmv4d/xqxFtgjVI0VUHQAYAqZW3HOaQJl1ZgigLxjp2qC7KXULRTRrJGw5VhkGmFgByaheVR0NAF&#10;WDStPjYb4PNVeglYuB7YNdHa3EcMarGioo6KowKwBcDODg+9WVvI41Bzx7Gm0K5xnj34WzeK9ebV&#10;dPvYLd5EAlWUE5Ydxj2xXLp8BL/Zm58Q20fqFjY/4V602txIPvj8apyXbOv2i5+4eYoifv8AufQf&#10;zqeTqx8z2R5vafBzT9Iu4rzUtWa+hU5W2ERTzCPU5Py1b1bT5J5jK8wLAbUVVwqAdAB2ArpLq/8A&#10;MdnllVpD6Hp7CsK6mVtxBzQ2kPUwHs/KDCNz5rD73XFUzDcowSC+md+5YKQP0pbvUw87QW/zY+84&#10;/pVizdUGD17+tRuUZGoXPiTT5RJAkV3b7eQYxkH8KzV8dXCvsudPiU987l/xrtGuF28YxWVqNpaX&#10;qET20bH1xz+dDQczM7+1n1W3JhigRAPmRZcs349q5mST7Q8zXEIV4wUjjHRMf1q1d+HVjkL2cjxk&#10;cjPb8agh0XWgpZYRIh/vEZP9aTsgV3saXhfVBZwSqIs73HJPA4raDz3V/wDLFtcjPydD7msuw014&#10;VcXFvJGpGSqjOT7EdK17Zp14ClFUcKvce570rroOz6heXM8CyKzFJkI3Ad/eqH2j7VIXmYNJ3J61&#10;tajDBPpAu4/mdSB789jXPpC0RM0ZyndT/D/9as5XvdFJFtLeIjJ59s1p2EdtGSVjUN6n/GsBrqTq&#10;CD9Khe4u5/kUsFPqcCp1YmdPM/ns8sF0FZRynasxNTl5NyJImViAjD7wA6j2rFuJJLaRYopG8zGX&#10;CnAqxYanNaM7yIJogVYgDcQc9s1sloSmyK51GymnZ7izUuepLEZqBtS0nHNlHx/tmtuS08O3NuJH&#10;uiC3O3B3fl1qOHTdFz+4sLi49yu0frU8iNOZmI9/pLjatqin2c0sM1hk7bHzc+pY/wAq330fRhIJ&#10;nhgtnU5wJAfzFasVzpltZieKHzB0ARev0qlTb2JdRLc5B7ixt22yaXGhYZAfd0q5psoadXstOjVx&#10;yHyQB+NaOpajb6oqxyacFCn5ZGPI/SnWdqVTELhh1Axg1XsX1IVePQdNoM17L9sdPImcfOiMNpPr&#10;UsekXEKgGMFB1FbERcRoHRWx+FWTGHwFjILccU9VuCkpbGG+io21zbhiy59Kb/YEMuA9pH9TnNdI&#10;wjTLeaFVRjLcYFV0vbVj/o99C7f7MgqS7FC08N2W7azCND1CxAn9c1onTYbAGCOCWe3Y7t2QrJ9A&#10;AP8AJqzbmbiRvmA+6ARzTzfLAQJmcL3yKAJNto0SGC3yoXl3wAD7+9XXhgmgjH2dFZeQ6jOfbrVG&#10;O5tGffBcRA9xnhvqKvwTB1wpAx2zkfhSFZGBqHhqzugHVCsmeTgYNY8Pgaxt5N8nmE/Xiu5ZcHPY&#10;0x1BX2pWSFZHEXnhlAZDaKqs67WVhkEe3vWNqtlHYWsccltG00mQh/iH1GPyNehypgHYcisye2gl&#10;kVpoUdlOVLLnFA+UzvDVh/YckNpckJ9py0ik4zwSPy/r71szW1pNrVjq6HdPGzRjaf4GGBn8cH8T&#10;UURl1G8DqQyWsRQMOpfHPP5flWzgT+WiKwRSGJKkdOgGadxWJHkY8DNZGraLFqyKs24FfulWxit4&#10;KB2pk0iRRs7cKoyTQNHlvinR7fR9P8uOR3kkYZ3HoOtcb5SkYrpvEmpNqU0kmfk84hR9B/8AXrnw&#10;vFCGysYPQ0hhYVb20bcUxFLy29DSYIq7toKUAPtriwWPbPZbz/eDc1RkWNpD5aFVJ4BOa2rTRTPE&#10;Zp2EMWM5PU1nz28aSssbl07NjGaAKRjA9QaTy/Q1YMRoEJPcUAVtjUmCOoqz5XoacuUVlKhlPrQB&#10;v+HvFf8AYehXVug/fl90fHXIx+mKzbC5uNQ1WS5uZXllIJLMc1RIXk7SPY81saLY3EkEtzb20kiA&#10;7W2DOKL6WA0JwRZykdQpNey6af8AiV2n/XFP/QRXj7W881ncqYpIisTNmRCBwOlevaU5OkWR4/1E&#10;f/oIrKbBnmpfjk03cScdqbu/yaQk+tagSe2cUoGfpUSk1ICTwDTAkHAqe0tZbuUJEufU9hVYPFGQ&#10;ZnZU7lULH9K3rLXdKt4RHG0ijuTC/P6VMnbYaV9zL1nwzdXekXMSmNn2llAzyRz6e1eQng4Ne/r4&#10;k0sJl5nVOhPkt/hXhOpNE+qXbw8RNM5T6ZOKE31E0lsMt+CeAas71PXiq1oA023OMirT27Lk5BFM&#10;Q6M4bIOfoa2rLUZgApJZR19q5sgrUqTuvRqdwO2WWCdAWxn3FXLVIWX5VAOfvHvXEQapKgIJOD15&#10;rVtdbQxmNmK571SkJo7m3uobQjbK80h5EUYGPxJ6Vo28t1dTBZ8xw94ouAfqeprl9JvLcRqiMrEc&#10;ls8mumtrxEG7auP9nNaR13Iemx2GnRJHCFVVRR0CjFaYuQigDr7Vx8GsImFIO4981qxXEkiq23A9&#10;avl6kcxum8RRh2IJ7Uxr9B0BrndSk1FRE1hbRTOThhI+0AetV44vEEv3/sMI9tzf4Vm3Z6Gi1Wp0&#10;b6iew/Oq8l8zZycCswaXqUi/vNSC+0cIH880f2FkfvtQvH+jhf5CjUPdLjXR65qrNqcUQ+edFH+0&#10;4FMXQLAth1lk/wCukrN/Wri6fptgu6KytxKP4jGDtP8AU0XkHu9iJ7mKyhW4uB5krANFDjIA7M3t&#10;6Dv9Kx7vVLmeRnbzHZjznitO43SuXcZPUDrWTeMkaliQoHUmpY0ULm9uoo9yW4dieFLgfiTWIdfv&#10;ZGbZbRELwdp3f4U2+vmvZDFG5WH+Ju7f/WqO2gWGMqFySc8HpU2uVcSBUUj5GjJrQSMnDDGPWi3t&#10;GlO5gRipJm8vKg0r62G0QvuXJB4pgZmIXkk9AO9AcyttVc1qWkaRSfL5THH3y3OfQChtCSbIbfSB&#10;uDzgkntn7v1qw1h/dkz+FWiwALSHAB/CnqwKAxkNnpg8VEoqW5abjsZrWMqkDcpJ6DPWohGwYgEF&#10;h1CnJq3do0m6KKYxzP1k2EgD0B7VjxaasU2XZX2nI2jqfU1lOEYo0jOTLJjGGUAAE5Ix1NRizTfu&#10;AwfarKuyNlQM+4zVoX0lsql4Y5Cf4dnIrJPzNGvIw9T0+aG3VreOMyOfu9MCsqGwv8iV7IyHsQ2K&#10;6iLW9PvtQIns2jaA4LNHwM+ldNaTaZcxgR+ScDgA4Irpg7LU55wu7nADRpmQym1VJH6lvmIq/Don&#10;l6aCQWZn/u4rp7xIFbCowX8+aVBuiRRbO65PTjFaJk2OMbSLmMt5KKpJzkgZ/lVWXRr2UETTSEem&#10;84/Q13N0qRIWRGXAyVbnmq4UOi7xyRzQM4qx8LRx3pkkd1QqfuEDn6Vpr4ecKB9tmwOgAUf0rpFg&#10;SnmHCn+lWptbGbpRe6Odj8PoV/eXFyT7PUieH44X3RzzE+juSK1o3Al8tlkVieCy8H8RU3ltnNJz&#10;bGqcVsinFDtTbJFuI6E81dQiOIuExtGAB3NOgtbm5ciGFnx1I6D6npWpa6JNOhMkgjjXqwI69xk+&#10;n41JV0jHkMXlkzBSvX5qqNZ2Uo3SwKFPQMoya6lvDkbIfsnmSTf89eqD6luv4VQ/sfULOQI9sLpv&#10;7yOFA/OkHMjI/saCQCT97CFG1PLcqAPSpotFuWUmG+nZR1DjcP1roni1BIAGsI4l9fPB/QVe0u3v&#10;jGzLFBg9Szn/AApME7nC3Ol6jFJ8nlSeoMI/+tVs6NrcUYdbazmGOiyOh/rXS/Y7ye8ZVMQOSc5O&#10;Kxr7xRc2GqzWL/ZyITtLIeM0bbgtdiCxXVBc7Z9LmiQAncLgMpxWxawfbIvNjlVRzkEHIx9cVFpO&#10;qy61cva29xHFIgyWC7vyHeoPEs15o8Cp/aRkdv4BCoouBg6vrM1vqTWtj5UhU4MjAgZ/OnxyT3LZ&#10;LAkj5nVcKv8Au+p9+lO0yyLRm7lC+bJ6DGK0PLxTY0OgZYYwkYwo7VZWeqoXPTmnAGkBc8+sLxPf&#10;smn+RG+15eM+grQZiB1rktfu8zgtJ8qnGByRTSuF7GHNo8yWcZO1lBJLKc9aoNYsO1dnpUiy2iAA&#10;OpGDuHWo76wRZjtjCj0HNVyk3OPW3QLteLP+0Dg0TRQfZVSNH80NyzdxXQPYj0qB7AH+GlYLnM7G&#10;WQh4yUxxt61JsgOAPNU/7S/4VtvYHqFzUTWJA+7SsBmywyxxhW8wIexOBVUj0H61sSW8hj2MzFR0&#10;BPFVmtD6UWYIzzkimFautbEHio2gYUDK22k21OY2Ham7SOooAi216h8PbcLoMrYHzymvNCg6g5r1&#10;nwJGE8NRn+85NJgXdctlGh37YGfIf+Vauly40myHpAn/AKCKp64P+JDf/wDXBv5VLprf8Suz/wCu&#10;Cdv9kVnW+FAecK+44qQAUxABT8DtWoDhznjinAY7U0E9qeOaYB0B7miN5hySAPQAGgCnAYoEObMo&#10;+clvrXmGoW72t/PBJ95HPPrXqHQGvK7iRpriSR2LMzEknvQAtqdtwn1xWswypHtWNG22RT6EVuUh&#10;meRRCqNdQpIdsbOAx9BmnuMMagl+6D70IDurv4cSspk069WQYyElGD+YrhpVMMzxMQHRipGe4r2j&#10;wzEz+H7DzmZz5K8GvJ/GVoLPxXfxqgRC+9QBgYIzVtaErexRjmkjIKuykehrXs/E2oWpA83zFH8L&#10;81zayOvQ8VItx/eX8qlOxTVz0TTfG9ruUXkDr6lDkflXfab4i0u8thLb3SsOmDkc/jXgMcqFgeoz&#10;0PGa66z8U2MKoj6dJGijGIpAcfmKtTfUjkXQ9khuzIAxcEHpgZFW1mOOAD+BH+NeUW/i/SVYGO4v&#10;bc+8QI/Rv6Vu2fjWwOAdTgcf9NFdD/LFO6Cx6AtwMDMY98N/jimSTkn7rDPTjP8AKuetfEthcgBb&#10;q3z/ALMyn+ua0ZNWt4oAtvK3mMPmmKHCD0X/ABp3Fyl+S6gs22yMvm46HqP/AK9VWvImO5pE3HgA&#10;8fzrnJUErM0V3GxJ43Uw3Eluv2dG3yv94r2obbK5Y2Ne7uo40Z2YKg6tXNXhm1B/3gaK3H3VPG76&#10;/wCFX47VNgEuHPXnkU94EkADDgdPmNEbLciV+hzskYVzGFG08YzVm005XlBTgDrWg2nQk5UuD7Gp&#10;oQbYfKQfcilKXYcU+pI8SxQ8elc9qdwltE8znCj9a3XuPPhZiApBxxXCeKixuIz5gMePueh9axsz&#10;Xdk1v4ptguDaOo7lWBP49KvReItOk6u8Z/2kP9K4QY8wsGABqUcjisZRuzZStoeiQ6hbTf6i6jb2&#10;VxmrYu5FGA5x7815jubvU0d3PF9yZ1/3WIqeVrZj5l1PRfO2oVXCg8nHekIJs55o2+eIbguOo71w&#10;set36DAuGP1AP8xW3oWtS3E0sU5BDJjOMZos29SouPQ76ytI59HW+jlQEHaU8pSc4z1/z0q1a2Bu&#10;7hVW5jbPUqgBArl9K1GaKKSzjYjBIcdjx1x9K6jw9LGRPas7rMwB+50BGVOa3gkKrdSaRO2iyu5j&#10;UK/JwdoCkD61UvNNiiiUmNFfthcVLqmpR2SJFHO7SrJiUEZ79hms/UtcaZY9wkO/7uOQD3+lOViI&#10;qRUeDUXuBdwlGsEALDPzqe/HQ1av73UIYlZbdpYx97yh8w9OO9V7b7Zb3YmVlaKQ5KdPxFaJu5I7&#10;xWhSO4ULl4G+9j1GetJPTUUo2d4lGK+gmgZHSTzDxhkPB9x2/GpduRXQLPZahbboVQgdVxgqfQjt&#10;WZNZlSfK5/2TTTIfmUfmFSq6FQGYL9a07LSlkAe5cKv91ev51u21vp9uuY441IGC3Uj8ad0S2Ytl&#10;4dvLsLIcRRHnc/Uj6VuweGNPgAactOw/vnA/IVYtZvJtUjWWNhGoGc9aJLmSclUBbsT2H1/wH6Um&#10;+wiO9gjuIktoE2Kp+URnaPyHYdatW+l20AVvLDuOS0h3HPc80yFfJOd2WPUkYq0rjAxii4rErqCv&#10;IOPYVlS2zNIdkm1vpmtJ5QiY559arlwFJpIbMq88wKqMR7kVehAtdP3tt56cVn3E3mXagjIB7VJq&#10;F2ZCkAPGOgofYa7kliPmeUg8+lZV74V0i8vGuWgXzHJZiCRk1pogWIAH+lStGETcScnmm2SkUoLT&#10;TtBtHuIreOORR9/qT+Nee6hqcWoaqbi9nCQg5AY8kVqeK9cDzfZIz8i8vzXAXFs17dmaQ/L0VfQV&#10;fK4pSYJpvlR32n63YX9y8FtJkgbvu4HpxV6XG4ADJIrhdOtza3kMq5C/cYjoAe/54rtbeSQqm4k8&#10;ckik3csWKNg4A4Hf3q2Y1x0oUr1yKGfCk9B71IGbfOEZUXOW/lWdLp1rduWmjwe5HeqGq3ourwgH&#10;5VPGDilivJoxhbmbB7M24frmqWgNFyEWEDCC3kQKnbPINWrp452LIgX3FY8VhaeZvC4Prmr6bVG1&#10;WP1qldkkbwbj0zULW4B6VfDA+9KQpHSnYRmG1Ug5qFrTI6c1reWKQxHggcHgYpWC5itZZ7VAbIcn&#10;bW48YGcjmoGUDOaLDMGSx9qrvZc9K33A61AwGelFgMJ7L2qBrLnpW84GfuGojtz9ykBgyWm0nAOB&#10;616Z4UbyfDlqOmQT+tcBq8jRafIyJhjwCO1dvpLmHSLSPPSMfyqWgNTWps6HejPWFv5Vb0wf8Sqz&#10;/wCuCf8AoIrF1CctpdyhAIMZHIra07H9l2nX/Up3/wBkVlWV4oaPOxxSg471EGpc+lbATA0oPHWo&#10;gaXOaAJgcHNPDZqAYPepFIFMRKcBST6V5VMcyuQMfMeK9Pm+a3kXJGVIyO3FeXHkn60mAgrdiO6N&#10;T6isOti0bdbIfbFJjI5h+8NQS/6s+1WbgfOD7VXcZQ/SkB7npP8AyDLXbx+5Tp9BXm/xRtTHrVtd&#10;dpocE+6n/wCuK9E0Zi+kWXPWBP5Cuc+JWnifQIrpVy1tJyf9luD+uK2a0I6nkdFFJWRYterfDttO&#10;13QZdL1GyhuZbVsoWUbtje/Xg5ryit7whrp0DxBBdMf3Dfu5h/sn/DrTTsFrnp2ofC3S7kM9hczW&#10;j/3X+df8f1rj9Q+Hmu2JJhiS8jHeFufyPNexwss8SypIHjcBlZDkEetSkKB6GtOVMjVHznPbT2kh&#10;juIZInH8LqQf1p0F9c27Zimdfoa+g7qytb6Py7mGKdP7siBv51zGofDjRL3LQLJaSH/nk2V/I1Lh&#10;2HdnnFv4pv4iN8m/HrW3Y+KoZD+9uGgc99m4f40aj8MdVt8tZTQ3aDt9xvyPH61yt9pOoaa228s5&#10;4T6uhAP0PQ0rNBe56da6ibpB5N1bTj2JB/KrhkkC/Nb8f7LV42krxkFHKn2Na1n4o1SzwFuGdR/C&#10;/Io5gsen+acf6pxUL75W2KCq9SSK5Wz8eg4F3bDP96M1t2/iTTbsfJcKjHs/FJu4y/IAqYFczrmn&#10;i7jIz8w6GugZxJgq2Qe4PFV5IQ4Ixx607CPNJLOaByrKcfSmbPau6u9KSYHArIl0QAkd6hopM53L&#10;DufzoDsO4P1FbTaI+eDUL6LcjooNTYq5miQ91H4GtjQIxLcyOdwWMBmPpVJtPnjzuib8q19BX7K0&#10;jsnLYXn0qKjUI8w1NrU6SGUW+oLNFEz+ZgKuOp6fyretowELC/T0gtLgzyXLGYpjZF834E5x+Wax&#10;zK93NHGIwq7fmZc5ORVaWee2Zo+SinFVGV1dGvNzo3BbQbGZQytjcTkcmqkkZGSDnJ5ATJ/+tTbO&#10;9jkzsIAYdCeRVYySJNcKrsxByo9Ku5HK31NJZYo1UbSzD/aNIbqKSVkki5Rhhg3I/wAOtUy58ve/&#10;G4cjueO35UgjmknMsETgyJzuXGP84ptaEptSsbC3cBmjkkUqwU/OD834+oq+l0GxIQCnYqc1ljTb&#10;i4EJmcYC84Hf61dtbX7KmA4A56nmoKlaxqwOpO4fN9anN15Ix3b071lhGfDI+wjHI6mrETGJWL5P&#10;Oc45NFzMty3MkcTTvxgZ2jmtC3vA8CBMDCjKjjFYcVy0sweIuUxgqwxk1fi2ovChSeT9aYWNRbjj&#10;vTvMX73U/Ws3zG60GUsPSlcLGk1yc8H8KgnujsJz2qgZGGOainlymAaLhYfbTBndnzntUcTb7kyF&#10;gRniq7ECLAJznnFSwMByRyfWmLyNiJg53OSAOaxPEet/YbJ9jfO3ygValvBbwE5AAGeTXm2r6q2p&#10;ag7lsxqcID6ev1q6cU5e9sTNtR03Krh7iRmdvmY5Ymr9rFbIfnBY+5rND471KsuO9E58zuEIckbH&#10;TRXkCwhBGo7DA/nU6XsfA4Fcus5HepVnPrUlnVLfQheWqjqmqolk4jbrxmslZicc1nanc+Y4hXoO&#10;DVRSvdibaWhXjYyOXPUnNWoz7VXiQ496sxx4FXCEpuyJnOMFeTLMcmPwqZXYnPSoY1qdVFetQwqh&#10;q9WeTXxbnotESq5xUgf3qNRjtTlIFazoU57oyjiKkNmTgjHXmlHT3qHcKcGIrlngf5WdMMd/Oh/O&#10;CM8GoniU8Cn+ZTofJdyJpjEMcHYWz+Vcs8PUhujrhiKU9mVXh4qIw+1XZWtAflnmf6RAfzNV2kX+&#10;FWx6saysbFUxj0pmxAOQatFhioZMEcVLQyrMIHXYyKc9iK3YBiGNR0CgVz7rudeB1roYQQoqGNDb&#10;z/j0lH+ya6PT1X+zbXn/AJYp/IVzt1zbSDH8JrbsS4sLYD/nkvf2FZ1Nho82DVIDVYN6U8MfWtAL&#10;AIHvTs1XDcj+tSBh65oESj2p4GepqIGnhqYEvDIR7V5hKpSZ1PVWIr0wP6V51qahdUugOB5rfzpA&#10;VDWrpzZtsehNZVaGmN8rr7ikMtTjpVdlqzL90VEBmkgPXtBlZtBsCDz5Cfyq3qlt9v0m6tHXcJYm&#10;UfXHH61S0VQui2WD8ohX+VayycDb3Fbks+eJEaORkYEMpIIPY001v+MrI2Xii8UrtWVvNX3Dc/zz&#10;WBWLGhKKWlFAz2n4YXrXXhTyC5Y28zLgnoDyP5muyYMWAyMd+a8m+FNzcLqt3bKjGCSMOzAcKwPG&#10;frk162mAOTzWsdiWSpkKMmgkL3qneX8NlA0spOB0UDJPsKZDeJdQrLGGAP8ACw2kUxF0yEH0FQyb&#10;Zv3ZQOrcFWGQfwqlJexDzS0zL5Z+YHjFUzr5hXMaoyDrzyfxqoxb2FJpbklz4C0DUdzT2ggc/wAV&#10;u2w/l0/SuX1L4Sygl9L1FHHaOddp/MZ/lXWWviaC4ODDKp9Qu4VoPrcEScFnPsMUnHuC7o8R1bwp&#10;rWigte2Mixg48xfmX8xWNyPUV7VrOqvqNv5XlqiKd3JzmvKfEkysVkQKrbiDgdazlGxauVbfUbu1&#10;IMVw6+2a17bxbdx4E6LIO56GuVW5P8QB+lTB1KK5OAxIGfaoGdzB4lsJ8CTfEffpWlHNb3X+qlRu&#10;Oxrzcexp6SSRnKOQfY0CPSPIXPIoFuucYrh7fXb+AY84svo3Nalt4r6CeID3WgZ0otl9qZPalwnl&#10;hQQcnjGarW2t2U4GJwG9Gq+k8TYIkBz6Gs5wUlZgXLLfCUZWKsO+OlLJaSFZPKk+8PmxxmnKVWHd&#10;nORwBVYyMsm4sQfY04xSVkUnYoxW00F0DuJVuMVqXN1aWpJlkjR8ZPqaz52kdiRM+fbArn9TuHEg&#10;Eis7AcFjnNMmc2dHbX1ley72dt+cLERnBHQit+1kWGIK+AfUmvPtKuG+0rtQA5/Su2tmQxhmALY6&#10;ntRdtWbuRT7moLncpXJUdiMVGHAdWLMSOvvUBfAGKeGBUYIyKDUvfaUGCqsD3pxlZoyNoyfUVTEg&#10;B21Krj1NK4WLUUsgmRRtA7k1oK2Rk9ayBGJWADbSCDmr5kCg+1Jgizu4pGIxyaqrMHRXGcEZ5GD+&#10;VAlKnJ/CpGWNx9cioWK4zUbT/wCyajVyznn8KaAk5bntTlO0EkmkUrjPaqOr6ilhZtKwBY8KPVvS&#10;mmKxkeJdUwPsUTYyMyew7D+tcg8vzcdKLy6aWRmZizudzE1VL1b7ElkS4pRL6mqfmdaPM/OkM0Fm&#10;96kWYetZgcinrK1AGus+1S5PTp9az0kEkpbtnNMuJSIgg6nrRCu1RnvVIRsWNnJdk7MCMfeduAo9&#10;6jbTY4ZnWzunUZ6jlT+B/piq8RIBIJGeuO9XYjgD1rRSa1RMknoxFN3Ef3sSzL/eiOD/AN8n/Gp4&#10;rqB32btr/wBxxtP5GpIz3NSOkcqbJEV19GGa6qeLnHfU5amDhLbQcKXNQi0WP/UyvH/sk7l/I/0p&#10;czp96MOPVD/Q12QxcJb6HHPB1I7ak+eKTBPIqJJ43baG+b+6eD+VS5GK6ozTWhyODW4xmYGomkP1&#10;qVjg1GRn2p81xctiIyjoeKb5nvTmTJqF4x9KxqUYT3RvTrThsyTzBjk1C78deKjYstRPIelck8Gv&#10;ss7IYx/aRKvM0fu1dNDjbiuTtTuvYhnPzV0kM67a8+tTlTlaR20qimronuVzbyf7pq5aMn2OD5v+&#10;Wa/yrOuJ1+yyEH+E1ZtJCbODj/lmv8qxkm0aX6HnoJ78VItFFWBIOKUUUUAPVhnHepBRRQIeMKua&#10;4HW126xdD/bz+fNFFDAoVc044mYeooopAaEgyhqEcUUUhnp/hy43aBaHrhdv5GtlZm7d6KK2Je5x&#10;PxH04TWUGpKMPE3lMfVT0/X+dea0UVEtxoKM0UVIzs/C/jl/D2n/AGNNOgkUsWaQMVdifU816jYa&#10;8l9p8VyYHh8xQwRiD/KiitICHPqCOwO3J7cdKYL1nzgYxRRWtxDWndv4sVXZUzuZQT64oooAXeMe&#10;lRli3SiigBrxoyHfk5rlvFujxyaMZIcB43Dc+neiik9gPNm3IxU9RSiVgu3gj0IoornKDzTnPI+h&#10;qRbp1HXd9RRRQBKt4h4YEVOrKwyKKKAHDjpU8d1cQ4KSMPxoooEalp4nvLfAfEijs1a9t4mt52Hm&#10;I8Z/2eaKKQzTju4p13RnI+mKp3lmtydxOMDgUUUbiauMs7FY2DZO4dMV0lqCYQx7UUUraCirFoEH&#10;AxTidvSiigoejADPU96l3E4IOM0UUDJ4XAPzEnFWhLnmiil0AN4zijd+VFFSMb5nXFNA2nPc9aKK&#10;YBJNtx+Qrgtc1Y3lySpPkp8sYPf3/GiiqigkYRck5Peg5PQkUUUCAL704Lz70UUAB+tPixnPpzRR&#10;QAwSGS4LdcHHNXEyTzRRVoktx/pVpCKKKoCwhNTKaKKaAdk04MaKKYhrokow6Kw9xmoWt3T/AFEz&#10;L/sv8w/x/WiiqjOUX7rJlCMlaSIJbya0G+6hAjHWSNsj8uv86nhnjnjEkbblPIOKKK9HDVpz0keb&#10;iaMIK8RxwahcCiiuu5yJFdx71WkWiipZa3G2XF8h9OavLOw70UV5ON+M9TCfALJckwuPUGtm0nYW&#10;cA5/1a/yoorl+ybS+I//2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DAGw9VzgAAALECAAAZAAAAZHJzL19yZWxzL2Uyb0RvYy54bWwucmVsc72S&#10;TYvCMBCG74L/Iczdpq0ii5h6WRa8Lu4PGJJpGm0+SKKs/96AsCiIe+txZnif9znMdvdrR3ahmIx3&#10;ApqqBkZOemWcFvBz+Fp8AEsZncLROxJwpQS7bj7bftOIuYTSYEJiheKSgCHnsOE8yYEspsoHcuXS&#10;+2gxlzFqHlCeUBNv63rN4yMDuicm2ysBca9WwA7XUJr/Z/u+N5I+vTxbcvlFBTe2dBcgRk1ZgCVl&#10;8L5cVcdAGvhrieU0Esu3Eu00Eu1biWYaieZPgj89WncDUEsDBBQAAAAIAIdO4kDZOTeHEwEAAEgC&#10;AAATAAAAW0NvbnRlbnRfVHlwZXNdLnhtbJWSTU7DMBCF90jcwfIWxQ5dIISadEEKEguoUDmAZU8S&#10;l/hHHhPa2+OkrQRVWomlPfO9eW/s+WJrOtJDQO1sQW9ZTglY6ZS2TUE/1k/ZPSUYhVWicxYKugOk&#10;i/L6ar7eeUCSaIsFbWP0D5yjbMEIZM6DTZXaBSNiOoaGeyE/RQN8lud3XDobwcYsDhq0nFdQi68u&#10;kuU2Xe+dbDw0lDzuG4dZBdVmEBgLfJJ5WT1PImzjGzqNBOjwhBHed1qKmBbCe6tOwmSHICyRYw+2&#10;2uNNSntmwlD5m+P3gAP3ll4gaAVkJUJ8FSal5SogV+7bBujZZZHBpcHM1bWWwKqAVcLeoT+6OqcO&#10;M1c5+V/x5Ugdtfn4D8ofUEsBAhQAFAAAAAgAh07iQNk5N4cTAQAASAIAABMAAAAAAAAAAQAgAAAA&#10;LBcCAFtDb250ZW50X1R5cGVzXS54bWxQSwECFAAKAAAAAACHTuJAAAAAAAAAAAAAAAAABgAAAAAA&#10;AAAAABAAAADhFAIAX3JlbHMvUEsBAhQAFAAAAAgAh07iQIoUZjzRAAAAlAEAAAsAAAAAAAAAAQAg&#10;AAAABRUCAF9yZWxzLy5yZWxzUEsBAhQACgAAAAAAh07iQAAAAAAAAAAAAAAAAAQAAAAAAAAAAAAQ&#10;AAAAAAAAAGRycy9QSwECFAAKAAAAAACHTuJAAAAAAAAAAAAAAAAACgAAAAAAAAAAABAAAAD/FQIA&#10;ZHJzL19yZWxzL1BLAQIUABQAAAAIAIdO4kDAGw9VzgAAALECAAAZAAAAAAAAAAEAIAAAACcWAgBk&#10;cnMvX3JlbHMvZTJvRG9jLnhtbC5yZWxzUEsBAhQAFAAAAAgAh07iQOWo5KHXAAAABQEAAA8AAAAA&#10;AAAAAQAgAAAAIgAAAGRycy9kb3ducmV2LnhtbFBLAQIUABQAAAAIAIdO4kDdCpOu/QIAAAUMAAAO&#10;AAAAAAAAAAEAIAAAACYBAABkcnMvZTJvRG9jLnhtbFBLAQIUAAoAAAAAAIdO4kAAAAAAAAAAAAAA&#10;AAAKAAAAAAAAAAAAEAAAAE8EAABkcnMvbWVkaWEvUEsBAhQAFAAAAAgAh07iQBP/F3aVlwAAi5cA&#10;ABUAAAAAAAAAAQAgAAAAdwQAAGRycy9tZWRpYS9pbWFnZTEuanBlZ1BLAQIUABQAAAAIAIdO4kCm&#10;d++a5GkAAN9pAAAVAAAAAAAAAAEAIAAAAD+cAABkcnMvbWVkaWEvaW1hZ2UyLmpwZWdQSwECFAAU&#10;AAAACACHTuJAaUSfixCDAAAGgwAAFQAAAAAAAAABACAAAABWBgEAZHJzL21lZGlhL2ltYWdlMy5q&#10;cGVnUEsBAhQAFAAAAAgAh07iQJ+/wSoViwAAC4sAABUAAAAAAAAAAQAgAAAAmYkBAGRycy9tZWRp&#10;YS9pbWFnZTQuanBlZ1BLBQYAAAAADQANABwDAABwGAIAAAA=&#10;">
                <o:lock v:ext="edit" aspectratio="f"/>
                <v:shape id="图片 7" o:spid="_x0000_s1026" o:spt="75" alt="IMG_0008" type="#_x0000_t75" style="position:absolute;left:3738;top:22189;height:2801;width:4201;" filled="f" o:preferrelative="t" stroked="f" coordsize="21600,21600" o:gfxdata="UEsDBAoAAAAAAIdO4kAAAAAAAAAAAAAAAAAEAAAAZHJzL1BLAwQUAAAACACHTuJALYKpzr4AAADc&#10;AAAADwAAAGRycy9kb3ducmV2LnhtbEWPQWsCMRCF74X+hzCF3mqiiOhqFKwUhPZQtYcex824WdxM&#10;lk109d93DkJvM7w3732zWN1Co67UpTqyheHAgCIuo6u5svBz+HibgkoZ2WETmSzcKcFq+fy0wMLF&#10;nnd03edKSQinAi34nNtC61R6CpgGsSUW7RS7gFnWrtKuw17CQ6NHxkx0wJqlwWNL757K8/4SLJyj&#10;H39uRn7MG/N7382+p/1x/WXt68vQzEFluuV/8+N66wR/JrTyjEygl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YKpzr4A&#10;AADcAAAADwAAAAAAAAABACAAAAAiAAAAZHJzL2Rvd25yZXYueG1sUEsBAhQAFAAAAAgAh07iQDMv&#10;BZ47AAAAOQAAABAAAAAAAAAAAQAgAAAADQEAAGRycy9zaGFwZXhtbC54bWxQSwUGAAAAAAYABgBb&#10;AQAAtwMAAAAA&#10;">
                  <v:fill on="f" focussize="0,0"/>
                  <v:stroke on="f"/>
                  <v:imagedata r:id="rId146" o:title=""/>
                  <o:lock v:ext="edit" aspectratio="t"/>
                </v:shape>
                <v:shape id="图片 8" o:spid="_x0000_s1026" o:spt="75" alt="IMG_0283" type="#_x0000_t75" style="position:absolute;left:8067;top:22203;height:2768;width:4150;" filled="f" o:preferrelative="t" stroked="f" coordsize="21600,21600" o:gfxdata="UEsDBAoAAAAAAIdO4kAAAAAAAAAAAAAAAAAEAAAAZHJzL1BLAwQUAAAACACHTuJAw4ROjr0AAADc&#10;AAAADwAAAGRycy9kb3ducmV2LnhtbEVPTWvCQBC9C/0PyxR6kbqrBzGpqwdRaaEHjW3O0+yYhGZn&#10;Q3aN+u9dQfA2j/c58+XFNqKnzteONYxHCgRx4UzNpYafw+Z9BsIHZIONY9JwJQ/LxctgjqlxZ95T&#10;n4VSxBD2KWqoQmhTKX1RkUU/ci1x5I6usxgi7EppOjzHcNvIiVJTabHm2FBhS6uKiv/sZDVsv07D&#10;XXZcXXfryV++zRP/a8y31m+vY/UBItAlPMUP96eJ85ME7s/EC+Ti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hE6OvQAA&#10;ANwAAAAPAAAAAAAAAAEAIAAAACIAAABkcnMvZG93bnJldi54bWxQSwECFAAUAAAACACHTuJAMy8F&#10;njsAAAA5AAAAEAAAAAAAAAABACAAAAAMAQAAZHJzL3NoYXBleG1sLnhtbFBLBQYAAAAABgAGAFsB&#10;AAC2AwAAAAA=&#10;">
                  <v:fill on="f" focussize="0,0"/>
                  <v:stroke on="f"/>
                  <v:imagedata r:id="rId147" o:title=""/>
                  <o:lock v:ext="edit" aspectratio="t"/>
                </v:shape>
                <v:shape id="图片 9" o:spid="_x0000_s1026" o:spt="75" alt="IMG_0302" type="#_x0000_t75" style="position:absolute;left:3702;top:25130;height:2357;width:4212;" filled="f" o:preferrelative="t" stroked="f" coordsize="21600,21600" o:gfxdata="UEsDBAoAAAAAAIdO4kAAAAAAAAAAAAAAAAAEAAAAZHJzL1BLAwQUAAAACACHTuJAaNEC2LsAAADc&#10;AAAADwAAAGRycy9kb3ducmV2LnhtbEWPQYvCMBSE7wv+h/AEb2vqKiLVtAdB2NuyVVFvj+bZVpuX&#10;0sTo/vuNIHgcZuYbZpU/TCsC9a6xrGAyTkAQl1Y3XCnYbTefCxDOI2tsLZOCP3KQZ4OPFaba3vmX&#10;QuErESHsUlRQe9+lUrqyJoNubDvi6J1tb9BH2VdS93iPcNPKrySZS4MNx4UaO1rXVF6Lm1Ewu+yn&#10;xU9T3cw6HNieDuF4LIJSo+EkWYLw9PDv8Kv9rRVEIjzPxCMgs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NEC2LsAAADc&#10;AAAADwAAAAAAAAABACAAAAAiAAAAZHJzL2Rvd25yZXYueG1sUEsBAhQAFAAAAAgAh07iQDMvBZ47&#10;AAAAOQAAABAAAAAAAAAAAQAgAAAACgEAAGRycy9zaGFwZXhtbC54bWxQSwUGAAAAAAYABgBbAQAA&#10;tAMAAAAA&#10;">
                  <v:fill on="f" focussize="0,0"/>
                  <v:stroke on="f"/>
                  <v:imagedata r:id="rId148" o:title=""/>
                  <o:lock v:ext="edit" aspectratio="t"/>
                </v:shape>
                <v:shape id="图片 10" o:spid="_x0000_s1026" o:spt="75" alt="IMG_0284" type="#_x0000_t75" style="position:absolute;left:8067;top:25118;height:2348;width:4151;" filled="f" o:preferrelative="t" stroked="f" coordsize="21600,21600" o:gfxdata="UEsDBAoAAAAAAIdO4kAAAAAAAAAAAAAAAAAEAAAAZHJzL1BLAwQUAAAACACHTuJAfXm4iL4AAADc&#10;AAAADwAAAGRycy9kb3ducmV2LnhtbEWPQWvCQBSE70L/w/IKveluAi2SunposSSgBzU/4JF9bkKz&#10;b0N21fjvu4LQ4zAz3zCrzeR6caUxdJ41ZAsFgrjxpmOroT5t50sQISIb7D2ThjsF2KxfZissjL/x&#10;ga7HaEWCcChQQxvjUEgZmpYchoUfiJN39qPDmORopRnxluCul7lSH9Jhx2mhxYG+Wmp+jxen4bu6&#10;b/PzfneYfqoLVXZZ1u+21PrtNVOfICJN8T/8bJdGQ64yeJxJR0C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Xm4iL4A&#10;AADcAAAADwAAAAAAAAABACAAAAAiAAAAZHJzL2Rvd25yZXYueG1sUEsBAhQAFAAAAAgAh07iQDMv&#10;BZ47AAAAOQAAABAAAAAAAAAAAQAgAAAADQEAAGRycy9zaGFwZXhtbC54bWxQSwUGAAAAAAYABgBb&#10;AQAAtwMAAAAA&#10;">
                  <v:fill on="f" focussize="0,0"/>
                  <v:stroke on="f"/>
                  <v:imagedata r:id="rId149" o:title=""/>
                  <o:lock v:ext="edit" aspectratio="t"/>
                </v:shape>
                <w10:wrap type="none"/>
                <w10:anchorlock/>
              </v:group>
            </w:pict>
          </mc:Fallback>
        </mc:AlternateContent>
      </w:r>
    </w:p>
    <w:p>
      <w:pPr>
        <w:jc w:val="center"/>
        <w:rPr>
          <w:b/>
          <w:bCs/>
          <w:sz w:val="21"/>
          <w:szCs w:val="21"/>
        </w:rPr>
      </w:pPr>
      <w:r>
        <w:rPr>
          <w:b/>
          <w:bCs/>
          <w:sz w:val="21"/>
          <w:szCs w:val="21"/>
        </w:rPr>
        <w:t>建筑学专业实验室</w:t>
      </w:r>
    </w:p>
    <w:p>
      <w:pPr>
        <w:ind w:firstLine="480" w:firstLineChars="200"/>
      </w:pPr>
      <w:r>
        <w:t>教师队伍建设：建筑学专业有教师10人，均为硕士学位。在职称结构上，高级职称1人，占10%；副高职称4人，占40%；中级职称5人，占50%。现有教师年龄、职称、学历结构见下表。</w:t>
      </w:r>
    </w:p>
    <w:p>
      <w:pPr>
        <w:jc w:val="center"/>
        <w:rPr>
          <w:b/>
          <w:bCs/>
          <w:sz w:val="21"/>
          <w:szCs w:val="21"/>
        </w:rPr>
      </w:pPr>
      <w:r>
        <w:rPr>
          <w:b/>
          <w:bCs/>
          <w:sz w:val="21"/>
          <w:szCs w:val="21"/>
        </w:rPr>
        <w:t>建筑学专业教师队伍结构表</w:t>
      </w:r>
    </w:p>
    <w:tbl>
      <w:tblPr>
        <w:tblStyle w:val="17"/>
        <w:tblW w:w="4999" w:type="pct"/>
        <w:jc w:val="right"/>
        <w:tblLayout w:type="autofit"/>
        <w:tblCellMar>
          <w:top w:w="0" w:type="dxa"/>
          <w:left w:w="108" w:type="dxa"/>
          <w:bottom w:w="0" w:type="dxa"/>
          <w:right w:w="108" w:type="dxa"/>
        </w:tblCellMar>
      </w:tblPr>
      <w:tblGrid>
        <w:gridCol w:w="1068"/>
        <w:gridCol w:w="846"/>
        <w:gridCol w:w="1069"/>
        <w:gridCol w:w="1066"/>
        <w:gridCol w:w="848"/>
        <w:gridCol w:w="1071"/>
        <w:gridCol w:w="846"/>
        <w:gridCol w:w="846"/>
        <w:gridCol w:w="1399"/>
      </w:tblGrid>
      <w:tr>
        <w:tblPrEx>
          <w:tblCellMar>
            <w:top w:w="0" w:type="dxa"/>
            <w:left w:w="108" w:type="dxa"/>
            <w:bottom w:w="0" w:type="dxa"/>
            <w:right w:w="108" w:type="dxa"/>
          </w:tblCellMar>
        </w:tblPrEx>
        <w:trPr>
          <w:trHeight w:val="408" w:hRule="atLeast"/>
          <w:jc w:val="right"/>
        </w:trPr>
        <w:tc>
          <w:tcPr>
            <w:tcW w:w="1646" w:type="pct"/>
            <w:gridSpan w:val="3"/>
            <w:tcBorders>
              <w:top w:val="single" w:color="auto" w:sz="4" w:space="0"/>
              <w:left w:val="single" w:color="auto" w:sz="4" w:space="0"/>
              <w:bottom w:val="single" w:color="auto" w:sz="4" w:space="0"/>
              <w:right w:val="single" w:color="auto" w:sz="4" w:space="0"/>
            </w:tcBorders>
            <w:vAlign w:val="center"/>
          </w:tcPr>
          <w:p>
            <w:pPr>
              <w:jc w:val="center"/>
              <w:rPr>
                <w:b/>
                <w:bCs/>
                <w:sz w:val="21"/>
                <w:szCs w:val="21"/>
              </w:rPr>
            </w:pPr>
            <w:r>
              <w:rPr>
                <w:b/>
                <w:bCs/>
                <w:sz w:val="21"/>
                <w:szCs w:val="21"/>
              </w:rPr>
              <w:t>年龄结构</w:t>
            </w:r>
          </w:p>
        </w:tc>
        <w:tc>
          <w:tcPr>
            <w:tcW w:w="1647" w:type="pct"/>
            <w:gridSpan w:val="3"/>
            <w:tcBorders>
              <w:top w:val="single" w:color="auto" w:sz="4" w:space="0"/>
              <w:left w:val="nil"/>
              <w:bottom w:val="single" w:color="auto" w:sz="4" w:space="0"/>
              <w:right w:val="single" w:color="auto" w:sz="4" w:space="0"/>
            </w:tcBorders>
            <w:vAlign w:val="center"/>
          </w:tcPr>
          <w:p>
            <w:pPr>
              <w:jc w:val="center"/>
              <w:rPr>
                <w:b/>
                <w:bCs/>
                <w:sz w:val="21"/>
                <w:szCs w:val="21"/>
              </w:rPr>
            </w:pPr>
            <w:r>
              <w:rPr>
                <w:b/>
                <w:bCs/>
                <w:sz w:val="21"/>
                <w:szCs w:val="21"/>
              </w:rPr>
              <w:t>职称结构</w:t>
            </w:r>
          </w:p>
        </w:tc>
        <w:tc>
          <w:tcPr>
            <w:tcW w:w="1705" w:type="pct"/>
            <w:gridSpan w:val="3"/>
            <w:tcBorders>
              <w:top w:val="single" w:color="auto" w:sz="4" w:space="0"/>
              <w:left w:val="nil"/>
              <w:bottom w:val="single" w:color="auto" w:sz="4" w:space="0"/>
              <w:right w:val="single" w:color="auto" w:sz="4" w:space="0"/>
            </w:tcBorders>
            <w:vAlign w:val="center"/>
          </w:tcPr>
          <w:p>
            <w:pPr>
              <w:jc w:val="center"/>
              <w:rPr>
                <w:b/>
                <w:bCs/>
                <w:sz w:val="21"/>
                <w:szCs w:val="21"/>
              </w:rPr>
            </w:pPr>
            <w:r>
              <w:rPr>
                <w:b/>
                <w:bCs/>
                <w:sz w:val="21"/>
                <w:szCs w:val="21"/>
              </w:rPr>
              <w:t>学历结构</w:t>
            </w:r>
          </w:p>
        </w:tc>
      </w:tr>
      <w:tr>
        <w:tblPrEx>
          <w:tblCellMar>
            <w:top w:w="0" w:type="dxa"/>
            <w:left w:w="108" w:type="dxa"/>
            <w:bottom w:w="0" w:type="dxa"/>
            <w:right w:w="108" w:type="dxa"/>
          </w:tblCellMar>
        </w:tblPrEx>
        <w:trPr>
          <w:trHeight w:val="408" w:hRule="atLeast"/>
          <w:jc w:val="right"/>
        </w:trPr>
        <w:tc>
          <w:tcPr>
            <w:tcW w:w="589" w:type="pct"/>
            <w:tcBorders>
              <w:top w:val="nil"/>
              <w:left w:val="single" w:color="auto" w:sz="4" w:space="0"/>
              <w:bottom w:val="single" w:color="auto" w:sz="4" w:space="0"/>
              <w:right w:val="single" w:color="auto" w:sz="4" w:space="0"/>
            </w:tcBorders>
            <w:vAlign w:val="center"/>
          </w:tcPr>
          <w:p>
            <w:pPr>
              <w:jc w:val="center"/>
              <w:rPr>
                <w:b/>
                <w:bCs/>
                <w:sz w:val="21"/>
                <w:szCs w:val="21"/>
              </w:rPr>
            </w:pPr>
            <w:r>
              <w:rPr>
                <w:b/>
                <w:bCs/>
                <w:sz w:val="21"/>
                <w:szCs w:val="21"/>
              </w:rPr>
              <w:t>年龄</w:t>
            </w:r>
          </w:p>
        </w:tc>
        <w:tc>
          <w:tcPr>
            <w:tcW w:w="467" w:type="pct"/>
            <w:tcBorders>
              <w:top w:val="nil"/>
              <w:left w:val="nil"/>
              <w:bottom w:val="single" w:color="auto" w:sz="4" w:space="0"/>
              <w:right w:val="single" w:color="auto" w:sz="4" w:space="0"/>
            </w:tcBorders>
            <w:vAlign w:val="center"/>
          </w:tcPr>
          <w:p>
            <w:pPr>
              <w:jc w:val="center"/>
              <w:rPr>
                <w:b/>
                <w:bCs/>
                <w:sz w:val="21"/>
                <w:szCs w:val="21"/>
              </w:rPr>
            </w:pPr>
            <w:r>
              <w:rPr>
                <w:b/>
                <w:bCs/>
                <w:sz w:val="21"/>
                <w:szCs w:val="21"/>
              </w:rPr>
              <w:t>人数</w:t>
            </w:r>
          </w:p>
        </w:tc>
        <w:tc>
          <w:tcPr>
            <w:tcW w:w="589" w:type="pct"/>
            <w:tcBorders>
              <w:top w:val="nil"/>
              <w:left w:val="nil"/>
              <w:bottom w:val="single" w:color="auto" w:sz="4" w:space="0"/>
              <w:right w:val="single" w:color="auto" w:sz="4" w:space="0"/>
            </w:tcBorders>
            <w:vAlign w:val="center"/>
          </w:tcPr>
          <w:p>
            <w:pPr>
              <w:jc w:val="center"/>
              <w:rPr>
                <w:b/>
                <w:bCs/>
                <w:sz w:val="21"/>
                <w:szCs w:val="21"/>
              </w:rPr>
            </w:pPr>
            <w:r>
              <w:rPr>
                <w:b/>
                <w:bCs/>
                <w:sz w:val="21"/>
                <w:szCs w:val="21"/>
              </w:rPr>
              <w:t>比例％</w:t>
            </w:r>
          </w:p>
        </w:tc>
        <w:tc>
          <w:tcPr>
            <w:tcW w:w="588" w:type="pct"/>
            <w:tcBorders>
              <w:top w:val="nil"/>
              <w:left w:val="nil"/>
              <w:bottom w:val="single" w:color="auto" w:sz="4" w:space="0"/>
              <w:right w:val="single" w:color="auto" w:sz="4" w:space="0"/>
            </w:tcBorders>
            <w:vAlign w:val="center"/>
          </w:tcPr>
          <w:p>
            <w:pPr>
              <w:jc w:val="center"/>
              <w:rPr>
                <w:b/>
                <w:bCs/>
                <w:sz w:val="21"/>
                <w:szCs w:val="21"/>
              </w:rPr>
            </w:pPr>
            <w:r>
              <w:rPr>
                <w:b/>
                <w:bCs/>
                <w:sz w:val="21"/>
                <w:szCs w:val="21"/>
              </w:rPr>
              <w:t>职称</w:t>
            </w:r>
          </w:p>
        </w:tc>
        <w:tc>
          <w:tcPr>
            <w:tcW w:w="468" w:type="pct"/>
            <w:tcBorders>
              <w:top w:val="nil"/>
              <w:left w:val="nil"/>
              <w:bottom w:val="single" w:color="auto" w:sz="4" w:space="0"/>
              <w:right w:val="single" w:color="auto" w:sz="4" w:space="0"/>
            </w:tcBorders>
            <w:vAlign w:val="center"/>
          </w:tcPr>
          <w:p>
            <w:pPr>
              <w:jc w:val="center"/>
              <w:rPr>
                <w:b/>
                <w:bCs/>
                <w:sz w:val="21"/>
                <w:szCs w:val="21"/>
              </w:rPr>
            </w:pPr>
            <w:r>
              <w:rPr>
                <w:b/>
                <w:bCs/>
                <w:sz w:val="21"/>
                <w:szCs w:val="21"/>
              </w:rPr>
              <w:t>人数</w:t>
            </w:r>
          </w:p>
        </w:tc>
        <w:tc>
          <w:tcPr>
            <w:tcW w:w="589" w:type="pct"/>
            <w:tcBorders>
              <w:top w:val="nil"/>
              <w:left w:val="nil"/>
              <w:bottom w:val="single" w:color="auto" w:sz="4" w:space="0"/>
              <w:right w:val="single" w:color="auto" w:sz="4" w:space="0"/>
            </w:tcBorders>
            <w:vAlign w:val="center"/>
          </w:tcPr>
          <w:p>
            <w:pPr>
              <w:jc w:val="center"/>
              <w:rPr>
                <w:b/>
                <w:bCs/>
                <w:sz w:val="21"/>
                <w:szCs w:val="21"/>
              </w:rPr>
            </w:pPr>
            <w:r>
              <w:rPr>
                <w:b/>
                <w:bCs/>
                <w:sz w:val="21"/>
                <w:szCs w:val="21"/>
              </w:rPr>
              <w:t>比例％</w:t>
            </w:r>
          </w:p>
        </w:tc>
        <w:tc>
          <w:tcPr>
            <w:tcW w:w="467" w:type="pct"/>
            <w:tcBorders>
              <w:top w:val="nil"/>
              <w:left w:val="nil"/>
              <w:bottom w:val="single" w:color="auto" w:sz="4" w:space="0"/>
              <w:right w:val="single" w:color="auto" w:sz="4" w:space="0"/>
            </w:tcBorders>
            <w:vAlign w:val="center"/>
          </w:tcPr>
          <w:p>
            <w:pPr>
              <w:jc w:val="center"/>
              <w:rPr>
                <w:b/>
                <w:bCs/>
                <w:sz w:val="21"/>
                <w:szCs w:val="21"/>
              </w:rPr>
            </w:pPr>
            <w:r>
              <w:rPr>
                <w:b/>
                <w:bCs/>
                <w:sz w:val="21"/>
                <w:szCs w:val="21"/>
              </w:rPr>
              <w:t>学位</w:t>
            </w:r>
          </w:p>
        </w:tc>
        <w:tc>
          <w:tcPr>
            <w:tcW w:w="467" w:type="pct"/>
            <w:tcBorders>
              <w:top w:val="nil"/>
              <w:left w:val="nil"/>
              <w:bottom w:val="single" w:color="auto" w:sz="4" w:space="0"/>
              <w:right w:val="single" w:color="auto" w:sz="4" w:space="0"/>
            </w:tcBorders>
            <w:vAlign w:val="center"/>
          </w:tcPr>
          <w:p>
            <w:pPr>
              <w:jc w:val="center"/>
              <w:rPr>
                <w:b/>
                <w:bCs/>
                <w:sz w:val="21"/>
                <w:szCs w:val="21"/>
              </w:rPr>
            </w:pPr>
            <w:r>
              <w:rPr>
                <w:b/>
                <w:bCs/>
                <w:sz w:val="21"/>
                <w:szCs w:val="21"/>
              </w:rPr>
              <w:t>人数</w:t>
            </w:r>
          </w:p>
        </w:tc>
        <w:tc>
          <w:tcPr>
            <w:tcW w:w="769" w:type="pct"/>
            <w:tcBorders>
              <w:top w:val="nil"/>
              <w:left w:val="nil"/>
              <w:bottom w:val="single" w:color="auto" w:sz="4" w:space="0"/>
              <w:right w:val="single" w:color="auto" w:sz="4" w:space="0"/>
            </w:tcBorders>
            <w:vAlign w:val="center"/>
          </w:tcPr>
          <w:p>
            <w:pPr>
              <w:jc w:val="center"/>
              <w:rPr>
                <w:b/>
                <w:bCs/>
                <w:sz w:val="21"/>
                <w:szCs w:val="21"/>
              </w:rPr>
            </w:pPr>
            <w:r>
              <w:rPr>
                <w:b/>
                <w:bCs/>
                <w:sz w:val="21"/>
                <w:szCs w:val="21"/>
              </w:rPr>
              <w:t>比例％</w:t>
            </w:r>
          </w:p>
        </w:tc>
      </w:tr>
      <w:tr>
        <w:tblPrEx>
          <w:tblCellMar>
            <w:top w:w="0" w:type="dxa"/>
            <w:left w:w="108" w:type="dxa"/>
            <w:bottom w:w="0" w:type="dxa"/>
            <w:right w:w="108" w:type="dxa"/>
          </w:tblCellMar>
        </w:tblPrEx>
        <w:trPr>
          <w:trHeight w:val="408" w:hRule="atLeast"/>
          <w:jc w:val="right"/>
        </w:trPr>
        <w:tc>
          <w:tcPr>
            <w:tcW w:w="589" w:type="pct"/>
            <w:tcBorders>
              <w:top w:val="nil"/>
              <w:left w:val="single" w:color="auto" w:sz="4" w:space="0"/>
              <w:bottom w:val="single" w:color="auto" w:sz="4" w:space="0"/>
              <w:right w:val="single" w:color="auto" w:sz="4" w:space="0"/>
            </w:tcBorders>
            <w:vAlign w:val="center"/>
          </w:tcPr>
          <w:p>
            <w:pPr>
              <w:jc w:val="center"/>
              <w:rPr>
                <w:sz w:val="21"/>
                <w:szCs w:val="21"/>
              </w:rPr>
            </w:pPr>
            <w:r>
              <w:rPr>
                <w:sz w:val="21"/>
                <w:szCs w:val="21"/>
              </w:rPr>
              <w:t>50～60</w:t>
            </w:r>
          </w:p>
        </w:tc>
        <w:tc>
          <w:tcPr>
            <w:tcW w:w="467" w:type="pct"/>
            <w:tcBorders>
              <w:top w:val="nil"/>
              <w:left w:val="nil"/>
              <w:bottom w:val="single" w:color="auto" w:sz="4" w:space="0"/>
              <w:right w:val="single" w:color="auto" w:sz="4" w:space="0"/>
            </w:tcBorders>
            <w:vAlign w:val="center"/>
          </w:tcPr>
          <w:p>
            <w:pPr>
              <w:jc w:val="center"/>
              <w:rPr>
                <w:sz w:val="21"/>
                <w:szCs w:val="21"/>
              </w:rPr>
            </w:pPr>
            <w:r>
              <w:rPr>
                <w:sz w:val="21"/>
                <w:szCs w:val="21"/>
              </w:rPr>
              <w:t>4</w:t>
            </w:r>
          </w:p>
        </w:tc>
        <w:tc>
          <w:tcPr>
            <w:tcW w:w="589" w:type="pct"/>
            <w:tcBorders>
              <w:top w:val="nil"/>
              <w:left w:val="nil"/>
              <w:bottom w:val="single" w:color="auto" w:sz="4" w:space="0"/>
              <w:right w:val="single" w:color="auto" w:sz="4" w:space="0"/>
            </w:tcBorders>
            <w:vAlign w:val="center"/>
          </w:tcPr>
          <w:p>
            <w:pPr>
              <w:jc w:val="center"/>
              <w:rPr>
                <w:sz w:val="21"/>
                <w:szCs w:val="21"/>
              </w:rPr>
            </w:pPr>
            <w:r>
              <w:rPr>
                <w:sz w:val="21"/>
                <w:szCs w:val="21"/>
              </w:rPr>
              <w:t>40</w:t>
            </w:r>
          </w:p>
        </w:tc>
        <w:tc>
          <w:tcPr>
            <w:tcW w:w="588" w:type="pct"/>
            <w:tcBorders>
              <w:top w:val="nil"/>
              <w:left w:val="nil"/>
              <w:bottom w:val="single" w:color="auto" w:sz="4" w:space="0"/>
              <w:right w:val="single" w:color="auto" w:sz="4" w:space="0"/>
            </w:tcBorders>
            <w:vAlign w:val="center"/>
          </w:tcPr>
          <w:p>
            <w:pPr>
              <w:jc w:val="center"/>
              <w:rPr>
                <w:sz w:val="21"/>
                <w:szCs w:val="21"/>
              </w:rPr>
            </w:pPr>
            <w:r>
              <w:rPr>
                <w:sz w:val="21"/>
                <w:szCs w:val="21"/>
              </w:rPr>
              <w:t>教授</w:t>
            </w:r>
          </w:p>
        </w:tc>
        <w:tc>
          <w:tcPr>
            <w:tcW w:w="468" w:type="pct"/>
            <w:tcBorders>
              <w:top w:val="nil"/>
              <w:left w:val="nil"/>
              <w:bottom w:val="single" w:color="auto" w:sz="4" w:space="0"/>
              <w:right w:val="single" w:color="auto" w:sz="4" w:space="0"/>
            </w:tcBorders>
            <w:vAlign w:val="center"/>
          </w:tcPr>
          <w:p>
            <w:pPr>
              <w:jc w:val="center"/>
              <w:rPr>
                <w:sz w:val="21"/>
                <w:szCs w:val="21"/>
              </w:rPr>
            </w:pPr>
            <w:r>
              <w:rPr>
                <w:sz w:val="21"/>
                <w:szCs w:val="21"/>
              </w:rPr>
              <w:t>1</w:t>
            </w:r>
          </w:p>
        </w:tc>
        <w:tc>
          <w:tcPr>
            <w:tcW w:w="589" w:type="pct"/>
            <w:tcBorders>
              <w:top w:val="nil"/>
              <w:left w:val="nil"/>
              <w:bottom w:val="single" w:color="auto" w:sz="4" w:space="0"/>
              <w:right w:val="single" w:color="auto" w:sz="4" w:space="0"/>
            </w:tcBorders>
            <w:vAlign w:val="center"/>
          </w:tcPr>
          <w:p>
            <w:pPr>
              <w:jc w:val="center"/>
              <w:rPr>
                <w:sz w:val="21"/>
                <w:szCs w:val="21"/>
              </w:rPr>
            </w:pPr>
            <w:r>
              <w:rPr>
                <w:sz w:val="21"/>
                <w:szCs w:val="21"/>
              </w:rPr>
              <w:t>10</w:t>
            </w:r>
          </w:p>
        </w:tc>
        <w:tc>
          <w:tcPr>
            <w:tcW w:w="467" w:type="pct"/>
            <w:tcBorders>
              <w:top w:val="nil"/>
              <w:left w:val="nil"/>
              <w:bottom w:val="single" w:color="auto" w:sz="4" w:space="0"/>
              <w:right w:val="single" w:color="auto" w:sz="4" w:space="0"/>
            </w:tcBorders>
            <w:vAlign w:val="center"/>
          </w:tcPr>
          <w:p>
            <w:pPr>
              <w:jc w:val="center"/>
              <w:rPr>
                <w:sz w:val="21"/>
                <w:szCs w:val="21"/>
              </w:rPr>
            </w:pPr>
            <w:r>
              <w:rPr>
                <w:sz w:val="21"/>
                <w:szCs w:val="21"/>
              </w:rPr>
              <w:t>硕士</w:t>
            </w:r>
          </w:p>
        </w:tc>
        <w:tc>
          <w:tcPr>
            <w:tcW w:w="467" w:type="pct"/>
            <w:tcBorders>
              <w:top w:val="nil"/>
              <w:left w:val="nil"/>
              <w:bottom w:val="single" w:color="auto" w:sz="4" w:space="0"/>
              <w:right w:val="single" w:color="auto" w:sz="4" w:space="0"/>
            </w:tcBorders>
            <w:vAlign w:val="center"/>
          </w:tcPr>
          <w:p>
            <w:pPr>
              <w:jc w:val="center"/>
              <w:rPr>
                <w:sz w:val="21"/>
                <w:szCs w:val="21"/>
              </w:rPr>
            </w:pPr>
            <w:r>
              <w:rPr>
                <w:sz w:val="21"/>
                <w:szCs w:val="21"/>
              </w:rPr>
              <w:t>10</w:t>
            </w:r>
          </w:p>
        </w:tc>
        <w:tc>
          <w:tcPr>
            <w:tcW w:w="769" w:type="pct"/>
            <w:tcBorders>
              <w:top w:val="nil"/>
              <w:left w:val="nil"/>
              <w:bottom w:val="single" w:color="auto" w:sz="4" w:space="0"/>
              <w:right w:val="single" w:color="auto" w:sz="4" w:space="0"/>
            </w:tcBorders>
            <w:vAlign w:val="center"/>
          </w:tcPr>
          <w:p>
            <w:pPr>
              <w:jc w:val="center"/>
              <w:rPr>
                <w:sz w:val="21"/>
                <w:szCs w:val="21"/>
              </w:rPr>
            </w:pPr>
            <w:r>
              <w:rPr>
                <w:sz w:val="21"/>
                <w:szCs w:val="21"/>
              </w:rPr>
              <w:t>100</w:t>
            </w:r>
          </w:p>
        </w:tc>
      </w:tr>
      <w:tr>
        <w:tblPrEx>
          <w:tblCellMar>
            <w:top w:w="0" w:type="dxa"/>
            <w:left w:w="108" w:type="dxa"/>
            <w:bottom w:w="0" w:type="dxa"/>
            <w:right w:w="108" w:type="dxa"/>
          </w:tblCellMar>
        </w:tblPrEx>
        <w:trPr>
          <w:trHeight w:val="408" w:hRule="atLeast"/>
          <w:jc w:val="right"/>
        </w:trPr>
        <w:tc>
          <w:tcPr>
            <w:tcW w:w="589" w:type="pct"/>
            <w:tcBorders>
              <w:top w:val="nil"/>
              <w:left w:val="single" w:color="auto" w:sz="4" w:space="0"/>
              <w:bottom w:val="single" w:color="auto" w:sz="4" w:space="0"/>
              <w:right w:val="single" w:color="auto" w:sz="4" w:space="0"/>
            </w:tcBorders>
            <w:vAlign w:val="center"/>
          </w:tcPr>
          <w:p>
            <w:pPr>
              <w:jc w:val="center"/>
              <w:rPr>
                <w:sz w:val="21"/>
                <w:szCs w:val="21"/>
              </w:rPr>
            </w:pPr>
            <w:r>
              <w:rPr>
                <w:sz w:val="21"/>
                <w:szCs w:val="21"/>
              </w:rPr>
              <w:t>40～50</w:t>
            </w:r>
          </w:p>
        </w:tc>
        <w:tc>
          <w:tcPr>
            <w:tcW w:w="467" w:type="pct"/>
            <w:tcBorders>
              <w:top w:val="nil"/>
              <w:left w:val="nil"/>
              <w:bottom w:val="single" w:color="auto" w:sz="4" w:space="0"/>
              <w:right w:val="single" w:color="auto" w:sz="4" w:space="0"/>
            </w:tcBorders>
            <w:vAlign w:val="center"/>
          </w:tcPr>
          <w:p>
            <w:pPr>
              <w:jc w:val="center"/>
              <w:rPr>
                <w:sz w:val="21"/>
                <w:szCs w:val="21"/>
              </w:rPr>
            </w:pPr>
            <w:r>
              <w:rPr>
                <w:sz w:val="21"/>
                <w:szCs w:val="21"/>
              </w:rPr>
              <w:t>2</w:t>
            </w:r>
          </w:p>
        </w:tc>
        <w:tc>
          <w:tcPr>
            <w:tcW w:w="589" w:type="pct"/>
            <w:tcBorders>
              <w:top w:val="nil"/>
              <w:left w:val="nil"/>
              <w:bottom w:val="single" w:color="auto" w:sz="4" w:space="0"/>
              <w:right w:val="single" w:color="auto" w:sz="4" w:space="0"/>
            </w:tcBorders>
            <w:vAlign w:val="center"/>
          </w:tcPr>
          <w:p>
            <w:pPr>
              <w:jc w:val="center"/>
              <w:rPr>
                <w:sz w:val="21"/>
                <w:szCs w:val="21"/>
              </w:rPr>
            </w:pPr>
            <w:r>
              <w:rPr>
                <w:sz w:val="21"/>
                <w:szCs w:val="21"/>
              </w:rPr>
              <w:t>20</w:t>
            </w:r>
          </w:p>
        </w:tc>
        <w:tc>
          <w:tcPr>
            <w:tcW w:w="588" w:type="pct"/>
            <w:tcBorders>
              <w:top w:val="nil"/>
              <w:left w:val="nil"/>
              <w:bottom w:val="single" w:color="auto" w:sz="4" w:space="0"/>
              <w:right w:val="single" w:color="auto" w:sz="4" w:space="0"/>
            </w:tcBorders>
            <w:vAlign w:val="center"/>
          </w:tcPr>
          <w:p>
            <w:pPr>
              <w:jc w:val="center"/>
              <w:rPr>
                <w:sz w:val="21"/>
                <w:szCs w:val="21"/>
              </w:rPr>
            </w:pPr>
            <w:r>
              <w:rPr>
                <w:sz w:val="21"/>
                <w:szCs w:val="21"/>
              </w:rPr>
              <w:t>副教授</w:t>
            </w:r>
          </w:p>
        </w:tc>
        <w:tc>
          <w:tcPr>
            <w:tcW w:w="468" w:type="pct"/>
            <w:tcBorders>
              <w:top w:val="nil"/>
              <w:left w:val="nil"/>
              <w:bottom w:val="single" w:color="auto" w:sz="4" w:space="0"/>
              <w:right w:val="single" w:color="auto" w:sz="4" w:space="0"/>
            </w:tcBorders>
            <w:vAlign w:val="center"/>
          </w:tcPr>
          <w:p>
            <w:pPr>
              <w:jc w:val="center"/>
              <w:rPr>
                <w:sz w:val="21"/>
                <w:szCs w:val="21"/>
              </w:rPr>
            </w:pPr>
            <w:r>
              <w:rPr>
                <w:sz w:val="21"/>
                <w:szCs w:val="21"/>
              </w:rPr>
              <w:t>4</w:t>
            </w:r>
          </w:p>
        </w:tc>
        <w:tc>
          <w:tcPr>
            <w:tcW w:w="589" w:type="pct"/>
            <w:tcBorders>
              <w:top w:val="nil"/>
              <w:left w:val="nil"/>
              <w:bottom w:val="single" w:color="auto" w:sz="4" w:space="0"/>
              <w:right w:val="single" w:color="auto" w:sz="4" w:space="0"/>
            </w:tcBorders>
            <w:vAlign w:val="center"/>
          </w:tcPr>
          <w:p>
            <w:pPr>
              <w:jc w:val="center"/>
              <w:rPr>
                <w:sz w:val="21"/>
                <w:szCs w:val="21"/>
              </w:rPr>
            </w:pPr>
            <w:r>
              <w:rPr>
                <w:sz w:val="21"/>
                <w:szCs w:val="21"/>
              </w:rPr>
              <w:t>40</w:t>
            </w:r>
          </w:p>
        </w:tc>
        <w:tc>
          <w:tcPr>
            <w:tcW w:w="467" w:type="pct"/>
            <w:tcBorders>
              <w:top w:val="nil"/>
              <w:left w:val="nil"/>
              <w:bottom w:val="single" w:color="auto" w:sz="4" w:space="0"/>
              <w:right w:val="single" w:color="auto" w:sz="4" w:space="0"/>
            </w:tcBorders>
            <w:vAlign w:val="center"/>
          </w:tcPr>
          <w:p>
            <w:pPr>
              <w:jc w:val="center"/>
              <w:rPr>
                <w:sz w:val="21"/>
                <w:szCs w:val="21"/>
              </w:rPr>
            </w:pPr>
          </w:p>
        </w:tc>
        <w:tc>
          <w:tcPr>
            <w:tcW w:w="467" w:type="pct"/>
            <w:tcBorders>
              <w:top w:val="nil"/>
              <w:left w:val="nil"/>
              <w:bottom w:val="single" w:color="auto" w:sz="4" w:space="0"/>
              <w:right w:val="single" w:color="auto" w:sz="4" w:space="0"/>
            </w:tcBorders>
            <w:vAlign w:val="center"/>
          </w:tcPr>
          <w:p>
            <w:pPr>
              <w:jc w:val="center"/>
              <w:rPr>
                <w:sz w:val="21"/>
                <w:szCs w:val="21"/>
              </w:rPr>
            </w:pPr>
          </w:p>
        </w:tc>
        <w:tc>
          <w:tcPr>
            <w:tcW w:w="769" w:type="pct"/>
            <w:tcBorders>
              <w:top w:val="nil"/>
              <w:left w:val="nil"/>
              <w:bottom w:val="single" w:color="auto" w:sz="4" w:space="0"/>
              <w:right w:val="single" w:color="auto" w:sz="4" w:space="0"/>
            </w:tcBorders>
            <w:vAlign w:val="center"/>
          </w:tcPr>
          <w:p>
            <w:pPr>
              <w:jc w:val="center"/>
              <w:rPr>
                <w:sz w:val="21"/>
                <w:szCs w:val="21"/>
              </w:rPr>
            </w:pPr>
          </w:p>
        </w:tc>
      </w:tr>
      <w:tr>
        <w:tblPrEx>
          <w:tblCellMar>
            <w:top w:w="0" w:type="dxa"/>
            <w:left w:w="108" w:type="dxa"/>
            <w:bottom w:w="0" w:type="dxa"/>
            <w:right w:w="108" w:type="dxa"/>
          </w:tblCellMar>
        </w:tblPrEx>
        <w:trPr>
          <w:trHeight w:val="408" w:hRule="atLeast"/>
          <w:jc w:val="right"/>
        </w:trPr>
        <w:tc>
          <w:tcPr>
            <w:tcW w:w="589" w:type="pct"/>
            <w:tcBorders>
              <w:top w:val="nil"/>
              <w:left w:val="single" w:color="auto" w:sz="4" w:space="0"/>
              <w:bottom w:val="single" w:color="auto" w:sz="4" w:space="0"/>
              <w:right w:val="single" w:color="auto" w:sz="4" w:space="0"/>
            </w:tcBorders>
            <w:vAlign w:val="center"/>
          </w:tcPr>
          <w:p>
            <w:pPr>
              <w:jc w:val="center"/>
              <w:rPr>
                <w:sz w:val="21"/>
                <w:szCs w:val="21"/>
              </w:rPr>
            </w:pPr>
            <w:r>
              <w:rPr>
                <w:sz w:val="21"/>
                <w:szCs w:val="21"/>
              </w:rPr>
              <w:t>30～40</w:t>
            </w:r>
          </w:p>
        </w:tc>
        <w:tc>
          <w:tcPr>
            <w:tcW w:w="467" w:type="pct"/>
            <w:tcBorders>
              <w:top w:val="nil"/>
              <w:left w:val="nil"/>
              <w:bottom w:val="single" w:color="auto" w:sz="4" w:space="0"/>
              <w:right w:val="single" w:color="auto" w:sz="4" w:space="0"/>
            </w:tcBorders>
            <w:vAlign w:val="center"/>
          </w:tcPr>
          <w:p>
            <w:pPr>
              <w:jc w:val="center"/>
              <w:rPr>
                <w:sz w:val="21"/>
                <w:szCs w:val="21"/>
              </w:rPr>
            </w:pPr>
            <w:r>
              <w:rPr>
                <w:sz w:val="21"/>
                <w:szCs w:val="21"/>
              </w:rPr>
              <w:t>3</w:t>
            </w:r>
          </w:p>
        </w:tc>
        <w:tc>
          <w:tcPr>
            <w:tcW w:w="589" w:type="pct"/>
            <w:tcBorders>
              <w:top w:val="nil"/>
              <w:left w:val="nil"/>
              <w:bottom w:val="single" w:color="auto" w:sz="4" w:space="0"/>
              <w:right w:val="single" w:color="auto" w:sz="4" w:space="0"/>
            </w:tcBorders>
            <w:vAlign w:val="center"/>
          </w:tcPr>
          <w:p>
            <w:pPr>
              <w:jc w:val="center"/>
              <w:rPr>
                <w:sz w:val="21"/>
                <w:szCs w:val="21"/>
              </w:rPr>
            </w:pPr>
            <w:r>
              <w:rPr>
                <w:sz w:val="21"/>
                <w:szCs w:val="21"/>
              </w:rPr>
              <w:t>30</w:t>
            </w:r>
          </w:p>
        </w:tc>
        <w:tc>
          <w:tcPr>
            <w:tcW w:w="588" w:type="pct"/>
            <w:tcBorders>
              <w:top w:val="nil"/>
              <w:left w:val="nil"/>
              <w:bottom w:val="single" w:color="auto" w:sz="4" w:space="0"/>
              <w:right w:val="single" w:color="auto" w:sz="4" w:space="0"/>
            </w:tcBorders>
            <w:vAlign w:val="center"/>
          </w:tcPr>
          <w:p>
            <w:pPr>
              <w:jc w:val="center"/>
              <w:rPr>
                <w:sz w:val="21"/>
                <w:szCs w:val="21"/>
              </w:rPr>
            </w:pPr>
            <w:r>
              <w:rPr>
                <w:sz w:val="21"/>
                <w:szCs w:val="21"/>
              </w:rPr>
              <w:t>讲师</w:t>
            </w:r>
          </w:p>
        </w:tc>
        <w:tc>
          <w:tcPr>
            <w:tcW w:w="468" w:type="pct"/>
            <w:tcBorders>
              <w:top w:val="nil"/>
              <w:left w:val="nil"/>
              <w:bottom w:val="single" w:color="auto" w:sz="4" w:space="0"/>
              <w:right w:val="single" w:color="auto" w:sz="4" w:space="0"/>
            </w:tcBorders>
            <w:vAlign w:val="center"/>
          </w:tcPr>
          <w:p>
            <w:pPr>
              <w:jc w:val="center"/>
              <w:rPr>
                <w:sz w:val="21"/>
                <w:szCs w:val="21"/>
              </w:rPr>
            </w:pPr>
            <w:r>
              <w:rPr>
                <w:sz w:val="21"/>
                <w:szCs w:val="21"/>
              </w:rPr>
              <w:t>5</w:t>
            </w:r>
          </w:p>
        </w:tc>
        <w:tc>
          <w:tcPr>
            <w:tcW w:w="589" w:type="pct"/>
            <w:tcBorders>
              <w:top w:val="nil"/>
              <w:left w:val="nil"/>
              <w:bottom w:val="single" w:color="auto" w:sz="4" w:space="0"/>
              <w:right w:val="single" w:color="auto" w:sz="4" w:space="0"/>
            </w:tcBorders>
            <w:vAlign w:val="center"/>
          </w:tcPr>
          <w:p>
            <w:pPr>
              <w:jc w:val="center"/>
              <w:rPr>
                <w:sz w:val="21"/>
                <w:szCs w:val="21"/>
              </w:rPr>
            </w:pPr>
            <w:r>
              <w:rPr>
                <w:sz w:val="21"/>
                <w:szCs w:val="21"/>
              </w:rPr>
              <w:t>50</w:t>
            </w:r>
          </w:p>
        </w:tc>
        <w:tc>
          <w:tcPr>
            <w:tcW w:w="467" w:type="pct"/>
            <w:tcBorders>
              <w:top w:val="nil"/>
              <w:left w:val="nil"/>
              <w:bottom w:val="single" w:color="auto" w:sz="4" w:space="0"/>
              <w:right w:val="single" w:color="auto" w:sz="4" w:space="0"/>
            </w:tcBorders>
            <w:vAlign w:val="center"/>
          </w:tcPr>
          <w:p>
            <w:pPr>
              <w:jc w:val="center"/>
              <w:rPr>
                <w:sz w:val="21"/>
                <w:szCs w:val="21"/>
              </w:rPr>
            </w:pPr>
          </w:p>
        </w:tc>
        <w:tc>
          <w:tcPr>
            <w:tcW w:w="467" w:type="pct"/>
            <w:tcBorders>
              <w:top w:val="nil"/>
              <w:left w:val="nil"/>
              <w:bottom w:val="single" w:color="auto" w:sz="4" w:space="0"/>
              <w:right w:val="single" w:color="auto" w:sz="4" w:space="0"/>
            </w:tcBorders>
            <w:vAlign w:val="center"/>
          </w:tcPr>
          <w:p>
            <w:pPr>
              <w:jc w:val="center"/>
              <w:rPr>
                <w:sz w:val="21"/>
                <w:szCs w:val="21"/>
              </w:rPr>
            </w:pPr>
          </w:p>
        </w:tc>
        <w:tc>
          <w:tcPr>
            <w:tcW w:w="769" w:type="pct"/>
            <w:tcBorders>
              <w:top w:val="nil"/>
              <w:left w:val="nil"/>
              <w:bottom w:val="single" w:color="auto" w:sz="4" w:space="0"/>
              <w:right w:val="single" w:color="auto" w:sz="4" w:space="0"/>
            </w:tcBorders>
            <w:vAlign w:val="center"/>
          </w:tcPr>
          <w:p>
            <w:pPr>
              <w:jc w:val="center"/>
              <w:rPr>
                <w:sz w:val="21"/>
                <w:szCs w:val="21"/>
              </w:rPr>
            </w:pPr>
          </w:p>
        </w:tc>
      </w:tr>
      <w:tr>
        <w:tblPrEx>
          <w:tblCellMar>
            <w:top w:w="0" w:type="dxa"/>
            <w:left w:w="108" w:type="dxa"/>
            <w:bottom w:w="0" w:type="dxa"/>
            <w:right w:w="108" w:type="dxa"/>
          </w:tblCellMar>
        </w:tblPrEx>
        <w:trPr>
          <w:trHeight w:val="408" w:hRule="atLeast"/>
          <w:jc w:val="right"/>
        </w:trPr>
        <w:tc>
          <w:tcPr>
            <w:tcW w:w="589" w:type="pct"/>
            <w:tcBorders>
              <w:top w:val="nil"/>
              <w:left w:val="single" w:color="auto" w:sz="4" w:space="0"/>
              <w:bottom w:val="single" w:color="auto" w:sz="4" w:space="0"/>
              <w:right w:val="single" w:color="auto" w:sz="4" w:space="0"/>
            </w:tcBorders>
            <w:vAlign w:val="center"/>
          </w:tcPr>
          <w:p>
            <w:pPr>
              <w:jc w:val="center"/>
              <w:rPr>
                <w:sz w:val="21"/>
                <w:szCs w:val="21"/>
              </w:rPr>
            </w:pPr>
            <w:r>
              <w:rPr>
                <w:sz w:val="21"/>
                <w:szCs w:val="21"/>
              </w:rPr>
              <w:t>&lt;30</w:t>
            </w:r>
          </w:p>
        </w:tc>
        <w:tc>
          <w:tcPr>
            <w:tcW w:w="467" w:type="pct"/>
            <w:tcBorders>
              <w:top w:val="nil"/>
              <w:left w:val="nil"/>
              <w:bottom w:val="single" w:color="auto" w:sz="4" w:space="0"/>
              <w:right w:val="single" w:color="auto" w:sz="4" w:space="0"/>
            </w:tcBorders>
            <w:vAlign w:val="center"/>
          </w:tcPr>
          <w:p>
            <w:pPr>
              <w:jc w:val="center"/>
              <w:rPr>
                <w:sz w:val="21"/>
                <w:szCs w:val="21"/>
              </w:rPr>
            </w:pPr>
            <w:r>
              <w:rPr>
                <w:sz w:val="21"/>
                <w:szCs w:val="21"/>
              </w:rPr>
              <w:t>1</w:t>
            </w:r>
          </w:p>
        </w:tc>
        <w:tc>
          <w:tcPr>
            <w:tcW w:w="589" w:type="pct"/>
            <w:tcBorders>
              <w:top w:val="nil"/>
              <w:left w:val="nil"/>
              <w:bottom w:val="single" w:color="auto" w:sz="4" w:space="0"/>
              <w:right w:val="single" w:color="auto" w:sz="4" w:space="0"/>
            </w:tcBorders>
            <w:vAlign w:val="center"/>
          </w:tcPr>
          <w:p>
            <w:pPr>
              <w:jc w:val="center"/>
              <w:rPr>
                <w:sz w:val="21"/>
                <w:szCs w:val="21"/>
              </w:rPr>
            </w:pPr>
            <w:r>
              <w:rPr>
                <w:sz w:val="21"/>
                <w:szCs w:val="21"/>
              </w:rPr>
              <w:t>10</w:t>
            </w:r>
          </w:p>
        </w:tc>
        <w:tc>
          <w:tcPr>
            <w:tcW w:w="588" w:type="pct"/>
            <w:tcBorders>
              <w:top w:val="nil"/>
              <w:left w:val="nil"/>
              <w:bottom w:val="single" w:color="auto" w:sz="4" w:space="0"/>
              <w:right w:val="single" w:color="auto" w:sz="4" w:space="0"/>
            </w:tcBorders>
            <w:vAlign w:val="center"/>
          </w:tcPr>
          <w:p>
            <w:pPr>
              <w:jc w:val="center"/>
              <w:rPr>
                <w:sz w:val="21"/>
                <w:szCs w:val="21"/>
              </w:rPr>
            </w:pPr>
          </w:p>
        </w:tc>
        <w:tc>
          <w:tcPr>
            <w:tcW w:w="468" w:type="pct"/>
            <w:tcBorders>
              <w:top w:val="nil"/>
              <w:left w:val="nil"/>
              <w:bottom w:val="single" w:color="auto" w:sz="4" w:space="0"/>
              <w:right w:val="single" w:color="auto" w:sz="4" w:space="0"/>
            </w:tcBorders>
            <w:vAlign w:val="center"/>
          </w:tcPr>
          <w:p>
            <w:pPr>
              <w:jc w:val="center"/>
              <w:rPr>
                <w:sz w:val="21"/>
                <w:szCs w:val="21"/>
              </w:rPr>
            </w:pPr>
          </w:p>
        </w:tc>
        <w:tc>
          <w:tcPr>
            <w:tcW w:w="589" w:type="pct"/>
            <w:tcBorders>
              <w:top w:val="nil"/>
              <w:left w:val="nil"/>
              <w:bottom w:val="single" w:color="auto" w:sz="4" w:space="0"/>
              <w:right w:val="single" w:color="auto" w:sz="4" w:space="0"/>
            </w:tcBorders>
            <w:vAlign w:val="center"/>
          </w:tcPr>
          <w:p>
            <w:pPr>
              <w:jc w:val="center"/>
              <w:rPr>
                <w:sz w:val="21"/>
                <w:szCs w:val="21"/>
              </w:rPr>
            </w:pPr>
          </w:p>
        </w:tc>
        <w:tc>
          <w:tcPr>
            <w:tcW w:w="467" w:type="pct"/>
            <w:tcBorders>
              <w:top w:val="nil"/>
              <w:left w:val="nil"/>
              <w:bottom w:val="single" w:color="auto" w:sz="4" w:space="0"/>
              <w:right w:val="single" w:color="auto" w:sz="4" w:space="0"/>
            </w:tcBorders>
            <w:vAlign w:val="center"/>
          </w:tcPr>
          <w:p>
            <w:pPr>
              <w:jc w:val="center"/>
              <w:rPr>
                <w:sz w:val="21"/>
                <w:szCs w:val="21"/>
              </w:rPr>
            </w:pPr>
          </w:p>
        </w:tc>
        <w:tc>
          <w:tcPr>
            <w:tcW w:w="467" w:type="pct"/>
            <w:tcBorders>
              <w:top w:val="nil"/>
              <w:left w:val="nil"/>
              <w:bottom w:val="single" w:color="auto" w:sz="4" w:space="0"/>
              <w:right w:val="single" w:color="auto" w:sz="4" w:space="0"/>
            </w:tcBorders>
            <w:vAlign w:val="center"/>
          </w:tcPr>
          <w:p>
            <w:pPr>
              <w:jc w:val="center"/>
              <w:rPr>
                <w:sz w:val="21"/>
                <w:szCs w:val="21"/>
              </w:rPr>
            </w:pPr>
          </w:p>
        </w:tc>
        <w:tc>
          <w:tcPr>
            <w:tcW w:w="769" w:type="pct"/>
            <w:tcBorders>
              <w:top w:val="nil"/>
              <w:left w:val="nil"/>
              <w:bottom w:val="single" w:color="auto" w:sz="4" w:space="0"/>
              <w:right w:val="single" w:color="auto" w:sz="4" w:space="0"/>
            </w:tcBorders>
            <w:vAlign w:val="center"/>
          </w:tcPr>
          <w:p>
            <w:pPr>
              <w:jc w:val="center"/>
              <w:rPr>
                <w:sz w:val="21"/>
                <w:szCs w:val="21"/>
              </w:rPr>
            </w:pPr>
          </w:p>
        </w:tc>
      </w:tr>
    </w:tbl>
    <w:p>
      <w:pPr>
        <w:ind w:firstLine="480" w:firstLineChars="200"/>
      </w:pPr>
      <w:r>
        <w:t>目前除本专业教师主讲专业基础、专业核心课程外，还有部分相关专业教师任教。同时，我们还从设计单位外聘1名具有丰富工程实践经验的高级工程师，作为建筑学专业的兼职教师。2015年，我院聘请清华大学建筑设计研究院副院长刘玉龙博士为建筑学专业客座教授，2017-2021年度聘请泰安市建筑设计院以及泰安市城建设计院高级建筑师给学生上课，对本专业的发展起到积极的推动作用。</w:t>
      </w:r>
    </w:p>
    <w:p>
      <w:pPr>
        <w:ind w:firstLine="480" w:firstLineChars="200"/>
      </w:pPr>
      <w:r>
        <w:t>实习基地：建筑学专业各年级都有不同的实习任务，主要有台儿庄素描实习，江西婺源水彩写生，北京建筑认识实习，建筑设计院业务实习以及毕业实习。根据以上实习任务，我们建立了相应的实习基地。建筑学专业学生通过各个阶段的实习锻炼，加深了对专业的认识，提高了专业综合素养。</w:t>
      </w:r>
    </w:p>
    <w:p>
      <w:pPr>
        <w:spacing w:line="240" w:lineRule="auto"/>
        <w:jc w:val="center"/>
        <w:rPr>
          <w:b/>
          <w:bCs/>
          <w:sz w:val="21"/>
          <w:szCs w:val="21"/>
        </w:rPr>
      </w:pPr>
      <w:r>
        <w:rPr>
          <w:b/>
          <w:bCs/>
          <w:szCs w:val="21"/>
        </w:rPr>
        <mc:AlternateContent>
          <mc:Choice Requires="wpg">
            <w:drawing>
              <wp:inline distT="0" distB="0" distL="114300" distR="114300">
                <wp:extent cx="4694555" cy="6369685"/>
                <wp:effectExtent l="0" t="0" r="10795" b="12065"/>
                <wp:docPr id="231" name="组合 231"/>
                <wp:cNvGraphicFramePr/>
                <a:graphic xmlns:a="http://schemas.openxmlformats.org/drawingml/2006/main">
                  <a:graphicData uri="http://schemas.microsoft.com/office/word/2010/wordprocessingGroup">
                    <wpg:wgp>
                      <wpg:cNvGrpSpPr/>
                      <wpg:grpSpPr>
                        <a:xfrm>
                          <a:off x="0" y="0"/>
                          <a:ext cx="4694555" cy="6369685"/>
                          <a:chOff x="15894" y="21896"/>
                          <a:chExt cx="7813" cy="10435"/>
                        </a:xfrm>
                      </wpg:grpSpPr>
                      <pic:pic xmlns:pic="http://schemas.openxmlformats.org/drawingml/2006/picture">
                        <pic:nvPicPr>
                          <pic:cNvPr id="203" name="图片 12" descr="IMG_4228"/>
                          <pic:cNvPicPr>
                            <a:picLocks noChangeAspect="1"/>
                          </pic:cNvPicPr>
                        </pic:nvPicPr>
                        <pic:blipFill>
                          <a:blip r:embed="rId150"/>
                          <a:stretch>
                            <a:fillRect/>
                          </a:stretch>
                        </pic:blipFill>
                        <pic:spPr>
                          <a:xfrm>
                            <a:off x="15894" y="21906"/>
                            <a:ext cx="3856" cy="2571"/>
                          </a:xfrm>
                          <a:prstGeom prst="rect">
                            <a:avLst/>
                          </a:prstGeom>
                          <a:noFill/>
                          <a:ln>
                            <a:noFill/>
                          </a:ln>
                        </pic:spPr>
                      </pic:pic>
                      <pic:pic xmlns:pic="http://schemas.openxmlformats.org/drawingml/2006/picture">
                        <pic:nvPicPr>
                          <pic:cNvPr id="204" name="图片 13" descr="IMG_4574 (1)"/>
                          <pic:cNvPicPr>
                            <a:picLocks noChangeAspect="1"/>
                          </pic:cNvPicPr>
                        </pic:nvPicPr>
                        <pic:blipFill>
                          <a:blip r:embed="rId151"/>
                          <a:stretch>
                            <a:fillRect/>
                          </a:stretch>
                        </pic:blipFill>
                        <pic:spPr>
                          <a:xfrm>
                            <a:off x="19837" y="21896"/>
                            <a:ext cx="3870" cy="2581"/>
                          </a:xfrm>
                          <a:prstGeom prst="rect">
                            <a:avLst/>
                          </a:prstGeom>
                          <a:noFill/>
                          <a:ln>
                            <a:noFill/>
                          </a:ln>
                        </pic:spPr>
                      </pic:pic>
                      <pic:pic xmlns:pic="http://schemas.openxmlformats.org/drawingml/2006/picture">
                        <pic:nvPicPr>
                          <pic:cNvPr id="205" name="图片 14" descr="IMG_5243"/>
                          <pic:cNvPicPr>
                            <a:picLocks noChangeAspect="1"/>
                          </pic:cNvPicPr>
                        </pic:nvPicPr>
                        <pic:blipFill>
                          <a:blip r:embed="rId152"/>
                          <a:stretch>
                            <a:fillRect/>
                          </a:stretch>
                        </pic:blipFill>
                        <pic:spPr>
                          <a:xfrm>
                            <a:off x="15906" y="24526"/>
                            <a:ext cx="3862" cy="2575"/>
                          </a:xfrm>
                          <a:prstGeom prst="rect">
                            <a:avLst/>
                          </a:prstGeom>
                          <a:noFill/>
                          <a:ln>
                            <a:noFill/>
                          </a:ln>
                        </pic:spPr>
                      </pic:pic>
                      <pic:pic xmlns:pic="http://schemas.openxmlformats.org/drawingml/2006/picture">
                        <pic:nvPicPr>
                          <pic:cNvPr id="206" name="图片 15" descr="IMG_1304"/>
                          <pic:cNvPicPr>
                            <a:picLocks noChangeAspect="1"/>
                          </pic:cNvPicPr>
                        </pic:nvPicPr>
                        <pic:blipFill>
                          <a:blip r:embed="rId153"/>
                          <a:stretch>
                            <a:fillRect/>
                          </a:stretch>
                        </pic:blipFill>
                        <pic:spPr>
                          <a:xfrm>
                            <a:off x="19851" y="24532"/>
                            <a:ext cx="3857" cy="2573"/>
                          </a:xfrm>
                          <a:prstGeom prst="rect">
                            <a:avLst/>
                          </a:prstGeom>
                          <a:noFill/>
                          <a:ln>
                            <a:noFill/>
                          </a:ln>
                        </pic:spPr>
                      </pic:pic>
                      <pic:pic xmlns:pic="http://schemas.openxmlformats.org/drawingml/2006/picture">
                        <pic:nvPicPr>
                          <pic:cNvPr id="207" name="图片 16" descr="QQ图片20181107163920"/>
                          <pic:cNvPicPr>
                            <a:picLocks noChangeAspect="1"/>
                          </pic:cNvPicPr>
                        </pic:nvPicPr>
                        <pic:blipFill>
                          <a:blip r:embed="rId154"/>
                          <a:stretch>
                            <a:fillRect/>
                          </a:stretch>
                        </pic:blipFill>
                        <pic:spPr>
                          <a:xfrm>
                            <a:off x="15906" y="27169"/>
                            <a:ext cx="3870" cy="5162"/>
                          </a:xfrm>
                          <a:prstGeom prst="rect">
                            <a:avLst/>
                          </a:prstGeom>
                          <a:noFill/>
                          <a:ln>
                            <a:noFill/>
                          </a:ln>
                        </pic:spPr>
                      </pic:pic>
                      <pic:pic xmlns:pic="http://schemas.openxmlformats.org/drawingml/2006/picture">
                        <pic:nvPicPr>
                          <pic:cNvPr id="208" name="图片 17" descr="QQ图片20181107163931"/>
                          <pic:cNvPicPr>
                            <a:picLocks noChangeAspect="1"/>
                          </pic:cNvPicPr>
                        </pic:nvPicPr>
                        <pic:blipFill>
                          <a:blip r:embed="rId155"/>
                          <a:stretch>
                            <a:fillRect/>
                          </a:stretch>
                        </pic:blipFill>
                        <pic:spPr>
                          <a:xfrm>
                            <a:off x="19856" y="27180"/>
                            <a:ext cx="3841" cy="5120"/>
                          </a:xfrm>
                          <a:prstGeom prst="rect">
                            <a:avLst/>
                          </a:prstGeom>
                          <a:noFill/>
                          <a:ln>
                            <a:noFill/>
                          </a:ln>
                        </pic:spPr>
                      </pic:pic>
                    </wpg:wgp>
                  </a:graphicData>
                </a:graphic>
              </wp:inline>
            </w:drawing>
          </mc:Choice>
          <mc:Fallback>
            <w:pict>
              <v:group id="_x0000_s1026" o:spid="_x0000_s1026" o:spt="203" style="height:501.55pt;width:369.65pt;" coordorigin="15894,21896" coordsize="7813,10435" o:gfxdata="UEsDBAoAAAAAAIdO4kAAAAAAAAAAAAAAAAAEAAAAZHJzL1BLAwQUAAAACACHTuJAmBNzEdcAAAAG&#10;AQAADwAAAGRycy9kb3ducmV2LnhtbE2PT0vDQBDF74LfYRnBm91dg38asylS1FMRbAXpbZqdJqHZ&#10;2ZDdJu23d/WilwfDe7z3m2Jxcp0YaQitZwN6pkAQV962XBv43LzePIIIEdli55kMnCnAory8KDC3&#10;fuIPGtexFqmEQ44Gmhj7XMpQNeQwzHxPnLy9HxzGdA61tANOqdx18lape+mw5bTQYE/LhqrD+ugM&#10;vE04PWf6ZVwd9svzdnP3/rXSZMz1lVZPICKd4l8YfvATOpSJaeePbIPoDKRH4q8m7yGbZyB2KaRU&#10;pkGWhfyPX34DUEsDBBQAAAAIAIdO4kAOCU9+cQMAAKoQAAAOAAAAZHJzL2Uyb0RvYy54bWzdWMuO&#10;0zAU3SPxD1ZWsGDydJpE044Qw1QjDdDhsUYe12kjkjiy08fskYAdez4Fib8ZzW9wbadt0kEwQtVI&#10;7aKtY8c35x6fHF/3+GRZ5GjOhMx42bfcI8dCrKR8nJWTvvXh/dmzyEKyJuWY5LxkfeuaSetk8PjR&#10;8aJKmMenPB8zgSBIKZNF1bemdV0lti3plBVEHvGKlTCYclGQGi7FxB4LsoDoRW57jhPaCy7GleCU&#10;SQm9p2bQaiKK+wTkaZpRdsrprGBlbaIKlpMaUpLTrJLWQKNNU0brN2kqWY3yvgWZ1vobHgLtK/Vt&#10;D45JMhGkmma0gUDuA2Erp4JkJTx0HeqU1ATNRHYnVJFRwSVP6yPKC9skohmBLFxni5uh4LNK5zJJ&#10;FpNqTTos1Bbr/x2Wvp6PBMrGfcvzXQuVpIAlv/35+eb7V6R6gJ9FNUngtqGo3lUj0XRMzJVKeZmK&#10;Qv1CMmipmb1eM8uWNaLQGYRxgDG2EIWx0A/jMMKGezqFBVLzXBzFgYVg3HOjOFyNvmwi9CLXN9Nd&#10;J/D1ZHv1bFtBXCOqMprAp2ELWnfY+rdGYVY9Ewy4V9HK+SijI2EuWow5gMgwdvPj1+23L8j1LDRm&#10;koLAzl8NPwaeF6k8VAw1zQQhCt0Fp58kKvmLKSkn7LmsQKnAgbrb7t6uLzsIrvKsOsvyXJGu2rt9&#10;dZBIWHHFQBHifKwBkUTWgtV0qh6YwoPfAlgFtDWgUW6AqRQkqOUP+mivc+w067zSiR/h0Kyyh3uG&#10;jdUiA21C1kPGC6QaAA9QwAKRhMwvZINndYvqLrkiCXCSJC87HQBc9WjMBqVuAmizVtB4CPWA2rvq&#10;ATm11YN7AXriPt1vBXnmRd6pguLI7207xUZBPfB2ZTMejg5dQWCoXQWBpFoKwl7g77d6NPyWzezE&#10;f5Tr6H0mwN4d/wnBwo16et1N5vD8B1joqgfk1FKP6zvBfqtHw9+xeuIIQ52k7CXAfmNuG+/B4EuN&#10;erR01yXK4akHMu2qB+TUqOfy0tRDUNJGruv03NCPPV1rd0ubfaqEmnJ1p/sYXjsRUBSbjXKjpdU+&#10;hl3wJFNurUrtVZlzKJUQHDm7WgJx/UVL5lyyv1pqNp2dagl8qdnVem7UnGs3WgrAs5QvYde8hw/t&#10;S/qEBkdYfWhojtvqjNy+hnb7L4bBb1BLAwQKAAAAAACHTuJAAAAAAAAAAAAAAAAACgAAAGRycy9t&#10;ZWRpYS9QSwMEFAAAAAgAh07iQBz6ZGAwhAAAJoQAABUAAABkcnMvbWVkaWEvaW1hZ2UxLmpwZWcA&#10;AID/f//Y/+AAEEpGSUYAAQEBANwA3AAA/9sAQwAIBgYHBgUIBwcHCQkICgwUDQwLCwwZEhMPFB0a&#10;Hx4dGhwcICQuJyAiLCMcHCg3KSwwMTQ0NB8nOT04MjwuMzQy/9sAQwEJCQkMCwwYDQ0YMiEcITIy&#10;MjIyMjIyMjIyMjIyMjIyMjIyMjIyMjIyMjIyMjIyMjIyMjIyMjIyMjIyMjIyMjIy/8AAEQgBegI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6vFOApcc04CtznACnAUAUoFAgpaKXFABRilopgFFKKKACilooASloopgFFLRQAUUuKKAEopaKACk&#10;paXFMBMUUuKKAEopaKAEopaKAEopaKAEopaKAEopaKAEoxS0UAJRS0UAJRS0UAJRS0UAJRS0UANx&#10;RinUYoAbRinYpKAEopaKAExSYp1GKAG4op2KSkAlFLSUAJiilooEJSU6jFAxtFLSUAJRS0UCEpCK&#10;diigYykIp9JikBGRTMVKRxTcUAHelArR1O1t4WDQHA7rmqGKzhNSV0XKLi7MAKUUUtWSFLRS0AJi&#10;loooEFLRRigAopaKACijFLQAlLRS0AJilooxTAKKWigBKMUtFABijFFFFwDFGKKKLgGKMUUUAGKM&#10;UUUAGKMUUUAGKKKKADFJS0UwDFGKMUUAGKSlooAMUlLRigBMUuKKKLgGKMUUUAGKSlopAJRS0UAJ&#10;ijFLSYoASilooASjFLSUAJRS0UANxRinUlFwEoxS0lACUUtJigBKKWigBKQiloxSAYRSYp5FJigD&#10;nNB1a6vDPNd3Qa380pEJBhvzro65TwvYyalpqNPIyfMxB4+Y5x0IxjBrqkV48wylTKnDY7+9ctB8&#10;sVE68RG8m0adjpiXUJkkl2dgBVS4g+zzGPcGHYiszVr6+0+0E9rKAm7aylC3J6Vo+VLHbwNcSq87&#10;oGkAGAp9BRGpJ1XF7EOmvZqSGYpaKWukwAUUtGKACjFLRQAUUtFACUtFLimAmKWijFABRS0UAFGK&#10;KKAEHSloooAKKWigBKKWjFACUmKdikoAKSlooASjFLRQAmKWiigBKWlpMUwCilooCw2lpaSkAUUU&#10;uKAEooooASloooATFFLRQAmKKWigBKKWigQlFKRmkxQMSilooEJSU6kxQAlFLRQMbSU6jvQIbRil&#10;ooGJRRRQAlFLRQAlNNPpMUAcDZ3OrWegtfY8xYCchuPl75HXPQ/Sug0u8vNQgg1OVFjaZduwnggd&#10;Oa5DS9W+y3c1rfyXX2cMUdFUZccg5Vuld3aahY6got7a2uY4RH8vnR7RgehFcFKUJS0Wp3VVJJsT&#10;VWnfT5DFEwZRu7dvT3qTSVufsKSXkjPM/wAx3dQOw/KplgmA2NPvj91+bHpmrIGK6VBc3N1Ody93&#10;lQClFApa0M7BS0UCi4gpaKKLgFLiiigAoxS0UAGKKKWmAlLigUtACGilooASilooASilooASilpK&#10;ACiloouAlFGKKACijFGKACiiigAopaSgAopaKAEoopaAEooooAKKKMUCCkpcUYoAKKKKBhRQKWgQ&#10;mKKKMUAJRS4oxQMSilpMUCEopcUUAJSUuKMUAJRS0UANopcUUDG0UtFACUlLSYoAKKMUtAijJpVh&#10;I5Z7WMk9eOD+FWYoY4IxHEiog6KowBTzSis9jRtsTFKBRS0wsFFFLQKwUtJS0AFLRRRcApaKKdwC&#10;iilouIKKKKLgFLRRRcAooophYKKWigLCUUtJRcLBRS0lFwsFFFFAWCiiii4WCiilouFhKKKjldEj&#10;Yu4UYPJNJytuNRu7IRbiJ2VVkUls4weuOtS1zOku41CMAkxlmAz9Mn+VdNWNCt7WNzoxVBUZ8qYU&#10;UtJW9zmsFFFFFwCiijFFxBRRRRcAoooouAUUUUXAKKKWi4WEoxS0UXASilpMUXAKKKKAEoxS0lAC&#10;YopaKAEpDS0UXASkxTqSgBKTFLRQAlJS0UAJRRijFADT1paQ9aUVBoFLSUtAhRRRS0AFLSUUALRR&#10;RQFhaWkooAWiiigLC0UlLQFgooooAKWkooAWikpruqIWYgAdzRcY+io4ZkmjDxnKnoakzRe4NW0Y&#10;UUx5EjGXYKPUnFVpNStoxnzN3+6M1MqkY7sqNKcvhVy3RWUdaD/6mEt9f/rVCbzUZs7V8sfQD+dc&#10;08dRj1OmGArS3VjbyBUEl7bRHDzID6ZyaxjaXUpzNc57Y5NSLp0Snc5Zj7nH8q5Z5pH7KOuGWL7c&#10;i3LrVun3Vd+cdMAfnVc6xNJ/qoP0J/wFPS3hT7saj8KVnjQbmIFcs8wrS0Wh0xwVCPS5VaXUZgN0&#10;mz2zj+VVpoBCgM0+SDnjr+ZqW51FIvu9T0J/pVOKGe/lUdR12/1NZxdWo7yZ0KMKa0VhpuHMiyRY&#10;Xyjlf9o11dpcJdWyTIeGH5Gs86YhsXhxh2wfM9D7VR0q7+xXbW0p2q7FSD/C/wDhXfhKsYPl6HBi&#10;4e2jeO6Olooor1DxrBSUtFMLCYpcUUUXEJRS0UAJRS0UAFFFFABRRRRcAooooAKKKKACkpaKLgJR&#10;RRRcBO1FLRRcBKSloxRcBKSloouAlJS0lFwCkpaDRcBKSlpKLgNNFQWhlNqhncvIRkkqAfyFT1Fz&#10;RrUWlFJS0CFooFFAC0tJRQIWlpKKAFpaSigLC0UCigLC0UlLQFgooophYKKKQkAZJouFhazNamC2&#10;RiBO9yOB1IqaW9ySluNzd2PQf41DGm0lmJZz1Y15uLx0Ypwhqz0sJg5cyqT0RXtLq4itEiit8BRj&#10;JHX88U//AE6bPmSBQewP+FTk0m6vNeKrSVrnoqhSTvbUrf2erNulkZv0qVbS3TpGDj15pJbqCIZl&#10;njX6tWdceJ9Jtc7rpWI7LzWXLUma8yibAUD7oAFB61x9z8QdOiJEYZiPU4rGuPiRMxxBCq574zWs&#10;cHVfQyliKa6npPFMkuIYlLSOi47k4ryG58c6vcKQrsoPpxWVLq+pXJ+aZ/zOa3jl8vtMxljIdNT0&#10;7XPFNlbKGSYFkyQR3+g7/wAvesbTfE1vfs0ckzI7c+//ANf8K4SC0urudVKtI7nHPc0660+5gVZX&#10;t2hydoOO4610xwlNLl6mP1ud7paHrVtDEy7txMbfxoN9bdm1kNwicYI59eteKaf4h1WynVYpGdiQ&#10;oweSf610Nr8QWyEvbRHbON2MGsqlCqttUa+3pz3dj1kOTx8pBrG1iyUAXKoQMZlwecdj9RXPWHjD&#10;S7hlC3Mtu/ox3CumhvJDbLMGjmR2Kr23cc9frWC5oP3lYuMXvF3JdG1H7RF9nmP75Bwf7w9a1q46&#10;ZGtpg1urxqDuTP8AD/s57itu31uF7UNIG80cFFHU16eHxKkrNnHiMDOUuakt+hrUZpMgxQt0LoHI&#10;z0zRXYpJq6POnBwk4sWj6ioLi6it0LO3I7DrRa3T3dssjoF6gAdhS51exp9Xqez9q1oTUtJRVXMQ&#10;paSloAKKKM0XAKKBRRcVgooooGFFFFAgooopgFJRRQFgpKWkoAKKKKAEooooASiiigBKKKKAEooo&#10;oAq2k0VxaxzQtujcZB9anqG1gS2tYoIwQqKFGamqTR7i0tIKUUCClpKWgLC0UmaWgLCiikpaAsLR&#10;SUooCwtFJS0BYKKKKAsNMiqcMwB96jlu44xncD9Kr3+nm8IdJ2hkAwCACPyrgvEVx4n0UtuKPbE4&#10;E0a/zHauepKtf3EjppxoWvNu53X9pl490cXPqxwBVGfUoBlrq9jx/dDACvJptT1q+HM8rA+majXS&#10;tTufviT1+Y4rlnSq1F78/uOqNSlT1hA9MuPGGkWo2ifdjsorFuviNbLxBAW92NcxB4Tu5Tk4/AFj&#10;WlB4JcNiQtx9B/Os1hqEd3ct4itLZDz4+vrqeOGGJELkAcVm6zr+tqEf7S3kSEqD059K6K18IR28&#10;iSgASIQyksTgj6VpXugjUhbifaiRNuKxpjJ/GhzowkrJWNIwqTpy5r36Hmnm6ldjl5Wz6Zp6aHfz&#10;nLI5HqTXqaaPaxJt2cYx8zY/lSbdMtl+aW2XHqc/zp/XIr4UZ/VJv4medQeFp5gGZgN3tmtODwWS&#10;MkSN9Fx/OusfxBpFsCDdg47KOKoT+OdIh+6Gf8RSderL4YsfsKcfikinH4OjUjKKOATuar8XhWBV&#10;42KMfwqSayp/iPAoIhtx/Osm8+IF7cKVjTaOnHFNLEy6WE3ho9bnW3Vtp2mhpi211II+YDaamb7L&#10;qNuJrhlZQoIAwQPceua8zjOq+IbxIk3SMDkdlQep9K9G0bSjp9tBaOcqil3JH3mP9PSnOm42blqd&#10;eDoqu37toljRvDthcarDPJaJhSWQMOSQOpFcve+CDueWNmUA9yCOTXe2FxHbXplc5KxyPz0wFJxW&#10;LcXovLKK4ZkgSQBgJW2jH9aanOKVjargqdSqqa0SRh6L4YtrWXzJSs0q8s3ZPYe9a/iy3urvT9Eg&#10;sH8stLMSy9AMJUtobUMFN1FIeyK2APf3rbuYxLpVt5R2yxGQqQeBnFL2qTbkdFelRUI04bXRi2kV&#10;xZxi3+1TTOFHmO7d/QVct8K5XHK8nPb/AOvUsaSIpPlEO/LNx1qlcQ3oLGBFVicn5sg1CcW9DodW&#10;lSjboa2teJ7HSryCzmn2Si3jP5irP2+cxgtIFyM8cmnQ6PYXlzDqV1bJJe+VGCWGQpC44BqWbS3Z&#10;n2OmxugYcrXV7KS96L3PDw2Jw7m1WS8mZYn+1TbYssqnkn19zW5py7bJQDnk8/jUVtpUcMYRmyAO&#10;i8Cr6wpCipGMDGa0pU5RlzMMxxtGrT9nTFpaKK6Tw7BRSUtAWCiikoAKbJIkSlnYKB3NMmkkTAjj&#10;3k++MVxfifUZzMEAZGGAUDdQaic+VaDSudwrq6hlIKnkEUtcZpuptpccHnTNIjRkqD/OrfiHxAkG&#10;mxyWtwv7w4JB5FT7ZW1DlOmZ1VSxYADqarz6ha28QklmVVIyPeuc0DVI5bcx3YQRuvDE/ePesLWt&#10;RxcXCJMrL0XjOB6CplWsroaid/a6nbXjlInywGcEVcrg/CMBkZZJJct1ZCcH2rprzW4be4e15WUf&#10;dLfdNVGp7t5CtroatFYNtri+ftnkVlPO5RgD2qAeK4jO6qgKDjk4p+1iLlZ0tJUNrcLdW6yqMA9v&#10;Spc1pcVhaKKSgLBRRRQFhKKKSmFgpKWkoCwUUUlAWGUUlFSWOpabmlBpAOopM0UAOopKWgBaWm0t&#10;FwFoowdoPY0EYAOetFx2FopqsrKGU5B7/jShgwyPcfrSuNwavfoI8ixrliAPU1GbqIDO8H2zSXFu&#10;lzF5chbbnPynFYeo6Xq8UbPpl6j46RzLz+YrKo6v2LGtJUWvfbNo3seOAxP0qhqbi9t/IKjym++D&#10;jmvMbrxB4oeWSM/JsYqSBgZHFZ08muTKXub3y07s0nArBrES0lJI6E8PHVRbPRja6bbLh2gUD+89&#10;Qya1otr1uYgR/dX+tecR2Mt0rOdSV0X7zKxIFV7a302e4WH7VK7scA7cAn61H1a/xSZf1m2kYI9B&#10;m8a6TExCM7kepxWbP8RLdeILXd9TXHXMum2czRJbtcMvBYvgZq611YW2mxXK2QLzZ2ArnBHXNV9V&#10;pLdX+YvrNZ3toakvxB1BwfIhCn/dqpL4r1+4XCeYM+gIrD/tfUSMxJHGPVIhWmdRu5tDacKomEgh&#10;4z6E5x61p7GnH7KJU6076sZJNr9wQZGfB/vHFQyafqDIZJ7tY0/2pMVQjgvncSiZ9yHI+Y8Vd8Qt&#10;I2oRWhlYgRK23sDtyTWmidkRyTcXJhb6VBcMUGoJI4GSqc8UlzZ6dpzhLiSV3xnamKfpWleXqNjK&#10;X4eReMf59Kr3Vmr38zHo0h4+uaXOr2uV9XfLzeZZ04aVe3HlRxOH/hEh+9+VMvNTs7aUR2dpDJt6&#10;uwPJrQ0jT4odbhZQcqrv+WRWZ9ljFwfkzmRhk+1TzLmL+r+4nfW/+Rq+G9fm/tWKCS3VPMOxTGMY&#10;z6+tak/im7uNTa0igYRgsjSdyfYelUtPtlXX48KBsnAHHsav2NkIrrz25dwzY9Mk1lNq97HoYZVF&#10;TUIytqWrHSpptQF1Lu8wJIOJD02EdOlYV/4fmuH3vdXDMOnmAsAPQY6V3dkB5pPpHIf0NVcUKo0k&#10;VLCRm2rs8+Oj6lasPIuA2TgBX/pWnNfa5puj2GPMDl5S3/juOn0Nda0SOMMgb6jNS3VlG1jaKVIG&#10;GIwf9qq9onujmlgZQfuyOPtvH2oQEC4j3/UVt23xAspSBcRFT3I/+vSS6VDdTtaiMu6ruwYs8fUV&#10;Tl8F78/6I491yv8AOs3SoS3VibYmGzudqfElgsqRi6EbmKNsH3QEfoa0rfVTMAY54pR7EH+Vea+I&#10;vCF9Nqoe1Bx5cScsowBGo9faqUHhnxLBIvlTxjnqZQcUOjZ3hOxl7XmVp07nsK6ht4dW/AVa+1xP&#10;Kkat85QMB7YrhNM0DU1UG/8AES+6QRs36nj9K6pUtIJFkga4lnWNU8x0bHAAq6c6kPikmZ1KdOXw&#10;xaZrUZqkL94iGaNHA6jnn8KY95OgLOgQDnkGtJYynHe/3GSwlR7WNCjNZX2+ZkVlI2kZHFUdU1O6&#10;t7KSRSxOMDAHFZ/2hTvZJlvAVErto6CSZIkLu4AAzWYuv20lykUZ3Bm25rhxe390FaVj5eME55FO&#10;hQW8nmg7n3c88H6UpYp30OXkR2mq67FYR5Rldv7veuOuXa+la4nKKSSQR1FUdRvXF0JEDspHzepN&#10;Zov2knVFkJLEcdR0z+dKc5zejBWRraldIkSNETlV25z2rDnu3kGPvr1AIzjFSJdNNblJF4LOUb0I&#10;qfT1ijtmkCAs/VW9fSpV1rIGLFcMCiSNL5ajOzB4FWbuSB41MiKjr2A5z2zVd72SRwzjJA5A5Aqj&#10;fQtIEkj3sXPCjpTvcRq2WqtHIJYZAjqcg1ovJd32nNcSFXPmYMjdenTPpXFvbTh4pGPyA/MA3QVv&#10;atrVqY4LCzi8tVXOd4OT9KuMbLQLjm1ZvKWFNuU65GeKv6OsM93uucLERnIOOa5idgjiWTCll/AG&#10;rNveSu3QMgHGBioStqgO1l17yrcwWkkuFz5fHP4+tZi6/qFveecZdxPVWPT2rFe7kDjCt6DFU5Lk&#10;JdbJcfOc4Y1XM3uB6do3iP7dsimQrI2QDjr610Oc145Y6mYdQULIqr/eJ6e1eo6RdxS2YUShiuc+&#10;wzXRRqNq0iWjSpKM8Z7VSh1GOXUJ7Q7Q8ZGBkEnjrW7dhFyigmoLi9t7VA00yoD0yetO9gJ6Ss2L&#10;X9MmkCJdLuxnkEVoK6ugZTlSMgjvSTTAWiiimBETRTaUGpGOpabS0gFpabTJZ4oceZIq59TQ2luB&#10;NRmqa6jaMTiZeDirPmJx8w56c9alST2Y7ElGabkDrQWAGe1UIXzAXKd1GT+NV7q6MaMgBLn5VA71&#10;njV7eG7LuTtnI2n+6Bxz+Oa04hGCZQ+4ueCTnr6Vkpc2iZ3RlTpT5mr2S++w3T0liso1uFCPySM5&#10;wCc0tiWNmhY5LZbP1OamuY3kikjUlSybQ2OmRURntrcCMSKAoAxVXSMZzc4yfVu/5/5ljNFUf7Ut&#10;9xADtj0WmtqJwfKtZnPbIxSdWK6mXs5PoZKeH9N1W91CW9g8796UUE4A4GSMd/evOvEGkR2QXT4Z&#10;ZDEk0gXcc5AIAzXqds93A03l2TESymTLH1A4/Sse78MS39x50sHzYb+LAJLZz1rGVTRWOyCSlK+1&#10;jzi2sETRLo84baP1z/SjQ9OhGqxFlztYEZ+v/wBavSF8Gk2phKxqpCgjPXAxmrFv4PaF/MiiZju3&#10;koBgH68YqOeTv5mvtIJxfY8peyEl3kR5LSY6dTmjxLDi00yGBDypOFHUk17DD4QVcGZfJw29M4yW&#10;7kYPXipx4WtxjKtgf7ApqUk1oS6kZRkl1PJF02dNPuT5LAoWXGOQSwwP0NMOjXp0byViPmJeiRlz&#10;yVwBkevWvY00Gzi6kj6uBTv7M05PvPET/tTD/GlzTDn00PJLPRZ4ldXU5dSwKqTglTx09eKTUPDt&#10;xd60l6p/dMuxgRgqNu3v17168LbSY+c2oI9804PpqcKY/wDgMRP9KFKSdwbk48tnb0PNrfQngkRt&#10;sjtBIDHgD5u3PPFEfhKSS6hlaN2i+VpU5yxGcgEDivS/tlovAEp/3YT/AFpG1C3Uf6u4P1UD+tL5&#10;l3qNWscPZeGLiEyyfZ2aVl2I/PyjnPHfOR+VKPBMhmt5BDtMXXIGHOc5PP8AnFdk2sWyf8syP96Z&#10;FqF/ENqpwFhz73I/oKV13Hy1n0/ExIvC9xHPLIqIrSNuJyvHOeODipU8KMBjzFDdASxPH4VqnxDD&#10;2+y/99s38hUJ8SRlSVe3467YZGpPl6spU6/RfmLb6G0Dlt8bFlKnIJGD171KNFQH70Y9hEP61DF4&#10;g+0TeVFcx+ZgkL9mx0Ge9V21zUCSBOB9I1H9KE47GipYnvY0l0hAeJSP91FH9KmGm5UKZZ2A6Dd/&#10;hWGdY1E/8vko+hx/Kon1C9b715cH/tof8arQf1eu95HR/wBjxtyYZGPqSTTv7JhX/l3UfWuUeeeQ&#10;fPNI3+8xNRkZ60adg+qTe8zrza20fX7Oh92UUmbVP+Xm1H/bVa5HFJjBouh/UU95HXG7sU63sA+h&#10;J/kKjbUtNH/L4pPtG3+FcpQaOYawEOrZ1yXdnMMJdwtnsx2/zxUnkqY9yr8p7r0P5VxTgrwRihJZ&#10;4stC8iY6lCR/Klcl4BfZkdZJaDbiNyvpkZArmdcF8jfZTMhWRck7dopra7qUMRP2jfgZHmqG/XrW&#10;JNrtxeeVJIm+UHaSmQBn2rOVKL95LU58RGrSjaT0CJpF8yJwQueSTgfnVST7RBOkatuUHj3FLFey&#10;NPsbheflz97nFSQW9xPcYRDt+6y46D/IoUdTztx5uIZEeMDAXIIP61iTx29nOSDt2tklTzV+6WSG&#10;QshCseCGBzWTewSXJXy48M+Mtg4GAOfp/wDWrSmrCLwywLBSERiCPr3qC6QyOHWXKr2Hr+FVLu88&#10;qPyCWbjB2nAJpLKUm0WSUSMsZ/P61dmlcRb+1FdxJxs+8SMZ/Cn2d8ImdUUtk5zyQtRW+oLNM4dA&#10;y+uM/nVWadbWXcmdrfe29qnl6AbDFJmDmTDN6VQis2F08jopbOQCo6+uaWJw65WVSrDK57VCdQ+z&#10;Yjl5kboSOgpRutEBbuYzcWoSTgEg/L3FXdJhs0SaKUYO35ZM/d54FZ32uAQkNJ3xSx3iEsmw7T6n&#10;OaabQFa61ZUuSsAONxA9+1NvyskcZkOJU9D2pt5pu+4SaI/KOSRUKQ27T7MM5bGWzWl4vVAQrcQo&#10;MKzE7s8noa6Wx1WZ0HluVJ4yDXK3tskcxKZCA7cVcsp0jO3jIOMZ9qcopq6Ee1R3tvcaKIxcM5MY&#10;V2RgGGR15rI8Pw2I1Nv9IuJplX5NxG3HqSvU/WuNttVmsbGRYZvLJXAyf0qbRdsOpxNe7vssp3B4&#10;T1PueoqlUuhNaHqlwJnULFtweGJOOPauWvLG6tYZES2RI/N3ebI2QB7YOatyapHpU4Yzn7G2QMnd&#10;0465rNnvNQ1uaWSCVktYc7Xj4HTrk8GrcrlJFdprmB1a3AYM7BhwRn1BPb2rc0nXJp7mO0mhUZHL&#10;q2ea42ztdQmjQmGaS2jxlyMj6Cun0pba9nDwn7LIv/LPcclfUehpJu4mdWWCjJIH1rA1XxVbabc+&#10;SAsp7lX6VS8UvdwOmLpxC2CECjjHfca4mSxvr+7mmtw7KxyWA6k1o5dBHrhI654oDLx8w56Vx1pr&#10;c0kHkiZZGbjPtjpSpfyReSQ+TH0zXO8Qk9jTkOyFLmubsNdSK3kWcszAlgT/ACqG58WRC0cAfOTg&#10;bT0HrV+2i0TaxtanqYsEXC5LfpXFajfyysZNzb8nrz+FVn1eWZSoDMM8s5rHtrq4kujvUNGH69M8&#10;1k7zd3sGxq2091IxVlZcJnAPU9qvG9vI441yxKn+971UFy7PnPGcACke5OWXaSVP1/Kos77FG/Nr&#10;c91D80gRkI4X6VoaFPFeQvPcXhXY+1VLdeOeK5eGcT23mAnrg1saTCI7LgEbmJ5+tSruWp0Yekpy&#10;szpDDpOADIjAdBtPv7e5qYXOnoAqu56YABrHQDOKtQxBpF471qjseHgurNaB7a5k2Rh2PfocfrTL&#10;meCyP7y2K+mcc/zrS0m1S3tAdgDNyasXMEdwPnUHA6Gq5G0cjnCM7WujnP7ctlUsIsAHB5PB/wC+&#10;aP7b+batsAw4IKtn+npV8aPEjkYBjLb2BPU4qQ2yLvfaN7rg/h0rPlqG/PQ6IyBrcryKkcA3MMqB&#10;H1/Nqa2sXJWUD5HjYAhol7/nW1BaRMyEoNy9PbjFGr2MUmnuVUKyfMMDFN05W3HGrQ5kuU506tfH&#10;/luR9FA/pWzDPM+i2skkpbdcHfuP3hg1zNak9/JDpthaxxgAMZXlY8fSs5XtodGIhTio6WV0T+I/&#10;Mjg01d5B8x5Bg9Bg8frWMZHbq7H6mtPW7wXn2P8Ad7PLQqeevTmsnNCv1LwsUqd11bFMvkwzzYBK&#10;ISMjPOQP60+Zp4tDW9NyfMcAhVQADJ+n1qtcEG2liKSt5mB+7AJGDnuR6VWmeWa3SForoooCgfIv&#10;T8TUtNs6vd0v37dC7qXmWmnxzRXVwZWKg/McAkZP9KZeR3Edzp0QuJWE+1JPnJ+fOGH61Tka4mKh&#10;7edgrbhmZBg8f7J9BQGnQoUtZwY3Lrm8HDHv9z2qbMcHGKWl3r0LOtRpbpEI95aR9wIJ+72HJPNF&#10;1YpFd6aiAkSFUc5yCwPzA+/NVpZLuYIJLd2CElN17nBP/AKaEuF2lbZVKncubpjg+v3RRyscJOMU&#10;tdLmprEFrHpZMCIXkkQblA4yWOOB7Ck1O2RNKuZIoERMIuSDnjA7j3/Ss5/tcihXggYA5AaeQ8+v&#10;WkcXTqUMFoVJyQzzEE/990cjM43XLvo/8vMtxMo0tY3yWhtWlZgxG1mPyg/him6NKo0mXzHWNFkO&#10;52wNoI5xnO4nHSqnkT4P7jT+f9iQ/wDs9N+zXGciOwX/ALYMf5vRysuUlKLjZ6u/T/Mk0yb7Trlx&#10;cckFJGBI/D+tWj1qvALuF8h7VFYYYR24Ukemc1YJpxjZ3LlPmd7WEo60UCtCLidDRTscUZoC4mOa&#10;XZnmlxinoMmglyIxGScetb2m+HjKRJc5CAbsDvUOm2Pn3KZHAOTXZgAKB2xW0ILdnn4rFSj7sShJ&#10;o1pdpE8sSmUEEkd/aquo6LF9gaGCMLuYknFbuQqgVGxEhx9a0sjgVWaa1OWn8O2zWkRYHMYwQP4v&#10;rXL2vhG5OpzsMJGeVyevPNemSoQhAqNLdUcuRyaOVWsKVSUt2chZ+CLeF2klyzGTcOTx7fpXQW2k&#10;W0LbkjAJ6n1rUyAppuQATRZGZyfi7QrebTGuoYAZo+eO+PWvJL+7a2iBXKhhxzxX0BIUdGjcZVhg&#10;ivHNc0d2v7iyRC0SvgFR9386xqWjJMLN7HF25R5meYMSfmDZ6U8X0skkkcETyqcE7edvvWzBoxt4&#10;2SVYpuehO0/1q3HZJGqPBbJGw/uHkj0zUyrR7C5JLoYaw3ibR9lLIDg7RyPrUj2V1JErbBFCRksO&#10;Rn09q05J7s422zbjnIDc9f1pp+0LKZZDLwcjD5/DAqedj5H2Mi+tmsxE8e8Pn7o5znpUbRTXd0j3&#10;ELxK3cjkY65FbTySybkaCRs45J4A6/nVhYnZygmVW7KVyrD3NHtWlqg9nLsYzxC3jYlDKhGPXnms&#10;60vWgkKAAkHiupYJFhJEEjKNwKnC98Dp71lala27SiSKzdnbkGPgD2IqoVObRoPZy7GhFKskRUYH&#10;of51lfZgrPKj4Y5wB+PFSWqTAF2V0JGNp7UsS3SXJGxMAZJx96hKzdhckuxnT3LTrFaurfuzkt1O&#10;apTRTrcHAIGcgiurkXcr5CktjJwOTisue2kKcx5I6bTWsJj9nJ9CMRPLDtfPBHJ5zWlDeyw23lhi&#10;oz+dUIGvY7dIvKJbPU46e9OEU4KlkZmPXBGBSYvZz7GtbXnmzxM8hKKfuYyGqxqPim8gtILLylSF&#10;TyATlx74NZaCVXGQNvsRxVjZHdIVljCEZUZYHj+lJSsP2U+xs6Xr17DaiJJfKiZckkZz/hUreKZY&#10;LmOcwQeWjBmKJjHOM57VgTWxisY7eCZWz99mbkc9BzjHvVW6s3mPyvnC4wTnJ+uatNX3F7KfZnZe&#10;KNRt9YW1lhWZ4GGGYghVGee3J/SsB2NqdiySiPPyCMhRj8azLKW+iMUE0Sm1XqoYc+/XrVm5mmkm&#10;JRP3eflUMBtFOctdBqlU/lZrW1tcxBt8ke7+Eg0eTKHRiwBU5616IkHhjyWjW7tQxCjLNg8Z559a&#10;d/wjGhzPDMjJMoTrE5ILevBrHmi2dCjS7M4N3Z84IBPfNVfss7SH94pXtsXFdp4gXQNFtjqLxPPE&#10;sm14bbk8+vPGKvjwzY3emwy2sxjdoxI2W5AYZGRU6LY1UMP1ucCtjdPyW2joQFGT+JqWHS2VjuUE&#10;E5y7ZIrvZPB8aWSubh1kOcHfx0GP61Tt/DEr3MatOTGx5KntRe5ahhfM5OTTrvYWtoGcRDJZVyPp&#10;+tVEsNTu1ZoIY8k5ySAcV0muaJc6fb3ReeGNH2iOV2K4Pp6etVbHwpqVhbrdT7JPNOAqseMd6pLS&#10;6Ob2dN1GuhWttH1BYkSSFF2HrvB61tW0Rgt0jPVRg0kOmXbiTbbMdiluvpUrSJbgGdJQv+ymahJq&#10;7Z20oQp3aZInByeAK0dOeG5lAjkjkwedrA4rJu7SPX1j05I7mG3EgN1hCrFcEhfXmq2o+HNI0IQ3&#10;2grc2l9EwIBZsOM8qwPrThUXUVWTex6RwiKo6AUxpAByQBSO3Az6VxnivT7jXL9NObUnsNPSESSP&#10;H1diSAPoMfrXS2krs86MXJ2R2BYOuQwP0NPiRWPPTBrzXw9pEvhvxZbQWWqy31lcKySrJ/CQMgiv&#10;SEbCA0lJPVFSi46MnKquSBVS4cSRSJkH5TxWf4jurqDQrk2X/Hyy7IznG0njP4da8iay8QaQkepr&#10;qaNOj5eHne4zzlsc/jQ5JbscISeqR27DDH61BqPiO302KEXUK4A2oTJyffGKjg1axvrh47a5jkkX&#10;JZQeRXLeJbdrl5p2R324RFUZPXAA+pNc+zPYq041aevQ7MXwv4I5ljVUIyhV9wINJXLaJLqui29v&#10;Z6rplxBbu+2OV1PBY8A11OKGrMqg4uCUehTv9UstLjEl5cJED0z1P4U6z1C01GDzrSdJk7lT0+tZ&#10;OoeCz4l1pp55JkgWNVUxqDg85zVZPBh0O9eW0uLhbcptkSThs9mwO3Wn7lt9SVVqe05baHT96jeW&#10;OMfPIi/VgK5LUb6az2Q2yyXUr87FyePzpNGuL7XtQj02yijgu2BZ2kT5Y1HU/WlbS5cq8Yy5W9Tp&#10;ze2/Zyx/2VJphvv7kLH/AHiB/jVPUtD1nw00B1C9guoJ5PL3rHtKMenHcUm2b/nov/fP/wBeouaU&#10;5e0V0R6rrj6Za+c0aksdqIuSSay7TxNPcSol3HJAJCApBx16dq2ILI3GpWjySxjy3ypZMgEj3rc1&#10;qztLzTVbULqHyI5EkYRJt24/lzT54rRnPVdRT0MYM/Tzpcf71BYgZM8uP96uZ1xtWvLr7NYmVo0Q&#10;MTApwc+pFQaBLqcGoLaXDybXUkeapIGKtQ0vcHil7T2fKdZuX/n5kP8AusT/ACoLehuD9X21l6xq&#10;d7aCOC0jR7iXO0RxEkAd+9VoZ/EVpdW6avZSRRXDbUklQjnHHFHLpcqVeMZ8jNwrI3Pn7PYyMT/O&#10;k8t8/wCvlb6bh/NqRp3gA8yW3Qf7XGf1pwe5bBVoSD6Kf8ak15dSZIm2/wAWfUyMf61PEjjjzWA9&#10;v8etULm8ls7aSeZogiDJwp/xrl/+E4uFkAW0jYE9AxzVxjKWxjVrQpaSO5eFCMkkn1JOantLcFh1&#10;P4mqWmznUbGK5i2bZBnHPB7iugsLZsgsF/ChR1InV929je0a3EKbsda181zut6pLomhNcW8HnXLM&#10;scMfYu3Az7Vya2vxBs4xqjazbXEhO42ZxsYf3Rx/I1s5Rjo2eVyyqNtI9OdugoQ1nabfNqOm2t20&#10;ZiaWMOyE8qe4q8rYIHrVGY5mBBrHl8U6EmoCwfVbUXWdvlmQZz6fWk8Q3EsHh3U5YWKypbuUYdQc&#10;da8+0r4deGJ9PWe81C6kupBklGAwx74xUSmo7mkacpbHqhbk+lMeTA9eK5zwc93FojWt20kn2aZ4&#10;YpXBzJGPunn8vwrXll+dBng5qr32J5XezJvMywxxkVw/i61kXV/MEjKkiggYGM/jXVCYlkwOOnWs&#10;TxeJPs1tKsavhiD82P6VFTWJ2YT3aq8zlBZLIP3t4p/2VQOf0FSxWVvGcrbiQ+syqP0A/rUYu5wP&#10;+PZcf9dP/rUv26b/AJ9R/wB/P/rVz3PW9nfcJLWBW5ii57BAMVWmt4fPtysSD5+cD2NLPLLO4YwE&#10;YGAA4poMveBv++xSG+1i35UP9xPyFHlQ/wBxPyFVdz97d/8AvoUu98f8e8n/AH0KLDu+xZ8uL+4n&#10;5Cl8uP8Aur+VU97/APPvL+YoMkn/AD7y/p/jRYLvsW/LjH8K/kKTbH6L+VVPMf8A54Tf+O/40GRv&#10;+eE35D/GiwXfYt/u/Rfyo/d5xhfyql5rd4J/yH+NAlb/AJ4Tf98j/GiwuZ9i7iP0X8qCIz/dqkZW&#10;/wCeM35D/Gk8094pv++R/jTDmfYvfJ7Unyc9Kpeb/wBMpv8Avn/69HnD/nlN/wB8UWFzPsXvlx2p&#10;uVPpVIzj/nnN/wB8UwzH+7J/37NOwc77GnDGkr4MscY7s7YArSA021Gzyzct3cdPwrmrW4ZHfz0Y&#10;qSNoWM/rVwajF3SUen7s0bGb9/VuxXk0qMaYkkv+vYBinzfKcdOvr/Otvw54hbS40sILRZGnbKx7&#10;uuOp9qxI9cmZUKSiUEAnH+fpWTrmrahb6xbzW7nzUUhUUZAB65HfP9Kypc8pcskeDdJ3O009beN5&#10;ZpbKO3ubksskcLHaQrY59agutVuI72W2tp5kiRVBBckHtgVzM3i9tNuEgxHM0cSq0mc5Y8tz9TUl&#10;r4kN3IpNuiRyZO7bycdsmuitC0LpXBz1sb51u+x819NgDoWzioV8S3NqGuBcyHYOBVe1l0+6f5oS&#10;H25zn/CkMGkSLJEYpCZFyQGPQd641KKesWWrWV0MvNVm1vT9l+25GO5QGOR6HNXLbxbqVnbW1ik7&#10;yIi7MucnArnPNU3kscalYYVCJk5/OrOloZNYXzNvkxxFmLdMnpzXTKMVFu2wPU3m8da1FIBHLG28&#10;HjbnA96wZ/H+qnWo7r7QDGoCmIKNh9cjvWtqkxi0u5ktXiOyNiBH9OtN8EeErN9KGsX6mS5IZoo2&#10;+6mOhI708O4yTlYjVM67w14g1LWbmW6ezVYwPmZFI3N6fXFQalrKfb/s6RTvlwz+YuPu9q7vwlpd&#10;rbaQ9gi4CP5m4nJZj1JPfmsTVtPhvNdcOqG3tvlC4yGbuTSdJ81+hvGsow5eplt4zwSJLb5hzxxU&#10;lv4gt70tM1uUUIVMhGcd/rUWq6bYOyqIn80EHO5ulGin+zIYpBp80lrNL8zLg7Ezgtycnp+lNwla&#10;17k0Fy++ytBrdrLr1tHCrTOkblXVdoJ7/pRq3iXULvVbfQtI22t65BkkmGdq9eB3rc1SNrbVJrbT&#10;NHa6KoN86YVQTztB69MZIHeuM8OalaN46v5b6IG4lj4lJykSjA28dPTNUlKEbltKrU8hl/4u1rQb&#10;3+xtUMF1cmZR5qjaCnB+h4xR4o8RyLY3KWcMs05UB1KH5B36jH5VB8Rbi31e8sdJsFS6vvML/uQW&#10;JHQLn8a5+fRvF5sF0+Wx1b7ODgR+Q/PtnGSOOlXCn7S0hOr7JOBLaataWcsiafFCwhtVMcjL87yv&#10;t3dOoyTx6Co5Z9d0x2vbiYNHHIpZWH49MVX0a0n0jXrSW9sJ1SGQNIrxMMDOM4r0zxRqGkvpskDx&#10;2sjXeI4UDc72OOR2/Gprfu5pJbl0HKdPV7DdQn/tC0gSS5mZGMbor4Abv6dqozXE/wBujsLG1a8u&#10;3G7YjABR6k9qteKtH07wppUN/doxkDIkUHmE7sEZCj0xnNVfBmp2t5retXVu5E0joIgMAmLA6A89&#10;RWC5krtaHUqutoNEdrqF2806f2dKfK+SeISAOrA9uxHWuZ13XtZ+0DTmgkhScgIh5kK+mfTNdNP4&#10;h07RPHOpXG5plNkA8YIOZQRgemcVztr4kN548tdRnBc4KL5SZ2ZXrj2raMbLnMJ1ZTlyCy6bJ4J8&#10;Q6Q32kypcOBNgYxk9P1rsLe+0K18To5ZEup4zu+ULwT0OPcVxfxN1p7prGFPNeOFi/nlCuT6Cm6P&#10;4g0JtSQXlgyRSKo+0SN5jZzyW9jntUOEppSGpxptwO08Y6nYR6Wi3iAzCQOscbgk4Hy/TnFcCvil&#10;3ufLFi20cH5uc/lXR+MI9EsdZsdCtRCjyTxvczK2QikjAJ78c4pfHPhuC10ibWbO/AdNqvEEwGPQ&#10;4ogkrKS3KdaaTdJ6HPnxPEfkeCRMnBKuMj3FeiJYpc6J9p1a9xZJEZAxAjyOo4/vdq8VhtLy4thc&#10;JazvGc/OsZI4966N/FviSCyhsDGqxxooCzRdhjB569K2nQTtymccdNu836HV+A9V0xrm/s4NjMuG&#10;jaQbQQSeOcdKf4v17SrbU4oBHvuFjwTEAdvqOvtXnCaxqEdzezzQxO12d0z7QSDycgdhzVMvdSDz&#10;3kwQeBgULD+9e+gnjnfmS1PS/Ceq2F9rm6OZ4Z0iJUtGDkZBIrqvFd3pw0kXd7K88fmB14HyHtgf&#10;WvC2a5srmO4t5WWdSCrA9R6Gulhl17x7dzWVmmbaD5Q6/u4156t9amdGzvfQaxXO721LkHgm98QQ&#10;nUp5WR2dtqMDwg6VHpUkujyT2OolovLIMe7nI7/0rpfD+tX2kX1zoGryTPNBiSJ0Qtvz1xjtmuQ8&#10;SeKZr3X7mGa1CmGRlVTww6dfypJyk+XoWpxptVOpp6lf6dd6dcW73iR+YpAJB69ataN4H0bU9LWa&#10;3uRcSMAMpc7fXOQRWV4I0u28Va/LFdxyeRCC/wAnbsBml8PyXekeLbjRIV8piJEAkJA4yQ2O/A/W&#10;nJOKai9UTOr7WSlNabHRaVaW3hfTlt767jTBLkl84zyB+VbNx4k03TNGOqGZZoTxGIzku3oK5C60&#10;mbXkSK31S2GpeU7C1kUgvg8jPIzXO6La3b6vpOn3ChZDcNKbeXgZ6c++Fq42tdvUznUbtFbHTXXx&#10;Fu7uWKO80yNLNWEv8W4gZ6GvRdGudNvrJLq0QG1YboW6Ecc5P1rN8UaPP4k0iC2iitoZYm3K7HqB&#10;kEflWD4K0O+n0HU9NsL5ZTaMdwU/xMDwD6cVhN+0V1uaU17N2b0O/sdiWsap93bkfjVgSfN+FcLo&#10;nidbKBLO6hIRPlEinJ/EV0seq2cjBluUIboc106RSTZxOXM2y3dxR3dnPbyfckG01x114vg8O3UV&#10;hHELqdAEKKeMZ4Ofoa7OTS2urGVGkaPzVIypww+h7GvMfh5pdlDq+o3Mlo91HHcNbRO2G2jOMn3q&#10;KiVrs2pSle0Tr/D3i+28QrLEIWt54yx8tjncM8kHvV+WXDRgnjfiuIuLJdJ+KunwW0TQ2t3wI+gX&#10;cCDj8a6bWrK709owzttMoIdScEZqlZxTQLSbUtzC17xzY6DMtsVluLgMd0cfG0e5rm9f+JK39rFB&#10;Z2bAg7nMp+6fQYrf8P2Nn4i0K/huLWBrhp5S80gwQd2Mg46gEVN4S8ORWNrdWd3pUd6yzFWJK/N6&#10;YzWbqRSaaNUp3UouxzWja9Z3hEd3G0cpjOzaeHft9P8A61aPejxh4JFlv1XTbea2VQH8sMpSPHXn&#10;OfwxXGDUtWH/AC9N+Kj/AAqHGMtYnfQxE4r95qdpQK4v+1tXH/LwP++B/hSrrer5RRKrMx2qBGMk&#10;0eyZu8XBbpnadqK5i+u/EelTxw39uITKu6Msg+YfhULa9qsbEMkJP+7/APXpezYo4ym3bU6K/wBS&#10;ttOj8y4fGegHJP0rOg8UafPIFzImTjLLXNXt7cajer9oUb9u1Qo4pp0u8EcrLbOzxjLlQflHqfSt&#10;Y0o295nFWzCr7RqmtEegqwZQQQQehFBrM0u72eH3luFaOa3VVEbKcv69uKy28Uzhzi0Rh2IcjNY8&#10;ju0jshjaUlvqdPRXMDxXKPvWP5P/APWpf+ErPexb8H/+tT9nI0+tUu50uaQMG5Bqv4f0CfxczXNx&#10;ePa25JCRIeTjuav+IfDB8JWYvYbtp4AwDLnPBpNJO19TJYtN7aEOaTvWD/wldrnm3nH4D/Gj/hK7&#10;LvFcD/gI/wAafs5djX6zS/mN6g1hjxTp/dZx/wAA/wDr07/hJ9NP8co+sZpckuw/rFL+ZG1SYrIH&#10;iXTD/wAtnH/bNqX/AISLTP8An5P/AH7b/CnyvsP21P8AmR6L/ZelEYFrbKPRVC/yqpceHNIuJGd0&#10;CsRgFHx3z3oVrKMDbEW+ozUgniP3Lf8A8drV0luj5znex49f6P5uuXlpaElI3kKFurBfT1rqdO0J&#10;ho+nzrIillKNG6kNnJBrom0NJdZhv0hhiEasCMEE7hyfSte0t5YrdI3McjDOXYcnmqk+ZJEqCRza&#10;+HL+G4hkihDJghiJB0Pt61DH4ev4ZV3xSsM4OOmDkEZ/H9K7dTIO6D/gNOBO4Fm6egrncGjVOJ4/&#10;4mhubOQSqslvvTAXBGNvH/1/xq9pcJm0KMMXJlXcc9Sa6L4i26zaNFOD88blcE9iP/rCpfCGnEaB&#10;bm+EbJJENiseQCOa0nd00yY2532OZ0S6aS3vreVvuR4U4zkc9fyrtY3Gn6fZWgZSTGsOT05GM0sn&#10;h/RYLW4FvAiu6EfK5zUUEMrXtl5hRViwzgryQF4pQtrYb0SR2MGsSWp/0c5coRwvbFRmf9yHQSBW&#10;G75jz+NUbMmVnuSOG4TI/h/+vU0s0ksRc8M3JwP0qyNLeZzr6k8msTRMxwAvJOdoz+vSp7Lx14e0&#10;LTWGozPc3KSuI7S3HO3ORuJ4HX61jXkBh1W8mknYARD5QcDI615VPOLm+uJx0eQke9awimyG2kj1&#10;e6+M+qXNhJY6dp9tYpICgm3FnUHv2GcVJ8OLJbiXUrlY2lubVYy+f4oyG3D68A/hXmlqjtc2yojP&#10;gKSFX3r6K+Gvh2fTdJ1K+u7dobjUJOIyMFUGcfzNFZJpRNI3p3kcp8RNGi0CXTNY05fKudzOHA/i&#10;GCv4dfzroE8cM/hS11ee3dLqB8SxB/l3lG2++CTmpPidp9zL4TsorWFpprQ5YKMkDYQTXjEOv3V5&#10;GbQALASAV/vMvAP6ms78kXbodmDpQrz5aj1v/wAOej+KNWaW58OzakxmXyFuJU6Lljxx9Kf44tPD&#10;/wDY7XTokk8ozEEBBZux/CqvjaTTdyWaOrXluEjYKOEUL0P51zd9qk+qRWoupTIttEIol7KB/WuS&#10;bvK7ep7dDCKtCEkrJXv+hha/e3+r2ltJd3E8wt0CRiVui/571u/DbwzDrGo3Nze8W8aeWjBsfN3w&#10;fp/Ouau7kzecNp2j5QO2PWvT/h1YvpumxxyTrLvy2V6cgGteeSoyfY87M6dOnWi4aXPM/HFjFo/i&#10;q9srdgYQ4YFWzkEAgV3Xwn8JG8ca5doBGuUiDfxH+9Xn3ja5Fz411NlPy/aCn5cf0r6Vgu9P8NeC&#10;UmSNUtrO03hR3wucfUn+db25qcb9TylNxbaPK/jJrNnbJDoFoqNKSJrhgB8o/hUeh7/lXFeBf+Ec&#10;fU5P+EjO23RcruchSfTABJOcdx+Nc7q2pT6tqdzf3Tl5p3LsT71BaJ5t3Gh6Hk/Qc1vCmox5UYyq&#10;OTuzqNUs9PmtIVhE5uXdWlupJflVcH5QuM915yenau38YeGr+18FCNr+ORcoqjIXzPc/3j7Cub0W&#10;2i1B7e3O3dI4TJ4Az3zXX+PIoFubCyDmWO3t1RX3ZHHBJ9+KKlFSnHUKddxhLzG+DCmm+FUtpZ4t&#10;ylmAVhuGexB71wfiK+e58R3BkkLhW8tSSOg4qW5ZDG6R/KoT5gCec1zkzmWYM33mbdT9lyO99xe1&#10;U0tLNGnCrFmKBiSDnH93HP4V1fhbwzpOvaReC4lYXSyDy9jYKcencGuOiZguVdl4IJB7VGL6606d&#10;buyneKePoyHqPQ+oqZptWi9S4OKfvLQj1KOS11CS0nRkkicowYY6V6R8M7+yOkvYrDuu4HIZVJ+d&#10;W74rhLeG58Vm51KecI6jJYkAk49DVjSLaXRr23nWXerN+9UEgsvfBHSssRH92ubdnXg6cpzk4LRf&#10;qdtfa5aW3xN08QxgJEgt5FXtvP8ATIrnvinbW3/CXxrBCkb+QpkKjG4knk/hikvLObVdUOoWtiVX&#10;afKVJhlQvfsfX3rF1e4udQ1OaeR3muGALM3RR6D2pUI7adBYmDiuZvS50/w21O20+5vbUwzq0xDi&#10;WJS3TPykCsnxbrK3PjNbwI6LDiBmk4Y46k11Pwi04jX7uWdmMf2fGADwSR/9eua8Zab9i8X6raRp&#10;si84tzz2B6/jVKi/aXOapVjOi6Zzl5dzaV4gafTp5I5R9wqc43DnFW9V1DUbvUrPU3kDXkWxA49V&#10;AH64qC+ghjvbOVBs248w9enOf0roNI0WHVJLSR2CRvktJjcFycLkfUfrWrhrYxoL2dNRbvY7BtVv&#10;F8KXF2LKSKUJueSRvlUn0HUn+VcD4K8V6j4X1l7uEPLp7/uroAZBUk8+xHUV6Jf6feyafqdhbajH&#10;d20Q2R28TfMzNjrnnjrXDab4U1BtD1GCC2uWl89FERG0MehJz2FY0qTg3c6q1ZTSL63EUymSNwVY&#10;ZB9ataTeuNTtIFkPlvMAw45rE1LQrzwqIre5kVjMgcBedpzyM96lsZJYb2ynAUosqs3POPb3q5Rv&#10;ozG/Y9Gu/GracsscsKsqQghg+DnbnmvOfBPiK5066uY/LJheVZmZRz1w36VF4nuVuYmlAI8yU/l2&#10;/pXU/Cfw9a65pGsCfO+ORNjjtwaKzjKKsrMqgpU5tylddNNjr/FR03T7e18VMglltlCxdwwdlJP1&#10;wDj61i6/4uFzpTTQIrINr5Y5xmsnUNRFxoUnhkxkx2szBnd9zZDEgD0FcnrPmW2iNb2isfNZY1Qc&#10;/Nms4QTi4NblVZ3kpJmBaeKbvT9SfyjIYGmaQIjYKk9cfWu68E+JLu5u72O8jm8qSUOm1d5X0GD1&#10;6VgWHgdYDHLdTs1yAG2JwEY9MnvivQdN065gtZb2J0EiOiKNgGc5J5rtWAdSDto9jzZ5zToTinqm&#10;m9PIzfibrmqQW1jbQpLFayAuzOo+bBGAR0H0rN0++sL/AE9J/sMJbGHCIOGrtDp0erJIms3EjQup&#10;Dbe1cTb+FJtKWO6027a6gmRpHhZMNGgPDn16j86yrYKNKKi3dnVluaRxk5OS5Y+v4jX1HSYyS2nH&#10;A7iMGoLP+zrzxppYtlSKFFLcrjLHpxUdzBDP9ola48pwu7gZBIxx/wDrrnLeGabW9Pa1b98ZPlI7&#10;1wQpJO6Z3SUoSte6PYPGWltq2hm4LR/6A5dTt6joec+1cDpQ0q5SRr6PLBhtwTyD9K6LxNd6pp3h&#10;WKNo4I1uT5bmNTuIIyRz0rjdCEVxqb2s11HbrtLAuMgkDgVEE5RaNq7as47nR28Ph22uPOSMS/Kw&#10;C7jkNjjr+Nehoti+nSzw2oEc8WTk8dO46V5ZHomo3kQltrWRmA3LgfeYZ4xXd+FtVZrJIdRM7Spw&#10;sPkMWXjoQBSqU5RiuosPNyTT3Oeew07VTPfNqF5D5pLSRpL8iN/dHtWafDGlsP3d2x/4EtelL4Tt&#10;pkubhtLNtDOAFDYWRjnJOO3brWFqngyJlll012iNunzK/wAwkJ5I56VfsqjV1KxnVq2laGhxx8KW&#10;bci6OPwpsng+LYTHdZI6DaP8arSh8SsxkBUfcNSXNvd2+kPqEi7LfGQwPYnFQo1ekhQnWk2o628j&#10;sfCctta6bbxortMsoibYeG6846dq6DXYLG80aWzlMmHfOJCSD3wK4fwTpuoPbpf6fdxT28zDejDc&#10;I29CPyrqPEnhbXtRmglM6RwRYyHbb5jH0UdAB/OqlTlz8vU1jVj7Pm6nnb+C7jccSQ/TmoW8G3gO&#10;A0J/E/4VavlvtOvZLe4mmSdONm7ORnsfpUbaldxRq63UigHBOe1L98tLmHt5+RTbwleDP+pP/A8V&#10;G3hW9B4WI+4kFXo9fvPJZlnI5yC4yMVHBrV6yA/aNw4ycDB/w4qk63kDryW6RUPhW8/55DgdiDU7&#10;eCdQFtDOogYSg/IJBuTHYg1YGsagJSFkVkBzkgA4xVlNUuzGuyRTxyWTNHNWXYFXd7WPQBleBgUp&#10;b1/lTMmgN610WMx4KnrUgAxwRUIOe4p26lYLku00FeKYHPpS+acYxTsFyreadbXoC3MEcwHQOucV&#10;LDbQwoqRxqqqMAAdBUokzUisPUVIDMAdq5K5jI8Wv5ckhR9iyJvwCzfyAArsGORwAa4O5vXsfHs8&#10;rxtLDGgcKeAHKgZB78ZpqImzvlnVI9pfOBj5eAvsKrm8QW6YH8I71gv40gRgrWcxzxkSjAoXxXCz&#10;FFtpsDj7y8/pS5WK6OV+IGpXVuNqRlBdAx7sEZHHqK4FF2oAO1eia7c22u6vbRXkIS3jDMTvJY9K&#10;yTP4Ij5aO7P03f41tFpaEtSau9ijpHiCbSxIIFTzJlVCzgtt2+1dx4b+KPiGPxNYG+vDNZXEyxSQ&#10;lQFAJxkemOtZ3hPQ9E10yTWMcz+QoFwr5A+YcHPbkVu6p4Z0vTbKS7dYYjAokyJGd1PqD+FZTqpO&#10;1jtUJ1YLmeiPZtZvbKyi828mjhQqw3yMFHTuTXzb4ds1n1y2gGGWa7QZHcM+T+lelfFa9jufh8Zo&#10;pRMriGONwc7sncT+grgPAapFqmm3U5VI4laYsxxyFJH6iprO0F5s6cqSU6kuqTNjxd/pF+959gWD&#10;z532yiUHzVBIzjt2rDj06/vVAsreR1kDYZI2YLj1wDUckokB3DLHknNa2laz4rtdCl0+G1aW3YGO&#10;KYq5aMY/hIIHvk5rGmoTk3I9TF1a2Dowp0tzmEtZRb3KTBkdSQQRggivVvCTg2Nk78f6OGJ6DoOa&#10;4C002+S01CHUXWGSCN5gGGWc8dTnvmruq30w8DQrb7kLwx+Yw4wvT9SRVuClGcE9H+p5OOr+0jSk&#10;17yvc4LWZBJr184cMTcucg9fmNe0/FPWxZfDnS7CN8S36x7h/sKoJ/UrXidvpFzqBYWcUs8gPJjU&#10;kD6mtvxTealqQ0WzuYpWnhsljVMEljuI4H4CutJXS7Hl2ly3scxjcfanxiYN5kIOcEcCo5iYcqwI&#10;ccFT1zXqfwv061vvDs73MNrJsnw4ljDE8DHb+VOpU5FcKVL2kuU4C01G4tZo1vo3ltS67487SwB6&#10;ZHSupW6tbi2E1hFLa2rHPkySlzkZ5+ldd470iw/4R3zrg26KhZ12Q7CHwdoyPeuAiMcWjWyqcMw5&#10;56/hToVPaO4sRS9loRNeKBdNIQmTgdu1ZAuYXlUK4yKtw6fcarqQtreFpWcZxxx+NaWo+B7jTtJN&#10;4cNLuUIiHduOen1p1KsVKzFToycbpFGPcV2q5XI7elVrjcpx1qRJGVf3ZO4jBwetUpb1jOEjHAPJ&#10;oGvM27bUpY5hb7Iypz8uwLggAfl1qTZNDcOTJMQi5Qo2M98VnidmuI95UsAWO7pV17hm+0OLeB1C&#10;AMwJG3kcj+X41yPmvY9+DpexbT6/oTzXFxDZRmS7kZdv+r67T/k1c0OzGoXhlOdu0sQTyegH8xWN&#10;JMGgnVg6LgDOdw6Vb0jwn4i8S6fHPpcarbAbcmUKWI61pRqcqk2cmZU1LkUNtf8AI9c+EttBJ/ay&#10;uoZopEUHPoWrn/iBDA/jS/8A3YwIdzH1OwVa+FljrPhHxNNpGrRjy7+IvE4fdhk5x+RNZXxBvRb+&#10;J9XaQ8PHsQ++AK6ITUndHjzg46Mx/Bmm2+r385vYxLCls7EH1JA/lmvVbWzsNOsVEVlF5QC5VVxu&#10;x0zXlXg2RtP0LW9UMhYxQ4CY4IOcfrWXJ4o8WXziS3upvk5CRcKB9KupJRViacHJnsHhySymlvJr&#10;ezeFnuHLF33dMLgVtMVSVUGB3NebfD7xTqEmoXGmayT5qrvQuNrDHXiu6nv9PY75Wj3DuzCim7oK&#10;qtI4j4oRs9xa7OvlHAxnJzXJ2Olzx3cPnqy7Y2mO5CBgYHGfdhW/421OOfVoxGR5cEWC+ehPPH6U&#10;2/1i1S4htvM3vJZCNdvIDF1Y59OFrmqTftLLZnVSpp0nJ9Dj/EAmZYoY1JJY8D8P/r16d8L5U0D4&#10;daxfzErcGQgoeoOAF/ma4bUkUXVpIcDDkH8q0YtRkh0+5sVP7u4ZGP1XP+NKSutBLfUxNFuZFvro&#10;zOXMkjFmPds5/rWjdBpJrVQyq32hGAPsc4rm7i5udM1SQRweYsp3qO+cdqbpN5eaj4xsVuekbb9g&#10;/h4710UY3qR9UcuKko0Jt9n+R39pObjxDfKfuRhAoHQEjn8eBXYL/o+iQjoZJnf64AA/ma5fTYo1&#10;mmlGSHlYnHtwB+ldJO3/ABKLJgCU3SEZ69V4r25K1ku58OpOUpS7RS/ImUWps963HmOUO5MEbT6e&#10;9Y3g65ttS1ie1Qy74bNoJA3K5+UcfkTUs4SKKVl+bI+XjjkHr+VZ3wwbdrFxKy4eWaQDn0zXPWpX&#10;V/U9LL8TyXja1+VficH4rmbTtdlsSYJPKUq5TldzDr9QCKq+H9SstK8QWl7eRNcW8XLKhwRx1HuK&#10;g8aRSJ4y1lS5O27k+uMnH6YrP06zl1KdreEDeUZufRVJP6CvFjTtFXPsHVbbPoaa88OeK7O1tLC6&#10;ivEkBaSIEb4xjAJXqCCa8x8WeFrfw94l0W2VgyXG0SkE5Y7uT7ZGK4PSNXvPD+rxX9nKY5Y25I7j&#10;uD7V6R42mTXbTQ/E9lOHlciJ4M5IPsPbn9KnlVOS7M2VR1aTj1R6L4fuki0VnZS01mWWQd22jKn8&#10;Riudl+M9zz9k0iFB2Mshb+QFWdLu5IEg1FFOyYCK6THIYd8fn+tcl438NR6Zef2lp+G026Y428iK&#10;TqV+nce1TVutUbYCFKcuWoteh33hPxfrfima5nvYraOwt1wTGhB3HpyT6A1r8x6XcSnrKjOM/Q4/&#10;QCuLt7qTw7ofh3QYhi51RjPcDHOGGF/T+Vdnr0wtNEkkUcBNv58f1oW2pliFH2nuqyPG/EN08X2m&#10;6FjLa/ayWjSXhgCTn8M5pfFF0o8KadpqE5eKMtg9guf50vxF1Q3mrQ26sGjgjXPGDmuQOpNesgfP&#10;7sbevpxVxp7WCjWjThUvu1b/ADNvwT4svfBV9cSQwi6t54yGt5Gwu4fdb8Knv/iJ4o1WQvNdmEBd&#10;qLGqgKPbj9a5wvhmx7VIR8uQa2t1OS9tiW3vriW8WWaZ5ZX+8znJNas10zptcIQewNYFmcyb++a1&#10;X+7GpQYcsMZyTzwfp/hWVRK9zai9yxHIsSkDCZXbj+lJGIUAKwjcDn2I6Ui7JmaEjYygEnjk02dl&#10;EyqpKnJA+o4rM3urmja3EdtOXWMGRgVJdVZRnr1psL+WgVRvOOd3OPTvWYJHPzMHAU8npT1u9nA4&#10;4xk96VivdPWCVJpD7GkHPTml259qs5hMYpwJA4NJgjtn6UmRnkGgQ/PqKN4HqKbmlJPekMA9PVx6&#10;/nTFx2p2fagCTeMdKxvEUIuNPEneFt34dDWrlT1qO4hE1tLH13qR+lC3E1oeZXkuA5U9DT9OVxAX&#10;kbJPSqupAxNKrcVf01vMsYiRyVB5rR7GaILm1e40vWLqHcJbWKN0deCPmO7H4ZriBFLP8kUbO2Mk&#10;KM4A6mvUNKIk0PxKmzf+5K4Hf5GrznRpZ4tZtGt3Kyq4II/kaceoPVpM7DwdqGp+HhqumW8cSXN7&#10;AqlnOdijJyMdSQeKbrXjFtS0mW0ubXyZkGyWRWJDnkYx2rrrrS7SfShrlijNfJYkKkJDLuIzgfTp&#10;Xk007Tec8gw7NkgjHP0rKDjVd+x0z5qHup6M1tJ8Q6jpcStbXBAxwkgDr+RrvPDL2t14Pmk/s3Pk&#10;wOXlZRiR+ejdq8607TLvVoQlpEXdJFTjvu6flg13f9u6b4b8P3uiwXEZnhcAA8liQOx65P8AhU11&#10;dWW5eFlKD5m7IyJYTCEaSJlZ1DKGH3gemK2PDXjC0tWnsdSfykQbo3GW+qnFbvh6LS/F+mRm5ja3&#10;urOZWjETAbW6/KOwPp0Haqet+CtI0q8utavriLy5JDshKEIhI9Byx9uB71hCMFpLc9HF46rVdo25&#10;f61OUl8XPe6rqywwxyW1zF5KF/lZQO4+tTWPiTT7WGax1O2uZInijjUKAQQvJzz6/wAq5G7+yC5f&#10;7AJRBnCGQAE+pwOn0qwY5Gt8yghh90kda6pUYONjyHWk3d62Pa9Lm0OLS4m06Bfs4TzFZcADj2rg&#10;F8arBr8t6dMilnti8MMo4IXcTyPXmr3gDSkvbG+heeVVSRWEanhs9sfUVw8oSC5l3KQfMbI75yaz&#10;hR1dzapiNFylLXr+TWdduL+WBYXmbIjUcD/69bnhPxBfaDJDb2kaMbmUbt/KtngDFVNJSybWo0vX&#10;aMtjy5Qu5UfPG5e47Gu38TfDyWzsZ7m0iTzJriHyVRiPL3ZDD6biuK2nKKXIzCnGTftBvjTUZf7K&#10;KarKkl/c8RW0YwkK92x69q4L+0pYIwiRxtsG0E8V6Zo/glj4YS/vC0eoGGTcWQtIoYjn3IUHGf71&#10;eY38lnJdt9jgeC3XCoJG3Mcdz7mlhmkmkPFe81JnceEdQi0G5t5tSHk/aR+7Lx/3scg9xwK6rxLe&#10;3Fxok1tpLpd3PDB4iCIx9emfQVz2kJH400qCOH93qGlBMQyMfKlUdPpnH+e3a3tnc2+gSx2ECi5n&#10;AiSNTny2brkj0BJ/CuavL94r7nVR0ptLbofPsr3cDAiQ4J5yorodM8JXN/bR3dtJHI7jcIgCT+eM&#10;V0mp+DYpr86NZApex23nFpMgSYOMD3JyfQcD1NU/BGsXumXcukXG+IQSNuYrnyyOGB9jXTOd43gc&#10;9KmlPlqdSG58MnQdPN5eyt9olwEUDvk5/SsmSW2kWVmdS+RtBTg+ua9dubOPXbR2MbyxEbI8rguT&#10;xkelVNT+FGmW1jc3Eeqz26opctMAyqBz6A1hC8/eZ6H1mNGPsvmeWNDDNFMQink/cbB6V7N4MSzg&#10;0K1msLkx2+3Cx9cZ9fevO/Cngm+8U308Fu8SwRMS9wV+XHQYHUk+leg2fhO78H2lvYwN9vhaTD+Y&#10;2zazYwR6CnKlOzCtiqNTl5fM3FWG31eyuLi9jDIWIkmIUDIwRyfQ1znxJ0jQ7/SZtQguopbkyoMx&#10;yh/0FdffaPpKeHppNdtobtDjEOMgN2C98+9Y+jeDbjTvDMgNpAiyFnNuMswQ8gEnqQK0p3hG/U86&#10;tapPsu5x2j6bF/wgtykpTdePgZPBAIA/lXTabph020FpDJaQtgHesYLYP4f0rz/Vbw28Ft9iuHub&#10;UTYii2bSqA8478HPWt/w940tdVgDrZTPNnZtGD06d+KMW+ZKSKwSUW4svX3hOK+1WW8mvGW5wqu8&#10;Xy7hjnHpT4PA1kj7nnuJVzna0nFct48sLy6u7WQO32hgFEUbfdyeM+2Aea67w9eXOnaakGpXhn8t&#10;P9aRkgjqOOwrTCz/AHaMcZTvUujzLxi8EHii5tHy2JfuEngY61hyXbRvHcAAAOQp+gHH61c8WXg1&#10;z4gymBWkj3iNRH1YKMf0NQSwxedYRzoViDhpPlxgZGQfUjBpS0kgi242JPsM+rw3N6LnmGPJDe/H&#10;4Vb0VyiLBJJvIBI+lexW+l6U1sbONh5TquV2q2R+I+leWa5Y2+leM54LVlMKqB8owASM4rKFXmbR&#10;vVoKEVIluYVeNXwMqQQfTmsvw1an/hN7rnkREjj1IrWJzDzS+DkWfUNSnUgEyhMt0wo/+vXfgles&#10;jxs2nyYSb76HU+H42uYGjiUvL5z4C+hP/wBb9a6K/wBNvINJh8yP7rO5K8gZx19M81T+HkcYtriU&#10;AE7yu72yTXfxvBPCyKySDowBBH4104rGuFXlS0R5uDyiNWg5zesv8zzS9l22qRoQ2QXP17D8qz/h&#10;6We8hlwFLTyMMZyCWNad9arb3dzaklSrExc5XGentS+C7ZJbm3ljyB5jEgDpgknn616ErezcvL8z&#10;w6Kkq3I1rzL8Dy74ggN4/wBaUYz55P6Cl+HNsZ/ELKw5Ftcf+iyP61D4+eNvFOoX6SljLeSIR7Kc&#10;A/pWz8Mlc61c3ohYwJayo8uQFQsvBJJr55v3W0fepNySOFu0GxjjkGtLwy73l/b2M1wkCbxhnbGB&#10;3x71UkTLEN69jUcm1iMAhuxHam0mrMuFSVKfNBnvjm1tNWmsI5D5E8QmXByRzgke4OD+JqK6eHSb&#10;kHVEWfQ9RIhu1B+WKQfclX0H+e1eaeETq/iXxDbwNfNG1vCwWTA+UAcZ+ua9KXwwLiyns9RWWWaV&#10;CsdxK5cKe2B0Xn0rOS0HTmlK72G6DPbeI/Hur6uSjQWm21sxkYAHGR+A/Wul8VTpF4YvpCEcxxF9&#10;jd8c1zHw30IW+g3P2uCN5HunBDqCRt+XHPuK1fFGlaRb+G9RlNpaQy+Q4WRUAYEjA5Hr0qHorGrf&#10;NV+djwi8vJdRuHuZCNzdl6D2rMteJXU9jU9pKAXXGSDStF5V6T2ddwNdK2Oaa1Y58ZU+pFK7lIpW&#10;9AcUmMsB6ciiVC6eXggN1PtQSSWWRIEOQRwQRXbLoFtLIlzlw7RqOG46elcjBANwzjrySa6ZNbeG&#10;ARzKUGdgxnt3/WuPFuatyMqDsWB4bhEjFJ5A4PIOOh9Kc/h6Jpiy3TA4IAZc1VTVZFu2Dy8RH5sc&#10;jBqO41Yx3bI0peMg52k4X/64riXt7/Ea+0LT+H3lUqL0MuOhTGKrReH5Y12yTQvjoc4qL+1LiC8A&#10;tJJTbDJIlIPOPWnzail8qStHhhwV3BT25q063V6D9qz0HbzThu9fzppDDoc0obJx0PvXcIdn14pw&#10;57U3Bx97NKFx0ODQAYP8NHOOcil3EDnmjfzgGgBPlNO3Y7j8aawB64pNo7Glcdhxkwe350u8MOMZ&#10;qE5HajPtQFjzbWmaS8mcwllLE4H+NX9RQWS2jL+6ja2Rjzk9Og9aXVYtlzMnQBj17VPr8RhSwUjJ&#10;WAJn6VoZLYo2Nw0fgnxBKu5JmPJPowA/lmuc8FRhvEtqWRXCo7EN/unmtkukPhHXTI4DSsiKCeSc&#10;j/GsnwgHGpTSRnDJbsAcdCeP8apbMTdmSaN4l1DQZy9nJmNvvwtyrf4VQvbqTVrqa6uFVHlcscDG&#10;M9qpbnjVsqTtOKh+1SMyqFOMjk1Sgk+Zbg5yaUW9DvtK1Wz8JaBeCO5+03s4DKEQhV4x179a4S3u&#10;ftGpS3dyokkZi/Jx8xPWtF7oyQeTJz6GsOceSQqscjINKFNJt9WOdVySXRHQ6Zr91o+qJf2eBJFl&#10;sduRjmn3nizVNflDajdNIgbIiA2qPfAqhEQ+ngqnQYOP4qqQ6deNMkaRMGYgZxwKp043v1JVWVrd&#10;DXQ7bdI1mVoEcyFT1BIA/pWzeK2q6RaLplvJNNDEvmCNSxHHJOPxpl94ZtYdG3RzOZwud2eCa6Dw&#10;d4k8NeEbVY7yQveyQB5JY1LKp/55g1nOTirrU0hFSunoaHgXWdN0iG3sLiYJd3LGaVn+VYwB8qkn&#10;v3/GrWr/AA7t9a1WbVLDU4/s0x8wxxKHBbvg5rznxD4ni8S6/PqMax2yuoRY2bsOM9Kj0zXtX01m&#10;+wXxjj3hmRG+VyPWplGdrxdhxcL2kUb9zY6vMib1eCXC71wwIPcV6ZonxkikSO1161XGADPHyCR3&#10;K9vwryvWb6fU9cuLyWNUaZs7R0A/rVMW6+YecgcfjVypxnFcxMKkoSfLsd5qXxC1vUluo0uvKt5i&#10;QqooyF9M/SuTw8kgjQZ3MFA9azyssX3GOK0dDaebWrEOjiIXCF3WMttAYZOKuKjBaIiUpTl7x6av&#10;g7xh4FgGrQGzeKQKs0YfJOenUdRmug0jxTbaZa3T3nmy3rtuWMfxcfkKx/E3iy81a6dpZiIFJEUY&#10;6KO341Tj0e+GmHVJI2cHPblRXn1Ze1ldI+ooYSlhaCp4mWsn9w+yPirxBrFz4pt9Mijt7Tchidwh&#10;2gZPJ5PHeu50NrHVNL8+40yOI3XzsVXliQMEn8q4jRNTDS3Ea3axwSW0oclvlxsJ/pWVonjO6Wew&#10;soII0CskYJkOCOB0PTNaxXPHmho0eXjqKw1X2cndPVM9Z8OPPb+JtTsJZE+zCGOS1i43KOQf1rH+&#10;KWpuvhhYoWKLLdeXIO5ABOPzAqHXfEVxoqtdS2wt7mOEhHOD5pJ4APcDr+dcNq/jJ/E1pY2F5boj&#10;LOHeVW+/wR07ZzW1CnKTTsebiKiipO52Hw78SnQNKhtprZfJmkMkkmfmwRxgf5612MWv2+rBrgOF&#10;3MR5RPK46cV5W90kUfZVUce1PtPEFpY6bc3pif7ayslq3ZiRt/DGSfwr0sXhIezut0fO5XmmIlib&#10;Ttyv+kepaFdnxJrkpIB0vTP3aekkvc/hW63jDQVmeBr+MMpIPBwMe+MV41a67eWegQaRE4t4VGZP&#10;LPzSMeSSadolqLt2J/1SEsxPGcc1EMGqdPnqux0Vs2nXrKlhY39TfurWyk1a4mt0BhuJGk+YDjPJ&#10;A9B1Ncf4dsbjTdRv9RjCLBFIyvEy4DgE/MD26V0eoanBZRJcAqQXAxnpnjNZ+l3UGoJqUR+VYS0b&#10;knHO5jn9RXnSXMrdD3qcnF36iCaW68SFbphLJvEmAuFC4GBnv1NbxCJdbh6dKyDbFtTnKSMgSRBk&#10;e46fyplzNqFpq8YNnPJE2QcITg+/pSiktEEm5u7OduvDxt/iXZXEKEW11vfPYNtOf8a2PGfhyxvr&#10;FLmW8WxmiG1WfAR89j71pTyATQTywKzxEsrB8YyMH9K4PWtdn8RzWVqijd55+Qeu7Cj8v50SUnJC&#10;jZJ3O78GQ68/hVVlfEix/IWiy5Hbk151qlhqenaw41dlt5JXLgs+5m5/z1r2e51uTQtEuLhlRvJi&#10;JXd3OOP1rxmxvP7R1y51fV2+0mJTO6ufvtnCr9MkfhWdOLjJyZ0VKinBQRoGcLbE9eMitrS9P/4R&#10;63sWSF2fUYjNIS3yq3f6dqyL7XbfxBq6+TZC3Dsqnnlz9AMAcVra9fxWdgqyNvkKFYkQ8k49PSui&#10;nWlSneO5zVcJSxVCUaj00KPhTUC/ia+0e5vJYrOdmGxHxlgTXZNptroOm3OrWl9NbvFETwxGT2HP&#10;BryDTR5+rrczzpBul3F3OAp+vauv8e6hIuh2Fquordh3yxSUMBgcdPrWFdylVv3OnDKFOjyrZG9F&#10;e3F9osd9NKJZ5E3FiP4uhrpvDsQttIvb+HOIrdiqDs+Of5frXlnhbxBp2lazFI8d28YgIkO7Ijk/&#10;vAeg/rXptncW1y8l7ZNsiuFxIsb5SQ9yR0zXp1cwtSULaHzlDJLYiVdy1Tvb1/yPB9XRJryZHkFu&#10;I4/NVZM5djjIGO5rrPAfg648SaY/mXbw2RbiNW+83qazPiJYwr4tdYwsSNEh4HAr0r4b2a2Og2ay&#10;zSxSOclQv3g3Ib8RXBKdqSaPdpU71bHKeLfh2fDlmt1BvaLcAXLZ61wkqBd2BnFfRniqaxt/Cty2&#10;qz+bEvJ3Kcnnhce/SvnV23ksBgNyB6UqUpS3Kr01G1i/ourSwa5aXaZiNw/kyiPjK4A/wNe6aTMb&#10;eBd1wrxHkHcTXicOlpHoouoSPtPLpk/dBxkj34/WtrTnmey8pLm4VHBJUStjJ/Gt4Q9pexyTmqdr&#10;9T1vRbq2H9owuVxFcs2ScYV/mH8zXOeLX07UdPuXkkCW8OSGhIG4gdz35rgLW6WHcJjI3zbTuYsc&#10;j61q6jHG+iXDrkAx5yD1pywjkviKpYxU535bnmaMI7ktkhS3J9q9KvPh9/aOmW+qaDeJJC8C7opn&#10;x8+OSD05PavN9oIb8a7v4f8AiW0i0650XVbpYYHKNEzHgkMDj2qKvNFXj0NKTjOXvdSi3gHxVb5u&#10;H0tvIQHzP3ik47kDNZDOMgMeeld14w8fTCaXS9HlRYV+V7iIg7uOcGvPo23HJ5b1pU5SkryQVYQi&#10;7Ji38rR+UqjMbrlvrn/9Va9ndM1oIY5N+PnUP95T1/I1mSWwcmaSQrFGmTj/AD9Kgtsw3kcisfvg&#10;le5U1FSKnoQlqahmk8h22Y6nBHzEUIIXPmFmxIeGxjBI6Vpi3F/b5eQCVlIG/jJB5XNc/bsr6iIp&#10;I827HYi+46H65H61jBJ3LcSa7uPInk2qxAAHyt796hiuo0BYKyBiSAT2z/8Arqdo4orNN0hVmTzG&#10;YDnj61TS4iZB5m0j+D5D0P41ooq2hnJWPb9w9aaSvfmmAkdsinBgelM2E5zlSfpSq397IpfpTQCT&#10;kn8KAHcDnGaMr3AppUdjilGP4hSGG454P50bz3wKeAvoKdtHpSYXI9x9aY3Xk1N5YPSmNG2OgIpF&#10;HK69pV9PNJLDbN5LDmXsxp2pLcX8NvbxRCW5C5dVHTiuzk1C3ttEnt4Xl+2SRkDEZ2g/Wsfw5Emk&#10;z/abtiWZcMIlyR7ChVHZ3W23mYctS7X3Hn+p6fJbaHdxXyNA7SFgrMNzMMY4/Ksfw2zwXF0xYCNU&#10;G7Pr2/rXpOu2kOu6sZmtybVUwonBDZ/AiuW1XS7TR4Fhj3BZmLFjz07VtTq3snuT7OSjeRyV1INx&#10;VBhckn3quHXcASKddgrK4X5vTHNTeHNMfVddgjODGn72Xd02Dr/h+NbdCBI1EkROeQaa+iT3TwyW&#10;8bOsjEOR/Ca0r63t7O/uIYgEGeADxil0jU/sVyziMSJnGfT6UrjSuajRnS4I44o9oA5GKpHWfMLq&#10;XGccCn6przSSNsiDKVwAwOa5+10+W4dHEgQM+AW/WjS12VqnZHQapfSjT4omOVC7tvqK5ma6E3UD&#10;HYYrd1vBlSLoVjVee/FYsljGfNczKgVQVUg/MfSiKFJmacbs9s1cgkKKVQ8ZqCKAy527ifQCtfU9&#10;Fn0G6it7l0ZpbdJwB1UN0BHY03YSF0XTJtb1qG2jHAy0jf3V9a9Lu/DWmG3SBbSFQvfbgn6kYNZH&#10;wysF+z318R8zuI1PsOT/ADrsdRZIondmHyjNYyeprFaHOr4c0q3i3DT4t2fvMxf9DXQaaLe2QQoo&#10;HHJrhpfFkYEkJK7WGFIPStTRNQW4td6vuKg559Kl3KVuhR8fWQPl3NpKY23hWQHAbPeqsd/eSab9&#10;mlvrh1CYKiViv484qbV5xqcywgZjibeW9Tisee/aFSAQByOal0+ZI7KOOlRT0u3prrY1tH0CPU7I&#10;w2u4uRliSQBWVN4f1Cwvlj3xSMjjlH6c9cda1PC2tGx0a8CMBMcEc9qyri8LyrJIWLvnLZ5612U4&#10;pI8yrUlKWrPeEhtNa0GOx1KLz4J1Xy5FHIPcZ7Y5rjtZ+EIjhludMvpBInzpG65zj3rm9C8XX+kP&#10;B5d20lositLC4B4B5Iz0P0r2uz1S21ayF1YX0c0TDOQw49jxwa52p0no9CvdqI+fvFGmatZ2DfaH&#10;bOOdq4BFO0qQatd2ZUfubeEOwI43nt+ler+IdQsm067S4DznyyDEVD547Y6VyfhrwZd2+kIUlgFz&#10;MolML5VgD0B4rpoYpOdqrsebjMG40v8AZ4+90t57v7iGdkCMAFVgOQeK6G5urHSvBEe913sqkspy&#10;Xc1h/YmvbtbMn5gSXx147U/V/BoNgVDyx8naC5wPU4rqx0Y1XH3tjhyJzoQnLl3/AEMq4uLTXtMV&#10;TPNbHJ2v5e4cHvg9OKZpT6lb2NzEkQuPNyCqJt3nGMk9f5VUspItOlS1NrJK6AkQMev41DL4svY1&#10;ntLVEtGR+mN2B3GTxx9K4asOV8qPcoVfaQ5zoLa+Goh5MT27NNynphcdOh5Hauj0nxHaaRF5Wp3/&#10;AJiyMdkjZOwf3SD0rzyz8ULZWD2iRxzfNvEpBG4tyRj1zUN3Fqmo2TXsiYHrnt7CsnR9orG6rezd&#10;zs9W1iy168ul0q6QJDHhm6Ann5vcVzHgPTRbeL5ftwjka1DEdSpcjg/hya5+znjhsr9cFZWgw3OM&#10;nOOPzo8H61Hpt+4nbAdhgscCmqbirIUqim7s9U+JOsWr+FYbUNi5LKuFXAKgk+v0rynT7K+1OdrW&#10;xiMjsuWUEDIH1rV8a6oL/VEhjPyRKMkHgk1g2d/d6ddiWzuZbeTaQWjfacU4J21BvXQ6PS9F1TSf&#10;EmmNe2U0KtNgM4wp4PfpUXjPUZj4snQSYWGERrjsCMn+Zrb0nUNU1Lwxq+oXV0ZjZGIxNIoLBiT0&#10;OM1wOsX7ahqM9442tIckD1xipT5p+hTXLC66iSzxyIyoO9Rxgbtp6dagGNvHpTwxDVpy6WI59bml&#10;puqXGlXRuLUgMRgllBBHoc16j4K1T+0dFeR40TZOyhYxgAden41455jrkKcKetemfDd/+JTdoBkC&#10;YH8wKzqxTiVCXvGN8RIGl8TJIpyot1z+Zre0TxRf67rNlDBo8aRWkAjYBi2QAAp9v/r1xuvag1/4&#10;iuHJ+RpCoBP8K8CtjwreXegSahe2IAEkPlsxXIQkjB+vWq9lelbqCquNS6Ot+I17bz6fb6UW3XJc&#10;SuqZCxjBGMd+v6V5S0Dxpgg4HQ1ryXV1c3ks80zO8vLMwz171Ak24yJgEAlTkZxVU6KhFR6k1a3P&#10;K/Q1rQo2iwq/GUI5+tavge3F1JGs3OCy4PtWx4Zhhm8LWiSorrtbhhn+I1X0KBdP8V3NqrHAXenG&#10;B83P/wBalRnaTRFeF4pnNeJrQ22qTJHuXE27C/StnQLFdW069tfMO442hifrVm/0+XUvEQlhK4jl&#10;DSqx6jik8JsINYvbUjDrKVx7A4ro53dowlDRSPN9R0yTT9als5MqQ2MZrVXwoz2wmibB64YZBrY8&#10;a6f5vi64cEL5dv5x98Y4rptNi83Q0KqCNn58VN00Xrc8qtrW5kvJIMKCrEHvW22gXkUPnKElUdQv&#10;B/KpfD1ut14huC3IErdfrXpN9BFHpqRbRl2AptRQKUr2OA0zQZdf0Sc28hGH2BSOMjk9/UCov+EU&#10;vrGVpZbe5nIPyhASMen/AOqvT4DawQrDEqIo6KgAFKWQkkEYx2rzHWd2egqeiucDHpzXVqAyvEAz&#10;EeYhBXkHn15rnrrQ7rzYZVZ40i2iMbeTjncT9a9hBVgRuzTXt4XHMaH6rURqOOxTimrM8e162/0a&#10;CO2hZFkjEkpY5Gcn5R7DJrDWG5WJVQq6gnHHSvbrnw/pl1zJax5A4K5XH5VlS+BNHmfePPX2WT/6&#10;1bQrJKzMp023c3xx1FIVDc9DTMH1NAbAqwHcA/NyKeNh5GDUe4UmATxwfXNAEwwOwpwIqLeVHPPu&#10;KcHz0xUsB5UdV4PrSF3U8gEe1Jub2pd3NAAJd3TFKSWH3qjKhuv5ilCkD+9/OkUBjLcNzUTQ4Pyn&#10;FPDAdcj60pKGpGVWXH3h+NZmqaTBqdsIp1bCnKsh5FbZCtxn9Kb5YxwDRtsN66M86m0G6WOSGwsz&#10;FuG0u5+Yj3P+FGj+C57SXzbqcHjGyPP6mvQ/LPdARR5SZxjFU6krWIVON7nm3iZoLGaOEQLhVOWV&#10;e56AmqnhzQZb6PzZFKQBsg45b2Felz6VaTyeZNbRSN6soNTpGiLsVFVR0AHAp+0tGyFyJyuzgNX0&#10;LUrudEgt4xEnCMCAce9K/hufTBFIz21zGvzO4LAj14IHTmu/MMZ7UeSvB2q34VPtJLQpwW55ZdRD&#10;VLljCpSQAARyAgkk449f0ol8F3LRBhKPMPJXnAr1GVTNJukZnP8AtHNNNvnnAqnWl0EqUep5hoeg&#10;38WvwRi2nm8uQbhEhPH9B70mvabqd1e32q3zLI7zHof4c4UD0HSvTlg8svhQpb7xHGfrWHrmiPqK&#10;wxoshQNl9koXj2GOTVKq2yXTSRx3hrW7jRZJoxH/AKNINxHoR3q9e69caijCDJR/lxu5H1rWbwXZ&#10;iHylkuCCPvSY3KfTjjFMtfA1lG7m5eWZSuFCts2n196bnC9xKErWOY1TR7C106NxI0l04IUL90nj&#10;P4DmtHwdBNBY3bufkY4Ufz/pXTR+HrW2dHjErsi7QZW3EfTjioZxc21yIrbSZLqRxhGRiAD7gUlV&#10;5vdG6fL7xhx6jBbxzQ7QHUsG3c5561yeoXAu5QAx4PAXpWpqWnan9tkaewliZ2J27D61Xi0bUFnX&#10;FpIN+ARt5I/pWqstbmTuxtopt4bYuTh9yOPapL4SLCoOCyMMH2NPuY41WJSkieUVaTJB4JGcfnVy&#10;+mtLhmhtsvHz5Zbhjz9K2hLQymveMsSygqirkscDHevRfD2kS2Vm0jlxJcAKY1JAfPauI0u0liv4&#10;5poyiRsCwkO3PPbPWvVbfWrI6/YQBkB8ssFz34/pmmpKxMou9kWovDUfhqwjv1hE147gyPjIjHXA&#10;9B71Ss9fuDdakfs7tdbSYP4VlVRzgn0HP0zXT6trMAhC5xxjrXnV3PqD6jDeQywq0MykKQSF7YJ9&#10;Oea46tH2l6n2raGsJum7wGaTcTr4we5upQZJU3ELkAEnt+Vd/rMqGwWSSRSrRkkZ5HBry9vtI8dl&#10;HVVicHYiNkKuCRzW/q9y2bW0Lt++bac/3RXTHVJmTdjm5o2mX7XJkNtwMHkCuQuQ5uW4ZQW6g9q9&#10;A8Q232aBArZB6AVwd9MLeXZxk9T6Vq0rExbRCyxQNCodj3ye1dxoWvJPpxtpgMgEc153PKryZTJA&#10;HWrlldmE5z19KRbVy5qbR/ajt45P5VniIxkO0eEcna2OvrXa/D650m61TUrbWLOO4SWEFd4yRg84&#10;9DyK9Og8JeHY9MUrp0EgC/KZfmIH41lzXk0W48sUzwm7ZXuDsIZcAZ+gAqAhRyevrXsNx4Y8OXBZ&#10;W06OPPQwuV/rWFe/DfT5lLWN/NFJ2WUB1/pVctkT7RMj8O3dv/wqzXbdSPPNwjNkgZHGP5V5rOMh&#10;+5GeldJqWj6p4f0fUEuVUwXCrGSjZGQ4IJH4GudS2kHlwhS0jqNqgZJz0FZRhyuTZtKalFJDU5QU&#10;ufnxXWr4Bu4PC93qlzcLHLbKrGADPBPILeuOcVyJwp3HNVGcZfCyZQlG3MhXDOuFxgV2/hXUH03w&#10;vqFwgXfuOFbOTwAMfia4YTMfujH1FdezbfDVvDnDSKoGPzNVy82jEpWdznwcXkRbrtLH1rv57OXT&#10;Ph5BMTg39xuIIGdqqcc/jmuDEROqKoUYCjPPHWvQPFt7CfCulWCTRvNAcOiNkj5auW6REe5yTSyw&#10;2pkiZgjAAhTwahhUiFiASzfmTUZLOiIQQi8getSu64CFtgBHJqpPlTYormaR6N4XRl8OWYI52k/+&#10;PGlkkgtPEBeSZEkktuNzY6H/AOvVvSg66TaiQhm8sZK9/es7U4bZtUDOCsrQ4VweeD0/WuOjrUOi&#10;tpTZb0tg93cEsGPHzDoaz7yOSy8UrcW6b/OQMyjqSOCR+lWdIXy55Bngjr61B4nj3CxdSyssxAde&#10;oyD/AIVtLSv6mMdaA/VYrbUdbUOCry2LhgevBFR+G7gP4XR9/wBxCp+oqojONf05lZiSrI28k5GC&#10;azdFlNpZ6mu5vLYvmPPynnH5+4q+Vp2ITvFMZ4Gj8/U53P3t5J/Ou81K8WK6tkYZCEnANcJ4Cukh&#10;1WVWBAbOK6W/b7XqpjRhuxxnoactUwjubyTxyKG2qc/jQVib+ED6cVzDRXds24hgB3Q8VLHrEqcM&#10;A49+K4nR7HYqnc6HykHRmH40uGX7sn5isiLWLd+H3IfzFXYriOVcxyq341m6Vt0Wp32LIaUf3TUb&#10;TXCn5UB9yarzLM3McrIfbkVWMmpRnA2SD1xikqaY+expEgdcEetIQCKaHI+lLhT9wD6E1sZibTQA&#10;etPQrj3p2fagBgz0waNh3ZHBqTPek3j1pDAbh94f4U7t0pN9GBjjikAUmQO9AYjhsD6U4IDzn8qR&#10;RGeetAyOn61Jhc9DQQMcCkAgYcZGDQVz0NL8uMGm7f7poGJyp6UhO4YK07zNn3hx60GRTSARVbHB&#10;/A0EeooLemRS7uPegY05HORTCzA8fypxYE4zg0pzjkZ/SkMaCT6Yp3y9CMH2oCj1IpDET1agAYZ9&#10;KZs9F/M1KIxnJNLgYxnigRB5RJzgUeX/ALWKmO3seaTcc8rkUAQ+WVHJzTtm4YKgg9vWpRtPB4pd&#10;g/hNFguUjaxDO2MJn0GKY1quDgjNXtvrTSi56fiKVh3OOvPAhnuHuLa/iwedtyrKwP8AwEEH861p&#10;PDlidLtkM8v2mIA5SFFBPGeeT27YraKH1z9aYwA6itHUkzNU4nJ69pM9zZeXCA+Dlh3x7Vyc2n3s&#10;DLPJNcW80RHlNsz+terNEjjIx+dQSWqnsD+FEKjirBOmpu55lLrev3W1DNJPjjiPBP5V1fhGZWWS&#10;TxFbXFtZcLFIEYIW7g8ZPbvW99mQfwD8qmgDW4fymZQ4wy5+VvqKcqzaskOFGKleeqKGnRSa5rup&#10;X1jZLJDbhYI/KibO3ccHPqe+awfGd2dP1izV/M3xJ91l2/X+ld3peq6/ounznT9OgezdiSQPnyBj&#10;ccHOOP0rkvFmjXGvXdvclfIuBEFkWQ7s+nI/zzV061rJl4jCp3qxtZ7K5yGq6610FMbnHoe1YjXD&#10;3Fxyg3MeprrY/A8mR51wMd9i1bi8HWy+XI0rhlHzLtHX2Oa1VaL0ucnsZLWxn6boAgu389Y2UopI&#10;A4yQDWDrFvbwag0dmMoo5xyM98V1upeHpG82e1uJRI3JTdwa4y6V4Cyv8pU4PrmnTqKQ6sLPRHU+&#10;DfDF9d2VxrERMYBKRA8bvWuz0fxMzwGwuQ0c0YwQ3BrpNESzj8MWdtbsAiwqOO/Fcj4n0vzk862d&#10;EuV5Eh6AehrTRnM21ZGnOwuItyFVlH3SvGfY1QSa5aItuww7ZxWJ4e1tr9vsz/69eoHO76UnjFL7&#10;Rbi3uU80wXKHfGWIAb6+4pOemg1T1syjr+pPM4tJCsm5syKeQAOlaXhCXw4yX15epD9shZB++YAR&#10;oOrKD1PtXCTS5EkuNpY5C5zjPvVPPp+NRNOSsb0pKEr2ub2veKr/AF10jlcR20fCwxfKhPdseprD&#10;bgE9qjaRYyN+QD7VbgtJ7tgsCb8+9OMOVWSFOo5vmkymzDtXVaWk2pvp1lDy7qqrnpn/APUK5aSz&#10;lEzxP8rIxVh6V6t4Y0qKws18RPlxbW+6NAvJRV7e5wTRKagrhTpupKyMPXbHT9HvPsWnytcX0XF3&#10;LIMIG/uqOvHeueWUy3IjkIj3H7/UA1DqOpzHWr9pBiSSZ2YfU5qiZGPIPNEJSW7KqxhdpI37mxu7&#10;G9jt7vCBlDI6sCrA9CD6GoSoJZHBz6VANaubyFIZY1l8pNgOcHbnP9afDPlxlHVwcgEVsndanO9G&#10;dzp2pzWkEUTneiqFx6fSjV5vtT21zbvkxkqyngjOP8KyIy7ICrZbHK9DTJTcz7YYVZ5GYDaOCfpW&#10;UIpTTNJNuDR1Olsxdi3PHFM8RsP7PikZtojmUkjtwR/WorQXtlcJFdW5jIGHJPf3Hak8RBZtPUvK&#10;Y0VwS2MjoRz+dFX+MmKj/BaMmKdv7e0s7w5LEBlHUEVRe8FtDqtpJ95Z2xj/AHqn00xwajp+10Ye&#10;bt4PHII4qjrtoLfxFeICSspDkemRWtT+JbyM6X8P5kmiyrbWVle5jVfOkgcuuQc/MM4/GujW7hXV&#10;YnGz5jgFSSOa5W1hMvhLU7dUO61nWYN654/lUelXMjXNuZM4VhULW6LelmemOx2naoY+m6sS7uYJ&#10;AwNuY5fWtiWISxlGBwRWYdLYMWQhl9JK5YWW50yuzJL80/8AeRqshyoPIIqS8s3iYuY2RfTqKqNP&#10;MCv7zO3pmt9zHbcvx6rcR4Hmbh6NzVpNcOPmj59jXP7ZZCREu5+SBnikSNY1JkiuNQYsQTCdqxkf&#10;w5x8x561Mox6lRlLod/sAzzQAvpQGyelLxWJsBAODzkdwaA5Bw/T1FJg56UDg0ASDHbJpCO2KQDH&#10;KEY9DSqd38RB9KADHejBHXNOx9c04cdOtILjcmk5XJXj27U/gfWnDnnvUjI9xJ54JoORUh5HOMUw&#10;rgZDfgaBjdoJoG5T04pQw3Yxg1KCRxj86AG71I5pjRI3IOPpT2HbApBGMUhkRVk6gkeopVOelTCN&#10;QOv60hhQ9gPpQFyLvmlyc0rRMBwc0gI9Dn3pDDkUYIGQSKXPpSE0AKAxHUmhQpPGM+9M3Dsc/SnY&#10;YjlT+NAClGJpuCDyKUbwcA/gaeckc8fSgBgb8qcFwMg03bke1GCDxQIccgHjNREydlxUgY07dkci&#10;gZDtZvvE0BAO351JjJ64oyAcdTQAzbk4xxRs9akGPXFOB5yOaQEHljOcZpSoxmpsA9qCvtQBXNvE&#10;3zGKMnucc0hhz0wB6CrG0Z4GKRlbtRYLlYwIDznNNMSE1YwQMMKTKjpSsO5TktkPauQ1/wANrIjy&#10;JavK7MW3ow4/DFd2Cj9CKDGOmKqEnB3RMkpKzPPtJ1jWbC1FmsBmjXhAwOVp91a61qUX+lymKBic&#10;xRD5q7s2ydcdetNNqpHSrlVb2JpwUXdnnWk6RcWniHy45nDohZXiyDjtXcXNlqGs2i2FwjzsxG1h&#10;ghP9o5/X2qaCxeG+MwWKRDjIPDDHoa15LgRwSRWsTQ+auySQvuYr6A4GKzb1TPTWIpexaaTbPBrm&#10;0kBki6lGI/EVZ0Szs3kkn1J9kMQ+53c+n0r0G58JWkrlosx+w5FLD4dtbaJ4zEJN33i4zmun26Wp&#10;47ot6HlurSi+vjLDAILfgIMYGOmavI0mnBUtZ0lIQMzqTgewrt7nwpZTwiMxsAq4XB+6PauOk0K8&#10;tbi4hCN+7GRx98H0qoVlJ6Ezpcq1Kstxby2zSvE4umbc77uDn2rYg1mSx0b7Pb3ZMUylWhbkAHrj&#10;0qqNAv8AyVkNo+1hnGM02HwrezSAFXjT1fjFEuV7sqm5Qd0jCvEaW4MqbmdjknOST61ILe7hhEk0&#10;EioejEcV3Ph3werat5eoXEcUO3KuckFvQ+laniWxhS5t9GtxFLLKwjTacgkng5FHtFsiXB7s8viV&#10;/tC+XkEnqO1ekaFoSREXdwnJ5jjbqPc+9dRb/Ay7s5oLuz1WF5oyrNFcxHYfUZBp9zB9mvJrdiCY&#10;nKEj2OKmpUdrIqlBN3Zl3un21xG0kiFSoJ3Lwaz9K1z+yE821tZrq8O5YnEecnkDnrjvgda6IKB6&#10;k+9TWv8AokjSWp8pm+8U4zWcanKtTWUE9irfx28m4XFuwuZYFZ1OTIrkEnnHvjHbFctG4nxZ3zt5&#10;Oc4ZtpyOQM9sniuzcs7lnJJPJJ71m6hpNvfAZXDg5BH9a0VZPdEOn2ZfsbPRdR8NwXVvHbC7smfD&#10;xty4QcsATkjr+Wa4/wASWxvrqzmtIjPNJmPEYyxxyOnPTNaNnoL6aJI7W4mWOQFclVbywww2M+3p&#10;iuu+GXh0SXz6pJIH8hmSNB69CfyzV8yb5kyGuWNrHnv9kalpNtq2n3CG2vJYFfy36FO5H4HFYugW&#10;m69t4/M+VmBB7V7F8UJLKXW7O3eNjO8LRFk6hWI4/St++8AaCdAE1vp8NvdxxBxJFwcgZpqe/mRK&#10;OyOPGPWkbJPY0FQQcn86QLgDHSua502GPCHUhl4Nc5qdj5UzPwqN0wOK6fkDvimttcYYAg9iKqMu&#10;VilHmRjeG9D/ALQhklEsRBmWBlL4+U8kjjJPHAqTUtEGjX8kVrcyRo/zZgl255PXHetKzhGn3Jub&#10;FjbyHhth4b6g8Gm3W+5mMkzl26ZwBj8BUSbcrvYIQsTnrQGoyM9adtPZTj6VYC7srnP6UAUBW9h9&#10;TS7eM7x9AKAAcdaDg/X1pOAepP40DA/hFACh9pw2Oe9PGex60wMSaUgj7v5Uh2H43dWpOn8VIDkY&#10;PX0oII6YpAISR34pQQfSkPsKTbgc0hkhGeDgijOO5PtUYBzgZpwz7j60ASK49ce1O4PINQ8mgM6q&#10;P4sdfWgCbgjHFL04BpiEPyCKfnHQUhhj2/WmsoYYIzQCd2Cpx607v0oAgMJzkE7fTNIUVcZ5/wB4&#10;VZB49qRgCMGgCAZzxgU4OR70PGnXOKYigHDH6ECgB+7I6UBqXag5DE0EA9KADcD/AAik49e9NIx2&#10;oBoAk28fd/GkYE0gJHqKdk445pDI8hfvc09ZE6ACgpnqoz7U3Z83OP5UASfKx60oQZ+U1GAB65py&#10;gigB3IPrQWGemKTcR14pM/jQA4sM8cmo2LHoCKdgfQ+1Jz25FMRHgnqaAo54p5ck4K0YBHGKQxgX&#10;byKcHPApCCB0pM+9Ah4BHJyaQvzwKA+aO+Mk0AAIBppck8frRtA6Gl5x6/SiwyMjcfvf0pSoPFOA&#10;Xvml2A85pWAgaME8YxTTAD1GasbSORzSHdjr+dFgKxhB7VEbZavGggcc0WHczxbgH1qfSrZbHxHZ&#10;6pJGJEt937vAzkjqM+lThccjBpw+U55/KjbUT1Vmd7deL7VrQ+RFJ5pHG4DA+vNcLPie4klcAs7F&#10;mx60nmZ6HPtSfUU7tiUUthmxVPcUuwdqUnHejIPagAwfWmt0y2OKefqajMYySfm9M9qYhPvY2jA9&#10;aYltELgTquyYf8tEJVvzFTAnHNN6HrzQAXyNeypLJI5mjIZJGO4gj69a3rPxZqsds1veC0nTYVDL&#10;GUb8eSDWHn3p+fl4NNNoGkNYg9KbjPan7ARz+lJtHY0xXGHIHXFNUMxOFG31PenmIsQWOQO1Pzjg&#10;igLkW0j+Ej6UwjHY1YJz0phx/kUgTIo5DETtX936elWcllyGyDVZWHSlDGI5Xoeq1YibZ78Uh/2a&#10;fG6SIHXoaCBikBHnaec0bhTiM9aTAHPBoGKGHpTww9aiLeo/Kjp1oGTlVcg9/UGmOXU4bAX+8B/O&#10;mq2OKkBGKQCY6ck0oG08U3BUgpgf7JpBJuyOhHY0AO5PrSheeTkUbsigYwaAHAADk032pVKsOM04&#10;cGkAwJ36YpQxB55HrTuR2oCigYCRSeCKXcTkgE0woOxwfWgFk4IyPagB37wjsKNhzyxp6uMUASYE&#10;2fu8HvSAYI0XoBn3p4UHrTttNPHagBpjUnjg+ooKNn29QKcCOTilDZ4zQBDhB0JNG3PIqwUVuo5q&#10;J4ZP4CCPQigBoUnvS5UCoy2OHyD707jtQOw7zR/dP500sWHJx9BRt7ijvQA3YR0P580bjn/CnDNI&#10;fcUAAw3G78Kds9DTWUP1GaTbIv3X/A0ASbfem/TrTC7KfmU/Uc0oyx+XFACniozt6Yz9Kfszgtk/&#10;WlwAKAIijk9Tj0NJhh1XP0qbdRuzQIhB5xwDTtrdc08hW4IBppj/ALpxQMUSfLgjNNz9aUAgcrn6&#10;U3KqSeR9aBACe/SnhcgkcU0Nk8DNDKx+8cj0oAXcQODux/nrR5o6bSD69aaeAMUcdcUALlWHUZoC&#10;+2TSEZ7CkAHUZGKAHFTSAHPJNL5pGOh+tGQWyxIoACM8ECk2+hYewNOJXG4sAKQEscD5V9cc0ANc&#10;lRjIY+mOaTOByjKPzp6qiDA5J6n1pCaAG5B+6wJ+tHPejr94A+9LtUngkH60xXEPSgEUh3jAyrfh&#10;TSTnlSBQMf8ASlww6frTA6nuKa8p3BEBLfoPrQIe0uCARyfSlDjOORQiBRycsepNKRQKwvOOCD+N&#10;AJ70zOOMUm/HHNAWFdsZ74qES7uRmpCwPGBTSPSgBgUHqxOKdhAc4BqME805PvirYmSchtycHuPW&#10;p4nWTkHkdQeoqH1+lCcXK+4NAFrAPvUZAyMDilHD8U9qQyE9eKQ59KmPWkXr+NAEeM84p2dnXA+t&#10;E5wBjj6VGgGM4GfWkMk3DPQn6ClZS/bHuTyKRfv0/uaAGBygAYD/AHh0qRRxnP0phpsPSQdg/FAE&#10;ucHpS7utC/epr0gFD44P50E5FRj7xo7/AIUAPDetO3L3qBT1qQdaBjvlPPQ+tL5hUc9PWm/w0kYy&#10;DnmgCVZARndT9zMehqNwPSkQ0hk4HGDRgE8ihetOPUUCEXdgjIPNGMd/rQaY336YDmQEEEZ+tQGD&#10;B+U7farBpF+6aQFUs6/fHHqOaepVkyDmpG/rVWTh+OOvSgZNkE9aOKb3pR0FACjg9KUmm96G6UAO&#10;3cA88+tMZQTkDn16UvegdKAEAcc7s+xpQePmBFOHamUAKeQOePal25A5qCX5WBXgnripRQIUptHr&#10;TeacT8lNagA3Yz1pCVbrSN0qIfeoGTbfQ4+lJlwOoNKKa3X8aAFJ9cj60gC9Rg/jTx0qKQY6cUCH&#10;Mcev4UhPGaB2px60wI8jrjJpC2eMYpf8aTvSATOTyMgU9FZujEU2n9xQAYYejUErjoQfelB5obpT&#10;ER5XqG59BSjPc0yTjkdaEJKZJNADi2PXFLuHY5popW4WgAO0nkZ+tLhR93imetB6CgB4yO+aCW9D&#10;TR1pQflNMAJ9DTS2OtKeVqEElmyaAFLDHWmkt2PFIetMPWkM/9lQSwMEFAAAAAgAh07iQEJa+cAc&#10;kAAAEpAAABUAAABkcnMvbWVkaWEvaW1hZ2U0LmpwZWcAAID/f//Y/+AAEEpGSUYAAQEBANwA3AAA&#10;/9sAQwAIBgYHBgUIBwcHCQkICgwUDQwLCwwZEhMPFB0aHx4dGhwcICQuJyAiLCMcHCg3KSwwMTQ0&#10;NB8nOT04MjwuMzQy/9sAQwEJCQkMCwwYDQ0YMiEcITIyMjIyMjIyMjIyMjIyMjIyMjIyMjIyMjIy&#10;MjIyMjIyMjIyMjIyMjIyMjIyMjIyMjIy/8AAEQgBegIu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bzS0lFdpzC0UUUALRSUUALRSUtAC0Ul&#10;LQAtFJRQAtLSUUALRSUtIAzS0lFK4C0Zoop3AWikpaVwFopKWncYUUUUgFooooAWlpKKQC0tJRQM&#10;WiiigCC9uPsllPcYz5aFseuBXll1d77g3d8xmuX+YKP4f8K9TvQzWNwFTexjbCnvx0rxyeTaW3ZH&#10;POfWsKztY1pouNqEhUAYT2T/ABqBrhmOc8+tY0+oAkiNwCP73Q1TN/PJ+73DJ/umuZtm6R0LSAn5&#10;3Gfc00YY8SCueE18SFwJR2BGasR212fmMCr7ZxUMtI2W28DePzqREUnIbNZcNlcFyTDF7bsmra2N&#10;5uBZ12f3ACBWbKRoJF3pj2oY7mXdjtVUQahHLvQhh/dDU8X7LIEnR4278cVJVizG08ZAhBQD0rYs&#10;tRljPlvxu4PofqKqQ7XQMDwa1tJ0GbU7hJHDR2ynLN03ewqoJydkTJpK53Vgytp9uUBC+WMA/SrF&#10;NRFjRUUYVRgAdqdXqLY4GLS0lFAC1zfjDVxYaabdGxLMCD7L3roZJVijaR2wqgkn0FeLeMdca+vZ&#10;WB4c4Ueiis6krKxpTjdnN310892XVioX7pHb3rY0XX5IpkR3Kyj7rDjNczu/Kkyc5P6Vl0sdDjc9&#10;nttbvLu3DWdxtuFGTE4BD/TPSmxePLiCQxXlmpZTg7SVP5HNeb6RrzQSrHI5H918/wA67TNtrsIV&#10;2Ed2BhX7N7GhScPQycE/U6q28b6VNgSNJC3feuR+YzXi2sWr/wBr3skcZaJp3ZWXuu44P5V0N1Zy&#10;W0zRzoEYdz0/DpVcqRzk/U1pJ82xMW4bmH9+Nfl4GOT3poAA64JxzWvINw5VW9+hqhMggzKqMSBn&#10;H+f6046KwpNydxjP5UbRjhmB3fT06f0pgyGyQeo/l/n0qKKQTJnaQe4POOf89qm5L8ep9z/n8qpE&#10;Dd5Kkj5QVySO/wDn6mnkKqZbAUkcHp/h+lMAAHDYOwfX+ppjyZcjP8QHv+mTTArzKgdmijRSWI9B&#10;UltZtcQrIzZB7DpUEwKsB33GtnSVA06MHqCc5+tYVYpK6NYSd7Mz7WwSPUJ0C4+VWqqHvLlpgsyw&#10;pGxXCLyce9biKBq8g9Yh/OsiFdlzer/01NKmk5alVHaOgmnRo1usrKGkJOXbk/nTNX5ijx2an6d/&#10;x649GNN1LBhTkfe/pXT0OdP3j6MopKK1uZi0UUUAGaWkooAWgUUUXAWigUUrgLRRmii4BQDRULPs&#10;kAPQ8UXAmyDxmmK/zY70Odo3enWoQ2boeu3NICyDk0ueajQnYSepzSK24AZznv7UATZpaYT0HrQT&#10;gCgB9FNBp1MYtFFFAC0UlLmgBaKSikAtLSUUhi0tJRQAtFJmlzQAtczrnhC31N2uLdhDO33gR8rf&#10;4V0tFTKKktRxk47Hh/iDwfqmk7pmti8A6vH8wH19KyNNs0mBlk7HAFfQ+MjB5Fcb4s0i1t44bm0s&#10;YkkZzvdFx27gcVzzpWV0bxqX0OKt7NsDChV9+P0q4sEa9XJ9lq3HYs6gsTk9M1NFbhSF24rBo1TI&#10;oY4BjMch+pNXY47Y9Y5B9CamihXPSpZNqOqgcms3EtMY1nbunDuv+8Mj9az7nQLzUD9nt4A54xKD&#10;hQPXPb6V0Ns0dwpQpg9q1dHszC0koOFbgL7jvRTp80+Uc52hcp6L4Ut9OiVrtvtM4/vD5V+gro1A&#10;AAAAA6AUlLmvRjBR2OGUnLcWlptNllSJC8jBVHcnFUIkoqsl9bPKsYmQuyGRRnqoOCazb3xVpNk/&#10;lm6WWXpsi+Y/jjpSEZ3jfWRZWH2RHAeQbnPov/168VvLg3Mzu3rx9K3vFutSahfyEty5yR6L2Fcy&#10;Txg8Cudu7udcI2VhoPY8DtSEgE/NnFOOW6D261GUP1/Cg0FZ91bGkazJbusUzfL0Vs9PrWOoAJpS&#10;NwGRQJq56Fc393fxxxsiOE6ORz+dJqduYoYMhSzDJZUweg9K52z8QR2OnRxPFLLKuR2Ax25rXt9R&#10;m1lRIMwooC7c55H5Vm7p3JtdakEtvOsXmmJgh/iA7/rVJ+e3+f510F3bRpo4YDL78MfUfrWFIAcg&#10;n6jP9P8A61bU5cyMpR5TJQrBdtDxskIIzj+tT9FO8k8Meen64FQ6lC5g3qMOh3L2/wAKZbSiaHzc&#10;jOzBJI6/jk1sjIcw3A4+7tHuP6CnM6cgDOG6Dn9BxTJUwWPXOOTz+ppp+Y4wGG/3IoAbncct13HA&#10;z0/AU0RNPKIYiwP3m4wAKmijMpIDDCknr/hWtY6c1vbH5SZpOXx29qyqysjSCuyvG3/E1Q9zD/Ws&#10;mdbhdSuxCFAZ+Wb6V0C6bIt5HPJIkaKhU5PPNMePS4Z5JHlaVnOSq9OlZ09Hdlz1VkYFpby7Xj81&#10;uGxhB1NW20O4uE/dW7Mc5Jb/ABNaR1eG3z9ktI0/2jyaqS6vqUrZWRh7KMCtfaLoZ8jvc95ozRSE&#10;8V0nOOoqJWwwBxTy+3HBOfQUgH5opm75tvtmlLAGgB1BIAyaaXxnA5HvSM3y8d6AHk4FKDxTPvEe&#10;gp9AAc9qAwzjvSE4pHyPmHUUADPjJ9Kr35YW+9ckqQRipCwJJPTowpFcbCjdRgYoGLvBtzJkYxk8&#10;1VguN8zKDkquCf5VAs7J51u4GM4H404YjeNh9H9zgmlcdi8zb4WUHjHb1pYnCnHsMVUml8i3jUHJ&#10;yMgUkM+68iTHO059sUXCxobh5qjNJM3KLjqaqmQ78D+9gmpUffMuegFAFoH5se1PqNM8k96fTELR&#10;mkooAWlpKKQC0UlLQAtFJRQA6ikopDHZopuaWgBaM0lLQAtYnie5a30hmEbMhYbyATtHXtW1Wfre&#10;1tIuUZgNyYGTjPtSlsxx3OPtrmK64hVwpwVLKRU5Qea3HQ1TtpI7YBTtQY6A5NW0ukLZWN2+gris&#10;dRciiOM1DcRlZVcg46H8RUsdxNgbLZvxNWA80gIe0BB4PzCs20mWkzJS0vo7pmt5VERI4254/Ou1&#10;0/K2qoeWXgn1rBjh2ci3kXH9160ra+jif94JEyMfMKdGajO7CpFuNka2aWmK6uoZSCD0NOzXfc47&#10;AzhFLMQABkk15v438SERqkDfMHUxrnrg9TW/4n12K2t5EDgRp94/3j6V5PeXUl9dtczdTwBnoKh+&#10;87FpWVywdQvr0pG9y5ABABbAAPb/APX6VKgjs4ZZ2kDMFxwOB9KqWkRknRsfIrDcTwAP85p2uXln&#10;Lbpb20qllfJCdPzqakn8KKpRV7mHPKZpmlbuabgk/wBaU8/0qPdxjH5VB0HSaRp9nPaJL5LzPkgg&#10;8KDVLxEnlXkSCOONdmQqcDqa2fDLZ0xh6SH+QrN8Vj/TIG/6Zn+dZ394EYAPOM04kjnPHtTAQxHz&#10;Z9jShck5IB71oMUuTjGOP1q/a6zc2UZgiVOTu3tyaobEGdwBNNkwJBwAcd6mw3sbaa7ch1hvblmt&#10;5BnGwYDZ+nSru4MOGyD/AHTkfoT/ACrH0gJJfBHAZTGeD9a0p7OewBaFWmtP+eYwWT6Z7e1VGSWh&#10;hUi76DZRkdR+g/wrKUNb3TRD5Y5OQen61sI4miDxHKn06f5/CszVId0XmRnDodw6A/0rZGL2FdQr&#10;OT/eAzjH6mpYFtmLtcSYAbI6tmqcEomRWH3iRnAHX6mnyRFgANskrk7FL5x74py2Bamump2cEYSC&#10;Atzkl+5qOTVryf5UOweiCo9N0uNR8wJ+prbitI48YUCue7eprsYQt7uc5bcf941PHpLv99q3BGoy&#10;cU4A4yBRYLmSumRR/wAOT6msrVL1LOfyRG4IGchgAa6hlbOa5/U9Dtri5Nw+A7/ezk5p35dQtfQ9&#10;1ozSHpUImVkJ3LuXqM9K7TlB13/MDyv50wzEW6EDHY7qRjwJY8bWPzH2qK7GxGQcg880gHkmExsS&#10;WwMbj3FSNJmQY5UnAqq8imFVYjGCevvTgww+CMgDafr3oGXR82T3Apqv5gypypAx+NRRy/eDHGB+&#10;dPgVUOxMYUAAelIRLK2xRgdxxUitkn0FRna7MvHTriolk2QM3PBOaYFon16VE0qrkc/4UzzjsPTp&#10;3rPkuSpWRh8nIY+lK47GoCGwQRnvVaeQrlsEMoyc+lU7XUAZRHuBLZxxnvVi7G2MAf8A6x3ouFjL&#10;1GTF5bTDucP7e9Ed35lx5bdOXye+DT75FurDO0b48A7e46VhpfZuTvU+YsZBI69eTj6VDdi1rob8&#10;9wWnEp42OBjPb1qVbhI9Q3KM+Z8vXocZ/lWHZtJNbx5x82VJ657Cni7CMjyPtK53Ad8cf5+tFwt0&#10;NtZXVZ3cAlckfSrlqAwQsckDJH1rBgmfBMhIVl3tn0HP+Fa2myrcBN2Q2dxUHp6ZppiaNgcClphO&#10;R1piSZbGec1RBNRSE4pEfcM0APopKKAFzS02lpALmikooAdRSVXur62sl3XEyxj3PNAyzS5rlLzx&#10;ggYpZQNIf7zDism41fWbo8yiJD6VDqRRag2d5JcwxDLyov1NUptf0+D704J9q4SQgnNxesx9Af8A&#10;CoWubGPojOR61m63kUqfmdlN4us0/wBWjPWBqGpDUrnzXS4Zf4UBwBWX/aqqMJbqB780w6zPwEVF&#10;H0FZSqyZpGCRpRSOv+qsFHuxyasibUD92KJR9KxBqdyc5mx9DTGvJicGZj+J/wAazLOgVtT43SxL&#10;n0UU4m8PBvVB/CuYaWRj/rWzUZkfdy7CpbKVjrCJwPm1D/x4UzdL31Pr/tCuVaQD+Js/Wk8za2cs&#10;R9amwzsEebtqf0+YVZia72krqIPpyK4tZj1w/wBc1KlweuWA/A/0p69wv5HXyWc1whEwtZ19HiBq&#10;o+gW0n39OtWz/cyp/SsEXrr/AMtmH4CrEWpyqeLk498/40rPox3XYtt4Z09Cc2c8QP8AcfcB+Fc5&#10;e+Bmyz2N7G2T/q5l2H8+ldLHrN2oGJkce5H9RVpdaVuLm3BHrj/9dLmmmNctjynUNLvdMk8q7geM&#10;noex+h71T2AEEcmvY762sdWsHijCupGTE/f3U+teP3sYhvJoVYsqOVDD0zW9OpzaMJLS6Ok8OSxW&#10;2nyvLIiKZONzY7c1n+JL61vJYDBJvKZDEdKwyvzcnjp1xQy4zuxn1quXW5KJDtG044pjHg7QQc8U&#10;ZxnI4FIe9MYgJI+bP1pXUkqWHJzRjA4GR6Y60SnlMggDrmgZoaSVGpxKO6kda7CPoOa4GK6XT5ob&#10;tlLgEjaDz0q4/jbGRHAE925/lUtNkSdmWPEEDRXubK3jJIy5VyrZ/AisN76+g/1i3Cj0b5x+o/rV&#10;7/hLpJOJFgkHo6Co3160kU5tVQnvHIR+lCc0Q1FmcmpiNsxQb2J6MvGa6vRIWls/tk4/fPkAbcbR&#10;XJT6hCduwcq2eT1/KrEHi25tU2LBCY89Bmqk5SVhRUYu53tqoUccVdCg4BrCtdQkMCs0SqSMklsA&#10;U2XxDbw8SXkKH0T5j/WlFpIJJ3Og4GRgYFMeeOMfNIo+prmX1t5kDwWt5cKeQxGxT+dRX15fW9i8&#10;8cMKEDODljT57dAUbnRSX0WMKGb6CqU99gj5VX/easiCGe7to5bnUJvnUMUjwgGf1qrZ2Vkz3IuE&#10;80rMVVpGJOMDHWn7zF7qPoVjtGe1VJcRzFwMA9eM1KZVZig5OOtU7icTArFIPMUbhzXY2cpMZopY&#10;fLB3hjxio5XaXfC4xsXIYDOarWlwTcDzCuHOQQentUb3TR6s6LnaI9361Nx2C8kURxo33By3HTj/&#10;AA/lTFuHliCqVDY69N341DLJ9onVAmIjn584x6U6FzLBJCf9ah3KcY46cUr6jsXWlfdAxjOeMkHj&#10;/PFXbV1ZWm8zcWOcA8Y7Vg2moSJLFbMpYq2Ae+DnqK0bQFGEKYYKTwPTNCYNFszqp3FSWBx07GmC&#10;cYKDAJ+bmqxuGkveBhVyAfXNIsiCaRs5G75R607isE98SqxBWVmG7nqKVpY1jkhGZPlG4Y65rPcH&#10;7W8MhYYHyd8njvUf2lTcxRy43sSjE9vfNK5SWhUNw1ld+Uv3QQcN6V0Ed9FfxMhJR8dPQisG9VZ5&#10;J9mVlhwflOeQOR+tVbeYwlJGVkV+jDjp0qLtMqyaLupGeztnkRhkEYYHIZc85/n+dYb3LyF7rKko&#10;eVGfmU8/z7+1W9W1iRbdAsQeQMPlzjIyMDHes6K4FssfXc4AIHY4zj37/nSkxxR0Omqx0yO6xuic&#10;DOP4QGzn881l3jy3N9GiKW3MN2OhUMf6ZrT8PSmGFradcRTR5XP8I9vxJ/MVTtVmT7Uj4ci48rd/&#10;z05J/DORT3QbM2YIHur9POYmMD7o5z65PpniugjaG3LbRggDPHSua0e6iMrskxO1iMDkYH+JzV3+&#10;0Y55HTO0Dlztzj2+tOLW5DvsaaagGvFVVOxxkHBz+Ip2nym5d5nABBKqB+pqhO4UJGsxDtjaAvXH&#10;atG1haO3RDwDyx71V3cRakkOMJySOlSRqVTBOT1qAFd4CLwPTvVgGmSOopKKAFpaTNFAC0tNozQM&#10;yNf1h9OiSG3Aa5lB25/hHrXFzyqzmS7maaU8kZ4Fb3jMsj2romCVZd/4jiuPL4J5yfWuepJ3sbQS&#10;tctG/fOIkCD1qrNNJI/zuxA7g0xiSeaaeKxNA3Ajkbj7nNNMjZ4AH0oJ9abuX1pDFLN3NJgn0ppb&#10;nrTMndwCaQydSy9R+tOBJ9KgJYcmNj9TSq7E8hRn1YUXCxZzj396aRk80zDf3k/OjeB1kSpZSF25&#10;701l79cHmpAYwMmdB+FRNcW4GBcx7j2pDLS7So5pwUn2FUoLgTSGNJASOOASKvqpQ7WdN34ii4WG&#10;mEHBJJp2zbTpfMj/AINw65XmoVmLHIGe3XpRdBZj2zj0pFuJY87C3Hb1p6+YzHMXH94nAqpearZW&#10;eQZAz/3V5NNXYbFxZptrzsRAEGSQev1ribx1ub+d4lO2RiQAK0/7ds7mGQ3xKRhvkiGTn6460yLX&#10;YymdN01mQ8B2wi/41cYNbCc7blKLTL2YDbbsB0y3AxV2Pw6/Wa4RBnJCjNOtL3Ur+aIySxQxPzsj&#10;GW/M1T1O2A1VFnmkaEoTtdzjNXaV7Ee00ui48GgWRPn3Cu390vn9BVTUNSsZ7cwWluyHIIfy9v8A&#10;9eoYvs0FwzwRAqVA/dpnnJqvcTrNMzbWXHykMOapwS6ihNyZGBj5TznvTJdw25HQ96lHC4zkHge1&#10;RytwPQHrSNh0tulxbEHPy9BnNY0tiEcgZxW/BxEzHGKimiWSRFHBbjI7VKdhtXObkgK5qs6EGu7v&#10;vCbLp3m27tLOGGQcAYrjpYyCQRgjgirTMmkVVUmpTHhKcq9iKlZMJ0oEkb89qsvh5ZWLF9ikkmnx&#10;nRraP5FjMm3nGWNTxo03hkKiliYjgAVlQ6BqEyv5do4DIMFvl5yPWpi0r3CSvY2LC9maxhSG2Zgq&#10;gbmIUVqXlvNdaXIiRM0jJ91RnmoNN0a4tbCOO4aNGXOfmzW5YuWH2aKdDtGTjmnK0hRutTF03wze&#10;3FhGbvUJLY7ceUsYyPxzTbXwW7SzG6mSRS2UYSHJHv79K6OK2leaQSzEgdNoxSahp7GBDBczRMTy&#10;c7uMe9DuJW2Or8Ra1/ZZWSAbmYFSeynP/wCuuck1iSe++2Q4QGP5eSd2euR+dU9VuEguniYxygy+&#10;YWVwSw/KsdZ42mMkq7CPubV9PWtJzdyIR0ubq6scMLmZ0eI5UD+P2qw3iFpJ1u0QFFBTBPJFcrM8&#10;cpX97ufbk56E57Uti4xIpBPU8Hmo52Vyo9Ih3Xlks0TLJKRuKD0HQ/Wn2bC8tfPVysyZDL6DuPzr&#10;nvD+of2bL85jKvjK7+gJrVW+Vb4zWmWBO98DIIJ9fXrW0ZXRm1ZleWZrW6imA4BJJ747iulicfZF&#10;nUqGaMH3xXO3LGS+FzEu63c4Uf3Tz/8AXrWs7uP+wrYsN0mzCqepI7fnVLcl7ETSySTCPIVUfazK&#10;OoI6fWtG4t40hIHy7f8AVgHkH+tUY96OEKhncZYdee5/lVK+uW00vHON7uuFkDZwD7UXAja/kaV1&#10;Qk4wVdh94jsKrXv+lwx3sbZYnaAOoPvUjrBPaPIRJFDEoSNT8pJ9TVcWlxp0UPmoHjkdXBU4z83Q&#10;j6VLZSQ+yut+pMkrbWEYLhhjcec/h0q1Fbec0kcau6Y3YbGSOhA/LI+tSahYi61NjG0azRQLgk9M&#10;k8fpUtvOlowO7a8LAFXHIB4OfbOKNg0MjWLWNrIySIH2sFDqMEEc8j3rMvSRp6QMqBgysSo5GO1b&#10;2pTLLf2/lxjbcuRMi9OB1/EZFZ3iSOENiEFF2b/LYcZHYelTKw43NyCW3bQrfIVJIlX976ZHX6Gu&#10;dsppLqdvtDuSGeT92TjJwo4H41TtNUFtb+TIymAfwEc7M5x74ORUulxSXzTN5e0bAFI6KOmf5/nS&#10;5r2Q7bs045DZ+bDbktyVYZwc4GPfPXpV+2kkkjwgDzMfvY+Vcfz9MVhxCWaV0tzmPeV4Xp9ffitX&#10;7WYd8Vo37lANzqOM+/vQmJmvaapawAxhi8wz9/rxWskktyhy/l8cha4Jmma6FxBKMP1OOW59K7Gz&#10;mM1pDBCSzsu4sev41UXfQlo1LdmZ8I6kLwT6gVdHAqCBRFGIwOR+tT1oiWLmjNJRmmIdSE9qYzqp&#10;AJ5PSoLe6S5jLKcFScj0pDsWVOR70oOSazl1O2MhQSqHXqhPOTVyEoIFIcFfXPWi4WEu7SC+t2hu&#10;EDofzB9RXGal4LuInMlg/mp/cY4Yf0NdRcXMj3CLb5zHJtfJwCMf/qq4kwPBxuzjAqJRUik3E8un&#10;srq1O2e3kQj+8uKqs2OoP5V7AQGGCAR6EVm3ugabfA+bbKrf3k+U/pWTpPoXzrqeTvOmeWCgdyar&#10;PfW4barNIfRau+JNGjs76e3YMdh4IPUdRWfpunItvuG4buetYtGqeg77bIw+SNU+o5qzZtLJLmUl&#10;genoKkOmkYbJB9Ks267ZFVhyO/rRYLllrUNCTsBGO4rMGj5y3PPPWuqt4PMhP0qqyeUm0cnoKz6l&#10;dLnPtpQQYJP0zSJo7yHCqT9TXRpAoTc3XrzV61tjjeFxim0wTOWOgMseWjJFU7rQo9mQoB6jivRR&#10;b8ZxWbqVivlGRVxjqKlNlM57QbVmKgKiEe1R+J4bs3iLEdoiUdB1z71saMm2QEep/nW3PbJJcgOA&#10;VYDg0pKw4u55XDe3skxiUzF1OCFzWt9uayhxcRu1wfmy42gD3Jro5dCFvqxkTJhk5wP4TXl3jCWb&#10;/hK72KQkxxsERQccYGKcFzSHPRGlf6uLgkTX3sI42OM/Qf1NZ+SVX5cHPJqjp2nNewvOCiBGI5BY&#10;nFXkPy5/KunlsZQlcGjVj8w/Kn2M1yLQxQRpsjZvnY/j0pU4J4/Wn2Esca3CMwXMnAJ9qqG4q21y&#10;/pCMXtZGlY5wdo4FWdZjVtQt2ZQcK3UfSqukTJsthnkED9a0tVtpZrqAxRs2AQcDpRP40ZR+FjtK&#10;wLW4Udpen4CuevVI1O6I/v5/QVuW0GowLIEiiAc5PmN0/KtWNNkfnRWcJdiAzcZJ6daG0xwvF3Zx&#10;wQoqvInynqxB5qpLIhQ4bIz/AHa9LnW5S0kbdGQFJ27a84uGyjZGGznjpUHRGV1cSN8AjDYx2rY0&#10;vT7a8Uyz3Jj2HiNRz+tYbuyJkHBx1HStTwhL5mrqGJO6Ig5Ocn1ppahOVkdfFc2xQxxxvKoPzcGs&#10;PUtA0GeKTyka3mbkN5mQD9DXSxqq+YAByTXNvCEuZUEiRhfmzs6D6mpnpqZwMmHw3pcX357ic+iL&#10;gVfjsdOtwAmnJx3nf/8AXVgJA33p5ZPZc/0p6xRZ+SzY+7YFZ8zLsNF5sUJE0EajosUZbH9KQyzy&#10;97l/yQVZWOc/diijH4mn+TOw+acj/dUCkMpC2mbnyIx7yMWNXtKDx3+13U7kOAqgDjFNNkh++zP/&#10;ALzE0+AQWc6StKkSqGG3uc4/wqofETPY1o/9e4pl7IqxpuOKoDUIlunlR5pQwwEWPgfjTdQmt7u1&#10;hNz5sPJwB1OK1k9DNbnOX6xSXXlwTGTaAqnG0EAdfpUj285tw7xHB+6dwOatS2iQ3CxRxLv3DDrw&#10;T+VOuXRnCO+FRs5HP40PUE0jKRGiJZSQAc5Pb6VejOxHbZwRjf0/E1ca3TzUJGI5MsGXo30NOWFf&#10;szMi7wD8y/40khthaWBe6AlXHGcA52+59v8A61aWjtLZ6hIlyWUN91SmAf8ADrUlu1kJdkq/upUP&#10;BA+U56A/yFNkUqjMqsUjb93JuyyD3A61oklqQ2bUgNswdeAxyE3AAEdR34PNV9JaS8uG8twUWZkh&#10;X1+bLEn2/pVCe4huLL7PaoWkwx4OVz6juP8APWqnhbU4LeJ4pTO95yV8tC20Y/Kr5tiEjuLeRLWS&#10;R3Kl8MmO7Ed8elZEcM2r6g0t1IsUasdrKRlQO2P61Dc6hlrfa4LSqWJdfuDHTPc5NXrJHltzLmPk&#10;gmTpv9gPSq30JF1DTNwWcSA20eMbjgMM80+W5ku5xbgIgEeVDfNjHQj1zUlxHE80QmkkKhCTuyQf&#10;T2HWnvp586OeNvMRSWMSufl4/hND8h37mXo0xuNRLXIZbgKEZT/HtzkjPUYxTvEbQ3KwyW5VZVJV&#10;vUjHbt3FRStL/akjTk+Up3uyZSRVIxuwPopPTvxVuOGCa9h8uONREPnBxiTPO72H0qe6B9GZMMlz&#10;JeWsc0awXCHfuDDDDaeSPyrRuTNqpLN5aJHlHG3JORyR7elVbwJI9orJ5W+Y7niBGU5yOPb86t61&#10;qK2KKbLG3BBSQ7SR6D25/wAikkNvqjlNc077FbxHZMrEgFj91v8APBrRiS1jeyiWR03x7pMHvx/9&#10;epNV1K31Hw40LPvmLhlyOQc8fTis6zme7tpJbVSSsaxuxT7mOT096l2voXq1qakEZS7kEpYxRxk7&#10;VOAM9jnmqLOVnRY1cRSMOT698Ulqgv7t3klyijDLgqC3TkAHNblvb6fY4llAMq9wBgdMAUb7C23L&#10;FhaKiMqFgWO1EPp1x7da39Ms1slCq54JBJ5zxnH4VBprRNZmQhQeoGQSB/SpYZHlupVi37VYNuxx&#10;0xj9K0WhDfQ194BBz261IPeoI0YDLMC3oOlTDPrVkjqSkzXNanq2o6dq6KybreQ/IFXgj0z/AHvr&#10;SbsNK7sWby7uH1WK2BwqYMhIGMk8EVmtq90mpCxihA+YM8oJ24zzz0Hem2t3OLqa5k/dvLIC4HzF&#10;UwMD/PY1UurIQ/6RDeSKLosiqQDgZzxxWbb3RqktmMZ3vL6aNAJ4/MCtKq5yccD68Grl7qcSWC6e&#10;9nMsG45YNtPB/nUGgxeVBI8XmPKkmFB4z2zjpWpcaZbNPDLKgZly8jk/ex/9epSdrobavZjtNMs7&#10;FpvuMfMU5wAQOw69/wCdajN9n2S/efAUE+h9f0qjZv8A6aSytGFUsQSCDuIx09MVpWjmTdIx4LFR&#10;+HH+NWjNl7NLTQQRxRu6e9WQee+MoQ2rSk91U/pWXp1oRaIW4zyP6Vv+Lk36lx1KDH16VSgjVLeO&#10;BjkhRzXNJas2WxD5YIIUgle4qqyBJUI4+bGK0Nqg7UHfJNVLmEKQ4HIYflmpKN2xX93WbIQZvpWp&#10;ZD90e9ZUiH7UMdD/AI1n1L6E6o0igJjd1we9aNjvPmLIcJjjNZcu+MBg20j0qZtasYreNnkCk8Dj&#10;JJqnoJI3YkdmXY4Kjgg9agu4sxTLnI2k1UstUt5mDRluTgnGK0ZELLuxxj+lYt6mhzulDD/8CNdC&#10;65mGR1UYrA00/v29Q1dE4zJD/u5qp7CgMRtsz703Ieh+leR+NNHupvF98be2lkRtrBlQ4+6O9epz&#10;3RsrpkLjy5CCQT09azvEUKTzW7pOcbWUqp9Dx/M0U/iHJ6HlNhp01tbzLcRyx/vDhSSAeBWtoFrZ&#10;3FtK00DzTRnJVTwB29KtXcUAuCskk7beiKM/rSeFsJeXyLkDZ0P1rpUlLQxs1dmlNBaW8KNLZwRx&#10;t0yuTWOLTSIpGf7PNMzHOXOB+uK6PUVD6eSRnAyOcVkLEFP7u0Qn+8zVnJtMqOq1I0uUj4tbWCP3&#10;X5j+gqQzX0nQsB/sqF/nk1LsuT0MUY9lzTvszt/rLiU+wO3+VQVYqNbzuCZXAH+25P8AhWzpihNK&#10;wrKwDHlenWqBs4ByYwx9W5qwtwkds1vHDOwJ5KYXH0NXDcmWxsS/NauPVa8wmYbSATn6V6LbXE00&#10;bLLB5agcEtkmvP8AUEWK7njA4VyBn0zVPcdPYijED/LcEqrDAZT0PY/St3w5pcNrqMcsU0sxUMC2&#10;whcEVzrECPOMcj6V2VnEJ2SMlgpGflJGaLtNDlsay3G2aUShY0/hZnHzVm3MYF22cEMmR+dXk022&#10;RgfKUn3qrqWIp0faSoUrhaU9iIbjkUAdBTwPaqIvpCP3drIfdiBQ1zeEZEMSD1ZiayNDQAoNZRkv&#10;ZOk4UeqRgfzpDA7f664uD9SQP0oA0nZVHzMB9TimWUlvPdPGHRztzgHNUVsLY8hVY+pOTVqxjWCd&#10;jGgB2HHFVDcUtjTKBCgWMHceTnGKp310QwitwjyDllIPA/Cm3N2FmHmeYphXeWXp+QzUMjx3AivS&#10;2zchXp15zWz2Mk9QvVaa4E9vEBnjB5INNFr5Me6QHzSeFB6f54rpLnSyVWdLnmL5mCjv7isyWVbv&#10;VfIncPt4aTbwT796bjZ3Iv2M2V1t9kU0YZ9ny7DjqR+dMee4jRnkhBibuDjJqzqukTxMJILhJI9y&#10;oTHyFBP+NOu47j7N5bLExQgs24ZI+n+e9NoaaLttZxX24K2IwMiNlGQ3r+lXrRo4ZGhLxhwMGJ+Q&#10;fcc/1plxbt5ETvCFTAKmLG5eD3z6mstbC/uppCGD/Kf3glQN+vU/lV2sS3cr3tvHFG0VuGExcsZV&#10;JYAdRUXhCylltbm7aRYAnAbdjcRnP86sCZJLZt8AjuIcrIztg8dMjGCCB2Jqhp1009ulqq7os/P8&#10;uQBk8Z7Z9etS9xrsaEF5c3ms2geKEwLuVfNyqgYzn3GBn8q7JIzKUW2O2NR8zDlc+3rXmup6hJ9q&#10;EbO/7sgLHjhU6ADPPSuu0nWopLVDLZuJGyQFJ+TJ4IbsKaaTE1odpBFB5AbAOfvb/WpF2KCwAwRw&#10;VHFYC+ILNLPezh9pIfcRk4Pp+VVU8Y2TzRx8LHjBI9fTFU5xW5NmXtanjtY2vggMkfyqAuQynqG9&#10;jj8K4iHWVuJ0RndHRdi4bbs4wK6/WIzqlnL9nuPLiAy/TnHY+lcHb2SSanJBh5GUnDsACuMckVFR&#10;9io+Z0pyLuyEl4k8AyzNGcNwOhwfwq2sMUlwfJtcpj7xHIH1rl9E1OeLWJEulk8xgykPxtyDyO9V&#10;JtelsLYxWU8sI88sAG5x069f6UlIbTNK0aK51WO3aWFDahmJk6EL/eHp0/Wm2GoSJHqWl2FuA95P&#10;uAXjy1I5x9MGuZjZrm7nu8fM3GS3U9/rWlDqgt9SRfKLOyKzBuRuGeuevap5uqLtfc6REitpVhh3&#10;bYwMBIxycdW9etaTWbfZUTbkM2SccEAE9+lVrPVRrkYijQRuiAyseFT8O9X7eOHCPeS7UjBGxjtB&#10;z6/X0q1boQ79RdKmm8q5cIsVqrAFgwz+Hb8a6iGVEVEgQFCcFgeM/XvXM3VvPq0Kx2qGCMjazMOW&#10;A5GB6VtabZTQwhXmYrEcJwAGHHUVS00JZrKWD8jgipazV1ey3zo0wzCQH56EnpVHU/FNjZ2m+GRZ&#10;3LbMKwwp9T6CruiS1r2sto1vHP5LSIWwxUZxWT/bUXiBp7SB9pjAkBK54GO3r2rlr/Vpm1GWCXUC&#10;yqSiHGRyeT+XtVTQprpNVke0Aa5VGIHZ++PzA/OsXN3NoxVjpdMuB9nu4Jj+9jl+THUrsBHHpWla&#10;DfBFE6YaBQPYD/8AVivP9PvNQuby5nmzucJvlY7XC7D29CMfpXWzXQsIZp9hhjfOY2fcAwICnjpn&#10;nj2qk0S0SQG4ginS3QM5mwCh5Cjk8VctYJ9Qsmmu2ZWUhVVePlA5Pp1qlpdyRHd2ysSxGUY9Tn73&#10;5EHP4etas5/cxQ28yh0Qhkxye39KXW4yhYSm0iki3F9iKm4nhupGPzX863LyTybRLWOURu6bVdjy&#10;PesbTLdHu7u6VZNiKkeGJ64yTj15xUl+Xu4YhEhkkwPMTjftxz6+tF7MGtLmppl41taAXjk5TeJM&#10;5BHc/nWjbsD8+8kMCQCe3asX7XBHDGHiPlOoRU5yB9KtLtkWBYJW8p0ZVJPIPb9M/lVJksyPFXy3&#10;aOBz5YP45Nc6txe3H7yARKp4+Y81ua9E4jg8x98hj+Y1gWUDSwMA7Lhz3+lZT3LiWbJbwhTcOue6&#10;qOB+NO1DlQoOOQSangRkRULAnPFJqCKluxzz1yahLQpmtYjMfHpVC7iYOGXhler2lksAM8YqC/8A&#10;3Ujk9A2TUPcpbDTGJo8MOe4qKFPI3BbUMd3DACr0IFxEHjIEi+tSRsjM25VDKcMv9RSkhxY2HdNC&#10;TLHtyQAOPrWk+fsbBBltmfwqt8ojJAHPOKuJIqLuYjAH6VlbqaXOYswVumGf4q6CUspgcDKj73sP&#10;WsG3P+nPgcZrolkCCHd0ORWktiI7mXqVvBLdwvLFv3EYIzWfrPlxajGETYrRbuFwBz+ldKIVSdlA&#10;yMhk9s//AF81y/imxjnvrd5dx/dYxnjqaVL4iqnwnPygeburO0iSOC/viqyvKSVKIBgDPXJq5cER&#10;SYLADOBVTQcHXL0DkMuc/jW0F7zM2/dNpJJZbR4miZFVeCz5JqCHlFPsK0pFxGawJbRAWMkj7QcA&#10;bj/KlPcI7Gg8sUYy8iL9WAqtJqVqo+WZWOei8/yqgYIVbCRAH6Zb/AUj5jgMioAMcHfUDJ49TUq2&#10;2OWU7jyBitXS5hNbbpF8sl8BWPJrBjZ/s3mOHUnPyjkGr+nSN5MTKA22TG3PTPerhuRLY6DgDiuC&#10;12B7fUJy2B5hLr34zXXy3EU8QYEZWQAc4+bOK5jxQ2+7iZDn5DnH1q5bjpswQxaFgTwMH6V2Wkzs&#10;1xBhDtK9T9K4vIELn2qTwlK48V2+52IIYYJz2oSux1HZHqP0FUb1QevUGtDOaztRR3QlTjBGcd6J&#10;6omG5SeVY1JGOOpJwF+prmtW8WW9qTHb4uJh/Efuj6CsfxNqt75/2U4iixkKprmetRGn1ZUpdEX7&#10;3WL6/k3zXD+wBwBS22t6lakeVeSgehbI/I1Sjj3jrjFSCFO7E+uK10IOitPGt0hAvII5l/vL8rV0&#10;um6/Z37EwSlSFJdZEJIGK88SKEvjax9a2tEUQXqFV27gQwJxkelS4q4Nux2kkoWEOu1X8jLMwzkZ&#10;75/OmtHJNsKTK6MgOzng+uO1Ys4uMSRRqoXaGKs+TtzxVuCQtbRsw2gjGVkIHHHSnJOwkdoZprCJ&#10;txKLN8wDHPH41Suw8E4kgVPKkGdxO4Cqr6jLMsMfVx1LHqKzb2eaOZsMGQ/e2NlalzDlNgXippMl&#10;p5O2cHduJ2nqOnrUd/iOztYJraVZy22Rn/iU5xj8aqymCbTjIYTFNGu7IOQ2OcY+lWvEUEL6bHdW&#10;88R2OBhWPy5GTVJ3Fy2Ox068W9slEC7digMegXjpXL3BupWeFJJVkkcqqrwrc+vSsu2aee0tltkl&#10;Vh1Cy48w+v09q345Z4Ybc3yojq2T8p3qee3cGqvzWC1jI1XRnsLYFrgxTvHgnAP/AAE4PT3rM0M3&#10;TabJJDOg8wBSCDk9sfyrU1K7SGeXzJbe5UqXjVRwD7jPUVR8N6db3lukzyeXLCxKY4I96lvUqK0K&#10;tzHKESaaBImMwUTB8suPX1q2jBpFtbXUI5IWI3bsHGPpUt/bCC7llkkWfM0Y27zjO7JwDxzxV640&#10;KzuLcZR3Z13FY0A2857CnZivpcwpPtPnParIhBOTgYHFVLmMxymOMMXjPzEHmrkgFqyQRKYHXkO3&#10;BIzgCs3W430143SQb5VJIB5/Gs+W7Hc6HRdZn/tMW805SJ8A+Z/ESe9O1S2FvfzxoqQLuZXbcBuU&#10;8g5GOvHHPauJju53DkgZAByRzx71dvtXvLqFft1xJIrjK5bIGOg/WrWiBxTZckvyl7B5MjMY0wZC&#10;5zjvWSnmNLI8jgksdoPtUkcQjlRCRuJEjkdh2GKbKxu33xBgoIUHoWx3+tS2VaysaEahLUMQWO78&#10;+KZLIsc0cg3DcANxHGPSnXG+ONMMdijaVHXP/wCunfZTNpizhi21hnnoeuMfQfnUIfUsabcNFMJ8&#10;Dy14Jc8c9OO9ejadDHcxxzKsUmQCSQCM/TGfzrylH2riTlAR04z6GtvRtTuoLK5gtt7OVJJJ6L3q&#10;o2TIkz0uTTwJY3DzAr1UJnj0HFYPiHxKLd4VsL5lmR/nj2gj6GqWnaxqNzpOorNII2ih35DYYeh5&#10;9aqTQyz3tukkOGYGROAGYsMZJ9ep7Vomn0Idxt09xqFw2opIkEuQrJFyHxjk/nWddTD5ROFaTJjd&#10;ADiMDrkjv9K3NE1tHuJdNmhhNwYyoYAHJHp3J46U+YQx6HcIkMhbesQWWLoSfmP15PB/rTsmhao5&#10;yOIXzYtJv3ceMgA7n+gq3ZnZMUtr3bchfn8xAfLPf6EfWqkl1HZy7tPhV0l+XcQQ46ZGP896jg1G&#10;MXe/B5U7txwG/wAPwrNe7sXdy3J8Lm5cySSsVULLD904XnJHtWtb2888F4GvJ38qBppBIgxwMr1H&#10;p6dqyrGT+1LbUpW2hbaJWWIcAfKRkVdl+IejHR7qwWKYyPHsR1XgfLj16cmtNxao1onkN489nKqx&#10;QozylQejNgr9cfN+VdPYQ3U9wgmkhYIuQykkEH+p4rlPCkiskDiYPbqnmSMe5IJI/Mn8q07LWv7J&#10;v5LGYALFAZFdCMHAJ2nPoOPwoVipXLbX76XoBuSiMs8zsSc9jx+YX9aTS78jT0nJUtPjc2fukjp7&#10;AYFcVq/jHT72Gz05J2MccQWTHCluP65NTverFA0Ik2QHBPJ+YeoqZaSFd2NPxL4lksdDu57KXN0r&#10;CILgnGeN3p/+uuIs9N8RQk6vDrEYukBfHmnf0yR+XarRkE8wWWTKSN0bnJHIOPyrY0g2kglaWGAR&#10;oPYsBg5yM5x+FZ1KsktDahTjK9zXs9UOsWiTOSX8mPcOcZK8/rmpLFswzRj7yPn8DWfoeVlu49oR&#10;cKyL3AOcD8sVmeIdVutKtpFsuJ7l1iVz/B1JP6Vp01Meuh0trciW6CryVU8Go9SWWVMFsDOMVxOl&#10;x6ppjpqjX6XBVh5sO/cSpOCa7XV7mO1jE07iOFDuZj6VCaa0ZcouL1RvaUwAQcjipNQi3TSD1/wr&#10;j9K+IWjC7jjYyorHHmMvA+tdpdOsjh0YMroGDA5BHrUSWo4vQo2IUOByD0IzVjUbZ1X7TZurOPld&#10;d3rXF+N7jUIbaK2sJPJ+0ORJLkjAA6cVzGmaXrOjh9Qtb4SPCyGWJS2WUkdcjkc0NK2rKhGTd0j1&#10;fSWlmjJnHKHbita9ijWDgckYH51n2ORO6Yxv5xWhfsoso5XYKBwSTiotZIad2c9ENl4+eMtVfxN4&#10;00rQPIt5909z94xRnlQehJ7Vy/iRzqGvyWdzey21jCqnEJwZGIzyfQVi654U0tFgurK7mdA/lzid&#10;/unHBziqvHRMapyabR6D4Z8eWXiDU1thG1vMY8IrtuDkZPB9a0PEQybVvVCK5Twr4btTeafNaSwu&#10;IJ0lMkZJO0A5B/E10vjW9g02xinmYDYJMLnlsY4FEWufQU4tKzON1oGOJpUClxnG8ZFZ/hK4ebUp&#10;ZJdodkOQowOCKx7zXNTuJofO8pI5huWMDt796veHHePU5BGgZyGwucZ6HrW8VroZO9tTu3PymvPv&#10;E+sX0OqmxsgQ+3cSBk8+ldxBNM6/v4lQkAgK27g/hWJf2Vsur/bJ0BLJ5Z7cUpqz1HDXQ5/StT1a&#10;yhWa/t5Gs3bYJGXBDdfxrVOoRLAW8l3jc4Bxir2oz2C+Gkdo8SyOAigk9M8+3BrEacLYIMDAfIyf&#10;51lfm1NKkFFpIkGpOlv8tu5xxuJAxzVmwv8AybaW4lIi2PwSeDVOSeAaW0hlQBWyQG7VSh1K3ubS&#10;S2LHbIpxxgE/X8auC1MmmVrrxTcvM5tUxEH3KW55zml/tibUZVW5H7xV6+ord03TrGKIQOY/nj4A&#10;Td83HXNXPEulWEVla38O1JAgiCgbd34flUuoua1jojh7R5rnKyFRbncQOvemeHpEh8R2kpcKu45y&#10;fUYqTT7C21HUWW9kkEEeAqJn5ifU9q0dd0CwTTft2kpIj2zBZlY5yD3/AANXzqL1I9m5xdjtN1/l&#10;pDNAI1KnaEOSD75qe4+aJzVCxy2lo0kJaQ20bMxx19avTf6px7V014KNrHLBt3ueYeNIwupxMBjc&#10;n9a5nFdb44X/AEq1P+yw/UVyoFYo0ZNbLktViGRI0kVjzu6VHZrlm+lW7Zo0M29lHPGTR1B7DImH&#10;muAhKkDkCtTTlU3a7wy45B6VTjeI3PyMD8vXNXLRke5V0PK8g/SpZJtgRjUZt5LAwsFEbcdOn60R&#10;T2zRxRzIWKp0A46//qqBr4xvsS13ttOSTx27VUmicwo+HVunP06VpNqysCOllCMV2qFMS7XBJIJq&#10;e3tpJZTJkCGIgPngYI7ZptshnuGgSPAddol/u89au6pstLGKBpAwZj16sQOue9c6X2htsytUiaGZ&#10;njl8yFl+XYcZA9qgspVGgyw4UvMxVWY/dx/9aiRo2idgWcquAWbgU3RjE9y0U2+SJSZAg6YIwSKc&#10;XqPodd4ettO/0O4bLXKxBgqE7Tkd/ccitq6+z6rvWQqrRncADkkCud0wpHoNneNMFSAMh4+YLux1&#10;/X8K07qNZbc3VteBm2bBg9fx/Otk7LQlq7uyrrnhYXMf7nYZ9hKyA44Az+Nct4PkcXEzeQRcbwoc&#10;nAUdOT2Bzya6K21Nhb+YruZwfLjiIzubpgHtSeG7Wa2OpTKY3vlmyyKOJlYZK/T0oupDSavcp+JY&#10;JIoJTKQGEilDGxOdp5/nWlqMV8LZHiLJLGi7l3EAgD1B/pWBrd4bTTMQnKXHnERuuCgLY4+mOlW7&#10;jxVavFEftcnl+UFYKvOcD+uarS5OtjMvrqKS3hnMoknRmRlfgY+n41zN81zPcDzE52DGfT1qfVNU&#10;tpirKChC84H3jUGnwXuuXbR6ZayysvJxjA+pNZydtWXGLeiIERlViwIAFXoZrZdOaVlZ3T+/yCc8&#10;D9KivbK8gup7SaJ47tQN0ZYZPTketQ3BEaraoQREPmI/ibuf6UvQq1tySK5a4v1kkUJvBVQo4FT2&#10;bokqq6tkNkY9ADz+dY/20W9yjINzIelWP7VCW8pMJSYtkf7p6iiSY00XUlMshVmPzE8571da5kgR&#10;oV27HYKNvb0Nc2l9dFxJGnA6cZAqeG8vryRY7KBnZcDKrmla2pCTb0RtyPJF5k3Cow2lSM8nAPH5&#10;Grkfkq8clxMlraNwWY9sY5x24rHZry0me31OF4GdN+WHHHf+lUptWimeJZLdp4o+ArucEdhREbjr&#10;Y9I0ltD1h5bWz1CSQRgSlegl2jOD325HueawNV1mRLqHUrCLEz3DRwRAcLjoTzg9T+tcpaprVxdL&#10;c6faSwBshDbjbgfUU6OW9trmNL+2kxC53AKRyeOarnXQPZO+uxbur3UbPVUubwpFOz7wykDawPXj&#10;pzW7pWqTalc3Uxv0B4mndxkZGB0HXk+nasFdNg1vU5prmdoULBUCrxtAGKsXehwWkiDTLmRY3Uxz&#10;s5/lUqor2ZboO11sdX4i1rTrXw0kdvcA3jElmhyqjnkfU15wL+WWQbJNvPQjg1p6ppNuJdPg092m&#10;Z0PnE5wWHp+FSf8ACK3ssBkiibzCx+UY2/QUOpG2oKhK7H2nij7FY6hb+WS15D5ZC8FCM4OfTnp3&#10;q14Z1PRbG1IuI4xMfvNLDv8AypPDdlb/AGdp7qODzfMwRMueBxwPzrU8U2mnadpsF8La0aZHKBY1&#10;IVs9CRUSmm+U1p0nFc6Zd8Pahp0Uy21rcFo3m+7yF27sgHPTiqmtvNere3gAxKTEfLbOCcn06YFc&#10;pZNqk9y13aQMGX5tyJgDvU9v4jNpNDIYzIytudD90nBGce2a0XYwlfRmlp2l28kMkY0+DLDBkeRi&#10;enbHQ1LKJbKKGKUndGgBLew6iotKuLh/MljwtqesrDlQK2bkWVnJFey6hBLCi7pVDbuo7CohGUpM&#10;1quCgjkrrWtu0W9uu9Sfnc8H8K1tP8Q22n6bLcxvC9zKuBFzuDdOfak0mHwxqWsvFJ56CWTMan5U&#10;57cdOa5e/kjfVLlbCBhbiQqirk8A4FVKnfcfPTj/AA73N3TfFeoafdNJKVufMxv3jk/Qj611+rWK&#10;Xmif2hJiNoyJfKk4wMEEH35rkvCTWBvzbarEkYRfPSSUbSCvbJ6//WrOv9b1HW7iT5phas5KRqDt&#10;C54/pVW01ZE3G65I2Ogt9Y06yt0M8cREjFcKAzbSfT+tT+J9as/EGjvZWrSRXCMpEcg27xXOaFZf&#10;addErW5IgBLI3HzA11viJlNlZ6q1gu+1mTOGH7yNhyprC6hK3c2lF1I3fQ5mx0Wxson/ALXvoYyw&#10;OFjYl1IGR0HQ161p15BcaFYyW0iyxx2yIWQ5wVXBz6V5BplhLrF1NMIiYZXZY9zdBzgfUcVIdQ1L&#10;w5ZXemmTaL2JVGD2J6/kGFU97X1JcbxulodlrHjHS7m1a3gIeWNx+88vIzyDzV7QNU8y1d7m5SSE&#10;J+8bgBQPU1k6Rpy/2UNNNvAAww5Y8nI61xFzq15Z2N14c44uCpf1Gen51Gk3ZGivSj6npEfxG0dN&#10;TC7pRHux5uzgD19a4jVdeuvGHisRJO62nmFYVP3UT+9j1rnL61axiUNIC5yCB2re8EXFuFeIxRtc&#10;rIGXPUrWrtFXRzxi3LlZJC8ulanPaySCaFVJ85k3BfQj061X1XVZ9a1SG2W5LW0YXc+3Azjkkd66&#10;HxRILK5sEKRJHdkxTPjjaCCOfxz+FcZZXsdnrdwm4+VIxXcozjBqIe8uY1naPuHZeF9SbwlrMUjS&#10;uNLuWMTvIpwDjg1t/E7WbiTTbIWsKTaddZJuUO4f7oI+mfwri/EmtQXtpHaQSNJjEsjldvzAY70e&#10;HPFd3plpJYxW63VoW814pOSvGCQe3FOKcvee5FS0ZWRbvDZ6ne2VrFAkbt8zSDJKqBzgZroJNJsd&#10;HgGo2nn4iUNMshyCucFgexFclqeoWun61ZXdhIJYZYVYleGjJJBB9607zWIpPD10IppvMcFGBGBh&#10;uufWldxs0aR5ZJplCfxldzSEWUCrHGME8sSo7n0re0++j17To8kLMHxJuYAf55FVNG0qztbJYll/&#10;4+I/3hAyW9q29K0LTLCO5t43d45HyARnBwPxrdVFUk0zCVJ04qSG6zugktdAgaCM+R5k8jpuZMnj&#10;afU4NcjPo5l1drKfVNtvEqt5hXrntioTqIvPEGoNK7SuGCISxyVXjitGCS0S6CuqCaRdoU9Tj/8A&#10;XWCXIrG6tP3itrPh6zs7KNrLUTch5RHKhXG3PQ571o2ejQjTngmuEijjRwjlP4iMjnPrWuY4v7Om&#10;aWKNB5ZbgAYwOo9K86mvZrk/PIzAdAT0FSm2jVU1zHVW73EV2oTYTGwXcwPXA5q94kInht4xKpeM&#10;Ek9Bk9v0rA0PU5Ej2SRfaFXhR0Ye2e/41BqGoSXGoM7sAijCr2UVdSm7+0RNKSv7KfzNXSJPsqSx&#10;yRr5hYMjEA5/GuzsL1HtZhcKm113tyP8K8tTUCGCCQohI5POas3Wpyxu8URKpnkYIyKmVKU9GJ1q&#10;cL8jujtnt72e4Lx3zrbsMbFA6emcVrSHKNnrtryqDVby3lMkdxInsG4rvfBmq/2zfCxvw7mRDsZM&#10;AggZ/lmumbdtXscK1Zy/jdPmtW/3h/KuQFes/Efw3aW2jR3cU0yPG+AkqjD57AjvXmcWnXEi7wmI&#10;+7E9Pw61EZqSui5RcdxLAfvG+lDIhvJd/pxz3rXstFMdxLumV1RRyvQk0kukhLx52w8WcbO/40uZ&#10;J3FpYzYQlvcZORGRjOOAa19Nkhe6G5gUIIPfHHWq93DLJGkUUQWDlht/vdKm06EJqqR42ptAznj3&#10;oUrkmsq7J0CbTj+Enr6/jU7QxXAbdKWXIYEHGOox+lWXttieUNmDzzzn8ayrtksmAkRju/hB5GO/&#10;v1qho1rLUPLXczsJojlWHOSab88jGS5IwNxySaoRHMiq7iNWI3tjpUzXERthGinIOSSetYXdh2Qy&#10;9VUUrF1kAPHb8ahizbmKTnaMLx70pYspbILDoCe1PjkT7ERIyq4wQuD+YoV2OyN7w7FeNAWPmfYX&#10;ZgWxlVPQZB6+n41dvppdD02TTpJD5ivlS0Y5Qjg5H0x+FZvhrX4NKgkSVg0U5JdCT8p9cY547Vj+&#10;INRj1DJiZvk+UEr8zJnoee1bRtYie5LYam8V4bhX+ZCcFh29a6vw3Mk13e3LxMQFjPyjdjjGcV5r&#10;bzL5oRWPzcNXaaJra6OZJmh3JcIIxFvwBjvmldRaTK3VzA8VXE9xrj2FoZZCHZthHQuc4A6iqlzp&#10;t1ocdvcyzxkz5R0Tkr7Gulhube41i+u3iBllRHQZJPFN8QX1pLorwyxCNpGDkKu05z174FTOo+ey&#10;NqVJey5nuc+tta2umy3s9vFKOil3ORwAMDvXYeEoLXS9Nha2uQFmOWYDJcnvXml5dP8AYvsxYFC2&#10;7g9K6r4em6ubWSCKQYhkyA4yAD6VnXi+S7NsNJOajY0PGckNlrFte+as15NBsKg4AGfvY/OuWuLR&#10;k/1RMrOqsuFx2y35HIpPGQu18T3Es5ZoywSJuxAA6e2arPduCoyV+T5WB7H1q6StBGGIupu6sXvD&#10;mhR3OoGS5dT3UHkZ75rr9a0PTTpEd46INsqH/V7SRjBU+orhLXUIbW+iMEm1mGCW4ArodY1F/wDh&#10;Hj5rLDtdWVQT85z/AIVlPm50b0pRdFuxs6fJpQt3zZRrCpDZDDPTvx05rD0OFbG6umguFWMyb0yv&#10;UelVfDt5p2pXK2V1eG1jlbADsdoz6ds1ZuNNhtNau7PT71b2CHGZAO5zwfcY6iq9lK0h+1i5xSJ/&#10;FEMV55Dz3nmvyi4XHBp1hpNvNELZHtTwCA8f589c0XOnmXT57m5coYkLlgu7oOnNO8O+fJG92ZSt&#10;guVZjjgjk9e1JKXsrx6D5oqq0zR0+0htpI4JJpV42hUPGRjritDULqwt70wIxSQtl9oDM2RjPPpi&#10;ub1fxXpI1K3FrcyypGvzypHs59Ac5PfnArnNY8SG/vWmto/KG0Ip6nAz+vPWl7Gcpah9YhFaHSXV&#10;xYWcqGynQiUb8OBlOfX35/KnC9S7t7l5LiFWhG9UIH73nnGO/IrltFkF/qK207DdKu1CTgbh0B61&#10;0Wt6fNo8BijUNIgyzgZC4HT9a2lSUXd7GKrNxstySDUrN7EM0vmXMbBUVUPHpz+datlqkQtZHCSh&#10;85LOAFX8a4a2nuYVjMicOwdWIwPSu4d4ItIO6B5PlDPCBuyPrwO1YTpN6I3jW0bZyv2lvOaES+fd&#10;CRm2uONueBx+f41ra2IzJYw3ckbb03tCnRSCMf1rnwn9naq1xErqIZDgMSpK+hxzism6M91qDOzs&#10;0sj/AC5OT+dbuHNK/Y51UcI23uevaVJZrvAtvkXDqRnHSvM5LOPUdVneDEEUjEpG2cgD+tdiVutN&#10;0G6fYwmaEgHd046/WuXOqrPJbTxIYrhP9a7HcG9xnp3/ADrGlGXvNG1WcbxUhl9YXVp5GnpKWguG&#10;DswBHOOhHtnNbXiHw1Yw6MlzYrKGgaNZy/R1bo3610EGmrPpKanExR7dTMJD0fIxj6nIrN8Q3t3c&#10;eE/JhWSYysqMduNoBpupJ8tmL2cPeucxr8Qt4YHiMY2fIAi4I4znNS+DtRhRHtpVUOkgk3kZyO9Z&#10;GsreKYYpAfLZQ6Huc11nw+8LWWr2t68zTC9UYWMcLt9z7mteW8LGDqKNS5geNNRg1TVUW0IeK3j8&#10;sOo+8ckmruga5IllDHuSMIhQfICT/jUupeDdQ0CVLy6eCEmTKQxuWYD1PHTt+NM0S8htrgj+yotQ&#10;upZPKt7ZuEySck4+n60+RcqiiPb/ALxsg0i7u7rXLzUvlWN2IYM2M8gAAetdHr8N5faFBDa27spc&#10;bl3bjnsfpUN74Y1CS7a7t/Dt/pEg++trtuUz3IXIZfwJ+lOun1m6WO3OovbxoAGeHTrhXHv93r+N&#10;TOleSaNoVoqDTOH029nsbnypIXYKxYKcjmq2ozy39+7JEU+b5UBziu7j06VtNv7qLWYb+0tJjLLB&#10;Lb7JHyBucA8qecY6cVTX97bkxRxiWNgdoUcg5pzlyO5vhcO8QnG9kjQ8O6hdzwKzwZmUbGYtgAjv&#10;iuUvNBu7t7i+gfe7TvweC3PUV1dvqctojQ/ZtjuMo5XIz74ND21ygDNcAryxULgE9f8AGuZTcZXR&#10;6kcAp3jPVI8/vPO8pUnjZJAfmz61q+DdHudR12IxRuY4zmVgM4HNJ4lINzGT94ivRvhlFb6Z4auL&#10;+4dVM8gIJ7AcD9c11KV4XPExFL2VZxvex1EPh+11K2W1v7RJrZDkCQd/avO/EPgazt9HvNd0rzIm&#10;gmfFux3L5YbbkE854zXr9tfRGIjIORwa5jWo8eENTix/yxl4/M1lH3dEJz5ldnhKym5mPnHGRgkV&#10;32kaXYWioIC2ZUDFwucisfwj4Vg1m6QXc0iBiVESLznGeT2H4V29p4fubMrbosqonygAnmqrOy0H&#10;Qtf3jzTW7e1h1eaC2z5SE9B09avXeqaObOW3slmcMF+edecjuMV2/ibwtpVtpQupLV4rtgVZ43wM&#10;EHkg5z+leQEKrYU8Z4NXBJ6MmcuXVdT0vw5p9w9jbypI4Djfx2B7UzW9THhy6NuFkZplZ87/ALpb&#10;j+lVdA1jUtC05IpLNbmJo/NjCygMgP8AT2rN8RW19qMMus3bxKWVSsSZOFzjHtj+tXTozUnLoKda&#10;Eqdm9TL0bTGudUjRyG80Eoy9M+hrr28KBfIlLjzYjwq98+prlfCszxakG+8Mfd/qK9MtbqKVNrMu&#10;TyMntVKmpbmPtXHRDLPRoJ7CazuQVSUbSynn865rVPh81pBLNp96J9gLeTIuHx3wRwf0rsReW9ur&#10;s8qjZ1y3SmRXHmXjMZBtz8oHepjRUUayxMm7o8is7t7W4Vl5UnlajmlLs5Y5YtnNT6oiW2u3caDC&#10;JOwA9s1SlGMkGoTd1HodM0uSUupe03yvt0fnEbeevrT9RuVuLyR1PBPH0qCwdVudz4wqMwz644qD&#10;17knrW3U4BXbCAe9dL4LvRaeIbGVidqyrnHoTg/zrlpmwo+tXbFyDlTgjoaT2A9X+I2r2N1ZQW8U&#10;pEiN5hQrz6A/TmvO11COONmBDDPIxxWQ8zBTkGSTcSWPQ1DFPJ5gdQHYDaMrWEKdkVOXMzeku1VB&#10;LlCDjHONx9cccdqZJdbYfORMoCASzdCfb+tU1mV7KTzB9z7okz179P0qsrxsMbCq46jrk9j7VSRB&#10;ftZPPnMayEEjj6+ma2bKaJ5UZizjcMjHOR1rkz+6cFWIIPy+tbuj3UrXcCN+9b5iATyOM/4UOIM6&#10;+WO0ERdyqgDcTu6VlRWf2pTcuwG/hFZsFU7fn1ouZbi9m+yLGfLUh5fcdQtXjc3XRICAPcVotSjm&#10;9zK5IyQe1ABA+tVZJmSXKksMdKet7GZGUZyBkkngVmlbUd7jp5AksmSSFXIGetEszeXAWQ7nQBR3&#10;JpgKg/6QwbzFAA79asXLLIljeIEARWJKnJ4bjIob1SHGO5Xjfy4R5owwPBNOna1ktAwLJcoc5XkN&#10;6VQu5pZJeAcEZ46UIJPLyRkqOAe/1qloQ9XYltxmXz8hT0I96u3uswHTYrVly8Tsd+eg7AfnWRIh&#10;C4DgAngE81n3bbXADZ45NJwUmrj5nsjotF1m0/tAi7byoyuFfng+9al9qeiwWk0cUq3k8w2qBk4P&#10;Y5riY4DIAdwx3Geas6fb7tXtYjnmUAgj3olSje5tRm21TXXT7zZn0r7LpXnTj7xGV7/5xW38PdPd&#10;9QnkM3lxeWoLAE4J/wA/rTNftZ7ry7aPgOeT7V0Hhkx6TaNbSQLLC/389c+tZ82lmfS1cBOFXmoR&#10;+FfeReKtKiu9EuSP+XYeYrlcEdeCO2fSvOL+dTaRFAUflSuOnf8Axr2SW5s2t7mM2gcT8EM2Vx64&#10;9a4PxFp0U3hyWWNAJIm3jA7Z6fl/KhTV0iMXgquIoyqzVml99jhFRpWAUFmY4AHOa0pNN1WW1ge4&#10;jlEAJjjMpwARyQAa1fBV7saWGJbGGZP3v2u6AIQDHY989Oag1bVzdXUi3GpTXcSyFl2DYpyc5AHH&#10;etz5mEbuz2N74faQqX1zd3CKzxjZHnnBPU/XFX/Bunul3re45McgjwfYtTfAmsaalr9kjSTzgzO/&#10;HHPTnPPStnSnWDUtYktztV7wE5APBUZ/Wqg1J8nUVVci51sS6lZ+d4fvoTkSvCwVfU47Vy0kbRfD&#10;VwmRnJP0311OswOweWJwfJAUqFyxycj+lYOozND4SuLbYAFDA5HPXNDcaXuijzVryPOVi7k/lU3l&#10;R46tVZJTxz+VPEnuaLspJE9swt7lZlyWjcMPw5r0TWbkzeHLm4JyZYw4Ps1eYvJ+8Iyeea9D1pQv&#10;hGFejNsT+VYVW7pGkEtbF6W3I8KqAACkC449Kt3Vwq4jlhyjxJhuDzgdz064/Km3UUj+GyI/vJHy&#10;M4yBVTWbjyoPLRvnfCbSeQNgwelTRe9y59DlfETM/nyIMRs+QB0AzS2Phu+1Gytb+2aEhwed+CCp&#10;+nWreuIF0WJQDkq5JPtip/BGsWtrYTW11OsYSYOu7uGGDWU6lSNLmhuPkg6vLLY6LXddsLbRIIpl&#10;3X1zGAIV7NnaSfbINcMulyw6LeXzSRLHFL5QBPLH29f/AK1Lq9+7eIbueCNLiKP5A7puVQT19jk8&#10;VBqt4h0mws0fON0sqjsx6Z/Wt3KTUbaX3MdNb9CsNc1Pbbx/bZvLt12xJu+VR9OlWb3xHqOoWgtZ&#10;pVWEdVjULu+tYgf957dsU/PNbqMXqzPma0RftGecFJHZ8DCbjnb9K9J+FepCPX57VyAs8eR9Rz/U&#10;15fYyn7XjPA5rr/B9y1h4ztCozvcAD1B4/rUvc5pfGdj8UpVWe1AAH7tiT3PIH9K4bw5eW9j4o0+&#10;4uJkhibzFMjHAXcpwSfrXafFjKJZsMZkjZTx6Nn+tcTpJli1GCK30uHULiRCI45x8qng7j9MGktW&#10;DVqh1Vppd1NMkk3xBmR3UMpSbj/0KtCe18aRxk6P4vi1KRBkQnYHYe2c1StY7+11OKO4W0jlkyfJ&#10;0y1SUKP9rPI71dAdJJWZGHlk8yaWYwPfcnIPvUSm0z16WEhUimmcXdaxcrry6xq9usNzIz2d5Ft2&#10;8GMDdt/HNVoLsQ3A6kFMgev+c10t27wwnUbvwrJqyPEBLeyPuKnuQMH865O5haTTo7qMYKuM4Hao&#10;q20OrLrxc0uhuyXayIhUce/aob3UmSzkjYc4+X1OapWkjFFGDz6U68haeaCPpkgn1wK5ra2Pc524&#10;3RWuNMbV7q3KAgn5XHoK9F8Kwxroq25UFEZlAPIwCa5RLyPTLu1mlAIaQJgDr1rtdL2xmQKqqrPv&#10;UL0wef55rWLurHg5jTUaraNyAAHpxWJqVww8NaiXBAKSAEj61qmdYlYkjgVwPjfUZ7HQBBGWH2gk&#10;PzwAeaOpwxjcxtBuJ7LxJLNBcGMNErr3z2PH513svia9kgQedGhRg25FIJx6815daSZuLRtxy8JH&#10;8q34dzRYJ7ev+f8AP5hzk1sXGKe6NPxPfS3uj3TXN00mY2xngD6AV5N/Dmu/1SMvp00YJ+ZSK4m6&#10;i8p4/lwGQVpQe9zOutrHXeDoVv57YXMYNu8vkySNIVyNh+X9OtVda1VreG904MHt0lkihXOQq54+&#10;tcxA5RsZOOtLOMyjPSuhKfM5t6WtY5+WPKX9Bw2p26tyCeQelehxoi6hGMgKQV4U4+leY2k/2W7g&#10;l/uMGxXphuhcSQyKAqyxBsA9wf8A69NSV7C5W9UWpHSNZXbjdH+YAyagWcpoyzrtOIyV3rjjHrUM&#10;0jXIMYJTPCkcnBHP+faqtzcJLbJbJcRSgDaE3DcB6YrOdVLQqFNs8+eV57lpGOWdiT+NEuQgyO/B&#10;pksjC5fChfnOB6c0PI7x4bpULdM7JNcjRraUEMV2zYJEWO3c1SHJpbK9SBmikGEdfmYLk/hSA88d&#10;O1bdbnF0I7gZXHoKsWBJHvUM4xGamsRgjPpQHUkjfe7L5edpOQvfNHmpFIQsQznPTFTxW5+zCeOb&#10;LO3AHXA7k9v/AKxqW4s4XMsks6+aCoiO44fr/gKyugaMuRo5rot9xWPAB6VditmWQRkblJ7cHNRC&#10;CMZkeMFCCmB/CeOf511Gh6bbXDAP8spjBDSAr34wx9enSgLmItjZTkiW58naMq3UjmtvTvDElpef&#10;alv4ncKQuVOOmK15PAulTtvbVXU91DDiudvVk06Zl81miWQor7s7sH0FKziXBXJ52fTUdvtAmGSz&#10;uq4JOevXpUEerquX+3gE448onH15qS1hW5yt48gtpDsdoyMjn0+tXh4Y0EcrNfNn3QUWb2dhyWtk&#10;cvo6rea1bwzMypK+wkNTLuNbWe4iUnBlIGfQGrWmac1pqNvdSSqPKcMevODV/UdOhvdQllg3mFnJ&#10;QYxxn3qHJc/lYm65PMm8QQQJPZPaxrGr2SSOxBxnoTzWK9yZIgkKEKvTjr710V3Et1a2sMg/1Mez&#10;1LDt+VNSyhVVCxgn3rOE+WKTCpNNvlOdjt7qQbfLJNTQ6VeSkqucn1roRCyZK4GOwoVSjlgRuPHJ&#10;603WfQyvd6mH/YDA7ZJG3DqMVah0m1ggl3qkrY/iXJFabtI+fMYHNT6dapcSTQ4GWjODjoeKXPKW&#10;hVOSU7nn0MQ8772MMeP5Vp6Ng6/bAZ++S31wTWUzhbxwBwZCP1q/YTMviiIgE5mxx78V1S2OrCNK&#10;vB+aO2vZjFq9sp5WSJsexGK0rc/us1n6rDuks7kf8s8gn0zirsMgWMgnoa5WfoNNPmlcuoQUHA5r&#10;GWM3enXlvIMlkZeep4rT81VhByOKr25VZ1QHJkhDEn1HFTfVFyimmn1R48FIYj0OKkP3akuU2Xk6&#10;5xiRh+tRH613I/NJq0mjX8MX8VhqjGZ9iOmN3oa7i31gI2IIC5lbO5VPzH1zXluNzAepr1zQzdX2&#10;mwwJblAq7fNY8DHfHUmsKtNuV0dVCquRxkD312rFp2SJMcgHLVy3iXxAr2rWkSEiQY3e1elLodms&#10;JMo82Xu8hzn8K888f20ECW5jULljjHpTp4fW8iauJuuWJw6dKkFMBA704MK6DlGuMODXp9/ELjwx&#10;bALg4jPTr0rzFyMivW44o28PMseVCRgqT7CubEO1jaj1LqDdpEykjmJv5Vi6m0tzNDGyh/mJDAns&#10;P/rVsWjCTTmKnPyH+VZ9pEkviFCA+wK52tng5A7/AFrKDtGTNnvEo+JYhMkFtEnzGGRgc+wH9K5i&#10;PQ7yw0yPUpDGIJj5eA3KnqM/lXY6tCDf2qMQPKifJPucf0rN0oNquh6no6upmjkDwBm685xn86dK&#10;bilYUqam2mFvGl14Uv7eCPdc3FwCNq53YxgZrN8UaDb6LpdqzzMdRbAkjHKgYrtLBYfDeguVRjco&#10;CxjdgQX4H0x0rzjWdRmvZDPcOXlZtzZ/lWntHNq2yE6KppqW5q+H4IreFC0KFyMsxXJ5rZv7Cyv7&#10;RkaGLzyDsOMHP4Vh202ApTgNyKmeWY38bebjjj2Here5ynLMn2K72t95XKt/I10NrObe4s71CQ0M&#10;i5I+uaw9XtTbXxDMWyTknuc9av6UzXEgtiMhuOT+tXJ6XMqkW2rHqHxN2SS6aCVyFbIPvgivMprh&#10;xq9vHHcNbqx8tpE6qrcH9K2dZjvYLdZdQvnup1GMu+4gZ4x7VyskgjkSR137WDEHvz0qItPYJQca&#10;l5Kx3doNJKFPD3h28vjCcy38jOBweTx1HtxWvJdwW0txN5scS7c70muAR9OKzNF8dvJLa2MQaztd&#10;uwRRkBT+IANb1wLUFHSOSUYBJkumKnnoUJ5FRUtzWZ6uFm4wdtTGSTba3N74Y8UzXM0Q8ybT5gQj&#10;ITzgHtzXP6dLKLeW1uYxw5Vh6Vt65rejw67bSSWMVpKkBSV7ZcI+T0YfQVgach17xK6WEmwSDOZP&#10;4tq5P8qKi5ojwNZ0azcvmWFKQXDRc7VPGfSnxTh73fg7I125xxW5LpGn6iYlFwLSRFKs5XdvA9ee&#10;tT6TYWc8TaUkjbZN2+ZBgn3xXPbuerLGxS0OC8S3Jke38p9yAkjHY1ryeJ9RtJhAkihYkVSCM9s5&#10;rH1O3KXzWoBBSUxg9M4OKg1RWTUZSxB3EHj0remlZHlY+blUb72Oqsdc1LUL1IpJt8Z5kG3I2/hV&#10;3xMkepeEryaLB8p8hQc7Np5H8z+Nchpmsy6RK03lCQkbBzjFXtN1qcaPqcBRW+0MWZm7Fhg0crvc&#10;5VJKPmQ6DaNcNBKxwkcZH1JrpvIiREbe3zcdaytJXyNO5POTk1evW229kpPJdRWVR3Z001ZXJLy3&#10;Urt3dvSuP12Dy4IGHIHc11tw/wDprKTxtH8qo3NojGyScJIkjdMdPQUUb3SFWS5WzhwRwR1FPZJH&#10;O9UYqvU4rqofD1lbaq73O424+ZIwcAn0J9K37Y6e9k9lHbDEme2Rz2zXZKo4+6kcsKfNG7eh5tLa&#10;ziNJHjZEf7rMOD9K7S1aYaLAEbdJA3zD1TuP5UeL0ih0eAKvEbgAAdARVOO++zWwV2VXHyyKw5B9&#10;KU4voKm0nqakN4h6NjBDAHg1DPARJJcWIUO7bipXgGsJLiWWRQjCRGztY9eK0bO/uFYRiPP+96Vy&#10;yTRsrGF4jg8i+WQcNKu5wBgbu/FZkAknlEa5JPbNbPihHkmiuP4MbPoetYtnN5FwrnOOQce9dNP4&#10;DGfxCygrLtPUDBq5ESY1+lVZyHuHZTkdjT4JwoIbPtWhm9y1KMpjueBXWWvgy4a2imjuYm3AblPB&#10;59K455gxG0NnOa7qw1u0msmjljZkKDGDt5H/AOqufESnGF4m1Lk15x7eELeOMrKZnLABJMqCCPYH&#10;HQdzUNl4SQ3MhnYlEYlC0gBx+GcmhvEktnaJaxKq3QI+bduVxz1Hr71He6zLdWcMsy/vI8Bj/e9y&#10;Oma8yMcV1e5blSJLnwssjwyQ3IhGSrIzKwyPcH0zya2IrfTLKHB3Sxld2/zMDk8dvY1yCTbbO4uI&#10;5xuL8xdCAT1HbHI96gaWS5f5cr5fUEkd+uPTpXRCnWv8e3kTo/snUxarp4uirQMYs4yJDn602VLG&#10;/M1mlm7bkdopd5JMmSVGPpXOLeMQQ6hZAuRkYBqzp93OkvnIcKoyQByDXUpTW5HspK7O1g0axXSo&#10;YxazCcBC4yeuRu7/AFrWi0GykGUs5APUuR/WsrSvFVvtQXkbY6GRcHH1rr7S7sL2ESW92HX/AHsE&#10;fhWymnsYp9DzlrKADI5YdttMWPnCKo+prqG8PaYhAfU3JP3tsfX8zU39kaLEAd11IB16CuX2UxNM&#10;5NICq4IXn0pfKbIG0H3Hauvit9GjPyWMzn/bkJ/lVhfs6N+40ZM+pUmn7GQ1E4owrtxlQeme9Rmx&#10;lcgLEzjsVyc16Aj3mP3GnwRfSICpR/a5P30Qf7OBVKj5hynADQb+cDZazkf9cjVvT/Dut2N156WX&#10;mEKQN524zXamy1GZstdH8Cad/Ytw6nfPKfzq1St1C1j53ln8rUppJEUnzGJGO+ajnnjF0LiGVw+d&#10;wx2NbeoeHUinlLTtnccgr71lJp0bTlNzEDvXU4MI1EldHf25Nz4VhvHkUyPtwOpJPWrttGsybiQc&#10;MVwRXKaNLIiNppciIHzEUnuO36mt4RX1tbA26hlPUE965XScXqfT4TOL61ZaHQ29rBNE8aom4DI2&#10;jmoIdOy8JcZPlcfLWHpFze3epeVK/lkNglDzXoGnW8P27dIruYwERN2F47modNseKzeKt7GT8zwj&#10;XdPkt/EmoW6pjbMxAPGAef61mtA6uVIANdv4/Ea+ObtoR99ULLngHaK5PUhtkVsYPtXZyqx8vzNl&#10;QQFWUs3AIzgV6rYeOtBt7ZIyLiPAxzFn+RrzBfmTnmnKPkoemxSZ6tJ488Oumftch9f3TZ/lXJa7&#10;eW3jC9ittOZkESs5aVcDFcW3EhFTW19Pp9wJoCM42sCMhh6GpbdtBq1/eEktzHI8bgh1JBA9RTET&#10;JxnpU01091M07gB35O3gVbh0l/8AhH5dY3jas4i2fh1/lQK3YhsoLc30QuMmPPI9a9BsL5HtWs4t&#10;k/mRYQZ65HA+vavNZCTGTV211Jbe1XY7rOn3WBx9KyqwctjalNR3PQbbU102ZNNu45I7jy84Knpj&#10;/wCtWfZeIbV726umfYiYABTHJP8A9asyVLnU7eO+uJ3km2BRIeox0rETy1DQk/vDKDgjjGD/AI1K&#10;o+60+ovb6+h28mqwX9408e1/kAJx06mtjQNIt77w8L23gjS6lZj5vGchsda871SaW0tEeBthkXBI&#10;FU9JS81X/Q4biQeWudhc4xnt+dZVMNtqaRrprRanpmtWc9hpPnzXcMjvdRArHgNgkgn+XNcPq/hu&#10;5E8915g+zklxk8+uKtQeHJrC6tXu5htklC4HJJ6/0rodaz/ZLr/st/Kqprk0TFVm52v0Oc0bi0jY&#10;YbIPUdu1W54EeeGbJHzAcH1//XUFt5dvaxx5wQo4FV7+++zlJW+6CAB71o9Wc5ka2ZZNQmDAYRiA&#10;arWk80RWSJyrr0NSTSNLDJLISWPJJrMRiOMmtWrKwk9bmhNe3M84Ms7MU5UE8D8Kju5ty9h7Zqn/&#10;ABUjnmlZDeruzc06AXNoXVsSJyMdjV1vEOpzTLbu6DBxkLzVHw2xaV0qeSPy9bUcDmrcVLcSnKOz&#10;G66myRGdyzOMktVnwPc/Z/F1gAeHk2nPfIIql4nYm5jUnOBWPZXctlew3UDbZYnDo3oRUyV9CoSa&#10;1PerbSBJqTTG1WOInEiSZw2TnIrWhtbSwJ8iOOPcck9z+NeMz+LvEE0W86nMM/3QB/Ssz+07+aJm&#10;e8nJJ5+c81mqLNJV7k3iZnt/G14CzELckgE+pz/Wn6rETJHNtwrjGPQ1gzTSSXnmySO77gSzHJP4&#10;10mqMptIdpOc55+n/wBelJctgT5k2zInGEXHrU9o5NnPDn/Wui/hUMgaVQqqS3oKd+8sI1lmhbaW&#10;4zx2NHQmO9zp48pp8Sjjdk/mauamf9K0+P8A6afyFYi65YzCEK7Ls25VhzWlPf291c21yjDy42IO&#10;4hedprncZc2x2qUeXcmnbfq1wncIMflWZNPMt3awyBcA7sj2py6xZSajcXJmCKy4Ab6VQ1HVrb7b&#10;BJCfN2oQccdadOMk1oKpOLi9TtFgSeIFhnis8IYYn8vK/PgkelaNm4e0jcdDVC0Zje3KueBL8ufS&#10;vQ6nnXMXWy40tzJ93zUx6ZzUetoj6vqCoBjKsPxUGrPjBv8AiWxBcANMOB9DVXVEaLxFeRPkExRk&#10;5/3RUfaG9jNtNQaOSOPylCKQCR7muoW0Qpu9q5nT4o5LmVHwFYd634b/AORIAq+YB95j/SsK8bbG&#10;1F33KOvIo02QOOBjb9a5A/fP1rpNREt9YSvI3zxScDpkdKxL23W3nXYSUZQwJGKdHRWCom3cAnGf&#10;Wo8YfFT5zbg5GQcYxVdvWtzEuKuNrVdhmZEWNVI46545qonNsD3zWrbW8ksa4XKN6Hv61FS1tS6X&#10;K5LmI5zG5R48rIAM855p0rZLqikNnGwnOPatBNMKxEFDu3ZJI6/54p76WrkspXee2cc1z88Td1aa&#10;2MZ37Y6juetWpFCxqxb52QEqxySM1oLpNw8TJ5aHptZeSKv2nh+ef71vKxHRvLIx+dNyXQp1tDAW&#10;OW4mA2syLGVTnGDU8CMgTzA6F+BjvXXweFb8gARhQf7zACtG38IhDm4ukXvhFqHKT0sYOpOWhxtr&#10;apvYv5mCc4Y4Ga0LeGbcRarPnHOxSf5V20OgaZCASHmOOC5q6gjt0CQRIi+gFCi3uR7Nvc000OAY&#10;P2deP7zZqddNiTtEv4CkaxIGWuT+X/16jMSp/wAvA/FBXVcksiC3jxmZB9MU7/Rgf9bn8apliBxc&#10;r+C0Caf+GRj9EosFy7utweAT9FJpTNGPuxv/AN8VSD3x78e4FPAvO7pmlYLln7SR0if9P8aT7RKe&#10;kR/E1Bi97bD+FJi+zgoposFzyXX4Wj1C9jYbcStx+Ncfbvi/2eozXofjm1kt9SeWQAGVQ2B+X9K8&#10;1Mnl6nGScZODXVfS5jFdDSuJfsN9bT9NrAn6d69K05VnsCeuOleZa4uYUYf3c16F4UlLaJA7bsPE&#10;M5+lY1TamyHQoQdanPpM3867ezMQhaUkAs7c5xnnFcfoS51S+O7H7x8H3zWrLdpaWiMep7e/es0r&#10;sqTtFHAeOLaZPE0ly0TLDMcI56NgDpXJXo3Fc816J41uLa80u3uBnzIZQPwPXj8q8/vipkVUPv8A&#10;StlsZLexXiGMg8cd6chwnNXdQ0+7tbe2upYyIplG18cHj1qgDgYqL3RolZkVyoUxkdxzUD81p6hB&#10;GtrBIrZdutZuSMH0qYu6EieEZjH0rcs5Nng6/TdkPOo2nseD/Q1gQS/u2BPfrV60RrnS7+FZVQRF&#10;JsEfexkY/WqYyuwzBkVQXOD9auo+Yyn9Kq4IyKdgO3spR/wi6ydRnBrmHk/0/wDI1qaVef8AEjlt&#10;poz5ZJZHHY1huSb4nHH9Ka2I6mvruRp1qccMD/Ok8FTiHxNAp6Sgp/X+lJqztPpUDEqFTgLmovCa&#10;bvEtp6gkjjvg1E9iobnoPjHFvZWk/TyruNuKdraN/ZFwy/eWJ2z+FVPiI8o0G2Hl7QZhvPvg4ras&#10;0/tPwuJeWlltMMAOCStc20UzdLVnllvq84+R1VhTtSuTcWiEjGHqhEhE9T3pKQIhHVs11KK3Odvo&#10;JJ/x5H6Vmr1rTwWsnBPAFZqfepyCIfxUjdaeVyc+lPjjEhOewqSkaPhydINQ/eHCMME1du5oU1wE&#10;OCmetYti3lzEjsaluP8AXqw75q1sQ9y54jYSXKMpBGO1YXetO/ffBGT16c1QSNm5HSlLccdjTVyb&#10;YKR+NQQvmNh7mp0OYhVeAbS4/wBo1oSVp1xJn2rV0ieS/vbaznw8Y3Yz16VnXeA6/SpdNmNlqlrO&#10;wwocEn2PBrGaNIux0mp2X9n3li6IFV5QrYHXNXPFdmq6D5mOVYH9au+KY1+x2MwHAuI+fxqXxPb/&#10;AGjRXh37WxuXgnOOccVyp7M6mtzy8dKn5KVDjg1YUZjGK6jlEXlaZncwHepFUgYPUVJY2hn1WO33&#10;BCzdW6DjNDA9C0i4k/sSEgjGBnIzis7TdQe51K6h6pG5KnHT1rU0uBrS1MDMsirwWWqtlpv2XUbm&#10;4V1KTZOwDofrV32YktCl4x+XTbQ4HMo5/A1R165kk8UTyOhBK+WeMHCgAHFX/Ga50227YmAz+Bp3&#10;iyQyyaZeSyK9wV8p2Chd4AGDgfzqXpJD3Rm6LapcXhQylMnA45Y9gKn1i3l0u/e3kjUyIAwIbqD0&#10;p2i2rXOouI5HhYLuDpjIqz4lMzajF580kziEDzJOSRk96UoJzswjJqLaOVu7yaecQkbUZgSq96k1&#10;+CSC6iV4ZIh5eQHBGeevNEXlprNo8vEYlQv9A1dL8SJBPdaezMDJscH6ZGP60pRUZKw03LVsw9J0&#10;a51PSr2aBNwtl3scjjrWIw5wRXo3gKER6LdO+dsr7dvYgDn+deez485sD5c8U7+80K2lyeNsRBec&#10;GvQvBukWt/pBluJZFKyFcKByMA/1rzxUfaCG4r1nwLYynw1G4wPMkZsn8v6UqivEStfU0v7G0uMY&#10;8ueU+7Yz+VWItP05SCunxAju4DVoCzkIw0g/AU9bBedzsc/hXOoGvulfzVi4jijQegFIk77jlzg9&#10;MVdWyiBztyfc1MkCL0T8hVKIcxRVs4PzHnmnGN36RkDHc4rRVASQAOKeIPpTsguzPjt2CBWKgDsK&#10;ebWF/vKW+pq+Lcf3hT/JUe9NWQrtjhFG3LBjn+8c1ILaPosYz9KqLp9w3JIH41Kmmvn5pcfQVpYi&#10;5YNv6nAHbpUReGM4Zl/OnDT4RyzO5+tO+yW4+7CDj1yaLAR/bbdf4yfYCj7bu/1cEp/CrS+UgwIl&#10;U/SgzMfp7UCKfm3knKW+AehY0eVfv/FGn0qyHx90nHpil3jk9D60ahY8t+IUVzHqKLLJu/dAqRxx&#10;k/1ryy8RlukI9RXsHxNZXezIxuKMD2yM1lfDy2he51KWeKNgLbAd1B2Z9PTpXR9hMyj8TOKvo1az&#10;VmJJ6Aeld1oAxpFvtZxmJeFY+npXCXTb8IpyM8Gu80Ly1srRUJwYVIz9Of1zSqoukylpHmDVLoyk&#10;gi4YE89M8ZFdM1il3ahGY8E4I69axo4lj1y6jB+d9sqjOMgjB/UVe0i9b/hIL/T7gyJDsSWKTGVH&#10;ABH+fSslo7lS1jYydf0K4XSbhlkDrGu/BHPHNecXHHz4PXua92nWEqV+0RMpGCGHWvFNbtDaarc2&#10;3RY5DtHbb2rRbGa3NXVZJJPC9kr7tq7SmenQ1zeOK2rnV/tHhS2sD96CfqOm3Bx/M1jleKzZoi3q&#10;V0ZdG06AqmY9/wAwXBPPc1jN0ra1Gz+z6PYTdRIXJPp0wD+RrGZaAFt+dwqxC6RC63x7yYsLz0OR&#10;zUFsh2s+RgMBUqqryTKx2jy8j3ORQAyDrxQ6Ha575H5VIiKqqVJJPXirbRJ9l37/AJ2GAmOaAIrG&#10;crBJCeUJz9KjlQCdWUcYoi2qVKqcHrnjNSyn5k2jDBuh71a2Je4ly5ay2nsa0fAsXmeLLQZG7DFR&#10;6nBqhdxzLbgvGyKemRgVL4cnNl4gsbvO0Rygk1FTUqB6T8S0EnhWGQjDC4Xj8DWt4TiWXQbLAGfI&#10;TOPpWX48k/tPwuesDxsJvLZW+ZRwcce9T+B57j/hHLYlA/lIcMCRhcngnpXNb3LHRrzHluoxLb63&#10;cwr0SZ1A+hNMv1HlxEk9e1Mu3a41KedjkvcMcLznJ7V0mseGxB4cttSW4372G0D5hz2z+HvXSmkr&#10;M5mtTnpsJZOSeTgVlJjca7rxJoo07QtOljCMlwo8xwo4YDpmuSaBM4BAPrSckxqJWxkZqSEgNj1p&#10;hXtnipo4SVDAMfoKTKW47CYBRApHX3p8hQ8E4brSLC7NgI/J9K9Bb4fRxT6RK7l4Lx9kkbHmM4J6&#10;jHpWkXoRNpHntwV8tQ4J56A4PSoEAMORwcV03jHwpcaLrTWsCvNCw3xuF/hPb8KyE0m6EHNtLnH9&#10;2pk7sI7EcBDQLgYGO9MiILN0612/grw1YXunzNrCLCyybUMkhXII+orS8J+GtKF9qqXgjKhzDDuc&#10;BiOckfhjmq50hcrPPYZI1uNrQRyNjgsM4/Crf2je5EtrBKVPBZegPYVqah4ZntdcmW1tJpIEkIVs&#10;5OKRtHvRJI/2CRVPTJFZys3c1jZKzNCS7t9T8MQRy3EKXEcqFkLAHAYc4+lM8T3iTSW621wrxFDk&#10;xtn27VyNzazCcq8ZDM2MAdMVp6Vod5dCVooWO0gZyVqPZrcv2nQ5xomV2HocVLGpA29fpXRyeDdW&#10;ZnYwrycj5ia3fC+mx6UJ11IQq7japbr09cdK0TIsjhreB3u40VGO5+OOtOklEesJIihQhA44r0Yx&#10;xvp72kU8SXSOzIx5PWuXk8HXTksZsk8kletLqEklszS0DWEmeUOwZlcgKF+8tbLRvuadbfMWeFDY&#10;IFY+iaVPpVy0sccEspXZ87hMe/J5rSiuLlHkSaLc5c4jkx5YH16H86rm2SJSWrbOc8XzSXD2tqu1&#10;VDFiuTnPTJ9qm8WaUbRNLAk3uAVCjrjiti90R9RuRczlI8jAS3YMuP6VattGabUBdS3ksksS4SOW&#10;M7fzFS3d3Ha2iMXwyP8AibrBKjDzFKn1GOf6Vo+LLJYXthDG7sVYsxPYVet9Gvhq7XtxNtC/dEaZ&#10;H05rXhdZTJFcTQjjC7/lNDl71xKNo2PKbLTX1LW7a3AYJJIFPYhepP8AOur+JGlhks76IAKuYmUe&#10;/IP863bDwuLaSK6MgWdCSCnIB9qn1nQpdXtRBNfttVtwHlZ5qXO7KUbGR8P0mXQ76IOzg58pDjg4&#10;P48mvMbmKSC5khmQrIjFWHXBFeiwC+0IzwW3nu+CgkEZ6HuK5afQ7ie5BkikgRm5eUHrQpe9cfJ7&#10;u5jRS/Jt9PWvcfCTQp4XsBEdy+XknGOc8/rmuHtfCVm0G15gXI+Xyzkk/SvS/Dtg2n6FaWpjzsTk&#10;smDySaTqxktByoyg1ctCZB/CPzpwuF/55irXkhj/AKsA/wC4KetuMcrH9StTdCsysLxf7g/Oj7UC&#10;fuD86tG0UfdVPyp32WMjotF0FmVFvFIy0TD2zS/bQPux4/Gpvs0OeFB/Gn/ZUx9wU9A1K32zI+ZT&#10;Si9Ufwmp/s0XQAZ/3qabWPPIA/4FR7otSyb2AZxIPwqM38X979KyeeybfxzRtkI9BW1kZts0m1JA&#10;OAzUw6nxwhrOKsD96pY7O4mxgYX1NFkK7LB1Jv8Annx9ajN9IQdkR+uali01MfOWcj8BVkQ7RtAH&#10;5UXQameb26I4i/PNRtc3hGQqj8K0XgkbooNQtZznpwaLoLM4LxxHcTrasY/Ml+ZRtxx+VYGgamfD&#10;st/HqJkgMkYIDL1xnj8c16t9i8yRfN0/fLH9yZpBj8qw9U8HJrEim8VWYEkFQfyzWjqR5UkKMJKT&#10;bPJXtbh4RcJExSRiUwvB/H8a7PT/AN3pWmrEoZni5DA8HuK7SLQLuy01LGzhtdifdadd236Cqkfh&#10;u8ttrsFmfPOwY/IUnNOxpTgue0tjnmtrmbU0hKCOUJuDEdRnoD1FU9Nmij8TahFM8jTFEwc8KB/D&#10;+ua7GfQbubUbW9gRozGjI6SEDd3GOavx6CJZGlmgjjduu1sk/Xioco9Dsr06Cham9TktQvRaW/mR&#10;wmV84A5/pXIQaPJrurXFzqSSRRhRj+EH2/KvXzoVs7FecjrxVK58GxXMof7XcRqOiRkAfypc5xKN&#10;uh5VqWii0gk0+1gMoeYPFIOpXBzu9qz4tGlttSghv0eNHBYEc5xXsZ8LPaBPsZicrwfOYjj6gVcj&#10;8PQzsst5FE0qgqAuSMfjWbnK50xjS9m9+Y8N12xuoPJT7R5kAJ8qPPI9eKvw+D3ksBeI3mbBudCM&#10;Zr2k+H9LVSXs7fOOpUH+lc9NoVhLIxMYCk8KGOB+FO7ZEJRhdSje5yHh7w/aS2FzJqFr5No6/KfK&#10;+Zz/ALLEcVzt/ogtb4mG3n2g5UyYzt+mK9etYmtITCl1MYz/AAM2QPpUZsrZnzsBb1IpqTMnsee+&#10;GrWzTWIWlstyucESx7iD9MUviPwtNbau0sFsfsztuiKcAeo9q9BOmWz8mJc+o4NLDp0EIISMDNFw&#10;OA0/QHkvle4tmbaM7VTOfep9S0C8mv4ZbfTn2KOSY8YOe9eqW1rC8KSGFCwGM7easMqoPu/lUOTv&#10;cq2h5dd6VJqumCzltjHIDwzYHP06/pVI+DLuxiWZbbzShBCbc5/KvX41jPXg+lKYXzxtC+tJSsM8&#10;4vLXxF4kt1hnhEECjaRtKbvwPWo7DR/EmiwSWFqm60kByNoIyfrXpojGM8Gj5AeSBU9LGrqvm5kj&#10;y+L4YRSwqzzMknUgDoa6BPDLLo66Q0aPbhcBnlYlT6gYx+ddltQ8D+RoxGvXAPvVczMmru5yEHhg&#10;rYJYTpBNbquMurFvr1wKrXXgLTp7dokTyiw+8q9K7Zjg4jXd+FOHI5Az6Yo5mKyPN1+FenFlZp5S&#10;R2HQ/hW5YeCdMsYSiwq2TklhXWBXBGFyD1NSeWSKOZhZHMnwvpxH/HsgPYgc1dbTndER7iQhG3Jg&#10;KNpxjPT3Na5jH8RwB3JpPLQjhqfMw5UZD2AkwZ2edhwGkwSPyFB02HGPKXH0rVKAfx/pTCq56g0r&#10;sdjEl8P6dO4eazidh03LmkOgaezBjYwErwDsHFbZUADj8hRt4OCaLsLGctnEoCqgAHbFDWSf3K0C&#10;VXGcfjUTzqBhQDRqDSKQ06E5Jhj5/wBkUrWkMYwdoHoKleR3GN2B6CoSi+tOzFoQyRR4wik+5qu1&#10;krnkA1eEYIo2Y7GnYVzPNhH6Uv2CP/Iq8Y/cilC8daYiiLCH+6D+FTLpW4coAp7kVbUhegFSfacd&#10;gfxo1HoV4tLhT7yK38qsC1GcbQB7Cn/ahj7p/OlF0uc7D+dS0ytBfs8Y42gn6Ui24JyYkHvinfa4&#10;sfcaj7VCeqMPwqbMNB3krjjZ+VAiXvgfTFKLi2HsPcU9bi2P8YH4GizHoR+VH32kU2SztpVxJBFI&#10;PRo8/wA6n8+2PSQU9ZLfj98n50ahoUoIIbd/3dukY9VjC1dZxt+6APc08SQ5/wBamPrTgIj/AMtc&#10;/iKLMVxscgK8DP0zStIEGSp/75pyrGp4z9c0oC9cZosx3I1dpBkIf0pjzeW2G4/Kp9wXt+lKcNzs&#10;J/CgLkKr5nJY49ADSeUVOBuH4VMHI/5Zn88U4BSM7ef96gRB9nY8h/zUUvkJ/FIc+zGpwx6YFIVJ&#10;7LQFzn8O7YBYnsBVuDTJJT+9coPQnmlj1BYBiK2RfcnJpTqtwegQf8BzWzuZ6F+HTreHlVDMO7c1&#10;YEODwo/Osc6jdH+MD6KKYby5PJmYfTAosx3NzbjrSYU/xiueaaV+srn/AIEaBvccBz+GaVgub5Ma&#10;g7nT8TUbXNuvBljH0asUW85GRE/5Un2KYn7n60rIdzYN/ZjjzgfpzUT6nbDoxP8AwGs5dOlJ6Ivu&#10;TTzpxHWRB+tGncepabVYdvCOT64AqI6mf4Y2+m6mLZR/xS8+y1KtjEf43P0ApXiL3hh1OTsg/E5p&#10;p1O4YfcQfhVj7FbrjIcn609LSDtEfxovEdmUTf3R6Mo+gphu7v8A56nFahgjUcRoPcim7VUfdX8F&#10;ougszK+0TN1mf8CaRvOk/wCeje2Ca1DGhbJUY9xTmywCpwPXbS5g5WY7QSqMyROqdMsOtKI09KuX&#10;kKb48E7gDnk1X2EVSJZEY0H8ANIEAbIAHFS7D7flTSpD8HtTATbmjaKcFb1pQpoAu2BHlsvOAfWr&#10;eFI7/maoWgIlILYyK0AAOrA/8CrN7lLYiPyN8qk/8CNOwx5x+ppXlROWK8e+aEnjcHJVfqaQxqhu&#10;7N+op3kpnJ/rSO6DkMtKj7+oUfU0AOULnHIH1p21c0x8AZBAHtTVuFzjaB6ZNAE2QOtAVefkH5Uz&#10;cWUlVU/ShHYjJVVHvQBJuxwFppBJzigMSTl0/KlyB1ZePagCNlzkHH5UxUCkkcn6U93QA5kA/Cop&#10;LqNRhSWosFyTPYmmlkjyTVRriRwf4foaZkkc0+ULlo3SD7qMarvOzZwdoPpTKCM1SQrjTz3o25pe&#10;nSlAJ7UySPbzRt9qsLCxGSQBU0aIrc8n35pXSGlcqpDI/KqcetTracfNk/Q1OSWyCT+AoU47k0uY&#10;rlK5sB2cg+5zTTZEdX4+lWSz54BpCzf3TS5mFkQfYs/8tB/3zTWsGxkTR/iDVnOf4aADk/LRzMOV&#10;FQ2LgZ8yM/jTPs0g7D860QjE9FBo2SD+7T5mLlRmGBx/CfwNIYnA+435VqFX7sv5UbiOC5/KjmDl&#10;Mryz1Kt+VGw/T6itXd6yn8qadvd2P40cwcpllcd/0pCPf9K0ysR6tSeTbfxBfyp8wrGYc9jmm59+&#10;a1BDbA/dBHtSiG1K8xtn60+ZC5TND47j86XzWHRiPoavNb2vZXH41GbaA8YkH0Io5kFip9qm6LK/&#10;/fRpftVz/wA9ZP8AvqrJtUHKl6b9lPZj+Iouh2ZGLy4x/rHzQL66/wCejfiBTzbSZ4IIoNrL/skf&#10;Wi6CzAahNjl8/hThqEvcLTfssrfdA/OmNaz55jFGgaln7IGOAjAD1NSpZx4y5X/vqr4nT+/u/wB0&#10;Uu+M8kVPN5lWKZjgTosWfeo9uT/qlx7CrrCFj0Ufhmg+Wn3QCff/AAo+YWIEt3I/u/Q06OAwk4Lk&#10;n1OalEgc8q316D+dObywMfN+ZpNIdxhQkZ/mab5X0qURjHG4UxoA3R2/E0WFcjLIGwWXPuKkCbhw&#10;Vx24pBagchsGneUQOJDn2osO4CLHVl/KmlMckgfWl8uTP+sH1xTRD/fk3D3OKLCuRkEHPH1HFMLk&#10;fxAfVqnLJEpyi4/AVHvikPER+vSgBiyoOpZqPPBPypx608NGDgW5PvinqyE8R4/DFA7kOW67nz6U&#10;jSS444H51ZO0DlCTVK7ulQKnC7zhdvOTRYVyq8jSOWOSaYQT0U08qfUUYIrQgZtI7Uv5U/ax6mow&#10;rbjQIXk98Ubf9rNO8s+tIU/2qABAQ4IPStGLI5bGT6jJrPCc9a0UdNgII6damRSHyHKkAj8qjjCx&#10;HhV577ealDJ7mmMyk5+YVAx29j0bH/ARUaiRGJVjn1IFPSVcYPJpzMCOQcDmmMcrPjl2P4CmeUN+&#10;7LFvejzWA3Mdo+lRtdgDg5NAibzRnZzkdaRiANzfqapNdvjavA/WoWlcnnLZpqIXLrXOB8o5+lV5&#10;Jpn4yAKYGakye5qkkK4m1ick5PvRtNO49aWmIYEPtS7T60uzdxk59qljtHPViB70gIsYpQhPQGri&#10;wRqBwWNP8sf3aVyrFNYV/jJ/Cp18tBgJUu3/AGRQR7AVNwGeYmPuYNAlH92nEDuRSYGOKQw83PRM&#10;fQUB2/u0BfrR09aLDuBZjztoG/HK0d+9OA44BP40xEZ3/wB0fmKRDIw+b5cepqZYweSuD9SaVkUL&#10;yPyoAhKE87+aTb6tUq47CnbPTFAEO0etHlr681P5ARIQ7e9+hFMdHXnAIoAZ5Y5yKNg7LQN+OBRh&#10;qAFEQ64pRGvUikAP+1mjn+8fzoAUxgdqcqp/kU0A+ufqaXoaAHFFo2KPSm7j6ilBHrQAu1cYpNqj&#10;jtSgjuaTcAeeR7UAKFA6A0Eei5p3mJjv+dIZY8dR+dOwiNt/GFUfhmj96ew/KlMqHkMKPMU85oGC&#10;vFj/AFYH/Aafvi7KfwU0wZHUK3tjFSCSXjZEg/GpKIX2HorD86RJEAwrcj1NWt0ncLRvcnAUn2Ao&#10;C5U8wsQBIB9MGpgzgZV0J+mak2FifkP5Ck2Khz5YB9QtAriCSY9WUfhTtz93XP0pCN/XI/A1GbeE&#10;HJbk/wC0RQMk3S54C4/3qYzkdSuf96k8hCP9YF+hzQLWEDPmtn1zQIQPu+8Pl/OkCW8eXKKPelFs&#10;meJGpPssYbO9jjucUD0FWSNyCIz9Ting/wCyaFAHRmb8qkQk9cUgIGds48pz74p6sQB+7Yn6VKd3&#10;ZgB/u01kmcYEoT6Lz/OmIa7MwAZcZ7dKpXikbRxjqBitBYSOp3e5rLvHLTsOOOM1UVqKWiIMn1pM&#10;4703B7UuDjkitDMXf70Bjzg4pu31NACjiiwXF3H1oOfWmll7UA596LBcXp3rSs1VoMkZYHpWbx6V&#10;YtrhYC+5ScgYApSWgR3NULx91aRiirklFHrWa187cLhR7VCZMtknP1qFFlXRee7iQ7UAPuBULXrn&#10;7oUfSqxIPYUYqlFCuSNIzdSTTD15zTAKXmqsIXApR+NNx7Ud8CkMdkDqaXcO1OW2kYZIAHqasxwR&#10;Lj5Nx9WpXQJMrIryZ2KTVqOzBGXJJ9FFWvOcDCx8elI1y44K4pXKsKkcSD5UKj1INOVUOPm3fSom&#10;mYj0+tN81/71IZa2ovRaQhW7c1U3yFv9Z+lPWV0J+bJPrSAlCEE5XilIH939KhNw+efzoVmkz81M&#10;RJgHPy04DA+6BUWWUH5gKjMrjgvQBZLEDpmkyG5xVXLn+I5p6qe7GgCfI6YpoVFOVRR68VGSo6n9&#10;ahJBNAF3OPrTc9cnj61VGCeRTxgnAoAkyASQc/0o3KOpyacMDqeaQke/50gASLRu56H8qYzZ7D8T&#10;TfmB++KAJS5HAU4prMc/c49aYDySTSMRyQx+lAwMj5/xoLse4qMY55NAI96AHFnHcfhTS746mgke&#10;hpQyk4ximAhdu5NAYk9TTsgen5UF/QYoEAU5zzQVxyQaXc2KQlvWnYBnU8CgKfYUMrP3pBE+OWJo&#10;GO2n2pykgc4qPYemTQQf71AjRwqj5XI/WjMh6MR9RQdi9B+tIG9Bj61JQvz4z5mT7igzMONwJ/3a&#10;XBLbvmoKL94rk0CG7p+5UfpUbSSBtuVLegzUpV27fnQqycgADHf1oGQBbknLqFHs9PUkHPlYPrmp&#10;xGxHJyaXyz6ikFyLcxGNv60nlpnLAsf9o8VNt45I+tNYEngDHsaYhpkVf4fwFRmcZ+4fyqby+c7f&#10;1oIK87AD7miwXIfNU8FCB7rSIYudsYHvtqVYstuIY/j/AEpzbgMLH+dFh3IhtHK4H4U4k9c05d+B&#10;uUZ9hT9yikFyvI+2JnOcAfnWUxyScc1pX8yrCEBySazN4J61pFESYhDHtSEMacGHrRv+tWSM2N6i&#10;kC9c9acWJzgfnTBz3FAgxS9+tNYdgeaAPfmgBxBPSk2nPNGSOADinY9aQxmKXHrTvypcZoAQDA70&#10;tLgngZz7VOlpI2NxCg+ppDK9OWJ5GwoJrSS1hXq24+5qUeWOFKDHalcLFGOxOcyMfoKlEIh+6B7V&#10;NJMiDgjNQibNS2UkBVyeWNARl43YpDMR1xUZlBzjmkBYRWZtpk4+tTeTH3bP41RBA6YpdxHtTAui&#10;KPuBx0pHjXaTgZ9qqbyT1NSo7YHJpDsPVQBzmkJXGNpNJv5ySaUuKB2Im2k4Ipysi9RSHDHgU7jH&#10;SgQrMpppf0U/lQWwOBSh8A/LQA0s2OFNIXf+7+tOMgx70wyHnigBh3seV4pwV+4FJvbOeR+FKHZu&#10;Oadw0HYPrS7ST97FNG7HP86XDY56GgLD9hPUn86aY+etKEc8EGpBCxGKAIMZb1p4x65p/wBmb3zT&#10;BGPcUABK+4ppUZFSiDI6/jSCEcnkY9aAGDaP/rUcenFP3QgYZgv1p6eWejgigRXJUduKj3jOQCRV&#10;7bGCaYUjJOBj8KYFXdk8ClyewqcAf3QKNwHpS0AhDt3FLuP901JkZ7AUhwD2xTGR/OelAD+9P3fQ&#10;Uu8HocGgREEbOf50nlv6VLvzzmnCXHQZpgXSgPOB+FJjB/8Ar0pjT6Uo2rwOfxqCgIJHcfjSbSO5&#10;pc+9RNOgOOSfQUAiUD1Y0ucn7x/Kod4Izgj60u4MBg0AS7vQ03zGJ+Xn37VEwxyGB+tL5jD0/KgL&#10;Em1yclv0pCW+tReYRn5gDTCSepBoCxY5bGOKcBjk4/Oq4Ynuv4GlMh/2fzoCxY5+lMZj6nFQGUjq&#10;c+wpDKfpmi4WJxx7/jTXIHVT+dQ+YQOKY0jAHcP/AK1ILFW8kDy4H8IxVfHFR5ZnYlycnPNOwcfe&#10;rZKyM3qKTijtTSMjk5/GkwB2FFxC596ZvxnHPNBAPX8qUAk0AAPrS5596ChHWnBCeADn0oAXJx2p&#10;NxqSOxlkIJ+UepFXI7GKPlvmPvSbSGk2UFjeT7oJqxHaD+N/wFXSoUDA49hT44cfMXH51PM2VypE&#10;ESIpwowPWpdwJ5PFTi3zyStKLcbs7wR6UrDuVww9MCkZiBwKkmUA7V+pqPYT1z+VKwXGHOc4AoIP&#10;tT9n1pcYP3SaLAREevWk8vjoc/SrO9R/yzOaN+BkIKYFYJ6AmneWQcYPNTrOAD8p+tOE27JIx+FA&#10;FcIeyn64p2w44qTzAfX8qQyKOcE/hQAwrjsaQKDxnHvT2fIOBUYcDtzSsMftUfxUu1OxNMDFhxSf&#10;N0xzRYNB5CDI+ao8pQd/p7U0xyZ6U7CHgxf3cn3o3A8bcVEYZc8AH8acIJT1FFgHMueuKaAQc8Yq&#10;RYX2nOOKQwSfwlfxFADdy+oo87qvb1pRbuR8xAHfFSCxz/FQlcVxgmyOScUnnnkqzfjUv2EcZbNK&#10;LBf7xFOwXIkmfIJJwe1OZwecD86ebVkwANynqc4xUqW6r3/CiwXKZYjpTckir32eP0pRBGOAozRY&#10;LlBZG6HoO9O3MeMmrTxOT8hVf+A05UI4YA+posBSAcnHSgBs8Z/CrhQBs8CmkD1II7igCsEJOMc0&#10;vkN6VZ+ZhjgGn7TjpmnYCoYHHam+QxHXFXCCR3ppAzjnNAFT7O3dqPIbseas9O1IXUHBBoAh8nGN&#10;xzR9nU9ST+NS5UmlB9sfjQA7Ppn8aN2DkmqoM7PyE2+2c1J856YzUWLuiYuPX86aWOchRTArgZbA&#10;+tPCE9cH6UBdDWYnkrmjecDgD2p4jOOen1pfKHc0AQlnI7YpCzdyMVPiMHluaD5f/wCugRWJZvYU&#10;5VbGTuqwSg96cJFAzxQBAFYDG3ikWI5+7irDTIB0pBMO+KAIvLbspPsKPsxJ+bNS+aB07UnnZPek&#10;MjaJhwM/lVa5YRxEMTk9OKttOW4GPrms2/cMyqOvU+9VHcl7FccnPaj60gGBQea1IHZGMAZNB20z&#10;ByAvNWEs5WGSNo96TYWIdw7CliDSN8o71cSyQYyC1S+QB0UAVPMPlGxWajBllH0U1bQQxJ8gA9+t&#10;V/L9aBEWOAKm7HZFrzU6cfjQuwvvJOO3pSLAFAwee/FOFv7D8qaAcSCeckU1eGy3TsPSlFsO+Ofa&#10;kMY3bVb60ABIySVH500vjpjmniEHvS+SmOeaQyFi5X5WAI68UqtJjls/QU/yFP8Ae604IoycHHtQ&#10;hEa5LZyTz60rAk5INSYQLnAA680ilGGVAxVAR7Qe2aURnHTpUjAbSSoNCgbegHrQBEIyR096Xy2C&#10;5Ckn0zUhJP3SPxpgd9+0qdvrmkAhgyPvDNRtbEDluMjpVl2+U4604MMUMCqYIyBuI/OkWKIDgAj1&#10;zVzI9qTI7UrgQhIxyP6U4Bd4O31pzsRjHXNKWkAOGXPbimmFhD/uUwDngdaAs5bJkAFSY29D79aA&#10;IwADgjk+1KeT1xSSPnGDTCeO+aAH/gTShMnkEfjUZJHrSeYRj5gMepoAm8s9M/rSphRgt9Oag87d&#10;ggg+4NODr0yPzoQE29fX9aNy7utQh146Cl80Y45+gp3ESCUHIOKQvx2+tRMQ43LkEe1KDkcg0ncY&#10;/f7/AKUCT/aNJwfUZpNitnH86kYhk6gk5qMzvnhD9c0rRA8cBu2aeEYYyqn6VYiISk9e9OVs9uRT&#10;ivHGAfcUwxsCSHx7AUAShugJGaUnIwTUKnjaz5PrxzT9wUY3Gi4CA8kBW+tDZ96RnX3/ADpNwz3A&#10;+tK47CE7R60wqG6mnMcfw5H60wnI4FAhdmDwacD71GB60MzL90ZouOwC6iI/1qCl+0RqciRWP+8K&#10;wj1p69KpwFzam556N/Gv5il8wHuD9KxG4YUgJz1pco+Y3S+cjPFNZz19KyCT60u5gvDEfjS5Quau&#10;/PU9aeFJ7VkB24+Y/nThLJn77fnRYZreXjtmjYT2qkJZDjLt+dWY3bYfmP50gSJNhPrSiI5qVfui&#10;lH3qQ7EXlUGFfbNSHpTG6fjQIZ5SHoq/XFYrkNO5UcEnityYkI2D2rGtwDOoIyPeriRIRIpJT8ql&#10;vp0q5Hp+cGRvwWrygAAADGKcO1HMPlIY4ooxtWMA09ggHKg496guSRZyEEg56/iKl6qPpU31HbQU&#10;OF524/GnhlYdD+dMQAjkU88A4qhDSAx6H8+lOXCAgE80qf6oUvcUmABvfNOLA9SaYf60uf3dIY8N&#10;1AP5ikChemPyqM/fH1p79KADcw75H0o3Pjgn8qBStwGx6GhILjcyMCN2AfalCPj735Cnx8oPpSjt&#10;TsAzYWGN36UY2j2+lSDvSScRnHpSAhOX78Z4pyq2Mbs/hTY/9WPpT26D60AAVh3z70oBHX+VKvU0&#10;Gi4WGFDKB8xAB7U4R+5pI/8AVL9KdGSQcnPNACeVj+MilCY7mn0AfLQBGE3qRknnvRtxnDH86Vf4&#10;h/tVIOppMZB5ZBx82PXcaXbxjk+vNSj734U2T7w+lOwDFjGWGOKGjXBp4/15/wB2hutAEBWMDBA+&#10;poAiI4C/lTpfufjUI++fpQOw4KqE7RtB7ClJJHApv8Jp/wDBQibDdv4Uox6jNM/hFQ5IY807hYsM&#10;rBtwOR0YVKMY4xj6VQd3C8M351T8+YFgJX6/3jSHY2jtPGeaNoDZFYXnSk/6x+n941HvYjlifxpp&#10;Ab7YbneAexzSLIoU5kTI6/NXPseaY5Ow800iWzoftEYb5pY+PRhTGuYc/wCsX8DmsKLlj9KkaqsK&#10;5qvcQjpKD7YpgvIRxuJ/CsofeFKoGelHKHMab3sPo35VE94gOQG/E4qqvemH79HIg5mW/t5XnZx6&#10;5pDfs2CqqB6g1VXr+NRng8cZo5UHMy59tYk4A/CgXT1T6S47UH75oshczP/ZUEsDBBQAAAAIAIdO&#10;4kCDQFNOMqYAACimAAAVAAAAZHJzL21lZGlhL2ltYWdlMi5qcGVnAACA/3//2P/gABBKRklGAAEB&#10;AQDcANwAAP/bAEMACAYGBwYFCAcHBwkJCAoMFA0MCwsMGRITDxQdGh8eHRocHCAkLicgIiwjHBwo&#10;NyksMDE0NDQfJzk9ODI8LjM0Mv/bAEMBCQkJDAsMGA0NGDIhHCEyMjIyMjIyMjIyMjIyMjIyMjIy&#10;MjIyMjIyMjIyMjIyMjIyMjIyMjIyMjIyMjIyMjIyMv/AABEIAXsCL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TW4iu4VLoxcjlFNZ0Ol3iz&#10;Fo32RKchSxqa/wDPiu4ruDaS46AcCrVvK0ojW4X94TnbnANefa2x7F73b3IoQl/CwkmZF6MBgVFc&#10;WcdhE5tBIZF5Yn0qxJobm7M3yRRk5CjnFTQ3FvcXc0N7IE8sYzuwGFK67la2Sa1I9Nu7e7kVAirI&#10;FySVAyabqAkWeG6jdHlBwUA7fnV2axtY7ZxaQrkrlJM1S07VVlZLaZtjjO5zRfTQLXaT0sWYLqWW&#10;JI59yTs2QAdoI9KrnRrhrh5fNSGItnG4mrGpW0kgjmtPNkmRuGC4FLaXd3A0cF2qGWU/KznIH5Ut&#10;eg3a9+oyGS2nSRLufY4bYVX+IVPcWSWti8ltA6svO5iBkfSpG09HuvtE0gaQ/wBxP6c1VivYNzwX&#10;wlklD7VHOCPpnFIer0ZJZXEF4xKIkOwcu4AzUVz9oW+82ybzS67WKpwKnvhGlk4iSKFkbI29Tils&#10;tQlmQrLbshOAhII3H6mlYaenYed94TAIy0qoBIHbHP05qlDpcunLJO9wGkjGRGozVi6s7ua7MsMo&#10;t1ZQGYvyfyqWGdHMsM0+xowEYggbx6809g5dL9SDbbaiw3lpmVd23I4H4YpJZ00682/ZhIjINi5z&#10;tNTzWkNjayPbRsJV53Fuop1lqEVwH2wiEjG0kck/Sl6D9SzkXFi6om3fH91E5BI6VUsZb63QteRF&#10;LdE25yAfr60TR6muoM1mrMJFG4sAOlXZITqEE8Q2rKPkcsehpDv5jLzTJLmSKaGeOEKu1nDMSRUs&#10;N3BB/odzdbREo2ycDdnr1zVS2t5dL3PPcmXlUbg4QZ96utYabqUpuNxm2YVjvwP0o6iaVrEMtnBZ&#10;wTT2qMJFUlZS9LZara6l8vlASKAd5jHJ9qE1RbG+ls/s4nXfhSOcD8uau3Nm72m+xTJDh4ygCjg9&#10;6Yrq9ylcw6nHf77KJmV0G4suAMZ9a0lgkvLGSNVQOVKMzSEfN0PAzRbzXagQ6iYzLKSUIP3cD2qu&#10;dHZ743AuGClt4RFJANINxlpb3GkbpZ79JwzKrBgWCA98k1YvdLstYdbj7dJN5Y2kQheO9L9usdTi&#10;FjdSP578Oi8YI98e1V7ma18PmJraCRkYkOhfO7jg0yfXclbVYdPlk065WaRUwsfzfwkd8GlnsoLK&#10;Eyadax+erK6MiFt3PIzVjT5rXUF+1JabZjwyiLJHpziq8U2r2jkyxKlhGx+8RuK5odx2WyL1he30&#10;6sl/bmOVjmIAAZA69TVKcaxHqUn2dI47cuHO9lyfX1qxrEFxewRfY7iOBkO4sGJIBFN0+5NkrW1/&#10;cx71AKysPvA/WldAr3uS3USanp+2KWKOSTDDJLMMen5VVtiNAQx3N4WSbncVxyPrmo30mGweW/jl&#10;nZ1/eZ4CkH0p6SaXq5KtE0nlcgTSkZ+nNHUf2fIV9LtdQla/82di3KtuUDioI9Qs9WP2OXzC/wDF&#10;uchcj8aVtStNLuHtUtEnjJBXaMhc9quXCLBZm8tLQEjDIEhxn8aBbb/IqTXFro0qFIPNVxysUpOD&#10;61L9mtLqP7d5KhnG7kFmBqawubjUN3nQtFIPujA5H41FI2qQ3bxwxYtw2fmIyfWhspb2IrfUodRc&#10;W8+nKnHDGPOce2KdeG5sJl/s+0LB1+fEe0cGrt3HcvYj7KQrZDKXkzt/SorGO52FLy4jkbqGLdPa&#10;gS2uSR7pLIyeU5kdDuXCjn8aitbrUZm2X1t5cY+7tIyT78/WoJLK9F20iXI8oNuVFDEEVNdW63cZ&#10;S2u08wkEiNef50IGrjb/AO3GZBZRnBXDFmXrUwlnNhtIYuUIPz45qK2jjsI2ju7tfmOVMi8/rTDp&#10;rSTNdi6kZM7xgfLj86Vx277Ij0/+0hdAXJRkIO3D45/CprxdSafFtPFCABu3NnP5ipLwQXsXk290&#10;C2ctsxkVBE8Okp5dzMwZ/mXcBmn5C1epYb7R9iwZE8zbjJc9fpjFV7EXkLk3dzDKmDjnAB/AU2PT&#10;VEn29riQrnzOcYx1qaVrDVf3FvK8gU7mUfL/ADFIPIZeW012Q8F9HbheMLk7qmQhbZUaWEzbcdOc&#10;/nUaXGn6QptppJUydyqDu/kKT+z7PBvSJPMH7wv5g/lTBeZBa2s1ncCWa/EycjbIDhT+JqS7jkvm&#10;XyLxLdV4LRg/MfSnrNZ6yfJjMzIvLqWx/Oo5J7fRT5WJAjncBnODSCz36k0J8i2CPJE8igjLEgmq&#10;cFtei6UvfJKhbJjLkBfrVj+zoZl+2nzDITv3bh/Knme11SNraGZ5CxzIFHPH4fSncBl7bXD4SC7h&#10;gIyS4kJz7dKhgiuYo2Mk0crg8uXPP6VYit7PSwySTNArjP7zHNVZtOhvZmuBO7HttAwQKLgt7EaW&#10;2pPOJHuEa2ZgfLDdvTpVi8FyYVitwVmJ+Us+QMfWnM0F0n2eCdCWG1tgycetNhsIbBz5t3lGH/LY&#10;fyyaega9dyOzj1JQxnBeTgZQrxVeU6q8zGGLMOSMtjPv3q1PaPdS7oLkxoOAYwQD78VNGqw2vJiZ&#10;wuMbjnPrS0C7SuhJJpILcYVy+MKpXjPYcVBazXlzKWvIPKCA7coTk1JZ2dytwjSXSTqDkJvxUmoR&#10;XjMsVsQr/eOXyMfjTE97Fa9u/sxDxWonIHOxMEVWinilj3yWcQLZJDxjIrRtoLpLfMikybsswYc1&#10;Rk/tCXcUYC3b/ZywFAJXZXa+juCbRbLyWPyiQHAx61Yez06yK3ATYV6skhP6U+SWe3Q7Y3kXgRqU&#10;GSfwqvBPLcTZnsRGEHCunDH8qeuwK241pLDU5fL86Vo1GWA457dR9aVV0+wzGLmRFbnD45/SmzXd&#10;lazENZBi3UxDpU8FvZXieZJa7g5O0M5BUfnSsF0UpbOG+lMzTOQThSq5yKtR/Z0gKrdRM8akBcDP&#10;86YZbOFjbokyyL8oCk4zUo0yxhxLKJFkTBLkcZ9aV0U07WZSXT7kSqz3SuuclGYirF2s8EQ8uMbn&#10;OAEcnH4VPcTx3aCGG9D7zhsLyo9eKZa6a8DlhcCdewkzxTTBr7zDstSinKRHAkPBwuBS6nGHEb2z&#10;M9wh4CDNTrpFkoPkKXlcbg5bOPeqltqjwSC1mUkh8EluAKvzRHaLsi1a3V5FCf7RXBkPyGQ4FMvd&#10;MW7ulnkmxjqI1/qamvIJb20ZFSWSQNlD0XH14FNiW8sFVL7hZ+FbO4rR6Ep3vfUEuI7Od7e8L+Wq&#10;/JuzyPwqy8NmbdvLWGKORMhtuDU82kW1yfNnkkuHXjauB/Ks6W4bRLxo3h/0dwDGCASPxpXuyrWV&#10;hlhqtx8kJhJgTO5wp/nV2407+0LSMxNGCGyJM5NWVWO7h3h2bemSq9qoWlhqlqGk80LaxMWEbPy3&#10;4ClbsU3pZvQdC0elNHBJPvjdjukHAU/rVyCGznBlgjEpJILMxqR4rTVLeNZZlO75ljTGagnVdPaF&#10;4YHNq2VZMZJP0oC+hVt9RNtcPaNCZJA+N69l/Kr11A13a/6OzM4bcjEjANXbSZZLdWWPyQxIaMJl&#10;sev+RWfb2d/BO5jbbbIxfaxwSKXmgTa90dbfaLJ40vpo5DMcA5zsP04pz6VaXV2bhpnl5x+7IAB9&#10;6f8AZYNVt/kdI1Zt+wAZyKicx6L5WY3No2dwPXNHoG+5E1wkF29tcJuYSYBPOB+NX72N7ixKQ5JV&#10;g8e2Pg/jUtvHa6hEJol8vdwyqozUFodStQROgWzhyOcbiKB36DbWWdJViuyDJMf3foMduKW50Z3v&#10;TP5xQMc7Il7j1q5qGnJd20flmOL+LcuWbFV4pI9M228k8ggK71f7uTnp0zSHre4kdzaakPsl2XEz&#10;NhkBIGRTLyNNJjgmtY4zh8NGjEluO9WGtLRoWmiijLSxlg7Els9qTT9RuZUCz27xwqgHmYxk9O9F&#10;xWLWnXX2yMGWNoZeSUAxx2PNUoU1KwmkZ5ohaRszCEvksOTUt9Y3slxE8E6wnbtdy5JP5VKtzBGr&#10;W11OBKo8vPQuCOvNAWEuoYdXjjjSYJt+ciFRnH50iXdvooNrL9oeLaGjA6nOc5waDa22jwm4jjcE&#10;EbsvksuemBU9rd2mpEypbrFKvA3x7iR7YpCe/kEltbJZyywW0YLIWEgBZw1N0/VLi7dI7i2MORtj&#10;k2dW/EYpon1SCd447cG2DltzjBx3wCat3dvPd2Cy222M5Do7SEke4GKB6dSlqEOspqAezKx74wrM&#10;xXnH/wCurUaJeWzF5oknZTE4Zcknp607TnuLb9zeXwkLrvWUjPsQM0snhwNcnUA1xIzZeOQFQM/S&#10;mrsl2W5Vis49CC3Ektx5bnZKSuMD+dOey07WCt0szyKPl+eUrV+BbTVysLQyySbdxMpZlyPYnFE9&#10;pdaZKhtLBTvXDKq4AINFtNBKWuu5jpqtpG/9mywCba+zzSAwxnjmrd5nTUiuLKyLSKcbRGQCCO/6&#10;VsyaHPcWm/MaSSod6nsxH0qPTtE1UsRqF4jRBcABafLIXtaaWjKVlcXF+rNPbFJx1TIHHbrVFDq9&#10;tc4kkjFqrH90WGQufpW9qHhqe4mRre8eEBcNs+XNasej24shBIC7FNjuTkmqUGQ8RFK5yt/BJOq+&#10;RexW+3lmjBJx+FSwOtuot7q8j81eQ7x8sD35Nb9h4esNPLmJCSwwdxqSfRdPuJBJJCu8DGc0/Zsl&#10;4iBx9vpd1ZTG6mvS0SnJG04C+1T3Nrbauw2XE0qxfe2gDH6V2MiWohMUhiEbDBBIqC3fS7LcsU1u&#10;meuHFHs/MX1rrY5UXVpZJ9hZrosvyrgdj/8Aroj0qLSh9sMVwVBwcE5Oa6iS80YyiR5rcyevWnPr&#10;emMu1rlCPTBNHIu5Pt30Ryws7bV285bORgnGJC1Ifkb7ANPmx9wPz0rqF1nS04SVRn+6h/wp39ua&#10;b1MpJ/3DRyLuP27f2Tlf7FGlL9pWzZznG0A85qza2H9pZnbT1XacYkTJFdF/b2n/APPQn2KGmnW9&#10;P6iVh9FNHKr7h9Yk/snPCOZ5zZHSTszs8wjjHrinXelNp0Ilg0+N2zjCJjit4axYH/lsR/wA0f23&#10;YAY3sf8AgJo5Y9xe3n/KYFnpMt7GJ5bCJH3YKtHnj9KattfmX7G2kAQ52+ZgdPWuiGuWGMb2/wC+&#10;akXXNOwczMD/ALho5Y9w+sT/AJTAutOubKMPBpiTPnG1Y8cHvmm2+nXVzCZpdPELk5KNHu/KtyXx&#10;RpkBw0r5/wBw0weKtKJz57f98GnyR7k/WJ9jnJBds5s20dhETt80KcY9cYps+nHTVE8OmlyTjEcZ&#10;HHrXUReJNMnYok7E4z9w1N/bFlnPmn8jS5I9yvrEl9k5BNPk1FfOm04+gRweB61VZltpDaDTLgFT&#10;tDgHH1ruv7VsSMicD8DR/aVkR/r0zT5I9wWIl/KcRNaQaaouhZup9ULZ/KmxxQaxuZ4ZWReArORz&#10;613Rv7N+DPGR6E0guLT+CSIfQijkXcf1nT4dTgvtdvYyG1UyoV4AGTzTDY2lu/2uaSdHBDM5wRXo&#10;QitpvmKwvjvgGo5rOznUrLBCynsVHNHs/Mf1ldjhZpoNRj8q2uX2DlmQc+1S2dvHZJte7VyTx56/&#10;Nj8TXWwaVp8BPlWkK564WobvQNNu2Dy22W6AhjS9m+gfWY7anHXNlPcv5sd+sSHpGuQDU89u6wqF&#10;EQzhQwc8H1xiuvXTLVYhGsbAAY+92qnF4XsYJfNiMgbHRjkUezY1iYW1OWtLO7WYNcSCYc7fLYAg&#10;0+6nv45NllbPI6/fDkHA/A10N14WaUbra6Nu2c5Uc0yDw1PDFiS68yTOS+4gn2o5H2L9vB63Maza&#10;fy2luIisrH518skCqM+ojLwjTwUbgTFeCPXpW3caDrPnMsVxGIDxtJycfWpp9Kv4bfEIZ8D5UyO1&#10;KzKVSF90Yz/YbeDzCkDhQM7W+Y1DDcWupyiOCKTaM+YC3X9a0IbXVLiULd2RjWPnO3cGNRXo+x7W&#10;k0+ORjxhI8YpWY7puyK7QWGlzby7QMwxyQc/zqCWGPUskXEiwocIypnPryBT0tIdQDXEtodhwFQv&#10;tI96kSWxsgYBO8TDqmc4/Sk9Cld6rc5y3uYrK8+xTyAooOyTft4/D/GtUQwz2p+zwwkSAgydx/U1&#10;Hd6PDqYjeZxEoHymPk4/lUUpt9JngVfMlsyOrZIz+gNVfzISS0tuVbG5v7e6Fo8WYkb5mCk8e1a1&#10;zbx6raNHDGOTxK75wf1NSR3kV3brLH+6i3bW3AA4rOitr2K4ZbWRvspfcN2BmjzSBq+jZLDatoln&#10;IYrkzOGBdVXoP1q5Hc2F3JujSOaZE3HflsfiamimW/glCz7Ec4kQJzn69P0qlcafBplt9os7d90Z&#10;Bd5DuyPp0/Sk/UF3sR6gbhb6ObTwJmZdrCNchav2UstyRG8cYnjX94sh/XjNGn63b6hvRjJCo4Vh&#10;1Pt0qPUdGu7i5Wa1lNqu3DyO5yw+gpbjbt7txsmnR2CSXMRX7SoyoRTx/n8KkstStNQKQg5n27mB&#10;BwD+NPjuYoP9BvZsqicShsbhT3sbOGyk+yW8aF03rKzUeQarWxVv/tSXSS2O2abBRlQZGPfmrlm8&#10;smLe4RDdBcsGHb8KgstZkngEUtvIkYXBlHQt/IVLdaVLdNFIk4hwuGkDElh/n3oKTezZUGjmxuJZ&#10;45XMwUuiKmF96tWd5aXzJFsXzQu4mQZAP4mnG7ttPf7NeSuyKg2PyNw79KlmgsxZP9iRAzLuQRrl&#10;j3HvSeolZakdxFqH2pJrSIBmTa+5MKv51ajge5DxymPzVXZJuzjkdcdKZBe6m8a/braOKNiETnBz&#10;79TUV5owuLlZ5Lvy1OFMcKkkn/PtRYd7KwwWB0mN7iKRyycMcfw9+tSebpeosGUrI0fB8wnA/On+&#10;bAzNZ3XnO+7YFOeR2zjAqw+kXFoEl0+yj3I/3Y1PzAjuaSC63Zmm7vba7eGytXkjcA5CkKvrjtWh&#10;NHJf2TrEgXdwGaToc+gzWxaaXf3kAN6qwPngKx6e9Fv4WWG781ruVkD71iXhRVKDfQh1oLRs52zV&#10;9OkUXV+XSUkNJ1CkdsmrTadY3sy3cUT3W47fMZyACPpXWvpFlNGFmtlkAO75ueatwQRW8flwRJGo&#10;7KuKtUmYyxUTjdOS+lK2jaYdoJDzuv1weRV660LVQYZLWSMSLuHzYAAPtWpqPiDS9Lz9ruQh9FQs&#10;f0Fc7d/FPQ7fIiiupiP9gKD+ZqlRMnipdEbdpoU8lsn26dGnGclRwfwpmneFFsbsTvcySqudsecC&#10;uMufjCeRa6Yi+hklz+gFYt38VdfnyIZYLcf7EQJ/M5q1RXYl4ip3PYZ9Isbl0aS3GUzjk96sBoLa&#10;ERl440UYAJxxXz5deLtduifP1m6IPZH2j9Kfod89xeyBnd2KZ3MxJPPvTa5VcjWW7Pc5ta0e1zuu&#10;7ZSOyEH+VZN/480Oxi8ySaV1zj5Yz/WuAcfL0rK1jjT3O3dgg1HPrYv2Wl2zvJPifYOpa2spJB2L&#10;OB/jVN/ibc/8srKBR/tEt/hXlUcs6IQpXHXB61YWf3rRxZnZHocvxE1SQ5QwR+yx/wCNQHxtrEmf&#10;9MYZ/uqo/pXC/aQPWnC9wOAfzpcrLvFHYP4j1GXl72cn/fNRHVJn+9LI31YmuV/tB+y0f2hN0GB+&#10;FLkY1OJ1Ivznkk/jU8d4Ca5FNRlVwXbK+lbdnMlxGHRsiolBouM1LRG7HOD3qzGwOKzIVyRzWhFx&#10;WTNS2rVIDUKGpAcVA7EmcU7NRdqUHBpATA0tRqTjFOzTGLThTM804dOtFxGbfHNwR2wKqEAHHWrN&#10;/wA3JA9qrZ5HerT0Ia1LumD/AEpj/s1sYrK0sZldvatXtWbZoxMUhxQaaeRQA7PNOFRinrSAdRvP&#10;rRSYoAd5jjo7D8actzMOkrj/AIEajxmgDmndhyosLe3KniZvx5qUandKOZB+IFVQPSkbgUc77i5I&#10;voW/7cukbnYfqKemvzHlokP0Jri/FuqtpmksY22zSnYh9PU1z3gWa8m1CZnuJJIgnzBmyM9utbR5&#10;+TmuZyjBTUbHrQ1wMfmgx9GqWPVoW6owrn1btVmOs/az7lOhA3Pt8DdWI+oqkPEmivM1v/aVqJVO&#10;1keQAg/jVOVvLidz0Ck14ZczmXVZZ26yOzZ+pNdFGTqXuc9aCgk0fRKPZXA+R7eTI/hINQPoGmTs&#10;We0jJPpxXgsdzIvKvznOc1q23iDUIFAjvLlOP4ZTWrgYqpJbM3re31XTdtzcZMCDG0t2+laqR297&#10;DGXkaVOqpgDH9afbSC/t/mhZ5CuGRzgLn2NULbQmsXeb7YTcYPlxoOP/AK9cv4Hq6OWutiS/aTRn&#10;hvFh2wt8rIMZNWbW/j1SNXlieNiflVjjI+vFNtdZs5ljinjzdFtpBBOD689KdqtvLPDm3R5J42+Q&#10;ovykfXp+tG4r8u/UpzaDcDUGn+1LbWjNkKpzk/yq3DqdoXlt9RyWQ4AbOG9OPyotDqEGxdTZQJWG&#10;3b8xX+lXrjRtPubg3D5uJ+AQXAA/AUXDS9ug29t0uLCWKMIpUBoljXvVSxn1KFf+Jp8tu4Eargcf&#10;UCmNq8mkag9iITNkgxrGeg/AZrUnhGqWkghhAEg+/I2MH2HJ/lSsK77kN3pVvfypJMXl8sABEwOK&#10;pSX39lXLWjWxdXwYV4OPYmlhtE0dTL9rlnBcLOQCAB9R/jWtayQ35dtPi+dTjc0ZJP0o8mVpuths&#10;6/a7B44lkkZlxgYAVvqazbSLUNL2TXt2rKTt8sHdsHr6VqroetLeP9jdUikILPIACD3xW+uhW7K6&#10;3DZMigOFGAapRb6ESqxj1ObktrG8laVVW9kTAIZ+B/SpLew1mK5eC0tk8lnDBz8qrnqBXWWGn2di&#10;m22t0jPrjk0zUNf0nSlP27ULeE/3Wcbvy61SpN7mEsSk/dX3mdN4ZW7R0mmK7yDkZJU+2auWHh2w&#10;02NljRpC5yzSNkk1zV/8U9GgBWzimum7HGxfzPP6V3Hg2/tvEnhNtYlh2yqZFMatkAr0/TFaxpmU&#10;qs7asjS2toiXEUat3bHP51WuvEOj2GftGo26Y6jeCfyFc7BY6lrnwmuruR5pL+e4MqF2x+7UkYGO&#10;g6143aRkvcRS5Dp0B65rRUjnlNnsV78TtDtiRbrPcn1VdoP51FpPxIttRupYp7Se3QJmNoU81s57&#10;jivJYoykg3Ruee4r1v4e6xaWaFZjHCMdeBQ42HzIszjUNVJNpreowo3QNpjqPzANczrGhazYKbh/&#10;EkR9mMiMfwxXql94p0oRHN5GOO7gV5T4v1mwuiwjvIz/ALp3UJai9p2OOu9e1WBzGdRllA7iRiP1&#10;rNl1u7kP7xw/+8oP9KhumiZyUdm+gqsYnJ4ic8elaWSDmkyVrtpDkpH/AN8gUfK/VFH0pi2tyx4h&#10;PTPNSiyusgEKMruHPak5RXUajN9BAi1q6AQmpqBwGUiqEVlM/wApmVdy/pWjpOnvb6nC5lZsEjp7&#10;VnOcbWuawpTvex1Dg4rO1VCdMmfHAXP61qsMqCPWor6NZNPlRhlSp4rk5rNM6oxumjgDMvbNJ547&#10;CtJLOIMAETO88f0p8UKAoqlcgsPu11e1RgsPJ7syfNduik/hTx57D5Y24GTxWooQeWCTjaVGOKfC&#10;qmNv3Tcx+/5VLq+RSw3dmWYroA5QjAycntS/Y7gqxLKNoBPPrWsYmIP7vkxjr60rKUD8KCEHORxU&#10;usy1h49TLTS3l37pgu0emc1Y0zUf7OiMLws3zEkg1qICzy4YAbR+HFYbKPMbBJ56kdacZc90xTpK&#10;FnE6KDxJagjfHKv4ZrSh8Saa2MzFf95TXGhRnmnhV44FJ04i5pHfw63pr4xeRficVbjvbaQZS4ib&#10;6OK828odxSiFeMZH41m6USudnp6srdGBFSc4615gvmofkmkX6Manjv8AUY/u3s303UvZeY+d9j0o&#10;cilrz1Nf1iPpchv95RVmPxXqqD5o4H/4CRS9kx853Qpw5rjE8Z3C48yxQ/7rEVbi8bWx/wBZaTL9&#10;CDU+zkHPE1L7i5P1qvtYsKV7lL1I7lMhJMMA3BxUiYLD0zReyGtzQ02IoHJHWtCqMFxDEcSSxozd&#10;AzAE1cWRWGVYEexrLVmktwph604sKaTk0yRRTxUYqRelAWHUGjGaRulIYgYUqtyaaOlKpxQA9TTX&#10;bApQcUyQ0gPNPH9y0mqQ2+87Y487fQmpPATMLy6UN8vlg4/GsvxfdpeeIpvLHEYEZPqRR4XvZbXU&#10;1hSRY/O+Ulh37V6PL+5scTn++uepoeatxnGKo26P5a7yC2OSBwavIprzzvKmv3P2XQbybuImx+Ve&#10;Kx/PcLxkKteseNpvK8OvHnmRlX9f/rV5fHGqEkDFduF0i2cWJ1aQ8KMZFLSgcUmPWug5zv7pb4Xi&#10;XNiu+Zhtk+XhT/n3q9azSxyRwXzbbjG4MgB3VFYa+bloreZHLYIdh2/AVYv9GN8kTRHydpJ8xjli&#10;Pp/jXB8j176WbJ4tOsvnkjiEryZ3OxHB9f8A9QrNj1DULe4NiYDN5b/NJkt8vtUkX2fSmhV5Xms2&#10;JDPzgN+HWtjT7hL9SNPUqofDARgFh7U/JkbO6KlxZf2tYeWgjjViCZGO5vwA/qRVaO0g0OISW73E&#10;0SOBMWXj8uK27bwreveE/bWgtS+9Yxyfxrol0q1wwkj8zcctu5B/CqUJMzlWhHrc5y0mj1KORtPt&#10;zEysAW8oAuO9Oj8M6ibp/LvTBaF9+3PzE966xI44kCqEjUdgMCsu+8R6ZYkr54mkH8EXzfr0quRL&#10;cy9tJv3ETppNuA3mL5u7Gd3T8qtokVvGcBI0A7cAVw1/44vH+WzgSEf3n+Y/4Vzl7qd7fkvdXUkn&#10;PQnA/KlzxWw/Y1J/Ez0a+8VaTYZBuRK/92L5j+fSucvviBIfls7RVz0eVsn8hXHE5UdeOnNJtUqC&#10;cA/WpdSTNo4eC31K+v8AijW7qVkk1CZIz/BGdgx+FctIxcZJJPc1tazHh0YdxWA8xBKgcV0UnzI5&#10;q0VCViVCMZJOa94+C91JJ4b1K2MZaLzgwz0OVwf5CvBbaMzSAHp3r6A+Fki22ntAi9cEkVskYVJ3&#10;QtvrX/CIh9Cv491kWY28ijAVSSdp+ma8p8Uw28viR30+Xy45Od47GvZvH2lre6e4CZYDcCa8VSB4&#10;bkgjJB70SuloZQV5amZJprLNh7lnyu4MO9SxWYAXa8pypJBPQ1q3UfEUgxGCcEdc1UwiiMFiSjkZ&#10;x3rkdST6npKjBdCFUHyFwcEEEF+9RJCr7CdhODnvmrAWMlAAxwxHWszULW50+/VlyAxGBmnFuTtc&#10;JqMFdIuxxqqL83UEcLTiocRgMeVIB9qtQxyCGJniVTu+bp0NOMcqFDJLGoB6bu1Z3ZpZJFeONQUJ&#10;DH5T1zxSBTwDGAdpAyOnXintJFGybrlDtPOOc1F9ptImH75mA6YFCTYXj1HRpt2ZwMryM96t26lb&#10;mNumGHU1mfbrVRwHJXhaE1X98mE43DrT5JMXtI2OwXlevemyDdC69eCKkAB+lJtySBWUxUtGcsYi&#10;TxEd3mZ59PWkRXDjCIMO2cgdKzZry48xgZW6npVdpZGPzOx/Gt1TfUTrJPRG2iSZUvNGu3ORnrQp&#10;ijOJLtWwu09+tYeSe9ANV7LzJ9r5G19ptVTBmYkLs4HUU37bZAcpI/G089QKyB6UZ4oVNA6rZqnU&#10;YtxKwdRyCetU2bzJGYKFBOcDtUAJqVT7U1FR2Ic3LceBS7efvHFICKUUySQGnA0wUucc0rDH8+tK&#10;CfamZzQKQx4bJ5pcimUuaQx2aOO9M4pVUA55/E0BqdnZov2G2z0CD+VW4l+YD3qGzUCzgBH8C/yq&#10;wvMornb3NI7o5/xUivc24PaM/wA6wVDxsCk0in2Y1t+JmzqEQz0jH8zWLmtafwoKnxMmTUNSi/1d&#10;/OPYuTVlPEGsx9LsNj+8oNUOaM1VkyDZi8XarHjfHBJ9VIq5H44nXAlsFP8AuPXN5BoyD2pOMexW&#10;x2MXjizP+ttZ0+mDVpfGGky9ZJE/3kP9K4UAdTRtU9qn2cR3fc9JttVsrpN0NwjA/gauKyEZDqfx&#10;ryoIB0qRJZkA2TSL9GIqXSXQabPVB9apanc/ZdPuLnGfLjLfpXBR6pqEf3LyTHoTmnzeJ9Rgt2Ly&#10;JICMbWXrSVJ3G5WV2cc0hlmeRjlmYkmug8K6dJqWsI+F2wEOxb9KqWMEbeZPc2ySeZyFyVx78Vf8&#10;LaqNIu7ktEZAw24HbBrsqSvFqJxQptSTlsz1GOM/hVhB2Nc1B4xsSP3kUqH/AHc1cj8VaURuafb7&#10;MprzuSR33RjfEKbENpADySWI/wA/WuGVTjFb3iLV4tW1NpVyYUG2PjGR61kh4fcfhXbSfLCxy1Y8&#10;0rkO3igLzU2YyPvClAQnhhWnMY8h6fHbRTQiO2WKOCYHMqrnP+fU1JpOk615kau6JaxscbhguK6q&#10;1sbezjVYYlUDior7WdO0xS15dRxn+7nLH8Ky9nfc3libfCN/sGzlULOvmrnds6LmtGG3ht0EcMaR&#10;qOyjFcLqPxHiXKadalvR5eP0FYth4i1LUNajFzcyMkoKBF4GT7VdlFaGa56j1Z6VdazZWSnc+9v7&#10;qcmsG88W3D8WkAQEY3Ocn/CqVyknljzNw9gOayJ1TDLggj1PSsJTkzqhQprfUTUNSu7t8zXLv7E8&#10;CqWcOQWBFSyCPyx0wO+eaY4BVdpGMfnU2ZsnHZFSRtrEgZFRAlyRzU0jKDycD0FVZZlz8j9D3Gar&#10;lJc0hQGVW5/DNTR26eVvLYbpgCqxvMR4C8+uKiTU2X5SmeetDg7CVVXGa1EkdqrgklTg1ygTc1dT&#10;ezG9iaPG1D1rOWyVW6A8d62pe6rHNXXPK5XsoiGBFeu/D6VoCd2R6V5vbpgjhR9BXeeFJX85FDR+&#10;nzrmtlK5zSjoemanELq2KsM5GV4rzXxBoJhDvHF8x5XHSvQVlvAiqBDIAcZVihx7AisjU3LI6mCX&#10;HrgN/KrMVoeN3V8sLeTJFJ8h+63rVb+1QCSluoz61ueK7ONmFzCjhujgqRXJHvkYrndOKO2NVtFt&#10;tUn52hVz7VmXrz3F0JJZCzt0qYjPAqSC4hhX5IyZh1JqoJLZE1ZN6NjDJchAsrSA9gTUZZm6k1bl&#10;u4rmPaV2yjt1zVcoRRbyBSutyPvQevNPKjFMIpg2Npw4IOelJgdjS8jpRYEz0SDDwo3qoNOIw5+t&#10;Q6e+/T7cnvGP5VO+ck+tcMzppbnnl6hS9nX0kYfrUI96vaom3VLkf9NCap4FdsXojna1E4o20oXm&#10;nAUANFLgU7n2pQKBiAcipFpuKcOKQxwH0p3FMFO/CkA/PagGkFGaBiilznjNJ1FKPXFIAyRRkmkp&#10;c0CHA/nS5zTPrTl5I4pDO7g4t41/2B/Kp0wJBUQU+UgHGAKkiPzgEVyvqbw3RzHiNs6pj0QVkVo6&#10;+2dYm56AD9KzM8963h8KM56yY7PTmgmmijJqiRwppUk8MR9KN1LuxQPfccMgYyc+tLzxTcilz6Yo&#10;Gh24D1pQxplL0pDAyY7VE9u9/PHBGPlzuZjwBxUh4qBifMOCQD2BpxE1dWJ0kXBwRjoMVBawOdW8&#10;uLBEik/Snggd6au7zCyHHuKa0E03byLYdWyAQcHGRStgDmoMyYGAKAXwdw61Fi7shlwWJHSmfhTm&#10;GSTSYq0JoaQO30o20uP0p2Ogp3FY9P1DxFqGpEW1vILRJDtynJ/P/CqX/CHMxaS4meRv4iTVLeVd&#10;WHUHNehwv9rsYZyd29QelQpMcYQXQ45fDdvArER59yKT+xxE/mAMhTDJgc5+ldXPEHVj93tk1Tlt&#10;1DEbzwO1J3NlaxmXEsrpt2OCe+cGsu4hdxzH0OOTk1utGgVRt+U9cGqzqgThBjd07Uga7swpIJCW&#10;GRx1wKjMDj7w3ccGtO5IZmXOOOBniqTAqQWOeOvpT1D3UUZYAXDEHn3qsYUXnAGDjmrrsdo+uMmq&#10;sm5S39Kd2S0iq0arnrnqKZswSRnmpXOW4IGR0qFsDBBGfSmQ7DWOe2B7VGWAHHahicnPIpjEenX1&#10;poiRYhcZ6c9c10uizp5y5XIPtmuURtpFbGnyhXxnHOeK0RjJHpUBQxI8bzLjg7XP8qivRKQ4W4Yg&#10;DK7wDWNBfBYlKsEUjBzzRdaoTAV3bmXoRVJmHKYusNI9u6sytnqcYxXDyoVcjNdZe3JkJyTtb17V&#10;hTQgsTgUPU0joZoHIB5qmuPtTgHitjygO1Z1xGVvDnuKcNyamqIlZVmGT3xVxo+M8VSePeMDAya0&#10;FiZYlyxJA5yKckKDIGX2qI1OwOecUzHtUmhCABThzS45ppyKQ1odxo750q3/AN3FXz978Kx9Bfdp&#10;SZP3SR+taiNk88ACuKotWdNLc43Wl26tN74P6VQx7Vp69tfVWaNgw2gHHrWaRXVD4UZSXvMMDijb&#10;7UucUZ4pisJ9KUA96AaXJIoGFOB9qZ0paAHdad0pgpaQDwc0d+DTcmlHvQMXPFOBppPtRxQA7tS0&#10;3PFGaQWHU+LmVQOMkVHk1Na5a8hX1dR+tLUZ6BsyoHtRGhD5xVkQlegpxj2DOO1cstjWD95HAa0d&#10;2r3B/wBrH6VQ49as6q2dVuT/ANNDVQEjqRXRFe6iJv3mPAzQeO1N3YpSwqhB0NLSbhmnZBHFILBj&#10;jqaTvxQfSjHoaB2uLSg80najnFAwOSKgcc1KxOM1CxpoTDqOtSRjAzUQqxERjk4NDBDwT1pjvkU9&#10;sAfeBzUTYPNJFDCTn1FN6HvTiM0mKYAD0oycYoGDThyTjtQFjs2GV966/wANagJNLFux5iYj8K5L&#10;bzzV7RZ1gu5EckK69fes1uC3OpnuQQcEfeqjLcAFzuGcdKryXAKgA8E9c1SmlUs+G/GrLLbz8qCQ&#10;R/Kqk1wAn388/dIqq8/K/NkYqq8/ynPXPBzRYLk09wPnVflJHBxms4STIwMk+5c8Dbg0sk67yOck&#10;dKqNNjAweD+FMl2buTSTfKee9V3nAJwM5FQSS5ZufwqBpCO+PaixLkSs5YDtURYDPTNQmQ8/40wu&#10;Sc07E3uSF89jUbHn3ppY1GTz1oSE2WEbnrVy2c8HNZYJqxC+D14qjJnSQXTAbCSVqw1z8mQB71gx&#10;zlRjcePepvtBY8kc0yLE10+9sZ4PSqnynnHPehnGSDkkdDTN+eaYh6xKTj16VC1rbS3oW5kSJAmc&#10;k4JPtUqvj5SenSs3VJQZIwTye1NK+iBtLWxVvVt47h1tWZ4gflY9aW1vQ/7uXhuxpHtiYUlQZJ4Y&#10;DtSCCK7iIBxKn61p0M1e+hZkUDkdKgYc1YMXkxKjct35qIj2rO5siLAxSY546U/qaDxUl2JI55Yw&#10;AkjqPTNPN/dMhRpmx3quMelLgVLSZUdBjE5o4oYAUmKBi8UU0mjJpiHbcCjBpA2PWlyc0BoJgjtR&#10;79Pwp2SaSgBQcjNGR1oXBPNKVzQAmaXNG3jg0bT0xQAucHpS5pNre+KNvtSAXNKOlNpwFAwz7Vb0&#10;pd+rWiesyj9aqgHmtLQE36/YqR/y2Whgz1JYQetQ3UYSMYrR8v5uKo3/AAAPSuaa0HSd5o8n1B92&#10;oXB9ZG/nVfPtUlz811KfVyf1qID3rdLQb3F69KKToadxTEJ0NLn3pMjHTmjj2pAL3pefWkpPwoGO&#10;DHNLu96aKXHFIaEJBqNhT8DNNIFMBFHNSAY5FRgVKPShghc+9NOccUu40w57UhoQnHGKTOc0hPWi&#10;mA4YpSOOvNM5/GnA4NFho7cHI9KazGKRZF7HtTyOv1qN+UxisUS2STXZchs4NVWumO7B6+9U7icx&#10;zbT0xxmqxuAVOPzroQnIvS3R3DPXHaq3mtgnI+vSqjT4IqFpS2eM/SkLmLcl0d3J7VA02VJBqBtx&#10;xnA9OaiJPIosFybzfeomcnnNMLetIWFOwNjy/ORimFgaZn2pu4A0WESFqTdTN1Jk96YXJAwzT1fB&#10;qAH0pwYjmmSy/HNnBH41J5g6VRV8dRT9+R15FIloteZkA+lOVuevBqqCOtSqeMYNNMmxZhiluJFj&#10;jGX6AetY2oo51N4plceV98AYIrf0/WZ9Jl82AIT6Ouadq+vQ6vA6tYW8Vw/zPMg+Z+OAaSnJStYf&#10;Kmrmbp7I9uUjBCqf4zkmqlzaywz+fbqTjl1UdB3NOsGKLLxx1rd0XxFFpZlkWxWa4Ybd7twB9MVT&#10;k0tNRcl2c/maFlWVHAkUOu/qQehpSvNaOqatPrF159wIwyLtQIuAo9KoYIxmkm7alNakTDFN496n&#10;K5HSk8v2ouUiIY96KmEWecU8QnHSpui1FlQ80mCavLbk/jTha88daXMh8jKHl5p3lGr4tT3HFPFq&#10;o+nr6UuYapszghNOEJPatRbUEe9PW2Gc8cHpS5yvZMyxBx6U5bYntWr5G3OFBFOWMDGRkeoFLmK9&#10;mZQtvanfZfbArWEIJzjBqRUTvjJ9utLmKVNGStoDwSKk+x9AFrVEMf8Ad4Hb0p4tlPRuM9e9LnH7&#10;JGR9k4yVOB19KU2eR29s1rfZ2Q8kZ7HtSiIAfd447feo5wdIyDYnAwuaRrDaQSCB/KtfZjhccDn2&#10;p3LKBubHYU+cXsTE+x8kEHI5q/oNvs8QWbDqHyR+FWpUVI98rpsU8sego066tUnW4RgzoeisPzql&#10;K5lOnZHoYkORxn8ap3pyjHsFNZ8euxsS2CCOvQ/youtVWW2ZbcjzWyBu7ComtLGdKMlK9jgTZliW&#10;7nn6UfY/y+lbzxsw4BLD1x81NCAgEoCOnA5Jo5mdKgjC+xY4PWmmzI9c1utBEDznbnj3PtSNABuw&#10;RxxS5mPkRg/ZD+FNNo+enNbzWxDHAyF9Mdab5GPvLgnrxT5mHs0YJgbuMUeQw7VumGMgnHA9utN+&#10;z84HXvRzh7IwjEw7U0hhwR0raNsckhR7dKY1kScEY9aOcn2bMY9ab0NajWZPO36cVCbLOR0I96pO&#10;5EotFLrS4zUxtmyQBzSGB169qdwWpEevamk8EipCpHUUzbz3GKBjPr096Tj8aCOcc0uB+ApiFB5+&#10;lGBSAce9PGAetIaO8mjKTMB0JzTFt2bPHWtOWFWYOevSlwFHArm5gUDk9cgNt5MvZsrWEzk12mvW&#10;/wBo0mcj70fzj8Ov6ZrhN3PWuilK8TOasyUn16U0NjPvUZbHejd09a0JJC54ppJ7Zpm7mjODQA7O&#10;KQnt2phJozzTAXOOtJkY5oJ703NACnHajJ7U05PpS5I70CFB7nmngiot1OB554piJ1ORninE5Oai&#10;Uc8c1KiMe9DFYUHAxUyEkZ9KjWPP1qxHCwHSlcXKxOWPXg1BcQfKGAwR6VfS34qR7bMZBouUoMw0&#10;DKxHY1MilA2M5NWxaEEjBz2p4hyOlRzmvs7kNvATFnHWpvs5PUcVcgQYH64qwFHPp9KOYap6mYtp&#10;0469KetrjIOMitHZjim4BHI5HSpcjT2aKa22Og5p4hx6VaZGxkH6ihUOOmfXipbLUUV/LUHBpjNA&#10;jbWlQMOxOKtsg6YxmsNPD+oajqUqwW8kvzcMPu4z61UEnu7E1ZSglyq5rCEHnBH49aPKAJI6e/ap&#10;jaSWDfY5pEM8QwwQ5A+tPUAnII3f56VDujRWaKzsIImkcEoPQc+1RW96lw/l+XJE45G9ev0rRt5r&#10;eHVLNHcKzyjbnkAjoTXWeKriO4srVrgxFi4SNY48HOOtP1RLbvo9FucaEBOGGD6Dv9azprS91HW4&#10;rO1fYj4wxOFyfWtCa4gSJ3MnEf8ACOuam8MatI91cbpo1OAVhZc7sehpx5opysRUcJ2hfckuNHm0&#10;lxbzXcV0cZDRk4H41G9tPLE8VsC0zAhOe9Go+KodX1JYlhESR/IpH3WOf5VlvrEkd4hVvLRHBBHB&#10;OD/KnGnOTuxSr04xsmX7/wAD6zoMUV9LL5gLqH2seM+uasY5yCASOvrVzxV41kvrOKytmRRkPK6E&#10;nOOg9qoafcPd24dhyOM4OBRJTlHmaCi6cZuCepNkYOR07elRW2l6pd+GrrxHFcxLBC5AtyfmKjqf&#10;8+9M8QXP9j7Ld/mlljLKU9DkAn8qvaF4r8r4eX+mrbsZIYnQ4UYIfPzH6ZNKKajzWCrNOSimV42E&#10;0KS4OHUEe1TBAQfX1rH0PU1eFLSQFXC4U5+97Va1i/SytCUcLM3CoRyPepdN83KbRrR9nzmguipr&#10;brZmQx8himRkgdxzVR/CNxo+qRtI4MKpz2Oen68n8K57RtZls9chumYOQCD5jHBBHrSaprt1qOsy&#10;3bzncDhcHgY9K2VOafInoccq1OS9o1qdgsG0napwe2aYwO5tyn3ajT7gXllFNuyzKN7Dse9Sm1kv&#10;rq1sY5GVbmXyyy9cck498CsGnezOyMoqPMiJURcNnAHT3pzYBwGw3fPSrmveFh4a1Kzl0+aRrO5J&#10;jeObqrEZz79KrGNcYGVAHIJ6mlJWejHCXMtVYibGOEwAMKO4pNoJXAYso4PXbUrREdOp4C+lMCED&#10;9WOKVy+UNisoZXGV6A8ZPqaTynXlcMByQpySadgkbiOegxS7COGGSe+aLhyMhIaM/OAVHJLDqfSk&#10;2Akq0fOMk4x+FWgoHQ4HoT1proQuS3vhqLi5bFby4WPO4MgyQOcUhi4xuHqSfSqja3afaAjRyqm7&#10;mTGAf/rVoskeQynIc5PGciqcWtyIyjL4SubdtwPUY4xzmmNDj5WAyfXirHlsckHduPzc42ig+cAe&#10;vJwuB0FIq9yobZc5Xj0yKje1cgDAJPpWgJWOQY05OFDDGfyprSQsG/dHjjg96Lit5GQbTcT8oIHo&#10;KrPabcZVhmtqSOPaf3mMdSRzmkMDh87wcDgZxj0qk2TyowWt+4AwKhMBHbrW69u6ryvX8agNuC/b&#10;5RT5hcnYxzAwPQ8U0qR+NaptgFJOQT2xTHtQcDd270+YlwZ3rfMM0wfMBnj2py8ipo4Qeeua5WSm&#10;VZI/NjKEZDAqfoa8yuYWtrqWFhgxsV/KvX44QQcCvOvGFl9l1tpAMLMocfXoa6KLs7GdR3Ofz70h&#10;NBpD6966DIcCQOtGfxpv40me1BQ4mg96aT+VGc0ALk9MUnPWjnOKUKe5piEHWnbTUixE44qdbc7h&#10;0596m5XI2VRGT0qZYTnpmryWnJBBz9KmjtcjOcEVLmWqTZTS3YntVlbY45Bz6CrawHAYjPuKspGO&#10;CMYqHMtUigkGeRx9RVpIdvuD15q0sPz429acsODjA/CjmH7MrqoRsMeKsxoHO0jr04p/l5528ino&#10;Np3L8tHMVyWKU0LIx+Xp7VEVOAy5OeuKuzE7s5yD3qEsoYgnj68VDepoloLAuV4AxUTXVoJ/IadA&#10;5OAM/pU8as6GNSAWGFNaOl/D23fSTdX7efPJEzoqNgLjPX1q4uNtTKpzJrlRnfKBjI60hBPQ8+lP&#10;WDZGiE5ZAAee4p3k85GePQ1Jp0MaTVJvMbZbExKSC/bitC3cSRLMhwrjuOa7bwxd6XFpM0LRhSGI&#10;cEgZXOSeevNYNlZw6rrHlWoEUU0pwMjIXrn8qbfNolsRG8XeTMHUpZ44dtuu5ic8ckDuab4W1/Ud&#10;MnksbVXuBKS8ag8g45z7d/wroNR8VaZFc6lpUmkwmNF8u2nQYY47Ejnkgc1U8MeEHm1KPUJJngtg&#10;waI5G4ZP8WOK1SioWkcs6knVUovQi1vwZqWnafJrk2owvNu3ywkFTknnHrVVZEa2E6sB8u4k/wAq&#10;77xvFqNzpN1YwvGSAA5PsM4X68V5Mb/bp6wc79+QSeAPT86IRc1qDqxpP3ev5j23zzKvLzuQFUHn&#10;PbFdTLcza1HZx2UEst3a7jc9WEbDIA49SCfyrehbw1oWnaVqj2cdxdxqFMkZGS23JPXmuRufiFca&#10;f4jvLvTbKCO2mAXymXGMDrxVt8791bGavBNSlvuc3cTPIjAN3+YZqqu/zlVH2MzYDFsYz71Y1HU/&#10;7Tv5blbSOBpTu8uIcA+1VWR327VO4n7uOa6L3RyPQs+QIrtoVkSQIx+dDlWx3HtUU0xluGXb8i9a&#10;6e98Ealo2ipq08sMkTAB0Q8x56fWuZubcRRtLGxBY+tGgK42dY4+Y2YjGcE1tabfz2yQRTSsbYfP&#10;sz8vI64/z0rm40eRlU5ZmO1VHJNdPFpdyt1DYXULxSKAHRxtKrjP8qTtsyotp3W5T17UzqV3btMp&#10;DwwCIt64JwfyIrX0ONz4f1T7MFzL+5yzhQAQCSc9sD9aoW3hiW98SppTXabXBxLgtsUdM/hT/E/h&#10;y58M3SW3nGWF13JKAQH/AA9RWScdImslNtyJPCkVvd+J7SCeBWQBhgvtzx1z7dapeJStxqly1s7T&#10;QQ/KGAzx61j281zHfR/Z2InJ2pj1PFbq3txoREMQEU7RjzQRuVzz1H6U+V81wU1ycr2IdD8Jaz4h&#10;sJbqws2lih4Yg8n2HrUWlaNPqF/JamCYBFIO2MnD+h4r2bwHMLLw8pv7NbNpszKq5USI3QgDpzXm&#10;fivX9UtdUms4GurGIytKYm+Rm3c547GoVSUpOKL9nGEVN/8ADh4ViuIdUudLlyHyQY89GBxXS+LN&#10;NfSNY0OHTJpJtQaTzCq9ByAAB+dQfDqW3mnSWaNfMafIfbljx3P19a9Q0q0tW8RLetYR3FyEO2Q4&#10;+TBwMGnyrmcmS6rUVBPQ8/1YX2peN9I0q+3wRBWIBHRiDyc07VtMm0q6NvOFZRypU9c969B8RjTI&#10;9ZTUZ7PZeRx4Ei84zwM++K5jW4Yb42szFskBO31zWU6a5dDopYiXtPe2ZyylsZ+857jt+VISmcH7&#10;o6uK0xaxOu8SuC3GNo7nFc74snj0zTTFHNummygHOQO5rFU23Y7HXhFXuA1zTzNjzOQdoYL8vp1r&#10;T2EgbSCDzyazb7wTDZeAk1JZle6jUSyfOCMHHygfjmpfDc41DTEMaFpUGyTA/KnOEbXiTSrSbtU6&#10;7FplDdUAA7EVTuDbxrsnlxvIDDvtJrTvJI7O2aSfeqJ69z0rnbC4S4vYZXYFWk2uWPAJ459qy1R6&#10;FGgq0ZO+x1Pi3QtEs/C73AkkgO7MQ4O8n/61YemymaxgfeHOwDA7Y+lWtQ0ea81xdCUb2hySu/Kj&#10;Az1HYCsrSY1trmWFhmI/MqjnafarvdWb1MFhJxSnFXTWpqtE23ATk8nFR4ZHztKgdwOtWvMcgsOS&#10;fWmvyQpTb6kdKlMVkVyCADvOT0yP8aGhyy7kHHOTxUgUbi4PC9MA4poZ0TKZyfwyKOYSiiFo0Vc5&#10;IGckY61H5StkKcmRsncCKtkMWVWQg/1pm3JPsO/+TTv3DlKzwyESFCxyQFC9h/nFMZ5UDjgKo2gt&#10;zk/5zUzoFXPUk9utO8p8qgdsehFCYnFlPKhtrxgsFyWHAJpQsfmLgEMwzjg/0qcxl1cMFZfUcf4U&#10;CMDD7R02jaelO5HKzZsLgXNlDMP40BP171q2a5UrnkVyfhO58yxkgJ5ibI+hrrrBv3+D0YY/Gokr&#10;Ssc19C7FFgnNcn8QNP36VBeKuTDJtY+x/wDr12gXnjiqmtaeL/Qry2xlmjJX6jkVrFWdzCUjw7mk&#10;we4p7Ag47jtSck10FDf84pOTUgXJxT0h6jHPpRcaRDtJFKFwR2NPDjov5mk/5aISc/MK0VKTXMZO&#10;rFSsSpASRxnNWo7MnqKurAVIOB/n3q0kLZBHP4VyObO6FJFJLUGIjpUqWxABznHfrV6JAJGDE/p/&#10;PtSrEHyOOOnOalyZooK5EkIG0jHPfH+c05YisvJ6/TP/ANapY4fk9T+ZqUR7lHyjjjBH+NTcpRI4&#10;4yuVVhj3P+TT0VmBDopI9Ov61I42kN0+px+lIskRc7ZEI7gNxTE0I0YZQVLLjsRx+tOIbgk5+tPV&#10;HQ5DBlI64/lVvQhYXE17HqIu41iwyGAj5sfw4wTz+VVFcztcicuRXtcrAbcYwfaqepJPNHHbW/7t&#10;p5BH5nQKD3qylwkzStGroodtolwGUds471Rl8SRW19AIFErJIu588delUoyUrLUiUouF27XJrnwL&#10;qGiRLfR6kkyAAvGCwJ554IpRGjKQcEjpjtXUeIvG0EemGJrebzLj5JMgEIPasHS7mxmureeWQNAX&#10;2nPAz2HNJuU0pMdNRp3itzl73UHaUpCSFU4JB5NdHfeILyz8KWsdrIdsyqokYZI/vAH8DXSeGPAn&#10;hz7TqU+syyvFHl40LbQqepx1Nchc2NpZJJbi5M1lDcvNBkYyDgDIP0/Wt6jp2jboYYaliK8pcv3v&#10;ZGlpdr9qsre4vLhbd5gSpYY3Y7AHvUeo3enWt5HbQXgEgIDAN2Pqc+/SqU2oX3ii3eP93m1R5Fcf&#10;LgY6fpVAeBL64tDdb9uBnBBznGainKKk5SNcRGpFKC1N8bbaCO6cbo5i3lEMMFl4OaZFcTaVb28U&#10;ke2V5Q8bL1AAGea5e2vsRx2d6zrEhyh5wp9cVOZpPtUWJfNQEhSuSK6400m33OVzlJJSexdAaTxR&#10;eXdtYvPb2pE06KAdq456/jXqttIJ7WCWBlEciLIhK9QRkCvMdE8QW2jXesLexkLeR7d5X7wAPA/O&#10;uvurx9M8BWpTl/s6Rj6kAVxYiDclFegoWSbuVtX8cTy62WFqpto18p0Dffx/Fn1rmY/DFn4lXWbj&#10;T3ltzColht5FHLHqM+np9apRszqwKglh1Y9PerNvdz2GmXMlrOVnBwUxnKkda7q1JQjzR3M1Z6S2&#10;ONDzLGY97cH7uelJtO35zk098DnPJ5rqvB3gC78UH7TLcrBZofn/AL5Ht2qZSUVdmCTk9Dc8L+Bb&#10;XVNJhuWjn8yRc7lcAVq33h6zk8FeWNs9/pxLGSHBbAOSmfXH8q2LKwj8MXEWnae7zwSbhGWO7Y3f&#10;n9a39KsrL7IAkfkXExJf5Sd/PJNcUKzTbex21KUeRcu5wd1ruk3nhl0kkla2MeHglPzk9sEd8159&#10;oWqwaRq267s0u7OQFHifk7T6e9dT4+0620qKa0txifzVwg7qecgV58wIX96CrjoCK6Ix030ZjKa0&#10;stUemw694I0mdr+x0h0u1TMIZSdrY4IySM571wFzrWoXusy6nNKXuJSSSx/DH5V1mk+D7TXxYyWr&#10;T7ZAplAOSB3xn6Vb8deArDw5p8V/Yy3TLkLIkwBxkdcgUouMXZlyUpK6QeD7kXOialdJsi1WyCze&#10;YP8Aloig9R68kZHqKr+OdWm1abThKoVEtiyjqct3/QVh+G/EEWjxaojxb4761MJIPKHsfzqG7u/t&#10;VikkshadW2D2jA4H55odJ8/MJV17PlMUxskiyCQBgcrjrWzfSO2pQO0a+YwXA+8OaZcX0M+m29t9&#10;itoBFyZY1PmSHpliT/LFW9K33PiTS2kAOZIwC3Q88Vvs7mEFfRn1CNBs7iy08PEuLaJVAHGQAOPp&#10;Xj/xU0yzuPEmoSXJEZFsjQucDkDGB6jivYUvLoWwEcQYbeuen1r53+JOtxap4sV/NMkdunlPj7pY&#10;E9PzrCGstEdNCcYfxFdbD/BFzHaXcTrMkRiAYKwLGT1AA7817Zp1/aGcXMLAtKoBVeqn6V5L4I0b&#10;SptTs9RgHRWOGP3WAxj9a7C8uYraW7ubW3ElyTsPfOOgrohT5onDUqKM9UQfEC+u5J4bPTgJLi9k&#10;EaqDkgAcn2rCkt9R8P6/Fpl5fPeQy25kjlkH3XA5Az2rnItevIfHltdRxESISroGz1HP0rR1rxWd&#10;b8a2NukTtDADEoLDJZuvJ49BXNK/Nyo7aajy87OiUMMnarbDkAAdh/jXkupype69K7SOy+cACxzx&#10;n+Vd5davLaWt2s1u8c8YKspOCpOT0/KvMVc+eD3JzV0lqycQ7I+lYvBdrfWpWSdP7LkjDGNVxkgd&#10;PpxXhdpdJpPiGWOyn8y3M5iAbjcmete36xrf9meDZbtEZS1nu+ZSfmK4HOR/k187WEgGpQyO+AJQ&#10;xY/WiFKMb2JlVnJK7PUNXtnu9JlDElh8+zdxxyePpXNNpF9ZW4vo7OQ2sozlVJH/ANarl14gmeIL&#10;BLFJkduvJrvfDTrc6PYm7uZI5QoZGZAVPqPYiuWcep6+HxzoR5UvM5Lw5PdMNV1COCVpWtnWLIOS&#10;7cd/QZNY+lW1zHfpayw4mQnzCW6etd74+vWsdNt7W1k3PcOf3q/KVx6CuQ0C7jjkeKVN0ufncn5j&#10;6DNZqDZ2rGvklV010t/wDYNhJvyEXgDAU1G8MkeS0bA59MVqho2O/wCbLA4/qf6UoRwThgzE9M/5&#10;4FV7NHnLESW5iOrhVUI3JyQf0pu5WlwVwF7Fq2pIlK5dAc9DjBwO/wCNVpbJXynIPBPGcH0qXBmk&#10;a8XuZe0fMc47YNJt+QANyTyMflVp7SRQFT5kyeR696jIYSElWwB0PBx+lS00aRlF7MrvBl+hIH4f&#10;WmqjAOxJx6//AKqsKCVYkcnofSopQyqo5OecgZqbmlkVpEVFG0A5PUdRTT1CcNgdutWcrI4UkMB1&#10;45/KnLhnLsD/ACqiUrHNeGLr7PrCoThZlKH69q9AhJRgf7pzXk8MjQ3EcqHDIwYfhXq1tKs8Ecqc&#10;pIob860rrW55sdjpVC7VcdCM0LKryFADj1qKyJmswueV4pAwiIJ6g4pp3VzBrU8a8RaabDxDe24H&#10;yiQsn+6eR/OqAtzx3+grvPH9gDf216i/61NjHOOR/wDWNcx5CjbnAPfJ/rWnNob043VyolvyAR+F&#10;WYYI2JAI+hNTFAJAeCPXbxUq8XGCjZPT5c//AKqhu5uoGXpGg32t6w2m2EQkn3McE7QB6nNb/jTw&#10;UnhDS7F5rzzrydmLKi4VQADxnk8n/wCtWbpusyeGPGEepRqxVCGZFb76kYIz703xX4y1PxZMpvCi&#10;QRkmKFBwn49T+NevSlzU16Hj1FyTa8y6vMEb8jPTdxn6VIwKhW4yf89RTNNVp9LiYNzsH3ev45q0&#10;IwIsc/KecfJ/9Y14ktz3o7IQRLuWQqpHrtyKkZSJOjZPcYz/APWpZNojRmOGPALHBP0xTtu4A4A/&#10;HJ/MVLbNEiMIclScr6FuKdGRgqSD9ef0pZTsIbdwOp25UVmPr1jFchRM5zwXXkVUYuWxnOUYfEzW&#10;t9KOq30Fs4f7PkmRUyCx7Cr2seFdM0p7a50uOeHLbZRIxIYYOetdfZ6Fp1v4eh13SL83gDDeyn5f&#10;TGOxB9a1vD+nWviG3uVvYmFvFhV+bHzHuDWnvJ8hyucHer2PKryeKxgE0z9eB6t9MVreFbvTNVsZ&#10;pZbcKEkIYu4BxjrWR8S9Dl8O6wIAxeB03RMRztzzn3q34P0rSNa05HiR7eQSbJIw+cnHX6f55qp0&#10;+SF3uEMRz1LLYxNX1uykW8Swt2QBmVGxnPPX8q52xe0iuo/taO0BIBKEAqfXnr9K7PxnpGieHmEV&#10;tFJJd3R3KfNO2MDrx3Jrz0P5iFScKa6aKi4aHDXqS505dD3ibwrb6los8ETRO1zGNjhcBcYPvxkV&#10;5v4pNnpmr3Om2kR2wFc+jNj/AAx+VQeHdX8Q2FpOdMuHWMxlMSfMP+A56GubxqGqXFw+HlmHzSMT&#10;lj9azjTesZPQ6FiOSSnFams3iTWrpRF9pUpsEYQDHArLv7q+EwSdgXPQL0qpEzpNtcFSvY1a8mVp&#10;Y7iQ4JcAA+ma1UIp3sYe2qtOPNo90eh6B4ReLRzdNcSxXEsWZIweDxwK6CDV5/sMNkWlMhVYj/dx&#10;0J/KqmrayulaRBeIGbOFCg8HNcppXiYvrcJnhZUeVVGGyFyazqUudplUcQ4RknqdFrXhKF45ZbKY&#10;oy9Y3UMp4rltGglvLq4t5JY4ltYmkYqPlGK9EM/k213M+WVC2eO1cjeJaWfhi+eN0S7vByB3XNbT&#10;qOMbLczpXctXoitdahDqGnxaXDDDNcTMsURZehPernjLw7deHNKsHfUmu7J9omTJwj4PQenX8q5f&#10;TbO60vU9OvMfvDcJsX15rtPinql5Na2NpLatFau5kZ2GCzDt+GaidV+0ih0qSVOUjjIdXtbfYyEu&#10;QQcCq91rs0tzcSRKEWYnC8cA9uMZrFmBgmIXlDyv0qSMLLxnFdEqjkZNsQnLklcA84r2v4eygaO8&#10;ln8xG0MhP+z/APrrxdB5UhVxlc8H1ru/hlrZs/ED2LPttpoyMnsQeK5MTHmpu3Q1oNxlZ9T2COT7&#10;ZaBpYk3K2QVHKMO+DVuaSTYDFNhjgZIBBrCnjvLSSZtpMDOHXY+Nw/H3/SrgE11coG3Io+YqCDjs&#10;K8u8tjscVuef+N2W98Wm3kt5ZBZxK6iAgSPnHGT2rK8S6ELtImt4tki9UwCWJIGM/j+tWPEmt21n&#10;4y1NzbtJcpEsfml8BBgdF9e1N8Na/PfSaham0E91cRFY5y2BGAvAz255r04OSgmjmUYu6fUpeGNQ&#10;m0rWbRLVNqlsOrOSTj07VvfEDVdRvNPg0y18zypwxcyDluhxxXAalFfaReiKcmKdCGGDz7EGtO31&#10;TVtduovPu2lmC7It2AFGOcAeuKc6d5qXQUKtoOPU46SG4t5DE6kc1bVmaLYowM5Oe3tWnfbLea4h&#10;liEszHYrL2I9K6LwV4NOrahHJfiMWkZBaN3wZMg8DFbvSNznSvLlORULuVZAMHnmte+ukFvZQw2z&#10;RTRkt5wI5PG3B9KeNHtrrxAbdI5FheQ7A2QAOcAE9frVjXdEXRiQJjIn8IP8OKiTs02awu00jsh4&#10;p8S2Fzp9hP4g0+e2uBmVooRIyY7MBgn61kTeBL7W9QvbyG+tZC07FiVKA554Fa/w206z+wSaxPEG&#10;MzeUv+yoOCfzrqNTg1Gx1KWez037RBcKAAmDtYccgkYqa0nBaMqhGNR2asebS6Zqvhi1eKA75km3&#10;YjPIGBmtPwHq1zql/cIfnKMJGJ7dq7mPRIjoZj1SJRdzZzg5O4k4GaqaD4Vi8PXQngtTbR3MCqY5&#10;JNxc9Sc9qqnOSjqZ14wb0MWz8IsnjV9blkWS2d3Yxkcq3TFU4fADT+JptRmlSKySQuirnLHPH05r&#10;0KGzRJpwxUIT5gRD0yO+fpRFbfaCArOkMb53E4LH/AVnZj5kcB40SA6k4JJMqKZeOpAxnp6V5Xaa&#10;Pf6tI6adbSzvGcnYOgz3NexeN/Ja7kEZ3zKFRmz0GK8z0LUdQ0KSe50+8EUmMMpUFXx6iqp31SKq&#10;W5Ytla68Xa/daQNFub2Z7VDgxyDJGO2evGKZ4ZCR61FIyBxHztIzknitrXdej1XQVWfRrWC6Lh/t&#10;EXBJPXPrmqvg3SnubuS43bVGFBNXKVo3asTGCcrR1Or1DT7JoPt0MEcTg8EKB7Vl3Dana3Fvb6fd&#10;vEXIJ2n5cfTpTfGGoubUW8LYiSRRkdzgn/Cuft7i4MfnmciSMZUmilKCh73UK0JylaOljpda1O5u&#10;fLt7hhI8fC8Ac1oaPpdtbwiSQnziMsc8dM/oK5zSJG1W+WSXlx1967kxIF27VAxj0I4/KsK87Pli&#10;rI6cLTjy80tWPmvobYAEoAOST2HYUyO9SbagZGBIBI9MZNWILSCaU3DJmLoA2DRNYafI+3yfLb/p&#10;nxyawtJ6nQ5Qi7JDWnYqrcqWwcepPQfQCnAhlwcc9++O5+pqpJpM6kG0v2OGBCSjI496r+ZqNo5a&#10;4s/MUBQWhOeB7dadpC5qb8jS2xgcAgnC7ev4f40gjkc8MpGDnHPP09BWTbao883kwlhJjBVlwRk8&#10;n+lbZCFQQy56Af57U0KSsVDBBIu5oAoz16HHr/8AWqtNZksHjkwAB8rdvT2rVCuBliHHXnkfU1Ey&#10;xn5zlcdO/Prj1qXFFxnJdTGkgniDGW3bpwwHH6VDtxHnYQGPrW4FJ5ByRxhTz/8AXNRyqsjfvIwA&#10;OCy5H4DHWpcOxrHEPqjygAE/MB9RxXoHhW5E+kLGWJaFiv4dRXn7qU7dPSuk8F3pTVHtnPyzJwD6&#10;j/JrSqrxZyRWp6VpsmyRkHRuammVi+AOD3qlb/JIrDsea02OGGTWVN6WIqLW5ieJrQ3OgScfPCQ4&#10;yPwP6GvPyMbeccdun5V6pcATI8bDKOpU/jXl2o6c8krRmYx7WKlSOuK0ST3NKVRpWSuyMjMikZPu&#10;jYJqVBGZxkLnvhiP/wBdNttOWBVaNcjuWPWrflgOGb9VyKiTSdkddNNxvJGDrdrK1/EYw0hdSAAm&#10;P89ak0/RVaTN1kuDjyQDyfc1v/N5gJ34P4mnoiiVgFOD2Vv51t7eagoox+rwdRyZDEoWMwmPEaj5&#10;VzlR+NSR58tgo/4F94D6Csyez1HV9aXS7F0jLLv8zO0Y+tXU0HWvD1+kV8UeGRM+ar7gp9j2NZ8i&#10;te5p7b3uW2hMocoVBX/gHJP4GpEBMZHOV5+Qbfzp4HJGWyegI5P40chWVw2B2Jyo/GsjoGunmQsr&#10;jORglvl6+lYMHgTWZg0kdspVQSDu64OPxra3J5Jycg9u1dR4S1ZRappsdxmZQzBe+P8AOK2vOlG6&#10;6njRx2GxtaVKH2evf0Nv4YWP9meF7jTb+VlmknZ3ixwFOB3HtXcadHZ6faTpG6KkLFuOccZyffFe&#10;PafrV54f1q6l1NXaVi29EPXPTFJceJdQ8Qm6trNhaW9xjznHJ44x9TXZGCaUnueesVKcpRSsk7fc&#10;dH8RYk8VeFEvoQhltlLoRydpHzD+v4V4fp2rXGgXyXdlcbZlJOeoPtivUrXU1s9P1G1eUOVgaMEL&#10;jLf/AKq8YnRAMrnrWjjdWY6MpJts0ZtUfUbyW7vJGeZiW3E5x7VUtkTzUMrYiDDPqRVa3dVkyRWp&#10;Zae2oxTmFl82JfMWMnlx3x796SSSsb3b1PQrPxD4fsNO3+bFI7pt8tIyX+noPxrz1rxotQe7iJjL&#10;k8Z7HtVbaQBtXBrf8GeB9V8ZXriJhDbRHEk7jgH0A7mkoRihObbubnhfwRH4ggnvruSeIscxmNAy&#10;4I6nms/U/C76bPcLfSLuiGUOSARj07GvSrSwi8EWs9u7tJboPmDkjoOo9j1rJ8eaBc3PhpNdW4Bj&#10;m2FoyMMobpj1rnhKUqjiddRU1SU+5xtvrDeIv7P0y4WJLcyqCxJyT05P/wBau/1fQ9GsfDEjiG3S&#10;KMAjyl+beOnzdetcHpHhO6tktru5ZEt5GHysSCvpyOma9D1vRY7rQEij1FtxTAVmBXPrkc5p1178&#10;Vcmg0qcpWPM7zVL17m5kFxMoc/MiuQD26U+O1W8nEkSSeQqKQGHp1rZ0zwleLqqLqEIa2AJd1YEH&#10;0rN1AvojXtrbzAbhgqRnK9R+NdTSktDkUuViC2v9S1e0t7GPfOsiuhB4GDnOa6v4uTLc2GmQ4Pmq&#10;POYjoA3AGPw61xGm6vcC5gW2byZGO0OW2gE9STXeXXh0+Jb8Qx6hDLDaW6KH38OyqOB9M5/EVyy+&#10;NM6Yv3bHG2Gj+f4fLz26th8o7AZ96wdSiSCWMIqrwfuiu9t4V/s1kQMu0kEDBP6VxWvRMssZwckk&#10;URT5zadvZaGbeDasA7lQTXW+BdPtjrtu088kUkkZCNgYDEArT9B8Ip4jmiguLh7aVoQYl2/ex1qx&#10;qvh240y4WGQupTCgpwRjofyonL3WiY025Jv5HrCarp7QC3a4tTPjARmUqX/u1Haa5ZvHNFBmObcQ&#10;SYyg44J5HIFeSw3FrBYSRyuwmicbT/KtLxZr1vdz6ZOk7kxQ7JEHv7ioeGgrJPcmNSTUm1sbXiGz&#10;0S7nMlk0Uly2EmwCd/oOetZumQJpV+sap5XG7aBjr3qg1/bvJFNaKwZdrH3IqXRmvdZ1aVfKHmSn&#10;Ckn7oA5OK09nZ8qYKp7ik9zmvGN0t34kkwcrGiofr1/rVLRbloNWSQNg7SR+APFej6p8NtNxmO5u&#10;FueS5dh85/pWHf8AgWOy0STUo0umkRxtA5CjPJPFb8tkcvtLvQwrOzW7aQXIbdsLK6n7rdjXQ6bq&#10;JtNBeUu8cyj7ynGaSPQ9R0mzS5vIDGtyu5N2OB2Hsaxppd1ns7bzxShJrm7GsoKSjbc6dZ7We7sr&#10;yKMEqhyAe+DUXiWA6pbtIiENGMgdc5FZWgzMJ4l6qGIx+FdtbeU5+eP5iMjv0rKtJuaZtQilTatr&#10;ct+GLGTSPCNnFdKBIEc4UdicjP4GuT1641LVddgudFv7ryr1iirHKVCOnysOOgwA30NaPiPxTrQu&#10;IDlI7aVBtGzjcOOtZmnaH4s8P20kUFmZ7WYqxeIB8DuVI5GRwfapfvGtGDprmdtTurSyv7iyWFb1&#10;g9vbbI5zyd3Qvz3OCfyrBbxLfy3VikVzLOrIY2EvYZ6jHfj9a6ozHT/DMt60bpNJGDtI5HGBkdq8&#10;3ubx7a2jeKJVaMg5x1A/GqTtJXMFHnhJ9eh3F9Bp9zfadNNdXyyRBlYQORn03e1Ok8TwC4uLKBsb&#10;E+9IRhB/ex3+ledW/jS4GrTSyIrKUAUVVs1fUdTe6cuUdtxA9BVTjGEboik5VJWeiLWvak1rp0pw&#10;xadsBn5Y57n8K4Tzy7YB2r1PvXUa3Y3FzeKDHMbZWALBPU8/yFc5cW0vnkeW+M9NtVBqMbsVRc0r&#10;LoWInN0VErfu16D1r0Pw9DHDp6qvlAHnuDXEaPpNzcyhnQqg5yRXctpU0Vrb2lvKEubqVYlbHK55&#10;J/IGsKl5PU6KTVNaEGr+GGvljWFgVbJ55AP1+lc3c+FNRtownmJIjf3etegeIdBsvDejQanYPdJc&#10;ROgneRiRMpIDZHTvUn2iO4G+MxyBsYB5+n+NQproa6y+JHK+FvD727M9wHTkYJGK6q6tSqFo5kKg&#10;ZYMMH8xU6hXAGz5T1x7f/Xpk6xtuj35cjJGKG77is09BkDiKCNYi2CAee5PSnmRM9Mk5+YcH3NCx&#10;LKUGNu3nIPGcYHWhLZw4KMDgqMdDgD/GsuZ9TdwiII0J4JHQYI/SnkSDAHz55OORn0+lQbpYpNjj&#10;ngZPbIJNU729KYjhDCZsBQOwNUpol0W2WriNnk3IVEiqcA8Ek1B5ssTHcmRyORjgcD9asm3mYIXO&#10;flGSTzT2Vk2hyAB2I6/0qXdu5cHHlSZSS4MbkksvvVofvuWGQOBjr+frSS28bkE4UkjnOBVVIJI2&#10;2xyFsYB5x7nihSa3KcYvYuLFCi5PA7ZPX8aYHLP9/pxjHJ9h7VmO17fOVXCspwBjgH3pgk1GymD3&#10;lp52M/Pb84J9utUm3sZTjGLs3qckbeBzskDxE/xKMj8qLbTbmxvobq1xKInDHZ1x9KurGTMeZEP9&#10;08k1LCNkmUUqw/utx+dLn7mjodmdrBJ5g3L91hkVoxzBlG49ByTXG2WsTRPiWNZAP4gcGtdtUFxE&#10;Vt5Fjc9VcYJ+h6VnFWehhOlLqX7vU4bcj5sn+6OtcxfSJcyOdigP6cU6ZJklO9CjHkE/41BJ+7G9&#10;lLH1/wA9Kq7NoUaaV9yMJIEB4wO2Np/KqN5fxxv/ABB+56fkKnkeR4SdylScFSP85rNms5pGGQxY&#10;HOD0/wDrULle5b547ajpr9GdRkqTyTnk1atrjzJAUMcijjG7n865670W+ur5beNC3yhgVHHNSR6f&#10;quiMZWspRGFO4up2/jW3s4taM51XnF2lHQ6231C2stVt3mCtIzBVUjn6D2rd8TeJtMhsUtgEEszb&#10;gEXlAOua8pknMxMrMS+fv55B/pUU15c3MyvcSmZ1G0E9cVf1W0k76GMsZdOy16HbW1xDOPNhMmzo&#10;QpyauR20tzN5EagPJ8q4bGM9M1y/hmZJL5rSWZYQxyjn+96V2Lz/ANmy2UnnLgXUZfK4JXdzzWcq&#10;PLOxusUp0tdzL1LRtW0uRDdWbqh+UGP5wT+HNR6faar/AGqk+nRPE6KWLyqUXb36iu58Y+JLOxms&#10;0W5hLc5RXyQCOp9K5PxJ4strTQsWUonubg7TIoIVR6AnrXQ5N+7bc8SGXQpS9qrqw+y1iCyvr6/v&#10;blLmZYyh342JwflA6kknrxVaXUtBn0zy01R9N1AYk2lCyMWGcZUduma80jaWSbeCzOeTjk1634B8&#10;FWM9sL/VbOSaRydwZ8BfTOPWib9nG1zupx9o27XZJqT6VpXglZre4jvZ7iQSPcA8k45A9BxjFePZ&#10;eSRu5ySa9H8e+F30VEisImit7t8iAOW2nrn8cCsLS7VdKtbi3utLee9uVwjj/lmvqOvNFJ6XuKst&#10;bWsc5YWZuLlVcEITjIHX2rcudPfSXinjPlkcg9CDW0lveXOpWsTafHC8HymXO3eP5H8s1H4ngk8k&#10;ebncBwAKUm3LcunZQempgajCYo4LqBo2Nwpdo0YEoe/Tp611ngDxzf6BeW9nIwexmcI0RAG0k/eH&#10;vUng3wXLrOl/a54S0Dn92c9MEg/yrnLvT5dM8RPp0wRJoZkySflB4OfpVwqRk3FGM6cormex9C+J&#10;9Kg8QaFJby79kmCDGcMeemf0rh/E2ozP/Ynh2JVIQCRw5/hXgZ/X8q7TRdZt4dGuJtRcRJaEtKTz&#10;tXrnivMtY1i0m1Kw1q2Ro7ZneHL9ShJIP4c/TNTT+IUtrGrrt/aR6b9nlwzykIsf97mqOiaDoxS5&#10;guXcSu263dZj8vsPxpNY0Y6i1nd223y4d3mp/eBxjj8DVDU0jt2jWNWjkRcoAenOf6VcqbmrJhTq&#10;qm7tFnU/E9zpOom0Mf2mNQAHQAE+xFcXrVzfazrBnSzdMqNqA5yB711FiWmg/erGzZJJdQT+fWlW&#10;BYb+JpcRxcrlVA+nepXuo7ZYZSSnfQ4G6hvhIfOgbjoo5xU0Wq6gtt9mjvJoocFTGp2gg9jjr0rq&#10;dWtUjujJEdykDJzntXL3Xz6tt68gVMKrk7NGNWgoq8WdR4C1UJeS6c/KTruUn+Ej0/z2rr08P20u&#10;rw3dxBHJEr4dHX5f96vN7dm0TxPa3hUiPeJBgdR3r19ZY54VuYnV0Zdy4PUdxUVJa3LpQbvHsaup&#10;6XBZy213ZyRpIn+qA5I47D0xXP6/FPfafNI7iW6x8rbAB9MfpV6K3iE4kSIb+gbHOMZFSHewyUAV&#10;ipORxgjmsXVjayNlRk3d7niE07yXLxuNrd/rUcjvLL8wIWu/bwIdV1S7uWnMIZvkCrkHjPPPFRTe&#10;D7ho4rcxoyA5ZlyGHqM9/wAa6FONkzllGXNJIZ4f0eSawEoVSGGd31rtPA0FvbRXE8qBZ4cqWxyR&#10;SWlrb2SQww5CiMKQAeAO57VFYXUS397CEyxA3ENxz7UQd5CqXcLMoa7rU+p38kNmwHYt1HWr+seN&#10;bg28FnBZrCsShXzyGC9fzrJhiitb24GSnzHBzWfqbgMWyWOepPWsKlWbfodtGhSUb/id2t/aeIfD&#10;9xDPGRIi5Gex9q4q38A6pdwSTyQFbdXyWUg8HocelaHh6eWKxyqAhwRz0rsNM1e50lMQKGiePJjc&#10;8Zz+ldLnZK/U4I09Wo9GcfpXw/urCxj1e4uIzbGQ4Q53EdB+daN9bmK6ie2CrgEAY4rdudVu7mBL&#10;SUJ5O9gEQYA7jv71gaxNI0MbKuABngVlUlzHRRg4vU2tS8NW9x4RitLtvnhTzTMOobq39aS1u7yz&#10;bS7axCT6a8XzSSvl0AHFc7bay2rwvp8sjb1GHjZvvDpWMI9Sjn/sy1ud8iDAAYcDp+dEpt6xCEUo&#10;uNR6HqNndxatDN+6TYGaM4bduxwfpXmvifw+1nLPDbrKxVcqBznPStVby38GWCRyXJR2+ZxuyZW7&#10;nFWrTUl1X/Si7EsUAPp3puV1YzhGzbWx4qj3PnovkIdx2KzAjv1zXo+gaNOLVMiMDbyeldVOI7pA&#10;ZYondAWRniUlT0yDjioXtlntZYIk3jhTGnBYDlgPqARTlJSQ4RcNTmbbSZ/FmtyW0d20Vhb7VeSM&#10;8MwGT0644FTW+gXVjrl5pyxvcsqCdZm5BT057/4VQ8JeKT4fnvzfpJawz3RJTyv9ScA428YyDj8K&#10;7/w3dtrGpS6rIreXfL5FvG3B8ofebHbNZuTTs9jppPlfPDf+rmL/AKMrgiPaOW4x0H/165XxNrRt&#10;9a0vyZCpgmErkDpk4/lmtbV1k0nWby1t1/crMFAIz8vWsC60N9S12GSOQoHK7gwzxTTXK5MyxHKp&#10;WhsbXxF1m6/syxsRIqwzHefLJwwH/wCumW9uv2fImXeV4Zeh+XAwRWL42tnl8Rx6baqGWGBSMHpn&#10;1/St2ytJBp8KCMsYlVWIUHP9azpRvSUu5ftrTsW1N1EsXlPuCDkA5zgcVd0q3efzJrk/O/qOwqgB&#10;JuCouTu6Hgj8DW+ipGgDYyRluMfQUcuuppKd42Q17VwTwGB7A/0qKR5IwA0efbpx+NWWMgYnGccs&#10;Bzk9hSfaDgrIofsfc+go5UZ88upTkMZQF2ZCB6+tRW1pFLL9pDFmHqMVYvEiW1eQAjavQHgn0xUM&#10;NzD5SRgFSMDHqcZ/KjlS3Li5SjoXDcYBDgYI4B9PemSxQyqGB2Z96rtI7NkkMvXJHX3px2vhT8p6&#10;nPb/AOvVKxm4taointnVD0kU9hwaoLE7OY03A55DDgVrKr7z/cH+fzqrIs5uJGw21sKBnoO5odlq&#10;XBybtceiRxofKwDnBP8AhQZXhOc546HoKrtKHcIQcbd3HGBngU+R1VBtIODjgZA+gpRdwlC25xcQ&#10;+Zk+cZ/gPf8AGnW8IEudhXHofl/GpIoM7vmZgP8AlmeM/jToUbJAUg+hPy/jWFzvtfcljhUMZGwc&#10;dweB+FPjZGYnIz696jjjdGJdQPR88VLCuWyMH1bHNLUeiLcE0sYwJMp/cYZz+dSH7JcfLLE0JHUp&#10;yufcVApXGAevbuai25OwlgO6Hv8AjTUnsQ6cXqty6bESxhoCtwo6tH978u1UpgtucOQFXkb+B+Xe&#10;kjRknDIHRgfl2niszxVqE5sUgkZHaR8GQDnA7Zq4xUnZGdScqcXJ6pFrwl4jZ/FLQzxxG2kDeXnq&#10;MY7/AIZrV+I2to2lrYQFCZWHmtHjhfQmvLif7rFWXp6097iaS2WOR2O0lsk5rp+rpVFJbHnPEuVN&#10;xluQM3ltgkkHoBSKHuLgpABu9CcAUjMCTkZx2qaFxDiQJtDcHB5Irrtc42PUKoSRBIkiqC27+8O4&#10;/Stdr7V/FV3HYWFtl2HCIOfrW3qtz4aufDkFlaRiC/VAJJFUOScevcVN8MjpsF95Uk0kOpGTAP8A&#10;DJGR247YrGc7U+dLY6KdNupyN7kmkeFrnw1Oz+K9MjkW5HlQSTSBlRj3bn0rlNf0WSS//wCJQlzd&#10;aeDsil8vame4B9PevZvHcthbaBKL8TTtN+5iz1BOeRkdutcRH4va20ZdIkjY3MaeWivGV344yM1M&#10;KknHmsVOlHms2c/4a8O3GppJa6bG09zGu+baPu9q9L8Ozy6dZm1mgkaMbRJk8gj1/KpfgpClvJqy&#10;smJXm5J612Gt2r2fjDT5LOyWb7YriVSdqtgck/ofwp1bVIuL3RnSlKnUTWzMW+02bUdIOsRweY9p&#10;JxGw3ZjA5OO5qrrGi2L2FnrVhbq0Fwo3LjIjb2HpmvSIbuygjuIPkjWD/WDGFHGa566ubBvDtxp1&#10;ptd1QhUC42k8g/rWalywUZdC7upUco9TgZpYoV3yYPHTvXOeItTtDbvBP8u8HGBlj2rQHKETsWl5&#10;3DPPcc+lcV4ml36q68hY1AXtjilTi5M6Ksowjpqz03wHb6lYeDo8jzEmJkt1BPAPY/jmvNfFWl6l&#10;Y+I5BqUqPc3B81pBnHJ6fhivVfhu0134NtsT+WkcrQ7i3TnI/nXF/FoNDr1rEWBlFv8AMR25NOjS&#10;lCo5XOerWU4KNiLw+ms3wuNIa6EXmQ4QOBiUZ6Z9K5+9gOnzy2WooUmQ8xnOR7g10vh2cahpRljn&#10;EV5ZLuVs88Vi+INRmv5luLkKXUYDAdR9a6alR05aLRmNKkqsXd2aNzwV4itUmkt9SuFSKNco2eoH&#10;aq+uzJN4nV4c/Z5wGQZ9f85/GuNu5jNMjADCKFGPz/rXUQW8t5oT3ZQsyYZX/u46URpyk20ylVhT&#10;aur6mzHcKpWOOLDKo3HOQx78dqqapIJLZmaNUKfN93rWRa6lqUyEqiHDchgDn+ta2oaqdT0S3sLi&#10;wtofJ3F5I87pM88//rrmc4xfmey589PlWqZXsJLO/ia3mBWTbwV4rDXQdSm1hDaWk1zv5UohPQ4P&#10;0o0hR/aSqrEZOFH417b4emj0mXygMxHljj171tVls1uzxIqfK0tbHD6X4Pl8X7be6c2MtkMhtm7e&#10;D+PtXQ6dDHplpHYzsvmxgqwznPboK6w3tpp9+8unQLMJV/eZO0J9OOaw57O3n1DzZOHYnhT361y1&#10;UmkrnVhXNSlJrRkX29IuIzjbgY7j8qrG4nu2BRHk4PRe1bSWtlEuUhVud2ev41IZFRflUAdD7ehr&#10;NUzodbsjBLC31FI7qNFBTKMRyvHTNWHYZ5bLA4yPUcg/lVnUrX7bCkjD95G3YY+tRKIAuTjO7ON2&#10;e2KUm47FRjGSu9xY5EIyFOOOvoe1Uo4Gk1OFrO1LzzjyZFDAZUZOefTFWZLhYyAoXnAwMVk3lzOs&#10;8RjupLORW+RipIJ/AU4TkpJlOjCScX1NX7FbC8mM9ugkVgGHDcfX1qtd6JZXCO2z5trDjA+Yc1ct&#10;bdbO2SN8yP8AedyfvZ6/rVqNxjhF6Z6nqP8A61bN3dzm5OXRbGPYadLFoa3SeWYg3lHY/Kc/xD6V&#10;aEUhiJ80HO7HPrUF9owaZpYZZ0iLBjDE2FJ9cVYjt7xFC+XKfUY4/nU1W5tGtKMKcfde4gRiAfMB&#10;wwPU9hVeKGeQgJISdm088dau/Y7t2JKEDvjjP60sEE9rOokyFfgZ/wD1msopplymuVo43TtK1a38&#10;QvfPFEVKEFpCeBngrj3xWjF4dubZxJHeFpvML5Yde/4V1DfdI4yFI6e9IT86gAY3nPHtW/Mc3Jvc&#10;4HUdHvLrxbbXFzbv5KR7RvIdZPlOT+ddGiSwOFjhCqXZgAvHA4rQv/Na3TYAckZ4qliRQoZlGfTi&#10;s6km3c1oxSjqPE0oZVdeu1f61Z0+8CaxZxLC5Z2ZsL34P+FVw7rwu845+/U9lo+qaifttuDH5ALR&#10;ySgDLDt71MeZ6FT5VG7INU+Ho1HU7i40/wApoJ3Es9nMSrBxj7p9D6Guw8P6e1vAk95aC1khQrHH&#10;kHYO/TjsK821P4m61peoCGfTUjnTiRWyufoc/rU2sfF2C+8NzwW9vLDfzJ5ZOeEB6kGqcZyaujmc&#10;kne9iTxGTNGb2WaKVpJ2MXlc4i7ZP+f0qvA8cEtjdbVYFguCcZrA0nVJItB2tbsI14GT1HU10mn6&#10;cNf8LQ3W6K3ijldpFJyQi9MHsetbKCUXFmU7zasV9QaHUdYluLaNI1GBLKFHOOi571b026LeaoG5&#10;UIxx1PYVTa5s5Lcx2PltEo6qwAH4dan0aBreM3DNtjGdoJ5Y+tS0oRUI7IulFyd2aTmYzxdOCWYn&#10;ufSkNxLGQZVBYKGP+8TxTTI8yRyyKwTJIIFD7yFCurY5ye9Yttu52RirWF84CQlSQwYhc+vc1Mkh&#10;ZdxOVA4J7D1NVSm8gOqqxB5B45qldxXAidIs5kcYAPYDAo5mV7NPQvi6S6MqxD5Y+OcYzSNHHtYE&#10;jeecjjrxUmnaZHb2mxpSG6sQe/pUk0DLlUUHoSO/4g1TTerM1OMXaLKfllX4k6cgd+BgcUomIaMO&#10;uTnbnpz3NLK+G2yRYYn0/wAelJ54fA2qeSB3/wDr1KVtiua+5Se+kluBDAWUMcE1fk3AgE5zxkdq&#10;W1sUs33uA8rEnGKuyCGQBpVAYd84A/GqSb3IlOKlotCk6rksYxlQMk8E/jVWcOqbYCdwHCnr15NX&#10;ZrOTBaJix7g9xVUS+W/lgBXQfd9c/WlylKascvGokjZWcuOyL1p0EYwQjFv9hugp6IVhJfAB6NH1&#10;P1pURthG7zFP8K8H8axO9oWNSSw24IHf7opYUKsWI2/7Y6CnwLkEAsx7RtwKcmS+0IQ+Oh+6PekO&#10;24sZUFmyp/2u4pFdZMpvO0+vWiKP5slAcfxjoP6U6NT5hZSr453HqKZNxiwhGIUsg/uHvWL4lsi9&#10;g0gjIkiYMdvIA710UKSTsxif5V+8zjGB9ayNb1CO3tpbS1XdvUh267v8KumnzJmGJmuRw6s89lDR&#10;lXHJ6UGVthYgD2zUhAlG1jtx2qI25V8jDD9a9RHh7CLMZp8v1wAMCpVB+2QoJNisw+Y/w89aQWt0&#10;U3LbzGPPDiM4/OvQrbwLo954SF42out4Yw2crtV/7pHXg8GplUUdyo05TvboUrnS76HV10wxxXMk&#10;n7oeWBh37HPp0NRazo9x4c1VIGmRbyIBleN8j2qL4f3zxeM9OSds4m2rk9SRtH9K1fEltBbeOb+P&#10;VhMtuWeRGQZbJGVAz2yRXZSatytdDnlFqzTMy41jUfE+rWEbMN6fulDMcFmNdXqNtJqN82h+IZli&#10;1GFcWdyMAIcfdOOqtxXLabp5lmj1A/6PaxuJDcMDjjsMdT7CpvFevwahqMNxbrK0ig75WAUkduB/&#10;MkmnGEaceRbFzlKfvy3Nnwf4kvfCvjG4tdR050knx5is23af73vmvYdQ1B9XhtZLUSRyq+5Wibnp&#10;yK8bgvD4o0J45I5ZdVsIzLbzfeaRB1Qnr9K6f4ZeKBrFhJAzeXdW7cITnjsa83FRnSnzdDrw6hUh&#10;y9Uen21t5yM1yCzMQTvGMkDHIrH19bS21qyIaOOW4RkCDgtjBz+VcNrnxa1fRLu5sZdJgE0TFVk3&#10;tgjscVwOneIdY8TePLC7ubovP5wCjoqL3AHpiplDmi+xNN8k0dVqHlnxVc6bbssc2/dz3yM5Fcd4&#10;wtvsus7C+9miUnAxzyP6Vr/EUSWfjUzxsUd40dWU+nH9K5DV9RnvLmK5uWD/AChC1XSjomOtO7cW&#10;dx8L9UkzeaaZG8vAmVc8Z6H+lQ/FGMG+0+UZ3mJkJx2B/wDr1z3he/TSvEVrdFwsTEo/pgium8bf&#10;atahS6trdmtYGKmccqWOPlB9araRk9UcRZ3NxprG7jzsI8tx65rqLfSG1jw7LdoWbylPAHO4DIrI&#10;mE9jpMmnz6ezSuMvvH+r9Grsvh2k39kTqU2sJsDHPG0dR3FE9rsuG9l1OH1Cwu7aw3NaeVuIy7DB&#10;47YrofCWo+b4fvLOQYPPFejTWFvNEVkhjZiOgGcfQ/0rzLXLW90TWPOYE28nyhwMDHp7UU6t5ak1&#10;KVouxGkywwbMDcecCq1y0rws2T0yTWvodhaardtFK5DY3LjvXYL4btRZyRKqq5GAx5x/9asKlNRq&#10;O52QrOVNJHlNjMtpdQXC/MVZT6d69qt5lmtI5I48uV3Kf8+1cBqXg+eFUMNq+F6kNuUn+ldTpdxd&#10;xadCkyhNq7DuPp/WnXvNKURYeKg3B6m08J5DOBjeABzwelNdlSRW2jCnJOeelQxpd3SfuIyv+0wx&#10;n6Vfh0wOgE8uGx/AO/ua5fZvc6faRSHwyRyRh4myG59OaFfJ2+WM9MHn8Kxrbz9N1RrRsNE5yD2q&#10;099lRl8ykjKRKWPB9B7VXP0J9l16GjFIcskx46HJ4I7Gqy6ZbShwsjlQxyqjv9arLDfTYMVm+3bt&#10;3TNt756da07a2kit8XGzzi2SYycU4tvdEu0dmRW1hbhsCLP1JxVXV9Eiv1VlJjePkBR1+tarAgjH&#10;TqaR1Z2BJx6gdquxF3e9zl01Jlt0ikmTcoZT69OP1pY7/c2IpJHO7J2IT25rp44IArPHDCp6k7R+&#10;dSRnk47eg7f41HI+5q6vkcwkk80kUarc43rksjAYFdAVYPxnHfn/ADzUyu0ny9z930qMHaTkkL34&#10;5qlGxEpuT1FYY5Bx6j/PaqOpxy3FshjjMjK4O1TzirWCX+ZQSeMUAMJMc7fr196HroJaO5gFLxSW&#10;eyuOjdMHqfrSNLcIp3Wl2Dkn7meo9q6QEqSSPlHAH9KazMzlxkL2qfZov20jH0eSSSRiyzJtQAeY&#10;pH861ipbCN1J5GOnoKSQs3zdWOBtz0PajB8skHnuc9R3NUlZWM5Pmd2MKQlj5kEZAHXbzWVqXiW7&#10;Nq+k2kzRIiEEqMFe+M1sbPMUcdMZHr6Cs6+0eHUfmLukgBwyHrRK9tAjyp+8eTX2g3zSO5YSkkZJ&#10;bJ5+tbvw38O2174n8vVbVJIRGWAlHG4EYraudB1GEZjcN7OtQx6dqEUe37JkgjmOTB4qYynHoazp&#10;0ZrR2Dx6q2dzc2diqsMlwqDoo7fz/KvO4tbu4Y3tlnlS3b70WeOetelQaZdyElbaT7RN8io45Arm&#10;tT8A3lj4ht4bqaNo7j52UZDADrxW8aiS945KsLS91mLpEUctwJS3U4HPavRLGJZxHAB6nIORisCy&#10;8NPBq9zGDtiRzsGM4Hauu062Wy3hZFaQHYAD3rKfvO7OmlLljZbmmreTCI8fL6fyFV5LSB5CxQBh&#10;wSvBJPb0qRptsi/KHYnC/Xu1OBQrlDtIB2k9B6tTuZ2a1Rm3OnSrv8iQNxyDxj8ahs4p4JHkmOFT&#10;INa20JHkH5f4Tn7x9ayIvOjj4fzNu5j3+YnjiplZGkOaSd2XC5eP5MRkDOG/h9yfWmw+bApLdDyo&#10;bn/gRqMuC4Rx90jj+83cmrahnQOuGB6D+97n2pqV9hSg0QApICroG3nIz3Pr7Cqts1tHMx2kvvKR&#10;gnjI759Kla+gjuBCBulb7zL0/wDrCowsTrhcLw2MdeaUpFQhvcvI7YBLeZnvjk+y+gqNo1eQneo2&#10;dj92P8e5qlE0i8QyfLlU47LjnjtU0c6Nt3FRjlRjhR647mkpBKnbVDwZEbYoYKeTnq/+AptwsU0Z&#10;8xVYD16D8ammmitoC87gIeu7q3+FVILlL0s6IyQjhR71fMjPke5z2zZADGRET1D/AMX09qeu6OI+&#10;YohJ/jXq3/1qbKjeWpKGZR/y0PUe1LANsJ8vL/3g56ewrmaPUTQ9NxRjIVaP1X7x/wA+9KoBU4cu&#10;p/5ZngmlhClWKKYn7sen0qRFbaxcKq95B/SkNlWPYJSAHR/+efYmrtpY73Mt0gjjU/wnGT6VYtbY&#10;wgSzncjD5Ex8zf8A1qlkmcPlgBgYAVioA+h4q4x6s5qlVu8Y/eQ3m94tqpsjHQL/AIjrXH6rpz58&#10;0biPz/UV3aqnliR0256ZGCfxHaq09tDOxkkCN7+n4jmtb2OZRvoeSXllJvLoOO4HWqyIVP3iD713&#10;2uRQRJuwFx0zyeuCM1yu2K5uAZcpH0zitoVW9DGth0tU9Ts9B+I0lrpUel3llbtHGmyORRjP+8Ol&#10;cz4jknB+028pjs7hvmgQnYD6/jisQkxuVz0OMitDVLee30yLdIrxyAOoHaq5YxlddTPmlKDT3RnW&#10;100F7byK2143DK2eRzXqnxBtv7Y8OaX4liAJCCOYoe5/oDuH4ivIicSKeefSu68IeNDo8Daff2ov&#10;tOkOXhYA7T6jNdsHaz7HG1dWMBLiHAbeAAORngVv6dokGpafDdNI0RJYZ67xnjiruoeHPCWq6jDN&#10;pmsG1ikGWgmQ4U+m7t6U9rHV0uDZWtmZmjUKgt/nRFxwNw4z61pWqXj5Ewi27Gp8PrP7Pqt/t+cQ&#10;W8vHQHtWLq1jD4Ums9f0LMJ3hZoSxKsDXSz+Gv8AhGfAuoX93dOmpTgD93IQBuI+TA696zLiyGp+&#10;FzB1Yplf94DiuerXhVVl6G8aUqTv1NTxDptt458Hxa7aJ5V6kRJRv4wOqn8QcGvO9Nt28Pa1b3ih&#10;sx/MUb0IqraeKtT0+x/s+KQxxqTnGeB3x7962daZZGSYOXBUEMe/FcNpxXK9jui6cnzLcy/EetXe&#10;vasLiaJEVV2oASeM96yp13QMp5qcuHlPB4HU1PYRedqEK8YJ4zXRF8sDkmuepbuL4e0WfVLkwCYL&#10;tGQWr1+6vIdH03TdGso3+ysczNIp4YYxyeOTk15sW/s+TehKOp6j611+leLLLUdLktNQUN8hwTRT&#10;lCo1J9B16dSjeK1uamv2FpATeyxLNb3MYjlCtzjrxU+hJp66eE0xv3ecnB+YN05rj/D091rV5/Z9&#10;xM5tUDEEnoO1a0GiXek6jGUdvLZsb1OBj3rPESfNdG2EpxcOVnVmdIA28biBnC9Dj+RrF8Sob7S5&#10;omUBDnt6dDWoRGCxZg24kgY65HNVNQha8hZAWYEcgCuTmk9jsUIR0Z5xoi3NprEbLOIjGfkZuBJ/&#10;sgc5z0r2KW3Ns/lhTuIB55259q8l1WzlhmiUo6SxSBkbHBr0W31qeWCFZsGbyFd3bsf/ANQrqnU5&#10;qanLdHLCklUcIGsDkHzsKwGMnpj/AAqBru3VAUQM4JA4464rPWa5vpCttC9x1G88IBkd/wDCtG10&#10;Fg6zXlzlgdwjiOFB+vU1z3lJ6HQ4wjvqWkaTPUge9PZ9p5HBq0YlZQSOKTZtB2888g1qYEEkFpdl&#10;fPgV8HI7ZqVYYIBi3RI1HGFXFK2CRgFD7dKYI2ct8wOe9AmLuYrnPfHtSMu9ehDDnIGaE3I2HU4+&#10;uKeSA4JHFAyNEYgg8+/pSIpyV5wflP8AhUxAzjP5daGGAoUe1IBjDYdn4n3/APrU1YtrcZB65PP+&#10;SalcZG5QCeh/z6UqgGH7xOOcnrTsK5C+1BkLnPAH9KRl+QP37/4/4VMF+Uq3ftnp7U1SN2OCM8+5&#10;9foKLBciMW5MkEHoR7elO2DaFz8x5z/Wn8l938I7+g/+vSkEEcHJ/wA4oGRlF24Y4HYY/wA9aiY/&#10;Nt6DOOnf1+gqxMCMEHJz/wDrNRuAVzyCB8w747D8aAIAnl+pBHf09fxp4UxkthsnHHT6CplUvxtB&#10;Yfln/wCtTkAYkdgOD/M0guQSDaBs4J7+nqaa8YKA9AcFhnt2H41Ntw251xn+H0HYU5kaPIPLsefT&#10;P/1qARAcOpIHzA9Pf/61QEK46c/qQKskAH5Tx0B9u5qJlCtuAx04/kKAI43licOrMsoOQw6g+lZ2&#10;q2kWqTpc3pkecDh92CoHpWqyZBx16H+pqHAcjKdsnIz8o6UDRnW9mIjhU+c4Zj157Vj30F/aXUjv&#10;ZyvEWZlkjO7PvxzXUNHJkMcbh05/iP8AhSoqqwYP0G0cfmaGk9yozlHY5ay1SM7VEwZhhSr8EAde&#10;taaahC6AzgouNzY5zzwKu3tlZXRJuLaORsZLY5Hpgisubw9KCAEoJtfZW1uiVJGY5ucfQ1HK1sWq&#10;kZfGgjuJdQvS8QPlJ90Y6+5qcxOMnhSOu3r/AIirtpapaQBFI+ZuW9QOppzvG+Q67iRu5HTPQVSh&#10;pqQ6ln7q0MoycjzFVjz82cGo5B5IcQufugbScZFX7iyV93lkdcYbufY1Xs7Jo7je7nyweFPOKlwN&#10;I1UV9O0rDNcXBIJ6DOMVNNYSqWeJVl4wueG/+vWhL852xcnsrdvc0xGaMYZiffHLf4VSiloZynJv&#10;muY2VRtskbQyAZ54/WlDRbvn5YgZxwcCteRIrmMpKBjHQ/w/jWadME07CKUPEvBJ7UnAqNW+5mTW&#10;M1/eNtYmMH7x6VspYrBbJGrncO2M5+oqwUhtrcIG2YGAx5J+gpnzR8oW5/iHLH/CnGCQp1JT07HL&#10;zPv2lZSjD+AdBTHBZF88/N2KdKJWKYBQmP8Avk8n3zS/OYx9mAMZPIYZJP8An0rnZ6KiyRAUjxu8&#10;4dh/drUtrRLaH7TOG+YfLE3T8faizs0t44554sSkZWEHr7n29qlczNIXeRgx6kbl/wDrVcY21ZzV&#10;KvN7sSCRzPJ5hDMT0A2uB9O4qaIeUPMb8EJK5+oNPCBUDyMHyOAQrZ9/Wm5O7dvAz2yVz/SqMkui&#10;BpG+8zDHuv8AUVTu7gRhHwWdmwkY6t1BFR3V0EOdpcsMKgHzNn/AiprC2ZGa8u2Vpn4GDjA/ugH9&#10;TUpcxo/3a8ytHpCzK1zfcO3TIPHsO341j3vhfzt0kI57FRkD8q7Da7NuyVXoMAjA/DIpJN/ls8UZ&#10;ZF++/Hyj1yKu9jNQc3c8l1bTZrNh5qEMB27iq0X2m8tXtYyGC/MAeoHfFdjqkN1q8imytzMqE73P&#10;8R4yB6jjrVb+xP7NQXBVopXbJBX7p/u/St6crpKRyV48rbicmNKcxjqZFOcD0rZ0iOzI8qaQRNjl&#10;n45rr9O03T9STz5LUCVflYoSmfp2NZ+tR2mnEPDEgDDAUjJcEZBP61U6tvde5NLDuXvLYmtfDNjc&#10;YeO+ZN3dMYNdvZz3HhvRY7fS1inRWLSCQfOwPXBHevM9BnhS5JnQRls+WFOBk+1b6+IPsd0IbplK&#10;kD51zg/n0pOq3Hlew/ZOL5kY3iPWNd8R3klv5UiWyPvWADoff1roPC5kfToY5lIdThgRgjFbFvEs&#10;zfabUqwkHJ61yMPiV9IM8L2jSXYlbCOdmeepojGz0CpK6u3qcp4j00WeszxqCNshAHqDyK7fTIbb&#10;VYoFubSONPKVBg9SB3PasiPTj4t1Q3hMaSMcSQq3KgcdO9dtZ+HILdo0AlbGMYfOMeoPNDly6MXI&#10;37yOXvPBN3qV9IbMww28OFZpm24J5H1rP8NaRKni0W80LuttuLsqkqeCOtdjMt7DeTtFp08hEhYP&#10;Gw21B/aNzJNltJud2eXAA/M0varlsEaUue9ihr3gSa8iefS5hu6mKQ/1rhbeC6tDNaum2aIkH5uM&#10;ivavMYxqMkAAFievXBFZkPhrSX1B7iUhZm+Yhh978KxU09DvipQfM9ehgeD1md1l+aMoApifoR/W&#10;vQ4ghUo4zkcKTx+dQ/2dbeQIo41CDkL0z+NSs0cO0P8AKeAB/Lj+tF0hTqe0ilazRUGmIkxcuwQn&#10;JPUj29qvoFjXZEqhPpmsu5v2eRYMtl+FReWII/pW2YDGiq2WIAGRzRF32M5pq3M9Tm9f0JryDdAh&#10;84HI7VoaToVtBDG91GHnxlgWyufp3rU8og7lOM+lPLYXDYyPQ8U7IXM7WJGcKqgKFGOFA4H4UA8d&#10;d2OoqEMSCGGQOakUKQQRjI4B9fpTI2JBgqducjng0qPzjIIPqKiGVYZzn9f1pwGG+nHr+tMW4/HP&#10;PA7+9NMe1sqcemOlSFejKwye1B+7kg+lAhrg7sgdfT/CjAK+h7805QWBwc98GkH+0MD17UAgVM8d&#10;qXBHXpQFKsD+NPBw3HWgZEoAbD8546fpS7QmNvPORnv705kGS3Utxj+lOVeMge31/wDrCgGQupBy&#10;OM/p/wDXoMRZuMehGf0qVBvYKOvUHH60AgNsGdpHPsP8aYBsDJlfwPr70wKAp9h1xU2fn7AD+XpU&#10;Tnawxzz+ZoAYB1z+A9+wpQhi+8cnOT7mn4JUMvB7f1NNwGGDxgdO+P8A69IBFQKAFJG7v6D1pWiA&#10;9x3H8hUqcBt2P/r9hTclXIznnHXqe5/CgCELucnqV9up/wDrUm3Kn5gCRhT7dzUuzbgL06A/zNRy&#10;8kcHDe3QDtQBCOFzjjqAew7UxUMZJP3u/uasMhZhjqvLAevamghm2DqOASfzp2C5W8pt2eobgcZ4&#10;7mkO7buJwM5APGPQVYbcygDhCc59FFRtGN4Z3Hyncw/lSHcg8vZgM2Wzjj+8abHszjGVXKgk9QOp&#10;qwo2szAElTgehJppQbQqAAsdqkdcd6QyAsRggfMwLnA7DoKjZWVeXy4G0DOcMatvGXVcghCdxz2A&#10;6VX2BHLM2Sh3HHcnpTC4xlTcEBJ42cfmTVfcd5byxjlsdeBwKtYVQcL833Rn1PWmbGfaMYQt1HZV&#10;oApXSzC1lfJ+SInJ9TWdp2oZjjCuJVAC5zyPU10KkRhWc43Eu307Vm32j2t07ywZtrrj99H/ABE9&#10;iO9KS7FRmlo0S28kc65ixk8hW4x7n1qb7zBeXz1bufp6CubkS806TbeoTCCoFxEMrgHuO1XH1l47&#10;YmMpIH5DZqOa25Xs+d+4aNw1vbqC0i9eE9/61lxP5JLxsSQXkdCMc9uKrafa3N9cG4IZj1Eh6fhV&#10;kPJCfLkQA5weMf8A6qG29SoxUW43uWIroSj95kSkDc/U5PQD0qdUEJMaglupReT+JqmrKWBdec7s&#10;jrntmnRTm0DeavmQooJ56sT60J23CUU9jBKM75icPJ3Tv9MdDWlb2UdrturtV87H7uInj6n0ptlY&#10;xRoLuaIrj7iHJ3e5HYVJJK00hZ5Fye24j+YrOMbas2q1Ob3I7dR/nGZyzfMzdcqrYqTiBQ7Lx/CB&#10;uXP19qiht8jcw3Dt905/KrDO6ZMi7QB1KsuKu5ioq9kRCaOUnIYk84yGqne3MdvCzk8NwioOWJ5X&#10;A9c1LeXSwoZHb5F5GeTu4xj61Fptu5lN3eBUwMRoTgxg9uepNK3MaNqCFsbR1LXV3Humc4CryEB7&#10;D+pq4AXb5mx2xnA/IirABlOdiN6fKDgfhSyyhQUVju6DBOAe2QaptIzSbfmQM3lHy1wG/vLxj344&#10;pmg67CmrXlo0DzW86/KQvfvj25NUirajcmOLHkA4kIOCSedgrcSNYkRY448qMZ2dB6ZFKK+0ypyS&#10;9y1+40QxxoIoogoAxhQOB6Yp4ii2ESgbe6N3/BuKkD4XLDKjrhg36HmszUbzYFCZdmYCOJT95uCO&#10;KbkTCCZHc3ItisdtGCzHbDEgxk8EHHb3NPg8MI0ZlvW8+dxgjaGVR6AdhV3TNOa0zd3bK104xg5A&#10;Qf3R7fzrRxI7bzhh64zj8RzQlbVkylzaR2OJu/BxdmNvjk8BTwPwNZVzoZsYmkuHBC8kc4xnB/Gv&#10;Qb++jigcO4VQuWYnIAOeRnkc1jf2LJrID3zGG2+8kXQnPcn+lS7yehomoK8jlfD3iAWM0kZcrAxy&#10;voDUWrT2HiPxOqTFoU8oRxTr13dQT7c128PhHToGDm2jkXsHHT8RVGbwZYx3v2mOWSHccmIYYAZ5&#10;we3Wt4VFFanLOm6kk0ZuleErvTNQiuZrqCRUJcFM5fHrXRNqcgdvJl3FdykjkcHjn6VJDDNqs3kw&#10;s626HE0y9SRxhf6mt1LK0itxBFEnlKP4Rn9KylzT1bNo8tL3UrmPb6yrPi4jIc9GSrbM07EscR4x&#10;nHPIBH40+40i3MRlWTYF5z1A/rVcJIxaKNwW4UY6H2FZWlsze9N+9FWJJJcSiIYQEZAH5/nUVzpN&#10;1NarLsyfQdQK07Gxjs8PN88xHfnn+tXlfc465zn/ACK05LrUydVp+6cdBf3tm5hZtwzj5+q1ajiu&#10;tSkxaHCZ+a5foOc4X1P6Vv3VnaXZIuIQxB69f1HNWAipEoRF8sDgJwB9KUafdjlXvsrMp6fp0Gmr&#10;lVLzNy8rnLN+Pp7Vbd9wBwQP89qZIoYKUYg9OT/kU5CxRlZR69OTWvkjn8w+V484yVPbk0InmIyZ&#10;3f73+NRq6glSD/Sno+MNnOPxoGxvlbMdQPfkU9FZcclR6GnFV3Eljn3/AMacRwGzj8ePzp2FcDzw&#10;PypxyevbjGKUK4TqCM96TuVIIJ6UAOCl1wMEjnB5oQZODkZ9KcCV4YH8KdjjBOcdjQKxGDg5xnHc&#10;VJgfeBwPelYK2CeD7DpS7crzzj+LOc02AmA3zcD196VVJGOMdcUgBwQM/h/jQjEHoKQDmC9wQaQ4&#10;VTkY4546D0p+1hyMEevT/wCtTCCccY+o/WmJDQduR1Y/5xThgrwcknr6mm4yNowCO/oKeCFGCO3r&#10;0FCGRtkjgnjqSf1oGJF2jIAGTx2/+vUijJJPQdR6+1Ky+WuOvc8dTTERKSCSyjB4I9PQUoQq+epz&#10;+Zp+3o3Vug+vrShcKQCA38JPp3NIBCMkFDwCQPr3NMYbvmXr90ZPQdzT1YBdhJAYevRfX8aDlTjp&#10;xk98L6UWAjzlSvQY447f/XpqjA3MOSc89j2FPKjfk/d+8ePyFDE53YHy9gOrUwI3HkrtAyw6n1Y1&#10;GVBYBDw3p2A61IwMifKe+ASevqaNpbAGdrenZRSAh2ltzNhdxy3so6CmiNdxLtk53sB0PoKnKDo5&#10;x/G49uwpNqopPOfvc/oKBkRACqFX5s8Z9TTGDPkLwCdg9Pc1JIzLvZQMj5Rx/EaGLiPYuSw+QfXu&#10;aQyNxliCcA9P90VDsQn5skk+Yf6Cpwi45YHd8qleeB1poUFs7fvnv6CmJFchhgBVGBnp3NNkRzIw&#10;HpsGeM+tTbm3lsYOC5GPypGjIAJIG1eCfU0horvErHJcbSeMDsKVQoxkdcuc9vSp2hULgsegTA45&#10;71CzbpdipwW2/gKB7kTF/MZAuU2DcAOCTVCXw7YvciZY/LG7/Vq2EY/StSTdK0YJIBYt+AqNoyNp&#10;DYKAu2fejcHpsIojBwnCZ4A4ximXMEN2Asqc4zuHUUxcRxgnJ2jHsSalZ/mYrgEYUUeorW1Rg3ln&#10;PZPuViY8/KwGcexpII7i6cho+G5J7Nj2q9d3rxXPlsCYipZhjrzgCp42V4cxDPqq8Y+pqXy3NFzp&#10;XZiSytNJ5hI9ADuXAqdOUyWbYOM785PpzTooGY/e2juVn6D8akfcwwNxUdgVOagvTZEJ/eSZ2uAO&#10;g2AgfkagnuVRSd2EUbiQSMgHDAippG2nYQRjBIKgYHqMVQig/tK9ztdrZGyMLkO/c/Sp3djVWjG7&#10;JbCxa+dbq6BESDMKMD0/vH39K0jIuRjkLwAH/oaQEfcRtqL1PzLk1OOBvdgQBnkg/wA6vbQx1k7s&#10;jZ0gTdtyxBwCo5/EVl3M8l1cfZ4Th25kk7IvUfjUl5M5lVLdczPwqqOncMR6VasbSLTrZSNryk53&#10;NlS7dyalK+r2Lk+RWW7Jra2js4BDDww6KrA7ffnvU6RvGd24L7lCP5URiRiSUJz1w6tTLm7WJWXI&#10;UL94kbcEc4/KqbIhHoVb+9IQN94AgKByWbtj60umac8UpvbwN57DCqMMEX+6P6ml02z8xxfXAKKo&#10;xCjfKVX1Pua1CPOOeGUdBtDfyojG2rHOd/djsCHzHyWwT3BKfz4qO6lEETBX+bH3iACB65FPmKwK&#10;FAIc8ABjwe3B7Vm2qtqdwc/LaKfnyMbzwSv0BpNu9kCSS5pbEtlZtqMiXdzGRbpzGp6sf7xHp6Vs&#10;KAxwBgdgD/Q0jSowCCM7B0IGR+lL5iJGxVskcYzkZ/Gq0SsQ7yd2JcFYBlWxIcYx8pHbNZAWbVrk&#10;xQgrEp/fydNxxyq/l17UoabU7jyIGKj/AJaydQgOMoPfj8K3kgFtbrDAmxVGMJyBSSvqypS5Fyrc&#10;ZCkVrEkEShFUYAAxgegNOZlRd78Dsf8A64p21VQNu2kckdP0NY9/emR1jhXc8nEaKPvdDuPoBTbI&#10;jG467vmndIYVLzyAhI/YjBLH0FattbLbQAM4abHzMB1+lU7LTxYFpGfdcOMyuOc+wHpV0MCM4z64&#10;/wAKErblSd9FsOWRt4XHB/SlHL+uOlMVtw4A65Pcf/WqQBwwJUnPft+dBIrK6vnO4HnmpA3yhskd&#10;vvUrMDtIIyR3PP504IdjYHPX0qiXsNzlT8oJ9uDTF2Hofw6fpTwuWCkcnj0qIqY24UnH+elAWBee&#10;AM/0/ChlkDnAyPepWRCcgkE8mlJ+UHA9Nw5/WmIjxlc4GRT0ztI6nrjpSjcVPQ+4NPAC4J/WgBIX&#10;Qt3GeKnXB4ByPeozGMgjj9Kew2hSRye+eaYnuKV2vhTj2pB6Hj8KVjuUBjnHpSxoCMZzns3agBpX&#10;IwQOO45p8W5G6nHtzQFZTnH4jn9KHDZ4+YUILDmYB8EA49OtDhXJbH40m5SBkcjqOtGAwx3H6UwG&#10;kPjCY/E0fNjac89j3/EUgLBsnp69cVMcrgg5X1NIBVAiTkZduvufSo2U7/Y9Pc0uTu3E9uP9kU5R&#10;lMYxx6dBTF5jOwYZ4OBx39aMqSBx7f404YC4IAyOfYVEflJ55747D0oAmQDOegx+QppJ3nJx3OD0&#10;HYU9jx0/3vr6U0ZbI5JU88dT6UAMcbm3EHb1b+gpSdykt16nA6+gpwJyRxgdcjq1RkfvMjkJwPdq&#10;AGg44OM56nuaDw2OuMgfXvT3G5srjPRfr3NDKHXIHI4Bz+tFgYxlVdoU54wMH8zSCPKlmJAbk+wF&#10;Cc4XHXp7CiVS4weAx59QooAYQCuSR8x3N9OwpWCkbznj5jz37CjYOhOC3PH90VIdhyCOANze3pSs&#10;BGSUHQAgbjgdWNRPG+4En7i4Gf7xp/mM0m7n5RuOB19KRgy7c9B8xPuaYbEbBUAA5x8gwO/ek6+m&#10;T8o+lOYfOP8AYHI9Sabu2hiq/c+VT6k0hjMM5CjI3HIx2Ao8t/k8wjqXb+lSjcysAPlJCjHT3prK&#10;GdsnA+6M9wOtDQJkb7Qm4kkoN3TqTUB2wliByq8E9cmpiUfaMkhjuP0FRjMjISo+YlmHXp0oHsMY&#10;OxkGCcKF496Y0Zw6jHJCjnsKnJYunUnl6YihYySemc+ozSsBWYKFHU7nJ59qcMbFIUDILHjvTygy&#10;e+0fzpok+ZwP4cKPWmBm6vpc1+Ynt5ik8aZAb7jexrHt9QkivfIuFaCaMEvG38Z9R6iupfd5kpGS&#10;SQtVNU0q11OMi5UZDfI4PI9cGpcUxxm46dDPfCIIiztjq+5Tk1DKERFwzBm4G5AQamdQiFmQkepj&#10;HFZN1PtGY1DSsdqKvc9QaxZ1RS3GTF57j7NCW29ZHUZ2qf4frWowS0hW3iUKSADlGGF9OKr2kaWl&#10;vvfaZCclirZZ/X6VPAD14LNyTuYVolZGbk5O/QkgCLxvIHtIR/OmX10I4S25mCEbQeSW4xjHrmpJ&#10;53RNqg5x135H5VR01Ptlws8mRDHxErKcNj+I/wBKm13YtPlXMyxp9q0e6e6AEpHOcgovZQauqWkk&#10;zk5PQCQcfgRSs4kcBJFCjptfb/OpC5hiMrtlVHJO1qp9jKOupHcSG2TLAsx6KVHI78is2CD+0L47&#10;/mtoiM7gcSMOnPoKJp3uZlhQhZpD8xHSMDIJ/EVrIEs4Ut4dq4GMK+MCpiru7Lm+Vcq3JRKj/Isg&#10;x/vDn8DT3ggVAzKh5HO3H8qiXew5i3e42tmqVzcqMiNBuf5UQDBY/wD1iKcmTGIkwlvr4W0bMNwy&#10;zHny04yM+uRxWxFDFawLbQKwjUAfKQQPbBqGxthZxkl908vzSOrY3H1wauKuQCy5A67kzn8RTSsi&#10;ZS535DA0aH5sAngblKE/iKzZrqe4uRbwqTNJ0z/AhxyfoRUmo3aoh25KdAqEncx6YB9xV/S7RLaF&#10;5ZHDXEh3SMpxk+g9hSS5mU3yRv1Jba1i0+3EMH3sZJzyT6n3pNsnG/GPcbT+Yp7LuYkk8/3lzVa6&#10;n+zRMqMBxkkMcAd+tNszjG/qR39+IlEfzMCcKuclmyMAfWn6bYi2DSz83DDLc58sf3R7VHpNozKL&#10;+5X5Qv7lWH3V9T7n+VaiIHIYSceh5/I1SVtWEpL4VsNKozfIxI7imkMAMAZz3PX8akIAwCp3E+uD&#10;+Bp+GLHaoJPbGD/9ekCdiIFt+BlWboP8DTyzZ+fI7Z6Uu1yxOTg8Y7flTmj2L14HGOoNOwaMYoQq&#10;2GyR2A/pQkwQkAsR6H/ClKqpDg8Y5I5FIW3AEoGAPXvRsBLFIXJ2g8dcipGHzHPI7Zqum8JjduUn&#10;IB4pTzgsxHbk0B1JJVVkXI6evP605B8hHP5/1phCsvDtj0HenpxxwT+VMQ9IhuBB596k2lCR1/So&#10;1YpkYBHtT9xZdwB9D/8AqpiHMwU/MMZ6etKWymMfkKYPmUg4P86WMbTwSV9KYhwCnC8fSm9Dxg49&#10;P8Ke2COcE/nR5ZcZyD/KgBDyMgn3oI4zg9eopAjopzlh/tdqBKBwcj680AAYMMMM84pM7Tj09eac&#10;xUDDZwe9LIF2ghh/P9aYCtJkZ5I9acj7kyD07mmKPl6fmeKRDtO4Y+p7UCJBtIII4/PNOU4JBOcH&#10;Jx3PpUT7d2Qwz6jg04EsAV69F+vc0gFkBGcjPPPufSkH3N3JZevHU0oXAVOP9k+p7mnABMY5A4HP&#10;5mmgGrlRg9fXHU0Y8sAddp/M05hgjb06LzTHYsuUBOPlXP8AOgBTgAbQCB0wc/NTWDLF8uSeg/qa&#10;VNoAQH2Xjv3NNUgsWAGPuJn9TQA1ecKD/sjj8zQxJYIB3wAR27mnFABlSMHp9KapJfpywxz6UhiZ&#10;JzjgH5R7CkRWkYs3G717KKV23MI1+6egx0FBy+SBy3yj2FAhVC7yzHrzx0wKFZSDkcMSzZ9Kay4J&#10;Un73QjsBRkNtAX7/AFBPRRRYB+cIvHLHJx6VCVLEEnjO5qmYiTHGMnjHoKhIZgT03Nz7CmCECY+9&#10;1PzNj9KZhEiwMnb82Secmpdm8Z3DDHPHoKb8rEYB+Y7jmlYBjEgdMFV7etRshwRwMLtGfU1KXZmB&#10;yR1Y4qMBnCkjgncTRYYwxouRknACYFLJhEbaPm4RTT8DeoPUfMRSsFBAIztG/J9aBFdgzfKTwWCg&#10;dhTCpIfHBZ+AeOKnBwc9MLn86j28L2wpOfrSGMVExyT8xz0qIRoroVHDEuwPNTMNoIJ+6uDj1NMc&#10;hQ/HKoBk+9FgISSViJ5O4tzSRxljGPqTT2faJQeioBj0JoRGUkgZKoAP0pDOXnnjG0rtAwTuGQMj&#10;tzVKxtvtE32mTbg/6sFiCiUwg3U/2cgssZBmIOMkdB+NauWRfKZipJySHGR7VnFW1Omo7+6hfLWW&#10;QEHCLwoEh6VbVRBGzl2IAzjzetMibAGHbA7blqrf3I2OCxKqM8469un5UpMIxv6FS4MmoXgtg+A4&#10;3SN6Jnj8TnFar4giEMYAJGMCTGB261Dpts0ERllDB3+ZxuBx6LVkbnfJDnPqgNUlZESlzS8kNhjL&#10;Y5cH/eVqp6jPsYx53gcAbQCW9OPrWhc4t4N23DHhQ0Y5NUNOtzcXLXJyUjO1Oep9fwHFS1d2LTUV&#10;zFjTrRbKFpZGD3D43vuxk+n0FWYoGlkyXbP1U04tKXwqyFF4zsBz71P80KeZIwUAd4qtmS7la+YQ&#10;xbCQDjJJXGB65pNItA7G+mGJGz5a5+6p7/jVcI+o3yxjOB8023sP7v4kVttwNoA49U60o/zDm7Lk&#10;QFWZsnJHoVBplxcJBFtwoZuPTA9al4Ee9tnH1FYsxa/uxDztcZOecJ3H5ihsUY9Xsizplv8AaLhr&#10;w4MQJ8kEdPVvx7Vps+4kkEAcDK0xv3UQiUbeMY28AelNjHcY/BsVVktERdyfMyQssMZcgcdcEg1S&#10;htRqV8wlGYImHmE/xv2H9TSXcz3Lpb2xzIZNi7uecc/hitGG1SxtlhU4Rf8AnpzuJ6nNKKvqOT5V&#10;ZbsfNhWYKxyo6L1+mKYpUAclT3wOn4U9QodQWGB1D8/kaexRiqlMH3PP502xIcknJITKn8R+VWAM&#10;jMbbeMBW5X/61Rqp3FkHXt3pSzkbsEbe68HP0oAGiPJYbdvYnI/A0oUhlBcevP8AjTdrZJJwRySv&#10;9RSA4APJz1K9KYIeY1yDgg55zxmoiCJDhMFu61MrDB756DrSlSR0wMdulFguQ88EHPbjj9KftBJH&#10;HHX/APVQ1uGAPIwMjJ/rSLGQQWcc+v8AjQFxwVeB0PfHSgkdDxznPUU47T1zntk/1pcEH5Rxjv1o&#10;AUxs43KQR+YpMkAjIyD1J4FIsbhgEYgj+HpT9j8BhyetNCCJyp56H15qYheMgjPr/jUQVFUlTk56&#10;CpS5HTOccmmIUqFA5HPb/wCvQNx4z24HT9aaCSp7fQdfwoVvQZHcKf6UAPEhX72PxphQHJz9CaVl&#10;B+Vhj/dpu0qMhifYDtTAVos4IOD6560igjKEde44JpUI3H5d39Pwo8za2QaAv0EU4bK847dDTm+8&#10;OBk84BwafsVuV6Um042gcfnQK40ICd2WBHXtUkQCt/Dlu/SmphTgk7c8r2pxHOMY9hz+hoAshRgE&#10;cM3A/wBketQSoCcgkg8DI6CgOdpyV6YbB7fSnRkyDYcjdyfYelMS01GLhk28Anpx0FRE4xgDngZ9&#10;PWpXBU/LwzcE/wB1ajkG9gB1fgcY2rSAUk4yo5PC/T1pGGQME8DGf5mlHP3cA/dXJ7UIodDkEBvl&#10;HPagY3mROWABOBkdBQpHXHXjHbFK6/NtHGeAPakYqAMDOeAD6UANUksdpxn5V9hSoGkLPjhjtB9q&#10;XJKDYvfap74pT8x+XPHyg4oAb5e4n5gu84XnsKRQu8soJz8oB9KkIOSeAcbV96NoQcckfLj3oEQs&#10;xJbacAnaophV5A5Uk5+UfSpGfbu2gYXhfXNJvaPHP3V/U0DGyDClOBxtX3pqlVUkZOflFOKse3IG&#10;efU0wKEzk/dHI96AEU5ViBjnaD3poBYHHO9gBT1bjGOFGcnrmlJKtx/Cv6mkMg27XbPG8gL9KViG&#10;dzkncdo7YpGBDjtgd6dsCEZ6oMn60WDyGsCQcYyxxn2FRPukbGDgsAPpVgALtOM7VLUxGYSqchQq&#10;Fjjuf84oEQmN2Z84GX4B44pNkbliWJ3vxgU8oxEXU4BakEZTydxAxknNGg2V5GyW2qPnfH1FLKT5&#10;cuSQNwAqRUWPYTkkNu9KCMrgDqc8f/XpBY4y0gihh8wjzCpyzGM5ZqlhiaR9zxhixySYaimGIrdQ&#10;zAbc/ePrV+3jXyf4un941lJ2N1oOl228O7y03EfKDHjJrMhUXV38o3QxHjjIY9QPwzUl2SkjgMeE&#10;DDJzg5q9pUMcdhb7VxlQx56k8k0o6u5U3yw9RspXAiKjjlvkOM0+KKLAJC/98MKkjgTn73/fRpJ0&#10;Eds7KWBC9dxpyZnC1jNvZi8wS3/jIVSuSAf72D+Na0WyKzSOIgADAJT86zdLRWuJSRygwp9ASa2B&#10;kOcE9fWqSsrlVHefL2EhAPygxZ/3SKqandmPEeARjnYTz2xz9a04yRjDN+ZrHZi+rQljnq/PrjrS&#10;ersVFW1NCwhhtbQM0iGWQ5ZySNx71biKnHzDH+zKKpXU8gu9gYbQBgYFSwyE4yF/74FN9jJR0uJq&#10;lyIht3uVAy4HPHb9adplv9kieeRl82Y7nB7HsPwrOuSRqNuoJAMzZHrhc/zrYkdisanBBGSCB60o&#10;9yp7KJIqlyCGySedr0l44t4xuYgt13Dt61NDbxHaSgzWbfKHu1iYZTzlXB9Djim0RB3foT6RaGJW&#10;vWyskgGw9QF9x2JrRfLMRICFA+8OVJpkjttBzgg8Y4pwYiNXBwx6n1q9lYjVu7HLCoRSWGCcnHIp&#10;eFB4wCcAnkUkxKbXT5WI5xVkqoCMByVyfepG+gxC4xsIHHA7fnTufuuD8ozhv8aYzGJ0CfKDyQKd&#10;0nCfwseQe9ND8xSucDd1556/nTTggYznPfg0v3Jiq8L6VMEUy7SARigRCF2uCACQPxp6yHoOvXA4&#10;NKqgqMjPzGnKdzSA9hxQHmGCwz3bjI/wpCi7W56en+FQhi2cnOOlSId0eTyRTC1hQqrg4JGO3Sm5&#10;Yr8uMZ5I5zT8koT3HSpVVfLV8fNjOaLA3YZubGWGM8AjkUoD8jb075yKcpPlA5wc9qR+I944b1FM&#10;YgQ8McEfnikLna2e/TPIppJCK4OG9RUw5jVu5oQn5iBuMkAcY45FHk556d89qkwAjEDBzUcvTPfF&#10;MleQrbioPH485/GmB8nDA/Q9/wAaF+VMjjNNLFWBBwaCkh7AZBf5f1/WnsA5yCC3p2/OoJfkwV4J&#10;HNS/dh+XjJ5pisO5xgrz2z0H40gkYDOePU84/GpOgUdj1proqHKjHPakICvHXK9i3+NPAGzOMY6k&#10;nNIpzED6elPjAIBI55oF5kZK7hu6e4yD+NO5xgkHPzMRUUx2x7l4PtTyS1qCerNyfWi47Dtpb5iC&#10;Fb5ic9BTQxdiBkFxx/sikk+7J/vAVHk5lOedwH4UxEgOTnAy3yqD6U51DnAIweFx6Ujf6yQ+gwKW&#10;T7hHsBSAbtZugPJwB6CkMa9Q24H5VxT+gb2QYo6BcdkJoGML/N8g4XCKfWjJ3sVOAo28dzSxAbox&#10;2wT+OaWMDgY9TQgehGoLSdMCMdPenD5QWP8ADyR3yaB80UeefmprE+ST6vzTERkgDpwo3H60pyWT&#10;I5+83FNf/Vn3erDgCWTHpj8KQyuMnk9WOce1NEbEBem45b2FOk+9KvYYAHpSn78p7hMD9KBjUVQ+&#10;Cc7jkn0FISWOAAN7fpQOr+yDFKgzLCD02H+tICIAu/P8T9PYUZLq+eC74weOKkuD5UyonC46fjTG&#10;4IUdD2PNCYeYr8+YO54x04ppK/MCANwAHrj8aSX5X2jpjpT8DagxwaOtgGDdwPQY44/SmEZzg49R&#10;0/nxT5P3e7ZxzUUzsJBz1HIpXEvIawVG2kgZHY4/+tTCygrzzjnPy/8A1qLgeUuU4z1qOYBYlZeC&#10;aCraXP/ZUEsDBBQAAAAIAIdO4kD2ZjEypZ4AAJueAAAVAAAAZHJzL21lZGlhL2ltYWdlMy5qcGVn&#10;AACA/3//2P/gABBKRklGAAEBAQDcANwAAP/bAEMACAYGBwYFCAcHBwkJCAoMFA0MCwsMGRITDxQd&#10;Gh8eHRocHCAkLicgIiwjHBwoNyksMDE0NDQfJzk9ODI8LjM0Mv/bAEMBCQkJDAsMGA0NGDIhHCEy&#10;MjIyMjIyMjIyMjIyMjIyMjIyMjIyMjIyMjIyMjIyMjIyMjIyMjIyMjIyMjIyMjIyMv/AABEIAXoC&#10;L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0VGD2PWl4oGPzRn2puBR0oAceRgio1JQ4PSpM0jAMMGgB2aXNQqcHaak4oAcCPWkJxyOtFLm&#10;gBQwxmlyKZnafY0/NAC7qDgjGDT08sodxw1NzQA1WPQg5FO3expp9fSnA5oELk+lGT6UZFGaAEHJ&#10;9Kdj3P50zd83WnigCFvkl46NUoJx2psq7k46jkUkcgZRzQMfk+1Lz6imlhS7hQAMCVIyKRSSoORT&#10;t1MU4JXn16UAOOfWjB9aQ59DTy5K42j64oAbj3pmMSdeop/PoaawOVOD1xQAv4mgD3pdrf3TShX/&#10;ALpoATHuabIPlqTZJ/dNMeOQIflNADu1Nb7p+lKG4HNNY5VhQAqgYpcClSGUgYWn+RN/doCxHge1&#10;JgegqX7PN/do+zTZ6UBZkKgbm4FOxT47aVgSB/Eaf9ll9qAsyMKNucge1NzU/wBkl9qDaSeopBYg&#10;f7uPXindKcbaTzQu5emetP8Asr/31/OncLEVB6VJ9mI6yr+dIYB/z2T/AL6pXCxET8tMh5LOe/Ap&#10;Z0CpgSqT7GlT5VCgdKYD6aeTRuA6kAepNKBB3uF/OgBBTqULb/8APwv50Ytv+fgUBYbTByS35U9/&#10;swAAnHXn6UubT/nt+hoCwzvUhMYjxglqbvs8/wCtP/fJo32f/PQ/98mkAymH5m9hUjyWu0hXbP8A&#10;u0CSzA4Lf980wIzRUhmtP9v/AL5pDPa+j/lSAjJqNjuO0fjT5Li3wQobPbio1ZFHX9KYiQDAxQTi&#10;ozKo/i/SnLcRADKMaBi0mad9pi/55tSfaYv+eTfnQGg0mmlse9PN1H/zyP501blAP9Vnn1oDQd5T&#10;ntR5bggEdelQedL/AM9DSGWUsP3jUCLfkyelL5MnpVQTS9DK/wCdHmSf89H/AO+jSC5c8iQdqjbg&#10;4I5qvvf++3/fRpCzD+I/nTC5Oy7h70+FWcYJxiqwZv7x/OmOpPzd6AuaXkerr+dL5K/89U/Os1CC&#10;OnNPI4PFFguXjFHjBmT/AL6pFEWSGnXg8c1TUcClK5osFy5/o4/5eFozbf8APb9DVQUNkdBmiwXL&#10;e+1/56k/RTTVe2DMCzY7fLVWPJHIxzTyuRRYLlnzbX1f/vmjzbb+7J+VVhyKdRYLkxntskBJM/QU&#10;3z1PTcB6EVB/y0P0p2KLBck80e/5U2O4jicqYy2eRzim7ajlXbhx2osFy99tiGP9GP8A31R9tTtb&#10;D/vqqeQStPzRYOZln7aP+fZP++v/AK1NN8VkDC3j6Y61Bmmt0osHMy0dRcDPkRUn9oyf88oR+FVX&#10;xtNDKG9aLILstf2hNjhIv++aa9/Oy9I+Dn7tQKMDHNBGQetFkF2WP7Quf7yD/gNIL+6YA+YPwUVA&#10;OgpE+7RYLlg3t1/z1/QUx7q4YYMpP4CmfhQckdKYriiV9o6flTTK+W7fhSr90fSmkcv9KAJFmmx/&#10;rX/OlMsx/wCWr/8AfVRrnFLg0AL5kp/5av8A99Gml5Nw/eP/AN9Gl5prZyKABS2PvN+ZpSxAyWb8&#10;6FBwKXBoAar7uATQ4+UmnYNI4Ow80AIFBY07YKFHy/Wlx70AJsHoKQqPSn496a3Ck5oArqN8ij05&#10;qfYfamW6/KW9TU1ADNnPanbaAKXb70AMUfO1OwKQD5z9BSkdqAGgd/WhuBwM0/bSYoAhG4yDIxTz&#10;xQw+ZaCATigBo55paXFIRQAxun40MwAzQ4GKYBvbOOBSAFXPzGnEU6jFAEZFA+6KeRTQPloAKQnF&#10;KeBSAdzQAU0Z5xjrTqQdTQAde1Jj5hSjil6sDQMMZo5paDzQIMUjDp9aXnOKG7fWgBRTqQZ9KXmg&#10;CNlKncv404HKZz2p+OKiI8skdjQBKo4FOxSKcrTgDTAbjHNOAowaBnOD+FACIOD9aeAKan3fxpdw&#10;zjNABgBvY07aKMZ70D0JoAaAPMb6U7ApAP3jfSnY96BCCkYAgilxS4HpQBXjOGCnqDVgCoZVCyK2&#10;OO9TDGKBhQaMUcUCIz/qz7U/imsAAafjigYlFJk5xgfnTuKAGrjGKan3fxp6kZNIhGPxoAXijily&#10;PWjIx1oARfujimkfM30p6420hHzn6UAIp4paFIwMml3L6igBv4U1+1P3L60yVlwOR1oAdz6UfhSe&#10;amOtMZkY/eI+lAEvPpTZOUIx1pBKgGMmkaVST9KAJBnHSjBpgmXApfOX3oEO5qKYk4T+8ad5y+h/&#10;KkTDyF+wHFAx0a4XA7E07B9aEIG7kdaa0wDHgmgQ/FGD61H5/wDsGjz/APZNADsfOfpSgZ5qFpst&#10;wtO84/3f1oGPZgvVsUvUZBqIy5PKA0ecf7o/OgBz8FfXNG33qJpWznb39ad5rf3RQA/HvTSMd6b5&#10;jegpCzHjigBrZckDoKkCgDgUgwq4o3ccdaAFIpMU3Le1GW9qQDiOKb0B+tBLetIN3PIoGGM0nHpS&#10;4b1FGG/yKBWExSd6XDZ60mDmgYuR60mQG4rYTwlrr9NKufxTH86il8NazDOIn0y58zbu2rGWOPXi&#10;nZiuu5nZBHWkGB3rUHhnWz00m8/78N/hUi+E9ebppNz+MeKLMLoySy560hYcVvJ4J8RPyNMkA/2m&#10;UfzNS/8ACDa6JoY5bVIfNbarPKuM4J7E+ho5X2FzLuc6HFHmD0Ndk3w41OOFpJLuzUKpY/Ox6fhX&#10;PRaWjcy3BT6R7v60NW3LgnP4dSgr5OMYpWwVIrsbLwHb3tolymv2ojcZG5MEfXJpbzwHbW1pLMPE&#10;Fm7IpIQAZPt96nysjmV7HFAmM46jtThKf7td3Z/Dq1u38uLxFayyAZKxKGIH/fVX1+FCfxas34Qf&#10;/XpqEhOpFbnm3mH+7QZD/d5r09fhTa/xapL+EQ/xqT/hVFgf+Ylcf98LT9nIn2sO55UsjD+Gl8w5&#10;ztGa9O0/4Y6dc2izSX1zklhhQvZiPT2q6PhZo463V4f+BL/hR7OQe1h3PJfOb0FHmNnOBXTaroen&#10;2l5PaxQ3SPE5UtLKD+gUVu+FfBuia5ZymeS5W5hbDqkgAIPQjj6/lULWXKjeVOUYc72PPBKwYnjN&#10;L5r+1epr8NNIm1O5hW4ukSJEIG4EktnPb2q4nws0QD5prxv+Br/hV+zkYe1geP739RUiygL83WvY&#10;l+Gfh5fvLdN9Zf8A61Tr8OfDY62krfWZv8aPZSF7aB4pJIr4GDTAXx9417aPBXh+x1OyMWnowdnD&#10;LKxcH5SehNQ+LrO00nTbeWwsrOB2m2sRbocjaT3HtQ6bSuy4TU5KMep4xlz/ABNS7ZD3avQ9K1S7&#10;bVrRHMJR5lVk8hACCenC16fPZ232aVRBEMoeiD0pQjzq6LrJ0ZKMup84C1ncAhXIpwsrk/8ALN/z&#10;ro0RY4FwoCgZwKpNqlv2Oaw52d7wtNbsy/sFz/zzb86Q2F1u2iGRj3CgnFbdpcrdswVSNveu/wDh&#10;2oF5qGR/yzT+ZqoNylYzrUYU6TnHU8mGm3p6Wdwf+2bUJp144O2znbBwcRtX0xgegrP0jH2acAdL&#10;qb/0Y1dHsvM8323kfPY0jUMZ+w3OP+uTVF9ilxkR5r6VnXdBIPVSP0rwuNOBWVVOFjrwkVXvfoYg&#10;0++jgEv2eQREZDFePzqa10jVL3LW1lPMMZykZPFdRrFncmw0y7d3e0kgREGeEYDGPxxWn4D1GKx1&#10;77FI3F2u1Bnow5/Xn9KSfvWZUqP7pzi72ONXwhrzdNIuv+/ZpZPB+vQ28k8umTJEilmZgBgCvZPE&#10;3iKTQTbLHbLMZtxO5sYxj/GsNPFc2t2GpWclpHH/AKI7AqxPPAx+taNRTtfUwjGpKPtOXQ8l+wzY&#10;ztwMelbb+AvEIWMtYgCRgqkyLyT071NsHlnj+GvYbtv9AsW/6bQf+hCopLnvc2xcFQ5eXqeQr8M/&#10;EpHNtCPrMtO/4Vj4kxkxW4HvMK9vzTX5Rh6itvZI4fbM+dv7BlDEG7thg4+83+FI2hOoJF5bMfbf&#10;/wDE1tsoWSQY6Ow/U1j3LSeYwjhuAQeobg1y8566wsbJtlZdJmIGZYx9d3+FPGjv3uI/yb/Ck23R&#10;OfKnP41Kr3i4xFN+JFLmY/q9PzGjRz/z8L/3yafHoZlmjjW4HzsFzsOBk4qZbi7JA+y4HqWrTtzt&#10;mjbGMOD+tCkyvq0Gm0adp8KrmaW4jk1SFGhk2HEZOflDZ/8AHqtf8KifH/IXX/vwf8a9DsmH9oai&#10;M/8ALRG/NFH9KulgP4h+ddnsoniOrI8sl+EzQxPI+sxhEBZiYTwB+Ncm2hWQ5W+nb/t3A/8AZ691&#10;v2jbTrlS68xMOvsa8ZXBXI6VjWShax24KHtr83QzbjQUgnCCdnUxq4JTafmGemTW54Z8C2+vC58y&#10;8khMO3G1Ac5z/hTb4h5oSCCfs8YOD0wK6fwLeQWkl99onjiUqhBdgOmfX61MLOdmb1qajh3JLX/g&#10;nIeIfCltoWrRWcVy86mHzHLAAjJIA/Ss2PSbXzR5zTCPv5eCf1rd1e+Oq6xdXv8ADI2I/wDcHA/x&#10;/GsuaSZCfKgLqOpzjmok/e902p0oxpL2hFJpOm8bHvDyOGCDjPP6Vv8Ah3wfo+uyzx+ZexGIBuXU&#10;5zn29q543F35Zc22PbdzXb+A3ezmu7i/MdurKEVWcZY5zn6VdJuUtTnxMKdOm2t+hcX4XaIOs14f&#10;+Br/AIVIPhjoP9+7/wC/g/wrpv7Wse1yp+macNUs8cTE/RGP9K6uSPY8v2ku5weu+C/DGh2iT3El&#10;6S77ERHBLH8RVfS9J8F3EFvFNHOt0wVWDFuW/DjrV3x/exXc+mQRFjtLyNlCvoB1H1rmIJXtp454&#10;8b42DLkZGQa55zUZWselh8P7WlzNu53b/D/w1Gu57d1HqZiBWTr3hnwzo+iz3sNmbiRANqC4Pc4y&#10;eelYurazqGteUt3KNkZyFQbQT7+tZkm1FLNgKOpolVj0Q6eBqbzkU4bW2mXzUjChv4eeK7Hw74f8&#10;M6lbTy3UKxOrhdrTkfwjOOfXNcl9ttQOJlpPt1p/z2WsoT5XqrnTVoQnFJOx6P8A8Il4NTqIPxuT&#10;/jVxfAnhsYxp4I/66N/jXmygFc469K9ZtdSdrOBl068YGNcEKnPHu1dNOUZ9DzcVQlRtaV7lIeB/&#10;Dg/5hkf/AH03+NVpPDGhWWqwhNNg8t4JCVYbhkMmDz9TW39vnxxpV7+cf/xdYXiTUbiFbaY6fcR4&#10;LJlmTnOD2Y+la2icvNI6DNUYTnXbk+lvGP8Ax5qX7Jed9Rb8IVqjDa3J1q7X7fKCsUWWCJzy3tVs&#10;i2pvCiqH2KfvqNyfwT/4mnCwk7392fxX/wCJoEYvjttmgRknC+euT+DV5wbqL/nsOPevWrvTLe4t&#10;pbe4u55EZSGjeUYP4YryQy2yMUfCspwQV6Vx4he9c9fL5Jwcew9J4ZW2iQMfTNOlKxpuJAUdSRSx&#10;eVIu+IDHqBimzTRxYWQEk9gua5z00rK5D9qtf74/Kl+1W/Yk/RTTvtUHZJPwSj7VH2jl/wC+KCfm&#10;anhe9ibxLZLG5VvMwR04716950Q6yJ/30K888HT6LFaznUFtlmaUbPOjBPT3HrXdpY2W0FLW32nk&#10;ERr/AIV20FaJ4WNk5VLtExu7YdbiIfVxWP4k1k2mjtJYXkS3G9QNrKxxnnitdbaBekEQ+iCsLxkq&#10;J4efCqCZEHA960m2otmOHipVYp90cdF4l1mCIRx37KgzgeWnc59KG8U64euoy/gqj+lY8qNKnlo+&#10;xmIAb0rZ1fwXJpGni6k1ZpCzBVQR4yT75riTqNXTPdqRw9Oag4q78jNuLqe8uGnuZGklbGWbqcU+&#10;2urmzkMlrPJC7DaWjYgkenFZsdmEObi7mCeqgE13Fv8ADe2uLeOYaxclZFDA+WBwRn1pRhKbugrY&#10;inRSjOOhz39qan5jSfbrne+NzCVsnHTvSNqF+4O+9uW+szf41vR/D60N1exvqN2wt0VgRgZyCf6V&#10;ywmiC/6xRx3NE4zhux4epRrX5Y7HpvhvVpJNCtfNt7yVwpBfyic4Pr3rW/tCQ9NPvD/wBR/M1T8J&#10;kHwvYkEH5TyP941t13Qvyo8CrbnZy/iPULyK3jnhsrqJo1kxIdvykoeeCelcNe6pf38apd3ckyKd&#10;wVjxn1r0jxJPaw2AW8kZIZt8RZVyQSpry6Swgtdrxas92xODGYCgA9ck1z179z0suUeseu41WZXV&#10;1YqykEMpwQa3NE1jVm1dI0mmujLHIpjllJB+XOeemMVz86GSPYrlCSPmHatrQU0nSdXhujqV5M2G&#10;QCWEBQWGOec96xpvXc7sWlytct9DI/5d/wDgP9K6qy8VpY2Vvb/2JbFo4kBZmGT8oOfu1y2P3A/3&#10;at3PMqn/AKZRf+i1pRk4ptF1aMKsoxkv60Lmuawdamt5vskdsqKyhUbOTkZPQe1avgYXY1G8+yiE&#10;/ul3eaSO/GMCsGX/AJB1nxxul7e610vw+ONTvR6wqf1q4O9RHPWgo4SSXT/M7HGrnvYj/vs/4Vn6&#10;emqR210yz2YxcTMQYWPO4/7VdAKo6aN0V0v/AE8yj/x6uw8JM4FvHurSRkeRZruHXY3/AMVXKqu0&#10;dc1syeC/FLXMqQ2sAiDkK7Sgbhng4zWdLZ3NhcS2l5s+0RNtfYcjPXiuGpzv4j6HCvD3tS3Ekvbp&#10;7FbJ7hzbKcrH2FVkjVJfOQbZB0cHBH41q2nhY6pp11qL6qbaGDIaMR5PAB9R1zWPa6bZm4Vr+W7M&#10;GOfJYBgfXkVNno2aKcPejGN7bnU+IY7ltN0W6mvXuI5bf5VdVGw4XPIHP4+lVfDtm93e3KrcPCFt&#10;ZGJQAlsY45B4rZ8V20FroGhw2xcwIhEZk+8RgYz71U8HAHU7pT/FZyD+VaNfvUc1PXBtrz/M5tRm&#10;IfSvTbiyY6JaSG9uzlrc43jAyy+1ear90D2r1Rvm8LWbekdu35FTVYfdkZorRgy3/ZY73t6f+2xH&#10;8qRtIicEG6veeP8Aj5cf1q/mgmuux4tzxGWIQ3E0QZmCSMuWOScE9aoSXgSVkFvK23uqkitjUVA1&#10;W8A7Tv8A+hGqQv54y8X2p40Q4VQ5UAdf5k15rtd3PqUpOnHlKonZlDCB8EZ6inFrsJ5n9m3Pl/8A&#10;PTYduPXOMVOoDKCpBHqKa1xGB5bT8DjaWpJoqUZWVmRebN2t8/8AAqsxafrMkqR/2NdAuwXLKQBm&#10;k2gLnPFS6Zdw/wBrWeyQM/npgA8n5hTja+pNaMlG6dj1K30fTlvp0aygP7uNj8gPPzD+lWv7I00H&#10;/jwtv+/S/wCFPjP/ABNZx6wR/wDoT1aJr0rHy92UJ9J05reRfsFrypH+qX0+leMm6togUMijBIwK&#10;9yOCMHpXA+M9OsLAWa2lhaxeYzF2WFcnH4e9YV4XVztwFZxnyrqcrdSRBbST5U8yAHJ43fMRmpbN&#10;7mfT9Si02BLqZoQWUYJCBhnA9aq3sAvpUkuDvKIEXgDCjoOKm06WbSGdrCRrdpBhinUiuZSXNc9h&#10;0qjp8un9Mqaa7apcR2tvGftLttEeOh/wru/FHhWVvCdvDp7sZ7H97tH/AC1OPm/HriuSjvLqK+e9&#10;jmdLqQYeVeGI+tWDreqnrqFz/wB/DVRnCKZjWw9eo46pWMW3uhcRIVVmc/wIMtn6V7NpDXT6Tate&#10;gC5MYL4/r7461zXgS0tzZX0nkp5zSbS+35sEdM/XNdVZNusLdvWJT+grooQsubuedj68pT9m1sTm&#10;iiq97LNBYzS20JmnVCUjBxuPYVvscC3POPGF19r8TSgHKW6CIfXqf51iyWVzPp11dQSpGtqFZywz&#10;uycAD3qvdXlxBdyLqVtLBO7FmLqRkk9auNcvLo0tghCxzSLI0g+8cdB9K8+TvJtn0VONqCjTd2V1&#10;LCMZ5OOabbTLOgkMYwG+5IuQceoNdLoXge9eeyvJb6NrFlErLg7/AF246fjWDJH5d7dR/wB2Zh+p&#10;pSg4q7HTxEas+RfMk+0oOllp4/7c4/8A4moZ9lwrq1vaqHAB8u3RSMHPBA4qpc6etxL5hlkTjGFN&#10;PghNpFtVjICcnd1pc77mioQ5vhJ4bTUZ5FistNuLhchfMRflB9Cegr2HToZLfTbWGbHmxwqrYORk&#10;Cua8AyhrG8j/ALsob8x/9auvrroRSjfueNjqspVHB7IK5vxrbvPo8IT7wuAfw2tXSCq99bC6iWMj&#10;IDZrVs44bkOaoWh3azqB/wBmIfof8avVn2POqakf9qMf+O//AF60ZBp0tMpc0hHl/iudE8SXgdwp&#10;yuM/7orIjlikPyEN9K6HxFqqahdNHcaVbLLESm+VdzD+lc4zw2qYAAz0VR1rzatuZ2Z9NhVNU1zq&#10;ysTGVIlLNgKOtQNf2h581au6L4dvfEl0WlzBYxN857t7Cq72kEblREmAcdKTi0rsuNX2k3GHQWGa&#10;KdcxkEUkzrAm9wceoGa3LKzs5fCb3M8iQzxSssLBRlxgfKR3/pWIs6OdjfK/900Sjy2HRqqon0aK&#10;wv7ckDcRk91r2XRj/wASSx5z+4T+VeaRa9eabB8sqsijhZEDD9a73QNWu9T0a3uptPdGccbCApHY&#10;gE10Ya19Dy8yVTTmsbma5TxpfxeR/Zk1sZEmQPvD7Spzxjj2rohNP/z6P+LL/jXL+K9H1jU7iC4s&#10;bVG2psZXkAPXOa3q35fdOLC+zVVe02OHisrWJlYi5ZlOeZh/8TW3rGuT6z5KyRrEkQOFUk5PrVN9&#10;E1uLTxfzR20ducc+ZknnHAqv2461wSc4qzPoaMKFR+0hrYjkhEu0HoDkj1rqB401QKFSO1VQMABD&#10;wPzrA0zR9Q1QErf2NuxYgRSvhsflU2oaLe6PcRx3d5BMzru2RA8D3yKa54K62Ik8PVqKEldmkvir&#10;VEuJplaEPMFD/u+OOB/OudltoJZnkaBAzkk7cgZPoKfcuyxhY+ZHO1AO5rqIvh1evGjTazscgFlW&#10;HOD+dNKpUJqvC4Z2cToPAtwZNBMG0BbeQouPTr/U11ArD8NaE2gWUtu12bkyPv3FNuOMY61tiu2C&#10;aikzwK8oyqNx2OT8fyJFo1u7nA+0Dn/gJrz2K5gncrG24jnpXruqQJdS2kEqI6O7BldQwPyk9DXH&#10;eL7a1sri1t7eKGNghdvLiVOpwOn0NYV4X949LLcQ01RS3OTnmjgXfIcDOOlFjfW8uo2iDLZnT5dv&#10;X5hxViOVoZwyMA+CBkevFb2ieIDastvfuTa4wHVV3R++SORXPDlvqz08R7VRfIro58D90P8AdqaT&#10;qnOf3UfP/ABXSXPw5s0spbuLV7tkWMyIBtwRjI5rmmREYpGxaNflVj1IHANOcHBakYavHET91bIm&#10;lYf2dap3DynP4r/hXReAWxrNyo72/wD7MKzvD3hmy8RzXS3kk6CBUK+U+3rnOePYV2Ph3wtpOiXD&#10;3WnTyytImwlpQ4xnPb6VpTg21I5MZiIwjOhbX/PU6QVS03j7WP8Ap5f+lXRVLTj+9vh6XJ/9BWus&#10;8QvV5h41tTb+JXkx8tzGsg+o+U/yFenV55431Kyv7m2htm8yW3Lb5F+7g/w+/Ssq9uQ78u5vbqy9&#10;Tmku547Oa0R8QzMrOPXH+f0p2k2B1bWrawXO1m3SkfwoOtVm4BwMmuw8NWVt4eex1C/nVJr+KTLZ&#10;4UEoVX+dctNcz12R6+MqKjTfKtZFvx8qrbacqjADMBjsMCsfwfxrjgDObaQfyrW+IU8SWFhK0i7D&#10;I2Dng8CsLwVdwzeI0SOQMTC+fyrSf8ZHLQa+oNPzMVR8or1GLnwfbHri2iP5AV5ioGOK9NgOfB0P&#10;tZr+iijD/Ex5qv3cGbVFNB4pJJFjjeRjhVBJPtXYeEeQagD/AGtfD/p4k/8AQjVB7S3eUyS26SMe&#10;7Fv6EVblfzZpZe8js/5nNTXOh3trZW2pyXCG2uGwsQB3Dg4yfwrzdW20fVvkjCEJ9bIoJEsUYRBh&#10;R0HpSNDAykNawEnq5TLfnVu206XU7lLOGbyZJM4fGcYBP9KrRh43kglP76Fijg+opapXNH7OU/ZN&#10;a7ht+XFSQzfZ50ngit4pUOVdIEBB9c4quLVxMJPtMhGT+7I49uavWejy61ex2sDyR85eRDwi+ppR&#10;veyFV5ORyqLRdzrvBup3V/qN2LudpXESlSwHAyfT612Vcr4e8Px+HtUWNbmS4aaGQs8gxwGTA/U/&#10;nXU16NO6jZ7nzGInCdRygrIK43x8v7mwb0dx/KuyrkfH5VdMtXYgATYyfp/9alV+BjwjtXj6nEw2&#10;gvbmG18xoxLIqF16rkgZqXX/AA0mj3sdut9cSlk3EnC/y+lR2F1bjUrXEyE+cnf/AGhW740lSXXk&#10;CMCI4QrYPQ5PFcaS9m31PequTxUIra2pz/h3w+us6m1pPc3EICltynPT60tzpw0q/ubMSvKI3IDP&#10;1NOjlkhffE7RtjGVODVOS7VLqVribk45Y5JqeZONramjpONXnv7vY7zwE37q+T0ZD+e7/CtzTpbp&#10;tOt9sEe0IFGZDnjj0riPC3iKz0z7XI26QOEVVQdTk/0JrqtF1/TZLVIDcCOTc2FkGOrEj26EV2UZ&#10;pRSueLjaM5VZTirr/gGvuuz/AMsof+/h/wAKM3f/ADzhH/Az/hVilrc88wfElrJd6BeCa3tpNsTM&#10;N2SVIHUZHWvMoh+6WvYNUXfpN4vrA4/8dNeQw/6sVyYnoexlOrkj1Xw42/w7Yn/pnj8iRXmWoJ5e&#10;uainpO/8zW5beLLix0aGxtoVEkYIMrHPUk8D8a5cXElzqN08zlnYhix7k1FWopRSRthcLOnWlOWz&#10;B7aKZi0txcx9gIsY/WmGwtd64u74rzuyVzUxhup2xbG3AHXzpAn5Z61Bcw6jaxq7fY5AWAIilDsP&#10;fArNXsdNT2fPZt3+Z03hzXLPQYWghtbiZ5nG+WWUZPpxj3r0qvF0O0hu4Oa9mRtyK3qAa6aE3JNM&#10;8rMaEack11H0Ugp1bnmoz6ztP51DUz/02Uf+OLWjWdpvN1qJ/wCnjH/ji1bEaNLSUtAjkvFfhi71&#10;KdbrTWiEzYWVXOM/7Wa5zUPCkmhwwyvMLmZwzSsq4CAEDj25ruPEWqXelWscttEjB22s7c7T24/O&#10;uD1DVLq8bzLy5LYBAB4AHsBXHX9mm1bU9rAxxE1GXN7qHaVq82jXJmRd0RXEiZxuH+NUc7yWx15q&#10;ISi5QiHDLnBJNTkbUPsK5XJ2sexCnDmc49RkcLLZxs8ys7M37sfwjPH50/StGvNYvxJJGqWUMiLJ&#10;uPLZYDA/OrFppWqS6Suo/ZhNCxYfuTlgAcZK/wCFRwzPE4khcqykHI7EVfwyvJHK0q1Nwpz1Opuf&#10;h3bS3UTQ3sq2wcF4XG7I9Ae1dtGiRRrHGoVFAVVHQAVyvhnxaNWvG0+dP9IRS3mIPlYD19K6sGu+&#10;moW5onz+I9qpclV3sOpCeDQDWF4lv9R063juLQx+TnbJuXJBPQ/SqlLlV2Z06bqTUFuzP1PSL/Vf&#10;D2n/AGGSPdGuWikOA+ff1rj7uw1TT8/bdMuI1HWRBvX8xWrF4o1WC3SCKRFRBtX5AeKrXGuapdKV&#10;mvZSp6hTtB/KuKpOnLXqe9hsPi6Pu3VjNjkSVAy8j3GKlB3Hkkn3NVZbuCAfPIM+g5rQ0jQta1wm&#10;a3hW2tQDiScEBz7Dr+NYxi5aI7qmIp0lebJNI+yW2vQXt95jxQ8oqrnDdia9Qs761v4vMtZ0kXvg&#10;8j6jtXlV1b3Wn3D29/btE6EKXHzISRkfN9KiF5dW1zCunl/tsrBYhGeSTW1OpKn7rRw4rC0sRF1o&#10;yPZQKcBUNp5/2SH7Tt+0bB5m3puxzirArtufPtGbqlxFaT2c87hI0dySf9w15xq182p6jNdMCA5+&#10;UHso6Cu78TacNVSys/NaIvMSHHYhGP5V53eafqKaoujpAftsjbVOPl2/3s+lc2I5nZLY9fLJUYKU&#10;5PX9DY8MeG7bXY7y5ugyqhEcLqcFT1J/lVC58PvHrn2DULpILGMb5J1PMi9go9T+lejaZo0OnaGm&#10;mBiy+WVkfoWJ6mvN9Ssm0i+ltLlxlD8rnjevY1FSKhFaF4WrLEVZrnsmb+q+KY2sRpulRNFbKgi3&#10;t1KgYwB24rmNox1qt9pM0hisoXuJQCSEXOB6mtuXwtf6Zoo1S5k82VyDLFGMiNOxz396yfPU1Z6F&#10;OeGwrVOL3NfwTc29q+pGeeOINGmC7AZxu6fnXORSSQYeKRkYDqrEVSF7bf8APZfyNS20v9pXUdjY&#10;hpZpW2/KOFHcn2pXk0oov2dKnOdWUr3/AEPXdDlln0GxmmYtI8KsxPU5FO0/i41D/r5/9kSrFtCt&#10;tawwJ92NAg+gGKrWH/H1qI/6eR/6LSvQWh8pJ3baPP8AXPEup311cWT5tUjco0K8E/U9652aZIF+&#10;Y5Y8BRySa9J8VeGG1mNbiyMcV8uBvfgMvv8ASjw94LstGdbqdvtd9/z2kHCf7o7fXrXLKjKUtXoe&#10;xSzClSopQjqedGK6t38q9tnt5ioYI4wSp6Gp3uZpbaK2dy0UTFkB/hz1r0rxL4ei1+yChxDdRcwz&#10;Y6H0PtXmV3Y6xp1ytpc6ZM8zHCNEpZX+hFRUpSi9Dpw2OpVo2q6NHReEoDqV+1rdRpcWUMZcxTKH&#10;VWPAwD071futa03RdSu7a10SGGaMGMTRhVJyPp0rT8H6PPpemNJeIEurhtzqD90dhWJ46s501G3u&#10;raznuDKhVhEhbBHTOPrWtpRp3W5w+0o1sW+f4Tl0G1QPavSbQf8AFFxj/pz/APZa4Kx0LXtSkVI9&#10;Oe1jJ+aa4+XaPYdTXpNxbLa+H5bZDlYrYoD9FxSw8JJts1zTEUqkYwg72Lq8op9qwfF2orZaM0IY&#10;CW5/dqM847n8v51uQNut4z6qD+lZmv8Ah2x8Q26x3QdZI8mKVDhkJ/Q/jXRJNxaR5VGUY1FKeyPM&#10;1jaRljjGXchVHueBXR+Lpjax2GkCPEcUSyB/UjK4qbw74U1DTtdLXzpLbW43Qyj/AJaE8DI7YrR8&#10;YaJe6tFaPp6RtPE5B8xtoCkf4gVzRpSUH3PWrY6nPEQf2UcJBNLbzCaByki/dYdRSSW9/qEsjWi+&#10;fdYMjqT8zgdceprb0/wPe3ktwl9qYh8mQIUt0znKhupx6+ldXovhTTdDnNxbiWS4K7TLK+Tj6dKm&#10;FCXXY1r5nSV/Zr3u55fBdxT/AC52yDgo3BBrY0zVbzSmb7KyhXOWVlBBruNX8JaRrLGW4tvLuD/y&#10;3hO1/wAex/GuVufAOq2j50/UY7iLP3JxtIH15B/Sm6M4u8RQzKjVjyVka+ha5Pq+uxLNCqeXDINy&#10;A4JJU4+vFddWHaadFpM+lW0eDjzA7f32K5J/St6uqF0ve3PGryhKo3TVkVb83A0+4Nrj7QIz5efX&#10;HFeVXOqXmrWiw38pnVGztdQcN6167XAXvgXVLjUrmW3vbWC3kkLIu0kgH8KyrRlL4TpwNalTk/ao&#10;5JLK2jbekKBgc5A6VOhae5S3gRprhzhY05J/wrpJfh95VlPPdarPKY42YJEgQEgZ5yTXW6Po+naV&#10;aqLC1SLeoLP1Zvqx5NZRw8n8R3Vc0pxX7qJ5TA7SKwcBZFYhlz0qQAKc7I2Pq0Yb+YrtdS+HunXt&#10;5JdW9xPaSSMWYJgqSepwelUG+G0n8OuTj6xf/ZUvYTT0KjmdGUbVEc48jyKqttCrkgKoUDPsK1fD&#10;WmNqWrISv7iAh5D29h+NaEXw4IYefrdy69wkYUn8STXTaBYwadb3NpbqRHFOQNxyT8qnk9+tVChL&#10;mvIzr5jT9m4UVuauKMUtHFddzxDO1s3S6JemzjD3HktsU9+K8fsrhZbQMcLt4Yele45HrXHxeENI&#10;tfE3nGPzVnWWYRSEFFYMvQf8CPWsatNzsd+CxSw97o5HTtJ1LV2/0G1JjzgzyfLGPx7/AIVWvtMk&#10;0nXLm1klErKi5cDGTj0r2NSiqFBRQOAARXM6z4O03WdRe9nvriJ2ABWORQOB7iodBKNlubxzOTqc&#10;09uyPOpplgALKxB/ujNQHUIlXLJKB6lDXq2haDpXh8Sm2nMkknDSTSAnHoOlO8SrZ32hy20syeW7&#10;xhtrgHG8ZxUrD6asuWaNytFaHmKsGUEdxmvYbB/N062k/vRKf0FcnH4G8LxSq5uZX2nO17oYP1xX&#10;VJeWEMaxpc26IgAVQ4AAHataVNwvc5sbio4hLlWxaApc1xnjXWJ4NPjfTdRVHDZKxOMnHPP+FYeq&#10;eLJtTtNOjttUMLCAPcOmUzJ0xkD68Vo5JHEoNnoGKztM/wBbfn1um/kKf9p1H/oHxfjcf/Y1Q0yX&#10;UMXRW1t+blyd054P/fNaXItubtKKob9UP/LC0H1mb/4mjOq/3LMf8CY/0p3FYk1OyXUtPmtGbb5g&#10;4YDO09jXGWHgSIaoqardNc5jaTYmVXggDJ6967DGq/37Mf8AAGP9ap7NROsjM9sGFueRE2Mbh/tV&#10;EoRbu0awq1Ix5E9DG8VaQtpZ20mm2H7qLKukCcj0OO/euXj0rXNUIit9NlhVuskw2gfnXp4h1E9b&#10;u3H0gP8A8VS/Z7/vfR/hB/8AXrOVCMpcx008fVp0/ZoTSLAaXpNtZBtxiQBm9T1J/OsrxLoFtf24&#10;khCwXTyKnmqOuTjkd+ta/wBlvP8An/b8Ilqte2lxshDX8pzMn8CDnP0rVxTVmjkhUlGfNF2ZF4a8&#10;PQaBY+WCJLmTmaXH3j6D2rdFUhYzHrqNyfwQf+y0v9nv3vrs/wDAgP6UJWVkKUnJ3bLtVNTtFvtN&#10;uLZmKiRMBgOh6g03+zRnJvLw/wDbXFJJpkfltme6PB6zt/jR5CTs7pnDWngrV7u3jnOo2yJIoYYU&#10;k4NaEPw6Vj/puqzSD+7Gm3+ea6DTNMhbS7VmkuMmJT/r3A6fWrf9k2vfzj9Z3/xrNUYdjqljK8tH&#10;Ipab4S0TTGDw2SySj/lpN85/Wt3gcVQGkWXeJj9ZGP8AWl/sfT+9qh+uTWiVtjmk3J3bGwJDPfal&#10;HMqPGzoCrDIPyCqth4Y0fTNWbUbddshXaqM+VT1K56UtppVgdQv1NnCQroACoOPkFaA0nTh/y42/&#10;/foVLV9RqTSsmWftMC9Z4h9XFIb+zXrdwD/toP8AGol02xXpZW4/7ZD/AAqRbK1HS2hH0jFMnQoX&#10;2pWP27Tz9st8LKxJ8wcfI1WDqek+YJTeWnmAYDeYuQPTNRXttAt9p2IYxmZuij+41aKxoOiKPoKB&#10;lb+2dN/5/YT9GzWdqUHhvWJopL4RzvECF+909DjrW7gelLSfmCdndGG02j2Wl3MNjFHCpiYYigIz&#10;x9Kt22qWhtIlImbMYBAgcjp9Kt3gP2K4/wCubfyp1lk2Vv8A9c1/lQN66syGg0AsT/Y6sx5J+wH/&#10;AOJq1b3VhaAi102aIH/nnaFf6VqYNGKVguyn/aq9rS8P/bE1TstSIu9QK2N426cHAQDH7teuTWzi&#10;qVj/AMf+pD/psv8A6LWmIX+0ZT00y8/HYP8A2agX9wemmXP4sn/xVXsUuKAKBvrvtpc/4yJ/jVK7&#10;vLz7bYsdNdT5jAAyrz8h963Koahj7Zpx/wCm5H/kN6LjQ37ZqB6aaPxnH+FJ9q1I9LCIfW4/+xq/&#10;ijFFxGf9o1XtZWw+twf/AImobyXVXs5wba0AMbA/vmPb/drWxUc6g28g9VP8qLgZ1pJqrWUBWKzw&#10;Y1wTI3p/u1Mf7XP8NiPxc1NpvzaXaH/pin8hVvAoAzsav/fsR/wFz/WkKat/z3sx9IWP/s1aWKQi&#10;gDn7SHUzf6gBdWynzEJ/cE5+QdPmq79n1Q9b+AfS2/8AsqktQBq1+PURt+hH9Kv4FAMzPsupH/mJ&#10;IPpbj/Gg2mod9TP4QLWnik2+1AHP3lpeC+08tqUhPmsAfKQY+Rvb2rQ+x3X/AEE7j8ET/wCJo1EY&#10;uNPbHS5/mjCr+PagGZ/2K476ndfkn/xNH2CbvqV3+af/ABNX8UYoAybvTXaynBv7s5jYYLLzx9Kb&#10;Yaf5mn2zm9vPmiU8S47fStWVd0TD1BFVdI+bRrI/9MU/lQAz+yk73d4f+27Un9kwnrPdn/t4f/Gt&#10;HB9KMUXDUzf7Gtv+el0f+3l/8apWek2322/Q+edsox+/fui+9b+KoWw26tfL6iNv0I/pQF2M/sez&#10;/wCech+szn+tL/Y9l3gz9XY/1rQpKA1KA0ixz/x6p+Oapz6VYrq1l/okW1klUjb1PykfyNbdUb3i&#10;+05v+mzL+cbf4UBqH9k2Gf8Ajyt/+/Ypf7LsB/y42/8A36FXaKAKi6bYj/lztx/2zH+FU9YsbVdJ&#10;uGW2hBVd2Qg7HNa9VNUXfpV2vrC/8qQ1uSC0tsAi3i6f3BS/Z4R0hj/75FOgbfBG3qoP6U80xHH+&#10;MIoYreSSadY2aNlgQADB4z2yT7V5WlleC4eKOISkDcVPPXvivXPFjWNnYzT3RjaWUYXecsAMfKo6&#10;8/h9a8avJ1nvHkQMme3SsZ7nRT1R75iqGkjMM59bmX/0I1o1S0tcWjH1mkP/AI+a6jmLeKXFOooE&#10;NxVIf8hxva3H/oR/wq/VFMHXJ/a3T/0JqQLcvYoxSiigAqrf8C24zm4SrdVL8Za1/wCu6/yNAFwU&#10;tNFOoAWmzcQv/umnCmTn/R5f9w/yoAh0wY0q0H/TFP5CrYqrpwxptqP+mS/yFWxU3G9xRS0gpaAK&#10;Fn/yEdQ/66J/6AtaFULTH9oah/11X/0WtXxQAopaQU6kMz7/AP4/9N/67N/6LatAVnX3/H9pv/XZ&#10;v/RbVoqeKAHUoptLmgCK7/485/8Arm38qSwOdPtj/wBMl/kKLrm1m/3D/Kmacf8AiWWv/XFP5CgO&#10;hczSUmaM0gHZqjZ8alqHu6H/AMcH+FXM1RtT/wATS/8A+2Z/8dpgaWaKQGlFIBc1n6icXGnn0uf/&#10;AGR6v1napw9ifS6X/wBBagEX80U0dKXNADqZJzEw9jTs01gdpoAr6TzpFn/1xT+VXcVR0f8A5A9p&#10;7RAVeoAKDS4oIoAzoONbvB6wxH9XrQxVCPjXZ/e2j/8AQnrQxSATFGKXFGKAM3VRhbRvS6j/AFOP&#10;61oYrP1ji1iPpcw/+jFFaNMBuKMU6kpDGEcVR0X/AJBFsP7q7fyJFXzVHRv+QcB/dlkX8namBexR&#10;inUlAhDWdHxrt0PWCI/q9aJrP6a8f9q2H6Mf8aBl2iiigQlUdS4ksW/u3K/qGH9avVQ1Xi2hb+7c&#10;RH/x8UAX6KTNJmgB2ahuV32sqf3kI/SpM0hGQRQBBpz79MtW9YUP6VYNUdGP/EntR6Rhfy4q9QM8&#10;+8d+bqEqwWlq8rRkBpDwBjPH09TXmM8ZineOZSkinDD0Ne2eJJ5YomhsbYyTlS7Op+53z9e9eM6h&#10;BLFeyic7pN3zkNu59z61jNanRTeh73VPTObFT6u5/wDHjVvdVLS+NNi98n9TXUcpeopuaM0CHVSi&#10;51u6PpBF/N6uZqnBzrF4f+mcQ/8AQqGBepaSigBw6VTv/wDWWQ9bgf8AoLVbqpff6+x/67/+yNQB&#10;bFLSUUAOFMuf+PWY/wCw38qeKiu/+POf/rm38qACw/5B9t/1yX+VWhVaz/48bf8A65r/ACqwAagf&#10;UcKWmgGlwaAKVn/x/wCo/wDXZf8A0WtXxVCxH+naj/12X/0WlX9tAxwIpc03bS7aAM+//wCP/Tf+&#10;uzf+i2rQGKz9QGL/AEz/AK7N/wCgNWgFoAXNKCKTbS7RQBHcc28v+4f5VDphzpdp/wBcU/kKnmUe&#10;RJ/un+VV9K50mzP/AExT+QpAW80ZpdtG2gBM1StT/wATe+/3Yj+hq9iqNuP+J1fD/pnF/wCzUAaA&#10;YUoPNAApwAoAKoar9y0Ppcp/WtAAVR1YfuLcjtcxf+hCkNFkGnZpQtOC0XCw2g9KftpCvFFwsUdH&#10;/wCQVbj0BH5Eir/4VR0bnTEB7O4/8fNaOKVx2GjNIc0/FFFwsZo418+9qP0b/wCvWhzVBuPEEXva&#10;v+jL/jWlRcLDOaTmpKSi4WMvWv8AkGsf7skbfk6mtAiqOucaPcn+6u78iDWhTCwzFGDT8UhpXCww&#10;iqGkcW86elxL/wChn/Gr54IP4Vn6XxJer/duX/UA07hY0MUmKfTe1ArDazpTjXrc/wB63kH5MlaJ&#10;IrNujt1mxPqkq/8AoJ/pTAv0hPNBpNpoEGaoaucabI39xkf8mBq/tNU9Xjzo15x0hY/kM0MaRbNJ&#10;QOQD6ilC0CEFLzS7adigDO0gY08L/clkX8nan332xo/KslRZXB/evyqe+O9GlACK6X+7dSfqc/1q&#10;/ilcrZnmPiHwvcJpdzf3l5cXN6QNifexyMn0HevOYZ57eRzF9DkZFes/EG81NHtrWzklht2GZXjO&#10;CTzx+QJryJjh+GJ9c1jLc6Iban0GelVNK/5Bdt7oDTn1KxVWzeW44/56CqenapYR6Zaq17ACIlyD&#10;IOOK62zksa1Aqj/bGm/8/wBAfo4NH9r6f2ukP0yaLhZl/NU7Y51S9PtGP0NJ/alnjiUn6I3+FUrX&#10;U7YajenMpyUxiFz/AA/SlcEmblGaof2pB2juT9Ld/wDCj+04j0t7s/8Abu/+FO4WZoVTvP8Aj6sB&#10;/wBNj/6A1M/tIdrO8P8A2xI/nVS6v3a8scWN1xIxwVAz8h9TSbQJO5tZpQao/bp+2m3R/FP/AIqj&#10;7ZdHppk/4yR//FU7hYvg1DenFjcH/pm38qri7vO2muPrMn+NQ3txfGwuP9AVR5bcmcccewpXCxp2&#10;nFpB/wBc1/lVkVj21xqRtogtjBjYME3JHb/cqcTap/z52g+ty3/xFSVY0qWs7zNVP/LCyH/bZj/7&#10;JRnVj/DZD/gTH+lILD7D/j/1L/ruv/otK0BWBY/2mb3UAsloG85d2UY8+WnvV/y9WP8Ay9WY/wC3&#10;dj/7PQFjRFLWcIdVPW+tB9LVv/i6etvqRdQ1/ARnnFtj/wBmoHYZf/8AH/pv/XZv/QGrQFchqXjS&#10;zsvE0thdablLOZgs/nnrgjOAvvRqXxBjspY1h0mORHjDhmmbv+FZOtG9jrWCqSpuorWX9bHYUcV5&#10;83xRn/h0a0H1kc/1qP8A4Whfn7uk2A+u8/8As1HtEY+wfc9ClwYX/wB01W0g/wDEnsv+uCfyFcG/&#10;xP1XBxpemgH1jc/+zVEnxL1eKNY4tP01FUYVVgOAP++qPaofsfM9OorzI/EvxAfu21iPpbZ/rTT8&#10;R/Ep6Jar9LRf8KXtQ9j5nqFZ9uca9ej/AKYQn9Xrz0/EHxQYi4ngXnG0WqZ+vSmL468VM+77TjI6&#10;rbIP/ZaPa+Q3Qtuz1cHilBFeV3HjrxQ6p5V3LGQgBxEvJ9elVP8AhM/FzHjU7n8FUf0pe18glRin&#10;bmuewjmqeqI7W0W1GJFxEeBn+MV5b/wlPjB4iv8AaF5nOdwbB+lQHX/FzBi2q3w2jJ/fEf196XtQ&#10;9lG+kj2YRyf3G/KnCOX/AJ5SH/gJrxE674nb72r3/wD4FH/GiTV/EkwUHU735Rji5fn680e0BU6d&#10;viPcPJm7Qyf98mj7POR/qZP++a8JutX1z7NGJb+5xHkZE7ZOSTzzVBtS1A/evLon3lb/ABo9oy3R&#10;h9l3PedLsruKzKSW8ikSyHBXsXJFXvs1x/zxavnRru7Jw1xMT7ua9I0ORn0KxJlKfuvmyOSc+tZV&#10;cQ6avY68Hl8cRNxcrWPQjBMOqY+rCkMMg67R9XH+Nck5iaMF5CExgsSOaQtGLcgSM0SnOQST1Brn&#10;+vPseh/YdO3x/gdG9lN/asNxuiEaQujEyr1JUjv7GrZVQMtNAPrKv+NcNc3EckEkkczmPYSflPOe&#10;4P41m29+kUgiDSMef48AVccVKS2OPEYClRko8256Rvg/5+7X/v8AL/jSGW3wf9NteP8ApqK8+aRW&#10;fjzwSecbsD+nanSSxlhvWViwBGN2P88UfWp9gWAo9WzsNUNtcabcW639qHliZVJk4yRUv22Jrd5L&#10;c/ajHgMsHJ5+uK84vLhUdP3RZcDaDwR2/pXS+BrgvHfpsCDajbffPNa0605NXRzVqNKF1G90bY1K&#10;Y9NLvfxCf/FUf2hcHppd3+JjH/s1Xs0ua6zgMm5vtTwot9HlY55MkqL/AFNcpK+qSaleXKxRwBZw&#10;GU3AGG2jj3rv2LbTtxuxxnpmvMJZr+1ub61vUjhPneaQSOSR1BPUcVMionc2d7qssAeaxhbPRopx&#10;g/pU32m/7WC/jOP8KyfCuqG7jktGdHMQBQr6elbE+q6fakia6jDDqAckflVJ6EtalYXeopNsltLY&#10;bz8g+0HJ/wDHarX8moG/09hbW6t5jAZmJH3D/s+1ZWpeI7c6pFc2+XWIAAE4BrL1bxncyLA8UMcb&#10;xS7lYHPYjv8AWkpIrlZ26nVMcx2mfZ2/wpcame1oPxY1yeheJ9W1O/igXZKpYb8R/dXuciu9xTuS&#10;1YzwmqH+OzH/AABj/WoL+DU5NOuUMtphomBxE3of9qtfFNkXfE6+qkUXBGVapqMlnC4ubUBo1P8A&#10;qGPb/eqXytS/5+rb/wABz/8AFVNpB36LYt626f8AoIq2Vp3EZwi1H/n8g/C3/wDsqXyNQP8Ay/oP&#10;pAP8av7aXaKVw1MHTrW+W4v0OpMMXGT+5XnKqfSr/wBkvD11OX8Ik/wotRjVNQX1Mb/+O4/pV/gK&#10;T2FAzy/4gWslkUeafUbnzQQJGmVY19goFecsmSVC4HvzXpfj7Qb28k/tJC4t0XBEr9PfHRR0GK82&#10;OVXOfasW9ToitD3aW3gWFyIYx8p/hFM06JF021ARf9Uvb2FSXLbbWY+iMf0os+LG3HpGv8q6zkZM&#10;AB2FGPajNHBpiFqlaDN9fn/poo/8cFaGBVGy/wCPu/P/AE3H/oC1Nx2LYFLinEhVLMcADJNNDpJG&#10;rowZWGQR0IoTCwVUuub+x/33P/jpq2KqXH/IRsh7v/6DTEty4BS0UopXAAKgv+NOuf8Ark38qsYq&#10;vqJxpl0f+mTfyouBNajFtF/uD+VT4qvAf3EX+4P5VKDSGSClqOloC5VsRi+1H3mX/wBFrWgKzbE5&#10;vdR9p1H/AJDSr4oAkpykBgSeAaipaQ0zi9a0a11DXLu6XUtJRZZSwLzpn8aqjw7BuUtrmjjGP+Ww&#10;P9K6u/toBfaaRDHzcHPyjn929aQijHSNB/wEVj7LzNOZHCR6DZxsG/t7Ss+oYn+lJ/YFgOR4gsM+&#10;yOf/AGWu+2qOir+VKMelHsV3FzR7HA/2Dpg66/Cfpayn19FpyaHpLxiQa87KwyDHZTEY/Ku8YfKf&#10;pVHRONFsgOghX+VHsV3C8exxz6V4fDES+ItrDna1q4YfgeaBp3hrtr8p/wB20b/Gup09QfEOsZAP&#10;+p7f7JrYAA7CkqV+pTlBfZOBGm+GyvOs3rf7to3+NINP8MhzH9u1N2xkgWnOOlegCs9cDxFN6m1j&#10;/wDQno9ku4Kcf5TlE0zw2MENrLEelnj+lPFhoAOVtdecf9cCP6V3Palp+yXcXtI/ynE/Y9FY8aNr&#10;rn3jx/7LTZrTRoozI2gazjIGWZV69O30ruKo6sM6e3++h/8AHhSdJJDjNX+FHLGxsgPk8J6s/wDv&#10;XKihbK3GceC74/716tdqDxTqfskHtF2RxZ06F0Kf8ITNtIxzfAf1psmixyytJ/whALMckvqHf/vq&#10;u2Bpc0eyiUq8krJHCR6at3NMy+CrQsshVy1833u/f3rWtxrFrEkNt4Y0yKNBhQbpjitbT+Jr4f8A&#10;Ty38lq/mk6MGtS1i6kXeLsYPneIGG06Jo+D1DSsabZ3WsXrXUYtNHtpLd/LZDCzgnAPXI4wR2rfz&#10;WRo7btW1rjGLhf8A0AUexgug/rdZp+8RkavDJb28g0dUlJXCWZIUBc929qtrZ36nIm05f93T1/xq&#10;S+4vNPP/AE2Yf+ONV0Hiq9lDsZOvUe7KBttRIx9vtx/u2MdMOn37f8xQL7rZxD+laWaXNP2cOwe2&#10;n3MebTb9LeV11m5LqpIxFGOcf7tS6Xb3IhhuJdRnm8yMEoyoAcjPYA1oyDMTj1U1W0s7tJsz/wBM&#10;E/8AQRQoRXQlzk1qy0CSaWkHWlxVEBXn3jDRbzUNeM1r5QUJEjlz03MQDXoVYmoj/Tb0/wDTtE//&#10;AHy7Gk1cadiO20SXTvDb2VpIFuymTKg27m/zxXnM2n3qXTpd3AicHBQvz+lej+JNTuNJtoLiBQwL&#10;lGDdDkcV5tefaJbt5ByScj3pPyNKfmTrY2sZAlkZyexY1BeyQQxMkMYVlZctiq8sd2Assg6nqR3o&#10;SzM1u8srtu3AYH1FTY1TRLaa3d2czPbStHnspwK9b0S5a80WzuHbczxKWJPU45rySxs7Ys/mkgDG&#10;K7vw1qcglt9PSRDbqpCqBz0JqkROzWh14paQVl32qTWOoRQvCn2dxnzmbGPUUzEm0Y/8Se2X+6uz&#10;8iR/Sr1Y1lqFvZWKiZmCtcTKrBSR/rGx0q/cX0MOnzXikSxxoXOw9cDNAy13o4qK2nFzaw3CgqJU&#10;VwD2yM1ISBQBRi4126H96CM/qwq5JKkSM7sFUdSay4r61n8RyRQXEcsi23zqjA7fm4z+dRa/NAbN&#10;orq/is7U/wCtct87D0X/ABpdBpXZ5r408Tya3cm1jQrbROdvPJ7ZxXHOc4GMY7V02ranpVrcIuix&#10;MSjEmeYDJPbA/wAa50AytuUF3OSwx71kzoWx7deSo+mXLo6sPKblTntTjPFZ6cs07hI0jBZvTivH&#10;NN1S/tI5oYJZBbSKxkjD47V02uTazd6PFftMq2cqLGsC8E56/U8V0Kpc5pU7HQWnjCO/vBDbWEzI&#10;WwJGYDPvjrXQxTF2AZCpPQ5yD+NeRw62ttBCn2RWZDgSE/NXfaD4rtdUdLdoZIJT0L8qx+tEZ9wl&#10;DsdRVCw/4+L8/wDTwf8A0Ba0Kz9NwZL3n/l5b+QpkWLN8SthcMBkiJuPwqlYQSy6VaeZOyjylwsf&#10;HGPXrV67GbKcesbfyqKw40u0HfyV/kKOo+hNHGIowi5IHqcmq1x/yE7P6SfyFXKqT/8AIVtB/sSH&#10;/wBBpkouUtFFAharanxpV3/1xf8AlVoVU1X/AJBN3/1xb+VA7E8PEEY/2R/KpRTIh+6T/dFSYpBY&#10;KKBS0AUrD/j91L/ruv8A6LStAVnWP/H7qP8A13X/ANFpWiKBi0tJS0AUdQ/4/NN/6+D/AOgNV/NZ&#10;+o/8fWnf9fB/9Aar9IBc5pQeaaKUdaYDm6GqOjf8gi1/65irx6GqGkHGl24z0XFIOhDZDHiHVcd1&#10;hP6NWsKwRfW1jrupvczJErJDjcevDdKpXnxA0i1l8tFuJm/2UwP1NSmktS3Ft6HWis7P/FSN72i/&#10;+hn/ABrmk8dvPKoislVCf43yf0rajuDNP9t4WQxeXx0xnNR7WJaoTNwGiq0crngtn8Klhyz/ADHP&#10;NHtkV9XkSVR1g/8AEsk9iv8A6EK2BEmBwKDbxMu1o0K+hGal1kVHDtO9ympOKM1blt4tmfLXPrtp&#10;tzbw+Vkxpn/dFHtvIPq3mVwc96dzVSwghaU5RT17e9TTRR+WfkX5WXHHTkUe28g+reZUsj/pmoD/&#10;AKeB/wCgLV/NVPEEYtdHvZ7b91MBu3pwc8f0ry6TxjrtqTsvdw9HRT/SmqyYpYaS1uet5rM07C63&#10;q+O7xH/yGK47QfHOp307x3MUDhFzlVKk/rXSaHf/AGzUr6YwvGZBGQDyDhcH+dXzJkezkrmrfn9/&#10;Yn0n/wDZGq4DxVK/SV1gaKMu0cocgEDjBHf61YWVjx5TD64p8y7k+zl2JcmjJpgYn+E0o3HoKOZd&#10;w9nLsOzxVLRnzo1p7RAflxV3a/8AdH51TsoH0/TUilwfLDElfTJP8qXPHuP2c7bF0GlBqMGnVRmP&#10;zWTqC5vpx/fsW/Q//XrTyazdQO2+VvW0m/QrQNGP4nuGmgsoSimNgJiT64rmi+GI8xcjH8J/xrd8&#10;QqWtdMYc5hx+grnZo3aRiBnK/r/kVLRcXpoLPGksKM8mBnI2r1qCVY4tPbZK+C3fHWrKh0t0G05B&#10;PRc1Beb3sTkMSCTyuO1Iq7uOit7VVkbc74xnPFaegGBNctigIO7ufX/9dUdztBJv2dARtpdMk8nU&#10;7eQjoyn+X+FNEtnqlNkjSVCkiK6nqrDIpm+l8ymQUNLhiS3urbYpjS5kAUjIwTnH61R8Q6Vbrol5&#10;JbE2zLEzHyjtVhjkEdKeNTtdNl1N7mdY1Wfdg9SNingdTXI+IfHU8tjNHb6fttpV2eZM2GOfQUm9&#10;Cknc7zSCRothubJ+zpz/AMBFZfiG31TVLd7WzuPskPR5O7DHP0HauAT4ga3Y2sMX2e38tUVUJU9B&#10;x60yf4maxLDiOG3iJGNwUkj8zSckUoyRz1yNR0DUbiFJ5oJD8rFGKll68/pVFp5JJd0jMx/2jU6z&#10;XWr6gfNd5rmVs7ydxNWl0ic6nHBNFL1USsvzbc9eR39qjc10M08npT4JTE5IGTjFX57Dyp7iOOKQ&#10;hX2qSM8VXls5/NbbbyEA4ysZ5qSinb3DeV5TN8hO7BHfHWrV4tyHWJ7kFByFE24L711UPw4bcN+p&#10;Jj2iP+NWv+FaI3B1bH0h/wDr0+ZA4MwvC+o2emXEjXtslzGV/dkbcgj613mianpt8FhW28gqQ6hg&#10;MN6HjvWMnwytxjdqz/hAP8a0l8NQ+GtKnuILlrkhlYK8eMnIGBg1UZ9CJUm9Tq40Ee7B4JyB6Vna&#10;Uq+beSKeTdSA/oP6U6HVQcK8MpbaD+7iYge1chD4yOmaxf2klsZIxcuQQ2DyfTFauSSMFFtnfyDd&#10;C49VIqrpvzaVaH/pkv8AKjT9Qj1G3EiIy5HIbtUOjSFtNVD1jd4/yY0JiaNECqc3/IYtf+uUn81q&#10;4DVKU/8AE5tvaCT+aVRKL+KXFJmjNADqp6r/AMgi8/64t/Kreap6uf8AiT3n/XJv5UAXIx+7X6U/&#10;FNQgIv0p24eo/OkFgxS4ppkQfxr+dNNxCv3pox9WFAWKtj/x+6j/ANdx/wCi0q+KyLO8t1vdRzPE&#10;AZ1Iy4/55pVz+0LQdbqEf9tBQOzLoozVL+1LEdbyD/v4KQarYMyqLyAsxAADgkmhsaWpoy2MNw8T&#10;MWBifepB74I/kTU/kIB3/Om7wvGarPq9lG+x7uBX9GkArl5pdzu9nHsWvKQdv1pAq+n61V/tfTf4&#10;tQtR9Zl/xpP7X0r/AKCVr/39FLmfcfs49i6EVsgimw2kEEKxRRhUXgDPSqh1nSx/zELc/R6hfXtN&#10;XpeRn6E0uZ9x8kexyviOzifUZXK/NnrmuA1JCmoFT7V1viPXo11CVUiYgnh3+RT9CetcNqd9LLde&#10;ZtRSfTmmrtEuyNux4dT7136TbbW3/wBo4rx5dRuu0xX6DFbuh395cxXomuZZAseVDMTt69KXKU5p&#10;nr6SKuCWA/Gnx3lvFJmS5hUZP3pAK+d7ue4eYk3Mp9i5NVt0v9/P1p8pPOfTZ13SI1G/VLJfrOv+&#10;NRN4p0FOusWP/f8AX/GvmrzZR1AP40v2lsYKn8KOUfOfR8vi7w/5eP7Ys8+0oqO58X+HmjAXV7U/&#10;8Dr5489mGRG5/CnebKf+WL/lRyBznu9j4o0KNyX1W1Xr1kqZ/EujTbo4tTtXdiAqiQZJzXz+ZpA2&#10;DG2fStDSnkGoQFkKYkUgn6ihxDnPd/EmpWSaVf20l3As4T/VtIA3PTivF7whmbBB+hrs/G8dyPtR&#10;kRZJMKSyDAPSvOytx2tz+dSolSn0Oh8JLm/lH/TM16JoJ23jD/YrzDSBPFE/+iymZiAgQ4J/HtXo&#10;HhOz1dzPdiaEIny+VLlyD9RimxROzAzUm0EVjDVLhVxJqOlRuDhlKMSD/wB9Ug1dx/zHNMX6W7H/&#10;ANnpFG1tPoaURt1xWE2tOP8AmYLIf7tof/i6rS67KOniKLH+zaD/ABoGdUPlHNRXDBraUf7B/lWP&#10;oc15eah/pOoG6tpIDJHiIJyGx2rfmtYPLYDdyMfepXFYpIcop9qeKpLYnaAbu5/77H+FL9hHe5uT&#10;/wBtTXYeaXc1nX6h7+1U9HjlQ/iB/hTzp8fee5P/AG3asrVbOOKa3KyXGSJMEzscHYSO/tQNWKOs&#10;Ox0Sxb+JcoT9Bj+lc1Kf30RLDkY/z+dbmuWcMelWLL5mXG5gZGOTjOev1rBks4zASFYuDx8x9aT3&#10;KitBvmN9hYgnIccj6Ux5GfTXJYkhjn8qUWiLDKWjP3MjOeuKrwWySW82EyRjFMOqLNnMrxSfIo+U&#10;Hg9aclwiyxnao56hvf8A+vVcW0BtbfKRqSmTxyeKyr67WFkWGKNtowWK9altLUduh7HDfwtbxuZo&#10;+VB+8PSoru8WSPbDqEMB7tlSfwzxXnOh+LEgMcN5YW7xFuXWMZUd/r2r0dbe2wCsEQzz9wVcWpIz&#10;aszDsl02PUtRa7vIZ3kZTvklBypHT6cCszxQmjjS2W1aCSdnCgI4Yrnqa6a3hiXVrtRGgBjjb7o/&#10;2h/Ss2FUh8bXMe0BZ7QNjHcECnboNdzLv9P0O5MUUt3bJaxx52JIA0r44GfQZP51gXeg6HaWjzS3&#10;yz3RH7u3tzwCeg9ce9ejRaPZpcfaXiWWfna7jO0egHaq09lFptncXMNutxfOchmXJZzwB7AfyqXE&#10;akeJJbyGRsDBzjbnn8q67was1j4gsvti3UbeZiNHGEwQQTg/0rOudDv9O10teqpLAyEqcjn+XJFe&#10;o3VtHGgudi+aZIjuxyBuHGfzqOXRmvN7yRfudUitJA1xMqK54zWfPrli0p2XOR7K3+FRa40wtC1u&#10;wEobgkZFYQk1njE8YGP+eYrBO51ysjS/tdhwYrZfcz//AFqX+3GH8VkPrMTXiW8k8mnkqYvvfNnp&#10;irsZ857UmtyvIFSewOTjCuWP5ZqXxRcvF4UvZQSrKFII9dwryTw3uHiCxJ/56V6b4uuN3hO8B4+5&#10;/wChCpfxIq94s4SLxPrlsgdbmQK3OMn866HQdM0rV4RfXV1L9ukYtKnl5GST7GqGkXmnW/h25uLh&#10;rdrtiAgch3OCMcelbWm+ItH0zRYj5Tee24qkfBI3HGT2rZeZyy8kdRa6T9niAt9QnVP9kJ/hVLQb&#10;aWe0uJDfXAU3Mm3bt5GevSo9B8STatBdySRxoIULYGd3Tj61e8OLt0G2Pd8ufxNWmnsZNNXuW/7P&#10;J6312f8AtoB/SqUlgv8AbECm4um/cOcmY5+8tbCniqUmTrcP/Xu//oS1RKbHDTIe810frcP/AI1G&#10;1jYiZYWml81hkIbl8kfnWhmuH8Q3TWfjKynaVfLRQWH90d/50pOyuNXbsdaNJsx1SQ/WZz/Wqmqa&#10;XZppV06w/MIyQdxPb61qQzJPCkqHKOoZT7Gq2rn/AIlF3/1zNMV2KukWBUZtkPHfJpw0fTh/y5wn&#10;6rXP3/jQ2d48FvpdzcxQtsklXgAjqBwc10OmalBqunx3lvu8t8jDDBBBwQaSlF6FOMkrsUaRpp62&#10;Nv8AjGKcNJ04dLC2H/bJf8Ks7q4lvED6f4suDLcia1C7ZFTtjoQCeo6GhuwldnSWNhZ/a9QH2WHC&#10;zgAeWOP3aVfFlagcW0P/AH7FZ2iX9vqJvrm2kDxvOCD3+4o/pWvuoE9Bi20A6Qxj/gAqRYIiyjYo&#10;5HQVma3rlroOnm7ussCwVEXqx9K5y1+JFpdsYobSRLrI8tHYYfnkZ9cUpNIqEW9UegtptryrbiD/&#10;ALRrjfF88GgWc91bWsJZZI0G5exU964pfGPizUNQe6trwjbyIAoCeu0A9f510Pji7fUfDwl2BZJv&#10;s0u3PAJQkiuS2tj0X8NzOg8QNcqhxCsjru2Y5qVtQuW/iUfQVx1jCWukmkZVRRuYjI2+wNacOuW8&#10;tyIdrqCcK56GqsjNSOij1W8j+7J+la+h6ve3er29tLIDGxORt68GuVnvrayA8+QKW6DGTWhol7BL&#10;eRXEU8uxc/NAuWz0x0460pWSuXC7lZF/4skRaZZFVHLgH8jXkzMTGpGefWu98fXjT2EMPmTyRLIC&#10;hnX5hw3Gcc1wYGVQU6bvEmpFqVhoZgK6Dw25/wBMB4zH/jVWWwMdsWkXYVHKFcGrOgLskuB6x07i&#10;5Wtzn7zIm4Pao0gZ1JLH6VsWGjz63qgtrfZv25zIcAV0cWkXWmvJpeo29jNG8LNHKEGUI/2sZ796&#10;UppaFQpSlr0OKtoFlZgX249e9aEenxMBhieetVElFtK6qEc7iN1bmiaXqN3YSXUNq0sSkkuv69et&#10;NtJERi27I29U8KWmm3EEYkkkDwLLnOME5/wqoNJtR/C3/fRro9ZuI7s2E8bZRrNPzycj86zfsrXp&#10;EC3H2dT9+bbnYMUk7K7L5bysji/EEQs7+NYQVVkB655ya03ijhFnIgIJYEnP0p3ivw//AGbFbzx6&#10;i18GYoSwxtPpUUtzHJa2yK37yPG4Y9qcZKS0JnBwdmdV421S8uNansLC2aZUjQysiliD1xx+Fc/b&#10;Hzoz5kLRyqcMpBBrt9aFvaan9rkUEzon3jgAgd/wrjNe1VINUCW8CKgUbiP4qzjLXlsazprk57l2&#10;zZklgAZgPOAPJrv/AAjcIltqidALh/5V5VDd3V9IkOnoC+d5LHGMfWux8EaleDUrvTby3ZWljaUs&#10;V78A+1OTWxEIP4jndT1m7n1C5vbewc2LysyyMp5BPr0rL1HWLqJv3Ei+W6hh8vK+1eii6s7KF7Vv&#10;K/cxkFOdxAHGB6YrzC+u7e5nLpbx4UZQ7j930I7miE+bSxdamoJO+4v9v324KzxjkHIGfwrpoJ/N&#10;hR+eR3GK4Z9iyHYy7WPTHSuh0XUzOjQTuDKp+Un+IVoYXPVvCkvyWX/XvMP/ACIP8a6Z5jnGM1xf&#10;hWUFrNScDbMv6qa692VVyKylubR2OePi/Rw/lpO8km4qUjjJIIraWUMgYZAIzzXjF2Y01m5fa6rH&#10;cMX8tSCoyeQ3qa9K8O6rZajpcQtXf5BtKSPl+PU966oSvucE42ehuF6xPEMjpBDIn3wZNv18tq1S&#10;aytdlEUFvKQxCTchRk/dYdKshbnMT+IbfVNOtYJFaG5jBBTqDxjr+FRyTEwu6gAr0rmrycQ6iJyg&#10;wDwueG47VuwSJc2TPGCVbOOMVne+5qtAad5IJgccJ2qvaPthnAYDIHepzGyRS5Xgxnv9KybpxHYz&#10;ttyQoI74OaroyNbq5PFcRypBGrZeNCrD0NVJbGNrSSYK5k34K9Qax5riWNkkwQjgE8cNVm01Oa3i&#10;dSjtExyoI7/Ws+ZbMvld7l/w5Jb/AGiW2uCvlhC5WTjeR/CD2zmvSNA1q11ez/0cMjw/I8TnLL2G&#10;T36V5LBeiG4aYRgu/DIRw4yCR7V33g6KAXt1cm43XE8YkEIUgRITnH5/pVQetiZrS506ca1L/tW6&#10;/ox/xrLujs8c2R/v2rj9a0mONZi/2rd/0Zf8aytSO3xnpDf3o5F/StSEdLniqGraiunWDznBIGQv&#10;r61k+LNUuLLTwbSWENk7tzfNx2Arzi88UX9/btDcOzKTu/pWcqltC4wb1Lus+MJdUlFsLeJFLg+Y&#10;M7sehr0q8bdpJkHTYr/lg14Wjg3KMR1YV7CdY04+HxG17B5n2UAoJASDt9PrRF3TuVJWasXtQdWi&#10;UD+8Kr4GwVQaZmjDs2ckEe1XFbisInVN3seHU7au0/Nz6V0a+EpiQDLint4OmX/lqPzqrkWM3w2M&#10;a/a/739DXeeKZ3Phy5Vl4LL+PIrnNK0J9P1KOWVwWQbxtPHp6VseJ737RoEiKvO5ePxqXuUvhOHt&#10;wJHY5ReM7ScA+wp6uBKwAIHYVCmFbJ4I9K0LfTLm6i+0x5Zc7T328cfhVmZctdQltA5tZnj3rtdV&#10;6EdxXRzeIdSt9BtBaJshRdpkQ8hhnrke1ck9tPb7klhZWHt+FbmiaVNf28jrK0YyFRv4d+ehH0Jo&#10;i3cmSVrne+G9ZOrWH75ClzFhZQe59fxq6T/xPI/a3b/0IVHololvp0J8tUmK/vQBj5s8/rT5GWPW&#10;97sAq2pJJ7fNW621MHrLQuSTxQ482VEz03MBmuB8dmxuLhZY7pRdQAIUA5OSO/0qTxxdLczwpBIj&#10;BEDbgeufesDVJ7K9srNtkovY1CTSdmUdPxrOU73RUY9TuPCOo3mp2rST48qMCNAq4HHf3rY1f/kE&#10;XX/XM1yXhTX47KNLCRJGjLAKxI+XJqfxV4pa2uZtMhVCrIA8h6jI7U4PSwOHvaFu/Z7G4ljW4miD&#10;ksQmADk5zzW1oUax6TGUYMrlnyPc9/evOdO8R6VPaudYa5N2js+9fmEvoPb09KztP8UX9jqE13bO&#10;Y4XkLeRnKYPbHr71hSTU3od2IanSjFPU6fxX4q1aLVpdO0tGjEJCs6puLEgH8OtczZPc6jrqR6jF&#10;mfeTMH+TcAucH613g1CxuLOPUAgb7UvmFVkwVJG0g/TFcVq8yX/iGAab8shbAYN1PA/kKTnKUnEc&#10;aMIQjK5seGobrRPFMS7oxaXhaPYr5wcbh/Kt25uPFF5L9u02a0js1YhLdx8zgHqTjv7Vzl5oeuHV&#10;7aeDdLLar5pVQAoxyentWrcataLbrJKIEwvPz4Ix6YPNKU6kYrzLhRpTqSv0NLV3tNX0/Tbi62xH&#10;cx8tsNg4wevBxWHJbWn26w8k7VgnEhXywowOpAFclf6k+oTl0c4B+RST8o9BXQ+HbUyXCSGMzO0f&#10;76SeQ4gQ+nuauad1JsilZRdOK1M4eMXhuZPJtYY7YkhFCjcB0BJ9cV1XiYRahpLfZ03Q7YGUDnAA&#10;OentWbrVzpGm28aLZi4Zl2qvygYAx6dKgh8T29/NDGYxa+SirGgG4OQAoyfXj6VFNKWtrF1eZe7J&#10;3MnSvDWqa+rHTkiS0hb5hNKdrN7d66SLSdOuNLNrJYiC5QlCqqD84PZup9aXS7yOWGWMIsZR/nw5&#10;Vckfhz7VntdXd3NdzafpdzLGhKrcQy7cEdwCOaiTbdjSMYxhda3NXT4ZLNpppbKMySEcygZC44/X&#10;NI1pPa3Mt3BEiLcsse2PgbtpPpxwKyP7ZunhiMl3AZQuDvjIDc859xWlpGpXMlvPbRM88E5GWHyi&#10;ORTkOOM9cCnyNyYe1iqa7mV4umZ7CK2uCEuBiVVJz8oyMfXnNccN4UMowVr1PTbeaSW6vNWjs57i&#10;Z+WlUkBccAegqzp/hKw1pdRtJ4lQNIkkXkHaEO05P8uKcHb3CZ0ZT/edzl9V1afW9HtoraOTzbnA&#10;cYGB64P1xWJaaNqdpMHELiNCNzZ6jOK9kg8D2Om6di2cRS2o3lgcknH8X5Vzt0mpahby2lsW82U7&#10;QG4xnsMmleUGlbcrkjUTk3scR4ekS3ldp1UxTHYpOQdw9/StfxJdoNBlEEaoZDtJRsgZPTPfvT9E&#10;0H+z9b+yagH8mKPzUb+8x43YPTHIxWn4g8P2161lDbzs0UZZpO3BAx/X86io4+1syaUr03FbnlIj&#10;+TPBJOAB1NegeFbtU0dIxM8TRM29QwA655Hekl8M6dFJaOztHGZ0R9suWYNxgcV6c3gTw7Yw286o&#10;9uMcbfm3HHJNate0j7pEL0Z+8eUyWmo6rDbRWUn2WJIN4819pIZ2P/16LV9U0HUI7aWZLlZF3B0O&#10;cdeM13PiSXR9JvltbCfzryNQrxRxM7L3B4GBjj86xrLW7GXXLOK/VPs77QAVwW3ZGfzxSanflsaL&#10;kS509TmPEWq395bRRhG+zn/WOwyRzxn8am1fSUhsrGRXiBWRYGEfVsnrXf6z4ctLl7lYoxBYiLGQ&#10;MsT3wPWsDWdEbQNCju7g7trqIS7Z2tj0/ChRcXFA5c/MzSt7dNdvza3KyqUTajkDa2Kfq3hHTvtN&#10;raPF50tywRT3U9M57Cuc8NeJ7ka/bRySxlZG2HPvxxWh441qaCXaJCoLKgYHBCkc/wAzXU1BTc4o&#10;47zcFCT6l7T/AAVDpEl39luxuw2xbmNMS47RkMSemRkCub1bxZc6dMFsvLSSWLJm8vBIJ7D8K2tT&#10;vkudFud9y5jhjLxvuGFYD5cYHXNefapdLqJt5pmWN44lTbuyzd847D61xQXPPmaO2p+7p8lzd03x&#10;XZQ2MpvLa4lvQCEOAQwPqfrXNMLMzeYYiFbOFPFQ3AWN1MchaNhkHGDj3H4VDK7O6ZbKqMAE/wAq&#10;6FFJto5ZTckk+hBcfeBCY4xVuNntbiGVSqvtB4HGDVOUkSEUpmJRVAxj9aDM9O8H3stwlsyuPM8y&#10;VQTx2BrtpJp1TBGT3ry3wbdGPyAegmfj/gFd7camY06HPpWUtzaD0PONbuZpfElyGmdzvMe1Ou30&#10;rR8EytZa4dzp5PlNu+fG3jPTuaxtWnCeILmZRhjJnPcVVW6aOdDCoDE8YFaKVtTmmr3R6lL4oZp9&#10;kNvkdfmPJ/wrH1PWLm4ms0k3Kpm+YAZXk4GfpVCxysaumZHKZOTyaytVuo42hlgaTzWO4qxyBg9M&#10;fWtHIlRRm3DrFHPHM2Z1lBj44Awc/wBK2dKnga3kG8q7JjaT7dqw7q4FztOAXx84YY3VAh2H58gA&#10;dAetTewzr1ZVVyzHHltVS1uYhvZmOzaQTjNY8OoP5ZjPdCMkk8U+3cFAAQOoI9RVKVzNq1mWEnhi&#10;szZ3PMTMQHX+H3rPezYOPLeOWNh2bkfhU6EmOVAcYYjAqiwwSCTSaKUhriOOXHnK4x6dK0dE1u80&#10;iSVbS6iHmqN3mLkcdMZrKKr9arSIB0GSaWzKtc6p/GWsxSpMLmOWQRkZKDC5PPT6Cs++8Q6xfss1&#10;zcMs0RzGVG0qGHbFY8kUkKksQGIzgHkdKi8525aRm+pp3Y1FFmW/uJ1ZppnkYkZLHOah8044FOXC&#10;xEkAnrSF8dBxUlIj8w7hn1qfDb8jpnNR78HaacWySB2pgd/Ffs0SR5+UhTXQxnIrh7eQlIj/ALAP&#10;6V2lucoDnsKlF3KAT2o2VKGB5zxUBvLckqJVJBwcetMRWuZGSd17eV/7NXP6zMW0qRSed4ra1CQe&#10;ZIQc/uR/6FXN6k+bIg8/MKl7h0MyARsSzg5HQDpXS6JJBa2ouFkLsSUkhYHp2wR61yqsqjip7e5k&#10;t5CY3Kk9cGruS1c6y8vRdogfqQEC5G0L25x1zW1pDxtYW9tC9qshG4hxna2D83sfzriG1NpVIdUO&#10;e4GMfSla9GERXIG0bhng4pKTTIcdLHrlnfwxJb209x5k8i8SY4kPsRxVW7mhfX5LW52iOW02jJxu&#10;yxyK8yj1Sf7QhNy2FORknjHp6VZ1HU59WntS6sxgXYZFBYkZ61aqEOBb1+1fS5Fs47YiHeXjmd9+&#10;4Y6D0rMmzjgU+5uxJEiO28ISF3E5UZ9Ogqm9x1IJIqepauasDeXC8g4YDIrnr6Z5bt2LEtzya0/t&#10;K/Z3A3ZI7ViTE7nz601uOKId5NWIJkVCJE3jPTOKg2hV60nSMnPekWdFaaxK1hLpq20bLL/qtvVG&#10;/HrTBoWrITstGBHO7P8AWqei6fqGo3sa6fDI8iMGLKOE9ye1ehXK3c6PaxxyeY6Y3/wjI6jvms5t&#10;xaaW50UlGompPYo6X4rvL62h0+N1jmJ8u4LDcXGcDGf88Vmahpd3PdppgVflLSI+MHae3oetJo/g&#10;/V11SSS3nhiNs5VXc/e7ZxWvNqklpd/ZdRKJdKCplQfKfTr61c5cz5W9UTSg1FStozmJvDl5bWkt&#10;xKSojTfk4A47da6fwJa6bcaHe6jdb/tMJKkPLhCMZHHfoaqa6Fm03dNIIo5gXj+X72PXnrn+VYmj&#10;+G5tQtm8y6+zxFhsBUkOT7CphO0bzLnT97lpmxoz22uyRTXEEqzwRGNnx+7f0OccGtq18J6de6pb&#10;yTJJEqN86qwBYY46D1q/4M8M7rO/sGnknICTWx2sF/iDDHbtXW6T4UWO1l88SIzIfLVFPLdjmuCe&#10;LhTq76aGkmlScZLUyk0i0jeVZbZYUXAQRsWyByCeOp5rnIvJsImtl85BGzAgSYxznkVu6rJJo8to&#10;sQH76TYcL1OeAaj8QaRpcuotftK8cI+eZvLbCY+8elXi60YVFHuVhG+XXocfZ+KNHtLknfIF+ZSV&#10;jycN15JqofFdilz5WnWh2cbchVHA+lZHiWGC41iW/wBOsprewu3LQpKMBj3x+Pb3qCbwxqNlqtjZ&#10;zIsb3jBI/mDAEnHOPTNd8KrcEtjilT95ysddos11rdkz2rBXhfY0eA3HY4/Oui0TxLDZa1HoEsT/&#10;AGt1EYkjG7c7HPPp1rh9U8Mar4QjivZJyvm/IBGCCchs/kAP++hVrwLqdtY+MrfUtRs57s7W2bAW&#10;YSAcHHr9azUbTcmzojWfIopHp+nzy2XxG1Owa+iWEW6FjOnGML6YyecZNbFnoDWniKa/+125sPJV&#10;ogE4DknJH5DHPeqnha8XWvGmrao1rLZ4tIU8uTG4/M3PHsFqr8U9c1PTdJs7LSzMk967Fmi4YIoG&#10;cHtyRXQ+VrmMbyTsVLlppfFPiK48pZGtYImiMkPG0nn5W+hP4VRma4v9Mu76WRI4bNQXKIqfeIGC&#10;B19fwrnvh7c6jb+KUs9Vjm+zagpRzKS29l+YDP5j8a6vxDPstfGAMQWN1RGUegXOR+FTyRmnISvF&#10;o88/tSDUdUsYp3a3CTho3kAVGHbPp25rrtV+IGqaZpCLIkLkuUjymePUZ+lUtROnXOhXLSSeai2z&#10;FCyKFHHy4PtUfiGyl1X4VeHbiCDzLpZfLXYuWfdkY/MVlh5KSaXQ6MRFwleWtzI0KG8udXvNVYMU&#10;k7eYfmLKDz6is26httM1q4Fyokccxpk4QHnPHfmuw0Pwzqlpo9rNM2WuV3CLGQi9s++DWX4k8D6j&#10;5EmrWpExeQI8RPzAnAGPXrilGT9q0xTUfYJo2PBPiOa+tJ47qTzGt2ADHqVPrWt401jThYWCygSl&#10;7gJGisDyRgkj6GvJNDTUWvZNPtmMUswMcu7jAByc/lWheeH7/TlNyREY0kDKd2SO9OrJbBQUrXSO&#10;kVtOhnhjMahpZgisqY2sORk/UVU8SQza1qFtZ22Hn3kYPTgEt+XH51ka9eSasiPbKYo4kDkbud/c&#10;1i2mt31neQXKys7xyFvm53Z6j8aindQ8zSukqi5jvNX8ODR9Mtrq1td6Qri7SRziYYznjp0rF8Ze&#10;Fbax0221zTp/9HvYI7j7OTuMZbOQD6DH+cVu+IYtSv8AwkWtIHCOVd1QkkrjJ/DpWAupNeeCLPTr&#10;hsvaXDqqn/nm65/IEH86VKT5W2VOlGdWMO5z8sHm6Hpjxj52kkhPucgj/wBCr0a00CxXQhYnSrYy&#10;umGkZh5nT72e3NcTY6TealoS29pHukt7xiWJwACo5/Na6FNdn0/TVnvCkjxsYS4J+ZgcYA6VVa9l&#10;Yyw/KpNTOYi8IXs73A82GMwkhw7c8Y/xFSv4JuoUZnu4PlbaQpyema1dZ8MXMmpWQg1Bo5r/ACzi&#10;QkKrBcnkf4VyurWN/o9+1ndzEuACCjkqR7V1RcFFc0ThqRnzPlehu6dbPpF1BGZA2ZC2QMdsV0M+&#10;omQ4wM1w2lStuBJJIkHU+1bTStu9DXPUs5XirIuF0rNmTrAL6pMcHJI5/AVSKtvAwT74q7qC77ti&#10;W7D+VVIyokyQcZ7daFsS9zYsr37OAgLtHt5JyvPtWbO5kYsXzhjjnrU7TLPbrFExUlztU9fzqs6b&#10;CylGBHHP60xDXdiPmbk8k461XYscAHj60+ZuOOPSogv5+lAyVXx1P0qZJCsiHIwDk1XOF+8hPHFO&#10;DER89B0oFYvRS5uZGX5kYZqCU5YmnWRGHODnHHNQSvjJPbrVolrUa2RzxioyDgY24pSSVyD1qJlJ&#10;XrSZSFUYZnZw3HSq5Az979KeoPP0NR4I5oKJN/H3u2OlG8Z5J/KmDnIx2p6rxkmgYny9STTyFyTk&#10;4pjEdulO25wScDAoEdHaufs8ODxtFdrZzAwpz/CK4axINlEfb+tdrpp3WyH/AGRU9SkYd7rCiOSO&#10;NugwS2Rn6VjW95FGZNzuZCcgbsLWfcT+a6qMnnr3NQEsr7SODyKViTZS882ZgpDb1OTVW/JW1PP8&#10;QqHT1IuW54VTTtRbFtn/AGhT6ldCkuCAST+dNBLMR71Gp4zTkPzN9aYibHbvR/FinHkA96jkP75Q&#10;KQFlUIIOMVKZHEiiNiCeODiogH2daemfMVvmPHPGcUtSWaV+ybcqSSqgEnHJqhIcWqnHpUkpIt+c&#10;5J7jmop3CQgFiM+lWtiUX0ObM/7v9Kx7xWeRAoySO1bVmoliWMuQGwN2M9aZqOmR2YilWZpMnacp&#10;txTS1EpJOzObcEHBzn0xXQ+CYtLuNcFvqcJlWVdkSkcbjxzWNcSBJmVAMeprQ8PXMllq9reQojyR&#10;PuIcZGDx/WiUVaxtCVmnY910iGwg09rCziW3hiGwCPAJ9ye5qM205kMIlTyO8mP3n0zWPoN415qF&#10;6WUIyKhIU5HOa9A0bQLa4iS5nk3k/wDLNemfetotSSY5Qs3c811KGK1uHRbeS4AfdkOQea4LxJcQ&#10;PqYjijKGNArjOeetfQeqeCbC/uTKJZYSTkhOlVNR+Guhanpf2aeN0lX7lyp/eL/iPauWNGXtG2dc&#10;q0fZpI+cpbgvFGjnKxLtQegJJ/mTXW+B5tQnSSIs0VqGAikK456nB74/rV/R/A8Np46utO1DbdQW&#10;cXnKRwsnIC5/HqPavQrmK0n03EUSBQhMW0YCke1E4Xi0yYVLTTWxY8JXkVp9pjkDNMefPIypXsM/&#10;mcV1yThYFCEdOCRmvPtK1CGGxkj+VPKy7E9xj/CukgmM2nRhy6blByvUcdK8bF4FOm60Xr1RniF7&#10;7ZxGuXsV14kmEwbbb3CPhem4YH+Na/ieJdT8M3cUZCu0WQScDB4J/ImuEvB9mv7qJ8ojXP8AEeTl&#10;s/yrN1bxndSw29rGEm01nKsjDDOoIypPoeDx61WJwVSrUpuH2UjShUjCFmb+u2FheaGbSKSUC2QG&#10;BsZGeMCuL8RaxPFqkMTFhLZzB1kHXsa6OfxJoZsJp4JJ47sr8kIXBVvXPTFc3YQXPiPxdpBuV+W8&#10;nQFeuVUjd/I16FOE1L3loVXqRatF7m5ZeLrrU7i1i8u6uVjf5jOu/YpRVz7cqSfXNdRY6TLqEp1B&#10;UVY4m8tGRQmcjnk46cfnXcanpWnaVa3dzbIsbXUkZlDHCnaCAPbjiuP0jxPCk8FhciILIGIiGDxz&#10;z+YrSpTTldmuGkknFnV+G7I2E5v5GYKV8raGD7snuRxgGsL4ieMLaz1az0c2Uz3ZIYT7ggCt/dOD&#10;n9OldLbX9o6G3ilgic8sIx+RA9uK+fvFtzM/iOWKS8NzPaMY2uCeXYE81tGEVTcUc1epJVVKx6vo&#10;s6xTfbrqF9kBDxmYlipyATntgZqzrt1pt3pmtXFrPFLHK5jnIXkMI8c+nTj8K4ab4lz3Hg1rB4V/&#10;tF/3LT5yCmOWx69q5OG7l1DXTALh41u9qShW4ZsY5/H+dOl7kGjKtUc6l7aHU6N4KvdR8AXF886r&#10;GoZ40JJJA56dOa3/AIZaleXekz6YYo2j09hMhJw67s5wMdufzrsbK4sofClvp7JtjhiEUykYDMBi&#10;uP8AA8RsviDqsscUiWcisACuOCc/ShR5Xp1By5tzvvD9jE1lb20oBVI1bzN3zMcc9e1N1WKGGJmY&#10;4tyw2w4GMg5Bz65FV9DYf6suT5bsn1ArP8YyywtBBAw3yvlVbpnH+NXyq1xXdrHkepx3CeNL28tU&#10;MamcupB65PIx+dafiWO+NlFvTYpfAUDAbjvWfPb3UUzrdGSBy24buGJz/jWhqmrXWppZJcuoEEO0&#10;/LjzGzyfyxSlQUpJhSxMoRaRyrXclmjpLF99SAc9KuxWkeoX9na2qjKIBjH3j1J/nVbU4ZDDHLLF&#10;IqGQAMQcYz0H4Vd0F2i123fBwJAv5rj+tPksmgnWdRqT3PddKnt3gSAogXaBgDjp3rxy/wD7OuPE&#10;N5bRqI7VrjEbK+NihiM554xXd6lc/wBk6PPcQlhOY9qZYk7jwMfTOfwrydVlh1Eq65LLnJ70UopK&#10;xNSb5k76o7XSriO3lmsopRJFC7BWVgwYZ65HB61wllFJqXiMQHPly3m5lzwOSScfTNW9LuWTVAkD&#10;kfMQR68ZP8q0tOsRB4tnlVDtK+YhHQFuv9anokXN3k7HQeMHEVpa38GTLazK3HdTwQPzrn/GcC6j&#10;p1rqcCsWjG2Tv8p6H8D/ADrodXt3udNuYRks0Z4Hb0rGjmEvhy4ga2cSm3IyxyANvWmwaOR0jG45&#10;P/LRa6RbcHBPIrmdMO12/wB5T+tdR9oYqAMflWLIMPWNsV9gDA2A8ms4vk4A571c1os94rf7H+NU&#10;MZ5J+lPoS9yRXOckUGQ5xnNMH3c9KaDk5oESPlzx1qMJIZFQA7icAUrfKxOat6XCZ7+NT65z/Kmk&#10;D0Nqz8JfaoI5Zr5EVu2MmtNfBViYy8upsEQcnaFAH1NN4FnPdxgAqW8sHoBnA4qrrZMGjlUbIZ1B&#10;JOTnrWtkZ3bLEOg6JFNKkepxuqhSC86gHrnkA+lLL4e0Bwd+qxoD12TBv6VzMDu0bgBd4U4wMVXk&#10;ur2HG4kA+1K6Dlb6nSz+H9D2AQa2AQMfNGWz+Vc3qFk+nzDMkc8Z+7JHyp9sHofapl1S5WAMGIPf&#10;HFSmY3waOTkz4IJ/vjofx5H40mkxq6MUNl8fWos1aht1LlpJAgB6Y5PtUy22nMf+PuVfrGD/AFpW&#10;NCkBjBz1BpAcir/2OAkmO6VsdAVxmqgtZTwFz9KTQXGAZpTxtHtThE0bfOpBx3p/lbkD9cHBoQG7&#10;psoXT1Qrkgmuw0c5s1PtiuI08gWxGMndXaaGd1gp9yKnqUtjzUSksWUhcDt9KWRiSmDk7eagJJJG&#10;enFTKwUKce1ArFrTBm5fv+7JqTVFK2oyDywp/h4CXUnz02H+YrT1qy8zyIo1yzsev0oW5VtDmUQ7&#10;Rx1p8aNnp1NdPBZWdnasCiySbTlmHf2q1Yx2cMKbYI920ZLKCc1pyMy50coVI4waikU+evBr0AXS&#10;r91UH0Uf4VFJqGyfI289flFCphznL28iRwFWEZO7OG69KuxavHDOxjt1XKgAIcD6mt1ruK5TEkUL&#10;Z4yYwa5rUoY47pmjQIo4ZR0zRa2xLipbkd/M1wFlbqxB65qlLIi43DcasTuCEQZqo6O8uFjLH6Uh&#10;pF+Nm+zFl7jpmqiFiy7jkFsda1IrKbyhgorehNUhbXCRFmUbA2TkgHPTp3phFPV2M6dPNumUD3q9&#10;pZCJI/cLgVDa27XF86K21sdx19qfbhojNC6kMuQfY5plo9g8ISpcaE16oG6STa3/AAEf412vhTUT&#10;m5jdjt3gge+Of6VwXg23aHwZASM7nkkH5kf0rsfBaFlvZSPl3qFJ+nP9KcVZJGzlzXbO6DBlzisf&#10;WrsWdvPdpu3rGeNx2n8KvCVxwOlY3iJPN0a7DZH7tun0zVkHnmnXzHxaXJzJLZOv1IdT/U1trv02&#10;0lWWRP37PJtHIi7kA/XJrzue7lfXIvsUrpcqoCbfdlGD7V3MWm6hczpHdFfs7E7sDknHH4ViWYU7&#10;C0ETMrSRXLMWx0AzkV22n39wPJjk8qWMjc3ZgMelU5PDsMsEdjGxxHgs3cY6DNcFretXema1Lpc0&#10;MbPEfkc5GVwCD/OuevRlKElHroOdS8LPoN+JM4svEK4YBJo/NTbxz0rg0fdpuT1huP0Yf/Y07X7y&#10;W91ZZZCMhQABnj86htdptb5SeQqOB/wID+tXRhKnBRk9UYrY6vTJLCx0aW4nsluJpoyAJEyBnIUg&#10;9iOD7ismXVJNK13TLqElfsLKF2nk7WwfzwaklujHpKgvyVQFMfkc/hXOXEjSTSOxJJc9frWsnfUu&#10;S5WfU93eaZ4h0VSl5iOUKyuuD+deV654Jht9SRNP1ffcRhZMzIBn6EdhV5rR9J+E+n3cKut5+7Yb&#10;CckMckceorhrdLqGNLyO9YeZM0ZjRiSncZPoal8zVk9TZOCfNJHZW2sSaXplzeanaPLDbTiAzQYy&#10;enOOnXAryq+ulvNUurmKPyo5pWdU/ugnOK9O1uRbz4R5CFXt7lUcjvz3+uQa8qjGD0yaErbk1qjn&#10;oTg/ugO+eaueH7e4uvENolvt3rIHy5woAOeTVRmPlqAM4znFOsmkW5XynZGZguRwcHgim720MY2v&#10;rse+6dNo97ftHd6mFaLGFX7uT7+tadxc6DoqSTQX43A5fzJVxisXRbXSrLTYo7iS3jmldUVHcBmy&#10;OBjvWhqWjWVxp1xbGBQsiFTgeoxVQclrcqXK3oibRZ1nvRND80UwMgI9Sak16eCK786fOEjwNrAM&#10;CeMjPevKLG+ltdJe0vXkltgNiuDkx444qlfak82lpaWBZYlO93xgsexNJzl8Ni+SPLzXLvjHzf8A&#10;hJfOcqUkTdGQcnbk8H35rO1u2ezMCPkl7dJAMf3hmo7S1utWT92GmuUySByT610Pia3FzNa3CbWS&#10;3iEUkg+7uXgDP+elbXSajc5+VtXsc7rWu3Fzo9rp905IiKbfw9vWptLwmpRLtGfNRv8AP5Vzl+ZL&#10;i8iYLv3SAKo712CWhWSCWBP3n3XUnlSP/r0JLVIV3o2dL4pleT7JED8vLkD26fzNcZf7luLd2Q7i&#10;hX9f/r108zXN/cJhlLou0A56Vm6jbvBPuugoKJnZngiqhohT1Zy2jlv+EnbYv3WLcV6Bao010ZVR&#10;QSuOSBj6V55obRzeIGlJ2qxJHbqa7+O6SHUYLViMzo5H1XGB+WayTNo7GyqAxMhCrkYbqTXmeqXh&#10;soprHcwkDNGRnotelx3JC4+9+HSvKvGUHleKJz0WUK+fw/xFKexT0RV08KRJjsAf1rfQMNuV4rnt&#10;JGXn5/5Z5/UV2cVuNoJOfrWL0JSuctqozcJ2+X+tZ4XJFdB4hjjt5oSUB3KaxluQvG0c9BihNkSu&#10;mMePZF83U9Ki6dVwPWpWYzKG+Y/hVqz0qe/O+NMRoRvdug/xppMRTcZU4xVrSHeG8DbT1BH4HP8A&#10;StmCytpbZQZUDjI/eRAjr61WurX7HNC4EQV227omPPHpmrStqJu4t1d3UWiywOi5wuCvPGc1Qto7&#10;7UtJm2I8ojlUsEXJAwea0d6sCRnAHrRpWoy6Sk72xVWkyR789KrqSttDEFlc72SOOUsD02nNMexv&#10;sbpLefaBySp4rq4/FV5JdLILe380KVLFfvZx6fSlfx7OuUe0gJHBG0/407IfNLscnHb3KqR5MhDD&#10;H3DVm3sdRkUJHaXDDtiM10H/AAnMseAdPgUdvlP+NTp42uXUmKG3UD2IpaCvLscpq9pPZao0U6FG&#10;bbJtPbcM/wCNUvJkzwP1FbHiHU5Ly7guS4Mjx4chcd+grBc4cj3qWWtiyLaYYJQ4z1zTkiZFZm69&#10;FANVhI5ABZtuemaOpPWkUXkBlj2sRvHQ5pkUohYhwfTFVeVqeK3luf8AUxlsHnA6UBodBoVulwk+&#10;1sBWBGfeus0YeVbyRHHyv/QVxWmR3NosqMrKTjHvXVaMziB92Mk96l7lrVaHmccbvkj7oHJqU7RG&#10;pJY89hXZDw5pbYGbg49z/hUw8NaRj5op2/FqdwUWc74WXdqLgA58s9/cVsa/dS2Qt3AUt8w+b8K0&#10;rTSLGyk32dvKrkYJbcePxqprWlzaj5ChZAqZJOzPpSW5TVo2OdGq3EikERKMf3as2+syRpzaqQO/&#10;NWl8OyrEcLMxA4+TFMj8NXxH+qIrTXuY/IQ66GI/0YD6P/8AWqI6vE9wA9u4B4JD9P0qwfC9+WGE&#10;4+lIfCGou+4jH40ryGkuxpiKJ4VaGZABg/M2KbbrDJdXKXUkLRMFwwYYHXvVZfCmpD+NgD1GR/jV&#10;u00LUbOGe3WFJY5Rgl2wRTT7ilHsc7c3H2e48sIm4Hqage/mDcN+lbh8HXbuXIUNnON4IpR4Nuz1&#10;Mf8A33/9ak9yltYwUmllXlmP0pyTMGw8jcf7VdLH4Ru04DxAEYOWJ/pVLU/DM2n2pnDBznGFo6lL&#10;RNHOxyeXMzBjnrmrVvMrTXDDjKkjNaXh3Qv7UWaWSPKKQAzMQM+nFR6ppp0/U5YFiCr5QIIOQenP&#10;NC3Jb0SII7uf+z1EdxImwnhWIzXvPwwvJrvwOl3OmJDMwyOd+MDP6GvB7CDfazscAKcA/hXqfw+8&#10;d+HdE8Hw6dqF40FxHJIWHksRyxIOQPStL7Nih1PV/PPB45qhravcaTcorbSY269jg8/SuUl+KHhI&#10;Kf8Aibu4/ui1b/Cs3UPiz4cm064toBqU7yRMo2xKAMjryafMi7HBeBmN54zLS4OFY4z6cjH44r1b&#10;U9Q/su0tTvy0t3DGSTnG5xkflmvDdBvW0nVxfsjFYGEhVTgsuPWt7xX47ttWvNL+wRzpbW0izy+b&#10;gMzg9OOwGfzrBMq+h7SVZclJSoLbjjHPpmvL/ipBGL/TJQAJXRwxHUgbcfqT+dU7z4r3DRmPSLFL&#10;cf8APSc72/AdB+Oa5LUNf1PXL2GTULprhkyEyoG0Hr0FWmTLYxbxv9KGe1Sx7lRyP4wF/DOf6VXu&#10;2zcsR61bub5bqOECBIzGuDs4z70m9SUlYaxO3BNRXShJ5BjA3nGaasj5PzHH1ra1+50SbS9O/s6N&#10;hdmMfaS2chhx9OaJO4JXPYrvWtOTTtPjsb+yuPs2xxAJAVJCkbSc+/bniuE17T7WyiikVW+3SSM0&#10;rCT5H3cjapGeM4zWB4LMM81xaTDIbDKfQ9P8K39ciW2vrKBQAHY8fhVR2HKVyHWYbiLwo6o0vlOV&#10;LJuOC2Rnj8q4+LTrmRX/AIGB5Vhg13Xi+5e08Nx7G2u0ibSvYjn+lc7pd/Jq000s4USHg7RjPFV8&#10;U0mQ/h8zKs9MluZ/LMhXacEgZqeW1fTdVQqryrEysTj3rS0uMnVZFB6Hmqet3cq66bcSuId6lkB4&#10;JqpxSjoTF3eomrX17NqrahNIRMzhlwMbcdAPoAK7e8+KU8mnolrYqkxjHmSSPkbsclQP8a5bxHCn&#10;2T7QPvFl4HpxzWUzRlYg4CxgfMQOTUNJMpM7DSEW88JpLIcsztuNNtYol0W5cKDtiJqTw5Jby+Hr&#10;uK2LMkchK7hzyP8A9dMt2jTw7dAMC2wiqT0B7nP6Xr50ydriON1LLhgG61pap46Ot20ttLE8agGb&#10;HmTh4AOFHAH071yUbbgQe/So4xh2rGUFKXMzWNacY8q2N3S9Y0+x1W2nu7aSSKEkqc8huxxXY6de&#10;WOp62ZrEsYZB5h3cfN0IxXl86ttRz90kium8KXq2+s6eA5ClGjZcdySf8KbV5cwoytFxPQorSNNZ&#10;bb8oZR0HfPWsP4hqlpZeajnzHCx8d+p/lmumYf8AE0iYcbkP8xXIeObe41XUbazgIwgMjk9AOB/j&#10;Wk3oZxWpyXhryA93NMW8yC3MkQA+8QRx+WaXVPEc15eWlzbx+Q9typznJrodA0caS9zLK6ztNC0W&#10;1VxjPfJ/wrhZVKuU6EHFZJ9C2mkdL/wmuqudyCCM+qpn+Zrs9Ih0HV9HtLzWbSS7vWU7pNjYxuOA&#10;MYFeWvbvbTvDIMOhwa9X8NXHkeHbJAqkbM5z6kmlKRUFzOxDrWnaHHpjx6TpMkNy+B5uCMDPI5NM&#10;hsn2KWRs4HArblvo5YSjBSOtNt3hmRSrEAjuKi5pyWOW1jQ2v2iIV12gjqKz4vC0kUiP82V6ZK13&#10;7W6SYG7IHemG0hGdzgYqlNIiVJs5GLSJoponKLIIwQFLDBB7cVZlsriVUSKFIFVtxCP9765rpRbW&#10;2MiUfiRQYbYjmUf99Cm6l9xRocuxyEOh3KqQXHU9/wD61LL4febZuZRtYN96uu8u0Uf63P8AwIVW&#10;N9aJN5ecj13f/Wpc6G6PcwToDFTkRfgaiHhoOTtKKBz1Ndd5tiUyZV56/NSLLYqMrIOfrR7QXsDk&#10;E8JBJAVdDjrnJqRvCETOWJjyfY/411f2iyGTv4+hpDeWQOAx/BWo9oP2Byg8HW55JX8FP+NSL4Rt&#10;hxu/8d/+vXSi/sycDefohqK51SJEYQxOWxwSh60e0H7A56XwnbNtBBbA4+WkHheDaAUz9UH+FdJB&#10;qkTRgyQOT6hKlGpWx6W8n/fIo5yfZo5ceF7TPMfP+6P8KX/hF7TP+q/Qf4V1B1SAHi1lI+i/40n9&#10;ppuIFnJ+O3H86OcfIjml8NWo6QZ/AVIvh6BTlYmH0OK6D+08DIsZD7cVXk1K5522LYPT5un6UczD&#10;liZ0WgwAkmM/99VONEiY5AdeOzGp7LVLqOLbJazM2T1BPerf9rXJ6afJ+R/wqWykkhBphX+AfnUg&#10;089SB+LU42t2T81yPwJpv2G5Jz9rP4ZpjHCy2jnaPxpslsicsyUNZSkYa6J7dD/jVCWzj85I5bqQ&#10;k9OOP50BuXLeGK5LBGHBxyKtrpn+0lZ9vokO4st23PPf/Grg0he1035f/XouxWJhpo/vpSCxXn50&#10;pv8AZSHrdN+QpP7Kt1b/AI+Wz+FF2Fh/2FT/AMtU/KkeyRBuMqVBNplo67WuG4OfvAVTvY7O3iJL&#10;BvbzAP6UXCw83NuLhogwyO/GDUxMQ/5aKfyrPS00mTLtIgJ/6aCn/Y9KA4lT/v6KV33LUV1RbaSE&#10;DPmL+dc/rEct9crFHdqtsRhgr4Na/wBm0wfxL/33TPs2l554/E0uZj5V0KOk2lvpNm0MV6pVm3nd&#10;jrRe2tnf+ZPM8L+UnzOz7Qq+9Wmh04L0z+DVgazZWt1MAIx5YAHCup/HHX8aak7kyiraIxJke1e7&#10;topIigbcPLbd27VzzllA98810GpRW9mFjtYtvGB6msq5tmTSrafHytLIh+oCn+tbdLnNazsZxzuz&#10;U9vLJHJiNsFvlzjsaSPH2efIGcDB9OavaHaJdXkjyH5IImlI9SOAPzIqWNIA8kzS5IOFCYAxwKzc&#10;ZIHTPFdDbLFEssoTlOox1btWFMNsrj3qIvUuS0HSx+TOUHRTjPrTyxQgr1pr/ON2en5k0ofIFa21&#10;IWxWuFw+TSR/dqylubmYIOrd/SkuLU2kxj3huM5xS6iIV701QXLADJ9hTtpzjpV022CiRPH846ls&#10;Y+tAFjwm5TW1GcbkIJrq/Ebg+INJj3DvyT7Vz3hazMXiKNZRldjHNafiqNk1/TjESUXGB6c1S2ET&#10;ePnP9mWEanK7yT9cf/rrnPDW9NRKspCuuMkV3PiG0tru1sluJUgjWYF3buMHIrO1LUbS4mnS1dQF&#10;KBCvcc9P0rOVRxqqKW4nsU9JUJrs6kjqcZrmtWZm1yZuc+ZxmtKJXivywZuRyfWqepxA6lkbtuAe&#10;Oa6J35RR3LGp6mLiyWLHIQAn3qrc4kg3J02Dj3xzULJmE5DZI4xUkaN9mZRyStZ3uVY3vBonkjuI&#10;UKlD95d2D9auzW8yeHpHMjhELcA8Hk1l+DrhrbU2idCRIuABycitLUbqY+GZlWIqs1w6K2fck8U1&#10;JKI+Vs4+M7mU4pVXE7LmpFjkiwWHHQGk2MJBJng1O4WIZgQqDPTPFXtJikOpWZUjiVePxqvLE8rg&#10;IrMQMkAZwPWtLTrKSK9tpvMOA6tj8aTdgSbPTri6MWoWwKscqVG0ewPH5Vz/AIqW8h1i1v7QKGCF&#10;dpHX64+tdFdpmbTnP3jLgY/3TWX4ohS5a3R2dXGcFTxjvn9KuekWEdWYiJcNavcO7I+0tsViRmuF&#10;+ae7Bb7zvz+Jrul0yLZgyykfWuLmjWK+ZATtSTH4ZrCJrUWxr+KLVbPU4iGLeZECfUYOK6bw9bxT&#10;6JAxlbGCMZ9Cfeue8UWsMTWpiJJZTnJz6VueGbC1l0WJpjhizfxAd6T+EqOkzX/s+02ZaYgf73/1&#10;6ZAlhHK0KuSBjksOasDTdP2n5kOP+mgqvKml28gCBDzz84qTRovLbWIOfNGf98VII9OTnzE5/wBo&#10;VBC2mEZDRjP+3Vgf2dwdyH/gRoHYcBp69HX86eGscfe6fWmCawH93j/epftVgvp/3w1A7Dt9gBkn&#10;9GqC4n09UJWPc2OPkY81Ib2x/uE/SNv8KDe2gU7Yif8AtkaAsRRXVk0YLooJH9xqmFxadFX8ozVN&#10;NRjEx/0XMeBj92OtXF1CDqLWT/vhaLBcT7Rb/wDPP/yFR59vjiH/AMhCni+iIx9kk/75X/Gk+2py&#10;RaN+S0gGG8hXpC3/AHwtNbUFHS2cn2ValN82PltT+Ypv22c8i3b6bqAKh1Gfz12W7qnPDYAqwdSm&#10;HS2P/fdQjVJpy6RRbijbWAfkH06UsE+pIP8AUMwz3JP9KozY/wDtG7PS3/8AHz/hQb+//hts/wDA&#10;z/hU/wBq1Aji0P6/4UCXUjx9lH1w3+FAiA3uqdrQY/3z/hUbXOrs2VgQf99H+lWC2qt/y7gD6GlJ&#10;1cjAhUfVf/r0AZ8n9rSKQYwfpuqeOfUkXlIx9c1K0WsYwEiP1XH9aoS6ZqrtkrHj2x/jTA6EWbg8&#10;3Ln/AL6/xppsyRzcSf8AfJ/+KrIu7kRWM0zQXCOqkoHT7zenWnaV9mvbCJ7m6VZwo81UTO0/TrTB&#10;6OxZurOBEZpJpuPQdf1p0Xh+ykAfzWJI7gVXa30+XO1pZecYSMD+eKni06yXBEdxj3C/40rlcjLK&#10;aBZp0kP6VI2lWijBl4+qioha2eOVk/HbS+VZrx8//failcORjhp+njrMPxZf8KcLPTxg+ev/AH2K&#10;hJshnhz/ANtlqNriwQfMjf8Af4f40XDkZLKNNjQkzqf+2grMW905nYSiMLnAyxyamk1DTBwYc/8A&#10;bQH+tRrcafJ922j9t0uKGxqDv0LCy6Rj5TF+ZqQS6Z22fk1VvMtgMLb234yE/wBKPPQcCO1H/fRq&#10;S+UtmTTsfdB/4C1NM2ng/dHt+7P+FVjcEYOYF+kLGufvNctjrEd0QDDbqQsSIRuPIJ5PvVJNkyai&#10;dM01hjPl/wDkM/4VRu7mzUZSHn3jqd76KeGN4UjjBUHmFmJzVSS92yKG8og9SLc0h2OQ8QzwyeS3&#10;lHzkXBwoArMvbwSaFb2pUZWZnAxgjIH+fwr0KaaObiWQPGOAvkkAfSuX8SyafE1v/oayE7vuZj9P&#10;zrRTvZGEqdru5ykRdbeUAHY3B4q1o90llNOWQsssDIcdu/8ATH41s6ZNaT6VewpasqD5vKEjEMcf&#10;X2qnpl1Zfb0T+zkAbKnLlv0Jov5CUbNala31B4pDtVghHHP3azrhT57Hnk55r0BZbNRhbKMf9sx/&#10;jWBrc1rb3KMmnQEOvVgRyPoamL1LlFcu5Pe6LZxaPazW0kss8qCRiANo4zjpXM42SnI4966nT9Rk&#10;+zRf6KgTGAoGQBntnNRa5dlVhlS0i5ypMkSn6dvrVczbsS4K17lS+0sWkFvLCWkguYxIp7g9xWXc&#10;xGMoxDDIxzXS6RfyvZ7nhDYJC7QAB+lO1G9vrmBLaGPbGr72wgJ475xmhSdxOKtozCbS726jjnt7&#10;aSZCgyYkLbe3zYHFWRY3KDBspB9UNan22bDLb70diuRHIwLEdAeea3rbV9T2D90/4s3+FEm0OEYv&#10;dnP6SlxBeQ4t2Vd3J2mrXiWG4bVomiUnbGOce9dNp9/f3N+i3cgt7YAmRmJH0HPvUXiS/vINTWPS&#10;nlkhEYLk8/N9aFN2sU4Rve/4GZ4nilm0yyijj3s3zsAM9v8A69cstldxSKzQMqg9dtem394k2mxv&#10;YTst2FVzCzMWII5GPrWEZfEErBSsqBjgt82B79aOd81w9nG1rs5nyW87zCjup44HSrlj4du9Y1y1&#10;tVV44pSA8u3hR1PX2r0ptM0Vr6yWTWsQJCwul+0NzJxgg/nxXIajpOrLqNxDayST2gb91MjZ3D65&#10;rSdbmVkZxopPX+vxHeNfCVnp8trFo9u7SBP3uz5h9T71yZ0W+ZmUQMgHd8KD+dei+EdNjt9T8zXY&#10;mMCL8ivGX3N74B4+tWvFGmwzawLjSYkjiMYV8KFGR3wR/nFRzO1y/Zxucd4I0S1tvEcd5rN1DDbQ&#10;AuF3bjI3QD5fzrrPFtj4evvCavp0wjkhuGcAAgvuYjHPuQfpWKmmamHZre5aN8kExyBT9OKztQtt&#10;WtZIrNpJ2B+ZEViRkn+dStXqU1ZWVzIm8L6kbVnAibaR8vnqCfoCeaRfCuqPbNL5Hzr0j3rk/Tmu&#10;08PWN9aXdvPqVrP5cMu8xOMM+BkYBxnnFdwniS0kvGmk0J/3iBDuEZ2Yz789aOa2hKgnqeU+HfDk&#10;lveefqVi8kTL9wOAVbP+FLceF7kXDvbhliDZjUnJA7V093pUtxf3E8ZWOKRyypuPyg9uOKgk8PzP&#10;/wAtOO+1yCalybNlCNramjEhmhtGuLVhIjAjaygKcdSM1ja7ps2o6gmI2CRrhSo4OT9a2REIorfb&#10;p8REQw6u4Jz0znHPfrWZeabFe6pNLDIYkOP3WOAcDpVOrKSsVLD0oaxlcyW8NuBjY579q5W68L6u&#10;buTy7F/LLnaS6jjP1rvn0BpI2CzYb3WsSTwJdzyb5dQVFzyFyc/yqYtoynGL6MzNU8OXkot/s1uq&#10;4U790ycdPetvQtKSDTUju/JEyk5xMpyM+1Zt74bnjvFiiVpAPlD9B75rp9P8OW1vaxq7ZYcnGOtD&#10;egJLm2HC0sEXmSP/AL7/APrVFM2jwRu0vVRxjkH8a0Bp1qBkseP9oVXvtFgv4PslvIiTzMERnbgH&#10;PtSXqW9tjN0q7sy88dzsb5yYSrjp6HLCtRJbAjGyM/R8/wBa5kaRJpGtRxzXEM3lSYkWMnAH1xjm&#10;uuiezxkBAP8ArpTm1fRhCMoxvKO4zzLEfwLx+P8AWm+dZgZWL/x2rXmWYHWPHf56TzbTjb5R/wCB&#10;E1Bd12K5ubVRkWv/AI5SfbIe1n/45/8AWqwZ7XpiIn6E0n2q1A5WP/v2TQGnZFSbUoo4yy2xGPRR&#10;/wDE1Kmpgji3AP0/+tQ+o2S5ARf+/J/wqBNZhWZgU+XA24g/+tTJv6Fr+0j18k4/3f8A69J/aT9R&#10;G2P9wf8AxVINXtyv3H6dof8A61KNXhYDCz/9+xSHf0A6jKBkJL+AX/GoL3Vrm1tZbhPOBjQt1XB4&#10;qcauOcRzn8B/jVDV76W50+SGOKXY3+tDHGU74waPkNXloczZ6vH/AGk1zJbiR53UuGfgH1Arqri6&#10;vXKlLeQYIP3z/hWdqOg+H7IW89neT3AZcmEHlT/vY4/KtNL+4aFf3M5JUc7j6VcpK+hKoVYQ5pqy&#10;ZYjvbzGDan/vo/4U/wC03hI/0UjPuf8ACswXOofaM+RKVwON5/wq8l5e/wDPi5+rH/ChGLJxNenP&#10;+j4x7H/CmiW+/wCeH/jpo+1X/aw/Nj/hTRPqCjAsV/M/4U9AEc6k5/1agdvlP+NQyR6o3CrFx6p/&#10;9epjPqjDiyQfU1Gf7W7WsY+p/wDr0XA5vxlC6XdvGkm8BCx5xjn6+1P0Lw7c28wnviiW08YCMkis&#10;SfTg/Wuzi8LaRcRq9/dl55x+7Bk24x6A8msq68G3FjqcS/bGNjtL7hwQ3QZH407y7G3sqXLfm19C&#10;xH4ds/4ZH/ACpxoNoOsj/kKiTS7dBtF25/A/41INNt26zt/3zSMh39h2Y4y/6U8aXZxngv8AmP8A&#10;Co/7MtP+erf98CmHTrJTku5/4AKBEzWFmD1bH+8P8KgmtdPRcnn6yCka209Bkl/++Vqs0WmO2wpI&#10;eM5wKAsJEdOkzmNR8xH+s9DVjZpi4+aNfrL/APXpkVlp2cJG/J9R/hU7adYSD5kY49WFS2jRLyE3&#10;6bjiWE/9tf8A69HmacOS8QHrvOP50+OwsUHyxkcf36d5FlgjaCPQyUrodivLc6b5THehABztYk/h&#10;zXF2+k2kl4Rdy3EdqwO2RVBPtx/Ou9gGj28qvdInkA/MNxbPtjvV8a94c1VGsLm2EUQBWMugUD6E&#10;dKOa2zsdNGgpxvKm5Lujn0l061s0hgcTLEuxXKE7scZqrDqVoCRcRIOTyIjVyZNP0Xy7IGOXHO53&#10;wcHJFMF9pB+8kHP+1VepzNK/u7B9s00pkIMf9cj/AIVyHizZftb/AGSDeE3bmCFcdPauzW70crt/&#10;cgfWqEyadNKyNdRC3J/1YUcfQ9aItJ3ZE4tqyOJ0h3sYJwGw0h7IDjH1qtZ2N1b6hDdbJHjRtxdV&#10;yK9BEOgRqFwrEDAySaG/s0HEV00aN95VX7314zVKS1I9nLQpW+o25QEwSMSP7ornfFd3HcJFCkTq&#10;yndyBiu3SfRkXAEfH+wf8KyNQh0SeR3FuZGPPRsZ+lSrJlSTaOc8M35hjaFtzDdnA7VqeI5Eu9Fc&#10;AOhQh+2D7da27L+xrVcQ2sSZ64iOalvJdJuYGiliBVhyAhFF9bjUXy2Ob8IX0dvby2rxOZC28E4A&#10;xwK6r7T5i7UsBK/ACsN272wOorG0tLKxvPORpGABUArwBXTWniSGyuEmhtXkkHCgjaMketKTW5pQ&#10;g3JRSv5GfH4a1fQ2N82nRTRSjcy+UG8sHnGMZUj1q8l/JtIFoBnvv/8ArVfHifxDpsnmahZF7aX5&#10;kBjxhTyAGHt61myeIItxKW9wQTxtUYpXT7nViaUoJOUYpd0R3lxNcxeWbFGX0Yk/0qCxlvrNTEtk&#10;GQknvx+lTPr0rLhba6GehwB/Wm22p3aoqyQTtx1Jp2OO+u5NHNdLKZU09A577Tn+VWTd6i3S1THp&#10;takju7mbcFtpOFLctjOKi/tG6zgWUuPx/wAKQ7khl1B8g2seD6xn/GnrPqqqAsMeP+uZ/wAah+2X&#10;rHAsX/76/wDrU5rjUeP9AODzyx/woC48TawSf3cY+if/AF6imGryqR8gz7D/ABoM+qYwtgo9yT/h&#10;TGfVShzZj8M0wv5kMNlqyOxSROTk/drct/CMmq2ZuLm+23bfcAUYAHHOK5+CLWFlfFqvJyc5FbcX&#10;hjWbi0W+Fysdx1jjWQgqPQHt9KT9LnRhZWndVOX1IJNN1yykFtdXBCIv7t9wII9AT/KkFtdr1vAP&#10;+BD/AAqS41DWpfL069h/foSyvIuCRjn2NQ/ZtUYkgRj8B/jSVraBiVJVHz2v5bDja3BIxe4/4H/9&#10;aj7LN3vD/wB/DTDa6qP4o/wApwstSYczIM/T/CmYaEb2JO7feN/38Y1XTT7aOUg3Z3HnGWqy2l6k&#10;5OblQD7j/CoX0C8chmugCP8Aa/8ArUxMnSxiUY89iT7E/wBacbC3xzKfxX/69Vjol2pH+m7e3Dml&#10;Ph+4YgtfPx6SNSC4/wDsu2B3Fyf+Af8A16mjsLXGRn/vgVWHh6Ydb6Q+n7xv8aX+wJyMG9bHtu/x&#10;oAm+y2WTgH/vlaa+kx3/APo1qdtw2DGWIA6j09qh/wCEXA5N3IR3GT/jUsWnzaXLBdaezT3McgAj&#10;YE5ByDxmgulfnVtzah0HRPD1v9o1SeOWcg4DdM/7K9/xrKhfTkH7tNynkbj2q7b+ELi8uTfa1chV&#10;zuKA5P4segqjP4a0ie5kltXLQljt2nI/Wiz7WOjEuL153OXV9F5Ik32CjIC89R5lME2nryAo+slR&#10;N4V049FY/gP8Kenh7T1ODCwx3pfM5L+QpvNOXPMP4yUn9oabzzB7fNmpzoNkwxtbH1qRNFsUH+qJ&#10;/wCBUB8il/ammekJb0xVW41qzRSY4YSccHZWw2k2JGPJx/wI0jaXZlSDaoy4wRzQBix69bcFljHH&#10;aI/4VMNchIG1fyi/+tWqmm2OABaIPqKlFhbL0tY/++RT0AxP7cHGEfHtFSHXUV1MsUjQk7ZNyYAB&#10;4Nb32ODp9mj/AO+RVO7t7NEW3liRI7pvJyAOCQcfqKCo6vUu2vhzRNDT7feXAljwGiWToB2wP4jW&#10;FqPiVLm+lltobgQ5wAMdvxq7YeCb+couo3W22hG1MNuLL7egq/KNGgnXT9OETPECZMc/me5o17WR&#10;2V+RxvzOcu/RI5NtclGSIrk/Uj/Gm2+t3O3547gkH2/xrq2j/wBhB+FN2sOgA/Cmjz2mzCGrSEKf&#10;InP/AAIU2TVpSMC0mOe+a3/3g7ikMjjrTJs0YJ1S4K8Wcn4k/wCFRtql2Dzp7/8AfR/wrot7Y603&#10;cT1INAiovgK4uI2ludQH2luVAUkfiapX+n+IbGS30uadngnbCy7twXBzx3HFJf3t2PEXF1MNshUf&#10;vDwOOK7jUyTp8bEkt5ZOfwojBN6HpV8RUhBRnaSflscUvh+63kjUnP0NNPhu93knUnA/3zW/H9xf&#10;pTjTPOsYa+HJQPn1ObPsx/xpf+EaHU6hOf8AgZ/xrcwPSo5PvY7cUnoCVzFfw1Cwx9qlbPoxP9ag&#10;/wCEQjZwzXThfTOa6Ek5609am7LUUYi+FbEDmWXPrmpB4X08DBaU/jWwfu00feFGo7Iyx4c05eAr&#10;k/Qf4VINAsgeUP0ArUNA60gsinb+H9D3mW7IhiTkln259qtjTvCus/uLSSOGZPlUoSrH8D96sTxH&#10;961Hb5v6Vz7fLKuOPpUOpZ2aPawmDlOipxqNPpbY6GDwykCyR3xaaTzCqsD/AADgVMvh2xXpG+P9&#10;7NS6dJJI8Bd2Ym0Q8nPOTWn2rRu2x5NRNybluZY8P6eD/qX/AO+6cNE05f8Al3P4uf8AGtHsaicn&#10;HWlciyK/9m2QwRbR0h022brbRgegFTx8u2fWnmi4+VFQ6XZscm1j4pw0yyA/49Yvyq2vJp5UY6Cm&#10;JpFMWVqvS3iH/ARSnT7eTLNBD/3wM1M/b604UXFZEKWNsn3YIh/wEVIuo6fo0qTXFuJGIPlKiDOf&#10;Xnp/9epABnpVTyo5vEOmxyxpIh8zKuoI/h7Urs3w9OM6ijLYtp4zeOeSDU7MGEkgEddvbKnrxUCz&#10;WVwC9jtEBJKjGMe2K6zX7W3l0ecyQROUT5SyA7fp6VwPhr/kGt/11anK6dmzWcaU6XtIR5dbbmws&#10;YwAAMU8Ko9KTuKfUnKGB7UMPl6/pQOtD9DTQiONCF9zyacUb1qRegooAjKN60bT6mpO5oPagCAKQ&#10;56kelVmTxVBEL+JZmAJCwgA/L2ytXl++a7CH/Vr9BVRhzdTSGI9jryp37nCp4s/tCFLPULPybzeA&#10;jDoT39xVnDeg/OpfHUMSy6ZMI0EpuFBcKNxH1qLJz1qXe9maVlC0ZwVr9BrqR82P1oxn0pHJ29TU&#10;MJO3qelBzkxQ/wB0Um0+gpc8U0n5hQMXae6j8qUHBwRj8KWmP/SgRLsHY0gTjrTB0FL2oAk21Qv9&#10;QOh3ltqCoJdyPGYw2OTyCfyNXh0rhfG7umpW+1mX92Ohx3NHoaU7KS5ldHSR2XiLxa4ed2gsyejf&#10;Kn4D+Ktc6SmjRpaxytIuN25vXvXmMOqagIgBfXQGO0zf4103g66uLkXpuJ5ZSGQAyOWxwfWq5Elf&#10;qXWxUqn7tJRiuiOlORzmkJzwaVu9KnSpMBm3aflP4UofPBJBp5qJulADyM9zmk2n+8aapOOtKKBg&#10;UB6imlGHIJI9CaVic0nagTD6gj6mszXza/2Y8d3OIWY5hcg8OOR06VpmuS8ck/2Tb8n/AFp/lTSv&#10;oLmcfeXQfJ4l1PV7WCzl1C2t02BXYyBN/uxz/KtXTrfw7YKEi1WK51GQbRsJ29eg/wDr15jAT5PX&#10;tV3TCf7VseT/AK5f51appavU0qY+UoezhFRXW3U9UKmmkkdRikB+f8KD2qCBcnsaXBOORUJ4xj1p&#10;2OBQBI8W04O0+4OajMZHPr60pA9KYSc0Jg0j/9lQSwMEFAAAAAgAh07iQFOTocBjHAEAVBwBABUA&#10;AABkcnMvbWVkaWEvaW1hZ2U1LmpwZWcAAID/f//Y/+AAEEpGSUYAAQEBANwA3AAA/9sAQwAIBgYH&#10;BgUIBwcHCQkICgwUDQwLCwwZEhMPFB0aHx4dGhwcICQuJyAiLCMcHCg3KSwwMTQ0NB8nOT04Mjwu&#10;MzQy/9sAQwEJCQkMCwwYDQ0YMiEcITIyMjIyMjIyMjIyMjIyMjIyMjIyMjIyMjIyMjIyMjIyMjIy&#10;MjIyMjIyMjIyMjIyMjIy/8AAEQgC9gI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Y7g3G7k+v8A9el6Oy7yCDwCaj2oDjOT3GOlO2Aycgnn&#10;gFea887xxB3Nk9h/EBzmggZIbGMc/MPWkUDJ4xkenFLhWPG7GCfu0wGgLjd8h46bsY60oWIoA4GM&#10;f3s96QINpJ3YxjJWlCqFwRJ07KPU+9AC7YsKBt69M/WmkoFXBBz354pXCEAEuDk4JA5/WghQU+9j&#10;ODjFACcZJyhx3IOOv0pA6Fs7hnceNpoEmIwCvbOMj1pdwDnAHXpuFACoyGQgOnTHKtThsK8ypnbj&#10;IU8f/WqNdhLAIBjByGH408FSGwi424xu680ACNHtI3IOOCA1KGQgNmIMB0w2OtHTJCAgjA+fpwc9&#10;qXChQWQhtvHzj/D/AD+VAAHXAxJHndwNrH+ntSl8lQXi6dlNMJBC/L82ePn6fhTyFAU46nPD/SgB&#10;zNHjtnnnaRjmmHbvbhSQeu004HKDEfPT74/woHyv8qErnGS+cj8qBDSyeY3GOmSF69PU00yjBAdg&#10;cf8APMf404/KWPlHOByT9PaomPL5CZ2nqD60DNTRH23E9243LaxmQZAGTjAH5n9Kr+eW25EmWAJ/&#10;eHrn6f5/CrcQWDw8fuq13IB8v91fr71R8xtq/PgY4wg65/z+XtWj0SRKV22L5pJA25wxHzEnFEvz&#10;Rxr5Sk5A4B59+tN8w/KnmdcnIAH9KUuQIzulxkHINSUK2/aeBjGOUxnkf5/CpFMgmyDyGHG0U3fu&#10;UrmTP3jk5zz9aRixY8SH3JPHXHekIc0cpY4YAZH8A496IlkSVtvyt83IXGef/rVH96QnbnoPmz14&#10;96cV+ZiIgeD1yM880ASRJLgjLYIy2DSr5zAEtIM89fxpgTcrKIOdv94+lIgQIB5Y6cHOOmfakBM2&#10;4IczkYJGC/8An1prAssY8xWB4BEo/wA9qZgqg+RVAYjJxzTjvCrjyh68DFMBzLuQ7ijdvvjOaBGo&#10;uASV6jHPSmtk5IEfXGM9OfrTiHE235T8+M7j2/GgBdkXntggHHY9elIIYSwyQpOfug0eYwlZty9O&#10;xJ9P8/hT1kfPE2OueuR2xQARJGU+RzkDIO08HP0p4jXbjIOcjBU02NyOPMG3GM49+lIvKEmTnGSd&#10;nbj2oAcIwQMhuvAC/wCf8/jQ8aeUWKyMQeyjA/WkC7QQFYDdyMZxStt8vIDHnPTGOv8An/8AXQA4&#10;iMZISQ8f3Rz15601wqgH96DtGQQMfzocJkYeT5gR/kZpWIH8UhOB2oARgqTfdkbKnGcfietO+Usc&#10;IeWAByOaauWfG5ycHr2/WnBWb/npuzwCfamBEiKrZwT16sOadDGoLEQjg84cdPypVhbcP3bEbux6&#10;02OLaCPJON3d/wD61AGvMPN02GYxlmXMZAYdun14P6VT2/K37hgM464Pb2/z+NWYYzJps8BjIK4k&#10;Vd3J7GqjxsYmPlk49W6dKuSukyY9hyngYUg8c5OP8/4e1MYsFULs6Hkg/wAqdtzjKoMn+90FIeiB&#10;vJB2c7m9/rUWGPBPy7hHk98GhtpIyIc4H50i8vGSITnoQ3X9fpSmPA4MA+Xk59/rRYBSy7yD5XLZ&#10;+v60mcM+WXBx2zj9aTYGkwBEMnp+FO28sSVBPU4zTAeJFOWJK5B/h6f5/wA9KSJwVJLfd6YUDH6f&#10;5/Ok2kcGQDAI+6fx7UI2FOZV+7xxigAQ7VHzuGx1B9v/AK9L5m5QRvchz97J/rTEZQv+tbGDwMYA&#10;/OgujfxOSTnnjn1oAcUDRj9wMZz0odQpA8sDr+f0/wA9KYPK8kfK556F8CnF0H3U9TyOn4UAO+ZG&#10;IUJ93IJxx708lzKA2zOCOSKa0gVg2xcEdwf8aXzQzL+7XgHjmmAnRh8yAZzkGlUfMG+Q+oPNJvO7&#10;lEBJz9OKVHYAgRjrnOM4oAPM+9koSTSbS6tkqenGKVZmKk+WB6cUBzsOAMkjtSAWP5EYhl5PYZp3&#10;zBQfM6+1NDN5Z+UDp2H+FSK02ANoAxz0pgRkjpvPTnijIZlBcgey0rGUhf8Ad7ChjK0gAJPHWkBy&#10;xORy2QfbpTuSxAPf0xS4kPHHHPFHzgklcHPUf/rrMoMAk8Y9fekXbkqCx+X+72zSMz4fJ/HNKGfO&#10;dx4XsTTABgoeHx7d6TChQQXGR2+v1pVfCPh85x1JpUd9oG7g9880ADcKnLg5yMnj+dIysQq5fGaR&#10;ui/vMcnHNM5+T516juOfwoAk2vkYVug659aQhy+Ah5PUmoiG+XlT6Z7UqtJkjzTwc/LjH4UASorH&#10;eAh6gdead5ZILGFjhex75qurHDhnGSecin/IAWDjGCW49/egCYRHaxELEAY60oViozCd2PXjr9Kh&#10;ULsIDYI54HBpf3ZUBmAyAQMUASbXwAYcc9AOh/z/AJ60jI2EIjb0K5/+tUXy8DNHyqyYcZ4OcfSm&#10;BY2HgGMlfTPvTWGJMGJjg889KhJU7iT2HQe4oKp52fM6c5ye1IQ8j52wgGTwCaXa8jsAIy3TGcc1&#10;GpDFv3gA44Oav6LCsupRNI5MaAyt1+6Of6U4q7BuyLeqDy2is8gfZolXPqxG4/qRVAMVXmQDgHBT&#10;p+n+cUk9x9olmuMNvkctgjpntTVGVVhHu+XjsDzVSd2CWg7zAxXbISxzkDAzQ7rhQsj9jkH/AOvU&#10;bRkbQYyOxJP/ANb2pfMKbMqmD33c9qkY9pYwTumlCg57+x/p0pyyWrtgzbznk4bnt3FRuxABxH8y&#10;+o5/X/P5UclmOxMDGCv/AOugByGISNgZ9Rk+3t61IWTBJh7euc8/5/KowVMr8Ke5wDg08DKkrJxt&#10;yRsPTP8An8qAAum5/wB2enXp1oSQKvEZB64/H/P+QKTOEYiTBxn7vUfl70oVyqncefRMd/8AP+cU&#10;CF8wFVHkR8NgHZ7/AFodtyJmFM8A844/P/P5UqpMyjcjEqxIwo9TQUbarbZVGM8HBoAcXO//AFKc&#10;c/LUnm/v8eUD838XFRnITG593AySO/4+3envlbkKXcndn5mzjj1zTAXzZRK48sqAAM8e3tSJK5+6&#10;vqPugEfpSA7Syb2bj+9/9f2/Slwu/mReASD5gwcf5xQA5HnLAowx1GFHTNOPnGHJUZbqRUUYVThv&#10;LG1eP3g75oQxeWwOFwTt+bOfpgUAStJNhsEj5sAAn/H/ADihpJBHw5GD1DH3qImNVOGH3uoByOn+&#10;f/1U4upTJlTIPUhvfn/P9aQErNKwI3jaORhj7/5/zy1ncPkynoMDdzTC8QBO+Pj1Vh2/z/nFEssR&#10;I+aPIGDgNmgCQlnK5m5wQDkc+1J84ZVEi7gQcgCmGRDJkFSMHB2tmn+YpJIHI6Ar1/z/AJ4pgRjB&#10;kwZEP0xxTF2c7pB978+tOVo/NA24zx9wnn86iWaI5LCTrn/Vg5oA19JkU3fll/8AWr5ZyD3H/wCq&#10;oiqxrIDKQeRzn/PeqtrcqmHBYMGUjKD/ACe1aOpFRcTbc/MwcYUd8GrWsSepWAzwJCegBG7j/PH+&#10;cUYAAInYgAjjP40u8YC7XK+4GP8AP+fSkeTMS4RzgZwSP8KQxzAfu8SNnPQA9aQhSMgk4GenFNaf&#10;5om8hscciQED04x/nNKJwAD5bEDB4l7flSAawj35ZTz39ac2xnYjJ6Z4pDJ+94jf/gT96TzG3yqF&#10;9MbmPrQBKoUN9126n3pVIVGH2cnB4JbFRCRgCPJRgQcjn1/z/nFCOzE/ukGRgkDOetAEqgNHt2hR&#10;33H6U5iVU5EZ+b15xUK+cyDbgenyDH6/55qUrO0I+8cMcAKB1+lACM6iEFsDkduv+fWnsr7AwPyl&#10;T1Xp+OP8/lUb+Z5WTNj5skb6Rkzy0ikDOCX/AE/z/hQBM6ScBgScDovepDG+7JDghTnAH5darNGg&#10;GNykbc9aXhJACyYweefQ+1AE4Ry43FgQSecfWgBgcFmz0PI+nrTAkXmLtkxzyMHANOEaEYDArnn5&#10;c/0pgLtYHJY88jLAf56UgVhv+c8Y/iH+NAjQqRuOMn+E8n8qZtjAk2tnGONp5pAS5AQ/vBz23j/G&#10;nbUK/M65J6eZ+lR7EaJuD1xwtPMSD+FzwCCF9qoBrqnDb1+7g80SbVdQu3OO2aVUBwRuPUcr/wDX&#10;pThmUlWHbqKTA5cBO5ABA53df0pdygnkYP1pMjHRunIGP8aTKrnAOCe+KyKELKWbDA/UHP54pMqM&#10;5K/d9D607jEmAPbn/P8An8KTBAbC8behYdc0xjNyhc5j4HcNzT1ZOgZenBKn/IppACN8gx1+97Uz&#10;OACY88f3xz+lACTyfInlyKrA5KhCQeuV/wDr00ONiZBzxnapGDx609QG2sFBYAn/AFgz/KmucOny&#10;Hpn7/wD9agAEiED5HPIBOP6Zpvno/wDfPPXbSb8Kg4BxyOuab5pySdmMn+I4piJUkHzL8wOem0VI&#10;ZdvJEh+qDr+dUxK+44kRSDyQT05GD+f61J5xLffTpxu3dPzoAm88AYw59Mov+NOEq4HzN8oyTsHN&#10;Vg+1Gz5THgDGRTvPAIH7vpxyfWgCYyKQD83T+4PX60vnx74wd4/4CODVYTfJkeWMcYOeDT/PIkiY&#10;mL34b8xQK5L5q5GN/PX5BzzQ06h9v7wg9wq4qETAEZMXb+96/wCfypv2hA4B8rgn15/DNAEu8bs7&#10;T64DAd/p/n6VrWLLb6HeXYTDyYgT5uueT+lYkAaWQpHsMhI24HXn61t6jv0+1stOcgMsZnkG0Ebm&#10;PH5AVcV1Jb6FRXfy2GMNnOCxquzbkUGOMggfln60gn4ceaxyOCBjnn2pm87QG8zjAB3dPxFTYokD&#10;sEyAoPX5VqYtKVUhhzyMIOentVF5SioF80/7zH/GnhwdjGMsc9yaQFsG52k5OMdwPXNL+/V2jzIr&#10;Fs8VUZQVOYcHsc8kZ/woIBc5twpBHT/DFAFwtKJCTLIB0zux70jFiWPnZGDu/ee/XrVN3PmOFVc5&#10;GSMeg9u9KJDlxmLOc9Rxz6mgCyQ3lMWuAy4xnzOv60gjj2YMibCcn5wcfr/n8qhWVmibEkPA/vD0&#10;pyNtQZaIHgZz789P880wLO2IEB3jbLHndnNOCxYjwwxngjJwPyqDz1UD96p55Az+X+fT82tMx2Ym&#10;YjqSM+nWgC1+5BILjJ4xsb1+lOxEkwPmZGegU9fpiqwlxtxckgdfl5PP05o8397zc4+b5iBz+PFA&#10;i0DCZTlh0zny2/oKXfF5gPO0gkYRv04qqJG3sPNxjAGFz3HtSrMC+d7E7cHag5oGW0K5KqpOR0K4&#10;7/rQm3yj8svGSOBn69aqLL8nzGQDBBwgFJGVEf8Ay1PXoP8AA0AXQYuu6QPv242jn8M0blVM8k9D&#10;jAA/X/69VcAKAWlXLdcfp1xTi0jRAbZiCeCSaALBkTkqpYAHHzAf5/z7UsrKMZjQ8Dq4GelV3V2H&#10;EL8ZIJOc/wCHb/OKV1bcc2z5A7E8n06fX3oAmO3zMCEZIPyiTnp24pwKMeIcfN/f7flVZkbzCrQO&#10;rEfrz7U54vnyYNuexfr+lADgx8wARYOe7f8A1qFlwDhFHzZOSelQFQzAhFwSAPm9P/10zOcurISO&#10;278v8/8A1qALyzhQwBjxx1B/z/n2rUuZVfT7WUBM4aP5s9jx/MVgI26NiBFkY/i6etbVgJLvS7iF&#10;BEzIRIoDZwO/fPTFaQV7oiXcjE24DcYflAwRk8/n/n8qY8rBUOIzxyR/+um7TkA+V7jv/OmsD8hJ&#10;QYB6ZOcVJRMZh8o3AMDxlR0z9ab5y9BLx/ujj8aiIUFG86NfXcuR9CcYqPzFADi7jI4HyLn8Tx+N&#10;FgLJuCZcrNgj/YHP/wBak84mQgy8dclOn6e1VhMqSYa4j2g8fu+v6YqQyQHefOjz1A2DJosBNHLh&#10;jmUlT6dR+n+fypVmxyTKRjIO7/D/AD+VVhJExLefyM52gcU6OdD/AMtpBx7fzzTsBMJm2ZAd+ckH&#10;PHH1oYHgG2yd3rmoBcRvGMu+QDkE4zTjMggUiMkZ5+YED8MUWAnDlQWRVByDj3p7SMRkeSmew6/5&#10;/wA+lU1uo3iykSgA/wAXPY+9PN04J2wpjsRwaLAWjIwO44AOM4JpWl+YEyn7pwCDVd713VdsJU7f&#10;7w4+vFSebIWySemMYXH8qVgLAkYycTAHOBwc/wAqWNyclpM4OPu9KiSSVmGCpBPGR1P+Bp8LymQN&#10;hQSCOFosA5Tg7t56+n69Kb5mWKCTAGDyOT9MVKHmHzDr9DSFJE3Phtxxz2oAF3eUwO7r2XpTgMgE&#10;GYZA7Uv74RON5P1JpQ0q/wDLTHGeT9P8/jQAwFiAQJCMU5kbeMqxB4xuxRhxyHHA7kGhgWYEuM8k&#10;cgfzoA5fcQwKu/GDwe9IMjPLZ789aMt8o8xegGCy0AEk5ZTyc9PSsihSjksBGxJPBNMaJtxHlHGO&#10;ee9GCSQWB55yR/Som2EHcQefzpgOIOw/ujxg1z9z4u0a0ne2maTzI2KuAp4I6gcVtyFFQ/MAc9gc&#10;V5Hre0a9fKVBHnNxWkIqW4NnbnxrogIAWckdCFqI+NtHyv7u47Z+Qf415y4KnA6djTcmtPZIVz0P&#10;/hN9NHAin28Z+QH9M0n/AAm2ngkrHOcdio/xrz3PqKD7Cj2aA9C/4TjTyxPkScHj5B/jSf8ACb2W&#10;Di1m59hx+tee5x2p240ezQHoA8d2KqwW2kBPsP8AGkfx5adBaSEfhXn+aC1Hs0I74ePrVRxZyH05&#10;FJ/wnduXBWyY8dC3U1wOaWj2aGd4fHkO4A2HygYwDSHx3Bn/AI8B/wB91w28+nHvSE+gwKPZoD0r&#10;RPidHo93LN/ZSy7oyihpcYzjnoaTU/iedRnSVdNjhIQIFEmQMH3HvXm4PGKcTgYq0tLE8qbud0vj&#10;wsuGttvB4Vv/AK1Mfx+wIAsyMdvN4/lXFMyGMgqdwzj2qNjlBySc8g1PIijtT4/nJI+ypgDA/eE/&#10;0oPjsk/8g8dsfvTxXEgkfSnZ60ciA7Q+OGK4NjGSOPvnmgeOCD/yD4h9Ca4zcTSknNHKgudoPHUp&#10;LN9igB6/Nk/1oPjxxuH2SHHoFOP51xYbBzQ2D0NHIgO0Tx5K3yixtkA6cNz/AOPUHx/dKcJZ24XA&#10;GcHnn61xIpwJHenyoR2bfEG+zg20G0dAE/XrTZPiBfttAggKr/eQda48kbsg5pM0cqGdkfiDqmML&#10;DbbSc42UjfEHVWkL+TbAn/YP+NciDxS8etHIgOs/4WBqoJIhtgSMZCsP60o+IOr7gdkA9wGz/OuR&#10;4zSgijkQHWD4gauowBCM9cbv/iqD491XBA8rJ7nd/jXJ8Z60vAFCigOp/wCE81g8B4semzikPjjW&#10;GBBaHk5/1Yrl+KcBmnyoDpm8baq/XyOmP9UKX/hM9VIAzDjGPuYrmgB3zTtygcZo5UFzpD401R85&#10;MPTuvX9aB411cHIMWex2nj6c1zWQaUMMe9PlQjpB411Tg/uiR3wf8aT/AITPUyMEx/kf8a5vIpMi&#10;jlQHT/8ACZ6mcnEOcf3T/jVu0+I2vWUey3lhQbt3+qBJPua44H60U0rAzqW8balK5aQQ8+kYpG8a&#10;annAEBHbKf8A165ml7ZpWQjoz4y1IYJS3OO2w/40q+N9TUYCW+P9z/69c1ik6iiyGdbH481HkPFa&#10;/XYf8ant/HdyWxMtsoVcq2wnnPTH61xmB70uBTsJnbT/ABAkaxeGK1iM+/Kz4IAHcYzVJfHepKAA&#10;sXA6le9cttpNtFkKx1R8e6uQq/uMDt5YoXx/rKcKYcehTNcuoAycZ4pgTPc0WQWOuX4gasxKuLfa&#10;eTiIUN4/1Q9GAJ9BXJ7OelG2iyCx1J8faw33pEYAdCuaefiFrBPzGHgdoh/WuUCE9BTWB5xRYR1h&#10;8f6wWyHhz1z5QBqS38c63PMimZFXPURjNceqdzV2yBadBjOTiiyGe+2k0clrEW2LlQTweuOnT9Km&#10;3xCM4ZQTjqG6flUFoVFjCPnOEUcAccVYV0MbkK2P9rHB/OudhqA2GJ/3kYwcEfNx0p6yAIAXTkA8&#10;K3I9P8/40yPaUICNj3cc1KACFIi7f3vakMYdgjU5XG3+5SSShVzudSPVNvepNqgLiMjj+8f8KbLt&#10;XbkJjHfP9KQzlgYyRwSOuQvem7kLdyTkfdzj9aeOCvyEAkE4fI/Qf560ikF9hTGemTn+lZlDFdcl&#10;suPm7r9feo2cAElnPTkoM1JvwWwAxB7k/wCFRPIAGbCHoO/XFMBkky+Wdu7I9UU15FrzZ8Q3x9ZS&#10;emK9ZkkAjbmHPXoa8m8RE/8ACRX2MD950HToK1p7iZmMdp9qCMY5yD0NI5J44p6sPLKkdTxW4hn4&#10;0VrW/hfW7uJJbexMkbjKtvVQwyRkZI4yD+VWf+EK8Rn/AJh3f/nqn/xVQ5xW7GYGaXtXQL4F8Rn/&#10;AJh4H1mj/wDiqePAfiPjNkv/AH/T/Gl7WHcLM5wjBOO1Jiun/wCED8R85s4+f+myf40f8IB4iP8A&#10;y6xf9/l/xp+0h3FZ9jmOKUV0/wDwr3xGcf6PAP8AtstOHw78Q4/1Vv8A9/hS9rDuFn2OXCk9KT2x&#10;XWD4deIP7lt/3+pf+FceICM/6J/3+/8ArUe1h3HZ9jk1ALcg04jkjtnrXWr8N9f7tZf9/j/hS/8A&#10;CttebnzLH8Zj/wDE0e1h3FaXY5JlOcY7Zpldj/wrfXc58ywHGP8AXMf/AGWj/hWmu/8APfT/APv6&#10;3/xNHtqfcdn2OPAzSqBkKeM8V15+GuuYx9p0/wD7+t/8TSt8Otb2DNxYcYwQ7/8AxNHtqfcLPsch&#10;twaO1dd/wrfWm5N1Y9f77/8AxNH/AArTWeT9qssf7z//ABNL21PuK0uxyH40uBXYf8Ky1g/8vdlj&#10;/ef/AOJpf+FZav8A8/lj/wB9P/8AE0/bU+4WfY47GPSjGeldmPhjrHa+sP8Avpv/AImnH4X6xji+&#10;08n/AH2/+Jo9tT7js+xxRXB/CjGa7R/hlrKozfbbFiATgM3P/jtQQfD3VZ5WSO8s8qCSSWx/Kj2s&#10;O4WfY5QClrux8KdVIz/atgM+7f4U4fCjVP8AoLaf/wCPf4Ue2h3FZ9jg8Ec0AV3w+FGo99XsR/31&#10;/hTx8Jr/AD/yGbPHsjUe2h3HZ9jz/Ge1Lj2r0EfCa9/6DVsPpET/AFpR8JrzvrMH4Qn/ABpe3p9w&#10;5Zdjz0L7U/Yw6jFd+vwlvC2DrMQXHUQH/wCKqZfhFdd9bTH/AF7f/ZUe3p9w5Zdjzkqc8U7Fehp8&#10;I7suA+soF5yVts4/8eqwPhC3/QcP/gL/APZ0vrFPuHIzzQKaNpr0wfCAd9cf/wABf/s6Y3whcEbN&#10;bJHfNt0/8eo+s0+4+SR5uF4owK9KX4RjHz61Jn/Ztv8A7Kl/4VLF/wBBic/S2/8Ar0fWafcXJI82&#10;GAKUKO2K9JHwlgz82rXWPa3/APr1IPhLaf8AQWu8f9cP/r0fWafcOSR5nt+lSbR1xXpK/CO1yT/b&#10;F2R2xBUo+Etlj/kLX2faIUfWafclwkeYsq4zxmmDb3r1I/CSwIAOrX//AH6H+FOX4R6dt51TUD/2&#10;zH+FH1mn3GoSPLGCj8KQFc16sPhJpf8AFqWon/gC/wDxNO/4VHox66hqR/Bf/iaPrNMOVnlPy+2K&#10;MKPSvVj8JNFXav23Uzn0Kj/2WhfhLoTMd+paifYOnH/jtH1mmHKzyrimkqAOK9bX4R+H1H/H9qXt&#10;+8T/AOJo/wCFTeHQSBqGo9Onmp/8TR9YgHKzyTeuOop25cAcV6y3wo8MhN32+/GO/mp/8TUS/DPw&#10;osavLfagpKgkeavH/jlH1mAcrPK0kUHApN6tyMGu81jwZ4UtrKV9OvryecAgDzVIUgZ5+WvO7U5t&#10;k47ZJrSFRT2E1Ylzk1Zss+amOxBqp905FS2rkTJjuRWgj6CsULWUQUyH5VwM9sVYCSAMdshB/wBr&#10;p/n/AD3qlZBmtIcMpO1cYI9KtKhAba6gkAE5B/z/AJ965mNbD1V2BzC59OfpUiRcgmA5xySw4qEL&#10;kMSUx6jFSIiqBlscY4PPT/P+RyhiPCCNyoASM5L0rxfKnyxYxx89JgBVAk4IxzkU2dVKj5ycDmgD&#10;mNgPzNGTzwSaQDOOO/H+FBwORLjHfnikGCBlzjt1rIoaScEhlJz3I/KoHJ2NkREADOGHB/OnsRjP&#10;mkc5GM1BK7YPzHoM8n0p2EV5MgHHlNjpg5/rXmHiFceILw/Lyw6fQV6RcsMEkFueea821/H9v3g6&#10;YK9v9kVpS3AzGPSlQgmmmt3w81oZNjDbdhsoxGcj29DW4mes6TFn4SwXUcWbu1DPGSPWTke4I/pW&#10;batq14w8l4kUckmMn/2au5sbfzPh8sW0DfCTxz3pNM06O0tEjVQTjJPqa5YwUpSuQ5tbHPJaXu35&#10;+fouP608Wl2ScD8xXW+QnpS+Sv8AdrT2MexPtJdzkxY3mP4fypfsN56D/vkV1giX0pREvpT9jDsL&#10;2ku5yi2F4euB6fKP8Kd/Z936Kfqo/wAK6vyl9KPKHYCj2MOwe0l3OVGnXOO3/fI/wpw0669v++R/&#10;hXU+UPSlEQ9BR7KHYPaS7nLf2bc57f8AfI/wpf7OuexA/wCAj/Cuo8selHl+1P2Uewe0ZzP9nXP9&#10;79B/hR/Z1znG4/kP8K6cRgdqXyx6Ueyj2F7SRy66bc92P5Cl/su5P/LQ4/D/AArp/LHpTvLHpR7O&#10;PYPaSOV/sy67St+dOGl3XXzW/Ouo8selHlj0o9nHsHOzlxpl0T/rn/OkbSrwdJ3/ADrqfLHpThGK&#10;fs49g55HHvpN9j/j5m/M00aZfqwVppCMdQxrstntS7B3FL2cewc7ORGmXIHM0v8A32acNNuB0mlx&#10;7Oa6vYPSjYPSj2aDnZyn9nXGcCeX/v4af/Zdx3uJv+/jV1Hlr6CjYD2p+zXYfOzl/wCyrg9Lmb/v&#10;41KdHnP/AC3n+vmtXUrGPSnCMelHJHsLnZyZ0acjBubr/v63+NEWiXBOGuLrH/XZv8a63yxR5Yo9&#10;muwc7Oa/sNz/AMvFz+Mzf404aG2P9fcY/wCuzf410gQelOEY9KfIg52c0NB9Jrj/AL/N/jThoJ/5&#10;7XH/AH9b/Gui8sZ6VIEo5ELnZzf/AAj4P/LWf8ZW/wAad/wjqMMGSb/v4f8AGukCU4JT9muwc7Ob&#10;HhyMDG+U/wDAzTZPD6LjDyf99Guo2VFKnSjkXYXOzmToI/vP+JNJ/YC/3m/M10eyjZRyLsPnZzn9&#10;gDPJY/jR/YCHux+prpPLo8sUcq7C52c4PD8eec/nQfD0XfP510ewUbKOVBzM5lvDkLYzu/A0q+HI&#10;RnCnn3rpNlG32o5UHMzmJPDlvtO5Tj61PJZ6ZJZR29zZKGX7sqLhsfUVuOgZSKq+Qv8AF2p2QczM&#10;M6Jo2cFWA9Sxp3/CP6Qy/Ku49eJTWzLFGSBgEVD9jiLcKc0aBdmANF0oE4tXJB/vmq1x4ct5IneN&#10;fkx/F1Fdklmq9u1QXsapAwHpRoCkzyGO2jtbjUkXjCHgd+K4C0JNqnPG0D9K9Jkt1XU9TuMncwKY&#10;9sZrzW0YfY1zknAArKj8UjfoifovTNSQx4liwy4LDkGoGO1eKktiTPGP9oH9a6BH0BY+WLeIApgq&#10;pyAT29qspIhQgrghem3PrUFkAbOJURW/dqARKD29qtBAQcxEAKP4v/rVzgAYHfgN+Cdf1pVbIxvc&#10;cYwY1wP6/wCfan8BH/dYxxgEn8+KEIO0gDPAy2SP5UmMa74Rc7hwCSQBSM4+8ImPY/MBT5HG0fLH&#10;wTxz/kUyTO1d3l8DgqcfzNJso5UMvUk8+w9Kb5uDl8Z6fdXjmlO0Nj91nvkHrUanb2QY9P8A9dZj&#10;ImkUJjBzz6c+3+f8KqzOAGyGHTOGH+FTu2Rn93VOV+DkL1x+n1pgVriXCfckJz/f/wDrV5zrzZ12&#10;6OCOV4P+6K9BuHHl8Y4OOvSvPddOdduj6le2P4RWlPcOpnN1HpQuBQ454PQUi81sDPonwDLJL8OE&#10;jYHCB9p9fmJrpol/dr9K5z4etu+G0AOOBL/M108Q/dr9Kxp/FL1MJgFpdvrT6K2RmJto204UtADd&#10;tLilFLinYY2lAp3ajBoAaVpdtO5o5osSN20u2l5paLBcZtpQKdRTsO4m2jFOowaTC4mBSgClxQPp&#10;RYA20baWj8KLAN20Baf3oxTAYVpNtSUhz6UAIq8U8LSL0p+aAE20badSgUAN204ClFOH0oAZinBa&#10;XFOxQIQDFOApQKWmAYqGUdKnxUco4FAEO2jbTsGjBpAJtoC04KfQ0oBz0oAbtqvdTrbwl2/CrRU+&#10;hqKW3Wbh1yB60AZUd/JM5VG/SnPPce/XA4rQFmg4CYqYQD+7wKmwygvmY5yfrTXVmGCK0/LA7U4R&#10;47U7CuZMVu5lUbcDPNaAt0HaptuD0p2KaQFcpgdKztQUeQ30rVccVm6gP3LfShjPJp43N7qMm75A&#10;GAX1OBz+n615ha/8e6ewFeqTn99qWPVv/Qa8qtiPs6jvjqawo/HI6OiJJDwKltDiePj+IfzqFzkZ&#10;qW3z5qEdciugEfQWnw/6DBttnGUXI3Y7fSraWwIb/R2xjI+bHH5VSs8G2iY8ZjT8fl9qsKEPIkwc&#10;HJBNc7EWAhKMfKI45w1ATB+6vToze9Rqg2sRKwJx3PHFPRSE/wBcWxjA5/wpDTFH3QFEJUDBO7/6&#10;9LLGSqgeWD145pmBgb93foKVkRkB28j2FIo5EqcnITOCcEj/ABpg6bcxnj1/+vS9MdD1IqurDbgh&#10;sYwOR61mhkbqSp+5nnv/APXqrODgjC9etTOyhMducCqsu3YRyDn0psCncKwQ9ME+lcHr4xrdxnOf&#10;l7f7Irupymw8nr0wK4PXv+Q1ccnHy4yMfwitKe4Gfux3oTGaaQcZpU61sI+i/h0N3w7iH/XWuqi/&#10;1S/SuT+Gp3fD1R6NKP0rq4M+SmfSsafxS9TGY/FAHNLRW6MyrqSsbCQK7Icj5lOCORWVFFIynNxO&#10;f+2rf41rag2LGQk4HH8xWMt0IQd3Az1qW7CY2Zp7cBh9plH8WyU5H4E802LUILhhEl9KJf8Anm8j&#10;I/5Hmp/tCTblQ5cdU749QO9ZmoS2giVLqFZgx+VWA/P2qbiuSagl9uTybi62Y/glbOfzqjdPe28g&#10;B1C63Mu4r57ZX9avQtDZ2jTxTSyQEfLG7btp9ieapSxm+R7iMBZR95SeDx2NFxGhpxv/ALNma6uh&#10;kkrulbJH51fUz4/4+Jv+/h/xrPtL+PyFRoph5YCk7dw/TNW1u4JYXMMqlh26EfUGtE1Yl3J90w/5&#10;eZ/+/hrH1q9uPs0kFnqFyLsYKqkrZ45I+uO1c3Pq17puqRmTzGZxlmYnDDJHH0xVuOeFriW8aT7o&#10;8wRDq7egP1qee49TNXVtXfgatfA/9d2/xqU6hrP3v7YvSfTziP61nfaze+bcKkccjtu25wozUt5Z&#10;3NjdtDJh2jUFmibKjjP40m2O5fi1bV87Tqt5x/02NW4NQ1iSUKNUuiOpzMeBWVYQPdMSo4XG5s46&#10;1oXE8OnW+XdgmeWwTz70k2Fzfjv7xz/x/wA/08w1eE121tvS+uMgc/OeDWBo6pqVu09tcxMVb7m7&#10;5jx6da6SyXyIvnA3MMsM1UU2Jhp97dSWiCaabeOCxbr71a3XRIxcy/8AfVQyKqncCAp5rmtW8Vyh&#10;Gh0+MxODzK4BI+g/xpNO9hpmnaeKbe71A2kd7OM8JKx+Vz6D+nrRq3iR9LuI4Eklndl3tiTAVfXP&#10;rXnjQkxqGGEbOOOD9KtoWWFIwxdUGFVjwB6D0FDTQ0z0jTbu8vrb7Q00iRvzH83OKmtr0XbSCC+e&#10;TyzhsH/Oa5u615G0mG1s4vKDIY3U/wAKgYwPrVXSbx7JriRCA7RFUyMjdkYqOZlHXXN+liF+06g8&#10;Zb7oJJJ/AVma1qmoweUlpdMYZo9wmDZOfQfpWJcahc38KxXTLJtfcrbACOOnHampu2bSWIznGeBT&#10;uK4pv/EJjIbUbxVkGY5M+np61hQ+K/EFjrKi61O6kgDYZGfqOldDJf3YtYYS6tFEchSBnB6jNY3i&#10;OyjuI0urdeSM5/z3q07jOxkvb9QGW/uNrDKnf2NRf2hqHX+0Ln/vs1zXhrX45bYaNqLBAOLe4brG&#10;f7p9v5fy6lNLktrO4nu28sp9znIP/wCvjFZSUl1AVb6/LAG/uOf+mhqVLq+mn+zJe3bTMu4BZDnF&#10;Uo+QG6DNaWgzQprkjM43m3KhSepBzx+FTC8na4XNWyiu7Wyltry7mef7ySNIckH39jXFa/qGtrrl&#10;xE+oTQeWAVit52wqnpnHeuu8Tz7NBkvzIYpIGBhwerZxj+dcLdWM1m8EsztI15ELgyn+JjyRn2yK&#10;7LEtlnSLzU5WkebU71gOBmdsfzqTUZr+RlKaleKPadhj9aitZCowOAakuiTtyRisql1qJO5jLc6j&#10;FMc6neOAe87/AONattc3TKN15ctn1mb/ABqibcyyZOAO1TRJ5Cb5HxHnAOOp/rWV2UXJZZxg/ap8&#10;f9dD/jTTeSBP3lxN9fMNE0ZRUO4ESDcuO4rGvZirdeBUa3ALjU7jzZI/PkYE8N5h6VXmu5mQYnlz&#10;/vms6ebEoPrU0DeYyooyzEBa3QrjJXuSuBcS/wDfZqkxnc5NxMSP9s13mpeFlurGOSwkUXKIA6gj&#10;bIQP0NYGj+HrzVLx45VNukTATb+HGfQd+lO4jHstP1TUbrFss9wy4z8xwB7nPFeiWmmW2nRQRzAQ&#10;XMg5VXL8/U1qWiWlio07TowuOXbqF9ye59qra0bZVjVpo1lJwNzDcxobGi7ocAi8RodzH9y/U/Su&#10;xNee+EryWTxULd+Qtu5BP1FehGqi7obI26Vmah/qH+lardKy9QH7l/pTYI8omz5+pcd2/wDQa8qt&#10;eLdc9hXq0+Rc6l9Tj/vmvL7XDWy8ds1hR+OR0vZCOMAY9afAf3qeuQKSUAcgY9RToMNMn1FdAI9/&#10;08j7FCWd/ur0QN2/z/k1cilVfmbzGJXg+WKr2RAtIgqf8s1HJznjHpz/AJ9atIx2ZGwZXGcn1/8A&#10;1VgxDkkGxgS/PTKrTg+QDhnBUZ5A70kbcSE+SeO5PalibjkRDjr1z+Z/z+dSxivJ8qgLIARj7/v9&#10;KSRwVBIbg45cipN52cOvBx90f4+9RyTN5QbzBwcYKDJpMaON385CuRyc7h/hUBkOMbWGfVv85qUn&#10;HQ+vOBUQIYthh06lRWZRXdsoflfnPVqrStlTnOc4xuq0zbV5YZwQflqrLIFUfvOSx6qOlMChcNti&#10;LE8dq4TXjnWZjnOQvP8AwEV3twR5PDrgHrt/+tXB+IONZnAOfu8/gK0p7gUfMHlAEDg4poIJ+lRn&#10;pQhIOa3IZ9EfDL/kQCM9JJP/AEEV1sP+oT6Vx/wuff4FkHpNJ/6AtdfDnyFz6VhT+KXqZ1CSgUgp&#10;RXQjIo60P+JTNj/Z/wDQhXJXV8IbWYmVPM2kgk11muDOjz8A/d4PQ/MOKwP7P02/sZ7SJAgdAWI5&#10;ZSenJ7jFYz3BnItqdwjxuXL4Ofm5q95tzqEfnn5xGApx+dZsWl3cWrR6dMoEiyA7v4WUc5/Guw1K&#10;0e3VVgREg29FwPm75qIknPLJLcSi3hyXJAx2B966CDy0txBIy7sYb396wIbsrfiAxgEnHTke59qn&#10;uJD5ztCrzYXL7BkIB6nsKFuBtCVNItZbmO3M7gALu5AJ9fasldVl3y/aCTOzHfk4wfTHb6Ve0rXL&#10;6G38mGweQPyGOTx09MfrUVzo+uavM87w2NgW4J5Z3H+0ASP1q7Dsc1qFwbmT5I92OcgZNW7NY10m&#10;GRw4uJJTw39wAYwPck/lU11pl3Zaj9lXxDK120ZBSGBERRjOG5x07VUs7h7qWCO9YqUyPMVM59OM&#10;96bvYLGhBoOnvfRXVyG8kkmRAeN3Y4+tXrm0tmucwmTy/wC+64UfX/69PhiM0gjJILDAI7HsauRe&#10;FruVMXGs3gVh8ywYQH270IRmjTrxNWmjt4Ctso+UbcKRjrnpk1HPZyMrrLCysegcEYqTV/B9nBbF&#10;LfU7xZVxlDMDlfpipbDSksdKWRJ5JNxw3mNk5pN2CyMqbw9Zw6ctyl0lvP5gw8ZIC8HrnHp2x+NZ&#10;k2ta1YzAx6nHcRqvJWdGz+B5q5renW9+yxGFpbsjCYYgIP7xx2q3pXhLSYQvnRG5cDnexxn6UKRS&#10;21HaX47E7LDe2m9iMBoxg/pmnxWGmanPLs1FLaYv8tvcRiN2H+yN3I+lXZ/C2iiMyDTYQV+YYZl/&#10;ka5R1ljkUtI7OuMOWJIx71a11E7HWG6t9ZsLiwtkhghgjDLNIoC8EZP+znnnrUFtoVpdWHl2d5b3&#10;N4WyXWToPTaP5ms+OZbq9bTYpDBY3LeVuCLk5PDnjGc4+napJfhnqto/mWOrwyEc4dChB9iM/wBK&#10;mzYI2bfwvfLpty08SiUbWjUHJOOvT2qTw1pqXl83mRiSCNSWz0yeAP8APpWYdM8fwxLFHeK6jptn&#10;AIpE0fx0wIa4Un/buSR+hpqGozp9Y8KiVRPpoSN0X5ojnD/Q+tYFpb7wRczJbbRnMvXr2HeqD6J4&#10;w80JdKjo3UiXcMfQtXVWWiyQ2pimazZsfK62gBHuck5qnYLIyQmkeXKH1B2IYbGjhOMd8gkf5FZ+&#10;qXFgtgotDcOF5LyKApz1+hq7b6FpN3qLxXt5dshb5WRlRM/QDgVvN4K8Mo6WzxNvbkAztk/rQkh3&#10;SPLls11CRmtSTcDnygpO5cZJBHpXYeHNdt7/AE86Nq8pVsgQzE4wewJ/kfzqn4g8MPoGqxyWO8Wc&#10;pwmW5RvTP8qy0t1nmZlXbJnJXpmh+Y7XOmcTWlxJazjbLH+o7EVYe2hj0eK6Rm+3sxkixweDjH0r&#10;GTWJLnyIpmDG3Vo1Y9cZHU96uyymXTpSjfvktnK88kDPT6f0rNRsyWa1nqEHii+gW6XFnZZJQciW&#10;U9PwAz/k1bjWxv8ASW0W6bFzbMyQueOedpB+nbvWRokJsNKtY9nl7o95x/FnvVi40+LUduWaK5X/&#10;AFcydfofWtVLXURkyWVzp8ixXKbW7N/C30NOn5AyKuXt/ezLbaDqKK0ss6bpR/y0jBz+fFSXOkCG&#10;QST3CLag5Oc7iPT+lOpqhJWMm4R7S3juJIMxOQFBP3v69qzLi7knlM05yyjCqBgKPQDtWz4mluJb&#10;GCQW/lW8cw++fmPBA+XsPxz7VzErlsgda5XoM0rGee6LQxYkdFLKrHkDuF/nVTUNPvltmuZkWGMc&#10;/vHCsfoKzfNlt5VlhYrIhyrDqDXW6RfaXqcKyXoja+jxkTsPmPYrnj8BVxtcDgpi2R1+tTW4JAyS&#10;at6qJJdSl32q2rbjmFRwtQxR4FW2hGlY3E1rLut5njPcqcZrqw1vcaat0Li5WQ5V0EzndjqOvH/1&#10;64+KNsZGcetaEV46WvkqByc7vSovYDYm1ONIwsUDbAMYllZgfwzioRrqrEYzZQKvrGu01z8jSIfv&#10;sxzml87IpKTA6/wXOk/i4Op5Ns/ynqORXpfavJfh9IreMwB/z6yfzWvWv4a3hsUNbpWbf/8AHu/0&#10;NaTdKzb/AP1LfSmwR5Pc/wCv1Adtzf8AoNeV2zlLdCvGVr1W6GLjUc9Mt/6DXlMIP2dDxgrWFH45&#10;HT0Q92Y9fWpLcBp19zUJWpoA3npt65roGfQdkgFpAAFHyKRlx6f/AF6txodpICD5cctxVGx/49Ys&#10;SlSY1AHPXFWx0Yl8gp3J6ZrBkkgQ7T8kLHry/X9akjQ+WMLGAOwP/wBeoUC7WBDccjHOeKFCeWC6&#10;yDHGCP8A6/8An+cgT4IGVbv02H8ulNJIRSJFZuw24pgRNo2g9T1odSIhiJs5yQT/APWqRo40ggt8&#10;wGCf4f8A61QLjb/rEx78f0qZu6jJBzjioFQkfdOcfhWZZG3IGWA4PO3NVpAdvJXOfT/61TurBfun&#10;BznFQSDAI2nAY0xlCc/ux86kZ5yOlcN4hP8AxOZuQenP4Cu5uEARfkbrnj8a4TxEANblxnlVPP0r&#10;SluSZZ6UKe9BHFKoroEz6A+FRH/CETkDnz3H/kNa7OBswJ9K4j4TEnwbcqe1w4/8hrXa23Nun0rC&#10;l8cjKp0Jg1LmmYpwHFdBkUtaBOj3G3GcDGf94VyG8aZp8ohvvOvJME+VGcL7ZI5xz6V2GsjOkXA9&#10;h/6EK5ddN82ISLJ8mORjnNZT3Ay7W4Ms7SSo7TsMb8klv8KsT38h3J8zE4HzHgAVHNC9rncuMkhT&#10;6061itpW/wBIkKLkDK9eay6iLaX8cFm4ESyh2BCkZxxz/Sn2l8moqyXsYghiG5bdeQ+O7Y6/TpV6&#10;GwsooGiQiYkH5mTBGeKoLo1yjgJiRT/F0x9atRkgJbnV5XwIF8pR+JNbMNxM9tHK6gbhk47ViR6X&#10;cper0CI2d3rXSx8DCjHtWkIt7ibPO9SsjDqshWcNJM5diM/u8nPXvUVlZTXNwsS84bqK7q70S3ur&#10;pZ2O0gYwB1qe10u2tCzRp8x70OLAqWai2YR7QWIwG9DWzDI0asJQcKPrWRqco02MXG0MjMFz/dJ6&#10;H6Z4/GqMmvXSWxhULvPVyM/lWbly7gVrqf7RdTSg/eYnGe3b9KgmF9PCLezJYKclARnn0zUQYvG5&#10;MWZpGHzZxgfSr1i7w3huIkLpFknPHH+NRe47GZCsti8iT2zpKeSSOT+PetKwRmw3TPvUK+ZqV86o&#10;r75GOATkgH3rc/sz7Ecxr8oAUnuT61OrV0MfFA00bIAWGMfSuf1PwteY862UTZPKrwR+B611mnuY&#10;2KkcP7c1fOSpwcHtWlO7V7isczonhSCCKG4vVY3aPuKB8qpB46fga2ri9W3nWLdnjLA9qom/e2k3&#10;4yB95c9RVD+0FfUjcFQVLZK57dKvmA3pNRCOFC59c1aS4HkGTv29zWD51vNcuYGLKO59fatJWhj0&#10;4zzTqiR5cljwKE5CJULPlmOST3pl4kj2kqQnEhXArkbfX76SeWdJcI7fLGQCAO1XT4gvPLYFIs46&#10;7SD/ADqRlDoeMgg1P58gIZWbd2Oeazo5DjrVy1DM64XexIAX1pgdgEi1fSVW5G9ZUG7PXPqPfIrz&#10;jUbaTTNVnjkyZI3GT03oehrrJLt1ZFh/dJH91VPSsrxCJb+GKcoryxfKzAYJU+v06/nVXuVF2Oah&#10;aB9QZCxVXb5XHGM1r6Xpj6m1+oLsbaElRnq5+6P0Nc5Lut584wytnBFdbpmoPp3h8PbkLc30zSFi&#10;M7VHH8/61SQ5EOhaywuV0rUtwj3FIpD1ibP3f93P5V2VtYtDOWkKsB93Fea6ubi41GW8EakSMGYJ&#10;2OBk4/Wuz07xPClhGNRJWdUwSgLb8cfnVED/ABTYvLbw38GRNatnI/u+v4HFc9deIT5KXs224v8A&#10;eVijIIjgHqB3Y569a753ja2MhIaEpuJ7Fcf4V5Nq7fv94UKGzhR0HpUzdkAT6lcXxM13O0rD+HoF&#10;+g6VD5wI54PWqqLuCpGhZ2IAHcmty88H6pDaq8JimlP3kVvuj2J61ha4GLK+DkD8ahVQ+d2MelVh&#10;M8RZJdyurEMrDBBHauj0Xwne63p32xJRCpfCqyE7l7tx7/yq1FiuWbK5h1WyFtdWclxc26ZjljYK&#10;xQdj64+hrdsP+EeFskvkwo4wCsw3Pn8ev4Uuk+G7bR7tJGvGln/hBAXtzxk5q5rlvANLnbMcLtgl&#10;scuRzjNXFdxkOs3dxaWsctqjwgttxsGST04rmbm+mu2zcFS699gU/jip/wC0pZZrNJTmJMnAHAwM&#10;fzNUr6dZ7lnUAAcHBrObArTyYB9PUVEGBGR0pnkGe4SLdtV2wT6ZrQtrGJpTbgNkKxGe+BmiMLiN&#10;P4dH/itselrJ/Na9gJryrwKiweKi3khH+zuOvuK9Ma4HYAmt4qyGSs3FUL4fuW+lWfMLkcVXvR+5&#10;b6UMaPJ7zAuNRGect/6DXk0RHkR4/uivWL4H7dqOPVs/9815RCP9HTp90VhR+KR1dEObJqW2z9pj&#10;/wB4VE3FTWozOK2uM+gLOQfZ4ipfGxT91cngf5/yauIx2kGJu2Dkf4VUsm/0SHPkHci88g9PX1/z&#10;61ZDkgsRCCFOAOO/HesSB8bcNtjk6cfOOTz7f5/KhZyCOJBz3c4/Qe3+cU2M7MnKAY7AE9PrUiTA&#10;qvz8+hjHH+f6UmAbmdDhVY5xySabIT5KgxIFB75z+pp+cDh+ATwFCkfpTS2IVy0inqSDx/KpuBxh&#10;DYLBVIOcHJ9frUak4zsXP48/rUxYlieeemP5VFk+r8jjmoNCuxAU/u17jAzx+tVpmVlwVXrVpmJQ&#10;5aToe9VpXOzBd/vHPzUDKFyT5eNgHY8HmuF8Qj/idSHGMqtd1O/yYDy4Pr3rh/EZ3aw5yT8g5NaU&#10;9xMyD0py9amtrgW/mZgilEkZTEi5257j0IqKJQXwTgY610ITPePhKc+ELof9PLf+i1rt7T/j3jz6&#10;Vwnwh/5FW7/6+P8A2QV3lsc2yfSsafxzMqvQnwKKQUtbGRV1KPzdOmTOMgc/iK5+9inj08Q2gzIc&#10;DOcHHciujvCBZyE9Mf1rDa9jjulRVMsoHEaDJP19B71Djdksy5LZ5dHVbt9kqHIY8nPYe9UYrTfd&#10;La+aPMAyzY4B9K3Psy/bEa/mRHckpg/LGPb/ABNOGlx2sxvEdZzIcZQ9OOeKTgSTWKbJ1CnIRa0s&#10;dgKpWiiNXdwFJ9T2q7FJFKm6OVHHTKsDW8bIQIgLcipggFM6HkU7zFIO3mncBTQKybTVJnvWju1W&#10;FGBKbvlwQemT1q/JcRx3KwFvnYbse1TdMZHfwpcQtFIu5GGCKxbPRfMuhBO5UqCyNu5kXp+Y4zXR&#10;Om4A96aYPOMZKtuiYMpBwQf/AK/SspwuykzmLq3+wXrQ7yQuMP09600je6fTbZoljHz3Eqqu3cR8&#10;qkj8c/hWjZTxX+oSyKrKTEoeNxho3ViDn8CKQyxr4pCjkLZspP8AtblOPrgg/jUqCQy/awrCm0Iu&#10;fXHWpyikHIH19KaJEI4PWqOqB5rKaME+ox6dxWiskBYkjWMsy7c4zurjZtVlSZpoZnBz0BqKC6dF&#10;/dTMqkYxngj3FZVy0n2lhEg2r1HtisXqFzYa5e9UuTgE9KjjtJhHJKmWjX7xz0qpbrqLJvhsZZI2&#10;IXOQCD+NRPqM+nXu9FCTQkq8bSZVuDw2D2osBoXc/wBjWGWHCvIo4HfHBNS3Eaal4eke3z5q4LL/&#10;ABFgcn9OlYOoap9smhuXj8pXTaI+ykHBx6jv+NC3Lwt5sErx5HJRiMimIs2CBVJBzwPzqad8LgUm&#10;jqNQuhCGI3t978yTT76KOG4eNJfMCHG4DGTTQisrrGNzHgVLDeP5yGNhGQwIqpOf3IIAOGGfamqM&#10;4oYHWXEls0UUkUqm4k4FqvLZ749vrSHT9d8qSWGGFV2EHayuSO4HXJ/CqOl2yQSNcbR5ko+Zick/&#10;nXZaa++PJbnHSlF3lYaPIr+2kjeaOUMJEY5BGDj/APXSaZOxUoWyF6Z7Cuz8cWYW6huFUDzBsYgd&#10;fSuEgTyr0pnaSSoz+lbrsVLVXNskHB9qZdQSW10Yp42jcKDtYYPIzVe8F5bQ+YI5YWjYAllIwc//&#10;AFqhvb6aXUN8jbhsUAegxnH5k0WIL9rdSwyNsldFIwQGwCPTFUtTVpQHRQ208rnk57gd6gllZlIR&#10;vmNWtJtLjULiVlJ2WlvJO5x3A4H50nFsLkmgIqarbNImBvAw3btV7VfEV3cSFbVzBEpIG08t7k1s&#10;WetRx+GdItLSKGbVJYFcuyBhACfvt7+grjGiZGMbHBQkEVEo2A1LfTtD1byrnVZmF4pIlLSbRN6E&#10;/wAuMdK6HU/FEOk2NvaafLEARw0OGwoAAA9K4dvlNNYjZ0yaXMBsf2wHmFwGkE2d29ucml1TWG1G&#10;RCWUIqjCjpnuaxUPy4pGG0biMAd8UrsRaUuFZu7HCj+VCwlAFYjYB17k+tJbSlpBJIcAD5E9/U1X&#10;up987LkgDii1xlhLczzKkbAMTwS2APxrXitrbSLwTX+oozhSPLVCcEjByfxrCjlQxkk7XHH/ANeo&#10;p5FlhALZcc1cFYR3XhCW2ufE4+zSwSAWzZ2gh+o6g/4V6Abd8+1eP/CzP/Ccy5P/AC5yf+hLXtZr&#10;SxSK6w7DnNV73mFvpV49Ko3p/dNj0pDPJL7i61M+7fyryeFsQIPYV6vqBxc6px0Lf+g15RCp+zxn&#10;tgVz0vikdS2Q881LaH/SU+tQmpIeJRW5R9CWAIs4ciDOxSBv9R35/wA/nVsAjO0LwMYBPr9aztP2&#10;m3hBDH92o4GAcL6/5/nVvy4zjKn7mOFz/WsWZ3LIUkMAcEDJ47c57UKDsB85Prt9/p/nHtUMWxd2&#10;1mB919utSAEBSN3IB5X/AD7f5xUsZKzDywWlBG8/dA4qKR4ygxLIT0wrf/XpXDvFgxEktjjvz/n/&#10;ADmoxCEVWZHB5zn/APVUsEckQpzknvnp/jUeBg5kfpUhA5OCD3Oah6gkYzj8aksiYgrxIx4Pbp+t&#10;VZDtH+sfluc9P8+9WWzjHGOfwqrJkKc4xnpnFAylcEbAC5Az3H1964fxJg6y2Dk7Bz+ddtPkJghD&#10;z61xPiPjWO3+rGMHPc1pT3EzJNLHyxppOT+Ap0eN1biPc/g+c+GLkf8ATx/7Itd1a/8AHsn0rgvg&#10;62fDt0vpcD/0EV3loc2yZ9Kxp/HIyqdCyKWm5pRW5kQX8by2EyRuEdhgMRnHNUrezjtU2xg5blnJ&#10;yWPqTWhduI7OV2OAq5Nc5aeJbS6neKX9ygBKSO2Acdc+lK6RLL15pP20tJ5nllVxkjiq+lRLHYvI&#10;0isCxyR04rUYpe6c0ayDZKmEkQ5HtXKR3L6dI8TqGUttkGfQ9RUylyu4rEmvXOyxkTJDyD5fwI4r&#10;nNG1NrW5ZjJhM5Klu9T+KLiC/uoY7WVpCFAI7Lz/ADrKW0+xXIL4YjDKTWbk2wPToroSaV9qeVFj&#10;xncxxgeuarfbofMhNvNHIjgjMbAjIx6fWuZj1FprBdJaJ/LuDhJN5OzJHGPT8aWwtH066YSxBZEO&#10;D7j29q0UhFrX5vLvoLlZiGjIIRuR19K3rO0fU2j1csiErgAHcDgY/D6Vyetwre4kSQeb02E9h1rX&#10;8Kx3dhaM8jyGKcELDk4Uf3sdjmmmB1gAxU0bAEDI57VVtUm+zCSQg56fSqNxYXUl99ojb5cZznBX&#10;HaqeiGh+rTjRb6PVh/qJAIblfr91vz4/EVlvrcFq8DyW7NIJXDSKOfnB3E57ZC/gAK5bxRrss1yy&#10;FzNECyAA4TH0/l9M0lxrenX3h2OJVZdRBQSg5wcDlh69s+9Zyk3sVc3R4oMN3tw0lvn5mU8/UV00&#10;F7BcQq0c6Mjj5Wz37g+9eeaZAlwCw5A7VcZIyBHG+PLJzsOOvrWXtLOwjb1eygtCZomw8pwB256m&#10;qOnadDc+Z5koWQEbAe+c5/lUYvHe2WGXMyD1+8v0Namn26LYyS/OfMG0Fhgge3+NXvsBl6jf3sFq&#10;LW1kZIw5ZnTr6cZ6d65r7LHLdxwvOsFuzANI2SQD1Puea6GYMzNHsYjJAJ6YqKW7stGhYx28T3zF&#10;cTSYdYRjqP8AaprUC14nTRoNNjsZ45k+zr+6ljH3SRkAk8HJFcfZzmaHyzJ8w7etaOraibrTZLVp&#10;iROQX4yWI/WqeneFtUljguYJrdIJePMmfZs9yD1HuM1SiI3NOimtLT7fHJHtBMYAPzKxB7Y9Oain&#10;n8mHd95ugrZ1CCyh0mOGC+ts2331EgzIccnjqeK5mfUbdQUCmXPbsaQx5nknVcphUIzt5yT0rf8A&#10;DulNrU74fyoYsb2C8vnPT8jWLaWutpbTPFFHZh0+Xc22Q/7vcZ6Z4qtb3Ot6c5VVv1yAuY3bHHQc&#10;GnZBY9Bk0u5tJxAsLyL/AAuq8H/CuktbcQW6IFw2Pm5zzXjX/CT6vC2E1O9j9VdycfnWxY+LPEbB&#10;Cmo2koZtu2do1/Poce9XCKTuFjsPGcW/SUOMkMcexxXltyN1w7DvzXdXfiyeW7XS9V06KEOyK0iy&#10;5C5/i9COc/SuQ1G2Nu0b8EtkkenNN7lr4Tc8TeIF1DQtJtQ26WSITT+zDKgfnuP5VyM+eMdRUrKJ&#10;LpM8Kf8ACtLQ4YZtftY54w8TllKnvlTVrchmQJkWIGvRvCdvEnhaeT7KyTXiurM3GVwQuPbk1mT+&#10;FbHSrq3uvmntzMFZHHCgnjPrW54h1238PWMW/DSuCI4+g47n2olIlHFeDLpLZNShkCRCJkkLN1xh&#10;gB+v61HfXFvcX000JzG7bhkY69f1zWB9sL3jtG4CTHMmCQDzkDHtVwSLsPIA9awkxlyVAmVmBRu4&#10;bg+tRbEkGUPA4NYt1fqZnUMXwMZJ6VLZ3siRZGDjqD3pcugGp5RUDB57inyECFi4OccbT0NZq3dx&#10;5odwSmOR2rodOTT/ALLHd3txld+PJC5Jx1z7UWEYUrtEu6tfQ9Lt9cFyJLpYZETdvkIVF9Mknk5/&#10;Sse5wQy7wwBOCO/vWXl8N83y4rVJCJ1vZInYZQ4OOgIz/Wo5LxpJ3l+UMx6KMD8u1R29jNfSiKAq&#10;CBks5wBW5Y/D7Xr62WaA2+xhkEyEZ/SnZDND4WSF/Hq56i1k/pXuleP+APC2paB47Q3yx4NrJh0b&#10;I6gV7B3plIaaz7z/AFbfSr7iqF4Mxt9KTGjyTVDmbU9rY5bkf7teVRtm3jHtXqupjbNqf/A//Qa8&#10;siVRaQY+8Rk1z0fikdS2QlTW+0zDIJ9APWoCeantP+PlB/tD+dbFHv1ixFtERHITtUf6zHYH09qu&#10;CbarBo5QCBjMh4/SoLQlbaIDaOFOeAc49z9Pyq0JQScvtJXn90PX2rAgEmBVgA2DzzJmlDfLxHG3&#10;OMnPr9aEnbY2+Yg4HIjFKk+MDzOD22bePy4pAGGCgrGgyegz69RzSsWeIYAVj22g0GTcAN0v3uNp&#10;x/n/AD70SSAwgsZM5yMkj+vvRYdzjj93Hy8/7IqFidhIwDjqVH+FSlgSTufnOQTjP61EfucZ/Pt+&#10;dZlldtxTt3P3RVebcyEcdT/AKsE4TkHjI59PzqvLwvT+LHegClcbwoOAMdwtcN4lz/bA3Y/1Q7Y7&#10;mu4uBhdoX9K4jxMMauhxjMQP6mtKe4jIIx19KcvbBzTOTjHpipI0ckbVP19K3Ee1/Bw50O7XPSdP&#10;5V39p/x7Ia8++DpY6VeBiTiaMdenWu/szm0Qisaf8SRlU2RZHSnimLT63MirqhddLuWjXc4jJA9a&#10;89utLee23pGiXAyxUDAb616NebTZTb2CrtOSe1Z8WnWsNwJXlyFGQp74qGriZxWmXGpWFk9rM7Rh&#10;ZdypkEAj9fwrQur+O8gLTWqG5IwXHGffHrU+vxQib7Qhw8jcr29z/KsgDjNc8m0wMrT7CS41VVWG&#10;8VSx5MJwvoSwyAM1curz5mhjikaRSRnZkZrotMgkhsri/RGdljfagPDECuRsTd6rqLRxEC4ctIQ3&#10;yjOckfrWkFoJmk+qRLBGsFksF0EAeZ+Tkjqv+J6VFBqG6bbJIWduSWOSa1E8IXTWsr3txDblPnDA&#10;bgAOufaptI8LWs+mpc3JczzHevVSI/4Rj9fxquVhY59lu/7R+0pdqkYcMsYiB6fXPP4Vu2V7f/aE&#10;uGv7hht+aN9hUn6belN1TQk04wOkxeNmIIcjI9PrTrePcCIyp2jJJYDA/Gok2mCsX3utZmcn+1ii&#10;kfLHHboAPTqCai1bVtS0myYm8guSUIdSgWSMkf7NWN8/2Ta1mdoxicJ2+o4PbmsTWLb7XthVSQPn&#10;kwP4fT8f6Gk6kloylY4iO7ZI180Y3LtKHngVGoZdrpyVP51t3Ojvcr5ozG4O1Pl4f1H4ZH509PD9&#10;yFUrJHuI+YHOBVOUe5A3RI5GmLjIjzhjnBI9K6PyYCFSMFAFyQKztJsZ7AzNMQitxtznJHeug060&#10;kmlkMpWON0IDE8Y6g5/KsG+adkUZX2TUHvESwgil3Do74yf8+9aBv/F99YR/ZtMs4LZV2Kxdeg46&#10;nd/Kr9nIsCSwx3MLXcx8iJEfccn+Lj0GT+FdG9qI7RLWEgLEAFz6CuuMbIDztPDPiB38+81JXb/n&#10;lAdgP44ArK1DwzrIlmUl2VjnenK4NeqrYu33pFH05rK8T3y+H9GlvEzLL91E28Z9T7VSuiXqeW6V&#10;pF1/an2OaMyM4wrZ4P8An+lbmv6Jb2NlFGby5/tGbiGCFwqn1J44AHU5FVrfxbfE+e8duJByHWFQ&#10;x/2c+n61matqL6rfPdMrJK7c85CoAMKP1J9eKUrthc0rOz0WzDRmea/ulwGOcQg47d2/kat22bW4&#10;EkSrG6NkbVArI06BlzIAG5zg1sBhIm5eecEelIZaDyTSmR5WZ26sW5rQ0+R3V1OTsOA+etV7Czha&#10;NjL97GRk4GK1dLtPt0F0LZ1jcSfKWX5cYH+H61DVxAWs7gM19JFNtzlZAG/SuS1SwtZ7qRrG3EUe&#10;OFzxn19vpWhfWE2nS+XdIAzZ+6wOfem2gjaRYS+0v3xntVxTQ7nJtvRvLlz6dammuZJFEZOdvQ1q&#10;6paW7B38w7V+64XGT249M1imNh94EENtII6VruVFj3YrtxnKnINbuhK7+ILVYgvmBjgP06H0rEZP&#10;lU+g4rb8LypBr0Ush+4jEA9zt6U7iaO4ubmxkR9Pvg1rJKpUeZ90+6t0/lXD+J3/ALY0yKEnOo6c&#10;Dxn/AFsY4Yj1Ixn6ZrsNR1IT6XsMcLyu33WXcAPXB71w2uNaq4khhW2kCHfsJIPrgdvpWfOnsKxy&#10;McUgRpc7VBHBHX6VZWRmUqDwcAitGz8vWpoLdFFupIWSYnPB/iKk4GOe4/CoYtIvW0+LUfLRLeXO&#10;x3kA3YJHAzk9Kp+YjW0DTLFZVnv7V7uW43C2t0KgMV6lieg/+vVXWNNGn3chYR+Zt3GOIHYmeigk&#10;5NamjalFptq11KolljTyYUB65JZj7DJxWJrOpte3TlognnYZuc4+n5VDYjNkvJjHhgMj2qeDUVYh&#10;GBCmqMu7PTKnofWmBWGCOlaJIDQuLjGQMYqi8gPFSLFPcsY443kOMkKucD1psdsG4J6GhIQsEzRN&#10;lHwSOorv/Bb3SW8moSzeVYAlCGJ/eN/sj1z/AIVx9hp9rc3kcd3dfZoicFgufwPp9a9EOn+H7COC&#10;0neM4XMQnmJGOeRk4HekwNLQdQkuvGkUUjBMWzukLcvjIG4noPpXed68o8H/AGc/FG5+yiPyEtGC&#10;GM5B+5nn6k16vTRY1ulULziJj7VfbpVC8OYj9KQ0eR6qf32p/V//AEGvKoW2wRf7tepawdr6ofTf&#10;/wCg15jAc2sYKjBUc1hR+KR0vZDCQe2Kltcfaov98fzqJgAfepLb/j6hHI+cdPrW5aPoa0jxaxDC&#10;r8q/y/z/AJFTqq8ruA44yh/wqlZIgt0yrA7VJ+X/AGfrVpVTIIMmCo+Xb+XeucgnRRsOZgoHGGT8&#10;c9KRiiKu6VBg4PycgZqNEC7ypZuMdMAU8Rs/WEkdSN3/ANakBKNuBtmBGf4cEfoaa0kZiXDyMSe5&#10;6/5/z1pFTaoAiYNnjB60rITGo+Q555NAWONBDZy5+tRFwDjPPrzUh4JG1OM9x/jUR4GSo6evSsjU&#10;hbaUwSTwcc81WkxsPAzk+uP8/wCfWrD/ADKPlXgHJ3daryD7w2ryfX/69MRQnClMA5wex/8ArVxX&#10;icAaqmO0I7+5rtLgAqPlXn1NcZ4nydVTp/qgeO3JrSnuIxT0/GpInCtkZ47ZqMk4oXIzitxM9s+D&#10;bFtNvif+e0R/nXfWB/0VPpXnnwab/Qb4f9NIf/Zq9EsFxbKPTisYfxJGVTZFsDinA9KQUtbGIyfm&#10;Bxx071Um2CM7iASMAk1PfqX065UEgmJhlTgjjsa5bR7NRrdwJZ55tkWQJ5mfbnHTJ4pgW5dKi1CV&#10;Wkd8jjC44FWz4fsBs2xkbRg5YndVq0RkZ90ZT05yKtbh60lBdREcMMUECwRIFjXsKiisLW3maWCC&#10;ONj1Krg1YPFZF/rMizCz02D7TdsSCScJHjqSe+PQVdkAuq3kMl1b6SVL/aHAnx0VOTg/72MfTNW7&#10;u4gtvMYyR70XPllwCTjpisqexXR7CGYpLcyi4E9xKoyztgjOPTnHtVuSdNQCzSWxjO3btkAJ/TPr&#10;SA52Wa61m5i3JvdQQNo4AJzzTXspLeUrNGykHuMA1v2iJpiCOCBMN1JJycetWLyZb6JY5IVCg5GG&#10;OQajkFcp6ZfyxWrxbtyjAVWGQBWhbadBND55BR5CS2w8HHGPaqcixxxHy40TGOmTmrljeotrFGzY&#10;Y57e5quRNWYXMnXY1guYYIkO0RcZ7cmo9P0wgO1wr7W/1YQ8571paxczppss8cSrJG4VTKm4HJxn&#10;261Rjhu5og13eyvnnYn7tfyFZOinK4XG3elQfa2tmkll2bWxEBkAg8Nkjnp0raj0i0kWNhaIAQNo&#10;dBkfWsnSHlW5uIYbMuWYMTkLg4xyT16V1HlzSweWXEc2wCR4+iHHIXNXGnGOwzEktra01O0u4Yfk&#10;ilZAIVHzHa24/hwPzrQivluEllaN4VTqZMA0+eNIoo4UQBI+EHpXN+Krmaw0D90j7bibY7joox0/&#10;Hp+dWIgvvGc8VwBYLGIQeTIuS/68Cq+q+JLZ7N7Zoo7m4kXEq5zGp78jr+FchPOZF4qhbzTTSMFy&#10;AvovSoeoF+PTlSE/vMIegHH609bSOJvlTJPHJzxToY3uFCychQQCRWlpNlHc38EEpbaGP3fYZ/nU&#10;cwrENrC8BKNG3zAFQBnir32K8hH2iWJIkI+VJhy59BjkfWu1tbeONQEQfINqkjn864+/muJ7qSS6&#10;JMisV29kwegouMuWtr9oMTSMUj25MGQcH3PcVr8wndDlWP8Ad4rDsbnaeeucVrm9eMRypEJVjcGR&#10;f9kdaQxl9ZSTWs01zA5WM7mZgQRWNN9ntraS4jTbxt4yTz9a9Haaw1uzeGK4jdnj5VThh9RXAa7p&#10;iaf5kLy+ZtxwOint+P8AjW3LYLamUEWYxh4yx+8F98VRvFL3FysgK/dOCMHhR/hW1osEkkkkz7TE&#10;p2gsTuzjPH6VBq0Q/tGWQFSfs6kg/XH8qQ4rUw4uWTnGDnpVjS902pyyY4UFj7Dp/MiqEkm65AHA&#10;rZ8Nt5U2oylAyiDZg+7qBVdCmblokczok0mxScF+wrjfEFnJNegvMGVNwXb3PrXUuSF2qeKx9Vhy&#10;6n2rCMrEM5mztJYYJAZCjt0x09xV+wlaRDBKA4hTZCzcmJdxJC+mSTSysYMSHoM8DvxTdNmgi0W8&#10;lmlRJTPGUBPJGH3f0q+ZyQ1sSxRTSyCOFGZj0AFVLu2uYpXEkTKyj5gyngdM/SrSyMIiEkYRvglQ&#10;SAfTIp0OvNp7GGWP7RauNskL9CD1xSSJLulaKmoeGb+/PMlowXYvPB7n6VgOUJ4X5RXe6Vq+g2Xh&#10;bVYrKK6SK5jKSSMN2x2QhUGep6+3qa85V2zg1okI7DwgH2XItCqSYzLIVy4TsEHqTnJPHSsvxDp6&#10;2epm5gYvbXg82OQnOT/EM+uf51H4av307W4JWJETHZJgdVP0/A/hXR6vc6a+rS2N5C0dsx+ZkJBV&#10;z0fHb3/XNNsDjFyenNWJLh5Io0diwjG1M84HXH51f8OadFqOsi1ljdojHIWZf4PlOD+ZFXL7SNIh&#10;lltbfUJHu0VtsbLnLDJxnHoKAsXvhcQfGr+v2OT/ANCWvZ68W+Fn/I7y85/0J/8A0JK9qNMojbpV&#10;C7/1bH2q+x4qheH9030pDR5Bq7Evqx9N/wD6DXmMLZgjGSPlHFem6yMPqvuH6/7teXxAeVHz/CKw&#10;o/FI6nshWOXqW24uYj6OP51CQM9amtObqHv84/nW7KR9AWVwfssWRJwi9ZMDGBx09v8AOKsC4cKV&#10;w+COhc/yqvZzoYI9rFPlXrGMDj2/zxVhHJQ4k6AAgxAYP5VzskejFo2DKnzD1Of/ANVOJLEbreMc&#10;D1/PrSeawRiJAcDsAvP+f5VIjk4y0gIHOHApXCwFmIQFUHU8L7+hpXDtGoUA/VBQ8uIwoab2yen4&#10;U0ncijYX68P+FAHIEzEk7Tu65xUD+aFwBn8Klwck+V1B6Hmo2xjcyHPt/hisyyBt+3o3JJ/z+VVp&#10;RJg5DfeIxVh+h+Q5571XlAKECMnkn+VAFG48wx/dbg1xniYEanHuGD5Xce5rsrgAJ9xgMjv+VcX4&#10;lP8AxMUypGI+/wBTWlPcRi8A+tA759KTPPSnxKHP9K3Ez2H4MsPsmodsPD/7PXpVjxBjvXmXwa+W&#10;31If7cP83r060GEP1NYw/iS+RlU2RaFLSClrcyIL0gWFwTx+7bn8DXAfaLmKd3kicZ43qeCP8gV3&#10;mprv0q8X1gcf+OmuAFrshMayyhG+8vmEg0CLB11wQGkY9hhqvLqVvHZm5uZXgAOOScn/ABzWKNNj&#10;UHb8vfK8dsdqgFj9nlaUTy5wRkt0Ht6UAa/9pSXke4tPBaLysKkiWfPTOOg+n41d0rUbe0vEhmB3&#10;TgKjgcJjon0H/wBesfT7GGeKOS4cyNho40cchOufTnNX002BZ4/LtUZhnhUAOPY4pgdDrORodyHd&#10;BJsPfHeqsEiNGpDqcj1rn9StPtOoMkn2uONQMsQHIb6ZHGKptOtrCVW4lXnGHhcH69MfrVXE0dc4&#10;O4HH0oyDkAg464rjFmndQFlEgJztz3+lX4Z5/lDqIx905B4Hr/8AqpCsat/KptT8x69qtab5U9h5&#10;Lt++ZWEZJ24+h9aw5rt3g8lTEyDJyMg+vU4qfS9Th+0xxnCyDG3PRsdR9aAsSQ2c92yPc3VxJg9H&#10;fI4PTHTtW0EITgVBEOMrwGZjj6k1djGRSAfYOILhlOA7jj3FV9QvLy01OWC3vCseA2xkDBcj169q&#10;h1SFJIQXVW7fMM1ShgjiH7tAo/2Rikyki/8Ab9QI+aW1dRyd0Jz+jVrJaQ3OlC1vPLmSZPnVuAc8&#10;4H07d+KwyP3JOKpPpds3zGP3wCRSTHY5DWrC3sNXurS1dngjI2MxDZBAPUfWsmOCVbg+Xkg9ga2b&#10;nTWjLrH+8cOQwHXOahfT7qxukiuo/LdlDAdcg1HPcguonlQID0Ixn3qS2TKOwJB3cEVLASVxgMB7&#10;VcksblLaKUARxSH5WrmdXoh2LVhrN4hSEnzccHcOceuaoyHzriY5yGlYjPuTWpoOmi4vG2qAAwZ2&#10;Pc9qkudEtoL944dTRj8x8oRFmB54yOPzrejdxuxMp2UUIuUEyuY+4Q8+3Wuv0q0s7aa5jVGxKxVQ&#10;/II2gkfXmuesIUF0HlQgRqWIx1x2q6t5dNbqxKpJu39Ohz/kVSkkMreJtLhsLUappG+GaCQGTYx6&#10;HuPT/CuY1LU3vLUzTkedK+5wBiui13Umlsxax2+7zgd+3J4HJOK45YZrrUls48GRmxz2+v0rRO6G&#10;vM3/AAt9odJ42ANsG3AkfxEVT12B11a4kUfIIVU/XOf613ukHTUs4rBEwsI4Zxjce5/HrXFa5L5q&#10;6lcKcruIXHoOB+gqHvdFxWpx9vtNyA3IIIrT0u7Nq88KgbZyEYn2YEfqKxixV1PcYq3kxyh8deRW&#10;1tCWdRuyp6c1UkW2muVW7uPIiVSxbGc89BS28qSwrIGzxzVDVVULDIpjkaQsqxK4L8Y5I7Dnr7Gu&#10;RxZJIqadO0hR3AEqiNXHO3kn+Vc9OLWW9uSiZiMzGH+6EycDH5Vdu/IsLJYpHRruQZk8tt2B/Cn9&#10;T/kVmiGWFgJlKBgCoz0zz/Wrjoi3pE2La08+wu7tyyxwAAEDqxPA/Ws0hX6rkehFTR6hcR2Mlmsz&#10;CBySVHc1BGjMwUckkAD1JoMyJkEFvJ5byDcQCobg/WqkYO/npWlMhVGBUgjqDxiobeHzQG28Zq4s&#10;Gi3awCOMzsDhfu+5pkryXMoyWd2OB3J7Cr1tGbqSO2cpArcb3Pyj61UkKWd2IyxYg8OgIB9xnmq3&#10;EdP4bs7nRLLUdTu43hcRmJY3XBJyD+WcCuPtpJrjxBAyN+8aYEE885ru/GWoK+lQLESY5x5hP+yM&#10;Y/U/pXA6Xd/YtQW78oSMhJCk45oRa0R3vw/06Wx+IN0rIRF9lk2N6jcmK9aryb4d60+q+NZg8Cxh&#10;bNyMNn+JK9ZqhFdCx3bvXiqt5/qW+lX2AxVC9/1LfSkxo8d1ckvqxJ5G/wD9BrzCH/VR/wC6DXp+&#10;rZEur+mH/wDQa8whI8qPP90Vz0fikdfYDU1o2LiM8cMDUPtUtuMzIPcVuM+gtPBW3QecqnauB5R/&#10;u/SrKklsCeIkDGPL6/hiqthGfs0S/MflUEY7Y/8A1f5xVtEZgQI8AKMZrn3JYqFSD+8TGO3p/n/P&#10;SpYgu1T5khPCjawwfY81H5TeW6mFuDhsNTo4wFQ+U/ykYJYEdaB3HbkCqA8uAccnP6ZpHdCqjDbu&#10;pycc/iP8/nShSqgjyzk9Ccf19jQ/RSUTHqCM4/P/AD+dAHHHZnuQSRwc8/4VD8uOdwBAzipSSXxu&#10;U9TkD/61M3HAIYH6r/8AWrMorsQUyQcc1WlKlT168CrL52jlQOcZX/61Vpchcbl+8f4en6UCKM+w&#10;LnBP41xviZR/aEeAcmL+tdlMSYwcr9NvT9K43xP/AMf0J/6Z9hjvVQ3AwSOnFOVcjg80lHWukD13&#10;4NNiLUx23Qn9Xr1G0+6w9zXlfwgHy6iueohP6vXrMMYWMY781jD+LL5GVXZEtLTcYNOHStzEr6hj&#10;+zbrnH7l+fwNcJBPHOCI3VyBkhTkgV22tf8AIC1HOf8Aj2l6f7prxyBbSJcx+erMv3ue9IR2ktvP&#10;FGHkQRhhkF+KoCSK6kEZmj8tDmZvMUDHYAn/ADxXPzyL5Kr+9lwe56U0ahBGwypCEYwyUXA6S9vU&#10;t7R2h2usSmQMjg8ds46dKreH5tS16Td9o2QIpJOdpPsD3rDlvYJlCqUHp8vWt3w7qS2WYPs4fefl&#10;ZWxjPr7UJgdQ0EtrAkMtyZiuWZm7Z7fSqlxKIPvhX+XcAvJI+lQNdm91Jo5iqKUwVRtx6/zq+sKq&#10;zhF3IRtAk9Pw6UcyAz7GS31lcw24c7tuCo60ySws1cqY3iIOMoxVSfYg4rckFrbwBrdfKJXErFu3&#10;p6day7jZcM8W7I7ijn1sKxB/ZaMhVbyZRj7rBWHv1Gf1qGz0NZrxEa+lUI4dXVBw3rUkM4slNlJN&#10;I6s2dp5x+PWtSERJAWUAHHWlKXYLFm23bSSQfnbH5mrsB5rGsNQj+yp5mScDIUZJ9avJcsboKIm8&#10;nPMmRnH0q72ESalKqKikZ3EiotPntGMiySKZNpMaMOCfrSajG04jQrwSdzBuQAcVQSxkg/1bIxX7&#10;p7n65qGy47GpGizzCNSM43Hd7UydVjiA6VDprz200r3dwFikUqT1wT+FWJLm1DxmZHdFOf3YyD+N&#10;JMaEjSIuJI7aJJSPmcrznFcx4kSc6rHJKjKpiABI4OCc8/iK3l3S3zfZGZvMYnLnAbn3rS+wsAHu&#10;0jZMH5cZX8c0NXWhNjkrW0leJWjjZg3cCuthslbS0tZvnUdCOo54qqNV0u3k+zRG3Xb/AAjAAqhq&#10;Hi20t1aO3cSy4x8nRfx6VhTo8ruxk97o9/HPbf2W0pUMCwDhcMOjV08VlbxSO8cKqznLHHJrzzTv&#10;GWovlY2jLA9WXNFzrusTSEPeSAMM4j+QD8q6Y2SsKx300durrsCl3cL149T+gNVL6BceZBB8gGWK&#10;dz6Yrk9MmchjK/yqCeTzzx+NSXV60EL7Bgsdi+oodrBY1FkM9v8AZ0i+aTK+YGACj8T1rC0OKSy1&#10;B7pRBI6AqARuxn39cVXvNRI0mG1iQwhSxdg33snP+NaWl2T2+nI7OoRwHyOSc8//AFqWqQPQ00mZ&#10;SSo+Zh/D2zXHajO40+e0yd3mYP512VlCoYuenvXMeKEit9VL4VVnAZR2z0P6j9aiO5cGcrMAWHY8&#10;VdZGlhUKPnAxVW5j2yZB+VhxQl0yKMk8V0LYl7l23tLuOLzVJSI9WPTjisfV5kS6yjg5B+fnmri3&#10;kzRvGCRC5zg07T9Ak8QX8iNKsNvbwNNNIT0Udh7k1LXVhey0Mm0fdmYfwHhj61JJO0jM8jEnqe9E&#10;5RIzGuQFGMCrFnfWsOh3NvJAXkuGIL/3QMY/HNZN3JbuVWmVI9y5OT37VJZ3kqSmRdvmxkSKT2wc&#10;1Wjj8y3btzx6VaOnXH2X7Sts5hztLhcgH60JCHSXrzTPJKQzysWJHqauWKI0FzKzlfJUNwOpLAf1&#10;rKeKQKNu0/j0q0ly8EcirIFWRdrjsRnvV2AttOInO5htx1I5NUrnUreaVFiyxX+PPf0qSayuprNb&#10;kpsjA4Z3CBh/s7iN34ZrOtrYw/6RLbu6ZyOODVKwWOovFubrw/aXLxsIceUrj2Zuv4nH4VlTWUdv&#10;ZLIbq3DENujLEvn6AH9an1PVr64tobOVzDCo+SAfKBz6fjUzaVpAkjWK7N1uALDeOuM44qTS2ljU&#10;+Ejh/GtxjqLJ+n++le215J8OrWO28c3Cxw+UPsL/AC/8DSvWiapEjW6VQvT+5b6Gr56Vn3w/dP8A&#10;ShjR4/q3XVj7P/6DXl0IJiQDJJAr1DWOBqp9pP8A0GvMITtjTcoztAzn2rno/FI61okB71Lbn9/H&#10;/vCo+Mnj2p0R2zIR1yK3Yz6EsSRbRHy42G1cZzn7v1/z+VSEfId1uhUKOuffpTLM/wCiKN/Py5AG&#10;O3sP8/lVlZSuTukPGBtfqc5+lc7IGxnCOREgzj+H0qWPzOMFQSB/ADmhHIiI3z8ccml3Y2qxlzgD&#10;5iT365oAePO2Y2buoyEA5/z/AJPFNZbgbc+aMcDFIigouIgRk9c4H6/5/KlMe0A+Sy8/wHFAHHDc&#10;CcumBnkPxUZDFB0/76qcZLMCsfAPfmq/JXkKcL/erIshbJUjcueerCq8u8rkYwTx8/8An/P4VYbK&#10;qSFTIz3qvLu2fdXINMRSuN+zJYZJ4+b3rjPFGftcQ/2D745rsrg/IMhT14/ya4/xT/x9RH5fun7v&#10;1q6e4HPHrQDg0EkjmkHaugD1f4RMPO1Ebv8AlnFx+LV7EgxGv0rxj4RH9/qGO0UY/wDHjXskUmVY&#10;EdCRWEf4sjKrsiQ0tIORmnVuYlHWudC1D/r2k/8AQTXkVvGDAm4c4r2HUVD6XdqRkGFxj/gJry1N&#10;MlSIFCNvo3WkwI47UFCw6elWIIYoIxhcsx6kdq0bK0Oz59uB2FXJLaNgAVAA6AUhnPQ2iSTlWA4Y&#10;jpVmwto4ryZI0AKoMD8ef6Vde2SOfzEXBbrUEatDraAgmOWMqcetDAh1O8nhdpYnVS6gFhwQB6Uy&#10;11xpdJuVubqRJYyCrxj5yPT39Pxp+r2kd2DbW7AtjgKcncCD/Sudt5oBwHO5jjGOlCVxSOmbW0uN&#10;PV2DZl5CkZIwf/rVLbz5AkJA6ANWGimRcDcwUducClWO7uv3cEbuiDO0D+lVZCNrUp1kMc0ARcAK&#10;zjqzZ9aYNRf7F5LsS27oKzUttTCfNY3GzqP3TECpG0u/ZFkkt3TcMqHGC30paAb+nQG1svOdMRyD&#10;MZPOcelSx6pGjhS+QeOO1Z1rpWrz2Uax/KmSCSelW4vDN4oG6SMge5/wqWI0PPEse+Fwc1gXmuSs&#10;ALVigDHcSOSO2PTvWra6dqkcZXyo0A5GW5P5VBbeG2W7ae8QzB3LOgOAfxFA0TWhuL4ws8i7nG4x&#10;r6fT8a37LSWVMSSYTOcdTRFNHaxn7PpqoQuMJtBOOgzXO3es+JpZpBa2LgfwqEzikUb+r63pXhq0&#10;BdFMgGEhj+8f8K8/1rxvqWpRPGHFvCw4jTrj3NULzR9YubiTzoLmS5Y5OUJNU28M6wQ5l0+VFRSS&#10;zsAB+tWOxDHqaRkhnBWj+0C+85GOoqSLw5KyMZJYEA9Tk/hxVi20SGJm3XcTc8AKaV0Fg0idtruF&#10;+ZWyTit2K9WbCgkKOWUjqaq2WjzLHJ5Sl9zfwg1dtdFvSWJhZF68jOfwHNWrNCsTx3YG5RGNwUgc&#10;fU/1p+qP5flW7Y3D53Pv0H9altNF1VHkmFkOAQpmbYCfoeaoa3Zaudkl3Gsfmk7pFbdk+mR0x6Uh&#10;mbcXokmMK4IXrXoXhfT3Xw8guV3CYmRVb+FT0/x/GvNk0u/jZnS0kZT3C9a9d0q7jl0q1JURERKp&#10;RmA24GMc1TsSx8NrFEGRU4YYOag1Dw1a6zB5V0gCKD5bL95TjrSHX7JNQa0CPJIvdSMH6c1sRXcb&#10;rydp9CRxSUUSeK3emyWtzdWEv+tt2wD/AFrJkG0jcOhwa7nx1AkGv2upQkeTdpscjpuXj+RH5Vxm&#10;oJtmx68/jVIt6ojcbXAByMflW74Z07+1jqFpH/x9rEssQJ4YA4IP5isCP5gV79RWn4a1caR4zsZZ&#10;GCwSAwyk8YVuM/gcH8Kb2JL9v4WDx31zfWzRx28DsXfIwR0x0ye3NcHdxNFBGS5I3dBxmvZvHmqr&#10;L4b1GO3ulIUIpVGHPzrn69a8mZVuQiMuRkZA7Vm1yslnV6D4OudS0+wu5HRbaYMzhT820Hjn1PP0&#10;x+FegNp62+mvHBGkccS5IGFCjvXGeGfFcehaTLZ3FlJcYYvDsfAGeoPtnngdzT4vF91f3gstThtz&#10;p14fJliVcYVuM5znihNdBGTcWGhyMZUu5VHzMY4vmPHPC4z/ACHvWCuo6NJPKsULRrEheOSZfMaR&#10;h0AHRSfU5x60tnMHs8RFIFfhkhBUY9+5/EmooJtPgmYmCQ4YY2qDn65IrRJdRoriW/mvYrtmZ33q&#10;37z5uldlNZ3lxCNSa7Afcu6J1ZjkgnIx9P160S6r4fS7hFvaai8YQLIBEAc46jGcZq3q/inRrrTk&#10;tbYSWkkSFQkqMCSeCSdvXj+dTJlxRiPqMOs69E0kNv8Aa2+USszrz6n5j+dSanp7xIs8lpYBXIZW&#10;jlX5s98EZrmobQC+Nwl5bHPAG8grn6gVrXIMoChjKqrhdvzY/KpZR1vwzlD+LJl+zxxFbFuVJJPz&#10;p7163mvHPhZkeMboFXGLFvvKR/Glex1SJe4jdKz74/uX+lXmqjfcQOfahgeP6uMDVc9MSf8AoNeY&#10;QyFI0bg/KMAjNeoaxyuqn2k/9BryxAfIj7jaOlc9D4pHX0RITuYnAGfSnw489CemRUIPNPi/1q/W&#10;txn0PYmMWkPzj7q/dAI6en5/5xViJlb70kpPQ7Sv6HP+FV7WMm3jLWxzhcAEemMfrU3lhM/JtB7l&#10;hxmsWiGSq6AE+ZLgjHT2+v6U5ZYuBliSAOc56/SmJ918FOAPvewpEJcDHkHPcPz1/wA/5zUsCSTy&#10;Sm4J355P+H+fypWeLChUbHbmmFsqPlVST/D9f8/5xRndGNrhR6kZ/p/n8KQHI8DPyDI+tR8bSRHw&#10;fU1KFYnIWYEZ521FsfBIEue+V696hFkDMDGAVHfvVaQgL90Yz/e4qyyMYySZcc8FfpVaVGCkfOAT&#10;xkUCKFyfkwqAc+prj/E5zPERgfKe+a7KcN5Y/wBZnP8AdxXH+Kgwng3ZwVPBH0q4bgc6aAORQaB1&#10;roA9O+EpxPqP/XNP/QjXsluCN+f7xrxj4Tti41D/AK5L/wChV7RC2dwx0Y/zrCP8aRlV2RODxSik&#10;FKK3MSG8OLG4P/TNv5GuNktCm1W53IG49xXZXozp9z/1yb+RrmbTMsKNKQDgKCT1wMUWAznzbAIn&#10;G7nJ7U2R5Fj3B+c96l1MjzxtHAFV8lkx2pDLEeJ4xjgn9DSanabbUXWP3sDBuvHJHH5Gqqu0W8Lx&#10;uxg+lMubl/IZWbduGCTSC4RSxFkuIY5MI4YjaAoPp6/jWHLq2kf2jctNoY5lyHjlI2kZBO08c9a3&#10;rWeJLRPk3Ky7WA9e9c/rtiLO8LlF8q5yUY9Nw4b+h/GnEbR1Ogax4XtFEjXMiynosyH5fpjiukh1&#10;3QeWhvbVC3U8LmvG/KZVJG3jtVO4adP9YAoPYUuQk91/4SPRl+9qtp/3+FTyy6bdlBJLbynG5BvB&#10;P4V833KEkFFJzjnsK1YdQvreNYYppUQgAhWxuFPlsgse5S+ItEsX8iS/ghKj7gHSqsnjTSQcQvLN&#10;7omB+uK8ghWWV/3mOuSXNaaNHD8xKgioKUUekDxta5wLOc49MVYj8XWknH2W4B9Dj/GvLzrMcLDA&#10;3emOail8QP5hO3cOw6UyuVHqzeK7SMEtazg9sAf41Qn8ZEviKKKIesrE/wAsV5/bXOr6ku61syqq&#10;eZmJ2r+PSlutOuYr+O3vL+3MjqHB3NtCn8KeotDtLrxHNh8X8MZA+YRhQRWDeXzXZ3zXSt3y8uTV&#10;NNO0GNlN3qssjcbktoj/AOhEVdjm8JQgH+x53A6tJcMc/rS1YXRmm+giIIOfej+00dwVj3YPUjtW&#10;u/iXw/AhS00W1x0G9sj8qoy+KLhm2Wun26J6xwKo/MgmlYOY1dO1GHy2CbiwPBHTpT73WLuyngDi&#10;dEGWLAEbs+9Z1le31zvaVLcHdnhMmr89zcXbr9tuZZlXoucAVrFaEuQ6TxJd3ChYrKeRiPvSsQtV&#10;5pdYlxmWMD+6vGK1rOxSbHlxowI4zcc/pWrHpbrg/Zx/3/aqZN2cxFa6rIDmdMY6cmpha6gOGuQB&#10;6AEV18MEkecWye+ZCc/nUxhDctaJ+DCkF2cU+iRzNvmuJS+AMjjpVm30uONPL+0y4/3q7NXAQKIX&#10;AHbbTgsTnmLn/aSmK7OC8QaesuhyRwgkwnzlXcT06/pmuQvQGjhl65Az/KvcPsVu8Tx+SgDqVbCg&#10;ZBrxa6tmhgkgYHdA7RnjqQcUFRZl5KcrWXq7nzI5M4IXtWqign5jWXqcRkIVTyAfxpsDvrGyk8Se&#10;DJrmCRJZ5IihjxyJF7depwPzrj44JLaNGuI3hLjK+YpXIBwf1rS+GN8seuTaVOcwXcR+QnA3ryD+&#10;Wa9EuYNMSUh9PjkKN1JB/rUMlo4a10K7u9Ka8DpCCQIVl480dyPQfzrR0/w1ZPGG1O+2n/nnB/Vj&#10;/h+NdIU8w7re1KjpxzUxjubdQ0i7fT5VP8zUpJBY8kv9mjazd2kSb7XzGMJzn5T0rOiD3NzvYlAx&#10;6Dj8q9B8X6I+qyQX0G0zRja/mbVDDqPb16+tY+n2GlRQLJd3Difd80UbhwRn2GF/OruKwl94fvPC&#10;8Vtr9jci5tpNvmqgI+U8g/56HFHiXxS2spE0MxDFF8xhxuAGB/ifc1s3Xi2ye0GnvPb2ungbGAXz&#10;ZSvoo5UfjmuLbVtLtJydM0uWcDG2S7fd+OAAKNyotok0+CWSyfZbmYNKGldl4CqORnHGc/pVyW90&#10;lJMi2twx7RoWx+eB/OqGoX2q39klxd3MMETYEFsgJLD1A6Ae5NVnsrKCGN5rp553XcyJ0X0GaLId&#10;zv8A4UXMU3i+7EUZRRZMeX3fxp7AV7JXiPwex/wl93tXA+wt/wChpXtpoENNUL7/AFL/AEq8ao3o&#10;/cv9KT2GjyHV+mqgej/+gV5XFlYkP+yK9U1Y5XVfpJ/6BXlSEiNMelYUPikdfRD9/JBwafGVLjHB&#10;z3qPJJNOjGZB9a6GM+hrKR3tYj5KcqvXnt6Z/wA59xVhWbG3aF+XJG0H8M1BZyf6KoJkAKKCFY+n&#10;09/8nFWRI5BJM+dvXf7/AF96wIHRu53KrKRjJzGDinqJiPlAIwOieh+nt/nmo0cncN0h2j+LJGMY&#10;9aUbdiZh3npkk5PP+f8AOaTAm2z7NuHzuI6dPxpjpIy/618N0+fn+ftSspVMi2br9efx/lTHkXyw&#10;AsYx0DEEH8MVIHIhexIHXg0wAAdR7j0/GpM8EqSTyMc8VEDgE7mBxz1qCyuyKEA3568c/nVaUDae&#10;QCT3zVrLbeXIHIAOagYkLtVyvJxyf8//AK6AM+dPlPzZzXIeKhiaDnd8p5H4V2Nw48sAEnnHf/P/&#10;AOquR8VZ8yAk54P9KuG4jnDQO1DdBSHrW4M9J+FP/H1qHP8AyxX/ANCr2uFCoY+rH+deJfCo/wCl&#10;ah/1wH/oQr3CFtyEejEfrWMf40jKp8KJBS0lLW5gQXuRp9yf+mT/AMjXBRSsyLkkcV31+dunXR9I&#10;X/8AQTXlx1B0jXbHIT6hCaBmrdy74gGIzwPrVeJ2DY52+9UVe9ny628pUeq4/StGDTb2aNmMkatj&#10;IVic/wAqkZLtDIazL2ZU4PIFWXtb63BDRs3P8DA1m3kFxsP+jybj2KmgB+mXaGcRsD5bkc54B96m&#10;1oaff3KafeXb2in95DME3AEj/PesmCYQOFmikUOOGI4+n1rRkFtq1ssV1PCNnCsXClKENu4z/hEb&#10;8oDbX9pdRdiQUJ/Dms+58Ba1Ip8tYCTz/rj/AIVsWmkXVraI9l4jtERzt2PIBt5/Gr0Wia5cNiPx&#10;VbtjtHLn9BR7wjg7rwPr9lsItvO3HpE4P9akh8M+I58bNIlyP77Kv8zXff2F4xsj5ltq1vc46I65&#10;/mKU33jSP5TpELNnlk4z+tO4HJWngXxHclhNAluFxy8gOfyzWufBtlo1qbrWbh7qTafLiwVj3fgc&#10;mtCfWvFlsB50VpbAnALfMfyBJ/SsRbq5mvmvNSkF7KOgckBfoKWgXZVshLKGWC2Rk3EhQACKS60W&#10;9dt62U0QPcRk/jwK2hc6XdqUuYLpGPJdJd/8+lX7bS9PIU2euyxEjIV2A/TiiwXMOw0G9mi3GK55&#10;HOCVB/DBq2/hiSZcSecjAYBlcnA9vkrqbbT9RQ5i1YSLjqY/8DWqltfmMCR4JG/vAsmf50COBj8I&#10;3Q+WKclT0fOP6UDwJcMQRLbHHcsx/pXo6WTKQ3nPkdicipSkoXhkJ9xinYLnADwbewKA1zZRg9OS&#10;P6Uo8I3Q/wCXywP8/wCVd8ocg+aqfhzThEn/ADzX8qLAczp/hW2hUs6mdieiyhQPyArQbw/bY4sp&#10;F+koP863beJME7F6+lTECqQmjmBoEauCIbgEf9NVq8NNjUD55B+IrVOM1E3NMRVjtih/18v/AH1U&#10;6IVPMjN9cUkkyRAbj19Bmojdp/BHIT6haYFxcVIq1UjmdvmFu+3HcgVL9pK8MEU+hcUXEW1xXl+u&#10;2kVvrWpW0nAMpmGfRwD/ADzXfzXCIjEkYUFidxOB615jrmqfa7i7ujGyxzKI49w5wD1/Gk9So6M5&#10;5bdjI+3op/SsjV38qZdp4wa6W2hup/8Aj2tZJSifOUXIAA6n04rM1PR4gFmv7tIcD5YosOzfXnCj&#10;8z7U9ymc9Z3EsF7DdWzFJ42Dow7MK9mQ/bLCLU1ilSCWISM8hAVc9ecAdc15LushgRxlgPcn9elb&#10;unWuta+sNvaHy4VG1GuZtqgZ/gU8nv0FIk6yXxFZWnEbm4bsU4X8WP8ATNYmo+Pp2+SO4WPnAEK5&#10;P5mtWz+GiNIH1PVJbg91jG0fgTn+QrrLPQ9G0ZVNrYwrIP42Xc/5nmlyoDy5Y/EXiAboNPvLoH7s&#10;lwxVP/HiB+VW7b4c+IL6bGoXlvaxf3Ubd+g/xr0ObUrO0Y/aLnyz12A8n8K5rVPHdraBltw8jngK&#10;hyx/HtRdIpRbKUnw/wBK0u3xPfCe6baEjI2d+TgZJ4zXHa3axQ3rp5kAUtxHCc7Rnv2FaOpWmu3N&#10;nNf3cL6dasrOvm5Eko445+bqR19axdIhjOo2TFUH74bty5BAxknOeKB6LQ10hh1KCNViwFHlxg9Q&#10;o4H8jVV7S2hmZEwSDjc/NX9anvLfxLez7TLC7lo5FUINvbjpWNJfStchIosFiflxkk/hU63CyO8+&#10;FSqPGN3t+6LFh0/20r2I14/8KYJ4/FF1JOfmaybj0+dK9gq0SNYcVQvf9U/0q8xqjef6lvpR0A8h&#10;1f7ureyyf+gV5SmfJT/dFer6v01YEfwv+qV5VGP3Mf8Au1z0fikda2Qnc1JD/rKYfvGnxD95W5R9&#10;CWLr9jjBll/1agYIyOB7jNXEdRlfNnJI28L1578/5/GqVmpNlCTE6fu1+Y9DwKugHZkhTgc7j7/5&#10;/wA9MWZsWORSnMjnIyCwPX8P88e1OBjIGWOcc4bH9P8AP50kW85wsJ46bj6fX/P5UgZNoO1BnOMf&#10;/WzU3Alcx7CBGQSxA+bP+fx/pTdytH0GepJGe/1pdyFf9ZzuxkLkdvbH+famsziMAFeTnIjOfr0/&#10;z+dK4XOUDFQOMHnGMcD+lQq3v2xnAwP0qYlsMCxGOuWAxTMkgfMTkf3x/jUFlV2Kpyo79APb2qvK&#10;wKHGOT1wOf0qy2SuQfu5/i+nvUEuQG9j/eH+f8/WgChO+IsfLw390flXIeKjl4PXB/pXYXIAjySM&#10;f7w/z/n6Vx/ikktbsTknPf2FXDcRzhPSgfeH1pD1FKoJYfWugGeh/C1sXl+PW3z/AOPCvcbZgyMf&#10;9o/zrwb4aymK9vgF3brcjpnHzLXvVsP3GfUn+dYL+M/QyqfAiXNKKKK3MSvqTbNLu2xnbC5x/wAB&#10;NeY2XiUWqho7UMe24A16Xq2f7Gvv+veT/wBBNeL29xdbFSMKeOgiQn+VNK4XsdJJ4pluZfksU3tx&#10;w5BP4VYg1K+mQEafKceqt/hXOxy6iXU+UM9iYEH64Fb1nBqUiZE9sGz0+0R5/IGjlC5M02qTcR2d&#10;xF9LcsT+Jx/Kq0kWtSHD22oMvc+TwfwArWjtdUjBaS5wB/zzuFz/ADq3Ddqhw8t7M/p5+AfyoSEc&#10;1Nb+ZF5F7Z3Weqg2u3b7j5xVeDSNOVZCWuriQcBXjWPb9SGOfyrrZLoTkGXTLw46fvyf6ViHSJPt&#10;k0qJexxSHIQgNj8xT0AyodNiOQ7bB2O6nx6fGku+G5DHoByP1roLHTZ45Cq/a2iYEOpjHIPv2q0+&#10;jQ25LRWdxFnqdyn+YNLQLmDG2qQkRjUHSLPADgE1C02ptIVE8kuc4YSA4/Wunt7ODLZspjuAX5mP&#10;TOeMDApl1os8wkfT54rbIw0UwAGPY4zRoF2cxDaXMlxlpnSTqW3Z/XNX4Yp1BMjvMvTLFh+uDWsN&#10;NuILFI5IoZJUOd0MigNn1yc1NbNc3xfZa7+mE3BdoHbGelKwyC0srN181rKOVO43ocfoK1I7fTvL&#10;C/ZYlBzhPKGQPwpz6fJFAGZ0STacAACA/3+px1/+sOBXLnWtUsNRk+02RmicfuxEQfl9+9Owrs62&#10;3srWPL2g8on73l8Z+oqZrkgeXFcKHXqWXP8AhXNJ40gUg3GmXUYHG/bkVq2uq6Jer5qmRD33If6Z&#10;osFy4b653ALcWpJPAMbD+tRm/wBTDY8i2cDuHx/Wsqe80jz2Zb9l5+55bYH6VGt+xZTDJJJGOXYP&#10;u2j1xSY0bsdzfTkq9pGuOf8AWlc/QjNTr5gUl/NQjsJA36kVkWuofaEV0lQjljnkKo9fepbm+Btm&#10;JikMbtgfNg/l/nrQBrW13vUgoz4PUkE/pirBcMPu4zXP2DTtFuQLsLZ+cnoO9XHhuLjAG1R6o/Sq&#10;SEzRLoOvFRNMpPDcVn/ZJVbYZJXPfMn/ANaoWLoWQRTOy/3WGKdhF95OcZ/KnLMFXJOPc1k/2ioz&#10;uhmTH94VHe6sY9PneMKflwSR/iKl3GbsEMrozuY5Nx+XBOMetYl14j0y1DZHmsP4UB+nWsCLxPqF&#10;osgCpKjK3AXGzIxnI9yKo6QbKLUlu9RTzLGIMCpGTI23gAfU59OKdgLN5rE2ovMC4jUkDaJPlVeu&#10;Md+3PtVG5v7AqBLG1zKDnc7EjPsB/XNbd1oFnq5u9Yi823sjGGWJFC5IGABjoDxn6GshJ4NO02ZE&#10;s40eRRiV1yzDJ6E9vp6fWhWEOn1lprZrf7asYxny1GQMegHArj9Vmjknj8uLzH5+eX5v06fzq1Lu&#10;dml454ArF1QrFcxB+mDxmqsMbqD3rvatPdF4pkJX5uFwSMf59aSxv5tN1CK4jk2OhDJKvIzVZldG&#10;QkmS3RsgDtnr/KoTJ5IYKMozAgH0qRno9v44uXiYz6mIuPlxGGLew44/GstvF2qSzC3sbi+llnYL&#10;t3BmYnsDjj8KibQ9Mu9OtJra9wshz5DDcUbAzyO351ZuPC3iC0tmks2hFop5ljZBj/gQAx9M0hpm&#10;kfC2v22mzX2oLAqdTDGxZ1XuSehP51qeEr3RtKWb7XAkE+4GJjHliMc4xz/+uuZn1PxOLSO0m1V3&#10;85QdqlmO33Oef1psnhzW2h+0pLDbzHb5dvIpheT0K7uv4VL3uhXZ0XxKuQYGQEnOyNfzLH/2X8q4&#10;bSA32xNq5CjBbHIB5rpbLw7quoW//FQzvb20Em5i8oZ+R6nPp71dsH0W21BrXRIYZ7rvc3L5Ax6D&#10;ocfQ/hQ3oUtyS5SG60tEvd0Vp5qhjGPnlbpkk9AMn/69Ymqy6PpF062iGRSMYBznj1/x/KtO7Vod&#10;Uuk1CT7bNImIjKSAoyCGUZ46Y6/nXOX1jD9pjklX75diAMDGT0H1qY67hJnYfC3U5b7xZdKyoiLY&#10;sVVe3zp3r1yvG/hGmzxdeg4/48T0/wB9K9lI4rXZaEXuRnpVO8P7p/pV1qo3n+qf6UMDybVxlNU+&#10;kn/oFeTIf3Ef+7XrOr8Jqn0k/wDQK8mjGbdD3Armo/FI7Fsg71JCf3lQ85qWLIfI4rdlI+gbBitt&#10;EGA5iQfd9hzg1eVpcnDp0I/1S8/pVOylb7LFh5iwhQDrgcD39qurI2f4m68E4z+v+fpWDIHxi4z9&#10;wMACMBBSqkyxqvzpnPIOMn/JqKJCRnyOq8sCT396eqYXBiCk5+9jkcfpyPakIe3m8/6Ttwehfk5/&#10;H2pCjBSS4YgngPyD+BpBkqSoi7DkD9KU58snbG2GI+U45/A0COTxt3fOnHqp4/CmBfk4wSMcgE96&#10;lHX7wzyT8vWogSQMFPUcVBZXePCHkY9s1XkUsrD+hqxJwuflHXjbnPSqsp+R+ABkcbfagZRnXCfi&#10;eK5LxSCDbjHr/IV1twRg4wfUYrkvFX/Lvk+vb2FXDcRzZ7UA80jHBFCjJFdAHoXwtUNq15nnNq3/&#10;AKEte6wH9yAPU/zrwr4XD/ibXv8A16nn/gS17parttUBOT0z61gv4z9DKp8KJqXtSUorcxKupq0m&#10;k3iKCWaBwAO/ymvH4fDuqFVYWU446lcfzr2W6/485/8Arm38q4dLK4VB5dsACP7o/pVRJZiWei6w&#10;mNtrFj/po0f9TW5a6XrIH/HtpeexkVT/ACqzbwSxAlkK+v7vNaEM0akZwR72+aq4iodG1iZt0v8A&#10;Zw/3d38sYqePQbsHMklsfZUP+NbMWoWe0BpCCO3lMB/KpDfWTfdnTPucfzqRmbHoSqQxMYPsrf8A&#10;xVX7azS2yVOWPfn+VPN5F/AQ/wDuMDUTXas/DPH7FRQBZeFZhhy2PQMR/KoP7MtNwJiyfdiaYlzI&#10;RxKp+tSCeXPLJTAUadaD/l3j/EZp4srVelvF/wB8CmfaHB+byyPY1OsqkDkZ9M0ANFtAOkEY/wCA&#10;ikFha7t3kqCfQkVKZEAJLAAdSTinqQUDAgqRkEUAVZNMtJBgxY9weaik0uKMZVrhs9lINXy6jqRW&#10;e2twCVgnzxJndIOn50PQaVyvJpkUmA1nM+O7KP6GqVx4XtbjpZmA55aPcpI9ODW9b6taXIysm1cZ&#10;3PwKoTeLNJiuVgWfzWdgi+UN24n0xSugsyKz8O6TZ7W/s9nkA+9Ipb9DxWotlaBSq26BSMEFMZHp&#10;Ur3MUZw5I96ia/t9u75iB7UaCMmTwhpu5jbyXNqGOdsUnH6g1JH4VsFYM73EhXoZJScVbl1OCNkB&#10;YLkgYJ5qCHVZJb26tniBCKcAH09TSbRVmStoVrNpzwQKqpvzuDZIIqjD4f1CGQNBeAoOMMKW01Nr&#10;RJ4gFZS2foaS51Od4gudqnnjvRzJByshnFwkxhurvYqnB8vuf8KXeqqiqxyvX6VReQMPMdiVz8xz&#10;VeS4RJR5UvyHBBNTzMuyN6S8QkiNGL4xiRQV/Ks46Y93Iyy3EhjY8xqqquPpipY3jZlDOTI2OAKr&#10;ahrFva20sKI7OeDKrYA9h61LkwcUhf8AhGNMgvIpFjeVRklZW3Kfwq/faTof2ZfPsYIoyfmdSI9v&#10;49T9BWZoGrW4tLk3MyqicxxbSSfXHFY9xqf9rasr6gjppyhiipkbuDj9RyR71UW2S7DL149KDwwX&#10;SvHvGxoz95cHBA+nFZOs38+s30CqzSuwWKP5ACQOAMD61Y120sraSB7KZGE8W8qhOEPpySfzPY1l&#10;WlhqF7Mfs1vI5Q5ZwOF9yegrSKJY+9tmtpTFKjrKuAVYEEfnWJd20V1q1oHX9yoLTHOAFAyTW/q1&#10;zcXt873Mm6eQ5YqM5PtWHr0Qhnji8mS1woLpKeRx346nrTEUrGwlnF1PDIkcMADYkyQxJwBTxLb6&#10;k2yWNIm77AAf8KkuLvV0vDa2dqYYLgDybYwK/wAhxszkHJ6HPvnvXRJ4O1e9t421DR5klDBFkt54&#10;gSv+3lsD61nZoYt94V0fTDDNa69K0LRBjGjBpd3PGAAF7dT+dQaP4m1Hw6wMwW6tHbDRyfMr4/kf&#10;StK7+G+s6epltb2GWEfwyNtx9PWpdJubLQXX7RBI2tgmM20jKIn98nocdjjmi4C2enz391PrcsTw&#10;2k+6Ytc4TIJ/h+bkc9TgVauvGMMdv/Z2lwCYggec+QseT/CQQcfl+OamvdMm1VzLr+oshIxFbW+A&#10;sY/I5PvXPeIvDh0eYXttcp5DkACT7xbqRgDpxmmNGNqU86agXZkdhOzMQAUYccbTkevXNWtI023v&#10;rOW+mmlScyny0RQF2jHPt3HHpWRIzSQsS6knOMGuqtrb+z9I08iUv5kW9QvQEknGfrUydkPqXTou&#10;mTWCkCSLUNpZZFmJycnG4HPH5Vz1/IWl8mQgT267XAPUnnj2wa2baaea5VW+aZsdTnPPSqfjK0aT&#10;UzcQyKZ41CO6wiNXxwFGOu3GM/h2qI6jkbHwpOfGF7/14t/6Glex14x8II7j/hK7uSeJkVrFtrEc&#10;N86V7RWyII2NULw/un+laBwaoXoHlt9KGB5PqwyNUHs//oNeSxECFPTFes6vkf2r9JP/AECvJoxm&#10;3j9cVzUfikdi2QmCDU0fLDGeKi54qaI/Ma6Bnv2nSI1lB+8ZT5SY3A46CrqeVuxjK5P8WP6VT00F&#10;NPtRsix5SYO7Genv/n8qthk+8AqkE8ht2fy/z3rBmY+LYCd8Z+7kHfn+nNLHKuwZXoCRkf8A1x69&#10;/wCtJbkn7rD1JKliOfpTk8xkyvJGcYj/AEPH+fzqRhlWVj5SZyMEg/40ucQkGJFyflI/DilMTkMo&#10;STGRjC9KUgqh+aQeuQB/WgDlSG38KBweNvT8KhUOEGF4/ujPPNSeWpGAMtyc7xzTFVdoyQM/7fv/&#10;ACqCyu5k2H5RuIPQGq8rNhvlHr06f5xUzKCh4OCD3qCZQEPzY5z1/wDrUAUbln8ojBPOO/8Anv8A&#10;rXI+KycWwIxy2B6cCusuFUIcSdT3z/hXI+KQN1qAQTk5x9BVw3Ec2eSKUclaQ/epa6UB6D8Lf+Qr&#10;ej/p1P8A6Gte62xBt1+p/nXhHwuONWvf+vVv/Qlr3CyJ2H0yf5mudfx36EVPgLlKKSlrc5iK74sp&#10;yenlt/KuF0/V9FVw8d0ZJMf6tmxt9a7q7UNZTq3QxsD+VeWWXh3SxIJEmYbuqFsqKicmti4q50Mv&#10;iC3iD3AZJYx/yyXHSnaf4nt5zv8As6qufu45/OqS6Xp6rwIj9AKctvZQD5Uxx1rL2jRXKjornU0j&#10;tmuoM7UHIRAao2euGYE588f3STkVmDyADtZ/cZqlFYwQXHmQTSJntnij2jHyo6OW8eZGAiCsRwRk&#10;EfrVBLq38zyvtD7wcEMx61CrEDKztnp1pkypOf32GbP3u9HtA5UakerWNtdfZrzbGuM+ay/L09aj&#10;vfEWnwQlrWOO4lPO1N24L3OKpXmiW93aY3M8mMZY5BHpim6dolt9iFtCvk3Ib5yQWZhV+0JcTRtf&#10;EulSpukYo3cHOP51oWur2E5brEB0MrBc/TnNc1L4QleRmZvLz3cgZ+gqxpvhK3aRnlnZAvq3JP5U&#10;+di5Uaep3JkLJFtIHK4PX3qXT74R2zrOWJU/KVJGc/8A6qydYkksbyKBIYhbbeJVzyfeo7LUIp8w&#10;ARtLIwC5bGfpRzMdkb76jE7GBvMWGRSGYueAR2rnrrwnetbBNP1hfJkHKSIQW/EHB/Kn3Dykm3LB&#10;GjJGBjg1JBM8ewuFd16HHSjm7gomHf6de6dbLG93M+OG8sYAH+FZUcsdlcx3tuiCZDlScuFPrgn+&#10;ld40/mrsk2/N2IHNZk1vp8FwqGFRI/Oe340tRlSw8Q65dMMrGwI+864FX5dRuIoHlmRWYDOUB4P1&#10;pzp5YwgG7sCOKoyxajPC9v8AIuf4+xHvScmxpCWN01yxbAD5zjOSfzqxJP5E5ErEFu5qnpFs8V25&#10;LoW27XI7VZvo7eSzZI7gSPuy25sk/T/61IY+2uHluW8tgIgfTrSXksr3GFmbA42gYqrZSC2t5Ajf&#10;OOetPtJZry5zISD6gdRWiJZK7zJbFTnnkrnrWTcG53xMG2jPQnmtuGMzs7tww7Co5NPW6uY94JbO&#10;AO2e1UmIy7m/ebUJZFuJYmZjIVjRmIzzgECrMtxCdMjWO1nExO15pj8o9wOv+T1rQNlc+f5HlhPl&#10;zuPT86ll0WaKPEq8uAQR3paDepW0nTXfEkLaZqG1Q7QmVsgZ7jgd+RVfUBreoXbbtOA3YCrABgAc&#10;AAA8Crdhpw0+cuoALnB+hrTuDKzr9nuDC2OWXlvwo5iLGJc+GVtdNRZbWWbUpDvfY2UhTngkdz/T&#10;ithNM1vWNFtbQS2NpZID8kRbIx0B9frnNW43gFlJZqxSSQhvMlky0jZHBNTwrb2GnMNTB/1hdYVb&#10;Jbgdh16d6rmDlOaj8PX0Ev2bTrlrnn96ysYkJI6ZBywH1FN1PwRe6jLA2o3FpaW1spKC3iUEt+HX&#10;p1JJ/OunsNTN/wDvYUMbbiEU4BwPapdR1HyoShhNxPty6jAVB6ueiijmC1jBtYrqLSZLGC9muGDm&#10;RpZjgsO4GTwO/wCdVFv0gtY5pJiIUY4dj+7H0/vH6fnVK5124ErmwjeVwdrFV2wKfQd2P1OPaqFn&#10;NYXUVvDqh8xLTOOeEXqOO9Z3uHKabapquvs0kMzW1koIEzcuwA6IP8PxOeKgGmxrEbYWZeKbhy6Z&#10;dvfPXIpbfxhY/blZLSSJFACHIJ+pH+FW9S+ItlagpZ20t9cY69F/xx+VPUdjFnj120a2guroSW6n&#10;Ys/lZccfd5xn881a1jTNY1XyIpLgTw7cpmJUKseucZqhLreqeJIyt7JbwxA7o4IlAKHHUnrmoYp9&#10;cSP5NamEceFxgEimwSGal4IltAgtboSzhA8kZXaCc/w564q3bTvcx29pLGTPFFsVF6AL6fzPvmrE&#10;Npd6iYnvtRuZ5IxwpOAB/hUNwsthdyPEwSS3bCMmeCD1pasNCRftlhdRy3WnFoSMlZfl3L6j/GqW&#10;o6pbzIiMj2ymVyQF3bULHG3pnirUmtXOphVlnaeR8RlmXCjAJrLuYjcqq3G8omSgA4H50RVgZ0nw&#10;rmjl8YXYjcsBYtzjH8aV7Ca8Z+EkPleMb0jGDZN2x/Glez1qQyBqpXjYibHpV1+lUL0Yib6UMDyn&#10;VCS2q8dn6f7leTRcQIfavWdUBzqeO28/+OV5PGc2yVzUfikdi2QMOQaki+8e1R5zipoyOTmtyke+&#10;6akzWFsRExVoIz9zqMCryCXKgPIrNno3UdazNKQmztSIH2fZ4x7HKr7fj/8ArrSQrvIEeMbhyQR0&#10;+lYMysOjEzltsueAeZM98evt+lIqD+KRWwDkCTI/z1/zmiFjuHltAcgdWXP+eP8APFPjLbQMRYye&#10;Qc47+uB/9agBHjQhtz8DBHX0pE8lz5YnjZsbtpDdOnHHNOZyquDJjnHINIRvUESKxXOPlznP4Uhn&#10;MGMbiMyY55K+31qHYo4+c9x8v/16lJyTl5Axzwe/61HuwQRK+4HB4xUFEDAeXn5sfQA9veq0uNrf&#10;MevpirLktHw7Ywc88mq0m7kgt17D/P8An8KBlC5/1RBJNcl4qAV7XGcZPX6CuuuC/lcE9eh/z/n8&#10;65DxVu/0Yt0y2PyFXDcDmj1pQMkUHrQp5roEd78MDjWbz/r1b/0Ja92tMG3XjnJ/nXhHwxbGuXS4&#10;62r/APoS17nYvmPHuf51gv4z9DOp8JcpR0pM04VuYEV0M2cw9Y2/lXkEMOVj2ySM2Og9a9guP+PW&#10;X/cP8q8ZgacRJlk+oYVnMuBqRWF5/F5oAxx0olsLonmTj/epILq9KFftSoFHBLg5qOaS6BybgSH0&#10;Djn8KgskhsJozudyef71PNvLvKqwLdh61VEN64Dh1UD1kHFaEbSW9uGlkVicjJk4pWQE9jbXrKT9&#10;nZ8d1FWj5n8UO76ip7PX1CBI4kYqOTjFWRrD7ctbQDPq1NQTBlcXQgjLyRMFXsARV2PVEVgUh2sM&#10;duRWZdob6cSyT7EZcGOM4H/16lgigRAoPAHZqOVAXn1MSsWYMcdT6VFbamlxKU2OAO+KpXRls7OR&#10;7aPz3ZuQzfdFYNvrG/UEivxttxnckIxz788/SnYR1mrWNxe2itaojAfeyoyR7GudNrNZ7XMDxZOA&#10;WU9frirtzrWjx2rCO3vJSeMMCP1qpZ6oLuJmYiKJT8oJ/wA/nT0AhXTLjzDJLOmT020n9n3XmB47&#10;7cPQg/0NWvtVrOrKLtEA9xUIniiAxeqR6gcUgRWZrtb0TNN9zGARS6jczzNDKmCyjDMRjPPpTilt&#10;JJv+3gE9lHFJJFEB8t4GGO6daB2NNdVjkTd5bjHTIH+NVzqw3syKwz1zVBdqghX3D2BquSc8P+GK&#10;LBYuWxhjlf8AeON479MVNDbW8cjyeaX3dyazPNkQ53gj6Uv2uVgVUgH6UrFI6ixitQGIVST371Z8&#10;m3UAp8hB4IPNcravcStgTIMHPYfzrQac27DzpsnHAGP6U07Ba51rSWsqAzW8ZIGNwGP61Wurq0VP&#10;3caoy4wQoHFc3Jq6lQELH1qtLfMTtVmweuaOZi5UdDNfrJt25JA28/WrVlqIlKWspDKemT90/wCF&#10;ch9raIhmPyj1qxLdRH7NcRHdtkBYr1xS5g5TeuzNby/MVba2RjnjNZs126uGVgc9c04apbThlxtV&#10;/wCNj0xWdcT28dszK7NKDhRjAx60NjjHuO1S9llj2bwM4JIq0NV/tGXDzRJMVQGSRwq5xis23tJd&#10;UuY7YoisAWd2ztUY6t9PwFSTy6ZaSLb6ai3F2oJN3Lyqe6j+p/DFEdRysjdjhhsd11JdMsMJwz5H&#10;mO47KAeB05rD1vUZ9Ti2ENBZgkrbxfec/wB5z/k1QW4kCFWl3F33PI3JJ+tSm9hSIRr8u3li3U1X&#10;P0RDj1Zls6XaRWMh2QlsKsRwB/jQ9hFDLvt2Mq7grxuTtx+HOKj8iCRIpluCwVsr8uDV5JUAb5go&#10;PLHPekJkMOiaKJdrRkHIABkbk/nVgzW1oZreOxQADaADgD3OOtZk7g3ZkySWOevSlil8ucMw3LnO&#10;09DV2JuHnx2zeYkKhmbbgCtXT/KhEbmMGPIZ1Xv6is6INNJcXJjViT0UBQv0Aq1p1sv2nbcMfs4O&#10;XKtztoGbwv0nR2tYSrsecchaqajCkV8JmdmZgME+uMVNEi2//HrHtU9MnNM1W5tiVaX5AThhjgH2&#10;oRLRgPO8E7pGihVbzVPTJ5qhcamZh90K46hhg1oa1JFbQ2txaxqxU7WP3t3PU/nWbe3F3dziS4Cy&#10;DGBlRx7cVVr6i2Ox+Es4m8W3nBBFk3/oaV7EeleL/CJAnjO9xwDYHj/gaV7QelWSRnvVC/8A9Q9X&#10;j0rP1A/uH+lDBHll9y+pDn+L/wBBryNP+PZK9cvOW1H/AIF/6DXksZ/0VR3rmo/FI7OiE6kVLH1P&#10;0qEct9KmjxyDn610MaPfNMkiGn2n7t/mtovcZ2j/AD/+ur8UiclY8KdwwQe/4/561Q0kk6ZZL5q4&#10;+zRceVn+EHritOMODwvTceI+f89//r1zvckRH+bmCMjA7kY/X/P0pyswGBF3Y4HPH+P+HtRDDLnp&#10;OOCMAZ/D9aVVbBHmTAjPJwOPxPt+lITEaRiCNoBJHVBQ/nlCVCkA4+6MfSnuhO4FgcdmcDHH1pPL&#10;DRE7RycnEqigSOWDyBshySMj71RqXDLiUep+YVIdrMdvl56cA8+9RNjAAEZJBz971qCyBiwU5dSA&#10;T3FVZSybsEEg98f5/wA/SrMgXByV78YPtx/+uq0qqFyNoGe2eTQMo3AOzAwOT6cVyHirP+jE46t0&#10;x6CuvuFAUYx69OT/AJ/z0rkvFQAFvj1bt7Crh8QHM0i9RSn71KK6LCZ3Xww/5Dtz/wBer/8AoS17&#10;hY9G/wB4/wA68N+GX/Ieuuh/0R+f+BLXudgAYWP+0f51gv4z9DOp8PzLoPNSCoV6ipBXQYCSp5sT&#10;x5xuUrn615zF8LmgG1L2EjsSjf416TRUtJ7jUmtjz1Phvcqf+QjFj0Ebf41YT4fXK8f2hH/37P8A&#10;jXeDrTqOVFe1kcG3gC5P/L/Fx/0yP+NPPgG5KbDqMWPTyz/jXcg0uaOSIvaSODX4fXKtldThX6Qn&#10;/Gph4GvtxzrRweoEZ/qa7alFHKhc7OOi8GXca4OqhvQmPP8AWj/hDLzcSNVA9P3X/wBeuxzR1o5U&#10;HOzkH8HX0nA1ZQPTyc/1qjL8OriWczHV13H/AKYf/XrvxRRyoOdnBD4e3POdVUkjqYT/AI0v/Cvb&#10;krtOqpj2gP8AjXeg0UcqDmZ56vw3uVPGqxY/69z/APFVKfh1ORzqkf8A34P/AMVXe0tHKg5mcAPh&#10;xcAHOrp/34P/AMVQ3w6uSpA1lR/27/8A2Vd/mkzRYOZnn6/Da6B/5DgI9Ps3/wBlUn/CuJyMHWV/&#10;8Bv/ALKu9BzTqOVBzM4H/hW8mMf2wM/9e3/2VQn4ZzZJ/tsdf+fX/wCzr0So880cqFzM4FfhrKOu&#10;t5/7dv8A7OpF+HMq9NYz9bb/AOzrvKWnyofMzgh8N5Nw/wCJwcf9e3/2VSn4cM2P+JwwP/Xv/wDZ&#10;V3C/eqXFHKg52cC3w1LgBtZYj0+zf/ZU9PhsEj2jV225zjyP/sq7yjtS5Ij9pI4T/hW3BC6wyj/r&#10;3B/9mq1ZeAhaQMh1ESyMeJHtx8o9huxmuxFLR7OIe0kcdeeBpLqMQR6u8FvgBkSAZbHTJ3f/AFhV&#10;OP4ZQxI6pqbDd1Pkf/ZV3tKKfKhczOCX4YwAktqkhyP+eOP/AGaoJ/hZFIoB1mUY/wCmA/8Aiq9E&#10;psnQUckR88u55xb/AAqjtnLx63OrE5yIQP8A2apD8LIDEY/7Wm5/i8oZ/nXf08UcqJ5medH4UW/B&#10;/ti49/3S8/rSn4UQk/8AIYlAP/TAf416LRTshXPPY/hZbqGDavOQfSID+tTRfDC2jUBdVuemDlBz&#10;XeYpwosg5mcYvw9RYwg1acAf9M16VVu/hhb3R3Nqs4Pr5YP9a76ijlQ+Znn7fC+1exa0Op3Oxsc7&#10;Fqk3wa0/IK6veg/7qn+lem0hp2JOP8J/D6y8KajNfQ31zcSyxGIiXaFAyD2HtXWkcU89KaThaGBA&#10;w4rOv/8AUPWixwKzdQP7h/pQ9ho8vu879Q/4F/6DXkcY/wBGU9DivUtTuDDJqAGctnH4ivLIwfsi&#10;4rnpL3pHZHZCL94mrEWBnNVx1qaMndkDPbFbMpHvelCSTTbJvOXm3hAUyDn5QPX3/wA81eiiX1TO&#10;DkrJ0H51S0gk6ZZACIj7PF97HHyr1rUQsHB2xnOeQen+f881g9zMiiiiZgS6ryBgkc09UULgzIOv&#10;Y8dPanRtgg5VQBngk/59adHISit54wM9Qcj9P84pAA2OH+bIGCMLj+lIVUqWEcv1UUrbtjHepAx/&#10;CP8ADimScIWZyuT1HBH9f/10AcyqjPtk/wAQphRf+eZ6d5AOadzjJVvxpgUnBMTEAdazLK7LuA/d&#10;sev3XHFV5E2xsRGeD2I5/SrJRvLH7lu+SOv8qqzKxHMT8HrTAz7lcIMq/U/xD/D/AD+Fcr4pQkQE&#10;A5+Y8nPYV1dwrbOY2Oe/+RXK+KQUSEgEdQCe/SrhuI5jvQoLMoHXNFC43DJwM9a6EwO6+GeTr90W&#10;yT9lfJ/4Ete42B/dsP8AaNeFfDu4EetXsoQYWzfCjjute5abIHjLDuc1iv4z9DOp8PzNAU4Uzk08&#10;dK3MBaUU2lpAPBpaaKcKYgpaSloAWikpaAClHSkpaQC0ZooxQAopSab0opoBQad2pgpwNAC0hFLR&#10;RYBBwKdSCgnFAC8j6UhA3UhamFuaAH55opAeacrbT0FMAXqKmpFcHqopxwKACijNFAAKWkFLQAUt&#10;JQOlAC0x+gp9MccCgBoFLQKWgQZpRSYpaAFFLRSUAOopB0paYBSUtJQAh6UxmHQ9akxxURUDJ70h&#10;kbDIrO1AfuG+laL8LWfegmBs+lJgeUX0Ikub491z/wCg15PESIAvtXsFyu2+vyeOv8q8fiVvIU44&#10;9a56XxyOuOyAfeqeNcnA4ORzUHcVNDkuPrXQy0e+aM6Jo1gditm3jwCOfujnr/n860g3zcQhTuPf&#10;PH9KztEVm0iz/d/8u8RB2dflH+f8mtRY5FYHEyncTwP/AK9c8jNDYpSp+7yVzyAe/wBKeGfy9qbc&#10;c5yg6/l/n8qVPvBTI/AyMkce3JpijdGNwVhzgmQc/rz0/wA8UgYp88AkovUZwuP5f5/I0oldFBO4&#10;bfQkY/GmkxBWJAJz2lBI/SmgxdmVck43MR/Tj/PrSA5g55Yqp4PpimBcLnauO4B4qT5Qh/kAeKjD&#10;JsbhunPy/wD16gsrEKR0BOCSarTD5c54z3FXJChjGHbIznC/Sqsu0DAY8n+7/n/P1qgM65A2AkHr&#10;0rlfFX+qhPfJ5/KusuCPLALf+Oj/ABrk/FWDFCQxPJzwPQd6qG4jmaQUZpBXQhs7r4Yor69dBl3D&#10;7I3BH+0te46aAFfH9414j8MP+Q9df9ejf+hLXtVhp8JdpsOrFyx2OVz9cHmsF/GfoZ1PhNQClFLi&#10;lAroOca+dhwcHHWuTGo6oeftZz/uL/hXWP8Acb6GuRTAAJrKq7WBEg1LUx1vD/3wv+FA1PVcjN6f&#10;+/a/4UjIFlbPTAIqJ3UjgfjislJjLK6nqRYAXZPP9xf8K0obu6mDKt2dw9FX/CsaD7xZOSBVuwmS&#10;O4U+vBq4ys9RGoftuP8Aj6bPrtH+FRl78f8AL035D/CrKzxPOYQTvFSMorpVmQZ5l1DtdH/vkf4U&#10;w3GpA/8AH0T/AMBX/CtHavpUUkQzwKqwFRbrUQebk/8AfK/4VIt1eng3Lf8AfI/wpxUAmkAwaLAS&#10;LLd4/wCPlvyH+FP8y6/5+G/If4U1elKTRZAKJbntcN+Qpxe6xxct+Q/wqPPIqQGmhXGmS8H/AC8t&#10;+QoE13/z8N+Q/wAKeeRSohNDSAaJbo/8vDfkP8KPMuiM/aG/IVL5ZwaifK4pWHcb5tzjJuG/IUiv&#10;dHpO35Cl+8aceBgU7ILjd11nm5YfQCpglwwyt2wPuB/hUWDTwSKLIBQLtGw1w+PbFTg3BUHz34+l&#10;EcjemRU4INKwyAm4x/r3/SmFrjH/AB8P+lSseSKbRZAMU3H/AD8P+lKftBB/0l8/hTwecU9elFkN&#10;Fcm7H/Ly/wClR77z/n5k/SrbYIqP1osgK4kvP+fqT9Kjke9JGLuTH1q3Ub9qdkIgAvj/AMvctO23&#10;v/P3LViNskj0qQUWAplrwf8AL1JQrXmf+PqT86tupNIqEUcorkQ+1kf8fMn51Jtuv+fmT86mXjip&#10;MilYLlNlvMcXUg/GoHe9HH2qT860mYdhUEgDdqLDuUDJfZ/4+5fzpjSahn/j8lH41e2AnpTJAB2o&#10;sFyDRrm9fW/Jmunkj8ljtY98jmugYcVzenYHiVf+uD/zFdIelJgRMM1RvR+5YD0q+ao3n+qb6VLG&#10;jyu/H+n3uW4wRg9Dx/8AWryGL/j1Uf1r1/UFH9qXIJGCc4I9q8ggBaAAc8VzUvjkdcdkNHWrEZII&#10;PuKYoToxJPov+NTK/CqAqjI6Dn866Cz3XRlQaPZN8o3W8Z+91+Udcf561piOM7QHUdeoPy/X09Kz&#10;tCJTRLI/Lj7PHk7vYH/P09q1FZgwUThTkgZBBHGP8/SuZ7maERFXHzJyM42H1p6wq0fRuf4gpxg4&#10;6Z6/59qYrlujK2F6hc0oAA2EEZznav8An/P1FIYriNA2Vl56fJx+eePrQrRkFW3f98gcD8aG+6yq&#10;ZByDjGMHH1pux3VlHm9eo/z/AJ/OgRzJTaW/dOB3yfy7f5/Go9rKduH6ep4/SnFR8x2tz2Pbn1po&#10;H8Q3D3zzUFkLKfLBC9j3P+FVZvu5xznkjt+lWXQheRhemM1WmVhuU8ENk0XAoXK/LjH0rlPFQHlR&#10;Y7ua6u4ysecDj3rlPFedkB/2yOue1aQfvCOYIoUYNFKvUV0IDufhif8AioLnpzat/wChLXu+nj/R&#10;Qfc14B8PZng1m5aKEyyfZXCqDjute/6dn7GuRgknI9OawX8Z+hnU+Et0UUVuYDZD+7b6GuNVyUVh&#10;0rsZv9TJjrtNcbbLss4g/wB4AZ+tZVAJLiQBkZm2goM1VkmZ1UfwjpUeos0jwqAGCupxjsGH9KHa&#10;JVzuyT/COorECWOeSF94YLkYA/rVqyPnXKoTgHqaymkEr8A1etGKc5P1FAHUpAizmbB3H34qXcD0&#10;IP0NYyXMhiMZfKkd6nsX2zBccEYrohNLQlo0gaY54qMXMTPsB5zjPantzXQmmKxEeTRjJoxzS0wH&#10;DpSMaUHApGPFADQealVhUINOTmgRYAzUqAAVGo44qZRxTYIYzVEx+U1MyZOaY0ZKkUhkSincUqpx&#10;z1o24NACZp6vjtSBc9BS4IOCMUDRKr0/duqJTzT168UDsDDBoOKV/ummDkUAKPWnBuKjz1pFbmgE&#10;SE0zmnDFMLHPFNDDpUchyBTi2RUEpbA+tAmTIwzU6sCaqxqCAOc/Wph8tMklY03digkmmjrQIkDZ&#10;NPzUWcGnBqQx+CaYwx1qQGhsEUgIDUUgzUxGDUbmmBR08Y8Rxn/pk4/lXRt92ucsz/xUkPPWN/5V&#10;0jfdrN7jIulU7z/VN9KunpVO7GY2+lJjPK9ShaTV7jZ94EflzXjsbH7N14Fe1XK7dZu/X5f614qh&#10;2xY7HP8AOual8cjritEA61Pn5SR2quvWpumee9dBR71oMgGh2YAYZtowCT6Adv8APT2rYSaUuCpB&#10;zknCD0x2FY3hzcdBsf3hybderdOAf8/41rRYYh/kzzjEo/z/AJ9K55bk2HIJM52A9zhfenhpVj2A&#10;kZJHBPtz+v6/kxBEWAK7BwQN49vT/P8AOlURhCSyc5IDE/5/z70hWFZ5nDMJThmH3jjB9qacvEQz&#10;LJk525B/l/n9adthdXXMbcDj5v8AJo/dKuArEnsqk/1pAcsSSCPMOSOvNRuMK2JeMep5NXL2WJ7y&#10;4aJMJuOAADkZqmzKEcEnpnnH+FTZIsgKFYwFlJz1wTx7f5/xqrJnawD4BY8A1bLcDCgdOAQO/wDn&#10;/Oaqz4YD93/Ec9OP0pAUrksE5fPvXI+LTlbf5ifmbiutucGMHacexH+Fcj4rxttwARhm71cNxHNd&#10;6VAdwoPWnw4MgB4FdCGzt/hkobxDc8dLVz1/2lr3mwINov4/zrwb4YZ/4SS497V//Qlr3iwGLUfU&#10;1iv4z9DOp8BZooorc5yOc4t5T6If5VwMsvmRRAEcDke9d7dHFpMfSNv5V5bay5hR1PJFRNXFexc3&#10;Seaqc4bhR+ppskhEhwOnBqN5A0kS8/M3I/CnSssS8n6Cs+UZNBypYDJ747Vagky2AePWsgMSmQSp&#10;J7Vp2AzCH7+tZtWA1Y5AE3ccVMtwrJwdpxwc1jS3YVygBIHXHerMM+cADjFMDYsCHuArDPfPpWhL&#10;KIiOMk9Kw7a88iRiEyxGF54rQS/WVAJYct7Gtqc7KzBl0fMAw70oHNMt5ElhDJ06Y9KmC10p6EDC&#10;MGmNT2Bzmo2zimAwcnFTqtQqCDzU6c96EImSp1+7xVcHFSo2BQBJimMQOaRn4qB3OMUWBkpYFsUo&#10;XnNQxsc5qbeaGCFWMluKd5b7SG7dKaGYHrUokOMNQUiswK8jrT0Y+lSMM8imYx0oGOzmmN8uaepz&#10;Q0ZZetAyIc5pB1pACCQRilHegZJGMjml2UiMeakANAiHYKikTpzVjFRSjpQIIhgcipQRVfzCvAFP&#10;SRifu0wsSk49TTNx9KeaYRQKwbvwpAeetMbJqAhwetMReUnHWlLH1NUJbuO2VWmkCB2CjOeT6VKs&#10;+8ZVsikBZJNc54pv7yxt7drU8NIVfBwenH4Vqz6hBbRs00qqAOcmvPNf19tVv1iQBLURkKX6+5A9&#10;elS3YcUdFoGurqXjG2giB2LC5LEdTtr0A1454CmYeNraMoygxSbdx/h2HGBXsRNQPqNNVLrlDVom&#10;qtx9w0AeaXf/ACHLoY/u/wBa8Uxww9GP869uvP8AkOXW3rtX+teJj5jIePvH+dc1L+JI7I7IYn3u&#10;lP7Nn1pAMHP1pw/1Z+tdAz3bwuA/h3T23jm2TgA9f8/5zW6qB9pKSYByCq+36j/PpWB4V3f8I3pw&#10;Rl/1A42c4/z/AJzWwuzqfMGSegB/z/8AXrnluSSIEU7SZexOUGBn8f8AP4VKNhUgEsSSuCQD/n/P&#10;rTIc8NHLKQRkZBA7U4RuflAlPUcf5+v+c1ImPIjMbERhumQG/wDrVGVwnMbHk9RnP6U4xnY4aCbk&#10;gdf/AK1NKiMMcbRnkk9f85oA5hlyrELGcDGc+/1qMjKnAQEDGS3fH1p5Q+UflXGP73ameWNnKp06&#10;luT+tSaFdkyuQIgMAcHk8/Wq0wOduAOex/8Ar/5/GrLITHjYvbnd71Wlj+UfLx9c0AUJh8oOF59T&#10;/wDXrk/FQAW39C7dD9K624jO3oOfQ1yXipCi2wKgHc3T8KuG5JzbDFLCN0gA701qfCcOD6V0IGdr&#10;8MR/xUcnIH+jv178jpXvdj/x6L9T/OvCvhduHiC4GOlo2f8Avpa90sD/AKPj0J/mawX8Z+hFT4Cz&#10;RRRW5zkN5/x5XH/XNv5V5PF8nyd8Yr1e8/48bg+kTH9K8kWTCgs3B/SpkSy9E+GwxXcO1NmlQy9R&#10;jAqkpfzGOSo71cSVYTECqsQTw3PUGs3JDQrYR0LAgHsfStGO7jGQqNtxwR0NZ13GzBZgwChcYNMh&#10;uy8e3GMDk1EtRkzTqbnJBALc5rU4UjHPHWsuGMGDzH5HXn0q2swjh3SKQBxzREDQjcFsniklum3A&#10;RsQB+tZv9ooCpWNiD68VpRojqG7EcUSA0tGnk+0GJ+j56HPPrW+CoIBNc9ZP5MyuB7H6Vuw3Ec0r&#10;KOSvetaU9LMUkSuvHSoStWjyDULDiulMkh20qjnFSBaeqimAzBpeRUuMGmtRcRH1+lOK8dM0A4HN&#10;SLg0uYCNARnPSmbyZMDGB1p8zbASATVeM5JJ60cwFsbTSu20Yqm82w4zUYuCaB3Lv2jb1p/mKe/N&#10;Z5JxnNPVsKG7nrRsO5cWdd2Dipg4boazmdc56UkMzCUkHii47mo6K1RhAMjHNKkgI5pzAEZpXGRq&#10;B0FSgcVBG6lyO4qVWySKdxC471HIoyKmHNMcZpgQhcmn45pOM0ooFcdjIppHHSnbgqksQFHJJ6AV&#10;wHinxe87NY6RPtQcS3CnB7cKfT3ouG5v33iWysb97WQjKKCX5Iz6cd61IpEngSVCCjqGBHvXmGix&#10;tPY3l1LJK21wQxQMuc8lifr+tbJ8R/2fC9vbok1y+Mtbn90AR1+tHMFi34l1KMajaWUc6RyI/mF3&#10;Bwp/h/r+ldQsDpbICwdtoJKjGT61xlrbpfyG4ntvtLMuPJVwox7sa19Jm1Mzm0t43WKLGftKcKvH&#10;yqw4J9OB+NK4WDUPBllqkwnllmibPIQ8H86851y3m0LUprK4Mc8pAfdu3YHYc9K9pu7qCxtJLm5c&#10;JFGMscZ/SvGvFlzDqviK4u4d6xEKF3rgnj0oYkWPh7MZfH1gzElysucHjHltivcjXhngGIR+PdMI&#10;JJIlH/kNq9zJqChh4qtc/wCrNWSaq3J+Q/Shgea6g+zX5+vIT+teMgANKP8Abb+de0aggfXrlT/c&#10;X+ZrxllxcTj0kb+ZrmpfxJHYtkQZp6cgiox1qWMfIT710DZ7r4Y80+HNP2KxHkA8A/T/AD/jW0sk&#10;gOWd1JyO/p/9f9aw/CwRvDdgSPvQjo2Mc1tptBPzL35wecD9f8+tc0tyBY2lJwJyT2y3PJ9/88U8&#10;FtnPlkgk4BXp/kH/ADmkhMe7OY3Ptu55H+f8iiLy+gHrkgE4/wA/56UgYjbSGU85wOhzSqeXImPH&#10;qTSs6BWBaQbgOPLAz+dNLr5RGAfqoHp6ZP8An60COaKptIwxxxxz3qNlXncp6elTFiy7V8zoOA3/&#10;ANaoy4WI/LIcf7X/ANapNSq6qQBtOSBgke/pVWQIMZ7k5wKuSjYB8sg4H8XPX6VUlb5RkSH1w3/1&#10;qAKFxjgZODXJeKQNkBHTc3b6V19wd2OHPYDd0rkvFTBkgwW4ZupzVw3EzmTToiQwGOtJSglOOM10&#10;ID0D4Vr/AMT2+Ppat/6Gte32J/dH6n+ZrxD4U/8AIZvvX7Kf/Qlr3CzUiH8T/M1zr+O/QzqfCWaK&#10;KUV0HOV747dPuT6RN/I14+bachQu3nBHzCvYNQO3TbontC5/Q14/NJIwgdV+VkYA5xjGOf1rOoJk&#10;t66yzlgSNuBnpmlXYU68iqrFXjK7yAPlp8TokBCgmsWBJLcfIAzs2Oik9KpxXAE5LAjPrUxSJ2mi&#10;YEPhCr7umeeneqO0JMVLl9vQ5q4rQTNi3v8ACSxjlSCqj6jFWvPMqDzCduc4zWBESZipyNzbhjuK&#10;2IlEsfl42nqCKTVhoPNBI+XAz3rcsLszpgqFxwCDwaxLeJ0kJ3buwNasRVYweAey5oYzVhnVZNpO&#10;AOh7Vq2UyhXZHGTgYrnI5Nx56VYgnSN8hsZ4INTsM66Gfepz1HWlzuNZ1pISxweCM/Wr8Z3DNdVO&#10;V0Q0SAGng8U0dKRTiruIeWAFRmQDjvUEsmHqJnO4HtU6iJHuBnFEdwAeTVWTOc0wk8cVViWzQkmD&#10;ocHOKgD5GWOKZFwCD0qGducdh+tIYs8o25HWoYmZ5AW6VFLINoB4OelTI2GUryDVrYC6PuZ7Cjjp&#10;mqzOdwANWEHAJNTqMcxRQA3JqNcAmnlCx6ZFPlt/3WV6imAxLjBzznpVqKTcMmsti0eARTopiG4z&#10;1oHc1FHLEdakj6kmoInOMkVMXAUkUkMmVxmlLDPJqqsny5yM1FLdBHCk0xNlhyA3tVTUtVs9JtTc&#10;Xk6RL0UMcFj6D1NWAwdcjmuR8VeErW9a51eS7nDxx5EbHcingZHpx/OmJWOX1nxfe67ceWrS2Wn7&#10;NrKDy/r06/yrPiaF4sYMUGcFtm9j/wDX/IVBb6dOZleVtzkng9K62yt1SKOPHAHTFTuaN22MITLN&#10;pQtVfyrNG34H3mPuf8/SmW0/ngwQjZCnf19/etjxJbRNdRbYwqiAdBjnn0rL0qInecde/amkK5bR&#10;o7aZBGH+ZTuZmJya63wfeR/6X5nygRhjyT0P/wBeuR1G2aK1trrdw0jIy49s/wBKsWpk+zTmIuFe&#10;L5ijhTjI7n+VHUOhLr/im5ubtBsj+zrJlLd0yCPV89T+gzWBq97HfTGaO1itgAAUj6frWkbf7VEi&#10;rbp8o6jjP1NUdSsfs9yQiEKwB56g0pPQEifwLGV8b6W+OMyjP/bNq9uNeNeDRs8YaShGCHk/9FtX&#10;spPFJDGGqlx9w1aJqpcH5T9KAPO77/kYZ8f881/ma8ZkBN3cp/F5r/zNeyagzJ4ilwuVKAHHXqa8&#10;cf5tSucd5ZP5muan/FkdcfhRUUcnNTJxE31qMn5jnp7VKgzEQOpIxXQM9t8JqG8LWBLSgC3DZVMj&#10;gn3roEZS3JdhnoyAHp7n/P51zvhI+V4dsl3yjbEw4HXDEetdDFveTb5kpyM4I56fy61g9xCoEkfh&#10;VY+0g/8A1/59aeoJ+ZYpCQ3HzZ/HgfrTI0csd0bt168Ef5/zzUixZORG+4Hjnt+VSxMRgdjEJzx1&#10;z0x9Pr/kUg2lG3CDA7tu6e+Of8/WlkDbGJG3IHVx/nt/nFNKkxMcREj/AG8enXB/z+dIDnCoKfwk&#10;cd+/500jjIwMf7X096eVBjPC4JH8XNMlUFPuLz05HFSWV5QSBwD0B6HP6/5/Gqkw+6OhweoH86tS&#10;IeqoOcd/8/5+tVZUbYmVBBHc0CKdwTleMg9to/xrjfFX3bb6n+ldjcpyuOcHt0rj/FakLbZ9SOKq&#10;G4jmz3pFpW5pF610oZ6F8Kf+Qxen/p1P/oS17laj9x+J/ma8O+FX/IXvv+vY/wDoS17hZn90R7n+&#10;dc6/jP0M6nwligUUCuhHOQX679OuV9YnH6GvJGXyFs4nwSrMp9wRn/P0r1y7/wCPK4z08tv5V4tq&#10;9/Iupwx/dVXXA4ycjr+tTJCZav44LYAJ95z0z096rxoWj8xVJAOKa8scjgysJQ2OVOamildCF2lU&#10;zgHHBFZOIE6267Z5pF3SYjEag5JOXz/So7vSwcyRvtcrkqoyCfarUMkct68agfLGuWB56n/P4Uk9&#10;2YpxCg7Z5oTAz7S2MbIZFKyCNVZT1BBP/wBar8fyzbSP4ScmopZmVt2MDJwPehbgNKHJzxg+1Jga&#10;dvGvlljzToFVyTjB7VUSY4KgnBH506G5aJ8H7o4pNhcsyyPEfvkAdcDvUli8l3g/LgHnPU/SoXmR&#10;1YA47jPepLKFl/f569CKzbGjeN0YEEm7bt6ZFatpeedIGUosZjBxnksev4D+tYEytJCNy/Kpyc96&#10;is5PLvEkTjDc/StaU7DaOyaVUXJPAqMSljleRWadQABBUNnsTWlZ7JYVdcD/AGa6FJN2IaaVyGYH&#10;zgSD7ipY4w4PFWpI1T5mwMnrVaebyy6oOg4NaKLZmxphzkHtVUxkSEHpT4LsNHhySfU06ORJCSOe&#10;1PlaAeijPtUUkYYZq0qDGRTShUZHNSMy5IlZyB1qeOJMbc9KSaMpJn+8Min20JYjjmmA4RqBuFSw&#10;LvlCsMqeKmWAgcirVpD+8DkDC96aAkSxCRAbjntmnC2HQt9arTa1apfLbtIp+RmyjbsEHoQP88Vn&#10;z+JrVVcW8U9zJnACKf8A9f6VfKhk95GqyYAyvaqyRDhhyM1m6ne6/d2w+z2cNp33SncR/n6VBolx&#10;dWGlD+2LqLe7GRP72Dzz6/lSaA6VGwAKlxkcVyV94tSCAmys55pCdqs0ZC5+nU11FtuEah33NgZI&#10;GMn6VBViN42U5U1ScSGfLetarJlarSR4INCJYyNymD+YqDXpv+Kev8EbjCwGanRfm56VW1q3WXSL&#10;pD0MZp3EjiYrcSSRqWwSOo+lbdrZBYlm3FmztPPHSqSWcVvtnmmjSIYJd22gDvTh4l023BS1Ml1z&#10;1X5V/M/0FTexdhmunOoKiDrEtUdKjyCvT59px+dS3N415eLMyKiugKhTnA6f0NWLW32kBQXwfMKr&#10;yT7VSAdLp0t9Y2sSBVP2ogsxG0Dack/lUMTwb5LS3uR5YLK8secOvoPb3rLvdYu7tVtTC9taI5LR&#10;EEFif71ILhYkKqck9ccUho2YZLS3kYLHiNVyXY5OPxqvdf6VHHKR/rF3Dj3I/pWdBDc3eY4DLKpO&#10;SFQkfnV8tOgFvOpDIAACe2TWbkikhPDKlfGWln0d/wD0Bq9fPSvJPDw2+L9Nz18xv/QGr1vtTWwm&#10;MNVLj7h+lWzVW4+4aYjzm9YDxFICcEoP5145IcaldEjB86Q4P1NexanGJPEDAkjCA8fWvHLzC6re&#10;jP8Ay8Sf+hGuaH8SR1x+FFZlI5OMfWnxHHzYyA3NM609OYmHvXQM9r8ISP8A8IxYbZXUeWTw3Yk5&#10;710YMjEYlU4IwN3HT3rm/BZX/hFNPLSIP3bEgg5+8fSujUpznY3c9fT3rB7iHKjggfu3U8Er19O1&#10;CKoB3OVIOO/T14pyKiEAA9T0BP6ZpYnQMSHcc5yUHP8A+v8Az1pMBMA7sT5GB1J5H+f89KbgANmR&#10;m+mSR06Y5/z9ae0gZThevqoGPf8Az/hSKd5YeWWJ6KCPbtj/AD+dIRzO1fL+6c8dabJ8qncO2PrU&#10;uW242vxg5L//AFv1pkpAT7rZ9N39MVBoVZtpGWz2H4VUlC7VBz0x07Vdkf7v3+SM/N14+n+fxqpK&#10;BtBw+cc/NQBnzgeYpOcE9SK5DxRyLYjPJOf0rsrhhuXPmHn+9/8AWrjvFBB+z43dT1OaqG4mc4w4&#10;NC9aG6UgOK6UB6F8Kv8AkL33/Xsf/Qlr3O1GEPuT/OvDfhTj+1b8n/n1P/oS17rb8RD6n+dYL+M/&#10;Qzq/CSYooorc5yrqTFdKvCOogc/+OmvnQ3TvMZ5A7N0y+T/OvojV/wDkC3//AF7Sf+gmvnKZnd1j&#10;ALDHQU0TIlhuQuVXNa0V/LNbqgXlB8vOcVgqjDDICeOla0Ft5Vu4Yk+YpZeMHOOlDSYkbWlxwvbq&#10;y72uZPvgnG0KSABVlSswCowL8lW9KxtGuRGly3JfeCfpgH+prWa4QFSAAeeKxcRjJQzyL83KNkin&#10;ylTI0pYbup46mkEsEjhnkKRlvnKjOKp3klubmFV3tCJR+8P3jyBn24qWmMuLIyglmweoAqGS6Ek4&#10;CMAvGeeaVpYQpB+Y4GD6ms2fCFmVeT2FTYDfgCXCBp5AAD8u2tmKZIpoLZE+V0LA+mMf41zlpaTR&#10;JGZsDKg7Qc4zzW/ZXCmRVfBKqdh9P84/Sk7AaT3AjhMbDO7g05bRAA6kk+hNUGuA0mwfezwSK0YZ&#10;dsYGc8Vk21saJEyQhmUcbicfWugs9sC+WOeOfrWLCNzLMNqCPJJc456Uv9oSoPMKcN1zXVQSepFR&#10;9DTu7rKgA5JPFViTI3JyRz9aymvGlkYHggn+VWIph5gbJAYV6CsjmbJ5YmCHa2CabaPJE3QFe/tT&#10;pZiCpwSvpSRFGD7DkgZIqtGhmxGx34xx2qRgoyGIFV4HSSBSSc04L5zt3FZOBdyP926suQSOlXrJ&#10;I/KLAD61kPG0TsTwAcmpNMv4JLZ5EnQxbiAS2P50nEaehsThNqn14FUVvvJn8o4CngEmsufWbNr5&#10;Ak7ytCDlEHytn3rNt57u9upZAw65AfhR6VEpKIG3c2Nsb/zjEA7DLMCcMfcdKueUoj/dhQvsKyLO&#10;G5VQJ5N7uSxx6k9q2fKZbbgYojK6uOxTvW2TqrHIPIrm9bkiW+kn8uYIq4aQxkrgDru6D8cV1Nyg&#10;aRW7gVSt49+9BgjcQQRwaU2ykjGsEjZ0eM5I+bdnnBHFdRatviR/VQaxZvDVgWaW3V7S5K4WSFiA&#10;Oc/d6f8A66fDrkMO21kE4kiARiLZwGI4yODwcVKdxtG+Dk0k6hULthVHUngCuQfUL5FcQXa2scsh&#10;k2zMN4z2wen4GmtDJNH5tzetIB/FuHHpz1/WqTJsb1pe292WaCVWCsQcHpiq/iHUI7LRpz5gWV1K&#10;x8Z5NRafHb264yqu3AY9SB2z+NYviXw5qGoRSzLqrOg+dLeRAAPoR7e1MWzOIvN9y/mX+oxoijIE&#10;shdh9FHT8BTTf2FvEv2GCWaVgP304AC/7ozVF7NEmP2i4CHHIVck1pW+kG6iQWNo+F6ySHlj9KhR&#10;Sepo5HQ2siXkUDwlyI4thLLjPJPH510Okoou1ds4C9qx7JZUhRZcAkY4HvXQwqybSoynQj3q27EE&#10;usKptI4lUYd8E47YrBTRbWN2fbvOMgvzitjWXzDblclt3IpLS3eYK7dNvSuKu5c2jOimlYTSoGDs&#10;N2RiqOuQKuoeZ6RjP5mt+zg8osTWLr/zXTAf88x/WlTvfUqo+xkaKR/wmulnGMyH/wBAavWc9q8j&#10;0X/kb9IP/TQ/+gmvXO1dcdjnY1qrTnCGpzVa4PyH6UwPNNZuDF4iHPBXHT3ryPUxt1vUB6XMv/oR&#10;r1fXnMfiBcAEleAe5yK8s1Zca5qIIx/pMn/oRrmh/EZ1R+BFCpYmIQ1EakT/AFf410DPaPA5X/hF&#10;bEYyQrdwP4m/z611CxgtzHkHr+9Hp/n/APVXLeBgzeErQKrPy/Q9PmP+fWum2OGG+GQ5bORnp17i&#10;ueW4iVVOSoicdR9/P9P89KMfOcLyxyu4N+fQfnTFiJIVVkHPOcd/apEjPyqApOedzjigQjbWJ4h+&#10;6Djcf8f8/lThzHgbPoPmP5Z5/wDre1I0e4EeXCRjjDf5/wA/hQiNtfai5P8ACfm/r/nHtUsDmmzj&#10;BUZ46n/69Mc4DADHrk9f1qSRG8vgA85yDTJV+VhxwevTIqSyu5AbIAHb9PrVab+EHsO45qxKh3Dj&#10;GOMHjFVZkPAx0H50AU5yC44x+R/rXG+KcH7N65OeldfcK24Hb7fWuQ8Tq3+jjbjk9/pVQ+IRzbd6&#10;FGWAoPX8aVPvCukGeh/CgY1e+GOPsx5/4Ete4W5O1h23H+Zrw/4Ug/2tfHsLb/2Za9vt2BBHoT/M&#10;1hH+M/Qir8KJ6WkoFdBzlPWOdEvx/wBO8n/oJrwWOEibYBkKfvDrXvGtZ/sO/wAf8+0n/oJryi00&#10;62nMbw5iwPmVjnNZynysfK2rmWbGNVWR1AlY5YKePyqaOOLyJIrgFY26Ov3lPqK0rmwWKRie4456&#10;VA1oGAz0HpSVVE8jM/RYTtbcMg4UtjrgAD9AK0L62ijkjmxIY1YblTuO9X7WOOGMYHy9ziszUrhp&#10;ImC8J0HqaFK7BxsZ9mwdG3sSSc4qtesYgZNjbA4AyKW2hmZWkzsHpUdyXMCwO7mMPkDPQ1VriHwm&#10;SZ/PdsEDGM9DVhVd92FLDYxOPYVSWVYFEfWoVv5CxUAkEHNHII6S3uWkt40U5xgHmr9rsiu2KuWR&#10;lwp+mckfnWRFthQOx6jOQauadC0k0Url1G1lUE8HODn8hWXKX0NdeJNxYeoycDNXLOZmJyfmzVCb&#10;LYVRlenNS7ZIySpJKjls1lOJUWdJ9pWJVA5B4NSSFTA6qBuIIGfWuba4Zwo3ZOQTitO0vkuJ5Q/y&#10;+W2OvXiqpXCdijOJrWbHzNnJyOT0q/ahjZozhs5wuR2qC8ud8jhcBB04GfzqS2uYjBFbZYvkk+g7&#10;12Qm+pztWLVw+21JXGc/lRYsvn4ZuXB/GqksvmxmPJzuycVb0+PL7iOV6H0rVPUk27J4fKaLB3DH&#10;J+tMe2u5NV3QziKJY9m3k5Pr6Z5plqAbrbkDPr9asTXIhvVUctI+1ceu0n+lW3oUiCaz1KSJoxcx&#10;AMMESRhsiqFjpjvNKs8+ZEjZhCgYF8d8g+rdK2LZ73YTdlNxJ249PwrLu49SSUXdpckbUcOUUAhc&#10;qeM59Kym9DWI21traJDNPbCKTu7KQTwCRk1Ziu4n4jAOMcD0qteQNfWUcjyyOwI5aQnjHPFV1YWs&#10;Eoii3ED5STyPeuOpdhszVVW4kAyF7VoW19a31szW06ShG2PtPRvT9ap6XLNLAS6BTwetNsdMXSY7&#10;nEoYT3Dz4C427scV0Ul7oNlq4+/VayQAOe5kOaW6m3YK9OlNtJlQHIY/OfuqT/KnMEaW0bM4GQKx&#10;YrHLkrGBk561bm1izhT5pcfvFjO5SoUnHUke9RxarptvaNdT39usS8b/ADARWa3KBrGNZ4lkkUM+&#10;QqM/DHHIA78VBqFhbiykfyFQLgjCj1HHIqlH4j8OapPp15Lq9rHJbZfYWxhmXB61palrmkXOmzLB&#10;qVtIWXgLIDmrS1EzDvyEEIAbyyfLXvz6VmXV8FUQtcBe+1mrc22ErWlxNcOot5vNXyxncQM4PB44&#10;qhq2paVcyN5elo7EHExOxif+A/1NN6DWpzdzpzXE8UUKBpGn2qPU121pb22laMDKYYbvADlpFznI&#10;6e3sK5qBZGuXIsZz5cmY2eVVU/lzj8K37K2kky0sVorZyu7L7T+OM1OrDQo2qsC5wfL3kpnuMmtG&#10;KRiuMYAao76JxqaqpBCKBwePrUkimGHPIJanawhly3nKAwOAeK0rRlESJ/EBjFZ4BkVcjoa0YUCy&#10;q3aueavI0Tsi4UKqcjFcvrZ/0uU/7IFdhONyDFcPr8mdSmTIG1VH6VXKK9zP0j5fFmkHHHnY/Q16&#10;52ryXSsL4j0j189c1632rWOxMiJgaq3P+rb6Vcaqlz/qz9KZJ5nrUYk8TQBjjHP615XrY/4qLUh3&#10;+0yfzr1XWgR4lhbHA/xFeV65keJdRz/z8v8Azrnh/FZ1x+BGcQAKFPyYoxkU4L8ucV0FI9h8CIT4&#10;VtgfLI+Y9Rn7x/Guoj2BtjKMAEjg8VyvgH/kVYOucvjvxk11ild4O6RQCRjYP8f8/hXPLchkibN/&#10;LEdscgUqDAz5u7ORtYkZpFdcg8/QqvH+f0p0TDO4qSc8bSB/SpAdhCGBGc4wQev+f89qiaOPYQRI&#10;MnlcA5/z/npUu8IjELJjg8Sf/W/z+NHmL5ZAL4xg5fPp68f5+lAHMttIxzyf896jfZg4zz0qZnJ4&#10;/edeQW60ySYZAy4xzy//ANapLK0hUL1ye5x7VUuPLG3BYfL6VckkDEjDcZ/i7YqrK/OSX6evSgDP&#10;n2F15PI9K5DxMVHlBTnBI6V2M7gtne2cHnd+tch4oYMIeSSCep+lVDcTOaJBNC8sPrSUqcMDXQDP&#10;RfhR/wAhK/H/AE7/APswr2qADLA/3j/M14r8KQW1e8PTbbk/+PCvarf7x57n+ZrGP8Z+hFT4UWRT&#10;qaKWug5zP17/AJF/Uv8Ar1l/9BNeJx3c9rGMN8xGODXtev5/4R3Usdfssv8A6Ca8NfagRSfmI5zW&#10;FVanRQkloy/PdyXIhDSh+Og9ahn1AWgwzMhI447/AEqvbSRiUuCCVOevQ1FqUc1xIJshkxxgdDWU&#10;Y66l1JpKyH6bqt6InEjBkJ+UuTkGny3U88TFhgjptHAqhbTCOQiQfKPQd6swTLPEyqxH96rd07mM&#10;LSVnuJZ3Fzht8itHnJXbzVyRYmBKjA9T1NUjbwwp8rMXP8ROB+VX4YES2DySDJ6D1qo1NTOa1Me4&#10;t2O6RAdvYd6hW4MaBFyCM7vcHt+lbk6hTg8HAxWabQvNuhXL5xntW6dzNlrT2lv5RG8iqiLnOM8V&#10;sPqo+1IAuY4zuwPoR/Ws3T1ksrlE4G4DeD0C96mS2hm1ExSTiJHAf6A96h2TGmbtreLM7LhhEygq&#10;dvQ8/wCFT+XJHK7Mf3ft0NRv9nxCIz+5UCNXHGQO9WmlhDeSGDop27s1yymmwUtTNu7iODa7hipP&#10;3VOM/jUX2h4ppWVshiGxmtYm2ibazKyuMMD93Hv+VczB5QdpIZGeIdNwwfetqT0Bs6MTGWHcfl5I&#10;xViBGDkPlTHg8Dr+NZEUrS7IEXLA4yO5PaunslEEcS3CLJCgwSOTnuDVOXK7itcbbRySxMxXHzdf&#10;UVpW0cqRvnCc59Sazv7bhSdkeMxxYwoAyc5rUtrqG4i88N8ip84780414t7icGhLNQdWUtlgDjk+&#10;tN1PK6su2NikcyABW24yMcc/7VJctZ27I1vM5YnLN/TFJq9wkUEk2d0kgVgM9xg/0rZVYy2BK25c&#10;udSuLW0lc25LRj+8Dj69KnFvFeRlJXkjy5RQMdcE/wAlrm5NWe+vZznFoY8BCOSeO/r1qb+2IrnT&#10;VVZvKuVnDnnoMEf1pXujS6JdViubW5mKibYD94jIK+uaLT7RLbAxhWDAg5/hqa8uJZbKOO4fKOM8&#10;HOcc5qO3vLay3FBlAARknLetZSfYl6mxpKNBvR2ycAn261avm6VmaVdm6jkmZSvOBkY4qPWNYsIr&#10;GZZr2BXMbAKHBbOPQVtT+ECwxymPQ1Npw+Zx/tn+QrKGvabImY5mcnHCRsev4UyDWzG0gj0+7f5/&#10;vYAHT61NRpIaTNFVLtf4/h1CIj/vmKtSPywigqu5hzx3rLsGkklufPiEKzypOAzgkYCjHHutWp0U&#10;TE9FU5GDXM6qirl2JNItbRdIs4/JiO2BFOUB6LijVZI4LGRFiYjGQsa/5FRQz7FMMa/KQcEdRzUN&#10;zayOuftUsakYIXGD9cg1ccRFuxLRW0ua5ub2MpapGoRmzK4JzwM4H1PeodW8NCWOS5ikRJR8zKqY&#10;UgZzj0rT0m0lgeRmkOGQBSQPUn/CmatqDWsThJI2yrLtaM9frn+lbylG2ok2jnYlwCccgUsshhUu&#10;Bk5zgU+Ah4eMEnrUNzJGI5BuHCmqQi5Zy/aJWlcAEccVbkClFDEHJPFZ2lvF9nJ3AZP9BU806iXb&#10;kY9aiT1KS0LyIAQAOKuxMFZcjisuGeLbu3mtS3ngZ1Gaye4zRyrLjNcHraq2tXZbphR/46K7hAu7&#10;PYiuP1eFW1K9JJOSP5CrAyNNGPEWlgcj7Sn64r1vtXk9hH5ev6Xzn/S4/wCder1SExrVWuBlDVk9&#10;KrT/AHTTEeZeIWEfiCM+358ivKtd3DxFqG/Abz2PFer6+m/xNbjHGCT+BFeVeIP+Rl1HHP78/wBK&#10;5o/xX6HXD4EZvbNOUnbimnt6Uq8Lz1roKR7D8P1LeFoD5RIJkG7d7nt+VdfErIwGwBc4OS3+HtXH&#10;eAVD+F48xsTvcA7sDOf/AK9dcq4kx5a9xy3tmueW5LJkHqIiegzn8v8A639KfyPMAWIc/wAP/wCu&#10;oo15X5IM4PO8f41IkfzEKiAk5OGpCBhu3YYAYGOAf8//AF/em+ZhWHmAnr9wf4f5/KnEMFLZAz6g&#10;k/5/x96az4hfc8Z5GQF47eox/wDq+lJoDnXI2ryp56lR/n8KY+Rj5x9dg5p7IxUncOuPu/8A1v0q&#10;N1YqAHznnO0/4VJZDO2OQ6jGesY5qpKQTyRyBxtFWpkJbG5MDPRc/wBKrTo4OCVPGQcH/CgChcH5&#10;iAQOCOVFch4ox+5wQeDxgDHSuwnDB2BweP7pNcZ4pBBg56lugx6VcNxM5vqaVRzSr1pYwcE4roE2&#10;ejfCkKuqXwXnNqf/AEMV7TEuM4/vH+ZrxT4UAnXLoc/8ezZ/76Wvaos72yc/Mf5msY/xn6ET+AsC&#10;lpop1bGBleJv+RW1b/rzl/8AQDXzzuaVlG7HHrX0L4o/5FPV8DJ+xy/+gGvnaACQASLyKGguW4kZ&#10;F5OT2xVqC5MS/d6etQl0iACgUxnxh2IIHJFZsm5ammF7uj8olzhkKnkHGD+HFV2As3MCuTnG/Hr6&#10;VNHfQXEy+VCInQY3Buo7g08WymZmxuzySajZ6mkmraCCQS2+1mIK9DVdGl81WGWKkEZ7Vfh2CNgc&#10;DPaoiNm4quDj61m5WZMVcuTTxTTRtIPLQkeYR1x3x/SqlxI1rIxs7jda7sqXXDfQ0yGTzkfjJHHI&#10;4qPF2NPcXG3bncBt4H/16uE2azp2WhqQ3cdydyKzleSmOT6frilTSjIVdTsDIOo+YcdKo6HaRTyN&#10;cS3ghERGExkvXQBNwJQhlXlsdvrROTTOYuRwxrbxQq2FQdDySfc0qxx7shsgdqiQlVzKCBnkHrio&#10;2mjhUCR1Xtt965t2Sx9wqBfLzywIP4jFZ8cQitDBHAXdn++ewHp7mnXE4t7hZWxsAwN3rTLbVFZZ&#10;FYJ87Da2eY/p61tBSSBXLMW+0jgO4rIVWQt/vDd/WtK3v4zjDEk8k4rA1GeKKaJjMzKAB1zgAYFV&#10;5tZVE2QrzjrVypuRonY2p7gm7Kg/e5GasxXzQRbGbAHQetcqdRwPMdtzkfrQdQlmVQxzznGe1V7B&#10;BzHVf2iry7m79CKQ3rzNtMmVC4wea5mK+2sdqM3PPHFWxeTGUoltIVxnpg/rWkaXKJs2rW+VpTEz&#10;cDuauCKN8kMBnmubRZZ7gARBS3A3dvrit8aXb223ZqUrlR8wkjCgnHQc9M1bVgVzbsTGLiEsGdlH&#10;IPOfpU8+saeb2O4aDc0WAirhQcc5NYUEphvUnN3tIXOxF4GPfv8AlSW1xaWTNPNGsjFy25uRj0A6&#10;Cs1a+obHY3tlp+oJB57z3ETRhgZZCODyMqMCq66TYiF1itbdAF4+QCi0v7PU2ilt5lg81eQ/AznG&#10;BWjJp8nmIsZDDjce4/CtLlozrFojptnJuUF4UIX/AICKztt5DOfNbGW3cHjB/wDrVP4hso9KsLUQ&#10;MxMfykY4C9qxrWczrh2JIGBzx9K5K829B2NiC+Z5dzSEbOBnpVwah/pAt3GQU3b/AFzXOXDtajan&#10;32/lSadeqbhlm3RsFwAykZx6etcdmWjrIZQsRkIwB3qG1uvPDqD8pPftzVIXgS2SbDmAnB4IIJ6c&#10;fWrVjEsaqifMzdyepouJo0Q2Iwd3A4HNZWoRtcW77cs65Iz3NXbhdvyEDKc8GqF15qW7PEiHPClj&#10;xntmmm2yTKtlmGFKlCpzlvr6Ut9aq1lcyxk7lf8A8dzitDy/KW5kk8uYnlCvTr1qK3DKJoJ1CJIv&#10;b616MalnYkyIpXhthGhG5Tkn0GKtTzrHErMSSQBkDrVe/gS1u4wDgTKC2BTtQK+THsxwOauT6lRL&#10;UMn7sHPXmr63qWrKxOfQCufFyVKj1rQyZ2XjcSMVky7HZwvutkb1XNcjqcobU7ocjkfyFa1lNJBN&#10;HFICQy49cVjXqn+0JyBjJ/pWqIaKdpIG1vSuCD9rj5/4EK9TzivMS8Nvrejw4HmNdRkgdhkV6dVI&#10;QhPFV5vumrDHiq0/3TTEef62v/FQRN6I38xXkPiUY8Taj/11/oK9Y8SSNFq8TqM/KePxFeUeI/3n&#10;ibUGJwDKOP8AgIrmX8Z+h1R+BGV2oFOK4XqDjvSdq6C0eufD4K3hpQxwN8mTzzXYxquBiYgk9CT/&#10;AJFcd8OpAvhrkt/rHHCBvfvXYxSR553H0/dLxx6/4Vzy3Je4+M4I3FWHYY7Z/wA//qpyRoEJ2sCW&#10;646/rmiF1DYVTkZzhgP6U4MNxOxgu4D7/Xr7UhEbeW0bhWfPbK/5/wA/WnBA0TA5PTnGPT/P+RSm&#10;T5OSxyAMs3+f8/WkDFVdvKjbpyWPt6n/AD+VIZzjbQMFjkHp6VG5UgDLY6YxUpZeO3OBzxTHYEeh&#10;BwRzUlEEvIJye+aqTAdNxB7kirMpUsR1Aznk4qvMcO2QB2wM0AZ0+3JIfHBPSuP8UZ32+Dz839K7&#10;GdyS2T27n2rj/FOGa3IOeW759KuG4mc5T1+UH3xg5pn1pwPGK6BPU9H+Ei/8Tu8zz/op5/4Ete0x&#10;/eP1P8zXjXwhG/Vb89/spA/76WvY4QQ7Z/vN/M1jH+M/Qzn8CLApaQU6tzEyvEw3eF9VHraSj/x0&#10;18/rAqL90g+lfQPiQ48M6mf+nWT/ANBNeByThk+4QVIb5h7iok7bAROu9e27sTVfypTJsl7njFSy&#10;gIwyc+wNX1tWZFYdew6kCpvYkh0+0SO5JXuCa1ZIwVA9KqCJkZRkA9cA1ZaVhH2zjFZydxkQUBtq&#10;gbqGjWVhH93dxnNVfMYXIl3c+tWrONpLtFZ8EgMD9SR/SspLqVFO+hVmkSyYJLGWJwcA44qRYEut&#10;8vmMqsOEJ4HtWpqNlYzFVG9pEUAFBg/j2qjcWjRbI4xt3DopJJ9M0+ZW0NZXk9diO20ua1ula7Zo&#10;0ZA64Gcg9PardpFPubZkhuCVOaS3muYDFG75hY8Bl3Ix9CO9OkecyiKBmQDnjjH5VM5cy1M3BIvv&#10;56RjzlOCfve9SyRr5CGVQ78YPU064uopNOFsN0mFxgscZ9T71JpyB9OY7chNwBZu4xx+tOnFPqZO&#10;LMi/ha5VWKldq5CkVleRLbuOTuBycAMPzrrLK2+1ShEkAkY/dUf0p76a8199kzl9+35vlANddOUb&#10;XFY4yVDNMXdjk84yAPwFWItM84jaBu75au+j8M3tqjGKSKPjoshGfxxVY6FcR4ZnjJGST5uTWoI5&#10;P+w5n/hQY77+tMfS5bc52oV9Qcmu6Fs6qBw2OwJP9KmWylul8oW20ngtkHb74IoTHY5PT9OZ3BP7&#10;vP8AdwOK0prGCJmCRvKx4XdLnn8hWovhfUlmCPcwyR+uCD+WKfdaHJZAO0ispHJY7efaonOVtEaQ&#10;iuplxaXINuTGgPUgUl6sGnR7j+/mf7uOB+NXQGjAzJGFA6Ekk1DeW0d3GFY8qcqR/jXMpNvU3aSW&#10;hi+dJHcKrncSC2R2FPl3SwxuoG0Hp7VN9gmAfMTyMBhfLGfl9KjliuFUJ5WxDgENwa6E10OSSd9T&#10;Qsphb24jDAjOQR1Bq3Z3dzFcNdR3Egfdy2ev4Vz8LvBKQ3zKOB6k1es3cPvSQlh6USaQkjrpNTe/&#10;BSSAPEwAC9G3E9c1ltZxlG5KjBwAAMGiOWRy0jN8xG3gYGKZ5iZbzpWQ4OMDJrjqPm2LVwezaSNV&#10;jY7s/ePJAq7YaXMsybZQVPJc8EUWlxaQQrvuot2OrMBmpF1BGVERS/mx7sqMBeOlc5auS388L5g3&#10;ttH3gOxpEd9pfG4Ljkf59qz5CwuNofO4fNitWzl2FUjB5Bx9cf8A1qVh3JDJuhMgPyHgsTxmqyq6&#10;OJd7cEsozx+VLh7vUfKkbascW7aBwWJwCfyoWKWQkFVJjO0t79aq3UCtqGsW0TPbmQm5dceWwxgd&#10;yDmsiLWC9phmUSrlSW6n0qzrUEks+28tkmC/cbowz7965CTRVEzNHdyRjPQrnn8K74JWJsbOpah9&#10;rCSKRuiGDjoaYb+O4sSpwJNwHXpXPtZ6iCVjZZF6nnH86jgdoWYtuUk9x3q9xo6TeSwYYyB0ratb&#10;pZFTPyNwOTXE3F7IRs8v5cct/Wq8l+sYxmTcBhWVqmw2z0PTNddp3WWRS3O3OOKdc3UckocgAv6V&#10;53ZX1x57OJM/MSo69a3Yb7LRozEOACciqSEzalEcniHS5UYl/t0Y68AArXqh614tDqMM+v6PDHG2&#10;8X8QZz3+YV7VVolkZ61BMcqasmq8w+UmgDzzxCnma1GvqjfzFeUeJ/l8T6gMYG8Yx/uivW9fXOtQ&#10;+6tXkXifcPE1/ltx3jnH+yK54/xn6HTH4EZeCVzSYOKUfdFKvSugpHrXw8U/8IyMI5UyP39gPT/O&#10;a7GJ1JACoADxnP8AkVxfw7WSTw6/yMdsrqCOnQV2McWXUhVwemT/AJ/zz7VhLcGWFGSdohbrtznP&#10;86ep2jooGeoP88moAMn7sWCf7w5/WnRo2WVfLAB6g1LAlZxtOXBwuMeWCM+n+f60wSsuSJE49gMf&#10;mKACCSWVeB1Tofy4oX7mQ6E9tpx/T/P5UhHPMw+X5h3/AIQaidgT1B/4B0pzj5l+cE9/lPH400g/&#10;L8ynP+x1/SpKIHcYK5Unnog9arTth+SP++AKtuhAwGXP0/8ArVVlUlidy/XZ/wDWoAoT4JYgjOP7&#10;grjfFJBe3wQeW5Ax6V2UyN5jAbT/AMB6/pXHeKj89vypO5ug9hVQ3BnOd+tBzRSCukk9P+DY/wCJ&#10;pf8AH/Lt/wCzCvZVwGP1P8zXjnwaGdU1A+lt/wCzCvYVGJCM9z/M1jH+K/Qip8KJqWkFLWxgZXiY&#10;48L6p/16yf8AoJrwKdWlTDckDivfPFBx4W1T/r2f+VeFCJtuTjHYetRIEUzBGk3yOXXAILDp7Vua&#10;bbSmzlaTKhkIQnjn1FUbYRRgtIuXVuh6CrM15cNKgjD7T/y0dcn6DsKycr6F8ltWU4JUlj+0s+44&#10;CgZ5OOv61Ikhlc89s4zUb2RjRVjA4z/OltlSJZBImCehJ707WRlcSXy1ZR5mGJJPpVi2mjS8Rkfe&#10;FGDxj/PWoZbOKYK3mEEtgBfpTBbiB1CsSqqck96iTTRtDQ3mljaMGNBuY9T/AJ9qsuX+yDyFAI75&#10;5J96yLK3mumxEVARQSzMB1pDdywAxCUthtvHPPtWKvsNskZ5HQQs2U3Z57H1FaMNp51rNOhb5ACV&#10;xn5azkhdZNsikMOoIp893IgXy5GQJ0K8YoauZ3ElduQrcHqKks7lkbyjwoBwvao7a4MkCBymVyoY&#10;DBI7ZpWaIS7pASgHJU81NugXNe0ka1kivlkQCM4IVxuI7jFWbW4ZLhLtW3FW3hD95ua4aa7dbjcM&#10;Bc8bj/nNaI1iRVtzBJlwfnUL972xW0KUtLbE3PWrZxfWyy3UIhkPG1nzSPpKuTibA9AorhrXXtWW&#10;dDPbP5bYAV4io/PFdKuorJ/Dt/Wu2+mpJpDSY1GPtDf98inLpkIIJnmz7YH9Koxajt+7IBjsTWnD&#10;dlwMNH7807oCRbaONCBJcf8AfdQTWkVygSZmdVORuc5Fai3EXChxmp1Gedi4NNWY0zm30CzkQjLj&#10;Po1YV5o15pkrXMcqyRAY5ODj6V6A8O/ogH0FVzBzyB+NS6aLUmjgFvJlhBlh2I6kb2QgE+xFNWPz&#10;YQ29QPc10/iG8sxavZuvmTHBUY+6fWuYgttjAyyDb1CgcmsJR5djZPmK15pYkEckKnfn5ucU/YkN&#10;kZVSVPm8tG7N6ZHbirVu94J2jkjjKEfKwbgVpxWouSbaSaNUIJyRwD/jS5nsyZQW5i2l0Ub96zFf&#10;9nrTZbsyXBZVJABxuq9FoF228qUdV9G6/Spk0trd912myNl4J4OaOVLUy1RkWE3lnfJtYsM5x0+l&#10;bdnM07syqX4weelZsdnFJKfKc+TgEPnOPrWro1jaSMXeaQQ4OFDsBIfXr0/z9eVpNlrYfYWM7GUX&#10;CgEnKEjJq2un3CujMcKpzjHJFAlsoWwsMDbuD8gP55pJbRXiKwXFzb5PPkzFR+XSp9RFG7lHhxJN&#10;Vid5YchJreQ7htJ6qTyuCenTmtGC4Eel20x2mOWMTu+e7fMf51k3uiXFxAYre/uH3/K0V2weNlPU&#10;HAyPrXN67qk2meG49JExaazuSknHIj/hIPp0P4it4RUtAex12oXEV+9w1u4cW5xKIznacZ5rItxb&#10;zWgnlUAN03VwFtqN1F9oWORxHcDbIM/exyK2dM16/hvbdBKXhjXZsYZAWurZEpnQmOKPdtTr7VTl&#10;hVn2bI1GM8dalaeK4nULctvdyOeFH1Jqv87wTXCbDHDkbwwIbHpU8yK3IHjaZTC2NoHHNUZNM837&#10;lucj1NdLbWSXFvDPHtcuASPSp5LKJIn3MybhjriqBnKw6UYR5hIQY6daZKkgcyKw8zpwO1b8VvAX&#10;KPKWTHQ1FPaQxqVWAj0YnrQhGHpfmr4i0t25AvIjx/vivoWvBrRNuuablQNt1FxjtvFe9Y5qyRhq&#10;CYfKamNRSdKAPPfE7mHVIHAyQrYryXxSSvijUBwMshIHb5BXrPi3/kIwH2bpXkfiR9/iS9fnJKnn&#10;/dFYL+M/Q6ofAZYpw4pKcBmtykepfDvB0BvmYEzvjb/uiuvRwAD5jrg57/UZ4/WuO+HZUaJJvcqP&#10;ObtnsPf3rtNygglmbp0RSf8AP+e9YT3GLEXIG6TJ64JqdApXLhgMk8Co4mUuDtbg84AA/l/n8qlS&#10;TBJZHUHjIf8AWouIFKEEbmxtwcinRr5i8puJ56j+tRrJkNknPbcTSg5BxCmD3/n1oEc+wBVcE55y&#10;cVEcDHPvyKsO2ABgAjnOTxULPvI5BI/XpUlkEpTnDde+KrTAAH5j19KsyuMjGMDrgn1qvIQHI465&#10;xmhiM+4ABPzEHHpXHeKeZIOckM39K7G4I57n1zXHeKTlrfudz85z6VVPcTOc9aIzhuRxQadHjdg8&#10;Z711CZ6l8G8f2rf9s23H/fQr15f9afqf5mvHPg+3l6zeZPW3OPzFev2hZ40djkkZJ/GsI/xWZ1Ph&#10;LQp3akozWxiZPicqPC+pFvu/Z3z+VeLW0IlQPtwoJ5bqR9K9p8UAHwxqQJwPIbn8K8VjkblFIBPT&#10;3FY1rmtO3UfcMYt0iohiHDZ681NFCJYt8biSPuB1rNvdj2bozFct0/WrOlv5dqEjdjtOc1lGOlx1&#10;JK9ia4QGEFT07Cs54pJW2ggDuTWjLMuw5HJ6gDFRmNWTLYRexPetE9DnaK0FsYZw8hDKOqitJI7S&#10;ZpERlZB3+vb9azwDNFlZMMeoxxVWVTaoW3nryaXJzFJtGm13FaSm3iX5SRn8Bis7ULkE/ujtPXHv&#10;61VgnHniQxu5z94KTU0SXMt0NkDAjkbo+KappMOa5d0+7l+zCHfkNzk9qRlUswJyfr1pGtL3HAcu&#10;P7inH61NZ6DqDjzJJYI9xwA5Jb64FP2dxXETEUO0sAud1XdO0i41ZFmVwsByS2Nx4PYdzmoZ/D11&#10;HIxF1HKCOgyP6VsaLY3NlCimVyBk7FY4NCpBcD4PtXtystvPKFKkTGQRnvkYG72qaz0O20+bzLdX&#10;GMbRuPGO/wBfetqPzjlmjXPbJrTtbaS5U/Kq+vHFbJNCMYRzSsC5z6buTU8du/3e2ckk8Vuf2TIc&#10;ZmX/AL4qxFp4i/1jof8AgFJ3Awo7RQctNGfz4rWs7dWBJEbD1Wr0dvCy5UKR7Cp0iVOgpqPUQRQR&#10;ryEXP0q2uFA449BTIxzVhelapAiPzAOimszVhfXUHk2WyFzz5rHP4AVrNLEjqjyIrt91SQCfoKQM&#10;kyFkYMoJGcdxTKOFubLWUs2N8ltKqcmQIDIR+XSs1dpxmJk9Nx6V3S3SXauIY5CAdpOMfjWbPZab&#10;bS7ZjulcHajsSef5VhON9TSLOdVC2W2nJ71OI4bd1LM248nHNSSwwWztIFeNHOOTkZqbbazxhWZg&#10;2OorKxpe5NbSOymSJsL02gZ4zTr5EuQ8LMWYIQoHYmoJbOSBkWEPJGVwcckHtUYhkkQnypCoyCQM&#10;UPYzk9Tno7f7PKyXG7aOkYbhvy61s2d3CY5S2A+MDcelWL+DZphYQqq7crxnbWDE6jJcYPXNc0kV&#10;YvSIrSrOxZVx94Dg+1aFrNJJFstTFISeSzcr+H/16xLW7bePN4iJ4Vj096g1q9jihjuQGXa2GI/i&#10;9KldgULl3XdS1HTEc7ZijREiSNAFDc9cg8cV59q1wzeVdr5mWx5+X3bj9PQivSfJItP+PhgWX5wD&#10;1BrjNd0ZY2a+hnOxyqmIjhcd66KLjsKUHHVGKqx+UGtpGmJJyhwGA/qadDcSW848xGifHAYf1qaG&#10;wsrlhHImxiceZGOV96sKi6PDNDqRS5ywMCY+Y4z82eoXn8cV0N2ISUhLQC4Qy3bGO23cMDhnPotX&#10;oHhuZ44rgeTYhd0cQbAfrye+Dg89T9Ky7Zmvbsz3J8xfLJCjgKo4AHoODU91eyXUrloj5r4Y4XG1&#10;QOAB6YxUWuyrqC0PTNJNrIRFamMKEGwr0xjtUt1oskx3Fi3tXEaJq9zbPGkUO5uFLAHjPb2r0C21&#10;Bntzv4deuazkpJii7mdDpQhJCg7h1JFMl07IYnFag1BW3AkDAqBriNsgEU05FWOce0EWo2RCk/6T&#10;H+HzCvXW4rzG5ZDe2uCM+emB/wACFenMOa3jsZsYahk6VORUEnQ1QjgfEn/IYth/vfyryLxUAvie&#10;+A6Eqf8Ax0V694l/5C1qe/zfyryLxWpXxNeBs9EP/jornX8b5HVD4DHxTlPaigda3KPUvh1/yA5P&#10;3bN+/YHBPoPau3VSrZITcHGGwcfnXEfDuPOiynax/fHJB6ZArtwqkjAA3EfePT8f8/zrCW4DguJS&#10;QsY5yQGI+g5NOA2kjIGG56df8/y9qiRSWO5Yj153duaekZ8xgdg54PPTn0qbAOyAGyw+7zlB+VCS&#10;BDu3E44wGxj9OKQrgsN6YC5GE/xFLHt5zLjp04z70gOeJXKruH/fNNY5ZSHBPqEqU9BtK/lz1qNj&#10;jbgoP+A//WqSiFmXI5U46/LVWZsynLIDn+5xVmTJXhkJx6f/AFqrSHL4JTr/AHf/AK1AjPlIy3KZ&#10;xn7orjvFRBe35BOW6DHpXZTBiDygH0/+tXG+KeHtzlSMt90Y9KqnuJnNmlWlIoHWupCZ6R8J4Gub&#10;++jDFCLUkNjP8a17Pbp5YCdduRn8TXj/AMGk8zVr4c5FqR/48K9hj4Yj0J/maxj/ABWZ1PhJ6KKK&#10;1MTF8Xnb4R1U+ls/8q+fheMUITO8H1r6D8WAN4T1MNnBgbOK+eJIZVnwANtFk9xXaNKAi8iSN84P&#10;Bq+ojs4tiqTxxVPTd0SlpOQeg9Kla4Vt2Rye1Yy3KWo2KfzpFUjPPNWNSy9sqA4wc1SUxx4YA98g&#10;nip4bpJ5WWSNWQqRnrj6VJViOwtm8xZGZWjPVec/jWxFdWqJtexjbB61Xhtrd51RJjEWJ3PICFA/&#10;KrUWn6d5pWbWV8vPWOJuauKZEjTtdt7GJIkKrnGPSpXs3ZwBk4461WS8sIY/KsAwQcF2J3N/gKha&#10;5u5I4wk20hj8w5JBqnUSdgUG1c1IbKUPhvLOfVwTVxNPmyAYl6dQV/wrFTUZ40BZvmT7zDk1p2Mk&#10;9xbiSe8cMzHG2QdPwq4yUtiXFo0U0qUtkA49yP6VG4hhcrJLGCOCATwaFghwfNunYH+9JTxZ6Sfv&#10;3BP0f/CqEIupQwL8jqfqualHixYsAW7P9EIz+tVW06wbOy/deOPkJxVd7KzCts1K5kk/hCRjAP8A&#10;hQBFqPjPUVmkEdsEiIAXBO5fWtDT9fspbcXDXJ80D5kfrVBlvhkWkMzkdmtlGT65YGqj6V4iuWDS&#10;29ig7easJOPpis501ItSsX7/AMWW9jame0lR55JOV3dPX+VXPDfjmK+aaPUJIo8YMZAOSO4rJi8E&#10;3d8QLp4ETHHlbVyfwWtKz+H8FuVPnnjrz/8AWqoR5VYHqdhb6zpsrYS8hz7tj+dXUvLZxlLiNh7M&#10;DWXYaTbWUQjHzj/aArSSOFfuxqPwrVCsh7RWksqzMsbSL0buKm2qVwBjPpTFCj+EflTwwHXGKYiu&#10;0Ij4HFct4kuLqFin2Lz4iAQ45wfw6V0eopJcWxjguzbyE8OBmoAZAkaSyiVlQBnK4LHNTJXKTOTg&#10;uH1SMQ3NmY0UjbtyMH8ateVHpp+ciQYyBjJqfUNOvWvpLmGZ2D843Yx7VjXFtqNvLHPLBmAMC5Vw&#10;Wxn061jymiZurcBoFlXOG5GetMa5OGRXBYDpmsybWIlnVBGfLYYBJwatxxiJdwUhm9TnAqWikYuq&#10;Xdx/ZkxV2BA5XPGOM1z638r3y20jK6t0fpt/LrWzdutwt9bc79jFQBnmuPkDpK7Yx+7JNYxSejNG&#10;rm7FrOlJGrPI80jnAQL90D1qrqOv3H2W6jhtoHilXam8cp7/AFrlYFZmHB4rWVU8iJChJPJIq/Zx&#10;TJbfKTaZrc7wqs9zt2RrHHGo644/Dp+NbTw3zQSxz2cxIH3duc8ZzxTNC0BZzO5eLbEqsq4wOc/l&#10;05pmreIpbmH7Hp8bzADDbBnfjjJ9Fz+dDir3RnCT6mJATp8W4oHuJ3zFCASST3P9B3reh8JtcWUs&#10;+otLJfTISSTjyj7c8nA78dvermhabDDZNNNG02qSZZ52biJR2X/GtKa+2lRI58nIjLZ+8cVM6jvZ&#10;GbklpEp6Folgtq8abpeQyGRcHG3uvsc9/Stp9O0xJPNa3jWUqFY7toYAY5HesiOyu5XL2s1ufLbg&#10;yy7S30q0NPv5x5lzd2yFe6/MfzJrpihcyJWextxsjWJIt2dqLxn14qb7fagczLg1SaE7cDU4R+AP&#10;9aaIYwmDqcCuejbc/pmm4p7jU7Ggt3bBGJfI7cU1720RQSeT6VVghOG/4nCcHjEGafPpP2kbo9WT&#10;cf4XiIH5ijkQc5QuL2E6jatCxJM6Aj/gQr2Jjk15I3h4288DvfwSESKQqdzkV6y2QxosK9wJqvIe&#10;DUxNQSjr9KY0cJ4l/wCQpan3b+Rrybxh/wAjRce8cZ/8dr1nxP8A8hK1/wB4/wAjXk3i/I8Tzn/p&#10;mgH5VzL+N8jph8Bi9KUDJ5o7U5RxXSUenfDsA6PMMkYlJz+ArtItoK4lzgg85PauM+HDf8SmcMSF&#10;E3YA9QK7hWBILZPKkgqBXPLcGMUZb1PJ4/z/AJ4p6CPfld2Rz90f400FQxGx8ez49alVyHbrnd0Z&#10;v8/5/CpYhgTG7CkrjOMYpVj3K37p88YNOP8AGvlIeB0JHf60xWIB+UDnr1NTcLmJgqqgqajOMjKk&#10;5NPI3Fd0Y6Y6nFMbaQGMfAHvSLK0qkjGGyPw71XlXLsNueatSj5cbFwBzyfX61UlIBxtGOuMmkIp&#10;TL8rHHbjmuN8UcSW/BwS39K7GYIM5QAdcHNcd4pGTbYGPmbufarp/EJnP7uwOM00cGl2n1o/GupE&#10;s9U+Cozqmpev2b/2Za9bj/1jL3yf515L8FP+QrqP/Xt/7Mtetp/rmwO5/nWMf4rM6nwkw96DSFFM&#10;gcjLKMA+lOPNamRj+Ksf8ItqOenkmvFGtAwDYGD0ycGva/FOB4Zv85x5RzivHYwoOCGZe3ak03sL&#10;YatvGIuZovMOCBjdtqG4sY1KsLgSSMedvGBVpgm4lIgPfrUZU5+VOajkY1KxWFpLDtdAhOclM5OK&#10;rujROQiLGT3A5+laGSD70eS5kD+S59DsNNRSE5Mp25ndysiy7B0B4FT7JYhvVfqGq6iS5JbcoH+y&#10;aJII3HWQt7VaFcoCeTIkKojD0601b6SMExyMDjkEVamtAMBM46kmnLpm75nkH5UnBMpSM0yzTSHY&#10;8gY9QmTW3ZWBMCyC/eA5PDswb8hRaaZOFJt2yDwXIAq2La8CgcgDjcWP9KcYpCbbEmt5yuf7cmbA&#10;4UISD+bCqkY1CMhvNdk5+9x/WtSK1LY3yEn2qyLCMqNhYnPGTn+lVYRlJNqsq7cxqD3Lc/pWjZ6F&#10;FKPMku4t7H5lLtwfpgVbj06bAHzDnshrYttOljHCRj/eUE/yoHYZYaNBbuCL6HHdVTqPqTWzHpsB&#10;AIdifqKW3t3AGZSOOQoAq6ibR94n3JpoRClsiAfeOPepwcAD+tBqIk54NVYZIZMH2qVWqqAzYqwq&#10;80ATg5qdeagVcjGSPpR5CnqW/wC+qYErxqeoFU54osj98iH1zUklorJhWIb1PNU2s3Qk+ap9jUyb&#10;Cw1pfLbasgkA74IpgmwSPK59aQ9eeKbISY2CH5iOKzuwMvVtH+1q0sAjWbGfm4/WuYlvb22k2SgI&#10;QMdeDXYRb0Gx42YE881T1PR0vIyFjPAyrAZIoRabRx6ES3LzxyOr9GA9aTVY1ubEylB5yQeUSOMg&#10;DrWdexPpuqslxE+0jJ5x+Iq9DLa3EDxwTsSyFSrnkD2rnkrSOhO6MiLTgpRYQ0jkAEYA/Wr6Wf2O&#10;OCR7ZnbJBiODke1OibyiirtIixuYnnFV7/VZrxHNtH8sTbnkIyI1yBn6nNNXbE3aJrW73c2n6jZR&#10;wxxtclBGEG3YF65Oe4wK0LLw3Bpem5FwjTz5Ehx8wI7DHbnvWRo1vLP8wYeSDnc2eR7e9dHJPujI&#10;WRUcDCs3PNOTOJzb0M0Jc2SYTjcCOvWoYPLluI4L5JDACf3ifwNjg/rVq4lmt5IzcOsjBSN20D17&#10;VH+6uLpHMu23KZyBtOfbrmlBK92Sh0WgzzXYSLVYGt+vAG/H+e9aUnhMYJhvpl3d2w38sVXjtdPm&#10;jG668ojo27JNI2ipKP3OoW7r/tNjFda1KFPgnUCweLVIiP8AajNPTwVqO4+ZqMQXjBSLJ/mKs2/h&#10;/Uo4d1tNbvnsHPH6VK+la48J3yw7x2Mjf0FDQXK0vht7G2YyawFP+1EP8aSHSn2rt1yL94QBhcnN&#10;WYfDmq3UWJ5reLJ52knP6c0lz4MudmIryEqByzqVxSC5QuITHKkg1KOV4p1jKbMbuRyOa9UcfMa8&#10;kvdAksjbzfbIphkPuAwMA+teuH7x5pXKRHioZehqc1DIOKCjg/FAxqNqf9s/yNeT+Mv+Rnl/65R/&#10;yr1jxR/yEbX3Y/yNeUeMcHxPLnp5Mf8AWudfxvkdMPgMXacZ7U4KafgBMAcd6YSBwBz610Bc9R+G&#10;uBpVwCASZh1z0x7Cu3QYK5EW4Y7kf/qrg/htI39n3I5wso74wcV3IU4XiPoMlnHr9a557lMkGMAk&#10;KPUKM/zNKrfM37wZ9Sn9aYVk8wHABz/Ccj/9VOQYZssoPuPxqGAGRjuIkGccEfX6dKEfKk73OcAg&#10;HP0/z/hQ+MnLpyOwxj/PpSIE5yz7j/dGc0iTAZioAG7OfWmSOOANw4HO6pnUDHznrUbp8q88+pwP&#10;60jQilbHBJ+mapysZJCd2ewyf/rVakjzklj+f/16qSook4NAihO2N2T2xXHeKhiW3wc8t/IV2NyM&#10;scY6etcd4pPzW/II3MMY9hVw3JOdBooOMcUua6UJnqnwUP8AxNtQH/Tt/wCzLXqllcCee5XBDRSs&#10;pHqMnBryv4K/8hi/x0+zH/0Na9MtV8vUdw43zOp98k1gv4rM5/CatLSUorYyMbxZj/hGL8H/AJ5/&#10;1rx4whgMdq9k8S8+Hrz/AHP615RKqAcBST2xTRLKPlYGQc0qh2OGBxntU5glcZAwPYUotZANxYg+&#10;hFMkFaRI9qI49ScEVNFeThCPMcY7L0qCWIZ+Y5P40+OJ5BgMiY9Bk0rDHteyEncWIPYmozO78Mqe&#10;3PNXI7BdmSyOx9RmpBamNiQkf4KKdgKcaSOx3FT6YNW4E3tyuce2aswrt6j/AMdqyhOOB+lABHHK&#10;gA4H41MCzYDMvPXFMKCTGQackYAxwadhg0CSHIOD7UAyw8oXHpin7COBjHtSfdxlmAoKSHLdXnBE&#10;sn51NHdX3JMr4+tRK3o7H2xVmFgGyySv7cAUFFqC6udm5pW/M1YWW5uGCxvJ653EUtnLE7hRaMvP&#10;LHBArTyPUUE3M4Wlywy0uP8AgRNSpaKoBZdzdzk1ZJGcUAimguOhREGEGM8nmrK1AmKlBApiLKEe&#10;tPqCNh61KXHrTAbLH5gAJI+hqH7HFjofzqfePUUx1SQDdzj3pAQtbRE45/OonjjV9oQn3zVn7PF1&#10;yfzqMhc8CpsBAyJ1CkfjSRkFsU4uhH3gPxqNGQH72RRYLlDWdFs9WCi6jPAwGXgivPm8LGHWZLSO&#10;7OEb5SRgngHg/SvT7ieJY8lunvXIX0rPrsMi4EakEkHBIHas6i0GpNGFeaBPHEypIEd22kn9D9Km&#10;0zSfstnLawOklyzfxcBsjp/OtS71SLz5BL5fkCPdu75zXPSaqtrd+aqKYnIZSp6r9KxVyudtam5Y&#10;pDDbtCf3KjkDOAMdaw9XnE8j24lUSLyBmq9z4htrq9aABmVzz7Z9qwri58vUWBYGNvkLDritIxOZ&#10;pnY2Z8+KP7U3myxkFZF649Peuhk03Trq0iUKINq8Feua5fS9V0x7eC3jPk7DgzMv38nqR7VvpC5O&#10;be+t5VPQbwP51rGKRSJl0OLaAdQH0YAUHw+7Ifs91FJntlePyNS/Z7/ZtNuc9mDAj+dM+yXiDJjC&#10;/jmrGRpoup2ykLAD7q2M0kqaxbxhkiukGedrGrhvJ7O3yVlY4xwOBWReeKmhZVbzFHrijcDStNQ1&#10;lrVyn2nIP3m6fmabc63fy2D28qShyMM3PIrNXxM11Bs8zKg55NPvNejm08WzPleDlmpNMCreXF9N&#10;aQ7BKYUIQEKcDJ5r1y9lMKNIpxg145/bUsNtFbxTAJvyVznv6V6trN1EtmWLqMsB1qWrIqI+zu3n&#10;kIZwRjI4q1IeK5iy1KOCdD5i4JwRXQy3MOD+8XH1pK9ijivFf/IRtD/tn+Rryfxf/wAjM/8A1wT+&#10;tereKmU3lo2eN55/A15T4vIHiZv+uCfzNYf8vvkdEfgMhmyu3vmkxtbrmmn1oB5roGj034bE/wBm&#10;3WHIxKvQGu5QAL/rAy4H/wCuuF+GxI02767fNXooPau8R1ZMjnjHQLn8v8/pWE9ygZIt+WJ4Ycj+&#10;dACBiRk556YJ5qTcUcEB+Dg/P05+lM3jfk5YAcZPX6nNZsBdhLECI4IPT6/SmRRsWwE+YjowBpxb&#10;HBiXGCAQT/jSKQG+6vTuoOakRiEDIJDDBOOajcBQPkYDPenswyDtGKjk2kY2/iKLFEDjr8rkkevS&#10;q0sYyRtbI4OKsysC5woAwcnBqtO4y2UGeOhNAGfcxg7iFbp6/wD1q47xOuDB14LDn8K7GcqS+B26&#10;Zrj/ABMQPJAAHzNx+Aq4biOdwR260vv3opSMHrwK6USz1T4KjGr359bYn/x9a9MVgl0hP/Pwf/Qj&#10;XmXwWIGsagOmbb/2da9HdibkqF3ESOQucetYL+KyJbG1nPNGece1Nqkt4iakYTJvMnCgHhcdq3MS&#10;1cQR3UDwTIHjcYZT3FZn/CLaLkkWEQz9a2KKQGOvhTRUziwTn3P+NSjw1pAHFjH+talKKYjJ/wCE&#10;Z0YnnT4T9QaUeGdGA/5B8P5VrUtMaMr/AIR3SB0sIfyqQaHpoAxZw8f7NaPFLxQIzv7F00/8ucP/&#10;AHzQNF00f8uUH/fArRpKAKQ0nTwOLKD/AL9inDS7D/nzg/79irdA6UAVRptjj/j0g/79ij+zbLva&#10;Qf8AfsVbopAVP7Ps8YFrB/37FC2NqvS2h/74FW6SgCEWkA6QRj/gIp3kRY/1af8AfIqSigCLyIf+&#10;eSf98ijyIf8Ankn/AHyKlpKYDPJjA4jT8qXyo/7i/lTqSgBPKjH8C/lS+Wn91fyozTs0AN8tP7i/&#10;lThGg/gX8qKUGmAvlRn/AJZr+VHkx/8APNfyFOFBPNAxn2W3/wCeEf8A3yKUWlt/zwi/74FSZ4pw&#10;oEQS2FoyEG2iP1QVUOlaeTk2Nvn/AK5CtQ8iq3QkUMDPOh6S4IbTLRgfWFf8Kjk8OaIwG7SLE46Z&#10;t14/StSkbkUrDMhfDGhK+9dGsA3qLZM/ypG8L6Czbjo1hn1+zr/hWtmikIzF8NaIn3dIsR9Ldf8A&#10;CpF0HSE+7ploD7Qr/hWgKWmBWTTrNF2rawqPQIAKcbK2Ix9ni/75FWKM0AVXsbUQN/o8XT+6Kzd0&#10;qxuqwwMgRRF8q5HTPX/PFbUh/dP6YrGEt0ttIYpYMmIeWpKjBwPX8eta0xCGa5jUiOC3X90Mcr9/&#10;vVqN42ggM4g83d82AB61Jbzxm3jM8kIl2jeAw696Waa2/d/vYvvj+IVsFhtxNBFDI4EfyjI2gEn8&#10;Kpw6k009kkjKu+MtIrAZDcce2AFUHKvjzUk1ykWoxOJEMZRkILDG44I/lTbG6Bu7pJmXO/KlmXGM&#10;cdKBovl7fH3ovzFRyS25UgvEfxFSNNBj/Wx/99CoZJ4AvMsf/fQoaQzifFzAyQbcY3nGPoa8u8XL&#10;nxGf+uCfzNen+K2D3MG05HmcY+leY+KznxHjGP3CZP4mvNl/HN4/AYppB1p7LmkAwRWxSPTvhqoG&#10;mXWRnM6nvxwfSu5IXJCpGCeh5FcH8N8/YLvuPNXvjsa7kq208RnI4O7GOfrWE9xsn3Et8pCnPYD/&#10;AB/z1pqt+8BEg6f3APanOjFzyBjrjnj/ADzSDIYlmjOAP4PT/P8ASoYCEhWOGb5c8A4FMVtuMtLh&#10;Rjrnj8f61IQob/WJnk9Opx7/ANaiICnCuxGONv8A+ukMxWbI+8/Ge9Md8AcsDgZ5qQjjPmHOeuf8&#10;/nTHwI/v5NIZBJKx4DMCMnr3qpMcd3GOOT0/SrUq9t/rznmq8q4bG/PFAGbOcM2GbGOpP41x3ils&#10;m3Gc4LfyFdpcKQWAf+H1FcZ4oXP2cryAx/kKuHxEtnPYFI3TFKRg0DlgK6Aex6j8FP8AkOX/AKfZ&#10;T/6Etek2j7tWlB6Bn/nXm3wWBGuXvvan/wBCWu2t9Tit9XvvMbBWVlH/AH0aw/5ev0M5bHVggrkH&#10;IqmthAsnmQ5STn5lrOGuWxbhxkccdqk/t2ADg/kK2UkZGwhYKA7AtjkgYzT6wv7eiPr+VK3iCEf/&#10;AKqLhY3N3vS7qwV8QRE+n4Gn/wBv2/dhn3ouFjb3c06sA+IIB/EKcviCD+8KLhY3qM1iDX7cjO4U&#10;q69bkjJ607hZm1z60Vkf25bd3/Sj+3Lbru/Si4WNYnBpQaxxrlsecn8qBrtvzgk/QUXQWZsUmayf&#10;7ctz3Yf8BpRrNue5/KjmFZmtmkyKyjrUAPGT+FN/tuH3/AUcwWZr5pM1lDWYMdT+VNbWYh6j04o5&#10;kOzNbNGayU1mInkH8qP7Yjz0I/ClcOU1d1Gay/7Xj/ut/wB80h1iMc4Y/QUXCxq96cDWQNYiIzhv&#10;++aaNbTcAQRnpx1p3QrM2s0oNZH9sxj+F/8Avk05dbtyuRu/KndBqa4PFFYw1uIjIVyPULUn9tQk&#10;fdf/AL5NO6DU185pwOKw/wC3VH/LKT/vmpI9cjb70cg/4AaLoDbzUMg+bI71nHW4c/dk/wC+DTW1&#10;mJlx5cv/AHwaLoLF8mkJ4rN/tROyyf8AfBpjauvQI5P+4anmCxpijNZH9sEniGQ/8ANINXJ6wyf9&#10;8GmBtDpTqxhqz4z9nlx67DThq7ZH+jzf9+zTEa2aM1mDVGPH2af/AL9ml+3v/wA+83/fs0AX7g4t&#10;3P8AsmspDeMmFnVYWiXZ6qcD0/Go73UpBbORBP0/55NVUX05sojHJKoMKYURvlTgZBwPY/nWlJ6h&#10;YuBr/IBuBjygv3T9/uelWYpGjtolnkLyB+W2nnn6VVtdVRbeNJRcPIBhmEDnP6VPJqMTRgqk5IYH&#10;HkP6/StroVhi3d0t1dhom8oKTEQDy34j/OKs2l0XgDTRmOTJyoUn+lZD305vd6i42FJFAELjBOMZ&#10;OPY9KspqUq2QQtKJgMbhbyMD79KOZDsahnjxn5v++D/hUEs8eP4v++D/AIVRttT2o/niZiWJGLaQ&#10;df8AgNRSa1EMjyLv/wABpP8A4mlzILM5nxUwN3bFe8vp7V5p4pU/8JKSen2df5mu68TXl1Lq1uyW&#10;dz9nEqsZGhYKB3zkVwvi3/kZBjp9nU/+PNXny/jnRD4DKbAGaYeopHNJk+tblHpPw5x/Z96C5XEi&#10;ng+xrvGXBYGTd1PyjGK4T4bEjTr1s8mROwPY13e/5R+7Zjg8AgZP5f5/Ouee5QHygwHzHjggfrSj&#10;aSVGc444wf8AP+elPMnzZAcd8s1NZtzDAUgjndmoYDiuWy0TH5jyP8/5/Oo125Od3A7ml5yAUQck&#10;DGfTg8mhd3OACu3oFz3pAYfHXBznNMfpwpp5IIOANxOelMkYbeduM+lSUQSdCdrcjBqtMvTg9Pu+&#10;tW5DkEYUZ77faq8pAPAHTvQIz5wAWyG3c/56Vx3iZTmAYIwxz+ldpOBuYcHg9q47xORtiwOMnP5C&#10;tIbks5x42wcjH14poIGDikJo9M10IDrfBXiiLwzdXU7qxM0JiBTquSDn9K6H/hYWn4+5eEDoCR/j&#10;XmPtT1VWDdBgfnWc6MZu7EnY70ePI/MchZ9rn7vH5danfx7bCNABeeav3icDP615zgdsiggUvYQH&#10;zM9Kk+IFr9mZQl2HI65H+NVIfGthuHnfbCOM4wc/+PVwI6UYHcc0vYQDmZ6ivxE00DAW+446L/8A&#10;FVHN4/0qb7y3hA9Qv/xVeadVYnvxQqdTmj6tTDmZ6RH8QLGNQFa75+8CAR/6FVlfiJpoTk3vvgKP&#10;/Zq8uCAnJNLt3Nx0o+rwDmZ6gnxC0tRgG/PbGF/+KqT/AIWNpYwMXw/Bf/iq8tk5PQDihXIGOlH1&#10;aAuZnp0nxD0pip2XrEHjO3j/AMeoj+IWlxksI74E+hH/AMVXl7g9zkUwEjpR9XgPmZ6o3xHsDgeX&#10;fbcjHK/409fiTpwzxfevGP8A4qvMrHT7rU5mjtkDFRuZmcKqj1JNQzwmC4eFipZG2kqcjI9D3o+r&#10;0w5meqf8LM0/J4v+Pcf/ABVKPidp/TF/+Y/+KryU9aUn2o+rQHzM9aPxL05hgrfYz3K//FU2T4mW&#10;ODsW9PsWAx+teTdO1Jml9XgLmZ6qvxLtwVyb0gdfmHP61KfibY5GFviP+uoH9a8lyaUPT+rwHdnr&#10;jfE3TmTGy99/mH+NRJ8TbVfvJe49pAf615Tv9qFfBp/V4BdnrH/CzbPkbb7HT/WD/GmH4j6dvDCC&#10;9/CUf415YHUdRk05WG4ZGR9cUvq8BczPWF+Jtgp3iG7DEYP7wf409Pinafxw3RPqJBXkpw7qI+Mj&#10;+IgDP40wNwKfsIBzM9gX4rWg/wCXa6I/66Cobj4m2s7RkQXC7evzg15MHIOQakWXaUYdutH1eAXZ&#10;63F8U7RFG62uCw9JAKnHxatB/wAutwf+2o/wryGaRSQV5J6mkWaMR4MIL/3tx/lT+rw7BdnsB+Ld&#10;p/z6TD/tt/8AWp3/AAt20yuLSb/azKP8K8Z3knjilD+tL6vT7C1Pa1+Len4+a0uB9JAaD8XLAAYt&#10;JvfMo/wrxlLhlQqpADDaRTS+PSn9XpjPZ/8AhbdkcE2cv/f6nN8WLB+Gs5dv/XbB/lXigcnqacGN&#10;HsKfYR7P/wALY08OT9mmz/18H/Cnn4t2B4+yTf8Af8/4V4rkk06NsPzkin7CAmj2aX4r2EkDRi3u&#10;I2xgMJz/AIVXi+KdqrjzVnZVAxicg5/KvImcsSPem55p+xiK57ZH8WdOjOWgnPbmc/4VJ/wt/Sv+&#10;eEv/AH9P/wATXiOeMgmm9KPYwGlc9vf4u6UVI8mXn0mOf/QarW3xW0yEENHcOT0LTk4/8drxjFB+&#10;tHsohyntMfxb01Cx8iU/W4P/AMTTZfizaSFSkZXaSSBOw4/75rxfj0BoBH90Cj2UQ5Ue1R/F6xKM&#10;DbyFgOP3rH/2WqsnxXtjgmC4Un0uGHP0214/vIOQSD7Um5j/ABH86PZRCx7CvxchQf6l2H+1K3/x&#10;NI/xXsSFxayBgc5+0v8A/E15EksiD5XYfQ08TMfvYP1UGj2cR2PYP+Ft6bLbtHPZM6lcMPNYgj/v&#10;mvLfEV9b6lrzXdqpSAxBVUtkgAk4zgetUjJlSCE5GOFApjIMDH86I04xd0gsIQCOetBXmlxzjP4U&#10;dMVoI9J+G6r/AGfffcOHQfN9D0rucLnhIwT6Hr+tcH8OFJtr0BY2BZM7j7Gu8Kkf88xyQMc1zz3L&#10;HM20/fUHHXYP8+lIxG4t5ijI4wmMfpQ+FIJkAzjsSfzxz/8AXpWwXx5i9P7v/wBaoYDhKfM5duO4&#10;bHaojJkkbnB6881J8u8fO2cnn04ppZV/5avnGM0gMTedv3nxkdKY7koQGc5PrT3IAPLdQPTikZvk&#10;4c+w9KkZAzlsku+PrUEz7gvzvwvrU74I++wJPORntUMq5CncRxQBWkOc/O3TrmuN8YcLbcseWJyc&#10;9q7J1O4Dd156dK5jxLp11fi3+zgSEMd24gYzVQ31JZxWwsMik8tsdDW5J4fv1bCQjA45YUz+wtRB&#10;wIQT7MK6eaJJjbCOuaVV+U1qtoupY/1Ix/vimjRdQxgW+fT5hRzIDLK0m01qf2JqI5Fuf++hQdG1&#10;IHH2c8+4p8y7jMzacjFBBx0NaY0jUcZ+ztnt8wpDo+onj7M35ijmQIzenakGe1af9i6hnAtSe3Uf&#10;40n9jalnH2U/99Dj9aXMhlAE45HFKDitD+xtSH/Lsx/4EtIdH1E9bVvwIp8yEUc55NJuAUgjn1q9&#10;/Y9+VJ+yt+YpTomokZ+z8e7D/GlzIDNLH8KmazmWwW9+QxGTy8BxuBxnp1x15q5/YWo4P+j/APjw&#10;/wAaX+xL8qMxHgdMinzIZlhiOlBBA4rTOiXuf9Q34U3+xb7P/Hu/NHMgM7PHem5JFah0S+P/ACwI&#10;+pFJ/YWoDgWzfmKXMgMzNAyTwCa0hoWpFsfZJKfHoupKQwtiMjjJA/rT5kBlZpa0/wCwdSOCLYnP&#10;+0P8aT+wtSAz9lbGM/eH+NHMgM3ilwK0Dot+vW2cU4aHqBXIgbH0pXQGb0pQM960v7Dvz/ywbH0p&#10;Tod+o4t3PGew/rRdAZwAowBWgdE1TIH2U88feX/GgaHqeQDaN+Y/xo5kBnhRQBWmNHv/ACyGs2yO&#10;hzSf2RfFSRZvx3yKfMgsZ+BijGavjRtQBINsw/4EP8aeuiagQSbdgR2yP8aOZAZ2KMVf/sTUuotW&#10;P0I/xpToupgAmzfB+lHMgM/HPWlI/Kr40XUzz9jkxnGcUv8AYupZwLRzRzILFAClx71of2JqK8Nb&#10;8+m4Uv8AYepZANvg+m9f8aOZBYzulLzWl/YeoAf6gA9Pvr/jSDRNQY8Qf+PD/GjmQzPx8uaOa0xo&#10;l75bfuhkHn5hxTRo17g5iHvyKOZEtGcKD0rR/sW8CZ8oEf7wpF0W/Zci3OP94UcyGZ4pQSvRiM+l&#10;aP8AYWo54tjzx94Uv9ganjP2Zvzo5kBlksx+Yk/Wg1qf8I9quf8Aj1OKX/hHdUzg2hB/3hRzIDIx&#10;mlx6VsjwzqfGYACTgAyL/jTh4Z1IkYij5/6ar/jRzLuBihcn+dOKkVsDw7qO4qYowR/00FKPDuok&#10;kFY8j/bo5l3Axe3SgehJraHhrUWcgJHnn+MUn/CNaiOBEhHu4o513AxipB7/AFp/bj8a2l8K6q4U&#10;+XGAOnzjpVmPwVrExLIkJwf+ego549xHR/Djb9kvyw6NHg/99V3LIhzknqQOPeuW8FaJfaLa3Yvo&#10;grSFCnlSA9N2f511m/ngtxnOXrCT1HcaVBcYJ6+lOA5yY2yB/Cefwpd+WXABPoSeeaXJyMIuMe+a&#10;kYhHzfcYY9TimEEL90cdfmA/kf8AP509WyBhcMcnG3IpmJD0XGf9gc0gMUjAYcHpimkbkyQCPXNS&#10;HJXp6dV6U184Py5HThakZE6cjoQOnNQyqcDJ4we9TsW7heeOVqJvuqMLgD0piKzL8wBHHsagMQLc&#10;qCQRkA9KuOrlhwOeQNtMA2ncFXPH8IpAU/JyeOfTBpvkAEnaOTxzmruwg8AHtyvNN2Fn4UZ3dwOv&#10;NCCxQMAAPAPH96jygd3ygZ9//r1fWN9pBQe+EpuxsHbGPrspisUfJBGMDsM5/wDr0vkjjAHHvVzy&#10;SM4T05C5704Rt8pZOM9dtAykbdTg7R75aka2+YrsHoDn/wCvWgYm4GwY/wB2gwuWOI8dei+9AWM/&#10;yF8zG0Yzng0vkfvCdg6dc9KviJxIXMbA57il8mQE5RsEZ4X8KAsZ4hUntjpQkKg/eXjqSK0RHJuO&#10;QQScdKEjkGFycfWgLGesIw/IwQf89KDBkN8o7cBa0VjkHHJ5P8VJ5R2+pyP4qAKJgIQ7UyvsKDbH&#10;5SFfgjotXzCSGXjr6ik8noCwGSOtAFDyHHVWPGfu04QSZU4c57dKttAQV+YDjpTvJwQC6hux5oAp&#10;eQ/GQ2OOMjjnFJ9mYsTtOM9dwq95I7spAAzjvTzARKDnoey0AZq2x3Nx/wCPClNv8pOUPXqT/hV9&#10;bf52JZsDH8OPSjylOcMSee1MCktqG5+TPXG40C1AXJ24xgYyaupCOBhvzAoSAFQVDHqOGH+FAFE2&#10;4ZSfmB3f3acYF24JOev3KvtBxyHxnPWmm3wOV5J79v8AP+elAFHyU7Nlup+T2oaBGYAZ+76D0rQ8&#10;hN2Nq9COpprQAOPuDI7ZpAUhCny/X0FAgXcPvYyOhFX/ALMN6kovAP8AEcUG3UsuEAII/i6/rTAz&#10;xCOV+fHY7h/hThEobcN4wePm6GrvkDf90cnt/wDroEOGbIAIPcdDSCxQ2KQfvY+vvSqibTxxjoTV&#10;5Y9u4ZUcE52+9KIl2H7gG3H3BTCxQMaFRhV9+T0z0o8pWJOxQM5IBq6I1EfRM49P8/5/CneXkfeH&#10;3smgCgY0VOEGDz1NBRQ2No5H+f8APvWhs3IBuYdsA9uaUqmT8z+vXPSkBntEu4/KvOOMUhiG8fu1&#10;JHOdoq+VBYgM/THJpWQbsZP3T/nrQBQWH5lBiAAPGFxQsDFz+6Ydf4aveWrSBtpOcevI/OhIh5p2&#10;o3fAoAqCN97EI45OeKTypGUjbJ930q5FD97Kty2c+opfI2hhsbkcgj3oGUhHKwYAk/U4pFgl2dMg&#10;jP3hnrV7y1APH4ED0pVjULwo6dDjpQBR8hwnQD5um4cUGJ/LB2+4+bmr/kgnPlrwx5zSiLCAbO2O&#10;tAWKP2c/7POep60pgJyu5RwD3rQK8nBHX/JprKeu4cDoe9Aii8R3/wAOB064/lSra5PbkjtV9o/3&#10;qlimOeMU0RjeN20EkckUAUfs4DZJY4z/AAf/AF6UW2XbLMMEfw//AF6uIihxhzj2FPX7zfOfveh5&#10;pAUxbD5hlsD6dM1JHbRk/dY4GeGFWVjLAg5I46fWpooc53RPyO/0phYbBCAiMYiM9MnI6/8A1/8A&#10;Oa04Y/lHyx4Dnk5qCKEooIUrjpuPB5q2ikoABHy3c84H40wJjnA2hADzwc/1pWfG7DDPPO0dc/5/&#10;yKYEOF+Ufgc46/4U/GeBIuCD26f5/p7UAIW2/wAQO7/ZoaRtxIY9OxxSMwAOZF6D+Hr0oIUOcvjs&#10;cYoAcJAHB3yd+/f/APXUe0E7gpfjvzTwVXo8mMHAppZCCTk80WAx/wDlmRtJyRk0xlz0Bp/ylCfy&#10;IppwFIJIyecHrSGMbsckDHOe9Rn7oBLYx0qXjHOeKaQCRls0ARlfnz8x+nekVcMMkk8Gn87h83rT&#10;gBnIbsKAIiB15yDnjNCKC2SrEE8n1p4Rck5NKACWAY8c9aAIti7SNp6c9aaBhTkEe34VPgFc5Occ&#10;c0Misp54wM/5xQBBtITIT09eKcBwBtIHQHBqQqAnLZwO5757cUpGAOuPagBjjIUbT7CmupHVDjB6&#10;1KwGAWY/n0/SkKoR1ODkcmgCIId/+rPv708JnI2E8Y4pdoDHIYd+tPRQQQN2CMAHvSGRhFPBB54J&#10;x7UqAADIpwC7znIye/SgLHknJz2zTJGKCBzt9ulIVOziNc+3epcLtPH09APzprY2kFR19aBjWBKk&#10;7cc9jSlc425zx36f5/pTmChWyOc8ndTwEDrwTjAzQBCwYYG7GKXDqwG8Zz39aezKcYHQY6ijI3AY&#10;BBPTFAEZUtglkOB2FAXDHLDj0FSrkc4B6dqXByQE6n0PFAEX8bYY4znoKQDPRz3zmp9xZmYblPFI&#10;N2Wy3Iz1oERKhJPLdKjMbmMBUfGMcVYXcw/hwPUikUMV5XpngGmMjAbaBtbr9KVo8Jj5uTUpUhup&#10;4PAzSEHywc85wQSaAGGPuQOff2pPLww+UEAf3qlOckFx1Pf2oI6Dg8e9ADCmdgCqeCPvf/XoWPkE&#10;IuQR/FUmBuOSPrQB83PHIzSAi8vJIC/xdqXZ8xK4H0p7BVO3JB+lGFyQWyc46UwGiLhsAAgZPy+/&#10;XpSeUVVgSmMenJp6/dI/2SOR70DqRx09OaAG+WQgGYxn0pDH8q4K53Z4/lUhGV4QkY9P8/5/ChlI&#10;QHy2xuyKAIzEQg/eDrjI/wD107yzyfMODnt/9f8Az+NPZMJ918ZFBxwMNnnNADGTDZMh6e3+NBXL&#10;438Y/SnnhjyOnegqB2Ukj1oAjEaFuZOMjoOlMES7gxPPOOe/5VOEzJjYpOeMt+tIFGclBjkYzQBE&#10;seXwS3B9adtBXq3SnDbvbIwQeppwChSd2CB2HSkBGFXBOWHHAP0oVY/JwRn8SP8AP+fapQpC8FTx&#10;npSkkoCNpyOuPf6f5/KmBGyrjhRwfU0bUKglec+pqTawHRuuRgUpU+WMbuf9mkBG23d9316gGlKq&#10;zfdXPYYGKkZHyOSOvakIIPHOQDyaAG7SGUiMEgddtKN/mZC4HGMZ6U/Z8wOM4GMbwKUx4k4yDwOG&#10;FAESllkyCc5xg8Uihjn5889Rx3qRI8NjcOh705EwSQygk+9ACIGG4HZjHPSpFQ43ZAPTJoVFwBhD&#10;uUdM+tSoqhSBnnjAXP8AOkA9NqxACUDGPX3qYEAD94Wy3Tmo1K7QC2M46qPX/P8Ak1KCMYGTg9sD&#10;mqAMqE/iPsBmlO3BILdx7UM6hRw4BwPvf/WpWcYKgk4yOT/n0oEIvVtoYkjNLyByhGR16Ux33SYC&#10;gjvkmlLEklgv0oAdlg2V47daazcNwnPTB/wpylsqMDPPQUu9w2RnpxhaAMfaOBgbeuKYTjIwMf8A&#10;6qKKQDNwHOO9IxGPu44oooGDYDcgdBQOvQc0UUANLqGHy9c/TpSllyMoDyM+9FFAAGByoQDj8uaT&#10;cGxx16frRRQAcbVOMZA704FQUBXkng5oooAXYhVfl60LtYEBRxx+tFFAxWQGYAY5OBS7Nsw4A4/p&#10;miigB5iYFh8ny5Y8ZpVhcEfdPTGf/wBVFFAhDEypuJXBz2/z6UyRdh2E98YoopgIX3Jjewz83T6U&#10;8kHqx/yB/wDWoooAGXBALseDTd2AuSce34UUUgG7o+OGxgccUm5QxyG64zmiigCRU/eFRySR1P0q&#10;TyGIY/LgHBGT64oopgH2cFWwB93PU+9MC5AHsQPwFFFIAGHQsDjPqvNGVYDv83OVFFFACsFDHd8x&#10;/wB32oYDzBwOlFFMBQVbDDjn0FNJUMv3u3Q0UUAIHUSMPn4z/F+FOEg85gN/X+970UUAO/gIyTwM&#10;ZPvRjCM20YOeMn3oooAaBmMkqOuAMn/PelcBQhIGWYnvRRSGRkhgRtA/E04OMnjBIJ6UUUCHtnd2&#10;zgc7R0pWU71ztyBgnaPrRRQAgZlcD5eO2KYrDIOPWiimAobDMAWBHJIPpSxyMVYhmBC+vvRRQA4b&#10;8D5zjGcZ+tMZ2G7PReev+fWiigQ8Deqj3P8AOhU3RnH8Izz+NFFIZKIHYAhgMk4/z+dK1s5AJZcA&#10;f1H+NFFACm2+Yg7fu5/rUciIhwWPXsPcj1oooEAA7OcHJ+7/APXp4UM+NxyWx0xRRQMFaMK7FW2h&#10;QOD1qdEQZIUgdD83sRRRSAlCfu/uL07kn1/wqRl8tAwRCM+pooqgIyxMYweT6j3qRmPzY2gbum0U&#10;UUAKEYt168VH5hBOWfoQMGiimIUMGIwXzz1NNVkZeFNFFAH/2VBLAwQUAAAACACHTuJAMPD7hpxH&#10;AQCNRwEAFQAAAGRycy9tZWRpYS9pbWFnZTYuanBlZwAAgP9//9j/4AAQSkZJRgABAQEA3ADcAAD/&#10;2wBDAAgGBgcGBQgHBwcJCQgKDBQNDAsLDBkSEw8UHRofHh0aHBwgJC4nICIsIxwcKDcpLDAxNDQ0&#10;Hyc5PTgyPC4zNDL/2wBDAQkJCQwLDBgNDRgyIRwhMjIyMjIyMjIyMjIyMjIyMjIyMjIyMjIyMjIy&#10;MjIyMjIyMjIyMjIyMjIyMjIyMjIyMjL/wAARCALwAi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LaOv61IF4oUU6gBMVjeI7Jr3RriErkhd&#10;6t7itqkZQylT0PBzQB5d4CvksdYkgk2r5wKZPHIPFelCRJJSgYMVGfw7V5JqtsNP8RSxgfLHNuAx&#10;2zn+Vej2kE5VZ8xo7/OSi8gHoue/1oJNSXbJEQeRnoKAhji+YnGfyFR2O2XfKHdjnaVY/dx7VcIy&#10;MUwE49Kjni82JlBwSPlOOh/zilJMOSSShxx6VJg+lIBsGDApxg9x705hgcdajRvLmKEfK3Kn37ip&#10;CoBzzSAVuYzjg4oZgqZPPbHvSSSgKeCf60gB3B5BhiMBc9KQEE1swhkZXJJQ5U9DxXzxfW4N7OIy&#10;rAucjOCp+lfSErARP/umvmrVyf7Susf89G6fWrgr7mNXZHTfDfd/wmVtxgFX57ZCnivcTgdia8D+&#10;HLv/AMJdaxiZogd/3e/ynivdo52X5Z1CMehHINOZUNht7EJYNjKCCw59ORz+HX8K4bxd4G/tMS6h&#10;YN5d+q5ljHAl9x7kV6Eyh1w2MEYqNow4wW2uvRh1xURdjRq55V4B8RXdrZSaZLHJIluGYgLlogM/&#10;pk13Gm3aanrm+LJhtLcICOhZsf0rz7xgbrwn4xGpWJEZuBkgHIJPXj0yK7rwraz6do8V2wLx3h86&#10;VAOYs9Me2MVpciOmh1PSua8U77A22tW6Zktn2Sj+8jev+e9dICroCpBUjgg1U1G1ivLGa1kXcsi7&#10;SD/n6flSLJLCU3Vqk/G11BGPcZqyR6VzPg+5e30uXT71wLiykMbAn+Hsf8+ldRSYFaT/AEdWbbmL&#10;GSOpX6Vm273GqSzBJB9hSTaM8mTHXkds1oajP5FnIyjc7DYg9WPA/nTNMtI7Cwit1XGwcgdSfWkB&#10;BZQqLq+JjVT5oX5fTaKs5ZW2tkuvRiOoqnGZJJ9QiTCsZhg/8BU1HcTy3emslowWSNMtI2SFI7Z7&#10;mgDZQ5XNNJYHBHHaq9jHdLYxrPNGXC/MUXr+ZrnvEviWz0kKEnea7BwEVun1oA1NT1CGz1Kz8yYK&#10;r7lKjktkZGB17UW11fXE00wsQpACxq8gBx1yfrXlN9qOs31//aC295LMrK6skeAuOmOK3v7Z8a3W&#10;nxyR2LW6pHseWRdu7jr/AFp2FzHXX+u/YpUa78iOCN8PtmywbBwMVxPjvx1aF7aDS5PMnhkEpmQd&#10;8dKx5/DjzWNvqWsasGgudzmKF8O2CB1OR3rXjk8OeEdHZJLWGfUHU5JYSk5HA3dBxjp71SViGzlN&#10;YvNV1S2g1TWJ8btzwwggtnI5I7Disa20rUPE95JJZxqxX5pRvACc9fatvRvDWoeMJ7iWMG3sVO5n&#10;9T/dXPX+ldvpnhux0fxTo/2dVS1ubJiQ3/LRuoB9TyOfaqWhNmyPQPh7o506NZopbmROZJ2OFZvQ&#10;DP3R+tbY8J6Bp8EjR6aj7v3e+QFjn+6ATjPvXTSX0NvGuTjcvAVSQWA4H1qrpyzzh7i6j+cEhI+y&#10;8c59+1Q5miikUtK8KWNuUlmtbdpAoUDyVwB2B9T710kaLEgRFCqOiqMAVD5iW1rvnkVQANzE4Gay&#10;rHxANUvnisod9tHgNOx4z6CkUbtB6UUUAMkhSZCksauh6hhkVm3HhnR7n79jGD/0zyv8q1qKAOY/&#10;si90W+NxpatPbMu1rd5OR7jNK+uap9pXGg3OzHz+57V0uKMcUAYZn1+7AWG0gs1P8Uz7iPwFRP4Y&#10;lu2L3+rXUknYRkIi/h3rocCloEjnrfw1cRKUfWLkxE5KooQn6mrth4f07TpPNhgDS5z5snzN+Z6V&#10;qUlAMQ9agmtxIRIh2SjowH8/arFBFIZBbTefCHK7W5DD3HFTVA9qu4ujtG56leh+oqMQXK5Au+vO&#10;TGKYE85KwucchSf0pI02QRqv8IH8qot9qt7AxSqJWxt3hsZJIHSrZmkSPJgYgD+Eg0CHEfvBx170&#10;vKkj096ha6gk2qJFyfcZFQyX0cW52dX44CnJPpxQNCIWkuGgBPkw9TnqfT6Vab7hA6EYqvarIkYC&#10;xEBvnJY4JJPerQQ5yx59B0FAB3NJntTsAYHrUJlUswBGQcYzQA7OTj0p1NRNg5OWJyaZcuVQIn+s&#10;fhR70AK7EyiNev8AEcdqkxgYpqJtHqT1NPoAaRwa4+/4v5x/tmuxPQ/SuQ1JcalP/v0AdeuMZpah&#10;tseUApJUHjNTUigoooI4oJPPPHFoItWS4xgSAZPvXYaDci70W1kGCQu0/hxWP46t/M0uKULna2Cf&#10;rUfgu5nmsJrYEKqkOr56A9sfh+tJbgdLAC0W9eH3Nz6jJqcTLjDfK2cYNOhiSNNi8YqG8s0ulUEY&#10;ZTkMOoPaqAmYBnVeoByakHeq9qXCbJiDMPvH19x7VaxikBWlR1XeDkKwJB9Kk3bjsHcdac2GiYMM&#10;jHQ96o2pLsYI1VVjGyQ9Tn29ulAFhJo95YsAifKCfWldvMMZjcqMgjI/z61N5cYx8q+g4p1KwEE/&#10;yWspbrtOcfSvmnVTtvZxxncTX0xdY+xzf7jfyr5n1iNv7QlOTya0pmNXY2fh6V/4TTTwwyN5/Pac&#10;frivoLaCORn1Br518COYvF+mknnz1H619Fx8huOAeKJ6MdMiKNB80QJTumf5U1rmIjzN4BA5DcHF&#10;WjxzTWjRhhkVh6EVnuank/xZgzc6fdjmNwRnPGR/+uvTtLkWfR7OVAoSSFDhegyOlcv438NXWr6S&#10;tvZhCkR3pG3UHHRT7jPFUPAXidUtBouoMyXEJ2x7u/J+WrS0J2Z3DxvAXktsY/iiJwCfUelL9m83&#10;bLMTux9wEgD6+tTbfmUkEgcnmnqwY4x+YoKObmt4bXxjEBEojvrcq4HQsvP8sV0flMuAr4HYEZrC&#10;19hBqmizEZP2ryv++hit2WZYomkkOEUZJ9qAM25gkvNSSLzmEcOJGKgD5uij8s1oxRJEm1fXuf61&#10;V06NhbmV/vzt5h9geg/KsvxL4nh0OMQxoZLyT/VxjmkAl/fx2ur3NiJlhmuI1YOxACDGCfrwKoTe&#10;LND0uy+xxSNIiYBCdcHr+NZlp4Lv/EF4dU125eAuPlgjOHA9z2rf0zwloun3shhso38sAZm+chx3&#10;5/CkBy114k8Rayzx2MJtLKV9ouJVIVR7nHFdT4d8JWOnxC4uFW7vT96d/m/Idq6GVYYoMSGNIunP&#10;ArjNU8XaJoaSR2M3+kA5EcR+Uk+3SgDtWCBNrAbfQ1xes674ftNPnhuZ2fG5TFE7DeSSMcGuH8Re&#10;N9Z1qKEWUMqYOP3ION3I/Gq2ifDzUdaMVxqV+kdvLnKxv5jgYJ57D9TVpEMxtS1qOcw2unQlIk+V&#10;Yt5kz26np+Fdv4X+G11qDR3/AIhykXBS2B+Y9/m9K6vwx4O0rQZLiOG0DyHaftEqBm5HT2/CuriO&#10;UAZuV4PahsSi+pk38NnpmlTxhUt7dkEahRjbk44/Oub8aXoFhY6lp23Gnzgl+ANpGCB68Vt3Fp/w&#10;kGplZBjT7SXdu6+bIB0+g5rE8Y63pFjFFEqpd3ayZWPAYKfp9cUJ3ZRv6ZJb3P2a4DPO7RZSUgKo&#10;HU4FO1TX7HTIPs8JEtyTtSGP5iT36VwHhTwp4g1BVe8u57Oy5ZEB5wTkgDtXpWl6Bp+kqDBCGmIw&#10;0z/M7fjSaVx3OcGiax4hdLjWZPs9oWBFmp5YehI6V11rbQ2dvHBbwpFEgwFTtUzAgcdSaX+GpGJR&#10;S0UAFFFFABRRRQAYoHWikzg0wFooooAKTNLSGgBBzQRTQ3OKdQBUugWmt4xj7xfn2HH64q1jiqM0&#10;qtqKxq5DLEWJHbJH+FXGJRfm6eopANaKNuTGpPqVFV5QhnjgVQOd7AKOg6frVrPzdcjGahtxveSY&#10;kkMdqg+g70wJ1XAoPSnVFJKsa5Y0AMmPRFPzN+gptvGkUfyqBknoOtAjKRu7DLuPmx29qfGQI1wM&#10;DFACSsI0Z2OAByarW0bzObqUEFhiNc/dX/GkkP22fykJ8qNgXPZiO1W8bRigAAoxS0lAAelctqUb&#10;f2jN7tn9K6k1z2o/8f8AL9R/IUAbTsYSXRSVJ+ZR1/CplO4Z/n1p+BSlR1pFDBwadmmMNu5tx6dK&#10;WJQ3zFefemKxmeIoRcaJOh7AEVy/gS5UXZhBBV1KnHqK7u5gS4tpIWAw6kV5noONL8RpGmExPsb8&#10;TiktwPTlPXNPOMZoZNy43EfSmFTswTk0wGXFv5ygqxSVeUcdqjE08KqbiNCMgF0PH1xUwk52MRvH&#10;ShgsvmROM5GCPUGkIFYB2JPy9vwplogSEN3clyfrzVRJR/ZbwAnfE3k57+x/KtAghAA2wKBj2oAf&#10;gFvpxQSMgDnNVrAtJAGdW3nru61IhZpWO0qAMAnvzQMLzixnP/TNv5V81auD9tc/7VfRusXS2mlX&#10;LsCcRN/KvnDUn33DN6nNaU0Z1XoSaBaTXuu2lvbSLFPJIFR26Kc9a958P6808Vxa6kyxX9q5SVfX&#10;0YexrxfwFGJPGemA/wDPUN+QJ/pXuk2hWF3f/bZYiJ8AEq2Nw9/WioTTRJJrVmB+7Zpm7LGpJNLD&#10;dXVySFtHjjbndIcYq8kUcQ2xoqAdlGKf3zWRqNaPcu0k9sexrg/F3hRr+X+1dKwt7EuZY1GN+O49&#10;677NQwoq3c2P4gpI9+RVKVgaOZ8F+Jjq9qbS8b/TYuDngsPp6iusI9a4Txd4bns7v+3dGUrNGd0q&#10;IP8Ax4Vr+FvFUGvQ+U+Eu1HzITycdxTkK9iLxaywSaTJjJF6rbQevIrVvp47ue3s1OBKd8gPUIvP&#10;/wBaszXIlvfFWjWjHAiJnb/gPSuP8a+IGOuukM+xUXy96EEn1x6daSYN2Oi8U+PrPSALazxNcnsv&#10;QGsPRXspG/t7XrwG8aUGOHGfLGeD9f6V589yzT5t4mY+yksa0rPw54k1gYi064COM75AUH607MlS&#10;PXm8Y6La2ysbnfzjA61xWu/E0xSGLS4PLdyWaVuSef8A9VQW/wALNbnREuL2GJcdASxH5VtJ8ItO&#10;+zASX0z3Q53kDb+XX9aLId3Y4fUPFuua4nllpZFJxhAQKdovw/1zXg1y+y2iJxvl7jvivTrLy/Dl&#10;oml6hZRJaMNongT5G/3h1BrejvLeKyjFuVmjICo0XIx2pqy2JseT23guTR727trjWAjW6B4gqZDE&#10;gnHXPb0qRda1DTtPa3ltNszJhHbMbgHnIPfPvXoljBBL4i1W6ljRnjMaB2Gdvy5/rV3UtPs9YhEE&#10;9qtwgPLf3evQ/jQ3cq1ji/D3jOW4cRNYSyv1eSSZFPAAwOmfWo9W+IL2erXGnxQLMZUUoYjkqSvI&#10;9zVk/DG3+2MYtRuooCuNmwM3/fX/ANapPDXhKx0XVNTvIDJOsZECGUAkHA3c496kIsy7HVfEOsaS&#10;um6RYPbrz5l06lRg8nk+5rpfDvhHSLBFuypvbsOQZ5efm9h0FdHJkQJDCRvYAY/ur3NOghEEWxBh&#10;VOFGOgoKJ1UBgR0Ap9IBgcUm75tvekOw1xkqB65NPI4pAOtOz0FCAbt5pAQSQOop5FQjIkZt2QvG&#10;KAsSY9qQinDkA9qQnHXpSAbRTgARmggUCG0wjMi/5zUu0UwjEo9hTuAvaiiii4BSEZoOccU3JHBP&#10;/wBemAmDxwMUu0+tKOaXHSkBnmINfXDLwREi5/En/Cr55XnuKp2+X+0yn+NyB+Ax/SrinKAn0oAp&#10;XTyRRvtwd2EX1BJwPyzVmNQiKg7DFQSkS3MC+jFyPXAx/M1Y+7lieCefamAuR36e9VwpmkDt90cq&#10;p/mfennbcfICdin5sdz6VI2EG4jj2FK4EVwR5WCDjIyR9RVK5mklPkW2AXHXJyq92/pVq8niit2d&#10;3VV2+vJpLeNhulkAEkuCQBjaOw/CmA6BBDEsaDgD8TUuKdtHWkxQA0ig9KcRSUgGVg6gub6X8P5C&#10;ugYYrDvv+PyTj0/kKaA3VO7OO1Kc8UcDtTlI4pFETjLgY4Pf0pUKiR03ZP3sU6RCw+U4PrTWGDv2&#10;jd0zQBJj0ry7xHGbLxHKyg5Zty16cr7gCePY1574+tWTUba6GQsi4OfUGmI73TroXunQXA/5aICf&#10;birRAHAFYHg65+0aBGmeYiV/z+ddBjNICGaISgr0P94dRVa6eW1h85ApKj5weu2rbgg5Az7VBdug&#10;tpFY4JHpSEcxaanGviKWCZXQyyJJ8w4OARx7dK64sWBIBx2rFisbabX7iCRc7LZNgx90E84rcGAw&#10;TsBxTYEMq4eI5JJbHXHYn+lWAOpNVp5VW5hTaGblv90cDOO/UVayAoyRQMyvEax/2BfFgP8AUt1+&#10;lfN99uWXB7Gvo3xNIi+Hb0kEjy8civne/AM7Y6DitIGVU1fAAmk8ZacISQwkP5YJP6Zr6GVwXOPp&#10;xXgHw4Rm8ZWhXHG4nJ7bT/jXv5ACBUBOO4pVAp7Evem7iXwBx60ixybgS/HcAVMBisjQZtO3Jphw&#10;t1z/ABLj8QT/AI1NUcyF1BT76nK/WgBxz/iK8u8a6PL4avYfEOlERZk/eoOgb1+h9K9RR1kRZF6E&#10;c15L8TvEcd2P7MgfckbZbHdqpO7Jlsctf+ML7V70XcjlLhRtXZ2HTFbXh3wFqXiOVL3UC1vaMc7j&#10;95voDVr4X+DkuidX1K3DxocQK4+Vj6+9exBQowOB2qtiYpvVmRpfhnStGtzFZ2aKSuDIRlj9SauW&#10;alFMEigMnQZ4I7EVcqGVAWV+mDzjrj/9dK5ViQ470cEetV3knjJ/dCRDyMHB/GiO5QsI2DIxHAYY&#10;z9KRS2HtGhJVlBUjBB5zWTN4dSGZrrTJ3tJyMhBzGT7jt+FbG0sehGacPu0BY5Lw5dG51XV4L4Rp&#10;cpMDsVvl4XHHr0/WuqWVQmEUsPaseHSbO9F4+wpN9qcrMnDL0qaO7u9POy+QS268C4jH817fWncL&#10;GhNcRxwvJvGAuT7VgabN5lhbW8WTLchp5WAyF3E8n+Qqp4z8Rx22l/ZLE+bc3K7V288E9sVLomja&#10;pYaREoulWV41Lbl5Bx0zz0pWA6OCMKdzHLBQuT1NOc7FZmOB1qG1VIIkEbMQwJbc2Tn/ADmlObnA&#10;VSY88k8bv8/hTAnEhZgoUnIzkVIq7ev3u9CqVGBgD6UYOeT+lJjFoHJoApcVKAQnkU1Rkt9aUn5w&#10;MfjilUgEjjNUMQccUjdKG+U7j06H/GlbkUCGoeMU6kQYXFLSELUfWVh7Cn55NRKczPg+gNAEhFNp&#10;4prkKCfShAN5JpsiKynIxgdacgO3nvzUdwcKqjqTTAI345z064609nVVznP0pewUDj0qK5cRWkr9&#10;NqE/pQBBYMHsUfHD5b8yasxEvAjeoH9KghT7PZRRf3VA6VLAcRbP7vGPagCCA77uU9kRVz7nJP8A&#10;SnvI0zPDCwGPvPjO3/69V7Vy0lzFCfn807nPRR049+KurGLcARj5R1Hf6/WmwCJBFGqAYwOlP603&#10;AfkfnVW5kLyLaRvtZhmQjqq//XqQKm1dSvw20fZbd8jj/WSev0FagBzk0iLHGoRAFUDAA7UCQEnb&#10;k/QVSAfSYppZsZCE/lThnAzwaAGnrSkDFDFVGWYD61Vk1C2j483cf9nmk2luBOecZrntSlK38owe&#10;38hU+papK9m8dk/lTMMLIy7gvviuIl8P6ncStLP4kvjK3LFSAPyrCWJpx0uVys9UGCOo/PrQikMV&#10;wNo6GvJtL8Wat4bv49P1dHMSNg7xzjpwa9N07VbXU4/NtJRIpA4Hat7CTL+M0zO0kY604EDOCKQ4&#10;YUDK89s0hDJIUfHTqD9RXHeOPNk0mNpUCPFJnGc5BHUHuOK7dXO7aVPHc96zPE1ml5oF0rqCVQsu&#10;expiOb+HV2rRXNuWBOBIOfwrvM15T4Kk+z64i7wgcbemevavVgOBQCCqmoQrNaSoTjcpwfQ1bJxV&#10;PUnCWTEhue6ioYjFtWum8QbYpFKyWy+YxHIAOP5n9a37cBkLSBiQSMk+lc3GszazC8Za3/0Y5LKC&#10;WXd6djWxcRNDZKjvNLKxAwp5PPOPaqsBKq27XzMwXcI+pweCc4/SrOQqnyUz9OBVXTrLyDK7oNzE&#10;dv5VpAcUxnKeNY5V8K3L72LZAxnpk14NdcyEevNfQfjdgnhe5z3K/wA6+frsZmbHbirgzKrsdR8L&#10;owPGEbYB2xOeR04r3W1yYAdpGSTzXiHwujDeLFLKWAjYjHQcdT7V7pGMKBROwU9hcUU4jFNIPasr&#10;GtgpR2IoxlTVG8u47GwluZW2rGpY/wCFIRy3jnxJJ4eiaK3IzcKTjP3D6ivNvCnh+48Ya4TIT9ni&#10;IeaQnoM9Pqar+ItWuvE2ulFVmaRtqqvP0Fe0+FNGtfD2hxWkJHmEBpnIwWf/AOt0rRJJGesmbdtB&#10;DaW0dvAgSONQqqowAKlpueQOKcOak0Cg9KKTJPAFIBv3QecL71HLbx3EIWRd/HB9KnxxQD2xRcZS&#10;hjntVy0zTxjsw+YD696sRSCWISL91s4PtTpSNpPrxVVX8m58raQsoOBjgN9femBHpWfs0xPUzyf+&#10;hGm6xqcGmWMkkmDIwwqdc1BY6hDbWFxJNKo2zS8E4xhjWfpVlJr9/wD2tegi1Q5t4yPvEdGPt/Og&#10;S3M7QfDuq2gGoZjZ2JZbefqin+63Y/pXW2mow3L+QytDcIPmhkHOPb1q96Cs7WtMXULMBQfNjcOh&#10;U4PB5GfehDJ2Ajk8qNQCT1xnaamiQIoQEkKOCepqlZxl7YPbXUv+0snzYI7HvkVaSZoyEmUKxOA2&#10;eGNMCxikpc1G8qoQGYDPrU3EOBpxI7VWS6RmwvfpnvT3chgMnJ6KKBkh5xzSRhfmI9cUxhLt+UR5&#10;PYnB/OlXzMDcgA9jmmMe2CMHkVEjkBkY/Mo/SntIB/C5/wCA1WnilaQSYwowGHQsvp/WgRaHShjh&#10;c0KVZQykEEZFMdjggAUCFZsYHc9KhtzumuPQSYH/AHyKlcgy7cHgZz6UluAYy4GN7E/rx+mKAJB0&#10;NRKfMfHZTg/WnSEgbVxubge1OQYXHpSQC1XnI82JMck/4VYqrOwW5hJx1/oR/UUwLO2qeqLusWjB&#10;wZGVPzYCrtUtQBeS0QHrMCfwBNAFh8qM9OKrXkv2W2a4HRVO78uP1qxMTsJA5z/WqmqJ51qttj/W&#10;yBT9Op/lQA7TIPIsYwRh2G9/dj1q565qK3b92EY/MvB5/I0s86W8LSyHCrQ2BWvZBbKGTcJHO1EU&#10;/eNEFjGg3yKskznMjleSfT6VW06GW7u31G6BVuUhjz9xf8TWsOKAGCNB0VR9BQV9OKfSYpgJ2oxR&#10;RQBmalo6alPG8lzPEqLgrE2N1VP+ES08/emvG+tw1bpHOaWk0nuBhDwjpH8Uczf70zf40v8AwiOj&#10;f8+rf9/X/wAa26M1Ps4dUUmzL1vw9Ya9aGC8jyR9yRfvL+NeYah4f8R+DrpryxkeW2T/AJaR8/L/&#10;ALQr2OmyIsiFGAKkYINNaGdmef8Ah74jw3AMWrIIWJOJVHH4iu/hlt7mESQuskbDIZTXJa54I0zW&#10;AxEX2S8A4eIfKw7ZAriLbVNf8BagLW7VpICehO5HHqMdDVbjTPYCHjlwfmjYYX6/5P6USMtxARtJ&#10;VwVA+vH9aydJ1vT/ABXpm+CYpIRh492GQ+oqbSJ58y2dz801qxyw/iBJwfy5pWsUeawO2la+0b4V&#10;4Jx17jcK9iUh0Vh0IyK8p8cQrb+JjMo/1gVuvevQ/Dt79r0OzkJBYoFP1XihAahGTiqF+pubO5jI&#10;ICA8j16irCThVkaVgoU4yTxis6R724tbh12QwNuKuRlmHrjtUsRSu5401jSpwGbdEwZV5zgDjHrW&#10;xbyN5kjTEDYuFXuB3/wrJEFrpt3pEioFZwylupJIBrbu4/MhKqm7PBPQ/hVAWEJAIJ5OSKdngY59&#10;apWxZAYZg7oDw7D8gT/WrhdQAcgj1FAzlfiGx/4Rsg9DIK8Hu2PnOAM+9e1/EyfZokMYPJkyR9BX&#10;iV0w89ufyq4GVQ9E+D1vv1a8mZfuw4/M17CDsbb2J4ry34NqB/aLYPIQZ9OtepuAQBilLcdPYk60&#10;hpqZxgnNI7OPuLuB4PPSpNRSTjivMfid4le2jGmQOMOA0nr9K73XNUTSNKmupBwoxjPevm/X9Ul1&#10;TUJJ5HJZjk80JXZnOVkehfCXRBd3s+tTqSsPyQ5HG49T+X869hOCOR+deG+BfHw8O6WbCe28yHeZ&#10;FYcHn/8AVXbw/E/TXGTBIv1NOWgotWO3WBVJK5Un3pVDgnc3GeoFctF8Q9FkHzsyH3qY+PNExxMx&#10;PpipuWdKu0jI796WuOT4j6OxYEOCpxU58faLs3CQ564ouM6qj1ripfiRpSB9qsSvTPeqMvxRtgxE&#10;dtuJGQaQzv3GIiSeAQaq3m1tKmaTKIis24HuMnNcGfilHtYPZHB9CcjiqFz8ULWXR57IxbmdGTd0&#10;JzmndiL3g7QptWknub2R2thMdwzxIR1/DnmvS40WNAiAKqjAAGMV47ovxAfTbBbO1smkAJYHBPXt&#10;+FbL+K/Et5EDBZSxhxkBYCM/mPem7hY9KxjqaXvXGaBpfiKbUEu9bmaOJPmSHeDk+4HauxAwOSen&#10;ekhlKaM207XkIOCMTIO4/vD3H61aHlzw9mRhxzTlO7p0qnaf6JcNZsfkOXh/3e4/CmIf9nmjH7qd&#10;iAfuyDI/PrSJM8eTcx7WJILjlfz7VcJ4phbkKMZ9KVgK6SI4Jiy+TjzAOBViJBGODyepPU1CQLVC&#10;EXMeeg/h+ntVhSrICOaAQuQBljwOaXjGaiclFOeRTLYiZCOwNMZYHQYpCueKB0wOlGaYiBVEDY6I&#10;ensaSUkJz6dVqZgkqMpGQRzVaYEwvCSd4UlCP4v/AK9IAlfaZWzyqA/zpyypFbqSf4RwKimZRCzv&#10;kB413cf59alUee24g7FPyg9z60CCMS8ySBdzfw9No/Gn+aoYKwIPvUuKa4DLgjIoAPWq9zAs6q2S&#10;rKchh2qRocjdGxRv0ppk2qRIu3jk9jQAsUu9BnhgdpHvUFyM39mvu7Z/DH9afINp8+MZyPnA9PX6&#10;1WD+ZrkagZCW5YYPBywA/lQBdnb5VU9WYAf5/CqU7CTWLePJzGjSEfoP61eYB2wegGfxrOsD52pX&#10;c+chCIQSPTn+tAFmX90UuB0xhx7dj+FUWZr9hLnMIfbAAfvHoW/nirF1I0zrZW/LH/Wt/cT/ABPa&#10;ks7WOK6fyRtgi+REzwG74pgXo0EcaoOigCnUUUAFFFFABimkU6g0ANoxS0UANpaDgDJPFHSkAp4p&#10;CM4qMMQfm6DoalHIBoGyOSPcM5ww+6fQ1Uu7C11axltL2BJEcYZCOh9RV5vbrUbozAMh2uOh7H2N&#10;BLPFNf8AD2q+B9TW8sLwC2dz5L7sED0Nbul/EMy3EFxcwbZEXZP5fIkHrjrn0/GvRpra11K3e1vb&#10;dJQQN0cgz+X+NcZrHww0+5d5NJlNlMoBCdUJ/mKq99BXMbx3qFrqMtnfWk6TWxG0FPvA5HBH410H&#10;gPV4F0h7Z5N8qktGgXlgQOn415XrFjrWgXbx30bAnuwyrj1z/WpPC3iS40fVU1Dfux8jxk4BX0o5&#10;QUu57ilvcXdrK+pxpgglIQegx1b3q3qTeTpMzKM7UOAKrw6xZ6ppq3EMoYOmcDnbx0Poal1SVG0W&#10;WVCrKUHzA1myjIuJFOraHtYSLzg9vu//AFq6cMsikA+x471yWs28dhrGl30EWS7/ADIDgE49PU5r&#10;o4NRs5rRLtJgIznrxz3H1p3As227ycPwykg0k8C+WWUlDntVSPWLV7pli3ycZ+RSac+pFvkSyunL&#10;cf6vincZ5p8RJrxDBbXThgu5lYD7w7V5ZcMBM3PevSPiHc30urKlzD5IEYKLnIOa80njYzZbr3xW&#10;kTGoey/BtT/ZeouRhTIgz+Br0zg9xXm/wjt2Xw7cSm3Vle4IDFsdFXj9f1r0EA9BagH1yMVEty4L&#10;Qkdlj+YnA7mkDM54jbb6+tMWzRnLSjeSPu54FUfEWpf2Nos10HO4DCAnvU3LPN/id4jE032CFzti&#10;Pzj/AGu9YPgPwKPFbT3V5K0NrE23KDl264Htg1hOtz4g1tYYwXmuJcAdea+h9B0O20LSYbKBFBRR&#10;vYDlm7k1adkZfEzAi+Gfhm3hCNbyOQfvtKc/pVweAPDC5xpw/wC/j/410u1ehAP1o2LnOBS5mWo2&#10;OSn+HHh644S3mj945j/XNRp8MtAWRSRdFR/C0vX8hXZfSlo5hnLJ8PPDKxlTp5YnuZW/xpw8AeGl&#10;H/IO3fWV/wDGunpOoouBzMPgjw7ZyFjpUEkZO4NLltvtyela8WkaZAm2CwtUHTCxCr5UEEEcelVZ&#10;Y0tQksS7EUgMqjqKaYAbGzMnNnD0xnyx2/CvLfFljpiRG0ggUXcl477go4BJGB/hXrW5SARXm9xp&#10;v9o/EJYQwUwT+a2R94A5/PNAHcadpdtpdlbQRRIViQJkjJz9evWtAKGYv3I4PtUV4cWkmGwSMAj1&#10;PT+lTIMqFHQd6TY0APP+FI7YKr61IAFHYVFtLOH4wOlSA4MM4HWo7m2W5h252up3I46qfWph0pcc&#10;UwKdtP5iMjrtnj4dT6+v0PWrHODjGcHnHFR3NlFc4Z8q4GAynHHpTCkkQA81lPYk7lP19KBkkTOU&#10;US4D/wAWPXvQcwc4zH147VUgaSN3F3Mn3sKy8Kfb61cwSNxkyp7YHSgVmgfEhAwdp5proIz5iZGe&#10;Djn9KijjuI90gO5W5WNuoFTqfMQMcY6jmmFxEmGORz3x/hS+bHnBYA+9POOhwT71G6Hqrceh5FA2&#10;RJKoumUOCWXOP0/rUkiebvXGGH3T71Sm8jc/+jhp052gYOD059OamsoJBbqwkbDDcQ/NAiqhkne0&#10;iLA5XMmPb/69a6risLS43h1a4EygSbc/KeDye34VvikAnamkcU6kPSgLDBwxFI6B0KsMgjkUOTuV&#10;uwPNScUCKcNv5aGONtu09OtZthI8Ot3sUiA8IquvQcE4x75P5VtFdkitng/KazrZBLqWohhn5kPu&#10;PloAtPMqwTTAjCZJP0FZ8RNppcOQxupiSEHVmbnn2HFUPEMtzZ6eIowrrLJt3HOTz09yelaelW92&#10;Fa5vVQzuOgP+rHoKAJIYDYWRLSeZcPy793c/09KtQQeVCqdxyT6moHkEt2gPCxckHu3arq9KGA3b&#10;QRT8UhpXAZRihuGAozwaoAooooAKy7vxBpdjdfZp7uNZ8Z2Z5rUrntV8HaVq2pHULpZPOwF4bg4G&#10;BmkBVvvHujWa5M289gnzH9Mj9a5i5+JxNw3kW1x5fG39yPT61048BaQrbl8wfiKk/wCEK071f8l/&#10;wqdSkl3NGK8iS4W2jRmRiT82cL+f0rQCuoyGz/s9qpQMkrq6jczZOQOlXFnAdUkG1jnbnv8ASqAe&#10;kqu23o3o3WpNtMaNZOWHPYjqKiZ3twTIN8Y/iA5H1FAh0wyAckEHhh1FQ2dy0t9c28oCyRhWXB4Z&#10;SOo/EVMkqTE7GDKOdwqhqB+xXMWoqflT91N7Ix6/gaBF2/0211S0e2vIElibqGHT3FeReKfhxNox&#10;lvdPZ5rE5Lp/FGPX3r2dHVhwaHAdCrAEEdOuaalYOU+cINfutIEFtHLjaMPGOFIPPPqfevUbXxLp&#10;2v8Ahif999nuI0GY2fnAHUZ6jmsTX/hxb3c98bCRor2A+ZHETlZUboB3BB4zXnD219pd3Lb3MckM&#10;kXEiNwRQ1cm7R7X4gmhjg0x7aTM64dcNnnHHH1qeHRrm2ij1U3pe7A82S2wDG5PUAdj715hoGoXF&#10;vdpdlSTEysiueOOwzXultcRXdjBcoFZZFBBUZHNTYojsrqW8to5o1h2uucAnj26Va3Mv30O3uQc4&#10;pILVbeSZozxI28r2z3xU+KLDPG/iQzt4iLFsjy12kHtXnEpxcHd1Nek/EhFGvuF4OwZFebTEG6XN&#10;aQMam57x8LoWi8Hxk4+eZ26Y9q7XGa5b4fKIvB1pjn7x/wDHjXVA8VMtzWOwjcYNeNfErxE1xeG1&#10;jkBij4AB6mvS/FOsxaPpDuzAPICqfWvnfU7iS/1AImZHdsAepNJK7CTsjv8A4QaObjU7nV5U+SFN&#10;sZI/iP8A9avY6w/CWjpoPhu1stoWULvmOernk/4VtgjsQfpVSZMVZC0UUnQ9KkoXbRjFAINLQAlA&#10;6UgBOSBQWyuRQAveo3XcjI3Vh1qQ4IHNUdR1CKxQSFhuzhcnALc4FIBbaYvA5dSHjJVh7jv/ACP4&#10;1yXhlI9V8Z6pqRQ4iXYmf4ST/gDT9U8ULFYaky7YmLKEyTnlRnH61g/DzVHgudVARjHhZGkbnJ7D&#10;jvg1aA9Iui4ntoyV2l8kn0AP/wBarwGM1hxXrXHiCK3kAwsLk8Y5JFbEe5G2H7uODUvcEK/zMFH/&#10;AALntT6iiYOWcHIJIH0FS0FBTqarBkDDoRkUxriJF3M4Vc4yTxSQEtU7+eKNY45HCCRwuc9BSf2n&#10;bOf3Jeft+6Qt+tFpAzM13OrCaQfcbjYv92mAqSwXkJ8lRJG3BJHFOSBVby2RSvbI/Q1Y/nQwDdaL&#10;gIFHYUxoxklSVPtSkSL0Ibtg0nmLu2nhvQihCIJ5mhCbonfJxuQZx+FS72f7q8+4IxTvMXIGefpT&#10;XlbftCEnGeTimA2SJpE25wQcg98/4UkDgQ7WI3LwRnNOzKeyqfzquokgmLTqGjxw6j1PJIoAinIg&#10;vVm5AUjP+63/ANcH860855HNU7iNZm2ZBR0IyO2ORTrGYy24BOXj+Vse1IC1SN92lNMkx5ZoC4zr&#10;wRww606M5XHccUpANMBxIvvw39KBBMpMR29eo+tY8GoW9vq+p+bIqqqQN7nIb/Ct1mwua5PQdNiu&#10;Nf1TU33Ntm8qIE5C7RyR/SgCeBLu98Sxyzr5cESM8UJ6gnjJ9+elbs84t4ixz6D6+lVLUCXUbyYd&#10;PljB+mc0rOby8XywrQwnnPc9sfSgCe0jMcI38ux3Nn1qYpt5Uke1KCx+8OadmmBEJAOG+U+9O3oe&#10;jD86aVDDcwzzxmneXgcZBpWAYjiQFhkgnjilzgHiokaRVcE7ypIxjn1qWN1lTcp+vtQAtFB60UAF&#10;GKKKYBRRRQBzugXkl+HkQKIwPl+bJ6kH/wBBrVnSO5Ty5Scg5U5+6exrx7Steu9LjEkMhjdj8yLj&#10;BHrg/Wt+Px1eRkeciyjoy7CDRyslT7noltdb0McoKzIPmU/z+lSmZNwXPJNecX3jaEQxTrvguEGA&#10;rqfnHp06U+HxfNdH7RbWN3MQBvVI/lBx1JP9KLMfMjukgBmlmicqSxB9D2/pVPVJ4XtprK6kVJJI&#10;2QgHqCMZH5iucs9c1i8iwun3HlFeiYjByTyGY5/IVotfASuj6RcwhBh5PK8z9QcmkO5P4d1yGXTY&#10;Y7mdfPRfLkQAttZeCSR68H8a6GOdd/EwaN+AQejelcVpWsxy+JJ7Oy8oJMgfdsKksOD+NbF/5t1M&#10;LW3RYrhiG8wcbceo70xpk3iCb7Fd2mopGWjt3Czleu1uMe+Dg1yPxO0sNHBq6RoOiNlcn1Brrtjy&#10;aTeafcAPIY2BJ6tkH5h6j/Cue1XUl1P4YCZiGlTbHIO6sGwaQnsec6UmblvMy+7G7P0r3Hw6iDTS&#10;scTRxrK4jVlI2qGOABXhun3G+4lEeSUPX0ABr33RYlg0i2RWLYjBLE5LHHWmxRL3SgEGlHWkZQT7&#10;0izxT4jyg+IZyT0AFedM266A65rs/iC0txrF2cgFXPA71w9sSt4itz8wrSGxhPc+mPBsYh8K2C8c&#10;rnj61vFgqknpXPeErmIeEbCVpAAsWCSehyc03X70/wBhz3TyPDDtIjC8MxPQmolubJ6HC/FDVo57&#10;xbaOUMIl5APeuL8B6Q+u+MrWMmVYUYyPIg5XAyOfqBWZrd21xMXZ2LFick17L8MtOg0LwnHcSAG6&#10;vP3znHIX+Eflz+NNaK5m3dnax6fAnLb5D6yOWz+HSnmytid2zBxj5SR/Ks59aWSOZ0+WNH2q397p&#10;z+tSG6wzgu25SdvTHTNQ7ml0XEsoQ5YPMPbzW/xp0lugG75jtPQsaqrqUciFosFs4CnjkdaVtQyq&#10;uAOeAO4NILomQfZ8iNWaPrj+79KmL5XIIwR1qiL4yZIIOPz61nXElzbzGeEGSMnLxZ/Uehq1ETkj&#10;Zkv441AU8ng+1Zl3rLwSRqoDbskqB6Dj9SKpfbUumilgBKl/nzwVIHQjt1/Sq8cbT/aLrIYO2I1Y&#10;fwjI/Xk/lT5Rcxtf2g726eYyq7ZPHT/PSsm8lF1ZvsQOE+f95x905z+lPPlq8TOykL0YHPtg1g+I&#10;tZXTtLmMLh5nDx4Azgk9z24zRYls5LxPqEOqam6QsI/McBQThWORnn3xXb6JZxaZpkFlCy7SA8sj&#10;DBz3z/Q+leT6BNLNqQvooRM8B+W3wTg9sDB9Cc+uK6WPxBrMRDpoF4vy/MuxmQHJ+6OOM9jQiW2d&#10;5YXytrE0gDeaId2XGPlZmI/l+ldPDeeZZ75Csb7dxGeF/GvK7XWtUlu765S2cSNEm+Iw8rwcD14y&#10;c/SpxFeXNg97Nez3Kfxwr8qng7uB2H50WKjI7iLxPpOn2Fus96sk5jGUT5mzjPapk1qfVYpY9KtZ&#10;Mq2x5JxsVTj06k8+lc/4NttMSxke1hUzrM6tI4y/DHHJ9ttbsQjs5litx5e5mlbHVj3JPrkilYrn&#10;uWhYanLAsUmopEoGCYYuT+JoTw/aiFVmkuLh1OQ00hI/LpirMd6Qvzgk+tTR3kLfxYNFh3HQbYUE&#10;IjWPA4CrhT9Kn5zzUXmxuQqsuTTw29QVIxRYYuaXNMxzT6zbAbyW5HAqIoru25Mj3NSswGKQdM/j&#10;mqiBCEYKdhK88AGnBSp3FmGetPQ5X68072qgEAGcrz70u3ik2gEkHaaRiwHy80AUbxXtZYp7dcje&#10;FeMHAIPce9V4ZYV1QTRuQlwu1kPG1h7etXL+VBYySNhTFh2B9AQf6Vi61JF9kj1C1ObiNt5ZR1XP&#10;Ofzz+FAjoy+Mgg9O1V5LmJcM8gDDomazV1B7q1WQcb0BB7HI71mTvMxVzFhUGGLHIz3x7e9IDpRe&#10;wlsb+fQ8c05pA2QrA7s8+46VxWqTxRrbE3LyZccI+0kfgetRcRNssLmaKUOCGdmKnqOc9e3v1p2B&#10;M7i6ulg0+W7P3EQt+VUPDdq1ppUSuCJJlE75/vNk4/lWA+sSarawaUFKy3M6pLGDyij734HGR9a6&#10;66l+yxi4VMqikEAc49aQGFp93O8t/aQqTKbh8MRwBxzXQW0C28Cxjkgcn1Pc1l+GlRrW4uFXmWdi&#10;Sa2XYIuWIAHUmgBOozTZHWNcswAqBJpZ0BiXC5/1jDgj1A71NHbhTuYl367moAakjOo8uM4x1bgU&#10;hjnb/luFOf4V/wAasYo7YpgVltsElmdiepLdakWFFGFQLk54qXFIaQEZjJHDEH1zSlcCn0daB2I6&#10;KdtHpTaYgooooA+WU8WTtIpmhiYDsV4rbs9dW6AeN2EufuBsAVwGRSjIIIJB9RWy1ObmPSlt3DNc&#10;ujyOeckZx9PSrmn6lcWQKwzPGXGCvTP4V5vb6xfWv3LmQKP4dxrWtvFMh2efmTHXf/Q9qGiro9Xt&#10;/FbJABLCpK4UFW2jaOOla+neKLK2tfOnlZS7nzM8/THrXlMerWtyuAxHqDyPzrUgWe4iATy3iU44&#10;OahxGnc7vUDp13NHeR3Q3kDy3jPMTZ/l6/8A1+Nnw3KL97ia8IN2p8sKeGQf57ivK5pp0uMocgkD&#10;A42/5xWxp2v3EGowTTS7WzsZmHUerev6VNi07Ho19FMGYWzCZ4wNr8b19R/tcY4rg9SuDZeFtYtp&#10;oDG7XodOhB3dRj2IroI9atrNhvWUs0oaUHk7sjGMcngVxPjPUbiHxF9rsyYkuoFdgRxLjI5B68Y/&#10;Kp1Kb0MHRVx9sb1HA79DXvukGaHSrRXUMBCg+XIPAx3+leFaTcWV285lVbSRgQrJnYTg5yO3XtXu&#10;9tdQSWkflkYKDaB16UwiW4byKVyquNw6qeD+VLPcBcgHJIJ4HpVFzIrYuIY2XGd5PI/wrD8Qao2j&#10;xXAB+XyWdef4iDSKueTeIr1bvU7lz1Z2PT3rkw4S/DDoDnpWlczGR3kJyTzWQmTcgnsw49q1hojC&#10;bPZPDNybLw/ZXupSO9kXJwB8kWWOCw/iyfy4rP8AiF4rNzMtnA5eGNMsVOQSRnj8MfmaluYYLbwE&#10;GMkgjS0AIVzsYkDGR67iK8oeYxIUySo6HvQ46hzGx4e00+IvEdvatnyFO+Y46KOv+H417dcy/Zl8&#10;myjDui48tT8oXjr2HFcD8PvDwj0k3s80sL3nUrxgA/Lz6HJrtoodxFujsMMCdowMZ56dzVW6CLL+&#10;b/Z9rmM5QhnUtnOOv/66crSOn2lXADfdGcg4HHH41SeSQ20MZ3ur5KsoOTxjB/A0+EyJKUm2p/EB&#10;n5R2ArOw7k81xJDeRIoID4znp7HPvjH5VZE8UkPnIxVvvkDseOo/z61ny3CTKZGUmPoQOpA6frWb&#10;qkZgso1WUrJc3Cp1JCA/wmiwXOltruGWziniyGkXuPTqauKwZQQ2cjNZFjJGC0R+XA2KMj5QO3+f&#10;WrE14YXKQxGaTgBUxnHqc0bFFfVtNiETT26+VMXQFk4zlgo6fXvTRbRx3axTTTEKB5Z3kKAeMHGO&#10;4/WoNW1O9W2h2afIMyplWYZOOeAM06C+s7ouXbEiumSzZyAc9fbJz6U7iTNH7BbzhojCJOMMGHr/&#10;APrrzzx1qUcksFjzEkUWGUDgOf8AACuyvNbWxhu5k3OseF3EYx8uR/n6VwtiG1vXri9YMIrACaUk&#10;ZXqDjH0B9KRR0HhHQ7fSLG21AxhJ52O8k5IUjA+nNddPdLChbd7Z7e/9aptbtOHWRyyHkFV6/wCf&#10;8mqsTNcO1mykNGu4sRxjGAffikIox6rFDrt2ZghHyYKjqSpPPr0ps8k2kzzXFtbfabOdS88EYy6E&#10;55A7g/59sa9ea11XUXWFBFG0bSnGWGPQ/nWpYmUQvPqEs8UUijyo485IPYkdW9hTQNFLRtatP7eh&#10;lt58QS25EgC4yyv1I9cYrrm3ywteDPmH5kB7L0/rXISaPE+vabdIPsu9XDKp3M5AB3H8Rz+FdlZz&#10;pJb5I27eCCc4/H0qnYXQsi7XyFcMDuAI/Goxc42RJ8zMSWPoM1hPcG0vbqIBXhSJWQHI+X5uPfj+&#10;laFgxS2WafCvP85O3oOw/l+tJoWpdubtYZIWZsBSWJPYYIqo2s3drcSW6EmSc74gRnHPP5day/FF&#10;wscdtNjKpIqOuP7xzj9B+dJbPLelriQPHLFIVt1R8Env+JGOuaRep2lpeOq/vm3Z557VpLIrqGBB&#10;B6Vxq33lWRjnkDMBuWQ/LvXv+IHUVHb6quqzCGG4CQ7S+Eb5nAO38Ac/Wp5SuY643du7/fBCsRx3&#10;IqrcanCSyQNvxgvjoBx+prDnljmcWUJZEAzMwGNi9OvbNWbeGKFfJVSEPIU/xe59aFEOY0hrUAAM&#10;itHkZ+cYH59Kl/tNSWwjcHbz61ktJHETGWznlVHzZ/AVVaa0iJUxTcjAXYzKPbA6flTsNM3/AO1F&#10;dSfLIYdj/n9ahOtRu22FCSDh8/w/WsCa5a1jkEcEirIAUAGdn0AOcZOcUy2uLVmMtvIHO7EvXj6/&#10;rRYXMWPEt7Jc6bN9lYtceUdoQE5HcU+3lSXT0RcbTEPmJyCMVYhKzL5qncrgEH2rKlU6dMbckLBL&#10;ua3YnAVzklPoeSP/AK1FtCWwsFLQfZWmcvE2AFOMY6H8jVyS1hGyQqo2jGXGR+tUbWTyb1Qm0faU&#10;+8x4DAnOR+WK1TCAynGXx95jk/WhaAzKmhE0gl3EEMAFxjjcMn8a0p4UEEhY8AHHepJ4i9u8Q+Vi&#10;MA+/aqZvBLYiVpECodsgyMkjg1QJGPY3cdt4qiu54gki2/IHPB6foa7i/vIjo0k0cisjoAGB9f8A&#10;9dcUob/hK7ZmTIe3bkY49vr1q9eRqFWKEY+0OAcHj0yBUNFXN/R5t2mxRWQVsDLyH7qk8/ia0VtV&#10;Y7pnaZv9rp+Ap1pbRWVtHbQoFjjUAAVL3pDE24AFKBTqO9MOonakwfSnUUh2G4PpSGnk4pvemFhK&#10;KWigVxuKQqMU6g9KQ7EdFKRSUCPjhjxtKgGkxxUtxHtuQvqKc0OBXQcjRCp29gfrQR3p4iJ6UMhA&#10;oKSIwzIflZgfatWw8Qalp7Dy5gV7qwyDWbkgjI4pT5ZPB5pD2OnHjOViGe3CyA5BQ8E/Q1p2XiW2&#10;u3jeXZ5g67jj+fFcKQTyMEVHSsHOeqprEMqRgy5dcAP13KDnnFZ/iCIzTWl1uzC5ZBzwCR/iK4CC&#10;7mt3DRSspFbFt4qvI2VbkJPEP4WGOPb3pOJXOmO33FncspGckkHPTNfQ2kX8N14WsrghWVYlU9jn&#10;GD+teDtqWkX0nyxGFmGGZm/l2rttC1trWygtGuA8UXzAcYPcDjrUyLg9T0q4vpLRJJZE324Gwlm+&#10;YDHp3HNcx4msXvNFvsSlhBHlc8sQOMVY+1rfwFfOWSHZmUqwy5LdPw/DpXNeI9Yv7bT2e1fy4hJ5&#10;bMrDJJOcevGOtSUzzidvLBU9SP6VQiyZl92Fb82uW94CusWS3BP/AC3i/dSAe+OD+IqOPRbS+kV9&#10;I1KOVv8Anhc4ik/DsfzrRbGMkbviaa5tNBtLEXQeOWFZSigDAwMZ/OuO0ezbVtbgs/4Gbc/so5Na&#10;mvNfJMTdwvE4RV2svYDAxXRfDTQ0kt7vVLm2WXcDFGj/AK/0p3sT1PSR5lrCqwxEQJFhVVRhABx+&#10;FVp7qO3vWkU/uihVSDn588fX61FDbtACokaEbssqSE5zyMBuOPT2pLm1u3EpWSN1wJNpG3fx7dOm&#10;e1K+pRc0oBZZFwQ0cYAPqepxUFwXu72W3QbY02mRm4A74/KnWNyTAkphcySKzH5cYySe/t0qn9uk&#10;+0yREfupiRuIIOf/ANR/TrQMfau9uRcOwaLAKLg/L/nmluhGUSKSZXaRw+9V5XPcdu+KngjRbJRt&#10;MhOQp3DnHv8ApWOu77e8Y8zyyTsQjGcenp24/wAmWIlkmntkjUyBm3kLKOOvGSOcZqxJdNZzvGzO&#10;PMTKuevfnp61mXhVrWKcuT84YjB6emPXINLcSvPf4cB4yygE5wCT71BZHqmtXD6n9j84sEVlTsSS&#10;uM5qrpAlgsby0mAkmlmAPB+XI5I98D9a05bKG7QRuAjRhhGTjkHoc/iPyrnl1dtP2SeS8wGAI8jl&#10;iMc+3FTKbRUUaXiS9WHTbe3aTMUrkdOhHTB/HvnpU/h61W08M3BQHMyOZEZuWbB+X8sVj21jPd2l&#10;rFqI8wNdP5ag9ARn8RXQw3HmNsiVVjVmDADO0ZPXikphY04NTuGtoBzuMavgKQBnNV74TpJLcxuS&#10;xAXhQVJIx7cZqnpd6Y7YjpIgaFFckZx1/wDreuaTeHhBG5ElkCt82BgHPHpVcwWsN+0M13fSvG04&#10;ZF81QR6dvXApx1L7TDZoJdqRbnHOCdnAyCPf9KPO8u9unxlGCkYHVgPX8vzqosRfxDDJsHlyht+F&#10;GOCOfbp/OknqBqqVunBjYuE3GNs/dzjOa0SWe2mkgkCyqpWMuOGwOmPz49ayFnjt7h1ACsTkENxj&#10;uDn0p9vqP2iEDn7Okh37uMn0/kataiGTlL4wPbs5kyAF6ebk/N/6CR7Z9xWze3yras4G1VG47uwy&#10;AR7EZrnlkfStTimYqxnw6quCRwQRUV7qc0806yTxo4bckYG4hsAdu/TpnmquSaOtTGXSlnkUiEKA&#10;wbJ3s3OcjpinRSLGin7NK7yOdnAB2+uOvTv71HNE13psdobV0VYs+ZkkbiO2epx+Ga3LRLSziiZE&#10;3GROJGbczHBOPpx9KFuWZ1xYy3FpLJdFvKaTKQINmDnjk89ee3U1DPaSaWtnPAIsNIY/MRipXcOj&#10;Y6gMB9a07183vkux2vkwkjgk/L+h5z71YvVibT5oCAXCEAqBww6Y/HFUiSDTELRSCOaR0aQ7nfAD&#10;9vTPtV8RKIyC7nHXsCKoabeolqInHl3FuCkysOdwGc/j1rRRVli8xwQDzgNjP/1qATFWJQzBdpVj&#10;uIA60s0EfzvjBxk+lKI18vIYgHjg9KrXE7/JblHy7D5hjlRyf04/GgY51YRx7huYDnpwB/n9aoaj&#10;pEMqSzQTmymlXaSDw+ezL3/DmrTTSXLybHCrkDIGcfnUUcbK5ikfzOvDd/Xp9R2+tTYQyHVxapDb&#10;3NuY5mHyrH91sEjgnH5dadcX8czGC4sJZYXXBAKNj8A2f/1VDcWFpfMILhghZcCLdtyAeox1+tMY&#10;XekhwUa6sxwxH+sT0/3h9KLC3MGKa5tpZLbyvJ+zzCVJJj+9aHpxwemf0/Gu0NwI4Y5Bhg2NvuTW&#10;JPbWmugyxSYK4WKZedp5OCD1HOCDS6Ddi7uDZ3G2OexLcZ+92yvt1oKNC/u5bK0MsrLhE2nrz/n+&#10;tZlmswsxI5O9sEoFPpn1z3FaGvIJbN1AIOQisR1J4BHr1zVhkDTGLbldu4cYPTH9P1oAyFJuNXhc&#10;IP8AVuvy8ZHf9a0bCSG+11FUhkt8cAdMjgVUaOO2vElQ7f3bZJPfOKTSL6302VpZZCWZ8vxjnsPw&#10;rJscTvuB/jTVYEnBBwarWl4moW/nISI24Azz/nmrKFMlV/h61RdiTmkGc0ue1OoCwmKTFOpD0oGJ&#10;im96dRQA2iiimSFJS0lIdwPSmYNONFAj55vvA1vc/PFLIknYnkCsy48FanCnySRTgD3B/WvQljMS&#10;j52PHBzSO5YgevXFSqjsHs0zySbS7uzfE8TR56Bh1qNoOMcZr1mVVbHmAEdACKoTaHYTvJ5luhZ1&#10;+8BgirVVi9keYNanGelQtAQTxmu/n8JwtE3kSNGw6BuRWPdeGr+FdyRCb12Hn8jV86JcDlNhX1pC&#10;M9q0p7cwuUlVo2HVZFxiovs4Y4HPvVpoylEobKQ8HsauyWpBxjkVV8sZYHrQQ1YUEDqMfSljuZIn&#10;DxSMpHTBxThAH5yaY21cjZhh3osUnY1bbxJqEDj94PfAwTW5D4is9Tt1ttRnlt40bfwMjccc/pXF&#10;tljx3FJhgPuk0rIam0zsJ9DstQbGm6rDNK3IR/l/WqD6Rf6flpbeRAp+8FyD+Irn1cjkZB+taVpr&#10;t/ZjEVy+3+6xyKnVFOUXuaVrrOoLMtruNzA52/Z5x5iEnjgHOD9MV7RodnBBpMEMEIiUL80anaQx&#10;5Pf1NePWXiqz+1wz6hp6PNEwZZI+DkevrXf6d4z0m4uI5I7hVzhWRzgn6g9x/n2TbKikdhNb2jmN&#10;gxilPZztJqrEWjvXXcGR4yBn17/hVlb+CcKA6SLjkED+vWst1lO57beFX7oLApjsAOvalcLFwSAL&#10;AiL8yORkHsM/4io7VRcK0hTD9AM9x2HvuJrBvdags4UkuVaMO21vLXOGA6HP86uaPKL5VYyqYD/q&#10;yhK71/Tv/SpTGXLuGP7H5jbdyuRsA24J7jHb1qhcQ/abiKOMqskUGQVOc5Pf346VsXa/ZJDOgXaI&#10;TuG7JwOhz7c1U05I7ixBuCkkjqjLjGUGOOe3c/j7VaJZk6nZwJo8l1FLI0pUMyD+E57j0ySKjguF&#10;mWGQSKt0+Xl3fMu/BCjA9j19hV7VInsyCzyG3fKuqjqSDt69egH0+lRWNlbf2XBeBjvkVRK6n7vb&#10;Bzxjn9KTBFzzGuBtS3mSSMbisjhdv9f05rk9Stx5QnUhXQ4VTjLPuwRg9eorpHW9hSWfzo3hiUh8&#10;gB8A578HGM9e54rmpjbajNFOQZHJLEK2Mn3449wOaiSLTJ7adbGG3ikDoxXc46lGbpx6cCr1vfKg&#10;uN7YYHCRgYJyoJJHfOentilW3hMbpJMFQ4CqHIPTgDHO0YPPao9K0vTplkmdZhOQyqm8gk52gkn+&#10;f161FiizZK93Ld3II3oAwyOMgAZHoOMD6VYfUYCHZiPJ5PyrjJYcEemeKpazoCaSsN6urzBmO0xM&#10;oO4k9B6D3NYd+08c6gTRmYAKHhJZM88DIHJ6fh7VdgubVqqhMuXBzvGw/KO2cdyf8K07KJooDPNb&#10;oX3Y3M3zAYxjHp9PWuVMOsWphHkMpjxhsglBg/MRn9K2Iln1GCKaQ74yp3ODjaQR2PUdfxH41OwD&#10;rtvLvHTzjKsAIZF6liDzn8B+BqVGj07ToWkVPJjHmt5h/wBYcdfXgkY+lRW2Zbhpfs4MflgEohUn&#10;uM4PGce9ZroLy+dp8vCHAVWHGOoz69ueeoojO4miaO9jnbbKym7fLpNMSoUAjp3HHXpTdLvIoku5&#10;JipkAZkBfk5AwAD+HPfn0rantEht7W3hBYTn96VHbHPPvgfiao3+ixS2080zMkybkUQL8inaCAx/&#10;GtURY201Bpobe8kt5FsmRE++AT0AOPqfyFTXMkEUrR7wmAXUkgiMj+77Z/Ks+2u7EWsNtcWkQuYz&#10;tzj7pBAyxOdvP51JqWlRiWOa6MbwylNyxx/cxk8LyGH6jFOxRdmkluESZtkjKf3SbiGI7kr79vrU&#10;el3JuZ5bu4DKQMxru44zn6nNX7ae3hkit4UU2+wBHhA2sD059c1iyuIJhPFvMYLgqfubt338/jnj&#10;1ouI0dTh2XdvdKeQ6RS7ukit2Ye2fwzWlaXPnyYVcgkbUxjA9T7Vymp3Nwwt43ul2JKhZlGQzAjH&#10;Ptya6KyMrRouzYZMFzjHOP1PTmjnQrGlczLFbSuv3lUkYHfFVsSy6o5PCJEDkEcEk5GPXCimXV5H&#10;FOlsTu34Zmz9wDnk/hUli7fZ2mIYNK247uoGOP0xTTuBXuligvC0hKpJtQMvHzDtkeuf0p7/AD4S&#10;OQ7znB4HcZ/pTb1fNt3ADFgA6465Bz/n60K26aCdBlJVIH1bB/pTJJ306GSVppcSb12sHGeO30xW&#10;Y0jWdsgWeXcUAEcp3q5xxjPJ+lW9QuPKTDSqox8zFsAelVUgGqyR3EokjtIW/cqPvSH+8e+B2pMa&#10;KX2G7slhks4l+1sMyJEflcf7a/wnPfn8agjhguLsm2LxXgyVZhykn8QPsT/Ouqiby4isNq4GOWJG&#10;T7nJz+dYeuWssLLq0ML+dbrltrf61eu0jrwe9RIsnu7k3VvZfaYRHI0yb0J6MPT24q9LMBDI5G9x&#10;9xxkdBng/iR+Fc9el7iTTtQh2mR5AksWe/YnjoOnT3q/q+oLZ6VLbnEg2/Oy5IUnjn/P5UCMi7nm&#10;1PVrO0hkix5W4puI3e5H90Z/pXSNpcSeTMW3TIQSzDk9Mj6VzHg+zjl1PVNWkO6OMCBGYY9zg9Om&#10;OldfE0jwI8y4UYBB64GOf/re1CQGhpcMdjaXEiHCM28qf4WHOfbNa9sNsALdTyc1zUGqKTPZ26Jc&#10;uY8sQ2FB6/Me38637aI3McVxLLvXG5FXhQO31oZaLop1M6UbgDzikVcfSHpTfMX1FG9fUUCuLRTW&#10;cKMkjFVnv1H3FJosDZZPXijOPSs17uRhwQPpUDSu3UmmokuRrGRFOCw/Ol3AjINYpLGgSMAef1qr&#10;C5jayD0NGKxN59T+dHmN/eP50lEOc4sR8HLcDgComicEMRweBipDNAy/LKpGeuetTJu4wwYfWudG&#10;yRT+yebwM7hzTDbsZ9wU8GtKORVlxtOSeKkDxmXAB5/Q0DM8wDaDz09KQ24Kg8nNajAMMf0qCSCR&#10;dpRdwzzS1GYk1hBPuEsSsG4O4Zry+40a4h1O4to5ceXKVBGcYzXs6QAsQeD6VxF1btD4hvFIyQ/m&#10;fht4rSnJoipBNHDXX2yzlMcgJB+65XqKbDp/mBm3kHGRXVyj7TC2+P5g+Me3rWbYRCRCwXjoM10J&#10;6HK46mZFbzxqR5Qk+h5qs4RP3boyvnnNdO9v5a5PXNMWCOcsHQNnuann1L9mYP2BmJZCCuM8HpSN&#10;ZyqvXPHatCbTArHblN3GVNQr9stSMESIezCncXJYzZIX7rUZXHUYrX+0xXSvG9u8cnseM1A0COcb&#10;huA6Gkm+ouRGbhh2zQpIAzkelWXiwcZqFh06VaFZouWeuahY4W3upAinIQnK/lXUab8Sr63Oy5hE&#10;iEYOw49exrh2Ug9DQEb/AOtSaQKTTPR7vVbTxHAkdpNBGA29o5W8ts5/KvR9Lt7dLCKNLlAihdyQ&#10;gAKvTOevFfOJBA71pWOu6pYKFt72VU/u5yP1qXHsW5nvOsWzW+I4LguG5dM5G3pz2PJFUPObT5WJ&#10;ijSKOUJuC9CRkg47c9K83sfHl/Gx+1TtIhAUr7fWu6svEFjq1htt5oXZmLsHbaVJHf8AHFFrDWpp&#10;SXX29EBVzGsjRqrdHJU9/YfXvRozWw0u3gfy5HC7WZScMMnqfT8+lZukf6AjRPGJFTnhx8h7kAnJ&#10;Bz1qDSork2zXu0QwplAv985PzAe2cUgsafiKBLHSLlLVJHLrtKRNlWHHHt+lcTYm/vLkG3tFWRss&#10;VycHA78dewNdDqV1dJZtOhKzu4AV+MKenp1z1pmgX90JHJQ/KSu3bnkcnBPOKlsETQ6lJLZGaOwl&#10;8sbsMCjEAA5BzyMDPFZ8OoM9swBtYnSTdE0pKbuRgntgnJ6/yrSVUluYTPaxmzvt4lATGHA6A9eR&#10;3z+XSr1wlva3kFhKgEN2zMQH6sCP4j2Of/1UFIp2kGnwhbrVL6I3235Ud1JjGM4A/rVW71K2ubtY&#10;mYyQQfMuzLbmP+ALf1rSvYLe8le1hG1gR8yJ/q+ccEnHT/GlfT7Cztmt3Kk7duWU4+uRnn3/AD5o&#10;bGQWd7cSXTRxbGjdSm9yMDr823OT19qbOYYwphnaaXdhVYhULcgkL1z2/GnQNbo7COWNHfowWQZO&#10;OvC8GrEGn/vmCmFZIgu07ZDj07d6wlzPYRUtIPLhdZF2qy52/wC6Op98n6+1XoNNeewwAiCLLYZv&#10;bk89eMH6j61aurK2nt/s7kC4aFl2OGOdwxxx1qBIoLDTi9tc7o5AGkRlchUXgkcZ5xVRVtRlCGaQ&#10;DzVZ1kjwQMZUqDjI/KtN7qaF7tJUkfzF3Er044J/L+VZiXFpqKCOGQOVHAQc8+5OcdafDOkmox2k&#10;s8hudjR5ZQCB/XuPxrW+gmhthc2jziWW4I2/NskPTBwo9wASfx9qsw6huuVaDzc7SyKkLSKpbPUD&#10;pVS7FpPeCIq8kkYCoFYABs8c49/89rdlfJBMkaxoJFJG5fmAU+ozx3/KkpaiI7g3TRXchtfssY+Y&#10;xH5ie+QQPlPXPr7dar29w9+Vt4mljt8A7pMIQBx82ehzRe60sMzRlmVW+XaMGSUjPRR259O1YzQX&#10;ksrPcTSWqSOWEUbFpSqjqWAPP0HemCL+sTQ6VLAts5lldsQwcv8ANkZb1H+eK27fxK0VrGosp9zE&#10;b3MLrGD1+8Rj88VV0vTWsik1vp1wZH2kksr8Ef7RDDqc/StwvKSR9juIh1ZWkVV+pO7P5U0rhI5i&#10;58QXN3qEQOnTTWscm5mQlix7DgHj2z/Wulm16UrGY9Pu1VzjLRlQD9SMVRLva2YmntJPlbMpRgUk&#10;yepyQQfwq22srJMCLWV1iGAFK8E9Tjdk4HoDVbENkDX2tmUTR6dvhQfMhxvbPoc/06VNCNXuLSC2&#10;MUFv5Zy5YkkAdCPT9c1NDfxMJHg+WUnLE5Tb6AA4PH0pslxDHHPO14GaQfeI9sfKP8+1VcRbTSbf&#10;KtcyNcSIflBPA/D/ABrRTZFkbeTzmsqAzXF1HcTSpHGq4UFSMk/5/X2qX7WsrkLvMQOBIQQDz+op&#10;MpI0DccYVUx3zUUs6zH7O2MMhySSOOB/WoiWyV8kngEHP1qJreUujBiHzwPapYzmdUtlh0l0cl5Y&#10;HT5mfJK+n4gir3ibUoLPTvJiT92V/u5UHsPbtVfxBbkWu7czrKuGY4BUn7uf5fhWbPcSX8FpDHGn&#10;76MKG3A5fA4x9fw9xUvcDodOlt9N0G3gkkAMjHKKOWzycDuSRirJM90f9I8yNW58hCNzAdyR90e1&#10;U7a1/s+ziRred7hgE86RlJJ/BjgfSrltcRK3PUnlzxv+mewqrCuKlstsN9uoRZfk2jkDr+OcZroN&#10;DuzFottGQcoNuCfrWBI8YjcHOWJI54H/ANetfT2XY2xsqcY9jjBoHc1JbydkOxF/OqouJizBmIx2&#10;NOL8VGXz2yaLDuPExbpv/EUb29ai3E0b/aiwiUyMR97io9w9ajZ6Tg807CJc0GoixAzSGQk8CmK5&#10;LTGNMMh5FNIyKBji4FN85PekEYNLsWgVj5+i0rUrOQSG5Y26sN21yMe+K7Ky1e1t0iIvCgI6SHj3&#10;6is+PN2tuC0ZBT7u7BLfSrLQzC2UXHzRowZBxj0wfaspI3i7Ih1Hx4mlar5JgjuYdoIZGwc1ctPi&#10;HYS/NLaXEZ9Fwx/pVDUNGt7jSpJvJRSiNyR6D/61c+knyncOPpTUEJuR6NYeNtCvmCLd+Wx7TKV/&#10;+tW/HIkiho2VgehHIrx6Joom3rFGRg44GK7LS9GN5p0V1bahJAZBndC3AqJpRNI3Z1yxDeTx1rz+&#10;8uEj8X3ry7hHu2dOvy111jp1/aqm7Vppgv3hKobI+owawfEGh6veOs0EVuZhIz5Q7cjt1qIyQ2mz&#10;n3kinRnt2yVHI6VBoESvp7YGHEhBzzmtF9BvIy0ktm8MhXLLGMg8Vg+Hr1ba5lt3yrueAexz0rZS&#10;TRjZp7GtJEd5DLgqe9MSLdcdOtaa3KSGSKWMb+MN600RJlmyFwOB61JoijNboydeh6CqksAZMA5U&#10;VrGGJmPlg5x81U0Ta7Nt61UWS0YzWsv9ossMYdmj3cngc1BFazuxUQEPn7xbp9K2JLqO0v2YfNI6&#10;hAPQVPNlYmmVeh9KfNdEuJgtZST24lMYK+rLg/pVR7JgGKxttU84Oa6mxmLaVGpK524II6j606O0&#10;ikhIQbd3UEVKnqDgcqtrA6hVf5j61Fc2bW6AsR8xwOetbs+h8iRWzgdGO6se50663+YkYZVHIDdP&#10;pmrUiJJW0KISRcg8/WonTB7itRFldf3ltKvuBmq0qo/Q8+h4q7kpFNWOcVIrkHjj6VERhzT413yq&#10;hYKCwBY9vegnqa9lr+oWOTHOZARjEnNdbonjm3W2FpqAaNAcxkAlQe2fbJ6YqhYeEbM2/nXF1NLv&#10;x5SQLyxz71uQ+GdMi8qOSwRH3EFpCXcd+ew6/X6VDepaTLOtXdvfWludPLXCrlpChB3cDr+P5U/T&#10;N8dpIkWWllbeS2QQAO360jaFFZ3rwR2kckA5iPljcO/JHWr6aXJFuXzmjULhBOQyr9A3IByfunio&#10;aYybUcJpcFyrzL5cqyCNVCnb90kD1/xrO1wiBIltfMJfPlmTBIYnaORjoT/nFTXFrNcWJtGlgjP3&#10;kJuN0bH0x1U5+tVWjluNXUtLGyR5ZNzrtJ6Anr3J/SldjuSiOCH7PFDI7NJJjdnG9hgbj9PzOK0Z&#10;5rxnSMkSnyuPMcqVU9cgHB/GlgtEty7Nc2oV0C+UWUlQOgB7c859atQPpzZvHvYvtIzyXGMc9j+l&#10;F7lGNEVgLsm2SRQ2CWJJ/Q81ZsJ74NNcM4USYiCYztIxjHv1q/cR2V3F5EU1uSJN7O0gIIByBj3/&#10;AP11WiFtdefb2pWS4jlxIWYEKOo2/h2FFgNG8adkUTebDITuGVUFeDyMdM1kQK6+diVVlyCPZcZJ&#10;A6HPP51I0NwJGa4ldpdoQSCT5dh9AfTnn6etc9qms6dZX0cRuWZnXy3K84UdMevak7gXIrBoZXvY&#10;nWFJASFz9z12+3t2zUUEsl5cpeSkSEsTgADb6hj27f8A16z31S51Jo1srOW3tgSv2ll3ZU4ycfQU&#10;f2Vp0bbFu7q6hyC6uSqsx9vwpNBuaEt9bC9Z7aKS8uE5xGcIowOpzjA6VTdNWYCaeaHT4JQWjEA+&#10;ZsjIIJ5P/wBb3rZ0rQ7oB3jKRwxcxKo45IJzn0GRT7O1t9cuJGv4XgjQmOKISblcDgkHp19OeBTj&#10;qIp6bDY2Rk+zXkVvMp2s03MrHv1UkZz16elbFk02nJvjsHcMuAZFK85/v9T19K6Gw0bTLGAQw2cK&#10;E/eIXliPU9TxVmG1W3VlhYCIHhWJ/Q1pYRmQ6vcnezLDbzgAsHUldvbaRwR9Kgc6jeHEt4oy3KW8&#10;IBA7ZLdKvGAJe+b5G1t5IZOOfU/481deXcpLD5gO3GaaJbMh9LEgKXH79ePlkkY5+uT/AEq1FY20&#10;TZjgWKQdHTHT8v0qdgWAb19akjYKMHAqyCKRZOd5jdSMcrzSLp8DxMESNM8EbAf/ANVPd9xPfHao&#10;TcqMhCxfONqru/P0pMaGtpll8qyQLKFwdzDlT/LFPuuLZ0WPMQQ85xj/AOtU1ql5cW7Fo44mJ6sd&#10;2R9P/r1FeGeK2kQiJ88Ha2znHGM8frUXLSBr1o0MjQsQiHnIwfT+VSR3RGZZ1CKVwNx6f/XrJjvb&#10;a4vxB5igoNxQ8M2fY9ehrdUq4woLKR8rqPu/WqHZmVeQW15YXDEsHCMfm42n0I/oa5OwUfZdPmKn&#10;AcPI6Hbjt+vHA966C7WSHStQee4AkRnR127c5Y4J9iMYqlBbrBboMGRFCNggYUDBJH5VnJ6gbqW4&#10;vb9m8txbx/JycB+mffvjFaTWqkRqgwFHQdKbYkQWyRSAKw5J/vE8kn8TVpm+YIF5YcEd60WwkjHu&#10;bEsQTlQHzuHelgmuYpCWRgN2Cyj7wxnn/GtMoREVfDBeh9aiaIGPcq7GoFYsJcq4yinbjqaFY5J7&#10;VStxsJYuGGe/b1qyk8RBGce2eaAdx+SM0c0gLFgcew+lSGgRGetBYAc07YOuaQrketO47DN2RScn&#10;pShSD0496eMZGBzTdhdRmw8k80uCO1OYkBsGogXLYzSG2PJ44pmTTycDBpuRSsUmjw/THV7cS27E&#10;yg5Uk/d49K2ZNTSS1KyMHwUDe3qKqS/DtImV7PUblAO7qCc/hioj4d1+Asont7uI8/PlTWfMmaK9&#10;tjTnu0j0y8CRl49hGN3YjI/nXGGV7diGUqG98jFdPLY6iumzRJp0qlYyrbWVt5I7Vz9pGsdqY9Ui&#10;lgkBO3zEK5H5VSaDUjDgKWB6jOK9D8B3An8LW42j5CYz+dcCiWRO3zomQ8bd9dj8MHiGj3cJkBIu&#10;CQpPKjpUVleJdOVpHZwq0UhQElT69qleI4JzjvSLNGjhG5Y9Din4O7j1rjOkaqFk2qo6dazNR0Kw&#10;ukf7VZROX+8+0A/n1rbyY17VDI/mHB6VabRlLU50eE7F7bELywuo+Vg27H51xunz39zuSWFMo5jL&#10;BscivTky8gTogGM55rjXsfsU9+h+59rYg+gIB/mTVqTSJ5dSpdQT6dG80sTGPHJQbse5ArObWUtL&#10;A3cELzB0KRZj43epPtXdRLZPAZYnVpccLI/Gaz9DMTC8iaJEEU7Lsxx6/lzTU7bg4HnGnCSabz7g&#10;HlsnIxmusZ1jQ70zGFLH6YrSv9Isbifa0O0MPvRcYPrWPqvhTVmhzYag0qEf6uTgkfWq9omJ03Ep&#10;RQlLdWCsCUGQOf0p0UkkZXY2OelEMOqaZbhb6xcxoPvxndgfWqlzrISMSQJuUn+NaLdSr2WpuIRJ&#10;GTJFz1yOKie2jZPlYYP8JGaoWOvfaGSKaNg/YIODXRQJE4JBOPTGam7QJRZmwWPlKd6jkcEHNU7z&#10;RLe5b7ikdcdDWzcKy8LESeoINQlZCAypkHse1HtGhummjkZ/DpbPlFlIPQjP60W3hq5muoYRsRmb&#10;hz0H1ropv3bmTayt0O0VdsJobmeNXZg5buMVpGqYOjqZsS63pKjbpSXCBiolgQ5cEDqo5/GrcmuA&#10;WWydLi0nkYcyqygcn25x+Ga7RCWaZd54Yj0IqC8ikmt2jG2WHOT5mME9Px6mhTuxONjz8azcarcS&#10;RDVVt0RQoA4Mh56c/XmtjT/D9vfwMry3LzgBizSnoc846dqpr4c0pdSkSKCUlmyysc7QOuPb0rWs&#10;Sum6gJZmIVCsShgACGIHQf5ziruZjrvwto0UTod0UoiL7zIxBIHY+hyPyNQWPhXTm0iO+MXnYO12&#10;MjAcE8/TGPyrR8S3R8llWLLKNqHOM5FVdPmY208LNKkVuzDyDwrHHCnHU+1Jy1AhPh3T4ZmzZebH&#10;IDsJY8D1/H9Pwq2vhjSykI+zok24ht3IOeR16DpWnYQRT3DyXCER7AFXsOOfw9vrVoxNaEiMr5J+&#10;bBjBbGTjnp+dXZDKEPhXR5bdYXtIll3b9ykq2OuMZ/X0qIeEdIiumSNrpE3AZjmYZ9eO2P61pLDK&#10;wRluXxETs3sMk+hwOQc/zqWby1tZry6D+WuSE3fNn2988UXQXOTm0O0j1iSJ5ruW0jTzGLXXHJGB&#10;+hrStNMtLaFfK062tnaMMHcbnPPYkcdqPs121qJLn7s7gkEdG6AD2yOppgliVhNLNKUj/hGDknqo&#10;4Geuc1N0BPNEumzfabFg0WdroRw3yj7tUb6QSWbXzszSZAjVeit/U8frVq1ae9uJZ5ogsKn91BMM&#10;jjuwGPxHvWRdaa6/6iUJZyqJDEHUbW64APHT19aTsxXsbM0RuYLTTbWVluTGPtbsvyxrgkn69e/e&#10;uqto7N7JLb7MkkCg4UqCoA457e9Zek20FlYNDCxLyAGV2HzsevJ79e1aLyYCxRrsGCCxPr6e9NWQ&#10;XNDbBFiCIdwRg5KjP8qlwGk3YVAx4GOTWZHPFEHDv8xPzBee3NMivHHKoxfOFZuMDr396mdRIDXY&#10;oV+ZgWHHHHNQiMOd7HCjpVaJPMMjTMpJOQF6DiiOZHdvLACpwcH1rleJs7IGi0Cu3j5hnrUG5JJV&#10;GcMM54p8s0aJz6cECo4cdWGd3T2reNa5PKO2t5hKjoMHjqamtbQNMrkDjJfjuen8jRFKol8r+JBn&#10;J/SrkTbRtBHqeOtb3uioxJ5ELLxwarTxF0MaE5PR/Q1M0wIOCB71DLMAdqjtnOaQ9iB9KtXj8mWJ&#10;XCnIyOfrntUE0F7YyCa1fzoh1hfqfo3+NWlvYRuQyru6ZLCmvdn7Mz70DEEjjNA+Y5fxfPb3OlxX&#10;tu+ybzFjdG+9jPKke1MXemq21uyIIwyrgj7xGM49OP50viSzRIDetIgfcu4OODg8dOhrOW3u7jU7&#10;W9hlMUcDkyRt1kHGee/QVElqG56C4DJuUbjjp/SgybAuDnI6elQWN7Dex/u5VLpw8YGGQ+hHbirk&#10;yIYwAMNnk1aYrDAMk59M01xvh9KVCCXAHzKMUsg8uAtn7ozVCIfLjKAbefY4pYrRI23BQT6nrTuP&#10;lFP5HOePSgXUcaTJ7UwstPVqBjfwpee4xTiwpjNxxSAD04ppYgZxSE8cGg7j15H0pi6gT3K9aTOB&#10;wKQq397j6UmM96Bg3pScUFQeuaTp2NAHM7nCYVRnPrnIpTGGUB8884FS/Lt+UAc9QBSjk/cPHrXG&#10;dSIxCdoOzA/Wq93bxm3JZAwA+6RWi2cD+VU7hdxADYB460XZVjkbzSrbUP3c1rCADnIGCPyp9l4P&#10;eylEmnXEtq5GcpISD9Qa6FLFUl3YZiD371pxKSNrY4+6w7VTloTyamPAdetnWR5obgd43wD+DYyK&#10;zfEHi7U7S7hsbHTJFvZD0uANp/3SDyM966l9rZ+XDKcf/XqhqtnHcpbybR50EgMbt1APBH8qlWvq&#10;U7tWRzMviPxtYJvvtMhaAYLNEoJx+BNdRpfiOy1ayFxbXCHPDo5wyn6VO1wgjEbjIBxXkiWFtFJJ&#10;cAq++RtoGQRz3rRKMzJylF2PaIz5yZcqoHQ461gXGpWK6rf20zMSXDq6jIPyjj65BrjIrqSK3Mdv&#10;d3UBbqI5Tj8jVaSS/sEWaBoZwpGRIDu9M0vZ2K9odpazCaWSOS2VYmGVwOaq6Bd2Fvqmo27sIlll&#10;Dosjc8jBA/EVHpuuOIRJc2AWVVyPLkB59wcf1rnJPOu9al1CbSwodsj5eP8AP4UKFx8y3PS3hiBD&#10;JhwR8o7fpTIm/dEOuGTggc8V55pOuan4dZxPBJcW7EZIydv0zWnfeKAZIrqwtpY93DCQYBIrJwaN&#10;VUTR2IbADbcD0rl/FWjRGwmvrN0idRl4yPlb/A1d0bxHb3Y8i+eOKY/dwflP/wBepvEDRt4evGgd&#10;JNowQGBxTi5Jik00edTQsL3T4bd2iklHzuo69OcfnXY6doL3lm8sN+6SglQcdCO9cpPE51rSmQf7&#10;Jxn2Pb616RomnyW9u8iMAJGzgE1rN6GUF7zMSbTtatlCvai8T+/FJtYfUGoRcPAQk9pdQEfxuhwP&#10;xFdqjXJ4ZTxxlhmopbeckDop5BVjWHManKSSRTgNHNHKG4G08qfem6davNeqTExKnLOCMCpfFcFl&#10;Dp6vLbPHcBwEkiwrN6jNQ6fq2nWNuiRQyAs6rI27LMfr68/SrS0IlI6JQ/mSAEeW7seDk49KsGUC&#10;PkgY/h9KiVxJhUIQB85x1471Wv5SscjquWCnkcc+pqomcjCvtSQalcpbMxkB6gdMYB5+uahSWN9M&#10;naVRc3Hnbyrk5A+UCsS0ikt5pnjkDFsl1Y7snPNb5hkk06ORIdknIBzxg9j+H8q1sYbl7Xr9p9Et&#10;Z4dqvJIqleMgc8D+VLpMa/aJYZEAlLqy55PI5PoenWufkvFM1vGykeRMmxGGB3PT656Zrp2ud+sG&#10;QRqJDFkjIGByMY9RSsBtx+ZDGUiJ8snqCB+f8qS5G2VXBLCTgg/w/T86Lm5jJihBZSeTj04P6VRm&#10;ilDRGTJXKAA9xuAJP+FDldDNOC6YxSW8YQsnfPU8/wCArEkvXvb6WzRwY7eQSyFjn5j0X3x17dPe&#10;tKYi1DSRxq7kHnoeBkD/AD61Uto47KIPcYEis1xckD7zH0/MD8KhMfKVtbd/7Pw0++eVgsCA/wAQ&#10;I59uveo4rRYp7fN28kzwsNypuw5wcj2/HNKIJb2UandKfOfHlxEfLHGc4HPfueK07qMLBb3LbI5L&#10;d1cIgBwvQ/of0q0SyvA0z2jIqvuVcShWAIbPJx0wT0Ga53VPMOpWVqGmiCrjyxGDleO46cfyru9P&#10;ktrWC8l2RvJ9oKKSMl89B7dK51VMniq9XAM4g42LwM9h/ntRuVY2dG0Waa0crIqsCCQOo4HH07/W&#10;rcthKgCtK2CSRkluan0qT7Hpybvmc/K7MRktjr9KR752ZPMVRliMkcD+tS2ykkRGJokZpJR04AXj&#10;+ftVVpJJQxjwxQZPb/Jp93cebcqEGERQzdffp+ZrO87F2FRQFYH5/wC936dgM9etYTjcmxevJnhl&#10;/wBFdWztDgduQM/rU9nG0MX7yXGCSAO/vWfqDxrD5W8DzABxjgY5/pTG1W1hM4+0hmD7EC5Yjpx7&#10;D3rB0+ojSuZAwj3YJDn5RnH41ZhkhYgOoMmMnH061m2rboZAIncHJOWHP1NTmOW3hZkC5IA45JPr&#10;Vr3UBrRhdxCqAQOfapg5xycCqAuYxiIMHlP3gOefrVmV9hGSDntVwxDWjGiYyhl6jFQlnlY7hhey&#10;+vuajhBuSyEBVU/n/nmrTrjP8811RqxaE0QGbYuCAoHoOKozRy+arQBQ4OWQ/dI9/Q/SrLjqAQT2&#10;9qcV8uMbTz0JI61uZ6oydX2TaHdiXmQR4YEcqR9O1ULV5Htof3XnBlU/u85HHcVqaxAJNNuPLO1z&#10;EwIxnd7H0rD0i5uYbiAfIIBGrEkgbRwDnnJ71lNamkWdVZPAkrhYhCxADYTaxPv/AI1pmcbVGSRn&#10;vWTcqWXcp2uBww/kaiW5eNAVGMfwMSQPpV2JubMtwgLMrYwDkimiffasC2SykA9jms2O5Voy7EY7&#10;g1ICzRqGwD146UwbNZVDcg8+1EbZiGcg9OapJKUwd2KkiulOQRnnrRazAsBfWnBcDrUXnAngih5y&#10;g5FIZLj3pD3FMD5UMeAaNxIPB9uKLAGSOq5pCznpgD6U4BvUZoZWJ71QEZYr1ajzUI68/Sh4iM80&#10;ixgdqLIkb5mTxk/hRx6mnMgz1pNi/wB2kO543p/jHUILuKyvrE+a7AZLbTya7t5boY2WmVxnPmc1&#10;xVzBNc65Y+fh8T4DBen+cV3AXaAA1c0rI7IHOXGqeJ4rp/I0hSvIBkmBH5ViW3j3UhcyLd6XG6ox&#10;RxG2CCOteggkEbmBB46V5Vd2ht9T1JiTxcMdvcgnP9acLPcmpdWsztbHxlYX+UXdE6/dWTC8d+c1&#10;0HngxxyxAGNsfd5H6V5DhHyHiDA1bsNQutMY/Zp5Iweihsj8jQ4LoClbc9aldVXee/oM1S1q4itN&#10;Ge6ZiQhViAeeorhY/GPiMXAAW0khJwBt21Uu9b1+8ikhlgiMDsPMCFfbpnmp9mx86PQ4Lu2vzFJa&#10;yoQMMRkE49681lhLO7q25N7n5e3zHj+tbFpqsOl2ky2emTpI45LRH5vbNY1vcRwMgmPlydWVhj9K&#10;uKcSG0yxHJHEuFQsxHBY/rVe5fbbyEHnHU1buIo5JRLbSK6MMjaentUF1A/2R3xg7enequSzWUr5&#10;EQRQpCAnHXnmpY3Iww7VVhcSAHsVqzEpCkYOKm5asPYJOpLjO771QT2tlLBHaoyrdSyKVMrHn6Va&#10;O3yFjCkMufm9aytRVV1DT2mjDRB8M393vnNJjOmn8PadMgNzZw78Y3p8p/TFZGpWUGlKkEEjpDOC&#10;rx5znHf68/pXXyRLLGFBGVHBrjNfKSalFHcAgLGfnB754/lULVg0Z6aZePfRRwTLhQXU7iGPtXU6&#10;H4lt1tks3uEFxG2wrKCCT+XWsvS13ahZMrqXD7QR3FVUnkS7u5JHABnfKDqME9qqSuUtGeiRy3Lr&#10;jylCjmpHuGji/exAj/ZNefx6ncxSbopsEcjqKurruoz7d8gJH0II9DWLjY1HeNb63ENoVCsXdgEY&#10;A84HNcxasLl13g7gwztHWneKtSvb6aCNrLakDbw6Andx6VStpI7q5jRUk5YHYF54rohHQ55vU9Ii&#10;QFWCkgsSee2OKrzystq7MxZh0AwOc47mnwyOYnLnLlj8w4x6/wBKo3IDwYdSxDAjZk5JI4qHe+hL&#10;1Rzj6XcW2otKT5Ly4I/hDZPIrdhmkvDumAjgJIEYHDBTjP44/SoJZrTzRDLcNiIFxufoeMgA/T9K&#10;tWsq+SqwgNbkc4YcHnn361erRkkYV7aulyk8jeVCzDGT/EuSoHpnn8q6LEH9qwXYO5vJZXUdTg9f&#10;1qje2nmv8s+cOjqp+7kH/A4q4I7aLUbWYRE72yUPUjHf1PelzNLULGzJO4cGfaqIB8mecD+96/Sm&#10;3d5HKg2qPLyCCpPTOen1pFmS6MkWYy+SCpPv0/lVHUby2siLW4nx8u7aeAo6c+nX9Ky5ruxpdEmp&#10;XhNoqLC4dpAVXP3uRxVdPtF9cfabh1VITymM+YwOefYelZum6rJJeSJ9leaefKLO3yjaBjg/561f&#10;Om6pcQvCGitU5wQpdsY9enpV6Im9zTumeWbIUuCwI464GP60ye6kkVokjeaUjYyoAAvHqeO4qoNB&#10;kS1LPqV0xkO5yCucgdsDPatGygSC1VISUUcMWOT+P5UufsDVylazTefLNdWTyZkBjAlB28YPBxz1&#10;qnpU7Nr2oXUFo0rsQPKlIUR+/Gc/pXQWSoBJLjO5jhgOuOKybCJDr95IJPmYZAjOMe5q1Idi1Gt7&#10;NCxlMcWCSEj3MMg88kj37dqj1CC+Qf6PPhkGWHldiD3/AArUL/ZAoALW+0kxnkr1JI9ec8U6GQTq&#10;XMRXfhsH0xwP5U73EZstjBJDEL2e5LHoWcxj/wAdwP1qyNKto1jQwRgjIZmUMzZB7nJ+lb8ZgCHj&#10;nvx3rOubeNXEkKEMOqKcAj2HrUuNxMzVt7bzIWSKJdkTA4UAkn1wParMEW7dlPLZ24zx7/1/Sqc8&#10;xt32R7gJZDgB+ThQP5mtGDziiylgz46KQMZ/pUTuo6CJo7GEZfaQxIyysV/lUr26vKB5r5HOCcg/&#10;hiogzRQuHJJ6596lgcu6gEkHqRXFzTRSHiJwwaNYlU8ZIwf88U1FnaVlCqy9OW9evb2q5MyiLZgc&#10;nOW5xVWJis+VAPU8Huf/AK386W+rEnYvRxeW2Nox04NXNq+XjDZ6cdqpR8/OQcj0qcTlXIPUAdaU&#10;eZamlrkUo8thGmC7eoyahnibA3PyvP41dQKSZMZJ708xISXI5I6V10cTd8rIlEwpnMtnJHIfKLBk&#10;DMRg54B/rXOeGoRetaN5YMKREBlYgO3IOR6fWu7MCYDZ5xjHrXH6SJrC6uIIFRhBM6+XgA4PI798&#10;12yfUm1josKRkHiq7ku3CgnPTqfWryQAKpKghu3TH41SjkDTF8j95hlx2HA/OtESJJCvKr06D2pi&#10;SlCDIQQTjp064z+FWvLjuQSjMxzn5R0xVV45CcPgAHjHX86egmTvLvCquCp70LNsO3gDpxVYKyAf&#10;KR9BUdwwePd098Z/GhtCLAnZnOCRtOcUsF9kkyE7umf8KqeWRISzbQwGCeh9efwFOEqGEELk5G0D&#10;tzz/AFqW0VY1o5ic4IIUgcnjNWTc4U8HrisQTD5wn4kdv84qlPrdzBftGlm1wqQ+Y7RnlW7A/hQM&#10;6cSHgqec1Mrt3WqucxjGFNSqWUfM1AFhiKaDTPMBBoDrjrTsF0OOM9KM0xnA6UgfigDyixjuG16I&#10;Mz7A7Hax7gda7EncRjPFcwmq2smupEmfN5Jx0ArphIoXGcmuOR2Rt0JFYcAD864PxZayRa084Vdk&#10;qgjJAyRwa7hZAMHaSPauZ8bQ7rW0uo87FkKOR/Dnp+tKL1HJaHHlGwN6soIzwMUzq3XPuaXdIgwp&#10;5HSnFVmxvU5HpxXQjEfDypUqWAx0p7CReg+X6c1BG8ltIWQkKB3OauBvMG/f97qKBEQJZhud8dtx&#10;yKtrOOA6hiOh2iq0saF/kLA+4pULBguQfWgpIg1vyk06WaIBZMjleP5VV077ULUvcSuVdeF9B9an&#10;1yMDT8KwDFxjnk1HAT9njV2bfjnNUloZt+8X9OjeJf8AXvj/AG+QPwxSTeIhYXckE8B2/wABXuPW&#10;mxSFMbhn6Cp5bVLi9sLpkTbDIN4brtyO1RoPUs2+t2lxCWLmMjswOay7jUYbvVIgZJYokAw4XIzn&#10;PINeoC0ghb91BGqsMghao6pZ27addeYikmNgOO+KydRJl8raMFPFq2U3l3DfbAB/rLdOn+92rG1r&#10;W7fU9Th8hmWFIyMsuCSe3PpV61sP7LtCgAyQDgc4qt4miF3o9u5UK6TqpcAZwwpqSuOUZJXF0eeO&#10;O4glFwqGN/4iADRb3C3V/fTq0eHlYjHT8KdaeFJ3sYWUwXAZRkuzL39jUUnhnWtLupJLKzhmgbny&#10;0k5A9OapiUm3qWHaRDuRM+wNKSCQWRgeuDxVWKLXDH5v9j3IU9AFBP5VXOpSK3lTxSxuOzRsCDU8&#10;rNueJtw3URlWMKNx7k8VIA9tqMcm+LcSFXA5AJxXNC7/ANIy5y2eR6VsJqkEluHMW2WE5DE4GR6/&#10;pTs0JuLR2sVsiBl2g5OeeQKzdds2i05fIbDtImNvBxn/AOtUmi6xLdxM8/2fcoAGw9f6fzpmtXQM&#10;0cbHbn7px+VJJ3MGtDI0+NHuco3zlsYODxz+v+NaP2RZY5lRSjFQhdejcDg1H4dtIZNQuJmT7q8k&#10;cdTx/Ktp4wslx/EhO0Edj/8AqPX2q9iInHWUz3M88LCNCqnv0GOB+eKbNrVuLbS5mlHnqNzqO/bk&#10;UadCJTqMxIEaHIc9RjPQ1leENKa/uprsKmUbG+QE7SfQetNJPVk3OqaXUtWO2NVsLUksSRmQ+/sM&#10;dKuRaJarbtKryG5dfnmnfcWHXBB7cVnazp95ZeTfpcyTQZAuI0xkgcbsADNacGpR3NnGRIJBIuC6&#10;HGBnuO3/ANesZK2w0SpcyvdYaGIrECC0SAHp79Km+1/un2k+wLEdznr9aqWlqWhEzTAiU78Z/HFX&#10;mfdavFFncVIGO1QiooiEsRgjSNwdgGDnngf/AFqklk2WjeYxLP0wDwcE9Kh+yxxtFhwyjLY9OOef&#10;rU0oyYkVS2zcwVjxkKfzo0LFtYDY6LDFlmcRkk7uSx5zj8aytEu9l3PG8YSNl3Ag4yMgZwfpW+zS&#10;Z8tlXKjJHUD6+tc/DMs2ooojeIk/PGR8pA/oPSne4rmvehZYlIbKudpUHnaD/n86nguBnaAQucL7&#10;iqcls89wjoCuw429PrVyXAtTsA8voCO6+v4VaukJoknaWBfNjkwxI3E9MVZeaOygNxO+1FGWZz0H&#10;WqIxcwbGbG7v9f8A69VdVna5shZeUZppBysfsME5PQU+YViswi1jWhLaTExRIXLJ90kjryPateyk&#10;lWA2sq+YUwRITyQT0PuP61LAqQTrG9ssMs0YX5DleMnGe3WkukbclzAMug2lTwWGRkf/AF6lzT0F&#10;yiXMrfZ3QKQ+0g+2OmfepYpXjiRUUDOMk9arySw/Z5WAZJBgupGDkeueDUMk8SBJlfIUAjBNZOFx&#10;I07t2YLGOWk6gdxT4DtEgLYPBUk+1U7dklUyMzGZhwFAzj/OKm2LFE0rYIPGB2qHGyLNC1lXaehP&#10;Yk0RbpJzLIxAyQB/WoLfiyB6OR3HTNPgJm+WLlAMc9CRxTgroE7FtXIPGPpVpMMoBHOKqNGMbySS&#10;O2eKekxVlJyBVcqjqg5ixlUXJHCmvPtd1J7C/wBUns1ieQKsoVxnJGMj64/nXdPODGSfuZPNeaa9&#10;eQQ+LZVjDGFkTzWHQ5HPH0x+VdWrRDOtstRudQEcV7a/Y3eMSABs7hjnB/pWjcWiEIXKqgPCx8Ej&#10;3Pf8Kw7e+l1K009rV0EkbcF1x8uznpzjoPyrRgLR+WzxO7Y+b+Lcf5/p3rRErU0oWhVcRnaB/COK&#10;jLCYn5trqfumqTSxSXAaFmRhyyEFcduhqfzI8eZ5h3vhQBz0zz0/zxVBYdJJ5KIjkbWzz/dqnK8U&#10;wMQiYswI3YIyB1x2q7IhUrsJYd8jr9KqXCiHa+JHQE4VMZUd/epYWKjb0jmhLFdgUAdcg9Dg9uop&#10;IzuiaMMVwwGfXOD17YzUF9M6h5/nI8sffwCG5xz6c1YmVraOCFXIkaQspxyx55z9efwoAXUNSgsd&#10;OeZY87F59z2GfxH8qh0x5QhllUKZ8PwcgcDA/SsTxFG4WG1SNpBKwBRc8j1I/L3rdiiljVUKswQB&#10;eO/p79KpCZveazQ5OCR+lCuJSrhsZ46dax01CM7YDIVPRi3Ttx+taC3sK7cSISeFCjigLFskgYpi&#10;k560ouoGj5PGOoHX6VV+0hshVI96taktWLfnDOMU/wAz2rOMrKc077SfSnyk87OCsNAsNOuWuIZZ&#10;2nZMF5Du/nU6SarFIRDcRzkdFeLbkfUGqNtqUexIpJSHYcgt3pDqU8AKM4SMA7G3civPsz0U4rRG&#10;zFqd8jgXltHHkf8ALN8/oQKi1e9iuNDurUJI80iEIMD73bPasmHUPNk3STecF7g9P8KvK8cilsZz&#10;RZjepysdlepGGks23d9rA5qMXDKjh7ScOOxUmuvcRrACpJJPIx0qTCqfkAIx0rRTsRyHHJDcSpk2&#10;8qLjOSlMAdGKFWIH+ya7UYYHgVXe3U5y5Bfv6Ue1FynMmRFChm2jP5UoRRIdrZ460r6XZxRXMs0H&#10;msZGA3MflA9Kh0uxt3uLhZBKRwFDucpx9a0STVzPnd7IzfEDLut4xkEZPP4UW8o8tBuBar+p6Kkj&#10;r5YlcjgEtwPzplv4blLoY7zbkgEFM4/Wq5lYTi0yWObamXP0x2olu1SAzMCQrDPFXH0W+ttozbyq&#10;TgsGI/mKgvtNvBYzRC3JDrn5SDUXRSTO+sdRTULe3mgdhGygY9Kl1lWOkXKoy7wMKO55FcR4V1O4&#10;0uRLbU7KeK2yWEgU8H+tdH4j1TT7jR3ubS7RwSo2g4YHcM8daxlDU1hLTUxI3mnn2ueX5J7Co9cR&#10;o9FQBvMxOjcdq0kntkDvEFkUjl93Sse/1uGSzaGFfPZ+yL93nvUxvc3k1yHZ6NJ5ukW0jrt+QVqR&#10;qN5ZTnIw1YugXVtc6dAEdC6p8y55H4VtxtuXEY2oD2q3uc8RjlkHG4DoCD0qK4theQ+U7AuVyD1I&#10;NWCVJP8AEBxUZUAM5ADbTg0ymcdLYWH2jUTPCru5VgSgOCBjr2qxqWk2Q0qGOO1jPmxnLJxzjjOP&#10;ellhYi+d9gBC8ntV6CMyXemhAX3KFCqeMemD3p3Jsec6ZqGqaY629uFVixLo/IfOOCD9P1Ndo0l5&#10;eSCZ7cApGpMaNuXv92tnXtDtUkM32YLJtOCU+Ye498VzNlNqSpIrlimSoJfovbFUpKTMZJo1/D96&#10;hhuXTCBwFIPUY4FaV7drbiRcIxZBGozjnOB/P9Ky9HMDXX2ZovLmYlt5IAUenXJrUurNoiflWTqR&#10;8vfBwaiTCOxSl05bHwzqEjyRmQw5IHYbcVl+CrOSLQPPViRK7HZjv0yfyp2s6i40e9ia3eMAbMl8&#10;rnpipfDlrO+hQrNNsVUyqKBjB9fWmk+TUi3vG2uyV9rbgQOn581nXFmlrewi1cjcfmQDjaDyQeva&#10;rEbSwJNMfLkVODuHQDH9T6VRuLq2lkkknd43uExEh6Z+n1qEmitC9DdBo2QA7FJTgZIx/P1/xpZJ&#10;ojEHJdQcjBOD0NY+rSt5EQtobgSKAVmQbF6dT61c0vUba4jEbBBOoAcEcBj35oaGpF2SUl9yxkDY&#10;w27cdxg/zojuHN5nAZcfcce3qPWq0khv9bFkjLHEsGW2dcnp/SpmlNn5ajfM8i/uwYsbuvGenrSa&#10;0KuaizvNIxEmAwyEQnHHU1j6VeHVNRki89UaLzPN24G1Rjt371Xi1efP2WxsFEmDlp22gD0AqjaX&#10;sNvfT3Bs3SU8T+SSSzk8Dp0yKIQs7ks6OeZ5LiKJEAiHG/ODjHX68ip4I5dgLOux+Dg49s+1c/p5&#10;1TVGkaMpZw48xZXG5jnso7H/ABq1cabOw3yi4uQp2FBNtwBkktjpzjiruO5r6ddB7dCkP2gyMQ+1&#10;skNjPY8DiqFrcPbazK2pThXb5fLRG2pzkc9/xpbCcNEZoIVhk3EYQ8q2AOffkGtCCeS43oWJIU7n&#10;x3/yKxaaYEov4XvGhTJmXgqR0z0xV2KVXVoyeA0AAID/f+nbg/8A1vwriLFdQtfEeota25uITIoJ&#10;ZznueDXSWN2kxCkSRM3GJB1OcdalqwFm6iR/MXaDuweTnOcZGKz7WGK9unUKFSNvmG3ljjt+fX2q&#10;5NGrMwL9ssM4OPWnQsFICgZwSwVcY/xpudtgsXIYVRAFTauONoqKSaOOPzDyqnJAGT7UsUzSxZzz&#10;jjngfWoSYcZ3nyozlhjnd2rO9xF7AlUtIM4Hyx9Pz9atW7Sk7mTCgcY6VFaANBscAE89anjdtwQH&#10;5AOWPeo9sorQYruxJCgbevFVpJ5Ii27oeBg9D2qwZBvKMAOQP0qtPtYkEfTHH51VKrzWTE1oUGnu&#10;J4tmCsZYgv1zyc8V5/4lgvbq43GYO0jFEXBBJPI5/GvSX2IAo4XIFcFr09wb1Fj89mQZUQgdegyT&#10;7V6i2Muh0/h2yeHQbMbCk0akAnsc/wCfwrbW52PvHfGRVfw45fwzaGN3cFT87cngmgBllOSpUn5l&#10;PGM/zpjd1sTTXbTrhQFBBzxjNQreYUxlguDjaOannjhfAQYJXBzzxVFojnadoZPbhhQV0Li3agIc&#10;5XPPFWpLuA7AoBOTwMenSsezZJJAVYiMZDA9jT7uBM4HD5yGB5osS5FXUZEhkmGNvmrjBb7rD5h+&#10;dTvMZHaSRxiIAF8989fyrI1uMx2TztlSY2H+sJyRjH45PT61JbzrLpUsoYnzckgjpngZ/SgSkbED&#10;wtdtggoSFDMMnjr+ufyqP7QJL6dY8ogGGcH8f5d6oRDaIrWFsuQPmJyVHHOKmEK285hQ5jX5z3Jf&#10;uP1oEywpijgLPAmQTsyeg/8Ar1FNEnl+YC64xtP6Zx/SlMkWUa4QszE7VHT/ADyOau+QGEckjqq9&#10;QqnJB9/WmPmKQt5d2Y7ggLwqtzn3qUS3IbCtG3145p28MxCEY9Sc1MiAr9O9UkS5DDNNjmEZ9mo8&#10;6f8A59h/32KkY4HtTN49atEHlElnevJuMzD09qnZZZ4wrsDcR8hgc7vYinXNxdsVeGRMH/YqO2kM&#10;Emx1ZnY5OB3rhO1sjn1ZYnCLp0W8dWIIOfwqxp2qSXMuxoDHnggHjNXYZ7BHzKYzI3UNgYqw2m6b&#10;ecxOqyH+63WhoSbuWQCqjB2k81JjOWBxnvWXLp1xZfvoZydv8LnINTabqK3f7rKxyjrE/U/SpsbK&#10;SNJICybgT9KfNF5qKM7dpySKhNxsOxwV9zUVzIGhwGIyDg9KlobM+4iYaTeEnLLMV3Y7Fv8ACscP&#10;cwXsrQzovmAE54HCitSWVl028TduRpBz2Getc5eXckN04t1AhwCQecHABreOsTkekzeR7pot0jIf&#10;XODU6NKFDwjauOdi4rj/ALWZGIk9fWpopPLJMbup/wB4ijlZvzpnWNfOPlaUAEYO/gVJFLOFx8pT&#10;HBIyPzrlGujMAJZCxz0Jq1A/ybTMxBHQHik0CkdZ+8eIsACwHygVUVnmO11OTyVI+9WOl1NHGIlk&#10;LKvv2qZZpUUEhgp561NrFWuXhHbCcFoYpI+6MuMVUvLKxMMot1+zljyEP8qUyxOwaQN9euaX+yzN&#10;GbnczoPuqByfwoWhckrWM63tHglQ2sr+aoyCpyfzFdDYa9rckblNPaYJlS+ccjrzVBLn7MV8i3VB&#10;kbgRzn3rV0Se9e0u7hLXdgOwCnhiTgj9KbZk422EsPFWr31vIYtMRGGRlmGCR6ZNLbeMb6KPbqOj&#10;zg9mjBNY8V5JJIY9oij5KqTyOvH1oluldtoZ0cdwaWg1FsiufEdqwmSSGYs0gZfkwQPSux0Jjf6h&#10;Y3tlBPcxQIMunRSByCT3rllvpJGQllxjByM5rpvB2t3cWqx2WQIpm5Ujvg8ikxWaO0mkW7hinhVZ&#10;EOQQf4QSM575HpXnupxQW9zdx/MQZcLhQAOccH9Pwrs9cd9Htpr5chShEinjfuIAPsRnr3rzmVXn&#10;s7VorxPN35ZdwxjOO/f2pRRnJ3I9TtLu3KXvmOIWGBGjEdO5rU0XxL9veCzkDYVuSQcmu00/S7e+&#10;0GOC4fO5ATkYP+ea5i80KDTNREqt5jLhlDHGB60IErIwfFM5jsHjSQNHPOGALZZcA5rqbWwt/wCz&#10;V4ITbxEDwOvpXHeJkijuLQEBg0rM5HJIB/8ArGuns9W/db7W0mO+XDBztHT3q5LQhGZdW80VwwgS&#10;SSMsdkJHUjjJ9hmpLawlk1SYTXsiCGNMGIANlhzg9hxWuLqGWGWMpuuSMhVGCQTxyfoah+SEsxW3&#10;t1kXLFn3EjvyOnJNSnYaVzPdNR1DUCbPUWjhijVDwG+Ydf0xmsjULO7h1Sfbsu53i3M0fy45xlh6&#10;9a27WI3Sj7MPJjSQovlnEjZ6n6HH1qGPTYra+u3Ikut4UCJZMJx/ef69h61UbdQaGaHcxGYpHIhm&#10;3Y2kcgDGCauyaraT34VLsuobBhPIJ9sDI6c5zUMWlT6ksqXbGNGILLbLt6e/U4rL1K2v/D026DbN&#10;YqFBwBkfWlZSEdBMPtKlY4miWMZVguCv06c+1LaKfN82aeVkOVeJo8lwR046VVs9Uh1GBzayKkka&#10;Fdh+8GpLCaNZbchTMCCZMnlR1/PpxzWTunYB7pc2dzGliXgtuNqMpbIGPlI9ME8+1aUN/dWiSQzJ&#10;JOrvlWQKvXPByeB71HczhdNWeOILJ5gZE2np75/Kr3nQOYTPIpkZeFfGSc847VS7loom+MFwZZNP&#10;lWVzkKCAPr146fpVmHWEl5SPYN53ZBB/+v65p8lot+5mLMUQlSznhfoPXGP84qn/AGXbu0a+aSC2&#10;5FVzj3H9fzokkwGzSKt4zGRSH3AohPOe54+tWlmMojhk7/McHaM+prHmt5o/EKW9qeiglck4U9Tz&#10;/wDX+las9tIsoZJCMsAcAAgY9/rUOCsBGZpI7UAHcC26RnPOew6c4q3DO6yckliACoPfrnp71EFt&#10;1jJlcDbnB7fjSAmOZC+FEnAcD1OADUcoFgpNDGSeoG44bIIzk4FTWiuIoM+YHdS5CDHU+/fkUalc&#10;fY0b5cHsAOW9gfX/ABrZtg22MyJhgM5PWsKkuVARw2ciEM7s3Qkd81bQmM7cZA5J96WZ0EWVP41X&#10;LsZCf4QK5W7iuNndRdgrkFlwfw6fzNNKhQZHPzt39BTZyPMjk34A+U/rxSXkgaAiJWPHJUZ9qunL&#10;lkgZWZjK5VY2kG08jse2a8+1bUtR0jW3knijaCQK6oW4C9uPwr0eykjAf5JY9hI+dCM1514nsZLn&#10;xArrMVQoIisgzgg9sexBr1aVbmlymbR6N4eu4p9DtJECRq8e7YvAHrgVYmhV/mXHTPB61ytnd3UN&#10;rHHbW0ZijQKrNn06469qne51+RQFeCLAHAjz/M/jW3tYrQ1jTk1ojalRlkKbwNynA6ng1Em+QMSc&#10;EdSF9qxZYdYlVS96GycHYoX+VQxaVM0YNxeTsykbgZNuc/5xU+1T2LdGSWpsFJYN04ZSFGWVcjPo&#10;ffHpU8UqTiPduYFishAztI6/596ybdZw7JLMZYI234YZ78ZPp+NX/tSWerbgsr20qhWZYmARu3X1&#10;4H5VSd2ZSiV/EKRIjBVOyWFlXH+7u/8Ar/hVOHaPD9h5GWLLEFBOPMO4H8uD+VWNWulAjhZSsW9s&#10;KwydpRhj2wcf5FZuiW8kn9kEyB3WIlQB8qALgfX73WtDE2Yw1vm5uGRmLFpGY9Qeh9O35VBbyIPN&#10;u1VnM+TjrtB449+Ogp2q3NveSLZowZiwWQDnCr6/jt/Kmx3thE8cjCQQQ/LCXU/Oc5J9DyMAD3ou&#10;iraEiuySNNPlZT/ez8qjoPal81bpmyp2fwyY4/MVJLIpka4uFTc+Ci4yFH+PvUqvvjLbMZxz1qky&#10;GiOGMJuYSs2fXFXYIpCmV2mqjtsbjcPlp8VwFGMneOfxqhFmWN1ALADvjNQFOfu/rUNxMzKHbJbP&#10;QntUBuEY5ZiD3GTVJid+h5ZHcsgJEzkt13BTVS4FzK26O7Icnvn+dRiQZ5kGfQ1IrEDcuwj1FY2R&#10;ve5Vkj1SZsHDsOcgqaXT5bozunmFHHJwvOf6Vs2joCC2N3QVm/6jUZmAIG7P1FFkJ3RpzCW4t0Sa&#10;6aQZ9SpH5dasK0drCPJUzBRx5rfNkeh7VmxlZV3BieeQanlK+TtZWK4/h4qOpd+pTj8VajuKz4nj&#10;/usvI/GrJ1y/NuJEsZmhJ4PUfyq1pcibdkIRQOCQACfrWmfETRAwBgoU4wqDn8qbiiFOb6nPxanJ&#10;exyxtEVSQj5AehzWXci586YmCTYGIOORx711c2pvLEw8uMJIQM7AM1ctp47dgBCiLjDNGdpb6465&#10;oTSBxbOL023lv5/LTauDyZOg9q3Lnw7q8ICrbxypt3B0cflzg5rTu5EGp21xFGm2QkYVQCMY4/Wu&#10;iSNB+9vCWJHyBB90e1ZTq2ehvSpcyZ5vaiNsxyWk7MpxlEJINWHV42QeS0QPG4oRn/69dVpG37PN&#10;L8+Hlbac44HHNbKRpPtWGHt0BH3scfjmr5kzOzizmS13p+nx31xp7i26CUr/AD7iqU2vW77Slyhz&#10;/Djt+NdXI6S5hniVo8lSsi8DHsa4qfSbO8v7tgoihim6RrzjnIApJJlOb6Fi7u47uFXhnVW6FVwK&#10;LCVlTMN5tccHkkk+wHFaNtp2nR2u22JMLp2c8n35qjo/gC4v2SSe8WKEt91OWIz+lPRC55Nkrecs&#10;UlwzrkZLq1bfh26jtvDESyOy7gWY89Catx+BtORhBLNcSxjPBO0gHsSK0JfCFtcaeLKz1GWGFRt2&#10;kB/zzWMpxbsapS3OAupFNzI6MHXcSG6dzimLKzAAON2ODityf4YauM/ZdUgYDopUrn8s1y+radrH&#10;hyWL+0LcBc4SRTlT7Z/xq4pS2F7RxWqL8KyNuLZBXn2Ndl4HjF5rUTsqgRRk9OhGB/WuCtdWe9Ox&#10;YP3g6EHrXqHgGyliM93cxCFiojWMkFmzgk+3SlNOKKU00bnjVBc+FdSi3YZYckjsOP8ACvIbNhdj&#10;7IjFJIm5BGc+teneNnjg0mYSTSIk7KnA6EH/AArz+yNm98Zo3UoDnkY6DH9RShqjnn8R6fCYbTRY&#10;dg8xo0U+W3XPHSsm7Cyea837yUAr5hxhfYVpixQKJ2Yypswct90VlXm6WJjBMoVQeCvbP+FJFnF+&#10;IGjn1nTo51/dlVdsHqOP/r1pWsdv583lPJtRTK7P0Jxx9KwLic/8JXCSxxFGAOehwa6GKCdbKadw&#10;zKVySxGQDwMjrWj2M+pejtbcSwz75I5CgTOBhx/nNWZbaGS14iVgq7ACc+YDnjn+dEO1IIWkbe4i&#10;yikcfUjv/wDrqOecI+2SU/ONzcnKqc4GPxrPqVYpyYjil8p2iGcyOy53c4wMdsH8a0URYiYSFhKx&#10;hiV+6eccVQuLq3d4Y45Y/mkUYAwcVf3STl42IVSdqMOSOfWmyrkd3ci3kg2Zb7QNg988fkOtSLav&#10;NH5MkasVG0gj7w9x+X51U1eOWR7chgv2eQfMx/unHWtCJd4d5ZzgnO6IlRjA9OQPxqNg0OJ1LRLr&#10;SL77fpmQw+Z4vT1AHcVXTxLDNCsMoFuxznbnk9vf1rvIEghiABTyiQdx6/XnpXFeJNAgN+Z4UCpg&#10;k45ycDjirhJSdmTJWNWO9luFtrdJGWORFbKHlsDn+RrpLeFYpCUTPmL/AKxuvvXneganJLq1lHMS&#10;VQFAApJxg9h9a9Jt7OWNvPkEmwk7VbpgjjrSqKzKiNVWSVkDAxP95M/eOO5/pVa9iEd7F9nVYkt4&#10;8jAAHfOfwq1BBcy3LJ5TooG7eBk4Pp6dOtV9VkhsIUfyJVWWN4wzDgk9Bz6E5z7VGoxFYR6uvlfO&#10;GjJZugX/AOv/ACqaZJsmQudpGQcAgA9K5yPTJjrsFpcF4meAuPKmOM888HGR+tdEdNSPK3AdkjGI&#10;5Zbk4/757H8KHNR0BlTy/PCx4jKhtp2seDj1pyBn8tJCCVHHmNjPGcDHoau23hyAD7RBe3SPJyWS&#10;bcvbGAfpUosLiBlWREn2HLOpIkye/vUc6Yhl7Jb3TW7yFdgnGfM4XOD0PQ9K6GNmKBvl4GcnvWXC&#10;sVwyoFVww+bKcceo/OneQ8cjCCYwoo3bVOVPrkGuSs+ZiZJflREEHAJCgjvz/wDrqYk7NqDqo98V&#10;mT3dwy4nXt1U45+hq5BfW7FY5ZRGxXKhvlyaxcGRcsLCXtUBX5gwJz/P9aZdt5UZ4yD02jrUvmKT&#10;jnIAPsapX1yEmQvIioEJwT3zyai+pd0WZ4mdUCDJYAkHg4rhfErxrqVzFJM6GUokZByEYY4/n+Y9&#10;a7P+0oXwUZcADDg9vp7V5F4jlur3WbiYwOkKylQcHDe4+td2Cg3JtkykenwWtzD4bhVZPMmJOXAU&#10;k5JI6nHTAqa2k2RJFOd9wUBYIMkfXsPzrIsNQitNJso5WlFusYd2HJP59hUsvi/TLSQDybv95gAl&#10;Bj+db8l27HRTrKK1Ne9tpplEUeD32AdT1FYd79r+3Q2XlOJJGOArdSB374xUafEKxtmkkt7e5Z2O&#10;08rn64J6Vk6lr8Gp61aTXCGMRk7mckkggHB2jrWqpMmWIVztLTTXSERyOhdBl3DZYn6ZOKgvtKlt&#10;9qXM6mNwfL5ILAjpnpmuQvfGtpbzsum2r+UmcksQX7ZNZ1142vb5PLKtwcgtIzY49zWsINGE6yN3&#10;xBeRx6VJBfKGu4GVVlVwCUIPzD3qLwxCsmlm+uUDQJiCP5yMkfM2QDz1H5Vylzq814izMI2eP5zG&#10;QeRtxznOfaksvFN9YaaLKIRLEdwHy5PNaPYzUludpBepLemVCVhysbFRjdjqowO+T+R71paXE0Qt&#10;RPko6NsiwSqg4OfriuJlvdQggs9u5kYFkUNn5u5/X+dW7HxEttKqyWhhfbwincOfY5Fc9aEpRtE6&#10;Kc4p3aO1ij228cah1bydzgEYIznkH2I7U77NJCzKgPk9ugxWLZa1HbzLGzbsIUMcilcAnPUZz+XY&#10;VrXd8hiZ01CMx4yRGnPsBng0YdSiveCs1L4RjXKzjPQoMHPRj2FO2BoTIuAx5z0xWa9lew3ZeWVZ&#10;PNJwmwM3TjBzx0HOKtRtNPIVto5ZFzu3kfKMfr+ldfMY2JMvJhducnBI5wKQ2xUkb/fpVhYrqGHy&#10;2hKg4y5XqfpUTMm4/vP/AB+snJlpaHkP2Vl5b9RUuVjwrtWhPtSMubaaVVGPMVMgZ9ay4YTqG7yY&#10;GYhsYPHP407jskKSN+9JQVz09KuQWUE0suXOeMD8Aaqy2clmx+1wSJkcbVyP0qvDqTQsxjXGWzlx&#10;TuJs0fspspgUj3joVz1qWRpHifahgKjJU8hvpWfJrDyKN0SEdzmmXeqx3cAWWORZB91geAKFG7E5&#10;Lob5EUanyLeIY7jqavJp8MMTuoDHOa5S11B4Y9vnApj1GauW+uqkx85x5fucmlZiTVjeSGJ5clfx&#10;YcD6VFePbor4jZgMAkcZx0qlJrtvNJGolXAzkYwKnnuIJo8RyIF6k54xUNMtWMyC4eXXIEdvLiQ5&#10;I7DPU12tzrOn29sTBeA+WpwVG76+xP41w2j+Rc6lNNPgpu6EZBFal+kU7RIsq4LdCu0AewrKSTZv&#10;DRM3NKntmsVUbJJAPmU8YzzmrUUrxSMyOQCpGB2ORXJITpesW8oGEY7G44NdcroEYtHz0+X0rTlM&#10;nqOmBlkM3G7qR61zEEd4moXckUabTM4Jb2PSumluIY7YM2RjJO7jArj7G6e6WaRXILyM+0e5zRET&#10;SRoDSgSZY5mgc8singium8FTtJpUpf5tk7BSBzj/APXXJWcZe/IZzgrnGcn0xXUeB7iKGyubaI5a&#10;O4bPPr0/lU1Ni4rU3NQWVH3glc5OVPWobfUSCPlYv1wehFWLgRRqxkDyEcgYzimRCCNAxHDDPPau&#10;N7nUh7ag8py0eMdB3rN8Y2g1nwtcRJ81zCPNVcckL1x+Gavy9VZNpTqRjtTPt0Xm4hZC3TGauMuV&#10;ilHmVjzDQUtxAqsGScMSDnAHH863rC4mgvY7qKZkdG+9nK4/yaj1r7PZeIbuC2t0UkK2F6IxAJFV&#10;43MlqUZtzHnGfukeldsveRxxXKX/ABZrlzq9hHbNIjhHD5HU4zXGiWXfFGnykygZGefatOGZpT5a&#10;Y2jLZI6fjSwQI/zsvyxyBuKIqyIlrI9BfXru4XyYB5RRMynGewIqvcakYLeJGDyO3Em3nJ46D6Vk&#10;6an2pnMc5Lu37wq3UjoPwrcZf7K06acHfJgsSWyBjGBXP9o3toclprRv4wuXuE3BFORt5B46V1Gq&#10;XHnaVKuCQeVJAyORXL+GybjxTf3ZG1dpAJ9Sf/rGtDX9TtobPbGVaQlcgDBC9q0le9jFWNrzykLF&#10;ZvnWMAnPA6Zz9cAVQ+32wVma5hXdj5mOCMe/rzVfWr63XSoSCUkmjD+WTg9M4J7Uyz8OQaloMF9P&#10;80vOI88YyePpTtZXY/ebsi4wg+0+aLmExlcoxYEOTnJHI6AVs2cUaQ/LiQJghhEc+ue+RxXPXmkT&#10;x2xkS4KFOcDoAP5dMVhWuua1qiGO3vrmHyuCUYknP/6qEkGqdmdPru+CxnuoRIs6EEosOFIB5zyT&#10;/WrWmSG6tPPEot1aGOQtgccYPJ6Dis2Pwfrl/bLLNqs+10BKFic5wa52Oe4tCIxcSRmN8uoY9ugH&#10;4/zocU1oDdtztnkWNWZJ/tGCQxDDGT6Y46VzPiDU5Y3jt0MhLnzOOcj0z9M1e8M2EuuySLJLJkAj&#10;KNxyQSfX/wDXRq1pLpWpy2KiWWJkDFpFLbcA/pzWaSixbnMiRdP1izvAnlRAh2G7DFTwRkc+tdpH&#10;4w00kw6Ppck8zYAzIRnv1NcTe25vtRjtEj24yZDGMnHUnFdTZ+GLW2dZYy4CdABggc4J9+cVc5RS&#10;1Em7mgmv6nbPdTy2sWyBduyJ9xAHY89RnNZ0XiC28Q61p0Mu5be03XDh0xvcdFxk1YvtNwrrCNs6&#10;HeSpIOCfX3qva6bKmpxTSFHSIhpXXgZ98np6VmqkbXGm7mtqVzbnxdYMqsGS1O1EUbXwT19/88V0&#10;8E8ckUYZlAUjK7RXnt55i+KbGV3IBR3x3wCTj9K6rTpwEw0ZGE3HIx15/pWFb4Uxpm2+oiNmQPIA&#10;MYGBj8Kh+0iaZ5EYgsdpB68c1jNK5ulb5X+Y7xkgVIuoqlzcRxcu3z7cdB0/LisFcdy+072t4JAf&#10;3cn3sjjPQHPbg/T6VPJcx+Q84JJHDDPI5rJt7mUXQDNiLZjHqf8AIqW6hiIeaLIlLY2p/HnsR+tC&#10;jzbiLcEjC3LFgWdVLA0PDbmXLx5Vxjbjg1VBBjdX+QgBQ2eAecD9KmhuiyqFAZcBhj/PrWThJPQT&#10;RWW3uLcEwTtGBnajjcMc9uKpayb5oZFKRSsVIBD7GUcHoR/hWqzfvclsg8gE9B0B/Q/rVG+cxZde&#10;X2gBF557nH4VUE+bVCZkyXEwtgvkTRvxjjIIA6jGa5nV72N7CC1hM0rNJ5jN9c5HT6V10lxcPcr5&#10;g2Ky9j9KzNY06S6s7NooJGn8tQX38KOO3r716VFJak2NZYB/Y1ouF3hEV8tzjPIqS60eO9dJbfCO&#10;se4qCTubnj+VU9PtLyTTFug7JH90uG5PPTaQfSmefew3SojxSKR0wUJ4xjuP/wBVVGFtR9DLu9JK&#10;Ogl2/LgBgpyW/r61BcwC5uFYsf3hCFVQYAAx1HtitXVLx4oQJYZEboj8EE+vGayFhzZK6ydJd3Bz&#10;9elbIiW5Ql063BZmaUFzjAQd/wAfamR21hEQw+1FuwJUCtHU5MwRlUIwRgtWWUm3puXavJB59DxV&#10;IzklcsWmnxyw3U7CWFcSKX3ZAHPGMfTvWVFah72RQpMSnK5478V0unRyXVpd2g2rIS5Az97joKpa&#10;eoW/nGQ4VVGV5BqugI6PRoRLfWccioUWN8Ejjn/IrGs7MDxVDERIgIdinrycf0roPDqefqEI2uV2&#10;PxjAyCe9ZV7qcB122uNjsY4iMAck+nB/GpepreyIb1Db6ksTyApMxTcRkrzxjFUmhlbVUtY45FLP&#10;hTuw2QO/pW8+kTXV9ZX8p8keZs+Rst9QO1PNtbW3iezaJwcO/nOxyW+ppRSBu5jQT30d5LBFeFrg&#10;j50KkEKPfuPyrqvDetX2oSrFKYFgCFty9Bg4xx0J61VttORfFb3iKWtJIZFWQD5SwPIB/Sl8N2X2&#10;CfUTOpEQmTLqM8EZBH51M9NRx1O0WVUKt5hUcE7D19RTDq1ipIx+eKGvrEyNHGfNBUkEx981jzrZ&#10;PO7C7CgseACAP0rHmZqeYQX01sJAkhcOMEEU62ZbvWI9v3hF1YHg5qtL5Q+dJD/u4pLG7mtL5pYV&#10;OSmDkdq2WoM6198KhpWj8sDqR1P0qs9xEHIXy9nptz+tZi6mjSCS4zIx7tU6alHncPJx2wvShk6M&#10;sE2PHmQltpyDsBGfyq1HBa3MaGIOcdVKAAfpWZLqmYQwBK5wQO9WLfWtqLFb2pz3JOeahyki1FEe&#10;taTBcaRcPFBBHMmDwmGPIzz9Kv6Z4S0JNPje+gVnIBYs5HPpiqdxe3b5jZI4xJhSvGa3ZbWSR0O0&#10;naOCx/zzQpSFOCT0OP1vwxY2+sRvYuy2L8t5mRsPf8KdFo+nFW2R+YCMBi7D+RqfxJe2yXUdnLHK&#10;kq5LsWz24rCGorECkXmAA+tbJOxjdI6XT7TS7IcnynH8QYn+dVb+wt9TuFEN6s0pOEU5Uj+lYX24&#10;kE8DnnNWbe4iR1kQsWB6E4/Klya3NPaaWNRdInWxZbu6Y7T8iHB2++RVfQGvtYumjnvbj7PFnHl4&#10;Un8ar3WoyXMitvKsBjnHNb3he3C6XJsiV5HkwSTgAVNR2jccNZGmNFjnTyrma6miYYKM4G78QAap&#10;p4Lsba48yK8uIVBxtUg8d+tap067QboWJl/vg5p4Se1g8y7ZWYnt3rkjN30OuUFYzR4XtZ2kMF7f&#10;CVerBhwOnpUNtot34clJsdXQLMPmFxFuO71471bguryAtNbMUUtgnP3RT4bb7TcW4YvJjJLHua1l&#10;JpGUbN6kY1jW9PYy3bw38B4xGvluCfqKmi8VrLH5Y0aYHHI81OP1o1S3SNHi3LlnX5ifu1kLApfc&#10;jhz3Oe1TG0lqjRprZl6fWr2LBGmXAj6EB0bH4g5qv/atzbq8kOnyFzyAFySfzNNM3lhl81SRwN3G&#10;KI1VcOWUnrkGq5EGrOec6x9plu5rOcyyvvZihxVy0Q3H7ySKSBweCwO0n0raLNKOmee1Z2oSzwQS&#10;KjYA5GT0Oa15tLGUqfLrcYsTI87FD0OQQMgZ4qOOdLSNpZAWTeq4GO55/lUmn3E1xpkjOmd2UBz9&#10;f84rMu22WkVu6qm18ksetVcxvrc7HS7i2t7cOrrG7jLY4yc1du7lbvRZ0wSWBGfXg1y1ikd5CXlI&#10;/dgKST37V1FoYrPSDHDJlv4mI9x2rnlHW5tfmVkef6NdajDvhtGxNJIMFu/+ea7V9F12cNPINNd9&#10;vT7OMj0OSOtc9o6D+1HYdUfgt35r0r7ffl42ghSSPrJhOfw9KdSb6GUYXORt/C76jHIb+733hJPy&#10;cBR7D9DW0hTTLJLd8AIuF96reJPGF5peyOPT45W5becgjBHpVe/1WTU9PjuHiEPmpnvlfb/69TKM&#10;ppXN4OMWJe3xkhmFvMUlEZdXwCuAOmDVDwZJbW01+bh1MhCMwVOB970qvBC8NzEBMBCwWKUuc5yO&#10;/v8A41Ho1nbxXd1bgOJEIVlJ5JBPp2rXktEzUrz1PTrbxVo8VvGrSPuVQCPLPHFeb6o0M3iiYWi/&#10;uZG3BWXoOtb8Wn28VriVWBc5zyeD2/nWHfDybt5Ymy7R4UEdSKmGhU0nqbOgXtvo90813C5BXC+U&#10;vP8AMVz/AIj8QQy63fKBIIuBGWbJXp19e9Q2X9pX1z5U0ckKEEluxA//AFVhXUUYv7sSAhNxA/M4&#10;q1HXUzna2hv+HbcXmmXlwojEzyKI3kzwBkn9TXYC8C2wQrGWySTuHPFcXoOszaPpaR29nHcvJKRt&#10;f+HjOfx/pW0+vas0Rk/sG1KBtvLH/ConDmY4cq3LGo6iGn3RZjDDBPBBFUtPmmjuljlCyxtkqxbk&#10;HHXjiqGtSNeQI4h8h9nzJCvfvWP4duZV1NALh2iDfMpB9cD9aSpaETdmbOozonii1BxtCPGc5xzx&#10;/Wti3vLmF2cJxs6EjB56+2K5S41G4v8AXbOW8RQiSlQVABYA8k4rrdFjF1JNM8XkofuGRtxx247V&#10;NWGiuKOosUzyXYl+VxnHDEL1z+NW/MtBfxl7hGaRCU2DA2+nv1rBupruMnexIzlWVwoIqbTCyPG8&#10;pYKWVcl/urUKGhaWpqXMhW+tYQcq2SCGBP8AnmtuwAWJ3lGJAANp/hPXP6/55rmc3LazbIyyRsSz&#10;Qs2CSPf8M10UW1vO89s8ABWHTuT75xUuCKUSYxxzBiPlDDjnAbpVAyRpcsoXBU5yOdwH4exqNLtW&#10;hDtcqhGFZSCMZP8AgKjupoI5UcyqHz+8C9cMcf1FQoClZF+3ti0GZ2ePzGwoU8AdhmkxHb27ktkl&#10;jhz0A9P51ae4s57R3julfZx8uetUtKntL61USXa5ZdzRgcjPb61i+dSuTcbKkjxSEjaYo2dzjOfw&#10;+n86zmF/FpwZXLu20fKuCPm7574x+Qrca+tSrW7Sks4I5XjHb+VZ6SGK6COxdGO52fk8+xGB09a7&#10;KLbWomUbiaK3mjitHYxofun7hyAc+1L9oJcSbQrgFhhanvI9MDxlp5VDDaDjI/TvSXNzoVuEdrq4&#10;KKMjow57e9bWfQEZl5dG4jTdtO08DYPT3H1rNvi01udqqpGMADAzWvd3Xh2CKORvtEgfkbG5X6im&#10;TXvhtrd/s4vTMVOzjofemozQmkY86PFHEgZkbAJCtkbu/tUiyXAuY3a5LFf76Z98cYqSO/0yO3CX&#10;FrOZU5YtJgdc8AVPFq2hGSMNay7Tn5lY5HtzVe9ciyMxLk+XOHgZJfNbcisQFYjqP51nWbLbPMyT&#10;Sgng/KePyrVttT0eGe7a5tpnDyjbg/w4GO9M0u70q0u7o32nyzRyMDGF4Kj359Ku2gtDV0G4eFxe&#10;xyHEasDuyAxPQcj61JFp9jZm2kMsVzezTjzH3Z8pCRkKB0PPWjw9qIvNf/0AT29oB+6gb5lI7k5P&#10;U/pXYahaW11JHJIIwFOGBHUd6WqNYxuh40qAPHIskhWJhIoJ3Ln/AD71h69pFvBeRsk7edcOVAC8&#10;IWYZP4Fq3rfQ9Ma3XNoiM3AZJGjx/wB8kVm32ibp4/s13N5aEf6x9+DxyCeR+BprcbgUL2DULO0F&#10;i0GxLeXfFMrD96GbLDHbvWvD9q03RFMsKh0iSL5m3bsHGTimm01QWaRvexzKB/y2gDZP1zmotVfV&#10;jaSB2sXUANtKspb6daUtRclin/a96kxmAjEeMZZe3P8AjUM91f3UzTg22G9CR7etNlaYx7J1s44V&#10;URkmZhg+v3aYlzp0ahVvbQAf9Pn/ANhU2Mrs86ENypw23I6/MDTt91b3G6ExvxyS/FQq+MnkA9hT&#10;mb5RnFaJWNnqhzzXMkyobOMu/AKtgU+JtQt5GU2MW5f73T8DUKu4KMecEYrRSVmJLDDHsKZDKs02&#10;tJiZ7EhMcFY8j9KW2udSd1JtJQrH7xGBVqSWRgUzgA8jNQ9eDgE1LVwVy/cQzxCN4G8yVWDMuMdP&#10;fP8ASukXXoxbo0tlds5Ub9gBUfiDXGhygK9MjqD1qQXUqKPKkZV9jRyl+pV1jT9Xv9Ue7ewmVZDh&#10;RwSB09arSaNqMQ4tXb124P8AKtUO0r7ppWIH8Rpkl7H5/lRySbAcbjxVXsS4IzEsLvLEWk5KjLfu&#10;zx+lRRyL5oQA+YT93HOfpW415cR/dmYr2G6mPKLuaBmUtMr8E9SCO5o5hcl3YzGstVMhKw5XtyDX&#10;QaTrzaVYtaz6fOzjLAp0z6VdSFmXIwrc8eoqpNK4faYsgD73YCspS5tzeNLl1TNBPGsG3y3tbqLc&#10;ORt6H2INQnXWOCLe8lB+6JMcj8Tmo4YILlAwxkdsVFLazxuNjblPbd0qFCG5bcrF+DxC8LbZtKu5&#10;U6qqJ+dWb3xhCqx/ZdOu/Mbhh5WCg/xrFiv7qGb92FQj3zmp7DU7yPVY5HgCYQ4CnOR0pySsRFO5&#10;Dc3U+oKkiRzr8+SzoR2PXPFNKXkQwsFzv7ssTf4V139syFBIJQOOVznHtzWdNrFw8hALKevXOKx5&#10;0mdPI31OVuHuYx/x7zlzxzG1QrdXVuFaVXSNjt+ZGH5V2UM7TRnzJmPHr0rPvDK4s1km80LOu1cc&#10;4z1q41U9CXTaV7mNBqUrkJCWYtxtXOTUd7NNHbsZVbltuGyMGuosLpEu7wLL8jOcFRn2qv4g0/zr&#10;U3UD7hJtZoz/ABVsrHPNuxkWUzmwFsQd5DEc/wAQ5rNvbn5IQIlMhzktzmr91ZXNlDv4Ow5Vlbqf&#10;aoZ4Tqaxw/LFOFwrsMA56g+9X1Oe7DSjK0rGQIVcbf3h+XOeDxXR2l5GsSwS7IkH3m7Hnsc1xQuT&#10;Fcwqo/dxNwPXnnNa2qyzWdwmy3JaQq0czL+7IwOmeDwRUyjc0hNov5gi1e5aJgY2wwb0Nd9pmsaX&#10;Y6eRLcS5zljtyBntnPtivL/LuIJd0rxyb13ExMCAPTjpVu4u9LkZYbm2vjKQCWhkXH5Go5LsanY7&#10;DUL7QrtSjXELsV2rJhsrkfrzT0gs3jhiW7JRhwyrwMdBjp/+quStbS0urgSQwTpEgxJJMysV6kYx&#10;0PFaSQDTzAwlVvNQsZCcH1GfTmiSsOMrs15dBjZHKNtbBOGHU9T+NVltLNDLqSSS751XeDtGCq4G&#10;ec549OafE4kxAZILq5ADCJ3BIOOp9elNufCiusMv2tlukZWYK++NsdsFf8az5raM05W9UVUv0MMr&#10;25LgNli0oZVPccfWsK71SGKWJ5X+Y/Ngckc1vXlpa2Nysk8kcMcy5HkD5S3cEcY7GuF1uxulma/Z&#10;N1vM7bXUcZBxj2P+NaU1FmdTmSsddH4ps5UmWJ2JaE+WHGMHJOK4VpLi4ujtZnkZsnj0qvCWM6Ko&#10;JJOAB1zXQabZiKS6acFD5RCblI5rdpRMLyeg7SN7OyuCSr5GB9f8/jXURW4k2I2DvGRkkD271m6J&#10;4dvL+FruzZNzHYY3faxP0+n86uQHULa4e0ubGWEQtsLNwcg9celYykuh0RVlqa0+k3EaGQeVEm3O&#10;cEg9PrXGiyGnX0Sq+4SXik8dQoz/AOzfpXp2lvc30UccLRO33izPgL9T6VgeJdDmOrwu0sIf5pRt&#10;kHz+4Ppn+VTSlbcdSN1dHJCF2W0upnKn7W8ICrzu4PPp1rq9CSZNKmklJwScH1HTp9Qa53VIb2xt&#10;tPtrgxCJLjcAh5yQOT+ArpbCV7jRjBGwIVOOOByc5P406rTWhlBamFcXKZaKdiu5/kHkAHb2A9a0&#10;LCNTcKiAsomBRcBug/zxWFegXuqNFwzRgAFCSM10vh7Tma4im43xMcgHjkZ/rWbVomyepbOxvFNu&#10;088eyOEny8YY8EHHv3roIfLlkiNumITncxOGX8PesK+gMnimzgU7maJ1bnJwefwrfWWLSrGSFiDK&#10;clFLZP0/z61n0LRznjC4ihkSfkxZOV7uR0H5mvP5dSvnlYyMdz8sfTmut8UyG9kgm2gAMUCqcgAf&#10;/XzWJpm1tSkszGfuElh14HT9a6qUFy6nFWm1KyLz3d1BpdtuG1pW3KAOTkda0tIt5bQxzIzOgGWL&#10;Db2x0qGzu7a4a3N1JtSxiO8FcAsM8/8AfIzXV2ElvfafHNakSRMDjaOo/wAipdNBB3ZgvaSo9vM2&#10;XeI5APfv/jVFI7/+0JnjeAo43PHNkFQPTPT0+tdTNC0mnzFnLMqMz8EduR+prBsdMsJbSRpxFcSk&#10;EgkbeAOOfp1pRjZGs/ddjlP7R3RTSNcSK2QAA2cAjPT8+a6NNPjmEEm2QGRdx3HJOeenb6elcffw&#10;q8stsIfn3rGJGOAoXgZ/UZr0rSLXOh2GW2gQJ+J2itHoStUYsmnwBmZwxKr8q5wBz/niqLaWztJJ&#10;abzEDlQ3YV1zWkRj3Jgc424qOKAQ2jI24LgjkdKtbEPexw9zYyShZYx8ocKwz196J9NRQs6nBPAH&#10;YEf44rqDEPsISGNWKy4x0OM81nXts8FnFDFF5nmn5jjhDnNF0FjHttMn85lJ3ZICYIPrTreBbpUh&#10;Cnhx5oX04yPzq/oSNJrZXbtbCAgnBHzcin2+npBqFzNvyu3cASOfm/8A1Ubk3NjRrFrK/XPysq44&#10;6kcc+5po+2S66IJLqYRMzkIxyMf1rSskMM5kMuCVyWxn04qg+sG51OA+TtSDIYsDubHapaNYy0LU&#10;2oahb61b2CXH7kykbTjGNoPp7mp7/Xr621yK0Qw/ZnkKnKgkDGeP1onkXUBY6quRi58vaw6DOOSD&#10;7VS1q8UazCvl5+xszl/7+QDxS6j5jQh1a8n8QR2oaI27xM2NuTkE4/xpunXlzq819bXgRRAyFGRc&#10;HHWq093bq2na6odU8loxH3GDjr+NW7WxXVLW4usEnUIBIUfJwV4xnv09KZPM2VtX1OSJrS2tky81&#10;wsZQoMkdSfyFb0GwQIJLZQ+OdoGP5VyV3Gf7fhgjikK2Vu7u0QyVLEKuc89BXadCQAuMn+dIk8mh&#10;8GahOzBZbbI4wJRzSy+CtTjkCMYAwGcGQV376CsS7rYHOM53HrWRdSNbSn7WPnUgMWNLmN7HOf8A&#10;CB6xlD/o7Z6YmFXB4H1pVOY4QR6TCtaO9uIkWe3yVPSQKMCnR69fLGQ5ypJySBTuw5Tm/wDhEta8&#10;0AwK7Husqn+tXW8D6x5WXjjD7vu+YvTFbdprNxczra2xUSnIAK5x+NOvI762nBuLl1cjcDu4HtS5&#10;i+RHLy+EtWjyBFHgDr5gNWLXwNrcibjbxAdeZRWtZXF1d3LxI7s6/N8w61ulNbZCglVcKCT/APqo&#10;5g5DiJvCOuAeUbZACeocYpB4K1UqUNqrOMHKuDXX3b30HyCZJQoBY7SKo2+q6jC7BR5ZxnJGT+dH&#10;MLlMd/BOr+Wqx26k4/vioIvBGvQXkMzWgKKckBxW5/bGoSSsjT45xkdakl1rVV+TBIHAKY/WjmKU&#10;epFFomsSylTp+1ezF1H5DNWB4W1IqVktoMY7yjAp9pLrFxMmbt1PUg/wjv0rUmS/lBX7YXO/YGGM&#10;dOtRdF3OXbwhqu//AEYWeByWL5NTJ4Q1R1VmjtkY8/LJkGugm03VYv8AU3RLHqd+AT9K1NKSaNI1&#10;ueZOd2KVxXRxkfg7U943tZhcZyMmpR4Mv1uRKLuEKUK4A6e9dzcW0c0OEkkjYdGU1yt02qadfqJJ&#10;JpIi4w3UEUmJMp/8IZdHrco3oQKmt/B08LsJLoNGRnaUOVPsa7KEwxleDvcYzjpTsnftBGMeuSan&#10;lQ3NnJp4PkmGPtjquf7vapv+EGUz28q3r7omyAF4I9DXUxTkhlCkAHFRNdFNzIgAXqTQopDc20YU&#10;fg+CCSUCSRQ7FhsTGM0SeEIGgWIzuU6ZwSTW8ZZduGc7ieCD2qrLNG0hzI6S9sZqrkHK694TSG0a&#10;a2unLIABGyAAKB2/nXDfZRPcAQO0lzng4IyeMda9kuiXsXSQhyw+ViMEV5lYaNeXVvcGBJLcl9rz&#10;EgAD1ye3TpWsZGco6jLPQLfV/ElpZ+WpB+e6aNscgZYD27fjWj8TLtGWHTUUHygCoA+6OnGK6Dw7&#10;pEHh7SptS+1JI7ggSYxheeh9yKs6H4Zj1O7PiG+txn/lgsrYVgOjnJ/Kpc9QUdDyuaGXS4IIrqJo&#10;G2bvmTDEH2qO51KxnLkIwZgBkgH+ld14o8Farr+sG4k1HTl6hYzPyPTtisSb4ReJSjSW62kiqMhV&#10;uAS30raDja9zGaknojlHnure3VUuH2DsvA/+vWpZXguZVM4KKYwrFjkEgdaS5sL7TIVtNRtJI5Vy&#10;Ckgxjrz6VBbRt5RlCO0ZOBx3xSlqON7m1FJBbavBdyT23lQAkuj/ADOeevr2rTHiuG7QSICnUYPQ&#10;1xF9uCYxgVr29rFDp6Ic+YRx+VYzpxerNo1JJm/a3cGrP5MiplMuCcdfx+tdbYeEIL+1RtQj/c4+&#10;5/eBPc9vrXk8N5BZyO+4liCuBmrkU+taxKiW9xcrG7bc+aVT+ddFLCSkrmdTFWdj11NI8KWsH2Yx&#10;6UdhyOV3KR0ORzVTW9QtLJYpY7oTW8jbDsl8wKfQivI5NS1TSL17K7vbuMjg7JTwPXjrUdprMthJ&#10;FcSO04ldkud7E7x2P15NOpRbVluRTqrmTZ6xptnBMhEShLfaGVBjByATuHrk/wAq5bxLeahF4hSR&#10;pcW0kKt5bYCkr8pHP+0prZ8Pa3Z3+uTQ2JaSNI05K46ge/4Vi/ESzkuPsskFrNNLCz7wiFgEJ3DO&#10;PctXNhv3dZxqHbiPfpKUBln4g1LS2MMGnxCGYiSQCP5ymOgbpitrTLqHVoxel1hukBEVtnIZB2Oe&#10;hrlr7WrGOzWGPTDA2As4jmLKpHGApOPes6LV47iSKHTUkjwwZ3PUkd62nFSd0cqlZWN3xW8lw9q8&#10;9xb7zcL+6jcEqMe341tD+xtJtXSTU7ZEI+7uLfhx1+lcjqdm1vFDO425nBVQmOpJ5OK0Z9Ft3s2k&#10;vWugH5ZmhUdsZIBzWemxSbexX1LxPo0lwUsbJrgg8Sh/L/ICtC11B7S4Lx3StbydWJGTwAPxrm7v&#10;wcYHjFvOXSQ/dfCsQfT8K6Q+EZPJSzW4mEsREgViu4gjI789O1E1FrQIuV9h8F9Imv291JG24RE/&#10;KN3rxx71avNQa4zdNEs6J9xgpC5Oce/A/nVeLQNWh8x7m6aORVPzxld2OeoJznmpJLN7ew+zMBJI&#10;QAy7uck8Y/AVjZI1VzX0iKKGxSO5tPMZiNjhd27j9Kv3dlFuUJDGBjLlFGQOnX6nFY+lsLaVAiXD&#10;IGwBIcjPoK7O18OTBvMZVRJCX2h+Ce1NTeyJlTT1ON0PSYZTrtu8SMr3LrtCg7VaMA/zre0nTodK&#10;sltLcfJGDt/E5/qaNH0qWLxLq9srrHLGiSEHnerA9f0rdXSLmIO0kkT/AC4B24AP9a2Unaxg4WZz&#10;OmxefbX+3/n4mTH0OK85t7XUDfwR3LBElIIycZA44r2uLSGQsESJNxLvtyMsepry2dWN1NNNIbcx&#10;XDbSp5wCR0xxwDTQ5JnJzITfmQsZJRluUADfKThunbA7Y5r1DS5ceHNNIQAG2iI7j7gqST4f6dq1&#10;ql20EpMyBtxl5IIzgity30MW1hBaLFI0cMaxgnBOAMD8ap+QJHIz3tz5+1FiUZ4496nlmmlgKSMu&#10;JEbdxWjL4ZuDdGSOWVfmztaHIH5Gm6hpU9vEJ2ccK3yBeemTxmuKUa3NudidHl21OS0/UxHqNray&#10;hNkhO7g8DvXQ6bqKx6pJDPDELVwzFO4I4GPwrjrXUDFbXim1V/JXO/BDNk8qCKhhvIpIoJCkoDbt&#10;qK+CMdRnHPeulJnI3Hm0N638v/hKzLGqmMoA5Y9g+M57ED9KzdGuoU1+RnI8t0/h53EdvzNQahIb&#10;G98mzjdAYWSQu244IBP0rM0TVxZTNNBbKzBt6B+Qvr/StEu5nPc9Js7qO4dHuJGhdXPlwsu1j6H3&#10;PtWfqccUA877GgdySW2kFh3yPXrSW3iWTUFUW9k6yRkndnrn+VW2XUprRF8hJgQE3yoGKngcHpWc&#10;522NacOZF4W1hEq28HzRBvM2M2duP5GqGsPbrZrPFbq0jjDNgbs4pLbQp52coZSAcN83UjtWhB4P&#10;nlkaWVk3EDBY5P5Vmqjvsbeyj3MC5KXl1qGi2yBIYokaJi5IOTk4z059K6HT7cW1gscMYT5drFG9&#10;R25rOubS60PURb+VGYnUHzPTn1P41lXesy3E0qqGW2tiVDdA5x27Hoa2i7mM4qOxZS5tV1XXLm4V&#10;yA6QxspIDlfU59Wrq3K725HU15lpZW/tYBPJL5ZleWfyiDuJy2R9MV6WwBZic5ye1BkY41uW42+V&#10;EVJwpIGfxzV26sIbtN06lpTgBj1P1xXN20ouNPWN5Udi2NiNg89ye1PhMVvj9+7YyCVlyM+nvWZ0&#10;GxFNlRp81mkcCYAyAQ1Z+vh4IEijt4oot/Cq2c++O1Ogv03qJosBuiN1wO9aUslsywSvCX5AUFCx&#10;yeOppvYEzjoZlilLtJ5Eo9DjA/CliaW+vUWW5acbxt8w5yPTmjVI5ptTkV41IU5wg4GOtQaYUhu0&#10;mkV5IA3KK3J+lSaG9pWlXRu5ph8ixMNp3cdeldFJMqwuQ5cu20kHP5ViG6lQRIkT2sJbO1jnPPen&#10;yyyWt07IPNTaS6A5+Y96BXubEIR1kAi2/IqLG5xkeuKh+zLFOyiFGTJ3vnsev86zrfVXaI3EoVH3&#10;BdxH3x/StB9Qa509NiLnkkfTP6f4UxmUbLybieQMNuRjjkDoM0pEDRu4Ks7HHJ6celW3gjjtvPlV&#10;mjbaWCnO084pLKxlnzGyRo5XlwwYkZ4xj+tNDG28qQWxmIWOc5j254A6/wAqs2UIkUK7jBbcI5OC&#10;TVy3061jiWSdFlmVcYqJ1it3MrwB5FH+tzjGe31qWBrEOw2ROYzjGdvAp/2URldgUN3YcbqrWu6S&#10;FWH7uPPQ8sw/pVx2jK/MxATqAeg70iGhZA4UhFK+p9agaFmiLyE8cZxmpo9rOh+0BgfujOMfj3qQ&#10;tjuc88KM0CK0UsEi/u38w5xj0p8cQDbVzhsj8KEu4C+3cFPYEYyanKRy7SHGRzwaBESxrGWXoAMk&#10;5rMSclpIiQxUkEZ7c81quwD425J4PvXIaybmw1l2t0YiTByBgL2/KgpHRC7jjEcUgIJHWq8gMk5O&#10;G4bJIPNZlvNKbYPK/wC+J+ZT0H0q5DOJgD8w9sdKCi2Qzw7+eBgAnnp3rzp31zXNUGnSXEdhE8mx&#10;FP3j2GFHPv8AhXeRmUuWwTE3Tnr7VjaXoA0rW7nxLcIuXcmFHHGCOW9vammRI6+60uwhsbW3uvnt&#10;bZFCxE8vj19vWue8a62bW1aEMQm3eoxlfoB2xWQPGJ1fxFNKqtLZ2KGVwv8AEQcBa5q/8QJqHh2W&#10;31FZUnMjGNj9cj8OcVnZtmsbRTbL9t4hto9BFzL+9kB2Ngck+1dD4e1SRbK2urq+nlnlOYoEPLfh&#10;XkcsOpWsMMdzbyRxz/NGWGN445/UV3+hTLo+nNJsE9+ylPnPAI6KPQU6lNwVzSlV9q7Hc63on9tw&#10;Q3l4qyXMZGI0JwoPP41z7+H1tkkC+agKkDatafgLxDNf2sgv3xJv3fN6Ht+GK70FGAKqCD3FJSbM&#10;6kVGR8/3mg6gRJizlyeV+TioNRa507TvMuIHR9ojGVwM19DsikngfiK8J+Lmsi88RjTIcCKzT5tv&#10;d25P5DFbU03I56jSWhwUc+JQXG4bskZ6117M13Ybc7QV+RE4CD0FcR3FdVYXI+yKQecc17mDfM2j&#10;y8TdJNGLdwSROTJk+mTVbzWZSvYnOK3NQImReBmsiJRHOGZAwHY0q9C000OlU5o3Zv6VfSaJqiNA&#10;fLllRUO5c9Rn+eK6TVVlu7gvLfut3JbBoo1JC5UYJ4/2getcRdzM01vN1fcDz3x2rvZ7DULrTo2k&#10;t1eRZHEgiQj5CcjHp3rzcYoQqpnfhpuUHE83/tGVkZJyzMScnecYqbTmvS/+gW7yE8fIpOPyrt7L&#10;wNfXOtJdw2FvaRQRBljnfd5rY5POefr6V20Xh2b+zxdyW9nHcyKeAAhU+/QGsXV0KVJvVnGa/bz2&#10;Wjwx3RG+WVGALfMMdQQOOOK0YfETbkCyRAE7dz/e2gDsBz3qh4ojaTToJ5ARM0ib+hBYcYx27VUh&#10;2TTbo7tG2IA25gCBjGM9etZt31NIqx0FvqllKss91HFNMmFjlchiePu5OOoNRm6j1OdwsX2OTZgF&#10;XByOR2PHUfl71UtrZE3i6MDtJtWP5898c+mAeoqlqF2LHVo5ZHkFvkebGPvEegNItbm7cXZFwkDq&#10;WKnJ2t1UD8M1Jq13E7yt5ZJjTapQgYOc5xjnt9MVlS3p1GVZwwjIj2uw52jtyO+OtaKJFb3EXmyZ&#10;CMQD14PPP41DK5iXTLV7lA5cqwGclcgH1FdYNelsLXbNcbhGn3sf1rFhnW1ma5I/0Jidx/uYPJ47&#10;cKPzqvdWU9/dxR70EM370rg8AY/nn9KzTaZLLGmatIvjO3kcuz30fku/cYIIHp0r0EAyyZ4Ma/dy&#10;evvXkl5CbbxBpiwOhm87kIT8mMD/ABr1GyvY2jCZAZRg5raMyHE0wVXAHHrXjmrSRpqWsRExny5C&#10;Qo42kHI56dcV66sgZj7d68H8VSwN411O3eAkCXC7AM57fnWqZnPQ9e8FSre+ENNlBLfuipJ9iR/S&#10;ugaLA6DpXK+DW/s7wpaQqodVLj733fmJxx7mte51wQQvM8eI4xuZs9BU3KiYPirxBe6NIIorVSrr&#10;w+SefwryXxH4q1ZJFhbzIBJncFbG4dDyOTxXceMPEbX5t5tOZLi0HDADLbupyB26fjXG6zaQ39pE&#10;0mfNQkgcDqM/zFNT1sKSdjm01G9AEdtM6g/NsLdenepYNRvY0WRZMTOGDcYwR/8ArrPvLeVSi7Gy&#10;ANxHatbSo4Li0jWTdt3OSfpWysYbD49Su7vUI5WlPnRIwAI5zj/P5VLpOo3Nm7C0gSJiu2STy/mH&#10;PX3qqkaQygROuWLHluSOn+NWtHhb7RM0rY4yMt/ShsDQtNS1dmlZpnlwrMrL0yOMYP1/SmvrWpMi&#10;iGSRcqGLAcKec49e1PLwyj7OEYkSHheh/wA5rQMKRWRDxEk46Hpj/HNZNahzPZGTP4o1i1kjEDzP&#10;GozknGSfaq9z4/19yixMYtoIODuJ9+asXttLFJlVcxkggKB6VSngllAWEFSp6HBJHSrvEXNIpzeL&#10;9bmn8ye4Z3wBlgM4HbpUMmt3V6JFnwcqcAY+8eM/Xmuji0dWjLSRRlgBlmOADjvWLfNY2dypd4pB&#10;GSQkDA5PahNdA1L2nXFxFo0wicIWkVQVPGBgHHfo2DXqM/mfaJMOR8x49K8qsblmhtFjgCCdZeck&#10;sP8AO0V6zIqea27dnJ6VLLRxWnuskjtJOIkkXDhoQFPsD60osgrSGxVwqjAKsVx+dC3Cm+/eNctk&#10;8oy/KvvzVybLodybSx2kDjA7Gsi+Zmdp6GCfzJ51m25yAc7R7+tbMGoXl5OmZS1uMlARhh6VmPbx&#10;Qy7o45NhOFO4c1bkaPyDPcsYyuBhcHC1W407FrULKGewD4AZCfu9Wz/9em6dbvbyQBrGELI3DEHK&#10;nBxn8aZpdx9oZWhiJHOdx9Pr7VfvT9oi2LI6yq25COhI559qLGqZm6kkvlSiE/JuBdfcH1qOF50g&#10;3IylGUbmHIZqdLP5sUttJGV+VuV6E/Ws+3heXTljAJQNkgEZDdBSJv2NaIsIJmiQthwcDj86keQ3&#10;FuqRoqMAN+W6isu3WQRzsbhkj4whHXB/wqwLdYLxGVS53nzA4+XoMUi7m/ID5ADSAQqdrq3G7pTY&#10;bVl1CJ7Moitw4243HtzVcXbxygFdyOAAxQAcHmryXsqXltEhDK2QTt4/zihsaYjSOpf940sxJ2wh&#10;cbQOuatWm6aPcSGYjI9AKesQaRgIVA3YL5I47/rUSiK1lkitw6bjkjOQTSEnqWS5mgdIyZZc/wAP&#10;Hf8AlU8eVUMQHPRsdKIDvQrtUE9ccZFMZnVAI1VlHHBwTSuFy0sgwFS3Pr2qJbqUzFJIJI1xnOMj&#10;86hSJzABEywscknO/v0607MySDftIH3j6/hTJZa8xHIPGPXpT0EG7cNvHfvUJdSQSMjPC1BLeeWc&#10;iIhCT/D6UmBoMFBJxlSK5fXJGtdShmQMY3UozE8DB4x+ZrcScXKDy93/AAIYrI1+0aSzjD7GUSfN&#10;vHTjtimOJGLSWeISNLsyeFI4qzDER8hQLxyc8GodPdtvlsB5WwYYevTv+FX7fyiJUY4+bvycf0oL&#10;Kl9KLcxKr7d2flx96s/U7DV/ENkLSElIAQC/RQPf1NXtbVBHGw5cng/rWPf+MG8O6ZHF5LSPKzMh&#10;A44xU63EZHi4/wDCJQ22n6eyoJYzJKyKMs/T9O31rhLe9kn1OCWcwuI1xsnzsOF6HHr/ADrZ1ZL3&#10;WtPk1PUbraYySkW3hsgHg1ycE5inWcrG6h93lseD7GuilFdTCrNtWRuT6RqHlxSTaZIPtkgW23Zw&#10;D6Dn+faug8O2V4hk06dGt1gb94x52d+tckuqXc04HlpIiyGUW5zt3EdeDn9au6Jf6jMXsLa4EcDt&#10;ukDDqemCeuKqtG8RYeTjM7Xw9dxHUb5YZcxy71UEcn0Ndlo921pcxhpwYhlW+nbNYHhHQZNHn/tG&#10;UICVZQgIdACD/P8ASuss7I3cnmOq7c5LHofpXDZXujuqO71OgjnSY/LXzT46ikg8baskzBnMxYlT&#10;64NfR9xNFYWkkxKrHEhckDsBmvl6+updY1u7u5GJeeRpCT7mu3DxbehxVtEZ4NbOnSZi2ehzWVIq&#10;q2Fz0q3pz4uNn94Yr0cNJxqHDWXNA0p2J21EIgTT5uGUUL1r1HZvU4k7IjsbSbU9bs7C3XdI0qqB&#10;+PP6V9Kz6bDPHGYxFHNH9xuxPTmvnvwgfJ+IOme84r6KChfmGAT3xXzmMblU1PYwytG6Ob1DT9T3&#10;gpYQvJuB86FyP++gRn9TXHNq0l6L23VpYpl3Kyzrja3OSMn1xXq+crjcQPTFY2vSWkNpiWNGdmAD&#10;FM4J7muNuyOrnPOEZpIJrSeJJlO0l1YSfMOvTpVaCObTDJDHCrxykESbcZ9s+tdTp2wIbiOxEcLu&#10;dhxjc3rir0sUN5DtdULKATkAY59653XadrGfOmzkNTllVgTEVdIvmnMgPI5ORXN6xeSTwEmY9ugw&#10;Cc+ldrd2aIJYmadiRuDDBBB9q8/1qW1Yi3tQyoGAJc11U3zFT0RoWaSrpR6hWk2t2wSo/wAa0k1E&#10;OjO+CFQcA9cAD8+awrO8f7TPBbyR7WUtluN2AOMevHFVYbkDc+c9VYdetauBnGZ2Vnqry24TzPlZ&#10;WUoeeTnP86fpdzO8kpuWYSRL9nQA/KxXGPzya5eO4MLsP4Q28D1B4qxHfxQ3QkiUuAGA56tnrj86&#10;hw0K5jvrK3t5nkuBsWViPLI5KgZGQfqOTViTUBE6uZXkYc4xtB/EcfhVHQ7mNGtFMYMZX9+T/DgD&#10;HHfkmtLxRp6RwWzxJxvyRjBP8uOlZNcqLvc6XTL7z40VjwfmJxXi3iq6MPjvVZVYg+eRgfQV6JpN&#10;39mIDkAY5wfQAZ/nXlfiWcTeJtQl3K2+ZiMfWtaD5kZVEe0/Dw+b4KtmbJBkkPzcn75q/e2iJN9w&#10;Mh55GRWJ8NrlP+EKt03AFZHyPbca64KlwgyOo/KqlbYcWcZe6TEbnzY7dEBGSEG3PrXK6lpHkXsb&#10;rEGiZyvJ3EA16Lf2jo4VQfY54rmbqytrcRsk06OzfvPMbcOnUcVg20yrXOP1DREks0mkcRlAQw6b&#10;j2rAt4BaWgBIz5hVCD645rsNSlnW1nBgDqoLqSOvpXKTakshghaJQxkUlQOABx/Wt6cmzGasxzW9&#10;vBLKq5kKQ7N54DN6r6jPSmaAkbTMZxu+Qcge9aeotFNd2O3tuVlB68H/AArK8OOj3U3mHjGAB25r&#10;a1zJs6O0ijW6ZxKgCgsB196lMzzq6xRjPdSv6ZqFI4hMHRSpz+dXIoY9vm4II+YnOMe9RJCRn3Fv&#10;dSySG4VViXHIHI45/nVeAWlsBKtj5wyAu85yPXgf5xVtBHIMhC27ksSfzwfpT57S0ZjIwPmAghQ3&#10;AP4Vm0WtyldST6jNiYR+Tu4VMBR79Kqw6FaXSbhGoZWIJ65AOBz+GauXUuxkt4RmWbjnnA7n8P51&#10;PEnlReXjbj5TnJ/OsnJrY3jBDWshay2rRhdsSg4/E5rt2lG87iAwODj1rjb2RTLCiMmVQZAOMcc1&#10;2kkamVyVYkseRTi20RNWOclhNxiVoHjdfl8snAwO/HBqVd14PlT5IxkkjHNPhMaHdJI8koyQqn5c&#10;1DbTSW7HfK24sWCHB21di7FK7lCy4jt3AB2gE8H39qiaWOeAxGQRJGcvgZJP1rUeOHfukdjtHAJ6&#10;k0xkgEahVdADnHGD9arYTiZlvN9nuyuSy+ZwCedtak13PtkGFeOMYXC9R9apXF3aw7Cqhmb5ckZN&#10;SrPB9mDmT5x1428+lFwTIdJMt5auxjOFYlVY+vtUFu5t5JYVhMRL7QuepNX7edFeSMZJOMBM8/lU&#10;M0pjvCqRYkc8EtnAqWJstWGbmdh5QbCFcO2AferMcc1o77UJA+YgkE+nBqC1nWOYO8mSeAhHWrVx&#10;cRRZnYNtK8KBQXF6F6xtklMrzuCP4Qx6Vbt7V1YPIQVJOP72P8msuzkWf92jbCuGwASceh9avCSa&#10;NnA5IxtycZpXKTNVhksFfOFzg9KpgrLdOdpWbbjOMYFTxrtjDuSAy9+1QNueX/WEI4JHqaTGkS27&#10;uJGLpjPG4nrQMMzBQg59e9MgDiTJ+6Txk9Pamz7Y5S3IGOR71IMesIjfDOwb+JV6c0s63HPluoUZ&#10;ODVSS3uJJvMjuGToSNuQf1qSfeI8MzN7hcVZLJYrhxGPMwHcdjSySXL4ARH3ejdKoQmUM7TMhP8A&#10;AScce4qW3/tMEsvkqnbcDkflSuBfgkdECOpRv6fWpL8NJZkogcrg4+lQxM00+JGBYeg4P0qW6VzZ&#10;TCPCkIce5xQCMmCcqiKEK5J+9zkD0/z2rSeGMMrnGemc4yKybK6jcrGwztOAV45x/wDrps+r26Su&#10;iplo2xlmxuPfGfwouVcmvrh5oLiOSMKUGEkyMH6ViTtbKIWuiE2ITGMDnjoc1YmkuLoM/lhYmUhO&#10;ck8dxXO+I4GfQ47lOVSUZJ7dR/hQtwvobF41le6c0c6NPJLE0ZKYXB6D+EDA9v0rzSaw1HQ1bzbe&#10;MecpG5lD4Ge3ofyrbj1e6glXPy22fmUDk9jz26frVrxBqUF5ocIiDHfIDyegGa2jdMw0kcbH500c&#10;q4iduCXfAbjPStXwk81vqPnxozYGOBwfbFaOg6fpd7DML6MKWYmNs8gf5NbXhSygTxLcwxbJYLfi&#10;Pc2A7ZPf6CnNtqxVNWdztvDVpqN6JZr7CW7AbIwu2uugh8pdo6fWsmL7S5DQvAiHou/PSrirdAK3&#10;noF9MVzKNjocm3ch8VuIfCGrMCci0k/9BNfOGl/62Vjz8v617n8QJ7qy8F6nI0o2TKsSgrkncQD+&#10;ma8JsnCxvyMntmvRwekrnDibtaBLayGcLtIyNwJ7itCysdjq5B3DpUUU++dWmfOFC5J6CtiK4tVA&#10;AlTH1r1KFOnfmbPPrSna0TPvRsZeakhjLLmmanIjhZEKmJGCkg9Cc4/kat2JF3iO2/eSBc7VHaul&#10;Thz7mUoyUFoS6BCR440ZlGf365xX0MTtGOBXjvgDSkvvFUc8jY+xAyEDru6D/PtXr8jrghWPP6V4&#10;OPt7X3T1cHd09QZIy6ueSvfNc1qEsVxqDwXQQQg5Z++3Gf6Ct8TMFKbwM9CRXnviW9K3RtoJA/zc&#10;4GNpxz0+ledUvbQ3m7Ii1/xC15PDa6WuyNV2oucc9BTYri4SGRJZtodDvLD5h2/Tiudjf7PqUEkx&#10;SRc5kY8Fs9Ov0rqrlbdI4zE+GLfMM7lHT9OvFYuPUxg7u5lz6mkN0G3lrlkIRAwOQP6j9ax7+3t9&#10;WsJL+OMpJnBVeCB0AHvmq2vrB9oO29iS4Q/KqZJ9QM447flU8F0gSQQktMU3S8YwwwQ2PpmumlGx&#10;rzXORaGePDMChA6nirOk3SRXjrcKWjfhtqgn8Kg1MkajKh4IY1U5zweP1rrWqMNmdEyIrxSwynJO&#10;3b3XHes9p2ju1RmbZ97J9TTEvy0DLt5G0Bs8r9D/AEqeeCSW2FwpA28HPUj1qbFXOkj1qS2WZ7Ni&#10;82W2TDOUBHH0IqbRdc1G8ljhu7q4niZgW8zngEc5NZXhzUVheYzuu0jgY6Hj+Yz+Vd4IYmtkKRjM&#10;c0a4UY3Z2k/z/SsKmiNoq5PcxA2yzWwJ4G0gdR7+1eTalvOrXW8nO85z9a9fuwpZmkDMVyu0HG1e&#10;hryG9X/Tp2UHG8kZ9M1OG3YVE7HongnUhDo0FuCASXYjPUbq9E0a/N1GSGBTjb68jNeQaFbXC6RD&#10;OhbDZK49j/8AWrs/C2pfuiryYVTnAGMjv+lS5e8zRR9y539xGJouCcisK6tlZsSjoc5xmt2CZZbZ&#10;WBJU+lMurNbiHYDg9jVS1EmcVeoZpAkADjadyt0xxx2rm73QbWdhNFa4mUEnA4GP8/pXZy2XkTyS&#10;Sn5cFV4475qjJCUVkOBuPKk9c1ldxY3FM4C9sjDfxAyjKP1PyluDzjt15rJ0cTx3DsUCb+MHjuc1&#10;2mq2El1dxrlVJP3hjp9fxH5Vl2tksVxN9o2yM5yCT04x+dbxrWRzTiS+cy2pd02lcADvimjzbsO0&#10;ybIiMrE3Gfdj/Sp4mSaRomJDL91ien0qzJCq26hiFOeCed3Iqfbp7k2KltDuj80W580nJ4z14qlK&#10;7Q35B6D+6uea3GukViO23k5wD7/nVaxjt5LyWeWU+aowluw5HUVcZXHbU52O1uLKWG6Erl3U7i3p&#10;nAH0p0Nxe5UlwwEgz83X9K6C6hmZ5IxYu65I+VM8deprm2UW15ltNmQJwPMU4ye5GfxqU1JmqbQ6&#10;4vJhdsCisgYj9a9OdyXY8dfevHJik00US74i0nmSueff9K9ikP7xvmA5PBq7WIldmJYz2tpEYHlT&#10;cCdrvyTTo5LczlZDASRnJXn8aIY7KO3MZgEinr82ef6VTmttMkuY4Y1fzD/Dn9OKRte5YLWUMkiM&#10;plcoW+UZA9KypHeB02oTuxk4z1rbeJLdFjiSJI84YsCcD60qWNumCI/LSPkscDPb9aQjBjgMyMyv&#10;5QLYyV5I/wD1VKLYTbYXjCRQn5OOWOepNXZbeEALb8EDcWJyPT+VRW8sUb+TGjTKOd7t39KCGtSu&#10;uniO9dlTIUYA3H8frVe8sEaXbC/lRp8rFSck1tFRIxWQHqDtxnr0qPULQQQr9lU7y3JDZwaGFiLT&#10;UMdx86qy7hhj1J/xxWtLEzkysMoc/VD2+tZ9tCx8szMnAwFVefzFazRrtCqSHboc8UmWinas6vuj&#10;Zl6tgDr14P8AOpGaVZ90jbWI2jC+pqu0W+53JLgpkBTyPSldJDKjPKC+D8oBAH51IzbBiktULh85&#10;7HmmOX2Lh2Krnr1qOyWV7cmVgNoz3OaWQoxB84KABwRg5oKLKTiH955Zxjp/Wop5ZJGWWJNyt69a&#10;RQ0rgKVdDxgHrTntltVDx9uDHu+XPtSBjPNgQJiORpG7KDU7IWhKsNg6k5zgd6r/AGl5IwXWWHHY&#10;rmpYGkO4hiynoG4ovckozNcrKdkcMiN/C5Ix6YPetG3DBN07MWPQdBiq/kTO37pvLjTOUI/kafBF&#10;GHDlSznqWb+lAGlCsawhY1wvcLwDSsyou04GeoNVvOVscbQD9KWaUNEEUglhw1UBgmWMSTQABSp4&#10;I4yKz2SEMFWIZXOCxzml1Rhb3cxGFJbcNwz97r+pqMNi2RljDOo+Yg4zQxl22lcJt3N6AHqKoapF&#10;v0K6gJ4PP+6c8Gr0Eb7N8bANnjPOBVWJEu7xraWUKrMVIbgHPbNSnZh0OEisZ7l/JaJ4iVDGRiTu&#10;PrnsDVnWNITSNMJW5gnlZhzC2dq9Oa9gtNIW1thDEkEcWPuxg8/nVO78JafcyGWUTMWOT+8YD8q3&#10;VRGTpnD+Ek0u20JWm1qCGefl4pI87Bnp+lT+HZBbXtxmSEx3d3Ivn7cKABkEA9smutTwTZIA0QlU&#10;dsyGpYvCNnbkMPOO05wzkj8qbkhqLTL1rp1vlF3iQAZPYZ/OtGLT7YYLxxnHOAKqQ2csRIVvl7fL&#10;SSPfKx2Dj+dYm9zl/iPrkU1rJogiRYMoZXZufXCj8Bz7145qkFrDKPsckjKRzvXBr3ufRkuLs3Dx&#10;sJj1Ocj61jap8PNO19pJbS7lWVDtKzEcn2I4rSm3cipJKPLY8P5xSpndx6V6Jd/DGeIlVZtw7GqI&#10;8B3kByY9/PIHp+db85y8rMTToo5vDGq7zHvWSJ1BbDcbhwMc/ePetLwassWp2UluGUmfy3ZuFIYd&#10;CfqKuReD9Wit2jS3uBG33lBGDWto3hfVbcoI7dlQSCTDOcZH04ocvMpJ7WPSNPWWCaVpWt0Mpy7R&#10;jlzjvwK0BdoH2mQEj0WqGn2l2UBu0UMeoQGtBbYIeIXz65rnlK7NkrKxzfiDXbu3cQ2lvGzdpGYp&#10;j6Z4Nebx3E/2nzGTzA7MSQcl257V7Tc6baajbmK6gLDPB7j8a4/UfhvazSma1vZoWx8qyR5AP1FS&#10;9hNNnLavY28+WtVMYhTaTjO49zn0q6lhNNoz4kc3QiBAB6jtVxtI1bSpY4LiIy2pG0yR8ggevuap&#10;WlzJDrt1p05K7xvDE549/XpUSiybWRTm0e1BW7mnYSoqlgsYIBGBz6msj7XbW2uizHzh5NocNjlh&#10;znk+wxWxNPDaLcNLgKJMgIvGO1Z0EmnXl08rTxvJg+WoQKYz6k49cU4tx3MISuzD1W1WQSXUUagg&#10;hJVznyyOPy//AFVnJBm1mkIB8vAyPU9q6q4sfsMkd55hZ2DZKISG6cEevesfxEDHdL5SAQSL5qkD&#10;G4sPmz75BFdVOopItoy7NASZHx5cQ3MPU9h+NXI7yW4uGeV2YvkbfX2FV5gYLWO3H3nPmSH+Q/Ln&#10;8faoHlKFXQkFTgVQuhftI8yyRDcXJ+Ug4ByDg/ng16LoWoi4trNOcyYLk9yoPPvyK8/uty2ltdIN&#10;uw7HwPxU/wA/yrV8PXQi1R4vmKiPdGCem7Gf5msasbq5rSlrY9EvrVijPC3zsOrLux+orh73wxdZ&#10;Pk5Y45ypHNeh2rotuhaYnK46Uk8QljBjIIPPXFckJuLOuUEzn9DtdQj0UWE1oRGmc4IJBJzTH8rT&#10;DBKkxXBI2dzxyMVrok5lRfmI3dgc/pUGv2K2kfnPbSRfxAvnn/d/Sk97jSsrHd6Fci60uFlBClRg&#10;d/rWjIxjTvubhfrXF+DdStl0yNbiZYyzkRg5/U+ua6yFke5kO/eVwF54we9dEXoYSSuR31h5kMcK&#10;ZzkHP05rn76CS2OxgVZWHIFdKZMXTMM4jAXcTxzyf6VQnCalG8Wxn+bO/HQfj61Mo3GjhNXaaKye&#10;5+aQq+QjAk7R1xx64rlotYkluAkkLrvPy/Jz9K9KuIGj8xLuJVRfu4JH0J55rmNbSxitBPGyyXH3&#10;HjZcKo9jUpXRE0Zko8q5D7yAGGc9+lTXOqogUYAHQEjgVz97rLSPEoMYCnbsUHjn3qxDF9qzvH7s&#10;nO70xWM6et2clSVnobX295bcz28AeTqNw44/+tWLc+K5mnZxZyvKWG1gR09enH+FacU0PBUkoAcq&#10;vt7Uv2Cwu45ZUWZJRkjbhh+Oa1pStoyoybFh8VS2sscdzBLbFgCpcgj3OMdaZL4ueYyRSpAck4Pk&#10;HOBznIPHTmucu5RqDIbiV5AqkHoOf8iqccXktdudxxA7KT6dP610qmkW3Y7GDxtpkrIr2OmyO2B1&#10;Zf5qa7GQt5jfKevevA7Zv9Jj9dw/nXvUuPOfPXcabiTzGfF5ETM8nXOAqDOT9KSS3tY5UmVmy5zt&#10;zj/69SoLcPIiExYPL5/SgW0CM8ru23I+YHJc1mjpSsgeMXZ8qWNV292GB+HrTvKiVViBRlLdCSfX&#10;mllEd3J/pTJHCq/I4bgn2qpmC3RBayqST97OSadmK5aeGADAjZO2UO3PuRVCPE0zLDEOpyWPAp8u&#10;o2UC7lGWIwpPPfrVSXWZAuYbN3U8cHBb6AUcomX41kSbJfIzkhh8oA9DT7ohYV+T/bAQ8fjWHDrU&#10;k0nlw21zvY4KOuAv41q6i12I4zE2xSOcr3/wpWAgtpHnlXfbuseSQUbArUEchjzsdHK8KxB2ishX&#10;vlYs21gSMLGMHmlhW9cPLJcy7zkIgPT3z60mhl4wbWUM6koPTHPp706Ty0IlHyu3yknP3RUUQ8tP&#10;3pmdvUnpTX8xoN6qxdjkAH7opWGaEEwUMJHTc4wATxntUgl81ik0bGMHBY4+UY5NYsUttPcbZrWR&#10;WUZcyL1/GtHasaq8TlY3OMLID+eaLIZpfbLRlWONl8nGN3QHPoaHjdFIhIJ64Zs/kaqQTWSExo43&#10;tyyuBtb3qaKOZGJt9gRv+WZOVH0NKxREZ2VSPLm392A/wpIbiFsbLllfHJJzz9KQzESPt2xnoXbu&#10;fwpr7LgBLoxyIeCFTv65pCaJzE1zKrNfvsH9wAA1D5aFm2SOOcdc5pnkQptJbYMYCh8Y/P8ACqkT&#10;xxTHMmRuOPn3U0iTZhXcecErzyam/dhNwAA/Ks+Jw0bSOQBn5QOT+NL9ricbGIxjBoTGZWuxpJex&#10;Fsghcj0JrNie48wIDsjH3h3+taOv3qQrHNFGkj5wqMcde/0rEN3NOyN5X7wnLKB0/Cq3QWN+O4Gz&#10;AYbhxyKy/tNva66ZLoo0KuGbJwPz9M1qWuj6hPCJFgc7uvalj8ET3N9I18XEJGNqHlvxpKOoHS2/&#10;iTTbxAsV3a4PHyyAmr0LI43I+c+9UdN8K6Vp7hodPjD4wXKgk1s+RCnQBfTiqsF2DDdjI6e9TAqw&#10;wwpu3IHzEn1zUiRnP3gaAGeVHzzilktgwyGIHtUzIeMAU/bgY4pWApNaI5/ix9abBpyW7u0Lsu4g&#10;lTyM+o9DV8KB1FBdB1prQTVyo1n5hzM+9j3xTDpsJGMA/UVZaQ5OGTj1pFeTPJTB9qAREtmI02xx&#10;Y+nNQkhR825QP9mr4jDH5zn27UpSJOBHj/doAqxMxwwbI+lWFweTjNK0kaAEq4HstVZ9Xs4bZpt5&#10;wozh/kz+dILln94TgBSKydX8R6bo42XMu6fp5a9fqfauW1L4kWs1gWsoZxMFLKrEKrf8C9K861Px&#10;A2pXDahMUEqjAgT7pz1zz1qlElysdzefES6vg8WnQpa7P9ZLKwbn2zxiscQT6l9j1GSXz5hIUkdS&#10;MFSfb0rg4ri+1CYRQksXIGE4AFdroHh7WNKieeeQG1Ydnzj6ihwsiee7LfiHTI4EVZFGxiGZyTtX&#10;jIJ9vasO2g0a5mWa3dN6Ebt2QG5znNdTrccmo+HJbiCQzeWCu08HGOua8vsEMTMZR8gyWjcYz6fr&#10;RGPOiJRUGegy31ha2buHXapKqASwyfXBP5dPWueurL7TZTRShG+zP5sWxwSVP3lwPwP51hbx5hMe&#10;9Efghn46cGtPT51tZJbqT5lDpGwHdTnP6D9acKXIx3uYZbzJGkkRizE4XP5VHDaTXUmxAB6knhR6&#10;mtK/to7PU2ijaRgxHlHP8J6fzpt3cCJHhj25JzMy9Hb/AAroREiJLr/RprWR9yLkZHQ9cH86Zo19&#10;LZapG8YB3ZjbP908Go7CIS6ikDsoEvy7m7Z6VG9vJHcfMNuDySOBg0nqCdnc94tbm2ikjgESGQpg&#10;xjnj86sbhu37Rn3Ncv4S1Vb+086U5mTCMT6ev410jsmM8ZxxXnSVnY9GMuZXKN8sg5ViD1AFUtf8&#10;59CBlkljdPmAJLg+vb09K02dirc/PjjnvUsNu2ox3Ecl1MiMCm9pAQO2NrcflSW4ps43wxqDWOpW&#10;8blmhd8soGAhyOOf84r1S3mhivJpvLKjyk+XOCeT/gK8eGbTUWtZJczRS4DrhkfHIxjpXoml6sNU&#10;eKdYSl4QtuqnorDJZsdMAc10I5zoDHJNH9i3DMh3XDA9FPJGffp9M1oRRqmAmAoGAo6CobOKO3jK&#10;KGY5JZj1Y9zTpryC3MYkbbvcIMjqT/8Aqpsa3ItStI7m3b5V8wDg4z+FclfabC6bZkweoB7V2SLJ&#10;IXZ4zHhyFy2dw7GobuyS4XIVd/1xSshyTPMdU0O0zvSAGRiBkL296xL2zlt4GjhGxXJA7fmM16Nf&#10;2XlhgFw4PQj9awbi1+0jy2JXJ+Uk8Z9cGlJGEodTitNt5YLjzyCVUYBx3Nb8V4iOXaRFKjptxn9M&#10;UstjNZeYsb+Y3UNwf0+tVZLxosRyEOSoyCPlJ7msmtUxKNmciJjJdyKuxFLEcLwPxpxLmwvtiKSE&#10;2ZHpuHT8qvz2sQjlc+ZvOdvT8qoW8pNtPv3AnauMe/8A9au2EroGY1rA7XcIKsPnHOPevdpmCzOM&#10;dCa8nS2t/tCP9o4JGwd816xcshuZTtB+Y96chJHPTXO1ljtUjnmHJYZ2j0H1qSW2u5LYedMVXhjj&#10;qWz6+lSCaK0dAwBlbJzsIAp6ySsGkmkjKMfl46j8+awRrcopFNHcrLdSeagyVDdDxjpVKPTri6ma&#10;4d0itVJHXGfZa1fKiedZZSzkfKBtwoFPKq0bSGNBDF8sYPALen0qriKbwRxiOSU7R91UXPzc8Emn&#10;qt1GwcxoVXkKp5wPWnuk0hR5Y1Ei46g5wf8APAqSS9S2xAtrk4/iOSPr6Urs0JLW4VnkkZCjH+Fx&#10;Vy9u1ksIdqlZADkYwapR3MBIZkSTH8IOcUyW7inbYpWPttY54/A0CJlt5nQOLpoztxjruPrWhZxZ&#10;UCGRCg4wy46dzWFFDGkjgzSMexZshfwq3YmbaVju4gpOOfTqfxqQLk0UcrEyRgOTgLnjHrSSMVhI&#10;CqrHtk461Vu9QSEHLSYBG0rHnA/+vWc17cSZRra5EPDb/KJzQMmutTe0l2XQI3dOdymrKRWd0TJH&#10;bwyk/wAJbaPqO1ctqLSyMJYYJhzgbuuPpV2wiu3fZFp9xIzAZKIQPXOelFiLu51ccEDoIrm1typO&#10;eH3Y46U42zQMDaTtEq87GO9R9Kz49C1ud1fyRFGgwscrjJ/EVei8PX+FWV1RvVXOM/hRYtXRXTzV&#10;kJaTchwcEct/gKU3brIQ1vwB9/eMVqW3hJg2+bUJZPUBcfzqaPwlp6SbnWWT2eQkfkKVirnPzXNq&#10;67ZVDZ5IIDGswRo94WjQbCQMLwM+1eix6VaQL+7tYl9TjNOTTrWNgyWsKsOjbBQJnG2+n3kx+SGb&#10;0UuSFFXoPDl2+0zyonPOMk106yxeZ5aMrP8A7IqwUQ44HvTsCOeTwvp5mWW4Rrhl+6HPyj8BVy00&#10;G3sZzc2trE7scNublV/2a2kjXHFNaTy2wysB64oHYUL8oO0j2NOWPuxx6inRzRyKNrrnuDwfyp2U&#10;XhmUH3NMLCBQOgNO2gryfzpBImPk5pJJAq4Ynk4AAoFYMKvTBFPV+cZxVfzMDhSaN5A5Q0EkzXAQ&#10;/ezzgjIqQ3EIxukUZ9apf632/Gho14BagZbmeTAMJUgjriq8QmDMZJXkz0BQAUxD5Z/d5z7VFdap&#10;bafD5t5cxxJ6u3X6UwLasUJOwEnrmlNzgcooHc1xWo/EbSbQbLcST5zllG0A/U1x2rePZdQtUgto&#10;ZFm3ksQ+5dtPlYuZHrM+v28MDyr+8VTglCCAfrWOPH+n+Q/kwM86dUYhV+uT2rx+Ca9uLtLBJ2Xz&#10;G5A6Kx6iur1XQbnQLaEyLHIbpWiBAB2Nt6kenejlIc+xe1zxdqV5CHtr8Qktt8qEcAe7fnXOT3Go&#10;apbFLgySugJwxZiMehPvVW28q51CVQqJbqArb88sBjPHqauNfFUVJvK82MZVowTjgDP14zRYV7nL&#10;x2WqajOyJHJkEqQ38PPSuo0/4eO1v5t/cLEANx3dAO+aYvimextzFaxo02ebh1+Yj/d6Vk32pXeo&#10;ODcXDyH0LcD8K0Hy9zqLSKyS/kjM1uWUiOG4hUKI+ODx17dah8SPqGj2yxzajBMCw/dxk7mB/irn&#10;9HtFvtTt4mkxEHBf3AOcVreOibu6tkiRSZCAm30HGKn1BrS6NvwPe/adOvLeVyVkUtHnuRjP49Kq&#10;a3pFve2FxMU8m4RwIwX+92O4/U/pWZoGoPaJ9knlAa3k+7jBXPDZHfiruo350u6ZJ0M8NwQVIPHX&#10;p71pQspNMwxDfKpI499Pl0y98rUUwoHCnkNnoRWlCYWuIhJCxjkKOiryOBzmr/jORLjS7OWIKUVs&#10;IQ2TgDnP41l2zm302OV2PEZAB6ggZxj8vzqqseUVGXMrlm8t7abTIbmJZUeIfZ/mG5hnoT+GRWI1&#10;tHJG83mEOh27Qvf6fSr1hdyYubFwrRzL8pJxsPUEf571nzSiAbY2IwOmOh7iojoalUSRqySoHZ0I&#10;9gcV0N1HaX3hs3UZZZxIXKj+E/3f5muckXzFLxjn+JR/OrmjXiwmW1l/1c4Az/dbsab7iW5q+FNU&#10;fT9ZhDSKY3VYsN2B5H5V63lSvuR+ua8Su9OubaZZfLAVzkMDgA/WvTPDWqNqVip8xPMjUK5Xueue&#10;a568b6o3ozs7M1pyNmPLkYjsorEudTns0aOWyWKNuyN949Mkfj1reMsUWGMSsWOCw4OPYmmRafJe&#10;vvhG5Ry4Ugnb+nNcvLc0qx5kcVeyWYRsQNDIApzu7ZzgfjW94U1If2wkr7miWLaUz9xmx8w/LH41&#10;p+KfC4vdJSS3t5/tUJBj3kA47iuG0aymuL6e1e5+yXMbgbdpJyPpxx6e9dEYpIySa0Z7hDvaQE4A&#10;IyM+lUPFMrQaHLJEnmSBhsA7Ec/0qhoeq2EMcVvea7FPcbigbaV56YIJNaWvtGllEU3SK0uGYoQD&#10;8p6US2NIL3kcJH4t1yED99k9ldQSO+M1dPjjVY5NrRjdnjdHwfxqjeW0TRySvDiUNjcoKk5bH8ua&#10;W9TzLfyUtWRpGVPN3g7ckDP865edndaPY6S21m61a4SCSGJZCM7k61BqFqgyZVxg8cdfWqOh6ZNb&#10;azFcRXMpC8lcg5GOldPe24lZn34Y9iK3pNtanNXik9DjLldshzMcY6EAZHpWPrMckccfmRKo5BJX&#10;HHbp1+ldVd2ZkIJ2kr3xWZdxtt2SOwQ9OM/561bOVo5iYZUSKfkfjkAkVBb2ENxuj80RBjkkDmt1&#10;beEZHkMV/iJPB+h61HJaQRW5mts7pRgqO2PrQm1sZ2MOO0gSYG2vI9ynrIOT+Hau/nlUTyAkZ3Gv&#10;OL+EpMJdpT5huGMc13Nw7SXEjDOCxrZbEyZXbUYkTgOGYcsyk59h7U6RYzKrOURQPvY5/CqUF2Jp&#10;CUdl4xlhio5vOW+ClwWbg/KzHHrwOBWZqi99pjg2mKF9rHmRjuY/hUEl9ciRZGt5CoJZQ46e+KfC&#10;LuNsNdFQDtX5M5rTh068ZgdzyAjJGPvfUmgZjxalPOCkm4gnA4xSGSVJMRgOpOPUitaXRb+SRAsS&#10;wqByS+c/lV628O2jxn7V5jSf34pMY/CmM5wzx7wrBcd95p8dvp8in5EO9sAqf8K6caXbKm0xxOoG&#10;PniyafDaLbj/AEeGBCDkYhxSGctDa3MFzuhf5G+6p7fnU722o3Jf7PHL15ONo/CuxSO5ZkzbxMP7&#10;/TH51b8ok/OEHqFFAziNP0TVUldpxEAemWLEVuRaNEINku98/ewSo/St8pEMKR1qUwrHHu2j86BG&#10;RBpsCMvl2y7hwCV3Efia1ArryenpiniRSPlwD7Uhx3zn1xQUSDZs7EntUbEKBwKcrLjG000qhYgq&#10;PxoC9xglXG3zFH40qEnplvcVJDDGCQsa/lVjAHQAUCKx3uvy8H3pIYZVz5nzZ/2qtBcnnFOAAGTQ&#10;BAkCg5CAGpTGMcDB9qkUrS7uRQBD5bA9TildWKYAP86n4PUUxiR0FA7srLbtxzgd+KeUEZy4U+5F&#10;TB228frTjukXa4GD7UBciC5O7ao9wMUhXJ6cmieVLaJpJGGFGcd/yrkbz4maHbQu0PnTyKcBQhXP&#10;4mhahc6/yx64pGWMAlmwB1JNeWX3xXu3ZlsrGKNR/E7bj+VZN74g1/xWPs4aVUY/MEIVNv6VSiTz&#10;Hpl54q0KwnMMuoRtIOojy2PyrCvviVpkTFLW2nnK8bjhRXET+FdZh05bhZrchWyVVskA8Z4rnLuz&#10;uI8ebKd2PpTSVyXI7PUviLqVxE4heG2U8DYMtj6npXF3Gq3d3NuZpJWbo0pJJqta2xnlKAHOP1q/&#10;b2U6eWJz5cEcgyzngVokkZSk2QLDLKC00xIUb3AGQBVu1WSEZjjQxSoMsOdvPf34q5YgRQPK+37K&#10;zkEsM5Gew9f8asItpJqSxWkjmBlGQflwf60mxRi2IEhvLWN1hEcyLh3XgnJ4/lV+FtX1CWNrq9JK&#10;HbHuHA4wCR+NWTZtbW63LorDywkgHPPY/wA6qQXAuLqyYOAd6gk+uP8A61Q5GvIYN7cXDXWySUsY&#10;yUyB75/rUe+QPnk5pzfabnU5Y7WM3EvmHKoR61snQtRhs5bqeGFXRCywiT5j/wDXobBRMuGB3HyI&#10;zOQSR6Cmy2yLCZXdVx1OaRDrTxOVgNvGTt3MuGPsM1F9mhgOJbiRyw+ZG6E+9NIGy5bw30+2HSrd&#10;3nxuyuAVH1Na9gbixVpNVgCyRf6tCQxUYzk/r+VY+mapNpyXUNnN5ZnGDIwzj6HtWXNfXTmWE7tk&#10;jjdI/cD3oauUpW3N2aWO61i1vbaEm8nlInjIwjE8Ae3Geav6/bPLpqNIB51s3l5z/CP8isnSruW1&#10;miup5I828i4AGd4zg13ur6dFdRvIsmEuEHI6Zx/+r8qV+WwNKadjzme7F1YRRvFuSNslkODzj/Co&#10;2zKkixttDNkKzc+oH8qZMphkkUNl4zymMZGOfyNROcgSRqznGMA9PUVpKTlqc8YcmiJ7V4oLy1kO&#10;4ybhuA6Yzxn35pmsQiC7li8vcVkbaeueeDUd0i7IbyAkJIPmPdXHXP1rQ1fzZHhuIxljEGXGOeOe&#10;KRVzABPnlI23DscYqdkgjcEDMmOR1H4e9VA+wZXuetMznuT71p0JudlYSJrOjG0mRmliyeOCai0/&#10;UJfD06TYdWV8GPj7gOD+f9K5uwvprO7SSNjuB49a6C+8vUR9qXDNwgGf0NZOOpan1PSIr83ccc2y&#10;MIyhtu3AxgYFK9xJHB+5dBu/5ZsmQvsD1/WuR8IapHMG06diJkB8vPPyen1FdO+5gPOLdeGUY49K&#10;5JRcWdUZ8yIRaG/Rmu4RDtOCsbs2/wB+f/r1kX+mzWdwtxp3lmS2xtBHzDP/AKEM10DkRj5M/MOD&#10;zUUTLFMs7J8ykYbOMj8if0FOLCQ3w74j0uC2yUnSccmNcAFhn5vXPtmr0viL+13eKE3cCAfdmUbV&#10;boDnrXKeKYJvPg1JLZYIGyABICGOe4HtVPQ91vdFrjHlSYwTnDehBPpmre2hnTk1PU6yW/wksbhs&#10;gYBKdePaq8zXUkbQSrF5THJYZBHOakecyRuPIG0jCsrA/jTJYJ4oTIbiRlB44z19sVxtM9A1/C1h&#10;BBq6yJKW+U/LuPp9a6+WNGDHDYA7VyHhYEatvkd/ljPWIgZrtGuFU7cfe9BXTR2OWt8RzTNHLcne&#10;fJXoe9LcWihS8BMqEYJUZ4rba0tTKWEeO5//AFVHcWqbVaFRx6ZyP8a0ZicPcaftY+XIAB0B6VTu&#10;opTF/qMyqPlKnAPTt68V2kmmIinIO09gORWVc6c0YMgyEB44OD+NAmjhbzW9Os5jbajpcskiA4G8&#10;YO7v+gNXT4m0eVjIGuU3HO0oGx+NXtQ0Oxv3DzWyFtuARkVgSafYxuUChMfwmNjj8a0i0lqZtHaR&#10;eGLWGOPzbh5GU7mY4+b/AOt7VfNjatlmBJIwSCa1VhEkfzBUPp1ppiiQHcygDqTxUF8plW2nWNvI&#10;zIjnd13MT/OtKKMEfK2ADwBUP2q1WXai+YD3UZFTC5GOPlHuKCkrCyIM/MRjt3NOSNRxkio/NDfe&#10;UE+uKmjKhvufrQA/aV6EY9xUZL56ofYiplZXP3SKesSZ9fwoHcZGzY5H5U/5yOn508I2eBxRhtxG&#10;D0poRCYw/wB7ccdKfsyoXJA+tGA2QCfwqeKEqvPf1psBgiVRhTUixk/xfrT/AClLc1KFQ8DAqRlZ&#10;gVbGM0zc2eE5q8I1x604RgHIGKBFGMyBzgYz3xVlUkC8sCfWpcE/40YA96BkW0gjOaDjPOcUsrKs&#10;ZfeqADqxwK5fUPGFtYyGFJYbiY/dWNjj8eKAOoG1Tyfzp26M9Dn6V5pqPiPWboBIZkt16OyAcehr&#10;n9b8Q6hpenJHDqUzGZjuCnqMcnNNK4Xtqewy6nZREh7pFx13HGK5PVfiTpljfR29urXCkkPKOFXH&#10;p615VBqOr6kHjDfK33mlbir7eHoILYvdOryKBn5s/oOlVy23Jc7nsF94v0/TdLS6uDl3xiOMg8nt&#10;muL1bx9qeoKRpqNDCpw5j5Oe3P4Gual0i3tHS6lhjaOVAY41foSM5/Sm20N3eo620UcSE5Ds2CoH&#10;PTvxn86kHIvRa1dahtt5XfMjBZJZJN+fwzxSXa6TJdC3jtpUBUgttGD7/WsmWzs7PUR/pm5FVSjp&#10;xz6VNcWltcMkWnXdxMWGZZJMhQe4xVKJNyxI+mWcDCNEM+cbXxj8xVW61w21s1rDAQWj2ZI2hTnq&#10;Pwp8cv2e0SyEtvtSTcWI3Mx9DkdKtPokktvLKGVgWD/MMD3+gGadx27GZaeJdQgtJLTYZYG4dmHO&#10;2p5IE1m48ybcoU4jVF4I9/eqbkwyuP3ezGOO9XtO1U2aKqxApj73vQ/IFE2JdFtbdYLtEUEA8Lxm&#10;qN/eRCK4jeJQkikEbeelVrjVTdSqH4T5eB061naxObi5kZPufw/Sp3KskhgJfTYUD52Ejaep96rW&#10;l6bW/O04OO9XNE0m61S4IDC2ijBLSPzgY64702LQX1Ke5/fxCKF/nmx8xH0q7Iz2LUWv3+qgafAy&#10;rCBhnORk/wCRUusWFvbaaqW1zK10GDMSQqr/AF//AF1m2WqS6BNJa28MbyE8Sbclh2rWt9K1m81G&#10;C41KFxDMNy7j1H4fypuKvcfNpYw7SG6itPPtLWUhG3NMoxj8a3F1K68mA72LYHzHmukuWa2tYomC&#10;qemO22uEv3vLe2SZWQwJJt2gdPTP5Vm/eBPl1Z0PiJ/Luo381iCgfaWztPTp2rmlRbu52NOAD8zY&#10;64/xpkIvdbu1luHKpkAtjP51r6pp15p8MbTQQyQsPkniP6HgVaSWgm76lNhFLepCmHRDlAemKntI&#10;/NVlkGSwwdxz+lZqgNJG3fvWzahUQt/dGTmk/Iq10YU8xSaNRnKMd3HAx0r1bS1mufDcInGJlQMv&#10;PVTyD/SuWSS3n0Vo3jRFkkIckdT1BNdPompRyxWqgnySohKsOhIzmpkEdGeeeJ7d4b+VkByreaGH&#10;HB6/qKzbM/aGDxHEiAs6evuP8K7Xxnp5RfPwCIiQ4x1Q1wsUq2VzuMYZgQQytitIaozqK0i7EFZb&#10;m3JzDL8y4HCsOn0p0ssNzFbBXaOSCPaN4wM5z1qrPdW0kzXMReB2GSg6E9+lPZvlj3fMuS/A5z/9&#10;er5SCpfWpdjLEV2/xKp4BqokDqwDKRnnmr32hIZQ6qAj8EE7sVXub2aeDypiPl6YUZI9KYIZKVRc&#10;Qg+7Y5NS2d/JbxvCWPlv1Hv61UjbDAfzprYDUWA0LW+ksr+K6jPzI24GvWLC+j1Gziuomwkig4x0&#10;PcV5AjJJbsMDIFdR4J1Q2902nStlJiGT6+lY1oXVzWnPldj0E9FKscHOAW4+uPWnwyLGfn5OemKq&#10;y7o1BCseCAQKdasoU+a+F7HNcp1F24khurcpIqylfu7olYD/AAry+yn2awYyGaOOU7gTwO3ANeuW&#10;T2MaLJ9rhD5zsLgH+dcz4ysNOurpNTsL62ku0wGto9pMvPbH8VXHqRKN3cQzzoNqJD5W3aByCB2/&#10;lTxbtGAwmZhjO3ecflTWhmSxMjJOSozymfwqIXay2yGFQZ8gbWBFczudcWrGzY6kthN57bwMYI3E&#10;10ttq0V2w+zuGXvuOK8/mkmWJUkiAYsMMvzEYHpRa3TKzO6sQe6oRg9q1p3sY1rcx6jHLxnGR7VI&#10;Hjfgg9M9K5zSdWhuoPLVwsig7iVAP+NbARVVdrZJA+YNWtzFosMoJJY8D1NQ3Fu88BSGTbu6q4yD&#10;SqXztcA91OacGZyM8EHsaLiOYvrKS1YB0O3b94A4zVExDJ+XPvXayoJVMcigr35qM2FsTkwR/wDf&#10;NHMFjKRJy2ZJWZP7qgCp0gth8zIST/e5zTljK/eepS0SlQ0yg+5qhDV+zhsLwfcYqwqoQMBSKhkB&#10;bhZUPoNuaijjeFtztyewXAoGXJEj2EvgL6nis5p5pp/LtbZ/LH/LVh/SrJSKaQSupZhwM1Z3nGFH&#10;TtQIZb27q5Z2ycVa2jrjmhWJXJwPakY8e1ADdxbOwDPvSlSeCOKVflHyqPrmmtLsOWINJgPEabeh&#10;J9zUoU4FV1uM8KAafJd+Sm+XaiAZJJxVAThOeaf5SlecZrDj8YaIdQW0a8QSN0PbP1q5qHiDTdOi&#10;R55sb87QoyTRYDQGFHtUF3e21nEZZ50jUDOWbFee678QLoFo7CMRIQcOwyx/oK4+TVLrUJPNvWeY&#10;gcFjwKLCuej3nj/Tba6WKItMDjcy9AKzNZ+IMoRU0qAA4G6SUZwTXCQQSXcjRhNseeShHI+taEWh&#10;RXCmUPLDGrEMjSdee9HKFyzcX19rDoslzLM4PzEE7F46nH401bCwhYTz3tyygjdIiBFXnpzkmr0l&#10;/DaRpZ26KsaqFIUZ79fU/Wsy4uHuvMifeInGBCF+bjmkUi9EdMgunkif7QpGUD/Nn261l6ndQSl0&#10;NrEI9wxsXaw7Yz69PrV600u4mT5YRBGRje/UDtx371onwEL23O2+Me1N3nPGQN3b04qouxMjII0+&#10;G3trd/L86IH7QVYEk54PHWtaPS1nVJLaMzFsN8mMMB0yTXnsOl3FvfzLLcRosbENKTwfcH3q/ZeJ&#10;rnS5l8q5mdUzgPyD+FU4t6kpo6zxHpzDUkhs4ZDNNFuWJQSIz0P0H+NcTeajcWkj2kZKgNiRc7lJ&#10;Fbl/4xub5Imti8LqSTJnk56ge1c7qrI8UJXls5Y1SXcmb6oz/Mlad592W3Z5rdttbuYrTy0Crng4&#10;UZrEhHztx2yKteczqN2OPQYqiIyJxLh/Mxlj3rYv9cJ0uKxhdiMAyMTyfb6VgbuBSE/L0696nlNI&#10;yJdxZSSSfrV2zuEis5o5lchh8hB6Gs5XAXkipFm3JtzwDmixSdiVpgAFXHBqKRyevYU1nBcDpTHc&#10;jOOaErA5M2bS+uY9KfO8rKNmQfb/AOtUenz3C3dzDaw7llYB2I5AxjiqFpcybEt5VZUJynarFjc3&#10;cVzcRi4EMWSOVyfSlysUmmiCWcxeIMzJtER53da7WHxVEtkyGRtjg7QRjaexFcfDp0c6i6llDfMV&#10;cEE+3btTIxI0kFt5SNuYqCc4x/Om0Zrctalr0kxDyvudhhRnoKbqt2txo1vCm1eRuz3681NeaHZm&#10;1e5jjJKN8/zkgfT0FZlzbpsiMbs42kMjD7vpikki35ly1kiSARowbH3iD3rXn1SLUNIi0xmCunzO&#10;xPp0rkRK8BIRgATT2vmictGofjDMfWiUHccZJaM2haxwQtnLbhhWXnk1X8q+aWSZ1BiQYCA9fels&#10;55GtFlmZjISSMHAUfTvUEt1du5naPYsh9eDjrQkypNdCbSpHkuPszTBElYBt54HrWtDGlhr81u94&#10;Et0IeFfM+93FZEVs9vCXcA+YMnjoKjubgagbCJYgJMqGYHkgU3qQnZnoWpSJrOlC4iUlZQY39OuP&#10;yryua3ZQ8O0+bCxDcdq9U0qa1zeaVbjZ5IDBS2eSOf1rh/EVnNDq32kRny5s7+MdODxShuVU11Od&#10;Qqh2SKTE3p2q7tEtnlJAzxHH+8pqvNC1tMcLuTOVPXIp8cgDu5RRHJ8rAcba1MCRLJZ45FVsOvVG&#10;+8D3qC5sjGEVpFaTA+7yD9DU9xb3EZE6nKfwAY1HcrjIp7D1obN8F3Hypxzk8Bv8DSGkZTLtfaeo&#10;pSCxx3rVNst5mOQ7LpBgNjh/Y+/86Wz8P6ndSMsNrv29fnUEfmabkBj5Kn09au2kzBkZDsljbcjd&#10;M1owaZbw3Xk6vb3cRJIDR44PuMGppfDq28ilZi0TjILDBHsR2oclYWx2mj6j9ss4ZDNuZlwQavTL&#10;v+7nafXrXLafabLdIVkbzFGcqOn+ea2I7qaAK7TJ5bHABIPHrwa4pKzNoVb6MlQMoVcEqTg+Z0zW&#10;vFpaXcA32kDgcxtnDI3qD2rN84XMXDAhjzgZpXvdYs0ZLSeMqvQbRmpN73LP/CbXPh4z2F9aCSVH&#10;wj7uGHY49Kz2vTcK1zGjEyHeFA7E9qwdTvH1K4WTVoT5ypw0RwzDPetPTtQtYPJEMkm3BGyb5ivs&#10;faqlC6JVRplXV9QWWy2kkMJB1yCKqQ3eMkAFTgYPfHQ/X3rqntoboKF8sAnABXgfhViw8LO8m6RV&#10;WPPHy8n8qErKwnJyZiW12cL5jDejZV1GDj0NdToWutnyZ8gMOG9K0ovDGnIu4xZbHJJqVNCtU5jx&#10;j03UmMuxzO5OzYw7YanG4YDmNiR6c1BFZtEf3TZXuCasFHwcrj3oGMacMQ/I9hUvmRj/AJbMPbYa&#10;jUEHbsPse1ShZAAMr+VArEO6M8bc/hSExngxr9cUxdpPfHuaeQvYitUtBDkjQt8rlT9KV4G4+fNC&#10;dc4p5K+9NICtEGZyoUjBxk1eRQgyTUBcKeDTvNToxBpNCJ/OGcDp600vzjOagNxbKDulVMf3jgVz&#10;us+M9N0pD5bmeXOFVOn50WA6kTmM4LAVl6lr1hp4L3twiD0PU15hqnj3U79isOIF/wBnr+dc7PM1&#10;w3m3ErO3dnbOa0UO5HOuh6DqfxMihLR6ZaeYf+eknAH4Vy+o69e6vAWvL2R5M/JGowvvwK58ypna&#10;kROeMg8V0kXgq+l0ma9nuUhVU3hOuQOaqyFz3MIXLQy5jTMvYr1zWnPrWoXu1Vt5HMfG6Q4Vam0H&#10;TXmge4h8pW6AS/N+J9KSa2uo4PMidTFnLn39cUtCU2yVGnaBFEME8rDgliFqsls5labUXZY4sb1X&#10;ouT6DipYROhjd5fMwu5BjJVe5qvrN/cNp0uyUFZmCuNv5c1N7spdxl7qcCxMunzNtZsuu3Hy9hVO&#10;+167voIrc7YwDlymRuPbNZILBDii2y9yoZcjPNaW0IlI9C0TQzf2kc0kxyeTLt659D6cVs6d4d8y&#10;4dbWTEcfBnk+Z8+3arvhnToYrCJp5GaIAFVcDGDW1Ok1xAtlpRjtrfGXlU7CvsO/5Vzykrm8VoTW&#10;9lYabl7qdZSBkGYj5cDqAa5zXNcg1uM2VkZRbxnf5q8BsdMYPSo9b0OEWzRfNJKWw0zkgE9eDnJ/&#10;HiuW+0f2LCUYlkwSATjA9BSvfYuyW5m+JNiahIsQAQhW2/hXOPGxbPetPU9TTVNQ3w27oQoXAGc/&#10;5zUNvp095dLHseKM9XIreN0jCdm9DOe4aPjOPao/3szZySKsajpb6ffeQW3kjcDirLSxxxx2kK4B&#10;H75scsa0ukYSdhbSZLYx+fACp4LA5ODTJzGHZYzlc8EelQJiOV125U8Z9KdwM+tLcIsevH3ulLcx&#10;sgVSMEjIpB1Gealk8yaTJy7YwAB0pGu2pVC+o6VYhAJAA5NRMjJncCDnnNCvKqGWGNmEf3mxwKBJ&#10;32NGKxllmUFSB296tXunpHapmFjKp3nbx8o65qa31owxupjXaq5Ei461k3Go3d6WSRyY+gpFcyJh&#10;cTeILyzt5FWKOIEZUY4Hek1MIokFpuSEt8u8nOfSnx25srZZElLGZc56ED0qGW8IhkiCgo2C2RTu&#10;K+hc81bLTVhDbmccgc4pLe9gnEKQqUlQ/fbBIxWQl3lCzEADoMd6bZO+55cgHtQwjublxq0sVmbG&#10;LAQriTgHd3rOU9veqTyE3SqGznkmrJlRe4z6VK0KbTZa1HTJYrO1vmhR4+jBM59s1UmvBeoUeNIy&#10;qYBA6Adq272W+h0Z7iU4gO2KOMc8ev6Vg2kcM92DN8g77qavYku7vNjWK1Ad8AD0FOv0MVnDFJIJ&#10;JUYYK8BfUe5pbia0gvC1qAFVcZHTNVGE1/DM6j5U+ZyalbltqwkupMLYxyMWxxxxUvhi3M2o+ZKJ&#10;DFboZCVGcAc0mmRrbeffTxJMiArGrDILkccVckubiz0n7OQY2lIJ2jHGKtKxF9Sxo+sNb+I1upeF&#10;mcq2epDH+hxWx4vtm8h5IlYksHBU5x/+uuJuGu2s1LrJ5UbfKSOFzz1rsoL5dZ0OMM7CUJtYjswG&#10;OfyqLWdyk73RycEskqiFnxIDnHqPT61ppHok2jJ5cdzFqiMd2SGilH44xS/Z9NMLCRpFnTG1wMY/&#10;Dv7GmeSojZjMGyeGXGW/D1q+YloqRsip5EkibJSdi/8APP2PtU5sbuzijmkjWaHBwqtygz/KoJbK&#10;Rlw6sAehI5Namni5exa2lTJj+aOYttyB/CaTkCRFbSec4gS0JMmGAfCtt9sj19DWlDcaeIGhvrO6&#10;tJu1ypO4keo6VtaFpFvrryT6nLFbpCoWEOvG7rk/zq3rXhMxwGeyvbCcRpvZEYh26dBk5zUvVDSs&#10;ccgllmbzLiNxMc73AI9jzyKfPZTL/Gsofjco44PtV210c3KFUeGLDbV85gjA9Tx1qybabTpHSVBK&#10;hA3Kj7xntn9ajmHypmfp8t3bSAKjsg4DA8H8anSEzTEsuBkuwRs5H8v896fJJGjEeRt3cja3AqWO&#10;zmaJZ4bcnd0w2efw6VDDl7DUuCjEpsEY+73b86tRXLbwzBt3t3+lXNO8LXkyFg8cRb7y5yRn/PrW&#10;gnhW4Rnia6VwTkMyfMMeh/8Ar0hxUjDa1Gq7NzPlchAwxjPartt4ZlJj80HcpyHyvf6V0tnpLWW3&#10;D2z+2zafz9a0VLLx5W4dyrDilzIuzMi08Px2xDnDEd1bA/KtaFXI2BlVccdyT9KkI3D5Q4/Ko/LU&#10;srlF3L0OOaY0TxxhDyevXGf5VY3KQcbWPpnFU3AK4G5D6rQrNHyQH+vU0h2LamTALqM+oNKJAcrg&#10;59qpm4UoW2EHsAaRZ0AyXIPpmiw7F5SRn+VL5n+yaz2vgD3HuRxS/wBoxjggH8aCQjRepFSb0HQC&#10;mzGNUZs9PesC48WaPZuY5roBh1AGcVqtVoK50RmB4yB9KgnuI4ELyOFUdSxwK4DVviGqFk02NW/2&#10;3z/KuN1LXdS1j/j6uJJB2QdPyqlFkOokekat4506yYpA32mQHGE6fnXJX3jvUrtmEEaQAjgBiSPx&#10;rjxMFOzYzN0+lb9toJgMc2qzR28LqHVQ3LCqSI529jPuLu8usvc3Er5/vOTUOcLlizEVNqEdhLcO&#10;bGSRYyQqrKf1FaVlo8TLgyDJGRzTukLVmSkNxPLshj6jLMe1N8trcMjBZGc4AZM/X6V1cWnw7GRH&#10;XnqWaormzgt0+UB5FB4VhkD1+lTz3DlZy89o0CIm4M0q7gV6Cuw0S6v7e0/0+R7qyC4SLI259/Ws&#10;B9QkEkSOkMoBAVRyV9DmtXUrS7g01LmO5gW3ZgXhWUFs/TNNsErFLVVks9Zkt4pZIoyo3BD1zzj0&#10;rYtrG6ltN1y+20Y5C9Djtn0rmF1KOO7B2PMyD5WHr+NWL2+1nV7bDyeVGoA8qPjd75pWuCJ9S1Oz&#10;gcxWCiSdjjzAPuj2pltot5fRoGQhAwYgHLN9BUug6XbxSL56FZG5DMcgV2tjaqsoC5PHPsKyqScd&#10;jsoUFUTcmee6hY2NvdeQyXluc9XTIYfpj9aii0Rzb/aIp4cEZWIPl8fSuq8V+IreKT+z7eOK4CA+&#10;a8gz17CsHSrrTfMzJbmF3yE2ksqmq5pON2clenGLtFnR2Pis2VgLKWJ/PgUphXIBPYHHUVg3esXl&#10;zcPK944ds8K3T6CobsT3TwzCaGGdc/MmUZge3PBqzHd7VS2traC2mIwJ5JRIrA8c4zzSjZkRq3NC&#10;38Yz/wBnx2V+FMUXSck7sf1Nc7rmujVrsGJWjt1AAB+8fc1Ru7HUfOxPbTEA4VthCnGeRxVdYSzB&#10;cYYe3FaQUehbm2rD45BDdh97cjqKvDUAB/rpMduaypo8XAQEHA7VGylSuOua1auTc6S81CCZ7STP&#10;75OGPUkVh3Ll5Wlyckk1EUxh92SaH3uPmGBSUSXqPjcmMJuwuc8+tWY13JuZ1HvVBDUnmEcZp2J2&#10;LbMBgg5q3p4ma6YfIGcYBcnn2xVaz2PsMibl3fwnk1tzLJIqvbQP50f3cAcKeuaynJLQmc9LDpLL&#10;zi1tJMqySqDs8skZHuKqXqXlhp5tnjaJJhtwRjNXIFuWla7uS0LqmFIYZ46/pVbxFbXG2G5PmNAV&#10;GCzZIJ6ZrOMtbCp1OV2MhA5ZIVG5mOBt5qzDFHBMIbiVyiMQSg4B96z0uWhuBLHkEHij7TcSSSuH&#10;bMp+c+tbmjZ0d3KJbCFYRu8pcFwMCsG6mURFQfmNKLq5kIR3bbjB7CokhZmJCZGcc00UnoOtrG6c&#10;rL9ndoxySBxTHDQnHQ5zitKOR3hjtiXjiUfMwPeoXtpZnLyI21OA2OopsZVhsHlkQO3lmToW4FOS&#10;1NtOH4Yrzg9615j9ptoUdwiqMBT3PSovssXnkStviY7VlU9Km4FG+vbi/PmkMsEWFCg8L/k1A6yS&#10;xBjx6eprbSziieaDOFznDfxccVFa6ZeXZbCJGApbfK21QPrT5kFjJWcQRMhVWLd252/Smm4PkMkO&#10;Ru+9j0q1c6RPBMfNQkZ5IOVPHYjg021sJpM+XFuDDAzkUtAE82S200IJ8hmDBR1z61X+03E0uZGb&#10;1Gea2Y/Dl9NIokhuGXIG4REgCnXPh/U4HyLd22DaCIzg0XQ9SC1uDewXFrKzCMRFhg/xZ44q/o6e&#10;SrQxMyxyjILDoe2TVC00i+t5GkMTehBXr/nFdroKySRtDcW11DFna7RpuU9ein+YpN6Akc9qen2i&#10;XMX2S6ed2QeZui8va3ockg/nUJilYtFsEgj6bex/yK6Kfw1IwlkWPfk/Ku4c+n0oHh2SaF5EgkSY&#10;MQU6HGetZ8xdjMsreMKWnW4RyThg3B9iK04rdmjVY2JOeCOSfw71pW+g2ilEmnMTfdG8Nhh6FjgZ&#10;rfstDtLbDou7jAJJNS2NRZysMNy9qywxKH3fMcfMfXj8ant/DV27gokygjll46V2kcPkZMMafTFS&#10;Kz9XUr/u0rjsc1FoRckSwBWPWQksRx9avWnhuzXcZmeUlsj+E/oea2VkjyMg8+oqclCvyYHHSpsM&#10;zU0bT4ekMeB0LoDViOygV2McYX/c4q7uXaAxbHqKjMPOY2OfehICuF2H5HKn2WpVkdMAuW/CrUZI&#10;TDsu7tjimvtZ/mXB+lOxVypJHn5xGD6561HH5BGVAyOuT/SroSPHaovscZYsqjP0qbBcakgIJCj8&#10;qYZysnzxsB6jkVO0EkZAUJj61WKSsWDLgZxndQFx8kkMhC5yfrTGCnjsemGqtNA6EMqqefTmhEbf&#10;uKE57F+PyoHclMih8bhx2NML5fHl5B6EGlYBmP7kf8BOKi+zkPvBKgdAT0qguTEgDbtwKQzjP+qB&#10;96iknYjBDHHtmoxcHH+qpWEeN3PiHVrqTdJfSk+zYFQSRtdW4cu7zlueT92k+y+VcFXZXAbaW7Ct&#10;eK3ZC4tpFKnCiXHbviulJI5eZsyEtgh3PuC/rVhWneMIqKsMZxvUDJ9M1vaPokNxelbqUlVXKgnG&#10;TVfWhYadeCK0lC5O2QKcgj3/ABo51sVymWmmzC9BLxtKrglX4BzWl4se+uGtPNtPJjSPaGByDWbN&#10;feVP5/LBlGAfWl/tjUtQhFq7q0KncAyg/rRe4bFC0gZJ1kmbao5Ge9dOYbVrUXC3O23HVcHLH6Vm&#10;I1h5aiad5ZQeIUTABPqxqTUluvsMYtYEKKSWKfeJOMD3xUvUpCm+t0JEcGw44LPnb747VlXV3JJm&#10;X53QcbgDjFWLbwxqdyyzTRtsJyea7m10y2WBFQIVI5TbkUrJDUeY4F7aNLdfNnDXDqCsUfYH1Pr7&#10;CqQhmLFsMqnjJrv9R8LQziS5tIVWT+JRzj3FY7acTD+9t5Wk3YRscgd+f8armSFKBnabZ2xZxJMY&#10;xj7xTP8AnrWvbH5HSSBLhzwgdtvHT/PNSWWnxyS7IJv3iLv2sgADeh7VoRaTJI7xyrK525JXgr64&#10;H9KlzuxJWIbiK2jjglt7hkECYZRyR6/XmjV/E8i2iJpjZmlHzuq8KPQVWTS3CeXDLmXJwH4P05z/&#10;AC7VJbaawcNdwGZd33YudvuR+AqbLqaqbitDk4rGe8c4SZ3OS3B/OrFvZ6lp8u+OAttO4SbMflmu&#10;1s9MXcY7eY2+QOUHzH8D/hVu68NXd3p4a5l+1RxtmMiQxlFHbp/OlKXQ5pRluZ+rz6fcQ26CGCS7&#10;boyA/L3wAKp3d1DaxT26JdfZpFT99Au3DAc8sM+lb0Hh+SKVZrP7PDIQAG2lwBx1J6msrxFFdjT3&#10;WXUENwz4JDKFK/kKyho7GCTuYJ8YXnkw2sm2WGD7jkENjGBn3rK1W9jvblZIyVVh8wwAc+/rTIbp&#10;XPlTRhhnjaOpqxc6T8geM4yN3Pcf1rohFJ3NY7mOCv2s8naKGzIcJyatrYq7YClP9ok/yqeDSRIg&#10;ZXwM7d20lc1tc0M7y5ABvIKrzkClnduEUde+K1hpNzIZCAdnTPTp0pE0y5ibyzC2UbB9M+lHMkFt&#10;TECsozg80BS/Bz9a2/sc7RnMOB2LDGfpVptPuocRG3UMOvHtmlzBymbZwiKHJj3FyQHJwAMfpzT7&#10;jVb2dVRCUjAAIUYB9zWmttNHaPGWzB1MajIP1rYHhO2mhQ2d1ezP1C/YTwffmoaW5n7Jt3M/S72S&#10;CNI7uENv4UgBj9KuXE+ZZI7hB9mzlo36rxx8tJa+CvEiSTbLdt3RZGIAP5nIqy3w+8S3L+bLOA7D&#10;a25xnaP51g4LmuR9Wk5XOZ1G1sPM/wBCjYDGeSSD649Kd5Vv9nWOCEhxyzk8V6Dofw+WHY2ovJlT&#10;ym7IIrp4fCWhqrAWaHJzyTW3NY6Y0n1PFBZsVJKEE8Y5NXIbDe4UR5UnBRR82e54+lexDwzpSP5g&#10;sFLd+4qVNCtYmDQWccRxjhR0pe0L9meUWnhe8uFEO1wjHcNxwB+FakPgC4xzdsqDnYOa9JWwIXO1&#10;d3oVqNoY4wCY5EPfBxQ5sPZo4+z8G2cB/wBIR5iTnL8YP0Fa0fh3Som8xLOMPnP3R1rdQMcAMxX0&#10;bBqykMQQlwoyc8GobbDkOam0S1m+/box91qu3he0kC5tUYA8gMcV1jiDA5/KoZViKny5ShPouaaD&#10;lOefwjo0Y8xbfax67gT/ACp1to9vZr+4CBM8AqcVt2yTI2Xuy6+mzFWfLt5RtMYJPUmk2VymWkKl&#10;eY1/4DJUv2RHI+Rh9aui0gThI8e4pRaKDku/50Ji5TMOmqzHcq8HI4z9KsJYgKSOSeuSBWksSYzu&#10;/M1E685IyPancOUzZLJQ3zR5+oBp0cATJjzyOauFip+VWIx6VKFVlG4oAex60h2MxrRW7kE9TnFT&#10;LaeUi7d59w1XDbxnsp/GkMBCAIQv86EgKoIDDeuDUhDdUIP1FONvN03Bvxp8UDBTuU0AQZfA3KGP&#10;sKcCCf8AV7c9amZFyMkrURXBP70n8qADcVPDYz6inDIGRg/WoQQG+Yg59qkdgV+Q/kOlADtzd1AH&#10;1qXeRjPSoCxVM78n0qI3RXglPoaCmWXYEEKq57GoWaVUOx0Un1U1H56n+EfUGmmeMDBZh+GaQgJk&#10;Ckhk3erAmm/My/fQt/FxUg/ex5VgQajKFQfkUk+1ACgykFdy4/3qcEkDDd0/CmeWRnKEH/Zwae7y&#10;LgI65/2gaQxSFzwpJ9xUTNhWzhPTdUbsTuDsgPTAaoSBtIOQB6GgBZZdiDyyC3c4quXZjkqefY0r&#10;rCeSykf7uaj2WZ/5aoPapFzHl627XLGKJUUAlg78blH9atK8k0cEEaKGVsNsHJrbtfDsrxAkup9C&#10;ua0YvDs8M0ZihAAOdx9fatuYwUTkmgZoykQmaY5VWGeKls7GzjU/byhJB2ncuM++e9dMnha+uZwk&#10;wSOEtklW5xn+ddBF4T0dY9ptyzcfMWJo5i7Hnlv4ct53+a73kruAVM4BrXj8Pafp+1keOQkAtGDn&#10;8xXR3HhxI32qjPHgDO4jp2p8emSNK3kxGNBjJZeopc1w5Tnzo6K3nJs5YN/qwCv0q3Bosgl3qAsa&#10;jD7epz1rphZHYoMgPGMFev8AhU0Nuodh5Yj44OMAildlJGAdGtpZ45xJOIRgLG/3R7mpodBgtZ3l&#10;Z5ZEx9wHgfQVv/KE2qCAOMqKRl2jc2ckY6UXKWhky2rsu3a0ULcgtwVrLOhzRXJngncZJwr9CfXn&#10;rXRX8n7j93GZZegDNtxUNlZW29JLlSrqMBVdio/OgCtp9rHpV0bjZAxCliGXB3eue1at5ZxaxGlx&#10;CFilHV0OCRU503T52LKSS2Bw/SnXFiVhKRqCgTaCGIIx7iktAsYg0GOJik0KyOxyzkkGrtjo8UJw&#10;kR254BUHA9MmmwRmzTy9xY5yWkYsf1qwGmCfLKdp9Ku4rIsNplvFJ5oQq2MZ/wA96h2RWzKACARn&#10;LHJqszyEYaRh7k01iNu6SUcDq3FTYLE4mtriTaFyq8ksm3n29arXen6beMfO0+1Zc5B2ck9yfWof&#10;7R08uFN9bsTxsWQEn8KnW4tjysq7R154oshcsblG58M+HbkAtpcIcdNi7MfkazpvB2nPPujMscRA&#10;BiyCD+PWtW81rTrIqsk+WboqAsf0qBfEdjIgaO2u2BONwgbBp3HaJVj8HaaiLGNxAORuwe9R/wDC&#10;G26y/JcOIiTlduT9K0F123LkfZrzjgf6O3NRR6/cyMwg0S9f0LYX+fSjVhZCXXhea+lDR3ghKqF+&#10;WPGff6/4U4eD44N2JphKfvOTndUxvNbmwtvp8MIP/PeXOPyrS0xta+0qt21u0Z6+WD/WjULI52Tw&#10;lESD5rDbydi4yfUnrU//AAjlofnkDysR825s5Pr9a7hoo2BDopH0qnLZ25OFfaaSYWRzdjoOn29y&#10;jrbF3XBG85APrXQQ3a5K+WCF44NMNqobAk/SlW3COcSDHqRVXuOxbSSF1LfcB9eKkkjJVfLUNkdd&#10;1QJbQBDl959BSxlIj8iv7Amk0O4jrKM5T9KYjzjsPxFSu7ufQ9s03zLjGAIz7GkRdjlkcj59ox71&#10;MqJLjHJ6jmo0YH/WQbfdal+TPDHPoeKLIoYxlPBSMgds80xhmMF4QoP901KI85J/U5pAyqAmTuPt&#10;x+NO4ECxdg2B701rc5+UpUjzLGdkrx57Z4o+U/3aAK5tixx0PqDQ1o+AFdCfep1iZ5CY1GfWp0jf&#10;A3AH1NICmLVgeWGfWnC1Tjc7celXTGPSoymCcHJpANONmATxTe2AacYn4wBSGNlPKnFAEbbs8DNK&#10;ruM5jpcYY9fxFJu98UAV5GXdhyw74BpFWI5y55q11HKg/UUxjCDh1UH60DIRChAIlDH3BoELAks2&#10;fQDipgsbD5cj8KbJbFsFXP4igQkLPGc/ez261O8jsvCGqxtpAf8AWDj8KYRKvcfnQBPyy89frUex&#10;BMFZQSR0NIjMXG4cUsm0OABJ9R0oAe1rEOWX9agNvGPusR9RVhZgBg5z/tUjTgfeVcexpgUnt5M5&#10;Vs/jiqsmVl+dT171pGePPIb8KZM0bDPmbDnHK5oAzTLFn5iq/jSiaEDJIHocZzUzW00mSJ4nB9Vq&#10;s9ndIuQq49hkUgJFdy+UkG3sM4qTG98S3ABzxtfpVaEN5h8yAN9ODVkRwAcIQf8AaU0AOlt59uY7&#10;wn2ODUErX4UhfLY+u3FLOGliKhlI/wBk1TMckaHa7jHYMeaQDybg8yxux/2XqMzFRgrMh/3QaZ5t&#10;3gkS4x0DrnNHn3ygblhkz77aYCiWM8NMA3bKYpoMpGfMtj9WP+FNfU3i/wCPizYL/eHIqudb0gEh&#10;lAPf5RSFYurPcq20Eev3etWYru7LBSRj6VTRpCflPA9T1qSVWDJucqDz1qgsW1vrtMgqp/ChdUuc&#10;Y8tMZqqjkjAb8aemAfc+tIC39ullQqY0/Hmj7dMBgbfyqqXCjHelUkgZoCxaN9JnJ2/980fbpv7x&#10;Hp0qu20ZCnJpoOTzjNUkC0LaXk+QN/4Yqyl/Ip+aNT7mqHy5wByKeJAeD1p2GXftNrIcvHjNSGzi&#10;k5jlx7GqPBI3cgGpW5IPP50gLK6fIpyjcVIBcRqc7vyzUG+QHIkb86cLiUdH/M0rAPa4U/LLCCB7&#10;Yp0f2V+ArrQbwEgFVY+uKmS4RSF2hc+1KzQEE2lW1wjESzLnujYP8qxJvCmiOSZ57qZv7ryEiunR&#10;8seh9ainhiZGcwszDunWi7GYUGh6Lashhs1BXo2wVcNvasSPKGPdRQ0UqAAhueQCKI+WxnmmFhqx&#10;QxH5FAHsKmR4zyUY/jS+aiDkqPwoV0PRv0ouKwjiMn5UH4mmqckjZjPpUu1PvFc/SkMnOVXgU0A8&#10;KiKDgk+9WI5k3KxQr68VEIpJUDL39RigWjFxvnI56AZpgW/M3g7HX6GoLgXWOEDL7c0xPKUkMXOD&#10;wW4qUTYXCgfmamwFX94FG5SDT1MJJTzGUEdWFWBKD/H9aRvKYEOiH3HFGwEZtvlyjg+nNCrJ0Cuf&#10;XIpBaqwJRyp9KlSGZSMTHA7UPUBwDMNpiAHr0pVjiTOckn1NSgOmS7E4HQCml4yOhz9KAFXYOgxT&#10;ztYjJI+lVzIvaLk980onywHKj1xSAlaNwcq4I/2hTGZx/wAs+fVaFMjyDbIMd+KlYhRyeaYECbWb&#10;BDA+4pxjG7inZJxgmm52sTz+NAD0bZgEZFP3KT6VCJc+9KXVuhwakCQqrD7/AOVQNACcq5/EUvPQ&#10;kGjeQeRxTGN2yL7/AEoZ3zgkge4pxO4ngjHvUJeEvnAJHfNAFlTuTgjNVriFiD85HutDTDepVgo/&#10;i4zmlN3Dn5mJFAhkbyxAYwx9xUgkLAlgBnsKF8iRg+45HTJqTOwE7srQMr+YoOAc+1PBx95hQksc&#10;uV2HA9Riop4VH3VbHsaAJGILZ2Ej2NQNtBPyOtQbWHPmOv1FSI74wblD7GgQfJ18zn3FGwt0Ofxp&#10;dsuS2Qwp26IcSJ+VAxpicAHBxTMkH0qcvG/yxyED2qlcJInO4SLnqyigRLz/AHT+VJgsc7c1WS9C&#10;dVH51Yj1CEcFcepoAaQOQVP4GhVSRfLLyKexFNkuYiC0U3A7GoPtUpwo3B+3y8UrDKs9jq0EheC5&#10;eROwz0qjJPqiA72mX3xWw11Opw0jBvTHFRG/mIwzZGcmgRjDU79CT5hP1FMl1e6xkqje44rbN0sg&#10;2yxRlSerDNV5bewIOIUz7MRTJZkprjZ2tbkdshxVr+17ZFHmRlj/ALJzVa40oEsUlRs9iQMfjVOf&#10;SZY0zHtYHod2aaSYXNQa3aAE4KDoQeTSjVtNYZLJk+q1zs1nMmRIu3/aHNVChycpk+tPlC52io2A&#10;DgfjVlfKKBHUNjpmkaGYDATjPPFMMbIAT+VCGKY442wvGaQEdCaesLEg9aGgIHK59KdhXHLs2k5B&#10;NOO3otNa2wgP8R7CkCyBwGGBSYx6DNKenXBz1oT5cnjFPCM65yMUwGBcv97JNO8oKc5OaVeDgCng&#10;49APegBUUsM471YKMvU4HrUSsTkB9xz0FWEtp5AMrtXqd1JjBXU5yc1C0yqWAU1dWwVc75PyHSnn&#10;T7ZV+bJ/3jRcDNRlYAlsewq3FGsvCvj61K62qfLHEhxUe3LblRY/900XAvwJHCu0fUk96bJcRxnn&#10;v2FVQCTnr9aYHYMMqOvSkMvxypIR8p54+YVDNp0cj7kO00oYnHHFTRsP73T1pAU/7KGeXJ/Cnpp0&#10;KHDlzz1zirbSEdCOnek85Cg3fjQIr+XBHLtWNjjktnj86eMc4VV544zTmiimIZSFboOKTyGB+Uoc&#10;daaYCMTgDcAKCQvv9Ka0T4AIGc9VpSrgcAk/Si+oDQqs3PP1p5jwMqCKbuKn5gVP0p4kJOMAimAq&#10;xAjJA+lKIwrdKGc5IxTQT1INNgKxAO0r+IFMkDsm2KURMe+MmpMn1p7bcZyKi4ytOl/5Ya2uIwwx&#10;nzE4IHuKeJbhVxKgPGfapVILcGhh1B6VVgITIm0E5Q9eDUwkEijaQv1FQSRBgD0xTXB6k4HapsIn&#10;xMDjJ+oqFm55JogfY2c8+hNW0cOvzKN3vQBWEhGNrGpSzYz1/CmyfKxwgB+nFMMrZ+Zj+FAEyujD&#10;5lKH1pjmPs1QFvbH1ph56UATgqefOAqVCp4DhqoHduOCM+1KpI6n9KALc3mLnZkg9vSqQGPvZB+l&#10;Bmk7MevTNPE8ndvwoAb8+PuZ+lNNvIRnyakF0qkhwB7irPJUMrZFAystvPj7nHuamVZUADMoHuad&#10;LeJbIGkDH2UE1DJcTS4eLBjxwNvNICwqocEkE0jovp1rMeeUN1IpFnkCfM7bvbmmgLhjfkByPaoJ&#10;RMByiMPdajS8lT+IED+9QdVVMGbYB05OKBD4FjmT7rRSA9jxUpjeJl/esV9+RUqyF4lcfcPQimlg&#10;/Wi4WBREfmCgVVnuVjY7Vz+PFWmI7E/hTWijcZJBPuKLhYzEuOGLxowz2XpSM1nMxLZU/wCzxVya&#10;zh2ghtmOpHQ1U+xxSEhZwfoKdgFVbWRNkUu0jsME0v2W4V1dbpnVeq9yPSojpHllpVdd3YkVHDHc&#10;Qyu+BtOAWV/1xSsBPLexoVWQc57VF/aFmxIYKPcjFLdWu5izAHjO7I5rNfSZZfnieNgOozSA0D9j&#10;mHDgenI4qFoFA4lXH161iS2k0LlSpyKjBZRhgfXmqtclmqyoCcL+OKjJLNs2HgA8VTFxInRnFKlz&#10;IzkhsH8BRawWLJeaPcBA2cdxwaypjLJKz/Zbfn1z/hV+4uLhI8tn6is6TVZRIQIgR6mmG256CkZH&#10;ysc++KbcWiSrlcKw71VtdQDuVkUKw7g5q95uSOgWkMw2M8bbQMdfxpyyuy7X6+lbTIso+ZVIqrcW&#10;IMZMSl37L0quYloqB9nAzmnGXdhSPxpy2E4ALKV9iaeLF2YEsFA9aLjIhsLdeOmKsBMDC/yqwiwW&#10;yjftZvUDmpGu41UYI+gqeYZXispHGSQqn86txWMKcvlz71X+35bbjB9aVpiw5lOKLsZcVYogzlVB&#10;HT1pq3mV3Hj0FVQVH+1TxMuMbcUrsCVrkyHaQfrmoyGdutNaVc56Um8nkA00BIUUYwM570ZI6mq0&#10;k8nAAPHWm7yVDA89xmiwFsttB5H0qJiHjzknHpUQmJ5aPn61IGDMMjk0AHmPkAA4A71MssmPujFS&#10;YQFQz8/SpUhV1+QjB74oAjG5hwenpU8dvuwXCgdqciJAh3tTDeLxtGQemaQFnYsZAwvPQ0Bgq8kf&#10;41TaVpHALY/GldyOpzQBMZupRSTTTM544X8arssgOVPHoaHOQTjLegNAFqKU87mU5/OlKRHJAAPr&#10;VFNw5bg+9TpuAzxRdgQywzjOOf8AdpgeZPvZ4q0XKuMZBqTziSdyZBouBT3l2BOfzqVmRkwWxUjr&#10;FJjKhfcVG9nvHyPmgBoREU8l8jHLGmS20ctsUWSaDjAeOQ5X35zmmNbzpIMBvyzTXMoJDcL9KLAJ&#10;b215ARt1EXKH+GZAv5EU66n1KK3kaLTlmkUZULLjcaiVmH3WIrRtroNtVmyfpRqMxbfU79gBcaTL&#10;Cen3g3NWo7i4eUkRNERzgkVsEocjbUZVEYHGKAFilaWNS6dsHnFNkt9wOxsfWnNh8YYflS4cAfMP&#10;y60gKxt58fwmm+RIBjBFWC8i/exio2uXUZ6D2piKrRurZI79cUIjuxITpU4uBJjuO+aGmBBB4HtQ&#10;BGLctkk4JpGt5CNuVPuRTt+BkE0nnOG5OR2oGVU0bDFprqV1POw4A/lWhHEkEexBhfTNRmeQ9xSG&#10;Zj1UUASF9o5FQvcFD8ibj6dKcXXb0ppcknrikBky6nqklzsTSiYc4Z3lWr2YmXBUI47ZqwpU5z/K&#10;mHy5FwqFz/u0AQSRFMEJkHoajn0gSlH8xSV6CtGKwXYrOXDYzjd0qxsUIBxmgDMiguIiB9pwB2HN&#10;TyCOT7rEOOpFBPBOMDOOB1qF2RSCBgd+aTYCoWAOSD7ilZz3Uj8DVfEgfei71PfNOS4dyVQkOP4W&#10;pgOadiwVVx75pd3l9CBnngVEZmdwhiGc8g8GplAE21kyD2I6U7gVLuSZ2jEDKTnkEdRVYSRIS8z+&#10;W/YNGVz9PWtSS3iLI6kqw9KjltWkwCFYD1FAjNkKXEeBPtJ67BzTY7ZImDLLIfQlhUsuntA6ukW2&#10;Mf3O1IU8xMh3Y+gxxQBMNqHDOx+rUya3hkAHmYycnvVYxPEpJK/iagUMRkjGO/NAiZ7ZRn5YW4yM&#10;rg/pVSTTxJGzLGUfHY5FS+aC23LE9Kt26vnPQdqASOXnFxHIqEq0f8R7j8Kwpm/fNh1xnua6HxFf&#10;QC42iIfKPmcHbmuJfVWLn7x56kiriroyk7vU9Za1hVC6Jgtz1pQ52q6q529VU800MYiuSGXHIAqU&#10;lchkxnuAMGo3NSxb3shTa0Rz79avW7bm3HOR2zWP5uFwUH1qcXOIsDCj2osBtM2RioWhZsgODnsa&#10;pRO7AMJCB0+bmrSzlCM4P0FFwSInglU/1FIluucuScntV5Z0lQkHHqDR5Cfn3xQUZ08YLZXhQene&#10;msxC52g/jV6S03nMeAfU1Qks5gzGVhgdAgoARJJJAcnaKlyqDhtxqr5Z6ZIA7CnJGu7jOfUmqsIt&#10;cOPm4prIFU/M2BUsbHZt28ipo7cPG4kxhugoWgGfArylsg4PfNXY4QpOVB/Cnw2Yjxl8gdhVtX25&#10;GM/TtTAoSeXHgqjsTwFCk1ahg3KpZdp9Kk3EMe+acoYcnp2zUtgK0aZBxzTZLgRfKFPTsOlOOV54&#10;qtvxL8wz9KQEMkvmY3ZJNIEWI5GSf7pNTSeWT8w6+lVnY7VVgQRQBKH+bJUA04yjOO3rVXJxx+dV&#10;pCwfPI9aANghSmeT+NRgBWyBn1zVW3dumQfrU4fJPSgC0TGwwAelMJ28jJ9hUYY9OKduYD7ozQAm&#10;45yRUhOVJFVwHaU/NjPap2+QHPWkA0SZ74+tODsF4HPqDUJBI6E5p6IdhJYfSmBPHK+TknAp7XCA&#10;/MBiqwkKpyRtqJ3Utu+Yf7NAy8FtpPmwv5VII0T7qqB7CsdbgEt83yjvjpUqXTZ5JZB3GeKBFqcO&#10;zhiWGOmKcZQQB0PvTVmZxwRt9KVghHIAPtQMjcuDlDkipUlIX5snPWoiQuMce5pVjLjhuKQFhWRh&#10;jA+lCxxtj5frUKwMp4OaY3mqBhvrQBLJbgkhOBTPs3HXNIZmB+9TDdMM4Ix3oQCmMr2qJt8Um7BK&#10;9wBnFLJMky/JIVPvTAZEPzHcPUUwJ8qeaNo64qEXGWC4U4556irCzEg7jwOooAXPy/8A1qaArH5u&#10;KcsysRjr9KHbPQKT60gIyF3hSxIPQUNc29tERyme2OtSqF27mUbvaobm1FxEQXIPUHFMClLrEu75&#10;FUL6EVJFq6sP3sePpWbcQSWrYdCQejDpVc5GfX9KYjfS7tHO4Ng+jU6SJZVyki81zDvIMFT9aUXE&#10;8RBQ4Prmlyhc2zbTISN/GDyCapy28qOZOoPcGo49Wn4DhWwO461eg1CKZljZcM3YilyjuNt/mZJm&#10;dSRweKjvTdTSh7PGP7wbk/hUktw0Uvl28AYH7xzjmqkgl80F2dX7BOgosBGt9fROFkizzgkrWkbw&#10;Jbeaw2HGMEc5rHkvLhIzGpZ2zyzc4pJ5zNt3bunSmiWyzJqUvVGI9c1EdSAbLoQ/dl71RZAFLKec&#10;8nmqZmlDEgAj3qlG5PMbX2uyY/OSGPr0NT+ZA6koqn23Vz8TmTKmLr3zUgAVsFio9QcYocbDTNOS&#10;2ZWLAY7kCnx3axQv5hKkAnJB4qqZJHC+WzBgOrHrTHvQkbCZgCPapKOSuriI6U5aRHeQFmLZJPJ5&#10;/WuSZYdx7e2Ca29ckF3du6sFX+FcYxXPkSKcA10QtY55as9pXdEFGA8YPQ9aXzlLbo88HoaFYvJ8&#10;ueOvFMZ2LbQvTOTXOtjcnEyOwCsc5705wUABUc9qrPH8g2nPrikaVwmSrqAOBjk1VgRejdgoTbx1&#10;yKsWxea4CRHKL95qp2trPPGsjNtBGcDriti3iSBNqZ55JpWGSPhRhQDmkadoxt79u9B5Y/0pWAK7&#10;iOfalZgTCb5MsQvHSoyBICVfNU7gymRVjJUcZyaUSsgby8lsdeuaALKxKVOVGBTPLhRslRmq8f2x&#10;4yZCiZPYU0wyE7i5496q4F9TEnzEgA+9KJYycAj6mqRs42bfJIx471KiWwHCk4FMC6sqBPvUivvP&#10;DYqEOjxjy0I+tPSSUrtVBn1oauA4SOH27efenPKVYAnnGcVWkiuy4YyKgA5CiooYjI+TK2O4IqbA&#10;aYcAAt3HegIhbGPWqXk75V/eMdvTpVkF1XcxBPpmkMGiBIA5rPmkie48ny5t/qUOK0o51eYxiKQE&#10;DOSpC/nUhX5t2PwpIDNNnNjIIPsao3T3ccbbLV3I4GB1NbjPJJwAVwahkYnI2SErznbxmmIyLC3v&#10;WLNcfKc8IE4U/Xv+lXigij+Y4x19asJLOSVZBgHqR1qR7eGZf3y7lPUdKAKcbxFCVY/iOtOln8lC&#10;78KOpNTnTLdUHlN5a9lFRNpzNzuBAPcUAV0vYJhuXftHG4qQKu+b8u4fMD0pv2FmGDIMduKRrMR5&#10;O9z9BQANI4PyrgHvmoVYk7fMGaduiVcNvPtmhbmGM5EAP1oGVZ/M8w8oRjjJJH5cfzqLbK64DSE+&#10;o4H/ANatE3YkGfKQD0xSrKg6Rgd8UAU0jlUFBM3I+6Rk4p4ixgbj7jpVp7ncPuAfQUxbnB/1Y+tA&#10;hY2VOFOfbFPQtMQMBQO+Kal2mSQi8etP+2LnhQR7UDJXjDDDdOnFJa2yQKdhPJ9aBKjEZyBUF5eC&#10;3XbHww7ikBfEgHSmvLGQNzr+JrIF87BSX3Z7AU2Rgo5XPpmgRrbIm7qfpQ9lG44Yr6g1lRTH5tgJ&#10;xU4vZlbG0ZPegZNJphIzG4NV9txbZyCQfWpRqDA8ryPentqaqAcbgeCDQBXMiM4LRjHtT9y7flXB&#10;zyc1KZLW4zlsU0xorErJxmmBFN5rBfKZUGDk96hSV2fiTlevFR3W63n8yJt6vgAHkCo4oHiYtI2C&#10;/O2gRfWaXdwVxUhujjBjbPrUUciYwOoqbA25WgCMzpKQhGV75FVptPic5ilCk9ieKnffkfJuFNZc&#10;D7i0wMybT5Qf4D9CKqyW04IzCSPatlVDD/Vr1ppkjRhgMuPSgLGAqyeZh4nUfSrWnW7yXDzSKRtO&#10;F3Dg1sffU7SRx1qHyipBDPnrQFiCezuXbPmIAOm0EE/WoWtrzBGCR6h6tzXW1lHfvmmPfr91gGB6&#10;80gM77KbTkI5RjnPU003IwQDz/tCtRZdmFEbnd6dKR3U8Og/4EKL2BoxJijcbAMc5U06EFkZAFP+&#10;9zV+ays5uSu1u5U0yCzMEmFlVohzjblj+NPm0IaGRW6vhWjQD1XirJtEbg4bA6MM1KjxnG1TtPel&#10;+V2IDA/jUtstIzvJSPOI3X0x0rC1/wAx4wqsw5zwcV2DpsVucqBXA6jdSzXE+QQm8gA9/pVQCTsj&#10;l7sOHZiCcdQetVch/m9a1L6RCxeI9sMCKyCqsSRxntW6Ryvc9fIJ3SI5JPQ1AfPBw8eSe+etXI41&#10;VQWPPPSmlXlbG3OemKwN1sNgUOBtQjPB5q/BZB2Bf/Vjn60210gIwkmdjjooPSr7lY4ycYUUDSH5&#10;CAbcKoGOKaLlCwAJP0qqZ933cHtj1qm7yK2FTqemapFJG0lxFgncc5xjFSNMhXrisdJJGUARtkep&#10;qWNyWIcnjqKQGkqhuWYYNBgUnKNhhVJZjvHJA9MVdF1ADt3YbGelId9A8mRhlmU1DKvnJsO+Paef&#10;f8asiTKnaODzikDMSNuMd80hFSKzCqzHzSzHPXOPpVna0YGEIHXmpjGnBUEN6g0wJJuOZsjsCtO4&#10;ApfYWJG0e1Rl/LI2kmpwjBCvysT2NIoLdFVT+dNMCNrlY1CyMBv6Z6mkAlkBwojQ9+5/DtUbW5a5&#10;SYIGbplj0Ht71dAO7px60NgOhj2fL7dafsBO7AzQvA5PNNYsGxuAqBi+Y6NzyKGmxyeveqzxzjLc&#10;MM9j1qNWGSCpz3zTAme8UMdmfcY4pgu3KZB69BUB25wvA61Fv+YAUATiRxIG3EnpirH2p1+8M1Ra&#10;VywHAp3mPvAAGB69aALpuSxBBII6U43TAcHd7VRSOQsWY5z71KsdAidpw4+ZRxTxdqEwvaqTAnPO&#10;KeFO3IIz796AJJBDMQWGCfQ09LKIoBknvkVX+ZRnirUbrx+XBoABZRL0ZvxNNe1RRv8ANdQO3rVr&#10;gAZGRWZqEqmTCsT7elIBTLArHIkH4ijzbduA7fiKz2DEdc0inDelMDWhijZiTIpFSfZYxjHHrisk&#10;3AHy5OD7VJFdMo4yDnvQBptao4G2Rgc8YFVpbKUuShGD1zSrf7F3SYA9auxyLIu4HOaAMz7HcLz5&#10;a4B65qOaMuNrHaTWoPmJGT16Co2giZ8s2X/2j0pDM0Q+VHjdn3zTUiIkZtzHPJ5yB24rQNoOPLbp&#10;60w28irt288/dOKYis8b+WSmDIfug8fnUIWQuDLEExzw+asRNICUkjIJofA45JPGCaBkJlO0ncuP&#10;YU1bl14TPNOktTnI4HoKYEMY4BpAKoLPuZ2AyDtHTIq1KwliDKCT3FVS3bH406OUqrAjr3FMRbjh&#10;j2BlPGec1P8AIFyDxWRbCWOWRJDuR8EsTggnsPyFWcyAbWwU96BFsnDjBxSMc1Hn5uScj2pQQc96&#10;YxGAUA9TSEBgMcGg+XvAJwccc1m6hqzW08UEEfmb85Zuigd/egC48sgbCKNtQyNKD94Y9hmoorpp&#10;OS2QfQYqwgz1YmkAmwOBwCPcVATEr4EYB75NTyOinYp596z1ieaRtpG0HkmmBY8vcdxGBnOQar6j&#10;qAsdomimeNhw6IWq5HEQhBIPvikaRVgba5OBnAFIY2OGOZA4DAEZGabPbB42QHAx8pBwRUuGABWc&#10;kY5BWopBLkspQ/nQIYsASIIJGyOMk1WltJ2lyko565q3ArtneQSe1SiNgTj8MmkMqyWV28JAdCCM&#10;Ebq4nUsw3k1vIuzaeuK7PVI44bGWaeTO0A7UXknsAfrXm97KS7ZLFsncHOTz71dMzqbFW78vc0SO&#10;AVGeeM1k5HdgKuTbWbqT9aqsp3HgVtY5me0W+mPgNPKwGPuKen1rSRYoUVUqMS7UO9lAHPJqjPq0&#10;QXy487s8msbHV0NCS58o7mcfTNZsl/K7sFxsJ6ms03KzXP38nvmnu6sOoI9BVKIrmgLiJyqljuzm&#10;rBwwyo4rLiVinCnFXkjYR4bO3vTZSZZVxjGfwNOk2hd24A1AXEUWAAR9apSvJvx5MpHtyKTGaiTL&#10;jL4z7VHJJC7q0gOV6c8VQWc/KsisoPcjFW4rdpjlfujtUtAXoJhyEDbT2zV7eSBt445BqpbwmGIf&#10;Kpx2qVZnIwRhj/D7VLQy2hLHnrSgdTmq4kYggYU+meafbK2wlycn3pASk96VU5wKQAEClckfdOD6&#10;0AO25HbFKPu4xxUW7bwTn3NRyX0MRILZPpTEWCQuDnP1qEahC8vltwwqhLcy3Uv7vKJjvVKeJoSG&#10;DZyetFgOi3oy/L19qg3tDuZkGayIbqWLIWXg4yDVyW6DxbQpOR3NAEnMx3qjgjsRTGRifkXA+lNg&#10;u2i42cemamN6Cc7CR0xSArsCACQc0qvlvuqCPWrUc8Dr86gH6UjC3cjy2RT70xkYDFeccehpcnI3&#10;HA7VDLcJbOVeVc9eDUltOk6luVA7sMA0CJeT0AFMJAOMdKkYbCMSRjPvQDErfNMhPtQBLbRbiWk+&#10;VB70k3kROoVse/am/aIAPvKfY1ILmNlG0jFAEySLNHwc8VSv4gqq4PPSraHcciorghecj6UWGY+T&#10;tJpglCkAjJNPlkyeMAZ9KYwUjOOcUCJAyOuQME8GkVwOABmmx/d444oxwpHPqaALSfMB0ORyCaQX&#10;BibAbGDjHaqpfY2Rg9sGopJDIcfKMdcd6dgNq2v45DksM9CKWZUmZTudMHt0rHjaaLc8ajI5OK0U&#10;njuIwAM55I7Gk0Msx5g/5aEg+tMlvxCQHB68EVUlhMSl4s/L254qhK5kzu5NAjTbWIEU8OTnjA5q&#10;M6ikjA+U/XoxAx/OsyJQ25SuatW0S+ZmUZjHVaANHzYH5Rs0pVT90qT1OKhmureAqsar9VPFVHuI&#10;lmL+UA395RSGajWnm4IIBqrPFJEREwPz8Ag8dKrRygyBvtDkn8KdIWkOHuWZAeOgI/GgGV7iKOSF&#10;W3YliI+Unhj2zTBBqTQbDdiEv0aOPBB+vSi8t5HczW8ivjnYwz+RHQ061lk2hZA4YdjQKw2OxvA6&#10;+bfzSYHc4H44qVotQhjby7mEntuXkVZMshIJwFA/OmLdl5WQxnAAwezfSncCh5Gryy7nu9iH5ioH&#10;BOMUxbJY3LSZkkJ5bFarNI7ZP5VVuA0YB5OTRcBseyMHHQe9Qy3CnkOye+KjLFpwgOcnnIqcoqEx&#10;qAT1oEVUadlLK+/bk5YZNQm7nnJEUm1gcFgvFbESqih27DpWS8MtrfuUQmNiWB7DNCBkUtvcPl5r&#10;mUdsCQg/pU8FssZJWe4JYY5kNSRv5rKN2KtJB5Z3gEE0xXFhiCpnzXb3LZp4iUZbfknvSNuXhgB3&#10;yD2oUoT3GO9AXHxFQxAOT71IUyP4hn0NM3YPAytPyNuQfwosNGTrky2elzSTKJlxgAnoe1eatKl0&#10;zkZz3zW7451W4N4LJWIgRQzgdzXJISoypxu9K1jHQyqSWxLKVDBRg0zeBwQM1FcnLK6dAuDTVuPl&#10;FWtDE9Qlu55cEnPHTFMihWUBpMKOvXmpv7PlVRtffz2pxs2IAKk+9Yp2Okj8mBJB5QOcHJ9aEbjh&#10;efrQU8r7xCj0ppBJBfKgnggVYFmC4MbEB+eu3tWjHqEU/wApBAHUjmsf7O7ENGSRnJ461citJ3Uf&#10;Lhe46UmNFiSSO4nVEGMe+KugJGoONzDjrWfDY3DSfcRQP4gea0EgaMZkcFsYxipLK3mlr3y2jd19&#10;Svy/n3rSCnAHG30FRpxj29KkjYvyRgfSkFiYKwTrSgEbpA2D2zSAhAW/PNMe8gEeWdR7etFrgTRr&#10;ukMhGOMfWo5rlItyksT2HrVKTVUQZhjdzjvwKpSX91L94IinsBkn8amwGx9viIYbtuO54qGTU1X5&#10;YwXb1rJ8wFVbBBPY04Xaq4IOD06U7CuaIlZ/mfNRyHcw+Vfrio1v7Yhcvhj6inBkPBbvnOOtAhVc&#10;7sdhQ0gkbADHtSMm9vl6jsKfEvl52gZA5FNDFjQRkF+pp5IToR9Kaj7uG7c5qNpGDEBSR06UgJt4&#10;bgAfWlRMnkgU23YBvmAOfanzXMODGOG9cUgHSxPGu7I47VEGIO9sYH6VG3myBupA9KJFjdMZwfTN&#10;AyQyrL8wI6d+KrTSBjweOwFKIpGG9sbRxj1pXaNFJjjH40AV/OJkKkkYqwiloy/bHpVYyFQQmCzU&#10;+MOQY/vN1wBQIsxN5qYjyQOvHSp1+VAd78elUVYwK27IHcUsE0r4OTg9AB2oA2ba783Kk4kA6Z6j&#10;1pbkYgd+SwXv2rIV0W5WXB3pxknH4VrpKt/ZuExnGCB60DMndu9T60HIk6YGOgNQsREdnTHY9qaJ&#10;R2bP4U0BZUcEdx2oLjaSpHHpUUL+ZMUyQCMZNTNGqLhGJB9aqwtyu8wkYb8j1NNEY3Kd5P8AKlmx&#10;EBna4P4EVEJguApAx60AWzAyxkANg9z0NQaZvto/LZ5Mq7qB2xnirKartXbIgZB1zVBNRZtQuTaR&#10;AjAY54pNAdBtneHaQisRyTyKgOnBk+WTDAc8cGnWjEqCzgZx8obI/wAasQsuCXwWzjGe1SBnpp9w&#10;qScLk9OajkDJCd9s3mAnDEdBWwZVjByfoKjLrISTQBzMjnO4gjHA9KcJwwwxIHrWzcabbXLZZdrd&#10;cqcZrNuNHdV/dSZwe9CApysu3esgyOgA5p1vdEtxn1zUE9jODl0cdumajjcwqQVII45FVoI14pUV&#10;jLtAY9SO/wCFWFlhlZd+3OMcjFYi3XlxEEZBPWni7VjgfhzSaC5uGLaRscMvo1RS4Kk7tjdiKzft&#10;EigMr49qFvnc4nG70YDFKwGrbT3BIW4QHPSQcZ+o7U6dN7YIGPTFVIZCNpjn6/8ALNsYq8k8OQrf&#10;LUlIrCCOMEng981UjRFlaQAdeMnitWaGKT+IYI4xWbOgVsqwxnmmGhMWeRhkfJ1NPZTINu/Bx2/n&#10;UUbrwQwP0qwv3gaL2ArG2RcmPG485NQ75F5U7ipwavMMr0xz2qIhS2HA/CqTuS0R/aQCSdpc8c0J&#10;cRgsAgPsBRLCpHygMR0znimfZpGBKntzinYVibzFyAVIzTZGVQdxCjPU0gQIh8xgAByTxXLapqtp&#10;MZGt5WkAABYcYPtmmkDdkYPiKeK41WUpEqYO3IOd+O9YrKkZwDx6027kneYyuxOKYGDQkZyRWyVk&#10;c8pXYs0YMW5AelVfl9SPoKuIG2HI4IqiwIYgUyT26R0iyzPjJ6VC99AoXAJx6d6zL69hllwpII45&#10;FVfOBx8wx61zRTOtGvJdCRxxx2BpPt2w4CqSPWswSKFyW57YNMO98nIUVdhm2dUlG04QH0xT11C5&#10;bLYAB7gVmW8SvgbgW9Sat7TuEbNgDsDSCxejvDG3RmB65NWBqMbphlZSD1rLkcgKmaNyqME574Jp&#10;jNpbu2BP73n3FOubtLbGMksMjFc8ztLKsSIN78ACtS6iV4oo9wyiYPrSsIqz3c05wXO30PWmqwJA&#10;JqCVX6p06ZpdhVck59hSAsSAZGzpT1iZ1LgfKo59qrAkyDG7p19KtoT5TAhiPXPFMQNEuFbeCT14&#10;qIqAeQCe3tRyflUj24609ZFj+8ASTj5qW4kJtRSDIqnv2qeFhKM7MD1qk+15go/P0q6kvl7Y+cY4&#10;PSi1hk0atnbnn+96VIsZ837xIPWkVgB6H1oDhCR1Zu9S2MViuzI4BOMU8MGXIyAOM03g47+1J5pT&#10;5Qu4+mcUXHYbltpLbtvtVV5VikIAIyMZNWow4ZhuODzj3qg5ZpTuboaBWLsbNFHw3zMM8HNRFleb&#10;0I5wR1pIWXDlhyOBiow23uT25oGSPIWY85yOgppwjZH5GmmTyhuX6etNyHwcYB9aAAuUc7R7/Sli&#10;DMC/8X16010AOQxIx0pyOGIxgfjQBKvmSgKQMA55NWY4pBuO9Qp9KYFXZljz6Cm+c4wq/MPWgBXh&#10;w3ygMB61LZTiCQqflVupqq8sgJwTUfnbl2vQBfuNPacFkcZPOQKrtp9wMBipPTIOM1LDqJjjVWXI&#10;HA5HSrKTea/zfXGaAMQiZXZGQjHVs5FSrcsqkbyPbNa5gjGdqhQeTiq76bBODuQZ/wA96u5LRz2o&#10;a9ZWnE8gD4+4oySaq6Tbalr0j3EkkkFn1SNTtLD3NdINGtIpFkitIBID97YCaWS6ZJgrOsY5HXHN&#10;DaDUb/wjlqWZ3EwAxx5jH+dVWhbTEwloXjdsOyuCQOeee1aT3aeS7i5QOeEEjcZ/wrmL5FubjfcT&#10;AuGwRExC5H40LUCzp+orbSS7fMKFshW9auTeIyIizJGn0PPJqgkMaRb0GarSRLISJUUjORkUNIWp&#10;r/2zcOoKxxZ9SDwPrTRqN2z7vNQHHRVwDWZCDE2d52jjbmpmYtkgcUrIE9TTh1GQMfMdg3qOlWG1&#10;Nd0arIr7z3GOKxTuCbtpx9ajRGvCRwAO9SUdMbtEXBAB9+ajaW1nAWREbPfFYZJg53HI4+tOS6Vm&#10;4GBSCxoy6XaSMPLYoT19DUM2iYG6GbJHYiq32rbJ0bcemDUg1K4APIKe9AWRC1tcxNtdc8dulIu1&#10;vkYFauJqICjdjOKa9xbXBwQPqDjmqAzLhViGY5DnPFC3kpABJJHPNXJLCOblGxjsTVb7BcRIWVgw&#10;9utKxNmTx6uI/llGAM4o+3CZPL835mHDYxis6WPAII57g1XUsAeMCqsTzG3A0QGJd28cbuxqdL2S&#10;AjZmROhBP9awFuXX5eo9DVm2uZGDJCcAcsG6UuUambaajDINqhlf0YYNQvM0ztGCQw9KomZgny8s&#10;eeoqW12ykHbI0iHLBRjmmlYOY10I8vjOQOtPRWP3j+VUJbmSNM7X4P8AEOap3GqzvEY7Z40mxzuP&#10;AouU5JIua1JHHp8gaQKzdB6155PKiF0TAy2enWtXV550s40aQPKOWw2ciuXe4LSEnqe1aRRjOSex&#10;Exy0ikcGq+0qxBPFXH2yBePqajlj/HPWtDK6GBgsRw3SoS4z1FJIAvyN9ag3AdBxQB//2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4X7sL2gAA&#10;ALsDAAAZAAAAZHJzL19yZWxzL2Uyb0RvYy54bWwucmVsc73Tz0oDMRAG8LvgO4S5u9ndtouUZnsR&#10;oVepDzAks9no5g9JFPv2BgSxUNZbjplhvu93yeH4ZRf2STEZ7wR0TQuMnPTKOC3g9fz88AgsZXQK&#10;F+9IwIUSHMf7u8MLLZjLUZpNSKykuCRgzjnsOU9yJoup8YFc2Uw+WszlGTUPKN9RE+/bduDxbwaM&#10;V5nspATEkxqAnS+hNP+f7afJSHry8sOSyzcquLGluwRi1JQFWFIGf4ZD8xZIA7+N2NVB7FYR2zqI&#10;7SpiUwexWUX0dRD9KqKrg+h+Efzqy43fUEsDBBQAAAAIAIdO4kDZOTeHEwEAAEgCAAATAAAAW0Nv&#10;bnRlbnRfVHlwZXNdLnhtbJWSTU7DMBCF90jcwfIWxQ5dIISadEEKEguoUDmAZU8Sl/hHHhPa2+Ok&#10;rQRVWomlPfO9eW/s+WJrOtJDQO1sQW9ZTglY6ZS2TUE/1k/ZPSUYhVWicxYKugOki/L6ar7eeUCS&#10;aIsFbWP0D5yjbMEIZM6DTZXaBSNiOoaGeyE/RQN8lud3XDobwcYsDhq0nFdQi68ukuU2Xe+dbDw0&#10;lDzuG4dZBdVmEBgLfJJ5WT1PImzjGzqNBOjwhBHed1qKmBbCe6tOwmSHICyRYw+22uNNSntmwlD5&#10;m+P3gAP3ll4gaAVkJUJ8FSal5SogV+7bBujZZZHBpcHM1bWWwKqAVcLeoT+6OqcOM1c5+V/x5Ugd&#10;tfn4D8ofUEsBAhQAFAAAAAgAh07iQNk5N4cTAQAASAIAABMAAAAAAAAAAQAgAAAAlsUEAFtDb250&#10;ZW50X1R5cGVzXS54bWxQSwECFAAKAAAAAACHTuJAAAAAAAAAAAAAAAAABgAAAAAAAAAAABAAAAA/&#10;wwQAX3JlbHMvUEsBAhQAFAAAAAgAh07iQIoUZjzRAAAAlAEAAAsAAAAAAAAAAQAgAAAAY8MEAF9y&#10;ZWxzLy5yZWxzUEsBAhQACgAAAAAAh07iQAAAAAAAAAAAAAAAAAQAAAAAAAAAAAAQAAAAAAAAAGRy&#10;cy9QSwECFAAKAAAAAACHTuJAAAAAAAAAAAAAAAAACgAAAAAAAAAAABAAAABdxAQAZHJzL19yZWxz&#10;L1BLAQIUABQAAAAIAIdO4kA4X7sL2gAAALsDAAAZAAAAAAAAAAEAIAAAAIXEBABkcnMvX3JlbHMv&#10;ZTJvRG9jLnhtbC5yZWxzUEsBAhQAFAAAAAgAh07iQJgTcxHXAAAABgEAAA8AAAAAAAAAAQAgAAAA&#10;IgAAAGRycy9kb3ducmV2LnhtbFBLAQIUABQAAAAIAIdO4kAOCU9+cQMAAKoQAAAOAAAAAAAAAAEA&#10;IAAAACYBAABkcnMvZTJvRG9jLnhtbFBLAQIUAAoAAAAAAIdO4kAAAAAAAAAAAAAAAAAKAAAAAAAA&#10;AAAAEAAAAMMEAABkcnMvbWVkaWEvUEsBAhQAFAAAAAgAh07iQBz6ZGAwhAAAJoQAABUAAAAAAAAA&#10;AQAgAAAA6wQAAGRycy9tZWRpYS9pbWFnZTEuanBlZ1BLAQIUABQAAAAIAIdO4kCDQFNOMqYAACim&#10;AAAVAAAAAAAAAAEAIAAAAJ0ZAQBkcnMvbWVkaWEvaW1hZ2UyLmpwZWdQSwECFAAUAAAACACHTuJA&#10;9mYxMqWeAACbngAAFQAAAAAAAAABACAAAAACwAEAZHJzL21lZGlhL2ltYWdlMy5qcGVnUEsBAhQA&#10;FAAAAAgAh07iQEJa+cAckAAAEpAAABUAAAAAAAAAAQAgAAAATokAAGRycy9tZWRpYS9pbWFnZTQu&#10;anBlZ1BLAQIUABQAAAAIAIdO4kBTk6HAYxwBAFQcAQAVAAAAAAAAAAEAIAAAANpeAgBkcnMvbWVk&#10;aWEvaW1hZ2U1LmpwZWdQSwECFAAUAAAACACHTuJAMPD7hpxHAQCNRwEAFQAAAAAAAAABACAAAABw&#10;ewMAZHJzL21lZGlhL2ltYWdlNi5qcGVnUEsFBgAAAAAPAA8AogMAANrGBAAAAA==&#10;">
                <o:lock v:ext="edit" aspectratio="f"/>
                <v:shape id="图片 12" o:spid="_x0000_s1026" o:spt="75" alt="IMG_4228" type="#_x0000_t75" style="position:absolute;left:15894;top:21906;height:2571;width:3856;" filled="f" o:preferrelative="t" stroked="f" coordsize="21600,21600" o:gfxdata="UEsDBAoAAAAAAIdO4kAAAAAAAAAAAAAAAAAEAAAAZHJzL1BLAwQUAAAACACHTuJAZTrnJr8AAADc&#10;AAAADwAAAGRycy9kb3ducmV2LnhtbEWPQWsCMRSE7wX/Q3hCL0UTVyhlNYoKipdC1y7U42Pz3Gy7&#10;eVk26Wr/vSkUehxm5htmub65VgzUh8azhtlUgSCuvGm41lC+7ycvIEJENth6Jg0/FGC9Gj0sMTf+&#10;ygUNp1iLBOGQowYbY5dLGSpLDsPUd8TJu/jeYUyyr6Xp8ZrgrpWZUs/SYcNpwWJHO0vV1+nbafjY&#10;lPu3J9cctq+fwzkrCnvYHgutH8cztQAR6Rb/w3/to9GQqTn8nklHQK7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U65ya/&#10;AAAA3AAAAA8AAAAAAAAAAQAgAAAAIgAAAGRycy9kb3ducmV2LnhtbFBLAQIUABQAAAAIAIdO4kAz&#10;LwWeOwAAADkAAAAQAAAAAAAAAAEAIAAAAA4BAABkcnMvc2hhcGV4bWwueG1sUEsFBgAAAAAGAAYA&#10;WwEAALgDAAAAAA==&#10;">
                  <v:fill on="f" focussize="0,0"/>
                  <v:stroke on="f"/>
                  <v:imagedata r:id="rId150" o:title=""/>
                  <o:lock v:ext="edit" aspectratio="t"/>
                </v:shape>
                <v:shape id="图片 13" o:spid="_x0000_s1026" o:spt="75" alt="IMG_4574 (1)" type="#_x0000_t75" style="position:absolute;left:19837;top:21896;height:2581;width:3870;" filled="f" o:preferrelative="t" stroked="f" coordsize="21600,21600" o:gfxdata="UEsDBAoAAAAAAIdO4kAAAAAAAAAAAAAAAAAEAAAAZHJzL1BLAwQUAAAACACHTuJAilJSHbwAAADc&#10;AAAADwAAAGRycy9kb3ducmV2LnhtbEWPT4vCMBTE78J+h/AWvGniH2TpGkVExataen40b9uyyUtp&#10;olY/vREW9jjMzG+Y5bp3VtyoC41nDZOxAkFcetNwpSG/7EdfIEJENmg9k4YHBVivPgZLzIy/84lu&#10;51iJBOGQoYY6xjaTMpQ1OQxj3xIn78d3DmOSXSVNh/cEd1ZOlVpIhw2nhRpb2tZU/p6vToOSxfyQ&#10;F6192tNmV/Sb2fO6n2k9/JyobxCR+vgf/msfjYapmsP7TDoCcvU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pSUh28AAAA&#10;3AAAAA8AAAAAAAAAAQAgAAAAIgAAAGRycy9kb3ducmV2LnhtbFBLAQIUABQAAAAIAIdO4kAzLwWe&#10;OwAAADkAAAAQAAAAAAAAAAEAIAAAAAsBAABkcnMvc2hhcGV4bWwueG1sUEsFBgAAAAAGAAYAWwEA&#10;ALUDAAAAAA==&#10;">
                  <v:fill on="f" focussize="0,0"/>
                  <v:stroke on="f"/>
                  <v:imagedata r:id="rId151" o:title=""/>
                  <o:lock v:ext="edit" aspectratio="t"/>
                </v:shape>
                <v:shape id="图片 14" o:spid="_x0000_s1026" o:spt="75" alt="IMG_5243" type="#_x0000_t75" style="position:absolute;left:15906;top:24526;height:2575;width:3862;" filled="f" o:preferrelative="t" stroked="f" coordsize="21600,21600" o:gfxdata="UEsDBAoAAAAAAIdO4kAAAAAAAAAAAAAAAAAEAAAAZHJzL1BLAwQUAAAACACHTuJA7kAsQL0AAADc&#10;AAAADwAAAGRycy9kb3ducmV2LnhtbEWP0WoCMRRE3wv9h3CFvtVkl1rLahQqFCwoVOsHXDbXzeLm&#10;ZknSVf++EQQfh5k5w8yXF9eJgUJsPWsoxgoEce1Ny42Gw+/X6weImJANdp5Jw5UiLBfPT3OsjD/z&#10;joZ9akSGcKxQg02pr6SMtSWHcex74uwdfXCYsgyNNAHPGe46WSr1Lh22nBcs9rSyVJ/2f06Dt2sz&#10;vB3L6ed1uytWh2+1CT8nrV9GhZqBSHRJj/C9vTYaSjWB25l8BOTi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QCxAvQAA&#10;ANwAAAAPAAAAAAAAAAEAIAAAACIAAABkcnMvZG93bnJldi54bWxQSwECFAAUAAAACACHTuJAMy8F&#10;njsAAAA5AAAAEAAAAAAAAAABACAAAAAMAQAAZHJzL3NoYXBleG1sLnhtbFBLBQYAAAAABgAGAFsB&#10;AAC2AwAAAAA=&#10;">
                  <v:fill on="f" focussize="0,0"/>
                  <v:stroke on="f"/>
                  <v:imagedata r:id="rId152" o:title=""/>
                  <o:lock v:ext="edit" aspectratio="t"/>
                </v:shape>
                <v:shape id="图片 15" o:spid="_x0000_s1026" o:spt="75" alt="IMG_1304" type="#_x0000_t75" style="position:absolute;left:19851;top:24532;height:2573;width:3857;" filled="f" o:preferrelative="t" stroked="f" coordsize="21600,21600" o:gfxdata="UEsDBAoAAAAAAIdO4kAAAAAAAAAAAAAAAAAEAAAAZHJzL1BLAwQUAAAACACHTuJAjvtTu70AAADc&#10;AAAADwAAAGRycy9kb3ducmV2LnhtbEWPzW7CMBCE70h9B2sr9QZ2cohQiuHAT9VroAd6W8VLHBGv&#10;o9gNKU9fIyH1OJqZbzSrzeQ6MdIQWs8asoUCQVx703Kj4et0mC9BhIhssPNMGn4pwGb9MlthafyN&#10;KxqPsREJwqFEDTbGvpQy1JYchoXviZN38YPDmOTQSDPgLcFdJ3OlCumw5bRgsaetpfp6/HEaiunc&#10;Vvus+qZzc9/a+/gRDrtc67fXTL2DiDTF//Cz/Wk05KqAx5l0BOT6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1O7vQAA&#10;ANwAAAAPAAAAAAAAAAEAIAAAACIAAABkcnMvZG93bnJldi54bWxQSwECFAAUAAAACACHTuJAMy8F&#10;njsAAAA5AAAAEAAAAAAAAAABACAAAAAMAQAAZHJzL3NoYXBleG1sLnhtbFBLBQYAAAAABgAGAFsB&#10;AAC2AwAAAAA=&#10;">
                  <v:fill on="f" focussize="0,0"/>
                  <v:stroke on="f"/>
                  <v:imagedata r:id="rId153" o:title=""/>
                  <o:lock v:ext="edit" aspectratio="t"/>
                </v:shape>
                <v:shape id="图片 16" o:spid="_x0000_s1026" o:spt="75" alt="QQ图片20181107163920" type="#_x0000_t75" style="position:absolute;left:15906;top:27169;height:5162;width:3870;" filled="f" o:preferrelative="t" stroked="f" coordsize="21600,21600" o:gfxdata="UEsDBAoAAAAAAIdO4kAAAAAAAAAAAAAAAAAEAAAAZHJzL1BLAwQUAAAACACHTuJAo0SpiL0AAADc&#10;AAAADwAAAGRycy9kb3ducmV2LnhtbEWPQYvCMBSE78L+h/AW9iKa2IMu1ehhYUEQpNaC17fNsy02&#10;L6WJ1v33RhA8DjPzDbPa3G0rbtT7xrGG2VSBIC6dabjSUBx/J98gfEA22DomDf/kYbP+GK0wNW7g&#10;A93yUIkIYZ+ihjqELpXSlzVZ9FPXEUfv7HqLIcq+kqbHIcJtKxOl5tJiw3Ghxo5+aiov+dVqaJPd&#10;8eqHJN8X5m+fnVRmxotM66/PmVqCCHQP7/CrvTUaErWA55l4BOT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RKmIvQAA&#10;ANwAAAAPAAAAAAAAAAEAIAAAACIAAABkcnMvZG93bnJldi54bWxQSwECFAAUAAAACACHTuJAMy8F&#10;njsAAAA5AAAAEAAAAAAAAAABACAAAAAMAQAAZHJzL3NoYXBleG1sLnhtbFBLBQYAAAAABgAGAFsB&#10;AAC2AwAAAAA=&#10;">
                  <v:fill on="f" focussize="0,0"/>
                  <v:stroke on="f"/>
                  <v:imagedata r:id="rId154" o:title=""/>
                  <o:lock v:ext="edit" aspectratio="t"/>
                </v:shape>
                <v:shape id="图片 17" o:spid="_x0000_s1026" o:spt="75" alt="QQ图片20181107163931" type="#_x0000_t75" style="position:absolute;left:19856;top:27180;height:5120;width:3841;" filled="f" o:preferrelative="t" stroked="f" coordsize="21600,21600" o:gfxdata="UEsDBAoAAAAAAIdO4kAAAAAAAAAAAAAAAAAEAAAAZHJzL1BLAwQUAAAACACHTuJA/xpvzbgAAADc&#10;AAAADwAAAGRycy9kb3ducmV2LnhtbEVPPavCMBTdBf9DuIKLaFIHkWp0EAXFyY/hve3aXNtic1Oa&#10;VOu/N4PgeDjfy3VnK/GkxpeONSQTBYI4c6bkXMP1shvPQfiAbLByTBre5GG96veWmBr34hM9zyEX&#10;MYR9ihqKEOpUSp8VZNFPXE0cubtrLIYIm1yaBl8x3FZyqtRMWiw5NhRY06ag7HFurYbjtsotdrKU&#10;h307+/u/jY5J12o9HCRqASJQF37ir3tvNExVXBvPxCMgV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xpvzbgAAADcAAAA&#10;DwAAAAAAAAABACAAAAAiAAAAZHJzL2Rvd25yZXYueG1sUEsBAhQAFAAAAAgAh07iQDMvBZ47AAAA&#10;OQAAABAAAAAAAAAAAQAgAAAABwEAAGRycy9zaGFwZXhtbC54bWxQSwUGAAAAAAYABgBbAQAAsQMA&#10;AAAA&#10;">
                  <v:fill on="f" focussize="0,0"/>
                  <v:stroke on="f"/>
                  <v:imagedata r:id="rId155" o:title=""/>
                  <o:lock v:ext="edit" aspectratio="t"/>
                </v:shape>
                <w10:wrap type="none"/>
                <w10:anchorlock/>
              </v:group>
            </w:pict>
          </mc:Fallback>
        </mc:AlternateContent>
      </w:r>
    </w:p>
    <w:p>
      <w:pPr>
        <w:spacing w:line="240" w:lineRule="auto"/>
        <w:jc w:val="center"/>
        <w:rPr>
          <w:b/>
          <w:bCs/>
          <w:sz w:val="21"/>
          <w:szCs w:val="21"/>
        </w:rPr>
      </w:pPr>
      <w:r>
        <w:rPr>
          <w:b/>
          <w:bCs/>
          <w:sz w:val="21"/>
          <w:szCs w:val="21"/>
        </w:rPr>
        <w:t>建筑学专业实习照片</w:t>
      </w:r>
    </w:p>
    <w:p>
      <w:pPr>
        <w:ind w:firstLine="480" w:firstLineChars="200"/>
      </w:pPr>
      <w:r>
        <w:t>现代教学技术应用：随着教育技术的发展，以多媒体技术和网络技术为核心的信息技术已深入我们的工作。利用多媒体技术来揭示知识的形成及来龙去脉，让学生感到生动、形象、真实（实况录像），便于学生接受。我们积极探索依靠智能网络技术支撑的慕课开发，以满足学生不同时间、不同地点、不同习惯的个性化学习需求，使学生得到一对一的教育服务。</w:t>
      </w:r>
    </w:p>
    <w:p>
      <w:pPr>
        <w:pStyle w:val="5"/>
        <w:spacing w:before="93" w:after="93"/>
        <w:ind w:firstLine="560"/>
      </w:pPr>
      <w:r>
        <w:t>四、培养机制与特色（产学研协同育人机制、合作办学、教学管理等）</w:t>
      </w:r>
    </w:p>
    <w:p>
      <w:pPr>
        <w:ind w:firstLine="480" w:firstLineChars="200"/>
      </w:pPr>
      <w:r>
        <w:t>产学研协同育人机制：建筑学专业是实践性很强的学科，担负着为国家输送建设人才的重任。为了培养学生的业务实践能力，建筑学专业坚持以生产实践带动学生专业学习兴趣，以科学研究促进专业创新能力。目前，建筑学专业的本科生以工作室为实践的平台，在生产中提高自身专业素养和业务水平。同时，由专业教师指导学生积极投身到课题申请以及科学研究中，使得学生在本科期间就能参与科学研究工作，指导本科生撰写并发表专业学术论文10余篇，为培养建筑学高级人才奠定了良好的基础。</w:t>
      </w:r>
    </w:p>
    <w:p>
      <w:pPr>
        <w:ind w:firstLine="480" w:firstLineChars="200"/>
      </w:pPr>
      <w:r>
        <w:t>合作办学：建筑学专业自成立以来，先后和山东农业大学勘察设计研究院、泰安市建筑设计院有限责任公司、泰安市东方设计集团有限公司、上海联创建筑设计有限公司青岛分公司等多家用人单位建立了合作伙伴关系。相关单位会定期和建筑学专业进行学术交流，实现信息的共享，我专业根据社会对于人才发展的要求及时调整人才培养方案。同时，多家用人单位为我专业学生提供了业务实习的岗位，是提高学生综合素质的有力保障。此外，为提高学生的实际设计创作能力、培养学生较高的综合素质，我系19级1、2、3班于2020年，分别与长厦安基济南分公司、泰安市建筑设计有限公司和东方建筑设计集团有限公司签订了校企合作班合约，为学生们提供了一个良好的学习实践平台。</w:t>
      </w:r>
    </w:p>
    <w:p>
      <w:pPr>
        <w:ind w:firstLine="480" w:firstLineChars="200"/>
      </w:pPr>
      <w:r>
        <w:t>教学管理：建筑学专业经过多年的建设，摸索出一条以班主任为管理核心，专业课教师为辅助的管理模式。结合建筑学专业特点，重视建筑设计实践技能培养，采用</w:t>
      </w:r>
      <w:r>
        <w:rPr>
          <w:rFonts w:hint="eastAsia"/>
        </w:rPr>
        <w:t>“</w:t>
      </w:r>
      <w:r>
        <w:t>小班教学模式</w:t>
      </w:r>
      <w:r>
        <w:rPr>
          <w:rFonts w:hint="eastAsia"/>
        </w:rPr>
        <w:t>”</w:t>
      </w:r>
      <w:r>
        <w:t>。每个年级分三个班，每班15人左右，配备1名班主任老师，负责该年级的教学管理、安全检查等基本事务；每个班级配备专业课教师1位，负责到每一位同学，严格督促其学习进度、学业规划、学习状态等。同时，我们还实行了</w:t>
      </w:r>
      <w:r>
        <w:rPr>
          <w:rFonts w:hint="eastAsia"/>
        </w:rPr>
        <w:t>“</w:t>
      </w:r>
      <w:r>
        <w:t>学业导师制</w:t>
      </w:r>
      <w:r>
        <w:rPr>
          <w:rFonts w:hint="eastAsia"/>
        </w:rPr>
        <w:t>”</w:t>
      </w:r>
      <w:r>
        <w:t>，每个导师组有一位专业课教师和多名不同年级的学生组成。这样可以实现上下年级</w:t>
      </w:r>
      <w:r>
        <w:rPr>
          <w:rFonts w:hint="eastAsia"/>
        </w:rPr>
        <w:t>“</w:t>
      </w:r>
      <w:r>
        <w:t>传帮带</w:t>
      </w:r>
      <w:r>
        <w:rPr>
          <w:rFonts w:hint="eastAsia"/>
        </w:rPr>
        <w:t>”</w:t>
      </w:r>
      <w:r>
        <w:t>的教学管理模式，保证了对每一位同学都能给予足够的关注，保障了教学质量，促使学生在学习、生活、心理都能全方面健康发展。</w:t>
      </w:r>
    </w:p>
    <w:p>
      <w:pPr>
        <w:ind w:firstLine="480" w:firstLineChars="200"/>
      </w:pPr>
      <w:r>
        <w:t>另外，建筑学专业积极进行教学改革与实践，努力探索复合应用型专业人才培养新模式。建筑学系组织了2016-2022七届水土学院土建类</w:t>
      </w:r>
      <w:r>
        <w:rPr>
          <w:rFonts w:hint="eastAsia"/>
        </w:rPr>
        <w:t>“</w:t>
      </w:r>
      <w:r>
        <w:t>多专业联合毕业设计</w:t>
      </w:r>
      <w:r>
        <w:rPr>
          <w:rFonts w:hint="eastAsia"/>
        </w:rPr>
        <w:t>”</w:t>
      </w:r>
      <w:r>
        <w:t>，对毕业设计教学环节进行了较大力度的改革与创新。</w:t>
      </w:r>
      <w:r>
        <w:rPr>
          <w:rFonts w:hint="eastAsia"/>
        </w:rPr>
        <w:t>“</w:t>
      </w:r>
      <w:r>
        <w:t>多专业联合毕业设计</w:t>
      </w:r>
      <w:r>
        <w:rPr>
          <w:rFonts w:hint="eastAsia"/>
        </w:rPr>
        <w:t>”</w:t>
      </w:r>
      <w:r>
        <w:t>由学院、系、指导教师、毕业生四级单位构成了如同设计院项目运作模式的教学实践平台，让学生认识到了工程项目的综合性与复杂性，意识到团队协作的重要，锻炼了相近专业学生的专业协同能力。培养了毕业生的工程素质，有效提高了工程教育人才培养的质量。通过联合毕业设计，加强了相近专业的交流与合作，实现了毕业设计教学模式的创新与整体优化，取得了良好的教学效果。该教学成果获得校级特等奖，山东省一等奖，目前正在积极申请国家级教学成果奖。</w:t>
      </w:r>
    </w:p>
    <w:p>
      <w:pPr>
        <w:spacing w:line="240" w:lineRule="auto"/>
        <w:jc w:val="center"/>
        <w:rPr>
          <w:b/>
          <w:bCs/>
          <w:sz w:val="21"/>
          <w:szCs w:val="21"/>
        </w:rPr>
      </w:pPr>
      <w:r>
        <w:rPr>
          <w:sz w:val="21"/>
        </w:rPr>
        <mc:AlternateContent>
          <mc:Choice Requires="wpg">
            <w:drawing>
              <wp:inline distT="0" distB="0" distL="114300" distR="114300">
                <wp:extent cx="5081905" cy="3547110"/>
                <wp:effectExtent l="0" t="0" r="4445" b="15240"/>
                <wp:docPr id="235" name="组合 235"/>
                <wp:cNvGraphicFramePr/>
                <a:graphic xmlns:a="http://schemas.openxmlformats.org/drawingml/2006/main">
                  <a:graphicData uri="http://schemas.microsoft.com/office/word/2010/wordprocessingGroup">
                    <wpg:wgp>
                      <wpg:cNvGrpSpPr/>
                      <wpg:grpSpPr>
                        <a:xfrm>
                          <a:off x="0" y="0"/>
                          <a:ext cx="5081905" cy="3547110"/>
                          <a:chOff x="18528" y="5361556"/>
                          <a:chExt cx="8003" cy="5586"/>
                        </a:xfrm>
                      </wpg:grpSpPr>
                      <pic:pic xmlns:pic="http://schemas.openxmlformats.org/drawingml/2006/picture">
                        <pic:nvPicPr>
                          <pic:cNvPr id="174" name="图片 21" descr="2016联合毕业设计1"/>
                          <pic:cNvPicPr>
                            <a:picLocks noChangeAspect="1"/>
                          </pic:cNvPicPr>
                        </pic:nvPicPr>
                        <pic:blipFill>
                          <a:blip r:embed="rId156"/>
                          <a:stretch>
                            <a:fillRect/>
                          </a:stretch>
                        </pic:blipFill>
                        <pic:spPr>
                          <a:xfrm>
                            <a:off x="18528" y="5361591"/>
                            <a:ext cx="3872" cy="2582"/>
                          </a:xfrm>
                          <a:prstGeom prst="rect">
                            <a:avLst/>
                          </a:prstGeom>
                          <a:noFill/>
                          <a:ln>
                            <a:noFill/>
                          </a:ln>
                        </pic:spPr>
                      </pic:pic>
                      <pic:pic xmlns:pic="http://schemas.openxmlformats.org/drawingml/2006/picture">
                        <pic:nvPicPr>
                          <pic:cNvPr id="173" name="图片 19" descr="2017联合毕业设计2"/>
                          <pic:cNvPicPr>
                            <a:picLocks noChangeAspect="1"/>
                          </pic:cNvPicPr>
                        </pic:nvPicPr>
                        <pic:blipFill>
                          <a:blip r:embed="rId157"/>
                          <a:stretch>
                            <a:fillRect/>
                          </a:stretch>
                        </pic:blipFill>
                        <pic:spPr>
                          <a:xfrm>
                            <a:off x="18537" y="5364246"/>
                            <a:ext cx="3862" cy="2896"/>
                          </a:xfrm>
                          <a:prstGeom prst="rect">
                            <a:avLst/>
                          </a:prstGeom>
                          <a:noFill/>
                          <a:ln>
                            <a:noFill/>
                          </a:ln>
                        </pic:spPr>
                      </pic:pic>
                      <pic:pic xmlns:pic="http://schemas.openxmlformats.org/drawingml/2006/picture">
                        <pic:nvPicPr>
                          <pic:cNvPr id="172" name="图片 20" descr="IMG_3724"/>
                          <pic:cNvPicPr>
                            <a:picLocks noChangeAspect="1"/>
                          </pic:cNvPicPr>
                        </pic:nvPicPr>
                        <pic:blipFill>
                          <a:blip r:embed="rId158"/>
                          <a:stretch>
                            <a:fillRect/>
                          </a:stretch>
                        </pic:blipFill>
                        <pic:spPr>
                          <a:xfrm>
                            <a:off x="22583" y="5361556"/>
                            <a:ext cx="3899" cy="2600"/>
                          </a:xfrm>
                          <a:prstGeom prst="rect">
                            <a:avLst/>
                          </a:prstGeom>
                          <a:noFill/>
                          <a:ln>
                            <a:noFill/>
                          </a:ln>
                        </pic:spPr>
                      </pic:pic>
                      <pic:pic xmlns:pic="http://schemas.openxmlformats.org/drawingml/2006/picture">
                        <pic:nvPicPr>
                          <pic:cNvPr id="177" name="图片 18" descr="IMG_20170612_112200"/>
                          <pic:cNvPicPr>
                            <a:picLocks noChangeAspect="1"/>
                          </pic:cNvPicPr>
                        </pic:nvPicPr>
                        <pic:blipFill>
                          <a:blip r:embed="rId159"/>
                          <a:stretch>
                            <a:fillRect/>
                          </a:stretch>
                        </pic:blipFill>
                        <pic:spPr>
                          <a:xfrm>
                            <a:off x="22609" y="5364247"/>
                            <a:ext cx="3922" cy="2887"/>
                          </a:xfrm>
                          <a:prstGeom prst="rect">
                            <a:avLst/>
                          </a:prstGeom>
                          <a:noFill/>
                          <a:ln>
                            <a:noFill/>
                          </a:ln>
                        </pic:spPr>
                      </pic:pic>
                    </wpg:wgp>
                  </a:graphicData>
                </a:graphic>
              </wp:inline>
            </w:drawing>
          </mc:Choice>
          <mc:Fallback>
            <w:pict>
              <v:group id="_x0000_s1026" o:spid="_x0000_s1026" o:spt="203" style="height:279.3pt;width:400.15pt;" coordorigin="18528,5361556" coordsize="8003,5586" o:gfxdata="UEsDBAoAAAAAAIdO4kAAAAAAAAAAAAAAAAAEAAAAZHJzL1BLAwQUAAAACACHTuJA4S3e0dYAAAAF&#10;AQAADwAAAGRycy9kb3ducmV2LnhtbE2PwWrDMBBE74X+g9hAb43kBgfjWg4htD2FQpNC6W1jbWwT&#10;a2UsxU7+vmovzWVhmGHmbbG62E6MNPjWsYZkrkAQV860XGv43L8+ZiB8QDbYOSYNV/KwKu/vCsyN&#10;m/iDxl2oRSxhn6OGJoQ+l9JXDVn0c9cTR+/oBoshyqGWZsAplttOPim1lBZbjgsN9rRpqDrtzlbD&#10;24TTepG8jNvTcXP93qfvX9uEtH6YJeoZRKBL+A/DL35EhzIyHdyZjRedhvhI+LvRy5RagDhoSNNs&#10;CbIs5C19+QNQSwMEFAAAAAgAh07iQI1ST8MuAwAAQAwAAA4AAABkcnMvZTJvRG9jLnhtbN2WTW/T&#10;MBjH70h8Byt3lsRp0jRaOyHGqkkDKl7Ok+c4LyKJI9tttyMSEnDjABc48QXGFQlpn4axfQweO+nr&#10;kJhQNWk7tHXs9PH/+T8/v2zvHJcFmjAhc171LXfLsRCrKI/zKu1br17uPQgtJBWpYlLwivWtEyat&#10;ncH9e9vTOmKYZ7yImUAQpJLRtO5bmVJ1ZNuSZqwkcovXrILBhIuSKHgUqR0LMoXoZWFjxwnsKRdx&#10;LThlUkLvbjNotRHFdQLyJMkp2+V0XLJKNVEFK4iClGSW19IaGLVJwqh6liSSKVT0LchUmW+YBNpH&#10;+tsebJMoFaTOctpKINeRsJZTSfIKJp2H2iWKoLHIr4Qqcyq45Inaory0m0SMI5CF66x5MxR8XJtc&#10;0mia1nPToVBrrv93WPp0MhIoj/sW9nwLVaSEkl/8fHv+8T3SPeDPtE4jeG0o6hf1SLQdafOkUz5O&#10;RKl/IRl0bJw9mTvLjhWi0Ok7odtzYAIKY57f6bpu6z3NoED6f27oY0APxn0vcH0/aGpDs8dtjNBx&#10;vCaA74dm1J5NbmuNc0l1TiP4tHZB64pd/4YU/qXGgoH5Olo1GeV0JJqHhWVutzOz7Pzr2cWHdwi7&#10;FoqZpEAY1DO4fPMJjPz9/fOvH18uT88uT7+5OisdUkdpYhIt9oDT1xJV/FFGqpQ9lDWQC57ot+3V&#10;183jiqCjIq/38qLQRdDtzS4lJCJWHjEgROzHRhCJpBJM0UxPmMDEz0GsFro0YFQuhOkUJNDzF17W&#10;6t5rp5iR44Vd3FQd+yE2fsyqDsYJqYaMl0g3QCDogIqRiEwOZKto9orurri2CZSSqKhWOkC67jGq&#10;G52mCbKbakHjJnACvpsV2OLk9pZx6l7FyRiyysdtwsnIX6JmMzh53dk20sGddhtZ4BTMcAp7q5vI&#10;3cMJMl3BCcOp1+5O+0+Gh14Xd273duRp+ZvlB8M2A8tw/Rha8NODNalPMRw45gibH0J3jx9YRyv8&#10;uHA+L/EDJ1zXCVx86LoYbna3GyWzEjaNUuAALA1KsBV1G1rnKPXwfCsKzdhNo2SuTXCxNEd3ewnW&#10;N9flZ2gvX/wHfwBQSwMECgAAAAAAh07iQAAAAAAAAAAAAAAAAAoAAABkcnMvbWVkaWEvUEsDBBQA&#10;AAAIAIdO4kAPtgi9OasAAC+rAAAVAAAAZHJzL21lZGlhL2ltYWdlMS5qcGVnAACA/3//2P/gABBK&#10;RklGAAEBAQDcANwAAP/bAEMACAYGBwYFCAcHBwkJCAoMFA0MCwsMGRITDxQdGh8eHRocHCAkLicg&#10;IiwjHBwoNyksMDE0NDQfJzk9ODI8LjM0Mv/bAEMBCQkJDAsMGA0NGDIhHCEyMjIyMjIyMjIyMjIy&#10;MjIyMjIyMjIyMjIyMjIyMjIyMjIyMjIyMjIyMjIyMjIyMjIyMv/AABEIAYoCU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K2tWv8AxLpTjOGX&#10;GfrXJySeW6noh4P+ya9I1mzI0t+O6/zFef3dn5s8kAwCRXBh3fQ3mhuNwqSNcH60kFlcwpskKso6&#10;EGrSx8iuxKxix8YNXIsioY05q1GvtTYiZCcdatROw71Ai9Ksxr0pDLUUhq5HJxzVONasoDQBcR19&#10;KsIy+lU0FTqe1MC2u2pBt9aqLmpAT60XAtAD1FOCZqupNSBiO9FwJdh9KUx+1Rhz608Sn1ouAvkq&#10;eqj8qT7PGf4BUgkpwk56UwCC0RpFGO4rvgBtx2rjrE7rmMY6sK7IdKfQRDdbFs5t4BUIcg/SvN3s&#10;2ycEV3+sSbNOk5+9ha5BguaTAzPs7jsD+NMaGQDhT+FaZUetMZR60rAZJEg7H8qYzOOhrVMeaiMQ&#10;7iiwGcJZB3p4uG781bMCH+EU02sZPQj8aNQK/njuq/lSCdCeVH4VM1op7mmGz9H/AEoGHmRn1/Oj&#10;dGT1/SkNqw7qaaYHHQA/jQA/CHowpNvuPzqMxuP4DTCrjsR+FMCYqfeo2YKfmz9cUzL5603zZQev&#10;60rgO3iUjPCjotONMWZj95R+IpfOTHCYpoANJmjzUPY0hdCcZx9RQIYzVGxqRlX+8Kbsz3H50AR7&#10;3HRm/OgOTySc08xH3ppjPrQA4HiimgEe9L9aYAaKTNJQAUZoppNAC000gz60UAJSGnUnFADaM4oJ&#10;prHjnpQASNsGW4HqaZvBHBGPaq8rmSQRAkHG4n1FEcSxIFBJx60k7gSk0w0GkzTAZIen1FGM0Sff&#10;jH+1/Q04ntQAzFNIFPJphoAYcUw080ygBpphp5phIpARmo2qRjUbdaAImqFhUzVCxoA9X1mz3aXI&#10;cdGH868vMedYuB/dAFe06xCF0i7JH3X/AK15BDFm5vJj0MoUH6CvOoaTZ0T2BoyFqHZzV7apXhhm&#10;ojESeleiznGRrVheAKSOI+lWUj9qQDouQKtxrmoo4sGrcae1IZLGnSrKJ2pkaVYRfagBVjqVY6VF&#10;qZVoAYEp4SpAtPC0wIgpzTgKkC807bQBHg04Din7acEoAYBxT1zS7acFoAvaUu6/hH+0DXYDpXKa&#10;KmdQi/H+VdZVdBGL4ik220SDu2fyH/165dmOea3/ABE+64jT+6ufzrAIqQGFqYTTiKaRQMTcKaW9&#10;6UrTStAg3E96C+OOKbikOaAHbx6Uu5fSmc0UwFJWjj1ph6U2i4EmPemlabSZNFwFKe2aYYweq/pS&#10;7jRvI70XAjMK/wB2mmFP7tS+YfWjf9KNAIfIT3FRNaqWzmre9T2pMrTAovbtnjH51EYZB2NaPyE9&#10;aQhT0IpWAzfnX1/Kk85x3NaJT0Ippjz2zQBQ889wD+FHnr3X8qttCvdB+VRm3Q/w07AQedGfUUbo&#10;z/F+lOa0TPGRTTZjPDUAJgZ4YfnSY9KRrZl6EfnTDHKP4SaAHkUlM3upwc0jSZ+8AfqKAHk0h6ZJ&#10;wKZvXGMflTRtB43fjzSAcX/uj8TTCMnk5NLketJn3FMCsRjUAPWL+tTEAVE3OpD/AK4n+YqYn1xQ&#10;A04pDSmkJFAEUhzLGPqf0pSaax/fp/un+lKaAEJpppT9KaTQAhOKYzUMaiZhQArNUZNIz1EWz70g&#10;HlqiY1II3boMD3p4gUcs2aAKhJPQZoEEjcnge9W/lX7qgUxiTSA9t8Sp5ei37fQ/yryO8i+zaUjH&#10;hpGLn8TXsfiyMtoF4B1YKB+deW+KIRFAsajhFArzoaVLG97wOZF4FXLk5HfFOj1e0Mgj83DE4xtN&#10;UJBhSO1ZDZFzleueK9AwOzj1K037DcRhh2JxV+C8tpD8s0Z/4EK5C0szNcKp5JHWpEt2t5Aw5j/i&#10;Hp71k6i2L5TvIWibGCh+hq3GiHoB+dcLJE0RHOQRlWB4Ip4uZACyuwYD5gDjI9aSlcdjvlRanRBX&#10;ks2sX0E58u9uAvbEhq/aeKdQGM3bn/eOauzEeoKoFSAAVw9t4ou2AzMD9VFakHiGZ8Z2H/gNTzND&#10;5Tp1xTwV9axItYZsfIlW01EN1QfnR7QOQ0wF9RS4HrVIXqn+H9akW5jPUU/aIXKy3tzRtqDzoz0J&#10;H4U7zF/v1XOhcpNtpwFQiQZ4enh/9oU+ZBY19FwL8EnACknNdGs8bqrK4Ib7p9a4cSuvQ1It5KAu&#10;HIwcjnpVcwrFzWZPM1CTn7uBWWwp8s5kkLscsTkmozKKLiGlSKYQaeZVo3qTxSuBGQaaalJB703A&#10;9adxkePakxUuB600gUCI8UmKkIpNtAERFJtqQikxQBGRSEcVIQcUmDQBFtppHNTFaaVoAixSEVIV&#10;pNvFMCLFBBxUmKTFAEBzmmmpWFN20AR80hYjvUjCmkDFADRI3rR5jUm2kxTAdv8AakLjPIppzTcG&#10;gB5KE0h29jUZBpOaAH7Qe4pjRA8bQaTNJuxQA0wLn7tRtbL7ipC5B60eaaBFc2xGcNx9KYYH9j+N&#10;WjID2o3Ke1AzKZHXUBwf9Uf51Llh3P41YO06iuD/AMsj/MVYKg9xTsIzs+1IT+FaHkKedopptVb+&#10;E0WC5l5Pn/RfT3p+at/YR5znJHyjk/jT49OeVgsKPKf9kGqUG9hOSW5RyD3qJzgV1Fv4H1i7XKwr&#10;Ep7uarXvw11lL8mC581IoBI5IKqzc5VT3NNwtuwTb6HLyTAGkCO/sPemKjhpAwPHHNTAERLn0FZM&#10;oYIkH3mJPtTsoOiim0o60gFLE9aaTk07Bo280gGNTCM1MVppWgZ77rkXm6aydcun/oQryvxWmfO9&#10;BXrt+u63x/tD+deVeJoyyXBx0/xrhtasar4Dz+ZSEOKxdp+1rn+9XQzJ8prEYf6ao/2h/Ou1mSOg&#10;0WIG8UkVPBbrLdJEw4Z9p/E07R0/fKfercMe3UYv+uo/nXFJ+98joWxFfacdOuXspMm2Z28uQ/wH&#10;/CsqaN4JirDDLXpes6Ws92kbICH3Z/Q1xt/pU8Uj20qklOYpfUehrKlW6MqUeqOQ1K2BUzpwn8Q/&#10;un/CsqJmyCrAj1rpnTaWR1yOjKa5+/tfsTccxscqa74TvoYuOpetWfj562ra4K4ya5CO4x0JFWY7&#10;th0c05JFxi+x3MF7jvWhDfDua8/TUpB/y0Iq3HqjZGZP1rNxL5X2PQY75f71WEvFPeuBi1U/89f1&#10;q7DqpP8Ay0FRyhY7hbkHvUguAe9chHqWf+WlWY9RJ/jpisdUJ/epBMPWucjvmP8AFViO8J/iH500&#10;KxsXUw+z8tj5hyaz9PmmdJJBNmMyyYA5z85710nhvSbTW7W5+2KZEXC7Qcde/FP1bwva6LoiPZl9&#10;0bDeGOd2e/tWij7tzNv3rGN5z/3jSiZ/71Z/myf3DQJ27o1TcrlNA3Dex/Ck+1kDnbWebjHHNRyz&#10;/um56jFO7FyF+PUkkHyr3xk8ZqT7YP7p/Os7zlAwMYo85fUU7i5DR+2Jj+KgXcf95h+FZplWm+ct&#10;O4uU1ftSHpLj8KUXI/57L+NZHmg0odTkk4A6mncXKbH2gYzvQj60CU+x/GsJ5gxDHoPuj+tQJeK0&#10;rqAwI/WjmDlOkM3+zR5o7gisFbls8FvzqT7RN2dvzqri5TZ81fegyJ61jfa5h1f9KcL2ToQp/Cnc&#10;Vma+9D/EKQlfUVli8PdRSi8/2D+dFwsafFNK1Q+2LjowpReL/eI/CmIuFaQiqv2te0g/GlF1noym&#10;gCYrmmlab9oJ7UecO6mmAEU3bS+ap/hNHmJ60ANKmm4qXcpHDCkwOxFAEJBppFTlaYVoAhIphBFT&#10;MMUw0AQkGm4OamIo25oERbaXZmrCxdzxVy1065uyBb20knvjAqoxb2E2kc7NbzNrVs8YO0RsH54x&#10;2/WtLySBzx9a6208FXczB7mRIR6Lya37XwppdmN8o8xh1aQ8VaUVuxXb2R51BZT3DBYIZJT/ALI4&#10;rds/B2p3GDKVt0Prya6+XWNI05NqPHx/DGM1i3vjhUyLWAf7zn+lF7bL7w5e7LVn4J0+Ah7hmnf1&#10;Y8VqNNpGjpgtBDjsOteeX/irULrIa4YL/dXgfpWBPeSSElmJPuaTk3uxpJbI9I1Dx9Y2wItommb1&#10;Y4FcXqvjbVNSYxJcfZ4j/DD8v69a5yaQnvUEQzNye1RfsMmlYFW9+pPU1XbkgdhU0nK4FN2/N0qL&#10;jIwlKEqbbRtpARYoxUgX2pdlAyIim7aseWMU3bigD3+7XNuT6c15trUPmR3Q/wBkmvS7r/j2f6Vw&#10;F9HuFyPVW/lXJJWrfI0XwHm00PBrnpFxfoP9r+tdjLB8p4rl5Y/+Jog/H9a6pbGaOh0tcFW/2quF&#10;cXat6OD+tN0yLMKnH8Rq2I8yE+hrhl8SOhbM9LvrDfeQyAcYP8q5bxRZZsLlAMeYFU/ma9EWMSRx&#10;Mf7o/lWB4lsh9hlkx/d/nXJVg4O5UJp6Hjuq2MlrPHEVZ2MYbf6j3rGubdLiBopOh6H+6a9H1+0E&#10;QtrhhwsSn8jXL+JNHOnP58ZJik557HrXTSq3SQ2tTzt4WglaNxypxT1A+lS3TmW4OedvArS0u00+&#10;6VY7iV1mYkAL/wDqrrb0OiGiuyrLYSwWkFwXVkmztA6jHrUAyOq11raELm0to4Jvkjc53H+Hmufv&#10;BHDeSJF80YPBrPmNqdpFRBvYKFJY8ADvTyCjFWBDDqDWxpGnSyajayNbyeWXU7tvGPWk1nTJk1S6&#10;dYZPL3khtpxj60uY1trYylZh0Y/nUizyr92Rh+NXNK0u4vbvEMaP5eHZXOARmuim0qQ/aLcWu2Ka&#10;RWDgj5emaLim4xdmjl0vrlek7/nVmLVrxT/rj+IqbxDA6X28WwhixtUjHz471ppotlNYRBEZLl44&#10;23kkjLe34GmJuFk2j0L4S6hNeJqKTMCR5ZHH+9XQ/EO6ez8JzSxgFvMQc/WuZ+HMlho7XEUt1b+Z&#10;5Z3srDLYbjjPXmr/AMRtTtdR8OSWNjcRT3IuI1KIwJ5BIrov7h5s4p19FoeWf8JTOh5iB+jVJH4w&#10;ZT80Lfg1ZOo6TeaeqyTxjYxxuU5GfSqdtaXN45W3haQgZOO1YXZ3+wotXsdanjODjfFIPwBqVvFm&#10;nyoA25fmB5j981w7q0bsjqVZTgg9RSFWChirBT0OOKabIeGp9D0FfEWkP/y2jH1UipBqmmSfdnh/&#10;77xXnHJ6A0BivQ0+Yl4WPRnpYubFuk8Z+kgp262YfLKfwYGvPDBfKObWX6+WaheS4j+9vT6jFPmI&#10;+q9pHpB2HpIfyqCWVj8qjKr29TXnYuZgeJX/AO+jTxfXaDi4mH/AjRzA8K+56LbR+ermV/LI6Z5z&#10;Va4bZITGFf6DFcQms6gnS6f8easR+JNRT/lqh+qCl1uQ8JPudrGspUN5ewYzyaTziDjmuSHiq9xh&#10;o4W/Aj+tSx+KDn95bDPqrVfMiHh6q6HUece9HnDNYcfia2Iywce2c1J/wk+nn7yyH/gApqSI9lP+&#10;U2PNWl8z0OKyR4g0p+rFf+AH+lPGq6U/3bsL+P8AiKdyeSXYvxkMA5Jy3PWpN49azYruzeNdt7Hn&#10;03CpPMU/dnjP0NO5LiXC/oQPrQXIGQBjuTVHzyCRkE9jnimSSTFGYkHAJ4NO5NkXluWOTs+hzTvt&#10;EpOfMI+lZ8YlWNQVzgetOLyD+A/lQFjQF3KOBIT9aPt0gkVTtIIPb6Vn+eRwQaabj94vPY/0p3Fy&#10;mt9tPdR+BpPt6B1Uq3zZ6Gs4TKe9NaYGZB3wTTuFjYF4n95h+FPF5GR/rR+NY7ScZNQmcEZByKBW&#10;OgE6N0kU/jRvya5syFzhQTU0cEx5LbfxpcwcpvZFLkkYTGTxk9qy4g8eP3rH8asLdMvVgTRzIOU9&#10;F0ODQbaxjaSdJJQo3GUY5+laM3ibTrVdtupfHQKMCvKxqTrxgU7+0T/GMf8AAqrnRNmdxeeMbl8i&#10;FVjHsMmsC71m6uSTJM7fU1iHU4v9r8KT7bE38WPqKfN2CzLUk7MepqvI7HvTfPjboy/nSEgj/A0r&#10;hYhcmoGzVhgPU1AwHqKBlZ+KSD/Wk+1SOmehpYIm3OcdqQCHnp61KI8saUJge9TxpucL2PU1FxkO&#10;wAUbao3Wv2Nu7JHtlC+9SRa5bMBvgZN3QUnOwiyQAMmjbSWl5DdTNGpJ285xUgBxzQpX1QxhFNK1&#10;KRTcUwPern/j2f6Vw10MmX3Dfyrubo/6LJ9K4i5/j/Guef8AF+Ra+E4+SDKGuPuUxqqcf5zXfvEN&#10;hrh75duqoMda6KmxmtzptLjxaRH1JNWoY8zMKXS4/wDQoOOxP61YtkzcniuGfxI6I7M9VtebSA/7&#10;C/yqjr0e/S5B7r/MVfsv+PG3/wCua/yqHVE8yyZfUj+YrfE006TZnB+8jk9c0z7Vo8KgcmMgfrXN&#10;+LNOe7+Hsd5GD5kKDOOxU4/lmvRHhDWMII6N/Wq9jp8dxotzYSqCjFlIPvXn01ZpHQ5W1PlwAsSc&#10;8mtnRoBG0l7MuIolOCe5o13R30bW7mxcEeW52n1XtSJdSy20VlK3+jq+Tgc4rtcrnoxpuUdDdth5&#10;9hBbCTY9zExBzjn/ACa5mVJLeZoZkw6HBBra1WW2geyGnz7zAv3hWbqd29/fCV1CA4X6Cp0ZVOEo&#10;q/Q0dH1K6lvrW2E2IywTG0dKs6nruowXF5YgxtDlo+V5xS2GmaXBeRXCaqjGNg20lef1qS70SO6u&#10;Z7mLU4TvJfaRn8OtDQk6bldoytK1SSwklxFuSVNjnnIHqMd66izi0jUI5ZILy/iSMZdmlIA/OuZ0&#10;zWJdLkkaKOJ94wd4J6fQ11H9oTjw/JqM1tANxGxFPDA9zSRddO90YN5MurpDaQceSWIlmlGXBPHX&#10;vWtejyNNh8lgJoREcgghsZyKojxXdW7pJZ2trA6nLEwpJn/vpePwrsZfGV0zW9nHpNnPdSIjs724&#10;2KD1JxWsOT7TOetGsrcqVjkRqKRO80OmRxXBB2yK44J74xWVaXN5aXYuUhLOuR84JBzXpdzr9q6H&#10;7PoOmTyC48kfuto+7k/rUOjeItJ1S9ktZvDdnGUUlirHscVtajtdmEZYhJvlVv68zjHMh8M3DXEm&#10;+WebcqZyV5Hbt0NRWnmWHht54SUmknAyOuBXfXWq6Fao8lz4UeOEHG9ZqfbXXg7ULI3CaTc4DhGV&#10;GyQT36+9PlpX0kT7Sso3cdLnnPiC3RdYilZfkkRWfH6/yqfW3judEtZIIvLhEpCrjsMiu7vB4Dhu&#10;WgmW6SRcZ4BxTpNK8EyWEUp1CeO3djsDKSM/TFP2cOkg9tNKN4M4SyWXTdJtJILUzNOxebam47B/&#10;9audvRFJeyvboUiZsqpGMV7RFoXh5YoBb6/IiScRDHB9hWXqXgXw9I0hTX7ZLgt0fH3j7A0Oiukk&#10;EcTq24s5a4ZjeCCLVBDIQAITGG5x71la9KG02KF7qK4nWY7imARwewroUsGiuyZooLq4Sco1whAC&#10;gDgj1rA8Q2cMVnHOtoIJnmIb5s5HPP41ky6bTkizo5abTLXNtE8YZkdiOgA4P50osJjZNIIYvN8h&#10;kXDcHcc+nYUaIsf9m2ZaZkfdKVQdH+v0phsdPOioFv2SEylhIR1bHShbDfxP1OS2H3roRpUY0j7M&#10;VX7eUM4BHzYyOPyrP0qWC3vd80JmIB8pR/f7Vvm5the/bJNNv0uP7+0ntj1pI0q3TsjjSprXGjtJ&#10;DYyxxuUlA81s9MnHFM1iW0nu1ktYyhZcyAjHzfStpREkWmqb4rhIx5KHhuQcn2ppBNuyaMLUdKks&#10;gZcHyjIUTcecDoaqWts11dRwIdrOcAntW7rtlMsUl1c3G4+btiQHI2/40aJbQyQwTiMebHOQzd8b&#10;Tii2olO0LsxLqze1SJ2YESZxj2OKjt7ea5kKQruYKWx04FdJLZR3FrG84PlxWhfOcYJPH8qztItZ&#10;SZbqGWJWiU5STPIx7UWBTvG5niyujB56wMYyCd3tVcMa6lE8plsZJdsYtmVm/h3E/wCFYC2khvWh&#10;tv3rITgr3x3oaFGbluQB51faplDj+EZzUi6leKNouJMdME5rVgjmm137QbZ4xghsjvt9axfIfzwj&#10;KVZmx83HemS7PdF9Nfvk/wCWqtj1UVYTxNdg4aOJvwI/rVl7C0kkhcEkRDDED5SF65rK1O0ht5wI&#10;pdxY5K4xtHUU9TNKEtLGmnidz9+2B+j/AP1qsR65BIRutmH4A1d8PeBrnXkj+zKXRQfMlHC5PSvR&#10;dO+G+iaJCLjVrmM7eTvYAfrW0YS3ZhN0lokcLp8a6kwWG2lJP+wa6nTPh/e3LB3UwRnvIxJ/Kt0+&#10;NPDWlP8AZtKtxPIoPzIuFH4nmuF174qazcSSQQFbRASMRjn8+tX7sTJU5Semh6AfCnhvRrcvqs8b&#10;/L/y1bH5Dqa4LXotA+0RLokUqxIu1y5+Vj6jnNcFc6xdXl0Jbid5GJ5Z2JNdCkqmNcnHHaonUuhu&#10;nyMtIUTgAcelP80kgAZ+lVQVByMt9elSZY4AOB7VkBZ+Y/eYAU3co6An60xUOKkWM0EsjYsXBwOB&#10;2FIQSeamVOT9KkWLJAAoTEVhFk0/yjV0wJFGC7AE8D60zHqKdwKwi9RTvK9Kn2804RMcYHB74NFw&#10;KwVh/Eaby0qryRznAq49uyj5toHuaYYHi5xjPQg9aLiGmFB91AT/ALVODAfKx49BSrnHNM2FmJxi&#10;kMCUPATv1pJ38iyuZv7kTN+lTJEB2qtqaNLpV1AmA8oEaAnG7J/wzTQjgYI4ZHiRnKLIPnkHOBWk&#10;139lnbM8nkjiNWOcj1IpkXhfW48lI0Ckdd44po8OX5nEUojdyenm02rivY39AnF011MsZVQMA4+9&#10;71q7ah0jTZNM09knjCOxHAbdVwrUxBEBGTSEe1TbKNtVYD3C7/49ZP8AdNcXc4Csx6c12l3/AMes&#10;n+6a4y9XFu/0rmqaVDRfCYEbxyLIYzleo49q4jU1/wCJvF9K6fw4u60uT5hYByAD24rntTUf2sp7&#10;gDFdEvhM1udZpin7Hbf7h/rU9ov+lYpNOGLW1H/TOprQf6YK4p/FE3jsz0ux/wCPC3/65r/KnXC7&#10;4iKbZf8AHjB/1zX+VSuMrXbVV6bXkZJ2ZTKZtAPTP86dbxiN5MfxHNSKP3ePc05Vxg1wQj7yLb0P&#10;L/il4Xe7ubfUrZV3H5JM9/SvOT4dvlGQin/gVfRmr2S32mTREZJXK/WvNp7cbSiY3VtKHKzqo4uU&#10;I8qPN49JvSCRDkA46ill8O6pPGHis3ZRwSMV28Gn3KIVHlMck/eP+FLbWFrrduyzO0QjbGUbBB+t&#10;Z7O5u8dJxtY8+bRr612rPayozH5cr1qT+zrgdYJB/wAANejWnh+KxvQEllmUjgSnOPpXRxaahUfI&#10;PyrR029bjhmKSs4nihspR1jYfVakaS8NqLUyyGBeQmeBXty6ZEesa/lT/wCxLVvvW8Z+qikqUjT+&#10;0qfWJ4N5bjtV/wDte/EplEm1zEIiVUD5R0r2g+GdPk+9Zwn/AIAKYfBukuObCH8FxT9lIbzKi94s&#10;8bsdZvNPhaKBlCsxb5lyQTVKKe4gkaSGaRHbqysQTXtjeAdFfrZKPoxH9ahf4baK/wDywkX6SGn7&#10;KYLH4a97PXyPHpdSv54TDNdTSRnqrOSKWy1O808sbWYx7hhhgEH869Yf4XaQw+V7lT7OP8KrSfCm&#10;xP3Ly5H1wf6UezmV9dwzVv0PKJJ5JZWkkcs7HLE96sS6lPLYQ2bBfKiYsuBzz/8Arr0aT4URfwaj&#10;IPrED/WqknwpnH3NRU/WL/69Hs59ivreGf2vwZx9j4jubG0FuI45AhJjZxylVbTUcarHdXZaRfM3&#10;v9fWuvl+F2oj7l5bt9QwqjL8N9YTO1rdvoxH9KOWfYXtcM7tSWpVg1qxS2jnuS7TGd5NkZ5XJPX8&#10;Kpa7PaT6TafZZXYGV2IkbLD61cfwBrq9IYm+kg/rVSTwVrsf/LkT9HU/1p3l1RCjQvdT/EtaRqNp&#10;K1vZwWoV44mPmP0Bxzj60y5+zXMVxpCugaJPNEnbfklv51QbwvrcZ/5B8/8AwEZ/lVZtE1SMndYX&#10;I9/LNHM+weyg5XUirpy7tUtB/wBNl/nXWBdbGrfNg2RkOPu/d7e9cwLG9gdZBbzoynIbYRg0q3F/&#10;DN5ommV85ySf60KViqlJzd00V7sr/as7OMr57Ej1G6ug0240mW5dra0kikWNiSTxjv3rn2ieRy7c&#10;sxyTUtuZrV3aIgFkKHI7HrSU1ccqDlGxLfNpL2p+yeeJsjAcnHvWn4Tex3zWmp21xJDOAyNE23aR&#10;znP+etYP2VvStW31a/toEhRYiiDAyvaqjUSdyamGk4cqVztpz4ES3iVzqMPmxhtuQ3HvVS30bwfe&#10;yyLYazdxHYQwa3/hPbINcvLrV1LC0clrCcqVzg8VRsrqay80KuVlADD8f8Mj8a3WJ9Dk+otR21O3&#10;bQ9M+w+Zb+LYhb4K5kgYD0rJi8I2yzB7HxPpRfoMylCfzFZw1tDKYXtALLG0IByPesaOUR36TFP3&#10;ayBtntnpVe3j1SJjhZa7o7c+FdehmcxXmmTbstsW6T8+cGsq88E+Jb2USNaJKQMZikRv5GsyLUmu&#10;L+5nmk8tTC6ouenoKyVllQ5V2B9jQ6tN7xFHDTvvY6+Lwxr9jDHF/YV3sJ/enZu3/j2rE1PQdTt5&#10;HnmsbxIh/FLGflH1xWxb6nfotottq6xARoGjZ+Say9U8RazLeXNv/ad2Yi5XZ5zbSPTGablSa2Jh&#10;CpzaS/r7joNN8UXek2KW9hezRxtEzgdMYGM/XiszxFrNxdxRSSXrTM53ck5II6/p+tVJb4JcPFdO&#10;pEUGGAH3nPUfrVHWLjzPs6+UinylbKjHUdPpWbm7FQp2ki7DNafYmijuxHNIBvdxz9BVPVjbOiyJ&#10;Mrz8BtnRver9hLdTacZWt4nCgLENvLduaoa3+7kWL7PGmQGDqMZ9RUvYa+KxkA5kQf7QrtFjyFI9&#10;K463XfdRL/tiu7hXMY4570Izr/EJHF61MsWDUqR+1SrHTMGxixgdqft4qUR8dKXyzjpQSVgvzH6U&#10;y9klgsZZYDtcDrjOB61bWM5NSiM+WwDbeMk4zgUCOc0vT7+eWOe9ZxECHAdjlz24HStwrVeXXLaK&#10;6QF18rcAXAySMf44rSSEsM4piKwWo9T1i20iJRNkuVyFUVorB7VieI/D0+qSi6tJVlZU8vyScdDz&#10;z/npTsBg6prjarZXYX91HFjHOC2eMV0WieZP4esnlzuKZGfTOBWDF4VvZLdfMhkE27OzrzjGc9P/&#10;ANddpaae1np1pbEYeKFVIJ6HHNNoOuhVERqRLdzyFOPpTrzUYLC7+zkKu1VZ2+uf8K0LC/tr6P8A&#10;dMGOcHinyaXFcoGIrzj5QMk5pDErFcqDtORkdDW5cW4+zswIPSqPke1KwXKZ3nozfnTdrZz39a0U&#10;tWc4VcmpBZqB8zZycYXmiwXMtYpJWCAlifU00wEdetb9tbhZAyqFGeD3rD8XTNF80A8nc+CEOO1O&#10;wrkZjA6kCoZZbaLl541/4EK5r95cSKGkYjPOSTQX0u3kZLm4AkU4KhSSKBn0ld/8esn+6a5C9X/R&#10;2rr7r/j1k/3TXJahxbMa5K38RGkfhZymi2MllBeiQEZlOBjHGK5fVeNRB47Cull8S2llprNqM6RO&#10;JHRBnJYDpxXMB4NbuvNtbmBtnJUOSQPyrokrx0M1udlYj/R7T/rmKltv+P1frTbONhBBx9xQDWXd&#10;+JdM0fVUt72SSNyckmM4A9c9x9K5Zwk2rI1i0r3PYLL/AI8YP+ua/wAqmboar6fIkunW0kbBkaJS&#10;rDoRjg1Yb7prsl8DM+pEv3T9aeBxTU6N9aeOlctNXaGxRyMV59q1l9m1qZNuEJ3L9DXoNYHiKwkm&#10;aK4hQMwBVucfStasbxugi7M5NIIhO3lLFk/6wj72e2a4DU9N105k0uWfyw7h44n2nJPB969Pj0+4&#10;BJMAXJySpHNWbKyFu3+pPXP3ayhFrUpyXc5rwLputx2Ly647tIzfu1c5Kriu4ihAHSkVlHBDf98m&#10;nGZAhGTnHoa2bZF0BmiSTaTzViN4iOorA8R6gNI8OtqSxiRotuATjINcVb/FLHL6av4SH/Cqir6i&#10;Z66ioelTqi4rzG3+LtsgG/TZPwk/+tWhF8XdMf71hOv/AAIGtEhXPQgi+1O2r6Vwg+K2inrb3X4A&#10;f41MnxR0Fhyl0v8AwBf8adgO12L6UFF9K5BfiV4ebrJcL9Y/8DVhPiB4dcZ+1sPrGaLBdHS+UvpT&#10;TAh7Vgr468ON/wAxID6xP/hUq+NPDrHjVYB9cj+YosGhqPbr2FQPag9qpP4u0Ej5NXs8+8oH86rv&#10;4p04/wCr1Kxb/tuv+NOxNy5JaD0qs9mPSq58RwMeLi1b6Sj/ABpDrav0EZ+j0rBzDmtB6Uw2ntSj&#10;VFbrF+TVIuoRn/lmR+NFg5iIWQPanDTUbrGp+oq1Hdxt/A1XIcSHgcU+UOfsZf8AYVpJ9+0gb6xg&#10;0v8Awimkyfe021P/AGyFdAkOOoqYKBSsilOa2bOYfwPoc339Mtx/urt/lUT/AA58Ov8A8uG3/dkY&#10;f1rrgKWk4xfQ1jXrLab+84iT4X6A/wB1LhP92X/Gqknwm0hvuXV2n/AlP9K9CoqfZw7GqxmIX22e&#10;Yy/CG2I/d6jKD/tRg/4VnzfCCf8A5Z6nGf8AehI/rXrpopeyh2K+v4j+b8EeIz/CXVEzsubV/ruH&#10;9KzZ/hjrkedsdu/+7J/iBXvxUEVDJCpHSj2MB/2jXW9n8j51m8Ba9D1sCcd1dT/Ws6bwtrMWS+nX&#10;H4Ln+VfRs1spPSs6e1XkYp+wXcP7Rl1ij51m0m/jJMlpcA9y0ZqtcJOXBmD5ACjcOwr3+5tRjgVl&#10;XtmhuGBUH5V7e1L2VuofXk/sniyXl1FEIo53VF6BTimXN1Nc7BK+7YMCvWZtKtmzugjP1UVQm0Wy&#10;PW0g/wC/YpOmxrFw/lPOtIjMmqwL7n+Vd7bWxIxili0i1juI2jto0cMACq4Na8Nv14pKNjGpVU3d&#10;FRbfaKkWDJq03loPnkRB/tMBUTajp0P37uPPsc/yquUyuPSD2p/2bI6VUfxHpkf3WkkP+yn+NbOn&#10;yR39jHdRqwSTkBuvXFNIkorafMfpTprHfbSqZPK3IRvxnbxWvHb/ADHjsP61YW34Ix1pqIXOctvD&#10;tlYxJ5MKNMFx5si7m+uO1Xxa5YnHJ5rXFqc/d59qddeVp1o08uA3Rc9zVKIrmfHpx2Mz5XAyKYtv&#10;5a7FAA9AKi0bV577WHsbgJiWNniZT1Axx+e7n2rZaDmiwkzLS2RJPNCKJDxnHNDRb5C3rWiYKaYS&#10;DwBRYdzy7xm5TXLoAsNrxg7R22+tWNM1Zbe1aImN228ORyD6ZrtZfDtne3lzdXaybpXyUDdhgDGP&#10;p60i+GdKiVVgs40AJPzKGJ/PNKwXKWg6tFrFrcpFkmFl3Z98/wCFaiwjeoxnJAq4ltBBGY7e2ihU&#10;4J8tQucfSlWPBB96qwjC1m+/s+5C5AZ8gKOM5/8A1Vi2V/ctfHJYo8WVQDhW71f8YSpbanCCW3Hb&#10;KTgkjnAA+tUY5Iwx/dO8hyvlp94n1z3/AArOUkmMmtPEV2ZhG8SF1TeVxgquf50/xsCFhP8AeYn9&#10;BSaVo9zNI7RxiFnIOJOSg/3fX6+lSeOgR9jBxkBgeevSqjfqHU5WxTfOo7VhanHnV75vR3/Suj0l&#10;d12Bj/Oawb7m71Fv+mj/APoWKAPqK7/49Zf901ymr/LYsfpXVXn/AB6yf7tcd4plkt/D800YBdVJ&#10;AI964a7/AHiNofCzw3xBoGpy6lJM0sTLLI3lgvjjPA54qpZ+HvEVlLHc2tswfJ2lXXnHXjPIr0Kx&#10;1SUyiIRwTRlATuXO1varLPPc+bMGWLyMnCdWz/8Aqrp9sox1JUG3oc7pniLxPEfKvISo6BhCpA+u&#10;DVjxRbz614d+0TiJri2YFHRcZBOCDz/nFQ2OpRX+qJYyxvEJG2eZuHepdQ0a50KMpY6iLqJ5OYZg&#10;COe4wc1LqRUl0DkbR3WgfEKw0jw9b2t7EALK3SP91LuZgqgdCBz7Zru9I1aDXNHh1G1WRYZgSokG&#10;G4JH9K8i0H4e6Zq8sN5qmqiPJANmi7AQOgBz0P517Rb20NpaR21vGscMSBERRgKAOBWrtKLsTa2+&#10;4qdW+tPFMTq1SAc1z0VdIbA1FcJ5luy98ZqbHFJXQ0SYTspBG1uR24poKjjLj8fap7iJY52VgTzk&#10;H0qMqnTafpWPUnYauDtwZDjHcc/WpHYGJ+CBtPUU0bR0DcfSggGKTBbO09atMhq5y/j75fAco9fL&#10;rwxX5r3D4h/L4IYf7SV4XnBq4fCadS0HPpUqyEVVVuKer1YFxHz1qTzPaqauakEhpiLSy4I+Wl83&#10;n0qsJselNMpJyaYi0ZfekM1QK3HWk3gDNAEvmHHWo2kbH3j+dRmXINRls0xitKQc5NAuGXvULGmE&#10;8UgLQvp0PyyMv0OKsxateImRd3AOe0rD+tZYzmpRzGv1P9KANqLxFqsf3dSux/22b/GtC28Ya7Ef&#10;k1W5/F8/zrlxU8XBzmmJo7iDx94jQf8AITc/70aH+a1fi+I2vD71zG3+9Ev9AK4ASEY5qZJSRVaE&#10;6no0PxK1jHzC0b6xH+jCrcfxK1H+K3tG+iMP/ZjXmiyEVYST5etOyC7PSl+Js4+/p8LfSQj+hqZf&#10;ieP49LUD1Fwf/iK8yDk/Sgvnof1o5Y9g5mepj4nWY+/YS/8AAZAf54p4+J2lEfNaXi/QIf8A2avJ&#10;HfAqAye+KXKg5metTfEnS2+691Hn1jU/yY1Vb4j2n8N/Io/2oCf6V5LNJg9aoyzA96HYErntdr44&#10;TUbhba2u0lmYEhPKIPHJ7CtyzupLuFmlC7lOMjvXjXw8YP4rTviGU/8Ajhr2DS/9TKP9r+lSNofO&#10;tZt1GGu3H+yv8q1Zqo3IxdOR6L/6CKTBGZLEBVSSLPatGTk1WdaQ0ZyRbbyIbTgtnPpgU6/i26ec&#10;d2q1FHm4QkdM/wAjRqSYsB7tU2KOLvrWNInmbdhFLYB64FZenkX8iGK3ADNtBeQ+uOgFbGrgrpt0&#10;3pGaq+EItxtB/elX/wBCqVFNu427I9AtfhWxQNNqNuuey2m4/mX/AKVqwaUmloLFGMiw/LuIAz+A&#10;rtxwAK5u7Gb6Y/7RqkkthN6FJIuW49KnWL2p6L1+tSqtUiRkUQDrx3rz/wAd30kmrPY+a0UaLg54&#10;DcA8V6Mo5FRJb2zXMtwLONZ2YqZGXLHHGcnnFMaOF8DadOdXa9lWaOCKArH5wwWJPJAPIH1ruWhG&#10;Sc9TVjYE+6Bk8k460hXigRUMYFMZAe1WSuaPJZugoApNHTQlXfs756Un2V/b86LAVNlIUwOlXHty&#10;iFiRx6VDjNFgMfVdKstcuFivbeQrAoOQxXfnkjj0wO9XLaxtLSPZbWiRLjB9W+p7/nVzaKMUrIGy&#10;vHAkK4jRUH+yK47xwAJbZQP4WP613JrhvG53X0C+kWf1NMEYehR5uzxxgfzFctcnJvm9XP6vXb+H&#10;Y/8ASGyM8ZrhZWzaTN/eYfqSako+pr3/AI9ZPpXOa6gbS8EZB7V0l3/x7vWBqoDacB74rz6/8VG8&#10;PhZ51pySkkTxbSGOMrg4rG19glzGFONzYPatmzS4FzceaAAHbbg9s1k3y30l8QtqkkQxhiQSD+Na&#10;OSEovYvnSLO4jgBghDFVzkAZ9atJpdmt5II4kBjxyB0qezhnAtwysDtGcDihLO7fVndIX2ljngDj&#10;86mb90cU+Y2NOVUvIU2gkFSMj3r0g/dNeYtqmnaVqUC6hMYZVIblcgr+FdQ/j7w4YnMWoJK4/wCW&#10;aghj+da0X7mpEl7zOiTqalqjp13HfWqXMWdkgBAPUVl+JvGujeFI0OozN5kn3I41yxpUH7mopbnR&#10;02uJ0b4reFtZuktkvHtpnOFFwm0E/XkV22QcEHINdDZJTv487XH0NUSv0/OtiZd8TL7VmFcCsprU&#10;CLYCBgrilC4jkBwPlPSlyQf/AK9JIcwSeu00IzZx3xGbHg4j/bQfzrw3ua9t+I748KY/6ar/ACNe&#10;JA8mtKfwmj3JATT1ODTARTu1WIk3UoYGod1OBoAkyMUoI6VGTS7xTETFgB9ajLZ4FRl80m/FMBzU&#10;wnjFJupc0AIWwKbnNB+tAHPWgBCcGnoSEHuaYwB705FzGMH1oAmVhkbulODelRBTingYHNMCZXNS&#10;o54qtnApysV6CncReWTkDIFOWVs9e9Ugxp6vhadybF1bhlBOc+1CzN3qpv8Azpxcg07hYmacnqeM&#10;4pCScCqhm2ZxTTcsMD2pXCw+ZhzVCY8nirLygjGKrynI4pMpHUfDUZ8UOfS2kP6Y/rXsGnMFjf8A&#10;3q8h+GQz4jujj7to/wD6Eo/rXrenjcj4/vGpEy1KRnrVG65uX+i/yFVfE2sf2Fo01/5PnGMqNhbb&#10;nJA6/jXCTfFNWlLNpRGQOk3oMelJtIqMJSV0d09QSCuHPxPgbrpkn4Sj/Ck/4WVaN10+YfRwaOZF&#10;ezl2O3hGZlPs38qbqY/0FP8AerjYfiVp6NlrK56EcFe/40l78SNNuLZUS1ulIOTkL/jU3Qcsuwuv&#10;jbol63faB+ZFN8FIDNpqlgN0yA5/3hWS/iuyuFztn+Q7mXaMEfnWzpGsRarcW9taWZ33DqiEqqjJ&#10;4GalSaeiG46anruu3pjlxDdKnyZwHxzzVKyeSWzhklbdI6BmPqSK5Sbw7faJHK7wxkIu9v32TjHu&#10;K6zT28yxt5MYDxKcfUCrUm+hMlYsoOPxpJXMZXA4zyakA59s0ycfcHvVEipcEj7n606KRnnAI+U9&#10;s1EowaZPcpZQS3Ug/dxruPzbf1oA1VSORNyNkHoRTTAuRljzXE6N4lmN4zpFm0LEsoPIzk9Pyro7&#10;uK9uWeWCRhDIFMe1sEDH04rSUbCTL80Sxxl+eKzW1BoFHmKFLH5R2HtUq2t5HChmmBRcbsZyx980&#10;9rWBsGdTIABhMcA+v1qOox9vfR3Mm1QQNm4E965YeMJl1d7WaBk8gYddpYtnoQR0710wMMRJjtmX&#10;IwcY5/WqlvY6fBzHpwDd3YLk/jmm2Gg2z1ZdRS6AjZRGwCk8hgcc/rU648tfpThDbJvaK2SJ2GCy&#10;gDNIqlVC9cVOvUSAjjpSU8/dptAxuPWuE8ZDOrJg9Ih/M13pHFcpr3hrUdWvmnt7iCNCoUBs5oBG&#10;HopKebt5OxsY+hrlY/CuuzWRUWDhiynDMo6A+/vXdWfg/VYJld7yDy8EFVBzyPWt+PTLtUwZ4y30&#10;NTZjud3d8W7msDUz/oC+5Nb17/x6vWHqgxZJj0rz6/8AFR0Q+BnniXL+ddBiOHIH51z9/qV+t66W&#10;5RVDY5XOa6COH99dMR/y2P8AOsLynluyOMGTucd60aW1hK509jc3L6jawORtKruwO9ULbXdYfWFS&#10;NLf7N5jKxZDnbzjHPWtS0iMGstcMuVjTIz9KmhaCXSPM8sKUIYHoRVTjHl26Ci3zI4P4j3tzHq1r&#10;IkpUtD8wU8ZzXMafez3N7HFKdwPPQdq7fx5pkNzpEWrGR/MiYRBeNpBzya4HTG26rCR7/wAqcP4a&#10;B/Ez6e8KH/imLIgc+UP5V8sa9d3Wo6/etO7F2uH4YkhfmPrX1L4Obd4Xsj/sYr568XaJLYeONVSS&#10;NoQ87yR7h1DHII9uaVFpK4NXkczFp1ypDKu72FfTnw01GfU/Ati91v8APh3QPuHPynA/TFeAwWsg&#10;kWM3GwOOpr6D+HtobTwfZrl8MCcNjruOT071qpXdglGyudTVKRFWQ4U5znirtRy4HJIFEloZMoMe&#10;f46hlYm3l6/dPWrUuQcqy4qpO+YWBYEkdBQZnBfEon/hFwo/57L/ACNeMDO417H8TW2+HYh6zj+R&#10;rxwcE1VP4TV7jh1pxJ7UwdacDViDNPzTBTqAFLc0E0nFKMHqaYAelNzzTuKQAZoEIKCaOKRmAGTw&#10;B1pgJ3pRUAvYN+Mn644qwCCODQAjCnpkIBRjmlxwKAE3HgU9WPpUY604NzTAk3UobFMBzSHrQIl3&#10;8UCTA5qPPHNJRcCYSD1pPO96i5ozxRcB5cYpjMOKYx4pjGi4Dy4x1qNmG08009ajfgGgZ2/ww/5D&#10;N+3paH/0Na9f0tFFqW7lj/OvH/hj8t7qTn/n3A/8fWvYdMP+grSW7Jkcv8SePCFz7un/AKEK4jwz&#10;p1jcaOj3NjDMzMfnZQT1rs/ie+PCjL6yoP1rmfCg/wCJFB7lj/48ah/EarSn8yZ9B0ZzxZQr/wAB&#10;xUTeGNKf/lzjx7Ej+tbBhfP3aQROpxyKdieZ9zKg8IaPKX8y0xhSRiRh6e9ZWreD7CDTpLmMSRkZ&#10;KjfkcD3rrrXzGeRck54+lV/FY8rRHVe0b/ypWGpO54/H8qTf7hFepeAdPQ32iy/xiSNvr3ry5FzB&#10;cE9lH8xXs/gCHF9pQx0AP/juaIFVDr/Gsxjs77H/ADwP/oNWdPj2afbL6RIP0FVvG6gaXqT4ziBv&#10;/Qa04YxHbxqeygfpVkS2PO/HHxJl8OX7abp1rHLcphpJJTlVyOgA5zXI2fxj1kXMf9oWttNAD84R&#10;djY9jnFL8RvD91/wmd5NM6RpMI2Q8nIKgfzFcrdaHDHAwjkdpkUluMDis+dLQr2baue92/iJZNOi&#10;vjYXaQSxiRWKgjaRkHg0Q+LNImVkkfKsOVZQf0rC03L+EbWNdZmIW0XETxYXIUcAkVBpOn2kawPM&#10;hZ5xtXnjP4VEqklKyGoq12d1pk+lakmbVIiM4IKAGrcL/vbiFSVWDhQOMjFchba7a6O05tkhkeEF&#10;ZELlMd88j27VWk+IMsTRSTaKVFygMQFzncOeR8vvWkaqa1ZLg1sdtDdiVSG65Ixmlnfy4JJcZ2KW&#10;x9BXnVx4/F1H5Ys5YcsDkMDgDt2ro9J8X2twsURimaQ+1VzJkNNFey8WPcuqXFn5LGNpD1wAOv8A&#10;OrrtBdy2TnU7mNrk5hSPIDd+QO31qtqfmWF1ssJGllulZ2847uCeQM9uOg9ataedUimtllitzHuK&#10;rsGBGp6/yrCa5nZtiTaM7VGfTtU8hbq/uJjCZVjjnAyBxjaSB+vao9Ilm1N2nS7vkUKcpJKDhuOO&#10;Mj1q/wCILASS3N3caotrbzRiEBoicfUg/pxTPDNhLp1pdacrBvImAE6rtWQMofgH03AU/Yx0tf72&#10;ac3cjuLfUrctLDJf3BIb5RIu0HjHGM+tdB5wSAGWF1wBliy+n1qvqOoSaVYiQR+dKWCgNnBJ96vn&#10;DNg421ooqOxO5XFzGX2+USSeBuXn9aJrgQRO/wBmkIVc4GCWPoKmYDOQoAFRbs3a9wIzx+NVcVjP&#10;PiC384Rrazld2PM2/Lj1z3FM/t+FovMW0nZdgc4HI+bb/wDXrTE7ZPmQlBng9aparrFjpFiLq9n8&#10;uIyCPIQn5j04x6ZqPf6MlPU6+9/485PpWHqHzWa/Sty9/wCPSX/drBuzusxXDiP4iOun8LOClmMd&#10;1PGIlOZD/Kudt2tzqtu0enStI0o3sbggLz1xXTSw7tQnYDkMSPyrK0xd2pRgoo5J6VbdmhpI2572&#10;Vre92W29ljbau/G7j17VjXE+oLZ/ZbG1Eisqkhn5z3GfatS8iurnR75LV9k7rtRs4xz61Us7LVI3&#10;ZZniEYA2srHcfrRU01CCTJ4NA8Q6zosccVnbSQ5IkjlZSA4PGMn0NZGoeAtd022kvprC0hjiXMkk&#10;bJ93/dFes+DkZNGZXOWEpyc57CpPGA3eE9SH/TI/zFaxX7u5nJ+8QeCQV8J2Wf7p/mawvik+lXXh&#10;edZLiD7bAyvEM5bOcEfka5vWPEs+neFtJ02xmaKRkZ5Sp5xkgCuM1H7Rf2ciO/ztgg+9TD4LDfxX&#10;MeGYyzxgs68/w19GeEta0290aGC0aSNYAIQJgAWIAyR6189aVo11c3G18xKp+ZiP5V6VaXH2Gzhi&#10;hGEQYAz+tawjZ3HOV1Y9ePPNNYcVyPh/XppJ47eU7kYhc+hrrz0qpGRDjAPemP8AdNSEYFRSH5TU&#10;DPLPinxoUH/Xf+hrxwnk17D8U23aLbqO839K8fEbFgoUkk4FXT+ET3FFOFEqbJmUA4XikANWIdRm&#10;m0uKAHA8UmaFUk4AyakaMInJy56AdqLgR5o70nSkLH0pgOp8Nmb+VbZXUNJwN3Q+1Q9amtImub6G&#10;2jYCWRwq5PeiWwR3R3r2MVjYLbR29gIgmBuiLEseuWxzXB3Ma293LEuNqsQMdBXU65dSxBI3kgdV&#10;Od7g5XFcc8okkZywJY5Nc2Hu1dnRiLXsiUHNSMRtX6VXHXrTywIHsK6jmHZqKeVoo8ou5icAUpNT&#10;WhiFynnjK5B69KUnZXGld2HjS9YhtftckI8sDJXcMgfSmB81vzz6duZlBIxkNk+nSubyc1FKTktS&#10;6sVF2RPu4o3CoxmlrUyHFh6UEg03BoOBQAEVGwpx/GoiTQMQ/Wo36U49Kbsd0dlViqDLEDpzikB2&#10;3w4IU6m3/TNB/wCPf/Wr1/TCf7Pj7HFeP/D35YdRPqYx/wChV67YN/xL4vpRHdkyOQ+KcmPDca/3&#10;rhR+hrhNH8V2umWEVtLbyuyZyVIwckn+tdj8VH/4kVuM/wDLwP8A0Fq8eY5Y8nrWbdpHRTinDU9Q&#10;0/xvZX17BaRWtx5sziNM7cZJwO9dO6XBlMZtX3j/AGl/xrxHTZ2tdTtZ0lMbRyqwf+7g9a9LufFS&#10;rGZItZjLjd0dCcY4xx64qZ1lBXYpU9dBZPF2l6XqVxbXS3CzRNtYBAQD+BrN8Q+MtK1LT3ht2m3l&#10;GA3Jjk1wN3dT395LdXEm+aViztgDJqDHPWncapomjBNrcH2H86918CR41TTx/djJ/wDHDXhkX/Hp&#10;L/tMo/WvffAyAapb+0R/lVw6kVNzZ8aSvHpV55blWICgg46kCqd1ockfyx61qgwMgNOD/Naf41uY&#10;hYzKZE5njBGf9ta8x8SfEjVb2+lisJBa2obCbVG8j1JP9KpxuJuxu6vd3FxZWsl2/mzh2iXeclgu&#10;ME59yazNNsbO5jl/tJpFdpVO8KQhU8kE9s9OfwzXFW+rXA1Vbm6mlkDfKTnd19vriu20fX7K5vfs&#10;EkkYnXcdpHEpboB9Mng1zuj0b1Nfau2hv3kasphiVUtlG2NAAdq+xqm11JZWkRVhmFiEyOgwP8aq&#10;3+o3WlI8kTxQRbeIycjPqM9B7U06pLdWn2hDDLjG4bcg/KCcfia5mpb3Ltbcgu42+33DM/MmCQOA&#10;eB2+tVL2+iaawSVgn2dAvP8ASrlxqSCNZTZRS7ucliDmq2utb2XlxG0WQSpvPzEY/wA5q4W2ZMnf&#10;Yda28M9ycY3E8D1NddpVgtuu/bhjXA6fqmJ/MW3ZdvI+bOK7fR9SuLl4llVQHUsMDoBW6kloZSRq&#10;cyaos+BsSEKjlwMc88E/StpZJ3uI18nIDB2c9Mc9P0rkbJY5tX+0XKYBG2DJ+XIY5/Gt95PsRke2&#10;U+b5ZZ1U5B9OPWiKuZ9Q83TPE4mtp7Wb/Rn5Vt0fJz+f3asabboHvXZmw90xUE/dCqqYH/fP86W8&#10;1O5ttPiliszO+3c2QcL19M+nb1p+nO6wSuVBY3E2VU/9NGA/kK16oOgXX26GSL7EGZZJ1Ehxu2p3&#10;69BV8jn61Uuraad4LmO/ktY4JfMlQDIkUdVPT096yra1vZ/FM+rx6jDJpcsY8uEFshsAZ9McH86G&#10;M3yVOVxlvSq6YF1KWJ4jUcfU1OTnncuaihwZbh9wx8oyv0ppXBkKQIjgM8hA6LkgUXNvE6BSisA2&#10;cOM81O6gv35PWoruJiT+7DZIwCPx65qPIVjp7sZtZP8AdNc/PzaL+VdBdf8AHtJ/umufn4s/oa48&#10;R8Z0U9mcXPFI0175bANhsc9OK53w1p+oRawGurlZIwjHAPet7VIHkXUlSQR+YCoY9sisTRLS40lM&#10;LcRyMcgsRmtozst/wFY3dY06e90KW2tZVikd0+YkjgHPaqVvol1FdPK9whVgBjcfSquq2eoazarb&#10;S6jaQxCQP8qEHjtnNa0Ol7ShN0hARR164GKzm1Zrm/AcVqtDvPB6eVpMiE52zHp9BU3ih0l8L6qE&#10;YEpEwb2OAf6iuO1HxB/wjfgTUmtbuJb8OBEMjdhto3Ae3Nee6P8AEXWnim0m8f7Vb3SOrNJjduI+&#10;9u6np0q4P91byCSvJlPVJWW6iYnK/KP0os7tnkO8jaDgr6e9V9RRX1FA8jLGAu4DHT2qJ5BHd74V&#10;LwgkAkjJXPenBrRBKL3OmjaWPLIFYA45OKvfaS4RThSeozWXbTIbJTu6nuelMvNQFnEJgochgME1&#10;sjO2tjsNIv8Ayb6ImOTAkAzg16zXz1pni7ZqSf2jMYbLH3YFUMT9WB96900XVrTWdNju7KQvEePm&#10;+8D6GlzJjcWtynfeKNOsL6SznMolTGcJkcjNVG8XaWwOGl/FK5Lxa2PGF0P9lP8A0EVg6ldG10ya&#10;VeHxhP8AePArkdWd7I2VONrs1PEXibQWJhvpImAOQjjJz9O1Yi3Hhu9njGlx2jNgcH5WDZHTJ7cm&#10;uLn0/SkkIvLt3uW5c5yc03+ydM8hnhuJlkQbtwHArdJ23M7K56rp2k+F5riVNQ0zy0AysqsSHPfj&#10;qK0n0LwFsISzJbtywrivCeoy3Vg8U04neJsB+5XHGa3wcmsniJxdmaqjGSua9toXgROZrNJJM/ec&#10;sM/gMD9Kj1fSvBr2RNrpNu0o+6ELL+eDWY4yQaGyIyQrNtBYhRk4AyaPrU30F9XilueaeIZfsepD&#10;On/Y7UnMVuHyWHqTkmsltUkknjf7LGI0PMeDhh7nOaNX1efXdVecJhAdqL6LTLvTLuycrNGwOA3H&#10;TBroj0vuYtN7bHptpo3h+5soZjYgb0DHbcnHSsXVJPClheizFrK83G7bMdq/U0vw9vpY7ybTb1Sb&#10;bymnRmGduBk49jXCajefatTubgDHmysw/OrIsbevXGnwRCOzs2ikY53mUtx9MVl6RbXF/qUUVsf3&#10;/wB5STjBAz1/Cq1raXGpXKW0C7pnIVFJ6knGKveGZxYeIIjcSPCFLIzKOVOCMfnxRJvldiopcyH6&#10;sb+3u3W/JeTPJzkfhWd8oxg4B5x6V1uq2lvfRMWnMs3ZsY/OuZuLB0m2Ro5QkKGK4GfrWdOSsaVI&#10;NMgeaWQhUBPoAOtXNOCLqMUN2siRsfmX7px7Zru7Wy07QoIFt7a2ubrYFeXzcncfQAGs/W5I77W7&#10;MyQKFt32Nt6nPbp0zTVW72CVKy3MnVP7ItLd/s6XTTdE3SLtz78VyvmSzSg5OSeK9N8UeHraK1tt&#10;yLl9zfIdrDgfgetclomlxPJ50hIaGXDKR1xz/KqnNRIhTcnoPttAvRbyS/bEWRUJ8p/4hjt71jm4&#10;lBCZyemMV2809t5oZ0fGem7A6dq4mfYNUmZCdiyErnnvUU5uSNKsFF6HT6PocVyI49RvvssjuAVU&#10;Asqnvg4FdU3gHTAONVuT7/Z1/wDiq85gtbm5LzL5jIp5f3rS0/XrjTLqJJneaAnDozEYGe1aRlbR&#10;mUo31R1dx4JsIbeSQanOSilgDbgZwP8AerhtT0TUbErK485WG7Mf8P4V7PqXhcvoNzcxRbwsJkAM&#10;h5GM9/avLrqaRnaFJ5euwI3zZH1qakpKSSKpQTi2yr4c0oa3az77swNC6j/V7sg/iPSrOo6ZpenN&#10;sl1UNJ/zzWLJ/Hniurbww3hPwVdXlyqpdj5jhzwxIVeleeaboOp+Ibt1soWlI5kkJ+Vfqa0bsrsz&#10;UbuyNOx0/TdQlEcepKjngB48Z/Wus0rR7DQdPu5NSkt5fNK7d44wOeh9642PwjewAyzyKgUlQUyx&#10;3enFW9ei1bVfDVjqMq/6KrmGTGc7hxuPtwaxm3P3YmsI8juzS/4SmP8AtuGPTVEkTNtnVUwuOxB9&#10;ua9cs2/0GL/dFeAabbG1lwjiMsOJGP6V7hot0Z9Bs5n4Z4gTWlJ9CKyfxM5L4pyZ0u0XPHnZ/wDH&#10;TXk+MdRXt3iTxRaaBHturRrj7ShVQMfKR9fqK8Ulk8wjPbgcUpbl0m7EdJ+FbOleHptVgklW5hhR&#10;BwZM/MfQYBrJuIJLWdophtZTU9TS4wH2o70g+tBwFJzTAnjfbbHjOJVOK9g+HfiKPVvEkFosDRMk&#10;bPktkHAxj9a4bQ/CUFxZQXWoXe0SfMIUIB2+9dH4BgtNE8drK1yq2zwuqtI2ADx3PtRTmublRz4i&#10;EuTmMrxUzT+JdUwet5IfycmuSucpOSetdPNIt74pBVg6y3pLAHhhuJNW/F2kS3exrGwj+U8mNQDj&#10;+tP2qg+V9RUqblFtHFlgR1H40WmmyXcjmKeFJFwQJJQhb6ZpJbeW3fZcRSRc8grz+tV3PI+la3TD&#10;Y6jWILpNJDXMm6Uxruy27HTvWt4TO/RBkfxkf0rO1cbdONuDzHCq/kB/hWl4SUroYyCDvbgiuNu8&#10;H6m0tGTyqLaYxsP3UhyM9jRdahOsqIY4JFCcb489KTXGK2LsPvKMiua03ULu/OJMEoMZxjIqaceZ&#10;kvY7fT3huoHbyYA4UH5UFa2kW8glacqAqIQoHHWsnw7aoM4B5QZrr1tNtm4jJ3FDge9dHs0lexnz&#10;PYS30vz7GGKUfNgkkepOeKLuyv4rWS2sGJu5ApaZnwVXdzj8BVqwhkjiiXO3y1AIP0q4oYX0zA5I&#10;jUcVLukQ1qUre81W3urNJLSY26W5ExGG3Pxj39ak8PnzdOSU5BllllwePvOxq+jiQHklSOeapaT/&#10;AMeFuD02dAaak+azKSZfJG2UxsqNtOCw+XOO9RWgcWaCcwGQD52g4Q/7vtUyGGVJIpE3IRhlbuDT&#10;0giEIiiRUiVQqqBwB6VoA0BAox09SagtXIE5X5gZPrngVYOwDCsOBjvUECMYnIGcysTx70nsBOsh&#10;Z8GNQfUVCZmklMbLGVzwd+T+VSAshxggUqZYjPIz1zUpiOgu/wDj2l/3TXOTt/orjPbNdLcf6h/9&#10;01yk75gk9SMVyV/jOiGxx+s2K3VtdpJepBHKAGyB/MmpIry1traKCGCARxqFB459+lM1W00y4tpm&#10;urlUYsAQ0gGKw7yDRSoEksKIfu4l2j+dW5NK1wSRrT2eh3zZubK0znJIIU5/CrMVtYBtq3cfACoo&#10;cfKB0Fc9HpOhysP9LC4HIWcY/HNaMcWj2bRf6azhTwpmGBUtykrJspJJ7Fm/0nT9ShMN1dhY1+78&#10;3WuR1Ow0XSpALJZpLpT8pZgoH4Yyav8AiPVLoNFFYOIYJOPMyOT7MK5yWxnt1S5klST5/mwSTz9R&#10;VwpNR1IlK8j0LwN4P0vxJFeXurQySMjIiKrlBjaD25rgvE+nxaV4jvrOxlzbxTFY+d2B6Z9un4V3&#10;3g/xI+iabqMkkSvbrbrIuDht+SMfqK8/iK3dy0sjby5Jz3B/rVxVxNtPQynmuITh1z7ik+2CQAOS&#10;fYmunFravHsldG9No5FW7PQ9PZxJIpZP7rIf61fINVLbnLvb2htI7i7dlVyfLA7gdTXoXwb1G4i1&#10;W8tJ5QYrqMPEhboV9voT+Vcf411eK11S2tba0tjDFAAFlgBI5PT0q38Obq5v/G+mSRRW0Jhl+ZkX&#10;YCpVgRgdcjp70+WysSnzO53XxAtpYPE0UtswL3MQZw4zgj5Rj8q43XGmawMSSKZlI3bR+g967z4k&#10;eYNbtDDjzfsrFctjnd615fqd95cZjlmH2gckYI+Y1nCmlJsvmfLYw47UCdxL/rQCee1SW+hrLEDL&#10;K2T6Grnh/SZtW1ALIwClwX9x/hXR6sNNtb8WVsr71GCzDAJ9qc5vZFwppq7OTsZrrwzqqlWDQTdN&#10;3Q16HaS3V1AJoxEVPTrzXB63N9oikhAz9m+dRj8z+VegeBpH1u3tU8sRxcKQPReprKpG6T6gm07H&#10;UaB4YuL+NbrUHWK3P3UT7z++T0FdQ1jplhAY4LeIBwUZjySCMHk806afyLVmHCovA9PQVwWreJrW&#10;yZzd3scZTDmPf83XsOtb0qcVsjGc2zzKPwvNpHieS1nj3RRXWzOeq5yD9CMV3urWSTLCS0IiBG79&#10;3k49M5rjLzxour65vhtnZ3woZgAzAdOB7V2MFyt1aKqPGsyrlwz/AOr9zXNX5lPU7sPy8mhkTW9o&#10;73gjnkCCJ/LWNdjDIPfqRXldvbNNyRxnvXfalqS6FdNPLm4V2xhWyG9cGn6fbaBqkKz2cW0gkNE5&#10;2sPwBraldRuc1a3OTfDHT7Sy1KW8vYopsACPcudh9QfWtfXPAOn6XqM+rusk8F3IZBEWIERPPOOS&#10;M5/CiGOK1VEjCxqM4C8V6AXW/WGMwiaGdVBVTnAPRgfQVcW2zF+R5Tq2hnbFc2DBrWVSWT+KNs4I&#10;PtW5odnJDZQLNbs9qq5WYL8jPySOeuM9vT6Vv6xf+HPAtuEuLY312/O1j+QI6DsM4rhbr4j+ItaJ&#10;gsbS2ito2LhFjztHuaJ0lytGsKrUkdhqP2d7dCTlwcjYmSPyrgvEF7DJY3EpxuOEjwhXtgYrSgvt&#10;XljLyW6biuc27c/98n+ldNptiBDZzw+RO+A0n3ZNkg569qzo0m3ua1qqtsZ/hbwNPZ6bbar4iuZZ&#10;zgNFp5OVQHu+f5D8fSmeNLRXj+1WMARwgEkajllUYDD3AwD+Fd5OXnt1M6ZlxgkdRXKSxedLNaSm&#10;QMp2q6nDDuCPwNej7GE4tM8/2soyujhvDWm/23PItxM6ImNvy53HPvx1rMt/CGq3Oo3kM0DRyAMy&#10;HAwWz0/LNew6P4SeOxTzf9FjBZhlfnOTnp271sXNpB9ku5oeRCiEOfvHBBOT9Bj8TWFSnGEfdept&#10;CbnL3tjhnsbTQdAtbF7NpA6DzJFKj5j9Tyc1yl/pEepajDYW8OxzJs38YUg85+gr0HU7yOOaOYgM&#10;kC7wNm4bs8Z/zmub0Ii/1W51B/kTefmC4G5ugrgpXbud1ZJRsd5q+rXD6U9vAYhvAibjOU6HHp2r&#10;yfTPC15qGsXFvvYRW53STP2UH+Zru0Z1uJreVSGAJQ+oxnj15qYuiCYGVLe2bDyY43nAHJ78DpXW&#10;43dzgUrI0/E1vZ+KvB11a20jLcPEDHvGNzLyM/Ujr71w3w7jh0vRb27up4vsUyqS8nygEZyDn0PF&#10;Lqnjf7MDbWMY3qpAOOPauEvtQkuYFskwtpExZIxwMnqaKsHNWLozUHc6TW/G2nR4s7OJZ4BJ5hKx&#10;4A+mf8Kz7bxVZ7JrQ+ZHbz7wwYcDdk9PXmuY0+1kl1OGPaX3OBt9a7vXPDGnxxx7bTy2GNwXvWXN&#10;Gk7dzXlnWTfYwND0h9T1RIJpCloPmkmzgBPX8a9shtYLTTLeK2fMUcYVQTkkAda4PRorSzvxDDC7&#10;WgTMat8xQ9xz1611h1FZ7vyIFYIiA5YY/CuqnGNro5ajbdmcD8TZMz2KnP3WP8q4GC3muXKQI0j7&#10;S21euAMn9K734h3KxXVupi8wvFIgyfu528+9VfBng3XptTh1B7J7eziVnd7hdu5QvOAeTweO3vWU&#10;m7uxtBe6rml4WEdn4Yhe5URmRyVJB5HrwKz/ABs9neW/nKE+0LjDKOSOnNdTfQ2rafDblY/KiIAG&#10;egFczqwOrS3x0+xMkjx/cjGSMYGa5Yay5jqmlGFjgefWnxBDMglJ2Ejd9KJYpYJWimjaORThlcYI&#10;PuKmNjcrZfbGgcQZwrkcH6V02uc7aSOtv7q3tvD0Fws3nPxGgySD+vTj0ri2nnZi2SSatafa3WqQ&#10;/Y7WNpHjZnIB4C9zXe+EvDEMT3El9Zh54V+RHHqOuKjmVNaj5XVatsedpJdxuHQOrr0ZSQRW5Y+J&#10;r+D93ds7hRkMetb+uQgX8MVij/vjhowigL+HWua1FJBPIsinMLFegAH40RkqmjQSg6d2mbI8VRuu&#10;JUVl9GQn+lMuNV0i9jCRWMAnX5txiC5/GuaVnXd5eQNvzYPaomb5sggVp7CK2M/atnUWTnUdViUN&#10;yWDMBzxXRafOkFldz3DBFWaRnJ7YNcHp1/qVtI32F/mbAbjPGfzpL7Vr+awlt5NgSQ7m2Z55zWUq&#10;btyg5plnWPFc+ou8FnCFhPAJGWb/AAqGys9csVW5S1by3H8WORU3hGzSXU1aVBtRST/St7U71baU&#10;wEO+WwDnC/lQ5cj5Yo0hT5o3bN/wbfNeRMxQxsoCuhHIIrrrm5lNv5UQAZgVBz04rz/wPqJm1W5g&#10;CKAyZVQcHg+/WvSIoI5ihbOV6YNbq8onNNWdia3AfawfplTweo4q3Apee4IOSdoz+FQFPssW5Yd4&#10;z91ODknr3pLPU7ZFcyRyR+Y25WIyCPwrCpOEHyydgUW9iecNBaTyY2hY2PXjoadpaD+zrbYwP7tc&#10;57066kt5bOQM4CyRkAMCM5GOhrO0LVBdJ9nmjW1EKAIzPjf26ECiMlz6sqzsa+/94yhR1PIqaJhs&#10;z0Oe9VxIskjBQCP7wPWpccDcCea3RLJ8NvBBXb3qpbSCO03ucLuYk/UmlcxedlmYMO3aoJ2xpgjC&#10;5yoJ+lDdgRFf310lrJLbW7NtGVGMs34dv5+1cxfazq8dxA9xIIwhDeVE3H0b39q2TPNMfJMmSADt&#10;QEZHqT+HaqtxoE2p3KpIRBbxjqAOSfQVk05bsvn5E7K7PSJhmJh7Vx9ycLIPSuwmOI2+lcTdyYaQ&#10;57muetrUNIfCcXqlhJeTELBuRmJJx2xUVh4ZttVuFt5lRljGWyudq98VZ1LV1isp1V3SSME4+YZ+&#10;mCPXvS+G7ma0tr+WVS1xkJK2c7flz16YrtikrEIzde01jcNHAqRQxrtiij6BRxuY/ma4m5iKgllx&#10;EG+8Rgt711Oqa0v9qywF8RBRnH8Rrldf1LeVjRQF9vTtTaXQGRtfBVkR/miZQApP6j3rY8F69aJq&#10;C6bqkUUttOQqPIoOxu2fauJkleVlAzmrdrptzcTRJEpLuwAFK5Nj2bW7CwuLtNOtpLa22p8zAADP&#10;pXDz28dhqUsUMqSlDglW2hvwNdGdElBiUqoKkb2Y4ycep61y2rWyR67cpcOAny8gZzxxUy0EjWtb&#10;51OHVtp6ZU5H4jrXS6dNGQXUNIwGQDj9ef6V51bTLHI6lN4PGK6OG5i8hFWKTc2F2gdPxqPa26F8&#10;t0efa/dz3uv3s85UyNKwOzoMHAxXf/Cjw/q82sxXO1bWBJIZd83ymRckgIP4sgGus8I/C/Q/tn9p&#10;3kzXrg7hbuQVUnnLDv8ASvT4re1E0cvkR74htjbaMqPb0rRpSRMW4vQ434mW7RQ22peTujjBjlkz&#10;9wE8cfWvBL29bUteeXGIt3ygnOB719SeJJbT/hH777WiyQiFiwIz2r5YuLaa2ElwAAG+Yr7e9O1h&#10;rsd14Pjhn847zFhuCOuKrX1ot1rwkmmYRF8b3JOB61P4Lu7d7RJJ12KR94DitG/dJpMWKjK53NgH&#10;FcjfvM7425UYmqWtpI1z/ZrNIpQoGYbS/Hoa7n4ZWpstPdXwDGgXdnjkk/0ryvVb9rYSeXcbrhn4&#10;ww6d+nHauqe5u7LwLfzbd0FxPHtxnMYIyQfbP86pp2RzyabZ6X4w1caVok04G8RoXODwT0A/Ovm2&#10;4nutX1UuWaS5uJMfUntV9r66ezmtobiXy5QA0KsSrcg9K6PwL4dMV1/al8hVk4ijYYI/2j/StXUU&#10;YXM1TblY6BbDQvBugwTXNrC9y2FaZ1DMWPXGegrOXxhYQQbo3M27JWMKFVfrjA/nWP8AEvUjcXlv&#10;aA/IgLY/T/GuHR5GXYgyTwFHUmsYUuePNI1lW5XaJ6xazeHvFLpaXkdv50v3QuFcH2INcNrukXHh&#10;3WJYYnfyo2GyUcHnkA+9YltLcafqEcyl4Z4XDA4wVI9jXr+seC7W+0Fp7a5nkuLlBKZZHJ8xuoJF&#10;WmqT1ejJf7xXtqcpaaodQ01muHG9UKgg8lgQc4+leu+ENRH/AAjNvcuuJIocDd7cZ/SvFtIk1jQI&#10;byJNCS5M6bGaeInavfaR/ngVteH/ABfeXGiahaSsI5I7dmjVOAV6H9T/ADrW3vXRl9mxmeIpZ9a1&#10;aaeSfzGZmbr90DtUfh6/Gn3EkL4Kk4PsazLaS4QSEKzMQW4GaZp0TTagkTbt7tnAUk/kKKiUkxwb&#10;Uk0dnLfbJIzGfuntXaeEmguNZd9qI04DED+Ijv8AU964SW1WLCu4jPQBh835dat6PIDrdqDNKkYO&#10;3ep2sCeMisMPeDudFa0j2LU41iG/ZkAVmWltb3OqWcpTa6uSU4AYAZ/nTLi5ujpvkLMz+WmAz8lv&#10;qTzUWiS3C6xZi4tWUTBtknBA+U8ZFd0KyldI4502mmzo9Yk8uzeXrt5rj31DUA8drBcRJayJubdH&#10;uL7mI6n6j867DWomlsGVSckEYHevM9Jvluk8lz/qGkjB+g4/UVkykWpNEnluXimvBb2ik752OAQD&#10;0Pv/ADpEtzDcNp2n27y2jIp8+QbSWBznGPXH61rNtm1R3lUOkSq6IemTGp/nWpbKtvLM8oyzbEX3&#10;IyxpRpxjsVKbluYvky2ds/nFSImznr9f61xviHVVmuzaW77ooOsinhiecfhXp17Zj/hHDhW82SLI&#10;4yxLc/1rwq2g+yme3Ds4SQrk9SferjuZyRSvXzIGz8yt1qbTdHOptPMZhHiRUUBc5Jz+Q4qpcAtd&#10;4zw45HoRXReDSJ71dOkiWRbhvlyxXa6g7Tkfj+dTVvytoujyuaUtjvPCPgVtHmlvbyCOVwgML9ev&#10;OcdjWD47Aln80POjK2BGjAA+55r0VLudLGH7QQtwBtYKeMjjivO/G8e+4WU8ykflXFz80kz0PZ8s&#10;WjD0ma5t7+F0NwR5bMAh+/25rb0rXIYJrh7zzUlkPyh1JYqP/r5rMttWWae3EsEMEVsuzLOMHjqS&#10;eOan1JoHujOjKRDCEJDA85J6jjvXVGbjC5xTgpVLHc6JoFhq14uv3cQl8gYtY5BlQTyWI79sVauN&#10;aEGuhbmQiBwdx9FIwfrjP6mr/hm38vwhYjem9ogxBYA8157qN2brxPNYyZVo2C89gwwf51bZmtCj&#10;FqWLQ2zRn7Vbny1bH31HAPPtit3RbeXSdKma+tf9JvZQINgAxgE8+lZtpaRGeO+nl2LE2Ziefu/e&#10;H48Y+tdBc3hu0XUblBEzptt4c/6tSQBn35rOFNRbZpObkkjK8R6HFq1otxcRr59q4cvjl0H3lPti&#10;uRv9UjuVkiYAR42hR0/CvWdLjttR8PRzyTgpPHkgLknI59q8jGjT3utS6TZ2rTzhyihRg47H2HvW&#10;ietkYyTDwgIkmvIYwfPQNnZ994z1x7ivRLeeA+XLCxCGIKpIwSB0Jql4X+EF7b6rFqepakiRoQRH&#10;aMS5boQSRjHWtnXNMSPV7iCBzFJGxdUPdG5BHt2/CubEQt7yO3CVN4s47Vs2epi6Rv3gGRgZye1c&#10;fqd3LdmaaQrvdgDtGOldR4hmu7EGKZo33r1AyQKv6L4KlutNjYiB5ZFy8NyCrIevGPb6UUYvcMRP&#10;oeYMWByaQn6V2mvaDbablJbd0lJwOCqn6Z6/WudTSww8x22x5wD6/Suj2qOPlYzQ1ZtUjbadqhmJ&#10;7cKSKs3FmFt4nA3K/UDtVuNPlEFpE5YAklV7YqSXSnii3yIwJYscj34qJz925UVZkmkrHa3LbocM&#10;eMZ6irGrQW5lSaFP4gQCckVBJaai1l/aKoWtkcxjA5XABz9DkjPtUMmqCWHy5I2PqQKxcZXudcJx&#10;cS1o0hm8X2UcUaQ75lTCNmvZl0+6t9/yCRV+7tPLfhXj3gtIbrxpauWEaRHzPnPoDj9a9yQM0KmC&#10;6DKBjIAOeK66SfKcdZpyI4yEO2RJEYDJyhx+fSpi1uSC6rkdC6Yx+YrO1q+ksdGmmnKlVKksp5xk&#10;dsVhWfxF026Xes6AekjBf51po3ZmVn0Ox/0e4UqWjkXuMg1Sk0dBIJbaQIwOQrjctQ2nifSruFne&#10;WLjrkg1j+JtWhfTVGjKWunlVV+zqCe5JOB0wP1qZ4elUackNSktjpZdNtjz5QQ+sfyn9KhSyMfEd&#10;1Mo64JDfzqhpmoXxS3hu0fcYyzsy9DxwTWqJVOPmGauUUhJjfJutpCzxkn+/F/gRStbyfLjBAAHH&#10;0qxEd3FWPLHrg1DinoO5lx2qQgkR7cnnA61YAUDAx+FTq6S7tjZ2sVOPUUEK3BANJU0th8ze5q3T&#10;BYHLEAY6mvPdQnRXZfNU5J6Gs7XfidYXPmWENyxZmMZCwkc5x1Nc/qCveGLYqsR1z0rhtzVU3omb&#10;2tBs7M6RbXdrFJLEro6DueTmsu0tFh1a8sI4iIpgJGfOdhA6nP8AWug0CGWfRLSKNAzqmGC9jVv/&#10;AIRCJr1r+/l/dLGd0KZGeO5rsas7oiLWnNseVv4Gk1HVpfJuMwuclh8xH1rn9c8JSaRcbJ5oyc/K&#10;AecV7x4f0S0trWaeOYyi5+dJMY+UjgY9vWuA8Y2S2zyLctHJK7ZDYJwPeuWVSSlqdkadN3UdbHnd&#10;poMUR86Qtx09Ku6NJ9i162mcF0SQZROSR7VKLWaS0cRsWVeSAPWoI7dvL84YUoeQOopqet2KVOys&#10;js9X8USea0drZurAYxPhSjfQda5OeRz5tzcB5Lhhkkpu/KtLSvFb3Y8jVlF0kb7VaXng/wD1u9b9&#10;3pWm3kBudJudsgGTDIflP0Pb8a7OWMjz3HW557bC5kWSXfGqRrudiAMDIH9a6HSG3sVySzDgrzn8&#10;M1SkvVjstTaS3iZxA0bRsMYJIGfqCc1NpMIBUjAePoHPBxXNVgomsXcore6xbXheDUbiGQNjKSFT&#10;/Ou90f4pS2kaQarbmdVGPPjPz/Ug9ayfCmiQ+IdXvzeBvKVSSU4IYnj+Rpus+CrfS71c6h5sPUxl&#10;drY9z0r0sLGk4NzMJTfNyo9DfxPo2r6HNcC8ItnBjbjDZ7jB+teDa1ZrNqE0th5rWkjEAyH5jg81&#10;salqccSpbRMEjwdgQYA7VmTXiRW+m+WejSAk8f3TWU1G+hdx/hvUPsPmWUpAy25CemDWzrTx3KRp&#10;F8rYyShrkddvrNr1BY5Ij6yDp9B7VLY6wjoRISHUcZ71xzp2ldHTCpePKzP1iGO2u0WMnOMkk96u&#10;2finU7OEwGYy25GDG5OD+VZF3P8AaLp5Dz6VDuJ4OK0S7mLZ3Hhi/wBNudXQqgtbxhsiaQ5Qsffs&#10;fwrvo9I1ONMYR2PJw/WvCldkYMpIZTkEete3aDq2paro9rd29pc3DMmGZImIyODzjHX3rmrU3e6O&#10;mhKNrSObuPh5r/iXxMTLGltaDAadnBwPYA8mu5t/CekeG7cR6dbFriMEmQW/nTOf97otPTxBeaOg&#10;uL3Trzyc7T5cWfmrLuvEl/dXFxJcaJeQ2YjLJJcBkUt2HBH86n941tojReyi73POfGIe68y7aa5Y&#10;rIEZJyNw688e9eleD9SW/wDA9gxbLRJ5Tf8AAeKwNJ8HxeNNHn3XosBFcZZY4/MHQ+pB71p2fhnU&#10;PBo+zWn2nVtOmBkkkjt9pgYY6jcc59vStJx54aGUJqNT1IPEhKafN5ZwQpYV57oEQudYSDfsilBR&#10;z329SP0xXXeJL2W5X7LHbTpvHDSRFcjvjOK5BLf+ySs8E5F0mSrg/dNVQhLl1FWmr2R1lnZy6N4r&#10;m0S2Ima6jVYGQ5OOoDY6e/0Fbs2mWHh9o7u4g/0+J8vNDjYw9MEDP1FS/A7SYpYtV8QXKmS5EnkI&#10;78kcZb8eRVzxrCuo3zTMcybdsSA/Kqjv+NZ1VZ3ua0Ztx5baIyNUW3vyJIkQhwGDg5/Wub3fY7zk&#10;g5YcnrU0Mn9neZE5YoTkccA+1Zt1rFhCHbzleTnKqMk+1TCLKqTR3egeLIz4gvdE1CUeZHIRE7cb&#10;gRnH1BqG71m80Px5YytPdSaZtaQwoCQcKc4HfjGK8i/tBpXZpSS7cFx94855PfpXsmg61pHjIQDz&#10;Eh1Cy5SKZsM6hcEg8Z4zkVuouMuZHMpc8bM7W71y51HTRLZ2qlXUNtLc4NeWWMk9lezR3UMkMjTu&#10;4DrjIPpXe20tzpN4tssRuYZGwpj5ZT1IIP8AnpXRtp1pdx/6XZjPUCWP/GslOonrqjWVKDWmjOEt&#10;75i8d0ytsR0SU9h0AzWrr3iK1tLNVSfMgBYHHAz056d6n1P7Jbaa1jb2wKykr5SDJPcn1zXGLPYR&#10;M8UkH2ticBZFJRD0wM/nk1qq2mxDoNPc9Fg1nTP+EZsbqabar2yMiEZYfKOo9a8ctbnR5vEGrzX9&#10;y8Ons5kjMaAOWJ5XbXf6H4dXxFptwsd0trDakIqRwjGMZ45FVfhv8O7G9t217WbcTiSRjbQSD5do&#10;P3mHfJ6A1pFylq9DKSjF6anLab4Jl8U3JudHjuksVP8Ax83mI0PsMDJ/AV6j4f8Ah9pugwSSIGuN&#10;TSL/AFxYgZP90dumM10VxfwWkn2IbVg2hSV48sHgcelN8PXT3CXEU/M1uwic+uCcVTelifM5XVbh&#10;Y5RIv3WG4A1wfim4tbmEO0mXB/1Z711XxGsbrTdRivLYM9nOd0ka87H7/QH+ea8w1BzdbmUYZjgA&#10;dq4vZuMju9rzRNjSfCNvqeir9ou5LJ55CyEx7g6jgZyR6mtC88C6mmnGDTrq2uyzFmIPltj2B/xr&#10;oLKNYvDNql+DH5obyZMZ2kDn8M1U/tFo1BU4dBnI711WTSTOG7vc6HSRdWfhqzs5Ub7RFCEdScnI&#10;96831XS/EFr4huNR/s6Zo3IwUG/gADt9K9E0bU2nt5eR5xxsLnjJ7GtgJq2Nz21sy+quf8KxUJxk&#10;2jZyjKKTPNtL36gqwOjIzuWcOCNvHOcjpxTJ7651q9vHs0JtrSNhEBwGbkL/ADz+FeokXJQYtLd2&#10;PUGTb/MVn6lo8/l7rez2NJjcFTI/MAj860blbYUYRb3OL+GVzqDX3/CL3UEimMNKzk5Ea+nH1/Wv&#10;YNP0bTtLmd7S2RJ5h+8lx8zY9TWN4O0YWl/repvGqvd3W1QB91EAGP8AvrdXSzsEZcEBz0z3xWii&#10;k/MzlJvQzNKlki1C6tJehcsoqh4v0UazaRtAu28iV2hlU4YEDhfoTxV4MJdThuox99QCPxxTJbh3&#10;e4iQ/vI3LJ7+39KrlvoxJ2d0eOacJ77xLbwX0JecTeUYnHR+gyPY/wAq7RSVliaLhgyrz3I4JNRa&#10;nDDa+MY9bjVQHhaUKv8Az0ClRn0PK/jVZZ5Jct0IxgDtWcFy6GlV81mdRLYm7jms7uOKW3Kk7HGQ&#10;1eS+L9ETSr8T2u77LN0BOdh/u/T0r07UtWksZLYkKd8AckjqelVdPtbXWJYLXVLZZorg5KngDAOO&#10;nvVTSehkvdPGUkligmngbaygKPc5FdX4U03U9U0o6jfzEWbErHH08zHUnnp9K6LxJ4T06Sb7Pptt&#10;DZRQyKZWDMSVHJxkkZq5b3Uk8a29rshghUIkaqCAo6DmlGCe4XvsUtPvf9L+xPGqqfuJjA+g9qxP&#10;E+k6M2pLb6dJ5Fy3+tx/q1PYex+nSul1KCOa2aRv3U8PzhlGCMdSPpWbZ6XasqyrGvmOSCg5GcZy&#10;PYjmtXC+jBNrY5Pw9Zy2U19e5AubZCiK3HzZ5P5V6Hp2tTyW0UscrBiuH7/X8RXOSNHd3kcTLthB&#10;zgdTXU2NtDFIIEUeWw2sR64xTgraIU9dR3iO4l1TQfs8SEyNKFb0xzz+eK8nvPhl4g020ad7SWZh&#10;0+zHeMd845r0yG6mZbhWIBgKoeOrbsE5+gH51Hqet3s+oReGZvNRLzZ++jOCUJyRn6Ainyq9ybtH&#10;PaX4J0o6ZHJcQag1wUXzFgy2DgEj261tXnh6Hw+YIrF5EGN+d2TkHjmunn0CGS18kT3EI80SFkPX&#10;GOMfh+tJqOkRybFtfM8tVIG9txyWJPJOe9Fhpi6RqB1C3PmqFlTAY9m96vsAvWsuw0+9sdLv5Le2&#10;W6ucgxxBthfHbJ6VYvJTbi1iu1ZJLjhY+fvYyRkUWFYkudUktB/o32WSbptmm2Ae/Q1BBP5lxJcX&#10;epLI7AARBwEQewH8zXIajqAW6OIWA64Z8kDpVLT1u767ka1i+Xqz5wF/GocrFqGh3zahbQ7t0gCg&#10;9VYMD+XNVz4j05CpF1IpzgYic/nxXmXi+VVlgiluGDrkhkG4H9a52wvrp9St4hebkMg+XGM/pUuo&#10;r2Nfq75eY7Tw1c+BtNVru8tNTv71fmaSWNAqk/3V3fqa6weMNAvb23sdPt9TS5nYKibBjJ/4FXii&#10;E/boyWLEuMk17D8M/D5n1qXWZkzHboUhJ7uep/AfzrNQUpe9sSn7p6lZWos7VYgSzAfMx6k1na5f&#10;xnRrxUbBNu7A59ByK07t2S1kKEB9p2/XtXmmqaysrMqcxySujKewdfmH55raEVuyNzrrLUba38Kp&#10;dsBsgjUMV7Lx+lcl4usFnl+0MobcAR9KoW1zfSRtYWt4Ut7g+X5TKCAcfLyRnGcVmz63rMVibW60&#10;ya4t7UY8yNCWiHocdRWWIw/PHnjudVCsoTtLZmLcwXKxv5LOFJ5CHH+FY8h+yJLC7DzHXPXoM10r&#10;Pc3ukHULdI7e0PCzXBCb/Xap5audh0O4u7+W8Z3mJXIBHQAZrKlSl9o0r1Y7RKNlG6uXx8pbI963&#10;LNnQg7iB6etWBpMiWyOyEKCV6egpHhaEZZdv+FdKRwso6/EBDNOnAmiVXx/eDrz+VXbaMpcOMkbX&#10;PTiq2rhpdFbYM7JELY9M/wD6qr2upvJfNFGoLPMVQZ7luKyqrYcFc9W+G+jldAlvnYq1xKzAkfwj&#10;gf1rzvxn4hNzf3CR8puI/CvXry9h8PeB51Rdv2e0Kqc/xYxn86+Zr29eZ3Ynkmt4yajYhxXNcimu&#10;WKlSxOx9y59D1/pRe3BeK2QcbCzfmf8A61USdzfWnO2989hwKhsoJMFsio+/FPzTTxSASphATDvy&#10;PYVEKOaBqwh61758C5nfRp1NtIypM6icS5UZCnaVz+orwI9a9O+GPj+08J6bfWl2s7ebMsieUgbt&#10;g5yR6ChCPatUFh9vuP7QmSNSo8vccZP9a5nWJ21DQpbO2KuqIWXAO7I5HPpwfzqi/wAY9DZ9zW12&#10;W/vG3XP/AKFSH4yaIQQbW8IPb7On/wAVTcU1a4utxvw0jax0u9FyuzzZyRvHtXXWv2RJftMliJJY&#10;SWWY5G0VyUfxi0GH/VWF4v8Au28Y/wDZqi1D4xade6bdWkNvfK80TxqzxoACQRk/NSjBLZjbb1PO&#10;PF3iC61TX7m+jdokZiI0U8KvYVzUty82N2Wc4BHr9KnuZC0jDqK6r4V+F38QeM4biWPNjYETykjI&#10;LD7q/iefoDVMEj13wpob+Dvh7HbSH/TLjM84P8LsBx+AAH1zXFzarYtqohvrnZJJlsd8DoPbPSuy&#10;8Z6uXn+xRNjH3iK8A8Ragz+J7iVG4jYIPw6/rmuO3tJs6k/ZwXmdF4k1ZJjLLEm2MDEa15+SSST1&#10;Nal5qYubfAyGbjFZlbwjZGNSXMxKsWl3PY3UVzbStFNEwdHU4Kkd6g7Gl7mrMz6g8F+LE8W+HYrx&#10;YwL2L93dLGg+V/X6Hr+naumhacd3HsQK+WPCviq98LXc0tt8yzJsdCxAODkHj8fzrrG+KOsNyII8&#10;f9dX/wAaegHulzo+nXkoluLCJpM53AlTn8KnGk6a/wB7T7Zj6ugY/rXz83xM1k9Ioh/wN/8AGoW+&#10;I2skY2Q/99P/APFU9Auz6RW1htrSVLaCOIFT8sahQTiq9hHFaaZDYROAYoVjGOMECvni0+IGrPf2&#10;4kWAR+au7l+mRn+KvoaaaFY2AU/MM7u5NGgI5TVL6NpnlClGX5Joz27H8KxZdUvrSU/ZbqSISgGT&#10;YcZYDH8qs+IlZrh5FzuZcHH8QrBFwJInB+8DuFZtso0fPe4Zrje5uE5yWJLL3Fcc2mN/wlMUSp+6&#10;mk81cdl6kVvrPg7lODVyxuIIpmv5FUvBCyxqe7MRj8OD+VS/e3KUrFnWri3lurOONCiwweW47A5J&#10;rlNYukhmVUYsCMEr9a1UMlwS7vyT8xPU1yniu4+zXcMELsAq7jz1J/8A1VTfUhK7Ol0q7lMyvgJH&#10;kZyeAK9JbxjpSDC6hAB7A18+O+uSwqsf2hUPPyfLmqr22tD7z3I+s3/16qMkkS0fQU3jDRm+/qEZ&#10;+kTf4VX/AOEz0OPpqJH+7HJ/hXzvPLdwyGOaaYMOoMhP9aiWWaRynmuT7tT5gsfW2g3cM2jxXUTl&#10;4p3klD4PILk96lv5UuISiPhuzY5BrjPA2obvAGjxlwNqMjZPcOwrZur+xtkL3V9HGuOA7hf51Stc&#10;Ze06/gaMRw/PKilXc8YI9vrWTfTtbXdvdg/I6/N9awLPxJp9pqdxLFOZUkjKgL0Jz1zVubVFu4Nr&#10;xsgA+U9QKLpjsGrtG0j7VycZGOwPJP6CqSWCXEMcLlgkgJkZTggexqaCGaeRw23bsxuzkY+v41sJ&#10;pUcNtvnmCoq/Mc4AFTa4uaxh63bpD4e00RyO5hHVmydmfWki1NbY2WwEmE793cn0FUPEXifTIbZr&#10;OAMyNhWlIOAM9vyrKi1jTZFTbdrx/ebH86TaTG7vVk1/4807UbqWOBJkmmO0+YVxn6A0/Q7xl1AA&#10;uQH4PNeX6mY7bxLO8JSWJZ/MGxuCCc4yK7XSrlhqMKnh9+CKaeojtdWubWBlWW4jjlIyoc4zWZp1&#10;wJbmK3hGRC5dmB4VADjn1ySKqeLb+5Mi2jQWxiI+QuCzH9K5CzvLmwmkSOSSFiMHgr/OnKryuzNF&#10;TujqbhDBcA99x/Kt6wnaSzfkghiT+NcJFrU8nyzyI59WHP6UqeKbmwvwDLHNBImGQ9V9waUakbku&#10;DR20lwJby2O/EiyCJ8/mDW5qkQZTcGdYTGg2zMQCp9cmvL01e18/zjNKW3Bx0AyORRqnij7eAszG&#10;QL90HoDS9uuw/ZPqdlb+ItZg5ju4rmPtvUEH8Rz+taMPjUb9l7px3YyWhYE49cH/ABrz/wAPamsk&#10;rWgIAbLID6963Ng+1ZaH5wuBJx0z0q4zbVyJKzsdxb+JNGueBeeS/wDdmBXH4nj9aufaHdN1vcrK&#10;nqr5H9a8+dFYYZQfqK55i6eI5o4ZZIUWEMfLYr82etVzCsbV1vuNTlibO1pvLGMDA3UX1jHpGnTX&#10;Ed/cJCvDDZ83XGOoB/KsZXntLgzJPJIxO7Luc59afqPiFtRsmsb1RtYg7gvPH0rnnHmNqVVwfkcv&#10;q1/Hezp5ZcxoMAyYBP5U/QrVZr8XAJWOAhjkZJPYCny6VDKSba5T/db/AOtUmm6Xe21wWQo69SFb&#10;mojFo6KtaMo+6zMhBe+hUDJMgAH419T+F9OfS/D1payY8wLubjoTzivn7wBoUmueMrNNm6GBxNKe&#10;wUf4nFfTBO1SfQV0tWivM476HNeMtV+wabtR9spPFeSR3hn1Iq4Ch5A5x6810Xi3WTqErQOp3I3B&#10;NcXFFdXfiC2trWNppTztQc496TdtCorQ6DTrnyr+J/RxxXdaZP8AYtc1iVjmK3jd9oHUdcVxENta&#10;WFrNe6leRxtCw2QROru5/A8Cuu0FxfaBrWqEAm4VtozngDNVCSasEotK7ONvbZdT8QhWwxZ9iqOi&#10;44wB2rrfC1tYym/hTy3lMrQqo6hehP8AOuc08QjxVZPGF2yXO5sdyT1ra8IGH+0rqGcHCys2AxXD&#10;An0qluKxZ0axttSvZ7JyrLbPIzBef4ulZXirRpImMrBYox29B7//AFq6jw7ALbxffJECYXg3Kc8D&#10;5gQP1q74q05J7N5HUlF+YrkAE+p9cdhRfWzIZ4hqW9NLuXRvkVQTgdQCM1gaHfRWPia3vLhHkhil&#10;8wqvU9xXVTvbSCeAyDbICuGYdTXK6Xpdxqes/Y7UK0pBwGOOBUpKUlcE7XO48ZePbTV/DcllaxXC&#10;PI67jIABgc44P0ryd2+Y12mteB9et0i8q1N0zZBS3+Ypjt71xdxBNbyvFPE8ciHDKwwQauulGVo7&#10;EwkpK5ATzmlB4ppoB4rAsdmkpCc0o9hQAveg8GgKT2oK47igB8VtLO37tC1WZbeewiWRioLnGBzU&#10;umNtBxVzV4Xa0hIHJfGPwqOb3rF8vu3Mn7XLjJYZ+lKl5MT94flSiwnP/LJj3OKV7VwBthZT/Or0&#10;IH/aphzu/SpoLmWSQKDknoPWqcocEKylT3ojYo4deoPFVoI6Cx0a58Qa1DpunR7pZWwOOB6k+gA5&#10;r6F0zS7DwH4YWwtSGkA3SykYMjnqx/oOwrA+GnhObw5b3Gs6hGi3FzEohXOSiHk59M/L+VHiPUXu&#10;7lo88ZrnrVLaI6KVPmd2YV5ctPPPdynPBavEZ5TNcSSt1dix/E16/r862Xh68kJwxiKj6kYrxylQ&#10;WlwrvWw5n3Kq7VG3uByfrSUrSbkRdqjbnkDk/Wm1uYATinxjI7dc81GakjTcjEdVOcUAOZeQARTv&#10;MIXaOcV6P4E+FFx4s05NUu7wWlk7ERhU3PIAcEjsBnj8K7yP4E+Hoss97fSHH8TLj8gBTaA+eBIw&#10;fNWVucAcZr07XPglqFo8sul3Ud7D1WNj5cg/Pg/mK841PQ9T0d9l/Zz27EkASIR/+uhpoVyB7okd&#10;AK+jtC1d9UsbGX55ZZ7dJAq9AMDOfTnNfNBVsdD+Ve2+Bdei0P4dtqM5DywxssS45PzkKPzNS0Uj&#10;pdejvCrqUTaOcLyVI968/ivPLlAJ46VrQXeuaqBeT3aI7/MIlXgfWsvV9KvmYTw2ZyfviPkE+orF&#10;VYt2NHSktScy7DjPFEYe5hnC9Uwf51TVLo2v723lR0/vIRxWlomk3d+GmZjBAxADtxuPoKrmS1JU&#10;ZPRIrwXD7MHPXrWDr6RHUoLiQs3mphV9wTXVa3pI0xohHcuWkfDRsuNp96xtT0LUNTe1+xQPLLAz&#10;7lVSev06d6qLUloKUXB2ZzR1eWGfDuCT0JqC61lmbKvTLzTpZZN5YZzn6e1Z8llIrctn8KdkSWvK&#10;l1i9hSF1M8uI1Q8Z59a3h8NvECuAi2pk/uicc/ieKoeF/wDQ9atZPKV5RICjN/DivWNRl+23XyoA&#10;xHXFDdug0r9Tz3SdS1fT47jQ7t2hNmxAjVuhYknJHXrVO5uGMxLdT3pmqTmDxhqeePug/kKTzorh&#10;MEgGsZ35rs6IW5bHbaBpSPDDI5JiIBxmu4aZCgRFB4xXl2i6ytlALeTd5YPBHOK6M6tcrGGt0Z1P&#10;IbGQa1jLQxcWjqIAbacTIMFecDvT9Wf7fDHGkhMchyQP5Vy0fiO6RCl1ZGWM91bBFKnir7Kuy1hn&#10;UNztZc4NVzEWe4zxHoKrpbxQoTNIuT3IFed28chumtwhLIxVvbFd22v6jcXJeVlCt97dgcelc1bp&#10;i4uZ5Aqs8jNyQM5NZ1NtDSm9dTndXsShnuAyLg4K55b6Vs6XqDXFvbXSYLoQH9QR/nNVL3TNTvnl&#10;a2hLxY5CsD+PWq+k6ff2Jl3BE3DABYEZq43sRLc7jUfHEE1w1laQjaq7XnY8577f8a5K+s45n3+d&#10;IxJ+8XNSf2XLKzTTx7MAndEjH+lRnTrp0KxyKVIBU4OcH1HalUUpO5pCUUrMqm0t1wguJN3Qc1bt&#10;rLU7wLa2mm2U7gY3dGz65yKvad4O1GW/tzOJFiLrubZ0Gfc11MUVp4b1H93FJcTMwRXDfK3b+tJN&#10;R0ZEpX2PNZJpYCySou5TtIHrUcAkv7lYY9qse56Cu3/4Qi+u71/LtN7u7FQZFyec+9XLb4aazbz+&#10;cltErHs0/wD9anyg5mHo2iCyuluJLku4BAVVwBn3rr7WN/vBw3+91qSHwNrqjP8AoaH3dj/Krv8A&#10;wiutW4jzqNoC5xhIGbbx3JNappGd7lSTk/PF+I5rmFjEviLUSpHyoijP0rrxoV4zFJNdgDZx8sSj&#10;B/GkPgRt8kv9os7yYLkRopb9KGwORkjdW+YcVRnS3knCtEfM25D4ruJPCSxD97PekeoYD+QqEeG9&#10;PU5bz3P+3KTU2Hc4aWwRuQfzFV9lzauPLkOCfXNd9PoWn7MANH7h/wDGse88PDcrQ3sRCnOH47H0&#10;osPc7v4O6YsXh6bUTbiJ7h9it3dV7/n/ACrstdfU0tGGmwtLKRj+HH8wab4RjSDwlpSJjH2ZDwO5&#10;GTWzTqX5mhp2Z4k3h/XrrWI4r2xmh898edsLIPqR0roo9Kj0C3mga2vpV3fvHhtQpm9FLZJKk8Y9&#10;69MrmfEF3dxRTqlxDGoGV8xCD+BzzWcm1E2pO8tEcHq3iXxBGhi/4RzyLEkYQRKWVR24HFcxHr17&#10;a6hNNZA2kcv3oF+5jGCMVqXcWtMpKWcMqDrJKOW/IiqN3bPJLDNdm1gDLjZBzj6jmsld7HRJJLUd&#10;b6/HDcwzDTohJGwYMjsOR+JrW/tHT8zavHNLbs8p8yHhyGPJx04qKHwlNc2SXdq4nhfoUHf0rO1S&#10;NrPTBpzWsQkWQu82PnPt9KtOcU7mUlFtWOm03xRp1tq0V6NRcAKUdDAclfrmtm98eeHJUIe1a4JG&#10;MuoYj868dZwhOcj61E97GveodSch8kOxuavqNtPJM1uuyNnG0EY4zWF4e1BNM8TWl3K22PeUdvQH&#10;is69vS0eEOSWGPzpumMk+oQi6hYwhwX2gnI/CtKScUYVWmz36KVfL3B1ww+Z1P3V64B9T/8AXrz7&#10;xWlnFr1y6eXLJKFaQbR8jY+7+WKuy6rforLZWswAGEzAxA+lcaum6zHPM89rdSmR95cxNkk9TW1a&#10;bnEzoxjCWhlamqBHxEq8dhXNjpXoT+Hbq/iIe2uY2x/zxauau/CWtWs2xdOuZUPR0hYj+VY03oaV&#10;FqYy89x+VOwO7133hX4Ta34jt2uHlisIlfYVuFYSdOoXHTn1rvLH4C6ZHg3+r3c57iGNYx+u6tbG&#10;Z4L8g9TTcZPSvp6y+D/g20wW0+S4Yd55mP6AgVu2/g3w1aLtt9A09SvdrdST+J5o0A+WdGgMshz0&#10;Brob6CF7dEcOCpyoQZJNfSMeiaXD/q9Ks0JPOyBB/Sp49Ms0YkWltz38pQf5VDgua5al7tj5Wjgu&#10;C58m3lORgkig6ddkjMRGOlfT1/4Y0nUG3zWkayYxvQbT+lczfeGLPT3LPQEvK9DUqxiJ4cPx/Lim&#10;7JXYoQlN8sdzwaTSbiVRviY49qamht/z7v8ArXuH9l6Yf+WBH1cf4Vq2PhLTry0Ey70OSMLtP8xS&#10;jOL2ZpUw9SmryRW8MeI01PwxDFc/Jd20YikU/wAWBgMPqBXLXjiSeVnyvJwwPSu5/wCENhCbre6l&#10;gkHrGhB+oAFZ2oeAReA+bqjID1KRAfzNYui3K6NIVoxjZ7nifjnVhL5WnxSFgPmk/oK4vFfTNj8J&#10;vDewm6ja5nB5kOOfqK1k+GvheNNq6bD9fLXP8q3jFJWOecnJ3PlCjBJ4FfWi+FvC+lxCObTrUhiS&#10;pliUn+VILTwpCfks7VT/ALEQH9KvQSjN6pHyZsbspNdNp2iX0ulQyx22Vkydxx619GmDwsCWFrb5&#10;PUmHP9Kcv/COr9y3h/CL/wCtR7vcr2VTsc58ILu4t9Hm0S7UKbdjJBz/AAk/MPwPP416NN5hXCAf&#10;nXPwWmhnVoNQtoBFdoNgdFxkHsa6RWDKCpBB6Ed6HvcmUXHdFBlfupqPyopl2Sxo6/3XUEfrWhKh&#10;xlTVRmYdhVp3MmrEP/CP6JMMPpFgfrbp/hUcvhPQZrVrY6TarC/3kRNgP5Yq3HNg88VdRgwyKiSa&#10;KTMNfB+kRgCGB48dNsh/rUFzob2w3QKJlH8J4auloIzWUqcZbo2jVnHZnCLcabLMYZlWKZDyrdc1&#10;malqKq0slmrzfZl+eLyyVcen1r0We0glB8yJGB65Gc1myaHb5JhVY/8Ad4qY4aHVmv1p9jymbw9r&#10;viXUI5JIXjgyfKMxI2L1we9dRceHvEUtk9tDPbRQsMmOOYruOO52V1I0eZeUnP0I/wAKZcpcWFs8&#10;8svyIMnB5rojThFWRhOcqjPMR4D1AjY9pFGw/vXH/wBag/DW6kHzG2H1dj/Su1m8VQgYaOV/qo/x&#10;qofFUQ6QSH6sBUOUF1K+r1uxzln8OTYXUd2XtyYzn5d+f1OK2U0545GfOcMcn8alk8WblI+yDB9X&#10;/wDrUyw1c3t4tuIFRZCckMSalzi3Yr6vUim2jGvPDGg3es3LHUEFw7YdBbg8+mce1XYfhzYOQI5p&#10;S2M4WNVP8q6e+0LT9RU74TE56SxcH8R3rMHhDVIpUbTdSQoowRNIwP5AHFbcqOe5FB8N4GYLvuVB&#10;/iLAf0pJ/BVraHZK12B2zKcGuw0Wy1i0timoX0VwR93CnIHue9aRkUqVkGQeoIyKVl0C7PNT4W0w&#10;HJidvrIat2/hLw/NgNHtf0fOPzzXX3Oj20hLwyeUfTqv/wBasmfT54BuKB067k5FNJCK48E6OuP3&#10;Cf8AfNZEsfhay/4+4J7U7tpEtow/UKRj3rYhvJbY/u3+Xup5FXP7YidMOhVz+K1S5RFLSBYQfvrG&#10;OyvbZzuRotqyKPoev6VoXuleHvEUJtLmBBITu8tsxyA+o6H8RWLL4l8uUhNPjcK2FYHGf0qGXXob&#10;mUSz6dv+XbtaXcv1xjGfepc4N7m/sKnYqanqB8Hy/Yhff2hadDaXyh2C+gcc4+oNVdRtvBOq6SNQ&#10;huDYSyjDRw8sp9Cvp+VJeW+g3sjSSaHEsjclhg5NV1sNJjGE0yFR/wBc1qXNdA9jPsct5h0qYtZ6&#10;mtxa4OY3YqT6fLyP1pW8U/a9St4nhVB5yj5ee4rpdQ0u3vdHkito47d5QNrrGOOa4mHwrqcWsQzN&#10;cQuiTBz1HQ5rKcOZpkPS6PUJYIp12SqHXOeuMH1rPudS1/S3UaVdTXC5/wBRdgSJj2Y/MPzqyjzs&#10;M5T8K5w+N4rS7lhuLGQhZGTckg7HGcY/rWjSYk2jsrLxTqYH/Ez0UqMfetJQx/75P+Na9tr+l3bB&#10;EvEjlPSO4Bib/wAe6/hXEWvjXQJziSSeEn/nonH/AI7mtRL/AELUU2rd2kwP8LuAT+B5qeUd+6J9&#10;V8S+EJ0aHUJrWcA8q0e7n8qo/wDCxfDNnEIbdWlRBhQTgAD3zmrC+HNG4ddOtcdciIHNTf2TpqKQ&#10;LG1AIwf3S8/pRysV0YV58R0lg8zTdMmcjO9gS6KPyFULTxxd6hcJE+iNK0jBV2oU5Pua6uOysLYY&#10;jt7WMf7KKKQtYo4cmBWByDx1o5fML+Rz2p6drOpzRrBpzQhesRlG7P44rkr0XlheS213byQyqCQr&#10;jGa9KvddWf5JJFYdN6uuRXMaxYaTcXQlbWVWUgAbxnpSaZtCrpbY9R8P6JrGlaPaabc3ds8cGQXi&#10;3bmHUDkVvQW0kRyZc+2K4nTL3Urq9ihe6m2N95g/3RUGueInt9Wewtr1w0Y/56HLUNR+Jm/sJ35L&#10;noLpMfuSIp90z/Ws++0y4v4ik0lsT/C3lfzBJ/nXnMniO6hUvNfzIg6kyGrdtq91JIrG6lI68uaX&#10;NF6FLCzi7pm3N4Bgu8rd+WYeu2LIyfoaiTQ/D2nN5DabK5HBLKj/ANK7W0k820ifOdyA/pUhVAcl&#10;V/EVpFKOljlnUk9JHIx6Xo7kfZdPaPjottHz+YqS58NPdwhIhHGvYSxKcfgK6oMg6EUodW6EGhtP&#10;oQnbY8r1X4bXMhU+bBIzNgLHCVx7nmnWPwitGIa8kkz6Lgf0r1Ex5kV89ARinVNkugm292cVbfC7&#10;w5ABuiuHI9Z2H8q0YfAvh+MfJayY953P9a0r+/8A3v2K2w9yw59Ix6n+gq1Z2v2aEKZHdscljmqt&#10;oBmL4Q0NT/x4hv8Aedj/AFp//CKaHuz/AGdDn8f8a2aKQGK3hzSI2LfYLYRgd05z+dWLdbKNBHb2&#10;0Sr/AHUjAFW7vJtZMdcVzcF1OtykfmYDMB0x3qZNpoaOile3sojJtSMH0GMmsk+KrZOGglB+orQv&#10;4BOoct8sSswUdyRj/GvMdQvCBJKxxtBP5UTlynXhaMaibl0O8Pi60H/LCX8xTP8AhMLU9LaU/iK8&#10;l0nU7q7uLnz5CcYAULgD1rYWZgMZrN1GjpjhaUldHoX/AAltsx4tnz67hViy8RRX1ysCxMrMDySK&#10;8hOr3b3/ANnhjGd5HzdlHGfxNdDYag1jObrr5ak9vT3pqbbSM5Yelytx6HqQLl8gjB7GpHjSWMpI&#10;oZWGCD0NeUTfFiGOUwrKrOvBIjLAfiAKpS/FXUEch4HUDvsOK6ORvY4LJa3PQb/w2d5e0YYJ5Ru3&#10;41radbGz01UxtIBOMVxfhvxRH4hudtzcXaNtx5al0XHrn1/Gu8hhijttkRJTHUsW/U1n7NRehpUr&#10;znFRk7pEEUzPMqliRycVYUAkg9KoS2E8jDyroRf7qY/rUtnZXVvOXluzMhUjafWmtFqYFV7q3tGl&#10;cbs55+Yn+fSsxvGdkTtS6Oeg/dj/ABqDXZ0haRJHAySCAecVzdroukS3EflC6MmRtVJXOT9M0oaD&#10;NzVtV/tGJTuDbD1Ax1//AFVzBu75ruOIW8caOC2XkycAjsBx19a72w8KQgBrkuQefK3Z/M0/UPB1&#10;jcOJ7YGCdUKL8xKkHHb8BScbs7qeIhGKieb6zq8lhC4jRt4CsrnG0/N09f8A9dW9Qu7qHTTPC6o4&#10;XJ784OAM8dcVLq/h3ybnF/A2eisD8p9x69O9ECpGiqW37TwXxxU2OhSbu09C1os81/o58yUtJOgG&#10;Cm3aSv8Ak/jXb+GILmy0pLK7dWeHhSpz8vauNgdLa3iWPpHgKuewrZTxUsc8cr2kqpnD45wD3reO&#10;sbHHieh2hqndQnG5atKwZQQcgjINKy7lwalOzORoxC7DjP51Yt7ll4Jpl3CY2LAcVUD4NakbM3Ul&#10;DDrUmeKyopeBzVtZjjAqHApMnd+DWe0xjkHoDj8KsMGbqeKhmgYoSqnI5qkkhMbdReYjDeU3Dhs9&#10;D2rh/Eupva2At5gVleUA+4HJ/pXcArJalWJJxivOvGtpPd+TIYtzwsY2GDzn7rcfT+VTP4TbDyUa&#10;icuhzusXcsM9p5ZwrMe55OOAR6c96rTT3C2UWxSD5hDcnK4J9P8APSt1bK7kjUiFwcdwKjbSr49I&#10;hjr1FcnK+x6LqRd3zHNiW4l0PC+YZUbBJyS3c+/etjwxJNHcxmcyKVmOXKY4J6jiu28JaTcNbyxT&#10;CNVMyM4PJKgHgfXofY1oXWmWFpqAtrbTIrqVlMjIzkBBkDnr69hQ7o551tbLUia8scZa8UEegH9B&#10;Vd9V08HC3TN9BSXF5NZOB/wjdnGp4D7PMB/EDFJP4rlsrdQtlZRz88MMA/TB4696p1n/AEjm9mWr&#10;jVZ7OySeMvOsihkUqGbGQM43AnrjvUI1TWLna0enzqmOcQlc/i2RWTP4t1a7dZRpOnylOEkKFyvs&#10;DUmn+Obj7TLYazFDbmQL5LeWQh55B+vrVe0lLZhypGzPFqn2RZ4neY7QzwxlPMT6gD+Vc6+ty7iu&#10;+8DZwQJWBH5dK63R/D1qdNR9xW4DFkubdyHAPv3Hscj2qxLDd27Zu4/tSDpc264kH+8n8X1H5Cpd&#10;Sb62Dljc4lLqQj5bedvqGY/yp++9f7tnOT2/dtXaJIDH5kZWaL++nb6jtUD6vp0Y+e+tl+sgo95/&#10;aFt0Ocl8O391pCzWnyTMvzxv8rqe/Xg1zcdteWekvFLHLHcpuG2VOfwBxXft4q0eHrfxn/dBP8hV&#10;O78ZaBNEUnV7lfTyv6nFK9vM2VRt6nDW73gm2TbARGSo67sY5PNMtbq6E0f2jesYYhiRwcnpWjda&#10;zojxILZLlLg8EMVKk+3OaTcxI/dn9KpO5Sku5ZtBMbZAqoQMgEuQev0qRYJGckrEp9eW/wAKgtje&#10;RxBUjUpkkZI9asLJdjrGv51qtjmn8THCKYHiSMf8AP8AjXlWqNnUrpT1Ez/zNerebP3jX86yru00&#10;6aSRrrR4bgv95lco2fXIqiEeYRg+aMiohuHQkGu7l0rwrv8AmOp6e/qyiaMfl81ZzeDUumP9k67p&#10;t3npG8hik/JqdhmVpd5cwTwNFcSplwCFYjPNdPJcTncplYgnuayj4W1rTZITcWEoVXBLqNy9fUcV&#10;elZWLAMRz1FRIBTIxH3ifxppY+ppjTqOufyqFruMH/64qQLceDIAx4zWn8R/C2k6dZaTdWDkXswx&#10;IPMJ3jbndjt+HqK506hF2ZP++xVG5laW+S7nu3dVACB3LbR6D0FaU2ou7Jdz27w9GLXQ7q7MbMRG&#10;R8yFSx+hrjvs0MI4Rd5OWbHJP1r0O9juBoxsoY1VmPzszADFcjPpEq533Fqn+9OorOabdkj1aUoX&#10;cpM5jUY7ido4oo2MROXIC+vvW7Zr5USeacsTnkdqRre3hHzajYD/ALeV/wAailurMEk6xZJhcLtl&#10;yR+VZqEr7Gntaale56N4du4n0xXkmXchKZZsDFa5vrQdbmEf8DFeW6b4n03TAfM1a3lBOSCrMP5V&#10;uJ8RvDQQGSWMn/Zt2/wrotc86u06jcdmdr9vs8f8fUOP+ugpjapYKMte24HvKtcYfif4ZT7qzN/u&#10;2+P5mo2+K+gr9yzu2/7ZqP60rGR2MniDSIhl9Rth9JAayr7xOl3i10UmWZ+GnKEJEPXkcn0rnX+L&#10;mkj7ml3LfUqKrt8XrQH93ojfjMB/7LRoB3ejacllBkktIx3O7HJY+pNateUv8YH/AOWejL+M/wD9&#10;jULfF6+/g0u2H+9IxobuB65mlrxt/i1q5+7Z2S/gx/rUL/FXXCOFsl+iH/GloB7Q43oR6iuTvdN1&#10;VLoS2tvE205BMn9K88f4oa+f+Xm2T6RL/Wq7/ErX2znU41+kaf4UtGNOx6X/AGrrgBS9s41jIO51&#10;B44+tcReW4uMowYpuyy4+97VhS/EDWnXD6wefRFH9KzpPG87kiTVpCR1wCP5CpnHmOmhiFSTTV7m&#10;9Hpsds4aMupHXGACOwIq1n2NZfhWSTxVrS2qajMqBTIXB5yuCOtd3J4Klc86pcsPfH+FR7Js3+uR&#10;XQ4/7FGdQ+17nEu3bgYxj8q0YLU3he1DyRmVCu5DtI+hrb/4QZQctdzt/wACqza+DIFnQtNOcH/n&#10;qwqlSaZnLFRcWktzDsPh7o/ml7ue+Zz3dw1dZZeFNBh2NiKd0GFadFYj8xUw8JaeD8ySt/vTOf60&#10;8eFtMX/l1U/Uk1sm0cLNWC2sbZTtS3X3AAqWS8so02m4t09jIBWXHoOnx/ds4PxjBq5HYWsa/LbQ&#10;D6RgUANbVLBAT9sgOOyygn8s1bs7yG8h8yFwwNRBFUfKiD6KKy5tMMcpmsX+zzdSv8Df4UnfobUo&#10;wkmpOz/A2WsxIfnIx9Kkhs7e3bdHEit/eA5rHtvEHlS+RqEZhkHBbtW5HKkqB0YMp5BByDSvcVSl&#10;Km/eQ+ikzS0GZFPbxXMZjmjV0PZhmse50WKEbre2SQf3TwR+lbjMEUsxAA5JJ6VwPi34k2mjZttO&#10;Vbq7PfPyr7+9NXA2o4FLY+zQqfcn/CpZLQMPuQj8Ca4zwn4p1rVtRiN2yuruAU2ADB6/lXpoiRhy&#10;gFLmqLs/6+Y3YraZI5gMMmMx8AjjI7f4U3VNc0/R4w17cLGW+6vVm+gHJq2IUjJdV5x2rwG21O61&#10;Dxvdy6wzZldvLDdEx0UfhVRXNqxHqc3jaxnBEdleOv8Ae2qP61Hb6xZXjYjkKOf4JBg//Xrw/WdT&#10;1HVrp8yvHBn5IUJAA9/U1Rt7bUIHElvPNEw6FWIqr2Fa59IRSkYFXYpM4rx/w7451CzCW+sxNPF0&#10;Fwi4YfUd69L0zVLa/hWW2mWRD3B6fWmmS1Y6NGBHSpDytUYZOKtK+aTQIrrH5M3zcoelTtbxOd/l&#10;o2Rg5HUU51DjBpkTeW2xiMdqT1GZ1zocbktbsFP9w9KpparbPtvLbK/3xnj/ABrcnvrO2BNxcRRY&#10;7u4Fc/qHjnSIGEEDi7ZuNyEFR9f/ANVS1cpGtFHBDC8tsqbihCsveuZtbu5u9TeG/V7W7a3EHnxL&#10;/EcHdnp2pBqF8HNxbxhQ3JRVJU/h/WtGw1e3vn2TW/k3K/wuOD7qa5pwdzWLVirdfZdV8RyxsX8q&#10;CJWWTrGHBbO4dDkHH4Vn3Giaes93IsrWnksRKoGUJAz8rEeh6GpJtLn0d2mtQ15E9wJWhbqPmH54&#10;yaTxPrthqnhjdbOFZ5h5iNgMMZyT7cdaybSWpbjroUZJ/DUlrHb3OpyyJGxYDy+5/Cq9/c+FJ0Bj&#10;e4V0HyskQwPwNcZPcGC7VJGUpL9zB6DuTUaXcLSuouBIWfAUZ+X2rNzdrWKULM7nR/F8GkQhIreS&#10;QHhmLnkZPbpXRWHxA06+v4rSaM2pl+VHkcYLdhXjp1uzRcbnY+yGrGm6ov2+OcRF41PIYA/pSUpr&#10;fYpxi/U9u1iKKGwu71R5c8cLMJUOCcAnn1H1rwYTTyZZrhvwAFep6rdKPCss2nXOILhPKaBvmVdw&#10;x8vdSPTp7V5wNIwMebj6L/ia0bM3puVbaMyxlpJJH57uad5ERflAfrzU62IiQj7S4HsFH9Kb9mtR&#10;9+6cn/rrj+VBNy1pMMf9qwAIvDZxj2rsdoP8IrjNN+xQX6PDKDIM8mQtj8zXSLeyHuD+FdVH4TKe&#10;5oYwOOKOfWqP2yT0FL9tfuorW5BadiFPNUWcgnPNPa7DLyBVdpR1xTuAk0CTDoD7GsS90iF87ogD&#10;9K2POHpR5ysMMMj3oGcv9kvrRHS0vrmFGGCiSEKR9KyNRs7xREq3MzHZlsE9cn+ldtNCjZKnFU5I&#10;T/EtJgefSWV1n52kP1JqH7HIDzmu+e2Vv4ahNih6qPxFSM4pbd1PGauJ5uzaD3rp1063ZwrNEufU&#10;gVNLbaVbDb5sRbuQ2aLCbOYfUJH+88zfUmo/tJPOxz+NaXh3TodWsHuJ96sshUBDgYwK6m90DQrD&#10;wvaGK1lutcvpGSCLzGyBnG7aOv8AWm7jOE+0N/zz/M0Gdj/APzrt28HjQtOeXW5rGGd/uo4aRk+m&#10;1gCfwNchcpEkn7pmZSeC0YXP4VPMOxX8+Q/wr+dKJpe22leUIO35Vm3d5vzHG+M9SO1CdwsaYllP&#10;cflUirdP90Of91c19CfD/SrWx8IadGttHvaBJXmCg+YWGc5/T8K6p9kSFsDAptWEfKxtNQIz5Fxj&#10;18s/4VC6Tpw5kU+jDFe7eJ9YgjikV5APbNeLazepcXDmPB/rSAzfOUMEMx3HoN1TeU+MkPj61kTW&#10;15BqFsLqExljlAe4zXXG1dV+aM5+tA0jLks5YtnmRkbxuXJ6imfZzjJUVsak7sLcQx+YRHtOO1Zr&#10;rd3BC7FXHYUAMhszccps645NU5XWKUxupUirzeZYSIjnaxG7pWVdziSfa3OauysT1Ee7Vf4DVAug&#10;dm2ZL889qkkUg7WbOTwT6VMlsjRqWGWx60hnbfBl93jdkwQBaSfzWvoAL718/wDwY48dSnHH2ST/&#10;ANCWvoNWB7CqQNjdgp0agNUm4ego3igVyQmmk0wuKaWoEPzikzTN1NLUAOJqNjmgtUbNQNEVxbwX&#10;Ufl3Cbh2YdR9Ko/Zr7RiZbKTz7bqyn+o7fWrzPUfmuoISRkJ7ik1c6KdeUVyvVdmS2XifTblnilu&#10;EgnjALxyNjH496ztX+IWiaYpVLhZpOwDbV/M/wBK53UvBdpf3j3TXdyJn+824c/kBVeHwDpkZzJu&#10;kb1PFFjKbjze6tDL1rx1NrG6M3oihP8ABCjN/T+dc/bppzylmjuJGPJaQYzXoUfhTSouluD9Sasp&#10;oenx/dtk/KmQZvhy9trEZgRFkPGT6fjXcWt9cSICEBB/u1i2+n2sZ+WBB9BV9EVPujH0poDdilLj&#10;5hg+lcjrnhSz1S6a4hhWCYnJfGcn1xWut1LFz5jkehxTJNRZ0IDKG9SOlOOjuJnm2p+E/wCzpMeb&#10;A7nkIFOawNR07U4FDIVRT0VBkn9K9PmhhWQyBTLM3Vm6VX+xK7F5fmJ9uKJWYK55DLpWpXX3pLkD&#10;0BNWdK03XdNuhJZXU8UnuxIP4GvYIrJABhAB9Kke0idcFBx0OOlRaw7mRpGt655Ki8S0dh/ECwP5&#10;VtDWr88Ituv1DH+tV1ijVtjoA386kECdqq7EK99rE3C3kEY9oM/zNMA1Ugkakiuf41tUyKsLEKkC&#10;cUXYGS3h60upjcakBfXJABlmRcnHToAKtQaPp9qCIbSFQewQVe28dKQ0AJGkcSgIgUegFV7mzjnB&#10;IADdanY4FMLUrXHcrQalLbHyrsF4x0k/iX6+v1qPUdFsdUQyx7Q7ptB6qRnPQGrEiJKMOPoapqsl&#10;i5eEgqTyh6H/AANYTp9jSNRnO6t4OmuWiZJ0j8qMRgLHwQPc5rCj8D3trKZIzvO7d1HXn/GvSW1v&#10;To0H2h3jOOR5bNj8gRVSTxRoy5KuWx6bV/RiDWfszTnPPT4NmXraOP1qaHwrdxHMcTqfQjiuun8Z&#10;6YB8iHP+0cf+g5rPk8exLwtqv13k/pgVLpX3BTsR3lvcr4fFtNBIJPMGTGDyBn0rmpbVV+9BLn/a&#10;Vv61s3fjy5dSsUcKj1MZz/6F/SsSfxZfzOy/bGGOoVEH/suaXsfMHUREUjHAg5+gpAcf8s8VA+r3&#10;U5wXdz7Zz+lQOtzLybeU57kH+tHsn3J9ojX0GOGK9uzdNHtm5UMeB+daU620HzWt9Dgf8smkBH4e&#10;lckIJUOQkcZ9S6j+tNKOR+9uoAfZif5CtopxRnJ3OqTU4ekjBDjuePzpr61YqObhT9ATXIyxwgkG&#10;6OcYOIyf5kVC6wllWOViSej8Z+lacxNjq5fEFiOjufotVX8S24+7G5+uBXONJbJJxChPqzn/ABoN&#10;3CvRIB/wDNF2M238UIPuwfm1Qt4knJ+SAH6Amsg3+OjAf7qAVG18x/ic/jRdgbB1zUn+7CR/wD/G&#10;om1PUm+84X/gSisg3bZztz9TUZuG9FFGoGo13eM3zXagem4n+VRNI7feuWP0BNZhuGHVwKYbod5f&#10;yNAGmGh3fO8rD0XApjvblsqr4HTc/wD9ass3KEZ3k0x7hExkEk+lMR7VHp1hoPgzQ3nUbFtzPMFA&#10;DSyPghf89AKreF765GrXPiK/S1zIjRwR8l4gOAFHQDFVdUvbjVZ4pXMktnb/ALu3V8KSB1Y4GMn/&#10;AD0ritR1G4iu3SCQqoJIAPTNOUtXYaNTxB4rvNUv5GjmEaZwCoG7/vrr+Vc48jElmLMx7nkmohbX&#10;M7/u4ZWJP8KE5rY0nQNSmvYzdaTqT2w5YRW7En0HSoSHczbnSLuXT/tRdIYM4LOcZ9h6mm6Z4c+3&#10;W6zecwBJyAtdJqnhXxhraiUaLeRwxnZBbGLaEX15xz71taN4J8RQaesdxpjROGJ+aRQf50+mgaXN&#10;/wCHE91p2o22ny6pcS2gQpHCx+UHqB0+tdJ4v8cWOnLNZW0wluI/9Zs5CH0J6Z9q5yLSNa07Spo7&#10;OztE1CQ/LcyzAmIew5GfesWHwDqH9meRJeWnmsxeVzISSx/Cm7sNDitY1+5v5nZ3OCfWsq3lzdxG&#10;Q/LvBJ/Gu3l+G9wpJk1O2A/2VJrNm8EwQH59Uyf9mL/69CQrlbxFJDe61ZG2ZXWJQSV5Bya66XTm&#10;nXDBVwP4RXMxaFZ27A/a5WIcMcKBnHaujTWio+UZ+posUmio2jyKQyqT+lWYrJFHMJVvzpkmuTMM&#10;fKB7CqUuq3TcKwH4UKIXRkeL444Z7dwpDNwSM/MPSuRkdt+7POc11mo3sk5VZyHUcgEdDWXIE6rG&#10;n/fIqntYkylb7RGUY/OOQauQ5a1Ut1xUgBOflAH0pdu2PHtUsD1X4dRwrrKyRoob7KQSBjutepq1&#10;eF/CTULifxRLC5/draNjj/aWvblamhMtBhRvqEOB1pd49aYh5akz71HvpC9MCQtSbqiL00vjrSAk&#10;L1Gz1DJcxr96RF+rCqkmp2Sfeu4B9ZBRcZbd+aiL1nSa5pq9b2H8GzVZ/Emlr/y8g/RT/hRcZrl6&#10;aXrBfxTpw6NK30T/ABqu/i+1DYW3nI9eB/WlzILHTb6TNcpJ4ygXAFs3JwMyAVC/jGT+C1QfVyaO&#10;ZBY7NXqUPXAv4xu/4Y4B+BP9ahfxdqTcLIi/7sYo50Fj0YvkYqrJDk5U158fEWsy/dnmP+5GB/IV&#10;XOpa5NIys14FGMMWIBpc6Cx6L5L98D8aeDBDzJKg/wB5sV5k7X7cyzf99zj/ABquy4OXu7Zf+2mf&#10;5Uc4WPUZNVsI/v3tuP8AtoKqSeINKTrexn/dya80aS0X7+oR/wDAEJpkP2QuwW4upnOWwsQ4H50u&#10;dhY9An8UaSRgyu3oVQ8U+18S6ZJGWa7RQDj5uCfw6150dQsFGBDcP9XA/pVSe9tQh8u38tiQA7SE&#10;/wD1qXOwseqt4s0aMf8AH3u/3UY/0qu3jnR0OFM7n/ZQf1NebMtrAi/axceaRkqpAApouNORt6Wb&#10;scdXmz/IUc7Cx6JJ4/s1H7uzlb/ecD/Gqcvj9j/q7JF/3pCf6VxcmowxBdlpancueWZsexyagOuS&#10;LwqWqfSJaXNILHXSeOr9+EigX6KSf51Vl8V65KuYt5ycYjhH+FctJr13xtucc87Rj+VQyavNIMNc&#10;TN/wI0XYHVS6prr/AH5rlAe5Oz/Cqzvfy/669QA/89LoH+pNcx9vO1wYy5YYyx6fSoTcycYUD60a&#10;gdO0EH/LXVrQeuA7H/0Gq7waX5ZR9VujnqYbb+pYVz5uZPVBUbXJA+aYCgDp3fSYVRnj1CVXGVPm&#10;JHnt6NUTajpaf6vSi3/Xa4Y/+g7a5dryPvPn/gVRm7hwfmzinYDopdYjDfutOskBPfc2P++iar/2&#10;1L1AhjJ7RxKP5CsBr9ByEJ/CoH1Q5wsX60WA6OXV53CgTzdOfmx+VVmvJG6lyfdqxJr+VUBAAJqN&#10;J55fvNge1FgNeS8Zf4V/E1Wa9n5YFRgdhVfyykO5iTgZJPeiNkkGM9R0oABf3UwZ3kOeSTUTSSSQ&#10;MxdmPbJqwYo1UgHtziqSTKA6cg44pgTQsY0LPkmpnuNkRcAH2rPVmLHJJ47052+TGaYEsl/IAMBR&#10;moWvp2/iA+gqKXPFM2k9qYGlZu8il3YtzgCrLAMMEA1lQO8Ume3cVcN0mOjZoAgwC7DtmkKqqNkc&#10;jpQsgBzjPNPYq+9h37UgGRA9hkY6VJEvmKM/wnANV13DoTUkRwwOaAPcfiXrVlplxb6Zo+Vu44/J&#10;cR42ovPy49eea0/h1YLY6KJr3T5zPIxbc0I5/Pms/wCG/hcapdv4j1ch2LZiRznn1NevhkwMYx2x&#10;V2tuBUgvItoCwunttxUz3W1chDUw2n/9VRyyKPlKE/hS0EZF3qkqZzGQPY1hXmtFQcqfzrW1A5Lb&#10;Ymrj9TMpJCxYHvVXCwk+sNK3ArPn1Jk5BwapXE7wr0ANYd5qD88ilcZoXusyhSPMP51z0+pM7HLm&#10;qN3ePISN1UizGpuBs28/nmT5vuoSKmgEjQ+YeFrKsplikYvwChH6VINQl8gQ4+UUm+wFx59veoXv&#10;SiNt61SMzMKjbJFJMBjyM7ZYk00vilK+pFRts7yKPxp3Aa0pNSocxfhUBaBTzMv51LGVaIlTkc4N&#10;Jgdx4Q1K30G9e9ljZl8jZtTGSSR/hXTf8LCuSTss4QO25ia8+sJVurDyl8tbhXGd77dyY7ds5H61&#10;dGrWSfd0xW/35mP8iKTdhnZP491Jh8kdsv8AwEn+tVf+E71eSRkW4RSvXEQ/rXOr4hiQEJpNkPdg&#10;7fzanTa64gjdItODPnKJbLuXHqSKL+YG6/i7WX637Af7KKP6VCfEWqyDH2+4P0bFc62v3faWJP8A&#10;dRR/So2168breyD6NSuxHRnUNTm6z3j/APAmNMY6g45Wcn/az/WuZbVpn+9dyt/wI1C2oZPLu1Go&#10;HTJFdlP3wRW95FH9aCmPvT26/WQH+Vcwt+EkVthfac4bofrTZL3fIziILuJO0dBQM6YvCPvXtuPp&#10;uP8ASmG4swOb3P8Auxk1zP2p+yimm4kP90UWA6Y3lgOstw30QD+tKl3aSBzHBcPsXc2XAwPyrlvP&#10;kP8AGPypnmsMnzCM9cUWA6N9Qs2IP2LcQcjfIf6YoOsKv3LOAfXJ/ma5ppl/il/WmGeL++D+NFhH&#10;SnXZV+6tsn0jFRt4guu1yF/3QB/KubN1D6ika7jH/wCqjlC50EeuytNm4nuHjzyFfBNVH1FmJ+eQ&#10;/U1jm+XOApprXpB+7T5QNMXb7cEEn1JpDcv/AHB+NZslxKU3xgFe/qKi892Gc0WA0ZbuUDAKj8Ki&#10;+2XQBZZtoCnO2su2eSeVgzHAIxWiIuCp6MMUWsBni/unk2tKcexpJHke4IZ2Iz3NDyRRzmJYuQ2N&#10;xNTJAZR5n8Wc0wFu9SvS6x+ezBVC574pyXRSIGaZsnpk1BdOsTj5AWIyc1QmlaVhkAAdAKLAa39o&#10;24wMlj9KcdRiHRCayIUydx7VNinYDSjvzI2FTA61AdSlP3VUVFbDEjH0Q1X7UWAtm+nI+8B9BUZu&#10;ZiCTIai/gWm5+U0wG/aZHfDE/nUjHKAGoBG27J6VK3zACgBvSnIckU3BoUbTkUAWRgHnoeKZC2y5&#10;AfAIPJI4IpFAJ4PXrTZuZSR0pAS3MQ3qV5Q8g0sfDBAOAM59aI282ExN9RSwZZzn2FICxf4W3Uep&#10;qlFy/FXdSP7uMe5qrboOPU0+gFq8/d2o28Ekc1l7BnPetTUjiONfes7FCAQCjGacBRimA3FGKdij&#10;FACUYpcUuKQDcUDofenY4oxQARtsJ4yDUhCOMrw1RkUu3IoA94j+J+h6dbpBYWBCIMALHj+Zpr/G&#10;bA/daazfVgP8a8kT/Vr+NaFmAdKvfoKpzA9Bf41XmDs02AH/AG5Cf6Vn3Hxm1qTISGyj/wCAk/1r&#10;y9+9M7Uudgd1d/FHXZwc3kaD/YiFZtv4r1PVroQtqhjLH7z/ACj9BXHz/cqBCQ3Bpp3A9B1GxvrW&#10;3ee61NWVRk4cmswQFtCfUpJmB80RpGed3GSc1Lrcjt4VsSzsSVXJJ61Xuif+EZshk43scVDHYTRr&#10;ZtUvDGRtiQbnYdfYVHryf2ZeRQwHKsuSW571veDVX+yLpto3ebjOOelYni7/AJCVv/uf1pgE6pEo&#10;x1xVJnY9GIq1edBVDtSQgYydpDTC7jqSaD1pjGmApmJ4NV7hxldoA+lLUUn3hTQDX5JrUsz/AKEv&#10;41lt1Nadp/x5r+NJgVJZnbjd93pU015P5cGJCCUy35kVUP8ArDU8n/LL/c/qaAFinlaYBpGI+taU&#10;dtPJavdLE7QIcNIB8o/GswAc/Su/hAHw7uFAAHkRHA9SWyaQzko/nR3RdypjcR0FHmgdquwgL4TQ&#10;gAFrttxHfAHWss9aYiY3AHakNz6CoG6GmHpQA+O/aTOExj3pDeyZwMVVtv4/rQ33jTAma8mwcMPy&#10;qB7qfGfMNI33TUD9fwoAc1xMesr/AJ0wu7dWJ/Gm0UAOAO0t2qwh/dr9Krj/AFTfWpV+4PpQBIDx&#10;SgkmmH7tOTqaAFB+enyHgfWo+9K/QfWkBNE4QjccDFEqBPmU5U1Ef4PpU55tm+tAEOmofPbI71ev&#10;VIEZBIAJJxUNj/rjVi/+6n40nuBlGYM7OUAYnNa1qu62XGR+FYnet6y/49h9aGBjXjebMwAAAOAe&#10;9VvK96nl/wBa31NNqgEUbVAFOyaSigBQzDoTzSUtApAJilxS0vagBuKMU6l7UAM20badSigBmPSn&#10;DB4b86U0hoACmzJHU9DU9sMy++RTY+RT7X/XN/vUgH6kxVo8HsaitcMycd6dqX34/pRa/wCsT60d&#10;AH6icsg9qpBauX3+tX6VXFMBgWl20+igBmKAtWYgCeQDVpVUDhR+VAGcI2PQE04QOf4TV6opSQvB&#10;IoAgFs59B+NKYAPvOBUMrNtHzH86hz84oAtFIF+9JTTJbr0BNQP96mGgD//ZUEsDBBQAAAAIAIdO&#10;4kDGHdd4gaQAAHekAAAVAAAAZHJzL21lZGlhL2ltYWdlMi5qcGVnAACA/3//2P/gABBKRklGAAEB&#10;AQDcANwAAP/bAEMACAYGBwYFCAcHBwkJCAoMFA0MCwsMGRITDxQdGh8eHRocHCAkLicgIiwjHBwo&#10;NyksMDE0NDQfJzk9ODI8LjM0Mv/bAEMBCQkJDAsMGA0NGDIhHCEyMjIyMjIyMjIyMjIyMjIyMjIy&#10;MjIyMjIyMjIyMjIyMjIyMjIyMjIyMjIyMjIyMjIyMv/AABEIAboCT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NGMgqSOlW7LG8dxniqCtgVc&#10;s2IfI5xXmnVYu37K1k644JArEClfwHFad6++IDAGTmqqRwsv7xyueBTRJb0kEvz6ZqbWXZII0QdT&#10;k1FZxmBiySK+R60t5FcTkFV4A9aExMzkm4CkcmtzT03EN2UVitbzxnLRnA74rc0+RBApzkkZoE0J&#10;qNwqMkXfqaz2fzHCD1pt7J5t07+pwPoKbZjdKCc0wsbthBgZwcCm6jJwIx1HJAq6m2C2yewyR71z&#10;st1IXZn6k0CLUY3NnGQK0bKEAFj06CqNihkAx1atSSVLOEAkA9FphYjunA+UdB1qrbzzeblWZV9j&#10;UMs5lcIOpq/ZW2WH90daCbGhbvKU3O2fSo5NRWFiCmR6ii7uFgXYCM4/SsdnM8nB+UGqDc3YdQhk&#10;HVk+oq4so4YN16EVkW0G85x8oqe4mEaYGOBQmDNmO7mTgSH8easJqMn8SqR+VcjDNOX3CRgPTNat&#10;s8oTdK3HbincDoE1CI/eVl/WpluIm6SL+PFcudTjVyMEj1FWI72F8ANgn1FO4aHSg5FGawkmKnKO&#10;R9DVlb2YdWB+tFxWNWiqCah/eT8qnW8ibGSV+opphYsUUxZFb7rA/jT6oQUUUUaAFFGaKACiiigA&#10;oopaaAKKKKpIAoooqhBSUtFFhiEVQutF068kElxZQPIOj7MN+Y5rQpalwTC5TntXNo0NrL9mYjCu&#10;F3bfwrlk8MapFfiWW6S6Rjy7Ehh+B/xrtaTFS6SY1JozRbCB4V6ms2TWZ7jUZbSBAixuVLdScVtz&#10;j99F9TQtjbLOZlt4xKerBcE/WsfZ6tIvmWjZVhtmIy2Se5NK9zaxPsMgd/7q84qDWtIutTi2QalJ&#10;bLjlFXg/j1qvpOgNYo32iQSMDwy55FJwaHzJ7l77RJIMIu1fanJbs3LHFY194lFrcC2gsJlbOPMn&#10;QqPwFaNot1dRrJOxJIzjoKhopFoGFOF+Y+3Sl3yPwPlHoKjae1t2CPKpf+4vJqQTM3+rTaPU9aAF&#10;EOBk4HuaUtGv3RuP6UeWzcsePek3xJ33H2oEITJJxnA9BQIVTliAKXzHb7o2j2pPLx8ztj3JpDFM&#10;qL9xMn1NMYyS8ZOPQUu9B9xS5/IUAzSDGdo9FphbqJ5Sp99gv86UPGv3Ez7mgQqvLtz+Zp29V+4n&#10;4mjYL3ExLLxyB6dBSeSi/fcZ9BT8SuOSQPypNsSdWz7CnYLiK6p/q0wfU1Ikkx6qGHvTRJ/cTHua&#10;Uq7febj3oTa2YvUeREG4bY3+yal3MOg3D1zVXEa9WLH2p6OcfIuKtTJcSYuoXLfKO+aAqAbhjHtU&#10;UieamyU4HB4ODQvlxjag4puSe5KRJu9BThk0wFj0AAoOP4n5pXCx4UJ8jmtHTHDOccjFcOL+8iXE&#10;kJwe9dL4evfOhZyMFeCKiSsdKkpaGzqcgQRZ6nNUvPBCKw6MGBzWbr+rRw6jFEzFcR5/WqtrqMc9&#10;yiq4ODRYWidjuLba8W5lBz0yBQLi0Y48zZj0yKga5W209pCcbUzz61z321Sud1KwW1OuRI5B8k+R&#10;6cGpDA3GRG3HUjFY2kYc7+w5qzqF/wCTKqJIVIGTg0WJaLb2Sv1t8+6nNRpZpDKrrvXHZgcVQttX&#10;uWlwJAQPUZrehnY24eQAHGTj0piZDK8s0RQOnXsazpLS43crkD0NXzqdqeJI+vfaDVqE2tx/q8g4&#10;6AkUCsQaXIkcQ8z5XJwFbgiotUuFkfJP3eBWmIBnCykezAGo5LIycMkT/pTEZGnxl5eeSehNdGWW&#10;1tSRgkD8zVFLHym3pG6HplSGFLMjOhXftb/aXFCEZE880spBJJY81pWNs0hC9B1Jqt9hlDAgq/0r&#10;Yt5Ft4sBeR14pgSSzR2y7QRkDpWYGNxLuz8v86hu5DLKSfXk1qababkDsCE7e9VuSS2tmceY4+Ud&#10;B61Hd3YP7pOnf3qe8uAqeXH+neqUULSsOMsT0osSNjgJYHHJ6CtKOFIE3vjdU0cKWse9iC1Ubmdp&#10;iccCmAyecyEhDgD0qS0W6dgEkbHcnpS2to0rAkYT1q7NOsCiOED60AOlnEC4J3PUaX4J+ZCPpVUK&#10;0rfMMmrSwJCu+QjPagLlpJlIznH1qaO5P8EvT0NZMkrykheFqW3s2Y5OVX1oHc2Vu5B97B/CpVvB&#10;3Q/gayJZhEuyLkjuaZFcTsdoUN+FMLm8txGf4sfWpA6t0INZLS+VHmTAPoKEuY253EfUU7hozYor&#10;PWZlXIY4p4uXHUA0XCxdpaqrdL/EuPpUqzI3f86aYrEtFNDA9MU6rTAKXFANFWhCUtFAosAlLRRi&#10;iwBSU7FIaAK03/HxF+NWBVWd9t5EuCcg8+lWgcioh8TKlshaMCiirsiRjxq67WUMPQjNQXdkl5bm&#10;BmkRD3icqf0q1S0nBDuc/p/hmDT5y6XEkinorgEj8abq15q9odun6YJE7y7t3/jvWuixSYrN0V0K&#10;531MCzW6kthcahN5YIyd/wAoFPTVLAv5dvJ579Pk6fnWvPbxXEZjmjSRD1VlyKqwaPYWspkgtkjY&#10;9dvT8qzdF9ClNdRFeWQfKoQe1LsVTmRxn8zVK/03VJ5d0GohIf8Anls2/qKkmVdLtBI8M1wwHSFN&#10;xrNwaKTRZ8xRwiZ9zTsSP1OB+VZljqdzqGTDaGFB3k5NWnmijbbcXSb/AO7nn8qkdif90vVsn2o8&#10;wniNce5qNJYzzGhb3PFPzKRliI1/Ki4W7ilHIzI+PqaMxr0BY1HuiH8Rc+1OEjn7kYHueaBkgMjf&#10;dUKPamnaD88mT7c0xj/z1l/Ac00SIOEjLe5oCxMHXPyJn3NOJkx8zBB+VQl5ccssY/Ko90YPJZz7&#10;UXCxP5kY/iLn2pRK7fcTH61AHYfcjVR6nmmtMuf3k+fZeaLi5SyxP/LSUD2zTTIg6BmqsJkz8kRJ&#10;9WNMe92HBmij9hSbHY8GHiS2kAE+mx49UyKs2Ot6JC7uIZ4i/X5sjNZ1n4V1W8+0GK2P7gkHccZI&#10;6geprIeJ4pHR1KspwVIxg1HMz6SOAw837u68zq7qbQ9Tm8xrvaxAA8xO31qODRLZbuKazvLU4YZG&#10;7HFcrjJ4q/pWk3Wr3RgswplClsM2M1XOY1MqpxTlzWO31e0ubvTWt4XB3EfNG4PArlbnSdUsU37p&#10;No5IZTWdM17p9zLbvNIkkTFWAfPIqeHxBqsABS7f6Hmmp2MZZTOWsZI7fR5wLFJCSA6g1zV5q19J&#10;dzSvbMVLEr9O1Nh8ZamibZRDKo7MlTL4qtpMi40xOR1RiKFMxqZZiFsrmr4dl+1lXYY/vZ7Vqa/r&#10;0FkI7QSKHcZIz0FYGl65oVnvCrdReY24hjuAPtxT7oaHq0xlbUUDnj96uMVSkrnLPCVorWLJbO++&#10;2XACtlB6V2Vu0djZNNJgHGT/AIVx2haR9kupWS6tJYTym2Xn9aueIrbVb1I0t96xR/Mdg3Bj+FPQ&#10;wcZJaoty6i9xJkMQzHt2ra0tZXYfvX2r15rg9Da5/tF7a73eYvIypHFdRqmuf2RpoW2jaSduBtH3&#10;fUmgm2lzdvNTjtm2ptJHXNFvqrzKN0XXpg1wGnas2oXBRgysvJDd67azkttOs2vLyRURRnk9KdtR&#10;W0ubEixRx+ZIiLn25/SohJauMJJyOwb/ABrlJvEbapcERMNn8Kg9BW5pVn5qbm4QdTTFYmts3d2Y&#10;Sr7V5bemPoQehrRubry4zFHjpjis261uFG+z2xBxwSO9LZrLcv6k9fQUyWiSGGSd+hLGtULFYRAs&#10;QXNQyXNvpybAwMveqPmvdPuOeegxTRLRNLO9yxPIX0qzbWW7Eko2p6HvUlvZx2yiW4Iz1C0ye7ac&#10;7V4SmIW4uuPKi4A44qO2tpJjx+Zqe3s8jfJwvX61NJcqibIQAB3p2EG2O1UgDc9VWR7iTkE+gqxF&#10;bPOd3Re7GrIMcC7U5buaAIY7ZYV3S4z2FI8pfgcD0FOCSXD8An39KkIhtBziST07U7AQx2hb55MK&#10;vvTjMkY2wj2LGmM81y3I/Adqm8iOLBlOT/dFFgIEiknbOM+5qdVhg64d/wCVDSu42Iu1fQUq24QB&#10;pW2j07miwELtJO23n2Ap+RbKPNkOf7oPJpsl1gFIV2D171AlpJKd7nA9WosBKL+RpMLGAvoetXIp&#10;WI3SIEHrmqwEcK/u1DMO5pu2ac7j09T0osFy4t7AWKhyPwq1HMGGVcEfWsjEMX3R5jfkKP30vHQe&#10;g6UWHc3Q7dxTw4xWErGD/lq30U0o1K5LYRQR7imm0FzdDA04GspNRKrmaMA/7JqWPUrd+CWU+4pq&#10;bA0M0tV1uYmOBKufTNPMm1Sx6AZqudBYlqG4uYbZd0rhR71kT6vNJlYFEY/vNy3+A/WsiaK7u3Mk&#10;kh29ix7VMqvYqMO5ebWrdLmO3lleKSbPlCRDlgO4wKdF4t0SCORmvsqHxnYx59BxzWNrljc3d5Zz&#10;2sTzJFbOhaMAgN2zzWTodymkeHLieSyMsonCyKzbCM9zuAFJR5Yqa3NWk0d1J4o0iKxlvXuHFtEC&#10;XlMEm1cdcnbV7TtTs9WtRdWM6TQnjcvr6YPSvML46vqN81roF8tmlyRIRIquj5B3DGDn7v8A49XZ&#10;+CbJNP0mSBJ0uB5hYzIqorNgA4VQAuCCMYq1O7sY8tkdPRRRWhIUUUUgCiiigBMUmKXFFJq4EbxK&#10;6lWGQRgisyLw7psFz58UBRz1AY4P4VrGis3BMabRh6hZ6u0gFjc28UPcbCGx9ef6VFeMNKtxJcpd&#10;3TY58pC/5ntXQEUmKxdMtTZgWV9NeQiWO0EER6NKcnFSm7gZtpu1kP8AdjOf5Vo3dlb3kJiuYUlj&#10;PVWFZ1vpllYkrbxmJeepzj86yasaRdxyyDH7uH8WNRPexq217qNT/dQ5P6VHc22n4Zriaab1XexH&#10;/fI4/Sq8Mejxtuis23D1Qj+dIoueehOVRmPq3FRSagsX3pI4/YcmnSX8aDCWkh/If1qp/aNu0pjS&#10;FfMAyVBHFFiivLrkIk2rFcTN67TiiPUZpx+7RUA6/Lz+tWxKzYIjUA+9NW2ySWHU5xTJuVt0j/6y&#10;Rj7ZoWI/wp+daCwY6AU8Q+3NArnnesXWpazoaXehzkIuVuII/vg98HrXmz7i7bwd2eSfWtXStbu9&#10;H1Brm1OAxy8ROVYZ6GotX1F9X1CS7kijjL9o1x+fqaxbPscNhp0G4WXL36+gzSP7KWdxq0dw0RXg&#10;wHBB/Gu28JQeHl1oPpl3dGcxsPKmTt9QK5PR9LstSWUXWqxWTqRsEi5Dfjniuq8L+HU03XYbyPV9&#10;PuIVBBEcvzcjHSiJjjeTlkuZp226fkUta8L2t3rV3JFrdjHM8pZoZjsKk9q5G+sXsL2S1d45Chxv&#10;iOVP0Ndn4m8Jave69dXlpbCaCVgVKyLnoO2a5O/0m+0wqt7ayQF/u7xjPriiRpgpJxiue+m2hY0D&#10;Qp9eu3hgkhDRLvKykgMMjjjnvXazeEtPe4sri301JkAK3UMM4K9OoJYHINcb4dile+cQaqmnSeWf&#10;3ruVDcjjP+eldzZaZO6wxmx0S9AAVp4Jyrn3JHOaqOphjpTjP4rLt/VjNTwHayXF/czpc21kg/cR&#10;qMv0yeOc1wt3bG2uZIgsigH5fNTYxHqRXrWt2EumWe7S4NTe5xlVgndowfcEnP5VwnizUrvVb2GW&#10;706SykSPZtfPzc9eQPWiWgsvrVKs9XdP8LeRm6XoGpaskr6fF5nlY34cLjP1p1ymtaPcCG4e5t5C&#10;MqC3aum8B7HsdbjkJCmDJIHIHNdLPelNRm3WxexubaNre68gzKmAeqge9CV0VXxMoVpU3FNI4Jtc&#10;8R6WyLcySruXcomTqPb2p48YTyH/AEqwtpvcLt/lXZmXT9Qkjj1e40i4towQPkeGReOwP4V5pfi2&#10;OpXBsx/ovmN5Qwfu546+1DbiGHpUcReM6dmvuNu01zRUvhdvps8cuMHy5cr+RrRv9X0PWYxFJdyw&#10;oOdkkeRn65q3pegaLqvh2G+GmXZlEghkFrJuOcDL4PamXngW0jvry3ga8KxQh45Cm5d/904HpiqT&#10;luck6GBcnBpxaKGiabZ21+7xapZvA3RdxDA/l/Wt7WZNVurH7Lpjqsfd4WViw9Bg1yPiHw4ugpaA&#10;3DPNNGHeMpjYfTP5/lWNHLPEf3crp/usRR7Rp6jjk1OrDmpT09DsPD1rqLPIL2CdGRsFpEI4ra1r&#10;xf8A2LZ/Z9OhEkuPnlY/d/8Ar1yOlz+JZ4ZZdPkupUi+9s5xTf8AhKdQfK3MVtcjofNhBq/aI55Z&#10;LW1jCSbR0uiXU+p7JnYu0nOSa6C98S6V4eCQGRZ75hxGP4fr6Vw1l4thtYfJGlQIh/54kqR9Krz3&#10;WgahIskq30EinduDBv6U1Uic1TKsXFfBc76yv7rVZt8hJ3dFHQVsz3thpCKbmRXuCPliXk1xsOv6&#10;ZHa+XZakYJCMbpY6ydM0xhq8lzJq9rcpIc7jK27P4irU1Y5J4SrF6xf3HpEN/NqGONqnooq45tbB&#10;Q13Iu8/djHU1yN/qmq6fp7x6LbJJNjiYEP8AkM1n6MNQmH2zVFuFkJ/eNMpB/WqTOdwadrHoQu2u&#10;VAQbU7AVN5SQqHuXCjsvc1w198QINPuE0/TLfzJ34+0SfdH0Her+m3Rk3Xmo3QAA3NJK2ABVEcr3&#10;OqkumddkI2r7dTQlpn55W2qfXqa51fGFjK3laSvnnODO4wv4DvWtbzHyPtN7cLGg6vI2AKYrF8uq&#10;rshXHue9ILY43ykKvqetZ8WuWsshSyXzO3msOPwFXcs0fm3Mixp/ec4oCxJ5yJ8sSf8AAj1o8lpP&#10;mc4Hq1JDc254gXd/tEVI4JG6VwoP940xEP7qL/VruP8AeNHlyyfM3A9TwKdvjBxEm4/3m6U8xueZ&#10;WwO2aaQrkR8tBgDcfXtQFeT7x4/IU7KLwiZPqajm81VDbhnPSk0MjkmhhkCAb3PbtUv7x1ycKPyF&#10;VltlkkMw3hj2ODTL2KeWLyxJx33ZHFTcdh/mW5baJPMb/Z6fnUgLEcAKPaqtsq2yYCgn86hR5Z5i&#10;0zOFDcJjGBSuOxdZF6k5+lHzAYRcCqtzqCwyrBAgeQjP0FOFwscJkuJQPUDtQFiQqFO5iTTlllAw&#10;rMqnrzVaO787mGM49WpHuYw2HlBb+6KBCtIiNg8epIJFSpGkq7vN8wdsHiq+/cflTA96DIo6vk+g&#10;pWLUi6oMZAV8ew4NMuJPtMJgljWZGxlJ0yp/+vVAsGkV/KjLqMLI6Aso9ieaka5mK4MhP0pWHzE8&#10;GhWfkulvbtZM2MyWr7W+gJ6Ct3TrW3063EMEYjQdh69Sa5hJZIvmWRk/4FUy6xPGcCQyfVafNK9w&#10;unodeJFPcU7NcqmvyL/rYVx6hsVZi8QWrHBMin/dzVKq+ouVdzoc0tZceq274C3EZJ7FsGrS3IIz&#10;wR7Vaqx6i5WWqKhE6n2p4kU9CKtTi9mKzH0UmaXNMQlJS0UmAlJS0Vm0Maap3CE9BxV2oJcjJxkY&#10;rCSLg7MxBbbZGGSec884qYW4BAxVkqC5pwWszYqywjHTtWfDZIksrLGqlzljjljW3IvFU1Qktxjm&#10;mBGkIwMjmpRHg9OKkRMDnrUgT2oERBBTxHxUypTtgoA8WGh6FKD+7mjJ/uzf4imt4T02Rf3V7Onp&#10;uVW/wrq/7Fgbtg0h0KPOVNRynbHMMTHabOObwQxz5OoxEf7cbLn8s1BJ4K1NRmOW2l9NsuD+oFdv&#10;/Yki/ckb86adMu06SsfrRyI3jm+Kju0/kcOvh7xJa/NDDcAjvDID/I1Uv7bXZVQX8V9Isf3fNVjt&#10;/OvQ/s9+g+8D+FPWbUIv4OPbNJwN4Z3NO8oJnkzRsnysCD6EYrX8PalZaXqQnvrL7VGBlQDhlYdC&#10;K9Ce7lc7Z7UOO+5Q38xVeSHS5v8AX6Vbn38kD+WKlQsdEs7p1IuFSDs+zOV8ReLJtT1RbrTpbq0Q&#10;RhSokxk5POAfesS+1O+1MRi8upJ/LztLnJGa759D8OTZJszET3SRh/PNV38HaHLny7y4jJ6ZdWH8&#10;hQ4yZth80wFNJKLVvL9TP+H9xBb3OorPLEgktiFEjABj6c1t6XqV9rElpepc2ulaVZnbJGk33gOx&#10;FZr+AI2P+j6mv0eL/A1Uk8A6ov8Aqp7WRf8AfK/zFC5krWCpUwNecqntEm+626HY3WrTanoOoXul&#10;RJdPFchIlaLflflB4/EmvNPEFte2+sSi/tYradsMY4gAvpkY+la8Ph/xVpZY2izIDyfImHP4A1m6&#10;hp+uzztPf2t7JLgZkkjY/rRJt9DowNKjRm+ScWvXXp5naeF7GdPBDCW1vGzciSMW7bXIOOQfStq8&#10;hjj8Y2rvJqEMkwXYIz+6kwOQwry1NU1e0jSBbu7ijTogdlA/CunuPiFNLGzw6fHFeeUI1nLlio7k&#10;D1qozSVmc2Iy7ESqucLNSvt0v6kvjsEtdQya2z7ZBItlJDgjPTa341yeiWunXV8I9Su3toAM7lTd&#10;n2rUv/EFtq+hLDqFs8mpwYWG6VsZX0b1rn4/ldSfUVnKSvc9PB4apCg6Urprrp960/PU9PF3aWdp&#10;a22gajZWMSMHkW7VleQ+hJFZOv8Ag22vy19o11aeYymSW1WYED1Kn0+tbeq6z9oltzpuu6WkXkqG&#10;huFDZbvzg1neKreP/hDba92WAvTcbHmsgArDDcZH4Vq7WPEw/tY1YNOzk7a6799Fc85SICRcjuPe&#10;u/1vwrpC6zaiK4htwyRl7XYwLgnkg9Oa4zT0tzfw/a5nhh3fNIi7ivvjvXp1heJruowwJ4lSVGH+&#10;oS18t2wM9Tn0zUU0mepmc6lKUZQbSSd9Hb8mcp4l8HWelG7njv4IlUgwWzvudhjmuPEeOgr128VZ&#10;rq9kjs9EurmRWjL/AGrDHsMqwxngV5dEz2t2rhRuifOOoyDTmrMeWVqlWm1PVq39f8OWLHSdSurK&#10;e8tJCI4WVX/ebSCxwMVNc3Ou6LeNaz3M8UyAFlL54NelXlpB/Yd7qVuirFeJbS7VGAGDDP8ASqHi&#10;vRrFU1nVdQjO5vLS1IYg7tg/Pn+VXyWVzhp5hCrU5akFZu1ra30/zZwieI9SZwZvJnI6eZEGOatT&#10;+JPtkfl3+mwSjocEp/KofDtstxrMAF3HbSq6tE0ikhnyMLx613Ulikaa3qMtjaXd28yxrbRxGUIw&#10;4JPGRkc0ouT2ZrjaeEpT5JU07/Lrb0OQ0vW9I05SsenTxBjn5Zd2D7Zpl7dWOq3sdxLrF4uw/wCr&#10;li3KPpg1f8Z6HBZzrfWX2aK1kCr5CNhw2Ofl7CsjR9Mtrx3+3GeGAo3lzqhKBwO/HSnzyTsZrLsD&#10;Voe2imkdKmrxWtqV0m/sjPj5TcZGPwxRYPqN0PtGp3aXMqnOFmU/kK5vTNEj1DTtTuWmKtZRh1Cj&#10;IbrWRypypI+lV7WS3M/7Co1JNU5u68j0f/hKtTS8+x2WkTwL/wA/EqFs/TtUzeIbTTQJtYvXMx6J&#10;glifp2rhNKi1a+uTb2E8plCFyPMxwOvWk/t3U/uyT+aB2kUMD+dUq3U5ZZBO7jCabPTbXxQ98R9k&#10;gEMR5DucsR/IVbOv6dEMS3fnzDqkXzH8+leX/wDCQ3ctu0U1nbywgYYCPbx9RS2OtWNgrLHpfl55&#10;+SU8fnmrVZHLPJMTHZX+Z65b37XCbwiwx+rH+tJ9utJG2rJ5zf7PI/OvJxrFrNeCe4vNRKf88n2s&#10;o+gGKvP4jdQqabqFvAnczRMG/PkVXtIs5J5diYbwZ6kZcLl2CL7mmecj8Ixb6dK87OsvEomWZNQl&#10;/u/aAv8A6FiraeINTe2E0yfZogOUhG5v0zT5os55UZxdmjtXVcfPtz9OahKqegIHtXJWvipZVJt7&#10;aVipwXnBX9KmXxTasxWS8WRx1jh5x+VGhHKzoHii3Zz83qQDUFxb+cmwsCvXris1NbSQbgqxJ/ed&#10;uaUavbu2EdpT7dKmxVmW3WRYyi55HUHNVINtmo3dfUjGT+NK1+mPndE/2QcmmNLHLg4bHu2Afwos&#10;wsKwuri4LF28n+FQau52IANqkfjVEXUaIIw/yqMBUpDdgdAF92NBLiy6HyO7H34FNefHWQKPQVQa&#10;5LcAs/04FMNwAcbkX6DJoFYvGUHopPu1MafGcuB7KKpGdevzMf8Aa4FRNd4OdyqP9mgdi47k4wmf&#10;djUbSHAzJ+CCqX2gtnapc+9O2XEv3eBQDRM0gH8IHuxpy38kP3Lh1/3Tio1smON71OlpGuMZz6il&#10;YSuixH4j1GMgI5cf7Yz+taVr4ouj/r7VCPVGIrKCKuMKKfjtSsUpM6aHxFbsAXEkefXn+VXotZtp&#10;Pu3CfQnFcTjtRgjgU0mtmHN3R6At4pGeCPY1KLlD6ivPEeWMjy3ZfocVZj1S8jxiYn2bmnzSQe6z&#10;vRKh6MKdkHoa4lNeuFHzxq30OKnTxCo+8rp9KOd9UHKu519Qytt69K52PxLFkD7QoJOMPxV5dXdu&#10;qKw9jUt3GolvjcacBVNN8r5WSRcnOCARVlLQNzJI7e2cVnYu5JJxmq6ksTgfQ0y7tEQF0eVfUK/B&#10;rHm1FrKIqvyqMnklj+tFhrY3lU4560NNDEPnlUfU15tdeOt7lYYppDnHzNtFUn8RajO37tUjB9Bk&#10;/rVKImz06TV7SPOGLfQVQm8Qxhum0f7TgV501xez/fuJee2cD9KaLZmPb8aLE3O4Tnt+FShT34pq&#10;inrntUmg4LS7eeaUD1/WnBfagQ0KPTNHlg9QKkC9e9O28UAReQjHkCmmzibqg/KrIHH8qUJzmgRR&#10;fTYGH3B+FMbR4GGcVphQO1LtoAxjoiD7pK/Sm/2VOv3J3H41uBaUJTAwvsmoJjbMT9QKcH1KLGAp&#10;x7da3NvNGygDDN5dkETWiSDvn/69VpF02Uf6RokJ9xEtdJ5QPYY+lNaBDwVH5U7DjOUfhbRx82ne&#10;FH/12nSQ+6lh/I1U/wCEe8H3MuyLUpoXx90v/iK669s4WTlBmuP1DSLfz5JtoDEYpqEXujdY/F0/&#10;hqP7x7eANNm/49teTnoGVT/I1HJ8M9SZNtvqNrKvXBLL/jXAeLImSxwjMP3i4INbCfDLxlaosljr&#10;MRUgEBLmRD/Kq9hBm0c8x0ftX9UjYl+HHiGLJWCGX/clH9cVFZ+HfFWiXyXlvp06zR5wyqr9Rj3q&#10;kmj/ABX0/wD1F9cyAel0jfoxqT/hI/i1p3+ttLiYD1tlkz/3zS+rR6M6f9Y8U4uM4xafl/wSpeaf&#10;qvnyz3NhdI7sWYmFgMk5PaoLV0tLuOW4thMiHLRSZAb61qr8WvG9j/x/6EjY6+ZbSR1NH8cd/wAt&#10;94cgf12yf0INL6rrudMeJvd5Z0tPJ2NGz8XaPBZz2n9iyRRT7d4iuSehyMbhxTtd13RPEQZ5rrVL&#10;cgZSHarRhgMdM5qqvxU8GXePtvhcoT1Kxo3+FTL4p+F16cSWtxbk/wCw4/kap0J2tcwhmmAU/ack&#10;oy7p3/M53RJIIdbspblykCTqzMBnABzXp8eqaVPcXV2l5bW1hOrJI6ylZnkB+8B2x6+9cwsfw0vQ&#10;PJ114CezPj/0JanXwh4Xu8fYvFUJ9Nzof6iojRqR6HTisfl+MkpSnKPTYrePoLq6u49TRopdN2LF&#10;DJHKGz3575pPh/PeTX9xYLK/2U28jeWT8oY4ANW3+G08ibbTW7WZM5AOQM/gTVf/AIV34ktGZ7aW&#10;AllKkxTEEg9uQKl05qV7HVDE4KeE+rKqvJtNfn1NPT9Ru7ey122uTZXZsrZcMkYKvx0OOvpXn97d&#10;i/v/ALQLaC2DY/dwrtUY74rqLfw54s0m1vII9M3x3UflyEMrHHtg1gT6BrFv/rdLvFHr5LEfnUTU&#10;ux1YGOGhUnJTi72tZrtrpfueo25kPiLbFNpzW32bIiG3zgdv06fjXJeINLRfCb3s+m2VteC5VA1q&#10;QQVx7EisXw/qTeH9W+1XdvMV8tk24weR71jm5n8hoBK/ks24x7uM+uKbloY4fLJwrXjLRcuvfe60&#10;Z13gSNLiz1S0lto5FKKxJQlm56cEZHFdNc6bp91qMwksbLd9qSFjNnLDywfl9D7e1cXoXiGLSNEu&#10;YndnlkkG2DylK47ksQfTpXXReJLC9vbEQT2a+bKZ5jMoUxqBgDP9739BTi1Y48woV1iJ1Ixdn69E&#10;jzxNPE/iiS0itmliW4YGGM8lAxyB+Fbtn4T0+7e9zME2XKIkbko0alsbT7kdKyLVBdeL2ZbiOOP7&#10;S0hldsLtDE9fpXf/AGm8LCS0Rby3nvRJ5iIrKkPXtznP4ilFXOnH1alPlUZW0R5drunjS9WntUdX&#10;RWOwq4bAzxkjvWrZ+Eb11SVtRt7eIxLKxEnKBh8uRx1+tVvFS3M3iCUS2S27sxEYSPYZBuOGI7k1&#10;3tq7ia4sPtAcwW8KGDbkrwMkfKc8nB44xQlqLFVqkMPTatdrX8DznURr2iFUuZ5EV84/ehgf1PrU&#10;VvPrEKxXMVkjrMDtZbcEtjr0Gav+OLl59elgYQHycD90MkHA4LYGcY/CrmlmRLCGeOE2yCynZdsp&#10;O5lAG/aeh96Lu9jKdOLoRqTgrs519VkguvOu9OPmf7Tuv6Gpf+EhiaRXd7yGL+4hUqfxwDWZeX95&#10;fqiXVzJMEPy72ziuys9NQaVZqLOOOYxyMiSShwSVHOD68fSqjJnLicHSpRTcdfJmP/wkUIcfZruO&#10;JM8mWI7vz6VZbW2Zl8qWO656mYKB+FYniq1WC/hVYUiJhBbYqqGOTk4BrnzGAKvmOdYGMo80WehP&#10;rU8WFYOwbtAuQPxqR9cW3KiQpET03nLH8K85SSVGBSV1x6NivTTZo8EZKZyo/lVJnHXw7pDU1kyD&#10;CB3z3PAqzFPcS8ABR7VXSBUwAOnc1oQpwM0zm5QS2dzl2P51aitkHUEmnInIxVpI+nY0EtWGogXg&#10;KBn2qUZIxUixjHpTwg9qCWRbOKBGe9TkD1oyoHzGgkjVORmneXkml8xVHtUbXsSfxAfQ5/lQA8R5&#10;HvR5fvVKXVYU6v8AnxVSTWl/5ZqWIPoTQBrMFAwTzTGwPf3rFbUrl/uKwH4D+VQl7mU5L4+goC5s&#10;vcRqeWXI9Dmqkt7EvVz+PFZ/kSOfmdj+NOFoFHAoA63Q7WC5sluPLUlicEiuhghVRwBxWd4fhEej&#10;QDA6E/qa2o1wKlmiJEXHSpl6io1qVeoqRvYguOUauY1OHcrDFdRP901hXy5Rj7UdR9Dh5dDtS5fb&#10;tYHPy0CzVB8ox9RWuyZphi9qogzxBgYxT1tzjPrV9YD6VJ9nwOh/CpbCxqgYHapQMUiLgVKBUlir&#10;yOaUClXkUuO1ACr0pcUoHFKBTAAKeBzSAU8LxQAmOeacFpQKcKAGhaXb7U/FKM0xDQtLsp2KUDmg&#10;CPbSbRUuKTFNAU7lcpiuW1FMh+K624X93XMaivD1SJZ5Z4wX/QnwTkMp/WvedPHmaZavn70Kn9BX&#10;hfi9SbGf6A/rXuWhN5nh/Tn67rWM/wDjorVbGZcCc0GMVIBS4ppAQmIEVDNp9rccT28Mo/20Dfzq&#10;7ijFMDAuPCHh65z5uiaexPf7OoP54rMn+GfhKf72jxqfWOR1/ka7LFJtpiPO5/g74YlJ8sXkP+5N&#10;n/0IGsyf4J6af+PbVbyP/fVX/livV9tJtppsVkeOP8HNSt/+PPxGwPbMbJ/JjTB4D+IFiSbPxCrA&#10;dALmQH9RivZdtJsp3DlR46Ifi3p/3Ll7hR/01jb+ZzTx4x+KNjxcaO84HX/Rd3/oNevFOaaUBOKL&#10;hynkp+LfiS2GNS8LqV774nX+Ypo+LehXBxf+Eoie+FU/zFesmMelVZ9NtLj/AF1rDL/voD/Olp1K&#10;jKcfhbR5kPHXw6u/+PjQp4M/3AR/6CakGofDG8+5eXlrn1J4/PNdvceEPD9wP3ujWJz3ECj+QrIu&#10;fhp4Wnyf7LEZ9Y5HX+tS4QfQ6YY7Fw+Go/vZjQ+H/B+pKW07xFIwHXKhsfoKQ+CIVbNn4kt89sjY&#10;f0NReFNEstO1/wARafBGfIgmjEYY5IBXPWur/si1ccxCsZU4J7HXTzfG21qX9Uv8jkJ/BOstKsya&#10;ja3Ei42uJzkY6dRStY+NrSNo0mkKFi5KToSSevOc11D6JbHoCPoahbR2X/V3MyfRzUezib/2xXaS&#10;nGL9UcLrNp4i1Fo2vdOlZ4wRvjg5b3YqOah/tnVLOaNp7NCI7f7N5csRC7M85HHNd09jfJ9y+k/4&#10;Ec1C/wDbEYO25DexWp9n2Zqs3vHllSVjzbUbyC82eXp0Fo4JJMJb5vwJNaVpr1lbwW0PlXCiKGRW&#10;YEElmI5H5V1U51Bh++tLWb/ejB/nWdNDA3E2hW590UL/ACAo5GVLMqNSPLODt63OW8Raha6reR3N&#10;usqfLtZHAwMHjGPzrEKnPNdrNaaS339JljP+w7f41Qm0/Qu/22LPqQf6UckioZhhorlV0cqEya9Z&#10;CfuYhjPA6fSuEbS9PY7obu4P/bEH+orqz4hshAq4lBUAfMhGTj/61VGLW5xY3EUqluRlxU/edO9X&#10;I1Ve4Fc6fEFpGeS4yeMrjNOHiKDA2I5/A/8A1quxwXR1SugHUfWpFnXaSMmuQOvzsf3UAX3JqI6j&#10;fzE5kC/Qf40ENnaG8Vf4lH4/4VXk1SJBzIB+QrmUinlA8yV2/GrMVkuf60yWacmtr/ApY/j/APWq&#10;BtVuXPyJgH3A/lSJbADGKnSAAcCgkqGW7l5L4P05/WlW2kkOXkY+2f6VoLD0wOlSLGB25oAoJZKv&#10;QD8qmFsoxxV1Y8inBewFAioIFxwMiniH2Aq0Eo2UgK3lgCl8sH3qzsJ4pNuOMdKB2Ou0hMaXbj/Z&#10;rSUcVT05cafbj/YFXgKhmiHL0qRe1MHFPXqKQMim+6axr4fun+hran+6ax78fuHPtQUtjngoPvSr&#10;EM1KF9BUiqcU2ySIJyBTwnXipQlP2/QfWpGWlHbFO44zQPfrTsUigB5FOxzR+FOHBpiDpS0AUoAo&#10;AUCpAOlNxinr70AOxQOecUuKUDAoABxThR2pRTEFLS4zSgYGaYDe9BFOFKRmmBVuB8nSua1AH581&#10;1E4+Q1zOoA4eqRLPMPFyA2U4/wBn+te1+G4mTwvpStywtIgcf7orxrxSmbS4/wBxq9m8Lv5nhTSX&#10;9bSI/wDjorohFM5qk3HY09vFKEIo3llyDgVDHcliSDuAODxgitPZIx+sPqTbT6UbTnoalHIpankR&#10;p7UgI+tNqzS4o5SvaFWirW0eg/KkKL/dFHKPnRWpD1q15aHtSeSh9aOUfMirSYAq0bdexNNNsSOt&#10;Fh8yKp6U08GrJtWxwRTTbSegpWDmRWNNIqdoJB/AfyqMxtnBU/lRYd0ef6IMeO/FK/8ATWE/+OV1&#10;arx+NcvpKlfiH4oUgjJgP/jldcgyKxnuaQ2IWWo2SrRFRsoqC0UXQHIqB46vsvNQOh5pDM2SMYqp&#10;LHWq6dapzJ1wKYzFupEi5Zciub1zXLazsjIluskm4AK3Suh1RcJXnfiZv3SL6v8A0NXFXZnN2Kbe&#10;Mbp5D/osGM8AZ4/Won8RytP57QDAGNqvx/nmufHLn61KDGufNViu04CnHNaOKM+Zm+PFds2N1ky+&#10;uHzW/ptzBqVr58SsFzjDD0rzY9eOnvXovhaHboUGB94sf1qJKxSZsRQ56CrMcP1pYY+OnNW4o+Rx&#10;WbZRLFEMCrUaZFLGmAeKsonTigQxY+AfSpAmTUmwcYp4THNBLGqv404JnrUip+dOC+tADAuOMU4L&#10;n3p4XmnbfagRFtx9KXYCR61LtGPxox27UARYoI71IQPrTeM4FIo7CyAFnD/uD+VWgKhtVxbRD0Uf&#10;yqxUs0Q4U5OtNANSKOfwpCZDN901kagP3Dj2rYn6VkX/APqGoGtjGC9M1Mq59qaoHbipQKGIAvPW&#10;pAv+cUgXHNPxUjJe3qad1x1ripPHJv3hh0KymnaZXYyyphUC98ZG7nrg8fpXKzfF/Ura2MMul2/2&#10;1WxuywTH+71/Wq5WLmR6Tr+sSaLbQSx26zCSUIQWxj3q1p2rW2or+7JSQdY26/8A1687034gDxHb&#10;x2OoWqw3hffG0XKMB1HJyDXezeHYLu1hurNjbzlA3y9CcfpS62KumrmuKcBWDDql3p8ottVhIHRZ&#10;l6f/AF617a9trsMbeaOTacNtPT60AWRUgqMVIKYDwPagUUo60CFFKBigUopgL26Uo6Ug604UAGKO&#10;1LQelMCCcfIa5vUB9+ukn+5XO3wzvq0RI838Srm1uBjqjfyr1fwS/meCdHb/AKdUH5DFeW+I1zBM&#10;Mfwt/KvSfh4/meA9JPpDj8ia6aRy1tjosPCWG0vGTnjqKSKNFXbGjAZz82f61PmkZgqlmOAOSa2O&#10;ayH7QQM9qXAqKOaOWMSRuGQ9CDxSrNG5wrqSecA1Ni1JEmB6mj8TTBLGTt3rnpjNLvXONwz9aLDu&#10;h4+tZ1xBem53RuSmRj5sdqvhh2NLnmhOwSSkrGYkWpqpUyZJA+bI4PHb86ZNPqcflYRif4sKDWvm&#10;lp8/kT7Ls2KuSoz1xS03NGc1BtcdmjNNzS5oHcMik4oPWkHWgVzzyIAfEzxCPWG3P/jtdGnQ1znT&#10;4n67721uf0ro05H41z1PiOml8KHEcVGRUtMYc1makDLmonGQanao3FAyo61VkQEHNXmGM1WkXigZ&#10;iX1p5wIB7VyGq+FmvWXe5AU5AHFegOmSelVni+lNOwmrnlz+Bolb/loPcNUT+AxKny3EiexANemv&#10;CP7tQPEAelPmYuVHlk3gO4j+7dIfTK4rrtH042OmwW7kM0a4JHQ1r3EXzdKkSLkVLlcOVEaQ89Ku&#10;Rw9P0pY4/arKLgc5+tIVgRKnReKRVqZBQJgBxzTwuRQAc84p4TNMlgFx2pw69KAD9acBzQIUfTmk&#10;x9aX6frRwPrQIDnFJjvTwCRyKSgYwjoTTQPmpx6HGKRR8y/WkNI7WEYiQewqUVHH90D2qQVLNBw5&#10;p6dTTBmpEHWhK5LZDP0rJ1D/AFLVszITWPqalYh9cUNWKT0MtBUgB4pg6+9SopOKTEOAOKd0HWlV&#10;TSkfSkM+XFmktppJbG5mSNcgOMoxX3AJ/nUUokuJg0rPJKRk7uTwO/4Vb1SXTp72+ktI2SKRswIo&#10;wq888duKrRTlQ5aIvIy/JIWOVx36+2K2MDb8KX6xaxbRzQiQbiseTgxlscivpPSWL6Tbn0XFfMGj&#10;S2UOqpNN58nyrsYAArJx1Hcdq+mfDz+bo8ftxWT+I1h8JauLeK4QxzIroezDNcreeFntbz7bp802&#10;RyY1kKn8COv0NdgRg00jJq7AZelajFcxLCZH+0IMOsgAbjvWotZWpQRQ3VpdhQJPPVCwHUNxz+da&#10;q9KhlDhTu9AFLjmgBcUoFKBxS0AA+lL2oHXpS0wEoxS0v1qgIZh8hrnb/jf/AIV0ko+Q1z18OXqk&#10;RI8719cxyfQ13vwyfd4B03nOA4/8eNcRryD95xgV2HwsbPgO0H915B/48a6aRy19jtaCAQR2pKDn&#10;Bx1rY5LgI1SPYgCjHAA4FVzbODuR0VsAZCCpITM0GJwgk5yEPFVhaugOyFORjlj+NIoW4AWYFRgq&#10;M5EeeT71C21pN527jyxZD2FWH/0T/VquWBOGbvQLyQqpEcbE4DASDimFiBcQSpL+5Hy7VPzYxnNT&#10;LfuwBVoWyMgZNSx3SswVxGoIzkODSrPEW/1adeuRQUvUkNweBGoZiDxnFDXO0kbRn03CmrMhdT5P&#10;J4yBUpjjJyVXP0qSlfoxwlQj7y/nS5HY1GIIR0ReaBBEqsoUAHqKQ9STPvRmoPssO3aAQPY1Mg2j&#10;HpQJNjqKSkzQO5565x8U9ZHrZwGukj6VzcwP/C1NT97CE/qa6SMYFc9X4jspfCiSmNT6a1ZGpC1R&#10;NUzc1EwoGQuKgkFWGFQuKAKjrz71C6CrTCoWFAyq6e1V3T0q8w7YFV5FHbpSAy7lPmWpFjHelul+&#10;ZRipVG0CkAqKAMVMq8U1RgjpUwHHFMloVVxzUqj5cUxeOlO82JXCNIoY9ATgmglku3jk07mqcmoW&#10;0QBaZSCccc8/hUVtrNpdzmKJmYhim7b8pPse9BLZpcdMUd+lRTXMNvGZJpVjQdWY4FPV1dQVIKnk&#10;H1piuSD3owM/XrTd/vWRqt7cQpIIZYoVRCWZwSfrx0/GgRtkjp0phPOa4S41/Ujby+TfCGSKMMBL&#10;EBuHPPzAZHuKy5dV8QX1pHeI1zFbknc8AJye5xn/AOtSC56acMfTFImDMgB71xehQ31levJcxTur&#10;FQ8hOCSR6ZII6c9a6+2O67hHq4/nQUjvUU4qVUpyrgU8DFFh3EC4p4FJThVwWpLY1hkVjawP3aju&#10;WraNY2s/dj+tKS1HEykX3qZQPp+FMXAFSL17VFiyQD2ppXB4pw6Y5pp4NSwPmayuQIY4G0qOdHOc&#10;7SHyOeG5/LFa48Tea8nk6fawG2jLx5QHOM5XoOOTSa3r8ttCmnWi/ZmtgoBXDHpzz2+n1rDs9Tuo&#10;LmQhRLPNhXLjJYf3foelaGTOn0XR11ZoI7q1+wrcSmeGRIyysDn5N2cDp0Ne4eEzjTXiznYcZryb&#10;SJfE4uYbaCBLazeNpY1ZQ8a55APQjkgV6X4GluTbyx3iqlz1kVegbvispfEjaC91nUMOabUjjmmG&#10;tCTL1xf+JbI+P9WVk/75IP8AStCM5AqC/jE1pNGf4kI/SlsZPMtIX/vIp/SpZUS4KdTVNOpDFFOx&#10;602nZpiFApRzRwOM0UwDpS0lL2pgRy/cNYN995sVvyfdNYd8PmaqiTI8/wBeGfMFdL8KG/4ouNf7&#10;s8g/Wud15cO/HFbnwob/AIpJh6XUn8xXTS3OSv8ACegUHkGmqadWxxkUETQw7GleU8/M3Wq0ck8c&#10;2SkzKV7gYFXuaUUDRQJl3HKTHnjKA03a+c7ZBk8ZiHFaVGaLlGZCvmssZjweeXhGOPxqQaew5Bi3&#10;eoTvV8mkB9qLhoRRWwGGl2s4OQVGKe1vE7bmXJqTNFIq6IhawhtwU5+ppVgRM43cjB5qTNGaAuiH&#10;7MuCBJIM/wC1UqjYoXJOO560UE0CbFzSUlBNFhXOBuP+SrX3vpsR/wDHzXSR9K5q6OPivde+lx/+&#10;jDXSx9Pxrlq/EehQ+BElMbrT6YxrE2IWqNutSMRzUTHigZGxqBz1qVyAKgcjBpgQsfQ1Gx9+aHcc&#10;81EzcikMDzUEnens/XmqlxdRW67ppkjX1dgKAIrg/vUqVarSSrK6MjKynoVOQasA8CpAlXrUg61C&#10;G5qQNTELNMLeB5WIwgzycD86464W88QMl1b6aiOHKfaGcOuOckA4zXXuqSoUkUMpxkHpSx+XFFiN&#10;QqLk4FMiR5zJ4Z8Rx3H2g5lkY4LeZnr6/lWjbr4g0i4RVitLhQigSMgXZjsBxjgDmq51nWdV1eUW&#10;+opZWq5AL7Qox069TTJINc3IINfEkbKWklMgKj04NBkX7ttf1CSK5GmqWVQ5DlCuPT1/DmtAeILw&#10;WSxLbpbXCKA8brgrnptycY+tctGda0l/Lur5VSU7gyXYQdz78fQdasT+M737JHi1ikKHBnySGxxz&#10;wM0AbEfnyTS+fItvNs4WWVhluMMecdzVG8kuLVjGuqQXzn70RXdnpkZyf056VyNxf3ep3nnSPvld&#10;gCijqfoKa0tzaXIMRlVl+Tngg+n86AudKyT6tqc8tzFcHEm2NT9xcn5c+gxkfWtQeI9QtoVtRbRy&#10;T52AxJlQwGccde1c2viK9ithZyWcf7wHa0yHnPXB9/WrNpew3kjNbzTWdyzAtDGud2B1B7nmgLna&#10;2Fxqcu03SW4TaMbM5P8AnitvTWzqdspH/LRf51zOjRKiG4HnfvFBy8hYH3GeR9K6HRmDazaAHrKP&#10;50Fo9OFLSA80o5piFpwpopwq4biYhrE1s8xj61tmsDW2/fxD2NTPcqJRSpkqvG3arC1FzQkIOMUh&#10;46frS54pjVLEfNmnyaa8F3eX7RrIsnmpbjq5PQZ9KtHX7O4jnme2iSaMLsYDlunHXOQRwa5txE0Q&#10;GxklHPX5WH+NEa+blXJJRTsVRyepraxlc65PEEqyySWtwkxvSZPLncKsQX+Eg8c//q5r1zwFNF57&#10;CGVXVlycSbwp6kZ9jXz2L6Z2kLQRTF1IKmMcY7jHQ16r8GbnBMZP/LQjr6gVlNWszSm90e1OKiP1&#10;qZgKiarAgcZU1U0rIskQ/wABZPyJFXmHWqNh8jXCekx4+uD/AFqZDiaC9hUlRin/AEqRjh0pw96a&#10;KcAKYC8UozRiimgFzz2oNGOaKBDH+6axL77x9a3G5U1i6gMMc1SFI4LX/wCM1qfCdv8Ail5x6Xkn&#10;9KzdfHL8Vo/COMy+Hb7aQNl9Ipz9Aa6qTs9TmrJtWR6ArVKDTRbuOpX86eIm9VrZyj3OT2c+wZop&#10;3ln1FJsPqKXMh+zn2CjNG33FG33FLmQezn2DNLmk28dRRt96Lofs59hc0ZpuKKOZB7OfYdSZpufe&#10;jd70XQezn2HZoJphYY60m8etO6F7OfYfSZpvmL/eppkT+9RzITpVOxwt7/yVaf30pP8A0Ya6SI8G&#10;uUvZ0PxXnUHkaWgP/fZrqIXBHHrXLV+I9CgmoJMnJxULNinFuKrSPzxWJuPZuDVZ3OetK0mAc9ar&#10;SPg0ALLLtFVGnHrSXEhK1SkkFAyRpgWPNMaXHWqjSHPtWbf6zHbwy+QQ8yqSAfaiwm7Hn3jjUNak&#10;1iRXlkjtFYiJI2wCBxk+9c7BHe6vcRwTTyucHaXYnHGa7xoVu0MkN0vmOVYo4z25PPfNVTHbxtPL&#10;tWWVcI5VAFHHYflS5+h0fVtOZsyvBV/fWXiCDTzIXglYhoychcZOR6dK9YDVw3ha3sG1CS5jaP7Q&#10;hKeWBgr6n3rtcnvTfcwtyuyJw+OvNSF+M1X3U7PakI838c6zrEt69vAZYLJDtyhxvPqTXP6bqWo6&#10;bKjxX8gfPMZclSPQg12HjCG5FvOIowUZg27P07Vx0Nh9mvI31GMx2hkCtOOcZ7gelVcicWtjql1K&#10;1kJcWCqsSmUqeMgcHnP8h/hWTNqk1xKt151tbC3QrBGg5APPGe/vXRap4TQ2UZ06VRG3zSSuxJKH&#10;HTHHqa5MWtjujklS6KSIRExAAYgkE/y45pGTGT38t7L5txKZ37ljyRTVKyYWSXajOPlwcL7gU0Wz&#10;o4Lqh2t8p6AjuKknjMNyyoiIynIX7wH86RLHKYkQxxW+XbOJWJ6A9QKla6v2t4rRTGsDE42xjk++&#10;BmpVSOO7R4ZzlUDs0q7cN1wK6CK8sLKy+0yP54cIgQABgASTwe+T1pgjHEd1/Z2WVp7diflB/wBX&#10;tAJcY7ciurtNM0vW7SG5hyJowMuG+cEdjVqzfTHtPIHlxB1YbHIBweSPpVuz06Cyuri4iwBOF+UD&#10;gbRjigotsqgYAAFXfD/za9aAdPMBrPkfvV3w0+7xBac/xH+RoNInqVKKaDSg0xMfTh0pgNPHSrhu&#10;SxDXN623+mxj/ZP866Nulcxrbf6eo/2BUS3LgVkOTxVlB0qrGe+KtR9OlQWTdqYaU8AU0HHQZpMD&#10;5RQgr1Zc8Z9amS0lmmhWGGUO+Fznq3rnHFPtr8xxrG0UbwZG5JBuH19avDUbPT50l01bhZQ+W3Hg&#10;D0Bzn/PetjA7bwx4fGi6vbwXtgkv2yAssh+YxuB8y/Qiuj0HRIfDmv8AmQDZDcXG5UHRRgcfnmuG&#10;uviDO9oTapJFOhG1nUMD6g+netfw/wCLrrVr62gu7YRyqN4kVjhvwPT86xmna5tTcb2Pem5FRkUR&#10;u0kCOAPmUHpSESY/+tWiERsKo2y7dTulx1CP/Mf0q8yuc8kfkKyp4/L1ZCWJ3xHuexH+NKQ0bAU9&#10;cU/B9KzUQHvUwjX2qBl4A+lKBVHy19vyqRYo/QflVWAuYHrRx6j86riOLuB+VOEMJ7D8qAJsr6j8&#10;6Ny/3l/OmCGH0/QUeVEO36CmIVmTB+dfzrG1B0B++v51seXH6foKr3cURiOV/Qf4U0JnmfiF0+bD&#10;A/Q1ofBo/wDEg1QZ6ag//oK1F4rhj2AouODTvg02NF1dfS/b/wBBFaoze56ZnijNJnijNBQ6jtSZ&#10;4ophYOKMUnFKKB2E5oxS0hphYQ0mKXNJSATFNNONNJoAQ+lMYU4mmk4oAYaiY1IWHeq8jc0gPP7t&#10;kHxXui5OP7Nj6f79dZDdwqv8X5Vx98w/4WjdEn/mGx8/8DNbqzoqj5hUTHE12vYsfxZ+lVZLuLP8&#10;X5CqDXcag5cfnVaS8iHWQZ+tQaF976HnOfyqBr6Ejq1ZEt7ED98GoPtsZ/i/SgDSnvYcHlqoTX0I&#10;H8VZ1zfxZwCfyNZ8l+jHA3H/AICaBNmvPdqbaQoDuxwO9YF5Z/abQSqxDHkH3rZuAiQxp3C8k+pr&#10;L0+7W5svLc4ZGKmqJ33OaslvxfCBgVt/L3gqAQ2T0z2rqLWytpdPaKSMeXMuWGecHnqKpQp5mpCO&#10;IliqrCB6liT/AEH516WvgeBoIQ9+UdEUERwgDIGPWk0acztY8G1HSbjQPE1ulleeX5zAwzSH7ueC&#10;GP8A9bvXplleyNap9pUecAN5UYBPqK29T+FtjqV3Z3EmrTo1sxIxCPm6e/HSode0Kz8P6ZG8d3NM&#10;+4IkZjGSOSScGhtMjladyst3HnlTipPtcfXBrAS/CnmOUf8AAalXUIi3IcDv8ppWAXUJxcXajy/M&#10;jiKh0zx83+GKq6vpCX1k25RtcdB29xUtjPFdQzzRH5CzsT6kf/qq6u+S0UD7u3ig64wTiY93dGy8&#10;I2NtKpkkV1jdSeGC5/ngVTg0iXUJo1vswRImYwp7E8gelXCtrcykzyLiGUjax4IwKZeeIrGzQRxv&#10;5zD5QFPA+poOCatItjQ9PigKxhGYnIaRd2PzJH6VyPiHTYNNeE2wdCxOctnPTp/+qrs/i6RgRBAo&#10;A7uc1i39zJfzmeTILHhS+QB7UEOxYiuPsu0T4kieMjcBu2kg4xnIzn1ps1uDbxzLJHJNIRui/iX8&#10;KrNPJMih5m2pgbWOaFxkSKzg5+8CRzQSaMFncCFGWQxI7HaS44OOenQ49a17LQ9Slc4nuLaMfKWa&#10;QoT77cf1rEtruW3kXaVkEuATL84HPB/OukkGsIFJvIiydR5Yw/400NCPHq2jzBxdPfQgHcrtjH06&#10;12Hgq7hvtYs54WyGJJHdTg8Vy6PLLCDcCPf32E4rX8AWC23i5ZEY7H3Ns7Dg0jSNz2lTUoNQDmpF&#10;6UFMlHWpF6VEKlH3a0p7kMa3Q1yessP7SI/2RXWP0Nchqzf8TOT6ConuVAji4q2lU4z61bT9agsm&#10;Y9utMAz2oJwKWP52OKQHypcxqsm+KN0iI+Qt1Pv/ADpgV2RcKcscDPrVl7O5aJ1hLziEb2Kcqo9a&#10;2PD0OoR3ghNvAVLBmFwoBTuCO45FbXOcwl8+8m8phl1XaqqoBOOx9a6Hw9N9n1uyjWSTcikSRlgy&#10;jPORjp2yK3bvQTdC+u47Bhd3MZETKflRx1yOxPY8g+1JY+HZNLsLG+mLLcz7llTHbBIz7jFQ2mi4&#10;pp3PetMl83SbV89Yl/lU5f3rK8MOLjw5aOeflIP4E1qGNf7oojsW9xjOAeo/OsfUJQt/ZsMnLMnH&#10;PUZ/pW0yD+6PyrL1ZdgtZcfcuE/Inb/Wm9gW45Jm/wCeb/8AfJqVZW/55Sf981ZVR+VSBfaosWVh&#10;I5/5ZP8AlTg8hP8Aqn/SrQSnhaBFYGXp5TfmKcDN/wA8j/30KshadtpgVwZv+ef/AI9S5nP8C/8A&#10;fVWQtLtpiuVcTY6L/wB9VVu5JQm3av51qbaY0Ct1FNCucDrVsZ4yHB4HauO8F+M7LwaNWs7uzvZ2&#10;lvGkQwRggDpzkj0r2l7GJ+qA1CdMtz/yzX8qtOxLRwn/AAt+wJATQ9VOemYwP60H4sj/AJZ+GdTf&#10;8Mf0ruv7Ntx/yzX8qP7Oh/uCnzhynB/8LUvG+54S1E/8CP8A8TQfidq7fc8HXp+rkf8Astd8LCIf&#10;wCj7FF/cFHOHKcB/wsfxG2PL8GTf8CnP/wATR/wnvi9/ueEkH+9Ma9BFnH/cH5Uv2RP7o/KjnHyn&#10;nn/CZ+On+54YtF/3pP8A7Kk/4Sj4hP8Ad0PTl+rE/wDs1ei/ZkH8Io+zr/dFHOw5Tzn+3fiRJ0sN&#10;JT8G/wDiqb/aHxKf+LS0+kdek+So7CuF+IvjNfDWmG308rJqcwwmBkRDux9/SmpNiaSMma8+IaDM&#10;2saZAD6xqP5ikRfiHcqHTxHbbD3jgQj/ANBrxK6n1G8mee7lnmkc5ZnYnNWNH8Rajouo29xbXEoW&#10;NwTHvO088gir5XYjmR7K2mfEB/v+JyP92BR/So20Dxs3L+K7kf7qY/rXpUAWa2il24DoGx9RSvEP&#10;SsuZmlkeXN4Y8VOP3nivUf8AgLEf1qP/AIQ3W5D+/wDFGrn/AHZ2H9a9PaEelV3i5HFHMwsjjdF8&#10;Gx6VfPfSX15eTyR+WTcuH4zn0zXQi2jx9xfyq8yhQBURGelJ6jKL28f9xfyqpPEnTaK0JTiqE5yO&#10;uKkpMoPGnoKYUTB4AqRqCoI4NANmTdRqCTgVnb4o54y5VRuHU1o37AMQK5TW7Sa9WPyivyE5BOM0&#10;AtTU1O/t47pVaSIjIPDg/wAqxZLhIb2RoJFaNjnKkVhXED2rhJl2nHGehqNZUX+IYPvTNI01J7nU&#10;+HNQtrHXvtd8xMCv5gCjJJAG39a7xviTYMCEguDnjOAP6148lzCvWZB9TU6X1spGbhP++qzlc6oU&#10;aa3Z6zp3jGCC2EYS6l5JLzOGY1k67qb6tqMU4+SCOMqEPJyT1rkLbXLBF+a5jBHvT5PEVgBxcqfo&#10;DWV5XOj2VBo05dRgt/8AWk/gM1ajnins/Oj+ZCpI461x8+oR3z4g3P74OK17W4aDSdjcMARj8a2i&#10;3bU4q1OnF+4yta2jhmiSR4VaUkHJA569O1dazG1s/LYqxC4XbXP2k0vmxiOLdJjhT6e/pWuLB3jV&#10;5mKqcN5eelUaRjZGV/Y97eWmx5Ft43kLMOpYcY/rU9v4ftIpHeWNZGIxgjge9a8JzFg5+U4prvtP&#10;Wg4JrU5278NwTTysn7tSo2Bexzya53WLJrG6WEsDGeVPfHTmu8ZsjmuX8RKJLuEYB4GfpmkTymOb&#10;aMriBmIMm0e9alrZRtuHBJQgR5HzOP6VPc6VFFdxQpk/L1PbJ4rY/sYLeQGEARxhcnucf40hOJz1&#10;lFFLfxRyI0cIYEkE4PauxfTs/dlfA96kksoppoZXQExZxgccjFW+dvNUhJGJLZOmQsrVv+BIpF8T&#10;RFnyAjfyrPuMdc5ra8ED/ioQfSNqRoj08OFGSQAO5rjbr4o6Ja6tLZKWkWI4aUHgt6D296wfib43&#10;m063/sjSnAmlBE04/gH90e9eIFpA+7dk55NUlcG7H0/p3xD0C+u1tWuDBKxAXzRgH8a7BcbRXyJY&#10;SNJKhZssOFJ7V9FfDbXn1nwvFHO+64tgI2YnO4dj+n6VpFWZD1Ouk6GuN1RgdUl/D+VdjKcKa4fU&#10;n/4mc3Pf+lZT3KgSxEcYq2mOtUIWOatoeKzLJmIxkVPYAPM3+7mqjNnjrV7SBuuX/wBz+oqluJnz&#10;bpU8VjqG5biaOOeElo403tnscDI96qmGZ7eOTa7APJKZxwXUY7/X+dSaXorz/ZbixvY/PDfNgnKe&#10;h/z61qaq19HrH2eEKIZYyF3NsUe+c8ZPOD19Kp9jI3dFvQ91HKlzNbQXaBY42wVWUZzkds/ka6S9&#10;ikutLIulC3Fu2TsztbgjI9sGvM7WZ767v4dQO+5DAnygN/yZ5UZAI9R1NeoRX1tqOiM9tLuCqFZT&#10;95SOoYdjUSRpBnVeAZvO8OAf3JSP0B/rXTH0rivhtKTp97D/AHJQf0x/Su3PWqjsEiM1la8CukzS&#10;D/lmVk/Ig/0rYxxVHVYvN0u6jHVomA/KqJTZYX6U8Cq2nv52n20v9+JW/MCrgFSaCgU7FIBUgoEI&#10;BTsUU4dKYgxS4opadibiYpcUtFOwhu2jbTu9BosFxm3Pak20+loC5Hto2CpKKB3I9vrS7RT8UUBc&#10;ZtpMe1SUhoFc8Z+Lfju803UE0TSrhoXWPdcOnXJ6AHtxz+NeOT3k1w7SzzPI7clmbJNXfGl8194y&#10;1a5diS11IAfYHA/QVgsd3euiKSRlKTuX1uIwuMfXnrViGO3usCRMejDqKzYYBKG3yBCBke5p0Usk&#10;MpQspHqKp7Aj6x8OXsV/4dsZonDDyVVsdmAwf1FaJryj4O69LcLdaS5JjjTzUP8Ad5wf516seK5m&#10;jdEbDioJFqw1QyEUAVJRkVVc7TVqRcVQuGxxSAhmbORXH+LfFlr4eh2Z8y5cfLGO3ua6zkivnvxp&#10;eve+J7wsThHKjJ9KErsG7F66+IeszqAjpER3Rev51teHviLJJItpq6qN3C3CDGP94f1FeexRqcFq&#10;uQwROfQ1bjoQm7nrl5LvJbOQehFZMjVV0OeSTR0WQktGSgJ7jtUrHmszQwPEWoKs0FoxAVgXbI/L&#10;+tZAijbpj86reJpvM1iQZyEAWiwXfZgsSTnjntVNaDjLUQwRZPPA96QRwD0/76rodP8ADenXdss8&#10;8k4Zs5CsAOv0rTj8J6Fxv+0N/wBtP/rVk5pHdGlJq9jjNlvjnb+dAEIYdCM13w8L+GkUkwyt/vTH&#10;+lc/fW2k2OqSQRLGkTIGUO2SD9TRCSk7IirGVON2RQXGnxSKqyTbOhXGQPpW0yWtnBbTC4V1kUuY&#10;ycsvoTXLX0Nn5Q8gxBiw5DClQgaDIxGSFbB61s1ocUZ2lcsf8Jnd2c9wtpHEQ7Y3v82VB/Styz+J&#10;UbxBNQsDvHBeA8H8D/jXnK9auadEJr6FDyN2TRyor2077nqsGrxX2JIkeNXAO1sZqfcSc1kWEflq&#10;Nqk+4rVDLlQWGT0ANS0TzNu7FOc+orn9cAa7U5AOwYzx3NaOoavbafKkUokZ2GQqLkge9Yd9cz6n&#10;dxSWcE+FGP8AVbs/rU2Gb9vsurtJlO4buPoBW9GoXk8D3rj7ez8Qwo88NpdoioSzGAKAB1OTmuc1&#10;HVbm7zG9zO495OPyAAoUQbPSptb0yByj3turDtvBxTI9c0yUjbewnJxy4FeTLweRXQaH4bvdccQ2&#10;MIaRE8yVmOAoPQf59avlIud7MwIyCCD3q74fj8ye7HmmMC2Zt4GcYINULfwV4lEMcZvLeNFGAAN2&#10;B+NSz6Bqeg2z3tzqrNHwjxxx7QwPYn0rNo2irmPqunjU7kyl2CBmfbySSe1clrmnrp2oERn904yP&#10;b1H513dnd200oOQQD0zVDxRoYvLRbiIqhQnILAcGsoVGpWZ11qEfZXW5xNswDjac47V7N8H79Ivt&#10;MJ8xmKDCIhY9evHTr+teO2+nXUtwsVvG0smeiZP8q95+GGjvaeELm/b5J7vcEYdlXgH88/kK6zzk&#10;egzn5DXDXr51Gc/7Rrqbee4+y+XdCPzUADMhJB6+v0rj7mQNezH/AGzWMjSKsWYiRxmrkZrPifmr&#10;aPnFQUTse4P1rS0PmeU+ij+dY7OAOtbOgctMfYf1px3JlsfLmoabd6TeQxncGK5DoQMjv0qz/awl&#10;jt2muDcxWh8zyLg7TIT0UHnOPpXWy+X9qge7hsAYn2q3n7WU/TGAenBNTanY24nhsv7EjnjnJk81&#10;fkCsOeoGe3b9armM+U5+eU6v/Z0kdvbxXCkvMI4j8injce7KB/8ArqW21KPTvErRW00csc0nksI1&#10;Kqc8Hj1BGeSc57Vz09nM8F222RbiyJ3YPRd2OvU45rqvCenadf6POq3IOoR3C3Ll+XKryMd8ckU3&#10;sC1Z6N8NpsajqkHY4b9T/jXoZ69K8s+H03l+LrqP/npAf5g16kTzQimL+lV7uSOK2keUgRhSWJ9K&#10;mY88Vi30o1O7OnRn93GQ07jp6habEizogKaPaIf4YwBn0HT9K0s1CmFUKBwO1PBqSyUNzTt1RA80&#10;7OKBMlzTgaiB4pw9aYiQGnA1GDTs80xND80ZpuaM0xDqKTNGaAFzRSUdqYC5orE1bxboGhvs1HVb&#10;aCTOPLLbn/75GTWnbXtteW8dxbXEcsMg3I6MCGHtRYCxmim5FLnmkAtQXkvk2c8u4LsjZsntgVNm&#10;snxM5TwzqTKMkWznGcdqRUVdo+T/ABIzSa/fSMBl5mfIXAOTnOKyQDmuh8QWc4jSeRfmLHOK51sr&#10;wa3hK6Ir0+Wo0gLknnIAoTJJPftQoJBHHPWr9jbme4igXALnGe1U2RGLbsewfB7Sja6Lf6pIrCaf&#10;akOP7qnJ/M/yr02fWNP08B9UvLa0DDKLLMqk++Sf0FedaF4UubrSbRP7VitooYfnhV5d3UnkJIg7&#10;9810UXgm3hQC01d47luWeGMJu+rKRIfxc1infU6JR5XynUpPFPAs0EiyQyDckinhh6ioHkAq1LcW&#10;Nvp0cUl0irGAgaSXJHbkscn8TXL3/ifRrTcs2qWoxxxKDn8qLEM1Zp1A61mTTqWrnbjx/oBkWKK8&#10;M7scBY0JyfStJZTKiuUZCf4W6ipY0W/tAUHAFfPHii2lg8QXrMdwMzZbPevfMnvXnfj/AEOM77uK&#10;MKZgNxH94dzST1LSvFo8xjfOBnmtGCJjgjoffpWMVZZNueR3Bra0NC16qEFkwXdR1IAzxWrehjFX&#10;Z3enwmz0mDJBMo8wjuOSP6U2Rye1FvrWkz4RiUPTBPT+tWJbrSETcLiM+3Oa5+fyOx0E9U1Y801w&#10;/wDE2uucneau2Q22cQ/2c11Mj6JJI8n2WJ2JyWMQJqzA9mwxEI1AOMBAMU3UlbYIUIX1mjFtbt47&#10;dEUMcegNXEu7kjCwzH6Ia3h5a8NJGv1bFRPfafCP3l9bLjt5grllWd9j04UopfEYMp1SU4S2mxnu&#10;MfzrMufD+rXl9HKbfAxglnH+Nda3iHRYhzeof90Z/lVWTxfpCMdjSv8ART/UURqVL6RM6tKhJWlP&#10;8Uc4PB2os3/LFfq/+ArQuNFOmaG32so4xt2qSMselW38cWCfctp3PuAP602HUf8AhKtW0qyWExxy&#10;XALKT1UHr+Wa2hKtKXvLQ5KtPDRi+R3YumfDPXb6GOZdNt4lkAYGZ2BwfbJrpLL4U31oFnvdSsLF&#10;MgGRYgxGfrivWbeUBFCIABwKl1XT7y6s4TCgZopllwD1xn/GulXucqjE4WT4b2Flps9/e6/dTwwI&#10;XYwkIpwM+9cHo7CCy8+RgpuGLJuPO3sPeu7+LGumw8K/YonCvfyAMo7KBlv5frXhNve3VzdIZJ3K&#10;RAlV3cADoP5UpRfQIyjB+8rnt3wy0i31e71XWbuBJQjiGDeuQMdSM/h+dekrZQoflhRfoorkfh0j&#10;WPgezQKFMxaVj65PH6AV0/2lvWkC7nN/ErUTYeFntIGCz3ri3T6H736V4g/hiZctJewoD7V0/wAX&#10;NVmvdegsImJFtFk4PRm/+sBXnkem3twfljkc+wJpNPo7DjKPWNzVOhwp11WAt/dU8/zr1r4Y20cH&#10;h24vGwr3cuBx/AvQfmT+VeR2XhzVfmcWU2duBuTb147+1ezaA8Wn6FZ2n8UcQDAD+Lqf1NTzxitZ&#10;FKnKT92FjqmuY0XArlfHXiEaZ4cmSM4luP3S/j1/StB7vI+VSa82+Jpmc2DAnYSw2+/FKNSEnZMq&#10;dGpGPM0c3/wkBiWP7PAscirtLZzn3pi3d3fyeZcO8p7bm4H+FVrGwV8NIM+2a2Y0CAKoAHoK6IwS&#10;1OZ1JPdmjpcrw/KiLHkFSRkHB6816toPiiFPDo0xoPL8mHyoinQgDv7+9eXWtwsaqrICD+GK07bU&#10;beOTYJjExPRhj9aqUU0EDrr/AMXweG9N3j97NO4UbyeOCcmuIPifzrl5UmGZGLEJKRjPoCTWvLP4&#10;dvYtmt3DJ5fzK0QyT2xWDP8A8IXMSLaTUIjnrIFIP4AGueCVONmrmrjzPRm3beJHAGZpx9Qrj+la&#10;9v4kRiB9vhJ9JI9uP1rkrHSvDFzIFGrvA2cgspX+S1uronhGyQNdeKQ6MMlVXzP6ZpOcOzB05R3a&#10;N+LVpJwTEbabHXY+a6vwrdPKlzviKbSo5Oc9a4Sw13wbZM0OnXFzcNtLPIYSoAH1xTx46s1crZBU&#10;XuZQ+T+QrHmlfSLL5YOPxHN2/hNtQihvIwVt7ksby1kYhixY5IPqD0+ldTNoscmhtpiySKvl+Wsm&#10;75h6HNa0UflQrGCSFGMnqf8A69OVSelVciyPLrTwhdW99fafcRxzO1iTDOwJXOfc8HOabdaBBoeo&#10;QXsN6UY7I224QMcYP1B+nNerrAG+8oJxjpVLU9Bsb3TnhlhACnzFwP4gDg1SkyHFI5rwdP5Xju2B&#10;PEkbL1/2T/hXsLGvD9ClEPjPTHB6zBT+Jx/WvYdW1OHS7MzyfM2cIndj6VaEyHW9WFjCsURBuZeE&#10;H93/AGjRp1qtnbBM7nb5nc9WPc1zF1bTme3vLpiZ7hiWHZRxgfhXXxZMa/QUNjSJ1an5qIDiq3ny&#10;eYynoGI+lSBfz6Uue1MB4BpRTAlDU7dUYpw5pgP3elOBqtNe2tqwE9xFGSMgMwHFVG8Q6VH1vYz/&#10;ALuT/Ki9gSbNYGlBrBfxZpa/dkkf/djP9arv4zsVPyQzt9QB/WjmRXs5PodPRXJnxqhOEsz/AMCk&#10;/wDrVJF4plmOBCi/mad0S4SW5xXjX4yzaB4judI0yxgmNt8kks5P3+4AGOBXn198WvFuoRyIdS8i&#10;N+qwRqmB7Hr+tZXxEVn+Iupu+P3squcehUGuZtobi7nWC3ikllc4VEUkn8K6YRTRhKVizJcvNIzu&#10;xZ2OSzHJJp5uJR5brI4aM/KysQV+h7V1mjfDLVdThjknmjsyTlopFO8L64/oa7nTfh7oOmywxyRv&#10;eTFhl5jxnrwo4/PNdUaMpdDGVVI4Wz1X4gXdpG1rda5LAvKsjSEH8e9bWh/Ejxp4fR7e6s7q/Mrf&#10;uxeRtlT6A9T9M1668Sw2oRQFJ4GB0ptvsuYQJgDjtjOTmqeGTVzNYlnnT/Eb4kXg/wBH0NIAeh+z&#10;N/7MaytU8S/EmZEgviyxXDCIxJEg357cc9M16+8HmSxxxjCd6rXNjG7xxgbju6nkrULCJ7sr61bV&#10;I8t1Lw7eSWYWe0d1PJMfzbfyrlrrwqyjMals/gRXuy2TtvEbD5GIIPFI+nRz8T2scnP3sc/mKU8B&#10;bWlL7zeGYwm/30fmjwSz8GXl052gpjqSKR9PvbWdo9Ij87yf9dc4GNw6hc+n86+iLfwtp09tKkXm&#10;27OpXcjZK+/Irx2HTLjQWuNMmdmNuZlY/wB7BPP49a4vZ1E3znX7Wg0vY7+ZseGtZ0u60udbyKZr&#10;iRNiyA8pkNyD25xVOz+H3iPUEVp/EcyxuMqAzHg/iKw/DcMgjQHYBkY3SAf3vevYNLdxZ243DiNe&#10;n0puNkduKw9OnRhOO73OLT4PIyBrnWrqb1AGP6mta3+EfhyAAzm4mI6l5cZ/LFdqspCEk845qPUJ&#10;1jtWlzgbT1pHA0eM32laTY/EizsbCMR21uBJJyW5HI/l+tdxLq9opPzsfoteeaHK2qeLtV1HG4ZI&#10;U/jgfoKwvFXiK5k1Oa0tZ3jhj+RgvBZu/vUtXZKdtT0298YaXp6ZnkCtjhSRn8utec+MfG41+BLO&#10;0jaK3U7nZurnt+FcexLEliSx7nmk25qlCxLn2HRFavWlw9veRzx8FD2rOUESY9at25DHJ4xyaqxJ&#10;oX8q3N7JcNwzkcdKrtcEDGc5FQM7Mx3E9eKik5z9aLBcuR3ZiPJ+XvmrK6k+B5f388+tYxOTg1PG&#10;j7gCwH1NIDcbVlkCxTDzABgk9/8AOazp7OKYmS1KjuUqqylWJbPTmlhlaNuDxnNA7h9lZeGeNfqa&#10;PKjA+a4QfTmpLiyW4HmxBgSOQvPP0qi9pIhwTg+jDFAi1stycecWPooruPAFsqeKRK4ZYraEhSwx&#10;knj+prB07Xb2ygjUWoEajAZYwQce+P61tWnjaASh54xnv1WsJzmtonXSpUnvKx7TFq1nFHgyjj3z&#10;W/Brdlb6K00l1ChCMy72AJ444rxNvEuj6pamB3liDfxK3T8RzS6fpxD79N8SJuxgJOob8OeaiNez&#10;95WN6mGTXuO47xnpM/iS5tJVvMW0Ue0YjLYJPJ9K5WTwxbaZcuoa7uYNoBmRFT36En+ea657XW7V&#10;sm1guCRzJDIY3b8TkD8Kek2rNGDLZwow+UrJKpwPXJDZ/Sqden/MS8NP+Q6bwnrtjeWlppkN61vK&#10;qCOOJ7WQsQBjqAR+tdqugmRCW1ZT/uqMZ/OvG7i4S3cXFzdWsEoGNylmYfyFZEeraHJOEmu72UBs&#10;kYCIfwFQqkHsm/vKdKpHdqP3Hrl54M+2XUr2txYXM4++QRv/ABrOk8KaxBx9ic47oQf5Vytr8ULX&#10;RFMdgrAYxgQj+eBVO7+M+rSEiLzfb5gv8hUSpxntFmka06ejlF/15HTy2N1ZsFuYZYyem9CM1ZhQ&#10;gZMf47cV5ld/ErX7x942bvVtzH+dZM/ifxHdHm8kUHsihaw+qVG9NDX+0KaWuvov8z2Yuqg5ZU/4&#10;EP6V5j4z1yPUdTFvCVaK2yocZO5j1/lXLT3moyEG5u7h8no0hNEKbfmbk114fCuEuaTuceJxiqx5&#10;YqxbSdlXhT9a1IpNtvFLPMsJc/KpUkkDvx2rNgQPJ8/CDk+wrtvBnhr/AISS4mvJ0HkxYWNG6f5F&#10;dpwGbb3FmmPMv4mXuBEc/wA6k1C/0z7FiJzJIeFzGRiu7vvD1ppEbSLZWzlBubCdq4fxRAb+eS6s&#10;4USztwFkI42t6H/61RKVi1FvY5hm8w8mnLErdCM/WonTbjBpY3wByaCWX4AyKNvNaUau0O5oC6+u&#10;KyI2I/iGK1rW/MY2FvlPUGkxot21jHJC/wBjwJJyFYdwPT8eK6+/trHwwbeF9Liug0Q3O/JL9+/T&#10;j9a5U3QiWG5tiiyoeQBXoemXFrrOmJdXwjmKnYQyjg+v5VDdty4pNl5FHQ/rU6qB2rBfxZosY5vA&#10;TjoqMf6VBJ470iMZUTyfRAP5muc1szs7G1jupCjSbT7Lmrt/o8cNjNIJWOEPGK5Dwx4sttW1yO2i&#10;hkjO0sC+Ofyrr/FupHTPDk86BXk+VQpPXJFaRtZkSjK6R4m5aw1CzvdpIScHHrg5/pXpFiJtbvP7&#10;SvU/df8ALCJugHrXnf2j7W6JPAjqjhgCSMEfQ11A12/ES7ZgigdFUDFTzmvsZM6XWxhLRsdJCOPp&#10;W5Af3KH2FecTajd3CqJp3YA55bp71FJczOMG4fpgZOaXOh/V31Z6c1xDGfnljX6sBVd9T06MktdQ&#10;e+GBrzMud3ViaXf0yMD3PSl7QtYbzPRW8R6WnH2oN7KpNQSeLdPT7qzufZP8TXAG5hj+9JGPqwqN&#10;tStFAzcJ+Azml7Qv6sjvG8ZwdEtJD/vMBUL+Mpv+Wdog/wB5ia4U61aDoZG+i1WuPE1pbEB0KHGR&#10;5jhc0c7YewgtzptXv5dXuI55gqPGpUFMjj3rO88xKTMAoH8fY/4VzU3jm0QnDQcej7v5CqT+OBOG&#10;RGQjHOIyR+tFpPoUnTjpc6ttYsl4Nwn0FV5PEFin/LRz9BXk8+syHVDcje0Ak3eVu2gj046VFqOo&#10;3evavJOIQss7ALBAp2jsABW0aEn1OaWKinoj1KXxlp8B+6Wx6sBVrSvGE+p3Hk6Xpvnnuxf5V+px&#10;gVj+FvhhGI1vNdBd+G+yo3C/7xHX6CvS7S1tLO3SG1ijihXhVjXAH4V3UsA3rJnFVx62SOJuPh7P&#10;r3iGbVtXuUi80DNvbg9lC/eP09K6DSvB2iaI6SW1mqyKcrMxLMD9T0rfL7RuAz7VF9rjkBC4J7qe&#10;telToRhsjzp1ZSeo0S+RqsJPSQFD9eoqO8V47hZBndG4cH1Hes6+uhG8W3PyOGHqPatmKaO8tS4x&#10;uxzW1rGRsZWaFX4wRkUwRKrAgce1QaZMrQfZ2OHUcZq4UOMA1ls7DFAZGyjdBxmp4cI53R44+8Bm&#10;mISow44PQipEbBGOlZSGRxW+1ZyMMC/T1FR+UkUgIUj6GrrmJYyc7T6g1nPOC+VJcgjIA/rRG7FZ&#10;GpATFHvkJGegPWo9T0q21bT5La4hUCRSA+PmUnuDVaK7zOHneMEE7VL9K0o50kYHdnHPBzWNSLW5&#10;tTl2PCY/DN94Uu1tr+zAdiCkgfdG3Xkcfoa7S31JILKBmOWZFAHcsR0r0ia2t76MLLHHKmc4ZQ1c&#10;Hrfw9vTqIudGuokh6rFON3lHGMDOQR9RxXHV0V0e99cVelClJWa6lvQr2bU4xbzgNtYgSwqBkfWq&#10;Xie9VtIuYbAmWVUZEXPzE/yrnC+q+HtQ/wBKe/hYgLmPESEewXI/IVsWfhN3lOoTX1w004LBJicI&#10;Dzjj/CudSla9jPlgnZs4LwVZ/wBk6dfG/Ux3HLlTz8qgnrXllzcvdXstxIctI5Yn3Jr6A1+x1rRP&#10;DmqAWwa0ktpA02AzKCvUMOR+NfO+eaum76kVoqNuUnU5+tO9qiU5FPB4rQ5xxXJz3qzbJiKRs88V&#10;HbQtc3MUC4DSMEBPvVyTyIYpUt2kcK5BdgADjuKGMpFhupfvU1hnBA5oUnOCePrSAfHGA2WxipjH&#10;5mAhwB2zTAeOvSmCUpISp96QF3yv3RR2UMRnNVCF3HA47VIJiwIbaM8896APmJ3bsjsKBlm02sGV&#10;1+RhjpzVd/PtpGjjmMiA9QCVP4EVcslEs6Lnr29KZPE6yvg5GTQBc0/xDf2kBt1igKHlcpjafXiu&#10;fmkadzIwGWJJwMc1dIZT0YHsRVA8DAoBjclW4yKuW97cr92Vzg9DzVQ8/lTonC5Y5xkdKGk9wUmt&#10;jpj4r1t4wgmKqAANqgVTm1LU7gnzbmVvYyGs83Sj7iMfrUTXkvUDFQqUI7JGjrVJbyY+aKVSZnJP&#10;PempJgg96ge4kkHzOSPShW4FaIyZpxSxyY81FPua0kGlxxhnmAz2CnNYCE5GDU/7x1+5uH1pNDTO&#10;o0k6Le3TQszoApYMV+8fQc1szR6ZpNvHc3enPNbuxRXSUA5xnDDt+FcJZ3LQq8OwLlt27v06U+ae&#10;VuPMbae2azcG3ubwqxjG1tSa/dLzUpJ7ZHS1LZiR2BKj0p8SgckDNVIgwUgnoeBVhG811QHFbJWR&#10;g3dluNGmeOFBmSZhwPTt+te7eF4bHRtEhthLGHAy3PevHvCsUU+sm6mdUiiGVLdAegye3416F9o2&#10;88bf7wOQfoapWEbGpapLJDPGrYE/LZHbtXOvBanSWsd4AfOVPJc1Jcy/aMR5I3dT6VXTSYrRvNR2&#10;cgZLMcmvOrTvI9XDwUYHm15B9nu5IRyoPBquN3rWtq0H+nyNtIySRWe0ZwMdBXVB3R51SNpMdDJl&#10;ueDU6ZVsk9TxVM/IMmrKMrBTjmrILyyyLnABXvXW+H9YtLexZJBg7snrmuNhJDnByOhrs/BWgx37&#10;yz3UkCxqm1VkkCkknqM/T9aie2pUPiOcVAThI2P0BNOELnB8tgD6jFYUniy4P+rtY19NzE/4VWk8&#10;S6g+cGJPon+Nc/sqjO516K6/gdxpkhtLoSO4THoa3r/XoLmzMBZ3OPSvIJNb1KTrdOM/3QB/Kqsl&#10;5dSH57mVvq5NV9Xk92J4un0R6QLqK3Yl2xn+8QKG8TWcK7TLDx6yZrzFpCTyefek3fT8KpYfuyHj&#10;O0T0SXxnajO2ZD/uoT/OqcvjRP4TKfogH9a4cbuy/pTtjk8Dk+tUsPEzeLn0Oqk8ZzH7sUh92kx/&#10;IVSl8WXkhIWKIf72T/WsaKDLHzcgYONvrSC3f1xVKhTXQh4mq+pfl8Q6g7HEqoP9lB/Wq7arfP8A&#10;eupRn0bH8qrGBQctIo/Gm7Yl4LE/TNWoRWyM3Vm92XdN1+80fU476B/MkTOBLlgQeDnmma1rd1r9&#10;+17eFfM2hFCDAVR2H61TLwLwEJ+tN83+7EPxNVyq9yLt7kSHLe3vWpZf8eJ6cMefyrNL72GQAfYV&#10;oWJJs3HYMf5UNAjP3KsgLglcnIFelfDDTbOQ3GqyBVZG8qIv/CcZJ/UCvMZAcn613/wz1Jd93pMh&#10;P7zE0QH94cHH4Y49q3oW51cyq35XY9Wn88DciMT/AAvHWe15IGIuI54v+msQ4/FT/SqovbyxJNtG&#10;7EHlMZQ/TnIpkni9GOy4tpYm7goTXspJHmu9y0NVuIG3RXcM49H+VvyNNPiGCT5buL7PJ2YDI/Ss&#10;O91GzvI96wySNkgZ4ArldShvZxtt3jgT2OTXJWxtGk+W+p20sDWqR5ktDvbzUrSSIFLhZGXkkN+X&#10;FT2+oSxIqQOQ5A3ZBxXk8GkXUMyO17wGBYAnn2r1fTLr/R4zLHviKg7gORSoYuNdtImthJ0EubqX&#10;Ibu4VxIFbevO4c10cWqM1skmwvnhgOxrDkTcFe3+dT0ZafaS32ntuys0bHmJhz+BrpdmcrOhTUoJ&#10;jtUlG/utxUrXiRRlpHUd+TXmfiTxBqi6tNDYvDaWqhT88W5skAnOTjr7Vzst9qVwcz6zdP8A9c1C&#10;D9BXNKtTi7GkaE3qevS6sbptttG0xB+83CCqd1eWECltT1iCI/8APLzljUfrmvJHh80kTS3dwvpN&#10;MSP1NLHZwRZ8u2hT8M/0qHikvhRqsN3Z6mvjHwhZqAt7DIw6iBHlP/joNJ/wtDRrdv8ARtP1Gf0K&#10;wqg/8eYfyrzOK32Kdu1Qf7q1KsPy8sxz74/lWE68pG0aEUd/L8W7nIFr4ebJ/jmugMfUKp/nWfcf&#10;FLxLP8saaXbL7Izt+rAfpXKJCmclR+PNTrGBwAKwbuapJFrUPHmvSQqNQ1iEwM24obaIK2P4eR0/&#10;X3qG++Lc20CD7DEV4BjtwxH0yDXK+LbbfppYDmKUH8CP8a4oRsa55Uru9zqjX5Y25UdrrnxE1bVr&#10;Oa3k1G5eORCpTomD7VwhNTtEyoWOcVATVwgo7GdSo5u7HqenOKkBx3zUKninj2qjM0NOYpcGbOPL&#10;Rmz6HGB+pFWriwa0sLednz54LADtVK3+WznfuxVP6/0Fbl4ftGmWaNhQkNRNtWN6NNTUr9jniexp&#10;V4OR+tKBjj9aTn14qjElVtwwMCmuoDcdCaRcZGad1INAATtJBqWP7wxn86aQGPTmpIQU7ZFIDU0m&#10;EteJv4+nBFXJtKnLlkkV8nODwa0fBtpFPqjm6TMCQuzDp2OP1rutC+Ht/r2nJfRXVtFE5IAcknj6&#10;CoctbI15LRUmeR3dvPACZImUepHH51it9459a951P4X63ZW0k8cttcKilisbkNgexArwqf8A18n+&#10;8f51Sv1M35EJHWlH+rJ96UjrxR0gJ9TTuItQKCoqwIVY4Kiq1s3ygVdRsEf41L3KI20+H7xB+lQX&#10;ojjiSNVAOc/StB5UCHGM1jXDmSdieg4FNCZYtYd0DzEjYnUetR/aeT8i49uKuBWTQGwMmRwP6/0r&#10;PWNgctxVCLAnB9fx5qQOCOefpzVYr7c0m3ODnBosBbDAcA/rVm3R9jsASThVwPX/AOtVBWI68/Wu&#10;o8PalNAsUSKgjuJRFIXVXHUcjI4+vX3pXsNK7Ov8PWllpGnRl43e9Zh5it0OR0x071WudSuNDN1L&#10;p6LBDcMUe2LbkQk9VHQGp9Vt2tbjzbZ4wX5Kls8/Ss66g1TVVKytGFLbtoGOa5dWz0nGEY2NWxuT&#10;ceXzyQCa6m1hEqMpHUYrj9Ks5bGT53XbjhPetoXmpeVsiZE/2lGT+tZyoylsCrxiV9T8OCWRmAzn&#10;86xrjwyyKx2kccVtMNTcgvcs/A74NSxiYjDux9ixrSNOceplKcJa2PO72wa1l2sP/rVW+ZWGwYr0&#10;ibw9BqCHblXPGexrkLmyt7PU5LSeRUaI4cNxWylbc53Tu9B/h/SLzU7oRxRFkJG5scL717lp0WkW&#10;OnQ2babbyLEMbpU3EnufumuJ8PeIdK0+0jt4rQhQOXRgxJ966yTxBZxKMAnPrgVyzxcovY6lhFy9&#10;z5e8iTrjFP8AsrEctj8KPOb1FHnOepNehY88ctmcZJNPWxBwSMe5aoDK5/iNIzMf4iR9aLAWvs0K&#10;nl0FPC2aDmYn2C1QJyev40dRRYRcae2H3I2Y+5qFrhudqqv4ZqGj8KYDjNIx++w+nFRNk8kkmlJ9&#10;qbkdqBDeOeaaTz60pJz70nHqKYCde1KMkcmkz6GlGDSAYPvjmtOw/wCPOUf7X9KzOA9aNgf9GnHv&#10;SYzOcgs31q5o96dP1a1ulJXypAxI9M8/pVNh87fWmZINUnYlo+h1uftESMHVsjO5lBNVb+BXt285&#10;22dgQOa53wTrLXukxxYV3gUIyk88dD+VdBdGNlYkFSRj5q92jLmimeXUjyyOWv5LayjD42xE8Zbp&#10;WLJrmnp0ZCfxP8qu+Lij6HNlizh1IKqTjHv+NeeAnOP5mvGx2Gj7Zy7nsYTGzjSUF0OzTxFE0c5g&#10;Vd6RFlzHxnIHf61VXxbrZwkd3MOwWM4/lWJZg+RctgkbApP1Yf4V1ngaOL7RdO6AsAoUnqM5zWNK&#10;ChsFWrKo7yM46t4llGVk1Ag9fnfBqJh4jm5ZLj/gbEfzNegXB/hRSo9hWRdbvMYYJwO/FbXMuUyN&#10;BW7jNxFeAhzgjJB9f/rVqBcjNVow0d2rsuAQVz+v9KtE/NgVLCwu2nbQTTQR0qRQM4pDQ4LhfapF&#10;U9BSomTU6qc0hjRGSOamEdSRx8c1YWMZGKAOc8QQZsZxtBLREgH1XmvNftcjcKqj8K9h1e3V7PJ6&#10;A4JHoeP8K8aljMF3LEeCjlfyNIZIxlcYaTg9gKrEFTg1bXngVBNkycjgUgGr0pwFeyfDz4QaP4r8&#10;NQavd6vOTKWBhgULsIOMEnOT+FdJqX7Peim1kay1i8gkAJBmVXX8cYNMZ4IOLGFe7MzH9AP5Gu7X&#10;woG8L6fqBuGBkQbo9vABzg5zXC3KCJ44VcOETG4dGyScj869ytrdH8OW1kxxiBFHsQBzSlHmRdKf&#10;JI8T1SzawvDGc4PINUyMgEV2XiGw8+JsriaLOa4o7kJBB61lCV1YutDllpsS5wo/nSj17YqHceKN&#10;9aGJZRs4q1Dhm2456VRjBPPP4V0Ph/TpLucOyMYV5YgfpUykkrsuEXJ2R0ejI9lZSsflaUAc9cV6&#10;/wDC6783S7iHnKS5+mQK83EClQBExAHQ12Pw/wBRjsL6eGUpDHIARu6H8a5I1ouVz0K2GmoenQ7/&#10;AMWSvF4V1Mxg7zAyrjrk8f1r5H1DRNRtHZ7i0ljQkncVyPzr611tH1bRprexaOSRyoGH7ZBrn7bw&#10;BLIv+lXaLnqqLu/nitqk6jkuRXRzUqdFwbqSsz5mj0trlR9nuIZJD/yzLbG/8ewD+BpkukahEBFJ&#10;ZzrITwCh5r6Yb4RaBPeLNdL5qjqqL5ZJ9yK6zTfDekaRCsVjYQxIvTjcR+Jya0gpvcymqa0jqfJP&#10;/CL67a28U8+m3EMMnCSSRkKfoaedNaA7bqVkb2jOK+xXjSVCkiK6EYKsMg1yesfDXw5rAYm2a1kP&#10;8du23n6cj9KtxM7nyzPGsIYhsqBw2M5/Os6Lb5yF+mea9x8QfArUGjP9karDMM5CXAKH8xkfyrz2&#10;8+F/i/TZ1E+jTvHuwXhxIuPX5c0WYFcpFFaRq4BUgtj0/wA5rAnIMrFV2qTwPSuj1yGRNXt7CJSm&#10;1fmGORzT5/DU0gQoFZiMkDtU8yQ7HLggjFHStSXRpbZ/9IBVfX/69WI7C2KgbQSfempXJsYigu4V&#10;Rlm4AFdFbwSWVoiOm59/mAj+E0sFmlq3mxRDd2Jq3HJ5h+Y4b0I4NA0Mj1GVW3upOe5NbOn6iXdQ&#10;DwT1rGuvlGCox3xUlnsUqY5CD15pNFJs7WBt2VcZI/Wr0e3OecE96wra4XfGSDyOuavmXG0g49KV&#10;i1I3oo4zxjaPQVaSyjJG7gHuayrG5yyjcRnr3rcjm3JjCmk0WmQjTZIJQ0MgwT909K5Dxz4e85Jt&#10;ZQ+XJEqrNGejdgwPr04r0OGRJFyeoqDWvDqeI9EubZJmhOAysOhYdM+1TfUGtDw6AtGdykqfbitO&#10;1v7lFkWQ+dubOZCSfzqtef8AEruprS5icTQsUdCAOR71QfUzu+WNFA9earlTOe72OdwOtGeKMd6Q&#10;VqSLn2pBQcZNJii4Cjg0n0oOQOtJQAYzSZo6iimA09cUhNOI9DTW4zSuIQnHbNMJp2c8Dmp7fTr6&#10;7P8Ao1ncTZ6bIyaLjsVO/NKPvV0Nr4F8R3eCunNGp7yuF/QnNbNt8KtXlGbi8tYR7Esf5UnJD5Wc&#10;G2NwrRsD+6n/AM+tJfaZ9glkjMu8xuUzjGcHFFgflmHfihvQRJoVjDqXiO0srjcIZ5gjFTg4Ne0W&#10;nw68K2w508ysO8srHP4ZxXjfhp9ni7Tm6Yuk/nX0KZCc461lUbWxcVc4nxNHp3hvU9LWzs4LaGUO&#10;JBGu3P3cEkf55q4zb03jEiY+X1H4VhfE1mmn01QOdr5H4ipfC93Fd6NAzcyIfKdWJPIGQfoR+oNe&#10;jl9e3uM48TTv7yH3kRmQqYh5ZB3bh1FeT3G23nkiYfMjFTxXtd4oaFjx+FeUa/pF0+oTXMMJaNj6&#10;85rox7jaLvqRhYy1EtRnw5cT4wHuUQfgCf610ngMBp7gHuyf1rNvbQ2XgzTo3GGklMjD3IP9MVa8&#10;FTeVcXDA9NpH61w2szpuegPAgPbIPSsy/CLctx6fTpUsuqSg5G0n/d6Vj3d3JM7O55PpxTWjGyvf&#10;zKFXacuHBH8qfnJz6iqFyD5Td8c4zVqJt0antikxE6jP51ZRarp2qwmScVAywijOKsxrnI5qKGPO&#10;CauoI0XMjKB7nFAEkMWRVhIiegquNSsIR/r1J9EGaY3iO0TiKCRz74AoAs39oZNNnUDJ2ZGPUciv&#10;FNfh8jXZ/R8OPxFer3XiWdomCRRxKepJzxXBa7ot9q+owvptrJcnZtfylzt54z6UmyopnKEMFL09&#10;ZQ4w4z711UXw38QTopkiitx382QEj8BmtGH4XyoAbi+LN/dij/qf8KzdSKNY0Zy2R6b8Ar0t4cu7&#10;LcCsVwW+gYDH8jXp/ia6+xeFdXugcGGymkB9whNeafCnw9c+Hrq5iFvOIJirb5FOCR74xXqOs2km&#10;oaNdWcRUPNGUBbpzwaISum0OVPlkotnxobC7nvD5NrK6qQuQpxwMdfwr0eHVNduFVYNLhgUDAM82&#10;f0Ar0iX4azx2m+K5ieYc+XjAP41w3iW+m8J25F3aGO4PEUb/AMXv9PcVyuvXTS5bXO6GFwrTfPex&#10;kapbXtvKG1JYlklGcICF/WuK1HT8TsVGcntVu98ca/ft89/IiDjy4wAv5d/xrIl1C6lkLu4LHrhQ&#10;P5VuoSTucs6sJLlSK727KcFaclox5wcVIbyRvvEflTlu5FIwRge1aWZhoaGlaLPe3CxxoSc88dq9&#10;o8DaBo8a/wBn38bF9pmLA7VAGB8x7ZzxXi8GvalAu2G6eIf7AANKNQuZWzLcSSZOTucnmocG3rsa&#10;xqRgvd3Pryy0nTrOILa2kCKR1VQc/j3qCbw5pU8nmGzjR/70Y2n9K8v+GfxGtre1TRtZuFiRf+Pe&#10;eRuB/sse3sa6bXPjB4V0gvHb3LajOucrbDKjHqx4/LNauMWrNGSnJO6epcufCmu2V1Jc6Hr4RWO7&#10;7LeQh4/wIwRT7fXPFOnnbrHh43CDrPpsgkB/4A2G/nW54e8QWPibRbfVNPfdBKOh6oe6n3Fan4UK&#10;KWwnJvcxbLxVpV24iNx5E5/5Y3CmJ/8AvlgD+Wa1xNG3Rh+dNuLeC6iMdxDHLGeqyKGH5GuR1e38&#10;OWiFUvLiydegsbhkAP8Au52D8RRKXLq2OMXJ2SOz3Vm3/iHSdMUm7v4YyP4A25v++Rk15LqGoW7S&#10;Msuuajdw54WWUk/iAcVlS69ZWKHy4Io1/vSsFB/z9a4p47W0Fc9CGXu15yseoXnxEsFjH9n2dzdu&#10;RwSvlIPqW5/IVwXiTxf49ulL2P2W0thklYCN2P8AebH6Yrk7vx7bRKdlzuI7QJ/X/wCvWVF4n1DW&#10;JJIbKzaT5SWaRs4FZ+1xM3tZFSpYSCs3dmros2m63qk13fuxvzHyRIZN3v8AX8a3GtJGTy0IEeeA&#10;BiuW8FaU9nq7yXTwB2iIWMSBmzkdhnFeglkXooNXK8Zb6GEeWcdtTnn01pF2uoYe4rndUs7K0kxG&#10;FWbPKq2APqK7i8v1tYHlfaFUV5xeSC5nklPJdixPvWtN3MqsUhU81sMentUkjORghSPWqkbOn3JP&#10;wq4smF+ZRn24rcwHQygYSRMip/LhYZj/AFqJSsh+VvwNOZTE4YD8KBm1aEBI9wJ54xWkCuz+LIrC&#10;ilLxR8kbWrRWTbCSSDkYoY0zd05BhmDHHXpWjbysWK5yRXLwajLECiHAHBJ5rRs71N2X64HQ1LNI&#10;s6ewn3uyOcZ4robRlgi2pKCmMEEVwsOpJyeM+/U086rIxEYyNxwAD1qXEq5B8TfDSX2n/wBu2MQ8&#10;+Di52/xJ2b6j+X0rx8KWBAPIr6IsTKbeRdQRYbOVCjGc7AwIweDya5nSfD/hjRVfy7M6xM3DSzjZ&#10;Go9FH9TTTtuZTV3oeFfdoJ4q2NNvCm5oSo65bjFS2ejvfEiGaJiOu05xWlzOxnZ4pN3PPSuph8IM&#10;f9dMT7DFX4fCVmpG/Df7zf4YqedD5WcPnnrmpEilmIWOF2J9BXocHh+wgHSL/vkH+eavJaWcUYO+&#10;QqB0HA/lU+0Q+VnncOg6pMMi1ZAf752/zrQh8IXL/NPeW0I9Mlj+grt4YbdombyS3puJ4rE8SWr3&#10;lnbx2ieSRJ8zLxkYpe0uDjYh03wPp93cNE+oTSlV3NsQKMfU5ro4fAmg265Nu8zDoZJCf5YFWPD0&#10;E0GiWsMjAsiYJ/GtddoA55rOU2XGKsV7TSdKtADBY20Z9RGM1qIyqPlGMDsKqB9rkY4PNS781N2V&#10;ZFpZctTy5PpVNXb0/KpRL8vPWhAzxPxGuNRvR6Tyf+hGsmwP7yQewrd8Sxkapf5/57uf1NYFk22V&#10;uOwrqWxgyxozbPE9ifS5T+Yr38zECvnyxby/EFq3pOh/UV7sbgF3JIjbFrOqtS4HJ+N2MuqaavXK&#10;Pj8xXC22oXdjC628pjD7WOPUZwf1Ndl4tmDa7peCDjOfzFcQ4+TpzinB2WhMjrNJ8Z2iQ41FWEhG&#10;N/Vc/wBKi1LVtMvwVtZlZ24rm5FsoNKkSUHz5IY5IifXzCG/TH5VkrH5cocDlTmm4cz5mzSNZqPL&#10;Y7TxjhNOsYgeFJH5AVm+FZSlxcD1C/1p3iW9S9s7J0IIIJ/lWVpepDTp5Mxly4A+WumT1OaK0O5e&#10;QseDVWR/fmsU+IwH8v7LLv8AQnmnrf3swzHplwc9yMCpc0ty4xb2LkxyCCeKfazAWyA5PFZ0s150&#10;e28v1y/+FQx6kkR8iRwnzYJC7iAT17UueL2KlTlHdG79r29F/Wj7dN0GF/Cs+81TSbRlFv8AarzI&#10;O4mZYwD64CE4/H8awpdQnlZmGxB1253YH4mi5FjqX1CT7puTx2Df4VXe/ijBMj8+rHH865h55efM&#10;mduM7dxAI/Cq52KcheexJ70XGdQ2uQqPk+Yf7IJ/wH61XbXpWOFQgdOSFH9aw23GMuAgDHZwcYqM&#10;vuHLZOeRU3C1jptH8VSWN+ZntracldiieLeFOQc8k4PHX3r0n4eeFtS12xm8QQayLWO4ndRBJaB1&#10;IB/3hgZJH4V4tY2zXd2sCPGjNnBdsDOK+k/B/iDw74f8I6ZpsupqssMYEgWNyN7HJGdvPJNNWe4m&#10;5L4QvPE+jaH4ptvDl3phur10jL3EfEeXOPukkj1r0GGztYgDDbxJ7qgFfP8A4oik1LxprHiCG5ha&#10;0jjDRMWw21EwOCP73asPSfil4k0PTDYWd8rQhcIZkDmL/dJ/kcikkr6F3lb3j6X1XVbLRNNm1DUb&#10;hLe1hXLyN0H+J9q82/4X/wCFt5UWGrlQeG8lAD/4/XiOs+K9Y8QEf2pq09yoO4I7/ID6hRwPyrEL&#10;Y/2qYj3jVP2gdPWBhpWjXMsx+6bplRR9QpJP6V5B4o8Xap4v1MX2qMrMi7I44hhIxnOAP8msQAnJ&#10;CkelO2HoRQBFkZ4VvyoJA6hvyqbyjjilCOuOQRQBCHX0P5U4FfQ1KFT+JQDRiEdRz6igBFkjHRT+&#10;dSLKc/LH+ZpFkiUHgGpBcpnAUD3pgSRyzMcAqoqeSNJ0wzPv/iIPB+vFQCRT3zT1k5x+tAHTeEfG&#10;ut+D4rq10xImgnbftZd4VvUDI/rWovxa8ULOXm1kr1+XyEUD8CtcSJAMHAzUvnoww35+tIDu2+Je&#10;rasvlz6pkEY2xYTP5Vx2p+M51uHjFtJ5oOCZn/oP8aqyWdnOucBX7MvFUb3S5HiLCbzGQZUnqQO1&#10;YToQk7yR0RxNSEeWLsQ3HiTU7jj7R5antGMfr1rNeWSVt0kjOx7sc0wKSeASamFu/UjaKtQjHZGU&#10;qkpfE7lnT7KW+do4eWxnmuo0aC40HSNVu54CHKoiBjwcnnpTPAUQfVJQRnEJ7e4rZ8aT7dFWIHl5&#10;lU/QZP8ASpctbDUbxuV/CU6zvcTpaQwlAFDJlm592JP5YrrBftEuWZTjueK5rwZEE0aWTu0p/QCm&#10;arqSXEzW8DHCffI6E1lKHNI2hLliGuatJqMgiiwIk7Duayg6hSOp6Yp8boAQ+Ac8GoJAPMYjANbR&#10;jYym76j0VQcr2p5fBwareZtzginxXIDYYZHeqIJo5Ardeo4xViAyzzCJFaR24VVGSaoyyJyUAFbO&#10;hTLpdtJq8wyR8kKkdSaBFhtC18ICul3SKeQ0iFAfxOKuW2kaokTC6azhyePMu4+PwDE1zLyXNzM1&#10;1PPK07nJO6tewstXmA22E8w7Hy2/nQM2ItOt41xcavaK2eVjWRz+i4/WrcKaTCRm6vbg+kcKoPzL&#10;H+VRW3hrxDMRizigX/pow/8Ar1sWvgjU2H+k6lHEM9IkJ/wpWBMrx3FnGP3GlF/9q4nJH5KFFWU1&#10;mWJQsdzaWYPa3VQ35jLVr2/gbTV2m6luLpv9t8D9P8a6XSdD02xYG2soYyOjBct+Z5o5R8yOHubd&#10;4dNm1a8juZLeIbmll+XdzwBuOT+VYVv4su5939maWjIvBMuXP6YFbvxc1Z57qy8O25PaacL6nhR/&#10;M/lXMQaXbwwJG8MiuowWRuv4GolZFpt7GFcq88DxBQNwIyaraPpTWMrMJOWwDgVrtgMOOaep54XB&#10;qLisT7NuMux7danVY1IBI/E023tzMMlT6VejsvVcfjU3GVw8a/d5/CldxIhCqQPpU0loFYDpmrcF&#10;vGWBwSAO9ICiPMKbViwMd6VLWadNmxdgOelbAiVRwuKICNmM9KLgVrS2mhkVXbgjAHYVoLDkZLAV&#10;Gvz3AbPAFWh0HrSGRmBevJIqQBAuQo5pMnsOKYCVJGeKAJC2evFV5W2g+1OZx3Y/hVWWXAICE57m&#10;mM8r12dLnUL14zuUyNg+tc9agtK2OoXNb2t2r2l7MCpCOSRisSwYpdA9AQRXStjB7kcbFNRjl7K4&#10;Oa9cg1GO5tklSbcrDIIrzGbTJp5d0I4Pb0ruNBtHtNLhikB3DPOPepmOJJe2f9pazabSMpFI4LHG&#10;do3Y+vBriWztOT0HNdnrkUy2yzQSNHJE2Qy9cHg1xJOFIJz60R2CW5DrakJYnsbZf/Qmp+iwLqN1&#10;HbyBgh4dh/D6H6VNrC74LMBc4t1x+prM0y+fTb+K5XkKfmHqO4rREGvqmlvpypAWLDczDPYHH+FZ&#10;cLqHdGON2B7H61ueJfEX/CQvDcwwSQKu5SryBsnIPGAMCqmh29vO0wnjDEAFciqEUzIgfaCuAxOM&#10;4X8D1rutL1OC/tkUt0GA3dfY1kzaTYEZEC/hVeCzhspxJBuQ/wC9wayq0udHRh63spX6HRXVmGyr&#10;Rls9xXIaxpc0E3mopKnrXXafqYb5H+Ze6nqv0q1eeWycLvRhwccV5/POjKzPWlCniIaHmbrhgCQT&#10;jIPrTZJMqRjD9OBgYrc1bRnDGW2T3K1R0ltOS8aPVlkEDKRvRNzofYZH61306imjyKtGVN2ZnqVz&#10;hjwTnKjv9KTqc5PJyfrWyiaClzcFk1GSDjyCdiMfXd1/Sr8HibTtPtkS00DTBMFw01yrTsx9dpO0&#10;Gtmkle5it7HOReQBmRXZs9AQB+fNKkmwkiND6bhnFSANczO8Vq7s7FsIuFH0A6CrkGh6jcH5YEhB&#10;/vmsZTgt2bQpVJ/CjNZBKSW6H+6MUC1iTky7Ae26ulh8JO3/AB8XTH2ReK04fC1jbpvMQOBnMhzW&#10;EsXTW2p1Ry+tLV6HErFGi+Yjs56c1D5ZdsyNn27VavJRJcu0ahUz8oAwAKhDbh2rsjscLVnYAFTo&#10;APwpRJ3Bo4I9aYY+4OKYh/mHvnHrTgc1FhgBnBFGPTr6UATj5hjpSeW3qRiotxzzUolPfkUwE8nv&#10;k8+tHk8in+afTil8w8ZoAaIsdqXyhjlfyqQSZ4xRjPfFAEJj2tkH608Pk4J6UpTd1/Ck2Ec9fWgB&#10;4lIOKerjFRbQRjpmk2FeKQFhyyIJEOR39jUkN5kgH8c1WjYq3PKnhhSGIeZx9QaAKUs8lvPJGFAK&#10;sR0qEzSOTuY1d1GFoJ42P/LRA349DUMRaVtgjDfUUmB2nw0Tdqk5xnEB/mKvfECFWmsYkTaxLM5P&#10;pxisLQ9QuPDs0k8CxMzR7SpyRjrVe81K4v7hri5lLyEdz0+lZON5XNE7KxPDfta2q2sLFUHUjgtk&#10;1DazgXjf7RIIrPMh3AE96tTRbHjmQ/LJz+NXYm5auyVlyCSO1Q+Z3OOaklbcoJ6jpVZ3zz3oFcnx&#10;uAII5qJjsYfrzUQlK9TzUTz5JyaAuXbdZLu6jgj5Zzj6Vq6jOJrpLSI/6PaDYBnq3c1S0hfsOnz6&#10;k/8ArX/dQD3PU1e0PTX1DUbazQEmR/mOOg7mgD0PwF4btlsl1S8VGlkP7lXGdo9cetd221HOOfXF&#10;RwQx2ttHAihUjUKMdgKQkkknqT61SAlDBT2x2zSh/wAM8VBuB5NPGTzzVAWEJJ4rXtEVIzLIcIil&#10;mPsKzrSIuRVDx9qp0jwdPHEcXN6RbRAdfm6n8s1LA8llvf7a8TX+sSnIlmPlg9lHC/oBWs95EqjB&#10;3e1UbfQ7ryGhhVVkjUYBPU96w7v7Tb3DJchtw4+Yf0rnkuZnXQhzGulsoIGMnPrV6O2RR079MUka&#10;Zw23vVtVwOvFRcxFX0AA+lSpzjNIuM9acMdutSBFcqSy/wAqsQriMVHIDkGpIx8nrTGSYPrUMIAd&#10;geBUhUjPQ+1RocO2f0oCw6A4fOMjNWwzE8DFRQqAF98mptwApDD5jwzflTHUbeByPWn7+QKYzjGa&#10;AsNOB0HGKrSk4pd+CRz7VC5J55xTCxy+uWaXZlRsZ6qfSuG/su9FxsERxu+92r0O/Q/aGzVLy1Br&#10;RSaRLhcp28PlIoI5710AyqD5u3ascjn2FaZJ8v5QcEd6TlcErFPUZnkh8sn5TXDPw7j0JrtboOgV&#10;uvPSuLmA86QD++386uJEjR1TaLbTj/EsQU/Q81ysgKOykcg10mul4LW3cMQHRFIHcbazZIBPEsqA&#10;b8fnWiZAyEH+zYienmOM/gtaGisVuXX1FZdsJEVo3zgHIH+fpWnpik3Y2jnBq0I6F+U5qo5wPerP&#10;mBo8fzqnK4zxjigZUuneGMyQuVcHII+tbGja6J08uUKH7p2b3FYdxIGRhVM5XJUkHqCKxq01NWZt&#10;RrSpO6PRTbpcpuiYEdx3FYuo+GYbr5xII5PUVR0fXGDLHM22ToH7N9a6uCWCWMsWVGA53H+VeXUj&#10;Uou8T26NSliI2kctF4RhBBmlmm+nArUg8PWcABW2iDerfMa0ZdQt4iQG3n/ZFUJtZZTiNEX3bmo9&#10;pWnuzT2eGpbIuLZxoMZOPReP5VIzQwL8xRB/tHFc3c64xUhrk4/upx/Ks2S/8w/KhJ9WNaRw05bm&#10;c8dThsdXJq9tGD87SH0QcVlaj4gJs5UjhCBlK5JyeawmmmYYyAPYVXuwRHySSfU11QwiTuzhq5hK&#10;SaRQkcsaj3H0pzUldx5golNSLLk1rab4R1vVrIXlnZiSAkgMZUXJHXAJBq0fAPihVyNGnb/dKt/I&#10;0wMMMCKXABBrYPgvxPGTnQb7I64hJqM+FvEinnQdR/8AAZ/8KBGYQGpMY7Vpjw34h/6AWpf+Ar/4&#10;U8eGtfJx/Yepf+Ar/wCFAGWuc44p3Ocda1R4V8Qk/Louo/8AgM/+FSr4Q8SN/wAwS+H1hIpgY+ea&#10;epB5zz9a2l8F+Iuh0uVf99lX+Zpw8Fa0P9YlnCPWW9hX/wBmoAxASOtPBBXrzW6PCEiZFxruiQ47&#10;G8Dkf98g05fD+iRj/SPFNsfa3tpZD+oAouBg4X+8PypTt/vV0C2Xg+D715rN4R2jiSFT+JJP6VMt&#10;74dt2/0Twz5jdnvbtnz/AMBXaKQzmAFJwBz9K1LLwxrWqBTaabcuP73lEL+Z4rej8R6lGcWFnYWA&#10;9bWzUEf8CIJ/Wqt3qmqXwP2/VJpF/uyTHH5A0rgWp/BMTwxDWdTsLEx/wmbe/v8AKuasWkPgnRQc&#10;QXmsS46MPIiP/s1c+WtokLySMVHUqpx+ZpovoAm6KEN/tO2f0FK4FnWmi1q9E1jpkFiNu0Q2+7De&#10;mcnr7iuZkV4ZXikBWRGIKnqCO1W7jXrxiwgmESZxiMBazDJuYsWJJ5OeppDJic4NSxXDKBGeRnOD&#10;VTzMHmjeuetAGlJJwOR9KrvMozzVYz5GBzTAjyNz0oEOeUt93pUltbvPKqY+ZjgUqRAGtjR0W38+&#10;+k6QL8vux6UATXxUXEVnEcxWq7eDwW716F8NNJLLPqcg5z5cef1P8q82to2crnJkkOT7k17poll/&#10;Zuj2tqOGRBuGf4jyaa1A1pHIU8cmo1HGPypAD7/1qUJx71VgEx1z1qSJCxANOSL16GrdvACelMC5&#10;ZR4xxzXm3im//wCEk8dizhbdaaShBx0aQ9T/ACH4V2PjDxHF4U8Mz3eR9qlBjtk7lyOv0HWvL/hq&#10;r3Nxqc8jbnIVmY9SSSazm9CkaNxpl9HKbmxl2yDqGGQfY1HJqMM2E1nSn81ejom8H6HrXY+SRkjF&#10;RPDG3LJXNc09DjYxgf8A16sKCMVF/D0zjvUmTn26Z96TKHqvepee9NA43EU+MEgntSFYbJ2PWpI/&#10;uDBpJI8gcd6ljXCAUDAKT0FVmyspx1PFXRjHXk1AqAz8+tAC7G89DvwqrjHrUx4GeKCP3nGelPAz&#10;6D6mkMiY59Kjf7uM1MY885pDEOp/OgCm6n7w5xzSHJzxxVsx+4/Co1XblM9On0pjOev4j57HtVMx&#10;8Dv6VtX0Q80n2qkUAIOMU7iZntGc9M1IZpdgGcAdKnkyCcVXOQTQIqzRsxJZs1x9woS4kA/vH+dd&#10;nO+yNnbOFBJFcM8wnuJGwQGYkfjWkCJml4pOLOzA/ur/AOgioFtjDaQS/KUlQdD0OKl8VnENqvcA&#10;fyFQLOH02OItj5Bj2OK1voZkNwuw5qBZniffG7Kw5BBq+kJubcc5YDvWY4KOytwRTQjSXWd4BmU7&#10;x1I4zTW1K3bPJH4VjSNh8YJo2k9BTA0HvI5PlU8npS8lOfSqEMZEqsegOa0DzGSPTvUsCMrg9a0b&#10;fxBLawNFJH5p42knB/GqDYqrL1NTKKkrMuE5Qd4s031q5u2YRMqY6gDn9agFvPNLvllJ74zmqumq&#10;TO/HWujt7WSQYEZOfaqjTjHZBKpOW7KKW2O2ak8lV4xk+mK6Sx8KalelfLt32nuRiuo0/wCG1w5U&#10;3DqnsOTWnKTc83W1d/4cCqGrRGB0U/3c19AWHw+063AaVGlb/aOBXj/xR+xx+MZLWyVVS3iSNgnT&#10;d1P86HGwjiSe9NLUp4phGTSA3Z5R9h09M8CD+bNUKygdJiPxNFxwtugP3YU/ln+tafh3SIdTmlNw&#10;TsjAO0HGaSAoi6kxxdSD/gZqT7VcHpfyD6yNXbr4W0noLYH/AIGf8alXwppBA/0Tr/tN/jVWEcH9&#10;ruj/AMxGX8ZmpTPdEYOoyY/66tXfDwpo5/5dR+bf41KvhXSB0swfT5j/AI07DPPC0zfe1E+vMjGm&#10;7A33r3P516bH4X0jH/HnGffFTx+G9KUf8eEB9PkH+f8A9RpWEeV+TAR81ycey5/rT1itAceZIx9k&#10;/wDr165Hommp92xtwc9fLA/z6/lV2KwtouUgjUjvtH15/wA9TRYZ47HaRvgRW13IT6Lj+lX4NEvZ&#10;seXo923++cf0FeupCgPAC/5/pU6xjoAOPWnYDy6HwnrU2AumwQ84zLIDj+dalv4F1KQAzX8EQ6ny&#10;Y88fpXoSxg54OPT/AD3NTIuTxyc9exPr9BRYDkLf4f2QObu7up8dRuCj6Vs2vhXRLI/u9PiLAcmT&#10;58fnW2qYAHbsPX3qG5dYrZ27Dkn1osB5P8S72NTBYwqq85KqMYFccAYdNY8AkVa8SXp1TxNM2cqj&#10;bF/Cs/VZSsccI6dTioe4GZtZcg/nUiwu3IYUwSEDDDI96ehw2UYj2oAebeQdSSKcttnBpyXJB+cY&#10;96sCRW5HGe9IBsduAN3engAHIAFSM2ABjB9u9Ru2AfagBTyMDAJrVugYNNtLEcNJ++k/oKztNgN5&#10;qEMJ5BbJ+gq5eXP2rUZpRygOxP8AdHFAzf8ABlgNQ8RW4ZcxRHzG/Dp+uK9pVByCa82+HJs7O3ur&#10;y4uIY3dgi73A4HJrtn8TaLCcNqMB9lbdj8qqIjYQA4447n0qZVPH865pvG2gxdLov/uqaqT/ABF0&#10;5SPIt55CehICg1V0B2qqC3bipZr+0022a4upVjiQZJJrzO68f6hIzRQQJA2DjPJ/wrnbufVfEUVz&#10;m4Z1SMu+/PAAqWwMrxp4qn8WeIHuCSLSIlLaM9FX1+p616d4M8OWulaG+pwX6SfagmY3IBVgOQPX&#10;r0rw+FcuhweTXoPg/UrUxTRyPH5u/Cb+uMds9KzlsUj0Oa8ijByw/Cs9tUXPUVTlBcZyapvAwOQT&#10;XMzVWGeXgFgOCKlEeD0BANPaMmNsYHHepiu0cUDsQ+XubHOPWnKoHT8zTznfkc47UmMDpQAEbn5U&#10;/SpAny8jFIiMSTnAqxjigCJYh1JzSQxjzHfBwPSpNwCnqPrRGdiHCsT9KBgIwXNBgGckk+2eKD5n&#10;LjjinrGzL85P0oAjfjgdR3NRliR0z9KsGJV5HXvimFOOKAuV8vnAAqvKrn5ixyOuPSr+01EyZyKA&#10;uZcsJJJqEwdMgVfcEErjpURXJHWgRnSQ8niq0sWO2PpWnKnzVUkTIIxxQMypYg6sp6GuJ1CzNje7&#10;cfITkGu/dMHmsrU7FLuAg4Dg5U+lXF2IkrnOeLCM26jt/gKxImbYo9BWv4mG+4UZ+6W/pWPAu5tv&#10;8q3MTSs7ny0ZSeoyKhucTOZF698VYismwDjipvsbccUXHYw5kPGKYJinBXJrXn0yRgfLx9DSwaQp&#10;jUzA7+vFHMHKZ8Tu7AbcA1ewBER2xVprJI4HIXkCqqjEGO4FF7g1YYw+WqkverjDiqkw5oEQW949&#10;neJIihgrbip/iHpX034Mg8M6tpdncactv500W8wswMikcNkdeD3r5hUf6SRjtW14f1q78O6zbapZ&#10;NslgbOOzDup9iK0TsI+uY9MjQDCgVl65r2geG4TLq2ow24xkIzfM30UcmvEPEfxn8R6wrw2BTTbd&#10;uP3PMhH+8f6CvL72ee6uGmuZZJpWOWeRizH8TV8yA9n8Q/HdSWtvDWn9eBc3Y/UIP6n8K8kvrua/&#10;vZru4cvNM5eRj3JOTWZA4SUZ78fSrX1qW7gITTCcCnNjFRnpUga9z9+Mf9Mk/wDQRXR+DmAluMns&#10;v9a5u54mweyqP0FdB4QYC5mHqoojuB3cWCvqvbtVpUJ9/wA/8/8A66qxduxPSrUZzxWoEqrnP/1/&#10;8/8A66kCKR1/P/PvUanHv+VTIcjp+X+f85pASKAMcjA/z/n8KkUDjqD/AJ/z+dMwcYzUijP0oAkX&#10;rjj2/wA/57VMpHT0/So15OeMe/8An/PFSoMEZ4oAeM9sf4f5/nU6j26Hp6c1GqnPpUyDgUhj0QYy&#10;elTImFxxj/PFNGfrUirxz0oARj/L8q5zxfqI07RJ5c8hDgV0MhA7+5ryv4oakfIitFf/AFj5P0H+&#10;RSYHn1iDJM8r8knJPuajupQ1wysNyjirNigS2LEHnk4rPbDSMfUk1ACm3jYfKxB96iEeDhs/UVKO&#10;Kk2gikBW5UkH5hTlYZO049qdsO7NIUBPXB9qVwJ0lYgAqTilds9BSW9zJZjeFRsH+LkGrLTWl8d3&#10;MEp6hvun6H/H86YFrSR5FpfXuOY02Kf9pqhiXCqo64q0D5Ph5YFO7zbnLMPQCpRYNCY2k/1bEfMO&#10;eKANKGwjeFSvMqhQ0LE+YzHnKj6etXEsoHmYW0bOA217Vj+9UDqd2MCoYtRtZJBHOHVUYstxHxMx&#10;7AnPA+lMF7DJF5c6ksiYieIbeT1LdyaYFmNIgnmRJHNECWeB/l8s9AM9WNRySqsZVC00IAXEg+ZM&#10;dvYZ7Ck897lxw7yggJLGMHAHAx2q9ZeF9Z1N1EVhKrcfORsXH40WAz1csCu0yKOAw5Ir1bwZ4aMf&#10;hW5muFJkuk+XcuCFx/Wl8L/DW3smF7qpSWQYIhX7uff1r0OJFaJkAAHYCmkB8lLGYbzy2H3JNrZ9&#10;jVq90nUtOkMsls/2djuRwMgg+4q/40099L8X6jBtIUymRc+jc16Z4UmTUfDduzYcqNjA+1ZzfKNK&#10;5yPg/VJ7hZraV2kRAChbqvtmupZdzZXitU6bboxMcKIe+1cZqvJZkNxgD0rByNNkUdmI2JGeKDkl&#10;R/DUjIQjDOOKBGNoB5xUGpGwHQdfShUJPA+tTqgNPCkEAYoJI1hcLjIAPrUiwgDkk59TTjjNPIJA&#10;wcUwGrEo5OKeFx04+opQMAfzNSDpz1+lACBcA96NhPOaXPvTTIoB5oAaVHPPNRsgBwKcZOeBk1GX&#10;b1AoFYUpyaiIAB5FKWDepNNZTigdircjLBx261GUAx0qy0Zbhj+lRogVcE5K8fUUhlN06AKTVVkO&#10;PT2rVZOnFVZIaLgZE8PtmqEi44/St2S3BGQazLuHYd4waaYNHMa3oZvLeKWH5Ztzk5PUbsfh0rLs&#10;fDdwku+chQOwr0O7Fq2hWMkKASJJLFI3fs4H/jxrILAmteZmXLcorYqigc4FO+y47D61eJUY5H41&#10;FJKq9MGlcqxTa2HeozAvI5xU8kxxxVZmJOc0AV7pVWCQA/wmsVCWgye4zxW1cDML5/umsdeYyV4F&#10;XFmciN+QOKpzYyKuv0FVJvrVklTGLj8KlzxTGAEwPtTugqhDs/LTJV3ClzxSUWApMu01dAbykdlw&#10;HGR79qjkj3dKvXERS0sfe3J/8fagCi5xUTE7eKe/WosktimBtXX/AB8vz04rb8Kti8kHqtYt0f8A&#10;S5f941r+FyBfkdihoW4M7+FuBVuNuP8APFZ8BOOOnpnpVxDkcVoBajI9f8KnUntVROoGPyqdAeOl&#10;AiyCOenpnpUynGQTUCg4/oanQDgGgZKhwM/r61NGaiRR+dWUHy5I5oAeueuM1PjuOajHUE846VMO&#10;aQDl/OnMxHWkAHWmsOxNAyK5kCxsSeQK8I8c3xu/ETpnIiG38ete06rP5do5JxxXz3fTm81aebrv&#10;lJH0zxSkBcP7vTz/ALvH41lHg8Vp32FtkUeoFZp7VkA5OaeuQcdqjUEYNTIV7jrTAUgVCevbrU7Y&#10;PTpUWMnNIBoJXnPBp0aQlv3hKe6jIpwi78UxlzwKAO68FXVvpmsI5gtrmxeImVrwYjjbHXv39OoN&#10;XLa4s9S8axwQeS9m11lEiQhMZzgA9q5NrV/7FsLgj5DIU+p5/wAK1PCzC38Tac54AmUH8eKoD21d&#10;B0lxg6da/wDfsVLFoGlK3y6fbD0/dircX/1xmrKY4z2rURHDZW0R/dW0Sf7qgVp28YBGBioEXP48&#10;1cgH16d6TGSu2AB2qSBuagOS1PjIA60gPJ/jBoTSMmsRLlYMRy8fwt0P58fjWT8LtTH2ybTHbiQb&#10;owfWvXdYjsb2KbTbxlAvIjGA38RwenvXz/pUcui6vFeICDbyfMR3AOKynqNOx7o9gx7YqrJZkHng&#10;Vs2863tlDcx8pKgYEfSoZIdx68VzNGlziGUlG9x2oTBQemKd/wAsmpF/1SmpLuPAyAAMU7bj/wCt&#10;TR91vpRnA/CgB+V/GnF1x2/Coe7fSkxyPpQBMZOOBTd7Hr0pnQGomJMoBJIx0oAlLj+9mk3E5wvH&#10;vS4wxFKOn40AN+YnOaAgLAnk0rdakPQfSk2AzAB9qQrkU4d6UdTRcZGV4/So3TbhscdDVgd6jn/1&#10;LfQ0wIylQsnU4qwn+pB/2RUT9TS6gVJI+Tyao3cG+NhtrSb7gphGWouBwt7cT2m9NxMTOGI9CBj+&#10;VQQzNIm4HitPxGq7m+UdfSktI0HhKFwih2kILY5PNa9DO9mU1UsRlsDPJNWIxZxndIJZfZcKP61F&#10;gBOKQ9aEMW9ninKiG3WFVGPvEk/U1TKkH0qV+rfSmHt9KAK1wv7l8/3TWIg2xkDPSt+cDyJDjsf5&#10;Vz0f/HuT9auJnIH4QZ61Smx1q4/3F+lVLjpVokrtneKDmkbqKG+4asQpIA5IzUTTKOM5qCQnceaY&#10;O1MCczseAtbd8jNYaaBjd9m78fxuaboEUbsxeNGIPGVBqfXQPKt+OkAx/wB9NUjOfkJUn0pkY3So&#10;B3IqSf7ufam2v/HzH/vD+dMRr3Q/0qbP98/zrW8Mkf2iR/sH+YrIuf8Aj4l/3z/OtXw1/wAhI/7h&#10;/mKFuDO8hOV7emKtoQRg81Rg5X8P8auL9w/59K0JuWUBOMmrCegxVVOWP4/zqyvSgbLUWSfXj0qw&#10;nOBxVVe30qaMnb170xJlxBnvVmMDA5yKqxcg/SpkPB+hpDuWVB29akXA4OahjJPX2qvcuwQ4Yjn1&#10;oGXZbmK3UtK4VVGSWPSuY1Tx5omnhlSU3Mg/hi5Gfr0rgPFdzO+oyxvNIyA8KXJA/CuaH3k+oqWw&#10;Oo8RePNUvI2iisvs0UiEgsCWI9c1w1nlrlc8nNdNO7Pp2qyMxaT5V3E5OPTPpXPaZ/x9r9aTdwLW&#10;pyhBErjg55qgVzyOVrf1qNP+EcWTYu8XaqGxzjY3Ga56E/uz+FQBOnSlAycCkH+r/GnD7q0DEAOf&#10;wqZEDDFQ/wAVSsxEfBI+lAD3G1OvtVVjzUDMxbqfzpG5fmgDQXUblreG0aQ/Z433BMd/WtuFzDcR&#10;TKfuMGB9K5iPqa6Nf9TF9BQhM+grG5W5tYZ0OVkQPu9citFGBxjv2rlvCRJ8PWWST8n9TXTpxjFb&#10;CTuW0LccYFW0IC5zmqq/dqX+99BSGSM+TyaVHz0qJ+340xCdhOTnigZx/wASCLlLKCGTbcJIJCVP&#10;IXkf4VzA0xTpUsDD95KM89qu3JMutTGQlz5p5bmnzk+ceT1rnm9TWMdLm18NdUefSptMnP7+zYgZ&#10;PVa7KSPd6V5X8N3Y+Lr3LHkPnn3r1xhxWchH/9lQSwMEFAAAAAgAh07iQEksumU3ngAALZ4AABUA&#10;AABkcnMvbWVkaWEvaW1hZ2UzLmpwZWcAAID/f//Y/+AAEEpGSUYAAQEBANwA3AAA/9sAQwAIBgYH&#10;BgUIBwcHCQkICgwUDQwLCwwZEhMPFB0aHx4dGhwcICQuJyAiLCMcHCg3KSwwMTQ0NB8nOT04Mjwu&#10;MzQy/9sAQwEJCQkMCwwYDQ0YMiEcITIyMjIyMjIyMjIyMjIyMjIyMjIyMjIyMjIyMjIyMjIyMjIy&#10;MjIyMjIyMjIyMjIyMjIy/8AAEQgBjQJ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yA4xxSEjfGc96jjvrGccSpn3ODT5EVgrI/AYe9cJ1Sg1&#10;8SsWM46Uuc9ajMTAfKQfxpoZlPzAignlJ8gUjMduVAJ96j8wetAkHY0CcWTh/Wk81QcZ6UwsqjLk&#10;Co5p1AXaD8xAzRfsLldi0r55BGPrT/tO0/KST+lUlVFXgck5qQd8GnqTbQtLdN1OD+FSrcLjkGqg&#10;4OTShvUUWE4l1JkLbd4DY6GplcjkN2rLH+vz/s1MCfWgHGxo+c2MU9Z1I5FZ4mYKefzpILpnjRnA&#10;3EDOKLCaNRHUjgjNOwPUVSE8ZHQiplkQjhxTsJInIJxR39qjBOc5zTw2O1ADhx2xTh700MOtSpg8&#10;8U0gJIxyBV+G3ycnpUFtE0s6RIPmYjnsK72y8OQRxgzMHYjnHSrirktM5eKDsqls+grSt9JuJiCs&#10;OB6muqjs7W2X5I0X3NMl1Ozg6yg+y81rZLcjlfVmdDoJ4Msn4CtGHS7aHomT71nzeI4hxFHn3JrP&#10;n8QTv0cKP9mjmQ0onUExQr/Ag/Kq0uq2sX8e4/7NcfNqTyZy5J9zVSS8JHU1PP2C7Orn8QqM+Wg+&#10;prLuNfnfOZCB6Diufe5Y9+KrvOTxmk2w1NK51Nnz82TWVPc7upqB5OepqtK1K4co58PyTxUDgbhj&#10;oKkQZTJ9aY/3jj0rOTZaRCeTRjAzzTwoan7eahstIj5xmlA6U/bSgcdahlW7DMZpeQenFPAGKMUA&#10;MPWg5JqTHpTtpHalYLEQQ9c07HPWn4GaUKM9KLARjr9acAR2p+BnpT8D1o2Ahwc4PSne9PUZzxTs&#10;CmMYBk8UuMetPAxS4zzikFiMAk9KcOPwp2PzpdtHkFhnPNOx7UoAFL17UwGdqMEDmpAO9J2oQWG4&#10;xSYINPOcUHB5oAZikx60/gHFIfSgLEZHHB4qIqM1YbGfY0m0GgCqw596aUJPQ1b2ZPTpSeWKTQiA&#10;RkYp/l8VKABS4A7cUwsQFfajZ+FS47GgikFiErTsfLinlRSAUgsMxxxQenPWpOMYxScYp+omhoAI&#10;5xRTwBjrRTGkeOZJPP409Z5EAKSMPoaYUK9zmr9pYR3NhPJz5qDIGeKlI+mnNRjeSFi1i8i6Tbv9&#10;4Zq3H4hlH+siB+hxVK20iS5tVmWRQTng1UubeS0mMcv3sZ4NOzWphyYepKzSudFHrts/Dqw+ozip&#10;BqFvIcpMoBPTODXKA560Z/DFF2RPA038Oh2SlHGVc/nmkkRsxgOD83pXIJM8Z+SRh7g1bTVbpXXM&#10;u/byNwqlI5p4GaV4s6r5weVpRIc8g1iReIGAHmQg+6mrkWu2r43l1PuuRT5rnPLDVovWJpeYD3PF&#10;PEgx161XivLObG2WP88VYWJHGVY4p3MpRafvKwCT9/0/hqYMSc4qIW7GQbT2qdYJRyFzTM3YUjgk&#10;nNLEuIUA/uin/Z5WyCnykdc81qWWjTzhEhgdzgcAVXK3sQ3Yy8Y600tjArqL3wLrX2EzwiNXBAEZ&#10;PzHJxXN6np15pVwba9i8uYAEjOQfpQ4uO4k7kazMDwxH0qVb1xwSD9az/MGOtOUs3QH8qkrlNNL8&#10;Z5j/ACNWYr2EnBJU+4rJjgc/eOKtRwAYzyaLoTRuW86lso4P41vW+vXcCbFmYA1yKYX2qdbkr0PF&#10;VzEuJ0smrTSkl5WP1NV2vGbvWILxsetOW7z1Uj6U+ZE8rNM3BPc0xpye9UftKDq/504TBuQwI+tO&#10;4rFhpuDTWk9zUO/PXgikLehouA5pDUbSexpH3cVGeTwaVxiF8HNQu45pWOc81ExBOaLgTp/qxzzS&#10;E5JzTV+4vPSnhTycdqzk9S0hNmKdtIp6gBcnvxTjU3KIttLt4p9LxketSA0LS45xTgOaXFFxjAAK&#10;djsaOoNHtQAhH50Yp2MDJo5I+tF9QEyO1GacBxzzS8elAeo0cGndqTFOAwCaAAZpx6Ypopx5oAOR&#10;SjFJznrxRzijYYuaM4oxwaTmmAoJ/CgYI55NIM0vfrQIMc0lL3FJ70wAUhJ570o+7Se9SAn4UnT3&#10;p2Mc0mB60+ghPam5xxT6aQOtLoPYToKN3FBFBH0xQhCA96PX3pcelJjPNFgGgnvSmgCl7fSmIT04&#10;oPpSj73SjHtR5gIM46Zop3PpRRcq55dqSb7+YqPlDY4q5Dpdxb2jTW9wgEiAsGWvTJ/A/hjUPm0/&#10;XYkY9BLxWfL8MtUSGRLC7tbiNxyEkHNbKjrozsePfIouJwV1EbLSbeLzCHLg/KaZrNi8jG6BXYqA&#10;EHrXU3ng3X7SNVudFacIMBlGTj6isDU7S9SPyjaXEIwQyvkj9aJUZBSxlPmTvZ+ZzI+VgQOhq9qp&#10;hlMM8ZAaRBuUdqnsYoYJm+1RFkK4AIzzVl9PsJbkhXEabMghu+fesuSSWqO14qlKaaexQvoUTTbN&#10;0Vd7Dk461mAFW6dq6u60oXFpDDHMo8scEjrXPeSIrspL8yI2GK98UmmmVSqxlGyetx1xZPb28Mu4&#10;nzB90DpTHt5YoY5mACSdDmugivRcs8duF4YKobuuOTUkq2yxPDJD5gt1BPHr6U+VEfWakXaSOeiX&#10;cwHX6VrWdvcEjyiw9wabptpDe6kqB1ijdwF3EDrXvOh+BtJsraN7iVJ2UDOGG0fjV06akZYrEuDs&#10;0eY6bo+qXDLsDvn1FdxpngnUJlU3AWIerDmuvfV9D0iMrE0WR/DEMn865XVPiesZZLK3UY/ic5/S&#10;trQieY3Ko9jpLPwfp9qA0+ZmHduBVubV9F0hChngQj+FME15Ff8AjDVdVEgNw20DJUHArl7jV5Jj&#10;gyEmj2vZGkMK5bs9h1X4iJEjCwgBPZ35/QV5xqes32uXhmvZtzLwOOg9BXJTXsnZ2B9jWhpMrSox&#10;LEn3NZSk5bjeHdPVs01iXrjJqwnGMdvSoAW9DTl3Y+ZgtZp6kstebg8ipFkJHAzVXeoI7n6VIsjd&#10;uBQTsWV3Z5NL5i45bJ9qrck9afn/AOvT1JZLHMwU85OaDI55zTFBxkcU4KT1oAUZPJP1pwJFKowc&#10;f0qXbkdOlO4WGrJIvRjUiysOvNNC4FOAGTSu0xWQ7zQTjBFG/rgikKg9qa/A6U+ZicRCfbNJ5TP0&#10;U4qxCCkYDAA4pT/eyfoKTkHKM8vaig9hTlwPypRIABgc+ppVYseRSbKSGXF1DYWb3MxOwYAHvWKn&#10;ibfIghQPuOAvepfFUirplvExwJJx+grn7GKCaV2MhiFvkogyN7Y4/ChxvG5GrkdWmtQygo6lWxng&#10;dKuwTLc25kTk9Mk1yaaitrEVupmckcq3p6Cuk0lxJpUcirjzDnHoKySae5d1exbGfSl7UYxQAMZq&#10;hhTcEnpTwOKMYyadwYgHUUHpTh2ox6YpDG4xRjmnAc8mlPtTENxxig8DHane9AG7npSAQH2pevSn&#10;FewpB1NMBegzSds0DknNOxQA3dkdKOcU4DsBSlT070agxvNBBp23AFKRx1pgMxn8KaPfrTzmm4IP&#10;SgLh2pM8HNKTSYIoAM569KTGc807GRijBoExABTWHtTytIcAYPSgBhH5Unv2p+B2pMUAMwSTRjJF&#10;OxSckUCEwM4oo69etKBxzQAgJpaOcD1oI4pANyRRT+KKdw1POL1pbKcRpMzDGc1raJqc8NnJN575&#10;DevSuea2c4IJP1NIEmRGQE7WxnFQqiTPpquDc6fK9zvtM8V6/D5jyXUyKTlFZ84H0qa7+Jes20xS&#10;5t7e4hPTzYgc/jXBXWoXsyqobYq4+73qSbVZJrBoZE/eEAbvUVp7XsziWXyUryimjtP+E80K8wt/&#10;4ZtGJ6tF8hqzcQeBbmFpZLS+sxgElHDAfga8uVmWRT6EHBq7qeptdny4spEOT7mqjiJJbk1stg5J&#10;QXqdxN4R8LzojWniYwbxlRcRkfqKqn4YzTsWsdY066z/AHZwCfzrlNSeRbGxwesf+FUEvJoyCrsD&#10;7GqeI1s0ZUstbXNGTR3DeAPE2mwssOniQN1kiIY/pWZqOg6ykAW4026jkUYLhD8w96ksPEWqWOmQ&#10;SwTTuSxBCueBWuvxF12HTnmW5lUqwXbKA38xT9pTa1RzujiIyupdTh4YXhvUSYmM55LD7tdidSmC&#10;RoZ2MbkZAbrxxWDrHiq51+6hfUVhKoeTHEqsR9R1p7m3+1WaJuDqBtU/3cGs7x+ydU6dVpe23NIX&#10;EpiLYbIDYwevpWJG011N5aZL+5q2kc8VpMq3A3ls8n7vtWTYNJLeYWbymwSGpNmlGCSk+xts506G&#10;ONVZizZdsdqzNQtWhcyoMxtyD6VoqmoooCzQyKBxuFUdSkvvs7LPGixkjlDTb0Ipr3tDJZdy+9a+&#10;g7zFKSehwM1jsxK/hW14fBNrJ7tSTuisXFKKsaw3HvUqofrQqYbBzUyKQcUXPOe4iqcn0qVY+mKV&#10;VwealUcUmSIqYNOKAU7B7UMDijcQqjKjHpUqIvLOwCjvmo0BwM1m65HPJHCkW8hjgKh6n3oXYTNd&#10;ru3ykSsrF8gYPpTuQKy9J0mW2fzrkqG6Ii84/GtUZpu3QW4Ad808RM3SkGe45p8t3DZW3mzNtX1p&#10;BoP8ghck8AVGsYcNsZWK9QD0rDk8TpcSxW9shcyttBqv4Zmk/t+9h3Fl27mJ9uKrl0Fc6QAg4xSs&#10;TjgU/Yc8dKXbUlDAm6nhcLxUipleacq8Zxj60Acv4wtbi9gtUtonkK7mO0ZIJxiuaS21mKLYtnMC&#10;D12En869MWBVmaXaCSADn2qQnJ5UVSlpYjkuzzCPT7iSVXnjnU5H/LMkH9K9Fs4jFYW6nrt78VLD&#10;ClszNGnJGOTUrZchiORUPVhGHKRlef6UBcdqkxzzmnbBnikWRBfSk2nt1qbaaXZzQFyLGOTRjnpU&#10;mz15obYvLMo+ppiuR7cGgjtSNdWyctNH+dRPqdmvPmbv90GiwXJ1TJxRt21Ql1iIHMSMx9xUZ1pm&#10;+7b5+posFzU2nbQEOeRWSdUvX4WFR+GaiaTUZOTIVHoOKdgNzaF5JFNMsKj5pEH41h/ZLqU5eYkf&#10;WpE0qQ8kk0aBqaZv7VScyr+HNNfVbUc7ifoKprpIPLEil/s+FDzIo+pFF0FmWrfUUuJvLRGwe5q7&#10;tyKo2kVuk37t1ZsZwprRxx0oWobEeOKaR3qbbTduKAItvpzRtwPepMYpO+O9CAZtzRtNOPpRQFxg&#10;GO9GKdjJoxQBHgdqTAxTyD7UhGKAGetGKeQMUmBjtQIZijvginY5pO9MYAUHnilAGcd6UjngUhMb&#10;xRTsiincLlmbwLpUmSkUkZ/2X/xrPm+HkBH7m7lX/eUH/CvRNgz04o8mtHTi+htDMMTHabPLH+HV&#10;yXZUvbcDsXVhn8gazL3wNqluOII5h6xOD/OvYzCCaY1uCelT7GJ0RzfErez+R4PceHNQhB8ywmHu&#10;EzWdJp7IfmjZD/tCvoRrUE9Kry2EUgIeNWHuuaj2C7nRHOn9uH4nz29u3AJOB0qJ4GHFe7XHhvTZ&#10;877KE/RAKybjwTpMmSsDRn/YY1LoS7nTDOMO/ii0eURX93awLFEQqr0OOtSXOqTXVibeVAWLA7hx&#10;wPau9uPAFmSfKnmX64NZVx4CmXPlXSH2ZcUuWoilicDN3vZ+hxEPlrcRtICUDZI9qtNqLDUpLqMA&#10;ggqoPYdBW3P4M1GI/KsTj2b/ABrOl8O6nF1tHOP7uDS95dDZzw1R35kyDzS+kTOz5d5snnmqUa75&#10;VTOMkDPpmppbC5iXLwyL9VNQeWV55obLhTjG/K9zp2sSltDbxzYCNlyeC1Z2tiWKUDexhcZ254yK&#10;ysseSzZPvT5Z5ZgokcsEG0e1U5I5oYaUJ8zdyNvu4rodAUrafMOCSa5sj1FdfpEeNPh9xTiY47SK&#10;uaCrlsipgtPSI4BzU3lYx2oPJbIgp44qRV4qRUJPtUyR5oJbK4BxjFBU/jVsRAjFBhNAkyALwCal&#10;yQUO8KgPORnJPSpVgzge1V9Ssbm5tVgt1yXcbmPG0etCQXIo9Qie5WL5U3bhgnqe3NWkQlR6VWg8&#10;NW1vIkk5kuHVgVAOFX3rXWDGfTPFVYLlUJVDxDp91dWEItVDBG3OM8/hW6ISeAvX0p6W3lyOWL5O&#10;PlzwMChIVzy20tpJp2iRHDx7j8ybSue/510PhHT2gur2RmB/dqpPckknNdbLYrKcptVu5KA5qz5M&#10;UUQjjRV9cDFVfSwczb1KflptZ5DhUGSRSwSW8jHaPx9abrIMehXZBwSAv5nFcfb6g0l+0LPKiq+M&#10;g4/OhRVrsTvfQ7/yUOOPyqGaAK68Y4plrdbBGA6yBhkEelX5hvKtjqoNTZMLlAR5pfLyK0be3jdm&#10;8wlVVSeOpNRxyQCJ2OODgbqHELlVbdn6LnHerUFlHh/NBJ2/Lg9DUtvcwToWRxtHBPYGrCIpPysC&#10;COxoSC5zt9exWUgjdGLkcAVQbXPmwltk+7Ua/j7eoPZRVO2jUszBQcL1ptJE3LB1e9f7kCKO2QaY&#10;bnVZjwQo/wBlRWIniq68v5LOBB6kk0+HxLqU83l5jjGOqoP60rSexV0a5s9Rm+/O/wCZoGizOMvI&#10;fxNZr6hfPw13Lz6HH8qqyPJIcySSOP8AacmnySDQ3W0u3iwZbiNQP7zim40qI/PeRN7A5/lXOlV3&#10;cAZ+lIV+b2FHs31Yr9jqIZ9NlLCAPLt67Iz/AFqwoB5SzmPu21f61S8NIPIvJO4Xr+BrKe4uZLZZ&#10;GuZeXx98jjmocbOxVzpgJe0ESD/ak/8ArU3zQud89pGPz/rXK8Nnczn6sTQEUHgA1XILmOka/tkz&#10;u1Jfoij/AAqF9WsBwbm5k/3cisRduTkDOKaQDT5EJy0NZtYsP4baeQ+rH/Gmf21HkiLT1B/2mrKK&#10;H86dg/lVKCJ52dDpF/Jd3jRvDHGAmflrewMVzfhtf9Kmbr8nWun2jFRypOyLTvqRsM00j2qTsc9q&#10;bjHWiwXGY9qQjPapMU0A+lKwDNvtSFe9SEcUh6U2gIu5owadjHpSHpilYY3GeppMAnFPAwetIRg8&#10;GgQ3bxjvSUtB96AG0mPbindqAvHPagBtApxGaOnSgNROB2oowfWigR6WbLGcSD8aabVwOCp/GvHI&#10;fH3iCLj+0C4H99FP9K0IviXrCAeYlpL9YyD+hrq5TDmPUDA4/hqNo2HVT+VcFF8UZsjzdOiPqUlK&#10;/wAwatp8TrJjiWxuE91dW/wpWHc68jHFMZBXM/8ACwtHkHJuUJ/vRZ/kajbxlpTkhb/af9pGH9KA&#10;udIyVC8Y9K53/hKbZz+61OBvYuP607/hIZD92WGT6EH+VIDXkjHpVWSEdapHXpP4oUP0NNOtIzYa&#10;Fh9DSuMfJADVSWDg8YrS3LKoZehFQSJx06UDTMi5gBtPu5G8VnS6fBJ9+FG+q1vXC5tv+Biqjxnd&#10;6VDRcZtbM5+TQ7FhzbJ+AqnL4dsW5EZH0Y10zoRUDx5yMVPKjaOJqx2kzlz4atDwGkH1Oa1bG0EN&#10;skecheBVwx4YcVNBH+4QbepP86VkOdedRWm7gqYHHSn7Kjurr7OwRY9xx64rOl1yZGwsAB9TRymd&#10;7mykXNTrEMVyza5fO+1Bg+gTNBu9UlGPMkx9cUWSHZs69YeQMU4w9ax/DQuGuLgzOW+UYy2e9dN5&#10;OBn2ppXROzsV1h46dqeID8pyQM8j1q4sX51II/UU7E3Knkk9aljtty7jwo71aWEM4HIFZ2u6pDp1&#10;sYwwDkZPsKpITlYsQT2zztBE6ll6gHmlaMk571yWmXkcuu2LxFg8j7WRj1XHX36mu6kQbzgUnuCZ&#10;REZA6c0eXk4xVzyuOKb5eDnvQO5j65Du0KdACSzoMDr94VyQ0PUFuDJFBJIZDySMYr0NodxU88Nu&#10;470/5vp9BRqBxq6Xq8kKQwmNJY88s/QfhXVQWc8OnW/2hkMoUK+D1IHNWFTBzilKnPWgCOFMu2em&#10;2ucvNzzSIhCDh1x3x2rqoVw4ritQuZINdkif5GZmUE8nHb86mTsriJo4mjs7lHZhuO7aOcetT6IJ&#10;pLwSlsL5mFAIxtx/Oljg1CaAlIxCjYLF16/1rW0/TETZNIW3R8qCuBn1xUq71H5nOeJF26oV9FFV&#10;7Nf3Ez/7B4/CrPiXnVnPqo5/CoLIf6BdHuEb/wBBNWxXOOaILZqQOrL/ACNS2KgTk4/hpZxtskI/&#10;vD+VOsQfMbjHFWtgLjc/So2Pp0qVzk89utRk57YqhjDjPSoyDk4FSkEkHFMI+brQB03hlc6bfN6A&#10;/wAq59j/AKBER/f/AKV0nh1duhX7ezf+g1zUn/HhDuJHJIx9BWT+Id9CONmkLLURZlIwSKVGAc5O&#10;KHxnjkVoTcVXODz2pQx45pqj0p4UZNArjg5HNOWUgcgU0AUYPpRuFzpPC4V2uCBg4FdIVwK53wkp&#10;23JI/u/1rpqze9y0Q7e1IRUpBqMjipAaaTinFaQjn3psYw00080nWkwGds0mM9RTiKShgIRSEUvW&#10;mkZ70gEIxSct2wKeelN79KYCYo7YpcDFBB6UAIQOlH8NLikwTQAhGT1opaKBHmocn6etLnGf51AJ&#10;RsJJA9qQTbhjdXac5YZjnr2ppkIPBqPeCSCcGoywPfNAMlMh7t+VRtI2S24+3NR5IGQcfWmGRmHa&#10;gBGlYhvmJz0zUckzAAjg+opkjN6Yqs8jcjNOw7loalcq2FmkX/dcivTtKBbQbGViS8kW5mJyTya8&#10;gMrMwJr2LScnw5ppP/PuP61jUWxcdmdDb/8AHsh7YpsgFLbN/o6A+lEg4qQK1wubbgcbxUBXAqzK&#10;P9GI/wBoVXYYUipGV2HNQlRk+tWSMnNRMvWkBWkjBQ4OCR2qa2TEEXPbvSFcCrMKfuogR/DSKuZW&#10;pJi5zjjArG1FjDZzSxnDKpIPpW7qYxcEdeOtc/q+RpNwf9n+opPzGnqZemPPeR75ZpCcngHH8q9N&#10;8O+GtNuLSGSe1EzlckyMW/rXnPh9c2i/U17T4Tj3WcX+4K0sh3ZDeaTZacsYtLWGDfnd5aAZqsU+&#10;U1veIIwv2f8AH+lY2PlpSVmTcAnNSBaUDBNPC0kIdGAGWuG162ur7Xp40t3nVDgeWucD+Vd0OopU&#10;YkHKBeSMf1p7h5nIeHtBuoNShub2MRiBT5cajJBPcn1rsCoZielOxgUYNKwEe0U3aM1Ljmk25+tA&#10;ERXik21OYWxR5De1FgIdv1pNtWBA3qKbIhQjJoaYXI1B3ZqCCEM5uJbePzySN23kDtz9Ks96djig&#10;LiZY9cfhRj1pRkdaXjFAjhvEIzqkvtj+VR2ybdJvW/6ZMf8Ax01Nrwzq0+OxH8qRRs8P37HqIX/l&#10;SY0cdMB9mj/3/wClOs8B25PSm3Xy28IxnLNx+AqSwtpbkSNEVAXrmqjsPqTOCtMzwDUs0EkGFdwx&#10;9u1RHsAaoBPWmHrTz146Uh60AdXoSgeGL9vZv5VzkwxY2oxyRnH4Cul0jKeDr1vUP/Kuemjd7a1V&#10;UZiFOcDpWXUZS2A9qBEzHAX9KvQWFwx/1En/AHya0YNNuP8AnhJ/3wabnYLDrCx8PfZU+2XV355+&#10;8scYwKuG28KRDJ/tFh9FFUl0q9a4GLaUKB121NPpF9JCyrbtk9M8UObFykit4WAytjfOPeQCnLce&#10;HCCU0aZu3zTmoYdDvVgKNAQT7iprfQ7tEO6PnOfvCk5y6Bymppb2TxyGzsfsq5AYeYW3fnV0jHIq&#10;tpto9tG4kABY8YOauHmhNvVjIiMCm09hxUdACGm/WnYpMcUD1GmmZ+YjGcU84pCuKLAMIJFIc08+&#10;1IetIBuO1NOKefU00+tADQKUKMnikP0pQSBxSAQ8YHGKaQeQOD607GaAORTC4ijC+poIxTiu36Uh&#10;oEIDRS/hRT1C7PHi2T9KfnGO5qHOXp5Y44xXYc9hzvg0K5DYx171EW45NNaQBTTFYs5yMnsOpqOR&#10;uMdx6VCZwBigzA49qBiOcnHeqshOeetWWcE9OahkU4460xFcsc7uOvFeyaSc+HNNJ/59h/WvGGYh&#10;s8cmvaNLyPDenev2Vaxq9DWOzN2BsQoPanuQRVe3yYk5HSnyuEQsc4UZNZgNn4tmHONw5qBhxWM3&#10;jTRWgdTcOp3Dgxmmf8Jdojf8vyj6qf8ACp6mnJLsbDe4qNiegxWZ/wAJLo5AI1CIfXNOXXtLY/Lf&#10;2/4yCgnll2LuOasw/ci/3ayl1bTyxxe25/7aCr0N/ZssYF3AcKP+WgpAkyrqQzO30rndfG3Q52PU&#10;lR+ord1C7hNy22ZGHHRgayL0JdxrA6h4WYFsHmk2OJQ8Pr/oKYB7969u8JIBYp7IP5V5TaWdlbRh&#10;IyygdiwrVs9X1O1kIi1ErB0CqwziqVZXL5Gd5quoi+kVRGV8vI5PWqI5rM0ib7RHIxlMmCMktnFa&#10;o6ZocubUhprQkA5NMMu2QjBwOKepyTj1qJxmU0IROswx0NCyEzAYOKjUdaXcEJYkAKCcnoB60MC/&#10;5akZzQIgR979K59NfgttRkhMu+JpCBjkD6Vr3N2yeV5WGDgnNaONtxJlnyQO9VXlMcuxVJxyT6VD&#10;DeXTbi8ZYD7pVT+tSKskgJKjzCOR1ANQ9NhkiX0bAk4xjIx3FQ6nqaafYi72M6dTt9MU5bCCMljI&#10;QTz16Zpl7awXdutu04SMcMAR8w9Kb2EUbPxHDNavK7KxGWATk7e341pieO6ghlQna43CqsOj6ZFC&#10;IkJKgYBDcirKwJDCkcTMwXu3Wpk2ProSAZbNBFA604jpRcQ3HalxzzS0HAFAHD6ypOqzjsWqO6by&#10;/C+ojqfJP64qfVLXUJL+Z4rOVkZ8hgO1TabBqQlZJLF0jwOWxg81N9RnCzQ3EkMGIJG5bopPpW94&#10;f0q+ktJylnISSBk4X+dd4iTKB+4P0FSjzs/6lh+Iqk2ugPU4HUNI1IzgGylzj+H5v1FVBoWpN0s5&#10;vyr0km4/55DH+9S/vupQD6Gm5MDzn/hHtUYcWbg/UCgeF9WY/wDHrj6sP8a9GxNjoKRo52UlCoPv&#10;S5mMyNA0+4sdMNvcx4YuTjIPFa+0dAuPwqMQ3QHMqZ9hSNDcseJlA+lTZiJse1Jj2qD7PdK3+tUj&#10;1py20hHzS4PsKLMZIR7Cm/lUZsSSczyUhs2PHnvj2NFmArDn7wBpOc/eFULlbSy2m71LysngySBc&#10;/nUkcFtNgxXZkBGRtkByKVgLDZzg4ppxQAqLtXOPc0h96YDTTDgU9umaj3Dp3ouMDTCDzzT803tQ&#10;Mbj1pMZp1NbrikAh44NNJ4pSeaYTgUNiEJyKQ0EkEc0uaQCYoozmgU0FxO/FKOoNHSncHtQAOckA&#10;U3HHFOpuD1FAC9O1FKOnSiquM8T/ABOaXOQp/Oog3y47UmTj29K7LnPYlc5OAeDSP0x6CowT13dO&#10;1NZjkYyPU0BtqOY/LyPxpoOPrSl+vXpUW9jj1ouFiTJGTnk0gbIOc1H5nWk3YHNDBLQjODIAa9o0&#10;4lfD+ngj/l2T+VeKByXyB3r2qwP/ABI9PH/TqnH4VhV3RcfhN61j2wqSO1R3wzbSdvlP8qtQnEK/&#10;Sq99/wAesp/2T/KoewdTxOC2e8vTbI6qWJ5PStJvBd4Bxcwt+BqDRxv1hB2ya7VQVBwxx6VKeh2V&#10;qkoNJHEv4S1AdHhOP9o/4VEfC2pDoImPs/8A9au6DsCcjIpRg89KdzL6xM8/PhvVAuRApI9HFNl8&#10;PatCuXtH29chgf616H5YznoMGrbxCQRR+ijNK5X1iZ5BcWt1aNiWGWMerDFPt5JGt7kFmwqZHPSu&#10;28aRqtlIAo4IrhYzsguCB/BirvcuLcoNnSaLbM+nRSuC24dTzX0L4VsbVNER/s0Ibyxk7BnpXinh&#10;mMf2Najb1Wvd9BG3Rceif0q4fEYSe5zojRGOxQMnnAp25UQsxCqOpPakTlj9a5z4gSvD4MvinGdq&#10;n6FhWb1diGyvffEzw7YXTW5mlmZW2s0SZUfj3qfSfHWha5e/Z7W6KTE/Ksq7d30r5/lAkbCg59O9&#10;OtVkgv4GbcmHByRjvWrhFIlXufUoIGcnFDxieGWNJDGzIVDAAkZ+tc3ctaR2Qe0v337c7dx5rPtN&#10;R1WSQKjMwx1wcmuV1bdDb2d0b9n4XS2bcbuV89VYdf1ratIhZxC2PzHJYcY61laNcXzShbliyt3b&#10;qK2Zl/0uOXP+zitlUc1dmfJy6EquqttCgN6ZppAy2OpOaryj9/v3bSc8etR2l8k7si9VODSbEx89&#10;zbQMqzSxoz/dDHGaTz4mXdGRJ7LWd4g05Lhra4YzEo2wJGuevUn6YqnYRpZpaKdQB8slpgxwTk+t&#10;ZVHNbCTd9TVS4vzv3WAUD7mJc5+vHFRRahemNjLaQqwOFC3GQfxxV3T8lrmRrvzgzZVeygelcPqp&#10;tmspJiiTStOxR3+UR8+3WohCpLef4Gl12Otgv72SN2kso1ZTgBZtwJ/IUtvqVwXVLq2igLMFULPu&#10;zn8BUljHHFYQhifmXPAqwdPsnkSR41EmQQTwSR0oiptXb/IHa+iLWwdd4I+tAUHqwFMaBTgIAv4U&#10;CBVbnBHpitrkkmEHBYZoLxA7TIucZxmoJYI5t0eNgGGyPWqv9iWgD7XkUspBYNzgmolOXRCNAyQ9&#10;pVznHWmuQoyxAHqTVX+y7cFWJckMHDE9xUtxClxGEZ9vOciodWfYaQ4zRkgCRc5x1HX0pwGWIBye&#10;lVGgtrINLI5ADbiSeM9KtWl1DdGQwuH2HaSPXrTjUk3YfLpceIznGRn0zSmI+oFRiUI5LgeYeDil&#10;N0uM4atOZhYVojnqKZ5fP3h9Kiu7vy7Ge4SMGSJCyh+5xVPTrue7tRLcrEsoOGEecDjPei7CxomP&#10;jqKYAD7URgeZkUKuShzzn1pczGUbrUobVplbc3kgF9uOMgnufQfrXG+MviFFo9lJb2kUq6g6qUMi&#10;DCgjOfqPSu8m0y0mbdLEGJJJ5Iz9fWuJ8YeHtP1C+jSWHEaQkKQeck+v4CqUktWOMXJ2PDL/AFK8&#10;1K4e4vLqSWQnJZ2NTaZruoaRdxXNpcOjR8AZyCO4IrsbnwjYWjdC3fDGuT1TTUiu2WFSE+tbRqxl&#10;oVPDyirs9r8GeKU8U2L5XZdQACVR3z0IrpnRkXLDmvHPhLHcp4nuNhPlC3O/n3GK9mckzIvWsais&#10;7IzWm5Qa5wceRIw9cioft8KyKsqmIN/E7gVJdXN6NbQRwubNYyrkKAC5IweT0A9K8+8cS3ba5IBb&#10;SzRGIBQqlgpx1+tYKNRu3N+BteFtj0oLGUDRtuB7g5p0ywW8DzTSBI0G5mY4AFZekrMukWSbNoEK&#10;DnqOBXlfj7xfdaxdSadAGjs7dyp55kYcZPtW0YuTsZ9Lm14g+J8UMjQ6NCHAODNKOD9BWbZ/FS7E&#10;qC8tI3TPzGM4NeeHc3amnB49K6FSjaxDbPoPTtfsdYsVubF8gnDA9V+tGq6i1jod1eqFLxoWUHpn&#10;tXjvg/Vbiw123jhYmOdhG6diDXq2rQJeaHNbSziFHX5nIztAOa43CUK1m9LG906astbnGHxbr8Zj&#10;e4uoY43XdtVF3kfT3qIeLNekvooGuzErvt+aNQRzjvWlYeENJ1CMTi/uJ16ZXA5Fb9n4X0m1dWEc&#10;zvgjLynPNb88EZOJyUmva+NZFkL5kRpNqO6KMrnr6H8KnbWdXg15LKbWS0LNtJUAFfQHjiu3g0bS&#10;1kVv7Phdx0L/ADEfiavMttbws4gijbuVQZqedPoNo85nvPFMt7LHbTXohHKHZuJGcZ4H44qwmn+M&#10;5mG27vNvqfk7+/tXoVlOspbDZx7VPLMsYBJHNQ61ugKJ5/8A8I14vlRf+JtLE3O7zJ/yxjNWIfBm&#10;vvj7R4mmX1Ee4/zIrtDOWwQCq+ppyvkkAis3VqPYpRiYNl4Zu7SDy/7fvJDnJZlU/wA80V0LEA9a&#10;Kx9tPuPkR4RtO888U5vu5zzTC4Dd8+tO37hXsWZyqS2GkjdxmkfBAHWlOCP8KQY24Jo1EtGNYfpT&#10;OhHalOAe9NbkdcYoHcNvrxTD1IBoOeOTSEgdfwpi31RGpJkGTivaLFsaTp6ntbR/yrxdf9aD717F&#10;Zv8A8S6x/wCvePH5VhV6GkfhZ1cBBhWq9+3+hTD/AGD/ACqaE/ugfaqmpHFjP7I38qhiPJdFx/a6&#10;n6/yruVUsv8ASvO7C9jsb8XEgYquQcV0sfi/TVPzCb/vmpR11oSk7xR0HkMD0zSCFtpJ+lZtp4r0&#10;+6uo7eLzmlkIVV2dSa3DJIp2tbSqfTAz/OixzOEo7opvGQVPYGtG0Q5Lt17Vl6lqVvpqo14JIVfO&#10;0snU0kfi/RFVR9sA47of8KVhqMmtEZHjYYtX548wd64mJc2N2c/wgfrXT+KtZsNQtnW2nEhL5wBi&#10;uWg+bT7rAP3R/OrSOmkrU7M9E8NRkaRac/wCvc9JG3Rz/uf0rxPw6pGk2Y/2BXt+nDbpDZ/uH+Va&#10;U9znluzmBLAsjDzY8g8jcM1V1fTLTxDol5ZvKpLJ8o3DqOR+opt1oGlyPJK9nGXYkk88msaWxh07&#10;Ubc2aCGOQgPt5yPxzWFSTixpJs8/j8Px2c8zi0RjFyGJqG702S6WFjCvmrKrKqjqM9K3dYuA00q2&#10;0ieUJWUkt1IPTqKTQtSgj1qEzSquAUVuo3kYArJyktWd7UXG9jrri4T7Ay3FtGkhiBzGnQkVHYll&#10;WyEYXZJndkc4oa3JUllYk9c1Wn3QW67dylScYPTpXPKrd7HOloSXl+I9RltXjVYwMqy8NWS0Eh02&#10;5vBcXCypLhUEzAEfnUt0sfnpI5LMUXkjPOKrXd28Ns8QUujtuIA5Fawbb0BqMUVzJfRiNxeXGHGe&#10;Jm4/WtHT7vUIGDpKxz6nNUbe6juIYyEOB8uDxXRadbpIquo+U+taJSM3Y39Lurkw/wCkyb2PPTpW&#10;dpunw3g8+ZQxOTyTyKuNhIiM4DAjPpx1punXFuYQFnDhBguEIA+tTJu9jFpGnZWqW8kvlqcsB+Xp&#10;VO6uXTV4bMWUb27f6x2hyBxnr0qYi5FlJNauk07gbRnCnB/Sprdrw6fm8RY59h3qjbgOverp6RGi&#10;voojGj2YUvIpiDBmHUHmp5rdbi7tJfOC+WxYRt1P0qayQR2UCKowsaj9KYYIm1GF/PRZFU4izyev&#10;NVf3Q6lzHzE+tBU4yKggvbe4mkiilDPGSrAdiDg1Yy2SD07UgaIh96UnoMD9KjQ54jVh+NSx5LSY&#10;4+bn8qVSQ+McZ7CjYTRnX1vfS3djJDd+VDCxaaPbnzQe1XY1y2ccCnyHLAbM8+lVr7UodMjEkpID&#10;HAUDqah6jXYq6xHa3OnPBeF1gcgEp1znI/lTtBjtLe3mW2klcGQ7jJnO7A9alcw6tYJIjMI35BXg&#10;06ws47OB0jLsGcsxY5OTTiXpy26ltY0BLLnJOTmnEHPPSlT7ppQoHHNUSYviALHYSF2+WYeSQX2g&#10;A9TmjRbGKz06KOKVpFYZDSPuzx61q3VvFcw+XLEkgByA6g8+tV0jWPCKAqrwFHQUm+g7q1iZVxn7&#10;v4VCE3OhyMrzg1KqlVY84xTVUbkJzmmIe/Jx2rjfGNo8l7aSxbVKqd7HOce1dTqEz28IZDgk+lcv&#10;4huBdab9pQs4UlSV6iiV7GlC3tFc4We3uJmMqMXTPLGQ8fhWJqdp5jooboeTW5FMI4ZEG5QTn5u9&#10;Z0iqzg5zmoTdzumlax1vw20+G2W9uI4yWkCguT9eK7lnIu0A/uk/yqDTLa0tNNt1tAoiKA5XnJx1&#10;JqQn/iYIOwjJ/WtLs4JWb0ILoyskgTAfB2/WsPTRcizdZ2k80tlg+cLkngEiuglPOc1SknUe9ZuS&#10;QrXGRSSGRFJ4J6VxmtjTTq18GhTKyHePL6nv9a7QbbqN44n8typG5eCue4rz7xHp01rdP5k8hdQN&#10;zNJu3nHvTTT2ZvQvzaIyni0+TISzRF6gsgFcxqNikV1ti2uXORtrrpNNt5oo5TGu0jOMnmqkkESD&#10;EcSqV6bRVxnys6KlLnVmjN8M6NcN4lsA6FY9+/J/2ea9RntlvbGS3kYqjoQxAya5vwmjTauAxJ+z&#10;QsxPqTwP611aKcKFP8NZubdRt9EctWKhpEpaZpttpdu0VsXwTuOfWrmc5wScd+KkMfoRkVi+Jrm4&#10;sdGaS2J8+RhGpHbJo3kZJFLW/HMOksbe3RZ51yGJPCmuOu/HOu3Mnmfa/KA6IigCrc/hNxbedJIX&#10;lblvY1zWoafJZt8wyvY100+TYqcJR1Zo2/jLXLW4EyX0jnOSrcqfwrtvDfj631C6S31NRDNJwsoP&#10;yk+h9K8tUhgM0uzDggnirnTizOz6H0XgOMgqwHTBqVEAO7H41h+EdSbU/DlrM/Mirsc+pHFboYfW&#10;vOnJrQ0jbcZMwVwPaiq14x84AY+7RSUdCrnimOT9KcVGOtIvzKCOQRkGlKkjIFevY402IME+wpGG&#10;APc07bk4xio5MKuTwoouLoNOMH1pp6kHNO2kr0PIpuxhg80x20G4zyMUjU8o5GMYqNkc5HNFw2Iw&#10;AJQcd/WvX7Jh9isuePIj/kK8i2lDufgD1rubfxjpUaW0JaXKIqs2zgYArGor2LW1j06M/uVxVPVG&#10;/wCJbcf9c2/lUWl6zp+qw5s7pJSo+YDqPwpdVP8AxLbj/cb+VQxHiExwny4696rEvz93FSSsSQPe&#10;osHn09aSR60bNaF7Srh7PVbW5VVdo5FIU8A816vNqdwVeVoYCYhk9cmvHBuRlYNgjmtVfEurjpeE&#10;565ArOopte4ZVKXO0bHjnWZb65jsZII0Nud29WJByB7VyHzkc4qa6uJ7udp533ucZPHNRLlc8cVc&#10;LqK5tyoxUVZAMkcgY+tXIGxpl2fXA/Wqi/WrSMBpVxx1ZaoVRaXPUfD6/wDEusweu1a9qsxt0d/9&#10;w/yrxPSJVh0q3fqUjDYz6CvR9G8VG98LXE4tTvjjb5Vb7xq4NJ6nnSmk9TmvGHixPD0axxRiW5kB&#10;IDdFHqa8u1DxFqeqqzT3L4P3UT5QOKm8cXN7Prn2q7hMKyhdi7sgDpjNY2/oB2rWMY2vuQ782pp+&#10;HpoblTptzuWRjuj3DIz35rH1a6lGo+RaNsjtpOJFPJYd6GeVctCW34P3etMtNNu7xXNvbzTlOW8t&#10;S2Prio9lFS5jX20nFROjsvHupxp5d1M0n+2QM/lXZWWrPe6cLiGZXyeflHPAryC5je3k2So0bDsw&#10;wa6nwRfEXUtqzfLIm5R7j/638q58Rh48rlEdOo72Z3T30nkeYscTHvuXOKjv5zDpUd55UZkYjIxx&#10;Vd2a3l6fu34qae7aKzACRyID0cZrhW6N76GJ9uYuNtvGozk7c81u6bezySLHH+7QDPFFrLHNGWe2&#10;hGCBgLV10EUgEMS5I7DFbSUuiI5kX5JpZtNiK/flO3p68Vd0fyo7VIMBGjGGX1PrUFvBIsdnFtB2&#10;tuY+lXH0wSSeYjMp9qEmncyl3Q9ZJDKhhXERkPTgVLfvqG9vL+S2CsGPB7Hk+grOmhvmvbVrVCLW&#10;AneFblzkdafPe3q22q+fbTLG6ERZ6Abf8a0U1sSmbNsSttCEYMAijPrxTZoLZHXUfJaSeFSF2dcH&#10;rxTrRdtvGD2QD9KdNlraXZOIGI4kPIWmX1KGmaLaWF9d30LXHmXjb3SR8hTnPA7da1QU6/NTIyRA&#10;u995AALY+971Icbe2PpQDEi6OQP4+9PVSG6cZ9KggJ8okcfMf51Mpc9TkUm76CGSxAn29QOax727&#10;0m+uk0262ySM+FRgfvY9a2FD7uWY+mRUDaXZtdC78mM3C9HxzQNW6kU0trpVtFGxSCHIjjUDj6VZ&#10;s5Yp4d8bbkY8GsjxELOSKKO7vZLUb8o6dzj/AOvVzSY4rXS4VimM8a5IkI5bvSXdDtpc0niVk284&#10;9jUBtxtJyc+gqdXEiK69GGRVeS5EJI2HaDg1QhJICsDsm4uFJAz3xXPaVf6hdXiLeWFxbFUbeXPy&#10;k8YxXQ/a1zhgRVS9u2gsXmtzG8mcAOOM0WvoNFoN+7cZ7GlVhvAPUDis3Sb6TUtMhuplRJHDBkTo&#10;MEj+lX5QdjYwCB1xmnazEJNaLMxLyMR2HYVnT6QWi8oYaJvvAcE1S0l7m81O7nZLiO3U7cSggHGM&#10;FQf+BV0LyOkLuq5IB2j1qafPO/MrFSio7M8m1rTNt7cQ28rkwthg2PTNZ9po8txMsKDMjnr2A9a6&#10;jUNNuk1oXbIdl0NrgfwsK1bCyis2YKrPK4+aQL8o9hRyPmt0Ov2kVC71YukKmjwR2fzGEfdPXnqa&#10;1InSW/LqwZfKxx9arCLfcIx6IMfiaRkaFGkj+Rhkkjoatx7HIS3ZUZBOBWLeIERWR+RwPenzXZlO&#10;G4bvVVmPXFcU/iNlF2LlkXYgjhx19qyvF9jLJ5d3CRtb5XJGcGtIb4VDIwJYdBVqa2N3ZLC6Bgzg&#10;uCccd6qk3ew4z9m+Y87kl8uAqzAkd6y95mY46etdJ4h0bTluFFizqCTnLbgxHXHsKzIrNIUIHX1r&#10;d6HXFuoroteFrqGz1GczusavCQGY4GRzXW200NwgkhlSRAuNynIzXlGrXg842lsN8mcMR0Fdn4Ms&#10;7jTtLdbhiUmO8A9vWn7O15vqcNX4rI6NZC+4jHHQ1z3iO8EFvbM5X/j4HB9s10CLFE2A4/E1y/iK&#10;WJ9b0uF+U3MxBHU44pXvImmtQub+aG4SI7AjruHyFjVfUNLju7NmkAJIyDjFa9u8c7nfH93lSRiq&#10;mp3DBGVFAGPyqLu+h6PJpqeVtDIbhokAJ3YxU89rNasI512sOeueKtXMQXUj8wALAlvSmanfreXK&#10;7T8qKF3f3veu7mbtY8/ljG9z0L4YXZayvbYt9xg6jPrXdRxETM+7IPavJPAF8bTWvLLYSZCp/pXr&#10;SyLndt/GuHEe7IEtBkoLTPjsQP0opwDM8hH97+lFVGOhLZyVjZ6bHYW6PplozrEoZm3ZJx161Kbb&#10;SgP+QZaf+Pf41e07QY9T0uO8t7dXG4xyKP4WH9Ke/hxVIDWoHsa6k29bmElytpmO1tpZb/kG2w+m&#10;7/Gqs1ppLAl9Pt9o56n/ABro/wDhHoiP+PdPzrn/ABjYLpfh+WZIQpZ1TI7ZoV7i0OM1nWLcs0Nh&#10;aQxKODIFyT9M1jJqUycHBJ/vCut8OeDH12x+33M4gtgxGAMscVKPAlpP5skF4zpCTubHAqvawWh0&#10;Rw87GboWqWM8y217aId3Cuc9feuoOl6Yf+XaPn3P+NcprGjRWVkJLVXzFyXbHze9egeHrCPVNCs7&#10;vyYy0kYzx3HBqXLm1iRKHLucV4m0yPbawWMABkchmXJ+lQXPhkwwKvm5uguWWuuujarqslvDGBJa&#10;Nh+MDd7Vn6g8LSvcSs6kAhAORurJ1JJ2R006EXDmfU53Qbi+0LxBaSKpKvIInUH7wJr2DUkkuLGW&#10;GNcs6lVGepNcZ4S0pZ7xr24AkEHMZOThvWutv7xrO1e4ADGMFgD3xVttq5y1ElLlR5JqWhajp8yx&#10;3lsIS2SvzAg4+lZbcMeorqNW8Rt4l1K2SSIRlPkAU5zmugl8PWt1bpaw2EUbEAeac7s+ualy5dJH&#10;ZTlNrU8045peM5OM1raz4cvtDmbzgHhJxvXt9ayOM+hqk10NIz5g4PcZo7cfnSBgOccU4EAd+fem&#10;UHAByR0qS1ea5/0aCIv5jdAOtQyyBF+7kkd6RNQeHG0YA6beKtR6nLVq3dlsdXD4d1i1tluJXUDO&#10;RGr84/CvT9Cnz4Bumtl2yIuSQeuD/OvDF125j4S5mjz/AAhuK6bR/G1zHpj6TIMrK4YSLwffNRKM&#10;rXZyzinJOJ0mnalb6mbqw1KyW4tXwQxyCp9QexrD8UeE73RAbu13XNgxyHA+aMejf41p+GJEuWux&#10;/wAtQQ2Mdq7a71SDS9FlubrBjRPun+I+lcSrTpVLR69DsqwjON3ueGB5JVJAOAMnHYVJBdzW8ivB&#10;NJFIOhRiDUV3Obm7mnSJY1di2xBgLk9KhDEHNev0POLOp6ldahPCbm4knZTjMjZNW9GuhZarbT9A&#10;GAP0PBqvpunx6jdl5XKRx/eI966ldB063lR5nYwgbmLHtisatSK91m9OlKUebodXdANAwP1Fc4Nf&#10;jM72DxvvBwG7Vz2reNry5lMGmoI4R8qsVyxrnzcamt19qYP5uc7itclPDv7RqpLset2ZM8LsDtwV&#10;NdbawbyhOCcV5d4V8Ui7mNlebVmcDYQMZIr1qyZNitkdBWvLZ6md9B7iRLy2AOAdxOD14rShaTnr&#10;j61RFyGuViUBshsn6VaikfBz246Vg0rsSeg61O2AcnliaW6+azlzyMGm2+TaIDxnNF2xFnIOOgH6&#10;1m7cjY4liPlRuzgDPWpdsU8LJKodDwQw4NNjTaB8vYc0qlOccetbrYCXYpXaMAemKb8vYinoflBH&#10;NKAwboNtOwiGJSYgR/eOfzp4yOx/KkhIW3VieOTn8agu7mZYGeGNjjpgZJqGu40m9C0oIHpn2qsk&#10;ZRyxJ4Pp1rGmvbuO6hedwGyAEB4GfWtv7QwJDJ0461N11KlHldk9TL1f+zikY1GBJkLYUMm7Bq3B&#10;ZxNbwLATFHHnYqcCpppk8oPLtRM9WNRxXOJ4Il2lJEd9w9iMfzqk01oLUvRoY4sZLH1NBXf6Z9KQ&#10;klfSm9sVRNxPKx3z7CuY8S2l+1yskFx9nibCLiUgE/T1/wAK6YsVPSqGracuq28cTytFscOCnr/k&#10;1S3BMW1aCS3RoZFcbQMjpkcH9c097uKK5aF3IYrnG0n9cYqGxso9PsorWMlhHxuIxnmpZNOebUDO&#10;1y/lfL+5xxkd80ktbDRYZcrs9eaGbngcU5yAwJqOQ/Lx61vawEU8C3A27RgHmovsyqVUcDr0qwCf&#10;3uD/AJxTlj569BigdylKEjidyPug1RlO6DaP4uPwqbVJjHDMoPCjJqCxxLaK/JGzgn3pMDHuoRHe&#10;kMPlNRmKMrn5h6VpawgiiE4QtgZIHU1zn9uWKyiEiUP3yOB9a5akIuWpcZSS9007aILKSrE4Bq3I&#10;ks6IH+RW4Yen607Too7i0jnVWw43Akc4NafkhZAQPlbkjA496uFNRE5OW5xus2wg1eOMqAFgAjwM&#10;DGeR/KqL6Tc36lIXMWesmOfwrrtYto7kRW7rmUkMjjgj1qxb2aW8Sbvv+nGcU+T3rmyrtQ5Ucfp/&#10;guwtIkZozLOhyzFtxLe/rXRJp0abuOcc/WtKUCBDgAbunHf1Jqs7bY2KjLMPyFW1fcxMS8jMa/Mp&#10;DexzXF+KVk8m2vIx+8t3ySDziuu1ByT756+tYGs2ZvLUxhsE8/Ws9nccXZktsk4iSRp2KEZxxVDV&#10;72OOIqDlz2Fc5LJrlrIIWkcQgA5PTH1rdXTo5bITL87OuQTUtcruzuVTmOG1CRmcs3U+tVxGSMgj&#10;61u3+iSzODHngc5FVF0a76BR7kGumM42OKcfeHaNcGz1CGVs4U5NezaZeG6s4JQQdw7VxfhzwUT5&#10;d7cTq6Mv+rQZ/Wu7tLS2sUjht49gUelc1XlkxJliJ8K3P8R/nRUcJ/d545JPP1oq0lYzd7klvp/9&#10;lyQxWs7GOI5O08Ek8munaRHXEwVl9xWNBGpjO5vpQJWeQRbshSTmmtCZO71HXaCJ8p9xuntXOeLL&#10;NdR8N3UTNgIPMz6bTmujvbqyt7KQ3N1FFjkbmANcHrPiqzuYnsIFMiyoQzHgY/rWsbszZv8AhG3S&#10;38LwICJEZSwbGM571V1G7W3tp418nMmRgtjFR6DeldGijtih8kbHQ8EelY/irWkitwDblXbgZ5Fc&#10;aTcrHsuUVG5W1CxN5pjW1pAjXEwCEovqetdpZTWfh7SrWyiuIvLgjCNuYAse5/OvFp/EuoKWENw8&#10;AAx+7OOKxXu5ZpS80rOTzljmu2FJpann1anO7xPUvEsq2+qSXEEiss58wMpyM45H+fWueDHU70Rr&#10;lO5INcjHeTseJG46CtTT/EU1lFInlKS55bHNT7G0rle2ajY9s0mC0h0qGK0XaFX5s9WPc1S19saR&#10;cnOB5Z5rO8J61HqdvvR9pTqner+vxFtNukHO6M4x34ptWOa7vqeSWYlh1a3lRWOZAUOOvNesXWpR&#10;2yxiUMGx/Cuf1rK0bw+50iJ54WEcDJLHIVwMnsM81q6lHDcxRkwqxUg89zXNUlzNXPWoxSWhheIb&#10;k30ElkkbGSReNxxj0rzlo2VirkhlOCD2r07UtREl8jJCBIo28YO78q4TWtOvLbULiWe0miRnLbmQ&#10;459+lXT00JaSlqZR9Mn86VR2yaM8EU+CN5nWONS8jHAAHJNa3AI4zLMI+CSa6zQvAdxqULXcpWOI&#10;H5QRndWhpXgfYkM01wBczqcRnsR2rvNOiKaKtuHMbxjGRUTrPZE0sPZc0keaXHh2wspzFMspfPDe&#10;XhT9Kq3lhbKESCNxKpyGA+765rq9YtxqWqW8cpZSrhd+ePwFUtb02G01ZHWTchAPyt+FZxm73LqU&#10;vcdkdRounRWPg2W7tQsbvC0j5GSxGcZP4VyfjLUze2Gn28bYV4xO2DwTjp/Ouoa8jtfAE8LSqZlg&#10;ZCAe7H/69eZQsb24it5ZcBRtVuuB1rWNGN1PsebzuV4mU0ZySFO3IBIp8VvNdSiK1haR/QDNdva6&#10;DpTIPMjZmxkszYJqO+8R6ZoUf2W1jQyeka4x9TWjxDl8CLeG5dZuxHomgtpkTy3zrvkA/dLyB9ar&#10;+JLpptKnSHpwMj0zWb/bF3q0oVG8rcwUAnk5OOKZY2X2icxT3U3lnOcN3+n4Vjyy5uaZsppr2cDr&#10;vB+gWdvo0dzJGGnkGcsORVzULeMwudiADqTigxXA0pRGisEUKCWIFZl/Fex2sH2gIqsSMdR7ZrFt&#10;ydzvSUVyowm09Idbsru3wFE6hiK9mtBmGPBzlRXlgs5IFbzCpLDcqqMcivTNKfdZW/POwda3hK55&#10;teFncuQxSZkKjaxJ2k8Vp/Ntdu3NMi6c06Wz87BU7TjFTNNRbirswXZli0XFrH3BWotQQvZSANs6&#10;HI7AGnRWk0bbVmPljpk5qW4t5JomjD/KwweBmuW0uV3i19xaSVtR1vOkyjyXEgGMkHOKcAuTjk1n&#10;WdudOJjRyiueSy55q75VynzAxv8AmK1pVFVjdIJKzJwPlHOKUht2Q3HpUIkmwN8BJB/hanFgcs0M&#10;ufpmtrMkHIFkB3wPwqq88rjb931x1P8AhVsrwAQQMDORSRWyIxfueMms3vsWtjGudJn1C6RQ3lRx&#10;jJbHf2ra8uOEKZHLHGNzDrVlVC1HMm5OOvahrTYhRSbfcqX1pDqFt5LSbRnIIqrHEIr+0iGcR27A&#10;H8VrQSFcfMQx9KpuB/bEQ6Ytzj/voURT3Zblpy9DRC/LUM5YRkL17Gp1+6DUTq5PDAD6VZBlvcOE&#10;IO7f9OKY8jM67d5HfAxWrs5yTmnCNfQUXYyjGdxVcHKsOavGQx84BzUJTEuewapSAy89KLu47FQ6&#10;jaySlA+xw23a3c+1TMOFAFccZRJq0S5+9cZ/WuzyFG49hV05ua1LqQUWrEXRZsf3qdK+yPPqcUyL&#10;LQsT/E1Q3bFcHsDWhmjL1I5Zg/RxipLAwWWkRNczxxIqDLOwFUtZZms3kDdOa4yad59PDysWIyBk&#10;5xzWUp8pvTpe0On1PxTocu6yjuWllcADy0JGfrWJNoFlcSLJvdWJ6g+vHNYXh+OOTVZ3aMOUXg46&#10;HNbur28l5YCGGdoNzrudOpHpUNptNkyTjLkidpaxrBFFbwgFY0VQM9hip5dgViceW3H1JrivCukz&#10;6brm7+07i4hMLZikGecjvXbSE7l4JDN+VWmnsS4uLsypNG32gHC7gQqnHQd6i1Lw3p2sSpPcwlzt&#10;4kSRkI/IirsoKtECWO0liR3qzvUkh2AQgYBqk9SWcra6LDpepSw2z3TRsgG2WZnX8M1dvcpHwOfQ&#10;U6O8ifVrkNIiFMBQWGTVW/m2qxDHngUnrqUrLQw7xtxHqOKqSJn951YDH1qaYM7c+mc0RIdsa5zt&#10;AJ9656kraIuMbu5z+t2rtH5pchEU7h2JqKG8e1toLSJRKygbj1/Ct3VYgbApjJJA/EmlgsLe3jG1&#10;OfXuTUc2mpspaWRSkK4BZQAR3pFtAzA7QB6Yq+bZGI4OQc80SFYUzjPOAPU0r9haEdtPNpr74m4b&#10;qvY10VneJfYmQ/dXDL3BrmnBbIzlup9qjsLx7S+DK2EYlGHqKauzOS6nXQf6hPpRTYWAhQf7Iorp&#10;SMNDcWAToVyEmHIIPyuK4rX9cls7qS2t2Ksp2uw65qTUNUuLO0eaASp2DFjjJrjppGddxctIxyWJ&#10;6mtacb6szluUtQuJLnLs7EE9S1UrdxJhs4dD19RT7hwXkXnJ/Q1URjgrtxkitxJpaG9Z6q9hexvG&#10;+XkXDRA9RVLxNq73l0u4FUC/KMdKo3luFuUlHyfL19DVHV5zPOGxztAOOlZumufmNvaXhyFeWHem&#10;VOfaqTqc9DmrlpbyzTCOMM7t90KM81YnsLiFiLiBkI4IIq+ZIlRbV0ZsBKyr1rqobCGSAZQfMOeK&#10;ztL0hrucE8Kv610dyn2WJcRlsdAKwqz1sjrowtFuWxv+EreOxuEjhjzJL8oAHU16JKIrSEllDT4+&#10;8egrhvADT3Gpbmg2LGhOW5PPSuw1qURRMxOMDrU3djKoknoU76+luvD2ppE43xoJkUex5FUtEitN&#10;XtPOYs6OANnTae9YC3cgaYK52nhsHqp4P64qCwkk0u9SSHcsRc4U9AfSs5q6ub0ZJXR1T+HbWK8F&#10;1BGd6fwE8Ux5/LkaCcB0YDcjrkY9K0Z7p7N7cSMkksoyYxwwHc/SodUtVu17g9QR2rPWL1Jqe/s9&#10;jzbxroEFg8d/YxhLeU7XjXoje3sap+FAkM0962MxqFTI7mu81nTJ77wxexCLJjTevIySvP8ASuO8&#10;I6RqWtW1xFY2jTASDLDCrnHTJ4rojqtDLml7Nq502ieIYEvYo72MmQMfJkQ9Cexrqw6DcOm45+lL&#10;4V+Ga2twl3q3NygLR26nKqexJ7nnNMubMyO0lvJ0JVl7gjqDWVaFtTrwlRyjyy6GLqkKrMHSMu4G&#10;V7YNcfMdt4+RwOW68V1erSX9jGDIyHd93HNY2l6CPEMd2XnltyWCpLjKsepGPSlTVy69TliNeZZr&#10;Xym58wDI9q4ifzIpmwcbWPSvS5/B2oWSeapS6j4wYs5/KsO48JrNI8sZlVmO5vMUAA11qcYrU8eE&#10;XKWhyFzqt/cRCISlM/fK9TVNIlUktlj3Jrobvw61qcidJG9lNVY9GuJm4ICg9apVKaWhpNVJPUg0&#10;lHfVLZYwc+YDn0rZgVkgM0alnDZGMZqeG1t9NhzCwNwcZJ5o0zSp75isMTO7kKFHToP8ayqT5lc0&#10;px5ZJNnTaXdu9jtYAFhyD2NUdZdDZLGbiV8HO3bx+Faeq6BdaV++sVM0IUeZHnJUgYOPbiufuNUa&#10;4CqtqBtHOa5uVpnoxqxlHQS3n8yRWYk7Uxz1r1Pwxb29/oysX+bO0Mp5GK8r0fyJtUjt7lW2Sgks&#10;hwRXrvh6C00/To7XzG5ZtpJznJ45Fawi7nBiJJyNVbAI5KynbjhSM80o3xOkbsjOQTkDAp5gUnKs&#10;w/WuQ8b+I28OGC4YeYDhCTxjJPp9K1Oc7EGXPAjI/wB41KPNxnyx+DV5Za/E+wdAWldX7gYI/Ug/&#10;pW7bfEjTGt/vuzDtsPNVYLHWXuoRWKK10mxWOBzmrEdxFMgaNgQRxXJ3l9B4gW3gknktgXD4xyTj&#10;gH0rbtrP7N5ZWRjsXbg9/eh2QrM0x1608c1WDsDz0qdJFB5YAdyTUDJguRRsX0qmupLNcvFBGzKg&#10;5kIwpPoPWnrO4LE4OTnntRYZZ2DPf86RogRgk1CJ3BBKgjvipxKjAc0WAhZCFwD261C0R83zBt3B&#10;doOO1WXZfUVCzjpS5UFyG48yS2eIHazjbuHbNYpstTacnzmiQ4GVcnGDnOPfgVFqV34gTVVFits1&#10;juXdvHzY71vG4VME8humKp00kncXNcw4V1gySCWeZVKfL9zIOfpWuz3IvYUUD7OFJeTIJJ9Mfrmr&#10;eRgGg4NS0UQAbZCCwJJziknmEdtI+RwpP6VNjvjmobmNXt5UwMlSP0qXF9Bp6nDWaNJ4hsDn5RJz&#10;Xc3GSoUdWOK4e2dYdRtZmIAWVc57V3gTcwY4OKVDZo3xG6Gv+5jRQO9V7hS0L/Q0t/eR25x958cK&#10;Kwbye5uIi08vkw/3V6mtW7GMVcgvZ4RaSQySL8ykAZ5riL+RYbTyR1yTWlqFxBbhnQYY8ZJ5rkbi&#10;6kvbjyoTlj6dq55NzZ3U4qmrs3PCe3feSE9WCite+mYSRxgd91Z+m26aVaeUDuZjuYspGTS3Epnm&#10;UA9F7UmrIwpe9WuauhX27XY1UAsUYAE9eK7N8F0BI2nrz3rzDSytnrltcFmAVsHPQZBH9a9QDKXQ&#10;9QRkcVVPYrE/EQXBBuFU4+UZUA1Bc3ItoTIxb5l49qfuDXD92A6kVj6rKh05FzhGBywPf0rS9jGK&#10;u7HNT+VOJpp1DM7HB6cVz81/d2jN9lu3C9kc5H61f1G4EUAjVug79658h7i4SBBl3IAFZRk7nfOE&#10;OXVHRabqE15alpUCyltvB6j1H51u24UAnOc1i2qQQyQWxJJgJ3Fe5rYtyW3yMmwscKpPRRWE3d3O&#10;ZKysRXm2WSGJWGfM3H8KsBAPc1XkWEXRO8I23oDzmkZ5FU5O7jgipaKtYkc5JAwAPvH0rJWdbq6m&#10;lziCD5E9z3p+oXflweXHncw5+tVdPhz8g+7H692PNVFW1JvqXlZRGzY4Ayc1nsNixEnBzmtCdcBI&#10;Ack8v3qldczYHbgU1uKWx2ULZhU+woqCB9lvGG+9tGfyorqRzcp5/K0V632uK5uCc8xNIWUfTPSm&#10;yZ8r6dDWVpTzxS4K4Q93OAPU1r3t3ZqpW2keVhxymAa6Ivl0Cau7mPdr/pcZH8RwRTZItk6jtmpD&#10;OS+7ykyDkE5OK1tE0fU9fujDZaa1y3Qsq4C/VugquYz5WzE1Ek7B2yKrm0kvCxiRmVBk4HSvUrb4&#10;T3d1MkupXAt4ImzIqEOeO3/667G68F6RYeBb6bRbcmZmWZ2c7mYI2Sv0xnilKWmhcYa6nl/g/QLn&#10;T47zUnjIlSFhEMcgnuKr2Vv/AGhcOkqnLH+IcmvYVtY1tldVXDKDxXG3mhxLcyXNvKySBicdq89z&#10;cndns04xS5OxlJotrYQEQg7j3JrJuY2VyA2PoK37mZlIyMnHOKwLpuWYmmtQmkkdR8P762tr2a2n&#10;XdJKPkYnHTtW94raBtPlYbkKqTjOQeK5PwVYLJcvdTbt0JBQDgHPeuj1yxvdRtJYrdVO5SPmOKHU&#10;afKcdWmnqjgdIuBOpD9JI2X+orasbiJ4MyRecyEfu/7zDgf0/KsdfDWt6coX7Ez7e8ZzW9oWmTmU&#10;Pc2s8RJ5ypAxWqkjCzNCPzLGyuNX1Bg9zNgDJ6L2AqLRdaa6nEFyCDcFpI27Dn7v5Vm+Kbm7vrtL&#10;OGCZbdW2g7Dg1L4J0D+1viErjd9nsAHlB6ZXhR+Jq+VSVgi2nc9AsfClxdfvrg+VCeq92H9K1bm2&#10;tNCsLWHTbdLeKJshEGOe+fWt+4DJG+z7rDnHaqV7FHd6cw4LqMitI0lBWRDk27stW84uIorkfePW&#10;uP8AGGkPDdvqmmExzeWZJ4/4ZAOpA9a3dIkP2OWPPAGRUstwrxpK4DLja2RnANNpSVmOMnCV0eRX&#10;V9/ajIHGF7jH5mungggt7SOGBQsagGMD0qj4o0OPT9Z32gUQXA3Kij7p7itjUWhhljhjxmKJYh+A&#10;5Nc8Y8t0dOIkpU4tdR9kZWjkVBkIc5qe4tFv7MtdRBkB79RTdFkzdvBjiUfqKlm1CFIJ0OSOn41S&#10;iranG1roeU69YSaXqkwupXNq3MbAcsP7v1qqZB5KgIUOOBnpXc69aLqWlnbDvn8wNEPT1NQD4eTv&#10;YpeT6ikYZA23yySPbrWco9jRSVtTh/DiXmreJEsltlKjcS2MhQP4jXqB01NKtttoF8wD5toG41le&#10;GrIaFDOAqNczSEGYDBKAnHBrqUaUJmX50bqccitYxTIbbM7Sb0TbjKw/d/eY+nvXM6xBpWsas/2a&#10;P7OCNomXgO3qR6VuaxZLHMJIgGSQZZB0cd/xpltpkMWWAEkeAQ3cA+tXy9BxbTujlNCsVinu7mVQ&#10;s0SGOMMOM4611mi3BNjHHna69PY+n0qneOlxcLCuAidMDrWzbWsVtLFtXK5AY/ypJW0Qpy5ndmnY&#10;6myKVkVm44APNcn4p04+N5jaWMojwqNmRehBOQRWtPM8F89pHt3Cbhj/AHSKqXss2l3k9/E6JErb&#10;XXb33HJ/Gh30I6WOW/4VpeaVe2UrW0UkSygzSbwQRn0Nd9a21rAbbbZ2UMT8ljhWI5zge3H51V0n&#10;Wk8UaisEiuFtlMgweCen+NdC2k2Znt5XiJMOdozwcjHI+lXe+wamNqUSfayYsbMDBXp0rV0qVpbP&#10;Ltu2ttzTrrT0nkZlAVeAFB6cUv8AZ840t7e2uzbzF9wdhnA9KkZPI4jGeT9Bmsu8u1nzDJArpnox&#10;IrUuYplniWFVeNgfMfdgrgccVyN68onJeQ/KMkg9TUtW1HGN2a0OuMpaMRogTj1rK13xPPp3ltFE&#10;D5gJZskYx9DioNNNod1zdSPsUYCc4P1NYHizUHNzCLV2jVlyVVuOtZSqdjvwuFdSolNaFq28ZS39&#10;3Fb5uAzPyRIcV0a30yyN+8dgfVz1rzjRHmfXLcSEjLHr9DXchiH2+WTxnI6VUJXWpnjaEKU0onTa&#10;Xfm4sUlYnOe5qzcXiRRF2zt5Jx6CsPTZFt9PVFQ7tx+U9aZqs9zPYSx2cLPL5bKQO2R61cFzSSOJ&#10;7XJYPFulXemtctMkCxuVdZCAQQOg9awY/iPpTXvkyRzLDnCy4yPyryjUxKkzQOxVwSzDOfm6f0rq&#10;tMtfsWhWTNHyf3jMw9TxWlblg3bYUE2tT2izuUu7RJomDo4ypHcVYzjHNY2h3Ie1A4wADUs18fMO&#10;3oDWd9LganWkIxUVtOJoQw61ISfrRco4TV4DBPdxdMMSv0PNO8OeIYZtPW2OoR/aYWKNG7/N7Vb8&#10;RXVo+rm2DjzkhBkHoCTj+v6Vwf8Awiem/wBqS31xI0hdtwjBwBWUbQk7na4upTVj0W9vfsoLzsrO&#10;3IA61yWr6/tBaV+B0Ws/XNcg0223M2dowq5ya83vdbuNQlJkbap7CqSlUfkFoUt9zobvV1vZmV7l&#10;IY+7M1afh5rC5kdLN1cx4Z2IOT9K84cpjjORXWeACDqU+GIKxdPXkVq6SjE5J1pT3PRHx1Aqndrt&#10;xKBkr1x6VYJ+X+tNxkBQMk8Vi0miac3GSZQmVZYvMTuK63w9rK3GniKZ8TRJtOW5OOlY03h+extv&#10;tCtvQjc8YHKVnoiiUSxMVb1FZK8HqejJKtG8TunkxGXZvLAH3j6VxWoXgZmbOI1ztFVb7XrtpRbS&#10;yKUHIHQtWJfah9qjJibCdKcpX2HRp8mstynqWoqWO3JNaPhizkllN4+N4HyZrGtbM3Nxkj5B+tdn&#10;bAW+mxsFxufGfSlLSJlUm5SsirHHLDqEyMoYmTeGJ7HrWszFtyq204646Vl6pceR5Ug5XeFdvQVd&#10;klWGN5NpYBe1YsXkU1uLeO7vpLtiFVQqORkHjmsm618CeKKwlWQk4OQcdcY/rUVpfyRXN5JJK/lu&#10;+QF5AI46VSEFqdYiuobpZN0u5oyu1hwT0/CupQja5Tq1YRcejNud9uZJRy3yqK1LSMQQ5Ycnn8a5&#10;yz36trUY58uM7sduK6iVcOqn6VhPQghUDc0jYyeetUYV8++gTGQWyfzqzehIiWGd5G0c0/QoDNqD&#10;ORxEP1pwV2Z1H7ptTsokx6Cilnid5Sc/kKK6rGKaPKtxdickknqTWlb6Ff3V/a2UcBaa6AMaqc8H&#10;uab/AGd/xMjak4GcAgV7v4N0O303TbO+liBvJowgcjkJ2x6ZrXd6DUdLsytC+Fmj6RCs+pj7fc45&#10;VuI1+g7/AI10UN3Bo8q26xJDak/J5ahQv4Voai/lRFN21mJ2muGvL2RrvFwd0a5Rl9AaUp2Bas2N&#10;Z1iS11VwjBobmPqOh4610Phpw+neTIARIuSO2CK801GZjDEC2TExAPtXeaTdJaW8BeWNAI1BywHa&#10;ohK8rlNe6YN1KNAvLjR7h9qDL2sjHqh/hz7dK5e51SJWcNKOvY11HxEk0/W7O3Fpcxvewt8uw549&#10;Ca8qvFns5THcIUkxnBOeK56lNKWh20at467mndXaNuCtyfest0a5kEQG/J6Dmrnh61ZmnvrrmKMb&#10;wD/drbCW3ntNaupDLuwOo/zmhRtqKrW6I0tEuo7e1itkOVQbQGreGovyILYy467T0rlLZCilu/pW&#10;3p8j2hV+rZ3N/hTsmzl5pR1NP7dOBk2LZ9OP8atC5mKAi0Ln0BX+pq6bmCVFYQqQRmonKHpGF/Gr&#10;9mkL27fQp3CkQGaW1mT1VYyx/SrngfTkin1XUQpDXMyoNylTtVR2PuTUYuPJH+u2/wDAsV0WjNus&#10;VkDBw7E5BzmtKUYqV0EqjkrF64cpE7KMkDpWMZcyoEPDZ3j04rWldcEZ5rFnMNpcpcy52n5T6Vuz&#10;NE1lC0UUkpGFKnHvVS3lAZraTkEHitTzTNas6hdoPGO9Y+owtbXSzrkgjn2NJ6DKOrxboo42QF4p&#10;AVfuR0rDEbzXLZJZmYkmt7UZw0cToc7wRVHToh58xb7wHHFYyV2XzXVmLpl19k1WAfZ5HDNtLqMg&#10;ZqlrMRttYltznaXLDHcda3bQLbeQvUmQMxrN8UxubhL3G0eYEHuMf/WocfdYOSdkkLNHEkVpLjlh&#10;yvQ8Vr3pRtFVY8/d+6eTXLT3DSGJw38OOea4fxD4v1bT9Ums1uZ9i4KAMBwR9KSXMZPc66a4Iuiy&#10;nGCOtdhaN5tijBc8dBXlui6m2oWEc8md5JDZPOa9L8OOZNNUnkDiqpX5rD6GZqqmIKcEKr71P91v&#10;T6GktJY11JIU5jnjJx6A8j+ZrR1qAsjSIcYHzZ6GuXs9Uh0+6l835rjZthA9KuT1COuiGXkYt7/Z&#10;/tEVvWM29XB5+VXH4dawr+RbraygmXAJ471ZtL5bVkaUbQpwec5B61kpJS3L9nJbou6m5kspHBCz&#10;x/NnuVqxYQjUNMuPtAWSORcsD/FXO3uoiW5dYXDJgr1xxWno2tx6fpaw3KhpASQFIxT5482rEqba&#10;KVst5oepNBbfu45gSr4547VsR6/qsf3vKmA/vLg/pisO98QPcXyy7lESnhAO1aCSeYgYDIbkEVKm&#10;m9BShKO5sReKucXFk2e/ltn9KuxeItMl4Z3iPo6muWQQ/anYKRLtCsTnkdqnKqwwQDV8xJ1IvrK4&#10;yIbyJj6BhmuSQqdRcK6HM3Ix15rDkjV/E0kWMRi3DbQcDOetTC3W3kZ4TsJ68ZzUz1Gro6TXSLLS&#10;Z7qO2iEq424XI5PpXleo391ezmW4OWHAG3GBXU3Gr3CMLeVt6v0Qk84rPn+wz/6+3Zfp/wDWrndP&#10;W56mDx6oq01fzK3hqZDcSM5Pn8KrHsp6/jXotvHsG4sDkdu1cNp9lpi3HmRSSIw4+9/Suw0+UK6s&#10;0qzKOzDFPlb0OPFVY1KjnHqaMkR+xNGrgEjjLYJpluw0+yKmTfKxJLf0qGQl52YRhUz8oU5qpqAu&#10;nhCw7FJ4O8ZGK0icux4rcyNNqcqn7xmxz9a9O8ZtDp+k21jDtLQpGnHs5H9K4zW9FubLWjeC182I&#10;SK5WIde545Iqlf8AiB9Uv3JtZRJJJuCb93fOBxWso81ioysnc9b0zVrexsEM7lWeMbeOtWILyO4B&#10;ZWz61xOlzX+qwATWbwrCNq5HX862rSzuopjIZDyMFSK55Sqc3LbQVla53OktujZR2NaHQ1z2l3ht&#10;t3m4wRV/+3tN3AG5jVjxgnmt4vQSPKdb1Py/H2rpMxUFlCk+ygDjvUN7q5trYsqF3AOec7fqa5/x&#10;bqRk8a6hewtuxOdpHovH9K1hJbXOm7hgxSJ8yjqM0qsLO534apeLicVrk93caiftRI4yg7YrNC46&#10;ZzWpq5kR4YXTPljasufvr2/Gs/Jbjt2reGyOOr8buRgDb3FdP4CYLrsw9YDj8xXLtwTiuq8ANGNT&#10;ut/+sMXy/TPP9Kc/hMmz0NiBV3RovO1FeAQgzyazHbJxmrOkajb2utw28zqrTIdhY8E5HFc1h3ud&#10;iIDIRvPI4Uf1ridf+z2F7IYyAnUjPQ9xXZ3s6WkDzGRlUDO4Hj6V5tr16xgkkdQXkOcYpVLbHbhY&#10;u7l0MC7umupzK33R93P9Kq2yy3c5A5XPOOK1tH0SXWIjM8hRAcYUda6ax0GC1QAIwwcEkdaFGw6t&#10;a7sijZaRbrGrBst/Fz0q6ZLfy2sVSRmVefl4HvmtJ1CxsoBQDvtqsJkeVvKGMLySKirG8TKldysj&#10;nr11jtpFlYybR9zHNaW4nTcsPnkRVx6VmXMD3WrxQg5BbL47qOtbVxbBYFc5GOoHSueT2N2nezMa&#10;9061njwUKy5+8h21k3mnrZYljmaRsEIpHJJGCfp1romIYsD1z3qu9r9qnAUEYU85q1JoNWrEfhuz&#10;MLeY3DsMf/WrVupQJf8Ad60pMdlYF0AAC5z3zWZD5rx7mzg85NTu7kbDJ5TJMCe3Jre8PRbLN5T1&#10;dv0Fc5H+9dwvJdsCu0ggFtZpEONq/rW9OOphUfYjlk+fiiqkrnzDlsUVsZaC6Rare/F6Xy7dVhiZ&#10;ndMDCqF/xr1xt1xHuRQvln5cdK4D4cw/2nf6zredzXEohRtuOAMt/SvSEeMW22PGMkVt0LStFI5n&#10;xLcs1tFIpK7Th1964q9nEiFh3rq/Ejggxv8AKx5Hoa4KeUqQp9a5p7lR2LczmSNz2XH51Cfu/Nz9&#10;TSK/+hyZPXmjeGAxUFWHB/LdZAB9DWJr0D6jrNpEgC71wwHYA1qs+OM8GrNvFB5rXUgAKLtz6etF&#10;7FJ2dyrd2y21vFEh4bAxTbSFEeRyP4GzTppzdXe/GEXhRQ5CW0577CKXQV+pd0thcy8HIX9K2JYi&#10;FAH3G6YPJrI8LQPPbxwrhS43SOOoH+NdZDboxNzKNsEXCL6+gq4wuhTR554q8T3Wi6oLNWuMCJWw&#10;r4HNcxL40vpSfkkJP96Umur+IWki8lt9TZygyY2Kjt1Feb6pAtiodXZlbjnsa2jbYxNB/Et+5J8t&#10;PxJNfQHwq1B7/wABwSOcussiNgdOc/1r5gLhlXBII689a91+CniGyt/D93p0so+0i4MiRZ5KlRk/&#10;pWmi1Y4pu6R6vJExXjB+tZerQD7MSzcA5NUdd8TT28LG3KR8dSNxrza71nUtUnjWW8kmZn4QtgH6&#10;AcVm60XojVUZWuz0zRr2GDTZIpJd7CQ4HtVi7mW4gbAO7HGa5zw7oUsoSe5kaMK3+rPU12DtHGuA&#10;q/lWkdY6mclqcebe5LojI23dxxWxY6XtZ5C2e2KuOUZvuD6jinCfZKAp+T0qLJMTZQ1O/s9JQbwG&#10;lxkKK8+1vxXNLcxvPE32dDwq9Aa6e9tDf6hMzAvlsCuc8S6MJYPs0YzsIZsdjWcpNgrXKi+JYGUA&#10;wyAewBrivHN1bXWoRTRLIknlgMGX7wBqzaPJLL5KrlwxU8dMGofFMPlLb7sbidv51FOTUrG9WlFR&#10;uhfB75huQHJYFSFJ7H0r2zwuQ2jx7OvevnjTJ20rWI1uSVimXaT02+hr0efxTf2GippunFkkYEvc&#10;Acge3v710R0lcx0tZHpOpXFpFE0c0mWxyq8mvNtWu44dRjmtYmOMowI5Kn0pukasfsYjkYs/8e45&#10;JPrmqmo3UcUhkbr2JrmqVHJ2sdtOhGPvpjJ9bNlJG9xHJtckY/Cs+bxfbzTqIoZwV5ySMcVdsnk1&#10;KF2iUuQ23j6GtdtN+zeEb9bmGMSlARkDP3qFGNtdzKrVlzaM88025mhaX94x3NkfNWsNRuDH94/n&#10;VMWW77kDE/7K0i6RfFSVynPAZqprmdw5+RWuTNqMiNkk8d813GhXNxJpkDsQM5wGyDjNc3pGlvb3&#10;AeZBIQMA7d3P4V1trbX0zYhsLmTHpHgfrRZI56lTm0RpwFmO50P4c1YPlE4PB9+Kggt9XwPLsEUe&#10;skw/pVoaVrE+MzWsI74UtT5kiDnPK3eKbrac7bdR+tTOrDOVNbI8Jyidp5LpzIwwzRKFJFOPh62U&#10;ATCeT/fc80nK4XOXuGXzlRoskjhvSmNbRv1XBrsY9NsYwAltGMdOM1BcyWGSjxKxHHC0ioxlLY4u&#10;a0TcuO7DqK0rS3aP7hYf7rVduIdPkYFYnUg54bilj8oMqpwfUnNCZr7KfVEnmzRRlmdiFGcEZp0N&#10;7JPCsqgMjjI5watNbTxoSqCTHQA9aYqu0YMkBjbHKntV3MSlNb21xOk80Lh48hSD0/Kua121sINU&#10;guVt/MmA3K5JHI/nXZbFzzxXNeJ1Antl/wBljQgZTTxDfJHthSOPPcLn+dQvqupSnDXLgexx/Kqq&#10;8DijOD96qQWLBlmcfPKzH3bNQXM7QeWyHndin7vyqhfud8QHUt0osP1OSvZN9zK3Us5OfxqqLieL&#10;7jsufQ1PcnE0gbrkiqjHqDWys0Q9Nh0lzLPHskkJAPSowOAc8U6GGSUStGpYRruf2GQM/qKUrgYH&#10;1qkO99yBxhskV0HgqQLr2GByY2AxXPvyTzmuu8C267ru5I5ACKf1NTLYl6nab/m4HFcv4pYtc24H&#10;G1Scj6103bNcz4mQq8U38JBT8azpfHqJ3sXNI1m/n0/yrq4klgjfCbjnH496ztf1WP8Adxsdu8da&#10;oWOoNaqyHlTzWXq10LuRXPDKMD3qZQbqXZ306qjQtHc9I8L6ppUWniOXVLeJg+QpOD+NdGdT06ZG&#10;H9qWhUdMSjP868NgUlQcYJrQUbo85rb2Sscbnqer319aBPm1G3KEdfMFU7SaCSJ5LedZYwMblryy&#10;VCGGO9dt4bU2/hh3z1ZjXPXhyxOjCu9RF3T5g11e3IOSgEa/UnmthmeRHRlxngfSub0SRXtmH96f&#10;ccfX/wCtW01wJw8iZ2hDx79K4prU6Je87kflGWWXZgjzNv6VZaBIEyv3u/NNtYysG+QYJbcKgnvF&#10;LkFwKLNhytK5Xvp5Xjjtwm9XbnHoKhuJDKPs8XygfeI7e1Qy3ypIww4O3O7FZ/ny3SsgJijB5UcF&#10;vqauKsjFyN7w/bxXGoH51Ih52j1rqrg4j4rjvDu2LVIlQ7eCCB3GK7KZciumnsc09zHk5c0VYkiO&#10;/wBPwop2YHY/DW3S18CWrgANMzufxYj+lbs0yWsLNvwg5xWP4UC2Pg/TUm+TbDna3GMkn+tU9T1m&#10;2kk2rIoHsK0lKxo1roVdd1q3u7cx7GMg+63pXE3NwsjBu/fnvWrqIUiSWFgR14rnC2DzwKxvfUEj&#10;R8zNq/PamQz+veq8UwbK+oqBnwMZ6GpsWy/JcKTgdfWmXN4TGkCnA+8x9azzLlgB1xSkkv6kdfan&#10;YOhsQbfKBPGT60XLwwQtg53dcmqaTfuQO3eqF/cM5WBOSx6Cla71EzsfDVyn9qhI+yEKPU9K9FFl&#10;BDaLJdNtSMZ29hXluho+i31vcXAU3G0kR56NjvTdY1zXbvfLFq+4Z4t2jAQjOcetXGpFIudOTZ12&#10;oQWepwzRpFHNaKeFJ7iudk03RmUxXGi20qejCjw3q0t7YtPIBHu+Vo8cKwPOKnaISTNnPBzUOchc&#10;kLnjuuW0djr17DboEiSUhU67R6VqfD68Fl4zgJ4Eqsn5iofF4iPiG5CAq+7529TiszSphZ69Zzsd&#10;oSVTn2rol70DOk7VEz2zXJHuIyEI6d65fS5nsNatZp4fNiSQEhT71Yn1WSR8xqzqfQGqbySOSypt&#10;+pArjheLvY9CfLa1z2s3UToJE4JGapzahGgJd8V53p3iC8tkEcjiSPptySfwIq3cakl2P3Ud22ew&#10;Sun2lzz5xUXudY2sWx4E6KfU1G11v+dbiJgOwPauPEF1KPl0+Q57ucVJHouqS/ctkjH+8TSuydDc&#10;m8SR2yOII0JJP4GsVdaeaRlMYyeWJ71Lb+E9QP3nRc+iE/zq5H4NnI/eXMn4ELS5ZMV4nF6ZCq3s&#10;8yrw0rHp71Q8TWlxehRBESwbIPavTI/BUA++Wb/ec1qaTbWOmRmG5sngOfvldyH8RnH4gURpvm5j&#10;SVbmjy2Pn6+0XVtQMbyhNyrgsWH9K6zTdL1B7KCJEkm2LhikZYZ+te2S6LpOpW7r5EEkci7WKAcj&#10;6iuUvdAj8Khp9K1O7tV/55u3mR/k3+NatNoxV0cKNONjd7b23mUSDJkJ2lfoKjbRoNQvTDLM+F5y&#10;7EcfhXoWkeK7HVAbXWI7YMBxKV+R/wAD0NYmr3HhlLpxal4ZDkFo5AoP4HNQ7dTTnmlYXQ9NstP0&#10;25tbd1l8xtxZP4SB70y204y6g0U8heMxEDB965/7U9hFJ9mu5HU5bONvHHHv9am8NarPceII4nfe&#10;GRsnOe1cjT9ppsG6udVHoVhFhjbGbB+6XOTV+K68NWRC3Onm0P8AelhyP++hmpRzjiori0N2hiZn&#10;CNwR610NXJi0t0blpcaTKF+xzWrbugQjJq/sI/hI+lcbD4a02FVxZxkjkE8kVfisZLf/AI9bu4h9&#10;lkJA/A8VFmivcNuS2hZAhXCjoFOMVmpaWOm3clydQlAb70ck25fwB6Vn6hp2oaiVEurSqqjH7tFU&#10;n6//AKqqDwhpzkGeS7uD33zkA/gMUWYtDYufE2kW/wDGxx1KsAP1rm73x6ElK21vIUyQpaNjurZg&#10;8N6PbMGTT4Mjuw3H9auutsuN6xDHAyBRy92F0uhnaRf32tWZnW0VFB2kspDDjriqOqaLcW2nzzi8&#10;gMigvtJIPrW7/aMVqpEEka56gHH8qpX2qWKWjS3kZYng4701Hoi4VnDY4l3uHhjkTdkEkgd+4p6R&#10;TJqQuB9xhzntW4J9NvI98Fvx/vGqsWhW95cSNMZmiOML5mAv4Y5quV3savERZuwXSSQowcHI9arX&#10;2q29jGHl3sP9gZP5UQ+HdPtAHhghkI5Acc1bDLGOLMgj+4oNPkZzO1zGXVzetssrSVieryxlVH9T&#10;TLrw99t2STxySSg8uX2/gB2FaM+reUSBbPn3GKgGo6jMP3UGBngmnsxGYPBpc/6/y19PvH+lV7nw&#10;ddIcw3Mbj/aGK6JE1SYfPIIweyilOnSEfPMzH3NF2Oxwtzpd5a8PDkDuhBFZNwj/AG63RkPL969R&#10;Gnwpy5Ue/wD+uoZLaxU58pZWzxld1NNhZHhWpJjULkekjfzrOcAV7leeENL1NmkfS1Vm5LKDGc+t&#10;Ytz8KbKYM0d5LbHsGIcf0rVTJaOZ8Eaal1oviOV1DEWpRfXu39BXHuMH8K9f8N+FX8Nx6jBNfwSx&#10;3UYRSoORwRyPxrHj8B6TEM3d9PKfSMBB/WjnSeomjy9jnJxXceDSE0iXA+Yy8/kKwvEunWWm6n5N&#10;lOZIiucMQSp9CRW/4WwNE4HJkOaJv3QaszprcGRwPasDxTIRDDAV4Zzk49K6rRod7MT6VzfimJvJ&#10;yP8AlnKCf5VnD4k2D2sci6AKap3CBl4q/IO9UnbJOe1db1IirDoRlQe/vVhHKghgdtVrZuo7Zq5g&#10;FOuKYr66lee6jyAAeK7Tw4Tf+H/KMu1EJUqvU/WuIZEcBxnPf0rrfBku2xukI43cA/SubEaw0OvC&#10;aTG2H/Er1c20jExyfcb3rqoAoZmJwTxzVCzsoJAl5cBZJQSVHZf/AK9S6ldhYmkOF47fzrha5md/&#10;s0nfoM1PVVgUoGBPYCs6CzuL8mW4JSMnhR1P1pmjWovHku5tz7jhN1bLXEEL+U00YcDhSwyKT0dk&#10;ZTqc3oV7i0WSJUYnav3aqPCsSFAvOMZrQeTeeCMVRvW+ZcZ6Ulcxdh2hxyNrkO3oPve2K7sgNwa4&#10;jQpCmrQnPD5B+uK7gDBrppbHNPVjDAD2FFS59BRW2oWOf8R67c6pqhsLZzHDEfmb/Cqi6fDsBJeS&#10;T+8zGuoufh/em7kuIruIl+xUis6XRNS09iZ7dmUfxRncK5qikdtGVPltfUyD9pt1IjJYf3W6Vj3Y&#10;kjlOdwB5Ax0rsI1WRsY+uae+kPPcIdymHbhkKZJPrmohO2jKlST1OJtnIk5Ipk84SQiuwbQorOd7&#10;h9PaaJASzI4wPqKz9Xh0vU7YXFiioq/KeNpU+9ac6M/ZS3RzJlfd8p5HeljnbBXv3NdLp/g6e4jD&#10;pdWm09CCXrWi8AkY33+PXZGBWlmzFyVzjFnn2AIRgdgM1p6PDHBPDPMm+8nk2xq3RF7sR+ddengi&#10;wTmWed/q2Kll0O1gIkto/wB4q7QXOTjGKTpuxpSqQi7yRyl1dLcahd328hYvkiHbce/5fzrNlvQI&#10;fnj5VSxweSa1dR0a7aTy4In8lWz06mmQaFdyyFmjEYPBDsKy5GjpqVItaEfh+Sb+xI2YFXkcsR+J&#10;rpIUdpAeQCcZog06GCCOOSaP5R2HvWlFErofJbcPXGKrqc0lLlu0cxqPhCCfVZrm5mhjR2BBKAnp&#10;3zVi18N6NA4V9RkJP/PNdo/QV0d1oEV9OJJZHjkAwHXkY9xVKbwpfbh5VxFKncgYI/CtrNnJsWbX&#10;wlpMyB0DzjsTJmtKHwtZRn5LOID/AGua56PTPEMMvl2sMoUcbgNoP54rqdBs9dhjb+0542B+6M5I&#10;/SqUUO5bGg2kcYNvHEGA5GwDmqs9lJAPniwPUDitrlPvfpTxKCpGeO+abSEcwyenFSQ3M8PCsSvo&#10;elbE1tZSZJwhPdDVG4sliBZbhNo/vHFQ00O4+PUg2BIm33B4p13Z2uqRIJGYiNtytHIUZT9QQayP&#10;OjzwwPuDmg3AXJVsH60c9twRDL4d06O5E51TUopODxdHn861IbyzgOPtkzgf3yWrPlDTuC2TtXvW&#10;Feaj5OpQ20cZIYkOWB4+lS6j6HZDDwaTkzp5LqzN4JVmKLjny0Ktn13A1matZabq8ivdXWoTFB8o&#10;MxAH4DFZ1/epZNGGDHc3PHAHen2uoRzrLIiO0aqCPl557UvaSLdCkiOPw7oqPu+wrIQfvSDcf1q9&#10;FaWsYzFbxpg9AgFUrfVGlaNMKGYnIPpn/Cr+7a7jDHnIwM0k2ZVKcFBuJheI9BOrMskVy8DKhTCj&#10;IPOay/D/AIWl0zVEu2vnkKgjG3HX8a7IGRwSIT/wIgUqRS4PEa/gTTbZzIp6tvj0i5dZXDBOCDg9&#10;RXGtrOp27/u76cL2HmH/ABrtNWt3bSbv52J8onAHWvO523EZ6etaQsK5rw+K9YVW/wBMdioz8wB/&#10;nViLx1qyD5zE3puQf0xXPRR4385+U9KhXgdT9Kbiik0d5Z+NLyaSJZbeDa5AJUEEfrWk+s3TbsNj&#10;02iuF088Qd8MP511MuV3cZIJrGouwm+xZa+uX+/M5/GovMJ6kmo16A9CaTeBnJAqBMsx/eGa6y0s&#10;dKuPCV7JeomVDYduqnGRiuLFyg75+gqC/nkurYQrK0aA5Zd2AR7itaUlFkSLel2KR6VPcAjAdQvv&#10;n/Jpwup7QmWExyAfegcY3j2PY1Qtrwi2FskysgOevU+tWFGeWOaqpUvK4qaaWpt2Wv6bd8LIiSdD&#10;HJwwPpWosyEZRh/wGuIudLtbo73TDjowODUC2c9vza3csbdgSWWpVRGh6C0iyDEiK4/2hTNttjAi&#10;2/7prhl17VrP5biEyKP44iG/Q81m6j4mu7wGOLVVtSeqmPaf1qua4HoJWQuyrKijt3NRyQxA7pbp&#10;z7AgD9K8fRL+C9juhqu4hwS4m/mK6WXxNC0gCZcE4LEjgetN90M7RrjT4v4d5HrzUMutRx8Roqj3&#10;rlLq882EmC6yxHBAAH61jBt74uppGH+y2QahSuFjsbrxQiZDTgH0WsmXX5p9wiilcnueBWbG0KYE&#10;FqXP941Ibm4wcPHEPReT+lK4bErSapOMs0cKfr+tV2toOt1ePIfQHj/CoZXXPmSSu344FVZL6CME&#10;Ko3duM0tWO6JJ7TSZcqNOWUn+Jh/hSWdrBaRtHCqxIW3bNxOKzbrU5TwoJB6ZOKggubiS+ijZtoJ&#10;G4L3qtRPa56BoMkbRy4BO3v61g+IwrWt4eeFJH16it/TwIrQAADIyfesa7O6V8jIzT2sJHASyEn3&#10;qjNwfQ1evvluZOOjHt71nynJrsXczTuLbff61buSUhCg8tVCL/XLt6Hirt3zcIq8gUXshNK9ytKx&#10;jZNp7Ywe9b3hKVxfzLnKCIuVHsRWNJZzSqpAxg9W7Vq6JcJos0s7MJnePZtXgD8axqq8Wkb0pOMl&#10;JG292bbzDG5Ee4lRnIOTSGSTUrloQQI4ly5HQn0rHvPERmj/AHdpCgP8frVKw1+aykYKoaNz84Ax&#10;+Vc3spWOueJUtjvtPgW2gVF4HWuJ8WQNHrzMGx5qhuv4f0rr7fVtMltwyXqDAyQ/BHtXMeK5ba4S&#10;Ca3mSTaSp2nkCpoxlGepnKUXHQwxc3dpylywYdlarEfiG/GA8ofHTcM1ln6c0uD1rscV1Oe/U6Ww&#10;8XPa3CSvaoxU54JrrLb4k2T48+1kQ+qkEV5d1HJpRwc9QKXIlsG+57GnjjQ5FDG5ZT6FTRXjZPPB&#10;4opcgtD7Q47ConiV85UflUmaM1bVxGTdaHaTvvaBd3qBVeTRlSArbgK2ODnNbpPFVJZTG2D90is5&#10;U4vdFxqTjszkdTgv7JUkSxlnEg2TeSM4HrivP9Ss7jTtRknWFzbSAmSN0Yb8dO3Br2yOfMhXP0qO&#10;c7ztdQyHgg9Kz9ilsbrFTPIfC0UGo+czyXVuVcMEVtox6dK9Aa92QfKMkYA5rF1GDU9HvJIY5IZY&#10;X+aEyxg4Hpnqarpe6gQq35thlhs8lSOPfmm/dW4UoqtVRqy6lN/s496qPqEpYL5gBPQAVma7M0em&#10;OFBO/wCUtnAUepPas2yupJWsmPzRYAWTHUkMCP0FZOUu56MadNO1jdmvioPnTheM/M2OKhF3G0Hn&#10;iTMWM7vUViap9olupkYfuhESu1ev41LpiXM+jyRG3kCKmFO085HP61HqVzJdC2mqwyzxIMqXJADc&#10;EEe1dDp15FbQsZSNpYAcE1xNno15BcW8iRoPLZtxZwMg/nXaaassLMVhabI4CqTg0uaN9zCrNSpt&#10;dTeMowCAG+mTTlmkzkIR+FV411eZVCWnlj/awKmTR9Ul5muo4x7ZNX7XsjzeTuyyL26UcHgeoqCX&#10;xBFECsj7mHaNgc1OlpHY2lwh1CMTuPkeTHyH1xWUf7EtpTNe3kEsx+9sjwCfXFDrStoUqa9SabXy&#10;yjyISWP99v6DNS3bapHbR3CwlonQMTGOn1B5q1cyWp0pZbMmPzV3RPGnX8qtR6XdQok9lfSI7qC8&#10;U3zxscfmPwNZupPqy1CNjkX1O4lBGZWPouf6UscFzP0tZTn1H+NdU7orH+0LM2r/APPeL5oz9T2/&#10;EVN5TqgeMrNGeQyGptJ7sTVuhzKaXfv0hVR23NVldCuXXDzIn0Ga2HvreEHzZkjI6hmxVKbxHpsP&#10;/LbzD/sKTR7OPVgpPoakNnA1skVwquygAuBgmsTU/BkV1PHPaXJidH3YI6/jVa48ZWsXKQt9XYLW&#10;VcePJ2yLcxj/AK5qXNO6jsWpSL19oFxI48y3aTyTk7eRyPSqUNosDycYVlCmPGMdf8azpPEuqz7m&#10;ElwC3X5tmfyq9YR3E9qJpmJdzn7xP61cJczsaOr3JFsoAhAjAz3HUfSniVLaRlbOMDH5U8QNjv8A&#10;nUghUfeUMfetbGcqicWhFvIiOATThc5ztjanKFA+6B+FPzjtQ0c1yPznxjy+O+aqSfZgpV9ItZ1/&#10;21Aq5I+FxUG7Jp2Ay5ZdFjyJPDjJnqYJcfoazZbLwjK+5hqtmSc8qHA/LNdHJEHHGD+FUJrJTyVp&#10;8zQaGcNP8OKoNvr6jbztmiZSfxqvc67ZwqZBIzqSQNik/wA6sy6XGcjavPqKq3WjiS1ijRFwGJJz&#10;1zSdpbisjIn8XDBENpIfd2x/Ks+TxHqMn+rSJB7Lk/rW0fDw9APwoGgr0GMfSn7qAxF1DUZ2/eTP&#10;z2HAq7bzz7suSfetRNHweD09q0LXQPMG4tgfSk2N2RmWyCbcZVXOeD3rRihkQZjkkA9G5FXksIbU&#10;8uoA9TT3v7GBfmfcfRRmofYV7ldHuV+/CH914q1GBLjIKn0YYqlL4giQEQW+frz+lU5dSv5hnAiU&#10;+uF/+vStcZrzpb23/HwyqTzg9TWVd3ek9GhEp7EqKzZWZ5c3NzuAGBtyx/Wqk81rZp5zTuHOdibc&#10;k0JajSLLw28zEx6bEF9Sn9aqzWEDgh0t09lGT+lVm1GR+cMc9NxqJ7qUDJcKPQVdm2STHTrOMElS&#10;x7YO2q7xC3k32906H+6RvH61VkvokOGcsT71WS+aecwwxMzenrVJMdzSF/fKDv2Sjtk7aibUixO8&#10;mIjqK5+8vL0yuqsY9pxtPUUxWkniKOSJMblbPQinydWK+p0RLvHuHK7dwLHrWUb+SSGR1G1UGavR&#10;yPFb+W5JVo/lJ7HHSsyaOO3sJ2AIDDH40JK9h2vsRR6lbsfnLA+9aVgXm1OCWEFoP4nA4rksmuw8&#10;OybdKTHUOauUEtR83Q7qC5GwDOOMCsq4Ymdz2qKG6JODmlWRTdxtKRs3AtxnjNZsk5W9sby4v5Fg&#10;tppNzHGxSQat2vgjVLnBl8u3T/bOT+Qr0uC70yUAQ3ES47Z2059PWQl0nkGeRzkU3VaVkOMU3q7H&#10;FxeArWHazXDtIOeBgVFN4PuEbdBcI/pvGDXaizuI+shfB9KR1K/eBH1qPaT6jajc87n0TUYM7rZm&#10;A/55nNZTwqHIcMjDqGFeqFQTn1rP1bSor+0kjwodlwr7eRVKoxo4u0ljltRp07okBPyyED5fY+1Y&#10;M9ksMgUnAYnGDnj8K2bjwbqUYYLIki+xwapRaNqcM6pJbyCMdSRmtU0S7WKRAhjOCfqe9VywK4Hf&#10;vW1aWyz3QhlLqDnO1MkVtLpukQErsc/KQzuhwD2ockgT6HDA4PQmnk5IxzTpVCuyg9CQKjIOc9BV&#10;7i5uw7AP1pASCRzSBiTwaeCcAHB/AS0e0uEKLAMOM8iin7PaimGp9lA0jNiq6zDvQ0pPAFTcRIzn&#10;HpVG5O4dambcx603Z7fnSeoFLeRKr9AO1X2AkQj1qncRFSGwQp4qxBIPJweo4qV2Ay9Ttxf2z274&#10;E6cxk153qM8kNyq8fJ1z65r0fU4JpNs0QOYzzj0rmtQ8O3N3dG7hixHIMucdDWdSNzow1VUqnMU5&#10;RDd2xjlyyOOQDjNQiG3iTZHEqKG3AL61sw6OqookYnFWotJidgqxBjWXK2dv1uC1SOcMgZunNd14&#10;dt5LjTbIYKwoXZj/AHuSMfrn8KrRaIw/5ZItb+kwSWkTxs+UAyFxwKiaTW5E8Rzq1ijf2UdlcoLW&#10;0iknlyVG0Dp61XuH13Zm3jhwByIgNw/A1YF7a6jq1jcQsRJtZWVuwAOP1zS6o8kOlWzX0oWYSr5j&#10;RnB255xj2rG5lyW33Od/tC8kBa4vCi990mP0FVr29uLvdFmR1AwsitjI9etdFc6VbWenrHcKZ7Ld&#10;mOdeJYtx4H+0Of8A61Z82l2FjCs0l20kDHCsG5+hHaptILpdDDfR3e0a7kkZYVO0qZCzE/Tiok0i&#10;KaBilvOVORv2jg/zrcGr6Jbx7FiklHp6/nTW8UQxri209FH+1V3SW4vefQyNGutU0l/Ke6Voc48o&#10;gn+dem2V2Z4R5yCJugGc5HrXm99rc98674YVI6MowagN3cE5858gdjUOprqaqF1qessUPG4ZPbNU&#10;msIlYtAzW7E5zHwD9R0NeYxX18l7C9tc+VOrZ3MNwx3BHpXocWrskStfQGIEf66M7o/8R+NVCdyZ&#10;03E868U3d0fEd1HujGwhSwXk8DmsWRJWX57mTk9jj+VaHiSQT+JL6SJ1dGk+Vkyc8D0rP8u4YDbB&#10;IfqAv8zSdwi0rXLMNtCqKdik46kZNPwN3tTFivmTG2GL3JLH+lOXTZZD+9vZPpGoUf1NK/dibQ9i&#10;BjJxXRac2bGLB4x2rm/7Msk5mHmY7yyFv5mta0uQLdFjYbQMDb2rWja5jUehsA0E81nCd2OdxIpf&#10;Mc/xGui+hiaFLketZ4LdN1G5l6mlzAXZCCODUG5e9Qeac0xpVHJYD3JoTEWdwXmjzFIx1rNl1K2i&#10;JzMue4HNUZfENunCKxPucU7jNqSND04NVzEw7jFYL+IJpCRCg9sDcarteahMMyOUB6bmx+lF7gdC&#10;7RpkPIq/U1Ve/tYujFuewrnpAC6s1y3BzhB1/GnF4UAPl8/3nbNIDWfWh0iiGffmmS6pqbxYDeWu&#10;OAcLn+tYz6gFHyuB7IMVA16xzhcn1Y0WYeZpFnYhpp8t/s8/qaa0saDJTJH99s1jvcSN1kC/SqUt&#10;/bpy0m49OuafK2CNyXVVjBCvx3EYxWU+qy+Y7KhYHnLnpVKW6fft+VR606NN6kFhyKfLYaRFJq11&#10;PC8jSbRkAbe1Q3MhfyXeT5FHVj3q+ulRvpiyCTarNwuMng9ayLtC0Sxgjh8Zq0kxOSRde6Y4CEbe&#10;xqs8pYkMx/OnRwSyKqxqzkDsKtx6HdSjLFUz6nJp6IL6GWvzyjpmmQyst25VyGVsAg9M1Zu7V7K7&#10;aMNnAHWq81m8Ui742Ridx75phczp3ke5dnclyeSTyTU1nK+8/OSw6Us1lKXd1AYEk8dahtI3SdmI&#10;KhVJbPpV6WF1OjN1ayQNGZQJAvKkc59qztQkxppB5+bFVyA19EwPLAHB607VNyxAdVY5qLaorYxs&#10;49cV1GhP5ccak8MK5bqST0rb07Ube3VRLHk9m9K0qLQiOp2EI3c0OcZyeKoW2rWUqYWYKfRqtlop&#10;F3I6t9DWA9bFHUmxZyHPpUNhPex6WLiy1CVLgNjyVY8g85purHbZspzkkACsbe6YMfHuDTRpHRWP&#10;SPDmpa3cWJkubiGdw2NrDBH4ilu/EGoXZkt7C3CNG22Wf76r7D1Ncnoz3d3eR2VveyQyOhLEMTgf&#10;StD+09T8Pulo8UEkS56rgn34otYSV2altaSTENLrc6S46E4/Sr32bWLcboriC8T0YbW/McVmReLb&#10;GYBbq2ZeeoAYVPb3Fjf3H+h3Hlkc/IxU/lUX8huMkSyaoYeL2yuID3YJuX8xSDWdLZd32uMkdjwf&#10;yNaWLpV/d3IkHpIoOfxFZ93bR3NyRd2EUoVMgoM9T15p6E2KNxdPJcfuLZfJI5kDAk/lnFOW8t4l&#10;2tG8Y9duR/jUzaL4flJBga3b2yn8qmTwppksWI7u5HpsnJp2iF32OC1mzH2qa4hkjaJzkAEZGfas&#10;toXjwDG656lh1r0o+C7aFi0T+Y3rLyabNoU6ghkLj25rRTRO55ngBug+lKvTB7V20+gwMfmhwfpi&#10;s6bw5ETlGZPrzVKaBnNDIGAT+FFbLeHpQceav4iinzILM+nd1TRqW5qqhqzG+KlCJ1jHc08BV7Ux&#10;TmpQaaArXiGSMgCqtuD5g3jpWkVzVaSIg7l60mgLIQFflojXYNpHy1FbyYyGPPpVraCM0xleTTLS&#10;5U4XafVeKpy6FKhzC4cD14NaoTHOce9Z2peKdP0hMTO0r9AI+efTNJxTWoK5Cs89qdtxG20dyOf/&#10;AK9W47lJlJikB9R3FcxdeILrWG+QlYeyJ2+tQrFeqd67gezg4IrlnFfZNoy7mzJokRuFkhJjwMbV&#10;6dc5qDWpGj1XT4JozJCACTjIOMZH6UWeq3MR8u+QFe0q/wBRWuHSaLKkMjCsXCxuqjvd6hppiv7V&#10;0lkWQiTOwcbADlf0xXJ+LADrcg4ACrn64rVn0qaGQz2EzRyNKrsCeAACCB+dc/rf2+9mecgxTM5X&#10;JTjA6Gs5JtWKSTd0zAF0UmKzrsy22MAYzTpiVukdplWNVIKFuppNcsf9Ms3QyuqoGcRqT831FYtx&#10;pt1PeRzrG4VVxhu9TyGt0a09/bwx+c0mVDbflHf0qlL4jQtiG2lYf3m4qZdMaW28iXIBlaTI9+1S&#10;xaFHu+6SPeklHqLm1IrO7lunWUER4PYZr0fw/qjyWfkzryBjcOQa42DRSMFEYH2FdDpVvdWjEumV&#10;I6jrQtHoE3Fo5+S6hViEDuQeiJmojdSv921IP+2wFaL2N1uOy2f8eKibT77dkxBR7mhXfQy0KLG4&#10;YcsifQZpBEzfflc/jgfpUksflkiWZM/3Qwz+Qqk88aN8iMx9Tx/OnaTC8V1INRgw8AiTI3fNjmuo&#10;/s+CaJGXKPtGGXiuYe7mboI0+vJpZNWuERY2uG+inH8q1ipGNRqWhvSxT2vJZZE9zg00XsSqd77C&#10;OobjFc7unnPyq7H1x/Wo5becbt8iJkfxNk/kK1XmZWRvya5bIMjL/SqE/iXH3IwO3zHNY7xoAAk2&#10;89wRgUsk8cAwFiUjueefxp7CSLr6tf3GfL3f8AXFV3FzJzNIFz/ebJqo+og8NKW9hURvC2NqE+5N&#10;OzAuGGJSS0rv7KMUhMCNvES59WOazWuZW+84UegqnPqNtBxLMM46E81XKwZuNqCKCN5xj7qCqrXp&#10;bGEPHrXOyeIrdWxEhPueKdaX9xfzYUqsY+8RV8jQXNtrl8nLBfpVSW+gQ4eXJPOM5qpqMKiLzAzh&#10;sgfe4rPkjyiORnb1xQkFjRn1aOMqIxv3enalhvjK7I456rjvWdcrGphCr1XmkjGcNlhtYc+lVZWF&#10;YsWqS3FwXkZsA/dzRfWzPKmwKOc49aufaba3jLkk7+RgdabFMt3IrKCBnHNS31GkV9XQxxRfU9Kl&#10;0pMrznGM1FrGXvI48/KBmrem5AbHTFDfu6i2J4PNiQq75T+FQc4HWn2drb+exZA3QjPODVxYYZV/&#10;dHnrSQRbbl1OQRin0Ey8gQKAAB9BT8YGRTAOPencj3FQOxy2q/Nqsgbnp/Knau+LtFXHEYBpuqZ/&#10;tR2PYiq8rNcTO+Msew5qxtWIg3PzDJFDfMhxjFTLbsEyflHcmoJbuztjhn8xvRaPkFhRDGZlcqQ4&#10;GOO9VtVkAWIHoSc1ZW4abBjXaMZ96oaxwYl6cE04/FqJmUw2vgipemCDREwZ9rfgcVP9lcfMBuHt&#10;WzYRIlYg09J5EO5XZT7GmuhU8gilCA9wB6mpKWpZW9uLplSSRnA6ZqRn2Z28t3P+FQ2yAlljzwOT&#10;0JpZTtOMY46YqXuVE1vCOG8SQFpMEZIGeTxXR+Mo91xEV+8Iyf1rmPBfz+J4yP4VY/pW143u5I51&#10;8tiCFUfzqZX57CT1uc+eR1rotDtv7Ljk1C9by1ZNsafxNVDR/slnGb2/G8qAY4j/ABN71uGc3kUE&#10;95bx/askwRjjj1YelSy5S0MyXVLqS5Zo2khzyoB4xVhNe1C0iFxKyTkfKQR2qnO4+2yB5wXz1PGf&#10;pSXSH7HID0K8UaMzTdzVg8a2koAurZ0z1K/MK0INS0e9GYbhUf3O015wYyOtTwqh+XHNDijXkPUI&#10;WulQGG63j/b5FT/2hdIcSwK/uhxXnts01vhoriRfo1aUPiG+hfDMsi+jCp3E6bR2J1G1lwJUZD/t&#10;rSNa2Nzyu3n+6ayE1qKZcSw4z6c1Mr2E53K4Rj+FF2Z2LTaHExyJWA9MUUwQSY/d3bhfrmii47M9&#10;UR/ep0f1rl7DxXpN4AYrxM+hODWzHqdpt3faIgPdq2VzOzNdGqdTmsZdXs8ZWcP7IC1I2tk8Q2sj&#10;+7kKKd0gsbu6mO6gc5J9AK5uXUdWlOEMEC+w3GqkkF3Ocz6jO2eoVtopc6Cx0rTbWLFBGP7zsBj9&#10;aydT8VwRQNDpd1bXN8uBsySvvyKzxpdsf9YpkPq7E1ZhtoYBiOJEH+yuKXP2HYypU8R6ov8ApOrC&#10;BG/ggjx+p5pbXwxDGxa5nmuHPeRs1tgU+pbbBEFvp1tbn92mD9avoABjHFRL2qQHipsMZLbK2SvH&#10;tVMNNaPuhYqe6Hoa0u1MkVZBhhUtXGpNC2+pRzYRxsk/unv9KklhhuMeZErY6bhnFZstp1zyPX0p&#10;0F7JAwWQ74/XuP8AGs3C2xopXLbWcZ42Lj6VH/ZsJ6xIfwqvceJbO3yNsjkdzhR+tZU3jPJYRRxr&#10;joeWP9KVh3OhXTbYf8sU/KkeC0gG5xFGB3OBXET+LLm4zsnbA4O04/lz+tZT6ncTv13MfQZP59aL&#10;C5j0OTV9Lg6SK+P+ealh+fSs268XW0YIghDEf89Gx/LNcgLDUrnDmJlQ/wAczbB+tQXEENpn7Rfw&#10;8dfLO79adhOXY1b3xRfS7iLkQp6RIB+pyax5bxrj5pZZJc/89JC386ha603hAjzsRnDHAxUg1Ux4&#10;EUMEC5+8EyfzNOwrsckd1Mv7qFyvqFwKGgZOJp4Yz6A7j+lZ1zqcszP5lzJIM8ZP9KqfayR8qc+5&#10;p8ojXMlmmctLKfb5RTGv1jU7IY0xzkjJ/WsaS4kHVwtUZJPNc5Zm+vSjlFubU2uRKGM9wzDH3VPQ&#10;1lPr6ncYkLgDOSaoX8ObEog+8w6VFbWrpbSKVO4qe3erUY2GWTqc93GxYAIASAo9qoWUslzc5lYt&#10;j1qSyD8o3Rhiqktw1u7pGoUKcbsc1cY7pBoaLaxCrssaliDgmnrqBkPJC+lYuQY1IIwTk+5qwTwO&#10;wqnFE2JLu5Z7wrvbbjtWXeSq8xYZxgDn1q0SfObHPHWqRikd2AXqe9XFIlt3IOPwrb0W8SHMDDbu&#10;OQ3v6VQFqx++R07VNHCiYI6j1olqrAkbmoSD7Oozxu6VVjkj2SR8FmGAKpnc+NzE0u3uB+NQlYpk&#10;17GYxHk8jioUXOTzz3qQgvtBP3RxmrFrKtujLKhKt3HNJgt9BrqHsWX+JTuFWNLHC+pajah3hDwR&#10;09RU9nD5UioDnBzmpk9AWjuVNUI+2kDrgCr9hxC5I4xWdqO1tScZ54FadnkW8n+7Sb0GGjSGS5cc&#10;4A4rWQf6Sx5PygVkaeklpubGM9c1ba98tmbcCT6US30JSNUyIijdgVXku0Q5DZrFfUWlQOo6/wB4&#10;1BPMZEBLbWJ4APBpJMpWsOu5bczyTuxY9SorIm1wrkW0IUerdamjUMz571IIYwceWAfYVorLclmL&#10;LcXd2TvdyO4xxUa28ufun610CxqPTP0qQRjHQU/adkNJ9SlYFslW6KtVNZIMycg4Xp+NasZBndAq&#10;jA61kasQb3HbbRD4glexWs1HmklcgCrgYA5QlB6dqgtI3HzAdfSrDRk/wn6EVbYJXHEeYAJHyvst&#10;QTxQhhhyABk802SdgcAA/Q1W5JJbkn1oSe4miW1m23GQ2F96tzsFQuTkA9azdwA4AoJlZQg3EHtT&#10;tqGttTpfBAB1x5OuIif1FbPiFVn1EAxl2BG0e+Kz/BEJS4mdl2tsA5+tX9UJGou4bG1qwk/fKszG&#10;Fld3b5dNozjJ4GK3Lm4t4ZIGVTJJGmGO7HbGKzmmkkGEJ56mpY7J5eXJIx0ApXHdmBqrSNcB0Vtu&#10;OSKjs7uUyrEXLKR0zXVR25RfljUj0xULWETvva3VXH8S1XOrWC+pzs3ynBHGeKIOZBgVsy6SspJW&#10;QAnsarJpV3BOH2K6j+6aLqxqp30JYgVAJalJGzPQ00uyNtZSpHYjFQyOSOwqbFvVGvE+6FCD27VO&#10;rbj15ArAh1cwgROgZV4yDWjBqdnIP9b5bH+9TtY5nFmkGcDhyB6UVErl1BWRCPrRS0HyyOlsPCsc&#10;uGkXC11VholnaqpW2QsP4iMmtWOJIn8uRAp7HsauLGgXjFLUi7ZWVSFAVcD2p4U981Z2jijaKdgI&#10;Qp7jmk2nFT9OKbQBFinD2NB4PFMeRYwWd1Ue5xTAkHSnA81mTa3YW4INwGPovNZ03iuNc+TAT7uc&#10;Um0B046U4MAMk4A9a4afxPfSZEbpGP8AZX/Gs2S8vbxjueaX8SalzQ7dz0KfWLG2z5l1Hkdgcn9K&#10;y5/F1ovEMckn14FcYlvc+czTPFFHjgOwzSO9nCTvnaT/AHBgfnU8w7HQXHi+7fIiSOIfmayZtTvL&#10;tzmWRs9l/wDrVROpWyZaK0U4/ikbNRPqtwynbII09EGBQ7gky+1vcMCX/dj1dsVXENvDu8273ZPS&#10;Nc1kvehidzlj+dQteH+BOexY0coNpm7bm0hikNvZlwo3M0r/ANKRtcu0XELJAv8A0zUL+tc+1xK3&#10;DOVHtULyRR/NJJnvkmqURXNSXUWkbMkzux7k5qrLciWMqYsjP8VZUmrWkbHEgJ9BzVaTWsnCRnr3&#10;qlALvobDO2c7lUkY4Hao2ljT77/mawnu7ucbkk2gdVArO+zTXVyilzuY8lm6VaiKx00mpW6sVRgx&#10;/wBnmsy71qWNikMeSe5NVmha3uWR85A4J71WZWe6OOhA/OnGKA1IVlumikeUjuyjoatTuLaNWYEg&#10;nFO02Ejap5OKra2SJY0BONucfjUW5maXtsX7a5trhRhgD6GpFKuxwuFGcsa5y25nXPT2rpVB/s9v&#10;TYaTjZicr9DndQumW/j8iX5QOAOlUrksylgSXY5NSGIbt3f1NPC471urIzT0sRRK4iCt0zkVOWNJ&#10;gHFKFzxQ3cY3GSTjk05cEdORTivPHGO1AU+p4pCSEIIGaVRkcHmnqmWPGQRTwnTB4pXC3UjCnuKf&#10;t/AU8IW/pUoj/AUr2H1IsEkU7GMbc1YS3aQjCEn2FTiw2gtK4Xj1qegaorIvJyOSMZq9ZKQy5JPX&#10;k1C95Y233f3rj0qe0upLpslQq44FS1dD1My4+bVJ++D1rUtP3dmfX1NYc8hOqSAN1c5FbkbrDZM7&#10;/dXk1UlsJbFC81EWzLudwzD6jH0pFW4mtmmjjmROhkcYWqlxG+p3QuFZfIGAB0IFX7nVmdVgJLoA&#10;BjsKqyQWb0IDvhhBkXKD+JT2pFkkkw6wkrjCnPGKJrgNCUAJwO3aqUd5KM+XgITyKEgsy3b7gSdu&#10;TnpVjzV5MkTr74yKrwMoQs24j2qCXUfL+VS3PTeKVrsZfeaGKPcWHTA96LaVZSzI5YY69K52SfJP&#10;OWPJNaOkzrEjBmHzHODTcLK4I02jRZSwXk9TVVrCGaXznyT6VaLBzkHAxQpxzjioTHYYIUUfKMCm&#10;yxZU9AKkP5c5qNzkoh7nnNCAyvsJLF2Q7T0wcU37Kp/5ZMT7tWvIAQB3Haq8kJOWHOO1Wp3FYoJb&#10;ujcQrj0NP8yYYAUcVbWJ+SHIFP2lAfmyPTFPmC/Q1vC29ZJ2k46Dir0k2lTXTrPKI5txyXOAaqaK&#10;SkUn1Hauc19ib445zk/rWcY80tR301O3/s4EBoTHIh9O9PSE28vzoyKykDjgGvOrS/urI74LiSM+&#10;gbj8q7HSfE12bQNcqk3XJxgmnKLiGjRoRoxjxw1NODwwIIp0PiDRro+XKPs8nQ8Y/UcVoCwinTfa&#10;XSSr6Zz/ACqB2Md1DEjaMelQ7SPunmtK4sp4VJaEkf3gMiqGSB7mmgehBLGZR8wU+hI6VB9jhuVB&#10;2FSf7tXcHBpkICPsY4+bIPtTBN7IybjwvMMmGdXHXDDFZNxp15bj97bvtH8Q5Fd6doXORjuarM3n&#10;HZHny+7ev0q1Jhc4YMyAAkj2zRXcNZWzHLW8RPTlRRRzFc6Pa5EWRCGHH8qqlpLdgGy0fZvT61hX&#10;/iaeB2SKFAR3Y5rGn8Ram+4GfCkE4CgVi5K5nynoCOGHymh5kiGZHVR6scV55/wkN9LHtR/KGP4O&#10;v51nXF1PK26SV2J9TmjmBRPQrjxBptuTunDt6IM1kXfjOJOIYepwC7f4VxQkeWXbuxmtaPQoHiW4&#10;nkd8chRxS5mOxbn8TX052iUJ7IMVSNxc3Ln/AFkhPfk0yW7itW2w2kYP95juNU5dTupgQZCF9F4F&#10;Ta43oaBtplAMzRRD/abn8qY0ljEfnneU+iDA/OsfezElmJx6mq810UIAXk+9CWokzZbVoInCxWyb&#10;jwC53Go5dWuXBHmlF9F4FYJuHcg8DnsKQDcQWJOfWr5BcxoSXi5yWLH25ph1GVofIVfkzu5HeqbM&#10;I+QvP1qpd35txxHn6HFOMewORfd5GXDEbT2pjFQvzPXPy6rcuvykJ9BmqckskrZeRj9TV8glc6WT&#10;UbaI43gkdhzVdtXZyywR7mH97gVgocyZ9qZcXEkJKocbhyavkV7CTL8upXu7DOig9k6iq90Wl272&#10;YjOetZ8JJkJJyauyuVGfrVWsxrVWQxowfu8GljJDYOSah84kYwKkgcvOAaLMEzQR/LIIOOOQe9K6&#10;pGyMFzGxzwears20hzyD/DTro7LOArxnms7ahZ7mlI8WoxOsQ2yL90nvWVCzRTMJAQ+QAMdKbp87&#10;rc8HrWjfqr7ZcYZhk4o20HZbmnYD5h34OKoa6M3MRJwdn9a0NMHyIcn7tUNc/wCPyIeq/wBaiD94&#10;GU7JCZB8uMV0co2aa/P/ACzNYloSHx2B/Otu6H/Esf8A3KU3eQLa5yvuBkfSjnt0p2MGnlQI81td&#10;CtpcaFIGe1OwT9KkjGQB7VIEANK4ulyHHA4NPjU4zUmxQKuW1ok+STgDtik3oKNymqnnjip4raST&#10;7qZ5rVFtDAuRGGIHesu51iblI0VAD9alNvYrVWLKaft5dwlEk9la4By7fnWQLiWa4G+RjzUd2x8x&#10;fpTUdROVjU/taSWQpGioo/Os2e5eSRtzk8+tFmNzMenFQuPnbnvVJJD3DdkZNb+nghRjoFrnh95a&#10;6OzG2M+gAqZlLVXMJgJNRyOu89veti740eXtxisiM5vOnVjWtenGkn1OP50nuhGDFLPHF5YbCnil&#10;UkcfnS/dH44pGAxjnmtRN20JYvMaNwD3/OqyvJbSshjBRzjBHQ+tKkhRQR3OKuCQv8rDPfmlewcr&#10;Y8MyQBgQDn86oXmJIgwUE9A2en4VbKedb7ScbTnNVPIUg5zx0NEe4n5lKNNz4xn1xU2whsDk+g5p&#10;zR7GIDHritC2RVxxye+aqUrAldFm0DC2Ak+8Km3Hb1GKiWQhCQB1xUgAIBNYvuyr62F3EYAqJ8tK&#10;gJ5GTxU+0DA9eaihPzOccliM/Q0kPcNpxzilAOOeKkHzLnHNNY5xxzjrTJTGAEqeMikAHO407OSB&#10;2xSHpk0tmUrvY0NNYCFyM/e5rA1W3eW83Bdwx2ODW7YHEB9yay7rPmvz0og/eG1YzY7dEwTCx/3j&#10;xWvbZ+ykMAvHAHQVVjOTyKtRn9wTVybEtEUnQeYT71LaySwOHildCD/CSKRiM5x3p8XzjnHHNDeg&#10;JWs2a0Hi/UrNgkmyeMf3hg/mK2oPEWk3yKb218lm74/qK4SQ+ZLjpzirExK4UcAcCoaRu0md8um2&#10;d4u+xvFcHtnNV5dLniYb4tyjuvIrhYpZI5tyOyMBkFTg1vWnijUrTaGkEyekg5/Onysya10Nn7NH&#10;18sD1yKRgBwBj6Vr6Zex6zaiWW2VCfQ5pLzTEjUukjAAZweaV7k2tuY2xj70VMFz1oo5hWR//9lQ&#10;SwMEFAAAAAgAh07iQG89NUfdeAAA2HgAABUAAABkcnMvbWVkaWEvaW1hZ2U0LmpwZWcB2Hgnh//Y&#10;/+AAEEpGSUYAAQEBANwA3AAA/9sAQwAIBgYHBgUIBwcHCQkICgwUDQwLCwwZEhMPFB0aHx4dGhwc&#10;ICQuJyAiLCMcHCg3KSwwMTQ0NB8nOT04MjwuMzQy/9sAQwEJCQkMCwwYDQ0YMiEcITIyMjIyMjIy&#10;MjIyMjIyMjIyMjIyMjIyMjIyMjIyMjIyMjIyMjIyMjIyMjIyMjIyMjIy/8AAEQgBuQJ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Xlr/Eoq&#10;gC0b7h1FbcbiVNjdaoXdqUYkDiuYZLDLuAZfxqy6rNFkdayYpDE+ex6itOGXB45U0wM2aEqSKLWX&#10;y38tvunp7GtO5gDLuArLkjwelMRqwtg7T0NQXlvg7gKjtpTImD95a0BiaIqeooAxNu1sjqK0YZN6&#10;hh171Wmh2ORimwP5cmD91qBGo6iWLIrNmi56VpQtztPQ1DcxYY0wKVqxRynY9K0oDnKnv0rMZSrZ&#10;HUVdhfcFcUANnTBIqi4KsCOorXnTegcVnSDIoAuQyb0Vx3FTTqGQGqNm/wB6M9uRWig3xle4oAy5&#10;I8E0+1P3l/GnXCkGoYW2zj0PFAkakY3RlfSq0oqzBw+PWo5lwzU0DKI+SZT71ox/eFZ0w7itCI5C&#10;n2psBLhetUJB7VqXAz+NZ8q00ItWxzCBUzj5RUFr/qqst/q1oAoTrkGnWQ4almFOsxjdQBaA+Q1S&#10;n61ex+7NUZs7qAGW4zKKvkVTth+8q63Q0AV5BxVJlzMOKuydKrKN0tAi5EoEYpknLGpwML9BVZsk&#10;0DIX61Zt0wmfWqzDLir6LtQUAMfgVUkNWZDkGqrDL0ASQp3qVuFp0SBUHvUczYpDKsjZOKliTOBU&#10;IGXzV6JcLk0ADcLVSVs8CrErc49Kr43NSAbFHlvereAq/SiKPAzimTPgYoYyCRsnFCrzSAZOasRr&#10;3/KkAoG1aqyvk1PM+BiquNzZoAFSrSRhRk0kSdzTbiXaNgoGRTyZOB0qFEyacBk5NWI0xyaBAibR&#10;k1BPN2FSzS4GAaqhSxyaQDUUscmrkcYUZNJDEF5Ips8wUbQaAGTygHAqFVLHJpFQsdxq1HH37UDF&#10;RMDmo5ZQPlB5pZZsDapqFEJOTQAKhY5NThABSgYFQSzZO1aACaYDhetRIhY5NKkWTk9amO1BkngU&#10;hgAFHJqCS4bO2Nj9aZLK0pwvC06OL/8AXQA6J5+0r/8AfRqx9pmjH+vf8WqF5Ag9KrM7SHA6UWEW&#10;m1O5BwszUVDHEAMmiiw7lu2uNwHOHH61pDbcRYPWsJleJs9CK0LW53DcD8w6igCC5gMbkY4pLeXY&#10;2wn5T09q1ZY1uYsgc1kSxGNiKANWF8jY3TtVe6gKnIHFQ202fkY/MOnvWkpE8ZU/eFAjDy0UgcdR&#10;WpBMCA69Kq3EO1sVFBIYZNp+6f0pgalzCJI961lyJWtA4+43Q9Kq3cOxyQODQA22l3pg/eWr5HnR&#10;Z7ishWMMoYdO9akEgBBz8poEUZ48Hmm2zYcoeh6VdvIu471lsSj57g0wNiE7lKH8KpSptYjHFWIJ&#10;Ayq4p91HkBx0NAGcp8qZX7Z5rViIDD0NZki5FW7R90IB6rxTAfdRDJrMZdrfQ1tzLvjDCsuZMNmg&#10;RbickKwqa4HIPqKq2r5Qj0NXWG+AH04oQ2Z0q5qzbHMI9uKjkGKW0Ody+hpiLco/dg+1Z8g61pMM&#10;w/Q1nyDBNMTJbT7pFWn/ANWPrVSzPzMKusMx/jQBSlHBpbMYLCll4otD8zUCLZHyH61RmHzVfb/V&#10;/jVOUUDG2o+erbdKr2w5NWG+7QBVn6VFbLmQfWpJj1zTrRPmzTAsv901VfirUnQCq0lAEUS7pR9a&#10;uucLUFsvzFvSpZfSkBA54qOJd8gHvTpDxipbZMZNAErYVapycmrUp7VTY5b6UDFVMsAKtP8AIn8q&#10;jgX+KiZvmxnpQBExzRGhLUnU1YiXaufWkArHatUpGJOKnlbc2KiC80MBY0yanYhFpVXYvNVppOcV&#10;IxjEu3tT44+elLEnFTEhFzQA2RhGnHWqRy7Zp8jl260+NOKAEijz9BTppAi4FOkcRrx1qrgyNk0D&#10;GBS5zVqOLuRSpHSTShBgdaQDZ5gi4FVFBdsmn4Ltk1OkY6kcUAJHHxk9KbLNgbVpJpf4E/E01Iu5&#10;oARI881NgKMmgkIuarSSNKcDpQASzFztXOKI4u5pyRY5NEsyxDHU+lIBXdYxmqpZ52/2aQK8rZar&#10;CqI1560AIkQUU2WYID/KmSz84XrUaRs5y3NMBPmlOT0qdVCDmgssY6/jVZpWlbC5x60APmuMcKMm&#10;ikSIKMtRQBuXdqJU3pWUQ8Em5eCO1a1tcqygg5Q/pTby1DjzEpDG2tyDhl/EVPcwLMm9axVZoJMj&#10;8RWra3AwD1Q/pQBnujI3HBFXbafeAw+8OtTXdsGG9f0rNDNDJuHXvTEa80Qnj3L1rMmjxwetX7ac&#10;YDA5U9aW7twy+YvNAFS0myPLJ+YdPetIgXEBB+8KwmzG4ZeCK1LS4DqJF/EUAVHiKsQRUltJjMZ7&#10;dKvXMIZQ69DWY4KtuXqKYjXXE0O09RWVdQ4JOOau202QrjoetSXcQI3gcGmgM2yk2sYz0PIrVT95&#10;CUNYsgMUm4DkGtW3lDKrjoetAFaSMgkU23bZPtPRuKu3UeDuHQ1nyqQQR1HNMRrR8qy1SnXk1Ygk&#10;DBX9aLqPk470AU4Dtmx61oxcxstZTMUkBx0NakDfMD2NFgK8q9aitvlnI9RVuZeTVIHZcKfemI0l&#10;G6NhVKdcGr0fUj2qtcDmgGQ2nEuPar5/1ZqjAMTCr+P3ZpgVJRSW33z9KfIKbb/6w0CLbf6uqb9T&#10;Vxv9XVV8c0DHW6/eqR+MCmwA4NPkFArlK4qxaDCE1WnGWFW4BiMe9MExZfvVXkqd+tQMMsBQBPAu&#10;2PPrTZGAyTUwwEx6Cq8hzSGQn5n4q2i7EHsKrwpl81YlbauPWgCCRutQquW+tPY7jUkMeTn0oAkx&#10;5ceKqkZPWppnHQVEvIpDBE3NjtUsjbVwKVF2rk1Ex3HJoAjxmpI170Bcninsdi4FAEcr9qhVNzbj&#10;T8Fm5qRFpWAVQFGarzOWOB0qSaTjaKiVSaQxqpk1OSI05o4jXcaqu7Stx0oACTI2TUscfNLHHgA0&#10;ssoQcdaQCTSiMYHWqoUuSWpQpkbJqdUwKAESPAqOaUn5E/OlkkLfKnT1oSLAyaAGxx9zT3kVFpJJ&#10;Qg/pVX5pmyelAxSzSt7VKiBRzSqoRaryzlzsT86QD5p9vyp1qGOIu2480+OLHJpzyqq4FAClljXg&#10;/jVaSRpDgUh3SN6CpVVUHPWgBkcQ6mllmWMY7+lRyXGTtj5Pr6U1Icnc5/OgBArytlunpUvyRL70&#10;2SdYxtX/AOvVYh5T83A9BTAdJOzsQn50U5YwOvAooEPt7l4JOQdvcVv21yrIMHcjfpWfdWauheMj&#10;1qhBNJayHGSp6ioRbNTUbUj95HyPaqFtctC/IOw9RWrDcrImCQUPr2qtcWoCbk6UAaNtOrKASCh6&#10;GqOowGJt6/dNU4J2gbafuH9K1klWeHy3IPHBzTEZVvdGF8NnYevtW5BKGXYTlT0NZlzaBACBxTbW&#10;dom8punY+lADtQgMUhIHymqtrcm3m+b7jda2GIuItrD5hVC5tApPApoDYgcMNhOQ3Q1QvEMMuD0N&#10;Q2NwyfuX6j7pq/MBdRDI+ZaBFG2mCSbSflb+da8R8yMxn8KxpoSvQcirllOWQZ++vBqkIbcwdQRU&#10;do+xjEe/IrSuEEiBxWXIjI4YdQc0xGqB5kO09RVKRParNvIDtYdDSXCbXOOhpgQWjY3R+nIq843w&#10;g9xWbnyplf8AOtOLkFfWgDNmQAmrNs26NeenFNuFwajtDtkZOx5FMRemAPPqKoTLzkdRWi3MQPpV&#10;OZT2oF1LcRztPqKinXk0tucxr7U6cZJoGypHxKPrWgB8jfSqHRh9avjlT9KYkV5BxTLb/WN9Kkk4&#10;plt/rGoEty0/+rqo4q24+QVUccmgGTwL+7/GlfvSw/6oU1ulMCnLy9XFG1APQVXK7pR9atH7poBE&#10;DHJxTUGZR7UMcPT4RnJ9aAJH6VXcVO5POKrglnpATQLtXNQzyDJqyflTis+eNyfYUDuSINw4qySI&#10;oqitlG0HtUd7vfCp0FIZE0gZqniXPNZ8UbicK3WtQnyoiQMmkMjmkAO3P1qNfm6VSl80tuII5q/b&#10;LiME0DJB8i5NVnl3NwabezP91AcCoLQM75akBeReBRLII1x3pZHEMZY/lWS00ksvPc0AW1Jd/arI&#10;AUZNRxJtUGqV7e/NsToOp9aTYE00vmNgdKkijwMmq1opcZarFxcLbx/7XagB0sojGM81XAMhyaqp&#10;I9xJknitBFCDJoAVV28moJJi7bV6etNmmLnavSnRRheTQA9ECrk0yWYKMCklm7DrTEjJOTSAaEZz&#10;lqlJWJc5pJJliBqt807Anp6UADu0xwOFqVY1QZNL8sS84zVeSUyHC9PWgY6WfnC9ajSMt8zU9IgO&#10;WpktwE+VeT6UCJGdIl5qszPOcDhaRYnkbdIeKfJMkIwKAFWNIlyetQyXJc7U59+1RlnmPPC+lTRx&#10;hR6CgBiRfNk8mpgo7DJp6oT04FSABRx1oAYsYx81FPooEXRIn/PQf98mj5D/ABp+VUp5LqBuXOPp&#10;U1vc+b357is7GzRODGP+Wkf5U4OpHEkeKSRJSm6Jv0qgbyaN8OQR9KZJoFUPeKgJEO8P50kMgkAO&#10;QQe+KLgSRDKqpH0oAmPzDBZD/wACppgQ9UQ/jVOK8JfbIqD0OKvIokBwq59MUwFEYBBAGR6NTnRn&#10;+8AfxqrK5jPMSZHtToJlkXhAD3FAiT7Mu4HZz9amVWU5AP50jRgJuC5FVWmWNv8AVH3IY0wJppEX&#10;LP8AjTGBtplfBAPUVMtss6YRwobvjNMnjkSFY5SGdRjcOM1SEaEEiuNueGHFVbmLBIqvZTFT5RPI&#10;5WtKUebEHHUdaollG1fa5jP1FaDL5kOepWsuQbHDjgg5rTtpAwB7MKAKMqVZtH3Rqc8rwaLiPaSK&#10;r2jFLhkPRulAi5cxg8+vNUVykyt2zWo43Q+4rPlXGaYF5BlGHtVdxmprdtyq3rSSDDEYpiZFa/xL&#10;6GrMoyoz6VWg4nI9RVuQZjFAFFhV5BlB9KpNxV+LmJfpQIqyjHSmWwxIalk70lsAZG+lMSJ3+4Kp&#10;ydauS9KquMmgCzGP3Y+lNcYFS4CoKhlbigCOJd02fSpmGBTbZchmpz96YFVxzViNdkWfaothMgFW&#10;JOFC+tAEOPl5pkS5cmnyHAxTkGyLOOTQAyRsHAqNgWQ4Gc049CT1pgQiQYLEY59KljQ2MMiAHNO5&#10;PUVL+H60HH939akt2KYQicuQfY4qY5PXP5VNwP4f1o/A/wDfQpajKc6kqBgnntTgxAwOg9qt9P73&#10;/fQpOfR/++hSuwsVGGetQW3yru6Enoa0cZ7P+Yo5HaT8hQ2xpFFmaQ89KrlR9pxwMCtYj2f/AL4F&#10;N/4C/wD36FAWKEkrEbRVKeP5kB7mto/Qj/tiKicr3/WKkBUVxEgAxUMqb1Z2GTirTlAM5A/4BVdJ&#10;xI5HylBkMR2oQEFqNq7iKmd2l47Uwt5jbUGF9qnVQi5PWmIRYwACajkmydq9aZLMznan50+OMINz&#10;UAEceBljTZrgINq8n0qOe5IO1OtMiiyd7n8TQAiRvI+5qmaRYlwPzqKW4CfKtQojSncxoGPy0x9q&#10;lwsSZPWonmSFeKrEyXB+bhfSkBJLcNIdsf50scax8v1ppaOBarl3mPov86AJZrkk7Y+fpTI4Sx3O&#10;ctTkiwPSrKRHHoKAGInoMmp1QDryaUAAYAxSgUCA+1FGDTgKYDQDRTwKKQi4Giu4grYyRwfWsm5t&#10;pbSXcufY1nx3k2nzeXICUzyK34LuG8hAYhlPQ+n1qDosMsr/AHfKeH7j1qa8tEuI/Ni69xWXfWj2&#10;zeYmdvUEVJY6rlgrHD+/egOUZDO9rIQRle4ragmSeMAkFW6GqV3bJdRGSIYYdRWVBdvZzEMDtzyt&#10;AuU1L21MLZA+Wls7shgjH5h0PrVmG4iuoQGYFT0PpWPqELWsmf4exFMOU354hcxb0+8OorHMjW82&#10;4dR1FSabqgchWI8wf+PCrOoQLNCZ4h9RRcXKXbS4SVBzlG/Sob2Hyz7GsO0v/s02G+4Thh6V0Sul&#10;1BsJB4+U07isVLG58t/Jc8H7prUmUTwZ/iFc1dZglKtwR0rW03UBPHyfnXhh6+9O4OJUkJjkDjgq&#10;a2bSdZEBH3WHNZmqoI/3yjKNVTTb9Un8pm+VzxnsadyeU1rtNjEflTbCcb2iP1FT3Q862z/EtYP2&#10;sRTB1PKnNO4cp08/zxB/Tg1mStsYOOoOavW8yTwgqQVccVkXcwjkZG6ii4uU34WEiAj7rDNUZxyc&#10;9qh0i8EkTR5+ZDx9KfqUwhcMejU7i5SayfKsuehqxcnBB9RWNYXqi9VN3D8fjWreSBbcOex5p3E4&#10;kKPi4T3OK0D/AKs1zsl8u8EEcGt8uGgLA/w5ouHKVJjzV22O6BDWHcXqf3hWppkwkslYHvTuLlHS&#10;EZNJanMrY9Kp3N2iSOpbkGn6VcLLLLg5xRcOU0ZiBx7VU3AyAD1ovblY5NpPaqlpcrNdqoNO4uU1&#10;5DhOaqSMOafezrEFBOM1nfa0eQKDyTRcOU2LdcQZ/GoXcE0+WVYLIknHAFZbXqZwG5ouPlNKAb5C&#10;fSlkI8w+1JA4jt97ccZNZsl8nJ3DJouLlLi/vZgO1WJ8KAKgseUMhqtc3yGU/MMdBRcOUnJBOBUx&#10;Xy4smq9ofNO7tTb29RZPL3fd6/Wi4crHdOc09U+Usar2z+cwPalvbtIcRg89TSuNRY8kMxqRVzzV&#10;S3fzuR0qW6ukt4wucMaB2YSuC2AeBSoMj2qnBIZWyDVme4S3iyx57ClcLMWZ8fKOtRKCx6nFVY5j&#10;M+Qc1alnjtotzHn09aLjsxZX8tevNQxlmPLH86qJO1xJnNW3lS3i3OcUBZj5GEa5JqBGZzncfzqp&#10;57XMme1Wt6wR7mIGKQ7MlfaEy/OPWqWVc7Y1CpnOBUDXLXMmF+7VlWSCPLEA+tIdiZVWFcnrVaSZ&#10;pWwnSq73DXD7VJC1ODHBHuYgYpBYmRVjXLdarS3JkbanT1qtJdtcvtTIT+dSqUgXcxFAWJY41Rct&#10;UUtwWO1KrtcNO2E4X+dSZjgTcx5pBYfHFj5n60yW5/hQVXe4e4banC+tLvjt1yxGaAsPWP8AjkPN&#10;NkugMpGMmqjzyXBwvC/qamiiCjpQFhUjZ23OcmrKIMjHJoRCfYVMoAHAoEKqAdeTUgOaaBUgWmAn&#10;WnAUoFL2oEJilpCcDOcD1qB7nHCD8TSAnZlQcnFFUWcscsaKAJ7i2F/Cd8bK+Mhsda5df7RsL4iF&#10;XK56FTgioh4jvx/Hn6k04eJL8/xD9f8AGsVI9d4Cqzq7S8e5h2ywvg9VI6Via1Zy2ziS3zg84Aqi&#10;PEuoL/GPzP8AjR/wk2oD+Ifmf8aLieAqmxo+p3Pyx3KkN/C/r7Gr2qWguLdpkG1xya5weJ7/AP2T&#10;+Jp3/CVah/sn65p3D6hWEsdQvbW4I2l484Za6oTR3tsFblWHB9K5b/hKL0nOyP8AKlHiu+XjZGPo&#10;KdxfUKw2/wDtNhfbY88HjFdFpOrGeHEyFXHDr6+4rA/4Sm5Y5aCIn1IFPXxTOhyLeMH1AH+FFxLA&#10;Vuxe16EwAXEHKt2puh6xMji3uEZVP3H9PaqjeKppBh7eNh6EA/0oHiY/8+cX4KP8KOYHgK/Y6TU1&#10;F1atKnEiDmuXt9VubS6EixMQDggdxVo+LpCpBtkIPYgf4VGPEceP+QfD/wB8j/CmpCeAr9jqkuo7&#10;2025ykgypPauRvZ5bS7aIISVPUVaj8WeUu1LNFHoAKYfEkLuXewjLHqdozRzA8BX/lOg0fWPtlor&#10;SArIPlcH+dY2tyNZXXygsr8jFRJ4niiJMdjGpPX5RzRJ4mimYNJYxsR0yOlPmF9Qr/yl/wAO6yZC&#10;9tIpUj5kz+oqbxDN5SrcoMhuCBWWniS3icOthGGHcCpJPFFvOAslkrAc8j/69HMhfUK9vhINJ1to&#10;dTj3IwRztY46ZrpNZm83TmdeWj5rAGv6fj/kHr/3z/8AXqZ/FNrIhR7XKngjb/8AXp8wvqNf+UyF&#10;1iSGdJBG2VYHpXcTXaXWnPtPDJuFc1/b2n4/48R/3z/9epl8U2qRiMWuFxjG3t+dNyQlga/WJjya&#10;qVYjY35V2ulakt1pUDHOWTaf5Vzh16wIx9gGP93/AOvUsXii0gQJHZ7R7D/69HMgWAxHWJQvNUMc&#10;zptJ2kjpXR+GtTWXTju4KuRg1j/8JBp55+wD8v8A69Pi8SWUGfLsQuevHX9afMgWAxF9YjNb1Pyt&#10;SnUAkZ/pVvwtqiu9wSCOnWqr+IrF2LNYZJ6/5zRF4hsYXLJYBSRg/wCc0cysH1DEX+EseINVCXxA&#10;yRtHSmeG9SWbUGzkbR3pj+IbGRtz2GSe/wDk02LXtNhl81LDa+MZ/wAmjmQfUMRf4TR8R6usM0aA&#10;5+XP61laPqQudSVeQBzzViXxBp8zbpLHccY/zzUSa1pSzLKtiQ69CM/40cyF9QxF/hNvxDqyQ2kc&#10;YP3mzx6CuesNSFzfogz61bl8QadMRvtC2OmR/wDXqH+2NKWVJFscOvQjI/rRzIf1HEX+E39Z1WO1&#10;00KG+ZyFH9a5i11Jbq8SIE5zV2XXtOuNvmWecfWov7R0dZklWzIdeQRkf1o5lYHgcRfSJ0d7qcdh&#10;pRbd8xG0D3NcpBqgubtYwTyavTa7p04AktCwHQf5NVv7R0fzUkFkwZDwQSP60c6B4HEX+E6c6lFp&#10;+nNK55Venqa5NdW+2Xe0MSzHJq7NrunTqFktGK+maqf2ho4mWQWTB16EEj+tHMg+o17/AAnTR38O&#10;n6eZZW+6ucf0rl/7XN/eEbjuY5NWZ9c06ddslqxX0qut7oqTrMto6uvTBIFLmQPA176ROkhvIrGx&#10;MsrY2iudbWTqF6cE8n8qnm1nTLlQjwMVHbmqy3OixzCVIGDD0Jo5geCr3+FnQQXUVnaGWVgABk1z&#10;8utNqV4QpIHYegqefV9MnTa8RK+nNVY7jRopxMkTBvTJxS5kH1Ot/KzdhuorK0MkrYAGTWJLq76n&#10;dEISFHQegqWbU9LuF2yIcDtk1Bbz6NbTGSNWB+rY/lRzoX1St/KzZiuIrG182VsACseXVX1K4whw&#10;g6CpLjUNLuQBJkgdBz/hUFtLo9tIXjLZPYsf8KXMH1Wr/KzYjnis7bzJWCgDvWXJqb6jLhCQgPAp&#10;l5qOmXGFkDkexP8AhVe2vdKtCfLWU5/vH/61PmF9Wq/ys2VuYbG38yVwKpG/e/kBXIjzwKp3N5pl&#10;1/rBL7YPT9KLa/021Qqnmke5/wDrUuZB9Wqfymu93BYwbpGAPYdzVA3ct/IDnEfZaoXNzp10+6Rp&#10;vwP/ANapodQ0+CPYpkIHc/8A6qLi+r1OxpPeQWMY3sNx6AdTVUXEt3JuY4TsKzJpNOnk3tJNn6//&#10;AFqsjUrFIgitIDjGf8ii4vY1Oxoy38NmoTOXPRR1quskly+6Q4HYVkb9PE3m+dMWznn/APVWlFJF&#10;qEbJbs6gdSKdyXTlFXaJ5dQig/dxkNJ6CoYy9w+5zn+QqKLSUhmyrOSOTu71fjQbeBgelBmSxLjg&#10;DmrKIBz1NQxDFWUFMTRIoqUDNNUVIKCRQKeOKaD2FMeZV6cmgRLmoXuAOF5PrUDys55PHpVG41GC&#10;DgNvf0WgC80hbljVG41GKHIU729B0rKuL6acnLbU/uioACeACT7UAWJryac/M+B6CinRWbsMuce1&#10;FAjEHI5oxinbccjmlHPWuc+ysNFBX0p230oBoCwsRVZFLjK55HtXZDSNKl0uK+h024l8zpGjksOt&#10;cbjPSu8hKR+FLLzJLmMEjm3+91P6U0cWMbiouL6la+8PWcTWq2lk7ySHcyNJj5R1HJ681Yj8M2ja&#10;o0zWhW2EeBG5GC3tzU2vxWrQWkl0l00CIfmi6gnGM1Pc21qPDaq63X2dFD4X/WY61Rwe1nyr3nro&#10;cJq9m9nqDo1uLdW+ZIw27C9uc1TAyKv6m1g8iGxadhj5vO6/hVEcVJ7dJPkVxuMGnACnYBFCHY4O&#10;0EA9D3oNbE1pYXF9OsVvEzsfQdK62PQ9Ft0isLuVft0in5gx4NS6LqVxeRlNMsLWFIlHmBmI3H61&#10;O9nI7l303SmcnJYzcn9Ko8mvXm58r0t5q5x2p6Nd6XMUnjOzPyyAfK341SAr0S9v9RsrEzT2No9o&#10;gAdRKWyCcDGRXDahcR3d5JNFAkKMflRBgAUWOvC1p1V7y+aKpFAHNPHSkIwaR2WJIIVluIkOdruF&#10;OPc10mqeDpY51GmqXj25YySDOfbpWPpMDy38TCCWZI2DOI1yQM11uovFfXiP/Yl3M4wgaQMigZ7g&#10;VSODFVZwqRUH/X3maPCIm0iCWAP9rcgPucbV5Oe1YuraQmmTpGl3DPkchDyp9xXa3NuItJg066gu&#10;jgZJs1LDGTxn+lYmsw2cekpFa6VcoyY3XEsRUge570zDD4io5+87pvyOW2Um0ZqUDim45oPXsJt4&#10;qUWcu1ZWikERYDftOPzpAOK7Lw9IuraDc6ZM2WiGUJ7DqPyIoOfE1XShzJFeTwrZx6ta2glmKTRs&#10;xORkEfhWFe6RImpXVvaRTSpA2CQuSB74rvLtdviLSiepjkH6Co7ho9Di1K/dlMs0nyL+HA/maZ5l&#10;LF1FbW7a/G55xs2nBGCOxpNmTViRjJI0jnLMSST3NMAGaR7aG7MCtLQ9PstQvWhvJmiG3cpBAB9e&#10;TVHFdZ4SuhdTfYZba3ZI4ywYxjcee5/Gmc+LnKFJyiZ+leHIL24vY5J28u3bCyR4IYc96W48O2cm&#10;jPf2E1xMQcBSnXnB4rp9PhmWJ9OvU8lZdxiMeFLLnocd8fpREkWk6LcSos9skZbCSMDlvUfU07Hm&#10;SxdTn0fa3ZnnDwPE22RGRh2YYNRlOavXdzNe3DzzvukbqcYqAKKk9uN7a7kKpS7KlAq3Y3X2K5E3&#10;kxy4BGyQZFA3dK6J7vS7JNKhu7W8DseHjcgNn2FSaBo1tqkV205k3RAFdhx6+1dBLGt5odneW+nQ&#10;NM0oJjSMYPUYPtU+gXguLy6tjYQW0kY+YRrjJz3oPKniKnsZW3T7q61PPdnFN2VuahqqXMEkA0+1&#10;hOfvxpgjBrJwKTPTpuUo3krEBWrFhp8t/eJbxAkseT6D1NMIFXNKRmvlVbwWhP8Ay0JIoHUuoNo1&#10;77wpEm1rS7jWPO1jM4+96DApE8I+ZYKTKFvGy2xmwuM/TNbWnQW1pZn7NLcXBJJWUxsyZ7kAcVMy&#10;JKqyTG5+1KpUTRW7KcH2wRRY8N4qtF8vNt5HBahpxsHRWuIJt2f9U+7H1qiVGa29ZsbW3Imgvxct&#10;I5ypGGHrmsc8VDPZovngne/ysRkZrR0rRzqL7mljjhU4clwGA9QKoYrpfCq5aXFvLLu+R2VhtCn1&#10;BpojFSlCk5R3Kk3hxI55o/tkYUIXhJYHcB6+lMtPDjT2bSPcRrKy5iUOPm47+ldPLCj6zHby2eYj&#10;GURpAGHAz8vp70zSog1rHm2nBtgxjLY+YnIIWnY8p4qooXv27HAXVu1vcNC5UshwdpyPzqAitHWI&#10;/L1CUeXLGWO4rLjdk8npVDHrSPSjeUU2JikIqTHFNIouNoj200ipaaRRczcSPbTSKkxSFaZm0RYr&#10;b8N8XMqeq5rIxWpoBxqYH95SKaObER/ds6J1xID04pmOfWrMi/MDURAzx0qzxhYxVhBUaAAVJuCj&#10;5jj2pkslBoeRU69fQVXafjA4FULnUoLYEM25v7q9aCTReZm9h6CqF1qMFtkFt7/3VrGuNVnnyqnY&#10;noOv51TGWOACTQBdudTnuMgHYvotVlyx4BJqaGzLkFzj2FaUMCoMKMUCKkNmzHLnA9BV+G3VBwuK&#10;lSOp1X2piGrGKKmVaKBHFjI607GRxXdC6tf7kP8A36H+FO+02mf9XD/35H+FYcp7/wDai/lOC5FL&#10;jNd79os+vlwf9+R/hTvOsj/yyt/+/Q/wo5Q/tSP8pwcMr28ySpjcjAjNbb+LtUfCo0US/wCwn+Nd&#10;D5lkRjyrf/v0P8KUNYd4Lb/vyP8AChKxE8fSnrOFylc+LNNnWLzIbiXYuSpwFLcYyM81lx+Lr4ai&#10;bhwGhYbTB2A/xroc6cR/x723/fkf4Uu3Tj/y7Wv/AH6H+FOxnDE4eP2H95x+r3Vjd3QksbUwKRlg&#10;T1P07Vn5r0LZpv8Az62v/fof4UeVpn/Pta/9+xSsdEMzpwjyqLPPgaXIIr0HyNL/AOfW1/79il8n&#10;Ssf8etr/AN+xT5Sv7Wh/Kzn/AAzrNppUdyt0X/eAbdq59aiNz4dYkm1vf+/grpRBpP8Az62v/fsU&#10;4Q6R/wA+tr/37FNIweOoubnZ3fmY97rmlyeGW0+0MqtgbVkHP3geTXLE8V6F5Okf8+lr/wB+xSiL&#10;R8c2tr/36H+FOxVLMaVFNRi9TzsHFOJya9EEWjf8+tr/AN+h/hS7NDHW2tf+/X/1qfKa/wBsU/5W&#10;cHaXtzZOzW0zxFhglTjNaFvr+oLcRtLezmMOC3zds811n/EgHWC1/wC/X/1qmVdAIBFvbYP/AEy/&#10;+tT5GZzzShL4oGBrniZri6jbTbqZIwmGGNvOaxp9Y1G4iaGa7leNhgqTwa7sR+Hx1t7Yf9sv/rVK&#10;sXh7/nha/wDfr/61V7NmVPMsPTSSp7HmanigivTxF4dH/LC1/wC/X/1qeI/DneC2/wC/X/1qPZs2&#10;/tun/Kzy5a3orrw/EgzbXm8qA22TAP612oi8N/8APC2/79f/AFqd5fhv/nja/wDfr/61P2TMqmb0&#10;qmji/kznW8V6ZJcW8xtLjzLcERncO4wap3ms6Le3Lzz6dOztyf3uB+VdeI/DX/PC2/79f/WoMfho&#10;/wDLC2/79f8A1qfsmc8cdhou6hL7zzK7eCS5d7aJo4SflQnJH41AOGFep+V4ax/qLb/v1/8AWpRH&#10;4Z/54W3/AH6/+tR7JnWs8ppW5GeWmtbQdZXR55ZDAsm9MA5wQf8ACu8Mfhn/AJ4W/wD35/8ArUeV&#10;4a/54W//AH5/+tR7Jk1M5o1IuMoOzOWTxLZllvLi1klv16fP8i/T0pf+EtivUMWo6eksROQFPT86&#10;6gxeGf8An3t/+/R/wpPL8MD/AJd7f/vz/wDWp+yZz/X8I96b+/b0POtSls5rxmsoTDBgYUnJNVB0&#10;r1Ap4Y/597f/AL8n/Cjy/DH/AD72/wD35P8AhS9izqjnlKKSUGeXDrTjXp+zwwP+WFv/AN+T/hSH&#10;/hGif9RB/wB+T/hR7Flf29S/kZx8fie4ttIis7aJY2UYMg649veo/D+sxafqE9xdmR/MTBIGSTmu&#10;zP8AwjI/5d4P+/J/wpN3hsdLeD/vz/8AWo9izB5phnGUfZv3tzzS4dXuJWT7jOSM+maj7dK9O87w&#10;6M4t4cf9cf8A61MNx4d/59ov+/P/ANal7Bm6z6mlbkf3nmf4CkIHtXpf2rw+OltF/wB+hUbX2hDp&#10;bRf9+hS9ix/29D+R/ec7aa3ZxaBFZym481GJ/dNt7nvUlh4g0+2uC7G+IKkfvJN4/Kts6jovRbZP&#10;wjFMbUdL/htR/wB+hQ6TRxvH0JX9x6+Z59cESXUzpnazsRn0JqEqa9AbVdN7W3/kIUw6rY9rb/yG&#10;Kh0/M7VnUUrKH4/8A4DFaejXltY3RnuFkYoMoqngt711J1W06i3P/fApp1W37QH/AL4FL2ZM83jO&#10;Li4fj/wDmLfW54NUkviiyO+75W6DPpVzTfEBS6upr93PmptAUcA/Stn+1oe0Tf8AfIph1aL/AJ5N&#10;+Qo5WYzx9KSt7P8AH/gHDTMznc5LH1JzUWCRXeHVk/55t+Qph1Zf+eb/AJCjkNP7VXSH4/8AAOIH&#10;A6GkIJ7V2x1Zf7j/AKUw6sv9x/0pcgv7V/u/icUVPpRsJ7H8q7I6sP7j0w6uP7r/AJ0cpP8Aaf8A&#10;d/E4/Y390/lRtb+6fyrqzq/+y/51G2sH0f8AOnykvMv7py2xj/Cfyq9o4ZNUhJUgZx09q0ZNWkP3&#10;Sw/Goxd3k3KyuB65NPlM547mTXKdDL2qpLKqH53AFYr3E6Ph7tgcZGWPNQupzl5Nx9jmnY4bm2b9&#10;BwnHuetVbjU4YAS75b0HJrHkackiNCB655qpJbz90OTTJLtxrE1xlUPlp7dfzqmu5zwCTU1vYk/6&#10;38hWhHAqDAUCgRVitGY5c/gKvRQKowFAqVUxUqrQMIkGatKlRovNWVWgTFVfapVApAKkAoJACinC&#10;igQ4acfSnjTj6VpjFOFZnQZg072pRpxrUA5pw60CMv8As0+lL/Zx9K1MUuKAMv8As+nDTvatPHNO&#10;AoAy/wCzj6Uv9nn0rUxSgUAZf9n+1L/Z/tWpijFMDL/s+lGn1p4pcUAZf9n0v9n1p4paAMv+z6Dp&#10;oPatPHNLimIxpNJUqcVjX9rPCAI3I57V2Dj5DWLej5quLJkjhdTtry51i2tIJG8yVcAb8AnmrQ8G&#10;+IezL/3/AKstx420v6j+Zr0fFaXIseYf8Ib4h/vD/v8A0f8ACGeIP76/9/69PxS4p3DlPMP+EN8Q&#10;/wB9f+/9H/CG+If7y/8Af+vT8UuKdxWR5ePBniH++n/f+nDwb4h/56J/3/NenYoxTuw5UeY/8Ib4&#10;i7SL/wB/zS/8Ib4i/wCeq/8Af816cBRii7DlR5j/AMId4jH/AC1X/v8Amg+DvEf/AD1X/wACDXp2&#10;M0Yp3YuVHmP/AAh/iP8A56r/AOBBo/4Q/wAR/wDPVf8Av+a9OxRii7DlR5j/AMId4i/56r/3/NH/&#10;AAhviL/nsn/f816dj2pMUXDlR5l/whviL/nsn/f80f8ACG+If+e8Y/7bn/CvTMUEUrhyo8zHgvX+&#10;9xH/AN/m/wAKX/hCte/5+Yv+/wA3+FelGkoux8qPNT4I1zvcw/8Af1v8KP8AhBtaPW6g/wC/jf4V&#10;6TgUEUXHyo82/wCEE1jvdwf99t/hSHwHq3/P1b/99t/hXpBXmjFK4WR5Ymi3WkeILG3upUbziSCh&#10;JH612FvpxVGDsT8xIz6VQ8WDy/EWiSf7ZH6iuiUVE2VFFMaclL/Z0Yq+BSkVncuxnHT0xSHT09K0&#10;SKaRSHYzjp6U02CVokUwrRcDONglNNglaJWmFaAM42EeKY1jHWky1GVwaQGa1inaozYx1pMKhYUw&#10;M42UdRtYx45q3NkDiqMsrgHmmiWctqGoslyyQKFQdM9aqnVL1v8AlsQPbiorzi4NV/xrSyIuy0bu&#10;eQgtMxI9aje4m/56v+dMjCbxvztzzipZ/s2weUJN2eSx4xSHchM8v/PR/wA6v6PLJJqAV3ZhtPBN&#10;ZlaOh/8AISX/AHTQ0K50yqMkVIBTR941IBzWZQ9RUirTV6VMgoAVB81WVFRKvNTqOKYmOUU8CkUV&#10;IBQIAKKcBRQI0lOakFRJzUoFZmw8U4U0U8UAFKBRSigBaUUlOoAKXFGKUCgAxSgUUtMBMUuOKWjF&#10;ACYoxTqKYDcUuKXFBFAiOT7hrGvPvVsyfcNYt596qQmYVjZi++IGlQl9gJHzYz617EPCykZ+1H6b&#10;K8x8JnHxM0z6f419CKDg5NW4N7OxCmlpY4p/CqqMi5LewWrkHgy3khV2upQT2Ciuoblcc/UU9T8v&#10;eiMGndsbkn0OYHgq1/5+pvyFL/whloDj7ROfwFdKTk9KXPGcGrJOb/4QuyA/4+Lj9P8ACgeDLE/8&#10;vFx+a/4V0gbPY0pPHSgDmj4NsQf9fcn8V/wpf+ENsP8Anvcfmv8AhXSdaTbg5oA5z/hDrAf8tbn/&#10;AL6X/Cl/4Q6wxnzbk/8AAl/wroxRQBzo8Haf/wA9Lj/vof4Uf8Ifp+cb7j/vof4V0QooA54+D9OH&#10;8U5/4GP8KUeEdO9Z/wDvsf4V0NFAWOe/4RHTQek5/wCB/wD1qU+EdM2nibP+/XQYpKAOZXwlYfxJ&#10;N/31T4/Cen7zuilK9sviukpvOfalYpsxF8KaV3t2xj/noaU+FNJxxbnPvI3+NbWPalPSmSYw8LaR&#10;/wA+v/j7f40v/CL6SB/x6D/vtv8AGtgdKM0AeGfGDTbbTNX0F7aIRoXOQCTzketKnQVf+OybYtFm&#10;/uzEVnxHKKfapmVEmAp1Io4p2KzNBuKQin4pCKQERHNIRUhFMNADMUwipaYRSAiIqMipyKjIoAgY&#10;VCy1ZYVEy0AUJ14rMnXitqWMkVnTQMe1UmS0cFfDFweP85quFY/wn8q7I6WAT8uTnPIposMfw/pV&#10;cwuU5ERSHpG5/ClMEx/5ZP8AlXX/AGL2NPSyUnBBpcw+VHF/ZpiP9U35Vf0WCVNSQsjAYOSR7V1a&#10;6dD6H86lW3SJSEXGe9JyDlRVI+cfSpVFBT5hU6pxUhYEWpkWkVamRaYhVWpQKFHFSAUCBRTwPakF&#10;OFMQYopcUUCNFRUgFAXFPArM2ACnAc0YpRQAU4UUoFABilAopRQAopaQUooAWigUtMApaKKADHFF&#10;LRTEFFLQaAIZvumsW7+9W1N901i3n3qpCZR8My+V8TdK5AyQOfxr6IEqnoRXzhoX/JTNH/3h/M19&#10;DfdT5UAJ7V0JaXOWc3GVkWfMyeoxS7x61mm4uhe+SlmTCCMylsf0qzFL5jMCpGOh9aLBzyLO8etG&#10;/Peo2wBQp4osPnd7Eu73o3UylosPmYpyc/Nj8KOf71JmlpWHcXJ9aAcUlFA7i5o/E0gpaLBcM+5p&#10;Q1JSUBcdu5o3e1NooC7Hb6TdTaO1AXY4tSFqTNITQQ5MUtSR4fJI/Wm0iAlWAOKbWhKk+ZXPLPjx&#10;H/xT+nSD+G4P8qxLNt9tE3qgP6V0vxwiLeCoXYDKXC1ymkvv0u0b1iU/pWctjoiaCjin01elPrM1&#10;ExSEU6koAZimkU800ikAwjmmGpDTDSAYaYRUlMPFAEZqNhUzCo2FAEBFRsgNTsKYRTEVmiHpUZiH&#10;pVorTStAFUxD0pBEB2q0VphWkBX2YprLVjbTGSgCiVww+tTKtNkXDfjU6rxQAKtSKOKQDFSKKZI5&#10;RTxSAU4UCFApwpKcBTEKKKWigDVAp1FLWZqFKBRSigBcUoopaAClxRS0AFKKKBTAWiiloAKWkFLQ&#10;AUtJS0xBQelFBpgQy/dNY15941szfcrGu/vVSEzI0M4+Jmjf76/zNfRHmlQTtwPVuK+dtH/5KXox&#10;/wCmi/zr6GmR2hKRkA+p5rpj8KOKo7TJXuFjiMkkiqo75ql/btiDjz/yWlaC6Nk8e5GkJHbjFULf&#10;R7l5ALjyo4wMYiAJP5ipZUXdamxFcxXUW+J9y5xnGKJ3aO2Z1OCKSGBbaHy1YsM9TT3jMsRQd6pE&#10;uVpXtczlvbg/xj8qkW6mPV/0FWE0wD7zVOllEvbNaOcOhqq1WW1NL1ZUFxJ/fP5VIssh7mrqwRr0&#10;QU8KB0FZua7B+9e9l8imGlP96ngSnsatYpMCp5h8kurIAsvp+tOCv3xU2KKVx8nmRbW9qXa3qPyq&#10;TFFK41FDNp9R+VG0+tPoxQOyGhaMU6igLDcUYpSM0tAWGOPlNQp/Fzip3+6agT7zVS2Mp/GjhPjH&#10;F5nw+nOc7ZEOfxrgPD536HZH/pkK9L+KUQl+HeobeQqhq8v8LNv8PWh9FI/ImolsawNxOtSUxBUo&#10;FZGwmKbTz0pppAMPWmmnmm4oAjNNIp5HNNIoAYRTTTzTMUgGHrTGqTFNYUAQtTCKlIphFAEZFN21&#10;KRxTSKAIyKQqMU8ikIoAiIphWpTTTSApyj5qlToKbKOadHygoAeOtPFNFSAUyRwpQKAKVmWNSzsF&#10;UdycUyRacorNudatLZwgJlc9kwR+dVJPE6wllktWVx0G8GlcRv8ASiuIvfEt5NgKRCQcjyyenv60&#10;UXFc6RPG1uDiaynQ+2D/AIVaj8Y6S/3mlj/3k/wrqWijk++isPcZqrLpGnTZ8yxt2PqYxVcqL5jN&#10;i8R6RLjF9GP97K/zq5FqNlN/q7uBvpIDUEvhXRZetgi/7pI/kapyeB9Ic/IJ4/8Adkz/ADo5Q5jd&#10;Vgw4IP0p1cwfA0Sc22o3MR/z6YpD4Y1mIjyNdkbByA+7/E0cgcx1Ao71zclr4sjYslzaP7Af4imi&#10;78Vwn59Pt5v90j/GlysfMdTR3rmP+Ei1aH/j40KbjqUz/hTl8YwKcXFjdwn3WjlY+ZHTUtU7DUrf&#10;UojJblsDqGGDVypGKKKSloAKWkopiFNJ2oNFMCKX7tY93941sTfdrGu/vVSEzG0rj4k6L/10X/0K&#10;vopIhJy5cj0JxXzppvHxH0Q/9NV/9Cr6MWYBsKCx74FdK+E5J/HqTLGg6LT8DsopgaQ/w/nS/vPa&#10;oZaa7DZfu9KSM8iiXdt5xSR9RVLYzk/fLFLSUtQdIUUUUAFFV7q9tbKPzLu5igTON0rhRn8aLe9t&#10;btd1tcwzL6xuG/lQBYoqsZ5BJtABGf60izyFwMDHvTsTzItUVX82T5sgAfw9802GWZgdwyfpikPm&#10;LVFQiV8f6s5+tPRmbquKA5kPooooGFFFFADX+6agT75+lTt0NVl/1mPaqWxhU+JHP+P4xP4C1ZQD&#10;/qCcGvDdC1m10rwpFNcvjDOqqOSxznive/FoEnhLUY0Aw0JU/lXyNM7uEiydq5wPrU6PQ1i+p2Y+&#10;IjiRitkuztlua6rQvEdpriER/JMoy0Z/p615jbeHby5UFNoz2Jq/pFpeaJ4hsXcfK0gQkeh4rN8v&#10;Q25J7tHrBpppaQ9KgYw0hp1NoAYaaaeaYRikA0immnGmmgBlNNONNNAEZptPNNNADTTSKcaQ0CGE&#10;U3FSGm4pDI2FMNSMKYaAK8woj+7T5uQKbF0P1oAkAp4pvFY2savFHbGK2nBmPdOcD60Es0ru+S0T&#10;krvI43HAH1rlb7V7m8jMckiFAc/ux1qvDa3l467VbDjh2PBFXrfw1dyQyNIVVgSFGcfjTIMnZOZC&#10;ojk4IB46E0ySGYSlHBDg4we1dk1pp+i2vnzbmOACM/eP0+vNYN1L/aE8t3DZeXEoDAk7QQOufX8K&#10;VhMoyW4jugsttsAXBzJkE+uR/Kin3l7JdS7tgzgDCjgUUhHsqkDinbqjB5ozg8VtcoduFKCDSe4p&#10;BQIfRSZpMmmAp60oqnLqNpDceRLdQpLjOxnANWUdXAKsCD3BzTAkxSFQRyAR7ilFBoA5zRjt1vVU&#10;HA3jA9Otb+eK5/Tvl8RamPUg1ug8Vk9zRbEgp1MFOpDFopM0UALQaTNFMCOX7tY9396teX7tZF1y&#10;xqkJmHY8fEPQ/wDrsv8A6FX0cobYVD4bs2K+b7Q4+IGhn/psv/oQr6NRGm6S4HqoroXwnJP4yKWC&#10;+e5JW7CxZGAMf4VdG4SE7xtxwPeqN3dJZOEYO+RnOat25SeFZACNwzilYtSd7BIfk65pIzytOmUB&#10;OBTI+1NbGUr8+papaKKg6grF8Wa4PDnhm91XZvaFPkX1YnA/UitquV+JFuLnwDqkbOF+RWGT1IYH&#10;H40AfNGq67rPia/Mt5czXUpPyqScL9B0Aq1p1hr+nzx3dq7wSIQwKyYNWdLt9gby43RzwXK8V0CR&#10;yBTD5qM5XKuUxj264zUyqW0RrCgmryPfNB1KPWNEtL5OTLGNwI5DDhh+BBrSwPSuQ+G4dfCcayA7&#10;vMYljjnn2rr6pGTVtAoxRRQAYooooAjmmjt4XmmkWONBuZ3OAo9Sa5ST4neD4rkQHWYmYnG5UYqP&#10;xAxXm/xv8UXR1WLw/BKyW0cayzKpxvY9AfYDH51534a0iPUZ2knyUTouepoeiuwinKXKj62trmC8&#10;t0uLaVJYZBuR0bIYexqWvIPhjqUuma0+ih3awuAzRK3/ACzkHJx7EA/lXr9JO6uipRcXZiHpVUcS&#10;irdUicTLVxOat0Keur5uh3qED/Vmvlz+yIjeNtBITPfqRX1dd4ms7hCpIMbdR7V8wW+63kuo7nKs&#10;ZHMBI/hViCPz/lWck07nRRlF+6yxYzzwYkMZwDgqcGr8AlutVgZouFkBAJHY+1VvtBa1RcuwDZ+X&#10;+tb+iK0rmVlIVegPqa5luelJWgbZppp5plaHCMNJTj1ppPFACGmGsrxBrkeiWPnMu+VziNM9T7+1&#10;cfHrXii+RpoWCoeVVUH6ZoGk3oj0M0w1yeg+LZbi7Ww1SMR3DHargYyfQjtXVmkIaaaTTjUZNADW&#10;ppNKTmmc0AJmg0U0mkAtJTc0mcUCBjTDSk8UzNADJPu1HF1NSSH5TUMZ+egAvZo4LOV5chApzjrW&#10;LZ2Y1G1UQRrBArY3EZdvfP41o39pLeFIw22IAlhn7x7CrVhbi0sooOPlXkjue9MljIoLbSbIsc7Y&#10;1yT3rOfxPvjk8i2fgcOTwPrVHW783Nw9usreUBhVjGdze59Ku6ZoKiz3Tb0mdcZDcgUElSW31XUo&#10;o5ZgpjABycHAPOQBWfdLczzGCZmLoADuXG0DpgV2MNjaWYZh8qnG4M3y8ex6VW1S8S0lhli8nzdp&#10;xu4BXjjNAhuhNb/YfKeNDIhw+1M5orMn1me0mae1itws+GODk59+aKNAPTBS0UVYxyjig9aAQKTv&#10;TAdSdqQ8UbqYjkfGeh3eqwxfYokaRWBYkgEjnjNc94f0fxDY65aebFcJAJBvIbK7ffmvTc808EUw&#10;HjpQelItONAjmrQY8T6gPVQf5VurWHFx4rux6xj+lbanisnuaRJAaWmCnUihaM0lGcUALmkzSZoz&#10;TAZL0NZN196tWQ5Wsu6qkSznbcbfiBojZPM68enzCvpETJFyzAD3NfNkQK+PdFYsSDOuB6fMK+hb&#10;9N2mzfLg4/g69a6Y/CctT40WLiO3vGVmJ4GBg4qzC6RoIogMKOma4yOCOfCi9VT/AHTwf1rZ0GyF&#10;rdSt5ok3J1H1qL9BpO97m3KzMnIxUcZ+7UkwxDiooT8oq1sZz+Iu0tNDD1FLuHqKzOq6FqhrWmRa&#10;zo9zp83CTIVzjoex/A1dLr6ioLm+tbOEzXNxHDGP4nYAUWDmR883mly6DrE2nzurPCcZXofeoJJW&#10;F0CiOQ2OQRitHxTLJrfiG7vosKsj/IR6DgZ/Ks2zhubeeOS42vCjBmXP3gOorCWjO+nK8bnuPgO1&#10;a28LQM4IMzNJj2PA/QV01Y2ia7p2p2oW0PltGADCeCg7fhWr5q+9bpOxwTmrtskoqLzV9DR5w9DT&#10;syfaR7ktIelRef7Ued7UcrF7WPc+YPizcGf4j6nnohRB+CCl8NRRx6IblM+bvP8AFwPwrP8AiLcC&#10;48eaxKOhuSv5cf0pnh2/ZbdrVoTJGTnAGamqvcN8K17Q9O8DCD/hJLV4kUMZDllxzwete0DpXzTD&#10;4tHh3xBpjRxFY0kEk2RyV6Y/n+VfRVtfx3drFcwOrxSqHRh0INTSi+UeLqxVSxdNc9rOvWWkOPOf&#10;dL1ES9f/AK1a7XBVSzYAAyTXjWr6mdV166uP4M4X6dBWjvE5Vy1Wkjb1Pxhqd6HFvJ9niPRV64+t&#10;cHqlib5R5ys+3JVl+8h/wrZDglShGe4PepvLDEMvyt6djWLbZ2RglscKLe4sGGDIdxwqgck+ldbo&#10;8VxbW7rMcuXJJBq3JEj3cAK9N0mPcDGf1qxgCs7Grk2rCrJnrTiRULEClRvkFUZMeaaTxSFqaTQI&#10;4jxZbS6j4is7UD92I8nPTPJP8hU1o0tkqfug5PCoCR/9atzVLQS7LlABLF3I6juKxGdrjy0UqdpP&#10;DVE3odFBJsyvEEDPEuohAk0LqQQ2cjNd1G/mRI/95Qax2sxqEC2r7WjGPMI6fStlVCqFHAAwKIPQ&#10;iskpCE0w05qjJqjIQmmk0pphNAAc0wmlJ9KbmgBC1JmkJNIelIQpPFNJpCaTrQAjnKmoIz89TnpU&#10;C8PQBOKd1GKYKcppiK1tpltAM7Azlt24+tX84GTTAacyh0KsMgjBFBJz2raml7E1vBFvXeF3nu3o&#10;BWC7SsGhZXYRHkdlNdkNHtRdxTrGFEYOEHTPrWZrjW+nSM0EWLi5UhjnjHrj1oYmYsy21vbGJlc3&#10;XBzn5QD2oqBIXeIzAKRu28tg0VJJ7PQKO9GK1RQvU0dKO9HNMAJ46UlL9aOMUxAB7U8AU1elPFAA&#10;Biloopgc593xZP7wj+lbK9KyZRjxWT6w1qrWUi0SClpop2aRQUZpKKAEzzQTSYoNMBkn3azbqtF/&#10;ums+5FNEs5WFy3jjRtx5F0Bj0G4Yr6S/eOQkark9d3TFfOTjHjXQ/wDruv8A6EK+jY5Akisc4HpX&#10;VD4TlqfGrj1siOWEI+iVMtuQP9Z+QpDdRkYKsfwpRcIOkbfpS1KSgNmQoANxOaZGCowadLKZMYXG&#10;KYG25LcCqinYxq2voS0VEZ4/76/nSG5iAJLrx1p2MrmD4k8Vx6G620UXm3TruAP3VHqa8+1TU7zW&#10;X8y5kLEEAJ0C59BTNfvzf+Jby4B3J5mxfoOB/KoC4iQyEgIByT+lI7KcElcpPp0jSK4nZSnQDofq&#10;O9I8U8hELrkfxEHjFasOHjLD1oMeJDx1WolFS3OiM3FaGfEki3QnEjqw4G1iK6nTPGWp2Lxxzv8A&#10;aYM4/efeH4/41hpH3NR3TBFj553cD1qkzNxT3PZ7O8hv7SO5gbKOMj29qnriPAd4264smY4KiRAf&#10;Xof6V22DVHFUjyysLWB4l8SxaDbHEfm3BQsEzgAeprdDBs7SDjrg9K8g8Q3p1CXU7pmJXe6r7Kp2&#10;j+VTKVkVRp88tTxvUrp9Q1a5uX+9LKzn8TXWeGtNnii802kjg8jaAf61yNhB9pvhFn72a9d0WF7f&#10;Tgm3DGIFfesajurHoUfdd0eV+JZmfX59ylShC7T24r034V/EKS2tV0K9TzI48mF8/MF7ivMPEVk9&#10;pqPmM27z8yZPfk1V0u8fT7+G5Q/NGwb61cXaOhlUipy94+q/EOpIvhie5gfIkUKp+vB/rXkyZSZz&#10;/fQkfgc1uXWuLdeFI4UOUnZZUPt3H6isG6bybWCYD5l/UEUpSuhUafI2htlciWdiBxuOK2l5Fcrp&#10;URliWaMYdjvI69ea6GKZsAFTu6YrFnSifb/p0f8A1zb+YqYc59qiH/H3GDwSjf0p5baOetSMqXkp&#10;jdFUE5JP+FSw58sA9RVUuZL056Iv6mrCShVwQc5piZIaSmGdfQ0xrtY4wx45AIppENjL6B7ixnji&#10;fZKUOxs4wa5KGENIzTKVK/eB7Gu3Mav/ALStzg9DWVd2Ob2KNVykzDcfTH/1qVSN1oXQnyydx+k2&#10;6pZu4wCxyq98Y4P41ZKsOoIq60EShSUXKjCjHSmP8gyRz/Kmo2REpNu7KRB70w1PM42fKBmqJuGP&#10;YflSaBMlNRSnZGzEE4GcUhnf0/Sq13PIYfLB+aQ7B+PX9M0hmf4aS6ktbi7uS+biQsqMeg9v89q2&#10;CDUmmkG6jjZQUHAXtXQ+VAOkEf8A3zSbGlc5gg03afSuqxEOkUY/4CKAwHQKPoBU8wWOV8t+yn8q&#10;UQSt0ic/QV1Pmn1pPOb+8fzo5g5TknBBweCOoqtuHmdRVzWCTqcpz1wf0rGkYreR8/eBzVIlmoCP&#10;Wngj1qkCfWngn1NMkuKyjvTt6etVAfelFMRc8xfes9rCCTVGu5RvBj2hT2P/AOqp+KjkuoopkjY/&#10;M3TigRjX2hNvjSyIC4Jbc2MHP+fyoreBBHNFKyFY63HPWlxSAU7oa0QxaMUYpaBDCppQKWgDtTAK&#10;UUUUALRRRTAwrnjxPGfWGtQEeorJ1EY8QW59YzVxRxWT3NEXMqP4h+dG5c/eH51VxS4pDLHmJ/eF&#10;J5if3hUQXilwKAHmVPX9KTzU9T+VMwKMCmAjyqV4z+VUrh8g4Vvyq7gZqOREIPFNCOTk58ZaHn5R&#10;545b/eFfRIMIHM8f/fQr5t8VKI9Y0llGP3v9Vr0AMcV0QnZGE6fMz1L7Vax53XcI+rio21PTkXBv&#10;oeP9sV5lminzk+wR6P8A25pi9byL/vrNMfxDpGCGukPtgn+led02lzsPYI9APiXRE6y5PtGf8Kjk&#10;8XaQqnYJGOOMR1wBFMNHMx+xiY8bGW6kLDl2LH65q95Hn2zo/Rxis9sw3rY7NmtSFgy8nA64p3NU&#10;hLZvvr/dbB+tTNyw+hqtA6GScKRy+eKsDnb9aVxigYqrepvROPmDjBq7jis6+m8uWNFBZic7RQBq&#10;adqM+l3cdzbkCQAj5hkHIrUfxrq5OQ8S/SMVzULSORvwMdqVjTuRKKe5uf8ACXauN224Vd3XEa8/&#10;pXOSvt8Nyyvn5oiTn3pXfarH2qx9je+0NLYEHfEAG9eKyqM0pRV9Dy/w9A0+vQxgcNkH2BFewOjm&#10;ICDaCFwM9K4fw1oM1nqnnzAYBKrXoMKjaKzlK5qo2OI1vwXc6iiyLcIZl6DGFA9BXPXXgLU7WzM6&#10;lZZM8xJyfzr1wJxSOgCk+lLnaG4JnG6XYXdp4NiF4rLJHJlVPUKeMVBq8zjT4fLPcLgiuxvIjJpM&#10;0eMyNCcAeuOP1rz++mYqAf4GBxVRdyJKxcskeAKIjggZX0Ire0+dbgknh16isqJUhkaKXPkuS8Tj&#10;+HP9KvRwMJAyvslH3XHIYe9DGi+6g3cJLYPzAfXFLJu6HNVZpZJYwNmJ0dTgfXqKvyZPbAqCjLU4&#10;uZPmJHf64qbgID3NNuEMcRKcsSTzVEm69EFMllp3CgnpVGeUtDJ9aWRbpkYZXkdqrXrxQQMrOqt2&#10;GeaqJDNrT7kPCoZvpmr8iHKOjgAHLZGcj+lcnp8zMIufvAGum80YwxxmqJLKleueapX0oRckgDOO&#10;aeX+UtmsXWrrba5zjDDmkxk004HO4cVCXBGRWcmq2y5MzYCrksRxVGTWdMThZJX9lB/rUMtRZvFx&#10;VTzlkviM8RL+p/8ArfzrDk161P8Aq7eU/wC8+KqDVipcrAnztn5mJxSKUJM7K0uFW7jIYda6A3PH&#10;WvK/7YuVcMgjUjkELUp8Rao3W5wPZR/hUNXNI02emm496xRdav8A2thh/o28jjbt2evrn+vtXGf2&#10;1qT/APL1J+lSDVL7GTdSH8aVivZnov2j3ppufevP01W9PP2pz+NS/wBrXo/5eG/ECpD2bNnVrpRf&#10;tnJOB0HtWLc30f2iI/NlDluO1Mk1K4kbc7An1IquZi8jOwBLDFWpEOjI1VvUZcgMfwp4vF/uv+VZ&#10;0V4UCgopFaq7T2FWncylBx3Gi8H9x/yp4vP+mb/lTl2+lSKF9KozGC6P/PJ6ilZZJFcwtu6A0zUY&#10;rn93Naud0f3o+zj/ABptxq1vbQIZQ29l3KoHf0oEQazezQWK+UHjywBbOKKyr3WZ71WQBUhY8DuP&#10;xoqbiPYQOKdQKK0Qw70UUhoELSUUUwClpKWgAoNFIelAGBqrhNctWJxlTVpZ0x98fnVXWADrViCA&#10;QQetXUhjH8C/lWT3NVsJ9oj/AL4o+0R/3hUoRB/CPypdq56CkMh+0p6/pR9qX/a/75qcqKQqKAK5&#10;uR2Df980huT/AHH/ACqwQKawFMRWNy39x/yqJ7iQj7j1bI4qNkGKYHE+KZSt/p0kmQqSZJJzxkV0&#10;x8Z6Iv8Ay9MfpG3+FNvtItb8qbmISbc7cnpVP/hGtOHS1SrUtCXFlw+OdGH/AC0mP0jNRN490kdF&#10;uD9EH+NVv+EesVYkWsfPtTxoVmP+XaL/AL5FVzoVmPb4g6YOlvcn8B/jULfEGy/hs5z9SBUw0e2U&#10;cQJ/3yKcumQjpEv5UcyDlZRf4gRn7mnSn6yD/CoW8dzN9zS2/Fz/AIVqnT4x0QflSfYVHRRRzoOV&#10;mfZa82pXLCe1Nu2Pl6kH8cV0dpMrcnr+lZos1XnHSm29w1vLtbJSqTuBtNbfvRLEBk9QKkVyMEdc&#10;iiCVXQMpyp6VDdXcELA7xvBHyjnPPem2luVFN6ItPJgEsayoIBdXTXrqd+SqZ7L/APXolnF9eRpK&#10;xgjLZXH8R9M9q0yqRfKDQpJ7BKLW5m6xNJBpkywttmdSiNnoT3rhjZ6q/wB/UZf++2/xrtb1fPk/&#10;2R0qm1sPSlzE2OdsNNuEvoZJ7qSVA2SvJz+td5p2oiztYoriS3iKoAUlmAIOPQZNYgth24qr9kGn&#10;OJYxmNj83HQ1nN6GlJLmsdVBLFJdsYmiKfeHltkZPWtaE8D6VzNpMqyLKMYIwSK6K3bcorBSudMo&#10;crLSnqKjuCBbyEnA2nn8KVDnNUtYm8uwZQfmk+Qfj1pNiUbsxo9WlWHzGS4dcdQyKfyIP6muauQs&#10;/mSxszIxGNy7TjHcVtXDYjWMd+uKgEa4wQK0pNszxEVGyRmy+JbCzgSF1llKjjK9DTrLxppqNtdJ&#10;o0PbG4Vx2s7f7WuVUAKJCABVDGe9b8qZzKTR6jJ4v0gnKz5ZR8pVW59ulI/jrTdoyJcY+9sOM+le&#10;b20qwsxZS2Rxg9DT7y+kvB8xbk5JJzk1PIX7Rnbr47s7i78owOkZ4Dnkn8BXQZHX1ryGFjDIkiEh&#10;1OQfSvT9KvxqOmQ3H8RGH/3h1qZRsClcv1zviFNs8MmOqkVv7qp6hbC7gCnqrBgaktO2pBBbmCKP&#10;nkKK2DPH9kQ3G0qMHLeueKzm80vuZcD0FWizRwkld6gZG0ZJ/CtDG5LNOVU+4rlNYvJJYnToBj+d&#10;b85YRjAPPrXOarbu2QvBPHPSkyk7GT5jTQXYwSFjBz/wIVm5rt49Gji0l7RXAeRfnkxnJrJfwowU&#10;lbwFscApj+tZnRGa6nPgnNPBzSXMMtnMYplKuPXvUPnkDpQaKSLNOGKqfaG9BR9pb0FIrmL6YqYH&#10;ArKF247CnC9k9vypWDmNZWBp26sj7dL7flS/b5fUflS5R8xrk8UbRjOayPt0ufvfpQ99Ki5ZyMjj&#10;jrTULkuaW5sDirQ1qxjOx5gGHBGDwa5L+1Lo8eZj8KiEglmLyPgk9cVcYtbnPVqKWx6EkwYBgwIP&#10;INTRyZNcpYT4Kg3DFfQviuhjcEDDDnpVNGJZuLgW8EkuCcDpXJXFy17dMzjBJ4UVr65epHa/Zwx8&#10;18HjsKxLKxnu3d4SAUGSzHAqGSJPsSfYv8I9KKnktgR5sh2gqCSoz8x7flRU2Cx7VmlzRSGtUAZo&#10;opaYCUYpaKYCUtFFABQaWkoA5/WDjWdP+pFX1NZ2uHGracT/AH60FrKW5qtiSlzTQeaXNIYtITRQ&#10;aAEpppxptMQ2kp1JTAZtpCoqSkIoAi2AUm0VNikxQBGEFIUFS4oIpgQlKaUGamxSYoEyvKAsLtnA&#10;AzmuZn1vTElaJpjuBwflOK6i6OyznfHSNj+leRCSNz88X4qa0gTJ2O7tdYSAHyrmOSJuqlsUfboL&#10;idHQfKhzgtnJ9a8/kVc/KTgetPt7qa0bMbHB7U5x5kVSq8krs9OuJopbNgWwCOCBkg+tVYPFFo+o&#10;xWsRklmkYKzuNoH51kaTrMd9AUICSr94f4Vlar5UWsJLE2D8rNj1zWVO6bTOmvaUVNM9FdO9QsnN&#10;WQweNXXkMMiomFWcpEEpl1JBb2rvccR9DxnrU6iqHiHK6HcFeCMfzFAFOy1CCOXyRMjxtwuDXTWV&#10;8ISInbg9CfSvIiH3CQHkdx1rrNG8QpPD9lunCykAZb+LFZTp21R0063OuWR6R9oSKIM7BQfU4rBu&#10;7z7bc+YeIoxhc9/U1zzWlrLeRzD+AnueT7Cl1y/MGn+TCxDyHAx1A71l8Tsjfl5E5Mv+bHMzPG27&#10;HB46e1LWToTM0Exbrkda1u1dCjbQ4JScndnmV2c31wc/8tW/mah71Pfrs1K5UncRK3PrzUOOK2Rk&#10;GaT0pGOKQPk8dqAJBXeeFEaPRtx/jkLD6dP6VwYrvvDLn+xIg3Zmx9M1nPYtGzupQeeegqPdmq1/&#10;cG1sZ5xz5cZYfgKzQ2WyfNDY9Kngy8JIHzDt61yWneNLJodl5FJDIeCyDcv+Natp4n0kKc3yLz0Y&#10;Ef0rUk15I3NuCwAbHIznFYmoREqRVx/FWiNGQb+PP0P+FYmqeKtKWMiB3nbttXA/M0hmxbSmW1jY&#10;9cYNPzWF4Z1N9QhuFkULscFQOwP/AOqtys2ikZHiKBJdLkdkBdMENjkc1xeK9Du7dbq2khckK4wS&#10;K4fUdNudOlIcboz91wODSNYS6FTA9KMD0FM3tS7moNR4A9KUAHsKi3t60u9sUAS7R6Cl2j0FQ729&#10;aTe/qaAuT4A7Cqd1L5szkDAHAHpUjSMEzmqgJZmJ71cUYVZXFVdw60hXHFPhkMT5GPxGaWVmZucf&#10;lVmIwGr1hqU1rKgLEx55U9vpVBRucL6mnlfKkZXGdpwcGkBr3srT3r8/xYHNaMl4IofIt1CjGH46&#10;n0rKglN0VlbG9Bgn19KkDu8pwcKTu9s1DQGnCGmUB4gE64NFVTNN/foqbGqmux7ZSYFOxRVoyG0U&#10;uKO9MBMUUuKKYBRQSBzmq02o2Vv/AK66hT/ecCgRZpDWNP4r0aHObxXI/uAtVCTx1YZxBBcTH/dA&#10;oGSeIW26npvvJj9RWitc3NqF1ruoWjCwkgjhfdubv+ldEKye5pHYkpaaOtO70hi0meaWm0AKTTaK&#10;SmIM0UlFAC0UE02mAtFJS0BYKDRQaAGmilooAqaoQuk3ZY4AhfJ/A14+GJ7mvXtXjebRryONdztC&#10;wA9TivIUGDyK0gZyH7PrTeM4qXBI+7UEh2nPpWpBLDNJbOzRnBbinZeRi7sSx6k1WDFjk1ZQAiky&#10;rvY9S0uXztHtHz1iUH8qmas3wzL5ugQjH3Cy/rWi5rFl9BVqprsfmaHdDnhM8e3NWkqSaMTW0kZH&#10;DKR+Yppgea2sPmnAFQ3dkytwMH6Vd04bLlkbscEVf1CMbQeK0uZmfp2qyWp/eLuI+Wrn7zUJGmf8&#10;B6CsVuJ2X/aro9JUeW1RypO6NHVlJcrehc0Zdscw9xWmeKpaau2GQ+shq5QJHnuvxrFrdyqDALA/&#10;iQDVEdK3PF8Ajv4pgP8AWJz9RWGh+WrWxJG5xTE4WpJFYg4UnAycdhUanJoETDpXfaANmi2+O+T+&#10;prgl6V32jH/iT23+7/WomWjSzVTVYmn0q6jQZZomAHrxVkNQ2WRgDgkcGsxnko64oqW6tpLO7kt5&#10;hiRDg1EfpWpIgI5FGOKVkZApI4cZH54/pR2oA6fwXu+0XRB+XYM/nXXk4rjfB2ftlx1x5Yz+ddgT&#10;WcikITVDVT/xLpvoP51cJqjqp/4l030/rUlx3OXwM9BS4HoKbmnZpHUGB6U7C+gpuaeKADaMdBQF&#10;A7UuaSgRmXq7ZH9+aojgn3rUv0yAfasxgQwBFax2OOasxOaU5Iz6UHehIOQaRmLHJqiCWNY2glLN&#10;iQYKj19ajPXmkooGWrSbyXOehHNWRfAcJGzAVnLyeelaiKFQBRwKTQDPtkn/ADwailaVVbBYA+lF&#10;KwHvTzwQjMs0aD1ZgKzp/Eej2+fM1CDI7K27+VeISajK5JPJ9Sc1E13K38WPpTsB7HN460aLOx5p&#10;T/spj+dZk/xGt0z5Nk595HArysyyN1cn8aZnJ607AehXHxIvXOIo7eP8CxqK/wDEGvxwRT3V95EM&#10;rbQyKOOM9hmuETlx9a7TxcNnh3Th6yH+VLqIw73Xrid8C5uZR3aSQ8/QVnveyt904qrS9qdgNixJ&#10;kiVnOSTivSbCBEt4wqAfKOg9q8300fuo/c16haDESD2FZzZcS0igVMKYop9ZljxRSA0UALSGlppp&#10;gFNNLTSeKADPNLTM0opiHUlBNJQAuaKbmjNAD80hpAaDQAZopM0CgBWGVI9RXjEgMVxJGw5VyD+d&#10;ez15Hr5H/CRX20bR5x4FaQImMAHl5qjMxyauggRfhViOxWTwxfXuzLJOihvQd/5itbkGRGcsKvqA&#10;F71Qi4YVpW43yKn94gUmCPRPD0Pk6BbAjBYFz+Jq49TJGsNvHEv3UUKPwqJ6yZohI+tWB0qunWrC&#10;9KQzz6VBB4guI+g804H45q7fjMQ9qh16PyvEsg6bwrA/h/8AWqW4fzLZc/eXg1oZnOsCl++4EdCM&#10;/Sui0piIG+lYepKy6ku7vEhH02itvTFItXPtQxI1tNGLIMerMTVkmorJdthEPannrUMs5nxkR9nt&#10;T33n+VcxH92uw8UwCXSxJ3icEfjxXGocHPatFsI1dKg+0i+j7m2bH1yKxI+tdP4WTfc3JP8Azzx+&#10;ZrmpU8i4kjPVGK/kaLiLCDJxXoFhF9nsIIj1VBn61wNp+8mjX1YCvQ1wAB6VMikSA1IveoQakU1m&#10;UcF4sgaLXHkI+WVVYH8Mf0rFrsvGsamwt5eNyyYH0I/+tXF9q0T0IZZuYttlZy8/MHX8j/8AXqtn&#10;itK7ix4fsZeeJJF/PH+FZlMDsPB/FncH1cD9K6JmrE8MQJDpQkViTKxJ9scYrXJrORSAtVHVGzp8&#10;30q0TVHUj/oE3+7Ulo5zNKDxUG+nBjQdJNupwbiq+40vmUgLG6jcMVX8zFJ5tMCSb5gPbmo/srXu&#10;ntIuDPC4VlA5KsCQfwx+tPjlAcZ6dKveGzGdfgWQhopy0RjI/KrizmqrU5skhijjkHHNMYbTwcit&#10;jxTp39neIbqBF2xkh0Gf4SARWPtPpVmIhpacqEnlTj2pDE5PCECgY3NaSToFGTzj0qkiAYyvNTDd&#10;SAeQrEyucKTgGilYgwop6g8iikBTNGKWirJExS0UUAOj/wBav1Fdr4140TS1/wBtz+grjIBmdB/t&#10;Cux8bnGm6Uv++f5VL3KWxxVJ2paKok3NLGY4fc16hAMKv0rzLSx/x7j3/rXpVmMSrnGKxmaxLq06&#10;k70uagoUGlzTc0ZoAUmkzxSZooAKaaCcU0mmAmacDUdLmgCTOaTNFFACUtJRxQIdRSUmaAFzilFM&#10;zSg4pgPryLxAuzxHfDIOZifz5r1wGvKvFiqvie6CrtBKn6/KOauG5MykT+4BrpLO2Mnw5vSo5Mhf&#10;8FK/4Vyxk/d4zXo9hpkyeCmsW2+dJA+Np4ywJHP4itGQjzCL7/WtvSEEupWyHkNKoOPrWEnD9wR6&#10;V0Hh242a3a5iDszYGTjB9aGCR6Y/Sq7HmpmaqzsAaxNLD1PNWF5FVEbmrKsAKB2OM8Yx7NVt5c43&#10;R4z9D/8AXqBJmmtvmKsQPvDrV7xom6Sycf7S/wAqyR+7gAY4NaLYze4mvx+XNp8p6PbKOPY//XrQ&#10;sWWKzZ92UIqPxYFNpphUgDYen0FVLKci0MbHJ7HNPoI6yHi0i/3BTWNRxXEYtYgXXOwd/ao3uYv7&#10;4qGWZPimZk0sIpHzuAc+nWuLVyOD0rpvFUyy28ARsgMc/lXMg8VcdiWdh4Wh22Us+eZGxj0x/wDr&#10;rn/EMIh1qbb0fD/nW3oF4semBCCSHNYfiCQTaqzgH7o60luBTtpTDMkgGdrA4Jr0S2nFxbxzDgOo&#10;bH1rziLg4rsrS8MdpCipwqAfpSmOJuCnqax/t8nYAU4XsxH3hWZdh3iWOGXRJmlHKYZD6HpXngPF&#10;dlrNzLJpU6lsgjp+NcZVx2IZ0TQmXwYjYJ8ubd+Gcf1rsfDnw58P6vodtfT61Okky5MawYCnuMmu&#10;SgfzPDZQ52iNuPzrtPh5fBvDnlsf9TKwx7df8aicmlcqCTZ0dh8OrWC2W3sr2V1BJDMo71zOs2X9&#10;kanNYyTI7xEAkcds16Z4a1lLm4WLyyqnoxPWvKvHb7vGuqc9JcfkBWcJ8xbS6FVp4x/Gv51R1GeN&#10;rGYBxnbxVTNQ3R/0Z/pVgtzI3V3Hw4XSbjULmDUtMhvW8vfH5jEYweeB9RXB5rb8J3j2niG3KHBk&#10;zHz05GB+uKHsbvY9n/sDw9dvtXQrWMH+6K534heC9F0Xwo2qWlsYpzKiLsc459Qc+lavh+8vTqQg&#10;ugxDdDjpU/xalDeAAg+8LqPIx7GsYSbZC1PBt1JvzTQjnopP0FPW1uW5WCU/RDW90aWYCTBqxau0&#10;OrwzJxsYOPzqoySK20o2e4I5qQW9y7xyJDIcdcKaaaMakWdV8QYWe+tb9UJjlhClscZBOP0Irii+&#10;T0xXp+tzTXHgTTDakNcK+2WAqGYjBAJU/QfnXHPp+r3Eaf6DjB7QqP6VSku5jyS7GFux3o8yt6Lw&#10;9rcvCafnP+wtWofBGuOCW05h6ZU/4Uc6Dkl2OW3n1pdx9TXdWfgrXEBH2RB6bo+n5itOLwR4hI+Y&#10;2qj0MUf+FHOg5GeY7z6mivTZfhxqU77pZrcfRFH8qKXMg5TzLFLivQjo9lChdoYlUdSVFS2lhZ3E&#10;fmQxoVzj7mKftEHIzzkKSeATTxBMx4ic/RTXpy6bGOiD8qeLBB2pe0DkPNrWyuTcxE28mNwzlT61&#10;1fjK2mntdLEUZbCuTjt0rZktkQE4FGrLutrTPZDS5rsOU86/sy7P/LPH1IqOezltgpkAAbgYNdW6&#10;DdWNrfAhHuatSuJos6OuZ7UY6kfzr0yMV5vogzeWY9xXpCsqjll/Os5lxJgadUP2iFesifnTWvIB&#10;/wAtFqCixmkJplu5vJNltHJM3oiE1pDQtS27ng8sH++wBoCxn5pMmrT6XernbGrkdg1YralgkeX+&#10;tAWL5phNZx1N+0Y/Oo21GU9Ao/CncLGpmlBrFN9O38YH0FN+1z4/1zUBY3sjFGQKwTPKR/rX/Om+&#10;dJ/z0b86Asb+4Ubx6iuf8xz1Zj+NIWPcmi4G+ZUHJYfnTGuYh/y0X86wtwoLCncLG39rgHWVfzpP&#10;t1uP+Wg/I1h7hnrS7hQBtf2hbj+In8DXl2u3H2rxDdyjODIQM+g4/pXcb19RXC65GYdZmPZyHH41&#10;dPciaKjfeHHFeqR6lGmmoscRCiIYAPTivKC2Tmu+tZRLo8Qzy0IH6VUyYmp4N8BeGtT0WC/1LULh&#10;5phu8mIbQvPTODn9K623+HegJcRyWVrMWRgyu0x61w3w+v4zp/2JjiVJWIBHbg/417Do2Nq8VhKb&#10;TsbRjFo4jxVZjRJ4IopFLSKWZTztGeOfzrl5L2b+8PyrqPiLKT4gjQDO2BR+pri2DnoKauJ2LIvJ&#10;v7+PoKnS6mPWRvzrPVZPSpkWXHCn8BVC0KHiRme3gZmLbX7mswSB1X6Vs6vZXVxYYjgkdgwICoTW&#10;Zb6PqRA/0KcfVMVpHYzktSLVpN8Vkp7IT/KordsLjHWtG68P6nO8G22OFTBywHOfrU1v4X1FSu9I&#10;1Ge7/wCFVcXKxwOEUegqJnGK3F8PTMOXjH50/wD4RvH3p1H0WsjRI4zWE8yyJH8JzWAvSvTp/DcU&#10;0DxPMcMMEhazB4L06P709w34gf0qlKyD2bb0MLSc/YzgH7xrN1hSL4EjG5RXfW2iWdpD5cayFc5+&#10;Y0yfR7CZlaW3DlehJNR7RJlqhJnnCda6uKJxEn+6K2l0rT0+7Zxf985qyEjXoiiplVTNFhn3MERP&#10;Ughf0P5Vt/KOwpCVP/6qz9oaLD+Zg3dpJNZyxqpJZSB9a5ldD1Jv+XZh9SB/WvQsrnoaQ8/wk0Ks&#10;0P6qn1OZtNOuE0l7aQBHIYD5s9a6PwBZzaf9qgnaNg+1gFJPTNBXPVKlt8xPuQbT6jiplVuhrDpH&#10;q3h+1j3iUIu4V5d4ssfP8V6nIT1nbtXSaNq11EdonkH41ia5v/tGSTdneckn1rNStsONFXsznP7O&#10;QdzSPp8DoUZWKnrV8+7U0j/ao9ozVUYLoZY0ewTralvqxqa3t7O2uI5I7IBkYMD6Yq+FHrT1RCaT&#10;qMr2aO3029tpJI3SdA3BwTWn42eGXwkgVo3bzlOMg9jXC25AZeK3p3WfS3iIzx0pcxn7JRdzjOFP&#10;RRRnPQ/lU8qhWI2iowW7AVNzeyG/N2GaCHPqPpSkyDvik3N3Y0XCyBElRw6scjsatxalcwNxvH+6&#10;aqd/vH86OPU1UZtbGcqcZbm/B4nnXCyFXUdnGP8AP51M2uCZsi4uYP8AcKsP1x/Ouc3L3NJtjzkE&#10;g+o4rVV31MJYVPZm+Li5diw1wuD0Ujaf1YD9aTzhHKHn1jUIvTFsxH5gnNYOCejhvqKj3vCxMbyR&#10;t6o1axrRe5zyw01sdbH4hEeUihvtQC/xC32//Xorll1G+U/Lchv+ui80Vrz0+5g6dVdB07xXC4ki&#10;ZhnOC+BUsFytvHsigRR1PzHrUMUUs3+rjZvoKsrps2N0rJEP9tqyNhTqEh6ItIb2Yj+EfhSH+zYD&#10;+9ujIw7RikOrWMX+ptgT/efmgRHuup2wiMw/2VqLXXeNLRASpEXI/GiTXbmVgiOUBOAFGKg8Quwa&#10;0GCx8kHP4mqRLMRpHJ5Y1l6mzMyZJPXrWgS3pis6+BeRVGCQPWtIkyLmlk/bLfnuK7JWyK4e0jml&#10;ZQgII7+ldbAZVhRSckADJHJqJlQLw5pwNVgZP71Owx/iNZmljptA1G4tY3jgfaCcnHeuxsppbkAz&#10;Nu+ted6OxjlfOT0rpY7u883bEGjjxgEdG/GolKwpPlV2dPrMv2TRLuVCEKxNgjjnFeRGYZPNek+I&#10;ppR4Rk80EO21Oep5Feb7B6VUXoNJvVDfMHbP5U0uewNSiMZ7YpwjHrTuPkZVy392lG70q2IlqVIo&#10;j1FUJwZR+fHQUgDeorZihh4+QH8KvQQwj/lmv5Vajch6HNBHI4J/KnLbTt0Rz9FrsIwo6KBVhSPS&#10;qVMhyOLGm3b9IJf++TUi6Let/wAsH/E12eeKA3NV7NE87OQXw9enrFj6sKlXw1dYyfLH1ausowcU&#10;/ZoOdnIroUxd1DR/I20898Z9PesrV/BU2oXEci3MUe1drZBOa7G2Bae8P/Tb/wBlWnvGTQopbBds&#10;8+X4fkff1Ef8Bi/+vXQWmix21rHAZmYIuM4xmtlrcnvUTQf7eKGNIyNO8O2um3Qlt5pQWk3sT29v&#10;pXp+iiVthRgFHUY615/cTfYtrffycEZxXTaH4liijAFuxI/2sVyVLcx004PluP8AEtna3GtyPLEr&#10;MFUZP0rPjsLJeltH/wB81fu7kXt09wyhS/YUwBa6YfCc89GRLbwKPlhQfRRQVUDhRUxAqNgMdKsg&#10;ryHjoKqPkmrjY9KgYY6LUs0RVOc9qcqk9v0qQ9elOANSaDRu6YpGDelTYPrSMD60CKTqxqs8bH0q&#10;/IB/eqtIV9TUs0iU2jYd6iaM+tTu61C8g7DNZSN4kXlj1pPLXvStJ6D9KYZWPasmzVC+WvajZg9P&#10;0pu96Qs/rUXKsPxg9BTTn1xTDu9TSYb0NK47Clx/ep6OM9aiKH1H5ihQB1cf99UroqxrWUqo4OTS&#10;aq0chDYzVGOeOM535/Oie7hkHU/lU3Fyu9yozIP4ab5ijoop5aH1P5U3zIvRvzH+FHMXZh5o7LSi&#10;U5+6fyoVkY/LGzfjmp0gmf7tqfqcj+ZoV3shNpbsWKdt44atdLlmgK8dKysLEcSz20I93GajbWdM&#10;t8brqWY9xEmB27n8a0jSm+hhOtTXUiuVk80nIxUSpIex/AVBc+I4XdPIt5I1/iJk3Z/DFMfXLZUD&#10;yThQf72aUqc10KhWpyW5d8qU/wAL/lS/Z3PXj68Vjv4k09R/x8k/RTUL+KLDs0zfRan2dR9CnVpr&#10;qb32c92Uf8CFL9nA6yp+tcy/iu2H3YZj9SB/WoG8W9ltD/wKT/61UqFXsQ8RSXU6wQop5lH4LTv3&#10;Q6ux/wCAj/GuNbxZckfLbRD6kmmf8JJev/zyX6LVfV6pLxdI7TfAOzH8QKR54VQkQ5Pua4SfX753&#10;PlzlV9Aoqq2q38hw11Jj2OKpYWfVkPGQ6I7jTNQ8+SdZoUO1vl68D86K4aGa6JYxzyAnlsORmiql&#10;hZN6MzWLXY9JlvdSl4Eixr6IMVTe1uJTmSUsfUkmvQP7LsAOLdKVdNslPFvHn3FbcphdHny6cx6t&#10;+lSDTD2LH8K9EW3gT7sSD6KKkCoOAB+Ao5Q5kedppLBgQkhx/s1an02a8ZDJbykou0YU9K7s4AqN&#10;nCinYOZdjh4/DDyHm0b/AIEcVOvhK0jJeeOFTjnC5rqLi8it4jNPII4x69T7CuW1LUZtSbYuYrb+&#10;5nlvr/hSvYqKcuhVeG0gcpbhGQfxKoANIXUdBTliVVx2FLsSs2zZRsRGUDsKTzx2AqQog7Gm7E/u&#10;0rjsXtGl3XZXPVa9H0iFXiGRjPpXlsTvBIHiOxvWun0zWL0IAbhgPbipbE4X3N3x4zJpUEIOS0oO&#10;PYA158sb10GsTy3KBmkZiO5OawwkjHjdTQ0kkN2HuaeEFNI2/fdV/wB5gKjN1bJ965T8OapRYOcV&#10;1LAQd6mRV7Gs5tUsU/5as30GKjOvWy/cjY/Vv8BWqizGVWJ0ESgd6vRpxnmuNPicj5UWNM92/wDr&#10;mr3h7Xpb7V5Lcy71ERzg8dRWiVjFzudaqg1KqiokIHQVKGrREMkAHpSgegpu4+lHmY6kD60EkuOM&#10;4oyfSoTdRJ96aNfqwqCTVbFPvXcI/wCBik5JdRqEnsiK1/1t3j/nuf5CpGX3qtYSrJ9odWyjSllI&#10;7jAqV5Ix96QD6mpui+VjXHvURUetMku7ZeDcR/8AfQqpLqNkMg3Cfgc1LnHuaRhLsQ3+HfGan00q&#10;hAz+tZk15aM5Pm5/Cli1W0iI5c49FrknJNnbCLUbHYRMpXipgwxXKr4rtolwsLn6kCmP4yH8NqPx&#10;f/61bxrRS1OaeHqSd0jrPMFNZ/auNfxdMUdhDGmFJBGSabB4wuLm0V1WJWPX2rWM1NXRhOm6btI6&#10;58+lVpGfPAFcy3iWdsb2QcjO0kfWojrYcfM8mcfwykc0Pm6IIyh1Z0+WPU0ocL951H1Nci2p2rH5&#10;jKRnvMaiN9YHGY3PTP73/wCtUNVOxop0u/4HYveW6D5p0H/AhVd9SsVHN0p+hzXJNfadn/UPj/rp&#10;TTf6eP8Al2Y/9tDU2q9kUp0e7OmfV7AZAkJ+gNVn1m07Bz+FYH9p2A6WefrI3pTTqtkP+XFDx3du&#10;v51LhVZaq0F3NeTV4D0jaoG1NT0T9azv7Zth00+H8Sx/rSDW0HAsbb/vk/41Lo1H1LWJpLZF5tQ9&#10;EFNN85/hAqmdcYHItLYdOPLqP+3p8YEVuOMf6paX1eXcf1uHRF/7ZJ9Pypv2qQ/xH8DVA69edjGv&#10;0jUf0pp13UD0uGH+7xQsL3YfXeyNLzJ26LIfoCacIrpzxbzn0/dmsV9WvZM7rmU9vvGomvLhyS0z&#10;k5zyxp/VY9yPrsuiN8w3O3JiZf8AedR/WmldpxJNAh/2ph/TNc6ZCfvOM+5pm5e8qD8ar6tAn65U&#10;OkElop/eXsX/AAAFv6U032mpjLzSeu1QP51zvmwjrMPwFJ9ptR/HI30GKfsIdiXiar6m82sWq/cs&#10;yxx/HJ7e3vUZ1+RTmK0t057qTWL9tth0hdj7tQNRA+5axD3bJqlTitkZurN7s1H13UXGFmKD0RQK&#10;iMmoXX8VxJ9STVMapdfw7E/3UApjXV1L9+4kI9N1XZEXLo0+5P39kY/6aOBS/ZLWM/v9Qi+kYLVm&#10;Fo1YebJyfU05gvBXGKBXNCS90SyUGRLmc9skID/OszUvEFvdWMlpbadDCrkZfktwc9TWfqTbpUX0&#10;FUcVSQmJRS0YqhCUo60Yo70ATRjJI9qjPSpYvvgUwjqPegBlA60UDrQBbtD+8I9RRTIOHBzRSA+i&#10;8Z6DAo6dBXJt8QLMdLWQ/VhUL/EKH+GzP4yf/WrOxpc7EKSeaUnaK4ZviEf4bRB9XqrJ4/uWztgi&#10;H5miwrnfSS4rK1LWINPG0jzLhhlYgf1PoK4x/G9+fuiJfolZj+IbhnaQeWGY5ZtgJJ/GnyjTV9To&#10;prie9n865cs3YAYVR6AU5VPZWP0rln8QXZ/5eGH+7gfyqvJrM7/euJD9WJqfZtmvt7aJHaYIHzDA&#10;9zio2mhUfNNEP+Bg/wAq4ZtRJPLE1G1+T0Jo9khOuztnvbNetwp/3VJqBtWslzhpG/AD+tcabxzT&#10;DcyHvimqUSfbSOufXoAflhJx/ef/AAFNPiq4jH7pY0+gz/M1yBlkP8RpPm9TTVOK6EupJ9Tp5fE9&#10;9J966IHoDj+VUZdalc/PO7fiTWPsJoCDNXZEXZebVM92P41Eb+Q9F/M1CEFPSJm+6jH6DNAhTd3D&#10;dCF+gphaZ/vSMfxqx9kmUHMLjHqMYpjIU4dCv1pgQbfUmtvwzdPZai8kX3/KbGee2f6VjsKu6YxW&#10;4kK8N5MmPrtNJoa0Z1beJ9RPSbb9EFQtr+pP1u5fwOK4JtRuz1mb8OKnbWr9rX7OZVCYxkRqGP8A&#10;wLGaw9jN7s7PrFNbROvk1a8b791MfrIarPfsfvz/AJvXFNI56ux+ppQ9H1fuxfW10idd9tjLBfOU&#10;knAGc5q6dL1OaMGOB8MMg5ArlNNYPqFqCON9eu23NrF/uD+VS6KiL61J7I5Wdbu2WCAlwywruUE9&#10;fwqlcXYgbbPIEbGcOcHFd0VrgvHkEaTxTbfnIC59vmpeyUnuUsS4q1iE6nbdplP0qFtatF/jY/RT&#10;XNoSc9uKYTx0q1hokvGz6I6NtetuySN+FQnX4x92Bj9TWDn2pNxq/q8CHi6htnX3/hgA+rVE2u3J&#10;6JGPwNZWTSc+tNUYdifrFV9TatNUuZ5zHIy7Sp4Ax2qil1LETsdhz2OKbp5K3Wcn7rfyqM9atRUd&#10;jOUnL4mWv7SuP+ejfnSnUZ/+eh/OqgBJwOtadvodzMAW2xg/3utMmxX/ALRnP8Z/Ok/tCb+8fzrR&#10;Xw3MRkzIOM9Kf/wjTj/l4X/vmi4WMv7fN/eP50fb5T3P51rjwye9x/47Tx4YHU3B/wC+KVx2MX7d&#10;LnrR9tkrdXwvGDhp3P0GKePDNtnBklz9R/hRcLHP/bZKPtkntXSDw1ZjqZT/AMCH+H+fapV8OWI6&#10;qx57sf8AP+fxouOxyv2yT1pftkvt+VdYvh+wAGYj07sf8f8APtUi6FYDpbj8ST/n/PFK4WOO+1Tf&#10;3qPtEx/jNdwukWK8/Zoj3+6DUi6barz9njBB/uD/AD/n8aVx2OD82U/xMaUJcP0Vz9Aa9BS0jUYW&#10;NAOnAA/z/nGOlTLEoPTpz/n/AD9fWi4WPPk0+9c/LbTH/gJq0mg6jJ0t2H1Irvlh7Ae469v8/Ue4&#10;4qYRLngDB47d/wDP0PbnqXCxwkfhbUHIBES/Vs1di8Hzn79xGvGeFP8AXFdkoHfp/nP+fz9TOg/A&#10;/wCf8+v1FIdjlI/Bkef3ly5+i4/x/wA+1XofCWnp99ZJP958fy/z9e3QhR2/z/n/APV6B2B/T/P+&#10;fyoEY40HToVytrGSO5XP+en+GRWPqcEUKEIijHTA/wA/5/KuqnZdh+n+f8/ng1yWrz5yMdTQOxx+&#10;pvm5AHYVNbZ+zLnmqd2++6c1fjG2JR6CmiSoyLLdtu6DiormAKcxgn2FMlncSN87DnsajM5PJLH8&#10;aoQgik/uEfWnCB++B+Ipvnd8UeecdBTEOEHqyigQoOrZ+gpnnMfSkMjE9aAHr8r8GhvvNTQelObq&#10;aAIjSU40lAEqHBopFNFAF3z39KTznxTD1pR0NAC+a/rzQZXx1pvenfw0AJvc9zScnqTThRQA3Bo2&#10;08dKBQA0KacI2PRSfoKv2H+uWuhtvuf9sT/6FQByqWNw5wsEh5x901Omj3zjIgK/7xArrx/rB/1y&#10;b+dSx/eT/ri/8xSA5VPDt2cl2jXHByen+H41aj8Mt/y0nPHXC47e/T8a6SLrD/uv/wChVLa/ds/o&#10;f60AYEXheAffkkYjrzj/APV/nmrcXh+yU8w5PBOST/n9R71q2/8AzD/+urf+gNTov+WH/XY/+gim&#10;BSTS7aLG2CMcZ4Ufn9PzH0qX7Mi/dHY4/wA+n0yPbtVh/wDUn/r7P/oYpG/5a/8AXcfyNAGfPCuO&#10;gwfT/P8ALj+dc9qCDyZBjoDiumu+kv8A18D/ANlrndS/1U3++f8A2akBiKcoKv6ON2oovdgw/MGs&#10;+P8A1YrS0P8A5DFv/vUwOb570nNKfvN9aO1MQhHvSjpRSUAX9NOL+1/66V7Ban/RIc/3B/KvHtP/&#10;AOP+2/66CvYLT/j1i/3BWVQuJP7Vw3xAH7uA+4/rXcmuI+IH+ot/94f1qYbjZw0XX8KaadF96mn7&#10;w+lbGZpado02oKXDBEHc1BqGnyafN5bkHPQiuh0P/jzWqPiT/Wx/StLaXMlN81jAoo70GszUsWZx&#10;Of8Acb+VR5p9n/rz/uN/I0ztQMuaYqtfR7sYz3rs4x/OuQ0b/kJxf71dan+pP/XM/wDoNSyok4H9&#10;f8/5/TpSgAcAenT/AD/ntSr/ABf739BUcv3JP92X/wBCFSUSccY9R/n/AD+vSlA5HPH+f8/4dKb/&#10;AH/q/wDIVMP6n+VADO34f5/z/KngAn8T/n/P4jvR/Ev4Udl+kf8A6FQAuMnn0/8A1f5/nS8Y/X/P&#10;+fy600fdb/ck/wDQ6ef+PlP+uiUDHAc9OQf8/wCf50qgdAMjp/n/AD+XSmx/8e4/65D+ZqQf6z/t&#10;q3/ooUCAdcc/5/z/APr7ABI7c/5/z+hFI3RP91P/AEIU9O3/AG0/9DoEKvzH689f8/56gd1GQwHP&#10;+f1/r9R0B96P/roP/QDT4vuw/SP+QoGWI48AdxwMf5/z6ehdxjr8vqf1/wA/n60v/LE/9cpf/QjT&#10;U/17f9dB/wCgUAPHHQc+vP8An+v1FSr0wBjGMAf59v8ADHauv3F+kX/odTH/AFf/AGyk/mlAEq8j&#10;tz/n/P64NBPHv/n/AD/P1pF/1i/9dG/9F02L7sX+8n/oNAiC5kCoxA/z/n/JFcXq0vzsSeMV11x/&#10;x7x/Rf8A0I1xOq9JP90/zpdRnNffn+rVpOdqH2FZ8P8Ax8J9avy/6tvpVEGRJ1qOpZajqhCdqBRQ&#10;OtMAoo70tADlHFPP3vwpq9Kc33vwoAjPWkpT1pKAHjpRSL0ooA//2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DAGw9VzgAAALECAAAZAAAAZHJz&#10;L19yZWxzL2Uyb0RvYy54bWwucmVsc72STYvCMBCG74L/Iczdpq0ii5h6WRa8Lu4PGJJpGm0+SKKs&#10;/96AsCiIe+txZnif9znMdvdrR3ahmIx3ApqqBkZOemWcFvBz+Fp8AEsZncLROxJwpQS7bj7bftOI&#10;uYTSYEJiheKSgCHnsOE8yYEspsoHcuXS+2gxlzFqHlCeUBNv63rN4yMDuicm2ysBca9WwA7XUJr/&#10;Z/u+N5I+vTxbcvlFBTe2dBcgRk1ZgCVl8L5cVcdAGvhrieU0Esu3Eu00Eu1biWYaieZPgj89WncD&#10;UEsDBBQAAAAIAIdO4kDZOTeHEwEAAEgCAAATAAAAW0NvbnRlbnRfVHlwZXNdLnhtbJWSTU7DMBCF&#10;90jcwfIWxQ5dIISadEEKEguoUDmAZU8Sl/hHHhPa2+OkrQRVWomlPfO9eW/s+WJrOtJDQO1sQW9Z&#10;TglY6ZS2TUE/1k/ZPSUYhVWicxYKugOki/L6ar7eeUCSaIsFbWP0D5yjbMEIZM6DTZXaBSNiOoaG&#10;eyE/RQN8lud3XDobwcYsDhq0nFdQi68ukuU2Xe+dbDw0lDzuG4dZBdVmEBgLfJJ5WT1PImzjGzqN&#10;BOjwhBHed1qKmBbCe6tOwmSHICyRYw+22uNNSntmwlD5m+P3gAP3ll4gaAVkJUJ8FSal5SogV+7b&#10;BujZZZHBpcHM1bWWwKqAVcLeoT+6OqcOM1c5+V/x5Ugdtfn4D8ofUEsBAhQAFAAAAAgAh07iQNk5&#10;N4cTAQAASAIAABMAAAAAAAAAAQAgAAAAjG4CAFtDb250ZW50X1R5cGVzXS54bWxQSwECFAAKAAAA&#10;AACHTuJAAAAAAAAAAAAAAAAABgAAAAAAAAAAABAAAABBbAIAX3JlbHMvUEsBAhQAFAAAAAgAh07i&#10;QIoUZjzRAAAAlAEAAAsAAAAAAAAAAQAgAAAAZWwCAF9yZWxzLy5yZWxzUEsBAhQACgAAAAAAh07i&#10;QAAAAAAAAAAAAAAAAAQAAAAAAAAAAAAQAAAAAAAAAGRycy9QSwECFAAKAAAAAACHTuJAAAAAAAAA&#10;AAAAAAAACgAAAAAAAAAAABAAAABfbQIAZHJzL19yZWxzL1BLAQIUABQAAAAIAIdO4kDAGw9VzgAA&#10;ALECAAAZAAAAAAAAAAEAIAAAAIdtAgBkcnMvX3JlbHMvZTJvRG9jLnhtbC5yZWxzUEsBAhQAFAAA&#10;AAgAh07iQOEt3tHWAAAABQEAAA8AAAAAAAAAAQAgAAAAIgAAAGRycy9kb3ducmV2LnhtbFBLAQIU&#10;ABQAAAAIAIdO4kCNUk/DLgMAAEAMAAAOAAAAAAAAAAEAIAAAACUBAABkcnMvZTJvRG9jLnhtbFBL&#10;AQIUAAoAAAAAAIdO4kAAAAAAAAAAAAAAAAAKAAAAAAAAAAAAEAAAAH8EAABkcnMvbWVkaWEvUEsB&#10;AhQAFAAAAAgAh07iQA+2CL05qwAAL6sAABUAAAAAAAAAAQAgAAAApwQAAGRycy9tZWRpYS9pbWFn&#10;ZTEuanBlZ1BLAQIUABQAAAAIAIdO4kDGHdd4gaQAAHekAAAVAAAAAAAAAAEAIAAAABOwAABkcnMv&#10;bWVkaWEvaW1hZ2UyLmpwZWdQSwECFAAUAAAACACHTuJASSy6ZTeeAAAtngAAFQAAAAAAAAABACAA&#10;AADHVAEAZHJzL21lZGlhL2ltYWdlMy5qcGVnUEsBAhQAFAAAAAgAh07iQG89NUfdeAAA2HgAABUA&#10;AAAAAAAAAQAgAAAAMfMBAGRycy9tZWRpYS9pbWFnZTQuanBlZ1BLBQYAAAAADQANABwDAADQbwIA&#10;AAA=&#10;">
                <o:lock v:ext="edit" aspectratio="f"/>
                <v:shape id="图片 21" o:spid="_x0000_s1026" o:spt="75" alt="2016联合毕业设计1" type="#_x0000_t75" style="position:absolute;left:18528;top:5361591;height:2582;width:3872;" filled="f" o:preferrelative="t" stroked="f" coordsize="21600,21600" o:gfxdata="UEsDBAoAAAAAAIdO4kAAAAAAAAAAAAAAAAAEAAAAZHJzL1BLAwQUAAAACACHTuJAiW3V+LsAAADc&#10;AAAADwAAAGRycy9kb3ducmV2LnhtbEVPPWvDMBDdC/kP4grZGikmtMGNkqHQ4rWp7a6HdbFNrJNj&#10;qbbTX18FAt3u8T5vd5htJ0YafOtYw3qlQBBXzrRca8i/3p+2IHxANtg5Jg1X8nDYLx52mBo38SeN&#10;x1CLGMI+RQ1NCH0qpa8asuhXrieO3MkNFkOEQy3NgFMMt51MlHqWFluODQ329NZQdT7+WA2XpMB5&#10;drmqf7NtWX5vyjEpPrRePq7VK4hAc/gX392ZifNfNnB7Jl4g9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W3V+LsAAADc&#10;AAAADwAAAAAAAAABACAAAAAiAAAAZHJzL2Rvd25yZXYueG1sUEsBAhQAFAAAAAgAh07iQDMvBZ47&#10;AAAAOQAAABAAAAAAAAAAAQAgAAAACgEAAGRycy9zaGFwZXhtbC54bWxQSwUGAAAAAAYABgBbAQAA&#10;tAMAAAAA&#10;">
                  <v:fill on="f" focussize="0,0"/>
                  <v:stroke on="f"/>
                  <v:imagedata r:id="rId156" o:title=""/>
                  <o:lock v:ext="edit" aspectratio="t"/>
                </v:shape>
                <v:shape id="图片 19" o:spid="_x0000_s1026" o:spt="75" alt="2017联合毕业设计2" type="#_x0000_t75" style="position:absolute;left:18537;top:5364246;height:2896;width:3862;" filled="f" o:preferrelative="t" stroked="f" coordsize="21600,21600" o:gfxdata="UEsDBAoAAAAAAIdO4kAAAAAAAAAAAAAAAAAEAAAAZHJzL1BLAwQUAAAACACHTuJAuMEshr4AAADc&#10;AAAADwAAAGRycy9kb3ducmV2LnhtbEVPS2sCMRC+C/0PYQq9iGat9bUaPRQtvYmr0nobNuNm6Way&#10;JPHRf98UCr3Nx/ecxepuG3ElH2rHCgb9DARx6XTNlYLDftObgggRWWPjmBR8U4DV8qGzwFy7G+/o&#10;WsRKpBAOOSowMba5lKE0ZDH0XUucuLPzFmOCvpLa4y2F20Y+Z9lYWqw5NRhs6dVQ+VVcrILZ8GT2&#10;H8WLX3fLt+3osznutrONUk+Pg2wOItI9/ov/3O86zZ8M4feZdIFc/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MEshr4A&#10;AADcAAAADwAAAAAAAAABACAAAAAiAAAAZHJzL2Rvd25yZXYueG1sUEsBAhQAFAAAAAgAh07iQDMv&#10;BZ47AAAAOQAAABAAAAAAAAAAAQAgAAAADQEAAGRycy9zaGFwZXhtbC54bWxQSwUGAAAAAAYABgBb&#10;AQAAtwMAAAAA&#10;">
                  <v:fill on="f" focussize="0,0"/>
                  <v:stroke on="f"/>
                  <v:imagedata r:id="rId157" o:title=""/>
                  <o:lock v:ext="edit" aspectratio="t"/>
                </v:shape>
                <v:shape id="图片 20" o:spid="_x0000_s1026" o:spt="75" alt="IMG_3724" type="#_x0000_t75" style="position:absolute;left:22583;top:5361556;height:2600;width:3899;" filled="f" o:preferrelative="t" stroked="f" coordsize="21600,21600" o:gfxdata="UEsDBAoAAAAAAIdO4kAAAAAAAAAAAAAAAAAEAAAAZHJzL1BLAwQUAAAACACHTuJAXUcgorwAAADc&#10;AAAADwAAAGRycy9kb3ducmV2LnhtbEVPS2vCQBC+F/wPywi9BN3Eg5WYVagSkB4KPg4ex+zkQbOz&#10;IbvG+O+7hYK3+fiek21H04qBetdYVpDMYxDEhdUNVwou53y2AuE8ssbWMil4koPtZvKWYartg480&#10;nHwlQgi7FBXU3neplK6oyaCb2444cKXtDfoA+0rqHh8h3LRyEcdLabDh0FBjR7uaip/T3SjIo69o&#10;pP0zuS2j7/KzNe7KtlDqfZrEaxCeRv8S/7sPOsz/WMDfM+ECuf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1HIKK8AAAA&#10;3AAAAA8AAAAAAAAAAQAgAAAAIgAAAGRycy9kb3ducmV2LnhtbFBLAQIUABQAAAAIAIdO4kAzLwWe&#10;OwAAADkAAAAQAAAAAAAAAAEAIAAAAAsBAABkcnMvc2hhcGV4bWwueG1sUEsFBgAAAAAGAAYAWwEA&#10;ALUDAAAAAA==&#10;">
                  <v:fill on="f" focussize="0,0"/>
                  <v:stroke on="f"/>
                  <v:imagedata r:id="rId158" o:title=""/>
                  <o:lock v:ext="edit" aspectratio="t"/>
                </v:shape>
                <v:shape id="图片 18" o:spid="_x0000_s1026" o:spt="75" alt="IMG_20170612_112200" type="#_x0000_t75" style="position:absolute;left:22609;top:5364247;height:2887;width:3922;" filled="f" o:preferrelative="t" stroked="f" coordsize="21600,21600" o:gfxdata="UEsDBAoAAAAAAIdO4kAAAAAAAAAAAAAAAAAEAAAAZHJzL1BLAwQUAAAACACHTuJAyp8lXrsAAADc&#10;AAAADwAAAGRycy9kb3ducmV2LnhtbEVPS2sCMRC+F/ofwhS81URFLVujh4qiF8EH9DrdTDfbbibL&#10;Jq7rvzeC4G0+vufMFp2rREtNKD1rGPQVCOLcm5ILDafj6v0DRIjIBivPpOFKARbz15cZZsZfeE/t&#10;IRYihXDIUIONsc6kDLklh6Hva+LE/frGYUywKaRp8JLCXSWHSk2kw5JTg8Wavizl/4ez07Dt1uPl&#10;7i+/tmS/3f6nUMtydNK69zZQnyAidfEpfrg3Js2fTuH+TLpAzm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p8lXrsAAADc&#10;AAAADwAAAAAAAAABACAAAAAiAAAAZHJzL2Rvd25yZXYueG1sUEsBAhQAFAAAAAgAh07iQDMvBZ47&#10;AAAAOQAAABAAAAAAAAAAAQAgAAAACgEAAGRycy9zaGFwZXhtbC54bWxQSwUGAAAAAAYABgBbAQAA&#10;tAMAAAAA&#10;">
                  <v:fill on="f" focussize="0,0"/>
                  <v:stroke on="f"/>
                  <v:imagedata r:id="rId159" o:title=""/>
                  <o:lock v:ext="edit" aspectratio="t"/>
                </v:shape>
                <w10:wrap type="none"/>
                <w10:anchorlock/>
              </v:group>
            </w:pict>
          </mc:Fallback>
        </mc:AlternateContent>
      </w:r>
    </w:p>
    <w:p>
      <w:pPr>
        <w:jc w:val="center"/>
        <w:rPr>
          <w:b/>
          <w:bCs/>
          <w:sz w:val="21"/>
          <w:szCs w:val="21"/>
        </w:rPr>
      </w:pPr>
      <w:r>
        <w:rPr>
          <w:b/>
          <w:bCs/>
          <w:sz w:val="21"/>
          <w:szCs w:val="21"/>
        </w:rPr>
        <w:t>土木专业群多专业联合毕业设计教学改革实践</w:t>
      </w:r>
    </w:p>
    <w:p>
      <w:pPr>
        <w:pStyle w:val="5"/>
        <w:spacing w:before="93" w:after="93"/>
        <w:ind w:firstLine="560"/>
      </w:pPr>
      <w:r>
        <w:t>五、培养质量（毕业生就业率、就业专业对口率、毕业生发展情况、就业单位满意率、社会对专业的评价、学生就读该专业的意愿等）</w:t>
      </w:r>
    </w:p>
    <w:p>
      <w:pPr>
        <w:ind w:firstLine="480" w:firstLineChars="200"/>
        <w:rPr>
          <w:color w:val="000000"/>
        </w:rPr>
      </w:pPr>
      <w:r>
        <w:t>建筑学专业良好的学习条件和环境、严格的教学组织和管理有效地保证了专业人才培养的质量。学生基础知识扎实，整体素质高，创新能力强，在国内各类竞赛中屡创佳绩。重要基础课程的优良率稳定在50%以上，全国大学英语四、六级考试通过率稳步提</w:t>
      </w:r>
      <w:r>
        <w:rPr>
          <w:color w:val="000000"/>
        </w:rPr>
        <w:t>高。学生毕业与学位授予情况处于比较合理的状态，深造率不断提高。毕业生一次性就业率稳定，就业平台较高，就业地域分布合理。2022届毕业生就业率82.98%；毕业生国内升学2人，升学率5.6%，其中考入</w:t>
      </w:r>
      <w:r>
        <w:rPr>
          <w:rFonts w:hint="eastAsia"/>
          <w:color w:val="000000"/>
        </w:rPr>
        <w:t>“</w:t>
      </w:r>
      <w:r>
        <w:rPr>
          <w:color w:val="000000"/>
        </w:rPr>
        <w:t>双一流</w:t>
      </w:r>
      <w:r>
        <w:rPr>
          <w:rFonts w:hint="eastAsia"/>
          <w:color w:val="000000"/>
        </w:rPr>
        <w:t>”</w:t>
      </w:r>
      <w:r>
        <w:rPr>
          <w:color w:val="000000"/>
        </w:rPr>
        <w:t>大学2人，占国内升学总人数的100%，均为本专业升学，升学学校是重庆大学、西安交通大学</w:t>
      </w:r>
      <w:r>
        <w:t>；毕业生国外升学3人，升学率6.38%，从升学专业来看，跨专业升学1人，占国外升学总人数的33.33</w:t>
      </w:r>
      <w:r>
        <w:drawing>
          <wp:inline distT="0" distB="0" distL="0" distR="0">
            <wp:extent cx="66040" cy="116840"/>
            <wp:effectExtent l="0" t="0" r="10160" b="16510"/>
            <wp:docPr id="12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png"/>
                    <pic:cNvPicPr>
                      <a:picLocks noChangeAspect="1"/>
                    </pic:cNvPicPr>
                  </pic:nvPicPr>
                  <pic:blipFill>
                    <a:blip r:embed="rId142" cstate="print"/>
                    <a:stretch>
                      <a:fillRect/>
                    </a:stretch>
                  </pic:blipFill>
                  <pic:spPr>
                    <a:xfrm>
                      <a:off x="0" y="0"/>
                      <a:ext cx="66674" cy="117474"/>
                    </a:xfrm>
                    <a:prstGeom prst="rect">
                      <a:avLst/>
                    </a:prstGeom>
                  </pic:spPr>
                </pic:pic>
              </a:graphicData>
            </a:graphic>
          </wp:inline>
        </w:drawing>
      </w:r>
      <w:r>
        <w:t>。升学学校主要是东进语言学校、诺丁汉大学、利物浦大学等。</w:t>
      </w:r>
    </w:p>
    <w:p>
      <w:pPr>
        <w:ind w:firstLine="480" w:firstLineChars="200"/>
      </w:pPr>
      <w:r>
        <w:t>根据毕业生调查表的反馈信息，用人单位对我校毕业生的总体评价为：综合素质高，专业知识扎实，学习能力强，反应敏捷，动手能力强，有较强的分析和解决问题的能力；勤奋、踏实、谦虚、努力、好学、敬业；团队精神与纪律观念强；毕业生总体质量高，用人单位评价良好。</w:t>
      </w:r>
    </w:p>
    <w:p>
      <w:pPr>
        <w:ind w:firstLine="480" w:firstLineChars="200"/>
      </w:pPr>
      <w:r>
        <w:t>此外，进入天津大学、重庆大学、大连理工大学、华南理工大学、西安建筑科技大学、北京建筑大学、西安交通大学等知名院校继续深造的学生则以厚实的理论知识、严谨的工作作风，同样得到了广泛的认可和好评。目前建筑学专业在读学生对本专业的学习兴趣浓厚，对建筑学专业就业以及进一步深造充满信心。</w:t>
      </w:r>
    </w:p>
    <w:p>
      <w:pPr>
        <w:pStyle w:val="5"/>
        <w:spacing w:before="93" w:after="93"/>
        <w:ind w:firstLine="560"/>
      </w:pPr>
      <w:r>
        <w:t>六、毕业生就业创业（创业情况、采取的措施、典型案例等）</w:t>
      </w:r>
    </w:p>
    <w:p>
      <w:pPr>
        <w:ind w:firstLine="480" w:firstLineChars="200"/>
      </w:pPr>
      <w:r>
        <w:t>为了更好的培养学生的实践活动能力，积极开展</w:t>
      </w:r>
      <w:r>
        <w:rPr>
          <w:rFonts w:hint="eastAsia"/>
        </w:rPr>
        <w:t>“</w:t>
      </w:r>
      <w:r>
        <w:t>大学生社会实践活动</w:t>
      </w:r>
      <w:r>
        <w:rPr>
          <w:rFonts w:hint="eastAsia"/>
        </w:rPr>
        <w:t>”</w:t>
      </w:r>
      <w:r>
        <w:t>、</w:t>
      </w:r>
      <w:r>
        <w:rPr>
          <w:rFonts w:hint="eastAsia"/>
        </w:rPr>
        <w:t>“</w:t>
      </w:r>
      <w:r>
        <w:t>科技活动小组</w:t>
      </w:r>
      <w:r>
        <w:rPr>
          <w:rFonts w:hint="eastAsia"/>
        </w:rPr>
        <w:t>”</w:t>
      </w:r>
      <w:r>
        <w:t>、</w:t>
      </w:r>
      <w:r>
        <w:rPr>
          <w:rFonts w:hint="eastAsia"/>
        </w:rPr>
        <w:t>“</w:t>
      </w:r>
      <w:r>
        <w:t>SRT计划</w:t>
      </w:r>
      <w:r>
        <w:rPr>
          <w:rFonts w:hint="eastAsia"/>
        </w:rPr>
        <w:t>”</w:t>
      </w:r>
      <w:r>
        <w:t>等丰富多彩的第二课堂活动，使学生的语言和文字表达能力、计算机应用能力、调研和分析能力、人际交往能力、谈判与公关能力、生产操作技能、创新能力、组织管理能力、与人合作能力、自学能力和创新能力、创业精神都有了明显的增强。</w:t>
      </w:r>
    </w:p>
    <w:p>
      <w:pPr>
        <w:ind w:firstLine="480" w:firstLineChars="200"/>
      </w:pPr>
      <w:r>
        <w:t>在学生就业方面，学院由团委组织力量专门抓就业工作，我们配合学院团委，在学生毕业前定期召开用人单位招聘会，举办人才市场，吸引用人单位来校与学生座谈，为学生就业广开门路。专业负责人、毕业设计指导教师、班主任在最后一个学年加强学生的就业指导，了解学生的就业意向和思想动态，鼓励学生考研，并介绍用人单位帮助学生就业，成效显著。</w:t>
      </w:r>
    </w:p>
    <w:p>
      <w:pPr>
        <w:ind w:firstLine="480" w:firstLineChars="200"/>
      </w:pPr>
      <w:r>
        <w:t>目前，我们专业已经有七届毕业生，大部分毕业生都进入了较大规模建筑设计单位，从事建筑设计工作，毕业生在专业领域发展良好。2016年考取天津大学研究生的张琮和推免至华南理工大学研究生的孙恺两名同学成功申请到了去台湾知名建筑院校访学的机会。2017届毕业生刘晓君和赵康拿考取澳大利亚世界顶尖级研究学府新南威尔士大学（The University of New South Wales）的研究生，出国留学深造。2018届毕业生张晋浩考取英国曼彻斯特建筑学院研究生，郇潇考取宁波诺丁汉大学研究生。</w:t>
      </w:r>
    </w:p>
    <w:p>
      <w:pPr>
        <w:pStyle w:val="5"/>
        <w:spacing w:before="93" w:after="93"/>
        <w:ind w:firstLine="560"/>
      </w:pPr>
      <w:r>
        <w:t>七、专业发展趋势及建议</w:t>
      </w:r>
    </w:p>
    <w:p>
      <w:pPr>
        <w:ind w:firstLine="480" w:firstLineChars="200"/>
      </w:pPr>
      <w:r>
        <w:t>专业发展趋势：目前建筑学专业获批省一流专业，我们将继续遵循建筑学专业教育发展规律，坚持面向社会行业需求，坚持以高素质应用型人才培养为中心，主动适应国家及区域经济社会发展和科技进步的需要，全面提高办学水平和教育质量，为地方经济建设和社会发展做出更大贡献。</w:t>
      </w:r>
    </w:p>
    <w:p>
      <w:pPr>
        <w:ind w:firstLine="480" w:firstLineChars="200"/>
      </w:pPr>
      <w:r>
        <w:t>建议如下：</w:t>
      </w:r>
    </w:p>
    <w:p>
      <w:pPr>
        <w:keepNext/>
        <w:keepLines/>
        <w:ind w:firstLine="480" w:firstLineChars="200"/>
        <w:outlineLvl w:val="3"/>
        <w:rPr>
          <w:rFonts w:eastAsia="黑体"/>
        </w:rPr>
      </w:pPr>
      <w:r>
        <w:rPr>
          <w:rFonts w:eastAsia="黑体"/>
        </w:rPr>
        <w:t>1、加强课程体系建设，促进专业内涵发展。</w:t>
      </w:r>
    </w:p>
    <w:p>
      <w:pPr>
        <w:ind w:firstLine="480" w:firstLineChars="200"/>
      </w:pPr>
      <w:r>
        <w:t>专业建设以课程体系建设为核心，它直接关系教学质量和学生培养目标的实现。只有通过课程体系建设、教学改革等手段才能推动专业的内涵建设。根据我校建筑学专业培养目标，体现建筑学专业应用型人才培养模式，建筑学专业以制定和修订教学计划为突破口，对建筑学专业本科课程体系进行全面、系统规划。</w:t>
      </w:r>
    </w:p>
    <w:p>
      <w:pPr>
        <w:keepNext/>
        <w:keepLines/>
        <w:ind w:firstLine="480" w:firstLineChars="200"/>
        <w:outlineLvl w:val="3"/>
        <w:rPr>
          <w:rFonts w:eastAsia="黑体"/>
        </w:rPr>
      </w:pPr>
      <w:r>
        <w:rPr>
          <w:rFonts w:eastAsia="黑体"/>
        </w:rPr>
        <w:t>2、完善师资队伍建设，优化专业教学团队。</w:t>
      </w:r>
    </w:p>
    <w:p>
      <w:pPr>
        <w:ind w:firstLine="480" w:firstLineChars="200"/>
      </w:pPr>
      <w:r>
        <w:t>教学质量的提高，关键在教师，没有高素质的教师，一切无从谈起。师资队伍建设和师资结构优化是专业发展的基础，提高教师素质、优化师资结构是今后建筑学专业建设工作的一个重点。根据建筑学专业建设目标的要求，建筑学专业计划采取引进与培养相结合的办法，尽快建立一支满足专业教学需要的专职教师队伍。同时从泰安市和外省等高校、建筑单位聘请，建立一支相对稳定的外聘兼职教师队伍。</w:t>
      </w:r>
    </w:p>
    <w:p>
      <w:pPr>
        <w:keepNext/>
        <w:keepLines/>
        <w:ind w:firstLine="480" w:firstLineChars="200"/>
        <w:outlineLvl w:val="3"/>
        <w:rPr>
          <w:rFonts w:eastAsia="黑体"/>
        </w:rPr>
      </w:pPr>
      <w:r>
        <w:rPr>
          <w:rFonts w:eastAsia="黑体"/>
        </w:rPr>
        <w:t>3、加强教学研究与科学研究，提高办学水平。</w:t>
      </w:r>
    </w:p>
    <w:p>
      <w:pPr>
        <w:ind w:firstLine="480" w:firstLineChars="200"/>
      </w:pPr>
      <w:r>
        <w:t>重视专业教学研究，由建筑学系发起的多专业联合毕业设计教学改革研究与实践教学成果获得省一等奖。同时，积极鼓励教师争取科研项目，支持教师参加培训、进修学习，提高科研水平。加强团队意识，提高核心竞争力，力争今后在现有的基础上有所突破。创造条件有计划地派遣和鼓励在职教师，特别是中青年教师参加各类学术活动，争取科研项目，提高办学水平。</w:t>
      </w:r>
    </w:p>
    <w:p>
      <w:pPr>
        <w:pStyle w:val="5"/>
        <w:spacing w:before="93" w:after="93"/>
        <w:ind w:firstLine="560"/>
      </w:pPr>
      <w:r>
        <w:t>八、人才需求分析</w:t>
      </w:r>
    </w:p>
    <w:p>
      <w:pPr>
        <w:ind w:firstLine="480" w:firstLineChars="200"/>
      </w:pPr>
      <w:r>
        <w:t>随着社会经济的快速发展，我国工程建设任务量较大，对建筑学专业人才的需求较大。另外，建筑科学技术不断进步，如建筑BIM技术、建筑工业化、智慧城市、海绵城市等新技术和新理念要求建筑学专业人才要适应并掌握。由此可见，未来社会对建筑学专业人才的需求较大，而且要求更高。掌握新技术的应用复合型建筑学专业人才将面临更广阔的就业前景。因此，我们会紧跟时代步伐，积极改进教学方法以及人才培养模式，培养高层次的应用复合型建筑学专业人才。</w:t>
      </w:r>
    </w:p>
    <w:p>
      <w:pPr>
        <w:pStyle w:val="5"/>
        <w:spacing w:before="93" w:after="93"/>
        <w:ind w:firstLine="560"/>
      </w:pPr>
      <w:r>
        <w:t>九、存在的问题及整改措施</w:t>
      </w:r>
    </w:p>
    <w:p>
      <w:pPr>
        <w:ind w:firstLine="480" w:firstLineChars="200"/>
      </w:pPr>
      <w:r>
        <w:t>1、人才培养方案需要进一步优化。现代技术的快速发展和建筑学专业毕业生就业去向的多元化，对专业人才培养方案和课程内容提出了新的要求。需要进一步优化人才培养方案，强化专业特色，并注重个性化培养。更加突出毕业生创新创能力的培养。</w:t>
      </w:r>
    </w:p>
    <w:p>
      <w:pPr>
        <w:ind w:firstLine="480" w:firstLineChars="200"/>
      </w:pPr>
      <w:r>
        <w:t>2、师资队伍结构需要优化及实践经验需要扩展。目前还存在现有教师国际交流能力弱、生产经验不足的突出问题。今后，加大引进高素质、高学历、高职称的中青年教育人才力度，同时更应重视现有师资队伍的培养，充分利用双一流重点建设的有利时机选拔一批有培养前途的青年教师到国内外名校访问交流。积极探索与国内外高校合作的有效途径，争取建立长期稳定的教师培养渠道，支持教师进修学习，不断更新知识，优化师队伍结构。鼓励专业教师参与工程实践，成立工作室，并带领学生进行创新创业活动。</w:t>
      </w:r>
    </w:p>
    <w:p>
      <w:pPr>
        <w:ind w:firstLine="480" w:firstLineChars="200"/>
      </w:pPr>
      <w:r>
        <w:t>3、教学条件需要进一步改善。经济社会的快速发展对建筑学专业人才培养提出了更高要求，为适应人才培养模式、课程内容、教学方式方法的改革，教学条件需要进一步改善，实验教学中心和教学基地等管理运行机制需要进一步完善。</w:t>
      </w:r>
    </w:p>
    <w:p>
      <w:r>
        <w:br w:type="page"/>
      </w:r>
    </w:p>
    <w:p>
      <w:pPr>
        <w:pStyle w:val="4"/>
        <w:ind w:firstLine="600"/>
      </w:pPr>
      <w:bookmarkStart w:id="646" w:name="_Toc22048"/>
      <w:r>
        <w:t>专业</w:t>
      </w:r>
      <w:r>
        <w:rPr>
          <w:rFonts w:hint="eastAsia"/>
          <w:lang w:val="en-US"/>
        </w:rPr>
        <w:t>六十六</w:t>
      </w:r>
      <w:r>
        <w:t>：数学与应用数学</w:t>
      </w:r>
      <w:bookmarkEnd w:id="646"/>
    </w:p>
    <w:p>
      <w:pPr>
        <w:pStyle w:val="5"/>
        <w:spacing w:before="93" w:after="93"/>
        <w:ind w:firstLine="560"/>
      </w:pPr>
      <w:bookmarkStart w:id="647" w:name="_Toc12779"/>
      <w:r>
        <w:t>一、培养目标与规格</w:t>
      </w:r>
      <w:bookmarkEnd w:id="647"/>
    </w:p>
    <w:p>
      <w:pPr>
        <w:pStyle w:val="6"/>
        <w:ind w:firstLine="480"/>
      </w:pPr>
      <w:r>
        <w:t>1</w:t>
      </w:r>
      <w:r>
        <w:rPr>
          <w:rFonts w:hint="eastAsia"/>
        </w:rPr>
        <w:t xml:space="preserve">. </w:t>
      </w:r>
      <w:r>
        <w:t>培养目标</w:t>
      </w:r>
    </w:p>
    <w:p>
      <w:pPr>
        <w:ind w:firstLine="480" w:firstLineChars="200"/>
        <w:rPr>
          <w:szCs w:val="24"/>
        </w:rPr>
      </w:pPr>
      <w:r>
        <w:rPr>
          <w:szCs w:val="24"/>
        </w:rPr>
        <w:t>本专业培养良好的数学基础、数学思维及数学应用能力，掌握数学科学的基本理论、基本方法和技能，受到科学研究和创新实践的初步训练，能运用所学数学思想方法、计算机（包括常用语言、工具及一些数学软件）技能和建立数学模型基本能力，解决实际问题中的科学计算和数据处理问题。毕业生可以继续攻读数学类、计算机应用类、经济管理、金融保险等方向的研究生学位，能在科技、教育、信息产业、经济金融等部门从事研究、教学、应用开发和管理工作。</w:t>
      </w:r>
    </w:p>
    <w:p>
      <w:pPr>
        <w:ind w:firstLine="480" w:firstLineChars="200"/>
        <w:rPr>
          <w:szCs w:val="24"/>
        </w:rPr>
      </w:pPr>
      <w:r>
        <w:rPr>
          <w:szCs w:val="24"/>
        </w:rPr>
        <w:t>数学与应用数学专业是山东农业大学一流本科专业。本专业坚持高质量培养标准，始终高度重视本科基础课、方向课、特色课的教学，加强学生对数学思想方法的理解和应用，全面锻炼和培养学生数学分析能力、计算能力、运用数学软件能力及建立数学模型的解决实际问题的能力。通过选择不同方向、不同模块，初步形成了</w:t>
      </w:r>
      <w:r>
        <w:rPr>
          <w:rFonts w:hint="eastAsia"/>
          <w:szCs w:val="24"/>
        </w:rPr>
        <w:t>“</w:t>
      </w:r>
      <w:r>
        <w:rPr>
          <w:szCs w:val="24"/>
        </w:rPr>
        <w:t>施展个性分类培养</w:t>
      </w:r>
      <w:r>
        <w:rPr>
          <w:rFonts w:hint="eastAsia"/>
          <w:szCs w:val="24"/>
        </w:rPr>
        <w:t>”</w:t>
      </w:r>
      <w:r>
        <w:rPr>
          <w:szCs w:val="24"/>
        </w:rPr>
        <w:t>的人才培养模式。本专业培养目标创新型人才（考研占45%）和应用型管理、技术人才（就业占55%）。本专业毕业生经过五年左右的专业学习和工作实践应达到以下目标：</w:t>
      </w:r>
    </w:p>
    <w:p>
      <w:pPr>
        <w:ind w:firstLine="480" w:firstLineChars="200"/>
        <w:rPr>
          <w:szCs w:val="24"/>
        </w:rPr>
      </w:pPr>
      <w:r>
        <w:rPr>
          <w:szCs w:val="24"/>
        </w:rPr>
        <w:t>（1）具有良好的数学基础，具备数学与应用数学学科的基本理论、基本思想和基本方法，能够在相应的学科领域具有开展学术研究和应用研究；</w:t>
      </w:r>
    </w:p>
    <w:p>
      <w:pPr>
        <w:ind w:firstLine="480" w:firstLineChars="200"/>
        <w:rPr>
          <w:szCs w:val="24"/>
        </w:rPr>
      </w:pPr>
      <w:r>
        <w:rPr>
          <w:szCs w:val="24"/>
        </w:rPr>
        <w:t>（2）具有利用各种建模方法建立数学模型与解决实际问题的能力，能够独立解决工作中遇到的数学建模、程序实现问题，具备作为业务骨干带领团队从事工程项目相关问题数学建模的能力；</w:t>
      </w:r>
    </w:p>
    <w:p>
      <w:pPr>
        <w:ind w:firstLine="480" w:firstLineChars="200"/>
        <w:rPr>
          <w:szCs w:val="24"/>
        </w:rPr>
      </w:pPr>
      <w:r>
        <w:rPr>
          <w:szCs w:val="24"/>
        </w:rPr>
        <w:t xml:space="preserve">（3）具有利用常用计算机程序设计语言进行算法设计、算法分析与编程能力、数据分析和展示能力，能够熟练应用数学工具软件和专用软件； </w:t>
      </w:r>
    </w:p>
    <w:p>
      <w:pPr>
        <w:ind w:firstLine="480" w:firstLineChars="200"/>
        <w:rPr>
          <w:szCs w:val="24"/>
        </w:rPr>
      </w:pPr>
      <w:r>
        <w:rPr>
          <w:szCs w:val="24"/>
        </w:rPr>
        <w:t>（4）具有利用现代化手段查询资料、检索文献等科学研究的基本能力，具备较强的知识更新、技术跟踪与创新能力；</w:t>
      </w:r>
    </w:p>
    <w:p>
      <w:pPr>
        <w:ind w:firstLine="480" w:firstLineChars="200"/>
        <w:rPr>
          <w:szCs w:val="24"/>
        </w:rPr>
      </w:pPr>
      <w:r>
        <w:rPr>
          <w:szCs w:val="24"/>
        </w:rPr>
        <w:t>（5）具有跨文化交流与合作能力，能够进行国际数学专业学习和学术交流。</w:t>
      </w:r>
    </w:p>
    <w:p>
      <w:pPr>
        <w:pStyle w:val="6"/>
        <w:ind w:firstLine="480"/>
      </w:pPr>
      <w:r>
        <w:t>2</w:t>
      </w:r>
      <w:r>
        <w:rPr>
          <w:rFonts w:hint="eastAsia"/>
        </w:rPr>
        <w:t xml:space="preserve">. </w:t>
      </w:r>
      <w:r>
        <w:t>培养规格</w:t>
      </w:r>
    </w:p>
    <w:p>
      <w:pPr>
        <w:ind w:firstLine="480" w:firstLineChars="200"/>
        <w:rPr>
          <w:szCs w:val="24"/>
        </w:rPr>
      </w:pPr>
      <w:r>
        <w:rPr>
          <w:szCs w:val="24"/>
        </w:rPr>
        <w:t>（1）基础知识：具有从事数学科研和应用所需要的扎实的数学基本理论、基本方法、基本思想和数学语言表达能力。</w:t>
      </w:r>
    </w:p>
    <w:p>
      <w:pPr>
        <w:ind w:firstLine="480" w:firstLineChars="200"/>
        <w:rPr>
          <w:szCs w:val="24"/>
        </w:rPr>
      </w:pPr>
      <w:r>
        <w:rPr>
          <w:szCs w:val="24"/>
        </w:rPr>
        <w:t>（2）问题分析：具备运用数学基本思想和基本原理识别、表达及分析其它学科或实际应用问题的能力。</w:t>
      </w:r>
    </w:p>
    <w:p>
      <w:pPr>
        <w:ind w:firstLine="480" w:firstLineChars="200"/>
        <w:rPr>
          <w:szCs w:val="24"/>
        </w:rPr>
      </w:pPr>
      <w:r>
        <w:rPr>
          <w:szCs w:val="24"/>
        </w:rPr>
        <w:t>（3）设计建模：具有使用数学理论和数学语言设计建立数学模型的能力，以获得解决一些实际问题的方案。</w:t>
      </w:r>
    </w:p>
    <w:p>
      <w:pPr>
        <w:ind w:firstLine="480" w:firstLineChars="200"/>
        <w:rPr>
          <w:szCs w:val="24"/>
        </w:rPr>
      </w:pPr>
      <w:r>
        <w:rPr>
          <w:szCs w:val="24"/>
        </w:rPr>
        <w:t>（4）研究：具有良好的数学思维和数学创新能力，能够利用现代化手段查询资料、检索文献更新知识，能够对本领域中的新问题进行探索研究。</w:t>
      </w:r>
    </w:p>
    <w:p>
      <w:pPr>
        <w:ind w:firstLine="480" w:firstLineChars="200"/>
        <w:rPr>
          <w:szCs w:val="24"/>
        </w:rPr>
      </w:pPr>
      <w:r>
        <w:rPr>
          <w:szCs w:val="24"/>
        </w:rPr>
        <w:t>（5）工具：具有使用数学工具软件和专用软件的能力，能够运用相应软件对实际问题进行数据分析、算法设计、算法分析及算法模拟。</w:t>
      </w:r>
    </w:p>
    <w:p>
      <w:pPr>
        <w:ind w:firstLine="480" w:firstLineChars="200"/>
        <w:rPr>
          <w:szCs w:val="24"/>
        </w:rPr>
      </w:pPr>
      <w:r>
        <w:rPr>
          <w:szCs w:val="24"/>
        </w:rPr>
        <w:t>（6）社会：具有社会科学的基本知识和人文社会科学素养，具有正确的历史观、世界观、人生观、价值观和社会责任感。</w:t>
      </w:r>
    </w:p>
    <w:p>
      <w:pPr>
        <w:ind w:firstLine="480" w:firstLineChars="200"/>
        <w:rPr>
          <w:szCs w:val="24"/>
        </w:rPr>
      </w:pPr>
      <w:r>
        <w:rPr>
          <w:szCs w:val="24"/>
        </w:rPr>
        <w:t>（7）发展：具有数学对各学科发展基础地位的认识，熟悉数学在生命科学、经济管理、生态环境及自然科学中的相关应用前景。</w:t>
      </w:r>
    </w:p>
    <w:p>
      <w:pPr>
        <w:ind w:firstLine="480" w:firstLineChars="200"/>
        <w:rPr>
          <w:szCs w:val="24"/>
        </w:rPr>
      </w:pPr>
      <w:r>
        <w:rPr>
          <w:szCs w:val="24"/>
        </w:rPr>
        <w:t>（8）职业规范：能够在数学实践及研究中理解并遵守职业道德规范和学术规范，并理解应承担的责任。</w:t>
      </w:r>
    </w:p>
    <w:p>
      <w:pPr>
        <w:ind w:firstLine="480" w:firstLineChars="200"/>
        <w:rPr>
          <w:szCs w:val="24"/>
        </w:rPr>
      </w:pPr>
      <w:r>
        <w:rPr>
          <w:szCs w:val="24"/>
        </w:rPr>
        <w:t>（9）个人和团队：具备独立工作能力和团队合作意识，具有在研究项目中承担个体、团队成员以及负责人的角色的能力。</w:t>
      </w:r>
    </w:p>
    <w:p>
      <w:pPr>
        <w:ind w:firstLine="480" w:firstLineChars="200"/>
        <w:rPr>
          <w:szCs w:val="24"/>
        </w:rPr>
      </w:pPr>
      <w:r>
        <w:rPr>
          <w:szCs w:val="24"/>
        </w:rPr>
        <w:t xml:space="preserve">（10）沟通：能够与业界同行及社会公众进行有效沟通和交流，具备撰写报告和专业论文、陈述发言和概括总结的能力，具备国际视野和跨文化交流的基本能力。 </w:t>
      </w:r>
    </w:p>
    <w:p>
      <w:pPr>
        <w:ind w:firstLine="480" w:firstLineChars="200"/>
        <w:rPr>
          <w:szCs w:val="24"/>
        </w:rPr>
      </w:pPr>
      <w:r>
        <w:rPr>
          <w:szCs w:val="24"/>
        </w:rPr>
        <w:t>（11）管理：理解并掌握管理原理、技巧及决策方法，具备管理学生、团队和研究项目的能力。</w:t>
      </w:r>
    </w:p>
    <w:p>
      <w:pPr>
        <w:ind w:firstLine="480" w:firstLineChars="200"/>
        <w:rPr>
          <w:szCs w:val="24"/>
        </w:rPr>
      </w:pPr>
      <w:r>
        <w:rPr>
          <w:szCs w:val="24"/>
        </w:rPr>
        <w:t>（12）终身学习：具有自主学习和终身学习的意识，有不断学习和适应发展的能力。</w:t>
      </w:r>
    </w:p>
    <w:p>
      <w:pPr>
        <w:pStyle w:val="5"/>
        <w:spacing w:before="93" w:after="93"/>
        <w:ind w:firstLine="560"/>
      </w:pPr>
      <w:bookmarkStart w:id="648" w:name="_Toc23426"/>
      <w:r>
        <w:t>二、培养能力（专业基本情况、在校生规模、课程体系、创新创业教育等）</w:t>
      </w:r>
      <w:bookmarkEnd w:id="648"/>
    </w:p>
    <w:p>
      <w:pPr>
        <w:pStyle w:val="6"/>
        <w:ind w:firstLine="480"/>
      </w:pPr>
      <w:r>
        <w:t>1</w:t>
      </w:r>
      <w:r>
        <w:rPr>
          <w:rFonts w:hint="eastAsia"/>
        </w:rPr>
        <w:t xml:space="preserve">. </w:t>
      </w:r>
      <w:r>
        <w:t>专业设置情况</w:t>
      </w:r>
    </w:p>
    <w:p>
      <w:pPr>
        <w:ind w:firstLine="480" w:firstLineChars="200"/>
        <w:rPr>
          <w:szCs w:val="24"/>
        </w:rPr>
      </w:pPr>
      <w:r>
        <w:rPr>
          <w:szCs w:val="24"/>
        </w:rPr>
        <w:t>数学与应用数学专业于2010年9月开始招生，2020年获批设立数学一级硕士学位点，2020年被批准为山东农业大学一流建设专业。本专业坚持高质量培养标准，因材施教，分类培养（考研与就业），着重加强实践教学，使学生的抽象思维、创新思维、协作精神和知识价值观在实践锻炼中逐步得到提高；通过选择不同方向、不同模块，初步形成了</w:t>
      </w:r>
      <w:r>
        <w:rPr>
          <w:rFonts w:hint="eastAsia"/>
          <w:szCs w:val="24"/>
        </w:rPr>
        <w:t>“</w:t>
      </w:r>
      <w:r>
        <w:rPr>
          <w:szCs w:val="24"/>
        </w:rPr>
        <w:t>施展个性分类培养</w:t>
      </w:r>
      <w:r>
        <w:rPr>
          <w:rFonts w:hint="eastAsia"/>
          <w:szCs w:val="24"/>
        </w:rPr>
        <w:t>”</w:t>
      </w:r>
      <w:r>
        <w:rPr>
          <w:szCs w:val="24"/>
        </w:rPr>
        <w:t>的人才培养模式。专业设置包括三个不同方向：</w:t>
      </w:r>
    </w:p>
    <w:p>
      <w:pPr>
        <w:ind w:firstLine="480" w:firstLineChars="200"/>
        <w:rPr>
          <w:szCs w:val="24"/>
        </w:rPr>
      </w:pPr>
      <w:r>
        <w:rPr>
          <w:szCs w:val="24"/>
        </w:rPr>
        <w:t>应用数学方向：系统学习并掌握数学理论的思想与方法，受到应用数学思维的专门训练，为进一步的专业化发展作好充分准备，具有从事数学与应用数学研究和教学工作的基本能力，具备在企事业单位从事科研、管理、应用等方面的能力。</w:t>
      </w:r>
    </w:p>
    <w:p>
      <w:pPr>
        <w:ind w:firstLine="480" w:firstLineChars="200"/>
        <w:rPr>
          <w:szCs w:val="24"/>
        </w:rPr>
      </w:pPr>
      <w:r>
        <w:rPr>
          <w:szCs w:val="24"/>
        </w:rPr>
        <w:t>应用统计及数据分析方向：系统学习完整的统计基本理论与各专门化理论，熟练使用统计专业软件，能用统计理论和软件解决数据分析、数据建模、数据展示的实际问题，具备在企事业单位从事科研、管理、应用等方面的能力。</w:t>
      </w:r>
    </w:p>
    <w:p>
      <w:pPr>
        <w:ind w:firstLine="480" w:firstLineChars="200"/>
        <w:rPr>
          <w:szCs w:val="24"/>
        </w:rPr>
      </w:pPr>
      <w:r>
        <w:rPr>
          <w:szCs w:val="24"/>
        </w:rPr>
        <w:t>数学建模及应用软件方向：系统学习并掌握数学建模及数学工具软件、应用软件的理论知识和技术开发工具，能熟练使用数学建模的方法和程序设计语言、工具及专用软件，具有计算机软件开发应用及系统集成、调试的能力，具备在企事业单位从事科研、管理、应用等方面的能力。</w:t>
      </w:r>
    </w:p>
    <w:p>
      <w:pPr>
        <w:pStyle w:val="6"/>
        <w:ind w:firstLine="480"/>
      </w:pPr>
      <w:bookmarkStart w:id="649" w:name="_Toc439229110"/>
      <w:bookmarkStart w:id="650" w:name="_Toc439256293"/>
      <w:bookmarkStart w:id="651" w:name="_Toc439254801"/>
      <w:bookmarkStart w:id="652" w:name="_Toc439226893"/>
      <w:r>
        <w:t>2</w:t>
      </w:r>
      <w:r>
        <w:rPr>
          <w:rFonts w:hint="eastAsia"/>
        </w:rPr>
        <w:t xml:space="preserve">. </w:t>
      </w:r>
      <w:r>
        <w:t>在校生规模</w:t>
      </w:r>
      <w:bookmarkEnd w:id="649"/>
      <w:bookmarkEnd w:id="650"/>
      <w:bookmarkEnd w:id="651"/>
      <w:bookmarkEnd w:id="652"/>
    </w:p>
    <w:p>
      <w:pPr>
        <w:ind w:firstLine="480" w:firstLineChars="200"/>
        <w:rPr>
          <w:szCs w:val="24"/>
        </w:rPr>
      </w:pPr>
      <w:r>
        <w:rPr>
          <w:szCs w:val="24"/>
        </w:rPr>
        <w:t>现有在校生4个年级244人，其中2019级51人，2020级48人，2021级48人</w:t>
      </w:r>
      <w:r>
        <w:rPr>
          <w:rFonts w:hint="eastAsia"/>
          <w:szCs w:val="24"/>
          <w:lang w:eastAsia="zh-CN"/>
        </w:rPr>
        <w:t>，</w:t>
      </w:r>
      <w:r>
        <w:rPr>
          <w:szCs w:val="24"/>
        </w:rPr>
        <w:t>2022级97人，（2022级实行数学专业大类招生，目前没有专业分流）。</w:t>
      </w:r>
    </w:p>
    <w:p>
      <w:pPr>
        <w:pStyle w:val="6"/>
        <w:ind w:firstLine="480"/>
      </w:pPr>
      <w:bookmarkStart w:id="653" w:name="_Toc439254802"/>
      <w:bookmarkStart w:id="654" w:name="_Toc439226894"/>
      <w:bookmarkStart w:id="655" w:name="_Toc439229111"/>
      <w:bookmarkStart w:id="656" w:name="_Toc439256294"/>
      <w:r>
        <w:t>3</w:t>
      </w:r>
      <w:r>
        <w:rPr>
          <w:rFonts w:hint="eastAsia"/>
        </w:rPr>
        <w:t xml:space="preserve">. </w:t>
      </w:r>
      <w:r>
        <w:t>课程设置情况</w:t>
      </w:r>
      <w:bookmarkEnd w:id="653"/>
      <w:bookmarkEnd w:id="654"/>
      <w:bookmarkEnd w:id="655"/>
      <w:bookmarkEnd w:id="656"/>
    </w:p>
    <w:p>
      <w:pPr>
        <w:ind w:firstLine="480" w:firstLineChars="200"/>
        <w:rPr>
          <w:szCs w:val="24"/>
        </w:rPr>
      </w:pPr>
      <w:r>
        <w:rPr>
          <w:szCs w:val="24"/>
        </w:rPr>
        <w:t>为适应学分制的要求，目前使用2018年修订的本科人才培养方案，课程与实践共计170学分。其中，必修课总学分107.5、选修课学分31、实践教学学分(含操作性实验课学分和实践学分，其中理论课所含的实验实训学分按所占理论课学时进行换算)41.5，占总学分24.4%。</w:t>
      </w:r>
    </w:p>
    <w:p>
      <w:pPr>
        <w:ind w:firstLine="480" w:firstLineChars="200"/>
        <w:rPr>
          <w:szCs w:val="24"/>
        </w:rPr>
      </w:pPr>
      <w:r>
        <w:rPr>
          <w:szCs w:val="24"/>
        </w:rPr>
        <w:t xml:space="preserve">主要课程包括：主要课程：数学分析、高等代数与解析几何、常微分方程、概率论、数理统计、复变函数、运筹学、实变函数、近世代数、数学软件、数值分析、数学模型、随机过程、大学物理、程序设计A等。 </w:t>
      </w:r>
    </w:p>
    <w:p>
      <w:pPr>
        <w:ind w:firstLine="480" w:firstLineChars="200"/>
        <w:rPr>
          <w:szCs w:val="24"/>
        </w:rPr>
      </w:pPr>
      <w:r>
        <w:rPr>
          <w:szCs w:val="24"/>
        </w:rPr>
        <w:t>主要实践环节包括：程序设计A课程设计、运筹学课程设计、数值分析课程设计、计算机应用综合教学实习、数学模型训练、社会实践与调查报告，毕业实习，毕业论文或毕业设计等。</w:t>
      </w:r>
    </w:p>
    <w:p>
      <w:pPr>
        <w:pStyle w:val="6"/>
        <w:ind w:firstLine="480"/>
      </w:pPr>
      <w:bookmarkStart w:id="657" w:name="_Toc439229112"/>
      <w:bookmarkStart w:id="658" w:name="_Toc439256295"/>
      <w:bookmarkStart w:id="659" w:name="_Toc439226895"/>
      <w:bookmarkStart w:id="660" w:name="_Toc439254803"/>
      <w:r>
        <w:t>4</w:t>
      </w:r>
      <w:r>
        <w:rPr>
          <w:rFonts w:hint="eastAsia"/>
        </w:rPr>
        <w:t xml:space="preserve">. </w:t>
      </w:r>
      <w:r>
        <w:t>创新创业教育</w:t>
      </w:r>
      <w:bookmarkEnd w:id="657"/>
      <w:bookmarkEnd w:id="658"/>
      <w:bookmarkEnd w:id="659"/>
      <w:bookmarkEnd w:id="660"/>
    </w:p>
    <w:p>
      <w:pPr>
        <w:ind w:firstLine="480" w:firstLineChars="200"/>
        <w:rPr>
          <w:szCs w:val="24"/>
        </w:rPr>
      </w:pPr>
      <w:r>
        <w:rPr>
          <w:szCs w:val="24"/>
        </w:rPr>
        <w:t>人才培养方案充分体现对学生创新意识、创新精神、创新能力培养，鼓励学生参加相关的学科竞赛，以赛代练，以赛促学，激发学生的创新能力，使得学生掌握学以致用的能力。依托山东农业大学数学建模培训中心，形成了完备、高效的创新实践培训及赛事组织的机制。近五年，在参加的历届全国大学生数学建模竞赛（MCM）、美国大学生数学建模竞赛（MCM/ICM）、全国大学生数学竞赛（CMC）、全国大学生统计建模竞赛（SUCM）等学科竞赛中成绩优异，获奖500余项，获全国大学生数学建模竞赛银质奖章1人次和优秀指导教师20余人次，连续多年获</w:t>
      </w:r>
      <w:r>
        <w:rPr>
          <w:rFonts w:hint="eastAsia"/>
          <w:szCs w:val="24"/>
        </w:rPr>
        <w:t>“</w:t>
      </w:r>
      <w:r>
        <w:rPr>
          <w:szCs w:val="24"/>
        </w:rPr>
        <w:t>山东省大学生科技节</w:t>
      </w:r>
      <w:r>
        <w:rPr>
          <w:rFonts w:hint="eastAsia"/>
          <w:szCs w:val="24"/>
        </w:rPr>
        <w:t>”</w:t>
      </w:r>
      <w:r>
        <w:rPr>
          <w:szCs w:val="24"/>
        </w:rPr>
        <w:t>优秀组织奖及亚太地区大学生数学建模竞赛优秀组织奖。此外，专业鼓励高年级学生参加老师的科研项目，让学生积极主动的参与到科学研究中去。近年来，学生以第一作者发表学术论文20余篇，其中SCI二区论文10余篇。同时，学校和学院为学生设立创新实践项目和大学生研究训练计划（SRT）60余项，为学生创新能力培养提供了良好条件。在注重创新能力培养的同时，也重视学生创业实践能力培养。实践教学环节共计30余周，目的是加强实践教学环节，培养学生创新创业及动手操作能力，同时加大理论与实践相结合力度。</w:t>
      </w:r>
    </w:p>
    <w:p>
      <w:pPr>
        <w:ind w:firstLine="480" w:firstLineChars="200"/>
        <w:rPr>
          <w:szCs w:val="24"/>
        </w:rPr>
      </w:pPr>
      <w:r>
        <w:rPr>
          <w:szCs w:val="24"/>
        </w:rPr>
        <w:t>本专业重视实践环节的协作，以</w:t>
      </w:r>
      <w:r>
        <w:rPr>
          <w:rFonts w:hint="eastAsia"/>
          <w:szCs w:val="24"/>
        </w:rPr>
        <w:t>“</w:t>
      </w:r>
      <w:r>
        <w:rPr>
          <w:szCs w:val="24"/>
        </w:rPr>
        <w:t>实践+</w:t>
      </w:r>
      <w:r>
        <w:rPr>
          <w:rFonts w:hint="eastAsia"/>
          <w:szCs w:val="24"/>
        </w:rPr>
        <w:t>”</w:t>
      </w:r>
      <w:r>
        <w:rPr>
          <w:szCs w:val="24"/>
        </w:rPr>
        <w:t>为育人模式，按照基础、专业、综合三个层次构建实践教学体系，重视数学知识和计算机技术的应用技能培养。在第一、二学年，通过专业导论、计算机语言、课程设计及建模课程，使学生掌握基础的数学理论、数学软件、编程及应用方法。为了培养学生的创业意识，积累创业经验，学院和系在学生中先后建立6个专业社团和面试协会、大学生启航科技开发公司、大学生数学建模协会、大学生</w:t>
      </w:r>
      <w:r>
        <w:rPr>
          <w:rFonts w:hint="eastAsia"/>
          <w:szCs w:val="24"/>
        </w:rPr>
        <w:t>“</w:t>
      </w:r>
      <w:r>
        <w:rPr>
          <w:szCs w:val="24"/>
        </w:rPr>
        <w:t>眺望者</w:t>
      </w:r>
      <w:r>
        <w:rPr>
          <w:rFonts w:hint="eastAsia"/>
          <w:szCs w:val="24"/>
        </w:rPr>
        <w:t>”</w:t>
      </w:r>
      <w:r>
        <w:rPr>
          <w:szCs w:val="24"/>
        </w:rPr>
        <w:t>电子开发公司等学术组织和创新创业团体。</w:t>
      </w:r>
    </w:p>
    <w:p>
      <w:pPr>
        <w:ind w:firstLine="480" w:firstLineChars="200"/>
        <w:rPr>
          <w:szCs w:val="24"/>
        </w:rPr>
      </w:pPr>
      <w:r>
        <w:rPr>
          <w:szCs w:val="24"/>
        </w:rPr>
        <w:t>本专业实施专业导师和项目组管理制度，高年级学生通过近距离接触最前沿的问题和参与导师的项目研究，提升学生科技创新精神和能力。注重农林学科和现代农业产业的需求，通过实习基地实习、企业家进课堂、参加教师校企合作科研课题研究等形式，着力锻炼学生解决农业新型产业和企业关键技术及农业经济发展问题的能力。同时，在第七、八学期，鼓励学生参加相关信息科技及计算机公司的培训课程，参加实训项目，鼓励学生学以致用，提高个人的动手能力。通过培训和参加相关实训项目，让学生了解公司和企业的管理模式，了解当前的就业环境，就业及发展前景，激发了学生就业、创业的积极性。</w:t>
      </w:r>
    </w:p>
    <w:p>
      <w:pPr>
        <w:pStyle w:val="5"/>
        <w:spacing w:before="93" w:after="93"/>
        <w:ind w:firstLine="560"/>
      </w:pPr>
      <w:bookmarkStart w:id="661" w:name="_Toc15158"/>
      <w:r>
        <w:t>三、培养条件（教学经费投入、教学设备、教师队伍建设、实习基地、现代教学技术应用等）</w:t>
      </w:r>
      <w:bookmarkEnd w:id="661"/>
    </w:p>
    <w:p>
      <w:pPr>
        <w:pStyle w:val="6"/>
        <w:ind w:firstLine="480"/>
      </w:pPr>
      <w:r>
        <w:t>1</w:t>
      </w:r>
      <w:r>
        <w:rPr>
          <w:rFonts w:hint="eastAsia"/>
        </w:rPr>
        <w:t xml:space="preserve">. </w:t>
      </w:r>
      <w:r>
        <w:t>教学经费投入与教学设备</w:t>
      </w:r>
    </w:p>
    <w:p>
      <w:pPr>
        <w:ind w:firstLine="480" w:firstLineChars="200"/>
        <w:rPr>
          <w:szCs w:val="24"/>
        </w:rPr>
      </w:pPr>
      <w:r>
        <w:rPr>
          <w:szCs w:val="24"/>
        </w:rPr>
        <w:t>学校不断加大教学投入，本专业拥有山东农业大学数学建模培训中心，共同建设高性能计算中心、农业大数据中心等教研平台。2022年生均教学运行经费约1000余元，数学与应用数学专业计28.68万元。2022年，应用数学系新增服务器1台、多媒体设备、录课设备、投影仪1台、计算机6台、打印机6台、空调等一批仪器设备，价值30万余元。由于数学与应用数学专业隶属于信息科学与工程学院，本专业可以与学院其他专业共享资源，因此具有学生人均一台计算机及辅助设备供教学实习等使用。此外，随着学校制定教学设备及条件提升计划，对教学投入持续增大，专业的教学办公条件会越来越好。</w:t>
      </w:r>
    </w:p>
    <w:p>
      <w:pPr>
        <w:pStyle w:val="6"/>
        <w:ind w:firstLine="480"/>
      </w:pPr>
      <w:r>
        <w:t>2</w:t>
      </w:r>
      <w:r>
        <w:rPr>
          <w:rFonts w:hint="eastAsia"/>
        </w:rPr>
        <w:t xml:space="preserve">. </w:t>
      </w:r>
      <w:r>
        <w:t>教师队伍建设</w:t>
      </w:r>
    </w:p>
    <w:p>
      <w:pPr>
        <w:ind w:firstLine="480" w:firstLineChars="200"/>
        <w:rPr>
          <w:szCs w:val="24"/>
        </w:rPr>
      </w:pPr>
      <w:r>
        <w:rPr>
          <w:szCs w:val="24"/>
        </w:rPr>
        <w:t>本专业现有专任教师19人，其中教授4人，副教授13人，博士生导师1名，硕士生导师8名。具有博士学位的17人，在读博士1人。近年来，本教学团队先后获</w:t>
      </w:r>
      <w:r>
        <w:rPr>
          <w:rFonts w:hint="eastAsia"/>
          <w:szCs w:val="24"/>
        </w:rPr>
        <w:t>“</w:t>
      </w:r>
      <w:r>
        <w:rPr>
          <w:szCs w:val="24"/>
        </w:rPr>
        <w:t>山东省党建工作标杆院系</w:t>
      </w:r>
      <w:r>
        <w:rPr>
          <w:rFonts w:hint="eastAsia"/>
          <w:szCs w:val="24"/>
        </w:rPr>
        <w:t>”</w:t>
      </w:r>
      <w:r>
        <w:rPr>
          <w:szCs w:val="24"/>
        </w:rPr>
        <w:t>、</w:t>
      </w:r>
      <w:r>
        <w:rPr>
          <w:rFonts w:hint="eastAsia"/>
          <w:szCs w:val="24"/>
        </w:rPr>
        <w:t>“</w:t>
      </w:r>
      <w:r>
        <w:rPr>
          <w:szCs w:val="24"/>
        </w:rPr>
        <w:t>泰山先锋</w:t>
      </w:r>
      <w:r>
        <w:rPr>
          <w:rFonts w:hint="eastAsia"/>
          <w:szCs w:val="24"/>
        </w:rPr>
        <w:t>”</w:t>
      </w:r>
      <w:r>
        <w:rPr>
          <w:szCs w:val="24"/>
        </w:rPr>
        <w:t xml:space="preserve">、 </w:t>
      </w:r>
      <w:r>
        <w:rPr>
          <w:rFonts w:hint="eastAsia"/>
          <w:szCs w:val="24"/>
        </w:rPr>
        <w:t>“</w:t>
      </w:r>
      <w:r>
        <w:rPr>
          <w:szCs w:val="24"/>
        </w:rPr>
        <w:t>教学先锋先进集体</w:t>
      </w:r>
      <w:r>
        <w:rPr>
          <w:rFonts w:hint="eastAsia"/>
          <w:szCs w:val="24"/>
        </w:rPr>
        <w:t>”</w:t>
      </w:r>
      <w:r>
        <w:rPr>
          <w:szCs w:val="24"/>
        </w:rPr>
        <w:t>、</w:t>
      </w:r>
      <w:r>
        <w:rPr>
          <w:rFonts w:hint="eastAsia"/>
          <w:szCs w:val="24"/>
        </w:rPr>
        <w:t>“</w:t>
      </w:r>
      <w:r>
        <w:rPr>
          <w:szCs w:val="24"/>
        </w:rPr>
        <w:t>青年文明号</w:t>
      </w:r>
      <w:r>
        <w:rPr>
          <w:rFonts w:hint="eastAsia"/>
          <w:szCs w:val="24"/>
        </w:rPr>
        <w:t>”</w:t>
      </w:r>
      <w:r>
        <w:rPr>
          <w:szCs w:val="24"/>
        </w:rPr>
        <w:t>、</w:t>
      </w:r>
      <w:r>
        <w:rPr>
          <w:rFonts w:hint="eastAsia"/>
          <w:szCs w:val="24"/>
        </w:rPr>
        <w:t>“</w:t>
      </w:r>
      <w:r>
        <w:rPr>
          <w:szCs w:val="24"/>
        </w:rPr>
        <w:t>青春担当好团队</w:t>
      </w:r>
      <w:r>
        <w:rPr>
          <w:rFonts w:hint="eastAsia"/>
          <w:szCs w:val="24"/>
        </w:rPr>
        <w:t>”</w:t>
      </w:r>
      <w:r>
        <w:rPr>
          <w:szCs w:val="24"/>
        </w:rPr>
        <w:t>等荣誉称号。获国家级教学成果奖二等奖1项、省部级教学成果奖4项，校级教学成果奖多项，主持省部级教改项目2项。获省部级拔尖人才1人次，厅级拔尖人才1人次。学校</w:t>
      </w:r>
      <w:r>
        <w:rPr>
          <w:rFonts w:hint="eastAsia"/>
          <w:szCs w:val="24"/>
        </w:rPr>
        <w:t>“</w:t>
      </w:r>
      <w:r>
        <w:rPr>
          <w:szCs w:val="24"/>
        </w:rPr>
        <w:t>1512</w:t>
      </w:r>
      <w:r>
        <w:rPr>
          <w:rFonts w:hint="eastAsia"/>
          <w:szCs w:val="24"/>
        </w:rPr>
        <w:t>”</w:t>
      </w:r>
      <w:r>
        <w:rPr>
          <w:szCs w:val="24"/>
        </w:rPr>
        <w:t>工程第二层次1人，第三层次4人，第四层次多人。校级优秀教师2人，校</w:t>
      </w:r>
      <w:r>
        <w:rPr>
          <w:rFonts w:hint="eastAsia"/>
          <w:szCs w:val="24"/>
        </w:rPr>
        <w:t>“</w:t>
      </w:r>
      <w:r>
        <w:rPr>
          <w:szCs w:val="24"/>
        </w:rPr>
        <w:t>十佳师德先进个人</w:t>
      </w:r>
      <w:r>
        <w:rPr>
          <w:rFonts w:hint="eastAsia"/>
          <w:szCs w:val="24"/>
        </w:rPr>
        <w:t>”</w:t>
      </w:r>
      <w:r>
        <w:rPr>
          <w:szCs w:val="24"/>
        </w:rPr>
        <w:t>1人次，</w:t>
      </w:r>
      <w:r>
        <w:rPr>
          <w:rFonts w:hint="eastAsia"/>
          <w:szCs w:val="24"/>
        </w:rPr>
        <w:t>“</w:t>
      </w:r>
      <w:r>
        <w:rPr>
          <w:szCs w:val="24"/>
        </w:rPr>
        <w:t>学生心目中的十大优秀教师</w:t>
      </w:r>
      <w:r>
        <w:rPr>
          <w:rFonts w:hint="eastAsia"/>
          <w:szCs w:val="24"/>
        </w:rPr>
        <w:t>”</w:t>
      </w:r>
      <w:r>
        <w:rPr>
          <w:szCs w:val="24"/>
        </w:rPr>
        <w:t>3人次，</w:t>
      </w:r>
      <w:r>
        <w:rPr>
          <w:rFonts w:hint="eastAsia"/>
          <w:szCs w:val="24"/>
        </w:rPr>
        <w:t>“</w:t>
      </w:r>
      <w:r>
        <w:rPr>
          <w:szCs w:val="24"/>
        </w:rPr>
        <w:t>学生心目中的十大优秀教师</w:t>
      </w:r>
      <w:r>
        <w:rPr>
          <w:rFonts w:hint="eastAsia"/>
          <w:szCs w:val="24"/>
        </w:rPr>
        <w:t>”</w:t>
      </w:r>
      <w:r>
        <w:rPr>
          <w:szCs w:val="24"/>
        </w:rPr>
        <w:t>提名奖7人次，</w:t>
      </w:r>
      <w:r>
        <w:rPr>
          <w:rFonts w:hint="eastAsia"/>
          <w:szCs w:val="24"/>
        </w:rPr>
        <w:t>“</w:t>
      </w:r>
      <w:r>
        <w:rPr>
          <w:szCs w:val="24"/>
        </w:rPr>
        <w:t>青年岗位能手标兵</w:t>
      </w:r>
      <w:r>
        <w:rPr>
          <w:rFonts w:hint="eastAsia"/>
          <w:szCs w:val="24"/>
        </w:rPr>
        <w:t>”</w:t>
      </w:r>
      <w:r>
        <w:rPr>
          <w:szCs w:val="24"/>
        </w:rPr>
        <w:t>2人次。省部级教学竞赛获奖12人次，校教学质量一等奖获得者4人次，校青年教师讲课比赛一等奖3人次。</w:t>
      </w:r>
    </w:p>
    <w:p>
      <w:pPr>
        <w:ind w:firstLine="480" w:firstLineChars="200"/>
        <w:rPr>
          <w:szCs w:val="24"/>
        </w:rPr>
      </w:pPr>
      <w:r>
        <w:rPr>
          <w:szCs w:val="24"/>
        </w:rPr>
        <w:t>近年来，本专业教师在《中国科学》、《数学学报》、《数学进展》、《Nonlinear Analysis》、《SIAM Journal of Numerical Analysis》、《Automatica》、《Journal of Scientific Computing》等国内外重要学术期刊上发表论文300余篇，其中被SCI、EI收录160余篇。获国家自然科学基金10余项，省部级自然科学基金30余项，校企合作项目10余项。获山东省自然科学奖二等奖1项，山东省山东省高等学校青创人才引育计划建设团队1项、山东省软科学科学技术奖一等奖1项、山东省大数据创新成果及其它厅级科研奖励10余项。</w:t>
      </w:r>
    </w:p>
    <w:p>
      <w:pPr>
        <w:pStyle w:val="37"/>
        <w:spacing w:beforeLines="0" w:line="400" w:lineRule="exact"/>
        <w:ind w:firstLine="422" w:firstLineChars="200"/>
        <w:rPr>
          <w:b/>
          <w:bCs/>
          <w:szCs w:val="21"/>
        </w:rPr>
      </w:pPr>
      <w:r>
        <w:rPr>
          <w:b/>
          <w:bCs/>
          <w:szCs w:val="21"/>
        </w:rPr>
        <w:t>表 1  专任教师队伍结构</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9"/>
        <w:gridCol w:w="2168"/>
        <w:gridCol w:w="2831"/>
        <w:gridCol w:w="2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4" w:type="pct"/>
            <w:gridSpan w:val="2"/>
            <w:vMerge w:val="restart"/>
            <w:shd w:val="clear" w:color="auto" w:fill="auto"/>
            <w:vAlign w:val="center"/>
          </w:tcPr>
          <w:p>
            <w:pPr>
              <w:snapToGrid w:val="0"/>
              <w:jc w:val="center"/>
              <w:rPr>
                <w:b/>
                <w:bCs/>
                <w:color w:val="000000"/>
                <w:kern w:val="0"/>
                <w:sz w:val="21"/>
                <w:szCs w:val="21"/>
              </w:rPr>
            </w:pPr>
            <w:r>
              <w:rPr>
                <w:b/>
                <w:bCs/>
                <w:color w:val="000000"/>
                <w:kern w:val="0"/>
                <w:sz w:val="21"/>
                <w:szCs w:val="21"/>
              </w:rPr>
              <w:t>总体情况</w:t>
            </w:r>
          </w:p>
        </w:tc>
        <w:tc>
          <w:tcPr>
            <w:tcW w:w="3125" w:type="pct"/>
            <w:gridSpan w:val="2"/>
            <w:shd w:val="clear" w:color="auto" w:fill="auto"/>
            <w:vAlign w:val="center"/>
          </w:tcPr>
          <w:p>
            <w:pPr>
              <w:snapToGrid w:val="0"/>
              <w:jc w:val="center"/>
              <w:rPr>
                <w:b/>
                <w:bCs/>
                <w:color w:val="000000"/>
                <w:kern w:val="0"/>
                <w:sz w:val="21"/>
                <w:szCs w:val="21"/>
              </w:rPr>
            </w:pPr>
            <w:r>
              <w:rPr>
                <w:b/>
                <w:bCs/>
                <w:color w:val="000000"/>
                <w:kern w:val="0"/>
                <w:sz w:val="21"/>
                <w:szCs w:val="21"/>
              </w:rPr>
              <w:t>专任教师人数及比例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4" w:type="pct"/>
            <w:gridSpan w:val="2"/>
            <w:vMerge w:val="continue"/>
            <w:shd w:val="clear" w:color="auto" w:fill="auto"/>
            <w:vAlign w:val="center"/>
          </w:tcPr>
          <w:p>
            <w:pPr>
              <w:snapToGrid w:val="0"/>
              <w:jc w:val="center"/>
              <w:rPr>
                <w:b/>
                <w:bCs/>
                <w:color w:val="000000"/>
                <w:kern w:val="0"/>
                <w:sz w:val="21"/>
                <w:szCs w:val="21"/>
              </w:rPr>
            </w:pPr>
          </w:p>
        </w:tc>
        <w:tc>
          <w:tcPr>
            <w:tcW w:w="1562" w:type="pct"/>
            <w:shd w:val="clear" w:color="auto" w:fill="auto"/>
            <w:vAlign w:val="center"/>
          </w:tcPr>
          <w:p>
            <w:pPr>
              <w:snapToGrid w:val="0"/>
              <w:jc w:val="center"/>
              <w:rPr>
                <w:b/>
                <w:bCs/>
                <w:color w:val="000000"/>
                <w:kern w:val="0"/>
                <w:sz w:val="21"/>
                <w:szCs w:val="21"/>
              </w:rPr>
            </w:pPr>
            <w:r>
              <w:rPr>
                <w:b/>
                <w:bCs/>
                <w:color w:val="000000"/>
                <w:kern w:val="0"/>
                <w:sz w:val="21"/>
                <w:szCs w:val="21"/>
              </w:rPr>
              <w:t>人数</w:t>
            </w:r>
          </w:p>
        </w:tc>
        <w:tc>
          <w:tcPr>
            <w:tcW w:w="1563" w:type="pct"/>
            <w:shd w:val="clear" w:color="auto" w:fill="auto"/>
            <w:vAlign w:val="center"/>
          </w:tcPr>
          <w:p>
            <w:pPr>
              <w:snapToGrid w:val="0"/>
              <w:jc w:val="center"/>
              <w:rPr>
                <w:b/>
                <w:bCs/>
                <w:color w:val="000000"/>
                <w:kern w:val="0"/>
                <w:sz w:val="21"/>
                <w:szCs w:val="21"/>
              </w:rPr>
            </w:pPr>
            <w:r>
              <w:rPr>
                <w:b/>
                <w:bCs/>
                <w:color w:val="000000"/>
                <w:kern w:val="0"/>
                <w:sz w:val="21"/>
                <w:szCs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4" w:type="pct"/>
            <w:gridSpan w:val="2"/>
            <w:vMerge w:val="continue"/>
            <w:tcBorders>
              <w:bottom w:val="single" w:color="auto" w:sz="4" w:space="0"/>
            </w:tcBorders>
            <w:shd w:val="clear" w:color="auto" w:fill="auto"/>
            <w:vAlign w:val="center"/>
          </w:tcPr>
          <w:p>
            <w:pPr>
              <w:snapToGrid w:val="0"/>
              <w:jc w:val="center"/>
              <w:rPr>
                <w:b/>
                <w:bCs/>
                <w:color w:val="000000"/>
                <w:kern w:val="0"/>
                <w:sz w:val="21"/>
                <w:szCs w:val="21"/>
              </w:rPr>
            </w:pPr>
          </w:p>
        </w:tc>
        <w:tc>
          <w:tcPr>
            <w:tcW w:w="1562" w:type="pct"/>
            <w:tcBorders>
              <w:bottom w:val="single" w:color="auto" w:sz="4" w:space="0"/>
            </w:tcBorders>
            <w:shd w:val="clear" w:color="auto" w:fill="auto"/>
            <w:vAlign w:val="center"/>
          </w:tcPr>
          <w:p>
            <w:pPr>
              <w:snapToGrid w:val="0"/>
              <w:jc w:val="center"/>
              <w:rPr>
                <w:b/>
                <w:bCs/>
                <w:color w:val="000000"/>
                <w:kern w:val="0"/>
                <w:sz w:val="21"/>
                <w:szCs w:val="21"/>
              </w:rPr>
            </w:pPr>
            <w:r>
              <w:rPr>
                <w:b/>
                <w:bCs/>
                <w:color w:val="000000"/>
                <w:kern w:val="0"/>
                <w:sz w:val="21"/>
                <w:szCs w:val="21"/>
              </w:rPr>
              <w:t>19</w:t>
            </w:r>
          </w:p>
        </w:tc>
        <w:tc>
          <w:tcPr>
            <w:tcW w:w="1563" w:type="pct"/>
            <w:tcBorders>
              <w:bottom w:val="single" w:color="auto" w:sz="4" w:space="0"/>
            </w:tcBorders>
            <w:shd w:val="clear" w:color="auto" w:fill="auto"/>
            <w:vAlign w:val="center"/>
          </w:tcPr>
          <w:p>
            <w:pPr>
              <w:snapToGrid w:val="0"/>
              <w:jc w:val="center"/>
              <w:rPr>
                <w:b/>
                <w:bCs/>
                <w:color w:val="000000"/>
                <w:kern w:val="0"/>
                <w:sz w:val="21"/>
                <w:szCs w:val="21"/>
              </w:rPr>
            </w:pPr>
            <w:r>
              <w:rPr>
                <w:b/>
                <w:bCs/>
                <w:color w:val="000000"/>
                <w:kern w:val="0"/>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pct"/>
            <w:vMerge w:val="restart"/>
            <w:shd w:val="clear" w:color="auto" w:fill="auto"/>
            <w:vAlign w:val="center"/>
          </w:tcPr>
          <w:p>
            <w:pPr>
              <w:snapToGrid w:val="0"/>
              <w:jc w:val="center"/>
              <w:rPr>
                <w:color w:val="000000"/>
                <w:kern w:val="0"/>
                <w:sz w:val="21"/>
                <w:szCs w:val="21"/>
              </w:rPr>
            </w:pPr>
            <w:r>
              <w:rPr>
                <w:color w:val="000000"/>
                <w:kern w:val="0"/>
                <w:sz w:val="21"/>
                <w:szCs w:val="21"/>
              </w:rPr>
              <w:t>职称</w:t>
            </w:r>
          </w:p>
        </w:tc>
        <w:tc>
          <w:tcPr>
            <w:tcW w:w="1195" w:type="pct"/>
            <w:shd w:val="clear" w:color="auto" w:fill="auto"/>
            <w:vAlign w:val="center"/>
          </w:tcPr>
          <w:p>
            <w:pPr>
              <w:snapToGrid w:val="0"/>
              <w:jc w:val="center"/>
              <w:rPr>
                <w:color w:val="000000"/>
                <w:kern w:val="0"/>
                <w:sz w:val="21"/>
                <w:szCs w:val="21"/>
              </w:rPr>
            </w:pPr>
            <w:r>
              <w:rPr>
                <w:color w:val="000000"/>
                <w:kern w:val="0"/>
                <w:sz w:val="21"/>
                <w:szCs w:val="21"/>
              </w:rPr>
              <w:t>正高级</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4</w:t>
            </w:r>
          </w:p>
        </w:tc>
        <w:tc>
          <w:tcPr>
            <w:tcW w:w="1563" w:type="pct"/>
            <w:shd w:val="clear" w:color="auto" w:fill="auto"/>
          </w:tcPr>
          <w:p>
            <w:pPr>
              <w:snapToGrid w:val="0"/>
              <w:jc w:val="center"/>
              <w:rPr>
                <w:color w:val="000000"/>
                <w:kern w:val="0"/>
                <w:sz w:val="21"/>
                <w:szCs w:val="21"/>
              </w:rPr>
            </w:pPr>
            <w:r>
              <w:rPr>
                <w:color w:val="000000"/>
                <w:kern w:val="0"/>
                <w:sz w:val="21"/>
                <w:szCs w:val="21"/>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pct"/>
            <w:vMerge w:val="continue"/>
            <w:shd w:val="clear" w:color="auto" w:fill="auto"/>
            <w:vAlign w:val="center"/>
          </w:tcPr>
          <w:p>
            <w:pPr>
              <w:snapToGrid w:val="0"/>
              <w:jc w:val="center"/>
              <w:rPr>
                <w:color w:val="000000"/>
                <w:kern w:val="0"/>
                <w:sz w:val="21"/>
                <w:szCs w:val="21"/>
              </w:rPr>
            </w:pPr>
          </w:p>
        </w:tc>
        <w:tc>
          <w:tcPr>
            <w:tcW w:w="1195" w:type="pct"/>
            <w:shd w:val="clear" w:color="auto" w:fill="auto"/>
            <w:vAlign w:val="center"/>
          </w:tcPr>
          <w:p>
            <w:pPr>
              <w:snapToGrid w:val="0"/>
              <w:jc w:val="center"/>
              <w:rPr>
                <w:color w:val="000000"/>
                <w:kern w:val="0"/>
                <w:sz w:val="21"/>
                <w:szCs w:val="21"/>
              </w:rPr>
            </w:pPr>
            <w:r>
              <w:rPr>
                <w:color w:val="000000"/>
                <w:kern w:val="0"/>
                <w:sz w:val="21"/>
                <w:szCs w:val="21"/>
              </w:rPr>
              <w:t>副高级</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13</w:t>
            </w:r>
          </w:p>
        </w:tc>
        <w:tc>
          <w:tcPr>
            <w:tcW w:w="1563" w:type="pct"/>
            <w:shd w:val="clear" w:color="auto" w:fill="auto"/>
          </w:tcPr>
          <w:p>
            <w:pPr>
              <w:snapToGrid w:val="0"/>
              <w:jc w:val="center"/>
              <w:rPr>
                <w:color w:val="000000"/>
                <w:kern w:val="0"/>
                <w:sz w:val="21"/>
                <w:szCs w:val="21"/>
              </w:rPr>
            </w:pPr>
            <w:r>
              <w:rPr>
                <w:color w:val="000000"/>
                <w:kern w:val="0"/>
                <w:sz w:val="21"/>
                <w:szCs w:val="21"/>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pct"/>
            <w:vMerge w:val="continue"/>
            <w:shd w:val="clear" w:color="auto" w:fill="auto"/>
            <w:vAlign w:val="center"/>
          </w:tcPr>
          <w:p>
            <w:pPr>
              <w:snapToGrid w:val="0"/>
              <w:jc w:val="center"/>
              <w:rPr>
                <w:color w:val="000000"/>
                <w:kern w:val="0"/>
                <w:sz w:val="21"/>
                <w:szCs w:val="21"/>
              </w:rPr>
            </w:pPr>
          </w:p>
        </w:tc>
        <w:tc>
          <w:tcPr>
            <w:tcW w:w="1195" w:type="pct"/>
            <w:shd w:val="clear" w:color="auto" w:fill="auto"/>
            <w:vAlign w:val="center"/>
          </w:tcPr>
          <w:p>
            <w:pPr>
              <w:snapToGrid w:val="0"/>
              <w:jc w:val="center"/>
              <w:rPr>
                <w:color w:val="000000"/>
                <w:kern w:val="0"/>
                <w:sz w:val="21"/>
                <w:szCs w:val="21"/>
              </w:rPr>
            </w:pPr>
            <w:r>
              <w:rPr>
                <w:color w:val="000000"/>
                <w:kern w:val="0"/>
                <w:sz w:val="21"/>
                <w:szCs w:val="21"/>
              </w:rPr>
              <w:t>中级</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2</w:t>
            </w:r>
          </w:p>
        </w:tc>
        <w:tc>
          <w:tcPr>
            <w:tcW w:w="1563" w:type="pct"/>
            <w:shd w:val="clear" w:color="auto" w:fill="auto"/>
          </w:tcPr>
          <w:p>
            <w:pPr>
              <w:snapToGrid w:val="0"/>
              <w:jc w:val="center"/>
              <w:rPr>
                <w:color w:val="000000"/>
                <w:kern w:val="0"/>
                <w:sz w:val="21"/>
                <w:szCs w:val="21"/>
              </w:rPr>
            </w:pPr>
            <w:r>
              <w:rPr>
                <w:color w:val="000000"/>
                <w:kern w:val="0"/>
                <w:sz w:val="21"/>
                <w:szCs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pct"/>
            <w:vMerge w:val="restart"/>
            <w:shd w:val="clear" w:color="auto" w:fill="auto"/>
            <w:vAlign w:val="center"/>
          </w:tcPr>
          <w:p>
            <w:pPr>
              <w:snapToGrid w:val="0"/>
              <w:jc w:val="center"/>
              <w:rPr>
                <w:color w:val="000000"/>
                <w:kern w:val="0"/>
                <w:sz w:val="21"/>
                <w:szCs w:val="21"/>
              </w:rPr>
            </w:pPr>
            <w:r>
              <w:rPr>
                <w:color w:val="000000"/>
                <w:kern w:val="0"/>
                <w:sz w:val="21"/>
                <w:szCs w:val="21"/>
              </w:rPr>
              <w:t>学位</w:t>
            </w:r>
          </w:p>
        </w:tc>
        <w:tc>
          <w:tcPr>
            <w:tcW w:w="1195" w:type="pct"/>
            <w:shd w:val="clear" w:color="auto" w:fill="auto"/>
            <w:vAlign w:val="center"/>
          </w:tcPr>
          <w:p>
            <w:pPr>
              <w:snapToGrid w:val="0"/>
              <w:jc w:val="center"/>
              <w:rPr>
                <w:color w:val="000000"/>
                <w:kern w:val="0"/>
                <w:sz w:val="21"/>
                <w:szCs w:val="21"/>
              </w:rPr>
            </w:pPr>
            <w:r>
              <w:rPr>
                <w:color w:val="000000"/>
                <w:kern w:val="0"/>
                <w:sz w:val="21"/>
                <w:szCs w:val="21"/>
              </w:rPr>
              <w:t>博士</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17</w:t>
            </w:r>
          </w:p>
        </w:tc>
        <w:tc>
          <w:tcPr>
            <w:tcW w:w="1563" w:type="pct"/>
            <w:shd w:val="clear" w:color="auto" w:fill="auto"/>
          </w:tcPr>
          <w:p>
            <w:pPr>
              <w:snapToGrid w:val="0"/>
              <w:jc w:val="center"/>
              <w:rPr>
                <w:color w:val="000000"/>
                <w:kern w:val="0"/>
                <w:sz w:val="21"/>
                <w:szCs w:val="21"/>
              </w:rPr>
            </w:pPr>
            <w:r>
              <w:rPr>
                <w:color w:val="000000"/>
                <w:kern w:val="0"/>
                <w:sz w:val="21"/>
                <w:szCs w:val="21"/>
              </w:rPr>
              <w:t>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pct"/>
            <w:vMerge w:val="continue"/>
            <w:shd w:val="clear" w:color="auto" w:fill="auto"/>
            <w:vAlign w:val="center"/>
          </w:tcPr>
          <w:p>
            <w:pPr>
              <w:snapToGrid w:val="0"/>
              <w:jc w:val="center"/>
              <w:rPr>
                <w:color w:val="000000"/>
                <w:kern w:val="0"/>
                <w:sz w:val="21"/>
                <w:szCs w:val="21"/>
              </w:rPr>
            </w:pPr>
          </w:p>
        </w:tc>
        <w:tc>
          <w:tcPr>
            <w:tcW w:w="1195" w:type="pct"/>
            <w:shd w:val="clear" w:color="auto" w:fill="auto"/>
            <w:vAlign w:val="center"/>
          </w:tcPr>
          <w:p>
            <w:pPr>
              <w:snapToGrid w:val="0"/>
              <w:jc w:val="center"/>
              <w:rPr>
                <w:color w:val="000000"/>
                <w:kern w:val="0"/>
                <w:sz w:val="21"/>
                <w:szCs w:val="21"/>
              </w:rPr>
            </w:pPr>
            <w:r>
              <w:rPr>
                <w:color w:val="000000"/>
                <w:kern w:val="0"/>
                <w:sz w:val="21"/>
                <w:szCs w:val="21"/>
              </w:rPr>
              <w:t>硕士</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2</w:t>
            </w:r>
          </w:p>
        </w:tc>
        <w:tc>
          <w:tcPr>
            <w:tcW w:w="1563" w:type="pct"/>
            <w:shd w:val="clear" w:color="auto" w:fill="auto"/>
          </w:tcPr>
          <w:p>
            <w:pPr>
              <w:snapToGrid w:val="0"/>
              <w:jc w:val="center"/>
              <w:rPr>
                <w:color w:val="000000"/>
                <w:kern w:val="0"/>
                <w:sz w:val="21"/>
                <w:szCs w:val="21"/>
              </w:rPr>
            </w:pPr>
            <w:r>
              <w:rPr>
                <w:color w:val="000000"/>
                <w:kern w:val="0"/>
                <w:sz w:val="21"/>
                <w:szCs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pct"/>
            <w:vMerge w:val="restart"/>
            <w:shd w:val="clear" w:color="auto" w:fill="auto"/>
            <w:vAlign w:val="center"/>
          </w:tcPr>
          <w:p>
            <w:pPr>
              <w:snapToGrid w:val="0"/>
              <w:jc w:val="center"/>
              <w:rPr>
                <w:color w:val="000000"/>
                <w:kern w:val="0"/>
                <w:sz w:val="21"/>
                <w:szCs w:val="21"/>
              </w:rPr>
            </w:pPr>
            <w:r>
              <w:rPr>
                <w:color w:val="000000"/>
                <w:kern w:val="0"/>
                <w:sz w:val="21"/>
                <w:szCs w:val="21"/>
              </w:rPr>
              <w:t>年龄</w:t>
            </w:r>
          </w:p>
        </w:tc>
        <w:tc>
          <w:tcPr>
            <w:tcW w:w="1195" w:type="pct"/>
            <w:shd w:val="clear" w:color="auto" w:fill="auto"/>
            <w:vAlign w:val="center"/>
          </w:tcPr>
          <w:p>
            <w:pPr>
              <w:snapToGrid w:val="0"/>
              <w:jc w:val="center"/>
              <w:rPr>
                <w:color w:val="000000"/>
                <w:kern w:val="0"/>
                <w:sz w:val="21"/>
                <w:szCs w:val="21"/>
              </w:rPr>
            </w:pPr>
            <w:r>
              <w:rPr>
                <w:color w:val="000000"/>
                <w:kern w:val="0"/>
                <w:sz w:val="21"/>
                <w:szCs w:val="21"/>
              </w:rPr>
              <w:t>35岁及以下</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4</w:t>
            </w:r>
          </w:p>
        </w:tc>
        <w:tc>
          <w:tcPr>
            <w:tcW w:w="1563" w:type="pct"/>
            <w:shd w:val="clear" w:color="auto" w:fill="auto"/>
          </w:tcPr>
          <w:p>
            <w:pPr>
              <w:snapToGrid w:val="0"/>
              <w:jc w:val="center"/>
              <w:rPr>
                <w:color w:val="000000"/>
                <w:kern w:val="0"/>
                <w:sz w:val="21"/>
                <w:szCs w:val="21"/>
              </w:rPr>
            </w:pPr>
            <w:r>
              <w:rPr>
                <w:color w:val="000000"/>
                <w:kern w:val="0"/>
                <w:sz w:val="21"/>
                <w:szCs w:val="21"/>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pct"/>
            <w:vMerge w:val="continue"/>
            <w:shd w:val="clear" w:color="auto" w:fill="auto"/>
            <w:vAlign w:val="center"/>
          </w:tcPr>
          <w:p>
            <w:pPr>
              <w:snapToGrid w:val="0"/>
              <w:jc w:val="center"/>
              <w:rPr>
                <w:color w:val="000000"/>
                <w:kern w:val="0"/>
                <w:sz w:val="21"/>
                <w:szCs w:val="21"/>
              </w:rPr>
            </w:pPr>
          </w:p>
        </w:tc>
        <w:tc>
          <w:tcPr>
            <w:tcW w:w="1195" w:type="pct"/>
            <w:shd w:val="clear" w:color="auto" w:fill="auto"/>
            <w:vAlign w:val="center"/>
          </w:tcPr>
          <w:p>
            <w:pPr>
              <w:snapToGrid w:val="0"/>
              <w:jc w:val="center"/>
              <w:rPr>
                <w:kern w:val="0"/>
                <w:sz w:val="21"/>
                <w:szCs w:val="21"/>
              </w:rPr>
            </w:pPr>
            <w:r>
              <w:rPr>
                <w:kern w:val="0"/>
                <w:sz w:val="21"/>
                <w:szCs w:val="21"/>
              </w:rPr>
              <w:t>36-45岁</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10</w:t>
            </w:r>
          </w:p>
        </w:tc>
        <w:tc>
          <w:tcPr>
            <w:tcW w:w="1563" w:type="pct"/>
            <w:shd w:val="clear" w:color="auto" w:fill="auto"/>
          </w:tcPr>
          <w:p>
            <w:pPr>
              <w:snapToGrid w:val="0"/>
              <w:jc w:val="center"/>
              <w:rPr>
                <w:color w:val="000000"/>
                <w:kern w:val="0"/>
                <w:sz w:val="21"/>
                <w:szCs w:val="21"/>
              </w:rPr>
            </w:pPr>
            <w:r>
              <w:rPr>
                <w:color w:val="000000"/>
                <w:kern w:val="0"/>
                <w:sz w:val="21"/>
                <w:szCs w:val="21"/>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pct"/>
            <w:vMerge w:val="continue"/>
            <w:shd w:val="clear" w:color="auto" w:fill="auto"/>
            <w:vAlign w:val="center"/>
          </w:tcPr>
          <w:p>
            <w:pPr>
              <w:snapToGrid w:val="0"/>
              <w:jc w:val="center"/>
              <w:rPr>
                <w:color w:val="000000"/>
                <w:kern w:val="0"/>
                <w:sz w:val="21"/>
                <w:szCs w:val="21"/>
              </w:rPr>
            </w:pPr>
          </w:p>
        </w:tc>
        <w:tc>
          <w:tcPr>
            <w:tcW w:w="1195" w:type="pct"/>
            <w:shd w:val="clear" w:color="auto" w:fill="auto"/>
            <w:vAlign w:val="center"/>
          </w:tcPr>
          <w:p>
            <w:pPr>
              <w:snapToGrid w:val="0"/>
              <w:jc w:val="center"/>
              <w:rPr>
                <w:kern w:val="0"/>
                <w:sz w:val="21"/>
                <w:szCs w:val="21"/>
              </w:rPr>
            </w:pPr>
            <w:r>
              <w:rPr>
                <w:kern w:val="0"/>
                <w:sz w:val="21"/>
                <w:szCs w:val="21"/>
              </w:rPr>
              <w:t>46-55岁</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4</w:t>
            </w:r>
          </w:p>
        </w:tc>
        <w:tc>
          <w:tcPr>
            <w:tcW w:w="1563" w:type="pct"/>
            <w:shd w:val="clear" w:color="auto" w:fill="auto"/>
          </w:tcPr>
          <w:p>
            <w:pPr>
              <w:snapToGrid w:val="0"/>
              <w:jc w:val="center"/>
              <w:rPr>
                <w:color w:val="000000"/>
                <w:kern w:val="0"/>
                <w:sz w:val="21"/>
                <w:szCs w:val="21"/>
              </w:rPr>
            </w:pPr>
            <w:r>
              <w:rPr>
                <w:color w:val="000000"/>
                <w:kern w:val="0"/>
                <w:sz w:val="21"/>
                <w:szCs w:val="21"/>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pct"/>
            <w:vMerge w:val="continue"/>
            <w:shd w:val="clear" w:color="auto" w:fill="auto"/>
            <w:vAlign w:val="center"/>
          </w:tcPr>
          <w:p>
            <w:pPr>
              <w:snapToGrid w:val="0"/>
              <w:jc w:val="center"/>
              <w:rPr>
                <w:color w:val="000000"/>
                <w:kern w:val="0"/>
                <w:sz w:val="21"/>
                <w:szCs w:val="21"/>
              </w:rPr>
            </w:pPr>
          </w:p>
        </w:tc>
        <w:tc>
          <w:tcPr>
            <w:tcW w:w="1195" w:type="pct"/>
            <w:shd w:val="clear" w:color="auto" w:fill="auto"/>
            <w:vAlign w:val="center"/>
          </w:tcPr>
          <w:p>
            <w:pPr>
              <w:snapToGrid w:val="0"/>
              <w:jc w:val="center"/>
              <w:rPr>
                <w:color w:val="000000"/>
                <w:kern w:val="0"/>
                <w:sz w:val="21"/>
                <w:szCs w:val="21"/>
              </w:rPr>
            </w:pPr>
            <w:r>
              <w:rPr>
                <w:color w:val="000000"/>
                <w:kern w:val="0"/>
                <w:sz w:val="21"/>
                <w:szCs w:val="21"/>
              </w:rPr>
              <w:t>56岁及以上</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1</w:t>
            </w:r>
          </w:p>
        </w:tc>
        <w:tc>
          <w:tcPr>
            <w:tcW w:w="1563" w:type="pct"/>
            <w:shd w:val="clear" w:color="auto" w:fill="auto"/>
          </w:tcPr>
          <w:p>
            <w:pPr>
              <w:snapToGrid w:val="0"/>
              <w:jc w:val="center"/>
              <w:rPr>
                <w:color w:val="000000"/>
                <w:kern w:val="0"/>
                <w:sz w:val="21"/>
                <w:szCs w:val="21"/>
              </w:rPr>
            </w:pPr>
            <w:r>
              <w:rPr>
                <w:color w:val="000000"/>
                <w:kern w:val="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pct"/>
            <w:vMerge w:val="restart"/>
            <w:shd w:val="clear" w:color="auto" w:fill="auto"/>
            <w:vAlign w:val="center"/>
          </w:tcPr>
          <w:p>
            <w:pPr>
              <w:snapToGrid w:val="0"/>
              <w:jc w:val="center"/>
              <w:rPr>
                <w:color w:val="000000"/>
                <w:kern w:val="0"/>
                <w:sz w:val="21"/>
                <w:szCs w:val="21"/>
              </w:rPr>
            </w:pPr>
            <w:r>
              <w:rPr>
                <w:color w:val="000000"/>
                <w:kern w:val="0"/>
                <w:sz w:val="21"/>
                <w:szCs w:val="21"/>
              </w:rPr>
              <w:t>学缘</w:t>
            </w:r>
          </w:p>
        </w:tc>
        <w:tc>
          <w:tcPr>
            <w:tcW w:w="1195" w:type="pct"/>
            <w:shd w:val="clear" w:color="auto" w:fill="auto"/>
            <w:vAlign w:val="center"/>
          </w:tcPr>
          <w:p>
            <w:pPr>
              <w:snapToGrid w:val="0"/>
              <w:jc w:val="center"/>
              <w:rPr>
                <w:color w:val="000000"/>
                <w:kern w:val="0"/>
                <w:sz w:val="21"/>
                <w:szCs w:val="21"/>
              </w:rPr>
            </w:pPr>
            <w:r>
              <w:rPr>
                <w:color w:val="000000"/>
                <w:kern w:val="0"/>
                <w:sz w:val="21"/>
                <w:szCs w:val="21"/>
              </w:rPr>
              <w:t>本校</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1</w:t>
            </w:r>
          </w:p>
        </w:tc>
        <w:tc>
          <w:tcPr>
            <w:tcW w:w="1563" w:type="pct"/>
            <w:shd w:val="clear" w:color="auto" w:fill="auto"/>
          </w:tcPr>
          <w:p>
            <w:pPr>
              <w:snapToGrid w:val="0"/>
              <w:jc w:val="center"/>
              <w:rPr>
                <w:color w:val="000000"/>
                <w:kern w:val="0"/>
                <w:sz w:val="21"/>
                <w:szCs w:val="21"/>
              </w:rPr>
            </w:pPr>
            <w:r>
              <w:rPr>
                <w:color w:val="000000"/>
                <w:kern w:val="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pct"/>
            <w:vMerge w:val="continue"/>
            <w:shd w:val="clear" w:color="auto" w:fill="auto"/>
            <w:vAlign w:val="center"/>
          </w:tcPr>
          <w:p>
            <w:pPr>
              <w:snapToGrid w:val="0"/>
              <w:jc w:val="center"/>
              <w:rPr>
                <w:color w:val="000000"/>
                <w:kern w:val="0"/>
                <w:sz w:val="21"/>
                <w:szCs w:val="21"/>
              </w:rPr>
            </w:pPr>
          </w:p>
        </w:tc>
        <w:tc>
          <w:tcPr>
            <w:tcW w:w="1195" w:type="pct"/>
            <w:shd w:val="clear" w:color="auto" w:fill="auto"/>
            <w:vAlign w:val="center"/>
          </w:tcPr>
          <w:p>
            <w:pPr>
              <w:snapToGrid w:val="0"/>
              <w:jc w:val="center"/>
              <w:rPr>
                <w:color w:val="000000"/>
                <w:kern w:val="0"/>
                <w:sz w:val="21"/>
                <w:szCs w:val="21"/>
              </w:rPr>
            </w:pPr>
            <w:r>
              <w:rPr>
                <w:color w:val="000000"/>
                <w:kern w:val="0"/>
                <w:sz w:val="21"/>
                <w:szCs w:val="21"/>
              </w:rPr>
              <w:t>外校</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18</w:t>
            </w:r>
          </w:p>
        </w:tc>
        <w:tc>
          <w:tcPr>
            <w:tcW w:w="1563" w:type="pct"/>
            <w:shd w:val="clear" w:color="auto" w:fill="auto"/>
          </w:tcPr>
          <w:p>
            <w:pPr>
              <w:snapToGrid w:val="0"/>
              <w:jc w:val="center"/>
              <w:rPr>
                <w:sz w:val="21"/>
                <w:szCs w:val="21"/>
              </w:rPr>
            </w:pPr>
            <w:r>
              <w:rPr>
                <w:color w:val="000000"/>
                <w:kern w:val="0"/>
                <w:sz w:val="21"/>
                <w:szCs w:val="21"/>
              </w:rPr>
              <w:t>95%</w:t>
            </w:r>
          </w:p>
        </w:tc>
      </w:tr>
    </w:tbl>
    <w:p>
      <w:pPr>
        <w:ind w:firstLine="480" w:firstLineChars="200"/>
        <w:rPr>
          <w:szCs w:val="24"/>
        </w:rPr>
      </w:pPr>
      <w:r>
        <w:rPr>
          <w:szCs w:val="24"/>
        </w:rPr>
        <w:t>通过多年的建设与积累，数学与应用数学专业教师队伍在学历结构、职称结构、年龄结构、学缘结构等方面日趋合理，教学能力和科研水平方面有较大的提高，基本能满足专业自身发展的需要，现阶段正在不断的补充与加强。</w:t>
      </w:r>
    </w:p>
    <w:p>
      <w:pPr>
        <w:ind w:firstLine="480" w:firstLineChars="200"/>
        <w:rPr>
          <w:szCs w:val="24"/>
        </w:rPr>
      </w:pPr>
      <w:r>
        <w:rPr>
          <w:szCs w:val="24"/>
        </w:rPr>
        <w:t>为提高专业建设与教学质量，本专业一直注重青年教师的培养和发展。建立课程教学组，实行课程组主任负责制。将相同课程的任课教师组织在一起，每两周开展一次集体备课活动，取长补短，共同探讨能够提升教学质量的教学方法；建立新进教师助教制和青年教师导师制，新进教师第一年全程听课，发挥老教师的传、帮、带作用，年轻教师跟随教学经验丰富老教师听课、答疑、期中观摩教学，在每个学期的老教师每人举行观摩教学1次，言传身教、观摩学习，老师间相互交流心得体会；另外，为了帮助教师实现职业发展、提高教师的专业水平，本专业鼓励教师到国内外著名高校和研究机构进行学位提升和学术访问，参加一些重要的学术交流和培训，更新知识、跟踪学科发展前沿，提高学术研究水平和能力。近年来，国外交流访问8人次，国内交流访问4人次，多名教师通过在职攻读拿到博士学位。</w:t>
      </w:r>
    </w:p>
    <w:p>
      <w:pPr>
        <w:pStyle w:val="6"/>
        <w:ind w:firstLine="480"/>
      </w:pPr>
      <w:r>
        <w:t>3</w:t>
      </w:r>
      <w:r>
        <w:rPr>
          <w:rFonts w:hint="eastAsia"/>
        </w:rPr>
        <w:t xml:space="preserve">. </w:t>
      </w:r>
      <w:r>
        <w:t>实习基地建设</w:t>
      </w:r>
    </w:p>
    <w:p>
      <w:pPr>
        <w:ind w:firstLine="480" w:firstLineChars="200"/>
        <w:rPr>
          <w:szCs w:val="24"/>
        </w:rPr>
      </w:pPr>
      <w:r>
        <w:rPr>
          <w:szCs w:val="24"/>
        </w:rPr>
        <w:t>实习基地建设是对提高人才培养质量的重要支撑。校内，本专业学生科参加数学软件实验室、数学建模实验室、大学生创新创业工作室等提高自己的思维和创新能力。校外，通过我院近年的不断努力，现有校外的15个实习基地可供本专业实习，其中规模较大、专业对口的有北京京软国际教育科技有限公司、惠普—济宁产业基地、济南达内软件有限公司、泰安东华合创软件有限公司及杰普软件科普有限公司等。详见表2。</w:t>
      </w:r>
    </w:p>
    <w:p>
      <w:pPr>
        <w:snapToGrid w:val="0"/>
        <w:jc w:val="center"/>
        <w:rPr>
          <w:b/>
          <w:bCs/>
          <w:color w:val="000000"/>
          <w:kern w:val="0"/>
          <w:sz w:val="21"/>
          <w:szCs w:val="21"/>
        </w:rPr>
      </w:pPr>
      <w:r>
        <w:rPr>
          <w:b/>
          <w:bCs/>
          <w:color w:val="000000"/>
          <w:kern w:val="0"/>
          <w:sz w:val="21"/>
          <w:szCs w:val="21"/>
        </w:rPr>
        <w:t>表2  数学与应用数学专业实习基地统计表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6"/>
        <w:gridCol w:w="3785"/>
        <w:gridCol w:w="4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0" w:hRule="atLeast"/>
          <w:jc w:val="center"/>
        </w:trPr>
        <w:tc>
          <w:tcPr>
            <w:tcW w:w="649" w:type="pct"/>
            <w:tcBorders>
              <w:top w:val="single" w:color="auto" w:sz="4" w:space="0"/>
              <w:left w:val="single" w:color="auto" w:sz="4" w:space="0"/>
              <w:bottom w:val="single" w:color="auto" w:sz="4" w:space="0"/>
              <w:right w:val="single" w:color="auto" w:sz="4" w:space="0"/>
            </w:tcBorders>
            <w:vAlign w:val="center"/>
          </w:tcPr>
          <w:p>
            <w:pPr>
              <w:snapToGrid w:val="0"/>
              <w:jc w:val="center"/>
              <w:rPr>
                <w:b/>
                <w:bCs/>
                <w:color w:val="000000"/>
                <w:kern w:val="0"/>
                <w:sz w:val="21"/>
                <w:szCs w:val="21"/>
              </w:rPr>
            </w:pPr>
            <w:r>
              <w:rPr>
                <w:b/>
                <w:bCs/>
                <w:color w:val="000000"/>
                <w:kern w:val="0"/>
                <w:sz w:val="21"/>
                <w:szCs w:val="21"/>
              </w:rPr>
              <w:t>序号</w:t>
            </w:r>
          </w:p>
        </w:tc>
        <w:tc>
          <w:tcPr>
            <w:tcW w:w="2089" w:type="pct"/>
            <w:tcBorders>
              <w:top w:val="single" w:color="auto" w:sz="4" w:space="0"/>
              <w:left w:val="single" w:color="auto" w:sz="4" w:space="0"/>
              <w:bottom w:val="single" w:color="auto" w:sz="4" w:space="0"/>
              <w:right w:val="single" w:color="auto" w:sz="4" w:space="0"/>
            </w:tcBorders>
            <w:vAlign w:val="center"/>
          </w:tcPr>
          <w:p>
            <w:pPr>
              <w:snapToGrid w:val="0"/>
              <w:jc w:val="center"/>
              <w:rPr>
                <w:b/>
                <w:bCs/>
                <w:color w:val="000000"/>
                <w:kern w:val="0"/>
                <w:sz w:val="21"/>
                <w:szCs w:val="21"/>
              </w:rPr>
            </w:pPr>
            <w:r>
              <w:rPr>
                <w:b/>
                <w:bCs/>
                <w:color w:val="000000"/>
                <w:kern w:val="0"/>
                <w:sz w:val="21"/>
                <w:szCs w:val="21"/>
              </w:rPr>
              <w:t>名称</w:t>
            </w:r>
          </w:p>
        </w:tc>
        <w:tc>
          <w:tcPr>
            <w:tcW w:w="2261" w:type="pct"/>
            <w:tcBorders>
              <w:top w:val="single" w:color="auto" w:sz="4" w:space="0"/>
              <w:left w:val="single" w:color="auto" w:sz="4" w:space="0"/>
              <w:bottom w:val="single" w:color="auto" w:sz="4" w:space="0"/>
              <w:right w:val="single" w:color="auto" w:sz="4" w:space="0"/>
            </w:tcBorders>
            <w:vAlign w:val="center"/>
          </w:tcPr>
          <w:p>
            <w:pPr>
              <w:snapToGrid w:val="0"/>
              <w:jc w:val="center"/>
              <w:rPr>
                <w:b/>
                <w:bCs/>
                <w:color w:val="000000"/>
                <w:kern w:val="0"/>
                <w:sz w:val="21"/>
                <w:szCs w:val="21"/>
              </w:rPr>
            </w:pPr>
            <w:r>
              <w:rPr>
                <w:b/>
                <w:bCs/>
                <w:color w:val="000000"/>
                <w:kern w:val="0"/>
                <w:sz w:val="21"/>
                <w:szCs w:val="21"/>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649"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1</w:t>
            </w:r>
          </w:p>
        </w:tc>
        <w:tc>
          <w:tcPr>
            <w:tcW w:w="2089"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山东众志电子有限公司（泰安）</w:t>
            </w:r>
          </w:p>
        </w:tc>
        <w:tc>
          <w:tcPr>
            <w:tcW w:w="2261"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山东泰安市高新区南天门大街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649"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2</w:t>
            </w:r>
          </w:p>
        </w:tc>
        <w:tc>
          <w:tcPr>
            <w:tcW w:w="2089"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杰普软件科技有限公司</w:t>
            </w:r>
          </w:p>
        </w:tc>
        <w:tc>
          <w:tcPr>
            <w:tcW w:w="2261"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昆山市巴城镇学院路828号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649"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3</w:t>
            </w:r>
          </w:p>
        </w:tc>
        <w:tc>
          <w:tcPr>
            <w:tcW w:w="2089"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山东浪潮优派科技教育有限公司</w:t>
            </w:r>
          </w:p>
        </w:tc>
        <w:tc>
          <w:tcPr>
            <w:tcW w:w="2261"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山东济南市高新区春暄路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649"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4</w:t>
            </w:r>
          </w:p>
        </w:tc>
        <w:tc>
          <w:tcPr>
            <w:tcW w:w="2089"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济南达内软件有限公司</w:t>
            </w:r>
          </w:p>
        </w:tc>
        <w:tc>
          <w:tcPr>
            <w:tcW w:w="2261"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山东济南市山大路47号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649"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5</w:t>
            </w:r>
          </w:p>
        </w:tc>
        <w:tc>
          <w:tcPr>
            <w:tcW w:w="2089"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泰安东华合创软件有限公司</w:t>
            </w:r>
          </w:p>
        </w:tc>
        <w:tc>
          <w:tcPr>
            <w:tcW w:w="2261"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山东泰安市高新区南天门大街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649"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6</w:t>
            </w:r>
          </w:p>
        </w:tc>
        <w:tc>
          <w:tcPr>
            <w:tcW w:w="2089"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中国联通泰安分公司</w:t>
            </w:r>
          </w:p>
        </w:tc>
        <w:tc>
          <w:tcPr>
            <w:tcW w:w="2261"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山东泰安市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649"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7</w:t>
            </w:r>
          </w:p>
        </w:tc>
        <w:tc>
          <w:tcPr>
            <w:tcW w:w="2089"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北京中软国际教育科技有限公司</w:t>
            </w:r>
          </w:p>
        </w:tc>
        <w:tc>
          <w:tcPr>
            <w:tcW w:w="2261"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北京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649"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8</w:t>
            </w:r>
          </w:p>
        </w:tc>
        <w:tc>
          <w:tcPr>
            <w:tcW w:w="2089"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惠普-济宁产业基地</w:t>
            </w:r>
          </w:p>
        </w:tc>
        <w:tc>
          <w:tcPr>
            <w:tcW w:w="2261" w:type="pct"/>
            <w:tcBorders>
              <w:top w:val="single" w:color="auto" w:sz="4" w:space="0"/>
              <w:left w:val="single" w:color="auto" w:sz="4" w:space="0"/>
              <w:bottom w:val="single" w:color="auto" w:sz="4" w:space="0"/>
              <w:right w:val="single" w:color="auto" w:sz="4" w:space="0"/>
            </w:tcBorders>
            <w:vAlign w:val="center"/>
          </w:tcPr>
          <w:p>
            <w:pPr>
              <w:snapToGrid w:val="0"/>
              <w:jc w:val="center"/>
              <w:rPr>
                <w:color w:val="000000"/>
                <w:kern w:val="0"/>
                <w:sz w:val="21"/>
                <w:szCs w:val="21"/>
              </w:rPr>
            </w:pPr>
            <w:r>
              <w:rPr>
                <w:color w:val="000000"/>
                <w:kern w:val="0"/>
                <w:sz w:val="21"/>
                <w:szCs w:val="21"/>
              </w:rPr>
              <w:t>山东省济宁市</w:t>
            </w:r>
          </w:p>
        </w:tc>
      </w:tr>
    </w:tbl>
    <w:p>
      <w:pPr>
        <w:pStyle w:val="6"/>
        <w:ind w:firstLine="480"/>
      </w:pPr>
      <w:r>
        <w:t>4</w:t>
      </w:r>
      <w:r>
        <w:rPr>
          <w:rFonts w:hint="eastAsia"/>
        </w:rPr>
        <w:t xml:space="preserve">. </w:t>
      </w:r>
      <w:r>
        <w:t>现代教学技术应用</w:t>
      </w:r>
    </w:p>
    <w:p>
      <w:pPr>
        <w:ind w:firstLine="480" w:firstLineChars="200"/>
        <w:rPr>
          <w:szCs w:val="24"/>
        </w:rPr>
      </w:pPr>
      <w:r>
        <w:rPr>
          <w:szCs w:val="24"/>
        </w:rPr>
        <w:t>为了增强教学过程的改革创新，丰富学生视野和改善教学环境，提高教学效率，应用数学系设计与建设了数学与应用数学专业网站，为社会了解我校数学与应用数学专业提供了良好平台，为学生学习、考研和就业提供帮助。在教学过程中，鼓励教师充分积极利用现代多媒体技术和网络技术。在历届全国多媒体课件大赛、高校微课教学大赛、慕课教学大赛等比赛中，本专业多名教师获得了省及国家的多个奖项，大大提高了本专业课程设计及建设课程网站的能力。本专业除建设维护好《数学分析》、《高等代数》、《概率统计》、《生物统计》等精品课程网站外，还对《数学物理方程》、《常微分方程》、《数学模型》、《实变函数论》、《运筹学》（数学类）、《离散数学》、《概率论》、《数理统计》、《高等代数进阶》等课程在课程中心建立了教学网站，这些课程网站已成为学生课后自主学习的主要辅助手段。另外，多位教师通过利用多种现代网络通讯手段对学生进行网络答疑，及时全面地掌握了学生的学习情况。校图书馆还订购了Nature、Science、Science Direct、Springer、Blackwell、中国期刊网、万方数据、中文科技期刊等近十多个电子期刊数据库，能够较好地满足师生的教学科研学习的需要。</w:t>
      </w:r>
    </w:p>
    <w:p>
      <w:pPr>
        <w:pStyle w:val="5"/>
        <w:spacing w:before="93" w:after="93"/>
        <w:ind w:firstLine="560"/>
      </w:pPr>
      <w:bookmarkStart w:id="662" w:name="_Toc26331"/>
      <w:r>
        <w:t>四、培养机制与特色（产学研协同育人机制、合作办学、教学管理等）</w:t>
      </w:r>
      <w:bookmarkEnd w:id="662"/>
    </w:p>
    <w:p>
      <w:pPr>
        <w:ind w:firstLine="480" w:firstLineChars="200"/>
        <w:rPr>
          <w:szCs w:val="24"/>
        </w:rPr>
      </w:pPr>
      <w:r>
        <w:rPr>
          <w:szCs w:val="24"/>
        </w:rPr>
        <w:t>数学与应用数学专业经过多年的建设，形成和发展了自己的办学特色。</w:t>
      </w:r>
    </w:p>
    <w:p>
      <w:pPr>
        <w:ind w:firstLine="480" w:firstLineChars="200"/>
        <w:rPr>
          <w:szCs w:val="24"/>
        </w:rPr>
      </w:pPr>
      <w:r>
        <w:rPr>
          <w:szCs w:val="24"/>
        </w:rPr>
        <w:t>在教学观念上，我们始终坚持以</w:t>
      </w:r>
      <w:r>
        <w:rPr>
          <w:rFonts w:hint="eastAsia"/>
          <w:szCs w:val="24"/>
        </w:rPr>
        <w:t>“</w:t>
      </w:r>
      <w:r>
        <w:rPr>
          <w:szCs w:val="24"/>
        </w:rPr>
        <w:t>教、学、做、知识、能力、素质</w:t>
      </w:r>
      <w:r>
        <w:rPr>
          <w:rFonts w:hint="eastAsia"/>
          <w:szCs w:val="24"/>
        </w:rPr>
        <w:t>”</w:t>
      </w:r>
      <w:r>
        <w:rPr>
          <w:szCs w:val="24"/>
        </w:rPr>
        <w:t>六位一体教学方法，坚持</w:t>
      </w:r>
      <w:r>
        <w:rPr>
          <w:rFonts w:hint="eastAsia"/>
          <w:szCs w:val="24"/>
        </w:rPr>
        <w:t>“</w:t>
      </w:r>
      <w:r>
        <w:rPr>
          <w:szCs w:val="24"/>
        </w:rPr>
        <w:t>以学为本，学以致用，理论联系实践</w:t>
      </w:r>
      <w:r>
        <w:rPr>
          <w:rFonts w:hint="eastAsia"/>
          <w:szCs w:val="24"/>
        </w:rPr>
        <w:t>”</w:t>
      </w:r>
      <w:r>
        <w:rPr>
          <w:szCs w:val="24"/>
        </w:rPr>
        <w:t>的专业指导思想。在教学过程中，要求教师在专业教学中要打破学科界限和原有的知识体系，要以理论性和过程性知识传授为主、以陈述性应用性知识传授为辅，要以知识传授为主、以技能传授为辅，重视学生的学习态度、方法和职业意识的形成，注重使教学内容、教学方法、教学过程适合社会的要求和发展需要。</w:t>
      </w:r>
    </w:p>
    <w:p>
      <w:pPr>
        <w:ind w:firstLine="480" w:firstLineChars="200"/>
        <w:rPr>
          <w:szCs w:val="24"/>
        </w:rPr>
      </w:pPr>
      <w:r>
        <w:rPr>
          <w:szCs w:val="24"/>
        </w:rPr>
        <w:t>本专业重视学生创新能力的培养，建立学生参与导师科研项目的培养模式。实施专业导师和项目组管理制度，高年级学生通过近距离接触最前沿的问题和参与导师的项目研究，提升学生科技创新精神和能力。根据学生的知识结构和特点，通过参与解决不同层面的教学、科研问题，提高学生的学习兴趣与解答疑难问题的能力。辅导学生独立申报国家级、市级、校级、院级等创新实践项目，培养学生分析问题与解决问题的能力。本专业与Wayne State University、Curtin University、University of Alberta、中国科学院及山东大学等国内外著名高校院所有长期和良好学生培养的合作关系。鼓励学生进行校内多学科交叉融合，通过模块课程的设置和参与合作研究项目，与农业大数据研究中心、大数据与农产品精致化发展协同创新中心、苹果工程中心、计算机、数据科学、资环学院与商学院等协同培养学生创新能力。</w:t>
      </w:r>
    </w:p>
    <w:p>
      <w:pPr>
        <w:ind w:firstLine="480" w:firstLineChars="200"/>
        <w:rPr>
          <w:szCs w:val="24"/>
        </w:rPr>
      </w:pPr>
      <w:r>
        <w:rPr>
          <w:szCs w:val="24"/>
        </w:rPr>
        <w:t>本专业注重实践能力和创业精神的培养。坚持理论与实践结合、提升学生的应用能力的原则，数学与应用数学专业与北京京软国际教育科技有限、山东浪潮、泰山神农智谷、惠普—济宁产业基地、济南达内软件有限公司、泰安东华合创软件有限公司、杰普软件科普有限公司等开展了广泛的联合培养与就业合作模式。在生产实践中锻炼学生的综合素质，提高学生的就业能力和创业精神。为落实好数学与应用数学专业产学研合作模式，提升学科办学实力、促进学科发展，提高学生培养质量，加强产学研合作体制机制研究，专业成立了复杂数据模型与算法团队及农业大数据分析团队加强数学解决实际问题能力的培养。</w:t>
      </w:r>
    </w:p>
    <w:p>
      <w:pPr>
        <w:pStyle w:val="5"/>
        <w:spacing w:before="93" w:after="93"/>
        <w:ind w:firstLine="560"/>
      </w:pPr>
      <w:bookmarkStart w:id="663" w:name="_Toc8986"/>
      <w:r>
        <w:t>五、培养质量（毕业生就业率、就业专业对口率、毕业生发展情况、就业单位满意率、社会对专业的评价、学生就读该专业的意愿等）</w:t>
      </w:r>
      <w:bookmarkEnd w:id="663"/>
    </w:p>
    <w:p>
      <w:pPr>
        <w:pStyle w:val="45"/>
        <w:ind w:firstLine="480"/>
        <w:rPr>
          <w:rFonts w:ascii="Times New Roman" w:hAnsi="Times New Roman"/>
        </w:rPr>
      </w:pPr>
      <w:r>
        <w:rPr>
          <w:rFonts w:ascii="Times New Roman" w:hAnsi="Times New Roman"/>
        </w:rPr>
        <w:t>1. 应届毕业生考研就业情况</w:t>
      </w:r>
    </w:p>
    <w:p>
      <w:pPr>
        <w:ind w:firstLine="480" w:firstLineChars="200"/>
        <w:rPr>
          <w:szCs w:val="24"/>
        </w:rPr>
      </w:pPr>
      <w:r>
        <w:rPr>
          <w:szCs w:val="24"/>
        </w:rPr>
        <w:t>在2022届数学与应用数学专业33人毕业生中，13人考取硕士研究生，考研率达到39.4%， 61.5%左右学生被</w:t>
      </w:r>
      <w:r>
        <w:rPr>
          <w:rFonts w:hint="eastAsia"/>
          <w:szCs w:val="24"/>
        </w:rPr>
        <w:t>“</w:t>
      </w:r>
      <w:r>
        <w:rPr>
          <w:szCs w:val="24"/>
        </w:rPr>
        <w:t>985</w:t>
      </w:r>
      <w:r>
        <w:rPr>
          <w:rFonts w:hint="eastAsia"/>
          <w:szCs w:val="24"/>
        </w:rPr>
        <w:t>”</w:t>
      </w:r>
      <w:r>
        <w:rPr>
          <w:szCs w:val="24"/>
        </w:rPr>
        <w:t>高校或</w:t>
      </w:r>
      <w:r>
        <w:rPr>
          <w:rFonts w:hint="eastAsia"/>
          <w:szCs w:val="24"/>
        </w:rPr>
        <w:t>“</w:t>
      </w:r>
      <w:r>
        <w:rPr>
          <w:szCs w:val="24"/>
        </w:rPr>
        <w:t>211</w:t>
      </w:r>
      <w:r>
        <w:rPr>
          <w:rFonts w:hint="eastAsia"/>
          <w:szCs w:val="24"/>
        </w:rPr>
        <w:t>”</w:t>
      </w:r>
      <w:r>
        <w:rPr>
          <w:szCs w:val="24"/>
        </w:rPr>
        <w:t xml:space="preserve">高校录取，考研学校包括中国科学院大学、山东大学、中国矿业大学、中国地质大学、首都师范大学等国内著名大学。2022届专业就业率为78.3%，未就业学生大多选择二次考研或者考事业单位。 </w:t>
      </w:r>
    </w:p>
    <w:p>
      <w:pPr>
        <w:pStyle w:val="45"/>
        <w:ind w:firstLine="480"/>
        <w:rPr>
          <w:rFonts w:ascii="Times New Roman" w:hAnsi="Times New Roman"/>
        </w:rPr>
      </w:pPr>
      <w:r>
        <w:rPr>
          <w:rFonts w:ascii="Times New Roman" w:hAnsi="Times New Roman"/>
        </w:rPr>
        <w:t>2. 社会对数学与应用数学专业的评价</w:t>
      </w:r>
    </w:p>
    <w:p>
      <w:pPr>
        <w:ind w:firstLine="480" w:firstLineChars="200"/>
        <w:rPr>
          <w:szCs w:val="24"/>
        </w:rPr>
      </w:pPr>
      <w:r>
        <w:rPr>
          <w:szCs w:val="24"/>
        </w:rPr>
        <w:t>数学与应用数学专业培养的学生受到严格的数学思维、逻辑能力和计算机技能训练，数学基础扎实、知识面宽，因</w:t>
      </w:r>
      <w:r>
        <w:rPr>
          <w:rFonts w:hint="eastAsia"/>
          <w:szCs w:val="24"/>
        </w:rPr>
        <w:t>“</w:t>
      </w:r>
      <w:r>
        <w:rPr>
          <w:szCs w:val="24"/>
        </w:rPr>
        <w:t>基础厚、口径宽、适应广、能力强、素质高</w:t>
      </w:r>
      <w:r>
        <w:rPr>
          <w:rFonts w:hint="eastAsia"/>
          <w:szCs w:val="24"/>
        </w:rPr>
        <w:t>”</w:t>
      </w:r>
      <w:r>
        <w:rPr>
          <w:szCs w:val="24"/>
        </w:rPr>
        <w:t>，受到社会各界的一致好评。已经中科院数学研究所及其它著名高校的考生都对本专业给出了满意的评价。部分用人单位给出了：毕业生理论基础扎实，动手能力强，综合素质高，工作踏实的评价。毕业生社会声誉好，许多毕业生已在学术研究、管理及个人事业等方面取得了较大成就。</w:t>
      </w:r>
    </w:p>
    <w:p>
      <w:pPr>
        <w:pStyle w:val="45"/>
        <w:ind w:firstLine="480"/>
        <w:rPr>
          <w:rFonts w:ascii="Times New Roman" w:hAnsi="Times New Roman"/>
        </w:rPr>
      </w:pPr>
      <w:r>
        <w:rPr>
          <w:rFonts w:ascii="Times New Roman" w:hAnsi="Times New Roman"/>
        </w:rPr>
        <w:t>3. 学生就读该专业的意愿</w:t>
      </w:r>
    </w:p>
    <w:p>
      <w:pPr>
        <w:ind w:firstLine="480" w:firstLineChars="200"/>
        <w:rPr>
          <w:szCs w:val="24"/>
        </w:rPr>
      </w:pPr>
      <w:r>
        <w:rPr>
          <w:szCs w:val="24"/>
        </w:rPr>
        <w:t>2022级我校数学学科中的数学与应用数学、信息与计算科学两个专业实行大类招生，大一入校不分专业，大二分专业分流培养。共招生97人，省内外本科生的一次录取率100%及报到率100%。</w:t>
      </w:r>
    </w:p>
    <w:p>
      <w:pPr>
        <w:pStyle w:val="5"/>
        <w:spacing w:before="93" w:after="93"/>
        <w:ind w:firstLine="560"/>
      </w:pPr>
      <w:bookmarkStart w:id="664" w:name="_Toc4744"/>
      <w:r>
        <w:t>六、毕业生就业创业（创业情况、采取的措施、典型案例等）</w:t>
      </w:r>
      <w:bookmarkEnd w:id="664"/>
    </w:p>
    <w:p>
      <w:pPr>
        <w:ind w:firstLine="480" w:firstLineChars="200"/>
        <w:rPr>
          <w:szCs w:val="24"/>
        </w:rPr>
      </w:pPr>
      <w:r>
        <w:rPr>
          <w:szCs w:val="24"/>
        </w:rPr>
        <w:t>本专业已有多位毕业生在国外高校及国内高校任职并取得较高的学术成就，近年来，系里每年都会有1-2位优秀毕业生回校作报告。自主创业是本专业一直提倡与鼓励的一项重大活动，现已开始筹备创业基金，鼓励自主创业的学生。</w:t>
      </w:r>
    </w:p>
    <w:p>
      <w:pPr>
        <w:pStyle w:val="5"/>
        <w:spacing w:before="93" w:after="93"/>
        <w:ind w:firstLine="560"/>
      </w:pPr>
      <w:bookmarkStart w:id="665" w:name="_Toc29360"/>
      <w:r>
        <w:t>七、专业发展趋势及建议</w:t>
      </w:r>
      <w:bookmarkEnd w:id="665"/>
    </w:p>
    <w:p>
      <w:pPr>
        <w:ind w:firstLine="480" w:firstLineChars="200"/>
        <w:rPr>
          <w:szCs w:val="24"/>
        </w:rPr>
      </w:pPr>
      <w:r>
        <w:rPr>
          <w:szCs w:val="24"/>
        </w:rPr>
        <w:t>数学与应用数学专业属于基础专业。无论是进行科研数据分析、软件开发，还是从事金融保险，国际经济与贸易、化工制药、通讯工程、建筑设计等，都离不开相关的数学知识。可见数学与应用数学专业是从事其他相关专业的基础。随着社会进入信息和人工智能时代，数学专业与其他相关专业的联系将会更加紧密，数学知识将会得到更广泛的应用。</w:t>
      </w:r>
    </w:p>
    <w:p>
      <w:pPr>
        <w:ind w:firstLine="480" w:firstLineChars="200"/>
        <w:rPr>
          <w:szCs w:val="24"/>
        </w:rPr>
      </w:pPr>
      <w:r>
        <w:rPr>
          <w:szCs w:val="24"/>
        </w:rPr>
        <w:t>从相关资料分析不难看出，数学与应用数学人才的需求量较大，就业前景看好。而且可以预见，随着经济和社会的发展，市场对数学与应用数学专业人才的需求将会越来越多，其就业前景比较广阔。数学与应用数学专业是联系数学与自然科学、工程技术及信息、管理、经济、金融、社会和人文科学的一个重要桥梁。通过建立数学模型和记住功能日益强大的计算机，应用数学的研究范围更加广阔，包括应用数学的基础理论、具有广泛应用可能的数学方法、利用数学方法解决实际问题等。因而，毕业后我们不仅可以在教育机构从事教学和研究工作，也能在企业、事业单位和经济、管理部门从事统计调查、统计信息管理、数量分析等开发、应用和管理工作。</w:t>
      </w:r>
    </w:p>
    <w:p>
      <w:pPr>
        <w:ind w:firstLine="480" w:firstLineChars="200"/>
        <w:rPr>
          <w:szCs w:val="24"/>
        </w:rPr>
      </w:pPr>
      <w:r>
        <w:rPr>
          <w:szCs w:val="24"/>
        </w:rPr>
        <w:t>数学与应用数学专业的培养方案中，打破了传统的培养模式，实行多渠道、多方向、多选择的综合培养模式，加强了实践环节的培养，扩大了学生的选择余地，增多了学生的就业口径。设有专业主干课、专业分流课、专业实践课等几类。</w:t>
      </w:r>
    </w:p>
    <w:p>
      <w:pPr>
        <w:ind w:firstLine="480" w:firstLineChars="200"/>
        <w:rPr>
          <w:szCs w:val="24"/>
        </w:rPr>
      </w:pPr>
      <w:r>
        <w:rPr>
          <w:szCs w:val="24"/>
        </w:rPr>
        <w:t>专业主干课包括数学分析、高等代数与解析几何、复变函数论、实变函数论、抽象代数、泛函分析、微分几何、测度论。专业主干课主要介绍数学理论、数学学科发展过程中所提炼出来描述一般数学问题的数学结构、解决一般数学问题的数学工具，培养学生数学思维，训练学生熟悉抽象数学结构，锻炼学生使用抽象数学工具的能力。</w:t>
      </w:r>
    </w:p>
    <w:p>
      <w:pPr>
        <w:ind w:firstLine="480" w:firstLineChars="200"/>
        <w:rPr>
          <w:szCs w:val="24"/>
        </w:rPr>
      </w:pPr>
      <w:r>
        <w:rPr>
          <w:szCs w:val="24"/>
        </w:rPr>
        <w:t>专业分流课主要是根据学生的兴趣和发展方向设定的不同模块课程。现在设有应用数学，数据处理，应用软件，应用统计等模块。通过不同模块培养不同的创新性及应用型人才。</w:t>
      </w:r>
    </w:p>
    <w:p>
      <w:pPr>
        <w:ind w:firstLine="480" w:firstLineChars="200"/>
        <w:rPr>
          <w:szCs w:val="24"/>
        </w:rPr>
      </w:pPr>
      <w:r>
        <w:rPr>
          <w:szCs w:val="24"/>
        </w:rPr>
        <w:t>专业交叉课包括物理学、程序设计和算法语言、数据结构、数据分析等。为学生建立数学模型、提炼数学问题提供一些专业背景，训练学生应用计算机描述、解决数学问题。</w:t>
      </w:r>
    </w:p>
    <w:p>
      <w:pPr>
        <w:ind w:firstLine="480" w:firstLineChars="200"/>
        <w:rPr>
          <w:szCs w:val="24"/>
        </w:rPr>
      </w:pPr>
      <w:r>
        <w:rPr>
          <w:szCs w:val="24"/>
        </w:rPr>
        <w:t>此外，随着网络时代的来临，数学专业对于英语好（或虽然中学时代英语基础不好但是愿意学习英语）的学生更有发展的空间。因为网络上大量优秀的原版英文数学资料可以通过各种渠道获得，而且近年来重点高校数学系越来越多的教师向学生推荐大量的优秀的英文数学教材，这些教材没有</w:t>
      </w:r>
      <w:r>
        <w:rPr>
          <w:rFonts w:hint="eastAsia"/>
          <w:szCs w:val="24"/>
        </w:rPr>
        <w:t>“</w:t>
      </w:r>
      <w:r>
        <w:rPr>
          <w:szCs w:val="24"/>
        </w:rPr>
        <w:t>大纲</w:t>
      </w:r>
      <w:r>
        <w:rPr>
          <w:rFonts w:hint="eastAsia"/>
          <w:szCs w:val="24"/>
        </w:rPr>
        <w:t>”</w:t>
      </w:r>
      <w:r>
        <w:rPr>
          <w:szCs w:val="24"/>
        </w:rPr>
        <w:t>的魔咒，没有考试的指挥棒，以解决问题为导向，更加原汁原味地反映解决数学问题的过程。因此，能够阅读原版文献无疑为深入学习数学插上天使一般的翅膀。</w:t>
      </w:r>
    </w:p>
    <w:p>
      <w:pPr>
        <w:pStyle w:val="5"/>
        <w:spacing w:before="93" w:after="93"/>
        <w:ind w:firstLine="560"/>
      </w:pPr>
      <w:bookmarkStart w:id="666" w:name="_Toc13842"/>
      <w:r>
        <w:t>八、存在的问题及拟采取的对策措施</w:t>
      </w:r>
      <w:bookmarkEnd w:id="666"/>
    </w:p>
    <w:p>
      <w:pPr>
        <w:ind w:firstLine="480" w:firstLineChars="200"/>
        <w:rPr>
          <w:rFonts w:eastAsia="黑体"/>
          <w:szCs w:val="24"/>
        </w:rPr>
      </w:pPr>
      <w:r>
        <w:rPr>
          <w:rFonts w:eastAsia="黑体"/>
          <w:szCs w:val="24"/>
        </w:rPr>
        <w:t>1</w:t>
      </w:r>
      <w:r>
        <w:t xml:space="preserve">. </w:t>
      </w:r>
      <w:r>
        <w:rPr>
          <w:rFonts w:eastAsia="黑体"/>
          <w:szCs w:val="24"/>
        </w:rPr>
        <w:t>存在的主要问题：</w:t>
      </w:r>
    </w:p>
    <w:p>
      <w:pPr>
        <w:ind w:firstLine="480" w:firstLineChars="200"/>
        <w:rPr>
          <w:szCs w:val="24"/>
        </w:rPr>
      </w:pPr>
      <w:r>
        <w:rPr>
          <w:szCs w:val="24"/>
        </w:rPr>
        <w:t>（1）师资力量发展不够均衡，研究分散较为分散，教学研究水平有待提高。</w:t>
      </w:r>
    </w:p>
    <w:p>
      <w:pPr>
        <w:ind w:firstLine="480" w:firstLineChars="200"/>
        <w:rPr>
          <w:szCs w:val="24"/>
        </w:rPr>
      </w:pPr>
      <w:r>
        <w:rPr>
          <w:szCs w:val="24"/>
        </w:rPr>
        <w:t>（2）实践教学基地建设和学生实践能力需要进一步加强。相比校内的实践教学基地，校外实践教学基地建设存在一定差距，学生所能接触到的实践教学项目数量有限。</w:t>
      </w:r>
    </w:p>
    <w:p>
      <w:pPr>
        <w:ind w:firstLine="480" w:firstLineChars="200"/>
        <w:rPr>
          <w:szCs w:val="24"/>
        </w:rPr>
      </w:pPr>
      <w:r>
        <w:rPr>
          <w:szCs w:val="24"/>
        </w:rPr>
        <w:t>（3）科教平台和实验室建设需进一步加强。</w:t>
      </w:r>
    </w:p>
    <w:p>
      <w:pPr>
        <w:ind w:firstLine="480" w:firstLineChars="200"/>
        <w:rPr>
          <w:rFonts w:eastAsia="黑体"/>
          <w:szCs w:val="24"/>
        </w:rPr>
      </w:pPr>
      <w:r>
        <w:rPr>
          <w:rFonts w:eastAsia="黑体"/>
          <w:szCs w:val="24"/>
        </w:rPr>
        <w:t>2</w:t>
      </w:r>
      <w:r>
        <w:t xml:space="preserve">. </w:t>
      </w:r>
      <w:r>
        <w:rPr>
          <w:rFonts w:eastAsia="黑体"/>
          <w:szCs w:val="24"/>
        </w:rPr>
        <w:t>针对相关问题采取的主要措施包括：</w:t>
      </w:r>
    </w:p>
    <w:p>
      <w:pPr>
        <w:ind w:firstLine="480" w:firstLineChars="200"/>
        <w:rPr>
          <w:szCs w:val="24"/>
        </w:rPr>
      </w:pPr>
      <w:r>
        <w:rPr>
          <w:szCs w:val="24"/>
        </w:rPr>
        <w:t>（1）提升教师队伍的整体实力，根据专业发展需求，引进和培养高水平专业骨干和带头人，进一步提升教师队伍整体素质和科教水平，优化教师队伍结构，提升</w:t>
      </w:r>
      <w:r>
        <w:rPr>
          <w:rFonts w:hint="eastAsia"/>
          <w:szCs w:val="24"/>
        </w:rPr>
        <w:t>“</w:t>
      </w:r>
      <w:r>
        <w:rPr>
          <w:szCs w:val="24"/>
        </w:rPr>
        <w:t>双师型</w:t>
      </w:r>
      <w:r>
        <w:rPr>
          <w:rFonts w:hint="eastAsia"/>
          <w:szCs w:val="24"/>
        </w:rPr>
        <w:t>”</w:t>
      </w:r>
      <w:r>
        <w:rPr>
          <w:szCs w:val="24"/>
        </w:rPr>
        <w:t>教师比例，为专业的发展奠定基础。</w:t>
      </w:r>
    </w:p>
    <w:p>
      <w:pPr>
        <w:ind w:firstLine="480" w:firstLineChars="200"/>
        <w:rPr>
          <w:szCs w:val="24"/>
        </w:rPr>
      </w:pPr>
      <w:r>
        <w:rPr>
          <w:szCs w:val="24"/>
        </w:rPr>
        <w:t>（2）对学生分流培养，分类指导，实行导师制培养计划。适应学生个人发展的个性化需求及社会人才需求的多元化。本着</w:t>
      </w:r>
      <w:r>
        <w:rPr>
          <w:rFonts w:hint="eastAsia"/>
          <w:szCs w:val="24"/>
        </w:rPr>
        <w:t>“</w:t>
      </w:r>
      <w:r>
        <w:rPr>
          <w:szCs w:val="24"/>
        </w:rPr>
        <w:t>以学生为本、因材施教、厚基础、强能力、高素质、有竞争力</w:t>
      </w:r>
      <w:r>
        <w:rPr>
          <w:rFonts w:hint="eastAsia"/>
          <w:szCs w:val="24"/>
        </w:rPr>
        <w:t>”</w:t>
      </w:r>
      <w:r>
        <w:rPr>
          <w:szCs w:val="24"/>
        </w:rPr>
        <w:t>的培养目标，对学生进行有针对性的培养。针对考研学生，请相关老师指导，让学生对相关专业充分了解认识。组织高年级学生交流学习方法与经验，提高学习的动力及效率。针对想从事教师行业的学生，除安排教育见习与教育实习外，积极为学生提供教学观摩的机会，侧重于培养学生的教育教学实践能力；针对其他学生，实施导师制，请相关研究方向的教师对其进行指导，积极地为他们联系实践基地，侧重于培养学生的实践实习能力。</w:t>
      </w:r>
    </w:p>
    <w:p>
      <w:pPr>
        <w:ind w:firstLine="480" w:firstLineChars="200"/>
        <w:rPr>
          <w:szCs w:val="24"/>
        </w:rPr>
      </w:pPr>
      <w:r>
        <w:rPr>
          <w:szCs w:val="24"/>
        </w:rPr>
        <w:t>（3）完善课程建设。结合本专业特点及培养目标的变化，不断完善课程建设，鼓励教师将新知识、新理论和新技术充实到教学内容中，推进教学方法、教学手段和考试方式的配套改革。将《数学分析》、《高等代数》、《概率统计》、《数学模型》、《生物统计》等建设成为优质线上、线下课程，出版《数学分析》、《生物统计》教材。</w:t>
      </w:r>
    </w:p>
    <w:p>
      <w:pPr>
        <w:ind w:firstLine="480" w:firstLineChars="200"/>
        <w:rPr>
          <w:szCs w:val="24"/>
        </w:rPr>
      </w:pPr>
      <w:r>
        <w:rPr>
          <w:szCs w:val="24"/>
        </w:rPr>
        <w:t>（4）为了提高学生的综合素质，加大创新与实践教学投入。专业继续开展了许多有意义、有特色的活动，如建立就业创业实习基地、暑期社会实践基地、</w:t>
      </w:r>
      <w:r>
        <w:rPr>
          <w:rFonts w:hint="eastAsia"/>
          <w:szCs w:val="24"/>
        </w:rPr>
        <w:t>“</w:t>
      </w:r>
      <w:r>
        <w:rPr>
          <w:szCs w:val="24"/>
        </w:rPr>
        <w:t>数学沙龙</w:t>
      </w:r>
      <w:r>
        <w:rPr>
          <w:rFonts w:hint="eastAsia"/>
          <w:szCs w:val="24"/>
        </w:rPr>
        <w:t>”</w:t>
      </w:r>
      <w:r>
        <w:rPr>
          <w:szCs w:val="24"/>
        </w:rPr>
        <w:t>、数学建模协会、数学知识竞赛等举措，对活动中表现优秀的同学及贡献较大的老师进行奖励。</w:t>
      </w:r>
    </w:p>
    <w:p>
      <w:pPr>
        <w:ind w:firstLine="480" w:firstLineChars="200"/>
        <w:rPr>
          <w:szCs w:val="24"/>
        </w:rPr>
      </w:pPr>
      <w:r>
        <w:rPr>
          <w:szCs w:val="24"/>
        </w:rPr>
        <w:t>（5）加强实践平台与实训基地建设，不断完善教学设施及加强校内外教研平台和实训基地建设。新建复杂数据模型与算法研究中心、数学交叉研究中心和校外教学科研实践育人基地10个。</w:t>
      </w:r>
    </w:p>
    <w:p>
      <w:pPr>
        <w:widowControl/>
        <w:jc w:val="left"/>
        <w:rPr>
          <w:rFonts w:eastAsia="黑体"/>
          <w:kern w:val="0"/>
          <w:sz w:val="30"/>
          <w:szCs w:val="30"/>
          <w:lang w:val="zh-CN" w:bidi="zh-CN"/>
        </w:rPr>
      </w:pPr>
      <w:r>
        <w:rPr>
          <w:sz w:val="30"/>
          <w:szCs w:val="30"/>
          <w:lang w:val="zh-CN" w:bidi="zh-CN"/>
        </w:rPr>
        <w:br w:type="page"/>
      </w:r>
    </w:p>
    <w:p>
      <w:pPr>
        <w:pStyle w:val="4"/>
        <w:ind w:firstLine="600"/>
      </w:pPr>
      <w:bookmarkStart w:id="667" w:name="_Toc15686"/>
      <w:r>
        <w:t>专业</w:t>
      </w:r>
      <w:r>
        <w:rPr>
          <w:rFonts w:hint="eastAsia"/>
          <w:lang w:val="en-US"/>
        </w:rPr>
        <w:t>六十七</w:t>
      </w:r>
      <w:r>
        <w:t>：信息与计算科学</w:t>
      </w:r>
      <w:bookmarkEnd w:id="667"/>
    </w:p>
    <w:p>
      <w:pPr>
        <w:pStyle w:val="5"/>
        <w:spacing w:before="93" w:after="93"/>
        <w:ind w:firstLine="560"/>
      </w:pPr>
      <w:r>
        <w:t>一、培养目标</w:t>
      </w:r>
    </w:p>
    <w:p>
      <w:pPr>
        <w:ind w:firstLine="480" w:firstLineChars="200"/>
        <w:rPr>
          <w:szCs w:val="24"/>
        </w:rPr>
      </w:pPr>
      <w:r>
        <w:rPr>
          <w:szCs w:val="24"/>
        </w:rPr>
        <w:t>信息与计算科学专业是由信息科学、计算科学、运筹与控制科学等交叉渗透而形成的数学学科下的一个理科专业。我校信息与计算科学专业培养品格健全且能满足国家和社会发展需求，具有基本的数学理论、方法与技能，能够熟练使用计算机，具备数值计算、数据处理及分析能力的专业型应用专门人才。毕业生能在区域性的科学技术、IT产业、经济金融等行业和企业、教育领域，从事数值计算、行业数据搜集、整理、分析、开发研究、教学或管理工作，具备依据数据做出行业研究、评估和预测的能力，同时具备良好的业务理解、协调沟通及团队合作能力。</w:t>
      </w:r>
    </w:p>
    <w:p>
      <w:pPr>
        <w:ind w:firstLine="480" w:firstLineChars="200"/>
        <w:rPr>
          <w:szCs w:val="24"/>
        </w:rPr>
      </w:pPr>
      <w:r>
        <w:rPr>
          <w:szCs w:val="24"/>
        </w:rPr>
        <w:t>本专业毕业生经过五年左右的专业学习和工作实践应达到以下目标：</w:t>
      </w:r>
    </w:p>
    <w:p>
      <w:pPr>
        <w:ind w:firstLine="480" w:firstLineChars="200"/>
        <w:rPr>
          <w:szCs w:val="24"/>
        </w:rPr>
      </w:pPr>
      <w:r>
        <w:rPr>
          <w:szCs w:val="24"/>
        </w:rPr>
        <w:t>目标1职业素养：遵守职业道德和职业规范，能够自觉践行可持续发展、终身学习的理念；具有主动适应技术发展及职业变化的素质，具备自我革新知识体系提升职业竞争力的能力。</w:t>
      </w:r>
    </w:p>
    <w:p>
      <w:pPr>
        <w:ind w:firstLine="480" w:firstLineChars="200"/>
        <w:rPr>
          <w:szCs w:val="24"/>
        </w:rPr>
      </w:pPr>
      <w:r>
        <w:rPr>
          <w:szCs w:val="24"/>
        </w:rPr>
        <w:t>目标2职业能力：熟练运用所学信息处理、数据分析的理论方法、计算机技术开展工作，设计创新的方案，解决相关领域复杂的工程问题；能够独立或者协作完成团队分配的任务，满足工作单位特定用户的需求。</w:t>
      </w:r>
    </w:p>
    <w:p>
      <w:pPr>
        <w:ind w:firstLine="480" w:firstLineChars="200"/>
        <w:rPr>
          <w:szCs w:val="24"/>
        </w:rPr>
      </w:pPr>
      <w:r>
        <w:rPr>
          <w:szCs w:val="24"/>
        </w:rPr>
        <w:t>目标3职业视野：能够正确理解、评判相关技术的优势及局限，合理预见其前景；能够正确理解和评价专业工程实践对环境、社会可持续发展的影响；对信息技术发展具有良好的洞察力，具备开阔的视野。</w:t>
      </w:r>
    </w:p>
    <w:p>
      <w:pPr>
        <w:ind w:firstLine="480" w:firstLineChars="200"/>
        <w:rPr>
          <w:szCs w:val="24"/>
        </w:rPr>
      </w:pPr>
      <w:r>
        <w:rPr>
          <w:szCs w:val="24"/>
        </w:rPr>
        <w:t>目标4职业发展：具备良好的团队沟通、合作能力，能与国内外同行、专业客户和公众进行有效沟通和交流；能够在多学科背景下的团队中承担个体、团队成员以及负责人的角色；能组织、协调和指挥团队开展工作。</w:t>
      </w:r>
    </w:p>
    <w:p>
      <w:pPr>
        <w:pStyle w:val="5"/>
        <w:spacing w:before="93" w:after="93"/>
        <w:ind w:firstLine="560"/>
      </w:pPr>
      <w:r>
        <w:t>二、培养能力</w:t>
      </w:r>
    </w:p>
    <w:p>
      <w:pPr>
        <w:pStyle w:val="6"/>
        <w:ind w:firstLine="480"/>
      </w:pPr>
      <w:r>
        <w:t>1. 专业设置情况和在校生规模</w:t>
      </w:r>
    </w:p>
    <w:p>
      <w:pPr>
        <w:ind w:firstLine="480" w:firstLineChars="200"/>
        <w:rPr>
          <w:szCs w:val="24"/>
        </w:rPr>
      </w:pPr>
      <w:r>
        <w:rPr>
          <w:szCs w:val="24"/>
        </w:rPr>
        <w:t>信息与计算科学专业源自山东农业大学基础部数学教研室（1979年设立），现属于信息科学与工程学院。专业于2000年开始招生，2008年1月被批准为山东农业大学特色专业，2020年获批数学一级硕士学位点。在全国农业院校同类专业中处于先进行列，是我校重点建设特色专业。专业始终秉承山东农业大学</w:t>
      </w:r>
      <w:r>
        <w:rPr>
          <w:rFonts w:hint="eastAsia"/>
          <w:szCs w:val="24"/>
        </w:rPr>
        <w:t>“</w:t>
      </w:r>
      <w:r>
        <w:rPr>
          <w:szCs w:val="24"/>
        </w:rPr>
        <w:t>学用结合、学以实为贵</w:t>
      </w:r>
      <w:r>
        <w:rPr>
          <w:rFonts w:hint="eastAsia"/>
          <w:szCs w:val="24"/>
        </w:rPr>
        <w:t>”</w:t>
      </w:r>
      <w:r>
        <w:rPr>
          <w:szCs w:val="24"/>
        </w:rPr>
        <w:t>的办学理念，坚持基础学科与应用学科融通创新发展的培养目标，现已形成了</w:t>
      </w:r>
      <w:r>
        <w:rPr>
          <w:rFonts w:hint="eastAsia"/>
          <w:szCs w:val="24"/>
        </w:rPr>
        <w:t>“</w:t>
      </w:r>
      <w:r>
        <w:rPr>
          <w:szCs w:val="24"/>
        </w:rPr>
        <w:t>专业基础教育+学科交叉融合+创新实践教育</w:t>
      </w:r>
      <w:r>
        <w:rPr>
          <w:rFonts w:hint="eastAsia"/>
          <w:szCs w:val="24"/>
        </w:rPr>
        <w:t>”</w:t>
      </w:r>
      <w:r>
        <w:rPr>
          <w:szCs w:val="24"/>
        </w:rPr>
        <w:t>为一体的专业育人特色，具有培养方向明确、数学理论基础深厚、专业应用技能突出等专业优势。</w:t>
      </w:r>
    </w:p>
    <w:p>
      <w:pPr>
        <w:ind w:firstLine="480" w:firstLineChars="200"/>
        <w:rPr>
          <w:szCs w:val="24"/>
        </w:rPr>
      </w:pPr>
      <w:r>
        <w:rPr>
          <w:szCs w:val="24"/>
        </w:rPr>
        <w:t>专业现有专职教师20人，其中教授5人，副教授12人，博士生导师1人，硕士生导师8人，博士18人，省厅级拔尖人才5人，校级优秀教师6人，先后获省级教学成果奖6项、国家和省级教学竞赛获奖16人次、山东省自然科学奖二等奖1项和厅级科技奖12项。现拥有农业农村部学科群重点实验室、山东省农业大数据工程实验室、高性能超算中心等科教平台。专业重视师德师风建设，先后获山东省党建工作标杆院、泰山先锋、学校教学先锋先进集体和青年文明号等荣誉称号。</w:t>
      </w:r>
    </w:p>
    <w:p>
      <w:pPr>
        <w:ind w:firstLine="480" w:firstLineChars="200"/>
        <w:rPr>
          <w:szCs w:val="24"/>
        </w:rPr>
      </w:pPr>
      <w:r>
        <w:rPr>
          <w:szCs w:val="24"/>
        </w:rPr>
        <w:t>本专业实行数学类大类招生，大二分流的政策。截止2022年10月，本专业现有在校生3个年级共人，其中2019级66人，2020级53人，2021级44人，2022级实行数学专业大类招生100人，目前没有专业分流。</w:t>
      </w:r>
    </w:p>
    <w:p>
      <w:pPr>
        <w:pStyle w:val="45"/>
        <w:ind w:firstLine="480"/>
        <w:outlineLvl w:val="9"/>
        <w:rPr>
          <w:rFonts w:ascii="Times New Roman" w:hAnsi="Times New Roman"/>
        </w:rPr>
      </w:pPr>
      <w:r>
        <w:rPr>
          <w:rFonts w:ascii="Times New Roman" w:hAnsi="Times New Roman"/>
        </w:rPr>
        <w:t>2. 课程设置情况</w:t>
      </w:r>
    </w:p>
    <w:p>
      <w:pPr>
        <w:ind w:firstLine="480" w:firstLineChars="200"/>
        <w:rPr>
          <w:szCs w:val="24"/>
        </w:rPr>
      </w:pPr>
      <w:r>
        <w:rPr>
          <w:szCs w:val="24"/>
        </w:rPr>
        <w:t>本专业在全面执行教育部专业目录规定的基础上，借鉴和参照其他院校办学经验，制定了科学、系统的人才培养方案。目前2019级、2020级和2021级使用2018年修订的培养方案，总学分170学分。其中，理论课程共137.5学分，必修课104.5学分；选修课33学分；实践教学环节总学分为32.5学分，占毕业总学分的19.2%。2022级使用2022年修订的培养方案，总学分170学分。其中，必修课总学分144.5、选修课学分25.5、实践教学学分36（含操作性实验课学分和实践学分，其中理论课所含的实验实训学分按所占理论课学时进行换算），占总学分21.2%。</w:t>
      </w:r>
    </w:p>
    <w:p>
      <w:pPr>
        <w:ind w:firstLine="480" w:firstLineChars="200"/>
        <w:rPr>
          <w:szCs w:val="24"/>
        </w:rPr>
      </w:pPr>
      <w:r>
        <w:rPr>
          <w:szCs w:val="24"/>
        </w:rPr>
        <w:t>培养方案设置的课程体系重视学生的个性发展，设置了数值计算、计算机软件开发、数据处理三个发展方向，既能满足学生充分发展需求的，又能满足学生学习的兴趣，使课程体系适应社会发展需要，进一步满足学生个性发展。课程体系由通识教育必修课程、通识教育选修课程、学科基础课、专业核心课、专业方向课和实践环节等六个部分组成，相关课程能够完整、充分、高强度的支撑毕业生培养要求。</w:t>
      </w:r>
    </w:p>
    <w:p>
      <w:pPr>
        <w:ind w:firstLine="480" w:firstLineChars="200"/>
        <w:rPr>
          <w:szCs w:val="24"/>
        </w:rPr>
      </w:pPr>
      <w:r>
        <w:rPr>
          <w:szCs w:val="24"/>
        </w:rPr>
        <w:t>通识教育必修课程和通识教育选修课程培养学生的人文素养，树立正确的人生观、价值观，增强学生的社会责任感和知识更新的意识。学科基础课锻炼系统的数学思维，训练理解数学学科知识体系的基本思想和方法；培养学生具有良好的数学基础知识和较强的数学语言表达能力。专业核心课重视数值计算、数据处理、应用统计基本理论、编程开发、数据结构算法等知识、技能方法的传授及训练。专业方向课包含数值计算、数据分析、计算机技术等方向基础理论、算法的基础课程。学生根据个人兴趣、特长选择适合个人的课程。专业方向课程主要锻炼学生具备数学研究或运用数学知识分析和解决实际问题的初步能力；培养学生了解本学科的前沿，明确学科的发展方向，塑造学生学以致用的意识，提升专业综合素养。实践环节以专业核心课和专业方向课为基础，强化数学基础理论在相关学科领域中应用的理念，培养、训练学生动手解决实际问题的综合能力，提升学生应用计算机（包括常用语言、工具及专用软件）的基本技能。</w:t>
      </w:r>
    </w:p>
    <w:p>
      <w:pPr>
        <w:ind w:firstLine="480" w:firstLineChars="200"/>
        <w:rPr>
          <w:szCs w:val="24"/>
        </w:rPr>
      </w:pPr>
      <w:r>
        <w:rPr>
          <w:szCs w:val="24"/>
        </w:rPr>
        <w:t>该课程体系坚持全面素质教育，强调低年级加强基础，高年级因材施教、分类分流培养的基本目标。通过系统、体系化的培养，确保学生具有较扎实的数学基础、宽广的知识面，较强的计算机应用能力。进而，强化锻炼学生自学能力、研究能力和创新能力。</w:t>
      </w:r>
    </w:p>
    <w:p>
      <w:pPr>
        <w:spacing w:line="240" w:lineRule="auto"/>
        <w:jc w:val="center"/>
        <w:rPr>
          <w:b/>
          <w:bCs/>
          <w:sz w:val="21"/>
          <w:szCs w:val="21"/>
        </w:rPr>
      </w:pPr>
      <w:r>
        <w:rPr>
          <w:b/>
          <w:bCs/>
          <w:szCs w:val="21"/>
        </w:rPr>
        <w:drawing>
          <wp:inline distT="0" distB="0" distL="0" distR="0">
            <wp:extent cx="4025900" cy="3345180"/>
            <wp:effectExtent l="0" t="0" r="12700" b="7620"/>
            <wp:docPr id="210" name="图片 210" descr="C:\Users\dreamgood\AppData\Roaming\Tencent\Users\30723982\QQ\WinTemp\RichOle\~`6FJEM8WWHQ2VZ@1{M](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C:\Users\dreamgood\AppData\Roaming\Tencent\Users\30723982\QQ\WinTemp\RichOle\~`6FJEM8WWHQ2VZ@1{M](C8.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a:xfrm>
                      <a:off x="0" y="0"/>
                      <a:ext cx="4025900" cy="3345180"/>
                    </a:xfrm>
                    <a:prstGeom prst="rect">
                      <a:avLst/>
                    </a:prstGeom>
                    <a:noFill/>
                    <a:ln>
                      <a:noFill/>
                    </a:ln>
                  </pic:spPr>
                </pic:pic>
              </a:graphicData>
            </a:graphic>
          </wp:inline>
        </w:drawing>
      </w:r>
    </w:p>
    <w:p>
      <w:pPr>
        <w:spacing w:line="240" w:lineRule="auto"/>
        <w:ind w:firstLine="422" w:firstLineChars="200"/>
        <w:jc w:val="center"/>
        <w:rPr>
          <w:b/>
          <w:bCs/>
          <w:sz w:val="21"/>
          <w:szCs w:val="21"/>
        </w:rPr>
      </w:pPr>
      <w:r>
        <w:rPr>
          <w:b/>
          <w:bCs/>
          <w:sz w:val="21"/>
          <w:szCs w:val="21"/>
        </w:rPr>
        <w:t>图1 培养方案课程体系结构图</w:t>
      </w:r>
    </w:p>
    <w:p>
      <w:pPr>
        <w:ind w:firstLine="480" w:firstLineChars="200"/>
        <w:jc w:val="center"/>
      </w:pPr>
    </w:p>
    <w:p>
      <w:pPr>
        <w:ind w:firstLine="482"/>
        <w:rPr>
          <w:szCs w:val="24"/>
        </w:rPr>
      </w:pPr>
      <w:r>
        <w:rPr>
          <w:szCs w:val="24"/>
        </w:rPr>
        <w:t>主要课程包括：数学分析、高等代数与解析几何、常微分方程、概率论、数理统计、复变函数、数值分析、数学模型与软件、大学物理、计算机导论、程序设计A、多元统计分析、数据结构等。</w:t>
      </w:r>
    </w:p>
    <w:p>
      <w:pPr>
        <w:ind w:firstLine="482"/>
        <w:rPr>
          <w:szCs w:val="24"/>
        </w:rPr>
      </w:pPr>
      <w:r>
        <w:rPr>
          <w:szCs w:val="24"/>
        </w:rPr>
        <w:t>主要实践环节包括：社会实践与调查报告，程序设计课程设计、科学研究基础训练、运筹学课程设计、数值分析课程设计、软件及算法设计综合实践、数学建模综合实践、创新创业实践、毕业实习及报告、毕业论文或毕业设计等。</w:t>
      </w:r>
    </w:p>
    <w:p>
      <w:pPr>
        <w:pStyle w:val="6"/>
        <w:ind w:firstLine="480"/>
      </w:pPr>
      <w:r>
        <w:t>3. 创新创业教育</w:t>
      </w:r>
    </w:p>
    <w:p>
      <w:pPr>
        <w:ind w:firstLine="482"/>
        <w:rPr>
          <w:szCs w:val="24"/>
        </w:rPr>
      </w:pPr>
      <w:r>
        <w:rPr>
          <w:szCs w:val="24"/>
        </w:rPr>
        <w:t>将专业课和创新创业类课程有机融合，搭建以专业学科平台为依托，课内外相融合的创新创业教育体系。通过设置专业与创新创业融合课程，向学生渗透创新创业教育理念；以大一激发创新兴趣，启迪创新思维，大二锻炼实践技能、大三提升创新能力的</w:t>
      </w:r>
      <w:r>
        <w:rPr>
          <w:rFonts w:hint="eastAsia"/>
          <w:szCs w:val="24"/>
        </w:rPr>
        <w:t>“</w:t>
      </w:r>
      <w:r>
        <w:rPr>
          <w:szCs w:val="24"/>
        </w:rPr>
        <w:t>三步走</w:t>
      </w:r>
      <w:r>
        <w:rPr>
          <w:rFonts w:hint="eastAsia"/>
          <w:szCs w:val="24"/>
        </w:rPr>
        <w:t>”</w:t>
      </w:r>
      <w:r>
        <w:rPr>
          <w:szCs w:val="24"/>
        </w:rPr>
        <w:t>的创新创业教育；课内训练主要包括学科专项训练和学科交叉训练，着重培养学生问题分析、工具使用、方案设计和研究开发能力。课外训练主要包括社会实践和科研训练，着重培养学生沟通与交流、团队合作、项目管理能力。两者相互补充，全面提升学生的科研素养和创新能力，</w:t>
      </w:r>
    </w:p>
    <w:p>
      <w:pPr>
        <w:ind w:firstLine="482"/>
        <w:rPr>
          <w:szCs w:val="24"/>
        </w:rPr>
      </w:pPr>
      <w:r>
        <w:rPr>
          <w:szCs w:val="24"/>
        </w:rPr>
        <w:t>搭建竞赛平台，赛学结合，坚持以赛代练，以赛促学的方针，提升专业素养，提高创新能力。近年来，学生先后参加了全国大学生数学建模比赛、全国大学生数学竞赛、APMCM亚太地区大学生数学建模、数学中国数学建模国际赛、程序设计大赛等学科及专业技能竞赛，近年来参赛学生逐年增多，获奖层次级获奖人数逐年递增。在本专业学生参加的全国大学生数学竞赛B组中无论是获奖层级还是获奖人数位列全国第一梯队。</w:t>
      </w:r>
    </w:p>
    <w:p>
      <w:pPr>
        <w:ind w:firstLine="482"/>
        <w:rPr>
          <w:szCs w:val="24"/>
        </w:rPr>
      </w:pPr>
      <w:r>
        <w:rPr>
          <w:szCs w:val="24"/>
        </w:rPr>
        <w:t>积极鼓励学生学以致用，提高个人的动手能力，增强学生的创业实践能力。配合学院将SRT项目、第二课堂建设纳入了人才培养体系建设，加强创新意识，创新能力的培养。学校和学院为学生设立创新实践项目和大学生研究训练计划（SRT）60余项，为学生创新能力培养提供了良好条件。鼓励学生参加老师的科研项目，让优秀学生积极主动的参与到科学研究中去。近年来，学生发表学术论文20余篇，其中SCI二区论文10余篇。在学习期间鼓励学生参加相关专业知识竞赛，通过比赛激发学生的创新意识、学习意识，促进学生的学习兴趣，进而发展学生的个性特长，培养学生的科技意识、科研和创新能力。</w:t>
      </w:r>
    </w:p>
    <w:p>
      <w:pPr>
        <w:pStyle w:val="5"/>
        <w:spacing w:before="93" w:after="93"/>
        <w:ind w:firstLine="560"/>
      </w:pPr>
      <w:r>
        <w:t>三、培养条件</w:t>
      </w:r>
    </w:p>
    <w:p>
      <w:pPr>
        <w:pStyle w:val="6"/>
        <w:ind w:firstLine="480"/>
      </w:pPr>
      <w:r>
        <w:t>1. 教学经费投入与教学设备</w:t>
      </w:r>
    </w:p>
    <w:p>
      <w:pPr>
        <w:ind w:firstLine="480" w:firstLineChars="200"/>
        <w:rPr>
          <w:szCs w:val="24"/>
        </w:rPr>
      </w:pPr>
      <w:r>
        <w:rPr>
          <w:szCs w:val="24"/>
        </w:rPr>
        <w:t>学校不断加大教学投入，重视本科教学设备的更新，生均经费逐年增加2021年每生平均教学运行经费约1000余元。2021年，应用数学系新增投影仪1台、计算机6台、打印机6台等一批仪器设备，价值6万余元。本专业可以与学院其他专业共享资源，因此具有学生人均一台计算机及辅助设备可供教学实习等使用。此外随着学校不断加大教学投入，学院和系的教学办公条件会越来越好。</w:t>
      </w:r>
    </w:p>
    <w:p>
      <w:pPr>
        <w:pStyle w:val="6"/>
        <w:ind w:firstLine="480"/>
      </w:pPr>
      <w:r>
        <w:t>2. 教师队伍建设</w:t>
      </w:r>
    </w:p>
    <w:p>
      <w:pPr>
        <w:ind w:firstLine="480" w:firstLineChars="200"/>
        <w:rPr>
          <w:szCs w:val="24"/>
        </w:rPr>
      </w:pPr>
      <w:r>
        <w:rPr>
          <w:szCs w:val="24"/>
        </w:rPr>
        <w:t>本专业现有一支学历结构、职称结构、年龄结构、学缘结构合理，教学能力和科研水平较高的教学团队。本专业教师主要毕业于中科院、山东大学、上海交通大学、山东科技大学等国内知名院校。</w:t>
      </w:r>
    </w:p>
    <w:p>
      <w:pPr>
        <w:ind w:firstLine="480" w:firstLineChars="200"/>
        <w:rPr>
          <w:szCs w:val="24"/>
        </w:rPr>
      </w:pPr>
      <w:r>
        <w:rPr>
          <w:szCs w:val="24"/>
        </w:rPr>
        <w:t>为了进一步加强师资队伍建设，打造高水平的师资队伍。学院加大对教师队伍的培训和培养力度，建立健全师资培养、培训机制。通过</w:t>
      </w:r>
      <w:r>
        <w:rPr>
          <w:rFonts w:hint="eastAsia"/>
          <w:szCs w:val="24"/>
        </w:rPr>
        <w:t>“</w:t>
      </w:r>
      <w:r>
        <w:rPr>
          <w:szCs w:val="24"/>
        </w:rPr>
        <w:t>访名校、拜大师、请进来、走出去</w:t>
      </w:r>
      <w:r>
        <w:rPr>
          <w:rFonts w:hint="eastAsia"/>
          <w:szCs w:val="24"/>
        </w:rPr>
        <w:t>”</w:t>
      </w:r>
      <w:r>
        <w:rPr>
          <w:szCs w:val="24"/>
        </w:rPr>
        <w:t>等多种办法和途径对教师培训，加强对信息与计算科学专业师资队伍的建设力度，积极选派专业教师到中国科学院、美国、澳大利亚等国内外相关院校交流学习。</w:t>
      </w:r>
    </w:p>
    <w:p>
      <w:pPr>
        <w:ind w:firstLine="480" w:firstLineChars="200"/>
        <w:rPr>
          <w:szCs w:val="24"/>
        </w:rPr>
      </w:pPr>
      <w:r>
        <w:rPr>
          <w:szCs w:val="24"/>
        </w:rPr>
        <w:t>对新进年轻教师实行导师制，并让其从事</w:t>
      </w:r>
      <w:r>
        <w:rPr>
          <w:rFonts w:hint="eastAsia"/>
          <w:szCs w:val="24"/>
        </w:rPr>
        <w:t>“</w:t>
      </w:r>
      <w:r>
        <w:rPr>
          <w:szCs w:val="24"/>
        </w:rPr>
        <w:t>三助</w:t>
      </w:r>
      <w:r>
        <w:rPr>
          <w:rFonts w:hint="eastAsia"/>
          <w:szCs w:val="24"/>
        </w:rPr>
        <w:t>”</w:t>
      </w:r>
      <w:r>
        <w:rPr>
          <w:szCs w:val="24"/>
        </w:rPr>
        <w:t>(辅助科研、辅助教学、辅助管理)工作，帮助青年教师尽快提高教学科研能力，使其尽快融入教学科研和管理之中。在日常教学过程中，通过老教师的传帮带以及选派教师进修访问、参加专业课程培训班等措施，加快年轻教师的成长。</w:t>
      </w:r>
    </w:p>
    <w:p>
      <w:pPr>
        <w:ind w:firstLine="480" w:firstLineChars="200"/>
        <w:rPr>
          <w:szCs w:val="24"/>
        </w:rPr>
      </w:pPr>
      <w:r>
        <w:rPr>
          <w:szCs w:val="24"/>
        </w:rPr>
        <w:t>根据专业的办学定位，有计划地派出教师到相应企业挂职锻炼，安排教师深入企业生产第一线，培养科研和动手操作能力，提高教学的针对性，增强实践教学环节的效果，提高学生的动手能力和创业意识。</w:t>
      </w:r>
    </w:p>
    <w:p>
      <w:pPr>
        <w:spacing w:before="156" w:beforeLines="50"/>
        <w:jc w:val="center"/>
        <w:rPr>
          <w:b/>
          <w:bCs/>
          <w:sz w:val="21"/>
          <w:szCs w:val="21"/>
        </w:rPr>
      </w:pPr>
      <w:bookmarkStart w:id="668" w:name="_Toc439256256"/>
      <w:bookmarkStart w:id="669" w:name="_Toc439229073"/>
      <w:bookmarkStart w:id="670" w:name="_Toc439254764"/>
      <w:bookmarkStart w:id="671" w:name="_Toc439226856"/>
    </w:p>
    <w:p>
      <w:pPr>
        <w:spacing w:before="156" w:beforeLines="50"/>
        <w:jc w:val="center"/>
        <w:rPr>
          <w:b/>
          <w:bCs/>
          <w:sz w:val="21"/>
          <w:szCs w:val="21"/>
        </w:rPr>
      </w:pPr>
      <w:r>
        <w:rPr>
          <w:b/>
          <w:bCs/>
          <w:sz w:val="21"/>
          <w:szCs w:val="21"/>
        </w:rPr>
        <w:t>表 1  专任教师队伍结构</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0"/>
        <w:gridCol w:w="2167"/>
        <w:gridCol w:w="2831"/>
        <w:gridCol w:w="2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5" w:type="pct"/>
            <w:gridSpan w:val="2"/>
            <w:vMerge w:val="restart"/>
            <w:shd w:val="clear" w:color="auto" w:fill="auto"/>
            <w:vAlign w:val="center"/>
          </w:tcPr>
          <w:p>
            <w:pPr>
              <w:snapToGrid w:val="0"/>
              <w:jc w:val="center"/>
              <w:rPr>
                <w:b/>
                <w:bCs/>
                <w:color w:val="000000"/>
                <w:kern w:val="0"/>
                <w:sz w:val="21"/>
                <w:szCs w:val="21"/>
              </w:rPr>
            </w:pPr>
            <w:r>
              <w:rPr>
                <w:b/>
                <w:bCs/>
                <w:color w:val="000000"/>
                <w:kern w:val="0"/>
                <w:sz w:val="21"/>
                <w:szCs w:val="21"/>
              </w:rPr>
              <w:t>总体情况</w:t>
            </w:r>
          </w:p>
        </w:tc>
        <w:tc>
          <w:tcPr>
            <w:tcW w:w="3125" w:type="pct"/>
            <w:gridSpan w:val="2"/>
            <w:shd w:val="clear" w:color="auto" w:fill="auto"/>
            <w:vAlign w:val="center"/>
          </w:tcPr>
          <w:p>
            <w:pPr>
              <w:snapToGrid w:val="0"/>
              <w:jc w:val="center"/>
              <w:rPr>
                <w:b/>
                <w:bCs/>
                <w:color w:val="000000"/>
                <w:kern w:val="0"/>
                <w:sz w:val="21"/>
                <w:szCs w:val="21"/>
              </w:rPr>
            </w:pPr>
            <w:r>
              <w:rPr>
                <w:b/>
                <w:bCs/>
                <w:color w:val="000000"/>
                <w:kern w:val="0"/>
                <w:sz w:val="21"/>
                <w:szCs w:val="21"/>
              </w:rPr>
              <w:t>专任教师人数及比例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5" w:type="pct"/>
            <w:gridSpan w:val="2"/>
            <w:vMerge w:val="continue"/>
            <w:shd w:val="clear" w:color="auto" w:fill="auto"/>
            <w:vAlign w:val="center"/>
          </w:tcPr>
          <w:p>
            <w:pPr>
              <w:snapToGrid w:val="0"/>
              <w:jc w:val="center"/>
              <w:rPr>
                <w:b/>
                <w:bCs/>
                <w:color w:val="000000"/>
                <w:kern w:val="0"/>
                <w:sz w:val="21"/>
                <w:szCs w:val="21"/>
              </w:rPr>
            </w:pPr>
          </w:p>
        </w:tc>
        <w:tc>
          <w:tcPr>
            <w:tcW w:w="1562" w:type="pct"/>
            <w:shd w:val="clear" w:color="auto" w:fill="auto"/>
            <w:vAlign w:val="center"/>
          </w:tcPr>
          <w:p>
            <w:pPr>
              <w:snapToGrid w:val="0"/>
              <w:jc w:val="center"/>
              <w:rPr>
                <w:b/>
                <w:bCs/>
                <w:color w:val="000000"/>
                <w:kern w:val="0"/>
                <w:sz w:val="21"/>
                <w:szCs w:val="21"/>
              </w:rPr>
            </w:pPr>
            <w:r>
              <w:rPr>
                <w:b/>
                <w:bCs/>
                <w:color w:val="000000"/>
                <w:kern w:val="0"/>
                <w:sz w:val="21"/>
                <w:szCs w:val="21"/>
              </w:rPr>
              <w:t>人数</w:t>
            </w:r>
          </w:p>
        </w:tc>
        <w:tc>
          <w:tcPr>
            <w:tcW w:w="1563" w:type="pct"/>
            <w:shd w:val="clear" w:color="auto" w:fill="auto"/>
            <w:vAlign w:val="center"/>
          </w:tcPr>
          <w:p>
            <w:pPr>
              <w:snapToGrid w:val="0"/>
              <w:jc w:val="center"/>
              <w:rPr>
                <w:b/>
                <w:bCs/>
                <w:color w:val="000000"/>
                <w:kern w:val="0"/>
                <w:sz w:val="21"/>
                <w:szCs w:val="21"/>
              </w:rPr>
            </w:pPr>
            <w:r>
              <w:rPr>
                <w:b/>
                <w:bCs/>
                <w:color w:val="000000"/>
                <w:kern w:val="0"/>
                <w:sz w:val="21"/>
                <w:szCs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5" w:type="pct"/>
            <w:gridSpan w:val="2"/>
            <w:vMerge w:val="continue"/>
            <w:tcBorders>
              <w:bottom w:val="single" w:color="auto" w:sz="4" w:space="0"/>
            </w:tcBorders>
            <w:shd w:val="clear" w:color="auto" w:fill="auto"/>
            <w:vAlign w:val="center"/>
          </w:tcPr>
          <w:p>
            <w:pPr>
              <w:snapToGrid w:val="0"/>
              <w:jc w:val="center"/>
              <w:rPr>
                <w:b/>
                <w:bCs/>
                <w:color w:val="000000"/>
                <w:kern w:val="0"/>
                <w:sz w:val="21"/>
                <w:szCs w:val="21"/>
              </w:rPr>
            </w:pPr>
          </w:p>
        </w:tc>
        <w:tc>
          <w:tcPr>
            <w:tcW w:w="1562" w:type="pct"/>
            <w:tcBorders>
              <w:bottom w:val="single" w:color="auto" w:sz="4" w:space="0"/>
            </w:tcBorders>
            <w:shd w:val="clear" w:color="auto" w:fill="auto"/>
            <w:vAlign w:val="center"/>
          </w:tcPr>
          <w:p>
            <w:pPr>
              <w:snapToGrid w:val="0"/>
              <w:jc w:val="center"/>
              <w:rPr>
                <w:b/>
                <w:bCs/>
                <w:color w:val="000000"/>
                <w:kern w:val="0"/>
                <w:sz w:val="21"/>
                <w:szCs w:val="21"/>
              </w:rPr>
            </w:pPr>
            <w:r>
              <w:rPr>
                <w:b/>
                <w:bCs/>
                <w:color w:val="000000"/>
                <w:kern w:val="0"/>
                <w:sz w:val="21"/>
                <w:szCs w:val="21"/>
              </w:rPr>
              <w:t>20</w:t>
            </w:r>
          </w:p>
        </w:tc>
        <w:tc>
          <w:tcPr>
            <w:tcW w:w="1563" w:type="pct"/>
            <w:tcBorders>
              <w:bottom w:val="single" w:color="auto" w:sz="4" w:space="0"/>
            </w:tcBorders>
            <w:shd w:val="clear" w:color="auto" w:fill="auto"/>
            <w:vAlign w:val="center"/>
          </w:tcPr>
          <w:p>
            <w:pPr>
              <w:snapToGrid w:val="0"/>
              <w:jc w:val="center"/>
              <w:rPr>
                <w:b/>
                <w:bCs/>
                <w:color w:val="000000"/>
                <w:kern w:val="0"/>
                <w:sz w:val="21"/>
                <w:szCs w:val="21"/>
              </w:rPr>
            </w:pPr>
            <w:r>
              <w:rPr>
                <w:b/>
                <w:bCs/>
                <w:color w:val="000000"/>
                <w:kern w:val="0"/>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pct"/>
            <w:vMerge w:val="restart"/>
            <w:shd w:val="clear" w:color="auto" w:fill="auto"/>
            <w:vAlign w:val="center"/>
          </w:tcPr>
          <w:p>
            <w:pPr>
              <w:snapToGrid w:val="0"/>
              <w:jc w:val="center"/>
              <w:rPr>
                <w:color w:val="000000"/>
                <w:kern w:val="0"/>
                <w:sz w:val="21"/>
                <w:szCs w:val="21"/>
              </w:rPr>
            </w:pPr>
            <w:r>
              <w:rPr>
                <w:color w:val="000000"/>
                <w:kern w:val="0"/>
                <w:sz w:val="21"/>
                <w:szCs w:val="21"/>
              </w:rPr>
              <w:t>职称</w:t>
            </w:r>
          </w:p>
        </w:tc>
        <w:tc>
          <w:tcPr>
            <w:tcW w:w="1196" w:type="pct"/>
            <w:shd w:val="clear" w:color="auto" w:fill="auto"/>
            <w:vAlign w:val="center"/>
          </w:tcPr>
          <w:p>
            <w:pPr>
              <w:snapToGrid w:val="0"/>
              <w:jc w:val="center"/>
              <w:rPr>
                <w:color w:val="000000"/>
                <w:kern w:val="0"/>
                <w:sz w:val="21"/>
                <w:szCs w:val="21"/>
              </w:rPr>
            </w:pPr>
            <w:r>
              <w:rPr>
                <w:color w:val="000000"/>
                <w:kern w:val="0"/>
                <w:sz w:val="21"/>
                <w:szCs w:val="21"/>
              </w:rPr>
              <w:t>正高级</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5</w:t>
            </w:r>
          </w:p>
        </w:tc>
        <w:tc>
          <w:tcPr>
            <w:tcW w:w="1563" w:type="pct"/>
            <w:shd w:val="clear" w:color="auto" w:fill="auto"/>
          </w:tcPr>
          <w:p>
            <w:pPr>
              <w:snapToGrid w:val="0"/>
              <w:jc w:val="center"/>
              <w:rPr>
                <w:color w:val="000000"/>
                <w:kern w:val="0"/>
                <w:sz w:val="21"/>
                <w:szCs w:val="21"/>
              </w:rPr>
            </w:pPr>
            <w:r>
              <w:rPr>
                <w:color w:val="000000"/>
                <w:kern w:val="0"/>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pct"/>
            <w:vMerge w:val="continue"/>
            <w:shd w:val="clear" w:color="auto" w:fill="auto"/>
            <w:vAlign w:val="center"/>
          </w:tcPr>
          <w:p>
            <w:pPr>
              <w:snapToGrid w:val="0"/>
              <w:jc w:val="center"/>
              <w:rPr>
                <w:color w:val="000000"/>
                <w:kern w:val="0"/>
                <w:sz w:val="21"/>
                <w:szCs w:val="21"/>
              </w:rPr>
            </w:pPr>
          </w:p>
        </w:tc>
        <w:tc>
          <w:tcPr>
            <w:tcW w:w="1196" w:type="pct"/>
            <w:shd w:val="clear" w:color="auto" w:fill="auto"/>
            <w:vAlign w:val="center"/>
          </w:tcPr>
          <w:p>
            <w:pPr>
              <w:snapToGrid w:val="0"/>
              <w:jc w:val="center"/>
              <w:rPr>
                <w:color w:val="000000"/>
                <w:kern w:val="0"/>
                <w:sz w:val="21"/>
                <w:szCs w:val="21"/>
              </w:rPr>
            </w:pPr>
            <w:r>
              <w:rPr>
                <w:color w:val="000000"/>
                <w:kern w:val="0"/>
                <w:sz w:val="21"/>
                <w:szCs w:val="21"/>
              </w:rPr>
              <w:t>副高级</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12</w:t>
            </w:r>
          </w:p>
        </w:tc>
        <w:tc>
          <w:tcPr>
            <w:tcW w:w="1563" w:type="pct"/>
            <w:shd w:val="clear" w:color="auto" w:fill="auto"/>
          </w:tcPr>
          <w:p>
            <w:pPr>
              <w:snapToGrid w:val="0"/>
              <w:jc w:val="center"/>
              <w:rPr>
                <w:color w:val="000000"/>
                <w:kern w:val="0"/>
                <w:sz w:val="21"/>
                <w:szCs w:val="21"/>
              </w:rPr>
            </w:pPr>
            <w:r>
              <w:rPr>
                <w:color w:val="000000"/>
                <w:kern w:val="0"/>
                <w:sz w:val="21"/>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pct"/>
            <w:vMerge w:val="continue"/>
            <w:shd w:val="clear" w:color="auto" w:fill="auto"/>
            <w:vAlign w:val="center"/>
          </w:tcPr>
          <w:p>
            <w:pPr>
              <w:snapToGrid w:val="0"/>
              <w:jc w:val="center"/>
              <w:rPr>
                <w:color w:val="000000"/>
                <w:kern w:val="0"/>
                <w:sz w:val="21"/>
                <w:szCs w:val="21"/>
              </w:rPr>
            </w:pPr>
          </w:p>
        </w:tc>
        <w:tc>
          <w:tcPr>
            <w:tcW w:w="1196" w:type="pct"/>
            <w:shd w:val="clear" w:color="auto" w:fill="auto"/>
            <w:vAlign w:val="center"/>
          </w:tcPr>
          <w:p>
            <w:pPr>
              <w:snapToGrid w:val="0"/>
              <w:jc w:val="center"/>
              <w:rPr>
                <w:color w:val="000000"/>
                <w:kern w:val="0"/>
                <w:sz w:val="21"/>
                <w:szCs w:val="21"/>
              </w:rPr>
            </w:pPr>
            <w:r>
              <w:rPr>
                <w:color w:val="000000"/>
                <w:kern w:val="0"/>
                <w:sz w:val="21"/>
                <w:szCs w:val="21"/>
              </w:rPr>
              <w:t>中级</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3</w:t>
            </w:r>
          </w:p>
        </w:tc>
        <w:tc>
          <w:tcPr>
            <w:tcW w:w="1563" w:type="pct"/>
            <w:shd w:val="clear" w:color="auto" w:fill="auto"/>
          </w:tcPr>
          <w:p>
            <w:pPr>
              <w:snapToGrid w:val="0"/>
              <w:jc w:val="center"/>
              <w:rPr>
                <w:color w:val="000000"/>
                <w:kern w:val="0"/>
                <w:sz w:val="21"/>
                <w:szCs w:val="21"/>
              </w:rPr>
            </w:pPr>
            <w:r>
              <w:rPr>
                <w:color w:val="000000"/>
                <w:kern w:val="0"/>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pct"/>
            <w:vMerge w:val="restart"/>
            <w:shd w:val="clear" w:color="auto" w:fill="auto"/>
            <w:vAlign w:val="center"/>
          </w:tcPr>
          <w:p>
            <w:pPr>
              <w:snapToGrid w:val="0"/>
              <w:jc w:val="center"/>
              <w:rPr>
                <w:color w:val="000000"/>
                <w:kern w:val="0"/>
                <w:sz w:val="21"/>
                <w:szCs w:val="21"/>
              </w:rPr>
            </w:pPr>
            <w:r>
              <w:rPr>
                <w:color w:val="000000"/>
                <w:kern w:val="0"/>
                <w:sz w:val="21"/>
                <w:szCs w:val="21"/>
              </w:rPr>
              <w:t>学位</w:t>
            </w:r>
          </w:p>
        </w:tc>
        <w:tc>
          <w:tcPr>
            <w:tcW w:w="1196" w:type="pct"/>
            <w:shd w:val="clear" w:color="auto" w:fill="auto"/>
            <w:vAlign w:val="center"/>
          </w:tcPr>
          <w:p>
            <w:pPr>
              <w:snapToGrid w:val="0"/>
              <w:jc w:val="center"/>
              <w:rPr>
                <w:color w:val="000000"/>
                <w:kern w:val="0"/>
                <w:sz w:val="21"/>
                <w:szCs w:val="21"/>
              </w:rPr>
            </w:pPr>
            <w:r>
              <w:rPr>
                <w:color w:val="000000"/>
                <w:kern w:val="0"/>
                <w:sz w:val="21"/>
                <w:szCs w:val="21"/>
              </w:rPr>
              <w:t>博士</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18</w:t>
            </w:r>
          </w:p>
        </w:tc>
        <w:tc>
          <w:tcPr>
            <w:tcW w:w="1563" w:type="pct"/>
            <w:shd w:val="clear" w:color="auto" w:fill="auto"/>
          </w:tcPr>
          <w:p>
            <w:pPr>
              <w:snapToGrid w:val="0"/>
              <w:jc w:val="center"/>
              <w:rPr>
                <w:color w:val="000000"/>
                <w:kern w:val="0"/>
                <w:sz w:val="21"/>
                <w:szCs w:val="21"/>
              </w:rPr>
            </w:pPr>
            <w:r>
              <w:rPr>
                <w:color w:val="000000"/>
                <w:kern w:val="0"/>
                <w:sz w:val="21"/>
                <w:szCs w:val="21"/>
              </w:rPr>
              <w:t>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pct"/>
            <w:vMerge w:val="continue"/>
            <w:shd w:val="clear" w:color="auto" w:fill="auto"/>
            <w:vAlign w:val="center"/>
          </w:tcPr>
          <w:p>
            <w:pPr>
              <w:snapToGrid w:val="0"/>
              <w:jc w:val="center"/>
              <w:rPr>
                <w:color w:val="000000"/>
                <w:kern w:val="0"/>
                <w:sz w:val="21"/>
                <w:szCs w:val="21"/>
              </w:rPr>
            </w:pPr>
          </w:p>
        </w:tc>
        <w:tc>
          <w:tcPr>
            <w:tcW w:w="1196" w:type="pct"/>
            <w:shd w:val="clear" w:color="auto" w:fill="auto"/>
            <w:vAlign w:val="center"/>
          </w:tcPr>
          <w:p>
            <w:pPr>
              <w:snapToGrid w:val="0"/>
              <w:jc w:val="center"/>
              <w:rPr>
                <w:color w:val="000000"/>
                <w:kern w:val="0"/>
                <w:sz w:val="21"/>
                <w:szCs w:val="21"/>
              </w:rPr>
            </w:pPr>
            <w:r>
              <w:rPr>
                <w:color w:val="000000"/>
                <w:kern w:val="0"/>
                <w:sz w:val="21"/>
                <w:szCs w:val="21"/>
              </w:rPr>
              <w:t>硕士</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2</w:t>
            </w:r>
          </w:p>
        </w:tc>
        <w:tc>
          <w:tcPr>
            <w:tcW w:w="1563" w:type="pct"/>
            <w:shd w:val="clear" w:color="auto" w:fill="auto"/>
          </w:tcPr>
          <w:p>
            <w:pPr>
              <w:snapToGrid w:val="0"/>
              <w:jc w:val="center"/>
              <w:rPr>
                <w:color w:val="000000"/>
                <w:kern w:val="0"/>
                <w:sz w:val="21"/>
                <w:szCs w:val="21"/>
              </w:rPr>
            </w:pPr>
            <w:r>
              <w:rPr>
                <w:color w:val="000000"/>
                <w:kern w:val="0"/>
                <w:sz w:val="21"/>
                <w:szCs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pct"/>
            <w:vMerge w:val="restart"/>
            <w:shd w:val="clear" w:color="auto" w:fill="auto"/>
            <w:vAlign w:val="center"/>
          </w:tcPr>
          <w:p>
            <w:pPr>
              <w:snapToGrid w:val="0"/>
              <w:jc w:val="center"/>
              <w:rPr>
                <w:color w:val="000000"/>
                <w:kern w:val="0"/>
                <w:sz w:val="21"/>
                <w:szCs w:val="21"/>
              </w:rPr>
            </w:pPr>
            <w:r>
              <w:rPr>
                <w:color w:val="000000"/>
                <w:kern w:val="0"/>
                <w:sz w:val="21"/>
                <w:szCs w:val="21"/>
              </w:rPr>
              <w:t>年龄</w:t>
            </w:r>
          </w:p>
        </w:tc>
        <w:tc>
          <w:tcPr>
            <w:tcW w:w="1196" w:type="pct"/>
            <w:shd w:val="clear" w:color="auto" w:fill="auto"/>
            <w:vAlign w:val="center"/>
          </w:tcPr>
          <w:p>
            <w:pPr>
              <w:snapToGrid w:val="0"/>
              <w:jc w:val="center"/>
              <w:rPr>
                <w:color w:val="000000"/>
                <w:kern w:val="0"/>
                <w:sz w:val="21"/>
                <w:szCs w:val="21"/>
              </w:rPr>
            </w:pPr>
            <w:r>
              <w:rPr>
                <w:color w:val="000000"/>
                <w:kern w:val="0"/>
                <w:sz w:val="21"/>
                <w:szCs w:val="21"/>
              </w:rPr>
              <w:t>35岁及以下</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5</w:t>
            </w:r>
          </w:p>
        </w:tc>
        <w:tc>
          <w:tcPr>
            <w:tcW w:w="1563" w:type="pct"/>
            <w:shd w:val="clear" w:color="auto" w:fill="auto"/>
          </w:tcPr>
          <w:p>
            <w:pPr>
              <w:snapToGrid w:val="0"/>
              <w:jc w:val="center"/>
              <w:rPr>
                <w:color w:val="000000"/>
                <w:kern w:val="0"/>
                <w:sz w:val="21"/>
                <w:szCs w:val="21"/>
              </w:rPr>
            </w:pPr>
            <w:r>
              <w:rPr>
                <w:color w:val="000000"/>
                <w:kern w:val="0"/>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pct"/>
            <w:vMerge w:val="continue"/>
            <w:shd w:val="clear" w:color="auto" w:fill="auto"/>
            <w:vAlign w:val="center"/>
          </w:tcPr>
          <w:p>
            <w:pPr>
              <w:snapToGrid w:val="0"/>
              <w:jc w:val="center"/>
              <w:rPr>
                <w:color w:val="000000"/>
                <w:kern w:val="0"/>
                <w:sz w:val="21"/>
                <w:szCs w:val="21"/>
              </w:rPr>
            </w:pPr>
          </w:p>
        </w:tc>
        <w:tc>
          <w:tcPr>
            <w:tcW w:w="1196" w:type="pct"/>
            <w:shd w:val="clear" w:color="auto" w:fill="auto"/>
            <w:vAlign w:val="center"/>
          </w:tcPr>
          <w:p>
            <w:pPr>
              <w:snapToGrid w:val="0"/>
              <w:jc w:val="center"/>
              <w:rPr>
                <w:kern w:val="0"/>
                <w:sz w:val="21"/>
                <w:szCs w:val="21"/>
              </w:rPr>
            </w:pPr>
            <w:r>
              <w:rPr>
                <w:kern w:val="0"/>
                <w:sz w:val="21"/>
                <w:szCs w:val="21"/>
              </w:rPr>
              <w:t>36-45岁</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10</w:t>
            </w:r>
          </w:p>
        </w:tc>
        <w:tc>
          <w:tcPr>
            <w:tcW w:w="1563" w:type="pct"/>
            <w:shd w:val="clear" w:color="auto" w:fill="auto"/>
          </w:tcPr>
          <w:p>
            <w:pPr>
              <w:snapToGrid w:val="0"/>
              <w:jc w:val="center"/>
              <w:rPr>
                <w:color w:val="000000"/>
                <w:kern w:val="0"/>
                <w:sz w:val="21"/>
                <w:szCs w:val="21"/>
              </w:rPr>
            </w:pPr>
            <w:r>
              <w:rPr>
                <w:color w:val="000000"/>
                <w:kern w:val="0"/>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pct"/>
            <w:vMerge w:val="continue"/>
            <w:shd w:val="clear" w:color="auto" w:fill="auto"/>
            <w:vAlign w:val="center"/>
          </w:tcPr>
          <w:p>
            <w:pPr>
              <w:snapToGrid w:val="0"/>
              <w:jc w:val="center"/>
              <w:rPr>
                <w:color w:val="000000"/>
                <w:kern w:val="0"/>
                <w:sz w:val="21"/>
                <w:szCs w:val="21"/>
              </w:rPr>
            </w:pPr>
          </w:p>
        </w:tc>
        <w:tc>
          <w:tcPr>
            <w:tcW w:w="1196" w:type="pct"/>
            <w:shd w:val="clear" w:color="auto" w:fill="auto"/>
            <w:vAlign w:val="center"/>
          </w:tcPr>
          <w:p>
            <w:pPr>
              <w:snapToGrid w:val="0"/>
              <w:jc w:val="center"/>
              <w:rPr>
                <w:kern w:val="0"/>
                <w:sz w:val="21"/>
                <w:szCs w:val="21"/>
              </w:rPr>
            </w:pPr>
            <w:r>
              <w:rPr>
                <w:kern w:val="0"/>
                <w:sz w:val="21"/>
                <w:szCs w:val="21"/>
              </w:rPr>
              <w:t>46-55岁</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4</w:t>
            </w:r>
          </w:p>
        </w:tc>
        <w:tc>
          <w:tcPr>
            <w:tcW w:w="1563" w:type="pct"/>
            <w:shd w:val="clear" w:color="auto" w:fill="auto"/>
          </w:tcPr>
          <w:p>
            <w:pPr>
              <w:snapToGrid w:val="0"/>
              <w:jc w:val="center"/>
              <w:rPr>
                <w:color w:val="000000"/>
                <w:kern w:val="0"/>
                <w:sz w:val="21"/>
                <w:szCs w:val="21"/>
              </w:rPr>
            </w:pPr>
            <w:r>
              <w:rPr>
                <w:color w:val="000000"/>
                <w:kern w:val="0"/>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pct"/>
            <w:vMerge w:val="continue"/>
            <w:shd w:val="clear" w:color="auto" w:fill="auto"/>
            <w:vAlign w:val="center"/>
          </w:tcPr>
          <w:p>
            <w:pPr>
              <w:snapToGrid w:val="0"/>
              <w:jc w:val="center"/>
              <w:rPr>
                <w:color w:val="000000"/>
                <w:kern w:val="0"/>
                <w:sz w:val="21"/>
                <w:szCs w:val="21"/>
              </w:rPr>
            </w:pPr>
          </w:p>
        </w:tc>
        <w:tc>
          <w:tcPr>
            <w:tcW w:w="1196" w:type="pct"/>
            <w:shd w:val="clear" w:color="auto" w:fill="auto"/>
            <w:vAlign w:val="center"/>
          </w:tcPr>
          <w:p>
            <w:pPr>
              <w:snapToGrid w:val="0"/>
              <w:jc w:val="center"/>
              <w:rPr>
                <w:color w:val="000000"/>
                <w:kern w:val="0"/>
                <w:sz w:val="21"/>
                <w:szCs w:val="21"/>
              </w:rPr>
            </w:pPr>
            <w:r>
              <w:rPr>
                <w:color w:val="000000"/>
                <w:kern w:val="0"/>
                <w:sz w:val="21"/>
                <w:szCs w:val="21"/>
              </w:rPr>
              <w:t>56岁及以上</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1</w:t>
            </w:r>
          </w:p>
        </w:tc>
        <w:tc>
          <w:tcPr>
            <w:tcW w:w="1563" w:type="pct"/>
            <w:shd w:val="clear" w:color="auto" w:fill="auto"/>
          </w:tcPr>
          <w:p>
            <w:pPr>
              <w:snapToGrid w:val="0"/>
              <w:jc w:val="center"/>
              <w:rPr>
                <w:color w:val="000000"/>
                <w:kern w:val="0"/>
                <w:sz w:val="21"/>
                <w:szCs w:val="21"/>
              </w:rPr>
            </w:pPr>
            <w:r>
              <w:rPr>
                <w:color w:val="000000"/>
                <w:kern w:val="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pct"/>
            <w:vMerge w:val="restart"/>
            <w:shd w:val="clear" w:color="auto" w:fill="auto"/>
            <w:vAlign w:val="center"/>
          </w:tcPr>
          <w:p>
            <w:pPr>
              <w:snapToGrid w:val="0"/>
              <w:jc w:val="center"/>
              <w:rPr>
                <w:color w:val="000000"/>
                <w:kern w:val="0"/>
                <w:sz w:val="21"/>
                <w:szCs w:val="21"/>
              </w:rPr>
            </w:pPr>
            <w:r>
              <w:rPr>
                <w:color w:val="000000"/>
                <w:kern w:val="0"/>
                <w:sz w:val="21"/>
                <w:szCs w:val="21"/>
              </w:rPr>
              <w:t>学缘</w:t>
            </w:r>
          </w:p>
        </w:tc>
        <w:tc>
          <w:tcPr>
            <w:tcW w:w="1196" w:type="pct"/>
            <w:shd w:val="clear" w:color="auto" w:fill="auto"/>
            <w:vAlign w:val="center"/>
          </w:tcPr>
          <w:p>
            <w:pPr>
              <w:snapToGrid w:val="0"/>
              <w:jc w:val="center"/>
              <w:rPr>
                <w:color w:val="000000"/>
                <w:kern w:val="0"/>
                <w:sz w:val="21"/>
                <w:szCs w:val="21"/>
              </w:rPr>
            </w:pPr>
            <w:r>
              <w:rPr>
                <w:color w:val="000000"/>
                <w:kern w:val="0"/>
                <w:sz w:val="21"/>
                <w:szCs w:val="21"/>
              </w:rPr>
              <w:t>本校</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1</w:t>
            </w:r>
          </w:p>
        </w:tc>
        <w:tc>
          <w:tcPr>
            <w:tcW w:w="1563" w:type="pct"/>
            <w:shd w:val="clear" w:color="auto" w:fill="auto"/>
          </w:tcPr>
          <w:p>
            <w:pPr>
              <w:snapToGrid w:val="0"/>
              <w:jc w:val="center"/>
              <w:rPr>
                <w:color w:val="000000"/>
                <w:kern w:val="0"/>
                <w:sz w:val="21"/>
                <w:szCs w:val="21"/>
              </w:rPr>
            </w:pPr>
            <w:r>
              <w:rPr>
                <w:color w:val="000000"/>
                <w:kern w:val="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9" w:type="pct"/>
            <w:vMerge w:val="continue"/>
            <w:shd w:val="clear" w:color="auto" w:fill="auto"/>
            <w:vAlign w:val="center"/>
          </w:tcPr>
          <w:p>
            <w:pPr>
              <w:snapToGrid w:val="0"/>
              <w:jc w:val="center"/>
              <w:rPr>
                <w:color w:val="000000"/>
                <w:kern w:val="0"/>
                <w:sz w:val="21"/>
                <w:szCs w:val="21"/>
              </w:rPr>
            </w:pPr>
          </w:p>
        </w:tc>
        <w:tc>
          <w:tcPr>
            <w:tcW w:w="1196" w:type="pct"/>
            <w:shd w:val="clear" w:color="auto" w:fill="auto"/>
            <w:vAlign w:val="center"/>
          </w:tcPr>
          <w:p>
            <w:pPr>
              <w:snapToGrid w:val="0"/>
              <w:jc w:val="center"/>
              <w:rPr>
                <w:color w:val="000000"/>
                <w:kern w:val="0"/>
                <w:sz w:val="21"/>
                <w:szCs w:val="21"/>
              </w:rPr>
            </w:pPr>
            <w:r>
              <w:rPr>
                <w:color w:val="000000"/>
                <w:kern w:val="0"/>
                <w:sz w:val="21"/>
                <w:szCs w:val="21"/>
              </w:rPr>
              <w:t>外校</w:t>
            </w:r>
          </w:p>
        </w:tc>
        <w:tc>
          <w:tcPr>
            <w:tcW w:w="1562" w:type="pct"/>
            <w:shd w:val="clear" w:color="auto" w:fill="auto"/>
            <w:vAlign w:val="center"/>
          </w:tcPr>
          <w:p>
            <w:pPr>
              <w:snapToGrid w:val="0"/>
              <w:jc w:val="center"/>
              <w:rPr>
                <w:color w:val="000000"/>
                <w:kern w:val="0"/>
                <w:sz w:val="21"/>
                <w:szCs w:val="21"/>
              </w:rPr>
            </w:pPr>
            <w:r>
              <w:rPr>
                <w:color w:val="000000"/>
                <w:kern w:val="0"/>
                <w:sz w:val="21"/>
                <w:szCs w:val="21"/>
              </w:rPr>
              <w:t>19</w:t>
            </w:r>
          </w:p>
        </w:tc>
        <w:tc>
          <w:tcPr>
            <w:tcW w:w="1563" w:type="pct"/>
            <w:shd w:val="clear" w:color="auto" w:fill="auto"/>
          </w:tcPr>
          <w:p>
            <w:pPr>
              <w:snapToGrid w:val="0"/>
              <w:jc w:val="center"/>
              <w:rPr>
                <w:sz w:val="21"/>
                <w:szCs w:val="21"/>
              </w:rPr>
            </w:pPr>
            <w:r>
              <w:rPr>
                <w:color w:val="000000"/>
                <w:kern w:val="0"/>
                <w:sz w:val="21"/>
                <w:szCs w:val="21"/>
              </w:rPr>
              <w:t>95%</w:t>
            </w:r>
          </w:p>
        </w:tc>
      </w:tr>
    </w:tbl>
    <w:p>
      <w:pPr>
        <w:pStyle w:val="6"/>
        <w:ind w:firstLine="480"/>
      </w:pPr>
      <w:r>
        <w:t>3. 实习基地建设</w:t>
      </w:r>
      <w:bookmarkEnd w:id="668"/>
      <w:bookmarkEnd w:id="669"/>
      <w:bookmarkEnd w:id="670"/>
      <w:bookmarkEnd w:id="671"/>
    </w:p>
    <w:p>
      <w:pPr>
        <w:ind w:firstLine="480" w:firstLineChars="200"/>
        <w:rPr>
          <w:szCs w:val="24"/>
        </w:rPr>
      </w:pPr>
      <w:r>
        <w:rPr>
          <w:szCs w:val="24"/>
        </w:rPr>
        <w:t>本专业历来重视实习基地的建设，坚持内外并举，共同建设，协同发展的原则。学院为了满足本专业数学建模、数学实验的需要，重点建设了数学建模实验室。此外，充分利用学院内部现有资源，如微机原理实验室、嵌入式系统实验室、大数据实验平台等实验室及实验平台，加强学生综合能力的培养，强化学科交叉，进一步培养学生学以致用的能力。</w:t>
      </w:r>
    </w:p>
    <w:p>
      <w:pPr>
        <w:ind w:firstLine="480" w:firstLineChars="200"/>
        <w:rPr>
          <w:szCs w:val="24"/>
        </w:rPr>
      </w:pPr>
      <w:r>
        <w:rPr>
          <w:szCs w:val="24"/>
        </w:rPr>
        <w:t>（1）增加稳定的实习实践基地建设，探索校级实习实践基地建设。原有实践教学基地的基础上，先后与青岛思途共享科技信息服务有限公司、北京佳格天地科技有限公司、山东泰开互感器有限公司、山东泰开检测有限公司、泰安市金土地测绘整理有限公司等公司建立教学实践基地，进一步拓宽了学生实习、实践的范围，进而满足了本专业学生的实习、实践的需求。</w:t>
      </w:r>
    </w:p>
    <w:p>
      <w:pPr>
        <w:ind w:firstLine="480" w:firstLineChars="200"/>
        <w:rPr>
          <w:szCs w:val="24"/>
        </w:rPr>
      </w:pPr>
      <w:r>
        <w:rPr>
          <w:szCs w:val="24"/>
        </w:rPr>
        <w:t>（2）通过与企业实施挂牌项目，邀请企业导师与专业教师共同实施翻转课堂教学，提高课堂教学质量，鼓励专业教师参与企业项目研发，提升专业教师教学科研水平、整体素质和能力，进而提高校企联合培养质量。尝试探索</w:t>
      </w:r>
      <w:r>
        <w:rPr>
          <w:rFonts w:hint="eastAsia"/>
          <w:szCs w:val="24"/>
        </w:rPr>
        <w:t>“</w:t>
      </w:r>
      <w:r>
        <w:rPr>
          <w:szCs w:val="24"/>
        </w:rPr>
        <w:t>定向</w:t>
      </w:r>
      <w:r>
        <w:rPr>
          <w:rFonts w:hint="eastAsia"/>
          <w:szCs w:val="24"/>
        </w:rPr>
        <w:t>”</w:t>
      </w:r>
      <w:r>
        <w:rPr>
          <w:szCs w:val="24"/>
        </w:rPr>
        <w:t>培养模式，即企业导师在学生入学时开始全过程参与人才培养，学生通过课程教学、实习实践、项目实战、定向培养，减少培养成本，提高社会满意度。</w:t>
      </w:r>
    </w:p>
    <w:p>
      <w:pPr>
        <w:pStyle w:val="6"/>
        <w:ind w:firstLine="480"/>
      </w:pPr>
      <w:bookmarkStart w:id="672" w:name="_Toc439229074"/>
      <w:bookmarkStart w:id="673" w:name="_Toc439254765"/>
      <w:bookmarkStart w:id="674" w:name="_Toc439226857"/>
      <w:bookmarkStart w:id="675" w:name="_Toc439256257"/>
      <w:r>
        <w:t>4. 现代教学技术应用</w:t>
      </w:r>
      <w:bookmarkEnd w:id="672"/>
      <w:bookmarkEnd w:id="673"/>
      <w:bookmarkEnd w:id="674"/>
      <w:bookmarkEnd w:id="675"/>
    </w:p>
    <w:p>
      <w:pPr>
        <w:ind w:firstLine="480" w:firstLineChars="200"/>
        <w:rPr>
          <w:szCs w:val="24"/>
        </w:rPr>
      </w:pPr>
      <w:r>
        <w:rPr>
          <w:szCs w:val="24"/>
        </w:rPr>
        <w:t>本专业重视现代教学技术、教学媒体应用，将相关现代教育技术应用到各个教育、教学环节。尤其是近年来受新新冠疫情的影响，老师们随时能够切换线上线下教学。在网络教学上主要有以下改进：</w:t>
      </w:r>
    </w:p>
    <w:p>
      <w:pPr>
        <w:ind w:firstLine="480" w:firstLineChars="200"/>
        <w:rPr>
          <w:szCs w:val="24"/>
        </w:rPr>
      </w:pPr>
      <w:r>
        <w:rPr>
          <w:szCs w:val="24"/>
        </w:rPr>
        <w:t>教师能够随时进行网络直播型教学。受疫情影响，直播型教学是目前高校经常使用的教学形式，它是结合了高校常规上课模式和网络直播技术的一种全新的教学模式，不同于大学生集中在教室里听课，直播型教学是教师通过网络在线直播进行现场教学，学生可以通过网络视频在家里、宿舍进行学习。老师也可以及时接受学生的反馈信息，具备较好的教学效果。</w:t>
      </w:r>
    </w:p>
    <w:p>
      <w:pPr>
        <w:ind w:firstLine="480" w:firstLineChars="200"/>
        <w:rPr>
          <w:szCs w:val="24"/>
        </w:rPr>
      </w:pPr>
      <w:r>
        <w:rPr>
          <w:szCs w:val="24"/>
        </w:rPr>
        <w:t>教师可以熟练的进行网络在线教务工作。本专业教师通过网络在线教务工作建立好网络班级，组织好学生在线测试、毕业生毕业设计，完善好在线作业批改等内容。通过网络在线教务，教师可以开展毕业设计开题报告、中期考核、毕业答辩开展。</w:t>
      </w:r>
    </w:p>
    <w:p>
      <w:pPr>
        <w:ind w:firstLine="480" w:firstLineChars="200"/>
        <w:rPr>
          <w:szCs w:val="24"/>
        </w:rPr>
      </w:pPr>
      <w:r>
        <w:rPr>
          <w:szCs w:val="24"/>
        </w:rPr>
        <w:t>经过新冠肺炎疫情的考验，我们已经逐步建立了</w:t>
      </w:r>
      <w:r>
        <w:rPr>
          <w:rFonts w:hint="eastAsia"/>
          <w:szCs w:val="24"/>
        </w:rPr>
        <w:t>“</w:t>
      </w:r>
      <w:r>
        <w:rPr>
          <w:szCs w:val="24"/>
        </w:rPr>
        <w:t>腾讯课堂+QQ群</w:t>
      </w:r>
      <w:r>
        <w:rPr>
          <w:rFonts w:hint="eastAsia"/>
          <w:szCs w:val="24"/>
        </w:rPr>
        <w:t>”“</w:t>
      </w:r>
      <w:r>
        <w:rPr>
          <w:szCs w:val="24"/>
        </w:rPr>
        <w:t>腾讯会议+QQ群</w:t>
      </w:r>
      <w:r>
        <w:rPr>
          <w:rFonts w:hint="eastAsia"/>
          <w:szCs w:val="24"/>
        </w:rPr>
        <w:t>”“</w:t>
      </w:r>
      <w:r>
        <w:rPr>
          <w:szCs w:val="24"/>
        </w:rPr>
        <w:t>雨课堂+微信群</w:t>
      </w:r>
      <w:r>
        <w:rPr>
          <w:rFonts w:hint="eastAsia"/>
          <w:szCs w:val="24"/>
        </w:rPr>
        <w:t>”</w:t>
      </w:r>
      <w:r>
        <w:rPr>
          <w:szCs w:val="24"/>
        </w:rPr>
        <w:t>等多种复合式网络教学模式，这些教学模式增强教师和学生在网络教学中的存在感、增强教师和学生的参与度、提高学生在网络教学中的知识接受度等。</w:t>
      </w:r>
    </w:p>
    <w:p>
      <w:pPr>
        <w:pStyle w:val="5"/>
        <w:spacing w:before="93" w:after="93"/>
        <w:ind w:firstLine="560"/>
      </w:pPr>
      <w:r>
        <w:t>四、培养机制与特色（产学研协同育人机制、合作办学、教学管理等）</w:t>
      </w:r>
    </w:p>
    <w:p>
      <w:pPr>
        <w:ind w:firstLine="480" w:firstLineChars="200"/>
        <w:rPr>
          <w:szCs w:val="24"/>
        </w:rPr>
      </w:pPr>
      <w:r>
        <w:rPr>
          <w:szCs w:val="24"/>
        </w:rPr>
        <w:t>1. 构建</w:t>
      </w:r>
      <w:r>
        <w:rPr>
          <w:rFonts w:hint="eastAsia"/>
          <w:szCs w:val="24"/>
        </w:rPr>
        <w:t>“</w:t>
      </w:r>
      <w:r>
        <w:rPr>
          <w:szCs w:val="24"/>
        </w:rPr>
        <w:t>教学提质、实践优化</w:t>
      </w:r>
      <w:r>
        <w:rPr>
          <w:rFonts w:hint="eastAsia"/>
          <w:szCs w:val="24"/>
        </w:rPr>
        <w:t>”</w:t>
      </w:r>
      <w:r>
        <w:rPr>
          <w:szCs w:val="24"/>
        </w:rPr>
        <w:t>的产学研用多路径、多途径的协同育人机制根据产学研用的目标，协同企业制定科学合理的人才培养方案、教学大纲、教学计划，促进最新科研成果进入实践教学；实行学校企业双导师指导学生进行课程论文、生产实习及毕业论文等各项实践工作，存进课程学习与成果落地，学以致用；积极发挥科研平台作用，实现产学研用知识与需求的对接与耦合。</w:t>
      </w:r>
    </w:p>
    <w:p>
      <w:pPr>
        <w:ind w:firstLine="480" w:firstLineChars="200"/>
        <w:rPr>
          <w:szCs w:val="24"/>
        </w:rPr>
      </w:pPr>
      <w:r>
        <w:rPr>
          <w:szCs w:val="24"/>
        </w:rPr>
        <w:t>2. 建立校企合作模式，增加学生就业创业机会。为了增强学生的动手能力和实践能力，本专业通过采取不同的措施和方法吸引企业和校外培训机构走进校园，同时，鼓励学生积极走出去，鼓励将高年级学生的课程实习和毕业实习放在校外企业。通过这些措施显著提高了学生的实践能力和就业竞争力。此外，本专业同东华软件股份有限公司、浪潮集团、山东众志电子有限公司、达内科技有限公司、杰普软件科技有限公司等IT企业合作共建校内外实习基地，满足了学生的实习、实践的需要。</w:t>
      </w:r>
    </w:p>
    <w:p>
      <w:pPr>
        <w:ind w:firstLine="480" w:firstLineChars="200"/>
        <w:rPr>
          <w:szCs w:val="24"/>
        </w:rPr>
      </w:pPr>
      <w:r>
        <w:rPr>
          <w:szCs w:val="24"/>
        </w:rPr>
        <w:t>3. 依托山东农业大学智慧农业产业研究院，推进复合型农业人才培养。山东农业大学智慧农业产业研究院是集智慧农业理论研究、技术创新、试验示范、成果孵化、人才培养、科普展示等功能于一体的智慧农业</w:t>
      </w:r>
      <w:r>
        <w:rPr>
          <w:rFonts w:hint="eastAsia"/>
          <w:szCs w:val="24"/>
        </w:rPr>
        <w:t>“</w:t>
      </w:r>
      <w:r>
        <w:rPr>
          <w:szCs w:val="24"/>
        </w:rPr>
        <w:t>产、学、研、用</w:t>
      </w:r>
      <w:r>
        <w:rPr>
          <w:rFonts w:hint="eastAsia"/>
          <w:szCs w:val="24"/>
        </w:rPr>
        <w:t>”</w:t>
      </w:r>
      <w:r>
        <w:rPr>
          <w:szCs w:val="24"/>
        </w:rPr>
        <w:t>基地。依托山东农业大学智慧农业产业研究院，将推动信息与计算科学专业的学科建设，促进涉信息技术、人工智能等多学科交叉融合，培养更多复合型创新农业人才。</w:t>
      </w:r>
    </w:p>
    <w:p>
      <w:pPr>
        <w:pStyle w:val="5"/>
        <w:spacing w:before="93" w:after="93"/>
        <w:ind w:firstLine="560"/>
      </w:pPr>
      <w:r>
        <w:t>五、培养质量</w:t>
      </w:r>
    </w:p>
    <w:p>
      <w:pPr>
        <w:pStyle w:val="45"/>
        <w:ind w:firstLine="480"/>
        <w:rPr>
          <w:rFonts w:ascii="Times New Roman" w:hAnsi="Times New Roman"/>
        </w:rPr>
      </w:pPr>
      <w:bookmarkStart w:id="676" w:name="_Toc439226859"/>
      <w:bookmarkStart w:id="677" w:name="_Toc439256259"/>
      <w:bookmarkStart w:id="678" w:name="_Toc439229076"/>
      <w:bookmarkStart w:id="679" w:name="_Toc439254767"/>
      <w:r>
        <w:rPr>
          <w:rFonts w:ascii="Times New Roman" w:hAnsi="Times New Roman"/>
        </w:rPr>
        <w:t>1. 应届毕业生考研就业情况</w:t>
      </w:r>
    </w:p>
    <w:p>
      <w:pPr>
        <w:ind w:firstLine="480" w:firstLineChars="200"/>
        <w:rPr>
          <w:szCs w:val="24"/>
        </w:rPr>
      </w:pPr>
      <w:r>
        <w:rPr>
          <w:szCs w:val="24"/>
        </w:rPr>
        <w:t>本专业2022届毕业生共计82人，其中男生39人，占47.56%，女生43人，占52.44%；省内生源76人，占92.68%，省外生源6人，占7.32%，省外生源来自河北省（3人）、河南省（1人）、浙江省（2人）。从民族结构看，2021届毕业生以汉族为主，共82人，占100%；少数民族共0人。</w:t>
      </w:r>
    </w:p>
    <w:p>
      <w:pPr>
        <w:ind w:firstLine="480" w:firstLineChars="200"/>
        <w:rPr>
          <w:szCs w:val="24"/>
        </w:rPr>
      </w:pPr>
      <w:r>
        <w:rPr>
          <w:szCs w:val="24"/>
        </w:rPr>
        <w:t>截止2022年8月31日，信息与计算科学专业2022届毕业生就业55人，就业率为67.07%，其中男生就业26人，就业率为31.71%，女生就业29人，就业率为35.36%。毕业生留鲁就业的为21人，占已就业总人数的38.18%，其中主要流向济南、青岛、泰安等城市。出省就业共34人，占61.82%，主要流向北京市、南京市、辽宁省等省市。</w:t>
      </w:r>
    </w:p>
    <w:p>
      <w:pPr>
        <w:ind w:firstLine="480" w:firstLineChars="200"/>
        <w:rPr>
          <w:szCs w:val="24"/>
        </w:rPr>
      </w:pPr>
      <w:r>
        <w:rPr>
          <w:szCs w:val="24"/>
        </w:rPr>
        <w:t>毕业生国内升学31人，升学率37.8%，其中考入</w:t>
      </w:r>
      <w:r>
        <w:rPr>
          <w:rFonts w:hint="eastAsia"/>
          <w:szCs w:val="24"/>
        </w:rPr>
        <w:t>“</w:t>
      </w:r>
      <w:r>
        <w:rPr>
          <w:szCs w:val="24"/>
        </w:rPr>
        <w:t>双一流</w:t>
      </w:r>
      <w:r>
        <w:rPr>
          <w:rFonts w:hint="eastAsia"/>
          <w:szCs w:val="24"/>
        </w:rPr>
        <w:t>”</w:t>
      </w:r>
      <w:r>
        <w:rPr>
          <w:szCs w:val="24"/>
        </w:rPr>
        <w:t>大学14人，占国内升学总人数的45.16%。从升学专业来看，跨专业升学的2人，占国内升学总人数的6.45%。升学学校主要是山东大学、上海大学、曲阜师范大学、大连海事大学、大连理工大学、中国农业大大学、哈尔滨工业大学、河海大学等。</w:t>
      </w:r>
    </w:p>
    <w:p>
      <w:pPr>
        <w:spacing w:line="520" w:lineRule="exact"/>
        <w:jc w:val="center"/>
        <w:rPr>
          <w:b/>
          <w:bCs/>
          <w:color w:val="000000"/>
          <w:sz w:val="21"/>
          <w:szCs w:val="21"/>
        </w:rPr>
      </w:pPr>
      <w:r>
        <w:rPr>
          <w:b/>
          <w:bCs/>
          <w:color w:val="000000"/>
          <w:sz w:val="21"/>
          <w:szCs w:val="21"/>
        </w:rPr>
        <w:t>表2 整体就业情况统计表</w:t>
      </w:r>
    </w:p>
    <w:tbl>
      <w:tblPr>
        <w:tblStyle w:val="17"/>
        <w:tblW w:w="5117" w:type="pct"/>
        <w:jc w:val="center"/>
        <w:tblLayout w:type="autofit"/>
        <w:tblCellMar>
          <w:top w:w="0" w:type="dxa"/>
          <w:left w:w="0" w:type="dxa"/>
          <w:bottom w:w="0" w:type="dxa"/>
          <w:right w:w="0" w:type="dxa"/>
        </w:tblCellMar>
      </w:tblPr>
      <w:tblGrid>
        <w:gridCol w:w="1745"/>
        <w:gridCol w:w="1040"/>
        <w:gridCol w:w="1040"/>
        <w:gridCol w:w="1060"/>
        <w:gridCol w:w="1096"/>
        <w:gridCol w:w="1493"/>
        <w:gridCol w:w="1609"/>
      </w:tblGrid>
      <w:tr>
        <w:tblPrEx>
          <w:tblCellMar>
            <w:top w:w="0" w:type="dxa"/>
            <w:left w:w="0" w:type="dxa"/>
            <w:bottom w:w="0" w:type="dxa"/>
            <w:right w:w="0" w:type="dxa"/>
          </w:tblCellMar>
        </w:tblPrEx>
        <w:trPr>
          <w:trHeight w:val="683" w:hRule="atLeast"/>
          <w:jc w:val="center"/>
        </w:trPr>
        <w:tc>
          <w:tcPr>
            <w:tcW w:w="9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exact"/>
              <w:jc w:val="center"/>
              <w:textAlignment w:val="center"/>
              <w:rPr>
                <w:b/>
                <w:bCs/>
                <w:color w:val="000000"/>
                <w:sz w:val="21"/>
                <w:szCs w:val="21"/>
              </w:rPr>
            </w:pPr>
            <w:r>
              <w:rPr>
                <w:b/>
                <w:bCs/>
                <w:color w:val="000000"/>
                <w:kern w:val="0"/>
                <w:sz w:val="21"/>
                <w:szCs w:val="21"/>
              </w:rPr>
              <w:t>专业名称</w:t>
            </w:r>
          </w:p>
        </w:tc>
        <w:tc>
          <w:tcPr>
            <w:tcW w:w="5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exact"/>
              <w:jc w:val="center"/>
              <w:textAlignment w:val="center"/>
              <w:rPr>
                <w:b/>
                <w:bCs/>
                <w:color w:val="000000"/>
                <w:sz w:val="21"/>
                <w:szCs w:val="21"/>
              </w:rPr>
            </w:pPr>
            <w:r>
              <w:rPr>
                <w:b/>
                <w:bCs/>
                <w:color w:val="000000"/>
                <w:kern w:val="0"/>
                <w:sz w:val="21"/>
                <w:szCs w:val="21"/>
              </w:rPr>
              <w:t>就业人数</w:t>
            </w:r>
          </w:p>
        </w:tc>
        <w:tc>
          <w:tcPr>
            <w:tcW w:w="5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exact"/>
              <w:jc w:val="center"/>
              <w:textAlignment w:val="center"/>
              <w:rPr>
                <w:b/>
                <w:bCs/>
                <w:color w:val="000000"/>
                <w:sz w:val="21"/>
                <w:szCs w:val="21"/>
              </w:rPr>
            </w:pPr>
            <w:r>
              <w:rPr>
                <w:b/>
                <w:bCs/>
                <w:color w:val="000000"/>
                <w:kern w:val="0"/>
                <w:sz w:val="21"/>
                <w:szCs w:val="21"/>
              </w:rPr>
              <w:t>就业率</w:t>
            </w:r>
          </w:p>
        </w:tc>
        <w:tc>
          <w:tcPr>
            <w:tcW w:w="5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exact"/>
              <w:jc w:val="center"/>
              <w:textAlignment w:val="center"/>
              <w:rPr>
                <w:b/>
                <w:bCs/>
                <w:color w:val="000000"/>
                <w:kern w:val="0"/>
                <w:sz w:val="21"/>
                <w:szCs w:val="21"/>
              </w:rPr>
            </w:pPr>
            <w:r>
              <w:rPr>
                <w:b/>
                <w:bCs/>
                <w:color w:val="000000"/>
                <w:kern w:val="0"/>
                <w:sz w:val="21"/>
                <w:szCs w:val="21"/>
              </w:rPr>
              <w:t>男生</w:t>
            </w:r>
          </w:p>
          <w:p>
            <w:pPr>
              <w:widowControl/>
              <w:spacing w:line="240" w:lineRule="exact"/>
              <w:jc w:val="center"/>
              <w:textAlignment w:val="center"/>
              <w:rPr>
                <w:b/>
                <w:bCs/>
                <w:color w:val="000000"/>
                <w:sz w:val="21"/>
                <w:szCs w:val="21"/>
              </w:rPr>
            </w:pPr>
            <w:r>
              <w:rPr>
                <w:b/>
                <w:bCs/>
                <w:color w:val="000000"/>
                <w:kern w:val="0"/>
                <w:sz w:val="21"/>
                <w:szCs w:val="21"/>
              </w:rPr>
              <w:t>就业率</w:t>
            </w:r>
          </w:p>
        </w:tc>
        <w:tc>
          <w:tcPr>
            <w:tcW w:w="6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exact"/>
              <w:jc w:val="center"/>
              <w:textAlignment w:val="center"/>
              <w:rPr>
                <w:b/>
                <w:bCs/>
                <w:color w:val="000000"/>
                <w:kern w:val="0"/>
                <w:sz w:val="21"/>
                <w:szCs w:val="21"/>
              </w:rPr>
            </w:pPr>
            <w:r>
              <w:rPr>
                <w:b/>
                <w:bCs/>
                <w:color w:val="000000"/>
                <w:kern w:val="0"/>
                <w:sz w:val="21"/>
                <w:szCs w:val="21"/>
              </w:rPr>
              <w:t>女生</w:t>
            </w:r>
          </w:p>
          <w:p>
            <w:pPr>
              <w:widowControl/>
              <w:spacing w:line="240" w:lineRule="exact"/>
              <w:jc w:val="center"/>
              <w:textAlignment w:val="center"/>
              <w:rPr>
                <w:b/>
                <w:bCs/>
                <w:color w:val="000000"/>
                <w:sz w:val="21"/>
                <w:szCs w:val="21"/>
              </w:rPr>
            </w:pPr>
            <w:r>
              <w:rPr>
                <w:b/>
                <w:bCs/>
                <w:color w:val="000000"/>
                <w:kern w:val="0"/>
                <w:sz w:val="21"/>
                <w:szCs w:val="21"/>
              </w:rPr>
              <w:t>就业率</w:t>
            </w:r>
          </w:p>
        </w:tc>
        <w:tc>
          <w:tcPr>
            <w:tcW w:w="8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exact"/>
              <w:jc w:val="center"/>
              <w:textAlignment w:val="center"/>
              <w:rPr>
                <w:b/>
                <w:bCs/>
                <w:color w:val="000000"/>
                <w:kern w:val="0"/>
                <w:sz w:val="21"/>
                <w:szCs w:val="21"/>
              </w:rPr>
            </w:pPr>
            <w:r>
              <w:rPr>
                <w:b/>
                <w:bCs/>
                <w:color w:val="000000"/>
                <w:kern w:val="0"/>
                <w:sz w:val="21"/>
                <w:szCs w:val="21"/>
              </w:rPr>
              <w:t>留鲁就业人数</w:t>
            </w:r>
          </w:p>
          <w:p>
            <w:pPr>
              <w:widowControl/>
              <w:spacing w:line="240" w:lineRule="exact"/>
              <w:jc w:val="center"/>
              <w:textAlignment w:val="center"/>
              <w:rPr>
                <w:b/>
                <w:bCs/>
                <w:color w:val="000000"/>
                <w:sz w:val="21"/>
                <w:szCs w:val="21"/>
              </w:rPr>
            </w:pPr>
            <w:r>
              <w:rPr>
                <w:b/>
                <w:bCs/>
                <w:color w:val="000000"/>
                <w:kern w:val="0"/>
                <w:sz w:val="21"/>
                <w:szCs w:val="21"/>
              </w:rPr>
              <w:t>（比例）</w:t>
            </w:r>
          </w:p>
        </w:tc>
        <w:tc>
          <w:tcPr>
            <w:tcW w:w="8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exact"/>
              <w:jc w:val="center"/>
              <w:textAlignment w:val="center"/>
              <w:rPr>
                <w:b/>
                <w:bCs/>
                <w:color w:val="000000"/>
                <w:kern w:val="0"/>
                <w:sz w:val="21"/>
                <w:szCs w:val="21"/>
              </w:rPr>
            </w:pPr>
            <w:r>
              <w:rPr>
                <w:b/>
                <w:bCs/>
                <w:color w:val="000000"/>
                <w:kern w:val="0"/>
                <w:sz w:val="21"/>
                <w:szCs w:val="21"/>
              </w:rPr>
              <w:t>省外就业人数</w:t>
            </w:r>
          </w:p>
          <w:p>
            <w:pPr>
              <w:widowControl/>
              <w:spacing w:line="240" w:lineRule="exact"/>
              <w:jc w:val="center"/>
              <w:textAlignment w:val="center"/>
              <w:rPr>
                <w:b/>
                <w:bCs/>
                <w:color w:val="000000"/>
                <w:sz w:val="21"/>
                <w:szCs w:val="21"/>
              </w:rPr>
            </w:pPr>
            <w:r>
              <w:rPr>
                <w:b/>
                <w:bCs/>
                <w:color w:val="000000"/>
                <w:kern w:val="0"/>
                <w:sz w:val="21"/>
                <w:szCs w:val="21"/>
              </w:rPr>
              <w:t>（比例）</w:t>
            </w:r>
          </w:p>
        </w:tc>
      </w:tr>
      <w:tr>
        <w:tblPrEx>
          <w:tblCellMar>
            <w:top w:w="0" w:type="dxa"/>
            <w:left w:w="0" w:type="dxa"/>
            <w:bottom w:w="0" w:type="dxa"/>
            <w:right w:w="0" w:type="dxa"/>
          </w:tblCellMar>
        </w:tblPrEx>
        <w:trPr>
          <w:trHeight w:val="465" w:hRule="atLeast"/>
          <w:jc w:val="center"/>
        </w:trPr>
        <w:tc>
          <w:tcPr>
            <w:tcW w:w="9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520" w:lineRule="exact"/>
              <w:jc w:val="center"/>
              <w:textAlignment w:val="center"/>
              <w:rPr>
                <w:color w:val="000000"/>
                <w:sz w:val="21"/>
                <w:szCs w:val="21"/>
              </w:rPr>
            </w:pPr>
            <w:r>
              <w:rPr>
                <w:color w:val="000000"/>
                <w:sz w:val="21"/>
                <w:szCs w:val="21"/>
              </w:rPr>
              <w:t>信息与计算科学</w:t>
            </w:r>
          </w:p>
        </w:tc>
        <w:tc>
          <w:tcPr>
            <w:tcW w:w="5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tLeast"/>
              <w:jc w:val="center"/>
              <w:rPr>
                <w:color w:val="000000"/>
                <w:sz w:val="21"/>
                <w:szCs w:val="21"/>
              </w:rPr>
            </w:pPr>
            <w:r>
              <w:rPr>
                <w:color w:val="000000"/>
                <w:sz w:val="21"/>
                <w:szCs w:val="21"/>
              </w:rPr>
              <w:t>55</w:t>
            </w:r>
          </w:p>
        </w:tc>
        <w:tc>
          <w:tcPr>
            <w:tcW w:w="5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tLeast"/>
              <w:jc w:val="center"/>
              <w:rPr>
                <w:color w:val="000000"/>
                <w:sz w:val="21"/>
                <w:szCs w:val="21"/>
              </w:rPr>
            </w:pPr>
            <w:r>
              <w:rPr>
                <w:color w:val="000000"/>
                <w:sz w:val="21"/>
                <w:szCs w:val="21"/>
              </w:rPr>
              <w:t>67.07%</w:t>
            </w:r>
          </w:p>
        </w:tc>
        <w:tc>
          <w:tcPr>
            <w:tcW w:w="5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tLeast"/>
              <w:jc w:val="center"/>
              <w:rPr>
                <w:color w:val="000000"/>
                <w:sz w:val="21"/>
                <w:szCs w:val="21"/>
              </w:rPr>
            </w:pPr>
            <w:r>
              <w:rPr>
                <w:color w:val="000000"/>
                <w:sz w:val="21"/>
                <w:szCs w:val="21"/>
              </w:rPr>
              <w:t>31.71%</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tLeast"/>
              <w:jc w:val="center"/>
              <w:rPr>
                <w:color w:val="000000"/>
                <w:sz w:val="21"/>
                <w:szCs w:val="21"/>
              </w:rPr>
            </w:pPr>
            <w:r>
              <w:rPr>
                <w:color w:val="000000"/>
                <w:sz w:val="21"/>
                <w:szCs w:val="21"/>
              </w:rPr>
              <w:t>35.36%</w:t>
            </w:r>
          </w:p>
        </w:tc>
        <w:tc>
          <w:tcPr>
            <w:tcW w:w="8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tLeast"/>
              <w:jc w:val="center"/>
              <w:rPr>
                <w:color w:val="000000"/>
                <w:sz w:val="21"/>
                <w:szCs w:val="21"/>
              </w:rPr>
            </w:pPr>
            <w:r>
              <w:rPr>
                <w:color w:val="000000"/>
                <w:sz w:val="21"/>
                <w:szCs w:val="21"/>
              </w:rPr>
              <w:t>38.18%</w:t>
            </w:r>
          </w:p>
        </w:tc>
        <w:tc>
          <w:tcPr>
            <w:tcW w:w="8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tLeast"/>
              <w:jc w:val="center"/>
              <w:rPr>
                <w:color w:val="000000"/>
                <w:sz w:val="21"/>
                <w:szCs w:val="21"/>
              </w:rPr>
            </w:pPr>
            <w:r>
              <w:rPr>
                <w:color w:val="000000"/>
                <w:sz w:val="21"/>
                <w:szCs w:val="21"/>
              </w:rPr>
              <w:t>61.82%</w:t>
            </w:r>
          </w:p>
        </w:tc>
      </w:tr>
    </w:tbl>
    <w:p>
      <w:pPr>
        <w:ind w:firstLine="420" w:firstLineChars="175"/>
        <w:rPr>
          <w:szCs w:val="24"/>
        </w:rPr>
      </w:pPr>
    </w:p>
    <w:p>
      <w:pPr>
        <w:ind w:firstLine="420" w:firstLineChars="175"/>
        <w:rPr>
          <w:szCs w:val="24"/>
        </w:rPr>
      </w:pPr>
      <w:r>
        <w:rPr>
          <w:szCs w:val="24"/>
        </w:rPr>
        <w:t>毕业生就业方式主要包括升学、出国（境）、协议就业、自主创业等多种方式就业，其中国内升学、协议就业的方式就业人数最多。毕业生总体就业方式如下表所示。毕业生当前所在工作单位或者所从事工作岗位与所学专业对口率较高的共37人，占已就业总人数的67.27%。主要集中在中国联合网络通信有限公司、中国邮政储蓄银行、金现代信息产业股份有限公司、用友网络科技股份有限公司、北京博力恒昌有限公司等企业。</w:t>
      </w:r>
    </w:p>
    <w:p>
      <w:pPr>
        <w:widowControl/>
        <w:spacing w:line="240" w:lineRule="auto"/>
        <w:jc w:val="center"/>
        <w:textAlignment w:val="center"/>
        <w:rPr>
          <w:b/>
          <w:bCs/>
          <w:color w:val="000000"/>
          <w:sz w:val="21"/>
          <w:szCs w:val="21"/>
        </w:rPr>
      </w:pPr>
      <w:r>
        <w:rPr>
          <w:b/>
          <w:bCs/>
          <w:color w:val="000000"/>
          <w:sz w:val="21"/>
          <w:szCs w:val="21"/>
        </w:rPr>
        <w:t>表3  毕业生就业方式统计表</w:t>
      </w:r>
    </w:p>
    <w:tbl>
      <w:tblPr>
        <w:tblStyle w:val="17"/>
        <w:tblW w:w="8532" w:type="dxa"/>
        <w:jc w:val="center"/>
        <w:tblLayout w:type="fixed"/>
        <w:tblCellMar>
          <w:top w:w="0" w:type="dxa"/>
          <w:left w:w="0" w:type="dxa"/>
          <w:bottom w:w="0" w:type="dxa"/>
          <w:right w:w="0" w:type="dxa"/>
        </w:tblCellMar>
      </w:tblPr>
      <w:tblGrid>
        <w:gridCol w:w="1319"/>
        <w:gridCol w:w="1134"/>
        <w:gridCol w:w="1155"/>
        <w:gridCol w:w="1200"/>
        <w:gridCol w:w="1366"/>
        <w:gridCol w:w="1514"/>
        <w:gridCol w:w="844"/>
      </w:tblGrid>
      <w:tr>
        <w:tblPrEx>
          <w:tblCellMar>
            <w:top w:w="0" w:type="dxa"/>
            <w:left w:w="0" w:type="dxa"/>
            <w:bottom w:w="0" w:type="dxa"/>
            <w:right w:w="0" w:type="dxa"/>
          </w:tblCellMar>
        </w:tblPrEx>
        <w:trPr>
          <w:trHeight w:val="522" w:hRule="atLeast"/>
          <w:jc w:val="center"/>
        </w:trPr>
        <w:tc>
          <w:tcPr>
            <w:tcW w:w="131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sz w:val="21"/>
                <w:szCs w:val="21"/>
              </w:rPr>
            </w:pPr>
            <w:r>
              <w:rPr>
                <w:b/>
                <w:bCs/>
                <w:color w:val="000000"/>
                <w:sz w:val="21"/>
                <w:szCs w:val="21"/>
              </w:rPr>
              <w:t>就业方式</w:t>
            </w:r>
          </w:p>
        </w:tc>
        <w:tc>
          <w:tcPr>
            <w:tcW w:w="113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sz w:val="21"/>
                <w:szCs w:val="21"/>
              </w:rPr>
            </w:pPr>
            <w:r>
              <w:rPr>
                <w:b/>
                <w:bCs/>
                <w:color w:val="000000"/>
                <w:sz w:val="21"/>
                <w:szCs w:val="21"/>
              </w:rPr>
              <w:t>国内升学</w:t>
            </w:r>
          </w:p>
        </w:tc>
        <w:tc>
          <w:tcPr>
            <w:tcW w:w="11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sz w:val="21"/>
                <w:szCs w:val="21"/>
              </w:rPr>
            </w:pPr>
            <w:r>
              <w:rPr>
                <w:b/>
                <w:bCs/>
                <w:color w:val="000000"/>
                <w:sz w:val="21"/>
                <w:szCs w:val="21"/>
              </w:rPr>
              <w:t>协议就业</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sz w:val="21"/>
                <w:szCs w:val="21"/>
              </w:rPr>
            </w:pPr>
            <w:r>
              <w:rPr>
                <w:b/>
                <w:bCs/>
                <w:color w:val="000000"/>
                <w:sz w:val="21"/>
                <w:szCs w:val="21"/>
              </w:rPr>
              <w:t>劳动合同</w:t>
            </w:r>
          </w:p>
        </w:tc>
        <w:tc>
          <w:tcPr>
            <w:tcW w:w="13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sz w:val="21"/>
                <w:szCs w:val="21"/>
              </w:rPr>
            </w:pPr>
            <w:r>
              <w:rPr>
                <w:b/>
                <w:bCs/>
                <w:color w:val="000000"/>
                <w:sz w:val="21"/>
                <w:szCs w:val="21"/>
              </w:rPr>
              <w:t>自主创业</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sz w:val="21"/>
                <w:szCs w:val="21"/>
              </w:rPr>
            </w:pPr>
            <w:r>
              <w:rPr>
                <w:b/>
                <w:bCs/>
                <w:color w:val="000000"/>
                <w:sz w:val="21"/>
                <w:szCs w:val="21"/>
              </w:rPr>
              <w:t>其他形式就业</w:t>
            </w:r>
          </w:p>
        </w:tc>
        <w:tc>
          <w:tcPr>
            <w:tcW w:w="8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sz w:val="21"/>
                <w:szCs w:val="21"/>
              </w:rPr>
            </w:pPr>
            <w:r>
              <w:rPr>
                <w:b/>
                <w:bCs/>
                <w:color w:val="000000"/>
                <w:sz w:val="21"/>
                <w:szCs w:val="21"/>
              </w:rPr>
              <w:t>待就业</w:t>
            </w:r>
          </w:p>
        </w:tc>
      </w:tr>
      <w:tr>
        <w:tblPrEx>
          <w:tblCellMar>
            <w:top w:w="0" w:type="dxa"/>
            <w:left w:w="0" w:type="dxa"/>
            <w:bottom w:w="0" w:type="dxa"/>
            <w:right w:w="0" w:type="dxa"/>
          </w:tblCellMar>
        </w:tblPrEx>
        <w:trPr>
          <w:trHeight w:val="657" w:hRule="atLeast"/>
          <w:jc w:val="center"/>
        </w:trPr>
        <w:tc>
          <w:tcPr>
            <w:tcW w:w="131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sz w:val="21"/>
                <w:szCs w:val="21"/>
              </w:rPr>
            </w:pPr>
            <w:r>
              <w:rPr>
                <w:color w:val="000000"/>
                <w:sz w:val="21"/>
                <w:szCs w:val="21"/>
              </w:rPr>
              <w:t>人数</w:t>
            </w:r>
          </w:p>
          <w:p>
            <w:pPr>
              <w:widowControl/>
              <w:spacing w:line="240" w:lineRule="auto"/>
              <w:jc w:val="center"/>
              <w:textAlignment w:val="center"/>
              <w:rPr>
                <w:color w:val="000000"/>
                <w:sz w:val="21"/>
                <w:szCs w:val="21"/>
              </w:rPr>
            </w:pPr>
            <w:r>
              <w:rPr>
                <w:color w:val="000000"/>
                <w:sz w:val="21"/>
                <w:szCs w:val="21"/>
              </w:rPr>
              <w:t>（比例）</w:t>
            </w:r>
          </w:p>
        </w:tc>
        <w:tc>
          <w:tcPr>
            <w:tcW w:w="113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sz w:val="21"/>
                <w:szCs w:val="21"/>
              </w:rPr>
            </w:pPr>
            <w:r>
              <w:rPr>
                <w:color w:val="000000"/>
                <w:sz w:val="21"/>
                <w:szCs w:val="21"/>
              </w:rPr>
              <w:t>37.8%%</w:t>
            </w:r>
          </w:p>
        </w:tc>
        <w:tc>
          <w:tcPr>
            <w:tcW w:w="11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sz w:val="21"/>
                <w:szCs w:val="21"/>
              </w:rPr>
            </w:pPr>
            <w:r>
              <w:rPr>
                <w:color w:val="000000"/>
                <w:sz w:val="21"/>
                <w:szCs w:val="21"/>
              </w:rPr>
              <w:t>17.07%</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sz w:val="21"/>
                <w:szCs w:val="21"/>
              </w:rPr>
            </w:pPr>
            <w:r>
              <w:rPr>
                <w:color w:val="000000"/>
                <w:sz w:val="21"/>
                <w:szCs w:val="21"/>
              </w:rPr>
              <w:t>3.66%</w:t>
            </w:r>
          </w:p>
        </w:tc>
        <w:tc>
          <w:tcPr>
            <w:tcW w:w="136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sz w:val="21"/>
                <w:szCs w:val="21"/>
              </w:rPr>
            </w:pPr>
            <w:r>
              <w:rPr>
                <w:color w:val="000000"/>
                <w:sz w:val="21"/>
                <w:szCs w:val="21"/>
              </w:rPr>
              <w:t>0%</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sz w:val="21"/>
                <w:szCs w:val="21"/>
              </w:rPr>
            </w:pPr>
            <w:r>
              <w:rPr>
                <w:color w:val="000000"/>
                <w:sz w:val="21"/>
                <w:szCs w:val="21"/>
              </w:rPr>
              <w:t>8.54%</w:t>
            </w:r>
          </w:p>
        </w:tc>
        <w:tc>
          <w:tcPr>
            <w:tcW w:w="8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sz w:val="21"/>
                <w:szCs w:val="21"/>
              </w:rPr>
            </w:pPr>
            <w:r>
              <w:rPr>
                <w:color w:val="000000"/>
                <w:sz w:val="21"/>
                <w:szCs w:val="21"/>
              </w:rPr>
              <w:t>32.93%</w:t>
            </w:r>
          </w:p>
        </w:tc>
      </w:tr>
    </w:tbl>
    <w:p>
      <w:pPr>
        <w:widowControl/>
        <w:spacing w:line="240" w:lineRule="auto"/>
        <w:jc w:val="center"/>
        <w:textAlignment w:val="center"/>
        <w:rPr>
          <w:rFonts w:eastAsia="黑体"/>
          <w:color w:val="000000"/>
          <w:szCs w:val="24"/>
        </w:rPr>
      </w:pPr>
      <w:r>
        <w:rPr>
          <w:rFonts w:eastAsia="黑体"/>
          <w:color w:val="000000"/>
          <w:szCs w:val="24"/>
        </w:rPr>
        <w:drawing>
          <wp:inline distT="0" distB="0" distL="0" distR="0">
            <wp:extent cx="2486660" cy="1504315"/>
            <wp:effectExtent l="0" t="0" r="8890" b="63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a:xfrm>
                      <a:off x="0" y="0"/>
                      <a:ext cx="2506413" cy="1516212"/>
                    </a:xfrm>
                    <a:prstGeom prst="rect">
                      <a:avLst/>
                    </a:prstGeom>
                    <a:noFill/>
                  </pic:spPr>
                </pic:pic>
              </a:graphicData>
            </a:graphic>
          </wp:inline>
        </w:drawing>
      </w:r>
      <w:r>
        <w:rPr>
          <w:rFonts w:eastAsia="黑体"/>
          <w:color w:val="000000"/>
          <w:szCs w:val="24"/>
        </w:rPr>
        <w:t xml:space="preserve">  </w:t>
      </w:r>
      <w:r>
        <w:rPr>
          <w:rFonts w:eastAsia="黑体"/>
          <w:color w:val="000000"/>
          <w:szCs w:val="24"/>
        </w:rPr>
        <w:drawing>
          <wp:inline distT="0" distB="0" distL="0" distR="0">
            <wp:extent cx="2501900" cy="1513840"/>
            <wp:effectExtent l="0" t="0" r="12700" b="1016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a:xfrm>
                      <a:off x="0" y="0"/>
                      <a:ext cx="2530852" cy="1530997"/>
                    </a:xfrm>
                    <a:prstGeom prst="rect">
                      <a:avLst/>
                    </a:prstGeom>
                    <a:noFill/>
                  </pic:spPr>
                </pic:pic>
              </a:graphicData>
            </a:graphic>
          </wp:inline>
        </w:drawing>
      </w:r>
    </w:p>
    <w:p>
      <w:pPr>
        <w:widowControl/>
        <w:spacing w:line="240" w:lineRule="auto"/>
        <w:jc w:val="center"/>
        <w:textAlignment w:val="center"/>
        <w:rPr>
          <w:b/>
          <w:bCs/>
          <w:color w:val="000000"/>
          <w:sz w:val="21"/>
          <w:szCs w:val="21"/>
        </w:rPr>
      </w:pPr>
      <w:r>
        <w:rPr>
          <w:b/>
          <w:bCs/>
          <w:color w:val="000000"/>
          <w:sz w:val="21"/>
          <w:szCs w:val="21"/>
        </w:rPr>
        <w:t>图1 毕业生就业方式统计</w:t>
      </w:r>
    </w:p>
    <w:p>
      <w:pPr>
        <w:ind w:firstLine="480" w:firstLineChars="200"/>
        <w:rPr>
          <w:szCs w:val="24"/>
        </w:rPr>
      </w:pPr>
      <w:r>
        <w:rPr>
          <w:szCs w:val="24"/>
        </w:rPr>
        <w:t>受国内疫情点多、面广、频发和国际形势更趋复杂严峻等因素影响，从2020年3月以来，劳动力市场压力不断加大，多因素叠加导致的供需不平衡，增大了应届大学就业压力。一方面，疫情形势下多种因素叠加增大了企业负担，特别是疫情反复爆发导致企业岗位需求下降，因此对于大学生的需求较之前呈下降趋势。另一方面，青年的劳动力供给不断上升。2020年疫情爆发开始，近几年大学生就业积压越来越严重。此外，2022年是高职</w:t>
      </w:r>
      <w:r>
        <w:rPr>
          <w:rFonts w:hint="eastAsia"/>
          <w:szCs w:val="24"/>
        </w:rPr>
        <w:t>“</w:t>
      </w:r>
      <w:r>
        <w:rPr>
          <w:szCs w:val="24"/>
        </w:rPr>
        <w:t>百万扩招</w:t>
      </w:r>
      <w:r>
        <w:rPr>
          <w:rFonts w:hint="eastAsia"/>
          <w:szCs w:val="24"/>
        </w:rPr>
        <w:t>”</w:t>
      </w:r>
      <w:r>
        <w:rPr>
          <w:szCs w:val="24"/>
        </w:rPr>
        <w:t>学生毕业的第一年，也增加了青年劳动力的供给。在几方面的叠加下，形成了对青年劳动者供需不匹配，最终导致大学生就业形势更为严峻。</w:t>
      </w:r>
    </w:p>
    <w:p>
      <w:pPr>
        <w:pStyle w:val="6"/>
        <w:ind w:firstLine="480"/>
      </w:pPr>
      <w:r>
        <w:t>2. 社会对信息与计算科学专业的评价</w:t>
      </w:r>
      <w:bookmarkEnd w:id="676"/>
      <w:bookmarkEnd w:id="677"/>
      <w:bookmarkEnd w:id="678"/>
      <w:bookmarkEnd w:id="679"/>
    </w:p>
    <w:p>
      <w:pPr>
        <w:ind w:firstLine="480" w:firstLineChars="200"/>
        <w:rPr>
          <w:szCs w:val="24"/>
        </w:rPr>
      </w:pPr>
      <w:r>
        <w:rPr>
          <w:szCs w:val="24"/>
        </w:rPr>
        <w:t>我校信息与计算科学专业自开办以来，经过多年的建设，该专业在数值计算、农业信息处理、应用软件开发方面形成了一定的特色，培养的学生数学基础扎实、计算机应用能力强、适应面广。学生的学业成绩总体良好，专业能力和综合素质不断提高。近几年的考研率都稳定在30%左右。毕业生扎实的专业基础和良好的综合素质受到了用人单位的普遍赞誉。</w:t>
      </w:r>
    </w:p>
    <w:p>
      <w:pPr>
        <w:ind w:firstLine="480" w:firstLineChars="200"/>
        <w:rPr>
          <w:szCs w:val="24"/>
        </w:rPr>
      </w:pPr>
      <w:r>
        <w:rPr>
          <w:szCs w:val="24"/>
        </w:rPr>
        <w:t>专业始终坚持对学生进行全面素质教育，同时注重学生的个性发展。人才培养过程中，注重学生综合素质与创新能力的培养，努力构建融传授知识、培养能力与提高素质为一体的人才培养模式，以科学育人理念为导向，以教学改革为突破口，以各类教学科研项目和学术科技竞赛为创新平台，面对国家和社会对高校培养高素质创新型人才的需求，保证了毕业生良好的综合素质，近年来毕业生就业形势良好。毕业生基础扎实，理解能力强，具有很强的可塑性，为本专业人才培养质量的提升提供了坚实的基础。</w:t>
      </w:r>
    </w:p>
    <w:p>
      <w:pPr>
        <w:pStyle w:val="6"/>
        <w:ind w:firstLine="480"/>
      </w:pPr>
      <w:bookmarkStart w:id="680" w:name="_Toc439254768"/>
      <w:bookmarkStart w:id="681" w:name="_Toc439256260"/>
      <w:bookmarkStart w:id="682" w:name="_Toc439226860"/>
      <w:bookmarkStart w:id="683" w:name="_Toc439229077"/>
      <w:r>
        <w:t>3. 学生就读该专业的意愿</w:t>
      </w:r>
      <w:bookmarkEnd w:id="680"/>
      <w:bookmarkEnd w:id="681"/>
      <w:bookmarkEnd w:id="682"/>
      <w:bookmarkEnd w:id="683"/>
    </w:p>
    <w:p>
      <w:pPr>
        <w:ind w:firstLine="480" w:firstLineChars="200"/>
        <w:rPr>
          <w:szCs w:val="24"/>
        </w:rPr>
      </w:pPr>
      <w:r>
        <w:rPr>
          <w:szCs w:val="24"/>
        </w:rPr>
        <w:t>2022级我校数学学科中的数学与应用数学、信息与计算科学两个专业实行大类招生，大一入校入校不分专业，大二分专业分流培养。共招生97人，省内外本科生的一次录取率100%及报到率100%，录取97人，报到97人。</w:t>
      </w:r>
    </w:p>
    <w:p>
      <w:pPr>
        <w:ind w:firstLine="480" w:firstLineChars="200"/>
        <w:rPr>
          <w:szCs w:val="24"/>
        </w:rPr>
      </w:pPr>
      <w:r>
        <w:rPr>
          <w:szCs w:val="24"/>
        </w:rPr>
        <w:t>随着国家对基础学科的重视，社会对于数学专业的认识也有明显提升。大数据、人工智能相关产业的蓬勃发展，也给数学专业的学生一展身手的机会。现在社会、家长、学生报考数学相关专业意愿明显提高。</w:t>
      </w:r>
    </w:p>
    <w:p>
      <w:pPr>
        <w:pStyle w:val="5"/>
        <w:spacing w:before="93" w:after="93"/>
        <w:ind w:firstLine="560"/>
      </w:pPr>
      <w:r>
        <w:t>六、毕业生就业创业</w:t>
      </w:r>
    </w:p>
    <w:p>
      <w:pPr>
        <w:ind w:firstLine="480" w:firstLineChars="200"/>
        <w:rPr>
          <w:szCs w:val="24"/>
        </w:rPr>
      </w:pPr>
      <w:r>
        <w:rPr>
          <w:szCs w:val="24"/>
        </w:rPr>
        <w:t>经过多年的建设，本专业在数值计算、数据信息处理、应用软件开发等方面形成了一定的特色，培养的学生数学基础扎实、计算机应用能力强、适应面广。本专业特别重视培养学生的就业创业能力，采取了许多措施提高学生的各项素质。充分利用校内资源，通过鼓励学生参加创新创业大赛，积累创业经验和创业思路，为以后就业打下良好的实践基础。强化校外合作，通过开展就业技能培训班和创业培训进校园活动，有针对性地对毕业生提供就业和创业培训。在就业过程采取主动有效的措施，引导学生抓住机遇主动就业</w:t>
      </w:r>
    </w:p>
    <w:p>
      <w:pPr>
        <w:ind w:firstLine="480" w:firstLineChars="200"/>
        <w:rPr>
          <w:szCs w:val="24"/>
        </w:rPr>
      </w:pPr>
      <w:r>
        <w:rPr>
          <w:szCs w:val="24"/>
        </w:rPr>
        <w:t>1. 正确认识新冠疫情期间毕业生的就业问题。总体来说，宏观层面所显示大学生就业的困难局面和市场上个体大学生所面对的机遇并不完全匹配。大学生毕业生不必因为宏观层面的数据较差就产生过度悲观的情绪，应该客观评价自身所处环境，努力抓住属于自己的机遇。</w:t>
      </w:r>
    </w:p>
    <w:p>
      <w:pPr>
        <w:ind w:firstLine="480" w:firstLineChars="200"/>
        <w:rPr>
          <w:szCs w:val="24"/>
        </w:rPr>
      </w:pPr>
      <w:r>
        <w:rPr>
          <w:szCs w:val="24"/>
        </w:rPr>
        <w:t>2. 鼓励学生真确认识以平台作为组织基础的新就业模式，促进新的就业形态，开创大学生的就业和创业的新思路。数字经济时代，新就业形态正成为我国灵活就业中重要且规模不断扩大的力量。毕业生可以在平台上从事技能要求程度不同的工作，如设计师、主播、UP主等。</w:t>
      </w:r>
    </w:p>
    <w:p>
      <w:pPr>
        <w:ind w:firstLine="480" w:firstLineChars="200"/>
        <w:rPr>
          <w:szCs w:val="24"/>
        </w:rPr>
      </w:pPr>
      <w:r>
        <w:rPr>
          <w:szCs w:val="24"/>
        </w:rPr>
        <w:t>3. 帮学生找准职业定位，强化学生就业意识，鼓励学生早实习、早就业，合理定位就业目标。让学生认识到，所有的环境变化都是外部因素，内因才是获得就业机会、找到职业发展方向的主要推动力。毕业生在客观认识和接受就业压力上升的同时，更应该注重如何找到自己在整个劳动力市场上的位置，找到最适合自身价值创造的方式。</w:t>
      </w:r>
    </w:p>
    <w:p>
      <w:pPr>
        <w:ind w:firstLine="480" w:firstLineChars="200"/>
        <w:rPr>
          <w:szCs w:val="24"/>
        </w:rPr>
      </w:pPr>
      <w:r>
        <w:rPr>
          <w:szCs w:val="24"/>
        </w:rPr>
        <w:t>4. 帮学生做好人生规划，精准发力。鼓励学生根据自己的兴趣和志向做好自我定位，自我评估，作好长远持续发展准备。在就业过程中理清、理顺就业和考研、考公的关系。让毕业生合理定位，审时度势，制定合理就业规划。</w:t>
      </w:r>
    </w:p>
    <w:p>
      <w:pPr>
        <w:pStyle w:val="5"/>
        <w:spacing w:before="93" w:after="93"/>
        <w:ind w:firstLine="560"/>
      </w:pPr>
      <w:r>
        <w:t>七、专业发展趋势及建议</w:t>
      </w:r>
    </w:p>
    <w:p>
      <w:pPr>
        <w:ind w:firstLine="480" w:firstLineChars="200"/>
      </w:pPr>
      <w:r>
        <w:rPr>
          <w:szCs w:val="24"/>
        </w:rPr>
        <w:t>由于办学历史、资源优势和师资力量各不相同，各个高校信息与计算科学专业的侧重点也各不相同。在专业课程设置上，有的加入金融数学方向的课程，有的加入数据挖掘方向的课程。随着时代技术的不断发展、招生规模的逐步扩大，在信息与计算科学专业建设过程中相关问题不断暴露出来，如专业定位不清晰、就业方向不明确等问题，已经不适应当前大数据信息时代的发展。</w:t>
      </w:r>
    </w:p>
    <w:p>
      <w:pPr>
        <w:pStyle w:val="45"/>
        <w:ind w:firstLine="480"/>
        <w:rPr>
          <w:rFonts w:ascii="Times New Roman" w:hAnsi="Times New Roman"/>
        </w:rPr>
      </w:pPr>
      <w:r>
        <w:rPr>
          <w:rFonts w:ascii="Times New Roman" w:hAnsi="Times New Roman"/>
        </w:rPr>
        <w:t>1. 理顺培养目标，构建适应科技发展趋势的培养体系</w:t>
      </w:r>
    </w:p>
    <w:p>
      <w:pPr>
        <w:ind w:firstLine="480" w:firstLineChars="200"/>
        <w:rPr>
          <w:szCs w:val="24"/>
        </w:rPr>
      </w:pPr>
      <w:r>
        <w:rPr>
          <w:szCs w:val="24"/>
        </w:rPr>
        <w:t>通过凝聚核心教学内容，促进学科专业教育的交叉融合，形成复合专业培养新模式，提高人才培养质量，践行</w:t>
      </w:r>
      <w:r>
        <w:rPr>
          <w:rFonts w:hint="eastAsia"/>
          <w:szCs w:val="24"/>
        </w:rPr>
        <w:t>“</w:t>
      </w:r>
      <w:r>
        <w:rPr>
          <w:szCs w:val="24"/>
        </w:rPr>
        <w:t>强基础、宽口径、重实际</w:t>
      </w:r>
      <w:r>
        <w:rPr>
          <w:rFonts w:hint="eastAsia"/>
          <w:szCs w:val="24"/>
        </w:rPr>
        <w:t>”</w:t>
      </w:r>
      <w:r>
        <w:rPr>
          <w:szCs w:val="24"/>
        </w:rPr>
        <w:t>的办学思想。合理的培养目标才能保证培养质量。在数学基础和计算机能力找到一个相对的平衡，才能保证培养质量，适应社会需求。历年来，信息与计算科学专业培养的学生需要具备良好的数学基础和数学思维能力，掌握信息与计算科学的基本理论、方法和技能；</w:t>
      </w:r>
    </w:p>
    <w:p>
      <w:pPr>
        <w:pStyle w:val="45"/>
        <w:ind w:firstLine="480"/>
        <w:rPr>
          <w:rFonts w:ascii="Times New Roman" w:hAnsi="Times New Roman"/>
        </w:rPr>
      </w:pPr>
      <w:r>
        <w:rPr>
          <w:rFonts w:ascii="Times New Roman" w:hAnsi="Times New Roman"/>
        </w:rPr>
        <w:t>2. 强化数学基础，增强计算机能力</w:t>
      </w:r>
    </w:p>
    <w:p>
      <w:pPr>
        <w:ind w:firstLine="480" w:firstLineChars="200"/>
        <w:rPr>
          <w:szCs w:val="24"/>
        </w:rPr>
      </w:pPr>
      <w:r>
        <w:rPr>
          <w:szCs w:val="24"/>
        </w:rPr>
        <w:t>随着全球信息产业的迅速崛起，社会对信息类人才的需求也呈现出多元化趋势，不但需求能直接进行系统设计和实现的应用型人才，还需要有较好的数学基础，能进行系统分析、建模和优化的应用型人才。当前人才市场上计算机类专业的毕业生很多，但有一定的数学基础的却不多，所以具有较好数学基础同时具备编程能力的信息与计算科学专业的毕业生就非常受欢迎。</w:t>
      </w:r>
    </w:p>
    <w:p>
      <w:pPr>
        <w:pStyle w:val="5"/>
        <w:spacing w:before="93" w:after="93"/>
        <w:ind w:firstLine="560"/>
      </w:pPr>
      <w:r>
        <w:t>八、存在的问题及拟采取的对策措施</w:t>
      </w:r>
    </w:p>
    <w:p>
      <w:pPr>
        <w:ind w:firstLine="480" w:firstLineChars="200"/>
        <w:rPr>
          <w:szCs w:val="24"/>
        </w:rPr>
      </w:pPr>
      <w:r>
        <w:rPr>
          <w:szCs w:val="24"/>
        </w:rPr>
        <w:t>随着高考录取原则的改变，本专业录取学生的层次更加趋于扁平化。入学时学生各方面的能力高低不同，差别显著。同时，社会对人才的需求呈现多层次多元化的特点，鉴于社会需求和学生发展，信息与计算科学专业既要培养具有较高素质的能胜任工程技术要求的一般人才，也要培养具有开拓精神、竞争能力及创新意识的人才。这就需要根据实际情况，坚持因材施教，分流培养的原则。在专业分流过程中，重视学生的兴趣，同时考虑学习的实际困难，设置不同的出口，给不同层次的学生发展的机会。</w:t>
      </w:r>
    </w:p>
    <w:p>
      <w:pPr>
        <w:ind w:firstLine="480" w:firstLineChars="200"/>
        <w:rPr>
          <w:szCs w:val="24"/>
        </w:rPr>
      </w:pPr>
      <w:r>
        <w:rPr>
          <w:szCs w:val="24"/>
        </w:rPr>
        <w:t>受疫情影响，为了保证教学质量，在教学过程中本专业严格教师授课资格审查制度；完善教研室听课制度，要求系主任和任课老师每学期至少听取四门课程，并对听取课程进行量化评价，要求老师之间相互听课，适时开展讲课比赛活动；加强教学团队的过程监控。做到对教学团队的全过程和教学环节进行适时、有效监控，强化竞争机制。将定性分析与定量测评结合起来，开展全面检测与评估，激励表彰先进，鞭策后进，达到提高教学质量的目的。</w:t>
      </w:r>
    </w:p>
    <w:p>
      <w:pPr>
        <w:widowControl/>
        <w:jc w:val="left"/>
        <w:rPr>
          <w:rFonts w:eastAsia="黑体"/>
          <w:kern w:val="0"/>
          <w:sz w:val="30"/>
          <w:szCs w:val="30"/>
        </w:rPr>
      </w:pPr>
      <w:r>
        <w:rPr>
          <w:sz w:val="30"/>
          <w:szCs w:val="30"/>
        </w:rPr>
        <w:br w:type="page"/>
      </w:r>
    </w:p>
    <w:p>
      <w:pPr>
        <w:pStyle w:val="4"/>
        <w:ind w:firstLine="600"/>
      </w:pPr>
      <w:bookmarkStart w:id="684" w:name="_Toc21057"/>
      <w:r>
        <w:t>专业</w:t>
      </w:r>
      <w:r>
        <w:rPr>
          <w:rFonts w:hint="eastAsia"/>
          <w:lang w:val="en-US"/>
        </w:rPr>
        <w:t>六十八</w:t>
      </w:r>
      <w:r>
        <w:t>：通信工程</w:t>
      </w:r>
      <w:bookmarkEnd w:id="684"/>
    </w:p>
    <w:p>
      <w:pPr>
        <w:pStyle w:val="5"/>
        <w:spacing w:before="93" w:after="93"/>
        <w:ind w:firstLine="560"/>
      </w:pPr>
      <w:r>
        <w:t>一、培养目标与规格</w:t>
      </w:r>
    </w:p>
    <w:p>
      <w:pPr>
        <w:pStyle w:val="45"/>
        <w:ind w:firstLine="439" w:firstLineChars="183"/>
        <w:rPr>
          <w:rFonts w:ascii="Times New Roman" w:hAnsi="Times New Roman"/>
        </w:rPr>
      </w:pPr>
      <w:r>
        <w:rPr>
          <w:rFonts w:ascii="Times New Roman" w:hAnsi="Times New Roman"/>
        </w:rPr>
        <w:t>1.培养目标</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本专业面向国家和山东区域的发展需要，培养德智体全面发展的通信工程相关领域应用型工程专业技术人才，具备扎实的自然科学基础、系统的专业知识和较强的实验技能与工程实践能力，能够在网络通信、移动通信、微波通信等通信系统网络优化及通信技术应用等领域从事通信系统生产、设计、研发和管理等方面工作，具备通信工程师的基本能力和继续深造的基础，能够胜任未来工程职业工作。</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通信工程专业因材施教，分类培养，着重加强实践教学，使学生的创新思维、协作精神和知识应用在实践锻炼中逐步得到提高；初步形成了</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施展个性分类培养</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的人才培养模式。通信工程专业着重培养创新型人才（考研占30%）和应用型人才（就业占70%）。</w:t>
      </w:r>
    </w:p>
    <w:p>
      <w:pPr>
        <w:pStyle w:val="45"/>
        <w:ind w:firstLine="480"/>
        <w:rPr>
          <w:rFonts w:ascii="Times New Roman" w:hAnsi="Times New Roman"/>
        </w:rPr>
      </w:pPr>
      <w:r>
        <w:rPr>
          <w:rFonts w:ascii="Times New Roman" w:hAnsi="Times New Roman"/>
        </w:rPr>
        <w:t>2.人才培养规格</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基本规格：本专业学生主要学习通信系统和通信网方面的基础理论、组成原理和设计方法，受到通信工程实践的基本训练，具备从事通信系统和网络的设计、开发、调测和工程应用的基本能力。</w:t>
      </w:r>
    </w:p>
    <w:p>
      <w:pPr>
        <w:ind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学生应获取的知识与能力：</w:t>
      </w:r>
    </w:p>
    <w:p>
      <w:pPr>
        <w:numPr>
          <w:ilvl w:val="0"/>
          <w:numId w:val="9"/>
        </w:numPr>
        <w:ind w:left="0"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扎实掌握通信工程的基础理论、先进技术、方法和手段，具有较强的实践能力，具有从事科学研究、教学或通信系统的设计、开发与实现的能力。</w:t>
      </w:r>
    </w:p>
    <w:p>
      <w:pPr>
        <w:numPr>
          <w:ilvl w:val="0"/>
          <w:numId w:val="9"/>
        </w:numPr>
        <w:ind w:left="0"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具有专业拓展能力，具备在相关领域有一定的独立研究能力，以及能够完成后续研究生阶段的学习。</w:t>
      </w:r>
    </w:p>
    <w:p>
      <w:pPr>
        <w:numPr>
          <w:ilvl w:val="0"/>
          <w:numId w:val="9"/>
        </w:numPr>
        <w:ind w:left="0"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具有较好的团队合作精神、沟通组织能力、较宽的国际化视野、健康的体格和心理素质。</w:t>
      </w:r>
    </w:p>
    <w:p>
      <w:pPr>
        <w:numPr>
          <w:ilvl w:val="0"/>
          <w:numId w:val="9"/>
        </w:numPr>
        <w:ind w:left="0"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具有良好的个人修养和社会道德，学风严谨，爱岗敬业，精通业务，能够在工作岗位上发挥积极作用。</w:t>
      </w:r>
    </w:p>
    <w:p>
      <w:pPr>
        <w:numPr>
          <w:ilvl w:val="0"/>
          <w:numId w:val="9"/>
        </w:numPr>
        <w:ind w:left="0"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具有终身学习能力，具备跨领域工作与学习的适应能力。</w:t>
      </w:r>
    </w:p>
    <w:p>
      <w:pPr>
        <w:pStyle w:val="5"/>
        <w:spacing w:before="93" w:after="93"/>
        <w:ind w:firstLine="560"/>
      </w:pPr>
      <w:bookmarkStart w:id="685" w:name="_Toc439229120"/>
      <w:bookmarkStart w:id="686" w:name="_Toc439256303"/>
      <w:bookmarkStart w:id="687" w:name="_Toc439226903"/>
      <w:bookmarkStart w:id="688" w:name="_Toc439254811"/>
      <w:r>
        <w:t>二、培养能力（专业设置情况、在校生规模、课程设置情况、创新创业教育等）</w:t>
      </w:r>
      <w:bookmarkEnd w:id="685"/>
      <w:bookmarkEnd w:id="686"/>
      <w:bookmarkEnd w:id="687"/>
      <w:bookmarkEnd w:id="688"/>
    </w:p>
    <w:p>
      <w:pPr>
        <w:pStyle w:val="45"/>
        <w:ind w:firstLine="480"/>
        <w:rPr>
          <w:rFonts w:ascii="Times New Roman" w:hAnsi="Times New Roman"/>
        </w:rPr>
      </w:pPr>
      <w:r>
        <w:rPr>
          <w:rFonts w:ascii="Times New Roman" w:hAnsi="Times New Roman"/>
        </w:rPr>
        <w:t>1. 专业设置情况</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通信工程专业2010年申请设立，2011年开始二本招生，2012年开始一本招生，现有专业实验室两间，准备室一间。</w:t>
      </w:r>
    </w:p>
    <w:p>
      <w:pPr>
        <w:pStyle w:val="45"/>
        <w:ind w:firstLine="480"/>
        <w:rPr>
          <w:rFonts w:ascii="Times New Roman" w:hAnsi="Times New Roman"/>
        </w:rPr>
      </w:pPr>
      <w:r>
        <w:rPr>
          <w:rFonts w:ascii="Times New Roman" w:hAnsi="Times New Roman"/>
        </w:rPr>
        <w:t>2. 在校生规模</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2011年开始二本招生60名，2012、13年每年招生60名，2014、15年每年招生90名2016、17年招生30人，2018、2019年停招，2020年招生60人，2021年招生60人，2022年招生60人，现有在校学生120名。</w:t>
      </w:r>
    </w:p>
    <w:p>
      <w:pPr>
        <w:pStyle w:val="45"/>
        <w:ind w:firstLine="480"/>
        <w:rPr>
          <w:rFonts w:ascii="Times New Roman" w:hAnsi="Times New Roman"/>
        </w:rPr>
      </w:pPr>
      <w:r>
        <w:rPr>
          <w:rFonts w:ascii="Times New Roman" w:hAnsi="Times New Roman"/>
        </w:rPr>
        <w:t>3. 课程设置情况</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本专业培养方案最初基于信息与通信工程分专业制定核心课程及选修课程，基本制定原则为以学生为本，大类培养，在此基础上基于我校教学条件及社会需求整体优化课程体系。2014年、2015年、2017年、2021年及2022年又对培养方案进行了五次修改完善。14年的培养方案完善主要是强化实践环节，适应卓越人才培养要求，凸显本校特色的基础上，对原有培养方案中的部分核心课程上课时间及顺序进行了调整，增加了增强学生就业能力的选修课程，完善了实践课程内容。15年又根据学校学分制培养方案要求对通信工程专业培养方案进行了相应调整。17年在原有培养方案的基础上提升实训实践内容，进一步增强了实践环节，21年调整了部分课程的课时及开课时间，均衡了各学期开课课时，22年完善了相关实训实践环节。</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通信工程专业主要课程：电路原理、模拟电子技术、高频电子线路、数字电子技术、C语言程序设计、信号与系统、单片机原理与应用、通信原理A、通信原理B、电磁场与电磁波、微波技术、数字信号处理、数据通信、电路原理实验、模拟电子技术实验、数字电子技术实验、高频电子线路实验、单片机原理与应用实验、信号与系统实验、数字信号处理实验、通信原理实验、微波技术实验等。</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通信工程专业主要实践环节：专业认识实习、模拟电子系统课程设计、数字电子系统课程设计、通信技术综合实习1-3、创新创业实践、毕业（生产）实习及报告、毕业论文或专业调研报告等。</w:t>
      </w:r>
    </w:p>
    <w:p>
      <w:pPr>
        <w:pStyle w:val="45"/>
        <w:ind w:firstLine="480"/>
        <w:rPr>
          <w:rFonts w:ascii="Times New Roman" w:hAnsi="Times New Roman"/>
        </w:rPr>
      </w:pPr>
      <w:r>
        <w:rPr>
          <w:rFonts w:ascii="Times New Roman" w:hAnsi="Times New Roman"/>
        </w:rPr>
        <w:t>4. 创新创业教育</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1）课程设置为创新创业教育打下良好的基础。为提高学生的创新创业能力，2017年的培养方案增加了部分实践课程的学分，使得实验、实践课程的总学分占毕业要求的总学分的比例达到了30%，这个比例的提高夯实了全部学生的创新创业教育的基础。2018 年，增加《专业认识实习》，并优化了实践教学的学分安排，2022年，针对通信技术综合实习1-3进行了系统梳理完善，打通了三个实习的前后衔接关系。</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2）在培养过程中，积极引导学生的创新兴趣，培养学生创新能力。在学生完成大一基础课学习的同时，积极鼓励学生参与大学生创新学分、SRT项目、大学生电子竞赛、物联网竞赛等多种创新活动，将专业知识学习与创新创业发展贯穿学生大学四年的整个培养过程。</w:t>
      </w:r>
    </w:p>
    <w:p>
      <w:pPr>
        <w:pStyle w:val="5"/>
        <w:spacing w:before="93" w:after="93"/>
        <w:ind w:firstLine="560"/>
      </w:pPr>
      <w:bookmarkStart w:id="689" w:name="_Toc439226904"/>
      <w:bookmarkStart w:id="690" w:name="_Toc439254812"/>
      <w:bookmarkStart w:id="691" w:name="_Toc439256304"/>
      <w:bookmarkStart w:id="692" w:name="_Toc439229121"/>
      <w:r>
        <w:t>三、培养条件（教学经费投入、教学设备、教师队伍建设、实习基地、现代教学技术应用等）</w:t>
      </w:r>
      <w:bookmarkEnd w:id="689"/>
      <w:bookmarkEnd w:id="690"/>
      <w:bookmarkEnd w:id="691"/>
      <w:bookmarkEnd w:id="692"/>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本专业自设立以来，学校累计投入约三百万试验设备建设经费，购置两套多媒体操作台，建设综合试验室一间，面积140平方米左右。联系建设泰安联通公司、泰安铁塔公司等校外实习基地5个。教师专业多元多样，师资结构合理。多数教师采用多媒体上课，课堂内容实例紧密结合实际应用，教学效果良好。</w:t>
      </w:r>
    </w:p>
    <w:p>
      <w:pPr>
        <w:pStyle w:val="45"/>
        <w:ind w:firstLine="480"/>
        <w:rPr>
          <w:rFonts w:ascii="Times New Roman" w:hAnsi="Times New Roman"/>
        </w:rPr>
      </w:pPr>
      <w:r>
        <w:rPr>
          <w:rFonts w:ascii="Times New Roman" w:hAnsi="Times New Roman"/>
        </w:rPr>
        <w:t>1. 教学经费投入</w:t>
      </w:r>
    </w:p>
    <w:p>
      <w:pPr>
        <w:rPr>
          <w:color w:val="000000" w:themeColor="text1"/>
          <w:szCs w:val="24"/>
          <w14:textFill>
            <w14:solidFill>
              <w14:schemeClr w14:val="tx1"/>
            </w14:solidFill>
          </w14:textFill>
        </w:rPr>
      </w:pPr>
      <w:r>
        <w:rPr>
          <w:color w:val="000000" w:themeColor="text1"/>
          <w:szCs w:val="24"/>
          <w14:textFill>
            <w14:solidFill>
              <w14:schemeClr w14:val="tx1"/>
            </w14:solidFill>
          </w14:textFill>
        </w:rPr>
        <w:t>学校不断加大教学投入， 2022年生均教学运行经费约1000余元。</w:t>
      </w:r>
    </w:p>
    <w:p>
      <w:pPr>
        <w:pStyle w:val="45"/>
        <w:ind w:firstLine="480"/>
        <w:rPr>
          <w:rFonts w:ascii="Times New Roman" w:hAnsi="Times New Roman"/>
        </w:rPr>
      </w:pPr>
      <w:r>
        <w:rPr>
          <w:rFonts w:ascii="Times New Roman" w:hAnsi="Times New Roman"/>
        </w:rPr>
        <w:t>2. 教学设备</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通信工程专业现有教学设备共360台套，价值289余万。生均教学科研仪器设备值为12350余元，再加上电工电子实验中心实验设备，达到了国家要求的办学条件，满足教学要求。表1为通信工程专业教学设备保有情况。</w:t>
      </w:r>
    </w:p>
    <w:p>
      <w:pPr>
        <w:spacing w:before="156" w:beforeLines="50" w:line="240" w:lineRule="auto"/>
        <w:jc w:val="center"/>
        <w:rPr>
          <w:b/>
          <w:bCs/>
          <w:sz w:val="21"/>
          <w:szCs w:val="21"/>
        </w:rPr>
      </w:pPr>
      <w:r>
        <w:rPr>
          <w:b/>
          <w:bCs/>
          <w:sz w:val="21"/>
          <w:szCs w:val="21"/>
        </w:rPr>
        <w:t>表1  通信工程专业教学设备情况</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4"/>
        <w:gridCol w:w="4873"/>
        <w:gridCol w:w="1218"/>
        <w:gridCol w:w="10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Align w:val="center"/>
          </w:tcPr>
          <w:p>
            <w:pPr>
              <w:pStyle w:val="25"/>
              <w:spacing w:line="240" w:lineRule="auto"/>
              <w:rPr>
                <w:b/>
                <w:bCs/>
                <w:color w:val="000000"/>
                <w:sz w:val="21"/>
                <w:szCs w:val="21"/>
              </w:rPr>
            </w:pPr>
            <w:r>
              <w:rPr>
                <w:b/>
                <w:bCs/>
                <w:color w:val="000000"/>
                <w:sz w:val="21"/>
                <w:szCs w:val="21"/>
              </w:rPr>
              <w:t>年度</w:t>
            </w:r>
          </w:p>
        </w:tc>
        <w:tc>
          <w:tcPr>
            <w:tcW w:w="2689" w:type="pct"/>
            <w:vAlign w:val="center"/>
          </w:tcPr>
          <w:p>
            <w:pPr>
              <w:pStyle w:val="25"/>
              <w:spacing w:line="240" w:lineRule="auto"/>
              <w:rPr>
                <w:b/>
                <w:bCs/>
                <w:color w:val="000000"/>
                <w:sz w:val="21"/>
                <w:szCs w:val="21"/>
              </w:rPr>
            </w:pPr>
            <w:r>
              <w:rPr>
                <w:b/>
                <w:bCs/>
                <w:color w:val="000000"/>
                <w:sz w:val="21"/>
                <w:szCs w:val="21"/>
              </w:rPr>
              <w:t>设备名称</w:t>
            </w:r>
          </w:p>
        </w:tc>
        <w:tc>
          <w:tcPr>
            <w:tcW w:w="672" w:type="pct"/>
            <w:vAlign w:val="center"/>
          </w:tcPr>
          <w:p>
            <w:pPr>
              <w:pStyle w:val="25"/>
              <w:spacing w:line="240" w:lineRule="auto"/>
              <w:rPr>
                <w:b/>
                <w:bCs/>
                <w:color w:val="000000"/>
                <w:sz w:val="21"/>
                <w:szCs w:val="21"/>
              </w:rPr>
            </w:pPr>
            <w:r>
              <w:rPr>
                <w:b/>
                <w:bCs/>
                <w:color w:val="000000"/>
                <w:sz w:val="21"/>
                <w:szCs w:val="21"/>
              </w:rPr>
              <w:t>价格</w:t>
            </w:r>
          </w:p>
        </w:tc>
        <w:tc>
          <w:tcPr>
            <w:tcW w:w="575" w:type="pct"/>
            <w:vAlign w:val="center"/>
          </w:tcPr>
          <w:p>
            <w:pPr>
              <w:pStyle w:val="25"/>
              <w:spacing w:line="240" w:lineRule="auto"/>
              <w:rPr>
                <w:b/>
                <w:bCs/>
                <w:color w:val="000000"/>
                <w:sz w:val="21"/>
                <w:szCs w:val="21"/>
              </w:rPr>
            </w:pPr>
            <w:r>
              <w:rPr>
                <w:b/>
                <w:bCs/>
                <w:color w:val="000000"/>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Merge w:val="restart"/>
            <w:vAlign w:val="center"/>
          </w:tcPr>
          <w:p>
            <w:pPr>
              <w:pStyle w:val="25"/>
              <w:spacing w:line="240" w:lineRule="auto"/>
              <w:rPr>
                <w:color w:val="000000"/>
                <w:sz w:val="21"/>
                <w:szCs w:val="21"/>
              </w:rPr>
            </w:pPr>
            <w:r>
              <w:rPr>
                <w:color w:val="000000"/>
                <w:sz w:val="21"/>
                <w:szCs w:val="21"/>
              </w:rPr>
              <w:t>2011.9前</w:t>
            </w:r>
          </w:p>
        </w:tc>
        <w:tc>
          <w:tcPr>
            <w:tcW w:w="2689" w:type="pct"/>
            <w:vAlign w:val="center"/>
          </w:tcPr>
          <w:p>
            <w:pPr>
              <w:pStyle w:val="25"/>
              <w:spacing w:line="240" w:lineRule="auto"/>
              <w:rPr>
                <w:color w:val="000000"/>
                <w:sz w:val="21"/>
                <w:szCs w:val="21"/>
              </w:rPr>
            </w:pPr>
            <w:r>
              <w:rPr>
                <w:color w:val="000000"/>
                <w:sz w:val="21"/>
                <w:szCs w:val="21"/>
              </w:rPr>
              <w:t>EDA实验开发平台</w:t>
            </w:r>
          </w:p>
        </w:tc>
        <w:tc>
          <w:tcPr>
            <w:tcW w:w="672" w:type="pct"/>
            <w:vAlign w:val="center"/>
          </w:tcPr>
          <w:p>
            <w:pPr>
              <w:pStyle w:val="25"/>
              <w:spacing w:line="240" w:lineRule="auto"/>
              <w:rPr>
                <w:color w:val="000000"/>
                <w:sz w:val="21"/>
                <w:szCs w:val="21"/>
              </w:rPr>
            </w:pPr>
            <w:r>
              <w:rPr>
                <w:color w:val="000000"/>
                <w:sz w:val="21"/>
                <w:szCs w:val="21"/>
              </w:rPr>
              <w:t>2450</w:t>
            </w:r>
          </w:p>
        </w:tc>
        <w:tc>
          <w:tcPr>
            <w:tcW w:w="575" w:type="pct"/>
            <w:vAlign w:val="center"/>
          </w:tcPr>
          <w:p>
            <w:pPr>
              <w:pStyle w:val="25"/>
              <w:spacing w:line="240" w:lineRule="auto"/>
              <w:rPr>
                <w:color w:val="000000"/>
                <w:sz w:val="21"/>
                <w:szCs w:val="21"/>
              </w:rPr>
            </w:pPr>
            <w:r>
              <w:rPr>
                <w:color w:val="000000"/>
                <w:sz w:val="21"/>
                <w:szCs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图象处理实验系统</w:t>
            </w:r>
          </w:p>
        </w:tc>
        <w:tc>
          <w:tcPr>
            <w:tcW w:w="672" w:type="pct"/>
            <w:vAlign w:val="center"/>
          </w:tcPr>
          <w:p>
            <w:pPr>
              <w:pStyle w:val="25"/>
              <w:spacing w:line="240" w:lineRule="auto"/>
              <w:rPr>
                <w:color w:val="000000"/>
                <w:sz w:val="21"/>
                <w:szCs w:val="21"/>
              </w:rPr>
            </w:pPr>
            <w:r>
              <w:rPr>
                <w:color w:val="000000"/>
                <w:sz w:val="21"/>
                <w:szCs w:val="21"/>
              </w:rPr>
              <w:t>8100</w:t>
            </w:r>
          </w:p>
        </w:tc>
        <w:tc>
          <w:tcPr>
            <w:tcW w:w="575" w:type="pct"/>
            <w:vAlign w:val="center"/>
          </w:tcPr>
          <w:p>
            <w:pPr>
              <w:pStyle w:val="25"/>
              <w:spacing w:line="240" w:lineRule="auto"/>
              <w:rPr>
                <w:color w:val="000000"/>
                <w:sz w:val="21"/>
                <w:szCs w:val="21"/>
              </w:rPr>
            </w:pPr>
            <w:r>
              <w:rPr>
                <w:color w:val="000000"/>
                <w:sz w:val="21"/>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单片机仿真系统</w:t>
            </w:r>
          </w:p>
        </w:tc>
        <w:tc>
          <w:tcPr>
            <w:tcW w:w="672" w:type="pct"/>
            <w:vAlign w:val="center"/>
          </w:tcPr>
          <w:p>
            <w:pPr>
              <w:pStyle w:val="25"/>
              <w:spacing w:line="240" w:lineRule="auto"/>
              <w:rPr>
                <w:color w:val="000000"/>
                <w:sz w:val="21"/>
                <w:szCs w:val="21"/>
              </w:rPr>
            </w:pPr>
            <w:r>
              <w:rPr>
                <w:color w:val="000000"/>
                <w:sz w:val="21"/>
                <w:szCs w:val="21"/>
              </w:rPr>
              <w:t>4860</w:t>
            </w:r>
          </w:p>
        </w:tc>
        <w:tc>
          <w:tcPr>
            <w:tcW w:w="575" w:type="pct"/>
            <w:vAlign w:val="center"/>
          </w:tcPr>
          <w:p>
            <w:pPr>
              <w:pStyle w:val="25"/>
              <w:spacing w:line="240" w:lineRule="auto"/>
              <w:rPr>
                <w:color w:val="000000"/>
                <w:sz w:val="21"/>
                <w:szCs w:val="21"/>
              </w:rPr>
            </w:pPr>
            <w:r>
              <w:rPr>
                <w:color w:val="000000"/>
                <w:sz w:val="21"/>
                <w:szCs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ARM嵌入式教学实验系统</w:t>
            </w:r>
          </w:p>
        </w:tc>
        <w:tc>
          <w:tcPr>
            <w:tcW w:w="672" w:type="pct"/>
            <w:vAlign w:val="center"/>
          </w:tcPr>
          <w:p>
            <w:pPr>
              <w:pStyle w:val="25"/>
              <w:spacing w:line="240" w:lineRule="auto"/>
              <w:rPr>
                <w:color w:val="000000"/>
                <w:sz w:val="21"/>
                <w:szCs w:val="21"/>
              </w:rPr>
            </w:pPr>
            <w:r>
              <w:rPr>
                <w:color w:val="000000"/>
                <w:sz w:val="21"/>
                <w:szCs w:val="21"/>
              </w:rPr>
              <w:t>4600</w:t>
            </w:r>
          </w:p>
        </w:tc>
        <w:tc>
          <w:tcPr>
            <w:tcW w:w="575" w:type="pct"/>
            <w:vAlign w:val="center"/>
          </w:tcPr>
          <w:p>
            <w:pPr>
              <w:pStyle w:val="25"/>
              <w:spacing w:line="240" w:lineRule="auto"/>
              <w:rPr>
                <w:color w:val="000000"/>
                <w:sz w:val="21"/>
                <w:szCs w:val="21"/>
              </w:rPr>
            </w:pPr>
            <w:r>
              <w:rPr>
                <w:color w:val="000000"/>
                <w:sz w:val="21"/>
                <w:szCs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嵌入式开发工具套件（仿真器）大众版</w:t>
            </w:r>
          </w:p>
        </w:tc>
        <w:tc>
          <w:tcPr>
            <w:tcW w:w="672" w:type="pct"/>
            <w:vAlign w:val="center"/>
          </w:tcPr>
          <w:p>
            <w:pPr>
              <w:pStyle w:val="25"/>
              <w:spacing w:line="240" w:lineRule="auto"/>
              <w:rPr>
                <w:color w:val="000000"/>
                <w:sz w:val="21"/>
                <w:szCs w:val="21"/>
              </w:rPr>
            </w:pPr>
            <w:r>
              <w:rPr>
                <w:color w:val="000000"/>
                <w:sz w:val="21"/>
                <w:szCs w:val="21"/>
              </w:rPr>
              <w:t>1320</w:t>
            </w:r>
          </w:p>
        </w:tc>
        <w:tc>
          <w:tcPr>
            <w:tcW w:w="575" w:type="pct"/>
            <w:vAlign w:val="center"/>
          </w:tcPr>
          <w:p>
            <w:pPr>
              <w:pStyle w:val="25"/>
              <w:spacing w:line="240" w:lineRule="auto"/>
              <w:rPr>
                <w:color w:val="000000"/>
                <w:sz w:val="21"/>
                <w:szCs w:val="21"/>
              </w:rPr>
            </w:pPr>
            <w:r>
              <w:rPr>
                <w:color w:val="000000"/>
                <w:sz w:val="21"/>
                <w:szCs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嵌入式开发工具套件（仿真器）专业版版</w:t>
            </w:r>
          </w:p>
        </w:tc>
        <w:tc>
          <w:tcPr>
            <w:tcW w:w="672" w:type="pct"/>
            <w:vAlign w:val="center"/>
          </w:tcPr>
          <w:p>
            <w:pPr>
              <w:pStyle w:val="25"/>
              <w:spacing w:line="240" w:lineRule="auto"/>
              <w:rPr>
                <w:color w:val="000000"/>
                <w:sz w:val="21"/>
                <w:szCs w:val="21"/>
              </w:rPr>
            </w:pPr>
            <w:r>
              <w:rPr>
                <w:color w:val="000000"/>
                <w:sz w:val="21"/>
                <w:szCs w:val="21"/>
              </w:rPr>
              <w:t>8000</w:t>
            </w:r>
          </w:p>
        </w:tc>
        <w:tc>
          <w:tcPr>
            <w:tcW w:w="575" w:type="pct"/>
            <w:vAlign w:val="center"/>
          </w:tcPr>
          <w:p>
            <w:pPr>
              <w:pStyle w:val="25"/>
              <w:spacing w:line="240" w:lineRule="auto"/>
              <w:rPr>
                <w:color w:val="000000"/>
                <w:sz w:val="21"/>
                <w:szCs w:val="21"/>
              </w:rPr>
            </w:pPr>
            <w:r>
              <w:rPr>
                <w:color w:val="00000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数字存储示波器</w:t>
            </w:r>
          </w:p>
        </w:tc>
        <w:tc>
          <w:tcPr>
            <w:tcW w:w="672" w:type="pct"/>
            <w:vAlign w:val="center"/>
          </w:tcPr>
          <w:p>
            <w:pPr>
              <w:pStyle w:val="25"/>
              <w:spacing w:line="240" w:lineRule="auto"/>
              <w:rPr>
                <w:color w:val="000000"/>
                <w:sz w:val="21"/>
                <w:szCs w:val="21"/>
              </w:rPr>
            </w:pPr>
            <w:r>
              <w:rPr>
                <w:color w:val="000000"/>
                <w:sz w:val="21"/>
                <w:szCs w:val="21"/>
              </w:rPr>
              <w:t>7980</w:t>
            </w:r>
          </w:p>
        </w:tc>
        <w:tc>
          <w:tcPr>
            <w:tcW w:w="575" w:type="pct"/>
            <w:vAlign w:val="center"/>
          </w:tcPr>
          <w:p>
            <w:pPr>
              <w:pStyle w:val="25"/>
              <w:spacing w:line="240" w:lineRule="auto"/>
              <w:rPr>
                <w:color w:val="000000"/>
                <w:sz w:val="21"/>
                <w:szCs w:val="21"/>
              </w:rPr>
            </w:pPr>
            <w:r>
              <w:rPr>
                <w:color w:val="000000"/>
                <w:sz w:val="21"/>
                <w:szCs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标准函数信号发生器</w:t>
            </w:r>
          </w:p>
        </w:tc>
        <w:tc>
          <w:tcPr>
            <w:tcW w:w="672" w:type="pct"/>
            <w:vAlign w:val="center"/>
          </w:tcPr>
          <w:p>
            <w:pPr>
              <w:pStyle w:val="25"/>
              <w:spacing w:line="240" w:lineRule="auto"/>
              <w:rPr>
                <w:color w:val="000000"/>
                <w:sz w:val="21"/>
                <w:szCs w:val="21"/>
              </w:rPr>
            </w:pPr>
            <w:r>
              <w:rPr>
                <w:color w:val="000000"/>
                <w:sz w:val="21"/>
                <w:szCs w:val="21"/>
              </w:rPr>
              <w:t>19800</w:t>
            </w:r>
          </w:p>
        </w:tc>
        <w:tc>
          <w:tcPr>
            <w:tcW w:w="575" w:type="pct"/>
            <w:vAlign w:val="center"/>
          </w:tcPr>
          <w:p>
            <w:pPr>
              <w:pStyle w:val="25"/>
              <w:spacing w:line="240" w:lineRule="auto"/>
              <w:rPr>
                <w:color w:val="000000"/>
                <w:sz w:val="21"/>
                <w:szCs w:val="21"/>
              </w:rPr>
            </w:pPr>
            <w:r>
              <w:rPr>
                <w:color w:val="00000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教学信号源</w:t>
            </w:r>
          </w:p>
        </w:tc>
        <w:tc>
          <w:tcPr>
            <w:tcW w:w="672" w:type="pct"/>
            <w:vAlign w:val="center"/>
          </w:tcPr>
          <w:p>
            <w:pPr>
              <w:pStyle w:val="25"/>
              <w:spacing w:line="240" w:lineRule="auto"/>
              <w:rPr>
                <w:color w:val="000000"/>
                <w:sz w:val="21"/>
                <w:szCs w:val="21"/>
              </w:rPr>
            </w:pPr>
            <w:r>
              <w:rPr>
                <w:color w:val="000000"/>
                <w:sz w:val="21"/>
                <w:szCs w:val="21"/>
              </w:rPr>
              <w:t>3460</w:t>
            </w:r>
          </w:p>
        </w:tc>
        <w:tc>
          <w:tcPr>
            <w:tcW w:w="575" w:type="pct"/>
            <w:vAlign w:val="center"/>
          </w:tcPr>
          <w:p>
            <w:pPr>
              <w:pStyle w:val="25"/>
              <w:spacing w:line="240" w:lineRule="auto"/>
              <w:rPr>
                <w:color w:val="000000"/>
                <w:sz w:val="21"/>
                <w:szCs w:val="21"/>
              </w:rPr>
            </w:pPr>
            <w:r>
              <w:rPr>
                <w:color w:val="000000"/>
                <w:sz w:val="21"/>
                <w:szCs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台式万用表</w:t>
            </w:r>
          </w:p>
        </w:tc>
        <w:tc>
          <w:tcPr>
            <w:tcW w:w="672" w:type="pct"/>
            <w:vAlign w:val="center"/>
          </w:tcPr>
          <w:p>
            <w:pPr>
              <w:pStyle w:val="25"/>
              <w:spacing w:line="240" w:lineRule="auto"/>
              <w:rPr>
                <w:color w:val="000000"/>
                <w:sz w:val="21"/>
                <w:szCs w:val="21"/>
              </w:rPr>
            </w:pPr>
            <w:r>
              <w:rPr>
                <w:color w:val="000000"/>
                <w:sz w:val="21"/>
                <w:szCs w:val="21"/>
              </w:rPr>
              <w:t>3300</w:t>
            </w:r>
          </w:p>
        </w:tc>
        <w:tc>
          <w:tcPr>
            <w:tcW w:w="575" w:type="pct"/>
            <w:vAlign w:val="center"/>
          </w:tcPr>
          <w:p>
            <w:pPr>
              <w:pStyle w:val="25"/>
              <w:spacing w:line="240" w:lineRule="auto"/>
              <w:rPr>
                <w:color w:val="000000"/>
                <w:sz w:val="21"/>
                <w:szCs w:val="21"/>
              </w:rPr>
            </w:pPr>
            <w:r>
              <w:rPr>
                <w:color w:val="000000"/>
                <w:sz w:val="21"/>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精密贴片机</w:t>
            </w:r>
          </w:p>
        </w:tc>
        <w:tc>
          <w:tcPr>
            <w:tcW w:w="672" w:type="pct"/>
            <w:vAlign w:val="center"/>
          </w:tcPr>
          <w:p>
            <w:pPr>
              <w:pStyle w:val="25"/>
              <w:spacing w:line="240" w:lineRule="auto"/>
              <w:rPr>
                <w:color w:val="000000"/>
                <w:sz w:val="21"/>
                <w:szCs w:val="21"/>
              </w:rPr>
            </w:pPr>
            <w:r>
              <w:rPr>
                <w:color w:val="000000"/>
                <w:sz w:val="21"/>
                <w:szCs w:val="21"/>
              </w:rPr>
              <w:t>5990</w:t>
            </w:r>
          </w:p>
        </w:tc>
        <w:tc>
          <w:tcPr>
            <w:tcW w:w="575" w:type="pct"/>
            <w:vAlign w:val="center"/>
          </w:tcPr>
          <w:p>
            <w:pPr>
              <w:pStyle w:val="25"/>
              <w:spacing w:line="240" w:lineRule="auto"/>
              <w:rPr>
                <w:color w:val="000000"/>
                <w:sz w:val="21"/>
                <w:szCs w:val="21"/>
              </w:rPr>
            </w:pPr>
            <w:r>
              <w:rPr>
                <w:color w:val="00000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表面贴装回流焊机</w:t>
            </w:r>
          </w:p>
        </w:tc>
        <w:tc>
          <w:tcPr>
            <w:tcW w:w="672" w:type="pct"/>
            <w:vAlign w:val="center"/>
          </w:tcPr>
          <w:p>
            <w:pPr>
              <w:pStyle w:val="25"/>
              <w:spacing w:line="240" w:lineRule="auto"/>
              <w:rPr>
                <w:color w:val="000000"/>
                <w:sz w:val="21"/>
                <w:szCs w:val="21"/>
              </w:rPr>
            </w:pPr>
            <w:r>
              <w:rPr>
                <w:color w:val="000000"/>
                <w:sz w:val="21"/>
                <w:szCs w:val="21"/>
              </w:rPr>
              <w:t>23180</w:t>
            </w:r>
          </w:p>
        </w:tc>
        <w:tc>
          <w:tcPr>
            <w:tcW w:w="575" w:type="pct"/>
            <w:vAlign w:val="center"/>
          </w:tcPr>
          <w:p>
            <w:pPr>
              <w:pStyle w:val="25"/>
              <w:spacing w:line="240" w:lineRule="auto"/>
              <w:rPr>
                <w:color w:val="000000"/>
                <w:sz w:val="21"/>
                <w:szCs w:val="21"/>
              </w:rPr>
            </w:pPr>
            <w:r>
              <w:rPr>
                <w:color w:val="00000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线路板雕刻机</w:t>
            </w:r>
          </w:p>
        </w:tc>
        <w:tc>
          <w:tcPr>
            <w:tcW w:w="672" w:type="pct"/>
            <w:vAlign w:val="center"/>
          </w:tcPr>
          <w:p>
            <w:pPr>
              <w:pStyle w:val="25"/>
              <w:spacing w:line="240" w:lineRule="auto"/>
              <w:rPr>
                <w:color w:val="000000"/>
                <w:sz w:val="21"/>
                <w:szCs w:val="21"/>
              </w:rPr>
            </w:pPr>
            <w:r>
              <w:rPr>
                <w:color w:val="000000"/>
                <w:sz w:val="21"/>
                <w:szCs w:val="21"/>
              </w:rPr>
              <w:t>249340</w:t>
            </w:r>
          </w:p>
        </w:tc>
        <w:tc>
          <w:tcPr>
            <w:tcW w:w="575" w:type="pct"/>
            <w:vAlign w:val="center"/>
          </w:tcPr>
          <w:p>
            <w:pPr>
              <w:pStyle w:val="25"/>
              <w:spacing w:line="240" w:lineRule="auto"/>
              <w:rPr>
                <w:color w:val="000000"/>
                <w:sz w:val="21"/>
                <w:szCs w:val="21"/>
              </w:rPr>
            </w:pPr>
            <w:r>
              <w:rPr>
                <w:color w:val="00000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计算机</w:t>
            </w:r>
          </w:p>
        </w:tc>
        <w:tc>
          <w:tcPr>
            <w:tcW w:w="672" w:type="pct"/>
            <w:vAlign w:val="center"/>
          </w:tcPr>
          <w:p>
            <w:pPr>
              <w:pStyle w:val="25"/>
              <w:spacing w:line="240" w:lineRule="auto"/>
              <w:rPr>
                <w:color w:val="000000"/>
                <w:sz w:val="21"/>
                <w:szCs w:val="21"/>
              </w:rPr>
            </w:pPr>
            <w:r>
              <w:rPr>
                <w:color w:val="000000"/>
                <w:sz w:val="21"/>
                <w:szCs w:val="21"/>
              </w:rPr>
              <w:t>4890</w:t>
            </w:r>
          </w:p>
        </w:tc>
        <w:tc>
          <w:tcPr>
            <w:tcW w:w="575" w:type="pct"/>
            <w:vAlign w:val="center"/>
          </w:tcPr>
          <w:p>
            <w:pPr>
              <w:pStyle w:val="25"/>
              <w:spacing w:line="240" w:lineRule="auto"/>
              <w:rPr>
                <w:color w:val="000000"/>
                <w:sz w:val="21"/>
                <w:szCs w:val="21"/>
              </w:rPr>
            </w:pPr>
            <w:r>
              <w:rPr>
                <w:color w:val="000000"/>
                <w:sz w:val="21"/>
                <w:szCs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微波实验系统</w:t>
            </w:r>
          </w:p>
        </w:tc>
        <w:tc>
          <w:tcPr>
            <w:tcW w:w="672" w:type="pct"/>
            <w:vAlign w:val="center"/>
          </w:tcPr>
          <w:p>
            <w:pPr>
              <w:pStyle w:val="25"/>
              <w:spacing w:line="240" w:lineRule="auto"/>
              <w:rPr>
                <w:color w:val="000000"/>
                <w:sz w:val="21"/>
                <w:szCs w:val="21"/>
              </w:rPr>
            </w:pPr>
            <w:r>
              <w:rPr>
                <w:color w:val="000000"/>
                <w:sz w:val="21"/>
                <w:szCs w:val="21"/>
              </w:rPr>
              <w:t>98600</w:t>
            </w:r>
          </w:p>
        </w:tc>
        <w:tc>
          <w:tcPr>
            <w:tcW w:w="575" w:type="pct"/>
            <w:vAlign w:val="center"/>
          </w:tcPr>
          <w:p>
            <w:pPr>
              <w:pStyle w:val="25"/>
              <w:spacing w:line="240" w:lineRule="auto"/>
              <w:rPr>
                <w:color w:val="000000"/>
                <w:sz w:val="21"/>
                <w:szCs w:val="21"/>
              </w:rPr>
            </w:pPr>
            <w:r>
              <w:rPr>
                <w:color w:val="00000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Merge w:val="restart"/>
            <w:vAlign w:val="center"/>
          </w:tcPr>
          <w:p>
            <w:pPr>
              <w:pStyle w:val="25"/>
              <w:spacing w:line="240" w:lineRule="auto"/>
              <w:rPr>
                <w:color w:val="000000"/>
                <w:sz w:val="21"/>
                <w:szCs w:val="21"/>
              </w:rPr>
            </w:pPr>
            <w:r>
              <w:rPr>
                <w:color w:val="000000"/>
                <w:sz w:val="21"/>
                <w:szCs w:val="21"/>
              </w:rPr>
              <w:t>2014.9-2015.7</w:t>
            </w:r>
          </w:p>
        </w:tc>
        <w:tc>
          <w:tcPr>
            <w:tcW w:w="2689" w:type="pct"/>
            <w:vAlign w:val="center"/>
          </w:tcPr>
          <w:p>
            <w:pPr>
              <w:pStyle w:val="25"/>
              <w:spacing w:line="240" w:lineRule="auto"/>
              <w:rPr>
                <w:color w:val="000000"/>
                <w:sz w:val="21"/>
                <w:szCs w:val="21"/>
              </w:rPr>
            </w:pPr>
            <w:r>
              <w:rPr>
                <w:color w:val="000000"/>
                <w:sz w:val="21"/>
                <w:szCs w:val="21"/>
              </w:rPr>
              <w:t>互联网试验箱</w:t>
            </w:r>
          </w:p>
        </w:tc>
        <w:tc>
          <w:tcPr>
            <w:tcW w:w="672" w:type="pct"/>
            <w:vAlign w:val="center"/>
          </w:tcPr>
          <w:p>
            <w:pPr>
              <w:pStyle w:val="25"/>
              <w:spacing w:line="240" w:lineRule="auto"/>
              <w:rPr>
                <w:color w:val="000000"/>
                <w:sz w:val="21"/>
                <w:szCs w:val="21"/>
              </w:rPr>
            </w:pPr>
            <w:r>
              <w:rPr>
                <w:color w:val="000000"/>
                <w:sz w:val="21"/>
                <w:szCs w:val="21"/>
              </w:rPr>
              <w:t>14700</w:t>
            </w:r>
          </w:p>
        </w:tc>
        <w:tc>
          <w:tcPr>
            <w:tcW w:w="575" w:type="pct"/>
            <w:vAlign w:val="center"/>
          </w:tcPr>
          <w:p>
            <w:pPr>
              <w:pStyle w:val="25"/>
              <w:spacing w:line="240" w:lineRule="auto"/>
              <w:rPr>
                <w:color w:val="000000"/>
                <w:sz w:val="21"/>
                <w:szCs w:val="21"/>
              </w:rPr>
            </w:pPr>
            <w:r>
              <w:rPr>
                <w:color w:val="000000"/>
                <w:sz w:val="21"/>
                <w:szCs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频谱分析仪</w:t>
            </w:r>
          </w:p>
        </w:tc>
        <w:tc>
          <w:tcPr>
            <w:tcW w:w="672" w:type="pct"/>
            <w:vAlign w:val="center"/>
          </w:tcPr>
          <w:p>
            <w:pPr>
              <w:pStyle w:val="25"/>
              <w:spacing w:line="240" w:lineRule="auto"/>
              <w:rPr>
                <w:color w:val="000000"/>
                <w:sz w:val="21"/>
                <w:szCs w:val="21"/>
              </w:rPr>
            </w:pPr>
            <w:r>
              <w:rPr>
                <w:color w:val="000000"/>
                <w:sz w:val="21"/>
                <w:szCs w:val="21"/>
              </w:rPr>
              <w:t>12450</w:t>
            </w:r>
          </w:p>
        </w:tc>
        <w:tc>
          <w:tcPr>
            <w:tcW w:w="575" w:type="pct"/>
            <w:vAlign w:val="center"/>
          </w:tcPr>
          <w:p>
            <w:pPr>
              <w:pStyle w:val="25"/>
              <w:spacing w:line="240" w:lineRule="auto"/>
              <w:rPr>
                <w:color w:val="000000"/>
                <w:sz w:val="21"/>
                <w:szCs w:val="21"/>
              </w:rPr>
            </w:pPr>
            <w:r>
              <w:rPr>
                <w:color w:val="000000"/>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微波与天线综合实验系统</w:t>
            </w:r>
          </w:p>
        </w:tc>
        <w:tc>
          <w:tcPr>
            <w:tcW w:w="672" w:type="pct"/>
            <w:vAlign w:val="center"/>
          </w:tcPr>
          <w:p>
            <w:pPr>
              <w:pStyle w:val="25"/>
              <w:spacing w:line="240" w:lineRule="auto"/>
              <w:rPr>
                <w:color w:val="000000"/>
                <w:sz w:val="21"/>
                <w:szCs w:val="21"/>
              </w:rPr>
            </w:pPr>
            <w:r>
              <w:rPr>
                <w:color w:val="000000"/>
                <w:sz w:val="21"/>
                <w:szCs w:val="21"/>
              </w:rPr>
              <w:t>28550</w:t>
            </w:r>
          </w:p>
        </w:tc>
        <w:tc>
          <w:tcPr>
            <w:tcW w:w="575" w:type="pct"/>
            <w:vAlign w:val="center"/>
          </w:tcPr>
          <w:p>
            <w:pPr>
              <w:pStyle w:val="25"/>
              <w:spacing w:line="240" w:lineRule="auto"/>
              <w:rPr>
                <w:color w:val="000000"/>
                <w:sz w:val="21"/>
                <w:szCs w:val="21"/>
              </w:rPr>
            </w:pPr>
            <w:r>
              <w:rPr>
                <w:color w:val="000000"/>
                <w:sz w:val="21"/>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2" w:type="pct"/>
            <w:vAlign w:val="center"/>
          </w:tcPr>
          <w:p>
            <w:pPr>
              <w:pStyle w:val="25"/>
              <w:spacing w:line="240" w:lineRule="auto"/>
              <w:rPr>
                <w:color w:val="000000"/>
                <w:sz w:val="21"/>
                <w:szCs w:val="21"/>
              </w:rPr>
            </w:pPr>
            <w:r>
              <w:rPr>
                <w:color w:val="000000"/>
                <w:sz w:val="21"/>
                <w:szCs w:val="21"/>
              </w:rPr>
              <w:t>2016.9-2017.7</w:t>
            </w:r>
          </w:p>
        </w:tc>
        <w:tc>
          <w:tcPr>
            <w:tcW w:w="2689" w:type="pct"/>
            <w:vAlign w:val="center"/>
          </w:tcPr>
          <w:p>
            <w:pPr>
              <w:pStyle w:val="25"/>
              <w:spacing w:line="240" w:lineRule="auto"/>
              <w:rPr>
                <w:color w:val="000000"/>
                <w:sz w:val="21"/>
                <w:szCs w:val="21"/>
              </w:rPr>
            </w:pPr>
            <w:r>
              <w:rPr>
                <w:color w:val="000000"/>
                <w:sz w:val="21"/>
                <w:szCs w:val="21"/>
              </w:rPr>
              <w:t>计算机</w:t>
            </w:r>
          </w:p>
        </w:tc>
        <w:tc>
          <w:tcPr>
            <w:tcW w:w="672" w:type="pct"/>
            <w:vAlign w:val="center"/>
          </w:tcPr>
          <w:p>
            <w:pPr>
              <w:pStyle w:val="25"/>
              <w:spacing w:line="240" w:lineRule="auto"/>
              <w:rPr>
                <w:color w:val="000000"/>
                <w:sz w:val="21"/>
                <w:szCs w:val="21"/>
              </w:rPr>
            </w:pPr>
            <w:r>
              <w:rPr>
                <w:color w:val="000000"/>
                <w:sz w:val="21"/>
                <w:szCs w:val="21"/>
              </w:rPr>
              <w:t>3699</w:t>
            </w:r>
          </w:p>
        </w:tc>
        <w:tc>
          <w:tcPr>
            <w:tcW w:w="575" w:type="pct"/>
            <w:vAlign w:val="center"/>
          </w:tcPr>
          <w:p>
            <w:pPr>
              <w:pStyle w:val="25"/>
              <w:spacing w:line="240" w:lineRule="auto"/>
              <w:rPr>
                <w:color w:val="000000"/>
                <w:sz w:val="21"/>
                <w:szCs w:val="21"/>
              </w:rPr>
            </w:pPr>
            <w:r>
              <w:rPr>
                <w:color w:val="000000"/>
                <w:sz w:val="21"/>
                <w:szCs w:val="21"/>
              </w:rPr>
              <w:t>32</w:t>
            </w:r>
          </w:p>
        </w:tc>
      </w:tr>
    </w:tbl>
    <w:p>
      <w:pPr>
        <w:pStyle w:val="45"/>
        <w:ind w:firstLine="480"/>
        <w:rPr>
          <w:rFonts w:ascii="Times New Roman" w:hAnsi="Times New Roman"/>
        </w:rPr>
      </w:pPr>
      <w:r>
        <w:rPr>
          <w:rFonts w:ascii="Times New Roman" w:hAnsi="Times New Roman"/>
        </w:rPr>
        <w:t>3. 教师队伍建设</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本专业现有专业教师10名，其中教授3名，副教授4名，讲师3名。全部教师都具有硕士以上学历，其中具有博士学位的7名，在读博士1名。表2为通信工程专业师资队伍情况。</w:t>
      </w:r>
    </w:p>
    <w:p>
      <w:pPr>
        <w:spacing w:line="240" w:lineRule="auto"/>
        <w:jc w:val="center"/>
        <w:rPr>
          <w:b/>
          <w:bCs/>
          <w:sz w:val="21"/>
          <w:szCs w:val="21"/>
        </w:rPr>
      </w:pPr>
    </w:p>
    <w:p>
      <w:pPr>
        <w:spacing w:line="240" w:lineRule="auto"/>
        <w:jc w:val="center"/>
        <w:rPr>
          <w:b/>
          <w:bCs/>
          <w:sz w:val="21"/>
          <w:szCs w:val="21"/>
        </w:rPr>
      </w:pPr>
      <w:r>
        <w:rPr>
          <w:b/>
          <w:bCs/>
          <w:sz w:val="21"/>
          <w:szCs w:val="21"/>
        </w:rPr>
        <w:t>表2  通信工程专业师资队伍情况</w:t>
      </w:r>
    </w:p>
    <w:tbl>
      <w:tblPr>
        <w:tblStyle w:val="17"/>
        <w:tblW w:w="4997" w:type="pct"/>
        <w:jc w:val="center"/>
        <w:tblLayout w:type="autofit"/>
        <w:tblCellMar>
          <w:top w:w="0" w:type="dxa"/>
          <w:left w:w="108" w:type="dxa"/>
          <w:bottom w:w="0" w:type="dxa"/>
          <w:right w:w="108" w:type="dxa"/>
        </w:tblCellMar>
      </w:tblPr>
      <w:tblGrid>
        <w:gridCol w:w="1017"/>
        <w:gridCol w:w="868"/>
        <w:gridCol w:w="1117"/>
        <w:gridCol w:w="1773"/>
        <w:gridCol w:w="861"/>
        <w:gridCol w:w="1255"/>
        <w:gridCol w:w="968"/>
        <w:gridCol w:w="1197"/>
      </w:tblGrid>
      <w:tr>
        <w:tblPrEx>
          <w:tblCellMar>
            <w:top w:w="0" w:type="dxa"/>
            <w:left w:w="108" w:type="dxa"/>
            <w:bottom w:w="0" w:type="dxa"/>
            <w:right w:w="108" w:type="dxa"/>
          </w:tblCellMar>
        </w:tblPrEx>
        <w:trPr>
          <w:trHeight w:val="421" w:hRule="atLeast"/>
          <w:tblHeader/>
          <w:jc w:val="center"/>
        </w:trPr>
        <w:tc>
          <w:tcPr>
            <w:tcW w:w="561" w:type="pct"/>
            <w:tcBorders>
              <w:top w:val="single" w:color="auto" w:sz="4" w:space="0"/>
              <w:left w:val="single" w:color="auto" w:sz="4" w:space="0"/>
              <w:bottom w:val="single" w:color="auto" w:sz="4" w:space="0"/>
              <w:right w:val="single" w:color="auto" w:sz="4" w:space="0"/>
            </w:tcBorders>
            <w:noWrap/>
            <w:vAlign w:val="center"/>
          </w:tcPr>
          <w:p>
            <w:pPr>
              <w:spacing w:line="240" w:lineRule="auto"/>
              <w:jc w:val="center"/>
              <w:rPr>
                <w:b/>
                <w:bCs/>
                <w:sz w:val="21"/>
                <w:szCs w:val="21"/>
              </w:rPr>
            </w:pPr>
            <w:r>
              <w:rPr>
                <w:b/>
                <w:bCs/>
                <w:sz w:val="21"/>
                <w:szCs w:val="21"/>
              </w:rPr>
              <w:t>姓 名</w:t>
            </w:r>
          </w:p>
        </w:tc>
        <w:tc>
          <w:tcPr>
            <w:tcW w:w="479" w:type="pct"/>
            <w:tcBorders>
              <w:top w:val="single" w:color="auto" w:sz="4" w:space="0"/>
              <w:left w:val="nil"/>
              <w:bottom w:val="single" w:color="auto" w:sz="4" w:space="0"/>
              <w:right w:val="single" w:color="auto" w:sz="4" w:space="0"/>
            </w:tcBorders>
            <w:noWrap/>
            <w:vAlign w:val="center"/>
          </w:tcPr>
          <w:p>
            <w:pPr>
              <w:spacing w:line="240" w:lineRule="auto"/>
              <w:jc w:val="center"/>
              <w:rPr>
                <w:b/>
                <w:bCs/>
                <w:sz w:val="21"/>
                <w:szCs w:val="21"/>
              </w:rPr>
            </w:pPr>
            <w:r>
              <w:rPr>
                <w:b/>
                <w:bCs/>
                <w:sz w:val="21"/>
                <w:szCs w:val="21"/>
              </w:rPr>
              <w:t>性别</w:t>
            </w:r>
          </w:p>
        </w:tc>
        <w:tc>
          <w:tcPr>
            <w:tcW w:w="616" w:type="pct"/>
            <w:tcBorders>
              <w:top w:val="single" w:color="auto" w:sz="4" w:space="0"/>
              <w:left w:val="nil"/>
              <w:bottom w:val="single" w:color="auto" w:sz="4" w:space="0"/>
              <w:right w:val="single" w:color="auto" w:sz="4" w:space="0"/>
            </w:tcBorders>
            <w:noWrap/>
            <w:vAlign w:val="center"/>
          </w:tcPr>
          <w:p>
            <w:pPr>
              <w:spacing w:line="240" w:lineRule="auto"/>
              <w:jc w:val="center"/>
              <w:rPr>
                <w:b/>
                <w:bCs/>
                <w:sz w:val="21"/>
                <w:szCs w:val="21"/>
              </w:rPr>
            </w:pPr>
            <w:r>
              <w:rPr>
                <w:b/>
                <w:bCs/>
                <w:sz w:val="21"/>
                <w:szCs w:val="21"/>
              </w:rPr>
              <w:t>出生年月</w:t>
            </w:r>
          </w:p>
        </w:tc>
        <w:tc>
          <w:tcPr>
            <w:tcW w:w="978" w:type="pct"/>
            <w:tcBorders>
              <w:top w:val="single" w:color="auto" w:sz="4" w:space="0"/>
              <w:left w:val="nil"/>
              <w:bottom w:val="single" w:color="auto" w:sz="4" w:space="0"/>
              <w:right w:val="single" w:color="auto" w:sz="4" w:space="0"/>
            </w:tcBorders>
            <w:noWrap/>
            <w:vAlign w:val="center"/>
          </w:tcPr>
          <w:p>
            <w:pPr>
              <w:spacing w:line="240" w:lineRule="auto"/>
              <w:jc w:val="center"/>
              <w:rPr>
                <w:b/>
                <w:bCs/>
                <w:sz w:val="21"/>
                <w:szCs w:val="21"/>
              </w:rPr>
            </w:pPr>
            <w:r>
              <w:rPr>
                <w:b/>
                <w:bCs/>
                <w:sz w:val="21"/>
                <w:szCs w:val="21"/>
              </w:rPr>
              <w:t>毕业院校</w:t>
            </w:r>
          </w:p>
        </w:tc>
        <w:tc>
          <w:tcPr>
            <w:tcW w:w="475" w:type="pct"/>
            <w:tcBorders>
              <w:top w:val="single" w:color="auto" w:sz="4" w:space="0"/>
              <w:left w:val="nil"/>
              <w:bottom w:val="single" w:color="auto" w:sz="4" w:space="0"/>
              <w:right w:val="single" w:color="auto" w:sz="4" w:space="0"/>
            </w:tcBorders>
            <w:noWrap/>
            <w:vAlign w:val="center"/>
          </w:tcPr>
          <w:p>
            <w:pPr>
              <w:spacing w:line="240" w:lineRule="auto"/>
              <w:jc w:val="center"/>
              <w:rPr>
                <w:b/>
                <w:bCs/>
                <w:sz w:val="21"/>
                <w:szCs w:val="21"/>
              </w:rPr>
            </w:pPr>
            <w:r>
              <w:rPr>
                <w:b/>
                <w:bCs/>
                <w:sz w:val="21"/>
                <w:szCs w:val="21"/>
              </w:rPr>
              <w:t>学位</w:t>
            </w:r>
          </w:p>
        </w:tc>
        <w:tc>
          <w:tcPr>
            <w:tcW w:w="692" w:type="pct"/>
            <w:tcBorders>
              <w:top w:val="single" w:color="auto" w:sz="4" w:space="0"/>
              <w:left w:val="nil"/>
              <w:bottom w:val="single" w:color="auto" w:sz="4" w:space="0"/>
              <w:right w:val="single" w:color="auto" w:sz="4" w:space="0"/>
            </w:tcBorders>
            <w:noWrap/>
            <w:vAlign w:val="center"/>
          </w:tcPr>
          <w:p>
            <w:pPr>
              <w:spacing w:line="240" w:lineRule="auto"/>
              <w:jc w:val="center"/>
              <w:rPr>
                <w:b/>
                <w:bCs/>
                <w:sz w:val="21"/>
                <w:szCs w:val="21"/>
              </w:rPr>
            </w:pPr>
            <w:r>
              <w:rPr>
                <w:b/>
                <w:bCs/>
                <w:sz w:val="21"/>
                <w:szCs w:val="21"/>
              </w:rPr>
              <w:t>毕业时间</w:t>
            </w:r>
          </w:p>
        </w:tc>
        <w:tc>
          <w:tcPr>
            <w:tcW w:w="534" w:type="pct"/>
            <w:tcBorders>
              <w:top w:val="single" w:color="auto" w:sz="4" w:space="0"/>
              <w:left w:val="nil"/>
              <w:bottom w:val="single" w:color="auto" w:sz="4" w:space="0"/>
              <w:right w:val="single" w:color="auto" w:sz="4" w:space="0"/>
            </w:tcBorders>
            <w:noWrap/>
            <w:vAlign w:val="center"/>
          </w:tcPr>
          <w:p>
            <w:pPr>
              <w:spacing w:line="240" w:lineRule="auto"/>
              <w:jc w:val="center"/>
              <w:rPr>
                <w:b/>
                <w:bCs/>
                <w:sz w:val="21"/>
                <w:szCs w:val="21"/>
              </w:rPr>
            </w:pPr>
            <w:r>
              <w:rPr>
                <w:b/>
                <w:bCs/>
                <w:sz w:val="21"/>
                <w:szCs w:val="21"/>
              </w:rPr>
              <w:t>职称</w:t>
            </w:r>
          </w:p>
        </w:tc>
        <w:tc>
          <w:tcPr>
            <w:tcW w:w="660" w:type="pct"/>
            <w:tcBorders>
              <w:top w:val="single" w:color="auto" w:sz="4" w:space="0"/>
              <w:left w:val="nil"/>
              <w:bottom w:val="single" w:color="auto" w:sz="4" w:space="0"/>
              <w:right w:val="single" w:color="auto" w:sz="4" w:space="0"/>
            </w:tcBorders>
            <w:vAlign w:val="center"/>
          </w:tcPr>
          <w:p>
            <w:pPr>
              <w:spacing w:line="240" w:lineRule="auto"/>
              <w:jc w:val="center"/>
              <w:rPr>
                <w:b/>
                <w:bCs/>
                <w:sz w:val="21"/>
                <w:szCs w:val="21"/>
              </w:rPr>
            </w:pPr>
            <w:r>
              <w:rPr>
                <w:b/>
                <w:bCs/>
                <w:sz w:val="21"/>
                <w:szCs w:val="21"/>
              </w:rPr>
              <w:t>来校时间</w:t>
            </w:r>
          </w:p>
        </w:tc>
      </w:tr>
      <w:tr>
        <w:tblPrEx>
          <w:tblCellMar>
            <w:top w:w="0" w:type="dxa"/>
            <w:left w:w="108" w:type="dxa"/>
            <w:bottom w:w="0" w:type="dxa"/>
            <w:right w:w="108" w:type="dxa"/>
          </w:tblCellMar>
        </w:tblPrEx>
        <w:trPr>
          <w:trHeight w:val="421" w:hRule="atLeast"/>
          <w:jc w:val="center"/>
        </w:trPr>
        <w:tc>
          <w:tcPr>
            <w:tcW w:w="561" w:type="pct"/>
            <w:tcBorders>
              <w:top w:val="nil"/>
              <w:left w:val="single" w:color="auto" w:sz="4" w:space="0"/>
              <w:bottom w:val="single" w:color="auto" w:sz="4" w:space="0"/>
              <w:right w:val="single" w:color="auto" w:sz="4" w:space="0"/>
            </w:tcBorders>
            <w:noWrap/>
            <w:vAlign w:val="center"/>
          </w:tcPr>
          <w:p>
            <w:pPr>
              <w:spacing w:line="240" w:lineRule="auto"/>
              <w:jc w:val="center"/>
              <w:rPr>
                <w:sz w:val="21"/>
                <w:szCs w:val="21"/>
              </w:rPr>
            </w:pPr>
            <w:r>
              <w:rPr>
                <w:sz w:val="21"/>
                <w:szCs w:val="21"/>
              </w:rPr>
              <w:t>兰  鹏</w:t>
            </w:r>
          </w:p>
        </w:tc>
        <w:tc>
          <w:tcPr>
            <w:tcW w:w="479"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男</w:t>
            </w:r>
          </w:p>
        </w:tc>
        <w:tc>
          <w:tcPr>
            <w:tcW w:w="616"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1981.1</w:t>
            </w:r>
          </w:p>
        </w:tc>
        <w:tc>
          <w:tcPr>
            <w:tcW w:w="978"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山东大学</w:t>
            </w:r>
          </w:p>
        </w:tc>
        <w:tc>
          <w:tcPr>
            <w:tcW w:w="475"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博士</w:t>
            </w:r>
          </w:p>
        </w:tc>
        <w:tc>
          <w:tcPr>
            <w:tcW w:w="692"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2009.07</w:t>
            </w:r>
          </w:p>
        </w:tc>
        <w:tc>
          <w:tcPr>
            <w:tcW w:w="534"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教授</w:t>
            </w:r>
          </w:p>
        </w:tc>
        <w:tc>
          <w:tcPr>
            <w:tcW w:w="660" w:type="pct"/>
            <w:tcBorders>
              <w:top w:val="nil"/>
              <w:left w:val="nil"/>
              <w:bottom w:val="single" w:color="auto" w:sz="4" w:space="0"/>
              <w:right w:val="single" w:color="auto" w:sz="4" w:space="0"/>
            </w:tcBorders>
            <w:vAlign w:val="center"/>
          </w:tcPr>
          <w:p>
            <w:pPr>
              <w:spacing w:line="240" w:lineRule="auto"/>
              <w:jc w:val="center"/>
              <w:rPr>
                <w:sz w:val="21"/>
                <w:szCs w:val="21"/>
              </w:rPr>
            </w:pPr>
            <w:r>
              <w:rPr>
                <w:sz w:val="21"/>
                <w:szCs w:val="21"/>
              </w:rPr>
              <w:t>2009.7</w:t>
            </w:r>
          </w:p>
        </w:tc>
      </w:tr>
      <w:tr>
        <w:tblPrEx>
          <w:tblCellMar>
            <w:top w:w="0" w:type="dxa"/>
            <w:left w:w="108" w:type="dxa"/>
            <w:bottom w:w="0" w:type="dxa"/>
            <w:right w:w="108" w:type="dxa"/>
          </w:tblCellMar>
        </w:tblPrEx>
        <w:trPr>
          <w:trHeight w:val="421" w:hRule="atLeast"/>
          <w:jc w:val="center"/>
        </w:trPr>
        <w:tc>
          <w:tcPr>
            <w:tcW w:w="561" w:type="pct"/>
            <w:tcBorders>
              <w:top w:val="nil"/>
              <w:left w:val="single" w:color="auto" w:sz="4" w:space="0"/>
              <w:bottom w:val="single" w:color="auto" w:sz="4" w:space="0"/>
              <w:right w:val="single" w:color="auto" w:sz="4" w:space="0"/>
            </w:tcBorders>
            <w:noWrap/>
            <w:vAlign w:val="center"/>
          </w:tcPr>
          <w:p>
            <w:pPr>
              <w:spacing w:line="240" w:lineRule="auto"/>
              <w:jc w:val="center"/>
              <w:rPr>
                <w:sz w:val="21"/>
                <w:szCs w:val="21"/>
              </w:rPr>
            </w:pPr>
            <w:r>
              <w:rPr>
                <w:sz w:val="21"/>
                <w:szCs w:val="21"/>
              </w:rPr>
              <w:t>王成义</w:t>
            </w:r>
          </w:p>
        </w:tc>
        <w:tc>
          <w:tcPr>
            <w:tcW w:w="479"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男</w:t>
            </w:r>
          </w:p>
        </w:tc>
        <w:tc>
          <w:tcPr>
            <w:tcW w:w="616"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1970.10</w:t>
            </w:r>
          </w:p>
        </w:tc>
        <w:tc>
          <w:tcPr>
            <w:tcW w:w="978"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山东科技大学</w:t>
            </w:r>
          </w:p>
        </w:tc>
        <w:tc>
          <w:tcPr>
            <w:tcW w:w="475"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硕士</w:t>
            </w:r>
          </w:p>
        </w:tc>
        <w:tc>
          <w:tcPr>
            <w:tcW w:w="692"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1998.07</w:t>
            </w:r>
          </w:p>
        </w:tc>
        <w:tc>
          <w:tcPr>
            <w:tcW w:w="534"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教授</w:t>
            </w:r>
          </w:p>
        </w:tc>
        <w:tc>
          <w:tcPr>
            <w:tcW w:w="660" w:type="pct"/>
            <w:tcBorders>
              <w:top w:val="nil"/>
              <w:left w:val="nil"/>
              <w:bottom w:val="single" w:color="auto" w:sz="4" w:space="0"/>
              <w:right w:val="single" w:color="auto" w:sz="4" w:space="0"/>
            </w:tcBorders>
            <w:vAlign w:val="center"/>
          </w:tcPr>
          <w:p>
            <w:pPr>
              <w:spacing w:line="240" w:lineRule="auto"/>
              <w:jc w:val="center"/>
              <w:rPr>
                <w:sz w:val="21"/>
                <w:szCs w:val="21"/>
              </w:rPr>
            </w:pPr>
            <w:r>
              <w:rPr>
                <w:sz w:val="21"/>
                <w:szCs w:val="21"/>
              </w:rPr>
              <w:t>2005.7</w:t>
            </w:r>
          </w:p>
        </w:tc>
      </w:tr>
      <w:tr>
        <w:tblPrEx>
          <w:tblCellMar>
            <w:top w:w="0" w:type="dxa"/>
            <w:left w:w="108" w:type="dxa"/>
            <w:bottom w:w="0" w:type="dxa"/>
            <w:right w:w="108" w:type="dxa"/>
          </w:tblCellMar>
        </w:tblPrEx>
        <w:trPr>
          <w:trHeight w:val="421" w:hRule="atLeast"/>
          <w:jc w:val="center"/>
        </w:trPr>
        <w:tc>
          <w:tcPr>
            <w:tcW w:w="561" w:type="pct"/>
            <w:tcBorders>
              <w:top w:val="nil"/>
              <w:left w:val="single" w:color="auto" w:sz="4" w:space="0"/>
              <w:bottom w:val="single" w:color="auto" w:sz="4" w:space="0"/>
              <w:right w:val="single" w:color="auto" w:sz="4" w:space="0"/>
            </w:tcBorders>
            <w:noWrap/>
            <w:vAlign w:val="center"/>
          </w:tcPr>
          <w:p>
            <w:pPr>
              <w:spacing w:line="240" w:lineRule="auto"/>
              <w:jc w:val="center"/>
              <w:rPr>
                <w:sz w:val="21"/>
                <w:szCs w:val="21"/>
              </w:rPr>
            </w:pPr>
            <w:r>
              <w:rPr>
                <w:sz w:val="21"/>
                <w:szCs w:val="21"/>
              </w:rPr>
              <w:t>吴日恒</w:t>
            </w:r>
          </w:p>
        </w:tc>
        <w:tc>
          <w:tcPr>
            <w:tcW w:w="479"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男</w:t>
            </w:r>
          </w:p>
        </w:tc>
        <w:tc>
          <w:tcPr>
            <w:tcW w:w="616"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1973.10</w:t>
            </w:r>
          </w:p>
        </w:tc>
        <w:tc>
          <w:tcPr>
            <w:tcW w:w="978"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北京理工大学</w:t>
            </w:r>
          </w:p>
        </w:tc>
        <w:tc>
          <w:tcPr>
            <w:tcW w:w="475"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博士</w:t>
            </w:r>
          </w:p>
        </w:tc>
        <w:tc>
          <w:tcPr>
            <w:tcW w:w="692"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2007.07</w:t>
            </w:r>
          </w:p>
        </w:tc>
        <w:tc>
          <w:tcPr>
            <w:tcW w:w="534"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教授</w:t>
            </w:r>
          </w:p>
        </w:tc>
        <w:tc>
          <w:tcPr>
            <w:tcW w:w="660" w:type="pct"/>
            <w:tcBorders>
              <w:top w:val="nil"/>
              <w:left w:val="nil"/>
              <w:bottom w:val="single" w:color="auto" w:sz="4" w:space="0"/>
              <w:right w:val="single" w:color="auto" w:sz="4" w:space="0"/>
            </w:tcBorders>
            <w:vAlign w:val="center"/>
          </w:tcPr>
          <w:p>
            <w:pPr>
              <w:spacing w:line="240" w:lineRule="auto"/>
              <w:jc w:val="center"/>
              <w:rPr>
                <w:sz w:val="21"/>
                <w:szCs w:val="21"/>
              </w:rPr>
            </w:pPr>
            <w:r>
              <w:rPr>
                <w:sz w:val="21"/>
                <w:szCs w:val="21"/>
              </w:rPr>
              <w:t>2022.10</w:t>
            </w:r>
          </w:p>
        </w:tc>
      </w:tr>
      <w:tr>
        <w:tblPrEx>
          <w:tblCellMar>
            <w:top w:w="0" w:type="dxa"/>
            <w:left w:w="108" w:type="dxa"/>
            <w:bottom w:w="0" w:type="dxa"/>
            <w:right w:w="108" w:type="dxa"/>
          </w:tblCellMar>
        </w:tblPrEx>
        <w:trPr>
          <w:trHeight w:val="421" w:hRule="atLeast"/>
          <w:jc w:val="center"/>
        </w:trPr>
        <w:tc>
          <w:tcPr>
            <w:tcW w:w="561" w:type="pct"/>
            <w:tcBorders>
              <w:top w:val="nil"/>
              <w:left w:val="single" w:color="auto" w:sz="4" w:space="0"/>
              <w:bottom w:val="single" w:color="auto" w:sz="4" w:space="0"/>
              <w:right w:val="single" w:color="auto" w:sz="4" w:space="0"/>
            </w:tcBorders>
            <w:noWrap/>
            <w:vAlign w:val="center"/>
          </w:tcPr>
          <w:p>
            <w:pPr>
              <w:spacing w:line="240" w:lineRule="auto"/>
              <w:jc w:val="center"/>
              <w:rPr>
                <w:sz w:val="21"/>
                <w:szCs w:val="21"/>
              </w:rPr>
            </w:pPr>
            <w:r>
              <w:rPr>
                <w:sz w:val="21"/>
                <w:szCs w:val="21"/>
              </w:rPr>
              <w:t>孙丰刚</w:t>
            </w:r>
          </w:p>
        </w:tc>
        <w:tc>
          <w:tcPr>
            <w:tcW w:w="479"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男</w:t>
            </w:r>
          </w:p>
        </w:tc>
        <w:tc>
          <w:tcPr>
            <w:tcW w:w="616"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1982.7</w:t>
            </w:r>
          </w:p>
        </w:tc>
        <w:tc>
          <w:tcPr>
            <w:tcW w:w="978"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山东大学</w:t>
            </w:r>
          </w:p>
        </w:tc>
        <w:tc>
          <w:tcPr>
            <w:tcW w:w="475"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硕士</w:t>
            </w:r>
          </w:p>
        </w:tc>
        <w:tc>
          <w:tcPr>
            <w:tcW w:w="692"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2009.06</w:t>
            </w:r>
          </w:p>
        </w:tc>
        <w:tc>
          <w:tcPr>
            <w:tcW w:w="534"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副教授</w:t>
            </w:r>
          </w:p>
        </w:tc>
        <w:tc>
          <w:tcPr>
            <w:tcW w:w="660" w:type="pct"/>
            <w:tcBorders>
              <w:top w:val="nil"/>
              <w:left w:val="nil"/>
              <w:bottom w:val="single" w:color="auto" w:sz="4" w:space="0"/>
              <w:right w:val="single" w:color="auto" w:sz="4" w:space="0"/>
            </w:tcBorders>
            <w:vAlign w:val="center"/>
          </w:tcPr>
          <w:p>
            <w:pPr>
              <w:spacing w:line="240" w:lineRule="auto"/>
              <w:jc w:val="center"/>
              <w:rPr>
                <w:sz w:val="21"/>
                <w:szCs w:val="21"/>
              </w:rPr>
            </w:pPr>
            <w:r>
              <w:rPr>
                <w:sz w:val="21"/>
                <w:szCs w:val="21"/>
              </w:rPr>
              <w:t>2009.11</w:t>
            </w:r>
          </w:p>
        </w:tc>
      </w:tr>
      <w:tr>
        <w:tblPrEx>
          <w:tblCellMar>
            <w:top w:w="0" w:type="dxa"/>
            <w:left w:w="108" w:type="dxa"/>
            <w:bottom w:w="0" w:type="dxa"/>
            <w:right w:w="108" w:type="dxa"/>
          </w:tblCellMar>
        </w:tblPrEx>
        <w:trPr>
          <w:trHeight w:val="421" w:hRule="atLeast"/>
          <w:jc w:val="center"/>
        </w:trPr>
        <w:tc>
          <w:tcPr>
            <w:tcW w:w="561" w:type="pct"/>
            <w:tcBorders>
              <w:top w:val="nil"/>
              <w:left w:val="single" w:color="auto" w:sz="4" w:space="0"/>
              <w:bottom w:val="single" w:color="auto" w:sz="4" w:space="0"/>
              <w:right w:val="single" w:color="auto" w:sz="4" w:space="0"/>
            </w:tcBorders>
            <w:noWrap/>
            <w:vAlign w:val="center"/>
          </w:tcPr>
          <w:p>
            <w:pPr>
              <w:spacing w:line="240" w:lineRule="auto"/>
              <w:jc w:val="center"/>
              <w:rPr>
                <w:sz w:val="21"/>
                <w:szCs w:val="21"/>
              </w:rPr>
            </w:pPr>
            <w:r>
              <w:rPr>
                <w:sz w:val="21"/>
                <w:szCs w:val="21"/>
              </w:rPr>
              <w:t>郭秀梅</w:t>
            </w:r>
          </w:p>
        </w:tc>
        <w:tc>
          <w:tcPr>
            <w:tcW w:w="479"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女</w:t>
            </w:r>
          </w:p>
        </w:tc>
        <w:tc>
          <w:tcPr>
            <w:tcW w:w="616"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1979.7</w:t>
            </w:r>
          </w:p>
        </w:tc>
        <w:tc>
          <w:tcPr>
            <w:tcW w:w="978"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山东大学</w:t>
            </w:r>
          </w:p>
        </w:tc>
        <w:tc>
          <w:tcPr>
            <w:tcW w:w="475"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博士</w:t>
            </w:r>
          </w:p>
        </w:tc>
        <w:tc>
          <w:tcPr>
            <w:tcW w:w="692"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2004.07</w:t>
            </w:r>
          </w:p>
        </w:tc>
        <w:tc>
          <w:tcPr>
            <w:tcW w:w="534"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副教授</w:t>
            </w:r>
          </w:p>
        </w:tc>
        <w:tc>
          <w:tcPr>
            <w:tcW w:w="660" w:type="pct"/>
            <w:tcBorders>
              <w:top w:val="nil"/>
              <w:left w:val="nil"/>
              <w:bottom w:val="single" w:color="auto" w:sz="4" w:space="0"/>
              <w:right w:val="single" w:color="auto" w:sz="4" w:space="0"/>
            </w:tcBorders>
            <w:vAlign w:val="center"/>
          </w:tcPr>
          <w:p>
            <w:pPr>
              <w:spacing w:line="240" w:lineRule="auto"/>
              <w:jc w:val="center"/>
              <w:rPr>
                <w:sz w:val="21"/>
                <w:szCs w:val="21"/>
              </w:rPr>
            </w:pPr>
            <w:r>
              <w:rPr>
                <w:sz w:val="21"/>
                <w:szCs w:val="21"/>
              </w:rPr>
              <w:t>2003.7</w:t>
            </w:r>
          </w:p>
        </w:tc>
      </w:tr>
      <w:tr>
        <w:tblPrEx>
          <w:tblCellMar>
            <w:top w:w="0" w:type="dxa"/>
            <w:left w:w="108" w:type="dxa"/>
            <w:bottom w:w="0" w:type="dxa"/>
            <w:right w:w="108" w:type="dxa"/>
          </w:tblCellMar>
        </w:tblPrEx>
        <w:trPr>
          <w:trHeight w:val="421" w:hRule="atLeast"/>
          <w:jc w:val="center"/>
        </w:trPr>
        <w:tc>
          <w:tcPr>
            <w:tcW w:w="561" w:type="pct"/>
            <w:tcBorders>
              <w:top w:val="nil"/>
              <w:left w:val="single" w:color="auto" w:sz="4" w:space="0"/>
              <w:bottom w:val="single" w:color="auto" w:sz="4" w:space="0"/>
              <w:right w:val="single" w:color="auto" w:sz="4" w:space="0"/>
            </w:tcBorders>
            <w:noWrap/>
            <w:vAlign w:val="center"/>
          </w:tcPr>
          <w:p>
            <w:pPr>
              <w:spacing w:line="240" w:lineRule="auto"/>
              <w:jc w:val="center"/>
              <w:rPr>
                <w:sz w:val="21"/>
                <w:szCs w:val="21"/>
              </w:rPr>
            </w:pPr>
            <w:r>
              <w:rPr>
                <w:sz w:val="21"/>
                <w:szCs w:val="21"/>
              </w:rPr>
              <w:t>王文宁</w:t>
            </w:r>
          </w:p>
        </w:tc>
        <w:tc>
          <w:tcPr>
            <w:tcW w:w="479"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女</w:t>
            </w:r>
          </w:p>
        </w:tc>
        <w:tc>
          <w:tcPr>
            <w:tcW w:w="616"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1979.12</w:t>
            </w:r>
          </w:p>
        </w:tc>
        <w:tc>
          <w:tcPr>
            <w:tcW w:w="978"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山东大学</w:t>
            </w:r>
          </w:p>
        </w:tc>
        <w:tc>
          <w:tcPr>
            <w:tcW w:w="475"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硕士</w:t>
            </w:r>
          </w:p>
        </w:tc>
        <w:tc>
          <w:tcPr>
            <w:tcW w:w="692"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2005.07</w:t>
            </w:r>
          </w:p>
        </w:tc>
        <w:tc>
          <w:tcPr>
            <w:tcW w:w="534"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讲师</w:t>
            </w:r>
          </w:p>
        </w:tc>
        <w:tc>
          <w:tcPr>
            <w:tcW w:w="660" w:type="pct"/>
            <w:tcBorders>
              <w:top w:val="nil"/>
              <w:left w:val="nil"/>
              <w:bottom w:val="single" w:color="auto" w:sz="4" w:space="0"/>
              <w:right w:val="single" w:color="auto" w:sz="4" w:space="0"/>
            </w:tcBorders>
            <w:vAlign w:val="center"/>
          </w:tcPr>
          <w:p>
            <w:pPr>
              <w:spacing w:line="240" w:lineRule="auto"/>
              <w:jc w:val="center"/>
              <w:rPr>
                <w:sz w:val="21"/>
                <w:szCs w:val="21"/>
              </w:rPr>
            </w:pPr>
            <w:r>
              <w:rPr>
                <w:sz w:val="21"/>
                <w:szCs w:val="21"/>
              </w:rPr>
              <w:t>2005.7</w:t>
            </w:r>
          </w:p>
        </w:tc>
      </w:tr>
      <w:tr>
        <w:tblPrEx>
          <w:tblCellMar>
            <w:top w:w="0" w:type="dxa"/>
            <w:left w:w="108" w:type="dxa"/>
            <w:bottom w:w="0" w:type="dxa"/>
            <w:right w:w="108" w:type="dxa"/>
          </w:tblCellMar>
        </w:tblPrEx>
        <w:trPr>
          <w:trHeight w:val="421" w:hRule="atLeast"/>
          <w:jc w:val="center"/>
        </w:trPr>
        <w:tc>
          <w:tcPr>
            <w:tcW w:w="561" w:type="pct"/>
            <w:tcBorders>
              <w:top w:val="nil"/>
              <w:left w:val="single" w:color="auto" w:sz="4" w:space="0"/>
              <w:bottom w:val="single" w:color="auto" w:sz="4" w:space="0"/>
              <w:right w:val="single" w:color="auto" w:sz="4" w:space="0"/>
            </w:tcBorders>
            <w:noWrap/>
            <w:vAlign w:val="center"/>
          </w:tcPr>
          <w:p>
            <w:pPr>
              <w:spacing w:line="240" w:lineRule="auto"/>
              <w:jc w:val="center"/>
              <w:rPr>
                <w:sz w:val="21"/>
                <w:szCs w:val="21"/>
              </w:rPr>
            </w:pPr>
            <w:r>
              <w:rPr>
                <w:sz w:val="21"/>
                <w:szCs w:val="21"/>
              </w:rPr>
              <w:t>李爱凤</w:t>
            </w:r>
          </w:p>
        </w:tc>
        <w:tc>
          <w:tcPr>
            <w:tcW w:w="479"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女</w:t>
            </w:r>
          </w:p>
        </w:tc>
        <w:tc>
          <w:tcPr>
            <w:tcW w:w="616"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1979.9</w:t>
            </w:r>
          </w:p>
        </w:tc>
        <w:tc>
          <w:tcPr>
            <w:tcW w:w="978"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山东大学</w:t>
            </w:r>
          </w:p>
        </w:tc>
        <w:tc>
          <w:tcPr>
            <w:tcW w:w="475"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博士</w:t>
            </w:r>
          </w:p>
        </w:tc>
        <w:tc>
          <w:tcPr>
            <w:tcW w:w="692"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2008.06</w:t>
            </w:r>
          </w:p>
        </w:tc>
        <w:tc>
          <w:tcPr>
            <w:tcW w:w="534"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副教授</w:t>
            </w:r>
          </w:p>
        </w:tc>
        <w:tc>
          <w:tcPr>
            <w:tcW w:w="660" w:type="pct"/>
            <w:tcBorders>
              <w:top w:val="nil"/>
              <w:left w:val="nil"/>
              <w:bottom w:val="single" w:color="auto" w:sz="4" w:space="0"/>
              <w:right w:val="single" w:color="auto" w:sz="4" w:space="0"/>
            </w:tcBorders>
            <w:vAlign w:val="center"/>
          </w:tcPr>
          <w:p>
            <w:pPr>
              <w:spacing w:line="240" w:lineRule="auto"/>
              <w:jc w:val="center"/>
              <w:rPr>
                <w:sz w:val="21"/>
                <w:szCs w:val="21"/>
              </w:rPr>
            </w:pPr>
            <w:r>
              <w:rPr>
                <w:sz w:val="21"/>
                <w:szCs w:val="21"/>
              </w:rPr>
              <w:t>2008.7</w:t>
            </w:r>
          </w:p>
        </w:tc>
      </w:tr>
      <w:tr>
        <w:tblPrEx>
          <w:tblCellMar>
            <w:top w:w="0" w:type="dxa"/>
            <w:left w:w="108" w:type="dxa"/>
            <w:bottom w:w="0" w:type="dxa"/>
            <w:right w:w="108" w:type="dxa"/>
          </w:tblCellMar>
        </w:tblPrEx>
        <w:trPr>
          <w:trHeight w:val="421" w:hRule="atLeast"/>
          <w:jc w:val="center"/>
        </w:trPr>
        <w:tc>
          <w:tcPr>
            <w:tcW w:w="561" w:type="pct"/>
            <w:tcBorders>
              <w:top w:val="nil"/>
              <w:left w:val="single" w:color="auto" w:sz="4" w:space="0"/>
              <w:bottom w:val="single" w:color="auto" w:sz="4" w:space="0"/>
              <w:right w:val="single" w:color="auto" w:sz="4" w:space="0"/>
            </w:tcBorders>
            <w:noWrap/>
            <w:vAlign w:val="center"/>
          </w:tcPr>
          <w:p>
            <w:pPr>
              <w:spacing w:line="240" w:lineRule="auto"/>
              <w:jc w:val="center"/>
              <w:rPr>
                <w:sz w:val="21"/>
                <w:szCs w:val="21"/>
              </w:rPr>
            </w:pPr>
            <w:r>
              <w:rPr>
                <w:sz w:val="21"/>
                <w:szCs w:val="21"/>
              </w:rPr>
              <w:t>赵秀艳</w:t>
            </w:r>
          </w:p>
        </w:tc>
        <w:tc>
          <w:tcPr>
            <w:tcW w:w="479"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女</w:t>
            </w:r>
          </w:p>
        </w:tc>
        <w:tc>
          <w:tcPr>
            <w:tcW w:w="616"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1977.7</w:t>
            </w:r>
          </w:p>
        </w:tc>
        <w:tc>
          <w:tcPr>
            <w:tcW w:w="978"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山东农业大学</w:t>
            </w:r>
          </w:p>
        </w:tc>
        <w:tc>
          <w:tcPr>
            <w:tcW w:w="475"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rFonts w:hint="eastAsia"/>
                <w:sz w:val="21"/>
                <w:szCs w:val="21"/>
              </w:rPr>
              <w:t>博</w:t>
            </w:r>
            <w:r>
              <w:rPr>
                <w:sz w:val="21"/>
                <w:szCs w:val="21"/>
              </w:rPr>
              <w:t>士</w:t>
            </w:r>
          </w:p>
        </w:tc>
        <w:tc>
          <w:tcPr>
            <w:tcW w:w="692"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2009.07</w:t>
            </w:r>
          </w:p>
        </w:tc>
        <w:tc>
          <w:tcPr>
            <w:tcW w:w="534"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副教授</w:t>
            </w:r>
          </w:p>
        </w:tc>
        <w:tc>
          <w:tcPr>
            <w:tcW w:w="660" w:type="pct"/>
            <w:tcBorders>
              <w:top w:val="nil"/>
              <w:left w:val="nil"/>
              <w:bottom w:val="single" w:color="auto" w:sz="4" w:space="0"/>
              <w:right w:val="single" w:color="auto" w:sz="4" w:space="0"/>
            </w:tcBorders>
            <w:vAlign w:val="center"/>
          </w:tcPr>
          <w:p>
            <w:pPr>
              <w:spacing w:line="240" w:lineRule="auto"/>
              <w:jc w:val="center"/>
              <w:rPr>
                <w:sz w:val="21"/>
                <w:szCs w:val="21"/>
              </w:rPr>
            </w:pPr>
            <w:r>
              <w:rPr>
                <w:sz w:val="21"/>
                <w:szCs w:val="21"/>
              </w:rPr>
              <w:t>2009.11</w:t>
            </w:r>
          </w:p>
        </w:tc>
      </w:tr>
      <w:tr>
        <w:tblPrEx>
          <w:tblCellMar>
            <w:top w:w="0" w:type="dxa"/>
            <w:left w:w="108" w:type="dxa"/>
            <w:bottom w:w="0" w:type="dxa"/>
            <w:right w:w="108" w:type="dxa"/>
          </w:tblCellMar>
        </w:tblPrEx>
        <w:trPr>
          <w:trHeight w:val="421" w:hRule="atLeast"/>
          <w:jc w:val="center"/>
        </w:trPr>
        <w:tc>
          <w:tcPr>
            <w:tcW w:w="561" w:type="pct"/>
            <w:tcBorders>
              <w:top w:val="nil"/>
              <w:left w:val="single" w:color="auto" w:sz="4" w:space="0"/>
              <w:bottom w:val="single" w:color="auto" w:sz="4" w:space="0"/>
              <w:right w:val="single" w:color="auto" w:sz="4" w:space="0"/>
            </w:tcBorders>
            <w:noWrap/>
            <w:vAlign w:val="center"/>
          </w:tcPr>
          <w:p>
            <w:pPr>
              <w:spacing w:line="240" w:lineRule="auto"/>
              <w:jc w:val="center"/>
              <w:rPr>
                <w:sz w:val="21"/>
                <w:szCs w:val="21"/>
              </w:rPr>
            </w:pPr>
            <w:r>
              <w:rPr>
                <w:sz w:val="21"/>
                <w:szCs w:val="21"/>
              </w:rPr>
              <w:t>孙  波</w:t>
            </w:r>
          </w:p>
        </w:tc>
        <w:tc>
          <w:tcPr>
            <w:tcW w:w="479"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男</w:t>
            </w:r>
          </w:p>
        </w:tc>
        <w:tc>
          <w:tcPr>
            <w:tcW w:w="616"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1981.7</w:t>
            </w:r>
          </w:p>
        </w:tc>
        <w:tc>
          <w:tcPr>
            <w:tcW w:w="978"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山东农业大学</w:t>
            </w:r>
          </w:p>
        </w:tc>
        <w:tc>
          <w:tcPr>
            <w:tcW w:w="475"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rFonts w:hint="eastAsia"/>
                <w:sz w:val="21"/>
                <w:szCs w:val="21"/>
              </w:rPr>
              <w:t>博</w:t>
            </w:r>
            <w:r>
              <w:rPr>
                <w:sz w:val="21"/>
                <w:szCs w:val="21"/>
              </w:rPr>
              <w:t>士</w:t>
            </w:r>
          </w:p>
        </w:tc>
        <w:tc>
          <w:tcPr>
            <w:tcW w:w="692"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2007.7</w:t>
            </w:r>
          </w:p>
        </w:tc>
        <w:tc>
          <w:tcPr>
            <w:tcW w:w="534"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讲师</w:t>
            </w:r>
          </w:p>
        </w:tc>
        <w:tc>
          <w:tcPr>
            <w:tcW w:w="660" w:type="pct"/>
            <w:tcBorders>
              <w:top w:val="nil"/>
              <w:left w:val="nil"/>
              <w:bottom w:val="single" w:color="auto" w:sz="4" w:space="0"/>
              <w:right w:val="single" w:color="auto" w:sz="4" w:space="0"/>
            </w:tcBorders>
            <w:vAlign w:val="center"/>
          </w:tcPr>
          <w:p>
            <w:pPr>
              <w:spacing w:line="240" w:lineRule="auto"/>
              <w:jc w:val="center"/>
              <w:rPr>
                <w:sz w:val="21"/>
                <w:szCs w:val="21"/>
              </w:rPr>
            </w:pPr>
            <w:r>
              <w:rPr>
                <w:sz w:val="21"/>
                <w:szCs w:val="21"/>
              </w:rPr>
              <w:t>2012.7</w:t>
            </w:r>
          </w:p>
        </w:tc>
      </w:tr>
      <w:tr>
        <w:tblPrEx>
          <w:tblCellMar>
            <w:top w:w="0" w:type="dxa"/>
            <w:left w:w="108" w:type="dxa"/>
            <w:bottom w:w="0" w:type="dxa"/>
            <w:right w:w="108" w:type="dxa"/>
          </w:tblCellMar>
        </w:tblPrEx>
        <w:trPr>
          <w:trHeight w:val="421" w:hRule="atLeast"/>
          <w:jc w:val="center"/>
        </w:trPr>
        <w:tc>
          <w:tcPr>
            <w:tcW w:w="561" w:type="pct"/>
            <w:tcBorders>
              <w:top w:val="nil"/>
              <w:left w:val="single" w:color="auto" w:sz="4" w:space="0"/>
              <w:bottom w:val="single" w:color="auto" w:sz="4" w:space="0"/>
              <w:right w:val="single" w:color="auto" w:sz="4" w:space="0"/>
            </w:tcBorders>
            <w:noWrap/>
            <w:vAlign w:val="center"/>
          </w:tcPr>
          <w:p>
            <w:pPr>
              <w:spacing w:line="240" w:lineRule="auto"/>
              <w:jc w:val="center"/>
              <w:rPr>
                <w:sz w:val="21"/>
                <w:szCs w:val="21"/>
              </w:rPr>
            </w:pPr>
            <w:r>
              <w:rPr>
                <w:sz w:val="21"/>
                <w:szCs w:val="21"/>
              </w:rPr>
              <w:t>张  萍</w:t>
            </w:r>
          </w:p>
        </w:tc>
        <w:tc>
          <w:tcPr>
            <w:tcW w:w="479"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女</w:t>
            </w:r>
          </w:p>
        </w:tc>
        <w:tc>
          <w:tcPr>
            <w:tcW w:w="616"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1988.9</w:t>
            </w:r>
          </w:p>
        </w:tc>
        <w:tc>
          <w:tcPr>
            <w:tcW w:w="978"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上海大学</w:t>
            </w:r>
          </w:p>
        </w:tc>
        <w:tc>
          <w:tcPr>
            <w:tcW w:w="475"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硕士</w:t>
            </w:r>
          </w:p>
        </w:tc>
        <w:tc>
          <w:tcPr>
            <w:tcW w:w="692"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2013.7</w:t>
            </w:r>
          </w:p>
        </w:tc>
        <w:tc>
          <w:tcPr>
            <w:tcW w:w="534" w:type="pct"/>
            <w:tcBorders>
              <w:top w:val="nil"/>
              <w:left w:val="nil"/>
              <w:bottom w:val="single" w:color="auto" w:sz="4" w:space="0"/>
              <w:right w:val="single" w:color="auto" w:sz="4" w:space="0"/>
            </w:tcBorders>
            <w:noWrap/>
            <w:vAlign w:val="center"/>
          </w:tcPr>
          <w:p>
            <w:pPr>
              <w:spacing w:line="240" w:lineRule="auto"/>
              <w:jc w:val="center"/>
              <w:rPr>
                <w:sz w:val="21"/>
                <w:szCs w:val="21"/>
              </w:rPr>
            </w:pPr>
            <w:r>
              <w:rPr>
                <w:sz w:val="21"/>
                <w:szCs w:val="21"/>
              </w:rPr>
              <w:t>讲师</w:t>
            </w:r>
          </w:p>
        </w:tc>
        <w:tc>
          <w:tcPr>
            <w:tcW w:w="660" w:type="pct"/>
            <w:tcBorders>
              <w:top w:val="nil"/>
              <w:left w:val="nil"/>
              <w:bottom w:val="single" w:color="auto" w:sz="4" w:space="0"/>
              <w:right w:val="single" w:color="auto" w:sz="4" w:space="0"/>
            </w:tcBorders>
            <w:vAlign w:val="center"/>
          </w:tcPr>
          <w:p>
            <w:pPr>
              <w:spacing w:line="240" w:lineRule="auto"/>
              <w:jc w:val="center"/>
              <w:rPr>
                <w:sz w:val="21"/>
                <w:szCs w:val="21"/>
              </w:rPr>
            </w:pPr>
            <w:r>
              <w:rPr>
                <w:sz w:val="21"/>
                <w:szCs w:val="21"/>
              </w:rPr>
              <w:t>2014.1</w:t>
            </w:r>
          </w:p>
        </w:tc>
      </w:tr>
    </w:tbl>
    <w:p>
      <w:pPr>
        <w:pStyle w:val="45"/>
        <w:ind w:firstLine="480"/>
        <w:rPr>
          <w:rFonts w:ascii="Times New Roman" w:hAnsi="Times New Roman"/>
        </w:rPr>
      </w:pPr>
      <w:r>
        <w:rPr>
          <w:rFonts w:ascii="Times New Roman" w:hAnsi="Times New Roman"/>
        </w:rPr>
        <w:t>4. 实习基地</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通信工程专业现有7个校外实习基地：山东众志电子有限公司（泰安）、泰安轻松表计有限公司（泰安）、济南达内软件有限公司（济南）、泰安东华合创软件有限公司（泰安）,中国联通（泰安），中国铁塔股份有限公司（泰安）.济南控创电子科技有限公司（济南）。有1个校内实习基地图信楼412实验室。这些实习基地基本满足了学生的各项实践活动。表3为通信工程专业实习基地建设情况。</w:t>
      </w:r>
    </w:p>
    <w:p>
      <w:pPr>
        <w:spacing w:before="156" w:beforeLines="50" w:line="240" w:lineRule="auto"/>
        <w:jc w:val="center"/>
        <w:rPr>
          <w:b/>
          <w:bCs/>
          <w:sz w:val="21"/>
          <w:szCs w:val="21"/>
        </w:rPr>
      </w:pPr>
      <w:r>
        <w:rPr>
          <w:b/>
          <w:bCs/>
          <w:sz w:val="21"/>
          <w:szCs w:val="21"/>
        </w:rPr>
        <w:t>表3  通信工程专业实习基地情况</w:t>
      </w:r>
    </w:p>
    <w:tbl>
      <w:tblPr>
        <w:tblStyle w:val="1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52"/>
        <w:gridCol w:w="5533"/>
        <w:gridCol w:w="12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blHeader/>
          <w:jc w:val="center"/>
        </w:trPr>
        <w:tc>
          <w:tcPr>
            <w:tcW w:w="1243" w:type="pct"/>
            <w:vAlign w:val="center"/>
          </w:tcPr>
          <w:p>
            <w:pPr>
              <w:spacing w:line="240" w:lineRule="auto"/>
              <w:jc w:val="center"/>
              <w:rPr>
                <w:b/>
                <w:bCs/>
                <w:sz w:val="21"/>
                <w:szCs w:val="21"/>
              </w:rPr>
            </w:pPr>
            <w:r>
              <w:rPr>
                <w:b/>
                <w:bCs/>
                <w:sz w:val="21"/>
                <w:szCs w:val="21"/>
              </w:rPr>
              <w:t>年度</w:t>
            </w:r>
          </w:p>
        </w:tc>
        <w:tc>
          <w:tcPr>
            <w:tcW w:w="3053" w:type="pct"/>
            <w:vAlign w:val="center"/>
          </w:tcPr>
          <w:p>
            <w:pPr>
              <w:spacing w:line="240" w:lineRule="auto"/>
              <w:jc w:val="center"/>
              <w:rPr>
                <w:b/>
                <w:bCs/>
                <w:sz w:val="21"/>
                <w:szCs w:val="21"/>
              </w:rPr>
            </w:pPr>
            <w:r>
              <w:rPr>
                <w:b/>
                <w:bCs/>
                <w:sz w:val="21"/>
                <w:szCs w:val="21"/>
              </w:rPr>
              <w:t>实习基地名称</w:t>
            </w:r>
          </w:p>
        </w:tc>
        <w:tc>
          <w:tcPr>
            <w:tcW w:w="703" w:type="pct"/>
            <w:vAlign w:val="center"/>
          </w:tcPr>
          <w:p>
            <w:pPr>
              <w:spacing w:line="240" w:lineRule="auto"/>
              <w:jc w:val="center"/>
              <w:rPr>
                <w:b/>
                <w:bCs/>
                <w:sz w:val="21"/>
                <w:szCs w:val="21"/>
              </w:rPr>
            </w:pPr>
            <w:r>
              <w:rPr>
                <w:b/>
                <w:bCs/>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1243" w:type="pct"/>
            <w:vAlign w:val="center"/>
          </w:tcPr>
          <w:p>
            <w:pPr>
              <w:spacing w:line="240" w:lineRule="auto"/>
              <w:jc w:val="center"/>
              <w:rPr>
                <w:sz w:val="21"/>
                <w:szCs w:val="21"/>
              </w:rPr>
            </w:pPr>
            <w:r>
              <w:rPr>
                <w:sz w:val="21"/>
                <w:szCs w:val="21"/>
              </w:rPr>
              <w:t>2011.9前</w:t>
            </w:r>
          </w:p>
        </w:tc>
        <w:tc>
          <w:tcPr>
            <w:tcW w:w="3053" w:type="pct"/>
            <w:vAlign w:val="center"/>
          </w:tcPr>
          <w:p>
            <w:pPr>
              <w:spacing w:line="240" w:lineRule="auto"/>
              <w:jc w:val="left"/>
              <w:rPr>
                <w:sz w:val="21"/>
                <w:szCs w:val="21"/>
              </w:rPr>
            </w:pPr>
            <w:r>
              <w:rPr>
                <w:sz w:val="21"/>
                <w:szCs w:val="21"/>
              </w:rPr>
              <w:t>电子综合实习1（文理大楼405）（2015.7撤销）</w:t>
            </w:r>
          </w:p>
        </w:tc>
        <w:tc>
          <w:tcPr>
            <w:tcW w:w="703" w:type="pct"/>
            <w:vAlign w:val="center"/>
          </w:tcPr>
          <w:p>
            <w:pPr>
              <w:spacing w:line="240" w:lineRule="auto"/>
              <w:jc w:val="center"/>
              <w:rPr>
                <w:sz w:val="21"/>
                <w:szCs w:val="21"/>
              </w:rPr>
            </w:pPr>
            <w:r>
              <w:rPr>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1243" w:type="pct"/>
            <w:vAlign w:val="center"/>
          </w:tcPr>
          <w:p>
            <w:pPr>
              <w:spacing w:line="240" w:lineRule="auto"/>
              <w:jc w:val="center"/>
              <w:rPr>
                <w:sz w:val="21"/>
                <w:szCs w:val="21"/>
              </w:rPr>
            </w:pPr>
            <w:r>
              <w:rPr>
                <w:sz w:val="21"/>
                <w:szCs w:val="21"/>
              </w:rPr>
              <w:t>2011.9-2012.7</w:t>
            </w:r>
          </w:p>
        </w:tc>
        <w:tc>
          <w:tcPr>
            <w:tcW w:w="3053" w:type="pct"/>
            <w:vAlign w:val="center"/>
          </w:tcPr>
          <w:p>
            <w:pPr>
              <w:spacing w:line="240" w:lineRule="auto"/>
              <w:jc w:val="left"/>
              <w:rPr>
                <w:sz w:val="21"/>
                <w:szCs w:val="21"/>
              </w:rPr>
            </w:pPr>
            <w:r>
              <w:rPr>
                <w:sz w:val="21"/>
                <w:szCs w:val="21"/>
              </w:rPr>
              <w:t>山东众志电子有限公司（泰安）、泰安轻松表计有限公司（泰安）、电子综合实习1（文理大楼405）</w:t>
            </w:r>
          </w:p>
        </w:tc>
        <w:tc>
          <w:tcPr>
            <w:tcW w:w="703" w:type="pct"/>
            <w:vAlign w:val="center"/>
          </w:tcPr>
          <w:p>
            <w:pPr>
              <w:spacing w:line="240" w:lineRule="auto"/>
              <w:jc w:val="center"/>
              <w:rPr>
                <w:sz w:val="21"/>
                <w:szCs w:val="21"/>
              </w:rPr>
            </w:pP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1" w:hRule="atLeast"/>
          <w:jc w:val="center"/>
        </w:trPr>
        <w:tc>
          <w:tcPr>
            <w:tcW w:w="1243" w:type="pct"/>
            <w:vAlign w:val="center"/>
          </w:tcPr>
          <w:p>
            <w:pPr>
              <w:spacing w:line="240" w:lineRule="auto"/>
              <w:jc w:val="center"/>
              <w:rPr>
                <w:sz w:val="21"/>
                <w:szCs w:val="21"/>
              </w:rPr>
            </w:pPr>
            <w:r>
              <w:rPr>
                <w:sz w:val="21"/>
                <w:szCs w:val="21"/>
              </w:rPr>
              <w:t>2012.9-2013.7</w:t>
            </w:r>
          </w:p>
        </w:tc>
        <w:tc>
          <w:tcPr>
            <w:tcW w:w="3053" w:type="pct"/>
            <w:vAlign w:val="center"/>
          </w:tcPr>
          <w:p>
            <w:pPr>
              <w:spacing w:line="240" w:lineRule="auto"/>
              <w:jc w:val="left"/>
              <w:rPr>
                <w:sz w:val="21"/>
                <w:szCs w:val="21"/>
              </w:rPr>
            </w:pPr>
            <w:r>
              <w:rPr>
                <w:sz w:val="21"/>
                <w:szCs w:val="21"/>
              </w:rPr>
              <w:t>山东众志电子有限公司（泰安）、泰安轻松表计有限公司（泰安）、南达内软件有限公司（济南）、泰安东华合创软件有限公司（泰安）、电子综合实习1（文理大楼405）</w:t>
            </w:r>
          </w:p>
        </w:tc>
        <w:tc>
          <w:tcPr>
            <w:tcW w:w="703" w:type="pct"/>
            <w:vAlign w:val="center"/>
          </w:tcPr>
          <w:p>
            <w:pPr>
              <w:spacing w:line="240" w:lineRule="auto"/>
              <w:jc w:val="center"/>
              <w:rPr>
                <w:sz w:val="21"/>
                <w:szCs w:val="21"/>
              </w:rPr>
            </w:pPr>
            <w:r>
              <w:rPr>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1" w:hRule="atLeast"/>
          <w:jc w:val="center"/>
        </w:trPr>
        <w:tc>
          <w:tcPr>
            <w:tcW w:w="1243" w:type="pct"/>
            <w:vAlign w:val="center"/>
          </w:tcPr>
          <w:p>
            <w:pPr>
              <w:spacing w:line="240" w:lineRule="auto"/>
              <w:jc w:val="center"/>
              <w:rPr>
                <w:sz w:val="21"/>
                <w:szCs w:val="21"/>
              </w:rPr>
            </w:pPr>
            <w:r>
              <w:rPr>
                <w:sz w:val="21"/>
                <w:szCs w:val="21"/>
              </w:rPr>
              <w:t>2013.9-2014.7</w:t>
            </w:r>
          </w:p>
        </w:tc>
        <w:tc>
          <w:tcPr>
            <w:tcW w:w="3053" w:type="pct"/>
            <w:vAlign w:val="center"/>
          </w:tcPr>
          <w:p>
            <w:pPr>
              <w:spacing w:line="240" w:lineRule="auto"/>
              <w:jc w:val="left"/>
              <w:rPr>
                <w:sz w:val="21"/>
                <w:szCs w:val="21"/>
              </w:rPr>
            </w:pPr>
            <w:r>
              <w:rPr>
                <w:sz w:val="21"/>
                <w:szCs w:val="21"/>
              </w:rPr>
              <w:t>山东众志电子有限公司（泰安）、泰安轻松表计有限公司（泰安）、南达内软件有限公司（济南）、泰安东华合创软件有限公司（泰安）、通信综合实习1（文理大楼405）</w:t>
            </w:r>
          </w:p>
        </w:tc>
        <w:tc>
          <w:tcPr>
            <w:tcW w:w="703" w:type="pct"/>
            <w:vAlign w:val="center"/>
          </w:tcPr>
          <w:p>
            <w:pPr>
              <w:spacing w:line="240" w:lineRule="auto"/>
              <w:jc w:val="center"/>
              <w:rPr>
                <w:sz w:val="21"/>
                <w:szCs w:val="21"/>
              </w:rPr>
            </w:pPr>
            <w:r>
              <w:rPr>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3" w:type="pct"/>
            <w:vAlign w:val="center"/>
          </w:tcPr>
          <w:p>
            <w:pPr>
              <w:spacing w:line="240" w:lineRule="auto"/>
              <w:jc w:val="center"/>
              <w:rPr>
                <w:sz w:val="21"/>
                <w:szCs w:val="21"/>
              </w:rPr>
            </w:pPr>
            <w:r>
              <w:rPr>
                <w:sz w:val="21"/>
                <w:szCs w:val="21"/>
              </w:rPr>
              <w:t>2014.9-2015.7</w:t>
            </w:r>
          </w:p>
        </w:tc>
        <w:tc>
          <w:tcPr>
            <w:tcW w:w="3053" w:type="pct"/>
            <w:vAlign w:val="center"/>
          </w:tcPr>
          <w:p>
            <w:pPr>
              <w:spacing w:line="240" w:lineRule="auto"/>
              <w:jc w:val="left"/>
              <w:rPr>
                <w:sz w:val="21"/>
                <w:szCs w:val="21"/>
              </w:rPr>
            </w:pPr>
            <w:r>
              <w:rPr>
                <w:sz w:val="21"/>
                <w:szCs w:val="21"/>
              </w:rPr>
              <w:t>通信综合实习1（14#楼501）、通信综合实习2（14#楼503）、山东众志电子有限公司（泰安）、泰安轻松表计有限公司（泰安）、南达内软件有限公司（济南）、泰安东华合创软件有限公司（泰安）中国联通（泰安），中国铁塔股份有限公司（泰安）</w:t>
            </w:r>
          </w:p>
        </w:tc>
        <w:tc>
          <w:tcPr>
            <w:tcW w:w="703" w:type="pct"/>
            <w:vAlign w:val="center"/>
          </w:tcPr>
          <w:p>
            <w:pPr>
              <w:spacing w:line="240" w:lineRule="auto"/>
              <w:jc w:val="center"/>
              <w:rPr>
                <w:sz w:val="21"/>
                <w:szCs w:val="21"/>
              </w:rPr>
            </w:pPr>
            <w:r>
              <w:rPr>
                <w:sz w:val="21"/>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0" w:hRule="atLeast"/>
          <w:jc w:val="center"/>
        </w:trPr>
        <w:tc>
          <w:tcPr>
            <w:tcW w:w="1243" w:type="pct"/>
            <w:vAlign w:val="center"/>
          </w:tcPr>
          <w:p>
            <w:pPr>
              <w:spacing w:line="240" w:lineRule="auto"/>
              <w:jc w:val="center"/>
              <w:rPr>
                <w:sz w:val="21"/>
                <w:szCs w:val="21"/>
              </w:rPr>
            </w:pPr>
            <w:r>
              <w:rPr>
                <w:sz w:val="21"/>
                <w:szCs w:val="21"/>
              </w:rPr>
              <w:t>2015.9-2017.7</w:t>
            </w:r>
          </w:p>
        </w:tc>
        <w:tc>
          <w:tcPr>
            <w:tcW w:w="3053" w:type="pct"/>
            <w:vAlign w:val="center"/>
          </w:tcPr>
          <w:p>
            <w:pPr>
              <w:spacing w:line="240" w:lineRule="auto"/>
              <w:jc w:val="left"/>
              <w:rPr>
                <w:sz w:val="21"/>
                <w:szCs w:val="21"/>
              </w:rPr>
            </w:pPr>
            <w:r>
              <w:rPr>
                <w:sz w:val="21"/>
                <w:szCs w:val="21"/>
              </w:rPr>
              <w:t>通信综合实习1（14#楼501）、通信综合实习2（14#楼503）、通信综合实习3（14#楼501）、山东众志电子有限公司（泰安）、泰安轻松表计有限公司（泰安）、南达内软件有限公司（济南）、泰安东华合创软件有限公司（泰安）中国联通（泰安），中国铁塔股份有限公司（泰安）</w:t>
            </w:r>
          </w:p>
        </w:tc>
        <w:tc>
          <w:tcPr>
            <w:tcW w:w="703" w:type="pct"/>
            <w:vAlign w:val="center"/>
          </w:tcPr>
          <w:p>
            <w:pPr>
              <w:spacing w:line="240" w:lineRule="auto"/>
              <w:jc w:val="center"/>
              <w:rPr>
                <w:sz w:val="21"/>
                <w:szCs w:val="21"/>
              </w:rPr>
            </w:pPr>
            <w:r>
              <w:rPr>
                <w:sz w:val="21"/>
                <w:szCs w:val="21"/>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7" w:hRule="atLeast"/>
          <w:jc w:val="center"/>
        </w:trPr>
        <w:tc>
          <w:tcPr>
            <w:tcW w:w="1243" w:type="pct"/>
            <w:vAlign w:val="center"/>
          </w:tcPr>
          <w:p>
            <w:pPr>
              <w:spacing w:line="240" w:lineRule="auto"/>
              <w:jc w:val="center"/>
              <w:rPr>
                <w:sz w:val="21"/>
                <w:szCs w:val="21"/>
              </w:rPr>
            </w:pPr>
            <w:r>
              <w:rPr>
                <w:sz w:val="21"/>
                <w:szCs w:val="21"/>
              </w:rPr>
              <w:t>2017.9-2018.7</w:t>
            </w:r>
          </w:p>
        </w:tc>
        <w:tc>
          <w:tcPr>
            <w:tcW w:w="3053" w:type="pct"/>
            <w:vAlign w:val="center"/>
          </w:tcPr>
          <w:p>
            <w:pPr>
              <w:spacing w:line="240" w:lineRule="auto"/>
              <w:jc w:val="left"/>
              <w:rPr>
                <w:sz w:val="21"/>
                <w:szCs w:val="21"/>
              </w:rPr>
            </w:pPr>
            <w:r>
              <w:rPr>
                <w:sz w:val="21"/>
                <w:szCs w:val="21"/>
              </w:rPr>
              <w:t>通信综合实习1（14#楼501）、通信综合实习2（14#楼503）、通信综合实习3（14#楼501）、山东众志电子有限公司（泰安）、泰安轻松表计有限公司（泰安）、南达内软件有限公司（济南）、泰安东华合创软件有限公司（泰安）中国联通（泰安），中国铁塔股份有限公司（泰安），济南控创电子科技有限公司（济南）</w:t>
            </w:r>
          </w:p>
        </w:tc>
        <w:tc>
          <w:tcPr>
            <w:tcW w:w="703" w:type="pct"/>
            <w:vAlign w:val="center"/>
          </w:tcPr>
          <w:p>
            <w:pPr>
              <w:spacing w:line="240" w:lineRule="auto"/>
              <w:jc w:val="center"/>
              <w:rPr>
                <w:sz w:val="21"/>
                <w:szCs w:val="21"/>
              </w:rPr>
            </w:pPr>
            <w:r>
              <w:rPr>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3" w:type="pct"/>
            <w:vAlign w:val="center"/>
          </w:tcPr>
          <w:p>
            <w:pPr>
              <w:spacing w:line="240" w:lineRule="auto"/>
              <w:jc w:val="center"/>
              <w:rPr>
                <w:sz w:val="21"/>
                <w:szCs w:val="21"/>
              </w:rPr>
            </w:pPr>
            <w:r>
              <w:rPr>
                <w:sz w:val="21"/>
                <w:szCs w:val="21"/>
              </w:rPr>
              <w:t>2017.9-2018.7</w:t>
            </w:r>
          </w:p>
        </w:tc>
        <w:tc>
          <w:tcPr>
            <w:tcW w:w="3053" w:type="pct"/>
            <w:vAlign w:val="center"/>
          </w:tcPr>
          <w:p>
            <w:pPr>
              <w:spacing w:line="240" w:lineRule="auto"/>
              <w:jc w:val="left"/>
              <w:rPr>
                <w:sz w:val="21"/>
                <w:szCs w:val="21"/>
              </w:rPr>
            </w:pPr>
            <w:r>
              <w:rPr>
                <w:sz w:val="21"/>
                <w:szCs w:val="21"/>
              </w:rPr>
              <w:t>通信综合实习1（14#楼501）、通信综合实习2（14#楼503）、通信综合实习3（14#楼501）、山东众志电子有限公司（泰安）、泰安轻松表计有限公司（泰安）、南达内软件有限公司（济南）、泰安东华合创软件有限公司（泰安）中国联通（泰安），中国铁塔股份有限公司（泰安），济南控创电子科技有限公司（济南）、山东泰开互感器有限公司、山东泰开检测有限公司</w:t>
            </w:r>
          </w:p>
        </w:tc>
        <w:tc>
          <w:tcPr>
            <w:tcW w:w="703" w:type="pct"/>
            <w:vAlign w:val="center"/>
          </w:tcPr>
          <w:p>
            <w:pPr>
              <w:spacing w:line="240" w:lineRule="auto"/>
              <w:jc w:val="center"/>
              <w:rPr>
                <w:sz w:val="21"/>
                <w:szCs w:val="21"/>
              </w:rPr>
            </w:pPr>
            <w:r>
              <w:rPr>
                <w:sz w:val="21"/>
                <w:szCs w:val="21"/>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0" w:hRule="atLeast"/>
          <w:jc w:val="center"/>
        </w:trPr>
        <w:tc>
          <w:tcPr>
            <w:tcW w:w="1243" w:type="pct"/>
            <w:vAlign w:val="center"/>
          </w:tcPr>
          <w:p>
            <w:pPr>
              <w:spacing w:line="240" w:lineRule="auto"/>
              <w:jc w:val="center"/>
              <w:rPr>
                <w:sz w:val="21"/>
                <w:szCs w:val="21"/>
              </w:rPr>
            </w:pPr>
            <w:r>
              <w:rPr>
                <w:sz w:val="21"/>
                <w:szCs w:val="21"/>
              </w:rPr>
              <w:t>2018.9-2019.7</w:t>
            </w:r>
          </w:p>
        </w:tc>
        <w:tc>
          <w:tcPr>
            <w:tcW w:w="3053" w:type="pct"/>
            <w:vAlign w:val="center"/>
          </w:tcPr>
          <w:p>
            <w:pPr>
              <w:spacing w:line="240" w:lineRule="auto"/>
              <w:jc w:val="left"/>
              <w:rPr>
                <w:sz w:val="21"/>
                <w:szCs w:val="21"/>
              </w:rPr>
            </w:pPr>
            <w:r>
              <w:rPr>
                <w:sz w:val="21"/>
                <w:szCs w:val="21"/>
              </w:rPr>
              <w:t>通信综合实习1（14#楼501）、通信综合实习2（14#楼503）、通信综合实习3（14#楼501）、山东众志电子有限公司（泰安）、中国联通（泰安），中国铁塔股份有限公司（泰安），济南控创电子科技有限公司（济南）、山东泰开互感器有限公司、山东泰开检测有限公司</w:t>
            </w:r>
          </w:p>
        </w:tc>
        <w:tc>
          <w:tcPr>
            <w:tcW w:w="703" w:type="pct"/>
            <w:vAlign w:val="center"/>
          </w:tcPr>
          <w:p>
            <w:pPr>
              <w:spacing w:line="240" w:lineRule="auto"/>
              <w:jc w:val="center"/>
              <w:rPr>
                <w:sz w:val="21"/>
                <w:szCs w:val="21"/>
              </w:rPr>
            </w:pPr>
            <w:r>
              <w:rPr>
                <w:sz w:val="21"/>
                <w:szCs w:val="21"/>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5" w:hRule="atLeast"/>
          <w:jc w:val="center"/>
        </w:trPr>
        <w:tc>
          <w:tcPr>
            <w:tcW w:w="1243" w:type="pct"/>
            <w:vAlign w:val="center"/>
          </w:tcPr>
          <w:p>
            <w:pPr>
              <w:spacing w:line="240" w:lineRule="auto"/>
              <w:jc w:val="center"/>
              <w:rPr>
                <w:sz w:val="21"/>
                <w:szCs w:val="21"/>
              </w:rPr>
            </w:pPr>
            <w:r>
              <w:rPr>
                <w:sz w:val="21"/>
                <w:szCs w:val="21"/>
              </w:rPr>
              <w:t>2019.9-2020.7</w:t>
            </w:r>
          </w:p>
        </w:tc>
        <w:tc>
          <w:tcPr>
            <w:tcW w:w="3053" w:type="pct"/>
            <w:vAlign w:val="center"/>
          </w:tcPr>
          <w:p>
            <w:pPr>
              <w:spacing w:line="240" w:lineRule="auto"/>
              <w:jc w:val="left"/>
              <w:rPr>
                <w:sz w:val="21"/>
                <w:szCs w:val="21"/>
              </w:rPr>
            </w:pPr>
            <w:r>
              <w:rPr>
                <w:sz w:val="21"/>
                <w:szCs w:val="21"/>
              </w:rPr>
              <w:t>通信综合实习1（14#楼501）、通信综合实习2（14#楼503）、通信综合实习3（14#楼501）、山东众志电子有限公司（泰安）、中国联通（泰安），中国铁塔股份有限公司（泰安），济南控创电子科技有限公司（济南）、山东泰开互感器有限公司、山东泰开检测有限公司</w:t>
            </w:r>
          </w:p>
        </w:tc>
        <w:tc>
          <w:tcPr>
            <w:tcW w:w="703" w:type="pct"/>
            <w:vAlign w:val="center"/>
          </w:tcPr>
          <w:p>
            <w:pPr>
              <w:spacing w:line="240" w:lineRule="auto"/>
              <w:jc w:val="center"/>
              <w:rPr>
                <w:sz w:val="21"/>
                <w:szCs w:val="21"/>
              </w:rPr>
            </w:pPr>
            <w:r>
              <w:rPr>
                <w:sz w:val="21"/>
                <w:szCs w:val="21"/>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5" w:hRule="atLeast"/>
          <w:jc w:val="center"/>
        </w:trPr>
        <w:tc>
          <w:tcPr>
            <w:tcW w:w="1243" w:type="pct"/>
            <w:vAlign w:val="center"/>
          </w:tcPr>
          <w:p>
            <w:pPr>
              <w:spacing w:line="240" w:lineRule="auto"/>
              <w:jc w:val="center"/>
              <w:rPr>
                <w:sz w:val="21"/>
                <w:szCs w:val="21"/>
              </w:rPr>
            </w:pPr>
            <w:r>
              <w:rPr>
                <w:sz w:val="21"/>
                <w:szCs w:val="21"/>
              </w:rPr>
              <w:t>2020.9-2021.7</w:t>
            </w:r>
          </w:p>
        </w:tc>
        <w:tc>
          <w:tcPr>
            <w:tcW w:w="3053" w:type="pct"/>
            <w:vAlign w:val="center"/>
          </w:tcPr>
          <w:p>
            <w:pPr>
              <w:spacing w:line="240" w:lineRule="auto"/>
              <w:jc w:val="left"/>
              <w:rPr>
                <w:sz w:val="21"/>
                <w:szCs w:val="21"/>
              </w:rPr>
            </w:pPr>
            <w:r>
              <w:rPr>
                <w:sz w:val="21"/>
                <w:szCs w:val="21"/>
              </w:rPr>
              <w:t>通信综合实习1（图信楼412）、通信综合实习2（图信楼412）、通信综合实习3（图信楼412）、山东众志电子有限公司（泰安）、中国联通（泰安），中国铁塔股份有限公司（泰安），济南控创电子科技有限公司（济南）、山东泰开互感器有限公司、山东泰开检测有限公司</w:t>
            </w:r>
          </w:p>
        </w:tc>
        <w:tc>
          <w:tcPr>
            <w:tcW w:w="703" w:type="pct"/>
            <w:vAlign w:val="center"/>
          </w:tcPr>
          <w:p>
            <w:pPr>
              <w:spacing w:line="240" w:lineRule="auto"/>
              <w:jc w:val="center"/>
              <w:rPr>
                <w:sz w:val="21"/>
                <w:szCs w:val="21"/>
              </w:rPr>
            </w:pPr>
            <w:r>
              <w:rPr>
                <w:sz w:val="21"/>
                <w:szCs w:val="21"/>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7" w:hRule="atLeast"/>
          <w:jc w:val="center"/>
        </w:trPr>
        <w:tc>
          <w:tcPr>
            <w:tcW w:w="1243" w:type="pct"/>
            <w:vAlign w:val="center"/>
          </w:tcPr>
          <w:p>
            <w:pPr>
              <w:spacing w:line="240" w:lineRule="auto"/>
              <w:jc w:val="center"/>
              <w:rPr>
                <w:sz w:val="21"/>
                <w:szCs w:val="21"/>
              </w:rPr>
            </w:pPr>
            <w:r>
              <w:rPr>
                <w:sz w:val="21"/>
                <w:szCs w:val="21"/>
              </w:rPr>
              <w:t>2021.9-2022.7</w:t>
            </w:r>
          </w:p>
        </w:tc>
        <w:tc>
          <w:tcPr>
            <w:tcW w:w="3053" w:type="pct"/>
            <w:vAlign w:val="center"/>
          </w:tcPr>
          <w:p>
            <w:pPr>
              <w:spacing w:line="240" w:lineRule="auto"/>
              <w:jc w:val="left"/>
              <w:rPr>
                <w:sz w:val="21"/>
                <w:szCs w:val="21"/>
              </w:rPr>
            </w:pPr>
            <w:r>
              <w:rPr>
                <w:sz w:val="21"/>
                <w:szCs w:val="21"/>
              </w:rPr>
              <w:t>通信综合实习1（图信楼412）、通信综合实习2（图信楼412）、通信综合实习3（图信楼412）、山东众志电子有限公司（泰安）、中国联通（泰安），中国铁塔股份有限公司（泰安），济南控创电子科技有限公司（济南）、山东泰开互感器有限公司、山东泰开检测有限公司、哈特仪器仪表有限公司</w:t>
            </w:r>
          </w:p>
        </w:tc>
        <w:tc>
          <w:tcPr>
            <w:tcW w:w="703" w:type="pct"/>
            <w:vAlign w:val="center"/>
          </w:tcPr>
          <w:p>
            <w:pPr>
              <w:spacing w:line="240" w:lineRule="auto"/>
              <w:jc w:val="center"/>
              <w:rPr>
                <w:sz w:val="21"/>
                <w:szCs w:val="21"/>
              </w:rPr>
            </w:pPr>
            <w:r>
              <w:rPr>
                <w:sz w:val="21"/>
                <w:szCs w:val="21"/>
              </w:rPr>
              <w:t>10</w:t>
            </w:r>
          </w:p>
        </w:tc>
      </w:tr>
    </w:tbl>
    <w:p>
      <w:pPr>
        <w:pStyle w:val="45"/>
        <w:ind w:firstLine="480"/>
        <w:rPr>
          <w:rFonts w:ascii="Times New Roman" w:hAnsi="Times New Roman"/>
        </w:rPr>
      </w:pPr>
      <w:bookmarkStart w:id="693" w:name="_Toc439226905"/>
      <w:bookmarkStart w:id="694" w:name="_Toc439229122"/>
      <w:bookmarkStart w:id="695" w:name="_Toc439256305"/>
      <w:bookmarkStart w:id="696" w:name="_Toc439254813"/>
    </w:p>
    <w:p>
      <w:pPr>
        <w:pStyle w:val="45"/>
        <w:spacing w:line="380" w:lineRule="exact"/>
        <w:ind w:firstLine="480"/>
        <w:rPr>
          <w:rFonts w:ascii="Times New Roman" w:hAnsi="Times New Roman"/>
        </w:rPr>
      </w:pPr>
      <w:r>
        <w:rPr>
          <w:rFonts w:ascii="Times New Roman" w:hAnsi="Times New Roman"/>
        </w:rPr>
        <w:t>5. 现代教学技术应用</w:t>
      </w:r>
    </w:p>
    <w:p>
      <w:pPr>
        <w:spacing w:line="380" w:lineRule="exact"/>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本专业的各专业课程基本全部采用多媒体上课。自2019年以来，学校全面启用雨课堂授课，本专业教师基本都采用雨课堂授课。雨课堂由学堂在线与清华大学在线教育办公室共同研发。雨课堂将复杂的信息技术手段融入到PowerPoint和微信，在课外预习与课堂教学间建立沟通桥梁，让课堂互动永不下线。使用雨课堂，教师可以将带有MOOC视频、习题、语音的课前预习课件推送到学生手机，师生沟通及时反馈；课堂上实时答题、弹幕互动，为传统课堂教学师生互动提供了完美解决方案。多媒体方式教学、雨课堂方式教学的采用，由于信息量大，图文并茂，互动畅通，上课效果良好，提高了教学质量。</w:t>
      </w:r>
    </w:p>
    <w:p>
      <w:pPr>
        <w:pStyle w:val="5"/>
        <w:spacing w:before="93" w:after="93" w:line="380" w:lineRule="exact"/>
        <w:ind w:firstLine="560"/>
      </w:pPr>
      <w:r>
        <w:t>四、培养机制与特色（产学研协同育人机制、合作办学、教学管理等）</w:t>
      </w:r>
      <w:bookmarkEnd w:id="693"/>
      <w:bookmarkEnd w:id="694"/>
      <w:bookmarkEnd w:id="695"/>
      <w:bookmarkEnd w:id="696"/>
    </w:p>
    <w:p>
      <w:pPr>
        <w:pStyle w:val="6"/>
        <w:spacing w:line="380" w:lineRule="exact"/>
        <w:ind w:firstLine="480"/>
      </w:pPr>
      <w:bookmarkStart w:id="697" w:name="_Toc439254814"/>
      <w:bookmarkStart w:id="698" w:name="_Toc439229123"/>
      <w:bookmarkStart w:id="699" w:name="_Toc439226906"/>
      <w:bookmarkStart w:id="700" w:name="_Toc439256306"/>
      <w:r>
        <w:t>1. 严格执行专业培养方案</w:t>
      </w:r>
    </w:p>
    <w:p>
      <w:pPr>
        <w:spacing w:line="380" w:lineRule="exact"/>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每一学期中期，教务处都会根据《专业人才培养方案》下达下一学期的教学任务，教师根据任务竞选课程，学生在教师指导下完成网上选课，教务处排出上课教室和上课时间，遵照执行。</w:t>
      </w:r>
    </w:p>
    <w:p>
      <w:pPr>
        <w:pStyle w:val="6"/>
        <w:spacing w:line="380" w:lineRule="exact"/>
        <w:ind w:firstLine="480"/>
      </w:pPr>
      <w:r>
        <w:t>2. 严格执行课堂教学管理的各项规定</w:t>
      </w:r>
    </w:p>
    <w:p>
      <w:pPr>
        <w:spacing w:line="380" w:lineRule="exact"/>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为了保证各项制度的落实，学院专门成立了教学督导组，聘请老教师担任督导组成员，这些措施保证了教学过程规范有序。学院有院领导、系主任的听课制度，系里还定期开展教研活动，这些活动促进了教师教学水平的迅速提高。</w:t>
      </w:r>
    </w:p>
    <w:p>
      <w:pPr>
        <w:pStyle w:val="6"/>
        <w:spacing w:line="380" w:lineRule="exact"/>
        <w:ind w:firstLine="480"/>
      </w:pPr>
      <w:r>
        <w:t>3. 教学文件管理规范</w:t>
      </w:r>
    </w:p>
    <w:p>
      <w:pPr>
        <w:spacing w:line="380" w:lineRule="exact"/>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专业人才培养方案》、《教学大纲》等文件由专业主任制定并与学院共同管理，各课程教案和多媒体课件由主讲教师保存管理，教学大纲、教学日历由主讲教师和学院共同管理，学生平时成绩登记表、试卷及试卷分析报告在课程结束后交由学院统一管理，学生毕业实习、毕业论文等文件交由专业和学院统一管理。</w:t>
      </w:r>
    </w:p>
    <w:p>
      <w:pPr>
        <w:pStyle w:val="5"/>
        <w:spacing w:before="93" w:after="93"/>
        <w:ind w:firstLine="560"/>
      </w:pPr>
      <w:r>
        <w:t>五、培养质量（毕业生就业率、就业专业对口率、毕业生发展情况、就业单位满意率、社会对专业的评价、学生就读该专业的意愿等）</w:t>
      </w:r>
      <w:bookmarkEnd w:id="697"/>
      <w:bookmarkEnd w:id="698"/>
      <w:bookmarkEnd w:id="699"/>
      <w:bookmarkEnd w:id="700"/>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目前毕业生六届，从六届毕业生的毕业情况来看，考研率30％以上，就业率90％以上。由于社会对本专业人才需求旺盛，因此就业专业基本都为本专业对口专业，大部分研究生考取了国内985及211类通信专业知名院校，多名同学出国留学。学生就业集中在电信运营商、网络维护公司、电器生产商、软件开发公司，无线电管理委员会等单位。就业单位满意率较高，社会评价很好。21届毕业生30人，考研率42%，一次就业率89%，从考研录取院校看，多数同学进入了国际、国内著名高校，但由于受疫情影响，国内就业形势不乐观，部分同学因未能进入理想企业就业而选择了延迟就业。由于前四届毕业生考研率及就业情况都较为理想，因此目前学生就读本专业的意愿强烈，2021级一次录取率100%，报到率100%，且入校后就有较为明确的学习目标。</w:t>
      </w:r>
    </w:p>
    <w:p>
      <w:pPr>
        <w:pStyle w:val="5"/>
        <w:spacing w:before="93" w:after="93"/>
        <w:ind w:firstLine="560"/>
      </w:pPr>
      <w:bookmarkStart w:id="701" w:name="_Toc439229124"/>
      <w:bookmarkStart w:id="702" w:name="_Toc439254815"/>
      <w:bookmarkStart w:id="703" w:name="_Toc439226907"/>
      <w:bookmarkStart w:id="704" w:name="_Toc439256307"/>
      <w:r>
        <w:t>六、毕业生就业创业（创业情况、采取的措施、典型案例等）</w:t>
      </w:r>
      <w:bookmarkEnd w:id="701"/>
      <w:bookmarkEnd w:id="702"/>
      <w:bookmarkEnd w:id="703"/>
      <w:bookmarkEnd w:id="704"/>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由于通信工程起点较高，创业较难。通过以下措施可提高毕业生未来创业的能力。</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1. 通过SRT锻炼，掌握就业创业的实践能力。</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2. 通过参加各种竞赛，提高未来创新创业的能力。</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3. 通过在企业实习增长现场工作的能力，积累经验，提高创业的能力。</w:t>
      </w:r>
    </w:p>
    <w:p>
      <w:pPr>
        <w:pStyle w:val="5"/>
        <w:spacing w:before="93" w:after="93"/>
        <w:ind w:firstLine="560"/>
      </w:pPr>
      <w:bookmarkStart w:id="705" w:name="_Toc439254817"/>
      <w:bookmarkStart w:id="706" w:name="_Toc439256309"/>
      <w:bookmarkStart w:id="707" w:name="_Toc439229126"/>
      <w:bookmarkStart w:id="708" w:name="_Toc439226909"/>
      <w:r>
        <w:t>七、专业人才社会需求分析及专业发展趋势分析</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1.专业人才培养模式定位：就现今各类院校常见的人才培养模式来说，不仅形式多样化，内容更是丰富且具有时代特征，大致可依据三要素（厚基础、宽口径、重能力）划分培养类型。根据山东农业大学特色名校工程建设及相关研究成果，全面落实本科教学学分制改革和</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四型</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拔尖型、创新型、专业型、复合型）人才分类培养要求，突出转变模式、调整结构，增强学生实践能力，提高本科教学与人才培养质量，构建与学校办学定位相吻合、与社会需求相适应的本科人才培养体系。根据通信工程专业的实际情况，定位办学模式为专业型、复合型。通信工程这门新兴学科专业的诞生，其人才培养模式离不开社会经济科技发展、企事业单位的应用、学校师资设备的充分与否。</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2. 专业人才社会需求分析：本专业学生具有宽领域工程技术适应性，就业面很广，就业率高，毕业生实践能力强，工作上手快，可以在通信领域中从事研究、设计、制造、运营及在国民经济各部门和国防工业中从事开发、应用通信技术与设备的高级工程技术工作。</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3.专业发展趋势分析：通信工程专业包括了所有与通信相关的学科，比如电子信息科学与技术、计算机、人工智能、数据科学与大数据、物联网等，可将所学知识应用于无线通信系统、物联网、多媒体信息处理与应用、智能交通与导航、机器人、智慧城市等众多领域。它是国家需求最广、未来应用场景最多的专业。随着人工智能等产业的兴起于发展，通信作为技术落地的主要支撑其地位也越来越重要。通信行业和人工智能行业是目前该专业主要就业行业。</w:t>
      </w:r>
    </w:p>
    <w:bookmarkEnd w:id="705"/>
    <w:bookmarkEnd w:id="706"/>
    <w:bookmarkEnd w:id="707"/>
    <w:bookmarkEnd w:id="708"/>
    <w:p>
      <w:pPr>
        <w:pStyle w:val="5"/>
        <w:spacing w:before="93" w:after="93"/>
        <w:ind w:firstLine="560"/>
      </w:pPr>
      <w:r>
        <w:t>八、存在的问题及拟采取的对策措施</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1.目前我系通信与信息系统专业的教师较少，通过后续的人才引进积极改善现有师资条件，提升教师队伍水平，为更好的学生培养奠定基础。</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2.积极争取实验室建设经费，购置专业课实验所需设备，减少学生两校区通勤实验的课程设置。</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3.加强校企联合，调研企业人才需求变化，调整培养方案，为学生可持续发展制定合理的培养内容。</w:t>
      </w:r>
    </w:p>
    <w:p>
      <w:pPr>
        <w:widowControl/>
        <w:jc w:val="left"/>
        <w:rPr>
          <w:rFonts w:eastAsia="黑体"/>
          <w:b/>
          <w:bCs/>
          <w:kern w:val="0"/>
          <w:sz w:val="36"/>
          <w:szCs w:val="36"/>
          <w:lang w:val="zh-CN" w:bidi="zh-CN"/>
        </w:rPr>
      </w:pPr>
      <w:r>
        <w:rPr>
          <w:b/>
          <w:bCs/>
          <w:sz w:val="36"/>
          <w:szCs w:val="36"/>
          <w:lang w:val="zh-CN" w:bidi="zh-CN"/>
        </w:rPr>
        <w:br w:type="page"/>
      </w:r>
    </w:p>
    <w:p>
      <w:pPr>
        <w:pStyle w:val="4"/>
        <w:ind w:firstLine="600"/>
      </w:pPr>
      <w:bookmarkStart w:id="709" w:name="_Toc30271"/>
      <w:r>
        <w:t>专业</w:t>
      </w:r>
      <w:r>
        <w:rPr>
          <w:rFonts w:hint="eastAsia"/>
          <w:lang w:val="en-US"/>
        </w:rPr>
        <w:t>六十九</w:t>
      </w:r>
      <w:r>
        <w:t>：电子信息科学与技术</w:t>
      </w:r>
      <w:bookmarkEnd w:id="709"/>
    </w:p>
    <w:p>
      <w:pPr>
        <w:pStyle w:val="5"/>
        <w:spacing w:before="93" w:after="93"/>
        <w:ind w:firstLine="560"/>
      </w:pPr>
      <w:bookmarkStart w:id="710" w:name="_Toc18233"/>
      <w:r>
        <w:t>一、培养目标与规格</w:t>
      </w:r>
      <w:bookmarkEnd w:id="710"/>
    </w:p>
    <w:p>
      <w:pPr>
        <w:spacing w:line="380" w:lineRule="exact"/>
        <w:ind w:firstLine="480" w:firstLineChars="200"/>
        <w:rPr>
          <w:szCs w:val="24"/>
        </w:rPr>
      </w:pPr>
      <w:r>
        <w:rPr>
          <w:szCs w:val="24"/>
        </w:rPr>
        <w:t>本专业面向国家和社会的发展需要，培养德智体全面发展的电子信息相关领域应用型工程专业技术人才，具备扎实的自然科学基础、系统的专业知识和较强的实验技能与工程实践能力，能够在电路与系统、信息技术、通信技术、计算机技术等领域从事研究、开发、生产及管理等方面的工作，具备电子工程师的基本能力和继续深造的基础，能够胜任未来工程职业工作。</w:t>
      </w:r>
    </w:p>
    <w:p>
      <w:pPr>
        <w:spacing w:line="380" w:lineRule="exact"/>
        <w:ind w:firstLine="480" w:firstLineChars="200"/>
        <w:rPr>
          <w:szCs w:val="24"/>
        </w:rPr>
      </w:pPr>
      <w:r>
        <w:rPr>
          <w:szCs w:val="24"/>
        </w:rPr>
        <w:t>针对本专业学生毕业后5年左右，本专业的培养目标具体如下：</w:t>
      </w:r>
    </w:p>
    <w:p>
      <w:pPr>
        <w:spacing w:line="380" w:lineRule="exact"/>
        <w:ind w:firstLine="480" w:firstLineChars="200"/>
        <w:rPr>
          <w:szCs w:val="24"/>
        </w:rPr>
      </w:pPr>
      <w:r>
        <w:rPr>
          <w:szCs w:val="24"/>
        </w:rPr>
        <w:t>1. 扎实掌握电子信息科学与技术的基础理论、先进技术、方法和手段，具有较强的实践能力，具有从事科学研究、教学或电子信息应用系统的设计、开发与实现的能力。</w:t>
      </w:r>
    </w:p>
    <w:p>
      <w:pPr>
        <w:spacing w:line="380" w:lineRule="exact"/>
        <w:ind w:firstLine="480" w:firstLineChars="200"/>
        <w:rPr>
          <w:szCs w:val="24"/>
        </w:rPr>
      </w:pPr>
      <w:r>
        <w:rPr>
          <w:szCs w:val="24"/>
        </w:rPr>
        <w:t>2. 具有专业拓展能力，具备在相关领域有一定的独立研究能力，以及能够完成后续研究生阶段的学习。</w:t>
      </w:r>
    </w:p>
    <w:p>
      <w:pPr>
        <w:spacing w:line="380" w:lineRule="exact"/>
        <w:ind w:firstLine="480" w:firstLineChars="200"/>
        <w:rPr>
          <w:szCs w:val="24"/>
        </w:rPr>
      </w:pPr>
      <w:r>
        <w:rPr>
          <w:szCs w:val="24"/>
        </w:rPr>
        <w:t>3. 具有较好的团队合作精神、沟通组织能力、较宽的国际化视野、健康的体格和心理素质。</w:t>
      </w:r>
    </w:p>
    <w:p>
      <w:pPr>
        <w:spacing w:line="380" w:lineRule="exact"/>
        <w:ind w:firstLine="480" w:firstLineChars="200"/>
        <w:rPr>
          <w:szCs w:val="24"/>
        </w:rPr>
      </w:pPr>
      <w:r>
        <w:rPr>
          <w:szCs w:val="24"/>
        </w:rPr>
        <w:t>4. 具有良好的个人修养和社会道德，学风严谨，爱岗敬业，精通业务，能够在工作岗位上发挥积极作用。</w:t>
      </w:r>
    </w:p>
    <w:p>
      <w:pPr>
        <w:spacing w:line="380" w:lineRule="exact"/>
        <w:ind w:firstLine="480" w:firstLineChars="200"/>
        <w:rPr>
          <w:szCs w:val="24"/>
        </w:rPr>
      </w:pPr>
      <w:r>
        <w:rPr>
          <w:szCs w:val="24"/>
        </w:rPr>
        <w:t>5. 具有终身学习能力，具备跨领域工作与学习的适应能力。</w:t>
      </w:r>
    </w:p>
    <w:p>
      <w:pPr>
        <w:pStyle w:val="5"/>
        <w:spacing w:before="93" w:after="93" w:line="380" w:lineRule="exact"/>
        <w:ind w:firstLine="560"/>
      </w:pPr>
      <w:bookmarkStart w:id="711" w:name="_Toc439254783"/>
      <w:bookmarkStart w:id="712" w:name="_Toc439226875"/>
      <w:bookmarkStart w:id="713" w:name="_Toc439256275"/>
      <w:bookmarkStart w:id="714" w:name="_Toc2727"/>
      <w:bookmarkStart w:id="715" w:name="_Toc439229092"/>
      <w:r>
        <w:t>二、培养能力（专业基本情况、在校生规模、课程体系、创新创业教育等）</w:t>
      </w:r>
      <w:bookmarkEnd w:id="711"/>
      <w:bookmarkEnd w:id="712"/>
      <w:bookmarkEnd w:id="713"/>
      <w:bookmarkEnd w:id="714"/>
      <w:bookmarkEnd w:id="715"/>
    </w:p>
    <w:p>
      <w:pPr>
        <w:pStyle w:val="6"/>
        <w:spacing w:line="380" w:lineRule="exact"/>
        <w:ind w:firstLine="480"/>
      </w:pPr>
      <w:r>
        <w:t>1. 专业基本情况</w:t>
      </w:r>
    </w:p>
    <w:p>
      <w:pPr>
        <w:spacing w:line="380" w:lineRule="exact"/>
        <w:ind w:firstLine="480" w:firstLineChars="200"/>
        <w:rPr>
          <w:szCs w:val="24"/>
        </w:rPr>
      </w:pPr>
      <w:r>
        <w:rPr>
          <w:szCs w:val="24"/>
        </w:rPr>
        <w:t>电子信息科学与技术专业于2003年首次设置，并招收本科生。现在每年招生2个班，共70人左右。</w:t>
      </w:r>
    </w:p>
    <w:p>
      <w:pPr>
        <w:pStyle w:val="6"/>
        <w:spacing w:line="380" w:lineRule="exact"/>
        <w:ind w:firstLine="480"/>
      </w:pPr>
      <w:r>
        <w:t>2. 在校生规模</w:t>
      </w:r>
    </w:p>
    <w:p>
      <w:pPr>
        <w:spacing w:line="380" w:lineRule="exact"/>
        <w:ind w:firstLine="480" w:firstLineChars="200"/>
        <w:rPr>
          <w:szCs w:val="24"/>
        </w:rPr>
      </w:pPr>
      <w:r>
        <w:rPr>
          <w:szCs w:val="24"/>
        </w:rPr>
        <w:t>电子信息科学与技术专业在校生规模为252人。</w:t>
      </w:r>
    </w:p>
    <w:p>
      <w:pPr>
        <w:pStyle w:val="6"/>
        <w:spacing w:line="380" w:lineRule="exact"/>
        <w:ind w:firstLine="480"/>
      </w:pPr>
      <w:r>
        <w:t>3. 课程体系</w:t>
      </w:r>
    </w:p>
    <w:p>
      <w:pPr>
        <w:spacing w:line="380" w:lineRule="exact"/>
        <w:ind w:firstLine="480" w:firstLineChars="200"/>
        <w:rPr>
          <w:szCs w:val="24"/>
        </w:rPr>
      </w:pPr>
      <w:r>
        <w:rPr>
          <w:szCs w:val="24"/>
        </w:rPr>
        <w:t>2014年的培养方案完善主要是强化实践环节，适应卓越人才培养要求，凸显本校特色的基础上，对原有培养方案中的部分核心课程上课时间及顺序进行了调整，增加了增强学生就业能力的选修课程，完善了实践课程内容。2015年又根据学校学分制培养方案要求对电子信息科学与技术专业培养方案进行了相应调整。2016年，增加《移动通信》作为选修课。2017年，为了适应工程教育专业认证的要求，对2015年的培养方案做了必要的修改，达到了工程教育专业认证的要求。2018年5月，教务处下发《关于做好2018年本科人才培养方案修订工作的通知》，根据本专业的具体情况，为了弥补学分减少导致某些课程学时略显紧张，适时增加了《高频电子线路》、《电磁场与电磁波》、《数字信号处理》的学时（学时多于根据学分计算出的学时）。根据《电子信息类教学质量国家标准》，将《数据结构》、《数据结构实验》由选修课调整为必修课。实践教学增加《专业认识实习》，部分专业实践调整了学分。</w:t>
      </w:r>
    </w:p>
    <w:p>
      <w:pPr>
        <w:ind w:firstLine="480" w:firstLineChars="200"/>
        <w:rPr>
          <w:szCs w:val="24"/>
        </w:rPr>
      </w:pPr>
      <w:bookmarkStart w:id="716" w:name="OLE_LINK14"/>
      <w:bookmarkStart w:id="717" w:name="OLE_LINK13"/>
      <w:r>
        <w:rPr>
          <w:szCs w:val="24"/>
        </w:rPr>
        <w:t>电子信息科学与技术</w:t>
      </w:r>
      <w:bookmarkEnd w:id="716"/>
      <w:bookmarkEnd w:id="717"/>
      <w:r>
        <w:rPr>
          <w:szCs w:val="24"/>
        </w:rPr>
        <w:t>专业主要课程：电路原理、模拟电子技术、高频电子线路、数字电子技术、C语言程序设计、信号与系统、单片机原理与应用、通信原理A、电磁场与电磁波、数字信号处理、数据结构、电路原理实验、模拟电子技术实验、数字电子技术实验、高频电子线路实验、电子设计自动化实验、单片机原理与应用实验、信号与系统实验、数字信号处理实验、等。</w:t>
      </w:r>
    </w:p>
    <w:p>
      <w:pPr>
        <w:ind w:firstLine="480" w:firstLineChars="200"/>
        <w:rPr>
          <w:szCs w:val="24"/>
        </w:rPr>
      </w:pPr>
      <w:r>
        <w:rPr>
          <w:szCs w:val="24"/>
        </w:rPr>
        <w:t>电子信息科学与技术专业主要实践环节：专业认识实习、模拟电子系统课程设计、数字电子系统课程设计、电子技术综合实习1-3、创新创业实践、毕业（生产）实习及报告、毕业论文或专业调研报告等。</w:t>
      </w:r>
    </w:p>
    <w:p>
      <w:pPr>
        <w:pStyle w:val="6"/>
        <w:ind w:firstLine="480"/>
      </w:pPr>
      <w:r>
        <w:t>4. 创新创业教育情况</w:t>
      </w:r>
    </w:p>
    <w:p>
      <w:pPr>
        <w:ind w:firstLine="480" w:firstLineChars="200"/>
        <w:rPr>
          <w:szCs w:val="24"/>
        </w:rPr>
      </w:pPr>
      <w:r>
        <w:rPr>
          <w:szCs w:val="24"/>
        </w:rPr>
        <w:t>（1）课程设置为创新创业教育打下良好的基础。为提高学生的创新创业能力，2017年的培养方案增加了部分实践课程的学分，使得实验、实践课程的总学分占毕业要求的总学分的比例达到了30%，这个比例的提高夯实了全部学生的创新创业教育的基础。2018 年，增加《专业认识实习》，并优化了实践教学的学分安排。</w:t>
      </w:r>
    </w:p>
    <w:p>
      <w:pPr>
        <w:ind w:firstLine="480" w:firstLineChars="200"/>
        <w:rPr>
          <w:szCs w:val="24"/>
        </w:rPr>
      </w:pPr>
      <w:r>
        <w:rPr>
          <w:szCs w:val="24"/>
        </w:rPr>
        <w:t>（2）大力支持大学生科研训练计划及鼓励学生参加各种类型的竞赛，提高动手能力。2022年校级SRT 立项18项，省级的SRT立项达到3项；共有18人次获得校级以上竞赛奖励，其中省级以上奖励为18人次。</w:t>
      </w:r>
    </w:p>
    <w:p>
      <w:pPr>
        <w:pStyle w:val="5"/>
        <w:spacing w:before="93" w:after="93"/>
        <w:ind w:firstLine="560"/>
      </w:pPr>
      <w:bookmarkStart w:id="718" w:name="_Toc439229093"/>
      <w:bookmarkStart w:id="719" w:name="_Toc439254784"/>
      <w:bookmarkStart w:id="720" w:name="_Toc439226876"/>
      <w:bookmarkStart w:id="721" w:name="_Toc1630"/>
      <w:bookmarkStart w:id="722" w:name="_Toc439256276"/>
      <w:r>
        <w:t>三、培养条件（教学经费投入、教学设备、教师队伍建设、实习基地、信息化建设等）</w:t>
      </w:r>
      <w:bookmarkEnd w:id="718"/>
      <w:bookmarkEnd w:id="719"/>
      <w:bookmarkEnd w:id="720"/>
      <w:bookmarkEnd w:id="721"/>
      <w:bookmarkEnd w:id="722"/>
    </w:p>
    <w:p>
      <w:pPr>
        <w:pStyle w:val="6"/>
        <w:ind w:firstLine="480"/>
      </w:pPr>
      <w:r>
        <w:t>1. 教学经费投入</w:t>
      </w:r>
    </w:p>
    <w:p>
      <w:pPr>
        <w:rPr>
          <w:szCs w:val="24"/>
        </w:rPr>
      </w:pPr>
      <w:r>
        <w:rPr>
          <w:szCs w:val="24"/>
        </w:rPr>
        <w:t>学校教学经费投入有所增加，生均教学经费为1000元。</w:t>
      </w:r>
    </w:p>
    <w:p>
      <w:pPr>
        <w:pStyle w:val="6"/>
        <w:ind w:firstLine="480"/>
      </w:pPr>
      <w:r>
        <w:t>2. 教学设备</w:t>
      </w:r>
    </w:p>
    <w:p>
      <w:pPr>
        <w:ind w:firstLine="480" w:firstLineChars="200"/>
        <w:rPr>
          <w:szCs w:val="24"/>
        </w:rPr>
      </w:pPr>
      <w:r>
        <w:rPr>
          <w:szCs w:val="24"/>
        </w:rPr>
        <w:t>电子信息科学与技术专业现有教学设备共360台套，价值289余万。生均教学科研仪器设备值为12350余元，再加上电工电子实验中心实验设备，达到了国家要求的办学条件，满足教学要求。表1为电子信息科学与技术专业教学设备保有情况。</w:t>
      </w:r>
    </w:p>
    <w:p>
      <w:pPr>
        <w:ind w:firstLine="480"/>
        <w:jc w:val="center"/>
        <w:rPr>
          <w:szCs w:val="24"/>
        </w:rPr>
      </w:pPr>
    </w:p>
    <w:p>
      <w:pPr>
        <w:pStyle w:val="25"/>
        <w:spacing w:line="240" w:lineRule="auto"/>
        <w:rPr>
          <w:b/>
          <w:bCs/>
          <w:color w:val="000000"/>
          <w:sz w:val="21"/>
          <w:szCs w:val="21"/>
        </w:rPr>
      </w:pPr>
      <w:r>
        <w:rPr>
          <w:b/>
          <w:bCs/>
          <w:color w:val="000000"/>
          <w:sz w:val="21"/>
          <w:szCs w:val="21"/>
        </w:rPr>
        <w:t>表1  电子信息科学与技术专业教学设备情况</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4"/>
        <w:gridCol w:w="4873"/>
        <w:gridCol w:w="1218"/>
        <w:gridCol w:w="10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1062" w:type="pct"/>
            <w:vAlign w:val="center"/>
          </w:tcPr>
          <w:p>
            <w:pPr>
              <w:pStyle w:val="25"/>
              <w:spacing w:line="240" w:lineRule="auto"/>
              <w:rPr>
                <w:b/>
                <w:bCs/>
                <w:color w:val="000000"/>
                <w:sz w:val="21"/>
                <w:szCs w:val="21"/>
              </w:rPr>
            </w:pPr>
            <w:r>
              <w:rPr>
                <w:b/>
                <w:bCs/>
                <w:color w:val="000000"/>
                <w:sz w:val="21"/>
                <w:szCs w:val="21"/>
              </w:rPr>
              <w:t>年度</w:t>
            </w:r>
          </w:p>
        </w:tc>
        <w:tc>
          <w:tcPr>
            <w:tcW w:w="2689" w:type="pct"/>
            <w:vAlign w:val="center"/>
          </w:tcPr>
          <w:p>
            <w:pPr>
              <w:pStyle w:val="25"/>
              <w:spacing w:line="240" w:lineRule="auto"/>
              <w:rPr>
                <w:b/>
                <w:bCs/>
                <w:color w:val="000000"/>
                <w:sz w:val="21"/>
                <w:szCs w:val="21"/>
              </w:rPr>
            </w:pPr>
            <w:r>
              <w:rPr>
                <w:b/>
                <w:bCs/>
                <w:color w:val="000000"/>
                <w:sz w:val="21"/>
                <w:szCs w:val="21"/>
              </w:rPr>
              <w:t>设备名称</w:t>
            </w:r>
          </w:p>
        </w:tc>
        <w:tc>
          <w:tcPr>
            <w:tcW w:w="672" w:type="pct"/>
            <w:vAlign w:val="center"/>
          </w:tcPr>
          <w:p>
            <w:pPr>
              <w:pStyle w:val="25"/>
              <w:spacing w:line="240" w:lineRule="auto"/>
              <w:rPr>
                <w:b/>
                <w:bCs/>
                <w:color w:val="000000"/>
                <w:sz w:val="21"/>
                <w:szCs w:val="21"/>
              </w:rPr>
            </w:pPr>
            <w:r>
              <w:rPr>
                <w:b/>
                <w:bCs/>
                <w:color w:val="000000"/>
                <w:sz w:val="21"/>
                <w:szCs w:val="21"/>
              </w:rPr>
              <w:t>价格</w:t>
            </w:r>
          </w:p>
        </w:tc>
        <w:tc>
          <w:tcPr>
            <w:tcW w:w="575" w:type="pct"/>
            <w:vAlign w:val="center"/>
          </w:tcPr>
          <w:p>
            <w:pPr>
              <w:pStyle w:val="25"/>
              <w:spacing w:line="240" w:lineRule="auto"/>
              <w:rPr>
                <w:b/>
                <w:bCs/>
                <w:color w:val="000000"/>
                <w:sz w:val="21"/>
                <w:szCs w:val="21"/>
              </w:rPr>
            </w:pPr>
            <w:r>
              <w:rPr>
                <w:b/>
                <w:bCs/>
                <w:color w:val="000000"/>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vMerge w:val="restart"/>
            <w:vAlign w:val="center"/>
          </w:tcPr>
          <w:p>
            <w:pPr>
              <w:pStyle w:val="25"/>
              <w:spacing w:line="240" w:lineRule="auto"/>
              <w:rPr>
                <w:color w:val="000000"/>
                <w:sz w:val="21"/>
                <w:szCs w:val="21"/>
              </w:rPr>
            </w:pPr>
            <w:bookmarkStart w:id="723" w:name="_Hlk27473556"/>
            <w:r>
              <w:rPr>
                <w:color w:val="000000"/>
                <w:sz w:val="21"/>
                <w:szCs w:val="21"/>
              </w:rPr>
              <w:t>2011.9前</w:t>
            </w:r>
          </w:p>
        </w:tc>
        <w:tc>
          <w:tcPr>
            <w:tcW w:w="2689" w:type="pct"/>
            <w:vAlign w:val="center"/>
          </w:tcPr>
          <w:p>
            <w:pPr>
              <w:pStyle w:val="25"/>
              <w:spacing w:line="240" w:lineRule="auto"/>
              <w:rPr>
                <w:color w:val="000000"/>
                <w:sz w:val="21"/>
                <w:szCs w:val="21"/>
              </w:rPr>
            </w:pPr>
            <w:r>
              <w:rPr>
                <w:color w:val="000000"/>
                <w:sz w:val="21"/>
                <w:szCs w:val="21"/>
              </w:rPr>
              <w:t>EDA实验开发平台</w:t>
            </w:r>
          </w:p>
        </w:tc>
        <w:tc>
          <w:tcPr>
            <w:tcW w:w="672" w:type="pct"/>
            <w:vAlign w:val="center"/>
          </w:tcPr>
          <w:p>
            <w:pPr>
              <w:pStyle w:val="25"/>
              <w:spacing w:line="240" w:lineRule="auto"/>
              <w:rPr>
                <w:color w:val="000000"/>
                <w:sz w:val="21"/>
                <w:szCs w:val="21"/>
              </w:rPr>
            </w:pPr>
            <w:r>
              <w:rPr>
                <w:color w:val="000000"/>
                <w:sz w:val="21"/>
                <w:szCs w:val="21"/>
              </w:rPr>
              <w:t>2450</w:t>
            </w:r>
          </w:p>
        </w:tc>
        <w:tc>
          <w:tcPr>
            <w:tcW w:w="575" w:type="pct"/>
            <w:vAlign w:val="center"/>
          </w:tcPr>
          <w:p>
            <w:pPr>
              <w:pStyle w:val="25"/>
              <w:spacing w:line="240" w:lineRule="auto"/>
              <w:rPr>
                <w:color w:val="000000"/>
                <w:sz w:val="21"/>
                <w:szCs w:val="21"/>
              </w:rPr>
            </w:pPr>
            <w:r>
              <w:rPr>
                <w:color w:val="000000"/>
                <w:sz w:val="21"/>
                <w:szCs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图象处理实验系统</w:t>
            </w:r>
          </w:p>
        </w:tc>
        <w:tc>
          <w:tcPr>
            <w:tcW w:w="672" w:type="pct"/>
            <w:vAlign w:val="center"/>
          </w:tcPr>
          <w:p>
            <w:pPr>
              <w:pStyle w:val="25"/>
              <w:spacing w:line="240" w:lineRule="auto"/>
              <w:rPr>
                <w:color w:val="000000"/>
                <w:sz w:val="21"/>
                <w:szCs w:val="21"/>
              </w:rPr>
            </w:pPr>
            <w:r>
              <w:rPr>
                <w:color w:val="000000"/>
                <w:sz w:val="21"/>
                <w:szCs w:val="21"/>
              </w:rPr>
              <w:t>8100</w:t>
            </w:r>
          </w:p>
        </w:tc>
        <w:tc>
          <w:tcPr>
            <w:tcW w:w="575" w:type="pct"/>
            <w:vAlign w:val="center"/>
          </w:tcPr>
          <w:p>
            <w:pPr>
              <w:pStyle w:val="25"/>
              <w:spacing w:line="240" w:lineRule="auto"/>
              <w:rPr>
                <w:color w:val="000000"/>
                <w:sz w:val="21"/>
                <w:szCs w:val="21"/>
              </w:rPr>
            </w:pPr>
            <w:r>
              <w:rPr>
                <w:color w:val="000000"/>
                <w:sz w:val="21"/>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单片机仿真系统</w:t>
            </w:r>
          </w:p>
        </w:tc>
        <w:tc>
          <w:tcPr>
            <w:tcW w:w="672" w:type="pct"/>
            <w:vAlign w:val="center"/>
          </w:tcPr>
          <w:p>
            <w:pPr>
              <w:pStyle w:val="25"/>
              <w:spacing w:line="240" w:lineRule="auto"/>
              <w:rPr>
                <w:color w:val="000000"/>
                <w:sz w:val="21"/>
                <w:szCs w:val="21"/>
              </w:rPr>
            </w:pPr>
            <w:r>
              <w:rPr>
                <w:color w:val="000000"/>
                <w:sz w:val="21"/>
                <w:szCs w:val="21"/>
              </w:rPr>
              <w:t>4860</w:t>
            </w:r>
          </w:p>
        </w:tc>
        <w:tc>
          <w:tcPr>
            <w:tcW w:w="575" w:type="pct"/>
            <w:vAlign w:val="center"/>
          </w:tcPr>
          <w:p>
            <w:pPr>
              <w:pStyle w:val="25"/>
              <w:spacing w:line="240" w:lineRule="auto"/>
              <w:rPr>
                <w:color w:val="000000"/>
                <w:sz w:val="21"/>
                <w:szCs w:val="21"/>
              </w:rPr>
            </w:pPr>
            <w:r>
              <w:rPr>
                <w:color w:val="000000"/>
                <w:sz w:val="21"/>
                <w:szCs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ARM嵌入式教学实验系统</w:t>
            </w:r>
          </w:p>
        </w:tc>
        <w:tc>
          <w:tcPr>
            <w:tcW w:w="672" w:type="pct"/>
            <w:vAlign w:val="center"/>
          </w:tcPr>
          <w:p>
            <w:pPr>
              <w:pStyle w:val="25"/>
              <w:spacing w:line="240" w:lineRule="auto"/>
              <w:rPr>
                <w:color w:val="000000"/>
                <w:sz w:val="21"/>
                <w:szCs w:val="21"/>
              </w:rPr>
            </w:pPr>
            <w:r>
              <w:rPr>
                <w:color w:val="000000"/>
                <w:sz w:val="21"/>
                <w:szCs w:val="21"/>
              </w:rPr>
              <w:t>4600</w:t>
            </w:r>
          </w:p>
        </w:tc>
        <w:tc>
          <w:tcPr>
            <w:tcW w:w="575" w:type="pct"/>
            <w:vAlign w:val="center"/>
          </w:tcPr>
          <w:p>
            <w:pPr>
              <w:pStyle w:val="25"/>
              <w:spacing w:line="240" w:lineRule="auto"/>
              <w:rPr>
                <w:color w:val="000000"/>
                <w:sz w:val="21"/>
                <w:szCs w:val="21"/>
              </w:rPr>
            </w:pPr>
            <w:r>
              <w:rPr>
                <w:color w:val="000000"/>
                <w:sz w:val="21"/>
                <w:szCs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bookmarkStart w:id="724" w:name="OLE_LINK10"/>
            <w:bookmarkStart w:id="725" w:name="OLE_LINK9"/>
            <w:r>
              <w:rPr>
                <w:color w:val="000000"/>
                <w:sz w:val="21"/>
                <w:szCs w:val="21"/>
              </w:rPr>
              <w:t>嵌入式开发工具套件（仿真器）大众版</w:t>
            </w:r>
            <w:bookmarkEnd w:id="724"/>
            <w:bookmarkEnd w:id="725"/>
          </w:p>
        </w:tc>
        <w:tc>
          <w:tcPr>
            <w:tcW w:w="672" w:type="pct"/>
            <w:vAlign w:val="center"/>
          </w:tcPr>
          <w:p>
            <w:pPr>
              <w:pStyle w:val="25"/>
              <w:spacing w:line="240" w:lineRule="auto"/>
              <w:rPr>
                <w:color w:val="000000"/>
                <w:sz w:val="21"/>
                <w:szCs w:val="21"/>
              </w:rPr>
            </w:pPr>
            <w:r>
              <w:rPr>
                <w:color w:val="000000"/>
                <w:sz w:val="21"/>
                <w:szCs w:val="21"/>
              </w:rPr>
              <w:t>1320</w:t>
            </w:r>
          </w:p>
        </w:tc>
        <w:tc>
          <w:tcPr>
            <w:tcW w:w="575" w:type="pct"/>
            <w:vAlign w:val="center"/>
          </w:tcPr>
          <w:p>
            <w:pPr>
              <w:pStyle w:val="25"/>
              <w:spacing w:line="240" w:lineRule="auto"/>
              <w:rPr>
                <w:color w:val="000000"/>
                <w:sz w:val="21"/>
                <w:szCs w:val="21"/>
              </w:rPr>
            </w:pPr>
            <w:r>
              <w:rPr>
                <w:color w:val="000000"/>
                <w:sz w:val="21"/>
                <w:szCs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嵌入式开发工具套件（仿真器）专业版版</w:t>
            </w:r>
          </w:p>
        </w:tc>
        <w:tc>
          <w:tcPr>
            <w:tcW w:w="672" w:type="pct"/>
            <w:vAlign w:val="center"/>
          </w:tcPr>
          <w:p>
            <w:pPr>
              <w:pStyle w:val="25"/>
              <w:spacing w:line="240" w:lineRule="auto"/>
              <w:rPr>
                <w:color w:val="000000"/>
                <w:sz w:val="21"/>
                <w:szCs w:val="21"/>
              </w:rPr>
            </w:pPr>
            <w:r>
              <w:rPr>
                <w:color w:val="000000"/>
                <w:sz w:val="21"/>
                <w:szCs w:val="21"/>
              </w:rPr>
              <w:t>8000</w:t>
            </w:r>
          </w:p>
        </w:tc>
        <w:tc>
          <w:tcPr>
            <w:tcW w:w="575" w:type="pct"/>
            <w:vAlign w:val="center"/>
          </w:tcPr>
          <w:p>
            <w:pPr>
              <w:pStyle w:val="25"/>
              <w:spacing w:line="240" w:lineRule="auto"/>
              <w:rPr>
                <w:color w:val="000000"/>
                <w:sz w:val="21"/>
                <w:szCs w:val="21"/>
              </w:rPr>
            </w:pPr>
            <w:r>
              <w:rPr>
                <w:color w:val="00000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数字存储示波器</w:t>
            </w:r>
          </w:p>
        </w:tc>
        <w:tc>
          <w:tcPr>
            <w:tcW w:w="672" w:type="pct"/>
            <w:vAlign w:val="center"/>
          </w:tcPr>
          <w:p>
            <w:pPr>
              <w:pStyle w:val="25"/>
              <w:spacing w:line="240" w:lineRule="auto"/>
              <w:rPr>
                <w:color w:val="000000"/>
                <w:sz w:val="21"/>
                <w:szCs w:val="21"/>
              </w:rPr>
            </w:pPr>
            <w:r>
              <w:rPr>
                <w:color w:val="000000"/>
                <w:sz w:val="21"/>
                <w:szCs w:val="21"/>
              </w:rPr>
              <w:t>7980</w:t>
            </w:r>
          </w:p>
        </w:tc>
        <w:tc>
          <w:tcPr>
            <w:tcW w:w="575" w:type="pct"/>
            <w:vAlign w:val="center"/>
          </w:tcPr>
          <w:p>
            <w:pPr>
              <w:pStyle w:val="25"/>
              <w:spacing w:line="240" w:lineRule="auto"/>
              <w:rPr>
                <w:color w:val="000000"/>
                <w:sz w:val="21"/>
                <w:szCs w:val="21"/>
              </w:rPr>
            </w:pPr>
            <w:r>
              <w:rPr>
                <w:color w:val="000000"/>
                <w:sz w:val="21"/>
                <w:szCs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标准函数信号发生器</w:t>
            </w:r>
          </w:p>
        </w:tc>
        <w:tc>
          <w:tcPr>
            <w:tcW w:w="672" w:type="pct"/>
            <w:vAlign w:val="center"/>
          </w:tcPr>
          <w:p>
            <w:pPr>
              <w:pStyle w:val="25"/>
              <w:spacing w:line="240" w:lineRule="auto"/>
              <w:rPr>
                <w:color w:val="000000"/>
                <w:sz w:val="21"/>
                <w:szCs w:val="21"/>
              </w:rPr>
            </w:pPr>
            <w:r>
              <w:rPr>
                <w:color w:val="000000"/>
                <w:sz w:val="21"/>
                <w:szCs w:val="21"/>
              </w:rPr>
              <w:t>19800</w:t>
            </w:r>
          </w:p>
        </w:tc>
        <w:tc>
          <w:tcPr>
            <w:tcW w:w="575" w:type="pct"/>
            <w:vAlign w:val="center"/>
          </w:tcPr>
          <w:p>
            <w:pPr>
              <w:pStyle w:val="25"/>
              <w:spacing w:line="240" w:lineRule="auto"/>
              <w:rPr>
                <w:color w:val="000000"/>
                <w:sz w:val="21"/>
                <w:szCs w:val="21"/>
              </w:rPr>
            </w:pPr>
            <w:r>
              <w:rPr>
                <w:color w:val="00000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教学信号源</w:t>
            </w:r>
          </w:p>
        </w:tc>
        <w:tc>
          <w:tcPr>
            <w:tcW w:w="672" w:type="pct"/>
            <w:vAlign w:val="center"/>
          </w:tcPr>
          <w:p>
            <w:pPr>
              <w:pStyle w:val="25"/>
              <w:spacing w:line="240" w:lineRule="auto"/>
              <w:rPr>
                <w:color w:val="000000"/>
                <w:sz w:val="21"/>
                <w:szCs w:val="21"/>
              </w:rPr>
            </w:pPr>
            <w:r>
              <w:rPr>
                <w:color w:val="000000"/>
                <w:sz w:val="21"/>
                <w:szCs w:val="21"/>
              </w:rPr>
              <w:t>3460</w:t>
            </w:r>
          </w:p>
        </w:tc>
        <w:tc>
          <w:tcPr>
            <w:tcW w:w="575" w:type="pct"/>
            <w:vAlign w:val="center"/>
          </w:tcPr>
          <w:p>
            <w:pPr>
              <w:pStyle w:val="25"/>
              <w:spacing w:line="240" w:lineRule="auto"/>
              <w:rPr>
                <w:color w:val="000000"/>
                <w:sz w:val="21"/>
                <w:szCs w:val="21"/>
              </w:rPr>
            </w:pPr>
            <w:r>
              <w:rPr>
                <w:color w:val="000000"/>
                <w:sz w:val="21"/>
                <w:szCs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台式万用表</w:t>
            </w:r>
          </w:p>
        </w:tc>
        <w:tc>
          <w:tcPr>
            <w:tcW w:w="672" w:type="pct"/>
            <w:vAlign w:val="center"/>
          </w:tcPr>
          <w:p>
            <w:pPr>
              <w:pStyle w:val="25"/>
              <w:spacing w:line="240" w:lineRule="auto"/>
              <w:rPr>
                <w:color w:val="000000"/>
                <w:sz w:val="21"/>
                <w:szCs w:val="21"/>
              </w:rPr>
            </w:pPr>
            <w:r>
              <w:rPr>
                <w:color w:val="000000"/>
                <w:sz w:val="21"/>
                <w:szCs w:val="21"/>
              </w:rPr>
              <w:t>3300</w:t>
            </w:r>
          </w:p>
        </w:tc>
        <w:tc>
          <w:tcPr>
            <w:tcW w:w="575" w:type="pct"/>
            <w:vAlign w:val="center"/>
          </w:tcPr>
          <w:p>
            <w:pPr>
              <w:pStyle w:val="25"/>
              <w:spacing w:line="240" w:lineRule="auto"/>
              <w:rPr>
                <w:color w:val="000000"/>
                <w:sz w:val="21"/>
                <w:szCs w:val="21"/>
              </w:rPr>
            </w:pPr>
            <w:r>
              <w:rPr>
                <w:color w:val="000000"/>
                <w:sz w:val="21"/>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精密贴片机</w:t>
            </w:r>
          </w:p>
        </w:tc>
        <w:tc>
          <w:tcPr>
            <w:tcW w:w="672" w:type="pct"/>
            <w:vAlign w:val="center"/>
          </w:tcPr>
          <w:p>
            <w:pPr>
              <w:pStyle w:val="25"/>
              <w:spacing w:line="240" w:lineRule="auto"/>
              <w:rPr>
                <w:color w:val="000000"/>
                <w:sz w:val="21"/>
                <w:szCs w:val="21"/>
              </w:rPr>
            </w:pPr>
            <w:r>
              <w:rPr>
                <w:color w:val="000000"/>
                <w:sz w:val="21"/>
                <w:szCs w:val="21"/>
              </w:rPr>
              <w:t>5990</w:t>
            </w:r>
          </w:p>
        </w:tc>
        <w:tc>
          <w:tcPr>
            <w:tcW w:w="575" w:type="pct"/>
            <w:vAlign w:val="center"/>
          </w:tcPr>
          <w:p>
            <w:pPr>
              <w:pStyle w:val="25"/>
              <w:spacing w:line="240" w:lineRule="auto"/>
              <w:rPr>
                <w:color w:val="000000"/>
                <w:sz w:val="21"/>
                <w:szCs w:val="21"/>
              </w:rPr>
            </w:pPr>
            <w:r>
              <w:rPr>
                <w:color w:val="00000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表面贴装回流焊机</w:t>
            </w:r>
          </w:p>
        </w:tc>
        <w:tc>
          <w:tcPr>
            <w:tcW w:w="672" w:type="pct"/>
            <w:vAlign w:val="center"/>
          </w:tcPr>
          <w:p>
            <w:pPr>
              <w:pStyle w:val="25"/>
              <w:spacing w:line="240" w:lineRule="auto"/>
              <w:rPr>
                <w:color w:val="000000"/>
                <w:sz w:val="21"/>
                <w:szCs w:val="21"/>
              </w:rPr>
            </w:pPr>
            <w:r>
              <w:rPr>
                <w:color w:val="000000"/>
                <w:sz w:val="21"/>
                <w:szCs w:val="21"/>
              </w:rPr>
              <w:t>23180</w:t>
            </w:r>
          </w:p>
        </w:tc>
        <w:tc>
          <w:tcPr>
            <w:tcW w:w="575" w:type="pct"/>
            <w:vAlign w:val="center"/>
          </w:tcPr>
          <w:p>
            <w:pPr>
              <w:pStyle w:val="25"/>
              <w:spacing w:line="240" w:lineRule="auto"/>
              <w:rPr>
                <w:color w:val="000000"/>
                <w:sz w:val="21"/>
                <w:szCs w:val="21"/>
              </w:rPr>
            </w:pPr>
            <w:r>
              <w:rPr>
                <w:color w:val="00000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线路板雕刻机</w:t>
            </w:r>
          </w:p>
        </w:tc>
        <w:tc>
          <w:tcPr>
            <w:tcW w:w="672" w:type="pct"/>
            <w:vAlign w:val="center"/>
          </w:tcPr>
          <w:p>
            <w:pPr>
              <w:pStyle w:val="25"/>
              <w:spacing w:line="240" w:lineRule="auto"/>
              <w:rPr>
                <w:color w:val="000000"/>
                <w:sz w:val="21"/>
                <w:szCs w:val="21"/>
              </w:rPr>
            </w:pPr>
            <w:r>
              <w:rPr>
                <w:color w:val="000000"/>
                <w:sz w:val="21"/>
                <w:szCs w:val="21"/>
              </w:rPr>
              <w:t>249340</w:t>
            </w:r>
          </w:p>
        </w:tc>
        <w:tc>
          <w:tcPr>
            <w:tcW w:w="575" w:type="pct"/>
            <w:vAlign w:val="center"/>
          </w:tcPr>
          <w:p>
            <w:pPr>
              <w:pStyle w:val="25"/>
              <w:spacing w:line="240" w:lineRule="auto"/>
              <w:rPr>
                <w:color w:val="000000"/>
                <w:sz w:val="21"/>
                <w:szCs w:val="21"/>
              </w:rPr>
            </w:pPr>
            <w:r>
              <w:rPr>
                <w:color w:val="00000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计算机</w:t>
            </w:r>
          </w:p>
        </w:tc>
        <w:tc>
          <w:tcPr>
            <w:tcW w:w="672" w:type="pct"/>
            <w:vAlign w:val="center"/>
          </w:tcPr>
          <w:p>
            <w:pPr>
              <w:pStyle w:val="25"/>
              <w:spacing w:line="240" w:lineRule="auto"/>
              <w:rPr>
                <w:color w:val="000000"/>
                <w:sz w:val="21"/>
                <w:szCs w:val="21"/>
              </w:rPr>
            </w:pPr>
            <w:r>
              <w:rPr>
                <w:color w:val="000000"/>
                <w:sz w:val="21"/>
                <w:szCs w:val="21"/>
              </w:rPr>
              <w:t>4890</w:t>
            </w:r>
          </w:p>
        </w:tc>
        <w:tc>
          <w:tcPr>
            <w:tcW w:w="575" w:type="pct"/>
            <w:vAlign w:val="center"/>
          </w:tcPr>
          <w:p>
            <w:pPr>
              <w:pStyle w:val="25"/>
              <w:spacing w:line="240" w:lineRule="auto"/>
              <w:rPr>
                <w:color w:val="000000"/>
                <w:sz w:val="21"/>
                <w:szCs w:val="21"/>
              </w:rPr>
            </w:pPr>
            <w:r>
              <w:rPr>
                <w:color w:val="000000"/>
                <w:sz w:val="21"/>
                <w:szCs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微波实验系统</w:t>
            </w:r>
          </w:p>
        </w:tc>
        <w:tc>
          <w:tcPr>
            <w:tcW w:w="672" w:type="pct"/>
            <w:vAlign w:val="center"/>
          </w:tcPr>
          <w:p>
            <w:pPr>
              <w:pStyle w:val="25"/>
              <w:spacing w:line="240" w:lineRule="auto"/>
              <w:rPr>
                <w:color w:val="000000"/>
                <w:sz w:val="21"/>
                <w:szCs w:val="21"/>
              </w:rPr>
            </w:pPr>
            <w:r>
              <w:rPr>
                <w:color w:val="000000"/>
                <w:sz w:val="21"/>
                <w:szCs w:val="21"/>
              </w:rPr>
              <w:t>98600</w:t>
            </w:r>
          </w:p>
        </w:tc>
        <w:tc>
          <w:tcPr>
            <w:tcW w:w="575" w:type="pct"/>
            <w:vAlign w:val="center"/>
          </w:tcPr>
          <w:p>
            <w:pPr>
              <w:pStyle w:val="25"/>
              <w:spacing w:line="240" w:lineRule="auto"/>
              <w:rPr>
                <w:color w:val="000000"/>
                <w:sz w:val="21"/>
                <w:szCs w:val="21"/>
              </w:rPr>
            </w:pPr>
            <w:r>
              <w:rPr>
                <w:color w:val="000000"/>
                <w:sz w:val="21"/>
                <w:szCs w:val="21"/>
              </w:rPr>
              <w:t>2</w:t>
            </w:r>
          </w:p>
        </w:tc>
      </w:tr>
      <w:bookmarkEnd w:id="723"/>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vMerge w:val="restart"/>
            <w:vAlign w:val="center"/>
          </w:tcPr>
          <w:p>
            <w:pPr>
              <w:pStyle w:val="25"/>
              <w:spacing w:line="240" w:lineRule="auto"/>
              <w:rPr>
                <w:color w:val="000000"/>
                <w:sz w:val="21"/>
                <w:szCs w:val="21"/>
              </w:rPr>
            </w:pPr>
            <w:bookmarkStart w:id="726" w:name="_Hlk27473413"/>
            <w:r>
              <w:rPr>
                <w:color w:val="000000"/>
                <w:sz w:val="21"/>
                <w:szCs w:val="21"/>
              </w:rPr>
              <w:t>2014.9-2015.7</w:t>
            </w:r>
          </w:p>
        </w:tc>
        <w:tc>
          <w:tcPr>
            <w:tcW w:w="2689" w:type="pct"/>
            <w:vAlign w:val="center"/>
          </w:tcPr>
          <w:p>
            <w:pPr>
              <w:pStyle w:val="25"/>
              <w:spacing w:line="240" w:lineRule="auto"/>
              <w:rPr>
                <w:color w:val="000000"/>
                <w:sz w:val="21"/>
                <w:szCs w:val="21"/>
              </w:rPr>
            </w:pPr>
            <w:r>
              <w:rPr>
                <w:color w:val="000000"/>
                <w:sz w:val="21"/>
                <w:szCs w:val="21"/>
              </w:rPr>
              <w:t>互联网试验箱</w:t>
            </w:r>
          </w:p>
        </w:tc>
        <w:tc>
          <w:tcPr>
            <w:tcW w:w="672" w:type="pct"/>
            <w:vAlign w:val="center"/>
          </w:tcPr>
          <w:p>
            <w:pPr>
              <w:pStyle w:val="25"/>
              <w:spacing w:line="240" w:lineRule="auto"/>
              <w:rPr>
                <w:color w:val="000000"/>
                <w:sz w:val="21"/>
                <w:szCs w:val="21"/>
              </w:rPr>
            </w:pPr>
            <w:r>
              <w:rPr>
                <w:color w:val="000000"/>
                <w:sz w:val="21"/>
                <w:szCs w:val="21"/>
              </w:rPr>
              <w:t>14700</w:t>
            </w:r>
          </w:p>
        </w:tc>
        <w:tc>
          <w:tcPr>
            <w:tcW w:w="575" w:type="pct"/>
            <w:vAlign w:val="center"/>
          </w:tcPr>
          <w:p>
            <w:pPr>
              <w:pStyle w:val="25"/>
              <w:spacing w:line="240" w:lineRule="auto"/>
              <w:rPr>
                <w:color w:val="000000"/>
                <w:sz w:val="21"/>
                <w:szCs w:val="21"/>
              </w:rPr>
            </w:pPr>
            <w:r>
              <w:rPr>
                <w:color w:val="000000"/>
                <w:sz w:val="21"/>
                <w:szCs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频谱分析仪</w:t>
            </w:r>
          </w:p>
        </w:tc>
        <w:tc>
          <w:tcPr>
            <w:tcW w:w="672" w:type="pct"/>
            <w:vAlign w:val="center"/>
          </w:tcPr>
          <w:p>
            <w:pPr>
              <w:pStyle w:val="25"/>
              <w:spacing w:line="240" w:lineRule="auto"/>
              <w:rPr>
                <w:color w:val="000000"/>
                <w:sz w:val="21"/>
                <w:szCs w:val="21"/>
              </w:rPr>
            </w:pPr>
            <w:r>
              <w:rPr>
                <w:color w:val="000000"/>
                <w:sz w:val="21"/>
                <w:szCs w:val="21"/>
              </w:rPr>
              <w:t>12450</w:t>
            </w:r>
          </w:p>
        </w:tc>
        <w:tc>
          <w:tcPr>
            <w:tcW w:w="575" w:type="pct"/>
            <w:vAlign w:val="center"/>
          </w:tcPr>
          <w:p>
            <w:pPr>
              <w:pStyle w:val="25"/>
              <w:spacing w:line="240" w:lineRule="auto"/>
              <w:rPr>
                <w:color w:val="000000"/>
                <w:sz w:val="21"/>
                <w:szCs w:val="21"/>
              </w:rPr>
            </w:pPr>
            <w:r>
              <w:rPr>
                <w:color w:val="000000"/>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vMerge w:val="continue"/>
            <w:vAlign w:val="center"/>
          </w:tcPr>
          <w:p>
            <w:pPr>
              <w:pStyle w:val="25"/>
              <w:spacing w:line="240" w:lineRule="auto"/>
              <w:rPr>
                <w:color w:val="000000"/>
                <w:sz w:val="21"/>
                <w:szCs w:val="21"/>
              </w:rPr>
            </w:pPr>
          </w:p>
        </w:tc>
        <w:tc>
          <w:tcPr>
            <w:tcW w:w="2689" w:type="pct"/>
            <w:vAlign w:val="center"/>
          </w:tcPr>
          <w:p>
            <w:pPr>
              <w:pStyle w:val="25"/>
              <w:spacing w:line="240" w:lineRule="auto"/>
              <w:rPr>
                <w:color w:val="000000"/>
                <w:sz w:val="21"/>
                <w:szCs w:val="21"/>
              </w:rPr>
            </w:pPr>
            <w:r>
              <w:rPr>
                <w:color w:val="000000"/>
                <w:sz w:val="21"/>
                <w:szCs w:val="21"/>
              </w:rPr>
              <w:t>微波与天线综合实验系统</w:t>
            </w:r>
          </w:p>
        </w:tc>
        <w:tc>
          <w:tcPr>
            <w:tcW w:w="672" w:type="pct"/>
            <w:vAlign w:val="center"/>
          </w:tcPr>
          <w:p>
            <w:pPr>
              <w:pStyle w:val="25"/>
              <w:spacing w:line="240" w:lineRule="auto"/>
              <w:rPr>
                <w:color w:val="000000"/>
                <w:sz w:val="21"/>
                <w:szCs w:val="21"/>
              </w:rPr>
            </w:pPr>
            <w:r>
              <w:rPr>
                <w:color w:val="000000"/>
                <w:sz w:val="21"/>
                <w:szCs w:val="21"/>
              </w:rPr>
              <w:t>28550</w:t>
            </w:r>
          </w:p>
        </w:tc>
        <w:tc>
          <w:tcPr>
            <w:tcW w:w="575" w:type="pct"/>
            <w:vAlign w:val="center"/>
          </w:tcPr>
          <w:p>
            <w:pPr>
              <w:pStyle w:val="25"/>
              <w:spacing w:line="240" w:lineRule="auto"/>
              <w:rPr>
                <w:color w:val="000000"/>
                <w:sz w:val="21"/>
                <w:szCs w:val="21"/>
              </w:rPr>
            </w:pPr>
            <w:r>
              <w:rPr>
                <w:color w:val="000000"/>
                <w:sz w:val="21"/>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62" w:type="pct"/>
            <w:vAlign w:val="center"/>
          </w:tcPr>
          <w:p>
            <w:pPr>
              <w:pStyle w:val="25"/>
              <w:spacing w:line="240" w:lineRule="auto"/>
              <w:rPr>
                <w:color w:val="000000"/>
                <w:sz w:val="21"/>
                <w:szCs w:val="21"/>
              </w:rPr>
            </w:pPr>
            <w:r>
              <w:rPr>
                <w:color w:val="000000"/>
                <w:sz w:val="21"/>
                <w:szCs w:val="21"/>
              </w:rPr>
              <w:t>2016.9-2017.7</w:t>
            </w:r>
          </w:p>
        </w:tc>
        <w:tc>
          <w:tcPr>
            <w:tcW w:w="2689" w:type="pct"/>
            <w:vAlign w:val="center"/>
          </w:tcPr>
          <w:p>
            <w:pPr>
              <w:pStyle w:val="25"/>
              <w:spacing w:line="240" w:lineRule="auto"/>
              <w:rPr>
                <w:color w:val="000000"/>
                <w:sz w:val="21"/>
                <w:szCs w:val="21"/>
              </w:rPr>
            </w:pPr>
            <w:r>
              <w:rPr>
                <w:color w:val="000000"/>
                <w:sz w:val="21"/>
                <w:szCs w:val="21"/>
              </w:rPr>
              <w:t>计算机</w:t>
            </w:r>
          </w:p>
        </w:tc>
        <w:tc>
          <w:tcPr>
            <w:tcW w:w="672" w:type="pct"/>
            <w:vAlign w:val="center"/>
          </w:tcPr>
          <w:p>
            <w:pPr>
              <w:pStyle w:val="25"/>
              <w:spacing w:line="240" w:lineRule="auto"/>
              <w:rPr>
                <w:color w:val="000000"/>
                <w:sz w:val="21"/>
                <w:szCs w:val="21"/>
              </w:rPr>
            </w:pPr>
            <w:r>
              <w:rPr>
                <w:color w:val="000000"/>
                <w:sz w:val="21"/>
                <w:szCs w:val="21"/>
              </w:rPr>
              <w:t>3699</w:t>
            </w:r>
          </w:p>
        </w:tc>
        <w:tc>
          <w:tcPr>
            <w:tcW w:w="575" w:type="pct"/>
            <w:vAlign w:val="center"/>
          </w:tcPr>
          <w:p>
            <w:pPr>
              <w:pStyle w:val="25"/>
              <w:spacing w:line="240" w:lineRule="auto"/>
              <w:rPr>
                <w:color w:val="000000"/>
                <w:sz w:val="21"/>
                <w:szCs w:val="21"/>
              </w:rPr>
            </w:pPr>
            <w:r>
              <w:rPr>
                <w:color w:val="000000"/>
                <w:sz w:val="21"/>
                <w:szCs w:val="21"/>
              </w:rPr>
              <w:t>32</w:t>
            </w:r>
          </w:p>
        </w:tc>
      </w:tr>
      <w:bookmarkEnd w:id="726"/>
    </w:tbl>
    <w:p>
      <w:pPr>
        <w:pStyle w:val="45"/>
        <w:ind w:firstLine="480"/>
        <w:rPr>
          <w:rFonts w:ascii="Times New Roman" w:hAnsi="Times New Roman"/>
        </w:rPr>
      </w:pPr>
      <w:r>
        <w:rPr>
          <w:rFonts w:ascii="Times New Roman" w:hAnsi="Times New Roman"/>
        </w:rPr>
        <w:t>3. 教师队伍建设</w:t>
      </w:r>
    </w:p>
    <w:p>
      <w:pPr>
        <w:ind w:firstLine="480" w:firstLineChars="200"/>
        <w:rPr>
          <w:szCs w:val="24"/>
        </w:rPr>
      </w:pPr>
      <w:bookmarkStart w:id="727" w:name="OLE_LINK11"/>
      <w:bookmarkStart w:id="728" w:name="OLE_LINK12"/>
      <w:r>
        <w:rPr>
          <w:szCs w:val="24"/>
        </w:rPr>
        <w:t>本专业现有专业教师10名，其中教授3名，副教授5名，讲师3名。全部教师都具有硕士以上学历，其中具有博士学位的8名，在读博士2名。表2为电子信息科学与技术专业师资队伍情况。</w:t>
      </w:r>
    </w:p>
    <w:p>
      <w:pPr>
        <w:pStyle w:val="25"/>
        <w:spacing w:line="240" w:lineRule="auto"/>
        <w:rPr>
          <w:b/>
          <w:bCs/>
          <w:color w:val="000000"/>
          <w:sz w:val="21"/>
          <w:szCs w:val="21"/>
        </w:rPr>
      </w:pPr>
      <w:r>
        <w:rPr>
          <w:b/>
          <w:bCs/>
          <w:color w:val="000000"/>
          <w:sz w:val="21"/>
          <w:szCs w:val="21"/>
        </w:rPr>
        <w:t>表2  电子信息科学与技术专业师资队伍情况</w:t>
      </w:r>
    </w:p>
    <w:tbl>
      <w:tblPr>
        <w:tblStyle w:val="17"/>
        <w:tblW w:w="4997" w:type="pct"/>
        <w:jc w:val="center"/>
        <w:tblLayout w:type="autofit"/>
        <w:tblCellMar>
          <w:top w:w="0" w:type="dxa"/>
          <w:left w:w="108" w:type="dxa"/>
          <w:bottom w:w="0" w:type="dxa"/>
          <w:right w:w="108" w:type="dxa"/>
        </w:tblCellMar>
      </w:tblPr>
      <w:tblGrid>
        <w:gridCol w:w="1064"/>
        <w:gridCol w:w="781"/>
        <w:gridCol w:w="1250"/>
        <w:gridCol w:w="1718"/>
        <w:gridCol w:w="781"/>
        <w:gridCol w:w="1248"/>
        <w:gridCol w:w="1029"/>
        <w:gridCol w:w="1185"/>
      </w:tblGrid>
      <w:tr>
        <w:tblPrEx>
          <w:tblCellMar>
            <w:top w:w="0" w:type="dxa"/>
            <w:left w:w="108" w:type="dxa"/>
            <w:bottom w:w="0" w:type="dxa"/>
            <w:right w:w="108" w:type="dxa"/>
          </w:tblCellMar>
        </w:tblPrEx>
        <w:trPr>
          <w:trHeight w:val="454" w:hRule="atLeast"/>
          <w:jc w:val="center"/>
        </w:trPr>
        <w:tc>
          <w:tcPr>
            <w:tcW w:w="587" w:type="pct"/>
            <w:tcBorders>
              <w:top w:val="single" w:color="auto" w:sz="4" w:space="0"/>
              <w:left w:val="single" w:color="auto" w:sz="4" w:space="0"/>
              <w:bottom w:val="single" w:color="auto" w:sz="4" w:space="0"/>
              <w:right w:val="single" w:color="auto" w:sz="4" w:space="0"/>
            </w:tcBorders>
            <w:vAlign w:val="center"/>
          </w:tcPr>
          <w:p>
            <w:pPr>
              <w:pStyle w:val="25"/>
              <w:spacing w:line="240" w:lineRule="auto"/>
              <w:rPr>
                <w:b/>
                <w:bCs/>
                <w:color w:val="000000"/>
                <w:sz w:val="21"/>
                <w:szCs w:val="21"/>
              </w:rPr>
            </w:pPr>
            <w:r>
              <w:rPr>
                <w:b/>
                <w:bCs/>
                <w:color w:val="000000"/>
                <w:sz w:val="21"/>
                <w:szCs w:val="21"/>
              </w:rPr>
              <w:t>姓  名</w:t>
            </w:r>
          </w:p>
        </w:tc>
        <w:tc>
          <w:tcPr>
            <w:tcW w:w="431" w:type="pct"/>
            <w:tcBorders>
              <w:top w:val="single" w:color="auto" w:sz="4" w:space="0"/>
              <w:left w:val="nil"/>
              <w:bottom w:val="single" w:color="auto" w:sz="4" w:space="0"/>
              <w:right w:val="single" w:color="auto" w:sz="4" w:space="0"/>
            </w:tcBorders>
            <w:vAlign w:val="center"/>
          </w:tcPr>
          <w:p>
            <w:pPr>
              <w:pStyle w:val="25"/>
              <w:spacing w:line="240" w:lineRule="auto"/>
              <w:rPr>
                <w:b/>
                <w:bCs/>
                <w:color w:val="000000"/>
                <w:sz w:val="21"/>
                <w:szCs w:val="21"/>
              </w:rPr>
            </w:pPr>
            <w:r>
              <w:rPr>
                <w:b/>
                <w:bCs/>
                <w:color w:val="000000"/>
                <w:sz w:val="21"/>
                <w:szCs w:val="21"/>
              </w:rPr>
              <w:t>性别</w:t>
            </w:r>
          </w:p>
        </w:tc>
        <w:tc>
          <w:tcPr>
            <w:tcW w:w="690" w:type="pct"/>
            <w:tcBorders>
              <w:top w:val="single" w:color="auto" w:sz="4" w:space="0"/>
              <w:left w:val="nil"/>
              <w:bottom w:val="single" w:color="auto" w:sz="4" w:space="0"/>
              <w:right w:val="single" w:color="auto" w:sz="4" w:space="0"/>
            </w:tcBorders>
            <w:vAlign w:val="center"/>
          </w:tcPr>
          <w:p>
            <w:pPr>
              <w:pStyle w:val="25"/>
              <w:spacing w:line="240" w:lineRule="auto"/>
              <w:rPr>
                <w:b/>
                <w:bCs/>
                <w:color w:val="000000"/>
                <w:sz w:val="21"/>
                <w:szCs w:val="21"/>
              </w:rPr>
            </w:pPr>
            <w:r>
              <w:rPr>
                <w:b/>
                <w:bCs/>
                <w:color w:val="000000"/>
                <w:sz w:val="21"/>
                <w:szCs w:val="21"/>
              </w:rPr>
              <w:t>出生年月</w:t>
            </w:r>
          </w:p>
        </w:tc>
        <w:tc>
          <w:tcPr>
            <w:tcW w:w="948" w:type="pct"/>
            <w:tcBorders>
              <w:top w:val="single" w:color="auto" w:sz="4" w:space="0"/>
              <w:left w:val="nil"/>
              <w:bottom w:val="single" w:color="auto" w:sz="4" w:space="0"/>
              <w:right w:val="single" w:color="auto" w:sz="4" w:space="0"/>
            </w:tcBorders>
            <w:vAlign w:val="center"/>
          </w:tcPr>
          <w:p>
            <w:pPr>
              <w:pStyle w:val="25"/>
              <w:spacing w:line="240" w:lineRule="auto"/>
              <w:rPr>
                <w:b/>
                <w:bCs/>
                <w:color w:val="000000"/>
                <w:sz w:val="21"/>
                <w:szCs w:val="21"/>
              </w:rPr>
            </w:pPr>
            <w:r>
              <w:rPr>
                <w:b/>
                <w:bCs/>
                <w:color w:val="000000"/>
                <w:sz w:val="21"/>
                <w:szCs w:val="21"/>
              </w:rPr>
              <w:t>毕业院校</w:t>
            </w:r>
          </w:p>
        </w:tc>
        <w:tc>
          <w:tcPr>
            <w:tcW w:w="431" w:type="pct"/>
            <w:tcBorders>
              <w:top w:val="single" w:color="auto" w:sz="4" w:space="0"/>
              <w:left w:val="nil"/>
              <w:bottom w:val="single" w:color="auto" w:sz="4" w:space="0"/>
              <w:right w:val="single" w:color="auto" w:sz="4" w:space="0"/>
            </w:tcBorders>
            <w:vAlign w:val="center"/>
          </w:tcPr>
          <w:p>
            <w:pPr>
              <w:pStyle w:val="25"/>
              <w:spacing w:line="240" w:lineRule="auto"/>
              <w:rPr>
                <w:b/>
                <w:bCs/>
                <w:color w:val="000000"/>
                <w:sz w:val="21"/>
                <w:szCs w:val="21"/>
              </w:rPr>
            </w:pPr>
            <w:r>
              <w:rPr>
                <w:b/>
                <w:bCs/>
                <w:color w:val="000000"/>
                <w:sz w:val="21"/>
                <w:szCs w:val="21"/>
              </w:rPr>
              <w:t>学位</w:t>
            </w:r>
          </w:p>
        </w:tc>
        <w:tc>
          <w:tcPr>
            <w:tcW w:w="689" w:type="pct"/>
            <w:tcBorders>
              <w:top w:val="single" w:color="auto" w:sz="4" w:space="0"/>
              <w:left w:val="nil"/>
              <w:bottom w:val="single" w:color="auto" w:sz="4" w:space="0"/>
              <w:right w:val="single" w:color="auto" w:sz="4" w:space="0"/>
            </w:tcBorders>
            <w:vAlign w:val="center"/>
          </w:tcPr>
          <w:p>
            <w:pPr>
              <w:pStyle w:val="25"/>
              <w:spacing w:line="240" w:lineRule="auto"/>
              <w:rPr>
                <w:b/>
                <w:bCs/>
                <w:color w:val="000000"/>
                <w:sz w:val="21"/>
                <w:szCs w:val="21"/>
              </w:rPr>
            </w:pPr>
            <w:r>
              <w:rPr>
                <w:b/>
                <w:bCs/>
                <w:color w:val="000000"/>
                <w:sz w:val="21"/>
                <w:szCs w:val="21"/>
              </w:rPr>
              <w:t>毕业时间</w:t>
            </w:r>
          </w:p>
        </w:tc>
        <w:tc>
          <w:tcPr>
            <w:tcW w:w="568" w:type="pct"/>
            <w:tcBorders>
              <w:top w:val="single" w:color="auto" w:sz="4" w:space="0"/>
              <w:left w:val="nil"/>
              <w:bottom w:val="single" w:color="auto" w:sz="4" w:space="0"/>
              <w:right w:val="single" w:color="auto" w:sz="4" w:space="0"/>
            </w:tcBorders>
            <w:vAlign w:val="center"/>
          </w:tcPr>
          <w:p>
            <w:pPr>
              <w:pStyle w:val="25"/>
              <w:spacing w:line="240" w:lineRule="auto"/>
              <w:rPr>
                <w:b/>
                <w:bCs/>
                <w:color w:val="000000"/>
                <w:sz w:val="21"/>
                <w:szCs w:val="21"/>
              </w:rPr>
            </w:pPr>
            <w:r>
              <w:rPr>
                <w:b/>
                <w:bCs/>
                <w:color w:val="000000"/>
                <w:sz w:val="21"/>
                <w:szCs w:val="21"/>
              </w:rPr>
              <w:t>职称</w:t>
            </w:r>
          </w:p>
        </w:tc>
        <w:tc>
          <w:tcPr>
            <w:tcW w:w="654" w:type="pct"/>
            <w:tcBorders>
              <w:top w:val="single" w:color="auto" w:sz="4" w:space="0"/>
              <w:left w:val="nil"/>
              <w:bottom w:val="single" w:color="auto" w:sz="4" w:space="0"/>
              <w:right w:val="single" w:color="auto" w:sz="4" w:space="0"/>
            </w:tcBorders>
            <w:vAlign w:val="center"/>
          </w:tcPr>
          <w:p>
            <w:pPr>
              <w:pStyle w:val="25"/>
              <w:spacing w:line="240" w:lineRule="auto"/>
              <w:rPr>
                <w:b/>
                <w:bCs/>
                <w:color w:val="000000"/>
                <w:sz w:val="21"/>
                <w:szCs w:val="21"/>
              </w:rPr>
            </w:pPr>
            <w:r>
              <w:rPr>
                <w:b/>
                <w:bCs/>
                <w:color w:val="000000"/>
                <w:sz w:val="21"/>
                <w:szCs w:val="21"/>
              </w:rPr>
              <w:t>来校时间</w:t>
            </w:r>
          </w:p>
        </w:tc>
      </w:tr>
      <w:tr>
        <w:tblPrEx>
          <w:tblCellMar>
            <w:top w:w="0" w:type="dxa"/>
            <w:left w:w="108" w:type="dxa"/>
            <w:bottom w:w="0" w:type="dxa"/>
            <w:right w:w="108" w:type="dxa"/>
          </w:tblCellMar>
        </w:tblPrEx>
        <w:trPr>
          <w:trHeight w:val="454" w:hRule="atLeast"/>
          <w:jc w:val="center"/>
        </w:trPr>
        <w:tc>
          <w:tcPr>
            <w:tcW w:w="587" w:type="pct"/>
            <w:tcBorders>
              <w:top w:val="nil"/>
              <w:left w:val="single" w:color="auto" w:sz="4" w:space="0"/>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王成义</w:t>
            </w:r>
          </w:p>
        </w:tc>
        <w:tc>
          <w:tcPr>
            <w:tcW w:w="431"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男</w:t>
            </w:r>
          </w:p>
        </w:tc>
        <w:tc>
          <w:tcPr>
            <w:tcW w:w="690"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1970.10</w:t>
            </w:r>
          </w:p>
        </w:tc>
        <w:tc>
          <w:tcPr>
            <w:tcW w:w="948"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山东科技大学</w:t>
            </w:r>
          </w:p>
        </w:tc>
        <w:tc>
          <w:tcPr>
            <w:tcW w:w="431"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硕士</w:t>
            </w:r>
          </w:p>
        </w:tc>
        <w:tc>
          <w:tcPr>
            <w:tcW w:w="689"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1998.07</w:t>
            </w:r>
          </w:p>
        </w:tc>
        <w:tc>
          <w:tcPr>
            <w:tcW w:w="568"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教授</w:t>
            </w:r>
          </w:p>
        </w:tc>
        <w:tc>
          <w:tcPr>
            <w:tcW w:w="654"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2005.7</w:t>
            </w:r>
          </w:p>
        </w:tc>
      </w:tr>
      <w:tr>
        <w:tblPrEx>
          <w:tblCellMar>
            <w:top w:w="0" w:type="dxa"/>
            <w:left w:w="108" w:type="dxa"/>
            <w:bottom w:w="0" w:type="dxa"/>
            <w:right w:w="108" w:type="dxa"/>
          </w:tblCellMar>
        </w:tblPrEx>
        <w:trPr>
          <w:trHeight w:val="454" w:hRule="atLeast"/>
          <w:jc w:val="center"/>
        </w:trPr>
        <w:tc>
          <w:tcPr>
            <w:tcW w:w="587" w:type="pct"/>
            <w:tcBorders>
              <w:top w:val="nil"/>
              <w:left w:val="single" w:color="auto" w:sz="4" w:space="0"/>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郭秀梅</w:t>
            </w:r>
          </w:p>
        </w:tc>
        <w:tc>
          <w:tcPr>
            <w:tcW w:w="431"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女</w:t>
            </w:r>
          </w:p>
        </w:tc>
        <w:tc>
          <w:tcPr>
            <w:tcW w:w="690"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1979.7</w:t>
            </w:r>
          </w:p>
        </w:tc>
        <w:tc>
          <w:tcPr>
            <w:tcW w:w="948"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山东大学</w:t>
            </w:r>
          </w:p>
        </w:tc>
        <w:tc>
          <w:tcPr>
            <w:tcW w:w="431"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博士</w:t>
            </w:r>
          </w:p>
        </w:tc>
        <w:tc>
          <w:tcPr>
            <w:tcW w:w="689"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2014.07</w:t>
            </w:r>
          </w:p>
        </w:tc>
        <w:tc>
          <w:tcPr>
            <w:tcW w:w="568"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副教授</w:t>
            </w:r>
          </w:p>
        </w:tc>
        <w:tc>
          <w:tcPr>
            <w:tcW w:w="654"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2003.7</w:t>
            </w:r>
          </w:p>
        </w:tc>
      </w:tr>
      <w:tr>
        <w:tblPrEx>
          <w:tblCellMar>
            <w:top w:w="0" w:type="dxa"/>
            <w:left w:w="108" w:type="dxa"/>
            <w:bottom w:w="0" w:type="dxa"/>
            <w:right w:w="108" w:type="dxa"/>
          </w:tblCellMar>
        </w:tblPrEx>
        <w:trPr>
          <w:trHeight w:val="454" w:hRule="atLeast"/>
          <w:jc w:val="center"/>
        </w:trPr>
        <w:tc>
          <w:tcPr>
            <w:tcW w:w="587" w:type="pct"/>
            <w:tcBorders>
              <w:top w:val="nil"/>
              <w:left w:val="single" w:color="auto" w:sz="4" w:space="0"/>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王文宁</w:t>
            </w:r>
          </w:p>
        </w:tc>
        <w:tc>
          <w:tcPr>
            <w:tcW w:w="431"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女</w:t>
            </w:r>
          </w:p>
        </w:tc>
        <w:tc>
          <w:tcPr>
            <w:tcW w:w="690"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1979.12</w:t>
            </w:r>
          </w:p>
        </w:tc>
        <w:tc>
          <w:tcPr>
            <w:tcW w:w="948"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山东大学</w:t>
            </w:r>
          </w:p>
        </w:tc>
        <w:tc>
          <w:tcPr>
            <w:tcW w:w="431"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硕士</w:t>
            </w:r>
          </w:p>
        </w:tc>
        <w:tc>
          <w:tcPr>
            <w:tcW w:w="689"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2005.07</w:t>
            </w:r>
          </w:p>
        </w:tc>
        <w:tc>
          <w:tcPr>
            <w:tcW w:w="568"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讲师</w:t>
            </w:r>
          </w:p>
        </w:tc>
        <w:tc>
          <w:tcPr>
            <w:tcW w:w="654"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2005.7</w:t>
            </w:r>
          </w:p>
        </w:tc>
      </w:tr>
      <w:tr>
        <w:tblPrEx>
          <w:tblCellMar>
            <w:top w:w="0" w:type="dxa"/>
            <w:left w:w="108" w:type="dxa"/>
            <w:bottom w:w="0" w:type="dxa"/>
            <w:right w:w="108" w:type="dxa"/>
          </w:tblCellMar>
        </w:tblPrEx>
        <w:trPr>
          <w:trHeight w:val="454" w:hRule="atLeast"/>
          <w:jc w:val="center"/>
        </w:trPr>
        <w:tc>
          <w:tcPr>
            <w:tcW w:w="587" w:type="pct"/>
            <w:tcBorders>
              <w:top w:val="nil"/>
              <w:left w:val="single" w:color="auto" w:sz="4" w:space="0"/>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李爱凤</w:t>
            </w:r>
          </w:p>
        </w:tc>
        <w:tc>
          <w:tcPr>
            <w:tcW w:w="431"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女</w:t>
            </w:r>
          </w:p>
        </w:tc>
        <w:tc>
          <w:tcPr>
            <w:tcW w:w="690"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1979.9</w:t>
            </w:r>
          </w:p>
        </w:tc>
        <w:tc>
          <w:tcPr>
            <w:tcW w:w="948"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山东大学</w:t>
            </w:r>
          </w:p>
        </w:tc>
        <w:tc>
          <w:tcPr>
            <w:tcW w:w="431"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博士</w:t>
            </w:r>
          </w:p>
        </w:tc>
        <w:tc>
          <w:tcPr>
            <w:tcW w:w="689"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2008.06</w:t>
            </w:r>
          </w:p>
        </w:tc>
        <w:tc>
          <w:tcPr>
            <w:tcW w:w="568"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副教授</w:t>
            </w:r>
          </w:p>
        </w:tc>
        <w:tc>
          <w:tcPr>
            <w:tcW w:w="654"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2008.7</w:t>
            </w:r>
          </w:p>
        </w:tc>
      </w:tr>
      <w:tr>
        <w:tblPrEx>
          <w:tblCellMar>
            <w:top w:w="0" w:type="dxa"/>
            <w:left w:w="108" w:type="dxa"/>
            <w:bottom w:w="0" w:type="dxa"/>
            <w:right w:w="108" w:type="dxa"/>
          </w:tblCellMar>
        </w:tblPrEx>
        <w:trPr>
          <w:trHeight w:val="454" w:hRule="atLeast"/>
          <w:jc w:val="center"/>
        </w:trPr>
        <w:tc>
          <w:tcPr>
            <w:tcW w:w="587" w:type="pct"/>
            <w:tcBorders>
              <w:top w:val="nil"/>
              <w:left w:val="single" w:color="auto" w:sz="4" w:space="0"/>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赵秀艳</w:t>
            </w:r>
          </w:p>
        </w:tc>
        <w:tc>
          <w:tcPr>
            <w:tcW w:w="431"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女</w:t>
            </w:r>
          </w:p>
        </w:tc>
        <w:tc>
          <w:tcPr>
            <w:tcW w:w="690"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1977.7</w:t>
            </w:r>
          </w:p>
        </w:tc>
        <w:tc>
          <w:tcPr>
            <w:tcW w:w="948"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山东农业大学</w:t>
            </w:r>
          </w:p>
        </w:tc>
        <w:tc>
          <w:tcPr>
            <w:tcW w:w="431"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博士</w:t>
            </w:r>
          </w:p>
        </w:tc>
        <w:tc>
          <w:tcPr>
            <w:tcW w:w="689"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2017.07</w:t>
            </w:r>
          </w:p>
        </w:tc>
        <w:tc>
          <w:tcPr>
            <w:tcW w:w="568"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副教授</w:t>
            </w:r>
          </w:p>
        </w:tc>
        <w:tc>
          <w:tcPr>
            <w:tcW w:w="654"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2009.11</w:t>
            </w:r>
          </w:p>
        </w:tc>
      </w:tr>
      <w:tr>
        <w:tblPrEx>
          <w:tblCellMar>
            <w:top w:w="0" w:type="dxa"/>
            <w:left w:w="108" w:type="dxa"/>
            <w:bottom w:w="0" w:type="dxa"/>
            <w:right w:w="108" w:type="dxa"/>
          </w:tblCellMar>
        </w:tblPrEx>
        <w:trPr>
          <w:trHeight w:val="454" w:hRule="atLeast"/>
          <w:jc w:val="center"/>
        </w:trPr>
        <w:tc>
          <w:tcPr>
            <w:tcW w:w="587" w:type="pct"/>
            <w:tcBorders>
              <w:top w:val="nil"/>
              <w:left w:val="single" w:color="auto" w:sz="4" w:space="0"/>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兰  鹏</w:t>
            </w:r>
          </w:p>
        </w:tc>
        <w:tc>
          <w:tcPr>
            <w:tcW w:w="431"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男</w:t>
            </w:r>
          </w:p>
        </w:tc>
        <w:tc>
          <w:tcPr>
            <w:tcW w:w="690"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1981.1</w:t>
            </w:r>
          </w:p>
        </w:tc>
        <w:tc>
          <w:tcPr>
            <w:tcW w:w="948"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山东大学</w:t>
            </w:r>
          </w:p>
        </w:tc>
        <w:tc>
          <w:tcPr>
            <w:tcW w:w="431"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博士</w:t>
            </w:r>
          </w:p>
        </w:tc>
        <w:tc>
          <w:tcPr>
            <w:tcW w:w="689"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2009.07</w:t>
            </w:r>
          </w:p>
        </w:tc>
        <w:tc>
          <w:tcPr>
            <w:tcW w:w="568"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教授</w:t>
            </w:r>
          </w:p>
        </w:tc>
        <w:tc>
          <w:tcPr>
            <w:tcW w:w="654"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2009.7</w:t>
            </w:r>
          </w:p>
        </w:tc>
      </w:tr>
      <w:tr>
        <w:tblPrEx>
          <w:tblCellMar>
            <w:top w:w="0" w:type="dxa"/>
            <w:left w:w="108" w:type="dxa"/>
            <w:bottom w:w="0" w:type="dxa"/>
            <w:right w:w="108" w:type="dxa"/>
          </w:tblCellMar>
        </w:tblPrEx>
        <w:trPr>
          <w:trHeight w:val="454" w:hRule="atLeast"/>
          <w:jc w:val="center"/>
        </w:trPr>
        <w:tc>
          <w:tcPr>
            <w:tcW w:w="587" w:type="pct"/>
            <w:tcBorders>
              <w:top w:val="nil"/>
              <w:left w:val="single" w:color="auto" w:sz="4" w:space="0"/>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孙丰刚</w:t>
            </w:r>
          </w:p>
        </w:tc>
        <w:tc>
          <w:tcPr>
            <w:tcW w:w="431"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男</w:t>
            </w:r>
          </w:p>
        </w:tc>
        <w:tc>
          <w:tcPr>
            <w:tcW w:w="690"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1982.7</w:t>
            </w:r>
          </w:p>
        </w:tc>
        <w:tc>
          <w:tcPr>
            <w:tcW w:w="948"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解放军理工大学</w:t>
            </w:r>
          </w:p>
        </w:tc>
        <w:tc>
          <w:tcPr>
            <w:tcW w:w="431"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博士</w:t>
            </w:r>
          </w:p>
        </w:tc>
        <w:tc>
          <w:tcPr>
            <w:tcW w:w="689"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2017.07</w:t>
            </w:r>
          </w:p>
        </w:tc>
        <w:tc>
          <w:tcPr>
            <w:tcW w:w="568"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副教授</w:t>
            </w:r>
          </w:p>
        </w:tc>
        <w:tc>
          <w:tcPr>
            <w:tcW w:w="654"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2009.11</w:t>
            </w:r>
          </w:p>
        </w:tc>
      </w:tr>
      <w:tr>
        <w:tblPrEx>
          <w:tblCellMar>
            <w:top w:w="0" w:type="dxa"/>
            <w:left w:w="108" w:type="dxa"/>
            <w:bottom w:w="0" w:type="dxa"/>
            <w:right w:w="108" w:type="dxa"/>
          </w:tblCellMar>
        </w:tblPrEx>
        <w:trPr>
          <w:trHeight w:val="454" w:hRule="atLeast"/>
          <w:jc w:val="center"/>
        </w:trPr>
        <w:tc>
          <w:tcPr>
            <w:tcW w:w="587" w:type="pct"/>
            <w:tcBorders>
              <w:top w:val="nil"/>
              <w:left w:val="single" w:color="auto" w:sz="4" w:space="0"/>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孙  波</w:t>
            </w:r>
          </w:p>
        </w:tc>
        <w:tc>
          <w:tcPr>
            <w:tcW w:w="431"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男</w:t>
            </w:r>
          </w:p>
        </w:tc>
        <w:tc>
          <w:tcPr>
            <w:tcW w:w="690"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1981.7</w:t>
            </w:r>
          </w:p>
        </w:tc>
        <w:tc>
          <w:tcPr>
            <w:tcW w:w="948"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山东农业大学</w:t>
            </w:r>
          </w:p>
        </w:tc>
        <w:tc>
          <w:tcPr>
            <w:tcW w:w="431"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博士</w:t>
            </w:r>
          </w:p>
        </w:tc>
        <w:tc>
          <w:tcPr>
            <w:tcW w:w="689"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2021.7</w:t>
            </w:r>
          </w:p>
        </w:tc>
        <w:tc>
          <w:tcPr>
            <w:tcW w:w="568"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讲师</w:t>
            </w:r>
          </w:p>
        </w:tc>
        <w:tc>
          <w:tcPr>
            <w:tcW w:w="654" w:type="pct"/>
            <w:tcBorders>
              <w:top w:val="nil"/>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2012.7</w:t>
            </w:r>
          </w:p>
        </w:tc>
      </w:tr>
      <w:tr>
        <w:tblPrEx>
          <w:tblCellMar>
            <w:top w:w="0" w:type="dxa"/>
            <w:left w:w="108" w:type="dxa"/>
            <w:bottom w:w="0" w:type="dxa"/>
            <w:right w:w="108" w:type="dxa"/>
          </w:tblCellMar>
        </w:tblPrEx>
        <w:trPr>
          <w:trHeight w:val="454" w:hRule="atLeast"/>
          <w:jc w:val="center"/>
        </w:trPr>
        <w:tc>
          <w:tcPr>
            <w:tcW w:w="587" w:type="pct"/>
            <w:tcBorders>
              <w:top w:val="single" w:color="auto" w:sz="4" w:space="0"/>
              <w:left w:val="single" w:color="auto" w:sz="4" w:space="0"/>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张  萍</w:t>
            </w:r>
          </w:p>
        </w:tc>
        <w:tc>
          <w:tcPr>
            <w:tcW w:w="431" w:type="pct"/>
            <w:tcBorders>
              <w:top w:val="single" w:color="auto" w:sz="4" w:space="0"/>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女</w:t>
            </w:r>
          </w:p>
        </w:tc>
        <w:tc>
          <w:tcPr>
            <w:tcW w:w="690" w:type="pct"/>
            <w:tcBorders>
              <w:top w:val="single" w:color="auto" w:sz="4" w:space="0"/>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1988.9</w:t>
            </w:r>
          </w:p>
        </w:tc>
        <w:tc>
          <w:tcPr>
            <w:tcW w:w="948" w:type="pct"/>
            <w:tcBorders>
              <w:top w:val="single" w:color="auto" w:sz="4" w:space="0"/>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上海大学</w:t>
            </w:r>
          </w:p>
        </w:tc>
        <w:tc>
          <w:tcPr>
            <w:tcW w:w="431" w:type="pct"/>
            <w:tcBorders>
              <w:top w:val="single" w:color="auto" w:sz="4" w:space="0"/>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硕士</w:t>
            </w:r>
          </w:p>
        </w:tc>
        <w:tc>
          <w:tcPr>
            <w:tcW w:w="689" w:type="pct"/>
            <w:tcBorders>
              <w:top w:val="single" w:color="auto" w:sz="4" w:space="0"/>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2013.7</w:t>
            </w:r>
          </w:p>
        </w:tc>
        <w:tc>
          <w:tcPr>
            <w:tcW w:w="568" w:type="pct"/>
            <w:tcBorders>
              <w:top w:val="single" w:color="auto" w:sz="4" w:space="0"/>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讲师</w:t>
            </w:r>
          </w:p>
        </w:tc>
        <w:tc>
          <w:tcPr>
            <w:tcW w:w="654" w:type="pct"/>
            <w:tcBorders>
              <w:top w:val="single" w:color="auto" w:sz="4" w:space="0"/>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2014.1</w:t>
            </w:r>
          </w:p>
        </w:tc>
      </w:tr>
      <w:tr>
        <w:tblPrEx>
          <w:tblCellMar>
            <w:top w:w="0" w:type="dxa"/>
            <w:left w:w="108" w:type="dxa"/>
            <w:bottom w:w="0" w:type="dxa"/>
            <w:right w:w="108" w:type="dxa"/>
          </w:tblCellMar>
        </w:tblPrEx>
        <w:trPr>
          <w:trHeight w:val="454" w:hRule="atLeast"/>
          <w:jc w:val="center"/>
        </w:trPr>
        <w:tc>
          <w:tcPr>
            <w:tcW w:w="587" w:type="pct"/>
            <w:tcBorders>
              <w:top w:val="single" w:color="auto" w:sz="4" w:space="0"/>
              <w:left w:val="single" w:color="auto" w:sz="4" w:space="0"/>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吴日恒</w:t>
            </w:r>
          </w:p>
        </w:tc>
        <w:tc>
          <w:tcPr>
            <w:tcW w:w="431" w:type="pct"/>
            <w:tcBorders>
              <w:top w:val="single" w:color="auto" w:sz="4" w:space="0"/>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男</w:t>
            </w:r>
          </w:p>
        </w:tc>
        <w:tc>
          <w:tcPr>
            <w:tcW w:w="690" w:type="pct"/>
            <w:tcBorders>
              <w:top w:val="single" w:color="auto" w:sz="4" w:space="0"/>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1973.10</w:t>
            </w:r>
          </w:p>
        </w:tc>
        <w:tc>
          <w:tcPr>
            <w:tcW w:w="948" w:type="pct"/>
            <w:tcBorders>
              <w:top w:val="single" w:color="auto" w:sz="4" w:space="0"/>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北京理工大学</w:t>
            </w:r>
          </w:p>
        </w:tc>
        <w:tc>
          <w:tcPr>
            <w:tcW w:w="431" w:type="pct"/>
            <w:tcBorders>
              <w:top w:val="single" w:color="auto" w:sz="4" w:space="0"/>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博士</w:t>
            </w:r>
          </w:p>
        </w:tc>
        <w:tc>
          <w:tcPr>
            <w:tcW w:w="689" w:type="pct"/>
            <w:tcBorders>
              <w:top w:val="single" w:color="auto" w:sz="4" w:space="0"/>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2007.07</w:t>
            </w:r>
          </w:p>
        </w:tc>
        <w:tc>
          <w:tcPr>
            <w:tcW w:w="568" w:type="pct"/>
            <w:tcBorders>
              <w:top w:val="single" w:color="auto" w:sz="4" w:space="0"/>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教授</w:t>
            </w:r>
          </w:p>
        </w:tc>
        <w:tc>
          <w:tcPr>
            <w:tcW w:w="654" w:type="pct"/>
            <w:tcBorders>
              <w:top w:val="single" w:color="auto" w:sz="4" w:space="0"/>
              <w:left w:val="nil"/>
              <w:bottom w:val="single" w:color="auto" w:sz="4" w:space="0"/>
              <w:right w:val="single" w:color="auto" w:sz="4" w:space="0"/>
            </w:tcBorders>
            <w:vAlign w:val="center"/>
          </w:tcPr>
          <w:p>
            <w:pPr>
              <w:pStyle w:val="25"/>
              <w:spacing w:line="240" w:lineRule="auto"/>
              <w:rPr>
                <w:color w:val="000000"/>
                <w:sz w:val="21"/>
                <w:szCs w:val="21"/>
              </w:rPr>
            </w:pPr>
            <w:r>
              <w:rPr>
                <w:color w:val="000000"/>
                <w:sz w:val="21"/>
                <w:szCs w:val="21"/>
              </w:rPr>
              <w:t>2022.09</w:t>
            </w:r>
          </w:p>
        </w:tc>
      </w:tr>
      <w:bookmarkEnd w:id="727"/>
      <w:bookmarkEnd w:id="728"/>
    </w:tbl>
    <w:p>
      <w:pPr>
        <w:pStyle w:val="45"/>
        <w:ind w:firstLine="480"/>
        <w:rPr>
          <w:rFonts w:ascii="Times New Roman" w:hAnsi="Times New Roman"/>
        </w:rPr>
      </w:pPr>
      <w:r>
        <w:rPr>
          <w:rFonts w:ascii="Times New Roman" w:hAnsi="Times New Roman"/>
        </w:rPr>
        <w:t>4. 实习基地</w:t>
      </w:r>
    </w:p>
    <w:p>
      <w:pPr>
        <w:ind w:firstLine="480" w:firstLineChars="200"/>
        <w:rPr>
          <w:szCs w:val="24"/>
        </w:rPr>
      </w:pPr>
      <w:r>
        <w:rPr>
          <w:szCs w:val="24"/>
        </w:rPr>
        <w:t>截止到2022年9月，电子信息科学与技术专业现有13个校外实习基地：山东众志电子有限公司（泰安）、泰安轻松表计有限公司、济南达内软件有限公司、泰安东华合创软件有限公司、泰安联通校园服务中心、惠普-济宁产业基地、北京千锋互联科技有限公司、北京华清远见科技发展有限公司济南分公司、黄河三角洲（滨州）国家农业科技园区、青岛思途共享科技信息服务有限公司、北京佳格天地科技有限公司。有1个校内实习基地南校区图信楼楼412实验室。这些实习基地基本满足了学生的各项实践活动。表3为电子信息科学与技术专业实习基地建设情况。</w:t>
      </w:r>
      <w:bookmarkStart w:id="729" w:name="OLE_LINK16"/>
      <w:bookmarkStart w:id="730" w:name="OLE_LINK17"/>
    </w:p>
    <w:p>
      <w:pPr>
        <w:pStyle w:val="25"/>
        <w:spacing w:line="240" w:lineRule="auto"/>
        <w:rPr>
          <w:b/>
          <w:bCs/>
          <w:color w:val="000000"/>
          <w:sz w:val="21"/>
          <w:szCs w:val="21"/>
        </w:rPr>
      </w:pPr>
      <w:r>
        <w:rPr>
          <w:b/>
          <w:bCs/>
          <w:color w:val="000000"/>
          <w:sz w:val="21"/>
          <w:szCs w:val="21"/>
        </w:rPr>
        <w:t>表3  电子信息科学与技术专业实习基地情况</w:t>
      </w:r>
      <w:bookmarkEnd w:id="729"/>
      <w:bookmarkEnd w:id="730"/>
    </w:p>
    <w:tbl>
      <w:tblPr>
        <w:tblStyle w:val="17"/>
        <w:tblW w:w="91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7"/>
        <w:gridCol w:w="6032"/>
        <w:gridCol w:w="1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2117" w:type="dxa"/>
            <w:vAlign w:val="center"/>
          </w:tcPr>
          <w:p>
            <w:pPr>
              <w:pStyle w:val="25"/>
              <w:spacing w:line="240" w:lineRule="auto"/>
              <w:rPr>
                <w:b/>
                <w:bCs/>
                <w:color w:val="000000"/>
                <w:sz w:val="21"/>
                <w:szCs w:val="21"/>
              </w:rPr>
            </w:pPr>
            <w:r>
              <w:rPr>
                <w:b/>
                <w:bCs/>
                <w:color w:val="000000"/>
                <w:sz w:val="21"/>
                <w:szCs w:val="21"/>
              </w:rPr>
              <w:t>年度</w:t>
            </w:r>
          </w:p>
        </w:tc>
        <w:tc>
          <w:tcPr>
            <w:tcW w:w="6032" w:type="dxa"/>
            <w:vAlign w:val="center"/>
          </w:tcPr>
          <w:p>
            <w:pPr>
              <w:pStyle w:val="25"/>
              <w:spacing w:line="240" w:lineRule="auto"/>
              <w:rPr>
                <w:b/>
                <w:bCs/>
                <w:color w:val="000000"/>
                <w:sz w:val="21"/>
                <w:szCs w:val="21"/>
              </w:rPr>
            </w:pPr>
            <w:r>
              <w:rPr>
                <w:b/>
                <w:bCs/>
                <w:color w:val="000000"/>
                <w:sz w:val="21"/>
                <w:szCs w:val="21"/>
              </w:rPr>
              <w:t>实习基地名称</w:t>
            </w:r>
          </w:p>
        </w:tc>
        <w:tc>
          <w:tcPr>
            <w:tcW w:w="1026" w:type="dxa"/>
            <w:vAlign w:val="center"/>
          </w:tcPr>
          <w:p>
            <w:pPr>
              <w:pStyle w:val="25"/>
              <w:spacing w:line="240" w:lineRule="auto"/>
              <w:rPr>
                <w:b/>
                <w:bCs/>
                <w:color w:val="000000"/>
                <w:sz w:val="21"/>
                <w:szCs w:val="21"/>
              </w:rPr>
            </w:pPr>
            <w:r>
              <w:rPr>
                <w:b/>
                <w:bCs/>
                <w:color w:val="000000"/>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17" w:type="dxa"/>
            <w:vAlign w:val="center"/>
          </w:tcPr>
          <w:p>
            <w:pPr>
              <w:pStyle w:val="25"/>
              <w:spacing w:line="240" w:lineRule="auto"/>
              <w:rPr>
                <w:color w:val="000000"/>
                <w:sz w:val="21"/>
                <w:szCs w:val="21"/>
              </w:rPr>
            </w:pPr>
            <w:r>
              <w:rPr>
                <w:color w:val="000000"/>
                <w:sz w:val="21"/>
                <w:szCs w:val="21"/>
              </w:rPr>
              <w:t>2011.9前</w:t>
            </w:r>
          </w:p>
        </w:tc>
        <w:tc>
          <w:tcPr>
            <w:tcW w:w="6032" w:type="dxa"/>
            <w:vAlign w:val="center"/>
          </w:tcPr>
          <w:p>
            <w:pPr>
              <w:pStyle w:val="25"/>
              <w:spacing w:line="240" w:lineRule="auto"/>
              <w:jc w:val="both"/>
              <w:rPr>
                <w:color w:val="000000"/>
                <w:sz w:val="21"/>
                <w:szCs w:val="21"/>
              </w:rPr>
            </w:pPr>
            <w:r>
              <w:rPr>
                <w:color w:val="000000"/>
                <w:sz w:val="21"/>
                <w:szCs w:val="21"/>
              </w:rPr>
              <w:t>电子综合实习1（文理大楼405）（2015.7撤销）</w:t>
            </w:r>
          </w:p>
        </w:tc>
        <w:tc>
          <w:tcPr>
            <w:tcW w:w="1026" w:type="dxa"/>
            <w:vAlign w:val="center"/>
          </w:tcPr>
          <w:p>
            <w:pPr>
              <w:pStyle w:val="25"/>
              <w:spacing w:line="240" w:lineRule="auto"/>
              <w:rPr>
                <w:color w:val="000000"/>
                <w:sz w:val="21"/>
                <w:szCs w:val="21"/>
              </w:rPr>
            </w:pPr>
            <w:r>
              <w:rPr>
                <w:color w:val="000000"/>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17" w:type="dxa"/>
            <w:vAlign w:val="center"/>
          </w:tcPr>
          <w:p>
            <w:pPr>
              <w:pStyle w:val="25"/>
              <w:spacing w:line="240" w:lineRule="auto"/>
              <w:rPr>
                <w:color w:val="000000"/>
                <w:sz w:val="21"/>
                <w:szCs w:val="21"/>
              </w:rPr>
            </w:pPr>
            <w:r>
              <w:rPr>
                <w:color w:val="000000"/>
                <w:sz w:val="21"/>
                <w:szCs w:val="21"/>
              </w:rPr>
              <w:t>2011.9-2012.7</w:t>
            </w:r>
          </w:p>
        </w:tc>
        <w:tc>
          <w:tcPr>
            <w:tcW w:w="6032" w:type="dxa"/>
            <w:vAlign w:val="center"/>
          </w:tcPr>
          <w:p>
            <w:pPr>
              <w:pStyle w:val="25"/>
              <w:spacing w:line="300" w:lineRule="exact"/>
              <w:jc w:val="both"/>
              <w:rPr>
                <w:color w:val="000000"/>
                <w:sz w:val="21"/>
                <w:szCs w:val="21"/>
              </w:rPr>
            </w:pPr>
            <w:r>
              <w:rPr>
                <w:color w:val="000000"/>
                <w:sz w:val="21"/>
                <w:szCs w:val="21"/>
              </w:rPr>
              <w:t>山东众志电子有限公司（泰安）、泰安轻松表计有限公司（泰安）、电子综合实习1（文理大楼405）</w:t>
            </w:r>
          </w:p>
        </w:tc>
        <w:tc>
          <w:tcPr>
            <w:tcW w:w="1026" w:type="dxa"/>
            <w:vAlign w:val="center"/>
          </w:tcPr>
          <w:p>
            <w:pPr>
              <w:pStyle w:val="25"/>
              <w:spacing w:line="240" w:lineRule="auto"/>
              <w:rPr>
                <w:color w:val="000000"/>
                <w:sz w:val="21"/>
                <w:szCs w:val="21"/>
              </w:rPr>
            </w:pPr>
            <w:r>
              <w:rPr>
                <w:color w:val="000000"/>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17" w:type="dxa"/>
            <w:vAlign w:val="center"/>
          </w:tcPr>
          <w:p>
            <w:pPr>
              <w:pStyle w:val="25"/>
              <w:spacing w:line="240" w:lineRule="auto"/>
              <w:rPr>
                <w:color w:val="000000"/>
                <w:sz w:val="21"/>
                <w:szCs w:val="21"/>
              </w:rPr>
            </w:pPr>
            <w:r>
              <w:rPr>
                <w:color w:val="000000"/>
                <w:sz w:val="21"/>
                <w:szCs w:val="21"/>
              </w:rPr>
              <w:t>2012.9-2013.7</w:t>
            </w:r>
          </w:p>
        </w:tc>
        <w:tc>
          <w:tcPr>
            <w:tcW w:w="6032" w:type="dxa"/>
            <w:vAlign w:val="center"/>
          </w:tcPr>
          <w:p>
            <w:pPr>
              <w:pStyle w:val="25"/>
              <w:spacing w:line="300" w:lineRule="exact"/>
              <w:jc w:val="both"/>
              <w:rPr>
                <w:color w:val="000000"/>
                <w:sz w:val="21"/>
                <w:szCs w:val="21"/>
              </w:rPr>
            </w:pPr>
            <w:r>
              <w:rPr>
                <w:color w:val="000000"/>
                <w:sz w:val="21"/>
                <w:szCs w:val="21"/>
              </w:rPr>
              <w:t>山东众志电子有限公司（泰安）、泰安轻松表计有限公司（泰安）、济南达内软件有限公司（济南）、泰安东华合创软件有限公司（泰安）、电子综合实习1（文理大楼405）</w:t>
            </w:r>
          </w:p>
        </w:tc>
        <w:tc>
          <w:tcPr>
            <w:tcW w:w="1026" w:type="dxa"/>
            <w:vAlign w:val="center"/>
          </w:tcPr>
          <w:p>
            <w:pPr>
              <w:pStyle w:val="25"/>
              <w:spacing w:line="240" w:lineRule="auto"/>
              <w:rPr>
                <w:color w:val="000000"/>
                <w:sz w:val="21"/>
                <w:szCs w:val="21"/>
              </w:rPr>
            </w:pPr>
            <w:r>
              <w:rPr>
                <w:color w:val="00000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17" w:type="dxa"/>
            <w:vAlign w:val="center"/>
          </w:tcPr>
          <w:p>
            <w:pPr>
              <w:pStyle w:val="25"/>
              <w:spacing w:line="240" w:lineRule="auto"/>
              <w:rPr>
                <w:color w:val="000000"/>
                <w:sz w:val="21"/>
                <w:szCs w:val="21"/>
              </w:rPr>
            </w:pPr>
            <w:r>
              <w:rPr>
                <w:color w:val="000000"/>
                <w:sz w:val="21"/>
                <w:szCs w:val="21"/>
              </w:rPr>
              <w:t>2013.9-2014.7</w:t>
            </w:r>
          </w:p>
        </w:tc>
        <w:tc>
          <w:tcPr>
            <w:tcW w:w="6032" w:type="dxa"/>
            <w:vAlign w:val="center"/>
          </w:tcPr>
          <w:p>
            <w:pPr>
              <w:pStyle w:val="25"/>
              <w:spacing w:line="300" w:lineRule="exact"/>
              <w:jc w:val="both"/>
              <w:rPr>
                <w:color w:val="000000"/>
                <w:sz w:val="21"/>
                <w:szCs w:val="21"/>
              </w:rPr>
            </w:pPr>
            <w:r>
              <w:rPr>
                <w:color w:val="000000"/>
                <w:sz w:val="21"/>
                <w:szCs w:val="21"/>
              </w:rPr>
              <w:t>山东众志电子有限公司（泰安）、泰安轻松表计有限公司（泰安）、济南达内软件有限公司（济南）、泰安东华合创软件有限公司（泰安）、电子综合实习1（文理大楼405）</w:t>
            </w:r>
          </w:p>
        </w:tc>
        <w:tc>
          <w:tcPr>
            <w:tcW w:w="1026" w:type="dxa"/>
            <w:vAlign w:val="center"/>
          </w:tcPr>
          <w:p>
            <w:pPr>
              <w:pStyle w:val="25"/>
              <w:spacing w:line="240" w:lineRule="auto"/>
              <w:rPr>
                <w:color w:val="000000"/>
                <w:sz w:val="21"/>
                <w:szCs w:val="21"/>
              </w:rPr>
            </w:pPr>
            <w:r>
              <w:rPr>
                <w:color w:val="00000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17" w:type="dxa"/>
            <w:vAlign w:val="center"/>
          </w:tcPr>
          <w:p>
            <w:pPr>
              <w:pStyle w:val="25"/>
              <w:spacing w:line="240" w:lineRule="auto"/>
              <w:rPr>
                <w:color w:val="000000"/>
                <w:sz w:val="21"/>
                <w:szCs w:val="21"/>
              </w:rPr>
            </w:pPr>
            <w:r>
              <w:rPr>
                <w:color w:val="000000"/>
                <w:sz w:val="21"/>
                <w:szCs w:val="21"/>
              </w:rPr>
              <w:t>2014.9-2017.9</w:t>
            </w:r>
          </w:p>
        </w:tc>
        <w:tc>
          <w:tcPr>
            <w:tcW w:w="6032" w:type="dxa"/>
            <w:vAlign w:val="center"/>
          </w:tcPr>
          <w:p>
            <w:pPr>
              <w:pStyle w:val="25"/>
              <w:spacing w:line="300" w:lineRule="exact"/>
              <w:jc w:val="both"/>
              <w:rPr>
                <w:color w:val="000000"/>
                <w:sz w:val="21"/>
                <w:szCs w:val="21"/>
              </w:rPr>
            </w:pPr>
            <w:r>
              <w:rPr>
                <w:color w:val="000000"/>
                <w:sz w:val="21"/>
                <w:szCs w:val="21"/>
              </w:rPr>
              <w:t>电子综合实习1（14#楼501）、电子综合实习2（14#楼503）、山东众志电子有限公司（泰安）、泰安轻松表计有限公司（泰安）、济南达内软件有限公司（济南）、泰安东华合创软件有限公司（泰安）中国联通（泰安），中国铁塔股份有限公司（泰安）</w:t>
            </w:r>
          </w:p>
        </w:tc>
        <w:tc>
          <w:tcPr>
            <w:tcW w:w="1026" w:type="dxa"/>
            <w:vAlign w:val="center"/>
          </w:tcPr>
          <w:p>
            <w:pPr>
              <w:pStyle w:val="25"/>
              <w:spacing w:line="240" w:lineRule="auto"/>
              <w:rPr>
                <w:color w:val="000000"/>
                <w:sz w:val="21"/>
                <w:szCs w:val="21"/>
              </w:rPr>
            </w:pPr>
            <w:r>
              <w:rPr>
                <w:color w:val="000000"/>
                <w:sz w:val="21"/>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17" w:type="dxa"/>
            <w:vAlign w:val="center"/>
          </w:tcPr>
          <w:p>
            <w:pPr>
              <w:pStyle w:val="25"/>
              <w:spacing w:line="240" w:lineRule="auto"/>
              <w:rPr>
                <w:color w:val="000000"/>
                <w:sz w:val="21"/>
                <w:szCs w:val="21"/>
              </w:rPr>
            </w:pPr>
            <w:r>
              <w:rPr>
                <w:color w:val="000000"/>
                <w:sz w:val="21"/>
                <w:szCs w:val="21"/>
              </w:rPr>
              <w:t>2017.9-2018.9</w:t>
            </w:r>
          </w:p>
        </w:tc>
        <w:tc>
          <w:tcPr>
            <w:tcW w:w="6032" w:type="dxa"/>
            <w:vAlign w:val="center"/>
          </w:tcPr>
          <w:p>
            <w:pPr>
              <w:pStyle w:val="25"/>
              <w:spacing w:line="300" w:lineRule="exact"/>
              <w:jc w:val="both"/>
              <w:rPr>
                <w:color w:val="000000"/>
                <w:sz w:val="21"/>
                <w:szCs w:val="21"/>
              </w:rPr>
            </w:pPr>
            <w:r>
              <w:rPr>
                <w:color w:val="000000"/>
                <w:sz w:val="21"/>
                <w:szCs w:val="21"/>
              </w:rPr>
              <w:t>电子综合实习1（14#楼501）、电子综合实习2（14#楼503）、黄河三角洲（滨州）国家农业科技园区（滨州）、泰安轻松表计有限公司（泰安）、济南达内软件有限公司（济南）、泰安东华合创软件有限公司（泰安），泰安联通校园服务中心（泰安），北京千锋互联科技有限公司（北京）</w:t>
            </w:r>
          </w:p>
        </w:tc>
        <w:tc>
          <w:tcPr>
            <w:tcW w:w="1026" w:type="dxa"/>
            <w:vAlign w:val="center"/>
          </w:tcPr>
          <w:p>
            <w:pPr>
              <w:pStyle w:val="25"/>
              <w:spacing w:line="240" w:lineRule="auto"/>
              <w:rPr>
                <w:color w:val="000000"/>
                <w:sz w:val="21"/>
                <w:szCs w:val="21"/>
              </w:rPr>
            </w:pPr>
            <w:r>
              <w:rPr>
                <w:color w:val="000000"/>
                <w:sz w:val="21"/>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17" w:type="dxa"/>
            <w:vAlign w:val="center"/>
          </w:tcPr>
          <w:p>
            <w:pPr>
              <w:pStyle w:val="25"/>
              <w:spacing w:line="240" w:lineRule="auto"/>
              <w:rPr>
                <w:color w:val="000000"/>
                <w:sz w:val="21"/>
                <w:szCs w:val="21"/>
              </w:rPr>
            </w:pPr>
            <w:r>
              <w:rPr>
                <w:color w:val="000000"/>
                <w:sz w:val="21"/>
                <w:szCs w:val="21"/>
              </w:rPr>
              <w:t>2018.9-2019.9</w:t>
            </w:r>
          </w:p>
        </w:tc>
        <w:tc>
          <w:tcPr>
            <w:tcW w:w="6032" w:type="dxa"/>
            <w:vAlign w:val="center"/>
          </w:tcPr>
          <w:p>
            <w:pPr>
              <w:pStyle w:val="25"/>
              <w:spacing w:line="300" w:lineRule="exact"/>
              <w:jc w:val="both"/>
              <w:rPr>
                <w:color w:val="000000"/>
                <w:sz w:val="21"/>
                <w:szCs w:val="21"/>
              </w:rPr>
            </w:pPr>
            <w:r>
              <w:rPr>
                <w:color w:val="000000"/>
                <w:sz w:val="21"/>
                <w:szCs w:val="21"/>
              </w:rPr>
              <w:t>电子综合实习1（14#楼501）、电子综合实习2（14#楼503）、山东众志电子有限公司（泰安）、泰安轻松表计有限公司、济南达内软件有限公司、泰安东华合创软件有限公司、泰安联通校园服务中心、惠普-济宁产业基地、北京千锋互联科技有限公司、北京华清远见科技发展有限公司济南分公司、黄河三角洲（滨州）国家农业科技园区、青岛思途共享科技信息服务有限公司、北京佳格天地科技有限公司</w:t>
            </w:r>
          </w:p>
        </w:tc>
        <w:tc>
          <w:tcPr>
            <w:tcW w:w="1026" w:type="dxa"/>
            <w:vAlign w:val="center"/>
          </w:tcPr>
          <w:p>
            <w:pPr>
              <w:pStyle w:val="25"/>
              <w:spacing w:line="240" w:lineRule="auto"/>
              <w:rPr>
                <w:color w:val="000000"/>
                <w:sz w:val="21"/>
                <w:szCs w:val="21"/>
              </w:rPr>
            </w:pPr>
            <w:r>
              <w:rPr>
                <w:color w:val="000000"/>
                <w:sz w:val="21"/>
                <w:szCs w:val="21"/>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17" w:type="dxa"/>
            <w:vAlign w:val="center"/>
          </w:tcPr>
          <w:p>
            <w:pPr>
              <w:pStyle w:val="25"/>
              <w:spacing w:line="240" w:lineRule="auto"/>
              <w:rPr>
                <w:color w:val="000000"/>
                <w:sz w:val="21"/>
                <w:szCs w:val="21"/>
              </w:rPr>
            </w:pPr>
            <w:r>
              <w:rPr>
                <w:color w:val="000000"/>
                <w:sz w:val="21"/>
                <w:szCs w:val="21"/>
              </w:rPr>
              <w:t>2019.9-2020.9</w:t>
            </w:r>
          </w:p>
        </w:tc>
        <w:tc>
          <w:tcPr>
            <w:tcW w:w="6032" w:type="dxa"/>
            <w:vAlign w:val="center"/>
          </w:tcPr>
          <w:p>
            <w:pPr>
              <w:pStyle w:val="25"/>
              <w:spacing w:line="300" w:lineRule="exact"/>
              <w:jc w:val="both"/>
              <w:rPr>
                <w:color w:val="000000"/>
                <w:sz w:val="21"/>
                <w:szCs w:val="21"/>
              </w:rPr>
            </w:pPr>
            <w:r>
              <w:rPr>
                <w:color w:val="000000"/>
                <w:sz w:val="21"/>
                <w:szCs w:val="21"/>
              </w:rPr>
              <w:t>电子综合实习1（14#楼501）、电子综合实习2（14#楼503）、山东众志电子有限公司（泰安）、泰安轻松表计有限公司、济南达内软件有限公司、泰安东华合创软件有限公司、泰安联通校园服务中心、惠普-济宁产业基地、北京千锋互联科技有限公司、北京华清远见科技发展有限公司济南分公司、黄河三角洲（滨州）国家农业科技园区、青岛思途共享科技信息服务有限公司、北京佳格天地科技有限公司</w:t>
            </w:r>
          </w:p>
        </w:tc>
        <w:tc>
          <w:tcPr>
            <w:tcW w:w="1026" w:type="dxa"/>
            <w:vAlign w:val="center"/>
          </w:tcPr>
          <w:p>
            <w:pPr>
              <w:pStyle w:val="25"/>
              <w:spacing w:line="240" w:lineRule="auto"/>
              <w:rPr>
                <w:color w:val="000000"/>
                <w:sz w:val="21"/>
                <w:szCs w:val="21"/>
              </w:rPr>
            </w:pPr>
            <w:r>
              <w:rPr>
                <w:color w:val="000000"/>
                <w:sz w:val="21"/>
                <w:szCs w:val="21"/>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17" w:type="dxa"/>
            <w:vAlign w:val="center"/>
          </w:tcPr>
          <w:p>
            <w:pPr>
              <w:pStyle w:val="25"/>
              <w:spacing w:line="240" w:lineRule="auto"/>
              <w:rPr>
                <w:color w:val="000000"/>
                <w:sz w:val="21"/>
                <w:szCs w:val="21"/>
              </w:rPr>
            </w:pPr>
            <w:r>
              <w:rPr>
                <w:color w:val="000000"/>
                <w:sz w:val="21"/>
                <w:szCs w:val="21"/>
              </w:rPr>
              <w:t>2020.9-2021.9</w:t>
            </w:r>
          </w:p>
        </w:tc>
        <w:tc>
          <w:tcPr>
            <w:tcW w:w="6032" w:type="dxa"/>
            <w:vAlign w:val="center"/>
          </w:tcPr>
          <w:p>
            <w:pPr>
              <w:pStyle w:val="25"/>
              <w:spacing w:line="240" w:lineRule="auto"/>
              <w:jc w:val="both"/>
              <w:rPr>
                <w:color w:val="000000"/>
                <w:sz w:val="21"/>
                <w:szCs w:val="21"/>
              </w:rPr>
            </w:pPr>
            <w:r>
              <w:rPr>
                <w:color w:val="000000"/>
                <w:sz w:val="21"/>
                <w:szCs w:val="21"/>
              </w:rPr>
              <w:t>电子综合实习1（14#楼501）、电子综合实习2（14#楼503）、山东众志电子有限公司（泰安）、泰安轻松表计有限公司、济南达内软件有限公司、泰安东华合创软件有限公司、泰安联通校园服务中心、惠普-济宁产业基地、北京千锋互联科技有限公司、北京华清远见科技发展有限公司济南分公司、黄河三角洲（滨州）国家农业科技园区、青岛思途共享科技信息服务有限公司、北京佳格天地科技有限公司</w:t>
            </w:r>
          </w:p>
        </w:tc>
        <w:tc>
          <w:tcPr>
            <w:tcW w:w="1026" w:type="dxa"/>
            <w:vAlign w:val="center"/>
          </w:tcPr>
          <w:p>
            <w:pPr>
              <w:pStyle w:val="25"/>
              <w:spacing w:line="240" w:lineRule="auto"/>
              <w:rPr>
                <w:color w:val="000000"/>
                <w:sz w:val="21"/>
                <w:szCs w:val="21"/>
              </w:rPr>
            </w:pPr>
            <w:r>
              <w:rPr>
                <w:color w:val="000000"/>
                <w:sz w:val="21"/>
                <w:szCs w:val="21"/>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17" w:type="dxa"/>
            <w:vAlign w:val="center"/>
          </w:tcPr>
          <w:p>
            <w:pPr>
              <w:pStyle w:val="25"/>
              <w:spacing w:line="240" w:lineRule="auto"/>
              <w:rPr>
                <w:color w:val="000000"/>
                <w:sz w:val="21"/>
                <w:szCs w:val="21"/>
              </w:rPr>
            </w:pPr>
            <w:r>
              <w:rPr>
                <w:color w:val="000000"/>
                <w:sz w:val="21"/>
                <w:szCs w:val="21"/>
              </w:rPr>
              <w:t>2021.9-2022.9</w:t>
            </w:r>
          </w:p>
        </w:tc>
        <w:tc>
          <w:tcPr>
            <w:tcW w:w="6032" w:type="dxa"/>
            <w:vAlign w:val="center"/>
          </w:tcPr>
          <w:p>
            <w:pPr>
              <w:pStyle w:val="25"/>
              <w:spacing w:line="240" w:lineRule="auto"/>
              <w:jc w:val="both"/>
              <w:rPr>
                <w:color w:val="000000"/>
                <w:sz w:val="21"/>
                <w:szCs w:val="21"/>
              </w:rPr>
            </w:pPr>
            <w:r>
              <w:rPr>
                <w:color w:val="000000"/>
                <w:sz w:val="21"/>
                <w:szCs w:val="21"/>
              </w:rPr>
              <w:t>电子综合实习1（14#楼501）、电子综合实习2（14#楼503）、山东众志电子有限公司（泰安）、泰安轻松表计有限公司、济南达内软件有限公司、泰安东华合创软件有限公司、泰安联通校园服务中心、惠普-济宁产业基地、北京千锋互联科技有限公司、北京华清远见科技发展有限公司济南分公司、黄河三角洲（滨州）国家农业科技园区、青岛思途共享科技信息服务有限公司、北京佳格天地科技有限公司</w:t>
            </w:r>
          </w:p>
        </w:tc>
        <w:tc>
          <w:tcPr>
            <w:tcW w:w="1026" w:type="dxa"/>
            <w:vAlign w:val="center"/>
          </w:tcPr>
          <w:p>
            <w:pPr>
              <w:pStyle w:val="25"/>
              <w:spacing w:line="240" w:lineRule="auto"/>
              <w:rPr>
                <w:color w:val="000000"/>
                <w:sz w:val="21"/>
                <w:szCs w:val="21"/>
              </w:rPr>
            </w:pPr>
            <w:r>
              <w:rPr>
                <w:color w:val="000000"/>
                <w:sz w:val="21"/>
                <w:szCs w:val="21"/>
              </w:rPr>
              <w:t>13</w:t>
            </w:r>
          </w:p>
        </w:tc>
      </w:tr>
    </w:tbl>
    <w:p>
      <w:pPr>
        <w:pStyle w:val="6"/>
        <w:ind w:firstLine="480"/>
      </w:pPr>
      <w:r>
        <w:t>5. 现代教学技术应用</w:t>
      </w:r>
    </w:p>
    <w:p>
      <w:pPr>
        <w:spacing w:line="380" w:lineRule="exact"/>
        <w:ind w:firstLine="480" w:firstLineChars="200"/>
        <w:rPr>
          <w:szCs w:val="24"/>
        </w:rPr>
      </w:pPr>
      <w:r>
        <w:rPr>
          <w:szCs w:val="24"/>
        </w:rPr>
        <w:t>本专业的各专业课程基本全部采用多媒体上课。自2019年以来，学校全面启用雨课堂授课，本专业教师基本都采用雨课堂授课。雨课堂由学堂在线与清华大学在线教育办公室共同研发。雨课堂将复杂的信息技术手段融入到PowerPoint和微信，在课外预习与课堂教学间建立沟通桥梁，让课堂互动永不下线。使用雨课堂，教师可以将带有MOOC视频、习题、语音的课前预习课件推送到学生手机，师生沟通及时反馈；课堂上实时答题、弹幕互动，为传统课堂教学师生互动提供了完美解决方案。多媒体方式教学、雨课堂方式教学的采用，由于信息量大，图文并茂，互动畅通，上课效果良好，提高了教学质量。</w:t>
      </w:r>
    </w:p>
    <w:p>
      <w:pPr>
        <w:pStyle w:val="5"/>
        <w:spacing w:before="93" w:after="93"/>
        <w:ind w:firstLine="560"/>
      </w:pPr>
      <w:bookmarkStart w:id="731" w:name="_Toc2661"/>
      <w:bookmarkStart w:id="732" w:name="_Toc439254785"/>
      <w:bookmarkStart w:id="733" w:name="_Toc439226877"/>
      <w:bookmarkStart w:id="734" w:name="_Toc439229094"/>
      <w:bookmarkStart w:id="735" w:name="_Toc439256277"/>
      <w:r>
        <w:t>四、培养机制与特色（产学研协同育人机制、合作办学、教学管理等）</w:t>
      </w:r>
      <w:bookmarkEnd w:id="731"/>
      <w:bookmarkEnd w:id="732"/>
      <w:bookmarkEnd w:id="733"/>
      <w:bookmarkEnd w:id="734"/>
      <w:bookmarkEnd w:id="735"/>
    </w:p>
    <w:p>
      <w:pPr>
        <w:pStyle w:val="6"/>
        <w:spacing w:line="380" w:lineRule="exact"/>
        <w:ind w:firstLine="480"/>
      </w:pPr>
      <w:r>
        <w:t>1. 产学研协同育人机制</w:t>
      </w:r>
    </w:p>
    <w:p>
      <w:pPr>
        <w:spacing w:line="380" w:lineRule="exact"/>
        <w:ind w:firstLine="480" w:firstLineChars="200"/>
        <w:rPr>
          <w:szCs w:val="24"/>
        </w:rPr>
      </w:pPr>
      <w:r>
        <w:rPr>
          <w:szCs w:val="24"/>
        </w:rPr>
        <w:t>（1）联合北京华清远见科技发展有限公司济南分公司等学校教学实习基地等优质教学资源，进行实习、实践环节培训，联合培养实践能力突出的应用型人才。</w:t>
      </w:r>
    </w:p>
    <w:p>
      <w:pPr>
        <w:spacing w:line="380" w:lineRule="exact"/>
        <w:ind w:firstLine="480" w:firstLineChars="200"/>
        <w:rPr>
          <w:szCs w:val="24"/>
        </w:rPr>
      </w:pPr>
      <w:r>
        <w:rPr>
          <w:szCs w:val="24"/>
        </w:rPr>
        <w:t>（2）学科竞赛促进人才培养。构建</w:t>
      </w:r>
      <w:r>
        <w:rPr>
          <w:rFonts w:hint="eastAsia"/>
          <w:szCs w:val="24"/>
        </w:rPr>
        <w:t>“</w:t>
      </w:r>
      <w:r>
        <w:rPr>
          <w:szCs w:val="24"/>
        </w:rPr>
        <w:t>课堂思辨+工程实训+大赛训练+创新实践</w:t>
      </w:r>
      <w:r>
        <w:rPr>
          <w:rFonts w:hint="eastAsia"/>
          <w:szCs w:val="24"/>
        </w:rPr>
        <w:t>”</w:t>
      </w:r>
      <w:r>
        <w:rPr>
          <w:szCs w:val="24"/>
        </w:rPr>
        <w:t>四位一体的实践教学模式，完善创新教育体系，以赛促教、以赛促学、以赛促训。</w:t>
      </w:r>
    </w:p>
    <w:p>
      <w:pPr>
        <w:spacing w:line="380" w:lineRule="exact"/>
        <w:ind w:firstLine="480" w:firstLineChars="200"/>
        <w:rPr>
          <w:szCs w:val="24"/>
        </w:rPr>
      </w:pPr>
      <w:r>
        <w:rPr>
          <w:szCs w:val="24"/>
        </w:rPr>
        <w:t>（3）科研反哺提升人才培养质量。实施学科带头人与专业带头人、科研团队与教学团队一体化人才培养模式。将学术研究成果与课程建设有机融合，科研平台与教学实验室共享共用，将科研资源融入教学过程，提升人才培养质量和水平。</w:t>
      </w:r>
    </w:p>
    <w:p>
      <w:pPr>
        <w:pStyle w:val="6"/>
        <w:spacing w:line="380" w:lineRule="exact"/>
        <w:ind w:firstLine="480"/>
      </w:pPr>
      <w:r>
        <w:t>2. 严格执行专业培养方案</w:t>
      </w:r>
    </w:p>
    <w:p>
      <w:pPr>
        <w:spacing w:line="380" w:lineRule="exact"/>
        <w:ind w:firstLine="480"/>
        <w:rPr>
          <w:color w:val="000000" w:themeColor="text1"/>
          <w:szCs w:val="24"/>
          <w14:textFill>
            <w14:solidFill>
              <w14:schemeClr w14:val="tx1"/>
            </w14:solidFill>
          </w14:textFill>
        </w:rPr>
      </w:pPr>
      <w:r>
        <w:rPr>
          <w:szCs w:val="24"/>
        </w:rPr>
        <w:t>每一学期中期，教务处都会根据《电子信息科学与技术专业人才培养方案》下达下一学期的教学任务，教师根据任务竞选课程，学生在教师指导下完成网上选课，教务处排出上课教室和上课时间，遵照执行</w:t>
      </w:r>
      <w:r>
        <w:rPr>
          <w:color w:val="000000" w:themeColor="text1"/>
          <w:szCs w:val="24"/>
          <w14:textFill>
            <w14:solidFill>
              <w14:schemeClr w14:val="tx1"/>
            </w14:solidFill>
          </w14:textFill>
        </w:rPr>
        <w:t>。</w:t>
      </w:r>
    </w:p>
    <w:p>
      <w:pPr>
        <w:pStyle w:val="45"/>
        <w:ind w:firstLine="480"/>
        <w:rPr>
          <w:rFonts w:ascii="Times New Roman" w:hAnsi="Times New Roman"/>
        </w:rPr>
      </w:pPr>
      <w:r>
        <w:rPr>
          <w:rFonts w:ascii="Times New Roman" w:hAnsi="Times New Roman"/>
        </w:rPr>
        <w:t>3. 严格执行课堂教学管理的各项规定</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为了保证各项制度的落实，学院专门成立了教学督导组，聘请老教师担任督导组成员，这些措施保证了教学过程规范有序。学院有院领导、系主任的听课制度，系里还定期开展教研活动，这些活动促进了教师教学水平的迅速提高。</w:t>
      </w:r>
    </w:p>
    <w:p>
      <w:pPr>
        <w:pStyle w:val="45"/>
        <w:ind w:firstLine="480"/>
        <w:rPr>
          <w:rFonts w:ascii="Times New Roman" w:hAnsi="Times New Roman"/>
        </w:rPr>
      </w:pPr>
      <w:r>
        <w:rPr>
          <w:rFonts w:ascii="Times New Roman" w:hAnsi="Times New Roman"/>
        </w:rPr>
        <w:t>4. 教学文件管理规范</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专业人才培养方案》、《教学大纲》等文件由专业主任制定并与学院共同管理，各课程教案和多媒体课件由主讲教师保存管理，教学大纲、教学日历由主讲教师和学院共同管理，学生平时成绩登记表、试卷及试卷分析报告在课程结束后交由学院统一管理，学生毕业实习、毕业论文等文件交由专业和学院统一管理。</w:t>
      </w:r>
      <w:bookmarkStart w:id="736" w:name="_Toc439226878"/>
      <w:bookmarkStart w:id="737" w:name="_Toc439229095"/>
      <w:bookmarkStart w:id="738" w:name="_Toc439254786"/>
      <w:bookmarkStart w:id="739" w:name="_Toc32054"/>
      <w:bookmarkStart w:id="740" w:name="_Toc439256278"/>
    </w:p>
    <w:p>
      <w:pPr>
        <w:pStyle w:val="5"/>
        <w:spacing w:before="93" w:after="93"/>
        <w:ind w:firstLine="560"/>
      </w:pPr>
      <w:r>
        <w:t>五、培养质量（毕业生就业率、就业专业对口率、毕业生发展情况、就业单位满意率、社会对专业的评价、学生就读该专业的意愿等）</w:t>
      </w:r>
      <w:bookmarkEnd w:id="736"/>
      <w:bookmarkEnd w:id="737"/>
      <w:bookmarkEnd w:id="738"/>
      <w:bookmarkEnd w:id="739"/>
      <w:bookmarkEnd w:id="740"/>
    </w:p>
    <w:p>
      <w:pPr>
        <w:spacing w:line="380" w:lineRule="exact"/>
        <w:ind w:firstLine="482"/>
        <w:rPr>
          <w:color w:val="000000" w:themeColor="text1"/>
          <w:szCs w:val="24"/>
          <w14:textFill>
            <w14:solidFill>
              <w14:schemeClr w14:val="tx1"/>
            </w14:solidFill>
          </w14:textFill>
        </w:rPr>
      </w:pPr>
      <w:r>
        <w:rPr>
          <w:color w:val="000000" w:themeColor="text1"/>
          <w:szCs w:val="24"/>
          <w14:textFill>
            <w14:solidFill>
              <w14:schemeClr w14:val="tx1"/>
            </w14:solidFill>
          </w14:textFill>
        </w:rPr>
        <w:t>在就业方面，电子信息科学与技术专业就业率一直稳定在95%左右，但是2022届就业率下降为65.6%，原因一方面因为国内外疫情；另一方面是，未就业学生二次考研或者考公务员。就业专业对口率达到89.5%以上。</w:t>
      </w:r>
    </w:p>
    <w:p>
      <w:pPr>
        <w:spacing w:line="380" w:lineRule="exact"/>
        <w:ind w:firstLine="482"/>
        <w:rPr>
          <w:color w:val="000000" w:themeColor="text1"/>
          <w:szCs w:val="24"/>
          <w14:textFill>
            <w14:solidFill>
              <w14:schemeClr w14:val="tx1"/>
            </w14:solidFill>
          </w14:textFill>
        </w:rPr>
      </w:pPr>
      <w:r>
        <w:rPr>
          <w:color w:val="000000" w:themeColor="text1"/>
          <w:szCs w:val="24"/>
          <w14:textFill>
            <w14:solidFill>
              <w14:schemeClr w14:val="tx1"/>
            </w14:solidFill>
          </w14:textFill>
        </w:rPr>
        <w:t>在考研方面，电子信息科学与技术专业考研率一直稳定在30%左右。2022届的考研率为29.51%，2022届学生综合素质参差不齐，因为疫情原因没有好好复习，很多过线学生没有被录取，也没有选择调剂，而是二次考研。</w:t>
      </w:r>
    </w:p>
    <w:p>
      <w:pPr>
        <w:spacing w:line="380" w:lineRule="exact"/>
        <w:ind w:firstLine="482"/>
        <w:rPr>
          <w:color w:val="000000" w:themeColor="text1"/>
          <w:szCs w:val="24"/>
          <w14:textFill>
            <w14:solidFill>
              <w14:schemeClr w14:val="tx1"/>
            </w14:solidFill>
          </w14:textFill>
        </w:rPr>
      </w:pPr>
      <w:r>
        <w:rPr>
          <w:color w:val="000000" w:themeColor="text1"/>
          <w:szCs w:val="24"/>
          <w14:textFill>
            <w14:solidFill>
              <w14:schemeClr w14:val="tx1"/>
            </w14:solidFill>
          </w14:textFill>
        </w:rPr>
        <w:t>由于专业课教师在教学中始终坚持以理论教育为基础，以实践教育为核心，以就业需求为导向的原则，培养的学生普遍具有一专多能的特点。从了解到的情况看，用人单位对本专业的毕业生满意度较高，社会评价也较高。毕业生在社会上的发展良好，已有毕业生成为公司的技术骨干或者中层管理人员。</w:t>
      </w:r>
    </w:p>
    <w:p>
      <w:pPr>
        <w:spacing w:line="380" w:lineRule="exact"/>
        <w:ind w:firstLine="482"/>
        <w:rPr>
          <w:color w:val="000000" w:themeColor="text1"/>
          <w:szCs w:val="24"/>
          <w14:textFill>
            <w14:solidFill>
              <w14:schemeClr w14:val="tx1"/>
            </w14:solidFill>
          </w14:textFill>
        </w:rPr>
      </w:pPr>
      <w:r>
        <w:rPr>
          <w:color w:val="000000" w:themeColor="text1"/>
          <w:szCs w:val="24"/>
          <w14:textFill>
            <w14:solidFill>
              <w14:schemeClr w14:val="tx1"/>
            </w14:solidFill>
          </w14:textFill>
        </w:rPr>
        <w:t>从招生数量及分数来看，学生就读电子信息科学与技术专业的意愿是比较高的。2022级一次录取率100%，报到率100%。</w:t>
      </w:r>
    </w:p>
    <w:p>
      <w:pPr>
        <w:pStyle w:val="5"/>
        <w:spacing w:before="93" w:after="93"/>
        <w:ind w:firstLine="560"/>
      </w:pPr>
      <w:bookmarkStart w:id="741" w:name="_Toc439256279"/>
      <w:bookmarkStart w:id="742" w:name="_Toc15045"/>
      <w:bookmarkStart w:id="743" w:name="_Toc439226879"/>
      <w:bookmarkStart w:id="744" w:name="_Toc439229096"/>
      <w:bookmarkStart w:id="745" w:name="_Toc439254787"/>
      <w:r>
        <w:t>六、毕业生就业创业（创业情况、采取的措施、典型案例等）</w:t>
      </w:r>
      <w:bookmarkEnd w:id="741"/>
      <w:bookmarkEnd w:id="742"/>
      <w:bookmarkEnd w:id="743"/>
      <w:bookmarkEnd w:id="744"/>
      <w:bookmarkEnd w:id="745"/>
    </w:p>
    <w:p>
      <w:pPr>
        <w:ind w:firstLine="482"/>
        <w:rPr>
          <w:color w:val="000000" w:themeColor="text1"/>
          <w:szCs w:val="24"/>
          <w14:textFill>
            <w14:solidFill>
              <w14:schemeClr w14:val="tx1"/>
            </w14:solidFill>
          </w14:textFill>
        </w:rPr>
      </w:pPr>
      <w:r>
        <w:rPr>
          <w:color w:val="000000" w:themeColor="text1"/>
          <w:szCs w:val="24"/>
          <w14:textFill>
            <w14:solidFill>
              <w14:schemeClr w14:val="tx1"/>
            </w14:solidFill>
          </w14:textFill>
        </w:rPr>
        <w:t>由于电子信息科学与技术起点较高，创业较难。通过以下措施可提高毕业生未来创业的能力。</w:t>
      </w:r>
    </w:p>
    <w:p>
      <w:pPr>
        <w:ind w:firstLine="482"/>
        <w:rPr>
          <w:color w:val="000000" w:themeColor="text1"/>
          <w:szCs w:val="24"/>
          <w14:textFill>
            <w14:solidFill>
              <w14:schemeClr w14:val="tx1"/>
            </w14:solidFill>
          </w14:textFill>
        </w:rPr>
      </w:pPr>
      <w:r>
        <w:rPr>
          <w:color w:val="000000" w:themeColor="text1"/>
          <w:szCs w:val="24"/>
          <w14:textFill>
            <w14:solidFill>
              <w14:schemeClr w14:val="tx1"/>
            </w14:solidFill>
          </w14:textFill>
        </w:rPr>
        <w:t>1. 通过SRT锻炼，掌握就业创业的实践能力。</w:t>
      </w:r>
    </w:p>
    <w:p>
      <w:pPr>
        <w:ind w:firstLine="482"/>
        <w:rPr>
          <w:color w:val="000000" w:themeColor="text1"/>
          <w:szCs w:val="24"/>
          <w14:textFill>
            <w14:solidFill>
              <w14:schemeClr w14:val="tx1"/>
            </w14:solidFill>
          </w14:textFill>
        </w:rPr>
      </w:pPr>
      <w:r>
        <w:rPr>
          <w:color w:val="000000" w:themeColor="text1"/>
          <w:szCs w:val="24"/>
          <w14:textFill>
            <w14:solidFill>
              <w14:schemeClr w14:val="tx1"/>
            </w14:solidFill>
          </w14:textFill>
        </w:rPr>
        <w:t>2. 通过参加各种竞赛，提高未来创新创业的能力。</w:t>
      </w:r>
    </w:p>
    <w:p>
      <w:pPr>
        <w:ind w:firstLine="482"/>
        <w:rPr>
          <w:color w:val="000000" w:themeColor="text1"/>
          <w:szCs w:val="24"/>
          <w14:textFill>
            <w14:solidFill>
              <w14:schemeClr w14:val="tx1"/>
            </w14:solidFill>
          </w14:textFill>
        </w:rPr>
      </w:pPr>
      <w:r>
        <w:rPr>
          <w:color w:val="000000" w:themeColor="text1"/>
          <w:szCs w:val="24"/>
          <w14:textFill>
            <w14:solidFill>
              <w14:schemeClr w14:val="tx1"/>
            </w14:solidFill>
          </w14:textFill>
        </w:rPr>
        <w:t>3. 通过在企业实习增长现场工作的能力，积累经验，提高创业的能力。</w:t>
      </w:r>
    </w:p>
    <w:p>
      <w:pPr>
        <w:pStyle w:val="5"/>
        <w:spacing w:before="93" w:after="93"/>
        <w:ind w:firstLine="560"/>
      </w:pPr>
      <w:bookmarkStart w:id="746" w:name="_Toc18436"/>
      <w:r>
        <w:t>七、专业人才社会需求分析及</w:t>
      </w:r>
      <w:bookmarkStart w:id="747" w:name="OLE_LINK8"/>
      <w:r>
        <w:t>专业发展趋势</w:t>
      </w:r>
      <w:bookmarkEnd w:id="746"/>
      <w:r>
        <w:t>分析</w:t>
      </w:r>
      <w:bookmarkEnd w:id="747"/>
    </w:p>
    <w:p>
      <w:pPr>
        <w:spacing w:line="380" w:lineRule="exact"/>
        <w:ind w:firstLine="482"/>
        <w:rPr>
          <w:color w:val="000000" w:themeColor="text1"/>
          <w:szCs w:val="24"/>
          <w14:textFill>
            <w14:solidFill>
              <w14:schemeClr w14:val="tx1"/>
            </w14:solidFill>
          </w14:textFill>
        </w:rPr>
      </w:pPr>
      <w:r>
        <w:rPr>
          <w:color w:val="000000" w:themeColor="text1"/>
          <w:szCs w:val="24"/>
          <w14:textFill>
            <w14:solidFill>
              <w14:schemeClr w14:val="tx1"/>
            </w14:solidFill>
          </w14:textFill>
        </w:rPr>
        <w:t>1．专业人才培养模式定位：就现今各类院校常见的人才培养模式来说，不仅形式多样化，内容更是丰富且具有时代特征，大致可依据三要素（基础的厚轻、口径的宽窄以及能力轻重程度）划分培养类型。根据山东农业大学特色名校工程建设及相关研究成果，全面落实本科教学学分制改革和</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四型</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拔尖型、创新型、专业型、复合型）人才分类培养要求，突出转变模式、调整结构，增强学生实践能力，提高本科教学与人才培养质量，构建与学校办学定位相吻合、与社会需求相适应的本科人才培养体系。根据电子信息科学与技术专业的实际情况，定位办学模式为专业型、复合型。电子信息科学与技术这门新兴学科专业的诞生，其人才培养模式离不开周遭环境的社会经济科技发展、企事业单位的应用、学校师资设备的充分与否。</w:t>
      </w:r>
    </w:p>
    <w:p>
      <w:pPr>
        <w:spacing w:line="380" w:lineRule="exact"/>
        <w:ind w:firstLine="482"/>
        <w:rPr>
          <w:color w:val="000000" w:themeColor="text1"/>
          <w:szCs w:val="24"/>
          <w14:textFill>
            <w14:solidFill>
              <w14:schemeClr w14:val="tx1"/>
            </w14:solidFill>
          </w14:textFill>
        </w:rPr>
      </w:pPr>
      <w:r>
        <w:rPr>
          <w:color w:val="000000" w:themeColor="text1"/>
          <w:szCs w:val="24"/>
          <w14:textFill>
            <w14:solidFill>
              <w14:schemeClr w14:val="tx1"/>
            </w14:solidFill>
          </w14:textFill>
        </w:rPr>
        <w:t>2. 专业人才社会需求分析：电子信息科学与技术专业既是信息与通信工程和电子科学与技术两个学科之间的桥梁，又是电力、电子、信息处理、计算机等诸方面研究和发展的基础，其应用十分广泛。本专业学生具有宽领域工程技术适应性，就业面很广，就业率高，毕业生实践能力强，工作上手快，可以在电子信息类的相关企业中，从事电子产品的生产、经营与技术管理和开发工作。主要面向电子产品与设备的生产企业和经营单位，从事各种电子产品与设备的装配、调试、检测、应用及维修技术工作，还可以到一些企事业单位一些机电设备、通信设备及计算机控制等设备的安全运行及维护管理工作。</w:t>
      </w:r>
    </w:p>
    <w:p>
      <w:pPr>
        <w:spacing w:line="380" w:lineRule="exact"/>
        <w:ind w:firstLine="482"/>
        <w:rPr>
          <w:color w:val="000000" w:themeColor="text1"/>
          <w:szCs w:val="24"/>
          <w14:textFill>
            <w14:solidFill>
              <w14:schemeClr w14:val="tx1"/>
            </w14:solidFill>
          </w14:textFill>
        </w:rPr>
      </w:pPr>
      <w:r>
        <w:rPr>
          <w:color w:val="000000" w:themeColor="text1"/>
          <w:szCs w:val="24"/>
          <w14:textFill>
            <w14:solidFill>
              <w14:schemeClr w14:val="tx1"/>
            </w14:solidFill>
          </w14:textFill>
        </w:rPr>
        <w:t>3、专业发展趋势分析：电子信息科学与技术专业包括了所有与电子信息相关的学科，比如通信、计算机、自动化、机械电子、微电子、固体电子，可以应用于物联网、多媒体信息处理与应用、智能交通与导航、机器人、超高清晰度电视、雷达、国防军事通信等众多领域。它是电子信息类专业发展和应用最为活跃、最有潜力的方向。放眼各行各业，电子信息人才的身影无处不在。未来的发展重点是电子信息产品制造业、软件产业、集成电路和人工智能等产业。互联网和计算机软件是最受电子信息科学与技术专业学生追捧的行业，半导体、计算机硬件等行业也具有较好的竞争力。</w:t>
      </w:r>
    </w:p>
    <w:p>
      <w:pPr>
        <w:pStyle w:val="5"/>
        <w:spacing w:before="93" w:after="93"/>
        <w:ind w:firstLine="560"/>
      </w:pPr>
      <w:bookmarkStart w:id="748" w:name="_Toc439229097"/>
      <w:bookmarkStart w:id="749" w:name="_Toc439254788"/>
      <w:bookmarkStart w:id="750" w:name="_Toc439226880"/>
      <w:bookmarkStart w:id="751" w:name="_Toc439256280"/>
      <w:bookmarkStart w:id="752" w:name="_Toc30386"/>
      <w:r>
        <w:t>八、存在的问题及拟采取的对策措施</w:t>
      </w:r>
      <w:bookmarkEnd w:id="748"/>
      <w:bookmarkEnd w:id="749"/>
      <w:bookmarkEnd w:id="750"/>
      <w:bookmarkEnd w:id="751"/>
      <w:bookmarkEnd w:id="752"/>
    </w:p>
    <w:p>
      <w:pPr>
        <w:spacing w:line="380" w:lineRule="exact"/>
        <w:ind w:firstLine="482"/>
        <w:rPr>
          <w:color w:val="000000" w:themeColor="text1"/>
          <w:szCs w:val="24"/>
          <w14:textFill>
            <w14:solidFill>
              <w14:schemeClr w14:val="tx1"/>
            </w14:solidFill>
          </w14:textFill>
        </w:rPr>
      </w:pPr>
      <w:r>
        <w:rPr>
          <w:color w:val="000000" w:themeColor="text1"/>
          <w:szCs w:val="24"/>
          <w14:textFill>
            <w14:solidFill>
              <w14:schemeClr w14:val="tx1"/>
            </w14:solidFill>
          </w14:textFill>
        </w:rPr>
        <w:t>1. 跟其他理工科高校比较，我们的学生就业质量还是有差距，未能完全体现热门专业的优势。造成这个现象的原因追根问底是以前虽然学生理论知识没有差距，但是实践能力有差距。教师可通过亲力亲为的动手提高学生动手实践能力、创新能力，开阔学生视野，以创新思维独立完成科研，以提高学生的就业质量。</w:t>
      </w:r>
    </w:p>
    <w:p>
      <w:pPr>
        <w:spacing w:line="380" w:lineRule="exact"/>
        <w:ind w:firstLine="482"/>
        <w:rPr>
          <w:color w:val="000000" w:themeColor="text1"/>
          <w:szCs w:val="24"/>
          <w14:textFill>
            <w14:solidFill>
              <w14:schemeClr w14:val="tx1"/>
            </w14:solidFill>
          </w14:textFill>
        </w:rPr>
      </w:pPr>
      <w:r>
        <w:rPr>
          <w:color w:val="000000" w:themeColor="text1"/>
          <w:szCs w:val="24"/>
          <w14:textFill>
            <w14:solidFill>
              <w14:schemeClr w14:val="tx1"/>
            </w14:solidFill>
          </w14:textFill>
        </w:rPr>
        <w:t>2. 实验设备亟需升级换代。现有专业实验设备大部分购置于2011年前，随着电子信息技术的发展，很多设备已难于适应现有的教学需求，建议学校更新实验设备。</w:t>
      </w:r>
    </w:p>
    <w:p>
      <w:pPr>
        <w:spacing w:line="380" w:lineRule="exact"/>
        <w:ind w:firstLine="482"/>
        <w:rPr>
          <w:color w:val="000000" w:themeColor="text1"/>
          <w:szCs w:val="24"/>
          <w14:textFill>
            <w14:solidFill>
              <w14:schemeClr w14:val="tx1"/>
            </w14:solidFill>
          </w14:textFill>
        </w:rPr>
      </w:pPr>
      <w:r>
        <w:rPr>
          <w:color w:val="000000" w:themeColor="text1"/>
          <w:szCs w:val="24"/>
          <w14:textFill>
            <w14:solidFill>
              <w14:schemeClr w14:val="tx1"/>
            </w14:solidFill>
          </w14:textFill>
        </w:rPr>
        <w:t>3. 校企合作深度不够。虽然电子技术综合实习已经与企业合作，由企业派出有经验的工程师指导学生整个实习过程，但在其它实践教学科目中还有待企业的参与。今后将积极引进更多企业，深度参与实践教学过程，提高学生的实践能力和就业能力。</w:t>
      </w:r>
    </w:p>
    <w:p>
      <w:pPr>
        <w:spacing w:line="380" w:lineRule="exact"/>
        <w:ind w:firstLine="482"/>
        <w:rPr>
          <w:color w:val="000000" w:themeColor="text1"/>
          <w:szCs w:val="24"/>
          <w14:textFill>
            <w14:solidFill>
              <w14:schemeClr w14:val="tx1"/>
            </w14:solidFill>
          </w14:textFill>
        </w:rPr>
      </w:pPr>
      <w:r>
        <w:rPr>
          <w:color w:val="000000" w:themeColor="text1"/>
          <w:szCs w:val="24"/>
          <w14:textFill>
            <w14:solidFill>
              <w14:schemeClr w14:val="tx1"/>
            </w14:solidFill>
          </w14:textFill>
        </w:rPr>
        <w:t>4. 2022届电子信息科学与技术专业的就业率有所下降、考研率都有所回升。虽然说，有国内和国外疫情的影响和二次考研、考公务员的原因，但是，考生质量的下降、学生的学习风气、教学条件的落后，对就业、考研都会产生影响。今后，在适应考生质量变化的前提下，加强学风建设，教学过程中引进企业标准，调整教学内容，形成良好的就业、考研氛围，促进就业率、考研率的提高。</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5. 提升课程实验及实践教学条件，2022年提报拟采购实验设备200万左右，进一步改进教学条件。</w:t>
      </w:r>
    </w:p>
    <w:p>
      <w:pPr>
        <w:widowControl/>
        <w:jc w:val="left"/>
        <w:rPr>
          <w:rFonts w:eastAsia="黑体"/>
          <w:kern w:val="0"/>
          <w:sz w:val="30"/>
          <w:szCs w:val="30"/>
        </w:rPr>
      </w:pPr>
      <w:r>
        <w:rPr>
          <w:sz w:val="30"/>
          <w:szCs w:val="30"/>
        </w:rPr>
        <w:br w:type="page"/>
      </w:r>
    </w:p>
    <w:p>
      <w:pPr>
        <w:pStyle w:val="4"/>
        <w:ind w:firstLine="600"/>
      </w:pPr>
      <w:bookmarkStart w:id="753" w:name="_Toc23271"/>
      <w:r>
        <w:rPr>
          <w:rFonts w:hint="eastAsia"/>
        </w:rPr>
        <w:t>专业</w:t>
      </w:r>
      <w:r>
        <w:rPr>
          <w:rFonts w:hint="eastAsia"/>
          <w:lang w:val="en-US"/>
        </w:rPr>
        <w:t>七十：</w:t>
      </w:r>
      <w:r>
        <w:rPr>
          <w:rFonts w:hint="eastAsia"/>
        </w:rPr>
        <w:t>计算机科学与技术</w:t>
      </w:r>
      <w:bookmarkEnd w:id="753"/>
    </w:p>
    <w:p>
      <w:pPr>
        <w:pStyle w:val="5"/>
        <w:spacing w:before="93" w:after="93"/>
        <w:ind w:firstLine="560"/>
      </w:pPr>
      <w:r>
        <w:t>一、培养目标与</w:t>
      </w:r>
      <w:r>
        <w:rPr>
          <w:rFonts w:hint="eastAsia"/>
        </w:rPr>
        <w:t>要求</w:t>
      </w:r>
    </w:p>
    <w:p>
      <w:pPr>
        <w:pStyle w:val="6"/>
        <w:ind w:firstLine="480"/>
      </w:pPr>
      <w:r>
        <w:t>1. 培养目标</w:t>
      </w:r>
    </w:p>
    <w:p>
      <w:pPr>
        <w:ind w:firstLine="480" w:firstLineChars="200"/>
      </w:pPr>
      <w:r>
        <w:t>计算机科学与技术专业培养德、智、体、美全面发展, 系统地掌握计算机科学与技术专业的基础理论与基本知识，掌握利用计算机解决实际问题必要的基本技能和方法，具有高尚的职业道德，较高的文化修养,较强的社会责任感和终身学习能力。具有扎实的外语、数理、电子等理论基础, 具有较强的创新意识与实践能力，团队协作精神。毕业后, 能够在科研、教育、企事业和行政管理等单位，从事计算机系统开发和集成、技术应用以及教学和管理等工作，能够解决复杂工程问题，成为具有较强可持续发展潜质和适应能力的应用型人才。</w:t>
      </w:r>
    </w:p>
    <w:p>
      <w:pPr>
        <w:ind w:firstLine="482" w:firstLineChars="200"/>
        <w:rPr>
          <w:b/>
        </w:rPr>
      </w:pPr>
      <w:r>
        <w:rPr>
          <w:b/>
        </w:rPr>
        <w:t xml:space="preserve">本专业毕业生经过5年左右的职业历练，将达成以下培养目标： </w:t>
      </w:r>
    </w:p>
    <w:p>
      <w:pPr>
        <w:spacing w:line="390" w:lineRule="exact"/>
        <w:ind w:firstLine="482" w:firstLineChars="200"/>
        <w:rPr>
          <w:szCs w:val="24"/>
        </w:rPr>
      </w:pPr>
      <w:r>
        <w:rPr>
          <w:b/>
          <w:szCs w:val="24"/>
        </w:rPr>
        <w:t>培养目标1：</w:t>
      </w:r>
      <w:r>
        <w:rPr>
          <w:szCs w:val="24"/>
        </w:rPr>
        <w:t>工程能力：扎实掌握数学、自然科学、计算机科学、软件工程、计算机科学和项目管理的基础理论、先进技术、方法和手段，具有运用这些知识和文献查阅解决计算机软硬件系统中的复杂工程问题，以获得有效结论的能力。</w:t>
      </w:r>
    </w:p>
    <w:p>
      <w:pPr>
        <w:spacing w:line="390" w:lineRule="exact"/>
        <w:ind w:firstLine="482" w:firstLineChars="200"/>
        <w:rPr>
          <w:szCs w:val="24"/>
        </w:rPr>
      </w:pPr>
      <w:r>
        <w:rPr>
          <w:b/>
          <w:szCs w:val="24"/>
        </w:rPr>
        <w:t>培养目标2：</w:t>
      </w:r>
      <w:r>
        <w:rPr>
          <w:szCs w:val="24"/>
        </w:rPr>
        <w:t>研究能力：具有运用计算机领域知识，开发、选择与使用恰当的技术、资源、现代工程工具和信息技术工具，对计算机复杂工程问题进行研究的能力。包括的预测与模拟问题、设计实验、分析与解释数据等能力。</w:t>
      </w:r>
    </w:p>
    <w:p>
      <w:pPr>
        <w:spacing w:line="390" w:lineRule="exact"/>
        <w:ind w:firstLine="482" w:firstLineChars="200"/>
        <w:rPr>
          <w:szCs w:val="24"/>
        </w:rPr>
      </w:pPr>
      <w:r>
        <w:rPr>
          <w:b/>
          <w:szCs w:val="24"/>
        </w:rPr>
        <w:t>培养目标3：</w:t>
      </w:r>
      <w:r>
        <w:rPr>
          <w:szCs w:val="24"/>
        </w:rPr>
        <w:t>职业素质：具有人文社会科学素养、良好的个人修养、社会责任感和社会道德，能够在计算机科学与技术工程实践中理解并遵守工程职业道德和规范，履行应承担的社会责任。</w:t>
      </w:r>
    </w:p>
    <w:p>
      <w:pPr>
        <w:spacing w:line="390" w:lineRule="exact"/>
        <w:ind w:firstLine="482" w:firstLineChars="200"/>
        <w:rPr>
          <w:szCs w:val="24"/>
        </w:rPr>
      </w:pPr>
      <w:r>
        <w:rPr>
          <w:b/>
          <w:szCs w:val="24"/>
        </w:rPr>
        <w:t>培养目标4：</w:t>
      </w:r>
      <w:r>
        <w:rPr>
          <w:szCs w:val="24"/>
        </w:rPr>
        <w:t>在多学科背景下的团队中具有协同合作、组织、协调和指挥团队开展工作的能力；在跨文化背景下具有就计算机复杂工程问题与业界同行及社会公众进行有效沟通和交流的能力。</w:t>
      </w:r>
    </w:p>
    <w:p>
      <w:pPr>
        <w:ind w:firstLine="482" w:firstLineChars="200"/>
        <w:rPr>
          <w:szCs w:val="24"/>
        </w:rPr>
      </w:pPr>
      <w:r>
        <w:rPr>
          <w:b/>
          <w:szCs w:val="24"/>
        </w:rPr>
        <w:t>培养目标5：</w:t>
      </w:r>
      <w:r>
        <w:rPr>
          <w:szCs w:val="24"/>
        </w:rPr>
        <w:t>专业拓展能力：具有较强的自主学习能力和终身学习的意识，不断学习和适应发展的能力；具有国际视野和跟踪专业领域国际发展趋势、研究热点的意识。</w:t>
      </w:r>
    </w:p>
    <w:p>
      <w:pPr>
        <w:pStyle w:val="6"/>
        <w:ind w:firstLine="480"/>
      </w:pPr>
      <w:r>
        <w:t>2. 培养要求</w:t>
      </w:r>
    </w:p>
    <w:p>
      <w:pPr>
        <w:ind w:firstLine="480" w:firstLineChars="200"/>
        <w:rPr>
          <w:szCs w:val="24"/>
        </w:rPr>
      </w:pPr>
      <w:bookmarkStart w:id="754" w:name="_Toc9712"/>
      <w:r>
        <w:rPr>
          <w:szCs w:val="24"/>
        </w:rPr>
        <w:t>根据计算机科学与技术专业的培养目标，本专业的毕业要求分为12条，细化为37个指标条目，具体如下：</w:t>
      </w:r>
    </w:p>
    <w:p>
      <w:pPr>
        <w:autoSpaceDE w:val="0"/>
        <w:autoSpaceDN w:val="0"/>
        <w:adjustRightInd w:val="0"/>
        <w:ind w:firstLine="482" w:firstLineChars="200"/>
        <w:jc w:val="left"/>
        <w:rPr>
          <w:b/>
          <w:bCs/>
          <w:szCs w:val="24"/>
        </w:rPr>
      </w:pPr>
      <w:r>
        <w:rPr>
          <w:b/>
          <w:bCs/>
          <w:szCs w:val="24"/>
        </w:rPr>
        <w:t>毕业要求1：工程知识：能够利用数学、自然科学、计算机科学、软件工程、项目管理等专业知识解决计算机软硬件系统开发设计中的复杂工程问题。</w:t>
      </w:r>
    </w:p>
    <w:p>
      <w:pPr>
        <w:ind w:firstLine="480" w:firstLineChars="200"/>
        <w:rPr>
          <w:szCs w:val="24"/>
        </w:rPr>
      </w:pPr>
      <w:r>
        <w:rPr>
          <w:rFonts w:hint="eastAsia"/>
          <w:szCs w:val="24"/>
        </w:rPr>
        <w:t xml:space="preserve">1.1 </w:t>
      </w:r>
      <w:r>
        <w:rPr>
          <w:szCs w:val="24"/>
        </w:rPr>
        <w:t>掌握分析计算机软硬件系统所需的数学和自然科学知识，以用于工程问题的建模</w:t>
      </w:r>
    </w:p>
    <w:p>
      <w:pPr>
        <w:ind w:firstLine="480" w:firstLineChars="200"/>
        <w:rPr>
          <w:szCs w:val="24"/>
        </w:rPr>
      </w:pPr>
      <w:r>
        <w:rPr>
          <w:szCs w:val="24"/>
        </w:rPr>
        <w:t>1.2</w:t>
      </w:r>
      <w:r>
        <w:rPr>
          <w:rFonts w:hint="eastAsia"/>
          <w:szCs w:val="24"/>
        </w:rPr>
        <w:t xml:space="preserve"> </w:t>
      </w:r>
      <w:r>
        <w:rPr>
          <w:szCs w:val="24"/>
        </w:rPr>
        <w:t>能够将数学与自然科学的基本概念应用于复杂工程问题的表达。</w:t>
      </w:r>
    </w:p>
    <w:p>
      <w:pPr>
        <w:ind w:firstLine="480" w:firstLineChars="200"/>
        <w:rPr>
          <w:szCs w:val="24"/>
        </w:rPr>
      </w:pPr>
      <w:r>
        <w:rPr>
          <w:szCs w:val="24"/>
        </w:rPr>
        <w:t>1.3</w:t>
      </w:r>
      <w:r>
        <w:rPr>
          <w:rFonts w:hint="eastAsia"/>
          <w:szCs w:val="24"/>
        </w:rPr>
        <w:t xml:space="preserve"> </w:t>
      </w:r>
      <w:r>
        <w:rPr>
          <w:szCs w:val="24"/>
        </w:rPr>
        <w:t>能够针对一个复杂系统或者过程选择合适的数学模型，并达到预期的指标要求。</w:t>
      </w:r>
    </w:p>
    <w:p>
      <w:pPr>
        <w:ind w:firstLine="480" w:firstLineChars="200"/>
        <w:rPr>
          <w:szCs w:val="24"/>
        </w:rPr>
      </w:pPr>
      <w:r>
        <w:rPr>
          <w:szCs w:val="24"/>
        </w:rPr>
        <w:t>1.4</w:t>
      </w:r>
      <w:r>
        <w:rPr>
          <w:rFonts w:hint="eastAsia"/>
          <w:szCs w:val="24"/>
        </w:rPr>
        <w:t xml:space="preserve"> </w:t>
      </w:r>
      <w:r>
        <w:rPr>
          <w:szCs w:val="24"/>
        </w:rPr>
        <w:t>能够运用计算机技术与软件工程的相关知识，设计并合理评价复杂工程问题的系统模型。</w:t>
      </w:r>
    </w:p>
    <w:p>
      <w:pPr>
        <w:autoSpaceDE w:val="0"/>
        <w:autoSpaceDN w:val="0"/>
        <w:adjustRightInd w:val="0"/>
        <w:ind w:firstLine="482" w:firstLineChars="200"/>
        <w:jc w:val="left"/>
        <w:rPr>
          <w:b/>
          <w:bCs/>
          <w:szCs w:val="24"/>
        </w:rPr>
      </w:pPr>
      <w:r>
        <w:rPr>
          <w:b/>
          <w:bCs/>
          <w:szCs w:val="24"/>
        </w:rPr>
        <w:t>毕业要求2：问题分析：能够将数学、自然科学与计算机软硬件系统相关的基础理论知识用于计算机软硬件系统的抽象、分析，并通过文献查阅分析计算机软硬件系统中的复杂工程问题，以获得有效结论，为系统方案设计提供依据。</w:t>
      </w:r>
    </w:p>
    <w:p>
      <w:pPr>
        <w:autoSpaceDE w:val="0"/>
        <w:autoSpaceDN w:val="0"/>
        <w:adjustRightInd w:val="0"/>
        <w:ind w:firstLine="480" w:firstLineChars="200"/>
        <w:jc w:val="left"/>
        <w:rPr>
          <w:szCs w:val="24"/>
        </w:rPr>
      </w:pPr>
      <w:r>
        <w:rPr>
          <w:szCs w:val="24"/>
        </w:rPr>
        <w:t>2.1 能够应用数学、自然科学与计算机软硬件系统相关的基础理论识别和判断计算机科学与技术领域复杂工程问题的关键环节。</w:t>
      </w:r>
    </w:p>
    <w:p>
      <w:pPr>
        <w:autoSpaceDE w:val="0"/>
        <w:autoSpaceDN w:val="0"/>
        <w:adjustRightInd w:val="0"/>
        <w:ind w:firstLine="480" w:firstLineChars="200"/>
        <w:jc w:val="left"/>
        <w:rPr>
          <w:szCs w:val="24"/>
        </w:rPr>
      </w:pPr>
      <w:r>
        <w:rPr>
          <w:szCs w:val="24"/>
        </w:rPr>
        <w:t>2.2 能够应用数学、自然科学和计算机科学与技术的基本原理，给出复杂工程问题的形式化描述。</w:t>
      </w:r>
    </w:p>
    <w:p>
      <w:pPr>
        <w:autoSpaceDE w:val="0"/>
        <w:autoSpaceDN w:val="0"/>
        <w:adjustRightInd w:val="0"/>
        <w:ind w:firstLine="480" w:firstLineChars="200"/>
        <w:jc w:val="left"/>
        <w:rPr>
          <w:szCs w:val="24"/>
        </w:rPr>
      </w:pPr>
      <w:r>
        <w:rPr>
          <w:szCs w:val="24"/>
        </w:rPr>
        <w:t>2.3 能够结合查阅文献，对计算机科学与技术领域中的相关复杂工程问题进行综合分析，并获得有效结论。</w:t>
      </w:r>
    </w:p>
    <w:p>
      <w:pPr>
        <w:autoSpaceDE w:val="0"/>
        <w:autoSpaceDN w:val="0"/>
        <w:adjustRightInd w:val="0"/>
        <w:ind w:firstLine="482" w:firstLineChars="200"/>
        <w:jc w:val="left"/>
        <w:rPr>
          <w:b/>
          <w:bCs/>
          <w:szCs w:val="24"/>
        </w:rPr>
      </w:pPr>
      <w:r>
        <w:rPr>
          <w:b/>
          <w:bCs/>
          <w:szCs w:val="24"/>
        </w:rPr>
        <w:t>毕业要求3：设计/开发解决方案：能够运用计算机软硬件系统的基本原理与方法，设计满足特定需求的系统或单元（部件）以及针对复杂计算机工程问题的解决方案，能够在设计环节中体现创新意识，并考虑社会、健康、安全、法律、文化以及环境因素。</w:t>
      </w:r>
    </w:p>
    <w:p>
      <w:pPr>
        <w:autoSpaceDE w:val="0"/>
        <w:autoSpaceDN w:val="0"/>
        <w:adjustRightInd w:val="0"/>
        <w:ind w:firstLine="480" w:firstLineChars="200"/>
        <w:jc w:val="left"/>
        <w:rPr>
          <w:szCs w:val="24"/>
        </w:rPr>
      </w:pPr>
      <w:r>
        <w:rPr>
          <w:szCs w:val="24"/>
        </w:rPr>
        <w:t>3.1 掌握设计/开发计算机软硬件系统所需要的专业知识和技术手段。</w:t>
      </w:r>
    </w:p>
    <w:p>
      <w:pPr>
        <w:autoSpaceDE w:val="0"/>
        <w:autoSpaceDN w:val="0"/>
        <w:adjustRightInd w:val="0"/>
        <w:spacing w:line="390" w:lineRule="exact"/>
        <w:ind w:firstLine="480" w:firstLineChars="200"/>
        <w:jc w:val="left"/>
        <w:rPr>
          <w:szCs w:val="24"/>
        </w:rPr>
      </w:pPr>
      <w:r>
        <w:rPr>
          <w:szCs w:val="24"/>
        </w:rPr>
        <w:t>3.2 能够针对特定需求，完成软硬件系统或单元的设计与开发。</w:t>
      </w:r>
    </w:p>
    <w:p>
      <w:pPr>
        <w:autoSpaceDE w:val="0"/>
        <w:autoSpaceDN w:val="0"/>
        <w:adjustRightInd w:val="0"/>
        <w:spacing w:line="390" w:lineRule="exact"/>
        <w:ind w:firstLine="480" w:firstLineChars="200"/>
        <w:jc w:val="left"/>
        <w:rPr>
          <w:szCs w:val="24"/>
        </w:rPr>
      </w:pPr>
      <w:r>
        <w:rPr>
          <w:szCs w:val="24"/>
        </w:rPr>
        <w:t>3.3 能够针对软硬件系统设计方案进行合理优化，体现创新意识。</w:t>
      </w:r>
    </w:p>
    <w:p>
      <w:pPr>
        <w:autoSpaceDE w:val="0"/>
        <w:autoSpaceDN w:val="0"/>
        <w:adjustRightInd w:val="0"/>
        <w:spacing w:line="390" w:lineRule="exact"/>
        <w:ind w:firstLine="480"/>
        <w:jc w:val="left"/>
        <w:rPr>
          <w:szCs w:val="24"/>
        </w:rPr>
      </w:pPr>
      <w:r>
        <w:rPr>
          <w:szCs w:val="24"/>
        </w:rPr>
        <w:t>3.4 能够针对复杂工程问题，在课程考核、科技活动以及毕业设计（论文）等设计环节综合考虑社会、健康、安全、法律、文化以及环境等诸多因素的影响。</w:t>
      </w:r>
    </w:p>
    <w:p>
      <w:pPr>
        <w:autoSpaceDE w:val="0"/>
        <w:autoSpaceDN w:val="0"/>
        <w:adjustRightInd w:val="0"/>
        <w:spacing w:line="390" w:lineRule="exact"/>
        <w:ind w:firstLine="482"/>
        <w:jc w:val="left"/>
        <w:rPr>
          <w:b/>
          <w:bCs/>
          <w:szCs w:val="24"/>
        </w:rPr>
      </w:pPr>
      <w:r>
        <w:rPr>
          <w:b/>
          <w:bCs/>
          <w:szCs w:val="24"/>
        </w:rPr>
        <w:t>毕业要求4：研究：能够基于科学原理并采用科学方法对计算机复杂工程问题进行研究。包括设计实验、分析与解释数据，并通过信息综合得到合理有效的结论。</w:t>
      </w:r>
    </w:p>
    <w:p>
      <w:pPr>
        <w:autoSpaceDE w:val="0"/>
        <w:autoSpaceDN w:val="0"/>
        <w:adjustRightInd w:val="0"/>
        <w:spacing w:line="390" w:lineRule="exact"/>
        <w:ind w:firstLine="480"/>
        <w:jc w:val="left"/>
        <w:rPr>
          <w:szCs w:val="24"/>
        </w:rPr>
      </w:pPr>
      <w:r>
        <w:rPr>
          <w:szCs w:val="24"/>
        </w:rPr>
        <w:t>4.1 能够基于计算机科学原理，采用科学方法，调研和分析解决计算机复杂工程问题的方法。</w:t>
      </w:r>
    </w:p>
    <w:p>
      <w:pPr>
        <w:autoSpaceDE w:val="0"/>
        <w:autoSpaceDN w:val="0"/>
        <w:adjustRightInd w:val="0"/>
        <w:spacing w:line="390" w:lineRule="exact"/>
        <w:ind w:firstLine="480"/>
        <w:jc w:val="left"/>
        <w:rPr>
          <w:szCs w:val="24"/>
        </w:rPr>
      </w:pPr>
      <w:r>
        <w:rPr>
          <w:szCs w:val="24"/>
        </w:rPr>
        <w:t>4.2 能够根据计算机复杂工程问题的特征，选择研究方法、技术路线，设计实验方案。</w:t>
      </w:r>
    </w:p>
    <w:p>
      <w:pPr>
        <w:autoSpaceDE w:val="0"/>
        <w:autoSpaceDN w:val="0"/>
        <w:adjustRightInd w:val="0"/>
        <w:spacing w:line="390" w:lineRule="exact"/>
        <w:ind w:firstLine="480"/>
        <w:jc w:val="left"/>
        <w:rPr>
          <w:szCs w:val="24"/>
        </w:rPr>
      </w:pPr>
      <w:r>
        <w:rPr>
          <w:szCs w:val="24"/>
        </w:rPr>
        <w:t>4.3 能够根据实验方案构建实验系统，合理开展实验，科学获取相关数据。</w:t>
      </w:r>
    </w:p>
    <w:p>
      <w:pPr>
        <w:autoSpaceDE w:val="0"/>
        <w:autoSpaceDN w:val="0"/>
        <w:adjustRightInd w:val="0"/>
        <w:spacing w:line="390" w:lineRule="exact"/>
        <w:ind w:firstLine="480"/>
        <w:jc w:val="left"/>
        <w:rPr>
          <w:szCs w:val="24"/>
        </w:rPr>
      </w:pPr>
      <w:r>
        <w:rPr>
          <w:szCs w:val="24"/>
        </w:rPr>
        <w:t>4.4 能够对实验结果进行分析和解释，并通过信息综合得到合理有效的结论。</w:t>
      </w:r>
    </w:p>
    <w:p>
      <w:pPr>
        <w:autoSpaceDE w:val="0"/>
        <w:autoSpaceDN w:val="0"/>
        <w:adjustRightInd w:val="0"/>
        <w:spacing w:line="390" w:lineRule="exact"/>
        <w:ind w:firstLine="482"/>
        <w:jc w:val="left"/>
        <w:rPr>
          <w:b/>
          <w:bCs/>
          <w:szCs w:val="24"/>
        </w:rPr>
      </w:pPr>
      <w:r>
        <w:rPr>
          <w:b/>
          <w:bCs/>
          <w:szCs w:val="24"/>
        </w:rPr>
        <w:t>毕业要求5：使用现代工具：能够针对计算机领域复杂工程问题，开发、选择与使用恰当的技术、资源、现代工程工具和信息技术工具，包括对复杂工程问题的预测与模拟，并能够理解其局限性。</w:t>
      </w:r>
    </w:p>
    <w:p>
      <w:pPr>
        <w:autoSpaceDE w:val="0"/>
        <w:autoSpaceDN w:val="0"/>
        <w:adjustRightInd w:val="0"/>
        <w:spacing w:line="390" w:lineRule="exact"/>
        <w:ind w:firstLine="480"/>
        <w:jc w:val="left"/>
        <w:rPr>
          <w:szCs w:val="24"/>
        </w:rPr>
      </w:pPr>
      <w:r>
        <w:rPr>
          <w:szCs w:val="24"/>
        </w:rPr>
        <w:t>5.1 了解常用的计算机软硬件系统的开发环境、开发工具、模拟软件的使用原理和方法，并理解其局限性。</w:t>
      </w:r>
    </w:p>
    <w:p>
      <w:pPr>
        <w:autoSpaceDE w:val="0"/>
        <w:autoSpaceDN w:val="0"/>
        <w:adjustRightInd w:val="0"/>
        <w:spacing w:line="390" w:lineRule="exact"/>
        <w:ind w:firstLine="480"/>
        <w:jc w:val="left"/>
        <w:rPr>
          <w:szCs w:val="24"/>
        </w:rPr>
      </w:pPr>
      <w:r>
        <w:rPr>
          <w:szCs w:val="24"/>
        </w:rPr>
        <w:t>5.2 能够根据计算机软硬件系统的实际需求，选择与使用恰当的开发环境、开发工具、模拟软件和信息资源，对计算机复杂工程问题进行分析、计算与设计。</w:t>
      </w:r>
    </w:p>
    <w:p>
      <w:pPr>
        <w:autoSpaceDE w:val="0"/>
        <w:autoSpaceDN w:val="0"/>
        <w:adjustRightInd w:val="0"/>
        <w:spacing w:line="390" w:lineRule="exact"/>
        <w:ind w:firstLine="480"/>
        <w:jc w:val="left"/>
        <w:rPr>
          <w:szCs w:val="24"/>
        </w:rPr>
      </w:pPr>
      <w:r>
        <w:rPr>
          <w:szCs w:val="24"/>
        </w:rPr>
        <w:t>5.3 能够针对计算机复杂工程具体问题，开发或选用满足特定需求的现代工具，模拟和预测相关专业问题，并能够分析所得结论的局限性。</w:t>
      </w:r>
    </w:p>
    <w:p>
      <w:pPr>
        <w:autoSpaceDE w:val="0"/>
        <w:autoSpaceDN w:val="0"/>
        <w:adjustRightInd w:val="0"/>
        <w:spacing w:line="390" w:lineRule="exact"/>
        <w:ind w:firstLine="482"/>
        <w:jc w:val="left"/>
        <w:rPr>
          <w:b/>
          <w:bCs/>
          <w:szCs w:val="24"/>
        </w:rPr>
      </w:pPr>
      <w:r>
        <w:rPr>
          <w:b/>
          <w:bCs/>
          <w:szCs w:val="24"/>
        </w:rPr>
        <w:t>毕业要求6：工程与社会：能够基于计算机工程相关背景知识进行合理分析，评价专业工程实践和复杂工程问题解决方案对社会、健康、安全、法律以及文化的影响，并理解应承担的责任。</w:t>
      </w:r>
    </w:p>
    <w:p>
      <w:pPr>
        <w:autoSpaceDE w:val="0"/>
        <w:autoSpaceDN w:val="0"/>
        <w:adjustRightInd w:val="0"/>
        <w:spacing w:line="390" w:lineRule="exact"/>
        <w:ind w:firstLine="480"/>
        <w:jc w:val="left"/>
        <w:rPr>
          <w:szCs w:val="24"/>
        </w:rPr>
      </w:pPr>
      <w:r>
        <w:rPr>
          <w:szCs w:val="24"/>
        </w:rPr>
        <w:t>6.1 具有计算机专业领域工程实训或实习经历，获得相关的工程背景知识。</w:t>
      </w:r>
    </w:p>
    <w:p>
      <w:pPr>
        <w:autoSpaceDE w:val="0"/>
        <w:autoSpaceDN w:val="0"/>
        <w:adjustRightInd w:val="0"/>
        <w:spacing w:line="390" w:lineRule="exact"/>
        <w:ind w:firstLine="480"/>
        <w:jc w:val="left"/>
        <w:rPr>
          <w:szCs w:val="24"/>
        </w:rPr>
      </w:pPr>
      <w:r>
        <w:rPr>
          <w:szCs w:val="24"/>
        </w:rPr>
        <w:t>6.2</w:t>
      </w:r>
      <w:r>
        <w:rPr>
          <w:rFonts w:hint="eastAsia"/>
          <w:szCs w:val="24"/>
        </w:rPr>
        <w:t xml:space="preserve"> </w:t>
      </w:r>
      <w:r>
        <w:rPr>
          <w:szCs w:val="24"/>
        </w:rPr>
        <w:t>了解计算机科学与技术专业相关领域的技术标准体系、知识产权、产业政策和法律法规，理解不同社会文化对计算机工程活动的影响；</w:t>
      </w:r>
    </w:p>
    <w:p>
      <w:pPr>
        <w:autoSpaceDE w:val="0"/>
        <w:autoSpaceDN w:val="0"/>
        <w:adjustRightInd w:val="0"/>
        <w:spacing w:line="390" w:lineRule="exact"/>
        <w:ind w:firstLine="480"/>
        <w:jc w:val="left"/>
        <w:rPr>
          <w:szCs w:val="24"/>
        </w:rPr>
      </w:pPr>
      <w:r>
        <w:rPr>
          <w:szCs w:val="24"/>
        </w:rPr>
        <w:t>6.3 能够在计算机专业工程实践和复杂工程问题解决方案中分析和评价对社会、健康、安全、法律、文化的影响，以及这些制约因素对项目实施的影响，并理解应承担的责任。</w:t>
      </w:r>
    </w:p>
    <w:p>
      <w:pPr>
        <w:autoSpaceDE w:val="0"/>
        <w:autoSpaceDN w:val="0"/>
        <w:adjustRightInd w:val="0"/>
        <w:spacing w:line="390" w:lineRule="exact"/>
        <w:ind w:firstLine="482"/>
        <w:jc w:val="left"/>
        <w:rPr>
          <w:b/>
          <w:bCs/>
          <w:szCs w:val="24"/>
        </w:rPr>
      </w:pPr>
      <w:r>
        <w:rPr>
          <w:b/>
          <w:bCs/>
          <w:szCs w:val="24"/>
        </w:rPr>
        <w:t>毕业要求7：环境和可持续发展：能够理解和评价针对计算机复杂工程问题的工程实践对环境、社会可持续发展的影响。</w:t>
      </w:r>
    </w:p>
    <w:p>
      <w:pPr>
        <w:autoSpaceDE w:val="0"/>
        <w:autoSpaceDN w:val="0"/>
        <w:adjustRightInd w:val="0"/>
        <w:spacing w:line="390" w:lineRule="exact"/>
        <w:ind w:firstLine="480"/>
        <w:jc w:val="left"/>
        <w:rPr>
          <w:szCs w:val="24"/>
        </w:rPr>
      </w:pPr>
      <w:r>
        <w:rPr>
          <w:szCs w:val="24"/>
        </w:rPr>
        <w:t>7.1 掌握环境与可持续发展的基本知识，能够理解计算机工程实践对当前社会环境与自然环境，以及可持续发展的影响。</w:t>
      </w:r>
    </w:p>
    <w:p>
      <w:pPr>
        <w:autoSpaceDE w:val="0"/>
        <w:autoSpaceDN w:val="0"/>
        <w:adjustRightInd w:val="0"/>
        <w:spacing w:line="390" w:lineRule="exact"/>
        <w:ind w:firstLine="480"/>
        <w:jc w:val="left"/>
        <w:rPr>
          <w:szCs w:val="24"/>
        </w:rPr>
      </w:pPr>
      <w:r>
        <w:rPr>
          <w:szCs w:val="24"/>
        </w:rPr>
        <w:t>7.2 能够站在环境保护和可持续发展的角度思考计算机科学与技术专业工程实践的可持续性，评价产品周期中可能对人类和环境造成的损害和隐患。</w:t>
      </w:r>
    </w:p>
    <w:p>
      <w:pPr>
        <w:autoSpaceDE w:val="0"/>
        <w:autoSpaceDN w:val="0"/>
        <w:adjustRightInd w:val="0"/>
        <w:spacing w:line="390" w:lineRule="exact"/>
        <w:ind w:firstLine="482"/>
        <w:jc w:val="left"/>
        <w:rPr>
          <w:b/>
          <w:bCs/>
          <w:szCs w:val="24"/>
        </w:rPr>
      </w:pPr>
      <w:r>
        <w:rPr>
          <w:b/>
          <w:bCs/>
          <w:szCs w:val="24"/>
        </w:rPr>
        <w:t>毕业要求8：职业规范：具有人文社会科学素养、社会责任感，能够在计算机科学与技术工程实践中理解并遵守工程职业道德和规范，履行责任。</w:t>
      </w:r>
    </w:p>
    <w:p>
      <w:pPr>
        <w:autoSpaceDE w:val="0"/>
        <w:autoSpaceDN w:val="0"/>
        <w:adjustRightInd w:val="0"/>
        <w:spacing w:line="390" w:lineRule="exact"/>
        <w:ind w:firstLine="480"/>
        <w:jc w:val="left"/>
        <w:rPr>
          <w:szCs w:val="24"/>
        </w:rPr>
      </w:pPr>
      <w:r>
        <w:rPr>
          <w:szCs w:val="24"/>
        </w:rPr>
        <w:t>8.1 理解世界观、人生观和价值观的基本意义及影响，具有维护国家利益、服务国家需求的意识。</w:t>
      </w:r>
    </w:p>
    <w:p>
      <w:pPr>
        <w:autoSpaceDE w:val="0"/>
        <w:autoSpaceDN w:val="0"/>
        <w:adjustRightInd w:val="0"/>
        <w:spacing w:line="390" w:lineRule="exact"/>
        <w:ind w:firstLine="480"/>
        <w:jc w:val="left"/>
        <w:rPr>
          <w:szCs w:val="24"/>
        </w:rPr>
      </w:pPr>
      <w:r>
        <w:rPr>
          <w:szCs w:val="24"/>
        </w:rPr>
        <w:t>8.2 理解</w:t>
      </w:r>
      <w:r>
        <w:rPr>
          <w:spacing w:val="-6"/>
          <w:szCs w:val="24"/>
        </w:rPr>
        <w:t>诚实公正、诚信守则的工程职业道德和规范，并能</w:t>
      </w:r>
      <w:r>
        <w:rPr>
          <w:szCs w:val="24"/>
        </w:rPr>
        <w:t>在工程实践中自觉遵守。</w:t>
      </w:r>
    </w:p>
    <w:p>
      <w:pPr>
        <w:autoSpaceDE w:val="0"/>
        <w:autoSpaceDN w:val="0"/>
        <w:adjustRightInd w:val="0"/>
        <w:spacing w:line="390" w:lineRule="exact"/>
        <w:ind w:firstLine="480"/>
        <w:jc w:val="left"/>
        <w:rPr>
          <w:szCs w:val="24"/>
        </w:rPr>
      </w:pPr>
      <w:r>
        <w:rPr>
          <w:szCs w:val="24"/>
        </w:rPr>
        <w:t>8.3 理解工程师对公众的安全、健康和福祉，以及环境保护的社会责任，在工程实践中履行工程师的职业责任，增强社会责任感。</w:t>
      </w:r>
    </w:p>
    <w:p>
      <w:pPr>
        <w:autoSpaceDE w:val="0"/>
        <w:autoSpaceDN w:val="0"/>
        <w:adjustRightInd w:val="0"/>
        <w:spacing w:line="390" w:lineRule="exact"/>
        <w:ind w:firstLine="482"/>
        <w:jc w:val="left"/>
        <w:rPr>
          <w:b/>
          <w:bCs/>
          <w:szCs w:val="24"/>
        </w:rPr>
      </w:pPr>
      <w:r>
        <w:rPr>
          <w:b/>
          <w:bCs/>
          <w:szCs w:val="24"/>
        </w:rPr>
        <w:t>毕业要求9：个人和团队：能够在多学科背景下的团队中理解和承担个体、团队成员以及负责人的角色，并发挥响应的作用。</w:t>
      </w:r>
    </w:p>
    <w:p>
      <w:pPr>
        <w:autoSpaceDE w:val="0"/>
        <w:autoSpaceDN w:val="0"/>
        <w:adjustRightInd w:val="0"/>
        <w:spacing w:line="390" w:lineRule="exact"/>
        <w:ind w:firstLine="480"/>
        <w:jc w:val="left"/>
        <w:rPr>
          <w:szCs w:val="24"/>
        </w:rPr>
      </w:pPr>
      <w:r>
        <w:rPr>
          <w:szCs w:val="24"/>
        </w:rPr>
        <w:t>9.1 理解尊重个人权利与利益的重要性，理解个人和团队的利益统一性，具有协同合作的精神。</w:t>
      </w:r>
    </w:p>
    <w:p>
      <w:pPr>
        <w:autoSpaceDE w:val="0"/>
        <w:autoSpaceDN w:val="0"/>
        <w:adjustRightInd w:val="0"/>
        <w:spacing w:line="390" w:lineRule="exact"/>
        <w:ind w:firstLine="480"/>
        <w:jc w:val="left"/>
        <w:rPr>
          <w:szCs w:val="24"/>
        </w:rPr>
      </w:pPr>
      <w:r>
        <w:rPr>
          <w:szCs w:val="24"/>
        </w:rPr>
        <w:t>9.2 能与其他学科的成员有效沟通，合作共事。</w:t>
      </w:r>
    </w:p>
    <w:p>
      <w:pPr>
        <w:autoSpaceDE w:val="0"/>
        <w:autoSpaceDN w:val="0"/>
        <w:adjustRightInd w:val="0"/>
        <w:ind w:firstLine="480"/>
        <w:jc w:val="left"/>
        <w:rPr>
          <w:szCs w:val="24"/>
        </w:rPr>
      </w:pPr>
      <w:r>
        <w:rPr>
          <w:szCs w:val="24"/>
        </w:rPr>
        <w:t>9.3 能够在团队中独立或合作开展工作，并能够组织、协调和指挥团队开展工作。</w:t>
      </w:r>
    </w:p>
    <w:p>
      <w:pPr>
        <w:autoSpaceDE w:val="0"/>
        <w:autoSpaceDN w:val="0"/>
        <w:adjustRightInd w:val="0"/>
        <w:ind w:firstLine="482"/>
        <w:jc w:val="left"/>
        <w:rPr>
          <w:b/>
          <w:bCs/>
          <w:szCs w:val="24"/>
        </w:rPr>
      </w:pPr>
      <w:r>
        <w:rPr>
          <w:b/>
          <w:bCs/>
          <w:szCs w:val="24"/>
        </w:rPr>
        <w:t>毕业要求10：沟通：能够就计算机复杂工程问题与业界同行及社会公众进行有效沟通和交流，包括撰写报告和设计文稿、陈述发言、清晰表达或回应指令，并具备一定的国际视野，能够在跨文化背景下进行沟通和交流。</w:t>
      </w:r>
    </w:p>
    <w:p>
      <w:pPr>
        <w:autoSpaceDE w:val="0"/>
        <w:autoSpaceDN w:val="0"/>
        <w:adjustRightInd w:val="0"/>
        <w:ind w:firstLine="480"/>
        <w:jc w:val="left"/>
        <w:rPr>
          <w:szCs w:val="24"/>
        </w:rPr>
      </w:pPr>
      <w:r>
        <w:rPr>
          <w:szCs w:val="24"/>
        </w:rPr>
        <w:t>10.1 能就专业问题，以口头、文稿、图表等方式，准确表达自己的观点，回应质疑，理解与业界同行和社会公众交流的差异性。</w:t>
      </w:r>
    </w:p>
    <w:p>
      <w:pPr>
        <w:autoSpaceDE w:val="0"/>
        <w:autoSpaceDN w:val="0"/>
        <w:adjustRightInd w:val="0"/>
        <w:ind w:firstLine="480"/>
        <w:jc w:val="left"/>
        <w:rPr>
          <w:szCs w:val="24"/>
        </w:rPr>
      </w:pPr>
      <w:r>
        <w:rPr>
          <w:szCs w:val="24"/>
        </w:rPr>
        <w:t>10.2 了解专业领域国际发展趋势、研究热点，理解和尊重世界不同文化的差异性和多样性。</w:t>
      </w:r>
    </w:p>
    <w:p>
      <w:pPr>
        <w:autoSpaceDE w:val="0"/>
        <w:autoSpaceDN w:val="0"/>
        <w:adjustRightInd w:val="0"/>
        <w:ind w:firstLine="480"/>
        <w:jc w:val="left"/>
        <w:rPr>
          <w:szCs w:val="24"/>
        </w:rPr>
      </w:pPr>
      <w:r>
        <w:rPr>
          <w:szCs w:val="24"/>
        </w:rPr>
        <w:t>10.3 具备计算机科学与技术专业方面的英语文献阅读、文献检索、语言交流及书面表达能力，能就专业问题，在跨文化背景下进行沟通和交流。</w:t>
      </w:r>
    </w:p>
    <w:p>
      <w:pPr>
        <w:autoSpaceDE w:val="0"/>
        <w:autoSpaceDN w:val="0"/>
        <w:adjustRightInd w:val="0"/>
        <w:ind w:firstLine="482"/>
        <w:jc w:val="left"/>
        <w:rPr>
          <w:b/>
          <w:bCs/>
          <w:szCs w:val="24"/>
        </w:rPr>
      </w:pPr>
      <w:r>
        <w:rPr>
          <w:b/>
          <w:bCs/>
          <w:szCs w:val="24"/>
        </w:rPr>
        <w:t>毕业要求11：项目管理：理解并掌握计算机工程项目管理原理与经济决策方法，并能在多学科环境中应用。</w:t>
      </w:r>
    </w:p>
    <w:p>
      <w:pPr>
        <w:autoSpaceDE w:val="0"/>
        <w:autoSpaceDN w:val="0"/>
        <w:adjustRightInd w:val="0"/>
        <w:ind w:firstLine="480"/>
        <w:jc w:val="left"/>
        <w:rPr>
          <w:szCs w:val="24"/>
        </w:rPr>
      </w:pPr>
      <w:r>
        <w:rPr>
          <w:szCs w:val="24"/>
        </w:rPr>
        <w:t>11.1 掌握计算机工程项目中涉及的管理与经济决策方法。</w:t>
      </w:r>
    </w:p>
    <w:p>
      <w:pPr>
        <w:autoSpaceDE w:val="0"/>
        <w:autoSpaceDN w:val="0"/>
        <w:adjustRightInd w:val="0"/>
        <w:ind w:firstLine="480"/>
        <w:jc w:val="left"/>
        <w:rPr>
          <w:szCs w:val="24"/>
        </w:rPr>
      </w:pPr>
      <w:r>
        <w:rPr>
          <w:szCs w:val="24"/>
        </w:rPr>
        <w:t>11.2 了解计算机工程及产品全周期、全流程的成本构成，理解其中涉及的工程管理与经济决策问题。</w:t>
      </w:r>
    </w:p>
    <w:p>
      <w:pPr>
        <w:autoSpaceDE w:val="0"/>
        <w:autoSpaceDN w:val="0"/>
        <w:adjustRightInd w:val="0"/>
        <w:ind w:firstLine="480"/>
        <w:jc w:val="left"/>
        <w:rPr>
          <w:szCs w:val="24"/>
        </w:rPr>
      </w:pPr>
      <w:r>
        <w:rPr>
          <w:szCs w:val="24"/>
        </w:rPr>
        <w:t>11.3 能在多学科环境下(包括模拟环境)，在计算机软硬件系统设计开发过程中，正确运用工程管理与经济决策方法。</w:t>
      </w:r>
    </w:p>
    <w:p>
      <w:pPr>
        <w:autoSpaceDE w:val="0"/>
        <w:autoSpaceDN w:val="0"/>
        <w:adjustRightInd w:val="0"/>
        <w:ind w:firstLine="482"/>
        <w:jc w:val="left"/>
        <w:rPr>
          <w:b/>
          <w:bCs/>
          <w:szCs w:val="24"/>
        </w:rPr>
      </w:pPr>
      <w:r>
        <w:rPr>
          <w:b/>
          <w:bCs/>
          <w:szCs w:val="24"/>
        </w:rPr>
        <w:t>毕业要求12：终身学习：具有较强的自主学习能力和终身学习的意识，不断学习和适应发展的能力。</w:t>
      </w:r>
    </w:p>
    <w:p>
      <w:pPr>
        <w:autoSpaceDE w:val="0"/>
        <w:autoSpaceDN w:val="0"/>
        <w:adjustRightInd w:val="0"/>
        <w:ind w:firstLine="480"/>
        <w:jc w:val="left"/>
        <w:rPr>
          <w:szCs w:val="24"/>
        </w:rPr>
      </w:pPr>
      <w:r>
        <w:rPr>
          <w:szCs w:val="24"/>
        </w:rPr>
        <w:t>12.1 理解自主学习和终身学习的重要性与必要性，掌握一定的自主学习和终身学习的方法，了解拓展知识和能力的途径。</w:t>
      </w:r>
    </w:p>
    <w:p>
      <w:pPr>
        <w:autoSpaceDE w:val="0"/>
        <w:autoSpaceDN w:val="0"/>
        <w:adjustRightInd w:val="0"/>
        <w:ind w:firstLine="480"/>
        <w:jc w:val="left"/>
        <w:rPr>
          <w:szCs w:val="24"/>
        </w:rPr>
      </w:pPr>
      <w:r>
        <w:rPr>
          <w:szCs w:val="24"/>
        </w:rPr>
        <w:t>12.2 能够在本专业的各种教学和实践环节中，体现出自主学习和终身学习意识，在复杂工程问题的解决方案中具备一定的自主学习和终身学习的能力。</w:t>
      </w:r>
    </w:p>
    <w:p>
      <w:pPr>
        <w:autoSpaceDE w:val="0"/>
        <w:autoSpaceDN w:val="0"/>
        <w:adjustRightInd w:val="0"/>
        <w:spacing w:line="360" w:lineRule="auto"/>
        <w:jc w:val="center"/>
        <w:rPr>
          <w:b/>
          <w:bCs/>
          <w:sz w:val="21"/>
          <w:szCs w:val="21"/>
        </w:rPr>
      </w:pPr>
      <w:r>
        <w:rPr>
          <w:b/>
          <w:bCs/>
          <w:sz w:val="21"/>
          <w:szCs w:val="21"/>
        </w:rPr>
        <w:t>表1  毕业要求对培养目标的支撑关系矩阵</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97"/>
        <w:gridCol w:w="1290"/>
        <w:gridCol w:w="1293"/>
        <w:gridCol w:w="1291"/>
        <w:gridCol w:w="1293"/>
        <w:gridCol w:w="12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94" w:hRule="atLeast"/>
          <w:tblHeader/>
          <w:jc w:val="center"/>
        </w:trPr>
        <w:tc>
          <w:tcPr>
            <w:tcW w:w="1433" w:type="pct"/>
            <w:tcBorders>
              <w:tl2br w:val="single" w:color="auto" w:sz="4" w:space="0"/>
            </w:tcBorders>
            <w:vAlign w:val="center"/>
          </w:tcPr>
          <w:p>
            <w:pPr>
              <w:spacing w:line="240" w:lineRule="auto"/>
              <w:jc w:val="right"/>
              <w:rPr>
                <w:b/>
                <w:bCs/>
                <w:snapToGrid w:val="0"/>
                <w:sz w:val="21"/>
                <w:szCs w:val="21"/>
              </w:rPr>
            </w:pPr>
            <w:r>
              <w:rPr>
                <w:b/>
                <w:bCs/>
                <w:snapToGrid w:val="0"/>
                <w:sz w:val="21"/>
                <w:szCs w:val="21"/>
              </w:rPr>
              <w:t>培养目标</w:t>
            </w:r>
          </w:p>
          <w:p>
            <w:pPr>
              <w:spacing w:line="240" w:lineRule="auto"/>
              <w:jc w:val="left"/>
              <w:rPr>
                <w:b/>
                <w:bCs/>
                <w:snapToGrid w:val="0"/>
                <w:sz w:val="21"/>
                <w:szCs w:val="21"/>
              </w:rPr>
            </w:pPr>
            <w:r>
              <w:rPr>
                <w:b/>
                <w:bCs/>
                <w:snapToGrid w:val="0"/>
                <w:sz w:val="21"/>
                <w:szCs w:val="21"/>
              </w:rPr>
              <w:t>毕业要求</w:t>
            </w:r>
          </w:p>
        </w:tc>
        <w:tc>
          <w:tcPr>
            <w:tcW w:w="712" w:type="pct"/>
            <w:tcBorders>
              <w:bottom w:val="single" w:color="auto" w:sz="4" w:space="0"/>
            </w:tcBorders>
            <w:vAlign w:val="center"/>
          </w:tcPr>
          <w:p>
            <w:pPr>
              <w:spacing w:line="240" w:lineRule="auto"/>
              <w:rPr>
                <w:b/>
                <w:bCs/>
                <w:snapToGrid w:val="0"/>
                <w:sz w:val="21"/>
                <w:szCs w:val="21"/>
              </w:rPr>
            </w:pPr>
            <w:r>
              <w:rPr>
                <w:b/>
                <w:bCs/>
                <w:snapToGrid w:val="0"/>
                <w:sz w:val="21"/>
                <w:szCs w:val="21"/>
              </w:rPr>
              <w:t>目标1</w:t>
            </w:r>
          </w:p>
        </w:tc>
        <w:tc>
          <w:tcPr>
            <w:tcW w:w="713" w:type="pct"/>
            <w:vAlign w:val="center"/>
          </w:tcPr>
          <w:p>
            <w:pPr>
              <w:spacing w:line="240" w:lineRule="auto"/>
              <w:rPr>
                <w:b/>
                <w:bCs/>
                <w:snapToGrid w:val="0"/>
                <w:sz w:val="21"/>
                <w:szCs w:val="21"/>
              </w:rPr>
            </w:pPr>
            <w:r>
              <w:rPr>
                <w:b/>
                <w:bCs/>
                <w:snapToGrid w:val="0"/>
                <w:sz w:val="21"/>
                <w:szCs w:val="21"/>
              </w:rPr>
              <w:t>目标2</w:t>
            </w:r>
          </w:p>
        </w:tc>
        <w:tc>
          <w:tcPr>
            <w:tcW w:w="712" w:type="pct"/>
            <w:vAlign w:val="center"/>
          </w:tcPr>
          <w:p>
            <w:pPr>
              <w:spacing w:line="240" w:lineRule="auto"/>
              <w:rPr>
                <w:b/>
                <w:bCs/>
                <w:snapToGrid w:val="0"/>
                <w:sz w:val="21"/>
                <w:szCs w:val="21"/>
              </w:rPr>
            </w:pPr>
            <w:r>
              <w:rPr>
                <w:b/>
                <w:bCs/>
                <w:snapToGrid w:val="0"/>
                <w:sz w:val="21"/>
                <w:szCs w:val="21"/>
              </w:rPr>
              <w:t>目标3</w:t>
            </w:r>
          </w:p>
        </w:tc>
        <w:tc>
          <w:tcPr>
            <w:tcW w:w="713" w:type="pct"/>
            <w:vAlign w:val="center"/>
          </w:tcPr>
          <w:p>
            <w:pPr>
              <w:spacing w:line="240" w:lineRule="auto"/>
              <w:jc w:val="left"/>
              <w:rPr>
                <w:b/>
                <w:bCs/>
                <w:snapToGrid w:val="0"/>
                <w:sz w:val="21"/>
                <w:szCs w:val="21"/>
              </w:rPr>
            </w:pPr>
            <w:r>
              <w:rPr>
                <w:b/>
                <w:bCs/>
                <w:snapToGrid w:val="0"/>
                <w:sz w:val="21"/>
                <w:szCs w:val="21"/>
              </w:rPr>
              <w:t>目标4</w:t>
            </w:r>
          </w:p>
        </w:tc>
        <w:tc>
          <w:tcPr>
            <w:tcW w:w="713" w:type="pct"/>
            <w:vAlign w:val="center"/>
          </w:tcPr>
          <w:p>
            <w:pPr>
              <w:spacing w:line="240" w:lineRule="auto"/>
              <w:rPr>
                <w:b/>
                <w:bCs/>
                <w:snapToGrid w:val="0"/>
                <w:sz w:val="21"/>
                <w:szCs w:val="21"/>
              </w:rPr>
            </w:pPr>
            <w:r>
              <w:rPr>
                <w:b/>
                <w:bCs/>
                <w:snapToGrid w:val="0"/>
                <w:sz w:val="21"/>
                <w:szCs w:val="21"/>
              </w:rPr>
              <w:t>目标5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33" w:type="pct"/>
            <w:vAlign w:val="center"/>
          </w:tcPr>
          <w:p>
            <w:pPr>
              <w:spacing w:line="240" w:lineRule="auto"/>
              <w:jc w:val="left"/>
              <w:rPr>
                <w:bCs/>
                <w:snapToGrid w:val="0"/>
                <w:sz w:val="21"/>
                <w:szCs w:val="21"/>
              </w:rPr>
            </w:pPr>
            <w:r>
              <w:rPr>
                <w:bCs/>
                <w:snapToGrid w:val="0"/>
                <w:sz w:val="21"/>
                <w:szCs w:val="21"/>
              </w:rPr>
              <w:t>1.工程知识</w:t>
            </w:r>
          </w:p>
        </w:tc>
        <w:tc>
          <w:tcPr>
            <w:tcW w:w="712" w:type="pct"/>
            <w:shd w:val="clear" w:color="auto" w:fill="A5A5A5" w:themeFill="background1" w:themeFillShade="A6"/>
            <w:vAlign w:val="center"/>
          </w:tcPr>
          <w:p>
            <w:pPr>
              <w:autoSpaceDE w:val="0"/>
              <w:autoSpaceDN w:val="0"/>
              <w:adjustRightInd w:val="0"/>
              <w:spacing w:line="240" w:lineRule="auto"/>
              <w:jc w:val="center"/>
              <w:rPr>
                <w:rFonts w:eastAsia="仿宋"/>
                <w:kern w:val="0"/>
                <w:sz w:val="21"/>
                <w:szCs w:val="21"/>
              </w:rPr>
            </w:pPr>
            <w:r>
              <w:rPr>
                <w:rFonts w:eastAsia="仿宋"/>
                <w:kern w:val="0"/>
                <w:sz w:val="21"/>
                <w:szCs w:val="21"/>
              </w:rPr>
              <w:t>√</w:t>
            </w:r>
          </w:p>
        </w:tc>
        <w:tc>
          <w:tcPr>
            <w:tcW w:w="713" w:type="pct"/>
            <w:tcBorders>
              <w:bottom w:val="single" w:color="auto" w:sz="4" w:space="0"/>
            </w:tcBorders>
            <w:vAlign w:val="center"/>
          </w:tcPr>
          <w:p>
            <w:pPr>
              <w:autoSpaceDE w:val="0"/>
              <w:autoSpaceDN w:val="0"/>
              <w:adjustRightInd w:val="0"/>
              <w:spacing w:line="240" w:lineRule="auto"/>
              <w:jc w:val="center"/>
              <w:rPr>
                <w:rFonts w:eastAsia="仿宋"/>
                <w:kern w:val="0"/>
                <w:sz w:val="21"/>
                <w:szCs w:val="21"/>
              </w:rPr>
            </w:pPr>
          </w:p>
        </w:tc>
        <w:tc>
          <w:tcPr>
            <w:tcW w:w="712" w:type="pct"/>
            <w:vAlign w:val="center"/>
          </w:tcPr>
          <w:p>
            <w:pPr>
              <w:autoSpaceDE w:val="0"/>
              <w:autoSpaceDN w:val="0"/>
              <w:adjustRightInd w:val="0"/>
              <w:spacing w:line="240" w:lineRule="auto"/>
              <w:jc w:val="center"/>
              <w:rPr>
                <w:rFonts w:eastAsia="仿宋"/>
                <w:kern w:val="0"/>
                <w:sz w:val="21"/>
                <w:szCs w:val="21"/>
              </w:rPr>
            </w:pPr>
          </w:p>
        </w:tc>
        <w:tc>
          <w:tcPr>
            <w:tcW w:w="713" w:type="pct"/>
            <w:vAlign w:val="center"/>
          </w:tcPr>
          <w:p>
            <w:pPr>
              <w:autoSpaceDE w:val="0"/>
              <w:autoSpaceDN w:val="0"/>
              <w:adjustRightInd w:val="0"/>
              <w:spacing w:line="240" w:lineRule="auto"/>
              <w:jc w:val="center"/>
              <w:rPr>
                <w:rFonts w:eastAsia="仿宋"/>
                <w:kern w:val="0"/>
                <w:sz w:val="21"/>
                <w:szCs w:val="21"/>
              </w:rPr>
            </w:pPr>
          </w:p>
        </w:tc>
        <w:tc>
          <w:tcPr>
            <w:tcW w:w="713" w:type="pct"/>
            <w:vAlign w:val="center"/>
          </w:tcPr>
          <w:p>
            <w:pPr>
              <w:spacing w:line="240" w:lineRule="auto"/>
              <w:jc w:val="center"/>
              <w:rPr>
                <w:rFonts w:eastAsia="仿宋"/>
                <w:bCs/>
                <w:snapToGrid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33" w:type="pct"/>
            <w:vAlign w:val="center"/>
          </w:tcPr>
          <w:p>
            <w:pPr>
              <w:spacing w:line="240" w:lineRule="auto"/>
              <w:jc w:val="left"/>
              <w:rPr>
                <w:bCs/>
                <w:snapToGrid w:val="0"/>
                <w:sz w:val="21"/>
                <w:szCs w:val="21"/>
              </w:rPr>
            </w:pPr>
            <w:r>
              <w:rPr>
                <w:bCs/>
                <w:snapToGrid w:val="0"/>
                <w:sz w:val="21"/>
                <w:szCs w:val="21"/>
              </w:rPr>
              <w:t>2.问题分析</w:t>
            </w:r>
          </w:p>
        </w:tc>
        <w:tc>
          <w:tcPr>
            <w:tcW w:w="712" w:type="pct"/>
            <w:shd w:val="clear" w:color="auto" w:fill="A5A5A5" w:themeFill="background1" w:themeFillShade="A6"/>
            <w:vAlign w:val="center"/>
          </w:tcPr>
          <w:p>
            <w:pPr>
              <w:autoSpaceDE w:val="0"/>
              <w:autoSpaceDN w:val="0"/>
              <w:adjustRightInd w:val="0"/>
              <w:spacing w:line="240" w:lineRule="auto"/>
              <w:jc w:val="center"/>
              <w:rPr>
                <w:rFonts w:eastAsia="仿宋"/>
                <w:kern w:val="0"/>
                <w:sz w:val="21"/>
                <w:szCs w:val="21"/>
              </w:rPr>
            </w:pPr>
            <w:r>
              <w:rPr>
                <w:rFonts w:eastAsia="仿宋"/>
                <w:kern w:val="0"/>
                <w:sz w:val="21"/>
                <w:szCs w:val="21"/>
              </w:rPr>
              <w:t>√</w:t>
            </w:r>
          </w:p>
        </w:tc>
        <w:tc>
          <w:tcPr>
            <w:tcW w:w="713" w:type="pct"/>
            <w:shd w:val="clear" w:color="auto" w:fill="A5A5A5" w:themeFill="background1" w:themeFillShade="A6"/>
            <w:vAlign w:val="center"/>
          </w:tcPr>
          <w:p>
            <w:pPr>
              <w:autoSpaceDE w:val="0"/>
              <w:autoSpaceDN w:val="0"/>
              <w:adjustRightInd w:val="0"/>
              <w:spacing w:line="240" w:lineRule="auto"/>
              <w:jc w:val="center"/>
              <w:rPr>
                <w:rFonts w:eastAsia="仿宋"/>
                <w:kern w:val="0"/>
                <w:sz w:val="21"/>
                <w:szCs w:val="21"/>
              </w:rPr>
            </w:pPr>
            <w:r>
              <w:rPr>
                <w:rFonts w:eastAsia="仿宋"/>
                <w:kern w:val="0"/>
                <w:sz w:val="21"/>
                <w:szCs w:val="21"/>
              </w:rPr>
              <w:t>√</w:t>
            </w:r>
          </w:p>
        </w:tc>
        <w:tc>
          <w:tcPr>
            <w:tcW w:w="712" w:type="pct"/>
            <w:vAlign w:val="center"/>
          </w:tcPr>
          <w:p>
            <w:pPr>
              <w:autoSpaceDE w:val="0"/>
              <w:autoSpaceDN w:val="0"/>
              <w:adjustRightInd w:val="0"/>
              <w:spacing w:line="240" w:lineRule="auto"/>
              <w:jc w:val="center"/>
              <w:rPr>
                <w:rFonts w:eastAsia="仿宋"/>
                <w:kern w:val="0"/>
                <w:sz w:val="21"/>
                <w:szCs w:val="21"/>
              </w:rPr>
            </w:pPr>
          </w:p>
        </w:tc>
        <w:tc>
          <w:tcPr>
            <w:tcW w:w="713" w:type="pct"/>
            <w:vAlign w:val="center"/>
          </w:tcPr>
          <w:p>
            <w:pPr>
              <w:autoSpaceDE w:val="0"/>
              <w:autoSpaceDN w:val="0"/>
              <w:adjustRightInd w:val="0"/>
              <w:spacing w:line="240" w:lineRule="auto"/>
              <w:jc w:val="center"/>
              <w:rPr>
                <w:rFonts w:eastAsia="仿宋"/>
                <w:kern w:val="0"/>
                <w:sz w:val="21"/>
                <w:szCs w:val="21"/>
              </w:rPr>
            </w:pPr>
          </w:p>
        </w:tc>
        <w:tc>
          <w:tcPr>
            <w:tcW w:w="713" w:type="pct"/>
            <w:vAlign w:val="center"/>
          </w:tcPr>
          <w:p>
            <w:pPr>
              <w:spacing w:line="240" w:lineRule="auto"/>
              <w:jc w:val="center"/>
              <w:rPr>
                <w:rFonts w:eastAsia="仿宋"/>
                <w:bCs/>
                <w:snapToGrid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33" w:type="pct"/>
            <w:vAlign w:val="center"/>
          </w:tcPr>
          <w:p>
            <w:pPr>
              <w:spacing w:line="240" w:lineRule="auto"/>
              <w:jc w:val="left"/>
              <w:rPr>
                <w:bCs/>
                <w:snapToGrid w:val="0"/>
                <w:sz w:val="21"/>
                <w:szCs w:val="21"/>
              </w:rPr>
            </w:pPr>
            <w:r>
              <w:rPr>
                <w:bCs/>
                <w:snapToGrid w:val="0"/>
                <w:sz w:val="21"/>
                <w:szCs w:val="21"/>
              </w:rPr>
              <w:t>3.设计/开发解决方案</w:t>
            </w:r>
          </w:p>
        </w:tc>
        <w:tc>
          <w:tcPr>
            <w:tcW w:w="712" w:type="pct"/>
            <w:shd w:val="clear" w:color="auto" w:fill="A5A5A5" w:themeFill="background1" w:themeFillShade="A6"/>
            <w:vAlign w:val="center"/>
          </w:tcPr>
          <w:p>
            <w:pPr>
              <w:autoSpaceDE w:val="0"/>
              <w:autoSpaceDN w:val="0"/>
              <w:adjustRightInd w:val="0"/>
              <w:spacing w:line="240" w:lineRule="auto"/>
              <w:jc w:val="center"/>
              <w:rPr>
                <w:rFonts w:eastAsia="仿宋"/>
                <w:kern w:val="0"/>
                <w:sz w:val="21"/>
                <w:szCs w:val="21"/>
              </w:rPr>
            </w:pPr>
            <w:r>
              <w:rPr>
                <w:rFonts w:eastAsia="仿宋"/>
                <w:kern w:val="0"/>
                <w:sz w:val="21"/>
                <w:szCs w:val="21"/>
              </w:rPr>
              <w:t>√</w:t>
            </w:r>
          </w:p>
        </w:tc>
        <w:tc>
          <w:tcPr>
            <w:tcW w:w="713" w:type="pct"/>
            <w:shd w:val="clear" w:color="auto" w:fill="A5A5A5" w:themeFill="background1" w:themeFillShade="A6"/>
            <w:vAlign w:val="center"/>
          </w:tcPr>
          <w:p>
            <w:pPr>
              <w:autoSpaceDE w:val="0"/>
              <w:autoSpaceDN w:val="0"/>
              <w:adjustRightInd w:val="0"/>
              <w:spacing w:line="240" w:lineRule="auto"/>
              <w:jc w:val="center"/>
              <w:rPr>
                <w:rFonts w:eastAsia="仿宋"/>
                <w:kern w:val="0"/>
                <w:sz w:val="21"/>
                <w:szCs w:val="21"/>
              </w:rPr>
            </w:pPr>
            <w:r>
              <w:rPr>
                <w:rFonts w:eastAsia="仿宋"/>
                <w:kern w:val="0"/>
                <w:sz w:val="21"/>
                <w:szCs w:val="21"/>
              </w:rPr>
              <w:t>√</w:t>
            </w:r>
          </w:p>
        </w:tc>
        <w:tc>
          <w:tcPr>
            <w:tcW w:w="712" w:type="pct"/>
            <w:vAlign w:val="center"/>
          </w:tcPr>
          <w:p>
            <w:pPr>
              <w:autoSpaceDE w:val="0"/>
              <w:autoSpaceDN w:val="0"/>
              <w:adjustRightInd w:val="0"/>
              <w:spacing w:line="240" w:lineRule="auto"/>
              <w:jc w:val="center"/>
              <w:rPr>
                <w:rFonts w:eastAsia="仿宋"/>
                <w:kern w:val="0"/>
                <w:sz w:val="21"/>
                <w:szCs w:val="21"/>
              </w:rPr>
            </w:pPr>
          </w:p>
        </w:tc>
        <w:tc>
          <w:tcPr>
            <w:tcW w:w="713" w:type="pct"/>
            <w:vAlign w:val="center"/>
          </w:tcPr>
          <w:p>
            <w:pPr>
              <w:autoSpaceDE w:val="0"/>
              <w:autoSpaceDN w:val="0"/>
              <w:adjustRightInd w:val="0"/>
              <w:spacing w:line="240" w:lineRule="auto"/>
              <w:jc w:val="center"/>
              <w:rPr>
                <w:rFonts w:eastAsia="仿宋"/>
                <w:kern w:val="0"/>
                <w:sz w:val="21"/>
                <w:szCs w:val="21"/>
              </w:rPr>
            </w:pPr>
          </w:p>
        </w:tc>
        <w:tc>
          <w:tcPr>
            <w:tcW w:w="713" w:type="pct"/>
            <w:vAlign w:val="center"/>
          </w:tcPr>
          <w:p>
            <w:pPr>
              <w:spacing w:line="240" w:lineRule="auto"/>
              <w:jc w:val="center"/>
              <w:rPr>
                <w:rFonts w:eastAsia="仿宋"/>
                <w:bCs/>
                <w:snapToGrid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33" w:type="pct"/>
            <w:vAlign w:val="center"/>
          </w:tcPr>
          <w:p>
            <w:pPr>
              <w:spacing w:line="240" w:lineRule="auto"/>
              <w:jc w:val="left"/>
              <w:rPr>
                <w:bCs/>
                <w:snapToGrid w:val="0"/>
                <w:sz w:val="21"/>
                <w:szCs w:val="21"/>
              </w:rPr>
            </w:pPr>
            <w:r>
              <w:rPr>
                <w:bCs/>
                <w:snapToGrid w:val="0"/>
                <w:sz w:val="21"/>
                <w:szCs w:val="21"/>
              </w:rPr>
              <w:t>4.研究</w:t>
            </w:r>
          </w:p>
        </w:tc>
        <w:tc>
          <w:tcPr>
            <w:tcW w:w="712" w:type="pct"/>
            <w:vAlign w:val="center"/>
          </w:tcPr>
          <w:p>
            <w:pPr>
              <w:spacing w:line="240" w:lineRule="auto"/>
              <w:jc w:val="center"/>
              <w:rPr>
                <w:rFonts w:eastAsia="仿宋"/>
                <w:bCs/>
                <w:snapToGrid w:val="0"/>
                <w:sz w:val="21"/>
                <w:szCs w:val="21"/>
              </w:rPr>
            </w:pPr>
          </w:p>
        </w:tc>
        <w:tc>
          <w:tcPr>
            <w:tcW w:w="713" w:type="pct"/>
            <w:shd w:val="clear" w:color="auto" w:fill="A5A5A5" w:themeFill="background1" w:themeFillShade="A6"/>
            <w:vAlign w:val="center"/>
          </w:tcPr>
          <w:p>
            <w:pPr>
              <w:spacing w:line="240" w:lineRule="auto"/>
              <w:jc w:val="center"/>
              <w:rPr>
                <w:rFonts w:eastAsia="仿宋"/>
                <w:bCs/>
                <w:snapToGrid w:val="0"/>
                <w:sz w:val="21"/>
                <w:szCs w:val="21"/>
              </w:rPr>
            </w:pPr>
            <w:r>
              <w:rPr>
                <w:rFonts w:eastAsia="仿宋"/>
                <w:kern w:val="0"/>
                <w:sz w:val="21"/>
                <w:szCs w:val="21"/>
              </w:rPr>
              <w:t>√</w:t>
            </w:r>
          </w:p>
        </w:tc>
        <w:tc>
          <w:tcPr>
            <w:tcW w:w="712" w:type="pct"/>
            <w:vAlign w:val="center"/>
          </w:tcPr>
          <w:p>
            <w:pPr>
              <w:spacing w:line="240" w:lineRule="auto"/>
              <w:jc w:val="center"/>
              <w:rPr>
                <w:rFonts w:eastAsia="仿宋"/>
                <w:bCs/>
                <w:snapToGrid w:val="0"/>
                <w:sz w:val="21"/>
                <w:szCs w:val="21"/>
              </w:rPr>
            </w:pPr>
          </w:p>
        </w:tc>
        <w:tc>
          <w:tcPr>
            <w:tcW w:w="713" w:type="pct"/>
            <w:vAlign w:val="center"/>
          </w:tcPr>
          <w:p>
            <w:pPr>
              <w:spacing w:line="240" w:lineRule="auto"/>
              <w:jc w:val="center"/>
              <w:rPr>
                <w:rFonts w:eastAsia="仿宋"/>
                <w:bCs/>
                <w:snapToGrid w:val="0"/>
                <w:sz w:val="21"/>
                <w:szCs w:val="21"/>
              </w:rPr>
            </w:pPr>
          </w:p>
        </w:tc>
        <w:tc>
          <w:tcPr>
            <w:tcW w:w="713" w:type="pct"/>
            <w:tcBorders>
              <w:bottom w:val="single" w:color="auto" w:sz="4" w:space="0"/>
            </w:tcBorders>
            <w:vAlign w:val="center"/>
          </w:tcPr>
          <w:p>
            <w:pPr>
              <w:spacing w:line="240" w:lineRule="auto"/>
              <w:jc w:val="center"/>
              <w:rPr>
                <w:rFonts w:eastAsia="仿宋"/>
                <w:bCs/>
                <w:snapToGrid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33" w:type="pct"/>
            <w:vAlign w:val="center"/>
          </w:tcPr>
          <w:p>
            <w:pPr>
              <w:spacing w:line="240" w:lineRule="auto"/>
              <w:jc w:val="left"/>
              <w:rPr>
                <w:bCs/>
                <w:snapToGrid w:val="0"/>
                <w:sz w:val="21"/>
                <w:szCs w:val="21"/>
              </w:rPr>
            </w:pPr>
            <w:r>
              <w:rPr>
                <w:bCs/>
                <w:snapToGrid w:val="0"/>
                <w:sz w:val="21"/>
                <w:szCs w:val="21"/>
              </w:rPr>
              <w:t>5.使用现代工具</w:t>
            </w:r>
          </w:p>
        </w:tc>
        <w:tc>
          <w:tcPr>
            <w:tcW w:w="712" w:type="pct"/>
            <w:tcBorders>
              <w:bottom w:val="single" w:color="auto" w:sz="4" w:space="0"/>
            </w:tcBorders>
            <w:vAlign w:val="center"/>
          </w:tcPr>
          <w:p>
            <w:pPr>
              <w:spacing w:line="240" w:lineRule="auto"/>
              <w:jc w:val="center"/>
              <w:rPr>
                <w:rFonts w:eastAsia="仿宋"/>
                <w:bCs/>
                <w:snapToGrid w:val="0"/>
                <w:sz w:val="21"/>
                <w:szCs w:val="21"/>
              </w:rPr>
            </w:pPr>
          </w:p>
        </w:tc>
        <w:tc>
          <w:tcPr>
            <w:tcW w:w="713" w:type="pct"/>
            <w:shd w:val="clear" w:color="auto" w:fill="A5A5A5" w:themeFill="background1" w:themeFillShade="A6"/>
            <w:vAlign w:val="center"/>
          </w:tcPr>
          <w:p>
            <w:pPr>
              <w:spacing w:line="240" w:lineRule="auto"/>
              <w:jc w:val="center"/>
              <w:rPr>
                <w:rFonts w:eastAsia="仿宋"/>
                <w:bCs/>
                <w:snapToGrid w:val="0"/>
                <w:sz w:val="21"/>
                <w:szCs w:val="21"/>
              </w:rPr>
            </w:pPr>
            <w:r>
              <w:rPr>
                <w:rFonts w:eastAsia="仿宋"/>
                <w:kern w:val="0"/>
                <w:sz w:val="21"/>
                <w:szCs w:val="21"/>
              </w:rPr>
              <w:t>√</w:t>
            </w:r>
          </w:p>
        </w:tc>
        <w:tc>
          <w:tcPr>
            <w:tcW w:w="712" w:type="pct"/>
            <w:tcBorders>
              <w:bottom w:val="single" w:color="auto" w:sz="4" w:space="0"/>
            </w:tcBorders>
            <w:vAlign w:val="center"/>
          </w:tcPr>
          <w:p>
            <w:pPr>
              <w:spacing w:line="240" w:lineRule="auto"/>
              <w:jc w:val="center"/>
              <w:rPr>
                <w:rFonts w:eastAsia="仿宋"/>
                <w:bCs/>
                <w:snapToGrid w:val="0"/>
                <w:sz w:val="21"/>
                <w:szCs w:val="21"/>
              </w:rPr>
            </w:pPr>
          </w:p>
        </w:tc>
        <w:tc>
          <w:tcPr>
            <w:tcW w:w="713" w:type="pct"/>
            <w:vAlign w:val="center"/>
          </w:tcPr>
          <w:p>
            <w:pPr>
              <w:spacing w:line="240" w:lineRule="auto"/>
              <w:jc w:val="center"/>
              <w:rPr>
                <w:rFonts w:eastAsia="仿宋"/>
                <w:bCs/>
                <w:snapToGrid w:val="0"/>
                <w:sz w:val="21"/>
                <w:szCs w:val="21"/>
              </w:rPr>
            </w:pPr>
          </w:p>
        </w:tc>
        <w:tc>
          <w:tcPr>
            <w:tcW w:w="713" w:type="pct"/>
            <w:shd w:val="clear" w:color="auto" w:fill="A5A5A5" w:themeFill="background1" w:themeFillShade="A6"/>
            <w:vAlign w:val="center"/>
          </w:tcPr>
          <w:p>
            <w:pPr>
              <w:spacing w:line="240" w:lineRule="auto"/>
              <w:jc w:val="center"/>
              <w:rPr>
                <w:rFonts w:eastAsia="仿宋"/>
                <w:bCs/>
                <w:snapToGrid w:val="0"/>
                <w:sz w:val="21"/>
                <w:szCs w:val="21"/>
              </w:rPr>
            </w:pPr>
            <w:r>
              <w:rPr>
                <w:rFonts w:eastAsia="仿宋"/>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97" w:hRule="atLeast"/>
          <w:jc w:val="center"/>
        </w:trPr>
        <w:tc>
          <w:tcPr>
            <w:tcW w:w="1433" w:type="pct"/>
            <w:vAlign w:val="center"/>
          </w:tcPr>
          <w:p>
            <w:pPr>
              <w:spacing w:line="240" w:lineRule="auto"/>
              <w:jc w:val="left"/>
              <w:rPr>
                <w:bCs/>
                <w:snapToGrid w:val="0"/>
                <w:sz w:val="21"/>
                <w:szCs w:val="21"/>
              </w:rPr>
            </w:pPr>
            <w:r>
              <w:rPr>
                <w:bCs/>
                <w:snapToGrid w:val="0"/>
                <w:sz w:val="21"/>
                <w:szCs w:val="21"/>
              </w:rPr>
              <w:t>6.工程与社会</w:t>
            </w:r>
          </w:p>
        </w:tc>
        <w:tc>
          <w:tcPr>
            <w:tcW w:w="712" w:type="pct"/>
            <w:shd w:val="clear" w:color="auto" w:fill="A5A5A5" w:themeFill="background1" w:themeFillShade="A6"/>
            <w:vAlign w:val="center"/>
          </w:tcPr>
          <w:p>
            <w:pPr>
              <w:spacing w:line="240" w:lineRule="auto"/>
              <w:jc w:val="center"/>
              <w:rPr>
                <w:rFonts w:eastAsia="仿宋"/>
                <w:bCs/>
                <w:snapToGrid w:val="0"/>
                <w:sz w:val="21"/>
                <w:szCs w:val="21"/>
              </w:rPr>
            </w:pPr>
            <w:r>
              <w:rPr>
                <w:rFonts w:eastAsia="仿宋"/>
                <w:kern w:val="0"/>
                <w:sz w:val="21"/>
                <w:szCs w:val="21"/>
              </w:rPr>
              <w:t>√</w:t>
            </w:r>
          </w:p>
        </w:tc>
        <w:tc>
          <w:tcPr>
            <w:tcW w:w="713" w:type="pct"/>
            <w:vAlign w:val="center"/>
          </w:tcPr>
          <w:p>
            <w:pPr>
              <w:spacing w:line="240" w:lineRule="auto"/>
              <w:jc w:val="center"/>
              <w:rPr>
                <w:rFonts w:eastAsia="仿宋"/>
                <w:bCs/>
                <w:snapToGrid w:val="0"/>
                <w:sz w:val="21"/>
                <w:szCs w:val="21"/>
              </w:rPr>
            </w:pPr>
          </w:p>
        </w:tc>
        <w:tc>
          <w:tcPr>
            <w:tcW w:w="712" w:type="pct"/>
            <w:shd w:val="clear" w:color="auto" w:fill="A5A5A5" w:themeFill="background1" w:themeFillShade="A6"/>
            <w:vAlign w:val="center"/>
          </w:tcPr>
          <w:p>
            <w:pPr>
              <w:spacing w:line="240" w:lineRule="auto"/>
              <w:jc w:val="center"/>
              <w:rPr>
                <w:rFonts w:eastAsia="仿宋"/>
                <w:bCs/>
                <w:snapToGrid w:val="0"/>
                <w:sz w:val="21"/>
                <w:szCs w:val="21"/>
              </w:rPr>
            </w:pPr>
            <w:r>
              <w:rPr>
                <w:rFonts w:eastAsia="仿宋"/>
                <w:kern w:val="0"/>
                <w:sz w:val="21"/>
                <w:szCs w:val="21"/>
              </w:rPr>
              <w:t>√</w:t>
            </w:r>
          </w:p>
        </w:tc>
        <w:tc>
          <w:tcPr>
            <w:tcW w:w="713" w:type="pct"/>
            <w:vAlign w:val="center"/>
          </w:tcPr>
          <w:p>
            <w:pPr>
              <w:spacing w:line="240" w:lineRule="auto"/>
              <w:jc w:val="center"/>
              <w:rPr>
                <w:rFonts w:eastAsia="仿宋"/>
                <w:bCs/>
                <w:snapToGrid w:val="0"/>
                <w:sz w:val="21"/>
                <w:szCs w:val="21"/>
              </w:rPr>
            </w:pPr>
          </w:p>
        </w:tc>
        <w:tc>
          <w:tcPr>
            <w:tcW w:w="713" w:type="pct"/>
            <w:vAlign w:val="center"/>
          </w:tcPr>
          <w:p>
            <w:pPr>
              <w:spacing w:line="240" w:lineRule="auto"/>
              <w:jc w:val="center"/>
              <w:rPr>
                <w:rFonts w:eastAsia="仿宋"/>
                <w:bCs/>
                <w:snapToGrid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33" w:type="pct"/>
            <w:vAlign w:val="center"/>
          </w:tcPr>
          <w:p>
            <w:pPr>
              <w:spacing w:line="240" w:lineRule="auto"/>
              <w:jc w:val="left"/>
              <w:rPr>
                <w:bCs/>
                <w:snapToGrid w:val="0"/>
                <w:sz w:val="21"/>
                <w:szCs w:val="21"/>
              </w:rPr>
            </w:pPr>
            <w:r>
              <w:rPr>
                <w:bCs/>
                <w:snapToGrid w:val="0"/>
                <w:sz w:val="21"/>
                <w:szCs w:val="21"/>
              </w:rPr>
              <w:t>7.环境和可持续发展</w:t>
            </w:r>
          </w:p>
        </w:tc>
        <w:tc>
          <w:tcPr>
            <w:tcW w:w="712" w:type="pct"/>
            <w:shd w:val="clear" w:color="auto" w:fill="A5A5A5" w:themeFill="background1" w:themeFillShade="A6"/>
            <w:vAlign w:val="center"/>
          </w:tcPr>
          <w:p>
            <w:pPr>
              <w:spacing w:line="240" w:lineRule="auto"/>
              <w:jc w:val="center"/>
              <w:rPr>
                <w:rFonts w:eastAsia="仿宋"/>
                <w:bCs/>
                <w:snapToGrid w:val="0"/>
                <w:sz w:val="21"/>
                <w:szCs w:val="21"/>
              </w:rPr>
            </w:pPr>
            <w:r>
              <w:rPr>
                <w:rFonts w:eastAsia="仿宋"/>
                <w:kern w:val="0"/>
                <w:sz w:val="21"/>
                <w:szCs w:val="21"/>
              </w:rPr>
              <w:t>√</w:t>
            </w:r>
          </w:p>
        </w:tc>
        <w:tc>
          <w:tcPr>
            <w:tcW w:w="713" w:type="pct"/>
            <w:vAlign w:val="center"/>
          </w:tcPr>
          <w:p>
            <w:pPr>
              <w:spacing w:line="240" w:lineRule="auto"/>
              <w:jc w:val="center"/>
              <w:rPr>
                <w:rFonts w:eastAsia="仿宋"/>
                <w:bCs/>
                <w:snapToGrid w:val="0"/>
                <w:sz w:val="21"/>
                <w:szCs w:val="21"/>
              </w:rPr>
            </w:pPr>
          </w:p>
        </w:tc>
        <w:tc>
          <w:tcPr>
            <w:tcW w:w="712" w:type="pct"/>
            <w:shd w:val="clear" w:color="auto" w:fill="A5A5A5" w:themeFill="background1" w:themeFillShade="A6"/>
            <w:vAlign w:val="center"/>
          </w:tcPr>
          <w:p>
            <w:pPr>
              <w:spacing w:line="240" w:lineRule="auto"/>
              <w:jc w:val="center"/>
              <w:rPr>
                <w:rFonts w:eastAsia="仿宋"/>
                <w:bCs/>
                <w:snapToGrid w:val="0"/>
                <w:sz w:val="21"/>
                <w:szCs w:val="21"/>
              </w:rPr>
            </w:pPr>
            <w:r>
              <w:rPr>
                <w:rFonts w:eastAsia="仿宋"/>
                <w:kern w:val="0"/>
                <w:sz w:val="21"/>
                <w:szCs w:val="21"/>
              </w:rPr>
              <w:t>√</w:t>
            </w:r>
          </w:p>
        </w:tc>
        <w:tc>
          <w:tcPr>
            <w:tcW w:w="713" w:type="pct"/>
            <w:vAlign w:val="center"/>
          </w:tcPr>
          <w:p>
            <w:pPr>
              <w:spacing w:line="240" w:lineRule="auto"/>
              <w:jc w:val="center"/>
              <w:rPr>
                <w:rFonts w:eastAsia="仿宋"/>
                <w:bCs/>
                <w:snapToGrid w:val="0"/>
                <w:sz w:val="21"/>
                <w:szCs w:val="21"/>
              </w:rPr>
            </w:pPr>
          </w:p>
        </w:tc>
        <w:tc>
          <w:tcPr>
            <w:tcW w:w="713" w:type="pct"/>
            <w:vAlign w:val="center"/>
          </w:tcPr>
          <w:p>
            <w:pPr>
              <w:spacing w:line="240" w:lineRule="auto"/>
              <w:jc w:val="center"/>
              <w:rPr>
                <w:rFonts w:eastAsia="仿宋"/>
                <w:bCs/>
                <w:snapToGrid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33" w:type="pct"/>
            <w:vAlign w:val="center"/>
          </w:tcPr>
          <w:p>
            <w:pPr>
              <w:spacing w:line="240" w:lineRule="auto"/>
              <w:jc w:val="left"/>
              <w:rPr>
                <w:bCs/>
                <w:snapToGrid w:val="0"/>
                <w:sz w:val="21"/>
                <w:szCs w:val="21"/>
              </w:rPr>
            </w:pPr>
            <w:r>
              <w:rPr>
                <w:bCs/>
                <w:snapToGrid w:val="0"/>
                <w:sz w:val="21"/>
                <w:szCs w:val="21"/>
              </w:rPr>
              <w:t>8.职业规范</w:t>
            </w:r>
          </w:p>
        </w:tc>
        <w:tc>
          <w:tcPr>
            <w:tcW w:w="712" w:type="pct"/>
            <w:vAlign w:val="center"/>
          </w:tcPr>
          <w:p>
            <w:pPr>
              <w:spacing w:line="240" w:lineRule="auto"/>
              <w:jc w:val="center"/>
              <w:rPr>
                <w:rFonts w:eastAsia="仿宋"/>
                <w:bCs/>
                <w:snapToGrid w:val="0"/>
                <w:sz w:val="21"/>
                <w:szCs w:val="21"/>
              </w:rPr>
            </w:pPr>
          </w:p>
        </w:tc>
        <w:tc>
          <w:tcPr>
            <w:tcW w:w="713" w:type="pct"/>
            <w:vAlign w:val="center"/>
          </w:tcPr>
          <w:p>
            <w:pPr>
              <w:spacing w:line="240" w:lineRule="auto"/>
              <w:jc w:val="center"/>
              <w:rPr>
                <w:rFonts w:eastAsia="仿宋"/>
                <w:bCs/>
                <w:snapToGrid w:val="0"/>
                <w:sz w:val="21"/>
                <w:szCs w:val="21"/>
              </w:rPr>
            </w:pPr>
          </w:p>
        </w:tc>
        <w:tc>
          <w:tcPr>
            <w:tcW w:w="712" w:type="pct"/>
            <w:tcBorders>
              <w:bottom w:val="single" w:color="auto" w:sz="4" w:space="0"/>
            </w:tcBorders>
            <w:shd w:val="clear" w:color="auto" w:fill="A5A5A5" w:themeFill="background1" w:themeFillShade="A6"/>
            <w:vAlign w:val="center"/>
          </w:tcPr>
          <w:p>
            <w:pPr>
              <w:spacing w:line="240" w:lineRule="auto"/>
              <w:jc w:val="center"/>
              <w:rPr>
                <w:rFonts w:eastAsia="仿宋"/>
                <w:bCs/>
                <w:snapToGrid w:val="0"/>
                <w:sz w:val="21"/>
                <w:szCs w:val="21"/>
              </w:rPr>
            </w:pPr>
            <w:r>
              <w:rPr>
                <w:rFonts w:eastAsia="仿宋"/>
                <w:kern w:val="0"/>
                <w:sz w:val="21"/>
                <w:szCs w:val="21"/>
              </w:rPr>
              <w:t>√</w:t>
            </w:r>
          </w:p>
        </w:tc>
        <w:tc>
          <w:tcPr>
            <w:tcW w:w="713" w:type="pct"/>
            <w:tcBorders>
              <w:bottom w:val="single" w:color="auto" w:sz="4" w:space="0"/>
            </w:tcBorders>
            <w:vAlign w:val="center"/>
          </w:tcPr>
          <w:p>
            <w:pPr>
              <w:spacing w:line="240" w:lineRule="auto"/>
              <w:jc w:val="center"/>
              <w:rPr>
                <w:rFonts w:eastAsia="仿宋"/>
                <w:bCs/>
                <w:snapToGrid w:val="0"/>
                <w:sz w:val="21"/>
                <w:szCs w:val="21"/>
              </w:rPr>
            </w:pPr>
          </w:p>
        </w:tc>
        <w:tc>
          <w:tcPr>
            <w:tcW w:w="713" w:type="pct"/>
            <w:vAlign w:val="center"/>
          </w:tcPr>
          <w:p>
            <w:pPr>
              <w:spacing w:line="240" w:lineRule="auto"/>
              <w:jc w:val="center"/>
              <w:rPr>
                <w:rFonts w:eastAsia="仿宋"/>
                <w:bCs/>
                <w:snapToGrid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33" w:type="pct"/>
            <w:vAlign w:val="center"/>
          </w:tcPr>
          <w:p>
            <w:pPr>
              <w:spacing w:line="240" w:lineRule="auto"/>
              <w:jc w:val="left"/>
              <w:rPr>
                <w:bCs/>
                <w:snapToGrid w:val="0"/>
                <w:sz w:val="21"/>
                <w:szCs w:val="21"/>
              </w:rPr>
            </w:pPr>
            <w:r>
              <w:rPr>
                <w:bCs/>
                <w:snapToGrid w:val="0"/>
                <w:sz w:val="21"/>
                <w:szCs w:val="21"/>
              </w:rPr>
              <w:t>9.个人和团队</w:t>
            </w:r>
          </w:p>
        </w:tc>
        <w:tc>
          <w:tcPr>
            <w:tcW w:w="712" w:type="pct"/>
            <w:vAlign w:val="center"/>
          </w:tcPr>
          <w:p>
            <w:pPr>
              <w:spacing w:line="240" w:lineRule="auto"/>
              <w:jc w:val="center"/>
              <w:rPr>
                <w:rFonts w:eastAsia="仿宋"/>
                <w:bCs/>
                <w:snapToGrid w:val="0"/>
                <w:sz w:val="21"/>
                <w:szCs w:val="21"/>
              </w:rPr>
            </w:pPr>
          </w:p>
        </w:tc>
        <w:tc>
          <w:tcPr>
            <w:tcW w:w="713" w:type="pct"/>
            <w:vAlign w:val="center"/>
          </w:tcPr>
          <w:p>
            <w:pPr>
              <w:spacing w:line="240" w:lineRule="auto"/>
              <w:jc w:val="center"/>
              <w:rPr>
                <w:rFonts w:eastAsia="仿宋"/>
                <w:bCs/>
                <w:snapToGrid w:val="0"/>
                <w:sz w:val="21"/>
                <w:szCs w:val="21"/>
              </w:rPr>
            </w:pPr>
          </w:p>
        </w:tc>
        <w:tc>
          <w:tcPr>
            <w:tcW w:w="712" w:type="pct"/>
            <w:shd w:val="clear" w:color="auto" w:fill="A5A5A5" w:themeFill="background1" w:themeFillShade="A6"/>
            <w:vAlign w:val="center"/>
          </w:tcPr>
          <w:p>
            <w:pPr>
              <w:spacing w:line="240" w:lineRule="auto"/>
              <w:jc w:val="center"/>
              <w:rPr>
                <w:rFonts w:eastAsia="仿宋"/>
                <w:bCs/>
                <w:snapToGrid w:val="0"/>
                <w:sz w:val="21"/>
                <w:szCs w:val="21"/>
              </w:rPr>
            </w:pPr>
            <w:r>
              <w:rPr>
                <w:rFonts w:eastAsia="仿宋"/>
                <w:kern w:val="0"/>
                <w:sz w:val="21"/>
                <w:szCs w:val="21"/>
              </w:rPr>
              <w:t>√</w:t>
            </w:r>
          </w:p>
        </w:tc>
        <w:tc>
          <w:tcPr>
            <w:tcW w:w="713" w:type="pct"/>
            <w:tcBorders>
              <w:bottom w:val="single" w:color="auto" w:sz="4" w:space="0"/>
            </w:tcBorders>
            <w:shd w:val="clear" w:color="auto" w:fill="A5A5A5" w:themeFill="background1" w:themeFillShade="A6"/>
            <w:vAlign w:val="center"/>
          </w:tcPr>
          <w:p>
            <w:pPr>
              <w:spacing w:line="240" w:lineRule="auto"/>
              <w:jc w:val="center"/>
              <w:rPr>
                <w:rFonts w:eastAsia="仿宋"/>
                <w:bCs/>
                <w:snapToGrid w:val="0"/>
                <w:sz w:val="21"/>
                <w:szCs w:val="21"/>
              </w:rPr>
            </w:pPr>
            <w:r>
              <w:rPr>
                <w:rFonts w:eastAsia="仿宋"/>
                <w:kern w:val="0"/>
                <w:sz w:val="21"/>
                <w:szCs w:val="21"/>
              </w:rPr>
              <w:t>√</w:t>
            </w:r>
          </w:p>
        </w:tc>
        <w:tc>
          <w:tcPr>
            <w:tcW w:w="713" w:type="pct"/>
            <w:tcBorders>
              <w:bottom w:val="single" w:color="auto" w:sz="4" w:space="0"/>
            </w:tcBorders>
            <w:vAlign w:val="center"/>
          </w:tcPr>
          <w:p>
            <w:pPr>
              <w:spacing w:line="240" w:lineRule="auto"/>
              <w:jc w:val="center"/>
              <w:rPr>
                <w:rFonts w:eastAsia="仿宋"/>
                <w:bCs/>
                <w:snapToGrid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33" w:type="pct"/>
            <w:vAlign w:val="center"/>
          </w:tcPr>
          <w:p>
            <w:pPr>
              <w:spacing w:line="240" w:lineRule="auto"/>
              <w:jc w:val="left"/>
              <w:rPr>
                <w:bCs/>
                <w:snapToGrid w:val="0"/>
                <w:sz w:val="21"/>
                <w:szCs w:val="21"/>
              </w:rPr>
            </w:pPr>
            <w:r>
              <w:rPr>
                <w:bCs/>
                <w:snapToGrid w:val="0"/>
                <w:sz w:val="21"/>
                <w:szCs w:val="21"/>
              </w:rPr>
              <w:t>10.表达与沟通</w:t>
            </w:r>
          </w:p>
        </w:tc>
        <w:tc>
          <w:tcPr>
            <w:tcW w:w="712" w:type="pct"/>
            <w:tcBorders>
              <w:bottom w:val="single" w:color="auto" w:sz="4" w:space="0"/>
            </w:tcBorders>
            <w:vAlign w:val="center"/>
          </w:tcPr>
          <w:p>
            <w:pPr>
              <w:spacing w:line="240" w:lineRule="auto"/>
              <w:jc w:val="center"/>
              <w:rPr>
                <w:rFonts w:eastAsia="仿宋"/>
                <w:bCs/>
                <w:snapToGrid w:val="0"/>
                <w:sz w:val="21"/>
                <w:szCs w:val="21"/>
              </w:rPr>
            </w:pPr>
          </w:p>
        </w:tc>
        <w:tc>
          <w:tcPr>
            <w:tcW w:w="713" w:type="pct"/>
            <w:vAlign w:val="center"/>
          </w:tcPr>
          <w:p>
            <w:pPr>
              <w:spacing w:line="240" w:lineRule="auto"/>
              <w:jc w:val="center"/>
              <w:rPr>
                <w:rFonts w:eastAsia="仿宋"/>
                <w:bCs/>
                <w:snapToGrid w:val="0"/>
                <w:sz w:val="21"/>
                <w:szCs w:val="21"/>
              </w:rPr>
            </w:pPr>
          </w:p>
        </w:tc>
        <w:tc>
          <w:tcPr>
            <w:tcW w:w="712" w:type="pct"/>
            <w:tcBorders>
              <w:bottom w:val="single" w:color="auto" w:sz="4" w:space="0"/>
            </w:tcBorders>
            <w:vAlign w:val="center"/>
          </w:tcPr>
          <w:p>
            <w:pPr>
              <w:spacing w:line="240" w:lineRule="auto"/>
              <w:jc w:val="center"/>
              <w:rPr>
                <w:rFonts w:eastAsia="仿宋"/>
                <w:bCs/>
                <w:snapToGrid w:val="0"/>
                <w:sz w:val="21"/>
                <w:szCs w:val="21"/>
              </w:rPr>
            </w:pPr>
          </w:p>
        </w:tc>
        <w:tc>
          <w:tcPr>
            <w:tcW w:w="713" w:type="pct"/>
            <w:shd w:val="clear" w:color="auto" w:fill="A5A5A5" w:themeFill="background1" w:themeFillShade="A6"/>
            <w:vAlign w:val="center"/>
          </w:tcPr>
          <w:p>
            <w:pPr>
              <w:spacing w:line="240" w:lineRule="auto"/>
              <w:jc w:val="center"/>
              <w:rPr>
                <w:rFonts w:eastAsia="仿宋"/>
                <w:bCs/>
                <w:snapToGrid w:val="0"/>
                <w:sz w:val="21"/>
                <w:szCs w:val="21"/>
              </w:rPr>
            </w:pPr>
            <w:r>
              <w:rPr>
                <w:rFonts w:eastAsia="仿宋"/>
                <w:kern w:val="0"/>
                <w:sz w:val="21"/>
                <w:szCs w:val="21"/>
              </w:rPr>
              <w:t>√</w:t>
            </w:r>
          </w:p>
        </w:tc>
        <w:tc>
          <w:tcPr>
            <w:tcW w:w="713" w:type="pct"/>
            <w:shd w:val="clear" w:color="auto" w:fill="A5A5A5" w:themeFill="background1" w:themeFillShade="A6"/>
            <w:vAlign w:val="center"/>
          </w:tcPr>
          <w:p>
            <w:pPr>
              <w:spacing w:line="240" w:lineRule="auto"/>
              <w:jc w:val="center"/>
              <w:rPr>
                <w:rFonts w:eastAsia="仿宋"/>
                <w:bCs/>
                <w:snapToGrid w:val="0"/>
                <w:sz w:val="21"/>
                <w:szCs w:val="21"/>
              </w:rPr>
            </w:pPr>
            <w:r>
              <w:rPr>
                <w:rFonts w:eastAsia="仿宋"/>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33" w:type="pct"/>
            <w:vAlign w:val="center"/>
          </w:tcPr>
          <w:p>
            <w:pPr>
              <w:spacing w:line="240" w:lineRule="auto"/>
              <w:jc w:val="left"/>
              <w:rPr>
                <w:bCs/>
                <w:snapToGrid w:val="0"/>
                <w:sz w:val="21"/>
                <w:szCs w:val="21"/>
              </w:rPr>
            </w:pPr>
            <w:r>
              <w:rPr>
                <w:bCs/>
                <w:snapToGrid w:val="0"/>
                <w:sz w:val="21"/>
                <w:szCs w:val="21"/>
              </w:rPr>
              <w:t>11.项目管理</w:t>
            </w:r>
          </w:p>
        </w:tc>
        <w:tc>
          <w:tcPr>
            <w:tcW w:w="712" w:type="pct"/>
            <w:shd w:val="clear" w:color="auto" w:fill="A5A5A5" w:themeFill="background1" w:themeFillShade="A6"/>
            <w:vAlign w:val="center"/>
          </w:tcPr>
          <w:p>
            <w:pPr>
              <w:spacing w:line="240" w:lineRule="auto"/>
              <w:jc w:val="center"/>
              <w:rPr>
                <w:rFonts w:eastAsia="仿宋"/>
                <w:bCs/>
                <w:snapToGrid w:val="0"/>
                <w:sz w:val="21"/>
                <w:szCs w:val="21"/>
              </w:rPr>
            </w:pPr>
            <w:r>
              <w:rPr>
                <w:rFonts w:eastAsia="仿宋"/>
                <w:kern w:val="0"/>
                <w:sz w:val="21"/>
                <w:szCs w:val="21"/>
              </w:rPr>
              <w:t>√</w:t>
            </w:r>
          </w:p>
        </w:tc>
        <w:tc>
          <w:tcPr>
            <w:tcW w:w="713" w:type="pct"/>
            <w:tcBorders>
              <w:bottom w:val="single" w:color="auto" w:sz="4" w:space="0"/>
            </w:tcBorders>
            <w:vAlign w:val="center"/>
          </w:tcPr>
          <w:p>
            <w:pPr>
              <w:spacing w:line="240" w:lineRule="auto"/>
              <w:jc w:val="center"/>
              <w:rPr>
                <w:rFonts w:eastAsia="仿宋"/>
                <w:bCs/>
                <w:snapToGrid w:val="0"/>
                <w:sz w:val="21"/>
                <w:szCs w:val="21"/>
              </w:rPr>
            </w:pPr>
          </w:p>
        </w:tc>
        <w:tc>
          <w:tcPr>
            <w:tcW w:w="712" w:type="pct"/>
            <w:shd w:val="clear" w:color="auto" w:fill="A5A5A5" w:themeFill="background1" w:themeFillShade="A6"/>
            <w:vAlign w:val="center"/>
          </w:tcPr>
          <w:p>
            <w:pPr>
              <w:spacing w:line="240" w:lineRule="auto"/>
              <w:jc w:val="center"/>
              <w:rPr>
                <w:rFonts w:eastAsia="仿宋"/>
                <w:bCs/>
                <w:snapToGrid w:val="0"/>
                <w:sz w:val="21"/>
                <w:szCs w:val="21"/>
              </w:rPr>
            </w:pPr>
            <w:r>
              <w:rPr>
                <w:rFonts w:eastAsia="仿宋"/>
                <w:kern w:val="0"/>
                <w:sz w:val="21"/>
                <w:szCs w:val="21"/>
              </w:rPr>
              <w:t>√</w:t>
            </w:r>
          </w:p>
        </w:tc>
        <w:tc>
          <w:tcPr>
            <w:tcW w:w="713" w:type="pct"/>
            <w:vAlign w:val="center"/>
          </w:tcPr>
          <w:p>
            <w:pPr>
              <w:spacing w:line="240" w:lineRule="auto"/>
              <w:jc w:val="center"/>
              <w:rPr>
                <w:rFonts w:eastAsia="仿宋"/>
                <w:bCs/>
                <w:snapToGrid w:val="0"/>
                <w:sz w:val="21"/>
                <w:szCs w:val="21"/>
              </w:rPr>
            </w:pPr>
          </w:p>
        </w:tc>
        <w:tc>
          <w:tcPr>
            <w:tcW w:w="713" w:type="pct"/>
            <w:tcBorders>
              <w:bottom w:val="single" w:color="auto" w:sz="4" w:space="0"/>
            </w:tcBorders>
            <w:vAlign w:val="center"/>
          </w:tcPr>
          <w:p>
            <w:pPr>
              <w:spacing w:line="240" w:lineRule="auto"/>
              <w:jc w:val="center"/>
              <w:rPr>
                <w:rFonts w:eastAsia="仿宋"/>
                <w:bCs/>
                <w:snapToGrid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33" w:type="pct"/>
            <w:vAlign w:val="center"/>
          </w:tcPr>
          <w:p>
            <w:pPr>
              <w:spacing w:line="240" w:lineRule="auto"/>
              <w:jc w:val="left"/>
              <w:rPr>
                <w:bCs/>
                <w:snapToGrid w:val="0"/>
                <w:sz w:val="21"/>
                <w:szCs w:val="21"/>
              </w:rPr>
            </w:pPr>
            <w:r>
              <w:rPr>
                <w:bCs/>
                <w:snapToGrid w:val="0"/>
                <w:sz w:val="21"/>
                <w:szCs w:val="21"/>
              </w:rPr>
              <w:t>12.终身学习</w:t>
            </w:r>
          </w:p>
        </w:tc>
        <w:tc>
          <w:tcPr>
            <w:tcW w:w="712" w:type="pct"/>
            <w:vAlign w:val="center"/>
          </w:tcPr>
          <w:p>
            <w:pPr>
              <w:spacing w:line="240" w:lineRule="auto"/>
              <w:jc w:val="center"/>
              <w:rPr>
                <w:rFonts w:eastAsia="仿宋"/>
                <w:bCs/>
                <w:snapToGrid w:val="0"/>
                <w:sz w:val="21"/>
                <w:szCs w:val="21"/>
              </w:rPr>
            </w:pPr>
          </w:p>
        </w:tc>
        <w:tc>
          <w:tcPr>
            <w:tcW w:w="713" w:type="pct"/>
            <w:shd w:val="clear" w:color="auto" w:fill="A5A5A5" w:themeFill="background1" w:themeFillShade="A6"/>
            <w:vAlign w:val="center"/>
          </w:tcPr>
          <w:p>
            <w:pPr>
              <w:spacing w:line="240" w:lineRule="auto"/>
              <w:jc w:val="center"/>
              <w:rPr>
                <w:rFonts w:eastAsia="仿宋"/>
                <w:bCs/>
                <w:snapToGrid w:val="0"/>
                <w:sz w:val="21"/>
                <w:szCs w:val="21"/>
              </w:rPr>
            </w:pPr>
            <w:r>
              <w:rPr>
                <w:rFonts w:eastAsia="仿宋"/>
                <w:kern w:val="0"/>
                <w:sz w:val="21"/>
                <w:szCs w:val="21"/>
              </w:rPr>
              <w:t>√</w:t>
            </w:r>
          </w:p>
        </w:tc>
        <w:tc>
          <w:tcPr>
            <w:tcW w:w="712" w:type="pct"/>
            <w:vAlign w:val="center"/>
          </w:tcPr>
          <w:p>
            <w:pPr>
              <w:spacing w:line="240" w:lineRule="auto"/>
              <w:jc w:val="center"/>
              <w:rPr>
                <w:rFonts w:eastAsia="仿宋"/>
                <w:bCs/>
                <w:snapToGrid w:val="0"/>
                <w:sz w:val="21"/>
                <w:szCs w:val="21"/>
              </w:rPr>
            </w:pPr>
          </w:p>
        </w:tc>
        <w:tc>
          <w:tcPr>
            <w:tcW w:w="713" w:type="pct"/>
            <w:vAlign w:val="center"/>
          </w:tcPr>
          <w:p>
            <w:pPr>
              <w:spacing w:line="240" w:lineRule="auto"/>
              <w:jc w:val="center"/>
              <w:rPr>
                <w:rFonts w:eastAsia="仿宋"/>
                <w:bCs/>
                <w:snapToGrid w:val="0"/>
                <w:sz w:val="21"/>
                <w:szCs w:val="21"/>
              </w:rPr>
            </w:pPr>
          </w:p>
        </w:tc>
        <w:tc>
          <w:tcPr>
            <w:tcW w:w="713" w:type="pct"/>
            <w:shd w:val="clear" w:color="auto" w:fill="A5A5A5" w:themeFill="background1" w:themeFillShade="A6"/>
            <w:vAlign w:val="center"/>
          </w:tcPr>
          <w:p>
            <w:pPr>
              <w:spacing w:line="240" w:lineRule="auto"/>
              <w:jc w:val="center"/>
              <w:rPr>
                <w:rFonts w:eastAsia="仿宋"/>
                <w:bCs/>
                <w:snapToGrid w:val="0"/>
                <w:sz w:val="21"/>
                <w:szCs w:val="21"/>
              </w:rPr>
            </w:pPr>
            <w:r>
              <w:rPr>
                <w:rFonts w:eastAsia="仿宋"/>
                <w:kern w:val="0"/>
                <w:sz w:val="21"/>
                <w:szCs w:val="21"/>
              </w:rPr>
              <w:t>√</w:t>
            </w:r>
          </w:p>
        </w:tc>
      </w:tr>
    </w:tbl>
    <w:p>
      <w:pPr>
        <w:pStyle w:val="5"/>
        <w:spacing w:before="93" w:after="93"/>
        <w:ind w:firstLine="560"/>
      </w:pPr>
      <w:r>
        <w:t>二、培养能力</w:t>
      </w:r>
      <w:bookmarkEnd w:id="754"/>
    </w:p>
    <w:p>
      <w:pPr>
        <w:pStyle w:val="45"/>
        <w:ind w:firstLine="480"/>
        <w:rPr>
          <w:rFonts w:ascii="Times New Roman" w:hAnsi="Times New Roman"/>
        </w:rPr>
      </w:pPr>
      <w:r>
        <w:rPr>
          <w:rFonts w:ascii="Times New Roman" w:hAnsi="Times New Roman"/>
        </w:rPr>
        <w:t>1. 专业基本情况</w:t>
      </w:r>
    </w:p>
    <w:p>
      <w:pPr>
        <w:ind w:firstLine="482"/>
        <w:rPr>
          <w:szCs w:val="24"/>
        </w:rPr>
      </w:pPr>
      <w:r>
        <w:rPr>
          <w:szCs w:val="24"/>
        </w:rPr>
        <w:t>计算机科学与技术专业1993年招生第一届专科生，1998年招生第一届本科生，年均毕业生约200人。2011年获批计算机科学与技术一级学科硕士点，2012年招收第一届计算机科学与技术硕士生。2014招收第一届计算机科学与技术（惠普软件开发）、计算机科学与技术（惠普软件测试）校企合作办学专业。2017年1月，以计算机科学与技术为核心专业的专业群（计算机科学与技术、网络工程、物联网工程、空间信息与数字技术）确定为山东省高水平应用型本科专业群建设专业。2017年计算机科学与技术学科被确定为山东农业大学双一流学科重点建设学科。2019年6月入选国家</w:t>
      </w:r>
      <w:r>
        <w:rPr>
          <w:rFonts w:hint="eastAsia"/>
          <w:szCs w:val="24"/>
        </w:rPr>
        <w:t>“</w:t>
      </w:r>
      <w:r>
        <w:rPr>
          <w:szCs w:val="24"/>
        </w:rPr>
        <w:t>双万计划</w:t>
      </w:r>
      <w:r>
        <w:rPr>
          <w:rFonts w:hint="eastAsia"/>
          <w:szCs w:val="24"/>
        </w:rPr>
        <w:t>”</w:t>
      </w:r>
      <w:r>
        <w:rPr>
          <w:szCs w:val="24"/>
        </w:rPr>
        <w:t>的山东省一流本科建设专业。2021年新增电子信息专业学位硕士授权点。</w:t>
      </w:r>
    </w:p>
    <w:p>
      <w:pPr>
        <w:ind w:firstLine="482"/>
        <w:rPr>
          <w:szCs w:val="24"/>
        </w:rPr>
      </w:pPr>
      <w:r>
        <w:rPr>
          <w:szCs w:val="24"/>
        </w:rPr>
        <w:t>现建有计算机科学与技术一级学科硕士学位点、电子信息专业硕士学位点、农业工程与信息技术专业硕士学位点，并依托5个省部级科技创新平台、1个省级科教基地，1个省级研究生联合培养基地，2 个厅级科技创新平台，2个校级科技创新平台，1个校企合作科技创新平台开展科学研究，与浪潮集团、东华软件、潍坊数字农业产业发展研究院、山东齐鲁数字乡村研究院等 20 余家行业知名企业及科研院所共建实习实训基地，与我校作物生物学国家重点实验室、苹果国家工程技术研究中心开展学科融合、深入合作。</w:t>
      </w:r>
    </w:p>
    <w:p>
      <w:pPr>
        <w:pStyle w:val="45"/>
        <w:ind w:firstLine="480"/>
        <w:rPr>
          <w:rFonts w:ascii="Times New Roman" w:hAnsi="Times New Roman"/>
        </w:rPr>
      </w:pPr>
      <w:r>
        <w:rPr>
          <w:rFonts w:ascii="Times New Roman" w:hAnsi="Times New Roman"/>
        </w:rPr>
        <w:t>2. 在校生规模</w:t>
      </w:r>
    </w:p>
    <w:p>
      <w:pPr>
        <w:ind w:firstLine="480"/>
        <w:rPr>
          <w:szCs w:val="24"/>
        </w:rPr>
      </w:pPr>
      <w:r>
        <w:rPr>
          <w:szCs w:val="24"/>
        </w:rPr>
        <w:t>现计算机科学与技术专业在校生规模为880人，其中2019级217人，2020级166人，2021级194人，2022级318人（2022级学生将于大二进行专业分流）。</w:t>
      </w:r>
    </w:p>
    <w:p>
      <w:pPr>
        <w:pStyle w:val="45"/>
        <w:ind w:firstLine="480"/>
        <w:rPr>
          <w:rFonts w:ascii="Times New Roman" w:hAnsi="Times New Roman"/>
        </w:rPr>
      </w:pPr>
      <w:r>
        <w:rPr>
          <w:rFonts w:ascii="Times New Roman" w:hAnsi="Times New Roman"/>
        </w:rPr>
        <w:t>3. 课程体系</w:t>
      </w:r>
    </w:p>
    <w:p>
      <w:pPr>
        <w:ind w:firstLine="480"/>
        <w:rPr>
          <w:szCs w:val="24"/>
        </w:rPr>
      </w:pPr>
      <w:r>
        <w:rPr>
          <w:szCs w:val="24"/>
        </w:rPr>
        <w:t>为适应学分制的要求，2022级计算机科学与技术专业学生开始使用2022年修订的本科人才培养方案。毕业总学分不少于170学分。其中，必修课总学分144、选修课学分26、实践教学学分52（含操作性实验课学分和实践学分，其中理论课所含的实验实训学分按所占理论课学时进行换算），占总学分30.6%。</w:t>
      </w:r>
    </w:p>
    <w:p>
      <w:pPr>
        <w:ind w:firstLine="480"/>
        <w:rPr>
          <w:szCs w:val="24"/>
        </w:rPr>
      </w:pPr>
      <w:r>
        <w:rPr>
          <w:szCs w:val="24"/>
        </w:rPr>
        <w:t>计算机科学与技术专业的核心课程包括：数据结构、计算机组成与结构、计算机网络、操作系统、软件工程、编译原理、数据库原理与应用、、计算机体系结构、Java程序设计、Web开发技术等。主要实践环节有：程序设计B课程设计、Web应用开发技术课程设计、软件工程课程设计、认识实习、专业综合实习1、专业综合实习2、专业综合实习3、创新创业实践、毕业实习、各课程实验等。第4学年全部为实践环节，以适应</w:t>
      </w:r>
      <w:r>
        <w:rPr>
          <w:rFonts w:hint="eastAsia"/>
          <w:szCs w:val="24"/>
        </w:rPr>
        <w:t>“</w:t>
      </w:r>
      <w:r>
        <w:rPr>
          <w:szCs w:val="24"/>
        </w:rPr>
        <w:t>3+1</w:t>
      </w:r>
      <w:r>
        <w:rPr>
          <w:rFonts w:hint="eastAsia"/>
          <w:szCs w:val="24"/>
        </w:rPr>
        <w:t>”</w:t>
      </w:r>
      <w:r>
        <w:rPr>
          <w:szCs w:val="24"/>
        </w:rPr>
        <w:t>培养模式的需求。</w:t>
      </w:r>
    </w:p>
    <w:p>
      <w:pPr>
        <w:pStyle w:val="45"/>
        <w:ind w:firstLine="480"/>
        <w:rPr>
          <w:rFonts w:ascii="Times New Roman" w:hAnsi="Times New Roman"/>
        </w:rPr>
      </w:pPr>
      <w:r>
        <w:rPr>
          <w:rFonts w:ascii="Times New Roman" w:hAnsi="Times New Roman"/>
        </w:rPr>
        <w:t>4. 创新创业教育</w:t>
      </w:r>
    </w:p>
    <w:p>
      <w:pPr>
        <w:ind w:firstLine="480"/>
        <w:rPr>
          <w:szCs w:val="24"/>
        </w:rPr>
      </w:pPr>
      <w:r>
        <w:rPr>
          <w:szCs w:val="24"/>
        </w:rPr>
        <w:t xml:space="preserve">人才培养方案充分体现学生创新意识和创新能力培养，注重学生创业实践能力培养，积极组织学生参加校级、省级、和国家级的各类学科竞赛。每学年有200余人次学生参加教师的科研项目、全国互联网+大赛、国家级/省级/校级SRT项目、山东省大学生软件设计大赛、ACM大赛和全国信息技术应用水平大赛等创新创业大赛，并取得优异成绩，平均每年全国大赛获奖40余项、省部级大赛获奖100余项。极大地提高了学生的实践动手能力。 </w:t>
      </w:r>
    </w:p>
    <w:p>
      <w:pPr>
        <w:pStyle w:val="5"/>
        <w:spacing w:before="93" w:after="93"/>
        <w:ind w:firstLine="560"/>
      </w:pPr>
      <w:r>
        <w:t>三、培养条件</w:t>
      </w:r>
    </w:p>
    <w:p>
      <w:pPr>
        <w:pStyle w:val="45"/>
        <w:ind w:firstLine="480"/>
        <w:rPr>
          <w:rFonts w:ascii="Times New Roman" w:hAnsi="Times New Roman"/>
        </w:rPr>
      </w:pPr>
      <w:r>
        <w:rPr>
          <w:rFonts w:ascii="Times New Roman" w:hAnsi="Times New Roman"/>
        </w:rPr>
        <w:t>1. 教学经费投入与教学设备</w:t>
      </w:r>
    </w:p>
    <w:p>
      <w:pPr>
        <w:ind w:firstLine="480"/>
        <w:rPr>
          <w:szCs w:val="24"/>
        </w:rPr>
      </w:pPr>
      <w:r>
        <w:rPr>
          <w:szCs w:val="24"/>
        </w:rPr>
        <w:t>近年来，学校不断加大教学投入，保证了教学工作的正常运行。生均年教学日常运行经费近1000元，2020-2021年投入90余万元完成了5个专业实验室的设备更新，2021-2022年投入300余万元完成综合实训实验室设备更新。现有微机原理、计算机组成原理、嵌入式系统、网络安全等实验室，Android物联网机器人实验平台、全功能物联网教学科研平台、程序设计教学与实训平台等教学平台，数字逻辑、模拟电路、Linux操作系统等多门课程虚拟实验平台。相关教学实验软硬件设备1300余万元，基本满足本专业教学使用。</w:t>
      </w:r>
    </w:p>
    <w:p>
      <w:pPr>
        <w:pStyle w:val="45"/>
        <w:ind w:firstLine="480"/>
        <w:rPr>
          <w:rFonts w:ascii="Times New Roman" w:hAnsi="Times New Roman"/>
        </w:rPr>
      </w:pPr>
      <w:r>
        <w:rPr>
          <w:rFonts w:ascii="Times New Roman" w:hAnsi="Times New Roman"/>
        </w:rPr>
        <w:t>2. 教师队伍建设</w:t>
      </w:r>
    </w:p>
    <w:p>
      <w:pPr>
        <w:ind w:firstLine="480"/>
        <w:rPr>
          <w:szCs w:val="24"/>
        </w:rPr>
      </w:pPr>
      <w:r>
        <w:rPr>
          <w:szCs w:val="24"/>
        </w:rPr>
        <w:t>计算机科学与技术专业现有专任教师42人，分别来自北京航空航天大学、北京交通大学、山东大学、中国农业大学、武汉理工大学、南京航空航天大学、电子科技大学、哈尔滨理工大学、重庆大学、北京邮电大学、山东科技大学、山东师范大学等十几所高等院校，其中教授12人，副教授22人，硕士生导师16人，23人具有博士学位。聘请院士、校外学者和生产一线专家为兼职教授10余人，聘请行业导师20余人。教授和副教授每学年都坚持为本专业的学生上课，每位主讲教师都具有较高专业水平和较强业务能力。近三年的师资情况对比见表2。</w:t>
      </w:r>
    </w:p>
    <w:p>
      <w:pPr>
        <w:autoSpaceDE w:val="0"/>
        <w:autoSpaceDN w:val="0"/>
        <w:adjustRightInd w:val="0"/>
        <w:jc w:val="center"/>
        <w:rPr>
          <w:b/>
          <w:bCs/>
          <w:sz w:val="21"/>
          <w:szCs w:val="21"/>
        </w:rPr>
      </w:pPr>
      <w:r>
        <w:rPr>
          <w:b/>
          <w:bCs/>
          <w:sz w:val="21"/>
          <w:szCs w:val="21"/>
        </w:rPr>
        <w:t>表2  师资情况对比</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30"/>
        <w:gridCol w:w="1395"/>
        <w:gridCol w:w="810"/>
        <w:gridCol w:w="1515"/>
        <w:gridCol w:w="1518"/>
        <w:gridCol w:w="13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22" w:hRule="atLeast"/>
          <w:jc w:val="center"/>
        </w:trPr>
        <w:tc>
          <w:tcPr>
            <w:tcW w:w="1341" w:type="pct"/>
            <w:tcBorders>
              <w:tl2br w:val="single" w:color="auto" w:sz="4" w:space="0"/>
            </w:tcBorders>
          </w:tcPr>
          <w:p>
            <w:pPr>
              <w:jc w:val="right"/>
              <w:rPr>
                <w:b/>
                <w:bCs/>
                <w:sz w:val="21"/>
                <w:szCs w:val="21"/>
              </w:rPr>
            </w:pPr>
            <w:r>
              <w:rPr>
                <w:b/>
                <w:bCs/>
                <w:sz w:val="21"/>
                <w:szCs w:val="21"/>
              </w:rPr>
              <w:t xml:space="preserve">        教师情况</w:t>
            </w:r>
          </w:p>
          <w:p>
            <w:pPr>
              <w:rPr>
                <w:b/>
                <w:bCs/>
                <w:sz w:val="21"/>
                <w:szCs w:val="21"/>
              </w:rPr>
            </w:pPr>
            <w:r>
              <w:rPr>
                <w:b/>
                <w:bCs/>
                <w:sz w:val="21"/>
                <w:szCs w:val="21"/>
              </w:rPr>
              <w:t>年份</w:t>
            </w:r>
          </w:p>
        </w:tc>
        <w:tc>
          <w:tcPr>
            <w:tcW w:w="770" w:type="pct"/>
            <w:vAlign w:val="center"/>
          </w:tcPr>
          <w:p>
            <w:pPr>
              <w:jc w:val="center"/>
              <w:rPr>
                <w:b/>
                <w:bCs/>
                <w:sz w:val="21"/>
                <w:szCs w:val="21"/>
              </w:rPr>
            </w:pPr>
            <w:r>
              <w:rPr>
                <w:b/>
                <w:bCs/>
                <w:sz w:val="21"/>
                <w:szCs w:val="21"/>
              </w:rPr>
              <w:t>教师人数</w:t>
            </w:r>
          </w:p>
        </w:tc>
        <w:tc>
          <w:tcPr>
            <w:tcW w:w="447" w:type="pct"/>
            <w:vAlign w:val="center"/>
          </w:tcPr>
          <w:p>
            <w:pPr>
              <w:jc w:val="center"/>
              <w:rPr>
                <w:b/>
                <w:bCs/>
                <w:sz w:val="21"/>
                <w:szCs w:val="21"/>
              </w:rPr>
            </w:pPr>
            <w:r>
              <w:rPr>
                <w:b/>
                <w:bCs/>
                <w:sz w:val="21"/>
                <w:szCs w:val="21"/>
              </w:rPr>
              <w:t>教授</w:t>
            </w:r>
          </w:p>
        </w:tc>
        <w:tc>
          <w:tcPr>
            <w:tcW w:w="836" w:type="pct"/>
            <w:vAlign w:val="center"/>
          </w:tcPr>
          <w:p>
            <w:pPr>
              <w:jc w:val="center"/>
              <w:rPr>
                <w:b/>
                <w:bCs/>
                <w:sz w:val="21"/>
                <w:szCs w:val="21"/>
              </w:rPr>
            </w:pPr>
            <w:r>
              <w:rPr>
                <w:b/>
                <w:bCs/>
                <w:sz w:val="21"/>
                <w:szCs w:val="21"/>
              </w:rPr>
              <w:t>副教授</w:t>
            </w:r>
          </w:p>
        </w:tc>
        <w:tc>
          <w:tcPr>
            <w:tcW w:w="838" w:type="pct"/>
            <w:vAlign w:val="center"/>
          </w:tcPr>
          <w:p>
            <w:pPr>
              <w:jc w:val="center"/>
              <w:rPr>
                <w:b/>
                <w:bCs/>
                <w:sz w:val="21"/>
                <w:szCs w:val="21"/>
              </w:rPr>
            </w:pPr>
            <w:r>
              <w:rPr>
                <w:b/>
                <w:bCs/>
                <w:sz w:val="21"/>
                <w:szCs w:val="21"/>
              </w:rPr>
              <w:t>讲师</w:t>
            </w:r>
          </w:p>
        </w:tc>
        <w:tc>
          <w:tcPr>
            <w:tcW w:w="766" w:type="pct"/>
            <w:vAlign w:val="center"/>
          </w:tcPr>
          <w:p>
            <w:pPr>
              <w:jc w:val="center"/>
              <w:rPr>
                <w:b/>
                <w:bCs/>
                <w:sz w:val="21"/>
                <w:szCs w:val="21"/>
              </w:rPr>
            </w:pPr>
            <w:r>
              <w:rPr>
                <w:b/>
                <w:bCs/>
                <w:sz w:val="21"/>
                <w:szCs w:val="21"/>
              </w:rPr>
              <w:t>博士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1341" w:type="pct"/>
            <w:vAlign w:val="center"/>
          </w:tcPr>
          <w:p>
            <w:pPr>
              <w:jc w:val="center"/>
              <w:rPr>
                <w:sz w:val="21"/>
                <w:szCs w:val="21"/>
              </w:rPr>
            </w:pPr>
            <w:r>
              <w:rPr>
                <w:sz w:val="21"/>
                <w:szCs w:val="21"/>
              </w:rPr>
              <w:t>2020</w:t>
            </w:r>
          </w:p>
        </w:tc>
        <w:tc>
          <w:tcPr>
            <w:tcW w:w="770" w:type="pct"/>
            <w:vAlign w:val="center"/>
          </w:tcPr>
          <w:p>
            <w:pPr>
              <w:jc w:val="center"/>
              <w:rPr>
                <w:sz w:val="21"/>
                <w:szCs w:val="21"/>
              </w:rPr>
            </w:pPr>
            <w:r>
              <w:rPr>
                <w:sz w:val="21"/>
                <w:szCs w:val="21"/>
              </w:rPr>
              <w:t>34</w:t>
            </w:r>
          </w:p>
        </w:tc>
        <w:tc>
          <w:tcPr>
            <w:tcW w:w="447" w:type="pct"/>
            <w:vAlign w:val="center"/>
          </w:tcPr>
          <w:p>
            <w:pPr>
              <w:jc w:val="center"/>
              <w:rPr>
                <w:sz w:val="21"/>
                <w:szCs w:val="21"/>
              </w:rPr>
            </w:pPr>
            <w:r>
              <w:rPr>
                <w:sz w:val="21"/>
                <w:szCs w:val="21"/>
              </w:rPr>
              <w:t>8</w:t>
            </w:r>
          </w:p>
        </w:tc>
        <w:tc>
          <w:tcPr>
            <w:tcW w:w="836" w:type="pct"/>
            <w:vAlign w:val="center"/>
          </w:tcPr>
          <w:p>
            <w:pPr>
              <w:jc w:val="center"/>
              <w:rPr>
                <w:sz w:val="21"/>
                <w:szCs w:val="21"/>
              </w:rPr>
            </w:pPr>
            <w:r>
              <w:rPr>
                <w:sz w:val="21"/>
                <w:szCs w:val="21"/>
              </w:rPr>
              <w:t>20</w:t>
            </w:r>
          </w:p>
        </w:tc>
        <w:tc>
          <w:tcPr>
            <w:tcW w:w="838" w:type="pct"/>
            <w:vAlign w:val="center"/>
          </w:tcPr>
          <w:p>
            <w:pPr>
              <w:jc w:val="center"/>
              <w:rPr>
                <w:sz w:val="21"/>
                <w:szCs w:val="21"/>
              </w:rPr>
            </w:pPr>
            <w:r>
              <w:rPr>
                <w:sz w:val="21"/>
                <w:szCs w:val="21"/>
              </w:rPr>
              <w:t>6</w:t>
            </w:r>
          </w:p>
        </w:tc>
        <w:tc>
          <w:tcPr>
            <w:tcW w:w="766" w:type="pct"/>
            <w:vAlign w:val="center"/>
          </w:tcPr>
          <w:p>
            <w:pPr>
              <w:jc w:val="center"/>
              <w:rPr>
                <w:sz w:val="21"/>
                <w:szCs w:val="21"/>
              </w:rPr>
            </w:pPr>
            <w:r>
              <w:rPr>
                <w:sz w:val="21"/>
                <w:szCs w:val="21"/>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341" w:type="pct"/>
            <w:vAlign w:val="center"/>
          </w:tcPr>
          <w:p>
            <w:pPr>
              <w:jc w:val="center"/>
              <w:rPr>
                <w:sz w:val="21"/>
                <w:szCs w:val="21"/>
              </w:rPr>
            </w:pPr>
            <w:r>
              <w:rPr>
                <w:sz w:val="21"/>
                <w:szCs w:val="21"/>
              </w:rPr>
              <w:t>2021</w:t>
            </w:r>
          </w:p>
        </w:tc>
        <w:tc>
          <w:tcPr>
            <w:tcW w:w="770" w:type="pct"/>
            <w:vAlign w:val="center"/>
          </w:tcPr>
          <w:p>
            <w:pPr>
              <w:jc w:val="center"/>
              <w:rPr>
                <w:sz w:val="21"/>
                <w:szCs w:val="21"/>
              </w:rPr>
            </w:pPr>
            <w:r>
              <w:rPr>
                <w:sz w:val="21"/>
                <w:szCs w:val="21"/>
              </w:rPr>
              <w:t>35</w:t>
            </w:r>
          </w:p>
        </w:tc>
        <w:tc>
          <w:tcPr>
            <w:tcW w:w="447" w:type="pct"/>
            <w:vAlign w:val="center"/>
          </w:tcPr>
          <w:p>
            <w:pPr>
              <w:jc w:val="center"/>
              <w:rPr>
                <w:sz w:val="21"/>
                <w:szCs w:val="21"/>
              </w:rPr>
            </w:pPr>
            <w:r>
              <w:rPr>
                <w:sz w:val="21"/>
                <w:szCs w:val="21"/>
              </w:rPr>
              <w:t>12</w:t>
            </w:r>
          </w:p>
        </w:tc>
        <w:tc>
          <w:tcPr>
            <w:tcW w:w="836" w:type="pct"/>
            <w:vAlign w:val="center"/>
          </w:tcPr>
          <w:p>
            <w:pPr>
              <w:jc w:val="center"/>
              <w:rPr>
                <w:sz w:val="21"/>
                <w:szCs w:val="21"/>
              </w:rPr>
            </w:pPr>
            <w:r>
              <w:rPr>
                <w:sz w:val="21"/>
                <w:szCs w:val="21"/>
              </w:rPr>
              <w:t>17</w:t>
            </w:r>
          </w:p>
        </w:tc>
        <w:tc>
          <w:tcPr>
            <w:tcW w:w="838" w:type="pct"/>
            <w:vAlign w:val="center"/>
          </w:tcPr>
          <w:p>
            <w:pPr>
              <w:jc w:val="center"/>
              <w:rPr>
                <w:sz w:val="21"/>
                <w:szCs w:val="21"/>
              </w:rPr>
            </w:pPr>
            <w:r>
              <w:rPr>
                <w:sz w:val="21"/>
                <w:szCs w:val="21"/>
              </w:rPr>
              <w:t>6</w:t>
            </w:r>
          </w:p>
        </w:tc>
        <w:tc>
          <w:tcPr>
            <w:tcW w:w="766" w:type="pct"/>
            <w:vAlign w:val="center"/>
          </w:tcPr>
          <w:p>
            <w:pPr>
              <w:jc w:val="center"/>
              <w:rPr>
                <w:sz w:val="21"/>
                <w:szCs w:val="21"/>
              </w:rPr>
            </w:pPr>
            <w:r>
              <w:rPr>
                <w:sz w:val="21"/>
                <w:szCs w:val="21"/>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341" w:type="pct"/>
            <w:vAlign w:val="center"/>
          </w:tcPr>
          <w:p>
            <w:pPr>
              <w:jc w:val="center"/>
              <w:rPr>
                <w:sz w:val="21"/>
                <w:szCs w:val="21"/>
              </w:rPr>
            </w:pPr>
            <w:r>
              <w:rPr>
                <w:sz w:val="21"/>
                <w:szCs w:val="21"/>
              </w:rPr>
              <w:t>2022</w:t>
            </w:r>
          </w:p>
        </w:tc>
        <w:tc>
          <w:tcPr>
            <w:tcW w:w="770" w:type="pct"/>
            <w:vAlign w:val="center"/>
          </w:tcPr>
          <w:p>
            <w:pPr>
              <w:jc w:val="center"/>
              <w:rPr>
                <w:sz w:val="21"/>
                <w:szCs w:val="21"/>
              </w:rPr>
            </w:pPr>
            <w:r>
              <w:rPr>
                <w:sz w:val="21"/>
                <w:szCs w:val="21"/>
              </w:rPr>
              <w:t>42</w:t>
            </w:r>
          </w:p>
        </w:tc>
        <w:tc>
          <w:tcPr>
            <w:tcW w:w="447" w:type="pct"/>
            <w:vAlign w:val="center"/>
          </w:tcPr>
          <w:p>
            <w:pPr>
              <w:jc w:val="center"/>
              <w:rPr>
                <w:sz w:val="21"/>
                <w:szCs w:val="21"/>
              </w:rPr>
            </w:pPr>
            <w:r>
              <w:rPr>
                <w:sz w:val="21"/>
                <w:szCs w:val="21"/>
              </w:rPr>
              <w:t>12</w:t>
            </w:r>
          </w:p>
        </w:tc>
        <w:tc>
          <w:tcPr>
            <w:tcW w:w="836" w:type="pct"/>
            <w:vAlign w:val="center"/>
          </w:tcPr>
          <w:p>
            <w:pPr>
              <w:jc w:val="center"/>
              <w:rPr>
                <w:sz w:val="21"/>
                <w:szCs w:val="21"/>
              </w:rPr>
            </w:pPr>
            <w:r>
              <w:rPr>
                <w:sz w:val="21"/>
                <w:szCs w:val="21"/>
              </w:rPr>
              <w:t>22</w:t>
            </w:r>
          </w:p>
        </w:tc>
        <w:tc>
          <w:tcPr>
            <w:tcW w:w="838" w:type="pct"/>
            <w:vAlign w:val="center"/>
          </w:tcPr>
          <w:p>
            <w:pPr>
              <w:jc w:val="center"/>
              <w:rPr>
                <w:sz w:val="21"/>
                <w:szCs w:val="21"/>
              </w:rPr>
            </w:pPr>
            <w:r>
              <w:rPr>
                <w:sz w:val="21"/>
                <w:szCs w:val="21"/>
              </w:rPr>
              <w:t>8</w:t>
            </w:r>
          </w:p>
        </w:tc>
        <w:tc>
          <w:tcPr>
            <w:tcW w:w="766" w:type="pct"/>
            <w:vAlign w:val="center"/>
          </w:tcPr>
          <w:p>
            <w:pPr>
              <w:jc w:val="center"/>
              <w:rPr>
                <w:sz w:val="21"/>
                <w:szCs w:val="21"/>
              </w:rPr>
            </w:pPr>
            <w:r>
              <w:rPr>
                <w:sz w:val="21"/>
                <w:szCs w:val="21"/>
              </w:rPr>
              <w:t>23</w:t>
            </w:r>
          </w:p>
        </w:tc>
      </w:tr>
    </w:tbl>
    <w:p>
      <w:pPr>
        <w:pStyle w:val="45"/>
        <w:ind w:firstLine="480"/>
        <w:rPr>
          <w:rFonts w:ascii="Times New Roman" w:hAnsi="Times New Roman"/>
        </w:rPr>
      </w:pPr>
      <w:r>
        <w:rPr>
          <w:rFonts w:ascii="Times New Roman" w:hAnsi="Times New Roman"/>
        </w:rPr>
        <w:t>3. 实习基地</w:t>
      </w:r>
    </w:p>
    <w:p>
      <w:pPr>
        <w:ind w:firstLine="480"/>
        <w:rPr>
          <w:szCs w:val="24"/>
        </w:rPr>
      </w:pPr>
      <w:r>
        <w:rPr>
          <w:szCs w:val="24"/>
        </w:rPr>
        <w:t>实践教学是计算机科学与技术专业学生非常重要的环节。计算机科学与技术专业通过与国内相关企业单位合作，目前建有22个稳定的实习基地，可以安排学生的认识实习、生产实习和毕业实习。校外实习实训基地详见表3。</w:t>
      </w:r>
    </w:p>
    <w:p>
      <w:pPr>
        <w:rPr>
          <w:b/>
          <w:bCs/>
          <w:sz w:val="21"/>
          <w:szCs w:val="21"/>
        </w:rPr>
      </w:pPr>
      <w:r>
        <w:rPr>
          <w:b/>
          <w:bCs/>
          <w:sz w:val="21"/>
          <w:szCs w:val="21"/>
        </w:rPr>
        <w:br w:type="page"/>
      </w:r>
    </w:p>
    <w:p>
      <w:pPr>
        <w:autoSpaceDE w:val="0"/>
        <w:autoSpaceDN w:val="0"/>
        <w:adjustRightInd w:val="0"/>
        <w:jc w:val="center"/>
        <w:rPr>
          <w:b/>
          <w:bCs/>
          <w:sz w:val="21"/>
          <w:szCs w:val="21"/>
        </w:rPr>
      </w:pPr>
      <w:r>
        <w:rPr>
          <w:b/>
          <w:bCs/>
          <w:sz w:val="21"/>
          <w:szCs w:val="21"/>
        </w:rPr>
        <w:t>表3 计算机科学与技术专业实习、实训基地统计表</w:t>
      </w:r>
    </w:p>
    <w:tbl>
      <w:tblPr>
        <w:tblStyle w:val="17"/>
        <w:tblW w:w="7079" w:type="dxa"/>
        <w:jc w:val="center"/>
        <w:tblLayout w:type="fixed"/>
        <w:tblCellMar>
          <w:top w:w="0" w:type="dxa"/>
          <w:left w:w="108" w:type="dxa"/>
          <w:bottom w:w="0" w:type="dxa"/>
          <w:right w:w="108" w:type="dxa"/>
        </w:tblCellMar>
      </w:tblPr>
      <w:tblGrid>
        <w:gridCol w:w="798"/>
        <w:gridCol w:w="4383"/>
        <w:gridCol w:w="1898"/>
      </w:tblGrid>
      <w:tr>
        <w:tblPrEx>
          <w:tblCellMar>
            <w:top w:w="0" w:type="dxa"/>
            <w:left w:w="108" w:type="dxa"/>
            <w:bottom w:w="0" w:type="dxa"/>
            <w:right w:w="108" w:type="dxa"/>
          </w:tblCellMar>
        </w:tblPrEx>
        <w:trPr>
          <w:trHeight w:val="408" w:hRule="atLeast"/>
          <w:jc w:val="center"/>
        </w:trPr>
        <w:tc>
          <w:tcPr>
            <w:tcW w:w="798"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rPr>
                <w:b/>
                <w:bCs/>
                <w:kern w:val="0"/>
                <w:sz w:val="21"/>
                <w:szCs w:val="21"/>
              </w:rPr>
            </w:pPr>
            <w:r>
              <w:rPr>
                <w:b/>
                <w:bCs/>
                <w:kern w:val="0"/>
                <w:sz w:val="21"/>
                <w:szCs w:val="21"/>
              </w:rPr>
              <w:t>序号</w:t>
            </w:r>
          </w:p>
        </w:tc>
        <w:tc>
          <w:tcPr>
            <w:tcW w:w="4383" w:type="dxa"/>
            <w:tcBorders>
              <w:top w:val="single" w:color="auto" w:sz="4" w:space="0"/>
              <w:left w:val="single" w:color="auto" w:sz="4" w:space="0"/>
              <w:bottom w:val="single" w:color="auto" w:sz="4" w:space="0"/>
              <w:right w:val="single" w:color="auto" w:sz="4" w:space="0"/>
            </w:tcBorders>
            <w:shd w:val="clear" w:color="000000" w:fill="FFFFFF"/>
            <w:noWrap/>
            <w:vAlign w:val="center"/>
          </w:tcPr>
          <w:p>
            <w:pPr>
              <w:widowControl/>
              <w:jc w:val="center"/>
              <w:rPr>
                <w:b/>
                <w:bCs/>
                <w:kern w:val="0"/>
                <w:sz w:val="21"/>
                <w:szCs w:val="21"/>
              </w:rPr>
            </w:pPr>
            <w:r>
              <w:rPr>
                <w:b/>
                <w:bCs/>
                <w:kern w:val="0"/>
                <w:sz w:val="21"/>
                <w:szCs w:val="21"/>
              </w:rPr>
              <w:t>基地名称</w:t>
            </w:r>
          </w:p>
        </w:tc>
        <w:tc>
          <w:tcPr>
            <w:tcW w:w="1898" w:type="dxa"/>
            <w:tcBorders>
              <w:top w:val="single" w:color="auto" w:sz="4" w:space="0"/>
              <w:left w:val="nil"/>
              <w:bottom w:val="single" w:color="auto" w:sz="4" w:space="0"/>
              <w:right w:val="single" w:color="auto" w:sz="4" w:space="0"/>
            </w:tcBorders>
            <w:shd w:val="clear" w:color="000000" w:fill="FFFFFF"/>
            <w:noWrap/>
            <w:vAlign w:val="center"/>
          </w:tcPr>
          <w:p>
            <w:pPr>
              <w:widowControl/>
              <w:jc w:val="center"/>
              <w:rPr>
                <w:b/>
                <w:bCs/>
                <w:kern w:val="0"/>
                <w:sz w:val="21"/>
                <w:szCs w:val="21"/>
              </w:rPr>
            </w:pPr>
            <w:r>
              <w:rPr>
                <w:b/>
                <w:bCs/>
                <w:kern w:val="0"/>
                <w:sz w:val="21"/>
                <w:szCs w:val="21"/>
              </w:rPr>
              <w:t>建立时间</w:t>
            </w:r>
          </w:p>
        </w:tc>
      </w:tr>
      <w:tr>
        <w:tblPrEx>
          <w:tblCellMar>
            <w:top w:w="0" w:type="dxa"/>
            <w:left w:w="108" w:type="dxa"/>
            <w:bottom w:w="0" w:type="dxa"/>
            <w:right w:w="108" w:type="dxa"/>
          </w:tblCellMar>
        </w:tblPrEx>
        <w:trPr>
          <w:trHeight w:val="408" w:hRule="atLeast"/>
          <w:jc w:val="center"/>
        </w:trPr>
        <w:tc>
          <w:tcPr>
            <w:tcW w:w="798"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rPr>
                <w:kern w:val="0"/>
                <w:sz w:val="21"/>
                <w:szCs w:val="21"/>
              </w:rPr>
            </w:pPr>
            <w:r>
              <w:rPr>
                <w:kern w:val="0"/>
                <w:sz w:val="21"/>
                <w:szCs w:val="21"/>
              </w:rPr>
              <w:t>1</w:t>
            </w:r>
          </w:p>
        </w:tc>
        <w:tc>
          <w:tcPr>
            <w:tcW w:w="4383" w:type="dxa"/>
            <w:tcBorders>
              <w:top w:val="single" w:color="auto" w:sz="4" w:space="0"/>
              <w:left w:val="single" w:color="auto" w:sz="4" w:space="0"/>
              <w:bottom w:val="single" w:color="auto" w:sz="4" w:space="0"/>
              <w:right w:val="single" w:color="auto" w:sz="4" w:space="0"/>
            </w:tcBorders>
            <w:shd w:val="clear" w:color="000000" w:fill="FFFFFF"/>
            <w:noWrap/>
            <w:vAlign w:val="center"/>
          </w:tcPr>
          <w:p>
            <w:pPr>
              <w:widowControl/>
              <w:jc w:val="left"/>
              <w:rPr>
                <w:sz w:val="21"/>
                <w:szCs w:val="21"/>
              </w:rPr>
            </w:pPr>
            <w:r>
              <w:rPr>
                <w:sz w:val="21"/>
                <w:szCs w:val="21"/>
              </w:rPr>
              <w:t>山东华软金盾软件股份有限公司</w:t>
            </w:r>
          </w:p>
        </w:tc>
        <w:tc>
          <w:tcPr>
            <w:tcW w:w="1898" w:type="dxa"/>
            <w:tcBorders>
              <w:top w:val="single" w:color="auto" w:sz="4" w:space="0"/>
              <w:left w:val="nil"/>
              <w:bottom w:val="single" w:color="auto" w:sz="4" w:space="0"/>
              <w:right w:val="single" w:color="auto" w:sz="4" w:space="0"/>
            </w:tcBorders>
            <w:shd w:val="clear" w:color="000000" w:fill="FFFFFF"/>
            <w:noWrap/>
            <w:vAlign w:val="center"/>
          </w:tcPr>
          <w:p>
            <w:pPr>
              <w:widowControl/>
              <w:jc w:val="center"/>
              <w:rPr>
                <w:sz w:val="21"/>
                <w:szCs w:val="21"/>
              </w:rPr>
            </w:pPr>
            <w:r>
              <w:rPr>
                <w:sz w:val="21"/>
                <w:szCs w:val="21"/>
              </w:rPr>
              <w:t>2021</w:t>
            </w:r>
          </w:p>
        </w:tc>
      </w:tr>
      <w:tr>
        <w:tblPrEx>
          <w:tblCellMar>
            <w:top w:w="0" w:type="dxa"/>
            <w:left w:w="108" w:type="dxa"/>
            <w:bottom w:w="0" w:type="dxa"/>
            <w:right w:w="108" w:type="dxa"/>
          </w:tblCellMar>
        </w:tblPrEx>
        <w:trPr>
          <w:trHeight w:val="408" w:hRule="atLeast"/>
          <w:jc w:val="center"/>
        </w:trPr>
        <w:tc>
          <w:tcPr>
            <w:tcW w:w="798"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rPr>
                <w:kern w:val="0"/>
                <w:sz w:val="21"/>
                <w:szCs w:val="21"/>
              </w:rPr>
            </w:pPr>
            <w:r>
              <w:rPr>
                <w:kern w:val="0"/>
                <w:sz w:val="21"/>
                <w:szCs w:val="21"/>
              </w:rPr>
              <w:t>2</w:t>
            </w:r>
          </w:p>
        </w:tc>
        <w:tc>
          <w:tcPr>
            <w:tcW w:w="4383" w:type="dxa"/>
            <w:tcBorders>
              <w:top w:val="single" w:color="auto" w:sz="4" w:space="0"/>
              <w:left w:val="single" w:color="auto" w:sz="4" w:space="0"/>
              <w:bottom w:val="single" w:color="auto" w:sz="4" w:space="0"/>
              <w:right w:val="single" w:color="auto" w:sz="4" w:space="0"/>
            </w:tcBorders>
            <w:shd w:val="clear" w:color="000000" w:fill="FFFFFF"/>
            <w:noWrap/>
            <w:vAlign w:val="center"/>
          </w:tcPr>
          <w:p>
            <w:pPr>
              <w:widowControl/>
              <w:jc w:val="left"/>
              <w:rPr>
                <w:sz w:val="21"/>
                <w:szCs w:val="21"/>
              </w:rPr>
            </w:pPr>
            <w:r>
              <w:rPr>
                <w:sz w:val="21"/>
                <w:szCs w:val="21"/>
              </w:rPr>
              <w:t>山东易途信息科技有限公司</w:t>
            </w:r>
          </w:p>
        </w:tc>
        <w:tc>
          <w:tcPr>
            <w:tcW w:w="1898" w:type="dxa"/>
            <w:tcBorders>
              <w:top w:val="single" w:color="auto" w:sz="4" w:space="0"/>
              <w:left w:val="nil"/>
              <w:bottom w:val="single" w:color="auto" w:sz="4" w:space="0"/>
              <w:right w:val="single" w:color="auto" w:sz="4" w:space="0"/>
            </w:tcBorders>
            <w:shd w:val="clear" w:color="000000" w:fill="FFFFFF"/>
            <w:noWrap/>
            <w:vAlign w:val="center"/>
          </w:tcPr>
          <w:p>
            <w:pPr>
              <w:widowControl/>
              <w:jc w:val="center"/>
              <w:rPr>
                <w:sz w:val="21"/>
                <w:szCs w:val="21"/>
              </w:rPr>
            </w:pPr>
            <w:r>
              <w:rPr>
                <w:sz w:val="21"/>
                <w:szCs w:val="21"/>
              </w:rPr>
              <w:t>2021</w:t>
            </w:r>
          </w:p>
        </w:tc>
      </w:tr>
      <w:tr>
        <w:tblPrEx>
          <w:tblCellMar>
            <w:top w:w="0" w:type="dxa"/>
            <w:left w:w="108" w:type="dxa"/>
            <w:bottom w:w="0" w:type="dxa"/>
            <w:right w:w="108" w:type="dxa"/>
          </w:tblCellMar>
        </w:tblPrEx>
        <w:trPr>
          <w:trHeight w:val="408" w:hRule="atLeast"/>
          <w:jc w:val="center"/>
        </w:trPr>
        <w:tc>
          <w:tcPr>
            <w:tcW w:w="798"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rPr>
                <w:kern w:val="0"/>
                <w:sz w:val="21"/>
                <w:szCs w:val="21"/>
              </w:rPr>
            </w:pPr>
            <w:r>
              <w:rPr>
                <w:kern w:val="0"/>
                <w:sz w:val="21"/>
                <w:szCs w:val="21"/>
              </w:rPr>
              <w:t>3</w:t>
            </w:r>
          </w:p>
        </w:tc>
        <w:tc>
          <w:tcPr>
            <w:tcW w:w="4383" w:type="dxa"/>
            <w:tcBorders>
              <w:top w:val="single" w:color="auto" w:sz="4" w:space="0"/>
              <w:left w:val="single" w:color="auto" w:sz="4" w:space="0"/>
              <w:bottom w:val="single" w:color="auto" w:sz="4" w:space="0"/>
              <w:right w:val="single" w:color="auto" w:sz="4" w:space="0"/>
            </w:tcBorders>
            <w:shd w:val="clear" w:color="000000" w:fill="FFFFFF"/>
            <w:noWrap/>
          </w:tcPr>
          <w:p>
            <w:pPr>
              <w:rPr>
                <w:sz w:val="21"/>
                <w:szCs w:val="21"/>
              </w:rPr>
            </w:pPr>
            <w:r>
              <w:rPr>
                <w:sz w:val="21"/>
                <w:szCs w:val="21"/>
              </w:rPr>
              <w:t>青岛思途共享科技信息服务有限公司</w:t>
            </w:r>
          </w:p>
        </w:tc>
        <w:tc>
          <w:tcPr>
            <w:tcW w:w="1898" w:type="dxa"/>
            <w:tcBorders>
              <w:top w:val="single" w:color="auto" w:sz="4" w:space="0"/>
              <w:left w:val="nil"/>
              <w:bottom w:val="single" w:color="auto" w:sz="4" w:space="0"/>
              <w:right w:val="single" w:color="auto" w:sz="4" w:space="0"/>
            </w:tcBorders>
            <w:shd w:val="clear" w:color="000000" w:fill="FFFFFF"/>
            <w:noWrap/>
            <w:vAlign w:val="bottom"/>
          </w:tcPr>
          <w:p>
            <w:pPr>
              <w:widowControl/>
              <w:jc w:val="center"/>
              <w:rPr>
                <w:kern w:val="0"/>
                <w:sz w:val="21"/>
                <w:szCs w:val="21"/>
              </w:rPr>
            </w:pPr>
            <w:r>
              <w:rPr>
                <w:kern w:val="0"/>
                <w:sz w:val="21"/>
                <w:szCs w:val="21"/>
              </w:rPr>
              <w:t>2019</w:t>
            </w:r>
          </w:p>
        </w:tc>
      </w:tr>
      <w:tr>
        <w:tblPrEx>
          <w:tblCellMar>
            <w:top w:w="0" w:type="dxa"/>
            <w:left w:w="108" w:type="dxa"/>
            <w:bottom w:w="0" w:type="dxa"/>
            <w:right w:w="108" w:type="dxa"/>
          </w:tblCellMar>
        </w:tblPrEx>
        <w:trPr>
          <w:trHeight w:val="408" w:hRule="atLeast"/>
          <w:jc w:val="center"/>
        </w:trPr>
        <w:tc>
          <w:tcPr>
            <w:tcW w:w="798"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rPr>
                <w:kern w:val="0"/>
                <w:sz w:val="21"/>
                <w:szCs w:val="21"/>
              </w:rPr>
            </w:pPr>
            <w:r>
              <w:rPr>
                <w:kern w:val="0"/>
                <w:sz w:val="21"/>
                <w:szCs w:val="21"/>
              </w:rPr>
              <w:t>4</w:t>
            </w:r>
          </w:p>
        </w:tc>
        <w:tc>
          <w:tcPr>
            <w:tcW w:w="4383" w:type="dxa"/>
            <w:tcBorders>
              <w:top w:val="single" w:color="auto" w:sz="4" w:space="0"/>
              <w:left w:val="single" w:color="auto" w:sz="4" w:space="0"/>
              <w:bottom w:val="single" w:color="auto" w:sz="4" w:space="0"/>
              <w:right w:val="single" w:color="auto" w:sz="4" w:space="0"/>
            </w:tcBorders>
            <w:shd w:val="clear" w:color="000000" w:fill="FFFFFF"/>
            <w:noWrap/>
          </w:tcPr>
          <w:p>
            <w:pPr>
              <w:rPr>
                <w:sz w:val="21"/>
                <w:szCs w:val="21"/>
              </w:rPr>
            </w:pPr>
            <w:r>
              <w:rPr>
                <w:sz w:val="21"/>
                <w:szCs w:val="21"/>
              </w:rPr>
              <w:t>山东泰开互感器有限公司</w:t>
            </w:r>
          </w:p>
        </w:tc>
        <w:tc>
          <w:tcPr>
            <w:tcW w:w="1898" w:type="dxa"/>
            <w:tcBorders>
              <w:top w:val="single" w:color="auto" w:sz="4" w:space="0"/>
              <w:left w:val="nil"/>
              <w:bottom w:val="single" w:color="auto" w:sz="4" w:space="0"/>
              <w:right w:val="single" w:color="auto" w:sz="4" w:space="0"/>
            </w:tcBorders>
            <w:shd w:val="clear" w:color="000000" w:fill="FFFFFF"/>
            <w:noWrap/>
            <w:vAlign w:val="bottom"/>
          </w:tcPr>
          <w:p>
            <w:pPr>
              <w:widowControl/>
              <w:jc w:val="center"/>
              <w:rPr>
                <w:kern w:val="0"/>
                <w:sz w:val="21"/>
                <w:szCs w:val="21"/>
              </w:rPr>
            </w:pPr>
            <w:r>
              <w:rPr>
                <w:kern w:val="0"/>
                <w:sz w:val="21"/>
                <w:szCs w:val="21"/>
              </w:rPr>
              <w:t>2019</w:t>
            </w:r>
          </w:p>
        </w:tc>
      </w:tr>
      <w:tr>
        <w:tblPrEx>
          <w:tblCellMar>
            <w:top w:w="0" w:type="dxa"/>
            <w:left w:w="108" w:type="dxa"/>
            <w:bottom w:w="0" w:type="dxa"/>
            <w:right w:w="108" w:type="dxa"/>
          </w:tblCellMar>
        </w:tblPrEx>
        <w:trPr>
          <w:trHeight w:val="408" w:hRule="atLeast"/>
          <w:jc w:val="center"/>
        </w:trPr>
        <w:tc>
          <w:tcPr>
            <w:tcW w:w="798"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rPr>
                <w:kern w:val="0"/>
                <w:sz w:val="21"/>
                <w:szCs w:val="21"/>
              </w:rPr>
            </w:pPr>
            <w:r>
              <w:rPr>
                <w:kern w:val="0"/>
                <w:sz w:val="21"/>
                <w:szCs w:val="21"/>
              </w:rPr>
              <w:t>5</w:t>
            </w:r>
          </w:p>
        </w:tc>
        <w:tc>
          <w:tcPr>
            <w:tcW w:w="4383" w:type="dxa"/>
            <w:tcBorders>
              <w:top w:val="single" w:color="auto" w:sz="4" w:space="0"/>
              <w:left w:val="single" w:color="auto" w:sz="4" w:space="0"/>
              <w:bottom w:val="single" w:color="auto" w:sz="4" w:space="0"/>
              <w:right w:val="single" w:color="auto" w:sz="4" w:space="0"/>
            </w:tcBorders>
            <w:shd w:val="clear" w:color="000000" w:fill="FFFFFF"/>
            <w:noWrap/>
          </w:tcPr>
          <w:p>
            <w:pPr>
              <w:rPr>
                <w:sz w:val="21"/>
                <w:szCs w:val="21"/>
              </w:rPr>
            </w:pPr>
            <w:r>
              <w:rPr>
                <w:sz w:val="21"/>
                <w:szCs w:val="21"/>
              </w:rPr>
              <w:t>山东泰开检测有限公司</w:t>
            </w:r>
          </w:p>
        </w:tc>
        <w:tc>
          <w:tcPr>
            <w:tcW w:w="1898" w:type="dxa"/>
            <w:tcBorders>
              <w:top w:val="single" w:color="auto" w:sz="4" w:space="0"/>
              <w:left w:val="nil"/>
              <w:bottom w:val="single" w:color="auto" w:sz="4" w:space="0"/>
              <w:right w:val="single" w:color="auto" w:sz="4" w:space="0"/>
            </w:tcBorders>
            <w:shd w:val="clear" w:color="000000" w:fill="FFFFFF"/>
            <w:noWrap/>
            <w:vAlign w:val="bottom"/>
          </w:tcPr>
          <w:p>
            <w:pPr>
              <w:widowControl/>
              <w:jc w:val="center"/>
              <w:rPr>
                <w:kern w:val="0"/>
                <w:sz w:val="21"/>
                <w:szCs w:val="21"/>
              </w:rPr>
            </w:pPr>
            <w:r>
              <w:rPr>
                <w:kern w:val="0"/>
                <w:sz w:val="21"/>
                <w:szCs w:val="21"/>
              </w:rPr>
              <w:t>2019</w:t>
            </w:r>
          </w:p>
        </w:tc>
      </w:tr>
      <w:tr>
        <w:tblPrEx>
          <w:tblCellMar>
            <w:top w:w="0" w:type="dxa"/>
            <w:left w:w="108" w:type="dxa"/>
            <w:bottom w:w="0" w:type="dxa"/>
            <w:right w:w="108" w:type="dxa"/>
          </w:tblCellMar>
        </w:tblPrEx>
        <w:trPr>
          <w:trHeight w:val="408" w:hRule="atLeast"/>
          <w:jc w:val="center"/>
        </w:trPr>
        <w:tc>
          <w:tcPr>
            <w:tcW w:w="798" w:type="dxa"/>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rPr>
                <w:kern w:val="0"/>
                <w:sz w:val="21"/>
                <w:szCs w:val="21"/>
              </w:rPr>
            </w:pPr>
            <w:r>
              <w:rPr>
                <w:kern w:val="0"/>
                <w:sz w:val="21"/>
                <w:szCs w:val="21"/>
              </w:rPr>
              <w:t>6</w:t>
            </w:r>
          </w:p>
        </w:tc>
        <w:tc>
          <w:tcPr>
            <w:tcW w:w="4383" w:type="dxa"/>
            <w:tcBorders>
              <w:top w:val="single" w:color="auto" w:sz="4" w:space="0"/>
              <w:left w:val="single" w:color="auto" w:sz="4" w:space="0"/>
              <w:bottom w:val="single" w:color="auto" w:sz="4" w:space="0"/>
              <w:right w:val="single" w:color="auto" w:sz="4" w:space="0"/>
            </w:tcBorders>
            <w:shd w:val="clear" w:color="000000" w:fill="FFFFFF"/>
            <w:noWrap/>
          </w:tcPr>
          <w:p>
            <w:pPr>
              <w:rPr>
                <w:sz w:val="21"/>
                <w:szCs w:val="21"/>
              </w:rPr>
            </w:pPr>
            <w:r>
              <w:rPr>
                <w:sz w:val="21"/>
                <w:szCs w:val="21"/>
              </w:rPr>
              <w:t>北京佳格天地科技有限公司</w:t>
            </w:r>
          </w:p>
        </w:tc>
        <w:tc>
          <w:tcPr>
            <w:tcW w:w="1898" w:type="dxa"/>
            <w:tcBorders>
              <w:top w:val="single" w:color="auto" w:sz="4" w:space="0"/>
              <w:left w:val="nil"/>
              <w:bottom w:val="single" w:color="auto" w:sz="4" w:space="0"/>
              <w:right w:val="single" w:color="auto" w:sz="4" w:space="0"/>
            </w:tcBorders>
            <w:shd w:val="clear" w:color="000000" w:fill="FFFFFF"/>
            <w:noWrap/>
            <w:vAlign w:val="bottom"/>
          </w:tcPr>
          <w:p>
            <w:pPr>
              <w:widowControl/>
              <w:jc w:val="center"/>
              <w:rPr>
                <w:kern w:val="0"/>
                <w:sz w:val="21"/>
                <w:szCs w:val="21"/>
              </w:rPr>
            </w:pPr>
            <w:r>
              <w:rPr>
                <w:kern w:val="0"/>
                <w:sz w:val="21"/>
                <w:szCs w:val="21"/>
              </w:rPr>
              <w:t>2019</w:t>
            </w:r>
          </w:p>
        </w:tc>
      </w:tr>
      <w:tr>
        <w:tblPrEx>
          <w:tblCellMar>
            <w:top w:w="0" w:type="dxa"/>
            <w:left w:w="108" w:type="dxa"/>
            <w:bottom w:w="0" w:type="dxa"/>
            <w:right w:w="108" w:type="dxa"/>
          </w:tblCellMar>
        </w:tblPrEx>
        <w:trPr>
          <w:trHeight w:val="408" w:hRule="atLeast"/>
          <w:jc w:val="center"/>
        </w:trPr>
        <w:tc>
          <w:tcPr>
            <w:tcW w:w="798" w:type="dxa"/>
            <w:tcBorders>
              <w:top w:val="nil"/>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7</w:t>
            </w:r>
          </w:p>
        </w:tc>
        <w:tc>
          <w:tcPr>
            <w:tcW w:w="4383" w:type="dxa"/>
            <w:tcBorders>
              <w:top w:val="nil"/>
              <w:left w:val="single" w:color="auto" w:sz="4" w:space="0"/>
              <w:bottom w:val="single" w:color="auto" w:sz="4" w:space="0"/>
              <w:right w:val="single" w:color="auto" w:sz="4" w:space="0"/>
            </w:tcBorders>
            <w:shd w:val="clear" w:color="auto" w:fill="auto"/>
          </w:tcPr>
          <w:p>
            <w:pPr>
              <w:rPr>
                <w:sz w:val="21"/>
                <w:szCs w:val="21"/>
              </w:rPr>
            </w:pPr>
            <w:r>
              <w:rPr>
                <w:sz w:val="21"/>
                <w:szCs w:val="21"/>
              </w:rPr>
              <w:t>泰安市金土地测绘整理有限公司</w:t>
            </w:r>
          </w:p>
        </w:tc>
        <w:tc>
          <w:tcPr>
            <w:tcW w:w="1898" w:type="dxa"/>
            <w:tcBorders>
              <w:top w:val="nil"/>
              <w:left w:val="nil"/>
              <w:bottom w:val="single" w:color="auto" w:sz="4" w:space="0"/>
              <w:right w:val="single" w:color="auto" w:sz="4" w:space="0"/>
            </w:tcBorders>
            <w:shd w:val="clear" w:color="auto" w:fill="auto"/>
            <w:vAlign w:val="bottom"/>
          </w:tcPr>
          <w:p>
            <w:pPr>
              <w:widowControl/>
              <w:jc w:val="center"/>
              <w:rPr>
                <w:kern w:val="0"/>
                <w:sz w:val="21"/>
                <w:szCs w:val="21"/>
              </w:rPr>
            </w:pPr>
            <w:r>
              <w:rPr>
                <w:kern w:val="0"/>
                <w:sz w:val="21"/>
                <w:szCs w:val="21"/>
              </w:rPr>
              <w:t xml:space="preserve"> 2019</w:t>
            </w:r>
          </w:p>
        </w:tc>
      </w:tr>
      <w:tr>
        <w:tblPrEx>
          <w:tblCellMar>
            <w:top w:w="0" w:type="dxa"/>
            <w:left w:w="108" w:type="dxa"/>
            <w:bottom w:w="0" w:type="dxa"/>
            <w:right w:w="108" w:type="dxa"/>
          </w:tblCellMar>
        </w:tblPrEx>
        <w:trPr>
          <w:trHeight w:val="408" w:hRule="atLeast"/>
          <w:jc w:val="center"/>
        </w:trPr>
        <w:tc>
          <w:tcPr>
            <w:tcW w:w="798" w:type="dxa"/>
            <w:tcBorders>
              <w:top w:val="nil"/>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8</w:t>
            </w:r>
          </w:p>
        </w:tc>
        <w:tc>
          <w:tcPr>
            <w:tcW w:w="4383" w:type="dxa"/>
            <w:tcBorders>
              <w:top w:val="nil"/>
              <w:left w:val="single" w:color="auto" w:sz="4" w:space="0"/>
              <w:bottom w:val="single" w:color="auto" w:sz="4" w:space="0"/>
              <w:right w:val="single" w:color="auto" w:sz="4" w:space="0"/>
            </w:tcBorders>
            <w:shd w:val="clear" w:color="auto" w:fill="auto"/>
          </w:tcPr>
          <w:p>
            <w:pPr>
              <w:rPr>
                <w:sz w:val="21"/>
                <w:szCs w:val="21"/>
              </w:rPr>
            </w:pPr>
            <w:r>
              <w:rPr>
                <w:sz w:val="21"/>
                <w:szCs w:val="21"/>
              </w:rPr>
              <w:t>济南控创电子科技有限公司</w:t>
            </w:r>
          </w:p>
        </w:tc>
        <w:tc>
          <w:tcPr>
            <w:tcW w:w="1898" w:type="dxa"/>
            <w:tcBorders>
              <w:top w:val="nil"/>
              <w:left w:val="nil"/>
              <w:bottom w:val="single" w:color="auto" w:sz="4" w:space="0"/>
              <w:right w:val="single" w:color="auto" w:sz="4" w:space="0"/>
            </w:tcBorders>
            <w:shd w:val="clear" w:color="auto" w:fill="auto"/>
            <w:vAlign w:val="bottom"/>
          </w:tcPr>
          <w:p>
            <w:pPr>
              <w:widowControl/>
              <w:jc w:val="center"/>
              <w:rPr>
                <w:kern w:val="0"/>
                <w:sz w:val="21"/>
                <w:szCs w:val="21"/>
              </w:rPr>
            </w:pPr>
            <w:r>
              <w:rPr>
                <w:kern w:val="0"/>
                <w:sz w:val="21"/>
                <w:szCs w:val="21"/>
              </w:rPr>
              <w:t>2018</w:t>
            </w:r>
          </w:p>
        </w:tc>
      </w:tr>
      <w:tr>
        <w:tblPrEx>
          <w:tblCellMar>
            <w:top w:w="0" w:type="dxa"/>
            <w:left w:w="108" w:type="dxa"/>
            <w:bottom w:w="0" w:type="dxa"/>
            <w:right w:w="108" w:type="dxa"/>
          </w:tblCellMar>
        </w:tblPrEx>
        <w:trPr>
          <w:trHeight w:val="408" w:hRule="atLeast"/>
          <w:jc w:val="center"/>
        </w:trPr>
        <w:tc>
          <w:tcPr>
            <w:tcW w:w="798" w:type="dxa"/>
            <w:tcBorders>
              <w:top w:val="nil"/>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9</w:t>
            </w:r>
          </w:p>
        </w:tc>
        <w:tc>
          <w:tcPr>
            <w:tcW w:w="4383" w:type="dxa"/>
            <w:tcBorders>
              <w:top w:val="nil"/>
              <w:left w:val="single" w:color="auto" w:sz="4" w:space="0"/>
              <w:bottom w:val="single" w:color="auto" w:sz="4" w:space="0"/>
              <w:right w:val="single" w:color="auto" w:sz="4" w:space="0"/>
            </w:tcBorders>
            <w:shd w:val="clear" w:color="auto" w:fill="auto"/>
          </w:tcPr>
          <w:p>
            <w:pPr>
              <w:rPr>
                <w:sz w:val="21"/>
                <w:szCs w:val="21"/>
              </w:rPr>
            </w:pPr>
            <w:r>
              <w:rPr>
                <w:sz w:val="21"/>
                <w:szCs w:val="21"/>
              </w:rPr>
              <w:t>山东建材勘察测绘研究院有限公司</w:t>
            </w:r>
          </w:p>
        </w:tc>
        <w:tc>
          <w:tcPr>
            <w:tcW w:w="1898" w:type="dxa"/>
            <w:tcBorders>
              <w:top w:val="nil"/>
              <w:left w:val="nil"/>
              <w:bottom w:val="single" w:color="auto" w:sz="4" w:space="0"/>
              <w:right w:val="single" w:color="auto" w:sz="4" w:space="0"/>
            </w:tcBorders>
            <w:shd w:val="clear" w:color="auto" w:fill="auto"/>
            <w:vAlign w:val="bottom"/>
          </w:tcPr>
          <w:p>
            <w:pPr>
              <w:widowControl/>
              <w:jc w:val="center"/>
              <w:rPr>
                <w:kern w:val="0"/>
                <w:sz w:val="21"/>
                <w:szCs w:val="21"/>
              </w:rPr>
            </w:pPr>
            <w:r>
              <w:rPr>
                <w:kern w:val="0"/>
                <w:sz w:val="21"/>
                <w:szCs w:val="21"/>
              </w:rPr>
              <w:t>2018</w:t>
            </w:r>
          </w:p>
        </w:tc>
      </w:tr>
      <w:tr>
        <w:tblPrEx>
          <w:tblCellMar>
            <w:top w:w="0" w:type="dxa"/>
            <w:left w:w="108" w:type="dxa"/>
            <w:bottom w:w="0" w:type="dxa"/>
            <w:right w:w="108" w:type="dxa"/>
          </w:tblCellMar>
        </w:tblPrEx>
        <w:trPr>
          <w:trHeight w:val="408" w:hRule="atLeast"/>
          <w:jc w:val="center"/>
        </w:trPr>
        <w:tc>
          <w:tcPr>
            <w:tcW w:w="798" w:type="dxa"/>
            <w:tcBorders>
              <w:top w:val="nil"/>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10</w:t>
            </w:r>
          </w:p>
        </w:tc>
        <w:tc>
          <w:tcPr>
            <w:tcW w:w="4383" w:type="dxa"/>
            <w:tcBorders>
              <w:top w:val="nil"/>
              <w:left w:val="single" w:color="auto" w:sz="4" w:space="0"/>
              <w:bottom w:val="single" w:color="auto" w:sz="4" w:space="0"/>
              <w:right w:val="single" w:color="auto" w:sz="4" w:space="0"/>
            </w:tcBorders>
            <w:shd w:val="clear" w:color="auto" w:fill="auto"/>
          </w:tcPr>
          <w:p>
            <w:pPr>
              <w:rPr>
                <w:sz w:val="21"/>
                <w:szCs w:val="21"/>
              </w:rPr>
            </w:pPr>
            <w:r>
              <w:rPr>
                <w:sz w:val="21"/>
                <w:szCs w:val="21"/>
              </w:rPr>
              <w:t>神舟航天软件（济南）有限公司</w:t>
            </w:r>
          </w:p>
        </w:tc>
        <w:tc>
          <w:tcPr>
            <w:tcW w:w="1898" w:type="dxa"/>
            <w:tcBorders>
              <w:top w:val="nil"/>
              <w:left w:val="nil"/>
              <w:bottom w:val="single" w:color="auto" w:sz="4" w:space="0"/>
              <w:right w:val="single" w:color="auto" w:sz="4" w:space="0"/>
            </w:tcBorders>
            <w:shd w:val="clear" w:color="auto" w:fill="auto"/>
            <w:vAlign w:val="bottom"/>
          </w:tcPr>
          <w:p>
            <w:pPr>
              <w:widowControl/>
              <w:jc w:val="center"/>
              <w:rPr>
                <w:kern w:val="0"/>
                <w:sz w:val="21"/>
                <w:szCs w:val="21"/>
              </w:rPr>
            </w:pPr>
            <w:r>
              <w:rPr>
                <w:kern w:val="0"/>
                <w:sz w:val="21"/>
                <w:szCs w:val="21"/>
              </w:rPr>
              <w:t>2018</w:t>
            </w:r>
          </w:p>
        </w:tc>
      </w:tr>
      <w:tr>
        <w:tblPrEx>
          <w:tblCellMar>
            <w:top w:w="0" w:type="dxa"/>
            <w:left w:w="108" w:type="dxa"/>
            <w:bottom w:w="0" w:type="dxa"/>
            <w:right w:w="108" w:type="dxa"/>
          </w:tblCellMar>
        </w:tblPrEx>
        <w:trPr>
          <w:trHeight w:val="408" w:hRule="atLeast"/>
          <w:jc w:val="center"/>
        </w:trPr>
        <w:tc>
          <w:tcPr>
            <w:tcW w:w="798" w:type="dxa"/>
            <w:tcBorders>
              <w:top w:val="nil"/>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11</w:t>
            </w:r>
          </w:p>
        </w:tc>
        <w:tc>
          <w:tcPr>
            <w:tcW w:w="4383" w:type="dxa"/>
            <w:tcBorders>
              <w:top w:val="nil"/>
              <w:left w:val="single" w:color="auto" w:sz="4" w:space="0"/>
              <w:bottom w:val="single" w:color="auto" w:sz="4" w:space="0"/>
              <w:right w:val="single" w:color="auto" w:sz="4" w:space="0"/>
            </w:tcBorders>
            <w:shd w:val="clear" w:color="auto" w:fill="auto"/>
            <w:vAlign w:val="center"/>
          </w:tcPr>
          <w:p>
            <w:pPr>
              <w:widowControl/>
              <w:jc w:val="left"/>
              <w:rPr>
                <w:kern w:val="0"/>
                <w:sz w:val="21"/>
                <w:szCs w:val="21"/>
              </w:rPr>
            </w:pPr>
            <w:r>
              <w:rPr>
                <w:kern w:val="0"/>
                <w:sz w:val="21"/>
                <w:szCs w:val="21"/>
              </w:rPr>
              <w:t>山东苍穹软件技术有限公司</w:t>
            </w:r>
          </w:p>
        </w:tc>
        <w:tc>
          <w:tcPr>
            <w:tcW w:w="1898" w:type="dxa"/>
            <w:tcBorders>
              <w:top w:val="nil"/>
              <w:left w:val="nil"/>
              <w:bottom w:val="single" w:color="auto" w:sz="4" w:space="0"/>
              <w:right w:val="single" w:color="auto" w:sz="4" w:space="0"/>
            </w:tcBorders>
            <w:shd w:val="clear" w:color="auto" w:fill="auto"/>
            <w:vAlign w:val="center"/>
          </w:tcPr>
          <w:p>
            <w:pPr>
              <w:widowControl/>
              <w:jc w:val="center"/>
              <w:rPr>
                <w:kern w:val="0"/>
                <w:sz w:val="21"/>
                <w:szCs w:val="21"/>
              </w:rPr>
            </w:pPr>
            <w:r>
              <w:rPr>
                <w:kern w:val="0"/>
                <w:sz w:val="21"/>
                <w:szCs w:val="21"/>
              </w:rPr>
              <w:t>2017</w:t>
            </w:r>
          </w:p>
        </w:tc>
      </w:tr>
      <w:tr>
        <w:tblPrEx>
          <w:tblCellMar>
            <w:top w:w="0" w:type="dxa"/>
            <w:left w:w="108" w:type="dxa"/>
            <w:bottom w:w="0" w:type="dxa"/>
            <w:right w:w="108" w:type="dxa"/>
          </w:tblCellMar>
        </w:tblPrEx>
        <w:trPr>
          <w:trHeight w:val="408" w:hRule="atLeast"/>
          <w:jc w:val="center"/>
        </w:trPr>
        <w:tc>
          <w:tcPr>
            <w:tcW w:w="798" w:type="dxa"/>
            <w:tcBorders>
              <w:top w:val="nil"/>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12</w:t>
            </w:r>
          </w:p>
        </w:tc>
        <w:tc>
          <w:tcPr>
            <w:tcW w:w="4383" w:type="dxa"/>
            <w:tcBorders>
              <w:top w:val="nil"/>
              <w:left w:val="single" w:color="auto" w:sz="4" w:space="0"/>
              <w:bottom w:val="single" w:color="auto" w:sz="4" w:space="0"/>
              <w:right w:val="single" w:color="auto" w:sz="4" w:space="0"/>
            </w:tcBorders>
            <w:shd w:val="clear" w:color="auto" w:fill="auto"/>
            <w:vAlign w:val="center"/>
          </w:tcPr>
          <w:p>
            <w:pPr>
              <w:widowControl/>
              <w:jc w:val="left"/>
              <w:rPr>
                <w:kern w:val="0"/>
                <w:sz w:val="21"/>
                <w:szCs w:val="21"/>
              </w:rPr>
            </w:pPr>
            <w:r>
              <w:rPr>
                <w:kern w:val="0"/>
                <w:sz w:val="21"/>
                <w:szCs w:val="21"/>
              </w:rPr>
              <w:t>山东森迈图测绘地理信息有限公司</w:t>
            </w:r>
          </w:p>
        </w:tc>
        <w:tc>
          <w:tcPr>
            <w:tcW w:w="1898" w:type="dxa"/>
            <w:tcBorders>
              <w:top w:val="nil"/>
              <w:left w:val="nil"/>
              <w:bottom w:val="single" w:color="auto" w:sz="4" w:space="0"/>
              <w:right w:val="single" w:color="auto" w:sz="4" w:space="0"/>
            </w:tcBorders>
            <w:shd w:val="clear" w:color="auto" w:fill="auto"/>
            <w:vAlign w:val="center"/>
          </w:tcPr>
          <w:p>
            <w:pPr>
              <w:widowControl/>
              <w:jc w:val="center"/>
              <w:rPr>
                <w:kern w:val="0"/>
                <w:sz w:val="21"/>
                <w:szCs w:val="21"/>
              </w:rPr>
            </w:pPr>
            <w:r>
              <w:rPr>
                <w:kern w:val="0"/>
                <w:sz w:val="21"/>
                <w:szCs w:val="21"/>
              </w:rPr>
              <w:t>2017</w:t>
            </w:r>
          </w:p>
        </w:tc>
      </w:tr>
      <w:tr>
        <w:tblPrEx>
          <w:tblCellMar>
            <w:top w:w="0" w:type="dxa"/>
            <w:left w:w="108" w:type="dxa"/>
            <w:bottom w:w="0" w:type="dxa"/>
            <w:right w:w="108" w:type="dxa"/>
          </w:tblCellMar>
        </w:tblPrEx>
        <w:trPr>
          <w:trHeight w:val="408" w:hRule="atLeast"/>
          <w:jc w:val="center"/>
        </w:trPr>
        <w:tc>
          <w:tcPr>
            <w:tcW w:w="798" w:type="dxa"/>
            <w:tcBorders>
              <w:top w:val="nil"/>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13</w:t>
            </w:r>
          </w:p>
        </w:tc>
        <w:tc>
          <w:tcPr>
            <w:tcW w:w="4383" w:type="dxa"/>
            <w:tcBorders>
              <w:top w:val="nil"/>
              <w:left w:val="single" w:color="auto" w:sz="4" w:space="0"/>
              <w:bottom w:val="single" w:color="auto" w:sz="4" w:space="0"/>
              <w:right w:val="single" w:color="auto" w:sz="4" w:space="0"/>
            </w:tcBorders>
            <w:shd w:val="clear" w:color="auto" w:fill="auto"/>
            <w:vAlign w:val="center"/>
          </w:tcPr>
          <w:p>
            <w:pPr>
              <w:widowControl/>
              <w:jc w:val="left"/>
              <w:rPr>
                <w:kern w:val="0"/>
                <w:sz w:val="21"/>
                <w:szCs w:val="21"/>
              </w:rPr>
            </w:pPr>
            <w:r>
              <w:rPr>
                <w:kern w:val="0"/>
                <w:sz w:val="21"/>
                <w:szCs w:val="21"/>
              </w:rPr>
              <w:t>中国铁塔股份有限公司泰安市分公司</w:t>
            </w:r>
          </w:p>
        </w:tc>
        <w:tc>
          <w:tcPr>
            <w:tcW w:w="1898" w:type="dxa"/>
            <w:tcBorders>
              <w:top w:val="nil"/>
              <w:left w:val="nil"/>
              <w:bottom w:val="single" w:color="auto" w:sz="4" w:space="0"/>
              <w:right w:val="single" w:color="auto" w:sz="4" w:space="0"/>
            </w:tcBorders>
            <w:shd w:val="clear" w:color="auto" w:fill="auto"/>
            <w:vAlign w:val="center"/>
          </w:tcPr>
          <w:p>
            <w:pPr>
              <w:widowControl/>
              <w:jc w:val="center"/>
              <w:rPr>
                <w:kern w:val="0"/>
                <w:sz w:val="21"/>
                <w:szCs w:val="21"/>
              </w:rPr>
            </w:pPr>
            <w:r>
              <w:rPr>
                <w:kern w:val="0"/>
                <w:sz w:val="21"/>
                <w:szCs w:val="21"/>
              </w:rPr>
              <w:t>2016</w:t>
            </w:r>
          </w:p>
        </w:tc>
      </w:tr>
      <w:tr>
        <w:tblPrEx>
          <w:tblCellMar>
            <w:top w:w="0" w:type="dxa"/>
            <w:left w:w="108" w:type="dxa"/>
            <w:bottom w:w="0" w:type="dxa"/>
            <w:right w:w="108" w:type="dxa"/>
          </w:tblCellMar>
        </w:tblPrEx>
        <w:trPr>
          <w:trHeight w:val="408" w:hRule="atLeast"/>
          <w:jc w:val="center"/>
        </w:trPr>
        <w:tc>
          <w:tcPr>
            <w:tcW w:w="798" w:type="dxa"/>
            <w:tcBorders>
              <w:top w:val="nil"/>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14</w:t>
            </w:r>
          </w:p>
        </w:tc>
        <w:tc>
          <w:tcPr>
            <w:tcW w:w="4383" w:type="dxa"/>
            <w:tcBorders>
              <w:top w:val="nil"/>
              <w:left w:val="single" w:color="auto" w:sz="4" w:space="0"/>
              <w:bottom w:val="single" w:color="auto" w:sz="4" w:space="0"/>
              <w:right w:val="single" w:color="auto" w:sz="4" w:space="0"/>
            </w:tcBorders>
            <w:shd w:val="clear" w:color="auto" w:fill="auto"/>
            <w:vAlign w:val="center"/>
          </w:tcPr>
          <w:p>
            <w:pPr>
              <w:widowControl/>
              <w:jc w:val="left"/>
              <w:rPr>
                <w:kern w:val="0"/>
                <w:sz w:val="21"/>
                <w:szCs w:val="21"/>
              </w:rPr>
            </w:pPr>
            <w:r>
              <w:rPr>
                <w:kern w:val="0"/>
                <w:sz w:val="21"/>
                <w:szCs w:val="21"/>
              </w:rPr>
              <w:t>新泰市国土资源局</w:t>
            </w:r>
          </w:p>
        </w:tc>
        <w:tc>
          <w:tcPr>
            <w:tcW w:w="1898" w:type="dxa"/>
            <w:tcBorders>
              <w:top w:val="nil"/>
              <w:left w:val="nil"/>
              <w:bottom w:val="single" w:color="auto" w:sz="4" w:space="0"/>
              <w:right w:val="single" w:color="auto" w:sz="4" w:space="0"/>
            </w:tcBorders>
            <w:shd w:val="clear" w:color="auto" w:fill="auto"/>
            <w:vAlign w:val="center"/>
          </w:tcPr>
          <w:p>
            <w:pPr>
              <w:widowControl/>
              <w:jc w:val="center"/>
              <w:rPr>
                <w:kern w:val="0"/>
                <w:sz w:val="21"/>
                <w:szCs w:val="21"/>
              </w:rPr>
            </w:pPr>
            <w:r>
              <w:rPr>
                <w:kern w:val="0"/>
                <w:sz w:val="21"/>
                <w:szCs w:val="21"/>
              </w:rPr>
              <w:t>2017</w:t>
            </w:r>
          </w:p>
        </w:tc>
      </w:tr>
      <w:tr>
        <w:tblPrEx>
          <w:tblCellMar>
            <w:top w:w="0" w:type="dxa"/>
            <w:left w:w="108" w:type="dxa"/>
            <w:bottom w:w="0" w:type="dxa"/>
            <w:right w:w="108" w:type="dxa"/>
          </w:tblCellMar>
        </w:tblPrEx>
        <w:trPr>
          <w:trHeight w:val="408" w:hRule="atLeast"/>
          <w:jc w:val="center"/>
        </w:trPr>
        <w:tc>
          <w:tcPr>
            <w:tcW w:w="798" w:type="dxa"/>
            <w:tcBorders>
              <w:top w:val="nil"/>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15</w:t>
            </w:r>
          </w:p>
        </w:tc>
        <w:tc>
          <w:tcPr>
            <w:tcW w:w="4383" w:type="dxa"/>
            <w:tcBorders>
              <w:top w:val="nil"/>
              <w:left w:val="single" w:color="auto" w:sz="4" w:space="0"/>
              <w:bottom w:val="single" w:color="auto" w:sz="4" w:space="0"/>
              <w:right w:val="single" w:color="auto" w:sz="4" w:space="0"/>
            </w:tcBorders>
            <w:shd w:val="clear" w:color="auto" w:fill="auto"/>
            <w:vAlign w:val="center"/>
          </w:tcPr>
          <w:p>
            <w:pPr>
              <w:widowControl/>
              <w:jc w:val="left"/>
              <w:rPr>
                <w:kern w:val="0"/>
                <w:sz w:val="21"/>
                <w:szCs w:val="21"/>
              </w:rPr>
            </w:pPr>
            <w:r>
              <w:rPr>
                <w:kern w:val="0"/>
                <w:sz w:val="21"/>
                <w:szCs w:val="21"/>
              </w:rPr>
              <w:t>北京华清远见科技发展有限公司济南分公司</w:t>
            </w:r>
          </w:p>
        </w:tc>
        <w:tc>
          <w:tcPr>
            <w:tcW w:w="1898" w:type="dxa"/>
            <w:tcBorders>
              <w:top w:val="nil"/>
              <w:left w:val="nil"/>
              <w:bottom w:val="single" w:color="auto" w:sz="4" w:space="0"/>
              <w:right w:val="single" w:color="auto" w:sz="4" w:space="0"/>
            </w:tcBorders>
            <w:shd w:val="clear" w:color="auto" w:fill="auto"/>
            <w:vAlign w:val="center"/>
          </w:tcPr>
          <w:p>
            <w:pPr>
              <w:widowControl/>
              <w:jc w:val="center"/>
              <w:rPr>
                <w:kern w:val="0"/>
                <w:sz w:val="21"/>
                <w:szCs w:val="21"/>
              </w:rPr>
            </w:pPr>
            <w:r>
              <w:rPr>
                <w:kern w:val="0"/>
                <w:sz w:val="21"/>
                <w:szCs w:val="21"/>
              </w:rPr>
              <w:t>2017</w:t>
            </w:r>
          </w:p>
        </w:tc>
      </w:tr>
      <w:tr>
        <w:tblPrEx>
          <w:tblCellMar>
            <w:top w:w="0" w:type="dxa"/>
            <w:left w:w="108" w:type="dxa"/>
            <w:bottom w:w="0" w:type="dxa"/>
            <w:right w:w="108" w:type="dxa"/>
          </w:tblCellMar>
        </w:tblPrEx>
        <w:trPr>
          <w:trHeight w:val="408" w:hRule="atLeast"/>
          <w:jc w:val="center"/>
        </w:trPr>
        <w:tc>
          <w:tcPr>
            <w:tcW w:w="798" w:type="dxa"/>
            <w:tcBorders>
              <w:top w:val="nil"/>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16</w:t>
            </w:r>
          </w:p>
        </w:tc>
        <w:tc>
          <w:tcPr>
            <w:tcW w:w="4383" w:type="dxa"/>
            <w:tcBorders>
              <w:top w:val="nil"/>
              <w:left w:val="single" w:color="auto" w:sz="4" w:space="0"/>
              <w:bottom w:val="single" w:color="auto" w:sz="4" w:space="0"/>
              <w:right w:val="single" w:color="auto" w:sz="4" w:space="0"/>
            </w:tcBorders>
            <w:shd w:val="clear" w:color="auto" w:fill="auto"/>
            <w:vAlign w:val="center"/>
          </w:tcPr>
          <w:p>
            <w:pPr>
              <w:widowControl/>
              <w:jc w:val="left"/>
              <w:rPr>
                <w:kern w:val="0"/>
                <w:sz w:val="21"/>
                <w:szCs w:val="21"/>
              </w:rPr>
            </w:pPr>
            <w:r>
              <w:rPr>
                <w:kern w:val="0"/>
                <w:sz w:val="21"/>
                <w:szCs w:val="21"/>
              </w:rPr>
              <w:t>北京千锋互联科技有限公司</w:t>
            </w:r>
          </w:p>
        </w:tc>
        <w:tc>
          <w:tcPr>
            <w:tcW w:w="1898" w:type="dxa"/>
            <w:tcBorders>
              <w:top w:val="nil"/>
              <w:left w:val="nil"/>
              <w:bottom w:val="single" w:color="auto" w:sz="4" w:space="0"/>
              <w:right w:val="single" w:color="auto" w:sz="4" w:space="0"/>
            </w:tcBorders>
            <w:shd w:val="clear" w:color="auto" w:fill="auto"/>
            <w:vAlign w:val="center"/>
          </w:tcPr>
          <w:p>
            <w:pPr>
              <w:widowControl/>
              <w:jc w:val="center"/>
              <w:rPr>
                <w:kern w:val="0"/>
                <w:sz w:val="21"/>
                <w:szCs w:val="21"/>
              </w:rPr>
            </w:pPr>
            <w:r>
              <w:rPr>
                <w:kern w:val="0"/>
                <w:sz w:val="21"/>
                <w:szCs w:val="21"/>
              </w:rPr>
              <w:t>2016</w:t>
            </w:r>
          </w:p>
        </w:tc>
      </w:tr>
      <w:tr>
        <w:tblPrEx>
          <w:tblCellMar>
            <w:top w:w="0" w:type="dxa"/>
            <w:left w:w="108" w:type="dxa"/>
            <w:bottom w:w="0" w:type="dxa"/>
            <w:right w:w="108" w:type="dxa"/>
          </w:tblCellMar>
        </w:tblPrEx>
        <w:trPr>
          <w:trHeight w:val="408" w:hRule="atLeast"/>
          <w:jc w:val="center"/>
        </w:trPr>
        <w:tc>
          <w:tcPr>
            <w:tcW w:w="798" w:type="dxa"/>
            <w:tcBorders>
              <w:top w:val="nil"/>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17</w:t>
            </w:r>
          </w:p>
        </w:tc>
        <w:tc>
          <w:tcPr>
            <w:tcW w:w="4383" w:type="dxa"/>
            <w:tcBorders>
              <w:top w:val="nil"/>
              <w:left w:val="single" w:color="auto" w:sz="4" w:space="0"/>
              <w:bottom w:val="single" w:color="auto" w:sz="4" w:space="0"/>
              <w:right w:val="single" w:color="auto" w:sz="4" w:space="0"/>
            </w:tcBorders>
            <w:shd w:val="clear" w:color="auto" w:fill="auto"/>
            <w:vAlign w:val="center"/>
          </w:tcPr>
          <w:p>
            <w:pPr>
              <w:widowControl/>
              <w:jc w:val="left"/>
              <w:rPr>
                <w:kern w:val="0"/>
                <w:sz w:val="21"/>
                <w:szCs w:val="21"/>
              </w:rPr>
            </w:pPr>
            <w:r>
              <w:rPr>
                <w:kern w:val="0"/>
                <w:sz w:val="21"/>
                <w:szCs w:val="21"/>
              </w:rPr>
              <w:t>惠普-济宁国际软件人才及产业基地</w:t>
            </w:r>
          </w:p>
        </w:tc>
        <w:tc>
          <w:tcPr>
            <w:tcW w:w="1898" w:type="dxa"/>
            <w:tcBorders>
              <w:top w:val="nil"/>
              <w:left w:val="nil"/>
              <w:bottom w:val="single" w:color="auto" w:sz="4" w:space="0"/>
              <w:right w:val="single" w:color="auto" w:sz="4" w:space="0"/>
            </w:tcBorders>
            <w:shd w:val="clear" w:color="auto" w:fill="auto"/>
            <w:vAlign w:val="center"/>
          </w:tcPr>
          <w:p>
            <w:pPr>
              <w:widowControl/>
              <w:jc w:val="center"/>
              <w:rPr>
                <w:kern w:val="0"/>
                <w:sz w:val="21"/>
                <w:szCs w:val="21"/>
              </w:rPr>
            </w:pPr>
            <w:r>
              <w:rPr>
                <w:kern w:val="0"/>
                <w:sz w:val="21"/>
                <w:szCs w:val="21"/>
              </w:rPr>
              <w:t>2015</w:t>
            </w:r>
          </w:p>
        </w:tc>
      </w:tr>
      <w:tr>
        <w:tblPrEx>
          <w:tblCellMar>
            <w:top w:w="0" w:type="dxa"/>
            <w:left w:w="108" w:type="dxa"/>
            <w:bottom w:w="0" w:type="dxa"/>
            <w:right w:w="108" w:type="dxa"/>
          </w:tblCellMar>
        </w:tblPrEx>
        <w:trPr>
          <w:trHeight w:val="408" w:hRule="atLeast"/>
          <w:jc w:val="center"/>
        </w:trPr>
        <w:tc>
          <w:tcPr>
            <w:tcW w:w="798" w:type="dxa"/>
            <w:tcBorders>
              <w:top w:val="nil"/>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18</w:t>
            </w:r>
          </w:p>
        </w:tc>
        <w:tc>
          <w:tcPr>
            <w:tcW w:w="4383" w:type="dxa"/>
            <w:tcBorders>
              <w:top w:val="nil"/>
              <w:left w:val="single" w:color="auto" w:sz="4" w:space="0"/>
              <w:bottom w:val="single" w:color="auto" w:sz="4" w:space="0"/>
              <w:right w:val="single" w:color="auto" w:sz="4" w:space="0"/>
            </w:tcBorders>
            <w:shd w:val="clear" w:color="auto" w:fill="auto"/>
            <w:vAlign w:val="center"/>
          </w:tcPr>
          <w:p>
            <w:pPr>
              <w:widowControl/>
              <w:jc w:val="left"/>
              <w:rPr>
                <w:kern w:val="0"/>
                <w:sz w:val="21"/>
                <w:szCs w:val="21"/>
              </w:rPr>
            </w:pPr>
            <w:r>
              <w:rPr>
                <w:kern w:val="0"/>
                <w:sz w:val="21"/>
                <w:szCs w:val="21"/>
              </w:rPr>
              <w:t>济南达内软件有限公司</w:t>
            </w:r>
          </w:p>
        </w:tc>
        <w:tc>
          <w:tcPr>
            <w:tcW w:w="1898" w:type="dxa"/>
            <w:tcBorders>
              <w:top w:val="nil"/>
              <w:left w:val="nil"/>
              <w:bottom w:val="single" w:color="auto" w:sz="4" w:space="0"/>
              <w:right w:val="single" w:color="auto" w:sz="4" w:space="0"/>
            </w:tcBorders>
            <w:shd w:val="clear" w:color="auto" w:fill="auto"/>
            <w:vAlign w:val="center"/>
          </w:tcPr>
          <w:p>
            <w:pPr>
              <w:widowControl/>
              <w:jc w:val="center"/>
              <w:rPr>
                <w:kern w:val="0"/>
                <w:sz w:val="21"/>
                <w:szCs w:val="21"/>
              </w:rPr>
            </w:pPr>
            <w:r>
              <w:rPr>
                <w:kern w:val="0"/>
                <w:sz w:val="21"/>
                <w:szCs w:val="21"/>
              </w:rPr>
              <w:t>2012</w:t>
            </w:r>
          </w:p>
        </w:tc>
      </w:tr>
      <w:tr>
        <w:tblPrEx>
          <w:tblCellMar>
            <w:top w:w="0" w:type="dxa"/>
            <w:left w:w="108" w:type="dxa"/>
            <w:bottom w:w="0" w:type="dxa"/>
            <w:right w:w="108" w:type="dxa"/>
          </w:tblCellMar>
        </w:tblPrEx>
        <w:trPr>
          <w:trHeight w:val="408" w:hRule="atLeast"/>
          <w:jc w:val="center"/>
        </w:trPr>
        <w:tc>
          <w:tcPr>
            <w:tcW w:w="798" w:type="dxa"/>
            <w:tcBorders>
              <w:top w:val="nil"/>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19</w:t>
            </w:r>
          </w:p>
        </w:tc>
        <w:tc>
          <w:tcPr>
            <w:tcW w:w="4383" w:type="dxa"/>
            <w:tcBorders>
              <w:top w:val="nil"/>
              <w:left w:val="single" w:color="auto" w:sz="4" w:space="0"/>
              <w:bottom w:val="single" w:color="auto" w:sz="4" w:space="0"/>
              <w:right w:val="single" w:color="auto" w:sz="4" w:space="0"/>
            </w:tcBorders>
            <w:shd w:val="clear" w:color="auto" w:fill="auto"/>
            <w:vAlign w:val="center"/>
          </w:tcPr>
          <w:p>
            <w:pPr>
              <w:widowControl/>
              <w:jc w:val="left"/>
              <w:rPr>
                <w:kern w:val="0"/>
                <w:sz w:val="21"/>
                <w:szCs w:val="21"/>
              </w:rPr>
            </w:pPr>
            <w:r>
              <w:rPr>
                <w:kern w:val="0"/>
                <w:sz w:val="21"/>
                <w:szCs w:val="21"/>
              </w:rPr>
              <w:t>山东众志电子有限公司（泰安）</w:t>
            </w:r>
          </w:p>
        </w:tc>
        <w:tc>
          <w:tcPr>
            <w:tcW w:w="1898" w:type="dxa"/>
            <w:tcBorders>
              <w:top w:val="nil"/>
              <w:left w:val="nil"/>
              <w:bottom w:val="single" w:color="auto" w:sz="4" w:space="0"/>
              <w:right w:val="single" w:color="auto" w:sz="4" w:space="0"/>
            </w:tcBorders>
            <w:shd w:val="clear" w:color="auto" w:fill="auto"/>
            <w:vAlign w:val="center"/>
          </w:tcPr>
          <w:p>
            <w:pPr>
              <w:widowControl/>
              <w:jc w:val="center"/>
              <w:rPr>
                <w:kern w:val="0"/>
                <w:sz w:val="21"/>
                <w:szCs w:val="21"/>
              </w:rPr>
            </w:pPr>
            <w:r>
              <w:rPr>
                <w:kern w:val="0"/>
                <w:sz w:val="21"/>
                <w:szCs w:val="21"/>
              </w:rPr>
              <w:t>2007</w:t>
            </w:r>
          </w:p>
        </w:tc>
      </w:tr>
      <w:tr>
        <w:tblPrEx>
          <w:tblCellMar>
            <w:top w:w="0" w:type="dxa"/>
            <w:left w:w="108" w:type="dxa"/>
            <w:bottom w:w="0" w:type="dxa"/>
            <w:right w:w="108" w:type="dxa"/>
          </w:tblCellMar>
        </w:tblPrEx>
        <w:trPr>
          <w:trHeight w:val="408" w:hRule="atLeast"/>
          <w:jc w:val="center"/>
        </w:trPr>
        <w:tc>
          <w:tcPr>
            <w:tcW w:w="798" w:type="dxa"/>
            <w:tcBorders>
              <w:top w:val="nil"/>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20</w:t>
            </w:r>
          </w:p>
        </w:tc>
        <w:tc>
          <w:tcPr>
            <w:tcW w:w="4383" w:type="dxa"/>
            <w:tcBorders>
              <w:top w:val="nil"/>
              <w:left w:val="single" w:color="auto" w:sz="4" w:space="0"/>
              <w:bottom w:val="single" w:color="auto" w:sz="4" w:space="0"/>
              <w:right w:val="single" w:color="auto" w:sz="4" w:space="0"/>
            </w:tcBorders>
            <w:shd w:val="clear" w:color="auto" w:fill="auto"/>
            <w:vAlign w:val="center"/>
          </w:tcPr>
          <w:p>
            <w:pPr>
              <w:widowControl/>
              <w:jc w:val="left"/>
              <w:rPr>
                <w:kern w:val="0"/>
                <w:sz w:val="21"/>
                <w:szCs w:val="21"/>
              </w:rPr>
            </w:pPr>
            <w:r>
              <w:rPr>
                <w:kern w:val="0"/>
                <w:sz w:val="21"/>
                <w:szCs w:val="21"/>
              </w:rPr>
              <w:t>泰安东华合创软件有限公司</w:t>
            </w:r>
          </w:p>
        </w:tc>
        <w:tc>
          <w:tcPr>
            <w:tcW w:w="1898" w:type="dxa"/>
            <w:tcBorders>
              <w:top w:val="nil"/>
              <w:left w:val="nil"/>
              <w:bottom w:val="single" w:color="auto" w:sz="4" w:space="0"/>
              <w:right w:val="single" w:color="auto" w:sz="4" w:space="0"/>
            </w:tcBorders>
            <w:shd w:val="clear" w:color="auto" w:fill="auto"/>
            <w:vAlign w:val="center"/>
          </w:tcPr>
          <w:p>
            <w:pPr>
              <w:widowControl/>
              <w:jc w:val="center"/>
              <w:rPr>
                <w:kern w:val="0"/>
                <w:sz w:val="21"/>
                <w:szCs w:val="21"/>
              </w:rPr>
            </w:pPr>
            <w:r>
              <w:rPr>
                <w:kern w:val="0"/>
                <w:sz w:val="21"/>
                <w:szCs w:val="21"/>
              </w:rPr>
              <w:t>2012</w:t>
            </w:r>
          </w:p>
        </w:tc>
      </w:tr>
      <w:tr>
        <w:tblPrEx>
          <w:tblCellMar>
            <w:top w:w="0" w:type="dxa"/>
            <w:left w:w="108" w:type="dxa"/>
            <w:bottom w:w="0" w:type="dxa"/>
            <w:right w:w="108" w:type="dxa"/>
          </w:tblCellMar>
        </w:tblPrEx>
        <w:trPr>
          <w:trHeight w:val="408" w:hRule="atLeast"/>
          <w:jc w:val="center"/>
        </w:trPr>
        <w:tc>
          <w:tcPr>
            <w:tcW w:w="798" w:type="dxa"/>
            <w:tcBorders>
              <w:top w:val="nil"/>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21</w:t>
            </w:r>
          </w:p>
        </w:tc>
        <w:tc>
          <w:tcPr>
            <w:tcW w:w="4383" w:type="dxa"/>
            <w:tcBorders>
              <w:top w:val="nil"/>
              <w:left w:val="single" w:color="auto" w:sz="4" w:space="0"/>
              <w:bottom w:val="single" w:color="auto" w:sz="4" w:space="0"/>
              <w:right w:val="single" w:color="auto" w:sz="4" w:space="0"/>
            </w:tcBorders>
            <w:shd w:val="clear" w:color="auto" w:fill="auto"/>
            <w:vAlign w:val="center"/>
          </w:tcPr>
          <w:p>
            <w:pPr>
              <w:widowControl/>
              <w:jc w:val="left"/>
              <w:rPr>
                <w:kern w:val="0"/>
                <w:sz w:val="21"/>
                <w:szCs w:val="21"/>
              </w:rPr>
            </w:pPr>
            <w:r>
              <w:rPr>
                <w:kern w:val="0"/>
                <w:sz w:val="21"/>
                <w:szCs w:val="21"/>
              </w:rPr>
              <w:t>泰安联通校园服务中心</w:t>
            </w:r>
          </w:p>
        </w:tc>
        <w:tc>
          <w:tcPr>
            <w:tcW w:w="1898" w:type="dxa"/>
            <w:tcBorders>
              <w:top w:val="nil"/>
              <w:left w:val="nil"/>
              <w:bottom w:val="single" w:color="auto" w:sz="4" w:space="0"/>
              <w:right w:val="single" w:color="auto" w:sz="4" w:space="0"/>
            </w:tcBorders>
            <w:shd w:val="clear" w:color="auto" w:fill="auto"/>
            <w:vAlign w:val="center"/>
          </w:tcPr>
          <w:p>
            <w:pPr>
              <w:widowControl/>
              <w:jc w:val="center"/>
              <w:rPr>
                <w:kern w:val="0"/>
                <w:sz w:val="21"/>
                <w:szCs w:val="21"/>
              </w:rPr>
            </w:pPr>
            <w:r>
              <w:rPr>
                <w:kern w:val="0"/>
                <w:sz w:val="21"/>
                <w:szCs w:val="21"/>
              </w:rPr>
              <w:t>2013</w:t>
            </w:r>
          </w:p>
        </w:tc>
      </w:tr>
      <w:tr>
        <w:tblPrEx>
          <w:tblCellMar>
            <w:top w:w="0" w:type="dxa"/>
            <w:left w:w="108" w:type="dxa"/>
            <w:bottom w:w="0" w:type="dxa"/>
            <w:right w:w="108" w:type="dxa"/>
          </w:tblCellMar>
        </w:tblPrEx>
        <w:trPr>
          <w:trHeight w:val="408" w:hRule="atLeast"/>
          <w:jc w:val="center"/>
        </w:trPr>
        <w:tc>
          <w:tcPr>
            <w:tcW w:w="798" w:type="dxa"/>
            <w:tcBorders>
              <w:top w:val="nil"/>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22</w:t>
            </w:r>
          </w:p>
        </w:tc>
        <w:tc>
          <w:tcPr>
            <w:tcW w:w="4383" w:type="dxa"/>
            <w:tcBorders>
              <w:top w:val="nil"/>
              <w:left w:val="single" w:color="auto" w:sz="4" w:space="0"/>
              <w:bottom w:val="single" w:color="auto" w:sz="4" w:space="0"/>
              <w:right w:val="single" w:color="auto" w:sz="4" w:space="0"/>
            </w:tcBorders>
            <w:shd w:val="clear" w:color="auto" w:fill="auto"/>
            <w:vAlign w:val="center"/>
          </w:tcPr>
          <w:p>
            <w:pPr>
              <w:widowControl/>
              <w:jc w:val="left"/>
              <w:rPr>
                <w:kern w:val="0"/>
                <w:sz w:val="21"/>
                <w:szCs w:val="21"/>
              </w:rPr>
            </w:pPr>
            <w:r>
              <w:rPr>
                <w:kern w:val="0"/>
                <w:sz w:val="21"/>
                <w:szCs w:val="21"/>
              </w:rPr>
              <w:t>泰安轻松表计有限公司</w:t>
            </w:r>
          </w:p>
        </w:tc>
        <w:tc>
          <w:tcPr>
            <w:tcW w:w="1898" w:type="dxa"/>
            <w:tcBorders>
              <w:top w:val="nil"/>
              <w:left w:val="nil"/>
              <w:bottom w:val="single" w:color="auto" w:sz="4" w:space="0"/>
              <w:right w:val="single" w:color="auto" w:sz="4" w:space="0"/>
            </w:tcBorders>
            <w:shd w:val="clear" w:color="auto" w:fill="auto"/>
            <w:vAlign w:val="center"/>
          </w:tcPr>
          <w:p>
            <w:pPr>
              <w:widowControl/>
              <w:jc w:val="center"/>
              <w:rPr>
                <w:kern w:val="0"/>
                <w:sz w:val="21"/>
                <w:szCs w:val="21"/>
              </w:rPr>
            </w:pPr>
            <w:r>
              <w:rPr>
                <w:kern w:val="0"/>
                <w:sz w:val="21"/>
                <w:szCs w:val="21"/>
              </w:rPr>
              <w:t>2012</w:t>
            </w:r>
          </w:p>
        </w:tc>
      </w:tr>
    </w:tbl>
    <w:p>
      <w:pPr>
        <w:pStyle w:val="45"/>
        <w:ind w:firstLine="480"/>
        <w:rPr>
          <w:rFonts w:ascii="Times New Roman" w:hAnsi="Times New Roman"/>
        </w:rPr>
      </w:pPr>
      <w:r>
        <w:rPr>
          <w:rFonts w:ascii="Times New Roman" w:hAnsi="Times New Roman"/>
        </w:rPr>
        <w:t>4. 现代教学技术应用</w:t>
      </w:r>
    </w:p>
    <w:p>
      <w:pPr>
        <w:ind w:firstLine="480"/>
        <w:rPr>
          <w:szCs w:val="24"/>
        </w:rPr>
      </w:pPr>
      <w:r>
        <w:rPr>
          <w:szCs w:val="24"/>
        </w:rPr>
        <w:t>在教学过程中，充分积极利用现代多媒体技术和网络技术，增强教学过程的动态感，丰富学生视野和工程教学环境。购买并使用了数字逻辑、模拟电路、Linux操作系统、计算机组成原理、计算机网络等课程的虚拟实验环境，使得学生可以在实验室外远程实验。购买并使用了针对C语言、C++语言、Java语言、Python语言以及数据结构课程的程序设计教学与考试平台，在线完成学生作业的布置、提交及考试工作。购买并使用了基于Funcode的程序设计教学与实训竞赛平台，提高学生的实训动手能力。</w:t>
      </w:r>
    </w:p>
    <w:p>
      <w:pPr>
        <w:pStyle w:val="5"/>
        <w:spacing w:before="93" w:after="93"/>
        <w:ind w:firstLine="560"/>
      </w:pPr>
      <w:r>
        <w:t>四、培养机制与特色</w:t>
      </w:r>
    </w:p>
    <w:p>
      <w:pPr>
        <w:pStyle w:val="45"/>
        <w:ind w:firstLine="480"/>
        <w:rPr>
          <w:rFonts w:ascii="Times New Roman" w:hAnsi="Times New Roman"/>
        </w:rPr>
      </w:pPr>
      <w:r>
        <w:rPr>
          <w:rFonts w:ascii="Times New Roman" w:hAnsi="Times New Roman"/>
        </w:rPr>
        <w:t>1. 产学研协同育人机制</w:t>
      </w:r>
    </w:p>
    <w:p>
      <w:pPr>
        <w:ind w:firstLine="480"/>
        <w:rPr>
          <w:szCs w:val="24"/>
        </w:rPr>
      </w:pPr>
      <w:r>
        <w:rPr>
          <w:szCs w:val="24"/>
        </w:rPr>
        <w:t>（1）校企联合创新人才培养模式。2014年与惠普公司合作办学，开办软件开发、测试方向。引入中软国际、东软等企业的优质教学资源，联合培养实践能力突出的应用型人才。</w:t>
      </w:r>
    </w:p>
    <w:p>
      <w:pPr>
        <w:ind w:firstLine="480"/>
        <w:rPr>
          <w:szCs w:val="24"/>
        </w:rPr>
      </w:pPr>
      <w:r>
        <w:rPr>
          <w:szCs w:val="24"/>
        </w:rPr>
        <w:t>（2）学科竞赛促进人才培养。构建</w:t>
      </w:r>
      <w:r>
        <w:rPr>
          <w:rFonts w:hint="eastAsia"/>
          <w:szCs w:val="24"/>
        </w:rPr>
        <w:t>“</w:t>
      </w:r>
      <w:r>
        <w:rPr>
          <w:szCs w:val="24"/>
        </w:rPr>
        <w:t>课堂思辨+工程实训+大赛训练+创新实践</w:t>
      </w:r>
      <w:r>
        <w:rPr>
          <w:rFonts w:hint="eastAsia"/>
          <w:szCs w:val="24"/>
        </w:rPr>
        <w:t>”</w:t>
      </w:r>
      <w:r>
        <w:rPr>
          <w:szCs w:val="24"/>
        </w:rPr>
        <w:t>四位一体的实践教学模式，完善创新教育体系，以赛促教、以赛促学、以赛促训。</w:t>
      </w:r>
    </w:p>
    <w:p>
      <w:pPr>
        <w:ind w:firstLine="480"/>
        <w:rPr>
          <w:szCs w:val="24"/>
        </w:rPr>
      </w:pPr>
      <w:r>
        <w:rPr>
          <w:szCs w:val="24"/>
        </w:rPr>
        <w:t>（3）科研反哺提升人才培养质量。实施学科带头人与专业带头人、科研团队与教学团队一体化人才培养模式。将学术研究成果与课程建设有机融合，科研平台与教学实验室共享共用，将科研资源融入教学过程，提升人才培养质量和水平。</w:t>
      </w:r>
    </w:p>
    <w:p>
      <w:pPr>
        <w:pStyle w:val="45"/>
        <w:ind w:firstLine="480"/>
        <w:rPr>
          <w:rFonts w:ascii="Times New Roman" w:hAnsi="Times New Roman"/>
        </w:rPr>
      </w:pPr>
      <w:r>
        <w:rPr>
          <w:rFonts w:ascii="Times New Roman" w:hAnsi="Times New Roman"/>
        </w:rPr>
        <w:t>2. 合作办学</w:t>
      </w:r>
    </w:p>
    <w:p>
      <w:pPr>
        <w:ind w:firstLine="480"/>
        <w:rPr>
          <w:szCs w:val="24"/>
        </w:rPr>
      </w:pPr>
      <w:r>
        <w:rPr>
          <w:szCs w:val="24"/>
        </w:rPr>
        <w:t>与惠普公司（济宁）合作，利用其国际知名度和实验条件的优势，深化实践教学的改革，以软件开发和软件测试为两个特色方向，共建特色鲜明的计算机科学与技术（HP）专业。培养具有扎实的计算机理论和基础知识，掌握软件开发和测试的前沿技术，具备较强的软件项目分析、设计、开发和测试能力，能够按工程化的原则和方法从事大型软件项目开发和管理能力的高级工程技术人才，学生毕业后可以从事计算机科学、技术和应用各领域中有关教学、科研、开发和应用等方面的工作。</w:t>
      </w:r>
    </w:p>
    <w:p>
      <w:pPr>
        <w:pStyle w:val="45"/>
        <w:ind w:firstLine="480"/>
        <w:rPr>
          <w:rFonts w:ascii="Times New Roman" w:hAnsi="Times New Roman"/>
        </w:rPr>
      </w:pPr>
      <w:r>
        <w:rPr>
          <w:rFonts w:ascii="Times New Roman" w:hAnsi="Times New Roman"/>
        </w:rPr>
        <w:t>3. 教学管理</w:t>
      </w:r>
    </w:p>
    <w:p>
      <w:pPr>
        <w:ind w:firstLine="480"/>
        <w:rPr>
          <w:szCs w:val="24"/>
        </w:rPr>
      </w:pPr>
      <w:r>
        <w:rPr>
          <w:szCs w:val="24"/>
        </w:rPr>
        <w:t>成立了由系主任、专业主任、分管教学和学生工作的院长、书记及教学秘书组成的教学管理委员会和知名教师组成专业建设指导委员会。教学管理人员熟悉高等教育规律和有关法规文件。</w:t>
      </w:r>
    </w:p>
    <w:p>
      <w:pPr>
        <w:ind w:firstLine="480"/>
        <w:rPr>
          <w:szCs w:val="24"/>
        </w:rPr>
      </w:pPr>
      <w:r>
        <w:rPr>
          <w:szCs w:val="24"/>
        </w:rPr>
        <w:t>教学计划决定着人才培养目标和教学内容总的方向及总的结构，其包括：专业培养目标、学制、学习形式、课程设置、开设方式（性质）、学时分配、教学进度、教学环节、学分计算，毕业要求等方面的内容。本专业教学秩序正常运行。我们严格执行了教学计划和管理制度。完整保存各类教学文件及档案。如：教学日历、学生成绩分析、专业人才培养方案和与之配套的专业课程教学大纲等。教师能精心备课，认真编写教案，按时上下课，无教学事故发生。</w:t>
      </w:r>
    </w:p>
    <w:p>
      <w:pPr>
        <w:pStyle w:val="5"/>
        <w:spacing w:before="93" w:after="93"/>
        <w:ind w:firstLine="560"/>
      </w:pPr>
      <w:bookmarkStart w:id="755" w:name="_Toc29202"/>
      <w:r>
        <w:t>五、培养质量</w:t>
      </w:r>
      <w:bookmarkEnd w:id="755"/>
    </w:p>
    <w:p>
      <w:pPr>
        <w:pStyle w:val="45"/>
        <w:ind w:firstLine="480"/>
        <w:rPr>
          <w:rFonts w:ascii="Times New Roman" w:hAnsi="Times New Roman"/>
        </w:rPr>
      </w:pPr>
      <w:r>
        <w:rPr>
          <w:rFonts w:ascii="Times New Roman" w:hAnsi="Times New Roman"/>
        </w:rPr>
        <w:t>1. 应届毕业生考研就业情况</w:t>
      </w:r>
    </w:p>
    <w:p>
      <w:pPr>
        <w:ind w:firstLine="480"/>
        <w:rPr>
          <w:szCs w:val="24"/>
        </w:rPr>
      </w:pPr>
      <w:bookmarkStart w:id="756" w:name="_Toc439254762"/>
      <w:bookmarkStart w:id="757" w:name="_Toc439229071"/>
      <w:bookmarkStart w:id="758" w:name="_Toc439256254"/>
      <w:bookmarkStart w:id="759" w:name="_Toc439226854"/>
      <w:r>
        <w:rPr>
          <w:szCs w:val="24"/>
        </w:rPr>
        <w:t>计算机科学与技术专业2022届毕业生共计179人，毕业生国内升学44人，升学率24.58%，其中考入</w:t>
      </w:r>
      <w:r>
        <w:rPr>
          <w:rFonts w:hint="eastAsia"/>
          <w:szCs w:val="24"/>
        </w:rPr>
        <w:t>“</w:t>
      </w:r>
      <w:r>
        <w:rPr>
          <w:szCs w:val="24"/>
        </w:rPr>
        <w:t>双一流</w:t>
      </w:r>
      <w:r>
        <w:rPr>
          <w:rFonts w:hint="eastAsia"/>
          <w:szCs w:val="24"/>
        </w:rPr>
        <w:t>”</w:t>
      </w:r>
      <w:r>
        <w:rPr>
          <w:szCs w:val="24"/>
        </w:rPr>
        <w:t>大学24人，占国内升学总人数的54.55%。升学学校主要是山东农业大学、东北大学、中国科学院大学、中国农业大学等。截止2022年8月31日，2022届毕业生就业123人，就业率为68.72%。毕业生留鲁就业的72人，占已就业总人数的58.54%，其中到济南就业人数最多，29人，占23.58%。出省就业共51人，占41.46%，主要流向北京、上海、广东等省份。企业就业主要集中在浙江宇视科技有限公司、金现代信息产业股份有限公司、广州汇智通信技术有限公司、上海汉得信息技术股份有限公司、普联软件股份有限公司、山大地纬软件股份有限公司、中国联合网络通信有限公司等企业。从就业率、考研率和就业去向分析可以看出，本专业培养的毕业生质量较为优秀，与专业的培养目标基本一致。</w:t>
      </w:r>
    </w:p>
    <w:p>
      <w:pPr>
        <w:pStyle w:val="45"/>
        <w:ind w:firstLine="480"/>
        <w:rPr>
          <w:rFonts w:ascii="Times New Roman" w:hAnsi="Times New Roman"/>
        </w:rPr>
      </w:pPr>
      <w:r>
        <w:rPr>
          <w:rFonts w:ascii="Times New Roman" w:hAnsi="Times New Roman"/>
        </w:rPr>
        <w:t>2.就业单位满意率及学生满意率</w:t>
      </w:r>
    </w:p>
    <w:p>
      <w:pPr>
        <w:ind w:firstLine="480"/>
        <w:rPr>
          <w:szCs w:val="24"/>
        </w:rPr>
      </w:pPr>
      <w:r>
        <w:rPr>
          <w:szCs w:val="24"/>
        </w:rPr>
        <w:t>对照工程教育认证的12 项毕业要求等内容，采取函评、走访、座谈、问卷等方式对近三年的部分本科毕业生及就业单位进行了调研，内容包含毕业生的就业状况、就业特色、校友评价、能力/素养、核心课程的有效性评价、社团活动分析、求职分析等。调查结果显示①用人单位对本专业毕业生的道德素养、敬业精神、知识结构、专业技能、适应能力、沟通能力、团队协作、文化素养都非常满意，综合评价满意度达到95%以上。②我校毕业生对自身现状、专业课程体系、核心课程满足度情况良好，综合评价满意度达到94%以上。③实践教学基地对毕业生实习阶段分析问题能力、解决复杂工程问题能力、新知识学习能力评价较高，综合评价满意度达到97%以上。。</w:t>
      </w:r>
    </w:p>
    <w:p>
      <w:pPr>
        <w:pStyle w:val="45"/>
        <w:ind w:firstLine="480"/>
        <w:rPr>
          <w:rFonts w:ascii="Times New Roman" w:hAnsi="Times New Roman"/>
        </w:rPr>
      </w:pPr>
      <w:r>
        <w:rPr>
          <w:rFonts w:ascii="Times New Roman" w:hAnsi="Times New Roman"/>
        </w:rPr>
        <w:t>3. 社会对计算机科学与技术专业的评价</w:t>
      </w:r>
      <w:bookmarkEnd w:id="756"/>
      <w:bookmarkEnd w:id="757"/>
      <w:bookmarkEnd w:id="758"/>
      <w:bookmarkEnd w:id="759"/>
    </w:p>
    <w:p>
      <w:pPr>
        <w:ind w:firstLine="480"/>
        <w:rPr>
          <w:szCs w:val="24"/>
        </w:rPr>
      </w:pPr>
      <w:r>
        <w:rPr>
          <w:szCs w:val="24"/>
        </w:rPr>
        <w:t>近年来，计算机科学与技术专业根据社会对计算机技术人才的需求，不断创新人才培养模式。用人单位对我校计算机科学与技术专业毕业生的普遍评价是：理论基础扎实，动手能力强，综合素质高，工作踏实，具有团队精神。</w:t>
      </w:r>
    </w:p>
    <w:p>
      <w:pPr>
        <w:pStyle w:val="5"/>
        <w:spacing w:before="93" w:after="93"/>
        <w:ind w:firstLine="560"/>
      </w:pPr>
      <w:r>
        <w:t>六、毕业生就业创业</w:t>
      </w:r>
    </w:p>
    <w:p>
      <w:pPr>
        <w:ind w:firstLine="480"/>
        <w:rPr>
          <w:szCs w:val="24"/>
        </w:rPr>
      </w:pPr>
      <w:r>
        <w:rPr>
          <w:rFonts w:hint="eastAsia"/>
          <w:szCs w:val="24"/>
        </w:rPr>
        <w:t>“</w:t>
      </w:r>
      <w:r>
        <w:rPr>
          <w:szCs w:val="24"/>
        </w:rPr>
        <w:t>施展个性、分类培养</w:t>
      </w:r>
      <w:r>
        <w:rPr>
          <w:rFonts w:hint="eastAsia"/>
          <w:szCs w:val="24"/>
        </w:rPr>
        <w:t>”</w:t>
      </w:r>
      <w:r>
        <w:rPr>
          <w:szCs w:val="24"/>
        </w:rPr>
        <w:t>的人才培养模式，不仅使我校计算机科学与技术毕业生考研率较高，而且也为社会培养了大批卓越工程师人才和创业人才。张昕颖同学2003年7月毕业于山东农业大学计算机科学与技术专业，2006年8月创立泰安市天互网络科技有限公司，2014年5月又创立泰安市九游科贸有限公司，并辞去已有的工作，全身心地投入到创新创业的历程中。耿景振同学2014年7月毕业于山东农业大学计算机科学与技术专业，2014年8月创立山东盛泽信息科技有限公司，公司运营良好。2016届毕业生展凌云经过不懈努力，考取国家海警公务员。近几年还有大量毕业生进入BAT等国内顶尖互联网公司工作，并推荐学弟学妹入职，形成了良好的传帮带。</w:t>
      </w:r>
    </w:p>
    <w:p>
      <w:pPr>
        <w:pStyle w:val="5"/>
        <w:spacing w:before="93" w:after="93"/>
        <w:ind w:firstLine="560"/>
      </w:pPr>
      <w:r>
        <w:t>七、专业发展趋势及建议</w:t>
      </w:r>
    </w:p>
    <w:p>
      <w:pPr>
        <w:ind w:firstLine="480"/>
        <w:rPr>
          <w:szCs w:val="24"/>
        </w:rPr>
      </w:pPr>
      <w:r>
        <w:rPr>
          <w:szCs w:val="24"/>
        </w:rPr>
        <w:t>随着大数据技术、人工智能技术的不断发展，更加凸显除了计算机科学与技术专业的重要性。目前，我国对计算机科学与技术专业的毕业生的需求呈不断增长的趋势，毕业生的就业前景非常广阔。</w:t>
      </w:r>
    </w:p>
    <w:p>
      <w:pPr>
        <w:ind w:firstLine="480"/>
        <w:rPr>
          <w:szCs w:val="24"/>
        </w:rPr>
      </w:pPr>
      <w:r>
        <w:rPr>
          <w:szCs w:val="24"/>
        </w:rPr>
        <w:t>建议加大对专业的政策支持和实验室建设的资金支持。积极推进新工科建设、工程教育认证，在培养方案选修课中加大人工智能类课程的比重，以适应社会经济的发展和人才的需求。</w:t>
      </w:r>
    </w:p>
    <w:p>
      <w:pPr>
        <w:pStyle w:val="5"/>
        <w:spacing w:before="93" w:after="93"/>
        <w:ind w:firstLine="560"/>
      </w:pPr>
      <w:r>
        <w:t>八、存在的问题及拟采取的对策措施</w:t>
      </w:r>
    </w:p>
    <w:p>
      <w:pPr>
        <w:ind w:firstLine="480"/>
        <w:rPr>
          <w:szCs w:val="24"/>
        </w:rPr>
      </w:pPr>
      <w:r>
        <w:rPr>
          <w:szCs w:val="24"/>
        </w:rPr>
        <w:t>围绕国家计算机类产业政策、人工智能、智慧农业、新一代信息技术产业布局、服务区域性经济发展等各方面社会需求；以育人为目标，以学科为依托，以社会需求为导向，培养具有</w:t>
      </w:r>
      <w:r>
        <w:rPr>
          <w:rFonts w:hint="eastAsia"/>
          <w:szCs w:val="24"/>
        </w:rPr>
        <w:t>“</w:t>
      </w:r>
      <w:r>
        <w:rPr>
          <w:szCs w:val="24"/>
        </w:rPr>
        <w:t>基础知识厚、实践能力强、创新能力强、适应能力强</w:t>
      </w:r>
      <w:r>
        <w:rPr>
          <w:rFonts w:hint="eastAsia"/>
          <w:szCs w:val="24"/>
        </w:rPr>
        <w:t>”</w:t>
      </w:r>
      <w:r>
        <w:rPr>
          <w:szCs w:val="24"/>
        </w:rPr>
        <w:t>的创新复合型人才。</w:t>
      </w:r>
    </w:p>
    <w:p>
      <w:pPr>
        <w:ind w:firstLine="480"/>
        <w:rPr>
          <w:szCs w:val="24"/>
        </w:rPr>
      </w:pPr>
      <w:r>
        <w:rPr>
          <w:szCs w:val="24"/>
        </w:rPr>
        <w:t>1</w:t>
      </w:r>
      <w:r>
        <w:rPr>
          <w:rFonts w:hint="eastAsia"/>
          <w:szCs w:val="24"/>
          <w:lang w:eastAsia="zh-CN"/>
        </w:rPr>
        <w:t>.</w:t>
      </w:r>
      <w:r>
        <w:rPr>
          <w:szCs w:val="24"/>
        </w:rPr>
        <w:t>加强学科融合，明确培养定位、突出专业特色</w:t>
      </w:r>
    </w:p>
    <w:p>
      <w:pPr>
        <w:ind w:firstLine="480"/>
        <w:rPr>
          <w:szCs w:val="24"/>
        </w:rPr>
      </w:pPr>
      <w:r>
        <w:rPr>
          <w:szCs w:val="24"/>
        </w:rPr>
        <w:t>依托我校特色优势，根据新工科建设及工程教育认证理念，按照国家级一流专业建设标准，将计算机科学与技术与农业领域相关学科融合，针对国家农业工程与信息化需求，适时调整专业人才培养目标，突出特色。</w:t>
      </w:r>
    </w:p>
    <w:p>
      <w:pPr>
        <w:ind w:firstLine="480"/>
        <w:rPr>
          <w:szCs w:val="24"/>
        </w:rPr>
      </w:pPr>
      <w:r>
        <w:rPr>
          <w:szCs w:val="24"/>
        </w:rPr>
        <w:t>2</w:t>
      </w:r>
      <w:r>
        <w:rPr>
          <w:rFonts w:hint="eastAsia"/>
          <w:szCs w:val="24"/>
          <w:lang w:eastAsia="zh-CN"/>
        </w:rPr>
        <w:t>.</w:t>
      </w:r>
      <w:r>
        <w:rPr>
          <w:szCs w:val="24"/>
        </w:rPr>
        <w:t>深化校企合作，完善协同育人机制</w:t>
      </w:r>
    </w:p>
    <w:p>
      <w:pPr>
        <w:ind w:firstLine="480"/>
        <w:rPr>
          <w:szCs w:val="24"/>
        </w:rPr>
      </w:pPr>
      <w:r>
        <w:rPr>
          <w:szCs w:val="24"/>
        </w:rPr>
        <w:t>以现有</w:t>
      </w:r>
      <w:r>
        <w:rPr>
          <w:rFonts w:hint="eastAsia"/>
          <w:szCs w:val="24"/>
        </w:rPr>
        <w:t>“</w:t>
      </w:r>
      <w:r>
        <w:rPr>
          <w:szCs w:val="24"/>
        </w:rPr>
        <w:t>施展个性、分类培养、校企联合、面向工程</w:t>
      </w:r>
      <w:r>
        <w:rPr>
          <w:rFonts w:hint="eastAsia"/>
          <w:szCs w:val="24"/>
        </w:rPr>
        <w:t>”</w:t>
      </w:r>
      <w:r>
        <w:rPr>
          <w:szCs w:val="24"/>
        </w:rPr>
        <w:t>的人才培养模式为基础，进一步深化校企合作和产教融合。选派学生到合作企业开展毕业实践与实习；强化生产实践锻炼或顶岗实习，适应市场需求，拉近产、教距离，强化学生生产能力培养，从而培养学生解决复杂工程问题的能力，提高学生的协作精神以及规范的管理模式；推行</w:t>
      </w:r>
      <w:r>
        <w:rPr>
          <w:rFonts w:hint="eastAsia"/>
          <w:szCs w:val="24"/>
        </w:rPr>
        <w:t>“</w:t>
      </w:r>
      <w:r>
        <w:rPr>
          <w:szCs w:val="24"/>
        </w:rPr>
        <w:t>引企入教</w:t>
      </w:r>
      <w:r>
        <w:rPr>
          <w:rFonts w:hint="eastAsia"/>
          <w:szCs w:val="24"/>
        </w:rPr>
        <w:t>”</w:t>
      </w:r>
      <w:r>
        <w:rPr>
          <w:szCs w:val="24"/>
        </w:rPr>
        <w:t>模式，鼓励企业深度、多元参与学校的教育教学改革，实现资源共享优势互补，为学生提供创新平台，提高学生的工程研发能力和水平。</w:t>
      </w:r>
    </w:p>
    <w:p>
      <w:pPr>
        <w:ind w:firstLine="480"/>
        <w:rPr>
          <w:szCs w:val="24"/>
        </w:rPr>
      </w:pPr>
      <w:r>
        <w:rPr>
          <w:szCs w:val="24"/>
        </w:rPr>
        <w:t>3</w:t>
      </w:r>
      <w:r>
        <w:rPr>
          <w:rFonts w:hint="eastAsia"/>
          <w:szCs w:val="24"/>
          <w:lang w:eastAsia="zh-CN"/>
        </w:rPr>
        <w:t>.</w:t>
      </w:r>
      <w:r>
        <w:rPr>
          <w:szCs w:val="24"/>
        </w:rPr>
        <w:t>优化师资结构，强化师资队伍建设</w:t>
      </w:r>
    </w:p>
    <w:p>
      <w:pPr>
        <w:ind w:firstLine="480"/>
        <w:rPr>
          <w:szCs w:val="24"/>
        </w:rPr>
      </w:pPr>
      <w:r>
        <w:rPr>
          <w:szCs w:val="24"/>
        </w:rPr>
        <w:t>建设</w:t>
      </w:r>
      <w:r>
        <w:rPr>
          <w:rFonts w:hint="eastAsia"/>
          <w:szCs w:val="24"/>
        </w:rPr>
        <w:t>“</w:t>
      </w:r>
      <w:r>
        <w:rPr>
          <w:szCs w:val="24"/>
        </w:rPr>
        <w:t>双师型</w:t>
      </w:r>
      <w:r>
        <w:rPr>
          <w:rFonts w:hint="eastAsia"/>
          <w:szCs w:val="24"/>
        </w:rPr>
        <w:t>”</w:t>
      </w:r>
      <w:r>
        <w:rPr>
          <w:szCs w:val="24"/>
        </w:rPr>
        <w:t>教师队伍，引进高水平人才，聘请行业企业人才担任专业兼职教师，提高专业培养与社会需求的契合度。构建专兼职教师相辅相成，学缘、学历及年龄结构合理的师资队伍。</w:t>
      </w:r>
    </w:p>
    <w:p>
      <w:pPr>
        <w:ind w:firstLine="480"/>
        <w:rPr>
          <w:szCs w:val="24"/>
        </w:rPr>
      </w:pPr>
      <w:r>
        <w:rPr>
          <w:szCs w:val="24"/>
        </w:rPr>
        <w:t>4</w:t>
      </w:r>
      <w:r>
        <w:rPr>
          <w:rFonts w:hint="eastAsia"/>
          <w:szCs w:val="24"/>
          <w:lang w:eastAsia="zh-CN"/>
        </w:rPr>
        <w:t>.</w:t>
      </w:r>
      <w:r>
        <w:rPr>
          <w:szCs w:val="24"/>
        </w:rPr>
        <w:t>开展专业认证，提升工程教育质量</w:t>
      </w:r>
    </w:p>
    <w:p>
      <w:pPr>
        <w:ind w:firstLine="480"/>
        <w:rPr>
          <w:szCs w:val="24"/>
        </w:rPr>
      </w:pPr>
      <w:r>
        <w:rPr>
          <w:szCs w:val="24"/>
        </w:rPr>
        <w:t>根据专业认证理念，明确培养目标，不断完善教学体系，加强产学研合作力度，提高专业在社会上的认可度，提高办学水平和质量。</w:t>
      </w:r>
    </w:p>
    <w:p>
      <w:pPr>
        <w:ind w:firstLine="480"/>
        <w:rPr>
          <w:szCs w:val="24"/>
        </w:rPr>
      </w:pPr>
      <w:r>
        <w:rPr>
          <w:szCs w:val="24"/>
        </w:rPr>
        <w:t>5</w:t>
      </w:r>
      <w:r>
        <w:rPr>
          <w:rFonts w:hint="eastAsia"/>
          <w:szCs w:val="24"/>
          <w:lang w:eastAsia="zh-CN"/>
        </w:rPr>
        <w:t>.</w:t>
      </w:r>
      <w:r>
        <w:rPr>
          <w:szCs w:val="24"/>
        </w:rPr>
        <w:t>深化教学改革，促进学生个性发展</w:t>
      </w:r>
    </w:p>
    <w:p>
      <w:pPr>
        <w:ind w:firstLine="480"/>
        <w:rPr>
          <w:szCs w:val="24"/>
        </w:rPr>
      </w:pPr>
      <w:r>
        <w:rPr>
          <w:szCs w:val="24"/>
        </w:rPr>
        <w:t>将思政元素融入课程内容，加强德育教育，增强学生的社会责任感。充分利用信息化教学手段与网络教学平台，构建以学生为中心、教师为主导的新型课堂。尊重学生的学习兴趣和求知欲，全面实行学业导师制，鼓励学生进入实验室，培养学生的科学精神和终身学习能力。</w:t>
      </w:r>
    </w:p>
    <w:p>
      <w:pPr>
        <w:widowControl/>
        <w:jc w:val="left"/>
        <w:rPr>
          <w:rFonts w:eastAsia="黑体"/>
          <w:kern w:val="0"/>
          <w:sz w:val="28"/>
          <w:szCs w:val="20"/>
        </w:rPr>
      </w:pPr>
      <w:r>
        <w:br w:type="page"/>
      </w:r>
    </w:p>
    <w:p>
      <w:pPr>
        <w:pStyle w:val="4"/>
        <w:ind w:firstLine="600"/>
        <w:rPr>
          <w:rFonts w:ascii="Times New Roman" w:hAnsi="Times New Roman" w:cs="Times New Roman"/>
        </w:rPr>
      </w:pPr>
      <w:bookmarkStart w:id="760" w:name="_Toc3770"/>
      <w:r>
        <w:rPr>
          <w:rFonts w:ascii="Times New Roman" w:hAnsi="Times New Roman" w:cs="Times New Roman"/>
        </w:rPr>
        <w:t>专业</w:t>
      </w:r>
      <w:r>
        <w:rPr>
          <w:rFonts w:ascii="Times New Roman" w:hAnsi="Times New Roman" w:cs="Times New Roman"/>
          <w:lang w:val="en-US"/>
        </w:rPr>
        <w:t>七十</w:t>
      </w:r>
      <w:r>
        <w:rPr>
          <w:rFonts w:hint="eastAsia" w:ascii="Times New Roman" w:hAnsi="Times New Roman" w:cs="Times New Roman"/>
          <w:lang w:val="en-US"/>
        </w:rPr>
        <w:t>一</w:t>
      </w:r>
      <w:r>
        <w:rPr>
          <w:rFonts w:ascii="Times New Roman" w:hAnsi="Times New Roman" w:cs="Times New Roman"/>
          <w:lang w:val="en-US"/>
        </w:rPr>
        <w:t>：</w:t>
      </w:r>
      <w:r>
        <w:rPr>
          <w:rFonts w:ascii="Times New Roman" w:hAnsi="Times New Roman" w:cs="Times New Roman"/>
        </w:rPr>
        <w:t>网络工程</w:t>
      </w:r>
      <w:bookmarkEnd w:id="760"/>
    </w:p>
    <w:p>
      <w:pPr>
        <w:pStyle w:val="5"/>
        <w:spacing w:before="93" w:after="93"/>
        <w:ind w:firstLine="560"/>
      </w:pPr>
      <w:r>
        <w:t>一、培养目标与规格</w:t>
      </w:r>
    </w:p>
    <w:p>
      <w:pPr>
        <w:pStyle w:val="6"/>
        <w:ind w:firstLine="480"/>
      </w:pPr>
      <w:r>
        <w:t>1.培养目标</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本专业培养具有扎实的计算机网络和计算机科学基本知识，具有良好的科学素养和创新能力，掌握计算机网络设计，系统集成、应用开发、工程施工、管理维护、信息安全保障等方面技能的高级专业技术人才。毕业生可在科研机构、IT公司、国家机关等企事业单位从事网络应用软件的开发、网络系统的规划设计和工程施工、网络的运行管理及安全防护、网络设备研发等工作，通过进一步深造，还可从事计算机与计算机网络方面的科学研究工作。</w:t>
      </w:r>
    </w:p>
    <w:p>
      <w:pPr>
        <w:pStyle w:val="6"/>
        <w:ind w:firstLine="480"/>
      </w:pPr>
      <w:r>
        <w:t>2.人才培养规格</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基本规格：本专业学生主要学习计算机科学和计算机网络方面的基本理论和基本知识，接受从事计算机网络应用开发、网络安全防护、网络管理维护与规划设计等方面工作的基本训练，能够在网络应用开发、网络安全保障、网络规划设计、网络管理与维护、网络工程测试等方面具有较宽的工程技术基础和一定的专业实践能力。</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学生应获取的知识与能力</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①了解与本专业相关的职业和行业的生产、设计、研究与开发的法律法规，具有较好的人文社科素养、较强的社会责任感和良好的职业道德。</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②具有从事本专业相关的工作所需的数学、物理学等方面的基础知识，掌握计算机科学与技术、信息与通信工程的基本知识；具备网络应用开发、网络规划与设计、网络安全以及网络管理与维护等相关专业知识。</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③具有将网络技术与网络工程相关知识、基本方法和工具应用于网络应用开发、网络系统设计集成、网络管理维护和网络安全保障的基本能力；具有初步的网络系统开发和项目管理的能力和良好的工程素养。</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④掌握文献检索、资料查询以及运用现代信息技术获取相关信息的基本方法；具备终身学习和适应发展的能力；掌握一门外国语，具有一定的听、说、读、写能力，能比较熟练地阅读本专业外文文献。</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⑤具有一定的组织管理能力，较强的表达能力和人际交往能力，在工程设计和实践具有一定的创新意识和能力。</w:t>
      </w:r>
    </w:p>
    <w:p>
      <w:pPr>
        <w:pStyle w:val="5"/>
        <w:spacing w:before="93" w:after="93"/>
        <w:ind w:firstLine="560"/>
      </w:pPr>
      <w:r>
        <w:t>二、培养能力</w:t>
      </w:r>
    </w:p>
    <w:p>
      <w:pPr>
        <w:pStyle w:val="6"/>
        <w:ind w:firstLine="480"/>
      </w:pPr>
      <w:r>
        <w:t>1.专业设置情况</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我校2005年成功申办网络工程本科专业，并于2006年9月开始招生，录取批次为本科二批，学制四年，毕业生授工学学士学位。2016年录取批次升为本科一批次。2017年1月，以计算机科学与技术为核心专业的专业群（计算机科学与技术、网络工程、物联网工程、空间信息与数字技术）确定为山东省高水平应用型本科专业群建设专业。</w:t>
      </w:r>
    </w:p>
    <w:p>
      <w:pPr>
        <w:pStyle w:val="6"/>
        <w:ind w:firstLine="480"/>
      </w:pPr>
      <w:r>
        <w:t>2.在校生规模</w:t>
      </w:r>
    </w:p>
    <w:p>
      <w:pPr>
        <w:ind w:firstLine="480"/>
        <w:rPr>
          <w:color w:val="000000" w:themeColor="text1"/>
          <w14:textFill>
            <w14:solidFill>
              <w14:schemeClr w14:val="tx1"/>
            </w14:solidFill>
          </w14:textFill>
        </w:rPr>
      </w:pPr>
      <w:r>
        <w:rPr>
          <w:color w:val="000000" w:themeColor="text1"/>
          <w:szCs w:val="24"/>
          <w14:textFill>
            <w14:solidFill>
              <w14:schemeClr w14:val="tx1"/>
            </w14:solidFill>
          </w14:textFill>
        </w:rPr>
        <w:t>现在校生规模为164人，其中2019级46人，2020级57人，2021级61人，</w:t>
      </w:r>
      <w:r>
        <w:rPr>
          <w:color w:val="000000" w:themeColor="text1"/>
          <w14:textFill>
            <w14:solidFill>
              <w14:schemeClr w14:val="tx1"/>
            </w14:solidFill>
          </w14:textFill>
        </w:rPr>
        <w:t>。</w:t>
      </w:r>
    </w:p>
    <w:p>
      <w:pPr>
        <w:pStyle w:val="6"/>
        <w:ind w:firstLine="480"/>
      </w:pPr>
      <w:r>
        <w:t>3.课程设置情况</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为适应学分制的要求，目前使用2018年修订的本科人才培养方案，共计170学分。其中，必修课总学分139学分，占课程总学分的81.7%，选修课学分31，占课程总学分的28.3%。实验学分和实践环节学分50学分，实验学分和实践环节学分占总学分比例29.41%。</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主要课程包括：高等数学、程序设计A、线性代数、程序设计B、大学物理学、概率统计、离散数学、电子技术基础、数据通信原理、数据库原理、数据结构、计算机组成与结构、操作系统、Web开发技术、计算机网络、无线网络技术、网络编程技术、网络设计与集成、计算机网络安全、网络管理。</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主要实践环节包括：认识实习、程序设计B课程设计、Web开发技术课程设计、网络编程技术综合实习、网络设计与管理维护综合实习、网络安全综合实习、创新创业实践、毕业实习及报告、毕业论文或毕业设计等。计算机导论实验、程序设计A实验、程序设计B实验、数据结构实验、计算机组成与结构实验、Web开发技术实验、计算机网络实验、网络编程技术实验、网络设计与集成实验、计算机网络安全实验。</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为加强实践教学环节，提高学生实践创新能力，新的人才培养制定时，理论学时由原来的18学时/学分调整为16学时/学分，实验学时由原来的18学时/学分调整为32学时/学分；优化了课程体系和课程设置，部分课程前置，第4学年全部为实践环节，以适应</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3+1</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培养模式的需求，强化学生实践能力。</w:t>
      </w:r>
    </w:p>
    <w:p>
      <w:pPr>
        <w:pStyle w:val="6"/>
        <w:ind w:firstLine="480"/>
      </w:pPr>
      <w:r>
        <w:t>4.创新创业教育</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人才培养方案充分体现学生创新意识和创新能力培养，注重学生创业实践能力培养。积极组织学生参加校级、省级、地区级和国家级的各类学科竞赛以及如全国互联网+大赛、</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蓝桥杯</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全国软件和信息技术专业人才大赛一等奖四人，并获得优异成绩。同时鼓励学生教师的科研项目，进入创新创业实验室，通过项目的实践锻炼提高学生创新创业水平。</w:t>
      </w:r>
    </w:p>
    <w:p>
      <w:pPr>
        <w:pStyle w:val="5"/>
        <w:spacing w:before="93" w:after="93"/>
        <w:ind w:firstLine="560"/>
      </w:pPr>
      <w:r>
        <w:t>三、培养条件</w:t>
      </w:r>
    </w:p>
    <w:p>
      <w:pPr>
        <w:pStyle w:val="6"/>
        <w:ind w:firstLine="480"/>
      </w:pPr>
      <w:r>
        <w:t>1.教学经费投入与教学设备</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近年来，学校不断加大教学投入，保证了教学工作的正常运行。</w:t>
      </w:r>
    </w:p>
    <w:p>
      <w:pPr>
        <w:pStyle w:val="6"/>
        <w:ind w:firstLine="480"/>
      </w:pPr>
      <w:r>
        <w:t>2.教师队伍建设</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网络工程专业现有专任教师35人，分别来自北京交通大学、山东大学、武汉理工大学、南京航空航天大学、电子科技大学、哈尔滨理工大学、重庆大学、北京邮电大学、中国农业大学、山东科技大学、山东师范大学等十几所高等院校，</w:t>
      </w:r>
      <w:r>
        <w:rPr>
          <w:szCs w:val="24"/>
        </w:rPr>
        <w:t>其中教授12人，副教授17人，硕士生导师10人，15人具有博士学位。聘请院士、校外学者和生产一线专家为兼职教授10余人，聘请行业导师20余人。教授和副教授每学年都坚持为本专业的学生上课，每位主讲教师都具有较高专业水平和较强业务能力。</w:t>
      </w:r>
      <w:r>
        <w:rPr>
          <w:color w:val="000000" w:themeColor="text1"/>
          <w:szCs w:val="24"/>
          <w14:textFill>
            <w14:solidFill>
              <w14:schemeClr w14:val="tx1"/>
            </w14:solidFill>
          </w14:textFill>
        </w:rPr>
        <w:t>人员结构见表1。</w:t>
      </w:r>
    </w:p>
    <w:p>
      <w:pPr>
        <w:spacing w:line="240" w:lineRule="auto"/>
        <w:ind w:firstLine="422"/>
        <w:jc w:val="center"/>
        <w:rPr>
          <w:b/>
          <w:bCs/>
          <w:sz w:val="21"/>
          <w:szCs w:val="21"/>
        </w:rPr>
      </w:pPr>
      <w:r>
        <w:rPr>
          <w:b/>
          <w:bCs/>
          <w:sz w:val="21"/>
          <w:szCs w:val="21"/>
        </w:rPr>
        <w:t>表1 人员结构</w:t>
      </w:r>
    </w:p>
    <w:tbl>
      <w:tblPr>
        <w:tblStyle w:val="17"/>
        <w:tblW w:w="90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9"/>
        <w:gridCol w:w="767"/>
        <w:gridCol w:w="851"/>
        <w:gridCol w:w="436"/>
        <w:gridCol w:w="273"/>
        <w:gridCol w:w="751"/>
        <w:gridCol w:w="187"/>
        <w:gridCol w:w="582"/>
        <w:gridCol w:w="643"/>
        <w:gridCol w:w="246"/>
        <w:gridCol w:w="944"/>
        <w:gridCol w:w="34"/>
        <w:gridCol w:w="1029"/>
        <w:gridCol w:w="196"/>
        <w:gridCol w:w="514"/>
        <w:gridCol w:w="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9" w:type="dxa"/>
            <w:vAlign w:val="center"/>
          </w:tcPr>
          <w:p>
            <w:pPr>
              <w:adjustRightInd w:val="0"/>
              <w:snapToGrid w:val="0"/>
              <w:spacing w:line="240" w:lineRule="auto"/>
              <w:jc w:val="center"/>
              <w:rPr>
                <w:b/>
                <w:bCs/>
                <w:sz w:val="21"/>
                <w:szCs w:val="21"/>
              </w:rPr>
            </w:pPr>
            <w:r>
              <w:rPr>
                <w:b/>
                <w:bCs/>
                <w:sz w:val="21"/>
                <w:szCs w:val="21"/>
              </w:rPr>
              <w:t>专业技术职务</w:t>
            </w:r>
          </w:p>
        </w:tc>
        <w:tc>
          <w:tcPr>
            <w:tcW w:w="767" w:type="dxa"/>
            <w:vAlign w:val="center"/>
          </w:tcPr>
          <w:p>
            <w:pPr>
              <w:widowControl/>
              <w:adjustRightInd w:val="0"/>
              <w:snapToGrid w:val="0"/>
              <w:spacing w:line="240" w:lineRule="auto"/>
              <w:jc w:val="center"/>
              <w:rPr>
                <w:b/>
                <w:bCs/>
                <w:kern w:val="0"/>
                <w:sz w:val="21"/>
                <w:szCs w:val="21"/>
              </w:rPr>
            </w:pPr>
            <w:r>
              <w:rPr>
                <w:b/>
                <w:bCs/>
                <w:kern w:val="0"/>
                <w:sz w:val="21"/>
                <w:szCs w:val="21"/>
              </w:rPr>
              <w:t>合计</w:t>
            </w:r>
          </w:p>
        </w:tc>
        <w:tc>
          <w:tcPr>
            <w:tcW w:w="851" w:type="dxa"/>
            <w:vAlign w:val="center"/>
          </w:tcPr>
          <w:p>
            <w:pPr>
              <w:widowControl/>
              <w:adjustRightInd w:val="0"/>
              <w:snapToGrid w:val="0"/>
              <w:spacing w:line="240" w:lineRule="auto"/>
              <w:jc w:val="center"/>
              <w:rPr>
                <w:b/>
                <w:sz w:val="21"/>
                <w:szCs w:val="21"/>
              </w:rPr>
            </w:pPr>
            <w:r>
              <w:rPr>
                <w:b/>
                <w:sz w:val="21"/>
                <w:szCs w:val="21"/>
              </w:rPr>
              <w:t>35岁</w:t>
            </w:r>
          </w:p>
          <w:p>
            <w:pPr>
              <w:adjustRightInd w:val="0"/>
              <w:snapToGrid w:val="0"/>
              <w:spacing w:line="240" w:lineRule="auto"/>
              <w:jc w:val="center"/>
              <w:rPr>
                <w:b/>
                <w:bCs/>
                <w:kern w:val="0"/>
                <w:sz w:val="21"/>
                <w:szCs w:val="21"/>
              </w:rPr>
            </w:pPr>
            <w:r>
              <w:rPr>
                <w:b/>
                <w:sz w:val="21"/>
                <w:szCs w:val="21"/>
              </w:rPr>
              <w:t>及以下</w:t>
            </w:r>
          </w:p>
        </w:tc>
        <w:tc>
          <w:tcPr>
            <w:tcW w:w="709" w:type="dxa"/>
            <w:gridSpan w:val="2"/>
            <w:vAlign w:val="center"/>
          </w:tcPr>
          <w:p>
            <w:pPr>
              <w:widowControl/>
              <w:adjustRightInd w:val="0"/>
              <w:snapToGrid w:val="0"/>
              <w:spacing w:line="240" w:lineRule="auto"/>
              <w:jc w:val="center"/>
              <w:rPr>
                <w:b/>
                <w:sz w:val="21"/>
                <w:szCs w:val="21"/>
              </w:rPr>
            </w:pPr>
            <w:r>
              <w:rPr>
                <w:b/>
                <w:sz w:val="21"/>
                <w:szCs w:val="21"/>
              </w:rPr>
              <w:t>36至</w:t>
            </w:r>
          </w:p>
          <w:p>
            <w:pPr>
              <w:adjustRightInd w:val="0"/>
              <w:snapToGrid w:val="0"/>
              <w:spacing w:line="240" w:lineRule="auto"/>
              <w:jc w:val="center"/>
              <w:rPr>
                <w:b/>
                <w:bCs/>
                <w:kern w:val="0"/>
                <w:sz w:val="21"/>
                <w:szCs w:val="21"/>
              </w:rPr>
            </w:pPr>
            <w:r>
              <w:rPr>
                <w:b/>
                <w:sz w:val="21"/>
                <w:szCs w:val="21"/>
              </w:rPr>
              <w:t>45岁</w:t>
            </w:r>
          </w:p>
        </w:tc>
        <w:tc>
          <w:tcPr>
            <w:tcW w:w="751" w:type="dxa"/>
            <w:vAlign w:val="center"/>
          </w:tcPr>
          <w:p>
            <w:pPr>
              <w:widowControl/>
              <w:adjustRightInd w:val="0"/>
              <w:snapToGrid w:val="0"/>
              <w:spacing w:line="240" w:lineRule="auto"/>
              <w:jc w:val="center"/>
              <w:rPr>
                <w:b/>
                <w:sz w:val="21"/>
                <w:szCs w:val="21"/>
              </w:rPr>
            </w:pPr>
            <w:r>
              <w:rPr>
                <w:b/>
                <w:sz w:val="21"/>
                <w:szCs w:val="21"/>
              </w:rPr>
              <w:t>46至</w:t>
            </w:r>
          </w:p>
          <w:p>
            <w:pPr>
              <w:adjustRightInd w:val="0"/>
              <w:snapToGrid w:val="0"/>
              <w:spacing w:line="240" w:lineRule="auto"/>
              <w:jc w:val="center"/>
              <w:rPr>
                <w:b/>
                <w:bCs/>
                <w:kern w:val="0"/>
                <w:sz w:val="21"/>
                <w:szCs w:val="21"/>
              </w:rPr>
            </w:pPr>
            <w:r>
              <w:rPr>
                <w:b/>
                <w:sz w:val="21"/>
                <w:szCs w:val="21"/>
              </w:rPr>
              <w:t>55岁</w:t>
            </w:r>
          </w:p>
        </w:tc>
        <w:tc>
          <w:tcPr>
            <w:tcW w:w="769" w:type="dxa"/>
            <w:gridSpan w:val="2"/>
            <w:vAlign w:val="center"/>
          </w:tcPr>
          <w:p>
            <w:pPr>
              <w:widowControl/>
              <w:adjustRightInd w:val="0"/>
              <w:snapToGrid w:val="0"/>
              <w:spacing w:line="240" w:lineRule="auto"/>
              <w:jc w:val="center"/>
              <w:rPr>
                <w:b/>
                <w:sz w:val="21"/>
                <w:szCs w:val="21"/>
              </w:rPr>
            </w:pPr>
            <w:r>
              <w:rPr>
                <w:b/>
                <w:sz w:val="21"/>
                <w:szCs w:val="21"/>
              </w:rPr>
              <w:t>56至</w:t>
            </w:r>
          </w:p>
          <w:p>
            <w:pPr>
              <w:adjustRightInd w:val="0"/>
              <w:snapToGrid w:val="0"/>
              <w:spacing w:line="240" w:lineRule="auto"/>
              <w:jc w:val="center"/>
              <w:rPr>
                <w:b/>
                <w:bCs/>
                <w:kern w:val="0"/>
                <w:sz w:val="21"/>
                <w:szCs w:val="21"/>
              </w:rPr>
            </w:pPr>
            <w:r>
              <w:rPr>
                <w:b/>
                <w:sz w:val="21"/>
                <w:szCs w:val="21"/>
              </w:rPr>
              <w:t>60岁</w:t>
            </w:r>
          </w:p>
        </w:tc>
        <w:tc>
          <w:tcPr>
            <w:tcW w:w="889" w:type="dxa"/>
            <w:gridSpan w:val="2"/>
            <w:vAlign w:val="center"/>
          </w:tcPr>
          <w:p>
            <w:pPr>
              <w:widowControl/>
              <w:adjustRightInd w:val="0"/>
              <w:snapToGrid w:val="0"/>
              <w:spacing w:line="240" w:lineRule="auto"/>
              <w:jc w:val="center"/>
              <w:rPr>
                <w:b/>
                <w:sz w:val="21"/>
                <w:szCs w:val="21"/>
              </w:rPr>
            </w:pPr>
            <w:r>
              <w:rPr>
                <w:b/>
                <w:sz w:val="21"/>
                <w:szCs w:val="21"/>
              </w:rPr>
              <w:t>61岁</w:t>
            </w:r>
          </w:p>
          <w:p>
            <w:pPr>
              <w:adjustRightInd w:val="0"/>
              <w:snapToGrid w:val="0"/>
              <w:spacing w:line="240" w:lineRule="auto"/>
              <w:jc w:val="center"/>
              <w:rPr>
                <w:b/>
                <w:bCs/>
                <w:kern w:val="0"/>
                <w:sz w:val="21"/>
                <w:szCs w:val="21"/>
              </w:rPr>
            </w:pPr>
            <w:r>
              <w:rPr>
                <w:b/>
                <w:sz w:val="21"/>
                <w:szCs w:val="21"/>
              </w:rPr>
              <w:t>及以上</w:t>
            </w:r>
          </w:p>
        </w:tc>
        <w:tc>
          <w:tcPr>
            <w:tcW w:w="944" w:type="dxa"/>
            <w:vAlign w:val="center"/>
          </w:tcPr>
          <w:p>
            <w:pPr>
              <w:spacing w:line="240" w:lineRule="auto"/>
              <w:jc w:val="center"/>
              <w:rPr>
                <w:b/>
                <w:bCs/>
                <w:kern w:val="0"/>
                <w:sz w:val="21"/>
                <w:szCs w:val="21"/>
              </w:rPr>
            </w:pPr>
            <w:r>
              <w:rPr>
                <w:b/>
                <w:bCs/>
                <w:kern w:val="0"/>
                <w:sz w:val="21"/>
                <w:szCs w:val="21"/>
              </w:rPr>
              <w:t>博士学位人数</w:t>
            </w:r>
          </w:p>
        </w:tc>
        <w:tc>
          <w:tcPr>
            <w:tcW w:w="1063" w:type="dxa"/>
            <w:gridSpan w:val="2"/>
            <w:vAlign w:val="center"/>
          </w:tcPr>
          <w:p>
            <w:pPr>
              <w:spacing w:line="240" w:lineRule="auto"/>
              <w:jc w:val="center"/>
              <w:rPr>
                <w:b/>
                <w:bCs/>
                <w:kern w:val="0"/>
                <w:sz w:val="21"/>
                <w:szCs w:val="21"/>
              </w:rPr>
            </w:pPr>
            <w:r>
              <w:rPr>
                <w:b/>
                <w:bCs/>
                <w:kern w:val="0"/>
                <w:sz w:val="21"/>
                <w:szCs w:val="21"/>
              </w:rPr>
              <w:t>具有境外经历人数</w:t>
            </w:r>
          </w:p>
        </w:tc>
        <w:tc>
          <w:tcPr>
            <w:tcW w:w="710" w:type="dxa"/>
            <w:gridSpan w:val="2"/>
            <w:vAlign w:val="center"/>
          </w:tcPr>
          <w:p>
            <w:pPr>
              <w:widowControl/>
              <w:adjustRightInd w:val="0"/>
              <w:snapToGrid w:val="0"/>
              <w:spacing w:line="240" w:lineRule="auto"/>
              <w:jc w:val="center"/>
              <w:rPr>
                <w:b/>
                <w:bCs/>
                <w:kern w:val="0"/>
                <w:sz w:val="21"/>
                <w:szCs w:val="21"/>
              </w:rPr>
            </w:pPr>
            <w:r>
              <w:rPr>
                <w:b/>
                <w:bCs/>
                <w:kern w:val="0"/>
                <w:sz w:val="21"/>
                <w:szCs w:val="21"/>
              </w:rPr>
              <w:t>博导</w:t>
            </w:r>
          </w:p>
          <w:p>
            <w:pPr>
              <w:widowControl/>
              <w:adjustRightInd w:val="0"/>
              <w:snapToGrid w:val="0"/>
              <w:spacing w:line="240" w:lineRule="auto"/>
              <w:jc w:val="center"/>
              <w:rPr>
                <w:b/>
                <w:bCs/>
                <w:kern w:val="0"/>
                <w:sz w:val="21"/>
                <w:szCs w:val="21"/>
              </w:rPr>
            </w:pPr>
            <w:r>
              <w:rPr>
                <w:b/>
                <w:bCs/>
                <w:kern w:val="0"/>
                <w:sz w:val="21"/>
                <w:szCs w:val="21"/>
              </w:rPr>
              <w:t>人数</w:t>
            </w:r>
          </w:p>
        </w:tc>
        <w:tc>
          <w:tcPr>
            <w:tcW w:w="711" w:type="dxa"/>
            <w:vAlign w:val="center"/>
          </w:tcPr>
          <w:p>
            <w:pPr>
              <w:widowControl/>
              <w:adjustRightInd w:val="0"/>
              <w:snapToGrid w:val="0"/>
              <w:spacing w:line="240" w:lineRule="auto"/>
              <w:jc w:val="center"/>
              <w:rPr>
                <w:b/>
                <w:bCs/>
                <w:kern w:val="0"/>
                <w:sz w:val="21"/>
                <w:szCs w:val="21"/>
              </w:rPr>
            </w:pPr>
            <w:r>
              <w:rPr>
                <w:b/>
                <w:bCs/>
                <w:kern w:val="0"/>
                <w:sz w:val="21"/>
                <w:szCs w:val="21"/>
              </w:rPr>
              <w:t>硕导</w:t>
            </w:r>
          </w:p>
          <w:p>
            <w:pPr>
              <w:widowControl/>
              <w:adjustRightInd w:val="0"/>
              <w:snapToGrid w:val="0"/>
              <w:spacing w:line="240" w:lineRule="auto"/>
              <w:jc w:val="center"/>
              <w:rPr>
                <w:b/>
                <w:bCs/>
                <w:kern w:val="0"/>
                <w:sz w:val="21"/>
                <w:szCs w:val="21"/>
              </w:rPr>
            </w:pPr>
            <w:r>
              <w:rPr>
                <w:b/>
                <w:bCs/>
                <w:kern w:val="0"/>
                <w:sz w:val="21"/>
                <w:szCs w:val="21"/>
              </w:rPr>
              <w:t>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19" w:type="dxa"/>
            <w:vAlign w:val="center"/>
          </w:tcPr>
          <w:p>
            <w:pPr>
              <w:widowControl/>
              <w:adjustRightInd w:val="0"/>
              <w:snapToGrid w:val="0"/>
              <w:spacing w:line="240" w:lineRule="auto"/>
              <w:jc w:val="center"/>
              <w:rPr>
                <w:b/>
                <w:bCs/>
                <w:sz w:val="21"/>
                <w:szCs w:val="21"/>
              </w:rPr>
            </w:pPr>
            <w:r>
              <w:rPr>
                <w:b/>
                <w:bCs/>
                <w:kern w:val="0"/>
                <w:sz w:val="21"/>
                <w:szCs w:val="21"/>
              </w:rPr>
              <w:t>正高级</w:t>
            </w:r>
          </w:p>
        </w:tc>
        <w:tc>
          <w:tcPr>
            <w:tcW w:w="767" w:type="dxa"/>
            <w:vAlign w:val="center"/>
          </w:tcPr>
          <w:p>
            <w:pPr>
              <w:widowControl/>
              <w:adjustRightInd w:val="0"/>
              <w:snapToGrid w:val="0"/>
              <w:spacing w:line="240" w:lineRule="auto"/>
              <w:jc w:val="center"/>
              <w:rPr>
                <w:rFonts w:eastAsia="楷体_GB2312"/>
                <w:sz w:val="21"/>
                <w:szCs w:val="21"/>
              </w:rPr>
            </w:pPr>
            <w:r>
              <w:rPr>
                <w:rFonts w:eastAsia="楷体_GB2312"/>
                <w:sz w:val="21"/>
                <w:szCs w:val="21"/>
              </w:rPr>
              <w:t>11</w:t>
            </w:r>
          </w:p>
        </w:tc>
        <w:tc>
          <w:tcPr>
            <w:tcW w:w="851" w:type="dxa"/>
            <w:vAlign w:val="center"/>
          </w:tcPr>
          <w:p>
            <w:pPr>
              <w:widowControl/>
              <w:adjustRightInd w:val="0"/>
              <w:snapToGrid w:val="0"/>
              <w:spacing w:line="240" w:lineRule="auto"/>
              <w:jc w:val="center"/>
              <w:rPr>
                <w:rFonts w:eastAsia="楷体_GB2312"/>
                <w:sz w:val="21"/>
                <w:szCs w:val="21"/>
              </w:rPr>
            </w:pPr>
            <w:r>
              <w:rPr>
                <w:rFonts w:eastAsia="楷体_GB2312"/>
                <w:sz w:val="21"/>
                <w:szCs w:val="21"/>
              </w:rPr>
              <w:t>0</w:t>
            </w:r>
          </w:p>
        </w:tc>
        <w:tc>
          <w:tcPr>
            <w:tcW w:w="709" w:type="dxa"/>
            <w:gridSpan w:val="2"/>
            <w:vAlign w:val="center"/>
          </w:tcPr>
          <w:p>
            <w:pPr>
              <w:widowControl/>
              <w:adjustRightInd w:val="0"/>
              <w:snapToGrid w:val="0"/>
              <w:spacing w:line="240" w:lineRule="auto"/>
              <w:jc w:val="center"/>
              <w:rPr>
                <w:rFonts w:eastAsia="楷体_GB2312"/>
                <w:sz w:val="21"/>
                <w:szCs w:val="21"/>
              </w:rPr>
            </w:pPr>
            <w:r>
              <w:rPr>
                <w:rFonts w:eastAsia="楷体_GB2312"/>
                <w:sz w:val="21"/>
                <w:szCs w:val="21"/>
              </w:rPr>
              <w:t>2</w:t>
            </w:r>
          </w:p>
        </w:tc>
        <w:tc>
          <w:tcPr>
            <w:tcW w:w="751" w:type="dxa"/>
            <w:vAlign w:val="center"/>
          </w:tcPr>
          <w:p>
            <w:pPr>
              <w:widowControl/>
              <w:adjustRightInd w:val="0"/>
              <w:snapToGrid w:val="0"/>
              <w:spacing w:line="240" w:lineRule="auto"/>
              <w:jc w:val="center"/>
              <w:rPr>
                <w:rFonts w:eastAsia="楷体_GB2312"/>
                <w:sz w:val="21"/>
                <w:szCs w:val="21"/>
              </w:rPr>
            </w:pPr>
            <w:r>
              <w:rPr>
                <w:rFonts w:eastAsia="楷体_GB2312"/>
                <w:sz w:val="21"/>
                <w:szCs w:val="21"/>
              </w:rPr>
              <w:t>6</w:t>
            </w:r>
          </w:p>
        </w:tc>
        <w:tc>
          <w:tcPr>
            <w:tcW w:w="769" w:type="dxa"/>
            <w:gridSpan w:val="2"/>
            <w:vAlign w:val="center"/>
          </w:tcPr>
          <w:p>
            <w:pPr>
              <w:widowControl/>
              <w:adjustRightInd w:val="0"/>
              <w:snapToGrid w:val="0"/>
              <w:spacing w:line="240" w:lineRule="auto"/>
              <w:jc w:val="center"/>
              <w:rPr>
                <w:rFonts w:eastAsia="楷体_GB2312"/>
                <w:sz w:val="21"/>
                <w:szCs w:val="21"/>
              </w:rPr>
            </w:pPr>
            <w:r>
              <w:rPr>
                <w:rFonts w:eastAsia="楷体_GB2312"/>
                <w:sz w:val="21"/>
                <w:szCs w:val="21"/>
              </w:rPr>
              <w:t>3</w:t>
            </w:r>
          </w:p>
        </w:tc>
        <w:tc>
          <w:tcPr>
            <w:tcW w:w="889" w:type="dxa"/>
            <w:gridSpan w:val="2"/>
            <w:vAlign w:val="center"/>
          </w:tcPr>
          <w:p>
            <w:pPr>
              <w:widowControl/>
              <w:adjustRightInd w:val="0"/>
              <w:snapToGrid w:val="0"/>
              <w:spacing w:line="240" w:lineRule="auto"/>
              <w:jc w:val="center"/>
              <w:rPr>
                <w:rFonts w:eastAsia="楷体_GB2312"/>
                <w:sz w:val="21"/>
                <w:szCs w:val="21"/>
              </w:rPr>
            </w:pPr>
            <w:r>
              <w:rPr>
                <w:rFonts w:eastAsia="楷体_GB2312"/>
                <w:sz w:val="21"/>
                <w:szCs w:val="21"/>
              </w:rPr>
              <w:t>0</w:t>
            </w:r>
          </w:p>
        </w:tc>
        <w:tc>
          <w:tcPr>
            <w:tcW w:w="944" w:type="dxa"/>
            <w:vAlign w:val="center"/>
          </w:tcPr>
          <w:p>
            <w:pPr>
              <w:widowControl/>
              <w:adjustRightInd w:val="0"/>
              <w:snapToGrid w:val="0"/>
              <w:spacing w:line="240" w:lineRule="auto"/>
              <w:jc w:val="center"/>
              <w:rPr>
                <w:rFonts w:eastAsia="楷体_GB2312"/>
                <w:sz w:val="21"/>
                <w:szCs w:val="21"/>
              </w:rPr>
            </w:pPr>
            <w:r>
              <w:rPr>
                <w:rFonts w:eastAsia="楷体_GB2312"/>
                <w:sz w:val="21"/>
                <w:szCs w:val="21"/>
              </w:rPr>
              <w:t>12</w:t>
            </w:r>
          </w:p>
        </w:tc>
        <w:tc>
          <w:tcPr>
            <w:tcW w:w="1063" w:type="dxa"/>
            <w:gridSpan w:val="2"/>
            <w:vAlign w:val="center"/>
          </w:tcPr>
          <w:p>
            <w:pPr>
              <w:widowControl/>
              <w:adjustRightInd w:val="0"/>
              <w:snapToGrid w:val="0"/>
              <w:spacing w:line="240" w:lineRule="auto"/>
              <w:jc w:val="center"/>
              <w:rPr>
                <w:rFonts w:eastAsia="楷体_GB2312"/>
                <w:sz w:val="21"/>
                <w:szCs w:val="21"/>
              </w:rPr>
            </w:pPr>
            <w:r>
              <w:rPr>
                <w:rFonts w:eastAsia="楷体_GB2312"/>
                <w:sz w:val="21"/>
                <w:szCs w:val="21"/>
              </w:rPr>
              <w:t>3</w:t>
            </w:r>
          </w:p>
        </w:tc>
        <w:tc>
          <w:tcPr>
            <w:tcW w:w="710" w:type="dxa"/>
            <w:gridSpan w:val="2"/>
            <w:vAlign w:val="center"/>
          </w:tcPr>
          <w:p>
            <w:pPr>
              <w:widowControl/>
              <w:adjustRightInd w:val="0"/>
              <w:snapToGrid w:val="0"/>
              <w:spacing w:line="240" w:lineRule="auto"/>
              <w:jc w:val="center"/>
              <w:rPr>
                <w:sz w:val="21"/>
                <w:szCs w:val="21"/>
              </w:rPr>
            </w:pPr>
            <w:r>
              <w:rPr>
                <w:sz w:val="21"/>
                <w:szCs w:val="21"/>
              </w:rPr>
              <w:t>1</w:t>
            </w:r>
          </w:p>
        </w:tc>
        <w:tc>
          <w:tcPr>
            <w:tcW w:w="711" w:type="dxa"/>
            <w:vAlign w:val="center"/>
          </w:tcPr>
          <w:p>
            <w:pPr>
              <w:widowControl/>
              <w:adjustRightInd w:val="0"/>
              <w:snapToGrid w:val="0"/>
              <w:spacing w:line="240" w:lineRule="auto"/>
              <w:jc w:val="center"/>
              <w:rPr>
                <w:sz w:val="21"/>
                <w:szCs w:val="21"/>
              </w:rPr>
            </w:pPr>
            <w:r>
              <w:rPr>
                <w:sz w:val="21"/>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19" w:type="dxa"/>
            <w:vAlign w:val="center"/>
          </w:tcPr>
          <w:p>
            <w:pPr>
              <w:widowControl/>
              <w:adjustRightInd w:val="0"/>
              <w:snapToGrid w:val="0"/>
              <w:spacing w:line="240" w:lineRule="auto"/>
              <w:jc w:val="center"/>
              <w:rPr>
                <w:b/>
                <w:bCs/>
                <w:sz w:val="21"/>
                <w:szCs w:val="21"/>
              </w:rPr>
            </w:pPr>
            <w:r>
              <w:rPr>
                <w:b/>
                <w:bCs/>
                <w:kern w:val="0"/>
                <w:sz w:val="21"/>
                <w:szCs w:val="21"/>
              </w:rPr>
              <w:t>副高级</w:t>
            </w:r>
          </w:p>
        </w:tc>
        <w:tc>
          <w:tcPr>
            <w:tcW w:w="767" w:type="dxa"/>
            <w:vAlign w:val="center"/>
          </w:tcPr>
          <w:p>
            <w:pPr>
              <w:widowControl/>
              <w:adjustRightInd w:val="0"/>
              <w:snapToGrid w:val="0"/>
              <w:spacing w:line="240" w:lineRule="auto"/>
              <w:jc w:val="center"/>
              <w:rPr>
                <w:rFonts w:eastAsia="楷体_GB2312"/>
                <w:sz w:val="21"/>
                <w:szCs w:val="21"/>
              </w:rPr>
            </w:pPr>
            <w:r>
              <w:rPr>
                <w:rFonts w:eastAsia="楷体_GB2312"/>
                <w:sz w:val="21"/>
                <w:szCs w:val="21"/>
              </w:rPr>
              <w:t>22</w:t>
            </w:r>
          </w:p>
        </w:tc>
        <w:tc>
          <w:tcPr>
            <w:tcW w:w="851" w:type="dxa"/>
            <w:vAlign w:val="center"/>
          </w:tcPr>
          <w:p>
            <w:pPr>
              <w:widowControl/>
              <w:adjustRightInd w:val="0"/>
              <w:snapToGrid w:val="0"/>
              <w:spacing w:line="240" w:lineRule="auto"/>
              <w:jc w:val="center"/>
              <w:rPr>
                <w:rFonts w:eastAsia="楷体_GB2312"/>
                <w:sz w:val="21"/>
                <w:szCs w:val="21"/>
              </w:rPr>
            </w:pPr>
            <w:r>
              <w:rPr>
                <w:rFonts w:eastAsia="楷体_GB2312"/>
                <w:sz w:val="21"/>
                <w:szCs w:val="21"/>
              </w:rPr>
              <w:t>4</w:t>
            </w:r>
          </w:p>
        </w:tc>
        <w:tc>
          <w:tcPr>
            <w:tcW w:w="709" w:type="dxa"/>
            <w:gridSpan w:val="2"/>
            <w:vAlign w:val="center"/>
          </w:tcPr>
          <w:p>
            <w:pPr>
              <w:widowControl/>
              <w:adjustRightInd w:val="0"/>
              <w:snapToGrid w:val="0"/>
              <w:spacing w:line="240" w:lineRule="auto"/>
              <w:jc w:val="center"/>
              <w:rPr>
                <w:rFonts w:eastAsia="楷体_GB2312"/>
                <w:sz w:val="21"/>
                <w:szCs w:val="21"/>
              </w:rPr>
            </w:pPr>
            <w:r>
              <w:rPr>
                <w:rFonts w:eastAsia="楷体_GB2312"/>
                <w:sz w:val="21"/>
                <w:szCs w:val="21"/>
              </w:rPr>
              <w:t>13</w:t>
            </w:r>
          </w:p>
        </w:tc>
        <w:tc>
          <w:tcPr>
            <w:tcW w:w="751" w:type="dxa"/>
            <w:vAlign w:val="center"/>
          </w:tcPr>
          <w:p>
            <w:pPr>
              <w:widowControl/>
              <w:adjustRightInd w:val="0"/>
              <w:snapToGrid w:val="0"/>
              <w:spacing w:line="240" w:lineRule="auto"/>
              <w:jc w:val="center"/>
              <w:rPr>
                <w:rFonts w:eastAsia="楷体_GB2312"/>
                <w:sz w:val="21"/>
                <w:szCs w:val="21"/>
              </w:rPr>
            </w:pPr>
            <w:r>
              <w:rPr>
                <w:rFonts w:eastAsia="楷体_GB2312"/>
                <w:sz w:val="21"/>
                <w:szCs w:val="21"/>
              </w:rPr>
              <w:t>5</w:t>
            </w:r>
          </w:p>
        </w:tc>
        <w:tc>
          <w:tcPr>
            <w:tcW w:w="769" w:type="dxa"/>
            <w:gridSpan w:val="2"/>
            <w:vAlign w:val="center"/>
          </w:tcPr>
          <w:p>
            <w:pPr>
              <w:widowControl/>
              <w:adjustRightInd w:val="0"/>
              <w:snapToGrid w:val="0"/>
              <w:spacing w:line="240" w:lineRule="auto"/>
              <w:jc w:val="center"/>
              <w:rPr>
                <w:rFonts w:eastAsia="楷体_GB2312"/>
                <w:sz w:val="21"/>
                <w:szCs w:val="21"/>
              </w:rPr>
            </w:pPr>
            <w:r>
              <w:rPr>
                <w:rFonts w:eastAsia="楷体_GB2312"/>
                <w:sz w:val="21"/>
                <w:szCs w:val="21"/>
              </w:rPr>
              <w:t>0</w:t>
            </w:r>
          </w:p>
        </w:tc>
        <w:tc>
          <w:tcPr>
            <w:tcW w:w="889" w:type="dxa"/>
            <w:gridSpan w:val="2"/>
            <w:vAlign w:val="center"/>
          </w:tcPr>
          <w:p>
            <w:pPr>
              <w:widowControl/>
              <w:adjustRightInd w:val="0"/>
              <w:snapToGrid w:val="0"/>
              <w:spacing w:line="240" w:lineRule="auto"/>
              <w:jc w:val="center"/>
              <w:rPr>
                <w:rFonts w:eastAsia="楷体_GB2312"/>
                <w:sz w:val="21"/>
                <w:szCs w:val="21"/>
              </w:rPr>
            </w:pPr>
            <w:r>
              <w:rPr>
                <w:rFonts w:eastAsia="楷体_GB2312"/>
                <w:sz w:val="21"/>
                <w:szCs w:val="21"/>
              </w:rPr>
              <w:t>0</w:t>
            </w:r>
          </w:p>
        </w:tc>
        <w:tc>
          <w:tcPr>
            <w:tcW w:w="944" w:type="dxa"/>
            <w:vAlign w:val="center"/>
          </w:tcPr>
          <w:p>
            <w:pPr>
              <w:widowControl/>
              <w:adjustRightInd w:val="0"/>
              <w:snapToGrid w:val="0"/>
              <w:spacing w:line="240" w:lineRule="auto"/>
              <w:jc w:val="center"/>
              <w:rPr>
                <w:rFonts w:eastAsia="楷体_GB2312"/>
                <w:sz w:val="21"/>
                <w:szCs w:val="21"/>
              </w:rPr>
            </w:pPr>
            <w:r>
              <w:rPr>
                <w:rFonts w:eastAsia="楷体_GB2312"/>
                <w:sz w:val="21"/>
                <w:szCs w:val="21"/>
              </w:rPr>
              <w:t>19</w:t>
            </w:r>
          </w:p>
        </w:tc>
        <w:tc>
          <w:tcPr>
            <w:tcW w:w="1063" w:type="dxa"/>
            <w:gridSpan w:val="2"/>
            <w:vAlign w:val="center"/>
          </w:tcPr>
          <w:p>
            <w:pPr>
              <w:widowControl/>
              <w:adjustRightInd w:val="0"/>
              <w:snapToGrid w:val="0"/>
              <w:spacing w:line="240" w:lineRule="auto"/>
              <w:jc w:val="center"/>
              <w:rPr>
                <w:rFonts w:eastAsia="楷体_GB2312"/>
                <w:sz w:val="21"/>
                <w:szCs w:val="21"/>
              </w:rPr>
            </w:pPr>
            <w:r>
              <w:rPr>
                <w:rFonts w:eastAsia="楷体_GB2312"/>
                <w:sz w:val="21"/>
                <w:szCs w:val="21"/>
              </w:rPr>
              <w:t>1</w:t>
            </w:r>
          </w:p>
        </w:tc>
        <w:tc>
          <w:tcPr>
            <w:tcW w:w="710" w:type="dxa"/>
            <w:gridSpan w:val="2"/>
            <w:vAlign w:val="center"/>
          </w:tcPr>
          <w:p>
            <w:pPr>
              <w:widowControl/>
              <w:adjustRightInd w:val="0"/>
              <w:snapToGrid w:val="0"/>
              <w:spacing w:line="240" w:lineRule="auto"/>
              <w:jc w:val="center"/>
              <w:rPr>
                <w:rFonts w:eastAsia="楷体_GB2312"/>
                <w:sz w:val="21"/>
                <w:szCs w:val="21"/>
              </w:rPr>
            </w:pPr>
            <w:r>
              <w:rPr>
                <w:rFonts w:eastAsia="楷体_GB2312"/>
                <w:sz w:val="21"/>
                <w:szCs w:val="21"/>
              </w:rPr>
              <w:t>0</w:t>
            </w:r>
          </w:p>
        </w:tc>
        <w:tc>
          <w:tcPr>
            <w:tcW w:w="711" w:type="dxa"/>
            <w:vAlign w:val="center"/>
          </w:tcPr>
          <w:p>
            <w:pPr>
              <w:widowControl/>
              <w:adjustRightInd w:val="0"/>
              <w:snapToGrid w:val="0"/>
              <w:spacing w:line="240" w:lineRule="auto"/>
              <w:jc w:val="center"/>
              <w:rPr>
                <w:rFonts w:eastAsia="楷体_GB2312"/>
                <w:sz w:val="21"/>
                <w:szCs w:val="21"/>
              </w:rPr>
            </w:pPr>
            <w:r>
              <w:rPr>
                <w:rFonts w:eastAsia="楷体_GB2312"/>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19" w:type="dxa"/>
            <w:vAlign w:val="center"/>
          </w:tcPr>
          <w:p>
            <w:pPr>
              <w:widowControl/>
              <w:adjustRightInd w:val="0"/>
              <w:snapToGrid w:val="0"/>
              <w:spacing w:line="240" w:lineRule="auto"/>
              <w:jc w:val="center"/>
              <w:rPr>
                <w:b/>
                <w:bCs/>
                <w:sz w:val="21"/>
                <w:szCs w:val="21"/>
              </w:rPr>
            </w:pPr>
            <w:r>
              <w:rPr>
                <w:b/>
                <w:bCs/>
                <w:kern w:val="0"/>
                <w:sz w:val="21"/>
                <w:szCs w:val="21"/>
              </w:rPr>
              <w:t>其他</w:t>
            </w:r>
          </w:p>
        </w:tc>
        <w:tc>
          <w:tcPr>
            <w:tcW w:w="767" w:type="dxa"/>
            <w:vAlign w:val="center"/>
          </w:tcPr>
          <w:p>
            <w:pPr>
              <w:widowControl/>
              <w:adjustRightInd w:val="0"/>
              <w:snapToGrid w:val="0"/>
              <w:spacing w:line="240" w:lineRule="auto"/>
              <w:jc w:val="center"/>
              <w:rPr>
                <w:rFonts w:eastAsia="楷体_GB2312"/>
                <w:sz w:val="21"/>
                <w:szCs w:val="21"/>
              </w:rPr>
            </w:pPr>
            <w:r>
              <w:rPr>
                <w:rFonts w:eastAsia="楷体_GB2312"/>
                <w:sz w:val="21"/>
                <w:szCs w:val="21"/>
              </w:rPr>
              <w:t>2</w:t>
            </w:r>
          </w:p>
        </w:tc>
        <w:tc>
          <w:tcPr>
            <w:tcW w:w="851" w:type="dxa"/>
            <w:vAlign w:val="center"/>
          </w:tcPr>
          <w:p>
            <w:pPr>
              <w:widowControl/>
              <w:adjustRightInd w:val="0"/>
              <w:snapToGrid w:val="0"/>
              <w:spacing w:line="240" w:lineRule="auto"/>
              <w:jc w:val="center"/>
              <w:rPr>
                <w:rFonts w:eastAsia="楷体_GB2312"/>
                <w:sz w:val="21"/>
                <w:szCs w:val="21"/>
              </w:rPr>
            </w:pPr>
            <w:r>
              <w:rPr>
                <w:rFonts w:eastAsia="楷体_GB2312"/>
                <w:sz w:val="21"/>
                <w:szCs w:val="21"/>
              </w:rPr>
              <w:t>2</w:t>
            </w:r>
          </w:p>
        </w:tc>
        <w:tc>
          <w:tcPr>
            <w:tcW w:w="709" w:type="dxa"/>
            <w:gridSpan w:val="2"/>
            <w:vAlign w:val="center"/>
          </w:tcPr>
          <w:p>
            <w:pPr>
              <w:widowControl/>
              <w:adjustRightInd w:val="0"/>
              <w:snapToGrid w:val="0"/>
              <w:spacing w:line="240" w:lineRule="auto"/>
              <w:jc w:val="center"/>
              <w:rPr>
                <w:rFonts w:eastAsia="楷体_GB2312"/>
                <w:sz w:val="21"/>
                <w:szCs w:val="21"/>
              </w:rPr>
            </w:pPr>
            <w:r>
              <w:rPr>
                <w:rFonts w:eastAsia="楷体_GB2312"/>
                <w:sz w:val="21"/>
                <w:szCs w:val="21"/>
              </w:rPr>
              <w:t>0</w:t>
            </w:r>
          </w:p>
        </w:tc>
        <w:tc>
          <w:tcPr>
            <w:tcW w:w="751" w:type="dxa"/>
            <w:vAlign w:val="center"/>
          </w:tcPr>
          <w:p>
            <w:pPr>
              <w:widowControl/>
              <w:adjustRightInd w:val="0"/>
              <w:snapToGrid w:val="0"/>
              <w:spacing w:line="240" w:lineRule="auto"/>
              <w:jc w:val="center"/>
              <w:rPr>
                <w:rFonts w:eastAsia="楷体_GB2312"/>
                <w:sz w:val="21"/>
                <w:szCs w:val="21"/>
              </w:rPr>
            </w:pPr>
            <w:r>
              <w:rPr>
                <w:rFonts w:eastAsia="楷体_GB2312"/>
                <w:sz w:val="21"/>
                <w:szCs w:val="21"/>
              </w:rPr>
              <w:t>0</w:t>
            </w:r>
          </w:p>
        </w:tc>
        <w:tc>
          <w:tcPr>
            <w:tcW w:w="769" w:type="dxa"/>
            <w:gridSpan w:val="2"/>
            <w:vAlign w:val="center"/>
          </w:tcPr>
          <w:p>
            <w:pPr>
              <w:widowControl/>
              <w:adjustRightInd w:val="0"/>
              <w:snapToGrid w:val="0"/>
              <w:spacing w:line="240" w:lineRule="auto"/>
              <w:jc w:val="center"/>
              <w:rPr>
                <w:rFonts w:eastAsia="楷体_GB2312"/>
                <w:sz w:val="21"/>
                <w:szCs w:val="21"/>
              </w:rPr>
            </w:pPr>
            <w:r>
              <w:rPr>
                <w:rFonts w:eastAsia="楷体_GB2312"/>
                <w:sz w:val="21"/>
                <w:szCs w:val="21"/>
              </w:rPr>
              <w:t>0</w:t>
            </w:r>
          </w:p>
        </w:tc>
        <w:tc>
          <w:tcPr>
            <w:tcW w:w="889" w:type="dxa"/>
            <w:gridSpan w:val="2"/>
            <w:vAlign w:val="center"/>
          </w:tcPr>
          <w:p>
            <w:pPr>
              <w:widowControl/>
              <w:adjustRightInd w:val="0"/>
              <w:snapToGrid w:val="0"/>
              <w:spacing w:line="240" w:lineRule="auto"/>
              <w:jc w:val="center"/>
              <w:rPr>
                <w:rFonts w:eastAsia="楷体_GB2312"/>
                <w:sz w:val="21"/>
                <w:szCs w:val="21"/>
              </w:rPr>
            </w:pPr>
            <w:r>
              <w:rPr>
                <w:rFonts w:eastAsia="楷体_GB2312"/>
                <w:sz w:val="21"/>
                <w:szCs w:val="21"/>
              </w:rPr>
              <w:t>0</w:t>
            </w:r>
          </w:p>
        </w:tc>
        <w:tc>
          <w:tcPr>
            <w:tcW w:w="944" w:type="dxa"/>
            <w:vAlign w:val="center"/>
          </w:tcPr>
          <w:p>
            <w:pPr>
              <w:widowControl/>
              <w:adjustRightInd w:val="0"/>
              <w:snapToGrid w:val="0"/>
              <w:spacing w:line="240" w:lineRule="auto"/>
              <w:jc w:val="center"/>
              <w:rPr>
                <w:rFonts w:eastAsia="楷体_GB2312"/>
                <w:sz w:val="21"/>
                <w:szCs w:val="21"/>
              </w:rPr>
            </w:pPr>
            <w:r>
              <w:rPr>
                <w:rFonts w:eastAsia="楷体_GB2312"/>
                <w:sz w:val="21"/>
                <w:szCs w:val="21"/>
              </w:rPr>
              <w:t>2</w:t>
            </w:r>
          </w:p>
        </w:tc>
        <w:tc>
          <w:tcPr>
            <w:tcW w:w="1063" w:type="dxa"/>
            <w:gridSpan w:val="2"/>
            <w:vAlign w:val="center"/>
          </w:tcPr>
          <w:p>
            <w:pPr>
              <w:widowControl/>
              <w:adjustRightInd w:val="0"/>
              <w:snapToGrid w:val="0"/>
              <w:spacing w:line="240" w:lineRule="auto"/>
              <w:jc w:val="center"/>
              <w:rPr>
                <w:rFonts w:eastAsia="楷体_GB2312"/>
                <w:sz w:val="21"/>
                <w:szCs w:val="21"/>
              </w:rPr>
            </w:pPr>
            <w:r>
              <w:rPr>
                <w:rFonts w:eastAsia="楷体_GB2312"/>
                <w:sz w:val="21"/>
                <w:szCs w:val="21"/>
              </w:rPr>
              <w:t>0</w:t>
            </w:r>
          </w:p>
        </w:tc>
        <w:tc>
          <w:tcPr>
            <w:tcW w:w="710" w:type="dxa"/>
            <w:gridSpan w:val="2"/>
            <w:vAlign w:val="center"/>
          </w:tcPr>
          <w:p>
            <w:pPr>
              <w:widowControl/>
              <w:adjustRightInd w:val="0"/>
              <w:snapToGrid w:val="0"/>
              <w:spacing w:line="240" w:lineRule="auto"/>
              <w:jc w:val="center"/>
              <w:rPr>
                <w:rFonts w:eastAsia="楷体_GB2312"/>
                <w:sz w:val="21"/>
                <w:szCs w:val="21"/>
              </w:rPr>
            </w:pPr>
            <w:r>
              <w:rPr>
                <w:rFonts w:eastAsia="楷体_GB2312"/>
                <w:sz w:val="21"/>
                <w:szCs w:val="21"/>
              </w:rPr>
              <w:t>0</w:t>
            </w:r>
          </w:p>
        </w:tc>
        <w:tc>
          <w:tcPr>
            <w:tcW w:w="711" w:type="dxa"/>
            <w:vAlign w:val="center"/>
          </w:tcPr>
          <w:p>
            <w:pPr>
              <w:widowControl/>
              <w:adjustRightInd w:val="0"/>
              <w:snapToGrid w:val="0"/>
              <w:spacing w:line="240" w:lineRule="auto"/>
              <w:jc w:val="center"/>
              <w:rPr>
                <w:rFonts w:eastAsia="楷体_GB2312"/>
                <w:sz w:val="21"/>
                <w:szCs w:val="21"/>
              </w:rPr>
            </w:pPr>
            <w:r>
              <w:rPr>
                <w:rFonts w:eastAsia="楷体_GB2312"/>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19" w:type="dxa"/>
            <w:vAlign w:val="center"/>
          </w:tcPr>
          <w:p>
            <w:pPr>
              <w:widowControl/>
              <w:adjustRightInd w:val="0"/>
              <w:snapToGrid w:val="0"/>
              <w:spacing w:line="240" w:lineRule="auto"/>
              <w:jc w:val="center"/>
              <w:rPr>
                <w:b/>
                <w:sz w:val="21"/>
                <w:szCs w:val="21"/>
              </w:rPr>
            </w:pPr>
            <w:r>
              <w:rPr>
                <w:b/>
                <w:bCs/>
                <w:kern w:val="0"/>
                <w:sz w:val="21"/>
                <w:szCs w:val="21"/>
              </w:rPr>
              <w:t>总计</w:t>
            </w:r>
          </w:p>
        </w:tc>
        <w:tc>
          <w:tcPr>
            <w:tcW w:w="767" w:type="dxa"/>
            <w:vAlign w:val="center"/>
          </w:tcPr>
          <w:p>
            <w:pPr>
              <w:widowControl/>
              <w:adjustRightInd w:val="0"/>
              <w:snapToGrid w:val="0"/>
              <w:spacing w:line="240" w:lineRule="auto"/>
              <w:jc w:val="center"/>
              <w:rPr>
                <w:rFonts w:eastAsia="楷体_GB2312"/>
                <w:bCs/>
                <w:sz w:val="21"/>
                <w:szCs w:val="21"/>
              </w:rPr>
            </w:pPr>
            <w:r>
              <w:rPr>
                <w:rFonts w:eastAsia="楷体_GB2312"/>
                <w:bCs/>
                <w:sz w:val="21"/>
                <w:szCs w:val="21"/>
              </w:rPr>
              <w:t>35</w:t>
            </w:r>
          </w:p>
        </w:tc>
        <w:tc>
          <w:tcPr>
            <w:tcW w:w="851" w:type="dxa"/>
            <w:vAlign w:val="center"/>
          </w:tcPr>
          <w:p>
            <w:pPr>
              <w:widowControl/>
              <w:adjustRightInd w:val="0"/>
              <w:snapToGrid w:val="0"/>
              <w:spacing w:line="240" w:lineRule="auto"/>
              <w:jc w:val="center"/>
              <w:rPr>
                <w:rFonts w:eastAsia="楷体_GB2312"/>
                <w:bCs/>
                <w:sz w:val="21"/>
                <w:szCs w:val="21"/>
              </w:rPr>
            </w:pPr>
            <w:r>
              <w:rPr>
                <w:rFonts w:eastAsia="楷体_GB2312"/>
                <w:bCs/>
                <w:sz w:val="21"/>
                <w:szCs w:val="21"/>
              </w:rPr>
              <w:t>6</w:t>
            </w:r>
          </w:p>
        </w:tc>
        <w:tc>
          <w:tcPr>
            <w:tcW w:w="709" w:type="dxa"/>
            <w:gridSpan w:val="2"/>
            <w:vAlign w:val="center"/>
          </w:tcPr>
          <w:p>
            <w:pPr>
              <w:widowControl/>
              <w:adjustRightInd w:val="0"/>
              <w:snapToGrid w:val="0"/>
              <w:spacing w:line="240" w:lineRule="auto"/>
              <w:jc w:val="center"/>
              <w:rPr>
                <w:rFonts w:eastAsia="楷体_GB2312"/>
                <w:bCs/>
                <w:sz w:val="21"/>
                <w:szCs w:val="21"/>
              </w:rPr>
            </w:pPr>
            <w:r>
              <w:rPr>
                <w:rFonts w:eastAsia="楷体_GB2312"/>
                <w:bCs/>
                <w:sz w:val="21"/>
                <w:szCs w:val="21"/>
              </w:rPr>
              <w:t>15</w:t>
            </w:r>
          </w:p>
        </w:tc>
        <w:tc>
          <w:tcPr>
            <w:tcW w:w="751" w:type="dxa"/>
            <w:vAlign w:val="center"/>
          </w:tcPr>
          <w:p>
            <w:pPr>
              <w:widowControl/>
              <w:adjustRightInd w:val="0"/>
              <w:snapToGrid w:val="0"/>
              <w:spacing w:line="240" w:lineRule="auto"/>
              <w:jc w:val="center"/>
              <w:rPr>
                <w:rFonts w:eastAsia="楷体_GB2312"/>
                <w:bCs/>
                <w:sz w:val="21"/>
                <w:szCs w:val="21"/>
              </w:rPr>
            </w:pPr>
            <w:r>
              <w:rPr>
                <w:rFonts w:eastAsia="楷体_GB2312"/>
                <w:bCs/>
                <w:sz w:val="21"/>
                <w:szCs w:val="21"/>
              </w:rPr>
              <w:t>11</w:t>
            </w:r>
          </w:p>
        </w:tc>
        <w:tc>
          <w:tcPr>
            <w:tcW w:w="769" w:type="dxa"/>
            <w:gridSpan w:val="2"/>
            <w:vAlign w:val="center"/>
          </w:tcPr>
          <w:p>
            <w:pPr>
              <w:widowControl/>
              <w:adjustRightInd w:val="0"/>
              <w:snapToGrid w:val="0"/>
              <w:spacing w:line="240" w:lineRule="auto"/>
              <w:jc w:val="center"/>
              <w:rPr>
                <w:rFonts w:eastAsia="楷体_GB2312"/>
                <w:bCs/>
                <w:sz w:val="21"/>
                <w:szCs w:val="21"/>
              </w:rPr>
            </w:pPr>
            <w:r>
              <w:rPr>
                <w:rFonts w:eastAsia="楷体_GB2312"/>
                <w:bCs/>
                <w:sz w:val="21"/>
                <w:szCs w:val="21"/>
              </w:rPr>
              <w:t>3</w:t>
            </w:r>
          </w:p>
        </w:tc>
        <w:tc>
          <w:tcPr>
            <w:tcW w:w="889" w:type="dxa"/>
            <w:gridSpan w:val="2"/>
            <w:vAlign w:val="center"/>
          </w:tcPr>
          <w:p>
            <w:pPr>
              <w:widowControl/>
              <w:adjustRightInd w:val="0"/>
              <w:snapToGrid w:val="0"/>
              <w:spacing w:line="240" w:lineRule="auto"/>
              <w:jc w:val="center"/>
              <w:rPr>
                <w:rFonts w:eastAsia="楷体_GB2312"/>
                <w:bCs/>
                <w:sz w:val="21"/>
                <w:szCs w:val="21"/>
              </w:rPr>
            </w:pPr>
            <w:r>
              <w:rPr>
                <w:rFonts w:eastAsia="楷体_GB2312"/>
                <w:bCs/>
                <w:sz w:val="21"/>
                <w:szCs w:val="21"/>
              </w:rPr>
              <w:t>0</w:t>
            </w:r>
          </w:p>
        </w:tc>
        <w:tc>
          <w:tcPr>
            <w:tcW w:w="944" w:type="dxa"/>
            <w:vAlign w:val="center"/>
          </w:tcPr>
          <w:p>
            <w:pPr>
              <w:widowControl/>
              <w:adjustRightInd w:val="0"/>
              <w:snapToGrid w:val="0"/>
              <w:spacing w:line="240" w:lineRule="auto"/>
              <w:jc w:val="center"/>
              <w:rPr>
                <w:rFonts w:eastAsia="楷体_GB2312"/>
                <w:bCs/>
                <w:sz w:val="21"/>
                <w:szCs w:val="21"/>
              </w:rPr>
            </w:pPr>
            <w:r>
              <w:rPr>
                <w:rFonts w:eastAsia="楷体_GB2312"/>
                <w:bCs/>
                <w:sz w:val="21"/>
                <w:szCs w:val="21"/>
              </w:rPr>
              <w:t>33</w:t>
            </w:r>
          </w:p>
        </w:tc>
        <w:tc>
          <w:tcPr>
            <w:tcW w:w="1063" w:type="dxa"/>
            <w:gridSpan w:val="2"/>
            <w:vAlign w:val="center"/>
          </w:tcPr>
          <w:p>
            <w:pPr>
              <w:widowControl/>
              <w:adjustRightInd w:val="0"/>
              <w:snapToGrid w:val="0"/>
              <w:spacing w:line="240" w:lineRule="auto"/>
              <w:jc w:val="center"/>
              <w:rPr>
                <w:rFonts w:eastAsia="楷体_GB2312"/>
                <w:bCs/>
                <w:sz w:val="21"/>
                <w:szCs w:val="21"/>
              </w:rPr>
            </w:pPr>
            <w:r>
              <w:rPr>
                <w:rFonts w:eastAsia="楷体_GB2312"/>
                <w:bCs/>
                <w:sz w:val="21"/>
                <w:szCs w:val="21"/>
              </w:rPr>
              <w:t>4</w:t>
            </w:r>
          </w:p>
        </w:tc>
        <w:tc>
          <w:tcPr>
            <w:tcW w:w="710" w:type="dxa"/>
            <w:gridSpan w:val="2"/>
            <w:vAlign w:val="center"/>
          </w:tcPr>
          <w:p>
            <w:pPr>
              <w:widowControl/>
              <w:adjustRightInd w:val="0"/>
              <w:snapToGrid w:val="0"/>
              <w:spacing w:line="240" w:lineRule="auto"/>
              <w:jc w:val="center"/>
              <w:rPr>
                <w:rFonts w:eastAsia="楷体_GB2312"/>
                <w:bCs/>
                <w:sz w:val="21"/>
                <w:szCs w:val="21"/>
              </w:rPr>
            </w:pPr>
            <w:r>
              <w:rPr>
                <w:rFonts w:eastAsia="楷体_GB2312"/>
                <w:bCs/>
                <w:sz w:val="21"/>
                <w:szCs w:val="21"/>
              </w:rPr>
              <w:t>1</w:t>
            </w:r>
          </w:p>
        </w:tc>
        <w:tc>
          <w:tcPr>
            <w:tcW w:w="711" w:type="dxa"/>
            <w:vAlign w:val="center"/>
          </w:tcPr>
          <w:p>
            <w:pPr>
              <w:widowControl/>
              <w:adjustRightInd w:val="0"/>
              <w:snapToGrid w:val="0"/>
              <w:spacing w:line="240" w:lineRule="auto"/>
              <w:jc w:val="center"/>
              <w:rPr>
                <w:rFonts w:eastAsia="楷体_GB2312"/>
                <w:bCs/>
                <w:sz w:val="21"/>
                <w:szCs w:val="21"/>
              </w:rPr>
            </w:pPr>
            <w:r>
              <w:rPr>
                <w:rFonts w:eastAsia="楷体_GB2312"/>
                <w:bCs/>
                <w:sz w:val="21"/>
                <w:szCs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9" w:type="dxa"/>
            <w:vMerge w:val="restart"/>
            <w:vAlign w:val="center"/>
          </w:tcPr>
          <w:p>
            <w:pPr>
              <w:widowControl/>
              <w:adjustRightInd w:val="0"/>
              <w:snapToGrid w:val="0"/>
              <w:spacing w:line="240" w:lineRule="auto"/>
              <w:jc w:val="center"/>
              <w:rPr>
                <w:b/>
                <w:bCs/>
                <w:kern w:val="0"/>
                <w:sz w:val="21"/>
                <w:szCs w:val="21"/>
              </w:rPr>
            </w:pPr>
            <w:r>
              <w:rPr>
                <w:b/>
                <w:bCs/>
                <w:kern w:val="0"/>
                <w:sz w:val="21"/>
                <w:szCs w:val="21"/>
              </w:rPr>
              <w:t>学缘</w:t>
            </w:r>
          </w:p>
          <w:p>
            <w:pPr>
              <w:widowControl/>
              <w:adjustRightInd w:val="0"/>
              <w:snapToGrid w:val="0"/>
              <w:spacing w:line="240" w:lineRule="auto"/>
              <w:jc w:val="center"/>
              <w:rPr>
                <w:b/>
                <w:bCs/>
                <w:kern w:val="0"/>
                <w:sz w:val="21"/>
                <w:szCs w:val="21"/>
              </w:rPr>
            </w:pPr>
            <w:r>
              <w:rPr>
                <w:b/>
                <w:bCs/>
                <w:kern w:val="0"/>
                <w:sz w:val="21"/>
                <w:szCs w:val="21"/>
              </w:rPr>
              <w:t>结构</w:t>
            </w:r>
          </w:p>
        </w:tc>
        <w:tc>
          <w:tcPr>
            <w:tcW w:w="2054" w:type="dxa"/>
            <w:gridSpan w:val="3"/>
            <w:vAlign w:val="center"/>
          </w:tcPr>
          <w:p>
            <w:pPr>
              <w:spacing w:line="240" w:lineRule="auto"/>
              <w:jc w:val="center"/>
              <w:rPr>
                <w:w w:val="95"/>
                <w:sz w:val="21"/>
                <w:szCs w:val="21"/>
              </w:rPr>
            </w:pPr>
            <w:r>
              <w:rPr>
                <w:bCs/>
                <w:sz w:val="21"/>
                <w:szCs w:val="21"/>
              </w:rPr>
              <w:t>最高学位获得单位</w:t>
            </w:r>
            <w:r>
              <w:rPr>
                <w:rFonts w:eastAsia="楷体_GB2312"/>
                <w:w w:val="95"/>
                <w:sz w:val="21"/>
                <w:szCs w:val="21"/>
              </w:rPr>
              <w:t>(</w:t>
            </w:r>
            <w:r>
              <w:rPr>
                <w:rFonts w:eastAsia="楷体_GB2312"/>
                <w:bCs/>
                <w:sz w:val="21"/>
                <w:szCs w:val="21"/>
              </w:rPr>
              <w:t>人数最多的5所</w:t>
            </w:r>
            <w:r>
              <w:rPr>
                <w:rFonts w:eastAsia="楷体_GB2312"/>
                <w:w w:val="95"/>
                <w:sz w:val="21"/>
                <w:szCs w:val="21"/>
              </w:rPr>
              <w:t>)</w:t>
            </w:r>
          </w:p>
        </w:tc>
        <w:tc>
          <w:tcPr>
            <w:tcW w:w="1211" w:type="dxa"/>
            <w:gridSpan w:val="3"/>
            <w:vAlign w:val="center"/>
          </w:tcPr>
          <w:p>
            <w:pPr>
              <w:spacing w:line="240" w:lineRule="auto"/>
              <w:jc w:val="center"/>
              <w:rPr>
                <w:kern w:val="0"/>
                <w:sz w:val="21"/>
                <w:szCs w:val="21"/>
              </w:rPr>
            </w:pPr>
            <w:r>
              <w:rPr>
                <w:kern w:val="0"/>
                <w:sz w:val="21"/>
                <w:szCs w:val="21"/>
              </w:rPr>
              <w:t>山东大学</w:t>
            </w:r>
          </w:p>
        </w:tc>
        <w:tc>
          <w:tcPr>
            <w:tcW w:w="1225" w:type="dxa"/>
            <w:gridSpan w:val="2"/>
            <w:vAlign w:val="center"/>
          </w:tcPr>
          <w:p>
            <w:pPr>
              <w:spacing w:line="240" w:lineRule="auto"/>
              <w:jc w:val="center"/>
              <w:rPr>
                <w:kern w:val="0"/>
                <w:sz w:val="21"/>
                <w:szCs w:val="21"/>
              </w:rPr>
            </w:pPr>
            <w:r>
              <w:rPr>
                <w:kern w:val="0"/>
                <w:sz w:val="21"/>
                <w:szCs w:val="21"/>
              </w:rPr>
              <w:t>山东科技大学</w:t>
            </w:r>
          </w:p>
        </w:tc>
        <w:tc>
          <w:tcPr>
            <w:tcW w:w="1224" w:type="dxa"/>
            <w:gridSpan w:val="3"/>
            <w:vAlign w:val="center"/>
          </w:tcPr>
          <w:p>
            <w:pPr>
              <w:spacing w:line="240" w:lineRule="auto"/>
              <w:jc w:val="center"/>
              <w:rPr>
                <w:kern w:val="0"/>
                <w:sz w:val="21"/>
                <w:szCs w:val="21"/>
              </w:rPr>
            </w:pPr>
            <w:r>
              <w:rPr>
                <w:kern w:val="0"/>
                <w:sz w:val="21"/>
                <w:szCs w:val="21"/>
              </w:rPr>
              <w:t>中国科学院</w:t>
            </w:r>
          </w:p>
        </w:tc>
        <w:tc>
          <w:tcPr>
            <w:tcW w:w="1225" w:type="dxa"/>
            <w:gridSpan w:val="2"/>
            <w:vAlign w:val="center"/>
          </w:tcPr>
          <w:p>
            <w:pPr>
              <w:spacing w:line="240" w:lineRule="auto"/>
              <w:jc w:val="center"/>
              <w:rPr>
                <w:kern w:val="0"/>
                <w:sz w:val="21"/>
                <w:szCs w:val="21"/>
              </w:rPr>
            </w:pPr>
            <w:r>
              <w:rPr>
                <w:kern w:val="0"/>
                <w:sz w:val="21"/>
                <w:szCs w:val="21"/>
              </w:rPr>
              <w:t>大连理工</w:t>
            </w:r>
          </w:p>
        </w:tc>
        <w:tc>
          <w:tcPr>
            <w:tcW w:w="1225" w:type="dxa"/>
            <w:gridSpan w:val="2"/>
            <w:vAlign w:val="center"/>
          </w:tcPr>
          <w:p>
            <w:pPr>
              <w:spacing w:line="240" w:lineRule="auto"/>
              <w:rPr>
                <w:kern w:val="0"/>
                <w:sz w:val="21"/>
                <w:szCs w:val="21"/>
              </w:rPr>
            </w:pPr>
            <w:r>
              <w:rPr>
                <w:kern w:val="0"/>
                <w:sz w:val="21"/>
                <w:szCs w:val="21"/>
              </w:rPr>
              <w:t>北京航空航天大学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919" w:type="dxa"/>
            <w:vMerge w:val="continue"/>
            <w:vAlign w:val="center"/>
          </w:tcPr>
          <w:p>
            <w:pPr>
              <w:widowControl/>
              <w:adjustRightInd w:val="0"/>
              <w:snapToGrid w:val="0"/>
              <w:spacing w:line="240" w:lineRule="auto"/>
              <w:jc w:val="center"/>
              <w:rPr>
                <w:b/>
                <w:bCs/>
                <w:kern w:val="0"/>
                <w:sz w:val="21"/>
                <w:szCs w:val="21"/>
              </w:rPr>
            </w:pPr>
          </w:p>
        </w:tc>
        <w:tc>
          <w:tcPr>
            <w:tcW w:w="2054" w:type="dxa"/>
            <w:gridSpan w:val="3"/>
            <w:vAlign w:val="center"/>
          </w:tcPr>
          <w:p>
            <w:pPr>
              <w:widowControl/>
              <w:adjustRightInd w:val="0"/>
              <w:snapToGrid w:val="0"/>
              <w:spacing w:line="240" w:lineRule="auto"/>
              <w:jc w:val="center"/>
              <w:rPr>
                <w:rFonts w:eastAsia="楷体_GB2312"/>
                <w:b/>
                <w:sz w:val="21"/>
                <w:szCs w:val="21"/>
              </w:rPr>
            </w:pPr>
            <w:r>
              <w:rPr>
                <w:kern w:val="0"/>
                <w:sz w:val="21"/>
                <w:szCs w:val="21"/>
              </w:rPr>
              <w:t>人数及比例</w:t>
            </w:r>
          </w:p>
        </w:tc>
        <w:tc>
          <w:tcPr>
            <w:tcW w:w="1211" w:type="dxa"/>
            <w:gridSpan w:val="3"/>
            <w:vAlign w:val="center"/>
          </w:tcPr>
          <w:p>
            <w:pPr>
              <w:spacing w:line="240" w:lineRule="auto"/>
              <w:jc w:val="center"/>
              <w:rPr>
                <w:rFonts w:eastAsia="楷体_GB2312"/>
                <w:bCs/>
                <w:sz w:val="21"/>
                <w:szCs w:val="21"/>
              </w:rPr>
            </w:pPr>
            <w:r>
              <w:rPr>
                <w:bCs/>
                <w:sz w:val="21"/>
                <w:szCs w:val="21"/>
              </w:rPr>
              <w:t>6(15.8%)</w:t>
            </w:r>
          </w:p>
        </w:tc>
        <w:tc>
          <w:tcPr>
            <w:tcW w:w="1225" w:type="dxa"/>
            <w:gridSpan w:val="2"/>
            <w:vAlign w:val="center"/>
          </w:tcPr>
          <w:p>
            <w:pPr>
              <w:spacing w:line="240" w:lineRule="auto"/>
              <w:jc w:val="center"/>
              <w:rPr>
                <w:bCs/>
                <w:sz w:val="21"/>
                <w:szCs w:val="21"/>
              </w:rPr>
            </w:pPr>
            <w:r>
              <w:rPr>
                <w:bCs/>
                <w:sz w:val="21"/>
                <w:szCs w:val="21"/>
              </w:rPr>
              <w:t>6(15.8%)</w:t>
            </w:r>
          </w:p>
        </w:tc>
        <w:tc>
          <w:tcPr>
            <w:tcW w:w="1224" w:type="dxa"/>
            <w:gridSpan w:val="3"/>
            <w:vAlign w:val="center"/>
          </w:tcPr>
          <w:p>
            <w:pPr>
              <w:spacing w:line="240" w:lineRule="auto"/>
              <w:jc w:val="center"/>
              <w:rPr>
                <w:bCs/>
                <w:sz w:val="21"/>
                <w:szCs w:val="21"/>
              </w:rPr>
            </w:pPr>
            <w:r>
              <w:rPr>
                <w:bCs/>
                <w:sz w:val="21"/>
                <w:szCs w:val="21"/>
              </w:rPr>
              <w:t>3(7.9%)</w:t>
            </w:r>
          </w:p>
        </w:tc>
        <w:tc>
          <w:tcPr>
            <w:tcW w:w="1225" w:type="dxa"/>
            <w:gridSpan w:val="2"/>
            <w:vAlign w:val="center"/>
          </w:tcPr>
          <w:p>
            <w:pPr>
              <w:spacing w:line="240" w:lineRule="auto"/>
              <w:jc w:val="center"/>
              <w:rPr>
                <w:bCs/>
                <w:sz w:val="21"/>
                <w:szCs w:val="21"/>
              </w:rPr>
            </w:pPr>
            <w:r>
              <w:rPr>
                <w:bCs/>
                <w:sz w:val="21"/>
                <w:szCs w:val="21"/>
              </w:rPr>
              <w:t>2(5.3%)</w:t>
            </w:r>
          </w:p>
        </w:tc>
        <w:tc>
          <w:tcPr>
            <w:tcW w:w="1225" w:type="dxa"/>
            <w:gridSpan w:val="2"/>
            <w:vAlign w:val="center"/>
          </w:tcPr>
          <w:p>
            <w:pPr>
              <w:spacing w:line="240" w:lineRule="auto"/>
              <w:jc w:val="center"/>
              <w:rPr>
                <w:bCs/>
                <w:sz w:val="21"/>
                <w:szCs w:val="21"/>
              </w:rPr>
            </w:pPr>
            <w:r>
              <w:rPr>
                <w:bCs/>
                <w:sz w:val="21"/>
                <w:szCs w:val="21"/>
              </w:rPr>
              <w:t>1（2.6%）</w:t>
            </w:r>
          </w:p>
        </w:tc>
      </w:tr>
    </w:tbl>
    <w:p>
      <w:pPr>
        <w:ind w:firstLine="480"/>
      </w:pPr>
    </w:p>
    <w:p>
      <w:pPr>
        <w:ind w:firstLine="480"/>
      </w:pPr>
      <w:r>
        <w:t>近三年的师资情况对比见表2。</w:t>
      </w:r>
    </w:p>
    <w:p>
      <w:pPr>
        <w:ind w:firstLine="422"/>
        <w:jc w:val="center"/>
        <w:rPr>
          <w:b/>
          <w:bCs/>
          <w:sz w:val="21"/>
          <w:szCs w:val="21"/>
        </w:rPr>
      </w:pPr>
      <w:r>
        <w:rPr>
          <w:b/>
          <w:bCs/>
          <w:sz w:val="21"/>
          <w:szCs w:val="21"/>
        </w:rPr>
        <w:t>表2   师资情况对比</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8"/>
        <w:gridCol w:w="1225"/>
        <w:gridCol w:w="1357"/>
        <w:gridCol w:w="1359"/>
        <w:gridCol w:w="1357"/>
        <w:gridCol w:w="1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323" w:type="pct"/>
            <w:tcBorders>
              <w:tl2br w:val="single" w:color="auto" w:sz="4" w:space="0"/>
            </w:tcBorders>
          </w:tcPr>
          <w:p>
            <w:pPr>
              <w:jc w:val="right"/>
              <w:rPr>
                <w:b/>
                <w:bCs/>
                <w:sz w:val="21"/>
                <w:szCs w:val="21"/>
              </w:rPr>
            </w:pPr>
            <w:r>
              <w:rPr>
                <w:b/>
                <w:bCs/>
                <w:sz w:val="21"/>
                <w:szCs w:val="21"/>
              </w:rPr>
              <w:t xml:space="preserve">         教师情况</w:t>
            </w:r>
          </w:p>
          <w:p>
            <w:pPr>
              <w:rPr>
                <w:b/>
                <w:bCs/>
                <w:sz w:val="21"/>
                <w:szCs w:val="21"/>
              </w:rPr>
            </w:pPr>
            <w:r>
              <w:rPr>
                <w:b/>
                <w:bCs/>
                <w:sz w:val="21"/>
                <w:szCs w:val="21"/>
              </w:rPr>
              <w:t>年份</w:t>
            </w:r>
          </w:p>
        </w:tc>
        <w:tc>
          <w:tcPr>
            <w:tcW w:w="676" w:type="pct"/>
            <w:vAlign w:val="center"/>
          </w:tcPr>
          <w:p>
            <w:pPr>
              <w:jc w:val="center"/>
              <w:rPr>
                <w:b/>
                <w:bCs/>
                <w:sz w:val="21"/>
                <w:szCs w:val="21"/>
              </w:rPr>
            </w:pPr>
            <w:r>
              <w:rPr>
                <w:b/>
                <w:bCs/>
                <w:sz w:val="21"/>
                <w:szCs w:val="21"/>
              </w:rPr>
              <w:t>教师人数</w:t>
            </w:r>
          </w:p>
        </w:tc>
        <w:tc>
          <w:tcPr>
            <w:tcW w:w="749" w:type="pct"/>
            <w:vAlign w:val="center"/>
          </w:tcPr>
          <w:p>
            <w:pPr>
              <w:jc w:val="center"/>
              <w:rPr>
                <w:b/>
                <w:bCs/>
                <w:sz w:val="21"/>
                <w:szCs w:val="21"/>
              </w:rPr>
            </w:pPr>
            <w:r>
              <w:rPr>
                <w:b/>
                <w:bCs/>
                <w:sz w:val="21"/>
                <w:szCs w:val="21"/>
              </w:rPr>
              <w:t>教授</w:t>
            </w:r>
          </w:p>
        </w:tc>
        <w:tc>
          <w:tcPr>
            <w:tcW w:w="750" w:type="pct"/>
            <w:vAlign w:val="center"/>
          </w:tcPr>
          <w:p>
            <w:pPr>
              <w:jc w:val="center"/>
              <w:rPr>
                <w:b/>
                <w:bCs/>
                <w:sz w:val="21"/>
                <w:szCs w:val="21"/>
              </w:rPr>
            </w:pPr>
            <w:r>
              <w:rPr>
                <w:b/>
                <w:bCs/>
                <w:sz w:val="21"/>
                <w:szCs w:val="21"/>
              </w:rPr>
              <w:t>副教授</w:t>
            </w:r>
          </w:p>
        </w:tc>
        <w:tc>
          <w:tcPr>
            <w:tcW w:w="749" w:type="pct"/>
            <w:vAlign w:val="center"/>
          </w:tcPr>
          <w:p>
            <w:pPr>
              <w:jc w:val="center"/>
              <w:rPr>
                <w:b/>
                <w:bCs/>
                <w:sz w:val="21"/>
                <w:szCs w:val="21"/>
              </w:rPr>
            </w:pPr>
            <w:r>
              <w:rPr>
                <w:b/>
                <w:bCs/>
                <w:sz w:val="21"/>
                <w:szCs w:val="21"/>
              </w:rPr>
              <w:t>讲师</w:t>
            </w:r>
          </w:p>
        </w:tc>
        <w:tc>
          <w:tcPr>
            <w:tcW w:w="750" w:type="pct"/>
            <w:vAlign w:val="center"/>
          </w:tcPr>
          <w:p>
            <w:pPr>
              <w:jc w:val="center"/>
              <w:rPr>
                <w:b/>
                <w:bCs/>
                <w:sz w:val="21"/>
                <w:szCs w:val="21"/>
              </w:rPr>
            </w:pPr>
            <w:r>
              <w:rPr>
                <w:b/>
                <w:bCs/>
                <w:sz w:val="21"/>
                <w:szCs w:val="21"/>
              </w:rPr>
              <w:t>博士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323" w:type="pct"/>
            <w:vAlign w:val="center"/>
          </w:tcPr>
          <w:p>
            <w:pPr>
              <w:jc w:val="center"/>
              <w:rPr>
                <w:sz w:val="21"/>
                <w:szCs w:val="21"/>
              </w:rPr>
            </w:pPr>
            <w:r>
              <w:rPr>
                <w:sz w:val="21"/>
                <w:szCs w:val="21"/>
              </w:rPr>
              <w:t>2020</w:t>
            </w:r>
          </w:p>
        </w:tc>
        <w:tc>
          <w:tcPr>
            <w:tcW w:w="676" w:type="pct"/>
            <w:vAlign w:val="center"/>
          </w:tcPr>
          <w:p>
            <w:pPr>
              <w:jc w:val="center"/>
              <w:rPr>
                <w:sz w:val="21"/>
                <w:szCs w:val="21"/>
              </w:rPr>
            </w:pPr>
            <w:r>
              <w:rPr>
                <w:sz w:val="21"/>
                <w:szCs w:val="21"/>
              </w:rPr>
              <w:t>33</w:t>
            </w:r>
          </w:p>
        </w:tc>
        <w:tc>
          <w:tcPr>
            <w:tcW w:w="749" w:type="pct"/>
            <w:vAlign w:val="center"/>
          </w:tcPr>
          <w:p>
            <w:pPr>
              <w:jc w:val="center"/>
              <w:rPr>
                <w:sz w:val="21"/>
                <w:szCs w:val="21"/>
              </w:rPr>
            </w:pPr>
            <w:r>
              <w:rPr>
                <w:sz w:val="21"/>
                <w:szCs w:val="21"/>
              </w:rPr>
              <w:t>8</w:t>
            </w:r>
          </w:p>
        </w:tc>
        <w:tc>
          <w:tcPr>
            <w:tcW w:w="750" w:type="pct"/>
            <w:vAlign w:val="center"/>
          </w:tcPr>
          <w:p>
            <w:pPr>
              <w:jc w:val="center"/>
              <w:rPr>
                <w:sz w:val="21"/>
                <w:szCs w:val="21"/>
              </w:rPr>
            </w:pPr>
            <w:r>
              <w:rPr>
                <w:sz w:val="21"/>
                <w:szCs w:val="21"/>
              </w:rPr>
              <w:t>20</w:t>
            </w:r>
          </w:p>
        </w:tc>
        <w:tc>
          <w:tcPr>
            <w:tcW w:w="749" w:type="pct"/>
            <w:vAlign w:val="center"/>
          </w:tcPr>
          <w:p>
            <w:pPr>
              <w:jc w:val="center"/>
              <w:rPr>
                <w:sz w:val="21"/>
                <w:szCs w:val="21"/>
              </w:rPr>
            </w:pPr>
            <w:r>
              <w:rPr>
                <w:sz w:val="21"/>
                <w:szCs w:val="21"/>
              </w:rPr>
              <w:t>5</w:t>
            </w:r>
          </w:p>
        </w:tc>
        <w:tc>
          <w:tcPr>
            <w:tcW w:w="750" w:type="pct"/>
            <w:vAlign w:val="center"/>
          </w:tcPr>
          <w:p>
            <w:pPr>
              <w:jc w:val="center"/>
              <w:rPr>
                <w:sz w:val="21"/>
                <w:szCs w:val="21"/>
              </w:rPr>
            </w:pPr>
            <w:r>
              <w:rPr>
                <w:sz w:val="21"/>
                <w:szCs w:val="21"/>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323" w:type="pct"/>
            <w:vAlign w:val="center"/>
          </w:tcPr>
          <w:p>
            <w:pPr>
              <w:jc w:val="center"/>
              <w:rPr>
                <w:sz w:val="21"/>
                <w:szCs w:val="21"/>
              </w:rPr>
            </w:pPr>
            <w:r>
              <w:rPr>
                <w:sz w:val="21"/>
                <w:szCs w:val="21"/>
              </w:rPr>
              <w:t>2021</w:t>
            </w:r>
          </w:p>
        </w:tc>
        <w:tc>
          <w:tcPr>
            <w:tcW w:w="676" w:type="pct"/>
            <w:vAlign w:val="center"/>
          </w:tcPr>
          <w:p>
            <w:pPr>
              <w:jc w:val="center"/>
              <w:rPr>
                <w:sz w:val="21"/>
                <w:szCs w:val="21"/>
              </w:rPr>
            </w:pPr>
            <w:r>
              <w:rPr>
                <w:sz w:val="21"/>
                <w:szCs w:val="21"/>
              </w:rPr>
              <w:t>34</w:t>
            </w:r>
          </w:p>
        </w:tc>
        <w:tc>
          <w:tcPr>
            <w:tcW w:w="749" w:type="pct"/>
            <w:vAlign w:val="center"/>
          </w:tcPr>
          <w:p>
            <w:pPr>
              <w:jc w:val="center"/>
              <w:rPr>
                <w:sz w:val="21"/>
                <w:szCs w:val="21"/>
              </w:rPr>
            </w:pPr>
            <w:r>
              <w:rPr>
                <w:sz w:val="21"/>
                <w:szCs w:val="21"/>
              </w:rPr>
              <w:t>8</w:t>
            </w:r>
          </w:p>
        </w:tc>
        <w:tc>
          <w:tcPr>
            <w:tcW w:w="750" w:type="pct"/>
            <w:vAlign w:val="center"/>
          </w:tcPr>
          <w:p>
            <w:pPr>
              <w:jc w:val="center"/>
              <w:rPr>
                <w:sz w:val="21"/>
                <w:szCs w:val="21"/>
              </w:rPr>
            </w:pPr>
            <w:r>
              <w:rPr>
                <w:sz w:val="21"/>
                <w:szCs w:val="21"/>
              </w:rPr>
              <w:t>20</w:t>
            </w:r>
          </w:p>
        </w:tc>
        <w:tc>
          <w:tcPr>
            <w:tcW w:w="749" w:type="pct"/>
            <w:vAlign w:val="center"/>
          </w:tcPr>
          <w:p>
            <w:pPr>
              <w:jc w:val="center"/>
              <w:rPr>
                <w:sz w:val="21"/>
                <w:szCs w:val="21"/>
              </w:rPr>
            </w:pPr>
            <w:r>
              <w:rPr>
                <w:sz w:val="21"/>
                <w:szCs w:val="21"/>
              </w:rPr>
              <w:t>6</w:t>
            </w:r>
          </w:p>
        </w:tc>
        <w:tc>
          <w:tcPr>
            <w:tcW w:w="750" w:type="pct"/>
            <w:vAlign w:val="center"/>
          </w:tcPr>
          <w:p>
            <w:pPr>
              <w:jc w:val="center"/>
              <w:rPr>
                <w:sz w:val="21"/>
                <w:szCs w:val="21"/>
              </w:rPr>
            </w:pPr>
            <w:r>
              <w:rPr>
                <w:sz w:val="21"/>
                <w:szCs w:val="21"/>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323" w:type="pct"/>
            <w:vAlign w:val="center"/>
          </w:tcPr>
          <w:p>
            <w:pPr>
              <w:jc w:val="center"/>
              <w:rPr>
                <w:sz w:val="21"/>
                <w:szCs w:val="21"/>
              </w:rPr>
            </w:pPr>
            <w:r>
              <w:rPr>
                <w:sz w:val="21"/>
                <w:szCs w:val="21"/>
              </w:rPr>
              <w:t>2022</w:t>
            </w:r>
          </w:p>
        </w:tc>
        <w:tc>
          <w:tcPr>
            <w:tcW w:w="676" w:type="pct"/>
            <w:vAlign w:val="center"/>
          </w:tcPr>
          <w:p>
            <w:pPr>
              <w:jc w:val="center"/>
              <w:rPr>
                <w:sz w:val="21"/>
                <w:szCs w:val="21"/>
              </w:rPr>
            </w:pPr>
            <w:r>
              <w:rPr>
                <w:sz w:val="21"/>
                <w:szCs w:val="21"/>
              </w:rPr>
              <w:t>35</w:t>
            </w:r>
          </w:p>
        </w:tc>
        <w:tc>
          <w:tcPr>
            <w:tcW w:w="749" w:type="pct"/>
            <w:vAlign w:val="center"/>
          </w:tcPr>
          <w:p>
            <w:pPr>
              <w:jc w:val="center"/>
              <w:rPr>
                <w:sz w:val="21"/>
                <w:szCs w:val="21"/>
              </w:rPr>
            </w:pPr>
            <w:r>
              <w:rPr>
                <w:sz w:val="21"/>
                <w:szCs w:val="21"/>
              </w:rPr>
              <w:t>12</w:t>
            </w:r>
          </w:p>
        </w:tc>
        <w:tc>
          <w:tcPr>
            <w:tcW w:w="750" w:type="pct"/>
            <w:vAlign w:val="center"/>
          </w:tcPr>
          <w:p>
            <w:pPr>
              <w:jc w:val="center"/>
              <w:rPr>
                <w:sz w:val="21"/>
                <w:szCs w:val="21"/>
              </w:rPr>
            </w:pPr>
            <w:r>
              <w:rPr>
                <w:sz w:val="21"/>
                <w:szCs w:val="21"/>
              </w:rPr>
              <w:t>17</w:t>
            </w:r>
          </w:p>
        </w:tc>
        <w:tc>
          <w:tcPr>
            <w:tcW w:w="749" w:type="pct"/>
            <w:vAlign w:val="center"/>
          </w:tcPr>
          <w:p>
            <w:pPr>
              <w:jc w:val="center"/>
              <w:rPr>
                <w:sz w:val="21"/>
                <w:szCs w:val="21"/>
              </w:rPr>
            </w:pPr>
            <w:r>
              <w:rPr>
                <w:sz w:val="21"/>
                <w:szCs w:val="21"/>
              </w:rPr>
              <w:t>6</w:t>
            </w:r>
          </w:p>
        </w:tc>
        <w:tc>
          <w:tcPr>
            <w:tcW w:w="750" w:type="pct"/>
            <w:vAlign w:val="center"/>
          </w:tcPr>
          <w:p>
            <w:pPr>
              <w:jc w:val="center"/>
              <w:rPr>
                <w:sz w:val="21"/>
                <w:szCs w:val="21"/>
              </w:rPr>
            </w:pPr>
            <w:r>
              <w:rPr>
                <w:sz w:val="21"/>
                <w:szCs w:val="21"/>
              </w:rPr>
              <w:t>23</w:t>
            </w:r>
          </w:p>
        </w:tc>
      </w:tr>
    </w:tbl>
    <w:p>
      <w:pPr>
        <w:ind w:firstLine="480"/>
        <w:rPr>
          <w:color w:val="000000" w:themeColor="text1"/>
          <w14:textFill>
            <w14:solidFill>
              <w14:schemeClr w14:val="tx1"/>
            </w14:solidFill>
          </w14:textFill>
        </w:rPr>
      </w:pPr>
    </w:p>
    <w:p>
      <w:pPr>
        <w:pStyle w:val="6"/>
        <w:ind w:firstLine="480"/>
      </w:pPr>
      <w:r>
        <w:t>3.实习基地建设</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实践教学是网络专业学生非常重要的教学环节。网络工程人才能力培养的有效途径遵循由浅入深、单项到综合、循序渐进的客观规律，建立实验、实习、实训，简称</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三实</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的教学实践体系，通过连续的层次不同的实践训练，实现学生的实践能力渐进提高。网络工程专业为满足</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三实</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的客观要求，积极与国内相关企业单位建立实习和实训合作关系，目前建有8个稳定的实习和实训基地，可以安排学生的认识实习、生产实习和毕业实习。校外实习实训基地分别为：惠普-济宁产业基地、杰普软件科技有限公司、济南达内软件有限公司、泰安东华合创软件有限公司、山东众志电子有限公司（泰安）和山东浪潮优派科技教育有限公司，详见表3。目前，北京千峰公司等公司参与到我们学生的教学实习。</w:t>
      </w:r>
    </w:p>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表3：专业实习、实训基地统计表</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052"/>
        <w:gridCol w:w="5020"/>
        <w:gridCol w:w="1316"/>
        <w:gridCol w:w="15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1" w:hRule="atLeast"/>
          <w:tblHeader/>
          <w:jc w:val="center"/>
        </w:trPr>
        <w:tc>
          <w:tcPr>
            <w:tcW w:w="591" w:type="pct"/>
            <w:vMerge w:val="restart"/>
            <w:vAlign w:val="center"/>
          </w:tcPr>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序号</w:t>
            </w:r>
          </w:p>
        </w:tc>
        <w:tc>
          <w:tcPr>
            <w:tcW w:w="2820" w:type="pct"/>
            <w:vMerge w:val="restart"/>
            <w:vAlign w:val="center"/>
          </w:tcPr>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基地依托单位名称</w:t>
            </w:r>
          </w:p>
        </w:tc>
        <w:tc>
          <w:tcPr>
            <w:tcW w:w="1589" w:type="pct"/>
            <w:gridSpan w:val="2"/>
            <w:vAlign w:val="center"/>
          </w:tcPr>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基地类别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2" w:hRule="atLeast"/>
          <w:jc w:val="center"/>
        </w:trPr>
        <w:tc>
          <w:tcPr>
            <w:tcW w:w="591" w:type="pct"/>
            <w:vMerge w:val="continue"/>
            <w:vAlign w:val="center"/>
          </w:tcPr>
          <w:p>
            <w:pPr>
              <w:jc w:val="center"/>
              <w:rPr>
                <w:b/>
                <w:bCs/>
                <w:color w:val="000000" w:themeColor="text1"/>
                <w:sz w:val="21"/>
                <w:szCs w:val="21"/>
                <w14:textFill>
                  <w14:solidFill>
                    <w14:schemeClr w14:val="tx1"/>
                  </w14:solidFill>
                </w14:textFill>
              </w:rPr>
            </w:pPr>
          </w:p>
        </w:tc>
        <w:tc>
          <w:tcPr>
            <w:tcW w:w="2820" w:type="pct"/>
            <w:vMerge w:val="continue"/>
            <w:vAlign w:val="center"/>
          </w:tcPr>
          <w:p>
            <w:pPr>
              <w:jc w:val="center"/>
              <w:rPr>
                <w:b/>
                <w:bCs/>
                <w:color w:val="000000" w:themeColor="text1"/>
                <w:sz w:val="21"/>
                <w:szCs w:val="21"/>
                <w14:textFill>
                  <w14:solidFill>
                    <w14:schemeClr w14:val="tx1"/>
                  </w14:solidFill>
                </w14:textFill>
              </w:rPr>
            </w:pPr>
          </w:p>
        </w:tc>
        <w:tc>
          <w:tcPr>
            <w:tcW w:w="739" w:type="pct"/>
            <w:vAlign w:val="center"/>
          </w:tcPr>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校级基地</w:t>
            </w:r>
          </w:p>
        </w:tc>
        <w:tc>
          <w:tcPr>
            <w:tcW w:w="850" w:type="pct"/>
            <w:vAlign w:val="center"/>
          </w:tcPr>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院级基地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2" w:hRule="atLeast"/>
          <w:jc w:val="center"/>
        </w:trPr>
        <w:tc>
          <w:tcPr>
            <w:tcW w:w="591" w:type="pct"/>
            <w:vAlign w:val="center"/>
          </w:tcPr>
          <w:p>
            <w:pPr>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2820" w:type="pct"/>
            <w:vAlign w:val="center"/>
          </w:tcPr>
          <w:p>
            <w:pPr>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山东众志电子有限公司（泰安）(2007～)</w:t>
            </w:r>
          </w:p>
        </w:tc>
        <w:tc>
          <w:tcPr>
            <w:tcW w:w="739" w:type="pct"/>
            <w:vAlign w:val="center"/>
          </w:tcPr>
          <w:p>
            <w:pPr>
              <w:ind w:firstLine="420"/>
              <w:rPr>
                <w:color w:val="000000" w:themeColor="text1"/>
                <w:sz w:val="21"/>
                <w:szCs w:val="21"/>
                <w14:textFill>
                  <w14:solidFill>
                    <w14:schemeClr w14:val="tx1"/>
                  </w14:solidFill>
                </w14:textFill>
              </w:rPr>
            </w:pPr>
          </w:p>
        </w:tc>
        <w:tc>
          <w:tcPr>
            <w:tcW w:w="850" w:type="pct"/>
          </w:tcPr>
          <w:p>
            <w:pPr>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2" w:hRule="atLeast"/>
          <w:jc w:val="center"/>
        </w:trPr>
        <w:tc>
          <w:tcPr>
            <w:tcW w:w="591" w:type="pct"/>
            <w:vAlign w:val="center"/>
          </w:tcPr>
          <w:p>
            <w:pPr>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2820" w:type="pct"/>
            <w:vAlign w:val="center"/>
          </w:tcPr>
          <w:p>
            <w:pPr>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济南达内软件有限公司(2012～)</w:t>
            </w:r>
          </w:p>
        </w:tc>
        <w:tc>
          <w:tcPr>
            <w:tcW w:w="739" w:type="pct"/>
            <w:vAlign w:val="center"/>
          </w:tcPr>
          <w:p>
            <w:pPr>
              <w:ind w:firstLine="420"/>
              <w:rPr>
                <w:color w:val="000000" w:themeColor="text1"/>
                <w:sz w:val="21"/>
                <w:szCs w:val="21"/>
                <w14:textFill>
                  <w14:solidFill>
                    <w14:schemeClr w14:val="tx1"/>
                  </w14:solidFill>
                </w14:textFill>
              </w:rPr>
            </w:pPr>
          </w:p>
        </w:tc>
        <w:tc>
          <w:tcPr>
            <w:tcW w:w="850" w:type="pct"/>
          </w:tcPr>
          <w:p>
            <w:pPr>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2" w:hRule="atLeast"/>
          <w:jc w:val="center"/>
        </w:trPr>
        <w:tc>
          <w:tcPr>
            <w:tcW w:w="591" w:type="pct"/>
            <w:vAlign w:val="center"/>
          </w:tcPr>
          <w:p>
            <w:pPr>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2820" w:type="pct"/>
            <w:vAlign w:val="center"/>
          </w:tcPr>
          <w:p>
            <w:pPr>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泰安东华合创软件有限公司(2012～)</w:t>
            </w:r>
          </w:p>
        </w:tc>
        <w:tc>
          <w:tcPr>
            <w:tcW w:w="739" w:type="pct"/>
            <w:vAlign w:val="center"/>
          </w:tcPr>
          <w:p>
            <w:pPr>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850" w:type="pct"/>
          </w:tcPr>
          <w:p>
            <w:pPr>
              <w:ind w:firstLine="420"/>
              <w:rPr>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2" w:hRule="atLeast"/>
          <w:jc w:val="center"/>
        </w:trPr>
        <w:tc>
          <w:tcPr>
            <w:tcW w:w="591" w:type="pct"/>
            <w:vAlign w:val="center"/>
          </w:tcPr>
          <w:p>
            <w:pPr>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2820" w:type="pct"/>
            <w:vAlign w:val="center"/>
          </w:tcPr>
          <w:p>
            <w:pPr>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中国联通泰安分公司(2014～)</w:t>
            </w:r>
          </w:p>
        </w:tc>
        <w:tc>
          <w:tcPr>
            <w:tcW w:w="739" w:type="pct"/>
            <w:vAlign w:val="center"/>
          </w:tcPr>
          <w:p>
            <w:pPr>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850" w:type="pct"/>
          </w:tcPr>
          <w:p>
            <w:pPr>
              <w:ind w:firstLine="420"/>
              <w:rPr>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2" w:hRule="atLeast"/>
          <w:jc w:val="center"/>
        </w:trPr>
        <w:tc>
          <w:tcPr>
            <w:tcW w:w="591" w:type="pct"/>
            <w:vAlign w:val="center"/>
          </w:tcPr>
          <w:p>
            <w:pPr>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2820" w:type="pct"/>
            <w:vAlign w:val="center"/>
          </w:tcPr>
          <w:p>
            <w:pPr>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惠普-济宁产业基地(2015～)</w:t>
            </w:r>
          </w:p>
        </w:tc>
        <w:tc>
          <w:tcPr>
            <w:tcW w:w="739" w:type="pct"/>
            <w:vAlign w:val="center"/>
          </w:tcPr>
          <w:p>
            <w:pPr>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850" w:type="pct"/>
          </w:tcPr>
          <w:p>
            <w:pPr>
              <w:ind w:firstLine="420"/>
              <w:rPr>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2" w:hRule="atLeast"/>
          <w:jc w:val="center"/>
        </w:trPr>
        <w:tc>
          <w:tcPr>
            <w:tcW w:w="591" w:type="pct"/>
            <w:vAlign w:val="center"/>
          </w:tcPr>
          <w:p>
            <w:pPr>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w:t>
            </w:r>
          </w:p>
        </w:tc>
        <w:tc>
          <w:tcPr>
            <w:tcW w:w="2820" w:type="pct"/>
            <w:vAlign w:val="center"/>
          </w:tcPr>
          <w:p>
            <w:pPr>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北京中软国际教育科技有限公司(2015～)</w:t>
            </w:r>
          </w:p>
        </w:tc>
        <w:tc>
          <w:tcPr>
            <w:tcW w:w="739" w:type="pct"/>
            <w:vAlign w:val="center"/>
          </w:tcPr>
          <w:p>
            <w:pPr>
              <w:ind w:firstLine="420"/>
              <w:rPr>
                <w:color w:val="000000" w:themeColor="text1"/>
                <w:sz w:val="21"/>
                <w:szCs w:val="21"/>
                <w14:textFill>
                  <w14:solidFill>
                    <w14:schemeClr w14:val="tx1"/>
                  </w14:solidFill>
                </w14:textFill>
              </w:rPr>
            </w:pPr>
          </w:p>
        </w:tc>
        <w:tc>
          <w:tcPr>
            <w:tcW w:w="850" w:type="pct"/>
          </w:tcPr>
          <w:p>
            <w:pPr>
              <w:ind w:firstLine="42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bl>
    <w:p>
      <w:pPr>
        <w:ind w:firstLine="480"/>
        <w:rPr>
          <w:color w:val="000000" w:themeColor="text1"/>
          <w14:textFill>
            <w14:solidFill>
              <w14:schemeClr w14:val="tx1"/>
            </w14:solidFill>
          </w14:textFill>
        </w:rPr>
      </w:pPr>
    </w:p>
    <w:p>
      <w:pPr>
        <w:pStyle w:val="6"/>
        <w:ind w:firstLine="480"/>
      </w:pPr>
      <w:r>
        <w:t>4.现代教学技术应用</w:t>
      </w:r>
    </w:p>
    <w:p>
      <w:pPr>
        <w:spacing w:line="390" w:lineRule="exact"/>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网络工程专业在教学过程中，非常注重和利用现代多媒体教学技术和网络技术，教学过程充分积极利用现代多媒体技术和网络技术，增强教学过程的动态感，丰富学生视野和工程教学环境，提高教学效率。设计与建设了网络工程专业网站。网站内容包括信息发布、专业介绍、师资队伍、主修课程、考研就业、师生风采和教学资源等栏目，为社会了解我校网络工程专业提供了良好平台，为学生学习、考研和就业提供帮助。同时网络工程核心专业课程《计算机网络》、《信息安全基础》等建立网上教学体系，通过网络课程资源和微课模式辅助学生学习。</w:t>
      </w:r>
    </w:p>
    <w:p>
      <w:pPr>
        <w:pStyle w:val="5"/>
        <w:spacing w:before="93" w:after="93"/>
        <w:ind w:firstLine="560"/>
      </w:pPr>
      <w:r>
        <w:t>四、培养机制与特色</w:t>
      </w:r>
    </w:p>
    <w:p>
      <w:pPr>
        <w:pStyle w:val="6"/>
        <w:ind w:firstLine="480"/>
      </w:pPr>
      <w:r>
        <w:t>1.产学研协同育人机制</w:t>
      </w:r>
    </w:p>
    <w:p>
      <w:pPr>
        <w:spacing w:line="390" w:lineRule="exact"/>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根据专业培养目标，充分关注行业、企业需求，密切校企合作，建立了</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校内+校外</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校企联合</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的创新与实践教学模式。</w:t>
      </w:r>
    </w:p>
    <w:p>
      <w:pPr>
        <w:spacing w:line="390" w:lineRule="exact"/>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1）有效利用校内资源，强化学校校内实践活动。网络工程专业依托我校计算机实验中心，积极开展校级实践活动，在这个过程中，引入具有丰富实践经验的教师承担操作实习、毕业设计等实践教学任务，还可以引导学生参与勤工俭学，承担一定的网络维护开发等活动，有意识地引导学生参与专业实验室、实验室网络的建设维护工作，提高学生的专业认知和动手能力。通过上述方式，使学生学以致用，既深化了对专业理论的理解，也提高了学生的工程实践能力，突出了网络工程专业的工程特点。</w:t>
      </w:r>
    </w:p>
    <w:p>
      <w:pPr>
        <w:spacing w:line="390" w:lineRule="exact"/>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（2）扩大校企合作。根据行业、企业需求，结合学校实际，与实习单位合作建立</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企业岗位定制</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教学，通过对当前热门就业岗位技能的实际培训是填补校企之间的需求鸿沟；加强校企教师的双向培训机制，与企业在学生和师资培养等方面建立长期稳定的合作关系。</w:t>
      </w:r>
    </w:p>
    <w:p>
      <w:pPr>
        <w:spacing w:line="390" w:lineRule="exact"/>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（3）支持学生参与创新科学研究，推行产学研联合培养的</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导师制</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。从大学一年级入学开始，即进行专业介绍和行业发展规划，逐步引导和培养学生的专业兴趣和方向，鼓励本科学生参与科技创新实践活动，建立</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导师制</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师生共研研究室。教师带领本科生积极开展科研创新实践活动，建立了课内与课外相结合的创新与实践教学模式。目前，网络工程专业学生已积极参与到老师的科研项目中，并参加了多项国家级大学生创新与创业项目，科研实践能力大幅提升。</w:t>
      </w:r>
    </w:p>
    <w:p>
      <w:pPr>
        <w:spacing w:line="390" w:lineRule="exact"/>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4）积极开展专业竞赛，以赛促学。引导学生积极参加各种专业竞赛，以优秀获奖学生为榜样，带动更多的学生积极向上、锐意进取。同时，鼓励学生考取思科认证网络工程师（CCNA）、思科认证网络高级工程师（CCNP）等行业国际资格认证，极大地调动了学生的积极性和学习热情，也增强了学生的就业竞争力。</w:t>
      </w:r>
    </w:p>
    <w:p>
      <w:pPr>
        <w:pStyle w:val="6"/>
        <w:ind w:firstLine="480"/>
      </w:pPr>
      <w:r>
        <w:t>2.合作办学</w:t>
      </w:r>
    </w:p>
    <w:p>
      <w:pPr>
        <w:spacing w:line="390" w:lineRule="exact"/>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为进一步促进校企合作培养学生力度，建立实验、实习、实训</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三实型</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实践教学体系。在落实三实过程中积极寻求和企业合作，在实验环节，邀请和引入具有丰富实践经验的企业导师教学，将网络工程专业的教学实践融入实际的生产环境中，调动学生实践积极性，提高学生能力。在实习和实训环节积极寻求企业合作建立校外实习基地，通过集中时间培训的方式，来提高学生实践能力。</w:t>
      </w:r>
    </w:p>
    <w:p>
      <w:pPr>
        <w:pStyle w:val="6"/>
        <w:ind w:firstLine="480"/>
      </w:pPr>
      <w:r>
        <w:t>3.教学管理</w:t>
      </w:r>
    </w:p>
    <w:p>
      <w:pPr>
        <w:spacing w:line="390" w:lineRule="exact"/>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成立了由系主任、专业主任、分管教学和学生工作的院长、书记及教学秘书组成的教学管理委员会和知名教师组成专业建设指导委员会。教学管理人员熟悉高等教育规律和有关法规文件。</w:t>
      </w:r>
    </w:p>
    <w:p>
      <w:pPr>
        <w:spacing w:line="390" w:lineRule="exact"/>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教学计划决定着人才培养目标和教学内容总的方向及总的结构，其包括：专业培养目标、学制、学习形式、课程设置、开设方式（性质）、学时分配、教学进度、教学环节、学分计算，毕业要求等方面的内容。本专业教学秩序正常运行。我们严格执行了教学计划和管理制度。完整保存各类教学文件及档案。如：教学日历、学生成绩分析、专业人才培养方案和与之配套的专业课程教学大纲等。教师能精心备课，认真编写教案，按时上下课，没有特出情况，没有调停课现象。</w:t>
      </w:r>
    </w:p>
    <w:p>
      <w:pPr>
        <w:pStyle w:val="5"/>
        <w:spacing w:before="93" w:after="93"/>
        <w:ind w:firstLine="560"/>
      </w:pPr>
      <w:r>
        <w:t>五、培养质量</w:t>
      </w:r>
    </w:p>
    <w:p>
      <w:pPr>
        <w:pStyle w:val="6"/>
        <w:ind w:firstLine="480"/>
      </w:pPr>
      <w:r>
        <w:t>1.应届毕业生考研就业情况</w:t>
      </w:r>
    </w:p>
    <w:p>
      <w:pPr>
        <w:spacing w:line="390" w:lineRule="exact"/>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2022届毕业学生的就业单位包括国家机关、各个大中型企事业单位的信息技术部门、教育部门等，从事软件开发、网络运行维护以及安全管理、教学、科研等工作，专业对口率达90%，就业情况统计如表4所示。具体分布如下：毕业生就业55人，就业率为74.55%，其中考研学生考入学校包括北京邮电大学、暨南大学、东南大学、中国海洋大学（华东）、山东农业大学等国内著名大学。</w:t>
      </w:r>
    </w:p>
    <w:p>
      <w:pP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br w:type="page"/>
      </w:r>
    </w:p>
    <w:p>
      <w:pPr>
        <w:ind w:firstLine="422"/>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表4：网络工程专业统计就业情况统计表</w:t>
      </w:r>
    </w:p>
    <w:tbl>
      <w:tblPr>
        <w:tblStyle w:val="17"/>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5" w:type="dxa"/>
          <w:bottom w:w="0" w:type="dxa"/>
          <w:right w:w="15" w:type="dxa"/>
        </w:tblCellMar>
      </w:tblPr>
      <w:tblGrid>
        <w:gridCol w:w="1125"/>
        <w:gridCol w:w="1110"/>
        <w:gridCol w:w="1110"/>
        <w:gridCol w:w="1110"/>
        <w:gridCol w:w="156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5" w:type="dxa"/>
            <w:bottom w:w="0" w:type="dxa"/>
            <w:right w:w="15" w:type="dxa"/>
          </w:tblCellMar>
        </w:tblPrEx>
        <w:trPr>
          <w:trHeight w:val="510" w:hRule="atLeast"/>
          <w:jc w:val="center"/>
        </w:trPr>
        <w:tc>
          <w:tcPr>
            <w:tcW w:w="1125" w:type="dxa"/>
            <w:tcBorders>
              <w:tl2br w:val="nil"/>
              <w:tr2bl w:val="nil"/>
            </w:tcBorders>
            <w:vAlign w:val="center"/>
          </w:tcPr>
          <w:p>
            <w:pPr>
              <w:ind w:firstLine="422"/>
              <w:jc w:val="center"/>
              <w:rPr>
                <w:b/>
                <w:bCs/>
                <w:color w:val="000000" w:themeColor="text1"/>
                <w:sz w:val="21"/>
                <w:szCs w:val="21"/>
                <w14:textFill>
                  <w14:solidFill>
                    <w14:schemeClr w14:val="tx1"/>
                  </w14:solidFill>
                </w14:textFill>
              </w:rPr>
            </w:pPr>
          </w:p>
        </w:tc>
        <w:tc>
          <w:tcPr>
            <w:tcW w:w="1110" w:type="dxa"/>
            <w:tcBorders>
              <w:tl2br w:val="nil"/>
              <w:tr2bl w:val="nil"/>
            </w:tcBorders>
            <w:vAlign w:val="center"/>
          </w:tcPr>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毕业人数</w:t>
            </w:r>
          </w:p>
        </w:tc>
        <w:tc>
          <w:tcPr>
            <w:tcW w:w="1110" w:type="dxa"/>
            <w:tcBorders>
              <w:tl2br w:val="nil"/>
              <w:tr2bl w:val="nil"/>
            </w:tcBorders>
            <w:vAlign w:val="center"/>
          </w:tcPr>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读研人数</w:t>
            </w:r>
          </w:p>
        </w:tc>
        <w:tc>
          <w:tcPr>
            <w:tcW w:w="1110" w:type="dxa"/>
            <w:tcBorders>
              <w:tl2br w:val="nil"/>
              <w:tr2bl w:val="nil"/>
            </w:tcBorders>
            <w:vAlign w:val="center"/>
          </w:tcPr>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就业率</w:t>
            </w:r>
          </w:p>
        </w:tc>
        <w:tc>
          <w:tcPr>
            <w:tcW w:w="1560" w:type="dxa"/>
            <w:tcBorders>
              <w:tl2br w:val="nil"/>
              <w:tr2bl w:val="nil"/>
            </w:tcBorders>
            <w:vAlign w:val="center"/>
          </w:tcPr>
          <w:p>
            <w:pPr>
              <w:ind w:firstLine="422"/>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考研率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5" w:type="dxa"/>
            <w:bottom w:w="0" w:type="dxa"/>
            <w:right w:w="15" w:type="dxa"/>
          </w:tblCellMar>
        </w:tblPrEx>
        <w:trPr>
          <w:trHeight w:val="285" w:hRule="atLeast"/>
          <w:jc w:val="center"/>
        </w:trPr>
        <w:tc>
          <w:tcPr>
            <w:tcW w:w="1125" w:type="dxa"/>
            <w:tcBorders>
              <w:tl2br w:val="nil"/>
              <w:tr2bl w:val="nil"/>
            </w:tcBorders>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2022届</w:t>
            </w:r>
          </w:p>
        </w:tc>
        <w:tc>
          <w:tcPr>
            <w:tcW w:w="1110" w:type="dxa"/>
            <w:tcBorders>
              <w:tl2br w:val="nil"/>
              <w:tr2bl w:val="nil"/>
            </w:tcBorders>
            <w:vAlign w:val="center"/>
          </w:tcPr>
          <w:p>
            <w:pPr>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55</w:t>
            </w:r>
          </w:p>
        </w:tc>
        <w:tc>
          <w:tcPr>
            <w:tcW w:w="1110" w:type="dxa"/>
            <w:tcBorders>
              <w:tl2br w:val="nil"/>
              <w:tr2bl w:val="nil"/>
            </w:tcBorders>
            <w:vAlign w:val="center"/>
          </w:tcPr>
          <w:p>
            <w:pPr>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w:t>
            </w:r>
          </w:p>
        </w:tc>
        <w:tc>
          <w:tcPr>
            <w:tcW w:w="1110" w:type="dxa"/>
            <w:tcBorders>
              <w:tl2br w:val="nil"/>
              <w:tr2bl w:val="nil"/>
            </w:tcBorders>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69.84%</w:t>
            </w:r>
          </w:p>
        </w:tc>
        <w:tc>
          <w:tcPr>
            <w:tcW w:w="1560" w:type="dxa"/>
            <w:tcBorders>
              <w:tl2br w:val="nil"/>
              <w:tr2bl w:val="nil"/>
            </w:tcBorders>
            <w:vAlign w:val="center"/>
          </w:tcPr>
          <w:p>
            <w:pPr>
              <w:ind w:firstLine="42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21.82%</w:t>
            </w:r>
          </w:p>
        </w:tc>
      </w:tr>
    </w:tbl>
    <w:p>
      <w:pPr>
        <w:pStyle w:val="6"/>
        <w:ind w:firstLine="480"/>
      </w:pPr>
      <w:r>
        <w:t>2.社会对网络工程专业的评价</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我校自2006开设网络工程专业，迄今已毕业16届。通过对本专业毕业生就业情况的跟踪统计可知，目前网络工程专业学生的就业方向主要有四个领域：传统互联网系统设计及应用、Web 软件设计与开发、嵌入式系统应用和移动互联网软件开发。随着物联网、移动互联网技术的兴起和蓬勃发展，近几年嵌入式系统应用和移动互联网应用领域的就业比例逐年上升，已渐有超过传统互联网应用这一传统就业主体的趋势。根据这种现状，网络工程专业积极改革人才培养模式，修改人才培养方案，构建了一套以学生就业为导向，分别构建了面向能力培养的实践教学体系和面向应用型人才培养的教学体系。在教学内容上，将网络工程的课程体系分为网络工程与设计、网络应用与开发、网络安全与管理、网络分析与测试、集中实践教学等五大课程群，并以相应课程群为基础设置相关课程，按照</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基本技能→初步综合技能→高级综合技能→创新技能</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梯度模式设计实践教学环节，效果显著。2022届毕业生就业单位满意情况：通过走访就业单位，就业单位对本毕业生的满意率达到100%，基本评价是：理论基础扎实，动手能力强，综合素质高，工作踏实，具有团队精神。总体来看，由于本专业办学历史相对较短，毕业生工作年限较短，社会各界对本专业历年培养情况的总体评价尚不明确，但也有个别例子可以在一定程度上说明本专业学生的培养质量。</w:t>
      </w:r>
    </w:p>
    <w:p>
      <w:pPr>
        <w:pStyle w:val="6"/>
        <w:ind w:firstLine="480"/>
      </w:pPr>
      <w:r>
        <w:t>3.学生就读本专业的意愿</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近年来物联网和移动互联网技术的蓬勃发展为传统网络工程专业建设带来了新的机遇，目前社会对于网络工程专业的人才需求持续增长，根据国内资料显示，每年全国各类企业对网络工程师的人才需求缺口有至少60万之众，市场的需求为网络工程专业带来新的发展契机。</w:t>
      </w:r>
    </w:p>
    <w:p>
      <w:pPr>
        <w:pStyle w:val="5"/>
        <w:spacing w:before="93" w:after="93"/>
        <w:ind w:firstLine="560"/>
      </w:pPr>
      <w:r>
        <w:t>六、毕业生就业创业</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网络工程重视</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施展个性、分类培养</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的人才培养模式，不仅培养知识型、应用型人才，更加重视有一技之长的学生培养，通过培训学生的创新创业能力，使学生更加符合社会的实际需求。对于国家提供的越来越好的创业环境，学生创业激情空前高涨，我们在创业指导方面一方面加强引导教育，另一方面加强学生的创新创业能力的培养，通过实行</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导师制</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和鼓励学生参加各类创新实践项目以及学科竞赛来提高自身的创新创业能力。</w:t>
      </w:r>
    </w:p>
    <w:p>
      <w:pPr>
        <w:pStyle w:val="5"/>
        <w:spacing w:before="93" w:after="93"/>
        <w:ind w:firstLine="560"/>
      </w:pPr>
      <w:r>
        <w:t>七、专业发展趋势及建议</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随着互联网+战略的实施，以及无线通信技术、云计算、大数据、智能手持设备等一系列新技术普及和发展，网络应用开发、网络运营维护、网络安全管理、网络设计施工、新型网络设备研发等行业对本专业人才的需求将进一步扩大，因此社会本专业毕业生的需求仍将呈不断增长的趋势，毕业生的就业前景广阔。</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从近两年学生招生数量来看，学生对于网络工程专业的报考率大幅提升，对专业的就业前景充满信息，学生就业率优异。但是从专业的相关软硬件配置来看，当前的配置已逐渐无法适应快速发展的专业建设需求，为了培养出符合社会需求的本专业人才，需要加大对本专业师资的培养和引进力度和对本专业实验室建设的资金支持。</w:t>
      </w:r>
    </w:p>
    <w:p>
      <w:pPr>
        <w:pStyle w:val="5"/>
        <w:spacing w:before="93" w:after="93"/>
        <w:ind w:firstLine="560"/>
      </w:pPr>
      <w:r>
        <w:t>八、存在的问题及拟采取的对策措施</w:t>
      </w:r>
    </w:p>
    <w:p>
      <w:pPr>
        <w:ind w:firstLine="480"/>
        <w:rPr>
          <w:color w:val="000000" w:themeColor="text1"/>
          <w:szCs w:val="24"/>
          <w14:textFill>
            <w14:solidFill>
              <w14:schemeClr w14:val="tx1"/>
            </w14:solidFill>
          </w14:textFill>
        </w:rPr>
      </w:pPr>
      <w:r>
        <w:rPr>
          <w:color w:val="000000" w:themeColor="text1"/>
          <w:szCs w:val="24"/>
          <w14:textFill>
            <w14:solidFill>
              <w14:schemeClr w14:val="tx1"/>
            </w14:solidFill>
          </w14:textFill>
        </w:rPr>
        <w:t>1.教师队伍建设方面：目前网络工程所属计算机系，从整体上来说不但要承担全校的公共课程，还要承担四个专业的专业课程，存在教学任务繁重，师资力量资源紧张的问题。从网络工程师资来看，师资力量相对较为薄弱，需从以下几方面进行加强：一是加强师资队伍引进，从近几年由于计算机和网络整体行业人才需求旺盛，就业形势较好，我校师资引进总体上说并不具有优势条件，存在师资引进困难的问题，系和专业采取了一些毕业的措施来提高师资引进，如加大宣传力度，把全国高校进行分类并包干到户，发动每位老师的积极性，把师资引进政策宣传出去，同时积极</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走出去</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通过与目标院校的毕业生推荐来引进师资队伍；二是加强青年教师培养，通过青年教师的再教育和再培训提高教师质量，政策上鼓励青年教师参加国内或国际的访问学者计划，增加青年教师参加国际学术会议的机会，同时每年邀请国内外同行专业来我校进行专业学术交流，持续提高青年教师专业素质和能力。</w:t>
      </w:r>
    </w:p>
    <w:p>
      <w:pPr>
        <w:ind w:firstLine="480"/>
        <w:rPr>
          <w:rFonts w:eastAsia="黑体"/>
          <w:sz w:val="36"/>
          <w:szCs w:val="36"/>
          <w:lang w:val="zh-CN" w:bidi="zh-CN"/>
        </w:rPr>
      </w:pPr>
      <w:r>
        <w:rPr>
          <w:color w:val="000000" w:themeColor="text1"/>
          <w:szCs w:val="24"/>
          <w14:textFill>
            <w14:solidFill>
              <w14:schemeClr w14:val="tx1"/>
            </w14:solidFill>
          </w14:textFill>
        </w:rPr>
        <w:t>2.专业建设方面：从当前网络工程专业建设来看，需进一步强化专业特色建设，应用型、复合型人才为目标，强化专业特色，结合我校优强势学科，进一步深挖凝练专业特色。根据专业特色，强化实验室建设，立足建设需求，再增加1-2个教学实验室，增加更新实验设备，探索适应新技术发展的面向物联网、移动互联网的网络工程实用型人才培养的新道路。进一步寻求校企合作机会，丰富学生实践环境和方式。加强校企教师的双向培训机制，与企业在学生和师资培养等方面建立长期稳定的合作关系。</w:t>
      </w:r>
      <w:bookmarkStart w:id="761" w:name="_Toc10979"/>
      <w:bookmarkStart w:id="762" w:name="_Toc4554"/>
      <w:bookmarkStart w:id="763" w:name="_Toc5289"/>
      <w:r>
        <w:rPr>
          <w:rFonts w:eastAsia="黑体"/>
          <w:sz w:val="36"/>
          <w:szCs w:val="36"/>
          <w:lang w:val="zh-CN" w:bidi="zh-CN"/>
        </w:rPr>
        <w:br w:type="page"/>
      </w:r>
    </w:p>
    <w:p>
      <w:pPr>
        <w:pStyle w:val="4"/>
        <w:ind w:firstLine="600"/>
      </w:pPr>
      <w:bookmarkStart w:id="764" w:name="_Toc4813"/>
      <w:r>
        <w:t>专业</w:t>
      </w:r>
      <w:r>
        <w:rPr>
          <w:rFonts w:hint="eastAsia"/>
          <w:lang w:val="en-US"/>
        </w:rPr>
        <w:t>七</w:t>
      </w:r>
      <w:r>
        <w:t>十</w:t>
      </w:r>
      <w:r>
        <w:rPr>
          <w:rFonts w:hint="eastAsia"/>
          <w:lang w:val="en-US"/>
        </w:rPr>
        <w:t>二</w:t>
      </w:r>
      <w:r>
        <w:t>：物联网工程</w:t>
      </w:r>
      <w:bookmarkEnd w:id="761"/>
      <w:bookmarkEnd w:id="762"/>
      <w:bookmarkEnd w:id="763"/>
      <w:bookmarkEnd w:id="764"/>
    </w:p>
    <w:p>
      <w:pPr>
        <w:ind w:firstLine="480" w:firstLineChars="200"/>
      </w:pPr>
      <w:r>
        <w:t>物联网工程专业是一个多学科融合延伸、高度集成的专业，涉及计算机科学与技术、电子信息、通信工程、人工智能、控制科学与工程等多个学科。作为一项战略性新兴产业，物联网的繁荣发展需要大量精通物联网信息技术的人才生力军。学院设有7个系、12个本科专业、3个一级学科硕士学位授权，相关人才储备较好。依托山东农业大学信息科学与工程学院，专业具备了培养本科生和硕士生的基础和实力。学院设有电子信息科学与技术、计算机科学与技术、数据科学与大数据技术、人工智能、数学与应用数学、通信工程、网络工程、信息与计算科学、遥感科学与技术等本科专业，其中物联网工程、计算机科学与技术、测绘工程为省级一流专业，为物联网专业的建设与发展提供了坚实的基础。山东省是农业大省，目前农村劳动力严重短缺，亟需发展智慧农业，依托学校农业特色优势，加强农业物联网工程专业人才的培养，实现物联网技术和农业的高度融合，</w:t>
      </w:r>
      <w:r>
        <w:rPr>
          <w:rFonts w:hint="eastAsia"/>
        </w:rPr>
        <w:t>“</w:t>
      </w:r>
      <w:r>
        <w:t>为山东省农业经济发展服务</w:t>
      </w:r>
      <w:r>
        <w:rPr>
          <w:rFonts w:hint="eastAsia"/>
        </w:rPr>
        <w:t>”</w:t>
      </w:r>
      <w:r>
        <w:t>是物联网工程专业人才培养义不容辞的责任。</w:t>
      </w:r>
    </w:p>
    <w:p>
      <w:pPr>
        <w:pStyle w:val="5"/>
        <w:spacing w:before="93" w:after="93"/>
        <w:ind w:firstLine="560"/>
      </w:pPr>
      <w:r>
        <w:t>一、培养目标与规格</w:t>
      </w:r>
    </w:p>
    <w:p>
      <w:pPr>
        <w:pStyle w:val="6"/>
        <w:ind w:firstLine="480"/>
      </w:pPr>
      <w:r>
        <w:t>1. 培养目标</w:t>
      </w:r>
    </w:p>
    <w:p>
      <w:pPr>
        <w:ind w:firstLine="480" w:firstLineChars="200"/>
      </w:pPr>
      <w:r>
        <w:t>本专业以立德树人为根本，以国家数字乡村建设、新旧动能转换对人才培养质量需求为导向，以</w:t>
      </w:r>
      <w:r>
        <w:rPr>
          <w:rFonts w:hint="eastAsia"/>
        </w:rPr>
        <w:t>“</w:t>
      </w:r>
      <w:r>
        <w:t>新工科</w:t>
      </w:r>
      <w:r>
        <w:rPr>
          <w:rFonts w:hint="eastAsia"/>
        </w:rPr>
        <w:t>”</w:t>
      </w:r>
      <w:r>
        <w:t>、</w:t>
      </w:r>
      <w:r>
        <w:rPr>
          <w:rFonts w:hint="eastAsia"/>
        </w:rPr>
        <w:t>“</w:t>
      </w:r>
      <w:r>
        <w:t>新农科</w:t>
      </w:r>
      <w:r>
        <w:rPr>
          <w:rFonts w:hint="eastAsia"/>
        </w:rPr>
        <w:t>”</w:t>
      </w:r>
      <w:r>
        <w:t>建设为切入点，面向国家战略新兴产业需求，聚焦区域现代农业发展需要，为国家和地方经济发展培养具有国际视野且能够系统地掌握物联网相关理论、方法和技能，具备物联网透彻感知、可靠传输安全组网及信息智能处理等信息领域宽广的专业知识的高素质创新应用型人才。</w:t>
      </w:r>
    </w:p>
    <w:p>
      <w:pPr>
        <w:ind w:firstLine="480" w:firstLineChars="200"/>
      </w:pPr>
      <w:r>
        <w:t>通过探索政、产、学、研、用紧密结合的开放式合作机制，依托各级教学、科研等服务平台，根据社会需求量身定制，提高学生创新创业能力。学生主要就业于物联网相关的企业、行业，从事物联网的通信架构、网络协议和标准、无线传感器等系统的科学研究、工程设计、产品研发、技术管理与设备维护等。</w:t>
      </w:r>
    </w:p>
    <w:p>
      <w:pPr>
        <w:ind w:firstLine="480" w:firstLineChars="200"/>
      </w:pPr>
      <w:r>
        <w:t>本专业学生毕业后要求具备以下能力：</w:t>
      </w:r>
    </w:p>
    <w:p>
      <w:pPr>
        <w:ind w:firstLine="480" w:firstLineChars="200"/>
      </w:pPr>
      <w:r>
        <w:t xml:space="preserve">（1）具有良好的身心素养（包括身体素质、心理素质）、职业道德、创新精神、应对危机和突发事件的初步能力、较强的社会责任感和较好的人文素养； </w:t>
      </w:r>
    </w:p>
    <w:p>
      <w:pPr>
        <w:ind w:firstLine="480" w:firstLineChars="200"/>
      </w:pPr>
      <w:r>
        <w:t>（2）具备正确认识问题、分析问题和解决问题的能力；培养学生精益求精的大国工匠精神，激发学生科技报国的家国情怀和使命担当。</w:t>
      </w:r>
    </w:p>
    <w:p>
      <w:pPr>
        <w:ind w:firstLine="480" w:firstLineChars="200"/>
      </w:pPr>
      <w:r>
        <w:t>（3）具有较好的专业素养，热爱物联网专业，对物联网学科的性质和发展具有正确的认知和责任感，初步形成正确的专业价值观和科研工程献身精神。</w:t>
      </w:r>
    </w:p>
    <w:p>
      <w:pPr>
        <w:ind w:firstLine="480" w:firstLineChars="200"/>
      </w:pPr>
      <w:r>
        <w:t>（4）掌握较扎实的数学、电子和计算机等自然科学基础知识，具有较好的人文社会科学和管理科学能力，具有外语运用能力；</w:t>
      </w:r>
    </w:p>
    <w:p>
      <w:pPr>
        <w:ind w:firstLine="480" w:firstLineChars="200"/>
      </w:pPr>
      <w:r>
        <w:t xml:space="preserve">（5）系统地掌握物联网工程专业的基础理论和基础知识，主要包括单片机原理与接口技术、数据结构、信息处理、控制理论、微处理器软硬件基本原理与应用等； </w:t>
      </w:r>
    </w:p>
    <w:p>
      <w:pPr>
        <w:ind w:firstLine="480" w:firstLineChars="200"/>
      </w:pPr>
      <w:r>
        <w:t xml:space="preserve">（6）掌握物联网工程相关的系统分析方法、设计方法和实验技术，具有分析、提出方案并解决工程实际问题的能力，能够参与生产及运作系统的设计，并具有运行和维护能力； </w:t>
      </w:r>
    </w:p>
    <w:p>
      <w:pPr>
        <w:ind w:firstLine="480" w:firstLineChars="200"/>
      </w:pPr>
      <w:r>
        <w:t xml:space="preserve">（7）具有较强的创新意识和进行产品开发和设计、技术改造与创新的初步能力，获得较好的工程实践训练，具有较熟练的计算机应用能力； </w:t>
      </w:r>
    </w:p>
    <w:p>
      <w:pPr>
        <w:spacing w:line="390" w:lineRule="exact"/>
        <w:ind w:firstLine="480" w:firstLineChars="200"/>
      </w:pPr>
      <w:r>
        <w:t xml:space="preserve">（8）具有本专业领域内1-2个专业方向的知识与技能，了解本专业学科前沿的发展趋势，了解本专业领域技术标准，相关行业的政策、法律和法规，具有信息获取和职业发展学习能力； </w:t>
      </w:r>
    </w:p>
    <w:p>
      <w:pPr>
        <w:spacing w:line="390" w:lineRule="exact"/>
        <w:ind w:firstLine="480" w:firstLineChars="200"/>
      </w:pPr>
      <w:r>
        <w:t>（9）具有国际视野和跨文化的交流、竞争与合作能力，能够从事国际物联网项目的管理与实施。</w:t>
      </w:r>
    </w:p>
    <w:p>
      <w:pPr>
        <w:spacing w:line="390" w:lineRule="exact"/>
        <w:ind w:firstLine="480" w:firstLineChars="200"/>
        <w:outlineLvl w:val="2"/>
        <w:rPr>
          <w:rFonts w:eastAsia="黑体"/>
          <w:kern w:val="0"/>
          <w:szCs w:val="20"/>
        </w:rPr>
      </w:pPr>
      <w:r>
        <w:rPr>
          <w:rFonts w:eastAsia="黑体"/>
          <w:kern w:val="0"/>
          <w:szCs w:val="20"/>
        </w:rPr>
        <w:t>2.培养规格</w:t>
      </w:r>
    </w:p>
    <w:p>
      <w:pPr>
        <w:spacing w:line="390" w:lineRule="exact"/>
        <w:ind w:firstLine="480" w:firstLineChars="200"/>
      </w:pPr>
      <w:r>
        <w:t>本专业是一门涉及计算机、通信、电子、控制等多领域的交叉学科。学生通过系统学习物联网工程相关的基本理论、基本方法和基本技能，在知识、能力和素质等方面应达到如下具体要求：</w:t>
      </w:r>
    </w:p>
    <w:p>
      <w:pPr>
        <w:spacing w:line="390" w:lineRule="exact"/>
        <w:ind w:firstLine="480" w:firstLineChars="200"/>
      </w:pPr>
      <w:r>
        <w:t>（1）基本理论：掌握从事物联网工程相关工作所需要的数学、物理和概率统计等基础科学知识、单片机原理、通信工程和数据分析等专业知识和从感知到应用的系统工程基础知识。</w:t>
      </w:r>
    </w:p>
    <w:p>
      <w:pPr>
        <w:spacing w:line="390" w:lineRule="exact"/>
        <w:ind w:firstLine="480" w:firstLineChars="200"/>
      </w:pPr>
      <w:r>
        <w:t>（2）基本技能：能找到系统运行异常所在，并运用所学知识加以解决，需要掌握系统软硬件设计及开发、焊接等，实现感知层、传输层和应用层的无缝衔接。</w:t>
      </w:r>
    </w:p>
    <w:p>
      <w:pPr>
        <w:spacing w:line="390" w:lineRule="exact"/>
        <w:ind w:firstLine="480" w:firstLineChars="200"/>
      </w:pPr>
      <w:r>
        <w:t>（3）问题研究：能够基于科学原理并采用科学方法对复杂物联网工程问题进行研究，包括设计实验、分析与解释数据、并通过信息综合得到合理有效的结论。</w:t>
      </w:r>
    </w:p>
    <w:p>
      <w:pPr>
        <w:spacing w:line="390" w:lineRule="exact"/>
        <w:ind w:firstLine="480" w:firstLineChars="200"/>
      </w:pPr>
      <w:r>
        <w:t>（4）问题分析：能够通过文献查阅，需求分析和可行性分析，综合运用所学基本理论知识和基本实践技能，分析研究复杂物联网工程面临的实际问题，以获得有效结论。</w:t>
      </w:r>
    </w:p>
    <w:p>
      <w:pPr>
        <w:spacing w:line="390" w:lineRule="exact"/>
        <w:ind w:firstLine="480" w:firstLineChars="200"/>
      </w:pPr>
      <w:r>
        <w:t>（5）设计/开发：能够研发物联网工程项目，包括满足特定需求的系统设计、部件选择、工程实施流程或方案设计，并能够在设计环节中体现创新意识，考虑社会、健康、安全、法律、文化以及环境等因素。</w:t>
      </w:r>
    </w:p>
    <w:p>
      <w:pPr>
        <w:ind w:firstLine="480" w:firstLineChars="200"/>
      </w:pPr>
      <w:r>
        <w:t>（6）现代工具：能够应用物联网工程专业知识，针对复杂物联网工程问题，开发、选择与使用恰当的技术、资源、现代工程工具和信息技术工具，包括对复杂工程问题的预侧与模拟，并能够理解其局限性。</w:t>
      </w:r>
    </w:p>
    <w:p>
      <w:pPr>
        <w:ind w:firstLine="480" w:firstLineChars="200"/>
      </w:pPr>
      <w:r>
        <w:t>（7）合理评价：能够基于计算机相关背景知识进行合理分析，评价物联网工程实践和复杂工程问题解决方案对社会、健康、安全、法律以及文化的影响，并理解应承担的责任。</w:t>
      </w:r>
    </w:p>
    <w:p>
      <w:pPr>
        <w:ind w:firstLine="480" w:firstLineChars="200"/>
      </w:pPr>
      <w:r>
        <w:t>（8）持续发展：能够理解和评价针对复杂物联网工程问题的工程实践对环境、社会可持续发展的影响。</w:t>
      </w:r>
    </w:p>
    <w:p>
      <w:pPr>
        <w:ind w:firstLine="480" w:firstLineChars="200"/>
      </w:pPr>
      <w:r>
        <w:t>（9）职业规范：具有人文社会科学素养、健康的体魄和社会责任感，能够在物联网工程实践中理解并遵守工程职业道德和规范，履行工程责任。</w:t>
      </w:r>
    </w:p>
    <w:p>
      <w:pPr>
        <w:ind w:firstLine="480" w:firstLineChars="200"/>
      </w:pPr>
      <w:r>
        <w:t>（10）协作精神：具备独立工作能力和团结合作意识，能够在多学科背景下的团队中承担个体、团队成员以及负责人的角色。</w:t>
      </w:r>
    </w:p>
    <w:p>
      <w:pPr>
        <w:ind w:firstLine="480" w:firstLineChars="200"/>
      </w:pPr>
      <w:r>
        <w:t>（11）沟通能力：能够就复杂物联网工程问题与业界同行及社会公众进行有效沟通和交流，具备撰写报告和设计文稿，陈述发言和概括总结的能力，具备国际视野和跨文化交流的基本能力。</w:t>
      </w:r>
    </w:p>
    <w:p>
      <w:pPr>
        <w:ind w:firstLine="480" w:firstLineChars="200"/>
      </w:pPr>
      <w:r>
        <w:t>（12）项目管理：理解并掌握工程管理原理和经济决策方法，具备在多学科环境下进行工程效益、经济效益和社会效益分析的能力。</w:t>
      </w:r>
    </w:p>
    <w:p>
      <w:pPr>
        <w:ind w:firstLine="480" w:firstLineChars="200"/>
      </w:pPr>
      <w:r>
        <w:t>（13）良性发展：能够意识到终身学习的重要性，具备自主学习和适应发展的能力，促进自我良性发展。</w:t>
      </w:r>
    </w:p>
    <w:p>
      <w:pPr>
        <w:pStyle w:val="5"/>
        <w:spacing w:before="93" w:after="93"/>
        <w:ind w:firstLine="560"/>
      </w:pPr>
      <w:r>
        <w:t>二、培养能力</w:t>
      </w:r>
    </w:p>
    <w:p>
      <w:pPr>
        <w:ind w:firstLine="480" w:firstLineChars="200"/>
        <w:outlineLvl w:val="2"/>
        <w:rPr>
          <w:rFonts w:eastAsia="黑体"/>
          <w:kern w:val="0"/>
          <w:szCs w:val="20"/>
        </w:rPr>
      </w:pPr>
      <w:r>
        <w:rPr>
          <w:rFonts w:eastAsia="黑体"/>
          <w:kern w:val="0"/>
          <w:szCs w:val="20"/>
        </w:rPr>
        <w:t>1. 专业基本情况</w:t>
      </w:r>
    </w:p>
    <w:p>
      <w:pPr>
        <w:ind w:firstLine="480" w:firstLineChars="200"/>
      </w:pPr>
      <w:r>
        <w:t>我校2012年成功申办物联网工程本科专业，并于2012年9月开始招生，2020年为山东省一流本科专业建设点，2020年为国家一流本科专业建设点，有物联网应用技术二级学科硕士点。本专业基本学制为4年，学习年限为3-8年。</w:t>
      </w:r>
    </w:p>
    <w:p>
      <w:pPr>
        <w:numPr>
          <w:ilvl w:val="0"/>
          <w:numId w:val="10"/>
        </w:numPr>
        <w:ind w:firstLine="480" w:firstLineChars="200"/>
        <w:outlineLvl w:val="2"/>
        <w:rPr>
          <w:rFonts w:eastAsia="黑体"/>
          <w:kern w:val="0"/>
          <w:szCs w:val="20"/>
        </w:rPr>
      </w:pPr>
      <w:r>
        <w:rPr>
          <w:rFonts w:eastAsia="黑体"/>
          <w:kern w:val="0"/>
          <w:szCs w:val="20"/>
        </w:rPr>
        <w:t>在校生规模</w:t>
      </w:r>
    </w:p>
    <w:p>
      <w:pPr>
        <w:ind w:firstLine="480" w:firstLineChars="200"/>
      </w:pPr>
      <w:r>
        <w:t>现物联网工程专业在校生规模为190人，其中2019级54人，2020级68人，2021级68人。</w:t>
      </w:r>
    </w:p>
    <w:p>
      <w:pPr>
        <w:numPr>
          <w:ilvl w:val="0"/>
          <w:numId w:val="10"/>
        </w:numPr>
        <w:ind w:firstLine="480" w:firstLineChars="200"/>
        <w:outlineLvl w:val="2"/>
        <w:rPr>
          <w:rFonts w:eastAsia="黑体"/>
          <w:kern w:val="0"/>
          <w:szCs w:val="20"/>
        </w:rPr>
      </w:pPr>
      <w:r>
        <w:rPr>
          <w:rFonts w:eastAsia="黑体"/>
          <w:kern w:val="0"/>
          <w:szCs w:val="20"/>
        </w:rPr>
        <w:t>课程体系</w:t>
      </w:r>
    </w:p>
    <w:p>
      <w:pPr>
        <w:ind w:firstLine="480" w:firstLineChars="200"/>
      </w:pPr>
      <w:r>
        <w:t>为适应学分制的要求，目前物联网工程专业使用2018年修订的本科人才培养方案，总学分共计170学分，必修课总学分139，选修课学分31，教学分为理论教学与实践教学两个环节，实验学分和实践环节学分（理论课所含的实验实训学分按所占理论课学时进行换算。）51.5，实验学分和实践环节学分占总学分比例30.29%。</w:t>
      </w:r>
    </w:p>
    <w:p>
      <w:pPr>
        <w:ind w:firstLine="480" w:firstLineChars="200"/>
      </w:pPr>
      <w:r>
        <w:t>主要专业基础课包括数字逻辑、电路与模拟电子技术、计算机组成与结构、数据结构、计算机网络、操作系统、程序设计、数据库原理、数据库应用技术等。</w:t>
      </w:r>
    </w:p>
    <w:p>
      <w:pPr>
        <w:ind w:firstLine="480" w:firstLineChars="200"/>
      </w:pPr>
      <w:r>
        <w:t>主要专业课包括传感器原理与技术、嵌入式系统原理、单片机原理、物联网工程体系结构、射频识别技术、无线网络技术、嵌入式系统开发技术等。</w:t>
      </w:r>
    </w:p>
    <w:p>
      <w:pPr>
        <w:ind w:firstLine="480" w:firstLineChars="200"/>
      </w:pPr>
      <w:r>
        <w:t>主要实践环节包括认识实习、程序设计综合实习、单片机课程设计、无线感知网络综合实践、创新创业实践、毕业实习、毕业论文或毕业设计等。</w:t>
      </w:r>
    </w:p>
    <w:p>
      <w:pPr>
        <w:ind w:firstLine="480" w:firstLineChars="200"/>
      </w:pPr>
      <w:r>
        <w:t>为适应</w:t>
      </w:r>
      <w:r>
        <w:rPr>
          <w:rFonts w:hint="eastAsia"/>
        </w:rPr>
        <w:t>“</w:t>
      </w:r>
      <w:r>
        <w:t>3+1</w:t>
      </w:r>
      <w:r>
        <w:rPr>
          <w:rFonts w:hint="eastAsia"/>
        </w:rPr>
        <w:t>”</w:t>
      </w:r>
      <w:r>
        <w:t>培养模式的需求，第4学年全部为实践环节。学生修满培养方案规定的学分，且总学分不少于170学分，达到国家教育部要求的大学生体育合格标准，可授予工学学士学位。</w:t>
      </w:r>
    </w:p>
    <w:p>
      <w:pPr>
        <w:numPr>
          <w:ilvl w:val="0"/>
          <w:numId w:val="10"/>
        </w:numPr>
        <w:ind w:firstLine="480" w:firstLineChars="200"/>
        <w:outlineLvl w:val="2"/>
        <w:rPr>
          <w:rFonts w:eastAsia="黑体"/>
          <w:kern w:val="0"/>
          <w:szCs w:val="20"/>
        </w:rPr>
      </w:pPr>
      <w:r>
        <w:rPr>
          <w:rFonts w:eastAsia="黑体"/>
          <w:kern w:val="0"/>
          <w:szCs w:val="20"/>
        </w:rPr>
        <w:t>创新创业教育</w:t>
      </w:r>
    </w:p>
    <w:p>
      <w:pPr>
        <w:ind w:firstLine="480" w:firstLineChars="200"/>
      </w:pPr>
      <w:r>
        <w:t>人才培养方案充分体现学生创新意识和创新能力培养，注重学生创业实践能力培养，积极组织学生参加校级、省级、和国家级的各类学科竞赛。每学年有100余人次学生参加教师的科研项目、物联网设计大赛、全国互联网+大赛、国家级和校级的SRT项目、山东省大学生软件设计大赛和全国信息技术应用水平大赛等创新创业大赛，并取得优异成绩，极大地提高了学生的实践动手能力。</w:t>
      </w:r>
    </w:p>
    <w:p>
      <w:pPr>
        <w:pStyle w:val="5"/>
        <w:spacing w:before="93" w:after="93"/>
        <w:ind w:firstLine="560"/>
      </w:pPr>
      <w:r>
        <w:t>三、培养条件</w:t>
      </w:r>
    </w:p>
    <w:p>
      <w:pPr>
        <w:ind w:firstLine="480" w:firstLineChars="200"/>
        <w:outlineLvl w:val="2"/>
        <w:rPr>
          <w:rFonts w:eastAsia="黑体"/>
          <w:kern w:val="0"/>
          <w:szCs w:val="20"/>
        </w:rPr>
      </w:pPr>
      <w:r>
        <w:rPr>
          <w:rFonts w:eastAsia="黑体"/>
          <w:kern w:val="0"/>
          <w:szCs w:val="20"/>
        </w:rPr>
        <w:t>1. 教学经费投入与教学设备</w:t>
      </w:r>
    </w:p>
    <w:p>
      <w:pPr>
        <w:ind w:firstLine="480" w:firstLineChars="200"/>
      </w:pPr>
      <w:r>
        <w:t>物联网专业成立以来，学校不断加大教学投入。2018年以农学专业为核心专业申报的</w:t>
      </w:r>
      <w:r>
        <w:rPr>
          <w:rFonts w:hint="eastAsia"/>
        </w:rPr>
        <w:t>“</w:t>
      </w:r>
      <w:r>
        <w:t>山东省教育服务新旧动能转换专业对接产业项目</w:t>
      </w:r>
      <w:r>
        <w:rPr>
          <w:rFonts w:hint="eastAsia"/>
        </w:rPr>
        <w:t>”</w:t>
      </w:r>
      <w:r>
        <w:t>获得立项，物联网工程专业是建设专业之一，2018年-2019年度共投入经费121.68万元，主要用于教学日常运行、实验室建设、专业建设、校内外实践实习、教学研讨等），每生平均教学经费为1050元。建有单片机实验室、嵌入式系统实验室、RFID实验室等以及数字逻辑、模拟电路、Linux操作系统等多门课程虚拟实验平台，基本满足本专业教学使用。</w:t>
      </w:r>
    </w:p>
    <w:p>
      <w:pPr>
        <w:numPr>
          <w:ilvl w:val="0"/>
          <w:numId w:val="11"/>
        </w:numPr>
        <w:ind w:firstLine="480" w:firstLineChars="200"/>
        <w:outlineLvl w:val="2"/>
        <w:rPr>
          <w:rFonts w:eastAsia="黑体"/>
          <w:kern w:val="0"/>
          <w:szCs w:val="20"/>
        </w:rPr>
      </w:pPr>
      <w:r>
        <w:rPr>
          <w:rFonts w:eastAsia="黑体"/>
          <w:kern w:val="0"/>
          <w:szCs w:val="20"/>
        </w:rPr>
        <w:t>教师队伍建设</w:t>
      </w:r>
    </w:p>
    <w:p>
      <w:pPr>
        <w:ind w:firstLine="480" w:firstLineChars="200"/>
      </w:pPr>
      <w:r>
        <w:t>物联网专业现有教师11名，其中教授4名，副教授5人，具有博士学位的4人。教授和副教授每学年都坚持为本专业的学生上课，每位主讲教师都具有较高专业水平和较强业务能力。</w:t>
      </w:r>
    </w:p>
    <w:p>
      <w:pPr>
        <w:numPr>
          <w:ilvl w:val="0"/>
          <w:numId w:val="11"/>
        </w:numPr>
        <w:ind w:firstLine="480" w:firstLineChars="200"/>
        <w:outlineLvl w:val="2"/>
        <w:rPr>
          <w:rFonts w:eastAsia="黑体"/>
          <w:kern w:val="0"/>
          <w:szCs w:val="20"/>
        </w:rPr>
      </w:pPr>
      <w:r>
        <w:rPr>
          <w:rFonts w:eastAsia="黑体"/>
          <w:kern w:val="0"/>
          <w:szCs w:val="20"/>
        </w:rPr>
        <w:t>实习基地</w:t>
      </w:r>
    </w:p>
    <w:p>
      <w:pPr>
        <w:ind w:firstLine="480" w:firstLineChars="200"/>
      </w:pPr>
      <w:r>
        <w:t>实践教学是物联网工程专业教学重要的环节。通过与国内相关企业单位合作，目前建有6个实习基地，可以安排学生的认识实习、生产实习和毕业实习。校外实习实训基地分别为：黄河三角洲（滨州）国家农业科技园区、泰安联通校园服务中心、北京华清远见科技发展有限公司济南分公司、惠普-济宁国际软件人才及产业基地、山东众志电子有限公司（泰安）、山东苍穹软件技术有限公司、神州航天软件有限公司校外教学科研基地、济南控创电子科技有限公司校外教学科研基地教学科研实践育人基地2个。</w:t>
      </w:r>
    </w:p>
    <w:p>
      <w:pPr>
        <w:numPr>
          <w:ilvl w:val="0"/>
          <w:numId w:val="11"/>
        </w:numPr>
        <w:ind w:firstLine="480" w:firstLineChars="200"/>
        <w:outlineLvl w:val="2"/>
        <w:rPr>
          <w:rFonts w:eastAsia="黑体"/>
          <w:kern w:val="0"/>
          <w:szCs w:val="20"/>
        </w:rPr>
      </w:pPr>
      <w:r>
        <w:rPr>
          <w:rFonts w:eastAsia="黑体"/>
          <w:kern w:val="0"/>
          <w:szCs w:val="20"/>
        </w:rPr>
        <w:t>现代教学技术应用</w:t>
      </w:r>
    </w:p>
    <w:p>
      <w:pPr>
        <w:ind w:firstLine="480" w:firstLineChars="200"/>
      </w:pPr>
      <w:r>
        <w:t>在教学过程中，充分积极利用现代多媒体技术和网络技术，增强教学过程的动态感，丰富学生视野和工程教学环境。购买并使用了数字逻辑、模拟电路、Linux操作系统、计算机组成原理、计算机网络等课程的虚拟实验环境，使得学生可以在实验室外远程实验。购买并使用了针对C语言、C++语言、Java语言、Python语言以及数据结构课程的程序设计教学与考试平台，在线完成学生作业的布置、提交及考试工作。购买并使用了基于Funcode的程序设计教学与实训竞赛平台，提高学生的实训动手能力。购买并使用了51单片机板子60块、土壤水封传感器及湿度传感器等，进行单片机课程设计及无线传输实践教学，通过设计、电路焊接、编程及运行完善，使学生对所有知识进行了串联融合。</w:t>
      </w:r>
    </w:p>
    <w:p>
      <w:pPr>
        <w:pStyle w:val="5"/>
        <w:spacing w:before="93" w:after="93"/>
        <w:ind w:firstLine="560"/>
      </w:pPr>
      <w:r>
        <w:t>四、培养机制与特色</w:t>
      </w:r>
    </w:p>
    <w:p>
      <w:pPr>
        <w:ind w:firstLine="480" w:firstLineChars="200"/>
        <w:outlineLvl w:val="2"/>
        <w:rPr>
          <w:rFonts w:eastAsia="黑体"/>
          <w:kern w:val="0"/>
          <w:szCs w:val="20"/>
        </w:rPr>
      </w:pPr>
      <w:r>
        <w:rPr>
          <w:rFonts w:eastAsia="黑体"/>
          <w:kern w:val="0"/>
          <w:szCs w:val="20"/>
        </w:rPr>
        <w:t>1. 产学研协同育人机制</w:t>
      </w:r>
    </w:p>
    <w:p>
      <w:pPr>
        <w:ind w:firstLine="480" w:firstLineChars="200"/>
      </w:pPr>
      <w:r>
        <w:t>在专业建设过程中，为了提高学生的就业竞争力，我们注重培养学生的实践能力和社会适应能力。经过近几年的发展，我们形成产学研用协同育人理念，构建协同育人制度体系，搭建产学研用协同育人平台。</w:t>
      </w:r>
    </w:p>
    <w:p>
      <w:pPr>
        <w:ind w:firstLine="480" w:firstLineChars="200"/>
      </w:pPr>
      <w:r>
        <w:t>积极引导学生参加专业教师的科研课题、SRT项目、物联网设计大赛、软件设计大赛、互联网+等，培养学生的创新意识和实践动手能力。在老师的指导下，让学生独立申报国家级、市级、校级、院级等创新创业实践项目，培养学生分析问题与解决问题的能力。</w:t>
      </w:r>
    </w:p>
    <w:p>
      <w:pPr>
        <w:ind w:firstLine="480" w:firstLineChars="200"/>
      </w:pPr>
      <w:r>
        <w:t>同时，与浪潮、HP和东华等多家知名企业保持合作关系，学生在第4年分别到企业进行实训或实习，在生产实践中锻炼学生的综合素质，提高学生能力和创业精神。</w:t>
      </w:r>
    </w:p>
    <w:p>
      <w:pPr>
        <w:ind w:firstLine="480" w:firstLineChars="200"/>
        <w:outlineLvl w:val="2"/>
        <w:rPr>
          <w:rFonts w:eastAsia="黑体"/>
          <w:kern w:val="0"/>
          <w:szCs w:val="20"/>
        </w:rPr>
      </w:pPr>
      <w:r>
        <w:rPr>
          <w:rFonts w:eastAsia="黑体"/>
          <w:kern w:val="0"/>
          <w:szCs w:val="20"/>
        </w:rPr>
        <w:t>2. 教学管理</w:t>
      </w:r>
    </w:p>
    <w:p>
      <w:pPr>
        <w:ind w:firstLine="480" w:firstLineChars="200"/>
      </w:pPr>
      <w:r>
        <w:t>（1）完善教学质量标准体系</w:t>
      </w:r>
    </w:p>
    <w:p>
      <w:pPr>
        <w:ind w:firstLine="480" w:firstLineChars="200"/>
      </w:pPr>
      <w:r>
        <w:t>根据《普通高校本科专业类教学质量国家标准》《山东农业大学本科教学质量标准纲要》，从教学质量目标管理，资源管理，过程管理，质量监控、分析和改进等方面建立教学质量标准体系。同时结合物联网工程专业特点，对课堂教学、实验教学、课程考核、综合实习、生产实习、毕业设计等重要环节制定更详细可操作的质量标准。标准体系可涵盖学生从入学到毕业全过程。</w:t>
      </w:r>
    </w:p>
    <w:p>
      <w:pPr>
        <w:ind w:firstLine="480" w:firstLineChars="200"/>
      </w:pPr>
      <w:r>
        <w:t>（2）建立教学质量评价、反馈与教学督导相结合的教学质量保障机制</w:t>
      </w:r>
    </w:p>
    <w:p>
      <w:pPr>
        <w:ind w:firstLine="480" w:firstLineChars="200"/>
      </w:pPr>
      <w:r>
        <w:t>修订培养方案，不断优化培养目标和课程体系，强调评价与反馈的动态结合，并建立了环环相扣的质量保障机制。整个教学各环节、各过程贯彻集中反馈和不定期反馈相结合，将教学过程检查结果、评教结果等及时反馈至教师、学生等相关责任人，并将评价结果与评优、年底绩效考核等挂钩，通过对教与学两方面的质量把控，促进教学质量提升。通过学术委员会、本科教学督导组对教学工作进行全面监督、检查、指导，对培养方案实施全过程监控。形成</w:t>
      </w:r>
      <w:r>
        <w:rPr>
          <w:rFonts w:hint="eastAsia"/>
        </w:rPr>
        <w:t>“</w:t>
      </w:r>
      <w:r>
        <w:t>全员参与，注重过程、全程监控，突出结果、全面监控</w:t>
      </w:r>
      <w:r>
        <w:rPr>
          <w:rFonts w:hint="eastAsia"/>
        </w:rPr>
        <w:t>”</w:t>
      </w:r>
      <w:r>
        <w:t>的教学质量保障机制。教学管理更加规范，形成了长效的闭环式教学质量保障运行机制。教学水平有效提高，教师教学评分平均提高了5%，学生到课率提高了6%。</w:t>
      </w:r>
    </w:p>
    <w:p>
      <w:pPr>
        <w:pStyle w:val="5"/>
        <w:spacing w:before="93" w:after="93"/>
        <w:ind w:firstLine="560"/>
      </w:pPr>
      <w:r>
        <w:t>五、培养质量</w:t>
      </w:r>
    </w:p>
    <w:p>
      <w:pPr>
        <w:ind w:firstLine="480" w:firstLineChars="200"/>
      </w:pPr>
      <w:r>
        <w:t>截止到2022年，物联网专业毕业生共371人，其中保送和考取研究生共117人，考研率31.50%。其中2022届物联网专业毕业生共59人，保送和考取研究生共15人，考研率25.40%。考研学校包括中国农业大学、中国科学院大学、中国石油大学(华东)等国内著名大学。2022届毕业生就业率64.4%，就业的学生主要在国家机关、教育部门、企事业单位的信息技术部门等计算机相关领域从事技术开发、教学、科研及管理等工作，就业学生的专业对口率为92%。</w:t>
      </w:r>
    </w:p>
    <w:p>
      <w:pPr>
        <w:ind w:firstLine="480" w:firstLineChars="200"/>
      </w:pPr>
      <w:r>
        <w:t>近年来，物联网工程专业根据社会对计算机技术人才的需求，不断创新人才培养模式。就读该专业的学生，专业意愿稳定。本专业毕业生在各类工作岗位上踏实认真、广受好评，毕业生就业单位满意率95%。用人单位对我校物联网工程专业毕业生的普遍评价是：理论基础扎实、动手能力强、综合素质高、工作踏实、具有团队协作精神。</w:t>
      </w:r>
    </w:p>
    <w:p>
      <w:pPr>
        <w:pStyle w:val="5"/>
        <w:spacing w:before="93" w:after="93"/>
        <w:ind w:firstLine="560"/>
      </w:pPr>
      <w:r>
        <w:t>六、毕业生就业创业</w:t>
      </w:r>
    </w:p>
    <w:p>
      <w:pPr>
        <w:ind w:firstLine="480" w:firstLineChars="200"/>
      </w:pPr>
      <w:r>
        <w:t>为了提高学生创业积极性，采取了大量有效的措施，尽量为大学生创新创业工作打造平台。通过主持SRT项目，让学生掌握就业创业的实践能力；通过举办大学生创新创业大赛等各种竞赛，提高学生未来创新创业的能力；通过企业实习增长学生现场工作的能力，从而积累经验，提高创业的能力。李全力同学2018年7月毕业于山东农业大学物联网工程专业，2017年创立泰安市饭鲜生信息技术服务有限公司，公司运营良好。</w:t>
      </w:r>
    </w:p>
    <w:p>
      <w:pPr>
        <w:pStyle w:val="5"/>
        <w:spacing w:before="93" w:after="93"/>
        <w:ind w:firstLine="560"/>
      </w:pPr>
      <w:r>
        <w:t>七、专业发展趋势及建议</w:t>
      </w:r>
    </w:p>
    <w:p>
      <w:pPr>
        <w:ind w:firstLine="480" w:firstLineChars="200"/>
      </w:pPr>
      <w:r>
        <w:t>物联网是新一代信息技术的高度集成和综合运用，继计算机、互联网之后世界信息产业发展的第三次浪潮，是国家首批优先培育的战略性新兴产业之一，在农业、工业和服务业等行业发挥着重要作用，已成为当前世界新一轮经济和科技发展的战略制高点之一。物联网是战略性新兴产业的重点发展领域。发展物联网产业不仅是提高信息产业核心竞争力、改造提升传统产业和提升社会信息化水平的重要举措，也成为各地加快发展方式转变，推进自主创新的重要突破口。近年来，我国中央政府及各地方政府对物联网产业的政策扶持力度不断深入，随着智慧地球、智慧中国、智慧城市的建设，物联网技术正在迅速地渗透到各个应用领域，从人们的日常生活，到国家战略产业，主要应用领域包括：智能家居、智慧城市、健康医疗、智能物流、工业监控及国防工程等。我国对物联网专业毕业生的需求呈不断增长的趋势，毕业生的就业前景非常广阔。建议加大对专业的政策支持和实验室建设的资金支持。</w:t>
      </w:r>
    </w:p>
    <w:p>
      <w:pPr>
        <w:pStyle w:val="5"/>
        <w:spacing w:before="93" w:after="93"/>
        <w:ind w:firstLine="560"/>
      </w:pPr>
      <w:r>
        <w:t>八、存在的问题及拟采取的对策措施</w:t>
      </w:r>
    </w:p>
    <w:p>
      <w:pPr>
        <w:ind w:firstLine="480" w:firstLineChars="200"/>
        <w:outlineLvl w:val="2"/>
        <w:rPr>
          <w:rFonts w:eastAsia="黑体"/>
          <w:kern w:val="0"/>
          <w:szCs w:val="20"/>
        </w:rPr>
      </w:pPr>
      <w:r>
        <w:rPr>
          <w:rFonts w:eastAsia="黑体"/>
          <w:kern w:val="0"/>
          <w:szCs w:val="20"/>
        </w:rPr>
        <w:t>1. 存在的问题</w:t>
      </w:r>
    </w:p>
    <w:p>
      <w:pPr>
        <w:ind w:firstLine="480" w:firstLineChars="200"/>
      </w:pPr>
      <w:r>
        <w:t>（1）师资力量薄弱，教师队伍的整体科研能力和水平有待进一步提高</w:t>
      </w:r>
    </w:p>
    <w:p>
      <w:pPr>
        <w:ind w:firstLine="480" w:firstLineChars="200"/>
      </w:pPr>
      <w:r>
        <w:t>物联网专业师资队伍中，缺乏高学历、高层次学术带头人，大部分教师缺乏实践经验，有些教师还兼有公共课的教学任务，师资队伍的数量明显不足，教师队伍的整体科研能力和水平有待进一步提高。</w:t>
      </w:r>
    </w:p>
    <w:p>
      <w:pPr>
        <w:ind w:firstLine="480" w:firstLineChars="200"/>
      </w:pPr>
      <w:r>
        <w:t>（2）学生创新创业工作有待深化</w:t>
      </w:r>
    </w:p>
    <w:p>
      <w:pPr>
        <w:ind w:firstLine="480" w:firstLineChars="200"/>
      </w:pPr>
      <w:r>
        <w:t>一是学生创新创业意识有待加强，二是校外创新创业基地建设有待进一步强化，深入合作机制有待进一步完善。</w:t>
      </w:r>
    </w:p>
    <w:p>
      <w:pPr>
        <w:ind w:firstLine="480" w:firstLineChars="200"/>
      </w:pPr>
      <w:r>
        <w:t>（3）实验实践条件需要进一步完善</w:t>
      </w:r>
    </w:p>
    <w:p>
      <w:pPr>
        <w:ind w:firstLine="480" w:firstLineChars="200"/>
      </w:pPr>
      <w:r>
        <w:t>部分实验设备陈旧，影响实验效率和实验效果，降低了学生学习的兴趣及积极性；缺乏功能齐全的实践课程的实验材料。</w:t>
      </w:r>
    </w:p>
    <w:p>
      <w:pPr>
        <w:numPr>
          <w:ilvl w:val="0"/>
          <w:numId w:val="12"/>
        </w:numPr>
        <w:ind w:firstLine="480" w:firstLineChars="200"/>
        <w:outlineLvl w:val="2"/>
        <w:rPr>
          <w:rFonts w:eastAsia="黑体"/>
          <w:kern w:val="0"/>
          <w:szCs w:val="20"/>
        </w:rPr>
      </w:pPr>
      <w:r>
        <w:rPr>
          <w:rFonts w:eastAsia="黑体"/>
          <w:kern w:val="0"/>
          <w:szCs w:val="20"/>
        </w:rPr>
        <w:t>拟采取的对策措施</w:t>
      </w:r>
    </w:p>
    <w:p>
      <w:pPr>
        <w:ind w:firstLine="480" w:firstLineChars="200"/>
      </w:pPr>
      <w:r>
        <w:t>（1）引进与培养相结合，加强师资队伍建设</w:t>
      </w:r>
    </w:p>
    <w:p>
      <w:pPr>
        <w:ind w:firstLine="480" w:firstLineChars="200"/>
      </w:pPr>
      <w:r>
        <w:t>专业将采用</w:t>
      </w:r>
      <w:r>
        <w:rPr>
          <w:rFonts w:hint="eastAsia"/>
        </w:rPr>
        <w:t>“</w:t>
      </w:r>
      <w:r>
        <w:t>走出去，引进来</w:t>
      </w:r>
      <w:r>
        <w:rPr>
          <w:rFonts w:hint="eastAsia"/>
        </w:rPr>
        <w:t>”</w:t>
      </w:r>
      <w:r>
        <w:t>的方法，以培养学科带头人和中青年骨干教师为重点，以提高教师队伍整体素质和学术水平为核心，努力建成一支人员结构更为合理、学历层次和教学科研水平高、富有实干和创新精神、了解社会需求、教学经验丰富、敬业爱生的高水平的师资队伍。</w:t>
      </w:r>
    </w:p>
    <w:p>
      <w:pPr>
        <w:ind w:firstLine="480" w:firstLineChars="200"/>
      </w:pPr>
      <w:r>
        <w:t>（2）强化课程建设与科技竞赛，提高学生创新能力</w:t>
      </w:r>
    </w:p>
    <w:p>
      <w:pPr>
        <w:ind w:firstLine="480" w:firstLineChars="200"/>
      </w:pPr>
      <w:r>
        <w:t>物联网工程专业始终坚持</w:t>
      </w:r>
      <w:r>
        <w:rPr>
          <w:rFonts w:hint="eastAsia"/>
        </w:rPr>
        <w:t>“</w:t>
      </w:r>
      <w:r>
        <w:t>学以致用，以用促学</w:t>
      </w:r>
      <w:r>
        <w:rPr>
          <w:rFonts w:hint="eastAsia"/>
        </w:rPr>
        <w:t>”</w:t>
      </w:r>
      <w:r>
        <w:t>的教育理念，以工程教育质量认证标准为改革目标，以</w:t>
      </w:r>
      <w:r>
        <w:rPr>
          <w:rFonts w:hint="eastAsia"/>
        </w:rPr>
        <w:t>“</w:t>
      </w:r>
      <w:r>
        <w:t>新工科</w:t>
      </w:r>
      <w:r>
        <w:rPr>
          <w:rFonts w:hint="eastAsia"/>
        </w:rPr>
        <w:t>”</w:t>
      </w:r>
      <w:r>
        <w:t>建设为契机，将思想政治教育贯穿于整个人才培养过程，改革的主要举措如下：</w:t>
      </w:r>
    </w:p>
    <w:p>
      <w:pPr>
        <w:ind w:firstLine="480" w:firstLineChars="200"/>
      </w:pPr>
      <w:r>
        <w:t>1）以学生为中心</w:t>
      </w:r>
    </w:p>
    <w:p>
      <w:pPr>
        <w:ind w:firstLine="480" w:firstLineChars="200"/>
      </w:pPr>
      <w:r>
        <w:fldChar w:fldCharType="begin"/>
      </w:r>
      <w:r>
        <w:instrText xml:space="preserve"> = 1 \* GB3 </w:instrText>
      </w:r>
      <w:r>
        <w:fldChar w:fldCharType="separate"/>
      </w:r>
      <w:r>
        <w:t>①</w:t>
      </w:r>
      <w:r>
        <w:fldChar w:fldCharType="end"/>
      </w:r>
      <w:r>
        <w:t xml:space="preserve"> 将思政教育融入专业课程建设全过程</w:t>
      </w:r>
    </w:p>
    <w:p>
      <w:pPr>
        <w:ind w:firstLine="480" w:firstLineChars="200"/>
      </w:pPr>
      <w:r>
        <w:t>全面落实</w:t>
      </w:r>
      <w:r>
        <w:rPr>
          <w:rFonts w:hint="eastAsia"/>
        </w:rPr>
        <w:t>“</w:t>
      </w:r>
      <w:r>
        <w:t>以本为本、四个回归</w:t>
      </w:r>
      <w:r>
        <w:rPr>
          <w:rFonts w:hint="eastAsia"/>
        </w:rPr>
        <w:t>”</w:t>
      </w:r>
      <w:r>
        <w:t>办学思路，坚持立德树人、德才兼修，将思政案例融入物专业课程体系，加强对专业职业道德和规范的培养。</w:t>
      </w:r>
    </w:p>
    <w:p>
      <w:pPr>
        <w:ind w:firstLine="480" w:firstLineChars="200"/>
      </w:pPr>
      <w:r>
        <w:fldChar w:fldCharType="begin"/>
      </w:r>
      <w:r>
        <w:instrText xml:space="preserve"> = 2 \* GB3 </w:instrText>
      </w:r>
      <w:r>
        <w:fldChar w:fldCharType="separate"/>
      </w:r>
      <w:r>
        <w:t>②</w:t>
      </w:r>
      <w:r>
        <w:fldChar w:fldCharType="end"/>
      </w:r>
      <w:r>
        <w:t xml:space="preserve"> 改革教学模式，完善人才培养方案</w:t>
      </w:r>
    </w:p>
    <w:p>
      <w:pPr>
        <w:ind w:firstLine="480" w:firstLineChars="200"/>
      </w:pPr>
      <w:r>
        <w:t>按照《普通高校本科专业类教学质量国家标准》的要求，对接行业对人才知识结构的需求，以</w:t>
      </w:r>
      <w:r>
        <w:rPr>
          <w:rFonts w:hint="eastAsia"/>
        </w:rPr>
        <w:t>“</w:t>
      </w:r>
      <w:r>
        <w:t>新工科</w:t>
      </w:r>
      <w:r>
        <w:rPr>
          <w:rFonts w:hint="eastAsia"/>
        </w:rPr>
        <w:t>”</w:t>
      </w:r>
      <w:r>
        <w:t>、</w:t>
      </w:r>
      <w:r>
        <w:rPr>
          <w:rFonts w:hint="eastAsia"/>
        </w:rPr>
        <w:t>“</w:t>
      </w:r>
      <w:r>
        <w:t>新农科</w:t>
      </w:r>
      <w:r>
        <w:rPr>
          <w:rFonts w:hint="eastAsia"/>
        </w:rPr>
        <w:t>”</w:t>
      </w:r>
      <w:r>
        <w:t xml:space="preserve">发展要求为切入点，探索创新型、复合型、应用型人才培养模式，构建理论和实践一体化教学体系，创建 </w:t>
      </w:r>
      <w:r>
        <w:rPr>
          <w:rFonts w:hint="eastAsia"/>
        </w:rPr>
        <w:t>“</w:t>
      </w:r>
      <w:r>
        <w:t>多场景融合</w:t>
      </w:r>
      <w:r>
        <w:rPr>
          <w:rFonts w:hint="eastAsia"/>
        </w:rPr>
        <w:t>”</w:t>
      </w:r>
      <w:r>
        <w:t>下的物联网实验教学、</w:t>
      </w:r>
      <w:r>
        <w:rPr>
          <w:rFonts w:hint="eastAsia"/>
        </w:rPr>
        <w:t>“</w:t>
      </w:r>
      <w:r>
        <w:t>项目驱动</w:t>
      </w:r>
      <w:r>
        <w:rPr>
          <w:rFonts w:hint="eastAsia"/>
        </w:rPr>
        <w:t>”</w:t>
      </w:r>
      <w:r>
        <w:t>机制下的工程实践、</w:t>
      </w:r>
      <w:r>
        <w:rPr>
          <w:rFonts w:hint="eastAsia"/>
        </w:rPr>
        <w:t>“</w:t>
      </w:r>
      <w:r>
        <w:t>以赛促能</w:t>
      </w:r>
      <w:r>
        <w:rPr>
          <w:rFonts w:hint="eastAsia"/>
        </w:rPr>
        <w:t>”</w:t>
      </w:r>
      <w:r>
        <w:t>机制下的创新实践三大人才培养模式。</w:t>
      </w:r>
    </w:p>
    <w:p>
      <w:pPr>
        <w:ind w:firstLine="480" w:firstLineChars="200"/>
      </w:pPr>
      <w:r>
        <w:t>2） 以产学研为导向</w:t>
      </w:r>
    </w:p>
    <w:p>
      <w:pPr>
        <w:ind w:firstLine="480" w:firstLineChars="200"/>
      </w:pPr>
      <w:r>
        <w:fldChar w:fldCharType="begin"/>
      </w:r>
      <w:r>
        <w:instrText xml:space="preserve"> = 1 \* GB3 </w:instrText>
      </w:r>
      <w:r>
        <w:fldChar w:fldCharType="separate"/>
      </w:r>
      <w:r>
        <w:t>①</w:t>
      </w:r>
      <w:r>
        <w:fldChar w:fldCharType="end"/>
      </w:r>
      <w:r>
        <w:t xml:space="preserve"> 科研项目驱动</w:t>
      </w:r>
    </w:p>
    <w:p>
      <w:pPr>
        <w:ind w:firstLine="480" w:firstLineChars="200"/>
      </w:pPr>
      <w:r>
        <w:t>以教师的科研项目为导向，将科研资源与教学有机结合，培养学生解决</w:t>
      </w:r>
      <w:r>
        <w:rPr>
          <w:rFonts w:hint="eastAsia"/>
        </w:rPr>
        <w:t>“</w:t>
      </w:r>
      <w:r>
        <w:t>开放式</w:t>
      </w:r>
      <w:r>
        <w:rPr>
          <w:rFonts w:hint="eastAsia"/>
        </w:rPr>
        <w:t>”</w:t>
      </w:r>
      <w:r>
        <w:t>问题的能力，实现</w:t>
      </w:r>
      <w:r>
        <w:rPr>
          <w:rFonts w:hint="eastAsia"/>
        </w:rPr>
        <w:t>“</w:t>
      </w:r>
      <w:r>
        <w:t>教学-科研</w:t>
      </w:r>
      <w:r>
        <w:rPr>
          <w:rFonts w:hint="eastAsia"/>
        </w:rPr>
        <w:t>”</w:t>
      </w:r>
      <w:r>
        <w:t>协同育人。</w:t>
      </w:r>
    </w:p>
    <w:p>
      <w:pPr>
        <w:ind w:firstLine="480" w:firstLineChars="200"/>
      </w:pPr>
      <w:r>
        <w:fldChar w:fldCharType="begin"/>
      </w:r>
      <w:r>
        <w:instrText xml:space="preserve"> = 2 \* GB3 </w:instrText>
      </w:r>
      <w:r>
        <w:fldChar w:fldCharType="separate"/>
      </w:r>
      <w:r>
        <w:t>②</w:t>
      </w:r>
      <w:r>
        <w:fldChar w:fldCharType="end"/>
      </w:r>
      <w:r>
        <w:t xml:space="preserve"> 创新创业大赛引导</w:t>
      </w:r>
    </w:p>
    <w:p>
      <w:pPr>
        <w:ind w:firstLine="480" w:firstLineChars="200"/>
      </w:pPr>
      <w:r>
        <w:t>构建</w:t>
      </w:r>
      <w:r>
        <w:rPr>
          <w:rFonts w:hint="eastAsia"/>
        </w:rPr>
        <w:t>“</w:t>
      </w:r>
      <w:r>
        <w:t>课堂思辨+工程实训+大赛训练+创新实践</w:t>
      </w:r>
      <w:r>
        <w:rPr>
          <w:rFonts w:hint="eastAsia"/>
        </w:rPr>
        <w:t>”</w:t>
      </w:r>
      <w:r>
        <w:t>有机结合的创新实践教育模式，完善创新教育体系，以赛促教、以赛促学、以赛促训。</w:t>
      </w:r>
    </w:p>
    <w:p>
      <w:pPr>
        <w:ind w:firstLine="480" w:firstLineChars="200"/>
      </w:pPr>
      <w:r>
        <w:fldChar w:fldCharType="begin"/>
      </w:r>
      <w:r>
        <w:instrText xml:space="preserve"> = 3 \* GB3 </w:instrText>
      </w:r>
      <w:r>
        <w:fldChar w:fldCharType="separate"/>
      </w:r>
      <w:r>
        <w:t>③</w:t>
      </w:r>
      <w:r>
        <w:fldChar w:fldCharType="end"/>
      </w:r>
      <w:r>
        <w:t xml:space="preserve"> 企业认证助推</w:t>
      </w:r>
    </w:p>
    <w:p>
      <w:pPr>
        <w:ind w:firstLine="480" w:firstLineChars="200"/>
      </w:pPr>
      <w:r>
        <w:t>以思科、华为等企业认证为导引，以企业物联网认证标准为依据，逆向构建物联网工程专业课程，优化教学内容，加大前沿教学内容的更新力度。</w:t>
      </w:r>
    </w:p>
    <w:p>
      <w:pPr>
        <w:ind w:firstLine="480" w:firstLineChars="200"/>
      </w:pPr>
      <w:r>
        <w:t>3）以持续提高教学质量为目标</w:t>
      </w:r>
    </w:p>
    <w:p>
      <w:pPr>
        <w:ind w:firstLine="480" w:firstLineChars="200"/>
      </w:pPr>
      <w:r>
        <w:fldChar w:fldCharType="begin"/>
      </w:r>
      <w:r>
        <w:instrText xml:space="preserve"> = 1 \* GB3 </w:instrText>
      </w:r>
      <w:r>
        <w:fldChar w:fldCharType="separate"/>
      </w:r>
      <w:r>
        <w:t>①</w:t>
      </w:r>
      <w:r>
        <w:fldChar w:fldCharType="end"/>
      </w:r>
      <w:r>
        <w:t xml:space="preserve"> 健全教学过程质量监控体系</w:t>
      </w:r>
    </w:p>
    <w:p>
      <w:pPr>
        <w:ind w:firstLine="480" w:firstLineChars="200"/>
      </w:pPr>
      <w:r>
        <w:t>教学督导组通过一对一指导、观摩教学等方式，加大中青年骨干教师培养力度。健全教学质量监控，形成领导听课及校、院二级教学督导的立体化多维度保障体系。</w:t>
      </w:r>
    </w:p>
    <w:p>
      <w:pPr>
        <w:ind w:firstLine="480" w:firstLineChars="200"/>
      </w:pPr>
      <w:r>
        <w:fldChar w:fldCharType="begin"/>
      </w:r>
      <w:r>
        <w:instrText xml:space="preserve"> = 2 \* GB3 </w:instrText>
      </w:r>
      <w:r>
        <w:fldChar w:fldCharType="separate"/>
      </w:r>
      <w:r>
        <w:t>②</w:t>
      </w:r>
      <w:r>
        <w:fldChar w:fldCharType="end"/>
      </w:r>
      <w:r>
        <w:t xml:space="preserve"> 多形式跟踪人才培养质量</w:t>
      </w:r>
    </w:p>
    <w:p>
      <w:pPr>
        <w:ind w:firstLine="480" w:firstLineChars="200"/>
      </w:pPr>
      <w:r>
        <w:t>利用班级QQ群、调查问卷、座谈、反馈意见表的形式，收集用人单位、校友对专业人才培养的建议和意见，并进行评价。</w:t>
      </w:r>
    </w:p>
    <w:p>
      <w:pPr>
        <w:ind w:firstLine="480" w:firstLineChars="200"/>
      </w:pPr>
      <w:r>
        <w:t>（3）强化校企协同育人培养模式，改善实验实践条件</w:t>
      </w:r>
    </w:p>
    <w:p>
      <w:pPr>
        <w:ind w:firstLine="480" w:firstLineChars="200"/>
      </w:pPr>
      <w:r>
        <w:rPr>
          <w:szCs w:val="21"/>
        </w:rPr>
        <w:t>依托企业行业优势，建立校企深度合作、优势互补、共同发展的合作机制。选择业内先进、管理规范、有发展前景的企业作为合作伙伴，</w:t>
      </w:r>
      <w:r>
        <w:t>与企业共建实训课程、共建创新实验室，为创新、创业活动提供平台。目前，已经</w:t>
      </w:r>
      <w:r>
        <w:rPr>
          <w:szCs w:val="21"/>
        </w:rPr>
        <w:t>建立联通公司、铁塔公司、中软国际、航天神州科技、高开集团等教学科研实践育人基地，对学生的创新精神、实践能力培养起到了积极作用。</w:t>
      </w:r>
    </w:p>
    <w:p>
      <w:r>
        <w:br w:type="page"/>
      </w:r>
    </w:p>
    <w:p>
      <w:pPr>
        <w:pStyle w:val="4"/>
        <w:ind w:firstLine="600"/>
      </w:pPr>
      <w:bookmarkStart w:id="765" w:name="_Toc6435"/>
      <w:r>
        <w:t>专业</w:t>
      </w:r>
      <w:r>
        <w:rPr>
          <w:rFonts w:hint="eastAsia"/>
          <w:lang w:val="en-US"/>
        </w:rPr>
        <w:t>七十三：</w:t>
      </w:r>
      <w:r>
        <w:t>测绘工程</w:t>
      </w:r>
      <w:bookmarkEnd w:id="765"/>
    </w:p>
    <w:p>
      <w:pPr>
        <w:pStyle w:val="5"/>
        <w:spacing w:before="93" w:after="93"/>
        <w:ind w:firstLine="560"/>
      </w:pPr>
      <w:r>
        <w:t>一、培养目标</w:t>
      </w:r>
    </w:p>
    <w:p>
      <w:pPr>
        <w:pStyle w:val="45"/>
        <w:ind w:firstLine="480"/>
        <w:rPr>
          <w:rFonts w:ascii="Times New Roman" w:hAnsi="Times New Roman"/>
        </w:rPr>
      </w:pPr>
      <w:r>
        <w:rPr>
          <w:rFonts w:ascii="Times New Roman" w:hAnsi="Times New Roman"/>
        </w:rPr>
        <w:t>1.培养目标</w:t>
      </w:r>
    </w:p>
    <w:p>
      <w:pPr>
        <w:ind w:firstLine="480" w:firstLineChars="200"/>
      </w:pPr>
      <w:bookmarkStart w:id="766" w:name="wlgczy"/>
      <w:bookmarkEnd w:id="766"/>
      <w:r>
        <w:t>本专业培养德、智、体、美、劳全面发展的社会主义事业建设者和接班人，适应国家和区域经济与科技发展的需求，掌握扎实的数理基础和测绘工程领域专业知识和技能，具备综合分析和解决测绘工程及相关领域复杂工程问题的能力，能够在农林、土木、水利、交通、资源环境等领域从事基础测绘、工程测量、自然资源调查、灾害监测预防以及工程项目的测绘设计、生产、研发和管理等方面工作，具有较强实践能力和创新意识的应用型高级技术人才。</w:t>
      </w:r>
    </w:p>
    <w:p>
      <w:pPr>
        <w:ind w:firstLine="480" w:firstLineChars="200"/>
      </w:pPr>
      <w:r>
        <w:t>本专业毕业生经过5年左右的职业历练，能够达成以下培养目标：</w:t>
      </w:r>
    </w:p>
    <w:p>
      <w:pPr>
        <w:ind w:firstLine="480" w:firstLineChars="200"/>
      </w:pPr>
      <w:r>
        <w:t>培养目标1：具备良好的人文科学素养、工程职业道德和社会责任感，在工程实践中能够充分考虑社会、健康、安全、法律及文化</w:t>
      </w:r>
      <w:r>
        <w:rPr>
          <w:rFonts w:hint="eastAsia"/>
        </w:rPr>
        <w:t>影响</w:t>
      </w:r>
      <w:r>
        <w:t>，履行工程师职责，积极服务国际与社会。</w:t>
      </w:r>
    </w:p>
    <w:p>
      <w:pPr>
        <w:ind w:firstLine="480" w:firstLineChars="200"/>
      </w:pPr>
      <w:r>
        <w:t>培养目标2：能够基于自然科学原理，熟练应用专业知识、现代技术和工具，进行测绘工程项目的方案设计、技术开发、观测实施、数据处理和科学研究等工作，解决测绘工程及相关领域的复杂工程问题。</w:t>
      </w:r>
    </w:p>
    <w:p>
      <w:pPr>
        <w:ind w:firstLine="480" w:firstLineChars="200"/>
      </w:pPr>
      <w:r>
        <w:t>培养目标3：在测绘工程及相关领域的工程项目中，具备良好的社会科学知识、工程实践、组织管理与决策能力，并能够考虑自然、社会伦理和可持续发展等因素，成为技术中坚、业务骨干或组织领导者；</w:t>
      </w:r>
    </w:p>
    <w:p>
      <w:pPr>
        <w:ind w:firstLine="480" w:firstLineChars="200"/>
      </w:pPr>
      <w:r>
        <w:t>培养目标4：具备良好的沟通、表达能力和国际视野，能在多学科、跨文化环境和团队中发挥作用；</w:t>
      </w:r>
    </w:p>
    <w:p>
      <w:pPr>
        <w:ind w:firstLine="480" w:firstLineChars="200"/>
      </w:pPr>
      <w:r>
        <w:t>培养目标5：具有一定的自主学习和终身学习的能力，能够紧跟行业新理论新技术的发展，具备测绘工程师的基本素质与能力。</w:t>
      </w:r>
    </w:p>
    <w:p>
      <w:pPr>
        <w:pStyle w:val="45"/>
        <w:ind w:firstLine="480"/>
        <w:rPr>
          <w:rFonts w:ascii="Times New Roman" w:hAnsi="Times New Roman"/>
        </w:rPr>
      </w:pPr>
      <w:r>
        <w:rPr>
          <w:rFonts w:ascii="Times New Roman" w:hAnsi="Times New Roman"/>
        </w:rPr>
        <w:t>2.毕业要求</w:t>
      </w:r>
    </w:p>
    <w:p>
      <w:pPr>
        <w:ind w:firstLine="480" w:firstLineChars="200"/>
      </w:pPr>
      <w:r>
        <w:t>本专业学生在本科毕业时应达到的知识、能力和素养的要求如下：</w:t>
      </w:r>
    </w:p>
    <w:p>
      <w:pPr>
        <w:ind w:firstLine="480" w:firstLineChars="200"/>
      </w:pPr>
      <w:r>
        <w:t>毕业要求1 工程知识：掌握数学、自然科学、工程基础和专业知识，具备应用这些知识解决测绘工程及相关领域复杂工程问题的能力。</w:t>
      </w:r>
    </w:p>
    <w:p>
      <w:pPr>
        <w:ind w:firstLine="480" w:firstLineChars="200"/>
      </w:pPr>
      <w:r>
        <w:t>毕业要求2 问题分析：能够应用数学、自然科学和测绘科学的基本原理，识别、表达测绘工程及相关领域需要解决的复杂工程问题，并通过文献研究分析，以获得有效结论。</w:t>
      </w:r>
    </w:p>
    <w:p>
      <w:pPr>
        <w:ind w:firstLine="480" w:firstLineChars="200"/>
      </w:pPr>
      <w:r>
        <w:t>毕业要求3 设计/开发解决方案：能够设计针对测绘复杂工程问题的解决方案，制定满足测绘工程实际需要的系统、技术方案、生产流程，并能够在方案设计中体现创新意识，考虑社会、健康、安全、法律、文化以及环境等因素。</w:t>
      </w:r>
    </w:p>
    <w:p>
      <w:pPr>
        <w:ind w:firstLine="480" w:firstLineChars="200"/>
      </w:pPr>
      <w:r>
        <w:t>毕业要求4 研究：能够基于测绘基本理论和专业知识，采用科学方法对测绘工程及相关领域中的复杂工程问题进行研究，设计出合理的实验方案，分析和解释实验数据和结果，并通过信息综合得到合理有效的结论。</w:t>
      </w:r>
    </w:p>
    <w:p>
      <w:pPr>
        <w:ind w:firstLine="480" w:firstLineChars="200"/>
      </w:pPr>
      <w:r>
        <w:t>毕业要求5 使用现代工具：能够选择与使用恰当的技术、资源、现代仪器装备和软硬件开发工具，对测绘工程及相关领域的复杂工程问题进行预测与模拟，并理解其局限性。</w:t>
      </w:r>
    </w:p>
    <w:p>
      <w:pPr>
        <w:ind w:firstLine="480" w:firstLineChars="200"/>
      </w:pPr>
      <w:r>
        <w:t>毕业要求6 工程与社会：了解测绘工程及相关领域的产业政策和法律法规，能够基于工程背景知识进行合理性分析，评价测绘工程实践和测绘复杂工程问题解决方案对社会、健康、安全、法律以及文化的影响，并理解应承担的责任。</w:t>
      </w:r>
    </w:p>
    <w:p>
      <w:pPr>
        <w:ind w:firstLine="480" w:firstLineChars="200"/>
      </w:pPr>
      <w:r>
        <w:t>毕业要求7 环境和可持续发展：能够理解和评价针对测绘复杂工程问题的工程实践对环境、社会可持续发展的影响。</w:t>
      </w:r>
    </w:p>
    <w:p>
      <w:pPr>
        <w:ind w:firstLine="480" w:firstLineChars="200"/>
      </w:pPr>
      <w:r>
        <w:t>毕业要求8 职业规范：具备良好的人文社会科学素养和社会责任感，能够在测绘工程实践中理解并遵守工程职业道德和规范，并履行责任。</w:t>
      </w:r>
    </w:p>
    <w:p>
      <w:pPr>
        <w:ind w:firstLine="480" w:firstLineChars="200"/>
      </w:pPr>
      <w:r>
        <w:t>毕业要求9 个人和团队：具备独立工作能力和团结合作意识，能够在多学科背景下的团队中承担个体、团队成员以及负责人角色的能力。</w:t>
      </w:r>
    </w:p>
    <w:p>
      <w:pPr>
        <w:ind w:firstLine="480" w:firstLineChars="200"/>
      </w:pPr>
      <w:r>
        <w:t>毕业要求10 沟通：能够就测绘复杂工程问题与业界同行及社会公众进行有效沟通和交流，包括撰写报告和设计文稿、陈述发言、清晰表达或回应指令，并具备国际视野和跨文化交流的基本能力。</w:t>
      </w:r>
    </w:p>
    <w:p>
      <w:pPr>
        <w:ind w:firstLine="480" w:firstLineChars="200"/>
      </w:pPr>
      <w:r>
        <w:t>毕业要求11 项目管理：理解工程管理原理和经济决策方法，具有基本的项目组织管理和环境适应能力，并能在多学科环境中应用。</w:t>
      </w:r>
    </w:p>
    <w:p>
      <w:pPr>
        <w:ind w:firstLine="480" w:firstLineChars="200"/>
      </w:pPr>
      <w:r>
        <w:t>毕业要求12终身学习：掌握自主学习方法，具备终身学习意识，具备不断学习和适应发展的能力。</w:t>
      </w:r>
    </w:p>
    <w:p>
      <w:pPr>
        <w:pStyle w:val="5"/>
        <w:spacing w:before="93" w:after="93"/>
        <w:ind w:firstLine="560"/>
      </w:pPr>
      <w:bookmarkStart w:id="767" w:name="_Toc14438"/>
      <w:r>
        <w:t>二、培养能力</w:t>
      </w:r>
      <w:bookmarkEnd w:id="767"/>
    </w:p>
    <w:p>
      <w:pPr>
        <w:pStyle w:val="45"/>
        <w:ind w:firstLine="480"/>
        <w:rPr>
          <w:rFonts w:ascii="Times New Roman" w:hAnsi="Times New Roman"/>
        </w:rPr>
      </w:pPr>
      <w:r>
        <w:rPr>
          <w:rFonts w:ascii="Times New Roman" w:hAnsi="Times New Roman"/>
        </w:rPr>
        <w:t>1.专业基本情况</w:t>
      </w:r>
    </w:p>
    <w:p>
      <w:pPr>
        <w:ind w:firstLine="480" w:firstLineChars="200"/>
      </w:pPr>
      <w:r>
        <w:t>山东农业大学测绘工程专业于2002年由原山东农业大学林学院、山东水利专科学校和山东省林业学校的测量教研室资源整合而成，2003年招收第一届本科生。2006年获得地图制图学与地理信息工程二级学科硕士学位授予权，2010年获得测绘科学与技术一级学科硕士学位授予权。2012年，测绘工程专业被批准为学校重点建设特色专业，2013年被遴选为山东省卓越工程师教育试点改革专业，2018年通过工程教育专业认证（有效期六年），2019年获批山东省一流本科建设专业。</w:t>
      </w:r>
    </w:p>
    <w:p>
      <w:pPr>
        <w:ind w:firstLine="480" w:firstLineChars="200"/>
      </w:pPr>
      <w:r>
        <w:t>测绘工程专业同知名企事业单位建立教学科研实践育人基地十余个，拥有山东省数字农业工程技术研究中心、山东省国土资源厅智慧村镇重点实验室、山东省国土资源厅新农村建设土地资源空间数据采集与利用实验室、山东农业大学农业大数据研究中心及农业定量遥感实验室，为学生的创新创业教育提供了良好条件。</w:t>
      </w:r>
    </w:p>
    <w:p>
      <w:pPr>
        <w:pStyle w:val="45"/>
        <w:ind w:firstLine="480"/>
        <w:rPr>
          <w:rFonts w:ascii="Times New Roman" w:hAnsi="Times New Roman"/>
        </w:rPr>
      </w:pPr>
      <w:bookmarkStart w:id="768" w:name="_Toc439229084"/>
      <w:bookmarkStart w:id="769" w:name="_Toc439254775"/>
      <w:bookmarkStart w:id="770" w:name="_Toc439226867"/>
      <w:bookmarkStart w:id="771" w:name="_Toc439256267"/>
      <w:r>
        <w:rPr>
          <w:rFonts w:ascii="Times New Roman" w:hAnsi="Times New Roman"/>
        </w:rPr>
        <w:t>2.在校生规模</w:t>
      </w:r>
      <w:bookmarkEnd w:id="768"/>
      <w:bookmarkEnd w:id="769"/>
      <w:bookmarkEnd w:id="770"/>
      <w:bookmarkEnd w:id="771"/>
    </w:p>
    <w:p>
      <w:pPr>
        <w:ind w:firstLine="480" w:firstLineChars="200"/>
      </w:pPr>
      <w:r>
        <w:t>截止2022年6月，测绘工程专业在校生规模为234人，如</w:t>
      </w:r>
      <w:r>
        <w:fldChar w:fldCharType="begin"/>
      </w:r>
      <w:r>
        <w:instrText xml:space="preserve"> REF _Ref27643997 \h  \* MERGEFORMAT </w:instrText>
      </w:r>
      <w:r>
        <w:fldChar w:fldCharType="separate"/>
      </w:r>
      <w:r>
        <w:t>表1</w:t>
      </w:r>
      <w:r>
        <w:fldChar w:fldCharType="end"/>
      </w:r>
      <w:r>
        <w:t>所示。</w:t>
      </w:r>
    </w:p>
    <w:p>
      <w:pPr>
        <w:pStyle w:val="37"/>
        <w:spacing w:before="156" w:line="400" w:lineRule="exact"/>
        <w:ind w:firstLine="422" w:firstLineChars="200"/>
        <w:rPr>
          <w:b/>
          <w:bCs/>
        </w:rPr>
      </w:pPr>
      <w:bookmarkStart w:id="772" w:name="_Ref27643997"/>
      <w:r>
        <w:rPr>
          <w:b/>
          <w:bCs/>
        </w:rPr>
        <w:t xml:space="preserve">表 </w:t>
      </w:r>
      <w:r>
        <w:rPr>
          <w:b/>
          <w:bCs/>
        </w:rPr>
        <w:fldChar w:fldCharType="begin"/>
      </w:r>
      <w:r>
        <w:rPr>
          <w:b/>
          <w:bCs/>
        </w:rPr>
        <w:instrText xml:space="preserve"> SEQ 表 \* ARABIC </w:instrText>
      </w:r>
      <w:r>
        <w:rPr>
          <w:b/>
          <w:bCs/>
        </w:rPr>
        <w:fldChar w:fldCharType="separate"/>
      </w:r>
      <w:r>
        <w:rPr>
          <w:b/>
          <w:bCs/>
        </w:rPr>
        <w:t>1</w:t>
      </w:r>
      <w:r>
        <w:rPr>
          <w:b/>
          <w:bCs/>
        </w:rPr>
        <w:fldChar w:fldCharType="end"/>
      </w:r>
      <w:bookmarkEnd w:id="772"/>
      <w:r>
        <w:rPr>
          <w:b/>
          <w:bCs/>
        </w:rPr>
        <w:t xml:space="preserve">  在校生分布表</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7"/>
        <w:gridCol w:w="1838"/>
        <w:gridCol w:w="1839"/>
        <w:gridCol w:w="1709"/>
        <w:gridCol w:w="18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4" w:type="pct"/>
            <w:shd w:val="clear" w:color="auto" w:fill="BDD6EE" w:themeFill="accent1" w:themeFillTint="66"/>
            <w:vAlign w:val="center"/>
          </w:tcPr>
          <w:p>
            <w:pPr>
              <w:spacing w:line="360" w:lineRule="auto"/>
              <w:jc w:val="center"/>
              <w:rPr>
                <w:kern w:val="0"/>
                <w:sz w:val="21"/>
                <w:szCs w:val="21"/>
              </w:rPr>
            </w:pPr>
            <w:r>
              <w:rPr>
                <w:kern w:val="0"/>
                <w:sz w:val="21"/>
                <w:szCs w:val="21"/>
              </w:rPr>
              <w:t>2018级</w:t>
            </w:r>
          </w:p>
        </w:tc>
        <w:tc>
          <w:tcPr>
            <w:tcW w:w="1014" w:type="pct"/>
            <w:shd w:val="clear" w:color="auto" w:fill="BDD6EE" w:themeFill="accent1" w:themeFillTint="66"/>
            <w:vAlign w:val="center"/>
          </w:tcPr>
          <w:p>
            <w:pPr>
              <w:spacing w:line="360" w:lineRule="auto"/>
              <w:jc w:val="center"/>
              <w:rPr>
                <w:kern w:val="0"/>
                <w:sz w:val="21"/>
                <w:szCs w:val="21"/>
              </w:rPr>
            </w:pPr>
            <w:r>
              <w:rPr>
                <w:kern w:val="0"/>
                <w:sz w:val="21"/>
                <w:szCs w:val="21"/>
              </w:rPr>
              <w:t>2019级</w:t>
            </w:r>
          </w:p>
        </w:tc>
        <w:tc>
          <w:tcPr>
            <w:tcW w:w="1015" w:type="pct"/>
            <w:shd w:val="clear" w:color="auto" w:fill="BDD6EE" w:themeFill="accent1" w:themeFillTint="66"/>
            <w:vAlign w:val="center"/>
          </w:tcPr>
          <w:p>
            <w:pPr>
              <w:spacing w:line="360" w:lineRule="auto"/>
              <w:jc w:val="center"/>
              <w:rPr>
                <w:kern w:val="0"/>
                <w:sz w:val="21"/>
                <w:szCs w:val="21"/>
              </w:rPr>
            </w:pPr>
            <w:r>
              <w:rPr>
                <w:kern w:val="0"/>
                <w:sz w:val="21"/>
                <w:szCs w:val="21"/>
              </w:rPr>
              <w:t>2020级</w:t>
            </w:r>
          </w:p>
        </w:tc>
        <w:tc>
          <w:tcPr>
            <w:tcW w:w="943" w:type="pct"/>
            <w:shd w:val="clear" w:color="auto" w:fill="BDD6EE" w:themeFill="accent1" w:themeFillTint="66"/>
          </w:tcPr>
          <w:p>
            <w:pPr>
              <w:spacing w:line="360" w:lineRule="auto"/>
              <w:jc w:val="center"/>
              <w:rPr>
                <w:kern w:val="0"/>
                <w:sz w:val="21"/>
                <w:szCs w:val="21"/>
              </w:rPr>
            </w:pPr>
            <w:r>
              <w:rPr>
                <w:kern w:val="0"/>
                <w:sz w:val="21"/>
                <w:szCs w:val="21"/>
              </w:rPr>
              <w:t>2021级</w:t>
            </w:r>
          </w:p>
        </w:tc>
        <w:tc>
          <w:tcPr>
            <w:tcW w:w="1014" w:type="pct"/>
            <w:shd w:val="clear" w:color="auto" w:fill="BDD6EE" w:themeFill="accent1" w:themeFillTint="66"/>
          </w:tcPr>
          <w:p>
            <w:pPr>
              <w:spacing w:line="360" w:lineRule="auto"/>
              <w:jc w:val="center"/>
              <w:rPr>
                <w:kern w:val="0"/>
                <w:sz w:val="21"/>
                <w:szCs w:val="21"/>
              </w:rPr>
            </w:pPr>
            <w:r>
              <w:rPr>
                <w:kern w:val="0"/>
                <w:sz w:val="21"/>
                <w:szCs w:val="21"/>
              </w:rPr>
              <w:t>总人数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4" w:type="pct"/>
            <w:vAlign w:val="center"/>
          </w:tcPr>
          <w:p>
            <w:pPr>
              <w:spacing w:line="360" w:lineRule="auto"/>
              <w:jc w:val="center"/>
              <w:rPr>
                <w:kern w:val="0"/>
                <w:sz w:val="21"/>
                <w:szCs w:val="21"/>
              </w:rPr>
            </w:pPr>
            <w:r>
              <w:rPr>
                <w:kern w:val="0"/>
                <w:sz w:val="21"/>
                <w:szCs w:val="21"/>
              </w:rPr>
              <w:t>73</w:t>
            </w:r>
          </w:p>
        </w:tc>
        <w:tc>
          <w:tcPr>
            <w:tcW w:w="1014" w:type="pct"/>
          </w:tcPr>
          <w:p>
            <w:pPr>
              <w:spacing w:line="360" w:lineRule="auto"/>
              <w:jc w:val="center"/>
              <w:rPr>
                <w:kern w:val="0"/>
                <w:sz w:val="21"/>
                <w:szCs w:val="21"/>
              </w:rPr>
            </w:pPr>
            <w:r>
              <w:rPr>
                <w:kern w:val="0"/>
                <w:sz w:val="21"/>
                <w:szCs w:val="21"/>
              </w:rPr>
              <w:t>54</w:t>
            </w:r>
          </w:p>
        </w:tc>
        <w:tc>
          <w:tcPr>
            <w:tcW w:w="1015" w:type="pct"/>
          </w:tcPr>
          <w:p>
            <w:pPr>
              <w:spacing w:line="360" w:lineRule="auto"/>
              <w:jc w:val="center"/>
              <w:rPr>
                <w:kern w:val="0"/>
                <w:sz w:val="21"/>
                <w:szCs w:val="21"/>
              </w:rPr>
            </w:pPr>
            <w:r>
              <w:rPr>
                <w:kern w:val="0"/>
                <w:sz w:val="21"/>
                <w:szCs w:val="21"/>
              </w:rPr>
              <w:t>49</w:t>
            </w:r>
          </w:p>
        </w:tc>
        <w:tc>
          <w:tcPr>
            <w:tcW w:w="943" w:type="pct"/>
          </w:tcPr>
          <w:p>
            <w:pPr>
              <w:spacing w:line="360" w:lineRule="auto"/>
              <w:jc w:val="center"/>
              <w:rPr>
                <w:kern w:val="0"/>
                <w:sz w:val="21"/>
                <w:szCs w:val="21"/>
              </w:rPr>
            </w:pPr>
            <w:r>
              <w:rPr>
                <w:kern w:val="0"/>
                <w:sz w:val="21"/>
                <w:szCs w:val="21"/>
              </w:rPr>
              <w:t>58</w:t>
            </w:r>
          </w:p>
        </w:tc>
        <w:tc>
          <w:tcPr>
            <w:tcW w:w="1014" w:type="pct"/>
          </w:tcPr>
          <w:p>
            <w:pPr>
              <w:spacing w:line="360" w:lineRule="auto"/>
              <w:jc w:val="center"/>
              <w:rPr>
                <w:kern w:val="0"/>
                <w:sz w:val="21"/>
                <w:szCs w:val="21"/>
              </w:rPr>
            </w:pPr>
            <w:r>
              <w:rPr>
                <w:kern w:val="0"/>
                <w:sz w:val="21"/>
                <w:szCs w:val="21"/>
              </w:rPr>
              <w:t>234</w:t>
            </w:r>
          </w:p>
        </w:tc>
      </w:tr>
    </w:tbl>
    <w:p>
      <w:pPr>
        <w:pStyle w:val="45"/>
        <w:ind w:firstLine="480"/>
        <w:rPr>
          <w:rFonts w:ascii="Times New Roman" w:hAnsi="Times New Roman"/>
        </w:rPr>
      </w:pPr>
      <w:bookmarkStart w:id="773" w:name="_Toc439229085"/>
      <w:bookmarkStart w:id="774" w:name="_Toc439226868"/>
      <w:bookmarkStart w:id="775" w:name="_Toc439254776"/>
      <w:bookmarkStart w:id="776" w:name="_Toc439256268"/>
      <w:r>
        <w:rPr>
          <w:rFonts w:ascii="Times New Roman" w:hAnsi="Times New Roman"/>
        </w:rPr>
        <w:t>3.课程</w:t>
      </w:r>
      <w:bookmarkEnd w:id="773"/>
      <w:bookmarkEnd w:id="774"/>
      <w:bookmarkEnd w:id="775"/>
      <w:bookmarkEnd w:id="776"/>
      <w:r>
        <w:rPr>
          <w:rFonts w:ascii="Times New Roman" w:hAnsi="Times New Roman"/>
        </w:rPr>
        <w:t>体系</w:t>
      </w:r>
    </w:p>
    <w:p>
      <w:pPr>
        <w:ind w:firstLine="480" w:firstLineChars="200"/>
      </w:pPr>
      <w:r>
        <w:t>为适应学分制的要求，测绘工程专业2018级至2021级都执行2018版人才培养方案，总学分为170学分。其中，必修课143学分、选修课27学分。实验课15.375学分和实践环节35.5学分（含操作性实验课学分和实践学分，其中理论课所含的实验实训学分按所占理论课学时进行换算）共50.875学分，实验学分和实践环节学分占总学分29.926%。</w:t>
      </w:r>
    </w:p>
    <w:p>
      <w:pPr>
        <w:ind w:firstLine="480" w:firstLineChars="200"/>
      </w:pPr>
      <w:r>
        <w:t>通识课程：思政类课程、大学英语、计算机基础、体育等。</w:t>
      </w:r>
    </w:p>
    <w:p>
      <w:pPr>
        <w:ind w:firstLine="480" w:firstLineChars="200"/>
      </w:pPr>
      <w:r>
        <w:t>基础课程：高等数学、线性代数、概率统计、大学物理、计算机程序设计、工程制图等。</w:t>
      </w:r>
    </w:p>
    <w:p>
      <w:pPr>
        <w:ind w:firstLine="480" w:firstLineChars="200"/>
      </w:pPr>
      <w:r>
        <w:t>专业课程：测绘学概论、误差理论与测量平差基础、地图制图学、数字地形测量学、大地测量学基础、GNSS原理及应用、摄影测量学、遥感原理与应用、地理信息系统原理与应用、工程测量学、不动产测量、测绘程序设计、测绘专业英语等。</w:t>
      </w:r>
    </w:p>
    <w:p>
      <w:pPr>
        <w:ind w:firstLine="480" w:firstLineChars="200"/>
      </w:pPr>
      <w:r>
        <w:t>主要实践环节包括：思政社会实践、社会实践与调查报告、专业认识实习、数字地形测量实验及实习、大地测量与GNSS应用实验及实习、摄影测量实验及实习、遥感原理与应用实验及实习、地理信息系统原理与应用实验及实习、工程测量和不动产测量实验及实习，大地测量学与GNSS综合课程设计、工程测量课程设计、创新创业实践、毕业实习、毕业论文（设计）等。</w:t>
      </w:r>
    </w:p>
    <w:p>
      <w:pPr>
        <w:pStyle w:val="45"/>
        <w:ind w:firstLine="480"/>
        <w:rPr>
          <w:rFonts w:ascii="Times New Roman" w:hAnsi="Times New Roman"/>
        </w:rPr>
      </w:pPr>
      <w:bookmarkStart w:id="777" w:name="_Toc439226869"/>
      <w:bookmarkStart w:id="778" w:name="_Toc439256269"/>
      <w:bookmarkStart w:id="779" w:name="_Toc439254777"/>
      <w:bookmarkStart w:id="780" w:name="_Toc439229086"/>
      <w:r>
        <w:rPr>
          <w:rFonts w:ascii="Times New Roman" w:hAnsi="Times New Roman"/>
        </w:rPr>
        <w:t>4.创新创业教育</w:t>
      </w:r>
      <w:bookmarkEnd w:id="777"/>
      <w:bookmarkEnd w:id="778"/>
      <w:bookmarkEnd w:id="779"/>
      <w:bookmarkEnd w:id="780"/>
    </w:p>
    <w:p>
      <w:pPr>
        <w:ind w:firstLine="480" w:firstLineChars="200"/>
      </w:pPr>
      <w:r>
        <w:t>专业人才培养过程中，充分体现学生创新意识、创新精神和创新能力的培养，同时注重学生创业实践能力培养。实践教学环节共计40.5周，目的是加强实践教学环节，培养学生动手操作能力，促进理论学习，同时加大教学与生产实践相结合力度，综合性实习紧密结合工程实际，学生利用假期到实习基地实践锻炼，培养学生创业意识。另外，设立各级各类大学生创新创业实践项目100余项，其中国家创新项目8项、测绘特色专业建设经费设立项目40项，校级项目80余项，为学生创新能力培养提供了良好条件。学生广泛参加国家、省级的大学生数学竞赛、英语竞赛，测量技能竞赛，提高学生竞争意识。在历年全国大学生测量技能竞赛、全国大学生测绘科技论文竞赛、山东省大学生测量技能竞赛、大学生数学竞赛、全国GIS大赛中，我校测绘工程专业学生多次获得特等奖、一等奖。</w:t>
      </w:r>
    </w:p>
    <w:p>
      <w:pPr>
        <w:pStyle w:val="5"/>
        <w:spacing w:before="93" w:after="93"/>
        <w:ind w:firstLine="560"/>
      </w:pPr>
      <w:bookmarkStart w:id="781" w:name="_Toc15478"/>
      <w:r>
        <w:t>三、培养条件</w:t>
      </w:r>
      <w:bookmarkEnd w:id="781"/>
    </w:p>
    <w:p>
      <w:pPr>
        <w:pStyle w:val="45"/>
        <w:ind w:firstLine="480"/>
        <w:rPr>
          <w:rFonts w:ascii="Times New Roman" w:hAnsi="Times New Roman"/>
        </w:rPr>
      </w:pPr>
      <w:bookmarkStart w:id="782" w:name="_Toc439226870"/>
      <w:bookmarkStart w:id="783" w:name="_Toc439229087"/>
      <w:bookmarkStart w:id="784" w:name="_Toc439256270"/>
      <w:bookmarkStart w:id="785" w:name="_Toc439254778"/>
      <w:r>
        <w:rPr>
          <w:rFonts w:ascii="Times New Roman" w:hAnsi="Times New Roman"/>
        </w:rPr>
        <w:t>1.教学经费投入与教学设备</w:t>
      </w:r>
      <w:bookmarkEnd w:id="782"/>
      <w:bookmarkEnd w:id="783"/>
      <w:bookmarkEnd w:id="784"/>
      <w:bookmarkEnd w:id="785"/>
    </w:p>
    <w:p>
      <w:pPr>
        <w:ind w:firstLine="480" w:firstLineChars="200"/>
      </w:pPr>
      <w:r>
        <w:t>学校不断加大教学投入，生均实习经费1000余元，测绘工程专业共计32.6211万元。2019年获得山东省专业认证奖励计划资金50万元，用于更新先进测绘实验装备。通过多种渠道争取各种专项经费，以及校企联合等方式用于实验室设备的更新、先进信息化测绘设备的购置。通过以上措施，近年实验室共获得各类经费支持208.65万元，新增价值30万元的可用于倾斜摄影测量的六旋翼无人机1台，新增价值40万元的便携式高光谱成像仪1台，新增数字摄影实验室一个，配置有摄影测量工作站和相应软件60套，新增全站仪25台，电子水准仪3台，卫星接收机6台，小型无人机1架。</w:t>
      </w:r>
    </w:p>
    <w:p>
      <w:pPr>
        <w:pStyle w:val="45"/>
        <w:ind w:firstLine="480"/>
        <w:rPr>
          <w:rFonts w:ascii="Times New Roman" w:hAnsi="Times New Roman"/>
        </w:rPr>
      </w:pPr>
      <w:r>
        <w:rPr>
          <w:rFonts w:ascii="Times New Roman" w:hAnsi="Times New Roman"/>
        </w:rPr>
        <w:t>2.教师队伍建设</w:t>
      </w:r>
    </w:p>
    <w:p>
      <w:pPr>
        <w:ind w:firstLine="480" w:firstLineChars="200"/>
      </w:pPr>
      <w:r>
        <w:t>（1）专任教师</w:t>
      </w:r>
    </w:p>
    <w:p>
      <w:pPr>
        <w:ind w:firstLine="480" w:firstLineChars="200"/>
      </w:pPr>
      <w:r>
        <w:t>本专业教师能满足教学需求，已经形成了以学科和学术带头人为核心、中青年教师为骨干，年龄、学历、职称、学缘等结构较为合理的专业教学和科研教师队伍，并有企业或行业专家作为兼职教师，可满足本专业教学和工程教育的需要。</w:t>
      </w:r>
    </w:p>
    <w:p>
      <w:pPr>
        <w:ind w:firstLine="480" w:firstLineChars="200"/>
      </w:pPr>
      <w:r>
        <w:t>本专业现有专任教师21人，专业教师队伍结构如</w:t>
      </w:r>
      <w:r>
        <w:fldChar w:fldCharType="begin"/>
      </w:r>
      <w:r>
        <w:instrText xml:space="preserve"> REF _Ref27644025 \h  \* MERGEFORMAT </w:instrText>
      </w:r>
      <w:r>
        <w:fldChar w:fldCharType="separate"/>
      </w:r>
      <w:r>
        <w:t>表 2</w:t>
      </w:r>
      <w:r>
        <w:fldChar w:fldCharType="end"/>
      </w:r>
      <w:r>
        <w:t>和</w:t>
      </w:r>
      <w:r>
        <w:fldChar w:fldCharType="begin"/>
      </w:r>
      <w:r>
        <w:instrText xml:space="preserve"> REF _Ref27644057 \h  \* MERGEFORMAT </w:instrText>
      </w:r>
      <w:r>
        <w:fldChar w:fldCharType="separate"/>
      </w:r>
      <w:r>
        <w:t>图 1</w:t>
      </w:r>
      <w:r>
        <w:fldChar w:fldCharType="end"/>
      </w:r>
      <w:r>
        <w:t>所示。专任教师学科背景如</w:t>
      </w:r>
      <w:r>
        <w:fldChar w:fldCharType="begin"/>
      </w:r>
      <w:r>
        <w:instrText xml:space="preserve"> REF _Ref27644071 \h  \* MERGEFORMAT </w:instrText>
      </w:r>
      <w:r>
        <w:fldChar w:fldCharType="separate"/>
      </w:r>
      <w:r>
        <w:t>图 2</w:t>
      </w:r>
      <w:r>
        <w:fldChar w:fldCharType="end"/>
      </w:r>
      <w:r>
        <w:t>所示。</w:t>
      </w:r>
    </w:p>
    <w:p>
      <w:pPr>
        <w:ind w:firstLine="480" w:firstLineChars="200"/>
      </w:pPr>
    </w:p>
    <w:p>
      <w:pPr>
        <w:pStyle w:val="37"/>
        <w:spacing w:before="156"/>
        <w:rPr>
          <w:b/>
          <w:bCs/>
        </w:rPr>
      </w:pPr>
      <w:bookmarkStart w:id="786" w:name="_Ref27644025"/>
      <w:r>
        <w:rPr>
          <w:b/>
          <w:bCs/>
        </w:rPr>
        <w:t xml:space="preserve">表 </w:t>
      </w:r>
      <w:r>
        <w:rPr>
          <w:b/>
          <w:bCs/>
        </w:rPr>
        <w:fldChar w:fldCharType="begin"/>
      </w:r>
      <w:r>
        <w:rPr>
          <w:b/>
          <w:bCs/>
        </w:rPr>
        <w:instrText xml:space="preserve"> SEQ 表 \* ARABIC </w:instrText>
      </w:r>
      <w:r>
        <w:rPr>
          <w:b/>
          <w:bCs/>
        </w:rPr>
        <w:fldChar w:fldCharType="separate"/>
      </w:r>
      <w:r>
        <w:rPr>
          <w:b/>
          <w:bCs/>
        </w:rPr>
        <w:t>2</w:t>
      </w:r>
      <w:r>
        <w:rPr>
          <w:b/>
          <w:bCs/>
        </w:rPr>
        <w:fldChar w:fldCharType="end"/>
      </w:r>
      <w:bookmarkEnd w:id="786"/>
      <w:r>
        <w:rPr>
          <w:b/>
          <w:bCs/>
        </w:rPr>
        <w:t xml:space="preserve">  专任教师队伍结构</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0"/>
        <w:gridCol w:w="2167"/>
        <w:gridCol w:w="2831"/>
        <w:gridCol w:w="2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5" w:type="pct"/>
            <w:gridSpan w:val="2"/>
            <w:vMerge w:val="restart"/>
            <w:shd w:val="clear" w:color="auto" w:fill="BDD6EE" w:themeFill="accent1" w:themeFillTint="66"/>
            <w:vAlign w:val="center"/>
          </w:tcPr>
          <w:p>
            <w:pPr>
              <w:snapToGrid w:val="0"/>
              <w:jc w:val="center"/>
              <w:rPr>
                <w:color w:val="000000"/>
                <w:kern w:val="0"/>
                <w:szCs w:val="21"/>
              </w:rPr>
            </w:pPr>
            <w:r>
              <w:rPr>
                <w:color w:val="000000"/>
                <w:kern w:val="0"/>
                <w:szCs w:val="21"/>
              </w:rPr>
              <w:t>总体情况</w:t>
            </w:r>
          </w:p>
        </w:tc>
        <w:tc>
          <w:tcPr>
            <w:tcW w:w="3125" w:type="pct"/>
            <w:gridSpan w:val="2"/>
            <w:shd w:val="clear" w:color="auto" w:fill="BDD6EE" w:themeFill="accent1" w:themeFillTint="66"/>
            <w:vAlign w:val="center"/>
          </w:tcPr>
          <w:p>
            <w:pPr>
              <w:snapToGrid w:val="0"/>
              <w:jc w:val="center"/>
              <w:rPr>
                <w:color w:val="000000"/>
                <w:kern w:val="0"/>
                <w:szCs w:val="21"/>
              </w:rPr>
            </w:pPr>
            <w:r>
              <w:rPr>
                <w:color w:val="000000"/>
                <w:kern w:val="0"/>
                <w:szCs w:val="21"/>
              </w:rPr>
              <w:t>专任教师人数及比例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5" w:type="pct"/>
            <w:gridSpan w:val="2"/>
            <w:vMerge w:val="continue"/>
            <w:shd w:val="clear" w:color="auto" w:fill="BDD6EE" w:themeFill="accent1" w:themeFillTint="66"/>
            <w:vAlign w:val="center"/>
          </w:tcPr>
          <w:p>
            <w:pPr>
              <w:snapToGrid w:val="0"/>
              <w:jc w:val="center"/>
              <w:rPr>
                <w:color w:val="000000"/>
                <w:kern w:val="0"/>
                <w:szCs w:val="21"/>
              </w:rPr>
            </w:pPr>
          </w:p>
        </w:tc>
        <w:tc>
          <w:tcPr>
            <w:tcW w:w="1562" w:type="pct"/>
            <w:shd w:val="clear" w:color="auto" w:fill="BDD6EE" w:themeFill="accent1" w:themeFillTint="66"/>
            <w:vAlign w:val="center"/>
          </w:tcPr>
          <w:p>
            <w:pPr>
              <w:snapToGrid w:val="0"/>
              <w:jc w:val="center"/>
              <w:rPr>
                <w:color w:val="000000"/>
                <w:kern w:val="0"/>
                <w:szCs w:val="21"/>
              </w:rPr>
            </w:pPr>
            <w:r>
              <w:rPr>
                <w:color w:val="000000"/>
                <w:kern w:val="0"/>
                <w:szCs w:val="21"/>
              </w:rPr>
              <w:t>人数</w:t>
            </w:r>
          </w:p>
        </w:tc>
        <w:tc>
          <w:tcPr>
            <w:tcW w:w="1563" w:type="pct"/>
            <w:shd w:val="clear" w:color="auto" w:fill="BDD6EE" w:themeFill="accent1" w:themeFillTint="66"/>
            <w:vAlign w:val="center"/>
          </w:tcPr>
          <w:p>
            <w:pPr>
              <w:snapToGrid w:val="0"/>
              <w:jc w:val="center"/>
              <w:rPr>
                <w:color w:val="000000"/>
                <w:kern w:val="0"/>
                <w:szCs w:val="21"/>
              </w:rPr>
            </w:pPr>
            <w:r>
              <w:rPr>
                <w:color w:val="000000"/>
                <w:kern w:val="0"/>
                <w:szCs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5" w:type="pct"/>
            <w:gridSpan w:val="2"/>
            <w:vMerge w:val="continue"/>
            <w:tcBorders>
              <w:bottom w:val="single" w:color="auto" w:sz="4" w:space="0"/>
            </w:tcBorders>
            <w:shd w:val="clear" w:color="auto" w:fill="BDD6EE" w:themeFill="accent1" w:themeFillTint="66"/>
            <w:vAlign w:val="center"/>
          </w:tcPr>
          <w:p>
            <w:pPr>
              <w:snapToGrid w:val="0"/>
              <w:jc w:val="center"/>
              <w:rPr>
                <w:b/>
                <w:color w:val="000000"/>
                <w:kern w:val="0"/>
                <w:szCs w:val="21"/>
              </w:rPr>
            </w:pPr>
          </w:p>
        </w:tc>
        <w:tc>
          <w:tcPr>
            <w:tcW w:w="1562" w:type="pct"/>
            <w:tcBorders>
              <w:bottom w:val="single" w:color="auto" w:sz="4" w:space="0"/>
            </w:tcBorders>
            <w:shd w:val="clear" w:color="auto" w:fill="BDD6EE" w:themeFill="accent1" w:themeFillTint="66"/>
            <w:vAlign w:val="center"/>
          </w:tcPr>
          <w:p>
            <w:pPr>
              <w:snapToGrid w:val="0"/>
              <w:jc w:val="center"/>
              <w:rPr>
                <w:color w:val="000000"/>
                <w:kern w:val="0"/>
                <w:szCs w:val="21"/>
              </w:rPr>
            </w:pPr>
            <w:r>
              <w:rPr>
                <w:color w:val="000000"/>
                <w:kern w:val="0"/>
                <w:szCs w:val="21"/>
              </w:rPr>
              <w:t>21</w:t>
            </w:r>
          </w:p>
        </w:tc>
        <w:tc>
          <w:tcPr>
            <w:tcW w:w="1563" w:type="pct"/>
            <w:tcBorders>
              <w:bottom w:val="single" w:color="auto" w:sz="4" w:space="0"/>
            </w:tcBorders>
            <w:shd w:val="clear" w:color="auto" w:fill="BDD6EE" w:themeFill="accent1" w:themeFillTint="66"/>
            <w:vAlign w:val="center"/>
          </w:tcPr>
          <w:p>
            <w:pPr>
              <w:snapToGrid w:val="0"/>
              <w:jc w:val="center"/>
              <w:rPr>
                <w:color w:val="000000"/>
                <w:kern w:val="0"/>
                <w:szCs w:val="21"/>
              </w:rPr>
            </w:pPr>
            <w:r>
              <w:rPr>
                <w:color w:val="000000"/>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9" w:type="pct"/>
            <w:vMerge w:val="restart"/>
            <w:shd w:val="clear" w:color="auto" w:fill="BDD6EE" w:themeFill="accent1" w:themeFillTint="66"/>
            <w:vAlign w:val="center"/>
          </w:tcPr>
          <w:p>
            <w:pPr>
              <w:snapToGrid w:val="0"/>
              <w:jc w:val="center"/>
              <w:rPr>
                <w:color w:val="000000"/>
                <w:kern w:val="0"/>
                <w:szCs w:val="21"/>
              </w:rPr>
            </w:pPr>
            <w:r>
              <w:rPr>
                <w:color w:val="000000"/>
                <w:kern w:val="0"/>
                <w:szCs w:val="21"/>
              </w:rPr>
              <w:t>职称</w:t>
            </w:r>
          </w:p>
        </w:tc>
        <w:tc>
          <w:tcPr>
            <w:tcW w:w="1196" w:type="pct"/>
            <w:shd w:val="clear" w:color="auto" w:fill="BDD6EE" w:themeFill="accent1" w:themeFillTint="66"/>
            <w:vAlign w:val="center"/>
          </w:tcPr>
          <w:p>
            <w:pPr>
              <w:snapToGrid w:val="0"/>
              <w:jc w:val="center"/>
              <w:rPr>
                <w:color w:val="000000"/>
                <w:kern w:val="0"/>
                <w:szCs w:val="21"/>
              </w:rPr>
            </w:pPr>
            <w:r>
              <w:rPr>
                <w:color w:val="000000"/>
                <w:kern w:val="0"/>
                <w:szCs w:val="21"/>
              </w:rPr>
              <w:t>正高级</w:t>
            </w:r>
          </w:p>
        </w:tc>
        <w:tc>
          <w:tcPr>
            <w:tcW w:w="1562" w:type="pct"/>
            <w:shd w:val="clear" w:color="auto" w:fill="E7E6E6" w:themeFill="background2"/>
          </w:tcPr>
          <w:p>
            <w:pPr>
              <w:jc w:val="center"/>
              <w:rPr>
                <w:sz w:val="18"/>
                <w:szCs w:val="18"/>
              </w:rPr>
            </w:pPr>
            <w:r>
              <w:rPr>
                <w:sz w:val="18"/>
                <w:szCs w:val="18"/>
              </w:rPr>
              <w:t>1</w:t>
            </w:r>
          </w:p>
        </w:tc>
        <w:tc>
          <w:tcPr>
            <w:tcW w:w="1563" w:type="pct"/>
            <w:shd w:val="clear" w:color="auto" w:fill="E7E6E6" w:themeFill="background2"/>
          </w:tcPr>
          <w:p>
            <w:pPr>
              <w:jc w:val="center"/>
              <w:rPr>
                <w:sz w:val="18"/>
                <w:szCs w:val="18"/>
              </w:rPr>
            </w:pPr>
            <w:r>
              <w:rPr>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9" w:type="pct"/>
            <w:vMerge w:val="continue"/>
            <w:shd w:val="clear" w:color="auto" w:fill="BDD6EE" w:themeFill="accent1" w:themeFillTint="66"/>
            <w:vAlign w:val="center"/>
          </w:tcPr>
          <w:p>
            <w:pPr>
              <w:snapToGrid w:val="0"/>
              <w:jc w:val="center"/>
              <w:rPr>
                <w:color w:val="000000"/>
                <w:kern w:val="0"/>
                <w:szCs w:val="21"/>
              </w:rPr>
            </w:pPr>
          </w:p>
        </w:tc>
        <w:tc>
          <w:tcPr>
            <w:tcW w:w="1196" w:type="pct"/>
            <w:shd w:val="clear" w:color="auto" w:fill="BDD6EE" w:themeFill="accent1" w:themeFillTint="66"/>
            <w:vAlign w:val="center"/>
          </w:tcPr>
          <w:p>
            <w:pPr>
              <w:snapToGrid w:val="0"/>
              <w:jc w:val="center"/>
              <w:rPr>
                <w:color w:val="000000"/>
                <w:kern w:val="0"/>
                <w:szCs w:val="21"/>
              </w:rPr>
            </w:pPr>
            <w:r>
              <w:rPr>
                <w:color w:val="000000"/>
                <w:kern w:val="0"/>
                <w:szCs w:val="21"/>
              </w:rPr>
              <w:t>副高级</w:t>
            </w:r>
          </w:p>
        </w:tc>
        <w:tc>
          <w:tcPr>
            <w:tcW w:w="1562" w:type="pct"/>
            <w:shd w:val="clear" w:color="auto" w:fill="E7E6E6" w:themeFill="background2"/>
          </w:tcPr>
          <w:p>
            <w:pPr>
              <w:jc w:val="center"/>
              <w:rPr>
                <w:sz w:val="18"/>
                <w:szCs w:val="18"/>
              </w:rPr>
            </w:pPr>
            <w:r>
              <w:rPr>
                <w:sz w:val="18"/>
                <w:szCs w:val="18"/>
              </w:rPr>
              <w:t>8</w:t>
            </w:r>
          </w:p>
        </w:tc>
        <w:tc>
          <w:tcPr>
            <w:tcW w:w="1563" w:type="pct"/>
            <w:shd w:val="clear" w:color="auto" w:fill="E7E6E6" w:themeFill="background2"/>
          </w:tcPr>
          <w:p>
            <w:pPr>
              <w:jc w:val="center"/>
              <w:rPr>
                <w:sz w:val="18"/>
                <w:szCs w:val="18"/>
              </w:rPr>
            </w:pPr>
            <w:r>
              <w:rPr>
                <w:sz w:val="18"/>
                <w:szCs w:val="18"/>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9" w:type="pct"/>
            <w:vMerge w:val="continue"/>
            <w:shd w:val="clear" w:color="auto" w:fill="BDD6EE" w:themeFill="accent1" w:themeFillTint="66"/>
            <w:vAlign w:val="center"/>
          </w:tcPr>
          <w:p>
            <w:pPr>
              <w:snapToGrid w:val="0"/>
              <w:jc w:val="center"/>
              <w:rPr>
                <w:color w:val="000000"/>
                <w:kern w:val="0"/>
                <w:szCs w:val="21"/>
              </w:rPr>
            </w:pPr>
          </w:p>
        </w:tc>
        <w:tc>
          <w:tcPr>
            <w:tcW w:w="1196" w:type="pct"/>
            <w:shd w:val="clear" w:color="auto" w:fill="BDD6EE" w:themeFill="accent1" w:themeFillTint="66"/>
            <w:vAlign w:val="center"/>
          </w:tcPr>
          <w:p>
            <w:pPr>
              <w:snapToGrid w:val="0"/>
              <w:jc w:val="center"/>
              <w:rPr>
                <w:color w:val="000000"/>
                <w:kern w:val="0"/>
                <w:szCs w:val="21"/>
              </w:rPr>
            </w:pPr>
            <w:r>
              <w:rPr>
                <w:color w:val="000000"/>
                <w:kern w:val="0"/>
                <w:szCs w:val="21"/>
              </w:rPr>
              <w:t>中级</w:t>
            </w:r>
          </w:p>
        </w:tc>
        <w:tc>
          <w:tcPr>
            <w:tcW w:w="1562" w:type="pct"/>
            <w:shd w:val="clear" w:color="auto" w:fill="E7E6E6" w:themeFill="background2"/>
          </w:tcPr>
          <w:p>
            <w:pPr>
              <w:jc w:val="center"/>
              <w:rPr>
                <w:sz w:val="18"/>
                <w:szCs w:val="18"/>
              </w:rPr>
            </w:pPr>
            <w:r>
              <w:rPr>
                <w:sz w:val="18"/>
                <w:szCs w:val="18"/>
              </w:rPr>
              <w:t>12</w:t>
            </w:r>
          </w:p>
        </w:tc>
        <w:tc>
          <w:tcPr>
            <w:tcW w:w="1563" w:type="pct"/>
            <w:shd w:val="clear" w:color="auto" w:fill="E7E6E6" w:themeFill="background2"/>
          </w:tcPr>
          <w:p>
            <w:pPr>
              <w:jc w:val="center"/>
              <w:rPr>
                <w:sz w:val="18"/>
                <w:szCs w:val="18"/>
              </w:rPr>
            </w:pPr>
            <w:r>
              <w:rPr>
                <w:sz w:val="18"/>
                <w:szCs w:val="18"/>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9" w:type="pct"/>
            <w:vMerge w:val="restart"/>
            <w:shd w:val="clear" w:color="auto" w:fill="BDD6EE" w:themeFill="accent1" w:themeFillTint="66"/>
            <w:vAlign w:val="center"/>
          </w:tcPr>
          <w:p>
            <w:pPr>
              <w:snapToGrid w:val="0"/>
              <w:jc w:val="center"/>
              <w:rPr>
                <w:color w:val="000000"/>
                <w:kern w:val="0"/>
                <w:szCs w:val="21"/>
              </w:rPr>
            </w:pPr>
            <w:r>
              <w:rPr>
                <w:color w:val="000000"/>
                <w:kern w:val="0"/>
                <w:szCs w:val="21"/>
              </w:rPr>
              <w:t>学位</w:t>
            </w:r>
          </w:p>
        </w:tc>
        <w:tc>
          <w:tcPr>
            <w:tcW w:w="1196" w:type="pct"/>
            <w:shd w:val="clear" w:color="auto" w:fill="BDD6EE" w:themeFill="accent1" w:themeFillTint="66"/>
            <w:vAlign w:val="center"/>
          </w:tcPr>
          <w:p>
            <w:pPr>
              <w:snapToGrid w:val="0"/>
              <w:jc w:val="center"/>
              <w:rPr>
                <w:color w:val="000000"/>
                <w:kern w:val="0"/>
                <w:szCs w:val="21"/>
              </w:rPr>
            </w:pPr>
            <w:r>
              <w:rPr>
                <w:color w:val="000000"/>
                <w:kern w:val="0"/>
                <w:szCs w:val="21"/>
              </w:rPr>
              <w:t>博士</w:t>
            </w:r>
          </w:p>
        </w:tc>
        <w:tc>
          <w:tcPr>
            <w:tcW w:w="1562" w:type="pct"/>
            <w:shd w:val="clear" w:color="auto" w:fill="E7E6E6" w:themeFill="background2"/>
          </w:tcPr>
          <w:p>
            <w:pPr>
              <w:jc w:val="center"/>
              <w:rPr>
                <w:sz w:val="18"/>
                <w:szCs w:val="18"/>
              </w:rPr>
            </w:pPr>
            <w:r>
              <w:rPr>
                <w:sz w:val="18"/>
                <w:szCs w:val="18"/>
              </w:rPr>
              <w:t>15</w:t>
            </w:r>
          </w:p>
        </w:tc>
        <w:tc>
          <w:tcPr>
            <w:tcW w:w="1563" w:type="pct"/>
            <w:shd w:val="clear" w:color="auto" w:fill="E7E6E6" w:themeFill="background2"/>
          </w:tcPr>
          <w:p>
            <w:pPr>
              <w:jc w:val="center"/>
              <w:rPr>
                <w:sz w:val="18"/>
                <w:szCs w:val="18"/>
              </w:rPr>
            </w:pPr>
            <w:r>
              <w:rPr>
                <w:sz w:val="18"/>
                <w:szCs w:val="18"/>
              </w:rPr>
              <w:t>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9" w:type="pct"/>
            <w:vMerge w:val="continue"/>
            <w:shd w:val="clear" w:color="auto" w:fill="BDD6EE" w:themeFill="accent1" w:themeFillTint="66"/>
            <w:vAlign w:val="center"/>
          </w:tcPr>
          <w:p>
            <w:pPr>
              <w:snapToGrid w:val="0"/>
              <w:jc w:val="center"/>
              <w:rPr>
                <w:color w:val="000000"/>
                <w:kern w:val="0"/>
                <w:szCs w:val="21"/>
              </w:rPr>
            </w:pPr>
          </w:p>
        </w:tc>
        <w:tc>
          <w:tcPr>
            <w:tcW w:w="1196" w:type="pct"/>
            <w:shd w:val="clear" w:color="auto" w:fill="BDD6EE" w:themeFill="accent1" w:themeFillTint="66"/>
            <w:vAlign w:val="center"/>
          </w:tcPr>
          <w:p>
            <w:pPr>
              <w:snapToGrid w:val="0"/>
              <w:jc w:val="center"/>
              <w:rPr>
                <w:color w:val="000000"/>
                <w:kern w:val="0"/>
                <w:szCs w:val="21"/>
              </w:rPr>
            </w:pPr>
            <w:r>
              <w:rPr>
                <w:color w:val="000000"/>
                <w:kern w:val="0"/>
                <w:szCs w:val="21"/>
              </w:rPr>
              <w:t>硕士</w:t>
            </w:r>
          </w:p>
        </w:tc>
        <w:tc>
          <w:tcPr>
            <w:tcW w:w="1562" w:type="pct"/>
            <w:shd w:val="clear" w:color="auto" w:fill="E7E6E6" w:themeFill="background2"/>
          </w:tcPr>
          <w:p>
            <w:pPr>
              <w:jc w:val="center"/>
              <w:rPr>
                <w:sz w:val="18"/>
                <w:szCs w:val="18"/>
              </w:rPr>
            </w:pPr>
            <w:r>
              <w:rPr>
                <w:sz w:val="18"/>
                <w:szCs w:val="18"/>
              </w:rPr>
              <w:t>6</w:t>
            </w:r>
          </w:p>
        </w:tc>
        <w:tc>
          <w:tcPr>
            <w:tcW w:w="1563" w:type="pct"/>
            <w:shd w:val="clear" w:color="auto" w:fill="E7E6E6" w:themeFill="background2"/>
          </w:tcPr>
          <w:p>
            <w:pPr>
              <w:jc w:val="center"/>
              <w:rPr>
                <w:sz w:val="18"/>
                <w:szCs w:val="18"/>
              </w:rPr>
            </w:pPr>
            <w:r>
              <w:rPr>
                <w:sz w:val="18"/>
                <w:szCs w:val="18"/>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9" w:type="pct"/>
            <w:vMerge w:val="restart"/>
            <w:shd w:val="clear" w:color="auto" w:fill="BDD6EE" w:themeFill="accent1" w:themeFillTint="66"/>
            <w:vAlign w:val="center"/>
          </w:tcPr>
          <w:p>
            <w:pPr>
              <w:snapToGrid w:val="0"/>
              <w:jc w:val="center"/>
              <w:rPr>
                <w:color w:val="000000"/>
                <w:kern w:val="0"/>
                <w:szCs w:val="21"/>
              </w:rPr>
            </w:pPr>
            <w:r>
              <w:rPr>
                <w:color w:val="000000"/>
                <w:kern w:val="0"/>
                <w:szCs w:val="21"/>
              </w:rPr>
              <w:t>年龄</w:t>
            </w:r>
          </w:p>
        </w:tc>
        <w:tc>
          <w:tcPr>
            <w:tcW w:w="1196" w:type="pct"/>
            <w:shd w:val="clear" w:color="auto" w:fill="BDD6EE" w:themeFill="accent1" w:themeFillTint="66"/>
            <w:vAlign w:val="center"/>
          </w:tcPr>
          <w:p>
            <w:pPr>
              <w:snapToGrid w:val="0"/>
              <w:jc w:val="center"/>
              <w:rPr>
                <w:color w:val="000000"/>
                <w:kern w:val="0"/>
                <w:szCs w:val="21"/>
              </w:rPr>
            </w:pPr>
            <w:r>
              <w:rPr>
                <w:color w:val="000000"/>
                <w:kern w:val="0"/>
                <w:szCs w:val="21"/>
              </w:rPr>
              <w:t>35岁及以下</w:t>
            </w:r>
          </w:p>
        </w:tc>
        <w:tc>
          <w:tcPr>
            <w:tcW w:w="1562" w:type="pct"/>
            <w:shd w:val="clear" w:color="auto" w:fill="E7E6E6" w:themeFill="background2"/>
          </w:tcPr>
          <w:p>
            <w:pPr>
              <w:jc w:val="center"/>
              <w:rPr>
                <w:sz w:val="18"/>
                <w:szCs w:val="18"/>
              </w:rPr>
            </w:pPr>
            <w:r>
              <w:rPr>
                <w:sz w:val="18"/>
                <w:szCs w:val="18"/>
              </w:rPr>
              <w:t>3</w:t>
            </w:r>
          </w:p>
        </w:tc>
        <w:tc>
          <w:tcPr>
            <w:tcW w:w="1563" w:type="pct"/>
            <w:shd w:val="clear" w:color="auto" w:fill="E7E6E6" w:themeFill="background2"/>
          </w:tcPr>
          <w:p>
            <w:pPr>
              <w:jc w:val="center"/>
              <w:rPr>
                <w:sz w:val="18"/>
                <w:szCs w:val="18"/>
              </w:rPr>
            </w:pPr>
            <w:r>
              <w:rPr>
                <w:sz w:val="18"/>
                <w:szCs w:val="18"/>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9" w:type="pct"/>
            <w:vMerge w:val="continue"/>
            <w:shd w:val="clear" w:color="auto" w:fill="BDD6EE" w:themeFill="accent1" w:themeFillTint="66"/>
            <w:vAlign w:val="center"/>
          </w:tcPr>
          <w:p>
            <w:pPr>
              <w:snapToGrid w:val="0"/>
              <w:jc w:val="center"/>
              <w:rPr>
                <w:color w:val="000000"/>
                <w:kern w:val="0"/>
                <w:szCs w:val="21"/>
              </w:rPr>
            </w:pPr>
          </w:p>
        </w:tc>
        <w:tc>
          <w:tcPr>
            <w:tcW w:w="1196" w:type="pct"/>
            <w:shd w:val="clear" w:color="auto" w:fill="BDD6EE" w:themeFill="accent1" w:themeFillTint="66"/>
            <w:vAlign w:val="center"/>
          </w:tcPr>
          <w:p>
            <w:pPr>
              <w:snapToGrid w:val="0"/>
              <w:jc w:val="center"/>
              <w:rPr>
                <w:kern w:val="0"/>
                <w:szCs w:val="21"/>
              </w:rPr>
            </w:pPr>
            <w:r>
              <w:rPr>
                <w:kern w:val="0"/>
                <w:szCs w:val="21"/>
              </w:rPr>
              <w:t>36-45岁</w:t>
            </w:r>
          </w:p>
        </w:tc>
        <w:tc>
          <w:tcPr>
            <w:tcW w:w="1562" w:type="pct"/>
            <w:shd w:val="clear" w:color="auto" w:fill="E7E6E6" w:themeFill="background2"/>
          </w:tcPr>
          <w:p>
            <w:pPr>
              <w:jc w:val="center"/>
              <w:rPr>
                <w:sz w:val="18"/>
                <w:szCs w:val="18"/>
              </w:rPr>
            </w:pPr>
            <w:r>
              <w:rPr>
                <w:sz w:val="18"/>
                <w:szCs w:val="18"/>
              </w:rPr>
              <w:t>14</w:t>
            </w:r>
          </w:p>
        </w:tc>
        <w:tc>
          <w:tcPr>
            <w:tcW w:w="1563" w:type="pct"/>
            <w:shd w:val="clear" w:color="auto" w:fill="E7E6E6" w:themeFill="background2"/>
          </w:tcPr>
          <w:p>
            <w:pPr>
              <w:jc w:val="center"/>
              <w:rPr>
                <w:sz w:val="18"/>
                <w:szCs w:val="18"/>
              </w:rPr>
            </w:pPr>
            <w:r>
              <w:rPr>
                <w:sz w:val="18"/>
                <w:szCs w:val="18"/>
              </w:rPr>
              <w:t>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9" w:type="pct"/>
            <w:vMerge w:val="continue"/>
            <w:shd w:val="clear" w:color="auto" w:fill="BDD6EE" w:themeFill="accent1" w:themeFillTint="66"/>
            <w:vAlign w:val="center"/>
          </w:tcPr>
          <w:p>
            <w:pPr>
              <w:snapToGrid w:val="0"/>
              <w:jc w:val="center"/>
              <w:rPr>
                <w:color w:val="000000"/>
                <w:kern w:val="0"/>
                <w:szCs w:val="21"/>
              </w:rPr>
            </w:pPr>
          </w:p>
        </w:tc>
        <w:tc>
          <w:tcPr>
            <w:tcW w:w="1196" w:type="pct"/>
            <w:shd w:val="clear" w:color="auto" w:fill="BDD6EE" w:themeFill="accent1" w:themeFillTint="66"/>
            <w:vAlign w:val="center"/>
          </w:tcPr>
          <w:p>
            <w:pPr>
              <w:snapToGrid w:val="0"/>
              <w:jc w:val="center"/>
              <w:rPr>
                <w:kern w:val="0"/>
                <w:szCs w:val="21"/>
              </w:rPr>
            </w:pPr>
            <w:r>
              <w:rPr>
                <w:kern w:val="0"/>
                <w:szCs w:val="21"/>
              </w:rPr>
              <w:t>46-55岁</w:t>
            </w:r>
          </w:p>
        </w:tc>
        <w:tc>
          <w:tcPr>
            <w:tcW w:w="1562" w:type="pct"/>
            <w:shd w:val="clear" w:color="auto" w:fill="E7E6E6" w:themeFill="background2"/>
          </w:tcPr>
          <w:p>
            <w:pPr>
              <w:jc w:val="center"/>
              <w:rPr>
                <w:sz w:val="18"/>
                <w:szCs w:val="18"/>
              </w:rPr>
            </w:pPr>
            <w:r>
              <w:rPr>
                <w:sz w:val="18"/>
                <w:szCs w:val="18"/>
              </w:rPr>
              <w:t>1</w:t>
            </w:r>
          </w:p>
        </w:tc>
        <w:tc>
          <w:tcPr>
            <w:tcW w:w="1563" w:type="pct"/>
            <w:shd w:val="clear" w:color="auto" w:fill="E7E6E6" w:themeFill="background2"/>
          </w:tcPr>
          <w:p>
            <w:pPr>
              <w:jc w:val="center"/>
              <w:rPr>
                <w:sz w:val="18"/>
                <w:szCs w:val="18"/>
              </w:rPr>
            </w:pPr>
            <w:r>
              <w:rPr>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9" w:type="pct"/>
            <w:vMerge w:val="continue"/>
            <w:shd w:val="clear" w:color="auto" w:fill="BDD6EE" w:themeFill="accent1" w:themeFillTint="66"/>
            <w:vAlign w:val="center"/>
          </w:tcPr>
          <w:p>
            <w:pPr>
              <w:snapToGrid w:val="0"/>
              <w:jc w:val="center"/>
              <w:rPr>
                <w:color w:val="000000"/>
                <w:kern w:val="0"/>
                <w:szCs w:val="21"/>
              </w:rPr>
            </w:pPr>
          </w:p>
        </w:tc>
        <w:tc>
          <w:tcPr>
            <w:tcW w:w="1196" w:type="pct"/>
            <w:shd w:val="clear" w:color="auto" w:fill="BDD6EE" w:themeFill="accent1" w:themeFillTint="66"/>
            <w:vAlign w:val="center"/>
          </w:tcPr>
          <w:p>
            <w:pPr>
              <w:snapToGrid w:val="0"/>
              <w:jc w:val="center"/>
              <w:rPr>
                <w:color w:val="000000"/>
                <w:kern w:val="0"/>
                <w:szCs w:val="21"/>
              </w:rPr>
            </w:pPr>
            <w:r>
              <w:rPr>
                <w:color w:val="000000"/>
                <w:kern w:val="0"/>
                <w:szCs w:val="21"/>
              </w:rPr>
              <w:t>56岁及以上</w:t>
            </w:r>
          </w:p>
        </w:tc>
        <w:tc>
          <w:tcPr>
            <w:tcW w:w="1562" w:type="pct"/>
            <w:shd w:val="clear" w:color="auto" w:fill="E7E6E6" w:themeFill="background2"/>
          </w:tcPr>
          <w:p>
            <w:pPr>
              <w:jc w:val="center"/>
              <w:rPr>
                <w:sz w:val="18"/>
                <w:szCs w:val="18"/>
              </w:rPr>
            </w:pPr>
            <w:r>
              <w:rPr>
                <w:sz w:val="18"/>
                <w:szCs w:val="18"/>
              </w:rPr>
              <w:t>3</w:t>
            </w:r>
          </w:p>
        </w:tc>
        <w:tc>
          <w:tcPr>
            <w:tcW w:w="1563" w:type="pct"/>
            <w:shd w:val="clear" w:color="auto" w:fill="E7E6E6" w:themeFill="background2"/>
          </w:tcPr>
          <w:p>
            <w:pPr>
              <w:jc w:val="center"/>
              <w:rPr>
                <w:sz w:val="18"/>
                <w:szCs w:val="18"/>
              </w:rPr>
            </w:pPr>
            <w:r>
              <w:rPr>
                <w:sz w:val="18"/>
                <w:szCs w:val="18"/>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9" w:type="pct"/>
            <w:vMerge w:val="restart"/>
            <w:shd w:val="clear" w:color="auto" w:fill="BDD6EE" w:themeFill="accent1" w:themeFillTint="66"/>
            <w:vAlign w:val="center"/>
          </w:tcPr>
          <w:p>
            <w:pPr>
              <w:snapToGrid w:val="0"/>
              <w:jc w:val="center"/>
              <w:rPr>
                <w:color w:val="000000"/>
                <w:kern w:val="0"/>
                <w:szCs w:val="21"/>
              </w:rPr>
            </w:pPr>
            <w:r>
              <w:rPr>
                <w:color w:val="000000"/>
                <w:kern w:val="0"/>
                <w:szCs w:val="21"/>
              </w:rPr>
              <w:t>学缘</w:t>
            </w:r>
          </w:p>
        </w:tc>
        <w:tc>
          <w:tcPr>
            <w:tcW w:w="1196" w:type="pct"/>
            <w:shd w:val="clear" w:color="auto" w:fill="BDD6EE" w:themeFill="accent1" w:themeFillTint="66"/>
            <w:vAlign w:val="center"/>
          </w:tcPr>
          <w:p>
            <w:pPr>
              <w:snapToGrid w:val="0"/>
              <w:jc w:val="center"/>
              <w:rPr>
                <w:color w:val="000000"/>
                <w:kern w:val="0"/>
                <w:szCs w:val="21"/>
              </w:rPr>
            </w:pPr>
            <w:r>
              <w:rPr>
                <w:color w:val="000000"/>
                <w:kern w:val="0"/>
                <w:szCs w:val="21"/>
              </w:rPr>
              <w:t>本校</w:t>
            </w:r>
          </w:p>
        </w:tc>
        <w:tc>
          <w:tcPr>
            <w:tcW w:w="1562" w:type="pct"/>
            <w:shd w:val="clear" w:color="auto" w:fill="E7E6E6" w:themeFill="background2"/>
          </w:tcPr>
          <w:p>
            <w:pPr>
              <w:jc w:val="center"/>
              <w:rPr>
                <w:sz w:val="18"/>
                <w:szCs w:val="18"/>
              </w:rPr>
            </w:pPr>
            <w:r>
              <w:rPr>
                <w:sz w:val="18"/>
                <w:szCs w:val="18"/>
              </w:rPr>
              <w:t>7</w:t>
            </w:r>
          </w:p>
        </w:tc>
        <w:tc>
          <w:tcPr>
            <w:tcW w:w="1563" w:type="pct"/>
            <w:shd w:val="clear" w:color="auto" w:fill="E7E6E6" w:themeFill="background2"/>
          </w:tcPr>
          <w:p>
            <w:pPr>
              <w:jc w:val="center"/>
              <w:rPr>
                <w:sz w:val="18"/>
                <w:szCs w:val="18"/>
              </w:rPr>
            </w:pPr>
            <w:r>
              <w:rPr>
                <w:sz w:val="18"/>
                <w:szCs w:val="18"/>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9" w:type="pct"/>
            <w:vMerge w:val="continue"/>
            <w:shd w:val="clear" w:color="auto" w:fill="BDD6EE" w:themeFill="accent1" w:themeFillTint="66"/>
            <w:vAlign w:val="center"/>
          </w:tcPr>
          <w:p>
            <w:pPr>
              <w:snapToGrid w:val="0"/>
              <w:jc w:val="center"/>
              <w:rPr>
                <w:color w:val="000000"/>
                <w:kern w:val="0"/>
                <w:szCs w:val="21"/>
              </w:rPr>
            </w:pPr>
          </w:p>
        </w:tc>
        <w:tc>
          <w:tcPr>
            <w:tcW w:w="1196" w:type="pct"/>
            <w:shd w:val="clear" w:color="auto" w:fill="BDD6EE" w:themeFill="accent1" w:themeFillTint="66"/>
            <w:vAlign w:val="center"/>
          </w:tcPr>
          <w:p>
            <w:pPr>
              <w:snapToGrid w:val="0"/>
              <w:jc w:val="center"/>
              <w:rPr>
                <w:color w:val="000000"/>
                <w:kern w:val="0"/>
                <w:szCs w:val="21"/>
              </w:rPr>
            </w:pPr>
            <w:r>
              <w:rPr>
                <w:color w:val="000000"/>
                <w:kern w:val="0"/>
                <w:szCs w:val="21"/>
              </w:rPr>
              <w:t>外校</w:t>
            </w:r>
          </w:p>
        </w:tc>
        <w:tc>
          <w:tcPr>
            <w:tcW w:w="1562" w:type="pct"/>
            <w:shd w:val="clear" w:color="auto" w:fill="E7E6E6" w:themeFill="background2"/>
          </w:tcPr>
          <w:p>
            <w:pPr>
              <w:jc w:val="center"/>
              <w:rPr>
                <w:sz w:val="18"/>
                <w:szCs w:val="18"/>
              </w:rPr>
            </w:pPr>
            <w:r>
              <w:rPr>
                <w:sz w:val="18"/>
                <w:szCs w:val="18"/>
              </w:rPr>
              <w:t>14</w:t>
            </w:r>
          </w:p>
        </w:tc>
        <w:tc>
          <w:tcPr>
            <w:tcW w:w="1563" w:type="pct"/>
            <w:shd w:val="clear" w:color="auto" w:fill="E7E6E6" w:themeFill="background2"/>
          </w:tcPr>
          <w:p>
            <w:pPr>
              <w:jc w:val="center"/>
              <w:rPr>
                <w:sz w:val="18"/>
                <w:szCs w:val="18"/>
              </w:rPr>
            </w:pPr>
            <w:r>
              <w:rPr>
                <w:sz w:val="18"/>
                <w:szCs w:val="18"/>
              </w:rPr>
              <w:t>67%</w:t>
            </w:r>
          </w:p>
        </w:tc>
      </w:tr>
    </w:tbl>
    <w:p>
      <w:pPr>
        <w:spacing w:line="240" w:lineRule="auto"/>
        <w:jc w:val="center"/>
        <w:rPr>
          <w:rFonts w:eastAsia="仿宋_GB2312"/>
        </w:rPr>
      </w:pPr>
      <w:r>
        <w:rPr>
          <w:rFonts w:eastAsia="仿宋_GB2312"/>
        </w:rPr>
        <w:drawing>
          <wp:inline distT="0" distB="0" distL="0" distR="0">
            <wp:extent cx="2598420" cy="2636520"/>
            <wp:effectExtent l="4445" t="4445" r="6985" b="6985"/>
            <wp:docPr id="128"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r>
        <w:rPr>
          <w:rFonts w:eastAsia="仿宋_GB2312"/>
        </w:rPr>
        <w:drawing>
          <wp:inline distT="0" distB="0" distL="0" distR="0">
            <wp:extent cx="2598420" cy="2636520"/>
            <wp:effectExtent l="4445" t="4445" r="6985" b="6985"/>
            <wp:docPr id="129"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pPr>
        <w:spacing w:line="240" w:lineRule="auto"/>
        <w:jc w:val="center"/>
        <w:rPr>
          <w:rFonts w:eastAsia="仿宋_GB2312"/>
        </w:rPr>
      </w:pPr>
      <w:r>
        <w:rPr>
          <w:rFonts w:eastAsia="仿宋_GB2312"/>
        </w:rPr>
        <w:drawing>
          <wp:inline distT="0" distB="0" distL="0" distR="0">
            <wp:extent cx="2598420" cy="2636520"/>
            <wp:effectExtent l="4445" t="4445" r="6985" b="6985"/>
            <wp:docPr id="132" name="图表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r>
        <w:rPr>
          <w:rFonts w:eastAsia="仿宋_GB2312"/>
        </w:rPr>
        <w:drawing>
          <wp:inline distT="0" distB="0" distL="0" distR="0">
            <wp:extent cx="2598420" cy="2636520"/>
            <wp:effectExtent l="4445" t="4445" r="6985" b="6985"/>
            <wp:docPr id="133" name="图表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pPr>
        <w:pStyle w:val="39"/>
        <w:spacing w:before="156" w:after="156"/>
        <w:rPr>
          <w:b/>
          <w:bCs/>
        </w:rPr>
      </w:pPr>
      <w:bookmarkStart w:id="787" w:name="_Ref27644057"/>
      <w:r>
        <w:rPr>
          <w:b/>
          <w:bCs/>
        </w:rPr>
        <w:t xml:space="preserve">图 </w:t>
      </w:r>
      <w:r>
        <w:rPr>
          <w:b/>
          <w:bCs/>
        </w:rPr>
        <w:fldChar w:fldCharType="begin"/>
      </w:r>
      <w:r>
        <w:rPr>
          <w:b/>
          <w:bCs/>
        </w:rPr>
        <w:instrText xml:space="preserve"> SEQ 图 \* ARABIC </w:instrText>
      </w:r>
      <w:r>
        <w:rPr>
          <w:b/>
          <w:bCs/>
        </w:rPr>
        <w:fldChar w:fldCharType="separate"/>
      </w:r>
      <w:r>
        <w:rPr>
          <w:b/>
          <w:bCs/>
        </w:rPr>
        <w:t>1</w:t>
      </w:r>
      <w:r>
        <w:rPr>
          <w:b/>
          <w:bCs/>
        </w:rPr>
        <w:fldChar w:fldCharType="end"/>
      </w:r>
      <w:bookmarkEnd w:id="787"/>
      <w:r>
        <w:rPr>
          <w:b/>
          <w:bCs/>
        </w:rPr>
        <w:t xml:space="preserve">  专任教师队伍结构图</w:t>
      </w:r>
    </w:p>
    <w:p>
      <w:pPr>
        <w:spacing w:line="240" w:lineRule="auto"/>
        <w:jc w:val="center"/>
        <w:rPr>
          <w:rFonts w:eastAsia="仿宋_GB2312"/>
        </w:rPr>
      </w:pPr>
      <w:r>
        <w:rPr>
          <w:rFonts w:eastAsia="仿宋_GB2312"/>
        </w:rPr>
        <w:drawing>
          <wp:inline distT="0" distB="0" distL="0" distR="0">
            <wp:extent cx="4853305" cy="2447925"/>
            <wp:effectExtent l="4445" t="4445" r="19050" b="5080"/>
            <wp:docPr id="134" name="图表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pPr>
        <w:pStyle w:val="39"/>
        <w:spacing w:before="156" w:after="156"/>
        <w:rPr>
          <w:b/>
          <w:bCs/>
        </w:rPr>
      </w:pPr>
      <w:bookmarkStart w:id="788" w:name="_Ref27644071"/>
      <w:r>
        <w:rPr>
          <w:b/>
          <w:bCs/>
        </w:rPr>
        <w:t xml:space="preserve">图 </w:t>
      </w:r>
      <w:r>
        <w:rPr>
          <w:b/>
          <w:bCs/>
        </w:rPr>
        <w:fldChar w:fldCharType="begin"/>
      </w:r>
      <w:r>
        <w:rPr>
          <w:b/>
          <w:bCs/>
        </w:rPr>
        <w:instrText xml:space="preserve"> SEQ 图 \* ARABIC </w:instrText>
      </w:r>
      <w:r>
        <w:rPr>
          <w:b/>
          <w:bCs/>
        </w:rPr>
        <w:fldChar w:fldCharType="separate"/>
      </w:r>
      <w:r>
        <w:rPr>
          <w:b/>
          <w:bCs/>
        </w:rPr>
        <w:t>2</w:t>
      </w:r>
      <w:r>
        <w:rPr>
          <w:b/>
          <w:bCs/>
        </w:rPr>
        <w:fldChar w:fldCharType="end"/>
      </w:r>
      <w:bookmarkEnd w:id="788"/>
      <w:r>
        <w:rPr>
          <w:b/>
          <w:bCs/>
        </w:rPr>
        <w:t xml:space="preserve">  专任教师学科背景</w:t>
      </w:r>
    </w:p>
    <w:p>
      <w:pPr>
        <w:spacing w:line="240" w:lineRule="auto"/>
        <w:ind w:firstLine="480"/>
        <w:rPr>
          <w:b/>
          <w:bCs/>
        </w:rPr>
      </w:pPr>
      <w:r>
        <w:rPr>
          <w:b/>
          <w:bCs/>
        </w:rPr>
        <w:drawing>
          <wp:inline distT="0" distB="0" distL="0" distR="0">
            <wp:extent cx="4572000" cy="2743200"/>
            <wp:effectExtent l="0" t="0" r="0" b="0"/>
            <wp:docPr id="135" name="图表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pPr>
        <w:pStyle w:val="39"/>
        <w:spacing w:before="156" w:after="156" w:line="400" w:lineRule="exact"/>
        <w:rPr>
          <w:b/>
          <w:bCs/>
        </w:rPr>
      </w:pPr>
      <w:r>
        <w:rPr>
          <w:b/>
          <w:bCs/>
        </w:rPr>
        <w:t xml:space="preserve">图 </w:t>
      </w:r>
      <w:r>
        <w:rPr>
          <w:b/>
          <w:bCs/>
        </w:rPr>
        <w:fldChar w:fldCharType="begin"/>
      </w:r>
      <w:r>
        <w:rPr>
          <w:b/>
          <w:bCs/>
        </w:rPr>
        <w:instrText xml:space="preserve"> SEQ 图 \* ARABIC </w:instrText>
      </w:r>
      <w:r>
        <w:rPr>
          <w:b/>
          <w:bCs/>
        </w:rPr>
        <w:fldChar w:fldCharType="separate"/>
      </w:r>
      <w:r>
        <w:rPr>
          <w:b/>
          <w:bCs/>
        </w:rPr>
        <w:t>3</w:t>
      </w:r>
      <w:r>
        <w:rPr>
          <w:b/>
          <w:bCs/>
        </w:rPr>
        <w:fldChar w:fldCharType="end"/>
      </w:r>
      <w:r>
        <w:rPr>
          <w:b/>
          <w:bCs/>
        </w:rPr>
        <w:t xml:space="preserve">  测绘工程专业师资队伍情况</w:t>
      </w:r>
    </w:p>
    <w:p>
      <w:pPr>
        <w:ind w:firstLine="480" w:firstLineChars="200"/>
      </w:pPr>
      <w:r>
        <w:t>科学研究方面，近年来，先后承担国家自然科学基金5项、省基金项目3项、国家863项目1项、国家科技支撑计划项目1项、国家测绘局以及省级项目20余项，科研经费800余万元，科研成果获国家测绘与地理信息局科技进步奖一等奖1项，山东省国土资源厅科技进步奖一等奖1项，二等奖1项，发表教学与科研论文近100篇。</w:t>
      </w:r>
    </w:p>
    <w:p>
      <w:pPr>
        <w:pStyle w:val="37"/>
        <w:spacing w:beforeLines="0" w:line="400" w:lineRule="exact"/>
        <w:rPr>
          <w:b/>
          <w:bCs/>
        </w:rPr>
      </w:pPr>
      <w:r>
        <w:rPr>
          <w:b/>
          <w:bCs/>
        </w:rPr>
        <w:t xml:space="preserve">表 </w:t>
      </w:r>
      <w:r>
        <w:rPr>
          <w:b/>
          <w:bCs/>
        </w:rPr>
        <w:fldChar w:fldCharType="begin"/>
      </w:r>
      <w:r>
        <w:rPr>
          <w:b/>
          <w:bCs/>
        </w:rPr>
        <w:instrText xml:space="preserve"> SEQ 表 \* ARABIC </w:instrText>
      </w:r>
      <w:r>
        <w:rPr>
          <w:b/>
          <w:bCs/>
        </w:rPr>
        <w:fldChar w:fldCharType="separate"/>
      </w:r>
      <w:r>
        <w:rPr>
          <w:b/>
          <w:bCs/>
        </w:rPr>
        <w:t>3</w:t>
      </w:r>
      <w:r>
        <w:rPr>
          <w:b/>
          <w:bCs/>
        </w:rPr>
        <w:fldChar w:fldCharType="end"/>
      </w:r>
      <w:r>
        <w:rPr>
          <w:b/>
          <w:bCs/>
        </w:rPr>
        <w:t xml:space="preserve">  测绘工程专业教师承担科研项目情况</w:t>
      </w:r>
    </w:p>
    <w:tbl>
      <w:tblPr>
        <w:tblStyle w:val="17"/>
        <w:tblW w:w="5000" w:type="pct"/>
        <w:tblInd w:w="0" w:type="dxa"/>
        <w:tblLayout w:type="autofit"/>
        <w:tblCellMar>
          <w:top w:w="0" w:type="dxa"/>
          <w:left w:w="108" w:type="dxa"/>
          <w:bottom w:w="0" w:type="dxa"/>
          <w:right w:w="108" w:type="dxa"/>
        </w:tblCellMar>
      </w:tblPr>
      <w:tblGrid>
        <w:gridCol w:w="625"/>
        <w:gridCol w:w="3575"/>
        <w:gridCol w:w="2794"/>
        <w:gridCol w:w="1174"/>
        <w:gridCol w:w="893"/>
      </w:tblGrid>
      <w:tr>
        <w:tblPrEx>
          <w:tblCellMar>
            <w:top w:w="0" w:type="dxa"/>
            <w:left w:w="108" w:type="dxa"/>
            <w:bottom w:w="0" w:type="dxa"/>
            <w:right w:w="108" w:type="dxa"/>
          </w:tblCellMar>
        </w:tblPrEx>
        <w:trPr>
          <w:trHeight w:val="454" w:hRule="atLeast"/>
          <w:tblHeader/>
        </w:trPr>
        <w:tc>
          <w:tcPr>
            <w:tcW w:w="345" w:type="pct"/>
            <w:tcBorders>
              <w:top w:val="single" w:color="auto" w:sz="4" w:space="0"/>
              <w:left w:val="single" w:color="auto" w:sz="4" w:space="0"/>
              <w:bottom w:val="single" w:color="auto" w:sz="4" w:space="0"/>
              <w:right w:val="single" w:color="auto" w:sz="4" w:space="0"/>
            </w:tcBorders>
            <w:vAlign w:val="center"/>
          </w:tcPr>
          <w:p>
            <w:pPr>
              <w:widowControl/>
              <w:spacing w:line="240" w:lineRule="auto"/>
              <w:jc w:val="center"/>
              <w:rPr>
                <w:b/>
                <w:bCs/>
                <w:color w:val="000000"/>
                <w:kern w:val="0"/>
                <w:sz w:val="21"/>
                <w:szCs w:val="21"/>
              </w:rPr>
            </w:pPr>
            <w:r>
              <w:rPr>
                <w:b/>
                <w:bCs/>
                <w:color w:val="000000"/>
                <w:kern w:val="0"/>
                <w:sz w:val="21"/>
                <w:szCs w:val="21"/>
              </w:rPr>
              <w:t>序号</w:t>
            </w:r>
          </w:p>
        </w:tc>
        <w:tc>
          <w:tcPr>
            <w:tcW w:w="1973" w:type="pct"/>
            <w:tcBorders>
              <w:top w:val="single" w:color="auto" w:sz="4" w:space="0"/>
              <w:left w:val="nil"/>
              <w:bottom w:val="single" w:color="auto" w:sz="4" w:space="0"/>
              <w:right w:val="single" w:color="auto" w:sz="4" w:space="0"/>
            </w:tcBorders>
            <w:vAlign w:val="center"/>
          </w:tcPr>
          <w:p>
            <w:pPr>
              <w:widowControl/>
              <w:spacing w:line="240" w:lineRule="auto"/>
              <w:jc w:val="center"/>
              <w:rPr>
                <w:b/>
                <w:bCs/>
                <w:color w:val="000000"/>
                <w:kern w:val="0"/>
                <w:sz w:val="21"/>
                <w:szCs w:val="21"/>
              </w:rPr>
            </w:pPr>
            <w:r>
              <w:rPr>
                <w:b/>
                <w:bCs/>
                <w:color w:val="000000"/>
                <w:kern w:val="0"/>
                <w:sz w:val="21"/>
                <w:szCs w:val="21"/>
              </w:rPr>
              <w:t>项目名称</w:t>
            </w:r>
          </w:p>
        </w:tc>
        <w:tc>
          <w:tcPr>
            <w:tcW w:w="1542" w:type="pct"/>
            <w:tcBorders>
              <w:top w:val="single" w:color="auto" w:sz="4" w:space="0"/>
              <w:left w:val="nil"/>
              <w:bottom w:val="single" w:color="auto" w:sz="4" w:space="0"/>
              <w:right w:val="single" w:color="auto" w:sz="4" w:space="0"/>
            </w:tcBorders>
            <w:vAlign w:val="center"/>
          </w:tcPr>
          <w:p>
            <w:pPr>
              <w:widowControl/>
              <w:spacing w:line="240" w:lineRule="auto"/>
              <w:jc w:val="center"/>
              <w:rPr>
                <w:b/>
                <w:bCs/>
                <w:color w:val="000000"/>
                <w:kern w:val="0"/>
                <w:sz w:val="21"/>
                <w:szCs w:val="21"/>
              </w:rPr>
            </w:pPr>
            <w:r>
              <w:rPr>
                <w:b/>
                <w:bCs/>
                <w:color w:val="000000"/>
                <w:kern w:val="0"/>
                <w:sz w:val="21"/>
                <w:szCs w:val="21"/>
              </w:rPr>
              <w:t>资助单位</w:t>
            </w:r>
          </w:p>
        </w:tc>
        <w:tc>
          <w:tcPr>
            <w:tcW w:w="648" w:type="pct"/>
            <w:tcBorders>
              <w:top w:val="single" w:color="auto" w:sz="4" w:space="0"/>
              <w:left w:val="nil"/>
              <w:bottom w:val="single" w:color="auto" w:sz="4" w:space="0"/>
              <w:right w:val="single" w:color="auto" w:sz="4" w:space="0"/>
            </w:tcBorders>
            <w:vAlign w:val="center"/>
          </w:tcPr>
          <w:p>
            <w:pPr>
              <w:widowControl/>
              <w:spacing w:line="240" w:lineRule="auto"/>
              <w:jc w:val="center"/>
              <w:rPr>
                <w:b/>
                <w:bCs/>
                <w:color w:val="000000"/>
                <w:kern w:val="0"/>
                <w:sz w:val="21"/>
                <w:szCs w:val="21"/>
              </w:rPr>
            </w:pPr>
            <w:r>
              <w:rPr>
                <w:b/>
                <w:bCs/>
                <w:color w:val="000000"/>
                <w:kern w:val="0"/>
                <w:sz w:val="21"/>
                <w:szCs w:val="21"/>
              </w:rPr>
              <w:t>项目经费</w:t>
            </w:r>
          </w:p>
          <w:p>
            <w:pPr>
              <w:widowControl/>
              <w:spacing w:line="240" w:lineRule="auto"/>
              <w:jc w:val="center"/>
              <w:rPr>
                <w:b/>
                <w:bCs/>
                <w:color w:val="000000"/>
                <w:kern w:val="0"/>
                <w:sz w:val="21"/>
                <w:szCs w:val="21"/>
              </w:rPr>
            </w:pPr>
            <w:r>
              <w:rPr>
                <w:b/>
                <w:bCs/>
                <w:color w:val="000000"/>
                <w:kern w:val="0"/>
                <w:sz w:val="21"/>
                <w:szCs w:val="21"/>
              </w:rPr>
              <w:t>（万元）</w:t>
            </w:r>
          </w:p>
        </w:tc>
        <w:tc>
          <w:tcPr>
            <w:tcW w:w="493" w:type="pct"/>
            <w:tcBorders>
              <w:top w:val="single" w:color="auto" w:sz="4" w:space="0"/>
              <w:left w:val="nil"/>
              <w:bottom w:val="single" w:color="auto" w:sz="4" w:space="0"/>
              <w:right w:val="single" w:color="auto" w:sz="4" w:space="0"/>
            </w:tcBorders>
            <w:vAlign w:val="center"/>
          </w:tcPr>
          <w:p>
            <w:pPr>
              <w:widowControl/>
              <w:spacing w:line="240" w:lineRule="auto"/>
              <w:jc w:val="center"/>
              <w:rPr>
                <w:b/>
                <w:bCs/>
                <w:color w:val="000000"/>
                <w:kern w:val="0"/>
                <w:sz w:val="21"/>
                <w:szCs w:val="21"/>
              </w:rPr>
            </w:pPr>
            <w:r>
              <w:rPr>
                <w:b/>
                <w:bCs/>
                <w:color w:val="000000"/>
                <w:kern w:val="0"/>
                <w:sz w:val="21"/>
                <w:szCs w:val="21"/>
              </w:rPr>
              <w:t>立项时间</w:t>
            </w:r>
          </w:p>
        </w:tc>
      </w:tr>
      <w:tr>
        <w:tblPrEx>
          <w:tblCellMar>
            <w:top w:w="0" w:type="dxa"/>
            <w:left w:w="108" w:type="dxa"/>
            <w:bottom w:w="0" w:type="dxa"/>
            <w:right w:w="108" w:type="dxa"/>
          </w:tblCellMar>
        </w:tblPrEx>
        <w:trPr>
          <w:trHeight w:val="454" w:hRule="atLeast"/>
        </w:trPr>
        <w:tc>
          <w:tcPr>
            <w:tcW w:w="345" w:type="pct"/>
            <w:tcBorders>
              <w:top w:val="nil"/>
              <w:left w:val="single" w:color="auto" w:sz="4" w:space="0"/>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1</w:t>
            </w:r>
          </w:p>
        </w:tc>
        <w:tc>
          <w:tcPr>
            <w:tcW w:w="1973"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多尺度玉米生长信息获取与融合技术研究</w:t>
            </w:r>
          </w:p>
        </w:tc>
        <w:tc>
          <w:tcPr>
            <w:tcW w:w="1542"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2013年省农业重大应用技术创新课题</w:t>
            </w:r>
          </w:p>
        </w:tc>
        <w:tc>
          <w:tcPr>
            <w:tcW w:w="648"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30</w:t>
            </w:r>
          </w:p>
        </w:tc>
        <w:tc>
          <w:tcPr>
            <w:tcW w:w="493"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2013</w:t>
            </w:r>
          </w:p>
        </w:tc>
      </w:tr>
      <w:tr>
        <w:tblPrEx>
          <w:tblCellMar>
            <w:top w:w="0" w:type="dxa"/>
            <w:left w:w="108" w:type="dxa"/>
            <w:bottom w:w="0" w:type="dxa"/>
            <w:right w:w="108" w:type="dxa"/>
          </w:tblCellMar>
        </w:tblPrEx>
        <w:trPr>
          <w:trHeight w:val="454" w:hRule="atLeast"/>
        </w:trPr>
        <w:tc>
          <w:tcPr>
            <w:tcW w:w="345" w:type="pct"/>
            <w:tcBorders>
              <w:top w:val="nil"/>
              <w:left w:val="single" w:color="auto" w:sz="4" w:space="0"/>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w:t>
            </w:r>
          </w:p>
        </w:tc>
        <w:tc>
          <w:tcPr>
            <w:tcW w:w="1973"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农田碳汇信息获取与估算（多尺度农田信息获取与融合技术-现代农业智能感知技术与产品）</w:t>
            </w:r>
          </w:p>
        </w:tc>
        <w:tc>
          <w:tcPr>
            <w:tcW w:w="1542"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国家科技计划863课题-十二五农村领域（浙江大学）</w:t>
            </w:r>
          </w:p>
        </w:tc>
        <w:tc>
          <w:tcPr>
            <w:tcW w:w="648"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257</w:t>
            </w:r>
          </w:p>
        </w:tc>
        <w:tc>
          <w:tcPr>
            <w:tcW w:w="493"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2013</w:t>
            </w:r>
          </w:p>
        </w:tc>
      </w:tr>
      <w:tr>
        <w:tblPrEx>
          <w:tblCellMar>
            <w:top w:w="0" w:type="dxa"/>
            <w:left w:w="108" w:type="dxa"/>
            <w:bottom w:w="0" w:type="dxa"/>
            <w:right w:w="108" w:type="dxa"/>
          </w:tblCellMar>
        </w:tblPrEx>
        <w:trPr>
          <w:trHeight w:val="454" w:hRule="atLeast"/>
        </w:trPr>
        <w:tc>
          <w:tcPr>
            <w:tcW w:w="345" w:type="pct"/>
            <w:tcBorders>
              <w:top w:val="nil"/>
              <w:left w:val="single" w:color="auto" w:sz="4" w:space="0"/>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3</w:t>
            </w:r>
          </w:p>
        </w:tc>
        <w:tc>
          <w:tcPr>
            <w:tcW w:w="1973"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山东省土壤肥力光谱数据采集、处理与估测模型研究</w:t>
            </w:r>
          </w:p>
        </w:tc>
        <w:tc>
          <w:tcPr>
            <w:tcW w:w="1542"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山东农业大学农业大数据中心</w:t>
            </w:r>
          </w:p>
        </w:tc>
        <w:tc>
          <w:tcPr>
            <w:tcW w:w="648"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1.5</w:t>
            </w:r>
          </w:p>
        </w:tc>
        <w:tc>
          <w:tcPr>
            <w:tcW w:w="493"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2013</w:t>
            </w:r>
          </w:p>
        </w:tc>
      </w:tr>
      <w:tr>
        <w:tblPrEx>
          <w:tblCellMar>
            <w:top w:w="0" w:type="dxa"/>
            <w:left w:w="108" w:type="dxa"/>
            <w:bottom w:w="0" w:type="dxa"/>
            <w:right w:w="108" w:type="dxa"/>
          </w:tblCellMar>
        </w:tblPrEx>
        <w:trPr>
          <w:trHeight w:val="454" w:hRule="atLeast"/>
        </w:trPr>
        <w:tc>
          <w:tcPr>
            <w:tcW w:w="345" w:type="pct"/>
            <w:tcBorders>
              <w:top w:val="nil"/>
              <w:left w:val="single" w:color="auto" w:sz="4" w:space="0"/>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4</w:t>
            </w:r>
          </w:p>
        </w:tc>
        <w:tc>
          <w:tcPr>
            <w:tcW w:w="1973"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大安绿视界沉降测量</w:t>
            </w:r>
          </w:p>
        </w:tc>
        <w:tc>
          <w:tcPr>
            <w:tcW w:w="1542"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山东大安建业地产公司</w:t>
            </w:r>
          </w:p>
        </w:tc>
        <w:tc>
          <w:tcPr>
            <w:tcW w:w="648"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6.5</w:t>
            </w:r>
          </w:p>
        </w:tc>
        <w:tc>
          <w:tcPr>
            <w:tcW w:w="493"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2013</w:t>
            </w:r>
          </w:p>
        </w:tc>
      </w:tr>
      <w:tr>
        <w:tblPrEx>
          <w:tblCellMar>
            <w:top w:w="0" w:type="dxa"/>
            <w:left w:w="108" w:type="dxa"/>
            <w:bottom w:w="0" w:type="dxa"/>
            <w:right w:w="108" w:type="dxa"/>
          </w:tblCellMar>
        </w:tblPrEx>
        <w:trPr>
          <w:trHeight w:val="454" w:hRule="atLeast"/>
        </w:trPr>
        <w:tc>
          <w:tcPr>
            <w:tcW w:w="345" w:type="pct"/>
            <w:tcBorders>
              <w:top w:val="nil"/>
              <w:left w:val="single" w:color="auto" w:sz="4" w:space="0"/>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5</w:t>
            </w:r>
          </w:p>
        </w:tc>
        <w:tc>
          <w:tcPr>
            <w:tcW w:w="1973"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作物精准化施肥决策系统研发</w:t>
            </w:r>
          </w:p>
        </w:tc>
        <w:tc>
          <w:tcPr>
            <w:tcW w:w="1542"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山东省自主创新专项项目子课题</w:t>
            </w:r>
          </w:p>
        </w:tc>
        <w:tc>
          <w:tcPr>
            <w:tcW w:w="648"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10</w:t>
            </w:r>
          </w:p>
        </w:tc>
        <w:tc>
          <w:tcPr>
            <w:tcW w:w="493"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2013</w:t>
            </w:r>
          </w:p>
        </w:tc>
      </w:tr>
      <w:tr>
        <w:tblPrEx>
          <w:tblCellMar>
            <w:top w:w="0" w:type="dxa"/>
            <w:left w:w="108" w:type="dxa"/>
            <w:bottom w:w="0" w:type="dxa"/>
            <w:right w:w="108" w:type="dxa"/>
          </w:tblCellMar>
        </w:tblPrEx>
        <w:trPr>
          <w:trHeight w:val="714" w:hRule="atLeast"/>
        </w:trPr>
        <w:tc>
          <w:tcPr>
            <w:tcW w:w="345" w:type="pct"/>
            <w:tcBorders>
              <w:top w:val="nil"/>
              <w:left w:val="single" w:color="auto" w:sz="4" w:space="0"/>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6</w:t>
            </w:r>
          </w:p>
        </w:tc>
        <w:tc>
          <w:tcPr>
            <w:tcW w:w="1973"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土壤信息管理系统构建</w:t>
            </w:r>
          </w:p>
        </w:tc>
        <w:tc>
          <w:tcPr>
            <w:tcW w:w="1542"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山东省自主创新专项项目子课题</w:t>
            </w:r>
          </w:p>
        </w:tc>
        <w:tc>
          <w:tcPr>
            <w:tcW w:w="648"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10</w:t>
            </w:r>
          </w:p>
        </w:tc>
        <w:tc>
          <w:tcPr>
            <w:tcW w:w="493"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2013</w:t>
            </w:r>
          </w:p>
        </w:tc>
      </w:tr>
      <w:tr>
        <w:tblPrEx>
          <w:tblCellMar>
            <w:top w:w="0" w:type="dxa"/>
            <w:left w:w="108" w:type="dxa"/>
            <w:bottom w:w="0" w:type="dxa"/>
            <w:right w:w="108" w:type="dxa"/>
          </w:tblCellMar>
        </w:tblPrEx>
        <w:trPr>
          <w:trHeight w:val="654" w:hRule="atLeast"/>
        </w:trPr>
        <w:tc>
          <w:tcPr>
            <w:tcW w:w="345" w:type="pct"/>
            <w:tcBorders>
              <w:top w:val="nil"/>
              <w:left w:val="single" w:color="auto" w:sz="4" w:space="0"/>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7</w:t>
            </w:r>
          </w:p>
        </w:tc>
        <w:tc>
          <w:tcPr>
            <w:tcW w:w="1973"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多源碳观测资料的搜集处理</w:t>
            </w:r>
          </w:p>
        </w:tc>
        <w:tc>
          <w:tcPr>
            <w:tcW w:w="1542"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中国科学院对地观测与数字地球科学中心（863)</w:t>
            </w:r>
          </w:p>
        </w:tc>
        <w:tc>
          <w:tcPr>
            <w:tcW w:w="648"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5</w:t>
            </w:r>
          </w:p>
        </w:tc>
        <w:tc>
          <w:tcPr>
            <w:tcW w:w="493"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2014</w:t>
            </w:r>
          </w:p>
        </w:tc>
      </w:tr>
      <w:tr>
        <w:tblPrEx>
          <w:tblCellMar>
            <w:top w:w="0" w:type="dxa"/>
            <w:left w:w="108" w:type="dxa"/>
            <w:bottom w:w="0" w:type="dxa"/>
            <w:right w:w="108" w:type="dxa"/>
          </w:tblCellMar>
        </w:tblPrEx>
        <w:trPr>
          <w:trHeight w:val="639" w:hRule="atLeast"/>
        </w:trPr>
        <w:tc>
          <w:tcPr>
            <w:tcW w:w="345" w:type="pct"/>
            <w:tcBorders>
              <w:top w:val="nil"/>
              <w:left w:val="single" w:color="auto" w:sz="4" w:space="0"/>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8</w:t>
            </w:r>
          </w:p>
        </w:tc>
        <w:tc>
          <w:tcPr>
            <w:tcW w:w="1973"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基于GNSS-R的盐碱地土壤湿度检测技术</w:t>
            </w:r>
          </w:p>
        </w:tc>
        <w:tc>
          <w:tcPr>
            <w:tcW w:w="1542"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山东农业大学盐碱地改良利用项目</w:t>
            </w:r>
          </w:p>
        </w:tc>
        <w:tc>
          <w:tcPr>
            <w:tcW w:w="648"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4</w:t>
            </w:r>
          </w:p>
        </w:tc>
        <w:tc>
          <w:tcPr>
            <w:tcW w:w="493"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2014</w:t>
            </w:r>
          </w:p>
        </w:tc>
      </w:tr>
      <w:tr>
        <w:tblPrEx>
          <w:tblCellMar>
            <w:top w:w="0" w:type="dxa"/>
            <w:left w:w="108" w:type="dxa"/>
            <w:bottom w:w="0" w:type="dxa"/>
            <w:right w:w="108" w:type="dxa"/>
          </w:tblCellMar>
        </w:tblPrEx>
        <w:trPr>
          <w:trHeight w:val="684" w:hRule="atLeast"/>
        </w:trPr>
        <w:tc>
          <w:tcPr>
            <w:tcW w:w="345" w:type="pct"/>
            <w:tcBorders>
              <w:top w:val="nil"/>
              <w:left w:val="single" w:color="auto" w:sz="4" w:space="0"/>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9</w:t>
            </w:r>
          </w:p>
        </w:tc>
        <w:tc>
          <w:tcPr>
            <w:tcW w:w="1973"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诸城市新农村建设测绘保障服务示范</w:t>
            </w:r>
          </w:p>
        </w:tc>
        <w:tc>
          <w:tcPr>
            <w:tcW w:w="1542"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山东省国土测绘局（国家测绘地理信息局）</w:t>
            </w:r>
          </w:p>
        </w:tc>
        <w:tc>
          <w:tcPr>
            <w:tcW w:w="648"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w:t>
            </w:r>
          </w:p>
        </w:tc>
        <w:tc>
          <w:tcPr>
            <w:tcW w:w="493"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2014</w:t>
            </w:r>
          </w:p>
        </w:tc>
      </w:tr>
      <w:tr>
        <w:tblPrEx>
          <w:tblCellMar>
            <w:top w:w="0" w:type="dxa"/>
            <w:left w:w="108" w:type="dxa"/>
            <w:bottom w:w="0" w:type="dxa"/>
            <w:right w:w="108" w:type="dxa"/>
          </w:tblCellMar>
        </w:tblPrEx>
        <w:trPr>
          <w:trHeight w:val="454" w:hRule="atLeast"/>
        </w:trPr>
        <w:tc>
          <w:tcPr>
            <w:tcW w:w="345" w:type="pct"/>
            <w:tcBorders>
              <w:top w:val="nil"/>
              <w:left w:val="single" w:color="auto" w:sz="4" w:space="0"/>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10</w:t>
            </w:r>
          </w:p>
        </w:tc>
        <w:tc>
          <w:tcPr>
            <w:tcW w:w="1973"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地理国情统计分析与公共服务系统测试服务</w:t>
            </w:r>
          </w:p>
        </w:tc>
        <w:tc>
          <w:tcPr>
            <w:tcW w:w="1542"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中国测绘科学研究院</w:t>
            </w:r>
          </w:p>
        </w:tc>
        <w:tc>
          <w:tcPr>
            <w:tcW w:w="648"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9</w:t>
            </w:r>
          </w:p>
        </w:tc>
        <w:tc>
          <w:tcPr>
            <w:tcW w:w="493"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2014</w:t>
            </w:r>
          </w:p>
        </w:tc>
      </w:tr>
      <w:tr>
        <w:tblPrEx>
          <w:tblCellMar>
            <w:top w:w="0" w:type="dxa"/>
            <w:left w:w="108" w:type="dxa"/>
            <w:bottom w:w="0" w:type="dxa"/>
            <w:right w:w="108" w:type="dxa"/>
          </w:tblCellMar>
        </w:tblPrEx>
        <w:trPr>
          <w:trHeight w:val="454" w:hRule="atLeast"/>
        </w:trPr>
        <w:tc>
          <w:tcPr>
            <w:tcW w:w="345" w:type="pct"/>
            <w:tcBorders>
              <w:top w:val="nil"/>
              <w:left w:val="single" w:color="auto" w:sz="4" w:space="0"/>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11</w:t>
            </w:r>
          </w:p>
        </w:tc>
        <w:tc>
          <w:tcPr>
            <w:tcW w:w="1973"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基于MODIS与SMOS数据的山东省农业干旱遥感监测研究</w:t>
            </w:r>
          </w:p>
        </w:tc>
        <w:tc>
          <w:tcPr>
            <w:tcW w:w="1542"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山东省自然科学基金委</w:t>
            </w:r>
          </w:p>
        </w:tc>
        <w:tc>
          <w:tcPr>
            <w:tcW w:w="648"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4</w:t>
            </w:r>
          </w:p>
        </w:tc>
        <w:tc>
          <w:tcPr>
            <w:tcW w:w="493"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2015</w:t>
            </w:r>
          </w:p>
        </w:tc>
      </w:tr>
      <w:tr>
        <w:tblPrEx>
          <w:tblCellMar>
            <w:top w:w="0" w:type="dxa"/>
            <w:left w:w="108" w:type="dxa"/>
            <w:bottom w:w="0" w:type="dxa"/>
            <w:right w:w="108" w:type="dxa"/>
          </w:tblCellMar>
        </w:tblPrEx>
        <w:trPr>
          <w:trHeight w:val="454" w:hRule="atLeast"/>
        </w:trPr>
        <w:tc>
          <w:tcPr>
            <w:tcW w:w="345" w:type="pct"/>
            <w:tcBorders>
              <w:top w:val="nil"/>
              <w:left w:val="single" w:color="auto" w:sz="4" w:space="0"/>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12</w:t>
            </w:r>
          </w:p>
        </w:tc>
        <w:tc>
          <w:tcPr>
            <w:tcW w:w="1973"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基于多源微波遥感的土壤水分的山东省农业干旱监测研究</w:t>
            </w:r>
          </w:p>
        </w:tc>
        <w:tc>
          <w:tcPr>
            <w:tcW w:w="1542"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山东农业大学</w:t>
            </w:r>
          </w:p>
        </w:tc>
        <w:tc>
          <w:tcPr>
            <w:tcW w:w="648"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w:t>
            </w:r>
          </w:p>
        </w:tc>
        <w:tc>
          <w:tcPr>
            <w:tcW w:w="493"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2015</w:t>
            </w:r>
          </w:p>
        </w:tc>
      </w:tr>
      <w:tr>
        <w:tblPrEx>
          <w:tblCellMar>
            <w:top w:w="0" w:type="dxa"/>
            <w:left w:w="108" w:type="dxa"/>
            <w:bottom w:w="0" w:type="dxa"/>
            <w:right w:w="108" w:type="dxa"/>
          </w:tblCellMar>
        </w:tblPrEx>
        <w:trPr>
          <w:trHeight w:val="454" w:hRule="atLeast"/>
        </w:trPr>
        <w:tc>
          <w:tcPr>
            <w:tcW w:w="345" w:type="pct"/>
            <w:tcBorders>
              <w:top w:val="nil"/>
              <w:left w:val="single" w:color="auto" w:sz="4" w:space="0"/>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13</w:t>
            </w:r>
          </w:p>
        </w:tc>
        <w:tc>
          <w:tcPr>
            <w:tcW w:w="1973"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基于北斗卫星反射信号的土壤湿度智能监测装置研发</w:t>
            </w:r>
          </w:p>
        </w:tc>
        <w:tc>
          <w:tcPr>
            <w:tcW w:w="1542"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山东农业大学</w:t>
            </w:r>
          </w:p>
        </w:tc>
        <w:tc>
          <w:tcPr>
            <w:tcW w:w="648"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10</w:t>
            </w:r>
          </w:p>
        </w:tc>
        <w:tc>
          <w:tcPr>
            <w:tcW w:w="493"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2015</w:t>
            </w:r>
          </w:p>
        </w:tc>
      </w:tr>
      <w:tr>
        <w:tblPrEx>
          <w:tblCellMar>
            <w:top w:w="0" w:type="dxa"/>
            <w:left w:w="108" w:type="dxa"/>
            <w:bottom w:w="0" w:type="dxa"/>
            <w:right w:w="108" w:type="dxa"/>
          </w:tblCellMar>
        </w:tblPrEx>
        <w:trPr>
          <w:trHeight w:val="454" w:hRule="atLeast"/>
        </w:trPr>
        <w:tc>
          <w:tcPr>
            <w:tcW w:w="345" w:type="pct"/>
            <w:tcBorders>
              <w:top w:val="nil"/>
              <w:left w:val="single" w:color="auto" w:sz="4" w:space="0"/>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14</w:t>
            </w:r>
          </w:p>
        </w:tc>
        <w:tc>
          <w:tcPr>
            <w:tcW w:w="1973"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水土保持生态信息智能监测与处理技术研究</w:t>
            </w:r>
          </w:p>
        </w:tc>
        <w:tc>
          <w:tcPr>
            <w:tcW w:w="1542"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山东农业大学</w:t>
            </w:r>
          </w:p>
        </w:tc>
        <w:tc>
          <w:tcPr>
            <w:tcW w:w="648"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10</w:t>
            </w:r>
          </w:p>
        </w:tc>
        <w:tc>
          <w:tcPr>
            <w:tcW w:w="493"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2015</w:t>
            </w:r>
          </w:p>
        </w:tc>
      </w:tr>
      <w:tr>
        <w:tblPrEx>
          <w:tblCellMar>
            <w:top w:w="0" w:type="dxa"/>
            <w:left w:w="108" w:type="dxa"/>
            <w:bottom w:w="0" w:type="dxa"/>
            <w:right w:w="108" w:type="dxa"/>
          </w:tblCellMar>
        </w:tblPrEx>
        <w:trPr>
          <w:trHeight w:val="454" w:hRule="atLeast"/>
        </w:trPr>
        <w:tc>
          <w:tcPr>
            <w:tcW w:w="345" w:type="pct"/>
            <w:tcBorders>
              <w:top w:val="nil"/>
              <w:left w:val="single" w:color="auto" w:sz="4" w:space="0"/>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15</w:t>
            </w:r>
          </w:p>
        </w:tc>
        <w:tc>
          <w:tcPr>
            <w:tcW w:w="1973"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多元微波遥感土壤水分数据一致性融合方法研究</w:t>
            </w:r>
          </w:p>
        </w:tc>
        <w:tc>
          <w:tcPr>
            <w:tcW w:w="1542" w:type="pct"/>
            <w:tcBorders>
              <w:top w:val="nil"/>
              <w:left w:val="nil"/>
              <w:bottom w:val="single" w:color="auto" w:sz="4" w:space="0"/>
              <w:right w:val="single" w:color="auto" w:sz="4" w:space="0"/>
            </w:tcBorders>
            <w:vAlign w:val="center"/>
          </w:tcPr>
          <w:p>
            <w:pPr>
              <w:widowControl/>
              <w:spacing w:line="240" w:lineRule="auto"/>
              <w:jc w:val="left"/>
              <w:rPr>
                <w:color w:val="000000"/>
                <w:kern w:val="0"/>
                <w:sz w:val="21"/>
                <w:szCs w:val="21"/>
              </w:rPr>
            </w:pPr>
            <w:r>
              <w:rPr>
                <w:color w:val="000000"/>
                <w:kern w:val="0"/>
                <w:sz w:val="21"/>
                <w:szCs w:val="21"/>
              </w:rPr>
              <w:t>国家自然科学基金委</w:t>
            </w:r>
          </w:p>
        </w:tc>
        <w:tc>
          <w:tcPr>
            <w:tcW w:w="648"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w:t>
            </w:r>
          </w:p>
        </w:tc>
        <w:tc>
          <w:tcPr>
            <w:tcW w:w="493" w:type="pct"/>
            <w:tcBorders>
              <w:top w:val="nil"/>
              <w:left w:val="nil"/>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2015</w:t>
            </w:r>
          </w:p>
        </w:tc>
      </w:tr>
      <w:tr>
        <w:tblPrEx>
          <w:tblCellMar>
            <w:top w:w="0" w:type="dxa"/>
            <w:left w:w="108" w:type="dxa"/>
            <w:bottom w:w="0" w:type="dxa"/>
            <w:right w:w="108" w:type="dxa"/>
          </w:tblCellMar>
        </w:tblPrEx>
        <w:trPr>
          <w:trHeight w:val="454" w:hRule="atLeast"/>
        </w:trPr>
        <w:tc>
          <w:tcPr>
            <w:tcW w:w="345" w:type="pct"/>
            <w:tcBorders>
              <w:top w:val="single" w:color="auto" w:sz="4" w:space="0"/>
              <w:left w:val="single" w:color="auto" w:sz="4" w:space="0"/>
              <w:bottom w:val="single" w:color="auto" w:sz="6" w:space="0"/>
              <w:right w:val="single" w:color="auto" w:sz="6" w:space="0"/>
            </w:tcBorders>
            <w:vAlign w:val="center"/>
          </w:tcPr>
          <w:p>
            <w:pPr>
              <w:widowControl/>
              <w:spacing w:line="240" w:lineRule="auto"/>
              <w:jc w:val="center"/>
              <w:rPr>
                <w:color w:val="000000"/>
                <w:kern w:val="0"/>
                <w:sz w:val="21"/>
                <w:szCs w:val="21"/>
              </w:rPr>
            </w:pPr>
            <w:r>
              <w:rPr>
                <w:color w:val="000000"/>
                <w:kern w:val="0"/>
                <w:sz w:val="21"/>
                <w:szCs w:val="21"/>
              </w:rPr>
              <w:t>16</w:t>
            </w:r>
          </w:p>
        </w:tc>
        <w:tc>
          <w:tcPr>
            <w:tcW w:w="1973" w:type="pct"/>
            <w:tcBorders>
              <w:top w:val="single" w:color="auto" w:sz="4" w:space="0"/>
              <w:left w:val="single" w:color="auto" w:sz="6" w:space="0"/>
              <w:bottom w:val="single" w:color="auto" w:sz="6" w:space="0"/>
              <w:right w:val="single" w:color="auto" w:sz="6" w:space="0"/>
            </w:tcBorders>
            <w:vAlign w:val="center"/>
          </w:tcPr>
          <w:p>
            <w:pPr>
              <w:widowControl/>
              <w:spacing w:line="240" w:lineRule="auto"/>
              <w:jc w:val="left"/>
              <w:rPr>
                <w:color w:val="000000"/>
                <w:kern w:val="0"/>
                <w:sz w:val="21"/>
                <w:szCs w:val="21"/>
              </w:rPr>
            </w:pPr>
            <w:r>
              <w:rPr>
                <w:color w:val="000000"/>
                <w:kern w:val="0"/>
                <w:sz w:val="21"/>
                <w:szCs w:val="21"/>
              </w:rPr>
              <w:t>基于机载激光测深信息的近岸海域悬沙浓度高精度反演</w:t>
            </w:r>
          </w:p>
        </w:tc>
        <w:tc>
          <w:tcPr>
            <w:tcW w:w="1542" w:type="pct"/>
            <w:tcBorders>
              <w:top w:val="single" w:color="auto" w:sz="4" w:space="0"/>
              <w:left w:val="single" w:color="auto" w:sz="6" w:space="0"/>
              <w:bottom w:val="single" w:color="auto" w:sz="6" w:space="0"/>
              <w:right w:val="single" w:color="auto" w:sz="6" w:space="0"/>
            </w:tcBorders>
            <w:vAlign w:val="center"/>
          </w:tcPr>
          <w:p>
            <w:pPr>
              <w:widowControl/>
              <w:spacing w:line="240" w:lineRule="auto"/>
              <w:jc w:val="left"/>
              <w:rPr>
                <w:color w:val="000000"/>
                <w:kern w:val="0"/>
                <w:sz w:val="21"/>
                <w:szCs w:val="21"/>
              </w:rPr>
            </w:pPr>
            <w:r>
              <w:rPr>
                <w:color w:val="000000"/>
                <w:kern w:val="0"/>
                <w:sz w:val="21"/>
                <w:szCs w:val="21"/>
              </w:rPr>
              <w:t>国家自然科学基金委</w:t>
            </w:r>
          </w:p>
        </w:tc>
        <w:tc>
          <w:tcPr>
            <w:tcW w:w="648" w:type="pct"/>
            <w:tcBorders>
              <w:top w:val="single" w:color="auto" w:sz="4" w:space="0"/>
              <w:left w:val="single" w:color="auto" w:sz="6" w:space="0"/>
              <w:bottom w:val="single" w:color="auto" w:sz="6" w:space="0"/>
              <w:right w:val="single" w:color="auto" w:sz="6" w:space="0"/>
            </w:tcBorders>
            <w:vAlign w:val="center"/>
          </w:tcPr>
          <w:p>
            <w:pPr>
              <w:widowControl/>
              <w:spacing w:line="240" w:lineRule="auto"/>
              <w:jc w:val="center"/>
              <w:rPr>
                <w:color w:val="000000"/>
                <w:kern w:val="0"/>
                <w:sz w:val="21"/>
                <w:szCs w:val="21"/>
              </w:rPr>
            </w:pPr>
            <w:r>
              <w:rPr>
                <w:color w:val="000000"/>
                <w:kern w:val="0"/>
                <w:sz w:val="21"/>
                <w:szCs w:val="21"/>
              </w:rPr>
              <w:t>23</w:t>
            </w:r>
          </w:p>
        </w:tc>
        <w:tc>
          <w:tcPr>
            <w:tcW w:w="493" w:type="pct"/>
            <w:tcBorders>
              <w:top w:val="single" w:color="auto" w:sz="4" w:space="0"/>
              <w:left w:val="single" w:color="auto" w:sz="6" w:space="0"/>
              <w:bottom w:val="single" w:color="auto" w:sz="6"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2019</w:t>
            </w:r>
          </w:p>
        </w:tc>
      </w:tr>
      <w:tr>
        <w:tblPrEx>
          <w:tblCellMar>
            <w:top w:w="0" w:type="dxa"/>
            <w:left w:w="108" w:type="dxa"/>
            <w:bottom w:w="0" w:type="dxa"/>
            <w:right w:w="108" w:type="dxa"/>
          </w:tblCellMar>
        </w:tblPrEx>
        <w:trPr>
          <w:trHeight w:val="454" w:hRule="atLeast"/>
        </w:trPr>
        <w:tc>
          <w:tcPr>
            <w:tcW w:w="345" w:type="pct"/>
            <w:tcBorders>
              <w:top w:val="single" w:color="auto" w:sz="4" w:space="0"/>
              <w:left w:val="single" w:color="auto" w:sz="4" w:space="0"/>
              <w:bottom w:val="single" w:color="auto" w:sz="6" w:space="0"/>
              <w:right w:val="single" w:color="auto" w:sz="6" w:space="0"/>
            </w:tcBorders>
            <w:vAlign w:val="center"/>
          </w:tcPr>
          <w:p>
            <w:pPr>
              <w:widowControl/>
              <w:spacing w:line="240" w:lineRule="auto"/>
              <w:jc w:val="center"/>
              <w:rPr>
                <w:color w:val="000000"/>
                <w:kern w:val="0"/>
                <w:sz w:val="21"/>
                <w:szCs w:val="21"/>
              </w:rPr>
            </w:pPr>
            <w:r>
              <w:rPr>
                <w:color w:val="000000"/>
                <w:kern w:val="0"/>
                <w:sz w:val="21"/>
                <w:szCs w:val="21"/>
              </w:rPr>
              <w:t>17</w:t>
            </w:r>
          </w:p>
        </w:tc>
        <w:tc>
          <w:tcPr>
            <w:tcW w:w="1973" w:type="pct"/>
            <w:tcBorders>
              <w:top w:val="single" w:color="auto" w:sz="4" w:space="0"/>
              <w:left w:val="single" w:color="auto" w:sz="6" w:space="0"/>
              <w:bottom w:val="single" w:color="auto" w:sz="6" w:space="0"/>
              <w:right w:val="single" w:color="auto" w:sz="6" w:space="0"/>
            </w:tcBorders>
            <w:vAlign w:val="center"/>
          </w:tcPr>
          <w:p>
            <w:pPr>
              <w:widowControl/>
              <w:spacing w:line="240" w:lineRule="auto"/>
              <w:jc w:val="left"/>
              <w:rPr>
                <w:color w:val="000000"/>
                <w:kern w:val="0"/>
                <w:sz w:val="21"/>
                <w:szCs w:val="21"/>
              </w:rPr>
            </w:pPr>
            <w:r>
              <w:rPr>
                <w:color w:val="000000"/>
                <w:kern w:val="0"/>
                <w:sz w:val="21"/>
                <w:szCs w:val="21"/>
              </w:rPr>
              <w:t>机载激光测深回波波形提取与分类方法研究</w:t>
            </w:r>
          </w:p>
        </w:tc>
        <w:tc>
          <w:tcPr>
            <w:tcW w:w="1542" w:type="pct"/>
            <w:tcBorders>
              <w:top w:val="single" w:color="auto" w:sz="4" w:space="0"/>
              <w:left w:val="single" w:color="auto" w:sz="6" w:space="0"/>
              <w:bottom w:val="single" w:color="auto" w:sz="6" w:space="0"/>
              <w:right w:val="single" w:color="auto" w:sz="6" w:space="0"/>
            </w:tcBorders>
            <w:vAlign w:val="center"/>
          </w:tcPr>
          <w:p>
            <w:pPr>
              <w:widowControl/>
              <w:spacing w:line="240" w:lineRule="auto"/>
              <w:jc w:val="left"/>
              <w:rPr>
                <w:color w:val="000000"/>
                <w:kern w:val="0"/>
                <w:sz w:val="21"/>
                <w:szCs w:val="21"/>
              </w:rPr>
            </w:pPr>
            <w:r>
              <w:rPr>
                <w:color w:val="000000"/>
                <w:kern w:val="0"/>
                <w:sz w:val="21"/>
                <w:szCs w:val="21"/>
              </w:rPr>
              <w:t>长江水利委员会水文局长江口水文水资源勘测局</w:t>
            </w:r>
          </w:p>
        </w:tc>
        <w:tc>
          <w:tcPr>
            <w:tcW w:w="648" w:type="pct"/>
            <w:tcBorders>
              <w:top w:val="single" w:color="auto" w:sz="4" w:space="0"/>
              <w:left w:val="single" w:color="auto" w:sz="6" w:space="0"/>
              <w:bottom w:val="single" w:color="auto" w:sz="6" w:space="0"/>
              <w:right w:val="single" w:color="auto" w:sz="6" w:space="0"/>
            </w:tcBorders>
            <w:vAlign w:val="center"/>
          </w:tcPr>
          <w:p>
            <w:pPr>
              <w:widowControl/>
              <w:spacing w:line="240" w:lineRule="auto"/>
              <w:jc w:val="center"/>
              <w:rPr>
                <w:color w:val="000000"/>
                <w:kern w:val="0"/>
                <w:sz w:val="21"/>
                <w:szCs w:val="21"/>
              </w:rPr>
            </w:pPr>
            <w:r>
              <w:rPr>
                <w:color w:val="000000"/>
                <w:kern w:val="0"/>
                <w:sz w:val="21"/>
                <w:szCs w:val="21"/>
              </w:rPr>
              <w:t>19.9</w:t>
            </w:r>
          </w:p>
        </w:tc>
        <w:tc>
          <w:tcPr>
            <w:tcW w:w="493" w:type="pct"/>
            <w:tcBorders>
              <w:top w:val="single" w:color="auto" w:sz="4" w:space="0"/>
              <w:left w:val="single" w:color="auto" w:sz="6" w:space="0"/>
              <w:bottom w:val="single" w:color="auto" w:sz="6"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2019</w:t>
            </w:r>
          </w:p>
        </w:tc>
      </w:tr>
      <w:tr>
        <w:tblPrEx>
          <w:tblCellMar>
            <w:top w:w="0" w:type="dxa"/>
            <w:left w:w="108" w:type="dxa"/>
            <w:bottom w:w="0" w:type="dxa"/>
            <w:right w:w="108" w:type="dxa"/>
          </w:tblCellMar>
        </w:tblPrEx>
        <w:trPr>
          <w:trHeight w:val="454" w:hRule="atLeast"/>
        </w:trPr>
        <w:tc>
          <w:tcPr>
            <w:tcW w:w="345" w:type="pct"/>
            <w:tcBorders>
              <w:top w:val="single" w:color="auto" w:sz="6" w:space="0"/>
              <w:left w:val="single" w:color="auto" w:sz="4" w:space="0"/>
              <w:bottom w:val="single" w:color="auto" w:sz="6" w:space="0"/>
              <w:right w:val="single" w:color="auto" w:sz="6" w:space="0"/>
            </w:tcBorders>
            <w:vAlign w:val="center"/>
          </w:tcPr>
          <w:p>
            <w:pPr>
              <w:widowControl/>
              <w:spacing w:line="240" w:lineRule="auto"/>
              <w:jc w:val="center"/>
              <w:rPr>
                <w:color w:val="000000"/>
                <w:kern w:val="0"/>
                <w:sz w:val="21"/>
                <w:szCs w:val="21"/>
              </w:rPr>
            </w:pPr>
            <w:r>
              <w:rPr>
                <w:color w:val="000000"/>
                <w:kern w:val="0"/>
                <w:sz w:val="21"/>
                <w:szCs w:val="21"/>
              </w:rPr>
              <w:t>18</w:t>
            </w:r>
          </w:p>
        </w:tc>
        <w:tc>
          <w:tcPr>
            <w:tcW w:w="1973" w:type="pct"/>
            <w:tcBorders>
              <w:top w:val="single" w:color="auto" w:sz="6" w:space="0"/>
              <w:left w:val="single" w:color="auto" w:sz="6" w:space="0"/>
              <w:bottom w:val="single" w:color="auto" w:sz="6" w:space="0"/>
              <w:right w:val="single" w:color="auto" w:sz="6" w:space="0"/>
            </w:tcBorders>
            <w:vAlign w:val="center"/>
          </w:tcPr>
          <w:p>
            <w:pPr>
              <w:widowControl/>
              <w:spacing w:line="240" w:lineRule="auto"/>
              <w:jc w:val="left"/>
              <w:rPr>
                <w:color w:val="000000"/>
                <w:kern w:val="0"/>
                <w:sz w:val="21"/>
                <w:szCs w:val="21"/>
              </w:rPr>
            </w:pPr>
            <w:r>
              <w:rPr>
                <w:color w:val="000000"/>
                <w:kern w:val="0"/>
                <w:sz w:val="21"/>
                <w:szCs w:val="21"/>
              </w:rPr>
              <w:t>东南极冰盖断面内部等时层的定量研究</w:t>
            </w:r>
          </w:p>
        </w:tc>
        <w:tc>
          <w:tcPr>
            <w:tcW w:w="1542" w:type="pct"/>
            <w:tcBorders>
              <w:top w:val="single" w:color="auto" w:sz="6" w:space="0"/>
              <w:left w:val="single" w:color="auto" w:sz="6" w:space="0"/>
              <w:bottom w:val="single" w:color="auto" w:sz="6" w:space="0"/>
              <w:right w:val="single" w:color="auto" w:sz="6" w:space="0"/>
            </w:tcBorders>
            <w:vAlign w:val="center"/>
          </w:tcPr>
          <w:p>
            <w:pPr>
              <w:widowControl/>
              <w:spacing w:line="240" w:lineRule="auto"/>
              <w:jc w:val="left"/>
              <w:rPr>
                <w:color w:val="000000"/>
                <w:kern w:val="0"/>
                <w:sz w:val="21"/>
                <w:szCs w:val="21"/>
              </w:rPr>
            </w:pPr>
            <w:r>
              <w:rPr>
                <w:color w:val="000000"/>
                <w:kern w:val="0"/>
                <w:sz w:val="21"/>
                <w:szCs w:val="21"/>
              </w:rPr>
              <w:t>国家自然科学基金委</w:t>
            </w:r>
          </w:p>
        </w:tc>
        <w:tc>
          <w:tcPr>
            <w:tcW w:w="648" w:type="pct"/>
            <w:tcBorders>
              <w:top w:val="single" w:color="auto" w:sz="6" w:space="0"/>
              <w:left w:val="single" w:color="auto" w:sz="6" w:space="0"/>
              <w:bottom w:val="single" w:color="auto" w:sz="6" w:space="0"/>
              <w:right w:val="single" w:color="auto" w:sz="6" w:space="0"/>
            </w:tcBorders>
            <w:vAlign w:val="center"/>
          </w:tcPr>
          <w:p>
            <w:pPr>
              <w:widowControl/>
              <w:spacing w:line="240" w:lineRule="auto"/>
              <w:jc w:val="center"/>
              <w:rPr>
                <w:color w:val="000000"/>
                <w:kern w:val="0"/>
                <w:sz w:val="21"/>
                <w:szCs w:val="21"/>
              </w:rPr>
            </w:pPr>
            <w:r>
              <w:rPr>
                <w:color w:val="000000"/>
                <w:kern w:val="0"/>
                <w:sz w:val="21"/>
                <w:szCs w:val="21"/>
              </w:rPr>
              <w:t>23</w:t>
            </w:r>
          </w:p>
        </w:tc>
        <w:tc>
          <w:tcPr>
            <w:tcW w:w="493" w:type="pct"/>
            <w:tcBorders>
              <w:top w:val="single" w:color="auto" w:sz="6" w:space="0"/>
              <w:left w:val="single" w:color="auto" w:sz="6" w:space="0"/>
              <w:bottom w:val="single" w:color="auto" w:sz="6"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2019</w:t>
            </w:r>
          </w:p>
        </w:tc>
      </w:tr>
      <w:tr>
        <w:tblPrEx>
          <w:tblCellMar>
            <w:top w:w="0" w:type="dxa"/>
            <w:left w:w="108" w:type="dxa"/>
            <w:bottom w:w="0" w:type="dxa"/>
            <w:right w:w="108" w:type="dxa"/>
          </w:tblCellMar>
        </w:tblPrEx>
        <w:trPr>
          <w:trHeight w:val="454" w:hRule="atLeast"/>
        </w:trPr>
        <w:tc>
          <w:tcPr>
            <w:tcW w:w="345" w:type="pct"/>
            <w:tcBorders>
              <w:top w:val="single" w:color="auto" w:sz="6" w:space="0"/>
              <w:left w:val="single" w:color="auto" w:sz="4" w:space="0"/>
              <w:bottom w:val="single" w:color="auto" w:sz="4" w:space="0"/>
              <w:right w:val="single" w:color="auto" w:sz="6" w:space="0"/>
            </w:tcBorders>
            <w:vAlign w:val="center"/>
          </w:tcPr>
          <w:p>
            <w:pPr>
              <w:widowControl/>
              <w:spacing w:line="240" w:lineRule="auto"/>
              <w:jc w:val="center"/>
              <w:rPr>
                <w:color w:val="000000"/>
                <w:kern w:val="0"/>
                <w:sz w:val="21"/>
                <w:szCs w:val="21"/>
              </w:rPr>
            </w:pPr>
            <w:r>
              <w:rPr>
                <w:color w:val="000000"/>
                <w:kern w:val="0"/>
                <w:sz w:val="21"/>
                <w:szCs w:val="21"/>
              </w:rPr>
              <w:t>19</w:t>
            </w:r>
          </w:p>
        </w:tc>
        <w:tc>
          <w:tcPr>
            <w:tcW w:w="1973" w:type="pct"/>
            <w:tcBorders>
              <w:top w:val="single" w:color="auto" w:sz="6" w:space="0"/>
              <w:left w:val="single" w:color="auto" w:sz="6" w:space="0"/>
              <w:bottom w:val="single" w:color="auto" w:sz="4" w:space="0"/>
              <w:right w:val="single" w:color="auto" w:sz="6" w:space="0"/>
            </w:tcBorders>
            <w:vAlign w:val="center"/>
          </w:tcPr>
          <w:p>
            <w:pPr>
              <w:widowControl/>
              <w:spacing w:line="240" w:lineRule="auto"/>
              <w:jc w:val="left"/>
              <w:rPr>
                <w:color w:val="000000"/>
                <w:kern w:val="0"/>
                <w:sz w:val="21"/>
                <w:szCs w:val="21"/>
              </w:rPr>
            </w:pPr>
            <w:r>
              <w:rPr>
                <w:color w:val="000000"/>
                <w:kern w:val="0"/>
                <w:sz w:val="21"/>
                <w:szCs w:val="21"/>
              </w:rPr>
              <w:t>基于多源时序遥感影像的玉麦轮作区生产监测研究</w:t>
            </w:r>
          </w:p>
        </w:tc>
        <w:tc>
          <w:tcPr>
            <w:tcW w:w="1542" w:type="pct"/>
            <w:tcBorders>
              <w:top w:val="single" w:color="auto" w:sz="6" w:space="0"/>
              <w:left w:val="single" w:color="auto" w:sz="6" w:space="0"/>
              <w:bottom w:val="single" w:color="auto" w:sz="4" w:space="0"/>
              <w:right w:val="single" w:color="auto" w:sz="6" w:space="0"/>
            </w:tcBorders>
            <w:vAlign w:val="center"/>
          </w:tcPr>
          <w:p>
            <w:pPr>
              <w:widowControl/>
              <w:spacing w:line="240" w:lineRule="auto"/>
              <w:jc w:val="left"/>
              <w:rPr>
                <w:color w:val="000000"/>
                <w:kern w:val="0"/>
                <w:sz w:val="21"/>
                <w:szCs w:val="21"/>
              </w:rPr>
            </w:pPr>
            <w:r>
              <w:rPr>
                <w:color w:val="000000"/>
                <w:kern w:val="0"/>
                <w:sz w:val="21"/>
                <w:szCs w:val="21"/>
              </w:rPr>
              <w:t>山东省自然科学基金委</w:t>
            </w:r>
          </w:p>
        </w:tc>
        <w:tc>
          <w:tcPr>
            <w:tcW w:w="648" w:type="pct"/>
            <w:tcBorders>
              <w:top w:val="single" w:color="auto" w:sz="6" w:space="0"/>
              <w:left w:val="single" w:color="auto" w:sz="6" w:space="0"/>
              <w:bottom w:val="single" w:color="auto" w:sz="4" w:space="0"/>
              <w:right w:val="single" w:color="auto" w:sz="6" w:space="0"/>
            </w:tcBorders>
            <w:vAlign w:val="center"/>
          </w:tcPr>
          <w:p>
            <w:pPr>
              <w:widowControl/>
              <w:spacing w:line="240" w:lineRule="auto"/>
              <w:jc w:val="center"/>
              <w:rPr>
                <w:color w:val="000000"/>
                <w:kern w:val="0"/>
                <w:sz w:val="21"/>
                <w:szCs w:val="21"/>
              </w:rPr>
            </w:pPr>
            <w:r>
              <w:rPr>
                <w:color w:val="000000"/>
                <w:kern w:val="0"/>
                <w:sz w:val="21"/>
                <w:szCs w:val="21"/>
              </w:rPr>
              <w:t>10</w:t>
            </w:r>
          </w:p>
        </w:tc>
        <w:tc>
          <w:tcPr>
            <w:tcW w:w="493" w:type="pct"/>
            <w:tcBorders>
              <w:top w:val="single" w:color="auto" w:sz="6" w:space="0"/>
              <w:left w:val="single" w:color="auto" w:sz="6" w:space="0"/>
              <w:bottom w:val="single" w:color="auto" w:sz="4" w:space="0"/>
              <w:right w:val="single" w:color="auto" w:sz="4" w:space="0"/>
            </w:tcBorders>
            <w:vAlign w:val="center"/>
          </w:tcPr>
          <w:p>
            <w:pPr>
              <w:widowControl/>
              <w:spacing w:line="240" w:lineRule="auto"/>
              <w:jc w:val="center"/>
              <w:rPr>
                <w:color w:val="000000"/>
                <w:kern w:val="0"/>
                <w:sz w:val="21"/>
                <w:szCs w:val="21"/>
              </w:rPr>
            </w:pPr>
            <w:r>
              <w:rPr>
                <w:color w:val="000000"/>
                <w:kern w:val="0"/>
                <w:sz w:val="21"/>
                <w:szCs w:val="21"/>
              </w:rPr>
              <w:t>2022</w:t>
            </w:r>
          </w:p>
        </w:tc>
      </w:tr>
    </w:tbl>
    <w:p>
      <w:pPr>
        <w:ind w:firstLine="480" w:firstLineChars="200"/>
      </w:pPr>
      <w:r>
        <w:t>教学研究方面，专业教师用心教学，积极进取，教学水平不断提高，近年来获得了一系列教学科研成果，获得山东省教学成果二等奖1项，校级教学成果奖特等奖1项，一等奖1项，三等奖1项；山东农业大学教学杰出教师奖1人，全国高等学校测绘类专业青年教师讲课竞赛特等奖4人次、一等奖3人，二等奖3人；校级教学质量奖二等奖2人、三等奖3人。</w:t>
      </w:r>
    </w:p>
    <w:p>
      <w:pPr>
        <w:pStyle w:val="37"/>
        <w:spacing w:beforeLines="0"/>
        <w:rPr>
          <w:b/>
          <w:bCs/>
        </w:rPr>
      </w:pPr>
      <w:r>
        <w:rPr>
          <w:b/>
          <w:bCs/>
        </w:rPr>
        <w:t xml:space="preserve">表 </w:t>
      </w:r>
      <w:r>
        <w:rPr>
          <w:b/>
          <w:bCs/>
        </w:rPr>
        <w:fldChar w:fldCharType="begin"/>
      </w:r>
      <w:r>
        <w:rPr>
          <w:b/>
          <w:bCs/>
        </w:rPr>
        <w:instrText xml:space="preserve"> SEQ 表 \* ARABIC </w:instrText>
      </w:r>
      <w:r>
        <w:rPr>
          <w:b/>
          <w:bCs/>
        </w:rPr>
        <w:fldChar w:fldCharType="separate"/>
      </w:r>
      <w:r>
        <w:rPr>
          <w:b/>
          <w:bCs/>
        </w:rPr>
        <w:t>4</w:t>
      </w:r>
      <w:r>
        <w:rPr>
          <w:b/>
          <w:bCs/>
        </w:rPr>
        <w:fldChar w:fldCharType="end"/>
      </w:r>
      <w:r>
        <w:rPr>
          <w:b/>
          <w:bCs/>
        </w:rPr>
        <w:t xml:space="preserve">  近五年专任教师代表性教学研究成果和奖励</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
        <w:gridCol w:w="6622"/>
        <w:gridCol w:w="15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12" w:type="pct"/>
            <w:vAlign w:val="center"/>
          </w:tcPr>
          <w:p>
            <w:pPr>
              <w:spacing w:line="360" w:lineRule="auto"/>
              <w:jc w:val="center"/>
              <w:rPr>
                <w:rFonts w:eastAsiaTheme="minorEastAsia"/>
                <w:b/>
                <w:bCs/>
                <w:color w:val="000000"/>
                <w:kern w:val="0"/>
                <w:sz w:val="21"/>
                <w:szCs w:val="21"/>
              </w:rPr>
            </w:pPr>
            <w:r>
              <w:rPr>
                <w:rFonts w:eastAsiaTheme="minorEastAsia"/>
                <w:b/>
                <w:bCs/>
                <w:color w:val="000000"/>
                <w:kern w:val="0"/>
                <w:sz w:val="21"/>
                <w:szCs w:val="21"/>
              </w:rPr>
              <w:t>序号</w:t>
            </w:r>
          </w:p>
        </w:tc>
        <w:tc>
          <w:tcPr>
            <w:tcW w:w="3654" w:type="pct"/>
            <w:vAlign w:val="center"/>
          </w:tcPr>
          <w:p>
            <w:pPr>
              <w:spacing w:line="360" w:lineRule="auto"/>
              <w:jc w:val="center"/>
              <w:rPr>
                <w:rFonts w:eastAsiaTheme="minorEastAsia"/>
                <w:b/>
                <w:bCs/>
                <w:color w:val="000000"/>
                <w:kern w:val="0"/>
                <w:sz w:val="21"/>
                <w:szCs w:val="21"/>
              </w:rPr>
            </w:pPr>
            <w:r>
              <w:rPr>
                <w:rFonts w:eastAsiaTheme="minorEastAsia"/>
                <w:b/>
                <w:bCs/>
                <w:color w:val="000000"/>
                <w:kern w:val="0"/>
                <w:sz w:val="21"/>
                <w:szCs w:val="21"/>
              </w:rPr>
              <w:t>项目名称</w:t>
            </w:r>
          </w:p>
        </w:tc>
        <w:tc>
          <w:tcPr>
            <w:tcW w:w="834" w:type="pct"/>
            <w:vAlign w:val="center"/>
          </w:tcPr>
          <w:p>
            <w:pPr>
              <w:spacing w:line="360" w:lineRule="auto"/>
              <w:jc w:val="center"/>
              <w:rPr>
                <w:rFonts w:eastAsiaTheme="minorEastAsia"/>
                <w:b/>
                <w:bCs/>
                <w:color w:val="000000"/>
                <w:kern w:val="0"/>
                <w:sz w:val="21"/>
                <w:szCs w:val="21"/>
              </w:rPr>
            </w:pPr>
            <w:r>
              <w:rPr>
                <w:rFonts w:eastAsiaTheme="minorEastAsia"/>
                <w:b/>
                <w:bCs/>
                <w:color w:val="000000"/>
                <w:kern w:val="0"/>
                <w:sz w:val="21"/>
                <w:szCs w:val="21"/>
              </w:rPr>
              <w:t>获奖时间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1</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山东省第九届教学成果二等奖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第十一届全国高等学校测绘类青年教师讲课竞赛（一等奖）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3</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第十一届全国高等学校测绘类青年教师讲课竞赛（二等奖）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4</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山东农业大学青年教师讲课比赛一等奖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5</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山东农业大学优秀课程思政教学设计项目（一等奖）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6</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山东农业大学优秀课程思政教学设计项目（三等奖）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7</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第十届全国高等学校测绘类青年教师讲课竞赛（特等奖）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8</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第十届全国高等学校测绘类青年教师讲课竞赛（二等奖）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9</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第十届全国高等学校测绘类青年教师讲课竞赛（二等奖）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10</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校级教学成果一等奖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11</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校级教学成果三等奖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12</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山东省普通本科高校青年教师教学能力提升培训先进个人</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13</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第十一届山东省大学生测量技能大赛优秀指导教师</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14</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山东农业大学教学质量二等奖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15</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第九届全国高等学校测绘类青年教师讲课竞赛（特等奖）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16</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第九届全国高等学校测绘类青年教师讲课竞赛（一等奖）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17</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第四届全国大学生测绘技能大赛优秀指导教师</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18</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山东省大学生测绘技能比赛优秀指导教师</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19</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山东农业大学教学杰出教师奖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w:t>
            </w:r>
          </w:p>
        </w:tc>
        <w:tc>
          <w:tcPr>
            <w:tcW w:w="3654" w:type="pct"/>
            <w:vAlign w:val="center"/>
          </w:tcPr>
          <w:p>
            <w:pPr>
              <w:spacing w:line="240" w:lineRule="auto"/>
              <w:jc w:val="center"/>
              <w:rPr>
                <w:rFonts w:eastAsiaTheme="minorEastAsia"/>
                <w:color w:val="000000"/>
                <w:kern w:val="0"/>
                <w:sz w:val="21"/>
                <w:szCs w:val="21"/>
              </w:rPr>
            </w:pPr>
            <w:r>
              <w:rPr>
                <w:rFonts w:eastAsiaTheme="minorEastAsia"/>
                <w:color w:val="000000"/>
                <w:kern w:val="0"/>
                <w:sz w:val="21"/>
                <w:szCs w:val="21"/>
              </w:rPr>
              <w:t>山东农业大学第四届青年教师多媒体教学课件比赛（三等奖）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21</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山东农业大学</w:t>
            </w:r>
            <w:r>
              <w:rPr>
                <w:rFonts w:hint="eastAsia" w:eastAsiaTheme="minorEastAsia"/>
                <w:color w:val="000000"/>
                <w:kern w:val="0"/>
                <w:sz w:val="21"/>
                <w:szCs w:val="21"/>
              </w:rPr>
              <w:t>“</w:t>
            </w:r>
            <w:r>
              <w:rPr>
                <w:rFonts w:eastAsiaTheme="minorEastAsia"/>
                <w:color w:val="000000"/>
                <w:kern w:val="0"/>
                <w:sz w:val="21"/>
                <w:szCs w:val="21"/>
              </w:rPr>
              <w:t>青年岗位能手</w:t>
            </w:r>
            <w:r>
              <w:rPr>
                <w:rFonts w:hint="eastAsia" w:eastAsiaTheme="minorEastAsia"/>
                <w:color w:val="000000"/>
                <w:kern w:val="0"/>
                <w:sz w:val="21"/>
                <w:szCs w:val="21"/>
              </w:rPr>
              <w:t>”</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22</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山东农业大学信息科学与工程学院青年教师讲课比赛（三等奖）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23</w:t>
            </w:r>
          </w:p>
        </w:tc>
        <w:tc>
          <w:tcPr>
            <w:tcW w:w="3654" w:type="pct"/>
            <w:vAlign w:val="center"/>
          </w:tcPr>
          <w:p>
            <w:pPr>
              <w:spacing w:line="240" w:lineRule="auto"/>
              <w:jc w:val="center"/>
              <w:rPr>
                <w:rFonts w:eastAsiaTheme="minorEastAsia"/>
                <w:color w:val="000000"/>
                <w:kern w:val="0"/>
                <w:sz w:val="21"/>
                <w:szCs w:val="21"/>
              </w:rPr>
            </w:pPr>
            <w:r>
              <w:rPr>
                <w:rFonts w:eastAsiaTheme="minorEastAsia"/>
                <w:color w:val="000000"/>
                <w:kern w:val="0"/>
                <w:sz w:val="21"/>
                <w:szCs w:val="21"/>
              </w:rPr>
              <w:t>山东农业大学信息科学与工程学院2015年度</w:t>
            </w:r>
            <w:r>
              <w:rPr>
                <w:rFonts w:hint="eastAsia" w:eastAsiaTheme="minorEastAsia"/>
                <w:color w:val="000000"/>
                <w:kern w:val="0"/>
                <w:sz w:val="21"/>
                <w:szCs w:val="21"/>
              </w:rPr>
              <w:t>“</w:t>
            </w:r>
            <w:r>
              <w:rPr>
                <w:rFonts w:eastAsiaTheme="minorEastAsia"/>
                <w:color w:val="000000"/>
                <w:kern w:val="0"/>
                <w:sz w:val="21"/>
                <w:szCs w:val="21"/>
              </w:rPr>
              <w:t>青年科研标兵</w:t>
            </w:r>
            <w:r>
              <w:rPr>
                <w:rFonts w:hint="eastAsia" w:eastAsiaTheme="minorEastAsia"/>
                <w:color w:val="000000"/>
                <w:kern w:val="0"/>
                <w:sz w:val="21"/>
                <w:szCs w:val="21"/>
              </w:rPr>
              <w:t>”</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24</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山东农业大学信息科学与工程学院2015年度</w:t>
            </w:r>
            <w:r>
              <w:rPr>
                <w:rFonts w:hint="eastAsia" w:eastAsiaTheme="minorEastAsia"/>
                <w:color w:val="000000"/>
                <w:kern w:val="0"/>
                <w:sz w:val="21"/>
                <w:szCs w:val="21"/>
              </w:rPr>
              <w:t>“</w:t>
            </w:r>
            <w:r>
              <w:rPr>
                <w:rFonts w:eastAsiaTheme="minorEastAsia"/>
                <w:color w:val="000000"/>
                <w:kern w:val="0"/>
                <w:sz w:val="21"/>
                <w:szCs w:val="21"/>
              </w:rPr>
              <w:t>青年教学标兵</w:t>
            </w:r>
            <w:r>
              <w:rPr>
                <w:rFonts w:hint="eastAsia" w:eastAsiaTheme="minorEastAsia"/>
                <w:color w:val="000000"/>
                <w:kern w:val="0"/>
                <w:sz w:val="21"/>
                <w:szCs w:val="21"/>
              </w:rPr>
              <w:t>”</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25</w:t>
            </w:r>
          </w:p>
        </w:tc>
        <w:tc>
          <w:tcPr>
            <w:tcW w:w="3654" w:type="pct"/>
            <w:vAlign w:val="center"/>
          </w:tcPr>
          <w:p>
            <w:pPr>
              <w:spacing w:line="240" w:lineRule="auto"/>
              <w:jc w:val="center"/>
              <w:rPr>
                <w:rFonts w:eastAsiaTheme="minorEastAsia"/>
                <w:color w:val="000000"/>
                <w:kern w:val="0"/>
                <w:sz w:val="21"/>
                <w:szCs w:val="21"/>
              </w:rPr>
            </w:pPr>
            <w:r>
              <w:rPr>
                <w:rFonts w:hint="eastAsia" w:eastAsiaTheme="minorEastAsia"/>
                <w:color w:val="000000"/>
                <w:kern w:val="0"/>
                <w:sz w:val="21"/>
                <w:szCs w:val="21"/>
              </w:rPr>
              <w:t>“</w:t>
            </w:r>
            <w:r>
              <w:rPr>
                <w:rFonts w:eastAsiaTheme="minorEastAsia"/>
                <w:color w:val="000000"/>
                <w:kern w:val="0"/>
                <w:sz w:val="21"/>
                <w:szCs w:val="21"/>
              </w:rPr>
              <w:t>中海达</w:t>
            </w:r>
            <w:r>
              <w:rPr>
                <w:rFonts w:hint="eastAsia" w:eastAsiaTheme="minorEastAsia"/>
                <w:color w:val="000000"/>
                <w:kern w:val="0"/>
                <w:sz w:val="21"/>
                <w:szCs w:val="21"/>
              </w:rPr>
              <w:t>”</w:t>
            </w:r>
            <w:r>
              <w:rPr>
                <w:rFonts w:eastAsiaTheme="minorEastAsia"/>
                <w:color w:val="000000"/>
                <w:kern w:val="0"/>
                <w:sz w:val="21"/>
                <w:szCs w:val="21"/>
              </w:rPr>
              <w:t>杯第八届全国高等学校测绘专业青年教师讲课竞赛</w:t>
            </w:r>
          </w:p>
          <w:p>
            <w:pPr>
              <w:spacing w:line="240" w:lineRule="auto"/>
              <w:jc w:val="center"/>
              <w:rPr>
                <w:rFonts w:eastAsiaTheme="minorEastAsia"/>
                <w:color w:val="000000"/>
                <w:kern w:val="0"/>
                <w:sz w:val="21"/>
                <w:szCs w:val="21"/>
              </w:rPr>
            </w:pPr>
            <w:r>
              <w:rPr>
                <w:rFonts w:eastAsiaTheme="minorEastAsia"/>
                <w:color w:val="000000"/>
                <w:kern w:val="0"/>
                <w:sz w:val="21"/>
                <w:szCs w:val="21"/>
              </w:rPr>
              <w:t>（特等奖）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26</w:t>
            </w:r>
          </w:p>
        </w:tc>
        <w:tc>
          <w:tcPr>
            <w:tcW w:w="3654" w:type="pct"/>
            <w:vAlign w:val="center"/>
          </w:tcPr>
          <w:p>
            <w:pPr>
              <w:spacing w:line="240" w:lineRule="auto"/>
              <w:jc w:val="center"/>
              <w:rPr>
                <w:rFonts w:eastAsiaTheme="minorEastAsia"/>
                <w:color w:val="000000"/>
                <w:kern w:val="0"/>
                <w:sz w:val="21"/>
                <w:szCs w:val="21"/>
              </w:rPr>
            </w:pPr>
            <w:r>
              <w:rPr>
                <w:rFonts w:hint="eastAsia" w:eastAsiaTheme="minorEastAsia"/>
                <w:color w:val="000000"/>
                <w:kern w:val="0"/>
                <w:sz w:val="21"/>
                <w:szCs w:val="21"/>
              </w:rPr>
              <w:t>“</w:t>
            </w:r>
            <w:r>
              <w:rPr>
                <w:rFonts w:eastAsiaTheme="minorEastAsia"/>
                <w:color w:val="000000"/>
                <w:kern w:val="0"/>
                <w:sz w:val="21"/>
                <w:szCs w:val="21"/>
              </w:rPr>
              <w:t>中海达</w:t>
            </w:r>
            <w:r>
              <w:rPr>
                <w:rFonts w:hint="eastAsia" w:eastAsiaTheme="minorEastAsia"/>
                <w:color w:val="000000"/>
                <w:kern w:val="0"/>
                <w:sz w:val="21"/>
                <w:szCs w:val="21"/>
              </w:rPr>
              <w:t>”</w:t>
            </w:r>
            <w:r>
              <w:rPr>
                <w:rFonts w:eastAsiaTheme="minorEastAsia"/>
                <w:color w:val="000000"/>
                <w:kern w:val="0"/>
                <w:sz w:val="21"/>
                <w:szCs w:val="21"/>
              </w:rPr>
              <w:t>杯第八届全国高等学校测绘专业青年教师讲课竞赛</w:t>
            </w:r>
          </w:p>
          <w:p>
            <w:pPr>
              <w:spacing w:line="240" w:lineRule="auto"/>
              <w:jc w:val="center"/>
              <w:rPr>
                <w:rFonts w:eastAsiaTheme="minorEastAsia"/>
                <w:color w:val="000000"/>
                <w:kern w:val="0"/>
                <w:sz w:val="21"/>
                <w:szCs w:val="21"/>
              </w:rPr>
            </w:pPr>
            <w:r>
              <w:rPr>
                <w:rFonts w:eastAsiaTheme="minorEastAsia"/>
                <w:color w:val="000000"/>
                <w:kern w:val="0"/>
                <w:sz w:val="21"/>
                <w:szCs w:val="21"/>
              </w:rPr>
              <w:t>（特等奖）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27</w:t>
            </w:r>
          </w:p>
        </w:tc>
        <w:tc>
          <w:tcPr>
            <w:tcW w:w="3654" w:type="pct"/>
            <w:vAlign w:val="center"/>
          </w:tcPr>
          <w:p>
            <w:pPr>
              <w:spacing w:line="240" w:lineRule="auto"/>
              <w:jc w:val="center"/>
              <w:rPr>
                <w:rFonts w:eastAsiaTheme="minorEastAsia"/>
                <w:color w:val="000000"/>
                <w:kern w:val="0"/>
                <w:sz w:val="21"/>
                <w:szCs w:val="21"/>
              </w:rPr>
            </w:pPr>
            <w:r>
              <w:rPr>
                <w:rFonts w:hint="eastAsia" w:eastAsiaTheme="minorEastAsia"/>
                <w:color w:val="000000"/>
                <w:kern w:val="0"/>
                <w:sz w:val="21"/>
                <w:szCs w:val="21"/>
              </w:rPr>
              <w:t>“</w:t>
            </w:r>
            <w:r>
              <w:rPr>
                <w:rFonts w:eastAsiaTheme="minorEastAsia"/>
                <w:color w:val="000000"/>
                <w:kern w:val="0"/>
                <w:sz w:val="21"/>
                <w:szCs w:val="21"/>
              </w:rPr>
              <w:t>中海达</w:t>
            </w:r>
            <w:r>
              <w:rPr>
                <w:rFonts w:hint="eastAsia" w:eastAsiaTheme="minorEastAsia"/>
                <w:color w:val="000000"/>
                <w:kern w:val="0"/>
                <w:sz w:val="21"/>
                <w:szCs w:val="21"/>
              </w:rPr>
              <w:t>”</w:t>
            </w:r>
            <w:r>
              <w:rPr>
                <w:rFonts w:eastAsiaTheme="minorEastAsia"/>
                <w:color w:val="000000"/>
                <w:kern w:val="0"/>
                <w:sz w:val="21"/>
                <w:szCs w:val="21"/>
              </w:rPr>
              <w:t>杯第八届全国高等学校测绘专业青年教师讲课竞赛</w:t>
            </w:r>
          </w:p>
          <w:p>
            <w:pPr>
              <w:spacing w:line="240" w:lineRule="auto"/>
              <w:jc w:val="center"/>
              <w:rPr>
                <w:rFonts w:eastAsiaTheme="minorEastAsia"/>
                <w:color w:val="000000"/>
                <w:kern w:val="0"/>
                <w:sz w:val="21"/>
                <w:szCs w:val="21"/>
              </w:rPr>
            </w:pPr>
            <w:r>
              <w:rPr>
                <w:rFonts w:eastAsiaTheme="minorEastAsia"/>
                <w:color w:val="000000"/>
                <w:kern w:val="0"/>
                <w:sz w:val="21"/>
                <w:szCs w:val="21"/>
              </w:rPr>
              <w:t>（一等奖）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28</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第十五届全国多媒体课件大赛优秀奖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29</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山东农业大学青年教师讲课比赛（二等奖）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30</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山东农业大学信息科学与工程学院青年教师讲课比赛（一等奖）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31</w:t>
            </w:r>
          </w:p>
        </w:tc>
        <w:tc>
          <w:tcPr>
            <w:tcW w:w="365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山东农业大学信息科学与工程学院青年教师讲课比赛（三等奖）</w:t>
            </w:r>
          </w:p>
        </w:tc>
        <w:tc>
          <w:tcPr>
            <w:tcW w:w="834" w:type="pct"/>
            <w:vAlign w:val="center"/>
          </w:tcPr>
          <w:p>
            <w:pPr>
              <w:spacing w:line="360" w:lineRule="auto"/>
              <w:jc w:val="center"/>
              <w:rPr>
                <w:rFonts w:eastAsiaTheme="minorEastAsia"/>
                <w:color w:val="000000"/>
                <w:kern w:val="0"/>
                <w:sz w:val="21"/>
                <w:szCs w:val="21"/>
              </w:rPr>
            </w:pPr>
            <w:r>
              <w:rPr>
                <w:rFonts w:eastAsiaTheme="minorEastAsia"/>
                <w:color w:val="000000"/>
                <w:kern w:val="0"/>
                <w:sz w:val="21"/>
                <w:szCs w:val="21"/>
              </w:rPr>
              <w:t>2015</w:t>
            </w:r>
          </w:p>
        </w:tc>
      </w:tr>
    </w:tbl>
    <w:p>
      <w:pPr>
        <w:ind w:firstLine="480" w:firstLineChars="200"/>
      </w:pPr>
      <w:r>
        <w:t>（2）兼职教师</w:t>
      </w:r>
    </w:p>
    <w:p>
      <w:pPr>
        <w:ind w:firstLine="480" w:firstLineChars="200"/>
      </w:pPr>
      <w:r>
        <w:t>为进一步提高人才培养质量，本专业通过多种方式和渠道，聘请企业和科研院所的技术专家作为兼职教师，主要承担或参与本科教学，如研究进展类课程、专业知识讲座和实习指导等教学任务，如聘请兼职教师参与对学生的专业实习现场指导（包括专业认识实习、生产实习），参与毕业论文的开题和论文答辩，与校内老师共同指导毕业设计等，形成了一支专兼结合的教师队伍。兼职教师来自中国测绘科学研究院、国家农业信息化过程技术研究中心、中国科学院空天信息研究院、山东省地质测绘院、泰安市国土资源局等研究和生产单位，主要承担实践指导和毕业论文指导工作，兼职教师数如</w:t>
      </w:r>
      <w:r>
        <w:fldChar w:fldCharType="begin"/>
      </w:r>
      <w:r>
        <w:instrText xml:space="preserve"> REF _Ref27644294 \h  \* MERGEFORMAT </w:instrText>
      </w:r>
      <w:r>
        <w:fldChar w:fldCharType="separate"/>
      </w:r>
      <w:r>
        <w:t>图 4</w:t>
      </w:r>
      <w:r>
        <w:fldChar w:fldCharType="end"/>
      </w:r>
      <w:r>
        <w:t>所示。</w:t>
      </w:r>
    </w:p>
    <w:p>
      <w:pPr>
        <w:pStyle w:val="37"/>
        <w:spacing w:beforeLines="0"/>
      </w:pPr>
      <w:r>
        <w:drawing>
          <wp:inline distT="0" distB="0" distL="0" distR="0">
            <wp:extent cx="4572000" cy="2743200"/>
            <wp:effectExtent l="0" t="0" r="0" b="0"/>
            <wp:docPr id="136" name="图表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pPr>
        <w:pStyle w:val="39"/>
        <w:spacing w:beforeLines="0" w:afterLines="0"/>
        <w:rPr>
          <w:b/>
          <w:bCs/>
        </w:rPr>
      </w:pPr>
      <w:bookmarkStart w:id="789" w:name="_Ref27644294"/>
      <w:r>
        <w:rPr>
          <w:b/>
          <w:bCs/>
        </w:rPr>
        <w:t xml:space="preserve">图 </w:t>
      </w:r>
      <w:r>
        <w:rPr>
          <w:b/>
          <w:bCs/>
        </w:rPr>
        <w:fldChar w:fldCharType="begin"/>
      </w:r>
      <w:r>
        <w:rPr>
          <w:b/>
          <w:bCs/>
        </w:rPr>
        <w:instrText xml:space="preserve"> SEQ 图 \* ARABIC </w:instrText>
      </w:r>
      <w:r>
        <w:rPr>
          <w:b/>
          <w:bCs/>
        </w:rPr>
        <w:fldChar w:fldCharType="separate"/>
      </w:r>
      <w:r>
        <w:rPr>
          <w:b/>
          <w:bCs/>
        </w:rPr>
        <w:t>4</w:t>
      </w:r>
      <w:r>
        <w:rPr>
          <w:b/>
          <w:bCs/>
        </w:rPr>
        <w:fldChar w:fldCharType="end"/>
      </w:r>
      <w:bookmarkEnd w:id="789"/>
      <w:r>
        <w:rPr>
          <w:b/>
          <w:bCs/>
        </w:rPr>
        <w:t xml:space="preserve">  兼职教师数量情况</w:t>
      </w:r>
    </w:p>
    <w:p>
      <w:pPr>
        <w:pStyle w:val="45"/>
        <w:ind w:firstLine="480"/>
        <w:rPr>
          <w:rFonts w:ascii="Times New Roman" w:hAnsi="Times New Roman"/>
        </w:rPr>
      </w:pPr>
      <w:r>
        <w:rPr>
          <w:rFonts w:ascii="Times New Roman" w:hAnsi="Times New Roman"/>
        </w:rPr>
        <w:t>3</w:t>
      </w:r>
      <w:r>
        <w:rPr>
          <w:rFonts w:hint="eastAsia" w:ascii="Times New Roman" w:hAnsi="Times New Roman"/>
        </w:rPr>
        <w:t>.</w:t>
      </w:r>
      <w:r>
        <w:rPr>
          <w:rFonts w:ascii="Times New Roman" w:hAnsi="Times New Roman"/>
        </w:rPr>
        <w:t>实习基地</w:t>
      </w:r>
    </w:p>
    <w:p>
      <w:pPr>
        <w:ind w:firstLine="480" w:firstLineChars="200"/>
      </w:pPr>
      <w:r>
        <w:t>（1）学校实验室</w:t>
      </w:r>
    </w:p>
    <w:p>
      <w:pPr>
        <w:ind w:firstLine="480" w:firstLineChars="200"/>
      </w:pPr>
      <w:r>
        <w:t>测绘工程专业本科教学所涉及的实验室包括基础实验室、专业实验室两部分。</w:t>
      </w:r>
    </w:p>
    <w:p>
      <w:pPr>
        <w:ind w:firstLine="480" w:firstLineChars="200"/>
      </w:pPr>
      <w:r>
        <w:t>①基础实验室</w:t>
      </w:r>
    </w:p>
    <w:p>
      <w:pPr>
        <w:ind w:firstLine="480" w:firstLineChars="200"/>
      </w:pPr>
      <w:r>
        <w:t>基础实验室包括物理实验教学中心和计算机实验教学中心两部分。物理实验教学中心共有仪器设备1945件，固定资产558.9982万元，面积2000多平方米。计算机实验教学中心拥有仪器设备4505台（件），实验室总面积6251平方米，设备资产总值达1100多万元。</w:t>
      </w:r>
    </w:p>
    <w:p>
      <w:pPr>
        <w:ind w:firstLine="480" w:firstLineChars="200"/>
      </w:pPr>
      <w:r>
        <w:t>物理实验中心承担《物理实验》的课程实验；计算机实验教学中心承担《大学计算机基础》《C++程序设计》《数据结构》《测绘程序设计》等课程的实验教学任务。</w:t>
      </w:r>
    </w:p>
    <w:p>
      <w:pPr>
        <w:ind w:firstLine="480" w:firstLineChars="200"/>
      </w:pPr>
      <w:r>
        <w:t>②专业实验室</w:t>
      </w:r>
    </w:p>
    <w:p>
      <w:pPr>
        <w:ind w:firstLine="480" w:firstLineChars="200"/>
      </w:pPr>
      <w:r>
        <w:t>专业实验条件方面，拥有测绘实验教学中心，分设于岱宗、泮河两个校区，包括1个水准测量实验室、1个常规仪器室、1个光学仪器实验室、1个电子仪器室、1个地图测绘实验室、1个遥感&amp;数字成图实验室、1个摄影测量与遥感实验室、1个地理信息工程实验室，建筑面积660余平方米；有仪器设备800台（件）。</w:t>
      </w:r>
    </w:p>
    <w:p>
      <w:pPr>
        <w:ind w:firstLine="480" w:firstLineChars="200"/>
      </w:pPr>
      <w:r>
        <w:t>水准测量实验室和光学仪器实验室。主要承担《数字地形测量学》《大地测量学基础》《工程测量学》等课程课堂实验、集中实习和开放实验。通过课堂实习，使学生掌握水准仪使用和水准测量、经纬仪使用与角度测量的方法和技能。</w:t>
      </w:r>
    </w:p>
    <w:p>
      <w:pPr>
        <w:ind w:firstLine="480" w:firstLineChars="200"/>
      </w:pPr>
      <w:r>
        <w:t>电子仪器综合实验室。主要承担《数字地形测量学》《大地测量学基础》《卫星导航定位》《工程测量学》等课程课堂实验、集中实习和开放实验。通过实习，使学生掌握全站仪使用方法，掌握精密水准测量和高等级导线外业测量及内业计算技能，完成数字测图的设计和外业数据采集。</w:t>
      </w:r>
    </w:p>
    <w:p>
      <w:pPr>
        <w:ind w:firstLine="480" w:firstLineChars="200"/>
      </w:pPr>
      <w:r>
        <w:t>遥感&amp;数字成图实验室。主要承担《数字地形测量学》《卫星定位原理与应用》《工程测量学》《不动产测量》《遥感原理与应用》等课程的课程实验、集中实习和开放实验。训练学生利用相关软件对相关仪器设备的数据下载和处理。进行全球卫星定位接收机的操作，不同等级GNSS控制网的设计、布设、观测和内业数据处理，网络RTK技术在地形、控制、测图、工程测量等相关工程项目中的应用。</w:t>
      </w:r>
    </w:p>
    <w:p>
      <w:pPr>
        <w:ind w:firstLine="480" w:firstLineChars="200"/>
      </w:pPr>
      <w:r>
        <w:t>数字摄影测量与遥感实验室。主要承担《摄影测量学》《遥感原理及应用》等课程的实验教学、课程设计和开放实验任务。通过实验学生可掌握VirtuoZo、Mapmatrix、ENVI、ERDAS、航天远景、Smar3D等多种摄影测量与遥感专业软件；掌握航测外业像控点布设、测量、计算，能够进行影像数据处理并制作DEM、DOM、DLG和DRG；能够利用Envi、Erdas等常用遥感图像处理的专业软件进行遥感数字图像处理。</w:t>
      </w:r>
    </w:p>
    <w:p>
      <w:pPr>
        <w:ind w:firstLine="480" w:firstLineChars="200"/>
      </w:pPr>
      <w:r>
        <w:t>地理信息工程实验室。主要承担《地理信息系统原理及应用》《测绘程序设计》等课程的实验教学、课程设计和开放实验任务。通过实验学生可掌握ArcGIS、MAPGIS等地理信息系统专业软件；能够进行空间数据表达、分析和处理，掌握地理信息系统二次开发技能。</w:t>
      </w:r>
    </w:p>
    <w:p>
      <w:pPr>
        <w:ind w:firstLine="480" w:firstLineChars="200"/>
      </w:pPr>
      <w:r>
        <w:t>（2）校外实习基地</w:t>
      </w:r>
    </w:p>
    <w:p>
      <w:pPr>
        <w:ind w:firstLine="480" w:firstLineChars="200"/>
      </w:pPr>
      <w:r>
        <w:t>为提高学生的实践技能和社交能力，测绘工程专业以就业为导向，立足山东省，不断更新建立教学育人实践基地。先后与山东省泰安市泰山区国土资源管理分局、山东省地质测绘院、山东友信测绘有限公司、山东科技大学矿业工程综合实训中心等单位建立了教学科研育人基地，如</w:t>
      </w:r>
      <w:r>
        <w:fldChar w:fldCharType="begin"/>
      </w:r>
      <w:r>
        <w:instrText xml:space="preserve"> REF _Ref27644332 \h  \* MERGEFORMAT </w:instrText>
      </w:r>
      <w:r>
        <w:fldChar w:fldCharType="separate"/>
      </w:r>
      <w:r>
        <w:t>图5</w:t>
      </w:r>
      <w:r>
        <w:fldChar w:fldCharType="end"/>
      </w:r>
      <w:r>
        <w:t>和</w:t>
      </w:r>
      <w:r>
        <w:fldChar w:fldCharType="begin"/>
      </w:r>
      <w:r>
        <w:instrText xml:space="preserve"> REF _Ref27644414 \h  \* MERGEFORMAT </w:instrText>
      </w:r>
      <w:r>
        <w:fldChar w:fldCharType="separate"/>
      </w:r>
      <w:r>
        <w:t>表5</w:t>
      </w:r>
      <w:r>
        <w:fldChar w:fldCharType="end"/>
      </w:r>
      <w:r>
        <w:t>所示。</w:t>
      </w:r>
    </w:p>
    <w:p>
      <w:pPr>
        <w:pStyle w:val="39"/>
        <w:spacing w:beforeLines="0" w:afterLines="0"/>
      </w:pPr>
      <w:r>
        <w:drawing>
          <wp:inline distT="0" distB="0" distL="0" distR="0">
            <wp:extent cx="4572000" cy="2743200"/>
            <wp:effectExtent l="0" t="0" r="0" b="0"/>
            <wp:docPr id="141" name="图表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pPr>
        <w:pStyle w:val="39"/>
        <w:spacing w:beforeLines="0" w:afterLines="0"/>
        <w:rPr>
          <w:b/>
          <w:bCs/>
        </w:rPr>
      </w:pPr>
      <w:bookmarkStart w:id="790" w:name="_Ref27644332"/>
      <w:r>
        <w:rPr>
          <w:b/>
          <w:bCs/>
        </w:rPr>
        <w:t xml:space="preserve">图 </w:t>
      </w:r>
      <w:r>
        <w:rPr>
          <w:b/>
          <w:bCs/>
        </w:rPr>
        <w:fldChar w:fldCharType="begin"/>
      </w:r>
      <w:r>
        <w:rPr>
          <w:b/>
          <w:bCs/>
        </w:rPr>
        <w:instrText xml:space="preserve"> SEQ 图 \* ARABIC </w:instrText>
      </w:r>
      <w:r>
        <w:rPr>
          <w:b/>
          <w:bCs/>
        </w:rPr>
        <w:fldChar w:fldCharType="separate"/>
      </w:r>
      <w:r>
        <w:rPr>
          <w:b/>
          <w:bCs/>
        </w:rPr>
        <w:t>5</w:t>
      </w:r>
      <w:r>
        <w:rPr>
          <w:b/>
          <w:bCs/>
        </w:rPr>
        <w:fldChar w:fldCharType="end"/>
      </w:r>
      <w:bookmarkEnd w:id="790"/>
      <w:r>
        <w:rPr>
          <w:b/>
          <w:bCs/>
        </w:rPr>
        <w:t xml:space="preserve">  校外实习基地数量</w:t>
      </w:r>
    </w:p>
    <w:p>
      <w:pPr>
        <w:pStyle w:val="37"/>
        <w:spacing w:beforeLines="0"/>
      </w:pPr>
      <w:bookmarkStart w:id="791" w:name="_Ref27644414"/>
    </w:p>
    <w:p>
      <w:pPr>
        <w:pStyle w:val="37"/>
        <w:spacing w:beforeLines="0"/>
        <w:rPr>
          <w:b/>
          <w:bCs/>
        </w:rPr>
      </w:pPr>
      <w:r>
        <w:rPr>
          <w:b/>
          <w:bCs/>
        </w:rPr>
        <w:t xml:space="preserve">表 </w:t>
      </w:r>
      <w:r>
        <w:rPr>
          <w:b/>
          <w:bCs/>
        </w:rPr>
        <w:fldChar w:fldCharType="begin"/>
      </w:r>
      <w:r>
        <w:rPr>
          <w:b/>
          <w:bCs/>
        </w:rPr>
        <w:instrText xml:space="preserve"> SEQ 表 \* ARABIC </w:instrText>
      </w:r>
      <w:r>
        <w:rPr>
          <w:b/>
          <w:bCs/>
        </w:rPr>
        <w:fldChar w:fldCharType="separate"/>
      </w:r>
      <w:r>
        <w:rPr>
          <w:b/>
          <w:bCs/>
        </w:rPr>
        <w:t>5</w:t>
      </w:r>
      <w:r>
        <w:rPr>
          <w:b/>
          <w:bCs/>
        </w:rPr>
        <w:fldChar w:fldCharType="end"/>
      </w:r>
      <w:bookmarkEnd w:id="791"/>
      <w:r>
        <w:rPr>
          <w:b/>
          <w:bCs/>
        </w:rPr>
        <w:t xml:space="preserve">  测绘工程专业实习基地情况</w:t>
      </w:r>
    </w:p>
    <w:tbl>
      <w:tblPr>
        <w:tblStyle w:val="17"/>
        <w:tblW w:w="4203" w:type="pct"/>
        <w:jc w:val="center"/>
        <w:tblLayout w:type="autofit"/>
        <w:tblCellMar>
          <w:top w:w="0" w:type="dxa"/>
          <w:left w:w="108" w:type="dxa"/>
          <w:bottom w:w="0" w:type="dxa"/>
          <w:right w:w="108" w:type="dxa"/>
        </w:tblCellMar>
      </w:tblPr>
      <w:tblGrid>
        <w:gridCol w:w="834"/>
        <w:gridCol w:w="5276"/>
        <w:gridCol w:w="1507"/>
      </w:tblGrid>
      <w:tr>
        <w:tblPrEx>
          <w:tblCellMar>
            <w:top w:w="0" w:type="dxa"/>
            <w:left w:w="108" w:type="dxa"/>
            <w:bottom w:w="0" w:type="dxa"/>
            <w:right w:w="108" w:type="dxa"/>
          </w:tblCellMar>
        </w:tblPrEx>
        <w:trPr>
          <w:trHeight w:val="522" w:hRule="atLeast"/>
          <w:jc w:val="center"/>
        </w:trPr>
        <w:tc>
          <w:tcPr>
            <w:tcW w:w="548" w:type="pct"/>
            <w:tcBorders>
              <w:top w:val="single" w:color="auto" w:sz="4" w:space="0"/>
              <w:left w:val="single" w:color="auto" w:sz="4" w:space="0"/>
              <w:bottom w:val="single" w:color="auto" w:sz="4" w:space="0"/>
              <w:right w:val="single" w:color="auto" w:sz="4" w:space="0"/>
            </w:tcBorders>
            <w:vAlign w:val="center"/>
          </w:tcPr>
          <w:p>
            <w:pPr>
              <w:widowControl/>
              <w:jc w:val="center"/>
              <w:rPr>
                <w:b/>
                <w:bCs/>
                <w:color w:val="000000"/>
                <w:kern w:val="0"/>
                <w:sz w:val="21"/>
                <w:szCs w:val="21"/>
              </w:rPr>
            </w:pPr>
            <w:r>
              <w:rPr>
                <w:b/>
                <w:bCs/>
                <w:color w:val="000000"/>
                <w:kern w:val="0"/>
                <w:sz w:val="21"/>
                <w:szCs w:val="21"/>
              </w:rPr>
              <w:t>序号</w:t>
            </w:r>
          </w:p>
        </w:tc>
        <w:tc>
          <w:tcPr>
            <w:tcW w:w="3463" w:type="pct"/>
            <w:tcBorders>
              <w:top w:val="single" w:color="auto" w:sz="4" w:space="0"/>
              <w:left w:val="nil"/>
              <w:bottom w:val="single" w:color="auto" w:sz="4" w:space="0"/>
              <w:right w:val="single" w:color="auto" w:sz="4" w:space="0"/>
            </w:tcBorders>
            <w:vAlign w:val="center"/>
          </w:tcPr>
          <w:p>
            <w:pPr>
              <w:widowControl/>
              <w:jc w:val="center"/>
              <w:rPr>
                <w:b/>
                <w:bCs/>
                <w:color w:val="000000"/>
                <w:kern w:val="0"/>
                <w:sz w:val="21"/>
                <w:szCs w:val="21"/>
              </w:rPr>
            </w:pPr>
            <w:r>
              <w:rPr>
                <w:b/>
                <w:bCs/>
                <w:color w:val="000000"/>
                <w:kern w:val="0"/>
                <w:sz w:val="21"/>
                <w:szCs w:val="21"/>
              </w:rPr>
              <w:t>合作单位</w:t>
            </w:r>
          </w:p>
        </w:tc>
        <w:tc>
          <w:tcPr>
            <w:tcW w:w="989" w:type="pct"/>
            <w:tcBorders>
              <w:top w:val="single" w:color="auto" w:sz="4" w:space="0"/>
              <w:left w:val="nil"/>
              <w:bottom w:val="single" w:color="auto" w:sz="4" w:space="0"/>
              <w:right w:val="single" w:color="auto" w:sz="4" w:space="0"/>
            </w:tcBorders>
            <w:vAlign w:val="center"/>
          </w:tcPr>
          <w:p>
            <w:pPr>
              <w:widowControl/>
              <w:jc w:val="center"/>
              <w:rPr>
                <w:b/>
                <w:bCs/>
                <w:color w:val="000000"/>
                <w:kern w:val="0"/>
                <w:sz w:val="21"/>
                <w:szCs w:val="21"/>
              </w:rPr>
            </w:pPr>
            <w:r>
              <w:rPr>
                <w:b/>
                <w:bCs/>
                <w:color w:val="000000"/>
                <w:kern w:val="0"/>
                <w:sz w:val="21"/>
                <w:szCs w:val="21"/>
              </w:rPr>
              <w:t>建立时间</w:t>
            </w:r>
          </w:p>
        </w:tc>
      </w:tr>
      <w:tr>
        <w:tblPrEx>
          <w:tblCellMar>
            <w:top w:w="0" w:type="dxa"/>
            <w:left w:w="108" w:type="dxa"/>
            <w:bottom w:w="0" w:type="dxa"/>
            <w:right w:w="108" w:type="dxa"/>
          </w:tblCellMar>
        </w:tblPrEx>
        <w:trPr>
          <w:trHeight w:val="327" w:hRule="atLeast"/>
          <w:jc w:val="center"/>
        </w:trPr>
        <w:tc>
          <w:tcPr>
            <w:tcW w:w="548" w:type="pct"/>
            <w:tcBorders>
              <w:top w:val="single" w:color="auto" w:sz="4" w:space="0"/>
              <w:left w:val="single" w:color="auto" w:sz="4" w:space="0"/>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1</w:t>
            </w:r>
          </w:p>
        </w:tc>
        <w:tc>
          <w:tcPr>
            <w:tcW w:w="3463"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泰安东华合创软件有限公司</w:t>
            </w:r>
          </w:p>
        </w:tc>
        <w:tc>
          <w:tcPr>
            <w:tcW w:w="989"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2012</w:t>
            </w:r>
          </w:p>
        </w:tc>
      </w:tr>
      <w:tr>
        <w:tblPrEx>
          <w:tblCellMar>
            <w:top w:w="0" w:type="dxa"/>
            <w:left w:w="108" w:type="dxa"/>
            <w:bottom w:w="0" w:type="dxa"/>
            <w:right w:w="108" w:type="dxa"/>
          </w:tblCellMar>
        </w:tblPrEx>
        <w:trPr>
          <w:trHeight w:val="270" w:hRule="atLeast"/>
          <w:jc w:val="center"/>
        </w:trPr>
        <w:tc>
          <w:tcPr>
            <w:tcW w:w="548" w:type="pct"/>
            <w:tcBorders>
              <w:top w:val="nil"/>
              <w:left w:val="single" w:color="auto" w:sz="4" w:space="0"/>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2</w:t>
            </w:r>
          </w:p>
        </w:tc>
        <w:tc>
          <w:tcPr>
            <w:tcW w:w="3463" w:type="pct"/>
            <w:tcBorders>
              <w:top w:val="nil"/>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山东省地质测绘院</w:t>
            </w:r>
          </w:p>
        </w:tc>
        <w:tc>
          <w:tcPr>
            <w:tcW w:w="989" w:type="pct"/>
            <w:tcBorders>
              <w:top w:val="nil"/>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2014</w:t>
            </w:r>
          </w:p>
        </w:tc>
      </w:tr>
      <w:tr>
        <w:tblPrEx>
          <w:tblCellMar>
            <w:top w:w="0" w:type="dxa"/>
            <w:left w:w="108" w:type="dxa"/>
            <w:bottom w:w="0" w:type="dxa"/>
            <w:right w:w="108" w:type="dxa"/>
          </w:tblCellMar>
        </w:tblPrEx>
        <w:trPr>
          <w:trHeight w:val="270" w:hRule="atLeast"/>
          <w:jc w:val="center"/>
        </w:trPr>
        <w:tc>
          <w:tcPr>
            <w:tcW w:w="548" w:type="pct"/>
            <w:tcBorders>
              <w:top w:val="nil"/>
              <w:left w:val="single" w:color="auto" w:sz="4" w:space="0"/>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3</w:t>
            </w:r>
          </w:p>
        </w:tc>
        <w:tc>
          <w:tcPr>
            <w:tcW w:w="3463" w:type="pct"/>
            <w:tcBorders>
              <w:top w:val="nil"/>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山东科技大学资土系</w:t>
            </w:r>
          </w:p>
        </w:tc>
        <w:tc>
          <w:tcPr>
            <w:tcW w:w="989" w:type="pct"/>
            <w:tcBorders>
              <w:top w:val="nil"/>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2014</w:t>
            </w:r>
          </w:p>
        </w:tc>
      </w:tr>
      <w:tr>
        <w:tblPrEx>
          <w:tblCellMar>
            <w:top w:w="0" w:type="dxa"/>
            <w:left w:w="108" w:type="dxa"/>
            <w:bottom w:w="0" w:type="dxa"/>
            <w:right w:w="108" w:type="dxa"/>
          </w:tblCellMar>
        </w:tblPrEx>
        <w:trPr>
          <w:trHeight w:val="270" w:hRule="atLeast"/>
          <w:jc w:val="center"/>
        </w:trPr>
        <w:tc>
          <w:tcPr>
            <w:tcW w:w="548" w:type="pct"/>
            <w:tcBorders>
              <w:top w:val="nil"/>
              <w:left w:val="single" w:color="auto" w:sz="4" w:space="0"/>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4</w:t>
            </w:r>
          </w:p>
        </w:tc>
        <w:tc>
          <w:tcPr>
            <w:tcW w:w="3463" w:type="pct"/>
            <w:tcBorders>
              <w:top w:val="nil"/>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山东友信测绘有限公司</w:t>
            </w:r>
          </w:p>
        </w:tc>
        <w:tc>
          <w:tcPr>
            <w:tcW w:w="989" w:type="pct"/>
            <w:tcBorders>
              <w:top w:val="nil"/>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2015</w:t>
            </w:r>
          </w:p>
        </w:tc>
      </w:tr>
      <w:tr>
        <w:tblPrEx>
          <w:tblCellMar>
            <w:top w:w="0" w:type="dxa"/>
            <w:left w:w="108" w:type="dxa"/>
            <w:bottom w:w="0" w:type="dxa"/>
            <w:right w:w="108" w:type="dxa"/>
          </w:tblCellMar>
        </w:tblPrEx>
        <w:trPr>
          <w:trHeight w:val="270" w:hRule="atLeast"/>
          <w:jc w:val="center"/>
        </w:trPr>
        <w:tc>
          <w:tcPr>
            <w:tcW w:w="548" w:type="pct"/>
            <w:tcBorders>
              <w:top w:val="nil"/>
              <w:left w:val="single" w:color="auto" w:sz="4" w:space="0"/>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5</w:t>
            </w:r>
          </w:p>
        </w:tc>
        <w:tc>
          <w:tcPr>
            <w:tcW w:w="3463" w:type="pct"/>
            <w:tcBorders>
              <w:top w:val="nil"/>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山东省泰安市泰山区国土资源分局</w:t>
            </w:r>
          </w:p>
        </w:tc>
        <w:tc>
          <w:tcPr>
            <w:tcW w:w="989" w:type="pct"/>
            <w:tcBorders>
              <w:top w:val="nil"/>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2016</w:t>
            </w:r>
          </w:p>
        </w:tc>
      </w:tr>
      <w:tr>
        <w:tblPrEx>
          <w:tblCellMar>
            <w:top w:w="0" w:type="dxa"/>
            <w:left w:w="108" w:type="dxa"/>
            <w:bottom w:w="0" w:type="dxa"/>
            <w:right w:w="108" w:type="dxa"/>
          </w:tblCellMar>
        </w:tblPrEx>
        <w:trPr>
          <w:trHeight w:val="270" w:hRule="atLeast"/>
          <w:jc w:val="center"/>
        </w:trPr>
        <w:tc>
          <w:tcPr>
            <w:tcW w:w="548" w:type="pct"/>
            <w:tcBorders>
              <w:top w:val="single" w:color="auto" w:sz="4" w:space="0"/>
              <w:left w:val="single" w:color="auto" w:sz="4" w:space="0"/>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6</w:t>
            </w:r>
          </w:p>
        </w:tc>
        <w:tc>
          <w:tcPr>
            <w:tcW w:w="3463"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北京航天泰坦科技股份有限公司</w:t>
            </w:r>
          </w:p>
        </w:tc>
        <w:tc>
          <w:tcPr>
            <w:tcW w:w="989"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2016</w:t>
            </w:r>
          </w:p>
        </w:tc>
      </w:tr>
      <w:tr>
        <w:tblPrEx>
          <w:tblCellMar>
            <w:top w:w="0" w:type="dxa"/>
            <w:left w:w="108" w:type="dxa"/>
            <w:bottom w:w="0" w:type="dxa"/>
            <w:right w:w="108" w:type="dxa"/>
          </w:tblCellMar>
        </w:tblPrEx>
        <w:trPr>
          <w:trHeight w:val="270" w:hRule="atLeast"/>
          <w:jc w:val="center"/>
        </w:trPr>
        <w:tc>
          <w:tcPr>
            <w:tcW w:w="548" w:type="pct"/>
            <w:tcBorders>
              <w:top w:val="single" w:color="auto" w:sz="4" w:space="0"/>
              <w:left w:val="single" w:color="auto" w:sz="4" w:space="0"/>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7</w:t>
            </w:r>
          </w:p>
        </w:tc>
        <w:tc>
          <w:tcPr>
            <w:tcW w:w="3463"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新泰市国土资源局</w:t>
            </w:r>
          </w:p>
        </w:tc>
        <w:tc>
          <w:tcPr>
            <w:tcW w:w="989"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2016</w:t>
            </w:r>
          </w:p>
        </w:tc>
      </w:tr>
      <w:tr>
        <w:tblPrEx>
          <w:tblCellMar>
            <w:top w:w="0" w:type="dxa"/>
            <w:left w:w="108" w:type="dxa"/>
            <w:bottom w:w="0" w:type="dxa"/>
            <w:right w:w="108" w:type="dxa"/>
          </w:tblCellMar>
        </w:tblPrEx>
        <w:trPr>
          <w:trHeight w:val="270" w:hRule="atLeast"/>
          <w:jc w:val="center"/>
        </w:trPr>
        <w:tc>
          <w:tcPr>
            <w:tcW w:w="548" w:type="pct"/>
            <w:tcBorders>
              <w:top w:val="single" w:color="auto" w:sz="4" w:space="0"/>
              <w:left w:val="single" w:color="auto" w:sz="4" w:space="0"/>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8</w:t>
            </w:r>
          </w:p>
        </w:tc>
        <w:tc>
          <w:tcPr>
            <w:tcW w:w="3463"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广州市中海达测绘仪器有限公司济南分公司</w:t>
            </w:r>
          </w:p>
        </w:tc>
        <w:tc>
          <w:tcPr>
            <w:tcW w:w="989"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2017</w:t>
            </w:r>
          </w:p>
        </w:tc>
      </w:tr>
      <w:tr>
        <w:tblPrEx>
          <w:tblCellMar>
            <w:top w:w="0" w:type="dxa"/>
            <w:left w:w="108" w:type="dxa"/>
            <w:bottom w:w="0" w:type="dxa"/>
            <w:right w:w="108" w:type="dxa"/>
          </w:tblCellMar>
        </w:tblPrEx>
        <w:trPr>
          <w:trHeight w:val="270" w:hRule="atLeast"/>
          <w:jc w:val="center"/>
        </w:trPr>
        <w:tc>
          <w:tcPr>
            <w:tcW w:w="548" w:type="pct"/>
            <w:tcBorders>
              <w:top w:val="single" w:color="auto" w:sz="4" w:space="0"/>
              <w:left w:val="single" w:color="auto" w:sz="4" w:space="0"/>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9</w:t>
            </w:r>
          </w:p>
        </w:tc>
        <w:tc>
          <w:tcPr>
            <w:tcW w:w="3463"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山东苍穹软件技术有限公司</w:t>
            </w:r>
          </w:p>
        </w:tc>
        <w:tc>
          <w:tcPr>
            <w:tcW w:w="989"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2017</w:t>
            </w:r>
          </w:p>
        </w:tc>
      </w:tr>
      <w:tr>
        <w:tblPrEx>
          <w:tblCellMar>
            <w:top w:w="0" w:type="dxa"/>
            <w:left w:w="108" w:type="dxa"/>
            <w:bottom w:w="0" w:type="dxa"/>
            <w:right w:w="108" w:type="dxa"/>
          </w:tblCellMar>
        </w:tblPrEx>
        <w:trPr>
          <w:trHeight w:val="270" w:hRule="atLeast"/>
          <w:jc w:val="center"/>
        </w:trPr>
        <w:tc>
          <w:tcPr>
            <w:tcW w:w="548" w:type="pct"/>
            <w:tcBorders>
              <w:top w:val="single" w:color="auto" w:sz="4" w:space="0"/>
              <w:left w:val="single" w:color="auto" w:sz="4" w:space="0"/>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10</w:t>
            </w:r>
          </w:p>
        </w:tc>
        <w:tc>
          <w:tcPr>
            <w:tcW w:w="3463"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山东森迈图测绘地理信息有限公司</w:t>
            </w:r>
          </w:p>
        </w:tc>
        <w:tc>
          <w:tcPr>
            <w:tcW w:w="989"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2017</w:t>
            </w:r>
          </w:p>
        </w:tc>
      </w:tr>
      <w:tr>
        <w:tblPrEx>
          <w:tblCellMar>
            <w:top w:w="0" w:type="dxa"/>
            <w:left w:w="108" w:type="dxa"/>
            <w:bottom w:w="0" w:type="dxa"/>
            <w:right w:w="108" w:type="dxa"/>
          </w:tblCellMar>
        </w:tblPrEx>
        <w:trPr>
          <w:trHeight w:val="270" w:hRule="atLeast"/>
          <w:jc w:val="center"/>
        </w:trPr>
        <w:tc>
          <w:tcPr>
            <w:tcW w:w="548" w:type="pct"/>
            <w:tcBorders>
              <w:top w:val="single" w:color="auto" w:sz="4" w:space="0"/>
              <w:left w:val="single" w:color="auto" w:sz="4" w:space="0"/>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11</w:t>
            </w:r>
          </w:p>
        </w:tc>
        <w:tc>
          <w:tcPr>
            <w:tcW w:w="3463"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山东正元航空遥感技术有限公司</w:t>
            </w:r>
          </w:p>
        </w:tc>
        <w:tc>
          <w:tcPr>
            <w:tcW w:w="989"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2017</w:t>
            </w:r>
          </w:p>
        </w:tc>
      </w:tr>
      <w:tr>
        <w:tblPrEx>
          <w:tblCellMar>
            <w:top w:w="0" w:type="dxa"/>
            <w:left w:w="108" w:type="dxa"/>
            <w:bottom w:w="0" w:type="dxa"/>
            <w:right w:w="108" w:type="dxa"/>
          </w:tblCellMar>
        </w:tblPrEx>
        <w:trPr>
          <w:trHeight w:val="270" w:hRule="atLeast"/>
          <w:jc w:val="center"/>
        </w:trPr>
        <w:tc>
          <w:tcPr>
            <w:tcW w:w="548" w:type="pct"/>
            <w:tcBorders>
              <w:top w:val="single" w:color="auto" w:sz="4" w:space="0"/>
              <w:left w:val="single" w:color="auto" w:sz="4" w:space="0"/>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12</w:t>
            </w:r>
          </w:p>
        </w:tc>
        <w:tc>
          <w:tcPr>
            <w:tcW w:w="3463"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泰安市金土地测绘整理有限公司</w:t>
            </w:r>
          </w:p>
        </w:tc>
        <w:tc>
          <w:tcPr>
            <w:tcW w:w="989"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2018</w:t>
            </w:r>
          </w:p>
        </w:tc>
      </w:tr>
      <w:tr>
        <w:tblPrEx>
          <w:tblCellMar>
            <w:top w:w="0" w:type="dxa"/>
            <w:left w:w="108" w:type="dxa"/>
            <w:bottom w:w="0" w:type="dxa"/>
            <w:right w:w="108" w:type="dxa"/>
          </w:tblCellMar>
        </w:tblPrEx>
        <w:trPr>
          <w:trHeight w:val="270" w:hRule="atLeast"/>
          <w:jc w:val="center"/>
        </w:trPr>
        <w:tc>
          <w:tcPr>
            <w:tcW w:w="548" w:type="pct"/>
            <w:tcBorders>
              <w:top w:val="single" w:color="auto" w:sz="4" w:space="0"/>
              <w:left w:val="single" w:color="auto" w:sz="4" w:space="0"/>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13</w:t>
            </w:r>
          </w:p>
        </w:tc>
        <w:tc>
          <w:tcPr>
            <w:tcW w:w="3463"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济南控创电子科技有限公司</w:t>
            </w:r>
          </w:p>
        </w:tc>
        <w:tc>
          <w:tcPr>
            <w:tcW w:w="989"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2018</w:t>
            </w:r>
          </w:p>
        </w:tc>
      </w:tr>
      <w:tr>
        <w:tblPrEx>
          <w:tblCellMar>
            <w:top w:w="0" w:type="dxa"/>
            <w:left w:w="108" w:type="dxa"/>
            <w:bottom w:w="0" w:type="dxa"/>
            <w:right w:w="108" w:type="dxa"/>
          </w:tblCellMar>
        </w:tblPrEx>
        <w:trPr>
          <w:trHeight w:val="270" w:hRule="atLeast"/>
          <w:jc w:val="center"/>
        </w:trPr>
        <w:tc>
          <w:tcPr>
            <w:tcW w:w="548" w:type="pct"/>
            <w:tcBorders>
              <w:top w:val="single" w:color="auto" w:sz="4" w:space="0"/>
              <w:left w:val="single" w:color="auto" w:sz="4" w:space="0"/>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14</w:t>
            </w:r>
          </w:p>
        </w:tc>
        <w:tc>
          <w:tcPr>
            <w:tcW w:w="3463"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山东建材勘察测绘研究院有限公司</w:t>
            </w:r>
          </w:p>
        </w:tc>
        <w:tc>
          <w:tcPr>
            <w:tcW w:w="989"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2018</w:t>
            </w:r>
          </w:p>
        </w:tc>
      </w:tr>
      <w:tr>
        <w:tblPrEx>
          <w:tblCellMar>
            <w:top w:w="0" w:type="dxa"/>
            <w:left w:w="108" w:type="dxa"/>
            <w:bottom w:w="0" w:type="dxa"/>
            <w:right w:w="108" w:type="dxa"/>
          </w:tblCellMar>
        </w:tblPrEx>
        <w:trPr>
          <w:trHeight w:val="270" w:hRule="atLeast"/>
          <w:jc w:val="center"/>
        </w:trPr>
        <w:tc>
          <w:tcPr>
            <w:tcW w:w="548" w:type="pct"/>
            <w:tcBorders>
              <w:top w:val="single" w:color="auto" w:sz="4" w:space="0"/>
              <w:left w:val="single" w:color="auto" w:sz="4" w:space="0"/>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15</w:t>
            </w:r>
          </w:p>
        </w:tc>
        <w:tc>
          <w:tcPr>
            <w:tcW w:w="3463"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青岛思途共享科技信息服务有限公司</w:t>
            </w:r>
          </w:p>
        </w:tc>
        <w:tc>
          <w:tcPr>
            <w:tcW w:w="989"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2018</w:t>
            </w:r>
          </w:p>
        </w:tc>
      </w:tr>
      <w:tr>
        <w:tblPrEx>
          <w:tblCellMar>
            <w:top w:w="0" w:type="dxa"/>
            <w:left w:w="108" w:type="dxa"/>
            <w:bottom w:w="0" w:type="dxa"/>
            <w:right w:w="108" w:type="dxa"/>
          </w:tblCellMar>
        </w:tblPrEx>
        <w:trPr>
          <w:trHeight w:val="270" w:hRule="atLeast"/>
          <w:jc w:val="center"/>
        </w:trPr>
        <w:tc>
          <w:tcPr>
            <w:tcW w:w="548" w:type="pct"/>
            <w:tcBorders>
              <w:top w:val="single" w:color="auto" w:sz="4" w:space="0"/>
              <w:left w:val="single" w:color="auto" w:sz="4" w:space="0"/>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16</w:t>
            </w:r>
          </w:p>
        </w:tc>
        <w:tc>
          <w:tcPr>
            <w:tcW w:w="3463"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山东四维卓识有限公司</w:t>
            </w:r>
          </w:p>
        </w:tc>
        <w:tc>
          <w:tcPr>
            <w:tcW w:w="989"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2019</w:t>
            </w:r>
          </w:p>
        </w:tc>
      </w:tr>
      <w:tr>
        <w:tblPrEx>
          <w:tblCellMar>
            <w:top w:w="0" w:type="dxa"/>
            <w:left w:w="108" w:type="dxa"/>
            <w:bottom w:w="0" w:type="dxa"/>
            <w:right w:w="108" w:type="dxa"/>
          </w:tblCellMar>
        </w:tblPrEx>
        <w:trPr>
          <w:trHeight w:val="270" w:hRule="atLeast"/>
          <w:jc w:val="center"/>
        </w:trPr>
        <w:tc>
          <w:tcPr>
            <w:tcW w:w="548" w:type="pct"/>
            <w:tcBorders>
              <w:top w:val="single" w:color="auto" w:sz="4" w:space="0"/>
              <w:left w:val="single" w:color="auto" w:sz="4" w:space="0"/>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17</w:t>
            </w:r>
          </w:p>
        </w:tc>
        <w:tc>
          <w:tcPr>
            <w:tcW w:w="3463"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山东金田勘察设计有限公司</w:t>
            </w:r>
          </w:p>
        </w:tc>
        <w:tc>
          <w:tcPr>
            <w:tcW w:w="989"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2019</w:t>
            </w:r>
          </w:p>
        </w:tc>
      </w:tr>
      <w:tr>
        <w:tblPrEx>
          <w:tblCellMar>
            <w:top w:w="0" w:type="dxa"/>
            <w:left w:w="108" w:type="dxa"/>
            <w:bottom w:w="0" w:type="dxa"/>
            <w:right w:w="108" w:type="dxa"/>
          </w:tblCellMar>
        </w:tblPrEx>
        <w:trPr>
          <w:trHeight w:val="270" w:hRule="atLeast"/>
          <w:jc w:val="center"/>
        </w:trPr>
        <w:tc>
          <w:tcPr>
            <w:tcW w:w="548" w:type="pct"/>
            <w:tcBorders>
              <w:top w:val="single" w:color="auto" w:sz="4" w:space="0"/>
              <w:left w:val="single" w:color="auto" w:sz="4" w:space="0"/>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18</w:t>
            </w:r>
          </w:p>
        </w:tc>
        <w:tc>
          <w:tcPr>
            <w:tcW w:w="3463"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山东鲁迪测绘有限公司</w:t>
            </w:r>
          </w:p>
        </w:tc>
        <w:tc>
          <w:tcPr>
            <w:tcW w:w="989" w:type="pct"/>
            <w:tcBorders>
              <w:top w:val="single" w:color="auto" w:sz="4" w:space="0"/>
              <w:left w:val="nil"/>
              <w:bottom w:val="single" w:color="auto" w:sz="4" w:space="0"/>
              <w:right w:val="single" w:color="auto" w:sz="4" w:space="0"/>
            </w:tcBorders>
            <w:vAlign w:val="center"/>
          </w:tcPr>
          <w:p>
            <w:pPr>
              <w:widowControl/>
              <w:jc w:val="center"/>
              <w:rPr>
                <w:color w:val="000000"/>
                <w:kern w:val="0"/>
                <w:sz w:val="21"/>
                <w:szCs w:val="21"/>
              </w:rPr>
            </w:pPr>
            <w:r>
              <w:rPr>
                <w:color w:val="000000"/>
                <w:kern w:val="0"/>
                <w:sz w:val="21"/>
                <w:szCs w:val="21"/>
              </w:rPr>
              <w:t>2019</w:t>
            </w:r>
          </w:p>
        </w:tc>
      </w:tr>
    </w:tbl>
    <w:p>
      <w:pPr>
        <w:pStyle w:val="45"/>
        <w:ind w:firstLine="480"/>
        <w:rPr>
          <w:rFonts w:ascii="Times New Roman" w:hAnsi="Times New Roman"/>
        </w:rPr>
      </w:pPr>
      <w:bookmarkStart w:id="792" w:name="_Toc439226871"/>
      <w:bookmarkStart w:id="793" w:name="_Toc439229088"/>
      <w:bookmarkStart w:id="794" w:name="_Toc439254779"/>
      <w:bookmarkStart w:id="795" w:name="_Toc439256271"/>
    </w:p>
    <w:p>
      <w:pPr>
        <w:pStyle w:val="45"/>
        <w:ind w:firstLine="480"/>
        <w:rPr>
          <w:rFonts w:ascii="Times New Roman" w:hAnsi="Times New Roman"/>
        </w:rPr>
      </w:pPr>
      <w:r>
        <w:rPr>
          <w:rFonts w:ascii="Times New Roman" w:hAnsi="Times New Roman"/>
        </w:rPr>
        <w:t>4</w:t>
      </w:r>
      <w:r>
        <w:rPr>
          <w:rFonts w:hint="eastAsia" w:ascii="Times New Roman" w:hAnsi="Times New Roman"/>
        </w:rPr>
        <w:t>.</w:t>
      </w:r>
      <w:r>
        <w:rPr>
          <w:rFonts w:ascii="Times New Roman" w:hAnsi="Times New Roman"/>
        </w:rPr>
        <w:t>现代教学技术应用</w:t>
      </w:r>
      <w:bookmarkEnd w:id="792"/>
      <w:bookmarkEnd w:id="793"/>
      <w:bookmarkEnd w:id="794"/>
      <w:bookmarkEnd w:id="795"/>
    </w:p>
    <w:p>
      <w:pPr>
        <w:ind w:firstLine="480" w:firstLineChars="200"/>
      </w:pPr>
      <w:r>
        <w:t>在教学过程中，充分积极利用现代多媒体技术、网络技术和智慧教学工具，增强教学过程的动态感，丰富学生视野和工程教学环境，提高教学效率。</w:t>
      </w:r>
    </w:p>
    <w:p>
      <w:pPr>
        <w:ind w:firstLine="480" w:firstLineChars="200"/>
      </w:pPr>
      <w:r>
        <w:t>微信公众号应用。建立了测绘系微信公众号，通过微信平台发布各类新闻、通知和学习材料等。</w:t>
      </w:r>
    </w:p>
    <w:p>
      <w:pPr>
        <w:ind w:firstLine="480" w:firstLineChars="200"/>
      </w:pPr>
      <w:r>
        <w:t>智慧教学工具应用。从本年度起推广应用</w:t>
      </w:r>
      <w:r>
        <w:rPr>
          <w:rFonts w:hint="eastAsia"/>
        </w:rPr>
        <w:t>“</w:t>
      </w:r>
      <w:r>
        <w:t>雨课堂</w:t>
      </w:r>
      <w:r>
        <w:rPr>
          <w:rFonts w:hint="eastAsia"/>
        </w:rPr>
        <w:t>”</w:t>
      </w:r>
      <w:r>
        <w:t>智慧教学工具，建立课程共享、互动、线上和线下相结合的教学模式。全部实践类课程采用</w:t>
      </w:r>
      <w:r>
        <w:rPr>
          <w:rFonts w:hint="eastAsia"/>
        </w:rPr>
        <w:t>“</w:t>
      </w:r>
      <w:r>
        <w:t>校友邦</w:t>
      </w:r>
      <w:r>
        <w:rPr>
          <w:rFonts w:hint="eastAsia"/>
        </w:rPr>
        <w:t>”</w:t>
      </w:r>
      <w:r>
        <w:t>大学生实践能力成长平台进行管理。</w:t>
      </w:r>
    </w:p>
    <w:p>
      <w:pPr>
        <w:ind w:firstLine="480" w:firstLineChars="200"/>
      </w:pPr>
      <w:r>
        <w:t>测绘系微信公众号及各智慧教学工具如</w:t>
      </w:r>
      <w:r>
        <w:fldChar w:fldCharType="begin"/>
      </w:r>
      <w:r>
        <w:instrText xml:space="preserve"> REF _Ref27644481 \h  \* MERGEFORMAT </w:instrText>
      </w:r>
      <w:r>
        <w:fldChar w:fldCharType="separate"/>
      </w:r>
      <w:r>
        <w:t>图6</w:t>
      </w:r>
      <w:r>
        <w:fldChar w:fldCharType="end"/>
      </w:r>
      <w:r>
        <w:t>所示。</w:t>
      </w:r>
    </w:p>
    <w:p>
      <w:pPr>
        <w:pStyle w:val="2"/>
        <w:ind w:left="480"/>
        <w:rPr>
          <w:rFonts w:hint="eastAsia"/>
        </w:rPr>
      </w:pPr>
    </w:p>
    <w:p>
      <w:pPr>
        <w:pStyle w:val="39"/>
        <w:spacing w:beforeLines="0" w:afterLines="0"/>
      </w:pPr>
      <w:r>
        <w:drawing>
          <wp:inline distT="0" distB="0" distL="0" distR="0">
            <wp:extent cx="899795" cy="899160"/>
            <wp:effectExtent l="0" t="0" r="14605" b="15240"/>
            <wp:docPr id="142" name="图片 1"/>
            <wp:cNvGraphicFramePr/>
            <a:graphic xmlns:a="http://schemas.openxmlformats.org/drawingml/2006/main">
              <a:graphicData uri="http://schemas.openxmlformats.org/drawingml/2006/picture">
                <pic:pic xmlns:pic="http://schemas.openxmlformats.org/drawingml/2006/picture">
                  <pic:nvPicPr>
                    <pic:cNvPr id="142" name="图片 1"/>
                    <pic:cNvPicPr/>
                  </pic:nvPicPr>
                  <pic:blipFill>
                    <a:blip r:embed="rId171" cstate="print"/>
                    <a:srcRect l="6683" t="5025" r="4950" b="6030"/>
                    <a:stretch>
                      <a:fillRect/>
                    </a:stretch>
                  </pic:blipFill>
                  <pic:spPr>
                    <a:xfrm>
                      <a:off x="0" y="0"/>
                      <a:ext cx="900000" cy="899160"/>
                    </a:xfrm>
                    <a:prstGeom prst="rect">
                      <a:avLst/>
                    </a:prstGeom>
                  </pic:spPr>
                </pic:pic>
              </a:graphicData>
            </a:graphic>
          </wp:inline>
        </w:drawing>
      </w:r>
      <w:r>
        <w:t xml:space="preserve">  </w:t>
      </w:r>
      <w:r>
        <w:drawing>
          <wp:inline distT="0" distB="0" distL="0" distR="0">
            <wp:extent cx="899795" cy="903605"/>
            <wp:effectExtent l="0" t="0" r="14605" b="10795"/>
            <wp:docPr id="1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
                    <pic:cNvPicPr>
                      <a:picLocks noChangeAspect="1" noChangeArrowheads="1"/>
                    </pic:cNvPicPr>
                  </pic:nvPicPr>
                  <pic:blipFill>
                    <a:blip r:embed="rId172" cstate="print"/>
                    <a:srcRect/>
                    <a:stretch>
                      <a:fillRect/>
                    </a:stretch>
                  </pic:blipFill>
                  <pic:spPr>
                    <a:xfrm>
                      <a:off x="0" y="0"/>
                      <a:ext cx="900000" cy="903830"/>
                    </a:xfrm>
                    <a:prstGeom prst="rect">
                      <a:avLst/>
                    </a:prstGeom>
                    <a:noFill/>
                    <a:ln w="9525">
                      <a:noFill/>
                      <a:miter lim="800000"/>
                      <a:headEnd/>
                      <a:tailEnd/>
                    </a:ln>
                  </pic:spPr>
                </pic:pic>
              </a:graphicData>
            </a:graphic>
          </wp:inline>
        </w:drawing>
      </w:r>
    </w:p>
    <w:p>
      <w:pPr>
        <w:pStyle w:val="39"/>
        <w:spacing w:beforeLines="0" w:afterLines="0"/>
        <w:rPr>
          <w:b/>
          <w:bCs/>
        </w:rPr>
      </w:pPr>
      <w:r>
        <w:rPr>
          <w:b/>
          <w:bCs/>
        </w:rPr>
        <w:drawing>
          <wp:inline distT="0" distB="0" distL="0" distR="0">
            <wp:extent cx="2159635" cy="723265"/>
            <wp:effectExtent l="0" t="0" r="12065" b="635"/>
            <wp:docPr id="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
                    <pic:cNvPicPr>
                      <a:picLocks noChangeAspect="1" noChangeArrowheads="1"/>
                    </pic:cNvPicPr>
                  </pic:nvPicPr>
                  <pic:blipFill>
                    <a:blip r:embed="rId173" cstate="print"/>
                    <a:srcRect/>
                    <a:stretch>
                      <a:fillRect/>
                    </a:stretch>
                  </pic:blipFill>
                  <pic:spPr>
                    <a:xfrm>
                      <a:off x="0" y="0"/>
                      <a:ext cx="2160000" cy="723478"/>
                    </a:xfrm>
                    <a:prstGeom prst="rect">
                      <a:avLst/>
                    </a:prstGeom>
                    <a:noFill/>
                    <a:ln w="9525">
                      <a:noFill/>
                      <a:miter lim="800000"/>
                      <a:headEnd/>
                      <a:tailEnd/>
                    </a:ln>
                  </pic:spPr>
                </pic:pic>
              </a:graphicData>
            </a:graphic>
          </wp:inline>
        </w:drawing>
      </w:r>
    </w:p>
    <w:p>
      <w:pPr>
        <w:pStyle w:val="39"/>
        <w:spacing w:beforeLines="0" w:afterLines="0"/>
        <w:rPr>
          <w:b/>
          <w:bCs/>
        </w:rPr>
      </w:pPr>
      <w:bookmarkStart w:id="796" w:name="_Ref27644481"/>
      <w:r>
        <w:rPr>
          <w:b/>
          <w:bCs/>
        </w:rPr>
        <w:t xml:space="preserve">图 </w:t>
      </w:r>
      <w:r>
        <w:rPr>
          <w:b/>
          <w:bCs/>
        </w:rPr>
        <w:fldChar w:fldCharType="begin"/>
      </w:r>
      <w:r>
        <w:rPr>
          <w:b/>
          <w:bCs/>
        </w:rPr>
        <w:instrText xml:space="preserve"> SEQ 图 \* ARABIC </w:instrText>
      </w:r>
      <w:r>
        <w:rPr>
          <w:b/>
          <w:bCs/>
        </w:rPr>
        <w:fldChar w:fldCharType="separate"/>
      </w:r>
      <w:r>
        <w:rPr>
          <w:b/>
          <w:bCs/>
        </w:rPr>
        <w:t>6</w:t>
      </w:r>
      <w:r>
        <w:rPr>
          <w:b/>
          <w:bCs/>
        </w:rPr>
        <w:fldChar w:fldCharType="end"/>
      </w:r>
      <w:bookmarkEnd w:id="796"/>
      <w:r>
        <w:rPr>
          <w:b/>
          <w:bCs/>
        </w:rPr>
        <w:t xml:space="preserve">  智慧教学工具</w:t>
      </w:r>
    </w:p>
    <w:p>
      <w:pPr>
        <w:pStyle w:val="5"/>
        <w:spacing w:before="93" w:after="93"/>
        <w:ind w:firstLine="560"/>
      </w:pPr>
      <w:bookmarkStart w:id="797" w:name="_Toc3186"/>
      <w:r>
        <w:t>四、培养机制</w:t>
      </w:r>
      <w:bookmarkEnd w:id="797"/>
    </w:p>
    <w:p>
      <w:pPr>
        <w:pStyle w:val="6"/>
        <w:ind w:firstLine="480"/>
      </w:pPr>
      <w:r>
        <w:t>1</w:t>
      </w:r>
      <w:r>
        <w:rPr>
          <w:rFonts w:hint="eastAsia"/>
        </w:rPr>
        <w:t>.</w:t>
      </w:r>
      <w:r>
        <w:t>产学研合作平台建设</w:t>
      </w:r>
    </w:p>
    <w:p>
      <w:pPr>
        <w:ind w:firstLine="480" w:firstLineChars="200"/>
      </w:pPr>
      <w:r>
        <w:t>（1）建立学生参与导师科研项目的合作模式</w:t>
      </w:r>
    </w:p>
    <w:p>
      <w:pPr>
        <w:ind w:firstLine="480" w:firstLineChars="200"/>
      </w:pPr>
      <w:r>
        <w:t>积极引导学生申报或参加专业教师的科研课题，培养学生的创新意识和创新思维。根据学生的知识结构，每年选拔20余名学生帮助老师解决不同层面的科研问题，大一的学生帮助老师检索资料、整理实验数据，大二的学生帮助老师进行实验与数据分析，安排大三的学生独立开展项目中的模块问题研究。在老师的指导下，让学生独立申报国家级、市级、校级、院级等创新实践项目，培养学生分析问题与解决问题的能力。</w:t>
      </w:r>
    </w:p>
    <w:p>
      <w:pPr>
        <w:ind w:firstLine="480" w:firstLineChars="200"/>
      </w:pPr>
      <w:r>
        <w:t>（2）建立学校与测绘生产单位的合作模式</w:t>
      </w:r>
    </w:p>
    <w:p>
      <w:pPr>
        <w:ind w:firstLine="480" w:firstLineChars="200"/>
      </w:pPr>
      <w:r>
        <w:t>根据理论与实践结合、为社会服务的原则，学校与山东省地质测绘院、山东正元地理信息工程有限责任公司、山东农业大学勘察设计研究院、泰安市国土资源局金土地测绘公司、森迈测绘有限公司、北京苍穹数码测绘有限公司等多家单位建立长期合作关系，为大四学生提供生产实习岗位，在生产实践中锻炼学生的综合素质，提高学生的就业能力和创业精神。</w:t>
      </w:r>
    </w:p>
    <w:p>
      <w:pPr>
        <w:ind w:firstLine="480" w:firstLineChars="200"/>
      </w:pPr>
      <w:r>
        <w:t>（3）建立学校与测绘科研单位的合作模式</w:t>
      </w:r>
    </w:p>
    <w:p>
      <w:pPr>
        <w:ind w:firstLine="480" w:firstLineChars="200"/>
      </w:pPr>
      <w:r>
        <w:t>根据测绘工程专业人才培养目标，满足一部分学生考研深造的要求，学校与中国测绘科学研究院、国家农业信息化工程技术研究中心、山东省农业科学院、国土资源部土地利用重点实验室、山东省数字农业工程技术中心等6个单位建立长期合作研究关系。学校每年选派20余名测绘大四学生到科研单位学习，在参与科研项目中锻炼学生的科研意识，提高学生的创新精神和创新能力。</w:t>
      </w:r>
    </w:p>
    <w:p>
      <w:pPr>
        <w:pStyle w:val="45"/>
        <w:ind w:firstLine="480"/>
        <w:rPr>
          <w:rFonts w:ascii="Times New Roman" w:hAnsi="Times New Roman"/>
        </w:rPr>
      </w:pPr>
      <w:r>
        <w:rPr>
          <w:rFonts w:ascii="Times New Roman" w:hAnsi="Times New Roman"/>
        </w:rPr>
        <w:t>2</w:t>
      </w:r>
      <w:r>
        <w:rPr>
          <w:rFonts w:hint="eastAsia"/>
        </w:rPr>
        <w:t>.</w:t>
      </w:r>
      <w:r>
        <w:rPr>
          <w:rFonts w:ascii="Times New Roman" w:hAnsi="Times New Roman"/>
        </w:rPr>
        <w:t>产学研合作运行机制</w:t>
      </w:r>
    </w:p>
    <w:p>
      <w:pPr>
        <w:ind w:firstLine="480" w:firstLineChars="200"/>
      </w:pPr>
      <w:r>
        <w:t>为落实好测绘工程专业产学研合作模式，提升学科办学实力、促进学科发展，提高学生培养质量，加强产学研合作体制机制研究，成立产学研合作委员会，制定产学研合作运行管理办法，建立产学研合作指导团队，并加强教学运行管理。</w:t>
      </w:r>
    </w:p>
    <w:p>
      <w:pPr>
        <w:pStyle w:val="5"/>
        <w:spacing w:before="93" w:after="93"/>
        <w:ind w:firstLine="560"/>
      </w:pPr>
      <w:bookmarkStart w:id="798" w:name="_Toc8998"/>
      <w:r>
        <w:t>五、培养质量</w:t>
      </w:r>
      <w:bookmarkEnd w:id="798"/>
    </w:p>
    <w:p>
      <w:pPr>
        <w:pStyle w:val="6"/>
        <w:ind w:firstLine="480"/>
      </w:pPr>
      <w:r>
        <w:t>1</w:t>
      </w:r>
      <w:r>
        <w:rPr>
          <w:rFonts w:hint="eastAsia"/>
        </w:rPr>
        <w:t>.</w:t>
      </w:r>
      <w:r>
        <w:t>应届毕业生考研就业情况</w:t>
      </w:r>
    </w:p>
    <w:p>
      <w:pPr>
        <w:ind w:firstLine="480" w:firstLineChars="200"/>
      </w:pPr>
      <w:r>
        <w:t>在2022届测绘工程专业72名毕业生中，32人继续攻读硕士研究生，其中推免4人，考取28人，考研率达到44.4%。就业单位类型主要以测绘地理信息类企业为主。</w:t>
      </w:r>
    </w:p>
    <w:p>
      <w:pPr>
        <w:spacing w:line="240" w:lineRule="auto"/>
        <w:ind w:firstLine="480"/>
        <w:jc w:val="center"/>
      </w:pPr>
      <w:r>
        <w:drawing>
          <wp:inline distT="0" distB="0" distL="0" distR="0">
            <wp:extent cx="3581400" cy="2759710"/>
            <wp:effectExtent l="4445" t="4445" r="14605" b="17145"/>
            <wp:docPr id="147" name="图表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pPr>
        <w:pStyle w:val="39"/>
        <w:spacing w:beforeLines="0" w:afterLines="0"/>
        <w:rPr>
          <w:b/>
          <w:bCs/>
        </w:rPr>
      </w:pPr>
      <w:r>
        <w:rPr>
          <w:b/>
          <w:bCs/>
        </w:rPr>
        <w:t xml:space="preserve">图 </w:t>
      </w:r>
      <w:r>
        <w:rPr>
          <w:b/>
          <w:bCs/>
        </w:rPr>
        <w:fldChar w:fldCharType="begin"/>
      </w:r>
      <w:r>
        <w:rPr>
          <w:b/>
          <w:bCs/>
        </w:rPr>
        <w:instrText xml:space="preserve"> SEQ 图 \* ARABIC </w:instrText>
      </w:r>
      <w:r>
        <w:rPr>
          <w:b/>
          <w:bCs/>
        </w:rPr>
        <w:fldChar w:fldCharType="separate"/>
      </w:r>
      <w:r>
        <w:rPr>
          <w:b/>
          <w:bCs/>
        </w:rPr>
        <w:t>7</w:t>
      </w:r>
      <w:r>
        <w:rPr>
          <w:b/>
          <w:bCs/>
        </w:rPr>
        <w:fldChar w:fldCharType="end"/>
      </w:r>
      <w:r>
        <w:rPr>
          <w:b/>
          <w:bCs/>
        </w:rPr>
        <w:t xml:space="preserve">  就业单位分布图</w:t>
      </w:r>
    </w:p>
    <w:p>
      <w:pPr>
        <w:pStyle w:val="39"/>
        <w:spacing w:beforeLines="0" w:afterLines="0"/>
        <w:rPr>
          <w:b/>
          <w:bCs/>
        </w:rPr>
      </w:pPr>
      <w:r>
        <w:rPr>
          <w:b/>
          <w:bCs/>
          <w:color w:val="000000" w:themeColor="text1"/>
          <w:sz w:val="24"/>
          <w14:textFill>
            <w14:solidFill>
              <w14:schemeClr w14:val="tx1"/>
            </w14:solidFill>
          </w14:textFill>
        </w:rPr>
        <w:drawing>
          <wp:inline distT="0" distB="0" distL="0" distR="0">
            <wp:extent cx="5486400" cy="3343910"/>
            <wp:effectExtent l="0" t="0" r="0" b="8890"/>
            <wp:docPr id="152" name="图表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pPr>
        <w:pStyle w:val="39"/>
        <w:spacing w:beforeLines="0" w:afterLines="0"/>
        <w:rPr>
          <w:b/>
          <w:bCs/>
        </w:rPr>
      </w:pPr>
      <w:r>
        <w:rPr>
          <w:b/>
          <w:bCs/>
        </w:rPr>
        <w:t xml:space="preserve">图 </w:t>
      </w:r>
      <w:r>
        <w:rPr>
          <w:b/>
          <w:bCs/>
        </w:rPr>
        <w:fldChar w:fldCharType="begin"/>
      </w:r>
      <w:r>
        <w:rPr>
          <w:b/>
          <w:bCs/>
        </w:rPr>
        <w:instrText xml:space="preserve"> SEQ 图 \* ARABIC </w:instrText>
      </w:r>
      <w:r>
        <w:rPr>
          <w:b/>
          <w:bCs/>
        </w:rPr>
        <w:fldChar w:fldCharType="separate"/>
      </w:r>
      <w:r>
        <w:rPr>
          <w:b/>
          <w:bCs/>
        </w:rPr>
        <w:t>8</w:t>
      </w:r>
      <w:r>
        <w:rPr>
          <w:b/>
          <w:bCs/>
        </w:rPr>
        <w:fldChar w:fldCharType="end"/>
      </w:r>
      <w:r>
        <w:rPr>
          <w:b/>
          <w:bCs/>
        </w:rPr>
        <w:t xml:space="preserve">  就业地区分布</w:t>
      </w:r>
    </w:p>
    <w:p>
      <w:pPr>
        <w:pStyle w:val="6"/>
        <w:ind w:firstLine="480"/>
      </w:pPr>
      <w:r>
        <w:t>2</w:t>
      </w:r>
      <w:r>
        <w:rPr>
          <w:rFonts w:hint="eastAsia"/>
        </w:rPr>
        <w:t>.</w:t>
      </w:r>
      <w:r>
        <w:t>社会对测绘工程专业的评价</w:t>
      </w:r>
    </w:p>
    <w:p>
      <w:pPr>
        <w:ind w:firstLine="480" w:firstLineChars="200"/>
      </w:pPr>
      <w:r>
        <w:t>学科的健康发展离不开专业建设，专业建设离不开教学改革，教学改革离不开专业特色。近年来，测绘工程专业根据社会对测绘高级技术人才的需求，不断创新人才培养模式。一方面是以</w:t>
      </w:r>
      <w:r>
        <w:rPr>
          <w:rFonts w:hint="eastAsia"/>
        </w:rPr>
        <w:t>“</w:t>
      </w:r>
      <w:r>
        <w:t>大众化教育</w:t>
      </w:r>
      <w:r>
        <w:rPr>
          <w:rFonts w:hint="eastAsia"/>
        </w:rPr>
        <w:t>”</w:t>
      </w:r>
      <w:r>
        <w:t>为指针，坚定高质量培养标准，因材施教，分类培养（考研与就业），不断完善课程体系，使专业人才培养方案更加适合学生个性发展；另一方面是着重加强实践教学环节，使学生的创新思维、协作精神、知识价值观在实践锻炼中逐步得到提高。根据测绘工程专业办学目标和实践性强的特点，初步形成了</w:t>
      </w:r>
      <w:r>
        <w:rPr>
          <w:rFonts w:hint="eastAsia"/>
        </w:rPr>
        <w:t>“</w:t>
      </w:r>
      <w:r>
        <w:t>施展个性、分类培养</w:t>
      </w:r>
      <w:r>
        <w:rPr>
          <w:rFonts w:hint="eastAsia"/>
        </w:rPr>
        <w:t>”</w:t>
      </w:r>
      <w:r>
        <w:t>的人才培养模式，以及</w:t>
      </w:r>
      <w:r>
        <w:rPr>
          <w:rFonts w:hint="eastAsia"/>
        </w:rPr>
        <w:t>“</w:t>
      </w:r>
      <w:r>
        <w:t>实验训练—实习提高—实践创新</w:t>
      </w:r>
      <w:r>
        <w:rPr>
          <w:rFonts w:hint="eastAsia"/>
        </w:rPr>
        <w:t>”</w:t>
      </w:r>
      <w:r>
        <w:t>的实践教学新模式，取得较好效果。毕业生理论基础扎实，动手能力强，综合素质高，工作踏实，友好协作，这是用人单位对我校测绘毕业生的普遍评价。毕业生社会声誉好，个别毕业生已独立创业。</w:t>
      </w:r>
    </w:p>
    <w:p>
      <w:pPr>
        <w:pStyle w:val="45"/>
        <w:ind w:firstLine="480"/>
        <w:rPr>
          <w:rFonts w:ascii="Times New Roman" w:hAnsi="Times New Roman"/>
        </w:rPr>
      </w:pPr>
      <w:r>
        <w:rPr>
          <w:rFonts w:ascii="Times New Roman" w:hAnsi="Times New Roman"/>
        </w:rPr>
        <w:t>3</w:t>
      </w:r>
      <w:r>
        <w:rPr>
          <w:rFonts w:hint="eastAsia"/>
        </w:rPr>
        <w:t>.</w:t>
      </w:r>
      <w:r>
        <w:rPr>
          <w:rFonts w:ascii="Times New Roman" w:hAnsi="Times New Roman"/>
        </w:rPr>
        <w:t>学生就读本专业的意愿</w:t>
      </w:r>
    </w:p>
    <w:p>
      <w:pPr>
        <w:ind w:firstLine="480" w:firstLineChars="200"/>
      </w:pPr>
      <w:r>
        <w:t>近些年来，随着测绘市场的全面复苏和繁荣，测绘类企业的业务量都大幅增加，甚至产值创历史新高。除了传统的工程测量外，近几年快速发展的房地产测绘、工程测量、土地调查等业务出现较大的增长，同时地下管线测量市场已经全面铺开，中小型城市全面开展管线普查和测量工作。同时，随着智能化测绘、智慧城市等智能化建设的快速推进，测绘信息化也成为企业的重要业务拓展方向。另外，学校、学院具有吸引优秀生源的制度和措施，通过设立各类吸引优秀生源的奖、助学金，建立优秀生源地，开展中学校长联谊会和科普进校园活动，开展</w:t>
      </w:r>
      <w:r>
        <w:rPr>
          <w:rFonts w:hint="eastAsia"/>
        </w:rPr>
        <w:t>“</w:t>
      </w:r>
      <w:r>
        <w:t>致优秀学子高中母校一封信</w:t>
      </w:r>
      <w:r>
        <w:rPr>
          <w:rFonts w:hint="eastAsia"/>
        </w:rPr>
        <w:t>”</w:t>
      </w:r>
      <w:r>
        <w:t>活动，开展</w:t>
      </w:r>
      <w:r>
        <w:rPr>
          <w:rFonts w:hint="eastAsia"/>
        </w:rPr>
        <w:t>“</w:t>
      </w:r>
      <w:r>
        <w:t>优秀校友回访母校</w:t>
      </w:r>
      <w:r>
        <w:rPr>
          <w:rFonts w:hint="eastAsia"/>
        </w:rPr>
        <w:t>”</w:t>
      </w:r>
      <w:r>
        <w:t>活动等制度和措施，提高专业在中学生心中的知名度，并且本专业具备良好的就业和深造前景，极大地吸引了学生的就读愿望。</w:t>
      </w:r>
    </w:p>
    <w:p>
      <w:pPr>
        <w:pStyle w:val="5"/>
        <w:spacing w:before="93" w:after="93"/>
        <w:ind w:firstLine="560"/>
      </w:pPr>
      <w:bookmarkStart w:id="799" w:name="_Toc14721"/>
      <w:r>
        <w:t>六、培养特色</w:t>
      </w:r>
    </w:p>
    <w:p>
      <w:pPr>
        <w:ind w:firstLine="480" w:firstLineChars="200"/>
      </w:pPr>
      <w:r>
        <w:t>测绘工程专业在国际工程教育专业认证的背景下，以落实</w:t>
      </w:r>
      <w:r>
        <w:rPr>
          <w:rFonts w:hint="eastAsia"/>
        </w:rPr>
        <w:t>“</w:t>
      </w:r>
      <w:r>
        <w:t>为党育人，为国育才</w:t>
      </w:r>
      <w:r>
        <w:rPr>
          <w:rFonts w:hint="eastAsia"/>
        </w:rPr>
        <w:t>”</w:t>
      </w:r>
      <w:r>
        <w:t>的根本任务，贯彻</w:t>
      </w:r>
      <w:r>
        <w:rPr>
          <w:rFonts w:hint="eastAsia"/>
        </w:rPr>
        <w:t>“</w:t>
      </w:r>
      <w:r>
        <w:t>学生为中心，成果导向，持续改进</w:t>
      </w:r>
      <w:r>
        <w:rPr>
          <w:rFonts w:hint="eastAsia"/>
        </w:rPr>
        <w:t>”</w:t>
      </w:r>
      <w:r>
        <w:t>的育人理念，以培养堪当民族复兴大任的持续性创新人才为目标。坚持</w:t>
      </w:r>
      <w:r>
        <w:rPr>
          <w:rFonts w:hint="eastAsia"/>
        </w:rPr>
        <w:t>“</w:t>
      </w:r>
      <w:r>
        <w:t>育人为本、创新为魂</w:t>
      </w:r>
      <w:r>
        <w:rPr>
          <w:rFonts w:hint="eastAsia"/>
        </w:rPr>
        <w:t>”</w:t>
      </w:r>
      <w:r>
        <w:t>的教育教学思想，坚持</w:t>
      </w:r>
      <w:r>
        <w:rPr>
          <w:rFonts w:hint="eastAsia"/>
        </w:rPr>
        <w:t>“</w:t>
      </w:r>
      <w:r>
        <w:t>为党育人、为国育才</w:t>
      </w:r>
      <w:r>
        <w:rPr>
          <w:rFonts w:hint="eastAsia"/>
        </w:rPr>
        <w:t>”</w:t>
      </w:r>
      <w:r>
        <w:t>的根本任务、明确</w:t>
      </w:r>
      <w:r>
        <w:rPr>
          <w:rFonts w:hint="eastAsia"/>
        </w:rPr>
        <w:t>“</w:t>
      </w:r>
      <w:r>
        <w:t>持续创新型工程人才</w:t>
      </w:r>
      <w:r>
        <w:rPr>
          <w:rFonts w:hint="eastAsia"/>
        </w:rPr>
        <w:t>”</w:t>
      </w:r>
      <w:r>
        <w:t>的培养目标，形成了</w:t>
      </w:r>
      <w:r>
        <w:rPr>
          <w:rFonts w:hint="eastAsia"/>
        </w:rPr>
        <w:t>“</w:t>
      </w:r>
      <w:r>
        <w:t>五越泰山</w:t>
      </w:r>
      <w:r>
        <w:rPr>
          <w:rFonts w:hint="eastAsia"/>
        </w:rPr>
        <w:t>”</w:t>
      </w:r>
      <w:r>
        <w:t>（心灵美于泰山、品格厚于泰山、做事稳于泰山、学识高于泰山、价值重于泰山）的育人理念，创建了</w:t>
      </w:r>
      <w:r>
        <w:rPr>
          <w:rFonts w:hint="eastAsia"/>
        </w:rPr>
        <w:t>“</w:t>
      </w:r>
      <w:r>
        <w:t>润学训赛研</w:t>
      </w:r>
      <w:r>
        <w:rPr>
          <w:rFonts w:hint="eastAsia"/>
        </w:rPr>
        <w:t>”</w:t>
      </w:r>
      <w:r>
        <w:t>（文化浸润、创新教学、专业实训、学科竞赛、科研训练）五位一体的人才创新能力培养模式，建立了</w:t>
      </w:r>
      <w:r>
        <w:rPr>
          <w:rFonts w:hint="eastAsia"/>
        </w:rPr>
        <w:t>“</w:t>
      </w:r>
      <w:r>
        <w:t>教师五用</w:t>
      </w:r>
      <w:r>
        <w:rPr>
          <w:rFonts w:hint="eastAsia"/>
        </w:rPr>
        <w:t>”</w:t>
      </w:r>
      <w:r>
        <w:t>（用爱心温暖学生、用真情感化学生、用心灵抚慰学生、用美德塑造学生、用知识武装学生）与</w:t>
      </w:r>
      <w:r>
        <w:rPr>
          <w:rFonts w:hint="eastAsia"/>
        </w:rPr>
        <w:t>“</w:t>
      </w:r>
      <w:r>
        <w:t>学生五善</w:t>
      </w:r>
      <w:r>
        <w:rPr>
          <w:rFonts w:hint="eastAsia"/>
        </w:rPr>
        <w:t>”</w:t>
      </w:r>
      <w:r>
        <w:t>（善于学习、善于思考、善于实践、善于创新、善于创造）相结合的培才育人新模式，着力提高学生服务国家和社会的责任感、勇于探索的创新精神和善于解决问题的实践能力。</w:t>
      </w:r>
    </w:p>
    <w:p>
      <w:pPr>
        <w:ind w:firstLine="480" w:firstLineChars="200"/>
      </w:pPr>
      <w:r>
        <w:t>在育人理念上，解决了传统测绘工程人才培养注重</w:t>
      </w:r>
      <w:r>
        <w:rPr>
          <w:rFonts w:hint="eastAsia"/>
        </w:rPr>
        <w:t>“</w:t>
      </w:r>
      <w:r>
        <w:t>知识灌输</w:t>
      </w:r>
      <w:r>
        <w:rPr>
          <w:rFonts w:hint="eastAsia"/>
        </w:rPr>
        <w:t>”</w:t>
      </w:r>
      <w:r>
        <w:t>的理念与落实新时代立德树人、为党育人、为国育才根本任务难以适应的问题。在培养体系上，解决了测绘工程专业人才培养中</w:t>
      </w:r>
      <w:r>
        <w:rPr>
          <w:rFonts w:hint="eastAsia"/>
        </w:rPr>
        <w:t>“</w:t>
      </w:r>
      <w:r>
        <w:t>学术素养、应用能力、创新能力、职业素质</w:t>
      </w:r>
      <w:r>
        <w:rPr>
          <w:rFonts w:hint="eastAsia"/>
        </w:rPr>
        <w:t>”</w:t>
      </w:r>
      <w:r>
        <w:t>持续提升长期被忽视的问题。在培养模式上，解决了本科生培养过程中教师单一主体、无差别培养、学生个性发展受限、师生间互动性缺乏难以满足学生科研创新、工程实践能力提升的问题。在教学模式上，解决了课程教与学脱钩、学与用分离，传统的教学质量保障体系不能准确、实时和持续改进教学质量的问题。</w:t>
      </w:r>
    </w:p>
    <w:p>
      <w:pPr>
        <w:pStyle w:val="5"/>
        <w:spacing w:before="93" w:after="93"/>
        <w:ind w:firstLine="560"/>
      </w:pPr>
      <w:r>
        <w:t>七、毕业生就业创业</w:t>
      </w:r>
      <w:bookmarkEnd w:id="799"/>
    </w:p>
    <w:p>
      <w:pPr>
        <w:ind w:firstLine="480" w:firstLineChars="200"/>
      </w:pPr>
      <w:r>
        <w:rPr>
          <w:rFonts w:hint="eastAsia"/>
        </w:rPr>
        <w:t>“</w:t>
      </w:r>
      <w:r>
        <w:t>施展个性、分类培养</w:t>
      </w:r>
      <w:r>
        <w:rPr>
          <w:rFonts w:hint="eastAsia"/>
        </w:rPr>
        <w:t>”</w:t>
      </w:r>
      <w:r>
        <w:t>的人才培养模式，不仅使我校测绘毕业生考研率高，而且也为社会培养了大批卓越工程师人才和创业人才。牛冲同学因业务精练、实践技能强，善于组织能协调，工作不到6年，已成为山东省地质测绘院北方分院院长。李成春同学综合素质高、适应新环境能力强，善于学习施工技术和新知识，现已成为中铁十四局的中层领导。魏双全同学因在校期间参与大量测绘工程项目，积累了丰富的工程经验和管理经验，毕业后独立创业，开办了测绘公司，现已拥有上千万资产。徐洪威同学在校期间参与测绘工程实践，肯于吃苦，毕业后开办测绘公司，业务已遍及山东各地。</w:t>
      </w:r>
    </w:p>
    <w:p>
      <w:pPr>
        <w:ind w:firstLine="480" w:firstLineChars="200"/>
      </w:pPr>
      <w:r>
        <w:t>总结成功经验，应归功于教学改革与实践。通过课程体系与教学内容改革、师资队伍建设、实验实训条件建设、教学与人才质量监控机制建设，大幅提高了学生职业道德素养、自学能力、实践动手能力、创新能力、创业能力、吃苦耐劳的品质和就业竞争力。</w:t>
      </w:r>
    </w:p>
    <w:p>
      <w:pPr>
        <w:pStyle w:val="5"/>
        <w:spacing w:before="93" w:after="93"/>
        <w:ind w:firstLine="560"/>
      </w:pPr>
      <w:bookmarkStart w:id="800" w:name="_Toc23487"/>
      <w:r>
        <w:t>八、专业发展趋势</w:t>
      </w:r>
      <w:bookmarkEnd w:id="800"/>
    </w:p>
    <w:p>
      <w:pPr>
        <w:ind w:firstLine="480" w:firstLineChars="200"/>
      </w:pPr>
      <w:r>
        <w:t>测绘工作者是工程建设的尖兵。随着我国经济的快速发展，各行业的工程建设、</w:t>
      </w:r>
      <w:r>
        <w:rPr>
          <w:rFonts w:hint="eastAsia"/>
        </w:rPr>
        <w:t>“</w:t>
      </w:r>
      <w:r>
        <w:t>一带一路</w:t>
      </w:r>
      <w:r>
        <w:rPr>
          <w:rFonts w:hint="eastAsia"/>
        </w:rPr>
        <w:t>”</w:t>
      </w:r>
      <w:r>
        <w:t>战略的实施、智慧城市建设、基础地理信息建设以及国土资源管理、房地产管理等方面，均急需大批测绘工程师，测绘人才的社会需求呈上升趋势。</w:t>
      </w:r>
    </w:p>
    <w:p>
      <w:pPr>
        <w:ind w:firstLine="480" w:firstLineChars="200"/>
      </w:pPr>
      <w:r>
        <w:rPr>
          <w:rFonts w:hint="eastAsia"/>
        </w:rPr>
        <w:t>“</w:t>
      </w:r>
      <w:r>
        <w:t>五越五用五善</w:t>
      </w:r>
      <w:r>
        <w:rPr>
          <w:rFonts w:hint="eastAsia"/>
        </w:rPr>
        <w:t>”</w:t>
      </w:r>
      <w:r>
        <w:t>的育人方式，以</w:t>
      </w:r>
      <w:r>
        <w:rPr>
          <w:rFonts w:hint="eastAsia"/>
        </w:rPr>
        <w:t>“</w:t>
      </w:r>
      <w:r>
        <w:t>充分发挥学生个人兴趣，自主明确发展方向，面向高层考研深造、面向岗位实践就业</w:t>
      </w:r>
      <w:r>
        <w:rPr>
          <w:rFonts w:hint="eastAsia"/>
        </w:rPr>
        <w:t>”</w:t>
      </w:r>
      <w:r>
        <w:t>的培养方向为指导，理论与实践相结合的教学过程为主线，测绘科研与生产项目为载体，创新能力与创业精神培养为目标。这一人才培养模式，使测绘工程专业人才培养达到了</w:t>
      </w:r>
      <w:r>
        <w:rPr>
          <w:rFonts w:hint="eastAsia"/>
        </w:rPr>
        <w:t>“</w:t>
      </w:r>
      <w:r>
        <w:t>理论基础厚、实践能力强、创新能力强、适应能力强</w:t>
      </w:r>
      <w:r>
        <w:rPr>
          <w:rFonts w:hint="eastAsia"/>
        </w:rPr>
        <w:t>”</w:t>
      </w:r>
      <w:r>
        <w:t>即</w:t>
      </w:r>
      <w:r>
        <w:rPr>
          <w:rFonts w:hint="eastAsia"/>
        </w:rPr>
        <w:t>“</w:t>
      </w:r>
      <w:r>
        <w:t>一厚三强</w:t>
      </w:r>
      <w:r>
        <w:rPr>
          <w:rFonts w:hint="eastAsia"/>
        </w:rPr>
        <w:t>”</w:t>
      </w:r>
      <w:r>
        <w:t>的培养目标。出现了</w:t>
      </w:r>
      <w:r>
        <w:rPr>
          <w:rFonts w:hint="eastAsia"/>
        </w:rPr>
        <w:t>“</w:t>
      </w:r>
      <w:r>
        <w:t>一低三高</w:t>
      </w:r>
      <w:r>
        <w:rPr>
          <w:rFonts w:hint="eastAsia"/>
        </w:rPr>
        <w:t>”</w:t>
      </w:r>
      <w:r>
        <w:t>的良好局面，即学生考试不及格率低、学分积点高、就业率高、考研率高。测绘工程专业在我校的重点专业的基础上，已经通过了工程教育专业认证，成为省级一流本科专业，作为学校的品牌专业已经形成良好的发展势头并将迎来新的发展机遇。</w:t>
      </w:r>
    </w:p>
    <w:p>
      <w:pPr>
        <w:ind w:firstLine="480" w:firstLineChars="200"/>
      </w:pPr>
      <w:r>
        <w:t>截止2022年，全国41所农林类院校中设置测绘工程本科专业的有11所，在全国农林类院校中，我校测绘工程是全国唯一拥有测绘科学与技术一级学科硕士点并通过工程教育专业认证的专业。我校测绘工程专业的人才培养模式和学科发展，在全国测绘工程专业中保持农业特色，在全国农林类院校中实现了从</w:t>
      </w:r>
      <w:r>
        <w:rPr>
          <w:rFonts w:hint="eastAsia"/>
        </w:rPr>
        <w:t>“</w:t>
      </w:r>
      <w:r>
        <w:t>跟随者</w:t>
      </w:r>
      <w:r>
        <w:rPr>
          <w:rFonts w:hint="eastAsia"/>
        </w:rPr>
        <w:t>”</w:t>
      </w:r>
      <w:r>
        <w:t>向</w:t>
      </w:r>
      <w:r>
        <w:rPr>
          <w:rFonts w:hint="eastAsia"/>
        </w:rPr>
        <w:t>“</w:t>
      </w:r>
      <w:r>
        <w:t>领跑者</w:t>
      </w:r>
      <w:r>
        <w:rPr>
          <w:rFonts w:hint="eastAsia"/>
        </w:rPr>
        <w:t>”</w:t>
      </w:r>
      <w:r>
        <w:t>角色转变，在测绘工程专业建设和人才培养方面起到了示范引领作用。在全国150个测绘工程专业中，我校测绘工程专业位居前1/3。</w:t>
      </w:r>
    </w:p>
    <w:p>
      <w:pPr>
        <w:pStyle w:val="5"/>
        <w:spacing w:before="93" w:after="93"/>
        <w:ind w:firstLine="560"/>
      </w:pPr>
      <w:bookmarkStart w:id="801" w:name="_Toc9990"/>
      <w:r>
        <w:t>九、人才需求分析</w:t>
      </w:r>
    </w:p>
    <w:p>
      <w:pPr>
        <w:ind w:firstLine="480" w:firstLineChars="200"/>
      </w:pPr>
      <w:r>
        <w:t>测绘部门体制的变化给测绘业务带来了新的变化。随着测绘地理信息部门并入自然资源部门，大量测绘事业单位进行改制转型，这些测绘行业</w:t>
      </w:r>
      <w:r>
        <w:rPr>
          <w:rFonts w:hint="eastAsia"/>
        </w:rPr>
        <w:t>主体</w:t>
      </w:r>
      <w:r>
        <w:t>单位职责和定位的变化，使得主流测绘业务内容需要作出新的的调整。在自然资源调查监测、国土空间规划、自然资源确权登记等业务中，数据获取是支撑自然资源发展的基本，需要测绘人才提供保障服务工作。要求测绘人员拓展地理空间思维和技术，实现地理信息向自然资源管理应用的渗透。</w:t>
      </w:r>
    </w:p>
    <w:p>
      <w:pPr>
        <w:ind w:firstLine="480" w:firstLineChars="200"/>
      </w:pPr>
      <w:r>
        <w:t>新型技术和新型装备的发展，给测绘人才的需求带来了新的变化。北斗技术的成熟，各类对地观测卫星的不断完善，无人机测绘技术，激光雷达设备和光谱仪的日益常态化，通讯、导航、遥感、地面观测设备向智能手机、监控探头和5G技术等非专用传感器的发展，推动着测绘生产服务流程的变革。需要懂得遥感、导航、测绘、软件开发和人工智能技术的复合型高端人才。</w:t>
      </w:r>
    </w:p>
    <w:p>
      <w:pPr>
        <w:ind w:firstLine="480" w:firstLineChars="200"/>
      </w:pPr>
      <w:r>
        <w:t>新型基础测绘建设主要技术手段是广泛采用卫星导航定位、遥感、地理信息、互联网或物联网、大数据等先进的技术手段，强调地理信息获取实时化、处理自动化、服务网络化和应用社会化。新型基础测绘在工作范围、工作内容和技术手段的变化导致对导航定位、海洋测绘，地下水形（地下水文地质）测绘等专业人才需求增加，与此同时，随着国家</w:t>
      </w:r>
      <w:r>
        <w:rPr>
          <w:rFonts w:hint="eastAsia"/>
        </w:rPr>
        <w:t>“</w:t>
      </w:r>
      <w:r>
        <w:t>十四五</w:t>
      </w:r>
      <w:r>
        <w:rPr>
          <w:rFonts w:hint="eastAsia"/>
        </w:rPr>
        <w:t>”</w:t>
      </w:r>
      <w:r>
        <w:t>期间要开展三维实景等建设任务的增加，对同时掌握测绘技术、地理信息技术、计算机技术、摄影测量与遥感信息技术类等的专门技术人才需求显著提高。</w:t>
      </w:r>
    </w:p>
    <w:p>
      <w:pPr>
        <w:ind w:firstLine="480" w:firstLineChars="200"/>
      </w:pPr>
      <w:r>
        <w:t>我国将构建自然资源调查监测体系，在目前土地利用动态遥感监测和地理国情监测的基础上，构建宏观监测、常规监测、精细监测和应急监测4个类型的监测体系，在自然资源地理信息数据的分析、评价和挖掘等方面的人才的需求日益迫切。</w:t>
      </w:r>
    </w:p>
    <w:p>
      <w:pPr>
        <w:pStyle w:val="5"/>
        <w:spacing w:before="93" w:after="93"/>
        <w:ind w:firstLine="560"/>
      </w:pPr>
      <w:r>
        <w:t>十、存在的问题及拟采取的对策措施</w:t>
      </w:r>
      <w:bookmarkEnd w:id="801"/>
    </w:p>
    <w:p>
      <w:pPr>
        <w:ind w:firstLine="480" w:firstLineChars="200"/>
      </w:pPr>
      <w:r>
        <w:t>加强师资队伍建设。未来5年本专业需新增高水平专业教师2－3名，充实教学队伍。在今后教学过程中，我们将用以下方法进行改进：采用</w:t>
      </w:r>
      <w:r>
        <w:rPr>
          <w:rFonts w:hint="eastAsia"/>
        </w:rPr>
        <w:t>“</w:t>
      </w:r>
      <w:r>
        <w:t>请进来，送出去</w:t>
      </w:r>
      <w:r>
        <w:rPr>
          <w:rFonts w:hint="eastAsia"/>
        </w:rPr>
        <w:t>”</w:t>
      </w:r>
      <w:r>
        <w:t>的方法保证教学团队的高质量，每年邀请3-4位国内外知名学者来我系进行科研及教学交流，同时鼓励青年教师参加国内或国际的访问学者计划，增加青年教师参加国际学术会议的机会，保证教师业务能力不断提高。</w:t>
      </w:r>
    </w:p>
    <w:p>
      <w:pPr>
        <w:ind w:firstLine="480" w:firstLineChars="200"/>
      </w:pPr>
      <w:r>
        <w:t>加强实验室建设投入。今后应增加新型智能化测绘仪器装备的投入和更新，逐步缩小与现代化生产需求的差异，加强校企合作，增建教学实践育人基地，落实分类培养模式，重视对学生实践能力的培养和训练。</w:t>
      </w:r>
    </w:p>
    <w:p>
      <w:pPr>
        <w:ind w:firstLine="480" w:firstLineChars="200"/>
        <w:rPr>
          <w:rFonts w:eastAsia="黑体"/>
        </w:rPr>
      </w:pPr>
      <w:r>
        <w:rPr>
          <w:rFonts w:eastAsia="黑体"/>
        </w:rPr>
        <w:t>1</w:t>
      </w:r>
      <w:r>
        <w:rPr>
          <w:rFonts w:hint="eastAsia" w:eastAsia="黑体"/>
        </w:rPr>
        <w:t>.</w:t>
      </w:r>
      <w:r>
        <w:rPr>
          <w:rFonts w:eastAsia="黑体"/>
        </w:rPr>
        <w:t>青年教师业务水平需要进一步提高，主要措施：</w:t>
      </w:r>
    </w:p>
    <w:p>
      <w:pPr>
        <w:ind w:firstLine="480" w:firstLineChars="200"/>
      </w:pPr>
      <w:r>
        <w:t>（1）严格试讲制度：新进教师提前安排试讲内容，至少要进行3次试讲，全系教师参加，分别点评，提高教学青年教师的教学基本功；</w:t>
      </w:r>
    </w:p>
    <w:p>
      <w:pPr>
        <w:ind w:firstLine="480" w:firstLineChars="200"/>
      </w:pPr>
      <w:r>
        <w:t>（2）执行听课制度：年轻教师必须跟老教师听课，并做好记录，一对一帮扶；</w:t>
      </w:r>
    </w:p>
    <w:p>
      <w:pPr>
        <w:ind w:firstLine="480" w:firstLineChars="200"/>
      </w:pPr>
      <w:r>
        <w:t>（3）观摩教学：老教师每学期每人举行观摩教学1次，言传身教，青年教师现场观摩学习；</w:t>
      </w:r>
    </w:p>
    <w:p>
      <w:pPr>
        <w:ind w:firstLine="480" w:firstLineChars="200"/>
      </w:pPr>
      <w:r>
        <w:t>（4）参加实践锻炼：要求青年教师跟老教师一块指导实习、参加工程项目和科研项目等，积累工程经验。</w:t>
      </w:r>
    </w:p>
    <w:p>
      <w:pPr>
        <w:ind w:firstLine="480" w:firstLineChars="200"/>
        <w:rPr>
          <w:rFonts w:eastAsia="黑体"/>
        </w:rPr>
      </w:pPr>
      <w:r>
        <w:rPr>
          <w:rFonts w:eastAsia="黑体"/>
        </w:rPr>
        <w:t>2</w:t>
      </w:r>
      <w:r>
        <w:rPr>
          <w:rFonts w:hint="eastAsia" w:eastAsia="黑体"/>
        </w:rPr>
        <w:t>.</w:t>
      </w:r>
      <w:r>
        <w:rPr>
          <w:rFonts w:eastAsia="黑体"/>
        </w:rPr>
        <w:t>实验实习条件有待改善，主要措施：</w:t>
      </w:r>
    </w:p>
    <w:p>
      <w:pPr>
        <w:ind w:firstLine="480" w:firstLineChars="200"/>
      </w:pPr>
      <w:r>
        <w:t>（1）积极争取建设经费，优先购买紧缺仪器设备，满足教学实验实习基本要求，填补个别实验项目的空白；</w:t>
      </w:r>
    </w:p>
    <w:p>
      <w:pPr>
        <w:ind w:firstLine="480" w:firstLineChars="200"/>
      </w:pPr>
      <w:r>
        <w:t>（2）加强实验教学管理，合理调配教学资源，如分班轮流实验等；</w:t>
      </w:r>
    </w:p>
    <w:p>
      <w:pPr>
        <w:ind w:firstLine="480" w:firstLineChars="200"/>
      </w:pPr>
      <w:r>
        <w:t>（3）加强实习基地建设，进一步增加实习基地的数量，规范校内外实习基地的运行管理；</w:t>
      </w:r>
    </w:p>
    <w:p>
      <w:pPr>
        <w:ind w:firstLine="480" w:firstLineChars="200"/>
      </w:pPr>
      <w:r>
        <w:t>（4）加强校企联合，探讨校企联合人才培养模式，做到优势互补、资源共享；</w:t>
      </w:r>
    </w:p>
    <w:p>
      <w:pPr>
        <w:ind w:firstLine="480" w:firstLineChars="200"/>
      </w:pPr>
      <w:r>
        <w:t>（5）逐步引进测绘专业的硕士毕业生，充实实验室管理队伍。</w:t>
      </w:r>
    </w:p>
    <w:p>
      <w:pPr>
        <w:widowControl/>
        <w:ind w:firstLine="600" w:firstLineChars="200"/>
        <w:jc w:val="left"/>
        <w:rPr>
          <w:rFonts w:eastAsia="黑体"/>
          <w:kern w:val="0"/>
          <w:sz w:val="30"/>
          <w:szCs w:val="30"/>
        </w:rPr>
      </w:pPr>
      <w:r>
        <w:rPr>
          <w:sz w:val="30"/>
          <w:szCs w:val="30"/>
        </w:rPr>
        <w:br w:type="page"/>
      </w:r>
    </w:p>
    <w:p>
      <w:pPr>
        <w:pStyle w:val="4"/>
        <w:ind w:firstLine="600"/>
      </w:pPr>
      <w:bookmarkStart w:id="802" w:name="_Toc15071"/>
      <w:r>
        <w:t>专业</w:t>
      </w:r>
      <w:r>
        <w:rPr>
          <w:rFonts w:hint="eastAsia"/>
          <w:lang w:val="en-US"/>
        </w:rPr>
        <w:t>七十四：</w:t>
      </w:r>
      <w:r>
        <w:t>遥感科学与技术</w:t>
      </w:r>
      <w:bookmarkEnd w:id="802"/>
    </w:p>
    <w:p>
      <w:pPr>
        <w:pStyle w:val="5"/>
        <w:spacing w:before="93" w:after="93"/>
        <w:ind w:firstLine="560"/>
        <w:rPr>
          <w:lang w:val="zh-CN"/>
        </w:rPr>
      </w:pPr>
      <w:r>
        <w:rPr>
          <w:lang w:val="zh-CN"/>
        </w:rPr>
        <w:t>一、培养目标与规格</w:t>
      </w:r>
    </w:p>
    <w:p>
      <w:pPr>
        <w:pStyle w:val="45"/>
        <w:spacing w:line="380" w:lineRule="exact"/>
        <w:ind w:firstLine="480"/>
        <w:rPr>
          <w:rFonts w:ascii="Times New Roman" w:hAnsi="Times New Roman"/>
        </w:rPr>
      </w:pPr>
      <w:r>
        <w:rPr>
          <w:rFonts w:ascii="Times New Roman" w:hAnsi="Times New Roman"/>
        </w:rPr>
        <w:t>1.培养目标</w:t>
      </w:r>
    </w:p>
    <w:p>
      <w:pPr>
        <w:spacing w:line="420" w:lineRule="exact"/>
        <w:ind w:firstLine="480" w:firstLineChars="200"/>
      </w:pPr>
      <w:r>
        <w:t>本专业培养德、智、体、美、劳全面发展的社会主义事业建设者和接班人，适应国家和区域经济与科技发展的需求，掌握扎实的数理基础和遥感、测绘工程领域的专业知识和技能，具备综合分析和解决遥感科学及相关领域复杂工程问题的能力，能够在农林、土木、水利、交通、资源环境等相关领域从事遥感数据获取与处理、目标专题信息提取，数字化测绘和遥感信息服务等方面的生产、设计、研发、管理和教学等方面工作的应用创新型高级专业技术人才。</w:t>
      </w:r>
    </w:p>
    <w:p>
      <w:pPr>
        <w:spacing w:line="420" w:lineRule="exact"/>
        <w:ind w:firstLine="480" w:firstLineChars="200"/>
      </w:pPr>
      <w:r>
        <w:t>毕业生经过5年左右的工作实践应当达到以下目标：</w:t>
      </w:r>
    </w:p>
    <w:p>
      <w:pPr>
        <w:spacing w:line="420" w:lineRule="exact"/>
        <w:ind w:firstLine="480" w:firstLineChars="200"/>
      </w:pPr>
      <w:r>
        <w:t xml:space="preserve">（1）具备良好的人文科学素养、工程职业道德和社会责任感，在工程实践中能够充分考虑社会、健康、安全、法律及文化影像，履行工程师职责，积极服务国际与社会； </w:t>
      </w:r>
    </w:p>
    <w:p>
      <w:pPr>
        <w:spacing w:line="420" w:lineRule="exact"/>
        <w:ind w:firstLine="480" w:firstLineChars="200"/>
      </w:pPr>
      <w:r>
        <w:t>（2）具备良好的沟通、表达能力和国际视野，能在多学科、跨文化环境和团队中发挥作用；</w:t>
      </w:r>
    </w:p>
    <w:p>
      <w:pPr>
        <w:spacing w:line="420" w:lineRule="exact"/>
        <w:ind w:firstLine="480" w:firstLineChars="200"/>
      </w:pPr>
      <w:r>
        <w:t>（3）具有一定的职业素养以及自主学习和终身学习的能力，能够紧跟行业新理论新技术的发展，具备工程师的基本素质与能力；</w:t>
      </w:r>
    </w:p>
    <w:p>
      <w:pPr>
        <w:spacing w:line="420" w:lineRule="exact"/>
        <w:ind w:firstLine="480" w:firstLineChars="200"/>
      </w:pPr>
      <w:r>
        <w:t xml:space="preserve">（4）能够基于自然科学原理，熟练应用专业知识、现代技术和工具，进行遥感类项目的方案设计、技术开发、数据处理和科学研究等工作，解决遥感及相关领域的复杂工程问题； </w:t>
      </w:r>
    </w:p>
    <w:p>
      <w:pPr>
        <w:spacing w:line="420" w:lineRule="exact"/>
        <w:ind w:firstLine="480" w:firstLineChars="200"/>
      </w:pPr>
      <w:r>
        <w:t>（5）在遥感及相关领域的工程项目中，具备良好的社会科学知识、工程实践、组织管理与决策能力，并能够考虑自然、社会伦理和可持续发展等因素，成为技术中坚、业务骨干或组织领导者。</w:t>
      </w:r>
    </w:p>
    <w:p>
      <w:pPr>
        <w:pStyle w:val="45"/>
        <w:spacing w:line="420" w:lineRule="exact"/>
        <w:ind w:firstLine="480"/>
        <w:rPr>
          <w:rFonts w:ascii="Times New Roman" w:hAnsi="Times New Roman"/>
        </w:rPr>
      </w:pPr>
      <w:r>
        <w:rPr>
          <w:rFonts w:ascii="Times New Roman" w:hAnsi="Times New Roman"/>
        </w:rPr>
        <w:t>2.培养规格</w:t>
      </w:r>
    </w:p>
    <w:p>
      <w:pPr>
        <w:spacing w:line="420" w:lineRule="exact"/>
        <w:ind w:firstLine="480" w:firstLineChars="200"/>
      </w:pPr>
      <w:r>
        <w:t>本专业主要学习遥感科学与技术、测绘、计算机等方面的基本理论和基本技能，学习遥感信息工程、卫星导航定位、地理信息系统、空间地理信息采集处理及集成理论和方法等基本知识，并能组织和实施各类应用系统的设计、开发和管理。本专业学生在本科毕业时应达到的知识、能力和素养的要求如下：</w:t>
      </w:r>
    </w:p>
    <w:p>
      <w:pPr>
        <w:spacing w:line="420" w:lineRule="exact"/>
        <w:ind w:firstLine="480" w:firstLineChars="200"/>
      </w:pPr>
      <w:r>
        <w:t>（1）达到德育培养目标。</w:t>
      </w:r>
    </w:p>
    <w:p>
      <w:pPr>
        <w:spacing w:line="420" w:lineRule="exact"/>
        <w:ind w:firstLine="480" w:firstLineChars="200"/>
      </w:pPr>
      <w:r>
        <w:t>（2）修满本培养方案规定的学分，总学分不少于170学分。</w:t>
      </w:r>
    </w:p>
    <w:p>
      <w:pPr>
        <w:spacing w:line="420" w:lineRule="exact"/>
        <w:ind w:firstLine="480" w:firstLineChars="200"/>
      </w:pPr>
      <w:r>
        <w:t>（3）达到国家教育部要求的大学生体育合格标准</w:t>
      </w:r>
    </w:p>
    <w:p>
      <w:pPr>
        <w:pStyle w:val="2"/>
        <w:ind w:left="480"/>
      </w:pPr>
    </w:p>
    <w:p>
      <w:pPr>
        <w:pStyle w:val="5"/>
        <w:spacing w:before="93" w:after="93"/>
        <w:ind w:firstLine="560"/>
        <w:rPr>
          <w:lang w:val="zh-CN"/>
        </w:rPr>
      </w:pPr>
      <w:r>
        <w:rPr>
          <w:lang w:val="zh-CN"/>
        </w:rPr>
        <w:t>二、培养能力（专业设置情况、在校生规模、课程设置情况、创新创业教育等）</w:t>
      </w:r>
    </w:p>
    <w:p>
      <w:pPr>
        <w:pStyle w:val="45"/>
        <w:ind w:firstLine="480"/>
        <w:rPr>
          <w:rFonts w:ascii="Times New Roman" w:hAnsi="Times New Roman"/>
        </w:rPr>
      </w:pPr>
      <w:r>
        <w:rPr>
          <w:rFonts w:ascii="Times New Roman" w:hAnsi="Times New Roman"/>
        </w:rPr>
        <w:t>1.专业设置情况</w:t>
      </w:r>
    </w:p>
    <w:p>
      <w:pPr>
        <w:ind w:firstLine="480" w:firstLineChars="200"/>
        <w:rPr>
          <w:szCs w:val="24"/>
        </w:rPr>
      </w:pPr>
      <w:r>
        <w:rPr>
          <w:szCs w:val="24"/>
        </w:rPr>
        <w:t>遥感科学与技术专业于2008年申办并开始招生。2006年获得地图制图学与地理信息工程二级学科硕士学位授予权，2010年获得测绘科学与技术一级学科硕士学位授予权。多年来借鉴、创新、修订并完善了</w:t>
      </w:r>
      <w:r>
        <w:rPr>
          <w:rFonts w:hint="eastAsia"/>
          <w:szCs w:val="24"/>
        </w:rPr>
        <w:t>“</w:t>
      </w:r>
      <w:r>
        <w:rPr>
          <w:szCs w:val="24"/>
        </w:rPr>
        <w:t>施展个性、分类培养</w:t>
      </w:r>
      <w:r>
        <w:rPr>
          <w:rFonts w:hint="eastAsia"/>
          <w:szCs w:val="24"/>
        </w:rPr>
        <w:t>”</w:t>
      </w:r>
      <w:r>
        <w:rPr>
          <w:szCs w:val="24"/>
        </w:rPr>
        <w:t>的人才培养方案，通过课程体系与教学内容改革、师资队伍建设、实验实训条件建设，培养了一批德、智、体全面发展，具备遥感科学基本理论、基本知识和基本技能的专业技术人才。</w:t>
      </w:r>
    </w:p>
    <w:p>
      <w:pPr>
        <w:pStyle w:val="45"/>
        <w:ind w:firstLine="480"/>
        <w:rPr>
          <w:rFonts w:ascii="Times New Roman" w:hAnsi="Times New Roman"/>
        </w:rPr>
      </w:pPr>
      <w:r>
        <w:rPr>
          <w:rFonts w:ascii="Times New Roman" w:hAnsi="Times New Roman"/>
        </w:rPr>
        <w:t>2.在校生规模</w:t>
      </w:r>
    </w:p>
    <w:p>
      <w:pPr>
        <w:ind w:firstLine="480" w:firstLineChars="200"/>
        <w:rPr>
          <w:szCs w:val="24"/>
        </w:rPr>
      </w:pPr>
      <w:r>
        <w:rPr>
          <w:szCs w:val="24"/>
        </w:rPr>
        <w:t>截止到2022年7月30日，该专业完成了947人的招生计划，已有11届学生计707人顺利毕业,2022届毕业55人。本专业目前在校生为178人（大二、大三和大四），2022级按测绘类共招生90人，将在第二学期末进行专业分流，由于本专业就业前景较好，每年学生分流时生源较好。</w:t>
      </w:r>
    </w:p>
    <w:p>
      <w:pPr>
        <w:pStyle w:val="45"/>
        <w:ind w:firstLine="480"/>
        <w:rPr>
          <w:rFonts w:ascii="Times New Roman" w:hAnsi="Times New Roman"/>
        </w:rPr>
      </w:pPr>
      <w:r>
        <w:rPr>
          <w:rFonts w:ascii="Times New Roman" w:hAnsi="Times New Roman"/>
        </w:rPr>
        <w:t>3.课程设置情况</w:t>
      </w:r>
    </w:p>
    <w:p>
      <w:pPr>
        <w:ind w:firstLine="480" w:firstLineChars="200"/>
        <w:rPr>
          <w:szCs w:val="24"/>
        </w:rPr>
      </w:pPr>
      <w:r>
        <w:rPr>
          <w:szCs w:val="24"/>
        </w:rPr>
        <w:t>遥感科学与技术专业是一个对实践要求很高的专业，在制定人才培养方案时特别注重实践能力的培养，把实践教学作为独立教学内容对待,自成体系,又与理论课紧密结合。遥感科学与技术专业实践教学体系包括三部分内容：基础实践、专业实践和综合实践。其中基础实践包括军事理论及训练、劳动、体育健康与标准测试、思政社会实践及社会实践与调查报告；专业实践包括专业认识实习，数字地形测量、大地测量与卫星定位、摄影测量、遥感原理与应用、地理信息系统、遥感解译、遥感程序设计等教学实习，摄影测量和遥感课程设计；综合实践包括创新创业实践、毕业实习及报告、毕业论文或毕业设计。实践教学环节总学分为32学分，占毕业总学分的18.8%，是我校工科类中较高的。根据人才培养方案的要求，按照理论联系实际和注重能力培养的原则，循序渐进、科学合理地安排实践教学环节，构建整体优化的实践教学体系，即先基础实践，再专业实践，后综合实践的顺序。</w:t>
      </w:r>
    </w:p>
    <w:p>
      <w:pPr>
        <w:ind w:firstLine="480" w:firstLineChars="200"/>
        <w:rPr>
          <w:szCs w:val="24"/>
        </w:rPr>
      </w:pPr>
      <w:r>
        <w:rPr>
          <w:szCs w:val="24"/>
        </w:rPr>
        <w:t>本专业新的人才培养方案课程体系包括通识教育模块、专业教育模块和拓展教育模块三大类别，通识教育课程分为必修课和选修课，专业教育课程分为学科基础课和专业核心课。实践教学包括基础实践、专业实践、综合实践三个层次。</w:t>
      </w:r>
    </w:p>
    <w:p>
      <w:pPr>
        <w:ind w:firstLine="480" w:firstLineChars="200"/>
        <w:rPr>
          <w:szCs w:val="24"/>
        </w:rPr>
      </w:pPr>
      <w:r>
        <w:rPr>
          <w:szCs w:val="24"/>
        </w:rPr>
        <w:t>通识类课程包括：思政类课程、国家安全、军事国防、心理健康、体育健康、信息技术、职业发展和外语类课程等。</w:t>
      </w:r>
    </w:p>
    <w:p>
      <w:pPr>
        <w:ind w:firstLine="480" w:firstLineChars="200"/>
        <w:rPr>
          <w:szCs w:val="24"/>
        </w:rPr>
      </w:pPr>
      <w:r>
        <w:rPr>
          <w:szCs w:val="24"/>
        </w:rPr>
        <w:t>学科基础课程：高等数学、线性代数、概率统计、大学物理、计算机程序设计、工程制图等。</w:t>
      </w:r>
    </w:p>
    <w:p>
      <w:pPr>
        <w:ind w:firstLine="480" w:firstLineChars="200"/>
        <w:rPr>
          <w:szCs w:val="24"/>
        </w:rPr>
      </w:pPr>
      <w:r>
        <w:rPr>
          <w:szCs w:val="24"/>
        </w:rPr>
        <w:t>专业课程：测绘学概论、数字地形测量学、测量误差基础、数字图像处理、遥感原理与应用、摄影测量学、大地测量学基础、遥感图像解译、航空航天数据获取、GNSS原理及应用、地理信息系统原理、遥感物理基础、微波遥感、遥感程序设计等。</w:t>
      </w:r>
    </w:p>
    <w:p>
      <w:pPr>
        <w:spacing w:line="420" w:lineRule="exact"/>
        <w:ind w:firstLine="480" w:firstLineChars="200"/>
        <w:rPr>
          <w:szCs w:val="24"/>
        </w:rPr>
      </w:pPr>
      <w:r>
        <w:rPr>
          <w:szCs w:val="24"/>
        </w:rPr>
        <w:t>毕业总学分不少于170学分。其中，必修课总学分144.5学分，选修课学分25.5学分，实践教学学分（含操作性实验课学分和实践学分，）53.375学分，分别占总学分85%、15.0%、31.4%。</w:t>
      </w:r>
    </w:p>
    <w:p>
      <w:pPr>
        <w:pStyle w:val="45"/>
        <w:spacing w:line="420" w:lineRule="exact"/>
        <w:ind w:firstLine="480"/>
        <w:rPr>
          <w:rFonts w:ascii="Times New Roman" w:hAnsi="Times New Roman"/>
        </w:rPr>
      </w:pPr>
      <w:r>
        <w:rPr>
          <w:rFonts w:ascii="Times New Roman" w:hAnsi="Times New Roman"/>
        </w:rPr>
        <w:t>4.创新创业教育</w:t>
      </w:r>
    </w:p>
    <w:p>
      <w:pPr>
        <w:spacing w:line="420" w:lineRule="exact"/>
        <w:ind w:firstLine="480" w:firstLineChars="200"/>
        <w:rPr>
          <w:szCs w:val="24"/>
        </w:rPr>
      </w:pPr>
      <w:r>
        <w:rPr>
          <w:szCs w:val="24"/>
        </w:rPr>
        <w:t>创新创业教育是为鼓励学生积极参与科学研究、学科竞赛、文体创作、创业训练及各类社会实践活动，培养学生创新精神、创业意识，提高实践创新能力和适应社会能力而设立的实践环节。</w:t>
      </w:r>
    </w:p>
    <w:p>
      <w:pPr>
        <w:spacing w:line="420" w:lineRule="exact"/>
        <w:ind w:firstLine="480" w:firstLineChars="200"/>
        <w:rPr>
          <w:szCs w:val="24"/>
        </w:rPr>
      </w:pPr>
      <w:r>
        <w:rPr>
          <w:szCs w:val="24"/>
        </w:rPr>
        <w:t>本专业非常重视学生的创新创业教育、训练，鼓励大学生积极开展创新创业，近几年取得了一定成效。鼓励学生积极申报国家大学生创新实验计划、学校大学生研究训练计划（SRT），开展地理信息科学有关研究。近3年，学生共承担4项省级以上大学生研究训练计划、30项学校大学生研究训练计划。通过研究训练，学生的创新能力有了较大提高。</w:t>
      </w:r>
    </w:p>
    <w:p>
      <w:pPr>
        <w:spacing w:line="420" w:lineRule="exact"/>
        <w:ind w:firstLine="480" w:firstLineChars="200"/>
        <w:rPr>
          <w:szCs w:val="24"/>
        </w:rPr>
      </w:pPr>
      <w:r>
        <w:rPr>
          <w:szCs w:val="24"/>
        </w:rPr>
        <w:t xml:space="preserve">鼓励学生参加国家级、省级和校级测绘技能比赛，全国遥感操作类和GIS开发类技能大赛，数学建模大赛，全国大学生物理竞赛和纵横RS协会等活动，取得了优异成绩。如2017级遥感都晨等申报成功 </w:t>
      </w:r>
      <w:r>
        <w:rPr>
          <w:rFonts w:hint="eastAsia"/>
          <w:szCs w:val="24"/>
        </w:rPr>
        <w:t>“</w:t>
      </w:r>
      <w:r>
        <w:rPr>
          <w:szCs w:val="24"/>
        </w:rPr>
        <w:t>国家级大学生创新创业训练计划</w:t>
      </w:r>
      <w:r>
        <w:rPr>
          <w:rFonts w:hint="eastAsia"/>
          <w:szCs w:val="24"/>
        </w:rPr>
        <w:t>”</w:t>
      </w:r>
      <w:r>
        <w:rPr>
          <w:szCs w:val="24"/>
        </w:rPr>
        <w:t>,2017级张亚男获得全国高等学生大学生测绘科技论文大赛特等奖，2018级李欣泽获得第十二届全国高等学校大学生测绘科技论文大赛一等奖，2019级王欣怡、杨灿获得全国测绘技能比赛二等奖等等。</w:t>
      </w:r>
    </w:p>
    <w:p>
      <w:pPr>
        <w:pStyle w:val="5"/>
        <w:spacing w:before="93" w:after="93" w:line="420" w:lineRule="exact"/>
        <w:ind w:firstLine="560"/>
        <w:rPr>
          <w:lang w:val="zh-CN"/>
        </w:rPr>
      </w:pPr>
      <w:r>
        <w:rPr>
          <w:lang w:val="zh-CN"/>
        </w:rPr>
        <w:t>三、培养条件（教学经费投入、教学设备、教师队伍建设、实习基地、现代教学技术应用等）</w:t>
      </w:r>
    </w:p>
    <w:p>
      <w:pPr>
        <w:pStyle w:val="45"/>
        <w:spacing w:line="420" w:lineRule="exact"/>
        <w:ind w:firstLine="480"/>
        <w:rPr>
          <w:rFonts w:ascii="Times New Roman" w:hAnsi="Times New Roman"/>
        </w:rPr>
      </w:pPr>
      <w:r>
        <w:rPr>
          <w:rFonts w:ascii="Times New Roman" w:hAnsi="Times New Roman"/>
        </w:rPr>
        <w:t>1.教学经费投入</w:t>
      </w:r>
    </w:p>
    <w:p>
      <w:pPr>
        <w:spacing w:line="420" w:lineRule="exact"/>
        <w:ind w:firstLine="480" w:firstLineChars="200"/>
        <w:rPr>
          <w:szCs w:val="24"/>
        </w:rPr>
      </w:pPr>
      <w:r>
        <w:rPr>
          <w:szCs w:val="24"/>
        </w:rPr>
        <w:t>学校和学院每年持续加大对本专业教学经费投入，购置教学仪器设备和软件等改善教学条件，提高教学水平，2022年按生均1017元共投入248148元。</w:t>
      </w:r>
    </w:p>
    <w:p>
      <w:pPr>
        <w:pStyle w:val="45"/>
        <w:spacing w:line="420" w:lineRule="exact"/>
        <w:ind w:firstLine="480"/>
        <w:rPr>
          <w:rFonts w:ascii="Times New Roman" w:hAnsi="Times New Roman"/>
        </w:rPr>
      </w:pPr>
      <w:r>
        <w:rPr>
          <w:rFonts w:ascii="Times New Roman" w:hAnsi="Times New Roman"/>
        </w:rPr>
        <w:t>2.教学设备</w:t>
      </w:r>
    </w:p>
    <w:p>
      <w:pPr>
        <w:spacing w:line="420" w:lineRule="exact"/>
        <w:ind w:firstLine="480" w:firstLineChars="200"/>
        <w:rPr>
          <w:szCs w:val="24"/>
        </w:rPr>
      </w:pPr>
      <w:r>
        <w:rPr>
          <w:szCs w:val="24"/>
        </w:rPr>
        <w:t>2014-2021年学校投入210余万元，购置了水准仪、全站仪、卫星定位接收机等测绘设备，成像地物光谱测量仪，旋翼无人机等专业设备，建成了数字摄影测量与遥感专业实验室，更新教学实验设施，改善实习实验条件。主要设备见表1。需要说明的是近两年来实验室添置的无人机和地物光谱测量仪，为提高遥感专业学生的教学与实操水平提供了必要的平台。2023年将完成遥感实验室MapMatrix软件更新，三维激光扫描仪、机载多光谱成像仪、热红外成像仪以及激光雷达等仪器设备的购置。</w:t>
      </w:r>
    </w:p>
    <w:p>
      <w:pPr>
        <w:ind w:firstLine="480" w:firstLineChars="200"/>
        <w:rPr>
          <w:szCs w:val="24"/>
        </w:rPr>
      </w:pPr>
    </w:p>
    <w:p>
      <w:pPr>
        <w:rPr>
          <w:b/>
          <w:sz w:val="21"/>
          <w:szCs w:val="21"/>
        </w:rPr>
      </w:pPr>
      <w:r>
        <w:rPr>
          <w:b/>
          <w:sz w:val="21"/>
          <w:szCs w:val="21"/>
        </w:rPr>
        <w:br w:type="page"/>
      </w:r>
    </w:p>
    <w:p>
      <w:pPr>
        <w:snapToGrid w:val="0"/>
        <w:spacing w:line="360" w:lineRule="auto"/>
        <w:jc w:val="center"/>
        <w:rPr>
          <w:b/>
          <w:sz w:val="21"/>
          <w:szCs w:val="21"/>
        </w:rPr>
      </w:pPr>
      <w:r>
        <w:rPr>
          <w:b/>
          <w:sz w:val="21"/>
          <w:szCs w:val="21"/>
        </w:rPr>
        <w:t>表1  主要设备一览表</w:t>
      </w:r>
    </w:p>
    <w:tbl>
      <w:tblPr>
        <w:tblStyle w:val="17"/>
        <w:tblW w:w="75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79"/>
        <w:gridCol w:w="1558"/>
        <w:gridCol w:w="1550"/>
        <w:gridCol w:w="18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79" w:type="dxa"/>
            <w:noWrap/>
            <w:vAlign w:val="center"/>
          </w:tcPr>
          <w:p>
            <w:pPr>
              <w:widowControl/>
              <w:jc w:val="center"/>
              <w:rPr>
                <w:b/>
                <w:kern w:val="0"/>
                <w:sz w:val="21"/>
                <w:szCs w:val="21"/>
              </w:rPr>
            </w:pPr>
            <w:r>
              <w:rPr>
                <w:b/>
                <w:kern w:val="0"/>
                <w:sz w:val="21"/>
                <w:szCs w:val="21"/>
              </w:rPr>
              <w:t>资产名称</w:t>
            </w:r>
          </w:p>
        </w:tc>
        <w:tc>
          <w:tcPr>
            <w:tcW w:w="1558" w:type="dxa"/>
            <w:noWrap/>
            <w:vAlign w:val="center"/>
          </w:tcPr>
          <w:p>
            <w:pPr>
              <w:widowControl/>
              <w:jc w:val="center"/>
              <w:rPr>
                <w:b/>
                <w:kern w:val="0"/>
                <w:sz w:val="21"/>
                <w:szCs w:val="21"/>
              </w:rPr>
            </w:pPr>
            <w:r>
              <w:rPr>
                <w:b/>
                <w:kern w:val="0"/>
                <w:sz w:val="21"/>
                <w:szCs w:val="21"/>
              </w:rPr>
              <w:t>单价（元）</w:t>
            </w:r>
          </w:p>
        </w:tc>
        <w:tc>
          <w:tcPr>
            <w:tcW w:w="1550" w:type="dxa"/>
            <w:noWrap/>
            <w:vAlign w:val="center"/>
          </w:tcPr>
          <w:p>
            <w:pPr>
              <w:widowControl/>
              <w:jc w:val="center"/>
              <w:rPr>
                <w:b/>
                <w:kern w:val="0"/>
                <w:sz w:val="21"/>
                <w:szCs w:val="21"/>
              </w:rPr>
            </w:pPr>
            <w:r>
              <w:rPr>
                <w:b/>
                <w:kern w:val="0"/>
                <w:sz w:val="21"/>
                <w:szCs w:val="21"/>
              </w:rPr>
              <w:t>套(件数)</w:t>
            </w:r>
          </w:p>
        </w:tc>
        <w:tc>
          <w:tcPr>
            <w:tcW w:w="1897" w:type="dxa"/>
            <w:vAlign w:val="center"/>
          </w:tcPr>
          <w:p>
            <w:pPr>
              <w:widowControl/>
              <w:jc w:val="center"/>
              <w:rPr>
                <w:b/>
                <w:kern w:val="0"/>
                <w:sz w:val="21"/>
                <w:szCs w:val="21"/>
              </w:rPr>
            </w:pPr>
            <w:r>
              <w:rPr>
                <w:b/>
                <w:kern w:val="0"/>
                <w:sz w:val="21"/>
                <w:szCs w:val="21"/>
              </w:rPr>
              <w:t>合计（元）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79" w:type="dxa"/>
            <w:noWrap/>
            <w:vAlign w:val="center"/>
          </w:tcPr>
          <w:p>
            <w:pPr>
              <w:widowControl/>
              <w:jc w:val="center"/>
              <w:rPr>
                <w:kern w:val="0"/>
                <w:sz w:val="21"/>
                <w:szCs w:val="21"/>
              </w:rPr>
            </w:pPr>
            <w:r>
              <w:rPr>
                <w:kern w:val="0"/>
                <w:sz w:val="21"/>
                <w:szCs w:val="21"/>
              </w:rPr>
              <w:t>计算机</w:t>
            </w:r>
          </w:p>
        </w:tc>
        <w:tc>
          <w:tcPr>
            <w:tcW w:w="1558" w:type="dxa"/>
            <w:noWrap/>
            <w:vAlign w:val="center"/>
          </w:tcPr>
          <w:p>
            <w:pPr>
              <w:widowControl/>
              <w:jc w:val="center"/>
              <w:rPr>
                <w:kern w:val="0"/>
                <w:sz w:val="21"/>
                <w:szCs w:val="21"/>
              </w:rPr>
            </w:pPr>
            <w:r>
              <w:rPr>
                <w:kern w:val="0"/>
                <w:sz w:val="21"/>
                <w:szCs w:val="21"/>
              </w:rPr>
              <w:t>2915</w:t>
            </w:r>
          </w:p>
        </w:tc>
        <w:tc>
          <w:tcPr>
            <w:tcW w:w="1550" w:type="dxa"/>
            <w:noWrap/>
            <w:vAlign w:val="center"/>
          </w:tcPr>
          <w:p>
            <w:pPr>
              <w:widowControl/>
              <w:jc w:val="center"/>
              <w:rPr>
                <w:kern w:val="0"/>
                <w:sz w:val="21"/>
                <w:szCs w:val="21"/>
              </w:rPr>
            </w:pPr>
            <w:r>
              <w:rPr>
                <w:kern w:val="0"/>
                <w:sz w:val="21"/>
                <w:szCs w:val="21"/>
              </w:rPr>
              <w:t>24</w:t>
            </w:r>
          </w:p>
        </w:tc>
        <w:tc>
          <w:tcPr>
            <w:tcW w:w="1897" w:type="dxa"/>
            <w:vAlign w:val="center"/>
          </w:tcPr>
          <w:p>
            <w:pPr>
              <w:widowControl/>
              <w:jc w:val="center"/>
              <w:rPr>
                <w:kern w:val="0"/>
                <w:sz w:val="21"/>
                <w:szCs w:val="21"/>
              </w:rPr>
            </w:pPr>
            <w:r>
              <w:rPr>
                <w:kern w:val="0"/>
                <w:sz w:val="21"/>
                <w:szCs w:val="21"/>
              </w:rPr>
              <w:t>69960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79" w:type="dxa"/>
            <w:noWrap/>
            <w:vAlign w:val="center"/>
          </w:tcPr>
          <w:p>
            <w:pPr>
              <w:widowControl/>
              <w:jc w:val="center"/>
              <w:rPr>
                <w:kern w:val="0"/>
                <w:sz w:val="21"/>
                <w:szCs w:val="21"/>
              </w:rPr>
            </w:pPr>
            <w:r>
              <w:rPr>
                <w:kern w:val="0"/>
                <w:sz w:val="21"/>
                <w:szCs w:val="21"/>
              </w:rPr>
              <w:t>反光立体镜</w:t>
            </w:r>
          </w:p>
        </w:tc>
        <w:tc>
          <w:tcPr>
            <w:tcW w:w="1558" w:type="dxa"/>
            <w:noWrap/>
            <w:vAlign w:val="center"/>
          </w:tcPr>
          <w:p>
            <w:pPr>
              <w:widowControl/>
              <w:jc w:val="center"/>
              <w:rPr>
                <w:kern w:val="0"/>
                <w:sz w:val="21"/>
                <w:szCs w:val="21"/>
              </w:rPr>
            </w:pPr>
            <w:r>
              <w:rPr>
                <w:kern w:val="0"/>
                <w:sz w:val="21"/>
                <w:szCs w:val="21"/>
              </w:rPr>
              <w:t>950</w:t>
            </w:r>
          </w:p>
        </w:tc>
        <w:tc>
          <w:tcPr>
            <w:tcW w:w="1550" w:type="dxa"/>
            <w:noWrap/>
            <w:vAlign w:val="center"/>
          </w:tcPr>
          <w:p>
            <w:pPr>
              <w:widowControl/>
              <w:jc w:val="center"/>
              <w:rPr>
                <w:kern w:val="0"/>
                <w:sz w:val="21"/>
                <w:szCs w:val="21"/>
              </w:rPr>
            </w:pPr>
            <w:r>
              <w:rPr>
                <w:kern w:val="0"/>
                <w:sz w:val="21"/>
                <w:szCs w:val="21"/>
              </w:rPr>
              <w:t>30</w:t>
            </w:r>
          </w:p>
        </w:tc>
        <w:tc>
          <w:tcPr>
            <w:tcW w:w="1897" w:type="dxa"/>
            <w:vAlign w:val="center"/>
          </w:tcPr>
          <w:p>
            <w:pPr>
              <w:widowControl/>
              <w:jc w:val="center"/>
              <w:rPr>
                <w:kern w:val="0"/>
                <w:sz w:val="21"/>
                <w:szCs w:val="21"/>
              </w:rPr>
            </w:pPr>
            <w:r>
              <w:rPr>
                <w:kern w:val="0"/>
                <w:sz w:val="21"/>
                <w:szCs w:val="21"/>
              </w:rPr>
              <w:t>28500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79" w:type="dxa"/>
            <w:noWrap/>
            <w:vAlign w:val="center"/>
          </w:tcPr>
          <w:p>
            <w:pPr>
              <w:widowControl/>
              <w:jc w:val="center"/>
              <w:rPr>
                <w:kern w:val="0"/>
                <w:sz w:val="21"/>
                <w:szCs w:val="21"/>
              </w:rPr>
            </w:pPr>
            <w:r>
              <w:rPr>
                <w:kern w:val="0"/>
                <w:sz w:val="21"/>
                <w:szCs w:val="21"/>
              </w:rPr>
              <w:t>地物光谱仪</w:t>
            </w:r>
          </w:p>
        </w:tc>
        <w:tc>
          <w:tcPr>
            <w:tcW w:w="1558" w:type="dxa"/>
            <w:noWrap/>
            <w:vAlign w:val="center"/>
          </w:tcPr>
          <w:p>
            <w:pPr>
              <w:widowControl/>
              <w:jc w:val="center"/>
              <w:rPr>
                <w:kern w:val="0"/>
                <w:sz w:val="21"/>
                <w:szCs w:val="21"/>
              </w:rPr>
            </w:pPr>
            <w:r>
              <w:rPr>
                <w:kern w:val="0"/>
                <w:sz w:val="21"/>
                <w:szCs w:val="21"/>
              </w:rPr>
              <w:t>149308</w:t>
            </w:r>
          </w:p>
        </w:tc>
        <w:tc>
          <w:tcPr>
            <w:tcW w:w="1550" w:type="dxa"/>
            <w:noWrap/>
            <w:vAlign w:val="center"/>
          </w:tcPr>
          <w:p>
            <w:pPr>
              <w:widowControl/>
              <w:jc w:val="center"/>
              <w:rPr>
                <w:kern w:val="0"/>
                <w:sz w:val="21"/>
                <w:szCs w:val="21"/>
              </w:rPr>
            </w:pPr>
            <w:r>
              <w:rPr>
                <w:kern w:val="0"/>
                <w:sz w:val="21"/>
                <w:szCs w:val="21"/>
              </w:rPr>
              <w:t>2</w:t>
            </w:r>
          </w:p>
        </w:tc>
        <w:tc>
          <w:tcPr>
            <w:tcW w:w="1897" w:type="dxa"/>
            <w:vAlign w:val="center"/>
          </w:tcPr>
          <w:p>
            <w:pPr>
              <w:widowControl/>
              <w:jc w:val="center"/>
              <w:rPr>
                <w:kern w:val="0"/>
                <w:sz w:val="21"/>
                <w:szCs w:val="21"/>
              </w:rPr>
            </w:pPr>
            <w:r>
              <w:rPr>
                <w:kern w:val="0"/>
                <w:sz w:val="21"/>
                <w:szCs w:val="21"/>
              </w:rPr>
              <w:t>298616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79" w:type="dxa"/>
            <w:noWrap/>
            <w:vAlign w:val="center"/>
          </w:tcPr>
          <w:p>
            <w:pPr>
              <w:widowControl/>
              <w:jc w:val="center"/>
              <w:rPr>
                <w:kern w:val="0"/>
                <w:sz w:val="21"/>
                <w:szCs w:val="21"/>
              </w:rPr>
            </w:pPr>
            <w:r>
              <w:rPr>
                <w:kern w:val="0"/>
                <w:sz w:val="21"/>
                <w:szCs w:val="21"/>
              </w:rPr>
              <w:t>GPS-RTK双频接收机</w:t>
            </w:r>
          </w:p>
        </w:tc>
        <w:tc>
          <w:tcPr>
            <w:tcW w:w="1558" w:type="dxa"/>
            <w:noWrap/>
            <w:vAlign w:val="center"/>
          </w:tcPr>
          <w:p>
            <w:pPr>
              <w:widowControl/>
              <w:jc w:val="center"/>
              <w:rPr>
                <w:kern w:val="0"/>
                <w:sz w:val="21"/>
                <w:szCs w:val="21"/>
              </w:rPr>
            </w:pPr>
            <w:r>
              <w:rPr>
                <w:kern w:val="0"/>
                <w:sz w:val="21"/>
                <w:szCs w:val="21"/>
              </w:rPr>
              <w:t>49000</w:t>
            </w:r>
          </w:p>
        </w:tc>
        <w:tc>
          <w:tcPr>
            <w:tcW w:w="1550" w:type="dxa"/>
            <w:noWrap/>
            <w:vAlign w:val="center"/>
          </w:tcPr>
          <w:p>
            <w:pPr>
              <w:widowControl/>
              <w:jc w:val="center"/>
              <w:rPr>
                <w:kern w:val="0"/>
                <w:sz w:val="21"/>
                <w:szCs w:val="21"/>
              </w:rPr>
            </w:pPr>
            <w:r>
              <w:rPr>
                <w:kern w:val="0"/>
                <w:sz w:val="21"/>
                <w:szCs w:val="21"/>
              </w:rPr>
              <w:t>4</w:t>
            </w:r>
          </w:p>
        </w:tc>
        <w:tc>
          <w:tcPr>
            <w:tcW w:w="1897" w:type="dxa"/>
            <w:vAlign w:val="center"/>
          </w:tcPr>
          <w:p>
            <w:pPr>
              <w:widowControl/>
              <w:jc w:val="center"/>
              <w:rPr>
                <w:kern w:val="0"/>
                <w:sz w:val="21"/>
                <w:szCs w:val="21"/>
              </w:rPr>
            </w:pPr>
            <w:r>
              <w:rPr>
                <w:kern w:val="0"/>
                <w:sz w:val="21"/>
                <w:szCs w:val="21"/>
              </w:rPr>
              <w:t>196000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79" w:type="dxa"/>
            <w:noWrap/>
            <w:vAlign w:val="center"/>
          </w:tcPr>
          <w:p>
            <w:pPr>
              <w:widowControl/>
              <w:jc w:val="center"/>
              <w:rPr>
                <w:kern w:val="0"/>
                <w:sz w:val="21"/>
                <w:szCs w:val="21"/>
              </w:rPr>
            </w:pPr>
            <w:r>
              <w:rPr>
                <w:kern w:val="0"/>
                <w:sz w:val="21"/>
                <w:szCs w:val="21"/>
              </w:rPr>
              <w:t>单频GPS接收机</w:t>
            </w:r>
          </w:p>
        </w:tc>
        <w:tc>
          <w:tcPr>
            <w:tcW w:w="1558" w:type="dxa"/>
            <w:noWrap/>
            <w:vAlign w:val="center"/>
          </w:tcPr>
          <w:p>
            <w:pPr>
              <w:widowControl/>
              <w:jc w:val="center"/>
              <w:rPr>
                <w:kern w:val="0"/>
                <w:sz w:val="21"/>
                <w:szCs w:val="21"/>
              </w:rPr>
            </w:pPr>
            <w:r>
              <w:rPr>
                <w:kern w:val="0"/>
                <w:sz w:val="21"/>
                <w:szCs w:val="21"/>
              </w:rPr>
              <w:t>4000</w:t>
            </w:r>
          </w:p>
        </w:tc>
        <w:tc>
          <w:tcPr>
            <w:tcW w:w="1550" w:type="dxa"/>
            <w:noWrap/>
            <w:vAlign w:val="center"/>
          </w:tcPr>
          <w:p>
            <w:pPr>
              <w:widowControl/>
              <w:jc w:val="center"/>
              <w:rPr>
                <w:kern w:val="0"/>
                <w:sz w:val="21"/>
                <w:szCs w:val="21"/>
              </w:rPr>
            </w:pPr>
            <w:r>
              <w:rPr>
                <w:kern w:val="0"/>
                <w:sz w:val="21"/>
                <w:szCs w:val="21"/>
              </w:rPr>
              <w:t>6</w:t>
            </w:r>
          </w:p>
        </w:tc>
        <w:tc>
          <w:tcPr>
            <w:tcW w:w="1897" w:type="dxa"/>
            <w:vAlign w:val="center"/>
          </w:tcPr>
          <w:p>
            <w:pPr>
              <w:widowControl/>
              <w:jc w:val="center"/>
              <w:rPr>
                <w:kern w:val="0"/>
                <w:sz w:val="21"/>
                <w:szCs w:val="21"/>
              </w:rPr>
            </w:pPr>
            <w:r>
              <w:rPr>
                <w:kern w:val="0"/>
                <w:sz w:val="21"/>
                <w:szCs w:val="21"/>
              </w:rPr>
              <w:t>24000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79" w:type="dxa"/>
            <w:noWrap/>
            <w:vAlign w:val="center"/>
          </w:tcPr>
          <w:p>
            <w:pPr>
              <w:widowControl/>
              <w:jc w:val="center"/>
              <w:rPr>
                <w:kern w:val="0"/>
                <w:sz w:val="21"/>
                <w:szCs w:val="21"/>
              </w:rPr>
            </w:pPr>
            <w:r>
              <w:rPr>
                <w:kern w:val="0"/>
                <w:sz w:val="21"/>
                <w:szCs w:val="21"/>
              </w:rPr>
              <w:t>手持多星定位仪</w:t>
            </w:r>
          </w:p>
        </w:tc>
        <w:tc>
          <w:tcPr>
            <w:tcW w:w="1558" w:type="dxa"/>
            <w:noWrap/>
            <w:vAlign w:val="center"/>
          </w:tcPr>
          <w:p>
            <w:pPr>
              <w:widowControl/>
              <w:jc w:val="center"/>
              <w:rPr>
                <w:kern w:val="0"/>
                <w:sz w:val="21"/>
                <w:szCs w:val="21"/>
              </w:rPr>
            </w:pPr>
            <w:r>
              <w:rPr>
                <w:kern w:val="0"/>
                <w:sz w:val="21"/>
                <w:szCs w:val="21"/>
              </w:rPr>
              <w:t>4000</w:t>
            </w:r>
          </w:p>
        </w:tc>
        <w:tc>
          <w:tcPr>
            <w:tcW w:w="1550" w:type="dxa"/>
            <w:noWrap/>
            <w:vAlign w:val="center"/>
          </w:tcPr>
          <w:p>
            <w:pPr>
              <w:widowControl/>
              <w:jc w:val="center"/>
              <w:rPr>
                <w:kern w:val="0"/>
                <w:sz w:val="21"/>
                <w:szCs w:val="21"/>
              </w:rPr>
            </w:pPr>
            <w:r>
              <w:rPr>
                <w:kern w:val="0"/>
                <w:sz w:val="21"/>
                <w:szCs w:val="21"/>
              </w:rPr>
              <w:t>6</w:t>
            </w:r>
          </w:p>
        </w:tc>
        <w:tc>
          <w:tcPr>
            <w:tcW w:w="1897" w:type="dxa"/>
            <w:vAlign w:val="center"/>
          </w:tcPr>
          <w:p>
            <w:pPr>
              <w:widowControl/>
              <w:jc w:val="center"/>
              <w:rPr>
                <w:kern w:val="0"/>
                <w:sz w:val="21"/>
                <w:szCs w:val="21"/>
              </w:rPr>
            </w:pPr>
            <w:r>
              <w:rPr>
                <w:kern w:val="0"/>
                <w:sz w:val="21"/>
                <w:szCs w:val="21"/>
              </w:rPr>
              <w:t>24000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79" w:type="dxa"/>
            <w:noWrap/>
            <w:vAlign w:val="center"/>
          </w:tcPr>
          <w:p>
            <w:pPr>
              <w:widowControl/>
              <w:jc w:val="center"/>
              <w:rPr>
                <w:kern w:val="0"/>
                <w:sz w:val="21"/>
                <w:szCs w:val="21"/>
              </w:rPr>
            </w:pPr>
            <w:r>
              <w:rPr>
                <w:kern w:val="0"/>
                <w:sz w:val="21"/>
                <w:szCs w:val="21"/>
              </w:rPr>
              <w:t>全站仪（南方测绘）</w:t>
            </w:r>
          </w:p>
        </w:tc>
        <w:tc>
          <w:tcPr>
            <w:tcW w:w="1558" w:type="dxa"/>
            <w:noWrap/>
            <w:vAlign w:val="center"/>
          </w:tcPr>
          <w:p>
            <w:pPr>
              <w:widowControl/>
              <w:jc w:val="center"/>
              <w:rPr>
                <w:kern w:val="0"/>
                <w:sz w:val="21"/>
                <w:szCs w:val="21"/>
              </w:rPr>
            </w:pPr>
            <w:r>
              <w:rPr>
                <w:kern w:val="0"/>
                <w:sz w:val="21"/>
                <w:szCs w:val="21"/>
              </w:rPr>
              <w:t>18000</w:t>
            </w:r>
          </w:p>
        </w:tc>
        <w:tc>
          <w:tcPr>
            <w:tcW w:w="1550" w:type="dxa"/>
            <w:noWrap/>
            <w:vAlign w:val="center"/>
          </w:tcPr>
          <w:p>
            <w:pPr>
              <w:widowControl/>
              <w:jc w:val="center"/>
              <w:rPr>
                <w:kern w:val="0"/>
                <w:sz w:val="21"/>
                <w:szCs w:val="21"/>
              </w:rPr>
            </w:pPr>
            <w:r>
              <w:rPr>
                <w:kern w:val="0"/>
                <w:sz w:val="21"/>
                <w:szCs w:val="21"/>
              </w:rPr>
              <w:t>5</w:t>
            </w:r>
          </w:p>
        </w:tc>
        <w:tc>
          <w:tcPr>
            <w:tcW w:w="1897" w:type="dxa"/>
            <w:vAlign w:val="center"/>
          </w:tcPr>
          <w:p>
            <w:pPr>
              <w:widowControl/>
              <w:jc w:val="center"/>
              <w:rPr>
                <w:kern w:val="0"/>
                <w:sz w:val="21"/>
                <w:szCs w:val="21"/>
              </w:rPr>
            </w:pPr>
            <w:r>
              <w:rPr>
                <w:kern w:val="0"/>
                <w:sz w:val="21"/>
                <w:szCs w:val="21"/>
              </w:rPr>
              <w:t>90000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79" w:type="dxa"/>
            <w:noWrap/>
            <w:vAlign w:val="center"/>
          </w:tcPr>
          <w:p>
            <w:pPr>
              <w:widowControl/>
              <w:jc w:val="center"/>
              <w:rPr>
                <w:kern w:val="0"/>
                <w:sz w:val="21"/>
                <w:szCs w:val="21"/>
              </w:rPr>
            </w:pPr>
            <w:r>
              <w:rPr>
                <w:kern w:val="0"/>
                <w:sz w:val="21"/>
                <w:szCs w:val="21"/>
              </w:rPr>
              <w:t>电子水准仪</w:t>
            </w:r>
          </w:p>
        </w:tc>
        <w:tc>
          <w:tcPr>
            <w:tcW w:w="1558" w:type="dxa"/>
            <w:noWrap/>
            <w:vAlign w:val="center"/>
          </w:tcPr>
          <w:p>
            <w:pPr>
              <w:widowControl/>
              <w:jc w:val="center"/>
              <w:rPr>
                <w:kern w:val="0"/>
                <w:sz w:val="21"/>
                <w:szCs w:val="21"/>
              </w:rPr>
            </w:pPr>
            <w:r>
              <w:rPr>
                <w:kern w:val="0"/>
                <w:sz w:val="21"/>
                <w:szCs w:val="21"/>
              </w:rPr>
              <w:t>33773.6</w:t>
            </w:r>
          </w:p>
        </w:tc>
        <w:tc>
          <w:tcPr>
            <w:tcW w:w="1550" w:type="dxa"/>
            <w:noWrap/>
            <w:vAlign w:val="center"/>
          </w:tcPr>
          <w:p>
            <w:pPr>
              <w:widowControl/>
              <w:jc w:val="center"/>
              <w:rPr>
                <w:kern w:val="0"/>
                <w:sz w:val="21"/>
                <w:szCs w:val="21"/>
              </w:rPr>
            </w:pPr>
            <w:r>
              <w:rPr>
                <w:kern w:val="0"/>
                <w:sz w:val="21"/>
                <w:szCs w:val="21"/>
              </w:rPr>
              <w:t>5</w:t>
            </w:r>
          </w:p>
        </w:tc>
        <w:tc>
          <w:tcPr>
            <w:tcW w:w="1897" w:type="dxa"/>
            <w:vAlign w:val="center"/>
          </w:tcPr>
          <w:p>
            <w:pPr>
              <w:widowControl/>
              <w:jc w:val="center"/>
              <w:rPr>
                <w:kern w:val="0"/>
                <w:sz w:val="21"/>
                <w:szCs w:val="21"/>
              </w:rPr>
            </w:pPr>
            <w:r>
              <w:rPr>
                <w:kern w:val="0"/>
                <w:sz w:val="21"/>
                <w:szCs w:val="21"/>
              </w:rPr>
              <w:t>168868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79" w:type="dxa"/>
            <w:noWrap/>
            <w:vAlign w:val="center"/>
          </w:tcPr>
          <w:p>
            <w:pPr>
              <w:widowControl/>
              <w:jc w:val="center"/>
              <w:rPr>
                <w:kern w:val="0"/>
                <w:sz w:val="21"/>
                <w:szCs w:val="21"/>
              </w:rPr>
            </w:pPr>
            <w:r>
              <w:rPr>
                <w:kern w:val="0"/>
                <w:sz w:val="21"/>
                <w:szCs w:val="21"/>
              </w:rPr>
              <w:t>电子水准仪</w:t>
            </w:r>
          </w:p>
        </w:tc>
        <w:tc>
          <w:tcPr>
            <w:tcW w:w="1558" w:type="dxa"/>
            <w:noWrap/>
            <w:vAlign w:val="center"/>
          </w:tcPr>
          <w:p>
            <w:pPr>
              <w:widowControl/>
              <w:jc w:val="center"/>
              <w:rPr>
                <w:kern w:val="0"/>
                <w:sz w:val="21"/>
                <w:szCs w:val="21"/>
              </w:rPr>
            </w:pPr>
            <w:r>
              <w:rPr>
                <w:kern w:val="0"/>
                <w:sz w:val="21"/>
                <w:szCs w:val="21"/>
              </w:rPr>
              <w:t>33540</w:t>
            </w:r>
          </w:p>
        </w:tc>
        <w:tc>
          <w:tcPr>
            <w:tcW w:w="1550" w:type="dxa"/>
            <w:noWrap/>
            <w:vAlign w:val="center"/>
          </w:tcPr>
          <w:p>
            <w:pPr>
              <w:widowControl/>
              <w:jc w:val="center"/>
              <w:rPr>
                <w:kern w:val="0"/>
                <w:sz w:val="21"/>
                <w:szCs w:val="21"/>
              </w:rPr>
            </w:pPr>
            <w:r>
              <w:rPr>
                <w:kern w:val="0"/>
                <w:sz w:val="21"/>
                <w:szCs w:val="21"/>
              </w:rPr>
              <w:t>4</w:t>
            </w:r>
          </w:p>
        </w:tc>
        <w:tc>
          <w:tcPr>
            <w:tcW w:w="1897" w:type="dxa"/>
            <w:vAlign w:val="center"/>
          </w:tcPr>
          <w:p>
            <w:pPr>
              <w:widowControl/>
              <w:jc w:val="center"/>
              <w:rPr>
                <w:kern w:val="0"/>
                <w:sz w:val="21"/>
                <w:szCs w:val="21"/>
              </w:rPr>
            </w:pPr>
            <w:r>
              <w:rPr>
                <w:kern w:val="0"/>
                <w:sz w:val="21"/>
                <w:szCs w:val="21"/>
              </w:rPr>
              <w:t>134160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7" w:hRule="atLeast"/>
          <w:jc w:val="center"/>
        </w:trPr>
        <w:tc>
          <w:tcPr>
            <w:tcW w:w="2579" w:type="dxa"/>
            <w:noWrap/>
            <w:vAlign w:val="center"/>
          </w:tcPr>
          <w:p>
            <w:pPr>
              <w:widowControl/>
              <w:jc w:val="center"/>
              <w:rPr>
                <w:kern w:val="0"/>
                <w:sz w:val="21"/>
                <w:szCs w:val="21"/>
              </w:rPr>
            </w:pPr>
            <w:r>
              <w:rPr>
                <w:kern w:val="0"/>
                <w:sz w:val="21"/>
                <w:szCs w:val="21"/>
              </w:rPr>
              <w:t>精密水准仪</w:t>
            </w:r>
          </w:p>
        </w:tc>
        <w:tc>
          <w:tcPr>
            <w:tcW w:w="1558" w:type="dxa"/>
            <w:noWrap/>
            <w:vAlign w:val="center"/>
          </w:tcPr>
          <w:p>
            <w:pPr>
              <w:widowControl/>
              <w:jc w:val="center"/>
              <w:rPr>
                <w:kern w:val="0"/>
                <w:sz w:val="21"/>
                <w:szCs w:val="21"/>
              </w:rPr>
            </w:pPr>
            <w:r>
              <w:rPr>
                <w:kern w:val="0"/>
                <w:sz w:val="21"/>
                <w:szCs w:val="21"/>
              </w:rPr>
              <w:t>7000</w:t>
            </w:r>
          </w:p>
        </w:tc>
        <w:tc>
          <w:tcPr>
            <w:tcW w:w="1550" w:type="dxa"/>
            <w:noWrap/>
            <w:vAlign w:val="center"/>
          </w:tcPr>
          <w:p>
            <w:pPr>
              <w:widowControl/>
              <w:jc w:val="center"/>
              <w:rPr>
                <w:kern w:val="0"/>
                <w:sz w:val="21"/>
                <w:szCs w:val="21"/>
              </w:rPr>
            </w:pPr>
            <w:r>
              <w:rPr>
                <w:kern w:val="0"/>
                <w:sz w:val="21"/>
                <w:szCs w:val="21"/>
              </w:rPr>
              <w:t>9</w:t>
            </w:r>
          </w:p>
        </w:tc>
        <w:tc>
          <w:tcPr>
            <w:tcW w:w="1897" w:type="dxa"/>
            <w:vAlign w:val="center"/>
          </w:tcPr>
          <w:p>
            <w:pPr>
              <w:widowControl/>
              <w:jc w:val="center"/>
              <w:rPr>
                <w:kern w:val="0"/>
                <w:sz w:val="21"/>
                <w:szCs w:val="21"/>
              </w:rPr>
            </w:pPr>
            <w:r>
              <w:rPr>
                <w:kern w:val="0"/>
                <w:sz w:val="21"/>
                <w:szCs w:val="21"/>
              </w:rPr>
              <w:t>63000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79" w:type="dxa"/>
            <w:noWrap/>
            <w:vAlign w:val="center"/>
          </w:tcPr>
          <w:p>
            <w:pPr>
              <w:widowControl/>
              <w:jc w:val="center"/>
              <w:rPr>
                <w:kern w:val="0"/>
                <w:sz w:val="21"/>
                <w:szCs w:val="21"/>
              </w:rPr>
            </w:pPr>
            <w:r>
              <w:rPr>
                <w:kern w:val="0"/>
                <w:sz w:val="21"/>
                <w:szCs w:val="21"/>
              </w:rPr>
              <w:t>精密水准仪</w:t>
            </w:r>
          </w:p>
        </w:tc>
        <w:tc>
          <w:tcPr>
            <w:tcW w:w="1558" w:type="dxa"/>
            <w:noWrap/>
            <w:vAlign w:val="center"/>
          </w:tcPr>
          <w:p>
            <w:pPr>
              <w:widowControl/>
              <w:jc w:val="center"/>
              <w:rPr>
                <w:kern w:val="0"/>
                <w:sz w:val="21"/>
                <w:szCs w:val="21"/>
              </w:rPr>
            </w:pPr>
            <w:r>
              <w:rPr>
                <w:kern w:val="0"/>
                <w:sz w:val="21"/>
                <w:szCs w:val="21"/>
              </w:rPr>
              <w:t>6800</w:t>
            </w:r>
          </w:p>
        </w:tc>
        <w:tc>
          <w:tcPr>
            <w:tcW w:w="1550" w:type="dxa"/>
            <w:noWrap/>
            <w:vAlign w:val="center"/>
          </w:tcPr>
          <w:p>
            <w:pPr>
              <w:widowControl/>
              <w:jc w:val="center"/>
              <w:rPr>
                <w:kern w:val="0"/>
                <w:sz w:val="21"/>
                <w:szCs w:val="21"/>
              </w:rPr>
            </w:pPr>
            <w:r>
              <w:rPr>
                <w:kern w:val="0"/>
                <w:sz w:val="21"/>
                <w:szCs w:val="21"/>
              </w:rPr>
              <w:t>10</w:t>
            </w:r>
          </w:p>
        </w:tc>
        <w:tc>
          <w:tcPr>
            <w:tcW w:w="1897" w:type="dxa"/>
            <w:vAlign w:val="center"/>
          </w:tcPr>
          <w:p>
            <w:pPr>
              <w:widowControl/>
              <w:jc w:val="center"/>
              <w:rPr>
                <w:kern w:val="0"/>
                <w:sz w:val="21"/>
                <w:szCs w:val="21"/>
              </w:rPr>
            </w:pPr>
            <w:r>
              <w:rPr>
                <w:kern w:val="0"/>
                <w:sz w:val="21"/>
                <w:szCs w:val="21"/>
              </w:rPr>
              <w:t>68000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79" w:type="dxa"/>
            <w:noWrap/>
            <w:vAlign w:val="center"/>
          </w:tcPr>
          <w:p>
            <w:pPr>
              <w:spacing w:line="500" w:lineRule="exact"/>
              <w:rPr>
                <w:kern w:val="0"/>
                <w:sz w:val="21"/>
                <w:szCs w:val="21"/>
              </w:rPr>
            </w:pPr>
            <w:r>
              <w:rPr>
                <w:kern w:val="0"/>
                <w:sz w:val="21"/>
                <w:szCs w:val="21"/>
              </w:rPr>
              <w:t>多星卫星定位接收机</w:t>
            </w:r>
          </w:p>
        </w:tc>
        <w:tc>
          <w:tcPr>
            <w:tcW w:w="1558" w:type="dxa"/>
            <w:noWrap/>
            <w:vAlign w:val="center"/>
          </w:tcPr>
          <w:p>
            <w:pPr>
              <w:widowControl/>
              <w:jc w:val="center"/>
              <w:rPr>
                <w:kern w:val="0"/>
                <w:sz w:val="21"/>
                <w:szCs w:val="21"/>
              </w:rPr>
            </w:pPr>
            <w:r>
              <w:rPr>
                <w:kern w:val="0"/>
                <w:sz w:val="21"/>
                <w:szCs w:val="21"/>
              </w:rPr>
              <w:t>24925</w:t>
            </w:r>
          </w:p>
        </w:tc>
        <w:tc>
          <w:tcPr>
            <w:tcW w:w="1550" w:type="dxa"/>
            <w:noWrap/>
            <w:vAlign w:val="center"/>
          </w:tcPr>
          <w:p>
            <w:pPr>
              <w:widowControl/>
              <w:jc w:val="center"/>
              <w:rPr>
                <w:kern w:val="0"/>
                <w:sz w:val="21"/>
                <w:szCs w:val="21"/>
              </w:rPr>
            </w:pPr>
            <w:r>
              <w:rPr>
                <w:kern w:val="0"/>
                <w:sz w:val="21"/>
                <w:szCs w:val="21"/>
              </w:rPr>
              <w:t>12</w:t>
            </w:r>
          </w:p>
        </w:tc>
        <w:tc>
          <w:tcPr>
            <w:tcW w:w="1897" w:type="dxa"/>
            <w:vAlign w:val="center"/>
          </w:tcPr>
          <w:p>
            <w:pPr>
              <w:widowControl/>
              <w:jc w:val="center"/>
              <w:rPr>
                <w:kern w:val="0"/>
                <w:sz w:val="21"/>
                <w:szCs w:val="21"/>
              </w:rPr>
            </w:pPr>
            <w:r>
              <w:rPr>
                <w:rFonts w:eastAsia="仿宋_GB2312"/>
                <w:sz w:val="21"/>
                <w:szCs w:val="21"/>
              </w:rPr>
              <w:t>299100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79" w:type="dxa"/>
            <w:noWrap/>
            <w:vAlign w:val="center"/>
          </w:tcPr>
          <w:p>
            <w:pPr>
              <w:spacing w:line="500" w:lineRule="exact"/>
              <w:rPr>
                <w:kern w:val="0"/>
                <w:sz w:val="21"/>
                <w:szCs w:val="21"/>
              </w:rPr>
            </w:pPr>
            <w:r>
              <w:rPr>
                <w:kern w:val="0"/>
                <w:sz w:val="21"/>
                <w:szCs w:val="21"/>
              </w:rPr>
              <w:t>常规彩屏全站仪等</w:t>
            </w:r>
          </w:p>
        </w:tc>
        <w:tc>
          <w:tcPr>
            <w:tcW w:w="1558" w:type="dxa"/>
            <w:noWrap/>
            <w:vAlign w:val="center"/>
          </w:tcPr>
          <w:p>
            <w:pPr>
              <w:widowControl/>
              <w:jc w:val="center"/>
              <w:rPr>
                <w:kern w:val="0"/>
                <w:sz w:val="21"/>
                <w:szCs w:val="21"/>
              </w:rPr>
            </w:pPr>
            <w:r>
              <w:rPr>
                <w:kern w:val="0"/>
                <w:sz w:val="21"/>
                <w:szCs w:val="21"/>
              </w:rPr>
              <w:t>8325</w:t>
            </w:r>
          </w:p>
        </w:tc>
        <w:tc>
          <w:tcPr>
            <w:tcW w:w="1550" w:type="dxa"/>
            <w:noWrap/>
            <w:vAlign w:val="center"/>
          </w:tcPr>
          <w:p>
            <w:pPr>
              <w:widowControl/>
              <w:jc w:val="center"/>
              <w:rPr>
                <w:kern w:val="0"/>
                <w:sz w:val="21"/>
                <w:szCs w:val="21"/>
              </w:rPr>
            </w:pPr>
            <w:r>
              <w:rPr>
                <w:kern w:val="0"/>
                <w:sz w:val="21"/>
                <w:szCs w:val="21"/>
              </w:rPr>
              <w:t>12</w:t>
            </w:r>
          </w:p>
        </w:tc>
        <w:tc>
          <w:tcPr>
            <w:tcW w:w="1897" w:type="dxa"/>
            <w:vAlign w:val="center"/>
          </w:tcPr>
          <w:p>
            <w:pPr>
              <w:widowControl/>
              <w:jc w:val="center"/>
              <w:rPr>
                <w:rFonts w:eastAsia="仿宋_GB2312"/>
                <w:sz w:val="21"/>
                <w:szCs w:val="21"/>
              </w:rPr>
            </w:pPr>
            <w:r>
              <w:rPr>
                <w:rFonts w:eastAsia="仿宋_GB2312"/>
                <w:sz w:val="21"/>
                <w:szCs w:val="21"/>
              </w:rPr>
              <w:t>99900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79" w:type="dxa"/>
            <w:noWrap/>
            <w:vAlign w:val="center"/>
          </w:tcPr>
          <w:p>
            <w:pPr>
              <w:widowControl/>
              <w:jc w:val="center"/>
              <w:rPr>
                <w:kern w:val="0"/>
                <w:sz w:val="21"/>
                <w:szCs w:val="21"/>
              </w:rPr>
            </w:pPr>
            <w:r>
              <w:rPr>
                <w:kern w:val="0"/>
                <w:sz w:val="21"/>
                <w:szCs w:val="21"/>
              </w:rPr>
              <w:t>便携式高光谱成像仪</w:t>
            </w:r>
          </w:p>
        </w:tc>
        <w:tc>
          <w:tcPr>
            <w:tcW w:w="1558" w:type="dxa"/>
            <w:noWrap/>
            <w:vAlign w:val="center"/>
          </w:tcPr>
          <w:p>
            <w:pPr>
              <w:widowControl/>
              <w:jc w:val="center"/>
              <w:rPr>
                <w:kern w:val="0"/>
                <w:sz w:val="21"/>
                <w:szCs w:val="21"/>
              </w:rPr>
            </w:pPr>
            <w:r>
              <w:rPr>
                <w:rFonts w:eastAsia="仿宋_GB2312"/>
                <w:sz w:val="21"/>
                <w:szCs w:val="21"/>
              </w:rPr>
              <w:t>398820</w:t>
            </w:r>
          </w:p>
        </w:tc>
        <w:tc>
          <w:tcPr>
            <w:tcW w:w="1550" w:type="dxa"/>
            <w:noWrap/>
            <w:vAlign w:val="center"/>
          </w:tcPr>
          <w:p>
            <w:pPr>
              <w:widowControl/>
              <w:jc w:val="center"/>
              <w:rPr>
                <w:kern w:val="0"/>
                <w:sz w:val="21"/>
                <w:szCs w:val="21"/>
              </w:rPr>
            </w:pPr>
            <w:r>
              <w:rPr>
                <w:kern w:val="0"/>
                <w:sz w:val="21"/>
                <w:szCs w:val="21"/>
              </w:rPr>
              <w:t>1</w:t>
            </w:r>
          </w:p>
        </w:tc>
        <w:tc>
          <w:tcPr>
            <w:tcW w:w="1897" w:type="dxa"/>
            <w:vAlign w:val="center"/>
          </w:tcPr>
          <w:p>
            <w:pPr>
              <w:widowControl/>
              <w:jc w:val="center"/>
              <w:rPr>
                <w:kern w:val="0"/>
                <w:sz w:val="21"/>
                <w:szCs w:val="21"/>
              </w:rPr>
            </w:pPr>
            <w:r>
              <w:rPr>
                <w:rFonts w:eastAsia="仿宋_GB2312"/>
                <w:sz w:val="21"/>
                <w:szCs w:val="21"/>
              </w:rPr>
              <w:t>398820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79" w:type="dxa"/>
            <w:noWrap/>
            <w:vAlign w:val="center"/>
          </w:tcPr>
          <w:p>
            <w:pPr>
              <w:widowControl/>
              <w:jc w:val="center"/>
              <w:rPr>
                <w:kern w:val="0"/>
                <w:sz w:val="21"/>
                <w:szCs w:val="21"/>
              </w:rPr>
            </w:pPr>
            <w:r>
              <w:rPr>
                <w:kern w:val="0"/>
                <w:sz w:val="21"/>
                <w:szCs w:val="21"/>
              </w:rPr>
              <w:t>旋翼无人机</w:t>
            </w:r>
          </w:p>
        </w:tc>
        <w:tc>
          <w:tcPr>
            <w:tcW w:w="1558" w:type="dxa"/>
            <w:noWrap/>
            <w:vAlign w:val="center"/>
          </w:tcPr>
          <w:p>
            <w:pPr>
              <w:widowControl/>
              <w:jc w:val="center"/>
              <w:rPr>
                <w:kern w:val="0"/>
                <w:sz w:val="21"/>
                <w:szCs w:val="21"/>
              </w:rPr>
            </w:pPr>
            <w:r>
              <w:rPr>
                <w:rFonts w:eastAsia="仿宋_GB2312"/>
                <w:sz w:val="21"/>
                <w:szCs w:val="21"/>
              </w:rPr>
              <w:t>289200</w:t>
            </w:r>
          </w:p>
        </w:tc>
        <w:tc>
          <w:tcPr>
            <w:tcW w:w="1550" w:type="dxa"/>
            <w:noWrap/>
            <w:vAlign w:val="center"/>
          </w:tcPr>
          <w:p>
            <w:pPr>
              <w:widowControl/>
              <w:jc w:val="center"/>
              <w:rPr>
                <w:kern w:val="0"/>
                <w:sz w:val="21"/>
                <w:szCs w:val="21"/>
              </w:rPr>
            </w:pPr>
            <w:r>
              <w:rPr>
                <w:kern w:val="0"/>
                <w:sz w:val="21"/>
                <w:szCs w:val="21"/>
              </w:rPr>
              <w:t>1</w:t>
            </w:r>
          </w:p>
        </w:tc>
        <w:tc>
          <w:tcPr>
            <w:tcW w:w="1897" w:type="dxa"/>
            <w:vAlign w:val="center"/>
          </w:tcPr>
          <w:p>
            <w:pPr>
              <w:widowControl/>
              <w:jc w:val="center"/>
              <w:rPr>
                <w:kern w:val="0"/>
                <w:sz w:val="21"/>
                <w:szCs w:val="21"/>
              </w:rPr>
            </w:pPr>
            <w:r>
              <w:rPr>
                <w:rFonts w:eastAsia="仿宋_GB2312"/>
                <w:sz w:val="21"/>
                <w:szCs w:val="21"/>
              </w:rPr>
              <w:t>289200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79" w:type="dxa"/>
            <w:noWrap/>
            <w:vAlign w:val="center"/>
          </w:tcPr>
          <w:p>
            <w:pPr>
              <w:widowControl/>
              <w:jc w:val="center"/>
              <w:rPr>
                <w:kern w:val="0"/>
                <w:sz w:val="21"/>
                <w:szCs w:val="21"/>
              </w:rPr>
            </w:pPr>
            <w:r>
              <w:rPr>
                <w:kern w:val="0"/>
                <w:sz w:val="21"/>
                <w:szCs w:val="21"/>
              </w:rPr>
              <w:t>数字摄影测量工作站</w:t>
            </w:r>
          </w:p>
        </w:tc>
        <w:tc>
          <w:tcPr>
            <w:tcW w:w="1558" w:type="dxa"/>
            <w:noWrap/>
            <w:vAlign w:val="center"/>
          </w:tcPr>
          <w:p>
            <w:pPr>
              <w:widowControl/>
              <w:jc w:val="center"/>
              <w:rPr>
                <w:kern w:val="0"/>
                <w:sz w:val="21"/>
                <w:szCs w:val="21"/>
              </w:rPr>
            </w:pPr>
            <w:r>
              <w:rPr>
                <w:kern w:val="0"/>
                <w:sz w:val="21"/>
                <w:szCs w:val="21"/>
              </w:rPr>
              <w:t>896400</w:t>
            </w:r>
          </w:p>
        </w:tc>
        <w:tc>
          <w:tcPr>
            <w:tcW w:w="1550" w:type="dxa"/>
            <w:noWrap/>
            <w:vAlign w:val="center"/>
          </w:tcPr>
          <w:p>
            <w:pPr>
              <w:widowControl/>
              <w:jc w:val="center"/>
              <w:rPr>
                <w:kern w:val="0"/>
                <w:sz w:val="21"/>
                <w:szCs w:val="21"/>
              </w:rPr>
            </w:pPr>
            <w:r>
              <w:rPr>
                <w:kern w:val="0"/>
                <w:sz w:val="21"/>
                <w:szCs w:val="21"/>
              </w:rPr>
              <w:t>60</w:t>
            </w:r>
          </w:p>
        </w:tc>
        <w:tc>
          <w:tcPr>
            <w:tcW w:w="1897" w:type="dxa"/>
            <w:vAlign w:val="center"/>
          </w:tcPr>
          <w:p>
            <w:pPr>
              <w:widowControl/>
              <w:jc w:val="center"/>
              <w:rPr>
                <w:kern w:val="0"/>
                <w:sz w:val="21"/>
                <w:szCs w:val="21"/>
              </w:rPr>
            </w:pPr>
            <w:r>
              <w:rPr>
                <w:kern w:val="0"/>
                <w:sz w:val="21"/>
                <w:szCs w:val="21"/>
              </w:rPr>
              <w:t>896400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79" w:type="dxa"/>
            <w:noWrap/>
            <w:vAlign w:val="center"/>
          </w:tcPr>
          <w:p>
            <w:pPr>
              <w:widowControl/>
              <w:jc w:val="center"/>
              <w:rPr>
                <w:kern w:val="0"/>
                <w:sz w:val="21"/>
                <w:szCs w:val="21"/>
              </w:rPr>
            </w:pPr>
          </w:p>
        </w:tc>
        <w:tc>
          <w:tcPr>
            <w:tcW w:w="1558" w:type="dxa"/>
            <w:noWrap/>
            <w:vAlign w:val="center"/>
          </w:tcPr>
          <w:p>
            <w:pPr>
              <w:widowControl/>
              <w:jc w:val="center"/>
              <w:rPr>
                <w:kern w:val="0"/>
                <w:sz w:val="21"/>
                <w:szCs w:val="21"/>
              </w:rPr>
            </w:pPr>
          </w:p>
        </w:tc>
        <w:tc>
          <w:tcPr>
            <w:tcW w:w="1550" w:type="dxa"/>
            <w:noWrap/>
            <w:vAlign w:val="center"/>
          </w:tcPr>
          <w:p>
            <w:pPr>
              <w:widowControl/>
              <w:jc w:val="center"/>
              <w:rPr>
                <w:kern w:val="0"/>
                <w:sz w:val="21"/>
                <w:szCs w:val="21"/>
              </w:rPr>
            </w:pPr>
          </w:p>
        </w:tc>
        <w:tc>
          <w:tcPr>
            <w:tcW w:w="1897" w:type="dxa"/>
            <w:vAlign w:val="center"/>
          </w:tcPr>
          <w:p>
            <w:pPr>
              <w:widowControl/>
              <w:jc w:val="center"/>
              <w:rPr>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79" w:type="dxa"/>
            <w:noWrap/>
            <w:vAlign w:val="center"/>
          </w:tcPr>
          <w:p>
            <w:pPr>
              <w:widowControl/>
              <w:jc w:val="center"/>
              <w:rPr>
                <w:kern w:val="0"/>
                <w:sz w:val="21"/>
                <w:szCs w:val="21"/>
              </w:rPr>
            </w:pPr>
            <w:r>
              <w:rPr>
                <w:kern w:val="0"/>
                <w:sz w:val="21"/>
                <w:szCs w:val="21"/>
              </w:rPr>
              <w:t>总计</w:t>
            </w:r>
          </w:p>
        </w:tc>
        <w:tc>
          <w:tcPr>
            <w:tcW w:w="1558" w:type="dxa"/>
            <w:noWrap/>
            <w:vAlign w:val="center"/>
          </w:tcPr>
          <w:p>
            <w:pPr>
              <w:widowControl/>
              <w:jc w:val="center"/>
              <w:rPr>
                <w:kern w:val="0"/>
                <w:sz w:val="21"/>
                <w:szCs w:val="21"/>
              </w:rPr>
            </w:pPr>
          </w:p>
        </w:tc>
        <w:tc>
          <w:tcPr>
            <w:tcW w:w="1550" w:type="dxa"/>
            <w:noWrap/>
            <w:vAlign w:val="center"/>
          </w:tcPr>
          <w:p>
            <w:pPr>
              <w:widowControl/>
              <w:jc w:val="center"/>
              <w:rPr>
                <w:kern w:val="0"/>
                <w:sz w:val="21"/>
                <w:szCs w:val="21"/>
              </w:rPr>
            </w:pPr>
          </w:p>
        </w:tc>
        <w:tc>
          <w:tcPr>
            <w:tcW w:w="1897" w:type="dxa"/>
            <w:vAlign w:val="center"/>
          </w:tcPr>
          <w:p>
            <w:pPr>
              <w:widowControl/>
              <w:jc w:val="center"/>
              <w:rPr>
                <w:kern w:val="0"/>
                <w:sz w:val="21"/>
                <w:szCs w:val="21"/>
              </w:rPr>
            </w:pPr>
            <w:r>
              <w:rPr>
                <w:kern w:val="0"/>
                <w:sz w:val="21"/>
                <w:szCs w:val="21"/>
              </w:rPr>
              <w:t>3148524</w:t>
            </w:r>
          </w:p>
        </w:tc>
      </w:tr>
    </w:tbl>
    <w:p/>
    <w:p>
      <w:pPr>
        <w:pStyle w:val="45"/>
        <w:ind w:firstLine="480"/>
        <w:rPr>
          <w:rFonts w:ascii="Times New Roman" w:hAnsi="Times New Roman"/>
        </w:rPr>
      </w:pPr>
      <w:r>
        <w:rPr>
          <w:rFonts w:ascii="Times New Roman" w:hAnsi="Times New Roman"/>
        </w:rPr>
        <w:t>3.教学实习基地</w:t>
      </w:r>
    </w:p>
    <w:p>
      <w:pPr>
        <w:ind w:firstLine="480" w:firstLineChars="200"/>
        <w:rPr>
          <w:szCs w:val="24"/>
        </w:rPr>
      </w:pPr>
      <w:r>
        <w:rPr>
          <w:szCs w:val="24"/>
        </w:rPr>
        <w:t>遥感专业与测绘工程专业等共同建设有3个校内实践教学基地、13个校外实践教学基地（见表2），基本满足专业教学需求。</w:t>
      </w:r>
    </w:p>
    <w:p>
      <w:pPr>
        <w:snapToGrid w:val="0"/>
        <w:spacing w:line="360" w:lineRule="auto"/>
        <w:jc w:val="center"/>
        <w:rPr>
          <w:b/>
          <w:sz w:val="21"/>
          <w:szCs w:val="21"/>
        </w:rPr>
      </w:pPr>
      <w:r>
        <w:rPr>
          <w:b/>
          <w:sz w:val="21"/>
          <w:szCs w:val="21"/>
        </w:rPr>
        <w:t>表2  教学实习基地一览表</w:t>
      </w:r>
    </w:p>
    <w:tbl>
      <w:tblPr>
        <w:tblStyle w:val="17"/>
        <w:tblW w:w="88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83"/>
        <w:gridCol w:w="3746"/>
        <w:gridCol w:w="1077"/>
        <w:gridCol w:w="1176"/>
        <w:gridCol w:w="1139"/>
        <w:gridCol w:w="9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blHeader/>
          <w:jc w:val="center"/>
        </w:trPr>
        <w:tc>
          <w:tcPr>
            <w:tcW w:w="783" w:type="dxa"/>
            <w:vMerge w:val="restart"/>
            <w:tcBorders>
              <w:top w:val="single" w:color="auto" w:sz="4" w:space="0"/>
              <w:left w:val="single" w:color="auto" w:sz="4" w:space="0"/>
              <w:bottom w:val="single" w:color="auto" w:sz="4" w:space="0"/>
              <w:right w:val="single" w:color="auto" w:sz="4" w:space="0"/>
            </w:tcBorders>
            <w:noWrap/>
            <w:vAlign w:val="center"/>
          </w:tcPr>
          <w:p>
            <w:pPr>
              <w:jc w:val="center"/>
              <w:rPr>
                <w:b/>
                <w:sz w:val="21"/>
                <w:szCs w:val="21"/>
              </w:rPr>
            </w:pPr>
            <w:r>
              <w:rPr>
                <w:b/>
                <w:kern w:val="0"/>
                <w:sz w:val="21"/>
                <w:szCs w:val="21"/>
              </w:rPr>
              <w:t>序号</w:t>
            </w:r>
          </w:p>
        </w:tc>
        <w:tc>
          <w:tcPr>
            <w:tcW w:w="3746" w:type="dxa"/>
            <w:vMerge w:val="restart"/>
            <w:tcBorders>
              <w:top w:val="single" w:color="auto" w:sz="4" w:space="0"/>
              <w:left w:val="single" w:color="auto" w:sz="4" w:space="0"/>
              <w:bottom w:val="single" w:color="auto" w:sz="4" w:space="0"/>
              <w:right w:val="single" w:color="auto" w:sz="4" w:space="0"/>
            </w:tcBorders>
            <w:vAlign w:val="center"/>
          </w:tcPr>
          <w:p>
            <w:pPr>
              <w:jc w:val="center"/>
              <w:rPr>
                <w:b/>
                <w:sz w:val="21"/>
                <w:szCs w:val="21"/>
              </w:rPr>
            </w:pPr>
            <w:r>
              <w:rPr>
                <w:b/>
                <w:kern w:val="0"/>
                <w:sz w:val="21"/>
                <w:szCs w:val="21"/>
              </w:rPr>
              <w:t>基地依托单位名称</w:t>
            </w:r>
          </w:p>
        </w:tc>
        <w:tc>
          <w:tcPr>
            <w:tcW w:w="1077" w:type="dxa"/>
            <w:vMerge w:val="restart"/>
            <w:tcBorders>
              <w:top w:val="single" w:color="auto" w:sz="4" w:space="0"/>
              <w:left w:val="single" w:color="auto" w:sz="4" w:space="0"/>
              <w:bottom w:val="single" w:color="auto" w:sz="4" w:space="0"/>
              <w:right w:val="single" w:color="auto" w:sz="4" w:space="0"/>
            </w:tcBorders>
            <w:vAlign w:val="center"/>
          </w:tcPr>
          <w:p>
            <w:pPr>
              <w:jc w:val="center"/>
              <w:rPr>
                <w:b/>
                <w:sz w:val="21"/>
                <w:szCs w:val="21"/>
              </w:rPr>
            </w:pPr>
            <w:r>
              <w:rPr>
                <w:b/>
                <w:sz w:val="21"/>
                <w:szCs w:val="21"/>
              </w:rPr>
              <w:t>建立时间</w:t>
            </w:r>
          </w:p>
        </w:tc>
        <w:tc>
          <w:tcPr>
            <w:tcW w:w="3290" w:type="dxa"/>
            <w:gridSpan w:val="3"/>
            <w:tcBorders>
              <w:top w:val="single" w:color="auto" w:sz="4" w:space="0"/>
              <w:left w:val="single" w:color="auto" w:sz="4" w:space="0"/>
              <w:bottom w:val="single" w:color="auto" w:sz="4" w:space="0"/>
              <w:right w:val="single" w:color="auto" w:sz="4" w:space="0"/>
            </w:tcBorders>
            <w:vAlign w:val="center"/>
          </w:tcPr>
          <w:p>
            <w:pPr>
              <w:jc w:val="center"/>
              <w:rPr>
                <w:b/>
                <w:sz w:val="21"/>
                <w:szCs w:val="21"/>
              </w:rPr>
            </w:pPr>
            <w:r>
              <w:rPr>
                <w:b/>
                <w:sz w:val="21"/>
                <w:szCs w:val="21"/>
              </w:rPr>
              <w:t>基地类别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3"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b/>
                <w:sz w:val="21"/>
                <w:szCs w:val="21"/>
              </w:rPr>
            </w:pPr>
          </w:p>
        </w:tc>
        <w:tc>
          <w:tcPr>
            <w:tcW w:w="3746"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b/>
                <w:sz w:val="21"/>
                <w:szCs w:val="21"/>
              </w:rPr>
            </w:pPr>
          </w:p>
        </w:tc>
        <w:tc>
          <w:tcPr>
            <w:tcW w:w="107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b/>
                <w:sz w:val="21"/>
                <w:szCs w:val="21"/>
              </w:rPr>
            </w:pPr>
          </w:p>
        </w:tc>
        <w:tc>
          <w:tcPr>
            <w:tcW w:w="1176" w:type="dxa"/>
            <w:tcBorders>
              <w:top w:val="single" w:color="auto" w:sz="4" w:space="0"/>
              <w:left w:val="single" w:color="auto" w:sz="4" w:space="0"/>
              <w:bottom w:val="single" w:color="auto" w:sz="4" w:space="0"/>
              <w:right w:val="single" w:color="auto" w:sz="4" w:space="0"/>
            </w:tcBorders>
            <w:vAlign w:val="center"/>
          </w:tcPr>
          <w:p>
            <w:pPr>
              <w:jc w:val="center"/>
              <w:rPr>
                <w:b/>
                <w:sz w:val="21"/>
                <w:szCs w:val="21"/>
              </w:rPr>
            </w:pPr>
            <w:r>
              <w:rPr>
                <w:b/>
                <w:sz w:val="21"/>
                <w:szCs w:val="21"/>
              </w:rPr>
              <w:t>校级基地</w:t>
            </w:r>
          </w:p>
        </w:tc>
        <w:tc>
          <w:tcPr>
            <w:tcW w:w="1139" w:type="dxa"/>
            <w:tcBorders>
              <w:top w:val="single" w:color="auto" w:sz="4" w:space="0"/>
              <w:left w:val="single" w:color="auto" w:sz="4" w:space="0"/>
              <w:bottom w:val="single" w:color="auto" w:sz="4" w:space="0"/>
              <w:right w:val="single" w:color="auto" w:sz="4" w:space="0"/>
            </w:tcBorders>
            <w:vAlign w:val="center"/>
          </w:tcPr>
          <w:p>
            <w:pPr>
              <w:jc w:val="center"/>
              <w:rPr>
                <w:b/>
                <w:sz w:val="21"/>
                <w:szCs w:val="21"/>
              </w:rPr>
            </w:pPr>
            <w:r>
              <w:rPr>
                <w:b/>
                <w:sz w:val="21"/>
                <w:szCs w:val="21"/>
              </w:rPr>
              <w:t>院级基地</w:t>
            </w:r>
          </w:p>
        </w:tc>
        <w:tc>
          <w:tcPr>
            <w:tcW w:w="975" w:type="dxa"/>
            <w:tcBorders>
              <w:top w:val="single" w:color="auto" w:sz="4" w:space="0"/>
              <w:left w:val="single" w:color="auto" w:sz="4" w:space="0"/>
              <w:bottom w:val="single" w:color="auto" w:sz="4" w:space="0"/>
              <w:right w:val="single" w:color="auto" w:sz="4" w:space="0"/>
            </w:tcBorders>
            <w:vAlign w:val="center"/>
          </w:tcPr>
          <w:p>
            <w:pPr>
              <w:jc w:val="center"/>
              <w:rPr>
                <w:b/>
                <w:sz w:val="21"/>
                <w:szCs w:val="21"/>
              </w:rPr>
            </w:pPr>
            <w:r>
              <w:rPr>
                <w:b/>
                <w:sz w:val="21"/>
                <w:szCs w:val="21"/>
              </w:rPr>
              <w:t>校内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3" w:type="dxa"/>
            <w:tcBorders>
              <w:top w:val="single" w:color="auto" w:sz="4" w:space="0"/>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1</w:t>
            </w:r>
          </w:p>
        </w:tc>
        <w:tc>
          <w:tcPr>
            <w:tcW w:w="3746" w:type="dxa"/>
            <w:tcBorders>
              <w:top w:val="single" w:color="auto" w:sz="4" w:space="0"/>
              <w:left w:val="single" w:color="auto" w:sz="4" w:space="0"/>
              <w:bottom w:val="single" w:color="auto" w:sz="4" w:space="0"/>
              <w:right w:val="single" w:color="auto" w:sz="4" w:space="0"/>
            </w:tcBorders>
            <w:vAlign w:val="center"/>
          </w:tcPr>
          <w:p>
            <w:pPr>
              <w:widowControl/>
              <w:jc w:val="left"/>
              <w:rPr>
                <w:sz w:val="21"/>
                <w:szCs w:val="21"/>
              </w:rPr>
            </w:pPr>
            <w:r>
              <w:rPr>
                <w:sz w:val="21"/>
                <w:szCs w:val="21"/>
              </w:rPr>
              <w:t>山东同泽地理信息有限公司</w:t>
            </w:r>
          </w:p>
        </w:tc>
        <w:tc>
          <w:tcPr>
            <w:tcW w:w="1077" w:type="dxa"/>
            <w:tcBorders>
              <w:top w:val="single" w:color="auto" w:sz="4" w:space="0"/>
              <w:left w:val="single" w:color="auto" w:sz="4" w:space="0"/>
              <w:bottom w:val="single" w:color="auto" w:sz="4" w:space="0"/>
              <w:right w:val="single" w:color="auto" w:sz="4" w:space="0"/>
            </w:tcBorders>
            <w:vAlign w:val="center"/>
          </w:tcPr>
          <w:p>
            <w:pPr>
              <w:widowControl/>
              <w:jc w:val="center"/>
              <w:rPr>
                <w:sz w:val="21"/>
                <w:szCs w:val="21"/>
              </w:rPr>
            </w:pPr>
            <w:r>
              <w:rPr>
                <w:sz w:val="21"/>
                <w:szCs w:val="21"/>
              </w:rPr>
              <w:t>2021</w:t>
            </w:r>
          </w:p>
        </w:tc>
        <w:tc>
          <w:tcPr>
            <w:tcW w:w="1176" w:type="dxa"/>
            <w:tcBorders>
              <w:top w:val="single" w:color="auto" w:sz="4" w:space="0"/>
              <w:left w:val="single" w:color="auto" w:sz="4" w:space="0"/>
              <w:bottom w:val="single" w:color="auto" w:sz="4" w:space="0"/>
              <w:right w:val="single" w:color="auto" w:sz="4" w:space="0"/>
            </w:tcBorders>
            <w:vAlign w:val="center"/>
          </w:tcPr>
          <w:p>
            <w:pPr>
              <w:jc w:val="center"/>
              <w:rPr>
                <w:b/>
                <w:sz w:val="21"/>
                <w:szCs w:val="21"/>
              </w:rPr>
            </w:pPr>
          </w:p>
        </w:tc>
        <w:tc>
          <w:tcPr>
            <w:tcW w:w="1139"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r>
              <w:rPr>
                <w:sz w:val="21"/>
                <w:szCs w:val="21"/>
              </w:rPr>
              <w:t>√</w:t>
            </w:r>
          </w:p>
        </w:tc>
        <w:tc>
          <w:tcPr>
            <w:tcW w:w="975" w:type="dxa"/>
            <w:tcBorders>
              <w:top w:val="single" w:color="auto" w:sz="4" w:space="0"/>
              <w:left w:val="single" w:color="auto" w:sz="4" w:space="0"/>
              <w:bottom w:val="single" w:color="auto" w:sz="4" w:space="0"/>
              <w:right w:val="single" w:color="auto" w:sz="4" w:space="0"/>
            </w:tcBorders>
            <w:vAlign w:val="center"/>
          </w:tcPr>
          <w:p>
            <w:pPr>
              <w:jc w:val="center"/>
              <w:rPr>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3" w:type="dxa"/>
            <w:tcBorders>
              <w:top w:val="single" w:color="auto" w:sz="4" w:space="0"/>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2</w:t>
            </w:r>
          </w:p>
        </w:tc>
        <w:tc>
          <w:tcPr>
            <w:tcW w:w="3746" w:type="dxa"/>
            <w:tcBorders>
              <w:top w:val="single" w:color="auto" w:sz="4" w:space="0"/>
              <w:left w:val="single" w:color="auto" w:sz="4" w:space="0"/>
              <w:bottom w:val="single" w:color="auto" w:sz="4" w:space="0"/>
              <w:right w:val="single" w:color="auto" w:sz="4" w:space="0"/>
            </w:tcBorders>
            <w:vAlign w:val="center"/>
          </w:tcPr>
          <w:p>
            <w:pPr>
              <w:widowControl/>
              <w:jc w:val="left"/>
              <w:rPr>
                <w:sz w:val="21"/>
                <w:szCs w:val="21"/>
              </w:rPr>
            </w:pPr>
            <w:r>
              <w:rPr>
                <w:sz w:val="21"/>
                <w:szCs w:val="21"/>
              </w:rPr>
              <w:t>济南旌图信息技术有限公司</w:t>
            </w:r>
          </w:p>
        </w:tc>
        <w:tc>
          <w:tcPr>
            <w:tcW w:w="1077" w:type="dxa"/>
            <w:tcBorders>
              <w:top w:val="single" w:color="auto" w:sz="4" w:space="0"/>
              <w:left w:val="single" w:color="auto" w:sz="4" w:space="0"/>
              <w:bottom w:val="single" w:color="auto" w:sz="4" w:space="0"/>
              <w:right w:val="single" w:color="auto" w:sz="4" w:space="0"/>
            </w:tcBorders>
            <w:vAlign w:val="center"/>
          </w:tcPr>
          <w:p>
            <w:pPr>
              <w:widowControl/>
              <w:jc w:val="center"/>
              <w:rPr>
                <w:sz w:val="21"/>
                <w:szCs w:val="21"/>
              </w:rPr>
            </w:pPr>
            <w:r>
              <w:rPr>
                <w:sz w:val="21"/>
                <w:szCs w:val="21"/>
              </w:rPr>
              <w:t>2021</w:t>
            </w:r>
          </w:p>
        </w:tc>
        <w:tc>
          <w:tcPr>
            <w:tcW w:w="1176" w:type="dxa"/>
            <w:tcBorders>
              <w:top w:val="single" w:color="auto" w:sz="4" w:space="0"/>
              <w:left w:val="single" w:color="auto" w:sz="4" w:space="0"/>
              <w:bottom w:val="single" w:color="auto" w:sz="4" w:space="0"/>
              <w:right w:val="single" w:color="auto" w:sz="4" w:space="0"/>
            </w:tcBorders>
            <w:vAlign w:val="center"/>
          </w:tcPr>
          <w:p>
            <w:pPr>
              <w:jc w:val="center"/>
              <w:rPr>
                <w:b/>
                <w:sz w:val="21"/>
                <w:szCs w:val="21"/>
              </w:rPr>
            </w:pPr>
          </w:p>
        </w:tc>
        <w:tc>
          <w:tcPr>
            <w:tcW w:w="1139"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r>
              <w:rPr>
                <w:sz w:val="21"/>
                <w:szCs w:val="21"/>
              </w:rPr>
              <w:t>√</w:t>
            </w:r>
          </w:p>
        </w:tc>
        <w:tc>
          <w:tcPr>
            <w:tcW w:w="975" w:type="dxa"/>
            <w:tcBorders>
              <w:top w:val="single" w:color="auto" w:sz="4" w:space="0"/>
              <w:left w:val="single" w:color="auto" w:sz="4" w:space="0"/>
              <w:bottom w:val="single" w:color="auto" w:sz="4" w:space="0"/>
              <w:right w:val="single" w:color="auto" w:sz="4" w:space="0"/>
            </w:tcBorders>
            <w:vAlign w:val="center"/>
          </w:tcPr>
          <w:p>
            <w:pPr>
              <w:jc w:val="center"/>
              <w:rPr>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3" w:type="dxa"/>
            <w:tcBorders>
              <w:top w:val="single" w:color="auto" w:sz="4" w:space="0"/>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3</w:t>
            </w:r>
          </w:p>
        </w:tc>
        <w:tc>
          <w:tcPr>
            <w:tcW w:w="3746" w:type="dxa"/>
            <w:tcBorders>
              <w:top w:val="single" w:color="auto" w:sz="4" w:space="0"/>
              <w:left w:val="single" w:color="auto" w:sz="4" w:space="0"/>
              <w:bottom w:val="single" w:color="auto" w:sz="4" w:space="0"/>
              <w:right w:val="single" w:color="auto" w:sz="4" w:space="0"/>
            </w:tcBorders>
            <w:vAlign w:val="center"/>
          </w:tcPr>
          <w:p>
            <w:pPr>
              <w:widowControl/>
              <w:jc w:val="left"/>
              <w:rPr>
                <w:sz w:val="21"/>
                <w:szCs w:val="21"/>
              </w:rPr>
            </w:pPr>
            <w:r>
              <w:rPr>
                <w:sz w:val="21"/>
                <w:szCs w:val="21"/>
              </w:rPr>
              <w:t>山东四维卓识信息技术有限公司</w:t>
            </w:r>
          </w:p>
        </w:tc>
        <w:tc>
          <w:tcPr>
            <w:tcW w:w="1077" w:type="dxa"/>
            <w:tcBorders>
              <w:top w:val="single" w:color="auto" w:sz="4" w:space="0"/>
              <w:left w:val="single" w:color="auto" w:sz="4" w:space="0"/>
              <w:bottom w:val="single" w:color="auto" w:sz="4" w:space="0"/>
              <w:right w:val="single" w:color="auto" w:sz="4" w:space="0"/>
            </w:tcBorders>
            <w:vAlign w:val="center"/>
          </w:tcPr>
          <w:p>
            <w:pPr>
              <w:widowControl/>
              <w:jc w:val="center"/>
              <w:rPr>
                <w:sz w:val="21"/>
                <w:szCs w:val="21"/>
              </w:rPr>
            </w:pPr>
            <w:r>
              <w:rPr>
                <w:sz w:val="21"/>
                <w:szCs w:val="21"/>
              </w:rPr>
              <w:t>2020</w:t>
            </w:r>
          </w:p>
        </w:tc>
        <w:tc>
          <w:tcPr>
            <w:tcW w:w="1176" w:type="dxa"/>
            <w:tcBorders>
              <w:top w:val="single" w:color="auto" w:sz="4" w:space="0"/>
              <w:left w:val="single" w:color="auto" w:sz="4" w:space="0"/>
              <w:bottom w:val="single" w:color="auto" w:sz="4" w:space="0"/>
              <w:right w:val="single" w:color="auto" w:sz="4" w:space="0"/>
            </w:tcBorders>
            <w:vAlign w:val="center"/>
          </w:tcPr>
          <w:p>
            <w:pPr>
              <w:jc w:val="center"/>
              <w:rPr>
                <w:b/>
                <w:sz w:val="21"/>
                <w:szCs w:val="21"/>
              </w:rPr>
            </w:pPr>
          </w:p>
        </w:tc>
        <w:tc>
          <w:tcPr>
            <w:tcW w:w="1139"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r>
              <w:rPr>
                <w:sz w:val="21"/>
                <w:szCs w:val="21"/>
              </w:rPr>
              <w:t>√</w:t>
            </w:r>
          </w:p>
        </w:tc>
        <w:tc>
          <w:tcPr>
            <w:tcW w:w="975" w:type="dxa"/>
            <w:tcBorders>
              <w:top w:val="single" w:color="auto" w:sz="4" w:space="0"/>
              <w:left w:val="single" w:color="auto" w:sz="4" w:space="0"/>
              <w:bottom w:val="single" w:color="auto" w:sz="4" w:space="0"/>
              <w:right w:val="single" w:color="auto" w:sz="4" w:space="0"/>
            </w:tcBorders>
            <w:vAlign w:val="center"/>
          </w:tcPr>
          <w:p>
            <w:pPr>
              <w:jc w:val="center"/>
              <w:rPr>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3" w:type="dxa"/>
            <w:tcBorders>
              <w:top w:val="single" w:color="auto" w:sz="4" w:space="0"/>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4</w:t>
            </w:r>
          </w:p>
        </w:tc>
        <w:tc>
          <w:tcPr>
            <w:tcW w:w="3746" w:type="dxa"/>
            <w:tcBorders>
              <w:top w:val="single" w:color="auto" w:sz="4" w:space="0"/>
              <w:left w:val="single" w:color="auto" w:sz="4" w:space="0"/>
              <w:bottom w:val="single" w:color="auto" w:sz="4" w:space="0"/>
              <w:right w:val="single" w:color="auto" w:sz="4" w:space="0"/>
            </w:tcBorders>
            <w:vAlign w:val="center"/>
          </w:tcPr>
          <w:p>
            <w:pPr>
              <w:widowControl/>
              <w:jc w:val="left"/>
              <w:rPr>
                <w:sz w:val="21"/>
                <w:szCs w:val="21"/>
              </w:rPr>
            </w:pPr>
            <w:r>
              <w:rPr>
                <w:sz w:val="21"/>
                <w:szCs w:val="21"/>
              </w:rPr>
              <w:t>泰安市金土地测绘整理有限公司</w:t>
            </w:r>
          </w:p>
        </w:tc>
        <w:tc>
          <w:tcPr>
            <w:tcW w:w="1077" w:type="dxa"/>
            <w:tcBorders>
              <w:top w:val="single" w:color="auto" w:sz="4" w:space="0"/>
              <w:left w:val="single" w:color="auto" w:sz="4" w:space="0"/>
              <w:bottom w:val="single" w:color="auto" w:sz="4" w:space="0"/>
              <w:right w:val="single" w:color="auto" w:sz="4" w:space="0"/>
            </w:tcBorders>
            <w:vAlign w:val="center"/>
          </w:tcPr>
          <w:p>
            <w:pPr>
              <w:widowControl/>
              <w:jc w:val="center"/>
              <w:rPr>
                <w:sz w:val="21"/>
                <w:szCs w:val="21"/>
              </w:rPr>
            </w:pPr>
            <w:r>
              <w:rPr>
                <w:sz w:val="21"/>
                <w:szCs w:val="21"/>
              </w:rPr>
              <w:t>2018</w:t>
            </w:r>
          </w:p>
        </w:tc>
        <w:tc>
          <w:tcPr>
            <w:tcW w:w="1176" w:type="dxa"/>
            <w:tcBorders>
              <w:top w:val="single" w:color="auto" w:sz="4" w:space="0"/>
              <w:left w:val="single" w:color="auto" w:sz="4" w:space="0"/>
              <w:bottom w:val="single" w:color="auto" w:sz="4" w:space="0"/>
              <w:right w:val="single" w:color="auto" w:sz="4" w:space="0"/>
            </w:tcBorders>
            <w:vAlign w:val="center"/>
          </w:tcPr>
          <w:p>
            <w:pPr>
              <w:jc w:val="center"/>
              <w:rPr>
                <w:b/>
                <w:sz w:val="21"/>
                <w:szCs w:val="21"/>
              </w:rPr>
            </w:pPr>
          </w:p>
        </w:tc>
        <w:tc>
          <w:tcPr>
            <w:tcW w:w="1139"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r>
              <w:rPr>
                <w:sz w:val="21"/>
                <w:szCs w:val="21"/>
              </w:rPr>
              <w:t>√</w:t>
            </w:r>
          </w:p>
        </w:tc>
        <w:tc>
          <w:tcPr>
            <w:tcW w:w="975" w:type="dxa"/>
            <w:tcBorders>
              <w:top w:val="single" w:color="auto" w:sz="4" w:space="0"/>
              <w:left w:val="single" w:color="auto" w:sz="4" w:space="0"/>
              <w:bottom w:val="single" w:color="auto" w:sz="4" w:space="0"/>
              <w:right w:val="single" w:color="auto" w:sz="4" w:space="0"/>
            </w:tcBorders>
            <w:vAlign w:val="center"/>
          </w:tcPr>
          <w:p>
            <w:pPr>
              <w:jc w:val="center"/>
              <w:rPr>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3" w:type="dxa"/>
            <w:tcBorders>
              <w:top w:val="single" w:color="auto" w:sz="4" w:space="0"/>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5</w:t>
            </w:r>
          </w:p>
        </w:tc>
        <w:tc>
          <w:tcPr>
            <w:tcW w:w="3746" w:type="dxa"/>
            <w:tcBorders>
              <w:top w:val="single" w:color="auto" w:sz="4" w:space="0"/>
              <w:left w:val="single" w:color="auto" w:sz="4" w:space="0"/>
              <w:bottom w:val="single" w:color="auto" w:sz="4" w:space="0"/>
              <w:right w:val="single" w:color="auto" w:sz="4" w:space="0"/>
            </w:tcBorders>
            <w:vAlign w:val="center"/>
          </w:tcPr>
          <w:p>
            <w:pPr>
              <w:widowControl/>
              <w:jc w:val="left"/>
              <w:rPr>
                <w:kern w:val="0"/>
                <w:sz w:val="21"/>
                <w:szCs w:val="21"/>
              </w:rPr>
            </w:pPr>
            <w:r>
              <w:rPr>
                <w:kern w:val="0"/>
                <w:sz w:val="21"/>
                <w:szCs w:val="21"/>
              </w:rPr>
              <w:t>广州市中海达测绘仪器有限公司济南分公司</w:t>
            </w:r>
          </w:p>
        </w:tc>
        <w:tc>
          <w:tcPr>
            <w:tcW w:w="1077" w:type="dxa"/>
            <w:tcBorders>
              <w:top w:val="single" w:color="auto" w:sz="4" w:space="0"/>
              <w:left w:val="single" w:color="auto" w:sz="4" w:space="0"/>
              <w:bottom w:val="single" w:color="auto" w:sz="4" w:space="0"/>
              <w:right w:val="single" w:color="auto" w:sz="4" w:space="0"/>
            </w:tcBorders>
            <w:vAlign w:val="center"/>
          </w:tcPr>
          <w:p>
            <w:pPr>
              <w:widowControl/>
              <w:jc w:val="center"/>
              <w:rPr>
                <w:kern w:val="0"/>
                <w:sz w:val="21"/>
                <w:szCs w:val="21"/>
              </w:rPr>
            </w:pPr>
            <w:r>
              <w:rPr>
                <w:kern w:val="0"/>
                <w:sz w:val="21"/>
                <w:szCs w:val="21"/>
              </w:rPr>
              <w:t>2017</w:t>
            </w:r>
          </w:p>
        </w:tc>
        <w:tc>
          <w:tcPr>
            <w:tcW w:w="1176" w:type="dxa"/>
            <w:tcBorders>
              <w:top w:val="single" w:color="auto" w:sz="4" w:space="0"/>
              <w:left w:val="single" w:color="auto" w:sz="4" w:space="0"/>
              <w:bottom w:val="single" w:color="auto" w:sz="4" w:space="0"/>
              <w:right w:val="single" w:color="auto" w:sz="4" w:space="0"/>
            </w:tcBorders>
            <w:vAlign w:val="center"/>
          </w:tcPr>
          <w:p>
            <w:pPr>
              <w:jc w:val="center"/>
              <w:rPr>
                <w:b/>
                <w:sz w:val="21"/>
                <w:szCs w:val="21"/>
              </w:rPr>
            </w:pPr>
          </w:p>
        </w:tc>
        <w:tc>
          <w:tcPr>
            <w:tcW w:w="1139"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r>
              <w:rPr>
                <w:sz w:val="21"/>
                <w:szCs w:val="21"/>
              </w:rPr>
              <w:t>√</w:t>
            </w:r>
          </w:p>
        </w:tc>
        <w:tc>
          <w:tcPr>
            <w:tcW w:w="975" w:type="dxa"/>
            <w:tcBorders>
              <w:top w:val="single" w:color="auto" w:sz="4" w:space="0"/>
              <w:left w:val="single" w:color="auto" w:sz="4" w:space="0"/>
              <w:bottom w:val="single" w:color="auto" w:sz="4" w:space="0"/>
              <w:right w:val="single" w:color="auto" w:sz="4" w:space="0"/>
            </w:tcBorders>
            <w:vAlign w:val="center"/>
          </w:tcPr>
          <w:p>
            <w:pPr>
              <w:jc w:val="center"/>
              <w:rPr>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3" w:type="dxa"/>
            <w:tcBorders>
              <w:top w:val="single" w:color="auto" w:sz="4" w:space="0"/>
              <w:left w:val="single" w:color="auto" w:sz="4" w:space="0"/>
              <w:bottom w:val="single" w:color="auto" w:sz="4" w:space="0"/>
              <w:right w:val="single" w:color="auto" w:sz="4" w:space="0"/>
            </w:tcBorders>
            <w:noWrap/>
            <w:vAlign w:val="center"/>
          </w:tcPr>
          <w:p>
            <w:pPr>
              <w:jc w:val="center"/>
              <w:rPr>
                <w:sz w:val="21"/>
                <w:szCs w:val="21"/>
              </w:rPr>
            </w:pPr>
            <w:r>
              <w:rPr>
                <w:sz w:val="21"/>
                <w:szCs w:val="21"/>
              </w:rPr>
              <w:t>6</w:t>
            </w:r>
          </w:p>
        </w:tc>
        <w:tc>
          <w:tcPr>
            <w:tcW w:w="3746" w:type="dxa"/>
            <w:tcBorders>
              <w:top w:val="single" w:color="auto" w:sz="4" w:space="0"/>
              <w:left w:val="single" w:color="auto" w:sz="4" w:space="0"/>
              <w:bottom w:val="single" w:color="auto" w:sz="4" w:space="0"/>
              <w:right w:val="single" w:color="auto" w:sz="4" w:space="0"/>
            </w:tcBorders>
            <w:noWrap/>
            <w:vAlign w:val="center"/>
          </w:tcPr>
          <w:p>
            <w:pPr>
              <w:rPr>
                <w:sz w:val="21"/>
                <w:szCs w:val="21"/>
              </w:rPr>
            </w:pPr>
            <w:r>
              <w:rPr>
                <w:kern w:val="0"/>
                <w:sz w:val="21"/>
                <w:szCs w:val="21"/>
              </w:rPr>
              <w:t>山东苍穹软件技术有限公司</w:t>
            </w:r>
          </w:p>
        </w:tc>
        <w:tc>
          <w:tcPr>
            <w:tcW w:w="1077" w:type="dxa"/>
            <w:tcBorders>
              <w:top w:val="single" w:color="auto" w:sz="4" w:space="0"/>
              <w:left w:val="single" w:color="auto" w:sz="4" w:space="0"/>
              <w:bottom w:val="single" w:color="auto" w:sz="4" w:space="0"/>
              <w:right w:val="single" w:color="auto" w:sz="4" w:space="0"/>
            </w:tcBorders>
            <w:vAlign w:val="center"/>
          </w:tcPr>
          <w:p>
            <w:pPr>
              <w:jc w:val="center"/>
              <w:rPr>
                <w:sz w:val="21"/>
                <w:szCs w:val="21"/>
              </w:rPr>
            </w:pPr>
            <w:r>
              <w:rPr>
                <w:sz w:val="21"/>
                <w:szCs w:val="21"/>
              </w:rPr>
              <w:t>2017</w:t>
            </w:r>
          </w:p>
        </w:tc>
        <w:tc>
          <w:tcPr>
            <w:tcW w:w="1176" w:type="dxa"/>
            <w:tcBorders>
              <w:top w:val="single" w:color="auto" w:sz="4" w:space="0"/>
              <w:left w:val="single" w:color="auto" w:sz="4" w:space="0"/>
              <w:bottom w:val="single" w:color="auto" w:sz="4" w:space="0"/>
              <w:right w:val="single" w:color="auto" w:sz="4" w:space="0"/>
            </w:tcBorders>
            <w:vAlign w:val="center"/>
          </w:tcPr>
          <w:p>
            <w:pPr>
              <w:jc w:val="center"/>
              <w:rPr>
                <w:sz w:val="21"/>
                <w:szCs w:val="21"/>
              </w:rPr>
            </w:pPr>
          </w:p>
        </w:tc>
        <w:tc>
          <w:tcPr>
            <w:tcW w:w="1139"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r>
              <w:rPr>
                <w:sz w:val="21"/>
                <w:szCs w:val="21"/>
              </w:rPr>
              <w:t>√</w:t>
            </w:r>
          </w:p>
        </w:tc>
        <w:tc>
          <w:tcPr>
            <w:tcW w:w="975" w:type="dxa"/>
            <w:tcBorders>
              <w:top w:val="single" w:color="auto" w:sz="4" w:space="0"/>
              <w:left w:val="single" w:color="auto" w:sz="4" w:space="0"/>
              <w:bottom w:val="single" w:color="auto" w:sz="4" w:space="0"/>
              <w:right w:val="single" w:color="auto" w:sz="4" w:space="0"/>
            </w:tcBorders>
          </w:tcPr>
          <w:p>
            <w:pPr>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3" w:type="dxa"/>
            <w:tcBorders>
              <w:top w:val="single" w:color="auto" w:sz="4" w:space="0"/>
              <w:left w:val="single" w:color="auto" w:sz="4" w:space="0"/>
              <w:bottom w:val="single" w:color="auto" w:sz="4" w:space="0"/>
              <w:right w:val="single" w:color="auto" w:sz="4" w:space="0"/>
            </w:tcBorders>
            <w:noWrap/>
            <w:vAlign w:val="center"/>
          </w:tcPr>
          <w:p>
            <w:pPr>
              <w:jc w:val="center"/>
              <w:rPr>
                <w:sz w:val="21"/>
                <w:szCs w:val="21"/>
              </w:rPr>
            </w:pPr>
            <w:r>
              <w:rPr>
                <w:sz w:val="21"/>
                <w:szCs w:val="21"/>
              </w:rPr>
              <w:t>7</w:t>
            </w:r>
          </w:p>
        </w:tc>
        <w:tc>
          <w:tcPr>
            <w:tcW w:w="3746" w:type="dxa"/>
            <w:tcBorders>
              <w:top w:val="single" w:color="auto" w:sz="4" w:space="0"/>
              <w:left w:val="single" w:color="auto" w:sz="4" w:space="0"/>
              <w:bottom w:val="single" w:color="auto" w:sz="4" w:space="0"/>
              <w:right w:val="single" w:color="auto" w:sz="4" w:space="0"/>
            </w:tcBorders>
            <w:noWrap/>
            <w:vAlign w:val="center"/>
          </w:tcPr>
          <w:p>
            <w:pPr>
              <w:rPr>
                <w:sz w:val="21"/>
                <w:szCs w:val="21"/>
              </w:rPr>
            </w:pPr>
            <w:r>
              <w:rPr>
                <w:kern w:val="0"/>
                <w:sz w:val="21"/>
                <w:szCs w:val="21"/>
              </w:rPr>
              <w:t>山东森迈图测绘地理信息有限公司</w:t>
            </w:r>
          </w:p>
        </w:tc>
        <w:tc>
          <w:tcPr>
            <w:tcW w:w="1077" w:type="dxa"/>
            <w:tcBorders>
              <w:top w:val="single" w:color="auto" w:sz="4" w:space="0"/>
              <w:left w:val="single" w:color="auto" w:sz="4" w:space="0"/>
              <w:bottom w:val="single" w:color="auto" w:sz="4" w:space="0"/>
              <w:right w:val="single" w:color="auto" w:sz="4" w:space="0"/>
            </w:tcBorders>
            <w:vAlign w:val="center"/>
          </w:tcPr>
          <w:p>
            <w:pPr>
              <w:jc w:val="center"/>
              <w:rPr>
                <w:sz w:val="21"/>
                <w:szCs w:val="21"/>
              </w:rPr>
            </w:pPr>
            <w:r>
              <w:rPr>
                <w:sz w:val="21"/>
                <w:szCs w:val="21"/>
              </w:rPr>
              <w:t>2017</w:t>
            </w:r>
          </w:p>
        </w:tc>
        <w:tc>
          <w:tcPr>
            <w:tcW w:w="1176" w:type="dxa"/>
            <w:tcBorders>
              <w:top w:val="single" w:color="auto" w:sz="4" w:space="0"/>
              <w:left w:val="single" w:color="auto" w:sz="4" w:space="0"/>
              <w:bottom w:val="single" w:color="auto" w:sz="4" w:space="0"/>
              <w:right w:val="single" w:color="auto" w:sz="4" w:space="0"/>
            </w:tcBorders>
            <w:vAlign w:val="center"/>
          </w:tcPr>
          <w:p>
            <w:pPr>
              <w:jc w:val="center"/>
              <w:rPr>
                <w:sz w:val="21"/>
                <w:szCs w:val="21"/>
              </w:rPr>
            </w:pPr>
          </w:p>
        </w:tc>
        <w:tc>
          <w:tcPr>
            <w:tcW w:w="1139"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r>
              <w:rPr>
                <w:sz w:val="21"/>
                <w:szCs w:val="21"/>
              </w:rPr>
              <w:t>√</w:t>
            </w:r>
          </w:p>
        </w:tc>
        <w:tc>
          <w:tcPr>
            <w:tcW w:w="975" w:type="dxa"/>
            <w:tcBorders>
              <w:top w:val="single" w:color="auto" w:sz="4" w:space="0"/>
              <w:left w:val="single" w:color="auto" w:sz="4" w:space="0"/>
              <w:bottom w:val="single" w:color="auto" w:sz="4" w:space="0"/>
              <w:right w:val="single" w:color="auto" w:sz="4" w:space="0"/>
            </w:tcBorders>
          </w:tcPr>
          <w:p>
            <w:pPr>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3" w:type="dxa"/>
            <w:tcBorders>
              <w:top w:val="single" w:color="auto" w:sz="4" w:space="0"/>
              <w:left w:val="single" w:color="auto" w:sz="4" w:space="0"/>
              <w:bottom w:val="single" w:color="auto" w:sz="4" w:space="0"/>
              <w:right w:val="single" w:color="auto" w:sz="4" w:space="0"/>
            </w:tcBorders>
            <w:noWrap/>
            <w:vAlign w:val="center"/>
          </w:tcPr>
          <w:p>
            <w:pPr>
              <w:jc w:val="center"/>
              <w:rPr>
                <w:sz w:val="21"/>
                <w:szCs w:val="21"/>
              </w:rPr>
            </w:pPr>
            <w:r>
              <w:rPr>
                <w:sz w:val="21"/>
                <w:szCs w:val="21"/>
              </w:rPr>
              <w:t>8</w:t>
            </w:r>
          </w:p>
        </w:tc>
        <w:tc>
          <w:tcPr>
            <w:tcW w:w="3746" w:type="dxa"/>
            <w:tcBorders>
              <w:top w:val="single" w:color="auto" w:sz="4" w:space="0"/>
              <w:left w:val="single" w:color="auto" w:sz="4" w:space="0"/>
              <w:bottom w:val="single" w:color="auto" w:sz="4" w:space="0"/>
              <w:right w:val="single" w:color="auto" w:sz="4" w:space="0"/>
            </w:tcBorders>
            <w:noWrap/>
            <w:vAlign w:val="center"/>
          </w:tcPr>
          <w:p>
            <w:pPr>
              <w:rPr>
                <w:sz w:val="21"/>
                <w:szCs w:val="21"/>
              </w:rPr>
            </w:pPr>
            <w:r>
              <w:rPr>
                <w:kern w:val="0"/>
                <w:sz w:val="21"/>
                <w:szCs w:val="21"/>
              </w:rPr>
              <w:t>山东正元航空遥感技术有限公司</w:t>
            </w:r>
          </w:p>
        </w:tc>
        <w:tc>
          <w:tcPr>
            <w:tcW w:w="1077" w:type="dxa"/>
            <w:tcBorders>
              <w:top w:val="single" w:color="auto" w:sz="4" w:space="0"/>
              <w:left w:val="single" w:color="auto" w:sz="4" w:space="0"/>
              <w:bottom w:val="single" w:color="auto" w:sz="4" w:space="0"/>
              <w:right w:val="single" w:color="auto" w:sz="4" w:space="0"/>
            </w:tcBorders>
            <w:vAlign w:val="center"/>
          </w:tcPr>
          <w:p>
            <w:pPr>
              <w:jc w:val="center"/>
              <w:rPr>
                <w:sz w:val="21"/>
                <w:szCs w:val="21"/>
              </w:rPr>
            </w:pPr>
            <w:r>
              <w:rPr>
                <w:sz w:val="21"/>
                <w:szCs w:val="21"/>
              </w:rPr>
              <w:t>2017</w:t>
            </w:r>
          </w:p>
        </w:tc>
        <w:tc>
          <w:tcPr>
            <w:tcW w:w="1176" w:type="dxa"/>
            <w:tcBorders>
              <w:top w:val="single" w:color="auto" w:sz="4" w:space="0"/>
              <w:left w:val="single" w:color="auto" w:sz="4" w:space="0"/>
              <w:bottom w:val="single" w:color="auto" w:sz="4" w:space="0"/>
              <w:right w:val="single" w:color="auto" w:sz="4" w:space="0"/>
            </w:tcBorders>
            <w:vAlign w:val="center"/>
          </w:tcPr>
          <w:p>
            <w:pPr>
              <w:jc w:val="center"/>
              <w:rPr>
                <w:sz w:val="21"/>
                <w:szCs w:val="21"/>
              </w:rPr>
            </w:pPr>
          </w:p>
        </w:tc>
        <w:tc>
          <w:tcPr>
            <w:tcW w:w="1139"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r>
              <w:rPr>
                <w:sz w:val="21"/>
                <w:szCs w:val="21"/>
              </w:rPr>
              <w:t>√</w:t>
            </w:r>
          </w:p>
        </w:tc>
        <w:tc>
          <w:tcPr>
            <w:tcW w:w="975" w:type="dxa"/>
            <w:tcBorders>
              <w:top w:val="single" w:color="auto" w:sz="4" w:space="0"/>
              <w:left w:val="single" w:color="auto" w:sz="4" w:space="0"/>
              <w:bottom w:val="single" w:color="auto" w:sz="4" w:space="0"/>
              <w:right w:val="single" w:color="auto" w:sz="4" w:space="0"/>
            </w:tcBorders>
          </w:tcPr>
          <w:p>
            <w:pPr>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3" w:type="dxa"/>
            <w:tcBorders>
              <w:top w:val="single" w:color="auto" w:sz="4" w:space="0"/>
              <w:left w:val="single" w:color="auto" w:sz="4" w:space="0"/>
              <w:bottom w:val="single" w:color="auto" w:sz="4" w:space="0"/>
              <w:right w:val="single" w:color="auto" w:sz="4" w:space="0"/>
            </w:tcBorders>
            <w:noWrap/>
            <w:vAlign w:val="center"/>
          </w:tcPr>
          <w:p>
            <w:pPr>
              <w:jc w:val="center"/>
              <w:rPr>
                <w:sz w:val="21"/>
                <w:szCs w:val="21"/>
              </w:rPr>
            </w:pPr>
            <w:r>
              <w:rPr>
                <w:sz w:val="21"/>
                <w:szCs w:val="21"/>
              </w:rPr>
              <w:t>9</w:t>
            </w:r>
          </w:p>
        </w:tc>
        <w:tc>
          <w:tcPr>
            <w:tcW w:w="3746" w:type="dxa"/>
            <w:tcBorders>
              <w:top w:val="single" w:color="auto" w:sz="4" w:space="0"/>
              <w:left w:val="single" w:color="auto" w:sz="4" w:space="0"/>
              <w:bottom w:val="single" w:color="auto" w:sz="4" w:space="0"/>
              <w:right w:val="single" w:color="auto" w:sz="4" w:space="0"/>
            </w:tcBorders>
            <w:noWrap/>
            <w:vAlign w:val="center"/>
          </w:tcPr>
          <w:p>
            <w:pPr>
              <w:rPr>
                <w:sz w:val="21"/>
                <w:szCs w:val="21"/>
              </w:rPr>
            </w:pPr>
            <w:r>
              <w:rPr>
                <w:kern w:val="0"/>
                <w:sz w:val="21"/>
                <w:szCs w:val="21"/>
              </w:rPr>
              <w:t>北京航天泰坦科技股份有限公司</w:t>
            </w:r>
          </w:p>
        </w:tc>
        <w:tc>
          <w:tcPr>
            <w:tcW w:w="1077" w:type="dxa"/>
            <w:tcBorders>
              <w:top w:val="single" w:color="auto" w:sz="4" w:space="0"/>
              <w:left w:val="single" w:color="auto" w:sz="4" w:space="0"/>
              <w:bottom w:val="single" w:color="auto" w:sz="4" w:space="0"/>
              <w:right w:val="single" w:color="auto" w:sz="4" w:space="0"/>
            </w:tcBorders>
            <w:vAlign w:val="center"/>
          </w:tcPr>
          <w:p>
            <w:pPr>
              <w:jc w:val="center"/>
              <w:rPr>
                <w:sz w:val="21"/>
                <w:szCs w:val="21"/>
              </w:rPr>
            </w:pPr>
            <w:r>
              <w:rPr>
                <w:sz w:val="21"/>
                <w:szCs w:val="21"/>
              </w:rPr>
              <w:t>2016</w:t>
            </w:r>
          </w:p>
        </w:tc>
        <w:tc>
          <w:tcPr>
            <w:tcW w:w="1176" w:type="dxa"/>
            <w:tcBorders>
              <w:top w:val="single" w:color="auto" w:sz="4" w:space="0"/>
              <w:left w:val="single" w:color="auto" w:sz="4" w:space="0"/>
              <w:bottom w:val="single" w:color="auto" w:sz="4" w:space="0"/>
              <w:right w:val="single" w:color="auto" w:sz="4" w:space="0"/>
            </w:tcBorders>
            <w:vAlign w:val="center"/>
          </w:tcPr>
          <w:p>
            <w:pPr>
              <w:jc w:val="center"/>
              <w:rPr>
                <w:sz w:val="21"/>
                <w:szCs w:val="21"/>
              </w:rPr>
            </w:pPr>
          </w:p>
        </w:tc>
        <w:tc>
          <w:tcPr>
            <w:tcW w:w="1139"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r>
              <w:rPr>
                <w:sz w:val="21"/>
                <w:szCs w:val="21"/>
              </w:rPr>
              <w:t>√</w:t>
            </w:r>
          </w:p>
        </w:tc>
        <w:tc>
          <w:tcPr>
            <w:tcW w:w="975" w:type="dxa"/>
            <w:tcBorders>
              <w:top w:val="single" w:color="auto" w:sz="4" w:space="0"/>
              <w:left w:val="single" w:color="auto" w:sz="4" w:space="0"/>
              <w:bottom w:val="single" w:color="auto" w:sz="4" w:space="0"/>
              <w:right w:val="single" w:color="auto" w:sz="4" w:space="0"/>
            </w:tcBorders>
          </w:tcPr>
          <w:p>
            <w:pPr>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3" w:type="dxa"/>
            <w:tcBorders>
              <w:top w:val="single" w:color="auto" w:sz="4" w:space="0"/>
              <w:left w:val="single" w:color="auto" w:sz="4" w:space="0"/>
              <w:bottom w:val="single" w:color="auto" w:sz="4" w:space="0"/>
              <w:right w:val="single" w:color="auto" w:sz="4" w:space="0"/>
            </w:tcBorders>
            <w:noWrap/>
            <w:vAlign w:val="center"/>
          </w:tcPr>
          <w:p>
            <w:pPr>
              <w:jc w:val="center"/>
              <w:rPr>
                <w:sz w:val="21"/>
                <w:szCs w:val="21"/>
              </w:rPr>
            </w:pPr>
            <w:r>
              <w:rPr>
                <w:sz w:val="21"/>
                <w:szCs w:val="21"/>
              </w:rPr>
              <w:t>10</w:t>
            </w:r>
          </w:p>
        </w:tc>
        <w:tc>
          <w:tcPr>
            <w:tcW w:w="3746" w:type="dxa"/>
            <w:tcBorders>
              <w:top w:val="single" w:color="auto" w:sz="4" w:space="0"/>
              <w:left w:val="single" w:color="auto" w:sz="4" w:space="0"/>
              <w:bottom w:val="single" w:color="auto" w:sz="4" w:space="0"/>
              <w:right w:val="single" w:color="auto" w:sz="4" w:space="0"/>
            </w:tcBorders>
            <w:noWrap/>
            <w:vAlign w:val="center"/>
          </w:tcPr>
          <w:p>
            <w:pPr>
              <w:rPr>
                <w:sz w:val="21"/>
                <w:szCs w:val="21"/>
              </w:rPr>
            </w:pPr>
            <w:r>
              <w:rPr>
                <w:sz w:val="21"/>
                <w:szCs w:val="21"/>
              </w:rPr>
              <w:t>山东科技大学资土系(2014)</w:t>
            </w:r>
          </w:p>
        </w:tc>
        <w:tc>
          <w:tcPr>
            <w:tcW w:w="1077" w:type="dxa"/>
            <w:tcBorders>
              <w:top w:val="single" w:color="auto" w:sz="4" w:space="0"/>
              <w:left w:val="single" w:color="auto" w:sz="4" w:space="0"/>
              <w:bottom w:val="single" w:color="auto" w:sz="4" w:space="0"/>
              <w:right w:val="single" w:color="auto" w:sz="4" w:space="0"/>
            </w:tcBorders>
            <w:vAlign w:val="center"/>
          </w:tcPr>
          <w:p>
            <w:pPr>
              <w:jc w:val="center"/>
              <w:rPr>
                <w:sz w:val="21"/>
                <w:szCs w:val="21"/>
              </w:rPr>
            </w:pPr>
            <w:r>
              <w:rPr>
                <w:sz w:val="21"/>
                <w:szCs w:val="21"/>
              </w:rPr>
              <w:t>2014</w:t>
            </w:r>
          </w:p>
        </w:tc>
        <w:tc>
          <w:tcPr>
            <w:tcW w:w="1176" w:type="dxa"/>
            <w:tcBorders>
              <w:top w:val="single" w:color="auto" w:sz="4" w:space="0"/>
              <w:left w:val="single" w:color="auto" w:sz="4" w:space="0"/>
              <w:bottom w:val="single" w:color="auto" w:sz="4" w:space="0"/>
              <w:right w:val="single" w:color="auto" w:sz="4" w:space="0"/>
            </w:tcBorders>
            <w:vAlign w:val="center"/>
          </w:tcPr>
          <w:p>
            <w:pPr>
              <w:jc w:val="center"/>
              <w:rPr>
                <w:sz w:val="21"/>
                <w:szCs w:val="21"/>
              </w:rPr>
            </w:pPr>
          </w:p>
        </w:tc>
        <w:tc>
          <w:tcPr>
            <w:tcW w:w="1139"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r>
              <w:rPr>
                <w:sz w:val="21"/>
                <w:szCs w:val="21"/>
              </w:rPr>
              <w:t>√</w:t>
            </w:r>
          </w:p>
        </w:tc>
        <w:tc>
          <w:tcPr>
            <w:tcW w:w="975" w:type="dxa"/>
            <w:tcBorders>
              <w:top w:val="single" w:color="auto" w:sz="4" w:space="0"/>
              <w:left w:val="single" w:color="auto" w:sz="4" w:space="0"/>
              <w:bottom w:val="single" w:color="auto" w:sz="4" w:space="0"/>
              <w:right w:val="single" w:color="auto" w:sz="4" w:space="0"/>
            </w:tcBorders>
          </w:tcPr>
          <w:p>
            <w:pPr>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3" w:type="dxa"/>
            <w:tcBorders>
              <w:top w:val="single" w:color="auto" w:sz="4" w:space="0"/>
              <w:left w:val="single" w:color="auto" w:sz="4" w:space="0"/>
              <w:bottom w:val="single" w:color="auto" w:sz="4" w:space="0"/>
              <w:right w:val="single" w:color="auto" w:sz="4" w:space="0"/>
            </w:tcBorders>
            <w:noWrap/>
            <w:vAlign w:val="center"/>
          </w:tcPr>
          <w:p>
            <w:pPr>
              <w:jc w:val="center"/>
              <w:rPr>
                <w:sz w:val="21"/>
                <w:szCs w:val="21"/>
              </w:rPr>
            </w:pPr>
            <w:r>
              <w:rPr>
                <w:sz w:val="21"/>
                <w:szCs w:val="21"/>
              </w:rPr>
              <w:t>11</w:t>
            </w:r>
          </w:p>
        </w:tc>
        <w:tc>
          <w:tcPr>
            <w:tcW w:w="3746" w:type="dxa"/>
            <w:tcBorders>
              <w:top w:val="single" w:color="auto" w:sz="4" w:space="0"/>
              <w:left w:val="single" w:color="auto" w:sz="4" w:space="0"/>
              <w:bottom w:val="single" w:color="auto" w:sz="4" w:space="0"/>
              <w:right w:val="single" w:color="auto" w:sz="4" w:space="0"/>
            </w:tcBorders>
            <w:noWrap/>
            <w:vAlign w:val="center"/>
          </w:tcPr>
          <w:p>
            <w:pPr>
              <w:rPr>
                <w:sz w:val="21"/>
                <w:szCs w:val="21"/>
              </w:rPr>
            </w:pPr>
            <w:r>
              <w:rPr>
                <w:sz w:val="21"/>
                <w:szCs w:val="21"/>
              </w:rPr>
              <w:t>山东省地质测绘院(2014)</w:t>
            </w:r>
          </w:p>
        </w:tc>
        <w:tc>
          <w:tcPr>
            <w:tcW w:w="1077" w:type="dxa"/>
            <w:tcBorders>
              <w:top w:val="single" w:color="auto" w:sz="4" w:space="0"/>
              <w:left w:val="single" w:color="auto" w:sz="4" w:space="0"/>
              <w:bottom w:val="single" w:color="auto" w:sz="4" w:space="0"/>
              <w:right w:val="single" w:color="auto" w:sz="4" w:space="0"/>
            </w:tcBorders>
            <w:vAlign w:val="center"/>
          </w:tcPr>
          <w:p>
            <w:pPr>
              <w:jc w:val="center"/>
              <w:rPr>
                <w:sz w:val="21"/>
                <w:szCs w:val="21"/>
              </w:rPr>
            </w:pPr>
            <w:r>
              <w:rPr>
                <w:sz w:val="21"/>
                <w:szCs w:val="21"/>
              </w:rPr>
              <w:t>2014</w:t>
            </w:r>
          </w:p>
        </w:tc>
        <w:tc>
          <w:tcPr>
            <w:tcW w:w="1176" w:type="dxa"/>
            <w:tcBorders>
              <w:top w:val="single" w:color="auto" w:sz="4" w:space="0"/>
              <w:left w:val="single" w:color="auto" w:sz="4" w:space="0"/>
              <w:bottom w:val="single" w:color="auto" w:sz="4" w:space="0"/>
              <w:right w:val="single" w:color="auto" w:sz="4" w:space="0"/>
            </w:tcBorders>
            <w:vAlign w:val="center"/>
          </w:tcPr>
          <w:p>
            <w:pPr>
              <w:widowControl/>
              <w:jc w:val="center"/>
              <w:rPr>
                <w:sz w:val="21"/>
                <w:szCs w:val="21"/>
              </w:rPr>
            </w:pPr>
          </w:p>
        </w:tc>
        <w:tc>
          <w:tcPr>
            <w:tcW w:w="1139"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r>
              <w:rPr>
                <w:sz w:val="21"/>
                <w:szCs w:val="21"/>
              </w:rPr>
              <w:t>√</w:t>
            </w:r>
          </w:p>
        </w:tc>
        <w:tc>
          <w:tcPr>
            <w:tcW w:w="975"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3" w:type="dxa"/>
            <w:tcBorders>
              <w:top w:val="single" w:color="auto" w:sz="4" w:space="0"/>
              <w:left w:val="single" w:color="auto" w:sz="4" w:space="0"/>
              <w:bottom w:val="single" w:color="auto" w:sz="4" w:space="0"/>
              <w:right w:val="single" w:color="auto" w:sz="4" w:space="0"/>
            </w:tcBorders>
            <w:noWrap/>
            <w:vAlign w:val="center"/>
          </w:tcPr>
          <w:p>
            <w:pPr>
              <w:jc w:val="center"/>
              <w:rPr>
                <w:sz w:val="21"/>
                <w:szCs w:val="21"/>
              </w:rPr>
            </w:pPr>
            <w:r>
              <w:rPr>
                <w:sz w:val="21"/>
                <w:szCs w:val="21"/>
              </w:rPr>
              <w:t>12</w:t>
            </w:r>
          </w:p>
        </w:tc>
        <w:tc>
          <w:tcPr>
            <w:tcW w:w="3746" w:type="dxa"/>
            <w:tcBorders>
              <w:top w:val="single" w:color="auto" w:sz="4" w:space="0"/>
              <w:left w:val="single" w:color="auto" w:sz="4" w:space="0"/>
              <w:bottom w:val="single" w:color="auto" w:sz="4" w:space="0"/>
              <w:right w:val="single" w:color="auto" w:sz="4" w:space="0"/>
            </w:tcBorders>
            <w:noWrap/>
            <w:vAlign w:val="center"/>
          </w:tcPr>
          <w:p>
            <w:pPr>
              <w:widowControl/>
              <w:rPr>
                <w:sz w:val="21"/>
                <w:szCs w:val="21"/>
              </w:rPr>
            </w:pPr>
            <w:r>
              <w:rPr>
                <w:sz w:val="21"/>
                <w:szCs w:val="21"/>
              </w:rPr>
              <w:t>济南控创电子科技有限公司</w:t>
            </w:r>
          </w:p>
        </w:tc>
        <w:tc>
          <w:tcPr>
            <w:tcW w:w="1077" w:type="dxa"/>
            <w:tcBorders>
              <w:top w:val="single" w:color="auto" w:sz="4" w:space="0"/>
              <w:left w:val="single" w:color="auto" w:sz="4" w:space="0"/>
              <w:bottom w:val="single" w:color="auto" w:sz="4" w:space="0"/>
              <w:right w:val="single" w:color="auto" w:sz="4" w:space="0"/>
            </w:tcBorders>
            <w:vAlign w:val="center"/>
          </w:tcPr>
          <w:p>
            <w:pPr>
              <w:jc w:val="center"/>
              <w:rPr>
                <w:sz w:val="21"/>
                <w:szCs w:val="21"/>
              </w:rPr>
            </w:pPr>
            <w:r>
              <w:rPr>
                <w:sz w:val="21"/>
                <w:szCs w:val="21"/>
              </w:rPr>
              <w:t>2018</w:t>
            </w:r>
          </w:p>
        </w:tc>
        <w:tc>
          <w:tcPr>
            <w:tcW w:w="1176" w:type="dxa"/>
            <w:tcBorders>
              <w:top w:val="single" w:color="auto" w:sz="4" w:space="0"/>
              <w:left w:val="single" w:color="auto" w:sz="4" w:space="0"/>
              <w:bottom w:val="single" w:color="auto" w:sz="4" w:space="0"/>
              <w:right w:val="single" w:color="auto" w:sz="4" w:space="0"/>
            </w:tcBorders>
            <w:vAlign w:val="center"/>
          </w:tcPr>
          <w:p>
            <w:pPr>
              <w:widowControl/>
              <w:jc w:val="center"/>
              <w:rPr>
                <w:sz w:val="21"/>
                <w:szCs w:val="21"/>
              </w:rPr>
            </w:pPr>
          </w:p>
        </w:tc>
        <w:tc>
          <w:tcPr>
            <w:tcW w:w="1139"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r>
              <w:rPr>
                <w:sz w:val="21"/>
                <w:szCs w:val="21"/>
              </w:rPr>
              <w:t>√</w:t>
            </w:r>
          </w:p>
        </w:tc>
        <w:tc>
          <w:tcPr>
            <w:tcW w:w="975"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3" w:type="dxa"/>
            <w:tcBorders>
              <w:top w:val="single" w:color="auto" w:sz="4" w:space="0"/>
              <w:left w:val="single" w:color="auto" w:sz="4" w:space="0"/>
              <w:bottom w:val="single" w:color="auto" w:sz="4" w:space="0"/>
              <w:right w:val="single" w:color="auto" w:sz="4" w:space="0"/>
            </w:tcBorders>
            <w:noWrap/>
            <w:vAlign w:val="center"/>
          </w:tcPr>
          <w:p>
            <w:pPr>
              <w:jc w:val="center"/>
              <w:rPr>
                <w:sz w:val="21"/>
                <w:szCs w:val="21"/>
              </w:rPr>
            </w:pPr>
            <w:r>
              <w:rPr>
                <w:sz w:val="21"/>
                <w:szCs w:val="21"/>
              </w:rPr>
              <w:t>13</w:t>
            </w:r>
          </w:p>
        </w:tc>
        <w:tc>
          <w:tcPr>
            <w:tcW w:w="3746" w:type="dxa"/>
            <w:tcBorders>
              <w:top w:val="single" w:color="auto" w:sz="4" w:space="0"/>
              <w:left w:val="single" w:color="auto" w:sz="4" w:space="0"/>
              <w:bottom w:val="single" w:color="auto" w:sz="4" w:space="0"/>
              <w:right w:val="single" w:color="auto" w:sz="4" w:space="0"/>
            </w:tcBorders>
            <w:noWrap/>
            <w:vAlign w:val="bottom"/>
          </w:tcPr>
          <w:p>
            <w:pPr>
              <w:rPr>
                <w:sz w:val="21"/>
                <w:szCs w:val="21"/>
              </w:rPr>
            </w:pPr>
            <w:r>
              <w:rPr>
                <w:sz w:val="21"/>
                <w:szCs w:val="21"/>
              </w:rPr>
              <w:t>山东建材勘察测绘研究院有限公司</w:t>
            </w:r>
          </w:p>
        </w:tc>
        <w:tc>
          <w:tcPr>
            <w:tcW w:w="1077" w:type="dxa"/>
            <w:tcBorders>
              <w:top w:val="single" w:color="auto" w:sz="4" w:space="0"/>
              <w:left w:val="single" w:color="auto" w:sz="4" w:space="0"/>
              <w:bottom w:val="single" w:color="auto" w:sz="4" w:space="0"/>
              <w:right w:val="single" w:color="auto" w:sz="4" w:space="0"/>
            </w:tcBorders>
            <w:vAlign w:val="center"/>
          </w:tcPr>
          <w:p>
            <w:pPr>
              <w:jc w:val="center"/>
              <w:rPr>
                <w:sz w:val="21"/>
                <w:szCs w:val="21"/>
              </w:rPr>
            </w:pPr>
            <w:r>
              <w:rPr>
                <w:sz w:val="21"/>
                <w:szCs w:val="21"/>
              </w:rPr>
              <w:t>2018</w:t>
            </w:r>
          </w:p>
        </w:tc>
        <w:tc>
          <w:tcPr>
            <w:tcW w:w="1176" w:type="dxa"/>
            <w:tcBorders>
              <w:top w:val="single" w:color="auto" w:sz="4" w:space="0"/>
              <w:left w:val="single" w:color="auto" w:sz="4" w:space="0"/>
              <w:bottom w:val="single" w:color="auto" w:sz="4" w:space="0"/>
              <w:right w:val="single" w:color="auto" w:sz="4" w:space="0"/>
            </w:tcBorders>
            <w:vAlign w:val="center"/>
          </w:tcPr>
          <w:p>
            <w:pPr>
              <w:widowControl/>
              <w:jc w:val="center"/>
              <w:rPr>
                <w:sz w:val="21"/>
                <w:szCs w:val="21"/>
              </w:rPr>
            </w:pPr>
          </w:p>
        </w:tc>
        <w:tc>
          <w:tcPr>
            <w:tcW w:w="1139"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r>
              <w:rPr>
                <w:sz w:val="21"/>
                <w:szCs w:val="21"/>
              </w:rPr>
              <w:t>√</w:t>
            </w:r>
          </w:p>
        </w:tc>
        <w:tc>
          <w:tcPr>
            <w:tcW w:w="975"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3" w:type="dxa"/>
            <w:tcBorders>
              <w:top w:val="single" w:color="auto" w:sz="4" w:space="0"/>
              <w:left w:val="single" w:color="auto" w:sz="4" w:space="0"/>
              <w:bottom w:val="single" w:color="auto" w:sz="4" w:space="0"/>
              <w:right w:val="single" w:color="auto" w:sz="4" w:space="0"/>
            </w:tcBorders>
            <w:noWrap/>
            <w:vAlign w:val="center"/>
          </w:tcPr>
          <w:p>
            <w:pPr>
              <w:jc w:val="center"/>
              <w:rPr>
                <w:sz w:val="21"/>
                <w:szCs w:val="21"/>
              </w:rPr>
            </w:pPr>
            <w:r>
              <w:rPr>
                <w:sz w:val="21"/>
                <w:szCs w:val="21"/>
              </w:rPr>
              <w:t>14</w:t>
            </w:r>
          </w:p>
        </w:tc>
        <w:tc>
          <w:tcPr>
            <w:tcW w:w="3746" w:type="dxa"/>
            <w:tcBorders>
              <w:top w:val="single" w:color="auto" w:sz="4" w:space="0"/>
              <w:left w:val="single" w:color="auto" w:sz="4" w:space="0"/>
              <w:bottom w:val="single" w:color="auto" w:sz="4" w:space="0"/>
              <w:right w:val="single" w:color="auto" w:sz="4" w:space="0"/>
            </w:tcBorders>
            <w:noWrap/>
            <w:vAlign w:val="center"/>
          </w:tcPr>
          <w:p>
            <w:pPr>
              <w:rPr>
                <w:sz w:val="21"/>
                <w:szCs w:val="21"/>
              </w:rPr>
            </w:pPr>
            <w:r>
              <w:rPr>
                <w:sz w:val="21"/>
                <w:szCs w:val="21"/>
              </w:rPr>
              <w:t>山东农业大学校本部</w:t>
            </w:r>
          </w:p>
        </w:tc>
        <w:tc>
          <w:tcPr>
            <w:tcW w:w="1077" w:type="dxa"/>
            <w:tcBorders>
              <w:top w:val="single" w:color="auto" w:sz="4" w:space="0"/>
              <w:left w:val="single" w:color="auto" w:sz="4" w:space="0"/>
              <w:bottom w:val="single" w:color="auto" w:sz="4" w:space="0"/>
              <w:right w:val="single" w:color="auto" w:sz="4" w:space="0"/>
            </w:tcBorders>
            <w:vAlign w:val="center"/>
          </w:tcPr>
          <w:p>
            <w:pPr>
              <w:jc w:val="center"/>
              <w:rPr>
                <w:sz w:val="21"/>
                <w:szCs w:val="21"/>
              </w:rPr>
            </w:pPr>
          </w:p>
        </w:tc>
        <w:tc>
          <w:tcPr>
            <w:tcW w:w="1176" w:type="dxa"/>
            <w:tcBorders>
              <w:top w:val="single" w:color="auto" w:sz="4" w:space="0"/>
              <w:left w:val="single" w:color="auto" w:sz="4" w:space="0"/>
              <w:bottom w:val="single" w:color="auto" w:sz="4" w:space="0"/>
              <w:right w:val="single" w:color="auto" w:sz="4" w:space="0"/>
            </w:tcBorders>
            <w:vAlign w:val="center"/>
          </w:tcPr>
          <w:p>
            <w:pPr>
              <w:widowControl/>
              <w:jc w:val="center"/>
              <w:rPr>
                <w:sz w:val="21"/>
                <w:szCs w:val="21"/>
              </w:rPr>
            </w:pPr>
          </w:p>
        </w:tc>
        <w:tc>
          <w:tcPr>
            <w:tcW w:w="1139"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p>
        </w:tc>
        <w:tc>
          <w:tcPr>
            <w:tcW w:w="975"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3" w:type="dxa"/>
            <w:tcBorders>
              <w:top w:val="single" w:color="auto" w:sz="4" w:space="0"/>
              <w:left w:val="single" w:color="auto" w:sz="4" w:space="0"/>
              <w:bottom w:val="single" w:color="auto" w:sz="4" w:space="0"/>
              <w:right w:val="single" w:color="auto" w:sz="4" w:space="0"/>
            </w:tcBorders>
            <w:noWrap/>
            <w:vAlign w:val="center"/>
          </w:tcPr>
          <w:p>
            <w:pPr>
              <w:jc w:val="center"/>
              <w:rPr>
                <w:sz w:val="21"/>
                <w:szCs w:val="21"/>
              </w:rPr>
            </w:pPr>
            <w:r>
              <w:rPr>
                <w:sz w:val="21"/>
                <w:szCs w:val="21"/>
              </w:rPr>
              <w:t>15</w:t>
            </w:r>
          </w:p>
        </w:tc>
        <w:tc>
          <w:tcPr>
            <w:tcW w:w="3746" w:type="dxa"/>
            <w:tcBorders>
              <w:top w:val="single" w:color="auto" w:sz="4" w:space="0"/>
              <w:left w:val="single" w:color="auto" w:sz="4" w:space="0"/>
              <w:bottom w:val="single" w:color="auto" w:sz="4" w:space="0"/>
              <w:right w:val="single" w:color="auto" w:sz="4" w:space="0"/>
            </w:tcBorders>
            <w:noWrap/>
            <w:vAlign w:val="center"/>
          </w:tcPr>
          <w:p>
            <w:pPr>
              <w:rPr>
                <w:sz w:val="21"/>
                <w:szCs w:val="21"/>
              </w:rPr>
            </w:pPr>
            <w:r>
              <w:rPr>
                <w:sz w:val="21"/>
                <w:szCs w:val="21"/>
              </w:rPr>
              <w:t>山东农业大学南校区</w:t>
            </w:r>
          </w:p>
        </w:tc>
        <w:tc>
          <w:tcPr>
            <w:tcW w:w="1077" w:type="dxa"/>
            <w:tcBorders>
              <w:top w:val="single" w:color="auto" w:sz="4" w:space="0"/>
              <w:left w:val="single" w:color="auto" w:sz="4" w:space="0"/>
              <w:bottom w:val="single" w:color="auto" w:sz="4" w:space="0"/>
              <w:right w:val="single" w:color="auto" w:sz="4" w:space="0"/>
            </w:tcBorders>
            <w:vAlign w:val="center"/>
          </w:tcPr>
          <w:p>
            <w:pPr>
              <w:jc w:val="center"/>
              <w:rPr>
                <w:sz w:val="21"/>
                <w:szCs w:val="21"/>
              </w:rPr>
            </w:pPr>
          </w:p>
        </w:tc>
        <w:tc>
          <w:tcPr>
            <w:tcW w:w="1176" w:type="dxa"/>
            <w:tcBorders>
              <w:top w:val="single" w:color="auto" w:sz="4" w:space="0"/>
              <w:left w:val="single" w:color="auto" w:sz="4" w:space="0"/>
              <w:bottom w:val="single" w:color="auto" w:sz="4" w:space="0"/>
              <w:right w:val="single" w:color="auto" w:sz="4" w:space="0"/>
            </w:tcBorders>
            <w:vAlign w:val="center"/>
          </w:tcPr>
          <w:p>
            <w:pPr>
              <w:widowControl/>
              <w:jc w:val="center"/>
              <w:rPr>
                <w:sz w:val="21"/>
                <w:szCs w:val="21"/>
              </w:rPr>
            </w:pPr>
          </w:p>
        </w:tc>
        <w:tc>
          <w:tcPr>
            <w:tcW w:w="1139"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p>
        </w:tc>
        <w:tc>
          <w:tcPr>
            <w:tcW w:w="975"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83" w:type="dxa"/>
            <w:tcBorders>
              <w:top w:val="single" w:color="auto" w:sz="4" w:space="0"/>
              <w:left w:val="single" w:color="auto" w:sz="4" w:space="0"/>
              <w:bottom w:val="single" w:color="auto" w:sz="4" w:space="0"/>
              <w:right w:val="single" w:color="auto" w:sz="4" w:space="0"/>
            </w:tcBorders>
            <w:noWrap/>
            <w:vAlign w:val="center"/>
          </w:tcPr>
          <w:p>
            <w:pPr>
              <w:jc w:val="center"/>
              <w:rPr>
                <w:sz w:val="21"/>
                <w:szCs w:val="21"/>
              </w:rPr>
            </w:pPr>
            <w:r>
              <w:rPr>
                <w:sz w:val="21"/>
                <w:szCs w:val="21"/>
              </w:rPr>
              <w:t>16</w:t>
            </w:r>
          </w:p>
        </w:tc>
        <w:tc>
          <w:tcPr>
            <w:tcW w:w="3746" w:type="dxa"/>
            <w:tcBorders>
              <w:top w:val="single" w:color="auto" w:sz="4" w:space="0"/>
              <w:left w:val="single" w:color="auto" w:sz="4" w:space="0"/>
              <w:bottom w:val="single" w:color="auto" w:sz="4" w:space="0"/>
              <w:right w:val="single" w:color="auto" w:sz="4" w:space="0"/>
            </w:tcBorders>
            <w:noWrap/>
            <w:vAlign w:val="center"/>
          </w:tcPr>
          <w:p>
            <w:pPr>
              <w:rPr>
                <w:sz w:val="21"/>
                <w:szCs w:val="21"/>
              </w:rPr>
            </w:pPr>
            <w:r>
              <w:rPr>
                <w:sz w:val="21"/>
                <w:szCs w:val="21"/>
              </w:rPr>
              <w:t>山东农业大学南校东南片区</w:t>
            </w:r>
          </w:p>
        </w:tc>
        <w:tc>
          <w:tcPr>
            <w:tcW w:w="1077" w:type="dxa"/>
            <w:tcBorders>
              <w:top w:val="single" w:color="auto" w:sz="4" w:space="0"/>
              <w:left w:val="single" w:color="auto" w:sz="4" w:space="0"/>
              <w:bottom w:val="single" w:color="auto" w:sz="4" w:space="0"/>
              <w:right w:val="single" w:color="auto" w:sz="4" w:space="0"/>
            </w:tcBorders>
            <w:vAlign w:val="center"/>
          </w:tcPr>
          <w:p>
            <w:pPr>
              <w:jc w:val="center"/>
              <w:rPr>
                <w:sz w:val="21"/>
                <w:szCs w:val="21"/>
              </w:rPr>
            </w:pPr>
          </w:p>
        </w:tc>
        <w:tc>
          <w:tcPr>
            <w:tcW w:w="1176" w:type="dxa"/>
            <w:tcBorders>
              <w:top w:val="single" w:color="auto" w:sz="4" w:space="0"/>
              <w:left w:val="single" w:color="auto" w:sz="4" w:space="0"/>
              <w:bottom w:val="single" w:color="auto" w:sz="4" w:space="0"/>
              <w:right w:val="single" w:color="auto" w:sz="4" w:space="0"/>
            </w:tcBorders>
            <w:vAlign w:val="center"/>
          </w:tcPr>
          <w:p>
            <w:pPr>
              <w:widowControl/>
              <w:jc w:val="center"/>
              <w:rPr>
                <w:sz w:val="21"/>
                <w:szCs w:val="21"/>
              </w:rPr>
            </w:pPr>
          </w:p>
        </w:tc>
        <w:tc>
          <w:tcPr>
            <w:tcW w:w="1139"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p>
        </w:tc>
        <w:tc>
          <w:tcPr>
            <w:tcW w:w="975" w:type="dxa"/>
            <w:tcBorders>
              <w:top w:val="single" w:color="auto" w:sz="4" w:space="0"/>
              <w:left w:val="single" w:color="auto" w:sz="4" w:space="0"/>
              <w:bottom w:val="single" w:color="auto" w:sz="4" w:space="0"/>
              <w:right w:val="single" w:color="auto" w:sz="4" w:space="0"/>
            </w:tcBorders>
          </w:tcPr>
          <w:p>
            <w:pPr>
              <w:widowControl/>
              <w:jc w:val="center"/>
              <w:rPr>
                <w:sz w:val="21"/>
                <w:szCs w:val="21"/>
              </w:rPr>
            </w:pPr>
            <w:r>
              <w:rPr>
                <w:sz w:val="21"/>
                <w:szCs w:val="21"/>
              </w:rPr>
              <w:t>√</w:t>
            </w:r>
          </w:p>
        </w:tc>
      </w:tr>
    </w:tbl>
    <w:p>
      <w:pPr>
        <w:pStyle w:val="45"/>
        <w:ind w:firstLine="480"/>
        <w:rPr>
          <w:rFonts w:ascii="Times New Roman" w:hAnsi="Times New Roman"/>
        </w:rPr>
      </w:pPr>
      <w:r>
        <w:rPr>
          <w:rFonts w:ascii="Times New Roman" w:hAnsi="Times New Roman"/>
        </w:rPr>
        <w:t>4.教师队伍建设</w:t>
      </w:r>
    </w:p>
    <w:p>
      <w:pPr>
        <w:ind w:firstLine="480" w:firstLineChars="200"/>
        <w:rPr>
          <w:szCs w:val="24"/>
        </w:rPr>
      </w:pPr>
      <w:r>
        <w:rPr>
          <w:szCs w:val="24"/>
        </w:rPr>
        <w:t>本专业现有专任教师21人，其中教授1人，副教授8人，讲师12人，专职实验教学辅助人员4人，专业教师队伍在学历结构、职称结构、年龄结构、学源结构等方面日趋合理，教学能力水平和科研水平方面有较大的提高。每一门课程由教授、副教授和讲师组成一个课程组，建立起了课程教学团队。全体教师责任感强，团队协作好，教学经验丰富，教学实践能力较强，教学水平较高。教学实验辅助人员实践经验丰富，能够胜任实验教学的基本要求。专任教师整体情况如表3和图1所示。</w:t>
      </w:r>
    </w:p>
    <w:p>
      <w:pPr>
        <w:snapToGrid w:val="0"/>
        <w:spacing w:line="240" w:lineRule="auto"/>
        <w:jc w:val="center"/>
        <w:rPr>
          <w:b/>
          <w:szCs w:val="21"/>
        </w:rPr>
      </w:pPr>
      <w:r>
        <w:rPr>
          <w:b/>
          <w:szCs w:val="21"/>
        </w:rPr>
        <w:t>表 3  专任教师队伍结构</w:t>
      </w:r>
    </w:p>
    <w:tbl>
      <w:tblPr>
        <w:tblStyle w:val="17"/>
        <w:tblW w:w="358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9"/>
        <w:gridCol w:w="1858"/>
        <w:gridCol w:w="1704"/>
        <w:gridCol w:w="21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22" w:type="pct"/>
            <w:gridSpan w:val="2"/>
            <w:vMerge w:val="restart"/>
            <w:shd w:val="clear" w:color="auto" w:fill="BDD6EE" w:themeFill="accent1" w:themeFillTint="66"/>
            <w:vAlign w:val="center"/>
          </w:tcPr>
          <w:p>
            <w:pPr>
              <w:snapToGrid w:val="0"/>
              <w:spacing w:line="240" w:lineRule="auto"/>
              <w:jc w:val="center"/>
              <w:rPr>
                <w:color w:val="000000"/>
                <w:kern w:val="0"/>
                <w:szCs w:val="21"/>
              </w:rPr>
            </w:pPr>
            <w:r>
              <w:rPr>
                <w:color w:val="000000"/>
                <w:kern w:val="0"/>
                <w:szCs w:val="21"/>
              </w:rPr>
              <w:t>总体情况</w:t>
            </w:r>
          </w:p>
        </w:tc>
        <w:tc>
          <w:tcPr>
            <w:tcW w:w="2978" w:type="pct"/>
            <w:gridSpan w:val="2"/>
            <w:shd w:val="clear" w:color="auto" w:fill="BDD6EE" w:themeFill="accent1" w:themeFillTint="66"/>
            <w:vAlign w:val="center"/>
          </w:tcPr>
          <w:p>
            <w:pPr>
              <w:snapToGrid w:val="0"/>
              <w:spacing w:line="240" w:lineRule="auto"/>
              <w:jc w:val="center"/>
              <w:rPr>
                <w:color w:val="000000"/>
                <w:kern w:val="0"/>
                <w:szCs w:val="21"/>
              </w:rPr>
            </w:pPr>
            <w:r>
              <w:rPr>
                <w:color w:val="000000"/>
                <w:kern w:val="0"/>
                <w:szCs w:val="21"/>
              </w:rPr>
              <w:t>专任教师人数及比例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22" w:type="pct"/>
            <w:gridSpan w:val="2"/>
            <w:vMerge w:val="continue"/>
            <w:shd w:val="clear" w:color="auto" w:fill="BDD6EE" w:themeFill="accent1" w:themeFillTint="66"/>
            <w:vAlign w:val="center"/>
          </w:tcPr>
          <w:p>
            <w:pPr>
              <w:snapToGrid w:val="0"/>
              <w:spacing w:line="240" w:lineRule="auto"/>
              <w:jc w:val="center"/>
              <w:rPr>
                <w:color w:val="000000"/>
                <w:kern w:val="0"/>
                <w:szCs w:val="21"/>
              </w:rPr>
            </w:pPr>
          </w:p>
        </w:tc>
        <w:tc>
          <w:tcPr>
            <w:tcW w:w="1311" w:type="pct"/>
            <w:shd w:val="clear" w:color="auto" w:fill="BDD6EE" w:themeFill="accent1" w:themeFillTint="66"/>
            <w:vAlign w:val="center"/>
          </w:tcPr>
          <w:p>
            <w:pPr>
              <w:snapToGrid w:val="0"/>
              <w:spacing w:line="240" w:lineRule="auto"/>
              <w:jc w:val="center"/>
              <w:rPr>
                <w:color w:val="000000"/>
                <w:kern w:val="0"/>
                <w:szCs w:val="21"/>
              </w:rPr>
            </w:pPr>
            <w:r>
              <w:rPr>
                <w:color w:val="000000"/>
                <w:kern w:val="0"/>
                <w:szCs w:val="21"/>
              </w:rPr>
              <w:t>人数</w:t>
            </w:r>
          </w:p>
        </w:tc>
        <w:tc>
          <w:tcPr>
            <w:tcW w:w="1667" w:type="pct"/>
            <w:shd w:val="clear" w:color="auto" w:fill="BDD6EE" w:themeFill="accent1" w:themeFillTint="66"/>
            <w:vAlign w:val="center"/>
          </w:tcPr>
          <w:p>
            <w:pPr>
              <w:snapToGrid w:val="0"/>
              <w:spacing w:line="240" w:lineRule="auto"/>
              <w:jc w:val="center"/>
              <w:rPr>
                <w:color w:val="000000"/>
                <w:kern w:val="0"/>
                <w:szCs w:val="21"/>
              </w:rPr>
            </w:pPr>
            <w:r>
              <w:rPr>
                <w:color w:val="000000"/>
                <w:kern w:val="0"/>
                <w:szCs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22" w:type="pct"/>
            <w:gridSpan w:val="2"/>
            <w:vMerge w:val="continue"/>
            <w:tcBorders>
              <w:bottom w:val="single" w:color="auto" w:sz="4" w:space="0"/>
            </w:tcBorders>
            <w:shd w:val="clear" w:color="auto" w:fill="BDD6EE" w:themeFill="accent1" w:themeFillTint="66"/>
            <w:vAlign w:val="center"/>
          </w:tcPr>
          <w:p>
            <w:pPr>
              <w:snapToGrid w:val="0"/>
              <w:spacing w:line="240" w:lineRule="auto"/>
              <w:jc w:val="center"/>
              <w:rPr>
                <w:b/>
                <w:color w:val="000000"/>
                <w:kern w:val="0"/>
                <w:szCs w:val="21"/>
              </w:rPr>
            </w:pPr>
          </w:p>
        </w:tc>
        <w:tc>
          <w:tcPr>
            <w:tcW w:w="1311" w:type="pct"/>
            <w:tcBorders>
              <w:bottom w:val="single" w:color="auto" w:sz="4" w:space="0"/>
            </w:tcBorders>
            <w:shd w:val="clear" w:color="auto" w:fill="BDD6EE" w:themeFill="accent1" w:themeFillTint="66"/>
            <w:vAlign w:val="center"/>
          </w:tcPr>
          <w:p>
            <w:pPr>
              <w:snapToGrid w:val="0"/>
              <w:spacing w:line="240" w:lineRule="auto"/>
              <w:jc w:val="center"/>
              <w:rPr>
                <w:color w:val="000000"/>
                <w:kern w:val="0"/>
                <w:szCs w:val="21"/>
              </w:rPr>
            </w:pPr>
            <w:r>
              <w:rPr>
                <w:color w:val="000000"/>
                <w:kern w:val="0"/>
                <w:szCs w:val="21"/>
              </w:rPr>
              <w:t>21</w:t>
            </w:r>
          </w:p>
        </w:tc>
        <w:tc>
          <w:tcPr>
            <w:tcW w:w="1667" w:type="pct"/>
            <w:tcBorders>
              <w:bottom w:val="single" w:color="auto" w:sz="4" w:space="0"/>
            </w:tcBorders>
            <w:shd w:val="clear" w:color="auto" w:fill="BDD6EE" w:themeFill="accent1" w:themeFillTint="66"/>
            <w:vAlign w:val="center"/>
          </w:tcPr>
          <w:p>
            <w:pPr>
              <w:snapToGrid w:val="0"/>
              <w:spacing w:line="240" w:lineRule="auto"/>
              <w:jc w:val="center"/>
              <w:rPr>
                <w:color w:val="000000"/>
                <w:kern w:val="0"/>
                <w:szCs w:val="21"/>
              </w:rPr>
            </w:pPr>
            <w:r>
              <w:rPr>
                <w:color w:val="000000"/>
                <w:kern w:val="0"/>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restart"/>
            <w:shd w:val="clear" w:color="auto" w:fill="BDD6EE" w:themeFill="accent1" w:themeFillTint="66"/>
            <w:vAlign w:val="center"/>
          </w:tcPr>
          <w:p>
            <w:pPr>
              <w:snapToGrid w:val="0"/>
              <w:spacing w:line="240" w:lineRule="auto"/>
              <w:jc w:val="center"/>
              <w:rPr>
                <w:color w:val="000000"/>
                <w:kern w:val="0"/>
                <w:szCs w:val="21"/>
              </w:rPr>
            </w:pPr>
            <w:r>
              <w:rPr>
                <w:color w:val="000000"/>
                <w:kern w:val="0"/>
                <w:szCs w:val="21"/>
              </w:rPr>
              <w:t>职称</w:t>
            </w:r>
          </w:p>
        </w:tc>
        <w:tc>
          <w:tcPr>
            <w:tcW w:w="1430" w:type="pct"/>
            <w:shd w:val="clear" w:color="auto" w:fill="BDD6EE" w:themeFill="accent1" w:themeFillTint="66"/>
            <w:vAlign w:val="center"/>
          </w:tcPr>
          <w:p>
            <w:pPr>
              <w:snapToGrid w:val="0"/>
              <w:spacing w:line="240" w:lineRule="auto"/>
              <w:jc w:val="center"/>
              <w:rPr>
                <w:color w:val="000000"/>
                <w:kern w:val="0"/>
                <w:szCs w:val="21"/>
              </w:rPr>
            </w:pPr>
            <w:r>
              <w:rPr>
                <w:color w:val="000000"/>
                <w:kern w:val="0"/>
                <w:szCs w:val="21"/>
              </w:rPr>
              <w:t>正高级</w:t>
            </w:r>
          </w:p>
        </w:tc>
        <w:tc>
          <w:tcPr>
            <w:tcW w:w="1311" w:type="pct"/>
            <w:shd w:val="clear" w:color="auto" w:fill="E7E6E6" w:themeFill="background2"/>
            <w:vAlign w:val="center"/>
          </w:tcPr>
          <w:p>
            <w:pPr>
              <w:snapToGrid w:val="0"/>
              <w:spacing w:line="240" w:lineRule="auto"/>
              <w:jc w:val="center"/>
              <w:rPr>
                <w:color w:val="000000"/>
                <w:kern w:val="0"/>
                <w:szCs w:val="21"/>
              </w:rPr>
            </w:pPr>
            <w:r>
              <w:rPr>
                <w:color w:val="000000"/>
                <w:kern w:val="0"/>
                <w:szCs w:val="21"/>
              </w:rPr>
              <w:t>1</w:t>
            </w:r>
          </w:p>
        </w:tc>
        <w:tc>
          <w:tcPr>
            <w:tcW w:w="1667" w:type="pct"/>
            <w:shd w:val="clear" w:color="auto" w:fill="E7E6E6" w:themeFill="background2"/>
          </w:tcPr>
          <w:p>
            <w:pPr>
              <w:snapToGrid w:val="0"/>
              <w:spacing w:line="240" w:lineRule="auto"/>
              <w:jc w:val="center"/>
              <w:rPr>
                <w:color w:val="000000"/>
                <w:kern w:val="0"/>
                <w:szCs w:val="21"/>
              </w:rPr>
            </w:pPr>
            <w:r>
              <w:rPr>
                <w:color w:val="000000"/>
                <w:kern w:val="0"/>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shd w:val="clear" w:color="auto" w:fill="BDD6EE" w:themeFill="accent1" w:themeFillTint="66"/>
            <w:vAlign w:val="center"/>
          </w:tcPr>
          <w:p>
            <w:pPr>
              <w:snapToGrid w:val="0"/>
              <w:spacing w:line="240" w:lineRule="auto"/>
              <w:jc w:val="center"/>
              <w:rPr>
                <w:color w:val="000000"/>
                <w:kern w:val="0"/>
                <w:szCs w:val="21"/>
              </w:rPr>
            </w:pPr>
          </w:p>
        </w:tc>
        <w:tc>
          <w:tcPr>
            <w:tcW w:w="1430" w:type="pct"/>
            <w:shd w:val="clear" w:color="auto" w:fill="BDD6EE" w:themeFill="accent1" w:themeFillTint="66"/>
            <w:vAlign w:val="center"/>
          </w:tcPr>
          <w:p>
            <w:pPr>
              <w:snapToGrid w:val="0"/>
              <w:spacing w:line="240" w:lineRule="auto"/>
              <w:jc w:val="center"/>
              <w:rPr>
                <w:color w:val="000000"/>
                <w:kern w:val="0"/>
                <w:szCs w:val="21"/>
              </w:rPr>
            </w:pPr>
            <w:r>
              <w:rPr>
                <w:color w:val="000000"/>
                <w:kern w:val="0"/>
                <w:szCs w:val="21"/>
              </w:rPr>
              <w:t>副高级</w:t>
            </w:r>
          </w:p>
        </w:tc>
        <w:tc>
          <w:tcPr>
            <w:tcW w:w="1311" w:type="pct"/>
            <w:shd w:val="clear" w:color="auto" w:fill="E7E6E6" w:themeFill="background2"/>
            <w:vAlign w:val="center"/>
          </w:tcPr>
          <w:p>
            <w:pPr>
              <w:snapToGrid w:val="0"/>
              <w:spacing w:line="240" w:lineRule="auto"/>
              <w:jc w:val="center"/>
              <w:rPr>
                <w:color w:val="000000"/>
                <w:kern w:val="0"/>
                <w:szCs w:val="21"/>
              </w:rPr>
            </w:pPr>
            <w:r>
              <w:rPr>
                <w:color w:val="000000"/>
                <w:kern w:val="0"/>
                <w:szCs w:val="21"/>
              </w:rPr>
              <w:t>7</w:t>
            </w:r>
          </w:p>
        </w:tc>
        <w:tc>
          <w:tcPr>
            <w:tcW w:w="1667" w:type="pct"/>
            <w:shd w:val="clear" w:color="auto" w:fill="E7E6E6" w:themeFill="background2"/>
          </w:tcPr>
          <w:p>
            <w:pPr>
              <w:snapToGrid w:val="0"/>
              <w:spacing w:line="240" w:lineRule="auto"/>
              <w:jc w:val="center"/>
              <w:rPr>
                <w:color w:val="000000"/>
                <w:kern w:val="0"/>
                <w:szCs w:val="21"/>
              </w:rPr>
            </w:pPr>
            <w:r>
              <w:rPr>
                <w:color w:val="000000"/>
                <w:kern w:val="0"/>
                <w:szCs w:val="21"/>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shd w:val="clear" w:color="auto" w:fill="BDD6EE" w:themeFill="accent1" w:themeFillTint="66"/>
            <w:vAlign w:val="center"/>
          </w:tcPr>
          <w:p>
            <w:pPr>
              <w:snapToGrid w:val="0"/>
              <w:spacing w:line="240" w:lineRule="auto"/>
              <w:jc w:val="center"/>
              <w:rPr>
                <w:color w:val="000000"/>
                <w:kern w:val="0"/>
                <w:szCs w:val="21"/>
              </w:rPr>
            </w:pPr>
          </w:p>
        </w:tc>
        <w:tc>
          <w:tcPr>
            <w:tcW w:w="1430" w:type="pct"/>
            <w:shd w:val="clear" w:color="auto" w:fill="BDD6EE" w:themeFill="accent1" w:themeFillTint="66"/>
            <w:vAlign w:val="center"/>
          </w:tcPr>
          <w:p>
            <w:pPr>
              <w:snapToGrid w:val="0"/>
              <w:spacing w:line="240" w:lineRule="auto"/>
              <w:jc w:val="center"/>
              <w:rPr>
                <w:color w:val="000000"/>
                <w:kern w:val="0"/>
                <w:szCs w:val="21"/>
              </w:rPr>
            </w:pPr>
            <w:r>
              <w:rPr>
                <w:color w:val="000000"/>
                <w:kern w:val="0"/>
                <w:szCs w:val="21"/>
              </w:rPr>
              <w:t>中级</w:t>
            </w:r>
          </w:p>
        </w:tc>
        <w:tc>
          <w:tcPr>
            <w:tcW w:w="1311" w:type="pct"/>
            <w:shd w:val="clear" w:color="auto" w:fill="E7E6E6" w:themeFill="background2"/>
            <w:vAlign w:val="center"/>
          </w:tcPr>
          <w:p>
            <w:pPr>
              <w:snapToGrid w:val="0"/>
              <w:spacing w:line="240" w:lineRule="auto"/>
              <w:jc w:val="center"/>
              <w:rPr>
                <w:color w:val="000000"/>
                <w:kern w:val="0"/>
                <w:szCs w:val="21"/>
              </w:rPr>
            </w:pPr>
            <w:r>
              <w:rPr>
                <w:color w:val="000000"/>
                <w:kern w:val="0"/>
                <w:szCs w:val="21"/>
              </w:rPr>
              <w:t>13</w:t>
            </w:r>
          </w:p>
        </w:tc>
        <w:tc>
          <w:tcPr>
            <w:tcW w:w="1667" w:type="pct"/>
            <w:shd w:val="clear" w:color="auto" w:fill="E7E6E6" w:themeFill="background2"/>
          </w:tcPr>
          <w:p>
            <w:pPr>
              <w:snapToGrid w:val="0"/>
              <w:spacing w:line="240" w:lineRule="auto"/>
              <w:jc w:val="center"/>
              <w:rPr>
                <w:color w:val="000000"/>
                <w:kern w:val="0"/>
                <w:szCs w:val="21"/>
              </w:rPr>
            </w:pPr>
            <w:r>
              <w:rPr>
                <w:color w:val="000000"/>
                <w:kern w:val="0"/>
                <w:szCs w:val="21"/>
              </w:rPr>
              <w:t>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restart"/>
            <w:shd w:val="clear" w:color="auto" w:fill="BDD6EE" w:themeFill="accent1" w:themeFillTint="66"/>
            <w:vAlign w:val="center"/>
          </w:tcPr>
          <w:p>
            <w:pPr>
              <w:snapToGrid w:val="0"/>
              <w:spacing w:line="240" w:lineRule="auto"/>
              <w:jc w:val="center"/>
              <w:rPr>
                <w:color w:val="000000"/>
                <w:kern w:val="0"/>
                <w:szCs w:val="21"/>
              </w:rPr>
            </w:pPr>
            <w:r>
              <w:rPr>
                <w:color w:val="000000"/>
                <w:kern w:val="0"/>
                <w:szCs w:val="21"/>
              </w:rPr>
              <w:t>学位</w:t>
            </w:r>
          </w:p>
        </w:tc>
        <w:tc>
          <w:tcPr>
            <w:tcW w:w="1430" w:type="pct"/>
            <w:shd w:val="clear" w:color="auto" w:fill="BDD6EE" w:themeFill="accent1" w:themeFillTint="66"/>
            <w:vAlign w:val="center"/>
          </w:tcPr>
          <w:p>
            <w:pPr>
              <w:snapToGrid w:val="0"/>
              <w:spacing w:line="240" w:lineRule="auto"/>
              <w:jc w:val="center"/>
              <w:rPr>
                <w:color w:val="000000"/>
                <w:kern w:val="0"/>
                <w:szCs w:val="21"/>
              </w:rPr>
            </w:pPr>
            <w:r>
              <w:rPr>
                <w:color w:val="000000"/>
                <w:kern w:val="0"/>
                <w:szCs w:val="21"/>
              </w:rPr>
              <w:t>博士</w:t>
            </w:r>
          </w:p>
        </w:tc>
        <w:tc>
          <w:tcPr>
            <w:tcW w:w="1311" w:type="pct"/>
            <w:shd w:val="clear" w:color="auto" w:fill="E7E6E6" w:themeFill="background2"/>
            <w:vAlign w:val="center"/>
          </w:tcPr>
          <w:p>
            <w:pPr>
              <w:snapToGrid w:val="0"/>
              <w:spacing w:line="240" w:lineRule="auto"/>
              <w:jc w:val="center"/>
              <w:rPr>
                <w:color w:val="000000"/>
                <w:kern w:val="0"/>
                <w:szCs w:val="21"/>
              </w:rPr>
            </w:pPr>
            <w:r>
              <w:rPr>
                <w:color w:val="000000"/>
                <w:kern w:val="0"/>
                <w:szCs w:val="21"/>
              </w:rPr>
              <w:t>16</w:t>
            </w:r>
          </w:p>
        </w:tc>
        <w:tc>
          <w:tcPr>
            <w:tcW w:w="1667" w:type="pct"/>
            <w:shd w:val="clear" w:color="auto" w:fill="E7E6E6" w:themeFill="background2"/>
          </w:tcPr>
          <w:p>
            <w:pPr>
              <w:snapToGrid w:val="0"/>
              <w:spacing w:line="240" w:lineRule="auto"/>
              <w:jc w:val="center"/>
              <w:rPr>
                <w:color w:val="000000"/>
                <w:kern w:val="0"/>
                <w:szCs w:val="21"/>
              </w:rPr>
            </w:pPr>
            <w:r>
              <w:rPr>
                <w:color w:val="000000"/>
                <w:kern w:val="0"/>
                <w:szCs w:val="21"/>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shd w:val="clear" w:color="auto" w:fill="BDD6EE" w:themeFill="accent1" w:themeFillTint="66"/>
            <w:vAlign w:val="center"/>
          </w:tcPr>
          <w:p>
            <w:pPr>
              <w:snapToGrid w:val="0"/>
              <w:spacing w:line="240" w:lineRule="auto"/>
              <w:jc w:val="center"/>
              <w:rPr>
                <w:color w:val="000000"/>
                <w:kern w:val="0"/>
                <w:szCs w:val="21"/>
              </w:rPr>
            </w:pPr>
          </w:p>
        </w:tc>
        <w:tc>
          <w:tcPr>
            <w:tcW w:w="1430" w:type="pct"/>
            <w:shd w:val="clear" w:color="auto" w:fill="BDD6EE" w:themeFill="accent1" w:themeFillTint="66"/>
            <w:vAlign w:val="center"/>
          </w:tcPr>
          <w:p>
            <w:pPr>
              <w:snapToGrid w:val="0"/>
              <w:spacing w:line="240" w:lineRule="auto"/>
              <w:jc w:val="center"/>
              <w:rPr>
                <w:color w:val="000000"/>
                <w:kern w:val="0"/>
                <w:szCs w:val="21"/>
              </w:rPr>
            </w:pPr>
            <w:r>
              <w:rPr>
                <w:color w:val="000000"/>
                <w:kern w:val="0"/>
                <w:szCs w:val="21"/>
              </w:rPr>
              <w:t>硕士</w:t>
            </w:r>
          </w:p>
        </w:tc>
        <w:tc>
          <w:tcPr>
            <w:tcW w:w="1311" w:type="pct"/>
            <w:shd w:val="clear" w:color="auto" w:fill="E7E6E6" w:themeFill="background2"/>
            <w:vAlign w:val="center"/>
          </w:tcPr>
          <w:p>
            <w:pPr>
              <w:snapToGrid w:val="0"/>
              <w:spacing w:line="240" w:lineRule="auto"/>
              <w:jc w:val="center"/>
              <w:rPr>
                <w:color w:val="000000"/>
                <w:kern w:val="0"/>
                <w:szCs w:val="21"/>
              </w:rPr>
            </w:pPr>
            <w:r>
              <w:rPr>
                <w:color w:val="000000"/>
                <w:kern w:val="0"/>
                <w:szCs w:val="21"/>
              </w:rPr>
              <w:t>5</w:t>
            </w:r>
          </w:p>
        </w:tc>
        <w:tc>
          <w:tcPr>
            <w:tcW w:w="1667" w:type="pct"/>
            <w:shd w:val="clear" w:color="auto" w:fill="E7E6E6" w:themeFill="background2"/>
          </w:tcPr>
          <w:p>
            <w:pPr>
              <w:snapToGrid w:val="0"/>
              <w:spacing w:line="240" w:lineRule="auto"/>
              <w:jc w:val="center"/>
              <w:rPr>
                <w:color w:val="000000"/>
                <w:kern w:val="0"/>
                <w:szCs w:val="21"/>
              </w:rPr>
            </w:pPr>
            <w:r>
              <w:rPr>
                <w:color w:val="000000"/>
                <w:kern w:val="0"/>
                <w:szCs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restart"/>
            <w:shd w:val="clear" w:color="auto" w:fill="BDD6EE" w:themeFill="accent1" w:themeFillTint="66"/>
            <w:vAlign w:val="center"/>
          </w:tcPr>
          <w:p>
            <w:pPr>
              <w:snapToGrid w:val="0"/>
              <w:spacing w:line="240" w:lineRule="auto"/>
              <w:jc w:val="center"/>
              <w:rPr>
                <w:color w:val="000000"/>
                <w:kern w:val="0"/>
                <w:szCs w:val="21"/>
              </w:rPr>
            </w:pPr>
            <w:r>
              <w:rPr>
                <w:color w:val="000000"/>
                <w:kern w:val="0"/>
                <w:szCs w:val="21"/>
              </w:rPr>
              <w:t>年龄</w:t>
            </w:r>
          </w:p>
        </w:tc>
        <w:tc>
          <w:tcPr>
            <w:tcW w:w="1430" w:type="pct"/>
            <w:shd w:val="clear" w:color="auto" w:fill="BDD6EE" w:themeFill="accent1" w:themeFillTint="66"/>
            <w:vAlign w:val="center"/>
          </w:tcPr>
          <w:p>
            <w:pPr>
              <w:snapToGrid w:val="0"/>
              <w:spacing w:line="240" w:lineRule="auto"/>
              <w:jc w:val="center"/>
              <w:rPr>
                <w:color w:val="000000"/>
                <w:kern w:val="0"/>
                <w:szCs w:val="21"/>
              </w:rPr>
            </w:pPr>
            <w:r>
              <w:rPr>
                <w:color w:val="000000"/>
                <w:kern w:val="0"/>
                <w:szCs w:val="21"/>
              </w:rPr>
              <w:t>35岁及以下</w:t>
            </w:r>
          </w:p>
        </w:tc>
        <w:tc>
          <w:tcPr>
            <w:tcW w:w="1311" w:type="pct"/>
            <w:shd w:val="clear" w:color="auto" w:fill="E7E6E6" w:themeFill="background2"/>
            <w:vAlign w:val="center"/>
          </w:tcPr>
          <w:p>
            <w:pPr>
              <w:snapToGrid w:val="0"/>
              <w:spacing w:line="240" w:lineRule="auto"/>
              <w:jc w:val="center"/>
              <w:rPr>
                <w:color w:val="000000"/>
                <w:kern w:val="0"/>
                <w:szCs w:val="21"/>
              </w:rPr>
            </w:pPr>
            <w:r>
              <w:rPr>
                <w:color w:val="000000"/>
                <w:kern w:val="0"/>
                <w:szCs w:val="21"/>
              </w:rPr>
              <w:t>6</w:t>
            </w:r>
          </w:p>
        </w:tc>
        <w:tc>
          <w:tcPr>
            <w:tcW w:w="1667" w:type="pct"/>
            <w:shd w:val="clear" w:color="auto" w:fill="E7E6E6" w:themeFill="background2"/>
          </w:tcPr>
          <w:p>
            <w:pPr>
              <w:snapToGrid w:val="0"/>
              <w:spacing w:line="240" w:lineRule="auto"/>
              <w:jc w:val="center"/>
              <w:rPr>
                <w:color w:val="000000"/>
                <w:kern w:val="0"/>
                <w:szCs w:val="21"/>
              </w:rPr>
            </w:pPr>
            <w:r>
              <w:rPr>
                <w:color w:val="000000"/>
                <w:kern w:val="0"/>
                <w:szCs w:val="21"/>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shd w:val="clear" w:color="auto" w:fill="BDD6EE" w:themeFill="accent1" w:themeFillTint="66"/>
            <w:vAlign w:val="center"/>
          </w:tcPr>
          <w:p>
            <w:pPr>
              <w:snapToGrid w:val="0"/>
              <w:spacing w:line="240" w:lineRule="auto"/>
              <w:jc w:val="center"/>
              <w:rPr>
                <w:color w:val="000000"/>
                <w:kern w:val="0"/>
                <w:szCs w:val="21"/>
              </w:rPr>
            </w:pPr>
          </w:p>
        </w:tc>
        <w:tc>
          <w:tcPr>
            <w:tcW w:w="1430" w:type="pct"/>
            <w:shd w:val="clear" w:color="auto" w:fill="BDD6EE" w:themeFill="accent1" w:themeFillTint="66"/>
            <w:vAlign w:val="center"/>
          </w:tcPr>
          <w:p>
            <w:pPr>
              <w:snapToGrid w:val="0"/>
              <w:spacing w:line="240" w:lineRule="auto"/>
              <w:jc w:val="center"/>
              <w:rPr>
                <w:kern w:val="0"/>
                <w:szCs w:val="21"/>
              </w:rPr>
            </w:pPr>
            <w:r>
              <w:rPr>
                <w:kern w:val="0"/>
                <w:szCs w:val="21"/>
              </w:rPr>
              <w:t>36-45岁</w:t>
            </w:r>
          </w:p>
        </w:tc>
        <w:tc>
          <w:tcPr>
            <w:tcW w:w="1311" w:type="pct"/>
            <w:shd w:val="clear" w:color="auto" w:fill="E7E6E6" w:themeFill="background2"/>
            <w:vAlign w:val="center"/>
          </w:tcPr>
          <w:p>
            <w:pPr>
              <w:snapToGrid w:val="0"/>
              <w:spacing w:line="240" w:lineRule="auto"/>
              <w:jc w:val="center"/>
              <w:rPr>
                <w:color w:val="000000"/>
                <w:kern w:val="0"/>
                <w:szCs w:val="21"/>
              </w:rPr>
            </w:pPr>
            <w:r>
              <w:rPr>
                <w:color w:val="000000"/>
                <w:kern w:val="0"/>
                <w:szCs w:val="21"/>
              </w:rPr>
              <w:t>9</w:t>
            </w:r>
          </w:p>
        </w:tc>
        <w:tc>
          <w:tcPr>
            <w:tcW w:w="1667" w:type="pct"/>
            <w:shd w:val="clear" w:color="auto" w:fill="E7E6E6" w:themeFill="background2"/>
          </w:tcPr>
          <w:p>
            <w:pPr>
              <w:snapToGrid w:val="0"/>
              <w:spacing w:line="240" w:lineRule="auto"/>
              <w:jc w:val="center"/>
              <w:rPr>
                <w:color w:val="000000"/>
                <w:kern w:val="0"/>
                <w:szCs w:val="21"/>
              </w:rPr>
            </w:pPr>
            <w:r>
              <w:rPr>
                <w:color w:val="000000"/>
                <w:kern w:val="0"/>
                <w:szCs w:val="21"/>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shd w:val="clear" w:color="auto" w:fill="BDD6EE" w:themeFill="accent1" w:themeFillTint="66"/>
            <w:vAlign w:val="center"/>
          </w:tcPr>
          <w:p>
            <w:pPr>
              <w:snapToGrid w:val="0"/>
              <w:spacing w:line="240" w:lineRule="auto"/>
              <w:jc w:val="center"/>
              <w:rPr>
                <w:color w:val="000000"/>
                <w:kern w:val="0"/>
                <w:szCs w:val="21"/>
              </w:rPr>
            </w:pPr>
          </w:p>
        </w:tc>
        <w:tc>
          <w:tcPr>
            <w:tcW w:w="1430" w:type="pct"/>
            <w:shd w:val="clear" w:color="auto" w:fill="BDD6EE" w:themeFill="accent1" w:themeFillTint="66"/>
            <w:vAlign w:val="center"/>
          </w:tcPr>
          <w:p>
            <w:pPr>
              <w:snapToGrid w:val="0"/>
              <w:spacing w:line="240" w:lineRule="auto"/>
              <w:jc w:val="center"/>
              <w:rPr>
                <w:kern w:val="0"/>
                <w:szCs w:val="21"/>
              </w:rPr>
            </w:pPr>
            <w:r>
              <w:rPr>
                <w:kern w:val="0"/>
                <w:szCs w:val="21"/>
              </w:rPr>
              <w:t>46-55岁</w:t>
            </w:r>
          </w:p>
        </w:tc>
        <w:tc>
          <w:tcPr>
            <w:tcW w:w="1311" w:type="pct"/>
            <w:shd w:val="clear" w:color="auto" w:fill="E7E6E6" w:themeFill="background2"/>
            <w:vAlign w:val="center"/>
          </w:tcPr>
          <w:p>
            <w:pPr>
              <w:snapToGrid w:val="0"/>
              <w:spacing w:line="240" w:lineRule="auto"/>
              <w:jc w:val="center"/>
              <w:rPr>
                <w:color w:val="000000"/>
                <w:kern w:val="0"/>
                <w:szCs w:val="21"/>
              </w:rPr>
            </w:pPr>
            <w:r>
              <w:rPr>
                <w:color w:val="000000"/>
                <w:kern w:val="0"/>
                <w:szCs w:val="21"/>
              </w:rPr>
              <w:t>3</w:t>
            </w:r>
          </w:p>
        </w:tc>
        <w:tc>
          <w:tcPr>
            <w:tcW w:w="1667" w:type="pct"/>
            <w:shd w:val="clear" w:color="auto" w:fill="E7E6E6" w:themeFill="background2"/>
          </w:tcPr>
          <w:p>
            <w:pPr>
              <w:snapToGrid w:val="0"/>
              <w:spacing w:line="240" w:lineRule="auto"/>
              <w:jc w:val="center"/>
              <w:rPr>
                <w:color w:val="000000"/>
                <w:kern w:val="0"/>
                <w:szCs w:val="21"/>
              </w:rPr>
            </w:pPr>
            <w:r>
              <w:rPr>
                <w:color w:val="000000"/>
                <w:kern w:val="0"/>
                <w:szCs w:val="21"/>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shd w:val="clear" w:color="auto" w:fill="BDD6EE" w:themeFill="accent1" w:themeFillTint="66"/>
            <w:vAlign w:val="center"/>
          </w:tcPr>
          <w:p>
            <w:pPr>
              <w:snapToGrid w:val="0"/>
              <w:spacing w:line="240" w:lineRule="auto"/>
              <w:jc w:val="center"/>
              <w:rPr>
                <w:color w:val="000000"/>
                <w:kern w:val="0"/>
                <w:szCs w:val="21"/>
              </w:rPr>
            </w:pPr>
          </w:p>
        </w:tc>
        <w:tc>
          <w:tcPr>
            <w:tcW w:w="1430" w:type="pct"/>
            <w:shd w:val="clear" w:color="auto" w:fill="BDD6EE" w:themeFill="accent1" w:themeFillTint="66"/>
            <w:vAlign w:val="center"/>
          </w:tcPr>
          <w:p>
            <w:pPr>
              <w:snapToGrid w:val="0"/>
              <w:spacing w:line="240" w:lineRule="auto"/>
              <w:jc w:val="center"/>
              <w:rPr>
                <w:color w:val="000000"/>
                <w:kern w:val="0"/>
                <w:szCs w:val="21"/>
              </w:rPr>
            </w:pPr>
            <w:r>
              <w:rPr>
                <w:color w:val="000000"/>
                <w:kern w:val="0"/>
                <w:szCs w:val="21"/>
              </w:rPr>
              <w:t>56岁及以上</w:t>
            </w:r>
          </w:p>
        </w:tc>
        <w:tc>
          <w:tcPr>
            <w:tcW w:w="1311" w:type="pct"/>
            <w:shd w:val="clear" w:color="auto" w:fill="E7E6E6" w:themeFill="background2"/>
            <w:vAlign w:val="center"/>
          </w:tcPr>
          <w:p>
            <w:pPr>
              <w:snapToGrid w:val="0"/>
              <w:spacing w:line="240" w:lineRule="auto"/>
              <w:jc w:val="center"/>
              <w:rPr>
                <w:color w:val="000000"/>
                <w:kern w:val="0"/>
                <w:szCs w:val="21"/>
              </w:rPr>
            </w:pPr>
            <w:r>
              <w:rPr>
                <w:color w:val="000000"/>
                <w:kern w:val="0"/>
                <w:szCs w:val="21"/>
              </w:rPr>
              <w:t>3</w:t>
            </w:r>
          </w:p>
        </w:tc>
        <w:tc>
          <w:tcPr>
            <w:tcW w:w="1667" w:type="pct"/>
            <w:shd w:val="clear" w:color="auto" w:fill="E7E6E6" w:themeFill="background2"/>
          </w:tcPr>
          <w:p>
            <w:pPr>
              <w:snapToGrid w:val="0"/>
              <w:spacing w:line="240" w:lineRule="auto"/>
              <w:jc w:val="center"/>
              <w:rPr>
                <w:color w:val="000000"/>
                <w:kern w:val="0"/>
                <w:szCs w:val="21"/>
              </w:rPr>
            </w:pPr>
            <w:r>
              <w:rPr>
                <w:color w:val="000000"/>
                <w:kern w:val="0"/>
                <w:szCs w:val="21"/>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restart"/>
            <w:shd w:val="clear" w:color="auto" w:fill="BDD6EE" w:themeFill="accent1" w:themeFillTint="66"/>
            <w:vAlign w:val="center"/>
          </w:tcPr>
          <w:p>
            <w:pPr>
              <w:snapToGrid w:val="0"/>
              <w:spacing w:line="240" w:lineRule="auto"/>
              <w:jc w:val="center"/>
              <w:rPr>
                <w:color w:val="000000"/>
                <w:kern w:val="0"/>
                <w:szCs w:val="21"/>
              </w:rPr>
            </w:pPr>
            <w:r>
              <w:rPr>
                <w:color w:val="000000"/>
                <w:kern w:val="0"/>
                <w:szCs w:val="21"/>
              </w:rPr>
              <w:t>学缘</w:t>
            </w:r>
          </w:p>
        </w:tc>
        <w:tc>
          <w:tcPr>
            <w:tcW w:w="1430" w:type="pct"/>
            <w:shd w:val="clear" w:color="auto" w:fill="BDD6EE" w:themeFill="accent1" w:themeFillTint="66"/>
            <w:vAlign w:val="center"/>
          </w:tcPr>
          <w:p>
            <w:pPr>
              <w:snapToGrid w:val="0"/>
              <w:spacing w:line="240" w:lineRule="auto"/>
              <w:jc w:val="center"/>
              <w:rPr>
                <w:color w:val="000000"/>
                <w:kern w:val="0"/>
                <w:szCs w:val="21"/>
              </w:rPr>
            </w:pPr>
            <w:r>
              <w:rPr>
                <w:color w:val="000000"/>
                <w:kern w:val="0"/>
                <w:szCs w:val="21"/>
              </w:rPr>
              <w:t>本校</w:t>
            </w:r>
          </w:p>
        </w:tc>
        <w:tc>
          <w:tcPr>
            <w:tcW w:w="1311" w:type="pct"/>
            <w:shd w:val="clear" w:color="auto" w:fill="E7E6E6" w:themeFill="background2"/>
            <w:vAlign w:val="center"/>
          </w:tcPr>
          <w:p>
            <w:pPr>
              <w:snapToGrid w:val="0"/>
              <w:spacing w:line="240" w:lineRule="auto"/>
              <w:jc w:val="center"/>
              <w:rPr>
                <w:color w:val="000000"/>
                <w:kern w:val="0"/>
                <w:szCs w:val="21"/>
              </w:rPr>
            </w:pPr>
            <w:r>
              <w:rPr>
                <w:color w:val="000000"/>
                <w:kern w:val="0"/>
                <w:szCs w:val="21"/>
              </w:rPr>
              <w:t>5</w:t>
            </w:r>
          </w:p>
        </w:tc>
        <w:tc>
          <w:tcPr>
            <w:tcW w:w="1667" w:type="pct"/>
            <w:shd w:val="clear" w:color="auto" w:fill="E7E6E6" w:themeFill="background2"/>
          </w:tcPr>
          <w:p>
            <w:pPr>
              <w:snapToGrid w:val="0"/>
              <w:spacing w:line="240" w:lineRule="auto"/>
              <w:jc w:val="center"/>
              <w:rPr>
                <w:color w:val="000000"/>
                <w:kern w:val="0"/>
                <w:szCs w:val="21"/>
              </w:rPr>
            </w:pPr>
            <w:r>
              <w:rPr>
                <w:color w:val="000000"/>
                <w:kern w:val="0"/>
                <w:szCs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2" w:type="pct"/>
            <w:vMerge w:val="continue"/>
            <w:shd w:val="clear" w:color="auto" w:fill="BDD6EE" w:themeFill="accent1" w:themeFillTint="66"/>
            <w:vAlign w:val="center"/>
          </w:tcPr>
          <w:p>
            <w:pPr>
              <w:snapToGrid w:val="0"/>
              <w:spacing w:line="240" w:lineRule="auto"/>
              <w:jc w:val="center"/>
              <w:rPr>
                <w:color w:val="000000"/>
                <w:kern w:val="0"/>
                <w:szCs w:val="21"/>
              </w:rPr>
            </w:pPr>
          </w:p>
        </w:tc>
        <w:tc>
          <w:tcPr>
            <w:tcW w:w="1430" w:type="pct"/>
            <w:shd w:val="clear" w:color="auto" w:fill="BDD6EE" w:themeFill="accent1" w:themeFillTint="66"/>
            <w:vAlign w:val="center"/>
          </w:tcPr>
          <w:p>
            <w:pPr>
              <w:snapToGrid w:val="0"/>
              <w:spacing w:line="240" w:lineRule="auto"/>
              <w:jc w:val="center"/>
              <w:rPr>
                <w:color w:val="000000"/>
                <w:kern w:val="0"/>
                <w:szCs w:val="21"/>
              </w:rPr>
            </w:pPr>
            <w:r>
              <w:rPr>
                <w:color w:val="000000"/>
                <w:kern w:val="0"/>
                <w:szCs w:val="21"/>
              </w:rPr>
              <w:t>外校</w:t>
            </w:r>
          </w:p>
        </w:tc>
        <w:tc>
          <w:tcPr>
            <w:tcW w:w="1311" w:type="pct"/>
            <w:shd w:val="clear" w:color="auto" w:fill="E7E6E6" w:themeFill="background2"/>
            <w:vAlign w:val="center"/>
          </w:tcPr>
          <w:p>
            <w:pPr>
              <w:snapToGrid w:val="0"/>
              <w:spacing w:line="240" w:lineRule="auto"/>
              <w:jc w:val="center"/>
              <w:rPr>
                <w:color w:val="000000"/>
                <w:kern w:val="0"/>
                <w:szCs w:val="21"/>
              </w:rPr>
            </w:pPr>
            <w:r>
              <w:rPr>
                <w:color w:val="000000"/>
                <w:kern w:val="0"/>
                <w:szCs w:val="21"/>
              </w:rPr>
              <w:t>16</w:t>
            </w:r>
          </w:p>
        </w:tc>
        <w:tc>
          <w:tcPr>
            <w:tcW w:w="1667" w:type="pct"/>
            <w:shd w:val="clear" w:color="auto" w:fill="E7E6E6" w:themeFill="background2"/>
          </w:tcPr>
          <w:p>
            <w:pPr>
              <w:snapToGrid w:val="0"/>
              <w:spacing w:line="240" w:lineRule="auto"/>
              <w:jc w:val="center"/>
            </w:pPr>
            <w:r>
              <w:rPr>
                <w:color w:val="000000"/>
                <w:kern w:val="0"/>
                <w:szCs w:val="21"/>
              </w:rPr>
              <w:t>76%</w:t>
            </w:r>
          </w:p>
        </w:tc>
      </w:tr>
    </w:tbl>
    <w:p>
      <w:pPr>
        <w:spacing w:line="240" w:lineRule="auto"/>
        <w:jc w:val="center"/>
        <w:rPr>
          <w:szCs w:val="24"/>
        </w:rPr>
      </w:pPr>
      <w:r>
        <w:rPr>
          <w:szCs w:val="24"/>
        </w:rPr>
        <w:drawing>
          <wp:inline distT="0" distB="0" distL="0" distR="0">
            <wp:extent cx="2400300" cy="2806700"/>
            <wp:effectExtent l="0" t="0" r="0" b="1270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noChangeArrowheads="1"/>
                    </pic:cNvPicPr>
                  </pic:nvPicPr>
                  <pic:blipFill>
                    <a:blip r:embed="rId176" cstate="print">
                      <a:extLst>
                        <a:ext uri="{28A0092B-C50C-407E-A947-70E740481C1C}">
                          <a14:useLocalDpi xmlns:a14="http://schemas.microsoft.com/office/drawing/2010/main" val="0"/>
                        </a:ext>
                      </a:extLst>
                    </a:blip>
                    <a:srcRect l="29629" t="10231" r="28760" b="10374"/>
                    <a:stretch>
                      <a:fillRect/>
                    </a:stretch>
                  </pic:blipFill>
                  <pic:spPr>
                    <a:xfrm>
                      <a:off x="0" y="0"/>
                      <a:ext cx="2402779" cy="2810133"/>
                    </a:xfrm>
                    <a:prstGeom prst="rect">
                      <a:avLst/>
                    </a:prstGeom>
                    <a:noFill/>
                    <a:ln>
                      <a:noFill/>
                    </a:ln>
                  </pic:spPr>
                </pic:pic>
              </a:graphicData>
            </a:graphic>
          </wp:inline>
        </w:drawing>
      </w:r>
      <w:r>
        <w:rPr>
          <w:szCs w:val="24"/>
        </w:rPr>
        <w:drawing>
          <wp:inline distT="0" distB="0" distL="0" distR="0">
            <wp:extent cx="2231390" cy="2807970"/>
            <wp:effectExtent l="0" t="0" r="16510" b="1143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noChangeArrowheads="1"/>
                    </pic:cNvPicPr>
                  </pic:nvPicPr>
                  <pic:blipFill>
                    <a:blip r:embed="rId177" cstate="print">
                      <a:extLst>
                        <a:ext uri="{28A0092B-C50C-407E-A947-70E740481C1C}">
                          <a14:useLocalDpi xmlns:a14="http://schemas.microsoft.com/office/drawing/2010/main" val="0"/>
                        </a:ext>
                      </a:extLst>
                    </a:blip>
                    <a:srcRect l="29588" t="9358" r="29017" b="10089"/>
                    <a:stretch>
                      <a:fillRect/>
                    </a:stretch>
                  </pic:blipFill>
                  <pic:spPr>
                    <a:xfrm>
                      <a:off x="0" y="0"/>
                      <a:ext cx="2232000" cy="2808000"/>
                    </a:xfrm>
                    <a:prstGeom prst="rect">
                      <a:avLst/>
                    </a:prstGeom>
                    <a:noFill/>
                    <a:ln>
                      <a:noFill/>
                    </a:ln>
                  </pic:spPr>
                </pic:pic>
              </a:graphicData>
            </a:graphic>
          </wp:inline>
        </w:drawing>
      </w:r>
      <w:r>
        <w:rPr>
          <w:szCs w:val="24"/>
        </w:rPr>
        <w:drawing>
          <wp:inline distT="0" distB="0" distL="0" distR="0">
            <wp:extent cx="2501900" cy="2806700"/>
            <wp:effectExtent l="0" t="0" r="12700" b="1270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178" cstate="print">
                      <a:extLst>
                        <a:ext uri="{28A0092B-C50C-407E-A947-70E740481C1C}">
                          <a14:useLocalDpi xmlns:a14="http://schemas.microsoft.com/office/drawing/2010/main" val="0"/>
                        </a:ext>
                      </a:extLst>
                    </a:blip>
                    <a:srcRect l="28150" t="9600" r="26944" b="10335"/>
                    <a:stretch>
                      <a:fillRect/>
                    </a:stretch>
                  </pic:blipFill>
                  <pic:spPr>
                    <a:xfrm>
                      <a:off x="0" y="0"/>
                      <a:ext cx="2505912" cy="2811735"/>
                    </a:xfrm>
                    <a:prstGeom prst="rect">
                      <a:avLst/>
                    </a:prstGeom>
                    <a:noFill/>
                    <a:ln>
                      <a:noFill/>
                    </a:ln>
                  </pic:spPr>
                </pic:pic>
              </a:graphicData>
            </a:graphic>
          </wp:inline>
        </w:drawing>
      </w:r>
      <w:r>
        <w:rPr>
          <w:szCs w:val="24"/>
        </w:rPr>
        <w:t xml:space="preserve">       </w:t>
      </w:r>
      <w:r>
        <w:rPr>
          <w:szCs w:val="24"/>
        </w:rPr>
        <w:drawing>
          <wp:inline distT="0" distB="0" distL="0" distR="0">
            <wp:extent cx="2231390" cy="2807970"/>
            <wp:effectExtent l="0" t="0" r="16510" b="1143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noChangeArrowheads="1"/>
                    </pic:cNvPicPr>
                  </pic:nvPicPr>
                  <pic:blipFill>
                    <a:blip r:embed="rId179" cstate="print">
                      <a:extLst>
                        <a:ext uri="{28A0092B-C50C-407E-A947-70E740481C1C}">
                          <a14:useLocalDpi xmlns:a14="http://schemas.microsoft.com/office/drawing/2010/main" val="0"/>
                        </a:ext>
                      </a:extLst>
                    </a:blip>
                    <a:srcRect l="28903" t="10867" r="27144" b="3424"/>
                    <a:stretch>
                      <a:fillRect/>
                    </a:stretch>
                  </pic:blipFill>
                  <pic:spPr>
                    <a:xfrm>
                      <a:off x="0" y="0"/>
                      <a:ext cx="2232000" cy="2808000"/>
                    </a:xfrm>
                    <a:prstGeom prst="rect">
                      <a:avLst/>
                    </a:prstGeom>
                    <a:noFill/>
                    <a:ln>
                      <a:noFill/>
                    </a:ln>
                  </pic:spPr>
                </pic:pic>
              </a:graphicData>
            </a:graphic>
          </wp:inline>
        </w:drawing>
      </w:r>
    </w:p>
    <w:p>
      <w:pPr>
        <w:spacing w:after="156" w:afterLines="50"/>
        <w:ind w:firstLine="482"/>
        <w:jc w:val="center"/>
        <w:rPr>
          <w:b/>
          <w:sz w:val="21"/>
          <w:szCs w:val="21"/>
        </w:rPr>
      </w:pPr>
      <w:r>
        <w:rPr>
          <w:b/>
          <w:sz w:val="21"/>
          <w:szCs w:val="21"/>
        </w:rPr>
        <w:t>图1 专任教师队伍职称、年龄、学位和学缘结构统计</w:t>
      </w:r>
    </w:p>
    <w:p>
      <w:pPr>
        <w:ind w:firstLine="480" w:firstLineChars="200"/>
        <w:rPr>
          <w:szCs w:val="24"/>
        </w:rPr>
      </w:pPr>
      <w:r>
        <w:rPr>
          <w:szCs w:val="24"/>
        </w:rPr>
        <w:t>本专业教师用心教学，积极进取，教学水平不断提高，近年来获得了一系列教学科研成果，获得山东农业大学教学杰出教师奖1人，教学质量二等奖1人，全国高等学校测绘类专业青年教师讲课竞赛特等奖5人次、一等奖3人，二等奖3人，山东省教学成果奖二等奖1项，山东农业大学教学成果奖一等奖1项，三等奖1项；校级教学质量奖二等奖2人、三等奖3人。</w:t>
      </w:r>
    </w:p>
    <w:p>
      <w:pPr>
        <w:ind w:firstLine="480" w:firstLineChars="200"/>
        <w:rPr>
          <w:szCs w:val="24"/>
        </w:rPr>
      </w:pPr>
      <w:r>
        <w:rPr>
          <w:szCs w:val="24"/>
        </w:rPr>
        <w:t>为进一步提高人才培养质量，本专业通过多种方式和渠道，聘请企业和科研院所的技术专家作为兼职教师，主要承担或参与本科教学，如研究进展类课程、专业知识讲座和实习指导等教学任务，如聘请兼职教师参与对学生的专业实习现场指导（包括专业认识实习、生产实习），参与毕业论文的开题和论文答辩，与校内老师共同指导毕业设计等，形成了一支专兼结合的教师队伍。</w:t>
      </w:r>
    </w:p>
    <w:p>
      <w:pPr>
        <w:pStyle w:val="45"/>
        <w:ind w:firstLine="480"/>
        <w:rPr>
          <w:rFonts w:ascii="Times New Roman" w:hAnsi="Times New Roman"/>
        </w:rPr>
      </w:pPr>
      <w:r>
        <w:rPr>
          <w:rFonts w:ascii="Times New Roman" w:hAnsi="Times New Roman"/>
        </w:rPr>
        <w:t>5.现代教学技术应用</w:t>
      </w:r>
    </w:p>
    <w:p>
      <w:pPr>
        <w:ind w:firstLine="480" w:firstLineChars="200"/>
        <w:rPr>
          <w:szCs w:val="24"/>
        </w:rPr>
      </w:pPr>
      <w:r>
        <w:rPr>
          <w:szCs w:val="24"/>
        </w:rPr>
        <w:t>在教学过程中，充分利用现代多媒体技术、网络技术和智慧教学工具，增强教学过程的动态感，丰富学生视野和工程教学环境，提高教学效率。本专业建设有专业网站</w:t>
      </w:r>
      <w:r>
        <w:rPr>
          <w:rFonts w:hint="eastAsia"/>
          <w:szCs w:val="24"/>
        </w:rPr>
        <w:t>“</w:t>
      </w:r>
      <w:r>
        <w:rPr>
          <w:szCs w:val="24"/>
        </w:rPr>
        <w:t>农大遥感</w:t>
      </w:r>
      <w:r>
        <w:rPr>
          <w:rFonts w:hint="eastAsia"/>
          <w:szCs w:val="24"/>
        </w:rPr>
        <w:t>”</w:t>
      </w:r>
      <w:r>
        <w:rPr>
          <w:szCs w:val="24"/>
        </w:rPr>
        <w:t>，学生可以通过专业网站了解专业、学习专业、考研就业的平台，也是招生宣传、专业教育的有利渠道。</w:t>
      </w:r>
      <w:r>
        <w:rPr>
          <w:rFonts w:hint="eastAsia"/>
          <w:szCs w:val="24"/>
        </w:rPr>
        <w:t>“</w:t>
      </w:r>
      <w:r>
        <w:rPr>
          <w:szCs w:val="24"/>
        </w:rPr>
        <w:t>农大遥感</w:t>
      </w:r>
      <w:r>
        <w:rPr>
          <w:rFonts w:hint="eastAsia"/>
          <w:szCs w:val="24"/>
        </w:rPr>
        <w:t>”</w:t>
      </w:r>
      <w:r>
        <w:rPr>
          <w:szCs w:val="24"/>
        </w:rPr>
        <w:t>专业网站，设置了遥感专业、师资队伍、课程网站等7个模块，遥感专业模块介绍了专业建设、培养方案、招生就业、媒体宣传、专业徽标等内容，是学生正面了解专业的最佳渠道；开辟了课程网站和教学资源模块，含盖了该专业的主要课程，设置了课程介绍、教学大纲、教学日历、实习实验、在线课堂等内容，提供了教学视频、影像、软件、课外资料等教学资源，是学生专业学习的阵地；遥感风采模块设置了专业新闻、班级风采、迎新毕业、实习花絮、专业社团、创新创业等内容，充分展示了农大遥感人的魅力。如图2所示。</w:t>
      </w:r>
    </w:p>
    <w:p>
      <w:pPr>
        <w:spacing w:line="240" w:lineRule="auto"/>
        <w:ind w:firstLine="480" w:firstLineChars="200"/>
        <w:jc w:val="center"/>
        <w:rPr>
          <w:b/>
          <w:bCs/>
          <w:sz w:val="21"/>
          <w:szCs w:val="21"/>
        </w:rPr>
      </w:pPr>
      <w:r>
        <w:rPr>
          <w:szCs w:val="24"/>
        </w:rPr>
        <w:drawing>
          <wp:inline distT="0" distB="0" distL="0" distR="0">
            <wp:extent cx="5274310" cy="3628390"/>
            <wp:effectExtent l="0" t="0" r="2540" b="1016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a:xfrm>
                      <a:off x="0" y="0"/>
                      <a:ext cx="5274310" cy="3628390"/>
                    </a:xfrm>
                    <a:prstGeom prst="rect">
                      <a:avLst/>
                    </a:prstGeom>
                    <a:noFill/>
                    <a:ln>
                      <a:noFill/>
                    </a:ln>
                  </pic:spPr>
                </pic:pic>
              </a:graphicData>
            </a:graphic>
          </wp:inline>
        </w:drawing>
      </w:r>
    </w:p>
    <w:p>
      <w:pPr>
        <w:spacing w:after="156" w:afterLines="50"/>
        <w:ind w:firstLine="482"/>
        <w:jc w:val="center"/>
        <w:rPr>
          <w:b/>
          <w:bCs/>
          <w:sz w:val="21"/>
          <w:szCs w:val="21"/>
        </w:rPr>
      </w:pPr>
      <w:r>
        <w:rPr>
          <w:b/>
          <w:bCs/>
          <w:sz w:val="21"/>
          <w:szCs w:val="21"/>
        </w:rPr>
        <w:t>图2 农大遥感网站首页</w:t>
      </w:r>
    </w:p>
    <w:p>
      <w:pPr>
        <w:ind w:firstLine="482"/>
        <w:rPr>
          <w:szCs w:val="24"/>
        </w:rPr>
      </w:pPr>
      <w:r>
        <w:rPr>
          <w:szCs w:val="24"/>
        </w:rPr>
        <w:t>此外，本专业老师在应用多媒体进行课堂教学的同时，还积极通过微信、QQ和短信等方式与学生进行学习交流，尤其是近年疫情期间，采用腾讯会议、钉钉课堂、雨课堂等在线方式进行授课也取得了较好效果。为了提高课堂教学效果，要求教师认真准备多媒体课件，要求内容丰富、图文并茂、格式活泼，以提高学生学习的积极性和热情。鼓励教师采用现代网络平台开展辅助教学，将课程大纲、教学课件上传到平台，并经常与学生线上开展互动，及时解决学生学习中遇到的问题。鼓励教师开展慕课(MOOC)探索。</w:t>
      </w:r>
    </w:p>
    <w:p>
      <w:pPr>
        <w:pStyle w:val="5"/>
        <w:spacing w:before="93" w:after="93"/>
        <w:ind w:firstLine="560"/>
        <w:rPr>
          <w:lang w:val="zh-CN"/>
        </w:rPr>
      </w:pPr>
      <w:r>
        <w:rPr>
          <w:lang w:val="zh-CN"/>
        </w:rPr>
        <w:t>四、培养机制与特色（产学研协同育人机制、合作办学、教学管理等）</w:t>
      </w:r>
    </w:p>
    <w:p>
      <w:pPr>
        <w:pStyle w:val="45"/>
        <w:ind w:firstLine="480"/>
        <w:rPr>
          <w:rFonts w:ascii="Times New Roman" w:hAnsi="Times New Roman"/>
        </w:rPr>
      </w:pPr>
      <w:r>
        <w:rPr>
          <w:rFonts w:ascii="Times New Roman" w:hAnsi="Times New Roman"/>
        </w:rPr>
        <w:t>1.产学研协同育人与合作办学</w:t>
      </w:r>
    </w:p>
    <w:p>
      <w:pPr>
        <w:ind w:firstLine="480" w:firstLineChars="200"/>
        <w:rPr>
          <w:szCs w:val="24"/>
        </w:rPr>
      </w:pPr>
      <w:r>
        <w:rPr>
          <w:szCs w:val="24"/>
        </w:rPr>
        <w:t>根据专业特色和社会需求，在广泛调研的基础上，邀请行业和企业专业共同修订完善培养方案，在增加实践教学环节学时学分的基础上，实行3+1培养模式，最后一年走出校门、走向社会，实现产学研、学校与社会协同育人，合作办学。</w:t>
      </w:r>
    </w:p>
    <w:p>
      <w:pPr>
        <w:ind w:firstLine="480" w:firstLineChars="200"/>
        <w:rPr>
          <w:szCs w:val="24"/>
        </w:rPr>
      </w:pPr>
      <w:r>
        <w:rPr>
          <w:szCs w:val="24"/>
        </w:rPr>
        <w:t>根据理论与实践结合、为社会服务的原则，学校在山东省地质测绘院、山东正元地理信息工程有限责任公司、山东农业大学勘察设计研究院、泰安市国土资源局金土地测绘公司、森迈测绘有限公司、北京苍穹数码测绘有限公司等多家单位建立教学实践育人基地，为大四学生提供生产实习岗位，在生产实践中锻炼学生的综合素质，提高学生的就业能力和创业精神。每年选派准备就业的同学到以上测绘技术有限公司进行顶岗实习，实习完成后，根据在企业的实际情况，向专业进行软硬件实验设备的推荐以及人才培养方面的建议，条件成熟可以购置。</w:t>
      </w:r>
    </w:p>
    <w:p>
      <w:pPr>
        <w:ind w:firstLine="480" w:firstLineChars="200"/>
        <w:rPr>
          <w:szCs w:val="24"/>
        </w:rPr>
      </w:pPr>
      <w:r>
        <w:rPr>
          <w:szCs w:val="24"/>
        </w:rPr>
        <w:t>此外，为落实好测绘工程专业产学研合作模式，提升学科办学实力、促进学科发展，提高学生培养质量，加强产学研合作体制机制研究，成立产学研合作委员会，制定产学研合作运行管理办法，建立产学研合作指导团队，并加强教学运行管理。</w:t>
      </w:r>
    </w:p>
    <w:p>
      <w:pPr>
        <w:pStyle w:val="45"/>
        <w:ind w:firstLine="480"/>
        <w:rPr>
          <w:rFonts w:ascii="Times New Roman" w:hAnsi="Times New Roman"/>
        </w:rPr>
      </w:pPr>
      <w:r>
        <w:rPr>
          <w:rFonts w:ascii="Times New Roman" w:hAnsi="Times New Roman"/>
        </w:rPr>
        <w:t>2.教学管理</w:t>
      </w:r>
    </w:p>
    <w:p>
      <w:pPr>
        <w:ind w:firstLine="480" w:firstLineChars="200"/>
        <w:rPr>
          <w:szCs w:val="24"/>
        </w:rPr>
      </w:pPr>
      <w:r>
        <w:rPr>
          <w:szCs w:val="24"/>
        </w:rPr>
        <w:t>测绘遥感课程特有的空间概念和空间理论、仪器设备的结构原理和实际操作程序的抽象性，促使我们大胆改革，形成特色教学方法。逐步形成并完善了</w:t>
      </w:r>
      <w:r>
        <w:rPr>
          <w:rFonts w:hint="eastAsia"/>
          <w:szCs w:val="24"/>
        </w:rPr>
        <w:t>“</w:t>
      </w:r>
      <w:r>
        <w:rPr>
          <w:szCs w:val="24"/>
        </w:rPr>
        <w:t>理论讲授、课堂演示、随堂实验、综合实习、巩固提高</w:t>
      </w:r>
      <w:r>
        <w:rPr>
          <w:rFonts w:hint="eastAsia"/>
          <w:szCs w:val="24"/>
        </w:rPr>
        <w:t>”</w:t>
      </w:r>
      <w:r>
        <w:rPr>
          <w:szCs w:val="24"/>
        </w:rPr>
        <w:t>的五步特色教学方法，逐步形成了</w:t>
      </w:r>
      <w:r>
        <w:rPr>
          <w:rFonts w:hint="eastAsia"/>
          <w:szCs w:val="24"/>
        </w:rPr>
        <w:t>“</w:t>
      </w:r>
      <w:r>
        <w:rPr>
          <w:szCs w:val="24"/>
        </w:rPr>
        <w:t>传统板书教学与多媒体辅助教学相结合，课堂教学与网络互动教学相结合，理论教学与实践教学相结合，仪器设备进课堂，专业软件上机房</w:t>
      </w:r>
      <w:r>
        <w:rPr>
          <w:rFonts w:hint="eastAsia"/>
          <w:szCs w:val="24"/>
        </w:rPr>
        <w:t>”</w:t>
      </w:r>
      <w:r>
        <w:rPr>
          <w:szCs w:val="24"/>
        </w:rPr>
        <w:t>的专业教学特色。</w:t>
      </w:r>
    </w:p>
    <w:p>
      <w:pPr>
        <w:pStyle w:val="5"/>
        <w:spacing w:before="93" w:after="93"/>
        <w:ind w:firstLine="560"/>
        <w:rPr>
          <w:lang w:val="zh-CN"/>
        </w:rPr>
      </w:pPr>
      <w:r>
        <w:rPr>
          <w:lang w:val="zh-CN"/>
        </w:rPr>
        <w:t>五、培养质量</w:t>
      </w:r>
    </w:p>
    <w:p>
      <w:pPr>
        <w:ind w:firstLine="480" w:firstLineChars="200"/>
        <w:rPr>
          <w:szCs w:val="24"/>
        </w:rPr>
      </w:pPr>
      <w:r>
        <w:rPr>
          <w:szCs w:val="24"/>
        </w:rPr>
        <w:t>遥感科学与技术专业2022届毕业55人，3人推免到北京师范大学、中国气象科学研究院和华东师范大学继续深造，考研深造率40%，连续3年考研深造率在40%左右。就业专业对口率90%以上，就业单位如国土部门、建设部门和测绘知名企业。</w:t>
      </w:r>
    </w:p>
    <w:p>
      <w:pPr>
        <w:ind w:firstLine="480" w:firstLineChars="200"/>
        <w:rPr>
          <w:szCs w:val="24"/>
        </w:rPr>
      </w:pPr>
      <w:r>
        <w:rPr>
          <w:szCs w:val="24"/>
        </w:rPr>
        <w:t>人才培养的质量离不开专业建设，专业建设离不开教学改革，教学改革离不开专业特色。近年来，遥感科学与技术专业根据社会对遥感高级技术人才的需求，不断创新人才培养模式。一方面是以</w:t>
      </w:r>
      <w:r>
        <w:rPr>
          <w:rFonts w:hint="eastAsia"/>
          <w:szCs w:val="24"/>
        </w:rPr>
        <w:t>“</w:t>
      </w:r>
      <w:r>
        <w:rPr>
          <w:szCs w:val="24"/>
        </w:rPr>
        <w:t>大众化教育</w:t>
      </w:r>
      <w:r>
        <w:rPr>
          <w:rFonts w:hint="eastAsia"/>
          <w:szCs w:val="24"/>
        </w:rPr>
        <w:t>”</w:t>
      </w:r>
      <w:r>
        <w:rPr>
          <w:szCs w:val="24"/>
        </w:rPr>
        <w:t>为指针，坚定高质量培养标准，因材施教，分类培养（深造与就业），不断完善课程体系，使专业人才培养方案更加适合学生个性发展；另一方面是着重加强实践教学环节，使学生的创新思维、协作精神、知识价值观在实践锻炼中逐步得到提高。根据遥感专业办学目标和实践性强的特点，初步形成了</w:t>
      </w:r>
      <w:r>
        <w:rPr>
          <w:rFonts w:hint="eastAsia"/>
          <w:szCs w:val="24"/>
        </w:rPr>
        <w:t>“</w:t>
      </w:r>
      <w:r>
        <w:rPr>
          <w:szCs w:val="24"/>
        </w:rPr>
        <w:t>施展个性、分类培养</w:t>
      </w:r>
      <w:r>
        <w:rPr>
          <w:rFonts w:hint="eastAsia"/>
          <w:szCs w:val="24"/>
        </w:rPr>
        <w:t>”</w:t>
      </w:r>
      <w:r>
        <w:rPr>
          <w:szCs w:val="24"/>
        </w:rPr>
        <w:t>的人才培养模式，以及</w:t>
      </w:r>
      <w:r>
        <w:rPr>
          <w:rFonts w:hint="eastAsia"/>
          <w:szCs w:val="24"/>
        </w:rPr>
        <w:t>“</w:t>
      </w:r>
      <w:r>
        <w:rPr>
          <w:szCs w:val="24"/>
        </w:rPr>
        <w:t>实验训练—实习提高—实践创新</w:t>
      </w:r>
      <w:r>
        <w:rPr>
          <w:rFonts w:hint="eastAsia"/>
          <w:szCs w:val="24"/>
        </w:rPr>
        <w:t>”</w:t>
      </w:r>
      <w:r>
        <w:rPr>
          <w:szCs w:val="24"/>
        </w:rPr>
        <w:t>的实践教学新模式，取得较好效果。毕业生理论基础扎实，动手能力强，综合素质高，工作踏实，友好协作，这是用人单位对我校测绘毕业生的普遍评价。继续深造的同学50%以上进入如北京师范大学、河海大学、中国地质大学（武汉）中国石油大学（华东）等国内知名的高校和科研院所，学生的学习能力、创新能力得到了学校导师的好评。这些都有力证明了本专业的培养质量和教学效果。</w:t>
      </w:r>
    </w:p>
    <w:p>
      <w:pPr>
        <w:pStyle w:val="5"/>
        <w:spacing w:before="93" w:after="93"/>
        <w:ind w:firstLine="560"/>
        <w:rPr>
          <w:lang w:val="zh-CN"/>
        </w:rPr>
      </w:pPr>
      <w:r>
        <w:rPr>
          <w:lang w:val="zh-CN"/>
        </w:rPr>
        <w:t>六、毕业生就业创业</w:t>
      </w:r>
    </w:p>
    <w:p>
      <w:pPr>
        <w:ind w:firstLine="480" w:firstLineChars="200"/>
        <w:rPr>
          <w:szCs w:val="24"/>
        </w:rPr>
      </w:pPr>
      <w:r>
        <w:rPr>
          <w:szCs w:val="24"/>
        </w:rPr>
        <w:t>为了进一步落实学校关于毕业生就业工作的有关要求，推动学院毕业生就业工作，信息学院实行就业指导教师包班制度，由院领导、系主任、专业主任、辅导员和专业教师担任相应毕业班级的就业指导教师，全权负责指导班级就业工作。对负责班级分析就业形势、讲解就业政策，全面掌握所负责班级的就业情况，了解每个同学的就业意向，对未就业的同学开展</w:t>
      </w:r>
      <w:r>
        <w:rPr>
          <w:rFonts w:hint="eastAsia"/>
          <w:szCs w:val="24"/>
        </w:rPr>
        <w:t>“</w:t>
      </w:r>
      <w:r>
        <w:rPr>
          <w:szCs w:val="24"/>
        </w:rPr>
        <w:t>一对一</w:t>
      </w:r>
      <w:r>
        <w:rPr>
          <w:rFonts w:hint="eastAsia"/>
          <w:szCs w:val="24"/>
        </w:rPr>
        <w:t>”</w:t>
      </w:r>
      <w:r>
        <w:rPr>
          <w:szCs w:val="24"/>
        </w:rPr>
        <w:t xml:space="preserve">的指导、帮扶等工作，引导其及时就业。 </w:t>
      </w:r>
    </w:p>
    <w:p>
      <w:pPr>
        <w:ind w:firstLine="480" w:firstLineChars="200"/>
        <w:rPr>
          <w:szCs w:val="24"/>
        </w:rPr>
      </w:pPr>
      <w:r>
        <w:rPr>
          <w:szCs w:val="24"/>
        </w:rPr>
        <w:t>创新创业是大学生素质教育的主要内容，是服务学生、发展学生的重要举措，学校立足于实践教学体系和学科专业特色优势，依托科技优势，整合专业资源，充实师资力量，形成了以专业驱动、项目驱动、平台驱动、机制</w:t>
      </w:r>
      <w:r>
        <w:rPr>
          <w:rFonts w:hint="eastAsia"/>
          <w:szCs w:val="24"/>
        </w:rPr>
        <w:t>“</w:t>
      </w:r>
      <w:r>
        <w:rPr>
          <w:szCs w:val="24"/>
        </w:rPr>
        <w:t>四驱</w:t>
      </w:r>
      <w:r>
        <w:rPr>
          <w:rFonts w:hint="eastAsia"/>
          <w:szCs w:val="24"/>
        </w:rPr>
        <w:t>”</w:t>
      </w:r>
      <w:r>
        <w:rPr>
          <w:szCs w:val="24"/>
        </w:rPr>
        <w:t>为核心的创新创业教育工作模式，深入开展各级各类创新创业活动，为提高学生创业意识和创新能力提供了广阔的舞台。</w:t>
      </w:r>
    </w:p>
    <w:p>
      <w:pPr>
        <w:ind w:firstLine="480" w:firstLineChars="200"/>
        <w:rPr>
          <w:szCs w:val="24"/>
        </w:rPr>
      </w:pPr>
      <w:r>
        <w:rPr>
          <w:szCs w:val="24"/>
        </w:rPr>
        <w:t>遥感科学与技术人才培养方案中专门设置2个创新创业实践学分，学生在校学习期间，通过参加科学研究、学科竞赛、文体创作、创业训练及各类社会实践活动等，取得具有一定创新意义的成果，经专业主任认定后获得学分。创新创业实践学分是人才培养方案规定的必修环节，学生获得规定的创新创业实践学分，方能准予毕业。</w:t>
      </w:r>
    </w:p>
    <w:p>
      <w:pPr>
        <w:pStyle w:val="5"/>
        <w:spacing w:before="93" w:after="93"/>
        <w:ind w:firstLine="560"/>
        <w:rPr>
          <w:lang w:val="zh-CN"/>
        </w:rPr>
      </w:pPr>
      <w:r>
        <w:rPr>
          <w:lang w:val="zh-CN"/>
        </w:rPr>
        <w:t>七、专业发展趋势及建议</w:t>
      </w:r>
    </w:p>
    <w:p>
      <w:pPr>
        <w:ind w:firstLine="480" w:firstLineChars="200"/>
        <w:rPr>
          <w:szCs w:val="24"/>
        </w:rPr>
      </w:pPr>
      <w:r>
        <w:rPr>
          <w:szCs w:val="24"/>
        </w:rPr>
        <w:t>21世纪是信息化时代，遥感科学与技术是一个集空间、物理、计算机及网络通信等现代高新技术于一体的多学科交叉融合的学科领域，已经形成了一个从地面空中和空间的多层次、多视角、多领域的对地观测体系，成为获取地球资源与环境信息的重要手段。2022年起，遥感科学与技术正式被教育部设立为一级交叉学科，为遥感科学的发展带来了新的机遇。因此，遥感科学与技术专业是随着全球信息化的发展和我国国民经济建设和国防建设的发展对专业人才的需求应运而生的，山东省目前仅有5所高校拥有遥感本科专业，而我校拥有测绘科学与技术一级学科硕士学位授予资格，摄影测量与遥感、地理信息系统等专业都是深造方向，所以其发展空间巨大，发展前景广阔，建议增加专业建设投入，实现快速发展，适当机会完成工程教育专业认证。</w:t>
      </w:r>
    </w:p>
    <w:p>
      <w:pPr>
        <w:pStyle w:val="5"/>
        <w:spacing w:before="93" w:after="93"/>
        <w:ind w:firstLine="560"/>
        <w:rPr>
          <w:lang w:val="zh-CN"/>
        </w:rPr>
      </w:pPr>
      <w:r>
        <w:rPr>
          <w:lang w:val="zh-CN"/>
        </w:rPr>
        <w:t>八、存在的问题及整改措施</w:t>
      </w:r>
    </w:p>
    <w:p>
      <w:pPr>
        <w:ind w:firstLine="480" w:firstLineChars="200"/>
        <w:rPr>
          <w:szCs w:val="24"/>
        </w:rPr>
      </w:pPr>
      <w:r>
        <w:rPr>
          <w:szCs w:val="24"/>
        </w:rPr>
        <w:t>山东农业大学2008年开始申办遥感专业，教学科研水平正在逐步提高，但与同类高校相比仍存在差距，特别是与工程教育专业认证标准要求有差距。</w:t>
      </w:r>
    </w:p>
    <w:p>
      <w:pPr>
        <w:ind w:firstLine="480" w:firstLineChars="200"/>
        <w:rPr>
          <w:szCs w:val="24"/>
        </w:rPr>
      </w:pPr>
      <w:r>
        <w:rPr>
          <w:szCs w:val="24"/>
        </w:rPr>
        <w:t>1.实验设备方面，专业实验室偏少，地物光谱测量仪、航摄仪等设备不足，专业软件教育版见多，专业版数量不够；专业实验室面积不足，个别实习实验需要分组安排。</w:t>
      </w:r>
    </w:p>
    <w:p>
      <w:pPr>
        <w:ind w:firstLine="480" w:firstLineChars="200"/>
        <w:rPr>
          <w:szCs w:val="24"/>
        </w:rPr>
      </w:pPr>
      <w:r>
        <w:rPr>
          <w:szCs w:val="24"/>
        </w:rPr>
        <w:t>2.科研条件方面，综合性科研项目少，个别基金项目缺少专业实验室和仪器设备，没有形成完善的科研团队和梯队。</w:t>
      </w:r>
    </w:p>
    <w:p>
      <w:pPr>
        <w:ind w:firstLine="480" w:firstLineChars="200"/>
        <w:rPr>
          <w:szCs w:val="24"/>
        </w:rPr>
      </w:pPr>
      <w:r>
        <w:rPr>
          <w:szCs w:val="24"/>
        </w:rPr>
        <w:t>3.师资力量方面，专业教师数量充足，但职称结构不合理。</w:t>
      </w:r>
    </w:p>
    <w:p>
      <w:pPr>
        <w:ind w:firstLine="480" w:firstLineChars="200"/>
        <w:rPr>
          <w:szCs w:val="24"/>
        </w:rPr>
      </w:pPr>
      <w:r>
        <w:rPr>
          <w:szCs w:val="24"/>
        </w:rPr>
        <w:t>主要措施：</w:t>
      </w:r>
    </w:p>
    <w:p>
      <w:pPr>
        <w:ind w:firstLine="480" w:firstLineChars="200"/>
        <w:rPr>
          <w:szCs w:val="24"/>
        </w:rPr>
      </w:pPr>
      <w:r>
        <w:rPr>
          <w:szCs w:val="24"/>
        </w:rPr>
        <w:t>1.积极争取建设经费，优先购买紧缺仪器设备，满足教学实验实习基本要求，填补个别实验项目的空白；加强实验教学管理，合理调配教学资源，如分班轮流实验等；建立启发与探究相结合、验证与讨论相结合、项目导向与技术创新相结合、参与生产与技能定级相结合的实践教学模式。</w:t>
      </w:r>
    </w:p>
    <w:p>
      <w:pPr>
        <w:ind w:firstLine="480" w:firstLineChars="200"/>
        <w:rPr>
          <w:szCs w:val="24"/>
        </w:rPr>
      </w:pPr>
      <w:r>
        <w:rPr>
          <w:szCs w:val="24"/>
        </w:rPr>
        <w:t>2.加强实习基地建设，进一步增加实习基地的数量，规范校内外实习基地的运行管理；加强校企联合，探讨校企联合人才培养模式，做到优势互补、资源共享。按照培养具有专业素养、实践能力、创新意识的遥感应用创新型人才的需要，着力建设好以能力培养为主的校内、校外两个实践平台和实践教学素材库，重点在校企、校政共建实习基地方面探索建立一套切实有效的合作机制。</w:t>
      </w:r>
    </w:p>
    <w:p>
      <w:pPr>
        <w:ind w:firstLine="480" w:firstLineChars="200"/>
        <w:rPr>
          <w:szCs w:val="24"/>
        </w:rPr>
      </w:pPr>
      <w:r>
        <w:rPr>
          <w:szCs w:val="24"/>
        </w:rPr>
        <w:t>3.积极争取学校和学院的支持，大力引进人才，在职称评聘方面积极争取支持。逐步引进测绘专业的硕士毕业生，充实实验室管理队伍。着力建成一支专兼职结合由学术技术带头人、教学名师、教坛新秀、企事业技术专家等为核心的总数达25人左右的高水平的师资队伍，建设形成具有良好操控性的</w:t>
      </w:r>
      <w:r>
        <w:rPr>
          <w:rFonts w:hint="eastAsia"/>
          <w:szCs w:val="24"/>
        </w:rPr>
        <w:t>“</w:t>
      </w:r>
      <w:r>
        <w:rPr>
          <w:szCs w:val="24"/>
        </w:rPr>
        <w:t>内培外引并重，专职兼职共存，专业技能齐全，教学理念先进</w:t>
      </w:r>
      <w:r>
        <w:rPr>
          <w:rFonts w:hint="eastAsia"/>
          <w:szCs w:val="24"/>
        </w:rPr>
        <w:t>”</w:t>
      </w:r>
      <w:r>
        <w:rPr>
          <w:szCs w:val="24"/>
        </w:rPr>
        <w:t>师资队伍建设与管理模式。</w:t>
      </w:r>
    </w:p>
    <w:p>
      <w:pPr>
        <w:ind w:firstLine="480" w:firstLineChars="200"/>
        <w:rPr>
          <w:szCs w:val="24"/>
        </w:rPr>
      </w:pPr>
      <w:r>
        <w:rPr>
          <w:szCs w:val="24"/>
        </w:rPr>
        <w:t>遥感专业教师具有敬业精神和不懈努力毅力，遥感专业从无到有，经过近十年发展从弱变强，我们将继续努力，争取政策倾斜，加大资金投入，使遥感专业建设再上一个新台阶。</w:t>
      </w:r>
    </w:p>
    <w:p>
      <w:pPr>
        <w:widowControl/>
        <w:jc w:val="left"/>
        <w:rPr>
          <w:rFonts w:eastAsia="黑体"/>
          <w:kern w:val="0"/>
          <w:sz w:val="30"/>
          <w:szCs w:val="30"/>
        </w:rPr>
      </w:pPr>
      <w:bookmarkStart w:id="803" w:name="_Toc30608"/>
      <w:bookmarkStart w:id="804" w:name="_Toc17451"/>
      <w:bookmarkStart w:id="805" w:name="_Toc32614"/>
      <w:r>
        <w:rPr>
          <w:sz w:val="30"/>
          <w:szCs w:val="30"/>
        </w:rPr>
        <w:br w:type="page"/>
      </w:r>
    </w:p>
    <w:bookmarkEnd w:id="803"/>
    <w:bookmarkEnd w:id="804"/>
    <w:bookmarkEnd w:id="805"/>
    <w:p>
      <w:pPr>
        <w:pStyle w:val="4"/>
        <w:ind w:firstLine="600"/>
      </w:pPr>
      <w:bookmarkStart w:id="806" w:name="_Toc12831"/>
      <w:bookmarkStart w:id="807" w:name="_Hlk119051322"/>
      <w:bookmarkStart w:id="808" w:name="_Toc24339"/>
      <w:r>
        <w:t>专业</w:t>
      </w:r>
      <w:r>
        <w:rPr>
          <w:rFonts w:hint="eastAsia"/>
          <w:lang w:val="en-US"/>
        </w:rPr>
        <w:t>七十五</w:t>
      </w:r>
      <w:r>
        <w:t>：数据科学与大数据技术</w:t>
      </w:r>
      <w:bookmarkEnd w:id="806"/>
    </w:p>
    <w:p>
      <w:pPr>
        <w:pStyle w:val="5"/>
        <w:spacing w:before="93" w:after="93"/>
        <w:ind w:firstLine="560"/>
      </w:pPr>
      <w:r>
        <w:t>一、培养目标与要求</w:t>
      </w:r>
    </w:p>
    <w:p>
      <w:pPr>
        <w:pStyle w:val="6"/>
        <w:ind w:firstLine="480"/>
        <w:rPr>
          <w:szCs w:val="24"/>
        </w:rPr>
      </w:pPr>
      <w:r>
        <w:rPr>
          <w:szCs w:val="24"/>
        </w:rPr>
        <w:t>1. 培养目标</w:t>
      </w:r>
    </w:p>
    <w:p>
      <w:pPr>
        <w:autoSpaceDE w:val="0"/>
        <w:autoSpaceDN w:val="0"/>
        <w:adjustRightInd w:val="0"/>
        <w:ind w:firstLine="480" w:firstLineChars="200"/>
        <w:rPr>
          <w:kern w:val="0"/>
          <w:szCs w:val="24"/>
        </w:rPr>
      </w:pPr>
      <w:r>
        <w:rPr>
          <w:kern w:val="0"/>
          <w:szCs w:val="24"/>
        </w:rPr>
        <w:t>数据科学与大数据技术专业培养德、智、体、美全面发展，适应社会与经济发展需求的数据科学与大数据技术及相关领域的应用型工程专业技术人才，掌握数据科学的基础知识、理论及技术，能够从事大数据分析、处理、服务、开发和利用的工作，大数据工程项目建设、管理、运行、维护的工作或者大数据研究、咨询、教育培训等方面的工作，具备大数据分析师的能力和继续深造的基础，能够胜任未来大数据工程职业工作。</w:t>
      </w:r>
    </w:p>
    <w:p>
      <w:pPr>
        <w:autoSpaceDE w:val="0"/>
        <w:autoSpaceDN w:val="0"/>
        <w:adjustRightInd w:val="0"/>
        <w:ind w:firstLine="480" w:firstLineChars="200"/>
        <w:rPr>
          <w:kern w:val="0"/>
          <w:szCs w:val="24"/>
        </w:rPr>
      </w:pPr>
      <w:r>
        <w:rPr>
          <w:kern w:val="0"/>
          <w:szCs w:val="24"/>
        </w:rPr>
        <w:t>本专业毕业生经过5年左右的职业历练，将达成以下培养目标：</w:t>
      </w:r>
    </w:p>
    <w:p>
      <w:pPr>
        <w:autoSpaceDE w:val="0"/>
        <w:autoSpaceDN w:val="0"/>
        <w:adjustRightInd w:val="0"/>
        <w:ind w:firstLine="480" w:firstLineChars="200"/>
        <w:rPr>
          <w:kern w:val="0"/>
          <w:szCs w:val="24"/>
        </w:rPr>
      </w:pPr>
      <w:r>
        <w:rPr>
          <w:kern w:val="0"/>
          <w:szCs w:val="24"/>
        </w:rPr>
        <w:t>（1）能够应用数据科学与大数据技术专业的理论、知识和技能，从事大数据分析、处理、服务、开发和利用工作。</w:t>
      </w:r>
    </w:p>
    <w:p>
      <w:pPr>
        <w:autoSpaceDE w:val="0"/>
        <w:autoSpaceDN w:val="0"/>
        <w:adjustRightInd w:val="0"/>
        <w:ind w:firstLine="480" w:firstLineChars="200"/>
        <w:rPr>
          <w:kern w:val="0"/>
          <w:szCs w:val="24"/>
        </w:rPr>
      </w:pPr>
      <w:r>
        <w:rPr>
          <w:kern w:val="0"/>
          <w:szCs w:val="24"/>
        </w:rPr>
        <w:t>（2）熟悉国内外数据科学与大数据技术发展状况和趋势，能够综合运用专业知识，分析并解决数据科学与大数据复杂工程问题。</w:t>
      </w:r>
    </w:p>
    <w:p>
      <w:pPr>
        <w:autoSpaceDE w:val="0"/>
        <w:autoSpaceDN w:val="0"/>
        <w:adjustRightInd w:val="0"/>
        <w:ind w:firstLine="480" w:firstLineChars="200"/>
        <w:rPr>
          <w:kern w:val="0"/>
          <w:szCs w:val="24"/>
        </w:rPr>
      </w:pPr>
      <w:r>
        <w:rPr>
          <w:kern w:val="0"/>
          <w:szCs w:val="24"/>
        </w:rPr>
        <w:t>（3）具备一定的组织管理能力、沟通表达能力和人际交往能力以及在团队中发挥作用的能力，能够在所从事的工作中担当相应的岗位职责。</w:t>
      </w:r>
    </w:p>
    <w:p>
      <w:pPr>
        <w:autoSpaceDE w:val="0"/>
        <w:autoSpaceDN w:val="0"/>
        <w:adjustRightInd w:val="0"/>
        <w:ind w:firstLine="480" w:firstLineChars="200"/>
        <w:rPr>
          <w:kern w:val="0"/>
          <w:szCs w:val="24"/>
        </w:rPr>
      </w:pPr>
      <w:r>
        <w:rPr>
          <w:kern w:val="0"/>
          <w:szCs w:val="24"/>
        </w:rPr>
        <w:t>（4）具备系统的大数据工程实践经验，能够从事大数据工程的项目设计、项目管理和组织实施等工作。</w:t>
      </w:r>
    </w:p>
    <w:p>
      <w:pPr>
        <w:autoSpaceDE w:val="0"/>
        <w:autoSpaceDN w:val="0"/>
        <w:adjustRightInd w:val="0"/>
        <w:ind w:firstLine="480" w:firstLineChars="200"/>
        <w:rPr>
          <w:kern w:val="0"/>
          <w:szCs w:val="24"/>
        </w:rPr>
      </w:pPr>
      <w:r>
        <w:rPr>
          <w:kern w:val="0"/>
          <w:szCs w:val="24"/>
        </w:rPr>
        <w:t>（5）具备数据科学与大数据技术职业素养和终身学习能力，在工作中具有创新意识。</w:t>
      </w:r>
    </w:p>
    <w:p>
      <w:pPr>
        <w:autoSpaceDE w:val="0"/>
        <w:autoSpaceDN w:val="0"/>
        <w:adjustRightInd w:val="0"/>
        <w:ind w:firstLine="480" w:firstLineChars="200"/>
        <w:rPr>
          <w:kern w:val="0"/>
          <w:szCs w:val="24"/>
        </w:rPr>
      </w:pPr>
      <w:r>
        <w:rPr>
          <w:kern w:val="0"/>
          <w:szCs w:val="24"/>
        </w:rPr>
        <w:t>（6）具有国际视野和跨文化的交流、竞争与合作能力，能够从事国际大数据工程项目的管理与实施。</w:t>
      </w:r>
    </w:p>
    <w:p>
      <w:pPr>
        <w:pStyle w:val="45"/>
        <w:ind w:firstLine="480"/>
        <w:rPr>
          <w:rFonts w:ascii="Times New Roman" w:hAnsi="Times New Roman"/>
          <w:szCs w:val="24"/>
        </w:rPr>
      </w:pPr>
      <w:r>
        <w:rPr>
          <w:rFonts w:ascii="Times New Roman" w:hAnsi="Times New Roman"/>
          <w:szCs w:val="24"/>
        </w:rPr>
        <w:t>2. 培养规格</w:t>
      </w:r>
    </w:p>
    <w:p>
      <w:pPr>
        <w:autoSpaceDE w:val="0"/>
        <w:autoSpaceDN w:val="0"/>
        <w:adjustRightInd w:val="0"/>
        <w:ind w:firstLine="480" w:firstLineChars="200"/>
        <w:rPr>
          <w:kern w:val="0"/>
          <w:szCs w:val="24"/>
        </w:rPr>
      </w:pPr>
      <w:r>
        <w:rPr>
          <w:kern w:val="0"/>
          <w:szCs w:val="24"/>
        </w:rPr>
        <w:t>本专业是一门涉及计算机科学、应用数学、统计学等多领域的交叉学科。学生通过系统学习数据科学与大数据技术相关的基本理论、基本方法和基本技能，在知识、能力和素质等方面应达到如下具体要求：</w:t>
      </w:r>
    </w:p>
    <w:p>
      <w:pPr>
        <w:autoSpaceDE w:val="0"/>
        <w:autoSpaceDN w:val="0"/>
        <w:adjustRightInd w:val="0"/>
        <w:ind w:firstLine="480" w:firstLineChars="200"/>
        <w:rPr>
          <w:bCs/>
          <w:kern w:val="0"/>
          <w:szCs w:val="24"/>
        </w:rPr>
      </w:pPr>
      <w:r>
        <w:rPr>
          <w:bCs/>
          <w:kern w:val="0"/>
          <w:szCs w:val="24"/>
        </w:rPr>
        <w:t>（1）工程知识：具有从事数据科学与大数据技术工作所需要的自然科学、工程基础和专业知识。</w:t>
      </w:r>
    </w:p>
    <w:p>
      <w:pPr>
        <w:autoSpaceDE w:val="0"/>
        <w:autoSpaceDN w:val="0"/>
        <w:adjustRightInd w:val="0"/>
        <w:ind w:firstLine="480" w:firstLineChars="200"/>
        <w:rPr>
          <w:bCs/>
          <w:kern w:val="0"/>
          <w:szCs w:val="24"/>
        </w:rPr>
      </w:pPr>
      <w:r>
        <w:rPr>
          <w:bCs/>
          <w:kern w:val="0"/>
          <w:szCs w:val="24"/>
        </w:rPr>
        <w:t>（2）问题分析：能够应用自然科学和大数据科学的基础原理，识别、表达、并通过文献研究分析复杂大数据工程问题，以获得有效结论。</w:t>
      </w:r>
    </w:p>
    <w:p>
      <w:pPr>
        <w:autoSpaceDE w:val="0"/>
        <w:autoSpaceDN w:val="0"/>
        <w:adjustRightInd w:val="0"/>
        <w:ind w:firstLine="480" w:firstLineChars="200"/>
        <w:rPr>
          <w:bCs/>
          <w:kern w:val="0"/>
          <w:szCs w:val="24"/>
        </w:rPr>
      </w:pPr>
      <w:r>
        <w:rPr>
          <w:bCs/>
          <w:kern w:val="0"/>
          <w:szCs w:val="24"/>
        </w:rPr>
        <w:t>（3）设计/开发解决方案：能够设计对复杂大数据工程问题的解决方案，包括满足特定需求的系统设计、组件选择、工程实施流程或方案设计，并能够在设计环节中体现创新意识，考虑社会、健康、安全、法律、文化以及环境等因素。</w:t>
      </w:r>
    </w:p>
    <w:p>
      <w:pPr>
        <w:autoSpaceDE w:val="0"/>
        <w:autoSpaceDN w:val="0"/>
        <w:adjustRightInd w:val="0"/>
        <w:ind w:firstLine="480" w:firstLineChars="200"/>
        <w:rPr>
          <w:bCs/>
          <w:kern w:val="0"/>
          <w:szCs w:val="24"/>
        </w:rPr>
      </w:pPr>
      <w:r>
        <w:rPr>
          <w:bCs/>
          <w:kern w:val="0"/>
          <w:szCs w:val="24"/>
        </w:rPr>
        <w:t>（4）问题研究：能够基于科学原理并采用科学方法对复杂大数据工程问题进行研究，包括设计实验、分析与解释数据、并通过信息综合得到合理有效的结论。</w:t>
      </w:r>
    </w:p>
    <w:p>
      <w:pPr>
        <w:autoSpaceDE w:val="0"/>
        <w:autoSpaceDN w:val="0"/>
        <w:adjustRightInd w:val="0"/>
        <w:ind w:firstLine="480" w:firstLineChars="200"/>
        <w:rPr>
          <w:bCs/>
          <w:kern w:val="0"/>
          <w:szCs w:val="24"/>
        </w:rPr>
      </w:pPr>
      <w:r>
        <w:rPr>
          <w:bCs/>
          <w:kern w:val="0"/>
          <w:szCs w:val="24"/>
        </w:rPr>
        <w:t>（5）使用现代工具：能够应用数据科学与大数据技术专业知识，针对复杂大数据工程问题，开发、选择与使用恰当的技术、资源、现代工程工具和信息技术工具，包括对复杂工程问题的预侧与模拟，并能够理解其局限性。</w:t>
      </w:r>
    </w:p>
    <w:p>
      <w:pPr>
        <w:autoSpaceDE w:val="0"/>
        <w:autoSpaceDN w:val="0"/>
        <w:adjustRightInd w:val="0"/>
        <w:ind w:firstLine="480" w:firstLineChars="200"/>
        <w:rPr>
          <w:bCs/>
          <w:kern w:val="0"/>
          <w:szCs w:val="24"/>
        </w:rPr>
      </w:pPr>
      <w:r>
        <w:rPr>
          <w:bCs/>
          <w:kern w:val="0"/>
          <w:szCs w:val="24"/>
        </w:rPr>
        <w:t>（6）工程与社会：能够基于计算机相关背景知识进行合理分析，评价大数据工程实践和复杂工程问题解决方案对社会、健康、安全、法律以及文化的影响，并理解应承担的责任。</w:t>
      </w:r>
    </w:p>
    <w:p>
      <w:pPr>
        <w:autoSpaceDE w:val="0"/>
        <w:autoSpaceDN w:val="0"/>
        <w:adjustRightInd w:val="0"/>
        <w:ind w:firstLine="480" w:firstLineChars="200"/>
        <w:rPr>
          <w:bCs/>
          <w:kern w:val="0"/>
          <w:szCs w:val="24"/>
        </w:rPr>
      </w:pPr>
      <w:r>
        <w:rPr>
          <w:bCs/>
          <w:kern w:val="0"/>
          <w:szCs w:val="24"/>
        </w:rPr>
        <w:t>（7）环境和可持续发展：能够理解和评价针对复杂大数据工程问题的工程实践对环境、社会可持续发展的影响。</w:t>
      </w:r>
    </w:p>
    <w:p>
      <w:pPr>
        <w:autoSpaceDE w:val="0"/>
        <w:autoSpaceDN w:val="0"/>
        <w:adjustRightInd w:val="0"/>
        <w:ind w:firstLine="480" w:firstLineChars="200"/>
        <w:rPr>
          <w:bCs/>
          <w:kern w:val="0"/>
          <w:szCs w:val="24"/>
        </w:rPr>
      </w:pPr>
      <w:r>
        <w:rPr>
          <w:bCs/>
          <w:kern w:val="0"/>
          <w:szCs w:val="24"/>
        </w:rPr>
        <w:t>（8）职业规范：具有人文社会科学素养、健康的体魄和社会责任感，能够在大数据工程实践中理解并遵守工程职业道德和规范，履行工程责任。</w:t>
      </w:r>
    </w:p>
    <w:p>
      <w:pPr>
        <w:autoSpaceDE w:val="0"/>
        <w:autoSpaceDN w:val="0"/>
        <w:adjustRightInd w:val="0"/>
        <w:ind w:firstLine="480" w:firstLineChars="200"/>
        <w:rPr>
          <w:bCs/>
          <w:kern w:val="0"/>
          <w:szCs w:val="24"/>
        </w:rPr>
      </w:pPr>
      <w:r>
        <w:rPr>
          <w:bCs/>
          <w:kern w:val="0"/>
          <w:szCs w:val="24"/>
        </w:rPr>
        <w:t>（9）个人和团队：具备独立工作能力和团结合作意识，能够在多学科背景下的团队中承担个体、团队成员以及负责人的角色。</w:t>
      </w:r>
    </w:p>
    <w:p>
      <w:pPr>
        <w:autoSpaceDE w:val="0"/>
        <w:autoSpaceDN w:val="0"/>
        <w:adjustRightInd w:val="0"/>
        <w:ind w:firstLine="480" w:firstLineChars="200"/>
        <w:rPr>
          <w:bCs/>
          <w:kern w:val="0"/>
          <w:szCs w:val="24"/>
        </w:rPr>
      </w:pPr>
      <w:r>
        <w:rPr>
          <w:bCs/>
          <w:kern w:val="0"/>
          <w:szCs w:val="24"/>
        </w:rPr>
        <w:t>（10）沟通：能够就复杂大数据工程问题与业界同行及社会公众进行有效沟通和交流，具备撰写报告和设计文稿，陈述发言和概括总结的能力，具备国际视野和跨文化交流的基本能力。</w:t>
      </w:r>
    </w:p>
    <w:p>
      <w:pPr>
        <w:autoSpaceDE w:val="0"/>
        <w:autoSpaceDN w:val="0"/>
        <w:adjustRightInd w:val="0"/>
        <w:ind w:firstLine="480" w:firstLineChars="200"/>
        <w:rPr>
          <w:bCs/>
          <w:kern w:val="0"/>
          <w:szCs w:val="24"/>
        </w:rPr>
      </w:pPr>
      <w:r>
        <w:rPr>
          <w:bCs/>
          <w:kern w:val="0"/>
          <w:szCs w:val="24"/>
        </w:rPr>
        <w:t>（11）项目管理：理解并掌握工程管理原理和经济决策方法，具备在多学科环境下进行工程效益、经济效益和社会效益分析的能力。</w:t>
      </w:r>
    </w:p>
    <w:p>
      <w:pPr>
        <w:autoSpaceDE w:val="0"/>
        <w:autoSpaceDN w:val="0"/>
        <w:adjustRightInd w:val="0"/>
        <w:ind w:firstLine="480" w:firstLineChars="200"/>
        <w:rPr>
          <w:bCs/>
          <w:kern w:val="0"/>
          <w:szCs w:val="24"/>
        </w:rPr>
      </w:pPr>
      <w:r>
        <w:rPr>
          <w:bCs/>
          <w:kern w:val="0"/>
          <w:szCs w:val="24"/>
        </w:rPr>
        <w:t>（12）终身学习：能够意识到终身学习的重要性，具备自主学习和适应发展的能力。</w:t>
      </w:r>
    </w:p>
    <w:p>
      <w:pPr>
        <w:pStyle w:val="5"/>
        <w:spacing w:before="93" w:after="93"/>
        <w:ind w:firstLine="560"/>
      </w:pPr>
      <w:r>
        <w:t>二、培养能力</w:t>
      </w:r>
    </w:p>
    <w:p>
      <w:pPr>
        <w:pStyle w:val="45"/>
        <w:ind w:firstLine="480"/>
        <w:rPr>
          <w:rFonts w:ascii="Times New Roman" w:hAnsi="Times New Roman"/>
          <w:szCs w:val="24"/>
        </w:rPr>
      </w:pPr>
      <w:r>
        <w:rPr>
          <w:rFonts w:ascii="Times New Roman" w:hAnsi="Times New Roman"/>
          <w:szCs w:val="24"/>
        </w:rPr>
        <w:t>1. 专业基本情况</w:t>
      </w:r>
    </w:p>
    <w:p>
      <w:pPr>
        <w:ind w:firstLine="480" w:firstLineChars="200"/>
        <w:rPr>
          <w:szCs w:val="24"/>
        </w:rPr>
      </w:pPr>
      <w:r>
        <w:rPr>
          <w:szCs w:val="24"/>
        </w:rPr>
        <w:t>山东农业大学数据科学与大数据技术专业隶属于信息科学与工程学院，是计算机科学与技术一级学科下的二级学科，我校于2018年开始招生。本专业现有师资中教授3人，副教授5人，博士率达62%以上。本专业是为了响应并实施国家大数据战略、促进大数据发展的新兴工科专业。</w:t>
      </w:r>
    </w:p>
    <w:p>
      <w:pPr>
        <w:pStyle w:val="45"/>
        <w:ind w:firstLine="480"/>
        <w:rPr>
          <w:rFonts w:ascii="Times New Roman" w:hAnsi="Times New Roman"/>
          <w:szCs w:val="24"/>
        </w:rPr>
      </w:pPr>
      <w:r>
        <w:rPr>
          <w:rFonts w:ascii="Times New Roman" w:hAnsi="Times New Roman"/>
          <w:szCs w:val="24"/>
        </w:rPr>
        <w:t>2. 在校生规模</w:t>
      </w:r>
    </w:p>
    <w:p>
      <w:pPr>
        <w:ind w:firstLine="480" w:firstLineChars="200"/>
        <w:rPr>
          <w:szCs w:val="24"/>
        </w:rPr>
      </w:pPr>
      <w:r>
        <w:rPr>
          <w:szCs w:val="24"/>
        </w:rPr>
        <w:t>现数据科学与大数据技术专业在校生规模约为300人，其中2019级67人，2020级70人，2021级84人，2022级学生将于大一下学期进行专业分流。</w:t>
      </w:r>
    </w:p>
    <w:p>
      <w:pPr>
        <w:pStyle w:val="45"/>
        <w:ind w:firstLine="480"/>
        <w:rPr>
          <w:rFonts w:ascii="Times New Roman" w:hAnsi="Times New Roman"/>
          <w:szCs w:val="24"/>
        </w:rPr>
      </w:pPr>
      <w:r>
        <w:rPr>
          <w:rFonts w:ascii="Times New Roman" w:hAnsi="Times New Roman"/>
          <w:szCs w:val="24"/>
        </w:rPr>
        <w:t>3. 课程体系</w:t>
      </w:r>
    </w:p>
    <w:p>
      <w:pPr>
        <w:ind w:firstLine="480" w:firstLineChars="200"/>
        <w:rPr>
          <w:szCs w:val="24"/>
        </w:rPr>
      </w:pPr>
      <w:r>
        <w:rPr>
          <w:szCs w:val="24"/>
        </w:rPr>
        <w:t>为适应学分制的要求，目前数据科学与大数据技术专业2019级~2021级使用2018年修订的本科人才培养方案，2022级使用2022年新修订的本科人才培养方案，共计170学分。</w:t>
      </w:r>
    </w:p>
    <w:p>
      <w:pPr>
        <w:ind w:firstLine="480" w:firstLineChars="200"/>
        <w:rPr>
          <w:szCs w:val="24"/>
        </w:rPr>
      </w:pPr>
      <w:r>
        <w:rPr>
          <w:szCs w:val="24"/>
        </w:rPr>
        <w:t>必修课总学分145.5、选修课学分24.5、实践教学学分49.5（含操作性实验课学分和实践学分，其中理论课所含的实验实训学分按所占理论课学时进行换算），占总学分29.1%。</w:t>
      </w:r>
    </w:p>
    <w:p>
      <w:pPr>
        <w:ind w:firstLine="480" w:firstLineChars="200"/>
        <w:rPr>
          <w:szCs w:val="24"/>
        </w:rPr>
      </w:pPr>
      <w:r>
        <w:rPr>
          <w:szCs w:val="24"/>
        </w:rPr>
        <w:t>数据科学与大数据技术专业的核心课程包括：数据分析编程基础、大数据计算框架、大数据存储、算法设计与分析、数据挖掘与分析、机器学习等。主要实践环节有：认识实习、程序设计B课程设计、数据分析编程课程设计、大数据存储与计算框架综合实习、大数据分析综合实习、机器学习综合实习、大数据技术综合应用创新实践、创新创业实践、毕业实习、毕业设计等。</w:t>
      </w:r>
    </w:p>
    <w:p>
      <w:pPr>
        <w:pStyle w:val="45"/>
        <w:ind w:firstLine="480"/>
        <w:rPr>
          <w:rFonts w:ascii="Times New Roman" w:hAnsi="Times New Roman"/>
          <w:szCs w:val="24"/>
        </w:rPr>
      </w:pPr>
      <w:r>
        <w:rPr>
          <w:rFonts w:ascii="Times New Roman" w:hAnsi="Times New Roman"/>
          <w:szCs w:val="24"/>
        </w:rPr>
        <w:t>4. 创新创业教育</w:t>
      </w:r>
    </w:p>
    <w:p>
      <w:pPr>
        <w:autoSpaceDE w:val="0"/>
        <w:autoSpaceDN w:val="0"/>
        <w:adjustRightInd w:val="0"/>
        <w:ind w:firstLine="480" w:firstLineChars="200"/>
        <w:rPr>
          <w:szCs w:val="24"/>
        </w:rPr>
      </w:pPr>
      <w:r>
        <w:rPr>
          <w:szCs w:val="24"/>
        </w:rPr>
        <w:t>为了培养学生的创新创业能力，本专业从2018级本科生开始实施分类创新培养机制，采用多元化方式培养学生创新能力，以全面提升学生综合素质，培养适应社会与经济发展需求的数据科学与大数据技术科研型与应用型人才。引导学生积极参与老师科研项目、SRT、创新创业大赛或其他相关专业竞赛。2021-2022年度校级SRT立项21项，获批省级SRT11项，结题13项。</w:t>
      </w:r>
    </w:p>
    <w:p>
      <w:pPr>
        <w:pStyle w:val="5"/>
        <w:spacing w:before="93" w:after="93"/>
        <w:ind w:firstLine="560"/>
      </w:pPr>
      <w:bookmarkStart w:id="809" w:name="_Toc12908"/>
      <w:r>
        <w:t>三、培养条件</w:t>
      </w:r>
      <w:bookmarkEnd w:id="809"/>
    </w:p>
    <w:p>
      <w:pPr>
        <w:pStyle w:val="45"/>
        <w:ind w:firstLine="480"/>
        <w:rPr>
          <w:rFonts w:ascii="Times New Roman" w:hAnsi="Times New Roman"/>
          <w:szCs w:val="24"/>
        </w:rPr>
      </w:pPr>
      <w:r>
        <w:rPr>
          <w:rFonts w:ascii="Times New Roman" w:hAnsi="Times New Roman"/>
          <w:szCs w:val="24"/>
        </w:rPr>
        <w:t>1. 教学经费投入与教学设备</w:t>
      </w:r>
    </w:p>
    <w:p>
      <w:pPr>
        <w:ind w:firstLine="480" w:firstLineChars="200"/>
        <w:rPr>
          <w:szCs w:val="24"/>
        </w:rPr>
      </w:pPr>
      <w:r>
        <w:rPr>
          <w:szCs w:val="24"/>
        </w:rPr>
        <w:t>近年来，学校不断加大教学投入，保证了教学工作的正常运行。2018年以农学专业为核心专业申报的</w:t>
      </w:r>
      <w:r>
        <w:rPr>
          <w:rFonts w:hint="eastAsia"/>
          <w:szCs w:val="24"/>
        </w:rPr>
        <w:t>“</w:t>
      </w:r>
      <w:r>
        <w:rPr>
          <w:szCs w:val="24"/>
        </w:rPr>
        <w:t>山东省教育服务新旧动能转换专业对接产业项目</w:t>
      </w:r>
      <w:r>
        <w:rPr>
          <w:rFonts w:hint="eastAsia"/>
          <w:szCs w:val="24"/>
        </w:rPr>
        <w:t>”</w:t>
      </w:r>
      <w:r>
        <w:rPr>
          <w:szCs w:val="24"/>
        </w:rPr>
        <w:t>获得立项，数据科学与大数据技术专业是建设专业之一，2021年-2022年度共投入经费31.5万元，主要用于教学日常运行、实验室建设、专业建设、校内外实践实习、教学研讨等），每生平均教学经费为1050元。</w:t>
      </w:r>
    </w:p>
    <w:p>
      <w:pPr>
        <w:pStyle w:val="45"/>
        <w:ind w:firstLine="480"/>
        <w:rPr>
          <w:rFonts w:ascii="Times New Roman" w:hAnsi="Times New Roman"/>
          <w:szCs w:val="24"/>
        </w:rPr>
      </w:pPr>
      <w:r>
        <w:rPr>
          <w:rFonts w:ascii="Times New Roman" w:hAnsi="Times New Roman"/>
          <w:szCs w:val="24"/>
        </w:rPr>
        <w:t>2. 教师队伍建设</w:t>
      </w:r>
    </w:p>
    <w:p>
      <w:pPr>
        <w:ind w:firstLine="480" w:firstLineChars="200"/>
        <w:rPr>
          <w:szCs w:val="24"/>
        </w:rPr>
      </w:pPr>
      <w:r>
        <w:rPr>
          <w:szCs w:val="24"/>
        </w:rPr>
        <w:t>数据科学与大数据技术专业现有专任教师13人，其中副教授及以上职称8人，博士学位8人，分别来自北京交通大学、北京邮电大学、中国矿业大学、北京师范大学、中国农业大学、山西大学、武汉理工大学、山东科技大学、山东师范大学、曲阜师范大学等多所高等院校，人员结构见表1。</w:t>
      </w:r>
    </w:p>
    <w:p>
      <w:pPr>
        <w:ind w:firstLine="482" w:firstLineChars="200"/>
        <w:jc w:val="center"/>
        <w:rPr>
          <w:b/>
          <w:bCs/>
          <w:szCs w:val="21"/>
        </w:rPr>
      </w:pPr>
    </w:p>
    <w:p>
      <w:pPr>
        <w:spacing w:line="240" w:lineRule="auto"/>
        <w:ind w:firstLine="422" w:firstLineChars="200"/>
        <w:jc w:val="center"/>
        <w:rPr>
          <w:b/>
          <w:bCs/>
          <w:sz w:val="21"/>
          <w:szCs w:val="21"/>
        </w:rPr>
      </w:pPr>
      <w:r>
        <w:rPr>
          <w:b/>
          <w:bCs/>
          <w:sz w:val="21"/>
          <w:szCs w:val="21"/>
        </w:rPr>
        <w:t>表1 人员结构</w:t>
      </w:r>
    </w:p>
    <w:tbl>
      <w:tblPr>
        <w:tblStyle w:val="17"/>
        <w:tblW w:w="9083"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9"/>
        <w:gridCol w:w="767"/>
        <w:gridCol w:w="851"/>
        <w:gridCol w:w="709"/>
        <w:gridCol w:w="751"/>
        <w:gridCol w:w="769"/>
        <w:gridCol w:w="889"/>
        <w:gridCol w:w="944"/>
        <w:gridCol w:w="1063"/>
        <w:gridCol w:w="710"/>
        <w:gridCol w:w="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9" w:type="dxa"/>
            <w:vAlign w:val="center"/>
          </w:tcPr>
          <w:p>
            <w:pPr>
              <w:adjustRightInd w:val="0"/>
              <w:snapToGrid w:val="0"/>
              <w:spacing w:line="240" w:lineRule="auto"/>
              <w:jc w:val="center"/>
              <w:rPr>
                <w:b/>
                <w:bCs/>
                <w:sz w:val="21"/>
                <w:szCs w:val="21"/>
              </w:rPr>
            </w:pPr>
            <w:r>
              <w:rPr>
                <w:b/>
                <w:bCs/>
                <w:sz w:val="21"/>
                <w:szCs w:val="21"/>
              </w:rPr>
              <w:t>专业技术职务</w:t>
            </w:r>
          </w:p>
        </w:tc>
        <w:tc>
          <w:tcPr>
            <w:tcW w:w="767" w:type="dxa"/>
            <w:vAlign w:val="center"/>
          </w:tcPr>
          <w:p>
            <w:pPr>
              <w:widowControl/>
              <w:adjustRightInd w:val="0"/>
              <w:snapToGrid w:val="0"/>
              <w:spacing w:line="240" w:lineRule="auto"/>
              <w:jc w:val="center"/>
              <w:rPr>
                <w:b/>
                <w:bCs/>
                <w:kern w:val="0"/>
                <w:sz w:val="21"/>
                <w:szCs w:val="21"/>
              </w:rPr>
            </w:pPr>
            <w:r>
              <w:rPr>
                <w:b/>
                <w:bCs/>
                <w:kern w:val="0"/>
                <w:sz w:val="21"/>
                <w:szCs w:val="21"/>
              </w:rPr>
              <w:t>合计</w:t>
            </w:r>
          </w:p>
        </w:tc>
        <w:tc>
          <w:tcPr>
            <w:tcW w:w="851" w:type="dxa"/>
            <w:vAlign w:val="center"/>
          </w:tcPr>
          <w:p>
            <w:pPr>
              <w:widowControl/>
              <w:adjustRightInd w:val="0"/>
              <w:snapToGrid w:val="0"/>
              <w:spacing w:line="240" w:lineRule="auto"/>
              <w:jc w:val="center"/>
              <w:rPr>
                <w:b/>
                <w:sz w:val="21"/>
                <w:szCs w:val="21"/>
              </w:rPr>
            </w:pPr>
            <w:r>
              <w:rPr>
                <w:b/>
                <w:sz w:val="21"/>
                <w:szCs w:val="21"/>
              </w:rPr>
              <w:t>35岁</w:t>
            </w:r>
          </w:p>
          <w:p>
            <w:pPr>
              <w:adjustRightInd w:val="0"/>
              <w:snapToGrid w:val="0"/>
              <w:spacing w:line="240" w:lineRule="auto"/>
              <w:jc w:val="center"/>
              <w:rPr>
                <w:b/>
                <w:bCs/>
                <w:kern w:val="0"/>
                <w:sz w:val="21"/>
                <w:szCs w:val="21"/>
              </w:rPr>
            </w:pPr>
            <w:r>
              <w:rPr>
                <w:b/>
                <w:sz w:val="21"/>
                <w:szCs w:val="21"/>
              </w:rPr>
              <w:t>及以下</w:t>
            </w:r>
          </w:p>
        </w:tc>
        <w:tc>
          <w:tcPr>
            <w:tcW w:w="709" w:type="dxa"/>
            <w:vAlign w:val="center"/>
          </w:tcPr>
          <w:p>
            <w:pPr>
              <w:widowControl/>
              <w:adjustRightInd w:val="0"/>
              <w:snapToGrid w:val="0"/>
              <w:spacing w:line="240" w:lineRule="auto"/>
              <w:jc w:val="center"/>
              <w:rPr>
                <w:b/>
                <w:sz w:val="21"/>
                <w:szCs w:val="21"/>
              </w:rPr>
            </w:pPr>
            <w:r>
              <w:rPr>
                <w:b/>
                <w:sz w:val="21"/>
                <w:szCs w:val="21"/>
              </w:rPr>
              <w:t>36至</w:t>
            </w:r>
          </w:p>
          <w:p>
            <w:pPr>
              <w:adjustRightInd w:val="0"/>
              <w:snapToGrid w:val="0"/>
              <w:spacing w:line="240" w:lineRule="auto"/>
              <w:jc w:val="center"/>
              <w:rPr>
                <w:b/>
                <w:bCs/>
                <w:kern w:val="0"/>
                <w:sz w:val="21"/>
                <w:szCs w:val="21"/>
              </w:rPr>
            </w:pPr>
            <w:r>
              <w:rPr>
                <w:b/>
                <w:sz w:val="21"/>
                <w:szCs w:val="21"/>
              </w:rPr>
              <w:t>45岁</w:t>
            </w:r>
          </w:p>
        </w:tc>
        <w:tc>
          <w:tcPr>
            <w:tcW w:w="751" w:type="dxa"/>
            <w:vAlign w:val="center"/>
          </w:tcPr>
          <w:p>
            <w:pPr>
              <w:widowControl/>
              <w:adjustRightInd w:val="0"/>
              <w:snapToGrid w:val="0"/>
              <w:spacing w:line="240" w:lineRule="auto"/>
              <w:jc w:val="center"/>
              <w:rPr>
                <w:b/>
                <w:sz w:val="21"/>
                <w:szCs w:val="21"/>
              </w:rPr>
            </w:pPr>
            <w:r>
              <w:rPr>
                <w:b/>
                <w:sz w:val="21"/>
                <w:szCs w:val="21"/>
              </w:rPr>
              <w:t>46至</w:t>
            </w:r>
          </w:p>
          <w:p>
            <w:pPr>
              <w:adjustRightInd w:val="0"/>
              <w:snapToGrid w:val="0"/>
              <w:spacing w:line="240" w:lineRule="auto"/>
              <w:jc w:val="center"/>
              <w:rPr>
                <w:b/>
                <w:bCs/>
                <w:kern w:val="0"/>
                <w:sz w:val="21"/>
                <w:szCs w:val="21"/>
              </w:rPr>
            </w:pPr>
            <w:r>
              <w:rPr>
                <w:b/>
                <w:sz w:val="21"/>
                <w:szCs w:val="21"/>
              </w:rPr>
              <w:t>55岁</w:t>
            </w:r>
          </w:p>
        </w:tc>
        <w:tc>
          <w:tcPr>
            <w:tcW w:w="769" w:type="dxa"/>
            <w:vAlign w:val="center"/>
          </w:tcPr>
          <w:p>
            <w:pPr>
              <w:widowControl/>
              <w:adjustRightInd w:val="0"/>
              <w:snapToGrid w:val="0"/>
              <w:spacing w:line="240" w:lineRule="auto"/>
              <w:jc w:val="center"/>
              <w:rPr>
                <w:b/>
                <w:sz w:val="21"/>
                <w:szCs w:val="21"/>
              </w:rPr>
            </w:pPr>
            <w:r>
              <w:rPr>
                <w:b/>
                <w:sz w:val="21"/>
                <w:szCs w:val="21"/>
              </w:rPr>
              <w:t>56至</w:t>
            </w:r>
          </w:p>
          <w:p>
            <w:pPr>
              <w:adjustRightInd w:val="0"/>
              <w:snapToGrid w:val="0"/>
              <w:spacing w:line="240" w:lineRule="auto"/>
              <w:jc w:val="center"/>
              <w:rPr>
                <w:b/>
                <w:bCs/>
                <w:kern w:val="0"/>
                <w:sz w:val="21"/>
                <w:szCs w:val="21"/>
              </w:rPr>
            </w:pPr>
            <w:r>
              <w:rPr>
                <w:b/>
                <w:sz w:val="21"/>
                <w:szCs w:val="21"/>
              </w:rPr>
              <w:t>60岁</w:t>
            </w:r>
          </w:p>
        </w:tc>
        <w:tc>
          <w:tcPr>
            <w:tcW w:w="889" w:type="dxa"/>
            <w:vAlign w:val="center"/>
          </w:tcPr>
          <w:p>
            <w:pPr>
              <w:widowControl/>
              <w:adjustRightInd w:val="0"/>
              <w:snapToGrid w:val="0"/>
              <w:spacing w:line="240" w:lineRule="auto"/>
              <w:jc w:val="center"/>
              <w:rPr>
                <w:b/>
                <w:sz w:val="21"/>
                <w:szCs w:val="21"/>
              </w:rPr>
            </w:pPr>
            <w:r>
              <w:rPr>
                <w:b/>
                <w:sz w:val="21"/>
                <w:szCs w:val="21"/>
              </w:rPr>
              <w:t>61岁</w:t>
            </w:r>
          </w:p>
          <w:p>
            <w:pPr>
              <w:adjustRightInd w:val="0"/>
              <w:snapToGrid w:val="0"/>
              <w:spacing w:line="240" w:lineRule="auto"/>
              <w:jc w:val="center"/>
              <w:rPr>
                <w:b/>
                <w:bCs/>
                <w:kern w:val="0"/>
                <w:sz w:val="21"/>
                <w:szCs w:val="21"/>
              </w:rPr>
            </w:pPr>
            <w:r>
              <w:rPr>
                <w:b/>
                <w:sz w:val="21"/>
                <w:szCs w:val="21"/>
              </w:rPr>
              <w:t>及以上</w:t>
            </w:r>
          </w:p>
        </w:tc>
        <w:tc>
          <w:tcPr>
            <w:tcW w:w="944" w:type="dxa"/>
            <w:vAlign w:val="center"/>
          </w:tcPr>
          <w:p>
            <w:pPr>
              <w:spacing w:line="240" w:lineRule="auto"/>
              <w:jc w:val="center"/>
              <w:rPr>
                <w:b/>
                <w:bCs/>
                <w:kern w:val="0"/>
                <w:sz w:val="21"/>
                <w:szCs w:val="21"/>
              </w:rPr>
            </w:pPr>
            <w:r>
              <w:rPr>
                <w:b/>
                <w:bCs/>
                <w:kern w:val="0"/>
                <w:sz w:val="21"/>
                <w:szCs w:val="21"/>
              </w:rPr>
              <w:t>博士学位人数</w:t>
            </w:r>
          </w:p>
        </w:tc>
        <w:tc>
          <w:tcPr>
            <w:tcW w:w="1063" w:type="dxa"/>
            <w:vAlign w:val="center"/>
          </w:tcPr>
          <w:p>
            <w:pPr>
              <w:spacing w:line="240" w:lineRule="auto"/>
              <w:jc w:val="center"/>
              <w:rPr>
                <w:b/>
                <w:bCs/>
                <w:kern w:val="0"/>
                <w:sz w:val="21"/>
                <w:szCs w:val="21"/>
              </w:rPr>
            </w:pPr>
            <w:r>
              <w:rPr>
                <w:b/>
                <w:bCs/>
                <w:kern w:val="0"/>
                <w:sz w:val="21"/>
                <w:szCs w:val="21"/>
              </w:rPr>
              <w:t>具有境外经历人数</w:t>
            </w:r>
          </w:p>
        </w:tc>
        <w:tc>
          <w:tcPr>
            <w:tcW w:w="710" w:type="dxa"/>
            <w:vAlign w:val="center"/>
          </w:tcPr>
          <w:p>
            <w:pPr>
              <w:widowControl/>
              <w:adjustRightInd w:val="0"/>
              <w:snapToGrid w:val="0"/>
              <w:spacing w:line="240" w:lineRule="auto"/>
              <w:jc w:val="center"/>
              <w:rPr>
                <w:b/>
                <w:bCs/>
                <w:kern w:val="0"/>
                <w:sz w:val="21"/>
                <w:szCs w:val="21"/>
              </w:rPr>
            </w:pPr>
            <w:r>
              <w:rPr>
                <w:b/>
                <w:bCs/>
                <w:kern w:val="0"/>
                <w:sz w:val="21"/>
                <w:szCs w:val="21"/>
              </w:rPr>
              <w:t>博导</w:t>
            </w:r>
          </w:p>
          <w:p>
            <w:pPr>
              <w:widowControl/>
              <w:adjustRightInd w:val="0"/>
              <w:snapToGrid w:val="0"/>
              <w:spacing w:line="240" w:lineRule="auto"/>
              <w:jc w:val="center"/>
              <w:rPr>
                <w:b/>
                <w:bCs/>
                <w:kern w:val="0"/>
                <w:sz w:val="21"/>
                <w:szCs w:val="21"/>
              </w:rPr>
            </w:pPr>
            <w:r>
              <w:rPr>
                <w:b/>
                <w:bCs/>
                <w:kern w:val="0"/>
                <w:sz w:val="21"/>
                <w:szCs w:val="21"/>
              </w:rPr>
              <w:t>人数</w:t>
            </w:r>
          </w:p>
        </w:tc>
        <w:tc>
          <w:tcPr>
            <w:tcW w:w="711" w:type="dxa"/>
            <w:vAlign w:val="center"/>
          </w:tcPr>
          <w:p>
            <w:pPr>
              <w:widowControl/>
              <w:adjustRightInd w:val="0"/>
              <w:snapToGrid w:val="0"/>
              <w:spacing w:line="240" w:lineRule="auto"/>
              <w:jc w:val="center"/>
              <w:rPr>
                <w:b/>
                <w:bCs/>
                <w:kern w:val="0"/>
                <w:sz w:val="21"/>
                <w:szCs w:val="21"/>
              </w:rPr>
            </w:pPr>
            <w:r>
              <w:rPr>
                <w:b/>
                <w:bCs/>
                <w:kern w:val="0"/>
                <w:sz w:val="21"/>
                <w:szCs w:val="21"/>
              </w:rPr>
              <w:t>硕导</w:t>
            </w:r>
          </w:p>
          <w:p>
            <w:pPr>
              <w:widowControl/>
              <w:adjustRightInd w:val="0"/>
              <w:snapToGrid w:val="0"/>
              <w:spacing w:line="240" w:lineRule="auto"/>
              <w:jc w:val="center"/>
              <w:rPr>
                <w:b/>
                <w:bCs/>
                <w:kern w:val="0"/>
                <w:sz w:val="21"/>
                <w:szCs w:val="21"/>
              </w:rPr>
            </w:pPr>
            <w:r>
              <w:rPr>
                <w:b/>
                <w:bCs/>
                <w:kern w:val="0"/>
                <w:sz w:val="21"/>
                <w:szCs w:val="21"/>
              </w:rPr>
              <w:t>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9" w:type="dxa"/>
            <w:vAlign w:val="center"/>
          </w:tcPr>
          <w:p>
            <w:pPr>
              <w:widowControl/>
              <w:adjustRightInd w:val="0"/>
              <w:snapToGrid w:val="0"/>
              <w:spacing w:line="240" w:lineRule="auto"/>
              <w:jc w:val="center"/>
              <w:rPr>
                <w:b/>
                <w:bCs/>
                <w:sz w:val="21"/>
                <w:szCs w:val="21"/>
              </w:rPr>
            </w:pPr>
            <w:r>
              <w:rPr>
                <w:b/>
                <w:bCs/>
                <w:kern w:val="0"/>
                <w:sz w:val="21"/>
                <w:szCs w:val="21"/>
              </w:rPr>
              <w:t>正高级</w:t>
            </w:r>
          </w:p>
        </w:tc>
        <w:tc>
          <w:tcPr>
            <w:tcW w:w="767" w:type="dxa"/>
            <w:vAlign w:val="center"/>
          </w:tcPr>
          <w:p>
            <w:pPr>
              <w:widowControl/>
              <w:adjustRightInd w:val="0"/>
              <w:snapToGrid w:val="0"/>
              <w:spacing w:line="240" w:lineRule="auto"/>
              <w:jc w:val="center"/>
              <w:rPr>
                <w:sz w:val="21"/>
                <w:szCs w:val="21"/>
              </w:rPr>
            </w:pPr>
            <w:r>
              <w:rPr>
                <w:sz w:val="21"/>
                <w:szCs w:val="21"/>
              </w:rPr>
              <w:t>3</w:t>
            </w:r>
          </w:p>
        </w:tc>
        <w:tc>
          <w:tcPr>
            <w:tcW w:w="851" w:type="dxa"/>
            <w:vAlign w:val="center"/>
          </w:tcPr>
          <w:p>
            <w:pPr>
              <w:widowControl/>
              <w:adjustRightInd w:val="0"/>
              <w:snapToGrid w:val="0"/>
              <w:spacing w:line="240" w:lineRule="auto"/>
              <w:jc w:val="center"/>
              <w:rPr>
                <w:sz w:val="21"/>
                <w:szCs w:val="21"/>
              </w:rPr>
            </w:pPr>
            <w:r>
              <w:rPr>
                <w:sz w:val="21"/>
                <w:szCs w:val="21"/>
              </w:rPr>
              <w:t>0</w:t>
            </w:r>
          </w:p>
        </w:tc>
        <w:tc>
          <w:tcPr>
            <w:tcW w:w="709" w:type="dxa"/>
            <w:vAlign w:val="center"/>
          </w:tcPr>
          <w:p>
            <w:pPr>
              <w:widowControl/>
              <w:adjustRightInd w:val="0"/>
              <w:snapToGrid w:val="0"/>
              <w:spacing w:line="240" w:lineRule="auto"/>
              <w:jc w:val="center"/>
              <w:rPr>
                <w:sz w:val="21"/>
                <w:szCs w:val="21"/>
              </w:rPr>
            </w:pPr>
            <w:r>
              <w:rPr>
                <w:sz w:val="21"/>
                <w:szCs w:val="21"/>
              </w:rPr>
              <w:t>1</w:t>
            </w:r>
          </w:p>
        </w:tc>
        <w:tc>
          <w:tcPr>
            <w:tcW w:w="751" w:type="dxa"/>
            <w:vAlign w:val="center"/>
          </w:tcPr>
          <w:p>
            <w:pPr>
              <w:widowControl/>
              <w:adjustRightInd w:val="0"/>
              <w:snapToGrid w:val="0"/>
              <w:spacing w:line="240" w:lineRule="auto"/>
              <w:jc w:val="center"/>
              <w:rPr>
                <w:sz w:val="21"/>
                <w:szCs w:val="21"/>
              </w:rPr>
            </w:pPr>
            <w:r>
              <w:rPr>
                <w:sz w:val="21"/>
                <w:szCs w:val="21"/>
              </w:rPr>
              <w:t>1</w:t>
            </w:r>
          </w:p>
        </w:tc>
        <w:tc>
          <w:tcPr>
            <w:tcW w:w="769" w:type="dxa"/>
            <w:vAlign w:val="center"/>
          </w:tcPr>
          <w:p>
            <w:pPr>
              <w:widowControl/>
              <w:adjustRightInd w:val="0"/>
              <w:snapToGrid w:val="0"/>
              <w:spacing w:line="240" w:lineRule="auto"/>
              <w:jc w:val="center"/>
              <w:rPr>
                <w:sz w:val="21"/>
                <w:szCs w:val="21"/>
              </w:rPr>
            </w:pPr>
            <w:r>
              <w:rPr>
                <w:sz w:val="21"/>
                <w:szCs w:val="21"/>
              </w:rPr>
              <w:t>1</w:t>
            </w:r>
          </w:p>
        </w:tc>
        <w:tc>
          <w:tcPr>
            <w:tcW w:w="889" w:type="dxa"/>
            <w:vAlign w:val="center"/>
          </w:tcPr>
          <w:p>
            <w:pPr>
              <w:widowControl/>
              <w:adjustRightInd w:val="0"/>
              <w:snapToGrid w:val="0"/>
              <w:spacing w:line="240" w:lineRule="auto"/>
              <w:jc w:val="center"/>
              <w:rPr>
                <w:sz w:val="21"/>
                <w:szCs w:val="21"/>
              </w:rPr>
            </w:pPr>
            <w:r>
              <w:rPr>
                <w:sz w:val="21"/>
                <w:szCs w:val="21"/>
              </w:rPr>
              <w:t>0</w:t>
            </w:r>
          </w:p>
        </w:tc>
        <w:tc>
          <w:tcPr>
            <w:tcW w:w="944" w:type="dxa"/>
            <w:vAlign w:val="center"/>
          </w:tcPr>
          <w:p>
            <w:pPr>
              <w:widowControl/>
              <w:adjustRightInd w:val="0"/>
              <w:snapToGrid w:val="0"/>
              <w:spacing w:line="240" w:lineRule="auto"/>
              <w:jc w:val="center"/>
              <w:rPr>
                <w:sz w:val="21"/>
                <w:szCs w:val="21"/>
              </w:rPr>
            </w:pPr>
            <w:r>
              <w:rPr>
                <w:sz w:val="21"/>
                <w:szCs w:val="21"/>
              </w:rPr>
              <w:t>3</w:t>
            </w:r>
          </w:p>
        </w:tc>
        <w:tc>
          <w:tcPr>
            <w:tcW w:w="1063" w:type="dxa"/>
            <w:vAlign w:val="center"/>
          </w:tcPr>
          <w:p>
            <w:pPr>
              <w:widowControl/>
              <w:adjustRightInd w:val="0"/>
              <w:snapToGrid w:val="0"/>
              <w:spacing w:line="240" w:lineRule="auto"/>
              <w:jc w:val="center"/>
              <w:rPr>
                <w:sz w:val="21"/>
                <w:szCs w:val="21"/>
              </w:rPr>
            </w:pPr>
            <w:r>
              <w:rPr>
                <w:sz w:val="21"/>
                <w:szCs w:val="21"/>
              </w:rPr>
              <w:t>1</w:t>
            </w:r>
          </w:p>
        </w:tc>
        <w:tc>
          <w:tcPr>
            <w:tcW w:w="710" w:type="dxa"/>
            <w:vAlign w:val="center"/>
          </w:tcPr>
          <w:p>
            <w:pPr>
              <w:widowControl/>
              <w:adjustRightInd w:val="0"/>
              <w:snapToGrid w:val="0"/>
              <w:spacing w:line="240" w:lineRule="auto"/>
              <w:jc w:val="center"/>
              <w:rPr>
                <w:sz w:val="21"/>
                <w:szCs w:val="21"/>
              </w:rPr>
            </w:pPr>
            <w:r>
              <w:rPr>
                <w:sz w:val="21"/>
                <w:szCs w:val="21"/>
              </w:rPr>
              <w:t>0</w:t>
            </w:r>
          </w:p>
        </w:tc>
        <w:tc>
          <w:tcPr>
            <w:tcW w:w="711" w:type="dxa"/>
            <w:vAlign w:val="center"/>
          </w:tcPr>
          <w:p>
            <w:pPr>
              <w:widowControl/>
              <w:adjustRightInd w:val="0"/>
              <w:snapToGrid w:val="0"/>
              <w:spacing w:line="240" w:lineRule="auto"/>
              <w:jc w:val="center"/>
              <w:rPr>
                <w:sz w:val="21"/>
                <w:szCs w:val="21"/>
              </w:rPr>
            </w:pPr>
            <w:r>
              <w:rPr>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9" w:type="dxa"/>
            <w:vAlign w:val="center"/>
          </w:tcPr>
          <w:p>
            <w:pPr>
              <w:widowControl/>
              <w:adjustRightInd w:val="0"/>
              <w:snapToGrid w:val="0"/>
              <w:spacing w:line="240" w:lineRule="auto"/>
              <w:jc w:val="center"/>
              <w:rPr>
                <w:b/>
                <w:bCs/>
                <w:sz w:val="21"/>
                <w:szCs w:val="21"/>
              </w:rPr>
            </w:pPr>
            <w:r>
              <w:rPr>
                <w:b/>
                <w:bCs/>
                <w:kern w:val="0"/>
                <w:sz w:val="21"/>
                <w:szCs w:val="21"/>
              </w:rPr>
              <w:t>副高级</w:t>
            </w:r>
          </w:p>
        </w:tc>
        <w:tc>
          <w:tcPr>
            <w:tcW w:w="767" w:type="dxa"/>
            <w:vAlign w:val="center"/>
          </w:tcPr>
          <w:p>
            <w:pPr>
              <w:widowControl/>
              <w:adjustRightInd w:val="0"/>
              <w:snapToGrid w:val="0"/>
              <w:spacing w:line="240" w:lineRule="auto"/>
              <w:jc w:val="center"/>
              <w:rPr>
                <w:sz w:val="21"/>
                <w:szCs w:val="21"/>
              </w:rPr>
            </w:pPr>
            <w:r>
              <w:rPr>
                <w:sz w:val="21"/>
                <w:szCs w:val="21"/>
              </w:rPr>
              <w:t>5</w:t>
            </w:r>
          </w:p>
        </w:tc>
        <w:tc>
          <w:tcPr>
            <w:tcW w:w="851" w:type="dxa"/>
            <w:vAlign w:val="center"/>
          </w:tcPr>
          <w:p>
            <w:pPr>
              <w:widowControl/>
              <w:adjustRightInd w:val="0"/>
              <w:snapToGrid w:val="0"/>
              <w:spacing w:line="240" w:lineRule="auto"/>
              <w:jc w:val="center"/>
              <w:rPr>
                <w:sz w:val="21"/>
                <w:szCs w:val="21"/>
              </w:rPr>
            </w:pPr>
            <w:r>
              <w:rPr>
                <w:sz w:val="21"/>
                <w:szCs w:val="21"/>
              </w:rPr>
              <w:t>2</w:t>
            </w:r>
          </w:p>
        </w:tc>
        <w:tc>
          <w:tcPr>
            <w:tcW w:w="709" w:type="dxa"/>
            <w:vAlign w:val="center"/>
          </w:tcPr>
          <w:p>
            <w:pPr>
              <w:widowControl/>
              <w:adjustRightInd w:val="0"/>
              <w:snapToGrid w:val="0"/>
              <w:spacing w:line="240" w:lineRule="auto"/>
              <w:jc w:val="center"/>
              <w:rPr>
                <w:sz w:val="21"/>
                <w:szCs w:val="21"/>
              </w:rPr>
            </w:pPr>
            <w:r>
              <w:rPr>
                <w:sz w:val="21"/>
                <w:szCs w:val="21"/>
              </w:rPr>
              <w:t>2</w:t>
            </w:r>
          </w:p>
        </w:tc>
        <w:tc>
          <w:tcPr>
            <w:tcW w:w="751" w:type="dxa"/>
            <w:vAlign w:val="center"/>
          </w:tcPr>
          <w:p>
            <w:pPr>
              <w:widowControl/>
              <w:adjustRightInd w:val="0"/>
              <w:snapToGrid w:val="0"/>
              <w:spacing w:line="240" w:lineRule="auto"/>
              <w:jc w:val="center"/>
              <w:rPr>
                <w:sz w:val="21"/>
                <w:szCs w:val="21"/>
              </w:rPr>
            </w:pPr>
            <w:r>
              <w:rPr>
                <w:sz w:val="21"/>
                <w:szCs w:val="21"/>
              </w:rPr>
              <w:t>1</w:t>
            </w:r>
          </w:p>
        </w:tc>
        <w:tc>
          <w:tcPr>
            <w:tcW w:w="769" w:type="dxa"/>
            <w:vAlign w:val="center"/>
          </w:tcPr>
          <w:p>
            <w:pPr>
              <w:widowControl/>
              <w:adjustRightInd w:val="0"/>
              <w:snapToGrid w:val="0"/>
              <w:spacing w:line="240" w:lineRule="auto"/>
              <w:jc w:val="center"/>
              <w:rPr>
                <w:sz w:val="21"/>
                <w:szCs w:val="21"/>
              </w:rPr>
            </w:pPr>
            <w:r>
              <w:rPr>
                <w:sz w:val="21"/>
                <w:szCs w:val="21"/>
              </w:rPr>
              <w:t>0</w:t>
            </w:r>
          </w:p>
        </w:tc>
        <w:tc>
          <w:tcPr>
            <w:tcW w:w="889" w:type="dxa"/>
            <w:vAlign w:val="center"/>
          </w:tcPr>
          <w:p>
            <w:pPr>
              <w:widowControl/>
              <w:adjustRightInd w:val="0"/>
              <w:snapToGrid w:val="0"/>
              <w:spacing w:line="240" w:lineRule="auto"/>
              <w:jc w:val="center"/>
              <w:rPr>
                <w:sz w:val="21"/>
                <w:szCs w:val="21"/>
              </w:rPr>
            </w:pPr>
            <w:r>
              <w:rPr>
                <w:sz w:val="21"/>
                <w:szCs w:val="21"/>
              </w:rPr>
              <w:t>0</w:t>
            </w:r>
          </w:p>
        </w:tc>
        <w:tc>
          <w:tcPr>
            <w:tcW w:w="944" w:type="dxa"/>
            <w:vAlign w:val="center"/>
          </w:tcPr>
          <w:p>
            <w:pPr>
              <w:widowControl/>
              <w:adjustRightInd w:val="0"/>
              <w:snapToGrid w:val="0"/>
              <w:spacing w:line="240" w:lineRule="auto"/>
              <w:jc w:val="center"/>
              <w:rPr>
                <w:sz w:val="21"/>
                <w:szCs w:val="21"/>
              </w:rPr>
            </w:pPr>
            <w:r>
              <w:rPr>
                <w:sz w:val="21"/>
                <w:szCs w:val="21"/>
              </w:rPr>
              <w:t>4</w:t>
            </w:r>
          </w:p>
        </w:tc>
        <w:tc>
          <w:tcPr>
            <w:tcW w:w="1063" w:type="dxa"/>
            <w:vAlign w:val="center"/>
          </w:tcPr>
          <w:p>
            <w:pPr>
              <w:widowControl/>
              <w:adjustRightInd w:val="0"/>
              <w:snapToGrid w:val="0"/>
              <w:spacing w:line="240" w:lineRule="auto"/>
              <w:jc w:val="center"/>
              <w:rPr>
                <w:sz w:val="21"/>
                <w:szCs w:val="21"/>
              </w:rPr>
            </w:pPr>
            <w:r>
              <w:rPr>
                <w:sz w:val="21"/>
                <w:szCs w:val="21"/>
              </w:rPr>
              <w:t>1</w:t>
            </w:r>
          </w:p>
        </w:tc>
        <w:tc>
          <w:tcPr>
            <w:tcW w:w="710" w:type="dxa"/>
            <w:vAlign w:val="center"/>
          </w:tcPr>
          <w:p>
            <w:pPr>
              <w:widowControl/>
              <w:adjustRightInd w:val="0"/>
              <w:snapToGrid w:val="0"/>
              <w:spacing w:line="240" w:lineRule="auto"/>
              <w:jc w:val="center"/>
              <w:rPr>
                <w:sz w:val="21"/>
                <w:szCs w:val="21"/>
              </w:rPr>
            </w:pPr>
            <w:r>
              <w:rPr>
                <w:sz w:val="21"/>
                <w:szCs w:val="21"/>
              </w:rPr>
              <w:t>0</w:t>
            </w:r>
          </w:p>
        </w:tc>
        <w:tc>
          <w:tcPr>
            <w:tcW w:w="711" w:type="dxa"/>
            <w:vAlign w:val="center"/>
          </w:tcPr>
          <w:p>
            <w:pPr>
              <w:widowControl/>
              <w:adjustRightInd w:val="0"/>
              <w:snapToGrid w:val="0"/>
              <w:spacing w:line="240" w:lineRule="auto"/>
              <w:jc w:val="center"/>
              <w:rPr>
                <w:sz w:val="21"/>
                <w:szCs w:val="21"/>
              </w:rPr>
            </w:pPr>
            <w:r>
              <w:rPr>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9" w:type="dxa"/>
            <w:vAlign w:val="center"/>
          </w:tcPr>
          <w:p>
            <w:pPr>
              <w:widowControl/>
              <w:adjustRightInd w:val="0"/>
              <w:snapToGrid w:val="0"/>
              <w:spacing w:line="240" w:lineRule="auto"/>
              <w:jc w:val="center"/>
              <w:rPr>
                <w:b/>
                <w:bCs/>
                <w:sz w:val="21"/>
                <w:szCs w:val="21"/>
              </w:rPr>
            </w:pPr>
            <w:r>
              <w:rPr>
                <w:b/>
                <w:bCs/>
                <w:kern w:val="0"/>
                <w:sz w:val="21"/>
                <w:szCs w:val="21"/>
              </w:rPr>
              <w:t>其他</w:t>
            </w:r>
          </w:p>
        </w:tc>
        <w:tc>
          <w:tcPr>
            <w:tcW w:w="767" w:type="dxa"/>
            <w:vAlign w:val="center"/>
          </w:tcPr>
          <w:p>
            <w:pPr>
              <w:widowControl/>
              <w:adjustRightInd w:val="0"/>
              <w:snapToGrid w:val="0"/>
              <w:spacing w:line="240" w:lineRule="auto"/>
              <w:jc w:val="center"/>
              <w:rPr>
                <w:sz w:val="21"/>
                <w:szCs w:val="21"/>
              </w:rPr>
            </w:pPr>
            <w:r>
              <w:rPr>
                <w:sz w:val="21"/>
                <w:szCs w:val="21"/>
              </w:rPr>
              <w:t>5</w:t>
            </w:r>
          </w:p>
        </w:tc>
        <w:tc>
          <w:tcPr>
            <w:tcW w:w="851" w:type="dxa"/>
            <w:vAlign w:val="center"/>
          </w:tcPr>
          <w:p>
            <w:pPr>
              <w:widowControl/>
              <w:adjustRightInd w:val="0"/>
              <w:snapToGrid w:val="0"/>
              <w:spacing w:line="240" w:lineRule="auto"/>
              <w:jc w:val="center"/>
              <w:rPr>
                <w:sz w:val="21"/>
                <w:szCs w:val="21"/>
              </w:rPr>
            </w:pPr>
            <w:r>
              <w:rPr>
                <w:sz w:val="21"/>
                <w:szCs w:val="21"/>
              </w:rPr>
              <w:t>3</w:t>
            </w:r>
          </w:p>
        </w:tc>
        <w:tc>
          <w:tcPr>
            <w:tcW w:w="709" w:type="dxa"/>
            <w:vAlign w:val="center"/>
          </w:tcPr>
          <w:p>
            <w:pPr>
              <w:widowControl/>
              <w:adjustRightInd w:val="0"/>
              <w:snapToGrid w:val="0"/>
              <w:spacing w:line="240" w:lineRule="auto"/>
              <w:jc w:val="center"/>
              <w:rPr>
                <w:sz w:val="21"/>
                <w:szCs w:val="21"/>
              </w:rPr>
            </w:pPr>
            <w:r>
              <w:rPr>
                <w:sz w:val="21"/>
                <w:szCs w:val="21"/>
              </w:rPr>
              <w:t>2</w:t>
            </w:r>
          </w:p>
        </w:tc>
        <w:tc>
          <w:tcPr>
            <w:tcW w:w="751" w:type="dxa"/>
            <w:vAlign w:val="center"/>
          </w:tcPr>
          <w:p>
            <w:pPr>
              <w:widowControl/>
              <w:adjustRightInd w:val="0"/>
              <w:snapToGrid w:val="0"/>
              <w:spacing w:line="240" w:lineRule="auto"/>
              <w:jc w:val="center"/>
              <w:rPr>
                <w:sz w:val="21"/>
                <w:szCs w:val="21"/>
              </w:rPr>
            </w:pPr>
            <w:r>
              <w:rPr>
                <w:sz w:val="21"/>
                <w:szCs w:val="21"/>
              </w:rPr>
              <w:t>0</w:t>
            </w:r>
          </w:p>
        </w:tc>
        <w:tc>
          <w:tcPr>
            <w:tcW w:w="769" w:type="dxa"/>
            <w:vAlign w:val="center"/>
          </w:tcPr>
          <w:p>
            <w:pPr>
              <w:widowControl/>
              <w:adjustRightInd w:val="0"/>
              <w:snapToGrid w:val="0"/>
              <w:spacing w:line="240" w:lineRule="auto"/>
              <w:jc w:val="center"/>
              <w:rPr>
                <w:sz w:val="21"/>
                <w:szCs w:val="21"/>
              </w:rPr>
            </w:pPr>
            <w:r>
              <w:rPr>
                <w:sz w:val="21"/>
                <w:szCs w:val="21"/>
              </w:rPr>
              <w:t>0</w:t>
            </w:r>
          </w:p>
        </w:tc>
        <w:tc>
          <w:tcPr>
            <w:tcW w:w="889" w:type="dxa"/>
            <w:vAlign w:val="center"/>
          </w:tcPr>
          <w:p>
            <w:pPr>
              <w:widowControl/>
              <w:adjustRightInd w:val="0"/>
              <w:snapToGrid w:val="0"/>
              <w:spacing w:line="240" w:lineRule="auto"/>
              <w:jc w:val="center"/>
              <w:rPr>
                <w:sz w:val="21"/>
                <w:szCs w:val="21"/>
              </w:rPr>
            </w:pPr>
            <w:r>
              <w:rPr>
                <w:sz w:val="21"/>
                <w:szCs w:val="21"/>
              </w:rPr>
              <w:t>0</w:t>
            </w:r>
          </w:p>
        </w:tc>
        <w:tc>
          <w:tcPr>
            <w:tcW w:w="944" w:type="dxa"/>
            <w:vAlign w:val="center"/>
          </w:tcPr>
          <w:p>
            <w:pPr>
              <w:widowControl/>
              <w:adjustRightInd w:val="0"/>
              <w:snapToGrid w:val="0"/>
              <w:spacing w:line="240" w:lineRule="auto"/>
              <w:jc w:val="center"/>
              <w:rPr>
                <w:sz w:val="21"/>
                <w:szCs w:val="21"/>
              </w:rPr>
            </w:pPr>
            <w:r>
              <w:rPr>
                <w:sz w:val="21"/>
                <w:szCs w:val="21"/>
              </w:rPr>
              <w:t>1</w:t>
            </w:r>
          </w:p>
        </w:tc>
        <w:tc>
          <w:tcPr>
            <w:tcW w:w="1063" w:type="dxa"/>
            <w:vAlign w:val="center"/>
          </w:tcPr>
          <w:p>
            <w:pPr>
              <w:widowControl/>
              <w:adjustRightInd w:val="0"/>
              <w:snapToGrid w:val="0"/>
              <w:spacing w:line="240" w:lineRule="auto"/>
              <w:jc w:val="center"/>
              <w:rPr>
                <w:sz w:val="21"/>
                <w:szCs w:val="21"/>
              </w:rPr>
            </w:pPr>
            <w:r>
              <w:rPr>
                <w:sz w:val="21"/>
                <w:szCs w:val="21"/>
              </w:rPr>
              <w:t>0</w:t>
            </w:r>
          </w:p>
        </w:tc>
        <w:tc>
          <w:tcPr>
            <w:tcW w:w="710" w:type="dxa"/>
            <w:vAlign w:val="center"/>
          </w:tcPr>
          <w:p>
            <w:pPr>
              <w:widowControl/>
              <w:adjustRightInd w:val="0"/>
              <w:snapToGrid w:val="0"/>
              <w:spacing w:line="240" w:lineRule="auto"/>
              <w:jc w:val="center"/>
              <w:rPr>
                <w:sz w:val="21"/>
                <w:szCs w:val="21"/>
              </w:rPr>
            </w:pPr>
            <w:r>
              <w:rPr>
                <w:sz w:val="21"/>
                <w:szCs w:val="21"/>
              </w:rPr>
              <w:t>0</w:t>
            </w:r>
          </w:p>
        </w:tc>
        <w:tc>
          <w:tcPr>
            <w:tcW w:w="711" w:type="dxa"/>
            <w:vAlign w:val="center"/>
          </w:tcPr>
          <w:p>
            <w:pPr>
              <w:widowControl/>
              <w:adjustRightInd w:val="0"/>
              <w:snapToGrid w:val="0"/>
              <w:spacing w:line="240" w:lineRule="auto"/>
              <w:jc w:val="center"/>
              <w:rPr>
                <w:sz w:val="21"/>
                <w:szCs w:val="21"/>
              </w:rPr>
            </w:pPr>
            <w:r>
              <w:rPr>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9" w:type="dxa"/>
            <w:vAlign w:val="center"/>
          </w:tcPr>
          <w:p>
            <w:pPr>
              <w:widowControl/>
              <w:adjustRightInd w:val="0"/>
              <w:snapToGrid w:val="0"/>
              <w:spacing w:line="240" w:lineRule="auto"/>
              <w:jc w:val="center"/>
              <w:rPr>
                <w:b/>
                <w:sz w:val="21"/>
                <w:szCs w:val="21"/>
              </w:rPr>
            </w:pPr>
            <w:r>
              <w:rPr>
                <w:b/>
                <w:bCs/>
                <w:kern w:val="0"/>
                <w:sz w:val="21"/>
                <w:szCs w:val="21"/>
              </w:rPr>
              <w:t>总计</w:t>
            </w:r>
          </w:p>
        </w:tc>
        <w:tc>
          <w:tcPr>
            <w:tcW w:w="767" w:type="dxa"/>
            <w:vAlign w:val="center"/>
          </w:tcPr>
          <w:p>
            <w:pPr>
              <w:widowControl/>
              <w:adjustRightInd w:val="0"/>
              <w:snapToGrid w:val="0"/>
              <w:spacing w:line="240" w:lineRule="auto"/>
              <w:jc w:val="center"/>
              <w:rPr>
                <w:bCs/>
                <w:sz w:val="21"/>
                <w:szCs w:val="21"/>
              </w:rPr>
            </w:pPr>
            <w:r>
              <w:rPr>
                <w:bCs/>
                <w:sz w:val="21"/>
                <w:szCs w:val="21"/>
              </w:rPr>
              <w:t>13</w:t>
            </w:r>
          </w:p>
        </w:tc>
        <w:tc>
          <w:tcPr>
            <w:tcW w:w="851" w:type="dxa"/>
            <w:vAlign w:val="center"/>
          </w:tcPr>
          <w:p>
            <w:pPr>
              <w:widowControl/>
              <w:adjustRightInd w:val="0"/>
              <w:snapToGrid w:val="0"/>
              <w:spacing w:line="240" w:lineRule="auto"/>
              <w:jc w:val="center"/>
              <w:rPr>
                <w:bCs/>
                <w:sz w:val="21"/>
                <w:szCs w:val="21"/>
              </w:rPr>
            </w:pPr>
            <w:r>
              <w:rPr>
                <w:bCs/>
                <w:sz w:val="21"/>
                <w:szCs w:val="21"/>
              </w:rPr>
              <w:t>5</w:t>
            </w:r>
          </w:p>
        </w:tc>
        <w:tc>
          <w:tcPr>
            <w:tcW w:w="709" w:type="dxa"/>
            <w:vAlign w:val="center"/>
          </w:tcPr>
          <w:p>
            <w:pPr>
              <w:widowControl/>
              <w:adjustRightInd w:val="0"/>
              <w:snapToGrid w:val="0"/>
              <w:spacing w:line="240" w:lineRule="auto"/>
              <w:jc w:val="center"/>
              <w:rPr>
                <w:bCs/>
                <w:sz w:val="21"/>
                <w:szCs w:val="21"/>
              </w:rPr>
            </w:pPr>
            <w:r>
              <w:rPr>
                <w:bCs/>
                <w:sz w:val="21"/>
                <w:szCs w:val="21"/>
              </w:rPr>
              <w:t>5</w:t>
            </w:r>
          </w:p>
        </w:tc>
        <w:tc>
          <w:tcPr>
            <w:tcW w:w="751" w:type="dxa"/>
            <w:vAlign w:val="center"/>
          </w:tcPr>
          <w:p>
            <w:pPr>
              <w:widowControl/>
              <w:adjustRightInd w:val="0"/>
              <w:snapToGrid w:val="0"/>
              <w:spacing w:line="240" w:lineRule="auto"/>
              <w:jc w:val="center"/>
              <w:rPr>
                <w:bCs/>
                <w:sz w:val="21"/>
                <w:szCs w:val="21"/>
              </w:rPr>
            </w:pPr>
            <w:r>
              <w:rPr>
                <w:bCs/>
                <w:sz w:val="21"/>
                <w:szCs w:val="21"/>
              </w:rPr>
              <w:t>2</w:t>
            </w:r>
          </w:p>
        </w:tc>
        <w:tc>
          <w:tcPr>
            <w:tcW w:w="769" w:type="dxa"/>
            <w:vAlign w:val="center"/>
          </w:tcPr>
          <w:p>
            <w:pPr>
              <w:widowControl/>
              <w:adjustRightInd w:val="0"/>
              <w:snapToGrid w:val="0"/>
              <w:spacing w:line="240" w:lineRule="auto"/>
              <w:jc w:val="center"/>
              <w:rPr>
                <w:bCs/>
                <w:sz w:val="21"/>
                <w:szCs w:val="21"/>
              </w:rPr>
            </w:pPr>
            <w:r>
              <w:rPr>
                <w:bCs/>
                <w:sz w:val="21"/>
                <w:szCs w:val="21"/>
              </w:rPr>
              <w:t>1</w:t>
            </w:r>
          </w:p>
        </w:tc>
        <w:tc>
          <w:tcPr>
            <w:tcW w:w="889" w:type="dxa"/>
            <w:vAlign w:val="center"/>
          </w:tcPr>
          <w:p>
            <w:pPr>
              <w:widowControl/>
              <w:adjustRightInd w:val="0"/>
              <w:snapToGrid w:val="0"/>
              <w:spacing w:line="240" w:lineRule="auto"/>
              <w:jc w:val="center"/>
              <w:rPr>
                <w:bCs/>
                <w:sz w:val="21"/>
                <w:szCs w:val="21"/>
              </w:rPr>
            </w:pPr>
            <w:r>
              <w:rPr>
                <w:bCs/>
                <w:sz w:val="21"/>
                <w:szCs w:val="21"/>
              </w:rPr>
              <w:t>0</w:t>
            </w:r>
          </w:p>
        </w:tc>
        <w:tc>
          <w:tcPr>
            <w:tcW w:w="944" w:type="dxa"/>
            <w:vAlign w:val="center"/>
          </w:tcPr>
          <w:p>
            <w:pPr>
              <w:widowControl/>
              <w:adjustRightInd w:val="0"/>
              <w:snapToGrid w:val="0"/>
              <w:spacing w:line="240" w:lineRule="auto"/>
              <w:jc w:val="center"/>
              <w:rPr>
                <w:bCs/>
                <w:sz w:val="21"/>
                <w:szCs w:val="21"/>
              </w:rPr>
            </w:pPr>
            <w:r>
              <w:rPr>
                <w:bCs/>
                <w:sz w:val="21"/>
                <w:szCs w:val="21"/>
              </w:rPr>
              <w:t>8</w:t>
            </w:r>
          </w:p>
        </w:tc>
        <w:tc>
          <w:tcPr>
            <w:tcW w:w="1063" w:type="dxa"/>
            <w:vAlign w:val="center"/>
          </w:tcPr>
          <w:p>
            <w:pPr>
              <w:widowControl/>
              <w:adjustRightInd w:val="0"/>
              <w:snapToGrid w:val="0"/>
              <w:spacing w:line="240" w:lineRule="auto"/>
              <w:jc w:val="center"/>
              <w:rPr>
                <w:bCs/>
                <w:sz w:val="21"/>
                <w:szCs w:val="21"/>
              </w:rPr>
            </w:pPr>
            <w:r>
              <w:rPr>
                <w:bCs/>
                <w:sz w:val="21"/>
                <w:szCs w:val="21"/>
              </w:rPr>
              <w:t>2</w:t>
            </w:r>
          </w:p>
        </w:tc>
        <w:tc>
          <w:tcPr>
            <w:tcW w:w="710" w:type="dxa"/>
            <w:vAlign w:val="center"/>
          </w:tcPr>
          <w:p>
            <w:pPr>
              <w:widowControl/>
              <w:adjustRightInd w:val="0"/>
              <w:snapToGrid w:val="0"/>
              <w:spacing w:line="240" w:lineRule="auto"/>
              <w:jc w:val="center"/>
              <w:rPr>
                <w:bCs/>
                <w:sz w:val="21"/>
                <w:szCs w:val="21"/>
              </w:rPr>
            </w:pPr>
            <w:r>
              <w:rPr>
                <w:bCs/>
                <w:sz w:val="21"/>
                <w:szCs w:val="21"/>
              </w:rPr>
              <w:t>0</w:t>
            </w:r>
          </w:p>
        </w:tc>
        <w:tc>
          <w:tcPr>
            <w:tcW w:w="711" w:type="dxa"/>
            <w:vAlign w:val="center"/>
          </w:tcPr>
          <w:p>
            <w:pPr>
              <w:widowControl/>
              <w:adjustRightInd w:val="0"/>
              <w:snapToGrid w:val="0"/>
              <w:spacing w:line="240" w:lineRule="auto"/>
              <w:jc w:val="center"/>
              <w:rPr>
                <w:bCs/>
                <w:sz w:val="21"/>
                <w:szCs w:val="21"/>
              </w:rPr>
            </w:pPr>
            <w:r>
              <w:rPr>
                <w:bCs/>
                <w:sz w:val="21"/>
                <w:szCs w:val="21"/>
              </w:rPr>
              <w:t>5</w:t>
            </w:r>
          </w:p>
        </w:tc>
      </w:tr>
    </w:tbl>
    <w:p>
      <w:pPr>
        <w:pStyle w:val="45"/>
        <w:ind w:firstLine="560"/>
        <w:rPr>
          <w:rFonts w:ascii="Times New Roman" w:hAnsi="Times New Roman"/>
          <w:sz w:val="28"/>
          <w:szCs w:val="28"/>
        </w:rPr>
      </w:pPr>
      <w:r>
        <w:rPr>
          <w:rFonts w:ascii="Times New Roman" w:hAnsi="Times New Roman"/>
          <w:sz w:val="28"/>
          <w:szCs w:val="28"/>
        </w:rPr>
        <w:t>3. 实习基地</w:t>
      </w:r>
    </w:p>
    <w:p>
      <w:pPr>
        <w:ind w:firstLine="480" w:firstLineChars="200"/>
      </w:pPr>
      <w:r>
        <w:t>实践教学是数据科学与大数据技术专业学生非常重要的环节。通过与国内相关企业单位合作，目前建有4个稳定的实习基地，可以安排学生的认识实习、生产实习和毕业实习。校外实习实训基地详见表2。</w:t>
      </w:r>
    </w:p>
    <w:p>
      <w:pPr>
        <w:ind w:firstLine="422" w:firstLineChars="200"/>
        <w:jc w:val="center"/>
        <w:rPr>
          <w:b/>
          <w:bCs/>
          <w:sz w:val="21"/>
          <w:szCs w:val="21"/>
        </w:rPr>
      </w:pPr>
      <w:r>
        <w:rPr>
          <w:b/>
          <w:bCs/>
          <w:sz w:val="21"/>
          <w:szCs w:val="21"/>
        </w:rPr>
        <w:t>表2  数据科学与大数据技术专业实习、实训基地统计表</w:t>
      </w:r>
    </w:p>
    <w:tbl>
      <w:tblPr>
        <w:tblStyle w:val="17"/>
        <w:tblW w:w="4999" w:type="pct"/>
        <w:jc w:val="center"/>
        <w:tblLayout w:type="autofit"/>
        <w:tblCellMar>
          <w:top w:w="0" w:type="dxa"/>
          <w:left w:w="108" w:type="dxa"/>
          <w:bottom w:w="0" w:type="dxa"/>
          <w:right w:w="108" w:type="dxa"/>
        </w:tblCellMar>
      </w:tblPr>
      <w:tblGrid>
        <w:gridCol w:w="1167"/>
        <w:gridCol w:w="6138"/>
        <w:gridCol w:w="1754"/>
      </w:tblGrid>
      <w:tr>
        <w:tblPrEx>
          <w:tblCellMar>
            <w:top w:w="0" w:type="dxa"/>
            <w:left w:w="108" w:type="dxa"/>
            <w:bottom w:w="0" w:type="dxa"/>
            <w:right w:w="108" w:type="dxa"/>
          </w:tblCellMar>
        </w:tblPrEx>
        <w:trPr>
          <w:trHeight w:val="408" w:hRule="atLeast"/>
          <w:tblHeader/>
          <w:jc w:val="center"/>
        </w:trPr>
        <w:tc>
          <w:tcPr>
            <w:tcW w:w="644" w:type="pct"/>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rPr>
                <w:b/>
                <w:bCs/>
                <w:kern w:val="0"/>
                <w:sz w:val="21"/>
                <w:szCs w:val="21"/>
              </w:rPr>
            </w:pPr>
            <w:r>
              <w:rPr>
                <w:b/>
                <w:bCs/>
                <w:kern w:val="0"/>
                <w:sz w:val="21"/>
                <w:szCs w:val="21"/>
              </w:rPr>
              <w:t>序号</w:t>
            </w:r>
          </w:p>
        </w:tc>
        <w:tc>
          <w:tcPr>
            <w:tcW w:w="3388" w:type="pct"/>
            <w:tcBorders>
              <w:top w:val="single" w:color="auto" w:sz="4" w:space="0"/>
              <w:left w:val="single" w:color="auto" w:sz="4" w:space="0"/>
              <w:bottom w:val="single" w:color="auto" w:sz="4" w:space="0"/>
              <w:right w:val="single" w:color="auto" w:sz="4" w:space="0"/>
            </w:tcBorders>
            <w:shd w:val="clear" w:color="000000" w:fill="FFFFFF"/>
            <w:noWrap/>
            <w:vAlign w:val="center"/>
          </w:tcPr>
          <w:p>
            <w:pPr>
              <w:widowControl/>
              <w:jc w:val="center"/>
              <w:rPr>
                <w:b/>
                <w:bCs/>
                <w:kern w:val="0"/>
                <w:sz w:val="21"/>
                <w:szCs w:val="21"/>
              </w:rPr>
            </w:pPr>
            <w:r>
              <w:rPr>
                <w:b/>
                <w:bCs/>
                <w:kern w:val="0"/>
                <w:sz w:val="21"/>
                <w:szCs w:val="21"/>
              </w:rPr>
              <w:t>基地名称</w:t>
            </w:r>
          </w:p>
        </w:tc>
        <w:tc>
          <w:tcPr>
            <w:tcW w:w="968" w:type="pct"/>
            <w:tcBorders>
              <w:top w:val="single" w:color="auto" w:sz="4" w:space="0"/>
              <w:left w:val="nil"/>
              <w:bottom w:val="single" w:color="auto" w:sz="4" w:space="0"/>
              <w:right w:val="single" w:color="auto" w:sz="4" w:space="0"/>
            </w:tcBorders>
            <w:shd w:val="clear" w:color="000000" w:fill="FFFFFF"/>
            <w:noWrap/>
            <w:vAlign w:val="center"/>
          </w:tcPr>
          <w:p>
            <w:pPr>
              <w:widowControl/>
              <w:jc w:val="center"/>
              <w:rPr>
                <w:b/>
                <w:bCs/>
                <w:kern w:val="0"/>
                <w:sz w:val="21"/>
                <w:szCs w:val="21"/>
              </w:rPr>
            </w:pPr>
            <w:r>
              <w:rPr>
                <w:b/>
                <w:bCs/>
                <w:kern w:val="0"/>
                <w:sz w:val="21"/>
                <w:szCs w:val="21"/>
              </w:rPr>
              <w:t>建立时间</w:t>
            </w:r>
          </w:p>
        </w:tc>
      </w:tr>
      <w:tr>
        <w:tblPrEx>
          <w:tblCellMar>
            <w:top w:w="0" w:type="dxa"/>
            <w:left w:w="108" w:type="dxa"/>
            <w:bottom w:w="0" w:type="dxa"/>
            <w:right w:w="108" w:type="dxa"/>
          </w:tblCellMar>
        </w:tblPrEx>
        <w:trPr>
          <w:trHeight w:val="408" w:hRule="atLeast"/>
          <w:jc w:val="center"/>
        </w:trPr>
        <w:tc>
          <w:tcPr>
            <w:tcW w:w="644" w:type="pct"/>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rPr>
                <w:kern w:val="0"/>
                <w:sz w:val="21"/>
                <w:szCs w:val="21"/>
              </w:rPr>
            </w:pPr>
            <w:r>
              <w:rPr>
                <w:kern w:val="0"/>
                <w:sz w:val="21"/>
                <w:szCs w:val="21"/>
              </w:rPr>
              <w:t>1</w:t>
            </w:r>
          </w:p>
        </w:tc>
        <w:tc>
          <w:tcPr>
            <w:tcW w:w="3388" w:type="pct"/>
            <w:tcBorders>
              <w:top w:val="single" w:color="auto" w:sz="4" w:space="0"/>
              <w:left w:val="single" w:color="auto" w:sz="4" w:space="0"/>
              <w:bottom w:val="single" w:color="auto" w:sz="4" w:space="0"/>
              <w:right w:val="single" w:color="auto" w:sz="4" w:space="0"/>
            </w:tcBorders>
            <w:shd w:val="clear" w:color="000000" w:fill="FFFFFF"/>
            <w:noWrap/>
            <w:vAlign w:val="center"/>
          </w:tcPr>
          <w:p>
            <w:pPr>
              <w:widowControl/>
              <w:jc w:val="left"/>
              <w:rPr>
                <w:sz w:val="21"/>
                <w:szCs w:val="21"/>
              </w:rPr>
            </w:pPr>
            <w:r>
              <w:rPr>
                <w:sz w:val="21"/>
                <w:szCs w:val="21"/>
              </w:rPr>
              <w:t>北京佳格天地科技有限公司</w:t>
            </w:r>
          </w:p>
        </w:tc>
        <w:tc>
          <w:tcPr>
            <w:tcW w:w="968" w:type="pct"/>
            <w:tcBorders>
              <w:top w:val="single" w:color="auto" w:sz="4" w:space="0"/>
              <w:left w:val="nil"/>
              <w:bottom w:val="single" w:color="auto" w:sz="4" w:space="0"/>
              <w:right w:val="single" w:color="auto" w:sz="4" w:space="0"/>
            </w:tcBorders>
            <w:shd w:val="clear" w:color="000000" w:fill="FFFFFF"/>
            <w:noWrap/>
            <w:vAlign w:val="center"/>
          </w:tcPr>
          <w:p>
            <w:pPr>
              <w:widowControl/>
              <w:jc w:val="center"/>
              <w:rPr>
                <w:sz w:val="21"/>
                <w:szCs w:val="21"/>
              </w:rPr>
            </w:pPr>
            <w:r>
              <w:rPr>
                <w:sz w:val="21"/>
                <w:szCs w:val="21"/>
              </w:rPr>
              <w:t>2019</w:t>
            </w:r>
          </w:p>
        </w:tc>
      </w:tr>
      <w:tr>
        <w:tblPrEx>
          <w:tblCellMar>
            <w:top w:w="0" w:type="dxa"/>
            <w:left w:w="108" w:type="dxa"/>
            <w:bottom w:w="0" w:type="dxa"/>
            <w:right w:w="108" w:type="dxa"/>
          </w:tblCellMar>
        </w:tblPrEx>
        <w:trPr>
          <w:trHeight w:val="408" w:hRule="atLeast"/>
          <w:jc w:val="center"/>
        </w:trPr>
        <w:tc>
          <w:tcPr>
            <w:tcW w:w="644" w:type="pct"/>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rPr>
                <w:kern w:val="0"/>
                <w:sz w:val="21"/>
                <w:szCs w:val="21"/>
              </w:rPr>
            </w:pPr>
            <w:r>
              <w:rPr>
                <w:kern w:val="0"/>
                <w:sz w:val="21"/>
                <w:szCs w:val="21"/>
              </w:rPr>
              <w:t>2</w:t>
            </w:r>
          </w:p>
        </w:tc>
        <w:tc>
          <w:tcPr>
            <w:tcW w:w="3388" w:type="pct"/>
            <w:tcBorders>
              <w:top w:val="single" w:color="auto" w:sz="4" w:space="0"/>
              <w:left w:val="single" w:color="auto" w:sz="4" w:space="0"/>
              <w:bottom w:val="single" w:color="auto" w:sz="4" w:space="0"/>
              <w:right w:val="single" w:color="auto" w:sz="4" w:space="0"/>
            </w:tcBorders>
            <w:shd w:val="clear" w:color="000000" w:fill="FFFFFF"/>
            <w:noWrap/>
            <w:vAlign w:val="center"/>
          </w:tcPr>
          <w:p>
            <w:pPr>
              <w:widowControl/>
              <w:jc w:val="left"/>
              <w:rPr>
                <w:sz w:val="21"/>
                <w:szCs w:val="21"/>
              </w:rPr>
            </w:pPr>
            <w:r>
              <w:rPr>
                <w:sz w:val="21"/>
                <w:szCs w:val="21"/>
              </w:rPr>
              <w:t>高寻真源（山东）教育科技有限公司</w:t>
            </w:r>
          </w:p>
        </w:tc>
        <w:tc>
          <w:tcPr>
            <w:tcW w:w="968" w:type="pct"/>
            <w:tcBorders>
              <w:top w:val="single" w:color="auto" w:sz="4" w:space="0"/>
              <w:left w:val="nil"/>
              <w:bottom w:val="single" w:color="auto" w:sz="4" w:space="0"/>
              <w:right w:val="single" w:color="auto" w:sz="4" w:space="0"/>
            </w:tcBorders>
            <w:shd w:val="clear" w:color="000000" w:fill="FFFFFF"/>
            <w:noWrap/>
            <w:vAlign w:val="center"/>
          </w:tcPr>
          <w:p>
            <w:pPr>
              <w:widowControl/>
              <w:jc w:val="center"/>
              <w:rPr>
                <w:sz w:val="21"/>
                <w:szCs w:val="21"/>
              </w:rPr>
            </w:pPr>
            <w:r>
              <w:rPr>
                <w:sz w:val="21"/>
                <w:szCs w:val="21"/>
              </w:rPr>
              <w:t>2020</w:t>
            </w:r>
          </w:p>
        </w:tc>
      </w:tr>
      <w:tr>
        <w:tblPrEx>
          <w:tblCellMar>
            <w:top w:w="0" w:type="dxa"/>
            <w:left w:w="108" w:type="dxa"/>
            <w:bottom w:w="0" w:type="dxa"/>
            <w:right w:w="108" w:type="dxa"/>
          </w:tblCellMar>
        </w:tblPrEx>
        <w:trPr>
          <w:trHeight w:val="408" w:hRule="atLeast"/>
          <w:jc w:val="center"/>
        </w:trPr>
        <w:tc>
          <w:tcPr>
            <w:tcW w:w="644" w:type="pct"/>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rPr>
                <w:kern w:val="0"/>
                <w:sz w:val="21"/>
                <w:szCs w:val="21"/>
              </w:rPr>
            </w:pPr>
            <w:r>
              <w:rPr>
                <w:kern w:val="0"/>
                <w:sz w:val="21"/>
                <w:szCs w:val="21"/>
              </w:rPr>
              <w:t>3</w:t>
            </w:r>
          </w:p>
        </w:tc>
        <w:tc>
          <w:tcPr>
            <w:tcW w:w="3388" w:type="pct"/>
            <w:tcBorders>
              <w:top w:val="single" w:color="auto" w:sz="4" w:space="0"/>
              <w:left w:val="single" w:color="auto" w:sz="4" w:space="0"/>
              <w:bottom w:val="single" w:color="auto" w:sz="4" w:space="0"/>
              <w:right w:val="single" w:color="auto" w:sz="4" w:space="0"/>
            </w:tcBorders>
            <w:shd w:val="clear" w:color="000000" w:fill="FFFFFF"/>
            <w:noWrap/>
          </w:tcPr>
          <w:p>
            <w:pPr>
              <w:rPr>
                <w:sz w:val="21"/>
                <w:szCs w:val="21"/>
              </w:rPr>
            </w:pPr>
            <w:r>
              <w:rPr>
                <w:sz w:val="21"/>
                <w:szCs w:val="21"/>
              </w:rPr>
              <w:t>青岛思途共享科技信息服务有限公司</w:t>
            </w:r>
          </w:p>
        </w:tc>
        <w:tc>
          <w:tcPr>
            <w:tcW w:w="968" w:type="pct"/>
            <w:tcBorders>
              <w:top w:val="single" w:color="auto" w:sz="4" w:space="0"/>
              <w:left w:val="nil"/>
              <w:bottom w:val="single" w:color="auto" w:sz="4" w:space="0"/>
              <w:right w:val="single" w:color="auto" w:sz="4" w:space="0"/>
            </w:tcBorders>
            <w:shd w:val="clear" w:color="000000" w:fill="FFFFFF"/>
            <w:noWrap/>
            <w:vAlign w:val="bottom"/>
          </w:tcPr>
          <w:p>
            <w:pPr>
              <w:widowControl/>
              <w:jc w:val="center"/>
              <w:rPr>
                <w:kern w:val="0"/>
                <w:sz w:val="21"/>
                <w:szCs w:val="21"/>
              </w:rPr>
            </w:pPr>
            <w:r>
              <w:rPr>
                <w:kern w:val="0"/>
                <w:sz w:val="21"/>
                <w:szCs w:val="21"/>
              </w:rPr>
              <w:t>2019</w:t>
            </w:r>
          </w:p>
        </w:tc>
      </w:tr>
      <w:tr>
        <w:tblPrEx>
          <w:tblCellMar>
            <w:top w:w="0" w:type="dxa"/>
            <w:left w:w="108" w:type="dxa"/>
            <w:bottom w:w="0" w:type="dxa"/>
            <w:right w:w="108" w:type="dxa"/>
          </w:tblCellMar>
        </w:tblPrEx>
        <w:trPr>
          <w:trHeight w:val="408" w:hRule="atLeast"/>
          <w:jc w:val="center"/>
        </w:trPr>
        <w:tc>
          <w:tcPr>
            <w:tcW w:w="644" w:type="pct"/>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rPr>
                <w:kern w:val="0"/>
                <w:sz w:val="21"/>
                <w:szCs w:val="21"/>
              </w:rPr>
            </w:pPr>
            <w:r>
              <w:rPr>
                <w:kern w:val="0"/>
                <w:sz w:val="21"/>
                <w:szCs w:val="21"/>
              </w:rPr>
              <w:t>4</w:t>
            </w:r>
          </w:p>
        </w:tc>
        <w:tc>
          <w:tcPr>
            <w:tcW w:w="3388" w:type="pct"/>
            <w:tcBorders>
              <w:top w:val="single" w:color="auto" w:sz="4" w:space="0"/>
              <w:left w:val="single" w:color="auto" w:sz="4" w:space="0"/>
              <w:bottom w:val="single" w:color="auto" w:sz="4" w:space="0"/>
              <w:right w:val="single" w:color="auto" w:sz="4" w:space="0"/>
            </w:tcBorders>
            <w:shd w:val="clear" w:color="000000" w:fill="FFFFFF"/>
            <w:noWrap/>
          </w:tcPr>
          <w:p>
            <w:pPr>
              <w:rPr>
                <w:sz w:val="21"/>
                <w:szCs w:val="21"/>
              </w:rPr>
            </w:pPr>
            <w:r>
              <w:rPr>
                <w:sz w:val="21"/>
                <w:szCs w:val="21"/>
              </w:rPr>
              <w:t>神舟航天软件（济南）有限公司</w:t>
            </w:r>
          </w:p>
        </w:tc>
        <w:tc>
          <w:tcPr>
            <w:tcW w:w="968" w:type="pct"/>
            <w:tcBorders>
              <w:top w:val="single" w:color="auto" w:sz="4" w:space="0"/>
              <w:left w:val="nil"/>
              <w:bottom w:val="single" w:color="auto" w:sz="4" w:space="0"/>
              <w:right w:val="single" w:color="auto" w:sz="4" w:space="0"/>
            </w:tcBorders>
            <w:shd w:val="clear" w:color="000000" w:fill="FFFFFF"/>
            <w:noWrap/>
            <w:vAlign w:val="bottom"/>
          </w:tcPr>
          <w:p>
            <w:pPr>
              <w:widowControl/>
              <w:jc w:val="center"/>
              <w:rPr>
                <w:kern w:val="0"/>
                <w:sz w:val="21"/>
                <w:szCs w:val="21"/>
              </w:rPr>
            </w:pPr>
            <w:r>
              <w:rPr>
                <w:kern w:val="0"/>
                <w:sz w:val="21"/>
                <w:szCs w:val="21"/>
              </w:rPr>
              <w:t>2019</w:t>
            </w:r>
          </w:p>
        </w:tc>
      </w:tr>
    </w:tbl>
    <w:p>
      <w:pPr>
        <w:pStyle w:val="6"/>
        <w:ind w:firstLine="480"/>
      </w:pPr>
      <w:r>
        <w:t>4. 现代教学技术应用</w:t>
      </w:r>
    </w:p>
    <w:p>
      <w:pPr>
        <w:ind w:firstLine="480" w:firstLineChars="200"/>
      </w:pPr>
      <w:r>
        <w:t>在教学过程中，将以计算机和网络为核心的信息技术与课程整合，使各种教学资源、教学元素相互融合，创设丰富的教学环境，促进学生自主构建学习、培养学生创新精神和实践能力。本专业使用了数字逻辑、模拟电路、Linux操作系统、计算机组成原理、计算机网络等课程的虚拟实验环境，使得学生可以在实验室外远程实验。使用了针对C语言、C++语言、Java语言、Python语言以及数据结构课程的程序设计教学与考试平台，在线完成学生作业的布置、提交及考试工作。使用了基于Funcode的程序设计教学与实训竞赛平台，提高学生的实训动手能力。依托山东农业大学农业大数据研究中心超算平台、500TB云平台等开展大数据处理、存储、挖掘、分析等方面的教学工作。</w:t>
      </w:r>
    </w:p>
    <w:p>
      <w:pPr>
        <w:pStyle w:val="5"/>
        <w:spacing w:before="93" w:after="93"/>
        <w:ind w:firstLine="560"/>
      </w:pPr>
      <w:bookmarkStart w:id="810" w:name="_Toc22825"/>
      <w:r>
        <w:t>四、培养机制与特色</w:t>
      </w:r>
      <w:bookmarkEnd w:id="810"/>
    </w:p>
    <w:p>
      <w:pPr>
        <w:pStyle w:val="6"/>
        <w:ind w:firstLine="480"/>
      </w:pPr>
      <w:bookmarkStart w:id="811" w:name="_Hlk118303286"/>
      <w:r>
        <w:t xml:space="preserve">1. </w:t>
      </w:r>
      <w:bookmarkEnd w:id="811"/>
      <w:r>
        <w:t>分类创新培养机制</w:t>
      </w:r>
    </w:p>
    <w:p>
      <w:pPr>
        <w:ind w:firstLine="480" w:firstLineChars="200"/>
      </w:pPr>
      <w:r>
        <w:t>为促进本科生认真学习、积极参加科技创新实践活动，明确自身发展目标，将学生分为科研型和应用型两类。一类是科研型，主要面向的学生是在学好培养方案要求课程基础上，并且学有余力、对科研有浓厚兴趣的学生，为这部分学生配备本科生导师，培养期间，由导师对学生学业和创新情况进行相关指导；学生主要参与导师科研项目，或者以导师作为指导教师参加SRT、创新创业大赛或其他相关专业竞赛。另一类是应用型，学生在完成培养方案基本课程要求基础上，通过以综合实训课程等形式促进学以致用。鼓励这部分学生参加SRT、创新创业大赛或其他专业相关大赛，可以主持和参与到相关SRT或创新创业大赛团队中，组成团队后可自行联系相关导师进行指导；鼓励学生参加积极参加相关专业其他老师的科研团队或者各类形式创新团队从事创新创业实践活动拓展专业能力。</w:t>
      </w:r>
    </w:p>
    <w:p>
      <w:pPr>
        <w:pStyle w:val="6"/>
        <w:ind w:firstLine="480"/>
      </w:pPr>
      <w:r>
        <w:t>2. 校企合作双创人才培养机制</w:t>
      </w:r>
    </w:p>
    <w:p>
      <w:pPr>
        <w:ind w:firstLine="480" w:firstLineChars="200"/>
      </w:pPr>
      <w:r>
        <w:t>本专业先后在北京佳格天地科技有限公司、高寻真源（山东）教育科技有限公司、青岛思途共享科技信息服务有限公司、神舟航天软件（济南）有限公司等建立实训、实习基地，联合培养实践能力突出的应用型人才。一直与东方瑞通咨询服务有限公司（北京）合作，在数据分析与挖掘、机器学习等方面开展实训课堂，校企共同合作培养学生的创新创业能力。2021年，安排2019级学生先后参观了泰安市云计算中心、泰山神农智谷大数据展厅（了解农业大数据，智慧城市大数据应用）、泰安市大树职业培训学校、泰安紫蜂旅游信息技术有限公司、山东众志电子软件开研发中心等，近距离了解了行业发展，提高了学生对专业知识学习的积极性。</w:t>
      </w:r>
    </w:p>
    <w:p>
      <w:pPr>
        <w:pStyle w:val="6"/>
        <w:ind w:firstLine="480"/>
      </w:pPr>
      <w:r>
        <w:t>3. 以赛促教、以赛促学人才培养模式</w:t>
      </w:r>
    </w:p>
    <w:p>
      <w:pPr>
        <w:ind w:firstLine="480" w:firstLineChars="200"/>
      </w:pPr>
      <w:r>
        <w:t>积极引导学生参与ACM程序设计竞赛、数学建模、蓝桥杯全国软件和信息技术专业人才大赛、山东省大学生软件设计大赛、阿里云天池大赛、kaggle比赛等本专业相关的一些比赛，形成以赛促教、以赛促学的人才培养模式。</w:t>
      </w:r>
    </w:p>
    <w:p>
      <w:pPr>
        <w:pStyle w:val="5"/>
        <w:spacing w:before="93" w:after="93"/>
        <w:ind w:firstLine="560"/>
      </w:pPr>
      <w:r>
        <w:t>五、培养质量</w:t>
      </w:r>
    </w:p>
    <w:p>
      <w:pPr>
        <w:spacing w:line="390" w:lineRule="exact"/>
        <w:ind w:firstLine="480" w:firstLineChars="200"/>
      </w:pPr>
      <w:r>
        <w:t>本专业2022届毕业生共计66人，其中男生48人，占72.7%，女生18人，占27.3%；省内生源63人，占95.5%，省外生源3人，占4.5%。</w:t>
      </w:r>
    </w:p>
    <w:p>
      <w:pPr>
        <w:spacing w:line="390" w:lineRule="exact"/>
        <w:ind w:firstLine="480" w:firstLineChars="200"/>
      </w:pPr>
      <w:r>
        <w:t>截止2022年8月31日，毕业生就业40人，就业率为60.6%，其中男生就业30人，就业率为62.5%，女生就业10人，就业率为55.6%。毕业生留鲁就业的24人，占已就业总人数的60.0%，其中省内就业地主要分布在济南、青岛、泰安三市，均占总就业人数的17.5%。出省就业共16人，占40.0%，主要流向北京市、江苏省和天津省等省份。毕业生就业单位性质显示，非国有企业就业人数最多，占已就业人数的50.0%，其次是国有企业就业，占25.0%；其他形式就业，占25%。</w:t>
      </w:r>
    </w:p>
    <w:p>
      <w:pPr>
        <w:spacing w:line="390" w:lineRule="exact"/>
        <w:ind w:firstLine="480" w:firstLineChars="200"/>
      </w:pPr>
      <w:r>
        <w:t>毕业生考取国内研究生16人，升学率24.2%。升学学校中，有7人考入双一流大学，占考取研究生总人数的43.8%，其中中国海洋大学、中国石油大学（华东）考取率较高，其余学校较为分散，分别分布在中国科学院大学、北京邮电大学、东北林业大学、天津理工大学、中央民族大学、山东农业大学、长春理工大学等各大学中。</w:t>
      </w:r>
    </w:p>
    <w:p>
      <w:pPr>
        <w:spacing w:line="390" w:lineRule="exact"/>
        <w:ind w:firstLine="480" w:firstLineChars="200"/>
      </w:pPr>
      <w:r>
        <w:t>毕业生当前所在工作单位或者所从事工作岗位与所学专业对口率较高的共22人，占已就业总人数的55%。主要集中在海信集团控股股份有限公司、海尔集团公司、山东中创软件工程股份有限公司、山大地纬软件股份有限公司等企业中。</w:t>
      </w:r>
    </w:p>
    <w:p>
      <w:pPr>
        <w:spacing w:line="390" w:lineRule="exact"/>
        <w:ind w:firstLine="480" w:firstLineChars="200"/>
      </w:pPr>
      <w:r>
        <w:t>今年是数据科学与大数据专业的第一届毕业生。目前大数据相关人才的欠缺将阻碍大数据市场发展。大数据的相关职位需要的是复合型人才，能够对数学、统计学、数据分析、机器学习、自然语言处理、语音识别、文字识别、人脸识别等多方面知识综合掌控。因此，社会急需掌握大数据技术、懂管理、有大数据应用经验的大数据建设专业人才，本专业就业前景广阔，社会对本专业人才的需求将呈上升趋势。</w:t>
      </w:r>
    </w:p>
    <w:p>
      <w:pPr>
        <w:pStyle w:val="5"/>
        <w:spacing w:before="93" w:after="93"/>
        <w:ind w:firstLine="560"/>
      </w:pPr>
      <w:bookmarkStart w:id="812" w:name="_Toc27373"/>
      <w:r>
        <w:t>六、毕业生就业创业</w:t>
      </w:r>
      <w:bookmarkEnd w:id="812"/>
    </w:p>
    <w:p>
      <w:pPr>
        <w:ind w:firstLine="480" w:firstLineChars="200"/>
      </w:pPr>
      <w:r>
        <w:t>不断改革人才培养模式，通过</w:t>
      </w:r>
      <w:r>
        <w:rPr>
          <w:rFonts w:hint="eastAsia"/>
        </w:rPr>
        <w:t>“</w:t>
      </w:r>
      <w:r>
        <w:t>理论学习+实验实践+学科竞赛+科研项目</w:t>
      </w:r>
      <w:r>
        <w:rPr>
          <w:rFonts w:hint="eastAsia"/>
        </w:rPr>
        <w:t>”</w:t>
      </w:r>
      <w:r>
        <w:t>四维人才培养模式，不仅使本专业学生具备扎实的理论基础，而且具有较强的实践创新能力。引导学生建立</w:t>
      </w:r>
      <w:r>
        <w:rPr>
          <w:rFonts w:hint="eastAsia"/>
        </w:rPr>
        <w:t>“</w:t>
      </w:r>
      <w:r>
        <w:t>先就业再择业</w:t>
      </w:r>
      <w:r>
        <w:rPr>
          <w:rFonts w:hint="eastAsia"/>
        </w:rPr>
        <w:t>”</w:t>
      </w:r>
      <w:r>
        <w:t>的就业理念，通过对学生开展就业政策和市场形式分析，让学生树立正确的就业理念，进行合理就业。</w:t>
      </w:r>
    </w:p>
    <w:p>
      <w:pPr>
        <w:pStyle w:val="5"/>
        <w:spacing w:before="93" w:after="93"/>
        <w:ind w:firstLine="560"/>
      </w:pPr>
      <w:bookmarkStart w:id="813" w:name="_Toc13513"/>
      <w:r>
        <w:t>七、专业发展趋势及建议</w:t>
      </w:r>
      <w:bookmarkEnd w:id="813"/>
    </w:p>
    <w:p>
      <w:pPr>
        <w:ind w:firstLine="480" w:firstLineChars="200"/>
      </w:pPr>
      <w:r>
        <w:t>大数据所能带来的巨大商业价值，被认为将引领一场足以与20世纪计算机革命匹敌的巨大变革。大数据正在对每个领域都造成影响，包括商业、经济等领域。大数据正在促生新的蓝海，催生新的经济增长点，正在成为企业竞争的新焦点。未来，大数据将会出现约100万的人才缺口，在各个行业大数据中高端人才都会成为最炙手可热的人才，涵盖了大数据的数据开发工程师、大数据分析师、数据架构师、大数据后台开发工程师、算法工程师等多个方向。在我国，能理解与应用大数据的创新人才是稀缺资源。</w:t>
      </w:r>
    </w:p>
    <w:p>
      <w:pPr>
        <w:ind w:firstLine="480" w:firstLineChars="200"/>
      </w:pPr>
      <w:r>
        <w:t>本专业是一个新兴专业，2022届毕业生是我校第一批本专业的毕业生，专业建设还处在不断摸索改进阶段。建议在人才引进政策上加大对本专业人才引进的支持，在资金上加大对专业实验室建设的投入。</w:t>
      </w:r>
    </w:p>
    <w:p>
      <w:pPr>
        <w:pStyle w:val="5"/>
        <w:spacing w:before="93" w:after="93"/>
        <w:ind w:firstLine="560"/>
      </w:pPr>
      <w:bookmarkStart w:id="814" w:name="_Toc31835"/>
      <w:r>
        <w:t>八、存在的问题及拟采取的对策措施</w:t>
      </w:r>
      <w:bookmarkEnd w:id="814"/>
    </w:p>
    <w:p>
      <w:pPr>
        <w:pStyle w:val="6"/>
        <w:ind w:firstLine="480"/>
      </w:pPr>
      <w:r>
        <w:t>1. 师资水平有待进一步加强</w:t>
      </w:r>
    </w:p>
    <w:p>
      <w:pPr>
        <w:spacing w:line="390" w:lineRule="exact"/>
        <w:ind w:firstLine="480" w:firstLineChars="200"/>
      </w:pPr>
      <w:r>
        <w:t>我校数据科学与大数据技术专业隶属于计算机科学与技术一级学科，现有教师均是长期从事或毕业于计算机科学与技术相关专业的老师，对于数据科学与大数据技术这一新兴专业，大部分老师是通过外出培训、自学等方式提高自身的专业能力，师资水平有待进一步加强。拟采取的措施：继续引进专业相关的高级人才；为现有老师提供更多的进修培训学习的机会，并提供一定的资金支持。</w:t>
      </w:r>
    </w:p>
    <w:p>
      <w:pPr>
        <w:pStyle w:val="6"/>
        <w:ind w:firstLine="480"/>
      </w:pPr>
      <w:r>
        <w:t>2．实验实践条件需进一步完善</w:t>
      </w:r>
    </w:p>
    <w:p>
      <w:pPr>
        <w:spacing w:line="390" w:lineRule="exact"/>
        <w:ind w:firstLine="480" w:firstLineChars="200"/>
      </w:pPr>
      <w:r>
        <w:t>目前的实验室条件不能较好地支持2个班以上的学生同时开展大数据存储与大数据处理等方面的实验实践，为老师授课带来一定困难。缺乏相关的实验教材或实验平台，不能为学生学习提供较好的条件。拟采取的措施：积极争取建设经费，购买实验设备和平台；安排任课老师编著有关的实验教材；积极和企业开展实习实践基地建设工作，通过把就业学生引入真实工作环境，提高学生的实践能力。</w:t>
      </w:r>
    </w:p>
    <w:p>
      <w:pPr>
        <w:pStyle w:val="6"/>
        <w:ind w:firstLine="480"/>
      </w:pPr>
      <w:r>
        <w:t>3. 学生的就业率有待提高</w:t>
      </w:r>
    </w:p>
    <w:p>
      <w:pPr>
        <w:spacing w:line="390" w:lineRule="exact"/>
        <w:ind w:firstLine="480" w:firstLineChars="200"/>
      </w:pPr>
      <w:r>
        <w:t>与当前社会对本专业人才的需求相比，本专业的学生就业率还有待提高。拟采取的措施：（1）积极开展学生考研指导工作。通过把握考研进程中的</w:t>
      </w:r>
      <w:r>
        <w:rPr>
          <w:rFonts w:hint="eastAsia"/>
        </w:rPr>
        <w:t>“</w:t>
      </w:r>
      <w:r>
        <w:t>关键时间点</w:t>
      </w:r>
      <w:r>
        <w:rPr>
          <w:rFonts w:hint="eastAsia"/>
        </w:rPr>
        <w:t>”</w:t>
      </w:r>
      <w:r>
        <w:t>，抓住学生考研过程中的</w:t>
      </w:r>
      <w:r>
        <w:rPr>
          <w:rFonts w:hint="eastAsia"/>
        </w:rPr>
        <w:t>“</w:t>
      </w:r>
      <w:r>
        <w:t>考研困惑点</w:t>
      </w:r>
      <w:r>
        <w:rPr>
          <w:rFonts w:hint="eastAsia"/>
        </w:rPr>
        <w:t>”</w:t>
      </w:r>
      <w:r>
        <w:t>，报考学校选择过程中的</w:t>
      </w:r>
      <w:r>
        <w:rPr>
          <w:rFonts w:hint="eastAsia"/>
        </w:rPr>
        <w:t>“</w:t>
      </w:r>
      <w:r>
        <w:t>志愿适应点</w:t>
      </w:r>
      <w:r>
        <w:rPr>
          <w:rFonts w:hint="eastAsia"/>
        </w:rPr>
        <w:t>”</w:t>
      </w:r>
      <w:r>
        <w:t>，积极组织开展考研辅导工作，通过</w:t>
      </w:r>
      <w:r>
        <w:rPr>
          <w:rFonts w:hint="eastAsia"/>
        </w:rPr>
        <w:t>“</w:t>
      </w:r>
      <w:r>
        <w:t>一对一</w:t>
      </w:r>
      <w:r>
        <w:rPr>
          <w:rFonts w:hint="eastAsia"/>
        </w:rPr>
        <w:t>”</w:t>
      </w:r>
      <w:r>
        <w:t>、</w:t>
      </w:r>
      <w:r>
        <w:rPr>
          <w:rFonts w:hint="eastAsia"/>
        </w:rPr>
        <w:t>“</w:t>
      </w:r>
      <w:r>
        <w:t>一对多</w:t>
      </w:r>
      <w:r>
        <w:rPr>
          <w:rFonts w:hint="eastAsia"/>
        </w:rPr>
        <w:t>”</w:t>
      </w:r>
      <w:r>
        <w:t>等多种形式，让学生能够把握考研复习进程，报考适合自己的志愿，提高学生考研率。（2）建立学业导师制度，通过学业导师的全程就业和考研指导，达到更加精准的学生的就业、考研的指导工作。</w:t>
      </w:r>
    </w:p>
    <w:bookmarkEnd w:id="807"/>
    <w:p>
      <w:pPr>
        <w:widowControl/>
        <w:ind w:firstLine="480" w:firstLineChars="200"/>
        <w:jc w:val="left"/>
        <w:rPr>
          <w:rFonts w:eastAsia="黑体"/>
          <w:kern w:val="0"/>
          <w:sz w:val="28"/>
          <w:szCs w:val="20"/>
        </w:rPr>
      </w:pPr>
      <w:r>
        <w:br w:type="page"/>
      </w:r>
    </w:p>
    <w:bookmarkEnd w:id="808"/>
    <w:p>
      <w:pPr>
        <w:pStyle w:val="4"/>
        <w:ind w:firstLine="600"/>
      </w:pPr>
      <w:bookmarkStart w:id="815" w:name="_Toc909"/>
      <w:bookmarkStart w:id="816" w:name="_Toc12382"/>
      <w:bookmarkStart w:id="817" w:name="_Toc22145"/>
      <w:bookmarkStart w:id="818" w:name="_Toc22293"/>
      <w:bookmarkStart w:id="819" w:name="_Toc1781"/>
      <w:r>
        <w:t>专业七十</w:t>
      </w:r>
      <w:r>
        <w:rPr>
          <w:rFonts w:hint="eastAsia"/>
          <w:lang w:val="en-US"/>
        </w:rPr>
        <w:t>六</w:t>
      </w:r>
      <w:r>
        <w:t>：应用化学</w:t>
      </w:r>
      <w:bookmarkEnd w:id="815"/>
      <w:bookmarkEnd w:id="816"/>
      <w:bookmarkEnd w:id="817"/>
      <w:bookmarkEnd w:id="818"/>
      <w:bookmarkEnd w:id="819"/>
    </w:p>
    <w:p>
      <w:pPr>
        <w:pStyle w:val="5"/>
        <w:spacing w:before="93" w:after="93"/>
        <w:ind w:firstLine="560"/>
      </w:pPr>
      <w:r>
        <w:t>一、人才培养目标与规格</w:t>
      </w:r>
    </w:p>
    <w:p>
      <w:pPr>
        <w:spacing w:line="390" w:lineRule="exact"/>
        <w:ind w:firstLine="480" w:firstLineChars="200"/>
      </w:pPr>
      <w:r>
        <w:rPr>
          <w:szCs w:val="24"/>
        </w:rPr>
        <w:t>本专业培养德、智、体全面发展的，具有人文科学、自然科学基础、外语、计算机应用能力，熟悉国内外应用化学发展现状、趋势和专业技术规范，具有扎实的化学专业知识和实验技能、良好的化工设计和产品研发等实践能力、自主学习能力、团队协作和组织协调能力，以及较强的创新意识和社会责任感，能在化工、材料、能源、制药、食品、环保等领域的科研机构、企事业单位或中等学校从事产品研发、检验检测、生产技术与组织管理以及教学科研等工作的创新型高素质人才。</w:t>
      </w:r>
    </w:p>
    <w:p>
      <w:pPr>
        <w:spacing w:line="390" w:lineRule="exact"/>
        <w:ind w:firstLine="480" w:firstLineChars="200"/>
      </w:pPr>
      <w:r>
        <w:t>应用化学专业的人才培养定位在培养创新型和专业型人才的规格上，该定位具有两个层面的含义，其一是具有持续学习以及创新能力，能够进一步学习深造的专业人才；其二是具有扎实基础理论和实践能力，可以在化学化工及相关领域、行业从事研究的专业背景人才。</w:t>
      </w:r>
    </w:p>
    <w:p>
      <w:pPr>
        <w:pStyle w:val="5"/>
        <w:spacing w:before="93" w:after="93"/>
        <w:ind w:firstLine="560"/>
      </w:pPr>
      <w:r>
        <w:t>二、培养能力（专业设置情况、在校生规模、课程设置情况、创新创业教育等）</w:t>
      </w:r>
    </w:p>
    <w:p>
      <w:pPr>
        <w:pStyle w:val="7"/>
        <w:spacing w:line="390" w:lineRule="exact"/>
        <w:ind w:firstLine="480"/>
      </w:pPr>
      <w:r>
        <w:t>1.学生应获取的知识与能力</w:t>
      </w:r>
    </w:p>
    <w:p>
      <w:pPr>
        <w:autoSpaceDE w:val="0"/>
        <w:autoSpaceDN w:val="0"/>
        <w:adjustRightInd w:val="0"/>
        <w:spacing w:line="390" w:lineRule="exact"/>
        <w:ind w:firstLine="480" w:firstLineChars="200"/>
        <w:rPr>
          <w:szCs w:val="24"/>
        </w:rPr>
      </w:pPr>
      <w:r>
        <w:rPr>
          <w:szCs w:val="24"/>
        </w:rPr>
        <w:t>（1）具有扎实的自然科学基础，良好的人文与社会科学素质、身心素质及表达能力；</w:t>
      </w:r>
    </w:p>
    <w:p>
      <w:pPr>
        <w:autoSpaceDE w:val="0"/>
        <w:autoSpaceDN w:val="0"/>
        <w:adjustRightInd w:val="0"/>
        <w:spacing w:line="390" w:lineRule="exact"/>
        <w:ind w:firstLine="480" w:firstLineChars="200"/>
        <w:rPr>
          <w:szCs w:val="24"/>
        </w:rPr>
      </w:pPr>
      <w:r>
        <w:rPr>
          <w:szCs w:val="24"/>
        </w:rPr>
        <w:t>（2）掌握计算机的使用、计算机的软件与硬件的基础知识，具有较强的计算机运用能力；</w:t>
      </w:r>
    </w:p>
    <w:p>
      <w:pPr>
        <w:autoSpaceDE w:val="0"/>
        <w:autoSpaceDN w:val="0"/>
        <w:adjustRightInd w:val="0"/>
        <w:spacing w:line="390" w:lineRule="exact"/>
        <w:ind w:firstLine="480" w:firstLineChars="200"/>
        <w:rPr>
          <w:szCs w:val="24"/>
        </w:rPr>
      </w:pPr>
      <w:r>
        <w:rPr>
          <w:szCs w:val="24"/>
        </w:rPr>
        <w:t>（3）掌握一门外语，具有一定的听、说、读、写能力；</w:t>
      </w:r>
    </w:p>
    <w:p>
      <w:pPr>
        <w:autoSpaceDE w:val="0"/>
        <w:autoSpaceDN w:val="0"/>
        <w:adjustRightInd w:val="0"/>
        <w:spacing w:line="390" w:lineRule="exact"/>
        <w:ind w:firstLine="480" w:firstLineChars="200"/>
        <w:rPr>
          <w:szCs w:val="24"/>
        </w:rPr>
      </w:pPr>
      <w:r>
        <w:rPr>
          <w:szCs w:val="24"/>
        </w:rPr>
        <w:t>（4）系统学习和掌握化学、化工基本理论，具有扎实的专业基础知识与实验技能，培养科学的思维能力，接受基础与应用研究方法与技能的系统训练；</w:t>
      </w:r>
    </w:p>
    <w:p>
      <w:pPr>
        <w:autoSpaceDE w:val="0"/>
        <w:autoSpaceDN w:val="0"/>
        <w:adjustRightInd w:val="0"/>
        <w:spacing w:line="390" w:lineRule="exact"/>
        <w:ind w:firstLine="480" w:firstLineChars="200"/>
        <w:rPr>
          <w:rFonts w:hint="eastAsia" w:eastAsia="宋体"/>
          <w:szCs w:val="24"/>
          <w:lang w:val="en-US" w:eastAsia="zh-CN"/>
        </w:rPr>
      </w:pPr>
      <w:r>
        <w:rPr>
          <w:szCs w:val="24"/>
        </w:rPr>
        <w:t>（5）树立终身学习的观念，具有独立获取知识和信息的能力，能以英语为工具，比较熟练地阅读本专业外文文献，获取专业所需信息</w:t>
      </w:r>
      <w:r>
        <w:rPr>
          <w:rFonts w:hint="eastAsia"/>
          <w:szCs w:val="24"/>
          <w:lang w:val="en-US" w:eastAsia="zh-CN"/>
        </w:rPr>
        <w:t>；</w:t>
      </w:r>
    </w:p>
    <w:p>
      <w:pPr>
        <w:autoSpaceDE w:val="0"/>
        <w:autoSpaceDN w:val="0"/>
        <w:adjustRightInd w:val="0"/>
        <w:spacing w:line="390" w:lineRule="exact"/>
        <w:ind w:firstLine="480" w:firstLineChars="200"/>
        <w:rPr>
          <w:szCs w:val="24"/>
        </w:rPr>
      </w:pPr>
      <w:r>
        <w:rPr>
          <w:szCs w:val="24"/>
        </w:rPr>
        <w:t>（6）具有综合运用应用化学专业知识解决生产实际问题的能力；</w:t>
      </w:r>
    </w:p>
    <w:p>
      <w:pPr>
        <w:autoSpaceDE w:val="0"/>
        <w:autoSpaceDN w:val="0"/>
        <w:adjustRightInd w:val="0"/>
        <w:spacing w:line="390" w:lineRule="exact"/>
        <w:ind w:firstLine="480" w:firstLineChars="200"/>
        <w:rPr>
          <w:szCs w:val="24"/>
        </w:rPr>
      </w:pPr>
      <w:r>
        <w:rPr>
          <w:szCs w:val="24"/>
        </w:rPr>
        <w:t>（7）具有较强的自学能力和适用科技发展的应变能力，具有创新意识和独立获取新知识的能力，具有初步的技术经济分析与评价、生产组织管理和协调能力；</w:t>
      </w:r>
    </w:p>
    <w:p>
      <w:pPr>
        <w:autoSpaceDE w:val="0"/>
        <w:autoSpaceDN w:val="0"/>
        <w:adjustRightInd w:val="0"/>
        <w:spacing w:line="390" w:lineRule="exact"/>
        <w:ind w:firstLine="480" w:firstLineChars="200"/>
        <w:rPr>
          <w:szCs w:val="24"/>
        </w:rPr>
      </w:pPr>
      <w:r>
        <w:rPr>
          <w:szCs w:val="24"/>
        </w:rPr>
        <w:t>（8）掌握化学、化工信息检索，资料查询、数据库使用方法与技巧，具有较强的计算机及网络应用能力；</w:t>
      </w:r>
    </w:p>
    <w:p>
      <w:pPr>
        <w:autoSpaceDE w:val="0"/>
        <w:autoSpaceDN w:val="0"/>
        <w:adjustRightInd w:val="0"/>
        <w:spacing w:line="390" w:lineRule="exact"/>
        <w:ind w:firstLine="480" w:firstLineChars="200"/>
        <w:rPr>
          <w:szCs w:val="24"/>
        </w:rPr>
      </w:pPr>
      <w:r>
        <w:rPr>
          <w:szCs w:val="24"/>
        </w:rPr>
        <w:t>（9）具有扎实的实验设计、分析处理实验结果、撰写论文及参与学术交流的能力；</w:t>
      </w:r>
    </w:p>
    <w:p>
      <w:pPr>
        <w:autoSpaceDE w:val="0"/>
        <w:autoSpaceDN w:val="0"/>
        <w:adjustRightInd w:val="0"/>
        <w:spacing w:line="390" w:lineRule="exact"/>
        <w:ind w:firstLine="480" w:firstLineChars="200"/>
        <w:rPr>
          <w:szCs w:val="24"/>
        </w:rPr>
      </w:pPr>
      <w:r>
        <w:rPr>
          <w:szCs w:val="24"/>
        </w:rPr>
        <w:t>（10）掌握现代化学理论、方法及各类化学、化工产品的理化分析检测技术；</w:t>
      </w:r>
    </w:p>
    <w:p>
      <w:pPr>
        <w:autoSpaceDE w:val="0"/>
        <w:autoSpaceDN w:val="0"/>
        <w:adjustRightInd w:val="0"/>
        <w:spacing w:line="390" w:lineRule="exact"/>
        <w:ind w:firstLine="480" w:firstLineChars="200"/>
        <w:rPr>
          <w:szCs w:val="24"/>
        </w:rPr>
      </w:pPr>
      <w:r>
        <w:rPr>
          <w:szCs w:val="24"/>
        </w:rPr>
        <w:t>（11）了解应用化学研究前沿、应用前景、最新发展动态及化工相关产业发展动态；了解国家关于科学技术、化学相关产业、知识产权等方面的政策、法规；</w:t>
      </w:r>
    </w:p>
    <w:p>
      <w:pPr>
        <w:spacing w:line="390" w:lineRule="exact"/>
        <w:ind w:firstLine="480" w:firstLineChars="200"/>
      </w:pPr>
      <w:r>
        <w:rPr>
          <w:szCs w:val="24"/>
        </w:rPr>
        <w:t>（12）能胜任化工、材料、能源、制药、食品、环保等企业或研究机构的科学研究、生产管理等工作，或胜任中等学校教学工作。</w:t>
      </w:r>
    </w:p>
    <w:p>
      <w:pPr>
        <w:pStyle w:val="7"/>
        <w:spacing w:line="390" w:lineRule="exact"/>
        <w:ind w:firstLine="480"/>
      </w:pPr>
      <w:r>
        <w:t>2.应用化学专业设置情况、在校生规模</w:t>
      </w:r>
    </w:p>
    <w:p>
      <w:pPr>
        <w:spacing w:line="390" w:lineRule="exact"/>
        <w:ind w:firstLine="480" w:firstLineChars="200"/>
      </w:pPr>
      <w:r>
        <w:t>本专业2000年申报，2001年招生，目前已毕业18届共1610名学生。2002年被学校确立为校重点建设专业，2003年设立应用化学专业硕士点，2005年被定为校级特色专业，2011年被确立为山东省</w:t>
      </w:r>
      <w:r>
        <w:rPr>
          <w:rFonts w:hint="eastAsia"/>
        </w:rPr>
        <w:t>“</w:t>
      </w:r>
      <w:r>
        <w:t>十二五</w:t>
      </w:r>
      <w:r>
        <w:rPr>
          <w:rFonts w:hint="eastAsia"/>
        </w:rPr>
        <w:t>”</w:t>
      </w:r>
      <w:r>
        <w:t>重点学科，2013年纳入山东省</w:t>
      </w:r>
      <w:r>
        <w:rPr>
          <w:rFonts w:hint="eastAsia"/>
        </w:rPr>
        <w:t>“</w:t>
      </w:r>
      <w:r>
        <w:t>名校工程</w:t>
      </w:r>
      <w:r>
        <w:rPr>
          <w:rFonts w:hint="eastAsia"/>
        </w:rPr>
        <w:t>”</w:t>
      </w:r>
      <w:r>
        <w:t>建设专业，2019年纳入山东省一流本科专业建设点。</w:t>
      </w:r>
    </w:p>
    <w:p>
      <w:pPr>
        <w:spacing w:line="390" w:lineRule="exact"/>
        <w:ind w:firstLine="480" w:firstLineChars="200"/>
      </w:pPr>
      <w:r>
        <w:t>2020、2021年学院实行应用化学专业单独招生，目前应用化学专业在校生有四个年级，2019级三个教学班，2020级两个教学班，2021、2022级各三个教学班；2019级83人，2020级61人，2021级90人，2022级90人，共计324人。</w:t>
      </w:r>
    </w:p>
    <w:p>
      <w:pPr>
        <w:pStyle w:val="7"/>
        <w:spacing w:line="390" w:lineRule="exact"/>
        <w:ind w:firstLine="480"/>
      </w:pPr>
      <w:r>
        <w:t>3.课程设置情况</w:t>
      </w:r>
    </w:p>
    <w:p>
      <w:pPr>
        <w:spacing w:line="390" w:lineRule="exact"/>
        <w:ind w:firstLine="480" w:firstLineChars="200"/>
      </w:pPr>
      <w:r>
        <w:t>包括课程和实践环节，共计170学分。</w:t>
      </w:r>
    </w:p>
    <w:p>
      <w:pPr>
        <w:spacing w:line="390" w:lineRule="exact"/>
        <w:ind w:firstLine="480" w:firstLineChars="200"/>
      </w:pPr>
      <w:r>
        <w:t>课程体系为通识必修课程14门28学分，通识选修课程（计算机、体育、创新创业、心理健康教育、艺术审美、人文社科）14学分，学科基础课程23门62.5学分，专业核心课程6门13.5学分，专业拓展教育课每名学生必修3.5学分，以上为必修课程；专业方向课程共提供15门课程29学分，学生必须选修15学分以上，另外还要选修专业交叉课程2学分。共计，</w:t>
      </w:r>
      <w:r>
        <w:rPr>
          <w:szCs w:val="24"/>
        </w:rPr>
        <w:t>必修课学分139学分、选修课学分31学分，实验学分（21.5学分）和实践环节学分（35.5学分）共57学分，占总学分33.5%。</w:t>
      </w:r>
    </w:p>
    <w:p>
      <w:pPr>
        <w:spacing w:line="390" w:lineRule="exact"/>
        <w:ind w:firstLine="480" w:firstLineChars="200"/>
      </w:pPr>
      <w:r>
        <w:t>实践教学环节总学分为35.5学分，占毕业总学分的20.9%。实践环节主要包括基础实践、专业实践和综合实践三大部分，主要有专业认识实习、化工实习、化工工程基础实验课程设计、化学工艺学课程设计、精细化学品化学课程设计、现代分离技术课程设计、科技应用文写作、实验室安全与环保、应用化学综合课程设计、创新创业实践、毕业实习及报告、毕业论文（设计）等等。</w:t>
      </w:r>
    </w:p>
    <w:p>
      <w:pPr>
        <w:pStyle w:val="7"/>
        <w:spacing w:line="390" w:lineRule="exact"/>
        <w:ind w:firstLine="480"/>
      </w:pPr>
      <w:r>
        <w:t>4.创新创业教育</w:t>
      </w:r>
    </w:p>
    <w:p>
      <w:pPr>
        <w:spacing w:line="390" w:lineRule="exact"/>
        <w:ind w:firstLine="480" w:firstLineChars="200"/>
      </w:pPr>
      <w:r>
        <w:t>通过多种途径或方式鼓励学生进行创新创业活动，鼓励学生积极申报国家、省、学校各类创新研究项目，全年共申请立项项目42项，项目总经费近13万元，本年度结题大学生创新创业训练计划30项。参加山东省</w:t>
      </w:r>
      <w:r>
        <w:rPr>
          <w:rFonts w:hint="eastAsia"/>
        </w:rPr>
        <w:t>“</w:t>
      </w:r>
      <w:r>
        <w:t>互联网+</w:t>
      </w:r>
      <w:r>
        <w:rPr>
          <w:rFonts w:hint="eastAsia"/>
        </w:rPr>
        <w:t>”</w:t>
      </w:r>
      <w:r>
        <w:t>大学生创新创业大赛、山东省科技创新大赛、山东省大学生化工过程创新设计竞赛、山东省大学生实验技能大赛等，获奖10余项。本年度应用化学专业学生成功申请进入教师科研室做科研助手或直接参与研究生或教师的科研项目，这为进一步提升学生的专业创新创业能力搭建了一个全新的平台。</w:t>
      </w:r>
    </w:p>
    <w:p>
      <w:pPr>
        <w:pStyle w:val="5"/>
        <w:spacing w:before="93" w:after="93"/>
        <w:ind w:firstLine="560"/>
      </w:pPr>
      <w:r>
        <w:t>三、培养条件（教学经费投入、教学设备、教师队伍建设、实习基地、现代教学技术应用等）</w:t>
      </w:r>
    </w:p>
    <w:p>
      <w:pPr>
        <w:pStyle w:val="7"/>
        <w:spacing w:line="396" w:lineRule="exact"/>
        <w:ind w:firstLine="480"/>
      </w:pPr>
      <w:r>
        <w:t>1.经费投入</w:t>
      </w:r>
    </w:p>
    <w:p>
      <w:pPr>
        <w:spacing w:line="396" w:lineRule="exact"/>
        <w:ind w:firstLine="480" w:firstLineChars="200"/>
      </w:pPr>
      <w:r>
        <w:t>为维持应用化学专业教学的正常运行，学院每年投入教学经费约140万元、实验经费80万元左右，主要用于学生实验的药品试剂、低值易耗、创新研究、师资培养等支出。</w:t>
      </w:r>
    </w:p>
    <w:p>
      <w:pPr>
        <w:pStyle w:val="7"/>
        <w:spacing w:line="396" w:lineRule="exact"/>
        <w:ind w:firstLine="480"/>
      </w:pPr>
      <w:r>
        <w:t>2.教学设备</w:t>
      </w:r>
    </w:p>
    <w:p>
      <w:pPr>
        <w:spacing w:line="396" w:lineRule="exact"/>
        <w:ind w:firstLine="480" w:firstLineChars="200"/>
      </w:pPr>
      <w:r>
        <w:t>目前学院拥有扫描电子显微镜、X射线粉末衍射仪、激光拉曼光谱仪、原子吸收分光光度计、电化学工作站、高效液相色谱仪、微波消解样品处理仪、气相色谱仪、逆流色谱分析仪、元素分析仪、热重分析仪、荧光分析仪、差热分析仪、紫外-可见分光光度计、气相-串联质谱气质联用仪、等离子体原子发射光谱仪、高效毛细管电泳分析仪、表面等离子体共振仪、荧光磷光和化学发光功能一体化的分子发射光谱仪、傅立叶变换红外光谱仪等仪器设备，基本可满足教学需求。为了进一步改善教学条件，学院通过购置</w:t>
      </w:r>
      <w:r>
        <w:rPr>
          <w:rFonts w:hint="eastAsia"/>
        </w:rPr>
        <w:t>“</w:t>
      </w:r>
      <w:r>
        <w:t>光催化氙灯光源系统</w:t>
      </w:r>
      <w:r>
        <w:rPr>
          <w:rFonts w:hint="eastAsia"/>
        </w:rPr>
        <w:t>”</w:t>
      </w:r>
      <w:r>
        <w:t>、</w:t>
      </w:r>
      <w:r>
        <w:rPr>
          <w:rFonts w:hint="eastAsia"/>
        </w:rPr>
        <w:t>“</w:t>
      </w:r>
      <w:r>
        <w:t>分光光度计</w:t>
      </w:r>
      <w:r>
        <w:rPr>
          <w:rFonts w:hint="eastAsia"/>
        </w:rPr>
        <w:t>”</w:t>
      </w:r>
      <w:r>
        <w:t>、</w:t>
      </w:r>
      <w:r>
        <w:rPr>
          <w:rFonts w:hint="eastAsia"/>
        </w:rPr>
        <w:t>“</w:t>
      </w:r>
      <w:r>
        <w:t>电化学工作站</w:t>
      </w:r>
      <w:r>
        <w:rPr>
          <w:rFonts w:hint="eastAsia"/>
        </w:rPr>
        <w:t>”</w:t>
      </w:r>
      <w:r>
        <w:t>、</w:t>
      </w:r>
      <w:r>
        <w:rPr>
          <w:rFonts w:hint="eastAsia"/>
        </w:rPr>
        <w:t>“</w:t>
      </w:r>
      <w:r>
        <w:t>旋转蒸发仪</w:t>
      </w:r>
      <w:r>
        <w:rPr>
          <w:rFonts w:hint="eastAsia"/>
        </w:rPr>
        <w:t>”</w:t>
      </w:r>
      <w:r>
        <w:t>、</w:t>
      </w:r>
      <w:r>
        <w:rPr>
          <w:rFonts w:hint="eastAsia"/>
        </w:rPr>
        <w:t>“</w:t>
      </w:r>
      <w:r>
        <w:t>纳米粒度仪</w:t>
      </w:r>
      <w:r>
        <w:rPr>
          <w:rFonts w:hint="eastAsia"/>
        </w:rPr>
        <w:t>”</w:t>
      </w:r>
      <w:r>
        <w:t>、</w:t>
      </w:r>
      <w:r>
        <w:rPr>
          <w:rFonts w:hint="eastAsia"/>
        </w:rPr>
        <w:t>“</w:t>
      </w:r>
      <w:r>
        <w:t>动态力学分析仪</w:t>
      </w:r>
      <w:r>
        <w:rPr>
          <w:rFonts w:hint="eastAsia"/>
        </w:rPr>
        <w:t>”</w:t>
      </w:r>
      <w:r>
        <w:t>、</w:t>
      </w:r>
      <w:r>
        <w:rPr>
          <w:rFonts w:hint="eastAsia"/>
        </w:rPr>
        <w:t>“</w:t>
      </w:r>
      <w:r>
        <w:t>超纯水制备仪器</w:t>
      </w:r>
      <w:r>
        <w:rPr>
          <w:rFonts w:hint="eastAsia"/>
        </w:rPr>
        <w:t>”</w:t>
      </w:r>
      <w:r>
        <w:t>、</w:t>
      </w:r>
      <w:r>
        <w:rPr>
          <w:rFonts w:hint="eastAsia"/>
        </w:rPr>
        <w:t>“</w:t>
      </w:r>
      <w:r>
        <w:t>电致化学发光仪</w:t>
      </w:r>
      <w:r>
        <w:rPr>
          <w:rFonts w:hint="eastAsia"/>
        </w:rPr>
        <w:t>”</w:t>
      </w:r>
      <w:r>
        <w:t>、</w:t>
      </w:r>
      <w:r>
        <w:rPr>
          <w:rFonts w:hint="eastAsia"/>
        </w:rPr>
        <w:t>“</w:t>
      </w:r>
      <w:r>
        <w:t>高速冷冻离心机</w:t>
      </w:r>
      <w:r>
        <w:rPr>
          <w:rFonts w:hint="eastAsia"/>
        </w:rPr>
        <w:t>”</w:t>
      </w:r>
      <w:r>
        <w:t>、</w:t>
      </w:r>
      <w:r>
        <w:rPr>
          <w:rFonts w:hint="eastAsia"/>
        </w:rPr>
        <w:t>“</w:t>
      </w:r>
      <w:r>
        <w:t>转矩流变仪</w:t>
      </w:r>
      <w:r>
        <w:rPr>
          <w:rFonts w:hint="eastAsia"/>
        </w:rPr>
        <w:t>”</w:t>
      </w:r>
      <w:r>
        <w:t>、</w:t>
      </w:r>
      <w:r>
        <w:rPr>
          <w:rFonts w:hint="eastAsia"/>
        </w:rPr>
        <w:t>“</w:t>
      </w:r>
      <w:r>
        <w:t>真空冷冻干燥机</w:t>
      </w:r>
      <w:r>
        <w:rPr>
          <w:rFonts w:hint="eastAsia"/>
        </w:rPr>
        <w:t>”</w:t>
      </w:r>
      <w:r>
        <w:t>、</w:t>
      </w:r>
      <w:r>
        <w:rPr>
          <w:rFonts w:hint="eastAsia"/>
        </w:rPr>
        <w:t>“</w:t>
      </w:r>
      <w:r>
        <w:t>微波合成仪</w:t>
      </w:r>
      <w:r>
        <w:rPr>
          <w:rFonts w:hint="eastAsia"/>
        </w:rPr>
        <w:t>”</w:t>
      </w:r>
      <w:r>
        <w:t>、</w:t>
      </w:r>
      <w:r>
        <w:rPr>
          <w:rFonts w:hint="eastAsia"/>
        </w:rPr>
        <w:t>“</w:t>
      </w:r>
      <w:r>
        <w:t>紫外光谱仪</w:t>
      </w:r>
      <w:r>
        <w:rPr>
          <w:rFonts w:hint="eastAsia"/>
        </w:rPr>
        <w:t>”</w:t>
      </w:r>
      <w:r>
        <w:t>、</w:t>
      </w:r>
      <w:r>
        <w:rPr>
          <w:rFonts w:hint="eastAsia"/>
        </w:rPr>
        <w:t>“</w:t>
      </w:r>
      <w:r>
        <w:t>电子分析天平</w:t>
      </w:r>
      <w:r>
        <w:rPr>
          <w:rFonts w:hint="eastAsia"/>
        </w:rPr>
        <w:t>”</w:t>
      </w:r>
      <w:r>
        <w:t>、</w:t>
      </w:r>
      <w:r>
        <w:rPr>
          <w:rFonts w:hint="eastAsia"/>
        </w:rPr>
        <w:t>“</w:t>
      </w:r>
      <w:r>
        <w:t>高温管式电阻炉</w:t>
      </w:r>
      <w:r>
        <w:rPr>
          <w:rFonts w:hint="eastAsia"/>
        </w:rPr>
        <w:t>”</w:t>
      </w:r>
      <w:r>
        <w:t>等仪器，为学生开展创新研究活动提供了有力保障。</w:t>
      </w:r>
    </w:p>
    <w:p>
      <w:pPr>
        <w:pStyle w:val="7"/>
        <w:spacing w:line="396" w:lineRule="exact"/>
        <w:ind w:firstLine="480"/>
      </w:pPr>
      <w:r>
        <w:t>3.教师队伍建设</w:t>
      </w:r>
    </w:p>
    <w:p>
      <w:pPr>
        <w:spacing w:line="396" w:lineRule="exact"/>
        <w:ind w:firstLine="480" w:firstLineChars="200"/>
      </w:pPr>
      <w:r>
        <w:t>（1）引进教师情况：本年度引进博士五名，分别作为材料化学、制药工程等课程的教师储备，其中包括实验教师一名，作为实验技术人员储备。为提升本专业与农业、生命科学相结合的深度与广度提供了新的增长点。</w:t>
      </w:r>
    </w:p>
    <w:p>
      <w:pPr>
        <w:spacing w:line="396" w:lineRule="exact"/>
        <w:ind w:firstLine="480" w:firstLineChars="200"/>
      </w:pPr>
      <w:r>
        <w:t>（2）师资队伍结构变化：应用化学专业专任教师16名，拥有博士学位教师16人，占100%，副教授以上职称教师14人，占87.5%。40-45岁教师7人，占43.8%；40岁以下教师6人，占37.5%。教师队伍学历结构得到进一步提升。</w:t>
      </w:r>
    </w:p>
    <w:p>
      <w:pPr>
        <w:spacing w:line="396" w:lineRule="exact"/>
        <w:ind w:firstLine="480" w:firstLineChars="200"/>
      </w:pPr>
      <w:r>
        <w:t>（3）加强师资队伍建设的情况：学院积极鼓励和支持本专业教师申请科研项目。本年度有2位教师获得国家自然科学基金面上项目资助，3位老师获得山东省自然科学基金面上项目，3位老师获得省基金青年项目。通过观摩教学、青年教师讲课技能比赛、指导教师全程指导等方式，使广大教师的教学能力与教学水平得到进一步提升，四名教师（时伟杰、韩峰、黄丹丹、王晓琳）参加学校</w:t>
      </w:r>
      <w:r>
        <w:rPr>
          <w:rFonts w:hint="eastAsia"/>
        </w:rPr>
        <w:t>“</w:t>
      </w:r>
      <w:r>
        <w:t>2022年度教学质量奖</w:t>
      </w:r>
      <w:r>
        <w:rPr>
          <w:rFonts w:hint="eastAsia"/>
        </w:rPr>
        <w:t>”</w:t>
      </w:r>
      <w:r>
        <w:t>的评比。</w:t>
      </w:r>
    </w:p>
    <w:p>
      <w:pPr>
        <w:pStyle w:val="7"/>
        <w:spacing w:line="396" w:lineRule="exact"/>
        <w:ind w:firstLine="480"/>
      </w:pPr>
      <w:r>
        <w:t>4.实习基地</w:t>
      </w:r>
    </w:p>
    <w:p>
      <w:pPr>
        <w:spacing w:line="396" w:lineRule="exact"/>
        <w:ind w:firstLine="480" w:firstLineChars="200"/>
      </w:pPr>
      <w:r>
        <w:t>本专业现有固定实习基地十七个，分别为山东鲁燕色母粒有限公司、金正大生态工程集团股份有限公司、山东瑞星化学工业集团总公司、山东滨州科技有限公司、济宁中山公用水务有限公司、莱芜金彩阳生物科技有限公司、山东欧凯制管有限公司、山东优普生物工程有限公司、新泰市检验检测中心、山东汇氏环境科技有限公司、龙口海恒新型环保燃料科技有限公司、肥城康王酒业有限公司、山东诺正检测有限公司、山东大唐宅配家居有限公司、泰安渤洋化工科技有限公司、山东九鑫基团、泰和水处理科技股份有限公司。组织与本专业相关教师去实习基地进行观摩、考察、探讨项目合作多次，达成多项共识，下一步将具体落实。</w:t>
      </w:r>
    </w:p>
    <w:p>
      <w:pPr>
        <w:pStyle w:val="7"/>
        <w:spacing w:line="396" w:lineRule="exact"/>
        <w:ind w:firstLine="480"/>
      </w:pPr>
      <w:r>
        <w:t>5.现代教学技术应用</w:t>
      </w:r>
    </w:p>
    <w:p>
      <w:pPr>
        <w:spacing w:line="396" w:lineRule="exact"/>
        <w:ind w:firstLine="480" w:firstLineChars="200"/>
      </w:pPr>
      <w:r>
        <w:t>为了提升理论课程教学水平与教学质量，广大专业课程教师主动学习新技术、新手段，不但充实了课堂教学内容，同时还做到了课堂教学的生动活泼、实用有效，配合名校工程建设工作，各专业课程教师都建立了个人的课程网站，为学生进行自主学习提供了多种平台。实验课教学方面，引进一些仿真软件，让学生先进行模拟实验，加深对实验原理、实验操作、相关注意事项的理解，提高实验教学质量。化工实验因更新了仪器设备，更加接近化工生产的实际，提升了专业实验教学水平。</w:t>
      </w:r>
    </w:p>
    <w:p>
      <w:pPr>
        <w:pStyle w:val="5"/>
        <w:spacing w:before="93" w:after="93"/>
        <w:ind w:firstLine="560"/>
      </w:pPr>
      <w:r>
        <w:t>四、培养机制与特色（产学研协同育人机制、合作办学、教学管理等）</w:t>
      </w:r>
    </w:p>
    <w:p>
      <w:pPr>
        <w:pStyle w:val="7"/>
        <w:spacing w:line="396" w:lineRule="exact"/>
        <w:ind w:firstLine="480"/>
      </w:pPr>
      <w:r>
        <w:t>1.产学研与合作办学</w:t>
      </w:r>
    </w:p>
    <w:p>
      <w:pPr>
        <w:spacing w:line="396" w:lineRule="exact"/>
        <w:ind w:firstLine="480" w:firstLineChars="200"/>
      </w:pPr>
      <w:r>
        <w:t>产学研协同育人机制：</w:t>
      </w:r>
    </w:p>
    <w:p>
      <w:pPr>
        <w:spacing w:line="396" w:lineRule="exact"/>
        <w:ind w:firstLine="480" w:firstLineChars="200"/>
      </w:pPr>
      <w:r>
        <w:t>加强产学研合作，积极探索产学研合作模式，以平台建设、学术报告、项目申报等形式推动产学研合作。鼓励与支持专业教师与企业、公司合作进行横向联合，解决化学工业生产中的实践问题，</w:t>
      </w:r>
    </w:p>
    <w:p>
      <w:pPr>
        <w:spacing w:line="396" w:lineRule="exact"/>
        <w:ind w:firstLine="480" w:firstLineChars="200"/>
      </w:pPr>
      <w:r>
        <w:t>组织机构：成立了由教学、科研、生产三方组成的产学研合作委员会，具体人员组成如下。</w:t>
      </w:r>
    </w:p>
    <w:p>
      <w:pPr>
        <w:spacing w:line="396" w:lineRule="exact"/>
        <w:ind w:firstLine="480" w:firstLineChars="200"/>
      </w:pPr>
      <w:r>
        <w:t>主任：艾仕云（山东农业大学化学与材料科学学院），周杰（山东省环保厅）</w:t>
      </w:r>
    </w:p>
    <w:p>
      <w:pPr>
        <w:spacing w:line="396" w:lineRule="exact"/>
        <w:ind w:firstLine="480" w:firstLineChars="200"/>
      </w:pPr>
      <w:r>
        <w:t>委员：朱树华（山东农业大学化学与材料科学学院），张瑞鼎（瑞星集团总工程师），欧阳秋英（山东春潮色母料集团总经理）</w:t>
      </w:r>
    </w:p>
    <w:p>
      <w:pPr>
        <w:spacing w:line="396" w:lineRule="exact"/>
        <w:ind w:firstLine="480" w:firstLineChars="200"/>
      </w:pPr>
      <w:r>
        <w:t>合作办学：</w:t>
      </w:r>
    </w:p>
    <w:p>
      <w:pPr>
        <w:spacing w:line="396" w:lineRule="exact"/>
        <w:ind w:firstLine="480" w:firstLineChars="200"/>
      </w:pPr>
      <w:r>
        <w:t>成立了由学院领导、专业主任和合作方组成的合作办学委员会，具体人员组成如下：</w:t>
      </w:r>
    </w:p>
    <w:p>
      <w:pPr>
        <w:spacing w:line="396" w:lineRule="exact"/>
        <w:ind w:firstLine="480" w:firstLineChars="200"/>
      </w:pPr>
      <w:r>
        <w:t>主任：艾仕云，王培利（山东春潮色母粒集团董事长）</w:t>
      </w:r>
    </w:p>
    <w:p>
      <w:pPr>
        <w:spacing w:line="396" w:lineRule="exact"/>
        <w:ind w:firstLine="480" w:firstLineChars="200"/>
      </w:pPr>
      <w:r>
        <w:t>委员：姜林，艾仕云</w:t>
      </w:r>
      <w:r>
        <w:rPr>
          <w:color w:val="000000" w:themeColor="text1"/>
          <w14:textFill>
            <w14:solidFill>
              <w14:schemeClr w14:val="tx1"/>
            </w14:solidFill>
          </w14:textFill>
        </w:rPr>
        <w:t>，李艳，</w:t>
      </w:r>
      <w:r>
        <w:t>孟广银（山东瑞星集团董事长）。</w:t>
      </w:r>
    </w:p>
    <w:p>
      <w:pPr>
        <w:spacing w:line="396" w:lineRule="exact"/>
        <w:ind w:firstLine="480" w:firstLineChars="200"/>
      </w:pPr>
      <w:r>
        <w:t>合作办学委员会具体负责协调学生在校学习和社会实践教学的各项工作，每半年召开一次全委会，研究合作办学的具体事宜。</w:t>
      </w:r>
    </w:p>
    <w:p>
      <w:pPr>
        <w:spacing w:line="396" w:lineRule="exact"/>
        <w:ind w:firstLine="480" w:firstLineChars="200"/>
      </w:pPr>
      <w:r>
        <w:t>合作创新平台建设方面：探索产学研合作创新平台建设体制机制，加强校企（校地）联合，学院与京博控股集团联合建成了</w:t>
      </w:r>
      <w:r>
        <w:rPr>
          <w:rFonts w:hint="eastAsia"/>
        </w:rPr>
        <w:t>“</w:t>
      </w:r>
      <w:r>
        <w:t>碳一化学</w:t>
      </w:r>
      <w:r>
        <w:rPr>
          <w:rFonts w:hint="eastAsia"/>
        </w:rPr>
        <w:t>”</w:t>
      </w:r>
      <w:r>
        <w:t>创新平台，由京博控股集团投资建设的</w:t>
      </w:r>
      <w:r>
        <w:rPr>
          <w:rFonts w:hint="eastAsia"/>
        </w:rPr>
        <w:t>“</w:t>
      </w:r>
      <w:r>
        <w:t>碳一化学实验室</w:t>
      </w:r>
      <w:r>
        <w:rPr>
          <w:rFonts w:hint="eastAsia"/>
        </w:rPr>
        <w:t>”</w:t>
      </w:r>
      <w:r>
        <w:t>已正式在我校挂牌运行，同时在京博控股基团的研发中心也设立了山东农业大学研究实验室，并制定了相应的产学研协同创新实施方案。学院还与德国巴斯夫集团合作共建实验室。</w:t>
      </w:r>
    </w:p>
    <w:p>
      <w:pPr>
        <w:spacing w:line="396" w:lineRule="exact"/>
        <w:ind w:firstLine="480" w:firstLineChars="200"/>
      </w:pPr>
      <w:r>
        <w:t>协同创新平台的建设，一方面将为本专业学生提供广阔的社会实践舞台，将所学专业知识应用于生产实践，丰富学生的学习和实践阅历；另一方面，平台的建设也为学生将来的就业提供有力保障。</w:t>
      </w:r>
    </w:p>
    <w:p>
      <w:pPr>
        <w:pStyle w:val="7"/>
        <w:spacing w:line="396" w:lineRule="exact"/>
        <w:ind w:firstLine="480"/>
      </w:pPr>
      <w:r>
        <w:t>2.教学管理</w:t>
      </w:r>
    </w:p>
    <w:p>
      <w:pPr>
        <w:spacing w:line="396" w:lineRule="exact"/>
        <w:ind w:firstLine="480" w:firstLineChars="200"/>
      </w:pPr>
      <w:r>
        <w:t>成立了以主管教学院长为组长，专业主任、实验中心主任、系主任、院教务秘书参加的专业教学领导小组，宏观指导专业课程教学工作，定期对教学运行情况、教学过程中存在的问题、如何改进课程教学等问题听取专业课程教师、专业学生的意见与建议，对影响教学运行与教学质量的因素进行及时收集与整理，做到防患于未然。同时充分发挥学生会、团委及班干部的作用，鼓励学生成立各种课外学习小组，安排专业课程教师定期解决学生在学习过程中遇到的问题。</w:t>
      </w:r>
    </w:p>
    <w:p>
      <w:pPr>
        <w:spacing w:line="396" w:lineRule="exact"/>
        <w:ind w:firstLine="480" w:firstLineChars="200"/>
      </w:pPr>
      <w:r>
        <w:t>课程教学质量的评价、课程考核方式方法的确定、各类考试的组织、成绩评定、评选评优等工作，院教学指导小组都参与其中，做到公平、公正、合情合理。</w:t>
      </w:r>
    </w:p>
    <w:p>
      <w:pPr>
        <w:pStyle w:val="5"/>
        <w:spacing w:before="93" w:after="93"/>
        <w:ind w:firstLine="560"/>
      </w:pPr>
      <w:r>
        <w:t>五、培养质量（毕业生就业率、就业专业对口率、毕业生发展情况、就业单位满意率、社会对专业的评价、学生就读该专业的意愿等）</w:t>
      </w:r>
    </w:p>
    <w:p>
      <w:pPr>
        <w:pStyle w:val="6"/>
        <w:ind w:firstLine="480"/>
      </w:pPr>
      <w:r>
        <w:t>1.毕业生生源结构</w:t>
      </w:r>
    </w:p>
    <w:p>
      <w:pPr>
        <w:ind w:firstLine="480" w:firstLineChars="200"/>
        <w:rPr>
          <w:szCs w:val="24"/>
        </w:rPr>
      </w:pPr>
      <w:r>
        <w:rPr>
          <w:szCs w:val="24"/>
        </w:rPr>
        <w:t>本专业2022届毕业生共计84人，其中男生27人，占32.14%，女生57人，占67.86%；省内生源76人，占90.48%，省外生源8人，占9.52%，省外生源主要集中在河南省、湖南省、天津市、浙江省、山西省等。从民族结构看，2022届毕业生全部为汉族，共84人，占100%；无少数民族。</w:t>
      </w:r>
    </w:p>
    <w:p>
      <w:pPr>
        <w:spacing w:line="240" w:lineRule="auto"/>
        <w:jc w:val="center"/>
        <w:rPr>
          <w:b/>
          <w:bCs/>
          <w:sz w:val="21"/>
          <w:szCs w:val="21"/>
        </w:rPr>
      </w:pPr>
    </w:p>
    <w:p>
      <w:pPr>
        <w:spacing w:line="240" w:lineRule="auto"/>
        <w:jc w:val="center"/>
        <w:rPr>
          <w:b/>
          <w:bCs/>
          <w:sz w:val="21"/>
          <w:szCs w:val="21"/>
        </w:rPr>
      </w:pPr>
      <w:r>
        <w:rPr>
          <w:b/>
          <w:bCs/>
          <w:sz w:val="21"/>
          <w:szCs w:val="21"/>
        </w:rPr>
        <w:t>表1.毕业生生源结构统计表</w:t>
      </w:r>
    </w:p>
    <w:tbl>
      <w:tblPr>
        <w:tblStyle w:val="17"/>
        <w:tblW w:w="4997" w:type="pct"/>
        <w:tblInd w:w="0" w:type="dxa"/>
        <w:tblLayout w:type="autofit"/>
        <w:tblCellMar>
          <w:top w:w="0" w:type="dxa"/>
          <w:left w:w="0" w:type="dxa"/>
          <w:bottom w:w="0" w:type="dxa"/>
          <w:right w:w="0" w:type="dxa"/>
        </w:tblCellMar>
      </w:tblPr>
      <w:tblGrid>
        <w:gridCol w:w="1285"/>
        <w:gridCol w:w="860"/>
        <w:gridCol w:w="1146"/>
        <w:gridCol w:w="1220"/>
        <w:gridCol w:w="1215"/>
        <w:gridCol w:w="1025"/>
        <w:gridCol w:w="1114"/>
        <w:gridCol w:w="1005"/>
      </w:tblGrid>
      <w:tr>
        <w:trPr>
          <w:trHeight w:val="60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专业名称</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生源</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人数</w:t>
            </w:r>
          </w:p>
        </w:tc>
        <w:tc>
          <w:tcPr>
            <w:tcW w:w="64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男生数量</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（比例）</w:t>
            </w:r>
          </w:p>
        </w:tc>
        <w:tc>
          <w:tcPr>
            <w:tcW w:w="6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女生数量</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（比例）</w:t>
            </w:r>
          </w:p>
        </w:tc>
        <w:tc>
          <w:tcPr>
            <w:tcW w:w="6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省内人数</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（比例）</w:t>
            </w:r>
          </w:p>
        </w:tc>
        <w:tc>
          <w:tcPr>
            <w:tcW w:w="57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省外人数</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（比例）</w:t>
            </w:r>
          </w:p>
        </w:tc>
        <w:tc>
          <w:tcPr>
            <w:tcW w:w="6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汉族人数</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（比例）</w:t>
            </w:r>
          </w:p>
        </w:tc>
        <w:tc>
          <w:tcPr>
            <w:tcW w:w="5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少数民族</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（比例）</w:t>
            </w:r>
          </w:p>
        </w:tc>
      </w:tr>
      <w:tr>
        <w:tblPrEx>
          <w:tblCellMar>
            <w:top w:w="0" w:type="dxa"/>
            <w:left w:w="0" w:type="dxa"/>
            <w:bottom w:w="0" w:type="dxa"/>
            <w:right w:w="0" w:type="dxa"/>
          </w:tblCellMar>
        </w:tblPrEx>
        <w:trPr>
          <w:trHeight w:val="510" w:hRule="atLeast"/>
        </w:trPr>
        <w:tc>
          <w:tcPr>
            <w:tcW w:w="72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应用化学</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84人</w:t>
            </w:r>
          </w:p>
        </w:tc>
        <w:tc>
          <w:tcPr>
            <w:tcW w:w="64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27人</w:t>
            </w:r>
          </w:p>
          <w:p>
            <w:pPr>
              <w:widowControl/>
              <w:spacing w:line="240" w:lineRule="auto"/>
              <w:jc w:val="center"/>
              <w:textAlignment w:val="center"/>
              <w:rPr>
                <w:color w:val="000000"/>
                <w:kern w:val="0"/>
                <w:sz w:val="21"/>
                <w:szCs w:val="21"/>
                <w:lang w:bidi="ar"/>
              </w:rPr>
            </w:pPr>
            <w:r>
              <w:rPr>
                <w:color w:val="000000"/>
                <w:kern w:val="0"/>
                <w:sz w:val="21"/>
                <w:szCs w:val="21"/>
                <w:lang w:bidi="ar"/>
              </w:rPr>
              <w:t>（32.14%）</w:t>
            </w: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57人</w:t>
            </w:r>
          </w:p>
          <w:p>
            <w:pPr>
              <w:widowControl/>
              <w:spacing w:line="240" w:lineRule="auto"/>
              <w:jc w:val="center"/>
              <w:textAlignment w:val="center"/>
              <w:rPr>
                <w:color w:val="000000"/>
                <w:kern w:val="0"/>
                <w:sz w:val="21"/>
                <w:szCs w:val="21"/>
                <w:lang w:bidi="ar"/>
              </w:rPr>
            </w:pPr>
            <w:r>
              <w:rPr>
                <w:color w:val="000000"/>
                <w:kern w:val="0"/>
                <w:sz w:val="21"/>
                <w:szCs w:val="21"/>
                <w:lang w:bidi="ar"/>
              </w:rPr>
              <w:t>（67.86%）</w:t>
            </w:r>
          </w:p>
        </w:tc>
        <w:tc>
          <w:tcPr>
            <w:tcW w:w="6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76人</w:t>
            </w:r>
          </w:p>
          <w:p>
            <w:pPr>
              <w:widowControl/>
              <w:spacing w:line="240" w:lineRule="auto"/>
              <w:jc w:val="center"/>
              <w:textAlignment w:val="center"/>
              <w:rPr>
                <w:color w:val="000000"/>
                <w:kern w:val="0"/>
                <w:sz w:val="21"/>
                <w:szCs w:val="21"/>
                <w:lang w:bidi="ar"/>
              </w:rPr>
            </w:pPr>
            <w:r>
              <w:rPr>
                <w:color w:val="000000"/>
                <w:kern w:val="0"/>
                <w:sz w:val="21"/>
                <w:szCs w:val="21"/>
                <w:lang w:bidi="ar"/>
              </w:rPr>
              <w:t>（90.48%）</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8人</w:t>
            </w:r>
          </w:p>
          <w:p>
            <w:pPr>
              <w:widowControl/>
              <w:spacing w:line="240" w:lineRule="auto"/>
              <w:jc w:val="center"/>
              <w:textAlignment w:val="center"/>
              <w:rPr>
                <w:color w:val="000000"/>
                <w:kern w:val="0"/>
                <w:sz w:val="21"/>
                <w:szCs w:val="21"/>
                <w:lang w:bidi="ar"/>
              </w:rPr>
            </w:pPr>
            <w:r>
              <w:rPr>
                <w:color w:val="000000"/>
                <w:kern w:val="0"/>
                <w:sz w:val="21"/>
                <w:szCs w:val="21"/>
                <w:lang w:bidi="ar"/>
              </w:rPr>
              <w:t>（9.52%）</w:t>
            </w:r>
          </w:p>
        </w:tc>
        <w:tc>
          <w:tcPr>
            <w:tcW w:w="6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84人</w:t>
            </w:r>
          </w:p>
          <w:p>
            <w:pPr>
              <w:widowControl/>
              <w:spacing w:line="240" w:lineRule="auto"/>
              <w:jc w:val="center"/>
              <w:textAlignment w:val="center"/>
              <w:rPr>
                <w:color w:val="000000"/>
                <w:kern w:val="0"/>
                <w:sz w:val="21"/>
                <w:szCs w:val="21"/>
                <w:lang w:bidi="ar"/>
              </w:rPr>
            </w:pPr>
            <w:r>
              <w:rPr>
                <w:color w:val="000000"/>
                <w:kern w:val="0"/>
                <w:sz w:val="21"/>
                <w:szCs w:val="21"/>
                <w:lang w:bidi="ar"/>
              </w:rPr>
              <w:t>（100%）</w:t>
            </w:r>
          </w:p>
        </w:tc>
        <w:tc>
          <w:tcPr>
            <w:tcW w:w="5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0人</w:t>
            </w:r>
          </w:p>
          <w:p>
            <w:pPr>
              <w:widowControl/>
              <w:spacing w:line="240" w:lineRule="auto"/>
              <w:jc w:val="center"/>
              <w:textAlignment w:val="center"/>
              <w:rPr>
                <w:color w:val="000000"/>
                <w:kern w:val="0"/>
                <w:sz w:val="21"/>
                <w:szCs w:val="21"/>
                <w:lang w:bidi="ar"/>
              </w:rPr>
            </w:pPr>
            <w:r>
              <w:rPr>
                <w:color w:val="000000"/>
                <w:kern w:val="0"/>
                <w:sz w:val="21"/>
                <w:szCs w:val="21"/>
                <w:lang w:bidi="ar"/>
              </w:rPr>
              <w:t>（0%）</w:t>
            </w:r>
          </w:p>
        </w:tc>
      </w:tr>
    </w:tbl>
    <w:p>
      <w:pPr>
        <w:pStyle w:val="6"/>
        <w:ind w:firstLine="480"/>
      </w:pPr>
      <w:r>
        <w:t>2.毕业生就业情况</w:t>
      </w:r>
    </w:p>
    <w:p>
      <w:pPr>
        <w:ind w:firstLine="480" w:firstLineChars="200"/>
        <w:rPr>
          <w:szCs w:val="24"/>
        </w:rPr>
      </w:pPr>
      <w:r>
        <w:rPr>
          <w:szCs w:val="24"/>
        </w:rPr>
        <w:t>（1）就业概况</w:t>
      </w:r>
    </w:p>
    <w:p>
      <w:pPr>
        <w:ind w:firstLine="480" w:firstLineChars="200"/>
        <w:rPr>
          <w:szCs w:val="24"/>
        </w:rPr>
      </w:pPr>
      <w:r>
        <w:rPr>
          <w:szCs w:val="24"/>
        </w:rPr>
        <w:t>截止2022年8月31日，毕业生就业83人，就业率为98.81%，其中男生就业27人，就业率为32.53%，女生就业56人，就业率为67.47%。毕业生留鲁就业的42人，占已就业总人数的50.60%，主要流向山东省泰安、淄博、临沂市等，其中到泰安城市就业人数最多，占54.29%。出省就业共41人，占49.40%，主要流向北京市、福建省、南京省、黑龙江省等。</w:t>
      </w:r>
    </w:p>
    <w:p>
      <w:pPr>
        <w:spacing w:line="240" w:lineRule="auto"/>
        <w:jc w:val="center"/>
        <w:rPr>
          <w:b/>
          <w:bCs/>
          <w:sz w:val="21"/>
          <w:szCs w:val="21"/>
        </w:rPr>
      </w:pPr>
    </w:p>
    <w:p>
      <w:pPr>
        <w:spacing w:line="240" w:lineRule="auto"/>
        <w:jc w:val="center"/>
        <w:rPr>
          <w:b/>
          <w:bCs/>
          <w:sz w:val="21"/>
          <w:szCs w:val="21"/>
        </w:rPr>
      </w:pPr>
      <w:r>
        <w:rPr>
          <w:b/>
          <w:bCs/>
          <w:sz w:val="21"/>
          <w:szCs w:val="21"/>
        </w:rPr>
        <w:t>表2.毕业生整体就业情况统计表</w:t>
      </w:r>
    </w:p>
    <w:tbl>
      <w:tblPr>
        <w:tblStyle w:val="17"/>
        <w:tblW w:w="4997" w:type="pct"/>
        <w:tblInd w:w="0" w:type="dxa"/>
        <w:tblLayout w:type="autofit"/>
        <w:tblCellMar>
          <w:top w:w="0" w:type="dxa"/>
          <w:left w:w="0" w:type="dxa"/>
          <w:bottom w:w="0" w:type="dxa"/>
          <w:right w:w="0" w:type="dxa"/>
        </w:tblCellMar>
      </w:tblPr>
      <w:tblGrid>
        <w:gridCol w:w="1147"/>
        <w:gridCol w:w="1040"/>
        <w:gridCol w:w="1040"/>
        <w:gridCol w:w="1161"/>
        <w:gridCol w:w="1207"/>
        <w:gridCol w:w="1699"/>
        <w:gridCol w:w="1576"/>
      </w:tblGrid>
      <w:tr>
        <w:tblPrEx>
          <w:tblCellMar>
            <w:top w:w="0" w:type="dxa"/>
            <w:left w:w="0" w:type="dxa"/>
            <w:bottom w:w="0" w:type="dxa"/>
            <w:right w:w="0" w:type="dxa"/>
          </w:tblCellMar>
        </w:tblPrEx>
        <w:trPr>
          <w:trHeight w:val="600" w:hRule="atLeast"/>
        </w:trPr>
        <w:tc>
          <w:tcPr>
            <w:tcW w:w="6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专业名称</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就业人数</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就业率</w:t>
            </w:r>
          </w:p>
        </w:tc>
        <w:tc>
          <w:tcPr>
            <w:tcW w:w="6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男生</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就业率</w:t>
            </w:r>
          </w:p>
        </w:tc>
        <w:tc>
          <w:tcPr>
            <w:tcW w:w="68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女生</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就业率</w:t>
            </w:r>
          </w:p>
        </w:tc>
        <w:tc>
          <w:tcPr>
            <w:tcW w:w="9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留鲁就业人数</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（比例）</w:t>
            </w:r>
          </w:p>
        </w:tc>
        <w:tc>
          <w:tcPr>
            <w:tcW w:w="8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省外就业人数</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（比例）</w:t>
            </w:r>
          </w:p>
        </w:tc>
      </w:tr>
      <w:tr>
        <w:tblPrEx>
          <w:tblCellMar>
            <w:top w:w="0" w:type="dxa"/>
            <w:left w:w="0" w:type="dxa"/>
            <w:bottom w:w="0" w:type="dxa"/>
            <w:right w:w="0" w:type="dxa"/>
          </w:tblCellMar>
        </w:tblPrEx>
        <w:trPr>
          <w:trHeight w:val="465" w:hRule="atLeast"/>
        </w:trPr>
        <w:tc>
          <w:tcPr>
            <w:tcW w:w="6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应用化学</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83人</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98.81%</w:t>
            </w:r>
          </w:p>
        </w:tc>
        <w:tc>
          <w:tcPr>
            <w:tcW w:w="65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27人</w:t>
            </w:r>
          </w:p>
          <w:p>
            <w:pPr>
              <w:widowControl/>
              <w:spacing w:line="240" w:lineRule="auto"/>
              <w:jc w:val="center"/>
              <w:textAlignment w:val="center"/>
              <w:rPr>
                <w:color w:val="000000"/>
                <w:kern w:val="0"/>
                <w:sz w:val="21"/>
                <w:szCs w:val="21"/>
                <w:lang w:bidi="ar"/>
              </w:rPr>
            </w:pPr>
            <w:r>
              <w:rPr>
                <w:color w:val="000000"/>
                <w:kern w:val="0"/>
                <w:sz w:val="21"/>
                <w:szCs w:val="21"/>
                <w:lang w:bidi="ar"/>
              </w:rPr>
              <w:t>（32.53%）</w:t>
            </w:r>
          </w:p>
        </w:tc>
        <w:tc>
          <w:tcPr>
            <w:tcW w:w="68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56人</w:t>
            </w:r>
          </w:p>
          <w:p>
            <w:pPr>
              <w:widowControl/>
              <w:spacing w:line="240" w:lineRule="auto"/>
              <w:jc w:val="center"/>
              <w:textAlignment w:val="center"/>
              <w:rPr>
                <w:color w:val="000000"/>
                <w:kern w:val="0"/>
                <w:sz w:val="21"/>
                <w:szCs w:val="21"/>
                <w:lang w:bidi="ar"/>
              </w:rPr>
            </w:pPr>
            <w:r>
              <w:rPr>
                <w:color w:val="000000"/>
                <w:kern w:val="0"/>
                <w:sz w:val="21"/>
                <w:szCs w:val="21"/>
                <w:lang w:bidi="ar"/>
              </w:rPr>
              <w:t>（67.47%）</w:t>
            </w:r>
          </w:p>
        </w:tc>
        <w:tc>
          <w:tcPr>
            <w:tcW w:w="9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42人</w:t>
            </w:r>
          </w:p>
          <w:p>
            <w:pPr>
              <w:widowControl/>
              <w:spacing w:line="240" w:lineRule="auto"/>
              <w:jc w:val="center"/>
              <w:textAlignment w:val="center"/>
              <w:rPr>
                <w:color w:val="000000"/>
                <w:kern w:val="0"/>
                <w:sz w:val="21"/>
                <w:szCs w:val="21"/>
                <w:lang w:bidi="ar"/>
              </w:rPr>
            </w:pPr>
            <w:r>
              <w:rPr>
                <w:color w:val="000000"/>
                <w:kern w:val="0"/>
                <w:sz w:val="21"/>
                <w:szCs w:val="21"/>
                <w:lang w:bidi="ar"/>
              </w:rPr>
              <w:t>（50.60%）</w:t>
            </w:r>
          </w:p>
        </w:tc>
        <w:tc>
          <w:tcPr>
            <w:tcW w:w="8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41人</w:t>
            </w:r>
          </w:p>
          <w:p>
            <w:pPr>
              <w:widowControl/>
              <w:spacing w:line="240" w:lineRule="auto"/>
              <w:jc w:val="center"/>
              <w:textAlignment w:val="center"/>
              <w:rPr>
                <w:color w:val="000000"/>
                <w:kern w:val="0"/>
                <w:sz w:val="21"/>
                <w:szCs w:val="21"/>
                <w:lang w:bidi="ar"/>
              </w:rPr>
            </w:pPr>
            <w:r>
              <w:rPr>
                <w:color w:val="000000"/>
                <w:kern w:val="0"/>
                <w:sz w:val="21"/>
                <w:szCs w:val="21"/>
                <w:lang w:bidi="ar"/>
              </w:rPr>
              <w:t>（49.40%）</w:t>
            </w:r>
          </w:p>
        </w:tc>
      </w:tr>
    </w:tbl>
    <w:p>
      <w:pPr>
        <w:jc w:val="center"/>
        <w:rPr>
          <w:rFonts w:eastAsia="黑体"/>
        </w:rPr>
      </w:pPr>
    </w:p>
    <w:p>
      <w:pPr>
        <w:spacing w:line="240" w:lineRule="auto"/>
        <w:jc w:val="center"/>
        <w:rPr>
          <w:b/>
          <w:bCs/>
          <w:sz w:val="21"/>
          <w:szCs w:val="21"/>
        </w:rPr>
      </w:pPr>
      <w:r>
        <w:rPr>
          <w:b/>
          <w:bCs/>
          <w:sz w:val="21"/>
          <w:szCs w:val="21"/>
        </w:rPr>
        <w:drawing>
          <wp:inline distT="0" distB="0" distL="114300" distR="114300">
            <wp:extent cx="5274310" cy="2312035"/>
            <wp:effectExtent l="4445" t="4445" r="17145" b="7620"/>
            <wp:docPr id="162" name="图表 1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pPr>
        <w:spacing w:line="240" w:lineRule="auto"/>
        <w:jc w:val="center"/>
        <w:rPr>
          <w:b/>
          <w:bCs/>
          <w:sz w:val="21"/>
          <w:szCs w:val="21"/>
        </w:rPr>
      </w:pPr>
      <w:r>
        <w:rPr>
          <w:b/>
          <w:bCs/>
          <w:sz w:val="21"/>
          <w:szCs w:val="21"/>
        </w:rPr>
        <w:t>图1.毕业生就业地区流向图</w:t>
      </w:r>
    </w:p>
    <w:p>
      <w:pPr>
        <w:ind w:firstLine="480" w:firstLineChars="200"/>
        <w:rPr>
          <w:szCs w:val="24"/>
        </w:rPr>
      </w:pPr>
      <w:r>
        <w:rPr>
          <w:szCs w:val="24"/>
        </w:rPr>
        <w:t>（2）就业方式</w:t>
      </w:r>
    </w:p>
    <w:p>
      <w:pPr>
        <w:ind w:firstLine="480" w:firstLineChars="200"/>
        <w:rPr>
          <w:szCs w:val="24"/>
        </w:rPr>
      </w:pPr>
      <w:r>
        <w:rPr>
          <w:szCs w:val="24"/>
        </w:rPr>
        <w:t>毕业生就业方式主要包括升学、协议就业、劳动合同就业等多种方式就业，其中升学方式就业人数最多。毕业生总体就业方式如下表所示。</w:t>
      </w:r>
    </w:p>
    <w:p>
      <w:pPr>
        <w:spacing w:before="93" w:beforeLines="30" w:line="240" w:lineRule="auto"/>
        <w:jc w:val="center"/>
        <w:rPr>
          <w:b/>
          <w:bCs/>
          <w:sz w:val="21"/>
          <w:szCs w:val="21"/>
        </w:rPr>
      </w:pPr>
      <w:r>
        <w:rPr>
          <w:b/>
          <w:bCs/>
          <w:sz w:val="21"/>
          <w:szCs w:val="21"/>
        </w:rPr>
        <w:t>表3.毕业生就业方式统计表</w:t>
      </w:r>
    </w:p>
    <w:tbl>
      <w:tblPr>
        <w:tblStyle w:val="17"/>
        <w:tblW w:w="9176" w:type="dxa"/>
        <w:tblInd w:w="0" w:type="dxa"/>
        <w:tblLayout w:type="fixed"/>
        <w:tblCellMar>
          <w:top w:w="0" w:type="dxa"/>
          <w:left w:w="0" w:type="dxa"/>
          <w:bottom w:w="0" w:type="dxa"/>
          <w:right w:w="0" w:type="dxa"/>
        </w:tblCellMar>
      </w:tblPr>
      <w:tblGrid>
        <w:gridCol w:w="1145"/>
        <w:gridCol w:w="1118"/>
        <w:gridCol w:w="709"/>
        <w:gridCol w:w="1276"/>
        <w:gridCol w:w="1276"/>
        <w:gridCol w:w="708"/>
        <w:gridCol w:w="1745"/>
        <w:gridCol w:w="1199"/>
      </w:tblGrid>
      <w:tr>
        <w:tblPrEx>
          <w:tblCellMar>
            <w:top w:w="0" w:type="dxa"/>
            <w:left w:w="0" w:type="dxa"/>
            <w:bottom w:w="0" w:type="dxa"/>
            <w:right w:w="0" w:type="dxa"/>
          </w:tblCellMar>
        </w:tblPrEx>
        <w:trPr>
          <w:trHeight w:val="486" w:hRule="atLeast"/>
        </w:trPr>
        <w:tc>
          <w:tcPr>
            <w:tcW w:w="11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就业方式</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国内</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升学</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出国</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协议就业</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自由职业</w:t>
            </w: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应征入伍</w:t>
            </w:r>
          </w:p>
        </w:tc>
        <w:tc>
          <w:tcPr>
            <w:tcW w:w="17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灵活就业（其他形式录用就业）</w:t>
            </w:r>
          </w:p>
        </w:tc>
        <w:tc>
          <w:tcPr>
            <w:tcW w:w="119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待就业</w:t>
            </w:r>
          </w:p>
        </w:tc>
      </w:tr>
      <w:tr>
        <w:tblPrEx>
          <w:tblCellMar>
            <w:top w:w="0" w:type="dxa"/>
            <w:left w:w="0" w:type="dxa"/>
            <w:bottom w:w="0" w:type="dxa"/>
            <w:right w:w="0" w:type="dxa"/>
          </w:tblCellMar>
        </w:tblPrEx>
        <w:trPr>
          <w:trHeight w:val="675" w:hRule="atLeast"/>
        </w:trPr>
        <w:tc>
          <w:tcPr>
            <w:tcW w:w="11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人数</w:t>
            </w:r>
          </w:p>
          <w:p>
            <w:pPr>
              <w:widowControl/>
              <w:spacing w:line="240" w:lineRule="auto"/>
              <w:jc w:val="center"/>
              <w:textAlignment w:val="center"/>
              <w:rPr>
                <w:color w:val="000000"/>
                <w:kern w:val="0"/>
                <w:sz w:val="21"/>
                <w:szCs w:val="21"/>
                <w:lang w:bidi="ar"/>
              </w:rPr>
            </w:pPr>
            <w:r>
              <w:rPr>
                <w:color w:val="000000"/>
                <w:kern w:val="0"/>
                <w:sz w:val="21"/>
                <w:szCs w:val="21"/>
                <w:lang w:bidi="ar"/>
              </w:rPr>
              <w:t>（比例）</w:t>
            </w:r>
          </w:p>
        </w:tc>
        <w:tc>
          <w:tcPr>
            <w:tcW w:w="111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62人</w:t>
            </w:r>
          </w:p>
          <w:p>
            <w:pPr>
              <w:widowControl/>
              <w:spacing w:line="240" w:lineRule="auto"/>
              <w:jc w:val="center"/>
              <w:textAlignment w:val="center"/>
              <w:rPr>
                <w:color w:val="000000"/>
                <w:kern w:val="0"/>
                <w:sz w:val="21"/>
                <w:szCs w:val="21"/>
                <w:lang w:bidi="ar"/>
              </w:rPr>
            </w:pPr>
            <w:r>
              <w:rPr>
                <w:color w:val="000000"/>
                <w:kern w:val="0"/>
                <w:sz w:val="21"/>
                <w:szCs w:val="21"/>
                <w:lang w:bidi="ar"/>
              </w:rPr>
              <w:t>（73.81%）</w:t>
            </w:r>
          </w:p>
        </w:tc>
        <w:tc>
          <w:tcPr>
            <w:tcW w:w="70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0</w:t>
            </w:r>
          </w:p>
          <w:p>
            <w:pPr>
              <w:widowControl/>
              <w:spacing w:line="240" w:lineRule="auto"/>
              <w:jc w:val="center"/>
              <w:textAlignment w:val="center"/>
              <w:rPr>
                <w:color w:val="000000"/>
                <w:kern w:val="0"/>
                <w:sz w:val="21"/>
                <w:szCs w:val="21"/>
                <w:lang w:bidi="ar"/>
              </w:rPr>
            </w:pP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9人</w:t>
            </w:r>
          </w:p>
          <w:p>
            <w:pPr>
              <w:widowControl/>
              <w:spacing w:line="240" w:lineRule="auto"/>
              <w:jc w:val="center"/>
              <w:textAlignment w:val="center"/>
              <w:rPr>
                <w:color w:val="000000"/>
                <w:kern w:val="0"/>
                <w:sz w:val="21"/>
                <w:szCs w:val="21"/>
                <w:lang w:bidi="ar"/>
              </w:rPr>
            </w:pPr>
            <w:r>
              <w:rPr>
                <w:color w:val="000000"/>
                <w:kern w:val="0"/>
                <w:sz w:val="21"/>
                <w:szCs w:val="21"/>
                <w:lang w:bidi="ar"/>
              </w:rPr>
              <w:t>（10.71%）</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11人</w:t>
            </w:r>
          </w:p>
          <w:p>
            <w:pPr>
              <w:widowControl/>
              <w:spacing w:line="240" w:lineRule="auto"/>
              <w:jc w:val="center"/>
              <w:textAlignment w:val="center"/>
              <w:rPr>
                <w:color w:val="000000"/>
                <w:kern w:val="0"/>
                <w:sz w:val="21"/>
                <w:szCs w:val="21"/>
                <w:lang w:bidi="ar"/>
              </w:rPr>
            </w:pPr>
            <w:r>
              <w:rPr>
                <w:color w:val="000000"/>
                <w:kern w:val="0"/>
                <w:sz w:val="21"/>
                <w:szCs w:val="21"/>
                <w:lang w:bidi="ar"/>
              </w:rPr>
              <w:t>（13.10%）</w:t>
            </w:r>
          </w:p>
        </w:tc>
        <w:tc>
          <w:tcPr>
            <w:tcW w:w="70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0</w:t>
            </w:r>
          </w:p>
        </w:tc>
        <w:tc>
          <w:tcPr>
            <w:tcW w:w="17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1人</w:t>
            </w:r>
          </w:p>
          <w:p>
            <w:pPr>
              <w:widowControl/>
              <w:spacing w:line="240" w:lineRule="auto"/>
              <w:jc w:val="center"/>
              <w:textAlignment w:val="center"/>
              <w:rPr>
                <w:color w:val="000000"/>
                <w:kern w:val="0"/>
                <w:sz w:val="21"/>
                <w:szCs w:val="21"/>
                <w:lang w:bidi="ar"/>
              </w:rPr>
            </w:pPr>
            <w:r>
              <w:rPr>
                <w:color w:val="000000"/>
                <w:kern w:val="0"/>
                <w:sz w:val="21"/>
                <w:szCs w:val="21"/>
                <w:lang w:bidi="ar"/>
              </w:rPr>
              <w:t>(1.20%)</w:t>
            </w:r>
          </w:p>
        </w:tc>
        <w:tc>
          <w:tcPr>
            <w:tcW w:w="119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1人</w:t>
            </w:r>
          </w:p>
          <w:p>
            <w:pPr>
              <w:widowControl/>
              <w:spacing w:line="240" w:lineRule="auto"/>
              <w:jc w:val="center"/>
              <w:textAlignment w:val="center"/>
              <w:rPr>
                <w:color w:val="000000"/>
                <w:kern w:val="0"/>
                <w:sz w:val="21"/>
                <w:szCs w:val="21"/>
                <w:lang w:bidi="ar"/>
              </w:rPr>
            </w:pPr>
            <w:r>
              <w:rPr>
                <w:color w:val="000000"/>
                <w:kern w:val="0"/>
                <w:sz w:val="21"/>
                <w:szCs w:val="21"/>
                <w:lang w:bidi="ar"/>
              </w:rPr>
              <w:t>（1.20%）</w:t>
            </w:r>
          </w:p>
        </w:tc>
      </w:tr>
    </w:tbl>
    <w:p>
      <w:pPr>
        <w:spacing w:before="93" w:beforeLines="30" w:line="240" w:lineRule="auto"/>
        <w:jc w:val="center"/>
        <w:rPr>
          <w:b/>
          <w:bCs/>
          <w:sz w:val="21"/>
          <w:szCs w:val="21"/>
        </w:rPr>
      </w:pPr>
      <w:r>
        <w:rPr>
          <w:b/>
          <w:bCs/>
          <w:sz w:val="21"/>
          <w:szCs w:val="21"/>
        </w:rPr>
        <w:drawing>
          <wp:inline distT="0" distB="0" distL="114300" distR="114300">
            <wp:extent cx="5181600" cy="2952750"/>
            <wp:effectExtent l="4445" t="4445" r="14605" b="14605"/>
            <wp:docPr id="163" name="图表 1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pPr>
        <w:spacing w:line="240" w:lineRule="auto"/>
        <w:jc w:val="center"/>
        <w:rPr>
          <w:b/>
          <w:bCs/>
          <w:sz w:val="21"/>
          <w:szCs w:val="21"/>
        </w:rPr>
      </w:pPr>
      <w:r>
        <w:rPr>
          <w:b/>
          <w:bCs/>
          <w:sz w:val="21"/>
          <w:szCs w:val="21"/>
        </w:rPr>
        <w:t>图2.毕业生就业方式统计图</w:t>
      </w:r>
    </w:p>
    <w:p/>
    <w:p>
      <w:pPr>
        <w:ind w:firstLine="480" w:firstLineChars="200"/>
        <w:rPr>
          <w:szCs w:val="24"/>
        </w:rPr>
      </w:pPr>
      <w:r>
        <w:rPr>
          <w:szCs w:val="24"/>
        </w:rPr>
        <w:t>（3）就业流向</w:t>
      </w:r>
    </w:p>
    <w:p>
      <w:pPr>
        <w:ind w:firstLine="480" w:firstLineChars="200"/>
        <w:rPr>
          <w:szCs w:val="24"/>
        </w:rPr>
      </w:pPr>
      <w:r>
        <w:rPr>
          <w:szCs w:val="24"/>
        </w:rPr>
        <w:t>毕业生就业单位性质显示，自由职业就业人数最多，占已就业人数的50.00%，其次是其他企业就业，占22.73%；国有企业就业，占13.64%。</w:t>
      </w:r>
    </w:p>
    <w:p>
      <w:pPr>
        <w:spacing w:line="240" w:lineRule="auto"/>
        <w:jc w:val="center"/>
        <w:rPr>
          <w:b/>
          <w:bCs/>
          <w:sz w:val="21"/>
          <w:szCs w:val="21"/>
        </w:rPr>
      </w:pPr>
      <w:r>
        <w:rPr>
          <w:b/>
          <w:bCs/>
          <w:sz w:val="21"/>
          <w:szCs w:val="21"/>
        </w:rPr>
        <w:t>表4.毕业生就业单位性质统计表</w:t>
      </w:r>
    </w:p>
    <w:tbl>
      <w:tblPr>
        <w:tblStyle w:val="17"/>
        <w:tblW w:w="8995" w:type="dxa"/>
        <w:tblInd w:w="0" w:type="dxa"/>
        <w:tblLayout w:type="fixed"/>
        <w:tblCellMar>
          <w:top w:w="0" w:type="dxa"/>
          <w:left w:w="0" w:type="dxa"/>
          <w:bottom w:w="0" w:type="dxa"/>
          <w:right w:w="0" w:type="dxa"/>
        </w:tblCellMar>
      </w:tblPr>
      <w:tblGrid>
        <w:gridCol w:w="1010"/>
        <w:gridCol w:w="1145"/>
        <w:gridCol w:w="1207"/>
        <w:gridCol w:w="675"/>
        <w:gridCol w:w="1074"/>
        <w:gridCol w:w="1064"/>
        <w:gridCol w:w="675"/>
        <w:gridCol w:w="1098"/>
        <w:gridCol w:w="1047"/>
      </w:tblGrid>
      <w:tr>
        <w:tblPrEx>
          <w:tblCellMar>
            <w:top w:w="0" w:type="dxa"/>
            <w:left w:w="0" w:type="dxa"/>
            <w:bottom w:w="0" w:type="dxa"/>
            <w:right w:w="0" w:type="dxa"/>
          </w:tblCellMar>
        </w:tblPrEx>
        <w:trPr>
          <w:trHeight w:val="790" w:hRule="atLeast"/>
        </w:trPr>
        <w:tc>
          <w:tcPr>
            <w:tcW w:w="10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单位</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性质</w:t>
            </w:r>
          </w:p>
        </w:tc>
        <w:tc>
          <w:tcPr>
            <w:tcW w:w="11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国有</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企业</w:t>
            </w:r>
          </w:p>
        </w:tc>
        <w:tc>
          <w:tcPr>
            <w:tcW w:w="120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其他企业</w:t>
            </w:r>
          </w:p>
        </w:tc>
        <w:tc>
          <w:tcPr>
            <w:tcW w:w="6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国家</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公务员</w:t>
            </w:r>
          </w:p>
        </w:tc>
        <w:tc>
          <w:tcPr>
            <w:tcW w:w="10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地方</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公务员</w:t>
            </w:r>
          </w:p>
        </w:tc>
        <w:tc>
          <w:tcPr>
            <w:tcW w:w="106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事业</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单位</w:t>
            </w:r>
          </w:p>
        </w:tc>
        <w:tc>
          <w:tcPr>
            <w:tcW w:w="6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西部</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志愿者</w:t>
            </w:r>
          </w:p>
        </w:tc>
        <w:tc>
          <w:tcPr>
            <w:tcW w:w="109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世界500强企业</w:t>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中国500强企业</w:t>
            </w:r>
          </w:p>
        </w:tc>
      </w:tr>
      <w:tr>
        <w:tblPrEx>
          <w:tblCellMar>
            <w:top w:w="0" w:type="dxa"/>
            <w:left w:w="0" w:type="dxa"/>
            <w:bottom w:w="0" w:type="dxa"/>
            <w:right w:w="0" w:type="dxa"/>
          </w:tblCellMar>
        </w:tblPrEx>
        <w:trPr>
          <w:trHeight w:val="655" w:hRule="atLeast"/>
        </w:trPr>
        <w:tc>
          <w:tcPr>
            <w:tcW w:w="10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人数</w:t>
            </w:r>
          </w:p>
          <w:p>
            <w:pPr>
              <w:widowControl/>
              <w:spacing w:line="240" w:lineRule="auto"/>
              <w:jc w:val="center"/>
              <w:textAlignment w:val="center"/>
              <w:rPr>
                <w:color w:val="000000"/>
                <w:kern w:val="0"/>
                <w:sz w:val="21"/>
                <w:szCs w:val="21"/>
                <w:lang w:bidi="ar"/>
              </w:rPr>
            </w:pPr>
            <w:r>
              <w:rPr>
                <w:color w:val="000000"/>
                <w:kern w:val="0"/>
                <w:sz w:val="21"/>
                <w:szCs w:val="21"/>
                <w:lang w:bidi="ar"/>
              </w:rPr>
              <w:t>（比例）</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3人</w:t>
            </w:r>
          </w:p>
          <w:p>
            <w:pPr>
              <w:widowControl/>
              <w:spacing w:line="240" w:lineRule="auto"/>
              <w:jc w:val="center"/>
              <w:textAlignment w:val="center"/>
              <w:rPr>
                <w:color w:val="000000"/>
                <w:kern w:val="0"/>
                <w:sz w:val="21"/>
                <w:szCs w:val="21"/>
                <w:lang w:bidi="ar"/>
              </w:rPr>
            </w:pPr>
            <w:r>
              <w:rPr>
                <w:color w:val="000000"/>
                <w:kern w:val="0"/>
                <w:sz w:val="21"/>
                <w:szCs w:val="21"/>
                <w:lang w:bidi="ar"/>
              </w:rPr>
              <w:t>（13.64%）</w:t>
            </w:r>
          </w:p>
        </w:tc>
        <w:tc>
          <w:tcPr>
            <w:tcW w:w="12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5人</w:t>
            </w:r>
          </w:p>
          <w:p>
            <w:pPr>
              <w:widowControl/>
              <w:spacing w:line="240" w:lineRule="auto"/>
              <w:jc w:val="center"/>
              <w:textAlignment w:val="center"/>
              <w:rPr>
                <w:color w:val="000000"/>
                <w:kern w:val="0"/>
                <w:sz w:val="21"/>
                <w:szCs w:val="21"/>
                <w:lang w:bidi="ar"/>
              </w:rPr>
            </w:pPr>
            <w:r>
              <w:rPr>
                <w:color w:val="000000"/>
                <w:kern w:val="0"/>
                <w:sz w:val="21"/>
                <w:szCs w:val="21"/>
                <w:lang w:bidi="ar"/>
              </w:rPr>
              <w:t>（22.73%）</w:t>
            </w:r>
          </w:p>
        </w:tc>
        <w:tc>
          <w:tcPr>
            <w:tcW w:w="6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0</w:t>
            </w:r>
          </w:p>
        </w:tc>
        <w:tc>
          <w:tcPr>
            <w:tcW w:w="107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0</w:t>
            </w:r>
          </w:p>
        </w:tc>
        <w:tc>
          <w:tcPr>
            <w:tcW w:w="106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w:t>
            </w:r>
          </w:p>
          <w:p>
            <w:pPr>
              <w:widowControl/>
              <w:spacing w:line="240" w:lineRule="auto"/>
              <w:jc w:val="center"/>
              <w:textAlignment w:val="center"/>
              <w:rPr>
                <w:color w:val="000000"/>
                <w:kern w:val="0"/>
                <w:sz w:val="21"/>
                <w:szCs w:val="21"/>
                <w:lang w:bidi="ar"/>
              </w:rPr>
            </w:pPr>
            <w:r>
              <w:rPr>
                <w:color w:val="000000"/>
                <w:kern w:val="0"/>
                <w:sz w:val="21"/>
                <w:szCs w:val="21"/>
                <w:lang w:bidi="ar"/>
              </w:rPr>
              <w:t>（4.54%）</w:t>
            </w:r>
          </w:p>
        </w:tc>
        <w:tc>
          <w:tcPr>
            <w:tcW w:w="6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0</w:t>
            </w:r>
          </w:p>
        </w:tc>
        <w:tc>
          <w:tcPr>
            <w:tcW w:w="109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0</w:t>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0</w:t>
            </w:r>
          </w:p>
        </w:tc>
      </w:tr>
    </w:tbl>
    <w:p>
      <w:pPr>
        <w:ind w:firstLine="480" w:firstLineChars="200"/>
        <w:rPr>
          <w:szCs w:val="24"/>
        </w:rPr>
      </w:pPr>
      <w:r>
        <w:rPr>
          <w:szCs w:val="24"/>
        </w:rPr>
        <w:t>（4）考研情况</w:t>
      </w:r>
    </w:p>
    <w:p>
      <w:pPr>
        <w:ind w:firstLine="480" w:firstLineChars="200"/>
        <w:rPr>
          <w:szCs w:val="24"/>
        </w:rPr>
      </w:pPr>
      <w:r>
        <w:rPr>
          <w:szCs w:val="24"/>
        </w:rPr>
        <w:t>国内升学：</w:t>
      </w:r>
    </w:p>
    <w:p>
      <w:pPr>
        <w:ind w:firstLine="480" w:firstLineChars="200"/>
        <w:rPr>
          <w:szCs w:val="24"/>
        </w:rPr>
      </w:pPr>
      <w:r>
        <w:rPr>
          <w:szCs w:val="24"/>
        </w:rPr>
        <w:t>毕业生国内升学62人，升学率73.81%，其中考入</w:t>
      </w:r>
      <w:r>
        <w:rPr>
          <w:rFonts w:hint="eastAsia"/>
          <w:szCs w:val="24"/>
        </w:rPr>
        <w:t>“</w:t>
      </w:r>
      <w:r>
        <w:rPr>
          <w:szCs w:val="24"/>
        </w:rPr>
        <w:t>双一流</w:t>
      </w:r>
      <w:r>
        <w:rPr>
          <w:rFonts w:hint="eastAsia"/>
          <w:szCs w:val="24"/>
        </w:rPr>
        <w:t>”</w:t>
      </w:r>
      <w:r>
        <w:rPr>
          <w:szCs w:val="24"/>
        </w:rPr>
        <w:t>大学37人，占国内升学总人数的59.68%。升学学校主要是山东农业大学、福州大学、山东大学、南京工业大学、中国石油大学等。</w:t>
      </w:r>
    </w:p>
    <w:p>
      <w:pPr>
        <w:spacing w:line="240" w:lineRule="auto"/>
        <w:jc w:val="center"/>
        <w:rPr>
          <w:b/>
          <w:bCs/>
          <w:sz w:val="21"/>
          <w:szCs w:val="21"/>
        </w:rPr>
      </w:pPr>
      <w:r>
        <w:rPr>
          <w:b/>
          <w:bCs/>
          <w:sz w:val="21"/>
          <w:szCs w:val="21"/>
        </w:rPr>
        <w:t>表5.国内升学学校前5位统计表</w:t>
      </w:r>
    </w:p>
    <w:tbl>
      <w:tblPr>
        <w:tblStyle w:val="1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7"/>
        <w:gridCol w:w="3253"/>
        <w:gridCol w:w="2180"/>
        <w:gridCol w:w="21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exact"/>
        </w:trPr>
        <w:tc>
          <w:tcPr>
            <w:tcW w:w="832" w:type="pct"/>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序号</w:t>
            </w:r>
          </w:p>
        </w:tc>
        <w:tc>
          <w:tcPr>
            <w:tcW w:w="1795" w:type="pct"/>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升学学校名称</w:t>
            </w:r>
          </w:p>
        </w:tc>
        <w:tc>
          <w:tcPr>
            <w:tcW w:w="1203" w:type="pct"/>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升学人数</w:t>
            </w:r>
          </w:p>
        </w:tc>
        <w:tc>
          <w:tcPr>
            <w:tcW w:w="1168" w:type="pct"/>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832"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w:t>
            </w:r>
          </w:p>
        </w:tc>
        <w:tc>
          <w:tcPr>
            <w:tcW w:w="1795"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山东农业大学</w:t>
            </w:r>
          </w:p>
        </w:tc>
        <w:tc>
          <w:tcPr>
            <w:tcW w:w="1203"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13</w:t>
            </w:r>
          </w:p>
        </w:tc>
        <w:tc>
          <w:tcPr>
            <w:tcW w:w="1168"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20.97%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832"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2</w:t>
            </w:r>
          </w:p>
        </w:tc>
        <w:tc>
          <w:tcPr>
            <w:tcW w:w="1795"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福州大学</w:t>
            </w:r>
          </w:p>
        </w:tc>
        <w:tc>
          <w:tcPr>
            <w:tcW w:w="1203"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5</w:t>
            </w:r>
          </w:p>
        </w:tc>
        <w:tc>
          <w:tcPr>
            <w:tcW w:w="1168"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8.06%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832"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3</w:t>
            </w:r>
          </w:p>
        </w:tc>
        <w:tc>
          <w:tcPr>
            <w:tcW w:w="1795"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南京工业大学</w:t>
            </w:r>
          </w:p>
        </w:tc>
        <w:tc>
          <w:tcPr>
            <w:tcW w:w="1203"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4</w:t>
            </w:r>
          </w:p>
        </w:tc>
        <w:tc>
          <w:tcPr>
            <w:tcW w:w="1168"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6.45%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832"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4</w:t>
            </w:r>
          </w:p>
        </w:tc>
        <w:tc>
          <w:tcPr>
            <w:tcW w:w="1795"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中国石油大学</w:t>
            </w:r>
          </w:p>
        </w:tc>
        <w:tc>
          <w:tcPr>
            <w:tcW w:w="1203"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4</w:t>
            </w:r>
          </w:p>
        </w:tc>
        <w:tc>
          <w:tcPr>
            <w:tcW w:w="1168"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6.45%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832"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5</w:t>
            </w:r>
          </w:p>
        </w:tc>
        <w:tc>
          <w:tcPr>
            <w:tcW w:w="1795"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山东大学</w:t>
            </w:r>
          </w:p>
        </w:tc>
        <w:tc>
          <w:tcPr>
            <w:tcW w:w="1203"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3</w:t>
            </w:r>
          </w:p>
        </w:tc>
        <w:tc>
          <w:tcPr>
            <w:tcW w:w="1168" w:type="pct"/>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4.84%</w:t>
            </w:r>
          </w:p>
        </w:tc>
      </w:tr>
    </w:tbl>
    <w:p>
      <w:pPr>
        <w:spacing w:line="240" w:lineRule="auto"/>
        <w:jc w:val="center"/>
        <w:rPr>
          <w:b/>
          <w:bCs/>
          <w:sz w:val="21"/>
          <w:szCs w:val="21"/>
        </w:rPr>
      </w:pPr>
      <w:r>
        <w:rPr>
          <w:b/>
          <w:bCs/>
          <w:sz w:val="21"/>
          <w:szCs w:val="21"/>
        </w:rPr>
        <w:drawing>
          <wp:inline distT="0" distB="0" distL="114300" distR="114300">
            <wp:extent cx="5274310" cy="3076575"/>
            <wp:effectExtent l="5080" t="4445" r="16510" b="5080"/>
            <wp:docPr id="164" name="图表 1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pPr>
        <w:spacing w:line="240" w:lineRule="auto"/>
        <w:jc w:val="center"/>
        <w:rPr>
          <w:b/>
          <w:bCs/>
          <w:sz w:val="21"/>
          <w:szCs w:val="21"/>
        </w:rPr>
      </w:pPr>
      <w:r>
        <w:rPr>
          <w:b/>
          <w:bCs/>
          <w:sz w:val="21"/>
          <w:szCs w:val="21"/>
        </w:rPr>
        <w:t>图3. 国内升学学校前5位统计表</w:t>
      </w:r>
    </w:p>
    <w:p>
      <w:pPr>
        <w:ind w:firstLine="480" w:firstLineChars="200"/>
        <w:rPr>
          <w:szCs w:val="24"/>
        </w:rPr>
      </w:pPr>
      <w:r>
        <w:rPr>
          <w:szCs w:val="24"/>
        </w:rPr>
        <w:t>（5）就业工作的专业对口情况</w:t>
      </w:r>
    </w:p>
    <w:p>
      <w:pPr>
        <w:ind w:firstLine="480" w:firstLineChars="200"/>
        <w:rPr>
          <w:rFonts w:eastAsia="楷体"/>
          <w:b/>
          <w:bCs/>
          <w:sz w:val="28"/>
          <w:szCs w:val="28"/>
        </w:rPr>
      </w:pPr>
      <w:r>
        <w:rPr>
          <w:szCs w:val="24"/>
        </w:rPr>
        <w:t>毕业生当前所在工作单位或者所从事工作岗位与所学专业对口率较高的共10人，占已就业总人数的47.62%。主要集中在山东鲁抗医药股份有限公司、山东省联合农药工业有限公司等。</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表6.毕业生专业对口情况统计表</w:t>
      </w:r>
    </w:p>
    <w:tbl>
      <w:tblPr>
        <w:tblStyle w:val="17"/>
        <w:tblW w:w="8877" w:type="dxa"/>
        <w:tblInd w:w="0" w:type="dxa"/>
        <w:tblLayout w:type="fixed"/>
        <w:tblCellMar>
          <w:top w:w="0" w:type="dxa"/>
          <w:left w:w="0" w:type="dxa"/>
          <w:bottom w:w="0" w:type="dxa"/>
          <w:right w:w="0" w:type="dxa"/>
        </w:tblCellMar>
      </w:tblPr>
      <w:tblGrid>
        <w:gridCol w:w="1885"/>
        <w:gridCol w:w="1368"/>
        <w:gridCol w:w="1423"/>
        <w:gridCol w:w="1728"/>
        <w:gridCol w:w="1304"/>
        <w:gridCol w:w="1169"/>
      </w:tblGrid>
      <w:tr>
        <w:tblPrEx>
          <w:tblCellMar>
            <w:top w:w="0" w:type="dxa"/>
            <w:left w:w="0" w:type="dxa"/>
            <w:bottom w:w="0" w:type="dxa"/>
            <w:right w:w="0" w:type="dxa"/>
          </w:tblCellMar>
        </w:tblPrEx>
        <w:trPr>
          <w:trHeight w:val="397" w:hRule="atLeast"/>
        </w:trPr>
        <w:tc>
          <w:tcPr>
            <w:tcW w:w="188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就业方式</w:t>
            </w:r>
          </w:p>
        </w:tc>
        <w:tc>
          <w:tcPr>
            <w:tcW w:w="13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企业就业</w:t>
            </w:r>
          </w:p>
        </w:tc>
        <w:tc>
          <w:tcPr>
            <w:tcW w:w="14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公务员</w:t>
            </w:r>
          </w:p>
        </w:tc>
        <w:tc>
          <w:tcPr>
            <w:tcW w:w="17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事业单位</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自由职业</w:t>
            </w:r>
          </w:p>
        </w:tc>
        <w:tc>
          <w:tcPr>
            <w:tcW w:w="116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合计</w:t>
            </w:r>
          </w:p>
        </w:tc>
      </w:tr>
      <w:tr>
        <w:tblPrEx>
          <w:tblCellMar>
            <w:top w:w="0" w:type="dxa"/>
            <w:left w:w="0" w:type="dxa"/>
            <w:bottom w:w="0" w:type="dxa"/>
            <w:right w:w="0" w:type="dxa"/>
          </w:tblCellMar>
        </w:tblPrEx>
        <w:trPr>
          <w:trHeight w:val="397" w:hRule="atLeast"/>
        </w:trPr>
        <w:tc>
          <w:tcPr>
            <w:tcW w:w="18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对口就业人数</w:t>
            </w:r>
          </w:p>
        </w:tc>
        <w:tc>
          <w:tcPr>
            <w:tcW w:w="13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9</w:t>
            </w:r>
          </w:p>
        </w:tc>
        <w:tc>
          <w:tcPr>
            <w:tcW w:w="14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0</w:t>
            </w:r>
          </w:p>
        </w:tc>
        <w:tc>
          <w:tcPr>
            <w:tcW w:w="17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11</w:t>
            </w:r>
          </w:p>
        </w:tc>
        <w:tc>
          <w:tcPr>
            <w:tcW w:w="116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21</w:t>
            </w:r>
          </w:p>
        </w:tc>
      </w:tr>
      <w:tr>
        <w:tblPrEx>
          <w:tblCellMar>
            <w:top w:w="0" w:type="dxa"/>
            <w:left w:w="0" w:type="dxa"/>
            <w:bottom w:w="0" w:type="dxa"/>
            <w:right w:w="0" w:type="dxa"/>
          </w:tblCellMar>
        </w:tblPrEx>
        <w:trPr>
          <w:trHeight w:val="397" w:hRule="atLeast"/>
        </w:trPr>
        <w:tc>
          <w:tcPr>
            <w:tcW w:w="188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占比</w:t>
            </w:r>
          </w:p>
        </w:tc>
        <w:tc>
          <w:tcPr>
            <w:tcW w:w="13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40.91%</w:t>
            </w:r>
          </w:p>
        </w:tc>
        <w:tc>
          <w:tcPr>
            <w:tcW w:w="14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0%</w:t>
            </w:r>
          </w:p>
        </w:tc>
        <w:tc>
          <w:tcPr>
            <w:tcW w:w="17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4.55%</w:t>
            </w:r>
          </w:p>
        </w:tc>
        <w:tc>
          <w:tcPr>
            <w:tcW w:w="130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50%</w:t>
            </w:r>
          </w:p>
        </w:tc>
        <w:tc>
          <w:tcPr>
            <w:tcW w:w="116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100%</w:t>
            </w:r>
          </w:p>
        </w:tc>
      </w:tr>
    </w:tbl>
    <w:p>
      <w:pPr>
        <w:pStyle w:val="6"/>
        <w:ind w:firstLine="480"/>
      </w:pPr>
      <w:r>
        <w:t>3.未就业毕业生情况</w:t>
      </w:r>
    </w:p>
    <w:p>
      <w:pPr>
        <w:ind w:firstLine="480" w:firstLineChars="200"/>
        <w:rPr>
          <w:szCs w:val="24"/>
        </w:rPr>
      </w:pPr>
      <w:r>
        <w:rPr>
          <w:szCs w:val="24"/>
        </w:rPr>
        <w:t>未就业原因：</w:t>
      </w:r>
    </w:p>
    <w:p>
      <w:pPr>
        <w:ind w:firstLine="480" w:firstLineChars="200"/>
        <w:rPr>
          <w:szCs w:val="24"/>
        </w:rPr>
      </w:pPr>
      <w:r>
        <w:rPr>
          <w:szCs w:val="24"/>
        </w:rPr>
        <w:t>未就业毕业生1人，通过调研发现，未就业原因有：二战考研，占未就业毕业生的0%，其次是考取公务员事业编等岗位，占未就业毕业生的0%，暂无就业意愿，占未就业毕业生的100%。</w:t>
      </w:r>
    </w:p>
    <w:p>
      <w:pPr>
        <w:widowControl/>
        <w:spacing w:line="240" w:lineRule="auto"/>
        <w:jc w:val="center"/>
        <w:textAlignment w:val="center"/>
        <w:rPr>
          <w:b/>
          <w:bCs/>
          <w:color w:val="000000"/>
          <w:kern w:val="0"/>
          <w:sz w:val="21"/>
          <w:szCs w:val="21"/>
          <w:lang w:bidi="ar"/>
        </w:rPr>
      </w:pPr>
      <w:r>
        <w:rPr>
          <w:b/>
          <w:bCs/>
          <w:color w:val="000000"/>
          <w:kern w:val="0"/>
          <w:sz w:val="21"/>
          <w:szCs w:val="21"/>
          <w:lang w:bidi="ar"/>
        </w:rPr>
        <w:t>表7.毕业生未就业原因统计表</w:t>
      </w:r>
    </w:p>
    <w:tbl>
      <w:tblPr>
        <w:tblStyle w:val="17"/>
        <w:tblW w:w="8699" w:type="dxa"/>
        <w:tblInd w:w="0" w:type="dxa"/>
        <w:tblLayout w:type="fixed"/>
        <w:tblCellMar>
          <w:top w:w="0" w:type="dxa"/>
          <w:left w:w="0" w:type="dxa"/>
          <w:bottom w:w="0" w:type="dxa"/>
          <w:right w:w="0" w:type="dxa"/>
        </w:tblCellMar>
      </w:tblPr>
      <w:tblGrid>
        <w:gridCol w:w="1112"/>
        <w:gridCol w:w="3177"/>
        <w:gridCol w:w="2055"/>
        <w:gridCol w:w="2355"/>
      </w:tblGrid>
      <w:tr>
        <w:tblPrEx>
          <w:tblCellMar>
            <w:top w:w="0" w:type="dxa"/>
            <w:left w:w="0" w:type="dxa"/>
            <w:bottom w:w="0" w:type="dxa"/>
            <w:right w:w="0" w:type="dxa"/>
          </w:tblCellMar>
        </w:tblPrEx>
        <w:trPr>
          <w:trHeight w:val="460" w:hRule="atLeast"/>
        </w:trPr>
        <w:tc>
          <w:tcPr>
            <w:tcW w:w="111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序号</w:t>
            </w:r>
          </w:p>
        </w:tc>
        <w:tc>
          <w:tcPr>
            <w:tcW w:w="31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未就业原因</w:t>
            </w:r>
          </w:p>
        </w:tc>
        <w:tc>
          <w:tcPr>
            <w:tcW w:w="20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人数</w:t>
            </w:r>
          </w:p>
        </w:tc>
        <w:tc>
          <w:tcPr>
            <w:tcW w:w="23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b/>
                <w:bCs/>
                <w:color w:val="000000"/>
                <w:kern w:val="0"/>
                <w:sz w:val="21"/>
                <w:szCs w:val="21"/>
                <w:lang w:bidi="ar"/>
              </w:rPr>
            </w:pPr>
            <w:r>
              <w:rPr>
                <w:b/>
                <w:bCs/>
                <w:color w:val="000000"/>
                <w:kern w:val="0"/>
                <w:sz w:val="21"/>
                <w:szCs w:val="21"/>
                <w:lang w:bidi="ar"/>
              </w:rPr>
              <w:t>占未就业毕业生比例</w:t>
            </w:r>
          </w:p>
        </w:tc>
      </w:tr>
      <w:tr>
        <w:tblPrEx>
          <w:tblCellMar>
            <w:top w:w="0" w:type="dxa"/>
            <w:left w:w="0" w:type="dxa"/>
            <w:bottom w:w="0" w:type="dxa"/>
            <w:right w:w="0" w:type="dxa"/>
          </w:tblCellMar>
        </w:tblPrEx>
        <w:trPr>
          <w:trHeight w:val="460" w:hRule="atLeast"/>
        </w:trPr>
        <w:tc>
          <w:tcPr>
            <w:tcW w:w="111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w:t>
            </w:r>
          </w:p>
        </w:tc>
        <w:tc>
          <w:tcPr>
            <w:tcW w:w="31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二战考研</w:t>
            </w:r>
          </w:p>
        </w:tc>
        <w:tc>
          <w:tcPr>
            <w:tcW w:w="20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0</w:t>
            </w:r>
          </w:p>
        </w:tc>
        <w:tc>
          <w:tcPr>
            <w:tcW w:w="23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0</w:t>
            </w:r>
          </w:p>
        </w:tc>
      </w:tr>
      <w:tr>
        <w:tblPrEx>
          <w:tblCellMar>
            <w:top w:w="0" w:type="dxa"/>
            <w:left w:w="0" w:type="dxa"/>
            <w:bottom w:w="0" w:type="dxa"/>
            <w:right w:w="0" w:type="dxa"/>
          </w:tblCellMar>
        </w:tblPrEx>
        <w:trPr>
          <w:trHeight w:val="460" w:hRule="atLeast"/>
        </w:trPr>
        <w:tc>
          <w:tcPr>
            <w:tcW w:w="111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2</w:t>
            </w:r>
          </w:p>
        </w:tc>
        <w:tc>
          <w:tcPr>
            <w:tcW w:w="31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准备公务员事业编考试</w:t>
            </w:r>
          </w:p>
        </w:tc>
        <w:tc>
          <w:tcPr>
            <w:tcW w:w="20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0</w:t>
            </w:r>
          </w:p>
        </w:tc>
        <w:tc>
          <w:tcPr>
            <w:tcW w:w="23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0</w:t>
            </w:r>
          </w:p>
        </w:tc>
      </w:tr>
      <w:tr>
        <w:tblPrEx>
          <w:tblCellMar>
            <w:top w:w="0" w:type="dxa"/>
            <w:left w:w="0" w:type="dxa"/>
            <w:bottom w:w="0" w:type="dxa"/>
            <w:right w:w="0" w:type="dxa"/>
          </w:tblCellMar>
        </w:tblPrEx>
        <w:trPr>
          <w:trHeight w:val="460" w:hRule="atLeast"/>
        </w:trPr>
        <w:tc>
          <w:tcPr>
            <w:tcW w:w="111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3</w:t>
            </w:r>
          </w:p>
        </w:tc>
        <w:tc>
          <w:tcPr>
            <w:tcW w:w="31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暂无就业意愿</w:t>
            </w:r>
          </w:p>
        </w:tc>
        <w:tc>
          <w:tcPr>
            <w:tcW w:w="20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w:t>
            </w:r>
          </w:p>
        </w:tc>
        <w:tc>
          <w:tcPr>
            <w:tcW w:w="23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spacing w:line="240" w:lineRule="auto"/>
              <w:jc w:val="center"/>
              <w:textAlignment w:val="center"/>
              <w:rPr>
                <w:color w:val="000000"/>
                <w:kern w:val="0"/>
                <w:sz w:val="21"/>
                <w:szCs w:val="21"/>
                <w:lang w:bidi="ar"/>
              </w:rPr>
            </w:pPr>
            <w:r>
              <w:rPr>
                <w:color w:val="000000"/>
                <w:kern w:val="0"/>
                <w:sz w:val="21"/>
                <w:szCs w:val="21"/>
                <w:lang w:bidi="ar"/>
              </w:rPr>
              <w:t>100%</w:t>
            </w:r>
          </w:p>
        </w:tc>
      </w:tr>
    </w:tbl>
    <w:p>
      <w:pPr>
        <w:ind w:firstLine="482" w:firstLineChars="200"/>
        <w:rPr>
          <w:b/>
          <w:bCs/>
          <w:szCs w:val="24"/>
        </w:rPr>
      </w:pPr>
      <w:r>
        <w:rPr>
          <w:b/>
          <w:bCs/>
          <w:szCs w:val="24"/>
        </w:rPr>
        <w:t>针对性举措：</w:t>
      </w:r>
    </w:p>
    <w:p>
      <w:pPr>
        <w:numPr>
          <w:ilvl w:val="0"/>
          <w:numId w:val="13"/>
        </w:numPr>
        <w:ind w:firstLine="480" w:firstLineChars="200"/>
        <w:rPr>
          <w:szCs w:val="24"/>
        </w:rPr>
      </w:pPr>
      <w:r>
        <w:t>六、毕业生</w:t>
      </w:r>
      <w:r>
        <w:rPr>
          <w:szCs w:val="24"/>
        </w:rPr>
        <w:t>适时举办考研考公知识讲座，为学生树立良好的未来发展规划，对学生分门别类地加以指导和帮助。</w:t>
      </w:r>
    </w:p>
    <w:p>
      <w:pPr>
        <w:numPr>
          <w:ilvl w:val="0"/>
          <w:numId w:val="13"/>
        </w:numPr>
        <w:ind w:firstLine="480" w:firstLineChars="200"/>
        <w:rPr>
          <w:szCs w:val="24"/>
        </w:rPr>
      </w:pPr>
      <w:r>
        <w:rPr>
          <w:szCs w:val="24"/>
        </w:rPr>
        <w:t>定期与学生进行谈话，深入了解学生的求职就业意向，主动搜集并及时利用就业信息网等多媒体平台为学生提供就业信息，为部分毕业生营造良好的就业环境。</w:t>
      </w:r>
    </w:p>
    <w:p>
      <w:pPr>
        <w:numPr>
          <w:ilvl w:val="0"/>
          <w:numId w:val="13"/>
        </w:numPr>
        <w:ind w:firstLine="480" w:firstLineChars="200"/>
        <w:rPr>
          <w:szCs w:val="24"/>
        </w:rPr>
      </w:pPr>
      <w:r>
        <w:rPr>
          <w:szCs w:val="24"/>
        </w:rPr>
        <w:t>积极召开用人单位与学生的专场见面会，学院主动联系就业单位到学校进行专场招聘会，考察教学设施和条件，推荐学生到单位实习就业，搭建毕业生与企业的桥梁。</w:t>
      </w:r>
    </w:p>
    <w:p>
      <w:pPr>
        <w:pStyle w:val="5"/>
        <w:spacing w:before="93" w:after="93"/>
        <w:ind w:firstLine="560"/>
      </w:pPr>
      <w:r>
        <w:rPr>
          <w:rFonts w:hint="eastAsia"/>
        </w:rPr>
        <w:t>六、</w:t>
      </w:r>
      <w:r>
        <w:t>就业创业（创业情况、采取的措施、典型案例等）</w:t>
      </w:r>
    </w:p>
    <w:p>
      <w:pPr>
        <w:spacing w:line="396" w:lineRule="exact"/>
        <w:ind w:firstLine="480" w:firstLineChars="200"/>
      </w:pPr>
      <w:r>
        <w:t>创业情况：</w:t>
      </w:r>
    </w:p>
    <w:p>
      <w:pPr>
        <w:spacing w:line="396" w:lineRule="exact"/>
        <w:ind w:firstLine="480" w:firstLineChars="200"/>
      </w:pPr>
      <w:r>
        <w:t>学院共有20余支创业团队，毕业生参与的校级创业团队10支，其中有一支创业团队注册为个体工商户，国家级立项创新创业项目5项。近50%的毕业生参与各种创新创业活动。</w:t>
      </w:r>
    </w:p>
    <w:p>
      <w:pPr>
        <w:spacing w:line="396" w:lineRule="exact"/>
        <w:ind w:firstLine="480" w:firstLineChars="200"/>
      </w:pPr>
      <w:r>
        <w:t>采取措施：</w:t>
      </w:r>
    </w:p>
    <w:p>
      <w:pPr>
        <w:spacing w:line="396" w:lineRule="exact"/>
        <w:ind w:firstLine="480" w:firstLineChars="200"/>
      </w:pPr>
      <w:r>
        <w:t>学院按照学校要求积极鼓励毕业生创业，为毕业生创业提供资金、政策咨询、专业指导、实验室和场地支持，为有意向创业的学生配备校外创业指导老师，学院共聘任校外创业导师4名，校内创业导师20名。一年来共举办创新创业讲座和论坛4次，邀请创业成功的校友为毕业生现身说法，引导毕业生积极创业。积极开展创新创业教育，通过参加各种创新创业大赛和各种创新创业实践活动培养学生创新意识和创业实践能力。学院建立创新创业服务卡，搭建创业就业服务平台，拓宽创业就业渠道，鼓励学生积极参加创新创业大赛、自主创业，多方筹措资金加强对各创业团队的经费支持，完善了创新创业经费使用体系。</w:t>
      </w:r>
    </w:p>
    <w:p>
      <w:pPr>
        <w:pStyle w:val="7"/>
        <w:spacing w:line="396" w:lineRule="exact"/>
        <w:ind w:firstLine="480"/>
      </w:pPr>
      <w:r>
        <w:t>1.普遍资助与重点资助相结合</w:t>
      </w:r>
    </w:p>
    <w:p>
      <w:pPr>
        <w:spacing w:line="396" w:lineRule="exact"/>
        <w:ind w:firstLine="480" w:firstLineChars="200"/>
      </w:pPr>
      <w:r>
        <w:t>学院立足创新创业实际，在学校拨付经费的基础上，学院又配套1万元，一方面鼓励有创业梦想的同学积极申请项目，学为他们创业梦想的实现搭建平台。</w:t>
      </w:r>
    </w:p>
    <w:p>
      <w:pPr>
        <w:pStyle w:val="7"/>
        <w:spacing w:line="396" w:lineRule="exact"/>
        <w:ind w:firstLine="480"/>
      </w:pPr>
      <w:r>
        <w:t>2.创业团队场所与办公设施建设</w:t>
      </w:r>
    </w:p>
    <w:p>
      <w:pPr>
        <w:spacing w:line="396" w:lineRule="exact"/>
        <w:ind w:firstLine="480" w:firstLineChars="200"/>
      </w:pPr>
      <w:r>
        <w:t xml:space="preserve">学院大力支持各创业团队，为创业团队在创业场所与办公设施上给与特别支持，并且将支持与创业成效考核相挂钩， </w:t>
      </w:r>
    </w:p>
    <w:p>
      <w:pPr>
        <w:pStyle w:val="7"/>
        <w:spacing w:line="396" w:lineRule="exact"/>
        <w:ind w:firstLine="480"/>
      </w:pPr>
      <w:r>
        <w:t>3.学院在创业团队日常运转与宣传费用的支持</w:t>
      </w:r>
    </w:p>
    <w:p>
      <w:pPr>
        <w:spacing w:line="396" w:lineRule="exact"/>
        <w:ind w:firstLine="480" w:firstLineChars="200"/>
      </w:pPr>
      <w:r>
        <w:t>学院全部支付了各创业团队创业过程中所使用的水电和宣传费用，学院为拓展创业学生的思路，积极邀请创业成功的校友为学院学生做相关报告，还积极制作宣传板、宣传页加大对各创业团队宣传。</w:t>
      </w:r>
    </w:p>
    <w:p>
      <w:pPr>
        <w:pStyle w:val="7"/>
        <w:spacing w:line="396" w:lineRule="exact"/>
        <w:ind w:firstLine="480"/>
      </w:pPr>
      <w:r>
        <w:t>4.与水土学院相结合，促进学生创新创业</w:t>
      </w:r>
    </w:p>
    <w:p>
      <w:pPr>
        <w:spacing w:line="396" w:lineRule="exact"/>
        <w:ind w:firstLine="480" w:firstLineChars="200"/>
      </w:pPr>
      <w:r>
        <w:t>小矮人手工坊为了加大自己产品的宣传力度，积极走出学院，将自己的项目入驻水土学院</w:t>
      </w:r>
      <w:r>
        <w:rPr>
          <w:rFonts w:hint="eastAsia"/>
        </w:rPr>
        <w:t>“</w:t>
      </w:r>
      <w:r>
        <w:t>梦工厂咖啡</w:t>
      </w:r>
      <w:r>
        <w:rPr>
          <w:rFonts w:hint="eastAsia"/>
        </w:rPr>
        <w:t>”</w:t>
      </w:r>
      <w:r>
        <w:t>大学生创业培育基地，获得学校领导的高度赞扬。</w:t>
      </w:r>
    </w:p>
    <w:p>
      <w:pPr>
        <w:spacing w:line="396" w:lineRule="exact"/>
        <w:ind w:firstLine="480" w:firstLineChars="200"/>
      </w:pPr>
      <w:r>
        <w:t>此外，学院还要求各创业团队积极参加不同级别、不同类型的创新创业大赛，使学生通过参加不同比赛积累经验，迸发出创业的火花，学院承担学生参加各类大赛的相关费用。</w:t>
      </w:r>
    </w:p>
    <w:p>
      <w:pPr>
        <w:spacing w:line="396" w:lineRule="exact"/>
        <w:ind w:firstLine="480" w:firstLineChars="200"/>
      </w:pPr>
      <w:r>
        <w:t>典型案例：</w:t>
      </w:r>
    </w:p>
    <w:p>
      <w:pPr>
        <w:spacing w:line="396" w:lineRule="exact"/>
        <w:ind w:firstLine="480" w:firstLineChars="200"/>
      </w:pPr>
      <w:r>
        <w:t>化学院的小矮人手工坊，是学院第一个注册成为个体工商户的创业团队。团队主要从事手工皂、新型洗手液等精细日用产品的研发与销售，旨在提高大家的专业学习兴趣和创新创业经验。团队秉承</w:t>
      </w:r>
      <w:r>
        <w:rPr>
          <w:rFonts w:hint="eastAsia"/>
        </w:rPr>
        <w:t>“</w:t>
      </w:r>
      <w:r>
        <w:t>更美丽，更健康，更环保</w:t>
      </w:r>
      <w:r>
        <w:rPr>
          <w:rFonts w:hint="eastAsia"/>
        </w:rPr>
        <w:t>”</w:t>
      </w:r>
      <w:r>
        <w:t>的研发理念，研发手工皂达20余种，以其极高的品质、性价比受到消费者一致好评。团队产品新颖，专业性较强，发展潜力巨大，因此受到学校、学院各位领导老师的关注，对团队产品有着极高的评价，并提出指导意见。泰山晚报和山东农大报都曾对本团队做过专访。团队先后在东校、本部，南校等地举行过六次展销会，销售额已过万元，拥有固定生产设备近万余元。在第一届化学类创新创业大赛中获得第一名，校科技创新大赛三等奖。产品目前已入驻圆梦驿站，大学生创业孵化园，创客驿站等基地。</w:t>
      </w:r>
    </w:p>
    <w:p>
      <w:pPr>
        <w:pStyle w:val="5"/>
        <w:spacing w:before="93" w:after="93"/>
        <w:ind w:firstLine="560"/>
      </w:pPr>
      <w:r>
        <w:t>七、专业发展趋势及建议</w:t>
      </w:r>
    </w:p>
    <w:p>
      <w:pPr>
        <w:spacing w:line="396" w:lineRule="exact"/>
        <w:ind w:firstLine="480" w:firstLineChars="200"/>
      </w:pPr>
      <w:r>
        <w:t>我校应用化学作为一个理工结合并立足农业与生命科学大学的专业，将进一步发挥我校优势，凝炼特色，在师资队伍建设方面，以化学一级学科学科点建设为中心，兼顾学科的生命科学与农业科学特色，从学历、专业、学缘、年龄等方面统筹兼顾，着力打造一支优质、高水平的教师队伍。人才培养方面，继续深化</w:t>
      </w:r>
      <w:r>
        <w:rPr>
          <w:rFonts w:hint="eastAsia"/>
        </w:rPr>
        <w:t>“</w:t>
      </w:r>
      <w:r>
        <w:t>通识教育+精英教育</w:t>
      </w:r>
      <w:r>
        <w:rPr>
          <w:rFonts w:hint="eastAsia"/>
        </w:rPr>
        <w:t>”</w:t>
      </w:r>
      <w:r>
        <w:t>的人才培养模式，深入挖掘该人才培养模式的内涵，进一步提高人才培养质量。</w:t>
      </w:r>
    </w:p>
    <w:p>
      <w:pPr>
        <w:pStyle w:val="5"/>
        <w:spacing w:before="93" w:after="93"/>
        <w:ind w:firstLine="560"/>
      </w:pPr>
      <w:r>
        <w:t>八、存在的问题及整改措施</w:t>
      </w:r>
    </w:p>
    <w:p>
      <w:pPr>
        <w:spacing w:line="396" w:lineRule="exact"/>
        <w:ind w:firstLine="480" w:firstLineChars="200"/>
      </w:pPr>
      <w:r>
        <w:t>目前专业建设中存在的问题主要在如下几个方面：</w:t>
      </w:r>
    </w:p>
    <w:p>
      <w:pPr>
        <w:spacing w:line="396" w:lineRule="exact"/>
        <w:ind w:firstLine="480" w:firstLineChars="200"/>
      </w:pPr>
      <w:r>
        <w:t>1.师资队伍结构有待进一步调整：部分课程教师，如化学工程及相关专业，引进高层次人才比较困难，其原因一方面是化学工程专业人才培养周期较长，另外一些高水平博士大多去大型企业就职，希望学校能适当放宽人才引进政策。</w:t>
      </w:r>
    </w:p>
    <w:p>
      <w:pPr>
        <w:spacing w:line="396" w:lineRule="exact"/>
        <w:ind w:firstLine="480" w:firstLineChars="200"/>
      </w:pPr>
      <w:r>
        <w:t>2.吸引高水平海外人才的引进政策有待于进一步改善，可根据应用化学专业特点、因地制宜的制定相应的计划和政策。因为高水平人才的引入除了可以引领学科建设、还可以提升教师队伍的整体素质和科学研究的整体水平。</w:t>
      </w:r>
    </w:p>
    <w:p>
      <w:pPr>
        <w:spacing w:line="396" w:lineRule="exact"/>
        <w:ind w:firstLine="480" w:firstLineChars="200"/>
      </w:pPr>
      <w:r>
        <w:t>3.增加对本校培养的教师的支持力度，适当给予科研经费、仪器和实验室等方面的支持，提高学院教师的教学科研积极性。</w:t>
      </w:r>
    </w:p>
    <w:p>
      <w:pPr>
        <w:spacing w:line="396" w:lineRule="exact"/>
        <w:ind w:firstLine="480" w:firstLineChars="200"/>
      </w:pPr>
      <w:r>
        <w:t>4.用于应用化学专业的实验设备多是普通化学专业所使用的，无法满足本科生对学科发展的需求，需进一步购置大型仪器设备；专业实验室面积少，建议提高应化专业的实验室基本条件。</w:t>
      </w:r>
    </w:p>
    <w:p>
      <w:r>
        <w:br w:type="page"/>
      </w:r>
    </w:p>
    <w:p>
      <w:pPr>
        <w:pStyle w:val="4"/>
        <w:ind w:firstLine="600"/>
      </w:pPr>
      <w:bookmarkStart w:id="820" w:name="_Toc26699"/>
      <w:bookmarkStart w:id="821" w:name="_Toc19721"/>
      <w:bookmarkStart w:id="822" w:name="_Toc23333"/>
      <w:bookmarkStart w:id="823" w:name="_Toc9936"/>
      <w:bookmarkStart w:id="824" w:name="_Toc5852"/>
      <w:bookmarkStart w:id="825" w:name="_Toc10465"/>
      <w:r>
        <w:rPr>
          <w:rFonts w:hint="eastAsia"/>
          <w:lang w:val="en-US"/>
        </w:rPr>
        <w:t>专业七十七：</w:t>
      </w:r>
      <w:r>
        <w:t>材料化学</w:t>
      </w:r>
      <w:bookmarkEnd w:id="820"/>
      <w:bookmarkEnd w:id="821"/>
      <w:bookmarkEnd w:id="822"/>
      <w:bookmarkEnd w:id="823"/>
      <w:bookmarkEnd w:id="824"/>
      <w:bookmarkEnd w:id="825"/>
    </w:p>
    <w:p>
      <w:pPr>
        <w:pStyle w:val="5"/>
        <w:spacing w:before="93" w:after="93"/>
        <w:ind w:firstLine="560"/>
      </w:pPr>
      <w:r>
        <w:t>一、培养目标与规格</w:t>
      </w:r>
    </w:p>
    <w:p>
      <w:pPr>
        <w:ind w:firstLine="480"/>
        <w:outlineLvl w:val="3"/>
      </w:pPr>
      <w:r>
        <w:t>本专业培养德、智、体全面发展的，具有人文科学、自然科学基础、外语和计算机应用能力，熟悉国内外材料科学发展现状、趋势和专业技术规范，具有扎实的化学和材料科学基础理论和基本实验技能，具有一定材料新产品研制、开发和生产组织管理的基本能力，具有自主学习能力、团队协作和组织协调能力，具有较强的创新意识和社会责任感，能胜任材料、能源、包装、建筑、化工、制药等企业或研究机构的科学研究、生产管理等工作，或胜任中等学校教学工作的应用型复合人才。</w:t>
      </w:r>
    </w:p>
    <w:p>
      <w:pPr>
        <w:pStyle w:val="5"/>
        <w:spacing w:before="93" w:after="93"/>
        <w:ind w:firstLine="560"/>
      </w:pPr>
      <w:r>
        <w:t>二、培养能力（专业设置情况、在校生规模、课程设置情况、创新创业教育等）</w:t>
      </w:r>
    </w:p>
    <w:p>
      <w:pPr>
        <w:pStyle w:val="6"/>
        <w:ind w:firstLine="480"/>
      </w:pPr>
      <w:r>
        <w:t>1. 学生应获取的知识与能力</w:t>
      </w:r>
    </w:p>
    <w:p>
      <w:pPr>
        <w:ind w:firstLine="480" w:firstLineChars="200"/>
      </w:pPr>
      <w:r>
        <w:t>（1）具有扎实的自然科学基础，良好的人文与社会科学素质、身心素质及表达能力；</w:t>
      </w:r>
    </w:p>
    <w:p>
      <w:pPr>
        <w:ind w:firstLine="480" w:firstLineChars="200"/>
      </w:pPr>
      <w:r>
        <w:t>（2）掌握计算机的使用、计算机的软件与硬件的基础知识，具有较强的计算机运用能力；</w:t>
      </w:r>
    </w:p>
    <w:p>
      <w:pPr>
        <w:ind w:firstLine="480" w:firstLineChars="200"/>
      </w:pPr>
      <w:r>
        <w:t xml:space="preserve">（3）掌握一门外语，具有一定的听、说、读、写能力； </w:t>
      </w:r>
    </w:p>
    <w:p>
      <w:pPr>
        <w:ind w:firstLine="480" w:firstLineChars="200"/>
      </w:pPr>
      <w:r>
        <w:t>（4）了解材料科学研究前沿、应用前景、最新发展动态及相关产业发展动态；了解国家关于科学技术、化学和材料科学相关产业、知识产权等方面的政策、法规；</w:t>
      </w:r>
    </w:p>
    <w:p>
      <w:pPr>
        <w:ind w:firstLine="480" w:firstLineChars="200"/>
      </w:pPr>
      <w:r>
        <w:t>（5）系统学习和掌握化学、材料科学基本理论，具有扎实的专业基础知识与实验技能，培养科学的思维能力，接受基础与应用研究方法与技能的系统训练；</w:t>
      </w:r>
    </w:p>
    <w:p>
      <w:pPr>
        <w:ind w:firstLine="480" w:firstLineChars="200"/>
      </w:pPr>
      <w:r>
        <w:t>（6）树立终身学习的观念，具有独立获取知识和信息的能力，能以英语为工具，比较熟练地阅读本专业外文文献，获取专业所需信息；</w:t>
      </w:r>
    </w:p>
    <w:p>
      <w:pPr>
        <w:ind w:firstLine="480" w:firstLineChars="200"/>
      </w:pPr>
      <w:r>
        <w:t>（7）掌握化学、材料科学信息检索，资料查询、数据库使用方法与技巧，具有较强的计算机及网络应用能力；</w:t>
      </w:r>
    </w:p>
    <w:p>
      <w:pPr>
        <w:ind w:firstLine="480" w:firstLineChars="200"/>
      </w:pPr>
      <w:r>
        <w:t>（8）具有扎实的实验设计、分析处理实验结果、撰写论文及参与学术交流的能力；</w:t>
      </w:r>
    </w:p>
    <w:p>
      <w:pPr>
        <w:ind w:firstLine="480" w:firstLineChars="200"/>
      </w:pPr>
      <w:r>
        <w:t>（9）掌握现代化学和材料科学理论、方法及各类化学、材料、化工产品的理化分析检测技术；</w:t>
      </w:r>
    </w:p>
    <w:p>
      <w:pPr>
        <w:ind w:firstLine="480" w:firstLineChars="200"/>
      </w:pPr>
      <w:r>
        <w:t>（10）具有综合运用材料化学专业知识解决生产实际问题的能力；</w:t>
      </w:r>
    </w:p>
    <w:p>
      <w:pPr>
        <w:ind w:firstLine="480" w:firstLineChars="200"/>
      </w:pPr>
      <w:r>
        <w:t>（11）具有较强的自学能力和适用科技发展的应变能力，具有创新精神和创业意识，具有初步的技术经济分析与评价、生产组织管理和协调能力；</w:t>
      </w:r>
    </w:p>
    <w:p>
      <w:pPr>
        <w:ind w:firstLine="480" w:firstLineChars="200"/>
      </w:pPr>
      <w:r>
        <w:t>（12）能胜任材料、化工、制药、能源、包装、建筑等企业或研究机构的科学研究、生产管理等工作，或胜任中等学校教学工作。</w:t>
      </w:r>
    </w:p>
    <w:p>
      <w:pPr>
        <w:ind w:firstLine="480" w:firstLineChars="200"/>
        <w:outlineLvl w:val="3"/>
        <w:rPr>
          <w:rFonts w:eastAsia="黑体"/>
        </w:rPr>
      </w:pPr>
      <w:r>
        <w:rPr>
          <w:rFonts w:eastAsia="黑体"/>
        </w:rPr>
        <w:t>2. 专业设置情况</w:t>
      </w:r>
    </w:p>
    <w:p>
      <w:pPr>
        <w:spacing w:line="390" w:lineRule="exact"/>
        <w:ind w:firstLine="480" w:firstLineChars="200"/>
      </w:pPr>
      <w:r>
        <w:t>材料化学本科基本学制为4年，学习年限为3－8年。按要求完成学业且符合授予条件者授予理学学士学位。</w:t>
      </w:r>
    </w:p>
    <w:p>
      <w:pPr>
        <w:spacing w:line="390" w:lineRule="exact"/>
        <w:ind w:firstLine="480" w:firstLineChars="200"/>
        <w:outlineLvl w:val="3"/>
        <w:rPr>
          <w:rFonts w:eastAsia="黑体"/>
        </w:rPr>
      </w:pPr>
      <w:r>
        <w:rPr>
          <w:rFonts w:eastAsia="黑体"/>
        </w:rPr>
        <w:t>3. 在校生规模</w:t>
      </w:r>
    </w:p>
    <w:p>
      <w:pPr>
        <w:spacing w:line="390" w:lineRule="exact"/>
        <w:ind w:firstLine="480" w:firstLineChars="200"/>
      </w:pPr>
      <w:r>
        <w:t>2021和2022年学院实行材料类招生，目前材料化学专业在校生有4个年级，共计12个教学班，共计310人。</w:t>
      </w:r>
    </w:p>
    <w:p>
      <w:pPr>
        <w:spacing w:line="390" w:lineRule="exact"/>
        <w:ind w:firstLine="480" w:firstLineChars="200"/>
        <w:outlineLvl w:val="3"/>
        <w:rPr>
          <w:rFonts w:eastAsia="黑体"/>
        </w:rPr>
      </w:pPr>
      <w:r>
        <w:rPr>
          <w:rFonts w:eastAsia="黑体"/>
        </w:rPr>
        <w:t>4. 课程设置情况</w:t>
      </w:r>
    </w:p>
    <w:p>
      <w:pPr>
        <w:spacing w:line="390" w:lineRule="exact"/>
        <w:ind w:firstLine="480" w:firstLineChars="200"/>
      </w:pPr>
      <w:r>
        <w:t>毕业总学分不少于170学分。其中，必修课总学分不低于143.5、选修课学分不低于26.5。实践教学学分54.25（含操作性实验课学分和实践学分，其中理论课所含的实验实训学分按所占理论课学时进行换算），占总学分32%。</w:t>
      </w:r>
    </w:p>
    <w:p>
      <w:pPr>
        <w:spacing w:line="390" w:lineRule="exact"/>
        <w:ind w:firstLine="480" w:firstLineChars="200"/>
      </w:pPr>
      <w:r>
        <w:t>课程体系由通识必修课、通识选修课、学科基础课、专业核心课、专业方向课、基础实践、专业实践和综合实践组成。主要课程有无机化学、分析化学、有机化学、物理化学、高分子化学、高分子物理、结构化学、材料化学、材料合成与制备技术、材料科学基础、材料化学专业英语、高分子化学、高分子物理、材料结构与性能、材料现代测试技术、高分子材料表征、功能材料、结晶化学、固体化学等。</w:t>
      </w:r>
    </w:p>
    <w:p>
      <w:pPr>
        <w:spacing w:line="390" w:lineRule="exact"/>
        <w:ind w:firstLine="480" w:firstLineChars="200"/>
      </w:pPr>
      <w:r>
        <w:t>实践环节（含实验）主要包括实验、基础实践、专业实践和综合实践四大部分，主要有无机化学实验、分析化学实验、有机化学实验、物理化学实验、高分子化学与物理实验、材料合成与制备技术实验、材料化学专业认识实习、工业实习、材料化学课程设计、材料合成与制备技术实验课程设计、材料科学基础课程设计、实验安全与环保、综合课程设计、毕业论文（设计）、毕业实习及报告、创新创业实践等。</w:t>
      </w:r>
    </w:p>
    <w:p>
      <w:pPr>
        <w:pStyle w:val="7"/>
        <w:keepNext w:val="0"/>
        <w:keepLines w:val="0"/>
        <w:spacing w:line="390" w:lineRule="exact"/>
        <w:ind w:firstLine="480" w:firstLineChars="200"/>
      </w:pPr>
      <w:r>
        <w:t>5. 创新创业教育</w:t>
      </w:r>
    </w:p>
    <w:p>
      <w:pPr>
        <w:spacing w:line="390" w:lineRule="exact"/>
        <w:ind w:firstLine="480" w:firstLineChars="200"/>
      </w:pPr>
      <w:r>
        <w:t>通过多种途径或方式鼓励学生进行创新创业活动，全年共举办大学生创新创业大赛1场，鼓励学生积极申报国家、省、学校各类创新研究项目，全年共立项SRT项目40项，项目总经费12万余元。本年度结题大学生创新创业训练计划30项。参加各级创新创业大赛及山东省大学生实验技能大赛，共获各类奖项10项。2019级本科生已按照化学院本科生导师制文件要求，积极参与研究课题。</w:t>
      </w:r>
    </w:p>
    <w:p>
      <w:pPr>
        <w:pStyle w:val="5"/>
        <w:spacing w:before="93" w:after="93"/>
        <w:ind w:firstLine="560"/>
      </w:pPr>
      <w:r>
        <w:t>三、培养条件（教学经费投入、教学设备、教师队伍建设、实习基地、现代教学技术应用等）</w:t>
      </w:r>
    </w:p>
    <w:p>
      <w:pPr>
        <w:ind w:firstLine="480"/>
      </w:pPr>
      <w:r>
        <w:t>教学经费投入：</w:t>
      </w:r>
    </w:p>
    <w:p>
      <w:pPr>
        <w:ind w:firstLine="480"/>
      </w:pPr>
      <w:r>
        <w:t>为维持材料化学专业教学的正常运行，学院每年投入教学经费约70万元，主要用于学生实验的药品试剂、低值易耗、创新研究、师资培养等支出。</w:t>
      </w:r>
    </w:p>
    <w:p>
      <w:pPr>
        <w:ind w:firstLine="480"/>
      </w:pPr>
      <w:r>
        <w:t>教学设备：</w:t>
      </w:r>
    </w:p>
    <w:p>
      <w:pPr>
        <w:spacing w:line="390" w:lineRule="exact"/>
        <w:ind w:firstLine="480"/>
      </w:pPr>
      <w:r>
        <w:t>目前学院拥有原子吸收分光光度计、电化学工作站、高效液相色谱仪、微波消解样品处理仪、气相色谱仪、逆流色谱分析仪、元素分析仪、热重分析仪、荧光分析仪、差热分析仪、紫外-可见分光光度计、气相-串联质谱气质联用仪、等离子体原子发射光谱仪、高效毛细管电泳分析仪、表面等离子体共振仪、荧光磷光和化学发光功能一体化的分子发射光谱仪、傅立叶变换红外光谱仪等仪器设备，基本可满足教学需求。为了进一步改善教学条件，本专业本年度通过招标购置</w:t>
      </w:r>
      <w:r>
        <w:rPr>
          <w:rFonts w:hint="eastAsia"/>
        </w:rPr>
        <w:t>“</w:t>
      </w:r>
      <w:r>
        <w:t>激光拉曼光谱仪</w:t>
      </w:r>
      <w:r>
        <w:rPr>
          <w:rFonts w:hint="eastAsia"/>
        </w:rPr>
        <w:t>”</w:t>
      </w:r>
      <w:r>
        <w:t>、</w:t>
      </w:r>
      <w:r>
        <w:rPr>
          <w:rFonts w:hint="eastAsia"/>
        </w:rPr>
        <w:t>“</w:t>
      </w:r>
      <w:r>
        <w:t>纳米粒度仪</w:t>
      </w:r>
      <w:r>
        <w:rPr>
          <w:rFonts w:hint="eastAsia"/>
        </w:rPr>
        <w:t>”</w:t>
      </w:r>
      <w:r>
        <w:t>、</w:t>
      </w:r>
      <w:r>
        <w:rPr>
          <w:rFonts w:hint="eastAsia"/>
        </w:rPr>
        <w:t>“</w:t>
      </w:r>
      <w:r>
        <w:t>动态力学分析仪</w:t>
      </w:r>
      <w:r>
        <w:rPr>
          <w:rFonts w:hint="eastAsia"/>
        </w:rPr>
        <w:t>”</w:t>
      </w:r>
      <w:r>
        <w:t>、</w:t>
      </w:r>
      <w:r>
        <w:rPr>
          <w:rFonts w:hint="eastAsia"/>
        </w:rPr>
        <w:t>“</w:t>
      </w:r>
      <w:r>
        <w:t>超纯水制备仪器</w:t>
      </w:r>
      <w:r>
        <w:rPr>
          <w:rFonts w:hint="eastAsia"/>
        </w:rPr>
        <w:t>”</w:t>
      </w:r>
      <w:r>
        <w:t>、</w:t>
      </w:r>
      <w:r>
        <w:rPr>
          <w:rFonts w:hint="eastAsia"/>
        </w:rPr>
        <w:t>“</w:t>
      </w:r>
      <w:r>
        <w:t>电致化学发光仪</w:t>
      </w:r>
      <w:r>
        <w:rPr>
          <w:rFonts w:hint="eastAsia"/>
        </w:rPr>
        <w:t>”</w:t>
      </w:r>
      <w:r>
        <w:t>、</w:t>
      </w:r>
      <w:r>
        <w:rPr>
          <w:rFonts w:hint="eastAsia"/>
        </w:rPr>
        <w:t>“</w:t>
      </w:r>
      <w:r>
        <w:t>高速冷冻离心机</w:t>
      </w:r>
      <w:r>
        <w:rPr>
          <w:rFonts w:hint="eastAsia"/>
        </w:rPr>
        <w:t>”</w:t>
      </w:r>
      <w:r>
        <w:t>、</w:t>
      </w:r>
      <w:r>
        <w:rPr>
          <w:rFonts w:hint="eastAsia"/>
        </w:rPr>
        <w:t>“</w:t>
      </w:r>
      <w:r>
        <w:t>转矩流变仪</w:t>
      </w:r>
      <w:r>
        <w:rPr>
          <w:rFonts w:hint="eastAsia"/>
        </w:rPr>
        <w:t>”</w:t>
      </w:r>
      <w:r>
        <w:t>、</w:t>
      </w:r>
      <w:r>
        <w:rPr>
          <w:rFonts w:hint="eastAsia"/>
        </w:rPr>
        <w:t>“</w:t>
      </w:r>
      <w:r>
        <w:t>真空冷冻干燥机</w:t>
      </w:r>
      <w:r>
        <w:rPr>
          <w:rFonts w:hint="eastAsia"/>
        </w:rPr>
        <w:t>”</w:t>
      </w:r>
      <w:r>
        <w:t>、</w:t>
      </w:r>
      <w:r>
        <w:rPr>
          <w:rFonts w:hint="eastAsia"/>
        </w:rPr>
        <w:t>“</w:t>
      </w:r>
      <w:r>
        <w:t>微波合成仪</w:t>
      </w:r>
      <w:r>
        <w:rPr>
          <w:rFonts w:hint="eastAsia"/>
        </w:rPr>
        <w:t>”</w:t>
      </w:r>
      <w:r>
        <w:t>、</w:t>
      </w:r>
      <w:r>
        <w:rPr>
          <w:rFonts w:hint="eastAsia"/>
        </w:rPr>
        <w:t>“</w:t>
      </w:r>
      <w:r>
        <w:t>紫外光谱仪</w:t>
      </w:r>
      <w:r>
        <w:rPr>
          <w:rFonts w:hint="eastAsia"/>
        </w:rPr>
        <w:t>”</w:t>
      </w:r>
      <w:r>
        <w:t>、</w:t>
      </w:r>
      <w:r>
        <w:rPr>
          <w:rFonts w:hint="eastAsia"/>
        </w:rPr>
        <w:t>“</w:t>
      </w:r>
      <w:r>
        <w:t>电子分析天平</w:t>
      </w:r>
      <w:r>
        <w:rPr>
          <w:rFonts w:hint="eastAsia"/>
        </w:rPr>
        <w:t>”</w:t>
      </w:r>
      <w:r>
        <w:t>、</w:t>
      </w:r>
      <w:r>
        <w:rPr>
          <w:rFonts w:hint="eastAsia"/>
        </w:rPr>
        <w:t>“</w:t>
      </w:r>
      <w:r>
        <w:t>扫描电子显微镜</w:t>
      </w:r>
      <w:r>
        <w:rPr>
          <w:rFonts w:hint="eastAsia"/>
        </w:rPr>
        <w:t>”</w:t>
      </w:r>
      <w:r>
        <w:t>、</w:t>
      </w:r>
      <w:r>
        <w:rPr>
          <w:rFonts w:hint="eastAsia"/>
        </w:rPr>
        <w:t>“</w:t>
      </w:r>
      <w:r>
        <w:t>X-射线衍射仪</w:t>
      </w:r>
      <w:r>
        <w:rPr>
          <w:rFonts w:hint="eastAsia"/>
        </w:rPr>
        <w:t>”</w:t>
      </w:r>
      <w:r>
        <w:t>、</w:t>
      </w:r>
      <w:r>
        <w:rPr>
          <w:rFonts w:hint="eastAsia"/>
        </w:rPr>
        <w:t>“</w:t>
      </w:r>
      <w:r>
        <w:t>光催化系统</w:t>
      </w:r>
      <w:r>
        <w:rPr>
          <w:rFonts w:hint="eastAsia"/>
        </w:rPr>
        <w:t>”</w:t>
      </w:r>
      <w:r>
        <w:t>、</w:t>
      </w:r>
      <w:r>
        <w:rPr>
          <w:rFonts w:hint="eastAsia"/>
        </w:rPr>
        <w:t>“</w:t>
      </w:r>
      <w:r>
        <w:t>无氧操作箱</w:t>
      </w:r>
      <w:r>
        <w:rPr>
          <w:rFonts w:hint="eastAsia"/>
        </w:rPr>
        <w:t>”</w:t>
      </w:r>
      <w:r>
        <w:t>、</w:t>
      </w:r>
      <w:r>
        <w:rPr>
          <w:rFonts w:hint="eastAsia"/>
        </w:rPr>
        <w:t>“</w:t>
      </w:r>
      <w:r>
        <w:t>红外光谱分析仪</w:t>
      </w:r>
      <w:r>
        <w:rPr>
          <w:rFonts w:hint="eastAsia"/>
        </w:rPr>
        <w:t>”</w:t>
      </w:r>
      <w:r>
        <w:t>、</w:t>
      </w:r>
      <w:r>
        <w:rPr>
          <w:rFonts w:hint="eastAsia"/>
        </w:rPr>
        <w:t>“</w:t>
      </w:r>
      <w:r>
        <w:t>湿度仪</w:t>
      </w:r>
      <w:r>
        <w:rPr>
          <w:rFonts w:hint="eastAsia"/>
        </w:rPr>
        <w:t>”</w:t>
      </w:r>
      <w:r>
        <w:t>、</w:t>
      </w:r>
      <w:r>
        <w:rPr>
          <w:rFonts w:hint="eastAsia"/>
        </w:rPr>
        <w:t>“</w:t>
      </w:r>
      <w:r>
        <w:t>专用服务器</w:t>
      </w:r>
      <w:r>
        <w:rPr>
          <w:rFonts w:hint="eastAsia"/>
        </w:rPr>
        <w:t>”</w:t>
      </w:r>
      <w:r>
        <w:t>、</w:t>
      </w:r>
      <w:r>
        <w:rPr>
          <w:rFonts w:hint="eastAsia"/>
        </w:rPr>
        <w:t>“</w:t>
      </w:r>
      <w:r>
        <w:t>接触角测定仪</w:t>
      </w:r>
      <w:r>
        <w:rPr>
          <w:rFonts w:hint="eastAsia"/>
        </w:rPr>
        <w:t>”</w:t>
      </w:r>
      <w:r>
        <w:t>、</w:t>
      </w:r>
      <w:r>
        <w:rPr>
          <w:rFonts w:hint="eastAsia"/>
        </w:rPr>
        <w:t>“</w:t>
      </w:r>
      <w:r>
        <w:t>高压灭菌锅</w:t>
      </w:r>
      <w:r>
        <w:rPr>
          <w:rFonts w:hint="eastAsia"/>
        </w:rPr>
        <w:t>”</w:t>
      </w:r>
      <w:r>
        <w:t>、</w:t>
      </w:r>
      <w:r>
        <w:rPr>
          <w:rFonts w:hint="eastAsia"/>
        </w:rPr>
        <w:t>“</w:t>
      </w:r>
      <w:r>
        <w:t>高温高压合成微型反应</w:t>
      </w:r>
      <w:r>
        <w:rPr>
          <w:rFonts w:hint="eastAsia"/>
        </w:rPr>
        <w:t>”</w:t>
      </w:r>
      <w:r>
        <w:t>、</w:t>
      </w:r>
      <w:r>
        <w:rPr>
          <w:rFonts w:hint="eastAsia"/>
        </w:rPr>
        <w:t>“</w:t>
      </w:r>
      <w:r>
        <w:t>立式冷藏柜</w:t>
      </w:r>
      <w:r>
        <w:rPr>
          <w:rFonts w:hint="eastAsia"/>
        </w:rPr>
        <w:t>”</w:t>
      </w:r>
      <w:r>
        <w:t>、</w:t>
      </w:r>
      <w:r>
        <w:rPr>
          <w:rFonts w:hint="eastAsia"/>
        </w:rPr>
        <w:t>“</w:t>
      </w:r>
      <w:r>
        <w:t>电阻检测仪</w:t>
      </w:r>
      <w:r>
        <w:rPr>
          <w:rFonts w:hint="eastAsia"/>
        </w:rPr>
        <w:t>”</w:t>
      </w:r>
      <w:r>
        <w:t>、</w:t>
      </w:r>
      <w:r>
        <w:rPr>
          <w:rFonts w:hint="eastAsia"/>
        </w:rPr>
        <w:t>“</w:t>
      </w:r>
      <w:r>
        <w:t>高温管式电阻炉</w:t>
      </w:r>
      <w:r>
        <w:rPr>
          <w:rFonts w:hint="eastAsia"/>
        </w:rPr>
        <w:t>”</w:t>
      </w:r>
      <w:r>
        <w:t>等仪器，为学生开展创新研究活动提供了有力保障。</w:t>
      </w:r>
    </w:p>
    <w:p>
      <w:pPr>
        <w:spacing w:line="390" w:lineRule="exact"/>
        <w:ind w:firstLine="480"/>
      </w:pPr>
      <w:r>
        <w:t>教师队伍建设：</w:t>
      </w:r>
    </w:p>
    <w:p>
      <w:pPr>
        <w:spacing w:line="390" w:lineRule="exact"/>
        <w:ind w:firstLine="480"/>
      </w:pPr>
      <w:r>
        <w:t>（1）引进教师情况</w:t>
      </w:r>
    </w:p>
    <w:p>
      <w:pPr>
        <w:spacing w:line="390" w:lineRule="exact"/>
        <w:ind w:firstLine="480"/>
      </w:pPr>
      <w:r>
        <w:t>本年度引进博士2名，主要从事材料化学和高分子材料专业。</w:t>
      </w:r>
    </w:p>
    <w:p>
      <w:pPr>
        <w:spacing w:line="390" w:lineRule="exact"/>
        <w:ind w:firstLine="480"/>
      </w:pPr>
      <w:r>
        <w:t>（2）师资队伍结构变化</w:t>
      </w:r>
    </w:p>
    <w:p>
      <w:pPr>
        <w:spacing w:line="390" w:lineRule="exact"/>
        <w:ind w:firstLine="480"/>
      </w:pPr>
      <w:r>
        <w:t>材料化学专业目前有专任教师16名，均为副教授及以上职称。15人具有博士学位，占93.75%。45岁以下教师14人，占87.5%，均为青年骨干教师。具有海外留学或访学经历8人，占50%。教师学历和年龄结构合理。</w:t>
      </w:r>
    </w:p>
    <w:p>
      <w:pPr>
        <w:spacing w:line="390" w:lineRule="exact"/>
        <w:ind w:firstLine="480"/>
      </w:pPr>
      <w:r>
        <w:t>（3）加强师资队伍建设的情况</w:t>
      </w:r>
    </w:p>
    <w:p>
      <w:pPr>
        <w:spacing w:line="390" w:lineRule="exact"/>
        <w:ind w:firstLine="480"/>
        <w:rPr>
          <w:color w:val="FF0000"/>
        </w:rPr>
      </w:pPr>
      <w:r>
        <w:rPr>
          <w:color w:val="000000"/>
        </w:rPr>
        <w:t>学院积极鼓励和支持本专业教师申请科研项目。本年度有1位教师获得国家自然科学基金青年基金项目资</w:t>
      </w:r>
      <w:r>
        <w:t>助，山东省自然科学基金4项。获山东省高等学校青年创新团队人才引育计划1项。</w:t>
      </w:r>
    </w:p>
    <w:p>
      <w:pPr>
        <w:spacing w:line="390" w:lineRule="exact"/>
        <w:ind w:firstLine="480"/>
      </w:pPr>
      <w:r>
        <w:t>通过观摩教学、青年教师讲课技能比赛、指导教师全程指导等方式，使广大教师特别是青年教师教学能力与教学水平得到进一步提升。</w:t>
      </w:r>
    </w:p>
    <w:p>
      <w:pPr>
        <w:spacing w:line="390" w:lineRule="exact"/>
        <w:ind w:firstLine="480"/>
      </w:pPr>
      <w:r>
        <w:t>实习基地建设：</w:t>
      </w:r>
    </w:p>
    <w:p>
      <w:pPr>
        <w:spacing w:line="390" w:lineRule="exact"/>
        <w:ind w:firstLine="480"/>
      </w:pPr>
      <w:r>
        <w:t>本专业现有固定实习基地17个，分别为山东鲁燕色母粒有限公司、山东春潮色母粒有限公司、山东瑞星化学工业集团总公司、济宁中山公用水务有限公司、莱芜金彩阳生物科技有限公司、山东一滕新材料有限公司、山东优普生物工程有限公司、山东欧凯制管有限公司、龙口海恒新型环保燃料科技有限公司、肥城康王酒业有限公司、山东诺正检测有限公司、山东大唐宅配家居有限公司、山东九鑫集团和泰安渤洋化工科技有限公司等。</w:t>
      </w:r>
    </w:p>
    <w:p>
      <w:pPr>
        <w:spacing w:line="390" w:lineRule="exact"/>
        <w:ind w:firstLine="480"/>
      </w:pPr>
      <w:r>
        <w:t>信息化建设：</w:t>
      </w:r>
    </w:p>
    <w:p>
      <w:pPr>
        <w:spacing w:line="390" w:lineRule="exact"/>
        <w:ind w:firstLine="480"/>
      </w:pPr>
      <w:r>
        <w:t>为了提升理论课程教学水平与教学质量，广大专业课程教师主动学习新技术、新手段，不但充实了课堂教学内容，同时还做到了课堂教学的生动活泼、实用有效，积极推进专业课慕课建设，为学生进行自主学习提供了多种平台。</w:t>
      </w:r>
    </w:p>
    <w:p>
      <w:pPr>
        <w:pStyle w:val="5"/>
        <w:spacing w:before="93" w:after="93" w:line="390" w:lineRule="exact"/>
        <w:ind w:firstLine="560"/>
      </w:pPr>
      <w:r>
        <w:t>四、培养机制与特色（产学研协同育人机制、合作办学、教学管理等）</w:t>
      </w:r>
    </w:p>
    <w:p>
      <w:pPr>
        <w:spacing w:line="390" w:lineRule="exact"/>
        <w:ind w:firstLine="480"/>
      </w:pPr>
      <w:r>
        <w:t>产学研协同育人机制：</w:t>
      </w:r>
    </w:p>
    <w:p>
      <w:pPr>
        <w:spacing w:line="390" w:lineRule="exact"/>
        <w:ind w:firstLine="480"/>
      </w:pPr>
      <w:r>
        <w:t>（1）以区域产业发展需求为导向，优化特色人才培养体系</w:t>
      </w:r>
    </w:p>
    <w:p>
      <w:pPr>
        <w:spacing w:line="390" w:lineRule="exact"/>
        <w:ind w:firstLine="480"/>
      </w:pPr>
      <w:r>
        <w:t>围绕新材料和现代高效农业等方面优化完善育人体系，将生物质基材料、绿色合成与农用绿色材料等战略性产业需求融合到课程教育、素质教育和实践教学体系中。依据企业和产业发展对不同层次人才的需求特点，改革和落实专业分类培养，逐步打造专业型、复合型、创新型和拔尖型的</w:t>
      </w:r>
      <w:r>
        <w:rPr>
          <w:rFonts w:hint="eastAsia"/>
        </w:rPr>
        <w:t>“</w:t>
      </w:r>
      <w:r>
        <w:t>四型</w:t>
      </w:r>
      <w:r>
        <w:rPr>
          <w:rFonts w:hint="eastAsia"/>
        </w:rPr>
        <w:t>”</w:t>
      </w:r>
      <w:r>
        <w:t>人才。结合材料化学专业以高分子农用材料和纳米功能材料为主的专业特色，与一腾新材料有限公司、山东春潮色母料集团有限公司等我校教学实践基地继续深化合作。校企拟共建新材料现代产业学院，企业研发和校院科研平台共享，企业需求和教师科研方向融合，校企共同完成各级重点实验室和课题申报，产教融合打造优质行业资源。打造区域经济和产业需求特色专业，共同完成材料化学山东省一流本科专业建设任务。</w:t>
      </w:r>
    </w:p>
    <w:p>
      <w:pPr>
        <w:spacing w:line="390" w:lineRule="exact"/>
        <w:ind w:firstLine="480"/>
      </w:pPr>
      <w:r>
        <w:t>（2）深化校企教学资源建设，优化课程体系建设</w:t>
      </w:r>
    </w:p>
    <w:p>
      <w:pPr>
        <w:spacing w:line="390" w:lineRule="exact"/>
        <w:ind w:firstLine="480"/>
      </w:pPr>
      <w:r>
        <w:t>整合学校和企业的教学资源，注重企业生产中的技术难题和解决方法，建立与先进材料工程技术密切相关的典型案例，着力打造材料化学工程案例教学，将专业知识与生产实际有机结合的典型案例转化为立体化教材。以</w:t>
      </w:r>
      <w:r>
        <w:rPr>
          <w:rFonts w:hint="eastAsia"/>
        </w:rPr>
        <w:t>“</w:t>
      </w:r>
      <w:r>
        <w:t>创新型</w:t>
      </w:r>
      <w:r>
        <w:rPr>
          <w:rFonts w:hint="eastAsia"/>
        </w:rPr>
        <w:t>”</w:t>
      </w:r>
      <w:r>
        <w:t>的教学理念指导理论与实验教学，向学习、研究与创新相结合的</w:t>
      </w:r>
      <w:r>
        <w:rPr>
          <w:rFonts w:hint="eastAsia"/>
        </w:rPr>
        <w:t>“</w:t>
      </w:r>
      <w:r>
        <w:t>创新型</w:t>
      </w:r>
      <w:r>
        <w:rPr>
          <w:rFonts w:hint="eastAsia"/>
        </w:rPr>
        <w:t>”</w:t>
      </w:r>
      <w:r>
        <w:t>教学模式转化，实现专业建设中教改能力的提升。以企业的生产链、技术链与服务链作为专业建设的教学资源、科研资源和服务对象，开展专业建设、人才培养、科学研究与社会服务合作，促进教育链、人才链与产业链、创新链的有机衔接。</w:t>
      </w:r>
    </w:p>
    <w:p>
      <w:pPr>
        <w:spacing w:line="390" w:lineRule="exact"/>
        <w:ind w:firstLine="480"/>
      </w:pPr>
      <w:r>
        <w:t>（3）加强产教融合，推进实践能力培养</w:t>
      </w:r>
    </w:p>
    <w:p>
      <w:pPr>
        <w:spacing w:line="390" w:lineRule="exact"/>
        <w:ind w:firstLine="480"/>
      </w:pPr>
      <w:r>
        <w:t>融合校院两级科研平台和企业实践实训平台，构建多层次实践教学体系，打造科教结合、产教融合协同育人机制。同时将</w:t>
      </w:r>
      <w:r>
        <w:rPr>
          <w:rFonts w:hint="eastAsia"/>
        </w:rPr>
        <w:t>“</w:t>
      </w:r>
      <w:r>
        <w:t>双创</w:t>
      </w:r>
      <w:r>
        <w:rPr>
          <w:rFonts w:hint="eastAsia"/>
        </w:rPr>
        <w:t>”</w:t>
      </w:r>
      <w:r>
        <w:t>教育与企业需求融合，分层次、多层级强化创新创业教育，促进学生创新创业能力。企业导师进校园对材料化学专业学生进行实践教学，担任学生的学业导师，同时企业承担在校生的实践和实训任务，旨在培养具有创新精神和实践能力的高素质应用型专业人才。通过校企在生物质转化、果品保鲜绿色调控、环保农膜等方面的合作，促进区域农业的发展和相关产业的转型升级，服务好黄河流域，进一步提升专任教师的科学研究水平和服务社会能力，促进双师型教师比例的提升，并打造高水平科研团队。</w:t>
      </w:r>
    </w:p>
    <w:p>
      <w:pPr>
        <w:spacing w:line="390" w:lineRule="exact"/>
        <w:ind w:firstLine="480"/>
      </w:pPr>
      <w:r>
        <w:t>教学管理：</w:t>
      </w:r>
    </w:p>
    <w:p>
      <w:pPr>
        <w:spacing w:line="390" w:lineRule="exact"/>
        <w:ind w:firstLine="480"/>
      </w:pPr>
      <w:r>
        <w:t>成立了以主管教学院长为组长，专业主任、实验中心主任、系主任、院教务秘书参加的专业教学领导小组，宏观指导专业课程教学工作，定期对教学运行情况、教学过程中存在的问题、如何改进课程教学等问题听取专业课程教师、专业学生的意见与建议，对影响教学运行与教学质量的因素进行及时收集与整理，做到防患于未然。同时充分发挥学生会、团委及班干部的作用，鼓励学生成立各种课外学习小组，安排专业课程教师定期解决学生在学习过程中遇到的问题。</w:t>
      </w:r>
    </w:p>
    <w:p>
      <w:pPr>
        <w:ind w:firstLine="480"/>
      </w:pPr>
      <w:r>
        <w:t>课程教学质量的评价、课程考核方式方法的确定、各类考试的组织、成绩评定、评选评优等工作，院教学指导小组都参与其中，做到公平、公正、合情合理。</w:t>
      </w:r>
    </w:p>
    <w:p>
      <w:pPr>
        <w:pStyle w:val="5"/>
        <w:spacing w:before="93" w:after="93"/>
        <w:ind w:firstLine="560"/>
      </w:pPr>
      <w:r>
        <w:t>五、培养质量（毕业生就业率、就业专业对口率、毕业生发展情况、就业单位满意率、社会对专业的评价、学生就读该专业的意愿等）</w:t>
      </w:r>
    </w:p>
    <w:p>
      <w:pPr>
        <w:ind w:firstLine="480"/>
      </w:pPr>
      <w:r>
        <w:t>1.毕业生生源结构</w:t>
      </w:r>
    </w:p>
    <w:p>
      <w:pPr>
        <w:ind w:firstLine="480"/>
      </w:pPr>
      <w:r>
        <w:t>本专业2022届毕业生共计85人，其中男生45人，占比52.94%，女生40人，占比47.05%；省内生源75人，占比88.24%，省外生源10人，占比11.76%，省外生源主要集中在河南省、河北省、山西省等。从民族结构看，2022届毕业生以汉族为主，共84人，占比98.82%；少数民族共1人，占比1.18%。</w:t>
      </w:r>
    </w:p>
    <w:p>
      <w:pPr>
        <w:spacing w:before="156" w:beforeLines="50" w:line="240" w:lineRule="auto"/>
        <w:jc w:val="center"/>
        <w:rPr>
          <w:b/>
          <w:bCs/>
          <w:sz w:val="21"/>
          <w:szCs w:val="21"/>
        </w:rPr>
      </w:pPr>
      <w:r>
        <w:rPr>
          <w:b/>
          <w:bCs/>
          <w:sz w:val="21"/>
          <w:szCs w:val="21"/>
        </w:rPr>
        <w:t>表1.毕业生生源结构统计表</w:t>
      </w:r>
    </w:p>
    <w:tbl>
      <w:tblPr>
        <w:tblStyle w:val="17"/>
        <w:tblW w:w="8716" w:type="dxa"/>
        <w:jc w:val="center"/>
        <w:tblLayout w:type="autofit"/>
        <w:tblCellMar>
          <w:top w:w="0" w:type="dxa"/>
          <w:left w:w="0" w:type="dxa"/>
          <w:bottom w:w="0" w:type="dxa"/>
          <w:right w:w="0" w:type="dxa"/>
        </w:tblCellMar>
      </w:tblPr>
      <w:tblGrid>
        <w:gridCol w:w="1274"/>
        <w:gridCol w:w="968"/>
        <w:gridCol w:w="1291"/>
        <w:gridCol w:w="1343"/>
        <w:gridCol w:w="1325"/>
        <w:gridCol w:w="1291"/>
        <w:gridCol w:w="1224"/>
      </w:tblGrid>
      <w:tr>
        <w:tblPrEx>
          <w:tblCellMar>
            <w:top w:w="0" w:type="dxa"/>
            <w:left w:w="0" w:type="dxa"/>
            <w:bottom w:w="0" w:type="dxa"/>
            <w:right w:w="0" w:type="dxa"/>
          </w:tblCellMar>
        </w:tblPrEx>
        <w:trPr>
          <w:trHeight w:val="644" w:hRule="atLeast"/>
          <w:jc w:val="center"/>
        </w:trPr>
        <w:tc>
          <w:tcPr>
            <w:tcW w:w="127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b/>
                <w:bCs/>
                <w:sz w:val="21"/>
                <w:szCs w:val="21"/>
              </w:rPr>
            </w:pPr>
            <w:r>
              <w:rPr>
                <w:b/>
                <w:bCs/>
                <w:sz w:val="21"/>
                <w:szCs w:val="21"/>
              </w:rPr>
              <w:t>专业名称</w:t>
            </w:r>
          </w:p>
        </w:tc>
        <w:tc>
          <w:tcPr>
            <w:tcW w:w="9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b/>
                <w:bCs/>
                <w:sz w:val="21"/>
                <w:szCs w:val="21"/>
              </w:rPr>
            </w:pPr>
            <w:r>
              <w:rPr>
                <w:b/>
                <w:bCs/>
                <w:sz w:val="21"/>
                <w:szCs w:val="21"/>
              </w:rPr>
              <w:t>生源</w:t>
            </w:r>
          </w:p>
          <w:p>
            <w:pPr>
              <w:spacing w:line="240" w:lineRule="auto"/>
              <w:jc w:val="center"/>
              <w:rPr>
                <w:b/>
                <w:bCs/>
                <w:sz w:val="21"/>
                <w:szCs w:val="21"/>
              </w:rPr>
            </w:pPr>
            <w:r>
              <w:rPr>
                <w:b/>
                <w:bCs/>
                <w:sz w:val="21"/>
                <w:szCs w:val="21"/>
              </w:rPr>
              <w:t>人数</w:t>
            </w:r>
          </w:p>
        </w:tc>
        <w:tc>
          <w:tcPr>
            <w:tcW w:w="129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spacing w:line="240" w:lineRule="auto"/>
              <w:jc w:val="center"/>
              <w:rPr>
                <w:b/>
                <w:bCs/>
                <w:sz w:val="21"/>
                <w:szCs w:val="21"/>
              </w:rPr>
            </w:pPr>
            <w:r>
              <w:rPr>
                <w:b/>
                <w:bCs/>
                <w:sz w:val="21"/>
                <w:szCs w:val="21"/>
              </w:rPr>
              <w:t>男生数量</w:t>
            </w:r>
          </w:p>
          <w:p>
            <w:pPr>
              <w:spacing w:line="240" w:lineRule="auto"/>
              <w:jc w:val="center"/>
              <w:rPr>
                <w:b/>
                <w:bCs/>
                <w:sz w:val="21"/>
                <w:szCs w:val="21"/>
              </w:rPr>
            </w:pPr>
            <w:r>
              <w:rPr>
                <w:b/>
                <w:bCs/>
                <w:sz w:val="21"/>
                <w:szCs w:val="21"/>
              </w:rPr>
              <w:t>（比例）</w:t>
            </w:r>
          </w:p>
        </w:tc>
        <w:tc>
          <w:tcPr>
            <w:tcW w:w="134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spacing w:line="240" w:lineRule="auto"/>
              <w:jc w:val="center"/>
              <w:rPr>
                <w:b/>
                <w:bCs/>
                <w:sz w:val="21"/>
                <w:szCs w:val="21"/>
              </w:rPr>
            </w:pPr>
            <w:r>
              <w:rPr>
                <w:b/>
                <w:bCs/>
                <w:sz w:val="21"/>
                <w:szCs w:val="21"/>
              </w:rPr>
              <w:t>女生数量</w:t>
            </w:r>
          </w:p>
          <w:p>
            <w:pPr>
              <w:spacing w:line="240" w:lineRule="auto"/>
              <w:jc w:val="center"/>
              <w:rPr>
                <w:b/>
                <w:bCs/>
                <w:sz w:val="21"/>
                <w:szCs w:val="21"/>
              </w:rPr>
            </w:pPr>
            <w:r>
              <w:rPr>
                <w:b/>
                <w:bCs/>
                <w:sz w:val="21"/>
                <w:szCs w:val="21"/>
              </w:rPr>
              <w:t>（比例）</w:t>
            </w:r>
          </w:p>
        </w:tc>
        <w:tc>
          <w:tcPr>
            <w:tcW w:w="132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spacing w:line="240" w:lineRule="auto"/>
              <w:jc w:val="center"/>
              <w:rPr>
                <w:b/>
                <w:bCs/>
                <w:sz w:val="21"/>
                <w:szCs w:val="21"/>
              </w:rPr>
            </w:pPr>
            <w:r>
              <w:rPr>
                <w:b/>
                <w:bCs/>
                <w:sz w:val="21"/>
                <w:szCs w:val="21"/>
              </w:rPr>
              <w:t>省内人数</w:t>
            </w:r>
          </w:p>
          <w:p>
            <w:pPr>
              <w:spacing w:line="240" w:lineRule="auto"/>
              <w:jc w:val="center"/>
              <w:rPr>
                <w:b/>
                <w:bCs/>
                <w:sz w:val="21"/>
                <w:szCs w:val="21"/>
              </w:rPr>
            </w:pPr>
            <w:r>
              <w:rPr>
                <w:b/>
                <w:bCs/>
                <w:sz w:val="21"/>
                <w:szCs w:val="21"/>
              </w:rPr>
              <w:t>（比例）</w:t>
            </w:r>
          </w:p>
        </w:tc>
        <w:tc>
          <w:tcPr>
            <w:tcW w:w="129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spacing w:line="240" w:lineRule="auto"/>
              <w:jc w:val="center"/>
              <w:rPr>
                <w:b/>
                <w:bCs/>
                <w:sz w:val="21"/>
                <w:szCs w:val="21"/>
              </w:rPr>
            </w:pPr>
            <w:r>
              <w:rPr>
                <w:b/>
                <w:bCs/>
                <w:sz w:val="21"/>
                <w:szCs w:val="21"/>
              </w:rPr>
              <w:t>省外人数</w:t>
            </w:r>
          </w:p>
          <w:p>
            <w:pPr>
              <w:spacing w:line="240" w:lineRule="auto"/>
              <w:jc w:val="center"/>
              <w:rPr>
                <w:b/>
                <w:bCs/>
                <w:sz w:val="21"/>
                <w:szCs w:val="21"/>
              </w:rPr>
            </w:pPr>
            <w:r>
              <w:rPr>
                <w:b/>
                <w:bCs/>
                <w:sz w:val="21"/>
                <w:szCs w:val="21"/>
              </w:rPr>
              <w:t>（比例）</w:t>
            </w:r>
          </w:p>
        </w:tc>
        <w:tc>
          <w:tcPr>
            <w:tcW w:w="122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spacing w:line="240" w:lineRule="auto"/>
              <w:jc w:val="center"/>
              <w:rPr>
                <w:b/>
                <w:bCs/>
                <w:sz w:val="21"/>
                <w:szCs w:val="21"/>
              </w:rPr>
            </w:pPr>
            <w:r>
              <w:rPr>
                <w:b/>
                <w:bCs/>
                <w:sz w:val="21"/>
                <w:szCs w:val="21"/>
              </w:rPr>
              <w:t>汉族人数</w:t>
            </w:r>
          </w:p>
          <w:p>
            <w:pPr>
              <w:spacing w:line="240" w:lineRule="auto"/>
              <w:jc w:val="center"/>
              <w:rPr>
                <w:b/>
                <w:bCs/>
                <w:sz w:val="21"/>
                <w:szCs w:val="21"/>
              </w:rPr>
            </w:pPr>
            <w:r>
              <w:rPr>
                <w:b/>
                <w:bCs/>
                <w:sz w:val="21"/>
                <w:szCs w:val="21"/>
              </w:rPr>
              <w:t>（比例）</w:t>
            </w:r>
          </w:p>
        </w:tc>
      </w:tr>
      <w:tr>
        <w:tblPrEx>
          <w:tblCellMar>
            <w:top w:w="0" w:type="dxa"/>
            <w:left w:w="0" w:type="dxa"/>
            <w:bottom w:w="0" w:type="dxa"/>
            <w:right w:w="0" w:type="dxa"/>
          </w:tblCellMar>
        </w:tblPrEx>
        <w:trPr>
          <w:trHeight w:val="65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材料化学</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85人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45人</w:t>
            </w:r>
          </w:p>
          <w:p>
            <w:pPr>
              <w:spacing w:line="240" w:lineRule="auto"/>
              <w:jc w:val="center"/>
              <w:rPr>
                <w:sz w:val="21"/>
                <w:szCs w:val="21"/>
              </w:rPr>
            </w:pPr>
            <w:r>
              <w:rPr>
                <w:sz w:val="21"/>
                <w:szCs w:val="21"/>
              </w:rPr>
              <w:t>（52.94%）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40人</w:t>
            </w:r>
          </w:p>
          <w:p>
            <w:pPr>
              <w:spacing w:line="240" w:lineRule="auto"/>
              <w:jc w:val="center"/>
              <w:rPr>
                <w:sz w:val="21"/>
                <w:szCs w:val="21"/>
              </w:rPr>
            </w:pPr>
            <w:r>
              <w:rPr>
                <w:sz w:val="21"/>
                <w:szCs w:val="21"/>
              </w:rPr>
              <w:t>（47.05%）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75人</w:t>
            </w:r>
          </w:p>
          <w:p>
            <w:pPr>
              <w:spacing w:line="240" w:lineRule="auto"/>
              <w:jc w:val="center"/>
              <w:rPr>
                <w:sz w:val="21"/>
                <w:szCs w:val="21"/>
              </w:rPr>
            </w:pPr>
            <w:r>
              <w:rPr>
                <w:sz w:val="21"/>
                <w:szCs w:val="21"/>
              </w:rPr>
              <w:t>（88.24%）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10人</w:t>
            </w:r>
          </w:p>
          <w:p>
            <w:pPr>
              <w:spacing w:line="240" w:lineRule="auto"/>
              <w:jc w:val="center"/>
              <w:rPr>
                <w:sz w:val="21"/>
                <w:szCs w:val="21"/>
              </w:rPr>
            </w:pPr>
            <w:r>
              <w:rPr>
                <w:sz w:val="21"/>
                <w:szCs w:val="21"/>
              </w:rPr>
              <w:t>（11.76%）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98.82%</w:t>
            </w:r>
          </w:p>
        </w:tc>
      </w:tr>
    </w:tbl>
    <w:p>
      <w:pPr>
        <w:ind w:firstLine="482"/>
      </w:pPr>
      <w:r>
        <w:t>2.毕业生就业情况</w:t>
      </w:r>
    </w:p>
    <w:p>
      <w:pPr>
        <w:ind w:firstLine="482"/>
      </w:pPr>
      <w:r>
        <w:t>（1）就业概况</w:t>
      </w:r>
    </w:p>
    <w:p>
      <w:pPr>
        <w:ind w:firstLine="482"/>
      </w:pPr>
      <w:r>
        <w:t>截止2022年8月31日，毕业生就业79人，毕业去向落实率为92.94%，其中男生就业43人，毕业去向落实率为54.43%，女生就业36人，毕业去向落实率为45.57%。毕业生留鲁就业的45人，占已就业总人数的56.96%，其中到泰安城市就业人数最多，占18.99%。出省就业共34人，占43.04%，主要流向北京省、安徽省、江苏省等省份。</w:t>
      </w:r>
    </w:p>
    <w:p>
      <w:pPr>
        <w:spacing w:before="156" w:beforeLines="50" w:line="240" w:lineRule="auto"/>
        <w:jc w:val="center"/>
        <w:rPr>
          <w:b/>
          <w:bCs/>
          <w:sz w:val="21"/>
          <w:szCs w:val="21"/>
        </w:rPr>
      </w:pPr>
      <w:r>
        <w:rPr>
          <w:b/>
          <w:bCs/>
          <w:sz w:val="21"/>
          <w:szCs w:val="21"/>
        </w:rPr>
        <w:t>表2.毕业生整体就业情况统计表</w:t>
      </w:r>
    </w:p>
    <w:tbl>
      <w:tblPr>
        <w:tblStyle w:val="17"/>
        <w:tblW w:w="8700" w:type="dxa"/>
        <w:jc w:val="center"/>
        <w:tblLayout w:type="fixed"/>
        <w:tblCellMar>
          <w:top w:w="0" w:type="dxa"/>
          <w:left w:w="0" w:type="dxa"/>
          <w:bottom w:w="0" w:type="dxa"/>
          <w:right w:w="0" w:type="dxa"/>
        </w:tblCellMar>
      </w:tblPr>
      <w:tblGrid>
        <w:gridCol w:w="1125"/>
        <w:gridCol w:w="923"/>
        <w:gridCol w:w="924"/>
        <w:gridCol w:w="1276"/>
        <w:gridCol w:w="1242"/>
        <w:gridCol w:w="1665"/>
        <w:gridCol w:w="1545"/>
      </w:tblGrid>
      <w:tr>
        <w:tblPrEx>
          <w:tblCellMar>
            <w:top w:w="0" w:type="dxa"/>
            <w:left w:w="0" w:type="dxa"/>
            <w:bottom w:w="0" w:type="dxa"/>
            <w:right w:w="0" w:type="dxa"/>
          </w:tblCellMar>
        </w:tblPrEx>
        <w:trPr>
          <w:trHeight w:val="600" w:hRule="atLeast"/>
          <w:jc w:val="center"/>
        </w:trPr>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b/>
                <w:bCs/>
                <w:sz w:val="21"/>
                <w:szCs w:val="21"/>
              </w:rPr>
            </w:pPr>
            <w:r>
              <w:rPr>
                <w:b/>
                <w:bCs/>
                <w:sz w:val="21"/>
                <w:szCs w:val="21"/>
              </w:rPr>
              <w:t>专业名称</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b/>
                <w:bCs/>
                <w:sz w:val="21"/>
                <w:szCs w:val="21"/>
              </w:rPr>
            </w:pPr>
            <w:r>
              <w:rPr>
                <w:b/>
                <w:bCs/>
                <w:sz w:val="21"/>
                <w:szCs w:val="21"/>
              </w:rPr>
              <w:t>就业人数</w:t>
            </w:r>
          </w:p>
        </w:tc>
        <w:tc>
          <w:tcPr>
            <w:tcW w:w="9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b/>
                <w:bCs/>
                <w:sz w:val="21"/>
                <w:szCs w:val="21"/>
              </w:rPr>
            </w:pPr>
            <w:r>
              <w:rPr>
                <w:b/>
                <w:bCs/>
                <w:sz w:val="21"/>
                <w:szCs w:val="21"/>
              </w:rPr>
              <w:t>毕业去向落实率</w:t>
            </w:r>
          </w:p>
        </w:tc>
        <w:tc>
          <w:tcPr>
            <w:tcW w:w="12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spacing w:line="240" w:lineRule="auto"/>
              <w:jc w:val="center"/>
              <w:rPr>
                <w:b/>
                <w:bCs/>
                <w:sz w:val="21"/>
                <w:szCs w:val="21"/>
              </w:rPr>
            </w:pPr>
            <w:r>
              <w:rPr>
                <w:b/>
                <w:bCs/>
                <w:sz w:val="21"/>
                <w:szCs w:val="21"/>
              </w:rPr>
              <w:t>男生毕业去向落实率</w:t>
            </w:r>
          </w:p>
        </w:tc>
        <w:tc>
          <w:tcPr>
            <w:tcW w:w="12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spacing w:line="240" w:lineRule="auto"/>
              <w:jc w:val="center"/>
              <w:rPr>
                <w:b/>
                <w:bCs/>
                <w:sz w:val="21"/>
                <w:szCs w:val="21"/>
              </w:rPr>
            </w:pPr>
            <w:r>
              <w:rPr>
                <w:b/>
                <w:bCs/>
                <w:sz w:val="21"/>
                <w:szCs w:val="21"/>
              </w:rPr>
              <w:t>女生毕业去向落实率</w:t>
            </w:r>
          </w:p>
        </w:tc>
        <w:tc>
          <w:tcPr>
            <w:tcW w:w="16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spacing w:line="240" w:lineRule="auto"/>
              <w:jc w:val="center"/>
              <w:rPr>
                <w:b/>
                <w:bCs/>
                <w:sz w:val="21"/>
                <w:szCs w:val="21"/>
              </w:rPr>
            </w:pPr>
            <w:r>
              <w:rPr>
                <w:b/>
                <w:bCs/>
                <w:sz w:val="21"/>
                <w:szCs w:val="21"/>
              </w:rPr>
              <w:t>留鲁就业人数</w:t>
            </w:r>
          </w:p>
          <w:p>
            <w:pPr>
              <w:spacing w:line="240" w:lineRule="auto"/>
              <w:jc w:val="center"/>
              <w:rPr>
                <w:b/>
                <w:bCs/>
                <w:sz w:val="21"/>
                <w:szCs w:val="21"/>
              </w:rPr>
            </w:pPr>
            <w:r>
              <w:rPr>
                <w:b/>
                <w:bCs/>
                <w:sz w:val="21"/>
                <w:szCs w:val="21"/>
              </w:rPr>
              <w:t>（比例）</w:t>
            </w:r>
          </w:p>
        </w:tc>
        <w:tc>
          <w:tcPr>
            <w:tcW w:w="15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spacing w:line="240" w:lineRule="auto"/>
              <w:jc w:val="center"/>
              <w:rPr>
                <w:b/>
                <w:bCs/>
                <w:sz w:val="21"/>
                <w:szCs w:val="21"/>
              </w:rPr>
            </w:pPr>
            <w:r>
              <w:rPr>
                <w:b/>
                <w:bCs/>
                <w:sz w:val="21"/>
                <w:szCs w:val="21"/>
              </w:rPr>
              <w:t>省外就业人数</w:t>
            </w:r>
          </w:p>
          <w:p>
            <w:pPr>
              <w:spacing w:line="240" w:lineRule="auto"/>
              <w:jc w:val="center"/>
              <w:rPr>
                <w:b/>
                <w:bCs/>
                <w:sz w:val="21"/>
                <w:szCs w:val="21"/>
              </w:rPr>
            </w:pPr>
            <w:r>
              <w:rPr>
                <w:b/>
                <w:bCs/>
                <w:sz w:val="21"/>
                <w:szCs w:val="21"/>
              </w:rPr>
              <w:t>（比例）</w:t>
            </w:r>
          </w:p>
        </w:tc>
      </w:tr>
      <w:tr>
        <w:tblPrEx>
          <w:tblCellMar>
            <w:top w:w="0" w:type="dxa"/>
            <w:left w:w="0" w:type="dxa"/>
            <w:bottom w:w="0" w:type="dxa"/>
            <w:right w:w="0" w:type="dxa"/>
          </w:tblCellMar>
        </w:tblPrEx>
        <w:trPr>
          <w:trHeight w:val="465" w:hRule="atLeast"/>
          <w:jc w:val="center"/>
        </w:trPr>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材料化学</w:t>
            </w:r>
          </w:p>
        </w:tc>
        <w:tc>
          <w:tcPr>
            <w:tcW w:w="9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79人</w:t>
            </w:r>
          </w:p>
        </w:tc>
        <w:tc>
          <w:tcPr>
            <w:tcW w:w="92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92.94%</w:t>
            </w:r>
          </w:p>
        </w:tc>
        <w:tc>
          <w:tcPr>
            <w:tcW w:w="12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43人</w:t>
            </w:r>
          </w:p>
          <w:p>
            <w:pPr>
              <w:spacing w:line="240" w:lineRule="auto"/>
              <w:jc w:val="center"/>
              <w:rPr>
                <w:sz w:val="21"/>
                <w:szCs w:val="21"/>
              </w:rPr>
            </w:pPr>
            <w:r>
              <w:rPr>
                <w:sz w:val="21"/>
                <w:szCs w:val="21"/>
              </w:rPr>
              <w:t>（54.43%）</w:t>
            </w:r>
          </w:p>
        </w:tc>
        <w:tc>
          <w:tcPr>
            <w:tcW w:w="124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36人</w:t>
            </w:r>
          </w:p>
          <w:p>
            <w:pPr>
              <w:spacing w:line="240" w:lineRule="auto"/>
              <w:jc w:val="center"/>
              <w:rPr>
                <w:sz w:val="21"/>
                <w:szCs w:val="21"/>
              </w:rPr>
            </w:pPr>
            <w:r>
              <w:rPr>
                <w:sz w:val="21"/>
                <w:szCs w:val="21"/>
              </w:rPr>
              <w:t>（45.57%）</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45人</w:t>
            </w:r>
          </w:p>
          <w:p>
            <w:pPr>
              <w:spacing w:line="240" w:lineRule="auto"/>
              <w:jc w:val="center"/>
              <w:rPr>
                <w:sz w:val="21"/>
                <w:szCs w:val="21"/>
              </w:rPr>
            </w:pPr>
            <w:r>
              <w:rPr>
                <w:sz w:val="21"/>
                <w:szCs w:val="21"/>
              </w:rPr>
              <w:t>（56.96%）</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34人</w:t>
            </w:r>
          </w:p>
          <w:p>
            <w:pPr>
              <w:spacing w:line="240" w:lineRule="auto"/>
              <w:jc w:val="center"/>
              <w:rPr>
                <w:sz w:val="21"/>
                <w:szCs w:val="21"/>
              </w:rPr>
            </w:pPr>
            <w:r>
              <w:rPr>
                <w:sz w:val="21"/>
                <w:szCs w:val="21"/>
              </w:rPr>
              <w:t>（43.04%）</w:t>
            </w:r>
          </w:p>
        </w:tc>
      </w:tr>
    </w:tbl>
    <w:p>
      <w:pPr>
        <w:spacing w:line="360" w:lineRule="auto"/>
        <w:jc w:val="center"/>
        <w:rPr>
          <w:b/>
          <w:bCs/>
          <w:sz w:val="21"/>
          <w:szCs w:val="21"/>
        </w:rPr>
      </w:pPr>
      <w:r>
        <w:rPr>
          <w:rFonts w:eastAsia="楷体"/>
          <w:b/>
          <w:bCs/>
          <w:sz w:val="21"/>
          <w:szCs w:val="21"/>
        </w:rPr>
        <w:drawing>
          <wp:inline distT="0" distB="0" distL="0" distR="0">
            <wp:extent cx="4572000" cy="2404110"/>
            <wp:effectExtent l="4445" t="4445" r="14605" b="10795"/>
            <wp:docPr id="165" name="图表 1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pPr>
        <w:spacing w:line="360" w:lineRule="auto"/>
        <w:jc w:val="center"/>
        <w:rPr>
          <w:b/>
          <w:bCs/>
          <w:sz w:val="21"/>
          <w:szCs w:val="21"/>
        </w:rPr>
      </w:pPr>
      <w:r>
        <w:rPr>
          <w:b/>
          <w:bCs/>
          <w:sz w:val="21"/>
          <w:szCs w:val="21"/>
        </w:rPr>
        <w:t>图1.毕业生就业地区流向图</w:t>
      </w:r>
    </w:p>
    <w:p>
      <w:pPr>
        <w:ind w:firstLine="482"/>
      </w:pPr>
      <w:r>
        <w:t>（2）就业方式</w:t>
      </w:r>
    </w:p>
    <w:p>
      <w:pPr>
        <w:ind w:firstLine="482"/>
      </w:pPr>
      <w:r>
        <w:t>毕业生就业方式主要包括升学、协议就业、劳动合同就业等多种方式就业，其中升学方式就业人数最多。毕业生总体就业方式如下表所示。</w:t>
      </w:r>
    </w:p>
    <w:p>
      <w:pPr>
        <w:spacing w:before="156" w:beforeLines="50" w:line="240" w:lineRule="auto"/>
        <w:jc w:val="center"/>
        <w:rPr>
          <w:b/>
          <w:bCs/>
          <w:sz w:val="21"/>
          <w:szCs w:val="21"/>
        </w:rPr>
      </w:pPr>
      <w:r>
        <w:rPr>
          <w:b/>
          <w:bCs/>
          <w:sz w:val="21"/>
          <w:szCs w:val="21"/>
        </w:rPr>
        <w:t>表3.毕业生就业方式统计表</w:t>
      </w:r>
    </w:p>
    <w:tbl>
      <w:tblPr>
        <w:tblStyle w:val="17"/>
        <w:tblW w:w="9056" w:type="dxa"/>
        <w:tblInd w:w="0" w:type="dxa"/>
        <w:tblLayout w:type="fixed"/>
        <w:tblCellMar>
          <w:top w:w="0" w:type="dxa"/>
          <w:left w:w="0" w:type="dxa"/>
          <w:bottom w:w="0" w:type="dxa"/>
          <w:right w:w="0" w:type="dxa"/>
        </w:tblCellMar>
      </w:tblPr>
      <w:tblGrid>
        <w:gridCol w:w="984"/>
        <w:gridCol w:w="1279"/>
        <w:gridCol w:w="938"/>
        <w:gridCol w:w="1260"/>
        <w:gridCol w:w="1130"/>
        <w:gridCol w:w="1080"/>
        <w:gridCol w:w="1262"/>
        <w:gridCol w:w="1123"/>
      </w:tblGrid>
      <w:tr>
        <w:tblPrEx>
          <w:tblCellMar>
            <w:top w:w="0" w:type="dxa"/>
            <w:left w:w="0" w:type="dxa"/>
            <w:bottom w:w="0" w:type="dxa"/>
            <w:right w:w="0" w:type="dxa"/>
          </w:tblCellMar>
        </w:tblPrEx>
        <w:trPr>
          <w:trHeight w:val="709" w:hRule="atLeast"/>
        </w:trPr>
        <w:tc>
          <w:tcPr>
            <w:tcW w:w="9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b/>
                <w:bCs/>
                <w:sz w:val="21"/>
                <w:szCs w:val="21"/>
              </w:rPr>
            </w:pPr>
            <w:r>
              <w:rPr>
                <w:b/>
                <w:bCs/>
                <w:sz w:val="21"/>
                <w:szCs w:val="21"/>
              </w:rPr>
              <w:t>就业方式</w:t>
            </w:r>
          </w:p>
        </w:tc>
        <w:tc>
          <w:tcPr>
            <w:tcW w:w="127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b/>
                <w:bCs/>
                <w:sz w:val="21"/>
                <w:szCs w:val="21"/>
              </w:rPr>
            </w:pPr>
            <w:r>
              <w:rPr>
                <w:b/>
                <w:bCs/>
                <w:sz w:val="21"/>
                <w:szCs w:val="21"/>
              </w:rPr>
              <w:t>国内</w:t>
            </w:r>
          </w:p>
          <w:p>
            <w:pPr>
              <w:spacing w:line="240" w:lineRule="auto"/>
              <w:jc w:val="center"/>
              <w:rPr>
                <w:b/>
                <w:bCs/>
                <w:sz w:val="21"/>
                <w:szCs w:val="21"/>
              </w:rPr>
            </w:pPr>
            <w:r>
              <w:rPr>
                <w:b/>
                <w:bCs/>
                <w:sz w:val="21"/>
                <w:szCs w:val="21"/>
              </w:rPr>
              <w:t>升学</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b/>
                <w:bCs/>
                <w:sz w:val="21"/>
                <w:szCs w:val="21"/>
              </w:rPr>
            </w:pPr>
            <w:r>
              <w:rPr>
                <w:b/>
                <w:bCs/>
                <w:sz w:val="21"/>
                <w:szCs w:val="21"/>
              </w:rPr>
              <w:t>出国</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b/>
                <w:bCs/>
                <w:sz w:val="21"/>
                <w:szCs w:val="21"/>
              </w:rPr>
            </w:pPr>
            <w:r>
              <w:rPr>
                <w:b/>
                <w:bCs/>
                <w:sz w:val="21"/>
                <w:szCs w:val="21"/>
              </w:rPr>
              <w:t>协议就业</w:t>
            </w:r>
          </w:p>
        </w:tc>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b/>
                <w:bCs/>
                <w:sz w:val="21"/>
                <w:szCs w:val="21"/>
              </w:rPr>
            </w:pPr>
            <w:r>
              <w:rPr>
                <w:b/>
                <w:bCs/>
                <w:sz w:val="21"/>
                <w:szCs w:val="21"/>
              </w:rPr>
              <w:t>劳动合同</w:t>
            </w:r>
          </w:p>
        </w:tc>
        <w:tc>
          <w:tcPr>
            <w:tcW w:w="10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b/>
                <w:bCs/>
                <w:sz w:val="21"/>
                <w:szCs w:val="21"/>
              </w:rPr>
            </w:pPr>
            <w:r>
              <w:rPr>
                <w:b/>
                <w:bCs/>
                <w:sz w:val="21"/>
                <w:szCs w:val="21"/>
              </w:rPr>
              <w:t>自主创业</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b/>
                <w:bCs/>
                <w:sz w:val="21"/>
                <w:szCs w:val="21"/>
              </w:rPr>
            </w:pPr>
            <w:r>
              <w:rPr>
                <w:b/>
                <w:bCs/>
                <w:sz w:val="21"/>
                <w:szCs w:val="21"/>
              </w:rPr>
              <w:t>灵活就业</w:t>
            </w:r>
          </w:p>
        </w:tc>
        <w:tc>
          <w:tcPr>
            <w:tcW w:w="11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b/>
                <w:bCs/>
                <w:sz w:val="21"/>
                <w:szCs w:val="21"/>
              </w:rPr>
            </w:pPr>
            <w:r>
              <w:rPr>
                <w:b/>
                <w:bCs/>
                <w:sz w:val="21"/>
                <w:szCs w:val="21"/>
              </w:rPr>
              <w:t>待就业</w:t>
            </w:r>
          </w:p>
        </w:tc>
      </w:tr>
      <w:tr>
        <w:tblPrEx>
          <w:tblCellMar>
            <w:top w:w="0" w:type="dxa"/>
            <w:left w:w="0" w:type="dxa"/>
            <w:bottom w:w="0" w:type="dxa"/>
            <w:right w:w="0" w:type="dxa"/>
          </w:tblCellMar>
        </w:tblPrEx>
        <w:trPr>
          <w:trHeight w:val="640" w:hRule="atLeast"/>
        </w:trPr>
        <w:tc>
          <w:tcPr>
            <w:tcW w:w="9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人数</w:t>
            </w:r>
          </w:p>
          <w:p>
            <w:pPr>
              <w:spacing w:line="240" w:lineRule="auto"/>
              <w:jc w:val="center"/>
              <w:rPr>
                <w:sz w:val="21"/>
                <w:szCs w:val="21"/>
              </w:rPr>
            </w:pPr>
            <w:r>
              <w:rPr>
                <w:sz w:val="21"/>
                <w:szCs w:val="21"/>
              </w:rPr>
              <w:t>（比例）</w:t>
            </w:r>
          </w:p>
        </w:tc>
        <w:tc>
          <w:tcPr>
            <w:tcW w:w="127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41人</w:t>
            </w:r>
          </w:p>
          <w:p>
            <w:pPr>
              <w:spacing w:line="240" w:lineRule="auto"/>
              <w:jc w:val="center"/>
              <w:rPr>
                <w:sz w:val="21"/>
                <w:szCs w:val="21"/>
              </w:rPr>
            </w:pPr>
            <w:r>
              <w:rPr>
                <w:sz w:val="21"/>
                <w:szCs w:val="21"/>
              </w:rPr>
              <w:t>（48.24%）</w:t>
            </w:r>
          </w:p>
        </w:tc>
        <w:tc>
          <w:tcPr>
            <w:tcW w:w="93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0人</w:t>
            </w:r>
          </w:p>
          <w:p>
            <w:pPr>
              <w:spacing w:line="240" w:lineRule="auto"/>
              <w:jc w:val="center"/>
              <w:rPr>
                <w:sz w:val="21"/>
                <w:szCs w:val="21"/>
              </w:rPr>
            </w:pPr>
            <w:r>
              <w:rPr>
                <w:sz w:val="21"/>
                <w:szCs w:val="21"/>
              </w:rPr>
              <w:t>（0%）</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20人</w:t>
            </w:r>
          </w:p>
          <w:p>
            <w:pPr>
              <w:spacing w:line="240" w:lineRule="auto"/>
              <w:jc w:val="center"/>
              <w:rPr>
                <w:sz w:val="21"/>
                <w:szCs w:val="21"/>
              </w:rPr>
            </w:pPr>
            <w:r>
              <w:rPr>
                <w:sz w:val="21"/>
                <w:szCs w:val="21"/>
              </w:rPr>
              <w:t>（23.53%）</w:t>
            </w:r>
          </w:p>
        </w:tc>
        <w:tc>
          <w:tcPr>
            <w:tcW w:w="113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2人</w:t>
            </w:r>
          </w:p>
          <w:p>
            <w:pPr>
              <w:spacing w:line="240" w:lineRule="auto"/>
              <w:jc w:val="center"/>
              <w:rPr>
                <w:sz w:val="21"/>
                <w:szCs w:val="21"/>
              </w:rPr>
            </w:pPr>
            <w:r>
              <w:rPr>
                <w:sz w:val="21"/>
                <w:szCs w:val="21"/>
              </w:rPr>
              <w:t>（2.35%）</w:t>
            </w:r>
          </w:p>
        </w:tc>
        <w:tc>
          <w:tcPr>
            <w:tcW w:w="10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0人</w:t>
            </w:r>
          </w:p>
          <w:p>
            <w:pPr>
              <w:spacing w:line="240" w:lineRule="auto"/>
              <w:jc w:val="center"/>
              <w:rPr>
                <w:sz w:val="21"/>
                <w:szCs w:val="21"/>
              </w:rPr>
            </w:pPr>
            <w:r>
              <w:rPr>
                <w:sz w:val="21"/>
                <w:szCs w:val="21"/>
              </w:rPr>
              <w:t>（0%）</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16人</w:t>
            </w:r>
          </w:p>
          <w:p>
            <w:pPr>
              <w:spacing w:line="240" w:lineRule="auto"/>
              <w:jc w:val="center"/>
              <w:rPr>
                <w:sz w:val="21"/>
                <w:szCs w:val="21"/>
              </w:rPr>
            </w:pPr>
            <w:r>
              <w:rPr>
                <w:sz w:val="21"/>
                <w:szCs w:val="21"/>
              </w:rPr>
              <w:t>（18.82%）</w:t>
            </w:r>
          </w:p>
        </w:tc>
        <w:tc>
          <w:tcPr>
            <w:tcW w:w="112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sz w:val="21"/>
                <w:szCs w:val="21"/>
              </w:rPr>
            </w:pPr>
            <w:r>
              <w:rPr>
                <w:sz w:val="21"/>
                <w:szCs w:val="21"/>
              </w:rPr>
              <w:t>6人</w:t>
            </w:r>
          </w:p>
          <w:p>
            <w:pPr>
              <w:spacing w:line="240" w:lineRule="auto"/>
              <w:jc w:val="center"/>
              <w:rPr>
                <w:sz w:val="21"/>
                <w:szCs w:val="21"/>
              </w:rPr>
            </w:pPr>
            <w:r>
              <w:rPr>
                <w:sz w:val="21"/>
                <w:szCs w:val="21"/>
              </w:rPr>
              <w:t>（7.06%）</w:t>
            </w:r>
          </w:p>
        </w:tc>
      </w:tr>
    </w:tbl>
    <w:p>
      <w:pPr>
        <w:ind w:firstLine="482"/>
      </w:pPr>
      <w:r>
        <w:t>（3）就业流向</w:t>
      </w:r>
    </w:p>
    <w:p>
      <w:pPr>
        <w:ind w:firstLine="482"/>
      </w:pPr>
      <w:r>
        <w:t>说明：本部分已就业总人数，不包含升学、出国（境）和应征入伍。</w:t>
      </w:r>
    </w:p>
    <w:p>
      <w:pPr>
        <w:ind w:firstLine="482"/>
      </w:pPr>
      <w:r>
        <w:t>毕业生就业单位性质显示，其他企业就业人数最多，占已就业人数的60.53%，其次是国有企业就业，占比10.53%；三资企业就业，占比2.63%。</w:t>
      </w:r>
    </w:p>
    <w:p>
      <w:pPr>
        <w:spacing w:before="156" w:beforeLines="50" w:line="240" w:lineRule="auto"/>
        <w:jc w:val="center"/>
        <w:rPr>
          <w:b/>
          <w:bCs/>
          <w:sz w:val="21"/>
          <w:szCs w:val="21"/>
        </w:rPr>
      </w:pPr>
      <w:r>
        <w:rPr>
          <w:b/>
          <w:bCs/>
          <w:sz w:val="21"/>
          <w:szCs w:val="21"/>
        </w:rPr>
        <w:t>表4.毕业生就业单位性质统计表</w:t>
      </w:r>
    </w:p>
    <w:tbl>
      <w:tblPr>
        <w:tblStyle w:val="17"/>
        <w:tblW w:w="4997" w:type="pct"/>
        <w:jc w:val="center"/>
        <w:tblLayout w:type="autofit"/>
        <w:tblCellMar>
          <w:top w:w="0" w:type="dxa"/>
          <w:left w:w="0" w:type="dxa"/>
          <w:bottom w:w="0" w:type="dxa"/>
          <w:right w:w="0" w:type="dxa"/>
        </w:tblCellMar>
      </w:tblPr>
      <w:tblGrid>
        <w:gridCol w:w="933"/>
        <w:gridCol w:w="1098"/>
        <w:gridCol w:w="745"/>
        <w:gridCol w:w="898"/>
        <w:gridCol w:w="899"/>
        <w:gridCol w:w="745"/>
        <w:gridCol w:w="743"/>
        <w:gridCol w:w="746"/>
        <w:gridCol w:w="974"/>
        <w:gridCol w:w="1079"/>
      </w:tblGrid>
      <w:tr>
        <w:tblPrEx>
          <w:tblCellMar>
            <w:top w:w="0" w:type="dxa"/>
            <w:left w:w="0" w:type="dxa"/>
            <w:bottom w:w="0" w:type="dxa"/>
            <w:right w:w="0" w:type="dxa"/>
          </w:tblCellMar>
        </w:tblPrEx>
        <w:trPr>
          <w:trHeight w:val="765" w:hRule="atLeast"/>
          <w:jc w:val="center"/>
        </w:trPr>
        <w:tc>
          <w:tcPr>
            <w:tcW w:w="537"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单位</w:t>
            </w:r>
          </w:p>
          <w:p>
            <w:pPr>
              <w:spacing w:line="240" w:lineRule="auto"/>
              <w:jc w:val="center"/>
              <w:rPr>
                <w:b/>
                <w:bCs/>
                <w:sz w:val="21"/>
                <w:szCs w:val="21"/>
              </w:rPr>
            </w:pPr>
            <w:r>
              <w:rPr>
                <w:b/>
                <w:bCs/>
                <w:sz w:val="21"/>
                <w:szCs w:val="21"/>
              </w:rPr>
              <w:t>性质</w:t>
            </w:r>
          </w:p>
        </w:tc>
        <w:tc>
          <w:tcPr>
            <w:tcW w:w="58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国有</w:t>
            </w:r>
          </w:p>
          <w:p>
            <w:pPr>
              <w:spacing w:line="240" w:lineRule="auto"/>
              <w:jc w:val="center"/>
              <w:rPr>
                <w:b/>
                <w:bCs/>
                <w:sz w:val="21"/>
                <w:szCs w:val="21"/>
              </w:rPr>
            </w:pPr>
            <w:r>
              <w:rPr>
                <w:b/>
                <w:bCs/>
                <w:sz w:val="21"/>
                <w:szCs w:val="21"/>
              </w:rPr>
              <w:t>企业</w:t>
            </w:r>
          </w:p>
        </w:tc>
        <w:tc>
          <w:tcPr>
            <w:tcW w:w="43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国家</w:t>
            </w:r>
          </w:p>
          <w:p>
            <w:pPr>
              <w:spacing w:line="240" w:lineRule="auto"/>
              <w:jc w:val="center"/>
              <w:rPr>
                <w:b/>
                <w:bCs/>
                <w:sz w:val="21"/>
                <w:szCs w:val="21"/>
              </w:rPr>
            </w:pPr>
            <w:r>
              <w:rPr>
                <w:b/>
                <w:bCs/>
                <w:sz w:val="21"/>
                <w:szCs w:val="21"/>
              </w:rPr>
              <w:t>公务员</w:t>
            </w:r>
          </w:p>
        </w:tc>
        <w:tc>
          <w:tcPr>
            <w:tcW w:w="517"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地方</w:t>
            </w:r>
          </w:p>
          <w:p>
            <w:pPr>
              <w:spacing w:line="240" w:lineRule="auto"/>
              <w:jc w:val="center"/>
              <w:rPr>
                <w:b/>
                <w:bCs/>
                <w:sz w:val="21"/>
                <w:szCs w:val="21"/>
              </w:rPr>
            </w:pPr>
            <w:r>
              <w:rPr>
                <w:b/>
                <w:bCs/>
                <w:sz w:val="21"/>
                <w:szCs w:val="21"/>
              </w:rPr>
              <w:t>公务员</w:t>
            </w:r>
          </w:p>
        </w:tc>
        <w:tc>
          <w:tcPr>
            <w:tcW w:w="518"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事业</w:t>
            </w:r>
          </w:p>
          <w:p>
            <w:pPr>
              <w:spacing w:line="240" w:lineRule="auto"/>
              <w:jc w:val="center"/>
              <w:rPr>
                <w:b/>
                <w:bCs/>
                <w:sz w:val="21"/>
                <w:szCs w:val="21"/>
              </w:rPr>
            </w:pPr>
            <w:r>
              <w:rPr>
                <w:b/>
                <w:bCs/>
                <w:sz w:val="21"/>
                <w:szCs w:val="21"/>
              </w:rPr>
              <w:t>单位</w:t>
            </w:r>
          </w:p>
        </w:tc>
        <w:tc>
          <w:tcPr>
            <w:tcW w:w="4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选调生</w:t>
            </w:r>
          </w:p>
        </w:tc>
        <w:tc>
          <w:tcPr>
            <w:tcW w:w="430"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三支</w:t>
            </w:r>
          </w:p>
          <w:p>
            <w:pPr>
              <w:spacing w:line="240" w:lineRule="auto"/>
              <w:jc w:val="center"/>
              <w:rPr>
                <w:b/>
                <w:bCs/>
                <w:sz w:val="21"/>
                <w:szCs w:val="21"/>
              </w:rPr>
            </w:pPr>
            <w:r>
              <w:rPr>
                <w:b/>
                <w:bCs/>
                <w:sz w:val="21"/>
                <w:szCs w:val="21"/>
              </w:rPr>
              <w:t>一扶</w:t>
            </w:r>
          </w:p>
        </w:tc>
        <w:tc>
          <w:tcPr>
            <w:tcW w:w="43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sz w:val="21"/>
                <w:szCs w:val="21"/>
              </w:rPr>
            </w:pPr>
            <w:r>
              <w:rPr>
                <w:b/>
                <w:bCs/>
                <w:sz w:val="21"/>
                <w:szCs w:val="21"/>
              </w:rPr>
              <w:t>西部</w:t>
            </w:r>
          </w:p>
          <w:p>
            <w:pPr>
              <w:spacing w:line="240" w:lineRule="auto"/>
              <w:jc w:val="center"/>
              <w:rPr>
                <w:b/>
                <w:bCs/>
                <w:sz w:val="21"/>
                <w:szCs w:val="21"/>
              </w:rPr>
            </w:pPr>
            <w:r>
              <w:rPr>
                <w:b/>
                <w:bCs/>
                <w:sz w:val="21"/>
                <w:szCs w:val="21"/>
              </w:rPr>
              <w:t>志愿者</w:t>
            </w:r>
          </w:p>
        </w:tc>
        <w:tc>
          <w:tcPr>
            <w:tcW w:w="518"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三资</w:t>
            </w:r>
          </w:p>
          <w:p>
            <w:pPr>
              <w:spacing w:line="240" w:lineRule="auto"/>
              <w:jc w:val="center"/>
              <w:rPr>
                <w:b/>
                <w:bCs/>
                <w:sz w:val="21"/>
                <w:szCs w:val="21"/>
              </w:rPr>
            </w:pPr>
            <w:r>
              <w:rPr>
                <w:b/>
                <w:bCs/>
                <w:sz w:val="21"/>
                <w:szCs w:val="21"/>
              </w:rPr>
              <w:t>企业</w:t>
            </w:r>
          </w:p>
        </w:tc>
        <w:tc>
          <w:tcPr>
            <w:tcW w:w="603"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bCs/>
                <w:sz w:val="21"/>
                <w:szCs w:val="21"/>
              </w:rPr>
            </w:pPr>
            <w:r>
              <w:rPr>
                <w:b/>
                <w:bCs/>
                <w:sz w:val="21"/>
                <w:szCs w:val="21"/>
              </w:rPr>
              <w:t>其他</w:t>
            </w:r>
          </w:p>
          <w:p>
            <w:pPr>
              <w:spacing w:line="240" w:lineRule="auto"/>
              <w:jc w:val="center"/>
              <w:rPr>
                <w:b/>
                <w:bCs/>
                <w:sz w:val="21"/>
                <w:szCs w:val="21"/>
              </w:rPr>
            </w:pPr>
            <w:r>
              <w:rPr>
                <w:b/>
                <w:bCs/>
                <w:sz w:val="21"/>
                <w:szCs w:val="21"/>
              </w:rPr>
              <w:t>企业</w:t>
            </w:r>
          </w:p>
        </w:tc>
      </w:tr>
      <w:tr>
        <w:tblPrEx>
          <w:tblCellMar>
            <w:top w:w="0" w:type="dxa"/>
            <w:left w:w="0" w:type="dxa"/>
            <w:bottom w:w="0" w:type="dxa"/>
            <w:right w:w="0" w:type="dxa"/>
          </w:tblCellMar>
        </w:tblPrEx>
        <w:trPr>
          <w:trHeight w:val="791" w:hRule="atLeast"/>
          <w:jc w:val="center"/>
        </w:trPr>
        <w:tc>
          <w:tcPr>
            <w:tcW w:w="537"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sz w:val="21"/>
                <w:szCs w:val="21"/>
              </w:rPr>
            </w:pPr>
            <w:r>
              <w:rPr>
                <w:sz w:val="21"/>
                <w:szCs w:val="21"/>
              </w:rPr>
              <w:t>人数</w:t>
            </w:r>
          </w:p>
          <w:p>
            <w:pPr>
              <w:spacing w:line="240" w:lineRule="auto"/>
              <w:jc w:val="center"/>
              <w:rPr>
                <w:sz w:val="21"/>
                <w:szCs w:val="21"/>
              </w:rPr>
            </w:pPr>
            <w:r>
              <w:rPr>
                <w:sz w:val="21"/>
                <w:szCs w:val="21"/>
              </w:rPr>
              <w:t>（比例）</w:t>
            </w:r>
          </w:p>
        </w:tc>
        <w:tc>
          <w:tcPr>
            <w:tcW w:w="58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4人</w:t>
            </w:r>
          </w:p>
          <w:p>
            <w:pPr>
              <w:spacing w:line="240" w:lineRule="auto"/>
              <w:jc w:val="center"/>
              <w:rPr>
                <w:sz w:val="21"/>
                <w:szCs w:val="21"/>
              </w:rPr>
            </w:pPr>
            <w:r>
              <w:rPr>
                <w:sz w:val="21"/>
                <w:szCs w:val="21"/>
              </w:rPr>
              <w:t>（10.53%）</w:t>
            </w:r>
          </w:p>
        </w:tc>
        <w:tc>
          <w:tcPr>
            <w:tcW w:w="4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0人</w:t>
            </w:r>
          </w:p>
          <w:p>
            <w:pPr>
              <w:spacing w:line="240" w:lineRule="auto"/>
              <w:jc w:val="center"/>
              <w:rPr>
                <w:sz w:val="21"/>
                <w:szCs w:val="21"/>
              </w:rPr>
            </w:pPr>
            <w:r>
              <w:rPr>
                <w:sz w:val="21"/>
                <w:szCs w:val="21"/>
              </w:rPr>
              <w:t>（0%）</w:t>
            </w:r>
          </w:p>
        </w:tc>
        <w:tc>
          <w:tcPr>
            <w:tcW w:w="51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0人</w:t>
            </w:r>
          </w:p>
          <w:p>
            <w:pPr>
              <w:spacing w:line="240" w:lineRule="auto"/>
              <w:jc w:val="center"/>
              <w:rPr>
                <w:sz w:val="21"/>
                <w:szCs w:val="21"/>
              </w:rPr>
            </w:pPr>
            <w:r>
              <w:rPr>
                <w:sz w:val="21"/>
                <w:szCs w:val="21"/>
              </w:rPr>
              <w:t>（0%）</w:t>
            </w:r>
          </w:p>
        </w:tc>
        <w:tc>
          <w:tcPr>
            <w:tcW w:w="51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0人</w:t>
            </w:r>
          </w:p>
          <w:p>
            <w:pPr>
              <w:spacing w:line="240" w:lineRule="auto"/>
              <w:jc w:val="center"/>
              <w:rPr>
                <w:sz w:val="21"/>
                <w:szCs w:val="21"/>
              </w:rPr>
            </w:pPr>
            <w:r>
              <w:rPr>
                <w:sz w:val="21"/>
                <w:szCs w:val="21"/>
              </w:rPr>
              <w:t>（0%）</w:t>
            </w:r>
          </w:p>
        </w:tc>
        <w:tc>
          <w:tcPr>
            <w:tcW w:w="4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0人</w:t>
            </w:r>
          </w:p>
          <w:p>
            <w:pPr>
              <w:spacing w:line="240" w:lineRule="auto"/>
              <w:jc w:val="center"/>
              <w:rPr>
                <w:sz w:val="21"/>
                <w:szCs w:val="21"/>
              </w:rPr>
            </w:pPr>
            <w:r>
              <w:rPr>
                <w:sz w:val="21"/>
                <w:szCs w:val="21"/>
              </w:rPr>
              <w:t>（0%）</w:t>
            </w:r>
          </w:p>
        </w:tc>
        <w:tc>
          <w:tcPr>
            <w:tcW w:w="43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0人</w:t>
            </w:r>
          </w:p>
          <w:p>
            <w:pPr>
              <w:spacing w:line="240" w:lineRule="auto"/>
              <w:jc w:val="center"/>
              <w:rPr>
                <w:sz w:val="21"/>
                <w:szCs w:val="21"/>
              </w:rPr>
            </w:pPr>
            <w:r>
              <w:rPr>
                <w:sz w:val="21"/>
                <w:szCs w:val="21"/>
              </w:rPr>
              <w:t>（0%）</w:t>
            </w:r>
          </w:p>
        </w:tc>
        <w:tc>
          <w:tcPr>
            <w:tcW w:w="4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0人</w:t>
            </w:r>
          </w:p>
          <w:p>
            <w:pPr>
              <w:spacing w:line="240" w:lineRule="auto"/>
              <w:jc w:val="center"/>
              <w:rPr>
                <w:sz w:val="21"/>
                <w:szCs w:val="21"/>
              </w:rPr>
            </w:pPr>
            <w:r>
              <w:rPr>
                <w:sz w:val="21"/>
                <w:szCs w:val="21"/>
              </w:rPr>
              <w:t>（0%）</w:t>
            </w:r>
          </w:p>
        </w:tc>
        <w:tc>
          <w:tcPr>
            <w:tcW w:w="518"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1人</w:t>
            </w:r>
          </w:p>
          <w:p>
            <w:pPr>
              <w:spacing w:line="240" w:lineRule="auto"/>
              <w:jc w:val="center"/>
              <w:rPr>
                <w:sz w:val="21"/>
                <w:szCs w:val="21"/>
              </w:rPr>
            </w:pPr>
            <w:r>
              <w:rPr>
                <w:sz w:val="21"/>
                <w:szCs w:val="21"/>
              </w:rPr>
              <w:t>（2.63%）</w:t>
            </w:r>
          </w:p>
        </w:tc>
        <w:tc>
          <w:tcPr>
            <w:tcW w:w="603"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1"/>
                <w:szCs w:val="21"/>
              </w:rPr>
            </w:pPr>
            <w:r>
              <w:rPr>
                <w:sz w:val="21"/>
                <w:szCs w:val="21"/>
              </w:rPr>
              <w:t>23人</w:t>
            </w:r>
          </w:p>
          <w:p>
            <w:pPr>
              <w:spacing w:line="240" w:lineRule="auto"/>
              <w:jc w:val="center"/>
              <w:rPr>
                <w:sz w:val="21"/>
                <w:szCs w:val="21"/>
              </w:rPr>
            </w:pPr>
            <w:r>
              <w:rPr>
                <w:sz w:val="21"/>
                <w:szCs w:val="21"/>
              </w:rPr>
              <w:t>（60.53%）</w:t>
            </w:r>
          </w:p>
        </w:tc>
      </w:tr>
    </w:tbl>
    <w:p>
      <w:pPr>
        <w:spacing w:line="360" w:lineRule="auto"/>
        <w:ind w:firstLine="480"/>
      </w:pPr>
      <w:r>
        <w:t>（4）考研情况</w:t>
      </w:r>
    </w:p>
    <w:p>
      <w:pPr>
        <w:ind w:firstLine="482"/>
      </w:pPr>
      <w:r>
        <w:t>国内升学：</w:t>
      </w:r>
    </w:p>
    <w:p>
      <w:pPr>
        <w:ind w:firstLine="482"/>
      </w:pPr>
      <w:r>
        <w:t>毕业生国内升学41人，升学率48.23%，其中考入</w:t>
      </w:r>
      <w:r>
        <w:rPr>
          <w:rFonts w:hint="eastAsia"/>
        </w:rPr>
        <w:t>“</w:t>
      </w:r>
      <w:r>
        <w:t>双一流</w:t>
      </w:r>
      <w:r>
        <w:rPr>
          <w:rFonts w:hint="eastAsia"/>
        </w:rPr>
        <w:t>”</w:t>
      </w:r>
      <w:r>
        <w:t>大学27人，占国内升学总人数的65.85%。升学学校主要是中国科学院大学、中国石油大学、山东大学等。</w:t>
      </w:r>
    </w:p>
    <w:p>
      <w:pPr>
        <w:spacing w:before="156" w:beforeLines="50" w:line="240" w:lineRule="auto"/>
        <w:jc w:val="center"/>
        <w:rPr>
          <w:b/>
          <w:bCs/>
          <w:sz w:val="21"/>
          <w:szCs w:val="21"/>
        </w:rPr>
      </w:pPr>
      <w:r>
        <w:rPr>
          <w:b/>
          <w:bCs/>
          <w:sz w:val="21"/>
          <w:szCs w:val="21"/>
        </w:rPr>
        <w:t>表5.国内升学学校前5位统计表</w:t>
      </w:r>
    </w:p>
    <w:tbl>
      <w:tblPr>
        <w:tblStyle w:val="4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7"/>
        <w:gridCol w:w="3253"/>
        <w:gridCol w:w="2180"/>
        <w:gridCol w:w="21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32" w:type="pct"/>
            <w:vAlign w:val="center"/>
          </w:tcPr>
          <w:p>
            <w:pPr>
              <w:spacing w:line="240" w:lineRule="auto"/>
              <w:jc w:val="center"/>
              <w:rPr>
                <w:b/>
                <w:bCs/>
                <w:sz w:val="21"/>
                <w:szCs w:val="21"/>
              </w:rPr>
            </w:pPr>
            <w:r>
              <w:rPr>
                <w:b/>
                <w:bCs/>
                <w:sz w:val="21"/>
                <w:szCs w:val="21"/>
              </w:rPr>
              <w:t>序号</w:t>
            </w:r>
          </w:p>
        </w:tc>
        <w:tc>
          <w:tcPr>
            <w:tcW w:w="1795" w:type="pct"/>
            <w:vAlign w:val="center"/>
          </w:tcPr>
          <w:p>
            <w:pPr>
              <w:spacing w:line="240" w:lineRule="auto"/>
              <w:jc w:val="center"/>
              <w:rPr>
                <w:b/>
                <w:bCs/>
                <w:sz w:val="21"/>
                <w:szCs w:val="21"/>
              </w:rPr>
            </w:pPr>
            <w:r>
              <w:rPr>
                <w:b/>
                <w:bCs/>
                <w:sz w:val="21"/>
                <w:szCs w:val="21"/>
              </w:rPr>
              <w:t>升学学校名称</w:t>
            </w:r>
          </w:p>
        </w:tc>
        <w:tc>
          <w:tcPr>
            <w:tcW w:w="1203" w:type="pct"/>
            <w:vAlign w:val="center"/>
          </w:tcPr>
          <w:p>
            <w:pPr>
              <w:spacing w:line="240" w:lineRule="auto"/>
              <w:jc w:val="center"/>
              <w:rPr>
                <w:b/>
                <w:bCs/>
                <w:sz w:val="21"/>
                <w:szCs w:val="21"/>
              </w:rPr>
            </w:pPr>
            <w:r>
              <w:rPr>
                <w:b/>
                <w:bCs/>
                <w:sz w:val="21"/>
                <w:szCs w:val="21"/>
              </w:rPr>
              <w:t>升学人数</w:t>
            </w:r>
          </w:p>
        </w:tc>
        <w:tc>
          <w:tcPr>
            <w:tcW w:w="1168" w:type="pct"/>
            <w:vAlign w:val="center"/>
          </w:tcPr>
          <w:p>
            <w:pPr>
              <w:spacing w:line="240" w:lineRule="auto"/>
              <w:jc w:val="center"/>
              <w:rPr>
                <w:b/>
                <w:bCs/>
                <w:sz w:val="21"/>
                <w:szCs w:val="21"/>
              </w:rPr>
            </w:pPr>
            <w:r>
              <w:rPr>
                <w:b/>
                <w:bCs/>
                <w:sz w:val="21"/>
                <w:szCs w:val="21"/>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832" w:type="pct"/>
            <w:vAlign w:val="center"/>
          </w:tcPr>
          <w:p>
            <w:pPr>
              <w:spacing w:line="240" w:lineRule="auto"/>
              <w:jc w:val="center"/>
              <w:rPr>
                <w:sz w:val="21"/>
                <w:szCs w:val="21"/>
              </w:rPr>
            </w:pPr>
            <w:r>
              <w:rPr>
                <w:sz w:val="21"/>
                <w:szCs w:val="21"/>
              </w:rPr>
              <w:t>1</w:t>
            </w:r>
          </w:p>
        </w:tc>
        <w:tc>
          <w:tcPr>
            <w:tcW w:w="1795" w:type="pct"/>
            <w:vAlign w:val="center"/>
          </w:tcPr>
          <w:p>
            <w:pPr>
              <w:spacing w:line="240" w:lineRule="auto"/>
              <w:jc w:val="center"/>
              <w:rPr>
                <w:sz w:val="21"/>
                <w:szCs w:val="21"/>
              </w:rPr>
            </w:pPr>
            <w:r>
              <w:rPr>
                <w:sz w:val="21"/>
                <w:szCs w:val="21"/>
              </w:rPr>
              <w:t>山东农业大学</w:t>
            </w:r>
          </w:p>
        </w:tc>
        <w:tc>
          <w:tcPr>
            <w:tcW w:w="1203" w:type="pct"/>
            <w:vAlign w:val="center"/>
          </w:tcPr>
          <w:p>
            <w:pPr>
              <w:spacing w:line="240" w:lineRule="auto"/>
              <w:jc w:val="center"/>
              <w:rPr>
                <w:sz w:val="21"/>
                <w:szCs w:val="21"/>
              </w:rPr>
            </w:pPr>
            <w:r>
              <w:rPr>
                <w:sz w:val="21"/>
                <w:szCs w:val="21"/>
              </w:rPr>
              <w:t>10人</w:t>
            </w:r>
          </w:p>
        </w:tc>
        <w:tc>
          <w:tcPr>
            <w:tcW w:w="1168" w:type="pct"/>
            <w:vAlign w:val="center"/>
          </w:tcPr>
          <w:p>
            <w:pPr>
              <w:spacing w:line="240" w:lineRule="auto"/>
              <w:jc w:val="center"/>
              <w:rPr>
                <w:sz w:val="21"/>
                <w:szCs w:val="21"/>
              </w:rPr>
            </w:pPr>
            <w:r>
              <w:rPr>
                <w:sz w:val="21"/>
                <w:szCs w:val="21"/>
              </w:rPr>
              <w:t>24.39%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32" w:type="pct"/>
            <w:vAlign w:val="center"/>
          </w:tcPr>
          <w:p>
            <w:pPr>
              <w:spacing w:line="240" w:lineRule="auto"/>
              <w:jc w:val="center"/>
              <w:rPr>
                <w:sz w:val="21"/>
                <w:szCs w:val="21"/>
              </w:rPr>
            </w:pPr>
            <w:r>
              <w:rPr>
                <w:sz w:val="21"/>
                <w:szCs w:val="21"/>
              </w:rPr>
              <w:t>2</w:t>
            </w:r>
          </w:p>
        </w:tc>
        <w:tc>
          <w:tcPr>
            <w:tcW w:w="1795" w:type="pct"/>
            <w:vAlign w:val="center"/>
          </w:tcPr>
          <w:p>
            <w:pPr>
              <w:spacing w:line="240" w:lineRule="auto"/>
              <w:jc w:val="center"/>
              <w:rPr>
                <w:sz w:val="21"/>
                <w:szCs w:val="21"/>
              </w:rPr>
            </w:pPr>
            <w:r>
              <w:rPr>
                <w:sz w:val="21"/>
                <w:szCs w:val="21"/>
              </w:rPr>
              <w:t>中国石油大学</w:t>
            </w:r>
          </w:p>
        </w:tc>
        <w:tc>
          <w:tcPr>
            <w:tcW w:w="1203" w:type="pct"/>
            <w:vAlign w:val="center"/>
          </w:tcPr>
          <w:p>
            <w:pPr>
              <w:spacing w:line="240" w:lineRule="auto"/>
              <w:jc w:val="center"/>
              <w:rPr>
                <w:sz w:val="21"/>
                <w:szCs w:val="21"/>
              </w:rPr>
            </w:pPr>
            <w:r>
              <w:rPr>
                <w:sz w:val="21"/>
                <w:szCs w:val="21"/>
              </w:rPr>
              <w:t>5人</w:t>
            </w:r>
          </w:p>
        </w:tc>
        <w:tc>
          <w:tcPr>
            <w:tcW w:w="1168" w:type="pct"/>
            <w:vAlign w:val="center"/>
          </w:tcPr>
          <w:p>
            <w:pPr>
              <w:spacing w:line="240" w:lineRule="auto"/>
              <w:jc w:val="center"/>
              <w:rPr>
                <w:sz w:val="21"/>
                <w:szCs w:val="21"/>
              </w:rPr>
            </w:pPr>
            <w:r>
              <w:rPr>
                <w:sz w:val="21"/>
                <w:szCs w:val="21"/>
              </w:rPr>
              <w:t>12.20%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32" w:type="pct"/>
            <w:vAlign w:val="center"/>
          </w:tcPr>
          <w:p>
            <w:pPr>
              <w:spacing w:line="240" w:lineRule="auto"/>
              <w:jc w:val="center"/>
              <w:rPr>
                <w:sz w:val="21"/>
                <w:szCs w:val="21"/>
              </w:rPr>
            </w:pPr>
            <w:r>
              <w:rPr>
                <w:sz w:val="21"/>
                <w:szCs w:val="21"/>
              </w:rPr>
              <w:t>3</w:t>
            </w:r>
          </w:p>
        </w:tc>
        <w:tc>
          <w:tcPr>
            <w:tcW w:w="1795" w:type="pct"/>
            <w:vAlign w:val="center"/>
          </w:tcPr>
          <w:p>
            <w:pPr>
              <w:spacing w:line="240" w:lineRule="auto"/>
              <w:jc w:val="center"/>
              <w:rPr>
                <w:sz w:val="21"/>
                <w:szCs w:val="21"/>
              </w:rPr>
            </w:pPr>
            <w:r>
              <w:rPr>
                <w:sz w:val="21"/>
                <w:szCs w:val="21"/>
              </w:rPr>
              <w:t>安徽大学</w:t>
            </w:r>
          </w:p>
        </w:tc>
        <w:tc>
          <w:tcPr>
            <w:tcW w:w="1203" w:type="pct"/>
            <w:vAlign w:val="center"/>
          </w:tcPr>
          <w:p>
            <w:pPr>
              <w:spacing w:line="240" w:lineRule="auto"/>
              <w:jc w:val="center"/>
              <w:rPr>
                <w:sz w:val="21"/>
                <w:szCs w:val="21"/>
              </w:rPr>
            </w:pPr>
            <w:r>
              <w:rPr>
                <w:sz w:val="21"/>
                <w:szCs w:val="21"/>
              </w:rPr>
              <w:t>5人</w:t>
            </w:r>
          </w:p>
        </w:tc>
        <w:tc>
          <w:tcPr>
            <w:tcW w:w="1168" w:type="pct"/>
            <w:vAlign w:val="center"/>
          </w:tcPr>
          <w:p>
            <w:pPr>
              <w:spacing w:line="240" w:lineRule="auto"/>
              <w:jc w:val="center"/>
              <w:rPr>
                <w:sz w:val="21"/>
                <w:szCs w:val="21"/>
              </w:rPr>
            </w:pPr>
            <w:r>
              <w:rPr>
                <w:sz w:val="21"/>
                <w:szCs w:val="21"/>
              </w:rPr>
              <w:t>12.20%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32" w:type="pct"/>
            <w:vAlign w:val="center"/>
          </w:tcPr>
          <w:p>
            <w:pPr>
              <w:spacing w:line="240" w:lineRule="auto"/>
              <w:jc w:val="center"/>
              <w:rPr>
                <w:sz w:val="21"/>
                <w:szCs w:val="21"/>
              </w:rPr>
            </w:pPr>
            <w:r>
              <w:rPr>
                <w:sz w:val="21"/>
                <w:szCs w:val="21"/>
              </w:rPr>
              <w:t>4</w:t>
            </w:r>
          </w:p>
        </w:tc>
        <w:tc>
          <w:tcPr>
            <w:tcW w:w="1795" w:type="pct"/>
            <w:vAlign w:val="center"/>
          </w:tcPr>
          <w:p>
            <w:pPr>
              <w:spacing w:line="240" w:lineRule="auto"/>
              <w:jc w:val="center"/>
              <w:rPr>
                <w:sz w:val="21"/>
                <w:szCs w:val="21"/>
              </w:rPr>
            </w:pPr>
            <w:r>
              <w:rPr>
                <w:sz w:val="21"/>
                <w:szCs w:val="21"/>
              </w:rPr>
              <w:t>北京化工大学</w:t>
            </w:r>
          </w:p>
        </w:tc>
        <w:tc>
          <w:tcPr>
            <w:tcW w:w="1203" w:type="pct"/>
            <w:vAlign w:val="center"/>
          </w:tcPr>
          <w:p>
            <w:pPr>
              <w:spacing w:line="240" w:lineRule="auto"/>
              <w:jc w:val="center"/>
              <w:rPr>
                <w:sz w:val="21"/>
                <w:szCs w:val="21"/>
              </w:rPr>
            </w:pPr>
            <w:r>
              <w:rPr>
                <w:sz w:val="21"/>
                <w:szCs w:val="21"/>
              </w:rPr>
              <w:t>4人</w:t>
            </w:r>
          </w:p>
        </w:tc>
        <w:tc>
          <w:tcPr>
            <w:tcW w:w="1168" w:type="pct"/>
            <w:vAlign w:val="center"/>
          </w:tcPr>
          <w:p>
            <w:pPr>
              <w:spacing w:line="240" w:lineRule="auto"/>
              <w:jc w:val="center"/>
              <w:rPr>
                <w:sz w:val="21"/>
                <w:szCs w:val="21"/>
              </w:rPr>
            </w:pPr>
            <w:r>
              <w:rPr>
                <w:sz w:val="21"/>
                <w:szCs w:val="21"/>
              </w:rPr>
              <w:t>9.77%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32" w:type="pct"/>
            <w:vAlign w:val="center"/>
          </w:tcPr>
          <w:p>
            <w:pPr>
              <w:spacing w:line="240" w:lineRule="auto"/>
              <w:jc w:val="center"/>
              <w:rPr>
                <w:sz w:val="21"/>
                <w:szCs w:val="21"/>
              </w:rPr>
            </w:pPr>
            <w:r>
              <w:rPr>
                <w:sz w:val="21"/>
                <w:szCs w:val="21"/>
              </w:rPr>
              <w:t>5</w:t>
            </w:r>
          </w:p>
        </w:tc>
        <w:tc>
          <w:tcPr>
            <w:tcW w:w="1795" w:type="pct"/>
            <w:vAlign w:val="center"/>
          </w:tcPr>
          <w:p>
            <w:pPr>
              <w:spacing w:line="240" w:lineRule="auto"/>
              <w:jc w:val="center"/>
              <w:rPr>
                <w:sz w:val="21"/>
                <w:szCs w:val="21"/>
              </w:rPr>
            </w:pPr>
            <w:r>
              <w:rPr>
                <w:sz w:val="21"/>
                <w:szCs w:val="21"/>
              </w:rPr>
              <w:t>山东大学</w:t>
            </w:r>
          </w:p>
        </w:tc>
        <w:tc>
          <w:tcPr>
            <w:tcW w:w="1203" w:type="pct"/>
            <w:vAlign w:val="center"/>
          </w:tcPr>
          <w:p>
            <w:pPr>
              <w:spacing w:line="240" w:lineRule="auto"/>
              <w:jc w:val="center"/>
              <w:rPr>
                <w:sz w:val="21"/>
                <w:szCs w:val="21"/>
              </w:rPr>
            </w:pPr>
            <w:r>
              <w:rPr>
                <w:sz w:val="21"/>
                <w:szCs w:val="21"/>
              </w:rPr>
              <w:t>2人</w:t>
            </w:r>
          </w:p>
        </w:tc>
        <w:tc>
          <w:tcPr>
            <w:tcW w:w="1168" w:type="pct"/>
            <w:vAlign w:val="center"/>
          </w:tcPr>
          <w:p>
            <w:pPr>
              <w:spacing w:line="240" w:lineRule="auto"/>
              <w:jc w:val="center"/>
              <w:rPr>
                <w:sz w:val="21"/>
                <w:szCs w:val="21"/>
              </w:rPr>
            </w:pPr>
            <w:r>
              <w:rPr>
                <w:sz w:val="21"/>
                <w:szCs w:val="21"/>
              </w:rPr>
              <w:t>4.89%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32" w:type="pct"/>
            <w:vAlign w:val="center"/>
          </w:tcPr>
          <w:p>
            <w:pPr>
              <w:spacing w:line="240" w:lineRule="auto"/>
              <w:jc w:val="center"/>
              <w:rPr>
                <w:sz w:val="21"/>
                <w:szCs w:val="21"/>
              </w:rPr>
            </w:pPr>
            <w:r>
              <w:rPr>
                <w:sz w:val="21"/>
                <w:szCs w:val="21"/>
              </w:rPr>
              <w:t>5</w:t>
            </w:r>
          </w:p>
        </w:tc>
        <w:tc>
          <w:tcPr>
            <w:tcW w:w="1795" w:type="pct"/>
            <w:vAlign w:val="center"/>
          </w:tcPr>
          <w:p>
            <w:pPr>
              <w:spacing w:line="240" w:lineRule="auto"/>
              <w:jc w:val="center"/>
              <w:rPr>
                <w:sz w:val="21"/>
                <w:szCs w:val="21"/>
              </w:rPr>
            </w:pPr>
            <w:r>
              <w:rPr>
                <w:sz w:val="21"/>
                <w:szCs w:val="21"/>
              </w:rPr>
              <w:t>南京工业大学</w:t>
            </w:r>
          </w:p>
        </w:tc>
        <w:tc>
          <w:tcPr>
            <w:tcW w:w="1203" w:type="pct"/>
            <w:vAlign w:val="center"/>
          </w:tcPr>
          <w:p>
            <w:pPr>
              <w:spacing w:line="240" w:lineRule="auto"/>
              <w:jc w:val="center"/>
              <w:rPr>
                <w:sz w:val="21"/>
                <w:szCs w:val="21"/>
              </w:rPr>
            </w:pPr>
            <w:r>
              <w:rPr>
                <w:sz w:val="21"/>
                <w:szCs w:val="21"/>
              </w:rPr>
              <w:t>2人</w:t>
            </w:r>
          </w:p>
        </w:tc>
        <w:tc>
          <w:tcPr>
            <w:tcW w:w="1168" w:type="pct"/>
            <w:vAlign w:val="center"/>
          </w:tcPr>
          <w:p>
            <w:pPr>
              <w:spacing w:line="240" w:lineRule="auto"/>
              <w:jc w:val="center"/>
              <w:rPr>
                <w:sz w:val="21"/>
                <w:szCs w:val="21"/>
              </w:rPr>
            </w:pPr>
            <w:r>
              <w:rPr>
                <w:sz w:val="21"/>
                <w:szCs w:val="21"/>
              </w:rPr>
              <w:t>4.89%</w:t>
            </w:r>
          </w:p>
        </w:tc>
      </w:tr>
    </w:tbl>
    <w:p>
      <w:pPr>
        <w:ind w:firstLine="482"/>
      </w:pPr>
      <w:r>
        <w:t>国外升学：无</w:t>
      </w:r>
    </w:p>
    <w:p>
      <w:pPr>
        <w:ind w:firstLine="482"/>
      </w:pPr>
      <w:r>
        <w:t>（5）就业工作的专业对口情况</w:t>
      </w:r>
    </w:p>
    <w:p>
      <w:pPr>
        <w:ind w:firstLine="482"/>
      </w:pPr>
      <w:r>
        <w:t>说明：本部分已就业总人数，不包括升学、出国（境）、应征入伍等。</w:t>
      </w:r>
    </w:p>
    <w:p>
      <w:pPr>
        <w:ind w:firstLine="482"/>
      </w:pPr>
      <w:r>
        <w:t>毕业生当前所在工作单位或者所从事工作岗位与所学专业对口率较高的共28人，占已就业总人数的73.68%。主要集中在天津药明康德新药开发有限公司、青岛迪爱生精细化学有限公司、山东金城医药集团股份有限公司、济南国鼎医药科技有限公司、山东罗欣药业集团股份有限公司、山东安舜制药有限公司、山东东岳高分子材料有限公司、济南韶远医药技术有限公司等。</w:t>
      </w:r>
    </w:p>
    <w:p>
      <w:pPr>
        <w:spacing w:line="240" w:lineRule="auto"/>
        <w:jc w:val="center"/>
        <w:rPr>
          <w:b/>
          <w:bCs/>
          <w:sz w:val="21"/>
          <w:szCs w:val="21"/>
        </w:rPr>
      </w:pPr>
      <w:r>
        <w:rPr>
          <w:b/>
          <w:bCs/>
          <w:sz w:val="21"/>
          <w:szCs w:val="21"/>
        </w:rPr>
        <w:t>表6.毕业生专业对口情况统计表</w:t>
      </w:r>
    </w:p>
    <w:tbl>
      <w:tblPr>
        <w:tblStyle w:val="17"/>
        <w:tblW w:w="5000" w:type="pct"/>
        <w:tblInd w:w="0" w:type="dxa"/>
        <w:tblLayout w:type="autofit"/>
        <w:tblCellMar>
          <w:top w:w="0" w:type="dxa"/>
          <w:left w:w="0" w:type="dxa"/>
          <w:bottom w:w="0" w:type="dxa"/>
          <w:right w:w="0" w:type="dxa"/>
        </w:tblCellMar>
      </w:tblPr>
      <w:tblGrid>
        <w:gridCol w:w="1923"/>
        <w:gridCol w:w="1297"/>
        <w:gridCol w:w="985"/>
        <w:gridCol w:w="1298"/>
        <w:gridCol w:w="1298"/>
        <w:gridCol w:w="1298"/>
        <w:gridCol w:w="776"/>
      </w:tblGrid>
      <w:tr>
        <w:trPr>
          <w:trHeight w:val="638" w:hRule="atLeast"/>
        </w:trPr>
        <w:tc>
          <w:tcPr>
            <w:tcW w:w="1084"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就业方式</w:t>
            </w:r>
          </w:p>
        </w:tc>
        <w:tc>
          <w:tcPr>
            <w:tcW w:w="7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企业就业</w:t>
            </w:r>
          </w:p>
        </w:tc>
        <w:tc>
          <w:tcPr>
            <w:tcW w:w="55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公务员</w:t>
            </w:r>
          </w:p>
        </w:tc>
        <w:tc>
          <w:tcPr>
            <w:tcW w:w="7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事业单位</w:t>
            </w:r>
          </w:p>
        </w:tc>
        <w:tc>
          <w:tcPr>
            <w:tcW w:w="7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自主创业</w:t>
            </w:r>
          </w:p>
        </w:tc>
        <w:tc>
          <w:tcPr>
            <w:tcW w:w="7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其他</w:t>
            </w:r>
          </w:p>
          <w:p>
            <w:pPr>
              <w:spacing w:line="240" w:lineRule="auto"/>
              <w:jc w:val="center"/>
              <w:rPr>
                <w:b/>
                <w:bCs/>
                <w:sz w:val="21"/>
                <w:szCs w:val="21"/>
              </w:rPr>
            </w:pPr>
            <w:r>
              <w:rPr>
                <w:b/>
                <w:bCs/>
                <w:sz w:val="21"/>
                <w:szCs w:val="21"/>
              </w:rPr>
              <w:t>就业形式</w:t>
            </w:r>
          </w:p>
        </w:tc>
        <w:tc>
          <w:tcPr>
            <w:tcW w:w="43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sz w:val="21"/>
                <w:szCs w:val="21"/>
              </w:rPr>
            </w:pPr>
            <w:r>
              <w:rPr>
                <w:b/>
                <w:bCs/>
                <w:sz w:val="21"/>
                <w:szCs w:val="21"/>
              </w:rPr>
              <w:t>合计</w:t>
            </w:r>
          </w:p>
        </w:tc>
      </w:tr>
      <w:tr>
        <w:tblPrEx>
          <w:tblCellMar>
            <w:top w:w="0" w:type="dxa"/>
            <w:left w:w="0" w:type="dxa"/>
            <w:bottom w:w="0" w:type="dxa"/>
            <w:right w:w="0" w:type="dxa"/>
          </w:tblCellMar>
        </w:tblPrEx>
        <w:trPr>
          <w:trHeight w:val="619" w:hRule="atLeast"/>
        </w:trPr>
        <w:tc>
          <w:tcPr>
            <w:tcW w:w="1084"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sz w:val="21"/>
                <w:szCs w:val="21"/>
              </w:rPr>
            </w:pPr>
            <w:r>
              <w:rPr>
                <w:sz w:val="21"/>
                <w:szCs w:val="21"/>
              </w:rPr>
              <w:t>对口就业人数</w:t>
            </w:r>
          </w:p>
        </w:tc>
        <w:tc>
          <w:tcPr>
            <w:tcW w:w="7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28人</w:t>
            </w:r>
          </w:p>
        </w:tc>
        <w:tc>
          <w:tcPr>
            <w:tcW w:w="55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0人</w:t>
            </w:r>
          </w:p>
        </w:tc>
        <w:tc>
          <w:tcPr>
            <w:tcW w:w="7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0人</w:t>
            </w:r>
          </w:p>
        </w:tc>
        <w:tc>
          <w:tcPr>
            <w:tcW w:w="7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0人</w:t>
            </w:r>
          </w:p>
        </w:tc>
        <w:tc>
          <w:tcPr>
            <w:tcW w:w="7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10人</w:t>
            </w:r>
          </w:p>
        </w:tc>
        <w:tc>
          <w:tcPr>
            <w:tcW w:w="43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38人</w:t>
            </w:r>
          </w:p>
        </w:tc>
      </w:tr>
      <w:tr>
        <w:tblPrEx>
          <w:tblCellMar>
            <w:top w:w="0" w:type="dxa"/>
            <w:left w:w="0" w:type="dxa"/>
            <w:bottom w:w="0" w:type="dxa"/>
            <w:right w:w="0" w:type="dxa"/>
          </w:tblCellMar>
        </w:tblPrEx>
        <w:trPr>
          <w:trHeight w:val="614" w:hRule="atLeast"/>
        </w:trPr>
        <w:tc>
          <w:tcPr>
            <w:tcW w:w="1084"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sz w:val="21"/>
                <w:szCs w:val="21"/>
              </w:rPr>
            </w:pPr>
            <w:r>
              <w:rPr>
                <w:sz w:val="21"/>
                <w:szCs w:val="21"/>
              </w:rPr>
              <w:t>占比</w:t>
            </w:r>
          </w:p>
        </w:tc>
        <w:tc>
          <w:tcPr>
            <w:tcW w:w="7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73.68%</w:t>
            </w:r>
          </w:p>
        </w:tc>
        <w:tc>
          <w:tcPr>
            <w:tcW w:w="55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w:t>
            </w:r>
          </w:p>
        </w:tc>
        <w:tc>
          <w:tcPr>
            <w:tcW w:w="7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w:t>
            </w:r>
          </w:p>
        </w:tc>
        <w:tc>
          <w:tcPr>
            <w:tcW w:w="7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0%</w:t>
            </w:r>
          </w:p>
        </w:tc>
        <w:tc>
          <w:tcPr>
            <w:tcW w:w="73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26.32%</w:t>
            </w:r>
          </w:p>
        </w:tc>
        <w:tc>
          <w:tcPr>
            <w:tcW w:w="437"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sz w:val="21"/>
                <w:szCs w:val="21"/>
              </w:rPr>
            </w:pPr>
            <w:r>
              <w:rPr>
                <w:sz w:val="21"/>
                <w:szCs w:val="21"/>
              </w:rPr>
              <w:t>100%</w:t>
            </w:r>
          </w:p>
        </w:tc>
      </w:tr>
    </w:tbl>
    <w:p>
      <w:pPr>
        <w:pStyle w:val="5"/>
        <w:spacing w:before="93" w:after="93"/>
        <w:ind w:firstLine="560"/>
      </w:pPr>
      <w:r>
        <w:t>六、毕业生就业创业（创业情况、采取的措施、典型案例等）</w:t>
      </w:r>
    </w:p>
    <w:p>
      <w:pPr>
        <w:pStyle w:val="6"/>
        <w:ind w:firstLine="480"/>
        <w:rPr>
          <w:rFonts w:eastAsia="宋体"/>
          <w:kern w:val="2"/>
          <w:szCs w:val="22"/>
        </w:rPr>
      </w:pPr>
      <w:r>
        <w:rPr>
          <w:rFonts w:eastAsia="宋体"/>
          <w:kern w:val="2"/>
          <w:szCs w:val="22"/>
        </w:rPr>
        <w:t>学院采取本科生全程导师制为创业提供老师支持，同时立足学院实际为创业团队每年提供5000元运转资金，并在创业场所与办公设施建设上予以特别支持，在成立创业公司后努力拓宽渠道向产品多元，种类多样发展。</w:t>
      </w:r>
    </w:p>
    <w:p>
      <w:pPr>
        <w:pStyle w:val="5"/>
        <w:spacing w:before="93" w:after="93"/>
        <w:ind w:firstLine="560"/>
      </w:pPr>
      <w:r>
        <w:t>七、专业发展趋势及建议</w:t>
      </w:r>
    </w:p>
    <w:p>
      <w:pPr>
        <w:ind w:firstLine="480"/>
      </w:pPr>
      <w:r>
        <w:t>材料化学专业围绕新一轮材料科技革命和区域产业发展需求，贯彻山东省新旧动能转换和乡村振兴使命，秉承</w:t>
      </w:r>
      <w:r>
        <w:rPr>
          <w:rFonts w:hint="eastAsia"/>
        </w:rPr>
        <w:t>“</w:t>
      </w:r>
      <w:r>
        <w:t>学用结合、学以实为贵</w:t>
      </w:r>
      <w:r>
        <w:rPr>
          <w:rFonts w:hint="eastAsia"/>
        </w:rPr>
        <w:t>”</w:t>
      </w:r>
      <w:r>
        <w:t>的办学理念，发挥我校农林和生命学科优势，深化材料化学专业特色内涵，构建产教研协同育人培养模式，培养具有创新精神和实践能力的高素质应用型专业人才。</w:t>
      </w:r>
    </w:p>
    <w:p>
      <w:pPr>
        <w:ind w:firstLine="480"/>
      </w:pPr>
      <w:r>
        <w:t>专业特色优势：（1）依托我校作物生物学国家重点实验室和农业农村部农膜应用重点实验室等国家级和部级科研平台，持续推进材料化学与农业、生命和环境科学的交叉融合，打造了</w:t>
      </w:r>
      <w:r>
        <w:rPr>
          <w:rFonts w:hint="eastAsia"/>
        </w:rPr>
        <w:t>“</w:t>
      </w:r>
      <w:r>
        <w:t>科教+农理</w:t>
      </w:r>
      <w:r>
        <w:rPr>
          <w:rFonts w:hint="eastAsia"/>
        </w:rPr>
        <w:t>”</w:t>
      </w:r>
      <w:r>
        <w:t>融合的专业特色，强化了在新能源材料、生物基材料、农用绿色材料等领域的材料化学专项知识体系培养。（2）建立了以产业需求为导向的</w:t>
      </w:r>
      <w:r>
        <w:rPr>
          <w:rFonts w:hint="eastAsia"/>
        </w:rPr>
        <w:t>“</w:t>
      </w:r>
      <w:r>
        <w:t>材料化学+</w:t>
      </w:r>
      <w:r>
        <w:rPr>
          <w:rFonts w:hint="eastAsia"/>
        </w:rPr>
        <w:t>”</w:t>
      </w:r>
      <w:r>
        <w:t>跨学科创新能力培养机制和</w:t>
      </w:r>
      <w:r>
        <w:rPr>
          <w:rFonts w:hint="eastAsia"/>
        </w:rPr>
        <w:t>“</w:t>
      </w:r>
      <w:r>
        <w:t>创新+实践</w:t>
      </w:r>
      <w:r>
        <w:rPr>
          <w:rFonts w:hint="eastAsia"/>
        </w:rPr>
        <w:t>”</w:t>
      </w:r>
      <w:r>
        <w:t>校企协同育人模式。培养具有农林交叉学科特色背景、材料和化学扎实学识和实践经验丰富的应用型复合人才。</w:t>
      </w:r>
    </w:p>
    <w:p>
      <w:pPr>
        <w:pStyle w:val="5"/>
        <w:spacing w:before="93" w:after="93"/>
        <w:ind w:firstLine="560"/>
      </w:pPr>
      <w:r>
        <w:t>八、存在的问题及整改措施</w:t>
      </w:r>
    </w:p>
    <w:p>
      <w:pPr>
        <w:ind w:firstLine="480"/>
      </w:pPr>
      <w:r>
        <w:t>目前专业建设中存在的问题主要在如下几个方面：</w:t>
      </w:r>
    </w:p>
    <w:p>
      <w:pPr>
        <w:ind w:firstLine="480"/>
      </w:pPr>
      <w:r>
        <w:t>1. 教师数量有待进一步增加，目前部分教师的工作量仍旧偏多（年均工作量300学时以上），建议增加每年引进教师的人数。此外，建议增加引进材料专业教师的数量，进一步优化教师专业结构。</w:t>
      </w:r>
    </w:p>
    <w:p>
      <w:pPr>
        <w:ind w:firstLine="480"/>
      </w:pPr>
      <w:r>
        <w:t>2. 为了均衡各学科发展，实现学科的快速提升，除了正常的引进博士学位的高层次人才外，还需引进领军人才，如泰山学者岗位专家等，加速学科发展。</w:t>
      </w:r>
    </w:p>
    <w:p>
      <w:pPr>
        <w:ind w:firstLine="480"/>
      </w:pPr>
      <w:r>
        <w:t>3. 增加对本校培养的教师的支持力度，适当给予科研经费、仪器和实验室等方面的支持，提高学院教师的教学科研积极性。</w:t>
      </w:r>
    </w:p>
    <w:p>
      <w:pPr>
        <w:ind w:firstLine="480"/>
      </w:pPr>
      <w:r>
        <w:t>4. 教师能力提升计划和职业规划亟待加强，尤其是稳定和长效政策文件支持，增强教师考核的同时，使教师职称评定上升通道畅通。</w:t>
      </w:r>
    </w:p>
    <w:p>
      <w:pPr>
        <w:ind w:firstLine="480"/>
      </w:pPr>
      <w:r>
        <w:t>5. 材料化学专业实验室面积少，材料化学专业的专业实验课程安排较满，建议提高材化专业的实验室的基本条件。</w:t>
      </w:r>
    </w:p>
    <w:p>
      <w:pPr>
        <w:ind w:firstLine="480"/>
      </w:pPr>
      <w:r>
        <w:t>6. 加大材化专业科研设备的投入。材化专业的科研设备较少和陈旧，无法满足本科生对学科发展的需求，适当的更新设备和购买用于材料表征的大型设备的投入。</w:t>
      </w:r>
    </w:p>
    <w:p>
      <w:r>
        <w:br w:type="page"/>
      </w:r>
    </w:p>
    <w:p>
      <w:pPr>
        <w:pStyle w:val="4"/>
        <w:ind w:firstLine="600"/>
      </w:pPr>
      <w:bookmarkStart w:id="826" w:name="_Toc12613"/>
      <w:r>
        <w:rPr>
          <w:rFonts w:hint="eastAsia"/>
          <w:lang w:val="en-US"/>
        </w:rPr>
        <w:t>专业七十八：</w:t>
      </w:r>
      <w:r>
        <w:t>资源循环科学与工程</w:t>
      </w:r>
      <w:bookmarkEnd w:id="826"/>
    </w:p>
    <w:p>
      <w:pPr>
        <w:pStyle w:val="5"/>
        <w:spacing w:before="93" w:after="93"/>
        <w:ind w:firstLine="560"/>
      </w:pPr>
      <w:r>
        <w:t>一、培养目标与规格</w:t>
      </w:r>
    </w:p>
    <w:p>
      <w:pPr>
        <w:ind w:firstLine="480" w:firstLineChars="200"/>
      </w:pPr>
      <w:r>
        <w:t>专业建设是高等学校最重要的教学基本建设，专业建设的状况反映和体现学校的办学水平、办学特色、学术地位和竞争力。我院资源循环科学与工程（以下简称：循工）专业作为一个理工结合并立足农业与生命科学的专业，在专业培养方面将进一步发挥我校优势，凝炼特色，在人才培养方面，继续深化</w:t>
      </w:r>
      <w:r>
        <w:rPr>
          <w:rFonts w:hint="eastAsia"/>
        </w:rPr>
        <w:t>“</w:t>
      </w:r>
      <w:r>
        <w:t>通识教育+精英教育</w:t>
      </w:r>
      <w:r>
        <w:rPr>
          <w:rFonts w:hint="eastAsia"/>
        </w:rPr>
        <w:t>”</w:t>
      </w:r>
      <w:r>
        <w:t>的人才培养模式，深入挖掘该人才培养模式的内涵，进一步提高人才培养质量。</w:t>
      </w:r>
    </w:p>
    <w:p>
      <w:pPr>
        <w:ind w:firstLine="480" w:firstLineChars="200"/>
      </w:pPr>
      <w:r>
        <w:t>为推动学院专业建设的发展，促进教学、科研水平和人才培养质量，循工专业根据学院总体发展规划，结合循工专业实际，开展了专业培养方案修订大讨论，并进行了充分的资源循环科学与工程专业培养方案调研。</w:t>
      </w:r>
    </w:p>
    <w:p>
      <w:pPr>
        <w:ind w:firstLine="480" w:firstLineChars="200"/>
      </w:pPr>
      <w:r>
        <w:t>本专业培养德、智、体全面发展的，具有人文科学、自然科学基础、外语、计算机应用能力，熟悉国内外资源循环科学发展现状、趋势和专业技术规范，具有扎实的化学、化工、资源循环科学专业知识和实验技能，具有良好的化工、资源循环工程设计与技术开发等实践能力、自主学习能力、团队协作和组织协调能力，以及较强的创新意识和社会责任感，能在化工、环保、建筑、材料、制药、能源等领域的科研机构、企事业单位从事资源循环利用、新能源开发、环境保护以及农林业、工业废物资源化等方面的科学研究、生产技术与管理的创新型人才。</w:t>
      </w:r>
    </w:p>
    <w:p>
      <w:pPr>
        <w:ind w:firstLine="480" w:firstLineChars="200"/>
      </w:pPr>
      <w:r>
        <w:t>主要学习化学、化工、资源循环工程基本知识、基本理论和基本技能，接受基础研究和应用研究方面的科学思维和科学方法训练，具有良好的科学素养，具备运用所学理论知识和实验技能进行科学研究、技术开发和经营管理能力。</w:t>
      </w:r>
    </w:p>
    <w:p>
      <w:pPr>
        <w:pStyle w:val="5"/>
        <w:spacing w:before="93" w:after="93"/>
        <w:ind w:firstLine="560"/>
      </w:pPr>
      <w:r>
        <w:t>二、培养能力（专业设置情况、在校生规模、课程设置情况、创新创业教育等）</w:t>
      </w:r>
    </w:p>
    <w:p>
      <w:pPr>
        <w:pStyle w:val="7"/>
        <w:ind w:firstLine="480"/>
      </w:pPr>
      <w:r>
        <w:t>1.学生应获取的知识与能力</w:t>
      </w:r>
    </w:p>
    <w:p>
      <w:pPr>
        <w:ind w:firstLine="480" w:firstLineChars="200"/>
      </w:pPr>
      <w:r>
        <w:t>（1）具有扎实的自然科学基础，良好的人文与社会科学素质、身心素质及表达能力；</w:t>
      </w:r>
    </w:p>
    <w:p>
      <w:pPr>
        <w:ind w:firstLine="480" w:firstLineChars="200"/>
      </w:pPr>
      <w:r>
        <w:t>（2）掌握计算机的使用、计算机的软件与硬件的基础知识，具有较强的计算机运用能力；</w:t>
      </w:r>
    </w:p>
    <w:p>
      <w:pPr>
        <w:ind w:firstLine="480" w:firstLineChars="200"/>
      </w:pPr>
      <w:r>
        <w:t>（3）掌握一门外语，具有一定的听、说、读、写能力；</w:t>
      </w:r>
    </w:p>
    <w:p>
      <w:pPr>
        <w:ind w:firstLine="480" w:firstLineChars="200"/>
      </w:pPr>
      <w:r>
        <w:t>（4）系统学习和掌握化学、化工、资源循环科学基本理论，具有扎实的专业基础知识与实验技能，培养科学的思维能力，接受基础与应用研究方法与技能的系统训练；</w:t>
      </w:r>
    </w:p>
    <w:p>
      <w:pPr>
        <w:ind w:firstLine="480" w:firstLineChars="200"/>
      </w:pPr>
      <w:r>
        <w:t>（5）树立终身学习的观念，具有独立获取知识和信息的能力，能以英语为工具，比较熟练地阅读本专业外文文献，获取专业所需信息。</w:t>
      </w:r>
    </w:p>
    <w:p>
      <w:pPr>
        <w:ind w:firstLine="480" w:firstLineChars="200"/>
      </w:pPr>
      <w:r>
        <w:t>（6）具有综合运用化学、化工、资源循环科学专业知识解决生产实际问题的能力；</w:t>
      </w:r>
    </w:p>
    <w:p>
      <w:pPr>
        <w:ind w:firstLine="480" w:firstLineChars="200"/>
      </w:pPr>
      <w:r>
        <w:t>（7）具有较强的自学能力和适用科技发展的应变能力，具有创新意识和独立获取新知识的能力，具有初步的技术经济分析与评价、生产组织管理和协调能力；</w:t>
      </w:r>
    </w:p>
    <w:p>
      <w:pPr>
        <w:ind w:firstLine="480" w:firstLineChars="200"/>
      </w:pPr>
      <w:r>
        <w:t>（8）掌握化学、化工、资源循环科学信息检索，资料查询、数据库使用方法与技巧，具有较强的计算机及网络应用能力；</w:t>
      </w:r>
    </w:p>
    <w:p>
      <w:pPr>
        <w:ind w:firstLine="480" w:firstLineChars="200"/>
      </w:pPr>
      <w:r>
        <w:t>（9）具有扎实的实验设计、分析处理实验结果、撰写论文及参与学术交流的能力；</w:t>
      </w:r>
    </w:p>
    <w:p>
      <w:pPr>
        <w:ind w:firstLine="480" w:firstLineChars="200"/>
      </w:pPr>
      <w:r>
        <w:t>（10）掌握现代化学、化工、资源循环科学理论、方法，资源循环工程设计及各类资源循环利用技术；</w:t>
      </w:r>
    </w:p>
    <w:p>
      <w:pPr>
        <w:ind w:firstLine="480" w:firstLineChars="200"/>
      </w:pPr>
      <w:r>
        <w:t>（11）了解资源循环科学研究前沿、应用前景、最新发展动态及化工和资源循环相关产业发展动态；了解国家关于科学技术、资源循环相关产业、知识产权等方面的政策、法规；</w:t>
      </w:r>
    </w:p>
    <w:p>
      <w:pPr>
        <w:ind w:firstLine="480" w:firstLineChars="200"/>
      </w:pPr>
      <w:r>
        <w:t>（12）能胜任化工、环保、建筑、材料、能源、农林等企业或研究机构的科学研究、生产管理等工作，或胜任中等学校教学工作。</w:t>
      </w:r>
    </w:p>
    <w:p>
      <w:pPr>
        <w:pStyle w:val="6"/>
        <w:ind w:firstLine="480"/>
      </w:pPr>
      <w:r>
        <w:t>2.专业设置情况、在校生规模</w:t>
      </w:r>
    </w:p>
    <w:p>
      <w:pPr>
        <w:ind w:firstLine="480" w:firstLineChars="200"/>
      </w:pPr>
      <w:r>
        <w:t>资源循环科学与工程专业本科基本学制为4年，学习年限为3－8年。按要求完成学业且符合授予条件者授予工学学士学位。</w:t>
      </w:r>
    </w:p>
    <w:p>
      <w:pPr>
        <w:ind w:firstLine="480" w:firstLineChars="200"/>
      </w:pPr>
      <w:r>
        <w:t>2018年学院实行化学大类招生，将在大二进行专业分流，目前资源循环科学与工程专业在校生有一个年级，两个教学班，共计51人。</w:t>
      </w:r>
    </w:p>
    <w:p>
      <w:pPr>
        <w:pStyle w:val="6"/>
        <w:ind w:firstLine="480"/>
      </w:pPr>
      <w:r>
        <w:t>3.课程设置情况</w:t>
      </w:r>
    </w:p>
    <w:p>
      <w:pPr>
        <w:ind w:firstLine="480" w:firstLineChars="200"/>
      </w:pPr>
      <w:r>
        <w:t>包括课程和实践环节，共计170学分。</w:t>
      </w:r>
    </w:p>
    <w:p>
      <w:pPr>
        <w:ind w:firstLine="480" w:firstLineChars="200"/>
      </w:pPr>
      <w:r>
        <w:t>其中，必修课总学分108、选修课学分31、实验学分（19学分）和实践环节学分（35.5学分）共54.5学分，占总学分32.1%。</w:t>
      </w:r>
    </w:p>
    <w:p>
      <w:pPr>
        <w:ind w:firstLine="480" w:firstLineChars="200"/>
      </w:pPr>
      <w:r>
        <w:t>资源循环科学与工程专业的课程设置包括通识必修课、通识选修课、学科基础科、专业核心课、专业拓展教育课、专业方向课六大部分。主要课程有资源循环科学与工程、无机化学、分析化学、有机化学、物理化学、化工原理、资源循环科学与工程、绿色化学、环境科学基础、废弃物资源化等。</w:t>
      </w:r>
    </w:p>
    <w:p>
      <w:pPr>
        <w:ind w:firstLine="480" w:firstLineChars="200"/>
      </w:pPr>
      <w:r>
        <w:t>实践环节（含实验）主要包括实验、基础实践、专业实践和综合实践四大部分，主要有无机化学实验、分析化学实验、有机化学实验、物理化学实验、仪器分析实验、化工原理实验、资源循环利用实验、资源循环科学与工程专业认识实习、工业实习、资源循环利用工程基础课程设计、废物资源化产品开发课程设计、毕业论文及毕业设计、创业实践。</w:t>
      </w:r>
    </w:p>
    <w:p>
      <w:pPr>
        <w:pStyle w:val="6"/>
        <w:ind w:firstLine="480"/>
      </w:pPr>
      <w:r>
        <w:t>4.创新创业教育</w:t>
      </w:r>
    </w:p>
    <w:p>
      <w:pPr>
        <w:ind w:firstLine="480" w:firstLineChars="200"/>
      </w:pPr>
      <w:r>
        <w:t>通过多种途径或方式鼓励学生进行创新创业活动，全年共举办创新创业讲座、大学生创新创业大赛3场，鼓励学生积极申报国家、省、学校各类创新研究项目，全年共申请立项项目13项，项目总经费15万元，13项成功结题。参加各级创新创业大赛及山东省大学生实验技能大赛，共获各类奖项20余项。</w:t>
      </w:r>
    </w:p>
    <w:p>
      <w:pPr>
        <w:pStyle w:val="5"/>
        <w:spacing w:before="93" w:after="93"/>
        <w:ind w:firstLine="560"/>
      </w:pPr>
      <w:r>
        <w:t>三、培养条件（教学经费投入、教学设备、教师队伍建设、实习基地、现代教学技术应用等）</w:t>
      </w:r>
    </w:p>
    <w:p>
      <w:pPr>
        <w:ind w:firstLine="480" w:firstLineChars="200"/>
        <w:outlineLvl w:val="3"/>
        <w:rPr>
          <w:rFonts w:eastAsia="黑体"/>
          <w:bCs/>
          <w:kern w:val="0"/>
          <w:szCs w:val="24"/>
          <w:lang w:val="zh-CN"/>
        </w:rPr>
      </w:pPr>
      <w:r>
        <w:rPr>
          <w:rFonts w:eastAsia="黑体"/>
          <w:bCs/>
          <w:kern w:val="0"/>
          <w:szCs w:val="24"/>
          <w:lang w:val="zh-CN"/>
        </w:rPr>
        <w:t>1</w:t>
      </w:r>
      <w:r>
        <w:rPr>
          <w:rFonts w:eastAsia="黑体"/>
          <w:bCs/>
          <w:kern w:val="0"/>
          <w:szCs w:val="24"/>
        </w:rPr>
        <w:t>.</w:t>
      </w:r>
      <w:r>
        <w:rPr>
          <w:rFonts w:eastAsia="黑体"/>
          <w:bCs/>
          <w:kern w:val="0"/>
          <w:szCs w:val="24"/>
          <w:lang w:val="zh-CN"/>
        </w:rPr>
        <w:t>经费投入</w:t>
      </w:r>
    </w:p>
    <w:p>
      <w:pPr>
        <w:ind w:firstLine="480" w:firstLineChars="200"/>
      </w:pPr>
      <w:r>
        <w:t>为维持资源循环科学与工程专业教学的正常运行，学院每年投入教学经费约140万元，实验经费约80万元，主要用于学生实验的药品试剂、低值易耗、创新研究、师资培养等支出。</w:t>
      </w:r>
    </w:p>
    <w:p>
      <w:pPr>
        <w:ind w:firstLine="480" w:firstLineChars="200"/>
        <w:outlineLvl w:val="3"/>
        <w:rPr>
          <w:rFonts w:eastAsia="黑体"/>
          <w:bCs/>
          <w:kern w:val="0"/>
          <w:szCs w:val="24"/>
          <w:lang w:val="zh-CN"/>
        </w:rPr>
      </w:pPr>
      <w:r>
        <w:rPr>
          <w:rFonts w:eastAsia="黑体"/>
          <w:bCs/>
          <w:kern w:val="0"/>
          <w:szCs w:val="24"/>
          <w:lang w:val="zh-CN"/>
        </w:rPr>
        <w:t>2</w:t>
      </w:r>
      <w:r>
        <w:rPr>
          <w:rFonts w:eastAsia="黑体"/>
          <w:bCs/>
          <w:kern w:val="0"/>
          <w:szCs w:val="24"/>
        </w:rPr>
        <w:t>.</w:t>
      </w:r>
      <w:r>
        <w:rPr>
          <w:rFonts w:eastAsia="黑体"/>
          <w:bCs/>
          <w:kern w:val="0"/>
          <w:szCs w:val="24"/>
          <w:lang w:val="zh-CN"/>
        </w:rPr>
        <w:t>教学设备</w:t>
      </w:r>
    </w:p>
    <w:p>
      <w:pPr>
        <w:ind w:firstLine="480" w:firstLineChars="200"/>
      </w:pPr>
      <w:r>
        <w:t>目前学院拥有原子吸收分光光度计、电化学工作站、高效液相色谱仪、微波消解样品处理仪、气相色谱仪、逆流色谱分析仪、元素分析仪、热重分析仪、荧光分析仪、差热分析仪、紫外-可见分光光度计、气相-串联质谱气质联用仪、等离子体原子发射光谱仪、高效毛细管电泳分析仪、表面等离子体共振仪、荧光磷光和化学发光功能一体化的分子发射光谱仪、傅立叶变换红外光谱仪等仪器设备，基本可满足教学需求。为了进一步改善教学条件，本专业本年度通过招标购置</w:t>
      </w:r>
      <w:r>
        <w:rPr>
          <w:rFonts w:hint="eastAsia"/>
        </w:rPr>
        <w:t>“</w:t>
      </w:r>
      <w:r>
        <w:t>激光拉曼光谱仪</w:t>
      </w:r>
      <w:r>
        <w:rPr>
          <w:rFonts w:hint="eastAsia"/>
        </w:rPr>
        <w:t>”</w:t>
      </w:r>
      <w:r>
        <w:t>、</w:t>
      </w:r>
      <w:r>
        <w:rPr>
          <w:rFonts w:hint="eastAsia"/>
        </w:rPr>
        <w:t>“</w:t>
      </w:r>
      <w:r>
        <w:t>纳米粒度仪</w:t>
      </w:r>
      <w:r>
        <w:rPr>
          <w:rFonts w:hint="eastAsia"/>
        </w:rPr>
        <w:t>”</w:t>
      </w:r>
      <w:r>
        <w:t>、</w:t>
      </w:r>
      <w:r>
        <w:rPr>
          <w:rFonts w:hint="eastAsia"/>
        </w:rPr>
        <w:t>“</w:t>
      </w:r>
      <w:r>
        <w:t>动态力学分析仪</w:t>
      </w:r>
      <w:r>
        <w:rPr>
          <w:rFonts w:hint="eastAsia"/>
        </w:rPr>
        <w:t>”</w:t>
      </w:r>
      <w:r>
        <w:t>、</w:t>
      </w:r>
      <w:r>
        <w:rPr>
          <w:rFonts w:hint="eastAsia"/>
        </w:rPr>
        <w:t>“</w:t>
      </w:r>
      <w:r>
        <w:t>超纯水制备仪器</w:t>
      </w:r>
      <w:r>
        <w:rPr>
          <w:rFonts w:hint="eastAsia"/>
        </w:rPr>
        <w:t>”</w:t>
      </w:r>
      <w:r>
        <w:t>、</w:t>
      </w:r>
      <w:r>
        <w:rPr>
          <w:rFonts w:hint="eastAsia"/>
        </w:rPr>
        <w:t>“</w:t>
      </w:r>
      <w:r>
        <w:t>电致化学发光仪</w:t>
      </w:r>
      <w:r>
        <w:rPr>
          <w:rFonts w:hint="eastAsia"/>
        </w:rPr>
        <w:t>”</w:t>
      </w:r>
      <w:r>
        <w:t>、</w:t>
      </w:r>
      <w:r>
        <w:rPr>
          <w:rFonts w:hint="eastAsia"/>
        </w:rPr>
        <w:t>“</w:t>
      </w:r>
      <w:r>
        <w:t>高速冷冻离心机</w:t>
      </w:r>
      <w:r>
        <w:rPr>
          <w:rFonts w:hint="eastAsia"/>
        </w:rPr>
        <w:t>”</w:t>
      </w:r>
      <w:r>
        <w:t>、</w:t>
      </w:r>
      <w:r>
        <w:rPr>
          <w:rFonts w:hint="eastAsia"/>
        </w:rPr>
        <w:t>“</w:t>
      </w:r>
      <w:r>
        <w:t>转矩流变仪</w:t>
      </w:r>
      <w:r>
        <w:rPr>
          <w:rFonts w:hint="eastAsia"/>
        </w:rPr>
        <w:t>”</w:t>
      </w:r>
      <w:r>
        <w:t>、</w:t>
      </w:r>
      <w:r>
        <w:rPr>
          <w:rFonts w:hint="eastAsia"/>
        </w:rPr>
        <w:t>“</w:t>
      </w:r>
      <w:r>
        <w:t>真空冷冻干燥机</w:t>
      </w:r>
      <w:r>
        <w:rPr>
          <w:rFonts w:hint="eastAsia"/>
        </w:rPr>
        <w:t>”</w:t>
      </w:r>
      <w:r>
        <w:t>、</w:t>
      </w:r>
      <w:r>
        <w:rPr>
          <w:rFonts w:hint="eastAsia"/>
        </w:rPr>
        <w:t>“</w:t>
      </w:r>
      <w:r>
        <w:t>微波合成仪</w:t>
      </w:r>
      <w:r>
        <w:rPr>
          <w:rFonts w:hint="eastAsia"/>
        </w:rPr>
        <w:t>”</w:t>
      </w:r>
      <w:r>
        <w:t>、</w:t>
      </w:r>
      <w:r>
        <w:rPr>
          <w:rFonts w:hint="eastAsia"/>
        </w:rPr>
        <w:t>“</w:t>
      </w:r>
      <w:r>
        <w:t>紫外光谱仪</w:t>
      </w:r>
      <w:r>
        <w:rPr>
          <w:rFonts w:hint="eastAsia"/>
        </w:rPr>
        <w:t>”</w:t>
      </w:r>
      <w:r>
        <w:t>、</w:t>
      </w:r>
      <w:r>
        <w:rPr>
          <w:rFonts w:hint="eastAsia"/>
        </w:rPr>
        <w:t>“</w:t>
      </w:r>
      <w:r>
        <w:t>电子分析天平</w:t>
      </w:r>
      <w:r>
        <w:rPr>
          <w:rFonts w:hint="eastAsia"/>
        </w:rPr>
        <w:t>”</w:t>
      </w:r>
      <w:r>
        <w:t>、</w:t>
      </w:r>
      <w:r>
        <w:rPr>
          <w:rFonts w:hint="eastAsia"/>
        </w:rPr>
        <w:t>“</w:t>
      </w:r>
      <w:r>
        <w:t>扫描电子显微镜</w:t>
      </w:r>
      <w:r>
        <w:rPr>
          <w:rFonts w:hint="eastAsia"/>
        </w:rPr>
        <w:t>”</w:t>
      </w:r>
      <w:r>
        <w:t>、</w:t>
      </w:r>
      <w:r>
        <w:rPr>
          <w:rFonts w:hint="eastAsia"/>
        </w:rPr>
        <w:t>“</w:t>
      </w:r>
      <w:r>
        <w:t>X-射线衍射仪</w:t>
      </w:r>
      <w:r>
        <w:rPr>
          <w:rFonts w:hint="eastAsia"/>
        </w:rPr>
        <w:t>”</w:t>
      </w:r>
      <w:r>
        <w:t>、</w:t>
      </w:r>
      <w:r>
        <w:rPr>
          <w:rFonts w:hint="eastAsia"/>
        </w:rPr>
        <w:t>“</w:t>
      </w:r>
      <w:r>
        <w:t>光催化系统</w:t>
      </w:r>
      <w:r>
        <w:rPr>
          <w:rFonts w:hint="eastAsia"/>
        </w:rPr>
        <w:t>”</w:t>
      </w:r>
      <w:r>
        <w:t>、</w:t>
      </w:r>
      <w:r>
        <w:rPr>
          <w:rFonts w:hint="eastAsia"/>
        </w:rPr>
        <w:t>“</w:t>
      </w:r>
      <w:r>
        <w:t>无氧操作箱</w:t>
      </w:r>
      <w:r>
        <w:rPr>
          <w:rFonts w:hint="eastAsia"/>
        </w:rPr>
        <w:t>”</w:t>
      </w:r>
      <w:r>
        <w:t>、</w:t>
      </w:r>
      <w:r>
        <w:rPr>
          <w:rFonts w:hint="eastAsia"/>
        </w:rPr>
        <w:t>“</w:t>
      </w:r>
      <w:r>
        <w:t>红外光谱分析仪</w:t>
      </w:r>
      <w:r>
        <w:rPr>
          <w:rFonts w:hint="eastAsia"/>
        </w:rPr>
        <w:t>”</w:t>
      </w:r>
      <w:r>
        <w:t>、</w:t>
      </w:r>
      <w:r>
        <w:rPr>
          <w:rFonts w:hint="eastAsia"/>
        </w:rPr>
        <w:t>“</w:t>
      </w:r>
      <w:r>
        <w:t>湿度仪</w:t>
      </w:r>
      <w:r>
        <w:rPr>
          <w:rFonts w:hint="eastAsia"/>
        </w:rPr>
        <w:t>”</w:t>
      </w:r>
      <w:r>
        <w:t>、</w:t>
      </w:r>
      <w:r>
        <w:rPr>
          <w:rFonts w:hint="eastAsia"/>
        </w:rPr>
        <w:t>“</w:t>
      </w:r>
      <w:r>
        <w:t>专用服务器</w:t>
      </w:r>
      <w:r>
        <w:rPr>
          <w:rFonts w:hint="eastAsia"/>
        </w:rPr>
        <w:t>”</w:t>
      </w:r>
      <w:r>
        <w:t>、</w:t>
      </w:r>
      <w:r>
        <w:rPr>
          <w:rFonts w:hint="eastAsia"/>
        </w:rPr>
        <w:t>“</w:t>
      </w:r>
      <w:r>
        <w:t>接触角测定仪</w:t>
      </w:r>
      <w:r>
        <w:rPr>
          <w:rFonts w:hint="eastAsia"/>
        </w:rPr>
        <w:t>”</w:t>
      </w:r>
      <w:r>
        <w:t>、</w:t>
      </w:r>
      <w:r>
        <w:rPr>
          <w:rFonts w:hint="eastAsia"/>
        </w:rPr>
        <w:t>“</w:t>
      </w:r>
      <w:r>
        <w:t>高压灭菌锅</w:t>
      </w:r>
      <w:r>
        <w:rPr>
          <w:rFonts w:hint="eastAsia"/>
        </w:rPr>
        <w:t>”</w:t>
      </w:r>
      <w:r>
        <w:t>、</w:t>
      </w:r>
      <w:r>
        <w:rPr>
          <w:rFonts w:hint="eastAsia"/>
        </w:rPr>
        <w:t>“</w:t>
      </w:r>
      <w:r>
        <w:t>高温高压合成微型反应</w:t>
      </w:r>
      <w:r>
        <w:rPr>
          <w:rFonts w:hint="eastAsia"/>
        </w:rPr>
        <w:t>”</w:t>
      </w:r>
      <w:r>
        <w:t>、</w:t>
      </w:r>
      <w:r>
        <w:rPr>
          <w:rFonts w:hint="eastAsia"/>
        </w:rPr>
        <w:t>“</w:t>
      </w:r>
      <w:r>
        <w:t>立式冷藏柜</w:t>
      </w:r>
      <w:r>
        <w:rPr>
          <w:rFonts w:hint="eastAsia"/>
        </w:rPr>
        <w:t>”</w:t>
      </w:r>
      <w:r>
        <w:t>、</w:t>
      </w:r>
      <w:r>
        <w:rPr>
          <w:rFonts w:hint="eastAsia"/>
        </w:rPr>
        <w:t>“</w:t>
      </w:r>
      <w:r>
        <w:t>电阻检测仪</w:t>
      </w:r>
      <w:r>
        <w:rPr>
          <w:rFonts w:hint="eastAsia"/>
        </w:rPr>
        <w:t>”</w:t>
      </w:r>
      <w:r>
        <w:t>、</w:t>
      </w:r>
      <w:r>
        <w:rPr>
          <w:rFonts w:hint="eastAsia"/>
        </w:rPr>
        <w:t>“</w:t>
      </w:r>
      <w:r>
        <w:t>高温管式电阻炉</w:t>
      </w:r>
      <w:r>
        <w:rPr>
          <w:rFonts w:hint="eastAsia"/>
        </w:rPr>
        <w:t>”</w:t>
      </w:r>
      <w:r>
        <w:t>等仪器，为学生开展创新研究活动提供了有力保障。</w:t>
      </w:r>
    </w:p>
    <w:p>
      <w:pPr>
        <w:ind w:firstLine="480" w:firstLineChars="200"/>
        <w:outlineLvl w:val="3"/>
        <w:rPr>
          <w:rFonts w:eastAsia="黑体"/>
          <w:bCs/>
          <w:kern w:val="0"/>
          <w:szCs w:val="24"/>
          <w:lang w:val="zh-CN"/>
        </w:rPr>
      </w:pPr>
      <w:r>
        <w:rPr>
          <w:rFonts w:eastAsia="黑体"/>
          <w:bCs/>
          <w:kern w:val="0"/>
          <w:szCs w:val="24"/>
          <w:lang w:val="zh-CN"/>
        </w:rPr>
        <w:t>3</w:t>
      </w:r>
      <w:r>
        <w:rPr>
          <w:rFonts w:eastAsia="黑体"/>
          <w:bCs/>
          <w:kern w:val="0"/>
          <w:szCs w:val="24"/>
        </w:rPr>
        <w:t>.</w:t>
      </w:r>
      <w:r>
        <w:rPr>
          <w:rFonts w:eastAsia="黑体"/>
          <w:bCs/>
          <w:kern w:val="0"/>
          <w:szCs w:val="24"/>
          <w:lang w:val="zh-CN"/>
        </w:rPr>
        <w:t>教师队伍建设</w:t>
      </w:r>
    </w:p>
    <w:p>
      <w:pPr>
        <w:ind w:firstLine="480" w:firstLineChars="200"/>
      </w:pPr>
      <w:r>
        <w:t>（1）引进教师情况  本年度引进博士五名，其中六人分别作为有机化学、化学工程、物理化学、生物医学工程等课程的教师储备，还有一人作为实验技术人员储备。为提升本专业与农业、生命科学相结合的深度与广度提供了新的增长点。</w:t>
      </w:r>
    </w:p>
    <w:p>
      <w:pPr>
        <w:ind w:firstLine="480" w:firstLineChars="200"/>
      </w:pPr>
      <w:r>
        <w:t>（2）师资队伍结构变化  资源循环科学与工程专业目前有专任教师15名，拥有博士学位的教师15人，占100%，副教授以上职称的教师9人，占64%。40岁以下教师6人，占43%。教师队伍学历结构得到进一步提升。</w:t>
      </w:r>
    </w:p>
    <w:p>
      <w:pPr>
        <w:ind w:firstLine="480" w:firstLineChars="200"/>
      </w:pPr>
      <w:r>
        <w:t>（3）加强师资队伍建设的情况</w:t>
      </w:r>
    </w:p>
    <w:p>
      <w:pPr>
        <w:ind w:firstLine="480" w:firstLineChars="200"/>
      </w:pPr>
      <w:r>
        <w:t>学院积极鼓励和支持本专业的教师在国内外高校进修。本年度获国家自然科学面上项目一项，省自然科学基金4项。通过观摩教学、青年教师讲课技能比赛、指导教师全程指导等方式，使广大教师的教学能力与教学水平得到进一步提升。</w:t>
      </w:r>
    </w:p>
    <w:p>
      <w:pPr>
        <w:ind w:firstLine="480" w:firstLineChars="200"/>
        <w:outlineLvl w:val="3"/>
        <w:rPr>
          <w:rFonts w:eastAsia="黑体"/>
          <w:bCs/>
          <w:kern w:val="0"/>
          <w:szCs w:val="24"/>
          <w:lang w:val="zh-CN"/>
        </w:rPr>
      </w:pPr>
      <w:r>
        <w:rPr>
          <w:rFonts w:eastAsia="黑体"/>
          <w:bCs/>
          <w:kern w:val="0"/>
          <w:szCs w:val="24"/>
          <w:lang w:val="zh-CN"/>
        </w:rPr>
        <w:t>4</w:t>
      </w:r>
      <w:r>
        <w:rPr>
          <w:rFonts w:eastAsia="黑体"/>
          <w:bCs/>
          <w:kern w:val="0"/>
          <w:szCs w:val="24"/>
        </w:rPr>
        <w:t>.</w:t>
      </w:r>
      <w:r>
        <w:rPr>
          <w:rFonts w:eastAsia="黑体"/>
          <w:bCs/>
          <w:kern w:val="0"/>
          <w:szCs w:val="24"/>
          <w:lang w:val="zh-CN"/>
        </w:rPr>
        <w:t>实习基地</w:t>
      </w:r>
    </w:p>
    <w:p>
      <w:pPr>
        <w:ind w:firstLine="480" w:firstLineChars="200"/>
      </w:pPr>
      <w:r>
        <w:t>本专业现有固定实习基地七个，分别为山东京博控股股份有限公司、山东九鑫集团有限公司、山东瑞星化学工业集团总公司、济宁中山公用水务有限公司、莱芜金冠达塑胶材料有限公司、泰安路德工程材料有限公司、山东欧凯制管有限公司、龙口海恒新型环保燃料科技有限公司。本年度组织资源循环科学与工程专业2017级学生未能去实习基地参观实习，改为线上学习。组织与本专业相关教师去实习基地进行观摩、考察、探讨项目合作多次，达成了多项共识，下一步将具体落实。</w:t>
      </w:r>
    </w:p>
    <w:p>
      <w:pPr>
        <w:ind w:firstLine="480" w:firstLineChars="200"/>
        <w:outlineLvl w:val="3"/>
        <w:rPr>
          <w:rFonts w:eastAsia="黑体"/>
          <w:bCs/>
          <w:kern w:val="0"/>
          <w:szCs w:val="24"/>
          <w:lang w:val="zh-CN"/>
        </w:rPr>
      </w:pPr>
      <w:r>
        <w:rPr>
          <w:rFonts w:eastAsia="黑体"/>
          <w:bCs/>
          <w:kern w:val="0"/>
          <w:szCs w:val="24"/>
          <w:lang w:val="zh-CN"/>
        </w:rPr>
        <w:t>5</w:t>
      </w:r>
      <w:r>
        <w:rPr>
          <w:rFonts w:eastAsia="黑体"/>
          <w:bCs/>
          <w:kern w:val="0"/>
          <w:szCs w:val="24"/>
        </w:rPr>
        <w:t>.</w:t>
      </w:r>
      <w:r>
        <w:rPr>
          <w:rFonts w:eastAsia="黑体"/>
          <w:bCs/>
          <w:kern w:val="0"/>
          <w:szCs w:val="24"/>
          <w:lang w:val="zh-CN"/>
        </w:rPr>
        <w:t>现代教学技术应用</w:t>
      </w:r>
    </w:p>
    <w:p>
      <w:pPr>
        <w:ind w:firstLine="480" w:firstLineChars="200"/>
      </w:pPr>
      <w:r>
        <w:t>为了提升理论课程教学水平与教学质量，广大专业课程教师主动学习新技术、新手段，不但充实了课堂教学内容，同时还做到了课堂教学的生动活泼、实用有效，配合名校工程建设工作，各专业课程教师都建立了个人的课程网站，为学生进行自主学习提供了多种平台。实验课教学方面，引进一些仿真软件，让学生先进行模拟实验，加深对实验原理、实验操作、相关注意事项的理解，提高实验教学质量。化工实验因更新了仪器设备，更加接近化工生产的实际，提升了专业实验教学水平。</w:t>
      </w:r>
    </w:p>
    <w:p>
      <w:pPr>
        <w:pStyle w:val="5"/>
        <w:spacing w:before="93" w:after="93"/>
        <w:ind w:firstLine="560"/>
      </w:pPr>
      <w:r>
        <w:t>四、培养机制与特色（产学研协同育人机制、合作办学、教学管理等）</w:t>
      </w:r>
    </w:p>
    <w:p>
      <w:pPr>
        <w:ind w:firstLine="480" w:firstLineChars="200"/>
        <w:outlineLvl w:val="3"/>
        <w:rPr>
          <w:rFonts w:eastAsia="黑体"/>
          <w:bCs/>
          <w:kern w:val="0"/>
          <w:szCs w:val="24"/>
          <w:lang w:val="zh-CN"/>
        </w:rPr>
      </w:pPr>
      <w:r>
        <w:rPr>
          <w:rFonts w:eastAsia="黑体"/>
          <w:bCs/>
          <w:kern w:val="0"/>
          <w:szCs w:val="24"/>
          <w:lang w:val="zh-CN"/>
        </w:rPr>
        <w:t>1</w:t>
      </w:r>
      <w:r>
        <w:rPr>
          <w:rFonts w:eastAsia="黑体"/>
          <w:bCs/>
          <w:kern w:val="0"/>
          <w:szCs w:val="24"/>
        </w:rPr>
        <w:t>.</w:t>
      </w:r>
      <w:r>
        <w:rPr>
          <w:rFonts w:eastAsia="黑体"/>
          <w:bCs/>
          <w:kern w:val="0"/>
          <w:szCs w:val="24"/>
          <w:lang w:val="zh-CN"/>
        </w:rPr>
        <w:t>产学研与合作办学</w:t>
      </w:r>
    </w:p>
    <w:p>
      <w:pPr>
        <w:ind w:firstLine="480" w:firstLineChars="200"/>
      </w:pPr>
      <w:r>
        <w:t>产学研协同育人机制：</w:t>
      </w:r>
    </w:p>
    <w:p>
      <w:pPr>
        <w:ind w:firstLine="480" w:firstLineChars="200"/>
        <w:rPr>
          <w:rFonts w:hint="eastAsia" w:eastAsia="宋体"/>
          <w:lang w:eastAsia="zh-CN"/>
        </w:rPr>
      </w:pPr>
      <w:r>
        <w:t>加强产学研合作，积极探索产学研合作模式，以平台建设、学术报告、项目申报等形式推动产学研合作。鼓励与支持专业教师与企业、公司合作进行横向联合，解决化学工业生产中的实践问题</w:t>
      </w:r>
      <w:r>
        <w:rPr>
          <w:rFonts w:hint="eastAsia"/>
          <w:lang w:eastAsia="zh-CN"/>
        </w:rPr>
        <w:t>。</w:t>
      </w:r>
    </w:p>
    <w:p>
      <w:pPr>
        <w:ind w:firstLine="480" w:firstLineChars="200"/>
      </w:pPr>
      <w:r>
        <w:t>组织机构：成立了由教学、科研、生产三方组成的产学研合作委员会，具体人员组成如下。</w:t>
      </w:r>
    </w:p>
    <w:p>
      <w:pPr>
        <w:ind w:firstLine="480" w:firstLineChars="200"/>
      </w:pPr>
      <w:r>
        <w:t>主任：艾仕云（山东农业大学化学与材料科学学院），周杰（山东省环保厅）</w:t>
      </w:r>
    </w:p>
    <w:p>
      <w:pPr>
        <w:ind w:firstLine="480" w:firstLineChars="200"/>
      </w:pPr>
      <w:r>
        <w:t>委员：朱树华（山东农业大学化学与材料科学学院），张瑞鼎（瑞星集团总工程师），欧阳秋英（山东春潮色母料集团总经理）</w:t>
      </w:r>
    </w:p>
    <w:p>
      <w:pPr>
        <w:ind w:firstLine="480" w:firstLineChars="200"/>
      </w:pPr>
      <w:r>
        <w:t>合作办学：</w:t>
      </w:r>
    </w:p>
    <w:p>
      <w:pPr>
        <w:ind w:firstLine="480" w:firstLineChars="200"/>
      </w:pPr>
      <w:r>
        <w:t>成立了由学院领导、专业主任和合作方组成的合作办学委员会，具体人员组成如下：</w:t>
      </w:r>
    </w:p>
    <w:p>
      <w:pPr>
        <w:ind w:firstLine="480" w:firstLineChars="200"/>
      </w:pPr>
      <w:r>
        <w:t>主任：艾仕云（山东农业大学化学与材料科学学院），王培利（山东春潮色母粒集团董事长）</w:t>
      </w:r>
    </w:p>
    <w:p>
      <w:pPr>
        <w:ind w:firstLine="480" w:firstLineChars="200"/>
      </w:pPr>
      <w:r>
        <w:t>委员：姜林，艾仕云，李培强，孟广银（山东瑞星集团董事长）。</w:t>
      </w:r>
    </w:p>
    <w:p>
      <w:pPr>
        <w:ind w:firstLine="480" w:firstLineChars="200"/>
      </w:pPr>
      <w:r>
        <w:t>合作办学委员会具体负责协调学生在校学习和社会实践教学的各项工作，每半年召开一次全委会，研究合作办学的具体事宜。</w:t>
      </w:r>
    </w:p>
    <w:p>
      <w:pPr>
        <w:ind w:firstLine="480" w:firstLineChars="200"/>
      </w:pPr>
      <w:r>
        <w:t>合作创新平台建设方面：探索产学研合作创新平台建设体制机制，加强校企（校地）联合，学院与京博控股集团联合建成了</w:t>
      </w:r>
      <w:r>
        <w:rPr>
          <w:rFonts w:hint="eastAsia"/>
        </w:rPr>
        <w:t>“</w:t>
      </w:r>
      <w:r>
        <w:t>碳一化学</w:t>
      </w:r>
      <w:r>
        <w:rPr>
          <w:rFonts w:hint="eastAsia"/>
        </w:rPr>
        <w:t>”</w:t>
      </w:r>
      <w:r>
        <w:t>创新平台，由京博控股集团投资建设的</w:t>
      </w:r>
      <w:r>
        <w:rPr>
          <w:rFonts w:hint="eastAsia"/>
        </w:rPr>
        <w:t>“</w:t>
      </w:r>
      <w:r>
        <w:t>碳一化学实验室</w:t>
      </w:r>
      <w:r>
        <w:rPr>
          <w:rFonts w:hint="eastAsia"/>
        </w:rPr>
        <w:t>”</w:t>
      </w:r>
      <w:r>
        <w:t>已正式在我校挂牌运行，同时在京博控股基团的研发中心也设立了山东农业大学研究实验室，并制定了相应的产学研协同创新实施方案。学院还与德国巴斯夫集团合作共建实验室。</w:t>
      </w:r>
    </w:p>
    <w:p>
      <w:pPr>
        <w:ind w:firstLine="480" w:firstLineChars="200"/>
      </w:pPr>
      <w:r>
        <w:t>协同创新平台的建设，一方面将为本专业学生提供广阔的社会实践舞台，将所学专业知识应用于生产实践，丰富学生的学习和实践阅历；另一方面，平台的建设也为学生将来的就业提供有力保障。</w:t>
      </w:r>
    </w:p>
    <w:p>
      <w:pPr>
        <w:ind w:firstLine="480" w:firstLineChars="200"/>
      </w:pPr>
      <w:r>
        <w:t>本年度，本专业教师通过校企合作，共获合作项目3项，项目总经费达83万元。</w:t>
      </w:r>
    </w:p>
    <w:p>
      <w:pPr>
        <w:ind w:firstLine="480" w:firstLineChars="200"/>
        <w:outlineLvl w:val="3"/>
        <w:rPr>
          <w:rFonts w:eastAsia="黑体"/>
          <w:bCs/>
          <w:kern w:val="0"/>
          <w:szCs w:val="24"/>
          <w:lang w:val="zh-CN"/>
        </w:rPr>
      </w:pPr>
      <w:r>
        <w:rPr>
          <w:rFonts w:eastAsia="黑体"/>
          <w:bCs/>
          <w:kern w:val="0"/>
          <w:szCs w:val="24"/>
          <w:lang w:val="zh-CN"/>
        </w:rPr>
        <w:t>2</w:t>
      </w:r>
      <w:r>
        <w:rPr>
          <w:rFonts w:eastAsia="黑体"/>
          <w:bCs/>
          <w:kern w:val="0"/>
          <w:szCs w:val="24"/>
        </w:rPr>
        <w:t>.</w:t>
      </w:r>
      <w:r>
        <w:rPr>
          <w:rFonts w:eastAsia="黑体"/>
          <w:bCs/>
          <w:kern w:val="0"/>
          <w:szCs w:val="24"/>
          <w:lang w:val="zh-CN"/>
        </w:rPr>
        <w:t>教学管理</w:t>
      </w:r>
    </w:p>
    <w:p>
      <w:pPr>
        <w:ind w:firstLine="480" w:firstLineChars="200"/>
      </w:pPr>
      <w:r>
        <w:t>成立了以主管教学院长为组长，专业主任、实验中心主任、系主任、院教务秘书参加的专业教学领导小组，宏观指导专业课程教学工作，定期对教学运行情况、教学过程中存在的问题、如何改进课程教学等问题听取专业课程教师、专业学生的意见与建议，对影响教学运行与教学质量的因素进行及时收集与整理，做到防患于未然。同时充分发挥学生会、团委及班干部的作用，鼓励学生成立各种课外学习小组，安排专业课程教师定期解决学生在学习过程中遇到的问题。</w:t>
      </w:r>
    </w:p>
    <w:p>
      <w:pPr>
        <w:ind w:firstLine="480" w:firstLineChars="200"/>
      </w:pPr>
      <w:r>
        <w:t>课程教学质量的评价、课程考核方式方法的确定、各类考试的组织、成绩评定、评选评优等工作，院教学指导小组都参与其中，做到公平、公正、合情合理。</w:t>
      </w:r>
    </w:p>
    <w:p>
      <w:pPr>
        <w:pStyle w:val="5"/>
        <w:spacing w:before="93" w:after="93"/>
        <w:ind w:firstLine="560"/>
      </w:pPr>
      <w:r>
        <w:t>五、培养质量（毕业生就业率、就业专业对口率、毕业生发展情况、就业单位满意率、社会对专业的评价、学生就读该专业的意愿等）</w:t>
      </w:r>
    </w:p>
    <w:p>
      <w:pPr>
        <w:ind w:firstLine="480" w:firstLineChars="200"/>
        <w:rPr>
          <w:rFonts w:eastAsiaTheme="minorEastAsia"/>
          <w:color w:val="000000" w:themeColor="text1"/>
          <w14:textFill>
            <w14:solidFill>
              <w14:schemeClr w14:val="tx1"/>
            </w14:solidFill>
          </w14:textFill>
        </w:rPr>
      </w:pPr>
      <w:r>
        <w:rPr>
          <w:rFonts w:eastAsiaTheme="minorEastAsia"/>
          <w:color w:val="000000" w:themeColor="text1"/>
          <w14:textFill>
            <w14:solidFill>
              <w14:schemeClr w14:val="tx1"/>
            </w14:solidFill>
          </w14:textFill>
        </w:rPr>
        <w:t>本专业2022届毕业生共计49人，其中男生28人，占比57.14%，女生21人，占比42.86%；省内生源44人，占比89.80%，省外生源5人，占比10.20%。从民族结构看，2022届毕业生以汉族为主，共48人，占比97.96%；少数民族共1人，占比2.04%，包括土家族。</w:t>
      </w:r>
    </w:p>
    <w:p>
      <w:pPr>
        <w:ind w:firstLine="422" w:firstLineChars="20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表1.毕业生生源结构统计表</w:t>
      </w:r>
    </w:p>
    <w:tbl>
      <w:tblPr>
        <w:tblStyle w:val="17"/>
        <w:tblW w:w="5000" w:type="pct"/>
        <w:jc w:val="center"/>
        <w:tblLayout w:type="fixed"/>
        <w:tblCellMar>
          <w:top w:w="0" w:type="dxa"/>
          <w:left w:w="0" w:type="dxa"/>
          <w:bottom w:w="0" w:type="dxa"/>
          <w:right w:w="0" w:type="dxa"/>
        </w:tblCellMar>
      </w:tblPr>
      <w:tblGrid>
        <w:gridCol w:w="1318"/>
        <w:gridCol w:w="1066"/>
        <w:gridCol w:w="1245"/>
        <w:gridCol w:w="1080"/>
        <w:gridCol w:w="1094"/>
        <w:gridCol w:w="1080"/>
        <w:gridCol w:w="1035"/>
        <w:gridCol w:w="957"/>
      </w:tblGrid>
      <w:tr>
        <w:tblPrEx>
          <w:tblCellMar>
            <w:top w:w="0" w:type="dxa"/>
            <w:left w:w="0" w:type="dxa"/>
            <w:bottom w:w="0" w:type="dxa"/>
            <w:right w:w="0" w:type="dxa"/>
          </w:tblCellMar>
        </w:tblPrEx>
        <w:trPr>
          <w:trHeight w:val="659" w:hRule="atLeast"/>
          <w:jc w:val="center"/>
        </w:trPr>
        <w:tc>
          <w:tcPr>
            <w:tcW w:w="7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专业名称</w:t>
            </w:r>
          </w:p>
        </w:tc>
        <w:tc>
          <w:tcPr>
            <w:tcW w:w="60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生源人数</w:t>
            </w:r>
          </w:p>
        </w:tc>
        <w:tc>
          <w:tcPr>
            <w:tcW w:w="701"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男生数量</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（比例）</w:t>
            </w:r>
          </w:p>
        </w:tc>
        <w:tc>
          <w:tcPr>
            <w:tcW w:w="608"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女生数量</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（比例）</w:t>
            </w:r>
          </w:p>
        </w:tc>
        <w:tc>
          <w:tcPr>
            <w:tcW w:w="61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省内人数（比例）</w:t>
            </w:r>
          </w:p>
        </w:tc>
        <w:tc>
          <w:tcPr>
            <w:tcW w:w="608"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省外人数（比例）</w:t>
            </w:r>
          </w:p>
        </w:tc>
        <w:tc>
          <w:tcPr>
            <w:tcW w:w="583"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汉族人数（比例）</w:t>
            </w:r>
          </w:p>
        </w:tc>
        <w:tc>
          <w:tcPr>
            <w:tcW w:w="53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少数民族</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（比例）</w:t>
            </w:r>
          </w:p>
        </w:tc>
      </w:tr>
      <w:tr>
        <w:tblPrEx>
          <w:tblCellMar>
            <w:top w:w="0" w:type="dxa"/>
            <w:left w:w="0" w:type="dxa"/>
            <w:bottom w:w="0" w:type="dxa"/>
            <w:right w:w="0" w:type="dxa"/>
          </w:tblCellMar>
        </w:tblPrEx>
        <w:trPr>
          <w:trHeight w:val="507" w:hRule="atLeast"/>
          <w:jc w:val="center"/>
        </w:trPr>
        <w:tc>
          <w:tcPr>
            <w:tcW w:w="742"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资源循环科学与工程</w:t>
            </w:r>
          </w:p>
        </w:tc>
        <w:tc>
          <w:tcPr>
            <w:tcW w:w="60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49人</w:t>
            </w:r>
          </w:p>
        </w:tc>
        <w:tc>
          <w:tcPr>
            <w:tcW w:w="70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28人</w:t>
            </w:r>
          </w:p>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（57.14%）</w:t>
            </w:r>
          </w:p>
        </w:tc>
        <w:tc>
          <w:tcPr>
            <w:tcW w:w="60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21人</w:t>
            </w:r>
          </w:p>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（42.86%）</w:t>
            </w:r>
          </w:p>
        </w:tc>
        <w:tc>
          <w:tcPr>
            <w:tcW w:w="61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44人</w:t>
            </w:r>
          </w:p>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（89.80%）</w:t>
            </w:r>
          </w:p>
        </w:tc>
        <w:tc>
          <w:tcPr>
            <w:tcW w:w="608"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5人</w:t>
            </w:r>
          </w:p>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（10.20%）</w:t>
            </w:r>
          </w:p>
        </w:tc>
        <w:tc>
          <w:tcPr>
            <w:tcW w:w="583"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48人</w:t>
            </w:r>
          </w:p>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97.96%）</w:t>
            </w:r>
          </w:p>
        </w:tc>
        <w:tc>
          <w:tcPr>
            <w:tcW w:w="53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1人</w:t>
            </w:r>
          </w:p>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（2.04%)</w:t>
            </w:r>
          </w:p>
        </w:tc>
      </w:tr>
    </w:tbl>
    <w:p>
      <w:pPr>
        <w:spacing w:before="156" w:beforeLines="50"/>
        <w:ind w:firstLine="480" w:firstLineChars="200"/>
        <w:rPr>
          <w:color w:val="000000" w:themeColor="text1"/>
          <w14:textFill>
            <w14:solidFill>
              <w14:schemeClr w14:val="tx1"/>
            </w14:solidFill>
          </w14:textFill>
        </w:rPr>
      </w:pPr>
      <w:r>
        <w:rPr>
          <w:bCs/>
          <w:color w:val="000000" w:themeColor="text1"/>
          <w14:textFill>
            <w14:solidFill>
              <w14:schemeClr w14:val="tx1"/>
            </w14:solidFill>
          </w14:textFill>
        </w:rPr>
        <w:t>就业概况。</w:t>
      </w:r>
      <w:r>
        <w:rPr>
          <w:color w:val="000000" w:themeColor="text1"/>
          <w14:textFill>
            <w14:solidFill>
              <w14:schemeClr w14:val="tx1"/>
            </w14:solidFill>
          </w14:textFill>
        </w:rPr>
        <w:t>截止2022年9月1日，毕业生就业46人，毕业去向落实率为93.88%，其中男生就业27人，毕业去向落实率为55.10%，女生就业16人，毕业去向落实率为43.24%。毕业生留鲁就业的34人，占已就业总人数的69.39%，其中到泰安城市就业人数最多，占14.29%。出省就业共12人，占24.49%，主要流向上海市、江苏省、河南省等省份。</w:t>
      </w:r>
    </w:p>
    <w:p>
      <w:pPr>
        <w:rPr>
          <w:b/>
          <w:bCs/>
          <w:color w:val="000000" w:themeColor="text1"/>
          <w14:textFill>
            <w14:solidFill>
              <w14:schemeClr w14:val="tx1"/>
            </w14:solidFill>
          </w14:textFill>
        </w:rPr>
      </w:pPr>
      <w:r>
        <w:rPr>
          <w:b/>
          <w:bCs/>
          <w:color w:val="000000" w:themeColor="text1"/>
          <w14:textFill>
            <w14:solidFill>
              <w14:schemeClr w14:val="tx1"/>
            </w14:solidFill>
          </w14:textFill>
        </w:rPr>
        <w:br w:type="page"/>
      </w:r>
    </w:p>
    <w:p>
      <w:pPr>
        <w:ind w:firstLine="422" w:firstLineChars="20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表2.毕业生整体就业情况统计表</w:t>
      </w:r>
    </w:p>
    <w:tbl>
      <w:tblPr>
        <w:tblStyle w:val="17"/>
        <w:tblW w:w="8700" w:type="dxa"/>
        <w:jc w:val="center"/>
        <w:tblLayout w:type="fixed"/>
        <w:tblCellMar>
          <w:top w:w="0" w:type="dxa"/>
          <w:left w:w="0" w:type="dxa"/>
          <w:bottom w:w="0" w:type="dxa"/>
          <w:right w:w="0" w:type="dxa"/>
        </w:tblCellMar>
      </w:tblPr>
      <w:tblGrid>
        <w:gridCol w:w="1462"/>
        <w:gridCol w:w="814"/>
        <w:gridCol w:w="1040"/>
        <w:gridCol w:w="1134"/>
        <w:gridCol w:w="1417"/>
        <w:gridCol w:w="1288"/>
        <w:gridCol w:w="1545"/>
      </w:tblGrid>
      <w:tr>
        <w:trPr>
          <w:trHeight w:val="355" w:hRule="atLeast"/>
          <w:jc w:val="center"/>
        </w:trPr>
        <w:tc>
          <w:tcPr>
            <w:tcW w:w="146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专业名称</w:t>
            </w:r>
          </w:p>
        </w:tc>
        <w:tc>
          <w:tcPr>
            <w:tcW w:w="81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落实就业人数</w:t>
            </w:r>
          </w:p>
        </w:tc>
        <w:tc>
          <w:tcPr>
            <w:tcW w:w="104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毕业去向落实率</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男生毕业去向落实率</w:t>
            </w:r>
          </w:p>
        </w:tc>
        <w:tc>
          <w:tcPr>
            <w:tcW w:w="141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女生毕业去向落实率</w:t>
            </w:r>
          </w:p>
        </w:tc>
        <w:tc>
          <w:tcPr>
            <w:tcW w:w="128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留鲁就业人数（比例）</w:t>
            </w:r>
          </w:p>
        </w:tc>
        <w:tc>
          <w:tcPr>
            <w:tcW w:w="154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省外就业人数（比例）</w:t>
            </w:r>
          </w:p>
        </w:tc>
      </w:tr>
      <w:tr>
        <w:tblPrEx>
          <w:tblCellMar>
            <w:top w:w="0" w:type="dxa"/>
            <w:left w:w="0" w:type="dxa"/>
            <w:bottom w:w="0" w:type="dxa"/>
            <w:right w:w="0" w:type="dxa"/>
          </w:tblCellMar>
        </w:tblPrEx>
        <w:trPr>
          <w:trHeight w:val="354" w:hRule="atLeast"/>
          <w:jc w:val="center"/>
        </w:trPr>
        <w:tc>
          <w:tcPr>
            <w:tcW w:w="146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资源循环科学与工程</w:t>
            </w:r>
          </w:p>
        </w:tc>
        <w:tc>
          <w:tcPr>
            <w:tcW w:w="81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46人</w:t>
            </w:r>
          </w:p>
        </w:tc>
        <w:tc>
          <w:tcPr>
            <w:tcW w:w="104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93.88%</w:t>
            </w:r>
          </w:p>
        </w:tc>
        <w:tc>
          <w:tcPr>
            <w:tcW w:w="1134"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55．10%</w:t>
            </w:r>
          </w:p>
        </w:tc>
        <w:tc>
          <w:tcPr>
            <w:tcW w:w="141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43.24%</w:t>
            </w:r>
          </w:p>
        </w:tc>
        <w:tc>
          <w:tcPr>
            <w:tcW w:w="1288"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34人（69.39%）</w:t>
            </w:r>
          </w:p>
        </w:tc>
        <w:tc>
          <w:tcPr>
            <w:tcW w:w="154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12人（24.49%）</w:t>
            </w:r>
          </w:p>
        </w:tc>
      </w:tr>
    </w:tbl>
    <w:p>
      <w:pPr>
        <w:spacing w:line="240" w:lineRule="auto"/>
        <w:jc w:val="center"/>
        <w:rPr>
          <w:b/>
          <w:bCs/>
          <w:color w:val="000000" w:themeColor="text1"/>
          <w14:textFill>
            <w14:solidFill>
              <w14:schemeClr w14:val="tx1"/>
            </w14:solidFill>
          </w14:textFill>
        </w:rPr>
      </w:pPr>
      <w:r>
        <w:rPr>
          <w:b/>
          <w:bCs/>
          <w:color w:val="000000" w:themeColor="text1"/>
          <w14:textFill>
            <w14:solidFill>
              <w14:schemeClr w14:val="tx1"/>
            </w14:solidFill>
          </w14:textFill>
        </w:rPr>
        <w:drawing>
          <wp:inline distT="0" distB="0" distL="114300" distR="114300">
            <wp:extent cx="4686300" cy="2067560"/>
            <wp:effectExtent l="4445" t="5080" r="14605" b="22860"/>
            <wp:docPr id="166" name="图表 1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pPr>
        <w:ind w:firstLine="422" w:firstLineChars="20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图1.毕业生就业地区流向图</w:t>
      </w:r>
    </w:p>
    <w:p>
      <w:pPr>
        <w:ind w:firstLine="480" w:firstLineChars="200"/>
        <w:rPr>
          <w:color w:val="000000" w:themeColor="text1"/>
          <w14:textFill>
            <w14:solidFill>
              <w14:schemeClr w14:val="tx1"/>
            </w14:solidFill>
          </w14:textFill>
        </w:rPr>
      </w:pPr>
      <w:r>
        <w:rPr>
          <w:bCs/>
          <w:color w:val="000000" w:themeColor="text1"/>
          <w14:textFill>
            <w14:solidFill>
              <w14:schemeClr w14:val="tx1"/>
            </w14:solidFill>
          </w14:textFill>
        </w:rPr>
        <w:t>就业方式。</w:t>
      </w:r>
      <w:r>
        <w:rPr>
          <w:color w:val="000000" w:themeColor="text1"/>
          <w14:textFill>
            <w14:solidFill>
              <w14:schemeClr w14:val="tx1"/>
            </w14:solidFill>
          </w14:textFill>
        </w:rPr>
        <w:t>毕业去向主要包括升学、出国（境）、协议就业、劳动合同就业、应征义务兵、科研助理、国家基层项目、自主创业、其他录用形式就业、自由职业、暂不就业（不就业拟升学和其他暂不就业）、待就业等多种方式就业，本专业毕业去向中升学方式就业人数最多，其次是其他录用形式就业和自主创业方式。毕业生总体就业方式如下表所示。</w:t>
      </w:r>
    </w:p>
    <w:p>
      <w:pPr>
        <w:ind w:firstLine="422" w:firstLineChars="20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表3.毕业生就业方式统计表</w:t>
      </w:r>
    </w:p>
    <w:tbl>
      <w:tblPr>
        <w:tblStyle w:val="17"/>
        <w:tblW w:w="5000" w:type="pct"/>
        <w:jc w:val="center"/>
        <w:tblLayout w:type="autofit"/>
        <w:tblCellMar>
          <w:top w:w="0" w:type="dxa"/>
          <w:left w:w="0" w:type="dxa"/>
          <w:bottom w:w="0" w:type="dxa"/>
          <w:right w:w="0" w:type="dxa"/>
        </w:tblCellMar>
      </w:tblPr>
      <w:tblGrid>
        <w:gridCol w:w="851"/>
        <w:gridCol w:w="1034"/>
        <w:gridCol w:w="727"/>
        <w:gridCol w:w="1030"/>
        <w:gridCol w:w="715"/>
        <w:gridCol w:w="727"/>
        <w:gridCol w:w="1131"/>
        <w:gridCol w:w="727"/>
        <w:gridCol w:w="898"/>
        <w:gridCol w:w="1035"/>
      </w:tblGrid>
      <w:tr>
        <w:tblPrEx>
          <w:tblCellMar>
            <w:top w:w="0" w:type="dxa"/>
            <w:left w:w="0" w:type="dxa"/>
            <w:bottom w:w="0" w:type="dxa"/>
            <w:right w:w="0" w:type="dxa"/>
          </w:tblCellMar>
        </w:tblPrEx>
        <w:trPr>
          <w:trHeight w:val="479" w:hRule="atLeast"/>
          <w:jc w:val="center"/>
        </w:trPr>
        <w:tc>
          <w:tcPr>
            <w:tcW w:w="4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就业</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方式</w:t>
            </w:r>
          </w:p>
        </w:tc>
        <w:tc>
          <w:tcPr>
            <w:tcW w:w="5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国内升学</w:t>
            </w:r>
          </w:p>
        </w:tc>
        <w:tc>
          <w:tcPr>
            <w:tcW w:w="40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出国</w:t>
            </w:r>
          </w:p>
        </w:tc>
        <w:tc>
          <w:tcPr>
            <w:tcW w:w="5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协议就业</w:t>
            </w:r>
          </w:p>
        </w:tc>
        <w:tc>
          <w:tcPr>
            <w:tcW w:w="49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劳动</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合同</w:t>
            </w:r>
          </w:p>
        </w:tc>
        <w:tc>
          <w:tcPr>
            <w:tcW w:w="40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自主</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创业</w:t>
            </w:r>
          </w:p>
        </w:tc>
        <w:tc>
          <w:tcPr>
            <w:tcW w:w="6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其他录用形式就业</w:t>
            </w:r>
          </w:p>
        </w:tc>
        <w:tc>
          <w:tcPr>
            <w:tcW w:w="40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应征</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入伍</w:t>
            </w:r>
          </w:p>
        </w:tc>
        <w:tc>
          <w:tcPr>
            <w:tcW w:w="49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待就业</w:t>
            </w:r>
          </w:p>
        </w:tc>
        <w:tc>
          <w:tcPr>
            <w:tcW w:w="5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自由职业</w:t>
            </w:r>
          </w:p>
        </w:tc>
      </w:tr>
      <w:tr>
        <w:tblPrEx>
          <w:tblCellMar>
            <w:top w:w="0" w:type="dxa"/>
            <w:left w:w="0" w:type="dxa"/>
            <w:bottom w:w="0" w:type="dxa"/>
            <w:right w:w="0" w:type="dxa"/>
          </w:tblCellMar>
        </w:tblPrEx>
        <w:trPr>
          <w:trHeight w:val="516" w:hRule="atLeast"/>
          <w:jc w:val="center"/>
        </w:trPr>
        <w:tc>
          <w:tcPr>
            <w:tcW w:w="4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人数（比例）</w:t>
            </w:r>
          </w:p>
        </w:tc>
        <w:tc>
          <w:tcPr>
            <w:tcW w:w="5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16人（32.65%）</w:t>
            </w:r>
          </w:p>
        </w:tc>
        <w:tc>
          <w:tcPr>
            <w:tcW w:w="40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0人（0%）</w:t>
            </w:r>
          </w:p>
        </w:tc>
        <w:tc>
          <w:tcPr>
            <w:tcW w:w="56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11人（22.45%）</w:t>
            </w:r>
          </w:p>
        </w:tc>
        <w:tc>
          <w:tcPr>
            <w:tcW w:w="49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2人</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4.08%</w:t>
            </w:r>
            <w:r>
              <w:rPr>
                <w:rFonts w:hint="eastAsia"/>
                <w:color w:val="000000" w:themeColor="text1"/>
                <w:sz w:val="21"/>
                <w:szCs w:val="21"/>
                <w14:textFill>
                  <w14:solidFill>
                    <w14:schemeClr w14:val="tx1"/>
                  </w14:solidFill>
                </w14:textFill>
              </w:rPr>
              <w:t>)</w:t>
            </w:r>
          </w:p>
        </w:tc>
        <w:tc>
          <w:tcPr>
            <w:tcW w:w="40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0人（0%）</w:t>
            </w:r>
          </w:p>
        </w:tc>
        <w:tc>
          <w:tcPr>
            <w:tcW w:w="62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3人 （6.12%）</w:t>
            </w:r>
          </w:p>
        </w:tc>
        <w:tc>
          <w:tcPr>
            <w:tcW w:w="40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0人（0%）</w:t>
            </w:r>
          </w:p>
        </w:tc>
        <w:tc>
          <w:tcPr>
            <w:tcW w:w="495"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3人（6.12%）</w:t>
            </w:r>
          </w:p>
        </w:tc>
        <w:tc>
          <w:tcPr>
            <w:tcW w:w="571"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14人（28.57%）</w:t>
            </w:r>
          </w:p>
        </w:tc>
      </w:tr>
    </w:tbl>
    <w:p>
      <w:pPr>
        <w:spacing w:line="240" w:lineRule="auto"/>
        <w:jc w:val="center"/>
      </w:pPr>
      <w:r>
        <w:rPr>
          <w:b/>
          <w:bCs/>
          <w:color w:val="000000" w:themeColor="text1"/>
          <w14:textFill>
            <w14:solidFill>
              <w14:schemeClr w14:val="tx1"/>
            </w14:solidFill>
          </w14:textFill>
        </w:rPr>
        <w:drawing>
          <wp:inline distT="0" distB="0" distL="114300" distR="114300">
            <wp:extent cx="3628390" cy="2550160"/>
            <wp:effectExtent l="0" t="0" r="10160" b="254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0" y="0"/>
                      <a:ext cx="3628390" cy="2550160"/>
                    </a:xfrm>
                    <a:prstGeom prst="rect">
                      <a:avLst/>
                    </a:prstGeom>
                  </pic:spPr>
                </pic:pic>
              </a:graphicData>
            </a:graphic>
          </wp:inline>
        </w:drawing>
      </w:r>
    </w:p>
    <w:p>
      <w:pPr>
        <w:ind w:firstLine="422" w:firstLineChars="20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图2.毕业生就业方式统计图</w:t>
      </w:r>
    </w:p>
    <w:p>
      <w:pPr>
        <w:ind w:firstLine="480" w:firstLineChars="200"/>
        <w:rPr>
          <w:color w:val="000000" w:themeColor="text1"/>
          <w14:textFill>
            <w14:solidFill>
              <w14:schemeClr w14:val="tx1"/>
            </w14:solidFill>
          </w14:textFill>
        </w:rPr>
      </w:pPr>
      <w:r>
        <w:rPr>
          <w:bCs/>
          <w:color w:val="000000" w:themeColor="text1"/>
          <w14:textFill>
            <w14:solidFill>
              <w14:schemeClr w14:val="tx1"/>
            </w14:solidFill>
          </w14:textFill>
        </w:rPr>
        <w:t>就业流向。</w:t>
      </w:r>
      <w:r>
        <w:rPr>
          <w:color w:val="000000" w:themeColor="text1"/>
          <w14:textFill>
            <w14:solidFill>
              <w14:schemeClr w14:val="tx1"/>
            </w14:solidFill>
          </w14:textFill>
        </w:rPr>
        <w:t>说明：本部分已就业总人数，不包含升学、出国（境）和应征入伍。毕业生就业单位性质显示，其他企业就业人数最多，占已就业人数的20.41%。</w:t>
      </w:r>
    </w:p>
    <w:p>
      <w:pPr>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表4.毕业生就业单位性质统计表</w:t>
      </w:r>
    </w:p>
    <w:tbl>
      <w:tblPr>
        <w:tblStyle w:val="17"/>
        <w:tblW w:w="5000" w:type="pct"/>
        <w:jc w:val="center"/>
        <w:tblLayout w:type="fixed"/>
        <w:tblCellMar>
          <w:top w:w="0" w:type="dxa"/>
          <w:left w:w="0" w:type="dxa"/>
          <w:bottom w:w="0" w:type="dxa"/>
          <w:right w:w="0" w:type="dxa"/>
        </w:tblCellMar>
      </w:tblPr>
      <w:tblGrid>
        <w:gridCol w:w="776"/>
        <w:gridCol w:w="899"/>
        <w:gridCol w:w="780"/>
        <w:gridCol w:w="1016"/>
        <w:gridCol w:w="899"/>
        <w:gridCol w:w="900"/>
        <w:gridCol w:w="900"/>
        <w:gridCol w:w="900"/>
        <w:gridCol w:w="900"/>
        <w:gridCol w:w="905"/>
      </w:tblGrid>
      <w:tr>
        <w:tblPrEx>
          <w:tblCellMar>
            <w:top w:w="0" w:type="dxa"/>
            <w:left w:w="0" w:type="dxa"/>
            <w:bottom w:w="0" w:type="dxa"/>
            <w:right w:w="0" w:type="dxa"/>
          </w:tblCellMar>
        </w:tblPrEx>
        <w:trPr>
          <w:trHeight w:val="738" w:hRule="atLeast"/>
          <w:jc w:val="center"/>
        </w:trPr>
        <w:tc>
          <w:tcPr>
            <w:tcW w:w="438"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单位</w:t>
            </w:r>
          </w:p>
          <w:p>
            <w:pPr>
              <w:spacing w:line="24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性质</w:t>
            </w:r>
          </w:p>
        </w:tc>
        <w:tc>
          <w:tcPr>
            <w:tcW w:w="50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国有</w:t>
            </w:r>
          </w:p>
          <w:p>
            <w:pPr>
              <w:spacing w:line="24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企业</w:t>
            </w:r>
          </w:p>
        </w:tc>
        <w:tc>
          <w:tcPr>
            <w:tcW w:w="440"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三资企业</w:t>
            </w:r>
          </w:p>
        </w:tc>
        <w:tc>
          <w:tcPr>
            <w:tcW w:w="572"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其他</w:t>
            </w:r>
          </w:p>
          <w:p>
            <w:pPr>
              <w:spacing w:line="24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企业</w:t>
            </w:r>
          </w:p>
        </w:tc>
        <w:tc>
          <w:tcPr>
            <w:tcW w:w="50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国家</w:t>
            </w:r>
          </w:p>
          <w:p>
            <w:pPr>
              <w:spacing w:line="24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公务员</w:t>
            </w:r>
          </w:p>
        </w:tc>
        <w:tc>
          <w:tcPr>
            <w:tcW w:w="50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地方</w:t>
            </w:r>
          </w:p>
          <w:p>
            <w:pPr>
              <w:spacing w:line="24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公务员</w:t>
            </w:r>
          </w:p>
        </w:tc>
        <w:tc>
          <w:tcPr>
            <w:tcW w:w="50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事业</w:t>
            </w:r>
          </w:p>
          <w:p>
            <w:pPr>
              <w:spacing w:line="24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单位</w:t>
            </w:r>
          </w:p>
        </w:tc>
        <w:tc>
          <w:tcPr>
            <w:tcW w:w="50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选调生</w:t>
            </w:r>
          </w:p>
        </w:tc>
        <w:tc>
          <w:tcPr>
            <w:tcW w:w="506"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三支</w:t>
            </w:r>
          </w:p>
          <w:p>
            <w:pPr>
              <w:spacing w:line="24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一扶</w:t>
            </w:r>
          </w:p>
        </w:tc>
        <w:tc>
          <w:tcPr>
            <w:tcW w:w="509"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西部</w:t>
            </w:r>
          </w:p>
          <w:p>
            <w:pPr>
              <w:spacing w:line="240" w:lineRule="auto"/>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志愿者</w:t>
            </w:r>
          </w:p>
        </w:tc>
      </w:tr>
      <w:tr>
        <w:tblPrEx>
          <w:tblCellMar>
            <w:top w:w="0" w:type="dxa"/>
            <w:left w:w="0" w:type="dxa"/>
            <w:bottom w:w="0" w:type="dxa"/>
            <w:right w:w="0" w:type="dxa"/>
          </w:tblCellMar>
        </w:tblPrEx>
        <w:trPr>
          <w:trHeight w:val="624" w:hRule="atLeast"/>
          <w:jc w:val="center"/>
        </w:trPr>
        <w:tc>
          <w:tcPr>
            <w:tcW w:w="438" w:type="pc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人数</w:t>
            </w:r>
          </w:p>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（比例）</w:t>
            </w:r>
          </w:p>
        </w:tc>
        <w:tc>
          <w:tcPr>
            <w:tcW w:w="50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1人（2.04%）</w:t>
            </w:r>
          </w:p>
        </w:tc>
        <w:tc>
          <w:tcPr>
            <w:tcW w:w="44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0人</w:t>
            </w:r>
          </w:p>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572" w:type="pc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10人（20.41%）</w:t>
            </w:r>
          </w:p>
        </w:tc>
        <w:tc>
          <w:tcPr>
            <w:tcW w:w="50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0人</w:t>
            </w:r>
          </w:p>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50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0人</w:t>
            </w:r>
          </w:p>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50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0人</w:t>
            </w:r>
          </w:p>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50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0人</w:t>
            </w:r>
          </w:p>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506"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0人</w:t>
            </w:r>
          </w:p>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50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0人</w:t>
            </w:r>
          </w:p>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r>
    </w:tbl>
    <w:p>
      <w:pPr>
        <w:ind w:firstLine="480" w:firstLineChars="200"/>
        <w:rPr>
          <w:color w:val="000000" w:themeColor="text1"/>
          <w14:textFill>
            <w14:solidFill>
              <w14:schemeClr w14:val="tx1"/>
            </w14:solidFill>
          </w14:textFill>
        </w:rPr>
      </w:pPr>
      <w:r>
        <w:rPr>
          <w:bCs/>
          <w:color w:val="000000" w:themeColor="text1"/>
          <w14:textFill>
            <w14:solidFill>
              <w14:schemeClr w14:val="tx1"/>
            </w14:solidFill>
          </w14:textFill>
        </w:rPr>
        <w:t>就业工作的专业对口情况。</w:t>
      </w:r>
      <w:r>
        <w:rPr>
          <w:color w:val="000000" w:themeColor="text1"/>
          <w14:textFill>
            <w14:solidFill>
              <w14:schemeClr w14:val="tx1"/>
            </w14:solidFill>
          </w14:textFill>
        </w:rPr>
        <w:t>毕业生当前所在工作单位或者所从事工作岗位与所学专业对口率较高的共16人，占已就业总人数的32.65%。主要集中在江苏扬农化工集团有限公司、淄博鑫泰石化有限公司、郑州市大化化工有限公司、山东海科新源材料科技股份有限公司等企业。</w:t>
      </w:r>
    </w:p>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表5.毕业生专业对口情况统计表</w:t>
      </w:r>
    </w:p>
    <w:tbl>
      <w:tblPr>
        <w:tblStyle w:val="17"/>
        <w:tblW w:w="8817" w:type="dxa"/>
        <w:tblInd w:w="0" w:type="dxa"/>
        <w:tblLayout w:type="fixed"/>
        <w:tblCellMar>
          <w:top w:w="0" w:type="dxa"/>
          <w:left w:w="0" w:type="dxa"/>
          <w:bottom w:w="0" w:type="dxa"/>
          <w:right w:w="0" w:type="dxa"/>
        </w:tblCellMar>
      </w:tblPr>
      <w:tblGrid>
        <w:gridCol w:w="1872"/>
        <w:gridCol w:w="1358"/>
        <w:gridCol w:w="1413"/>
        <w:gridCol w:w="1717"/>
        <w:gridCol w:w="1296"/>
        <w:gridCol w:w="1161"/>
      </w:tblGrid>
      <w:tr>
        <w:tblPrEx>
          <w:tblCellMar>
            <w:top w:w="0" w:type="dxa"/>
            <w:left w:w="0" w:type="dxa"/>
            <w:bottom w:w="0" w:type="dxa"/>
            <w:right w:w="0" w:type="dxa"/>
          </w:tblCellMar>
        </w:tblPrEx>
        <w:trPr>
          <w:trHeight w:val="524" w:hRule="atLeast"/>
        </w:trPr>
        <w:tc>
          <w:tcPr>
            <w:tcW w:w="18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就业方式</w:t>
            </w:r>
          </w:p>
        </w:tc>
        <w:tc>
          <w:tcPr>
            <w:tcW w:w="13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企业就业</w:t>
            </w:r>
          </w:p>
        </w:tc>
        <w:tc>
          <w:tcPr>
            <w:tcW w:w="141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公务员</w:t>
            </w:r>
          </w:p>
        </w:tc>
        <w:tc>
          <w:tcPr>
            <w:tcW w:w="17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事业单位</w:t>
            </w:r>
          </w:p>
        </w:tc>
        <w:tc>
          <w:tcPr>
            <w:tcW w:w="129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灵活就业</w:t>
            </w:r>
          </w:p>
        </w:tc>
        <w:tc>
          <w:tcPr>
            <w:tcW w:w="11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自主创业</w:t>
            </w:r>
          </w:p>
        </w:tc>
      </w:tr>
      <w:tr>
        <w:tblPrEx>
          <w:tblCellMar>
            <w:top w:w="0" w:type="dxa"/>
            <w:left w:w="0" w:type="dxa"/>
            <w:bottom w:w="0" w:type="dxa"/>
            <w:right w:w="0" w:type="dxa"/>
          </w:tblCellMar>
        </w:tblPrEx>
        <w:trPr>
          <w:trHeight w:val="477" w:hRule="atLeast"/>
        </w:trPr>
        <w:tc>
          <w:tcPr>
            <w:tcW w:w="187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对口就业人数</w:t>
            </w:r>
          </w:p>
        </w:tc>
        <w:tc>
          <w:tcPr>
            <w:tcW w:w="13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16人</w:t>
            </w:r>
          </w:p>
        </w:tc>
        <w:tc>
          <w:tcPr>
            <w:tcW w:w="141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0人</w:t>
            </w:r>
          </w:p>
        </w:tc>
        <w:tc>
          <w:tcPr>
            <w:tcW w:w="17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0人</w:t>
            </w:r>
          </w:p>
        </w:tc>
        <w:tc>
          <w:tcPr>
            <w:tcW w:w="129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14人</w:t>
            </w:r>
          </w:p>
        </w:tc>
        <w:tc>
          <w:tcPr>
            <w:tcW w:w="11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0人</w:t>
            </w:r>
          </w:p>
        </w:tc>
      </w:tr>
      <w:tr>
        <w:tblPrEx>
          <w:tblCellMar>
            <w:top w:w="0" w:type="dxa"/>
            <w:left w:w="0" w:type="dxa"/>
            <w:bottom w:w="0" w:type="dxa"/>
            <w:right w:w="0" w:type="dxa"/>
          </w:tblCellMar>
        </w:tblPrEx>
        <w:trPr>
          <w:trHeight w:val="395" w:hRule="atLeast"/>
        </w:trPr>
        <w:tc>
          <w:tcPr>
            <w:tcW w:w="187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占比</w:t>
            </w:r>
          </w:p>
        </w:tc>
        <w:tc>
          <w:tcPr>
            <w:tcW w:w="135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32.65%</w:t>
            </w:r>
          </w:p>
        </w:tc>
        <w:tc>
          <w:tcPr>
            <w:tcW w:w="141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7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29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28.57%</w:t>
            </w:r>
          </w:p>
        </w:tc>
        <w:tc>
          <w:tcPr>
            <w:tcW w:w="116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r>
    </w:tbl>
    <w:p>
      <w:pPr>
        <w:ind w:firstLine="482" w:firstLineChars="200"/>
        <w:rPr>
          <w:color w:val="000000" w:themeColor="text1"/>
          <w14:textFill>
            <w14:solidFill>
              <w14:schemeClr w14:val="tx1"/>
            </w14:solidFill>
          </w14:textFill>
        </w:rPr>
      </w:pPr>
      <w:r>
        <w:rPr>
          <w:b/>
          <w:bCs/>
          <w:color w:val="000000" w:themeColor="text1"/>
          <w14:textFill>
            <w14:solidFill>
              <w14:schemeClr w14:val="tx1"/>
            </w14:solidFill>
          </w14:textFill>
        </w:rPr>
        <w:t>未就业毕业生情况。</w:t>
      </w:r>
      <w:r>
        <w:rPr>
          <w:color w:val="000000" w:themeColor="text1"/>
          <w14:textFill>
            <w14:solidFill>
              <w14:schemeClr w14:val="tx1"/>
            </w14:solidFill>
          </w14:textFill>
        </w:rPr>
        <w:t>未就业毕业生3人，通过调研发现，未就业原因主要是二战考研，占未就业毕业生的66.67%，其次是准备公务员事业编考试，占未就业毕业生的33.33%，就业期望值过高，占未就业毕业生的0%，暂无就业意愿，占未就业毕业生的0%。</w:t>
      </w:r>
    </w:p>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表6.毕业生未就业原因统计表</w:t>
      </w:r>
    </w:p>
    <w:tbl>
      <w:tblPr>
        <w:tblStyle w:val="17"/>
        <w:tblW w:w="8699" w:type="dxa"/>
        <w:tblInd w:w="0" w:type="dxa"/>
        <w:tblLayout w:type="fixed"/>
        <w:tblCellMar>
          <w:top w:w="0" w:type="dxa"/>
          <w:left w:w="0" w:type="dxa"/>
          <w:bottom w:w="0" w:type="dxa"/>
          <w:right w:w="0" w:type="dxa"/>
        </w:tblCellMar>
      </w:tblPr>
      <w:tblGrid>
        <w:gridCol w:w="1112"/>
        <w:gridCol w:w="3177"/>
        <w:gridCol w:w="2055"/>
        <w:gridCol w:w="2355"/>
      </w:tblGrid>
      <w:tr>
        <w:tblPrEx>
          <w:tblCellMar>
            <w:top w:w="0" w:type="dxa"/>
            <w:left w:w="0" w:type="dxa"/>
            <w:bottom w:w="0" w:type="dxa"/>
            <w:right w:w="0" w:type="dxa"/>
          </w:tblCellMar>
        </w:tblPrEx>
        <w:trPr>
          <w:trHeight w:val="460" w:hRule="atLeast"/>
        </w:trPr>
        <w:tc>
          <w:tcPr>
            <w:tcW w:w="11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序号</w:t>
            </w:r>
          </w:p>
        </w:tc>
        <w:tc>
          <w:tcPr>
            <w:tcW w:w="317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未就业原因</w:t>
            </w:r>
          </w:p>
        </w:tc>
        <w:tc>
          <w:tcPr>
            <w:tcW w:w="20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人数</w:t>
            </w:r>
          </w:p>
        </w:tc>
        <w:tc>
          <w:tcPr>
            <w:tcW w:w="23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占未就业毕业生比例</w:t>
            </w:r>
          </w:p>
        </w:tc>
      </w:tr>
      <w:tr>
        <w:tblPrEx>
          <w:tblCellMar>
            <w:top w:w="0" w:type="dxa"/>
            <w:left w:w="0" w:type="dxa"/>
            <w:bottom w:w="0" w:type="dxa"/>
            <w:right w:w="0" w:type="dxa"/>
          </w:tblCellMar>
        </w:tblPrEx>
        <w:trPr>
          <w:trHeight w:val="460" w:hRule="atLeast"/>
        </w:trPr>
        <w:tc>
          <w:tcPr>
            <w:tcW w:w="11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317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二战考研</w:t>
            </w:r>
          </w:p>
        </w:tc>
        <w:tc>
          <w:tcPr>
            <w:tcW w:w="20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23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66.67%</w:t>
            </w:r>
          </w:p>
        </w:tc>
      </w:tr>
      <w:tr>
        <w:tblPrEx>
          <w:tblCellMar>
            <w:top w:w="0" w:type="dxa"/>
            <w:left w:w="0" w:type="dxa"/>
            <w:bottom w:w="0" w:type="dxa"/>
            <w:right w:w="0" w:type="dxa"/>
          </w:tblCellMar>
        </w:tblPrEx>
        <w:trPr>
          <w:trHeight w:val="460" w:hRule="atLeast"/>
        </w:trPr>
        <w:tc>
          <w:tcPr>
            <w:tcW w:w="11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317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准备公务员事业编考试</w:t>
            </w:r>
          </w:p>
        </w:tc>
        <w:tc>
          <w:tcPr>
            <w:tcW w:w="20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23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33.33%</w:t>
            </w:r>
          </w:p>
        </w:tc>
      </w:tr>
      <w:tr>
        <w:tblPrEx>
          <w:tblCellMar>
            <w:top w:w="0" w:type="dxa"/>
            <w:left w:w="0" w:type="dxa"/>
            <w:bottom w:w="0" w:type="dxa"/>
            <w:right w:w="0" w:type="dxa"/>
          </w:tblCellMar>
        </w:tblPrEx>
        <w:trPr>
          <w:trHeight w:val="460" w:hRule="atLeast"/>
        </w:trPr>
        <w:tc>
          <w:tcPr>
            <w:tcW w:w="11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317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就业期望值过高</w:t>
            </w:r>
          </w:p>
        </w:tc>
        <w:tc>
          <w:tcPr>
            <w:tcW w:w="20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23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r>
      <w:tr>
        <w:tblPrEx>
          <w:tblCellMar>
            <w:top w:w="0" w:type="dxa"/>
            <w:left w:w="0" w:type="dxa"/>
            <w:bottom w:w="0" w:type="dxa"/>
            <w:right w:w="0" w:type="dxa"/>
          </w:tblCellMar>
        </w:tblPrEx>
        <w:trPr>
          <w:trHeight w:val="460" w:hRule="atLeast"/>
        </w:trPr>
        <w:tc>
          <w:tcPr>
            <w:tcW w:w="1112"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3177"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暂无就业意愿</w:t>
            </w:r>
          </w:p>
        </w:tc>
        <w:tc>
          <w:tcPr>
            <w:tcW w:w="20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235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r>
    </w:tbl>
    <w:p>
      <w:pPr>
        <w:ind w:firstLine="482" w:firstLineChars="200"/>
        <w:rPr>
          <w:b/>
          <w:bCs/>
          <w:color w:val="000000" w:themeColor="text1"/>
          <w14:textFill>
            <w14:solidFill>
              <w14:schemeClr w14:val="tx1"/>
            </w14:solidFill>
          </w14:textFill>
        </w:rPr>
      </w:pPr>
      <w:r>
        <w:rPr>
          <w:b/>
          <w:bCs/>
          <w:color w:val="000000" w:themeColor="text1"/>
          <w14:textFill>
            <w14:solidFill>
              <w14:schemeClr w14:val="tx1"/>
            </w14:solidFill>
          </w14:textFill>
        </w:rPr>
        <w:t>针对性举措：</w:t>
      </w:r>
    </w:p>
    <w:p>
      <w:pPr>
        <w:numPr>
          <w:ilvl w:val="0"/>
          <w:numId w:val="14"/>
        </w:num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针对毕业生就业期望值较高，学院领导与负责就业工作老师，有针对性地召开毕业生会议，面对面地与学生交流，分门别类地加以指导，教育引导学生树立正确的就业观念。</w:t>
      </w:r>
    </w:p>
    <w:p>
      <w:pPr>
        <w:numPr>
          <w:ilvl w:val="0"/>
          <w:numId w:val="14"/>
        </w:num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定期举办考研考公知识讲座，为学生树立良好的未来发展规划，确立正确的发展方向。</w:t>
      </w:r>
    </w:p>
    <w:p>
      <w:pPr>
        <w:numPr>
          <w:ilvl w:val="0"/>
          <w:numId w:val="14"/>
        </w:numPr>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 xml:space="preserve"> 建立稳固的实习基地，实习与就业挂钩。采取实习安排与毕业就业推荐相结合的方法，根据用人单位的规模和档次，积极召开用人单位与学生的专场见面会，有目的地选送符合用人单位录用标准的学生去实习就业。</w:t>
      </w:r>
    </w:p>
    <w:p>
      <w:pPr>
        <w:pStyle w:val="5"/>
        <w:spacing w:before="93" w:after="93"/>
        <w:ind w:firstLine="560"/>
      </w:pPr>
      <w:r>
        <w:t>六、毕业生就业创业（创业情况、采取的措施、典型案例等）</w:t>
      </w:r>
    </w:p>
    <w:p>
      <w:pPr>
        <w:ind w:firstLine="480" w:firstLineChars="200"/>
      </w:pPr>
      <w:r>
        <w:t>创业情况：</w:t>
      </w:r>
    </w:p>
    <w:p>
      <w:pPr>
        <w:ind w:firstLine="480" w:firstLineChars="200"/>
      </w:pPr>
      <w:r>
        <w:t>学院共有20余支创业团队，毕业生参与的校级创业团队10支，其中有一支创业团队注册为个体工商户，国家级立项创新创业项目5项。近50%的毕业生参与各种创新创业活动。</w:t>
      </w:r>
    </w:p>
    <w:p>
      <w:pPr>
        <w:ind w:firstLine="480" w:firstLineChars="200"/>
      </w:pPr>
      <w:r>
        <w:t>采取措施：</w:t>
      </w:r>
    </w:p>
    <w:p>
      <w:pPr>
        <w:ind w:firstLine="480" w:firstLineChars="200"/>
      </w:pPr>
      <w:r>
        <w:t>学院按照学校要求积极鼓励毕业生创业，为毕业生创业提供资金、政策咨询、专业指导、实验室和场地支持，为有意向创业的学生配备校外创业指导老师，学院共聘任校外创业导师4名，校内创业导师20名。一年来共举办创新创业讲座和论坛4次，邀请创业成功的校友为毕业生现身说法，引导毕业生积极创业。积极开展创新创业教育，通过参加各种创新创业大赛和各种创新创业实践活动培养学生创新意识和创业实践能力。学院建立创新创业服务卡，搭建创业就业服务平台，拓宽创业就业渠道，鼓励学生积极参加创新创业大赛、自主创业，多方筹措资金加强对各创业团队的经费支持，完善了创新创业经费使用体系。</w:t>
      </w:r>
    </w:p>
    <w:p>
      <w:pPr>
        <w:ind w:firstLine="480" w:firstLineChars="200"/>
        <w:outlineLvl w:val="3"/>
        <w:rPr>
          <w:rFonts w:eastAsia="黑体"/>
          <w:bCs/>
          <w:kern w:val="0"/>
          <w:szCs w:val="24"/>
          <w:lang w:val="zh-CN"/>
        </w:rPr>
      </w:pPr>
      <w:r>
        <w:rPr>
          <w:rFonts w:eastAsia="黑体"/>
          <w:bCs/>
          <w:kern w:val="0"/>
          <w:szCs w:val="24"/>
        </w:rPr>
        <w:t>1.</w:t>
      </w:r>
      <w:r>
        <w:rPr>
          <w:rFonts w:eastAsia="黑体"/>
          <w:bCs/>
          <w:kern w:val="0"/>
          <w:szCs w:val="24"/>
          <w:lang w:val="zh-CN"/>
        </w:rPr>
        <w:t>普遍资助与重点资助相结合</w:t>
      </w:r>
    </w:p>
    <w:p>
      <w:pPr>
        <w:ind w:firstLine="480" w:firstLineChars="200"/>
      </w:pPr>
      <w:r>
        <w:t>学院立足创新创业实际，在学校拨付经费的基础上，学院又配套1万元，一方面鼓励有创业梦想的同学积极申请项目，学为他们创业梦想的实现搭建平台。</w:t>
      </w:r>
    </w:p>
    <w:p>
      <w:pPr>
        <w:ind w:firstLine="480" w:firstLineChars="200"/>
        <w:outlineLvl w:val="3"/>
        <w:rPr>
          <w:rFonts w:eastAsia="黑体"/>
          <w:bCs/>
          <w:kern w:val="0"/>
          <w:szCs w:val="24"/>
          <w:lang w:val="zh-CN"/>
        </w:rPr>
      </w:pPr>
      <w:r>
        <w:rPr>
          <w:rFonts w:eastAsia="黑体"/>
          <w:bCs/>
          <w:kern w:val="0"/>
          <w:szCs w:val="24"/>
        </w:rPr>
        <w:t>2.</w:t>
      </w:r>
      <w:r>
        <w:rPr>
          <w:rFonts w:eastAsia="黑体"/>
          <w:bCs/>
          <w:kern w:val="0"/>
          <w:szCs w:val="24"/>
          <w:lang w:val="zh-CN"/>
        </w:rPr>
        <w:t>创业团队场所与办公设施建设</w:t>
      </w:r>
    </w:p>
    <w:p>
      <w:pPr>
        <w:ind w:firstLine="480" w:firstLineChars="200"/>
      </w:pPr>
      <w:r>
        <w:t xml:space="preserve">学院大力支持各创业团队，为创业团队在创业场所与办公设施上给与特别支持，并且将支持与创业成效考核相挂钩， </w:t>
      </w:r>
    </w:p>
    <w:p>
      <w:pPr>
        <w:ind w:firstLine="480" w:firstLineChars="200"/>
        <w:outlineLvl w:val="3"/>
        <w:rPr>
          <w:rFonts w:eastAsia="黑体"/>
          <w:bCs/>
          <w:kern w:val="0"/>
          <w:szCs w:val="24"/>
          <w:lang w:val="zh-CN"/>
        </w:rPr>
      </w:pPr>
      <w:r>
        <w:rPr>
          <w:rFonts w:eastAsia="黑体"/>
          <w:bCs/>
          <w:kern w:val="0"/>
          <w:szCs w:val="24"/>
        </w:rPr>
        <w:t>3.</w:t>
      </w:r>
      <w:r>
        <w:rPr>
          <w:rFonts w:eastAsia="黑体"/>
          <w:bCs/>
          <w:kern w:val="0"/>
          <w:szCs w:val="24"/>
          <w:lang w:val="zh-CN"/>
        </w:rPr>
        <w:t>学院在创业团队日常运转与宣传费用的支持</w:t>
      </w:r>
    </w:p>
    <w:p>
      <w:pPr>
        <w:ind w:firstLine="480" w:firstLineChars="200"/>
      </w:pPr>
      <w:r>
        <w:t>学院全部支付了各创业团队创业过程中所使用的水电和宣传费用，学院为拓展创业学生的思路，积极邀请创业成功的校友为学院学生做相关报告，还积极制作宣传板、宣传页加大对各创业团队宣传。</w:t>
      </w:r>
    </w:p>
    <w:p>
      <w:pPr>
        <w:ind w:firstLine="480" w:firstLineChars="200"/>
        <w:outlineLvl w:val="3"/>
        <w:rPr>
          <w:rFonts w:eastAsia="黑体"/>
          <w:bCs/>
          <w:kern w:val="0"/>
          <w:szCs w:val="24"/>
          <w:lang w:val="zh-CN"/>
        </w:rPr>
      </w:pPr>
      <w:r>
        <w:rPr>
          <w:rFonts w:eastAsia="黑体"/>
          <w:bCs/>
          <w:kern w:val="0"/>
          <w:szCs w:val="24"/>
        </w:rPr>
        <w:t>4.</w:t>
      </w:r>
      <w:r>
        <w:rPr>
          <w:rFonts w:eastAsia="黑体"/>
          <w:bCs/>
          <w:kern w:val="0"/>
          <w:szCs w:val="24"/>
          <w:lang w:val="zh-CN"/>
        </w:rPr>
        <w:t>与水土学院相结合，促进学生创新创业</w:t>
      </w:r>
    </w:p>
    <w:p>
      <w:pPr>
        <w:ind w:firstLine="480" w:firstLineChars="200"/>
      </w:pPr>
      <w:r>
        <w:t>小矮人手工坊为了加大自己产品的宣传力度，积极走出学院，将自己的项目入驻水土学院</w:t>
      </w:r>
      <w:r>
        <w:rPr>
          <w:rFonts w:hint="eastAsia"/>
        </w:rPr>
        <w:t>“</w:t>
      </w:r>
      <w:r>
        <w:t>梦工厂咖啡</w:t>
      </w:r>
      <w:r>
        <w:rPr>
          <w:rFonts w:hint="eastAsia"/>
        </w:rPr>
        <w:t>”</w:t>
      </w:r>
      <w:r>
        <w:t>大学生创业培育基地，获得学校领导的高度赞扬。</w:t>
      </w:r>
    </w:p>
    <w:p>
      <w:pPr>
        <w:ind w:firstLine="480" w:firstLineChars="200"/>
      </w:pPr>
      <w:r>
        <w:t>此外，学院还要求各创业团队积极参加不同级别、不同类型的创新创业大赛，使学生通过参加不同比赛积累经验，迸发出创业的火花，学院承担学生参加各类大赛的相关费用。</w:t>
      </w:r>
    </w:p>
    <w:p>
      <w:pPr>
        <w:ind w:firstLine="480" w:firstLineChars="200"/>
      </w:pPr>
      <w:r>
        <w:t>典型案例：</w:t>
      </w:r>
    </w:p>
    <w:p>
      <w:pPr>
        <w:ind w:firstLine="480" w:firstLineChars="200"/>
      </w:pPr>
      <w:r>
        <w:t>化学院的小矮人手工坊，是学院第一个注册成为个体工商户的创业团队。团队主要从事手工皂、新型洗手液等精细日用产品的研发与销售，旨在提高大家的专业学习兴趣和创新创业经验。团队秉承</w:t>
      </w:r>
      <w:r>
        <w:rPr>
          <w:rFonts w:hint="eastAsia"/>
        </w:rPr>
        <w:t>“</w:t>
      </w:r>
      <w:r>
        <w:t>更美丽，更健康，更环保</w:t>
      </w:r>
      <w:r>
        <w:rPr>
          <w:rFonts w:hint="eastAsia"/>
        </w:rPr>
        <w:t>”</w:t>
      </w:r>
      <w:r>
        <w:t>的研发理念，研发手工皂达20余种，以其极高的品质、性价比受到消费者一致好评。团队产品新颖，专业性较强，发展潜力巨大，因此受到学校、学院各位领导老师的关注，对团队产品有着极高的评价，并提出指导意见。泰山晚报和山东农大报都曾对本团队做过专访。团队先后在东校、本部，南校等地举行过六次展销会，销售额已过万元，拥有固定生产设备近万余元。在第一届化学类创新创业大赛中获得第一名，校科技创新大赛三等奖。产品目前已入驻圆梦驿站，大学生创业孵化园，创客驿站等基地。</w:t>
      </w:r>
    </w:p>
    <w:p>
      <w:pPr>
        <w:pStyle w:val="5"/>
        <w:spacing w:before="93" w:after="93"/>
        <w:ind w:firstLine="560"/>
      </w:pPr>
      <w:r>
        <w:t>七、专业发展趋势及建议</w:t>
      </w:r>
    </w:p>
    <w:p>
      <w:pPr>
        <w:ind w:firstLine="480" w:firstLineChars="200"/>
      </w:pPr>
      <w:r>
        <w:t>我校资源循环科学与工程专业作为一个立足农业与生命科学大学的工科专业，将进一步加强与我校优势学科的合作，进行学科交叉，凝炼特色，建设具有农业大学特色的资源循环科学与工程专业。</w:t>
      </w:r>
    </w:p>
    <w:p>
      <w:pPr>
        <w:ind w:firstLine="480" w:firstLineChars="200"/>
      </w:pPr>
      <w:r>
        <w:t>在师资队伍建设方面，以化学一级学科学位点建设为中心，兼顾学科的生命科学与农业科学特色，从学历、专业、学缘、年龄等方面统筹兼顾，着力打造一支优质、高水平的教师队伍。</w:t>
      </w:r>
    </w:p>
    <w:p>
      <w:pPr>
        <w:ind w:firstLine="480" w:firstLineChars="200"/>
      </w:pPr>
      <w:r>
        <w:t>人才培养方面，继续深化</w:t>
      </w:r>
      <w:r>
        <w:rPr>
          <w:rFonts w:hint="eastAsia"/>
        </w:rPr>
        <w:t>“</w:t>
      </w:r>
      <w:r>
        <w:t>通识教育+精英教育</w:t>
      </w:r>
      <w:r>
        <w:rPr>
          <w:rFonts w:hint="eastAsia"/>
        </w:rPr>
        <w:t>”</w:t>
      </w:r>
      <w:r>
        <w:t>的人才培养模式，深入</w:t>
      </w:r>
      <w:r>
        <w:rPr>
          <w:color w:val="000000" w:themeColor="text1"/>
          <w14:textFill>
            <w14:solidFill>
              <w14:schemeClr w14:val="tx1"/>
            </w14:solidFill>
          </w14:textFill>
        </w:rPr>
        <w:t>挖掘</w:t>
      </w:r>
      <w:r>
        <w:t>该人才培养模式的内涵，进一步提高人才培养质量。</w:t>
      </w:r>
    </w:p>
    <w:p>
      <w:pPr>
        <w:ind w:firstLine="480" w:firstLineChars="200"/>
      </w:pPr>
      <w:r>
        <w:t>在科学研究方面，以化学为基础，用化学的方法和手段去探索研究资源循环过程中出现的科学问题，加强与农学、生命科学等学科的交叉，着重研究资源循环在农业生产和生命科学中的应用性。</w:t>
      </w:r>
    </w:p>
    <w:p>
      <w:pPr>
        <w:pStyle w:val="5"/>
        <w:spacing w:before="93" w:after="93"/>
        <w:ind w:firstLine="560"/>
      </w:pPr>
      <w:r>
        <w:t>八、存在的问题及整改措施</w:t>
      </w:r>
    </w:p>
    <w:p>
      <w:pPr>
        <w:ind w:firstLine="480" w:firstLineChars="200"/>
      </w:pPr>
      <w:r>
        <w:t>目前专业建设中存在的问题主要在如下几个方面：</w:t>
      </w:r>
    </w:p>
    <w:p>
      <w:pPr>
        <w:ind w:firstLine="480" w:firstLineChars="200"/>
      </w:pPr>
      <w:r>
        <w:t>1.教师数量有待进一步增加，目前部分教师的工作量偏多（多数教师年均工作量500学时以上），建议增加每年引进教师的人数。此外，建议增加引进资源循环科学与工程相关专业教师的数量，进一步优化教师专业结构。</w:t>
      </w:r>
    </w:p>
    <w:p>
      <w:pPr>
        <w:ind w:firstLine="480" w:firstLineChars="200"/>
      </w:pPr>
      <w:r>
        <w:t>2.为了均衡各学科发展，除了需大力引进博士学位的高层次人才外，还需引进领军人才，如泰山学者岗位专家，加速学科发展。</w:t>
      </w:r>
    </w:p>
    <w:p>
      <w:pPr>
        <w:ind w:firstLine="480" w:firstLineChars="200"/>
      </w:pPr>
      <w:r>
        <w:t>3. 资源循环科学与工程专业实验室面积少，专业实验不充分，还需增大专业实验室面积，同时积极探索专业实验的科学性和合理性。</w:t>
      </w:r>
    </w:p>
    <w:p>
      <w:pPr>
        <w:ind w:firstLine="480" w:firstLineChars="200"/>
      </w:pPr>
      <w:r>
        <w:t>4. 资源循环科学与工程专业为教育部新上专业，教材参考少，教材存在一定片面性及系统性差的问题。组织专业教师积极探索相关教材的编写工作尤为重要。</w:t>
      </w:r>
    </w:p>
    <w:p>
      <w:r>
        <w:br w:type="page"/>
      </w:r>
    </w:p>
    <w:p>
      <w:pPr>
        <w:pStyle w:val="4"/>
        <w:ind w:firstLine="600"/>
      </w:pPr>
      <w:bookmarkStart w:id="827" w:name="_Toc8015"/>
      <w:r>
        <w:rPr>
          <w:lang w:val="en-US"/>
        </w:rPr>
        <w:t>专业</w:t>
      </w:r>
      <w:r>
        <w:rPr>
          <w:rFonts w:hint="eastAsia"/>
          <w:lang w:val="en-US"/>
        </w:rPr>
        <w:t>七十九</w:t>
      </w:r>
      <w:r>
        <w:rPr>
          <w:lang w:val="en-US"/>
        </w:rPr>
        <w:t>：</w:t>
      </w:r>
      <w:r>
        <w:t>社会体育指导与管理</w:t>
      </w:r>
      <w:bookmarkEnd w:id="827"/>
    </w:p>
    <w:p>
      <w:pPr>
        <w:pStyle w:val="5"/>
        <w:spacing w:before="93" w:after="93"/>
        <w:ind w:firstLine="560"/>
      </w:pPr>
      <w:r>
        <w:t>一、人才培养目标</w:t>
      </w:r>
    </w:p>
    <w:p>
      <w:pPr>
        <w:ind w:firstLine="480"/>
        <w:rPr>
          <w:rFonts w:eastAsiaTheme="minorEastAsia"/>
        </w:rPr>
      </w:pPr>
      <w:r>
        <w:rPr>
          <w:rFonts w:eastAsiaTheme="minorEastAsia"/>
        </w:rPr>
        <w:t>社会体育指导与管理专业培养德、智、体、美全面发展，具有较好的科学、文化素养和高度的社会责任感，具备现代教育、健康理念，系统掌握社会体育的基本理论与方法，具备健身运动指导、大众体育活动策划与组织以及体育产业经营与管理的能力，具有创新精神、创业意识和创新创业能力,能从事与体育相关工作的应用型人才。</w:t>
      </w:r>
    </w:p>
    <w:p>
      <w:pPr>
        <w:ind w:firstLine="480"/>
        <w:rPr>
          <w:rFonts w:eastAsiaTheme="minorEastAsia"/>
        </w:rPr>
      </w:pPr>
      <w:r>
        <w:rPr>
          <w:rFonts w:eastAsiaTheme="minorEastAsia"/>
        </w:rPr>
        <w:t>分解为4个子目标：</w:t>
      </w:r>
    </w:p>
    <w:p>
      <w:pPr>
        <w:ind w:firstLine="480"/>
        <w:rPr>
          <w:rFonts w:eastAsiaTheme="minorEastAsia"/>
        </w:rPr>
      </w:pPr>
      <w:r>
        <w:rPr>
          <w:rFonts w:eastAsiaTheme="minorEastAsia"/>
        </w:rPr>
        <w:t>1</w:t>
      </w:r>
      <w:r>
        <w:rPr>
          <w:rFonts w:hint="eastAsia" w:eastAsiaTheme="minorEastAsia"/>
          <w:lang w:eastAsia="zh-CN"/>
        </w:rPr>
        <w:t>.</w:t>
      </w:r>
      <w:r>
        <w:rPr>
          <w:rFonts w:eastAsiaTheme="minorEastAsia"/>
        </w:rPr>
        <w:t>具备人文科学和自然科学基础、外语、计算机应用能力；</w:t>
      </w:r>
    </w:p>
    <w:p>
      <w:pPr>
        <w:ind w:firstLine="480"/>
        <w:rPr>
          <w:rFonts w:eastAsiaTheme="minorEastAsia"/>
        </w:rPr>
      </w:pPr>
      <w:r>
        <w:rPr>
          <w:rFonts w:eastAsiaTheme="minorEastAsia"/>
        </w:rPr>
        <w:t>2</w:t>
      </w:r>
      <w:r>
        <w:rPr>
          <w:rFonts w:hint="eastAsia" w:eastAsiaTheme="minorEastAsia"/>
          <w:lang w:eastAsia="zh-CN"/>
        </w:rPr>
        <w:t>.</w:t>
      </w:r>
      <w:r>
        <w:rPr>
          <w:rFonts w:eastAsiaTheme="minorEastAsia"/>
        </w:rPr>
        <w:t>熟悉本专业的发展现状和趋势以及国家有关方针、政策和法规；</w:t>
      </w:r>
    </w:p>
    <w:p>
      <w:pPr>
        <w:ind w:firstLine="480"/>
        <w:rPr>
          <w:rFonts w:eastAsiaTheme="minorEastAsia"/>
        </w:rPr>
      </w:pPr>
      <w:r>
        <w:rPr>
          <w:rFonts w:eastAsiaTheme="minorEastAsia"/>
        </w:rPr>
        <w:t>3</w:t>
      </w:r>
      <w:r>
        <w:rPr>
          <w:rFonts w:hint="eastAsia" w:eastAsiaTheme="minorEastAsia"/>
          <w:lang w:eastAsia="zh-CN"/>
        </w:rPr>
        <w:t>.</w:t>
      </w:r>
      <w:r>
        <w:rPr>
          <w:rFonts w:eastAsiaTheme="minorEastAsia"/>
        </w:rPr>
        <w:t>具备获取、更新和应用本专业知识的能力，有一定的分析和解决专业领域实际问题的能力；</w:t>
      </w:r>
    </w:p>
    <w:p>
      <w:pPr>
        <w:ind w:firstLine="480"/>
        <w:rPr>
          <w:rFonts w:eastAsiaTheme="minorEastAsia"/>
        </w:rPr>
      </w:pPr>
      <w:r>
        <w:rPr>
          <w:rFonts w:eastAsiaTheme="minorEastAsia"/>
        </w:rPr>
        <w:t>4</w:t>
      </w:r>
      <w:r>
        <w:rPr>
          <w:rFonts w:hint="eastAsia" w:eastAsiaTheme="minorEastAsia"/>
          <w:lang w:eastAsia="zh-CN"/>
        </w:rPr>
        <w:t>.</w:t>
      </w:r>
      <w:r>
        <w:rPr>
          <w:rFonts w:eastAsiaTheme="minorEastAsia"/>
        </w:rPr>
        <w:t>可从事社区体育的组织管理、技术指导和体育旅游产业、商业健身俱乐部的经营开发以及体育教育、体育行政管理和体育科研等方面的工作。</w:t>
      </w:r>
    </w:p>
    <w:p>
      <w:pPr>
        <w:pStyle w:val="5"/>
        <w:spacing w:before="93" w:after="93"/>
        <w:ind w:firstLine="560"/>
      </w:pPr>
      <w:r>
        <w:t>二、培养能力（专业设置情况、在校生规模、课程设置情况、创新创业教育等）</w:t>
      </w:r>
    </w:p>
    <w:p>
      <w:pPr>
        <w:pStyle w:val="6"/>
        <w:ind w:firstLine="480"/>
      </w:pPr>
      <w:r>
        <w:t>1.专业设置</w:t>
      </w:r>
    </w:p>
    <w:p>
      <w:pPr>
        <w:ind w:firstLine="480"/>
        <w:rPr>
          <w:rFonts w:eastAsiaTheme="minorEastAsia"/>
        </w:rPr>
      </w:pPr>
      <w:r>
        <w:rPr>
          <w:rFonts w:eastAsiaTheme="minorEastAsia"/>
        </w:rPr>
        <w:t>学制为4年，学习年限为3-8年，按要求完成学业且符合学位授予条件者授予教育学学士学位。</w:t>
      </w:r>
    </w:p>
    <w:p>
      <w:pPr>
        <w:pStyle w:val="6"/>
        <w:ind w:firstLine="480"/>
      </w:pPr>
      <w:r>
        <w:t>2.在校生规模</w:t>
      </w:r>
    </w:p>
    <w:p>
      <w:pPr>
        <w:ind w:firstLine="480"/>
        <w:rPr>
          <w:rFonts w:eastAsiaTheme="minorEastAsia"/>
        </w:rPr>
      </w:pPr>
      <w:r>
        <w:rPr>
          <w:rFonts w:eastAsiaTheme="minorEastAsia"/>
        </w:rPr>
        <w:t>目前在校生规模为246人，其中2019级27人，2020级77人,2021级73人，2022级69人。</w:t>
      </w:r>
    </w:p>
    <w:p>
      <w:pPr>
        <w:pStyle w:val="6"/>
        <w:ind w:firstLine="480"/>
      </w:pPr>
      <w:r>
        <w:t>3.课程设置情况</w:t>
      </w:r>
    </w:p>
    <w:p>
      <w:pPr>
        <w:ind w:firstLine="480"/>
        <w:rPr>
          <w:rFonts w:eastAsiaTheme="minorEastAsia"/>
        </w:rPr>
      </w:pPr>
      <w:r>
        <w:rPr>
          <w:rFonts w:eastAsiaTheme="minorEastAsia"/>
        </w:rPr>
        <w:t>主干学科：体育学、社会学、经济学、管理学；核心课程：运动训练学、运动生理学、体育社会学、健康教育学、体育科研方法、健身理论与指导、体育管理学、学校体育学、营养学、体育赛事管理、体育市场营销；主要实践性教学环节：社会体育指导与管理实践、赛事策划与裁判实践、专业论文写作、教育教学知识与能力、创新创业实践、毕业实习与报告、毕业论文（设计）。</w:t>
      </w:r>
    </w:p>
    <w:p>
      <w:pPr>
        <w:ind w:firstLine="480"/>
        <w:rPr>
          <w:rFonts w:eastAsiaTheme="minorEastAsia"/>
        </w:rPr>
      </w:pPr>
      <w:r>
        <w:rPr>
          <w:rFonts w:eastAsiaTheme="minorEastAsia"/>
        </w:rPr>
        <w:t>学分总体安排：毕业总学分170学分，必修课总学分155，选修 课学分15，实验学分和实践环节学分49,实验学分和实践环节学分占总学分比例 29%。</w:t>
      </w:r>
    </w:p>
    <w:p>
      <w:pPr>
        <w:pStyle w:val="6"/>
        <w:ind w:firstLine="480"/>
      </w:pPr>
      <w:r>
        <w:t>4.创新创业教育</w:t>
      </w:r>
    </w:p>
    <w:p>
      <w:pPr>
        <w:ind w:firstLine="480"/>
        <w:rPr>
          <w:rFonts w:eastAsiaTheme="minorEastAsia"/>
        </w:rPr>
      </w:pPr>
      <w:r>
        <w:rPr>
          <w:rFonts w:eastAsiaTheme="minorEastAsia"/>
        </w:rPr>
        <w:t>本专业学生主要学习社会体育指导与管理的基本理论和基本知识，掌握社会体育活动中关于健身咨询、技术指导和组织管理等方面的基本能力。</w:t>
      </w:r>
    </w:p>
    <w:p>
      <w:pPr>
        <w:ind w:firstLine="480"/>
        <w:rPr>
          <w:rFonts w:eastAsiaTheme="minorEastAsia"/>
        </w:rPr>
      </w:pPr>
      <w:r>
        <w:rPr>
          <w:rFonts w:eastAsiaTheme="minorEastAsia"/>
        </w:rPr>
        <w:t>毕业生应获得以下几个方面的知识和能力：掌握社会体育相关学科的基本理论、基本知识；掌握指导大众体育、养生健身、休闲娱乐及特殊人群体育的运动技术；具有从事群众性体育活动的组织管理、咨询指导、经营开发及教学等方面的基本能力；熟悉党和国家有关体育事业的方针、政策、法规；了解国内外社会体育方面的学术发展动态；掌握文献检索、资料查询的基本方法，具有一定的科学研究和实际工作能力。</w:t>
      </w:r>
    </w:p>
    <w:p>
      <w:pPr>
        <w:ind w:firstLine="480"/>
        <w:rPr>
          <w:rFonts w:eastAsiaTheme="minorEastAsia"/>
        </w:rPr>
      </w:pPr>
      <w:r>
        <w:rPr>
          <w:rFonts w:eastAsiaTheme="minorEastAsia"/>
        </w:rPr>
        <w:t>为培养学生的创新创业能力，成立大学生赛事服务中心，2016年立项为校级创新创业实践项目，赛事服务中心的同学们先后参与了学校承办的全国、省级篮球、乒乓球和羽毛球体育比赛、校内师生体育赛事以及每年一届的泰山国际登山节、泰山国际马拉松在内的100余场次赛事的裁判和志愿者工作。</w:t>
      </w:r>
    </w:p>
    <w:p>
      <w:pPr>
        <w:pStyle w:val="5"/>
        <w:spacing w:before="93" w:after="93"/>
        <w:ind w:firstLine="560"/>
      </w:pPr>
      <w:r>
        <w:t>三、培养条件（教学经费投入、教学设备、教师队伍建设、实习基地、现代教学技术应用等）</w:t>
      </w:r>
    </w:p>
    <w:p>
      <w:pPr>
        <w:pStyle w:val="6"/>
        <w:ind w:firstLine="480"/>
      </w:pPr>
      <w:r>
        <w:t>1.经费投入及仪器设备</w:t>
      </w:r>
    </w:p>
    <w:p>
      <w:pPr>
        <w:ind w:firstLine="480"/>
        <w:rPr>
          <w:rFonts w:eastAsiaTheme="minorEastAsia"/>
        </w:rPr>
      </w:pPr>
      <w:r>
        <w:rPr>
          <w:rFonts w:eastAsiaTheme="minorEastAsia"/>
        </w:rPr>
        <w:t>学校体育设施一流，拥有综合体育馆 2 座，建筑面积分别为10,325 m²和12,468 m²，总面积22,793 m²，塑胶标准田径场 2 个，塑胶练习田径场1个，草皮足球场3块，篮球场38块、排球场30块、塑胶网球场4块、乒乓球场地72块、羽毛球场地16块、标准游泳池1个、男女健身房4个、单双杠区2处、攀岩场地1块、跆拳道场地2块、搏击馆 1座、体质测试场地3块。这些体育场地和设施能够满足该专业教学、训练实践的需要。</w:t>
      </w:r>
    </w:p>
    <w:p>
      <w:pPr>
        <w:ind w:firstLine="480"/>
        <w:rPr>
          <w:rFonts w:eastAsiaTheme="minorEastAsia"/>
        </w:rPr>
      </w:pPr>
      <w:r>
        <w:rPr>
          <w:rFonts w:eastAsiaTheme="minorEastAsia"/>
        </w:rPr>
        <w:t>学院每年教学经费总投入105.5万元，主要用于实验材料、学生实习、试卷印刷、仪器设备维修、教学差旅、师资培训等，其中用于社会体育指导与管理专业经费15万元左右。</w:t>
      </w:r>
    </w:p>
    <w:p>
      <w:pPr>
        <w:pStyle w:val="6"/>
        <w:ind w:firstLine="480"/>
      </w:pPr>
      <w:r>
        <w:t>2.人才培养方案与教学大纲</w:t>
      </w:r>
    </w:p>
    <w:p>
      <w:pPr>
        <w:ind w:firstLine="480"/>
        <w:rPr>
          <w:rFonts w:eastAsiaTheme="minorEastAsia"/>
        </w:rPr>
      </w:pPr>
      <w:r>
        <w:rPr>
          <w:rFonts w:eastAsiaTheme="minorEastAsia"/>
        </w:rPr>
        <w:t>为切实加强人才培养与社会需求的对接，强化课程体系对能力培养的支撑作用，依据社会发展需求，近年来，学院先后三次对专业人才培养该方案进行修订。2020年修修订的专业人才培养方案，依据教育部高等学校体育教学指导委员会颁布的《高等学校体育学类本科专业教学质量国家标准》，进一步细化了培养目标和培养要求，强化了实践教学和创新创业教育，增加实践环节在整个培养体系中的比重。依据近年课程开设的实际情况，对课程进行筛选，对课程开设的学期进行了调整，并结合当前社会的发展和国家颁布有关体育的一系列方针、政策、办法等，有针对性地开设了学校体育学、营养学等理论课程和武术、健美操、羽毛球等技能课。在强化学生运动技能的基础上，为使学生掌握各项目竞赛组织与编排方法，了解各项目竞赛规则和裁判法，新增篮球、排球、足球、田径、羽毛球、乒乓球六个项目的《竞赛组织与编排》、《竞赛规则与裁判法》。</w:t>
      </w:r>
    </w:p>
    <w:p>
      <w:pPr>
        <w:pStyle w:val="6"/>
        <w:ind w:firstLine="480"/>
      </w:pPr>
      <w:r>
        <w:t>3.实习基地</w:t>
      </w:r>
    </w:p>
    <w:p>
      <w:pPr>
        <w:ind w:firstLine="480"/>
        <w:rPr>
          <w:rFonts w:eastAsiaTheme="minorEastAsia"/>
        </w:rPr>
      </w:pPr>
      <w:r>
        <w:rPr>
          <w:rFonts w:eastAsiaTheme="minorEastAsia"/>
        </w:rPr>
        <w:t>根据本专业实践教学环节的需要，建立了校内校外实习基地4处：泰安泰山华博文化创意产业有限公司、泰山国奥健身中心、名爵健身俱乐部和泰安华宇</w:t>
      </w:r>
      <w:r>
        <w:rPr>
          <w:sz w:val="21"/>
        </w:rPr>
        <w:t>健身有限公司</w:t>
      </w:r>
      <w:r>
        <w:rPr>
          <w:rFonts w:eastAsiaTheme="minorEastAsia"/>
        </w:rPr>
        <w:t>，年均接纳学生实习200余人次，可以较好地满足本专业各个实习阶段的需要。自2019年起，组织专业全体毕业生到山东省山青世界青少年实践活动中心肥城基地、安徽滁州示范性综合实践基地集中实习，实习效果好，受到毕业生一致好评。</w:t>
      </w:r>
    </w:p>
    <w:p>
      <w:pPr>
        <w:pStyle w:val="6"/>
        <w:ind w:firstLine="480"/>
      </w:pPr>
      <w:r>
        <w:t>4.师资队伍</w:t>
      </w:r>
    </w:p>
    <w:p>
      <w:pPr>
        <w:ind w:firstLine="480"/>
        <w:rPr>
          <w:rFonts w:eastAsiaTheme="minorEastAsia"/>
        </w:rPr>
      </w:pPr>
      <w:r>
        <w:rPr>
          <w:rFonts w:eastAsiaTheme="minorEastAsia"/>
        </w:rPr>
        <w:t xml:space="preserve">目前，我院共有体育专业教师 58人，其中，教授10人，副教授25人，具有硕士学位教师37人，国际级裁判员1人，国家级裁判员5人，一级裁判员27人，国家级社会体育指导员2人。1人荣获学校本科教学优秀奖，2人荣获学校 </w:t>
      </w:r>
      <w:r>
        <w:rPr>
          <w:rFonts w:hint="eastAsia" w:eastAsiaTheme="minorEastAsia"/>
        </w:rPr>
        <w:t>“</w:t>
      </w:r>
      <w:r>
        <w:rPr>
          <w:rFonts w:eastAsiaTheme="minorEastAsia"/>
        </w:rPr>
        <w:t>教学先锋</w:t>
      </w:r>
      <w:r>
        <w:rPr>
          <w:rFonts w:hint="eastAsia" w:eastAsiaTheme="minorEastAsia"/>
        </w:rPr>
        <w:t>”</w:t>
      </w:r>
      <w:r>
        <w:rPr>
          <w:rFonts w:eastAsiaTheme="minorEastAsia"/>
        </w:rPr>
        <w:t>先进个人，1人获学校教学质量一等奖，3人获学校教学质量二等奖，聘请客座、兼职教授6人。近年来，有计划引进具有研究生学历教师18人，教师先后主编、参编教材20余部，主持省级以上厅局级科研项目20余项，发表论文200余篇，获省级及以上科研奖励40余项，先后有多名专业教师在省级教师教学技能大赛中获奖。教师团队力量雄厚，教学经验丰富，学历层次较高，数量充足，可为专业教学提供可靠的保证。</w:t>
      </w:r>
    </w:p>
    <w:p>
      <w:pPr>
        <w:pStyle w:val="5"/>
        <w:spacing w:before="93" w:after="93"/>
        <w:ind w:firstLine="560"/>
      </w:pPr>
      <w:r>
        <w:t>四、培养机制与特色（产学研协同育人机制、合作办学、教学管理等）</w:t>
      </w:r>
    </w:p>
    <w:p>
      <w:pPr>
        <w:pStyle w:val="6"/>
        <w:ind w:firstLine="480"/>
      </w:pPr>
      <w:r>
        <w:t>1.产学研协同育人机制、合作办学</w:t>
      </w:r>
    </w:p>
    <w:p>
      <w:pPr>
        <w:spacing w:line="380" w:lineRule="exact"/>
        <w:ind w:firstLine="480"/>
        <w:rPr>
          <w:rFonts w:eastAsiaTheme="minorEastAsia"/>
        </w:rPr>
      </w:pPr>
      <w:r>
        <w:rPr>
          <w:rFonts w:eastAsiaTheme="minorEastAsia"/>
        </w:rPr>
        <w:t>学院办学理念开放，先后与中国农业大学、南京农业大学、北京体育大学、上海体育学院等50余所高校建立了密切联系，与天津体育学院、山东师范大学、曲阜师范大学等院校经常进行业务交流。</w:t>
      </w:r>
    </w:p>
    <w:p>
      <w:pPr>
        <w:pStyle w:val="6"/>
        <w:spacing w:line="380" w:lineRule="exact"/>
        <w:ind w:firstLine="480"/>
      </w:pPr>
      <w:r>
        <w:t>2.教学管理</w:t>
      </w:r>
    </w:p>
    <w:p>
      <w:pPr>
        <w:spacing w:line="380" w:lineRule="exact"/>
        <w:ind w:firstLine="480"/>
        <w:rPr>
          <w:rFonts w:eastAsiaTheme="minorEastAsia"/>
        </w:rPr>
      </w:pPr>
      <w:r>
        <w:rPr>
          <w:rFonts w:eastAsiaTheme="minorEastAsia"/>
        </w:rPr>
        <w:t xml:space="preserve">学院教学组织管理机构健全，管理制度规范，结合学院实际，先后制定和完善了教学管理规章制度10余项，进一步明确了教学岗位人员的职责，规范了教学管理制度，实现了职责到位，管理到位，服务到位，落实到位。在教学管理中，始终坚持 </w:t>
      </w:r>
      <w:r>
        <w:rPr>
          <w:rFonts w:hint="eastAsia" w:eastAsiaTheme="minorEastAsia"/>
        </w:rPr>
        <w:t>“</w:t>
      </w:r>
      <w:r>
        <w:rPr>
          <w:rFonts w:eastAsiaTheme="minorEastAsia"/>
        </w:rPr>
        <w:t>以人为本</w:t>
      </w:r>
      <w:r>
        <w:rPr>
          <w:rFonts w:hint="eastAsia" w:eastAsiaTheme="minorEastAsia"/>
        </w:rPr>
        <w:t>”</w:t>
      </w:r>
      <w:r>
        <w:rPr>
          <w:rFonts w:eastAsiaTheme="minorEastAsia"/>
        </w:rPr>
        <w:t>的教学管理理念，坚持为教师和学生服务，鼓励他们参与教学管理，充分发挥师生在教学管理工作中的重要作用。</w:t>
      </w:r>
    </w:p>
    <w:p>
      <w:pPr>
        <w:pStyle w:val="5"/>
        <w:spacing w:before="93" w:after="93"/>
        <w:ind w:firstLine="560"/>
      </w:pPr>
      <w:r>
        <w:t>五、培养质量（毕业生就业率、就业专业对口率、毕业生发展情况、就业单位满意率、社会对专业的评价、学生就读该专业意愿等）</w:t>
      </w:r>
    </w:p>
    <w:p>
      <w:pPr>
        <w:pStyle w:val="6"/>
        <w:spacing w:line="380" w:lineRule="exact"/>
        <w:ind w:firstLine="480"/>
      </w:pPr>
      <w:r>
        <w:t>1.毕业生就业情况</w:t>
      </w:r>
    </w:p>
    <w:p>
      <w:pPr>
        <w:ind w:firstLine="480"/>
        <w:rPr>
          <w:rFonts w:eastAsiaTheme="minorEastAsia"/>
        </w:rPr>
      </w:pPr>
      <w:r>
        <w:rPr>
          <w:rFonts w:eastAsiaTheme="minorEastAsia"/>
        </w:rPr>
        <w:t>1.1毕业生就业率</w:t>
      </w:r>
    </w:p>
    <w:p>
      <w:pPr>
        <w:ind w:firstLine="480"/>
        <w:rPr>
          <w:rFonts w:eastAsiaTheme="minorEastAsia"/>
        </w:rPr>
      </w:pPr>
      <w:r>
        <w:rPr>
          <w:rFonts w:eastAsiaTheme="minorEastAsia"/>
        </w:rPr>
        <w:t>截止2022年9月30日，毕业生24人，就业22人，毕业去向落实率为91.7%，其中男生就业17人，毕业去向落实率为89.5%，女生就业5人，毕业去向落实率为100%。毕业生留鲁就业的16人，占已就业总人数的72.7%，其中到泰安市就业人数最多，占59.1%。出省就业共6人，占27.3%。</w:t>
      </w:r>
    </w:p>
    <w:p>
      <w:pPr>
        <w:spacing w:line="520" w:lineRule="exact"/>
        <w:ind w:left="343" w:right="620" w:firstLine="420"/>
        <w:jc w:val="center"/>
        <w:rPr>
          <w:rFonts w:eastAsia="黑体"/>
          <w:sz w:val="21"/>
          <w:szCs w:val="21"/>
        </w:rPr>
      </w:pP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表1 毕业生毕业去向落实情况统计表</w:t>
      </w:r>
    </w:p>
    <w:tbl>
      <w:tblPr>
        <w:tblStyle w:val="17"/>
        <w:tblW w:w="818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05"/>
        <w:gridCol w:w="1274"/>
        <w:gridCol w:w="1260"/>
        <w:gridCol w:w="1260"/>
        <w:gridCol w:w="1581"/>
        <w:gridCol w:w="170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915" w:hRule="atLeast"/>
          <w:jc w:val="center"/>
        </w:trPr>
        <w:tc>
          <w:tcPr>
            <w:tcW w:w="1105"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落实就业</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人数</w:t>
            </w:r>
          </w:p>
        </w:tc>
        <w:tc>
          <w:tcPr>
            <w:tcW w:w="1274"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毕业去向落实率</w:t>
            </w:r>
          </w:p>
        </w:tc>
        <w:tc>
          <w:tcPr>
            <w:tcW w:w="1260"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男生毕业去向落实率</w:t>
            </w:r>
          </w:p>
        </w:tc>
        <w:tc>
          <w:tcPr>
            <w:tcW w:w="1260"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女生毕业去向落实率</w:t>
            </w:r>
          </w:p>
        </w:tc>
        <w:tc>
          <w:tcPr>
            <w:tcW w:w="1581"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留鲁就业人数（比例）</w:t>
            </w:r>
          </w:p>
        </w:tc>
        <w:tc>
          <w:tcPr>
            <w:tcW w:w="1701"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省外就业人数</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（比例）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5" w:hRule="atLeast"/>
          <w:jc w:val="center"/>
        </w:trPr>
        <w:tc>
          <w:tcPr>
            <w:tcW w:w="1105"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22</w:t>
            </w:r>
          </w:p>
        </w:tc>
        <w:tc>
          <w:tcPr>
            <w:tcW w:w="1274"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91.7%</w:t>
            </w:r>
          </w:p>
        </w:tc>
        <w:tc>
          <w:tcPr>
            <w:tcW w:w="1260"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89.5%</w:t>
            </w:r>
          </w:p>
        </w:tc>
        <w:tc>
          <w:tcPr>
            <w:tcW w:w="1260"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w:t>
            </w:r>
          </w:p>
        </w:tc>
        <w:tc>
          <w:tcPr>
            <w:tcW w:w="1581"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72.7%</w:t>
            </w:r>
          </w:p>
        </w:tc>
        <w:tc>
          <w:tcPr>
            <w:tcW w:w="1701"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27.3%</w:t>
            </w:r>
          </w:p>
        </w:tc>
      </w:tr>
    </w:tbl>
    <w:p>
      <w:pPr>
        <w:spacing w:line="240" w:lineRule="auto"/>
        <w:jc w:val="center"/>
        <w:rPr>
          <w:color w:val="000000" w:themeColor="text1"/>
          <w:sz w:val="21"/>
          <w:szCs w:val="21"/>
          <w14:textFill>
            <w14:solidFill>
              <w14:schemeClr w14:val="tx1"/>
            </w14:solidFill>
          </w14:textFill>
        </w:rPr>
      </w:pP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drawing>
          <wp:inline distT="0" distB="0" distL="0" distR="0">
            <wp:extent cx="4852670" cy="2061210"/>
            <wp:effectExtent l="0" t="0" r="5080" b="15240"/>
            <wp:docPr id="178" name="image2.jpeg" descr="/private/var/mobile/Containers/Data/Application/9766C098-1E13-46B0-819B-EF384BE7695E/tmp/insert_image_tmp_dir/2022-09-24 14:31:52.953000.png2022-09-24 14:31:52.95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2.jpeg" descr="/private/var/mobile/Containers/Data/Application/9766C098-1E13-46B0-819B-EF384BE7695E/tmp/insert_image_tmp_dir/2022-09-24 14:31:52.953000.png2022-09-24 14:31:52.953000"/>
                    <pic:cNvPicPr>
                      <a:picLocks noChangeAspect="1"/>
                    </pic:cNvPicPr>
                  </pic:nvPicPr>
                  <pic:blipFill>
                    <a:blip r:embed="rId187"/>
                    <a:srcRect/>
                    <a:stretch>
                      <a:fillRect/>
                    </a:stretch>
                  </pic:blipFill>
                  <pic:spPr>
                    <a:xfrm>
                      <a:off x="0" y="0"/>
                      <a:ext cx="4852670" cy="2061210"/>
                    </a:xfrm>
                    <a:prstGeom prst="rect">
                      <a:avLst/>
                    </a:prstGeom>
                  </pic:spPr>
                </pic:pic>
              </a:graphicData>
            </a:graphic>
          </wp:inline>
        </w:drawing>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图1.毕业生就业地区流向图</w:t>
      </w:r>
    </w:p>
    <w:p>
      <w:pPr>
        <w:ind w:firstLine="480"/>
        <w:rPr>
          <w:rFonts w:eastAsiaTheme="minorEastAsia"/>
        </w:rPr>
      </w:pPr>
    </w:p>
    <w:p>
      <w:pPr>
        <w:ind w:firstLine="480"/>
        <w:rPr>
          <w:rFonts w:eastAsiaTheme="minorEastAsia"/>
        </w:rPr>
      </w:pPr>
      <w:r>
        <w:rPr>
          <w:rFonts w:eastAsiaTheme="minorEastAsia"/>
        </w:rPr>
        <w:t>1.2就业方式</w:t>
      </w:r>
    </w:p>
    <w:p>
      <w:pPr>
        <w:ind w:firstLine="480"/>
        <w:rPr>
          <w:rFonts w:eastAsiaTheme="minorEastAsia"/>
        </w:rPr>
      </w:pPr>
      <w:r>
        <w:rPr>
          <w:rFonts w:eastAsiaTheme="minorEastAsia"/>
        </w:rPr>
        <w:t>毕业生毕业去向主要包括升学、协议就业、劳动合同就业、应征义务兵、科研助理、自主创业、其他录用形式就业、暂不就业（不就业拟升学和其他暂不就业）、待就业等多种方式就业，本专业毕业去向中其他录用形式方式就业人数最多，其次是国内升学方式。毕业生总体就业方式如下表所示。</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表2 毕业生就业方式统计表</w:t>
      </w:r>
    </w:p>
    <w:tbl>
      <w:tblPr>
        <w:tblStyle w:val="17"/>
        <w:tblW w:w="923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63"/>
        <w:gridCol w:w="869"/>
        <w:gridCol w:w="870"/>
        <w:gridCol w:w="1155"/>
        <w:gridCol w:w="1200"/>
        <w:gridCol w:w="1091"/>
        <w:gridCol w:w="1247"/>
        <w:gridCol w:w="942"/>
        <w:gridCol w:w="79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8" w:hRule="atLeast"/>
        </w:trPr>
        <w:tc>
          <w:tcPr>
            <w:tcW w:w="1063"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就业方式</w:t>
            </w:r>
          </w:p>
        </w:tc>
        <w:tc>
          <w:tcPr>
            <w:tcW w:w="869"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国内升学</w:t>
            </w:r>
          </w:p>
        </w:tc>
        <w:tc>
          <w:tcPr>
            <w:tcW w:w="870"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出国</w:t>
            </w:r>
          </w:p>
        </w:tc>
        <w:tc>
          <w:tcPr>
            <w:tcW w:w="1155"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协议就业</w:t>
            </w:r>
          </w:p>
        </w:tc>
        <w:tc>
          <w:tcPr>
            <w:tcW w:w="1200"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劳动合同</w:t>
            </w:r>
          </w:p>
        </w:tc>
        <w:tc>
          <w:tcPr>
            <w:tcW w:w="1091"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自主创业</w:t>
            </w:r>
          </w:p>
        </w:tc>
        <w:tc>
          <w:tcPr>
            <w:tcW w:w="1247"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其他录用形式就业</w:t>
            </w:r>
          </w:p>
        </w:tc>
        <w:tc>
          <w:tcPr>
            <w:tcW w:w="942"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暂不就业</w:t>
            </w:r>
          </w:p>
        </w:tc>
        <w:tc>
          <w:tcPr>
            <w:tcW w:w="798"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待就业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71" w:hRule="atLeast"/>
        </w:trPr>
        <w:tc>
          <w:tcPr>
            <w:tcW w:w="1063"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人数</w:t>
            </w:r>
          </w:p>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（比例）</w:t>
            </w:r>
          </w:p>
        </w:tc>
        <w:tc>
          <w:tcPr>
            <w:tcW w:w="869"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27.3%</w:t>
            </w:r>
          </w:p>
        </w:tc>
        <w:tc>
          <w:tcPr>
            <w:tcW w:w="870"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155"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9.1%</w:t>
            </w:r>
          </w:p>
        </w:tc>
        <w:tc>
          <w:tcPr>
            <w:tcW w:w="1200"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091"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247"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63.6%</w:t>
            </w:r>
          </w:p>
        </w:tc>
        <w:tc>
          <w:tcPr>
            <w:tcW w:w="942"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798"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9.1%</w:t>
            </w:r>
          </w:p>
        </w:tc>
      </w:tr>
    </w:tbl>
    <w:p>
      <w:pPr>
        <w:ind w:firstLine="480"/>
        <w:rPr>
          <w:rFonts w:eastAsiaTheme="minorEastAsia"/>
        </w:rPr>
      </w:pPr>
    </w:p>
    <w:p>
      <w:pPr>
        <w:ind w:firstLine="480"/>
        <w:rPr>
          <w:rFonts w:eastAsiaTheme="minorEastAsia"/>
        </w:rPr>
      </w:pPr>
      <w:r>
        <w:rPr>
          <w:rFonts w:eastAsiaTheme="minorEastAsia"/>
        </w:rPr>
        <w:t>1.3就业流向</w:t>
      </w:r>
    </w:p>
    <w:p>
      <w:pPr>
        <w:ind w:firstLine="480"/>
        <w:rPr>
          <w:rFonts w:eastAsiaTheme="minorEastAsia"/>
        </w:rPr>
      </w:pPr>
      <w:r>
        <w:rPr>
          <w:rFonts w:eastAsiaTheme="minorEastAsia"/>
        </w:rPr>
        <w:t>毕业生就业单位性质显示，其他就业人数最多，占已就业人数的95.5%，其次是国有企业就业，占比4.5%。</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表3 毕业生就业单位性质统计表</w:t>
      </w:r>
    </w:p>
    <w:tbl>
      <w:tblPr>
        <w:tblStyle w:val="17"/>
        <w:tblW w:w="92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31"/>
        <w:gridCol w:w="658"/>
        <w:gridCol w:w="644"/>
        <w:gridCol w:w="965"/>
        <w:gridCol w:w="869"/>
        <w:gridCol w:w="724"/>
        <w:gridCol w:w="826"/>
        <w:gridCol w:w="713"/>
        <w:gridCol w:w="713"/>
        <w:gridCol w:w="824"/>
        <w:gridCol w:w="793"/>
        <w:gridCol w:w="61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0" w:hRule="atLeast"/>
          <w:jc w:val="center"/>
        </w:trPr>
        <w:tc>
          <w:tcPr>
            <w:tcW w:w="931"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单位性质</w:t>
            </w:r>
          </w:p>
        </w:tc>
        <w:tc>
          <w:tcPr>
            <w:tcW w:w="658"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国有</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企业</w:t>
            </w:r>
          </w:p>
        </w:tc>
        <w:tc>
          <w:tcPr>
            <w:tcW w:w="644"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外资</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企业</w:t>
            </w:r>
          </w:p>
        </w:tc>
        <w:tc>
          <w:tcPr>
            <w:tcW w:w="965"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国家</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公务员</w:t>
            </w:r>
          </w:p>
        </w:tc>
        <w:tc>
          <w:tcPr>
            <w:tcW w:w="869"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地方</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公务员</w:t>
            </w:r>
          </w:p>
        </w:tc>
        <w:tc>
          <w:tcPr>
            <w:tcW w:w="724"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事业</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单位</w:t>
            </w:r>
          </w:p>
        </w:tc>
        <w:tc>
          <w:tcPr>
            <w:tcW w:w="826"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选调生</w:t>
            </w:r>
          </w:p>
        </w:tc>
        <w:tc>
          <w:tcPr>
            <w:tcW w:w="713"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三支一扶</w:t>
            </w:r>
          </w:p>
        </w:tc>
        <w:tc>
          <w:tcPr>
            <w:tcW w:w="713"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西部志愿者</w:t>
            </w:r>
          </w:p>
        </w:tc>
        <w:tc>
          <w:tcPr>
            <w:tcW w:w="824"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世界500强企业</w:t>
            </w:r>
          </w:p>
        </w:tc>
        <w:tc>
          <w:tcPr>
            <w:tcW w:w="793"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中国500强企业</w:t>
            </w:r>
          </w:p>
        </w:tc>
        <w:tc>
          <w:tcPr>
            <w:tcW w:w="611"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45" w:hRule="atLeast"/>
          <w:jc w:val="center"/>
        </w:trPr>
        <w:tc>
          <w:tcPr>
            <w:tcW w:w="931"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人数</w:t>
            </w:r>
          </w:p>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（比例）</w:t>
            </w:r>
          </w:p>
        </w:tc>
        <w:tc>
          <w:tcPr>
            <w:tcW w:w="658"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4.5%</w:t>
            </w:r>
          </w:p>
        </w:tc>
        <w:tc>
          <w:tcPr>
            <w:tcW w:w="644"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965"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869"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724"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826"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713"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713"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824"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793"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611"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95.5%</w:t>
            </w:r>
          </w:p>
        </w:tc>
      </w:tr>
    </w:tbl>
    <w:p>
      <w:pPr>
        <w:ind w:firstLine="480"/>
        <w:rPr>
          <w:rFonts w:eastAsiaTheme="minorEastAsia"/>
        </w:rPr>
      </w:pPr>
    </w:p>
    <w:p>
      <w:pPr>
        <w:ind w:firstLine="480"/>
        <w:rPr>
          <w:rFonts w:eastAsiaTheme="minorEastAsia"/>
        </w:rPr>
      </w:pPr>
      <w:r>
        <w:rPr>
          <w:rFonts w:eastAsiaTheme="minorEastAsia"/>
        </w:rPr>
        <w:t>1.4考研情况</w:t>
      </w:r>
    </w:p>
    <w:p>
      <w:pPr>
        <w:ind w:firstLine="480"/>
        <w:rPr>
          <w:rFonts w:eastAsiaTheme="minorEastAsia"/>
        </w:rPr>
      </w:pPr>
      <w:r>
        <w:rPr>
          <w:rFonts w:eastAsiaTheme="minorEastAsia"/>
        </w:rPr>
        <w:t>毕业生国内升学6人，升学率25%，其中考入</w:t>
      </w:r>
      <w:r>
        <w:rPr>
          <w:rFonts w:hint="eastAsia" w:eastAsiaTheme="minorEastAsia"/>
        </w:rPr>
        <w:t>“</w:t>
      </w:r>
      <w:r>
        <w:rPr>
          <w:rFonts w:eastAsiaTheme="minorEastAsia"/>
        </w:rPr>
        <w:t>双一流</w:t>
      </w:r>
      <w:r>
        <w:rPr>
          <w:rFonts w:hint="eastAsia" w:eastAsiaTheme="minorEastAsia"/>
        </w:rPr>
        <w:t>”</w:t>
      </w:r>
      <w:r>
        <w:rPr>
          <w:rFonts w:eastAsiaTheme="minorEastAsia"/>
        </w:rPr>
        <w:t>大学2人，占国内升学总人数的33.3%。从升学专业来看，跨专业升学的0人，占国内升学总人数的0%。升学学校主要是北京体育大学、苏州大学、扬州大学、天津体育学院、山东体育学院、吉林体育学院等。</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表4 国内升学学校前5位统计表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1"/>
        <w:gridCol w:w="2181"/>
        <w:gridCol w:w="1786"/>
        <w:gridCol w:w="18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1"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序号</w:t>
            </w:r>
          </w:p>
        </w:tc>
        <w:tc>
          <w:tcPr>
            <w:tcW w:w="2181"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升学学校名称</w:t>
            </w:r>
          </w:p>
        </w:tc>
        <w:tc>
          <w:tcPr>
            <w:tcW w:w="1786"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升学人数</w:t>
            </w:r>
          </w:p>
        </w:tc>
        <w:tc>
          <w:tcPr>
            <w:tcW w:w="1899"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1"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2181"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北京体育大学</w:t>
            </w:r>
          </w:p>
        </w:tc>
        <w:tc>
          <w:tcPr>
            <w:tcW w:w="1786"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1899"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1"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2181"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苏州大学</w:t>
            </w:r>
          </w:p>
        </w:tc>
        <w:tc>
          <w:tcPr>
            <w:tcW w:w="1786"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899"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1"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2181"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扬州大学</w:t>
            </w:r>
          </w:p>
        </w:tc>
        <w:tc>
          <w:tcPr>
            <w:tcW w:w="1786"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899"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1"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2181"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天津体育学院</w:t>
            </w:r>
          </w:p>
        </w:tc>
        <w:tc>
          <w:tcPr>
            <w:tcW w:w="1786"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899"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1"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2181"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山东体育学院</w:t>
            </w:r>
          </w:p>
        </w:tc>
        <w:tc>
          <w:tcPr>
            <w:tcW w:w="1786"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899"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16.7%</w:t>
            </w:r>
          </w:p>
        </w:tc>
      </w:tr>
    </w:tbl>
    <w:p>
      <w:pPr>
        <w:ind w:firstLine="480"/>
        <w:rPr>
          <w:rFonts w:eastAsiaTheme="minorEastAsia"/>
        </w:rPr>
      </w:pPr>
    </w:p>
    <w:p>
      <w:pPr>
        <w:ind w:firstLine="480"/>
        <w:rPr>
          <w:rFonts w:eastAsiaTheme="minorEastAsia"/>
        </w:rPr>
      </w:pPr>
      <w:r>
        <w:rPr>
          <w:rFonts w:eastAsiaTheme="minorEastAsia"/>
        </w:rPr>
        <w:t>1.5就业工作的专业对口情况</w:t>
      </w:r>
    </w:p>
    <w:p>
      <w:pPr>
        <w:ind w:firstLine="480"/>
        <w:rPr>
          <w:rFonts w:eastAsiaTheme="minorEastAsia"/>
        </w:rPr>
      </w:pPr>
      <w:r>
        <w:rPr>
          <w:rFonts w:eastAsiaTheme="minorEastAsia"/>
        </w:rPr>
        <w:t>毕业生当前所在工作单位或者所从事工作岗位与所学专业对口率较高的共4人，占已就业总人数的25%。主要集中在泰安市泰山区京东侠武术俱乐部。</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表5 毕业生专业对口情况统计表</w:t>
      </w:r>
    </w:p>
    <w:tbl>
      <w:tblPr>
        <w:tblStyle w:val="1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68"/>
        <w:gridCol w:w="1211"/>
        <w:gridCol w:w="1260"/>
        <w:gridCol w:w="1349"/>
        <w:gridCol w:w="1530"/>
        <w:gridCol w:w="84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47" w:hRule="atLeast"/>
          <w:jc w:val="center"/>
        </w:trPr>
        <w:tc>
          <w:tcPr>
            <w:tcW w:w="1668"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就业方式</w:t>
            </w:r>
          </w:p>
        </w:tc>
        <w:tc>
          <w:tcPr>
            <w:tcW w:w="1211"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企业就业</w:t>
            </w:r>
          </w:p>
        </w:tc>
        <w:tc>
          <w:tcPr>
            <w:tcW w:w="1260"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公务员</w:t>
            </w:r>
          </w:p>
        </w:tc>
        <w:tc>
          <w:tcPr>
            <w:tcW w:w="1349"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事业单位</w:t>
            </w:r>
          </w:p>
        </w:tc>
        <w:tc>
          <w:tcPr>
            <w:tcW w:w="1530"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其他就业形式</w:t>
            </w:r>
          </w:p>
        </w:tc>
        <w:tc>
          <w:tcPr>
            <w:tcW w:w="841"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合计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4" w:hRule="atLeast"/>
          <w:jc w:val="center"/>
        </w:trPr>
        <w:tc>
          <w:tcPr>
            <w:tcW w:w="1668"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对口就业人数</w:t>
            </w:r>
          </w:p>
        </w:tc>
        <w:tc>
          <w:tcPr>
            <w:tcW w:w="1211"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1260"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349"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530"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841"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9" w:hRule="atLeast"/>
          <w:jc w:val="center"/>
        </w:trPr>
        <w:tc>
          <w:tcPr>
            <w:tcW w:w="1668"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占比</w:t>
            </w:r>
          </w:p>
        </w:tc>
        <w:tc>
          <w:tcPr>
            <w:tcW w:w="1211"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w:t>
            </w:r>
          </w:p>
        </w:tc>
        <w:tc>
          <w:tcPr>
            <w:tcW w:w="1260"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349"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530"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841"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w:t>
            </w:r>
          </w:p>
        </w:tc>
      </w:tr>
    </w:tbl>
    <w:p>
      <w:pPr>
        <w:ind w:firstLine="480"/>
        <w:rPr>
          <w:rFonts w:eastAsiaTheme="minorEastAsia"/>
        </w:rPr>
      </w:pPr>
    </w:p>
    <w:p>
      <w:pPr>
        <w:ind w:firstLine="480"/>
        <w:rPr>
          <w:rFonts w:eastAsiaTheme="minorEastAsia"/>
        </w:rPr>
      </w:pPr>
      <w:r>
        <w:rPr>
          <w:rFonts w:eastAsiaTheme="minorEastAsia"/>
        </w:rPr>
        <w:t>1.6未就业毕业生情况</w:t>
      </w:r>
    </w:p>
    <w:p>
      <w:pPr>
        <w:ind w:firstLine="480"/>
        <w:rPr>
          <w:rFonts w:eastAsiaTheme="minorEastAsia"/>
        </w:rPr>
      </w:pPr>
      <w:r>
        <w:rPr>
          <w:rFonts w:eastAsiaTheme="minorEastAsia"/>
        </w:rPr>
        <w:t>未就业毕业生2人，通过调研发现，未就业原因主要是二战考研，占未就业毕业生的100%。</w:t>
      </w:r>
    </w:p>
    <w:p>
      <w:pPr>
        <w:pStyle w:val="6"/>
        <w:ind w:firstLine="480"/>
      </w:pPr>
      <w:r>
        <w:t>2. 就业单位满意率、社会对专业的评价</w:t>
      </w:r>
    </w:p>
    <w:p>
      <w:pPr>
        <w:pStyle w:val="6"/>
        <w:ind w:firstLine="480"/>
      </w:pPr>
      <w:r>
        <w:rPr>
          <w:rFonts w:eastAsiaTheme="minorEastAsia"/>
        </w:rPr>
        <w:t>该专业自开办以来，始终坚持对学生进行全面素质教育，学生的学业成绩总体良好。同时，注重学生技能、从业素养等方面的培养。经过几年的建设，学生在理论知识、技能、赛事管理等方面得到很好提升，培养的学生理论知识扎实、应用能力强，适应面广，毕业生扎实的专业基础和良好的综合素质受到了用人单位的普遍赞誉。</w:t>
      </w:r>
      <w:r>
        <w:rPr>
          <w:rFonts w:eastAsiaTheme="minorEastAsia"/>
          <w:szCs w:val="22"/>
        </w:rPr>
        <w:t>通过对毕业学生就业单位的走访，用人单位普遍对我校体育专业毕业生的工作态度和工作能力表示满意，对学院人才培养质量给予肯定，一致认为我校体育专业毕业生吃苦耐劳，工作积极上进，专业素质高，愿意接纳我校体育专业毕业生。</w:t>
      </w:r>
    </w:p>
    <w:p>
      <w:pPr>
        <w:pStyle w:val="6"/>
        <w:ind w:firstLine="480"/>
      </w:pPr>
      <w:r>
        <w:t>3. 学生就读该专业意愿</w:t>
      </w:r>
    </w:p>
    <w:p>
      <w:pPr>
        <w:ind w:firstLine="480"/>
        <w:jc w:val="left"/>
        <w:rPr>
          <w:rFonts w:eastAsiaTheme="minorEastAsia"/>
        </w:rPr>
      </w:pPr>
      <w:r>
        <w:rPr>
          <w:rFonts w:eastAsiaTheme="minorEastAsia"/>
        </w:rPr>
        <w:t>专业省内外本科生的一次录取率及报到率为100%。</w:t>
      </w:r>
    </w:p>
    <w:p>
      <w:pPr>
        <w:pStyle w:val="5"/>
        <w:spacing w:before="93" w:after="93"/>
        <w:ind w:firstLine="560"/>
      </w:pPr>
      <w:r>
        <w:t>六、毕业生就业创业（创业情况、采取的措施、典型案例等）</w:t>
      </w:r>
    </w:p>
    <w:p>
      <w:pPr>
        <w:pStyle w:val="6"/>
        <w:ind w:firstLine="480"/>
        <w:rPr>
          <w:rFonts w:eastAsiaTheme="minorEastAsia"/>
        </w:rPr>
      </w:pPr>
      <w:r>
        <w:rPr>
          <w:rFonts w:eastAsiaTheme="minorEastAsia"/>
        </w:rPr>
        <w:t>为进一步落实学校关于毕业生就业工作的有关要求，推动学院毕业生就业创业工作，学院实行就业指导教师制度，在全面了解、掌握班级就业创业情况的前提下，坚持</w:t>
      </w:r>
      <w:r>
        <w:rPr>
          <w:rFonts w:hint="eastAsia" w:eastAsiaTheme="minorEastAsia"/>
        </w:rPr>
        <w:t>“</w:t>
      </w:r>
      <w:r>
        <w:rPr>
          <w:rFonts w:eastAsiaTheme="minorEastAsia"/>
        </w:rPr>
        <w:t>全心服务、全程指导、全员参与</w:t>
      </w:r>
      <w:r>
        <w:rPr>
          <w:rFonts w:hint="eastAsia" w:eastAsiaTheme="minorEastAsia"/>
        </w:rPr>
        <w:t>”</w:t>
      </w:r>
      <w:r>
        <w:rPr>
          <w:rFonts w:eastAsiaTheme="minorEastAsia"/>
        </w:rPr>
        <w:t>，切实加强毕业生就业指导服务，由学院领导、院教授委员会成员、专业主任、辅导员和班主任担任毕业班级的就业指导教师，对学生开展</w:t>
      </w:r>
      <w:r>
        <w:rPr>
          <w:rFonts w:hint="eastAsia" w:eastAsiaTheme="minorEastAsia"/>
        </w:rPr>
        <w:t>“</w:t>
      </w:r>
      <w:r>
        <w:rPr>
          <w:rFonts w:eastAsiaTheme="minorEastAsia"/>
        </w:rPr>
        <w:t>一帮一</w:t>
      </w:r>
      <w:r>
        <w:rPr>
          <w:rFonts w:hint="eastAsia" w:eastAsiaTheme="minorEastAsia"/>
        </w:rPr>
        <w:t>”</w:t>
      </w:r>
      <w:r>
        <w:rPr>
          <w:rFonts w:eastAsiaTheme="minorEastAsia"/>
        </w:rPr>
        <w:t>帮扶、指导等工作，引导学生积极就业。</w:t>
      </w:r>
    </w:p>
    <w:p>
      <w:pPr>
        <w:pStyle w:val="6"/>
        <w:ind w:firstLine="480"/>
        <w:rPr>
          <w:rFonts w:eastAsiaTheme="minorEastAsia"/>
        </w:rPr>
      </w:pPr>
      <w:r>
        <w:rPr>
          <w:rFonts w:eastAsiaTheme="minorEastAsia"/>
        </w:rPr>
        <w:t>加强宣传、教育、引导，转变毕业生就业择业观念；加强学生就业指导力度，举办优秀校友、知名专家考研、就业报告会，通过大学生模拟应聘大赛、教师资格证模拟面试、考研就业经验交流会，举办各类招聘就业市场，优化信息发布平台，以创业带动就业，为学生创造更加灵活的就业方式，加大就业指导力度，拓展就业渠道，挖掘社会资源，为毕业生搭建高质量就业平台，提高就业层次。</w:t>
      </w:r>
    </w:p>
    <w:p>
      <w:pPr>
        <w:pStyle w:val="5"/>
        <w:spacing w:before="93" w:after="93"/>
        <w:ind w:firstLine="560"/>
      </w:pPr>
      <w:r>
        <w:t>七、专业发展趋势及建议</w:t>
      </w:r>
    </w:p>
    <w:p>
      <w:pPr>
        <w:pStyle w:val="6"/>
        <w:ind w:firstLine="480"/>
        <w:rPr>
          <w:rFonts w:eastAsiaTheme="minorEastAsia"/>
        </w:rPr>
      </w:pPr>
      <w:r>
        <w:rPr>
          <w:rFonts w:hint="eastAsia" w:eastAsiaTheme="minorEastAsia"/>
        </w:rPr>
        <w:t>“</w:t>
      </w:r>
      <w:r>
        <w:rPr>
          <w:rFonts w:eastAsiaTheme="minorEastAsia"/>
        </w:rPr>
        <w:t>十四五</w:t>
      </w:r>
      <w:r>
        <w:rPr>
          <w:rFonts w:hint="eastAsia" w:eastAsiaTheme="minorEastAsia"/>
        </w:rPr>
        <w:t>”</w:t>
      </w:r>
      <w:r>
        <w:rPr>
          <w:rFonts w:eastAsiaTheme="minorEastAsia"/>
        </w:rPr>
        <w:t>时期是我国全面建设体育强国的开局时期，是我省全面建设体育强省的重要战略机遇期。《山东省</w:t>
      </w:r>
      <w:r>
        <w:rPr>
          <w:rFonts w:hint="eastAsia" w:eastAsiaTheme="minorEastAsia"/>
        </w:rPr>
        <w:t>“</w:t>
      </w:r>
      <w:r>
        <w:rPr>
          <w:rFonts w:eastAsiaTheme="minorEastAsia"/>
        </w:rPr>
        <w:t>十四五</w:t>
      </w:r>
      <w:r>
        <w:rPr>
          <w:rFonts w:hint="eastAsia" w:eastAsiaTheme="minorEastAsia"/>
        </w:rPr>
        <w:t>”</w:t>
      </w:r>
      <w:r>
        <w:rPr>
          <w:rFonts w:eastAsiaTheme="minorEastAsia"/>
        </w:rPr>
        <w:t>体育发展规划》提出, 到2025年，建立与小康社会相适应的体育发展新格局。体育教学方面，青少年体教融合发展取得实效性成效，体育后备人才基础更加坚实，近70万大中小学生的体育教学和训练亟需更多体育专业人才；社会体育方面，全民健身公共服务体系进一步完善, 经常参加体育锻炼人数比例达到42%以上，广大人民群众对健康和健身指导的需求将进一步强烈，社会体育指导员缺口较大；体育产业规模达到6000亿元以上，增加值占全省GDP的比重接近2%，亟需熟悉体育市场开发和体育产业经营规律、把握体育产业发展趋势，具有良好的经济专业知识背景和市场运作能力的高层次体育产业经营管理人才。</w:t>
      </w:r>
    </w:p>
    <w:p>
      <w:pPr>
        <w:ind w:firstLine="480"/>
        <w:rPr>
          <w:rFonts w:eastAsiaTheme="minorEastAsia"/>
        </w:rPr>
      </w:pPr>
      <w:r>
        <w:rPr>
          <w:rFonts w:eastAsiaTheme="minorEastAsia"/>
        </w:rPr>
        <w:t>为适应社会主要矛盾的转变，提升人民生活品质，满足人民美好生活新需求，同时促进经济和社会和谐发展，助力健康中国和体育强国建设，建议以</w:t>
      </w:r>
      <w:r>
        <w:rPr>
          <w:rFonts w:hint="eastAsia" w:eastAsiaTheme="minorEastAsia"/>
        </w:rPr>
        <w:t>“</w:t>
      </w:r>
      <w:r>
        <w:rPr>
          <w:rFonts w:eastAsiaTheme="minorEastAsia"/>
        </w:rPr>
        <w:t>健康中国</w:t>
      </w:r>
      <w:r>
        <w:rPr>
          <w:rFonts w:hint="eastAsia" w:eastAsiaTheme="minorEastAsia"/>
        </w:rPr>
        <w:t>”</w:t>
      </w:r>
      <w:r>
        <w:rPr>
          <w:rFonts w:eastAsiaTheme="minorEastAsia"/>
        </w:rPr>
        <w:t>引领专业人才培养目标定位，培养从事特殊人群体育指导的专业人才，积极培养山地、水上、极限、户外等时尚休闲运动项目方面的专业人才；加强校际、校企间的合作交流，精化专业口径，明确专业发展方向，专业下设健身运动指导、运动技术培训、休闲户外运动以及特殊人群体育指导四个方向；进一步完善课程设置，不断强化实践环节，增加专业实习时间，开展专业实习入职前的培训工作，增加实习基地的数量和种类。</w:t>
      </w:r>
    </w:p>
    <w:p>
      <w:pPr>
        <w:pStyle w:val="5"/>
        <w:spacing w:before="93" w:after="93"/>
        <w:ind w:firstLine="560"/>
      </w:pPr>
      <w:r>
        <w:t>八、存在的问题及整改措施</w:t>
      </w:r>
    </w:p>
    <w:p>
      <w:pPr>
        <w:ind w:firstLine="480"/>
        <w:rPr>
          <w:rFonts w:eastAsiaTheme="minorEastAsia"/>
        </w:rPr>
      </w:pPr>
      <w:r>
        <w:rPr>
          <w:rFonts w:eastAsiaTheme="minorEastAsia"/>
        </w:rPr>
        <w:t>随着经济社会的快速发展，对本专业的人才培养提出了更多新的要求，需要进一步完善人才培养方案，不断优化课程设置，强化专业特色建设，注重学生综合素质培养。同时加强实践教学环节，不断拓展校内、外教学实践基地，给学生提供更多的实践锻炼机会，培养出的毕业生更符合社会发展的需要。</w:t>
      </w:r>
    </w:p>
    <w:p>
      <w:pPr>
        <w:ind w:firstLine="480"/>
        <w:rPr>
          <w:rFonts w:eastAsiaTheme="minorEastAsia"/>
        </w:rPr>
      </w:pPr>
      <w:r>
        <w:rPr>
          <w:rFonts w:eastAsiaTheme="minorEastAsia"/>
        </w:rPr>
        <w:t>1.实验室建设方面，实验场所紧张，实验条件亟待改善，根据专业发展需要，拟建设运动生理、运动解剖、体育测量与评价和运动保健与康复4个实验室；</w:t>
      </w:r>
    </w:p>
    <w:p>
      <w:pPr>
        <w:ind w:firstLine="480"/>
        <w:rPr>
          <w:rFonts w:eastAsiaTheme="minorEastAsia"/>
        </w:rPr>
      </w:pPr>
      <w:r>
        <w:rPr>
          <w:rFonts w:eastAsiaTheme="minorEastAsia"/>
        </w:rPr>
        <w:t>2.师资力量方面，专业教师数量不足，学历层次需进一步提升；</w:t>
      </w:r>
    </w:p>
    <w:p>
      <w:pPr>
        <w:ind w:firstLine="480"/>
        <w:rPr>
          <w:rFonts w:eastAsiaTheme="minorEastAsia"/>
        </w:rPr>
      </w:pPr>
      <w:r>
        <w:rPr>
          <w:rFonts w:eastAsiaTheme="minorEastAsia"/>
        </w:rPr>
        <w:t>3.科研方面，高水平的科研项目少，没有形成完善的科研团队和梯队；</w:t>
      </w:r>
    </w:p>
    <w:p>
      <w:pPr>
        <w:ind w:firstLine="480"/>
        <w:rPr>
          <w:rFonts w:eastAsiaTheme="minorEastAsia"/>
        </w:rPr>
      </w:pPr>
      <w:r>
        <w:rPr>
          <w:rFonts w:eastAsiaTheme="minorEastAsia"/>
        </w:rPr>
        <w:t>4.加强经费投入，不断改善条件，积极筹措经费，对专业建设所需设备条件、图书资料以及科学研究给以充分的经费保障。</w:t>
      </w:r>
    </w:p>
    <w:p>
      <w:pPr>
        <w:ind w:firstLine="480"/>
        <w:rPr>
          <w:rFonts w:eastAsiaTheme="minorEastAsia"/>
        </w:rPr>
      </w:pPr>
      <w:r>
        <w:rPr>
          <w:rFonts w:eastAsiaTheme="minorEastAsia"/>
        </w:rPr>
        <w:t>经过几年的发展，在学校、学院的重视、支持下，依靠全体专业教师的不懈努力和无私奉献，该专业正逐步由弱到强，下一步我们将继续完善人才培养方案，优化课程设置，整合教育资源，争取学校更多的政策支持，拓宽办学渠道，努力实现专业建设再上新台阶。</w:t>
      </w:r>
    </w:p>
    <w:p>
      <w:pPr>
        <w:ind w:firstLine="480"/>
      </w:pPr>
    </w:p>
    <w:p>
      <w:r>
        <w:br w:type="page"/>
      </w:r>
    </w:p>
    <w:p>
      <w:pPr>
        <w:pStyle w:val="4"/>
        <w:ind w:firstLine="600"/>
      </w:pPr>
      <w:bookmarkStart w:id="828" w:name="_Toc2687"/>
      <w:r>
        <w:rPr>
          <w:rFonts w:hint="eastAsia"/>
          <w:lang w:val="en-US"/>
        </w:rPr>
        <w:t>专业八十：</w:t>
      </w:r>
      <w:r>
        <w:rPr>
          <w:lang w:val="en-US"/>
        </w:rPr>
        <w:t>音乐学</w:t>
      </w:r>
      <w:bookmarkEnd w:id="828"/>
    </w:p>
    <w:p>
      <w:pPr>
        <w:pStyle w:val="5"/>
        <w:spacing w:before="93" w:after="93"/>
        <w:ind w:firstLine="560"/>
      </w:pPr>
      <w:bookmarkStart w:id="829" w:name="_Toc1768"/>
      <w:r>
        <w:t>一、人才培养目标</w:t>
      </w:r>
      <w:bookmarkEnd w:id="829"/>
    </w:p>
    <w:p>
      <w:pPr>
        <w:ind w:firstLine="480"/>
      </w:pPr>
      <w:bookmarkStart w:id="830" w:name="_Toc23981"/>
      <w:r>
        <w:t>音乐学专业以习近平新时代中国特色社会主义思想为指导，全面贯彻党的教育方针，以教育部《普通高等学校本科专业类教学质量国家标准》培养目标为依据，落实立德树人根本任务，符合学校办学发展定位，适应社会经济文化发展需要，培养德、智、体、美、劳全面发展，具有强烈社会责任感、音乐学基本理论素养和一定的人文科学基础，具备较高水平的音乐表演、音乐分析、音乐创编和教学实践能力，具有一定的创新精神，能够在各级各类院校、社会文艺团体、艺术研究单位、文化机关、出版及广播等部门从事教学、表演、研究、编辑、评论、管理等方面工作的创新型、专业型人才。</w:t>
      </w:r>
    </w:p>
    <w:p>
      <w:pPr>
        <w:pStyle w:val="5"/>
        <w:spacing w:before="93" w:after="93"/>
        <w:ind w:firstLine="560"/>
      </w:pPr>
      <w:r>
        <w:t>二、培养</w:t>
      </w:r>
      <w:bookmarkEnd w:id="830"/>
      <w:r>
        <w:t>状况</w:t>
      </w:r>
    </w:p>
    <w:p>
      <w:pPr>
        <w:ind w:firstLine="480"/>
      </w:pPr>
      <w:r>
        <w:t>音乐学专业基本学制为4年，弹性学制为3-8年；按要求完成学业且符合学位授予条件者授予艺术学学士学位。</w:t>
      </w:r>
    </w:p>
    <w:p>
      <w:pPr>
        <w:ind w:firstLine="480"/>
      </w:pPr>
      <w:r>
        <w:t>山东农业大学音乐学专业自2005年成立以来，扎实落实立德树人任务，始终坚持全面深化综合改革，优化配置教育资源，激发创新活力、增强发展动力，不断提升专业人才培养质量和学科发展水平。2019年音乐学专业通过参加全省高校音乐类统一考试面向省内招生，包括声乐、器乐两个方向，生源数量和质量均稳步提高，办学质量快速增强，毕业生就业率始终保持在90%以上，毕业就业质量和考研升学数量不断提高。</w:t>
      </w:r>
    </w:p>
    <w:p>
      <w:pPr>
        <w:ind w:firstLine="480"/>
      </w:pPr>
      <w:r>
        <w:t>目前音乐学专业在校生235人（男生80人，占34%；女生155人，占66%），每个年级为两个班。</w:t>
      </w:r>
    </w:p>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音乐学专业在校生人数情况统计表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年级</w:t>
            </w:r>
          </w:p>
        </w:tc>
        <w:tc>
          <w:tcPr>
            <w:tcW w:w="1704" w:type="dxa"/>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2019</w:t>
            </w:r>
          </w:p>
        </w:tc>
        <w:tc>
          <w:tcPr>
            <w:tcW w:w="1704" w:type="dxa"/>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2020</w:t>
            </w:r>
          </w:p>
        </w:tc>
        <w:tc>
          <w:tcPr>
            <w:tcW w:w="1705" w:type="dxa"/>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2021</w:t>
            </w:r>
          </w:p>
        </w:tc>
        <w:tc>
          <w:tcPr>
            <w:tcW w:w="1705" w:type="dxa"/>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男生</w:t>
            </w:r>
          </w:p>
        </w:tc>
        <w:tc>
          <w:tcPr>
            <w:tcW w:w="1704" w:type="dxa"/>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22</w:t>
            </w:r>
          </w:p>
        </w:tc>
        <w:tc>
          <w:tcPr>
            <w:tcW w:w="1704" w:type="dxa"/>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18</w:t>
            </w:r>
          </w:p>
        </w:tc>
        <w:tc>
          <w:tcPr>
            <w:tcW w:w="1705" w:type="dxa"/>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19</w:t>
            </w:r>
          </w:p>
        </w:tc>
        <w:tc>
          <w:tcPr>
            <w:tcW w:w="1705" w:type="dxa"/>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女生</w:t>
            </w:r>
          </w:p>
        </w:tc>
        <w:tc>
          <w:tcPr>
            <w:tcW w:w="1704" w:type="dxa"/>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38</w:t>
            </w:r>
          </w:p>
        </w:tc>
        <w:tc>
          <w:tcPr>
            <w:tcW w:w="1704" w:type="dxa"/>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42</w:t>
            </w:r>
          </w:p>
        </w:tc>
        <w:tc>
          <w:tcPr>
            <w:tcW w:w="1705" w:type="dxa"/>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36</w:t>
            </w:r>
          </w:p>
        </w:tc>
        <w:tc>
          <w:tcPr>
            <w:tcW w:w="1705" w:type="dxa"/>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4" w:type="dxa"/>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总数</w:t>
            </w:r>
          </w:p>
        </w:tc>
        <w:tc>
          <w:tcPr>
            <w:tcW w:w="1704" w:type="dxa"/>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60</w:t>
            </w:r>
          </w:p>
        </w:tc>
        <w:tc>
          <w:tcPr>
            <w:tcW w:w="1704" w:type="dxa"/>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60</w:t>
            </w:r>
          </w:p>
        </w:tc>
        <w:tc>
          <w:tcPr>
            <w:tcW w:w="1705" w:type="dxa"/>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55</w:t>
            </w:r>
          </w:p>
        </w:tc>
        <w:tc>
          <w:tcPr>
            <w:tcW w:w="1705" w:type="dxa"/>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60</w:t>
            </w:r>
          </w:p>
        </w:tc>
      </w:tr>
    </w:tbl>
    <w:p>
      <w:pPr>
        <w:spacing w:line="396" w:lineRule="exact"/>
        <w:ind w:firstLine="480"/>
      </w:pPr>
    </w:p>
    <w:p>
      <w:pPr>
        <w:pStyle w:val="5"/>
        <w:spacing w:before="93" w:after="93"/>
        <w:ind w:firstLine="560"/>
      </w:pPr>
      <w:r>
        <w:t>三、课程设置</w:t>
      </w:r>
    </w:p>
    <w:p>
      <w:pPr>
        <w:ind w:firstLine="480"/>
      </w:pPr>
      <w:r>
        <w:t>主干学科：音乐学</w:t>
      </w:r>
    </w:p>
    <w:p>
      <w:pPr>
        <w:ind w:firstLine="480"/>
      </w:pPr>
      <w:r>
        <w:t>主要专业课程：声乐演唱、器乐演奏、钢琴、舞台表演、基础乐理、视唱练耳、中西方音乐史、和声学、歌曲作法、合唱、指挥法等。</w:t>
      </w:r>
    </w:p>
    <w:p>
      <w:pPr>
        <w:ind w:firstLine="480"/>
      </w:pPr>
      <w:r>
        <w:t>主要专业实践环节：音乐会实践、专业综合考察、毕业实习、毕业音乐会等。</w:t>
      </w:r>
    </w:p>
    <w:p>
      <w:pPr>
        <w:ind w:firstLine="480"/>
      </w:pPr>
      <w:r>
        <w:t>音乐学专业在人才培养中强化理论基础学习、突出科教融合、格外注重培养学生创新实践能力。在专业实践课中，以展演、比赛为导向、强化专业训练、排练与辅导，提升学生专业技能水平，强化将专业实践服务于校园文化建设、美育建设和社会文化建设。</w:t>
      </w:r>
    </w:p>
    <w:p>
      <w:pPr>
        <w:pStyle w:val="5"/>
        <w:spacing w:before="93" w:after="93"/>
        <w:ind w:firstLine="560"/>
      </w:pPr>
      <w:r>
        <w:t>四、实践教学</w:t>
      </w:r>
    </w:p>
    <w:p>
      <w:pPr>
        <w:ind w:firstLine="480"/>
      </w:pPr>
      <w:r>
        <w:t>音乐学专业坚持</w:t>
      </w:r>
      <w:r>
        <w:rPr>
          <w:rFonts w:hint="eastAsia"/>
        </w:rPr>
        <w:t>“</w:t>
      </w:r>
      <w:r>
        <w:t>以质量求生存，以特色谋发展</w:t>
      </w:r>
      <w:r>
        <w:rPr>
          <w:rFonts w:hint="eastAsia"/>
        </w:rPr>
        <w:t>”</w:t>
      </w:r>
      <w:r>
        <w:t>的办学理念，不断深化教育教学改革，通过不断强化实践与教学紧密结合，提高学生专业技能水平，增强学生适应社会需求能力，人才培养模式改革成效显著，通过成立合唱团、民乐团、舞蹈队、民族弹拨乐团、室内管乐团、流行乐队等，锻炼学生专业实践能力和团队合作能力，在一系列国内外重大专业比赛、展演中取得巨大成就，在校园文化建设和美育工作建设中得到充分展示，为社会文化艺术传播和城乡文化艺术服务做出了贡献。随着音乐学专业师资队伍的不断壮大，教学的实践性、开放性更加突出，办学特色更加鲜明。</w:t>
      </w:r>
    </w:p>
    <w:p>
      <w:pPr>
        <w:ind w:firstLine="480"/>
      </w:pPr>
      <w:r>
        <w:t>音乐学专业师生积极参加学校组织的迎新晚会、新年音乐会、第四届金秋艺术节音乐会、音乐学专业教师汇报音乐会、音乐学专业学生汇报音乐会、黄河大合唱专场音乐会、教学音乐会、毕业音乐会等各类演出，集中展示了音乐学专业的教学成果；音乐学专业教师带领学生团队进入各个学院进行合唱排练、舞蹈排练、元旦晚会等辅导工作，提高了高雅艺术进学院的工作力度，同时对音乐学专业学生的实践锻炼起到了积极作用。音乐学专业师生在泰山大剧院成功举办黄河大合唱专场音乐会，取得圆满成功，在社会中获得广泛关注和高度评价，极大提高了山东农业大学音乐学专业在社会中的知名度和影响力。</w:t>
      </w:r>
    </w:p>
    <w:p>
      <w:pPr>
        <w:spacing w:line="360" w:lineRule="auto"/>
        <w:jc w:val="center"/>
        <w:rPr>
          <w:b/>
          <w:bCs/>
          <w:sz w:val="21"/>
          <w:szCs w:val="21"/>
          <w:highlight w:val="yellow"/>
        </w:rPr>
      </w:pPr>
      <w:r>
        <w:rPr>
          <w:rFonts w:eastAsia="微软雅黑"/>
          <w:b/>
          <w:bCs/>
          <w:sz w:val="21"/>
          <w:szCs w:val="21"/>
        </w:rPr>
        <w:drawing>
          <wp:inline distT="0" distB="0" distL="114300" distR="114300">
            <wp:extent cx="2275205" cy="1511935"/>
            <wp:effectExtent l="0" t="0" r="10795" b="12065"/>
            <wp:docPr id="183"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4" descr="IMG_256"/>
                    <pic:cNvPicPr>
                      <a:picLocks noChangeAspect="1"/>
                    </pic:cNvPicPr>
                  </pic:nvPicPr>
                  <pic:blipFill>
                    <a:blip r:embed="rId188"/>
                    <a:stretch>
                      <a:fillRect/>
                    </a:stretch>
                  </pic:blipFill>
                  <pic:spPr>
                    <a:xfrm>
                      <a:off x="0" y="0"/>
                      <a:ext cx="2275205" cy="1511935"/>
                    </a:xfrm>
                    <a:prstGeom prst="rect">
                      <a:avLst/>
                    </a:prstGeom>
                    <a:noFill/>
                    <a:ln w="9525">
                      <a:noFill/>
                    </a:ln>
                  </pic:spPr>
                </pic:pic>
              </a:graphicData>
            </a:graphic>
          </wp:inline>
        </w:drawing>
      </w:r>
      <w:r>
        <w:rPr>
          <w:rFonts w:hint="eastAsia" w:eastAsia="微软雅黑"/>
          <w:b/>
          <w:bCs/>
          <w:sz w:val="21"/>
          <w:szCs w:val="21"/>
        </w:rPr>
        <w:t xml:space="preserve">    </w:t>
      </w:r>
      <w:r>
        <w:rPr>
          <w:rFonts w:eastAsia="微软雅黑"/>
          <w:b/>
          <w:bCs/>
          <w:sz w:val="21"/>
          <w:szCs w:val="21"/>
        </w:rPr>
        <w:drawing>
          <wp:inline distT="0" distB="0" distL="114300" distR="114300">
            <wp:extent cx="2343785" cy="1488440"/>
            <wp:effectExtent l="0" t="0" r="18415" b="16510"/>
            <wp:docPr id="182" name="图片 182" descr="8b6ecf219aad3d0b8f4c392be4281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8b6ecf219aad3d0b8f4c392be4281e60"/>
                    <pic:cNvPicPr>
                      <a:picLocks noChangeAspect="1"/>
                    </pic:cNvPicPr>
                  </pic:nvPicPr>
                  <pic:blipFill>
                    <a:blip r:embed="rId189"/>
                    <a:stretch>
                      <a:fillRect/>
                    </a:stretch>
                  </pic:blipFill>
                  <pic:spPr>
                    <a:xfrm>
                      <a:off x="0" y="0"/>
                      <a:ext cx="2343785" cy="1488440"/>
                    </a:xfrm>
                    <a:prstGeom prst="rect">
                      <a:avLst/>
                    </a:prstGeom>
                  </pic:spPr>
                </pic:pic>
              </a:graphicData>
            </a:graphic>
          </wp:inline>
        </w:drawing>
      </w:r>
    </w:p>
    <w:p>
      <w:pPr>
        <w:spacing w:line="360" w:lineRule="auto"/>
        <w:jc w:val="center"/>
        <w:rPr>
          <w:b/>
          <w:bCs/>
          <w:sz w:val="21"/>
          <w:szCs w:val="21"/>
        </w:rPr>
      </w:pPr>
      <w:bookmarkStart w:id="831" w:name="_Toc26719"/>
      <w:r>
        <w:rPr>
          <w:b/>
          <w:bCs/>
          <w:sz w:val="21"/>
          <w:szCs w:val="21"/>
        </w:rPr>
        <w:t>合唱团                               泰安大剧院《黄河大合唱》</w:t>
      </w:r>
    </w:p>
    <w:p>
      <w:pPr>
        <w:spacing w:line="360" w:lineRule="auto"/>
        <w:jc w:val="center"/>
        <w:rPr>
          <w:rFonts w:eastAsia="微软雅黑"/>
          <w:b/>
          <w:bCs/>
          <w:sz w:val="21"/>
          <w:szCs w:val="21"/>
        </w:rPr>
      </w:pPr>
      <w:r>
        <w:rPr>
          <w:rFonts w:eastAsia="微软雅黑"/>
          <w:b/>
          <w:bCs/>
          <w:sz w:val="21"/>
          <w:szCs w:val="21"/>
        </w:rPr>
        <w:drawing>
          <wp:inline distT="0" distB="0" distL="114300" distR="114300">
            <wp:extent cx="2430145" cy="1511935"/>
            <wp:effectExtent l="0" t="0" r="8255" b="12065"/>
            <wp:docPr id="18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 descr="IMG_256"/>
                    <pic:cNvPicPr>
                      <a:picLocks noChangeAspect="1"/>
                    </pic:cNvPicPr>
                  </pic:nvPicPr>
                  <pic:blipFill>
                    <a:blip r:embed="rId190"/>
                    <a:stretch>
                      <a:fillRect/>
                    </a:stretch>
                  </pic:blipFill>
                  <pic:spPr>
                    <a:xfrm>
                      <a:off x="0" y="0"/>
                      <a:ext cx="2430145" cy="1511935"/>
                    </a:xfrm>
                    <a:prstGeom prst="rect">
                      <a:avLst/>
                    </a:prstGeom>
                    <a:noFill/>
                    <a:ln w="9525">
                      <a:noFill/>
                    </a:ln>
                  </pic:spPr>
                </pic:pic>
              </a:graphicData>
            </a:graphic>
          </wp:inline>
        </w:drawing>
      </w:r>
      <w:r>
        <w:rPr>
          <w:rFonts w:hint="eastAsia" w:eastAsia="微软雅黑"/>
          <w:b/>
          <w:bCs/>
          <w:sz w:val="21"/>
          <w:szCs w:val="21"/>
        </w:rPr>
        <w:t xml:space="preserve">    </w:t>
      </w:r>
      <w:r>
        <w:rPr>
          <w:rFonts w:eastAsia="微软雅黑"/>
          <w:b/>
          <w:bCs/>
          <w:sz w:val="21"/>
          <w:szCs w:val="21"/>
        </w:rPr>
        <w:drawing>
          <wp:inline distT="0" distB="0" distL="114300" distR="114300">
            <wp:extent cx="2354580" cy="1511935"/>
            <wp:effectExtent l="0" t="0" r="7620" b="12065"/>
            <wp:docPr id="18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 descr="IMG_256"/>
                    <pic:cNvPicPr>
                      <a:picLocks noChangeAspect="1"/>
                    </pic:cNvPicPr>
                  </pic:nvPicPr>
                  <pic:blipFill>
                    <a:blip r:embed="rId191"/>
                    <a:stretch>
                      <a:fillRect/>
                    </a:stretch>
                  </pic:blipFill>
                  <pic:spPr>
                    <a:xfrm>
                      <a:off x="0" y="0"/>
                      <a:ext cx="2354580" cy="1511935"/>
                    </a:xfrm>
                    <a:prstGeom prst="rect">
                      <a:avLst/>
                    </a:prstGeom>
                    <a:noFill/>
                    <a:ln w="9525">
                      <a:noFill/>
                    </a:ln>
                  </pic:spPr>
                </pic:pic>
              </a:graphicData>
            </a:graphic>
          </wp:inline>
        </w:drawing>
      </w:r>
    </w:p>
    <w:p>
      <w:pPr>
        <w:spacing w:line="360" w:lineRule="auto"/>
        <w:jc w:val="center"/>
        <w:rPr>
          <w:b/>
          <w:bCs/>
          <w:sz w:val="21"/>
          <w:szCs w:val="21"/>
        </w:rPr>
      </w:pPr>
      <w:r>
        <w:rPr>
          <w:b/>
          <w:bCs/>
          <w:sz w:val="21"/>
          <w:szCs w:val="21"/>
        </w:rPr>
        <w:t>新年音乐会                                   室内管乐团</w:t>
      </w:r>
    </w:p>
    <w:p>
      <w:pPr>
        <w:pStyle w:val="2"/>
        <w:spacing w:after="0" w:line="360" w:lineRule="auto"/>
        <w:ind w:left="0" w:leftChars="0" w:firstLine="0"/>
        <w:jc w:val="center"/>
      </w:pPr>
      <w:r>
        <w:rPr>
          <w:rFonts w:eastAsia="微软雅黑"/>
          <w:b/>
          <w:bCs/>
          <w:sz w:val="21"/>
          <w:szCs w:val="21"/>
        </w:rPr>
        <w:drawing>
          <wp:inline distT="0" distB="0" distL="114300" distR="114300">
            <wp:extent cx="2454275" cy="1515110"/>
            <wp:effectExtent l="0" t="0" r="3175" b="8890"/>
            <wp:docPr id="18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 descr="IMG_256"/>
                    <pic:cNvPicPr>
                      <a:picLocks noChangeAspect="1"/>
                    </pic:cNvPicPr>
                  </pic:nvPicPr>
                  <pic:blipFill>
                    <a:blip r:embed="rId192"/>
                    <a:stretch>
                      <a:fillRect/>
                    </a:stretch>
                  </pic:blipFill>
                  <pic:spPr>
                    <a:xfrm>
                      <a:off x="0" y="0"/>
                      <a:ext cx="2454275" cy="1515110"/>
                    </a:xfrm>
                    <a:prstGeom prst="rect">
                      <a:avLst/>
                    </a:prstGeom>
                    <a:noFill/>
                    <a:ln w="9525">
                      <a:noFill/>
                    </a:ln>
                  </pic:spPr>
                </pic:pic>
              </a:graphicData>
            </a:graphic>
          </wp:inline>
        </w:drawing>
      </w:r>
      <w:r>
        <w:rPr>
          <w:rFonts w:hint="eastAsia" w:eastAsia="微软雅黑"/>
          <w:b/>
          <w:bCs/>
          <w:sz w:val="21"/>
          <w:szCs w:val="21"/>
        </w:rPr>
        <w:t xml:space="preserve">    </w:t>
      </w:r>
      <w:r>
        <w:rPr>
          <w:rFonts w:eastAsia="微软雅黑"/>
          <w:b/>
          <w:bCs/>
          <w:sz w:val="21"/>
          <w:szCs w:val="21"/>
        </w:rPr>
        <w:drawing>
          <wp:inline distT="0" distB="0" distL="114300" distR="114300">
            <wp:extent cx="2351405" cy="1515745"/>
            <wp:effectExtent l="0" t="0" r="10795" b="8255"/>
            <wp:docPr id="186"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5" descr="IMG_256"/>
                    <pic:cNvPicPr>
                      <a:picLocks noChangeAspect="1"/>
                    </pic:cNvPicPr>
                  </pic:nvPicPr>
                  <pic:blipFill>
                    <a:blip r:embed="rId193"/>
                    <a:stretch>
                      <a:fillRect/>
                    </a:stretch>
                  </pic:blipFill>
                  <pic:spPr>
                    <a:xfrm>
                      <a:off x="0" y="0"/>
                      <a:ext cx="2351405" cy="1515745"/>
                    </a:xfrm>
                    <a:prstGeom prst="rect">
                      <a:avLst/>
                    </a:prstGeom>
                    <a:noFill/>
                    <a:ln w="9525">
                      <a:noFill/>
                    </a:ln>
                  </pic:spPr>
                </pic:pic>
              </a:graphicData>
            </a:graphic>
          </wp:inline>
        </w:drawing>
      </w:r>
    </w:p>
    <w:p>
      <w:pPr>
        <w:spacing w:line="360" w:lineRule="auto"/>
        <w:jc w:val="center"/>
        <w:rPr>
          <w:b/>
          <w:bCs/>
          <w:sz w:val="21"/>
          <w:szCs w:val="21"/>
        </w:rPr>
      </w:pPr>
      <w:r>
        <w:rPr>
          <w:b/>
          <w:bCs/>
          <w:sz w:val="21"/>
          <w:szCs w:val="21"/>
        </w:rPr>
        <w:t>室内民族管弦乐团                              民乐团</w:t>
      </w:r>
    </w:p>
    <w:p>
      <w:pPr>
        <w:spacing w:line="240" w:lineRule="auto"/>
        <w:jc w:val="center"/>
        <w:rPr>
          <w:b/>
          <w:bCs/>
          <w:sz w:val="21"/>
          <w:szCs w:val="21"/>
        </w:rPr>
      </w:pPr>
      <w:r>
        <w:rPr>
          <w:b/>
          <w:bCs/>
          <w:sz w:val="21"/>
          <w:szCs w:val="21"/>
        </w:rPr>
        <w:drawing>
          <wp:inline distT="0" distB="0" distL="114300" distR="114300">
            <wp:extent cx="2547620" cy="1511300"/>
            <wp:effectExtent l="0" t="0" r="5080" b="12700"/>
            <wp:docPr id="189"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6" descr="IMG_256"/>
                    <pic:cNvPicPr>
                      <a:picLocks noChangeAspect="1"/>
                    </pic:cNvPicPr>
                  </pic:nvPicPr>
                  <pic:blipFill>
                    <a:blip r:embed="rId194"/>
                    <a:stretch>
                      <a:fillRect/>
                    </a:stretch>
                  </pic:blipFill>
                  <pic:spPr>
                    <a:xfrm>
                      <a:off x="0" y="0"/>
                      <a:ext cx="2547620" cy="1511300"/>
                    </a:xfrm>
                    <a:prstGeom prst="rect">
                      <a:avLst/>
                    </a:prstGeom>
                    <a:noFill/>
                    <a:ln w="9525">
                      <a:noFill/>
                    </a:ln>
                  </pic:spPr>
                </pic:pic>
              </a:graphicData>
            </a:graphic>
          </wp:inline>
        </w:drawing>
      </w:r>
      <w:r>
        <w:rPr>
          <w:rFonts w:hint="eastAsia"/>
          <w:b/>
          <w:bCs/>
          <w:sz w:val="21"/>
          <w:szCs w:val="21"/>
        </w:rPr>
        <w:t xml:space="preserve">    </w:t>
      </w:r>
      <w:r>
        <w:rPr>
          <w:b/>
          <w:bCs/>
          <w:sz w:val="21"/>
          <w:szCs w:val="21"/>
        </w:rPr>
        <w:drawing>
          <wp:inline distT="0" distB="0" distL="114300" distR="114300">
            <wp:extent cx="2357755" cy="1517015"/>
            <wp:effectExtent l="0" t="0" r="4445" b="6985"/>
            <wp:docPr id="188"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7" descr="IMG_256"/>
                    <pic:cNvPicPr>
                      <a:picLocks noChangeAspect="1"/>
                    </pic:cNvPicPr>
                  </pic:nvPicPr>
                  <pic:blipFill>
                    <a:blip r:embed="rId195"/>
                    <a:stretch>
                      <a:fillRect/>
                    </a:stretch>
                  </pic:blipFill>
                  <pic:spPr>
                    <a:xfrm>
                      <a:off x="0" y="0"/>
                      <a:ext cx="2357755" cy="1517015"/>
                    </a:xfrm>
                    <a:prstGeom prst="rect">
                      <a:avLst/>
                    </a:prstGeom>
                    <a:noFill/>
                    <a:ln w="9525">
                      <a:noFill/>
                    </a:ln>
                  </pic:spPr>
                </pic:pic>
              </a:graphicData>
            </a:graphic>
          </wp:inline>
        </w:drawing>
      </w:r>
    </w:p>
    <w:p>
      <w:pPr>
        <w:spacing w:line="360" w:lineRule="auto"/>
        <w:jc w:val="center"/>
        <w:rPr>
          <w:b/>
          <w:bCs/>
          <w:sz w:val="21"/>
          <w:szCs w:val="21"/>
        </w:rPr>
      </w:pPr>
      <w:r>
        <w:rPr>
          <w:b/>
          <w:bCs/>
          <w:sz w:val="21"/>
          <w:szCs w:val="21"/>
        </w:rPr>
        <w:t>金秋艺术节《黄河大合唱》                         迎新文艺晚会</w:t>
      </w:r>
    </w:p>
    <w:p>
      <w:pPr>
        <w:spacing w:line="360" w:lineRule="auto"/>
        <w:jc w:val="center"/>
        <w:rPr>
          <w:b/>
          <w:bCs/>
          <w:sz w:val="21"/>
          <w:szCs w:val="21"/>
        </w:rPr>
      </w:pPr>
      <w:r>
        <w:rPr>
          <w:b/>
          <w:bCs/>
          <w:sz w:val="21"/>
          <w:szCs w:val="21"/>
        </w:rPr>
        <w:drawing>
          <wp:inline distT="0" distB="0" distL="114300" distR="114300">
            <wp:extent cx="4396105" cy="1329690"/>
            <wp:effectExtent l="0" t="0" r="4445" b="3810"/>
            <wp:docPr id="191" name="图片 9" descr="微信图片_20220421205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9" descr="微信图片_20220421205533"/>
                    <pic:cNvPicPr>
                      <a:picLocks noChangeAspect="1"/>
                    </pic:cNvPicPr>
                  </pic:nvPicPr>
                  <pic:blipFill>
                    <a:blip r:embed="rId196"/>
                    <a:srcRect l="213" t="64668"/>
                    <a:stretch>
                      <a:fillRect/>
                    </a:stretch>
                  </pic:blipFill>
                  <pic:spPr>
                    <a:xfrm>
                      <a:off x="0" y="0"/>
                      <a:ext cx="4396105" cy="1329690"/>
                    </a:xfrm>
                    <a:prstGeom prst="rect">
                      <a:avLst/>
                    </a:prstGeom>
                  </pic:spPr>
                </pic:pic>
              </a:graphicData>
            </a:graphic>
          </wp:inline>
        </w:drawing>
      </w:r>
    </w:p>
    <w:p>
      <w:pPr>
        <w:pStyle w:val="2"/>
        <w:spacing w:after="0" w:line="360" w:lineRule="auto"/>
        <w:ind w:left="0" w:leftChars="0" w:firstLine="0"/>
        <w:jc w:val="center"/>
      </w:pPr>
      <w:r>
        <w:rPr>
          <w:b/>
          <w:bCs/>
          <w:sz w:val="21"/>
          <w:szCs w:val="21"/>
        </w:rPr>
        <w:drawing>
          <wp:inline distT="0" distB="0" distL="114300" distR="114300">
            <wp:extent cx="4451350" cy="1528445"/>
            <wp:effectExtent l="0" t="0" r="6350" b="14605"/>
            <wp:docPr id="190" name="图片 5" descr="af34c19dadb41c5f218b67aa3d26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 descr="af34c19dadb41c5f218b67aa3d26643"/>
                    <pic:cNvPicPr>
                      <a:picLocks noChangeAspect="1"/>
                    </pic:cNvPicPr>
                  </pic:nvPicPr>
                  <pic:blipFill>
                    <a:blip r:embed="rId197"/>
                    <a:srcRect t="24502" b="9472"/>
                    <a:stretch>
                      <a:fillRect/>
                    </a:stretch>
                  </pic:blipFill>
                  <pic:spPr>
                    <a:xfrm>
                      <a:off x="0" y="0"/>
                      <a:ext cx="4451350" cy="1528445"/>
                    </a:xfrm>
                    <a:prstGeom prst="rect">
                      <a:avLst/>
                    </a:prstGeom>
                  </pic:spPr>
                </pic:pic>
              </a:graphicData>
            </a:graphic>
          </wp:inline>
        </w:drawing>
      </w:r>
    </w:p>
    <w:p>
      <w:pPr>
        <w:spacing w:line="360" w:lineRule="auto"/>
        <w:jc w:val="center"/>
        <w:rPr>
          <w:b/>
          <w:bCs/>
          <w:sz w:val="21"/>
          <w:szCs w:val="21"/>
        </w:rPr>
      </w:pPr>
      <w:r>
        <w:rPr>
          <w:b/>
          <w:bCs/>
          <w:sz w:val="21"/>
          <w:szCs w:val="21"/>
        </w:rPr>
        <w:t>金秋艺术节音乐学专业学生专场汇报音乐会</w:t>
      </w:r>
    </w:p>
    <w:p>
      <w:pPr>
        <w:spacing w:line="240" w:lineRule="auto"/>
        <w:jc w:val="center"/>
        <w:rPr>
          <w:b/>
          <w:bCs/>
          <w:sz w:val="21"/>
          <w:szCs w:val="21"/>
        </w:rPr>
      </w:pPr>
      <w:r>
        <w:rPr>
          <w:b/>
          <w:bCs/>
          <w:sz w:val="21"/>
          <w:szCs w:val="21"/>
        </w:rPr>
        <w:drawing>
          <wp:inline distT="0" distB="0" distL="114300" distR="114300">
            <wp:extent cx="2095500" cy="1511935"/>
            <wp:effectExtent l="0" t="0" r="0" b="12065"/>
            <wp:docPr id="193" name="图片 193" descr="IMG_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IMG_5629"/>
                    <pic:cNvPicPr>
                      <a:picLocks noChangeAspect="1"/>
                    </pic:cNvPicPr>
                  </pic:nvPicPr>
                  <pic:blipFill>
                    <a:blip r:embed="rId198"/>
                    <a:stretch>
                      <a:fillRect/>
                    </a:stretch>
                  </pic:blipFill>
                  <pic:spPr>
                    <a:xfrm>
                      <a:off x="0" y="0"/>
                      <a:ext cx="2095500" cy="1511935"/>
                    </a:xfrm>
                    <a:prstGeom prst="rect">
                      <a:avLst/>
                    </a:prstGeom>
                  </pic:spPr>
                </pic:pic>
              </a:graphicData>
            </a:graphic>
          </wp:inline>
        </w:drawing>
      </w:r>
      <w:r>
        <w:rPr>
          <w:rFonts w:hint="eastAsia"/>
          <w:b/>
          <w:bCs/>
          <w:sz w:val="21"/>
          <w:szCs w:val="21"/>
        </w:rPr>
        <w:t xml:space="preserve">    </w:t>
      </w:r>
      <w:r>
        <w:rPr>
          <w:b/>
          <w:bCs/>
          <w:sz w:val="21"/>
          <w:szCs w:val="21"/>
        </w:rPr>
        <w:drawing>
          <wp:inline distT="0" distB="0" distL="114300" distR="114300">
            <wp:extent cx="2016125" cy="1511935"/>
            <wp:effectExtent l="0" t="0" r="3175" b="12065"/>
            <wp:docPr id="192" name="图片 192" descr="IMG_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IMG_5597"/>
                    <pic:cNvPicPr>
                      <a:picLocks noChangeAspect="1"/>
                    </pic:cNvPicPr>
                  </pic:nvPicPr>
                  <pic:blipFill>
                    <a:blip r:embed="rId199"/>
                    <a:stretch>
                      <a:fillRect/>
                    </a:stretch>
                  </pic:blipFill>
                  <pic:spPr>
                    <a:xfrm>
                      <a:off x="0" y="0"/>
                      <a:ext cx="2016125" cy="1511935"/>
                    </a:xfrm>
                    <a:prstGeom prst="rect">
                      <a:avLst/>
                    </a:prstGeom>
                  </pic:spPr>
                </pic:pic>
              </a:graphicData>
            </a:graphic>
          </wp:inline>
        </w:drawing>
      </w:r>
    </w:p>
    <w:p>
      <w:pPr>
        <w:spacing w:line="240" w:lineRule="auto"/>
        <w:jc w:val="center"/>
        <w:rPr>
          <w:b/>
          <w:bCs/>
          <w:sz w:val="21"/>
          <w:szCs w:val="21"/>
        </w:rPr>
      </w:pPr>
      <w:r>
        <w:rPr>
          <w:b/>
          <w:bCs/>
          <w:sz w:val="21"/>
          <w:szCs w:val="21"/>
        </w:rPr>
        <w:t>音乐学专业青年教师音乐会                         音乐学专业学生汇报音乐会</w:t>
      </w:r>
    </w:p>
    <w:p>
      <w:pPr>
        <w:spacing w:line="240" w:lineRule="auto"/>
        <w:jc w:val="center"/>
        <w:rPr>
          <w:b/>
          <w:bCs/>
          <w:sz w:val="21"/>
          <w:szCs w:val="21"/>
        </w:rPr>
      </w:pPr>
      <w:r>
        <w:rPr>
          <w:b/>
          <w:bCs/>
          <w:sz w:val="21"/>
          <w:szCs w:val="21"/>
        </w:rPr>
        <w:drawing>
          <wp:inline distT="0" distB="0" distL="114300" distR="114300">
            <wp:extent cx="2160270" cy="1619885"/>
            <wp:effectExtent l="0" t="0" r="11430" b="18415"/>
            <wp:docPr id="195" name="图片 195" descr="7fbd5565939d213ab53a509bec1dd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7fbd5565939d213ab53a509bec1ddbe"/>
                    <pic:cNvPicPr>
                      <a:picLocks noChangeAspect="1"/>
                    </pic:cNvPicPr>
                  </pic:nvPicPr>
                  <pic:blipFill>
                    <a:blip r:embed="rId200"/>
                    <a:stretch>
                      <a:fillRect/>
                    </a:stretch>
                  </pic:blipFill>
                  <pic:spPr>
                    <a:xfrm>
                      <a:off x="0" y="0"/>
                      <a:ext cx="2160270" cy="1619885"/>
                    </a:xfrm>
                    <a:prstGeom prst="rect">
                      <a:avLst/>
                    </a:prstGeom>
                  </pic:spPr>
                </pic:pic>
              </a:graphicData>
            </a:graphic>
          </wp:inline>
        </w:drawing>
      </w:r>
      <w:r>
        <w:rPr>
          <w:rFonts w:hint="eastAsia"/>
          <w:b/>
          <w:bCs/>
          <w:sz w:val="21"/>
          <w:szCs w:val="21"/>
        </w:rPr>
        <w:t xml:space="preserve">    </w:t>
      </w:r>
      <w:r>
        <w:rPr>
          <w:b/>
          <w:bCs/>
          <w:sz w:val="21"/>
          <w:szCs w:val="21"/>
        </w:rPr>
        <w:drawing>
          <wp:inline distT="0" distB="0" distL="114300" distR="114300">
            <wp:extent cx="2117090" cy="1619885"/>
            <wp:effectExtent l="0" t="0" r="16510" b="18415"/>
            <wp:docPr id="194" name="图片 194" descr="95ee32dcf19727f6bd35f7d18b0a5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95ee32dcf19727f6bd35f7d18b0a56b"/>
                    <pic:cNvPicPr>
                      <a:picLocks noChangeAspect="1"/>
                    </pic:cNvPicPr>
                  </pic:nvPicPr>
                  <pic:blipFill>
                    <a:blip r:embed="rId201"/>
                    <a:stretch>
                      <a:fillRect/>
                    </a:stretch>
                  </pic:blipFill>
                  <pic:spPr>
                    <a:xfrm>
                      <a:off x="0" y="0"/>
                      <a:ext cx="2117090" cy="1619885"/>
                    </a:xfrm>
                    <a:prstGeom prst="rect">
                      <a:avLst/>
                    </a:prstGeom>
                  </pic:spPr>
                </pic:pic>
              </a:graphicData>
            </a:graphic>
          </wp:inline>
        </w:drawing>
      </w:r>
    </w:p>
    <w:p>
      <w:pPr>
        <w:spacing w:line="240" w:lineRule="auto"/>
        <w:jc w:val="center"/>
        <w:rPr>
          <w:b/>
          <w:bCs/>
          <w:sz w:val="21"/>
          <w:szCs w:val="21"/>
        </w:rPr>
      </w:pPr>
      <w:r>
        <w:rPr>
          <w:b/>
          <w:bCs/>
          <w:sz w:val="21"/>
          <w:szCs w:val="21"/>
        </w:rPr>
        <w:t>教学汇报音乐会                           毕业独唱音乐会</w:t>
      </w:r>
    </w:p>
    <w:p>
      <w:pPr>
        <w:pStyle w:val="5"/>
        <w:spacing w:before="93" w:after="93"/>
        <w:ind w:firstLine="560"/>
      </w:pPr>
      <w:r>
        <w:t>五、教学实践基地建设</w:t>
      </w:r>
    </w:p>
    <w:p>
      <w:pPr>
        <w:ind w:firstLine="480"/>
      </w:pPr>
      <w:r>
        <w:t>音乐学专业校外实训基地现有：泰山大剧院、泰安市广播电视台、章丘中学、泰安市小恒星文化传媒有限公司、济南索乐文化发展有限公司、泰安市老干部活动中心、临清市实验高级中学等实习基地7处，可以基本满足专业实践教学需要。</w:t>
      </w:r>
    </w:p>
    <w:p>
      <w:pPr>
        <w:spacing w:line="240" w:lineRule="auto"/>
        <w:jc w:val="center"/>
        <w:rPr>
          <w:b/>
          <w:bCs/>
          <w:sz w:val="21"/>
          <w:szCs w:val="21"/>
        </w:rPr>
      </w:pPr>
      <w:r>
        <w:rPr>
          <w:b/>
          <w:bCs/>
          <w:sz w:val="21"/>
          <w:szCs w:val="21"/>
        </w:rPr>
        <w:drawing>
          <wp:inline distT="0" distB="0" distL="114300" distR="114300">
            <wp:extent cx="2607310" cy="1590040"/>
            <wp:effectExtent l="0" t="0" r="2540" b="10160"/>
            <wp:docPr id="21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 descr="IMG_256"/>
                    <pic:cNvPicPr>
                      <a:picLocks noChangeAspect="1"/>
                    </pic:cNvPicPr>
                  </pic:nvPicPr>
                  <pic:blipFill>
                    <a:blip r:embed="rId202"/>
                    <a:stretch>
                      <a:fillRect/>
                    </a:stretch>
                  </pic:blipFill>
                  <pic:spPr>
                    <a:xfrm>
                      <a:off x="0" y="0"/>
                      <a:ext cx="2607310" cy="1590040"/>
                    </a:xfrm>
                    <a:prstGeom prst="rect">
                      <a:avLst/>
                    </a:prstGeom>
                    <a:noFill/>
                    <a:ln w="9525">
                      <a:noFill/>
                    </a:ln>
                  </pic:spPr>
                </pic:pic>
              </a:graphicData>
            </a:graphic>
          </wp:inline>
        </w:drawing>
      </w:r>
      <w:r>
        <w:rPr>
          <w:rFonts w:hint="eastAsia"/>
          <w:b/>
          <w:bCs/>
          <w:sz w:val="21"/>
          <w:szCs w:val="21"/>
        </w:rPr>
        <w:t xml:space="preserve">  </w:t>
      </w:r>
      <w:r>
        <w:rPr>
          <w:b/>
          <w:bCs/>
          <w:sz w:val="21"/>
          <w:szCs w:val="21"/>
        </w:rPr>
        <w:drawing>
          <wp:inline distT="0" distB="0" distL="114300" distR="114300">
            <wp:extent cx="2409825" cy="1608455"/>
            <wp:effectExtent l="0" t="0" r="9525" b="10795"/>
            <wp:docPr id="211"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 descr="IMG_256"/>
                    <pic:cNvPicPr>
                      <a:picLocks noChangeAspect="1"/>
                    </pic:cNvPicPr>
                  </pic:nvPicPr>
                  <pic:blipFill>
                    <a:blip r:embed="rId203"/>
                    <a:stretch>
                      <a:fillRect/>
                    </a:stretch>
                  </pic:blipFill>
                  <pic:spPr>
                    <a:xfrm>
                      <a:off x="0" y="0"/>
                      <a:ext cx="2409825" cy="1608455"/>
                    </a:xfrm>
                    <a:prstGeom prst="rect">
                      <a:avLst/>
                    </a:prstGeom>
                    <a:noFill/>
                    <a:ln w="9525">
                      <a:noFill/>
                    </a:ln>
                  </pic:spPr>
                </pic:pic>
              </a:graphicData>
            </a:graphic>
          </wp:inline>
        </w:drawing>
      </w:r>
    </w:p>
    <w:p>
      <w:pPr>
        <w:spacing w:line="240" w:lineRule="auto"/>
        <w:jc w:val="center"/>
        <w:rPr>
          <w:b/>
          <w:bCs/>
          <w:sz w:val="21"/>
          <w:szCs w:val="21"/>
        </w:rPr>
      </w:pPr>
      <w:r>
        <w:rPr>
          <w:b/>
          <w:bCs/>
          <w:sz w:val="21"/>
          <w:szCs w:val="21"/>
        </w:rPr>
        <w:t>泰山大剧院                             泰安市广播电视台</w:t>
      </w:r>
    </w:p>
    <w:p>
      <w:pPr>
        <w:spacing w:line="240" w:lineRule="auto"/>
        <w:jc w:val="center"/>
        <w:rPr>
          <w:b/>
          <w:bCs/>
          <w:sz w:val="21"/>
          <w:szCs w:val="21"/>
        </w:rPr>
      </w:pPr>
      <w:r>
        <w:rPr>
          <w:b/>
          <w:bCs/>
          <w:sz w:val="21"/>
          <w:szCs w:val="21"/>
        </w:rPr>
        <w:drawing>
          <wp:inline distT="0" distB="0" distL="114300" distR="114300">
            <wp:extent cx="2538095" cy="1509395"/>
            <wp:effectExtent l="0" t="0" r="14605" b="14605"/>
            <wp:docPr id="214" name="图片 214" descr="874d24e54a1b1540d26ab07ea422f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874d24e54a1b1540d26ab07ea422ff3"/>
                    <pic:cNvPicPr>
                      <a:picLocks noChangeAspect="1"/>
                    </pic:cNvPicPr>
                  </pic:nvPicPr>
                  <pic:blipFill>
                    <a:blip r:embed="rId204"/>
                    <a:stretch>
                      <a:fillRect/>
                    </a:stretch>
                  </pic:blipFill>
                  <pic:spPr>
                    <a:xfrm>
                      <a:off x="0" y="0"/>
                      <a:ext cx="2538095" cy="1509395"/>
                    </a:xfrm>
                    <a:prstGeom prst="rect">
                      <a:avLst/>
                    </a:prstGeom>
                  </pic:spPr>
                </pic:pic>
              </a:graphicData>
            </a:graphic>
          </wp:inline>
        </w:drawing>
      </w:r>
      <w:r>
        <w:rPr>
          <w:rFonts w:hint="eastAsia"/>
          <w:b/>
          <w:bCs/>
          <w:sz w:val="21"/>
          <w:szCs w:val="21"/>
        </w:rPr>
        <w:t xml:space="preserve">  </w:t>
      </w:r>
      <w:r>
        <w:rPr>
          <w:b/>
          <w:bCs/>
          <w:sz w:val="21"/>
          <w:szCs w:val="21"/>
        </w:rPr>
        <w:drawing>
          <wp:inline distT="0" distB="0" distL="114300" distR="114300">
            <wp:extent cx="2491105" cy="1552575"/>
            <wp:effectExtent l="0" t="0" r="4445" b="9525"/>
            <wp:docPr id="213" name="图片 213" descr="d46a7c523a0bde7b43fd3e42c5381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d46a7c523a0bde7b43fd3e42c53812f"/>
                    <pic:cNvPicPr>
                      <a:picLocks noChangeAspect="1"/>
                    </pic:cNvPicPr>
                  </pic:nvPicPr>
                  <pic:blipFill>
                    <a:blip r:embed="rId205"/>
                    <a:stretch>
                      <a:fillRect/>
                    </a:stretch>
                  </pic:blipFill>
                  <pic:spPr>
                    <a:xfrm>
                      <a:off x="0" y="0"/>
                      <a:ext cx="2491105" cy="1552575"/>
                    </a:xfrm>
                    <a:prstGeom prst="rect">
                      <a:avLst/>
                    </a:prstGeom>
                  </pic:spPr>
                </pic:pic>
              </a:graphicData>
            </a:graphic>
          </wp:inline>
        </w:drawing>
      </w:r>
    </w:p>
    <w:p>
      <w:pPr>
        <w:spacing w:line="360" w:lineRule="auto"/>
        <w:jc w:val="center"/>
        <w:rPr>
          <w:b/>
          <w:bCs/>
          <w:sz w:val="21"/>
          <w:szCs w:val="21"/>
        </w:rPr>
      </w:pPr>
      <w:r>
        <w:rPr>
          <w:b/>
          <w:bCs/>
          <w:sz w:val="21"/>
          <w:szCs w:val="21"/>
        </w:rPr>
        <w:t>泰安市小恒星文化传媒有限公司                     济南市章丘中学</w:t>
      </w:r>
    </w:p>
    <w:p>
      <w:pPr>
        <w:spacing w:line="240" w:lineRule="auto"/>
        <w:jc w:val="center"/>
        <w:rPr>
          <w:b/>
          <w:bCs/>
          <w:sz w:val="21"/>
          <w:szCs w:val="21"/>
        </w:rPr>
      </w:pPr>
      <w:r>
        <w:rPr>
          <w:b/>
          <w:bCs/>
          <w:sz w:val="21"/>
          <w:szCs w:val="21"/>
        </w:rPr>
        <w:drawing>
          <wp:inline distT="0" distB="0" distL="114300" distR="114300">
            <wp:extent cx="2444115" cy="1520825"/>
            <wp:effectExtent l="0" t="0" r="13335" b="3175"/>
            <wp:docPr id="216" name="图片 216" descr="8b4a747f54833e243cf6409603b3f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8b4a747f54833e243cf6409603b3f39"/>
                    <pic:cNvPicPr>
                      <a:picLocks noChangeAspect="1"/>
                    </pic:cNvPicPr>
                  </pic:nvPicPr>
                  <pic:blipFill>
                    <a:blip r:embed="rId206"/>
                    <a:stretch>
                      <a:fillRect/>
                    </a:stretch>
                  </pic:blipFill>
                  <pic:spPr>
                    <a:xfrm>
                      <a:off x="0" y="0"/>
                      <a:ext cx="2444115" cy="1520825"/>
                    </a:xfrm>
                    <a:prstGeom prst="rect">
                      <a:avLst/>
                    </a:prstGeom>
                  </pic:spPr>
                </pic:pic>
              </a:graphicData>
            </a:graphic>
          </wp:inline>
        </w:drawing>
      </w:r>
      <w:r>
        <w:rPr>
          <w:rFonts w:hint="eastAsia"/>
          <w:b/>
          <w:bCs/>
          <w:sz w:val="21"/>
          <w:szCs w:val="21"/>
        </w:rPr>
        <w:t xml:space="preserve">  </w:t>
      </w:r>
      <w:r>
        <w:rPr>
          <w:b/>
          <w:bCs/>
          <w:sz w:val="21"/>
          <w:szCs w:val="21"/>
        </w:rPr>
        <w:drawing>
          <wp:inline distT="0" distB="0" distL="114300" distR="114300">
            <wp:extent cx="2386965" cy="1489075"/>
            <wp:effectExtent l="0" t="0" r="13335" b="15875"/>
            <wp:docPr id="215" name="图片 215" descr="031bc533112905d02b19659b906e3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031bc533112905d02b19659b906e3c8"/>
                    <pic:cNvPicPr>
                      <a:picLocks noChangeAspect="1"/>
                    </pic:cNvPicPr>
                  </pic:nvPicPr>
                  <pic:blipFill>
                    <a:blip r:embed="rId207"/>
                    <a:stretch>
                      <a:fillRect/>
                    </a:stretch>
                  </pic:blipFill>
                  <pic:spPr>
                    <a:xfrm>
                      <a:off x="0" y="0"/>
                      <a:ext cx="2386965" cy="1489075"/>
                    </a:xfrm>
                    <a:prstGeom prst="rect">
                      <a:avLst/>
                    </a:prstGeom>
                  </pic:spPr>
                </pic:pic>
              </a:graphicData>
            </a:graphic>
          </wp:inline>
        </w:drawing>
      </w:r>
    </w:p>
    <w:p>
      <w:pPr>
        <w:spacing w:line="360" w:lineRule="auto"/>
        <w:jc w:val="center"/>
        <w:rPr>
          <w:b/>
          <w:bCs/>
          <w:sz w:val="21"/>
          <w:szCs w:val="21"/>
        </w:rPr>
      </w:pPr>
      <w:r>
        <w:rPr>
          <w:b/>
          <w:bCs/>
          <w:sz w:val="21"/>
          <w:szCs w:val="21"/>
        </w:rPr>
        <w:t>泰安市老干部活动中心                       临清市实验高级中学</w:t>
      </w:r>
    </w:p>
    <w:p>
      <w:pPr>
        <w:pStyle w:val="5"/>
        <w:spacing w:before="93" w:after="93"/>
        <w:ind w:firstLine="560"/>
      </w:pPr>
      <w:r>
        <w:t>六、培养机制与培养特色</w:t>
      </w:r>
    </w:p>
    <w:p>
      <w:pPr>
        <w:ind w:firstLine="480"/>
      </w:pPr>
      <w:r>
        <w:t>音乐学专业进一步加强实践性和应用性的培养特色，与学校、企事业、社区等单位和部门紧密结合，学生的知识结构特色更加明显。实践和教学结合紧密的人才培养模式改革成效显著，教学过程的实践性、开放性更加突出，特色更加鲜明，在同类专业中具有较高水平。</w:t>
      </w:r>
    </w:p>
    <w:p>
      <w:pPr>
        <w:spacing w:line="360" w:lineRule="auto"/>
        <w:jc w:val="center"/>
        <w:rPr>
          <w:b/>
          <w:bCs/>
          <w:sz w:val="21"/>
          <w:szCs w:val="21"/>
        </w:rPr>
      </w:pPr>
      <w:r>
        <w:rPr>
          <w:b/>
          <w:bCs/>
          <w:sz w:val="21"/>
          <w:szCs w:val="21"/>
        </w:rPr>
        <w:drawing>
          <wp:inline distT="0" distB="0" distL="114300" distR="114300">
            <wp:extent cx="2513330" cy="1778000"/>
            <wp:effectExtent l="0" t="0" r="1270" b="12700"/>
            <wp:docPr id="218" name="图片 218" descr="d81d6c5a404b39599595957b58e9b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d81d6c5a404b39599595957b58e9b19"/>
                    <pic:cNvPicPr>
                      <a:picLocks noChangeAspect="1"/>
                    </pic:cNvPicPr>
                  </pic:nvPicPr>
                  <pic:blipFill>
                    <a:blip r:embed="rId208"/>
                    <a:stretch>
                      <a:fillRect/>
                    </a:stretch>
                  </pic:blipFill>
                  <pic:spPr>
                    <a:xfrm>
                      <a:off x="0" y="0"/>
                      <a:ext cx="2513330" cy="1778000"/>
                    </a:xfrm>
                    <a:prstGeom prst="rect">
                      <a:avLst/>
                    </a:prstGeom>
                  </pic:spPr>
                </pic:pic>
              </a:graphicData>
            </a:graphic>
          </wp:inline>
        </w:drawing>
      </w:r>
      <w:r>
        <w:rPr>
          <w:b/>
          <w:bCs/>
          <w:sz w:val="21"/>
          <w:szCs w:val="21"/>
        </w:rPr>
        <w:drawing>
          <wp:inline distT="0" distB="0" distL="114300" distR="114300">
            <wp:extent cx="2470150" cy="1782445"/>
            <wp:effectExtent l="0" t="0" r="6350" b="8255"/>
            <wp:docPr id="217" name="图片 217" descr="f89f84c4f28563de1543206e3d53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f89f84c4f28563de1543206e3d53add"/>
                    <pic:cNvPicPr>
                      <a:picLocks noChangeAspect="1"/>
                    </pic:cNvPicPr>
                  </pic:nvPicPr>
                  <pic:blipFill>
                    <a:blip r:embed="rId209"/>
                    <a:stretch>
                      <a:fillRect/>
                    </a:stretch>
                  </pic:blipFill>
                  <pic:spPr>
                    <a:xfrm>
                      <a:off x="0" y="0"/>
                      <a:ext cx="2470150" cy="1782445"/>
                    </a:xfrm>
                    <a:prstGeom prst="rect">
                      <a:avLst/>
                    </a:prstGeom>
                  </pic:spPr>
                </pic:pic>
              </a:graphicData>
            </a:graphic>
          </wp:inline>
        </w:drawing>
      </w:r>
    </w:p>
    <w:p>
      <w:pPr>
        <w:spacing w:line="360" w:lineRule="auto"/>
        <w:jc w:val="center"/>
        <w:rPr>
          <w:b/>
          <w:bCs/>
          <w:sz w:val="21"/>
          <w:szCs w:val="21"/>
        </w:rPr>
      </w:pPr>
      <w:r>
        <w:rPr>
          <w:b/>
          <w:bCs/>
          <w:sz w:val="21"/>
          <w:szCs w:val="21"/>
        </w:rPr>
        <w:t>学术论坛                                    音乐讲座</w:t>
      </w:r>
    </w:p>
    <w:p>
      <w:pPr>
        <w:ind w:firstLine="480"/>
      </w:pPr>
      <w:r>
        <w:t>因受疫情影响，本年度音乐学专业积极开展线上方式邀请省内外优秀演奏专家为音乐学专业的器乐学生开展专业指导及赛前集训，提升了学生们的器乐演奏水平，其中曲沭任老师获得山东省第八届高校音乐舞蹈专业师生基本功展示活动优秀指导教师。</w:t>
      </w:r>
    </w:p>
    <w:p>
      <w:pPr>
        <w:ind w:firstLine="480"/>
      </w:pPr>
      <w:r>
        <w:t>不断重视艺术实践与展演比赛，音乐学专业实践教学明显提升，课程建设成果更加显著。重视专业核心课程的科学设置，实现基于教学工作过程的课程设计，基于行动导向的教学模式改革，课程教学质量大幅提高。随着对大学生创新创业实践工作的不断重视，音乐学专业教师指导学生创新创业校级项目四项，并不断打造创新创业导师团队。</w:t>
      </w:r>
    </w:p>
    <w:p>
      <w:pPr>
        <w:ind w:firstLine="480"/>
        <w:rPr>
          <w:rFonts w:eastAsia="黑体"/>
          <w:kern w:val="0"/>
          <w:sz w:val="30"/>
          <w:szCs w:val="30"/>
        </w:rPr>
      </w:pPr>
      <w:r>
        <w:t>全校开展音乐类美育课程十余门，选课人数近千人；音乐学专业录制完成的慕课《音乐欣赏》面向全校学生开展选修，教学效果良好，被评选为校级一流课程；多名声乐、器乐学生在教师指导下积极参加国家、省市级各类音乐大赛，取得了良好成绩：由山东省教育厅主办的山东省第八届高校音乐舞蹈专业师生基本功展示活动中，音乐学专业选派8名青年教师、5名学生参加展示，共获得教师类一等奖3项（黄鸽、解亮、秦键）、二等奖1项（宋一汀）、三等奖2项（张玉倩、于季平）；学生类二等奖3项（赵运、安浩然、刘一良）、三等奖2项（石广阔、杨泽儒）；优秀指导教师奖3项（吴晓玉、王海诚、曲沐任）。本次活动来自全省61所高校的726名师生通过现场技能表演和微课等方式参加展示，我校师生精湛的专业水平和良好的业务能力得到了专家同行的高度肯定。</w:t>
      </w:r>
    </w:p>
    <w:p>
      <w:pPr>
        <w:pStyle w:val="5"/>
        <w:spacing w:before="93" w:after="93"/>
        <w:ind w:firstLine="560"/>
      </w:pPr>
      <w:r>
        <w:t>七、培养条件</w:t>
      </w:r>
    </w:p>
    <w:p>
      <w:pPr>
        <w:ind w:firstLine="480"/>
      </w:pPr>
      <w:r>
        <w:t>音乐系现建设有专业多媒体教室2间、电钢教室1间、排练厅1间、舞蹈房1间，配套琴房54间，合唱与音乐理论教室1间。为使技能与理论教学有机结合，建设以培养能力为核心的分层次实践教学体系，制定了完备的专业教学与实践流程。</w:t>
      </w:r>
    </w:p>
    <w:p>
      <w:pPr>
        <w:ind w:firstLine="480"/>
      </w:pPr>
      <w:r>
        <w:t>在较为完备的硬件设施基础上，加强琴房科学使用与管理，有效调高琴房使用率，增强学生专业练习时间，不断加强实践教学软件建设，积极配备与音乐学教学、科研相适应的音像图书和线上资源资料，积极申请打造智慧教室、虚拟音乐实验室、智能琴房、音乐多功能排练室等，使之尽量满足教学与科研需要。</w:t>
      </w:r>
    </w:p>
    <w:p>
      <w:pPr>
        <w:pStyle w:val="5"/>
        <w:spacing w:before="93" w:after="93"/>
        <w:ind w:firstLine="560"/>
      </w:pPr>
      <w:r>
        <w:t>八、</w:t>
      </w:r>
      <w:bookmarkEnd w:id="831"/>
      <w:r>
        <w:t>教师队伍</w:t>
      </w:r>
    </w:p>
    <w:p>
      <w:pPr>
        <w:ind w:firstLine="480"/>
      </w:pPr>
      <w:r>
        <w:t>1</w:t>
      </w:r>
      <w:r>
        <w:rPr>
          <w:rFonts w:hint="eastAsia"/>
          <w:lang w:eastAsia="zh-CN"/>
        </w:rPr>
        <w:t>.</w:t>
      </w:r>
      <w:r>
        <w:t>本年度音乐学专业有一名教师获博士学位，现共有三名博士研究生教师；</w:t>
      </w:r>
    </w:p>
    <w:p>
      <w:pPr>
        <w:ind w:firstLine="480"/>
      </w:pPr>
      <w:r>
        <w:t>2</w:t>
      </w:r>
      <w:r>
        <w:rPr>
          <w:rFonts w:hint="eastAsia"/>
          <w:lang w:eastAsia="zh-CN"/>
        </w:rPr>
        <w:t>.</w:t>
      </w:r>
      <w:r>
        <w:t>音乐学专业教师中有三名教师有海外留学经历；</w:t>
      </w:r>
    </w:p>
    <w:p>
      <w:pPr>
        <w:ind w:firstLine="480"/>
      </w:pPr>
      <w:r>
        <w:t>3</w:t>
      </w:r>
      <w:r>
        <w:rPr>
          <w:rFonts w:hint="eastAsia"/>
          <w:lang w:eastAsia="zh-CN"/>
        </w:rPr>
        <w:t>.</w:t>
      </w:r>
      <w:r>
        <w:t>音乐学目前专职教师人数23人，平均年龄39岁。其中，40岁以上（含40岁）8人，占35%，40岁以下15人，占65%；教授3人，副教授11人，高级职称占比为52%；研究生学历17人，占比为74%，硕士以上学位19人，占比82%；男教师9人，占39%；女教师14人，占61%。</w:t>
      </w:r>
    </w:p>
    <w:p>
      <w:pPr>
        <w:ind w:firstLine="480"/>
      </w:pPr>
    </w:p>
    <w:p>
      <w:pPr>
        <w:spacing w:line="240" w:lineRule="auto"/>
        <w:jc w:val="center"/>
        <w:rPr>
          <w:b/>
          <w:bCs/>
        </w:rPr>
      </w:pPr>
      <w:r>
        <w:rPr>
          <w:b/>
          <w:bCs/>
        </w:rPr>
        <w:drawing>
          <wp:inline distT="0" distB="0" distL="114300" distR="114300">
            <wp:extent cx="1941195" cy="1603375"/>
            <wp:effectExtent l="0" t="0" r="1905" b="15875"/>
            <wp:docPr id="220" name="图片 2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2"/>
                    <pic:cNvPicPr>
                      <a:picLocks noChangeAspect="1"/>
                    </pic:cNvPicPr>
                  </pic:nvPicPr>
                  <pic:blipFill>
                    <a:blip r:embed="rId210"/>
                    <a:stretch>
                      <a:fillRect/>
                    </a:stretch>
                  </pic:blipFill>
                  <pic:spPr>
                    <a:xfrm>
                      <a:off x="0" y="0"/>
                      <a:ext cx="1941195" cy="1603375"/>
                    </a:xfrm>
                    <a:prstGeom prst="rect">
                      <a:avLst/>
                    </a:prstGeom>
                  </pic:spPr>
                </pic:pic>
              </a:graphicData>
            </a:graphic>
          </wp:inline>
        </w:drawing>
      </w:r>
      <w:r>
        <w:rPr>
          <w:b/>
          <w:bCs/>
        </w:rPr>
        <w:t xml:space="preserve">             </w:t>
      </w:r>
      <w:r>
        <w:rPr>
          <w:b/>
          <w:bCs/>
        </w:rPr>
        <w:drawing>
          <wp:inline distT="0" distB="0" distL="114300" distR="114300">
            <wp:extent cx="1821815" cy="1595755"/>
            <wp:effectExtent l="0" t="0" r="6985" b="4445"/>
            <wp:docPr id="219" name="图片 219" descr="筛选分析_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筛选分析_图片1"/>
                    <pic:cNvPicPr>
                      <a:picLocks noChangeAspect="1"/>
                    </pic:cNvPicPr>
                  </pic:nvPicPr>
                  <pic:blipFill>
                    <a:blip r:embed="rId211"/>
                    <a:stretch>
                      <a:fillRect/>
                    </a:stretch>
                  </pic:blipFill>
                  <pic:spPr>
                    <a:xfrm>
                      <a:off x="0" y="0"/>
                      <a:ext cx="1821815" cy="1595755"/>
                    </a:xfrm>
                    <a:prstGeom prst="rect">
                      <a:avLst/>
                    </a:prstGeom>
                  </pic:spPr>
                </pic:pic>
              </a:graphicData>
            </a:graphic>
          </wp:inline>
        </w:drawing>
      </w:r>
    </w:p>
    <w:p>
      <w:pPr>
        <w:spacing w:line="396" w:lineRule="exact"/>
        <w:jc w:val="center"/>
        <w:rPr>
          <w:b/>
          <w:bCs/>
          <w:sz w:val="21"/>
          <w:szCs w:val="21"/>
        </w:rPr>
      </w:pPr>
      <w:r>
        <w:rPr>
          <w:b/>
          <w:bCs/>
          <w:sz w:val="21"/>
          <w:szCs w:val="21"/>
        </w:rPr>
        <w:t>学历比例图                              职称比例图</w:t>
      </w:r>
    </w:p>
    <w:p>
      <w:pPr>
        <w:pStyle w:val="2"/>
        <w:ind w:left="480"/>
      </w:pPr>
    </w:p>
    <w:p>
      <w:pPr>
        <w:spacing w:line="240" w:lineRule="auto"/>
        <w:jc w:val="center"/>
        <w:rPr>
          <w:b/>
          <w:bCs/>
        </w:rPr>
      </w:pPr>
      <w:r>
        <w:rPr>
          <w:b/>
          <w:bCs/>
        </w:rPr>
        <w:drawing>
          <wp:inline distT="0" distB="0" distL="114300" distR="114300">
            <wp:extent cx="1898650" cy="1746250"/>
            <wp:effectExtent l="0" t="0" r="6350" b="6350"/>
            <wp:docPr id="222" name="图片 2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1"/>
                    <pic:cNvPicPr>
                      <a:picLocks noChangeAspect="1"/>
                    </pic:cNvPicPr>
                  </pic:nvPicPr>
                  <pic:blipFill>
                    <a:blip r:embed="rId212"/>
                    <a:stretch>
                      <a:fillRect/>
                    </a:stretch>
                  </pic:blipFill>
                  <pic:spPr>
                    <a:xfrm>
                      <a:off x="0" y="0"/>
                      <a:ext cx="1898650" cy="1746250"/>
                    </a:xfrm>
                    <a:prstGeom prst="rect">
                      <a:avLst/>
                    </a:prstGeom>
                  </pic:spPr>
                </pic:pic>
              </a:graphicData>
            </a:graphic>
          </wp:inline>
        </w:drawing>
      </w:r>
      <w:r>
        <w:rPr>
          <w:b/>
          <w:bCs/>
        </w:rPr>
        <w:t xml:space="preserve">           </w:t>
      </w:r>
      <w:r>
        <w:rPr>
          <w:b/>
          <w:bCs/>
        </w:rPr>
        <w:drawing>
          <wp:inline distT="0" distB="0" distL="114300" distR="114300">
            <wp:extent cx="1798320" cy="1678940"/>
            <wp:effectExtent l="0" t="0" r="11430" b="16510"/>
            <wp:docPr id="221" name="图片 2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3"/>
                    <pic:cNvPicPr>
                      <a:picLocks noChangeAspect="1"/>
                    </pic:cNvPicPr>
                  </pic:nvPicPr>
                  <pic:blipFill>
                    <a:blip r:embed="rId213"/>
                    <a:stretch>
                      <a:fillRect/>
                    </a:stretch>
                  </pic:blipFill>
                  <pic:spPr>
                    <a:xfrm>
                      <a:off x="0" y="0"/>
                      <a:ext cx="1798320" cy="1678940"/>
                    </a:xfrm>
                    <a:prstGeom prst="rect">
                      <a:avLst/>
                    </a:prstGeom>
                  </pic:spPr>
                </pic:pic>
              </a:graphicData>
            </a:graphic>
          </wp:inline>
        </w:drawing>
      </w:r>
    </w:p>
    <w:p>
      <w:pPr>
        <w:jc w:val="center"/>
        <w:rPr>
          <w:b/>
          <w:bCs/>
        </w:rPr>
      </w:pPr>
      <w:bookmarkStart w:id="832" w:name="_Toc10763"/>
      <w:r>
        <w:rPr>
          <w:b/>
          <w:bCs/>
          <w:sz w:val="21"/>
          <w:szCs w:val="21"/>
        </w:rPr>
        <w:t>学位比列图                             性别比例图</w:t>
      </w:r>
    </w:p>
    <w:p>
      <w:pPr>
        <w:pStyle w:val="5"/>
        <w:spacing w:before="93" w:after="93"/>
        <w:ind w:firstLine="560"/>
      </w:pPr>
      <w:r>
        <w:t>九、</w:t>
      </w:r>
      <w:bookmarkEnd w:id="832"/>
      <w:r>
        <w:t>毕业生就业情况</w:t>
      </w:r>
    </w:p>
    <w:p>
      <w:pPr>
        <w:ind w:firstLine="480"/>
      </w:pPr>
      <w:r>
        <w:t>2022届音乐学专业是执行音乐类校考的最后一届毕业生，共有35人。其中，声乐方向16人、器乐方向11人，舞蹈方向8人。</w:t>
      </w:r>
    </w:p>
    <w:p>
      <w:pPr>
        <w:ind w:firstLine="480"/>
      </w:pPr>
      <w:r>
        <w:t>2022届音乐学专业毕业生中有5人考取硕士研究生，占毕业生的14%；其它录用形式就业7人，签订用人单位劳动合同7人，出国1人，协议就业1人，参加国家基层项目1人。截止到2022年8月底，音乐学专业毕业生就业情况良好。</w:t>
      </w:r>
    </w:p>
    <w:p>
      <w:pPr>
        <w:spacing w:before="156" w:beforeLines="50"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音乐学专业国内升学学校统计表</w:t>
      </w:r>
    </w:p>
    <w:tbl>
      <w:tblPr>
        <w:tblStyle w:val="18"/>
        <w:tblW w:w="89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7"/>
        <w:gridCol w:w="3270"/>
        <w:gridCol w:w="2175"/>
        <w:gridCol w:w="2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87"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序号</w:t>
            </w:r>
          </w:p>
        </w:tc>
        <w:tc>
          <w:tcPr>
            <w:tcW w:w="3270"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升学学校名称</w:t>
            </w:r>
          </w:p>
        </w:tc>
        <w:tc>
          <w:tcPr>
            <w:tcW w:w="2175"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升学人数</w:t>
            </w:r>
          </w:p>
        </w:tc>
        <w:tc>
          <w:tcPr>
            <w:tcW w:w="2055" w:type="dxa"/>
            <w:vAlign w:val="center"/>
          </w:tcPr>
          <w:p>
            <w:pPr>
              <w:spacing w:line="240" w:lineRule="auto"/>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87"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3270" w:type="dxa"/>
            <w:vAlign w:val="bottom"/>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曲阜师范大学</w:t>
            </w:r>
          </w:p>
        </w:tc>
        <w:tc>
          <w:tcPr>
            <w:tcW w:w="2175"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2055"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87"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3270" w:type="dxa"/>
            <w:vAlign w:val="bottom"/>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中央民族大学</w:t>
            </w:r>
          </w:p>
        </w:tc>
        <w:tc>
          <w:tcPr>
            <w:tcW w:w="2175"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2055"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87"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3270" w:type="dxa"/>
            <w:vAlign w:val="bottom"/>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山东艺术学院</w:t>
            </w:r>
          </w:p>
        </w:tc>
        <w:tc>
          <w:tcPr>
            <w:tcW w:w="2175"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2055"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87"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3270" w:type="dxa"/>
            <w:vAlign w:val="bottom"/>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西华师范大学</w:t>
            </w:r>
          </w:p>
        </w:tc>
        <w:tc>
          <w:tcPr>
            <w:tcW w:w="2175"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2055" w:type="dxa"/>
            <w:vAlign w:val="center"/>
          </w:tcPr>
          <w:p>
            <w:pPr>
              <w:spacing w:line="240" w:lineRule="auto"/>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w:t>
            </w:r>
          </w:p>
        </w:tc>
      </w:tr>
    </w:tbl>
    <w:p>
      <w:pPr>
        <w:pStyle w:val="5"/>
        <w:spacing w:before="93" w:after="93"/>
        <w:ind w:firstLine="560"/>
      </w:pPr>
      <w:bookmarkStart w:id="833" w:name="_Toc7904"/>
      <w:r>
        <w:t>十、毕业生创业</w:t>
      </w:r>
      <w:bookmarkEnd w:id="833"/>
      <w:r>
        <w:t>情况</w:t>
      </w:r>
    </w:p>
    <w:p>
      <w:pPr>
        <w:ind w:firstLine="480" w:firstLineChars="200"/>
      </w:pPr>
      <w:r>
        <w:t>截至2022年8月底，2022届音乐学专业毕业生暂没有创业典型案例。</w:t>
      </w:r>
    </w:p>
    <w:p>
      <w:pPr>
        <w:pStyle w:val="5"/>
        <w:spacing w:before="93" w:after="93"/>
        <w:ind w:firstLine="560"/>
      </w:pPr>
      <w:bookmarkStart w:id="834" w:name="_Toc22068"/>
      <w:r>
        <w:t>十一、</w:t>
      </w:r>
      <w:bookmarkEnd w:id="834"/>
      <w:r>
        <w:t>专业发展趋势与人才需求分析</w:t>
      </w:r>
    </w:p>
    <w:p>
      <w:pPr>
        <w:ind w:firstLine="482"/>
      </w:pPr>
      <w:r>
        <w:t>音乐学专业毕业生主要面向高、中等专业或普通院校、社会文艺团体、艺术研究单位和文化机关、出版及广播、影视部门从事教学、研究、编辑、评论、管理等方面工作。从音乐学专业毕业生就业情况来看，该专业毕业生就业率较高，研究生毕业后主要集中在各教育系统和相关单位从事教学研究工作。音乐领域所需要的人才有其特殊性，比如表演人才、创作人才以及理论人才和教育人才，发展到今天，又发掘了炙手可热的市场管理人才。伴随着全民族文化素质的全面提高和音乐教育的大力普及，以及高科技的飞速发展，大众传媒、自媒体、音乐工作室及音乐教育等日益丰富，扩大了音乐学人才的就业范围。随着美育在全国教育中的普及，大量学校需要补充足额的音乐学专业毕业人才。音乐领域所需要的文化产业人才专业性较强，要求学生既要有良好的音乐基础，又要有良好的音乐表演技能和音乐学理论基础。因此，音乐学专业毕业生的优势愈加突出，拥有广阔空间。近年来，音乐学专业通过毕业导师制，积极推动专业教师指导毕业生就业工作，取得突出成效。在今后就业指导中，就业导师要积极发挥就业专业指导作用，科学指导学生就业创业，解放思想面向广阔多样化的就业需求，提高就业质量和就业效果。</w:t>
      </w:r>
    </w:p>
    <w:p>
      <w:pPr>
        <w:pStyle w:val="5"/>
        <w:spacing w:before="93" w:after="93"/>
        <w:ind w:firstLine="560"/>
      </w:pPr>
      <w:bookmarkStart w:id="835" w:name="_Toc28079"/>
      <w:r>
        <w:t>十二、存在的问题</w:t>
      </w:r>
      <w:bookmarkEnd w:id="835"/>
      <w:r>
        <w:t>和拟采取的对策措施</w:t>
      </w:r>
    </w:p>
    <w:p>
      <w:pPr>
        <w:pStyle w:val="6"/>
        <w:ind w:firstLine="480"/>
      </w:pPr>
      <w:r>
        <w:t>1.存在的问题</w:t>
      </w:r>
    </w:p>
    <w:p>
      <w:pPr>
        <w:ind w:firstLine="482" w:firstLineChars="200"/>
        <w:rPr>
          <w:b/>
          <w:bCs/>
        </w:rPr>
      </w:pPr>
      <w:r>
        <w:rPr>
          <w:b/>
          <w:bCs/>
        </w:rPr>
        <w:t>（1）舞蹈队无法招收舞蹈专业学生：</w:t>
      </w:r>
    </w:p>
    <w:p>
      <w:pPr>
        <w:ind w:firstLine="480" w:firstLineChars="200"/>
      </w:pPr>
      <w:r>
        <w:t xml:space="preserve">因全省实行统一联考，舞蹈专业单独组织联考，我校仅有音乐学和录音艺术两个专业，只能招收声乐、器乐两个方向的专业学生，舞蹈专业考生无法通过目前的招生平台招入我校，造成舞蹈队从2022届音乐学毕业生离校之后就没有舞蹈专业学生。  </w:t>
      </w:r>
    </w:p>
    <w:p>
      <w:pPr>
        <w:ind w:firstLine="482" w:firstLineChars="200"/>
        <w:rPr>
          <w:b/>
          <w:bCs/>
        </w:rPr>
      </w:pPr>
      <w:r>
        <w:rPr>
          <w:rFonts w:hint="eastAsia"/>
          <w:b/>
          <w:bCs/>
        </w:rPr>
        <w:t>（2）</w:t>
      </w:r>
      <w:r>
        <w:rPr>
          <w:b/>
          <w:bCs/>
        </w:rPr>
        <w:t>器乐方向招生未制定具体方向与名额：</w:t>
      </w:r>
    </w:p>
    <w:p>
      <w:pPr>
        <w:ind w:firstLine="480" w:firstLineChars="200"/>
      </w:pPr>
      <w:r>
        <w:t>目前按照声乐、器乐方向招生时，器乐方向出现集中于某一乐器人数过多，所占比例过大，导致其它器乐方向人数较少或者没有；同时，有的器乐学生招入后因缺少相应专职器乐教师，只能通过校外聘请老师解决，影响教学质量；器乐团无法通过招生实现招入需要的乐器学生，影响乐团整体演出与排练效果。</w:t>
      </w:r>
    </w:p>
    <w:p>
      <w:pPr>
        <w:ind w:firstLine="482" w:firstLineChars="200"/>
        <w:rPr>
          <w:b/>
          <w:bCs/>
        </w:rPr>
      </w:pPr>
      <w:r>
        <w:rPr>
          <w:rFonts w:hint="eastAsia"/>
          <w:b/>
          <w:bCs/>
        </w:rPr>
        <w:t>（3）</w:t>
      </w:r>
      <w:r>
        <w:rPr>
          <w:b/>
          <w:bCs/>
        </w:rPr>
        <w:t>缺少足够的音乐教学、实践与排练演出场地、设备：</w:t>
      </w:r>
    </w:p>
    <w:p>
      <w:pPr>
        <w:ind w:firstLine="480" w:firstLineChars="200"/>
      </w:pPr>
      <w:r>
        <w:t>按照学科建设要求、学校美育评估要求，音乐学专业教学与实践缺少专业的音乐厅、器乐排练厅、多功能智慧教室等，专业教学与实践受到一定影响；同时，因疫情防控要求，学生外出实践、展演、比赛均受到一定限制和影响，更加迫切需要提升和改善校内音乐教学实践条件。</w:t>
      </w:r>
    </w:p>
    <w:p>
      <w:pPr>
        <w:pStyle w:val="6"/>
        <w:ind w:firstLine="480"/>
      </w:pPr>
      <w:r>
        <w:t>2.拟采取的对策措施</w:t>
      </w:r>
    </w:p>
    <w:p>
      <w:pPr>
        <w:ind w:firstLine="482" w:firstLineChars="200"/>
        <w:rPr>
          <w:b/>
          <w:bCs/>
        </w:rPr>
      </w:pPr>
      <w:r>
        <w:rPr>
          <w:b/>
          <w:bCs/>
        </w:rPr>
        <w:t>（1）积极调整舞蹈队队员结构：</w:t>
      </w:r>
    </w:p>
    <w:p>
      <w:pPr>
        <w:ind w:firstLine="480" w:firstLineChars="200"/>
      </w:pPr>
      <w:r>
        <w:t>解决目前舞蹈队员因生源停招造成的问题，需要积极与学校大学生社团合作，通过学校社团中的舞蹈队员选拔、全校美育舞蹈课程改革实现招收舞蹈队员，并进一步通过与教务处、团委等部门协调，对舞蹈排练、展演、比赛等实现相应学分赋分、教师工作量核算等。</w:t>
      </w:r>
    </w:p>
    <w:p>
      <w:pPr>
        <w:ind w:firstLine="482" w:firstLineChars="200"/>
        <w:rPr>
          <w:b/>
          <w:bCs/>
        </w:rPr>
      </w:pPr>
      <w:r>
        <w:rPr>
          <w:b/>
          <w:bCs/>
        </w:rPr>
        <w:t>（2）努力加强师资队伍建设：</w:t>
      </w:r>
    </w:p>
    <w:p>
      <w:pPr>
        <w:ind w:firstLine="480" w:firstLineChars="200"/>
      </w:pPr>
      <w:r>
        <w:t>本专业根据学科建设发展要求，逐步增加专业教师，充实教学队伍，满足专业教学需要，尤其器乐方向教学与实践的需要；重点引进和培养中青年高层次专业人才，带动学科发展，提升科研教学能力，扩大专业影响力，进一步满足乐团建设发展的需要。同时，在招生中进一步对器乐方向进行细化，包括具体器乐方向、招生名额等，以解决相关问题。</w:t>
      </w:r>
    </w:p>
    <w:p>
      <w:pPr>
        <w:ind w:firstLine="482" w:firstLineChars="200"/>
        <w:rPr>
          <w:b/>
          <w:bCs/>
        </w:rPr>
      </w:pPr>
      <w:r>
        <w:rPr>
          <w:b/>
          <w:bCs/>
        </w:rPr>
        <w:t>（3）积极统筹并寻求校内外资源支持：</w:t>
      </w:r>
    </w:p>
    <w:p>
      <w:pPr>
        <w:ind w:firstLine="480" w:firstLineChars="200"/>
      </w:pPr>
      <w:r>
        <w:t>加强专业硬件设施、设备建设，争取建立多样化音乐实践教学平台，建设专业化器乐排练室、合唱排练室，及时增加和更新专业教学设施设备，使设备运转完好率达到100％；努力寻求学校和校外资金支持，在改造教学场所设备的同时，建设一间高水平、多功能的智能音乐教室等。</w:t>
      </w:r>
    </w:p>
    <w:p>
      <w:pPr>
        <w:ind w:firstLine="482" w:firstLineChars="200"/>
        <w:rPr>
          <w:b/>
          <w:bCs/>
        </w:rPr>
      </w:pPr>
      <w:r>
        <w:rPr>
          <w:b/>
          <w:bCs/>
        </w:rPr>
        <w:t>（4）积极倡导</w:t>
      </w:r>
      <w:r>
        <w:rPr>
          <w:rFonts w:hint="eastAsia"/>
          <w:b/>
          <w:bCs/>
        </w:rPr>
        <w:t>“</w:t>
      </w:r>
      <w:r>
        <w:rPr>
          <w:b/>
          <w:bCs/>
        </w:rPr>
        <w:t>请进来，走出去</w:t>
      </w:r>
      <w:r>
        <w:rPr>
          <w:rFonts w:hint="eastAsia"/>
          <w:b/>
          <w:bCs/>
        </w:rPr>
        <w:t>”</w:t>
      </w:r>
      <w:r>
        <w:rPr>
          <w:b/>
          <w:bCs/>
        </w:rPr>
        <w:t>的办学模式：</w:t>
      </w:r>
    </w:p>
    <w:p>
      <w:pPr>
        <w:ind w:firstLine="480" w:firstLineChars="200"/>
      </w:pPr>
      <w:r>
        <w:t>每年至少邀请1-3位国内外知名学者专家通过线上、线下方式举办科研、教学方面的学术交流；鼓励中青年教师参加国内或国际访问学者计划，增加中青年教师参加各类学术会议的机会，保证教师业务能力不断提高；积极推动教师和学生参加各类技能比赛与展演，提升专业技能水平的同时，扩大专业影响力，增强与外界的专业交流，保证教学团队高质量持续发展。</w:t>
      </w:r>
    </w:p>
    <w:p>
      <w:pPr>
        <w:ind w:firstLine="480" w:firstLineChars="200"/>
      </w:pPr>
      <w:r>
        <w:t>音乐学专业今后将通过进一步科学调整人才培养方案，加强师生之间的专业协作，提高教学团队、科研团队建设，积极建设一流课程团队，提高教研科研成果水平，扩大展演成果，提高学生创新创业能力。积极拓展学生创业就业渠道，加强学生就业思想教育，转变就业观念，提前谋划，早作准备。不仅要根据自己的实际情况确定考公务员、考事业编、考教师资可证、教师编，还应鼓励学生积极报名参军、到各类企业、机构就业，从基层做起，逐渐成长。鼓励更多学生考取研究生进一步深造。指导和帮助部分有能力的同学积极创业，提高创业成功率。改革并完善就业导师制度，建立新生入学匹配就业导师模式，四年全程就业创业指导，打造师生创业就业团队，带领学生走出去，与社会加强交流合作，促进学生认识和接触社会、融入社会，提升学生就业质量的同时，促进音乐学专业对社会发展做出更多更大贡献。</w:t>
      </w:r>
    </w:p>
    <w:p>
      <w:pPr>
        <w:ind w:firstLine="480" w:firstLineChars="200"/>
      </w:pPr>
      <w:r>
        <w:br w:type="page"/>
      </w:r>
    </w:p>
    <w:p>
      <w:pPr>
        <w:pStyle w:val="4"/>
        <w:ind w:firstLine="600"/>
      </w:pPr>
      <w:bookmarkStart w:id="836" w:name="_Toc30468"/>
      <w:bookmarkStart w:id="837" w:name="_Toc26940"/>
      <w:bookmarkStart w:id="838" w:name="_Toc14415"/>
      <w:bookmarkStart w:id="839" w:name="_Toc9899"/>
      <w:bookmarkStart w:id="840" w:name="_Toc2101"/>
      <w:r>
        <w:rPr>
          <w:rFonts w:hint="eastAsia"/>
          <w:lang w:val="en-US"/>
        </w:rPr>
        <w:t>专业八十一：</w:t>
      </w:r>
      <w:r>
        <w:t>录音艺术</w:t>
      </w:r>
      <w:bookmarkEnd w:id="836"/>
      <w:bookmarkEnd w:id="837"/>
      <w:bookmarkEnd w:id="838"/>
      <w:bookmarkEnd w:id="839"/>
      <w:bookmarkEnd w:id="840"/>
    </w:p>
    <w:p>
      <w:pPr>
        <w:pStyle w:val="5"/>
        <w:spacing w:before="93" w:after="93"/>
        <w:ind w:firstLine="560"/>
      </w:pPr>
      <w:r>
        <w:t>一、培养目标与规格</w:t>
      </w:r>
    </w:p>
    <w:p>
      <w:pPr>
        <w:ind w:firstLine="480" w:firstLineChars="200"/>
        <w:jc w:val="left"/>
        <w:rPr>
          <w:color w:val="000000"/>
          <w:kern w:val="0"/>
        </w:rPr>
      </w:pPr>
      <w:r>
        <w:rPr>
          <w:szCs w:val="24"/>
        </w:rPr>
        <w:t>培养目标：</w:t>
      </w:r>
      <w:r>
        <w:rPr>
          <w:color w:val="000000"/>
          <w:kern w:val="0"/>
        </w:rPr>
        <w:t>本专业培养具有一定的马克思主义基本理论素质和系统的专业基础知识，具备较扎实的音乐创作、制作功底，能熟练运用计算机与电子音乐设备，在广播、电影、电视、网络、文艺团体和唱片公司、学校等，进行录音编辑、音乐创作、MIDI音乐制作的创新型、专业型的人才。</w:t>
      </w:r>
    </w:p>
    <w:p>
      <w:pPr>
        <w:autoSpaceDE w:val="0"/>
        <w:autoSpaceDN w:val="0"/>
        <w:adjustRightInd w:val="0"/>
        <w:ind w:firstLine="480" w:firstLineChars="200"/>
        <w:jc w:val="left"/>
        <w:rPr>
          <w:kern w:val="0"/>
          <w:szCs w:val="28"/>
        </w:rPr>
      </w:pPr>
      <w:r>
        <w:rPr>
          <w:kern w:val="0"/>
          <w:szCs w:val="28"/>
        </w:rPr>
        <w:t>分解为4个子目标：</w:t>
      </w:r>
    </w:p>
    <w:p>
      <w:pPr>
        <w:autoSpaceDE w:val="0"/>
        <w:autoSpaceDN w:val="0"/>
        <w:adjustRightInd w:val="0"/>
        <w:ind w:firstLine="480" w:firstLineChars="200"/>
        <w:jc w:val="left"/>
        <w:rPr>
          <w:kern w:val="0"/>
          <w:szCs w:val="28"/>
        </w:rPr>
      </w:pPr>
      <w:r>
        <w:rPr>
          <w:kern w:val="0"/>
          <w:szCs w:val="28"/>
        </w:rPr>
        <w:t>1</w:t>
      </w:r>
      <w:r>
        <w:rPr>
          <w:rFonts w:hint="eastAsia"/>
          <w:kern w:val="0"/>
          <w:szCs w:val="28"/>
          <w:lang w:eastAsia="zh-CN"/>
        </w:rPr>
        <w:t>.</w:t>
      </w:r>
      <w:r>
        <w:rPr>
          <w:kern w:val="0"/>
          <w:szCs w:val="28"/>
        </w:rPr>
        <w:t>具备人文科学和自然科学基础、外语、计算机应用能力；</w:t>
      </w:r>
    </w:p>
    <w:p>
      <w:pPr>
        <w:autoSpaceDE w:val="0"/>
        <w:autoSpaceDN w:val="0"/>
        <w:adjustRightInd w:val="0"/>
        <w:ind w:firstLine="480" w:firstLineChars="200"/>
        <w:jc w:val="left"/>
        <w:rPr>
          <w:kern w:val="0"/>
          <w:szCs w:val="28"/>
        </w:rPr>
      </w:pPr>
      <w:r>
        <w:rPr>
          <w:kern w:val="0"/>
          <w:szCs w:val="28"/>
        </w:rPr>
        <w:t>2</w:t>
      </w:r>
      <w:r>
        <w:rPr>
          <w:rFonts w:hint="eastAsia"/>
          <w:kern w:val="0"/>
          <w:szCs w:val="28"/>
          <w:lang w:eastAsia="zh-CN"/>
        </w:rPr>
        <w:t>.</w:t>
      </w:r>
      <w:r>
        <w:rPr>
          <w:kern w:val="0"/>
          <w:szCs w:val="28"/>
        </w:rPr>
        <w:t>具备自主学习能力、创新能力、团队协作能力、组织领导能力和社会责任感；</w:t>
      </w:r>
    </w:p>
    <w:p>
      <w:pPr>
        <w:autoSpaceDE w:val="0"/>
        <w:autoSpaceDN w:val="0"/>
        <w:adjustRightInd w:val="0"/>
        <w:ind w:firstLine="480" w:firstLineChars="200"/>
        <w:jc w:val="left"/>
        <w:rPr>
          <w:kern w:val="0"/>
          <w:szCs w:val="28"/>
        </w:rPr>
      </w:pPr>
      <w:r>
        <w:rPr>
          <w:kern w:val="0"/>
          <w:szCs w:val="28"/>
        </w:rPr>
        <w:t>3</w:t>
      </w:r>
      <w:r>
        <w:rPr>
          <w:rFonts w:hint="eastAsia"/>
          <w:kern w:val="0"/>
          <w:szCs w:val="28"/>
          <w:lang w:eastAsia="zh-CN"/>
        </w:rPr>
        <w:t>.</w:t>
      </w:r>
      <w:r>
        <w:rPr>
          <w:kern w:val="0"/>
          <w:szCs w:val="28"/>
        </w:rPr>
        <w:t>熟悉国内录音艺术的发展现状、趋势，能够运用专业知识和技术规范，分析并解决音乐编辑与录制的复杂工程问题；</w:t>
      </w:r>
    </w:p>
    <w:p>
      <w:pPr>
        <w:autoSpaceDE w:val="0"/>
        <w:autoSpaceDN w:val="0"/>
        <w:adjustRightInd w:val="0"/>
        <w:ind w:firstLine="480" w:firstLineChars="200"/>
        <w:jc w:val="left"/>
        <w:rPr>
          <w:kern w:val="0"/>
          <w:szCs w:val="28"/>
        </w:rPr>
      </w:pPr>
      <w:r>
        <w:rPr>
          <w:kern w:val="0"/>
          <w:szCs w:val="28"/>
        </w:rPr>
        <w:t>4</w:t>
      </w:r>
      <w:r>
        <w:rPr>
          <w:rFonts w:hint="eastAsia"/>
          <w:kern w:val="0"/>
          <w:szCs w:val="28"/>
          <w:lang w:eastAsia="zh-CN"/>
        </w:rPr>
        <w:t>.</w:t>
      </w:r>
      <w:r>
        <w:rPr>
          <w:kern w:val="0"/>
          <w:szCs w:val="28"/>
        </w:rPr>
        <w:t>能在文艺部门、电视台、广播编辑部等部门从事音乐创作、音乐录制、录音编辑、录音工程制作、MIDI音乐编辑等方面工作。</w:t>
      </w:r>
    </w:p>
    <w:p>
      <w:pPr>
        <w:ind w:firstLine="480" w:firstLineChars="200"/>
        <w:jc w:val="left"/>
        <w:rPr>
          <w:color w:val="000000"/>
          <w:kern w:val="0"/>
        </w:rPr>
      </w:pPr>
      <w:r>
        <w:t>培养规格：</w:t>
      </w:r>
      <w:r>
        <w:rPr>
          <w:color w:val="000000"/>
          <w:kern w:val="0"/>
          <w:szCs w:val="28"/>
        </w:rPr>
        <w:t>本着厚基础、宽口径、高素质、强能力的人才培养原则，</w:t>
      </w:r>
      <w:r>
        <w:rPr>
          <w:color w:val="333333"/>
          <w:szCs w:val="28"/>
        </w:rPr>
        <w:t>立足国际化、信息化、一体化发展的要求，着眼国内市场化、专业化、社会化的发展趋势，着力培养德、智、体、美全面发展，知识、能力、素质结构优化，具有社会主义市场经济适应能力和竞争能力，具备创新精神和实践能力的应用型人才。</w:t>
      </w:r>
      <w:r>
        <w:rPr>
          <w:color w:val="000000"/>
          <w:kern w:val="0"/>
          <w:szCs w:val="28"/>
        </w:rPr>
        <w:t>毕业生</w:t>
      </w:r>
      <w:r>
        <w:rPr>
          <w:color w:val="000000"/>
          <w:kern w:val="0"/>
        </w:rPr>
        <w:t>应获得以下几方面的知识和能力：</w:t>
      </w:r>
    </w:p>
    <w:p>
      <w:pPr>
        <w:ind w:firstLine="480" w:firstLineChars="200"/>
        <w:jc w:val="left"/>
        <w:rPr>
          <w:color w:val="000000"/>
          <w:kern w:val="0"/>
        </w:rPr>
      </w:pPr>
      <w:r>
        <w:rPr>
          <w:color w:val="000000"/>
          <w:kern w:val="0"/>
        </w:rPr>
        <w:t>1．掌握音乐学科的基本理论知识；</w:t>
      </w:r>
    </w:p>
    <w:p>
      <w:pPr>
        <w:ind w:firstLine="480" w:firstLineChars="200"/>
        <w:jc w:val="left"/>
        <w:rPr>
          <w:color w:val="000000"/>
          <w:kern w:val="0"/>
        </w:rPr>
      </w:pPr>
      <w:r>
        <w:rPr>
          <w:color w:val="000000"/>
          <w:kern w:val="0"/>
        </w:rPr>
        <w:t>2．掌握音乐设备的使用、计算机音乐合成的制作技术及其分析方法、设计方法；</w:t>
      </w:r>
    </w:p>
    <w:p>
      <w:pPr>
        <w:ind w:firstLine="480" w:firstLineChars="200"/>
        <w:jc w:val="left"/>
        <w:rPr>
          <w:color w:val="000000"/>
          <w:kern w:val="0"/>
        </w:rPr>
      </w:pPr>
      <w:r>
        <w:rPr>
          <w:color w:val="000000"/>
          <w:kern w:val="0"/>
        </w:rPr>
        <w:t>3．掌握音乐成分的采样、编辑和处理的基本能力；</w:t>
      </w:r>
    </w:p>
    <w:p>
      <w:pPr>
        <w:ind w:firstLine="480" w:firstLineChars="200"/>
        <w:jc w:val="left"/>
        <w:rPr>
          <w:color w:val="000000"/>
          <w:kern w:val="0"/>
        </w:rPr>
      </w:pPr>
      <w:r>
        <w:rPr>
          <w:color w:val="000000"/>
          <w:kern w:val="0"/>
        </w:rPr>
        <w:t>4．熟悉相关的国家文化事业方针的政策、熟悉广播电视系统的行业法规；</w:t>
      </w:r>
    </w:p>
    <w:p>
      <w:pPr>
        <w:ind w:firstLine="480" w:firstLineChars="200"/>
        <w:jc w:val="left"/>
        <w:rPr>
          <w:color w:val="000000"/>
          <w:kern w:val="0"/>
        </w:rPr>
      </w:pPr>
      <w:r>
        <w:rPr>
          <w:color w:val="000000"/>
          <w:kern w:val="0"/>
        </w:rPr>
        <w:t>5．了解电子音乐技术的理论前沿及应用前景和最新动态；</w:t>
      </w:r>
    </w:p>
    <w:p>
      <w:pPr>
        <w:ind w:firstLine="480" w:firstLineChars="200"/>
        <w:jc w:val="left"/>
        <w:rPr>
          <w:color w:val="000000"/>
          <w:kern w:val="0"/>
        </w:rPr>
      </w:pPr>
      <w:r>
        <w:rPr>
          <w:color w:val="000000"/>
          <w:kern w:val="0"/>
        </w:rPr>
        <w:t>6．掌握专业的文献检索、资料查询的基本方法，初步具备本专业的科学研究和实际工作能力。</w:t>
      </w:r>
    </w:p>
    <w:p>
      <w:pPr>
        <w:pStyle w:val="5"/>
        <w:spacing w:before="93" w:after="93"/>
        <w:ind w:firstLine="560"/>
      </w:pPr>
      <w:r>
        <w:t>二、培养能力</w:t>
      </w:r>
    </w:p>
    <w:p>
      <w:pPr>
        <w:ind w:firstLine="480" w:firstLineChars="200"/>
        <w:rPr>
          <w:szCs w:val="24"/>
        </w:rPr>
      </w:pPr>
      <w:r>
        <w:rPr>
          <w:szCs w:val="24"/>
        </w:rPr>
        <w:t>专业基本情况：本专业的设置重视专业基础的教学，重视创造性思维训练，注意分析能力、判断能力、创新能力和整体设计的把握能力的培养；坚持理论与实践相结合的教学理念，要求学生在与社会的广泛接触、与企业的深入交流中学习鲜活的知识，发现自身优势与不足，成长为能够站在时代前沿、适应激烈的市场竞争，具有巩固的专业基础、理论知识和专业技能、具有创造力的录音师。</w:t>
      </w:r>
    </w:p>
    <w:p>
      <w:pPr>
        <w:ind w:firstLine="480" w:firstLineChars="200"/>
        <w:rPr>
          <w:szCs w:val="24"/>
        </w:rPr>
      </w:pPr>
      <w:r>
        <w:rPr>
          <w:szCs w:val="24"/>
        </w:rPr>
        <w:t>目前2019级32人，2020级30人、2021级32人.2022级28人。</w:t>
      </w:r>
    </w:p>
    <w:p>
      <w:pPr>
        <w:ind w:firstLine="480" w:firstLineChars="200"/>
        <w:jc w:val="center"/>
        <w:rPr>
          <w:szCs w:val="21"/>
        </w:rPr>
      </w:pPr>
    </w:p>
    <w:p>
      <w:pPr>
        <w:ind w:firstLine="422" w:firstLineChars="200"/>
        <w:jc w:val="center"/>
        <w:rPr>
          <w:b/>
          <w:bCs/>
          <w:sz w:val="21"/>
          <w:szCs w:val="21"/>
        </w:rPr>
      </w:pPr>
      <w:r>
        <w:rPr>
          <w:b/>
          <w:bCs/>
          <w:sz w:val="21"/>
          <w:szCs w:val="21"/>
        </w:rPr>
        <w:t>目前录音专业在校生人数统计情况</w:t>
      </w:r>
    </w:p>
    <w:tbl>
      <w:tblPr>
        <w:tblStyle w:val="17"/>
        <w:tblW w:w="8568"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713"/>
        <w:gridCol w:w="1713"/>
        <w:gridCol w:w="1714"/>
        <w:gridCol w:w="1714"/>
        <w:gridCol w:w="1714"/>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78" w:hRule="atLeast"/>
          <w:jc w:val="center"/>
        </w:trPr>
        <w:tc>
          <w:tcPr>
            <w:tcW w:w="1713" w:type="dxa"/>
            <w:tcBorders>
              <w:right w:val="single" w:color="auto" w:sz="4" w:space="0"/>
            </w:tcBorders>
          </w:tcPr>
          <w:p>
            <w:pPr>
              <w:pStyle w:val="25"/>
              <w:rPr>
                <w:b/>
                <w:bCs/>
                <w:sz w:val="21"/>
                <w:szCs w:val="21"/>
              </w:rPr>
            </w:pPr>
            <w:r>
              <w:rPr>
                <w:b/>
                <w:bCs/>
                <w:sz w:val="21"/>
                <w:szCs w:val="21"/>
              </w:rPr>
              <w:t>年级</w:t>
            </w:r>
          </w:p>
        </w:tc>
        <w:tc>
          <w:tcPr>
            <w:tcW w:w="1713" w:type="dxa"/>
          </w:tcPr>
          <w:p>
            <w:pPr>
              <w:pStyle w:val="25"/>
              <w:rPr>
                <w:b/>
                <w:bCs/>
                <w:sz w:val="21"/>
                <w:szCs w:val="21"/>
              </w:rPr>
            </w:pPr>
            <w:r>
              <w:rPr>
                <w:b/>
                <w:bCs/>
                <w:sz w:val="21"/>
                <w:szCs w:val="21"/>
              </w:rPr>
              <w:t>2018级</w:t>
            </w:r>
          </w:p>
        </w:tc>
        <w:tc>
          <w:tcPr>
            <w:tcW w:w="1714" w:type="dxa"/>
          </w:tcPr>
          <w:p>
            <w:pPr>
              <w:pStyle w:val="25"/>
              <w:rPr>
                <w:b/>
                <w:bCs/>
                <w:sz w:val="21"/>
                <w:szCs w:val="21"/>
              </w:rPr>
            </w:pPr>
            <w:r>
              <w:rPr>
                <w:b/>
                <w:bCs/>
                <w:sz w:val="21"/>
                <w:szCs w:val="21"/>
              </w:rPr>
              <w:t>2019级</w:t>
            </w:r>
          </w:p>
        </w:tc>
        <w:tc>
          <w:tcPr>
            <w:tcW w:w="1714" w:type="dxa"/>
          </w:tcPr>
          <w:p>
            <w:pPr>
              <w:pStyle w:val="25"/>
              <w:rPr>
                <w:b/>
                <w:bCs/>
                <w:sz w:val="21"/>
                <w:szCs w:val="21"/>
              </w:rPr>
            </w:pPr>
            <w:r>
              <w:rPr>
                <w:b/>
                <w:bCs/>
                <w:sz w:val="21"/>
                <w:szCs w:val="21"/>
              </w:rPr>
              <w:t>2020级</w:t>
            </w:r>
          </w:p>
        </w:tc>
        <w:tc>
          <w:tcPr>
            <w:tcW w:w="1714" w:type="dxa"/>
          </w:tcPr>
          <w:p>
            <w:pPr>
              <w:pStyle w:val="25"/>
              <w:rPr>
                <w:b/>
                <w:bCs/>
                <w:sz w:val="21"/>
                <w:szCs w:val="21"/>
              </w:rPr>
            </w:pPr>
            <w:r>
              <w:rPr>
                <w:b/>
                <w:bCs/>
                <w:sz w:val="21"/>
                <w:szCs w:val="21"/>
              </w:rPr>
              <w:t>2021级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76" w:hRule="atLeast"/>
          <w:jc w:val="center"/>
        </w:trPr>
        <w:tc>
          <w:tcPr>
            <w:tcW w:w="1713" w:type="dxa"/>
            <w:tcBorders>
              <w:bottom w:val="single" w:color="auto" w:sz="4" w:space="0"/>
              <w:right w:val="single" w:color="auto" w:sz="4" w:space="0"/>
            </w:tcBorders>
            <w:vAlign w:val="center"/>
          </w:tcPr>
          <w:p>
            <w:pPr>
              <w:pStyle w:val="25"/>
              <w:rPr>
                <w:sz w:val="21"/>
                <w:szCs w:val="21"/>
              </w:rPr>
            </w:pPr>
            <w:r>
              <w:rPr>
                <w:sz w:val="21"/>
                <w:szCs w:val="21"/>
              </w:rPr>
              <w:t>招生人数</w:t>
            </w:r>
          </w:p>
        </w:tc>
        <w:tc>
          <w:tcPr>
            <w:tcW w:w="1713" w:type="dxa"/>
            <w:tcBorders>
              <w:bottom w:val="single" w:color="auto" w:sz="4" w:space="0"/>
            </w:tcBorders>
            <w:vAlign w:val="center"/>
          </w:tcPr>
          <w:p>
            <w:pPr>
              <w:pStyle w:val="25"/>
              <w:rPr>
                <w:sz w:val="21"/>
                <w:szCs w:val="21"/>
              </w:rPr>
            </w:pPr>
            <w:r>
              <w:rPr>
                <w:sz w:val="21"/>
                <w:szCs w:val="21"/>
              </w:rPr>
              <w:t>33人</w:t>
            </w:r>
          </w:p>
        </w:tc>
        <w:tc>
          <w:tcPr>
            <w:tcW w:w="1714" w:type="dxa"/>
            <w:tcBorders>
              <w:bottom w:val="single" w:color="auto" w:sz="4" w:space="0"/>
            </w:tcBorders>
            <w:vAlign w:val="center"/>
          </w:tcPr>
          <w:p>
            <w:pPr>
              <w:pStyle w:val="25"/>
              <w:rPr>
                <w:sz w:val="21"/>
                <w:szCs w:val="21"/>
              </w:rPr>
            </w:pPr>
            <w:r>
              <w:rPr>
                <w:sz w:val="21"/>
                <w:szCs w:val="21"/>
              </w:rPr>
              <w:t>32人</w:t>
            </w:r>
          </w:p>
        </w:tc>
        <w:tc>
          <w:tcPr>
            <w:tcW w:w="1714" w:type="dxa"/>
            <w:tcBorders>
              <w:bottom w:val="single" w:color="auto" w:sz="4" w:space="0"/>
            </w:tcBorders>
            <w:vAlign w:val="center"/>
          </w:tcPr>
          <w:p>
            <w:pPr>
              <w:pStyle w:val="25"/>
              <w:rPr>
                <w:sz w:val="21"/>
                <w:szCs w:val="21"/>
              </w:rPr>
            </w:pPr>
            <w:r>
              <w:rPr>
                <w:sz w:val="21"/>
                <w:szCs w:val="21"/>
              </w:rPr>
              <w:t>30</w:t>
            </w:r>
          </w:p>
        </w:tc>
        <w:tc>
          <w:tcPr>
            <w:tcW w:w="1714" w:type="dxa"/>
            <w:tcBorders>
              <w:bottom w:val="single" w:color="auto" w:sz="4" w:space="0"/>
            </w:tcBorders>
            <w:vAlign w:val="center"/>
          </w:tcPr>
          <w:p>
            <w:pPr>
              <w:pStyle w:val="25"/>
              <w:rPr>
                <w:sz w:val="21"/>
                <w:szCs w:val="21"/>
              </w:rPr>
            </w:pPr>
            <w:r>
              <w:rPr>
                <w:sz w:val="21"/>
                <w:szCs w:val="21"/>
              </w:rPr>
              <w:t>32</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78" w:hRule="atLeast"/>
          <w:jc w:val="center"/>
        </w:trPr>
        <w:tc>
          <w:tcPr>
            <w:tcW w:w="1713" w:type="dxa"/>
            <w:tcBorders>
              <w:top w:val="single" w:color="auto" w:sz="4" w:space="0"/>
              <w:right w:val="single" w:color="auto" w:sz="4" w:space="0"/>
            </w:tcBorders>
            <w:vAlign w:val="center"/>
          </w:tcPr>
          <w:p>
            <w:pPr>
              <w:pStyle w:val="25"/>
              <w:rPr>
                <w:sz w:val="21"/>
                <w:szCs w:val="21"/>
              </w:rPr>
            </w:pPr>
            <w:r>
              <w:rPr>
                <w:sz w:val="21"/>
                <w:szCs w:val="21"/>
              </w:rPr>
              <w:t>报到率</w:t>
            </w:r>
          </w:p>
        </w:tc>
        <w:tc>
          <w:tcPr>
            <w:tcW w:w="1713" w:type="dxa"/>
            <w:tcBorders>
              <w:top w:val="single" w:color="auto" w:sz="4" w:space="0"/>
            </w:tcBorders>
            <w:vAlign w:val="center"/>
          </w:tcPr>
          <w:p>
            <w:pPr>
              <w:pStyle w:val="25"/>
              <w:rPr>
                <w:sz w:val="21"/>
                <w:szCs w:val="21"/>
              </w:rPr>
            </w:pPr>
            <w:r>
              <w:rPr>
                <w:sz w:val="21"/>
                <w:szCs w:val="21"/>
              </w:rPr>
              <w:t>100%</w:t>
            </w:r>
          </w:p>
        </w:tc>
        <w:tc>
          <w:tcPr>
            <w:tcW w:w="1714" w:type="dxa"/>
            <w:tcBorders>
              <w:top w:val="single" w:color="auto" w:sz="4" w:space="0"/>
            </w:tcBorders>
            <w:vAlign w:val="center"/>
          </w:tcPr>
          <w:p>
            <w:pPr>
              <w:pStyle w:val="25"/>
              <w:rPr>
                <w:sz w:val="21"/>
                <w:szCs w:val="21"/>
              </w:rPr>
            </w:pPr>
            <w:r>
              <w:rPr>
                <w:sz w:val="21"/>
                <w:szCs w:val="21"/>
              </w:rPr>
              <w:t>100%</w:t>
            </w:r>
          </w:p>
        </w:tc>
        <w:tc>
          <w:tcPr>
            <w:tcW w:w="1714" w:type="dxa"/>
            <w:tcBorders>
              <w:top w:val="single" w:color="auto" w:sz="4" w:space="0"/>
            </w:tcBorders>
            <w:vAlign w:val="center"/>
          </w:tcPr>
          <w:p>
            <w:pPr>
              <w:pStyle w:val="25"/>
              <w:rPr>
                <w:sz w:val="21"/>
                <w:szCs w:val="21"/>
              </w:rPr>
            </w:pPr>
            <w:r>
              <w:rPr>
                <w:sz w:val="21"/>
                <w:szCs w:val="21"/>
              </w:rPr>
              <w:t>100%</w:t>
            </w:r>
          </w:p>
        </w:tc>
        <w:tc>
          <w:tcPr>
            <w:tcW w:w="1714" w:type="dxa"/>
            <w:tcBorders>
              <w:top w:val="single" w:color="auto" w:sz="4" w:space="0"/>
            </w:tcBorders>
            <w:vAlign w:val="center"/>
          </w:tcPr>
          <w:p>
            <w:pPr>
              <w:pStyle w:val="25"/>
              <w:rPr>
                <w:sz w:val="21"/>
                <w:szCs w:val="21"/>
              </w:rPr>
            </w:pPr>
            <w:r>
              <w:rPr>
                <w:sz w:val="21"/>
                <w:szCs w:val="21"/>
              </w:rPr>
              <w:t>100%</w:t>
            </w:r>
          </w:p>
        </w:tc>
      </w:tr>
    </w:tbl>
    <w:p>
      <w:pPr>
        <w:ind w:firstLine="480" w:firstLineChars="200"/>
        <w:rPr>
          <w:szCs w:val="24"/>
        </w:rPr>
      </w:pPr>
      <w:r>
        <w:rPr>
          <w:szCs w:val="24"/>
        </w:rPr>
        <w:t>课程体系：优化课程建设一直是本专业教学基本建设的重要内容，是专业办学水平的综合反映。2020年结合传媒类招生专业特色，经过多次论证，对2020级录音艺术专业培养方案进行了调整，制定了切合设计类专业特点的培养目标，对专业基础课进行了调整，其中通识必修课14门，通识选修课6门，学科基础课17门，专业核心课6门，专业方向课(专业交叉课、专业分流课) 20门，专业拓展课4门，其中必修课共96. 5学分，选修课共15学分，实践教学环节共31.5学分。根据行业动态发展和以提高学生录音水平的前提下，录音艺术专业还将聘请校外专家开设相关系列专题讲座。</w:t>
      </w:r>
    </w:p>
    <w:p>
      <w:pPr>
        <w:ind w:firstLine="480" w:firstLineChars="200"/>
        <w:rPr>
          <w:szCs w:val="24"/>
        </w:rPr>
      </w:pPr>
      <w:r>
        <w:rPr>
          <w:szCs w:val="24"/>
        </w:rPr>
        <w:t>创新创业教育：创新创业教育是以培养具有创业基本素质和开创型个性的人才为目标，不仅仅以培育在校学生的创业意识、创业精神、创新创业能力为主的教育，而是使学生的眼光要面向社会，面向未来，为将来的就业和创业打下一个深厚的基础。录音艺术专业创新创业教育始于2013年，是学院遵照</w:t>
      </w:r>
      <w:r>
        <w:rPr>
          <w:rFonts w:hint="eastAsia"/>
          <w:szCs w:val="24"/>
        </w:rPr>
        <w:t>“</w:t>
      </w:r>
      <w:r>
        <w:rPr>
          <w:szCs w:val="24"/>
        </w:rPr>
        <w:t>建设创新型国家</w:t>
      </w:r>
      <w:r>
        <w:rPr>
          <w:rFonts w:hint="eastAsia"/>
          <w:szCs w:val="24"/>
        </w:rPr>
        <w:t>”</w:t>
      </w:r>
      <w:r>
        <w:rPr>
          <w:szCs w:val="24"/>
        </w:rPr>
        <w:t>和</w:t>
      </w:r>
      <w:r>
        <w:rPr>
          <w:rFonts w:hint="eastAsia"/>
          <w:szCs w:val="24"/>
        </w:rPr>
        <w:t>“</w:t>
      </w:r>
      <w:r>
        <w:rPr>
          <w:szCs w:val="24"/>
        </w:rPr>
        <w:t>促进以创业带动就业</w:t>
      </w:r>
      <w:r>
        <w:rPr>
          <w:rFonts w:hint="eastAsia"/>
          <w:szCs w:val="24"/>
        </w:rPr>
        <w:t>”</w:t>
      </w:r>
      <w:r>
        <w:rPr>
          <w:szCs w:val="24"/>
        </w:rPr>
        <w:t>的发展战略，坚持服务地方经济社会发展和建设创新创业型城市发展定位，积极探索创新创业教育的重要举措。在学院行政及党委的领导下，建设了</w:t>
      </w:r>
      <w:r>
        <w:rPr>
          <w:rFonts w:hint="eastAsia"/>
          <w:szCs w:val="24"/>
        </w:rPr>
        <w:t>“</w:t>
      </w:r>
      <w:r>
        <w:rPr>
          <w:szCs w:val="24"/>
        </w:rPr>
        <w:t>MIDI音乐工作室</w:t>
      </w:r>
      <w:r>
        <w:rPr>
          <w:rFonts w:hint="eastAsia"/>
          <w:szCs w:val="24"/>
        </w:rPr>
        <w:t>”</w:t>
      </w:r>
      <w:r>
        <w:rPr>
          <w:szCs w:val="24"/>
        </w:rPr>
        <w:t>创新创业团队。目前，团队已成为我院首批实现社会创业的大学生创业团队。</w:t>
      </w:r>
    </w:p>
    <w:p>
      <w:pPr>
        <w:pStyle w:val="5"/>
        <w:spacing w:before="93" w:after="93"/>
        <w:ind w:firstLine="560"/>
      </w:pPr>
      <w:r>
        <w:t>三、培养条件</w:t>
      </w:r>
    </w:p>
    <w:p>
      <w:pPr>
        <w:ind w:firstLine="480" w:firstLineChars="200"/>
        <w:rPr>
          <w:szCs w:val="24"/>
        </w:rPr>
      </w:pPr>
      <w:r>
        <w:rPr>
          <w:szCs w:val="24"/>
        </w:rPr>
        <w:t>教学经费投入：教学经费是教学资源建设和日常教学运行的基本保障。本专业教学经费包括教学日常运行费用、教学改革费用、课程建设费用、教材建设费用、专业建设费用、校内外实践实习费用、教学研讨费用、教学差旅费用、图书资料购置费用、学生活动费用以及其他用于教学的费用等。随着社会的不断需求以及生源的质量要求，教学经费投入也在逐年增多，每年投入教学经费已达50多万元。</w:t>
      </w:r>
    </w:p>
    <w:p>
      <w:pPr>
        <w:ind w:firstLine="480" w:firstLineChars="200"/>
        <w:rPr>
          <w:szCs w:val="24"/>
        </w:rPr>
      </w:pPr>
      <w:r>
        <w:rPr>
          <w:szCs w:val="24"/>
        </w:rPr>
        <w:t>教学设备：实验室建设是专业的硬件部分，是办学的必备条件，也是办学能力的重要标志；拥有MIDI实验教学中心（校级）、录音棚，经过多年建设和发展，在北校区设有MIDI教学中心，面积达270m</w:t>
      </w:r>
      <w:r>
        <w:rPr>
          <w:szCs w:val="24"/>
          <w:vertAlign w:val="superscript"/>
        </w:rPr>
        <w:t>2</w:t>
      </w:r>
      <w:r>
        <w:rPr>
          <w:szCs w:val="24"/>
        </w:rPr>
        <w:t>，其中多媒体教室1个、专业教室3个、录音棚1个，话筒多支，固定资产总值近60万元。</w:t>
      </w:r>
    </w:p>
    <w:p>
      <w:pPr>
        <w:ind w:firstLine="480" w:firstLineChars="200"/>
        <w:rPr>
          <w:szCs w:val="24"/>
        </w:rPr>
      </w:pPr>
      <w:r>
        <w:rPr>
          <w:szCs w:val="24"/>
        </w:rPr>
        <w:t>教师队伍建设：师资队伍是专业与学科建设的根本。录音艺术专业一直重视师资队伍的建设，并采取了可行的措施：选派青年教师到重点院校进修学习；选派骨干教师作为访问学者与外校知名教授一起研究本专业前沿课题，及时准确了解本专业当前的发展动态，提高专业知识水平。通过抓住机遇，突出重点，加快人才引进和培养步伐，学科师资队伍总量有所增加，水平有所提高。录音艺术专业现有专任教师22人。其中教授2名，占专任教师总数9%；副教授10名，占专任教师总数45.4%；讲师7名，占专任教师总数31.8%，助教3名，占专任教师总数13.6%。专业教师队伍结构发生较大改变，梯队结构渐趋合理，为专业教学和发展打下坚实的基础。</w:t>
      </w:r>
    </w:p>
    <w:p>
      <w:pPr>
        <w:ind w:firstLine="480" w:firstLineChars="200"/>
        <w:rPr>
          <w:szCs w:val="24"/>
        </w:rPr>
      </w:pPr>
      <w:r>
        <w:rPr>
          <w:szCs w:val="24"/>
        </w:rPr>
        <w:t>实习基地建设：</w:t>
      </w:r>
      <w:r>
        <w:rPr>
          <w:color w:val="000000"/>
        </w:rPr>
        <w:t>近年来，随着毕业生就业工作的不断创新，学院和有关专业教师积极开展毕业生就业见习工作，以增强与用人单位和毕业生之间的相互了解，使用人单位能够更加有选择、有目的培养和储备所需的人才；提高毕业生的实践能力和工作经验，增强毕业生就业能力。</w:t>
      </w:r>
    </w:p>
    <w:p>
      <w:pPr>
        <w:pStyle w:val="5"/>
        <w:spacing w:before="93" w:after="93"/>
        <w:ind w:firstLine="560"/>
      </w:pPr>
      <w:r>
        <w:t>四、培养机制与特色</w:t>
      </w:r>
    </w:p>
    <w:p>
      <w:pPr>
        <w:ind w:firstLine="480" w:firstLineChars="200"/>
        <w:rPr>
          <w:szCs w:val="24"/>
        </w:rPr>
      </w:pPr>
      <w:r>
        <w:rPr>
          <w:szCs w:val="24"/>
        </w:rPr>
        <w:t>教学管理是录音艺术专业教育中的重要内容，为了使教学活动达到学校既定的人才培养目标，保证良好的正常教学秩序进行。以系为单位开展一系列的教学模式探索，包括教学计划管理、教学运行管理、教学质量管理与评价，以及学科、专业、课程、教材、实验室、实践教学基地、学风、教学队伍、教学管理制度等教学基本建设管理，还包括教学研究与教学改革管理。通过制定教学工作计划，加强了教务行政管理工作，明确了教学工作目标，保证了学校教学工作有计划、有步骤、有条不紊地运转，提高了教学质量。</w:t>
      </w:r>
    </w:p>
    <w:p>
      <w:pPr>
        <w:pStyle w:val="5"/>
        <w:spacing w:before="93" w:after="93"/>
        <w:ind w:firstLine="560"/>
      </w:pPr>
      <w:r>
        <w:t>五、培养质量</w:t>
      </w:r>
    </w:p>
    <w:p>
      <w:pPr>
        <w:ind w:firstLine="480" w:firstLineChars="200"/>
        <w:rPr>
          <w:szCs w:val="24"/>
        </w:rPr>
      </w:pPr>
      <w:r>
        <w:rPr>
          <w:szCs w:val="24"/>
        </w:rPr>
        <w:t>毕业生就业率：录音艺术生就业情况一直良好。2020届考取研究生3人，协议就业15人，灵活就业9人，签订用人单位劳动合同22人，毕业生就业率为92%,2021届考取研究生4人，协议就业12人，灵活就业5人，签订用人单位劳动合同11人，毕业生就业率100%。就业岗位基本上都是与本专业相关岗位。</w:t>
      </w:r>
    </w:p>
    <w:p>
      <w:pPr>
        <w:ind w:firstLine="480" w:firstLineChars="200"/>
        <w:rPr>
          <w:szCs w:val="24"/>
        </w:rPr>
      </w:pPr>
      <w:r>
        <w:rPr>
          <w:szCs w:val="24"/>
        </w:rPr>
        <w:t>就业专业对口率：根据近几年的就业市场来看，该专业社会需求旺盛，提供职位数每年都会达到应届毕业生人数的2倍以上，就业形势非常乐观。毕业生从第七学期开始就可以提前进入实习状态，在用人单位专业人员的指导下，专业能力得到了提高，有些影视公司长期与我系保持联系，每年定向从毕业生中招聘录音专业学生。</w:t>
      </w:r>
    </w:p>
    <w:p>
      <w:pPr>
        <w:ind w:firstLine="480" w:firstLineChars="200"/>
        <w:rPr>
          <w:szCs w:val="24"/>
        </w:rPr>
      </w:pPr>
      <w:r>
        <w:rPr>
          <w:szCs w:val="24"/>
        </w:rPr>
        <w:t>毕业生发展情况：截至2021年11月底，2021届的毕业生大多分布在本省传媒公司，也有部分毕业生在省外就业。另外，还有4名学生正在积极备考研究生。</w:t>
      </w:r>
    </w:p>
    <w:p>
      <w:pPr>
        <w:ind w:firstLine="480" w:firstLineChars="200"/>
        <w:rPr>
          <w:szCs w:val="24"/>
        </w:rPr>
      </w:pPr>
      <w:r>
        <w:rPr>
          <w:szCs w:val="24"/>
        </w:rPr>
        <w:t>就业单位满意率：从2021届毕业生就业单位情况看，用人单位普遍反映我系毕业生专业知识扎实，综合素质较高，肯吃苦，对录音艺术学生的认知度较高。很多单位在聘用我系毕业生之后还主动联系我们成为了合作单位。</w:t>
      </w:r>
    </w:p>
    <w:p>
      <w:pPr>
        <w:ind w:firstLine="480" w:firstLineChars="200"/>
        <w:rPr>
          <w:szCs w:val="24"/>
        </w:rPr>
      </w:pPr>
      <w:r>
        <w:rPr>
          <w:szCs w:val="24"/>
        </w:rPr>
        <w:t>社会对专业的评价：本专业毕业生在社会领域普遍发展良好，有大量杰出校友在本领域做出了骄人的成绩。</w:t>
      </w:r>
    </w:p>
    <w:p>
      <w:pPr>
        <w:pStyle w:val="5"/>
        <w:spacing w:before="93" w:after="93"/>
        <w:ind w:firstLine="560"/>
      </w:pPr>
      <w:r>
        <w:t>六、毕业生就业创业</w:t>
      </w:r>
    </w:p>
    <w:p>
      <w:pPr>
        <w:ind w:firstLine="480" w:firstLineChars="200"/>
        <w:rPr>
          <w:szCs w:val="24"/>
        </w:rPr>
      </w:pPr>
      <w:r>
        <w:rPr>
          <w:szCs w:val="24"/>
        </w:rPr>
        <w:t>创业情况：录音艺术专业有2个创新创业团队，</w:t>
      </w:r>
      <w:r>
        <w:rPr>
          <w:rFonts w:hint="eastAsia"/>
          <w:szCs w:val="24"/>
        </w:rPr>
        <w:t>“</w:t>
      </w:r>
      <w:r>
        <w:rPr>
          <w:szCs w:val="24"/>
        </w:rPr>
        <w:t>春煜工作室</w:t>
      </w:r>
      <w:r>
        <w:rPr>
          <w:rFonts w:hint="eastAsia"/>
          <w:szCs w:val="24"/>
        </w:rPr>
        <w:t>”</w:t>
      </w:r>
      <w:r>
        <w:rPr>
          <w:szCs w:val="24"/>
        </w:rPr>
        <w:t>、</w:t>
      </w:r>
      <w:r>
        <w:rPr>
          <w:rFonts w:hint="eastAsia"/>
          <w:szCs w:val="24"/>
        </w:rPr>
        <w:t>“</w:t>
      </w:r>
      <w:r>
        <w:rPr>
          <w:szCs w:val="24"/>
        </w:rPr>
        <w:t>MIDI音乐创业团队</w:t>
      </w:r>
      <w:r>
        <w:rPr>
          <w:rFonts w:hint="eastAsia"/>
          <w:szCs w:val="24"/>
        </w:rPr>
        <w:t>”</w:t>
      </w:r>
      <w:r>
        <w:rPr>
          <w:szCs w:val="24"/>
        </w:rPr>
        <w:t>。目前，</w:t>
      </w:r>
      <w:r>
        <w:rPr>
          <w:rFonts w:hint="eastAsia"/>
          <w:szCs w:val="24"/>
        </w:rPr>
        <w:t>“</w:t>
      </w:r>
      <w:r>
        <w:rPr>
          <w:szCs w:val="24"/>
        </w:rPr>
        <w:t>春煜工作室</w:t>
      </w:r>
      <w:r>
        <w:rPr>
          <w:rFonts w:hint="eastAsia"/>
          <w:szCs w:val="24"/>
        </w:rPr>
        <w:t>”</w:t>
      </w:r>
      <w:r>
        <w:rPr>
          <w:szCs w:val="24"/>
        </w:rPr>
        <w:t>已成为我院首批实现社会创业的大学生创业团队。学生自主创业，在泰安颇具影响力，几乎包揽了泰城大部分的音乐制作与现场调音。</w:t>
      </w:r>
    </w:p>
    <w:p>
      <w:pPr>
        <w:pStyle w:val="5"/>
        <w:spacing w:before="93" w:after="93"/>
        <w:ind w:firstLine="560"/>
      </w:pPr>
      <w:r>
        <w:t>七、专业人才社会需求分析及专业发展趋势分析</w:t>
      </w:r>
    </w:p>
    <w:p>
      <w:pPr>
        <w:ind w:firstLine="360" w:firstLineChars="150"/>
        <w:rPr>
          <w:szCs w:val="24"/>
        </w:rPr>
      </w:pPr>
      <w:r>
        <w:t>1</w:t>
      </w:r>
      <w:r>
        <w:rPr>
          <w:rFonts w:eastAsia="黑体"/>
          <w:szCs w:val="24"/>
        </w:rPr>
        <w:t>. 专业人才社会需求分析</w:t>
      </w:r>
    </w:p>
    <w:p>
      <w:pPr>
        <w:autoSpaceDE w:val="0"/>
        <w:autoSpaceDN w:val="0"/>
        <w:adjustRightInd w:val="0"/>
        <w:ind w:firstLine="482"/>
        <w:jc w:val="left"/>
        <w:rPr>
          <w:color w:val="000000"/>
        </w:rPr>
      </w:pPr>
      <w:r>
        <w:rPr>
          <w:color w:val="000000"/>
        </w:rPr>
        <w:t>2021年学校举办多场线上毕业生招聘会，提供150余个就业岗位。录音艺术的毕业生需求量较大。总体来说，就业市场需求量大于毕业生人数，就业情况呈总体上升趋势。</w:t>
      </w:r>
    </w:p>
    <w:p>
      <w:pPr>
        <w:ind w:firstLine="480" w:firstLineChars="200"/>
        <w:rPr>
          <w:szCs w:val="24"/>
        </w:rPr>
      </w:pPr>
      <w:r>
        <w:rPr>
          <w:color w:val="000000"/>
        </w:rPr>
        <w:t>毕业生的主要就业渠道有学校学院提供的就业信息、校园招聘网站、教师推荐、专业求职网站、校外就业市场和家庭社会关系等。大部分学生的就业岗位来自校园招聘会，有些学生不仅参加本校校园招聘会，还积极参加其他学校举办的校园招聘会。此外，家长、学长以及同学的意见在毕业生就业选择上也是一个很大的影响因素，部分毕业生通过家长与社会关系介绍在当地企业就业。</w:t>
      </w:r>
    </w:p>
    <w:p>
      <w:pPr>
        <w:pStyle w:val="7"/>
        <w:ind w:firstLine="480"/>
      </w:pPr>
      <w:r>
        <w:t>2. 专业发展趋势分析</w:t>
      </w:r>
    </w:p>
    <w:p>
      <w:pPr>
        <w:ind w:firstLine="480" w:firstLineChars="200"/>
        <w:rPr>
          <w:szCs w:val="24"/>
        </w:rPr>
      </w:pPr>
      <w:r>
        <w:rPr>
          <w:szCs w:val="24"/>
        </w:rPr>
        <w:t>目前，录音艺术专业处于良好的发展态势。目前我国现有录音专业人员30多万，呈增长之势。由于市场需求大，录音师在市场较为走俏，已被人们称为</w:t>
      </w:r>
      <w:r>
        <w:rPr>
          <w:rFonts w:hint="eastAsia"/>
          <w:szCs w:val="24"/>
        </w:rPr>
        <w:t>“</w:t>
      </w:r>
      <w:r>
        <w:rPr>
          <w:szCs w:val="24"/>
        </w:rPr>
        <w:t>金色灰领</w:t>
      </w:r>
      <w:r>
        <w:rPr>
          <w:rFonts w:hint="eastAsia"/>
          <w:szCs w:val="24"/>
        </w:rPr>
        <w:t>”</w:t>
      </w:r>
      <w:r>
        <w:rPr>
          <w:szCs w:val="24"/>
        </w:rPr>
        <w:t>。录音师</w:t>
      </w:r>
      <w:r>
        <w:rPr>
          <w:kern w:val="0"/>
          <w:szCs w:val="24"/>
        </w:rPr>
        <w:t>能在文艺部门、电视台、广播编辑部等部门从事音乐创作、音乐录制、录音编辑、录音工程制作、MIDI音乐编辑等方面工作</w:t>
      </w:r>
      <w:r>
        <w:rPr>
          <w:szCs w:val="24"/>
        </w:rPr>
        <w:t>。</w:t>
      </w:r>
    </w:p>
    <w:p>
      <w:pPr>
        <w:pStyle w:val="5"/>
        <w:spacing w:before="93" w:after="93"/>
        <w:ind w:firstLine="560"/>
      </w:pPr>
      <w:r>
        <w:t>八、存在的问题及拟釆取的对策措施</w:t>
      </w:r>
    </w:p>
    <w:p>
      <w:pPr>
        <w:pStyle w:val="7"/>
        <w:ind w:firstLine="480"/>
      </w:pPr>
      <w:r>
        <w:t>1.存在问题</w:t>
      </w:r>
    </w:p>
    <w:p>
      <w:pPr>
        <w:ind w:firstLine="480" w:firstLineChars="200"/>
        <w:rPr>
          <w:szCs w:val="24"/>
        </w:rPr>
      </w:pPr>
      <w:r>
        <w:rPr>
          <w:szCs w:val="24"/>
        </w:rPr>
        <w:t>与办学目标相比较，尚存在明显问题与差距：专业实践课与市场结合相脱节，教学大纲中制定的部分内容不能很好地对教学内容起到导向作用；教学场地严重不足，校内实验室、面积和设施不能满足专业实践教学的要求；缺少经费支持，录音艺术专业需要教师和学生在行业的高端领域进行一些互动，比如专业的讲座、高端的制作软件，以及教师的互访学习。</w:t>
      </w:r>
    </w:p>
    <w:p>
      <w:pPr>
        <w:pStyle w:val="7"/>
        <w:ind w:firstLine="480"/>
      </w:pPr>
      <w:r>
        <w:t>2.整改措施</w:t>
      </w:r>
    </w:p>
    <w:p>
      <w:pPr>
        <w:ind w:firstLine="480" w:firstLineChars="200"/>
        <w:rPr>
          <w:szCs w:val="24"/>
        </w:rPr>
      </w:pPr>
      <w:r>
        <w:rPr>
          <w:szCs w:val="24"/>
        </w:rPr>
        <w:t>（1）大力加强师资队伍建设。近年来，通过派出教师进修学习、制定政策鼓励教师提高学历、引进名校名专业高水平青年教师、外聘专家授课、加大科研奖励机制等措施，努力提高教师水平，保证教学质量，已经取得了显著成效，师资队伍水平有了较大幅度的提高。</w:t>
      </w:r>
    </w:p>
    <w:p>
      <w:pPr>
        <w:ind w:firstLine="480" w:firstLineChars="200"/>
        <w:rPr>
          <w:szCs w:val="24"/>
        </w:rPr>
      </w:pPr>
      <w:r>
        <w:rPr>
          <w:szCs w:val="24"/>
        </w:rPr>
        <w:t>（2）不断优化人才培养方案。多年来，根据市场需求和教育部教育方针的变化，不断调整本专业培养方案，使教学紧跟时代步伐，学以致用，分别在2017年、2018、2019年、2020年四次修订培养方案，针对录音艺术专业特点，突出了实践教学环节。由于培养思路正确，近三年的就业率分别为100%，97%和100%，获得了用人单位的赞赏。</w:t>
      </w:r>
    </w:p>
    <w:p>
      <w:pPr>
        <w:ind w:firstLine="480" w:firstLineChars="200"/>
        <w:rPr>
          <w:szCs w:val="24"/>
        </w:rPr>
      </w:pPr>
      <w:r>
        <w:rPr>
          <w:szCs w:val="24"/>
        </w:rPr>
        <w:t>（3）坚持强化实践教学环节。环境设计专业是以学生实践为主的应用型学科，强调学生的实践能力。根据专业特点，在必修课和选修课等课程体系中，强化了实践课程的教学。同时加强了实践环节的比重，在170个学分中，实践教学有42学分，占了总学分的24.7%。</w:t>
      </w:r>
    </w:p>
    <w:p>
      <w:pPr>
        <w:ind w:firstLine="480" w:firstLineChars="200"/>
        <w:rPr>
          <w:szCs w:val="24"/>
        </w:rPr>
      </w:pPr>
      <w:r>
        <w:rPr>
          <w:szCs w:val="24"/>
        </w:rPr>
        <w:t>（4）继续加大专业教学投入。录音艺术专业是以创作、技术为主的专业，加大投入力度，扩大MIDI音乐室，以满足新的教学需求。</w:t>
      </w:r>
    </w:p>
    <w:p>
      <w:pPr>
        <w:ind w:firstLine="480" w:firstLineChars="200"/>
      </w:pPr>
      <w:r>
        <w:rPr>
          <w:szCs w:val="24"/>
        </w:rPr>
        <w:t>（5）努力培育人才需求市场。一是加强宣传，扩大我校录音艺术专业的知名度，为学生就业创造有利条件，二是练好内功，不断提高教学质量，为学生就业打下良好基础，三是加强联谊，对用人单位和人才市场进行长期走访联络，把握人才需求动向，与用人单位建立长期合作意向，为学生提供更多就业机会。四是寻求支持，向学校和学院定期汇报专业就业情况，介绍本专业的优势和不同，获得学校和学院的帮助，举办各类就业市场，为学生就业保驾护航。</w:t>
      </w:r>
    </w:p>
    <w:p>
      <w:r>
        <w:br w:type="page"/>
      </w:r>
    </w:p>
    <w:p>
      <w:pPr>
        <w:pStyle w:val="4"/>
        <w:ind w:firstLine="600"/>
      </w:pPr>
      <w:bookmarkStart w:id="841" w:name="_Toc29618"/>
      <w:r>
        <w:rPr>
          <w:rFonts w:hint="eastAsia"/>
          <w:lang w:val="en-US"/>
        </w:rPr>
        <w:t>专业八十二：</w:t>
      </w:r>
      <w:r>
        <w:t>视觉传达设计</w:t>
      </w:r>
      <w:bookmarkEnd w:id="841"/>
    </w:p>
    <w:p>
      <w:pPr>
        <w:pStyle w:val="5"/>
        <w:spacing w:before="93" w:after="93"/>
        <w:ind w:firstLine="560"/>
      </w:pPr>
      <w:r>
        <w:t>一、目标与发展预期：</w:t>
      </w:r>
    </w:p>
    <w:p>
      <w:pPr>
        <w:pStyle w:val="6"/>
        <w:ind w:firstLine="480"/>
      </w:pPr>
      <w:r>
        <w:t>1．培养目标：</w:t>
      </w:r>
    </w:p>
    <w:p>
      <w:pPr>
        <w:ind w:firstLine="480" w:firstLineChars="200"/>
        <w:rPr>
          <w:szCs w:val="24"/>
        </w:rPr>
      </w:pPr>
      <w:r>
        <w:rPr>
          <w:szCs w:val="24"/>
        </w:rPr>
        <w:t xml:space="preserve">本专业毕业生经过5年左右的职业历练，将达成以下培养目标： </w:t>
      </w:r>
    </w:p>
    <w:p>
      <w:pPr>
        <w:ind w:firstLine="480" w:firstLineChars="200"/>
        <w:rPr>
          <w:szCs w:val="24"/>
        </w:rPr>
      </w:pPr>
      <w:r>
        <w:rPr>
          <w:szCs w:val="24"/>
        </w:rPr>
        <w:t>培养目标1：有社会责任感。具备国际视野和民族使命感；具备宽厚的专业基础和人文素养，正确认识社会发展规律，认识自己的社会责任，辩证认识个人与社会的和谐关系；具有为实现中华民族伟大复兴而付出努力的理想和信念，能够不断追求更高的人生目标，承担更多的社会责任。</w:t>
      </w:r>
    </w:p>
    <w:p>
      <w:pPr>
        <w:ind w:firstLine="480" w:firstLineChars="200"/>
        <w:rPr>
          <w:szCs w:val="24"/>
        </w:rPr>
      </w:pPr>
      <w:r>
        <w:rPr>
          <w:szCs w:val="24"/>
        </w:rPr>
        <w:t>培养目标2：有创新精神。具有创新创业的意识和精神，具备良好的团队协作和组织协调能力，善于提出新理念、新观点和新方法，能够不断追求更高的人生目标，承担更多的社会责任。</w:t>
      </w:r>
    </w:p>
    <w:p>
      <w:pPr>
        <w:ind w:firstLine="480" w:firstLineChars="200"/>
        <w:rPr>
          <w:szCs w:val="24"/>
        </w:rPr>
      </w:pPr>
      <w:r>
        <w:rPr>
          <w:szCs w:val="24"/>
        </w:rPr>
        <w:t>培养目标3：有专业知识。对视觉传达设计专业有全面的认知，具备一定的思辨能力，对相关领域交叉行业有较深入的了解和研究。具备先进设计思想、独特的创意思维和丰富艺术表现能力，能够在科研院所、企事业单位、文化创意企业等机构中独立从事设计工作。</w:t>
      </w:r>
    </w:p>
    <w:p>
      <w:pPr>
        <w:ind w:firstLine="480" w:firstLineChars="200"/>
        <w:rPr>
          <w:szCs w:val="24"/>
        </w:rPr>
      </w:pPr>
      <w:r>
        <w:rPr>
          <w:szCs w:val="24"/>
        </w:rPr>
        <w:t>培养目标4：有实践能力。了解我国艺术设计领域的方针、政策、法规，能够在设计实践中选择并使用恰当的设计手段和方法，解决复杂的设计问题。</w:t>
      </w:r>
    </w:p>
    <w:p>
      <w:pPr>
        <w:ind w:firstLine="480" w:firstLineChars="200"/>
        <w:rPr>
          <w:szCs w:val="24"/>
        </w:rPr>
      </w:pPr>
      <w:r>
        <w:rPr>
          <w:szCs w:val="24"/>
        </w:rPr>
        <w:t>培养目标5：有健康的身心。具备高尚健全的人格，有为社会服务的理念，拥有自主的、终生的学习习惯能力，能够通过自主学习持续提升自己的综合素质和专业能力，不断适应社会发展。</w:t>
      </w:r>
    </w:p>
    <w:p>
      <w:pPr>
        <w:pStyle w:val="6"/>
        <w:ind w:firstLine="480"/>
      </w:pPr>
      <w:r>
        <w:t>2．专业定位：</w:t>
      </w:r>
    </w:p>
    <w:p>
      <w:pPr>
        <w:ind w:firstLine="480" w:firstLineChars="200"/>
        <w:rPr>
          <w:szCs w:val="24"/>
        </w:rPr>
      </w:pPr>
      <w:r>
        <w:rPr>
          <w:szCs w:val="24"/>
        </w:rPr>
        <w:t>视觉传达设计专业根植于中国传统文化，旨在培养具有强烈的责任意识、广博的文化素质、系统的专业理论知识、并对视觉传达某一专业领域有一定深度的关联知识与计算机应用能力；熟悉国内外专业发展现状、趋势、设计流程和政策法规；具有较强的专业设计能力，自主学习能力、团队协作和组织协调能力、以及较强的创新意识和良好的职业道德，能适应区域性文化事业与文化产业发展需求，一专多能的创新型、应用型专业人才。毕业生经过5年左右的工作实践，能够在科研院所、设计机构、企业策划部门、新闻出版、文化事业单位等部门从事复杂项目的设计、策划、管理和科学研究等工作，达到职业设计师要求。</w:t>
      </w:r>
    </w:p>
    <w:p>
      <w:pPr>
        <w:pStyle w:val="5"/>
        <w:spacing w:before="93" w:after="93"/>
        <w:ind w:firstLine="560"/>
        <w:rPr>
          <w:lang w:val="zh-CN"/>
        </w:rPr>
      </w:pPr>
      <w:r>
        <w:rPr>
          <w:lang w:val="zh-CN"/>
        </w:rPr>
        <w:t>二、培养条件：</w:t>
      </w:r>
    </w:p>
    <w:p>
      <w:pPr>
        <w:ind w:firstLine="480" w:firstLineChars="200"/>
        <w:rPr>
          <w:szCs w:val="24"/>
        </w:rPr>
      </w:pPr>
      <w:r>
        <w:rPr>
          <w:rStyle w:val="35"/>
          <w:sz w:val="24"/>
          <w:szCs w:val="24"/>
        </w:rPr>
        <w:t>1.教学条件：</w:t>
      </w:r>
      <w:r>
        <w:rPr>
          <w:szCs w:val="24"/>
        </w:rPr>
        <w:t>配备拥有多媒体制图教室8个、专业教室和画室15个，专业展厅1个，制图类教学模型、模具1900多套(件)，绘画用静物、石膏像、画架、衬布等2300多件(套)，图板、丁字尺3000多套，固定资产总值近100万元，满足学生绘画和设计专业课程的课堂教学。拟建立摄影实验室和印刷工艺实验室，已配备专业数码相机8台，后期将继续配备数码相机、摄像机、三脚架、航拍机等设备，学生能够进行摄影、印刷工艺、书籍装帧设计等课程的教学和实习工作。</w:t>
      </w:r>
    </w:p>
    <w:p>
      <w:pPr>
        <w:ind w:firstLine="480" w:firstLineChars="200"/>
        <w:rPr>
          <w:szCs w:val="24"/>
        </w:rPr>
      </w:pPr>
      <w:r>
        <w:rPr>
          <w:rStyle w:val="35"/>
          <w:sz w:val="24"/>
          <w:szCs w:val="24"/>
        </w:rPr>
        <w:t>2.实习条件和实习基地建设：</w:t>
      </w:r>
      <w:r>
        <w:rPr>
          <w:szCs w:val="24"/>
        </w:rPr>
        <w:t>本专业已建立黟县宏村镇六六六O写生基地、泰安市徂徕写生基地、无锡阳山写生基地、泰安市大汶口镇旅游开发有限公司、泰安坚果美术、大唐宅配、泰安市电视台等写生和社会实习实践基地，为学生校外实习提供了条件。另外，本专业在大二进行省内专业认识实习，大三进行省外综合调研，开拓学生眼界，提高专业素养和设计水平。</w:t>
      </w:r>
    </w:p>
    <w:p>
      <w:pPr>
        <w:ind w:firstLine="480" w:firstLineChars="200"/>
        <w:rPr>
          <w:szCs w:val="24"/>
        </w:rPr>
      </w:pPr>
      <w:r>
        <w:rPr>
          <w:rStyle w:val="35"/>
          <w:sz w:val="24"/>
          <w:szCs w:val="24"/>
        </w:rPr>
        <w:t>3.教师队伍建设：</w:t>
      </w:r>
      <w:r>
        <w:rPr>
          <w:szCs w:val="24"/>
        </w:rPr>
        <w:t>师资是专业发展和学科建设的根本。视觉传达设计专业一直重视师资队伍建设，逐年批次引进具有高学历的专业教师，本专业现有专任教师22人，其中教授3人，副教授11人，讲师7人，助教1人；高级职称占教师人数的63.6％，梯队结构相对合理；22名教师有18人取得硕士学位，2人取得博士学位，硕士以上教师人数达到了81.8％。以专业学术带头人为领军，以中青年教师为主体，将本专业师资队伍建成教学水平精湛，业务水平过硬，科研水平较强的教学和管理队伍。</w:t>
      </w:r>
    </w:p>
    <w:p>
      <w:pPr>
        <w:pStyle w:val="5"/>
        <w:spacing w:before="93" w:after="93"/>
        <w:ind w:firstLine="560"/>
        <w:rPr>
          <w:lang w:val="zh-CN"/>
        </w:rPr>
      </w:pPr>
      <w:r>
        <w:rPr>
          <w:lang w:val="zh-CN"/>
        </w:rPr>
        <w:t>三、培养能力：</w:t>
      </w:r>
    </w:p>
    <w:p>
      <w:pPr>
        <w:ind w:firstLine="480" w:firstLineChars="200"/>
        <w:rPr>
          <w:szCs w:val="24"/>
        </w:rPr>
      </w:pPr>
      <w:r>
        <w:rPr>
          <w:rFonts w:eastAsia="黑体"/>
          <w:szCs w:val="24"/>
        </w:rPr>
        <w:t>1.专业基本</w:t>
      </w:r>
      <w:r>
        <w:rPr>
          <w:rFonts w:hint="eastAsia" w:ascii="黑体" w:hAnsi="黑体" w:eastAsia="黑体" w:cs="黑体"/>
          <w:szCs w:val="24"/>
        </w:rPr>
        <w:t>情况：</w:t>
      </w:r>
      <w:r>
        <w:rPr>
          <w:szCs w:val="24"/>
        </w:rPr>
        <w:t>本专业的设置重视专业基础的教学，重视创造性思维训练，注意分析能力、判断能力、创新能力和整体设计的把握能力的培养；坚持理论与实践相结合的教学理念，要求学生在与社会的广泛接触、与企业的深入交流中学习鲜活的知识，发现自身优势与不足，成长为能够站在时代前沿、适应激烈的市场竞争，具有巩固的专业基础、理论知识和专业技能、具有创造力的设计师。</w:t>
      </w:r>
    </w:p>
    <w:p>
      <w:pPr>
        <w:ind w:firstLine="480" w:firstLineChars="200"/>
        <w:rPr>
          <w:szCs w:val="24"/>
        </w:rPr>
      </w:pPr>
      <w:r>
        <w:rPr>
          <w:szCs w:val="24"/>
        </w:rPr>
        <w:t>目前在校人数2019级45人，2020级51人，2021级70人，2022级属于大类招生，暂时还未分专业。</w:t>
      </w:r>
    </w:p>
    <w:p>
      <w:pPr>
        <w:ind w:firstLine="422" w:firstLineChars="200"/>
        <w:jc w:val="center"/>
        <w:rPr>
          <w:b/>
          <w:bCs/>
          <w:sz w:val="21"/>
          <w:szCs w:val="21"/>
        </w:rPr>
      </w:pPr>
      <w:r>
        <w:rPr>
          <w:b/>
          <w:bCs/>
          <w:sz w:val="21"/>
          <w:szCs w:val="21"/>
        </w:rPr>
        <w:t>目前视觉传达设计专业在校生人数统计情况</w:t>
      </w:r>
    </w:p>
    <w:tbl>
      <w:tblPr>
        <w:tblStyle w:val="17"/>
        <w:tblW w:w="8569"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713"/>
        <w:gridCol w:w="1714"/>
        <w:gridCol w:w="1714"/>
        <w:gridCol w:w="1714"/>
        <w:gridCol w:w="1714"/>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76" w:hRule="atLeast"/>
          <w:jc w:val="center"/>
        </w:trPr>
        <w:tc>
          <w:tcPr>
            <w:tcW w:w="1713" w:type="dxa"/>
            <w:tcBorders>
              <w:right w:val="single" w:color="auto" w:sz="4" w:space="0"/>
            </w:tcBorders>
          </w:tcPr>
          <w:p>
            <w:pPr>
              <w:ind w:firstLine="422" w:firstLineChars="200"/>
              <w:jc w:val="center"/>
              <w:rPr>
                <w:b/>
                <w:bCs/>
                <w:sz w:val="21"/>
                <w:szCs w:val="21"/>
              </w:rPr>
            </w:pPr>
            <w:r>
              <w:rPr>
                <w:b/>
                <w:bCs/>
                <w:sz w:val="21"/>
                <w:szCs w:val="21"/>
              </w:rPr>
              <w:t>年级</w:t>
            </w:r>
          </w:p>
        </w:tc>
        <w:tc>
          <w:tcPr>
            <w:tcW w:w="1714" w:type="dxa"/>
            <w:tcBorders>
              <w:right w:val="single" w:color="auto" w:sz="4" w:space="0"/>
            </w:tcBorders>
          </w:tcPr>
          <w:p>
            <w:pPr>
              <w:ind w:firstLine="422" w:firstLineChars="200"/>
              <w:jc w:val="center"/>
              <w:rPr>
                <w:b/>
                <w:bCs/>
                <w:sz w:val="21"/>
                <w:szCs w:val="21"/>
              </w:rPr>
            </w:pPr>
            <w:r>
              <w:rPr>
                <w:b/>
                <w:bCs/>
                <w:sz w:val="21"/>
                <w:szCs w:val="21"/>
              </w:rPr>
              <w:t>2019级</w:t>
            </w:r>
          </w:p>
        </w:tc>
        <w:tc>
          <w:tcPr>
            <w:tcW w:w="1714" w:type="dxa"/>
          </w:tcPr>
          <w:p>
            <w:pPr>
              <w:ind w:firstLine="422" w:firstLineChars="200"/>
              <w:jc w:val="center"/>
              <w:rPr>
                <w:b/>
                <w:bCs/>
                <w:sz w:val="21"/>
                <w:szCs w:val="21"/>
              </w:rPr>
            </w:pPr>
            <w:r>
              <w:rPr>
                <w:b/>
                <w:bCs/>
                <w:sz w:val="21"/>
                <w:szCs w:val="21"/>
              </w:rPr>
              <w:t>2020级</w:t>
            </w:r>
          </w:p>
        </w:tc>
        <w:tc>
          <w:tcPr>
            <w:tcW w:w="1714" w:type="dxa"/>
          </w:tcPr>
          <w:p>
            <w:pPr>
              <w:ind w:firstLine="422" w:firstLineChars="200"/>
              <w:jc w:val="center"/>
              <w:rPr>
                <w:b/>
                <w:bCs/>
                <w:sz w:val="21"/>
                <w:szCs w:val="21"/>
              </w:rPr>
            </w:pPr>
            <w:r>
              <w:rPr>
                <w:b/>
                <w:bCs/>
                <w:sz w:val="21"/>
                <w:szCs w:val="21"/>
              </w:rPr>
              <w:t>2021级</w:t>
            </w:r>
          </w:p>
        </w:tc>
        <w:tc>
          <w:tcPr>
            <w:tcW w:w="1714" w:type="dxa"/>
            <w:tcBorders>
              <w:left w:val="single" w:color="auto" w:sz="4" w:space="0"/>
            </w:tcBorders>
          </w:tcPr>
          <w:p>
            <w:pPr>
              <w:ind w:firstLine="422" w:firstLineChars="200"/>
              <w:jc w:val="center"/>
              <w:rPr>
                <w:b/>
                <w:bCs/>
                <w:sz w:val="21"/>
                <w:szCs w:val="21"/>
              </w:rPr>
            </w:pPr>
            <w:r>
              <w:rPr>
                <w:b/>
                <w:bCs/>
                <w:sz w:val="21"/>
                <w:szCs w:val="21"/>
              </w:rPr>
              <w:t>2022级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76" w:hRule="atLeast"/>
          <w:jc w:val="center"/>
        </w:trPr>
        <w:tc>
          <w:tcPr>
            <w:tcW w:w="1713" w:type="dxa"/>
            <w:tcBorders>
              <w:bottom w:val="single" w:color="auto" w:sz="4" w:space="0"/>
              <w:right w:val="single" w:color="auto" w:sz="4" w:space="0"/>
            </w:tcBorders>
            <w:vAlign w:val="center"/>
          </w:tcPr>
          <w:p>
            <w:pPr>
              <w:ind w:firstLine="420" w:firstLineChars="200"/>
              <w:jc w:val="center"/>
              <w:rPr>
                <w:sz w:val="21"/>
                <w:szCs w:val="21"/>
              </w:rPr>
            </w:pPr>
            <w:r>
              <w:rPr>
                <w:sz w:val="21"/>
                <w:szCs w:val="21"/>
              </w:rPr>
              <w:t>招生人数</w:t>
            </w:r>
          </w:p>
        </w:tc>
        <w:tc>
          <w:tcPr>
            <w:tcW w:w="1714" w:type="dxa"/>
            <w:tcBorders>
              <w:bottom w:val="single" w:color="auto" w:sz="4" w:space="0"/>
              <w:right w:val="single" w:color="auto" w:sz="4" w:space="0"/>
            </w:tcBorders>
            <w:vAlign w:val="center"/>
          </w:tcPr>
          <w:p>
            <w:pPr>
              <w:ind w:firstLine="420" w:firstLineChars="200"/>
              <w:jc w:val="center"/>
              <w:rPr>
                <w:sz w:val="21"/>
                <w:szCs w:val="21"/>
              </w:rPr>
            </w:pPr>
            <w:r>
              <w:rPr>
                <w:sz w:val="21"/>
                <w:szCs w:val="21"/>
              </w:rPr>
              <w:t>45人</w:t>
            </w:r>
          </w:p>
        </w:tc>
        <w:tc>
          <w:tcPr>
            <w:tcW w:w="1714" w:type="dxa"/>
            <w:tcBorders>
              <w:bottom w:val="single" w:color="auto" w:sz="4" w:space="0"/>
            </w:tcBorders>
            <w:vAlign w:val="center"/>
          </w:tcPr>
          <w:p>
            <w:pPr>
              <w:ind w:firstLine="420" w:firstLineChars="200"/>
              <w:jc w:val="center"/>
              <w:rPr>
                <w:sz w:val="21"/>
                <w:szCs w:val="21"/>
              </w:rPr>
            </w:pPr>
            <w:r>
              <w:rPr>
                <w:sz w:val="21"/>
                <w:szCs w:val="21"/>
              </w:rPr>
              <w:t>51人</w:t>
            </w:r>
          </w:p>
        </w:tc>
        <w:tc>
          <w:tcPr>
            <w:tcW w:w="1714" w:type="dxa"/>
            <w:tcBorders>
              <w:bottom w:val="single" w:color="auto" w:sz="4" w:space="0"/>
            </w:tcBorders>
            <w:vAlign w:val="center"/>
          </w:tcPr>
          <w:p>
            <w:pPr>
              <w:ind w:firstLine="420" w:firstLineChars="200"/>
              <w:jc w:val="center"/>
              <w:rPr>
                <w:sz w:val="21"/>
                <w:szCs w:val="21"/>
              </w:rPr>
            </w:pPr>
            <w:r>
              <w:rPr>
                <w:sz w:val="21"/>
                <w:szCs w:val="21"/>
              </w:rPr>
              <w:t>70人</w:t>
            </w:r>
          </w:p>
        </w:tc>
        <w:tc>
          <w:tcPr>
            <w:tcW w:w="1714" w:type="dxa"/>
            <w:tcBorders>
              <w:left w:val="single" w:color="auto" w:sz="4" w:space="0"/>
              <w:bottom w:val="single" w:color="auto" w:sz="4" w:space="0"/>
            </w:tcBorders>
            <w:vAlign w:val="center"/>
          </w:tcPr>
          <w:p>
            <w:pPr>
              <w:ind w:firstLine="420" w:firstLineChars="200"/>
              <w:jc w:val="center"/>
              <w:rPr>
                <w:sz w:val="21"/>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76" w:hRule="atLeast"/>
          <w:jc w:val="center"/>
        </w:trPr>
        <w:tc>
          <w:tcPr>
            <w:tcW w:w="1713" w:type="dxa"/>
            <w:tcBorders>
              <w:top w:val="single" w:color="auto" w:sz="4" w:space="0"/>
              <w:right w:val="single" w:color="auto" w:sz="4" w:space="0"/>
            </w:tcBorders>
            <w:vAlign w:val="center"/>
          </w:tcPr>
          <w:p>
            <w:pPr>
              <w:ind w:firstLine="420" w:firstLineChars="200"/>
              <w:jc w:val="center"/>
              <w:rPr>
                <w:sz w:val="21"/>
                <w:szCs w:val="21"/>
              </w:rPr>
            </w:pPr>
            <w:r>
              <w:rPr>
                <w:sz w:val="21"/>
                <w:szCs w:val="21"/>
              </w:rPr>
              <w:t>报到率</w:t>
            </w:r>
          </w:p>
        </w:tc>
        <w:tc>
          <w:tcPr>
            <w:tcW w:w="1714" w:type="dxa"/>
            <w:tcBorders>
              <w:top w:val="single" w:color="auto" w:sz="4" w:space="0"/>
              <w:right w:val="single" w:color="auto" w:sz="4" w:space="0"/>
            </w:tcBorders>
            <w:vAlign w:val="center"/>
          </w:tcPr>
          <w:p>
            <w:pPr>
              <w:ind w:firstLine="420" w:firstLineChars="200"/>
              <w:jc w:val="center"/>
              <w:rPr>
                <w:sz w:val="21"/>
                <w:szCs w:val="21"/>
              </w:rPr>
            </w:pPr>
            <w:r>
              <w:rPr>
                <w:sz w:val="21"/>
                <w:szCs w:val="21"/>
              </w:rPr>
              <w:t>100%</w:t>
            </w:r>
          </w:p>
        </w:tc>
        <w:tc>
          <w:tcPr>
            <w:tcW w:w="1714" w:type="dxa"/>
            <w:tcBorders>
              <w:top w:val="single" w:color="auto" w:sz="4" w:space="0"/>
            </w:tcBorders>
            <w:vAlign w:val="center"/>
          </w:tcPr>
          <w:p>
            <w:pPr>
              <w:ind w:firstLine="420" w:firstLineChars="200"/>
              <w:jc w:val="center"/>
              <w:rPr>
                <w:sz w:val="21"/>
                <w:szCs w:val="21"/>
              </w:rPr>
            </w:pPr>
            <w:r>
              <w:rPr>
                <w:sz w:val="21"/>
                <w:szCs w:val="21"/>
              </w:rPr>
              <w:t>100%</w:t>
            </w:r>
          </w:p>
        </w:tc>
        <w:tc>
          <w:tcPr>
            <w:tcW w:w="1714" w:type="dxa"/>
            <w:tcBorders>
              <w:top w:val="single" w:color="auto" w:sz="4" w:space="0"/>
            </w:tcBorders>
            <w:vAlign w:val="center"/>
          </w:tcPr>
          <w:p>
            <w:pPr>
              <w:ind w:firstLine="420" w:firstLineChars="200"/>
              <w:jc w:val="center"/>
              <w:rPr>
                <w:sz w:val="21"/>
                <w:szCs w:val="21"/>
              </w:rPr>
            </w:pPr>
            <w:r>
              <w:rPr>
                <w:sz w:val="21"/>
                <w:szCs w:val="21"/>
              </w:rPr>
              <w:t>100%</w:t>
            </w:r>
          </w:p>
        </w:tc>
        <w:tc>
          <w:tcPr>
            <w:tcW w:w="1714" w:type="dxa"/>
            <w:tcBorders>
              <w:top w:val="single" w:color="auto" w:sz="4" w:space="0"/>
              <w:left w:val="single" w:color="auto" w:sz="4" w:space="0"/>
            </w:tcBorders>
            <w:vAlign w:val="center"/>
          </w:tcPr>
          <w:p>
            <w:pPr>
              <w:ind w:firstLine="420" w:firstLineChars="200"/>
              <w:jc w:val="center"/>
              <w:rPr>
                <w:sz w:val="21"/>
                <w:szCs w:val="21"/>
              </w:rPr>
            </w:pPr>
          </w:p>
        </w:tc>
      </w:tr>
    </w:tbl>
    <w:p>
      <w:pPr>
        <w:ind w:firstLine="480" w:firstLineChars="200"/>
        <w:rPr>
          <w:szCs w:val="24"/>
        </w:rPr>
      </w:pPr>
      <w:r>
        <w:rPr>
          <w:rFonts w:eastAsia="黑体"/>
          <w:szCs w:val="24"/>
        </w:rPr>
        <w:t>2.课程体系：</w:t>
      </w:r>
      <w:r>
        <w:rPr>
          <w:szCs w:val="24"/>
        </w:rPr>
        <w:t>优化课程建设一直是本专业教学基本建设的重要内容，是专业办学水平的综合反映。2022年结合设计类招生专业特色，经过多次论证，对2022级视觉传达设计专业培养方案进行了调整，制定了切合设计类专业特点的培养目标，对专业基础课进行了调整，其中通识必修课21门，通识选修课4类7学分，学科基础课20门，专业核心课7门，专业方向课(专业交叉课、专业分流课)11门，其中必修课共116.5学分，选修课共23学分，实践教学环节共30.5学分。根据行业动态发展和以提高学生设计水平的前提下，视觉传达设计专业还将聘请校外专家开设相关系列专题讲座。</w:t>
      </w:r>
    </w:p>
    <w:p>
      <w:pPr>
        <w:ind w:firstLine="480" w:firstLineChars="200"/>
        <w:rPr>
          <w:szCs w:val="24"/>
        </w:rPr>
      </w:pPr>
      <w:r>
        <w:rPr>
          <w:rFonts w:eastAsia="黑体"/>
          <w:szCs w:val="24"/>
        </w:rPr>
        <w:t>3.创新创业教育：</w:t>
      </w:r>
      <w:r>
        <w:rPr>
          <w:szCs w:val="24"/>
        </w:rPr>
        <w:t>创新创业教育是以培养具有创业基本素质和开创型个性的人才为目标，不仅仅以培育在校学生的创业意识、创业精神、创新创业能力为主的教育，而是使学生的眼光要面向社会，面向未来，为将来的就业和创业打下一个深厚的基础。视觉传达设计专业创新创业教育始于2017年，是学院遵照</w:t>
      </w:r>
      <w:r>
        <w:rPr>
          <w:rFonts w:hint="eastAsia"/>
          <w:szCs w:val="24"/>
        </w:rPr>
        <w:t>“</w:t>
      </w:r>
      <w:r>
        <w:rPr>
          <w:szCs w:val="24"/>
        </w:rPr>
        <w:t>建设创新型国家</w:t>
      </w:r>
      <w:r>
        <w:rPr>
          <w:rFonts w:hint="eastAsia"/>
          <w:szCs w:val="24"/>
        </w:rPr>
        <w:t>”</w:t>
      </w:r>
      <w:r>
        <w:rPr>
          <w:szCs w:val="24"/>
        </w:rPr>
        <w:t>和</w:t>
      </w:r>
      <w:r>
        <w:rPr>
          <w:rFonts w:hint="eastAsia"/>
          <w:szCs w:val="24"/>
        </w:rPr>
        <w:t>“</w:t>
      </w:r>
      <w:r>
        <w:rPr>
          <w:szCs w:val="24"/>
        </w:rPr>
        <w:t>促进以创业带动就业</w:t>
      </w:r>
      <w:r>
        <w:rPr>
          <w:rFonts w:hint="eastAsia"/>
          <w:szCs w:val="24"/>
        </w:rPr>
        <w:t>”</w:t>
      </w:r>
      <w:r>
        <w:rPr>
          <w:szCs w:val="24"/>
        </w:rPr>
        <w:t>的发展战略，坚持服务地方经济社会发展和建设创新创业型城市发展定位，积极探索创新创业教育的重要举措。在学院行政及党委的领导下，分别建设了</w:t>
      </w:r>
      <w:r>
        <w:rPr>
          <w:rFonts w:hint="eastAsia"/>
          <w:szCs w:val="24"/>
        </w:rPr>
        <w:t>“</w:t>
      </w:r>
      <w:r>
        <w:rPr>
          <w:szCs w:val="24"/>
        </w:rPr>
        <w:t>农大手绘工作室</w:t>
      </w:r>
      <w:r>
        <w:rPr>
          <w:rFonts w:hint="eastAsia"/>
          <w:szCs w:val="24"/>
        </w:rPr>
        <w:t>”</w:t>
      </w:r>
      <w:r>
        <w:rPr>
          <w:szCs w:val="24"/>
        </w:rPr>
        <w:t>、</w:t>
      </w:r>
      <w:r>
        <w:rPr>
          <w:rFonts w:hint="eastAsia"/>
          <w:szCs w:val="24"/>
        </w:rPr>
        <w:t>“</w:t>
      </w:r>
      <w:r>
        <w:rPr>
          <w:szCs w:val="24"/>
        </w:rPr>
        <w:t>雕刻时光</w:t>
      </w:r>
      <w:r>
        <w:rPr>
          <w:rFonts w:hint="eastAsia"/>
          <w:szCs w:val="24"/>
        </w:rPr>
        <w:t>”</w:t>
      </w:r>
      <w:r>
        <w:rPr>
          <w:szCs w:val="24"/>
        </w:rPr>
        <w:t>、</w:t>
      </w:r>
      <w:r>
        <w:rPr>
          <w:rFonts w:hint="eastAsia"/>
          <w:szCs w:val="24"/>
        </w:rPr>
        <w:t>“</w:t>
      </w:r>
      <w:r>
        <w:rPr>
          <w:szCs w:val="24"/>
        </w:rPr>
        <w:t>创想咖啡工作室</w:t>
      </w:r>
      <w:r>
        <w:rPr>
          <w:rFonts w:hint="eastAsia"/>
          <w:szCs w:val="24"/>
        </w:rPr>
        <w:t>”</w:t>
      </w:r>
      <w:r>
        <w:rPr>
          <w:szCs w:val="24"/>
        </w:rPr>
        <w:t>三个创新创业团队。目前，三个创业团队已成为我院首批实现社会创业的大学生创业团队。</w:t>
      </w:r>
    </w:p>
    <w:p>
      <w:pPr>
        <w:pStyle w:val="5"/>
        <w:spacing w:before="93" w:after="93"/>
        <w:ind w:firstLine="560"/>
        <w:rPr>
          <w:lang w:val="zh-CN"/>
        </w:rPr>
      </w:pPr>
      <w:r>
        <w:rPr>
          <w:lang w:val="zh-CN"/>
        </w:rPr>
        <w:t>四、培养机制：</w:t>
      </w:r>
    </w:p>
    <w:p>
      <w:pPr>
        <w:ind w:firstLine="480" w:firstLineChars="200"/>
        <w:jc w:val="left"/>
        <w:rPr>
          <w:szCs w:val="24"/>
        </w:rPr>
      </w:pPr>
      <w:r>
        <w:rPr>
          <w:rFonts w:eastAsia="黑体"/>
          <w:szCs w:val="24"/>
        </w:rPr>
        <w:t>1.产学研协同育人机制：</w:t>
      </w:r>
      <w:r>
        <w:rPr>
          <w:szCs w:val="24"/>
        </w:rPr>
        <w:t>由于视觉传达设计专业性较强，很早就提出了</w:t>
      </w:r>
      <w:r>
        <w:rPr>
          <w:rFonts w:hint="eastAsia"/>
          <w:szCs w:val="24"/>
        </w:rPr>
        <w:t>“</w:t>
      </w:r>
      <w:r>
        <w:rPr>
          <w:szCs w:val="24"/>
        </w:rPr>
        <w:t>校企联动、产学研结合</w:t>
      </w:r>
      <w:r>
        <w:rPr>
          <w:rFonts w:hint="eastAsia"/>
          <w:szCs w:val="24"/>
        </w:rPr>
        <w:t>”</w:t>
      </w:r>
      <w:r>
        <w:rPr>
          <w:szCs w:val="24"/>
        </w:rPr>
        <w:t>的办学思想，突出专业的</w:t>
      </w:r>
      <w:r>
        <w:rPr>
          <w:rFonts w:hint="eastAsia"/>
          <w:szCs w:val="24"/>
        </w:rPr>
        <w:t>“</w:t>
      </w:r>
      <w:r>
        <w:rPr>
          <w:szCs w:val="24"/>
        </w:rPr>
        <w:t>跨界性</w:t>
      </w:r>
      <w:r>
        <w:rPr>
          <w:rFonts w:hint="eastAsia"/>
          <w:szCs w:val="24"/>
        </w:rPr>
        <w:t>”</w:t>
      </w:r>
      <w:r>
        <w:rPr>
          <w:szCs w:val="24"/>
        </w:rPr>
        <w:t>，着力解决育人机制的关键问题，实施协同育人推进策略；在产学研协同育人机制结合方面注重理念创新、理论探索、制度建设、平台构建、文化倡导等方面的综合协调；注重因材施教，把人才培养置于产学研用的各个环节，形成课题驱动、项目任务驱动、创新计划驱动、创业工程驱动、复合专业学习、技能竞赛等多样化实施路径。</w:t>
      </w:r>
    </w:p>
    <w:p>
      <w:pPr>
        <w:ind w:firstLine="480" w:firstLineChars="200"/>
        <w:jc w:val="left"/>
        <w:rPr>
          <w:szCs w:val="24"/>
        </w:rPr>
      </w:pPr>
      <w:r>
        <w:rPr>
          <w:rFonts w:eastAsia="黑体"/>
          <w:szCs w:val="24"/>
        </w:rPr>
        <w:t>2.教学管理：</w:t>
      </w:r>
      <w:r>
        <w:rPr>
          <w:szCs w:val="24"/>
        </w:rPr>
        <w:t>教学管理是视觉传达设计专业教育中的重要内容，为了使教学活动达到学校既定的人才培养目标，保证良好的正常教学秩序进行。以系为单位开展一系列的教学模式探索，包括教学计划管理、教学运行管理、教学质量管理与评价，以及学科、专业、课程、教材、实验室、实践教学基地、学风、教学队伍、教学管理制度等教学基本建设管理，还包括教学研究与教学改革管理。通过制定教学工作计划，加强了教务行政管理工作，明确了教学工作目标，保证了学校教学工作有计划、有步骤、有条不紊地运转，提高了教学质量。</w:t>
      </w:r>
    </w:p>
    <w:p>
      <w:pPr>
        <w:pStyle w:val="5"/>
        <w:spacing w:before="93" w:after="93"/>
        <w:ind w:firstLine="560"/>
        <w:rPr>
          <w:lang w:val="zh-CN"/>
        </w:rPr>
      </w:pPr>
      <w:r>
        <w:rPr>
          <w:lang w:val="zh-CN"/>
        </w:rPr>
        <w:t>五、培养特色：</w:t>
      </w:r>
    </w:p>
    <w:p>
      <w:pPr>
        <w:ind w:firstLine="480" w:firstLineChars="200"/>
        <w:jc w:val="left"/>
        <w:rPr>
          <w:szCs w:val="24"/>
        </w:rPr>
      </w:pPr>
      <w:r>
        <w:rPr>
          <w:szCs w:val="24"/>
        </w:rPr>
        <w:t>视觉传达设计专业以服务</w:t>
      </w:r>
      <w:r>
        <w:rPr>
          <w:rFonts w:hint="eastAsia"/>
          <w:szCs w:val="24"/>
        </w:rPr>
        <w:t>“</w:t>
      </w:r>
      <w:r>
        <w:rPr>
          <w:szCs w:val="24"/>
        </w:rPr>
        <w:t>三农</w:t>
      </w:r>
      <w:r>
        <w:rPr>
          <w:rFonts w:hint="eastAsia"/>
          <w:szCs w:val="24"/>
        </w:rPr>
        <w:t>”</w:t>
      </w:r>
      <w:r>
        <w:rPr>
          <w:szCs w:val="24"/>
        </w:rPr>
        <w:t>服务乡村振兴为培养特色，在传统专业人才培养的基础上结合本校优势，体现我校办学特色。同时，依托农业院校办学优势，抓好课程建设，完善课程体系，更新课程内容，使设计类专业建设沿着</w:t>
      </w:r>
      <w:r>
        <w:rPr>
          <w:rFonts w:hint="eastAsia"/>
          <w:szCs w:val="24"/>
        </w:rPr>
        <w:t>“</w:t>
      </w:r>
      <w:r>
        <w:rPr>
          <w:szCs w:val="24"/>
        </w:rPr>
        <w:t>厚基础、宽口径、学有专长</w:t>
      </w:r>
      <w:r>
        <w:rPr>
          <w:rFonts w:hint="eastAsia"/>
          <w:szCs w:val="24"/>
        </w:rPr>
        <w:t>”</w:t>
      </w:r>
      <w:r>
        <w:rPr>
          <w:szCs w:val="24"/>
        </w:rPr>
        <w:t>的方向迈进，着力打造一批理论基础扎实、实践能力较强、适应面较广的应用型、创新型人才。</w:t>
      </w:r>
    </w:p>
    <w:p>
      <w:pPr>
        <w:pStyle w:val="5"/>
        <w:spacing w:before="93" w:after="93"/>
        <w:ind w:firstLine="560"/>
      </w:pPr>
      <w:r>
        <w:t>六、培养质量</w:t>
      </w:r>
    </w:p>
    <w:p>
      <w:pPr>
        <w:ind w:firstLine="480" w:firstLineChars="200"/>
        <w:jc w:val="left"/>
        <w:rPr>
          <w:rFonts w:eastAsia="黑体"/>
          <w:sz w:val="32"/>
          <w:szCs w:val="32"/>
        </w:rPr>
      </w:pPr>
      <w:r>
        <w:rPr>
          <w:rFonts w:eastAsia="黑体"/>
          <w:szCs w:val="24"/>
        </w:rPr>
        <w:t>1.毕业生就业率：</w:t>
      </w:r>
      <w:r>
        <w:rPr>
          <w:szCs w:val="24"/>
        </w:rPr>
        <w:t>视觉传达设计自2017年开始招生，就业情况良好。2022届考取研究生5人，升学学校为山东师范大学、聊城大学、青岛科技大学、西安工程大学、广西科技大学；协议就业4人，灵活就业5人，签订用人单位劳动合同12人，毕业生就业率75%。</w:t>
      </w:r>
    </w:p>
    <w:p>
      <w:pPr>
        <w:ind w:firstLine="480" w:firstLineChars="200"/>
        <w:jc w:val="left"/>
        <w:rPr>
          <w:szCs w:val="24"/>
        </w:rPr>
      </w:pPr>
      <w:r>
        <w:rPr>
          <w:rFonts w:eastAsia="黑体"/>
          <w:szCs w:val="24"/>
        </w:rPr>
        <w:t>2.就业专业对口率：</w:t>
      </w:r>
      <w:r>
        <w:rPr>
          <w:szCs w:val="24"/>
        </w:rPr>
        <w:t>根据近几年的就业市场来看，该专业社会需求旺盛，提供职位数每年都会达到应届毕业生人数的2倍以上，就业形势非常乐观，但今年由于疫情影响，很多用人单位不能进校进行招聘。毕业生从第七学期开始就可以提前进入实习状态，在用人单位专业人员的指导下，专业能力得到了提高，有些专业设计公司长期与我系保持联系，每年定向从毕业生中招聘设计人员。</w:t>
      </w:r>
    </w:p>
    <w:p>
      <w:pPr>
        <w:ind w:firstLine="480" w:firstLineChars="200"/>
        <w:rPr>
          <w:szCs w:val="24"/>
        </w:rPr>
      </w:pPr>
      <w:r>
        <w:rPr>
          <w:rFonts w:eastAsia="黑体"/>
          <w:szCs w:val="24"/>
        </w:rPr>
        <w:t>3.毕业生发展情况：</w:t>
      </w:r>
      <w:r>
        <w:rPr>
          <w:szCs w:val="24"/>
        </w:rPr>
        <w:t>截至2021年11月底，2022届的毕业生大多分布在省内各大设计公司或者自主创业，另外，还有一小部分学生正在积极备二战考研。</w:t>
      </w:r>
    </w:p>
    <w:p>
      <w:pPr>
        <w:ind w:firstLine="480" w:firstLineChars="200"/>
        <w:rPr>
          <w:szCs w:val="24"/>
        </w:rPr>
      </w:pPr>
      <w:r>
        <w:rPr>
          <w:rFonts w:eastAsia="黑体"/>
          <w:szCs w:val="24"/>
        </w:rPr>
        <w:t>4.就业单位满意率：</w:t>
      </w:r>
      <w:r>
        <w:rPr>
          <w:szCs w:val="24"/>
        </w:rPr>
        <w:t>从2021届毕业生就业单位情况看，目前用人单位普遍反映我系毕业生专业知识扎实，综合素质较高，肯吃苦，对视觉传达设计学生的认知度较高。希望有些单位在聘用我系毕业生之后能成为合作单位。</w:t>
      </w:r>
    </w:p>
    <w:p>
      <w:pPr>
        <w:ind w:firstLine="480" w:firstLineChars="200"/>
        <w:rPr>
          <w:szCs w:val="24"/>
        </w:rPr>
      </w:pPr>
      <w:r>
        <w:rPr>
          <w:rFonts w:eastAsia="黑体"/>
          <w:szCs w:val="24"/>
        </w:rPr>
        <w:t>5.社会对专业的评价：</w:t>
      </w:r>
      <w:r>
        <w:rPr>
          <w:szCs w:val="24"/>
        </w:rPr>
        <w:t>本专业毕业生在社会领域普遍发展良好，因2021届毕业生是我专业第一批毕业生，进入社会时间较短，社会评价还需时间进行检验，但我们相信，我们的学生一定会在各自的岗位上脚踏实地的工作，为山东农业大学视觉传达设计赢得社会效益。</w:t>
      </w:r>
    </w:p>
    <w:p>
      <w:pPr>
        <w:ind w:firstLine="480" w:firstLineChars="200"/>
        <w:rPr>
          <w:szCs w:val="24"/>
        </w:rPr>
      </w:pPr>
      <w:r>
        <w:rPr>
          <w:rFonts w:eastAsia="黑体"/>
          <w:szCs w:val="24"/>
        </w:rPr>
        <w:t>6.学生就读该专业的意愿：</w:t>
      </w:r>
      <w:r>
        <w:rPr>
          <w:szCs w:val="24"/>
        </w:rPr>
        <w:t>视觉传达设计专业2017年开始招生，2018级40人，报到率100%，2019年开始大类招生，学生从大二开始选择专业，视觉传达2019、2020、2021级学生分别为45、51和70人，呈逐年递增趋势，能看出视觉传达设计正成为新兴热门专业，越来越得到学生的认可和选择。</w:t>
      </w:r>
    </w:p>
    <w:p>
      <w:pPr>
        <w:pStyle w:val="5"/>
        <w:spacing w:before="93" w:after="93"/>
        <w:ind w:firstLine="560"/>
      </w:pPr>
      <w:r>
        <w:rPr>
          <w:rFonts w:hint="eastAsia"/>
        </w:rPr>
        <w:t>七</w:t>
      </w:r>
      <w:r>
        <w:t>、毕业生就业创业</w:t>
      </w:r>
    </w:p>
    <w:p>
      <w:pPr>
        <w:ind w:firstLine="480" w:firstLineChars="200"/>
        <w:rPr>
          <w:szCs w:val="24"/>
        </w:rPr>
      </w:pPr>
      <w:r>
        <w:rPr>
          <w:rFonts w:eastAsia="黑体"/>
          <w:szCs w:val="24"/>
          <w:lang w:val="zh-CN"/>
        </w:rPr>
        <w:t>1.</w:t>
      </w:r>
      <w:r>
        <w:rPr>
          <w:rFonts w:eastAsia="黑体"/>
          <w:szCs w:val="24"/>
        </w:rPr>
        <w:t>创业典型案例：</w:t>
      </w:r>
      <w:r>
        <w:rPr>
          <w:szCs w:val="24"/>
        </w:rPr>
        <w:t>每年视觉传达设计的毕业生都有自主创业的典型案例，2022届毕业生卫亭，是18级视觉传达设计2班的班长，大学期间学习认真扎实，大四进入行业知名企业</w:t>
      </w:r>
      <w:r>
        <w:rPr>
          <w:rFonts w:hint="eastAsia"/>
          <w:szCs w:val="24"/>
        </w:rPr>
        <w:t>“</w:t>
      </w:r>
      <w:r>
        <w:rPr>
          <w:szCs w:val="24"/>
        </w:rPr>
        <w:t>字节跳动</w:t>
      </w:r>
      <w:r>
        <w:rPr>
          <w:rFonts w:hint="eastAsia"/>
          <w:szCs w:val="24"/>
        </w:rPr>
        <w:t>”</w:t>
      </w:r>
      <w:r>
        <w:rPr>
          <w:szCs w:val="24"/>
        </w:rPr>
        <w:t>进行实习，在大四毕业前夕就已经在老家曹县注册</w:t>
      </w:r>
      <w:r>
        <w:rPr>
          <w:rFonts w:hint="eastAsia"/>
          <w:szCs w:val="24"/>
        </w:rPr>
        <w:t>“</w:t>
      </w:r>
      <w:r>
        <w:rPr>
          <w:szCs w:val="24"/>
        </w:rPr>
        <w:t>小沐秋风</w:t>
      </w:r>
      <w:r>
        <w:rPr>
          <w:rFonts w:hint="eastAsia"/>
          <w:szCs w:val="24"/>
        </w:rPr>
        <w:t>”</w:t>
      </w:r>
      <w:r>
        <w:rPr>
          <w:szCs w:val="24"/>
        </w:rPr>
        <w:t>民族服装生产销售公司，全面负责公司运营和企业形象策划，目前经营情况良好，是为专业学生创新创业的典范。</w:t>
      </w:r>
    </w:p>
    <w:p>
      <w:pPr>
        <w:ind w:firstLine="480" w:firstLineChars="200"/>
        <w:jc w:val="left"/>
        <w:rPr>
          <w:rFonts w:eastAsia="黑体"/>
          <w:szCs w:val="24"/>
        </w:rPr>
      </w:pPr>
      <w:r>
        <w:rPr>
          <w:rFonts w:eastAsia="黑体"/>
          <w:szCs w:val="24"/>
        </w:rPr>
        <w:t>2.就业措施：</w:t>
      </w:r>
    </w:p>
    <w:p>
      <w:pPr>
        <w:ind w:firstLine="480" w:firstLineChars="200"/>
        <w:jc w:val="left"/>
        <w:rPr>
          <w:szCs w:val="24"/>
        </w:rPr>
      </w:pPr>
      <w:r>
        <w:rPr>
          <w:szCs w:val="24"/>
        </w:rPr>
        <w:t>（1）</w:t>
      </w:r>
      <w:r>
        <w:rPr>
          <w:b/>
          <w:bCs/>
          <w:szCs w:val="24"/>
        </w:rPr>
        <w:t>教师分工协作，协同参与。</w:t>
      </w:r>
      <w:r>
        <w:rPr>
          <w:szCs w:val="24"/>
        </w:rPr>
        <w:t>成立由系主任、专业主任任组长，毕业设计指导教师、毕业班班主任共同参与组成的毕业生就业工作小组。指导教师除指导学生毕业设计外，同时协助指导学生就业工作。</w:t>
      </w:r>
    </w:p>
    <w:p>
      <w:pPr>
        <w:ind w:firstLine="480" w:firstLineChars="200"/>
        <w:jc w:val="left"/>
        <w:rPr>
          <w:szCs w:val="24"/>
        </w:rPr>
      </w:pPr>
      <w:r>
        <w:rPr>
          <w:szCs w:val="24"/>
        </w:rPr>
        <w:t>（2）</w:t>
      </w:r>
      <w:r>
        <w:rPr>
          <w:b/>
          <w:bCs/>
          <w:szCs w:val="24"/>
        </w:rPr>
        <w:t>发挥专业教师的主观能动性，加强与用人单位之间的合作关系。</w:t>
      </w:r>
      <w:r>
        <w:rPr>
          <w:szCs w:val="24"/>
        </w:rPr>
        <w:t>主动向合作企业推荐学生，形成全系教师关心就业、支持就业、参与就业、推动就业工作</w:t>
      </w:r>
      <w:r>
        <w:rPr>
          <w:rFonts w:hint="eastAsia"/>
          <w:szCs w:val="24"/>
        </w:rPr>
        <w:t>“</w:t>
      </w:r>
      <w:r>
        <w:rPr>
          <w:szCs w:val="24"/>
        </w:rPr>
        <w:t>全员化</w:t>
      </w:r>
      <w:r>
        <w:rPr>
          <w:rFonts w:hint="eastAsia"/>
          <w:szCs w:val="24"/>
        </w:rPr>
        <w:t>”</w:t>
      </w:r>
      <w:r>
        <w:rPr>
          <w:szCs w:val="24"/>
        </w:rPr>
        <w:t>格局。系部有关负责人利用寒假广泛联络走访各地校友及就业同行，向校友、用人企业介绍毕业生信息，邀请企业来学院参加专场招聘会，巩固和扩大就业市场。</w:t>
      </w:r>
    </w:p>
    <w:p>
      <w:pPr>
        <w:ind w:firstLine="480" w:firstLineChars="200"/>
        <w:jc w:val="left"/>
        <w:rPr>
          <w:szCs w:val="24"/>
        </w:rPr>
      </w:pPr>
      <w:r>
        <w:rPr>
          <w:szCs w:val="24"/>
        </w:rPr>
        <w:t>（3）</w:t>
      </w:r>
      <w:r>
        <w:rPr>
          <w:b/>
          <w:bCs/>
          <w:szCs w:val="24"/>
        </w:rPr>
        <w:t>搭建平台、拓宽渠道，增进与企业之间的合作沟通。</w:t>
      </w:r>
      <w:r>
        <w:rPr>
          <w:szCs w:val="24"/>
        </w:rPr>
        <w:t>邀请合作企业来校参加招聘、宣讲，为毕业生提供就业岗位和机会；通过走访用人单位、校友，了解用人单位用人需求，有针对性的对学生就业进行推介和指导；充分发挥实习基地的引领作用，起草与实习基地长期合作的意向书。</w:t>
      </w:r>
    </w:p>
    <w:p>
      <w:pPr>
        <w:ind w:firstLine="480" w:firstLineChars="200"/>
        <w:jc w:val="left"/>
        <w:rPr>
          <w:szCs w:val="24"/>
        </w:rPr>
      </w:pPr>
      <w:r>
        <w:rPr>
          <w:szCs w:val="24"/>
        </w:rPr>
        <w:t>（4）</w:t>
      </w:r>
      <w:r>
        <w:rPr>
          <w:b/>
          <w:bCs/>
          <w:szCs w:val="24"/>
        </w:rPr>
        <w:t>转变思想观念，培养学生创新创业意识。</w:t>
      </w:r>
      <w:r>
        <w:rPr>
          <w:szCs w:val="24"/>
        </w:rPr>
        <w:t>端正学生的创业态度，以创业教育带动整体就业走向；鼓励学生在专业学习、课题研究中激发创新创业想法，将课堂所学知识技能应用于创业思考；将创业孵化项目和课题转化为学生的创业实践，引导学生利用自己的专业特长实现创业；邀请成功创业导师、校友、企业人士来校宣讲，与有创业意愿的学生交流创业经验，培养学生的创业精神。</w:t>
      </w:r>
    </w:p>
    <w:p>
      <w:pPr>
        <w:pStyle w:val="5"/>
        <w:spacing w:before="93" w:after="93"/>
        <w:ind w:firstLine="560"/>
      </w:pPr>
      <w:r>
        <w:rPr>
          <w:rFonts w:hint="eastAsia"/>
        </w:rPr>
        <w:t>八</w:t>
      </w:r>
      <w:r>
        <w:t>、专业人才社会需求分析及专业发展趋势分析</w:t>
      </w:r>
    </w:p>
    <w:p>
      <w:pPr>
        <w:ind w:firstLine="482" w:firstLineChars="200"/>
        <w:jc w:val="left"/>
        <w:rPr>
          <w:b/>
          <w:bCs/>
          <w:szCs w:val="24"/>
        </w:rPr>
      </w:pPr>
      <w:r>
        <w:rPr>
          <w:b/>
          <w:bCs/>
          <w:szCs w:val="24"/>
        </w:rPr>
        <w:t>1. 专业人才社会需求分析</w:t>
      </w:r>
    </w:p>
    <w:p>
      <w:pPr>
        <w:ind w:firstLine="480" w:firstLineChars="200"/>
        <w:jc w:val="left"/>
        <w:rPr>
          <w:szCs w:val="24"/>
        </w:rPr>
      </w:pPr>
      <w:r>
        <w:rPr>
          <w:szCs w:val="24"/>
        </w:rPr>
        <w:t>2021年因受到疫情影响，仅有几家企业现场参加了专场招聘会，总共提供就业岗位70余个。因为我们是第二届视觉传达设计毕业生，很多就业单位还没有得到毕业生信息，即便在此情况下依然能看出毕业生需求量较大。总体来说，就业市场需求量大于毕业生人数，就业情况呈总体上升趋势。</w:t>
      </w:r>
    </w:p>
    <w:p>
      <w:pPr>
        <w:ind w:firstLine="480" w:firstLineChars="200"/>
        <w:jc w:val="left"/>
        <w:rPr>
          <w:szCs w:val="24"/>
        </w:rPr>
      </w:pPr>
      <w:r>
        <w:rPr>
          <w:szCs w:val="24"/>
        </w:rPr>
        <w:t>毕业生的主要就业渠道有学校学院提供的就业信息、校园招聘会、教师推荐、专业求职网站、校外就业市场和家庭社会关系等。大部分学生的就业岗位来自校园招聘会和网络招聘，有些学生不仅参加本校校园招聘会，还积极参加其他学校举办的校园招聘会。此外，家长、学长以及同学的意见在毕业生就业选择上也是一个很大的影响因素，部分毕业生通过家长与社会关系介绍在当地企业就业。</w:t>
      </w:r>
    </w:p>
    <w:p>
      <w:pPr>
        <w:ind w:firstLine="482" w:firstLineChars="200"/>
        <w:jc w:val="left"/>
        <w:rPr>
          <w:b/>
          <w:bCs/>
          <w:szCs w:val="24"/>
        </w:rPr>
      </w:pPr>
      <w:r>
        <w:rPr>
          <w:b/>
          <w:bCs/>
          <w:szCs w:val="24"/>
        </w:rPr>
        <w:t>2. 专业发展趋势分析</w:t>
      </w:r>
    </w:p>
    <w:p>
      <w:pPr>
        <w:ind w:firstLine="480" w:firstLineChars="200"/>
        <w:jc w:val="left"/>
        <w:rPr>
          <w:szCs w:val="24"/>
        </w:rPr>
      </w:pPr>
      <w:r>
        <w:rPr>
          <w:szCs w:val="24"/>
        </w:rPr>
        <w:t>目前，视觉传达设计专业处于良好的发展态势。随着人们经济收入的增长和审美的加强，人们的消费观念也在不断地发生变化，视觉传达设计的全过程也就围绕着人的生活需求这个主题进行，吃穿用住，无一能离得开视觉传达设计。由于市场需求大，视觉传达设计师在市场较为走俏，网络的覆盖，给了视觉传达设计更大的发展空间，网易、快手、等平台每年都有我们的学生实习，人民日报国际版连续登载视觉传达设计专业毕业生以插画形式制作的头条新闻插画，自由插画师也成为了热门的新兴行业，文创产品设计更是当今的热门行业，另外传统的视觉传达行业也不甘示弱，平面广告设计、包装产品设计、书籍、印刷、VI形象设计也仍旧存在巨大的用人缺口。</w:t>
      </w:r>
    </w:p>
    <w:p>
      <w:pPr>
        <w:pStyle w:val="5"/>
        <w:spacing w:before="93" w:after="93"/>
        <w:ind w:firstLine="560"/>
      </w:pPr>
      <w:r>
        <w:rPr>
          <w:rFonts w:hint="eastAsia"/>
        </w:rPr>
        <w:t>九</w:t>
      </w:r>
      <w:r>
        <w:t>、存在的问题及拟釆取的对策措施</w:t>
      </w:r>
    </w:p>
    <w:p>
      <w:pPr>
        <w:pStyle w:val="6"/>
        <w:ind w:firstLine="480"/>
      </w:pPr>
      <w:r>
        <w:t>1.存在问题</w:t>
      </w:r>
    </w:p>
    <w:p>
      <w:pPr>
        <w:pStyle w:val="6"/>
        <w:ind w:firstLine="480"/>
        <w:rPr>
          <w:rFonts w:eastAsia="宋体"/>
          <w:kern w:val="2"/>
          <w:szCs w:val="24"/>
        </w:rPr>
      </w:pPr>
      <w:r>
        <w:rPr>
          <w:rFonts w:eastAsia="宋体"/>
          <w:kern w:val="2"/>
          <w:szCs w:val="24"/>
        </w:rPr>
        <w:t>与办学目标相比较，尚存在明显问题与差距：专业实践课与市场结合相脱节，教学大纲中制定的部分内容不能很好地对教学内容起到导向作用；师资力量还有待加强，缺乏高学历的专业青年教师，在师资结构和数量上仍不能满足教学和发展的需要；教学场地严重不足，实验室、面积和设施不能满足专业实践教学的要求；严重缺少经费支持，设计专业需要教师和学生在行业的高端领域进行一些互动，比如行业学术会议、专业的讲座、高端的展览，以及与其他高校教师的互访学习。</w:t>
      </w:r>
    </w:p>
    <w:p>
      <w:pPr>
        <w:pStyle w:val="6"/>
        <w:ind w:firstLine="480"/>
      </w:pPr>
      <w:r>
        <w:t>2.整改措施</w:t>
      </w:r>
    </w:p>
    <w:p>
      <w:pPr>
        <w:ind w:firstLine="480" w:firstLineChars="200"/>
        <w:rPr>
          <w:szCs w:val="24"/>
        </w:rPr>
      </w:pPr>
      <w:r>
        <w:rPr>
          <w:szCs w:val="24"/>
        </w:rPr>
        <w:t>（1）大力加强师资队伍建设，继续引进设计专业教师。近年来，通过派出教师进修学习、制定政策鼓励教师提高学历、引进名校名专业高水平青年教师、外聘专家授课、加大科研奖励机制等措施，努力提高教师水平，保证教学质量，已经取得了显著成效，师资队伍水平有了较大幅度的提高。根据现在的师生比例，还需继续引进设计专业教师，尤其是高水平高质量的博士人才紧缺。</w:t>
      </w:r>
    </w:p>
    <w:p>
      <w:pPr>
        <w:ind w:firstLine="480" w:firstLineChars="200"/>
        <w:rPr>
          <w:szCs w:val="24"/>
        </w:rPr>
      </w:pPr>
      <w:r>
        <w:rPr>
          <w:szCs w:val="24"/>
        </w:rPr>
        <w:t>（2）不断优化人才培养方案。2017年成立本专业，至今已有4年的历史。四年来，根据市场需求和教育部教育方针的变化，不断调整本专业培养方案，使教学紧跟时代步伐，学以致用，2022年刚刚进行了人才培养方案的修订工作，针对视觉传达设计专业特点，对比分专业课和实践课作出了调整。</w:t>
      </w:r>
    </w:p>
    <w:p>
      <w:pPr>
        <w:ind w:firstLine="480" w:firstLineChars="200"/>
        <w:rPr>
          <w:szCs w:val="24"/>
        </w:rPr>
      </w:pPr>
      <w:r>
        <w:rPr>
          <w:szCs w:val="24"/>
        </w:rPr>
        <w:t>（3）坚持强化实践教学环节。视觉传达设计专业是以学生实践为主的应用型学科，强调学生的实践能力。根据专业特点，在必修课和选修课等课程体系中，强化了实践课程的教学。同时加强了实践环节的比重，在170个学分中，实践教学有30.5了总学分的21%</w:t>
      </w:r>
    </w:p>
    <w:p>
      <w:pPr>
        <w:ind w:firstLine="480" w:firstLineChars="200"/>
        <w:rPr>
          <w:szCs w:val="24"/>
        </w:rPr>
      </w:pPr>
      <w:r>
        <w:rPr>
          <w:szCs w:val="24"/>
        </w:rPr>
        <w:t>（4）继续加大专业教学投入。视觉传达设计专业是以设计、应用为主的专业，多年来，学校对专业建设十分重视，分别建设了制图室、画室和多媒体教室，学校专门成立了制图绘画教学中心，拥有画室和制图室2700m</w:t>
      </w:r>
      <w:r>
        <w:rPr>
          <w:szCs w:val="24"/>
          <w:vertAlign w:val="superscript"/>
        </w:rPr>
        <w:t>2</w:t>
      </w:r>
      <w:r>
        <w:rPr>
          <w:szCs w:val="24"/>
        </w:rPr>
        <w:t>，各类教学设备累计投入84万元，写生和教师学术交流费用12万元，形成了较为完备的教学条件，今后还将加大投入力度，建设摄影实验室、印刷工艺等实验室，以满足教学需求。</w:t>
      </w:r>
    </w:p>
    <w:p>
      <w:pPr>
        <w:ind w:firstLine="480" w:firstLineChars="200"/>
        <w:rPr>
          <w:szCs w:val="24"/>
        </w:rPr>
      </w:pPr>
      <w:r>
        <w:rPr>
          <w:szCs w:val="24"/>
        </w:rPr>
        <w:t>（5）努力培育人才需求市场。一是加强宣传，扩大我校视觉传达设计专业的知名度，为学生就业创造有利条件，二是练好内功，不断提高教学质量，为学生就业打下良好基础，三是加强联谊，对用人单位和人才市场进行长期走访联络，把握人才需求动向，与用人单位建立长期合作意向，为学生提供更多就业机会。四是寻求支持，向学校和学院定期汇报专业就业情况，介绍本专业的优势和不同，获得学校和学院的帮助，举办各类就业市场，为学生就业保驾护航。</w:t>
      </w:r>
    </w:p>
    <w:p>
      <w:pPr>
        <w:ind w:firstLine="480" w:firstLineChars="200"/>
      </w:pPr>
      <w:r>
        <w:br w:type="page"/>
      </w:r>
    </w:p>
    <w:p>
      <w:pPr>
        <w:pStyle w:val="4"/>
        <w:ind w:firstLine="600"/>
      </w:pPr>
      <w:bookmarkStart w:id="842" w:name="_Toc22631"/>
      <w:r>
        <w:rPr>
          <w:rFonts w:hint="eastAsia"/>
          <w:lang w:val="en-US"/>
        </w:rPr>
        <w:t>专业八十三：</w:t>
      </w:r>
      <w:r>
        <w:t>环境设计</w:t>
      </w:r>
      <w:r>
        <w:rPr>
          <w:rFonts w:hint="eastAsia"/>
        </w:rPr>
        <w:t>（</w:t>
      </w:r>
      <w:r>
        <w:rPr>
          <w:rFonts w:hint="eastAsia"/>
          <w:lang w:val="en-US"/>
        </w:rPr>
        <w:t>景观设计方向</w:t>
      </w:r>
      <w:r>
        <w:rPr>
          <w:rFonts w:hint="eastAsia"/>
        </w:rPr>
        <w:t>）</w:t>
      </w:r>
      <w:bookmarkEnd w:id="842"/>
    </w:p>
    <w:p>
      <w:pPr>
        <w:pStyle w:val="5"/>
        <w:spacing w:before="93" w:after="93"/>
        <w:ind w:firstLine="560"/>
      </w:pPr>
      <w:r>
        <w:rPr>
          <w:rFonts w:hint="eastAsia"/>
        </w:rPr>
        <w:t>一、培养目标与规格</w:t>
      </w:r>
    </w:p>
    <w:p>
      <w:pPr>
        <w:ind w:firstLine="480" w:firstLineChars="200"/>
        <w:rPr>
          <w:szCs w:val="24"/>
        </w:rPr>
      </w:pPr>
      <w:r>
        <w:rPr>
          <w:rFonts w:hint="eastAsia"/>
          <w:szCs w:val="24"/>
        </w:rPr>
        <w:t>培养目标：</w:t>
      </w:r>
      <w:r>
        <w:rPr>
          <w:rFonts w:hint="eastAsia" w:ascii="宋体" w:hAnsi="宋体" w:cs="宋体"/>
          <w:szCs w:val="24"/>
        </w:rPr>
        <w:t>本专业培养德、智、体、美全面发展，具有扎实的环境艺术设计基础理论知识、专业设计能力和熟练的计算机应用能力；熟悉国内外发展现状、趋势和专业技术规范；具有前瞻性的科学思维、较强的实践动手能力、专业应用能力、自主学习能力、团队协作和组织协调能力以及较强的创新意识和良好的职业道德；能从事环境艺术设计、规划、施工、策划及管理等方面工作的应用型创新型高级专门人才。</w:t>
      </w:r>
    </w:p>
    <w:p>
      <w:pPr>
        <w:ind w:firstLine="480" w:firstLineChars="200"/>
        <w:rPr>
          <w:szCs w:val="24"/>
        </w:rPr>
      </w:pPr>
      <w:r>
        <w:rPr>
          <w:rFonts w:hint="eastAsia"/>
          <w:szCs w:val="24"/>
        </w:rPr>
        <w:t>培养规格：培养具有景观、园林绿地设计和施工等方面知识和技能，能在环境设计教育、城市规划、园林、建筑部门、景观设计和工程企业以及大专院校和科研院所从事风景区、森林公园、城镇各类园林绿地的景观艺术设计、施工、教学、管理及科研等方面工作的应用型复合型高级专门人才。</w:t>
      </w:r>
    </w:p>
    <w:p>
      <w:pPr>
        <w:pStyle w:val="5"/>
        <w:spacing w:before="93" w:after="93"/>
        <w:ind w:firstLine="560"/>
      </w:pPr>
      <w:bookmarkStart w:id="843" w:name="_Toc18900"/>
      <w:r>
        <w:rPr>
          <w:rFonts w:hint="eastAsia"/>
        </w:rPr>
        <w:t>二、培养能力</w:t>
      </w:r>
      <w:bookmarkEnd w:id="843"/>
    </w:p>
    <w:p>
      <w:pPr>
        <w:pStyle w:val="6"/>
        <w:ind w:firstLine="480"/>
      </w:pPr>
      <w:r>
        <w:rPr>
          <w:rFonts w:hint="eastAsia"/>
        </w:rPr>
        <w:t>1.专业基本情况</w:t>
      </w:r>
    </w:p>
    <w:p>
      <w:pPr>
        <w:ind w:firstLine="480" w:firstLineChars="200"/>
      </w:pPr>
      <w:r>
        <w:rPr>
          <w:rFonts w:hint="eastAsia"/>
        </w:rPr>
        <w:t>本专业属于艺术学科门类设计学类专业，2004年依托园林专业招收艺术生（园林景观设计方向），2008年更名为艺术设计（景观设计），2013年更名为环境设计（景观设计），2</w:t>
      </w:r>
      <w:r>
        <w:t>018</w:t>
      </w:r>
      <w:r>
        <w:rPr>
          <w:rFonts w:hint="eastAsia"/>
        </w:rPr>
        <w:t>年，学校学科调整，将环境设计（景观设计）并入艺术学院。</w:t>
      </w:r>
    </w:p>
    <w:p>
      <w:pPr>
        <w:ind w:firstLine="480" w:firstLineChars="200"/>
        <w:rPr>
          <w:szCs w:val="24"/>
        </w:rPr>
      </w:pPr>
      <w:r>
        <w:rPr>
          <w:rFonts w:hint="eastAsia"/>
          <w:szCs w:val="24"/>
        </w:rPr>
        <w:t>本专业重视专业基础的教学，重视创造性思维训练，注意分析能力、判断能力、创新能力和整体设计的把握能力的培养；坚持理论与实践相结合的教学理念，要求学生在与社会的广泛接触、与企业的深入交流中学习鲜活的知识，发现自身优势与不足，成长为能够站在时代前沿、适应激烈的市场竞争，具有巩固的专业基础、理论知识和专业技能、具有创造力的设计师。</w:t>
      </w:r>
    </w:p>
    <w:p>
      <w:pPr>
        <w:ind w:firstLine="480" w:firstLineChars="200"/>
        <w:rPr>
          <w:rFonts w:ascii="宋体" w:hAnsi="宋体"/>
          <w:szCs w:val="24"/>
        </w:rPr>
      </w:pPr>
      <w:r>
        <w:rPr>
          <w:rFonts w:hint="eastAsia" w:ascii="宋体" w:hAnsi="宋体"/>
          <w:szCs w:val="24"/>
        </w:rPr>
        <w:t>目前</w:t>
      </w:r>
      <w:r>
        <w:rPr>
          <w:rFonts w:hint="default" w:ascii="Times New Roman" w:hAnsi="Times New Roman" w:cs="Times New Roman"/>
          <w:szCs w:val="24"/>
        </w:rPr>
        <w:t>2019级50人、2020级55人，2021级42人，2022级属</w:t>
      </w:r>
      <w:r>
        <w:rPr>
          <w:rFonts w:hint="eastAsia" w:ascii="宋体" w:hAnsi="宋体"/>
          <w:szCs w:val="24"/>
        </w:rPr>
        <w:t>于大类招生，暂时还没分专业。</w:t>
      </w:r>
    </w:p>
    <w:p>
      <w:pPr>
        <w:pStyle w:val="6"/>
        <w:ind w:firstLine="480"/>
      </w:pPr>
      <w:r>
        <w:rPr>
          <w:rFonts w:hint="eastAsia"/>
        </w:rPr>
        <w:t>2.在校生规模</w:t>
      </w:r>
    </w:p>
    <w:p>
      <w:pPr>
        <w:ind w:firstLine="422" w:firstLineChars="200"/>
        <w:jc w:val="center"/>
        <w:rPr>
          <w:b/>
          <w:bCs/>
          <w:sz w:val="21"/>
          <w:szCs w:val="21"/>
        </w:rPr>
      </w:pPr>
      <w:r>
        <w:rPr>
          <w:rFonts w:hint="eastAsia"/>
          <w:b/>
          <w:bCs/>
          <w:sz w:val="21"/>
          <w:szCs w:val="21"/>
        </w:rPr>
        <w:t>目前环境设计专业在校生人数统计情况</w:t>
      </w:r>
    </w:p>
    <w:tbl>
      <w:tblPr>
        <w:tblStyle w:val="17"/>
        <w:tblpPr w:leftFromText="180" w:rightFromText="180" w:vertAnchor="text" w:horzAnchor="margin" w:tblpXSpec="center" w:tblpY="196"/>
        <w:tblW w:w="8568" w:type="dxa"/>
        <w:tblInd w:w="0"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713"/>
        <w:gridCol w:w="1714"/>
        <w:gridCol w:w="1713"/>
        <w:gridCol w:w="1714"/>
        <w:gridCol w:w="1714"/>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78" w:hRule="atLeast"/>
        </w:trPr>
        <w:tc>
          <w:tcPr>
            <w:tcW w:w="1713" w:type="dxa"/>
            <w:tcBorders>
              <w:right w:val="single" w:color="auto" w:sz="4" w:space="0"/>
            </w:tcBorders>
          </w:tcPr>
          <w:p>
            <w:pPr>
              <w:pStyle w:val="25"/>
              <w:rPr>
                <w:b/>
                <w:bCs/>
                <w:sz w:val="21"/>
                <w:szCs w:val="21"/>
              </w:rPr>
            </w:pPr>
            <w:r>
              <w:rPr>
                <w:rFonts w:hint="eastAsia"/>
                <w:b/>
                <w:bCs/>
                <w:sz w:val="21"/>
                <w:szCs w:val="21"/>
              </w:rPr>
              <w:t>年级</w:t>
            </w:r>
          </w:p>
        </w:tc>
        <w:tc>
          <w:tcPr>
            <w:tcW w:w="1714" w:type="dxa"/>
            <w:tcBorders>
              <w:left w:val="single" w:color="auto" w:sz="4" w:space="0"/>
            </w:tcBorders>
          </w:tcPr>
          <w:p>
            <w:pPr>
              <w:pStyle w:val="25"/>
              <w:rPr>
                <w:b/>
                <w:bCs/>
                <w:sz w:val="21"/>
                <w:szCs w:val="21"/>
              </w:rPr>
            </w:pPr>
            <w:r>
              <w:rPr>
                <w:rFonts w:hint="eastAsia"/>
                <w:b/>
                <w:bCs/>
                <w:sz w:val="21"/>
                <w:szCs w:val="21"/>
              </w:rPr>
              <w:t>2019级</w:t>
            </w:r>
          </w:p>
        </w:tc>
        <w:tc>
          <w:tcPr>
            <w:tcW w:w="1713" w:type="dxa"/>
          </w:tcPr>
          <w:p>
            <w:pPr>
              <w:pStyle w:val="25"/>
              <w:rPr>
                <w:b/>
                <w:bCs/>
                <w:sz w:val="21"/>
                <w:szCs w:val="21"/>
              </w:rPr>
            </w:pPr>
            <w:r>
              <w:rPr>
                <w:rFonts w:hint="eastAsia"/>
                <w:b/>
                <w:bCs/>
                <w:sz w:val="21"/>
                <w:szCs w:val="21"/>
              </w:rPr>
              <w:t>2020级</w:t>
            </w:r>
          </w:p>
        </w:tc>
        <w:tc>
          <w:tcPr>
            <w:tcW w:w="1714" w:type="dxa"/>
          </w:tcPr>
          <w:p>
            <w:pPr>
              <w:pStyle w:val="25"/>
              <w:rPr>
                <w:b/>
                <w:bCs/>
                <w:sz w:val="21"/>
                <w:szCs w:val="21"/>
              </w:rPr>
            </w:pPr>
            <w:r>
              <w:rPr>
                <w:rFonts w:hint="eastAsia"/>
                <w:b/>
                <w:bCs/>
                <w:sz w:val="21"/>
                <w:szCs w:val="21"/>
              </w:rPr>
              <w:t>2021级</w:t>
            </w:r>
          </w:p>
        </w:tc>
        <w:tc>
          <w:tcPr>
            <w:tcW w:w="1714" w:type="dxa"/>
          </w:tcPr>
          <w:p>
            <w:pPr>
              <w:pStyle w:val="25"/>
              <w:rPr>
                <w:b/>
                <w:bCs/>
                <w:sz w:val="21"/>
                <w:szCs w:val="21"/>
              </w:rPr>
            </w:pPr>
            <w:r>
              <w:rPr>
                <w:rFonts w:hint="eastAsia"/>
                <w:b/>
                <w:bCs/>
                <w:sz w:val="21"/>
                <w:szCs w:val="21"/>
              </w:rPr>
              <w:t>2022级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78" w:hRule="atLeast"/>
        </w:trPr>
        <w:tc>
          <w:tcPr>
            <w:tcW w:w="1713" w:type="dxa"/>
            <w:tcBorders>
              <w:bottom w:val="single" w:color="auto" w:sz="4" w:space="0"/>
              <w:right w:val="single" w:color="auto" w:sz="4" w:space="0"/>
            </w:tcBorders>
            <w:vAlign w:val="center"/>
          </w:tcPr>
          <w:p>
            <w:pPr>
              <w:pStyle w:val="25"/>
              <w:rPr>
                <w:sz w:val="21"/>
                <w:szCs w:val="21"/>
              </w:rPr>
            </w:pPr>
            <w:r>
              <w:rPr>
                <w:rFonts w:hint="eastAsia"/>
                <w:sz w:val="21"/>
                <w:szCs w:val="21"/>
              </w:rPr>
              <w:t>招生人数</w:t>
            </w:r>
          </w:p>
        </w:tc>
        <w:tc>
          <w:tcPr>
            <w:tcW w:w="1714" w:type="dxa"/>
            <w:tcBorders>
              <w:left w:val="single" w:color="auto" w:sz="4" w:space="0"/>
              <w:bottom w:val="single" w:color="auto" w:sz="4" w:space="0"/>
            </w:tcBorders>
            <w:vAlign w:val="center"/>
          </w:tcPr>
          <w:p>
            <w:pPr>
              <w:pStyle w:val="25"/>
              <w:rPr>
                <w:sz w:val="21"/>
                <w:szCs w:val="21"/>
              </w:rPr>
            </w:pPr>
            <w:r>
              <w:rPr>
                <w:rFonts w:hint="eastAsia"/>
                <w:sz w:val="21"/>
                <w:szCs w:val="21"/>
              </w:rPr>
              <w:t>5</w:t>
            </w:r>
            <w:r>
              <w:rPr>
                <w:sz w:val="21"/>
                <w:szCs w:val="21"/>
              </w:rPr>
              <w:t>0</w:t>
            </w:r>
            <w:r>
              <w:rPr>
                <w:rFonts w:hint="eastAsia"/>
                <w:sz w:val="21"/>
                <w:szCs w:val="21"/>
              </w:rPr>
              <w:t>人</w:t>
            </w:r>
          </w:p>
        </w:tc>
        <w:tc>
          <w:tcPr>
            <w:tcW w:w="1713" w:type="dxa"/>
            <w:tcBorders>
              <w:bottom w:val="single" w:color="auto" w:sz="4" w:space="0"/>
            </w:tcBorders>
            <w:vAlign w:val="center"/>
          </w:tcPr>
          <w:p>
            <w:pPr>
              <w:pStyle w:val="25"/>
              <w:rPr>
                <w:sz w:val="21"/>
                <w:szCs w:val="21"/>
              </w:rPr>
            </w:pPr>
            <w:r>
              <w:rPr>
                <w:sz w:val="21"/>
                <w:szCs w:val="21"/>
              </w:rPr>
              <w:t>55</w:t>
            </w:r>
          </w:p>
        </w:tc>
        <w:tc>
          <w:tcPr>
            <w:tcW w:w="1714" w:type="dxa"/>
            <w:tcBorders>
              <w:bottom w:val="single" w:color="auto" w:sz="4" w:space="0"/>
            </w:tcBorders>
            <w:vAlign w:val="center"/>
          </w:tcPr>
          <w:p>
            <w:pPr>
              <w:pStyle w:val="25"/>
              <w:rPr>
                <w:sz w:val="21"/>
                <w:szCs w:val="21"/>
              </w:rPr>
            </w:pPr>
            <w:r>
              <w:rPr>
                <w:sz w:val="21"/>
                <w:szCs w:val="21"/>
              </w:rPr>
              <w:t>42</w:t>
            </w:r>
          </w:p>
        </w:tc>
        <w:tc>
          <w:tcPr>
            <w:tcW w:w="1714" w:type="dxa"/>
            <w:tcBorders>
              <w:bottom w:val="single" w:color="auto" w:sz="4" w:space="0"/>
            </w:tcBorders>
            <w:vAlign w:val="center"/>
          </w:tcPr>
          <w:p>
            <w:pPr>
              <w:pStyle w:val="25"/>
              <w:rPr>
                <w:sz w:val="21"/>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78" w:hRule="atLeast"/>
        </w:trPr>
        <w:tc>
          <w:tcPr>
            <w:tcW w:w="1713" w:type="dxa"/>
            <w:tcBorders>
              <w:top w:val="single" w:color="auto" w:sz="4" w:space="0"/>
              <w:right w:val="single" w:color="auto" w:sz="4" w:space="0"/>
            </w:tcBorders>
            <w:vAlign w:val="center"/>
          </w:tcPr>
          <w:p>
            <w:pPr>
              <w:pStyle w:val="25"/>
              <w:rPr>
                <w:sz w:val="21"/>
                <w:szCs w:val="21"/>
              </w:rPr>
            </w:pPr>
            <w:r>
              <w:rPr>
                <w:rFonts w:hint="eastAsia"/>
                <w:sz w:val="21"/>
                <w:szCs w:val="21"/>
              </w:rPr>
              <w:t>报到率</w:t>
            </w:r>
          </w:p>
        </w:tc>
        <w:tc>
          <w:tcPr>
            <w:tcW w:w="1714" w:type="dxa"/>
            <w:tcBorders>
              <w:top w:val="single" w:color="auto" w:sz="4" w:space="0"/>
              <w:left w:val="single" w:color="auto" w:sz="4" w:space="0"/>
            </w:tcBorders>
            <w:vAlign w:val="center"/>
          </w:tcPr>
          <w:p>
            <w:pPr>
              <w:pStyle w:val="25"/>
              <w:rPr>
                <w:sz w:val="21"/>
                <w:szCs w:val="21"/>
              </w:rPr>
            </w:pPr>
            <w:r>
              <w:rPr>
                <w:rFonts w:hint="eastAsia"/>
                <w:sz w:val="21"/>
                <w:szCs w:val="21"/>
              </w:rPr>
              <w:t>100%</w:t>
            </w:r>
          </w:p>
        </w:tc>
        <w:tc>
          <w:tcPr>
            <w:tcW w:w="1713" w:type="dxa"/>
            <w:tcBorders>
              <w:top w:val="single" w:color="auto" w:sz="4" w:space="0"/>
            </w:tcBorders>
            <w:vAlign w:val="center"/>
          </w:tcPr>
          <w:p>
            <w:pPr>
              <w:pStyle w:val="25"/>
              <w:rPr>
                <w:sz w:val="21"/>
                <w:szCs w:val="21"/>
              </w:rPr>
            </w:pPr>
            <w:r>
              <w:rPr>
                <w:rFonts w:hint="eastAsia"/>
                <w:sz w:val="21"/>
                <w:szCs w:val="21"/>
              </w:rPr>
              <w:t>100%</w:t>
            </w:r>
          </w:p>
        </w:tc>
        <w:tc>
          <w:tcPr>
            <w:tcW w:w="1714" w:type="dxa"/>
            <w:tcBorders>
              <w:top w:val="single" w:color="auto" w:sz="4" w:space="0"/>
            </w:tcBorders>
            <w:vAlign w:val="center"/>
          </w:tcPr>
          <w:p>
            <w:pPr>
              <w:pStyle w:val="25"/>
              <w:rPr>
                <w:sz w:val="21"/>
                <w:szCs w:val="21"/>
              </w:rPr>
            </w:pPr>
            <w:r>
              <w:rPr>
                <w:rFonts w:hint="eastAsia"/>
                <w:sz w:val="21"/>
                <w:szCs w:val="21"/>
              </w:rPr>
              <w:t>100%</w:t>
            </w:r>
          </w:p>
        </w:tc>
        <w:tc>
          <w:tcPr>
            <w:tcW w:w="1714" w:type="dxa"/>
            <w:tcBorders>
              <w:top w:val="single" w:color="auto" w:sz="4" w:space="0"/>
            </w:tcBorders>
            <w:vAlign w:val="center"/>
          </w:tcPr>
          <w:p>
            <w:pPr>
              <w:pStyle w:val="25"/>
              <w:rPr>
                <w:sz w:val="21"/>
                <w:szCs w:val="21"/>
              </w:rPr>
            </w:pPr>
          </w:p>
        </w:tc>
      </w:tr>
    </w:tbl>
    <w:p>
      <w:pPr>
        <w:pStyle w:val="6"/>
        <w:ind w:firstLine="480"/>
      </w:pPr>
      <w:r>
        <w:rPr>
          <w:rFonts w:hint="eastAsia"/>
        </w:rPr>
        <w:t>3.课程体系</w:t>
      </w:r>
    </w:p>
    <w:p>
      <w:pPr>
        <w:ind w:firstLine="480" w:firstLineChars="200"/>
        <w:rPr>
          <w:szCs w:val="24"/>
        </w:rPr>
      </w:pPr>
      <w:r>
        <w:rPr>
          <w:rFonts w:hint="eastAsia"/>
          <w:szCs w:val="24"/>
        </w:rPr>
        <w:t>优化课程建设一直是本专业教学基本建设的重要内容，是专业办学水平的综合反映。</w:t>
      </w:r>
      <w:r>
        <w:rPr>
          <w:rFonts w:hint="eastAsia"/>
        </w:rPr>
        <w:t>目前本专业方向在校生所使用的培养方案共三个版本，2014版、2015版和2017版。虽然不同版本的培养方案课程设置存在一定差异，但骨干课程都包括设计初步、景观工程设计与施工，景观建筑设计，景观规划设计，园林绿地规划设计、公共艺术与设施设计，植物造景原理及应用等。为适应学分制改革，2018年进行了培养方案调整，新的培养方案中毕业总学分不少于170学分。必修课总学分139，选修课学分31，实验学分和实践环节学分（理论课所含的实验实训学分按所占理论课学时进行换算。）53，实验学分和实践环节学分占总学分比例 31.2%。课堂教学由18学时/学分减为16学时/学分，实践教学18学时/学分增为32学时/学分，选修课所占比例由13.8%提高到25.3%，大大增加了学生的实践动手机会和自主选择学习机会。2017版进行微调毕业总学分不少于174学分。</w:t>
      </w:r>
    </w:p>
    <w:p>
      <w:pPr>
        <w:pStyle w:val="6"/>
        <w:ind w:firstLine="480"/>
      </w:pPr>
      <w:r>
        <w:rPr>
          <w:rFonts w:hint="eastAsia"/>
        </w:rPr>
        <w:t>4.创新创业教育</w:t>
      </w:r>
    </w:p>
    <w:p>
      <w:pPr>
        <w:ind w:firstLine="480" w:firstLineChars="200"/>
      </w:pPr>
      <w:r>
        <w:rPr>
          <w:rFonts w:hint="eastAsia"/>
        </w:rPr>
        <w:t>本专业学生依托大学生创新创业中心实验室（SRT实验室），积极申报国家大学生科技创新实验计划、泰安市大学生科技创新计划、各级（山东省、国家、国际）大学生设计竞赛、校SRT项目等，先后承担了多项创新创业实践项目和规划设计任务，并在山东省和全国竞赛中多次获奖，极大锻炼了本科生的创新能力。</w:t>
      </w:r>
    </w:p>
    <w:p>
      <w:pPr>
        <w:pStyle w:val="5"/>
        <w:spacing w:before="93" w:after="93"/>
        <w:ind w:firstLine="560"/>
      </w:pPr>
      <w:bookmarkStart w:id="844" w:name="_Toc7196"/>
      <w:r>
        <w:rPr>
          <w:rFonts w:hint="eastAsia"/>
        </w:rPr>
        <w:t>三、培养条件</w:t>
      </w:r>
      <w:bookmarkEnd w:id="844"/>
    </w:p>
    <w:p>
      <w:pPr>
        <w:pStyle w:val="6"/>
        <w:ind w:firstLine="480"/>
      </w:pPr>
      <w:r>
        <w:rPr>
          <w:rFonts w:hint="eastAsia"/>
        </w:rPr>
        <w:t>1.教学经费投入</w:t>
      </w:r>
    </w:p>
    <w:p>
      <w:pPr>
        <w:ind w:firstLine="480" w:firstLineChars="200"/>
        <w:rPr>
          <w:rFonts w:ascii="宋体" w:hAnsi="宋体"/>
        </w:rPr>
      </w:pPr>
      <w:r>
        <w:rPr>
          <w:rFonts w:hint="eastAsia"/>
          <w:szCs w:val="24"/>
        </w:rPr>
        <w:t>教学经费是教学资源建设和日常教学运行的基本保障。本专业教学经费包括教学日常运行费用、教学改革费用、课程建设费用、教材建设费用、专业建设费用、校内外实践实习费用、教学研讨费用、教学差旅费用、图书资料购置费用、学生活动费用以及其他用于教学的费用等。随着社会的不断需求以及生源的质量要求，教学经费投入也在逐年增多，每年投入教学经费已达50多万元。</w:t>
      </w:r>
    </w:p>
    <w:p>
      <w:pPr>
        <w:pStyle w:val="6"/>
        <w:ind w:firstLine="480"/>
      </w:pPr>
      <w:r>
        <w:rPr>
          <w:rFonts w:hint="eastAsia"/>
        </w:rPr>
        <w:t>2.教学设备</w:t>
      </w:r>
    </w:p>
    <w:p>
      <w:pPr>
        <w:ind w:firstLine="480" w:firstLineChars="200"/>
      </w:pPr>
      <w:r>
        <w:rPr>
          <w:rFonts w:hint="eastAsia"/>
          <w:szCs w:val="24"/>
        </w:rPr>
        <w:t>实验室建设是专业的硬件部分，是办学的必备条件，也是办学能力的重要标志；拥有制图绘画实验教学中心（校级），经过多年建设和发展，在北校区设有制图绘画教学中心，面积达2700m</w:t>
      </w:r>
      <w:r>
        <w:rPr>
          <w:rFonts w:hint="eastAsia"/>
          <w:szCs w:val="24"/>
          <w:vertAlign w:val="superscript"/>
        </w:rPr>
        <w:t>2</w:t>
      </w:r>
      <w:r>
        <w:rPr>
          <w:rFonts w:hint="eastAsia"/>
          <w:szCs w:val="24"/>
        </w:rPr>
        <w:t>，其中多媒体教室11个、专业教室和画室18个，艺术设计专业展厅1个，制图类教学模型、模具1900多套（件），绘画用静物、石膏像、画架、衬布等2300多件（套），图板、丁字尺3000多套，固定资产总值近100万元。</w:t>
      </w:r>
      <w:r>
        <w:rPr>
          <w:rFonts w:hint="eastAsia"/>
        </w:rPr>
        <w:t>另有学学校共享资源平台园林树木花卉实验室、园林植物标本室等4个实验室和1个园林植物（室外）实训基地共有仪器设备418台（件），总价4</w:t>
      </w:r>
      <w:r>
        <w:t>00</w:t>
      </w:r>
      <w:r>
        <w:rPr>
          <w:rFonts w:hint="eastAsia"/>
        </w:rPr>
        <w:t>多万元。</w:t>
      </w:r>
    </w:p>
    <w:p>
      <w:pPr>
        <w:pStyle w:val="6"/>
        <w:ind w:firstLine="480"/>
      </w:pPr>
      <w:r>
        <w:rPr>
          <w:rFonts w:hint="eastAsia"/>
        </w:rPr>
        <w:t>3.教师队伍建设</w:t>
      </w:r>
    </w:p>
    <w:p>
      <w:pPr>
        <w:ind w:firstLine="480" w:firstLineChars="200"/>
        <w:rPr>
          <w:rFonts w:ascii="宋体" w:hAnsi="宋体"/>
        </w:rPr>
      </w:pPr>
      <w:r>
        <w:rPr>
          <w:rFonts w:hint="eastAsia"/>
          <w:szCs w:val="24"/>
        </w:rPr>
        <w:t>师资队伍是专业与学科建设的根本。环境设计专业一直重视师资队伍的建设，并采取了可行的措施：选派青年教师到重点院校进修学习；选派骨干教师作为访问学者与外校知名教授一起研究本专业前沿课题，及时准确了解本专业当前的发展动态，提高专业知识水平。通过抓住机遇，突出重点，加快人才引进和培养步伐，学科师资队伍总量有所增加，水平有所提高。目前环境设计专业有专职教师2</w:t>
      </w:r>
      <w:r>
        <w:rPr>
          <w:szCs w:val="24"/>
        </w:rPr>
        <w:t>2</w:t>
      </w:r>
      <w:r>
        <w:rPr>
          <w:rFonts w:hint="eastAsia"/>
          <w:szCs w:val="24"/>
        </w:rPr>
        <w:t>人，其中教授3人，副教授1</w:t>
      </w:r>
      <w:r>
        <w:rPr>
          <w:szCs w:val="24"/>
        </w:rPr>
        <w:t>1</w:t>
      </w:r>
      <w:r>
        <w:rPr>
          <w:rFonts w:hint="eastAsia"/>
          <w:szCs w:val="24"/>
        </w:rPr>
        <w:t>人，讲师7人，助教1人；高级职称占教师人数的</w:t>
      </w:r>
      <w:r>
        <w:rPr>
          <w:szCs w:val="24"/>
        </w:rPr>
        <w:t>63.6</w:t>
      </w:r>
      <w:r>
        <w:rPr>
          <w:rFonts w:hint="eastAsia"/>
          <w:szCs w:val="24"/>
        </w:rPr>
        <w:t>％，梯队结构相对合理；2</w:t>
      </w:r>
      <w:r>
        <w:rPr>
          <w:szCs w:val="24"/>
        </w:rPr>
        <w:t>2</w:t>
      </w:r>
      <w:r>
        <w:rPr>
          <w:rFonts w:hint="eastAsia"/>
          <w:szCs w:val="24"/>
        </w:rPr>
        <w:t>名教师有1</w:t>
      </w:r>
      <w:r>
        <w:rPr>
          <w:szCs w:val="24"/>
        </w:rPr>
        <w:t>8</w:t>
      </w:r>
      <w:r>
        <w:rPr>
          <w:rFonts w:hint="eastAsia"/>
          <w:szCs w:val="24"/>
        </w:rPr>
        <w:t>人取得硕士学位，</w:t>
      </w:r>
      <w:r>
        <w:rPr>
          <w:szCs w:val="24"/>
        </w:rPr>
        <w:t>2</w:t>
      </w:r>
      <w:r>
        <w:rPr>
          <w:rFonts w:hint="eastAsia"/>
          <w:szCs w:val="24"/>
        </w:rPr>
        <w:t>人取得博士学位，硕士以上教师人数达到了</w:t>
      </w:r>
      <w:r>
        <w:rPr>
          <w:szCs w:val="24"/>
        </w:rPr>
        <w:t>81.8</w:t>
      </w:r>
      <w:r>
        <w:rPr>
          <w:rFonts w:hint="eastAsia"/>
          <w:szCs w:val="24"/>
        </w:rPr>
        <w:t>％。以专业学术带头人为领军，以中青年教师为主体，将本专业师资队伍建成教学水平精湛，业务水平过硬，科研水平较强的教学和管理队伍。</w:t>
      </w:r>
    </w:p>
    <w:p>
      <w:pPr>
        <w:pStyle w:val="6"/>
        <w:ind w:firstLine="480"/>
      </w:pPr>
      <w:r>
        <w:rPr>
          <w:rFonts w:hint="eastAsia"/>
        </w:rPr>
        <w:t>4.实习基地</w:t>
      </w:r>
    </w:p>
    <w:p>
      <w:pPr>
        <w:ind w:firstLine="480" w:firstLineChars="200"/>
        <w:rPr>
          <w:rFonts w:ascii="宋体" w:hAnsi="宋体"/>
        </w:rPr>
      </w:pPr>
      <w:r>
        <w:rPr>
          <w:rFonts w:hint="eastAsia" w:ascii="宋体" w:hAnsi="宋体"/>
          <w:color w:val="000000"/>
        </w:rPr>
        <w:t>近年来，随着毕业生就业工作的不断创新，学院和有关专业教师积极开展毕业生就业见习工作，以增强与用人单位和毕业生之间的相互了解，使用人单位能够更加有选择、有目的培养和储备所需的人才；提高毕业生的实践能力和工作经验，增强毕业生就业能力。目前，已与</w:t>
      </w:r>
      <w:r>
        <w:rPr>
          <w:rFonts w:ascii="宋体" w:hAnsi="宋体"/>
          <w:color w:val="000000"/>
        </w:rPr>
        <w:t>8</w:t>
      </w:r>
      <w:r>
        <w:rPr>
          <w:rFonts w:hint="eastAsia" w:ascii="宋体" w:hAnsi="宋体"/>
          <w:color w:val="000000"/>
        </w:rPr>
        <w:t>家企业建立校企合作关系，并挂牌成为环境设计专业长期教学、科研、就业实习基地。</w:t>
      </w:r>
      <w:r>
        <w:rPr>
          <w:rFonts w:hint="eastAsia"/>
          <w:szCs w:val="24"/>
        </w:rPr>
        <w:t>分别是：</w:t>
      </w:r>
      <w:r>
        <w:rPr>
          <w:rFonts w:hint="eastAsia" w:ascii="宋体" w:hAnsi="宋体"/>
        </w:rPr>
        <w:t>泰安市徂徕同利旅游开发有限公司、</w:t>
      </w:r>
      <w:r>
        <w:rPr>
          <w:rFonts w:hint="eastAsia"/>
          <w:szCs w:val="24"/>
        </w:rPr>
        <w:t>泰安市阔达建筑装饰工程有限公司，泰安市东易日盛装饰工程有限公司、</w:t>
      </w:r>
      <w:r>
        <w:rPr>
          <w:rFonts w:hint="eastAsia" w:ascii="宋体" w:hAnsi="宋体"/>
        </w:rPr>
        <w:t>泰安大唐宅配家具有限公司、安徽宏村镇六六六0写生基地、泰安市大汶口镇山西街村写生基地、泰安市广播电视台、</w:t>
      </w:r>
      <w:r>
        <w:rPr>
          <w:rFonts w:hint="eastAsia"/>
          <w:szCs w:val="24"/>
        </w:rPr>
        <w:t>。实习基地多是以设计、施工和管理为主，基础设施完善，环境条件优越，现有的实习硬件设施包括设计室、材料样品室、会议室、接待室、主题样板间、工艺流程展示区等，基地单位的硬件设施为本专业实践教学的开展提供了有力的基础保障，同时也为学生职业素养的养成以及专业能力的促进提供了必备的条件</w:t>
      </w:r>
      <w:r>
        <w:rPr>
          <w:rFonts w:hint="eastAsia" w:ascii="宋体" w:hAnsi="宋体"/>
        </w:rPr>
        <w:t>。</w:t>
      </w:r>
    </w:p>
    <w:p>
      <w:pPr>
        <w:pStyle w:val="6"/>
        <w:ind w:firstLine="480"/>
      </w:pPr>
      <w:r>
        <w:rPr>
          <w:rFonts w:hint="eastAsia"/>
        </w:rPr>
        <w:t>5.现代教学技术应用</w:t>
      </w:r>
    </w:p>
    <w:p>
      <w:pPr>
        <w:ind w:firstLine="480" w:firstLineChars="200"/>
        <w:rPr>
          <w:rFonts w:ascii="宋体" w:hAnsi="宋体"/>
        </w:rPr>
      </w:pPr>
      <w:r>
        <w:rPr>
          <w:rFonts w:hint="eastAsia"/>
          <w:szCs w:val="24"/>
        </w:rPr>
        <w:t>信息化建设是学校信息管理、推行教育平台的重要环节，对现实管理意义重大。环境设计专业目前有2门校级精品课程（表现图技法和设计色彩），1门慕课课程（建筑速写）。经过不断调整、优化整合，已成为该专业网上学习的重要平台，学生可利用线上资源获取较多的信息以补充上课的不足。</w:t>
      </w:r>
    </w:p>
    <w:p>
      <w:pPr>
        <w:pStyle w:val="5"/>
        <w:spacing w:before="93" w:after="93"/>
        <w:ind w:firstLine="560"/>
      </w:pPr>
      <w:bookmarkStart w:id="845" w:name="_Toc21101"/>
      <w:r>
        <w:rPr>
          <w:rFonts w:hint="eastAsia"/>
        </w:rPr>
        <w:t>四、培养机制与特色</w:t>
      </w:r>
      <w:bookmarkEnd w:id="845"/>
    </w:p>
    <w:p>
      <w:pPr>
        <w:pStyle w:val="6"/>
        <w:ind w:firstLine="480"/>
      </w:pPr>
      <w:r>
        <w:rPr>
          <w:rFonts w:hint="eastAsia"/>
        </w:rPr>
        <w:t>1.产学研协同育人机制</w:t>
      </w:r>
    </w:p>
    <w:p>
      <w:pPr>
        <w:ind w:firstLine="480" w:firstLineChars="200"/>
        <w:rPr>
          <w:rFonts w:ascii="宋体" w:hAnsi="宋体"/>
        </w:rPr>
      </w:pPr>
      <w:r>
        <w:rPr>
          <w:rFonts w:hint="eastAsia"/>
          <w:szCs w:val="24"/>
        </w:rPr>
        <w:t>由于环境设计专业性较强，很早就提出了“校企联动、产学研结合”的办学思想，突出专业的“跨界性”，着力解决育人机制的关键问题，实施协同育人推进策略；在产学研协同育人机制结合方面注重理念创新、理论探索、制度建设、平台构建、文化倡导等方面的综合协调；注重因材施教，把人才培养置于产学研用的各个环节，形成课题驱动、项目任务驱动、创新计划驱动、创业工程驱动、复合专业学习、技能竞赛等多样化实施路径。</w:t>
      </w:r>
    </w:p>
    <w:p>
      <w:pPr>
        <w:pStyle w:val="6"/>
        <w:ind w:firstLine="480"/>
      </w:pPr>
      <w:r>
        <w:rPr>
          <w:rFonts w:hint="eastAsia"/>
        </w:rPr>
        <w:t>3.教学管理</w:t>
      </w:r>
    </w:p>
    <w:p>
      <w:pPr>
        <w:ind w:firstLine="480" w:firstLineChars="200"/>
        <w:rPr>
          <w:rFonts w:ascii="宋体" w:hAnsi="宋体"/>
        </w:rPr>
      </w:pPr>
      <w:r>
        <w:rPr>
          <w:rFonts w:hint="eastAsia"/>
          <w:szCs w:val="24"/>
        </w:rPr>
        <w:t>教学管理是环境设计专业教育中的重要内容，为了使教学活动达到学校既定的人才培养目标，保证良好的正常教学秩序进行。以系为单位开展一系列的教学模式探索，包括教学计划管理、教学运行管理、教学质量管理与评价，以及学科、专业、课程、教材、实验室、实践教学基地、学风、教学队伍、教学管理制度等教学基本建设管理，还包括教学研究与教学改革管理。通过制定教学工作计划，加强了教务行政管理工作，明确了教学工作目标，保证了学校教学工作有计划、有步骤、有条不紊地运转，提高了教学质量。</w:t>
      </w:r>
    </w:p>
    <w:p>
      <w:pPr>
        <w:pStyle w:val="5"/>
        <w:spacing w:before="93" w:after="93"/>
        <w:ind w:firstLine="560"/>
      </w:pPr>
      <w:bookmarkStart w:id="846" w:name="_Toc16432"/>
      <w:r>
        <w:rPr>
          <w:rFonts w:hint="eastAsia"/>
        </w:rPr>
        <w:t>五、培养质量</w:t>
      </w:r>
      <w:bookmarkEnd w:id="846"/>
    </w:p>
    <w:p>
      <w:pPr>
        <w:pStyle w:val="6"/>
        <w:ind w:firstLine="480"/>
      </w:pPr>
      <w:r>
        <w:rPr>
          <w:rFonts w:hint="eastAsia"/>
        </w:rPr>
        <w:t>1.毕业生就业率</w:t>
      </w:r>
    </w:p>
    <w:p>
      <w:pPr>
        <w:ind w:firstLine="480" w:firstLineChars="200"/>
        <w:rPr>
          <w:rFonts w:ascii="宋体" w:hAnsi="宋体"/>
        </w:rPr>
      </w:pPr>
      <w:r>
        <w:rPr>
          <w:rFonts w:hint="eastAsia" w:ascii="宋体" w:hAnsi="宋体"/>
        </w:rPr>
        <w:t>环境设计专业（景观设计方向）自2</w:t>
      </w:r>
      <w:r>
        <w:rPr>
          <w:rFonts w:ascii="宋体" w:hAnsi="宋体"/>
        </w:rPr>
        <w:t>018</w:t>
      </w:r>
      <w:r>
        <w:rPr>
          <w:rFonts w:hint="eastAsia" w:ascii="宋体" w:hAnsi="宋体"/>
        </w:rPr>
        <w:t>年并入艺术学院后，2</w:t>
      </w:r>
      <w:r>
        <w:rPr>
          <w:rFonts w:ascii="宋体" w:hAnsi="宋体"/>
        </w:rPr>
        <w:t>022</w:t>
      </w:r>
      <w:r>
        <w:rPr>
          <w:rFonts w:hint="eastAsia" w:ascii="宋体" w:hAnsi="宋体"/>
        </w:rPr>
        <w:t>届为本专业方向的第一届毕业生，</w:t>
      </w:r>
      <w:r>
        <w:rPr>
          <w:rFonts w:hint="eastAsia"/>
          <w:szCs w:val="24"/>
        </w:rPr>
        <w:t>202</w:t>
      </w:r>
      <w:r>
        <w:rPr>
          <w:szCs w:val="24"/>
        </w:rPr>
        <w:t>2</w:t>
      </w:r>
      <w:r>
        <w:rPr>
          <w:rFonts w:hint="eastAsia"/>
          <w:szCs w:val="24"/>
        </w:rPr>
        <w:t>届考取研究生</w:t>
      </w:r>
      <w:r>
        <w:rPr>
          <w:szCs w:val="24"/>
        </w:rPr>
        <w:t>4</w:t>
      </w:r>
      <w:r>
        <w:rPr>
          <w:rFonts w:hint="eastAsia"/>
          <w:szCs w:val="24"/>
        </w:rPr>
        <w:t>人，协议就业</w:t>
      </w:r>
      <w:r>
        <w:rPr>
          <w:szCs w:val="24"/>
        </w:rPr>
        <w:t>8</w:t>
      </w:r>
      <w:r>
        <w:rPr>
          <w:rFonts w:hint="eastAsia"/>
          <w:szCs w:val="24"/>
        </w:rPr>
        <w:t>人，灵活就业</w:t>
      </w:r>
      <w:r>
        <w:rPr>
          <w:szCs w:val="24"/>
        </w:rPr>
        <w:t>25</w:t>
      </w:r>
      <w:r>
        <w:rPr>
          <w:rFonts w:hint="eastAsia"/>
          <w:szCs w:val="24"/>
        </w:rPr>
        <w:t>人，签订用人单位劳动合同</w:t>
      </w:r>
      <w:r>
        <w:rPr>
          <w:szCs w:val="24"/>
        </w:rPr>
        <w:t>3</w:t>
      </w:r>
      <w:r>
        <w:rPr>
          <w:rFonts w:hint="eastAsia"/>
          <w:szCs w:val="24"/>
        </w:rPr>
        <w:t>人，自主创业</w:t>
      </w:r>
      <w:r>
        <w:rPr>
          <w:szCs w:val="24"/>
        </w:rPr>
        <w:t>1</w:t>
      </w:r>
      <w:r>
        <w:rPr>
          <w:rFonts w:hint="eastAsia"/>
          <w:szCs w:val="24"/>
        </w:rPr>
        <w:t>人，毕业生就业率为</w:t>
      </w:r>
      <w:r>
        <w:rPr>
          <w:rFonts w:ascii="仿宋" w:hAnsi="仿宋" w:eastAsia="仿宋" w:cs="仿宋"/>
          <w:color w:val="000000"/>
          <w:szCs w:val="24"/>
        </w:rPr>
        <w:t>71.66</w:t>
      </w:r>
      <w:r>
        <w:rPr>
          <w:rFonts w:hint="eastAsia" w:ascii="仿宋" w:hAnsi="仿宋" w:eastAsia="仿宋" w:cs="仿宋"/>
          <w:color w:val="000000"/>
          <w:szCs w:val="24"/>
        </w:rPr>
        <w:t>%</w:t>
      </w:r>
      <w:r>
        <w:rPr>
          <w:rFonts w:hint="eastAsia"/>
          <w:szCs w:val="24"/>
        </w:rPr>
        <w:t>。就业岗位基本上都是与本专业相关岗位。</w:t>
      </w:r>
    </w:p>
    <w:p>
      <w:pPr>
        <w:pStyle w:val="6"/>
        <w:ind w:firstLine="480"/>
      </w:pPr>
      <w:r>
        <w:rPr>
          <w:rFonts w:hint="eastAsia"/>
        </w:rPr>
        <w:t>2.就业专业对口率</w:t>
      </w:r>
    </w:p>
    <w:p>
      <w:pPr>
        <w:ind w:firstLine="480" w:firstLineChars="200"/>
        <w:rPr>
          <w:szCs w:val="24"/>
        </w:rPr>
      </w:pPr>
      <w:r>
        <w:rPr>
          <w:rFonts w:hint="eastAsia"/>
          <w:szCs w:val="24"/>
        </w:rPr>
        <w:t>根据近几年的就业市场来看，该专业社会需求旺盛，提供职位数每年都会达到应届毕业生人数的2倍以上，就业形势非常乐观。</w:t>
      </w:r>
    </w:p>
    <w:p>
      <w:pPr>
        <w:ind w:firstLine="480" w:firstLineChars="200"/>
        <w:rPr>
          <w:rFonts w:ascii="宋体" w:hAnsi="宋体"/>
        </w:rPr>
      </w:pPr>
      <w:r>
        <w:rPr>
          <w:rFonts w:hint="eastAsia" w:ascii="宋体" w:hAnsi="宋体"/>
        </w:rPr>
        <w:t>本专业学生就业单位基本为园林、景观、建筑的设计公司或者施工企业，或者相关企业的管理部门，就业专业对口率9</w:t>
      </w:r>
      <w:r>
        <w:rPr>
          <w:rFonts w:ascii="宋体" w:hAnsi="宋体"/>
        </w:rPr>
        <w:t>0</w:t>
      </w:r>
      <w:r>
        <w:rPr>
          <w:rFonts w:hint="eastAsia" w:ascii="宋体" w:hAnsi="宋体"/>
        </w:rPr>
        <w:t>%。</w:t>
      </w:r>
    </w:p>
    <w:p>
      <w:pPr>
        <w:pStyle w:val="6"/>
        <w:ind w:firstLine="480"/>
      </w:pPr>
      <w:r>
        <w:rPr>
          <w:rFonts w:hint="eastAsia"/>
        </w:rPr>
        <w:t>3.就业单位满意率</w:t>
      </w:r>
    </w:p>
    <w:p>
      <w:pPr>
        <w:ind w:firstLine="480" w:firstLineChars="200"/>
        <w:rPr>
          <w:rFonts w:ascii="宋体" w:hAnsi="宋体"/>
        </w:rPr>
      </w:pPr>
      <w:r>
        <w:rPr>
          <w:rFonts w:hint="eastAsia"/>
          <w:szCs w:val="24"/>
        </w:rPr>
        <w:t>从2022届毕业生就业单位情况看，用人单位普遍反映我系毕业生专业知识扎实，综合素质较高，肯吃苦，对环境设计学生的认知度较高。很多单位在聘用我系毕业生之后还主动联系我们成为了合作单位。</w:t>
      </w:r>
    </w:p>
    <w:p>
      <w:pPr>
        <w:pStyle w:val="6"/>
        <w:ind w:firstLine="480"/>
      </w:pPr>
      <w:r>
        <w:rPr>
          <w:rFonts w:hint="eastAsia"/>
        </w:rPr>
        <w:t>4.社会对专业的评价</w:t>
      </w:r>
    </w:p>
    <w:p>
      <w:pPr>
        <w:ind w:firstLine="480" w:firstLineChars="200"/>
        <w:rPr>
          <w:rFonts w:ascii="宋体" w:hAnsi="宋体"/>
        </w:rPr>
      </w:pPr>
      <w:r>
        <w:rPr>
          <w:rFonts w:hint="eastAsia" w:ascii="宋体" w:hAnsi="宋体"/>
        </w:rPr>
        <w:t>本专业能够满足社会对于景观设计与施工人才的需求，是亟待发展和具有良好潜力的专业。随着城市化进程的快速发展，城市、乡村、家庭对于美好环境的期盼，随着土地流转、文旅项目、海绵城市、观光农业、美丽新农村的建设，特色小镇的发展、田园综合体的概念的提出，相信我们的专业必将迎来大好机遇的明天。</w:t>
      </w:r>
    </w:p>
    <w:p>
      <w:pPr>
        <w:pStyle w:val="6"/>
        <w:ind w:firstLine="480"/>
      </w:pPr>
      <w:r>
        <w:rPr>
          <w:rFonts w:hint="eastAsia"/>
        </w:rPr>
        <w:t>5.学生就读该专业的意愿</w:t>
      </w:r>
    </w:p>
    <w:p>
      <w:pPr>
        <w:ind w:firstLine="480" w:firstLineChars="200"/>
        <w:rPr>
          <w:rFonts w:ascii="宋体" w:hAnsi="宋体"/>
        </w:rPr>
      </w:pPr>
      <w:r>
        <w:rPr>
          <w:rFonts w:hint="eastAsia" w:ascii="宋体" w:hAnsi="宋体"/>
        </w:rPr>
        <w:t>就目前来看，虽然高校在艺术生招生规模上比较庞大，但是就业率不高，培养目标也不尽如人意，但是景观设计方向在我们农业院校却拥有得天独厚的条件，属于艺术学、工学、农学的综合专业，从每年的入学报到率、就业率和转专业情况来看，学生就读该专业的意愿非常高。</w:t>
      </w:r>
    </w:p>
    <w:p>
      <w:pPr>
        <w:pStyle w:val="5"/>
        <w:spacing w:before="93" w:after="93"/>
        <w:ind w:firstLine="560"/>
      </w:pPr>
      <w:bookmarkStart w:id="847" w:name="_Toc15408"/>
      <w:r>
        <w:rPr>
          <w:rFonts w:hint="eastAsia"/>
        </w:rPr>
        <w:t>六、毕业生就业创业</w:t>
      </w:r>
      <w:bookmarkEnd w:id="847"/>
    </w:p>
    <w:p>
      <w:pPr>
        <w:pStyle w:val="6"/>
        <w:ind w:firstLine="480"/>
      </w:pPr>
      <w:r>
        <w:rPr>
          <w:rFonts w:hint="eastAsia"/>
        </w:rPr>
        <w:t>1.创业情况</w:t>
      </w:r>
    </w:p>
    <w:p>
      <w:pPr>
        <w:ind w:firstLine="480" w:firstLineChars="200"/>
        <w:rPr>
          <w:szCs w:val="24"/>
        </w:rPr>
      </w:pPr>
      <w:r>
        <w:rPr>
          <w:rFonts w:hint="eastAsia"/>
          <w:szCs w:val="24"/>
        </w:rPr>
        <w:t>环境设计专业有三个创新创业团队，“农大手绘工作室”、“雕刻时光”、“创想咖啡工作室”。目前，三个创业团队已成为我院首批实现社会创业的大学生创业团队。这些团队现有成员100余人，指导教师5名。团队以“创意设计、凝心聚力”为宗旨，以创新为理念，以学科和专业交叉为手段、以培养学生自主创新和实践应用为导向，重点培养创新型、实践型、应用型的拔尖设计人才。</w:t>
      </w:r>
    </w:p>
    <w:p>
      <w:pPr>
        <w:pStyle w:val="6"/>
        <w:ind w:firstLine="480"/>
      </w:pPr>
      <w:r>
        <w:rPr>
          <w:rFonts w:hint="eastAsia"/>
        </w:rPr>
        <w:t>2.采取的措施</w:t>
      </w:r>
    </w:p>
    <w:p>
      <w:pPr>
        <w:ind w:firstLine="480" w:firstLineChars="200"/>
        <w:rPr>
          <w:rFonts w:ascii="宋体" w:hAnsi="宋体"/>
        </w:rPr>
      </w:pPr>
      <w:r>
        <w:rPr>
          <w:rFonts w:hint="eastAsia"/>
          <w:szCs w:val="24"/>
        </w:rPr>
        <w:t>创新创业团队的建设离不开艺术学院党委、院行政的领导大力支持，该创业团队依托于艺术学院，以学科建设为龙头、以专业理论研究为基础、以教育改革为主导、以应用型人才培养为目标、以市场项目运营为平台，加强校企合作，将学术研究与市场化运作相结合，在专业实践层面上建立了较好的平台，为后续学生实践培养和进入专业团队打下了较好的基础。</w:t>
      </w:r>
    </w:p>
    <w:p>
      <w:pPr>
        <w:pStyle w:val="5"/>
        <w:spacing w:before="93" w:after="93"/>
        <w:ind w:firstLine="560"/>
      </w:pPr>
      <w:bookmarkStart w:id="848" w:name="_Toc20993"/>
      <w:r>
        <w:rPr>
          <w:rFonts w:hint="eastAsia"/>
        </w:rPr>
        <w:t>七、专业发展趋势及建议</w:t>
      </w:r>
      <w:bookmarkEnd w:id="848"/>
    </w:p>
    <w:p>
      <w:pPr>
        <w:pStyle w:val="6"/>
        <w:ind w:firstLine="480"/>
      </w:pPr>
      <w:r>
        <w:rPr>
          <w:rFonts w:hint="eastAsia"/>
        </w:rPr>
        <w:t>1.专业发展趋势</w:t>
      </w:r>
    </w:p>
    <w:p>
      <w:pPr>
        <w:ind w:firstLine="480" w:firstLineChars="200"/>
        <w:rPr>
          <w:rFonts w:ascii="宋体" w:hAnsi="宋体"/>
        </w:rPr>
      </w:pPr>
      <w:r>
        <w:rPr>
          <w:rFonts w:hint="eastAsia" w:ascii="宋体" w:hAnsi="宋体"/>
        </w:rPr>
        <w:t>随着中国城市化的快速发展，全国各地都出现了景观设计的热潮，景观建设已经成为城镇建设的重要内容，对景观设计师的需求日益增多，目前已有上万计的设计人员从事景观设计工作。但是中国城市化的快速发展过程中，中国在人居环境的建设和管理中，遇到了前所未有的危机和挑战，景观设计专业人才依然奇缺。由于景观设计专业长期包含在规划设计、建筑设计及园林设计等诸专业设计之中，从事景观设计专业的人员水平参差不齐，影响了景观建设的质量提升。</w:t>
      </w:r>
    </w:p>
    <w:p>
      <w:pPr>
        <w:pStyle w:val="6"/>
        <w:ind w:firstLine="480"/>
      </w:pPr>
      <w:r>
        <w:rPr>
          <w:rFonts w:hint="eastAsia"/>
        </w:rPr>
        <w:t>2.建议</w:t>
      </w:r>
    </w:p>
    <w:p>
      <w:pPr>
        <w:ind w:firstLine="480" w:firstLineChars="200"/>
        <w:rPr>
          <w:rFonts w:ascii="宋体" w:hAnsi="宋体"/>
        </w:rPr>
      </w:pPr>
      <w:r>
        <w:rPr>
          <w:rFonts w:hint="eastAsia" w:ascii="宋体" w:hAnsi="宋体"/>
        </w:rPr>
        <w:t xml:space="preserve">（1）强化实践教学：环境设计（景观设计）专业是一个实践性非常强的应用型专业，培养学生的动手能力、处理解决实际问题的能力以及对未来工作的适应能力，重点应该加强实践课程体系的建设，将实践教学贯穿于整个教学过程。 </w:t>
      </w:r>
    </w:p>
    <w:p>
      <w:pPr>
        <w:ind w:firstLine="480" w:firstLineChars="200"/>
        <w:rPr>
          <w:rFonts w:ascii="宋体" w:hAnsi="宋体"/>
        </w:rPr>
      </w:pPr>
      <w:r>
        <w:rPr>
          <w:rFonts w:hint="eastAsia" w:ascii="宋体" w:hAnsi="宋体"/>
        </w:rPr>
        <w:t>（2）浓厚专业兴趣：浓厚的专业兴趣是提高人才培养质量的重要载体和动力。 拓宽专业视野可以培养学生的专业兴趣，应该尽可能地为学生创造各种实践平台，通过设计竞赛、学术报告、学术沙龙、科研训练、国际交流、社会实践等各种方式不断让学生汲取营养，了解行业发展的前沿动态，进而提高学生对专业的兴趣和热爱，提高学生自主学习的能力和创新思维的培养。</w:t>
      </w:r>
    </w:p>
    <w:p>
      <w:pPr>
        <w:ind w:firstLine="480" w:firstLineChars="200"/>
        <w:rPr>
          <w:rFonts w:ascii="宋体" w:hAnsi="宋体"/>
        </w:rPr>
      </w:pPr>
      <w:r>
        <w:rPr>
          <w:rFonts w:hint="eastAsia" w:ascii="宋体" w:hAnsi="宋体"/>
        </w:rPr>
        <w:t>（3）突出专业特色：“特色发展是专业建设的活力”，应在综合性培养的前提下，根据自身师资力量、院校性质和市场定位有所侧重地发展，实行品牌战略，不断强化自身特色。</w:t>
      </w:r>
    </w:p>
    <w:p>
      <w:pPr>
        <w:pStyle w:val="5"/>
        <w:spacing w:before="93" w:after="93"/>
        <w:ind w:firstLine="560"/>
      </w:pPr>
      <w:bookmarkStart w:id="849" w:name="_Toc9744"/>
      <w:r>
        <w:rPr>
          <w:rFonts w:hint="eastAsia"/>
        </w:rPr>
        <w:t>八、存在的问题及整改措施</w:t>
      </w:r>
      <w:bookmarkEnd w:id="849"/>
    </w:p>
    <w:p>
      <w:pPr>
        <w:pStyle w:val="6"/>
        <w:ind w:firstLine="480"/>
      </w:pPr>
      <w:r>
        <w:rPr>
          <w:rFonts w:hint="eastAsia"/>
        </w:rPr>
        <w:t>1.存在问题</w:t>
      </w:r>
    </w:p>
    <w:p>
      <w:pPr>
        <w:ind w:firstLine="480" w:firstLineChars="200"/>
        <w:rPr>
          <w:rFonts w:ascii="宋体" w:hAnsi="宋体"/>
        </w:rPr>
      </w:pPr>
      <w:r>
        <w:rPr>
          <w:rFonts w:hint="eastAsia" w:ascii="宋体" w:hAnsi="宋体"/>
        </w:rPr>
        <w:t>（1）师资建设有待加强：本专业规划设计方向的老师绝大多数为年轻老师，具博士学位的老师数量少，从其他相关院校引进博士师资的难度大，建筑学、城市规划等方向的师资紧缺。</w:t>
      </w:r>
    </w:p>
    <w:p>
      <w:pPr>
        <w:ind w:firstLine="480" w:firstLineChars="200"/>
        <w:rPr>
          <w:rFonts w:ascii="宋体" w:hAnsi="宋体"/>
        </w:rPr>
      </w:pPr>
      <w:r>
        <w:rPr>
          <w:rFonts w:hint="eastAsia" w:ascii="宋体" w:hAnsi="宋体"/>
        </w:rPr>
        <w:t>（2）教学条件有待提高：随着社会发展和相关行业的进步，新型的设计观念和新的艺术形式，以及新的设计工程材料的出现，都给景观设计专业教学与建设带来了新的课题。学生实践的局限性与经费的短缺成为专业发展的瓶颈。</w:t>
      </w:r>
    </w:p>
    <w:p>
      <w:pPr>
        <w:pStyle w:val="6"/>
        <w:ind w:firstLine="480"/>
      </w:pPr>
      <w:r>
        <w:rPr>
          <w:rFonts w:hint="eastAsia"/>
        </w:rPr>
        <w:t>2.整改措施</w:t>
      </w:r>
    </w:p>
    <w:p>
      <w:pPr>
        <w:ind w:firstLine="480" w:firstLineChars="200"/>
        <w:rPr>
          <w:rFonts w:ascii="宋体" w:hAnsi="宋体"/>
        </w:rPr>
      </w:pPr>
      <w:r>
        <w:rPr>
          <w:rFonts w:hint="eastAsia" w:ascii="宋体" w:hAnsi="宋体"/>
        </w:rPr>
        <w:t>（1）利用学科建设专项资金，派年轻老师去国内外知名大学的建筑系、城市规划系、风景园林系或景观设计系进修或攻读博硕士学位，开拓视野，提升业务能力；改进人才引进措施，提高待遇条件，引进建工院校和综合性大学的建筑学、城市规划等方向的专业师资，优化师资结构；在引进高层次人才的同时，定期聘请设计公司和工程企业的高级人才来学校交流授课，将鲜活的工程实践进展带进学校，带进课堂，提高学生对专业、对社会的了解。</w:t>
      </w:r>
    </w:p>
    <w:p>
      <w:pPr>
        <w:ind w:firstLine="480" w:firstLineChars="200"/>
        <w:rPr>
          <w:rFonts w:ascii="宋体" w:hAnsi="宋体"/>
        </w:rPr>
      </w:pPr>
      <w:r>
        <w:rPr>
          <w:rFonts w:hint="eastAsia" w:ascii="宋体" w:hAnsi="宋体"/>
        </w:rPr>
        <w:t>（2）扩大绘画制图中心面积，提升绘画制图中心设备质量；争取每个教学班拥有单独的专业教室；组建工程模型实验室，进行工程演示实验；与企业加强合作，增加学生的专业实践机会，利用假期引导学生参观学习材料市场，调研新型城市公园市政景观设计等。</w:t>
      </w:r>
    </w:p>
    <w:p>
      <w:r>
        <w:rPr>
          <w:rFonts w:hint="eastAsia"/>
        </w:rPr>
        <w:br w:type="page"/>
      </w:r>
    </w:p>
    <w:p>
      <w:pPr>
        <w:pStyle w:val="4"/>
        <w:ind w:firstLine="600"/>
      </w:pPr>
      <w:bookmarkStart w:id="850" w:name="_Toc24892"/>
      <w:r>
        <w:rPr>
          <w:rFonts w:hint="eastAsia"/>
          <w:lang w:val="en-US"/>
        </w:rPr>
        <w:t>专业八十三：</w:t>
      </w:r>
      <w:r>
        <w:rPr>
          <w:rFonts w:hint="eastAsia"/>
        </w:rPr>
        <w:t>环境设计（室内设计方向）</w:t>
      </w:r>
      <w:bookmarkEnd w:id="850"/>
    </w:p>
    <w:p>
      <w:pPr>
        <w:pStyle w:val="5"/>
        <w:spacing w:before="93" w:after="93"/>
        <w:ind w:firstLine="560"/>
      </w:pPr>
      <w:r>
        <w:t>一、培养目标与规格</w:t>
      </w:r>
    </w:p>
    <w:p>
      <w:pPr>
        <w:ind w:firstLine="480" w:firstLineChars="200"/>
        <w:rPr>
          <w:rFonts w:ascii="宋体" w:hAnsi="宋体" w:cs="宋体"/>
          <w:szCs w:val="24"/>
        </w:rPr>
      </w:pPr>
      <w:r>
        <w:rPr>
          <w:rFonts w:hint="eastAsia" w:ascii="黑体" w:hAnsi="黑体" w:eastAsia="黑体" w:cs="黑体"/>
          <w:szCs w:val="24"/>
        </w:rPr>
        <w:t>培养目标：</w:t>
      </w:r>
      <w:r>
        <w:rPr>
          <w:rFonts w:hint="eastAsia" w:ascii="宋体" w:hAnsi="宋体" w:cs="宋体"/>
          <w:szCs w:val="24"/>
        </w:rPr>
        <w:t>本专业培养德、智、体、美全面发展，具有扎实的环境艺术设计基础理论知识、专业设计能力和熟练的计算机应用能力；熟悉国内外发展现状、趋势和专业技术规范；具有前瞻性的科学思维、较强的实践动手能力、专业应用能力、自主学习能力、团队协作和组织协调能力以及较强的创新意识和良好的职业道德；能从事环境艺术设计、规划、施工、策划及管理等方面工作的应用型创新型高级专门人才。毕业生毕业后经过</w:t>
      </w:r>
      <w:r>
        <w:rPr>
          <w:rFonts w:ascii="宋体" w:hAnsi="宋体"/>
          <w:szCs w:val="24"/>
        </w:rPr>
        <w:t>5</w:t>
      </w:r>
      <w:r>
        <w:rPr>
          <w:rFonts w:hint="eastAsia" w:ascii="宋体" w:hAnsi="宋体" w:cs="宋体"/>
          <w:szCs w:val="24"/>
        </w:rPr>
        <w:t>年左右的工作实践，具备解决公共性室内外空间设计及室内外环境工程项目等复杂工程的设计能力，达到设计师的职业要求。</w:t>
      </w:r>
    </w:p>
    <w:p>
      <w:pPr>
        <w:pStyle w:val="31"/>
        <w:spacing w:line="400" w:lineRule="exact"/>
        <w:ind w:firstLine="480"/>
      </w:pPr>
      <w:r>
        <w:rPr>
          <w:rFonts w:hint="eastAsia" w:ascii="黑体" w:hAnsi="黑体" w:eastAsia="黑体" w:cs="黑体"/>
          <w:szCs w:val="24"/>
        </w:rPr>
        <w:t>培养规格：</w:t>
      </w:r>
      <w:r>
        <w:rPr>
          <w:rFonts w:hint="eastAsia"/>
        </w:rPr>
        <w:t>具备人文科学和</w:t>
      </w:r>
      <w:r>
        <w:rPr>
          <w:rFonts w:hint="eastAsia" w:ascii="宋体" w:hAnsi="宋体"/>
        </w:rPr>
        <w:t>基础理论知识</w:t>
      </w:r>
      <w:r>
        <w:rPr>
          <w:rFonts w:hint="eastAsia"/>
        </w:rPr>
        <w:t>、专业设计能力和计算机应用能力；具有设计创新意识、实践动手能力、自主学习能力、专业应用能力、团队协作能力、组织协调能力和良好的职业道德；熟悉国内外专业发展现状、趋势和设计规范，能够运用设计知识和专业技能，分析并解决环境艺术设计中的较复杂设计问题；</w:t>
      </w:r>
      <w:r>
        <w:rPr>
          <w:rFonts w:hint="eastAsia" w:ascii="宋体" w:hAnsi="宋体"/>
        </w:rPr>
        <w:t>能在设计、装饰、建筑、策划、园林、设计院等部门从事</w:t>
      </w:r>
      <w:r>
        <w:rPr>
          <w:rFonts w:hint="eastAsia" w:ascii="宋体" w:hAnsi="宋体"/>
          <w:color w:val="000000"/>
          <w:kern w:val="0"/>
        </w:rPr>
        <w:t>室内、景观、</w:t>
      </w:r>
      <w:r>
        <w:rPr>
          <w:rFonts w:hint="eastAsia" w:ascii="宋体" w:hAnsi="宋体"/>
        </w:rPr>
        <w:t>规划、</w:t>
      </w:r>
      <w:r>
        <w:rPr>
          <w:rFonts w:hint="eastAsia" w:ascii="宋体" w:hAnsi="宋体"/>
          <w:color w:val="000000"/>
          <w:kern w:val="0"/>
        </w:rPr>
        <w:t>广告、</w:t>
      </w:r>
      <w:r>
        <w:rPr>
          <w:rFonts w:hint="eastAsia" w:ascii="宋体" w:hAnsi="宋体"/>
        </w:rPr>
        <w:t>施工、管理</w:t>
      </w:r>
      <w:r>
        <w:rPr>
          <w:rFonts w:hint="eastAsia" w:ascii="宋体" w:hAnsi="宋体"/>
          <w:color w:val="000000"/>
          <w:kern w:val="0"/>
        </w:rPr>
        <w:t>等</w:t>
      </w:r>
      <w:r>
        <w:rPr>
          <w:rFonts w:hint="eastAsia" w:ascii="宋体" w:hAnsi="宋体"/>
        </w:rPr>
        <w:t>方面工作</w:t>
      </w:r>
      <w:r>
        <w:rPr>
          <w:rFonts w:hint="eastAsia" w:ascii="宋体" w:hAnsi="宋体"/>
          <w:color w:val="000000"/>
          <w:kern w:val="0"/>
        </w:rPr>
        <w:t>。</w:t>
      </w:r>
    </w:p>
    <w:p>
      <w:pPr>
        <w:pStyle w:val="5"/>
        <w:spacing w:before="93" w:after="93"/>
        <w:ind w:firstLine="560"/>
      </w:pPr>
      <w:r>
        <w:rPr>
          <w:rFonts w:hint="eastAsia"/>
        </w:rPr>
        <w:t>二、培养能力</w:t>
      </w:r>
    </w:p>
    <w:p>
      <w:pPr>
        <w:ind w:firstLine="480" w:firstLineChars="200"/>
        <w:rPr>
          <w:szCs w:val="24"/>
        </w:rPr>
      </w:pPr>
      <w:r>
        <w:rPr>
          <w:rFonts w:hint="eastAsia" w:ascii="黑体" w:hAnsi="黑体" w:eastAsia="黑体" w:cs="黑体"/>
          <w:szCs w:val="24"/>
        </w:rPr>
        <w:t>专业基本情况：</w:t>
      </w:r>
      <w:r>
        <w:rPr>
          <w:rFonts w:hint="eastAsia"/>
          <w:szCs w:val="24"/>
        </w:rPr>
        <w:t>本专业的设置重视专业基础的教学，重视创造性思维训练，注意分析能力、判断能力、创新能力和整体设计的把握能力的培养；坚持理论与实践相结合的教学理念，要求学生在与社会的广泛接触、与企业的深入交流中学习鲜活的知识，发现自身优势与不足，成长为能够站在时代前沿、适应激烈的市场竞争，具有巩固的专业基础、理论知识和专业技能、具有创造力的设计师。</w:t>
      </w:r>
    </w:p>
    <w:p>
      <w:pPr>
        <w:ind w:firstLine="480" w:firstLineChars="200"/>
        <w:rPr>
          <w:rFonts w:ascii="宋体" w:hAnsi="宋体"/>
          <w:szCs w:val="24"/>
        </w:rPr>
      </w:pPr>
      <w:r>
        <w:rPr>
          <w:rFonts w:hint="eastAsia" w:ascii="宋体" w:hAnsi="宋体"/>
          <w:szCs w:val="24"/>
        </w:rPr>
        <w:t>目</w:t>
      </w:r>
      <w:r>
        <w:rPr>
          <w:rFonts w:hint="default" w:ascii="Times New Roman" w:hAnsi="Times New Roman" w:cs="Times New Roman"/>
          <w:szCs w:val="24"/>
        </w:rPr>
        <w:t>前2019级54人、2020级69人，2021级68人，2022级</w:t>
      </w:r>
      <w:r>
        <w:rPr>
          <w:rFonts w:hint="eastAsia" w:ascii="宋体" w:hAnsi="宋体"/>
          <w:szCs w:val="24"/>
        </w:rPr>
        <w:t>属于大类招生，暂时还没分专业。</w:t>
      </w:r>
    </w:p>
    <w:p>
      <w:pPr>
        <w:ind w:firstLine="422" w:firstLineChars="200"/>
        <w:jc w:val="center"/>
        <w:rPr>
          <w:b/>
          <w:bCs/>
          <w:sz w:val="21"/>
          <w:szCs w:val="21"/>
        </w:rPr>
      </w:pPr>
      <w:r>
        <w:rPr>
          <w:rFonts w:hint="eastAsia"/>
          <w:b/>
          <w:bCs/>
          <w:sz w:val="21"/>
          <w:szCs w:val="21"/>
        </w:rPr>
        <w:t>目前环境设计专业在校生人数统计情况</w:t>
      </w:r>
    </w:p>
    <w:tbl>
      <w:tblPr>
        <w:tblStyle w:val="17"/>
        <w:tblpPr w:leftFromText="180" w:rightFromText="180" w:vertAnchor="text" w:horzAnchor="margin" w:tblpXSpec="center" w:tblpY="196"/>
        <w:tblW w:w="8568" w:type="dxa"/>
        <w:tblInd w:w="0"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713"/>
        <w:gridCol w:w="1714"/>
        <w:gridCol w:w="1713"/>
        <w:gridCol w:w="1714"/>
        <w:gridCol w:w="1714"/>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78" w:hRule="atLeast"/>
        </w:trPr>
        <w:tc>
          <w:tcPr>
            <w:tcW w:w="1713" w:type="dxa"/>
            <w:tcBorders>
              <w:right w:val="single" w:color="auto" w:sz="4" w:space="0"/>
            </w:tcBorders>
          </w:tcPr>
          <w:p>
            <w:pPr>
              <w:pStyle w:val="25"/>
              <w:rPr>
                <w:b/>
                <w:bCs/>
                <w:sz w:val="21"/>
                <w:szCs w:val="21"/>
              </w:rPr>
            </w:pPr>
            <w:r>
              <w:rPr>
                <w:rFonts w:hint="eastAsia"/>
                <w:b/>
                <w:bCs/>
                <w:sz w:val="21"/>
                <w:szCs w:val="21"/>
              </w:rPr>
              <w:t>年级</w:t>
            </w:r>
          </w:p>
        </w:tc>
        <w:tc>
          <w:tcPr>
            <w:tcW w:w="1714" w:type="dxa"/>
            <w:tcBorders>
              <w:left w:val="single" w:color="auto" w:sz="4" w:space="0"/>
            </w:tcBorders>
          </w:tcPr>
          <w:p>
            <w:pPr>
              <w:pStyle w:val="25"/>
              <w:rPr>
                <w:b/>
                <w:bCs/>
                <w:sz w:val="21"/>
                <w:szCs w:val="21"/>
              </w:rPr>
            </w:pPr>
            <w:r>
              <w:rPr>
                <w:rFonts w:hint="eastAsia"/>
                <w:b/>
                <w:bCs/>
                <w:sz w:val="21"/>
                <w:szCs w:val="21"/>
              </w:rPr>
              <w:t>2019级</w:t>
            </w:r>
          </w:p>
        </w:tc>
        <w:tc>
          <w:tcPr>
            <w:tcW w:w="1713" w:type="dxa"/>
          </w:tcPr>
          <w:p>
            <w:pPr>
              <w:pStyle w:val="25"/>
              <w:rPr>
                <w:b/>
                <w:bCs/>
                <w:sz w:val="21"/>
                <w:szCs w:val="21"/>
              </w:rPr>
            </w:pPr>
            <w:r>
              <w:rPr>
                <w:rFonts w:hint="eastAsia"/>
                <w:b/>
                <w:bCs/>
                <w:sz w:val="21"/>
                <w:szCs w:val="21"/>
              </w:rPr>
              <w:t>2020级</w:t>
            </w:r>
          </w:p>
        </w:tc>
        <w:tc>
          <w:tcPr>
            <w:tcW w:w="1714" w:type="dxa"/>
          </w:tcPr>
          <w:p>
            <w:pPr>
              <w:pStyle w:val="25"/>
              <w:rPr>
                <w:b/>
                <w:bCs/>
                <w:sz w:val="21"/>
                <w:szCs w:val="21"/>
              </w:rPr>
            </w:pPr>
            <w:r>
              <w:rPr>
                <w:rFonts w:hint="eastAsia"/>
                <w:b/>
                <w:bCs/>
                <w:sz w:val="21"/>
                <w:szCs w:val="21"/>
              </w:rPr>
              <w:t>2021级</w:t>
            </w:r>
          </w:p>
        </w:tc>
        <w:tc>
          <w:tcPr>
            <w:tcW w:w="1714" w:type="dxa"/>
          </w:tcPr>
          <w:p>
            <w:pPr>
              <w:pStyle w:val="25"/>
              <w:rPr>
                <w:b/>
                <w:bCs/>
                <w:sz w:val="21"/>
                <w:szCs w:val="21"/>
              </w:rPr>
            </w:pPr>
            <w:r>
              <w:rPr>
                <w:rFonts w:hint="eastAsia"/>
                <w:b/>
                <w:bCs/>
                <w:sz w:val="21"/>
                <w:szCs w:val="21"/>
              </w:rPr>
              <w:t>2022级</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78" w:hRule="atLeast"/>
        </w:trPr>
        <w:tc>
          <w:tcPr>
            <w:tcW w:w="1713" w:type="dxa"/>
            <w:tcBorders>
              <w:bottom w:val="single" w:color="auto" w:sz="4" w:space="0"/>
              <w:right w:val="single" w:color="auto" w:sz="4" w:space="0"/>
            </w:tcBorders>
            <w:vAlign w:val="center"/>
          </w:tcPr>
          <w:p>
            <w:pPr>
              <w:pStyle w:val="25"/>
              <w:rPr>
                <w:sz w:val="21"/>
                <w:szCs w:val="21"/>
              </w:rPr>
            </w:pPr>
            <w:r>
              <w:rPr>
                <w:rFonts w:hint="eastAsia"/>
                <w:sz w:val="21"/>
                <w:szCs w:val="21"/>
              </w:rPr>
              <w:t>招生人数</w:t>
            </w:r>
          </w:p>
        </w:tc>
        <w:tc>
          <w:tcPr>
            <w:tcW w:w="1714" w:type="dxa"/>
            <w:tcBorders>
              <w:left w:val="single" w:color="auto" w:sz="4" w:space="0"/>
              <w:bottom w:val="single" w:color="auto" w:sz="4" w:space="0"/>
            </w:tcBorders>
            <w:vAlign w:val="center"/>
          </w:tcPr>
          <w:p>
            <w:pPr>
              <w:pStyle w:val="25"/>
              <w:rPr>
                <w:sz w:val="21"/>
                <w:szCs w:val="21"/>
              </w:rPr>
            </w:pPr>
            <w:r>
              <w:rPr>
                <w:rFonts w:hint="eastAsia"/>
                <w:sz w:val="21"/>
                <w:szCs w:val="21"/>
              </w:rPr>
              <w:t>54人</w:t>
            </w:r>
          </w:p>
        </w:tc>
        <w:tc>
          <w:tcPr>
            <w:tcW w:w="1713" w:type="dxa"/>
            <w:tcBorders>
              <w:bottom w:val="single" w:color="auto" w:sz="4" w:space="0"/>
            </w:tcBorders>
            <w:vAlign w:val="center"/>
          </w:tcPr>
          <w:p>
            <w:pPr>
              <w:pStyle w:val="25"/>
              <w:rPr>
                <w:sz w:val="21"/>
                <w:szCs w:val="21"/>
              </w:rPr>
            </w:pPr>
            <w:r>
              <w:rPr>
                <w:sz w:val="21"/>
                <w:szCs w:val="21"/>
              </w:rPr>
              <w:t>69</w:t>
            </w:r>
          </w:p>
        </w:tc>
        <w:tc>
          <w:tcPr>
            <w:tcW w:w="1714" w:type="dxa"/>
            <w:tcBorders>
              <w:bottom w:val="single" w:color="auto" w:sz="4" w:space="0"/>
            </w:tcBorders>
            <w:vAlign w:val="center"/>
          </w:tcPr>
          <w:p>
            <w:pPr>
              <w:pStyle w:val="25"/>
              <w:rPr>
                <w:sz w:val="21"/>
                <w:szCs w:val="21"/>
              </w:rPr>
            </w:pPr>
            <w:r>
              <w:rPr>
                <w:sz w:val="21"/>
                <w:szCs w:val="21"/>
              </w:rPr>
              <w:t>68</w:t>
            </w:r>
          </w:p>
        </w:tc>
        <w:tc>
          <w:tcPr>
            <w:tcW w:w="1714" w:type="dxa"/>
            <w:tcBorders>
              <w:bottom w:val="single" w:color="auto" w:sz="4" w:space="0"/>
            </w:tcBorders>
            <w:vAlign w:val="center"/>
          </w:tcPr>
          <w:p>
            <w:pPr>
              <w:pStyle w:val="25"/>
              <w:rPr>
                <w:sz w:val="21"/>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78" w:hRule="atLeast"/>
        </w:trPr>
        <w:tc>
          <w:tcPr>
            <w:tcW w:w="1713" w:type="dxa"/>
            <w:tcBorders>
              <w:top w:val="single" w:color="auto" w:sz="4" w:space="0"/>
              <w:right w:val="single" w:color="auto" w:sz="4" w:space="0"/>
            </w:tcBorders>
            <w:vAlign w:val="center"/>
          </w:tcPr>
          <w:p>
            <w:pPr>
              <w:pStyle w:val="25"/>
              <w:rPr>
                <w:sz w:val="21"/>
                <w:szCs w:val="21"/>
              </w:rPr>
            </w:pPr>
            <w:r>
              <w:rPr>
                <w:rFonts w:hint="eastAsia"/>
                <w:sz w:val="21"/>
                <w:szCs w:val="21"/>
              </w:rPr>
              <w:t>报到率</w:t>
            </w:r>
          </w:p>
        </w:tc>
        <w:tc>
          <w:tcPr>
            <w:tcW w:w="1714" w:type="dxa"/>
            <w:tcBorders>
              <w:top w:val="single" w:color="auto" w:sz="4" w:space="0"/>
              <w:left w:val="single" w:color="auto" w:sz="4" w:space="0"/>
            </w:tcBorders>
            <w:vAlign w:val="center"/>
          </w:tcPr>
          <w:p>
            <w:pPr>
              <w:pStyle w:val="25"/>
              <w:rPr>
                <w:sz w:val="21"/>
                <w:szCs w:val="21"/>
              </w:rPr>
            </w:pPr>
            <w:r>
              <w:rPr>
                <w:rFonts w:hint="eastAsia"/>
                <w:sz w:val="21"/>
                <w:szCs w:val="21"/>
              </w:rPr>
              <w:t>100%</w:t>
            </w:r>
          </w:p>
        </w:tc>
        <w:tc>
          <w:tcPr>
            <w:tcW w:w="1713" w:type="dxa"/>
            <w:tcBorders>
              <w:top w:val="single" w:color="auto" w:sz="4" w:space="0"/>
            </w:tcBorders>
            <w:vAlign w:val="center"/>
          </w:tcPr>
          <w:p>
            <w:pPr>
              <w:pStyle w:val="25"/>
              <w:rPr>
                <w:sz w:val="21"/>
                <w:szCs w:val="21"/>
              </w:rPr>
            </w:pPr>
            <w:r>
              <w:rPr>
                <w:rFonts w:hint="eastAsia"/>
                <w:sz w:val="21"/>
                <w:szCs w:val="21"/>
              </w:rPr>
              <w:t>100%</w:t>
            </w:r>
          </w:p>
        </w:tc>
        <w:tc>
          <w:tcPr>
            <w:tcW w:w="1714" w:type="dxa"/>
            <w:tcBorders>
              <w:top w:val="single" w:color="auto" w:sz="4" w:space="0"/>
            </w:tcBorders>
            <w:vAlign w:val="center"/>
          </w:tcPr>
          <w:p>
            <w:pPr>
              <w:pStyle w:val="25"/>
              <w:rPr>
                <w:sz w:val="21"/>
                <w:szCs w:val="21"/>
              </w:rPr>
            </w:pPr>
            <w:r>
              <w:rPr>
                <w:rFonts w:hint="eastAsia"/>
                <w:sz w:val="21"/>
                <w:szCs w:val="21"/>
              </w:rPr>
              <w:t>100%</w:t>
            </w:r>
          </w:p>
        </w:tc>
        <w:tc>
          <w:tcPr>
            <w:tcW w:w="1714" w:type="dxa"/>
            <w:tcBorders>
              <w:top w:val="single" w:color="auto" w:sz="4" w:space="0"/>
            </w:tcBorders>
            <w:vAlign w:val="center"/>
          </w:tcPr>
          <w:p>
            <w:pPr>
              <w:pStyle w:val="25"/>
              <w:rPr>
                <w:sz w:val="21"/>
                <w:szCs w:val="21"/>
              </w:rPr>
            </w:pPr>
          </w:p>
        </w:tc>
      </w:tr>
    </w:tbl>
    <w:p>
      <w:pPr>
        <w:ind w:firstLine="480" w:firstLineChars="200"/>
        <w:rPr>
          <w:szCs w:val="24"/>
        </w:rPr>
      </w:pPr>
      <w:r>
        <w:rPr>
          <w:rFonts w:hint="eastAsia" w:ascii="黑体" w:hAnsi="黑体" w:eastAsia="黑体" w:cs="黑体"/>
          <w:szCs w:val="24"/>
        </w:rPr>
        <w:t>课程体系：</w:t>
      </w:r>
      <w:r>
        <w:rPr>
          <w:rFonts w:hint="eastAsia"/>
          <w:szCs w:val="24"/>
        </w:rPr>
        <w:t>优化课程建设一直是本专业教学基本建设的重要内容，是专业办学水平的综合反映。2019年结合设计</w:t>
      </w:r>
      <w:r>
        <w:rPr>
          <w:rFonts w:hint="eastAsia" w:ascii="宋体" w:hAnsi="宋体"/>
          <w:szCs w:val="24"/>
        </w:rPr>
        <w:t>类招生</w:t>
      </w:r>
      <w:r>
        <w:rPr>
          <w:rFonts w:hint="eastAsia"/>
          <w:szCs w:val="24"/>
        </w:rPr>
        <w:t>专业特色，经过多次论证，对2019级环境设计专业培养方案进行了调整，制定了切合设计</w:t>
      </w:r>
      <w:r>
        <w:rPr>
          <w:rFonts w:hint="eastAsia" w:ascii="宋体" w:hAnsi="宋体"/>
          <w:szCs w:val="24"/>
        </w:rPr>
        <w:t>类</w:t>
      </w:r>
      <w:r>
        <w:rPr>
          <w:rFonts w:hint="eastAsia"/>
          <w:szCs w:val="24"/>
        </w:rPr>
        <w:t>专业特点的培养目标，对专业基础课进行了调整，其中通识必修课14门，通识选修课6门，学科基础课21门，专业核心课6门，专业方向课(专业交叉课、专业分流课) 12门，专业拓展课2门，其中必修课共139学分，选修课共31学分，实践教学环节共42学分。根据行业动态发展和以提高学生设计水平的前提下，环境设计专业还将聘请校外专家开设相关系列专题讲座。</w:t>
      </w:r>
    </w:p>
    <w:p>
      <w:pPr>
        <w:ind w:firstLine="480" w:firstLineChars="200"/>
        <w:rPr>
          <w:szCs w:val="24"/>
        </w:rPr>
      </w:pPr>
      <w:r>
        <w:rPr>
          <w:rFonts w:hint="eastAsia" w:ascii="黑体" w:hAnsi="黑体" w:eastAsia="黑体" w:cs="黑体"/>
          <w:szCs w:val="24"/>
        </w:rPr>
        <w:t>创新创业教育：</w:t>
      </w:r>
      <w:r>
        <w:rPr>
          <w:rFonts w:hint="eastAsia"/>
          <w:szCs w:val="24"/>
        </w:rPr>
        <w:t>创新创业教育是以培养具有创业基本素质和开创型个性的人才为目标，不仅仅以培育在校学生的创业意识、创业精神、创新创业能力为主的教育，而是使学生的眼光要面向社会，面向未来，为将来的就业和创业打下一个深厚的基础。环境设计专业创新创业教育始于2013年，是学院遵照“建设创新型国家”和“促进以创业带动就业”的发展战略，坚持服务地方经济社会发展和建设创新创业型城市发展定位，积极探索创新创业教育的重要举措。在学院行政及党委的领导下，分别建设了“农大手绘工作室”、“雕刻时光”、“创想咖啡工作室”三个创新创业团队。目前，三个创业团队已成为我院首批实现社会创业的大学生创业团队。</w:t>
      </w:r>
    </w:p>
    <w:p>
      <w:pPr>
        <w:pStyle w:val="5"/>
        <w:spacing w:before="93" w:after="93"/>
        <w:ind w:firstLine="560"/>
      </w:pPr>
      <w:r>
        <w:rPr>
          <w:rFonts w:hint="eastAsia"/>
        </w:rPr>
        <w:t>三、培养条件</w:t>
      </w:r>
    </w:p>
    <w:p>
      <w:pPr>
        <w:ind w:firstLine="480" w:firstLineChars="200"/>
        <w:rPr>
          <w:szCs w:val="24"/>
        </w:rPr>
      </w:pPr>
      <w:r>
        <w:rPr>
          <w:rFonts w:hint="eastAsia" w:ascii="黑体" w:hAnsi="黑体" w:eastAsia="黑体" w:cs="黑体"/>
          <w:szCs w:val="24"/>
        </w:rPr>
        <w:t>教学经费投入：</w:t>
      </w:r>
      <w:r>
        <w:rPr>
          <w:rFonts w:hint="eastAsia"/>
          <w:szCs w:val="24"/>
        </w:rPr>
        <w:t>教学经费是教学资源建设和日常教学运行的基本保障。本专业教学经费包括教学日常运行费用、教学改革费用、课程建设费用、教材建设费用、专业建设费用、校内外实践实习费用、教学研讨费用、教学差旅费用、图书资料购置费用、学生活动费用以及其他用于教学的费用等。随着社会的不断需求以及生源的质量要求，教学经费投入也在逐年增多，每年投入教学经费已达50多万元。</w:t>
      </w:r>
    </w:p>
    <w:p>
      <w:pPr>
        <w:ind w:firstLine="480" w:firstLineChars="200"/>
        <w:jc w:val="left"/>
        <w:rPr>
          <w:szCs w:val="24"/>
        </w:rPr>
      </w:pPr>
      <w:r>
        <w:rPr>
          <w:rFonts w:hint="eastAsia" w:ascii="黑体" w:hAnsi="黑体" w:eastAsia="黑体" w:cs="黑体"/>
          <w:szCs w:val="24"/>
        </w:rPr>
        <w:t>教学设备：</w:t>
      </w:r>
      <w:r>
        <w:rPr>
          <w:rFonts w:hint="eastAsia"/>
          <w:szCs w:val="24"/>
        </w:rPr>
        <w:t>实验室建设是专业的硬件部分，是办学的必备条件，也是办学能力的重要标志；拥有制图绘画实验教学中心（校级），经过多年建设和发展，在北校区设有制图绘画教学中心，面积达2700m</w:t>
      </w:r>
      <w:r>
        <w:rPr>
          <w:rFonts w:hint="eastAsia"/>
          <w:szCs w:val="24"/>
          <w:vertAlign w:val="superscript"/>
        </w:rPr>
        <w:t>2</w:t>
      </w:r>
      <w:r>
        <w:rPr>
          <w:rFonts w:hint="eastAsia"/>
          <w:szCs w:val="24"/>
        </w:rPr>
        <w:t>，其中多媒体教室11个、专业教室和画室18个，艺术设计专业展厅1个，制图类教学模型、模具1900多套（件），绘画用静物、石膏像、画架、衬布等2300多件（套），图板、丁字尺3000多套，固定资产总值近100万元。</w:t>
      </w:r>
    </w:p>
    <w:p>
      <w:pPr>
        <w:ind w:firstLine="480" w:firstLineChars="200"/>
        <w:rPr>
          <w:szCs w:val="24"/>
        </w:rPr>
      </w:pPr>
      <w:r>
        <w:rPr>
          <w:rFonts w:hint="eastAsia" w:ascii="黑体" w:hAnsi="黑体" w:eastAsia="黑体" w:cs="黑体"/>
          <w:szCs w:val="24"/>
        </w:rPr>
        <w:t>教师队伍建设：</w:t>
      </w:r>
      <w:r>
        <w:rPr>
          <w:rFonts w:hint="eastAsia"/>
          <w:szCs w:val="24"/>
        </w:rPr>
        <w:t>师资队伍是专业与学科建设的根本。环境设计专业一直重视师资队伍的建设，并采取了可行的措施：选派青年教师到重点院校进修学习；选派骨干教师作为访问学者与外校知名教授一起研究本专业前沿课题，及时准确了解本专业当前的发展动态，提高专业知识水平。通过抓住机遇，突出重点，加快人才引进和培养步伐，学科师资队伍总量有所增加，水平有所提高。目前环境设计专业有专职教师2</w:t>
      </w:r>
      <w:r>
        <w:rPr>
          <w:szCs w:val="24"/>
        </w:rPr>
        <w:t>2</w:t>
      </w:r>
      <w:r>
        <w:rPr>
          <w:rFonts w:hint="eastAsia"/>
          <w:szCs w:val="24"/>
        </w:rPr>
        <w:t>人，其中教授3人，副教授1</w:t>
      </w:r>
      <w:r>
        <w:rPr>
          <w:szCs w:val="24"/>
        </w:rPr>
        <w:t>1</w:t>
      </w:r>
      <w:r>
        <w:rPr>
          <w:rFonts w:hint="eastAsia"/>
          <w:szCs w:val="24"/>
        </w:rPr>
        <w:t>人，讲师7人，助教1人；高级职称占教师人数的</w:t>
      </w:r>
      <w:r>
        <w:rPr>
          <w:szCs w:val="24"/>
        </w:rPr>
        <w:t>63.6</w:t>
      </w:r>
      <w:r>
        <w:rPr>
          <w:rFonts w:hint="eastAsia"/>
          <w:szCs w:val="24"/>
        </w:rPr>
        <w:t>％，梯队结构相对合理；2</w:t>
      </w:r>
      <w:r>
        <w:rPr>
          <w:szCs w:val="24"/>
        </w:rPr>
        <w:t>2</w:t>
      </w:r>
      <w:r>
        <w:rPr>
          <w:rFonts w:hint="eastAsia"/>
          <w:szCs w:val="24"/>
        </w:rPr>
        <w:t>名教师有1</w:t>
      </w:r>
      <w:r>
        <w:rPr>
          <w:szCs w:val="24"/>
        </w:rPr>
        <w:t>8</w:t>
      </w:r>
      <w:r>
        <w:rPr>
          <w:rFonts w:hint="eastAsia"/>
          <w:szCs w:val="24"/>
        </w:rPr>
        <w:t>人取得硕士学位，</w:t>
      </w:r>
      <w:r>
        <w:rPr>
          <w:szCs w:val="24"/>
        </w:rPr>
        <w:t>2</w:t>
      </w:r>
      <w:r>
        <w:rPr>
          <w:rFonts w:hint="eastAsia"/>
          <w:szCs w:val="24"/>
        </w:rPr>
        <w:t>人取得博士学位，硕士以上教师人数达到了</w:t>
      </w:r>
      <w:r>
        <w:rPr>
          <w:szCs w:val="24"/>
        </w:rPr>
        <w:t>81.8</w:t>
      </w:r>
      <w:r>
        <w:rPr>
          <w:rFonts w:hint="eastAsia"/>
          <w:szCs w:val="24"/>
        </w:rPr>
        <w:t>％。以专业学术带头人为领军，以中青年教师为主体，将本专业师资队伍建成教学水平精湛，业务水平过硬，科研水平较强的教学和管理队伍。</w:t>
      </w:r>
    </w:p>
    <w:p>
      <w:pPr>
        <w:ind w:firstLine="480" w:firstLineChars="200"/>
        <w:rPr>
          <w:szCs w:val="24"/>
        </w:rPr>
      </w:pPr>
      <w:r>
        <w:rPr>
          <w:rFonts w:hint="eastAsia" w:ascii="黑体" w:hAnsi="黑体" w:eastAsia="黑体" w:cs="黑体"/>
          <w:szCs w:val="24"/>
        </w:rPr>
        <w:t>实习基地建设：</w:t>
      </w:r>
      <w:r>
        <w:rPr>
          <w:rFonts w:hint="eastAsia" w:ascii="宋体" w:hAnsi="宋体"/>
          <w:color w:val="000000"/>
        </w:rPr>
        <w:t>近年来，随着毕业生就业工作的不断创新，学院和有关专业教师积极开展毕业生就业见习工作，以增强与用人单位和毕业生之间的相互了解，使用人单位能够更加有选择、有目的培养和储备所需的人才；提高毕业生的实践能力和工作经验，增强毕业生就业能力。目前，已与6家企业建立校企合作关系，并挂牌成为环境设计专业长期教学、科研、就业实习基地。</w:t>
      </w:r>
      <w:r>
        <w:rPr>
          <w:rFonts w:hint="eastAsia"/>
          <w:szCs w:val="24"/>
        </w:rPr>
        <w:t>分别是：</w:t>
      </w:r>
      <w:r>
        <w:rPr>
          <w:rFonts w:hint="eastAsia" w:ascii="宋体" w:hAnsi="宋体"/>
        </w:rPr>
        <w:t>泰安市徂徕同利旅游开发有限公司、</w:t>
      </w:r>
      <w:r>
        <w:rPr>
          <w:rFonts w:hint="eastAsia"/>
          <w:szCs w:val="24"/>
        </w:rPr>
        <w:t>泰安市阔达建筑装饰工程有限公司，泰安市东易日盛装饰工程有限公司、</w:t>
      </w:r>
      <w:r>
        <w:rPr>
          <w:rFonts w:hint="eastAsia" w:ascii="宋体" w:hAnsi="宋体"/>
        </w:rPr>
        <w:t>泰安大唐宅配家具有限公司、安徽宏村镇六六六0写生基地、泰安市大汶口镇山西街村写生基地</w:t>
      </w:r>
      <w:r>
        <w:rPr>
          <w:rFonts w:hint="eastAsia"/>
          <w:szCs w:val="24"/>
        </w:rPr>
        <w:t>。实习基地多是以设计、施工和管理为主，基础设施完善，环境条件优越，现有的实习硬件设施包括设计室、材料样品室、会议室、接待室、主题样板间、工艺流程展示区等，基地单位的硬件设施为本专业实践教学的开展提供了有力的基础保障，同时也为学生职业素养的养成以及专业能力的促进提供了必备的条件。</w:t>
      </w:r>
    </w:p>
    <w:p>
      <w:pPr>
        <w:ind w:firstLine="480" w:firstLineChars="200"/>
        <w:rPr>
          <w:szCs w:val="24"/>
        </w:rPr>
      </w:pPr>
      <w:r>
        <w:rPr>
          <w:rFonts w:hint="eastAsia" w:ascii="黑体" w:hAnsi="黑体" w:eastAsia="黑体" w:cs="黑体"/>
          <w:szCs w:val="24"/>
        </w:rPr>
        <w:t>现代教学技术应用：</w:t>
      </w:r>
      <w:r>
        <w:rPr>
          <w:rFonts w:hint="eastAsia"/>
          <w:szCs w:val="24"/>
        </w:rPr>
        <w:t>信息化建设是学校信息管理、推行教育平台的重要环节，对现实管理意义重大。环境设计专业目前有2门校级精品课程（表现图技法和设计色彩），1门慕课课程（建筑速写）。经过不断调整、优化整合，已成为该专业网上学习的重要平台，学生可利用线上资源获取较多的信息以补充上课的不足。</w:t>
      </w:r>
    </w:p>
    <w:p>
      <w:pPr>
        <w:pStyle w:val="5"/>
        <w:spacing w:before="93" w:after="93"/>
        <w:ind w:firstLine="560"/>
      </w:pPr>
      <w:r>
        <w:rPr>
          <w:rFonts w:hint="eastAsia"/>
        </w:rPr>
        <w:t>四、培养机制与特色</w:t>
      </w:r>
    </w:p>
    <w:p>
      <w:pPr>
        <w:ind w:firstLine="480" w:firstLineChars="200"/>
        <w:rPr>
          <w:szCs w:val="24"/>
        </w:rPr>
      </w:pPr>
      <w:r>
        <w:rPr>
          <w:rFonts w:hint="eastAsia" w:ascii="黑体" w:hAnsi="黑体" w:eastAsia="黑体" w:cs="黑体"/>
          <w:szCs w:val="24"/>
        </w:rPr>
        <w:t>产学研协同育人机制：</w:t>
      </w:r>
      <w:r>
        <w:rPr>
          <w:rFonts w:hint="eastAsia"/>
          <w:szCs w:val="24"/>
        </w:rPr>
        <w:t>由于环境设计专业性较强，很早就提出了“校企联动、产学研结合”的办学思想，突出专业的“跨界性”，着力解决育人机制的关键问题，实施协同育人推进策略；在产学研协同育人机制结合方面注重理念创新、理论探索、制度建设、平台构建、文化倡导等方面的综合协调；注重因材施教，把人才培养置于产学研用的各个环节，形成课题驱动、项目任务驱动、创新计划驱动、创业工程驱动、复合专业学习、技能竞赛等多样化实施路径。</w:t>
      </w:r>
    </w:p>
    <w:p>
      <w:pPr>
        <w:ind w:firstLine="480" w:firstLineChars="200"/>
        <w:rPr>
          <w:szCs w:val="24"/>
        </w:rPr>
      </w:pPr>
      <w:r>
        <w:rPr>
          <w:rFonts w:hint="eastAsia" w:ascii="黑体" w:hAnsi="黑体" w:eastAsia="黑体" w:cs="黑体"/>
          <w:szCs w:val="24"/>
        </w:rPr>
        <w:t>教学管理：</w:t>
      </w:r>
      <w:r>
        <w:rPr>
          <w:rFonts w:hint="eastAsia"/>
          <w:szCs w:val="24"/>
        </w:rPr>
        <w:t>教学管理是环境设计专业教育中的重要内容，为了使教学活动达到学校既定的人才培养目标，保证良好的正常教学秩序进行。以系为单位开展一系列的教学模式探索，包括教学计划管理、教学运行管理、教学质量管理与评价，以及学科、专业、课程、教材、实验室、实践教学基地、学风、教学队伍、教学管理制度等教学基本建设管理，还包括教学研究与教学改革管理。通过制定教学工作计划，加强了教务行政管理工作，明确了教学工作目标，保证了学校教学工作有计划、有步骤、有条不紊地运转，提高了教学质量。</w:t>
      </w:r>
    </w:p>
    <w:p>
      <w:pPr>
        <w:pStyle w:val="5"/>
        <w:spacing w:before="93" w:after="93"/>
        <w:ind w:firstLine="560"/>
      </w:pPr>
      <w:r>
        <w:rPr>
          <w:rFonts w:hint="eastAsia"/>
        </w:rPr>
        <w:t>五、培养质量</w:t>
      </w:r>
    </w:p>
    <w:p>
      <w:pPr>
        <w:ind w:firstLine="480" w:firstLineChars="200"/>
        <w:rPr>
          <w:szCs w:val="24"/>
        </w:rPr>
      </w:pPr>
      <w:r>
        <w:rPr>
          <w:rFonts w:hint="eastAsia" w:ascii="黑体" w:hAnsi="黑体" w:eastAsia="黑体" w:cs="黑体"/>
          <w:szCs w:val="24"/>
        </w:rPr>
        <w:t>毕业生就业率：</w:t>
      </w:r>
      <w:r>
        <w:rPr>
          <w:rFonts w:hint="eastAsia"/>
          <w:szCs w:val="24"/>
        </w:rPr>
        <w:t>环境专业毕业生就业情况一直良好。</w:t>
      </w:r>
      <w:bookmarkStart w:id="851" w:name="_Hlk120222549"/>
      <w:r>
        <w:rPr>
          <w:rFonts w:hint="eastAsia"/>
          <w:szCs w:val="24"/>
        </w:rPr>
        <w:t>20</w:t>
      </w:r>
      <w:r>
        <w:rPr>
          <w:szCs w:val="24"/>
        </w:rPr>
        <w:t>21</w:t>
      </w:r>
      <w:r>
        <w:rPr>
          <w:rFonts w:hint="eastAsia"/>
          <w:szCs w:val="24"/>
        </w:rPr>
        <w:t>届考取研究生</w:t>
      </w:r>
      <w:r>
        <w:rPr>
          <w:szCs w:val="24"/>
        </w:rPr>
        <w:t>2</w:t>
      </w:r>
      <w:r>
        <w:rPr>
          <w:rFonts w:hint="eastAsia"/>
          <w:szCs w:val="24"/>
        </w:rPr>
        <w:t>人，协议就业</w:t>
      </w:r>
      <w:r>
        <w:rPr>
          <w:szCs w:val="24"/>
        </w:rPr>
        <w:t>7</w:t>
      </w:r>
      <w:r>
        <w:rPr>
          <w:rFonts w:hint="eastAsia"/>
          <w:szCs w:val="24"/>
        </w:rPr>
        <w:t>人，选调生</w:t>
      </w:r>
      <w:r>
        <w:rPr>
          <w:szCs w:val="24"/>
        </w:rPr>
        <w:t>2</w:t>
      </w:r>
      <w:r>
        <w:rPr>
          <w:rFonts w:hint="eastAsia"/>
          <w:szCs w:val="24"/>
        </w:rPr>
        <w:t>人，签订用人单位劳动合同</w:t>
      </w:r>
      <w:r>
        <w:rPr>
          <w:szCs w:val="24"/>
        </w:rPr>
        <w:t>3</w:t>
      </w:r>
      <w:r>
        <w:rPr>
          <w:rFonts w:hint="eastAsia"/>
          <w:szCs w:val="24"/>
        </w:rPr>
        <w:t>人，灵活就业</w:t>
      </w:r>
      <w:r>
        <w:rPr>
          <w:szCs w:val="24"/>
        </w:rPr>
        <w:t>17</w:t>
      </w:r>
      <w:r>
        <w:rPr>
          <w:rFonts w:hint="eastAsia"/>
          <w:szCs w:val="24"/>
        </w:rPr>
        <w:t>人，毕业生就业率为</w:t>
      </w:r>
      <w:r>
        <w:rPr>
          <w:szCs w:val="24"/>
        </w:rPr>
        <w:t>88.4</w:t>
      </w:r>
      <w:r>
        <w:rPr>
          <w:rFonts w:hint="eastAsia"/>
          <w:szCs w:val="24"/>
        </w:rPr>
        <w:t>%；</w:t>
      </w:r>
      <w:bookmarkEnd w:id="851"/>
      <w:r>
        <w:rPr>
          <w:rFonts w:hint="eastAsia"/>
          <w:szCs w:val="24"/>
        </w:rPr>
        <w:t>202</w:t>
      </w:r>
      <w:r>
        <w:rPr>
          <w:szCs w:val="24"/>
        </w:rPr>
        <w:t>2</w:t>
      </w:r>
      <w:r>
        <w:rPr>
          <w:rFonts w:hint="eastAsia"/>
          <w:szCs w:val="24"/>
        </w:rPr>
        <w:t>届考取研究生</w:t>
      </w:r>
      <w:r>
        <w:rPr>
          <w:szCs w:val="24"/>
        </w:rPr>
        <w:t>4</w:t>
      </w:r>
      <w:r>
        <w:rPr>
          <w:rFonts w:hint="eastAsia"/>
          <w:szCs w:val="24"/>
        </w:rPr>
        <w:t>人，协议就业1</w:t>
      </w:r>
      <w:r>
        <w:rPr>
          <w:szCs w:val="24"/>
        </w:rPr>
        <w:t>2</w:t>
      </w:r>
      <w:r>
        <w:rPr>
          <w:rFonts w:hint="eastAsia"/>
          <w:szCs w:val="24"/>
        </w:rPr>
        <w:t>人，灵活就业</w:t>
      </w:r>
      <w:r>
        <w:rPr>
          <w:szCs w:val="24"/>
        </w:rPr>
        <w:t>13</w:t>
      </w:r>
      <w:r>
        <w:rPr>
          <w:rFonts w:hint="eastAsia"/>
          <w:szCs w:val="24"/>
        </w:rPr>
        <w:t>人，签订用人单位劳动合同</w:t>
      </w:r>
      <w:r>
        <w:rPr>
          <w:szCs w:val="24"/>
        </w:rPr>
        <w:t>8</w:t>
      </w:r>
      <w:r>
        <w:rPr>
          <w:rFonts w:hint="eastAsia"/>
          <w:szCs w:val="24"/>
        </w:rPr>
        <w:t>人，自主创业</w:t>
      </w:r>
      <w:r>
        <w:rPr>
          <w:szCs w:val="24"/>
        </w:rPr>
        <w:t>1</w:t>
      </w:r>
      <w:r>
        <w:rPr>
          <w:rFonts w:hint="eastAsia"/>
          <w:szCs w:val="24"/>
        </w:rPr>
        <w:t>人，毕业生就业率为</w:t>
      </w:r>
      <w:bookmarkStart w:id="852" w:name="_Hlk120227890"/>
      <w:r>
        <w:rPr>
          <w:rFonts w:hint="eastAsia"/>
          <w:szCs w:val="24"/>
        </w:rPr>
        <w:t>70.9%</w:t>
      </w:r>
      <w:bookmarkEnd w:id="852"/>
      <w:r>
        <w:rPr>
          <w:rFonts w:hint="eastAsia"/>
          <w:szCs w:val="24"/>
        </w:rPr>
        <w:t>。就业岗位基本上都是与本专业相关岗位。</w:t>
      </w:r>
    </w:p>
    <w:p>
      <w:pPr>
        <w:ind w:firstLine="480" w:firstLineChars="200"/>
        <w:rPr>
          <w:szCs w:val="24"/>
        </w:rPr>
      </w:pPr>
      <w:r>
        <w:rPr>
          <w:rFonts w:hint="eastAsia" w:ascii="黑体" w:hAnsi="黑体" w:eastAsia="黑体" w:cs="黑体"/>
          <w:szCs w:val="24"/>
        </w:rPr>
        <w:t>就业专业对口率：</w:t>
      </w:r>
      <w:r>
        <w:rPr>
          <w:rFonts w:hint="eastAsia"/>
          <w:szCs w:val="24"/>
        </w:rPr>
        <w:t>根据近几年的就业市场来看，该专业社会需求旺盛，提供职位数每年都会达到应届毕业生人数的2倍以上，就业形势非常乐观。毕业生从第七学期开始就可以提前进入实习状态，在用人单位专业人员的指导下，专业能力得到了提高，有些专业设计公司长期与我系保持联系，每年定向从毕业生中招聘设计人员。</w:t>
      </w:r>
    </w:p>
    <w:p>
      <w:pPr>
        <w:ind w:firstLine="480" w:firstLineChars="200"/>
        <w:rPr>
          <w:szCs w:val="24"/>
        </w:rPr>
      </w:pPr>
      <w:r>
        <w:rPr>
          <w:rFonts w:hint="eastAsia" w:ascii="黑体" w:hAnsi="黑体" w:eastAsia="黑体" w:cs="黑体"/>
          <w:szCs w:val="24"/>
        </w:rPr>
        <w:t>毕业生发展情况：</w:t>
      </w:r>
      <w:r>
        <w:rPr>
          <w:rFonts w:hint="eastAsia"/>
          <w:szCs w:val="24"/>
        </w:rPr>
        <w:t>截至2022年11月底，2022届的毕业生大多分布在本省各大设计公司，也有部分毕业生在省外就业。另外，还有一小部分学生正在积极备考研究生。</w:t>
      </w:r>
    </w:p>
    <w:p>
      <w:pPr>
        <w:ind w:firstLine="480" w:firstLineChars="200"/>
        <w:rPr>
          <w:szCs w:val="24"/>
        </w:rPr>
      </w:pPr>
      <w:r>
        <w:rPr>
          <w:rFonts w:hint="eastAsia" w:ascii="黑体" w:hAnsi="黑体" w:eastAsia="黑体" w:cs="黑体"/>
          <w:szCs w:val="24"/>
        </w:rPr>
        <w:t>就业单位满意率：</w:t>
      </w:r>
      <w:r>
        <w:rPr>
          <w:rFonts w:hint="eastAsia"/>
          <w:szCs w:val="24"/>
        </w:rPr>
        <w:t>从2022届毕业生就业单位情况看，用人单位普遍反映我系毕业生专业知识扎实，综合素质较高，肯吃苦，对环境设计学生的认知度较高。很多单位在聘用我系毕业生之后还主动联系我们成为了合作单位。</w:t>
      </w:r>
    </w:p>
    <w:p>
      <w:pPr>
        <w:ind w:firstLine="480" w:firstLineChars="200"/>
        <w:rPr>
          <w:szCs w:val="24"/>
        </w:rPr>
      </w:pPr>
      <w:r>
        <w:rPr>
          <w:rFonts w:hint="eastAsia" w:ascii="黑体" w:hAnsi="黑体" w:eastAsia="黑体" w:cs="黑体"/>
          <w:szCs w:val="24"/>
        </w:rPr>
        <w:t>社会对专业的评价：</w:t>
      </w:r>
      <w:r>
        <w:rPr>
          <w:rFonts w:hint="eastAsia"/>
          <w:szCs w:val="24"/>
        </w:rPr>
        <w:t>本专业毕业生在社会领域普遍发展良好，有大量杰出校友在本领域做出了骄人的成绩。乔峰，泗水海南星艺装饰设计公司总经理，2004级艺术设计专业学生，2006年开始创业，目前公司年产值约800万，主要从事家装和大型工装项目的设计与施工；2005级的葛存刚，在东营市创建“希望美术”培训学校，年营业额达2000多万。2009级的程奎，邹城市鼎盛装饰工程有限公司总经理，2013年9月29日注册成立，总投资30余万余，占地300多平方。现有正式员工15名，专业施工队伍5支、施工人员50余人；2013—2014年业务年内完成总产值500万的任务。公司采取“竞争优先”机制，长期严格培养出一批高素质、高效率、稳固的施工队伍，精心的设计、完善的服务，取得了良好的社会效益。</w:t>
      </w:r>
      <w:r>
        <w:rPr>
          <w:rFonts w:hint="eastAsia" w:ascii="宋体" w:hAnsi="宋体"/>
          <w:szCs w:val="24"/>
        </w:rPr>
        <w:t>周晓，2008级环境设计专业学生，海南翰泰建筑装饰设计</w:t>
      </w:r>
      <w:r>
        <w:rPr>
          <w:rFonts w:hint="eastAsia"/>
          <w:szCs w:val="24"/>
        </w:rPr>
        <w:t>有限公司总经理，2013年9月2日注册成立，注册资金500万元，经营范围：建筑装饰装修工程，室内装饰设计服务、企业形象策划、建筑材料、家装设计等。</w:t>
      </w:r>
    </w:p>
    <w:p>
      <w:pPr>
        <w:ind w:firstLine="480" w:firstLineChars="200"/>
        <w:rPr>
          <w:szCs w:val="24"/>
        </w:rPr>
      </w:pPr>
      <w:r>
        <w:rPr>
          <w:rFonts w:hint="eastAsia" w:ascii="黑体" w:hAnsi="黑体" w:eastAsia="黑体" w:cs="黑体"/>
          <w:szCs w:val="24"/>
        </w:rPr>
        <w:t>学生就读该专业的意愿：</w:t>
      </w:r>
      <w:r>
        <w:rPr>
          <w:rFonts w:hint="eastAsia"/>
          <w:szCs w:val="24"/>
        </w:rPr>
        <w:t>本专业202</w:t>
      </w:r>
      <w:r>
        <w:rPr>
          <w:szCs w:val="24"/>
        </w:rPr>
        <w:t>2</w:t>
      </w:r>
      <w:r>
        <w:rPr>
          <w:rFonts w:hint="eastAsia"/>
          <w:szCs w:val="24"/>
        </w:rPr>
        <w:t>级本科生的一次录取率及报到率100%。通过调查发现，当前学习设计专业的学生普遍倾向于环境设计专业，而接受其他专业的意愿相对较低。</w:t>
      </w:r>
    </w:p>
    <w:p>
      <w:pPr>
        <w:pStyle w:val="5"/>
        <w:spacing w:before="93" w:after="93"/>
        <w:ind w:firstLine="560"/>
      </w:pPr>
      <w:r>
        <w:rPr>
          <w:rFonts w:hint="eastAsia"/>
        </w:rPr>
        <w:t>六、毕业生就业创业</w:t>
      </w:r>
    </w:p>
    <w:p>
      <w:pPr>
        <w:ind w:firstLine="480" w:firstLineChars="200"/>
        <w:rPr>
          <w:szCs w:val="24"/>
        </w:rPr>
      </w:pPr>
      <w:r>
        <w:rPr>
          <w:rFonts w:hint="eastAsia" w:ascii="黑体" w:hAnsi="黑体" w:eastAsia="黑体" w:cs="黑体"/>
          <w:szCs w:val="24"/>
        </w:rPr>
        <w:t>创业情况：</w:t>
      </w:r>
      <w:r>
        <w:rPr>
          <w:rFonts w:hint="eastAsia"/>
          <w:szCs w:val="24"/>
        </w:rPr>
        <w:t>环境设计专业有三个创新创业团队，“农大手绘工作室”、“雕刻时光”、“创想咖啡工作室”。目前，三个创业团队已成为我院首批实现社会创业的大学生创业团队。这些团队现有成员100余人，指导教师5名。团队以“创意设计、凝心聚力”为宗旨，以创新为理念，以学科和专业交叉为手段、以培养学生自主创新和实践应用为导向，重点培养创新型、实践型、应用型的拔尖设计人才。</w:t>
      </w:r>
    </w:p>
    <w:p>
      <w:pPr>
        <w:ind w:firstLine="480" w:firstLineChars="200"/>
        <w:rPr>
          <w:szCs w:val="24"/>
        </w:rPr>
      </w:pPr>
      <w:r>
        <w:rPr>
          <w:rFonts w:hint="eastAsia" w:ascii="黑体" w:hAnsi="黑体" w:eastAsia="黑体" w:cs="黑体"/>
          <w:szCs w:val="24"/>
        </w:rPr>
        <w:t>采取的措施：</w:t>
      </w:r>
      <w:r>
        <w:rPr>
          <w:rFonts w:hint="eastAsia"/>
          <w:szCs w:val="24"/>
        </w:rPr>
        <w:t>创新创业团队的建设离不开艺术学院党委、院行政的领导大力支持，该创业团队依托于艺术学院，以学科建设为龙头、以专业理论研究为基础、以教育改革为主导、以应用型人才培养为目标、以市场项目运营为平台，加强校企合作，将学术研究与市场化运作相结合，在专业实践层面上建立了较好的平台，为后续学生实践培养和进入专业团队打下了较好的基础。</w:t>
      </w:r>
    </w:p>
    <w:p>
      <w:pPr>
        <w:ind w:firstLine="480" w:firstLineChars="200"/>
        <w:rPr>
          <w:szCs w:val="24"/>
        </w:rPr>
      </w:pPr>
      <w:r>
        <w:rPr>
          <w:rFonts w:hint="eastAsia" w:ascii="黑体" w:hAnsi="黑体" w:eastAsia="黑体" w:cs="黑体"/>
          <w:szCs w:val="24"/>
        </w:rPr>
        <w:t>典型案例：</w:t>
      </w:r>
      <w:r>
        <w:rPr>
          <w:rFonts w:hint="eastAsia"/>
          <w:szCs w:val="24"/>
        </w:rPr>
        <w:t>这里仅以手绘工作室为例。2013年10月环境设计专业学生组建农大手绘设计工作室，团队成立后，工作室对发展前景做了详细规划，完善手绘工作室的运行机制，在项目开展阶段通过市场调查问卷，邀请学院内权威的老师进行指导。手绘工作团队与鑫艺嘉装饰公司设计师合作，共同商讨工程项目，发展手绘项目，先后完成了荣都国际家装设计、学院创业吧咖啡厅设计方案、金桥服装城墙绘等项目。工作室主要开展墙绘、手绘明信片、T恤彩印、纪念册、毕业微电影等业务。为了拓展更多业务量，目前增设了平面设计、3D效果图、CAD工程制图等项目。在工作室平台的影响下，学生的专业设计能力得到了很大提高，先后获得中华人民共和国教育部大学生实践艺术工作坊二等奖一项、山东省大学生艺术展演活动二等奖9人次，获得</w:t>
      </w:r>
      <w:r>
        <w:rPr>
          <w:rFonts w:hint="eastAsia" w:ascii="宋体" w:hAnsi="宋体"/>
          <w:szCs w:val="24"/>
        </w:rPr>
        <w:t>山东省第六届科技创新大赛二等奖、山东农业大学第六届科技创新大赛优秀、</w:t>
      </w:r>
      <w:r>
        <w:rPr>
          <w:rFonts w:hint="eastAsia"/>
          <w:szCs w:val="24"/>
        </w:rPr>
        <w:t>“创青春”创新创业大赛、科技文化艺术节等省级大赛金奖4项、银奖6项、铜奖11项，获泰安市第五届创新创业大赛优秀奖、新业态“互联网+”大学生创新创业大赛优秀奖。在校内举办书画篆刻大赛、爱心公益活动、手绘井盖和手绘体恤等活动</w:t>
      </w:r>
      <w:r>
        <w:rPr>
          <w:szCs w:val="24"/>
        </w:rPr>
        <w:t>4</w:t>
      </w:r>
      <w:r>
        <w:rPr>
          <w:rFonts w:hint="eastAsia"/>
          <w:szCs w:val="24"/>
        </w:rPr>
        <w:t>0余次。</w:t>
      </w:r>
    </w:p>
    <w:p>
      <w:pPr>
        <w:pStyle w:val="5"/>
        <w:spacing w:before="93" w:after="93"/>
        <w:ind w:firstLine="560"/>
      </w:pPr>
      <w:r>
        <w:rPr>
          <w:rFonts w:hint="eastAsia"/>
        </w:rPr>
        <w:t>七、专业人才社会需求分析及专业发展趋势分析</w:t>
      </w:r>
    </w:p>
    <w:p>
      <w:pPr>
        <w:pStyle w:val="6"/>
        <w:ind w:firstLine="480"/>
      </w:pPr>
      <w:r>
        <w:rPr>
          <w:rFonts w:hint="eastAsia"/>
        </w:rPr>
        <w:t>1.专业人才社会需求分析</w:t>
      </w:r>
    </w:p>
    <w:p>
      <w:pPr>
        <w:autoSpaceDE w:val="0"/>
        <w:autoSpaceDN w:val="0"/>
        <w:adjustRightInd w:val="0"/>
        <w:ind w:firstLine="482"/>
        <w:jc w:val="left"/>
        <w:rPr>
          <w:rFonts w:ascii="宋体" w:hAnsi="宋体"/>
          <w:color w:val="000000"/>
        </w:rPr>
      </w:pPr>
      <w:r>
        <w:rPr>
          <w:rFonts w:hint="eastAsia" w:ascii="宋体" w:hAnsi="宋体"/>
          <w:color w:val="000000"/>
        </w:rPr>
        <w:t>2022年因受到疫情影响，仅不到</w:t>
      </w:r>
      <w:r>
        <w:rPr>
          <w:rFonts w:ascii="宋体" w:hAnsi="宋体"/>
          <w:color w:val="000000"/>
        </w:rPr>
        <w:t>1</w:t>
      </w:r>
      <w:r>
        <w:rPr>
          <w:rFonts w:hint="eastAsia" w:ascii="宋体" w:hAnsi="宋体"/>
          <w:color w:val="000000"/>
        </w:rPr>
        <w:t>0家企事业单位来学校开设专场招聘会，提供就业岗位较少。但从整体社会需求来看，对环境设计、景观设计、家装设计对环境设计专业的毕业生需求量较大。总体来说，就业市场需求量大于毕业生人数，就业情况呈总体上升趋势。</w:t>
      </w:r>
    </w:p>
    <w:p>
      <w:pPr>
        <w:ind w:firstLine="480" w:firstLineChars="200"/>
        <w:rPr>
          <w:rFonts w:ascii="宋体" w:hAnsi="宋体"/>
          <w:szCs w:val="24"/>
        </w:rPr>
      </w:pPr>
      <w:r>
        <w:rPr>
          <w:rFonts w:hint="eastAsia" w:ascii="宋体" w:hAnsi="宋体"/>
          <w:color w:val="000000"/>
        </w:rPr>
        <w:t>毕业生的主要就业渠道有学校学院提供的就业信息、校园招聘会、教师推荐、专业求职网站、校外就业市场和家庭社会关系等。大部分学生的就业岗位来自校园招聘会，有些学生不仅参加本校校园招聘会，还积极参加其他学校举办的校园招聘会。此外，家长、学长以及同学的意见在毕业生就业选择上也是一个很大的影响因素，部分毕业生通过家长与社会关系介绍在当地企业就业。</w:t>
      </w:r>
    </w:p>
    <w:p>
      <w:pPr>
        <w:pStyle w:val="6"/>
        <w:ind w:firstLine="480"/>
      </w:pPr>
      <w:r>
        <w:rPr>
          <w:rFonts w:hint="eastAsia"/>
        </w:rPr>
        <w:t>2.专业发展趋势分析</w:t>
      </w:r>
    </w:p>
    <w:p>
      <w:pPr>
        <w:ind w:firstLine="480" w:firstLineChars="200"/>
        <w:rPr>
          <w:szCs w:val="24"/>
        </w:rPr>
      </w:pPr>
      <w:r>
        <w:rPr>
          <w:rFonts w:hint="eastAsia"/>
          <w:szCs w:val="24"/>
        </w:rPr>
        <w:t>目前，环境设计专业处于良好的发展态势。随着人们经济收入的增长和环境意识的加强，人们的消费观念也在不断地发生变化，</w:t>
      </w:r>
      <w:r>
        <w:rPr>
          <w:rFonts w:ascii="Helvetica" w:hAnsi="Helvetica"/>
          <w:szCs w:val="24"/>
          <w:shd w:val="clear" w:color="auto" w:fill="FFFFFF"/>
        </w:rPr>
        <w:t>环境艺术关系到我们的未来，建设美丽的中国需要脚踏实地。随着社会的进步和人们生活水平的提高，人们对环境的需求越来越高，塑造精彩、独特、迷人的城市环境日益成为人们生活的目标。此外，市政项目和房地产项目如雨后春笋般涌现，所有这些都将是从事环境设计的规划师和设计师的工作</w:t>
      </w:r>
      <w:r>
        <w:rPr>
          <w:rFonts w:hint="eastAsia"/>
          <w:szCs w:val="24"/>
        </w:rPr>
        <w:t>；当然，社会生活中与环境艺术专业相联系的还远远不止这些，在建筑、市政工程设计院，公路、桥梁等施工企业，工程建设监理部门，房地产公司，工程造价咨询机构等都与环境艺术设计专业相关。</w:t>
      </w:r>
    </w:p>
    <w:p>
      <w:pPr>
        <w:pStyle w:val="5"/>
        <w:spacing w:before="93" w:after="93"/>
        <w:ind w:firstLine="560"/>
      </w:pPr>
      <w:r>
        <w:rPr>
          <w:rFonts w:hint="eastAsia"/>
        </w:rPr>
        <w:t>八、存在的问题及拟釆取的对策措施</w:t>
      </w:r>
    </w:p>
    <w:p>
      <w:pPr>
        <w:pStyle w:val="6"/>
        <w:spacing w:line="380" w:lineRule="exact"/>
        <w:ind w:firstLine="480"/>
      </w:pPr>
      <w:r>
        <w:rPr>
          <w:rFonts w:hint="eastAsia"/>
        </w:rPr>
        <w:t>1.存在问题</w:t>
      </w:r>
    </w:p>
    <w:p>
      <w:pPr>
        <w:spacing w:line="380" w:lineRule="exact"/>
        <w:ind w:firstLine="480" w:firstLineChars="200"/>
        <w:rPr>
          <w:szCs w:val="24"/>
        </w:rPr>
      </w:pPr>
      <w:r>
        <w:rPr>
          <w:rFonts w:hint="eastAsia"/>
          <w:szCs w:val="24"/>
        </w:rPr>
        <w:t>与办学目标相比较，尚存在明显问题与差距：专业实践课与市场结合相脱节，教学大纲中制定的部分内容不能很好地对教学内容起到导向作用；师资结构不合理，缺乏年轻有为的青年教师，在师资结构和数量上不能满足教学和发展的需要；教学场地严重不足，实验室、面积和设施不能满足专业实践教学的要求；严重缺少经费支持，设计专业需要教师和学生在行业的高端领域进行一些互动，比如行业学术会议、专业的讲座、高端的展览，以及与其他高校教师的互访学习。</w:t>
      </w:r>
    </w:p>
    <w:p>
      <w:pPr>
        <w:pStyle w:val="6"/>
        <w:spacing w:line="380" w:lineRule="exact"/>
        <w:ind w:firstLine="480"/>
      </w:pPr>
      <w:r>
        <w:rPr>
          <w:rFonts w:hint="eastAsia"/>
        </w:rPr>
        <w:t>2.整改措施</w:t>
      </w:r>
    </w:p>
    <w:p>
      <w:pPr>
        <w:spacing w:line="380" w:lineRule="exact"/>
        <w:ind w:firstLine="480" w:firstLineChars="200"/>
        <w:rPr>
          <w:szCs w:val="24"/>
        </w:rPr>
      </w:pPr>
      <w:r>
        <w:rPr>
          <w:rFonts w:hint="eastAsia"/>
          <w:szCs w:val="24"/>
        </w:rPr>
        <w:t>（1）大力加强师资队伍建设，继续引进设计专业教师。近年来，通过派出教师进修学习、制定政策鼓励教师提高学历、引进名校名专业高水平青年教师、外聘专家授课、加大科研奖励机制等措施，努力提高教师水平，保证教学质量，已经取得了显著成效，师资队伍水平有了较大幅度的提高。根据现在的师生比例，还需继续引进设计专业教师，尤其是高水平高质量的博士人才紧缺。</w:t>
      </w:r>
    </w:p>
    <w:p>
      <w:pPr>
        <w:spacing w:line="380" w:lineRule="exact"/>
        <w:ind w:firstLine="480" w:firstLineChars="200"/>
        <w:rPr>
          <w:szCs w:val="24"/>
        </w:rPr>
      </w:pPr>
      <w:r>
        <w:rPr>
          <w:rFonts w:hint="eastAsia"/>
          <w:szCs w:val="24"/>
        </w:rPr>
        <w:t>（2）不断优化人才培养方案。2003年成立本专业，至今已有近20年的历史。多年来，根据市场需求和教育部教育方针的变化，不断调整本专业培养方案，使教学紧跟时代步伐，学以致用，分别在2007年、2010年、2012年、2015年、2017年、2018年、2020年、2</w:t>
      </w:r>
      <w:r>
        <w:rPr>
          <w:szCs w:val="24"/>
        </w:rPr>
        <w:t>022</w:t>
      </w:r>
      <w:r>
        <w:rPr>
          <w:rFonts w:hint="eastAsia"/>
          <w:szCs w:val="24"/>
        </w:rPr>
        <w:t>年八次修订培养方案，针对环境设计专业特点，突出了实践教学环节。由于培养思路正确，近三年的就业率分别为9</w:t>
      </w:r>
      <w:r>
        <w:rPr>
          <w:szCs w:val="24"/>
        </w:rPr>
        <w:t>7</w:t>
      </w:r>
      <w:r>
        <w:rPr>
          <w:rFonts w:hint="eastAsia"/>
          <w:szCs w:val="24"/>
        </w:rPr>
        <w:t>%、</w:t>
      </w:r>
      <w:r>
        <w:rPr>
          <w:szCs w:val="24"/>
        </w:rPr>
        <w:t>88.4</w:t>
      </w:r>
      <w:r>
        <w:rPr>
          <w:rFonts w:hint="eastAsia"/>
          <w:szCs w:val="24"/>
        </w:rPr>
        <w:t>%和70.9%，获得了用人单位的赞赏。</w:t>
      </w:r>
    </w:p>
    <w:p>
      <w:pPr>
        <w:spacing w:line="380" w:lineRule="exact"/>
        <w:ind w:firstLine="480" w:firstLineChars="200"/>
        <w:rPr>
          <w:szCs w:val="24"/>
        </w:rPr>
      </w:pPr>
      <w:r>
        <w:rPr>
          <w:rFonts w:hint="eastAsia"/>
          <w:szCs w:val="24"/>
        </w:rPr>
        <w:t>（3）坚持强化实践教学环节。环境设计专业是以学生实践为主的应用型学科，强调学生的实践能力。根据专业特点，在必修课和选修课等课程体系中，强化了实践课程的教学。同时加强了实践环节的比重，在170个学分中，实践教学有42学分，占了总学分的24.7%。</w:t>
      </w:r>
    </w:p>
    <w:p>
      <w:pPr>
        <w:spacing w:line="380" w:lineRule="exact"/>
        <w:ind w:firstLine="480" w:firstLineChars="200"/>
        <w:rPr>
          <w:szCs w:val="24"/>
        </w:rPr>
      </w:pPr>
      <w:r>
        <w:rPr>
          <w:rFonts w:hint="eastAsia"/>
          <w:szCs w:val="24"/>
        </w:rPr>
        <w:t>（4）继续加大专业教学投入。环境设计专业是以设计、技术为主的专业，多年来，学校对专业建设十分重视，在东校区、校本部分别建设了制图室、画室和多媒体教室，学校专门成立了制图绘画教学中心，拥有画室和制图室2700m</w:t>
      </w:r>
      <w:r>
        <w:rPr>
          <w:rFonts w:hint="eastAsia"/>
          <w:szCs w:val="24"/>
          <w:vertAlign w:val="superscript"/>
        </w:rPr>
        <w:t>2</w:t>
      </w:r>
      <w:r>
        <w:rPr>
          <w:rFonts w:hint="eastAsia"/>
          <w:szCs w:val="24"/>
        </w:rPr>
        <w:t>，各类教学设备累计投入84万元，写生和教师学术交流费用12万元，形成了较为完备的教学条件，今后还将加大投入力度，建设环境设计实验室、材料施工技艺展示室等实验室，以满足新的教学需求。</w:t>
      </w:r>
    </w:p>
    <w:p>
      <w:pPr>
        <w:spacing w:line="380" w:lineRule="exact"/>
        <w:ind w:firstLine="480" w:firstLineChars="200"/>
        <w:rPr>
          <w:color w:val="000000" w:themeColor="text1"/>
          <w:szCs w:val="24"/>
          <w14:textFill>
            <w14:solidFill>
              <w14:schemeClr w14:val="tx1"/>
            </w14:solidFill>
          </w14:textFill>
        </w:rPr>
      </w:pPr>
      <w:r>
        <w:rPr>
          <w:rFonts w:hint="eastAsia"/>
          <w:szCs w:val="24"/>
        </w:rPr>
        <w:t>（5）努力培育人才需求市场。一是加强宣传，扩大我校环境设计专业的知名度，为学生就业创造有利条件，二是练好内功，不断提高教学质量，为学生就业打下良好基础，三是加强联谊，对用人单位和人才市场进行长期走访联络，把握人才需求动向，与用人单位建立长期合作意向，为学生提供更多就业机会。四是寻求支持，向学校和学院定期汇报专业就业情况，介绍本专业的优势和不同，获得学校和学院的帮助，举办各类就业市场，为学生就业保驾护航。</w:t>
      </w:r>
    </w:p>
    <w:sectPr>
      <w:headerReference r:id="rId8" w:type="default"/>
      <w:footerReference r:id="rId9" w:type="default"/>
      <w:pgSz w:w="11906" w:h="16838"/>
      <w:pgMar w:top="1440" w:right="1474" w:bottom="1440" w:left="1587"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altName w:val="方正舒体"/>
    <w:panose1 w:val="00000000000000000000"/>
    <w:charset w:val="86"/>
    <w:family w:val="auto"/>
    <w:pitch w:val="default"/>
    <w:sig w:usb0="00000000" w:usb1="00000000" w:usb2="00000000" w:usb3="00000000" w:csb0="00040000" w:csb1="00000000"/>
  </w:font>
  <w:font w:name="方正舒体">
    <w:panose1 w:val="02010601030101010101"/>
    <w:charset w:val="86"/>
    <w:family w:val="auto"/>
    <w:pitch w:val="default"/>
    <w:sig w:usb0="00000003" w:usb1="080E0000" w:usb2="00000000" w:usb3="00000000" w:csb0="00040000" w:csb1="00000000"/>
  </w:font>
  <w:font w:name="Calibri Light">
    <w:panose1 w:val="020F03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0000000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Malgun Gothic">
    <w:panose1 w:val="020B0503020000020004"/>
    <w:charset w:val="81"/>
    <w:family w:val="swiss"/>
    <w:pitch w:val="default"/>
    <w:sig w:usb0="9000002F" w:usb1="29D77CFB" w:usb2="00000012" w:usb3="00000000" w:csb0="0008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Helvetica">
    <w:altName w:val="Arial"/>
    <w:panose1 w:val="020B0604020202020204"/>
    <w:charset w:val="00"/>
    <w:family w:val="swiss"/>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70" name="文本框 1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spacing w:line="240" w:lineRule="auto"/>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HK34UsAgAAWQ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aKKZQslPP76f&#10;fj6cfn0j8RAStdbPEHlvERu6d6ZD+HDucRiZd5VT8QtOBH6AHS8Ciy4QHi9NJ9NpDheHb9gAP3u8&#10;bp0P74VRJBoFdahgEpYdNj70oUNIzKbNupEyVVFq0hb06vWbPF24eAAuNXJEEv1joxW6bXdmtjXl&#10;EcSc6bvDW75ukHzDfLhjDu2AB2Ngwi2WShokMWeLktq4r/86j/GoEryUtGivgmpMEyXyg0b1ABgG&#10;ww3GdjD0Xt0Y9OsYg2h5MnHBBTmYlTPqC6ZoGXPAxTRHpoKGwbwJfYtjCrlYLlMQ+s2ysNH3lkfo&#10;KJ63y32AgEnXKEqvxFkrdFyqzHk6Ykv/uU9Rj3+Ex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EcrfhSwCAABZBAAADgAAAAAAAAABACAAAAAfAQAAZHJzL2Uyb0RvYy54bWxQSwUGAAAAAAYA&#10;BgBZAQAAvQUAAAAA&#10;">
              <v:fill on="f" focussize="0,0"/>
              <v:stroke on="f" weight="0.5pt"/>
              <v:imagedata o:title=""/>
              <o:lock v:ext="edit" aspectratio="f"/>
              <v:textbox inset="0mm,0mm,0mm,0mm" style="mso-fit-shape-to-text:t;">
                <w:txbxContent>
                  <w:p>
                    <w:pPr>
                      <w:pStyle w:val="12"/>
                      <w:spacing w:line="240" w:lineRule="auto"/>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firstLine="48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5" name="文本框 1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20"/>
                            </w:rPr>
                            <w:t>1</w:t>
                          </w:r>
                          <w:r>
                            <w:rPr>
                              <w:rFonts w:hint="eastAsia"/>
                              <w:sz w:val="18"/>
                            </w:rPr>
                            <w:fldChar w:fldCharType="end"/>
                          </w:r>
                        </w:p>
                      </w:txbxContent>
                    </wps:txbx>
                    <wps:bodyPr wrap="none" lIns="0" tIns="0" rIns="0" bIns="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3pQssoBAACdAwAADgAAAGRycy9lMm9Eb2MueG1srVPNjtMwEL4j8Q6W&#10;79RpJaCKmq5A1SIkBEjLPoDr2I0l/8njNukLwBtw4sKd5+pzMHaSLiyXPXBxxjPjb75vZrK5Gawh&#10;JxlBe9fQ5aKiRDrhW+0ODb3/cvtiTQkk7lpuvJMNPUugN9vnzzZ9qOXKd960MhIEcVD3oaFdSqFm&#10;DEQnLYeFD9JhUPloecJrPLA28h7RrWGrqnrFeh/bEL2QAOjdjUE6IcanAHqltJA7L45WujSiRml4&#10;QknQ6QB0W9gqJUX6pBTIRExDUWkqJxZBe59Ptt3w+hB56LSYKPCnUHikyXLtsOgVascTJ8eo/4Gy&#10;WkQPXqWF8JaNQkpHUMWyetSbu44HWbRgqyFcmw7/D1Z8PH2ORLe4Ca9fUuK4xZFfvn+7/Ph1+fmV&#10;ZCe2qA9QY+ZdwNw0vPUDps9+QGdWPqho8xc1EYxjg8/XBsshEZEfrVfrdYUhgbH5gvjs4XmIkN5J&#10;b0k2GhpxgqWx/PQB0pg6p+Rqzt9qY8oUjfvLgZjZwzL3kWO20rAfJkF7355RT4/Db6jDXafEvHfY&#10;27wnsxFnYz8bxxD1oUNqy8ILwptjQhKFW64wwk6FcWpF3bRheS3+vJesh79q+x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g3pQssoBAACdAwAADgAAAAAAAAABACAAAAAeAQAAZHJzL2Uyb0Rv&#10;Yy54bWxQSwUGAAAAAAYABgBZAQAAWgUAAAAA&#10;">
              <v:fill on="f" focussize="0,0"/>
              <v:stroke on="f"/>
              <v:imagedata o:title=""/>
              <o:lock v:ext="edit" aspectratio="f"/>
              <v:textbox inset="0mm,0mm,0mm,0mm" style="mso-fit-shape-to-text:t;">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20"/>
                      </w:rPr>
                      <w:t>1</w:t>
                    </w:r>
                    <w:r>
                      <w:rPr>
                        <w:rFonts w:hint="eastAsia"/>
                        <w:sz w:val="18"/>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snapToGrid/>
                            <w:spacing w:line="240" w:lineRule="auto"/>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pPr>
                      <w:pStyle w:val="12"/>
                      <w:snapToGrid/>
                      <w:spacing w:line="240" w:lineRule="auto"/>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firstLine="4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69EE123"/>
    <w:multiLevelType w:val="singleLevel"/>
    <w:tmpl w:val="C69EE123"/>
    <w:lvl w:ilvl="0" w:tentative="0">
      <w:start w:val="3"/>
      <w:numFmt w:val="decimal"/>
      <w:suff w:val="space"/>
      <w:lvlText w:val="%1."/>
      <w:lvlJc w:val="left"/>
    </w:lvl>
  </w:abstractNum>
  <w:abstractNum w:abstractNumId="1">
    <w:nsid w:val="CCE5E18D"/>
    <w:multiLevelType w:val="singleLevel"/>
    <w:tmpl w:val="CCE5E18D"/>
    <w:lvl w:ilvl="0" w:tentative="0">
      <w:start w:val="1"/>
      <w:numFmt w:val="decimal"/>
      <w:suff w:val="space"/>
      <w:lvlText w:val="%1."/>
      <w:lvlJc w:val="left"/>
    </w:lvl>
  </w:abstractNum>
  <w:abstractNum w:abstractNumId="2">
    <w:nsid w:val="D6ED2C70"/>
    <w:multiLevelType w:val="singleLevel"/>
    <w:tmpl w:val="D6ED2C70"/>
    <w:lvl w:ilvl="0" w:tentative="0">
      <w:start w:val="2"/>
      <w:numFmt w:val="decimal"/>
      <w:suff w:val="space"/>
      <w:lvlText w:val="%1."/>
      <w:lvlJc w:val="left"/>
    </w:lvl>
  </w:abstractNum>
  <w:abstractNum w:abstractNumId="3">
    <w:nsid w:val="FE88FAE0"/>
    <w:multiLevelType w:val="singleLevel"/>
    <w:tmpl w:val="FE88FAE0"/>
    <w:lvl w:ilvl="0" w:tentative="0">
      <w:start w:val="1"/>
      <w:numFmt w:val="decimal"/>
      <w:suff w:val="space"/>
      <w:lvlText w:val="%1."/>
      <w:lvlJc w:val="left"/>
    </w:lvl>
  </w:abstractNum>
  <w:abstractNum w:abstractNumId="4">
    <w:nsid w:val="034C5AE5"/>
    <w:multiLevelType w:val="singleLevel"/>
    <w:tmpl w:val="034C5AE5"/>
    <w:lvl w:ilvl="0" w:tentative="0">
      <w:start w:val="1"/>
      <w:numFmt w:val="decimal"/>
      <w:suff w:val="nothing"/>
      <w:lvlText w:val="%1、"/>
      <w:lvlJc w:val="left"/>
    </w:lvl>
  </w:abstractNum>
  <w:abstractNum w:abstractNumId="5">
    <w:nsid w:val="0D8431DC"/>
    <w:multiLevelType w:val="multilevel"/>
    <w:tmpl w:val="0D8431DC"/>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6">
    <w:nsid w:val="109F7466"/>
    <w:multiLevelType w:val="singleLevel"/>
    <w:tmpl w:val="109F7466"/>
    <w:lvl w:ilvl="0" w:tentative="0">
      <w:start w:val="2"/>
      <w:numFmt w:val="decimal"/>
      <w:suff w:val="space"/>
      <w:lvlText w:val="%1."/>
      <w:lvlJc w:val="left"/>
    </w:lvl>
  </w:abstractNum>
  <w:abstractNum w:abstractNumId="7">
    <w:nsid w:val="175076DF"/>
    <w:multiLevelType w:val="singleLevel"/>
    <w:tmpl w:val="175076DF"/>
    <w:lvl w:ilvl="0" w:tentative="0">
      <w:start w:val="3"/>
      <w:numFmt w:val="decimal"/>
      <w:suff w:val="space"/>
      <w:lvlText w:val="%1."/>
      <w:lvlJc w:val="left"/>
    </w:lvl>
  </w:abstractNum>
  <w:abstractNum w:abstractNumId="8">
    <w:nsid w:val="284B9133"/>
    <w:multiLevelType w:val="singleLevel"/>
    <w:tmpl w:val="284B9133"/>
    <w:lvl w:ilvl="0" w:tentative="0">
      <w:start w:val="1"/>
      <w:numFmt w:val="decimal"/>
      <w:suff w:val="nothing"/>
      <w:lvlText w:val="%1、"/>
      <w:lvlJc w:val="left"/>
    </w:lvl>
  </w:abstractNum>
  <w:abstractNum w:abstractNumId="9">
    <w:nsid w:val="31987FEF"/>
    <w:multiLevelType w:val="singleLevel"/>
    <w:tmpl w:val="31987FEF"/>
    <w:lvl w:ilvl="0" w:tentative="0">
      <w:start w:val="2"/>
      <w:numFmt w:val="decimal"/>
      <w:suff w:val="space"/>
      <w:lvlText w:val="%1."/>
      <w:lvlJc w:val="left"/>
    </w:lvl>
  </w:abstractNum>
  <w:abstractNum w:abstractNumId="10">
    <w:nsid w:val="416157D5"/>
    <w:multiLevelType w:val="multilevel"/>
    <w:tmpl w:val="416157D5"/>
    <w:lvl w:ilvl="0" w:tentative="0">
      <w:start w:val="1"/>
      <w:numFmt w:val="decimal"/>
      <w:lvlText w:val="%1)"/>
      <w:lvlJc w:val="left"/>
      <w:pPr>
        <w:ind w:left="780" w:hanging="420"/>
      </w:p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11">
    <w:nsid w:val="5A094241"/>
    <w:multiLevelType w:val="singleLevel"/>
    <w:tmpl w:val="5A094241"/>
    <w:lvl w:ilvl="0" w:tentative="0">
      <w:start w:val="2"/>
      <w:numFmt w:val="chineseCounting"/>
      <w:suff w:val="nothing"/>
      <w:lvlText w:val="%1、"/>
      <w:lvlJc w:val="left"/>
      <w:pPr>
        <w:ind w:left="0" w:firstLine="0"/>
      </w:pPr>
    </w:lvl>
  </w:abstractNum>
  <w:abstractNum w:abstractNumId="12">
    <w:nsid w:val="6AEE0338"/>
    <w:multiLevelType w:val="singleLevel"/>
    <w:tmpl w:val="6AEE0338"/>
    <w:lvl w:ilvl="0" w:tentative="0">
      <w:start w:val="2"/>
      <w:numFmt w:val="decimal"/>
      <w:suff w:val="space"/>
      <w:lvlText w:val="%1."/>
      <w:lvlJc w:val="left"/>
    </w:lvl>
  </w:abstractNum>
  <w:abstractNum w:abstractNumId="13">
    <w:nsid w:val="6D3C0F99"/>
    <w:multiLevelType w:val="singleLevel"/>
    <w:tmpl w:val="6D3C0F99"/>
    <w:lvl w:ilvl="0" w:tentative="0">
      <w:start w:val="7"/>
      <w:numFmt w:val="decimal"/>
      <w:suff w:val="nothing"/>
      <w:lvlText w:val="（%1）"/>
      <w:lvlJc w:val="left"/>
    </w:lvl>
  </w:abstractNum>
  <w:num w:numId="1">
    <w:abstractNumId w:val="1"/>
  </w:num>
  <w:num w:numId="2">
    <w:abstractNumId w:val="6"/>
  </w:num>
  <w:num w:numId="3">
    <w:abstractNumId w:val="0"/>
  </w:num>
  <w:num w:numId="4">
    <w:abstractNumId w:val="3"/>
  </w:num>
  <w:num w:numId="5">
    <w:abstractNumId w:val="7"/>
  </w:num>
  <w:num w:numId="6">
    <w:abstractNumId w:val="13"/>
  </w:num>
  <w:num w:numId="7">
    <w:abstractNumId w:val="5"/>
  </w:num>
  <w:num w:numId="8">
    <w:abstractNumId w:val="11"/>
    <w:lvlOverride w:ilvl="0">
      <w:startOverride w:val="2"/>
    </w:lvlOverride>
  </w:num>
  <w:num w:numId="9">
    <w:abstractNumId w:val="10"/>
  </w:num>
  <w:num w:numId="10">
    <w:abstractNumId w:val="2"/>
  </w:num>
  <w:num w:numId="11">
    <w:abstractNumId w:val="12"/>
  </w:num>
  <w:num w:numId="12">
    <w:abstractNumId w:val="9"/>
  </w:num>
  <w:num w:numId="13">
    <w:abstractNumId w:val="8"/>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hideSpellingErrors/>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A1OWRhYzc3ZTJlMTE2MzE5NGYxNWNhMTQ5MzI5ZWMifQ=="/>
  </w:docVars>
  <w:rsids>
    <w:rsidRoot w:val="4E88493A"/>
    <w:rsid w:val="000E093A"/>
    <w:rsid w:val="00280F60"/>
    <w:rsid w:val="00307D1D"/>
    <w:rsid w:val="0031772A"/>
    <w:rsid w:val="0064370B"/>
    <w:rsid w:val="006A1B1E"/>
    <w:rsid w:val="007E1B02"/>
    <w:rsid w:val="008B1789"/>
    <w:rsid w:val="00903B71"/>
    <w:rsid w:val="009B7F51"/>
    <w:rsid w:val="00A418B8"/>
    <w:rsid w:val="00A56C1E"/>
    <w:rsid w:val="00AC7859"/>
    <w:rsid w:val="00B45395"/>
    <w:rsid w:val="00D5158C"/>
    <w:rsid w:val="00D51999"/>
    <w:rsid w:val="00D54577"/>
    <w:rsid w:val="00E00298"/>
    <w:rsid w:val="00EC6421"/>
    <w:rsid w:val="010F7504"/>
    <w:rsid w:val="013A3A62"/>
    <w:rsid w:val="01595851"/>
    <w:rsid w:val="017410E8"/>
    <w:rsid w:val="019C146C"/>
    <w:rsid w:val="01BD7A4F"/>
    <w:rsid w:val="01D76B76"/>
    <w:rsid w:val="01DE399B"/>
    <w:rsid w:val="01E52CE0"/>
    <w:rsid w:val="028622C1"/>
    <w:rsid w:val="02A2455C"/>
    <w:rsid w:val="02B32DAF"/>
    <w:rsid w:val="02B9457E"/>
    <w:rsid w:val="0318496C"/>
    <w:rsid w:val="033923C2"/>
    <w:rsid w:val="03D7144C"/>
    <w:rsid w:val="04102823"/>
    <w:rsid w:val="045E1FA5"/>
    <w:rsid w:val="04787C5D"/>
    <w:rsid w:val="049C69B1"/>
    <w:rsid w:val="04C6520D"/>
    <w:rsid w:val="04D8709C"/>
    <w:rsid w:val="053946FD"/>
    <w:rsid w:val="05523557"/>
    <w:rsid w:val="055E50A5"/>
    <w:rsid w:val="05A92060"/>
    <w:rsid w:val="05FA3986"/>
    <w:rsid w:val="06171E91"/>
    <w:rsid w:val="06781795"/>
    <w:rsid w:val="06F33FA6"/>
    <w:rsid w:val="070A4F49"/>
    <w:rsid w:val="0714287C"/>
    <w:rsid w:val="0722603D"/>
    <w:rsid w:val="07456740"/>
    <w:rsid w:val="076D184D"/>
    <w:rsid w:val="079923C4"/>
    <w:rsid w:val="07BB53C7"/>
    <w:rsid w:val="07DC0503"/>
    <w:rsid w:val="088F6716"/>
    <w:rsid w:val="08B23A6D"/>
    <w:rsid w:val="08B6201D"/>
    <w:rsid w:val="09054AF4"/>
    <w:rsid w:val="091856A0"/>
    <w:rsid w:val="0923288D"/>
    <w:rsid w:val="092B4520"/>
    <w:rsid w:val="093D0EF0"/>
    <w:rsid w:val="09422CCD"/>
    <w:rsid w:val="094A5821"/>
    <w:rsid w:val="096227F5"/>
    <w:rsid w:val="09993384"/>
    <w:rsid w:val="09BD49D9"/>
    <w:rsid w:val="0A5B03E9"/>
    <w:rsid w:val="0A5E2988"/>
    <w:rsid w:val="0A726EFC"/>
    <w:rsid w:val="0A784774"/>
    <w:rsid w:val="0A962262"/>
    <w:rsid w:val="0AB50927"/>
    <w:rsid w:val="0B097A9F"/>
    <w:rsid w:val="0B27418B"/>
    <w:rsid w:val="0B5F7721"/>
    <w:rsid w:val="0B867C8C"/>
    <w:rsid w:val="0BE40994"/>
    <w:rsid w:val="0BEF2EFA"/>
    <w:rsid w:val="0C715A2C"/>
    <w:rsid w:val="0C8624AD"/>
    <w:rsid w:val="0CC119C4"/>
    <w:rsid w:val="0D020A0B"/>
    <w:rsid w:val="0D0E6E1C"/>
    <w:rsid w:val="0D31309F"/>
    <w:rsid w:val="0D35383D"/>
    <w:rsid w:val="0DC45258"/>
    <w:rsid w:val="0DF742E8"/>
    <w:rsid w:val="0E2F0C38"/>
    <w:rsid w:val="0E354E83"/>
    <w:rsid w:val="0EBC4BEA"/>
    <w:rsid w:val="0EE266EE"/>
    <w:rsid w:val="0EE37FAD"/>
    <w:rsid w:val="0F151F9E"/>
    <w:rsid w:val="0F1D0FF6"/>
    <w:rsid w:val="0F3A215E"/>
    <w:rsid w:val="0F47660E"/>
    <w:rsid w:val="0F6F678E"/>
    <w:rsid w:val="0FD46AE0"/>
    <w:rsid w:val="100A36E8"/>
    <w:rsid w:val="100E549C"/>
    <w:rsid w:val="10350DF7"/>
    <w:rsid w:val="10403D97"/>
    <w:rsid w:val="10926AB7"/>
    <w:rsid w:val="111A1156"/>
    <w:rsid w:val="11441643"/>
    <w:rsid w:val="116F6483"/>
    <w:rsid w:val="11A622AD"/>
    <w:rsid w:val="11DD3F74"/>
    <w:rsid w:val="12042B30"/>
    <w:rsid w:val="120453C7"/>
    <w:rsid w:val="123F10BB"/>
    <w:rsid w:val="12404A25"/>
    <w:rsid w:val="12411DD6"/>
    <w:rsid w:val="124E559D"/>
    <w:rsid w:val="128F6FB2"/>
    <w:rsid w:val="12F62E5E"/>
    <w:rsid w:val="130617CF"/>
    <w:rsid w:val="131D2024"/>
    <w:rsid w:val="137054F3"/>
    <w:rsid w:val="13A55938"/>
    <w:rsid w:val="13AB7A26"/>
    <w:rsid w:val="13BC177A"/>
    <w:rsid w:val="13CF716E"/>
    <w:rsid w:val="14176687"/>
    <w:rsid w:val="1553347B"/>
    <w:rsid w:val="156F0C08"/>
    <w:rsid w:val="157A6E6B"/>
    <w:rsid w:val="15923CC3"/>
    <w:rsid w:val="15D32F45"/>
    <w:rsid w:val="15E275F7"/>
    <w:rsid w:val="15EE2F39"/>
    <w:rsid w:val="16084742"/>
    <w:rsid w:val="161C66D4"/>
    <w:rsid w:val="162A607A"/>
    <w:rsid w:val="16517F31"/>
    <w:rsid w:val="167504A0"/>
    <w:rsid w:val="16E65CBE"/>
    <w:rsid w:val="170A1F5A"/>
    <w:rsid w:val="17FB0E4F"/>
    <w:rsid w:val="182E6A9F"/>
    <w:rsid w:val="18972B56"/>
    <w:rsid w:val="18AF145A"/>
    <w:rsid w:val="18F25B4E"/>
    <w:rsid w:val="18F510CA"/>
    <w:rsid w:val="1906048D"/>
    <w:rsid w:val="190A1374"/>
    <w:rsid w:val="198C1D89"/>
    <w:rsid w:val="1A2B2A45"/>
    <w:rsid w:val="1AC9700C"/>
    <w:rsid w:val="1B0069FB"/>
    <w:rsid w:val="1B38110F"/>
    <w:rsid w:val="1B9F5150"/>
    <w:rsid w:val="1BCD3F87"/>
    <w:rsid w:val="1BE85733"/>
    <w:rsid w:val="1C5F4B9A"/>
    <w:rsid w:val="1C980A44"/>
    <w:rsid w:val="1C9B3C4F"/>
    <w:rsid w:val="1CF220B2"/>
    <w:rsid w:val="1CFD3F23"/>
    <w:rsid w:val="1D145271"/>
    <w:rsid w:val="1D1C5524"/>
    <w:rsid w:val="1D663B40"/>
    <w:rsid w:val="1D6D41F9"/>
    <w:rsid w:val="1DB433E3"/>
    <w:rsid w:val="1DD55EB7"/>
    <w:rsid w:val="1E4866D3"/>
    <w:rsid w:val="1E8B072D"/>
    <w:rsid w:val="1EB84A28"/>
    <w:rsid w:val="1F2769B2"/>
    <w:rsid w:val="1FA85442"/>
    <w:rsid w:val="206421BC"/>
    <w:rsid w:val="209112ED"/>
    <w:rsid w:val="20F95D84"/>
    <w:rsid w:val="21134B3E"/>
    <w:rsid w:val="211B7417"/>
    <w:rsid w:val="213B2D62"/>
    <w:rsid w:val="21464F13"/>
    <w:rsid w:val="214A4657"/>
    <w:rsid w:val="218A58A0"/>
    <w:rsid w:val="21D3065A"/>
    <w:rsid w:val="22310C1D"/>
    <w:rsid w:val="223F5D6A"/>
    <w:rsid w:val="228F29B6"/>
    <w:rsid w:val="22920BA8"/>
    <w:rsid w:val="22925616"/>
    <w:rsid w:val="22D11C6A"/>
    <w:rsid w:val="239D5DB3"/>
    <w:rsid w:val="23E833FD"/>
    <w:rsid w:val="23EE5005"/>
    <w:rsid w:val="244F6E8C"/>
    <w:rsid w:val="24AB719E"/>
    <w:rsid w:val="24FC692A"/>
    <w:rsid w:val="252411DC"/>
    <w:rsid w:val="254B76A6"/>
    <w:rsid w:val="258A1146"/>
    <w:rsid w:val="25A641D2"/>
    <w:rsid w:val="25DA2011"/>
    <w:rsid w:val="262F318D"/>
    <w:rsid w:val="26501529"/>
    <w:rsid w:val="26571172"/>
    <w:rsid w:val="26E06946"/>
    <w:rsid w:val="275278A5"/>
    <w:rsid w:val="276E7B7C"/>
    <w:rsid w:val="27D26AC6"/>
    <w:rsid w:val="28306BFF"/>
    <w:rsid w:val="28597F3F"/>
    <w:rsid w:val="289A5B44"/>
    <w:rsid w:val="29155057"/>
    <w:rsid w:val="29176F41"/>
    <w:rsid w:val="29342191"/>
    <w:rsid w:val="29F639B1"/>
    <w:rsid w:val="2A163509"/>
    <w:rsid w:val="2A653B80"/>
    <w:rsid w:val="2AE37FEB"/>
    <w:rsid w:val="2AF103FA"/>
    <w:rsid w:val="2B2A174E"/>
    <w:rsid w:val="2B755339"/>
    <w:rsid w:val="2B9D35AA"/>
    <w:rsid w:val="2BAC1E16"/>
    <w:rsid w:val="2BD05AAD"/>
    <w:rsid w:val="2BD24775"/>
    <w:rsid w:val="2C3D62FD"/>
    <w:rsid w:val="2C7B69FC"/>
    <w:rsid w:val="2C806023"/>
    <w:rsid w:val="2CDB28F0"/>
    <w:rsid w:val="2D2152DC"/>
    <w:rsid w:val="2D2C179C"/>
    <w:rsid w:val="2D855015"/>
    <w:rsid w:val="2D8E4580"/>
    <w:rsid w:val="2E0B3F0C"/>
    <w:rsid w:val="2E2111A5"/>
    <w:rsid w:val="2E5D598F"/>
    <w:rsid w:val="2E6E3CFB"/>
    <w:rsid w:val="2E8D23D3"/>
    <w:rsid w:val="2E8F0DDF"/>
    <w:rsid w:val="2EA845AC"/>
    <w:rsid w:val="2EE015AC"/>
    <w:rsid w:val="2F006C98"/>
    <w:rsid w:val="2FB7304E"/>
    <w:rsid w:val="2FC040E2"/>
    <w:rsid w:val="2FC96D39"/>
    <w:rsid w:val="2FE140FD"/>
    <w:rsid w:val="301343BA"/>
    <w:rsid w:val="30492A9E"/>
    <w:rsid w:val="30A27C8C"/>
    <w:rsid w:val="30BF03A8"/>
    <w:rsid w:val="30C92050"/>
    <w:rsid w:val="30CC786D"/>
    <w:rsid w:val="30CF43B7"/>
    <w:rsid w:val="30D82847"/>
    <w:rsid w:val="31384310"/>
    <w:rsid w:val="3156319D"/>
    <w:rsid w:val="31592955"/>
    <w:rsid w:val="317452BC"/>
    <w:rsid w:val="31786C7B"/>
    <w:rsid w:val="317E13DB"/>
    <w:rsid w:val="31B66DBC"/>
    <w:rsid w:val="31CD723C"/>
    <w:rsid w:val="31E07910"/>
    <w:rsid w:val="322546D1"/>
    <w:rsid w:val="326C4094"/>
    <w:rsid w:val="32EC1405"/>
    <w:rsid w:val="33433512"/>
    <w:rsid w:val="337E3CF1"/>
    <w:rsid w:val="33CE26DD"/>
    <w:rsid w:val="33DD6483"/>
    <w:rsid w:val="34154E47"/>
    <w:rsid w:val="3453742A"/>
    <w:rsid w:val="345474EF"/>
    <w:rsid w:val="34E950E4"/>
    <w:rsid w:val="34FC4C29"/>
    <w:rsid w:val="35250316"/>
    <w:rsid w:val="35532DE6"/>
    <w:rsid w:val="355B7775"/>
    <w:rsid w:val="357C3701"/>
    <w:rsid w:val="35A03177"/>
    <w:rsid w:val="35BF332A"/>
    <w:rsid w:val="35EB79DF"/>
    <w:rsid w:val="35F91A9E"/>
    <w:rsid w:val="36010FB1"/>
    <w:rsid w:val="363E0A3D"/>
    <w:rsid w:val="3684530C"/>
    <w:rsid w:val="36C0469C"/>
    <w:rsid w:val="37113475"/>
    <w:rsid w:val="37213AEB"/>
    <w:rsid w:val="372B343C"/>
    <w:rsid w:val="37CA03C4"/>
    <w:rsid w:val="37D626EC"/>
    <w:rsid w:val="37E40B8A"/>
    <w:rsid w:val="383523CE"/>
    <w:rsid w:val="383D33C7"/>
    <w:rsid w:val="38B818A0"/>
    <w:rsid w:val="38D4209B"/>
    <w:rsid w:val="38E36364"/>
    <w:rsid w:val="38EF1AE2"/>
    <w:rsid w:val="391C5A88"/>
    <w:rsid w:val="39741776"/>
    <w:rsid w:val="397468E7"/>
    <w:rsid w:val="39A21F5F"/>
    <w:rsid w:val="3A0018CB"/>
    <w:rsid w:val="3A30455A"/>
    <w:rsid w:val="3A3D210F"/>
    <w:rsid w:val="3A9047F3"/>
    <w:rsid w:val="3AA1040B"/>
    <w:rsid w:val="3AB70D4B"/>
    <w:rsid w:val="3B7503A4"/>
    <w:rsid w:val="3BCD02B3"/>
    <w:rsid w:val="3BFF0BC3"/>
    <w:rsid w:val="3C2854E9"/>
    <w:rsid w:val="3C414F87"/>
    <w:rsid w:val="3CBD2788"/>
    <w:rsid w:val="3CF107BF"/>
    <w:rsid w:val="3DFD24EF"/>
    <w:rsid w:val="3E052BF2"/>
    <w:rsid w:val="3E2672D6"/>
    <w:rsid w:val="3E972830"/>
    <w:rsid w:val="3ECF4A76"/>
    <w:rsid w:val="3ED81A18"/>
    <w:rsid w:val="3EF36AD2"/>
    <w:rsid w:val="3F181799"/>
    <w:rsid w:val="3F594155"/>
    <w:rsid w:val="3F5D789A"/>
    <w:rsid w:val="3F8C5D8F"/>
    <w:rsid w:val="3FA441BB"/>
    <w:rsid w:val="3FAC6B3E"/>
    <w:rsid w:val="3FF874A5"/>
    <w:rsid w:val="3FFF27DE"/>
    <w:rsid w:val="40214951"/>
    <w:rsid w:val="402155E3"/>
    <w:rsid w:val="40814C76"/>
    <w:rsid w:val="40B15257"/>
    <w:rsid w:val="40BF20B4"/>
    <w:rsid w:val="40BF3F42"/>
    <w:rsid w:val="412253F8"/>
    <w:rsid w:val="413747C5"/>
    <w:rsid w:val="415D487B"/>
    <w:rsid w:val="41793223"/>
    <w:rsid w:val="41C912CA"/>
    <w:rsid w:val="41E13F93"/>
    <w:rsid w:val="43115D7B"/>
    <w:rsid w:val="43300FC1"/>
    <w:rsid w:val="435F56D7"/>
    <w:rsid w:val="439F3157"/>
    <w:rsid w:val="441C6E4D"/>
    <w:rsid w:val="44351C09"/>
    <w:rsid w:val="4452358E"/>
    <w:rsid w:val="44764150"/>
    <w:rsid w:val="447E2E5D"/>
    <w:rsid w:val="44B518E4"/>
    <w:rsid w:val="44E17561"/>
    <w:rsid w:val="450747C6"/>
    <w:rsid w:val="451119CC"/>
    <w:rsid w:val="451857FC"/>
    <w:rsid w:val="45783942"/>
    <w:rsid w:val="459613CA"/>
    <w:rsid w:val="459A5616"/>
    <w:rsid w:val="45CC789D"/>
    <w:rsid w:val="467347DA"/>
    <w:rsid w:val="46DF7DDC"/>
    <w:rsid w:val="47003981"/>
    <w:rsid w:val="473057D8"/>
    <w:rsid w:val="473D025C"/>
    <w:rsid w:val="475D31ED"/>
    <w:rsid w:val="477C58B0"/>
    <w:rsid w:val="479A64B2"/>
    <w:rsid w:val="47CA56A6"/>
    <w:rsid w:val="480118F4"/>
    <w:rsid w:val="484C692D"/>
    <w:rsid w:val="48873598"/>
    <w:rsid w:val="48A24686"/>
    <w:rsid w:val="48D909BD"/>
    <w:rsid w:val="48E924A4"/>
    <w:rsid w:val="4924499B"/>
    <w:rsid w:val="493125DA"/>
    <w:rsid w:val="498E4A8A"/>
    <w:rsid w:val="49960A9A"/>
    <w:rsid w:val="49E35145"/>
    <w:rsid w:val="49E41224"/>
    <w:rsid w:val="49F42978"/>
    <w:rsid w:val="4A3B2A36"/>
    <w:rsid w:val="4A4B4B9E"/>
    <w:rsid w:val="4AEE49A9"/>
    <w:rsid w:val="4B3814C1"/>
    <w:rsid w:val="4B3865D5"/>
    <w:rsid w:val="4B447D1C"/>
    <w:rsid w:val="4B9247D9"/>
    <w:rsid w:val="4BE1455F"/>
    <w:rsid w:val="4C3363FD"/>
    <w:rsid w:val="4C4172EC"/>
    <w:rsid w:val="4C804ECE"/>
    <w:rsid w:val="4C947039"/>
    <w:rsid w:val="4D340D18"/>
    <w:rsid w:val="4D596CF9"/>
    <w:rsid w:val="4D901CB5"/>
    <w:rsid w:val="4D9D7B6E"/>
    <w:rsid w:val="4DFD5C96"/>
    <w:rsid w:val="4E234659"/>
    <w:rsid w:val="4E247B78"/>
    <w:rsid w:val="4E2535B6"/>
    <w:rsid w:val="4E6977BA"/>
    <w:rsid w:val="4E88493A"/>
    <w:rsid w:val="4E955B14"/>
    <w:rsid w:val="4EB9389C"/>
    <w:rsid w:val="4EBB5039"/>
    <w:rsid w:val="4EFB62DE"/>
    <w:rsid w:val="4F295374"/>
    <w:rsid w:val="4F585DCE"/>
    <w:rsid w:val="4FAA5D00"/>
    <w:rsid w:val="501646F8"/>
    <w:rsid w:val="50190F11"/>
    <w:rsid w:val="50194684"/>
    <w:rsid w:val="505C17AE"/>
    <w:rsid w:val="506955FB"/>
    <w:rsid w:val="50866020"/>
    <w:rsid w:val="50AB1899"/>
    <w:rsid w:val="50DE1214"/>
    <w:rsid w:val="512A36E4"/>
    <w:rsid w:val="51A63D8D"/>
    <w:rsid w:val="51BA0995"/>
    <w:rsid w:val="51DA5B8E"/>
    <w:rsid w:val="52460EAB"/>
    <w:rsid w:val="52B36F1A"/>
    <w:rsid w:val="52C87640"/>
    <w:rsid w:val="52ED1ED7"/>
    <w:rsid w:val="52F52638"/>
    <w:rsid w:val="535B00C2"/>
    <w:rsid w:val="53913478"/>
    <w:rsid w:val="53983394"/>
    <w:rsid w:val="53D141CA"/>
    <w:rsid w:val="5454111A"/>
    <w:rsid w:val="545D78A2"/>
    <w:rsid w:val="549E02D0"/>
    <w:rsid w:val="54A92908"/>
    <w:rsid w:val="54B00CDA"/>
    <w:rsid w:val="54F93EBC"/>
    <w:rsid w:val="556E1761"/>
    <w:rsid w:val="55832158"/>
    <w:rsid w:val="558D3128"/>
    <w:rsid w:val="55A7171D"/>
    <w:rsid w:val="55AB55F4"/>
    <w:rsid w:val="560426CB"/>
    <w:rsid w:val="56232843"/>
    <w:rsid w:val="56921A85"/>
    <w:rsid w:val="56BE6D1E"/>
    <w:rsid w:val="56CB620E"/>
    <w:rsid w:val="57045844"/>
    <w:rsid w:val="571272B4"/>
    <w:rsid w:val="574038C8"/>
    <w:rsid w:val="575546F8"/>
    <w:rsid w:val="5789732C"/>
    <w:rsid w:val="57EB4BDC"/>
    <w:rsid w:val="57FE4953"/>
    <w:rsid w:val="580A4919"/>
    <w:rsid w:val="583E5B2C"/>
    <w:rsid w:val="588F4F92"/>
    <w:rsid w:val="589F2232"/>
    <w:rsid w:val="59085107"/>
    <w:rsid w:val="590F7FC8"/>
    <w:rsid w:val="59271254"/>
    <w:rsid w:val="59830E0F"/>
    <w:rsid w:val="59A94DCB"/>
    <w:rsid w:val="5A24333C"/>
    <w:rsid w:val="5A2B3745"/>
    <w:rsid w:val="5A2D2F62"/>
    <w:rsid w:val="5A446991"/>
    <w:rsid w:val="5A70032F"/>
    <w:rsid w:val="5A924F6F"/>
    <w:rsid w:val="5AA56A48"/>
    <w:rsid w:val="5AB3021C"/>
    <w:rsid w:val="5AB40E78"/>
    <w:rsid w:val="5ACA7B36"/>
    <w:rsid w:val="5AD7512D"/>
    <w:rsid w:val="5AF97AF9"/>
    <w:rsid w:val="5B0429F4"/>
    <w:rsid w:val="5B2322A0"/>
    <w:rsid w:val="5B94042F"/>
    <w:rsid w:val="5BC72852"/>
    <w:rsid w:val="5CE07065"/>
    <w:rsid w:val="5D1321A4"/>
    <w:rsid w:val="5D137640"/>
    <w:rsid w:val="5D2A16AF"/>
    <w:rsid w:val="5D686F31"/>
    <w:rsid w:val="5D982999"/>
    <w:rsid w:val="5DA65F7F"/>
    <w:rsid w:val="5DCC1C34"/>
    <w:rsid w:val="5DD70BA1"/>
    <w:rsid w:val="5E087C32"/>
    <w:rsid w:val="5E1B1AA4"/>
    <w:rsid w:val="5E361890"/>
    <w:rsid w:val="5E8E00DF"/>
    <w:rsid w:val="5E95555D"/>
    <w:rsid w:val="5EB07418"/>
    <w:rsid w:val="5F040E75"/>
    <w:rsid w:val="5FEF5D0E"/>
    <w:rsid w:val="607B17DC"/>
    <w:rsid w:val="60911000"/>
    <w:rsid w:val="609B7552"/>
    <w:rsid w:val="60C732F7"/>
    <w:rsid w:val="60F00FA2"/>
    <w:rsid w:val="61312BD8"/>
    <w:rsid w:val="61556FE4"/>
    <w:rsid w:val="6166333D"/>
    <w:rsid w:val="61807393"/>
    <w:rsid w:val="61A24FB0"/>
    <w:rsid w:val="61EB7224"/>
    <w:rsid w:val="623B100E"/>
    <w:rsid w:val="628B72A3"/>
    <w:rsid w:val="62957B94"/>
    <w:rsid w:val="62B00F28"/>
    <w:rsid w:val="62EC2F7A"/>
    <w:rsid w:val="63394059"/>
    <w:rsid w:val="634469BD"/>
    <w:rsid w:val="634D0DED"/>
    <w:rsid w:val="636475EE"/>
    <w:rsid w:val="636E7046"/>
    <w:rsid w:val="63A8059F"/>
    <w:rsid w:val="63BF6FD1"/>
    <w:rsid w:val="6425617F"/>
    <w:rsid w:val="644C018B"/>
    <w:rsid w:val="64780747"/>
    <w:rsid w:val="651C4E27"/>
    <w:rsid w:val="651C57D7"/>
    <w:rsid w:val="6529060A"/>
    <w:rsid w:val="65A95F5F"/>
    <w:rsid w:val="65BF216B"/>
    <w:rsid w:val="66172C48"/>
    <w:rsid w:val="66662B24"/>
    <w:rsid w:val="66B04213"/>
    <w:rsid w:val="66E300DB"/>
    <w:rsid w:val="66F0682B"/>
    <w:rsid w:val="673D4540"/>
    <w:rsid w:val="674A6D19"/>
    <w:rsid w:val="67A755AC"/>
    <w:rsid w:val="67B83F47"/>
    <w:rsid w:val="67D4426A"/>
    <w:rsid w:val="67EB3B9A"/>
    <w:rsid w:val="67F92D2E"/>
    <w:rsid w:val="68632379"/>
    <w:rsid w:val="68A75196"/>
    <w:rsid w:val="68C45853"/>
    <w:rsid w:val="69620FC2"/>
    <w:rsid w:val="69715E72"/>
    <w:rsid w:val="697D1917"/>
    <w:rsid w:val="698F5E2C"/>
    <w:rsid w:val="69A004FC"/>
    <w:rsid w:val="69D51814"/>
    <w:rsid w:val="6A010FA4"/>
    <w:rsid w:val="6A4F2EBB"/>
    <w:rsid w:val="6AA57F55"/>
    <w:rsid w:val="6AEE4391"/>
    <w:rsid w:val="6B476AB3"/>
    <w:rsid w:val="6B661026"/>
    <w:rsid w:val="6B9A18B9"/>
    <w:rsid w:val="6BAA1549"/>
    <w:rsid w:val="6BC031F5"/>
    <w:rsid w:val="6BC26BB7"/>
    <w:rsid w:val="6C337F2A"/>
    <w:rsid w:val="6C3A622F"/>
    <w:rsid w:val="6C5913F6"/>
    <w:rsid w:val="6CAC3E0C"/>
    <w:rsid w:val="6D2900BF"/>
    <w:rsid w:val="6D90487D"/>
    <w:rsid w:val="6DEB7024"/>
    <w:rsid w:val="6E3B2C13"/>
    <w:rsid w:val="6E450819"/>
    <w:rsid w:val="6E7377F2"/>
    <w:rsid w:val="6EB309D4"/>
    <w:rsid w:val="6EC15BA9"/>
    <w:rsid w:val="6F0663B6"/>
    <w:rsid w:val="6F0A11A3"/>
    <w:rsid w:val="6F1277AF"/>
    <w:rsid w:val="6F31309C"/>
    <w:rsid w:val="6F5574FB"/>
    <w:rsid w:val="6F930BF3"/>
    <w:rsid w:val="6FED1134"/>
    <w:rsid w:val="70020185"/>
    <w:rsid w:val="703A5F72"/>
    <w:rsid w:val="705E660E"/>
    <w:rsid w:val="70C04FC8"/>
    <w:rsid w:val="711E4117"/>
    <w:rsid w:val="711F25A1"/>
    <w:rsid w:val="71351120"/>
    <w:rsid w:val="7147182E"/>
    <w:rsid w:val="714A76D5"/>
    <w:rsid w:val="714E1A0F"/>
    <w:rsid w:val="71764C40"/>
    <w:rsid w:val="71826481"/>
    <w:rsid w:val="71B12523"/>
    <w:rsid w:val="71E74F23"/>
    <w:rsid w:val="72193560"/>
    <w:rsid w:val="72340016"/>
    <w:rsid w:val="7235431A"/>
    <w:rsid w:val="72460908"/>
    <w:rsid w:val="72711400"/>
    <w:rsid w:val="72883B4F"/>
    <w:rsid w:val="72966949"/>
    <w:rsid w:val="72A057C0"/>
    <w:rsid w:val="72BF1223"/>
    <w:rsid w:val="72DC4B18"/>
    <w:rsid w:val="72EB6B39"/>
    <w:rsid w:val="73113039"/>
    <w:rsid w:val="73122218"/>
    <w:rsid w:val="735A2B3E"/>
    <w:rsid w:val="735A6C75"/>
    <w:rsid w:val="73750E86"/>
    <w:rsid w:val="73922C6D"/>
    <w:rsid w:val="739C55EB"/>
    <w:rsid w:val="73A15A79"/>
    <w:rsid w:val="73B40DD1"/>
    <w:rsid w:val="73E84759"/>
    <w:rsid w:val="740051CA"/>
    <w:rsid w:val="74326395"/>
    <w:rsid w:val="7440158F"/>
    <w:rsid w:val="74474DDC"/>
    <w:rsid w:val="74634A92"/>
    <w:rsid w:val="74FF663C"/>
    <w:rsid w:val="75177F58"/>
    <w:rsid w:val="75223309"/>
    <w:rsid w:val="752F24B2"/>
    <w:rsid w:val="755D2408"/>
    <w:rsid w:val="758A446C"/>
    <w:rsid w:val="75A84185"/>
    <w:rsid w:val="761F1435"/>
    <w:rsid w:val="765C37A8"/>
    <w:rsid w:val="7667195C"/>
    <w:rsid w:val="76BD44A5"/>
    <w:rsid w:val="76CA5CAE"/>
    <w:rsid w:val="77323A7C"/>
    <w:rsid w:val="778A4CAC"/>
    <w:rsid w:val="778C4E61"/>
    <w:rsid w:val="78641003"/>
    <w:rsid w:val="78C5709B"/>
    <w:rsid w:val="78D21D5D"/>
    <w:rsid w:val="78E5787B"/>
    <w:rsid w:val="78F53CFA"/>
    <w:rsid w:val="790651F5"/>
    <w:rsid w:val="7A126827"/>
    <w:rsid w:val="7A1C5BC6"/>
    <w:rsid w:val="7A862E00"/>
    <w:rsid w:val="7A9A7B26"/>
    <w:rsid w:val="7A9C2623"/>
    <w:rsid w:val="7AD978E0"/>
    <w:rsid w:val="7B2B1E34"/>
    <w:rsid w:val="7B385EDE"/>
    <w:rsid w:val="7B441635"/>
    <w:rsid w:val="7B4E0D77"/>
    <w:rsid w:val="7B7C1F43"/>
    <w:rsid w:val="7BAB238D"/>
    <w:rsid w:val="7BE57F98"/>
    <w:rsid w:val="7BEB3720"/>
    <w:rsid w:val="7C0B3F04"/>
    <w:rsid w:val="7C1B2BF4"/>
    <w:rsid w:val="7C1D35E9"/>
    <w:rsid w:val="7C2F0961"/>
    <w:rsid w:val="7C35491B"/>
    <w:rsid w:val="7C6B042C"/>
    <w:rsid w:val="7C6C02EB"/>
    <w:rsid w:val="7C865509"/>
    <w:rsid w:val="7C9A1C41"/>
    <w:rsid w:val="7CB3343B"/>
    <w:rsid w:val="7CE63049"/>
    <w:rsid w:val="7CE928E5"/>
    <w:rsid w:val="7D3A1533"/>
    <w:rsid w:val="7D3F791B"/>
    <w:rsid w:val="7D4364FD"/>
    <w:rsid w:val="7DA6136C"/>
    <w:rsid w:val="7DBB6EAA"/>
    <w:rsid w:val="7DC158CD"/>
    <w:rsid w:val="7DE8695D"/>
    <w:rsid w:val="7DEF1FFD"/>
    <w:rsid w:val="7E06385F"/>
    <w:rsid w:val="7E0779F5"/>
    <w:rsid w:val="7E0D5D12"/>
    <w:rsid w:val="7E532DEE"/>
    <w:rsid w:val="7E5E1BC0"/>
    <w:rsid w:val="7EF5566C"/>
    <w:rsid w:val="7F3F10FA"/>
    <w:rsid w:val="7F8E49E6"/>
    <w:rsid w:val="7F9A114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qFormat="1"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400" w:lineRule="exact"/>
      <w:jc w:val="both"/>
    </w:pPr>
    <w:rPr>
      <w:rFonts w:ascii="Times New Roman" w:hAnsi="Times New Roman" w:eastAsia="宋体" w:cs="Times New Roman"/>
      <w:kern w:val="2"/>
      <w:sz w:val="24"/>
      <w:szCs w:val="22"/>
      <w:lang w:val="en-US" w:eastAsia="zh-CN" w:bidi="ar-SA"/>
    </w:rPr>
  </w:style>
  <w:style w:type="paragraph" w:styleId="4">
    <w:name w:val="heading 1"/>
    <w:basedOn w:val="1"/>
    <w:next w:val="1"/>
    <w:link w:val="28"/>
    <w:qFormat/>
    <w:uiPriority w:val="0"/>
    <w:pPr>
      <w:spacing w:line="240" w:lineRule="auto"/>
      <w:ind w:firstLine="723" w:firstLineChars="200"/>
      <w:jc w:val="left"/>
      <w:outlineLvl w:val="0"/>
    </w:pPr>
    <w:rPr>
      <w:rFonts w:ascii="方正小标宋简体" w:hAnsi="方正小标宋简体" w:eastAsia="黑体" w:cs="方正小标宋简体"/>
      <w:sz w:val="30"/>
      <w:szCs w:val="44"/>
      <w:lang w:val="zh-CN" w:bidi="zh-CN"/>
    </w:rPr>
  </w:style>
  <w:style w:type="paragraph" w:styleId="5">
    <w:name w:val="heading 2"/>
    <w:basedOn w:val="1"/>
    <w:next w:val="1"/>
    <w:link w:val="43"/>
    <w:unhideWhenUsed/>
    <w:qFormat/>
    <w:uiPriority w:val="0"/>
    <w:pPr>
      <w:keepNext/>
      <w:spacing w:before="30" w:beforeLines="30" w:after="30" w:afterLines="30"/>
      <w:ind w:firstLine="723" w:firstLineChars="200"/>
      <w:outlineLvl w:val="1"/>
    </w:pPr>
    <w:rPr>
      <w:rFonts w:eastAsia="黑体"/>
      <w:sz w:val="28"/>
      <w:szCs w:val="32"/>
    </w:rPr>
  </w:style>
  <w:style w:type="paragraph" w:styleId="6">
    <w:name w:val="heading 3"/>
    <w:basedOn w:val="1"/>
    <w:next w:val="1"/>
    <w:link w:val="35"/>
    <w:unhideWhenUsed/>
    <w:qFormat/>
    <w:uiPriority w:val="0"/>
    <w:pPr>
      <w:ind w:firstLine="723" w:firstLineChars="200"/>
      <w:outlineLvl w:val="2"/>
    </w:pPr>
    <w:rPr>
      <w:rFonts w:eastAsia="黑体"/>
      <w:kern w:val="0"/>
      <w:szCs w:val="20"/>
    </w:rPr>
  </w:style>
  <w:style w:type="paragraph" w:styleId="7">
    <w:name w:val="heading 4"/>
    <w:basedOn w:val="1"/>
    <w:next w:val="1"/>
    <w:link w:val="27"/>
    <w:unhideWhenUsed/>
    <w:qFormat/>
    <w:uiPriority w:val="0"/>
    <w:pPr>
      <w:keepNext/>
      <w:keepLines/>
      <w:outlineLvl w:val="3"/>
    </w:pPr>
    <w:rPr>
      <w:rFonts w:eastAsia="黑体"/>
    </w:rPr>
  </w:style>
  <w:style w:type="character" w:default="1" w:styleId="19">
    <w:name w:val="Default Paragraph Font"/>
    <w:semiHidden/>
    <w:unhideWhenUsed/>
    <w:uiPriority w:val="1"/>
  </w:style>
  <w:style w:type="table" w:default="1" w:styleId="17">
    <w:name w:val="Normal Table"/>
    <w:semiHidden/>
    <w:unhideWhenUsed/>
    <w:uiPriority w:val="99"/>
    <w:tblPr>
      <w:tblCellMar>
        <w:top w:w="0" w:type="dxa"/>
        <w:left w:w="108" w:type="dxa"/>
        <w:bottom w:w="0" w:type="dxa"/>
        <w:right w:w="108" w:type="dxa"/>
      </w:tblCellMar>
    </w:tblPr>
  </w:style>
  <w:style w:type="paragraph" w:styleId="2">
    <w:name w:val="Body Text First Indent 2"/>
    <w:basedOn w:val="3"/>
    <w:qFormat/>
    <w:uiPriority w:val="0"/>
    <w:pPr>
      <w:ind w:firstLine="420"/>
    </w:pPr>
    <w:rPr>
      <w:szCs w:val="24"/>
    </w:rPr>
  </w:style>
  <w:style w:type="paragraph" w:styleId="3">
    <w:name w:val="Body Text Indent"/>
    <w:basedOn w:val="1"/>
    <w:unhideWhenUsed/>
    <w:qFormat/>
    <w:uiPriority w:val="0"/>
    <w:pPr>
      <w:spacing w:after="120"/>
      <w:ind w:left="420" w:leftChars="200"/>
    </w:pPr>
  </w:style>
  <w:style w:type="paragraph" w:styleId="8">
    <w:name w:val="caption"/>
    <w:basedOn w:val="1"/>
    <w:next w:val="1"/>
    <w:unhideWhenUsed/>
    <w:qFormat/>
    <w:uiPriority w:val="35"/>
    <w:rPr>
      <w:rFonts w:eastAsia="黑体" w:asciiTheme="majorHAnsi" w:hAnsiTheme="majorHAnsi" w:cstheme="majorBidi"/>
      <w:sz w:val="20"/>
      <w:szCs w:val="20"/>
    </w:rPr>
  </w:style>
  <w:style w:type="paragraph" w:styleId="9">
    <w:name w:val="annotation text"/>
    <w:basedOn w:val="1"/>
    <w:qFormat/>
    <w:uiPriority w:val="0"/>
    <w:pPr>
      <w:jc w:val="left"/>
    </w:pPr>
  </w:style>
  <w:style w:type="paragraph" w:styleId="10">
    <w:name w:val="Body Text"/>
    <w:basedOn w:val="1"/>
    <w:qFormat/>
    <w:uiPriority w:val="1"/>
    <w:pPr>
      <w:autoSpaceDE w:val="0"/>
      <w:autoSpaceDN w:val="0"/>
      <w:ind w:left="475" w:firstLine="480"/>
      <w:jc w:val="left"/>
    </w:pPr>
    <w:rPr>
      <w:rFonts w:cs="宋体"/>
      <w:kern w:val="0"/>
      <w:lang w:val="zh-CN" w:bidi="zh-CN"/>
    </w:rPr>
  </w:style>
  <w:style w:type="paragraph" w:styleId="11">
    <w:name w:val="Body Text Indent 2"/>
    <w:basedOn w:val="1"/>
    <w:qFormat/>
    <w:uiPriority w:val="0"/>
    <w:pPr>
      <w:ind w:firstLine="420"/>
    </w:pPr>
    <w:rPr>
      <w:kern w:val="0"/>
      <w:sz w:val="20"/>
      <w:szCs w:val="20"/>
    </w:rPr>
  </w:style>
  <w:style w:type="paragraph" w:styleId="12">
    <w:name w:val="footer"/>
    <w:basedOn w:val="1"/>
    <w:unhideWhenUsed/>
    <w:qFormat/>
    <w:uiPriority w:val="99"/>
    <w:pPr>
      <w:tabs>
        <w:tab w:val="center" w:pos="4153"/>
        <w:tab w:val="right" w:pos="8306"/>
      </w:tabs>
      <w:snapToGrid w:val="0"/>
      <w:spacing w:line="240" w:lineRule="atLeast"/>
      <w:jc w:val="left"/>
    </w:pPr>
    <w:rPr>
      <w:sz w:val="18"/>
      <w:szCs w:val="18"/>
    </w:rPr>
  </w:style>
  <w:style w:type="paragraph" w:styleId="13">
    <w:name w:val="header"/>
    <w:basedOn w:val="1"/>
    <w:unhideWhenUsed/>
    <w:qFormat/>
    <w:uiPriority w:val="99"/>
    <w:pPr>
      <w:pBdr>
        <w:bottom w:val="single" w:color="auto" w:sz="6" w:space="1"/>
      </w:pBdr>
      <w:tabs>
        <w:tab w:val="center" w:pos="4153"/>
        <w:tab w:val="right" w:pos="8306"/>
      </w:tabs>
      <w:snapToGrid w:val="0"/>
      <w:spacing w:line="240" w:lineRule="atLeast"/>
      <w:jc w:val="center"/>
    </w:pPr>
    <w:rPr>
      <w:sz w:val="18"/>
      <w:szCs w:val="18"/>
    </w:rPr>
  </w:style>
  <w:style w:type="paragraph" w:styleId="14">
    <w:name w:val="toc 1"/>
    <w:basedOn w:val="1"/>
    <w:next w:val="1"/>
    <w:qFormat/>
    <w:uiPriority w:val="0"/>
  </w:style>
  <w:style w:type="paragraph" w:styleId="15">
    <w:name w:val="Normal (Web)"/>
    <w:basedOn w:val="1"/>
    <w:unhideWhenUsed/>
    <w:qFormat/>
    <w:uiPriority w:val="99"/>
    <w:pPr>
      <w:widowControl/>
      <w:spacing w:before="100" w:beforeAutospacing="1" w:after="100" w:afterAutospacing="1"/>
      <w:jc w:val="left"/>
    </w:pPr>
    <w:rPr>
      <w:rFonts w:ascii="宋体" w:hAnsi="宋体" w:cs="宋体"/>
      <w:kern w:val="0"/>
      <w:szCs w:val="24"/>
    </w:rPr>
  </w:style>
  <w:style w:type="paragraph" w:styleId="16">
    <w:name w:val="Title"/>
    <w:basedOn w:val="1"/>
    <w:qFormat/>
    <w:uiPriority w:val="0"/>
    <w:pPr>
      <w:spacing w:after="100" w:afterLines="100" w:line="240" w:lineRule="auto"/>
      <w:jc w:val="center"/>
      <w:outlineLvl w:val="0"/>
    </w:pPr>
    <w:rPr>
      <w:rFonts w:ascii="Arial" w:hAnsi="Arial" w:eastAsia="黑体"/>
      <w:b/>
      <w:sz w:val="36"/>
    </w:rPr>
  </w:style>
  <w:style w:type="table" w:styleId="18">
    <w:name w:val="Table Grid"/>
    <w:basedOn w:val="17"/>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0">
    <w:name w:val="page number"/>
    <w:basedOn w:val="19"/>
    <w:qFormat/>
    <w:uiPriority w:val="0"/>
  </w:style>
  <w:style w:type="character" w:styleId="21">
    <w:name w:val="Hyperlink"/>
    <w:qFormat/>
    <w:uiPriority w:val="99"/>
    <w:rPr>
      <w:color w:val="0000FF"/>
      <w:u w:val="single"/>
    </w:rPr>
  </w:style>
  <w:style w:type="paragraph" w:styleId="22">
    <w:name w:val="List Paragraph"/>
    <w:basedOn w:val="1"/>
    <w:qFormat/>
    <w:uiPriority w:val="1"/>
    <w:pPr>
      <w:autoSpaceDE w:val="0"/>
      <w:autoSpaceDN w:val="0"/>
      <w:ind w:left="1137" w:hanging="181"/>
      <w:jc w:val="left"/>
    </w:pPr>
    <w:rPr>
      <w:rFonts w:cs="宋体"/>
      <w:kern w:val="0"/>
      <w:sz w:val="22"/>
      <w:lang w:val="zh-CN" w:bidi="zh-CN"/>
    </w:rPr>
  </w:style>
  <w:style w:type="character" w:customStyle="1" w:styleId="23">
    <w:name w:val="标题 4 Char"/>
    <w:qFormat/>
    <w:uiPriority w:val="0"/>
    <w:rPr>
      <w:rFonts w:eastAsia="黑体"/>
    </w:rPr>
  </w:style>
  <w:style w:type="character" w:customStyle="1" w:styleId="24">
    <w:name w:val="标题 3 Char"/>
    <w:basedOn w:val="19"/>
    <w:qFormat/>
    <w:uiPriority w:val="0"/>
    <w:rPr>
      <w:rFonts w:ascii="Times New Roman" w:hAnsi="Times New Roman" w:eastAsia="黑体"/>
      <w:kern w:val="0"/>
      <w:szCs w:val="20"/>
    </w:rPr>
  </w:style>
  <w:style w:type="paragraph" w:customStyle="1" w:styleId="25">
    <w:name w:val="标题5-表图"/>
    <w:basedOn w:val="1"/>
    <w:next w:val="1"/>
    <w:qFormat/>
    <w:uiPriority w:val="0"/>
    <w:pPr>
      <w:jc w:val="center"/>
    </w:pPr>
  </w:style>
  <w:style w:type="paragraph" w:customStyle="1" w:styleId="26">
    <w:name w:val="Table Paragraph"/>
    <w:basedOn w:val="1"/>
    <w:qFormat/>
    <w:uiPriority w:val="1"/>
    <w:rPr>
      <w:rFonts w:ascii="黑体" w:hAnsi="黑体" w:eastAsia="黑体" w:cs="黑体"/>
    </w:rPr>
  </w:style>
  <w:style w:type="character" w:customStyle="1" w:styleId="27">
    <w:name w:val="标题 4 Char1"/>
    <w:basedOn w:val="19"/>
    <w:link w:val="7"/>
    <w:qFormat/>
    <w:uiPriority w:val="0"/>
    <w:rPr>
      <w:rFonts w:ascii="Times New Roman" w:hAnsi="Times New Roman" w:eastAsia="黑体" w:cs="Times New Roman"/>
      <w:sz w:val="24"/>
    </w:rPr>
  </w:style>
  <w:style w:type="character" w:customStyle="1" w:styleId="28">
    <w:name w:val="标题 1 Char"/>
    <w:link w:val="4"/>
    <w:qFormat/>
    <w:uiPriority w:val="0"/>
    <w:rPr>
      <w:rFonts w:ascii="方正小标宋简体" w:hAnsi="方正小标宋简体" w:eastAsia="黑体" w:cs="方正小标宋简体"/>
      <w:sz w:val="30"/>
      <w:szCs w:val="44"/>
      <w:lang w:val="zh-CN" w:bidi="zh-CN"/>
    </w:rPr>
  </w:style>
  <w:style w:type="paragraph" w:customStyle="1" w:styleId="29">
    <w:name w:val="标题4"/>
    <w:basedOn w:val="6"/>
    <w:qFormat/>
    <w:uiPriority w:val="0"/>
    <w:pPr>
      <w:spacing w:line="440" w:lineRule="exact"/>
      <w:ind w:firstLine="0" w:firstLineChars="0"/>
      <w:jc w:val="left"/>
    </w:pPr>
    <w:rPr>
      <w:rFonts w:ascii="黑体" w:hAnsi="黑体" w:cstheme="minorBidi"/>
      <w:kern w:val="2"/>
      <w:szCs w:val="24"/>
    </w:rPr>
  </w:style>
  <w:style w:type="paragraph" w:customStyle="1" w:styleId="30">
    <w:name w:val="正文文本1"/>
    <w:basedOn w:val="1"/>
    <w:qFormat/>
    <w:uiPriority w:val="0"/>
    <w:pPr>
      <w:shd w:val="clear" w:color="auto" w:fill="FFFFFF"/>
      <w:spacing w:line="430" w:lineRule="auto"/>
      <w:ind w:firstLine="360"/>
    </w:pPr>
    <w:rPr>
      <w:rFonts w:ascii="宋体" w:hAnsi="宋体" w:cs="宋体"/>
      <w:sz w:val="15"/>
      <w:szCs w:val="15"/>
      <w:lang w:val="zh-CN" w:bidi="zh-CN"/>
    </w:rPr>
  </w:style>
  <w:style w:type="paragraph" w:customStyle="1" w:styleId="31">
    <w:name w:val="表前正文1"/>
    <w:basedOn w:val="1"/>
    <w:qFormat/>
    <w:uiPriority w:val="0"/>
    <w:pPr>
      <w:spacing w:line="440" w:lineRule="exact"/>
      <w:ind w:firstLine="640"/>
    </w:pPr>
  </w:style>
  <w:style w:type="character" w:customStyle="1" w:styleId="32">
    <w:name w:val="标题 2 字符"/>
    <w:qFormat/>
    <w:uiPriority w:val="0"/>
    <w:rPr>
      <w:rFonts w:ascii="Times New Roman" w:hAnsi="Times New Roman" w:eastAsia="黑体"/>
      <w:sz w:val="28"/>
      <w:szCs w:val="32"/>
    </w:rPr>
  </w:style>
  <w:style w:type="paragraph" w:customStyle="1" w:styleId="33">
    <w:name w:val="Default"/>
    <w:qFormat/>
    <w:uiPriority w:val="0"/>
    <w:pPr>
      <w:widowControl w:val="0"/>
      <w:autoSpaceDE w:val="0"/>
      <w:autoSpaceDN w:val="0"/>
      <w:adjustRightInd w:val="0"/>
    </w:pPr>
    <w:rPr>
      <w:rFonts w:ascii="仿宋_GB2312" w:hAnsi="Calibri" w:eastAsia="仿宋_GB2312" w:cs="仿宋_GB2312"/>
      <w:color w:val="000000"/>
      <w:sz w:val="24"/>
      <w:szCs w:val="24"/>
      <w:lang w:val="en-US" w:eastAsia="zh-CN" w:bidi="ar-SA"/>
    </w:rPr>
  </w:style>
  <w:style w:type="character" w:customStyle="1" w:styleId="34">
    <w:name w:val="fontx1"/>
    <w:qFormat/>
    <w:uiPriority w:val="99"/>
    <w:rPr>
      <w:color w:val="000000"/>
      <w:sz w:val="26"/>
      <w:szCs w:val="26"/>
    </w:rPr>
  </w:style>
  <w:style w:type="character" w:customStyle="1" w:styleId="35">
    <w:name w:val="标题 3 Char1"/>
    <w:basedOn w:val="19"/>
    <w:link w:val="6"/>
    <w:qFormat/>
    <w:uiPriority w:val="0"/>
    <w:rPr>
      <w:rFonts w:ascii="Times New Roman" w:hAnsi="Times New Roman" w:eastAsia="黑体" w:cs="Times New Roman"/>
      <w:kern w:val="0"/>
      <w:sz w:val="28"/>
      <w:szCs w:val="20"/>
    </w:rPr>
  </w:style>
  <w:style w:type="paragraph" w:customStyle="1" w:styleId="36">
    <w:name w:val="_Style 1"/>
    <w:basedOn w:val="1"/>
    <w:qFormat/>
    <w:uiPriority w:val="34"/>
    <w:pPr>
      <w:ind w:firstLine="420" w:firstLineChars="200"/>
    </w:pPr>
  </w:style>
  <w:style w:type="paragraph" w:customStyle="1" w:styleId="37">
    <w:name w:val="表名"/>
    <w:basedOn w:val="1"/>
    <w:qFormat/>
    <w:uiPriority w:val="0"/>
    <w:pPr>
      <w:spacing w:beforeLines="50" w:line="240" w:lineRule="auto"/>
      <w:jc w:val="center"/>
    </w:pPr>
    <w:rPr>
      <w:sz w:val="21"/>
      <w:szCs w:val="24"/>
    </w:rPr>
  </w:style>
  <w:style w:type="character" w:customStyle="1" w:styleId="38">
    <w:name w:val="fontstyle01"/>
    <w:basedOn w:val="19"/>
    <w:qFormat/>
    <w:uiPriority w:val="0"/>
    <w:rPr>
      <w:rFonts w:hint="eastAsia" w:ascii="宋体" w:hAnsi="宋体" w:eastAsia="宋体"/>
      <w:color w:val="000000"/>
      <w:sz w:val="24"/>
      <w:szCs w:val="24"/>
    </w:rPr>
  </w:style>
  <w:style w:type="paragraph" w:customStyle="1" w:styleId="39">
    <w:name w:val="图名"/>
    <w:basedOn w:val="1"/>
    <w:qFormat/>
    <w:uiPriority w:val="99"/>
    <w:pPr>
      <w:spacing w:beforeLines="50" w:afterLines="50" w:line="240" w:lineRule="auto"/>
      <w:jc w:val="center"/>
    </w:pPr>
    <w:rPr>
      <w:sz w:val="21"/>
    </w:rPr>
  </w:style>
  <w:style w:type="table" w:customStyle="1" w:styleId="40">
    <w:name w:val="网格型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
  </w:style>
  <w:style w:type="table" w:customStyle="1" w:styleId="41">
    <w:name w:val="网格型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
  </w:style>
  <w:style w:type="table" w:customStyle="1" w:styleId="42">
    <w:name w:val="网格型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
  </w:style>
  <w:style w:type="character" w:customStyle="1" w:styleId="43">
    <w:name w:val="标题 2 Char"/>
    <w:link w:val="5"/>
    <w:qFormat/>
    <w:uiPriority w:val="9"/>
    <w:rPr>
      <w:rFonts w:ascii="Times New Roman" w:hAnsi="Times New Roman" w:eastAsia="黑体" w:cs="宋体"/>
      <w:b/>
      <w:kern w:val="2"/>
      <w:sz w:val="24"/>
      <w:szCs w:val="32"/>
    </w:rPr>
  </w:style>
  <w:style w:type="paragraph" w:customStyle="1" w:styleId="44">
    <w:name w:val="二级标题"/>
    <w:basedOn w:val="1"/>
    <w:qFormat/>
    <w:uiPriority w:val="0"/>
    <w:pPr>
      <w:ind w:firstLine="200" w:firstLineChars="200"/>
      <w:outlineLvl w:val="1"/>
    </w:pPr>
    <w:rPr>
      <w:rFonts w:ascii="仿宋_GB2312" w:hAnsi="黑体" w:eastAsia="黑体"/>
      <w:sz w:val="28"/>
    </w:rPr>
  </w:style>
  <w:style w:type="paragraph" w:customStyle="1" w:styleId="45">
    <w:name w:val="三级标题"/>
    <w:basedOn w:val="44"/>
    <w:qFormat/>
    <w:uiPriority w:val="0"/>
    <w:rPr>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3.jpeg"/><Relationship Id="rId98" Type="http://schemas.openxmlformats.org/officeDocument/2006/relationships/image" Target="media/image82.jpeg"/><Relationship Id="rId97" Type="http://schemas.openxmlformats.org/officeDocument/2006/relationships/image" Target="media/image81.jpeg"/><Relationship Id="rId96" Type="http://schemas.openxmlformats.org/officeDocument/2006/relationships/image" Target="media/image80.jpeg"/><Relationship Id="rId95" Type="http://schemas.openxmlformats.org/officeDocument/2006/relationships/image" Target="media/image79.jpeg"/><Relationship Id="rId94" Type="http://schemas.openxmlformats.org/officeDocument/2006/relationships/image" Target="media/image78.jpeg"/><Relationship Id="rId93" Type="http://schemas.openxmlformats.org/officeDocument/2006/relationships/image" Target="media/image77.jpeg"/><Relationship Id="rId92" Type="http://schemas.openxmlformats.org/officeDocument/2006/relationships/image" Target="media/image76.jpeg"/><Relationship Id="rId91" Type="http://schemas.openxmlformats.org/officeDocument/2006/relationships/image" Target="media/image75.jpeg"/><Relationship Id="rId90" Type="http://schemas.openxmlformats.org/officeDocument/2006/relationships/image" Target="media/image74.jpeg"/><Relationship Id="rId9" Type="http://schemas.openxmlformats.org/officeDocument/2006/relationships/footer" Target="footer3.xml"/><Relationship Id="rId89" Type="http://schemas.openxmlformats.org/officeDocument/2006/relationships/image" Target="media/image73.jpeg"/><Relationship Id="rId88" Type="http://schemas.openxmlformats.org/officeDocument/2006/relationships/image" Target="media/image72.jpeg"/><Relationship Id="rId87" Type="http://schemas.openxmlformats.org/officeDocument/2006/relationships/image" Target="media/image71.jpeg"/><Relationship Id="rId86" Type="http://schemas.openxmlformats.org/officeDocument/2006/relationships/image" Target="media/image70.jpeg"/><Relationship Id="rId85" Type="http://schemas.openxmlformats.org/officeDocument/2006/relationships/image" Target="media/image69.jpeg"/><Relationship Id="rId84" Type="http://schemas.openxmlformats.org/officeDocument/2006/relationships/image" Target="media/image68.jpeg"/><Relationship Id="rId83" Type="http://schemas.openxmlformats.org/officeDocument/2006/relationships/image" Target="media/image67.png"/><Relationship Id="rId82" Type="http://schemas.openxmlformats.org/officeDocument/2006/relationships/chart" Target="charts/chart5.xml"/><Relationship Id="rId81" Type="http://schemas.openxmlformats.org/officeDocument/2006/relationships/image" Target="media/image66.png"/><Relationship Id="rId80" Type="http://schemas.openxmlformats.org/officeDocument/2006/relationships/image" Target="media/image65.png"/><Relationship Id="rId8" Type="http://schemas.openxmlformats.org/officeDocument/2006/relationships/header" Target="header2.xml"/><Relationship Id="rId79" Type="http://schemas.openxmlformats.org/officeDocument/2006/relationships/image" Target="media/image64.png"/><Relationship Id="rId78" Type="http://schemas.openxmlformats.org/officeDocument/2006/relationships/image" Target="media/image63.png"/><Relationship Id="rId77" Type="http://schemas.openxmlformats.org/officeDocument/2006/relationships/image" Target="media/image62.png"/><Relationship Id="rId76" Type="http://schemas.openxmlformats.org/officeDocument/2006/relationships/image" Target="media/image61.jpeg"/><Relationship Id="rId75" Type="http://schemas.openxmlformats.org/officeDocument/2006/relationships/image" Target="media/image60.jpeg"/><Relationship Id="rId74" Type="http://schemas.openxmlformats.org/officeDocument/2006/relationships/image" Target="media/image59.jpeg"/><Relationship Id="rId73" Type="http://schemas.openxmlformats.org/officeDocument/2006/relationships/image" Target="media/image58.jpeg"/><Relationship Id="rId72" Type="http://schemas.openxmlformats.org/officeDocument/2006/relationships/image" Target="media/image57.jpeg"/><Relationship Id="rId71" Type="http://schemas.openxmlformats.org/officeDocument/2006/relationships/image" Target="media/image56.jpeg"/><Relationship Id="rId70" Type="http://schemas.openxmlformats.org/officeDocument/2006/relationships/image" Target="media/image55.jpeg"/><Relationship Id="rId7" Type="http://schemas.openxmlformats.org/officeDocument/2006/relationships/footer" Target="footer2.xml"/><Relationship Id="rId69" Type="http://schemas.openxmlformats.org/officeDocument/2006/relationships/image" Target="media/image54.jpeg"/><Relationship Id="rId68" Type="http://schemas.openxmlformats.org/officeDocument/2006/relationships/image" Target="media/image53.jpeg"/><Relationship Id="rId67" Type="http://schemas.openxmlformats.org/officeDocument/2006/relationships/image" Target="media/image52.png"/><Relationship Id="rId66" Type="http://schemas.openxmlformats.org/officeDocument/2006/relationships/image" Target="media/image51.jpeg"/><Relationship Id="rId65" Type="http://schemas.openxmlformats.org/officeDocument/2006/relationships/image" Target="media/image50.jpeg"/><Relationship Id="rId64" Type="http://schemas.openxmlformats.org/officeDocument/2006/relationships/image" Target="media/image49.jpeg"/><Relationship Id="rId63" Type="http://schemas.openxmlformats.org/officeDocument/2006/relationships/image" Target="media/image48.jpeg"/><Relationship Id="rId62" Type="http://schemas.openxmlformats.org/officeDocument/2006/relationships/image" Target="media/image47.jpeg"/><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header" Target="header1.xml"/><Relationship Id="rId59" Type="http://schemas.openxmlformats.org/officeDocument/2006/relationships/image" Target="media/image44.png"/><Relationship Id="rId58" Type="http://schemas.openxmlformats.org/officeDocument/2006/relationships/chart" Target="charts/chart4.xml"/><Relationship Id="rId57" Type="http://schemas.openxmlformats.org/officeDocument/2006/relationships/image" Target="media/image43.emf"/><Relationship Id="rId56" Type="http://schemas.openxmlformats.org/officeDocument/2006/relationships/oleObject" Target="embeddings/Workbook1.xls"/><Relationship Id="rId55" Type="http://schemas.openxmlformats.org/officeDocument/2006/relationships/image" Target="media/image42.png"/><Relationship Id="rId54" Type="http://schemas.openxmlformats.org/officeDocument/2006/relationships/image" Target="media/image41.jpeg"/><Relationship Id="rId53" Type="http://schemas.openxmlformats.org/officeDocument/2006/relationships/chart" Target="charts/chart3.xml"/><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1.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png"/><Relationship Id="rId41" Type="http://schemas.openxmlformats.org/officeDocument/2006/relationships/image" Target="media/image29.jpeg"/><Relationship Id="rId40" Type="http://schemas.openxmlformats.org/officeDocument/2006/relationships/image" Target="media/image28.jpe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chart" Target="charts/chart2.xml"/><Relationship Id="rId37" Type="http://schemas.openxmlformats.org/officeDocument/2006/relationships/image" Target="media/image26.jpeg"/><Relationship Id="rId36" Type="http://schemas.openxmlformats.org/officeDocument/2006/relationships/image" Target="media/image25.pn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chart" Target="charts/chart1.xml"/><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jpeg"/><Relationship Id="rId216" Type="http://schemas.openxmlformats.org/officeDocument/2006/relationships/fontTable" Target="fontTable.xml"/><Relationship Id="rId215" Type="http://schemas.openxmlformats.org/officeDocument/2006/relationships/numbering" Target="numbering.xml"/><Relationship Id="rId214" Type="http://schemas.openxmlformats.org/officeDocument/2006/relationships/customXml" Target="../customXml/item1.xml"/><Relationship Id="rId213" Type="http://schemas.openxmlformats.org/officeDocument/2006/relationships/image" Target="media/image177.png"/><Relationship Id="rId212" Type="http://schemas.openxmlformats.org/officeDocument/2006/relationships/image" Target="media/image176.png"/><Relationship Id="rId211" Type="http://schemas.openxmlformats.org/officeDocument/2006/relationships/image" Target="media/image175.png"/><Relationship Id="rId210" Type="http://schemas.openxmlformats.org/officeDocument/2006/relationships/image" Target="media/image174.png"/><Relationship Id="rId21" Type="http://schemas.openxmlformats.org/officeDocument/2006/relationships/image" Target="media/image11.jpeg"/><Relationship Id="rId209" Type="http://schemas.openxmlformats.org/officeDocument/2006/relationships/image" Target="media/image173.jpeg"/><Relationship Id="rId208" Type="http://schemas.openxmlformats.org/officeDocument/2006/relationships/image" Target="media/image172.jpeg"/><Relationship Id="rId207" Type="http://schemas.openxmlformats.org/officeDocument/2006/relationships/image" Target="media/image171.jpeg"/><Relationship Id="rId206" Type="http://schemas.openxmlformats.org/officeDocument/2006/relationships/image" Target="media/image170.jpeg"/><Relationship Id="rId205" Type="http://schemas.openxmlformats.org/officeDocument/2006/relationships/image" Target="media/image169.jpeg"/><Relationship Id="rId204" Type="http://schemas.openxmlformats.org/officeDocument/2006/relationships/image" Target="media/image168.jpeg"/><Relationship Id="rId203" Type="http://schemas.openxmlformats.org/officeDocument/2006/relationships/image" Target="media/image167.jpeg"/><Relationship Id="rId202" Type="http://schemas.openxmlformats.org/officeDocument/2006/relationships/image" Target="media/image166.jpeg"/><Relationship Id="rId201" Type="http://schemas.openxmlformats.org/officeDocument/2006/relationships/image" Target="media/image165.jpeg"/><Relationship Id="rId200" Type="http://schemas.openxmlformats.org/officeDocument/2006/relationships/image" Target="media/image164.jpeg"/><Relationship Id="rId20" Type="http://schemas.openxmlformats.org/officeDocument/2006/relationships/image" Target="media/image10.jpeg"/><Relationship Id="rId2" Type="http://schemas.openxmlformats.org/officeDocument/2006/relationships/settings" Target="settings.xml"/><Relationship Id="rId199" Type="http://schemas.openxmlformats.org/officeDocument/2006/relationships/image" Target="media/image163.jpeg"/><Relationship Id="rId198" Type="http://schemas.openxmlformats.org/officeDocument/2006/relationships/image" Target="media/image162.jpeg"/><Relationship Id="rId197" Type="http://schemas.openxmlformats.org/officeDocument/2006/relationships/image" Target="media/image161.jpeg"/><Relationship Id="rId196" Type="http://schemas.openxmlformats.org/officeDocument/2006/relationships/image" Target="media/image160.jpeg"/><Relationship Id="rId195" Type="http://schemas.openxmlformats.org/officeDocument/2006/relationships/image" Target="media/image159.jpeg"/><Relationship Id="rId194" Type="http://schemas.openxmlformats.org/officeDocument/2006/relationships/image" Target="media/image158.jpeg"/><Relationship Id="rId193" Type="http://schemas.openxmlformats.org/officeDocument/2006/relationships/image" Target="media/image157.jpeg"/><Relationship Id="rId192" Type="http://schemas.openxmlformats.org/officeDocument/2006/relationships/image" Target="media/image156.jpeg"/><Relationship Id="rId191" Type="http://schemas.openxmlformats.org/officeDocument/2006/relationships/image" Target="media/image155.jpeg"/><Relationship Id="rId190" Type="http://schemas.openxmlformats.org/officeDocument/2006/relationships/image" Target="media/image154.jpeg"/><Relationship Id="rId19" Type="http://schemas.openxmlformats.org/officeDocument/2006/relationships/image" Target="media/image9.jpeg"/><Relationship Id="rId189" Type="http://schemas.openxmlformats.org/officeDocument/2006/relationships/image" Target="media/image153.jpeg"/><Relationship Id="rId188" Type="http://schemas.openxmlformats.org/officeDocument/2006/relationships/image" Target="media/image152.jpeg"/><Relationship Id="rId187" Type="http://schemas.openxmlformats.org/officeDocument/2006/relationships/image" Target="media/image151.png"/><Relationship Id="rId186" Type="http://schemas.openxmlformats.org/officeDocument/2006/relationships/image" Target="media/image150.png"/><Relationship Id="rId185" Type="http://schemas.openxmlformats.org/officeDocument/2006/relationships/chart" Target="charts/chart25.xml"/><Relationship Id="rId184" Type="http://schemas.openxmlformats.org/officeDocument/2006/relationships/chart" Target="charts/chart24.xml"/><Relationship Id="rId183" Type="http://schemas.openxmlformats.org/officeDocument/2006/relationships/chart" Target="charts/chart23.xml"/><Relationship Id="rId182" Type="http://schemas.openxmlformats.org/officeDocument/2006/relationships/chart" Target="charts/chart22.xml"/><Relationship Id="rId181" Type="http://schemas.openxmlformats.org/officeDocument/2006/relationships/chart" Target="charts/chart21.xml"/><Relationship Id="rId180" Type="http://schemas.openxmlformats.org/officeDocument/2006/relationships/image" Target="media/image149.png"/><Relationship Id="rId18" Type="http://schemas.openxmlformats.org/officeDocument/2006/relationships/image" Target="media/image8.png"/><Relationship Id="rId179" Type="http://schemas.openxmlformats.org/officeDocument/2006/relationships/image" Target="media/image148.png"/><Relationship Id="rId178" Type="http://schemas.openxmlformats.org/officeDocument/2006/relationships/image" Target="media/image147.png"/><Relationship Id="rId177" Type="http://schemas.openxmlformats.org/officeDocument/2006/relationships/image" Target="media/image146.png"/><Relationship Id="rId176" Type="http://schemas.openxmlformats.org/officeDocument/2006/relationships/image" Target="media/image145.png"/><Relationship Id="rId175" Type="http://schemas.openxmlformats.org/officeDocument/2006/relationships/chart" Target="charts/chart20.xml"/><Relationship Id="rId174" Type="http://schemas.openxmlformats.org/officeDocument/2006/relationships/chart" Target="charts/chart19.xml"/><Relationship Id="rId173" Type="http://schemas.openxmlformats.org/officeDocument/2006/relationships/image" Target="media/image144.png"/><Relationship Id="rId172" Type="http://schemas.openxmlformats.org/officeDocument/2006/relationships/image" Target="media/image143.png"/><Relationship Id="rId171" Type="http://schemas.openxmlformats.org/officeDocument/2006/relationships/image" Target="media/image142.png"/><Relationship Id="rId170" Type="http://schemas.openxmlformats.org/officeDocument/2006/relationships/chart" Target="charts/chart18.xml"/><Relationship Id="rId17" Type="http://schemas.openxmlformats.org/officeDocument/2006/relationships/image" Target="media/image7.jpeg"/><Relationship Id="rId169" Type="http://schemas.openxmlformats.org/officeDocument/2006/relationships/chart" Target="charts/chart17.xml"/><Relationship Id="rId168" Type="http://schemas.openxmlformats.org/officeDocument/2006/relationships/chart" Target="charts/chart16.xml"/><Relationship Id="rId167" Type="http://schemas.openxmlformats.org/officeDocument/2006/relationships/chart" Target="charts/chart15.xml"/><Relationship Id="rId166" Type="http://schemas.openxmlformats.org/officeDocument/2006/relationships/chart" Target="charts/chart14.xml"/><Relationship Id="rId165" Type="http://schemas.openxmlformats.org/officeDocument/2006/relationships/chart" Target="charts/chart13.xml"/><Relationship Id="rId164" Type="http://schemas.openxmlformats.org/officeDocument/2006/relationships/chart" Target="charts/chart12.xml"/><Relationship Id="rId163" Type="http://schemas.openxmlformats.org/officeDocument/2006/relationships/chart" Target="charts/chart11.xml"/><Relationship Id="rId162" Type="http://schemas.openxmlformats.org/officeDocument/2006/relationships/image" Target="media/image141.png"/><Relationship Id="rId161" Type="http://schemas.openxmlformats.org/officeDocument/2006/relationships/image" Target="media/image140.png"/><Relationship Id="rId160" Type="http://schemas.openxmlformats.org/officeDocument/2006/relationships/image" Target="media/image139.png"/><Relationship Id="rId16" Type="http://schemas.openxmlformats.org/officeDocument/2006/relationships/image" Target="media/image6.jpeg"/><Relationship Id="rId159" Type="http://schemas.openxmlformats.org/officeDocument/2006/relationships/image" Target="media/image138.jpeg"/><Relationship Id="rId158" Type="http://schemas.openxmlformats.org/officeDocument/2006/relationships/image" Target="media/image137.jpeg"/><Relationship Id="rId157" Type="http://schemas.openxmlformats.org/officeDocument/2006/relationships/image" Target="media/image136.jpeg"/><Relationship Id="rId156" Type="http://schemas.openxmlformats.org/officeDocument/2006/relationships/image" Target="media/image135.jpeg"/><Relationship Id="rId155" Type="http://schemas.openxmlformats.org/officeDocument/2006/relationships/image" Target="media/image134.jpeg"/><Relationship Id="rId154" Type="http://schemas.openxmlformats.org/officeDocument/2006/relationships/image" Target="media/image133.jpeg"/><Relationship Id="rId153" Type="http://schemas.openxmlformats.org/officeDocument/2006/relationships/image" Target="media/image132.jpeg"/><Relationship Id="rId152" Type="http://schemas.openxmlformats.org/officeDocument/2006/relationships/image" Target="media/image131.jpeg"/><Relationship Id="rId151" Type="http://schemas.openxmlformats.org/officeDocument/2006/relationships/image" Target="media/image130.jpeg"/><Relationship Id="rId150" Type="http://schemas.openxmlformats.org/officeDocument/2006/relationships/image" Target="media/image129.jpeg"/><Relationship Id="rId15" Type="http://schemas.openxmlformats.org/officeDocument/2006/relationships/image" Target="media/image5.jpeg"/><Relationship Id="rId149" Type="http://schemas.openxmlformats.org/officeDocument/2006/relationships/image" Target="media/image128.jpeg"/><Relationship Id="rId148" Type="http://schemas.openxmlformats.org/officeDocument/2006/relationships/image" Target="media/image127.jpeg"/><Relationship Id="rId147" Type="http://schemas.openxmlformats.org/officeDocument/2006/relationships/image" Target="media/image126.jpeg"/><Relationship Id="rId146" Type="http://schemas.openxmlformats.org/officeDocument/2006/relationships/image" Target="media/image125.jpeg"/><Relationship Id="rId145" Type="http://schemas.openxmlformats.org/officeDocument/2006/relationships/image" Target="media/image124.jpeg"/><Relationship Id="rId144" Type="http://schemas.openxmlformats.org/officeDocument/2006/relationships/image" Target="media/image123.jpeg"/><Relationship Id="rId143" Type="http://schemas.openxmlformats.org/officeDocument/2006/relationships/image" Target="media/image122.jpeg"/><Relationship Id="rId142" Type="http://schemas.openxmlformats.org/officeDocument/2006/relationships/image" Target="media/image121.png"/><Relationship Id="rId141" Type="http://schemas.openxmlformats.org/officeDocument/2006/relationships/image" Target="media/image120.png"/><Relationship Id="rId140" Type="http://schemas.openxmlformats.org/officeDocument/2006/relationships/image" Target="media/image119.png"/><Relationship Id="rId14" Type="http://schemas.openxmlformats.org/officeDocument/2006/relationships/image" Target="media/image4.jpeg"/><Relationship Id="rId139" Type="http://schemas.openxmlformats.org/officeDocument/2006/relationships/image" Target="media/image118.png"/><Relationship Id="rId138" Type="http://schemas.openxmlformats.org/officeDocument/2006/relationships/image" Target="media/image117.jpeg"/><Relationship Id="rId137" Type="http://schemas.openxmlformats.org/officeDocument/2006/relationships/chart" Target="charts/chart10.xml"/><Relationship Id="rId136" Type="http://schemas.openxmlformats.org/officeDocument/2006/relationships/image" Target="media/image116.jpeg"/><Relationship Id="rId135" Type="http://schemas.openxmlformats.org/officeDocument/2006/relationships/image" Target="media/image115.jpeg"/><Relationship Id="rId134" Type="http://schemas.openxmlformats.org/officeDocument/2006/relationships/image" Target="media/image114.jpeg"/><Relationship Id="rId133" Type="http://schemas.openxmlformats.org/officeDocument/2006/relationships/image" Target="media/image113.jpeg"/><Relationship Id="rId132" Type="http://schemas.openxmlformats.org/officeDocument/2006/relationships/image" Target="media/image112.jpeg"/><Relationship Id="rId131" Type="http://schemas.openxmlformats.org/officeDocument/2006/relationships/image" Target="media/image111.jpeg"/><Relationship Id="rId130" Type="http://schemas.openxmlformats.org/officeDocument/2006/relationships/image" Target="media/image110.jpeg"/><Relationship Id="rId13" Type="http://schemas.openxmlformats.org/officeDocument/2006/relationships/image" Target="media/image3.jpeg"/><Relationship Id="rId129" Type="http://schemas.openxmlformats.org/officeDocument/2006/relationships/image" Target="media/image109.jpeg"/><Relationship Id="rId128" Type="http://schemas.openxmlformats.org/officeDocument/2006/relationships/image" Target="media/image108.png"/><Relationship Id="rId127" Type="http://schemas.openxmlformats.org/officeDocument/2006/relationships/image" Target="media/image107.jpeg"/><Relationship Id="rId126" Type="http://schemas.openxmlformats.org/officeDocument/2006/relationships/image" Target="media/image106.jpeg"/><Relationship Id="rId125" Type="http://schemas.openxmlformats.org/officeDocument/2006/relationships/chart" Target="charts/chart9.xml"/><Relationship Id="rId124" Type="http://schemas.openxmlformats.org/officeDocument/2006/relationships/chart" Target="charts/chart8.xml"/><Relationship Id="rId123" Type="http://schemas.openxmlformats.org/officeDocument/2006/relationships/image" Target="media/image105.png"/><Relationship Id="rId122" Type="http://schemas.openxmlformats.org/officeDocument/2006/relationships/image" Target="media/image104.png"/><Relationship Id="rId121" Type="http://schemas.openxmlformats.org/officeDocument/2006/relationships/image" Target="media/image103.png"/><Relationship Id="rId120" Type="http://schemas.openxmlformats.org/officeDocument/2006/relationships/image" Target="media/image102.png"/><Relationship Id="rId12" Type="http://schemas.openxmlformats.org/officeDocument/2006/relationships/image" Target="media/image2.jpeg"/><Relationship Id="rId119" Type="http://schemas.openxmlformats.org/officeDocument/2006/relationships/image" Target="media/image101.png"/><Relationship Id="rId118" Type="http://schemas.openxmlformats.org/officeDocument/2006/relationships/image" Target="media/image100.jpeg"/><Relationship Id="rId117" Type="http://schemas.openxmlformats.org/officeDocument/2006/relationships/image" Target="media/image99.jpeg"/><Relationship Id="rId116" Type="http://schemas.openxmlformats.org/officeDocument/2006/relationships/image" Target="media/image98.jpeg"/><Relationship Id="rId115" Type="http://schemas.openxmlformats.org/officeDocument/2006/relationships/image" Target="media/image97.jpeg"/><Relationship Id="rId114" Type="http://schemas.openxmlformats.org/officeDocument/2006/relationships/image" Target="media/image96.jpeg"/><Relationship Id="rId113" Type="http://schemas.openxmlformats.org/officeDocument/2006/relationships/image" Target="media/image95.png"/><Relationship Id="rId112" Type="http://schemas.openxmlformats.org/officeDocument/2006/relationships/image" Target="media/image94.png"/><Relationship Id="rId111" Type="http://schemas.openxmlformats.org/officeDocument/2006/relationships/image" Target="media/image93.jpeg"/><Relationship Id="rId110" Type="http://schemas.openxmlformats.org/officeDocument/2006/relationships/image" Target="media/image92.jpeg"/><Relationship Id="rId11" Type="http://schemas.openxmlformats.org/officeDocument/2006/relationships/image" Target="media/image1.jpeg"/><Relationship Id="rId109" Type="http://schemas.openxmlformats.org/officeDocument/2006/relationships/image" Target="media/image91.jpeg"/><Relationship Id="rId108" Type="http://schemas.openxmlformats.org/officeDocument/2006/relationships/image" Target="media/image90.jpeg"/><Relationship Id="rId107" Type="http://schemas.openxmlformats.org/officeDocument/2006/relationships/image" Target="media/image89.jpeg"/><Relationship Id="rId106" Type="http://schemas.openxmlformats.org/officeDocument/2006/relationships/image" Target="media/image88.jpeg"/><Relationship Id="rId105" Type="http://schemas.openxmlformats.org/officeDocument/2006/relationships/chart" Target="charts/chart7.xml"/><Relationship Id="rId104" Type="http://schemas.openxmlformats.org/officeDocument/2006/relationships/chart" Target="charts/chart6.xml"/><Relationship Id="rId103" Type="http://schemas.openxmlformats.org/officeDocument/2006/relationships/image" Target="media/image87.jpeg"/><Relationship Id="rId102" Type="http://schemas.openxmlformats.org/officeDocument/2006/relationships/image" Target="media/image86.jpeg"/><Relationship Id="rId101" Type="http://schemas.openxmlformats.org/officeDocument/2006/relationships/image" Target="media/image85.jpeg"/><Relationship Id="rId100" Type="http://schemas.openxmlformats.org/officeDocument/2006/relationships/image" Target="media/image84.jpeg"/><Relationship Id="rId10" Type="http://schemas.openxmlformats.org/officeDocument/2006/relationships/theme" Target="theme/theme1.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Lenovo\Desktop\&#21160;&#29289;&#31185;&#25216;&#23398;&#38498;(1).xlsx" TargetMode="External"/></Relationships>
</file>

<file path=word/charts/_rels/chart10.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package" Target="../embeddings/Workbook6.xlsx"/></Relationships>
</file>

<file path=word/charts/_rels/chart11.xml.rels><?xml version="1.0" encoding="UTF-8" standalone="yes"?>
<Relationships xmlns="http://schemas.openxmlformats.org/package/2006/relationships"><Relationship Id="rId1" Type="http://schemas.openxmlformats.org/officeDocument/2006/relationships/oleObject" Target="file:///F:\sdau&#25991;&#20214;\1%20&#27979;&#32472;&#31995;&#25991;&#20214;\9%20&#27979;&#32472;&#31995;&#25968;&#25454;&#32479;&#35745;\1%20&#25945;&#24072;\&#27979;&#32472;&#31995;&#25945;&#24072;&#20449;&#24687;&#34920;.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F:\sdau&#25991;&#20214;\1%20&#27979;&#32472;&#31995;&#25991;&#20214;\9%20&#27979;&#32472;&#31995;&#25968;&#25454;&#32479;&#35745;\1%20&#25945;&#24072;\&#27979;&#32472;&#31995;&#25945;&#24072;&#20449;&#24687;&#34920;.xl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F:\sdau&#25991;&#20214;\1%20&#27979;&#32472;&#31995;&#25991;&#20214;\9%20&#27979;&#32472;&#31995;&#25968;&#25454;&#32479;&#35745;\1%20&#25945;&#24072;\&#27979;&#32472;&#31995;&#25945;&#24072;&#20449;&#24687;&#34920;.xls"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F:\sdau&#25991;&#20214;\1%20&#27979;&#32472;&#31995;&#25991;&#20214;\9%20&#27979;&#32472;&#31995;&#25968;&#25454;&#32479;&#35745;\1%20&#25945;&#24072;\&#27979;&#32472;&#31995;&#25945;&#24072;&#20449;&#24687;&#34920;.xls"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F:\sdau&#25991;&#20214;\1%20&#27979;&#32472;&#31995;&#25991;&#20214;\9%20&#27979;&#32472;&#31995;&#25968;&#25454;&#32479;&#35745;\1%20&#25945;&#24072;\&#27979;&#32472;&#31995;&#25945;&#24072;&#20449;&#24687;&#34920;.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F:\sdau&#25991;&#20214;\1%20&#27979;&#32472;&#31995;&#25991;&#20214;\9%20&#27979;&#32472;&#31995;&#25968;&#25454;&#32479;&#35745;\1%20&#25945;&#24072;\&#27979;&#32472;&#31995;&#25945;&#24072;&#20449;&#24687;&#34920;.xl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F:\sdau&#25991;&#20214;\1%20&#27979;&#32472;&#31995;&#25991;&#20214;\9%20&#27979;&#32472;&#31995;&#25968;&#25454;&#32479;&#35745;\1%20&#25945;&#24072;\&#27979;&#32472;&#31995;&#25945;&#24072;&#20449;&#24687;&#34920;.xls"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F:\sdau&#25991;&#20214;\1%20&#27979;&#32472;&#31995;&#25991;&#20214;\9%20&#27979;&#32472;&#31995;&#25968;&#25454;&#32479;&#35745;\6%20&#23398;&#31185;\&#23454;&#20064;&#22522;&#22320;.xlsx" TargetMode="External"/></Relationships>
</file>

<file path=word/charts/_rels/chart19.xml.rels><?xml version="1.0" encoding="UTF-8" standalone="yes"?>
<Relationships xmlns="http://schemas.openxmlformats.org/package/2006/relationships"><Relationship Id="rId1" Type="http://schemas.openxmlformats.org/officeDocument/2006/relationships/package" Target="../embeddings/Workbook10.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istrator\AppData\Roaming\Microsoft\Excel\&#26032;&#24314;%20Microsoft%20Excel%2097-2003%20&#24037;&#20316;&#34920;%20(version%201).xlsb" TargetMode="External"/></Relationships>
</file>

<file path=word/charts/_rels/chart20.xml.rels><?xml version="1.0" encoding="UTF-8" standalone="yes"?>
<Relationships xmlns="http://schemas.openxmlformats.org/package/2006/relationships"><Relationship Id="rId2" Type="http://schemas.openxmlformats.org/officeDocument/2006/relationships/themeOverride" Target="../theme/themeOverride2.xml"/><Relationship Id="rId1" Type="http://schemas.openxmlformats.org/officeDocument/2006/relationships/package" Target="../embeddings/Workbook11.xlsx"/></Relationships>
</file>

<file path=word/charts/_rels/chart21.xml.rels><?xml version="1.0" encoding="UTF-8" standalone="yes"?>
<Relationships xmlns="http://schemas.openxmlformats.org/package/2006/relationships"><Relationship Id="rId4" Type="http://schemas.microsoft.com/office/2011/relationships/chartColorStyle" Target="colors7.xml"/><Relationship Id="rId3" Type="http://schemas.microsoft.com/office/2011/relationships/chartStyle" Target="style7.xml"/><Relationship Id="rId2" Type="http://schemas.openxmlformats.org/officeDocument/2006/relationships/themeOverride" Target="../theme/themeOverride3.xml"/><Relationship Id="rId1" Type="http://schemas.openxmlformats.org/officeDocument/2006/relationships/package" Target="../embeddings/Workbook12.xlsx"/></Relationships>
</file>

<file path=word/charts/_rels/chart22.xml.rels><?xml version="1.0" encoding="UTF-8" standalone="yes"?>
<Relationships xmlns="http://schemas.openxmlformats.org/package/2006/relationships"><Relationship Id="rId3" Type="http://schemas.microsoft.com/office/2011/relationships/chartColorStyle" Target="colors8.xml"/><Relationship Id="rId2" Type="http://schemas.microsoft.com/office/2011/relationships/chartStyle" Target="style8.xml"/><Relationship Id="rId1" Type="http://schemas.openxmlformats.org/officeDocument/2006/relationships/package" Target="../embeddings/Workbook13.xlsx"/></Relationships>
</file>

<file path=word/charts/_rels/chart23.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2.xlsx"/></Relationships>
</file>

<file path=word/charts/_rels/chart24.xml.rels><?xml version="1.0" encoding="UTF-8" standalone="yes"?>
<Relationships xmlns="http://schemas.openxmlformats.org/package/2006/relationships"><Relationship Id="rId2" Type="http://schemas.openxmlformats.org/officeDocument/2006/relationships/themeOverride" Target="../theme/themeOverride1.xml"/><Relationship Id="rId1" Type="http://schemas.openxmlformats.org/officeDocument/2006/relationships/oleObject" Target="../embeddings/oleObject1.bin"/></Relationships>
</file>

<file path=word/charts/_rels/chart25.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package" Target="../embeddings/Workbook4.xlsx"/></Relationships>
</file>

<file path=word/charts/_rels/chart3.xml.rels><?xml version="1.0" encoding="UTF-8" standalone="yes"?>
<Relationships xmlns="http://schemas.openxmlformats.org/package/2006/relationships"><Relationship Id="rId1" Type="http://schemas.openxmlformats.org/officeDocument/2006/relationships/oleObject" Target="file:///E:\&#21494;&#20445;&#21326;&#31508;&#35760;&#26412;E&#30424;&#26448;&#26009;&#65288;6&#65289;2017&#24180;2&#26376;-2018&#24180;2&#26376;\&#26893;&#26816;&#19987;&#19994;&#21644;&#19987;&#19994;&#20027;&#20219;&#24037;&#20316;2017-2018-01&#20107;&#39033;2017-09-19&#24314;\2017-10-31%202017&#24180;&#19987;&#19994;&#20154;&#25165;&#22521;&#20859;&#29366;&#20917;-&#26893;&#26816;\2017-11-11%20&#24037;&#20316;&#31807;1-&#20316;&#22270;-&#21494;&#20445;&#21326;.xlsx" TargetMode="External"/></Relationships>
</file>

<file path=word/charts/_rels/chart4.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oleObject" Target="file:///C:\Users\Lenovo\Desktop\&#21160;&#29289;&#31185;&#25216;&#23398;&#38498;(1).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Workbook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Workbook9.xlsx"/></Relationships>
</file>

<file path=word/charts/_rels/chart7.xml.rels><?xml version="1.0" encoding="UTF-8" standalone="yes"?>
<Relationships xmlns="http://schemas.openxmlformats.org/package/2006/relationships"><Relationship Id="rId1" Type="http://schemas.openxmlformats.org/officeDocument/2006/relationships/package" Target="../embeddings/Workbook8.xlsx"/></Relationships>
</file>

<file path=word/charts/_rels/chart8.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package" Target="../embeddings/Workbook7.xlsx"/></Relationships>
</file>

<file path=word/charts/_rels/chart9.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package" Target="../embeddings/Workbook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733814523185"/>
          <c:y val="0.0349883347914844"/>
          <c:w val="0.833488407699038"/>
          <c:h val="0.69160542432196"/>
        </c:manualLayout>
      </c:layout>
      <c:barChart>
        <c:barDir val="col"/>
        <c:grouping val="clustered"/>
        <c:varyColors val="0"/>
        <c:ser>
          <c:idx val="0"/>
          <c:order val="0"/>
          <c:tx>
            <c:strRef>
              <c:f>'[动物科技学院(1).xlsx]Sheet18'!$E$3</c:f>
              <c:strCache>
                <c:ptCount val="1"/>
                <c:pt idx="0">
                  <c:v>比例</c:v>
                </c:pt>
              </c:strCache>
            </c:strRef>
          </c:tx>
          <c:spPr>
            <a:solidFill>
              <a:srgbClr val="4F81BD"/>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rgbClr val="404040">
                        <a:lumMod val="75000"/>
                        <a:lumOff val="25000"/>
                      </a:srgb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rgbClr val="A6A6A6">
                          <a:lumMod val="35000"/>
                          <a:lumOff val="65000"/>
                        </a:srgbClr>
                      </a:solidFill>
                      <a:prstDash val="solid"/>
                      <a:round/>
                    </a:ln>
                    <a:effectLst/>
                  </c:spPr>
                </c15:leaderLines>
              </c:ext>
            </c:extLst>
          </c:dLbls>
          <c:cat>
            <c:strRef>
              <c:f>'[动物科技学院(1).xlsx]Sheet18'!$C$4:$C$13</c:f>
              <c:strCache>
                <c:ptCount val="10"/>
                <c:pt idx="0">
                  <c:v>济南市</c:v>
                </c:pt>
                <c:pt idx="1">
                  <c:v>济宁市</c:v>
                </c:pt>
                <c:pt idx="2">
                  <c:v>胶州市</c:v>
                </c:pt>
                <c:pt idx="3">
                  <c:v>青岛市</c:v>
                </c:pt>
                <c:pt idx="4">
                  <c:v>泰安市</c:v>
                </c:pt>
                <c:pt idx="5">
                  <c:v>外省</c:v>
                </c:pt>
                <c:pt idx="6">
                  <c:v>威海市</c:v>
                </c:pt>
                <c:pt idx="7">
                  <c:v>潍坊市</c:v>
                </c:pt>
                <c:pt idx="8">
                  <c:v>烟台市</c:v>
                </c:pt>
                <c:pt idx="9">
                  <c:v>招远市</c:v>
                </c:pt>
              </c:strCache>
            </c:strRef>
          </c:cat>
          <c:val>
            <c:numRef>
              <c:f>'[动物科技学院(1).xlsx]Sheet18'!$E$4:$E$13</c:f>
              <c:numCache>
                <c:formatCode>0.00%</c:formatCode>
                <c:ptCount val="10"/>
                <c:pt idx="0">
                  <c:v>0.05</c:v>
                </c:pt>
                <c:pt idx="1">
                  <c:v>0.1</c:v>
                </c:pt>
                <c:pt idx="2">
                  <c:v>0.1</c:v>
                </c:pt>
                <c:pt idx="3">
                  <c:v>0.1</c:v>
                </c:pt>
                <c:pt idx="4">
                  <c:v>0.2</c:v>
                </c:pt>
                <c:pt idx="5">
                  <c:v>0.25</c:v>
                </c:pt>
                <c:pt idx="6">
                  <c:v>0.05</c:v>
                </c:pt>
                <c:pt idx="7">
                  <c:v>0.05</c:v>
                </c:pt>
                <c:pt idx="8">
                  <c:v>0.05</c:v>
                </c:pt>
                <c:pt idx="9">
                  <c:v>0.05</c:v>
                </c:pt>
              </c:numCache>
            </c:numRef>
          </c:val>
        </c:ser>
        <c:dLbls>
          <c:showLegendKey val="0"/>
          <c:showVal val="1"/>
          <c:showCatName val="0"/>
          <c:showSerName val="0"/>
          <c:showPercent val="0"/>
          <c:showBubbleSize val="0"/>
        </c:dLbls>
        <c:gapWidth val="219"/>
        <c:overlap val="-27"/>
        <c:axId val="-220454192"/>
        <c:axId val="-220465072"/>
      </c:barChart>
      <c:catAx>
        <c:axId val="-220454192"/>
        <c:scaling>
          <c:orientation val="minMax"/>
        </c:scaling>
        <c:delete val="0"/>
        <c:axPos val="b"/>
        <c:numFmt formatCode="General" sourceLinked="0"/>
        <c:majorTickMark val="none"/>
        <c:minorTickMark val="none"/>
        <c:tickLblPos val="nextTo"/>
        <c:spPr>
          <a:noFill/>
          <a:ln w="9525" cap="flat" cmpd="sng" algn="ctr">
            <a:solidFill>
              <a:srgbClr val="D9D9D9">
                <a:lumMod val="15000"/>
                <a:lumOff val="85000"/>
              </a:srgbClr>
            </a:solidFill>
            <a:prstDash val="solid"/>
            <a:round/>
          </a:ln>
          <a:effectLst/>
        </c:spPr>
        <c:txPr>
          <a:bodyPr rot="-6000000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p>
        </c:txPr>
        <c:crossAx val="-220465072"/>
        <c:crosses val="autoZero"/>
        <c:auto val="1"/>
        <c:lblAlgn val="ctr"/>
        <c:lblOffset val="100"/>
        <c:noMultiLvlLbl val="0"/>
      </c:catAx>
      <c:valAx>
        <c:axId val="-220465072"/>
        <c:scaling>
          <c:orientation val="minMax"/>
        </c:scaling>
        <c:delete val="0"/>
        <c:axPos val="l"/>
        <c:majorGridlines>
          <c:spPr>
            <a:ln w="9525" cap="flat" cmpd="sng" algn="ctr">
              <a:solidFill>
                <a:srgbClr val="D9D9D9">
                  <a:lumMod val="15000"/>
                  <a:lumOff val="85000"/>
                </a:srgbClr>
              </a:solidFill>
              <a:prstDash val="solid"/>
              <a:round/>
            </a:ln>
            <a:effectLst/>
          </c:spPr>
        </c:majorGridlines>
        <c:numFmt formatCode="0.00%"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p>
        </c:txPr>
        <c:crossAx val="-220454192"/>
        <c:crosses val="autoZero"/>
        <c:crossBetween val="between"/>
      </c:valAx>
      <c:spPr>
        <a:noFill/>
        <a:ln>
          <a:noFill/>
        </a:ln>
        <a:effectLst/>
      </c:spPr>
    </c:plotArea>
    <c:plotVisOnly val="1"/>
    <c:dispBlanksAs val="gap"/>
    <c:showDLblsOverMax val="0"/>
  </c:chart>
  <c:spPr>
    <a:solidFill>
      <a:srgbClr val="FFFFFF"/>
    </a:solidFill>
    <a:ln w="9525" cap="flat" cmpd="sng" algn="ctr">
      <a:solidFill>
        <a:srgbClr val="D9D9D9">
          <a:lumMod val="15000"/>
          <a:lumOff val="85000"/>
        </a:srgbClr>
      </a:solidFill>
      <a:prstDash val="solid"/>
      <a:round/>
    </a:ln>
    <a:effectLst/>
  </c:spPr>
  <c:txPr>
    <a:bodyPr/>
    <a:lstStyle/>
    <a:p>
      <a:pPr>
        <a:defRPr lang="zh-CN"/>
      </a:pP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74318505102953"/>
          <c:y val="0.157688541997049"/>
          <c:w val="0.884507167762229"/>
          <c:h val="0.74359864459667"/>
        </c:manualLayout>
      </c:layout>
      <c:barChart>
        <c:barDir val="col"/>
        <c:grouping val="percentStacked"/>
        <c:varyColors val="0"/>
        <c:ser>
          <c:idx val="0"/>
          <c:order val="0"/>
          <c:tx>
            <c:strRef>
              <c:f>Sheet1!$B$1</c:f>
              <c:strCache>
                <c:ptCount val="1"/>
                <c:pt idx="0">
                  <c:v>列1</c:v>
                </c:pt>
              </c:strCache>
            </c:strRef>
          </c:tx>
          <c:spPr>
            <a:solidFill>
              <a:schemeClr val="accent1"/>
            </a:solidFill>
            <a:ln>
              <a:noFill/>
            </a:ln>
            <a:effectLst/>
          </c:spPr>
          <c:invertIfNegative val="0"/>
          <c:dLbls>
            <c:delete val="1"/>
          </c:dLbls>
          <c:cat>
            <c:strRef>
              <c:f>Sheet1!$A$2:$A$5</c:f>
              <c:strCache>
                <c:ptCount val="3"/>
                <c:pt idx="0">
                  <c:v> 男女比例</c:v>
                </c:pt>
                <c:pt idx="1">
                  <c:v>省内省外比例</c:v>
                </c:pt>
                <c:pt idx="2">
                  <c:v>汉族与少数民族比例</c:v>
                </c:pt>
              </c:strCache>
            </c:strRef>
          </c:cat>
          <c:val>
            <c:numRef>
              <c:f>Sheet1!$B$2:$B$5</c:f>
              <c:numCache>
                <c:formatCode>0.00%</c:formatCode>
                <c:ptCount val="4"/>
                <c:pt idx="0">
                  <c:v>0.0732</c:v>
                </c:pt>
                <c:pt idx="1">
                  <c:v>0.9593</c:v>
                </c:pt>
                <c:pt idx="2">
                  <c:v>0.9837</c:v>
                </c:pt>
              </c:numCache>
            </c:numRef>
          </c:val>
        </c:ser>
        <c:ser>
          <c:idx val="1"/>
          <c:order val="1"/>
          <c:tx>
            <c:strRef>
              <c:f>Sheet1!$C$1</c:f>
              <c:strCache>
                <c:ptCount val="1"/>
                <c:pt idx="0">
                  <c:v> 省内省外比例</c:v>
                </c:pt>
              </c:strCache>
            </c:strRef>
          </c:tx>
          <c:spPr>
            <a:solidFill>
              <a:schemeClr val="accent2"/>
            </a:solidFill>
            <a:ln>
              <a:noFill/>
            </a:ln>
            <a:effectLst/>
          </c:spPr>
          <c:invertIfNegative val="0"/>
          <c:dLbls>
            <c:delete val="1"/>
          </c:dLbls>
          <c:cat>
            <c:strRef>
              <c:f>Sheet1!$A$2:$A$5</c:f>
              <c:strCache>
                <c:ptCount val="3"/>
                <c:pt idx="0">
                  <c:v> 男女比例</c:v>
                </c:pt>
                <c:pt idx="1">
                  <c:v>省内省外比例</c:v>
                </c:pt>
                <c:pt idx="2">
                  <c:v>汉族与少数民族比例</c:v>
                </c:pt>
              </c:strCache>
            </c:strRef>
          </c:cat>
          <c:val>
            <c:numRef>
              <c:f>Sheet1!$C$2:$C$5</c:f>
              <c:numCache>
                <c:formatCode>0.00%</c:formatCode>
                <c:ptCount val="4"/>
                <c:pt idx="0">
                  <c:v>0.9268</c:v>
                </c:pt>
                <c:pt idx="1">
                  <c:v>0.0407</c:v>
                </c:pt>
                <c:pt idx="2">
                  <c:v>0.0163</c:v>
                </c:pt>
              </c:numCache>
            </c:numRef>
          </c:val>
        </c:ser>
        <c:ser>
          <c:idx val="2"/>
          <c:order val="2"/>
          <c:tx>
            <c:strRef>
              <c:f>Sheet1!$D$1</c:f>
              <c:strCache>
                <c:ptCount val="1"/>
                <c:pt idx="0">
                  <c:v>列2</c:v>
                </c:pt>
              </c:strCache>
            </c:strRef>
          </c:tx>
          <c:spPr>
            <a:solidFill>
              <a:schemeClr val="accent3"/>
            </a:solidFill>
            <a:ln>
              <a:noFill/>
            </a:ln>
            <a:effectLst/>
          </c:spPr>
          <c:invertIfNegative val="0"/>
          <c:dLbls>
            <c:delete val="1"/>
          </c:dLbls>
          <c:cat>
            <c:strRef>
              <c:f>Sheet1!$A$2:$A$5</c:f>
              <c:strCache>
                <c:ptCount val="3"/>
                <c:pt idx="0">
                  <c:v> 男女比例</c:v>
                </c:pt>
                <c:pt idx="1">
                  <c:v>省内省外比例</c:v>
                </c:pt>
                <c:pt idx="2">
                  <c:v>汉族与少数民族比例</c:v>
                </c:pt>
              </c:strCache>
            </c:strRef>
          </c:cat>
          <c:val>
            <c:numRef>
              <c:f>Sheet1!$D$2:$D$5</c:f>
              <c:numCache>
                <c:formatCode>General</c:formatCode>
                <c:ptCount val="4"/>
              </c:numCache>
            </c:numRef>
          </c:val>
        </c:ser>
        <c:dLbls>
          <c:showLegendKey val="0"/>
          <c:showVal val="0"/>
          <c:showCatName val="0"/>
          <c:showSerName val="0"/>
          <c:showPercent val="0"/>
          <c:showBubbleSize val="0"/>
        </c:dLbls>
        <c:gapWidth val="169"/>
        <c:overlap val="100"/>
        <c:axId val="-220456912"/>
        <c:axId val="-220449840"/>
      </c:barChart>
      <c:catAx>
        <c:axId val="-220456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20449840"/>
        <c:crosses val="autoZero"/>
        <c:auto val="1"/>
        <c:lblAlgn val="ctr"/>
        <c:lblOffset val="100"/>
        <c:noMultiLvlLbl val="0"/>
      </c:catAx>
      <c:valAx>
        <c:axId val="-2204498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20456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400" b="1" i="0" u="none" strike="noStrike" kern="1200" baseline="0">
                <a:solidFill>
                  <a:schemeClr val="tx1"/>
                </a:solidFill>
                <a:latin typeface="+mn-lt"/>
                <a:ea typeface="+mn-ea"/>
                <a:cs typeface="+mn-cs"/>
              </a:defRPr>
            </a:pPr>
            <a:r>
              <a:rPr lang="zh-CN" altLang="en-US" sz="1400"/>
              <a:t>职称结构</a:t>
            </a:r>
            <a:endParaRPr lang="zh-CN" altLang="en-US" sz="1400"/>
          </a:p>
        </c:rich>
      </c:tx>
      <c:layout/>
      <c:overlay val="0"/>
    </c:title>
    <c:autoTitleDeleted val="0"/>
    <c:plotArea>
      <c:layout>
        <c:manualLayout>
          <c:layoutTarget val="inner"/>
          <c:xMode val="edge"/>
          <c:yMode val="edge"/>
          <c:x val="0.15242570485141"/>
          <c:y val="0.264584376374919"/>
          <c:w val="0.719586902810169"/>
          <c:h val="0.709188248145283"/>
        </c:manualLayout>
      </c:layout>
      <c:pieChart>
        <c:varyColors val="1"/>
        <c:ser>
          <c:idx val="0"/>
          <c:order val="0"/>
          <c:spPr>
            <a:solidFill>
              <a:srgbClr val="339966"/>
            </a:solidFill>
            <a:ln>
              <a:solidFill>
                <a:schemeClr val="bg1"/>
              </a:solidFill>
            </a:ln>
          </c:spPr>
          <c:explosion val="0"/>
          <c:dPt>
            <c:idx val="0"/>
            <c:bubble3D val="0"/>
            <c:spPr>
              <a:solidFill>
                <a:schemeClr val="tx2">
                  <a:lumMod val="60000"/>
                  <a:lumOff val="40000"/>
                </a:schemeClr>
              </a:solidFill>
              <a:ln>
                <a:solidFill>
                  <a:schemeClr val="bg1"/>
                </a:solidFill>
              </a:ln>
            </c:spPr>
          </c:dPt>
          <c:dPt>
            <c:idx val="1"/>
            <c:bubble3D val="0"/>
            <c:spPr>
              <a:solidFill>
                <a:srgbClr val="339966"/>
              </a:solidFill>
              <a:ln>
                <a:solidFill>
                  <a:schemeClr val="bg1"/>
                </a:solidFill>
              </a:ln>
            </c:spPr>
          </c:dPt>
          <c:dPt>
            <c:idx val="2"/>
            <c:bubble3D val="0"/>
            <c:spPr>
              <a:solidFill>
                <a:srgbClr val="FF9900"/>
              </a:solidFill>
              <a:ln>
                <a:solidFill>
                  <a:schemeClr val="bg1"/>
                </a:solidFill>
              </a:ln>
            </c:spPr>
          </c:dPt>
          <c:dLbls>
            <c:spPr>
              <a:noFill/>
              <a:ln>
                <a:noFill/>
              </a:ln>
              <a:effectLst/>
            </c:spPr>
            <c:txPr>
              <a:bodyPr rot="0" spcFirstLastPara="0" vertOverflow="ellipsis" vert="horz" wrap="square" lIns="38100" tIns="19050" rIns="38100" bIns="19050" anchor="ctr" anchorCtr="1"/>
              <a:lstStyle/>
              <a:p>
                <a:pPr>
                  <a:defRPr lang="zh-CN" sz="1600" b="0" i="0" u="none" strike="noStrike" kern="1200" baseline="0">
                    <a:solidFill>
                      <a:schemeClr val="tx1"/>
                    </a:solidFill>
                    <a:latin typeface="+mn-lt"/>
                    <a:ea typeface="+mn-ea"/>
                    <a:cs typeface="+mn-cs"/>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ext>
            </c:extLst>
          </c:dLbls>
          <c:cat>
            <c:strRef>
              <c:f>结构分布!$B$2:$B$4</c:f>
              <c:strCache>
                <c:ptCount val="3"/>
                <c:pt idx="0">
                  <c:v>正高级</c:v>
                </c:pt>
                <c:pt idx="1">
                  <c:v>副高级</c:v>
                </c:pt>
                <c:pt idx="2">
                  <c:v>中级</c:v>
                </c:pt>
              </c:strCache>
            </c:strRef>
          </c:cat>
          <c:val>
            <c:numRef>
              <c:f>结构分布!$D$2:$D$4</c:f>
              <c:numCache>
                <c:formatCode>0%</c:formatCode>
                <c:ptCount val="3"/>
                <c:pt idx="0">
                  <c:v>0.0476190476190476</c:v>
                </c:pt>
                <c:pt idx="1">
                  <c:v>0.380952380952381</c:v>
                </c:pt>
                <c:pt idx="2">
                  <c:v>0.571428571428572</c:v>
                </c:pt>
              </c:numCache>
            </c:numRef>
          </c:val>
        </c:ser>
        <c:dLbls>
          <c:showLegendKey val="0"/>
          <c:showVal val="0"/>
          <c:showCatName val="0"/>
          <c:showSerName val="0"/>
          <c:showPercent val="0"/>
          <c:showBubbleSize val="0"/>
          <c:showLeaderLines val="1"/>
        </c:dLbls>
        <c:firstSliceAng val="0"/>
      </c:pieChart>
    </c:plotArea>
    <c:legend>
      <c:legendPos val="t"/>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zero"/>
    <c:showDLblsOverMax val="0"/>
  </c:chart>
  <c:spPr>
    <a:noFill/>
    <a:ln w="6350" cap="flat" cmpd="sng" algn="ctr">
      <a:solidFill>
        <a:srgbClr val="000000"/>
      </a:solidFill>
      <a:prstDash val="solid"/>
      <a:round/>
    </a:ln>
  </c:spPr>
  <c:txPr>
    <a:bodyPr/>
    <a:lstStyle/>
    <a:p>
      <a:pPr>
        <a:defRPr lang="zh-CN"/>
      </a:pP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400" b="1" i="0" u="none" strike="noStrike" kern="1200" baseline="0">
                <a:solidFill>
                  <a:schemeClr val="tx1"/>
                </a:solidFill>
                <a:latin typeface="+mn-lt"/>
                <a:ea typeface="+mn-ea"/>
                <a:cs typeface="+mn-cs"/>
              </a:defRPr>
            </a:pPr>
            <a:r>
              <a:rPr lang="zh-CN" altLang="en-US" sz="1400"/>
              <a:t>学位结构</a:t>
            </a:r>
            <a:endParaRPr lang="zh-CN" altLang="en-US" sz="1400"/>
          </a:p>
        </c:rich>
      </c:tx>
      <c:layout/>
      <c:overlay val="0"/>
    </c:title>
    <c:autoTitleDeleted val="0"/>
    <c:plotArea>
      <c:layout>
        <c:manualLayout>
          <c:layoutTarget val="inner"/>
          <c:xMode val="edge"/>
          <c:yMode val="edge"/>
          <c:x val="0.15242570485141"/>
          <c:y val="0.264584376374919"/>
          <c:w val="0.719586902810169"/>
          <c:h val="0.709188248145283"/>
        </c:manualLayout>
      </c:layout>
      <c:pieChart>
        <c:varyColors val="1"/>
        <c:ser>
          <c:idx val="0"/>
          <c:order val="0"/>
          <c:spPr>
            <a:solidFill>
              <a:srgbClr val="339966"/>
            </a:solidFill>
          </c:spPr>
          <c:explosion val="0"/>
          <c:dPt>
            <c:idx val="0"/>
            <c:bubble3D val="0"/>
            <c:spPr>
              <a:solidFill>
                <a:srgbClr val="339966"/>
              </a:solidFill>
            </c:spPr>
          </c:dPt>
          <c:dPt>
            <c:idx val="1"/>
            <c:bubble3D val="0"/>
            <c:spPr>
              <a:solidFill>
                <a:srgbClr val="FF9900"/>
              </a:solidFill>
              <a:ln>
                <a:solidFill>
                  <a:schemeClr val="bg1"/>
                </a:solidFill>
              </a:ln>
            </c:spPr>
          </c:dPt>
          <c:dLbls>
            <c:spPr>
              <a:noFill/>
              <a:ln>
                <a:noFill/>
              </a:ln>
              <a:effectLst/>
            </c:spPr>
            <c:txPr>
              <a:bodyPr rot="0" spcFirstLastPara="0" vertOverflow="ellipsis" vert="horz" wrap="square" lIns="38100" tIns="19050" rIns="38100" bIns="19050" anchor="ctr" anchorCtr="1"/>
              <a:lstStyle/>
              <a:p>
                <a:pPr>
                  <a:defRPr lang="zh-CN" sz="1600" b="0" i="0" u="none" strike="noStrike" kern="1200" baseline="0">
                    <a:solidFill>
                      <a:schemeClr val="tx1"/>
                    </a:solidFill>
                    <a:latin typeface="+mn-lt"/>
                    <a:ea typeface="+mn-ea"/>
                    <a:cs typeface="+mn-cs"/>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ext>
            </c:extLst>
          </c:dLbls>
          <c:cat>
            <c:strRef>
              <c:f>结构分布!$B$5:$B$6</c:f>
              <c:strCache>
                <c:ptCount val="2"/>
                <c:pt idx="0">
                  <c:v>博士</c:v>
                </c:pt>
                <c:pt idx="1">
                  <c:v>硕士</c:v>
                </c:pt>
              </c:strCache>
            </c:strRef>
          </c:cat>
          <c:val>
            <c:numRef>
              <c:f>结构分布!$D$5:$D$6</c:f>
              <c:numCache>
                <c:formatCode>0%</c:formatCode>
                <c:ptCount val="2"/>
                <c:pt idx="0">
                  <c:v>0.714285714285715</c:v>
                </c:pt>
                <c:pt idx="1">
                  <c:v>0.285714285714286</c:v>
                </c:pt>
              </c:numCache>
            </c:numRef>
          </c:val>
        </c:ser>
        <c:dLbls>
          <c:showLegendKey val="0"/>
          <c:showVal val="0"/>
          <c:showCatName val="0"/>
          <c:showSerName val="0"/>
          <c:showPercent val="0"/>
          <c:showBubbleSize val="0"/>
          <c:showLeaderLines val="1"/>
        </c:dLbls>
        <c:firstSliceAng val="0"/>
      </c:pieChart>
    </c:plotArea>
    <c:legend>
      <c:legendPos val="t"/>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zero"/>
    <c:showDLblsOverMax val="0"/>
  </c:chart>
  <c:spPr>
    <a:noFill/>
    <a:ln w="6350" cap="flat" cmpd="sng" algn="ctr">
      <a:solidFill>
        <a:srgbClr val="000000"/>
      </a:solidFill>
      <a:prstDash val="solid"/>
      <a:round/>
    </a:ln>
  </c:spPr>
  <c:txPr>
    <a:bodyPr/>
    <a:lstStyle/>
    <a:p>
      <a:pPr>
        <a:defRPr lang="zh-CN"/>
      </a:pPr>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400" b="1" i="0" u="none" strike="noStrike" kern="1200" baseline="0">
                <a:solidFill>
                  <a:schemeClr val="tx1"/>
                </a:solidFill>
                <a:latin typeface="+mn-lt"/>
                <a:ea typeface="+mn-ea"/>
                <a:cs typeface="+mn-cs"/>
              </a:defRPr>
            </a:pPr>
            <a:r>
              <a:rPr lang="zh-CN" altLang="en-US" sz="1400"/>
              <a:t>年龄结构</a:t>
            </a:r>
            <a:endParaRPr lang="zh-CN" altLang="en-US" sz="1400"/>
          </a:p>
        </c:rich>
      </c:tx>
      <c:layout>
        <c:manualLayout>
          <c:xMode val="edge"/>
          <c:yMode val="edge"/>
          <c:x val="0.308699902248289"/>
          <c:y val="0.00963391136801541"/>
        </c:manualLayout>
      </c:layout>
      <c:overlay val="0"/>
    </c:title>
    <c:autoTitleDeleted val="0"/>
    <c:plotArea>
      <c:layout>
        <c:manualLayout>
          <c:layoutTarget val="inner"/>
          <c:xMode val="edge"/>
          <c:yMode val="edge"/>
          <c:x val="0.147538119318663"/>
          <c:y val="0.120075705854687"/>
          <c:w val="0.719586902810169"/>
          <c:h val="0.709188248145283"/>
        </c:manualLayout>
      </c:layout>
      <c:pieChart>
        <c:varyColors val="1"/>
        <c:ser>
          <c:idx val="0"/>
          <c:order val="0"/>
          <c:spPr>
            <a:solidFill>
              <a:srgbClr val="339966"/>
            </a:solidFill>
            <a:ln>
              <a:solidFill>
                <a:schemeClr val="bg1"/>
              </a:solidFill>
            </a:ln>
          </c:spPr>
          <c:explosion val="0"/>
          <c:dPt>
            <c:idx val="0"/>
            <c:bubble3D val="0"/>
            <c:spPr>
              <a:solidFill>
                <a:schemeClr val="tx2">
                  <a:lumMod val="60000"/>
                  <a:lumOff val="40000"/>
                </a:schemeClr>
              </a:solidFill>
              <a:ln>
                <a:solidFill>
                  <a:schemeClr val="bg1"/>
                </a:solidFill>
              </a:ln>
            </c:spPr>
          </c:dPt>
          <c:dPt>
            <c:idx val="1"/>
            <c:bubble3D val="0"/>
            <c:spPr>
              <a:solidFill>
                <a:srgbClr val="339966"/>
              </a:solidFill>
              <a:ln>
                <a:solidFill>
                  <a:schemeClr val="bg1"/>
                </a:solidFill>
              </a:ln>
            </c:spPr>
          </c:dPt>
          <c:dPt>
            <c:idx val="2"/>
            <c:bubble3D val="0"/>
            <c:spPr>
              <a:solidFill>
                <a:srgbClr val="FFFF66"/>
              </a:solidFill>
              <a:ln>
                <a:solidFill>
                  <a:schemeClr val="bg1"/>
                </a:solidFill>
              </a:ln>
            </c:spPr>
          </c:dPt>
          <c:dPt>
            <c:idx val="3"/>
            <c:bubble3D val="0"/>
            <c:spPr>
              <a:solidFill>
                <a:srgbClr val="FF9900"/>
              </a:solidFill>
              <a:ln>
                <a:solidFill>
                  <a:schemeClr val="bg1"/>
                </a:solidFill>
              </a:ln>
            </c:spPr>
          </c:dPt>
          <c:dLbls>
            <c:spPr>
              <a:noFill/>
              <a:ln>
                <a:noFill/>
              </a:ln>
              <a:effectLst/>
            </c:spPr>
            <c:txPr>
              <a:bodyPr rot="0" spcFirstLastPara="0" vertOverflow="ellipsis" vert="horz" wrap="square" lIns="38100" tIns="19050" rIns="38100" bIns="19050" anchor="ctr" anchorCtr="1"/>
              <a:lstStyle/>
              <a:p>
                <a:pPr>
                  <a:defRPr lang="zh-CN" sz="1600" b="0" i="0" u="none" strike="noStrike" kern="1200" baseline="0">
                    <a:solidFill>
                      <a:schemeClr val="tx1"/>
                    </a:solidFill>
                    <a:latin typeface="+mn-lt"/>
                    <a:ea typeface="+mn-ea"/>
                    <a:cs typeface="+mn-cs"/>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ext>
            </c:extLst>
          </c:dLbls>
          <c:cat>
            <c:strRef>
              <c:f>结构分布!$B$7:$B$10</c:f>
              <c:strCache>
                <c:ptCount val="4"/>
                <c:pt idx="0">
                  <c:v>35岁及以下</c:v>
                </c:pt>
                <c:pt idx="1">
                  <c:v>36-45岁</c:v>
                </c:pt>
                <c:pt idx="2">
                  <c:v>46-55岁</c:v>
                </c:pt>
                <c:pt idx="3">
                  <c:v>56岁及以上</c:v>
                </c:pt>
              </c:strCache>
            </c:strRef>
          </c:cat>
          <c:val>
            <c:numRef>
              <c:f>结构分布!$D$7:$D$10</c:f>
              <c:numCache>
                <c:formatCode>0%</c:formatCode>
                <c:ptCount val="4"/>
                <c:pt idx="0">
                  <c:v>0.142857142857143</c:v>
                </c:pt>
                <c:pt idx="1">
                  <c:v>0.666666666666667</c:v>
                </c:pt>
                <c:pt idx="2">
                  <c:v>0.0476190476190476</c:v>
                </c:pt>
                <c:pt idx="3">
                  <c:v>0.142857142857143</c:v>
                </c:pt>
              </c:numCache>
            </c:numRef>
          </c:val>
        </c:ser>
        <c:dLbls>
          <c:showLegendKey val="0"/>
          <c:showVal val="0"/>
          <c:showCatName val="0"/>
          <c:showSerName val="0"/>
          <c:showPercent val="0"/>
          <c:showBubbleSize val="0"/>
          <c:showLeaderLines val="1"/>
        </c:dLbls>
        <c:firstSliceAng val="0"/>
      </c:pieChart>
    </c:plotArea>
    <c:legend>
      <c:legendPos val="b"/>
      <c:layout>
        <c:manualLayout>
          <c:xMode val="edge"/>
          <c:yMode val="edge"/>
          <c:x val="0.093721954110575"/>
          <c:y val="0.833016248691457"/>
          <c:w val="0.793005749647863"/>
          <c:h val="0.166983751308543"/>
        </c:manualLayout>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zero"/>
    <c:showDLblsOverMax val="0"/>
  </c:chart>
  <c:spPr>
    <a:noFill/>
    <a:ln w="6350" cap="flat" cmpd="sng" algn="ctr">
      <a:solidFill>
        <a:srgbClr val="000000"/>
      </a:solidFill>
      <a:prstDash val="solid"/>
      <a:round/>
    </a:ln>
  </c:spPr>
  <c:txPr>
    <a:bodyPr/>
    <a:lstStyle/>
    <a:p>
      <a:pPr>
        <a:defRPr lang="zh-CN"/>
      </a:pPr>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400" b="1" i="0" u="none" strike="noStrike" kern="1200" baseline="0">
                <a:solidFill>
                  <a:schemeClr val="tx1"/>
                </a:solidFill>
                <a:latin typeface="+mn-lt"/>
                <a:ea typeface="+mn-ea"/>
                <a:cs typeface="+mn-cs"/>
              </a:defRPr>
            </a:pPr>
            <a:r>
              <a:rPr lang="zh-CN" altLang="en-US" sz="1400"/>
              <a:t>学缘结构</a:t>
            </a:r>
            <a:endParaRPr lang="zh-CN" altLang="en-US" sz="1400"/>
          </a:p>
        </c:rich>
      </c:tx>
      <c:layout/>
      <c:overlay val="0"/>
    </c:title>
    <c:autoTitleDeleted val="0"/>
    <c:plotArea>
      <c:layout>
        <c:manualLayout>
          <c:layoutTarget val="inner"/>
          <c:xMode val="edge"/>
          <c:yMode val="edge"/>
          <c:x val="0.162200875916903"/>
          <c:y val="0.144160484274726"/>
          <c:w val="0.719586902810169"/>
          <c:h val="0.709188248145283"/>
        </c:manualLayout>
      </c:layout>
      <c:pieChart>
        <c:varyColors val="1"/>
        <c:ser>
          <c:idx val="0"/>
          <c:order val="0"/>
          <c:spPr>
            <a:solidFill>
              <a:srgbClr val="339966"/>
            </a:solidFill>
          </c:spPr>
          <c:explosion val="0"/>
          <c:dPt>
            <c:idx val="0"/>
            <c:bubble3D val="0"/>
            <c:spPr>
              <a:solidFill>
                <a:srgbClr val="339966"/>
              </a:solidFill>
            </c:spPr>
          </c:dPt>
          <c:dPt>
            <c:idx val="1"/>
            <c:bubble3D val="0"/>
            <c:spPr>
              <a:solidFill>
                <a:srgbClr val="FF9900"/>
              </a:solidFill>
              <a:ln>
                <a:solidFill>
                  <a:schemeClr val="bg1"/>
                </a:solidFill>
              </a:ln>
            </c:spPr>
          </c:dPt>
          <c:dLbls>
            <c:spPr>
              <a:noFill/>
              <a:ln>
                <a:noFill/>
              </a:ln>
              <a:effectLst/>
            </c:spPr>
            <c:txPr>
              <a:bodyPr rot="0" spcFirstLastPara="0" vertOverflow="ellipsis" vert="horz" wrap="square" lIns="38100" tIns="19050" rIns="38100" bIns="19050" anchor="ctr" anchorCtr="1"/>
              <a:lstStyle/>
              <a:p>
                <a:pPr>
                  <a:defRPr lang="zh-CN" sz="1600" b="0" i="0" u="none" strike="noStrike" kern="1200" baseline="0">
                    <a:solidFill>
                      <a:schemeClr val="tx1"/>
                    </a:solidFill>
                    <a:latin typeface="+mn-lt"/>
                    <a:ea typeface="+mn-ea"/>
                    <a:cs typeface="+mn-cs"/>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ext>
            </c:extLst>
          </c:dLbls>
          <c:cat>
            <c:strRef>
              <c:f>结构分布!$B$11:$B$12</c:f>
              <c:strCache>
                <c:ptCount val="2"/>
                <c:pt idx="0">
                  <c:v>本校</c:v>
                </c:pt>
                <c:pt idx="1">
                  <c:v>外校</c:v>
                </c:pt>
              </c:strCache>
            </c:strRef>
          </c:cat>
          <c:val>
            <c:numRef>
              <c:f>结构分布!$D$11:$D$12</c:f>
              <c:numCache>
                <c:formatCode>0%</c:formatCode>
                <c:ptCount val="2"/>
                <c:pt idx="0">
                  <c:v>0.333333333333333</c:v>
                </c:pt>
                <c:pt idx="1">
                  <c:v>0.666666666666667</c:v>
                </c:pt>
              </c:numCache>
            </c:numRef>
          </c:val>
        </c:ser>
        <c:dLbls>
          <c:showLegendKey val="0"/>
          <c:showVal val="0"/>
          <c:showCatName val="0"/>
          <c:showSerName val="0"/>
          <c:showPercent val="0"/>
          <c:showBubbleSize val="0"/>
          <c:showLeaderLines val="1"/>
        </c:dLbls>
        <c:firstSliceAng val="0"/>
      </c:pieChart>
    </c:plotArea>
    <c:legend>
      <c:legendPos val="b"/>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zero"/>
    <c:showDLblsOverMax val="0"/>
  </c:chart>
  <c:spPr>
    <a:noFill/>
    <a:ln w="6350" cap="flat" cmpd="sng" algn="ctr">
      <a:solidFill>
        <a:srgbClr val="000000"/>
      </a:solidFill>
      <a:prstDash val="solid"/>
      <a:round/>
    </a:ln>
  </c:spPr>
  <c:txPr>
    <a:bodyPr/>
    <a:lstStyle/>
    <a:p>
      <a:pPr>
        <a:defRPr lang="zh-CN"/>
      </a:pPr>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721357872434621"/>
          <c:y val="0.219476240843029"/>
          <c:w val="0.509429816748021"/>
          <c:h val="0.723834520684915"/>
        </c:manualLayout>
      </c:layout>
      <c:pieChart>
        <c:varyColors val="1"/>
        <c:ser>
          <c:idx val="0"/>
          <c:order val="0"/>
          <c:explosion val="0"/>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ext>
            </c:extLst>
          </c:dLbls>
          <c:cat>
            <c:strRef>
              <c:f>结构分布!$B$17:$B$25</c:f>
              <c:strCache>
                <c:ptCount val="9"/>
                <c:pt idx="0">
                  <c:v>大地测量学与测量工程</c:v>
                </c:pt>
                <c:pt idx="1">
                  <c:v>土壤学</c:v>
                </c:pt>
                <c:pt idx="2">
                  <c:v>测绘工程</c:v>
                </c:pt>
                <c:pt idx="3">
                  <c:v>地质工程</c:v>
                </c:pt>
                <c:pt idx="4">
                  <c:v>农业工程</c:v>
                </c:pt>
                <c:pt idx="5">
                  <c:v>土地资源利用</c:v>
                </c:pt>
                <c:pt idx="6">
                  <c:v>地图学与地理信息系统</c:v>
                </c:pt>
                <c:pt idx="7">
                  <c:v>地图制图学与地理信息工程</c:v>
                </c:pt>
                <c:pt idx="8">
                  <c:v>摄影测量与遥感</c:v>
                </c:pt>
              </c:strCache>
            </c:strRef>
          </c:cat>
          <c:val>
            <c:numRef>
              <c:f>结构分布!$D$17:$D$25</c:f>
              <c:numCache>
                <c:formatCode>0%</c:formatCode>
                <c:ptCount val="9"/>
                <c:pt idx="0">
                  <c:v>0.238095238095238</c:v>
                </c:pt>
                <c:pt idx="1">
                  <c:v>0.0952380952380952</c:v>
                </c:pt>
                <c:pt idx="2">
                  <c:v>0.0476190476190476</c:v>
                </c:pt>
                <c:pt idx="3">
                  <c:v>0.0476190476190476</c:v>
                </c:pt>
                <c:pt idx="4">
                  <c:v>0.0476190476190476</c:v>
                </c:pt>
                <c:pt idx="5">
                  <c:v>0.0952380952380952</c:v>
                </c:pt>
                <c:pt idx="6">
                  <c:v>0.0952380952380952</c:v>
                </c:pt>
                <c:pt idx="7">
                  <c:v>0.285714285714286</c:v>
                </c:pt>
                <c:pt idx="8">
                  <c:v>0.0476190476190476</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535553434209278"/>
          <c:y val="0.23881968112195"/>
          <c:w val="0.443786365936186"/>
          <c:h val="0.674766717593138"/>
        </c:manualLayout>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zero"/>
    <c:showDLblsOverMax val="0"/>
  </c:chart>
  <c:spPr>
    <a:noFill/>
    <a:ln w="6350" cap="flat" cmpd="sng" algn="ctr">
      <a:solidFill>
        <a:schemeClr val="tx1"/>
      </a:solidFill>
      <a:prstDash val="solid"/>
      <a:round/>
    </a:ln>
  </c:spPr>
  <c:txPr>
    <a:bodyPr/>
    <a:lstStyle/>
    <a:p>
      <a:pPr>
        <a:defRPr lang="zh-CN"/>
      </a:pPr>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837524059492564"/>
          <c:y val="0.0717709244677748"/>
          <c:w val="0.885692038495189"/>
          <c:h val="0.812249198016915"/>
        </c:manualLayout>
      </c:layout>
      <c:barChart>
        <c:barDir val="col"/>
        <c:grouping val="clustered"/>
        <c:varyColors val="0"/>
        <c:ser>
          <c:idx val="1"/>
          <c:order val="0"/>
          <c:tx>
            <c:strRef>
              <c:f>教师人数增长表!$B$1</c:f>
              <c:strCache>
                <c:ptCount val="1"/>
                <c:pt idx="0">
                  <c:v>专任教师数</c:v>
                </c:pt>
              </c:strCache>
            </c:strRef>
          </c:tx>
          <c:spPr>
            <a:solidFill>
              <a:schemeClr val="accent1"/>
            </a:solidFill>
            <a:ln>
              <a:solidFill>
                <a:schemeClr val="accent1"/>
              </a:solidFill>
            </a:ln>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教师人数增长表!$A$2:$A$15</c:f>
              <c:numCache>
                <c:formatCode>General</c:formatCode>
                <c:ptCount val="14"/>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numCache>
            </c:numRef>
          </c:cat>
          <c:val>
            <c:numRef>
              <c:f>教师人数增长表!$B$2:$B$15</c:f>
              <c:numCache>
                <c:formatCode>General</c:formatCode>
                <c:ptCount val="14"/>
                <c:pt idx="0">
                  <c:v>8</c:v>
                </c:pt>
                <c:pt idx="1">
                  <c:v>11</c:v>
                </c:pt>
                <c:pt idx="2">
                  <c:v>14</c:v>
                </c:pt>
                <c:pt idx="3">
                  <c:v>15</c:v>
                </c:pt>
                <c:pt idx="4">
                  <c:v>17</c:v>
                </c:pt>
                <c:pt idx="5">
                  <c:v>17</c:v>
                </c:pt>
                <c:pt idx="6">
                  <c:v>16</c:v>
                </c:pt>
                <c:pt idx="7">
                  <c:v>17</c:v>
                </c:pt>
                <c:pt idx="8">
                  <c:v>18</c:v>
                </c:pt>
                <c:pt idx="9">
                  <c:v>20</c:v>
                </c:pt>
                <c:pt idx="10">
                  <c:v>21</c:v>
                </c:pt>
                <c:pt idx="11">
                  <c:v>21</c:v>
                </c:pt>
                <c:pt idx="12">
                  <c:v>21</c:v>
                </c:pt>
                <c:pt idx="13">
                  <c:v>21</c:v>
                </c:pt>
              </c:numCache>
            </c:numRef>
          </c:val>
        </c:ser>
        <c:dLbls>
          <c:showLegendKey val="0"/>
          <c:showVal val="0"/>
          <c:showCatName val="0"/>
          <c:showSerName val="0"/>
          <c:showPercent val="0"/>
          <c:showBubbleSize val="0"/>
        </c:dLbls>
        <c:gapWidth val="150"/>
        <c:axId val="-220459632"/>
        <c:axId val="-220456368"/>
      </c:barChart>
      <c:catAx>
        <c:axId val="-220459632"/>
        <c:scaling>
          <c:orientation val="minMax"/>
        </c:scaling>
        <c:delete val="0"/>
        <c:axPos val="b"/>
        <c:numFmt formatCode="General" sourceLinked="1"/>
        <c:majorTickMark val="none"/>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220456368"/>
        <c:crosses val="autoZero"/>
        <c:auto val="1"/>
        <c:lblAlgn val="ctr"/>
        <c:lblOffset val="100"/>
        <c:noMultiLvlLbl val="0"/>
      </c:catAx>
      <c:valAx>
        <c:axId val="-220456368"/>
        <c:scaling>
          <c:orientation val="minMax"/>
        </c:scaling>
        <c:delete val="0"/>
        <c:axPos val="l"/>
        <c:title>
          <c:tx>
            <c:rich>
              <a:bodyPr rot="0" spcFirstLastPara="0" vertOverflow="ellipsis" vert="wordArtVertRtl" wrap="square" anchor="ctr" anchorCtr="1"/>
              <a:lstStyle/>
              <a:p>
                <a:pPr>
                  <a:defRPr lang="zh-CN" sz="1000" b="1" i="0" u="none" strike="noStrike" kern="1200" baseline="0">
                    <a:solidFill>
                      <a:schemeClr val="tx1"/>
                    </a:solidFill>
                    <a:latin typeface="+mn-lt"/>
                    <a:ea typeface="+mn-ea"/>
                    <a:cs typeface="+mn-cs"/>
                  </a:defRPr>
                </a:pPr>
                <a:r>
                  <a:rPr lang="zh-CN" altLang="en-US"/>
                  <a:t>人</a:t>
                </a:r>
                <a:endParaRPr lang="zh-CN" altLang="en-US"/>
              </a:p>
            </c:rich>
          </c:tx>
          <c:layout>
            <c:manualLayout>
              <c:xMode val="edge"/>
              <c:yMode val="edge"/>
              <c:x val="0"/>
              <c:y val="0.449874599008457"/>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220459632"/>
        <c:crosses val="autoZero"/>
        <c:crossBetween val="between"/>
      </c:valAx>
      <c:spPr>
        <a:noFill/>
        <a:ln w="12700">
          <a:solidFill>
            <a:schemeClr val="tx1"/>
          </a:solidFill>
        </a:ln>
      </c:spPr>
    </c:plotArea>
    <c:plotVisOnly val="1"/>
    <c:dispBlanksAs val="gap"/>
    <c:showDLblsOverMax val="0"/>
  </c:chart>
  <c:spPr>
    <a:noFill/>
    <a:ln w="6350" cap="flat" cmpd="sng" algn="ctr">
      <a:noFill/>
      <a:prstDash val="solid"/>
      <a:round/>
    </a:ln>
  </c:spPr>
  <c:txPr>
    <a:bodyPr/>
    <a:lstStyle/>
    <a:p>
      <a:pPr>
        <a:defRPr lang="zh-CN"/>
      </a:pPr>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530183727034"/>
          <c:y val="0.0717709244677748"/>
          <c:w val="0.85791426071741"/>
          <c:h val="0.812249198016915"/>
        </c:manualLayout>
      </c:layout>
      <c:barChart>
        <c:barDir val="col"/>
        <c:grouping val="clustered"/>
        <c:varyColors val="0"/>
        <c:ser>
          <c:idx val="0"/>
          <c:order val="0"/>
          <c:tx>
            <c:strRef>
              <c:f>教师人数增长表!$C$1</c:f>
              <c:strCache>
                <c:ptCount val="1"/>
                <c:pt idx="0">
                  <c:v>兼职教师数</c:v>
                </c:pt>
              </c:strCache>
            </c:strRef>
          </c:tx>
          <c:spPr>
            <a:solidFill>
              <a:srgbClr val="339966"/>
            </a:solidFill>
          </c:spPr>
          <c:invertIfNegative val="0"/>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教师人数增长表!$A$2:$A$15</c:f>
              <c:numCache>
                <c:formatCode>General</c:formatCode>
                <c:ptCount val="14"/>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numCache>
            </c:numRef>
          </c:cat>
          <c:val>
            <c:numRef>
              <c:f>教师人数增长表!$C$2:$C$15</c:f>
              <c:numCache>
                <c:formatCode>General</c:formatCode>
                <c:ptCount val="14"/>
                <c:pt idx="0">
                  <c:v>3</c:v>
                </c:pt>
                <c:pt idx="1">
                  <c:v>4</c:v>
                </c:pt>
                <c:pt idx="2">
                  <c:v>4</c:v>
                </c:pt>
                <c:pt idx="3">
                  <c:v>5</c:v>
                </c:pt>
                <c:pt idx="4">
                  <c:v>8</c:v>
                </c:pt>
                <c:pt idx="5">
                  <c:v>10</c:v>
                </c:pt>
                <c:pt idx="6">
                  <c:v>12</c:v>
                </c:pt>
                <c:pt idx="7">
                  <c:v>14</c:v>
                </c:pt>
                <c:pt idx="8">
                  <c:v>14</c:v>
                </c:pt>
                <c:pt idx="9">
                  <c:v>15</c:v>
                </c:pt>
                <c:pt idx="10">
                  <c:v>15</c:v>
                </c:pt>
                <c:pt idx="11">
                  <c:v>15</c:v>
                </c:pt>
                <c:pt idx="12">
                  <c:v>15</c:v>
                </c:pt>
                <c:pt idx="13">
                  <c:v>15</c:v>
                </c:pt>
              </c:numCache>
            </c:numRef>
          </c:val>
        </c:ser>
        <c:dLbls>
          <c:showLegendKey val="0"/>
          <c:showVal val="0"/>
          <c:showCatName val="0"/>
          <c:showSerName val="0"/>
          <c:showPercent val="0"/>
          <c:showBubbleSize val="0"/>
        </c:dLbls>
        <c:gapWidth val="150"/>
        <c:axId val="-220463440"/>
        <c:axId val="-220459088"/>
      </c:barChart>
      <c:catAx>
        <c:axId val="-220463440"/>
        <c:scaling>
          <c:orientation val="minMax"/>
        </c:scaling>
        <c:delete val="0"/>
        <c:axPos val="b"/>
        <c:numFmt formatCode="General" sourceLinked="1"/>
        <c:majorTickMark val="none"/>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220459088"/>
        <c:crosses val="autoZero"/>
        <c:auto val="1"/>
        <c:lblAlgn val="ctr"/>
        <c:lblOffset val="100"/>
        <c:noMultiLvlLbl val="0"/>
      </c:catAx>
      <c:valAx>
        <c:axId val="-220459088"/>
        <c:scaling>
          <c:orientation val="minMax"/>
        </c:scaling>
        <c:delete val="0"/>
        <c:axPos val="l"/>
        <c:title>
          <c:tx>
            <c:rich>
              <a:bodyPr rot="0" spcFirstLastPara="0" vertOverflow="ellipsis" vert="wordArtVertRtl" wrap="square" anchor="ctr" anchorCtr="1"/>
              <a:lstStyle/>
              <a:p>
                <a:pPr>
                  <a:defRPr lang="zh-CN" sz="1000" b="1" i="0" u="none" strike="noStrike" kern="1200" baseline="0">
                    <a:solidFill>
                      <a:schemeClr val="tx1"/>
                    </a:solidFill>
                    <a:latin typeface="+mn-lt"/>
                    <a:ea typeface="+mn-ea"/>
                    <a:cs typeface="+mn-cs"/>
                  </a:defRPr>
                </a:pPr>
                <a:r>
                  <a:rPr lang="zh-CN" altLang="en-US"/>
                  <a:t>人</a:t>
                </a:r>
                <a:endParaRPr lang="zh-CN" altLang="en-US"/>
              </a:p>
            </c:rich>
          </c:tx>
          <c:layout>
            <c:manualLayout>
              <c:xMode val="edge"/>
              <c:yMode val="edge"/>
              <c:x val="0.0138888888888889"/>
              <c:y val="0.028578302712161"/>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220463440"/>
        <c:crosses val="autoZero"/>
        <c:crossBetween val="between"/>
      </c:valAx>
      <c:spPr>
        <a:noFill/>
        <a:ln w="25400">
          <a:noFill/>
        </a:ln>
      </c:spPr>
    </c:plotArea>
    <c:plotVisOnly val="1"/>
    <c:dispBlanksAs val="gap"/>
    <c:showDLblsOverMax val="0"/>
  </c:chart>
  <c:spPr>
    <a:noFill/>
    <a:ln w="6350" cap="flat" cmpd="sng" algn="ctr">
      <a:noFill/>
      <a:prstDash val="solid"/>
      <a:round/>
    </a:ln>
  </c:spPr>
  <c:txPr>
    <a:bodyPr/>
    <a:lstStyle/>
    <a:p>
      <a:pPr>
        <a:defRPr lang="zh-CN"/>
      </a:pPr>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spPr>
            <a:solidFill>
              <a:schemeClr val="tx2">
                <a:lumMod val="60000"/>
                <a:lumOff val="40000"/>
              </a:schemeClr>
            </a:solidFill>
          </c:spPr>
          <c:invertIfNegative val="0"/>
          <c:dLbls>
            <c:delete val="1"/>
          </c:dLbls>
          <c:cat>
            <c:numRef>
              <c:f>Sheet1!$C$24:$C$33</c:f>
              <c:numCache>
                <c:formatCode>General</c:formatCode>
                <c:ptCount val="10"/>
                <c:pt idx="0">
                  <c:v>2012</c:v>
                </c:pt>
                <c:pt idx="1">
                  <c:v>2014</c:v>
                </c:pt>
                <c:pt idx="2">
                  <c:v>2015</c:v>
                </c:pt>
                <c:pt idx="3">
                  <c:v>2016</c:v>
                </c:pt>
                <c:pt idx="4">
                  <c:v>2017</c:v>
                </c:pt>
                <c:pt idx="5">
                  <c:v>2018</c:v>
                </c:pt>
                <c:pt idx="6">
                  <c:v>2019</c:v>
                </c:pt>
                <c:pt idx="7">
                  <c:v>2020</c:v>
                </c:pt>
                <c:pt idx="8">
                  <c:v>2021</c:v>
                </c:pt>
                <c:pt idx="9">
                  <c:v>2022</c:v>
                </c:pt>
              </c:numCache>
            </c:numRef>
          </c:cat>
          <c:val>
            <c:numRef>
              <c:f>Sheet1!$E$24:$E$33</c:f>
              <c:numCache>
                <c:formatCode>General</c:formatCode>
                <c:ptCount val="10"/>
                <c:pt idx="0">
                  <c:v>1</c:v>
                </c:pt>
                <c:pt idx="1">
                  <c:v>3</c:v>
                </c:pt>
                <c:pt idx="2">
                  <c:v>4</c:v>
                </c:pt>
                <c:pt idx="3">
                  <c:v>7</c:v>
                </c:pt>
                <c:pt idx="4">
                  <c:v>11</c:v>
                </c:pt>
                <c:pt idx="5">
                  <c:v>15</c:v>
                </c:pt>
                <c:pt idx="6">
                  <c:v>18</c:v>
                </c:pt>
                <c:pt idx="7">
                  <c:v>18</c:v>
                </c:pt>
                <c:pt idx="8">
                  <c:v>18</c:v>
                </c:pt>
                <c:pt idx="9">
                  <c:v>18</c:v>
                </c:pt>
              </c:numCache>
            </c:numRef>
          </c:val>
        </c:ser>
        <c:dLbls>
          <c:showLegendKey val="0"/>
          <c:showVal val="0"/>
          <c:showCatName val="0"/>
          <c:showSerName val="0"/>
          <c:showPercent val="0"/>
          <c:showBubbleSize val="0"/>
        </c:dLbls>
        <c:gapWidth val="150"/>
        <c:axId val="-220464528"/>
        <c:axId val="-220463984"/>
      </c:barChart>
      <c:catAx>
        <c:axId val="-220464528"/>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220463984"/>
        <c:crosses val="autoZero"/>
        <c:auto val="1"/>
        <c:lblAlgn val="ctr"/>
        <c:lblOffset val="100"/>
        <c:noMultiLvlLbl val="0"/>
      </c:catAx>
      <c:valAx>
        <c:axId val="-220463984"/>
        <c:scaling>
          <c:orientation val="minMax"/>
          <c:max val="18"/>
        </c:scaling>
        <c:delete val="0"/>
        <c:axPos val="l"/>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220464528"/>
        <c:crosses val="autoZero"/>
        <c:crossBetween val="between"/>
      </c:valAx>
      <c:spPr>
        <a:noFill/>
      </c:spPr>
    </c:plotArea>
    <c:plotVisOnly val="1"/>
    <c:dispBlanksAs val="gap"/>
    <c:showDLblsOverMax val="0"/>
  </c:chart>
  <c:spPr>
    <a:noFill/>
    <a:ln w="6350" cap="flat" cmpd="sng" algn="ctr">
      <a:noFill/>
      <a:prstDash val="solid"/>
      <a:round/>
    </a:ln>
  </c:spPr>
  <c:txPr>
    <a:bodyPr/>
    <a:lstStyle/>
    <a:p>
      <a:pPr>
        <a:defRPr lang="zh-CN"/>
      </a:pPr>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就业单位分布</c:v>
                </c:pt>
              </c:strCache>
            </c:strRef>
          </c:tx>
          <c:invertIfNegative val="0"/>
          <c:dLbls>
            <c:delete val="1"/>
          </c:dLbls>
          <c:cat>
            <c:strRef>
              <c:f>Sheet1!$A$2:$A$7</c:f>
              <c:strCache>
                <c:ptCount val="6"/>
                <c:pt idx="0">
                  <c:v>国企</c:v>
                </c:pt>
                <c:pt idx="1">
                  <c:v>非国企</c:v>
                </c:pt>
                <c:pt idx="2">
                  <c:v>升学</c:v>
                </c:pt>
                <c:pt idx="3">
                  <c:v>拟升学</c:v>
                </c:pt>
                <c:pt idx="4">
                  <c:v>正在求职</c:v>
                </c:pt>
                <c:pt idx="5">
                  <c:v>暂不就业</c:v>
                </c:pt>
              </c:strCache>
            </c:strRef>
          </c:cat>
          <c:val>
            <c:numRef>
              <c:f>Sheet1!$B$2:$B$7</c:f>
              <c:numCache>
                <c:formatCode>0.0%</c:formatCode>
                <c:ptCount val="6"/>
                <c:pt idx="0">
                  <c:v>0.04</c:v>
                </c:pt>
                <c:pt idx="1">
                  <c:v>0.32</c:v>
                </c:pt>
                <c:pt idx="2">
                  <c:v>0.444</c:v>
                </c:pt>
                <c:pt idx="3">
                  <c:v>0.028</c:v>
                </c:pt>
                <c:pt idx="4">
                  <c:v>0.154</c:v>
                </c:pt>
                <c:pt idx="5">
                  <c:v>0.014</c:v>
                </c:pt>
              </c:numCache>
            </c:numRef>
          </c:val>
        </c:ser>
        <c:dLbls>
          <c:showLegendKey val="0"/>
          <c:showVal val="0"/>
          <c:showCatName val="0"/>
          <c:showSerName val="0"/>
          <c:showPercent val="0"/>
          <c:showBubbleSize val="0"/>
        </c:dLbls>
        <c:gapWidth val="150"/>
        <c:axId val="-220462352"/>
        <c:axId val="-220462896"/>
      </c:barChart>
      <c:catAx>
        <c:axId val="-22046235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220462896"/>
        <c:crosses val="autoZero"/>
        <c:auto val="1"/>
        <c:lblAlgn val="ctr"/>
        <c:lblOffset val="100"/>
        <c:noMultiLvlLbl val="0"/>
      </c:catAx>
      <c:valAx>
        <c:axId val="-220462896"/>
        <c:scaling>
          <c:orientation val="minMax"/>
        </c:scaling>
        <c:delete val="0"/>
        <c:axPos val="l"/>
        <c:numFmt formatCode="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220462352"/>
        <c:crosses val="autoZero"/>
        <c:crossBetween val="between"/>
      </c:valAx>
    </c:plotArea>
    <c:plotVisOnly val="1"/>
    <c:dispBlanksAs val="gap"/>
    <c:showDLblsOverMax val="0"/>
  </c:chart>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explosion val="25"/>
          <c:dPt>
            <c:idx val="0"/>
            <c:bubble3D val="0"/>
          </c:dPt>
          <c:dPt>
            <c:idx val="1"/>
            <c:bubble3D val="0"/>
          </c:dPt>
          <c:dPt>
            <c:idx val="2"/>
            <c:bubble3D val="0"/>
          </c:dPt>
          <c:dPt>
            <c:idx val="3"/>
            <c:bubble3D val="0"/>
          </c:dPt>
          <c:dPt>
            <c:idx val="4"/>
            <c:bubble3D val="0"/>
          </c:dPt>
          <c:dLbls>
            <c:delete val="1"/>
          </c:dLbls>
          <c:cat>
            <c:strRef>
              <c:f>'新建 Microsoft Excel 97-2003 工作表'!$B$3:$B$7</c:f>
              <c:strCache>
                <c:ptCount val="5"/>
                <c:pt idx="0">
                  <c:v>教授</c:v>
                </c:pt>
                <c:pt idx="1">
                  <c:v>副教授</c:v>
                </c:pt>
                <c:pt idx="2">
                  <c:v>讲师</c:v>
                </c:pt>
                <c:pt idx="3">
                  <c:v>高级实验师</c:v>
                </c:pt>
                <c:pt idx="4">
                  <c:v>实验师</c:v>
                </c:pt>
              </c:strCache>
            </c:strRef>
          </c:cat>
          <c:val>
            <c:numRef>
              <c:f>'新建 Microsoft Excel 97-2003 工作表'!$C$3:$C$7</c:f>
              <c:numCache>
                <c:formatCode>General</c:formatCode>
                <c:ptCount val="5"/>
                <c:pt idx="0">
                  <c:v>28</c:v>
                </c:pt>
                <c:pt idx="1">
                  <c:v>15</c:v>
                </c:pt>
                <c:pt idx="2">
                  <c:v>10</c:v>
                </c:pt>
                <c:pt idx="3">
                  <c:v>2</c:v>
                </c:pt>
                <c:pt idx="4">
                  <c:v>6</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94638240280684"/>
          <c:y val="0.144361642294713"/>
          <c:w val="0.305361759719316"/>
          <c:h val="0.582705286839145"/>
        </c:manualLayout>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zero"/>
    <c:showDLblsOverMax val="0"/>
  </c:chart>
  <c:txPr>
    <a:bodyPr/>
    <a:lstStyle/>
    <a:p>
      <a:pPr>
        <a:defRPr lang="zh-CN"/>
      </a:pPr>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系列 1</c:v>
                </c:pt>
              </c:strCache>
            </c:strRef>
          </c:tx>
          <c:invertIfNegative val="0"/>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ysClr val="windowText" lastClr="000000"/>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Sheet1!$A$2:$A$18</c:f>
              <c:strCache>
                <c:ptCount val="17"/>
                <c:pt idx="0">
                  <c:v>济南</c:v>
                </c:pt>
                <c:pt idx="1">
                  <c:v>青岛</c:v>
                </c:pt>
                <c:pt idx="2">
                  <c:v>泰安</c:v>
                </c:pt>
                <c:pt idx="3">
                  <c:v>菏泽</c:v>
                </c:pt>
                <c:pt idx="4">
                  <c:v>临沂</c:v>
                </c:pt>
                <c:pt idx="5">
                  <c:v>威海</c:v>
                </c:pt>
                <c:pt idx="6">
                  <c:v>天津</c:v>
                </c:pt>
                <c:pt idx="7">
                  <c:v>陕西</c:v>
                </c:pt>
                <c:pt idx="8">
                  <c:v>北京</c:v>
                </c:pt>
                <c:pt idx="9">
                  <c:v>湖北</c:v>
                </c:pt>
                <c:pt idx="10">
                  <c:v>辽宁</c:v>
                </c:pt>
                <c:pt idx="11">
                  <c:v>江苏</c:v>
                </c:pt>
                <c:pt idx="12">
                  <c:v>河南</c:v>
                </c:pt>
                <c:pt idx="13">
                  <c:v>江西</c:v>
                </c:pt>
                <c:pt idx="14">
                  <c:v>广西</c:v>
                </c:pt>
                <c:pt idx="15">
                  <c:v>甘肃</c:v>
                </c:pt>
                <c:pt idx="16">
                  <c:v>四川</c:v>
                </c:pt>
              </c:strCache>
            </c:strRef>
          </c:cat>
          <c:val>
            <c:numRef>
              <c:f>Sheet1!$B$2:$B$18</c:f>
              <c:numCache>
                <c:formatCode>General</c:formatCode>
                <c:ptCount val="17"/>
                <c:pt idx="0">
                  <c:v>7</c:v>
                </c:pt>
                <c:pt idx="1">
                  <c:v>12</c:v>
                </c:pt>
                <c:pt idx="2">
                  <c:v>8</c:v>
                </c:pt>
                <c:pt idx="3">
                  <c:v>1</c:v>
                </c:pt>
                <c:pt idx="4">
                  <c:v>1</c:v>
                </c:pt>
                <c:pt idx="5">
                  <c:v>1</c:v>
                </c:pt>
                <c:pt idx="6">
                  <c:v>1</c:v>
                </c:pt>
                <c:pt idx="7">
                  <c:v>1</c:v>
                </c:pt>
                <c:pt idx="8">
                  <c:v>1</c:v>
                </c:pt>
                <c:pt idx="9">
                  <c:v>3</c:v>
                </c:pt>
                <c:pt idx="10">
                  <c:v>2</c:v>
                </c:pt>
                <c:pt idx="11">
                  <c:v>4</c:v>
                </c:pt>
                <c:pt idx="12">
                  <c:v>1</c:v>
                </c:pt>
                <c:pt idx="13">
                  <c:v>1</c:v>
                </c:pt>
                <c:pt idx="14">
                  <c:v>1</c:v>
                </c:pt>
                <c:pt idx="15">
                  <c:v>3</c:v>
                </c:pt>
                <c:pt idx="16">
                  <c:v>2</c:v>
                </c:pt>
              </c:numCache>
            </c:numRef>
          </c:val>
        </c:ser>
        <c:dLbls>
          <c:showLegendKey val="0"/>
          <c:showVal val="0"/>
          <c:showCatName val="0"/>
          <c:showSerName val="0"/>
          <c:showPercent val="0"/>
          <c:showBubbleSize val="0"/>
        </c:dLbls>
        <c:gapWidth val="150"/>
        <c:axId val="-220461264"/>
        <c:axId val="-220458544"/>
      </c:barChart>
      <c:catAx>
        <c:axId val="-22046126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800" b="0" i="0" u="none" strike="noStrike" kern="1200" baseline="0">
                <a:solidFill>
                  <a:sysClr val="windowText" lastClr="000000"/>
                </a:solidFill>
                <a:latin typeface="+mn-lt"/>
                <a:ea typeface="+mn-ea"/>
                <a:cs typeface="+mn-cs"/>
              </a:defRPr>
            </a:pPr>
          </a:p>
        </c:txPr>
        <c:crossAx val="-220458544"/>
        <c:crosses val="autoZero"/>
        <c:auto val="1"/>
        <c:lblAlgn val="ctr"/>
        <c:lblOffset val="100"/>
        <c:noMultiLvlLbl val="0"/>
      </c:catAx>
      <c:valAx>
        <c:axId val="-220458544"/>
        <c:scaling>
          <c:orientation val="minMax"/>
        </c:scaling>
        <c:delete val="0"/>
        <c:axPos val="l"/>
        <c:title>
          <c:tx>
            <c:rich>
              <a:bodyPr rot="0" spcFirstLastPara="0" vertOverflow="ellipsis" vert="wordArtVertRtl" wrap="square" anchor="ctr" anchorCtr="1"/>
              <a:lstStyle/>
              <a:p>
                <a:pPr>
                  <a:defRPr lang="zh-CN" sz="1000" b="1" i="0" u="none" strike="noStrike" kern="1200" baseline="0">
                    <a:solidFill>
                      <a:sysClr val="windowText" lastClr="000000"/>
                    </a:solidFill>
                    <a:latin typeface="+mn-lt"/>
                    <a:ea typeface="+mn-ea"/>
                    <a:cs typeface="+mn-cs"/>
                  </a:defRPr>
                </a:pPr>
                <a:r>
                  <a:rPr lang="zh-CN" altLang="en-US" b="0"/>
                  <a:t>就业率（</a:t>
                </a:r>
                <a:r>
                  <a:rPr lang="en-US" altLang="zh-CN" b="0"/>
                  <a:t>%</a:t>
                </a:r>
                <a:r>
                  <a:rPr lang="zh-CN" altLang="en-US" b="0"/>
                  <a:t>）</a:t>
                </a:r>
                <a:endParaRPr lang="zh-CN" altLang="en-US" b="0"/>
              </a:p>
            </c:rich>
          </c:tx>
          <c:layout/>
          <c:overlay val="0"/>
        </c:title>
        <c:numFmt formatCode="#,##0.0_);[Red]\(#,##0.0\)"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ysClr val="windowText" lastClr="000000"/>
                </a:solidFill>
                <a:latin typeface="+mn-lt"/>
                <a:ea typeface="+mn-ea"/>
                <a:cs typeface="+mn-cs"/>
              </a:defRPr>
            </a:pPr>
          </a:p>
        </c:txPr>
        <c:crossAx val="-220461264"/>
        <c:crosses val="autoZero"/>
        <c:crossBetween val="between"/>
      </c:valAx>
    </c:plotArea>
    <c:plotVisOnly val="1"/>
    <c:dispBlanksAs val="gap"/>
    <c:showDLblsOverMax val="0"/>
  </c:chart>
  <c:spPr>
    <a:ln w="6350" cap="flat" cmpd="sng" algn="ctr">
      <a:noFill/>
      <a:prstDash val="solid"/>
      <a:round/>
    </a:ln>
  </c:spPr>
  <c:txPr>
    <a:bodyPr/>
    <a:lstStyle/>
    <a:p>
      <a:pPr>
        <a:defRPr lang="zh-CN"/>
      </a:pPr>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a:t>人数</a:t>
            </a:r>
            <a:endParaRPr lang="en-US" altLang="zh-CN"/>
          </a:p>
        </c:rich>
      </c:tx>
      <c:layout/>
      <c:overlay val="0"/>
      <c:spPr>
        <a:noFill/>
        <a:ln>
          <a:noFill/>
        </a:ln>
        <a:effectLst/>
      </c:spPr>
    </c:title>
    <c:autoTitleDeleted val="0"/>
    <c:plotArea>
      <c:layout>
        <c:manualLayout>
          <c:layoutTarget val="inner"/>
          <c:xMode val="edge"/>
          <c:yMode val="edge"/>
          <c:x val="0.110992148736043"/>
          <c:y val="0.0301703910191671"/>
          <c:w val="0.86252097430754"/>
          <c:h val="0.807063906904523"/>
        </c:manualLayout>
      </c:layout>
      <c:barChart>
        <c:barDir val="col"/>
        <c:grouping val="clustered"/>
        <c:varyColors val="0"/>
        <c:ser>
          <c:idx val="0"/>
          <c:order val="0"/>
          <c:tx>
            <c:strRef>
              <c:f>Sheet1!$B$1</c:f>
              <c:strCache>
                <c:ptCount val="1"/>
                <c:pt idx="0">
                  <c:v>系列 1</c:v>
                </c:pt>
              </c:strCache>
            </c:strRef>
          </c:tx>
          <c:spPr>
            <a:solidFill>
              <a:schemeClr val="accent1"/>
            </a:solidFill>
            <a:ln>
              <a:noFill/>
            </a:ln>
            <a:effectLst/>
          </c:spPr>
          <c:invertIfNegative val="0"/>
          <c:dLbls>
            <c:delete val="1"/>
          </c:dLbls>
          <c:cat>
            <c:strRef>
              <c:f>Sheet1!$A$2:$A$7</c:f>
              <c:strCache>
                <c:ptCount val="6"/>
                <c:pt idx="0">
                  <c:v>青岛</c:v>
                </c:pt>
                <c:pt idx="1">
                  <c:v>泰安</c:v>
                </c:pt>
                <c:pt idx="2">
                  <c:v>淄博</c:v>
                </c:pt>
                <c:pt idx="3">
                  <c:v>临沂</c:v>
                </c:pt>
                <c:pt idx="4">
                  <c:v>其他</c:v>
                </c:pt>
                <c:pt idx="5">
                  <c:v>省外</c:v>
                </c:pt>
              </c:strCache>
            </c:strRef>
          </c:cat>
          <c:val>
            <c:numRef>
              <c:f>Sheet1!$B$2:$B$7</c:f>
              <c:numCache>
                <c:formatCode>General</c:formatCode>
                <c:ptCount val="6"/>
                <c:pt idx="0">
                  <c:v>5</c:v>
                </c:pt>
                <c:pt idx="1">
                  <c:v>19</c:v>
                </c:pt>
                <c:pt idx="2">
                  <c:v>2</c:v>
                </c:pt>
                <c:pt idx="3">
                  <c:v>2</c:v>
                </c:pt>
                <c:pt idx="4">
                  <c:v>7</c:v>
                </c:pt>
                <c:pt idx="5">
                  <c:v>48</c:v>
                </c:pt>
              </c:numCache>
            </c:numRef>
          </c:val>
        </c:ser>
        <c:dLbls>
          <c:showLegendKey val="0"/>
          <c:showVal val="0"/>
          <c:showCatName val="0"/>
          <c:showSerName val="0"/>
          <c:showPercent val="0"/>
          <c:showBubbleSize val="0"/>
        </c:dLbls>
        <c:gapWidth val="219"/>
        <c:overlap val="-27"/>
        <c:axId val="-220458000"/>
        <c:axId val="-220457456"/>
      </c:barChart>
      <c:catAx>
        <c:axId val="-220458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20457456"/>
        <c:crosses val="autoZero"/>
        <c:auto val="1"/>
        <c:lblAlgn val="ctr"/>
        <c:lblOffset val="100"/>
        <c:noMultiLvlLbl val="0"/>
      </c:catAx>
      <c:valAx>
        <c:axId val="-220457456"/>
        <c:scaling>
          <c:orientation val="minMax"/>
          <c:max val="60"/>
          <c:min val="1"/>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20458000"/>
        <c:crosses val="autoZero"/>
        <c:crossBetween val="between"/>
        <c:majorUnit val="10"/>
        <c:minorUnit val="2"/>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00868055555555556"/>
          <c:y val="0.00595238095238095"/>
        </c:manualLayout>
      </c:layout>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p>
      </c:txPr>
    </c:title>
    <c:autoTitleDeleted val="0"/>
    <c:plotArea>
      <c:layout/>
      <c:pieChart>
        <c:varyColors val="1"/>
        <c:ser>
          <c:idx val="0"/>
          <c:order val="0"/>
          <c:tx>
            <c:strRef>
              <c:f>Sheet1!$B$1</c:f>
              <c:strCache>
                <c:ptCount val="1"/>
                <c:pt idx="0">
                  <c:v>就业方式</c:v>
                </c:pt>
              </c:strCache>
            </c:strRef>
          </c:tx>
          <c:spPr/>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Lbls>
            <c:dLbl>
              <c:idx val="3"/>
              <c:layout>
                <c:manualLayout>
                  <c:x val="-0.0485875907935887"/>
                  <c:y val="0.000992729473316373"/>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4"/>
              <c:layout>
                <c:manualLayout>
                  <c:x val="0.109574270387969"/>
                  <c:y val="0.0281974920693396"/>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国内升学</c:v>
                </c:pt>
                <c:pt idx="1">
                  <c:v>协议就业</c:v>
                </c:pt>
                <c:pt idx="2">
                  <c:v>自由职业</c:v>
                </c:pt>
                <c:pt idx="3">
                  <c:v>其他形式</c:v>
                </c:pt>
                <c:pt idx="4">
                  <c:v>待就业</c:v>
                </c:pt>
              </c:strCache>
            </c:strRef>
          </c:cat>
          <c:val>
            <c:numRef>
              <c:f>Sheet1!$B$2:$B$6</c:f>
              <c:numCache>
                <c:formatCode>General</c:formatCode>
                <c:ptCount val="5"/>
                <c:pt idx="0">
                  <c:v>62</c:v>
                </c:pt>
                <c:pt idx="1">
                  <c:v>9</c:v>
                </c:pt>
                <c:pt idx="2">
                  <c:v>11</c:v>
                </c:pt>
                <c:pt idx="3">
                  <c:v>1</c:v>
                </c:pt>
                <c:pt idx="4">
                  <c:v>1</c:v>
                </c:pt>
              </c:numCache>
            </c:numRef>
          </c:val>
        </c:ser>
        <c:dLbls>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2000" b="0" i="0" u="none" strike="noStrike" kern="1200" cap="none" spc="0" normalizeH="0" baseline="0">
                <a:solidFill>
                  <a:schemeClr val="tx1">
                    <a:lumMod val="65000"/>
                    <a:lumOff val="35000"/>
                  </a:schemeClr>
                </a:solidFill>
                <a:latin typeface="+mj-lt"/>
                <a:ea typeface="+mj-ea"/>
                <a:cs typeface="+mj-cs"/>
              </a:defRPr>
            </a:pPr>
            <a:r>
              <a:rPr lang="zh-CN" altLang="en-US"/>
              <a:t>国内升学学校前</a:t>
            </a:r>
            <a:r>
              <a:rPr lang="en-US" altLang="zh-CN"/>
              <a:t>5</a:t>
            </a:r>
            <a:r>
              <a:rPr lang="zh-CN" altLang="en-US"/>
              <a:t>位统计表</a:t>
            </a:r>
            <a:endParaRPr lang="zh-CN" altLang="en-US"/>
          </a:p>
        </c:rich>
      </c:tx>
      <c:layout>
        <c:manualLayout>
          <c:xMode val="edge"/>
          <c:yMode val="edge"/>
          <c:x val="0.208481678172121"/>
          <c:y val="0.0206398348813209"/>
        </c:manualLayout>
      </c:layout>
      <c:overlay val="0"/>
      <c:spPr>
        <a:noFill/>
        <a:ln>
          <a:noFill/>
        </a:ln>
        <a:effectLst/>
      </c:spPr>
    </c:title>
    <c:autoTitleDeleted val="0"/>
    <c:plotArea>
      <c:layout/>
      <c:barChart>
        <c:barDir val="col"/>
        <c:grouping val="clustered"/>
        <c:varyColors val="0"/>
        <c:ser>
          <c:idx val="0"/>
          <c:order val="0"/>
          <c:tx>
            <c:strRef>
              <c:f>Sheet1!$B$1</c:f>
              <c:strCache>
                <c:ptCount val="1"/>
                <c:pt idx="0">
                  <c:v>系列 1</c:v>
                </c:pt>
              </c:strCache>
            </c:strRef>
          </c:tx>
          <c:spPr>
            <a:solidFill>
              <a:schemeClr val="accent1"/>
            </a:solidFill>
            <a:ln>
              <a:noFill/>
            </a:ln>
            <a:effectLst/>
          </c:spPr>
          <c:invertIfNegative val="0"/>
          <c:dLbls>
            <c:delete val="1"/>
          </c:dLbls>
          <c:cat>
            <c:strRef>
              <c:f>Sheet1!$A$2:$A$6</c:f>
              <c:strCache>
                <c:ptCount val="5"/>
                <c:pt idx="0">
                  <c:v>山东农业大学</c:v>
                </c:pt>
                <c:pt idx="1">
                  <c:v>大连理工大学</c:v>
                </c:pt>
                <c:pt idx="2">
                  <c:v>北京化工大学</c:v>
                </c:pt>
                <c:pt idx="3">
                  <c:v>南京工业大学</c:v>
                </c:pt>
                <c:pt idx="4">
                  <c:v>南京林业大学</c:v>
                </c:pt>
              </c:strCache>
            </c:strRef>
          </c:cat>
          <c:val>
            <c:numRef>
              <c:f>Sheet1!$B$2:$B$6</c:f>
              <c:numCache>
                <c:formatCode>0.00%</c:formatCode>
                <c:ptCount val="5"/>
                <c:pt idx="0">
                  <c:v>0.2222</c:v>
                </c:pt>
                <c:pt idx="1">
                  <c:v>0.0278</c:v>
                </c:pt>
                <c:pt idx="2">
                  <c:v>0.0833</c:v>
                </c:pt>
                <c:pt idx="3">
                  <c:v>0.0556</c:v>
                </c:pt>
                <c:pt idx="4">
                  <c:v>0.0556</c:v>
                </c:pt>
              </c:numCache>
            </c:numRef>
          </c:val>
        </c:ser>
        <c:dLbls>
          <c:showLegendKey val="0"/>
          <c:showVal val="0"/>
          <c:showCatName val="0"/>
          <c:showSerName val="0"/>
          <c:showPercent val="0"/>
          <c:showBubbleSize val="0"/>
        </c:dLbls>
        <c:gapWidth val="199"/>
        <c:axId val="-220460720"/>
        <c:axId val="-220455280"/>
      </c:barChart>
      <c:catAx>
        <c:axId val="-220460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cap="none" spc="0" normalizeH="0" baseline="0">
                <a:solidFill>
                  <a:schemeClr val="tx1">
                    <a:lumMod val="65000"/>
                    <a:lumOff val="35000"/>
                  </a:schemeClr>
                </a:solidFill>
                <a:latin typeface="+mn-lt"/>
                <a:ea typeface="+mn-ea"/>
                <a:cs typeface="+mn-cs"/>
              </a:defRPr>
            </a:pPr>
          </a:p>
        </c:txPr>
        <c:crossAx val="-220455280"/>
        <c:crosses val="autoZero"/>
        <c:auto val="1"/>
        <c:lblAlgn val="ctr"/>
        <c:lblOffset val="100"/>
        <c:noMultiLvlLbl val="0"/>
      </c:catAx>
      <c:valAx>
        <c:axId val="-22045528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20460720"/>
        <c:crosses val="autoZero"/>
        <c:crossBetween val="between"/>
      </c:valAx>
      <c:dTable>
        <c:showHorzBorder val="1"/>
        <c:showVertBorder val="1"/>
        <c:showOutline val="1"/>
        <c:showKeys val="0"/>
        <c:spPr>
          <a:noFill/>
          <a:ln w="9525">
            <a:solidFill>
              <a:schemeClr val="tx1">
                <a:lumMod val="15000"/>
                <a:lumOff val="85000"/>
              </a:schemeClr>
            </a:solid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p>
      </c:txPr>
    </c:title>
    <c:autoTitleDeleted val="0"/>
    <c:plotArea>
      <c:layout>
        <c:manualLayout>
          <c:layoutTarget val="inner"/>
          <c:xMode val="edge"/>
          <c:yMode val="edge"/>
          <c:x val="0.0554698162729659"/>
          <c:y val="0.154252509244585"/>
          <c:w val="0.902863517060367"/>
          <c:h val="0.671879406516341"/>
        </c:manualLayout>
      </c:layout>
      <c:barChart>
        <c:barDir val="col"/>
        <c:grouping val="clustered"/>
        <c:varyColors val="0"/>
        <c:ser>
          <c:idx val="0"/>
          <c:order val="0"/>
          <c:tx>
            <c:strRef>
              <c:f>Sheet2!$B$1</c:f>
              <c:strCache>
                <c:ptCount val="1"/>
                <c:pt idx="0">
                  <c:v>人数</c:v>
                </c:pt>
              </c:strCache>
            </c:strRef>
          </c:tx>
          <c:spPr>
            <a:solidFill>
              <a:schemeClr val="accent1"/>
            </a:solidFill>
            <a:ln>
              <a:noFill/>
            </a:ln>
            <a:effectLst/>
          </c:spPr>
          <c:invertIfNegative val="0"/>
          <c:dLbls>
            <c:delete val="1"/>
          </c:dLbls>
          <c:cat>
            <c:strRef>
              <c:f>Sheet2!$A$2:$A$8</c:f>
              <c:strCache>
                <c:ptCount val="7"/>
                <c:pt idx="0">
                  <c:v>淄博</c:v>
                </c:pt>
                <c:pt idx="1">
                  <c:v>潍坊</c:v>
                </c:pt>
                <c:pt idx="2">
                  <c:v>泰安</c:v>
                </c:pt>
                <c:pt idx="3">
                  <c:v>青岛</c:v>
                </c:pt>
                <c:pt idx="4">
                  <c:v>济南</c:v>
                </c:pt>
                <c:pt idx="5">
                  <c:v>省内其他</c:v>
                </c:pt>
                <c:pt idx="6">
                  <c:v>省外</c:v>
                </c:pt>
              </c:strCache>
            </c:strRef>
          </c:cat>
          <c:val>
            <c:numRef>
              <c:f>Sheet2!$B$2:$B$8</c:f>
              <c:numCache>
                <c:formatCode>General</c:formatCode>
                <c:ptCount val="7"/>
                <c:pt idx="0">
                  <c:v>4</c:v>
                </c:pt>
                <c:pt idx="1">
                  <c:v>5</c:v>
                </c:pt>
                <c:pt idx="2">
                  <c:v>16</c:v>
                </c:pt>
                <c:pt idx="3">
                  <c:v>3</c:v>
                </c:pt>
                <c:pt idx="4">
                  <c:v>7</c:v>
                </c:pt>
                <c:pt idx="5">
                  <c:v>7</c:v>
                </c:pt>
                <c:pt idx="6">
                  <c:v>34</c:v>
                </c:pt>
              </c:numCache>
            </c:numRef>
          </c:val>
        </c:ser>
        <c:dLbls>
          <c:showLegendKey val="0"/>
          <c:showVal val="0"/>
          <c:showCatName val="0"/>
          <c:showSerName val="0"/>
          <c:showPercent val="0"/>
          <c:showBubbleSize val="0"/>
        </c:dLbls>
        <c:gapWidth val="219"/>
        <c:overlap val="-27"/>
        <c:axId val="-159715056"/>
        <c:axId val="-159715600"/>
      </c:barChart>
      <c:catAx>
        <c:axId val="-159715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59715600"/>
        <c:crosses val="autoZero"/>
        <c:auto val="1"/>
        <c:lblAlgn val="ctr"/>
        <c:lblOffset val="100"/>
        <c:noMultiLvlLbl val="0"/>
      </c:catAx>
      <c:valAx>
        <c:axId val="-159715600"/>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59715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zh-CN"/>
      </a:pPr>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a:t>人数</a:t>
            </a:r>
            <a:endParaRPr lang="zh-CN" altLang="en-US"/>
          </a:p>
        </c:rich>
      </c:tx>
      <c:layout>
        <c:manualLayout>
          <c:xMode val="edge"/>
          <c:yMode val="edge"/>
          <c:x val="0.425925925925926"/>
          <c:y val="0.0198412698412698"/>
        </c:manualLayout>
      </c:layout>
      <c:overlay val="0"/>
      <c:spPr>
        <a:noFill/>
        <a:ln>
          <a:noFill/>
        </a:ln>
        <a:effectLst/>
      </c:spPr>
    </c:title>
    <c:autoTitleDeleted val="0"/>
    <c:plotArea>
      <c:layout/>
      <c:barChart>
        <c:barDir val="col"/>
        <c:grouping val="clustered"/>
        <c:varyColors val="0"/>
        <c:ser>
          <c:idx val="0"/>
          <c:order val="0"/>
          <c:tx>
            <c:strRef>
              <c:f>Sheet1!$B$1</c:f>
              <c:strCache>
                <c:ptCount val="1"/>
                <c:pt idx="0">
                  <c:v>系列 1</c:v>
                </c:pt>
              </c:strCache>
            </c:strRef>
          </c:tx>
          <c:spPr>
            <a:solidFill>
              <a:schemeClr val="accent2"/>
            </a:solidFill>
            <a:ln>
              <a:noFill/>
            </a:ln>
            <a:effectLst/>
          </c:spPr>
          <c:invertIfNegative val="0"/>
          <c:dLbls>
            <c:delete val="1"/>
          </c:dLbls>
          <c:cat>
            <c:strRef>
              <c:f>Sheet1!$A$2:$A$9</c:f>
              <c:strCache>
                <c:ptCount val="6"/>
                <c:pt idx="0">
                  <c:v>淄博</c:v>
                </c:pt>
                <c:pt idx="1">
                  <c:v>泰安</c:v>
                </c:pt>
                <c:pt idx="2">
                  <c:v>济南</c:v>
                </c:pt>
                <c:pt idx="3">
                  <c:v>青岛</c:v>
                </c:pt>
                <c:pt idx="4">
                  <c:v>省外</c:v>
                </c:pt>
                <c:pt idx="5">
                  <c:v>其他</c:v>
                </c:pt>
              </c:strCache>
            </c:strRef>
          </c:cat>
          <c:val>
            <c:numRef>
              <c:f>Sheet1!$B$2:$B$9</c:f>
              <c:numCache>
                <c:formatCode>General</c:formatCode>
                <c:ptCount val="8"/>
                <c:pt idx="0">
                  <c:v>5</c:v>
                </c:pt>
                <c:pt idx="1">
                  <c:v>3</c:v>
                </c:pt>
                <c:pt idx="2">
                  <c:v>2</c:v>
                </c:pt>
                <c:pt idx="3">
                  <c:v>2</c:v>
                </c:pt>
                <c:pt idx="4">
                  <c:v>16</c:v>
                </c:pt>
                <c:pt idx="5">
                  <c:v>23</c:v>
                </c:pt>
              </c:numCache>
            </c:numRef>
          </c:val>
        </c:ser>
        <c:ser>
          <c:idx val="1"/>
          <c:order val="1"/>
          <c:tx>
            <c:strRef>
              <c:f>Sheet1!$C$1</c:f>
              <c:strCache>
                <c:ptCount val="1"/>
                <c:pt idx="0">
                  <c:v>列1</c:v>
                </c:pt>
              </c:strCache>
            </c:strRef>
          </c:tx>
          <c:spPr>
            <a:solidFill>
              <a:schemeClr val="accent4"/>
            </a:solidFill>
            <a:ln>
              <a:noFill/>
            </a:ln>
            <a:effectLst/>
          </c:spPr>
          <c:invertIfNegative val="0"/>
          <c:dLbls>
            <c:delete val="1"/>
          </c:dLbls>
          <c:cat>
            <c:strRef>
              <c:f>Sheet1!$A$2:$A$9</c:f>
              <c:strCache>
                <c:ptCount val="6"/>
                <c:pt idx="0">
                  <c:v>淄博</c:v>
                </c:pt>
                <c:pt idx="1">
                  <c:v>泰安</c:v>
                </c:pt>
                <c:pt idx="2">
                  <c:v>济南</c:v>
                </c:pt>
                <c:pt idx="3">
                  <c:v>青岛</c:v>
                </c:pt>
                <c:pt idx="4">
                  <c:v>省外</c:v>
                </c:pt>
                <c:pt idx="5">
                  <c:v>其他</c:v>
                </c:pt>
              </c:strCache>
            </c:strRef>
          </c:cat>
          <c:val>
            <c:numRef>
              <c:f>Sheet1!$C$2:$C$9</c:f>
              <c:numCache>
                <c:formatCode>General</c:formatCode>
                <c:ptCount val="8"/>
              </c:numCache>
            </c:numRef>
          </c:val>
        </c:ser>
        <c:ser>
          <c:idx val="2"/>
          <c:order val="2"/>
          <c:tx>
            <c:strRef>
              <c:f>Sheet1!$D$1</c:f>
              <c:strCache>
                <c:ptCount val="1"/>
                <c:pt idx="0">
                  <c:v>列2</c:v>
                </c:pt>
              </c:strCache>
            </c:strRef>
          </c:tx>
          <c:spPr>
            <a:solidFill>
              <a:schemeClr val="accent6"/>
            </a:solidFill>
            <a:ln>
              <a:noFill/>
            </a:ln>
            <a:effectLst/>
          </c:spPr>
          <c:invertIfNegative val="0"/>
          <c:dLbls>
            <c:delete val="1"/>
          </c:dLbls>
          <c:cat>
            <c:strRef>
              <c:f>Sheet1!$A$2:$A$9</c:f>
              <c:strCache>
                <c:ptCount val="6"/>
                <c:pt idx="0">
                  <c:v>淄博</c:v>
                </c:pt>
                <c:pt idx="1">
                  <c:v>泰安</c:v>
                </c:pt>
                <c:pt idx="2">
                  <c:v>济南</c:v>
                </c:pt>
                <c:pt idx="3">
                  <c:v>青岛</c:v>
                </c:pt>
                <c:pt idx="4">
                  <c:v>省外</c:v>
                </c:pt>
                <c:pt idx="5">
                  <c:v>其他</c:v>
                </c:pt>
              </c:strCache>
            </c:strRef>
          </c:cat>
          <c:val>
            <c:numRef>
              <c:f>Sheet1!$D$2:$D$9</c:f>
              <c:numCache>
                <c:formatCode>General</c:formatCode>
                <c:ptCount val="8"/>
              </c:numCache>
            </c:numRef>
          </c:val>
        </c:ser>
        <c:dLbls>
          <c:showLegendKey val="0"/>
          <c:showVal val="0"/>
          <c:showCatName val="0"/>
          <c:showSerName val="0"/>
          <c:showPercent val="0"/>
          <c:showBubbleSize val="0"/>
        </c:dLbls>
        <c:gapWidth val="219"/>
        <c:overlap val="-27"/>
        <c:axId val="-159714512"/>
        <c:axId val="-159713424"/>
      </c:barChart>
      <c:catAx>
        <c:axId val="-159714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59713424"/>
        <c:crosses val="autoZero"/>
        <c:auto val="1"/>
        <c:lblAlgn val="ctr"/>
        <c:lblOffset val="100"/>
        <c:noMultiLvlLbl val="0"/>
      </c:catAx>
      <c:valAx>
        <c:axId val="-159713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59714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effectLst/>
          </c:spPr>
          <c:explosion val="0"/>
          <c:dPt>
            <c:idx val="0"/>
            <c:bubble3D val="0"/>
            <c:spPr>
              <a:solidFill>
                <a:srgbClr val="5B9BD5"/>
              </a:solidFill>
              <a:ln w="19050">
                <a:solidFill>
                  <a:srgbClr val="FFFFFF"/>
                </a:solidFill>
              </a:ln>
              <a:effectLst/>
            </c:spPr>
          </c:dPt>
          <c:dPt>
            <c:idx val="1"/>
            <c:bubble3D val="0"/>
            <c:spPr>
              <a:solidFill>
                <a:srgbClr val="ED7D31"/>
              </a:solidFill>
              <a:ln w="19050">
                <a:solidFill>
                  <a:srgbClr val="FFFFFF"/>
                </a:solidFill>
              </a:ln>
              <a:effectLst/>
            </c:spPr>
          </c:dPt>
          <c:dPt>
            <c:idx val="2"/>
            <c:bubble3D val="0"/>
            <c:spPr>
              <a:solidFill>
                <a:srgbClr val="A5A5A5"/>
              </a:solidFill>
              <a:ln w="19050">
                <a:solidFill>
                  <a:srgbClr val="FFFFFF"/>
                </a:solidFill>
              </a:ln>
              <a:effectLst/>
            </c:spPr>
          </c:dPt>
          <c:dPt>
            <c:idx val="3"/>
            <c:bubble3D val="0"/>
            <c:spPr>
              <a:solidFill>
                <a:srgbClr val="FFC000"/>
              </a:solidFill>
              <a:ln w="19050">
                <a:solidFill>
                  <a:srgbClr val="FFFFFF"/>
                </a:solidFill>
              </a:ln>
              <a:effectLst/>
            </c:spPr>
          </c:dPt>
          <c:dPt>
            <c:idx val="4"/>
            <c:bubble3D val="0"/>
            <c:spPr>
              <a:solidFill>
                <a:srgbClr val="4472C4"/>
              </a:solidFill>
              <a:ln w="19050">
                <a:solidFill>
                  <a:srgbClr val="FFFFFF"/>
                </a:solidFill>
              </a:ln>
              <a:effectLst/>
            </c:spPr>
          </c:dPt>
          <c:dLbls>
            <c:delete val="1"/>
          </c:dLbls>
          <c:cat>
            <c:strRef>
              <c:f>'[2017-11-11 工作簿1-作图-叶保华.xlsx]Sheet1'!$B$9:$B$13</c:f>
              <c:strCache>
                <c:ptCount val="5"/>
                <c:pt idx="0">
                  <c:v>教授</c:v>
                </c:pt>
                <c:pt idx="1">
                  <c:v>副教授</c:v>
                </c:pt>
                <c:pt idx="2">
                  <c:v>讲师</c:v>
                </c:pt>
                <c:pt idx="3">
                  <c:v>高级实验师</c:v>
                </c:pt>
                <c:pt idx="4">
                  <c:v>实验师</c:v>
                </c:pt>
              </c:strCache>
            </c:strRef>
          </c:cat>
          <c:val>
            <c:numRef>
              <c:f>'[2017-11-11 工作簿1-作图-叶保华.xlsx]Sheet1'!$C$9:$C$13</c:f>
              <c:numCache>
                <c:formatCode>General</c:formatCode>
                <c:ptCount val="5"/>
                <c:pt idx="0">
                  <c:v>12</c:v>
                </c:pt>
                <c:pt idx="1">
                  <c:v>7</c:v>
                </c:pt>
                <c:pt idx="2">
                  <c:v>2</c:v>
                </c:pt>
                <c:pt idx="3">
                  <c:v>1</c:v>
                </c:pt>
                <c:pt idx="4">
                  <c:v>1</c:v>
                </c:pt>
              </c:numCache>
            </c:numRef>
          </c:val>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legendEntry>
        <c:idx val="0"/>
        <c:txPr>
          <a:bodyPr rot="0" spcFirstLastPara="0" vertOverflow="ellipsis" horzOverflow="overflow" vert="horz" wrap="square" anchor="ctr" anchorCtr="1"/>
          <a:lstStyle/>
          <a:p>
            <a:pPr>
              <a:defRPr lang="zh-CN" sz="900" b="1" i="0" u="none" strike="noStrike" kern="1200" baseline="0">
                <a:solidFill>
                  <a:srgbClr val="595959">
                    <a:lumMod val="65000"/>
                    <a:lumOff val="35000"/>
                  </a:srgbClr>
                </a:solidFill>
                <a:latin typeface="+mn-lt"/>
                <a:ea typeface="+mn-ea"/>
                <a:cs typeface="+mn-cs"/>
              </a:defRPr>
            </a:pPr>
          </a:p>
        </c:txPr>
      </c:legendEntry>
      <c:legendEntry>
        <c:idx val="1"/>
        <c:txPr>
          <a:bodyPr rot="0" spcFirstLastPara="0" vertOverflow="ellipsis" horzOverflow="overflow" vert="horz" wrap="square" anchor="ctr" anchorCtr="1"/>
          <a:lstStyle/>
          <a:p>
            <a:pPr>
              <a:defRPr lang="zh-CN" sz="900" b="1" i="0" u="none" strike="noStrike" kern="1200" baseline="0">
                <a:solidFill>
                  <a:srgbClr val="595959">
                    <a:lumMod val="65000"/>
                    <a:lumOff val="35000"/>
                  </a:srgbClr>
                </a:solidFill>
                <a:latin typeface="+mn-lt"/>
                <a:ea typeface="+mn-ea"/>
                <a:cs typeface="+mn-cs"/>
              </a:defRPr>
            </a:pPr>
          </a:p>
        </c:txPr>
      </c:legendEntry>
      <c:legendEntry>
        <c:idx val="2"/>
        <c:txPr>
          <a:bodyPr rot="0" spcFirstLastPara="0" vertOverflow="ellipsis" horzOverflow="overflow" vert="horz" wrap="square" anchor="ctr" anchorCtr="1"/>
          <a:lstStyle/>
          <a:p>
            <a:pPr>
              <a:defRPr lang="zh-CN" sz="900" b="1" i="0" u="none" strike="noStrike" kern="1200" baseline="0">
                <a:solidFill>
                  <a:srgbClr val="595959">
                    <a:lumMod val="65000"/>
                    <a:lumOff val="35000"/>
                  </a:srgbClr>
                </a:solidFill>
                <a:latin typeface="+mn-lt"/>
                <a:ea typeface="+mn-ea"/>
                <a:cs typeface="+mn-cs"/>
              </a:defRPr>
            </a:pPr>
          </a:p>
        </c:txPr>
      </c:legendEntry>
      <c:legendEntry>
        <c:idx val="3"/>
        <c:txPr>
          <a:bodyPr rot="0" spcFirstLastPara="0" vertOverflow="ellipsis" horzOverflow="overflow" vert="horz" wrap="square" anchor="ctr" anchorCtr="1"/>
          <a:lstStyle/>
          <a:p>
            <a:pPr>
              <a:defRPr lang="zh-CN" sz="900" b="1" i="0" u="none" strike="noStrike" kern="1200" baseline="0">
                <a:solidFill>
                  <a:srgbClr val="595959">
                    <a:lumMod val="65000"/>
                    <a:lumOff val="35000"/>
                  </a:srgbClr>
                </a:solidFill>
                <a:latin typeface="+mn-lt"/>
                <a:ea typeface="+mn-ea"/>
                <a:cs typeface="+mn-cs"/>
              </a:defRPr>
            </a:pPr>
          </a:p>
        </c:txPr>
      </c:legendEntry>
      <c:legendEntry>
        <c:idx val="4"/>
        <c:txPr>
          <a:bodyPr rot="0" spcFirstLastPara="0" vertOverflow="ellipsis" horzOverflow="overflow" vert="horz" wrap="square" anchor="ctr" anchorCtr="1"/>
          <a:lstStyle/>
          <a:p>
            <a:pPr>
              <a:defRPr lang="zh-CN" sz="900" b="1" i="0" u="none" strike="noStrike" kern="1200" baseline="0">
                <a:solidFill>
                  <a:srgbClr val="595959">
                    <a:lumMod val="65000"/>
                    <a:lumOff val="35000"/>
                  </a:srgbClr>
                </a:solidFill>
                <a:latin typeface="+mn-lt"/>
                <a:ea typeface="+mn-ea"/>
                <a:cs typeface="+mn-cs"/>
              </a:defRPr>
            </a:pPr>
          </a:p>
        </c:txPr>
      </c:legendEntry>
      <c:layout/>
      <c:overlay val="0"/>
      <c:spPr>
        <a:noFill/>
        <a:ln>
          <a:noFill/>
        </a:ln>
        <a:effectLst/>
      </c:spPr>
      <c:txPr>
        <a:bodyPr rot="0" spcFirstLastPara="0" vertOverflow="ellipsis" horzOverflow="overflow" vert="horz" wrap="square" anchor="ctr" anchorCtr="1"/>
        <a:lstStyle/>
        <a:p>
          <a:pPr>
            <a:defRPr lang="zh-CN" sz="900" b="1" i="0" u="none" strike="noStrike" kern="1200" baseline="0">
              <a:solidFill>
                <a:srgbClr val="595959">
                  <a:lumMod val="65000"/>
                  <a:lumOff val="35000"/>
                </a:srgbClr>
              </a:solidFill>
              <a:latin typeface="+mn-lt"/>
              <a:ea typeface="+mn-ea"/>
              <a:cs typeface="+mn-cs"/>
            </a:defRPr>
          </a:pPr>
        </a:p>
      </c:txPr>
    </c:legend>
    <c:plotVisOnly val="1"/>
    <c:dispBlanksAs val="zero"/>
    <c:showDLblsOverMax val="0"/>
  </c:chart>
  <c:spPr>
    <a:solidFill>
      <a:srgbClr val="FFFFFF"/>
    </a:solidFill>
    <a:ln w="9525" cap="flat" cmpd="sng" algn="ctr">
      <a:solidFill>
        <a:srgbClr val="D9D9D9">
          <a:lumMod val="15000"/>
          <a:lumOff val="85000"/>
        </a:srgbClr>
      </a:solidFill>
      <a:prstDash val="solid"/>
      <a:round/>
    </a:ln>
    <a:effectLst/>
  </c:spPr>
  <c:txPr>
    <a:bodyPr rot="0" spcFirstLastPara="0" vertOverflow="ellipsis" horzOverflow="overflow" vert="horz" wrap="square" anchor="ctr" anchorCtr="1"/>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lang="zh-CN" sz="1400" b="0" i="0" u="none" strike="noStrike" kern="1200" spc="0" baseline="0">
              <a:solidFill>
                <a:srgbClr val="595959">
                  <a:lumMod val="65000"/>
                  <a:lumOff val="35000"/>
                </a:srgbClr>
              </a:solidFill>
              <a:latin typeface="+mn-lt"/>
              <a:ea typeface="+mn-ea"/>
              <a:cs typeface="+mn-cs"/>
            </a:defRPr>
          </a:pPr>
        </a:p>
      </c:txPr>
    </c:title>
    <c:autoTitleDeleted val="0"/>
    <c:plotArea>
      <c:layout/>
      <c:barChart>
        <c:barDir val="col"/>
        <c:grouping val="clustered"/>
        <c:varyColors val="0"/>
        <c:ser>
          <c:idx val="0"/>
          <c:order val="0"/>
          <c:tx>
            <c:strRef>
              <c:f>'[动物科技学院(1).xlsx]Sheet12'!$E$3</c:f>
              <c:strCache>
                <c:ptCount val="1"/>
                <c:pt idx="0">
                  <c:v>比例</c:v>
                </c:pt>
              </c:strCache>
            </c:strRef>
          </c:tx>
          <c:spPr>
            <a:solidFill>
              <a:srgbClr val="4F81BD"/>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rgbClr val="404040">
                        <a:lumMod val="75000"/>
                        <a:lumOff val="25000"/>
                      </a:srgb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rgbClr val="A6A6A6">
                          <a:lumMod val="35000"/>
                          <a:lumOff val="65000"/>
                        </a:srgbClr>
                      </a:solidFill>
                      <a:round/>
                    </a:ln>
                    <a:effectLst/>
                  </c:spPr>
                </c15:leaderLines>
              </c:ext>
            </c:extLst>
          </c:dLbls>
          <c:cat>
            <c:strRef>
              <c:f>'[动物科技学院(1).xlsx]Sheet12'!$C$4:$C$6</c:f>
              <c:strCache>
                <c:ptCount val="3"/>
                <c:pt idx="0">
                  <c:v>胶州市</c:v>
                </c:pt>
                <c:pt idx="1">
                  <c:v>泰安市</c:v>
                </c:pt>
                <c:pt idx="2">
                  <c:v>外省</c:v>
                </c:pt>
              </c:strCache>
            </c:strRef>
          </c:cat>
          <c:val>
            <c:numRef>
              <c:f>'[动物科技学院(1).xlsx]Sheet12'!$E$4:$E$6</c:f>
              <c:numCache>
                <c:formatCode>0.00%</c:formatCode>
                <c:ptCount val="3"/>
                <c:pt idx="0">
                  <c:v>0.0625</c:v>
                </c:pt>
                <c:pt idx="1">
                  <c:v>0.3125</c:v>
                </c:pt>
                <c:pt idx="2">
                  <c:v>0.625</c:v>
                </c:pt>
              </c:numCache>
            </c:numRef>
          </c:val>
        </c:ser>
        <c:dLbls>
          <c:showLegendKey val="0"/>
          <c:showVal val="1"/>
          <c:showCatName val="0"/>
          <c:showSerName val="0"/>
          <c:showPercent val="0"/>
          <c:showBubbleSize val="0"/>
        </c:dLbls>
        <c:gapWidth val="219"/>
        <c:overlap val="-27"/>
        <c:axId val="-220453104"/>
        <c:axId val="-220450928"/>
      </c:barChart>
      <c:catAx>
        <c:axId val="-220453104"/>
        <c:scaling>
          <c:orientation val="minMax"/>
        </c:scaling>
        <c:delete val="0"/>
        <c:axPos val="b"/>
        <c:numFmt formatCode="General" sourceLinked="0"/>
        <c:majorTickMark val="none"/>
        <c:minorTickMark val="none"/>
        <c:tickLblPos val="nextTo"/>
        <c:spPr>
          <a:noFill/>
          <a:ln w="9525" cap="flat" cmpd="sng" algn="ctr">
            <a:solidFill>
              <a:srgbClr val="D9D9D9">
                <a:lumMod val="15000"/>
                <a:lumOff val="85000"/>
              </a:srgbClr>
            </a:solidFill>
            <a:round/>
          </a:ln>
          <a:effectLst/>
        </c:spPr>
        <c:txPr>
          <a:bodyPr rot="-60000000" spcFirstLastPara="1"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p>
        </c:txPr>
        <c:crossAx val="-220450928"/>
        <c:crosses val="autoZero"/>
        <c:auto val="1"/>
        <c:lblAlgn val="ctr"/>
        <c:lblOffset val="100"/>
        <c:noMultiLvlLbl val="0"/>
      </c:catAx>
      <c:valAx>
        <c:axId val="-220450928"/>
        <c:scaling>
          <c:orientation val="minMax"/>
        </c:scaling>
        <c:delete val="0"/>
        <c:axPos val="l"/>
        <c:majorGridlines>
          <c:spPr>
            <a:ln w="9525" cap="flat" cmpd="sng" algn="ctr">
              <a:solidFill>
                <a:srgbClr val="D9D9D9">
                  <a:lumMod val="15000"/>
                  <a:lumOff val="85000"/>
                </a:srgb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rgbClr val="595959">
                    <a:lumMod val="65000"/>
                    <a:lumOff val="35000"/>
                  </a:srgbClr>
                </a:solidFill>
                <a:latin typeface="+mn-lt"/>
                <a:ea typeface="+mn-ea"/>
                <a:cs typeface="+mn-cs"/>
              </a:defRPr>
            </a:pPr>
          </a:p>
        </c:txPr>
        <c:crossAx val="-220453104"/>
        <c:crosses val="autoZero"/>
        <c:crossBetween val="between"/>
      </c:valAx>
      <c:spPr>
        <a:noFill/>
        <a:ln>
          <a:noFill/>
        </a:ln>
        <a:effectLst/>
      </c:spPr>
    </c:plotArea>
    <c:plotVisOnly val="1"/>
    <c:dispBlanksAs val="gap"/>
    <c:showDLblsOverMax val="0"/>
  </c:chart>
  <c:spPr>
    <a:solidFill>
      <a:srgbClr val="FFFFFF"/>
    </a:solidFill>
    <a:ln w="9525" cap="flat" cmpd="sng" algn="ctr">
      <a:solidFill>
        <a:srgbClr val="D9D9D9">
          <a:lumMod val="15000"/>
          <a:lumOff val="85000"/>
        </a:srgbClr>
      </a:solidFill>
      <a:round/>
    </a:ln>
    <a:effectLst/>
  </c:spPr>
  <c:txPr>
    <a:bodyPr/>
    <a:lstStyle/>
    <a:p>
      <a:pPr>
        <a:defRPr lang="zh-CN"/>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xPr>
        <a:bodyPr rot="0" spcFirstLastPara="0" vertOverflow="ellipsis" vert="horz" wrap="square" anchor="ctr" anchorCtr="1"/>
        <a:lstStyle/>
        <a:p>
          <a:pPr>
            <a:defRPr lang="x-none" sz="1800" b="1" i="0" u="none" strike="noStrike" kern="1200" baseline="0">
              <a:solidFill>
                <a:schemeClr val="tx1"/>
              </a:solidFill>
              <a:latin typeface="+mn-lt"/>
              <a:ea typeface="+mn-ea"/>
              <a:cs typeface="+mn-cs"/>
            </a:defRPr>
          </a:pPr>
        </a:p>
      </c:txPr>
    </c:title>
    <c:autoTitleDeleted val="0"/>
    <c:plotArea>
      <c:layout/>
      <c:pieChart>
        <c:varyColors val="1"/>
        <c:ser>
          <c:idx val="0"/>
          <c:order val="0"/>
          <c:tx>
            <c:strRef>
              <c:f>Sheet1!$B$1</c:f>
              <c:strCache>
                <c:ptCount val="1"/>
                <c:pt idx="0">
                  <c:v>国际经济与贸易专业</c:v>
                </c:pt>
              </c:strCache>
            </c:strRef>
          </c:tx>
          <c:explosion val="0"/>
          <c:dPt>
            <c:idx val="0"/>
            <c:bubble3D val="0"/>
          </c:dPt>
          <c:dPt>
            <c:idx val="1"/>
            <c:bubble3D val="0"/>
          </c:dPt>
          <c:dPt>
            <c:idx val="2"/>
            <c:bubble3D val="0"/>
          </c:dPt>
          <c:dPt>
            <c:idx val="3"/>
            <c:bubble3D val="0"/>
          </c:dPt>
          <c:dLbls>
            <c:dLbl>
              <c:idx val="0"/>
              <c:layout/>
              <c:tx>
                <c:rich>
                  <a:bodyPr rot="0" spcFirstLastPara="0" vertOverflow="ellipsis" vert="horz" wrap="square" lIns="38100" tIns="19050" rIns="38100" bIns="19050" anchor="ctr" anchorCtr="1"/>
                  <a:lstStyle/>
                  <a:p>
                    <a:pPr>
                      <a:defRPr lang="x-none" sz="1000" b="0" i="0" u="none" strike="noStrike" kern="1200" baseline="0">
                        <a:solidFill>
                          <a:schemeClr val="tx1"/>
                        </a:solidFill>
                        <a:latin typeface="+mn-lt"/>
                        <a:ea typeface="+mn-ea"/>
                        <a:cs typeface="+mn-cs"/>
                      </a:defRPr>
                    </a:pPr>
                    <a:r>
                      <a:rPr altLang="en-US"/>
                      <a:t>国外读研, 41</a:t>
                    </a:r>
                    <a:r>
                      <a:rPr lang="en-US" altLang="en-US"/>
                      <a:t>.4</a:t>
                    </a:r>
                    <a:r>
                      <a:rPr altLang="en-US"/>
                      <a:t>%</a:t>
                    </a:r>
                    <a:endParaRPr altLang="en-US"/>
                  </a:p>
                </c:rich>
              </c:tx>
              <c:dLblPos val="bestFit"/>
              <c:showLegendKey val="0"/>
              <c:showVal val="1"/>
              <c:showCatName val="1"/>
              <c:showSerName val="0"/>
              <c:showPercent val="0"/>
              <c:showBubbleSize val="0"/>
              <c:extLst>
                <c:ext xmlns:c15="http://schemas.microsoft.com/office/drawing/2012/chart" uri="{CE6537A1-D6FC-4f65-9D91-7224C49458BB}"/>
              </c:extLst>
            </c:dLbl>
            <c:dLbl>
              <c:idx val="1"/>
              <c:layout/>
              <c:tx>
                <c:rich>
                  <a:bodyPr rot="0" spcFirstLastPara="0" vertOverflow="ellipsis" vert="horz" wrap="square" lIns="38100" tIns="19050" rIns="38100" bIns="19050" anchor="ctr" anchorCtr="1"/>
                  <a:lstStyle/>
                  <a:p>
                    <a:pPr>
                      <a:defRPr lang="x-none" sz="1000" b="0" i="0" u="none" strike="noStrike" kern="1200" baseline="0">
                        <a:solidFill>
                          <a:schemeClr val="tx1"/>
                        </a:solidFill>
                        <a:latin typeface="+mn-lt"/>
                        <a:ea typeface="+mn-ea"/>
                        <a:cs typeface="+mn-cs"/>
                      </a:defRPr>
                    </a:pPr>
                    <a:r>
                      <a:rPr altLang="en-US"/>
                      <a:t>国内读研, 7</a:t>
                    </a:r>
                    <a:r>
                      <a:rPr lang="en-US" altLang="en-US"/>
                      <a:t>.1</a:t>
                    </a:r>
                    <a:r>
                      <a:rPr altLang="en-US"/>
                      <a:t>%</a:t>
                    </a:r>
                    <a:endParaRPr altLang="en-US"/>
                  </a:p>
                </c:rich>
              </c:tx>
              <c:dLblPos val="bestFit"/>
              <c:showLegendKey val="0"/>
              <c:showVal val="1"/>
              <c:showCatName val="1"/>
              <c:showSerName val="0"/>
              <c:showPercent val="0"/>
              <c:showBubbleSize val="0"/>
              <c:extLst>
                <c:ext xmlns:c15="http://schemas.microsoft.com/office/drawing/2012/chart" uri="{CE6537A1-D6FC-4f65-9D91-7224C49458BB}"/>
              </c:extLst>
            </c:dLbl>
            <c:dLbl>
              <c:idx val="2"/>
              <c:layout/>
              <c:tx>
                <c:rich>
                  <a:bodyPr rot="0" spcFirstLastPara="0" vertOverflow="ellipsis" vert="horz" wrap="square" lIns="38100" tIns="19050" rIns="38100" bIns="19050" anchor="ctr" anchorCtr="1"/>
                  <a:lstStyle/>
                  <a:p>
                    <a:pPr>
                      <a:defRPr lang="x-none" sz="1000" b="0" i="0" u="none" strike="noStrike" kern="1200" baseline="0">
                        <a:solidFill>
                          <a:schemeClr val="tx1"/>
                        </a:solidFill>
                        <a:latin typeface="+mn-lt"/>
                        <a:ea typeface="+mn-ea"/>
                        <a:cs typeface="+mn-cs"/>
                      </a:defRPr>
                    </a:pPr>
                    <a:r>
                      <a:rPr altLang="en-US"/>
                      <a:t>就业, 34</a:t>
                    </a:r>
                    <a:r>
                      <a:rPr lang="en-US" altLang="en-US"/>
                      <a:t>.4</a:t>
                    </a:r>
                    <a:r>
                      <a:rPr altLang="en-US"/>
                      <a:t>%</a:t>
                    </a:r>
                    <a:endParaRPr altLang="en-US"/>
                  </a:p>
                </c:rich>
              </c:tx>
              <c:dLblPos val="bestFit"/>
              <c:showLegendKey val="0"/>
              <c:showVal val="1"/>
              <c:showCatName val="1"/>
              <c:showSerName val="0"/>
              <c:showPercent val="0"/>
              <c:showBubbleSize val="0"/>
              <c:extLst>
                <c:ext xmlns:c15="http://schemas.microsoft.com/office/drawing/2012/chart" uri="{CE6537A1-D6FC-4f65-9D91-7224C49458BB}"/>
              </c:extLst>
            </c:dLbl>
            <c:dLbl>
              <c:idx val="3"/>
              <c:layout>
                <c:manualLayout>
                  <c:x val="0.0947570282038448"/>
                  <c:y val="0.166956324704016"/>
                </c:manualLayout>
              </c:layout>
              <c:tx>
                <c:rich>
                  <a:bodyPr rot="0" spcFirstLastPara="0" vertOverflow="ellipsis" vert="horz" wrap="square" lIns="38100" tIns="19050" rIns="38100" bIns="19050" anchor="ctr" anchorCtr="1"/>
                  <a:lstStyle/>
                  <a:p>
                    <a:pPr>
                      <a:defRPr lang="x-none" sz="1000" b="0" i="0" u="none" strike="noStrike" kern="1200" baseline="0">
                        <a:solidFill>
                          <a:schemeClr val="tx1"/>
                        </a:solidFill>
                        <a:latin typeface="+mn-lt"/>
                        <a:ea typeface="+mn-ea"/>
                        <a:cs typeface="+mn-cs"/>
                      </a:defRPr>
                    </a:pPr>
                    <a:r>
                      <a:rPr altLang="en-US"/>
                      <a:t>其他, 17</a:t>
                    </a:r>
                    <a:r>
                      <a:rPr lang="en-US" altLang="en-US"/>
                      <a:t>.1</a:t>
                    </a:r>
                    <a:r>
                      <a:rPr altLang="en-US"/>
                      <a:t>%</a:t>
                    </a:r>
                    <a:endParaRPr altLang="en-US"/>
                  </a:p>
                </c:rich>
              </c:tx>
              <c:dLblPos val="bestFit"/>
              <c:showLegendKey val="0"/>
              <c:showVal val="1"/>
              <c:showCatName val="1"/>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x-none" sz="1000" b="0" i="0" u="none" strike="noStrike" kern="1200" baseline="0">
                    <a:solidFill>
                      <a:schemeClr val="tx1"/>
                    </a:solidFill>
                    <a:latin typeface="+mn-lt"/>
                    <a:ea typeface="+mn-ea"/>
                    <a:cs typeface="+mn-cs"/>
                  </a:defRPr>
                </a:pPr>
              </a:p>
            </c:txPr>
            <c:dLblPos val="bestFit"/>
            <c:showLegendKey val="0"/>
            <c:showVal val="1"/>
            <c:showCatName val="1"/>
            <c:showSerName val="0"/>
            <c:showPercent val="0"/>
            <c:showBubbleSize val="0"/>
            <c:showLeaderLines val="1"/>
            <c:extLst>
              <c:ext xmlns:c15="http://schemas.microsoft.com/office/drawing/2012/chart" uri="{CE6537A1-D6FC-4f65-9D91-7224C49458BB}">
                <c15:layout/>
                <c15:showLeaderLines val="1"/>
                <c15:leaderLines/>
              </c:ext>
            </c:extLst>
          </c:dLbls>
          <c:cat>
            <c:strRef>
              <c:f>Sheet1!$A$2:$A$5</c:f>
              <c:strCache>
                <c:ptCount val="4"/>
                <c:pt idx="0">
                  <c:v>国外读研</c:v>
                </c:pt>
                <c:pt idx="1">
                  <c:v>国内读研</c:v>
                </c:pt>
                <c:pt idx="2">
                  <c:v>就业</c:v>
                </c:pt>
                <c:pt idx="3">
                  <c:v>其他</c:v>
                </c:pt>
              </c:strCache>
            </c:strRef>
          </c:cat>
          <c:val>
            <c:numRef>
              <c:f>Sheet1!$B$2:$B$5</c:f>
              <c:numCache>
                <c:formatCode>0%</c:formatCode>
                <c:ptCount val="4"/>
                <c:pt idx="0">
                  <c:v>0.414</c:v>
                </c:pt>
                <c:pt idx="1">
                  <c:v>0.071</c:v>
                </c:pt>
                <c:pt idx="2">
                  <c:v>0.344</c:v>
                </c:pt>
                <c:pt idx="3">
                  <c:v>0.171</c:v>
                </c:pt>
              </c:numCache>
            </c:numRef>
          </c:val>
        </c:ser>
        <c:dLbls>
          <c:showLegendKey val="0"/>
          <c:showVal val="1"/>
          <c:showCatName val="1"/>
          <c:showSerName val="0"/>
          <c:showPercent val="0"/>
          <c:showBubbleSize val="0"/>
          <c:showLeaderLines val="1"/>
        </c:dLbls>
        <c:firstSliceAng val="0"/>
      </c:pieChart>
    </c:plotArea>
    <c:legend>
      <c:legendPos val="r"/>
      <c:layout/>
      <c:overlay val="0"/>
      <c:txPr>
        <a:bodyPr rot="0" spcFirstLastPara="0" vertOverflow="ellipsis" vert="horz" wrap="square" anchor="ctr" anchorCtr="1"/>
        <a:lstStyle/>
        <a:p>
          <a:pPr>
            <a:defRPr lang="x-none" sz="1000" b="0" i="0" u="none" strike="noStrike" kern="1200" baseline="0">
              <a:solidFill>
                <a:schemeClr val="tx1"/>
              </a:solidFill>
              <a:latin typeface="+mn-lt"/>
              <a:ea typeface="+mn-ea"/>
              <a:cs typeface="+mn-cs"/>
            </a:defRPr>
          </a:pPr>
        </a:p>
      </c:txPr>
    </c:legend>
    <c:plotVisOnly val="1"/>
    <c:dispBlanksAs val="zero"/>
    <c:showDLblsOverMax val="0"/>
  </c:chart>
  <c:txPr>
    <a:bodyPr/>
    <a:lstStyle/>
    <a:p>
      <a:pPr>
        <a:defRPr lang="x-none"/>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xPr>
        <a:bodyPr rot="0" spcFirstLastPara="0" vertOverflow="ellipsis" vert="horz" wrap="square" anchor="ctr" anchorCtr="1"/>
        <a:lstStyle/>
        <a:p>
          <a:pPr>
            <a:defRPr lang="x-none" sz="1800" b="1" i="0" u="none" strike="noStrike" kern="1200" baseline="0">
              <a:solidFill>
                <a:schemeClr val="tx1"/>
              </a:solidFill>
              <a:latin typeface="+mn-lt"/>
              <a:ea typeface="+mn-ea"/>
              <a:cs typeface="+mn-cs"/>
            </a:defRPr>
          </a:pPr>
        </a:p>
      </c:txPr>
    </c:title>
    <c:autoTitleDeleted val="0"/>
    <c:plotArea>
      <c:layout/>
      <c:pieChart>
        <c:varyColors val="1"/>
        <c:ser>
          <c:idx val="0"/>
          <c:order val="0"/>
          <c:tx>
            <c:strRef>
              <c:f>Sheet1!$B$1</c:f>
              <c:strCache>
                <c:ptCount val="1"/>
                <c:pt idx="0">
                  <c:v>工商管理专业</c:v>
                </c:pt>
              </c:strCache>
            </c:strRef>
          </c:tx>
          <c:explosion val="0"/>
          <c:dPt>
            <c:idx val="0"/>
            <c:bubble3D val="0"/>
          </c:dPt>
          <c:dPt>
            <c:idx val="1"/>
            <c:bubble3D val="0"/>
          </c:dPt>
          <c:dPt>
            <c:idx val="2"/>
            <c:bubble3D val="0"/>
          </c:dPt>
          <c:dPt>
            <c:idx val="3"/>
            <c:bubble3D val="0"/>
          </c:dPt>
          <c:dLbls>
            <c:dLbl>
              <c:idx val="2"/>
              <c:layout/>
              <c:tx>
                <c:rich>
                  <a:bodyPr rot="0" spcFirstLastPara="0" vertOverflow="ellipsis" vert="horz" wrap="square" lIns="38100" tIns="19050" rIns="38100" bIns="19050" anchor="ctr" anchorCtr="1"/>
                  <a:lstStyle/>
                  <a:p>
                    <a:pPr>
                      <a:defRPr lang="x-none" sz="1000" b="0" i="0" u="none" strike="noStrike" kern="1200" baseline="0">
                        <a:solidFill>
                          <a:schemeClr val="tx1"/>
                        </a:solidFill>
                        <a:latin typeface="+mn-lt"/>
                        <a:ea typeface="+mn-ea"/>
                        <a:cs typeface="+mn-cs"/>
                      </a:defRPr>
                    </a:pPr>
                    <a:r>
                      <a:rPr altLang="en-US"/>
                      <a:t>就业, 5</a:t>
                    </a:r>
                    <a:r>
                      <a:rPr lang="en-US" altLang="en-US"/>
                      <a:t>7.1</a:t>
                    </a:r>
                    <a:r>
                      <a:rPr altLang="en-US"/>
                      <a:t>%</a:t>
                    </a:r>
                    <a:endParaRPr altLang="en-US"/>
                  </a:p>
                </c:rich>
              </c:tx>
              <c:dLblPos val="bestFit"/>
              <c:showLegendKey val="0"/>
              <c:showVal val="1"/>
              <c:showCatName val="1"/>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x-none" sz="1000" b="0" i="0" u="none" strike="noStrike" kern="1200" baseline="0">
                    <a:solidFill>
                      <a:schemeClr val="tx1"/>
                    </a:solidFill>
                    <a:latin typeface="+mn-lt"/>
                    <a:ea typeface="+mn-ea"/>
                    <a:cs typeface="+mn-cs"/>
                  </a:defRPr>
                </a:pPr>
              </a:p>
            </c:txPr>
            <c:dLblPos val="bestFit"/>
            <c:showLegendKey val="0"/>
            <c:showVal val="1"/>
            <c:showCatName val="1"/>
            <c:showSerName val="0"/>
            <c:showPercent val="0"/>
            <c:showBubbleSize val="0"/>
            <c:showLeaderLines val="1"/>
            <c:extLst>
              <c:ext xmlns:c15="http://schemas.microsoft.com/office/drawing/2012/chart" uri="{CE6537A1-D6FC-4f65-9D91-7224C49458BB}">
                <c15:layout/>
                <c15:showLeaderLines val="1"/>
                <c15:leaderLines/>
              </c:ext>
            </c:extLst>
          </c:dLbls>
          <c:cat>
            <c:strRef>
              <c:f>Sheet1!$A$2:$A$5</c:f>
              <c:strCache>
                <c:ptCount val="4"/>
                <c:pt idx="0">
                  <c:v>国外申研</c:v>
                </c:pt>
                <c:pt idx="1">
                  <c:v>国内读研</c:v>
                </c:pt>
                <c:pt idx="2">
                  <c:v>就业</c:v>
                </c:pt>
                <c:pt idx="3">
                  <c:v>其他</c:v>
                </c:pt>
              </c:strCache>
            </c:strRef>
          </c:cat>
          <c:val>
            <c:numRef>
              <c:f>Sheet1!$B$2:$B$5</c:f>
              <c:numCache>
                <c:formatCode>0.0%</c:formatCode>
                <c:ptCount val="4"/>
                <c:pt idx="0">
                  <c:v>0.286</c:v>
                </c:pt>
                <c:pt idx="1">
                  <c:v>0.048</c:v>
                </c:pt>
                <c:pt idx="2">
                  <c:v>0.523</c:v>
                </c:pt>
                <c:pt idx="3">
                  <c:v>0.095</c:v>
                </c:pt>
              </c:numCache>
            </c:numRef>
          </c:val>
        </c:ser>
        <c:dLbls>
          <c:showLegendKey val="0"/>
          <c:showVal val="1"/>
          <c:showCatName val="1"/>
          <c:showSerName val="0"/>
          <c:showPercent val="0"/>
          <c:showBubbleSize val="0"/>
          <c:showLeaderLines val="1"/>
        </c:dLbls>
        <c:firstSliceAng val="0"/>
      </c:pieChart>
    </c:plotArea>
    <c:legend>
      <c:legendPos val="r"/>
      <c:layout/>
      <c:overlay val="0"/>
      <c:txPr>
        <a:bodyPr rot="0" spcFirstLastPara="0" vertOverflow="ellipsis" vert="horz" wrap="square" anchor="ctr" anchorCtr="1"/>
        <a:lstStyle/>
        <a:p>
          <a:pPr>
            <a:defRPr lang="x-none" sz="1000" b="0" i="0" u="none" strike="noStrike" kern="1200" baseline="0">
              <a:solidFill>
                <a:schemeClr val="tx1"/>
              </a:solidFill>
              <a:latin typeface="+mn-lt"/>
              <a:ea typeface="+mn-ea"/>
              <a:cs typeface="+mn-cs"/>
            </a:defRPr>
          </a:pPr>
        </a:p>
      </c:txPr>
    </c:legend>
    <c:plotVisOnly val="1"/>
    <c:dispBlanksAs val="zero"/>
    <c:showDLblsOverMax val="0"/>
  </c:chart>
  <c:txPr>
    <a:bodyPr/>
    <a:lstStyle/>
    <a:p>
      <a:pPr>
        <a:defRPr lang="x-none"/>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x-none" sz="1800" b="1" i="0" u="none" strike="noStrike" kern="1200" baseline="0">
                <a:solidFill>
                  <a:schemeClr val="tx1"/>
                </a:solidFill>
                <a:latin typeface="+mn-lt"/>
                <a:ea typeface="+mn-ea"/>
                <a:cs typeface="+mn-cs"/>
              </a:defRPr>
            </a:pPr>
            <a:r>
              <a:rPr lang="zh-CN" altLang="de-DE"/>
              <a:t>会计学专业</a:t>
            </a:r>
            <a:endParaRPr lang="zh-CN" altLang="de-DE"/>
          </a:p>
        </c:rich>
      </c:tx>
      <c:layout/>
      <c:overlay val="0"/>
    </c:title>
    <c:autoTitleDeleted val="0"/>
    <c:plotArea>
      <c:layout/>
      <c:pieChart>
        <c:varyColors val="1"/>
        <c:ser>
          <c:idx val="0"/>
          <c:order val="0"/>
          <c:tx>
            <c:strRef>
              <c:f>Sheet1!$B$1</c:f>
              <c:strCache>
                <c:ptCount val="1"/>
                <c:pt idx="0">
                  <c:v>国际经济与贸易专业</c:v>
                </c:pt>
              </c:strCache>
            </c:strRef>
          </c:tx>
          <c:explosion val="0"/>
          <c:dPt>
            <c:idx val="0"/>
            <c:bubble3D val="0"/>
          </c:dPt>
          <c:dPt>
            <c:idx val="1"/>
            <c:bubble3D val="0"/>
          </c:dPt>
          <c:dPt>
            <c:idx val="2"/>
            <c:bubble3D val="0"/>
          </c:dPt>
          <c:dPt>
            <c:idx val="3"/>
            <c:bubble3D val="0"/>
          </c:dPt>
          <c:dLbls>
            <c:dLbl>
              <c:idx val="2"/>
              <c:layout/>
              <c:tx>
                <c:rich>
                  <a:bodyPr rot="0" spcFirstLastPara="0" vertOverflow="ellipsis" vert="horz" wrap="square" lIns="38100" tIns="19050" rIns="38100" bIns="19050" anchor="ctr" anchorCtr="1"/>
                  <a:lstStyle/>
                  <a:p>
                    <a:pPr>
                      <a:defRPr lang="x-none" sz="1000" b="0" i="0" u="none" strike="noStrike" kern="1200" baseline="0">
                        <a:solidFill>
                          <a:schemeClr val="tx1"/>
                        </a:solidFill>
                        <a:latin typeface="+mn-lt"/>
                        <a:ea typeface="+mn-ea"/>
                        <a:cs typeface="+mn-cs"/>
                      </a:defRPr>
                    </a:pPr>
                    <a:r>
                      <a:rPr altLang="en-US"/>
                      <a:t>其他, 17</a:t>
                    </a:r>
                    <a:r>
                      <a:rPr lang="en-US" altLang="en-US"/>
                      <a:t>.5</a:t>
                    </a:r>
                    <a:r>
                      <a:rPr altLang="en-US"/>
                      <a:t>%</a:t>
                    </a:r>
                    <a:endParaRPr altLang="en-US"/>
                  </a:p>
                </c:rich>
              </c:tx>
              <c:dLblPos val="bestFit"/>
              <c:showLegendKey val="0"/>
              <c:showVal val="1"/>
              <c:showCatName val="1"/>
              <c:showSerName val="0"/>
              <c:showPercent val="0"/>
              <c:showBubbleSize val="0"/>
              <c:extLst>
                <c:ext xmlns:c15="http://schemas.microsoft.com/office/drawing/2012/chart" uri="{CE6537A1-D6FC-4f65-9D91-7224C49458BB}"/>
              </c:extLst>
            </c:dLbl>
            <c:dLbl>
              <c:idx val="3"/>
              <c:layout/>
              <c:tx>
                <c:rich>
                  <a:bodyPr rot="0" spcFirstLastPara="0" vertOverflow="ellipsis" vert="horz" wrap="square" lIns="38100" tIns="19050" rIns="38100" bIns="19050" anchor="ctr" anchorCtr="1"/>
                  <a:lstStyle/>
                  <a:p>
                    <a:pPr>
                      <a:defRPr lang="x-none" sz="1000" b="0" i="0" u="none" strike="noStrike" kern="1200" baseline="0">
                        <a:solidFill>
                          <a:schemeClr val="tx1"/>
                        </a:solidFill>
                        <a:latin typeface="+mn-lt"/>
                        <a:ea typeface="+mn-ea"/>
                        <a:cs typeface="+mn-cs"/>
                      </a:defRPr>
                    </a:pPr>
                    <a:r>
                      <a:rPr lang="zh-CN" altLang="en-US" baseline="0"/>
                      <a:t>国内读研</a:t>
                    </a:r>
                    <a:r>
                      <a:rPr lang="en-US" altLang="zh-CN" baseline="0"/>
                      <a:t>, 6.5%</a:t>
                    </a:r>
                    <a:endParaRPr lang="en-US" altLang="zh-CN" baseline="0"/>
                  </a:p>
                </c:rich>
              </c:tx>
              <c:dLblPos val="bestFit"/>
              <c:showLegendKey val="0"/>
              <c:showVal val="1"/>
              <c:showCatName val="1"/>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x-none" sz="1000" b="0" i="0" u="none" strike="noStrike" kern="1200" baseline="0">
                    <a:solidFill>
                      <a:schemeClr val="tx1"/>
                    </a:solidFill>
                    <a:latin typeface="+mn-lt"/>
                    <a:ea typeface="+mn-ea"/>
                    <a:cs typeface="+mn-cs"/>
                  </a:defRPr>
                </a:pPr>
              </a:p>
            </c:txPr>
            <c:dLblPos val="bestFit"/>
            <c:showLegendKey val="0"/>
            <c:showVal val="1"/>
            <c:showCatName val="1"/>
            <c:showSerName val="0"/>
            <c:showPercent val="0"/>
            <c:showBubbleSize val="0"/>
            <c:showLeaderLines val="1"/>
            <c:extLst>
              <c:ext xmlns:c15="http://schemas.microsoft.com/office/drawing/2012/chart" uri="{CE6537A1-D6FC-4f65-9D91-7224C49458BB}">
                <c15:layout/>
                <c15:showLeaderLines val="1"/>
                <c15:leaderLines/>
              </c:ext>
            </c:extLst>
          </c:dLbls>
          <c:cat>
            <c:strRef>
              <c:f>Sheet1!$A$2:$A$5</c:f>
              <c:strCache>
                <c:ptCount val="4"/>
                <c:pt idx="0">
                  <c:v>国外读研</c:v>
                </c:pt>
                <c:pt idx="1">
                  <c:v>就业</c:v>
                </c:pt>
                <c:pt idx="2">
                  <c:v>其他</c:v>
                </c:pt>
                <c:pt idx="3">
                  <c:v>国内读研</c:v>
                </c:pt>
              </c:strCache>
            </c:strRef>
          </c:cat>
          <c:val>
            <c:numRef>
              <c:f>Sheet1!$B$2:$B$5</c:f>
              <c:numCache>
                <c:formatCode>0%</c:formatCode>
                <c:ptCount val="4"/>
                <c:pt idx="0">
                  <c:v>0.37</c:v>
                </c:pt>
                <c:pt idx="1">
                  <c:v>0.390000000000001</c:v>
                </c:pt>
                <c:pt idx="2">
                  <c:v>0.174</c:v>
                </c:pt>
                <c:pt idx="3">
                  <c:v>0.065</c:v>
                </c:pt>
              </c:numCache>
            </c:numRef>
          </c:val>
        </c:ser>
        <c:dLbls>
          <c:showLegendKey val="0"/>
          <c:showVal val="1"/>
          <c:showCatName val="1"/>
          <c:showSerName val="0"/>
          <c:showPercent val="0"/>
          <c:showBubbleSize val="0"/>
          <c:showLeaderLines val="1"/>
        </c:dLbls>
        <c:firstSliceAng val="0"/>
      </c:pieChart>
    </c:plotArea>
    <c:legend>
      <c:legendPos val="r"/>
      <c:layout/>
      <c:overlay val="0"/>
      <c:txPr>
        <a:bodyPr rot="0" spcFirstLastPara="0" vertOverflow="ellipsis" vert="horz" wrap="square" anchor="ctr" anchorCtr="1"/>
        <a:lstStyle/>
        <a:p>
          <a:pPr>
            <a:defRPr lang="x-none" sz="1000" b="0" i="0" u="none" strike="noStrike" kern="1200" baseline="0">
              <a:solidFill>
                <a:schemeClr val="tx1"/>
              </a:solidFill>
              <a:latin typeface="+mn-lt"/>
              <a:ea typeface="+mn-ea"/>
              <a:cs typeface="+mn-cs"/>
            </a:defRPr>
          </a:pPr>
        </a:p>
      </c:txPr>
    </c:legend>
    <c:plotVisOnly val="1"/>
    <c:dispBlanksAs val="zero"/>
    <c:showDLblsOverMax val="0"/>
  </c:chart>
  <c:txPr>
    <a:bodyPr/>
    <a:lstStyle/>
    <a:p>
      <a:pPr>
        <a:defRPr lang="x-none"/>
      </a:pP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商务英语专业人数</c:v>
                </c:pt>
              </c:strCache>
            </c:strRef>
          </c:tx>
          <c:spPr>
            <a:solidFill>
              <a:schemeClr val="accent1"/>
            </a:solidFill>
            <a:ln>
              <a:noFill/>
            </a:ln>
            <a:effectLst/>
          </c:spPr>
          <c:invertIfNegative val="0"/>
          <c:dLbls>
            <c:delete val="1"/>
          </c:dLbls>
          <c:cat>
            <c:numRef>
              <c:f>Sheet1!$A$2:$A$5</c:f>
              <c:numCache>
                <c:formatCode>General</c:formatCode>
                <c:ptCount val="4"/>
                <c:pt idx="0">
                  <c:v>2019</c:v>
                </c:pt>
                <c:pt idx="1">
                  <c:v>2020</c:v>
                </c:pt>
                <c:pt idx="2">
                  <c:v>2021</c:v>
                </c:pt>
                <c:pt idx="3">
                  <c:v>2022</c:v>
                </c:pt>
              </c:numCache>
            </c:numRef>
          </c:cat>
          <c:val>
            <c:numRef>
              <c:f>Sheet1!$B$2:$B$5</c:f>
              <c:numCache>
                <c:formatCode>General</c:formatCode>
                <c:ptCount val="4"/>
                <c:pt idx="0">
                  <c:v>72</c:v>
                </c:pt>
                <c:pt idx="1">
                  <c:v>57</c:v>
                </c:pt>
                <c:pt idx="2">
                  <c:v>59</c:v>
                </c:pt>
                <c:pt idx="3">
                  <c:v>65</c:v>
                </c:pt>
              </c:numCache>
            </c:numRef>
          </c:val>
        </c:ser>
        <c:ser>
          <c:idx val="1"/>
          <c:order val="1"/>
          <c:tx>
            <c:strRef>
              <c:f>Sheet1!$C$1</c:f>
              <c:strCache>
                <c:ptCount val="1"/>
                <c:pt idx="0">
                  <c:v>列1</c:v>
                </c:pt>
              </c:strCache>
            </c:strRef>
          </c:tx>
          <c:spPr>
            <a:solidFill>
              <a:schemeClr val="accent2"/>
            </a:solidFill>
            <a:ln>
              <a:noFill/>
            </a:ln>
            <a:effectLst/>
          </c:spPr>
          <c:invertIfNegative val="0"/>
          <c:dLbls>
            <c:delete val="1"/>
          </c:dLbls>
          <c:cat>
            <c:numRef>
              <c:f>Sheet1!$A$2:$A$5</c:f>
              <c:numCache>
                <c:formatCode>General</c:formatCode>
                <c:ptCount val="4"/>
                <c:pt idx="0">
                  <c:v>2019</c:v>
                </c:pt>
                <c:pt idx="1">
                  <c:v>2020</c:v>
                </c:pt>
                <c:pt idx="2">
                  <c:v>2021</c:v>
                </c:pt>
                <c:pt idx="3">
                  <c:v>2022</c:v>
                </c:pt>
              </c:numCache>
            </c:numRef>
          </c:cat>
          <c:val>
            <c:numRef>
              <c:f>Sheet1!$C$2:$C$5</c:f>
              <c:numCache>
                <c:formatCode>General</c:formatCode>
                <c:ptCount val="4"/>
              </c:numCache>
            </c:numRef>
          </c:val>
        </c:ser>
        <c:ser>
          <c:idx val="2"/>
          <c:order val="2"/>
          <c:tx>
            <c:strRef>
              <c:f>Sheet1!$D$1</c:f>
              <c:strCache>
                <c:ptCount val="1"/>
                <c:pt idx="0">
                  <c:v>列2</c:v>
                </c:pt>
              </c:strCache>
            </c:strRef>
          </c:tx>
          <c:spPr>
            <a:solidFill>
              <a:schemeClr val="accent3"/>
            </a:solidFill>
            <a:ln>
              <a:noFill/>
            </a:ln>
            <a:effectLst/>
          </c:spPr>
          <c:invertIfNegative val="0"/>
          <c:dLbls>
            <c:delete val="1"/>
          </c:dLbls>
          <c:cat>
            <c:numRef>
              <c:f>Sheet1!$A$2:$A$5</c:f>
              <c:numCache>
                <c:formatCode>General</c:formatCode>
                <c:ptCount val="4"/>
                <c:pt idx="0">
                  <c:v>2019</c:v>
                </c:pt>
                <c:pt idx="1">
                  <c:v>2020</c:v>
                </c:pt>
                <c:pt idx="2">
                  <c:v>2021</c:v>
                </c:pt>
                <c:pt idx="3">
                  <c:v>2022</c:v>
                </c:pt>
              </c:numCache>
            </c:numRef>
          </c:cat>
          <c:val>
            <c:numRef>
              <c:f>Sheet1!$D$2:$D$5</c:f>
              <c:numCache>
                <c:formatCode>General</c:formatCode>
                <c:ptCount val="4"/>
              </c:numCache>
            </c:numRef>
          </c:val>
        </c:ser>
        <c:dLbls>
          <c:showLegendKey val="0"/>
          <c:showVal val="0"/>
          <c:showCatName val="0"/>
          <c:showSerName val="0"/>
          <c:showPercent val="0"/>
          <c:showBubbleSize val="0"/>
        </c:dLbls>
        <c:gapWidth val="219"/>
        <c:overlap val="-27"/>
        <c:axId val="-220452560"/>
        <c:axId val="-220452016"/>
      </c:barChart>
      <c:catAx>
        <c:axId val="-220452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20452016"/>
        <c:crosses val="autoZero"/>
        <c:auto val="1"/>
        <c:lblAlgn val="ctr"/>
        <c:lblOffset val="100"/>
        <c:noMultiLvlLbl val="0"/>
      </c:catAx>
      <c:valAx>
        <c:axId val="-220452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20452560"/>
        <c:crosses val="autoZero"/>
        <c:crossBetween val="between"/>
      </c:valAx>
      <c:spPr>
        <a:noFill/>
        <a:ln>
          <a:noFill/>
        </a:ln>
        <a:effectLst/>
      </c:spPr>
    </c:plotArea>
    <c:legend>
      <c:legendPos val="b"/>
      <c:legendEntry>
        <c:idx val="1"/>
        <c:delete val="1"/>
      </c:legendEntry>
      <c:legendEntry>
        <c:idx val="2"/>
        <c:delete val="1"/>
      </c:legendEntry>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 商务英语（跨境电商）专业人数</c:v>
                </c:pt>
              </c:strCache>
            </c:strRef>
          </c:tx>
          <c:spPr>
            <a:solidFill>
              <a:schemeClr val="accent6"/>
            </a:solidFill>
            <a:ln>
              <a:noFill/>
            </a:ln>
            <a:effectLst/>
          </c:spPr>
          <c:invertIfNegative val="0"/>
          <c:dLbls>
            <c:delete val="1"/>
          </c:dLbls>
          <c:cat>
            <c:numRef>
              <c:f>Sheet1!$A$2:$A$5</c:f>
              <c:numCache>
                <c:formatCode>General</c:formatCode>
                <c:ptCount val="4"/>
                <c:pt idx="0">
                  <c:v>2019</c:v>
                </c:pt>
                <c:pt idx="1">
                  <c:v>2020</c:v>
                </c:pt>
                <c:pt idx="2">
                  <c:v>2021</c:v>
                </c:pt>
                <c:pt idx="3">
                  <c:v>2022</c:v>
                </c:pt>
              </c:numCache>
            </c:numRef>
          </c:cat>
          <c:val>
            <c:numRef>
              <c:f>Sheet1!$B$2:$B$5</c:f>
              <c:numCache>
                <c:formatCode>General</c:formatCode>
                <c:ptCount val="4"/>
                <c:pt idx="0">
                  <c:v>89</c:v>
                </c:pt>
                <c:pt idx="1">
                  <c:v>89</c:v>
                </c:pt>
                <c:pt idx="2">
                  <c:v>71</c:v>
                </c:pt>
                <c:pt idx="3">
                  <c:v>60</c:v>
                </c:pt>
              </c:numCache>
            </c:numRef>
          </c:val>
        </c:ser>
        <c:ser>
          <c:idx val="1"/>
          <c:order val="1"/>
          <c:tx>
            <c:strRef>
              <c:f>Sheet1!$C$1</c:f>
              <c:strCache>
                <c:ptCount val="1"/>
                <c:pt idx="0">
                  <c:v>列2</c:v>
                </c:pt>
              </c:strCache>
            </c:strRef>
          </c:tx>
          <c:spPr>
            <a:solidFill>
              <a:schemeClr val="accent5"/>
            </a:solidFill>
            <a:ln>
              <a:noFill/>
            </a:ln>
            <a:effectLst/>
          </c:spPr>
          <c:invertIfNegative val="0"/>
          <c:dLbls>
            <c:delete val="1"/>
          </c:dLbls>
          <c:cat>
            <c:numRef>
              <c:f>Sheet1!$A$2:$A$5</c:f>
              <c:numCache>
                <c:formatCode>General</c:formatCode>
                <c:ptCount val="4"/>
                <c:pt idx="0">
                  <c:v>2019</c:v>
                </c:pt>
                <c:pt idx="1">
                  <c:v>2020</c:v>
                </c:pt>
                <c:pt idx="2">
                  <c:v>2021</c:v>
                </c:pt>
                <c:pt idx="3">
                  <c:v>2022</c:v>
                </c:pt>
              </c:numCache>
            </c:numRef>
          </c:cat>
          <c:val>
            <c:numRef>
              <c:f>Sheet1!$C$2:$C$5</c:f>
              <c:numCache>
                <c:formatCode>General</c:formatCode>
                <c:ptCount val="4"/>
              </c:numCache>
            </c:numRef>
          </c:val>
        </c:ser>
        <c:ser>
          <c:idx val="2"/>
          <c:order val="2"/>
          <c:tx>
            <c:strRef>
              <c:f>Sheet1!$D$1</c:f>
              <c:strCache>
                <c:ptCount val="1"/>
                <c:pt idx="0">
                  <c:v>列1</c:v>
                </c:pt>
              </c:strCache>
            </c:strRef>
          </c:tx>
          <c:spPr>
            <a:solidFill>
              <a:schemeClr val="accent4"/>
            </a:solidFill>
            <a:ln>
              <a:noFill/>
            </a:ln>
            <a:effectLst/>
          </c:spPr>
          <c:invertIfNegative val="0"/>
          <c:dLbls>
            <c:delete val="1"/>
          </c:dLbls>
          <c:cat>
            <c:numRef>
              <c:f>Sheet1!$A$2:$A$5</c:f>
              <c:numCache>
                <c:formatCode>General</c:formatCode>
                <c:ptCount val="4"/>
                <c:pt idx="0">
                  <c:v>2019</c:v>
                </c:pt>
                <c:pt idx="1">
                  <c:v>2020</c:v>
                </c:pt>
                <c:pt idx="2">
                  <c:v>2021</c:v>
                </c:pt>
                <c:pt idx="3">
                  <c:v>2022</c:v>
                </c:pt>
              </c:numCache>
            </c:numRef>
          </c:cat>
          <c:val>
            <c:numRef>
              <c:f>Sheet1!$D$2:$D$5</c:f>
              <c:numCache>
                <c:formatCode>General</c:formatCode>
                <c:ptCount val="4"/>
              </c:numCache>
            </c:numRef>
          </c:val>
        </c:ser>
        <c:dLbls>
          <c:showLegendKey val="0"/>
          <c:showVal val="0"/>
          <c:showCatName val="0"/>
          <c:showSerName val="0"/>
          <c:showPercent val="0"/>
          <c:showBubbleSize val="0"/>
        </c:dLbls>
        <c:gapWidth val="219"/>
        <c:overlap val="-27"/>
        <c:axId val="-220455824"/>
        <c:axId val="-220453648"/>
      </c:barChart>
      <c:catAx>
        <c:axId val="-220455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20453648"/>
        <c:crosses val="autoZero"/>
        <c:auto val="1"/>
        <c:lblAlgn val="ctr"/>
        <c:lblOffset val="100"/>
        <c:noMultiLvlLbl val="0"/>
      </c:catAx>
      <c:valAx>
        <c:axId val="-220453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20455824"/>
        <c:crosses val="autoZero"/>
        <c:crossBetween val="between"/>
      </c:valAx>
      <c:spPr>
        <a:noFill/>
        <a:ln>
          <a:noFill/>
        </a:ln>
        <a:effectLst/>
      </c:spPr>
    </c:plotArea>
    <c:legend>
      <c:legendPos val="b"/>
      <c:legendEntry>
        <c:idx val="1"/>
        <c:delete val="1"/>
      </c:legendEntry>
      <c:legendEntry>
        <c:idx val="2"/>
        <c:delete val="1"/>
      </c:legendEntry>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rgbClr val="4F81BD"/>
  <a:srgbClr val="C0504D"/>
  <a:srgbClr val="9BBB59"/>
  <a:srgbClr val="8064A2"/>
  <a:srgbClr val="4BACC6"/>
  <a:srgbClr val="F7964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rgbClr val="595959">
        <a:lumMod val="65000"/>
        <a:lumOff val="35000"/>
      </a:srgbClr>
    </cs:fontRef>
    <cs:defRPr sz="1000" kern="1200"/>
  </cs:axisTitle>
  <cs:categoryAxis>
    <cs:lnRef idx="0"/>
    <cs:fillRef idx="0"/>
    <cs:effectRef idx="0"/>
    <cs:fontRef idx="minor">
      <a:srgbClr val="595959">
        <a:lumMod val="65000"/>
        <a:lumOff val="35000"/>
      </a:srgbClr>
    </cs:fontRef>
    <cs:spPr>
      <a:ln w="9525" cap="flat" cmpd="sng" algn="ctr">
        <a:solidFill>
          <a:srgbClr val="D9D9D9">
            <a:lumMod val="15000"/>
            <a:lumOff val="85000"/>
          </a:srgbClr>
        </a:solidFill>
        <a:round/>
      </a:ln>
    </cs:spPr>
    <cs:defRPr sz="900" kern="1200"/>
  </cs:categoryAxis>
  <cs:chartArea mods="allowNoFillOverride allowNoLineOverride">
    <cs:lnRef idx="0"/>
    <cs:fillRef idx="0"/>
    <cs:effectRef idx="0"/>
    <cs:fontRef idx="minor">
      <a:srgbClr val="000000"/>
    </cs:fontRef>
    <cs:spPr>
      <a:solidFill>
        <a:srgbClr val="FFFFFF"/>
      </a:solidFill>
      <a:ln w="9525" cap="flat" cmpd="sng" algn="ctr">
        <a:solidFill>
          <a:srgbClr val="D9D9D9">
            <a:lumMod val="15000"/>
            <a:lumOff val="85000"/>
          </a:srgbClr>
        </a:solidFill>
        <a:round/>
      </a:ln>
    </cs:spPr>
    <cs:defRPr sz="1000" kern="1200"/>
  </cs:chartArea>
  <cs:dataLabel>
    <cs:lnRef idx="0"/>
    <cs:fillRef idx="0"/>
    <cs:effectRef idx="0"/>
    <cs:fontRef idx="minor">
      <a:srgbClr val="404040">
        <a:lumMod val="75000"/>
        <a:lumOff val="25000"/>
      </a:srgbClr>
    </cs:fontRef>
    <cs:defRPr sz="900" kern="1200"/>
  </cs:dataLabel>
  <cs:dataLabelCallout>
    <cs:lnRef idx="0"/>
    <cs:fillRef idx="0"/>
    <cs:effectRef idx="0"/>
    <cs:fontRef idx="minor">
      <a:srgbClr val="595959">
        <a:lumMod val="65000"/>
        <a:lumOff val="35000"/>
      </a:srgbClr>
    </cs:fontRef>
    <cs:spPr>
      <a:solidFill>
        <a:srgbClr val="FFFFFF"/>
      </a:solidFill>
      <a:ln>
        <a:solidFill>
          <a:srgbClr val="BFBFBF">
            <a:lumMod val="25000"/>
            <a:lumOff val="75000"/>
          </a:srgb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rgbClr val="000000"/>
    </cs:fontRef>
  </cs:dataPoint>
  <cs:dataPoint3D>
    <cs:lnRef idx="0"/>
    <cs:fillRef idx="1">
      <cs:styleClr val="auto"/>
    </cs:fillRef>
    <cs:effectRef idx="0"/>
    <cs:fontRef idx="minor">
      <a:srgbClr val="000000"/>
    </cs:fontRef>
  </cs:dataPoint3D>
  <cs:dataPointLine>
    <cs:lnRef idx="0">
      <cs:styleClr val="auto"/>
    </cs:lnRef>
    <cs:fillRef idx="1"/>
    <cs:effectRef idx="0"/>
    <cs:fontRef idx="minor">
      <a:srgbClr val="000000"/>
    </cs:fontRef>
    <cs:spPr>
      <a:ln w="28575" cap="rnd">
        <a:solidFill>
          <a:srgbClr val="FFFFFF"/>
        </a:solidFill>
        <a:round/>
      </a:ln>
    </cs:spPr>
  </cs:dataPointLine>
  <cs:dataPointMarker>
    <cs:lnRef idx="0">
      <cs:styleClr val="auto"/>
    </cs:lnRef>
    <cs:fillRef idx="1">
      <cs:styleClr val="auto"/>
    </cs:fillRef>
    <cs:effectRef idx="0"/>
    <cs:fontRef idx="minor">
      <a:srgbClr val="000000"/>
    </cs:fontRef>
    <cs:spPr>
      <a:ln w="9525">
        <a:solidFill>
          <a:srgbClr val="FFFFFF"/>
        </a:solidFill>
      </a:ln>
    </cs:spPr>
  </cs:dataPointMarker>
  <cs:dataPointMarkerLayout symbol="circle" size="5"/>
  <cs:dataPointWireframe>
    <cs:lnRef idx="0">
      <cs:styleClr val="auto"/>
    </cs:lnRef>
    <cs:fillRef idx="1"/>
    <cs:effectRef idx="0"/>
    <cs:fontRef idx="minor">
      <a:srgbClr val="000000"/>
    </cs:fontRef>
    <cs:spPr>
      <a:ln w="9525" cap="rnd">
        <a:solidFill>
          <a:srgbClr val="FFFFFF"/>
        </a:solidFill>
        <a:round/>
      </a:ln>
    </cs:spPr>
  </cs:dataPointWireframe>
  <cs:dataTable>
    <cs:lnRef idx="0"/>
    <cs:fillRef idx="0"/>
    <cs:effectRef idx="0"/>
    <cs:fontRef idx="minor">
      <a:srgbClr val="595959">
        <a:lumMod val="65000"/>
        <a:lumOff val="35000"/>
      </a:srgbClr>
    </cs:fontRef>
    <cs:spPr>
      <a:noFill/>
      <a:ln w="9525" cap="flat" cmpd="sng" algn="ctr">
        <a:solidFill>
          <a:srgbClr val="D9D9D9">
            <a:lumMod val="15000"/>
            <a:lumOff val="85000"/>
          </a:srgbClr>
        </a:solidFill>
        <a:round/>
      </a:ln>
    </cs:spPr>
    <cs:defRPr sz="900" kern="1200"/>
  </cs:dataTable>
  <cs:downBar>
    <cs:lnRef idx="0"/>
    <cs:fillRef idx="0"/>
    <cs:effectRef idx="0"/>
    <cs:fontRef idx="minor">
      <a:srgbClr val="000000"/>
    </cs:fontRef>
    <cs:spPr>
      <a:solidFill>
        <a:srgbClr val="595959">
          <a:lumMod val="65000"/>
          <a:lumOff val="35000"/>
        </a:srgbClr>
      </a:solidFill>
      <a:ln w="9525">
        <a:solidFill>
          <a:srgbClr val="595959">
            <a:lumMod val="65000"/>
            <a:lumOff val="35000"/>
          </a:srgbClr>
        </a:solidFill>
      </a:ln>
    </cs:spPr>
  </cs:downBar>
  <cs:dropLine>
    <cs:lnRef idx="0"/>
    <cs:fillRef idx="0"/>
    <cs:effectRef idx="0"/>
    <cs:fontRef idx="minor">
      <a:srgbClr val="000000"/>
    </cs:fontRef>
    <cs:spPr>
      <a:ln w="9525" cap="flat" cmpd="sng" algn="ctr">
        <a:solidFill>
          <a:srgbClr val="A6A6A6">
            <a:lumMod val="35000"/>
            <a:lumOff val="65000"/>
          </a:srgbClr>
        </a:solidFill>
        <a:round/>
      </a:ln>
    </cs:spPr>
  </cs:dropLine>
  <cs:errorBar>
    <cs:lnRef idx="0"/>
    <cs:fillRef idx="0"/>
    <cs:effectRef idx="0"/>
    <cs:fontRef idx="minor">
      <a:srgbClr val="000000"/>
    </cs:fontRef>
    <cs:spPr>
      <a:ln w="9525" cap="flat" cmpd="sng" algn="ctr">
        <a:solidFill>
          <a:srgbClr val="595959">
            <a:lumMod val="65000"/>
            <a:lumOff val="35000"/>
          </a:srgbClr>
        </a:solidFill>
        <a:round/>
      </a:ln>
    </cs:spPr>
  </cs:errorBar>
  <cs:floor>
    <cs:lnRef idx="0"/>
    <cs:fillRef idx="0"/>
    <cs:effectRef idx="0"/>
    <cs:fontRef idx="minor">
      <a:srgbClr val="000000"/>
    </cs:fontRef>
    <cs:spPr>
      <a:noFill/>
      <a:ln>
        <a:noFill/>
      </a:ln>
    </cs:spPr>
  </cs:floor>
  <cs:gridlineMajor>
    <cs:lnRef idx="0"/>
    <cs:fillRef idx="0"/>
    <cs:effectRef idx="0"/>
    <cs:fontRef idx="minor">
      <a:srgbClr val="000000"/>
    </cs:fontRef>
    <cs:spPr>
      <a:ln w="9525" cap="flat" cmpd="sng" algn="ctr">
        <a:solidFill>
          <a:srgbClr val="D9D9D9">
            <a:lumMod val="15000"/>
            <a:lumOff val="85000"/>
          </a:srgbClr>
        </a:solidFill>
        <a:round/>
      </a:ln>
    </cs:spPr>
  </cs:gridlineMajor>
  <cs:gridlineMinor>
    <cs:lnRef idx="0"/>
    <cs:fillRef idx="0"/>
    <cs:effectRef idx="0"/>
    <cs:fontRef idx="minor">
      <a:srgbClr val="000000"/>
    </cs:fontRef>
    <cs:spPr>
      <a:ln w="9525" cap="flat" cmpd="sng" algn="ctr">
        <a:solidFill>
          <a:srgbClr val="F2F2F2">
            <a:lumMod val="5000"/>
            <a:lumOff val="95000"/>
          </a:srgbClr>
        </a:solidFill>
        <a:round/>
      </a:ln>
    </cs:spPr>
  </cs:gridlineMinor>
  <cs:hiLoLine>
    <cs:lnRef idx="0"/>
    <cs:fillRef idx="0"/>
    <cs:effectRef idx="0"/>
    <cs:fontRef idx="minor">
      <a:srgbClr val="000000"/>
    </cs:fontRef>
    <cs:spPr>
      <a:ln w="9525" cap="flat" cmpd="sng" algn="ctr">
        <a:solidFill>
          <a:srgbClr val="404040">
            <a:lumMod val="75000"/>
            <a:lumOff val="25000"/>
          </a:srgbClr>
        </a:solidFill>
        <a:round/>
      </a:ln>
    </cs:spPr>
  </cs:hiLoLine>
  <cs:leaderLine>
    <cs:lnRef idx="0"/>
    <cs:fillRef idx="0"/>
    <cs:effectRef idx="0"/>
    <cs:fontRef idx="minor">
      <a:srgbClr val="000000"/>
    </cs:fontRef>
    <cs:spPr>
      <a:ln w="9525" cap="flat" cmpd="sng" algn="ctr">
        <a:solidFill>
          <a:srgbClr val="A6A6A6">
            <a:lumMod val="35000"/>
            <a:lumOff val="65000"/>
          </a:srgbClr>
        </a:solidFill>
        <a:round/>
      </a:ln>
    </cs:spPr>
  </cs:leaderLine>
  <cs:legend>
    <cs:lnRef idx="0"/>
    <cs:fillRef idx="0"/>
    <cs:effectRef idx="0"/>
    <cs:fontRef idx="minor">
      <a:srgbClr val="595959">
        <a:lumMod val="65000"/>
        <a:lumOff val="35000"/>
      </a:srgbClr>
    </cs:fontRef>
    <cs:defRPr sz="900" kern="1200"/>
  </cs:legend>
  <cs:plotArea mods="allowNoFillOverride allowNoLineOverride">
    <cs:lnRef idx="0"/>
    <cs:fillRef idx="0"/>
    <cs:effectRef idx="0"/>
    <cs:fontRef idx="minor">
      <a:srgbClr val="000000"/>
    </cs:fontRef>
  </cs:plotArea>
  <cs:plotArea3D mods="allowNoFillOverride allowNoLineOverride">
    <cs:lnRef idx="0"/>
    <cs:fillRef idx="0"/>
    <cs:effectRef idx="0"/>
    <cs:fontRef idx="minor">
      <a:srgbClr val="000000"/>
    </cs:fontRef>
  </cs:plotArea3D>
  <cs:seriesAxis>
    <cs:lnRef idx="0"/>
    <cs:fillRef idx="0"/>
    <cs:effectRef idx="0"/>
    <cs:fontRef idx="minor">
      <a:srgbClr val="595959">
        <a:lumMod val="65000"/>
        <a:lumOff val="35000"/>
      </a:srgbClr>
    </cs:fontRef>
    <cs:defRPr sz="900" kern="1200"/>
  </cs:seriesAxis>
  <cs:seriesLine>
    <cs:lnRef idx="0"/>
    <cs:fillRef idx="0"/>
    <cs:effectRef idx="0"/>
    <cs:fontRef idx="minor">
      <a:srgbClr val="000000"/>
    </cs:fontRef>
    <cs:spPr>
      <a:ln w="9525" cap="flat" cmpd="sng" algn="ctr">
        <a:solidFill>
          <a:srgbClr val="A6A6A6">
            <a:lumMod val="35000"/>
            <a:lumOff val="65000"/>
          </a:srgbClr>
        </a:solidFill>
        <a:round/>
      </a:ln>
    </cs:spPr>
  </cs:seriesLine>
  <cs:title>
    <cs:lnRef idx="0"/>
    <cs:fillRef idx="0"/>
    <cs:effectRef idx="0"/>
    <cs:fontRef idx="minor">
      <a:srgbClr val="595959">
        <a:lumMod val="65000"/>
        <a:lumOff val="35000"/>
      </a:srgbClr>
    </cs:fontRef>
    <cs:defRPr sz="1400" b="0" kern="1200" spc="0" baseline="0"/>
  </cs:title>
  <cs:trendline>
    <cs:lnRef idx="0">
      <cs:styleClr val="auto"/>
    </cs:lnRef>
    <cs:fillRef idx="0"/>
    <cs:effectRef idx="0"/>
    <cs:fontRef idx="minor">
      <a:srgbClr val="000000"/>
    </cs:fontRef>
    <cs:spPr>
      <a:ln w="19050" cap="rnd">
        <a:solidFill>
          <a:srgbClr val="FFFFFF"/>
        </a:solidFill>
        <a:prstDash val="sysDot"/>
      </a:ln>
    </cs:spPr>
  </cs:trendline>
  <cs:trendlineLabel>
    <cs:lnRef idx="0"/>
    <cs:fillRef idx="0"/>
    <cs:effectRef idx="0"/>
    <cs:fontRef idx="minor">
      <a:srgbClr val="595959">
        <a:lumMod val="65000"/>
        <a:lumOff val="35000"/>
      </a:srgbClr>
    </cs:fontRef>
    <cs:defRPr sz="900" kern="1200"/>
  </cs:trendlineLabel>
  <cs:upBar>
    <cs:lnRef idx="0"/>
    <cs:fillRef idx="0"/>
    <cs:effectRef idx="0"/>
    <cs:fontRef idx="minor">
      <a:srgbClr val="000000"/>
    </cs:fontRef>
    <cs:spPr>
      <a:solidFill>
        <a:srgbClr val="FFFFFF"/>
      </a:solidFill>
      <a:ln w="9525">
        <a:solidFill>
          <a:srgbClr val="D9D9D9">
            <a:lumMod val="15000"/>
            <a:lumOff val="85000"/>
          </a:srgbClr>
        </a:solidFill>
      </a:ln>
    </cs:spPr>
  </cs:upBar>
  <cs:valueAxis>
    <cs:lnRef idx="0"/>
    <cs:fillRef idx="0"/>
    <cs:effectRef idx="0"/>
    <cs:fontRef idx="minor">
      <a:srgbClr val="595959">
        <a:lumMod val="65000"/>
        <a:lumOff val="35000"/>
      </a:srgbClr>
    </cs:fontRef>
    <cs:defRPr sz="900" kern="1200"/>
  </cs:valueAxis>
  <cs:wall>
    <cs:lnRef idx="0"/>
    <cs:fillRef idx="0"/>
    <cs:effectRef idx="0"/>
    <cs:fontRef idx="minor">
      <a:srgbClr val="000000"/>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788</Pages>
  <Words>676437</Words>
  <Characters>710931</Characters>
  <Lines>5294</Lines>
  <Paragraphs>1490</Paragraphs>
  <TotalTime>4</TotalTime>
  <ScaleCrop>false</ScaleCrop>
  <LinksUpToDate>false</LinksUpToDate>
  <CharactersWithSpaces>731320</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2022-11-28T07:28:00Z</dcterms:created>
  <dc:creator>孩子她妈</dc:creator>
  <cp:lastModifiedBy>yhyy</cp:lastModifiedBy>
  <cp:lastPrinted>2022-11-23T09:52:00Z</cp:lastPrinted>
  <dcterms:modified xsi:type="dcterms:W3CDTF">2022-11-28T09:00:24Z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01CA9A8760E243A9989F563ACB321054</vt:lpwstr>
  </property>
</Properties>
</file>